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footer31.xml" ContentType="application/vnd.openxmlformats-officedocument.wordprocessingml.footer+xml"/>
  <Override PartName="/word/header32.xml" ContentType="application/vnd.openxmlformats-officedocument.wordprocessingml.head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footer34.xml" ContentType="application/vnd.openxmlformats-officedocument.wordprocessingml.footer+xml"/>
  <Override PartName="/word/header35.xml" ContentType="application/vnd.openxmlformats-officedocument.wordprocessingml.head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footer37.xml" ContentType="application/vnd.openxmlformats-officedocument.wordprocessingml.footer+xml"/>
  <Override PartName="/word/header38.xml" ContentType="application/vnd.openxmlformats-officedocument.wordprocessingml.head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footer40.xml" ContentType="application/vnd.openxmlformats-officedocument.wordprocessingml.footer+xml"/>
  <Override PartName="/word/header41.xml" ContentType="application/vnd.openxmlformats-officedocument.wordprocessingml.head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footer43.xml" ContentType="application/vnd.openxmlformats-officedocument.wordprocessingml.footer+xml"/>
  <Override PartName="/word/header44.xml" ContentType="application/vnd.openxmlformats-officedocument.wordprocessingml.head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footer46.xml" ContentType="application/vnd.openxmlformats-officedocument.wordprocessingml.footer+xml"/>
  <Override PartName="/word/header47.xml" ContentType="application/vnd.openxmlformats-officedocument.wordprocessingml.head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footer49.xml" ContentType="application/vnd.openxmlformats-officedocument.wordprocessingml.footer+xml"/>
  <Override PartName="/word/header50.xml" ContentType="application/vnd.openxmlformats-officedocument.wordprocessingml.head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footer52.xml" ContentType="application/vnd.openxmlformats-officedocument.wordprocessingml.footer+xml"/>
  <Override PartName="/word/header53.xml" ContentType="application/vnd.openxmlformats-officedocument.wordprocessingml.head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footer55.xml" ContentType="application/vnd.openxmlformats-officedocument.wordprocessingml.footer+xml"/>
  <Override PartName="/word/header56.xml" ContentType="application/vnd.openxmlformats-officedocument.wordprocessingml.head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footer58.xml" ContentType="application/vnd.openxmlformats-officedocument.wordprocessingml.footer+xml"/>
  <Override PartName="/word/header59.xml" ContentType="application/vnd.openxmlformats-officedocument.wordprocessingml.head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footer61.xml" ContentType="application/vnd.openxmlformats-officedocument.wordprocessingml.footer+xml"/>
  <Override PartName="/word/header62.xml" ContentType="application/vnd.openxmlformats-officedocument.wordprocessingml.head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footer64.xml" ContentType="application/vnd.openxmlformats-officedocument.wordprocessingml.footer+xml"/>
  <Override PartName="/word/header65.xml" ContentType="application/vnd.openxmlformats-officedocument.wordprocessingml.head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footer67.xml" ContentType="application/vnd.openxmlformats-officedocument.wordprocessingml.footer+xml"/>
  <Override PartName="/word/header68.xml" ContentType="application/vnd.openxmlformats-officedocument.wordprocessingml.head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footer70.xml" ContentType="application/vnd.openxmlformats-officedocument.wordprocessingml.footer+xml"/>
  <Override PartName="/word/header71.xml" ContentType="application/vnd.openxmlformats-officedocument.wordprocessingml.head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footer73.xml" ContentType="application/vnd.openxmlformats-officedocument.wordprocessingml.footer+xml"/>
  <Override PartName="/word/header74.xml" ContentType="application/vnd.openxmlformats-officedocument.wordprocessingml.head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footer76.xml" ContentType="application/vnd.openxmlformats-officedocument.wordprocessingml.footer+xml"/>
  <Override PartName="/word/header77.xml" ContentType="application/vnd.openxmlformats-officedocument.wordprocessingml.head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footer79.xml" ContentType="application/vnd.openxmlformats-officedocument.wordprocessingml.footer+xml"/>
  <Override PartName="/word/header80.xml" ContentType="application/vnd.openxmlformats-officedocument.wordprocessingml.head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header82.xml" ContentType="application/vnd.openxmlformats-officedocument.wordprocessingml.header+xml"/>
  <Override PartName="/word/footer82.xml" ContentType="application/vnd.openxmlformats-officedocument.wordprocessingml.footer+xml"/>
  <Override PartName="/word/header83.xml" ContentType="application/vnd.openxmlformats-officedocument.wordprocessingml.header+xml"/>
  <Override PartName="/word/footer83.xml" ContentType="application/vnd.openxmlformats-officedocument.wordprocessingml.footer+xml"/>
  <Override PartName="/word/header84.xml" ContentType="application/vnd.openxmlformats-officedocument.wordprocessingml.header+xml"/>
  <Override PartName="/word/footer84.xml" ContentType="application/vnd.openxmlformats-officedocument.wordprocessingml.footer+xml"/>
  <Override PartName="/word/header85.xml" ContentType="application/vnd.openxmlformats-officedocument.wordprocessingml.header+xml"/>
  <Override PartName="/word/footer85.xml" ContentType="application/vnd.openxmlformats-officedocument.wordprocessingml.footer+xml"/>
  <Override PartName="/word/header86.xml" ContentType="application/vnd.openxmlformats-officedocument.wordprocessingml.header+xml"/>
  <Override PartName="/word/footer86.xml" ContentType="application/vnd.openxmlformats-officedocument.wordprocessingml.footer+xml"/>
  <Override PartName="/word/header87.xml" ContentType="application/vnd.openxmlformats-officedocument.wordprocessingml.header+xml"/>
  <Override PartName="/word/footer87.xml" ContentType="application/vnd.openxmlformats-officedocument.wordprocessingml.footer+xml"/>
  <Override PartName="/word/header88.xml" ContentType="application/vnd.openxmlformats-officedocument.wordprocessingml.header+xml"/>
  <Override PartName="/word/footer88.xml" ContentType="application/vnd.openxmlformats-officedocument.wordprocessingml.footer+xml"/>
  <Override PartName="/word/header89.xml" ContentType="application/vnd.openxmlformats-officedocument.wordprocessingml.header+xml"/>
  <Override PartName="/word/footer89.xml" ContentType="application/vnd.openxmlformats-officedocument.wordprocessingml.footer+xml"/>
  <Override PartName="/word/header90.xml" ContentType="application/vnd.openxmlformats-officedocument.wordprocessingml.header+xml"/>
  <Override PartName="/word/footer90.xml" ContentType="application/vnd.openxmlformats-officedocument.wordprocessingml.footer+xml"/>
  <Override PartName="/word/header91.xml" ContentType="application/vnd.openxmlformats-officedocument.wordprocessingml.header+xml"/>
  <Override PartName="/word/footer91.xml" ContentType="application/vnd.openxmlformats-officedocument.wordprocessingml.footer+xml"/>
  <Override PartName="/word/header92.xml" ContentType="application/vnd.openxmlformats-officedocument.wordprocessingml.header+xml"/>
  <Override PartName="/word/footer92.xml" ContentType="application/vnd.openxmlformats-officedocument.wordprocessingml.footer+xml"/>
  <Override PartName="/word/header93.xml" ContentType="application/vnd.openxmlformats-officedocument.wordprocessingml.header+xml"/>
  <Override PartName="/word/footer93.xml" ContentType="application/vnd.openxmlformats-officedocument.wordprocessingml.footer+xml"/>
  <Override PartName="/word/header94.xml" ContentType="application/vnd.openxmlformats-officedocument.wordprocessingml.header+xml"/>
  <Override PartName="/word/footer94.xml" ContentType="application/vnd.openxmlformats-officedocument.wordprocessingml.footer+xml"/>
  <Override PartName="/word/header95.xml" ContentType="application/vnd.openxmlformats-officedocument.wordprocessingml.header+xml"/>
  <Override PartName="/word/footer95.xml" ContentType="application/vnd.openxmlformats-officedocument.wordprocessingml.footer+xml"/>
  <Override PartName="/word/header96.xml" ContentType="application/vnd.openxmlformats-officedocument.wordprocessingml.header+xml"/>
  <Override PartName="/word/footer96.xml" ContentType="application/vnd.openxmlformats-officedocument.wordprocessingml.footer+xml"/>
  <Override PartName="/word/header97.xml" ContentType="application/vnd.openxmlformats-officedocument.wordprocessingml.header+xml"/>
  <Override PartName="/word/footer97.xml" ContentType="application/vnd.openxmlformats-officedocument.wordprocessingml.footer+xml"/>
  <Override PartName="/word/header98.xml" ContentType="application/vnd.openxmlformats-officedocument.wordprocessingml.header+xml"/>
  <Override PartName="/word/footer98.xml" ContentType="application/vnd.openxmlformats-officedocument.wordprocessingml.footer+xml"/>
  <Override PartName="/word/header99.xml" ContentType="application/vnd.openxmlformats-officedocument.wordprocessingml.header+xml"/>
  <Override PartName="/word/footer99.xml" ContentType="application/vnd.openxmlformats-officedocument.wordprocessingml.footer+xml"/>
  <Override PartName="/word/header100.xml" ContentType="application/vnd.openxmlformats-officedocument.wordprocessingml.header+xml"/>
  <Override PartName="/word/footer100.xml" ContentType="application/vnd.openxmlformats-officedocument.wordprocessingml.footer+xml"/>
  <Override PartName="/word/header101.xml" ContentType="application/vnd.openxmlformats-officedocument.wordprocessingml.header+xml"/>
  <Override PartName="/word/footer101.xml" ContentType="application/vnd.openxmlformats-officedocument.wordprocessingml.footer+xml"/>
  <Override PartName="/word/header102.xml" ContentType="application/vnd.openxmlformats-officedocument.wordprocessingml.header+xml"/>
  <Override PartName="/word/footer102.xml" ContentType="application/vnd.openxmlformats-officedocument.wordprocessingml.footer+xml"/>
  <Override PartName="/word/header103.xml" ContentType="application/vnd.openxmlformats-officedocument.wordprocessingml.header+xml"/>
  <Override PartName="/word/footer103.xml" ContentType="application/vnd.openxmlformats-officedocument.wordprocessingml.footer+xml"/>
  <Override PartName="/word/header104.xml" ContentType="application/vnd.openxmlformats-officedocument.wordprocessingml.header+xml"/>
  <Override PartName="/word/footer104.xml" ContentType="application/vnd.openxmlformats-officedocument.wordprocessingml.footer+xml"/>
  <Override PartName="/word/header105.xml" ContentType="application/vnd.openxmlformats-officedocument.wordprocessingml.header+xml"/>
  <Override PartName="/word/footer105.xml" ContentType="application/vnd.openxmlformats-officedocument.wordprocessingml.footer+xml"/>
  <Override PartName="/word/header106.xml" ContentType="application/vnd.openxmlformats-officedocument.wordprocessingml.header+xml"/>
  <Override PartName="/word/footer106.xml" ContentType="application/vnd.openxmlformats-officedocument.wordprocessingml.footer+xml"/>
  <Override PartName="/word/header107.xml" ContentType="application/vnd.openxmlformats-officedocument.wordprocessingml.header+xml"/>
  <Override PartName="/word/footer107.xml" ContentType="application/vnd.openxmlformats-officedocument.wordprocessingml.footer+xml"/>
  <Override PartName="/word/header108.xml" ContentType="application/vnd.openxmlformats-officedocument.wordprocessingml.header+xml"/>
  <Override PartName="/word/footer108.xml" ContentType="application/vnd.openxmlformats-officedocument.wordprocessingml.footer+xml"/>
  <Override PartName="/word/header109.xml" ContentType="application/vnd.openxmlformats-officedocument.wordprocessingml.header+xml"/>
  <Override PartName="/word/footer109.xml" ContentType="application/vnd.openxmlformats-officedocument.wordprocessingml.footer+xml"/>
  <Override PartName="/word/header110.xml" ContentType="application/vnd.openxmlformats-officedocument.wordprocessingml.header+xml"/>
  <Override PartName="/word/footer110.xml" ContentType="application/vnd.openxmlformats-officedocument.wordprocessingml.footer+xml"/>
  <Override PartName="/word/header111.xml" ContentType="application/vnd.openxmlformats-officedocument.wordprocessingml.header+xml"/>
  <Override PartName="/word/footer111.xml" ContentType="application/vnd.openxmlformats-officedocument.wordprocessingml.footer+xml"/>
  <Override PartName="/word/header112.xml" ContentType="application/vnd.openxmlformats-officedocument.wordprocessingml.header+xml"/>
  <Override PartName="/word/footer112.xml" ContentType="application/vnd.openxmlformats-officedocument.wordprocessingml.footer+xml"/>
  <Override PartName="/word/header113.xml" ContentType="application/vnd.openxmlformats-officedocument.wordprocessingml.header+xml"/>
  <Override PartName="/word/footer113.xml" ContentType="application/vnd.openxmlformats-officedocument.wordprocessingml.footer+xml"/>
  <Override PartName="/word/header114.xml" ContentType="application/vnd.openxmlformats-officedocument.wordprocessingml.header+xml"/>
  <Override PartName="/word/footer114.xml" ContentType="application/vnd.openxmlformats-officedocument.wordprocessingml.footer+xml"/>
  <Override PartName="/word/header115.xml" ContentType="application/vnd.openxmlformats-officedocument.wordprocessingml.header+xml"/>
  <Override PartName="/word/footer115.xml" ContentType="application/vnd.openxmlformats-officedocument.wordprocessingml.footer+xml"/>
  <Override PartName="/word/header116.xml" ContentType="application/vnd.openxmlformats-officedocument.wordprocessingml.header+xml"/>
  <Override PartName="/word/footer116.xml" ContentType="application/vnd.openxmlformats-officedocument.wordprocessingml.footer+xml"/>
  <Override PartName="/word/header117.xml" ContentType="application/vnd.openxmlformats-officedocument.wordprocessingml.header+xml"/>
  <Override PartName="/word/footer117.xml" ContentType="application/vnd.openxmlformats-officedocument.wordprocessingml.footer+xml"/>
  <Override PartName="/word/header118.xml" ContentType="application/vnd.openxmlformats-officedocument.wordprocessingml.header+xml"/>
  <Override PartName="/word/footer118.xml" ContentType="application/vnd.openxmlformats-officedocument.wordprocessingml.footer+xml"/>
  <Override PartName="/word/header119.xml" ContentType="application/vnd.openxmlformats-officedocument.wordprocessingml.header+xml"/>
  <Override PartName="/word/footer11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1DE74B5" w14:textId="77777777" w:rsidR="0010369C" w:rsidRDefault="008E43AE">
      <w:pPr>
        <w:pStyle w:val="Heading2"/>
        <w:spacing w:before="6" w:line="388" w:lineRule="auto"/>
        <w:ind w:left="2132" w:right="2086"/>
      </w:pPr>
      <w:r>
        <w:t>Before</w:t>
      </w:r>
      <w:r>
        <w:rPr>
          <w:spacing w:val="-9"/>
        </w:rPr>
        <w:t xml:space="preserve"> </w:t>
      </w:r>
      <w:r>
        <w:t>the</w:t>
      </w:r>
      <w:r>
        <w:rPr>
          <w:spacing w:val="-8"/>
        </w:rPr>
        <w:t xml:space="preserve"> </w:t>
      </w:r>
      <w:r>
        <w:t>World</w:t>
      </w:r>
      <w:r>
        <w:rPr>
          <w:spacing w:val="-8"/>
        </w:rPr>
        <w:t xml:space="preserve"> </w:t>
      </w:r>
      <w:r>
        <w:t>Trade</w:t>
      </w:r>
      <w:r>
        <w:rPr>
          <w:spacing w:val="-8"/>
        </w:rPr>
        <w:t xml:space="preserve"> </w:t>
      </w:r>
      <w:r>
        <w:t>Organization Panel Proceedings</w:t>
      </w:r>
    </w:p>
    <w:p w14:paraId="51DE74B6" w14:textId="77777777" w:rsidR="0010369C" w:rsidRDefault="0010369C">
      <w:pPr>
        <w:pStyle w:val="BodyText"/>
        <w:rPr>
          <w:b/>
          <w:sz w:val="32"/>
        </w:rPr>
      </w:pPr>
    </w:p>
    <w:p w14:paraId="51DE74B7" w14:textId="77777777" w:rsidR="0010369C" w:rsidRDefault="0010369C">
      <w:pPr>
        <w:pStyle w:val="BodyText"/>
        <w:rPr>
          <w:b/>
          <w:sz w:val="32"/>
        </w:rPr>
      </w:pPr>
    </w:p>
    <w:p w14:paraId="51DE74B8" w14:textId="77777777" w:rsidR="0010369C" w:rsidRDefault="0010369C">
      <w:pPr>
        <w:pStyle w:val="BodyText"/>
        <w:rPr>
          <w:b/>
          <w:sz w:val="32"/>
        </w:rPr>
      </w:pPr>
    </w:p>
    <w:p w14:paraId="51DE74B9" w14:textId="77777777" w:rsidR="0010369C" w:rsidRDefault="0010369C">
      <w:pPr>
        <w:pStyle w:val="BodyText"/>
        <w:rPr>
          <w:b/>
          <w:sz w:val="32"/>
        </w:rPr>
      </w:pPr>
    </w:p>
    <w:p w14:paraId="51DE74BA" w14:textId="77777777" w:rsidR="0010369C" w:rsidRDefault="0010369C">
      <w:pPr>
        <w:pStyle w:val="BodyText"/>
        <w:rPr>
          <w:b/>
          <w:sz w:val="32"/>
        </w:rPr>
      </w:pPr>
    </w:p>
    <w:p w14:paraId="51DE74BB" w14:textId="77777777" w:rsidR="0010369C" w:rsidRDefault="0010369C">
      <w:pPr>
        <w:pStyle w:val="BodyText"/>
        <w:rPr>
          <w:b/>
          <w:sz w:val="32"/>
        </w:rPr>
      </w:pPr>
    </w:p>
    <w:p w14:paraId="51DE74BC" w14:textId="77777777" w:rsidR="0010369C" w:rsidRDefault="0010369C">
      <w:pPr>
        <w:pStyle w:val="BodyText"/>
        <w:rPr>
          <w:b/>
          <w:sz w:val="32"/>
        </w:rPr>
      </w:pPr>
    </w:p>
    <w:p w14:paraId="51DE74BD" w14:textId="77777777" w:rsidR="0010369C" w:rsidRDefault="0010369C">
      <w:pPr>
        <w:pStyle w:val="BodyText"/>
        <w:spacing w:before="11"/>
        <w:rPr>
          <w:b/>
          <w:sz w:val="29"/>
        </w:rPr>
      </w:pPr>
    </w:p>
    <w:p w14:paraId="51DE74BE" w14:textId="77777777" w:rsidR="0010369C" w:rsidRDefault="008E43AE">
      <w:pPr>
        <w:ind w:left="1007" w:right="963"/>
        <w:jc w:val="center"/>
        <w:rPr>
          <w:b/>
          <w:sz w:val="32"/>
        </w:rPr>
      </w:pPr>
      <w:r>
        <w:rPr>
          <w:b/>
          <w:sz w:val="40"/>
        </w:rPr>
        <w:t>C</w:t>
      </w:r>
      <w:r>
        <w:rPr>
          <w:b/>
          <w:sz w:val="32"/>
        </w:rPr>
        <w:t>HINA</w:t>
      </w:r>
      <w:r>
        <w:rPr>
          <w:b/>
          <w:spacing w:val="-8"/>
          <w:sz w:val="32"/>
        </w:rPr>
        <w:t xml:space="preserve"> </w:t>
      </w:r>
      <w:r>
        <w:rPr>
          <w:b/>
          <w:sz w:val="40"/>
        </w:rPr>
        <w:t>–</w:t>
      </w:r>
      <w:r>
        <w:rPr>
          <w:b/>
          <w:spacing w:val="-23"/>
          <w:sz w:val="40"/>
        </w:rPr>
        <w:t xml:space="preserve"> </w:t>
      </w:r>
      <w:r>
        <w:rPr>
          <w:b/>
          <w:sz w:val="40"/>
        </w:rPr>
        <w:t>A</w:t>
      </w:r>
      <w:r>
        <w:rPr>
          <w:b/>
          <w:sz w:val="32"/>
        </w:rPr>
        <w:t>NTI</w:t>
      </w:r>
      <w:r>
        <w:rPr>
          <w:b/>
          <w:sz w:val="40"/>
        </w:rPr>
        <w:t>‐D</w:t>
      </w:r>
      <w:r>
        <w:rPr>
          <w:b/>
          <w:sz w:val="32"/>
        </w:rPr>
        <w:t>UMPING</w:t>
      </w:r>
      <w:r>
        <w:rPr>
          <w:b/>
          <w:spacing w:val="-7"/>
          <w:sz w:val="32"/>
        </w:rPr>
        <w:t xml:space="preserve"> </w:t>
      </w:r>
      <w:r>
        <w:rPr>
          <w:b/>
          <w:sz w:val="32"/>
        </w:rPr>
        <w:t>AND</w:t>
      </w:r>
      <w:r>
        <w:rPr>
          <w:b/>
          <w:spacing w:val="-7"/>
          <w:sz w:val="32"/>
        </w:rPr>
        <w:t xml:space="preserve"> </w:t>
      </w:r>
      <w:r>
        <w:rPr>
          <w:b/>
          <w:sz w:val="40"/>
        </w:rPr>
        <w:t>C</w:t>
      </w:r>
      <w:r>
        <w:rPr>
          <w:b/>
          <w:sz w:val="32"/>
        </w:rPr>
        <w:t>OUNTERVAILING</w:t>
      </w:r>
      <w:r>
        <w:rPr>
          <w:b/>
          <w:spacing w:val="-7"/>
          <w:sz w:val="32"/>
        </w:rPr>
        <w:t xml:space="preserve"> </w:t>
      </w:r>
      <w:r>
        <w:rPr>
          <w:b/>
          <w:sz w:val="40"/>
        </w:rPr>
        <w:t>D</w:t>
      </w:r>
      <w:r>
        <w:rPr>
          <w:b/>
          <w:sz w:val="32"/>
        </w:rPr>
        <w:t xml:space="preserve">UTY </w:t>
      </w:r>
      <w:r>
        <w:rPr>
          <w:b/>
          <w:sz w:val="40"/>
        </w:rPr>
        <w:t>M</w:t>
      </w:r>
      <w:r>
        <w:rPr>
          <w:b/>
          <w:sz w:val="32"/>
        </w:rPr>
        <w:t xml:space="preserve">EASURES ON </w:t>
      </w:r>
      <w:r>
        <w:rPr>
          <w:b/>
          <w:sz w:val="40"/>
        </w:rPr>
        <w:t>W</w:t>
      </w:r>
      <w:r>
        <w:rPr>
          <w:b/>
          <w:sz w:val="32"/>
        </w:rPr>
        <w:t xml:space="preserve">INE </w:t>
      </w:r>
      <w:r>
        <w:rPr>
          <w:b/>
          <w:sz w:val="40"/>
        </w:rPr>
        <w:t>F</w:t>
      </w:r>
      <w:r>
        <w:rPr>
          <w:b/>
          <w:sz w:val="32"/>
        </w:rPr>
        <w:t xml:space="preserve">ROM </w:t>
      </w:r>
      <w:r>
        <w:rPr>
          <w:b/>
          <w:sz w:val="40"/>
        </w:rPr>
        <w:t>A</w:t>
      </w:r>
      <w:r>
        <w:rPr>
          <w:b/>
          <w:sz w:val="32"/>
        </w:rPr>
        <w:t>USTRALIA</w:t>
      </w:r>
    </w:p>
    <w:p w14:paraId="51DE74BF" w14:textId="77777777" w:rsidR="0010369C" w:rsidRDefault="008E43AE">
      <w:pPr>
        <w:pStyle w:val="BodyText"/>
        <w:ind w:left="2129" w:right="2089"/>
        <w:jc w:val="center"/>
      </w:pPr>
      <w:r>
        <w:rPr>
          <w:spacing w:val="-2"/>
        </w:rPr>
        <w:t>(DS602)</w:t>
      </w:r>
    </w:p>
    <w:p w14:paraId="51DE74C0" w14:textId="77777777" w:rsidR="0010369C" w:rsidRDefault="0010369C">
      <w:pPr>
        <w:pStyle w:val="BodyText"/>
      </w:pPr>
    </w:p>
    <w:p w14:paraId="51DE74C1" w14:textId="77777777" w:rsidR="0010369C" w:rsidRDefault="0010369C">
      <w:pPr>
        <w:pStyle w:val="BodyText"/>
      </w:pPr>
    </w:p>
    <w:p w14:paraId="51DE74C2" w14:textId="77777777" w:rsidR="0010369C" w:rsidRDefault="0010369C">
      <w:pPr>
        <w:pStyle w:val="BodyText"/>
      </w:pPr>
    </w:p>
    <w:p w14:paraId="51DE74C3" w14:textId="77777777" w:rsidR="0010369C" w:rsidRDefault="0010369C">
      <w:pPr>
        <w:pStyle w:val="BodyText"/>
      </w:pPr>
    </w:p>
    <w:p w14:paraId="51DE74C4" w14:textId="77777777" w:rsidR="0010369C" w:rsidRDefault="0010369C">
      <w:pPr>
        <w:pStyle w:val="BodyText"/>
      </w:pPr>
    </w:p>
    <w:p w14:paraId="51DE74C5" w14:textId="77777777" w:rsidR="0010369C" w:rsidRDefault="0010369C">
      <w:pPr>
        <w:pStyle w:val="BodyText"/>
      </w:pPr>
    </w:p>
    <w:p w14:paraId="51DE74C6" w14:textId="77777777" w:rsidR="0010369C" w:rsidRDefault="0010369C">
      <w:pPr>
        <w:pStyle w:val="BodyText"/>
      </w:pPr>
    </w:p>
    <w:p w14:paraId="51DE74C7" w14:textId="77777777" w:rsidR="0010369C" w:rsidRDefault="0010369C">
      <w:pPr>
        <w:pStyle w:val="BodyText"/>
        <w:spacing w:before="8"/>
        <w:rPr>
          <w:sz w:val="35"/>
        </w:rPr>
      </w:pPr>
    </w:p>
    <w:p w14:paraId="51DE74C8" w14:textId="77777777" w:rsidR="0010369C" w:rsidRDefault="008E43AE">
      <w:pPr>
        <w:ind w:left="2132" w:right="2089"/>
        <w:jc w:val="center"/>
        <w:rPr>
          <w:b/>
          <w:sz w:val="29"/>
        </w:rPr>
      </w:pPr>
      <w:r>
        <w:rPr>
          <w:b/>
          <w:sz w:val="36"/>
        </w:rPr>
        <w:t>A</w:t>
      </w:r>
      <w:r>
        <w:rPr>
          <w:b/>
          <w:sz w:val="29"/>
        </w:rPr>
        <w:t>USTRALIA</w:t>
      </w:r>
      <w:r>
        <w:rPr>
          <w:b/>
          <w:sz w:val="36"/>
        </w:rPr>
        <w:t>'</w:t>
      </w:r>
      <w:r>
        <w:rPr>
          <w:b/>
          <w:sz w:val="29"/>
        </w:rPr>
        <w:t>S</w:t>
      </w:r>
      <w:r>
        <w:rPr>
          <w:b/>
          <w:spacing w:val="-6"/>
          <w:sz w:val="29"/>
        </w:rPr>
        <w:t xml:space="preserve"> </w:t>
      </w:r>
      <w:r>
        <w:rPr>
          <w:b/>
          <w:sz w:val="36"/>
        </w:rPr>
        <w:t>F</w:t>
      </w:r>
      <w:r>
        <w:rPr>
          <w:b/>
          <w:sz w:val="29"/>
        </w:rPr>
        <w:t>IRST</w:t>
      </w:r>
      <w:r>
        <w:rPr>
          <w:b/>
          <w:spacing w:val="-5"/>
          <w:sz w:val="29"/>
        </w:rPr>
        <w:t xml:space="preserve"> </w:t>
      </w:r>
      <w:r>
        <w:rPr>
          <w:b/>
          <w:sz w:val="36"/>
        </w:rPr>
        <w:t>W</w:t>
      </w:r>
      <w:r>
        <w:rPr>
          <w:b/>
          <w:sz w:val="29"/>
        </w:rPr>
        <w:t>RITTEN</w:t>
      </w:r>
      <w:r>
        <w:rPr>
          <w:b/>
          <w:spacing w:val="-5"/>
          <w:sz w:val="29"/>
        </w:rPr>
        <w:t xml:space="preserve"> </w:t>
      </w:r>
      <w:r>
        <w:rPr>
          <w:b/>
          <w:spacing w:val="-2"/>
          <w:sz w:val="36"/>
        </w:rPr>
        <w:t>S</w:t>
      </w:r>
      <w:r>
        <w:rPr>
          <w:b/>
          <w:spacing w:val="-2"/>
          <w:sz w:val="29"/>
        </w:rPr>
        <w:t>UBMISSION</w:t>
      </w:r>
    </w:p>
    <w:p w14:paraId="51DE74C9" w14:textId="77777777" w:rsidR="0010369C" w:rsidRDefault="008E43AE">
      <w:pPr>
        <w:pStyle w:val="BodyText"/>
        <w:spacing w:before="10"/>
        <w:rPr>
          <w:b/>
          <w:sz w:val="7"/>
        </w:rPr>
      </w:pPr>
      <w:r>
        <w:pict w14:anchorId="51DE9CF5">
          <v:shapetype id="_x0000_t202" coordsize="21600,21600" o:spt="202" path="m,l,21600r21600,l21600,xe">
            <v:stroke joinstyle="miter"/>
            <v:path gradientshapeok="t" o:connecttype="rect"/>
          </v:shapetype>
          <v:shape id="docshape1" o:spid="_x0000_s3246" type="#_x0000_t202" style="position:absolute;margin-left:81.9pt;margin-top:6.4pt;width:6in;height:34.8pt;z-index:-251267584;mso-wrap-distance-left:0;mso-wrap-distance-right:0;mso-position-horizontal-relative:page" filled="f">
            <v:textbox inset="0,0,0,0">
              <w:txbxContent>
                <w:p w14:paraId="51DEAC0E" w14:textId="77777777" w:rsidR="0010369C" w:rsidRDefault="008E43AE">
                  <w:pPr>
                    <w:spacing w:before="71"/>
                    <w:ind w:left="938"/>
                    <w:rPr>
                      <w:b/>
                      <w:sz w:val="36"/>
                    </w:rPr>
                  </w:pPr>
                  <w:r>
                    <w:rPr>
                      <w:b/>
                      <w:sz w:val="36"/>
                    </w:rPr>
                    <w:t>Business</w:t>
                  </w:r>
                  <w:r>
                    <w:rPr>
                      <w:b/>
                      <w:spacing w:val="-5"/>
                      <w:sz w:val="36"/>
                    </w:rPr>
                    <w:t xml:space="preserve"> </w:t>
                  </w:r>
                  <w:r>
                    <w:rPr>
                      <w:b/>
                      <w:sz w:val="36"/>
                    </w:rPr>
                    <w:t>Confidential</w:t>
                  </w:r>
                  <w:r>
                    <w:rPr>
                      <w:b/>
                      <w:spacing w:val="-3"/>
                      <w:sz w:val="36"/>
                    </w:rPr>
                    <w:t xml:space="preserve"> </w:t>
                  </w:r>
                  <w:r>
                    <w:rPr>
                      <w:b/>
                      <w:sz w:val="36"/>
                    </w:rPr>
                    <w:t>Information</w:t>
                  </w:r>
                  <w:r>
                    <w:rPr>
                      <w:b/>
                      <w:spacing w:val="-5"/>
                      <w:sz w:val="36"/>
                    </w:rPr>
                    <w:t xml:space="preserve"> </w:t>
                  </w:r>
                  <w:r>
                    <w:rPr>
                      <w:b/>
                      <w:spacing w:val="-2"/>
                      <w:sz w:val="36"/>
                    </w:rPr>
                    <w:t>REDACTED</w:t>
                  </w:r>
                </w:p>
              </w:txbxContent>
            </v:textbox>
            <w10:wrap type="topAndBottom" anchorx="page"/>
          </v:shape>
        </w:pict>
      </w:r>
    </w:p>
    <w:p w14:paraId="51DE74CA" w14:textId="77777777" w:rsidR="0010369C" w:rsidRDefault="0010369C">
      <w:pPr>
        <w:pStyle w:val="BodyText"/>
        <w:rPr>
          <w:b/>
          <w:sz w:val="20"/>
        </w:rPr>
      </w:pPr>
    </w:p>
    <w:p w14:paraId="51DE74CB" w14:textId="77777777" w:rsidR="0010369C" w:rsidRDefault="0010369C">
      <w:pPr>
        <w:pStyle w:val="BodyText"/>
        <w:rPr>
          <w:b/>
          <w:sz w:val="20"/>
        </w:rPr>
      </w:pPr>
    </w:p>
    <w:p w14:paraId="51DE74CC" w14:textId="77777777" w:rsidR="0010369C" w:rsidRDefault="0010369C">
      <w:pPr>
        <w:pStyle w:val="BodyText"/>
        <w:rPr>
          <w:b/>
          <w:sz w:val="20"/>
        </w:rPr>
      </w:pPr>
    </w:p>
    <w:p w14:paraId="51DE74CD" w14:textId="77777777" w:rsidR="0010369C" w:rsidRDefault="0010369C">
      <w:pPr>
        <w:pStyle w:val="BodyText"/>
        <w:rPr>
          <w:b/>
          <w:sz w:val="20"/>
        </w:rPr>
      </w:pPr>
    </w:p>
    <w:p w14:paraId="51DE74CE" w14:textId="77777777" w:rsidR="0010369C" w:rsidRDefault="0010369C">
      <w:pPr>
        <w:pStyle w:val="BodyText"/>
        <w:rPr>
          <w:b/>
          <w:sz w:val="20"/>
        </w:rPr>
      </w:pPr>
    </w:p>
    <w:p w14:paraId="51DE74CF" w14:textId="77777777" w:rsidR="0010369C" w:rsidRDefault="0010369C">
      <w:pPr>
        <w:pStyle w:val="BodyText"/>
        <w:rPr>
          <w:b/>
          <w:sz w:val="20"/>
        </w:rPr>
      </w:pPr>
    </w:p>
    <w:p w14:paraId="51DE74D0" w14:textId="77777777" w:rsidR="0010369C" w:rsidRDefault="0010369C">
      <w:pPr>
        <w:pStyle w:val="BodyText"/>
        <w:rPr>
          <w:b/>
          <w:sz w:val="20"/>
        </w:rPr>
      </w:pPr>
    </w:p>
    <w:p w14:paraId="51DE74D1" w14:textId="77777777" w:rsidR="0010369C" w:rsidRDefault="0010369C">
      <w:pPr>
        <w:pStyle w:val="BodyText"/>
        <w:rPr>
          <w:b/>
          <w:sz w:val="20"/>
        </w:rPr>
      </w:pPr>
    </w:p>
    <w:p w14:paraId="51DE74D2" w14:textId="77777777" w:rsidR="0010369C" w:rsidRDefault="0010369C">
      <w:pPr>
        <w:pStyle w:val="BodyText"/>
        <w:rPr>
          <w:b/>
          <w:sz w:val="20"/>
        </w:rPr>
      </w:pPr>
    </w:p>
    <w:p w14:paraId="51DE74D3" w14:textId="77777777" w:rsidR="0010369C" w:rsidRDefault="0010369C">
      <w:pPr>
        <w:pStyle w:val="BodyText"/>
        <w:rPr>
          <w:b/>
          <w:sz w:val="20"/>
        </w:rPr>
      </w:pPr>
    </w:p>
    <w:p w14:paraId="51DE74D4" w14:textId="77777777" w:rsidR="0010369C" w:rsidRDefault="0010369C">
      <w:pPr>
        <w:pStyle w:val="BodyText"/>
        <w:rPr>
          <w:b/>
          <w:sz w:val="20"/>
        </w:rPr>
      </w:pPr>
    </w:p>
    <w:p w14:paraId="51DE74D5" w14:textId="77777777" w:rsidR="0010369C" w:rsidRDefault="0010369C">
      <w:pPr>
        <w:pStyle w:val="BodyText"/>
        <w:rPr>
          <w:b/>
          <w:sz w:val="20"/>
        </w:rPr>
      </w:pPr>
    </w:p>
    <w:p w14:paraId="51DE74D6" w14:textId="77777777" w:rsidR="0010369C" w:rsidRDefault="0010369C">
      <w:pPr>
        <w:pStyle w:val="BodyText"/>
        <w:spacing w:before="7"/>
        <w:rPr>
          <w:b/>
          <w:sz w:val="20"/>
        </w:rPr>
      </w:pPr>
    </w:p>
    <w:p w14:paraId="51DE74D7" w14:textId="77777777" w:rsidR="0010369C" w:rsidRDefault="008E43AE">
      <w:pPr>
        <w:spacing w:before="36"/>
        <w:ind w:left="2130" w:right="2089"/>
        <w:jc w:val="center"/>
        <w:rPr>
          <w:sz w:val="32"/>
        </w:rPr>
      </w:pPr>
      <w:r>
        <w:rPr>
          <w:sz w:val="32"/>
        </w:rPr>
        <w:t>29</w:t>
      </w:r>
      <w:r>
        <w:rPr>
          <w:spacing w:val="-2"/>
          <w:sz w:val="32"/>
        </w:rPr>
        <w:t xml:space="preserve"> </w:t>
      </w:r>
      <w:r>
        <w:rPr>
          <w:sz w:val="32"/>
        </w:rPr>
        <w:t xml:space="preserve">April </w:t>
      </w:r>
      <w:r>
        <w:rPr>
          <w:spacing w:val="-4"/>
          <w:sz w:val="32"/>
        </w:rPr>
        <w:t>2022</w:t>
      </w:r>
    </w:p>
    <w:p w14:paraId="51DE74D8" w14:textId="77777777" w:rsidR="0010369C" w:rsidRDefault="0010369C">
      <w:pPr>
        <w:jc w:val="center"/>
        <w:rPr>
          <w:sz w:val="32"/>
        </w:rPr>
        <w:sectPr w:rsidR="0010369C">
          <w:type w:val="continuous"/>
          <w:pgSz w:w="11910" w:h="16840"/>
          <w:pgMar w:top="1460" w:right="1220" w:bottom="280" w:left="1180" w:header="720" w:footer="720" w:gutter="0"/>
          <w:cols w:space="720"/>
        </w:sectPr>
      </w:pPr>
    </w:p>
    <w:p w14:paraId="51DE74D9" w14:textId="77777777" w:rsidR="0010369C" w:rsidRDefault="008E43AE">
      <w:pPr>
        <w:tabs>
          <w:tab w:val="left" w:pos="6228"/>
        </w:tabs>
        <w:ind w:left="41"/>
        <w:jc w:val="center"/>
        <w:rPr>
          <w:sz w:val="20"/>
        </w:rPr>
      </w:pPr>
      <w:r>
        <w:rPr>
          <w:i/>
          <w:sz w:val="20"/>
        </w:rPr>
        <w:lastRenderedPageBreak/>
        <w:t>China</w:t>
      </w:r>
      <w:r>
        <w:rPr>
          <w:i/>
          <w:spacing w:val="-5"/>
          <w:sz w:val="20"/>
        </w:rPr>
        <w:t xml:space="preserve"> </w:t>
      </w:r>
      <w:r>
        <w:rPr>
          <w:i/>
          <w:sz w:val="20"/>
        </w:rPr>
        <w:t>–</w:t>
      </w:r>
      <w:r>
        <w:rPr>
          <w:i/>
          <w:spacing w:val="-5"/>
          <w:sz w:val="20"/>
        </w:rPr>
        <w:t xml:space="preserve"> </w:t>
      </w:r>
      <w:r>
        <w:rPr>
          <w:i/>
          <w:sz w:val="20"/>
        </w:rPr>
        <w:t>Anti‐Dumping</w:t>
      </w:r>
      <w:r>
        <w:rPr>
          <w:i/>
          <w:spacing w:val="-4"/>
          <w:sz w:val="20"/>
        </w:rPr>
        <w:t xml:space="preserve"> </w:t>
      </w:r>
      <w:r>
        <w:rPr>
          <w:i/>
          <w:sz w:val="20"/>
        </w:rPr>
        <w:t>and</w:t>
      </w:r>
      <w:r>
        <w:rPr>
          <w:i/>
          <w:spacing w:val="-5"/>
          <w:sz w:val="20"/>
        </w:rPr>
        <w:t xml:space="preserve"> </w:t>
      </w:r>
      <w:r>
        <w:rPr>
          <w:i/>
          <w:sz w:val="20"/>
        </w:rPr>
        <w:t>Countervailing</w:t>
      </w:r>
      <w:r>
        <w:rPr>
          <w:i/>
          <w:spacing w:val="-5"/>
          <w:sz w:val="20"/>
        </w:rPr>
        <w:t xml:space="preserve"> </w:t>
      </w:r>
      <w:r>
        <w:rPr>
          <w:i/>
          <w:sz w:val="20"/>
        </w:rPr>
        <w:t>Duty</w:t>
      </w:r>
      <w:r>
        <w:rPr>
          <w:i/>
          <w:spacing w:val="-4"/>
          <w:sz w:val="20"/>
        </w:rPr>
        <w:t xml:space="preserve"> </w:t>
      </w:r>
      <w:r>
        <w:rPr>
          <w:i/>
          <w:spacing w:val="-2"/>
          <w:sz w:val="20"/>
        </w:rPr>
        <w:t>Measures</w:t>
      </w:r>
      <w:r>
        <w:rPr>
          <w:i/>
          <w:sz w:val="20"/>
        </w:rPr>
        <w:tab/>
      </w:r>
      <w:r>
        <w:rPr>
          <w:sz w:val="20"/>
        </w:rPr>
        <w:t>Australia's</w:t>
      </w:r>
      <w:r>
        <w:rPr>
          <w:spacing w:val="-6"/>
          <w:sz w:val="20"/>
        </w:rPr>
        <w:t xml:space="preserve"> </w:t>
      </w:r>
      <w:r>
        <w:rPr>
          <w:sz w:val="20"/>
        </w:rPr>
        <w:t>First</w:t>
      </w:r>
      <w:r>
        <w:rPr>
          <w:spacing w:val="-2"/>
          <w:sz w:val="20"/>
        </w:rPr>
        <w:t xml:space="preserve"> </w:t>
      </w:r>
      <w:r>
        <w:rPr>
          <w:sz w:val="20"/>
        </w:rPr>
        <w:t>Written</w:t>
      </w:r>
      <w:r>
        <w:rPr>
          <w:spacing w:val="-2"/>
          <w:sz w:val="20"/>
        </w:rPr>
        <w:t xml:space="preserve"> Submission</w:t>
      </w:r>
    </w:p>
    <w:p w14:paraId="51DE74DA" w14:textId="77777777" w:rsidR="0010369C" w:rsidRDefault="008E43AE">
      <w:pPr>
        <w:tabs>
          <w:tab w:val="left" w:pos="8034"/>
        </w:tabs>
        <w:spacing w:before="1"/>
        <w:ind w:left="45"/>
        <w:jc w:val="center"/>
        <w:rPr>
          <w:sz w:val="20"/>
        </w:rPr>
      </w:pPr>
      <w:r>
        <w:rPr>
          <w:i/>
          <w:sz w:val="20"/>
        </w:rPr>
        <w:t>on</w:t>
      </w:r>
      <w:r>
        <w:rPr>
          <w:i/>
          <w:spacing w:val="-1"/>
          <w:sz w:val="20"/>
        </w:rPr>
        <w:t xml:space="preserve"> </w:t>
      </w:r>
      <w:r>
        <w:rPr>
          <w:i/>
          <w:sz w:val="20"/>
        </w:rPr>
        <w:t>Wine</w:t>
      </w:r>
      <w:r>
        <w:rPr>
          <w:i/>
          <w:spacing w:val="-1"/>
          <w:sz w:val="20"/>
        </w:rPr>
        <w:t xml:space="preserve"> </w:t>
      </w:r>
      <w:r>
        <w:rPr>
          <w:i/>
          <w:sz w:val="20"/>
        </w:rPr>
        <w:t>from</w:t>
      </w:r>
      <w:r>
        <w:rPr>
          <w:i/>
          <w:spacing w:val="-3"/>
          <w:sz w:val="20"/>
        </w:rPr>
        <w:t xml:space="preserve"> </w:t>
      </w:r>
      <w:r>
        <w:rPr>
          <w:i/>
          <w:sz w:val="20"/>
        </w:rPr>
        <w:t>Australia</w:t>
      </w:r>
      <w:r>
        <w:rPr>
          <w:i/>
          <w:spacing w:val="-1"/>
          <w:sz w:val="20"/>
        </w:rPr>
        <w:t xml:space="preserve"> </w:t>
      </w:r>
      <w:r>
        <w:rPr>
          <w:spacing w:val="-2"/>
          <w:sz w:val="20"/>
        </w:rPr>
        <w:t>(DS602)</w:t>
      </w:r>
      <w:r>
        <w:rPr>
          <w:sz w:val="20"/>
        </w:rPr>
        <w:tab/>
        <w:t>29</w:t>
      </w:r>
      <w:r>
        <w:rPr>
          <w:spacing w:val="-1"/>
          <w:sz w:val="20"/>
        </w:rPr>
        <w:t xml:space="preserve"> </w:t>
      </w:r>
      <w:r>
        <w:rPr>
          <w:sz w:val="20"/>
        </w:rPr>
        <w:t>April</w:t>
      </w:r>
      <w:r>
        <w:rPr>
          <w:spacing w:val="-2"/>
          <w:sz w:val="20"/>
        </w:rPr>
        <w:t xml:space="preserve"> </w:t>
      </w:r>
      <w:r>
        <w:rPr>
          <w:spacing w:val="-4"/>
          <w:sz w:val="20"/>
        </w:rPr>
        <w:t>2022</w:t>
      </w:r>
    </w:p>
    <w:p w14:paraId="51DE74DB" w14:textId="77777777" w:rsidR="0010369C" w:rsidRDefault="008E43AE">
      <w:pPr>
        <w:pStyle w:val="Heading4"/>
        <w:spacing w:before="58"/>
        <w:ind w:left="2129" w:right="2089" w:firstLine="0"/>
        <w:jc w:val="center"/>
      </w:pPr>
      <w:r>
        <w:t>TABLE</w:t>
      </w:r>
      <w:r>
        <w:rPr>
          <w:spacing w:val="-3"/>
        </w:rPr>
        <w:t xml:space="preserve"> </w:t>
      </w:r>
      <w:r>
        <w:t xml:space="preserve">OF </w:t>
      </w:r>
      <w:r>
        <w:rPr>
          <w:spacing w:val="-2"/>
        </w:rPr>
        <w:t>CONTENTS</w:t>
      </w:r>
    </w:p>
    <w:p w14:paraId="51DE74DC" w14:textId="77777777" w:rsidR="0010369C" w:rsidRDefault="0010369C">
      <w:pPr>
        <w:jc w:val="center"/>
        <w:sectPr w:rsidR="0010369C">
          <w:headerReference w:type="default" r:id="rId7"/>
          <w:footerReference w:type="default" r:id="rId8"/>
          <w:pgSz w:w="11910" w:h="16840"/>
          <w:pgMar w:top="880" w:right="1220" w:bottom="1569" w:left="1180" w:header="569" w:footer="788" w:gutter="0"/>
          <w:pgNumType w:start="2"/>
          <w:cols w:space="720"/>
        </w:sectPr>
      </w:pPr>
    </w:p>
    <w:sdt>
      <w:sdtPr>
        <w:rPr>
          <w:b w:val="0"/>
          <w:bCs w:val="0"/>
          <w:u w:val="single" w:color="000000"/>
        </w:rPr>
        <w:id w:val="515053825"/>
        <w:docPartObj>
          <w:docPartGallery w:val="Table of Contents"/>
          <w:docPartUnique/>
        </w:docPartObj>
      </w:sdtPr>
      <w:sdtEndPr/>
      <w:sdtContent>
        <w:p w14:paraId="51DE74DD" w14:textId="77777777" w:rsidR="0010369C" w:rsidRDefault="008E43AE">
          <w:pPr>
            <w:pStyle w:val="TOC2"/>
            <w:tabs>
              <w:tab w:val="right" w:leader="dot" w:pos="9297"/>
            </w:tabs>
          </w:pPr>
          <w:r>
            <w:t>LIST</w:t>
          </w:r>
          <w:r>
            <w:rPr>
              <w:spacing w:val="-2"/>
            </w:rPr>
            <w:t xml:space="preserve"> </w:t>
          </w:r>
          <w:r>
            <w:t xml:space="preserve">OF </w:t>
          </w:r>
          <w:r>
            <w:rPr>
              <w:spacing w:val="-2"/>
            </w:rPr>
            <w:t>FIGURES</w:t>
          </w:r>
          <w:r>
            <w:rPr>
              <w:rFonts w:ascii="Times New Roman"/>
              <w:b w:val="0"/>
            </w:rPr>
            <w:tab/>
          </w:r>
          <w:r>
            <w:rPr>
              <w:spacing w:val="-5"/>
            </w:rPr>
            <w:t>12</w:t>
          </w:r>
        </w:p>
        <w:p w14:paraId="51DE74DE" w14:textId="77777777" w:rsidR="0010369C" w:rsidRDefault="008E43AE">
          <w:pPr>
            <w:pStyle w:val="TOC2"/>
            <w:tabs>
              <w:tab w:val="right" w:leader="dot" w:pos="9297"/>
            </w:tabs>
            <w:spacing w:before="181"/>
          </w:pPr>
          <w:r>
            <w:t>LIST</w:t>
          </w:r>
          <w:r>
            <w:rPr>
              <w:spacing w:val="-2"/>
            </w:rPr>
            <w:t xml:space="preserve"> </w:t>
          </w:r>
          <w:r>
            <w:t xml:space="preserve">OF </w:t>
          </w:r>
          <w:r>
            <w:rPr>
              <w:spacing w:val="-2"/>
            </w:rPr>
            <w:t>TABLES</w:t>
          </w:r>
          <w:r>
            <w:rPr>
              <w:rFonts w:ascii="Times New Roman"/>
              <w:b w:val="0"/>
            </w:rPr>
            <w:tab/>
          </w:r>
          <w:r>
            <w:rPr>
              <w:spacing w:val="-5"/>
            </w:rPr>
            <w:t>12</w:t>
          </w:r>
        </w:p>
        <w:p w14:paraId="51DE74DF" w14:textId="77777777" w:rsidR="0010369C" w:rsidRDefault="008E43AE">
          <w:pPr>
            <w:pStyle w:val="TOC2"/>
            <w:tabs>
              <w:tab w:val="right" w:leader="dot" w:pos="9297"/>
            </w:tabs>
          </w:pPr>
          <w:r>
            <w:t>TABLE</w:t>
          </w:r>
          <w:r>
            <w:rPr>
              <w:spacing w:val="-1"/>
            </w:rPr>
            <w:t xml:space="preserve"> </w:t>
          </w:r>
          <w:r>
            <w:t xml:space="preserve">OF </w:t>
          </w:r>
          <w:r>
            <w:rPr>
              <w:spacing w:val="-2"/>
            </w:rPr>
            <w:t>CASES</w:t>
          </w:r>
          <w:r>
            <w:rPr>
              <w:rFonts w:ascii="Times New Roman"/>
              <w:b w:val="0"/>
            </w:rPr>
            <w:tab/>
          </w:r>
          <w:r>
            <w:rPr>
              <w:spacing w:val="-5"/>
            </w:rPr>
            <w:t>12</w:t>
          </w:r>
        </w:p>
        <w:p w14:paraId="51DE74E0" w14:textId="77777777" w:rsidR="0010369C" w:rsidRDefault="008E43AE">
          <w:pPr>
            <w:pStyle w:val="TOC1"/>
            <w:tabs>
              <w:tab w:val="right" w:leader="dot" w:pos="9090"/>
            </w:tabs>
            <w:spacing w:before="180"/>
            <w:ind w:left="31"/>
            <w:jc w:val="center"/>
          </w:pPr>
          <w:r>
            <w:t>LIST</w:t>
          </w:r>
          <w:r>
            <w:rPr>
              <w:spacing w:val="-4"/>
            </w:rPr>
            <w:t xml:space="preserve"> </w:t>
          </w:r>
          <w:r>
            <w:t>OF</w:t>
          </w:r>
          <w:r>
            <w:rPr>
              <w:spacing w:val="-2"/>
            </w:rPr>
            <w:t xml:space="preserve"> </w:t>
          </w:r>
          <w:r>
            <w:t>ACRONYMS,</w:t>
          </w:r>
          <w:r>
            <w:rPr>
              <w:spacing w:val="-3"/>
            </w:rPr>
            <w:t xml:space="preserve"> </w:t>
          </w:r>
          <w:r>
            <w:t>ABBREVIATIONS</w:t>
          </w:r>
          <w:r>
            <w:rPr>
              <w:spacing w:val="-3"/>
            </w:rPr>
            <w:t xml:space="preserve"> </w:t>
          </w:r>
          <w:r>
            <w:t>AND</w:t>
          </w:r>
          <w:r>
            <w:rPr>
              <w:spacing w:val="-3"/>
            </w:rPr>
            <w:t xml:space="preserve"> </w:t>
          </w:r>
          <w:r>
            <w:t>SHORT</w:t>
          </w:r>
          <w:r>
            <w:rPr>
              <w:spacing w:val="-3"/>
            </w:rPr>
            <w:t xml:space="preserve"> </w:t>
          </w:r>
          <w:r>
            <w:rPr>
              <w:spacing w:val="-2"/>
            </w:rPr>
            <w:t>FORMS</w:t>
          </w:r>
          <w:r>
            <w:rPr>
              <w:rFonts w:ascii="Times New Roman"/>
              <w:b w:val="0"/>
            </w:rPr>
            <w:tab/>
          </w:r>
          <w:r>
            <w:rPr>
              <w:spacing w:val="-5"/>
            </w:rPr>
            <w:t>19</w:t>
          </w:r>
        </w:p>
        <w:p w14:paraId="51DE74E1" w14:textId="77777777" w:rsidR="0010369C" w:rsidRDefault="008E43AE">
          <w:pPr>
            <w:pStyle w:val="TOC2"/>
            <w:tabs>
              <w:tab w:val="right" w:leader="dot" w:pos="9297"/>
            </w:tabs>
          </w:pPr>
          <w:r>
            <w:t>LIST</w:t>
          </w:r>
          <w:r>
            <w:rPr>
              <w:spacing w:val="-2"/>
            </w:rPr>
            <w:t xml:space="preserve"> </w:t>
          </w:r>
          <w:r>
            <w:t xml:space="preserve">OF </w:t>
          </w:r>
          <w:r>
            <w:rPr>
              <w:spacing w:val="-2"/>
              <w:w w:val="95"/>
            </w:rPr>
            <w:t>EXHIBITS</w:t>
          </w:r>
          <w:r>
            <w:rPr>
              <w:rFonts w:ascii="Times New Roman"/>
              <w:b w:val="0"/>
            </w:rPr>
            <w:tab/>
          </w:r>
          <w:r>
            <w:rPr>
              <w:spacing w:val="-5"/>
            </w:rPr>
            <w:t>22</w:t>
          </w:r>
        </w:p>
        <w:p w14:paraId="51DE74E2" w14:textId="77777777" w:rsidR="0010369C" w:rsidRDefault="008E43AE">
          <w:pPr>
            <w:pStyle w:val="TOC2"/>
            <w:numPr>
              <w:ilvl w:val="0"/>
              <w:numId w:val="80"/>
            </w:numPr>
            <w:tabs>
              <w:tab w:val="left" w:pos="1089"/>
              <w:tab w:val="left" w:pos="1090"/>
              <w:tab w:val="right" w:leader="dot" w:pos="9297"/>
            </w:tabs>
            <w:spacing w:before="179"/>
            <w:ind w:hanging="852"/>
          </w:pPr>
          <w:r>
            <w:rPr>
              <w:spacing w:val="-2"/>
            </w:rPr>
            <w:t>INTRODUCTION</w:t>
          </w:r>
          <w:r>
            <w:rPr>
              <w:rFonts w:ascii="Times New Roman"/>
              <w:b w:val="0"/>
            </w:rPr>
            <w:tab/>
          </w:r>
          <w:r>
            <w:rPr>
              <w:spacing w:val="-5"/>
            </w:rPr>
            <w:t>32</w:t>
          </w:r>
        </w:p>
        <w:p w14:paraId="51DE74E3" w14:textId="77777777" w:rsidR="0010369C" w:rsidRDefault="008E43AE">
          <w:pPr>
            <w:pStyle w:val="TOC5"/>
            <w:numPr>
              <w:ilvl w:val="1"/>
              <w:numId w:val="80"/>
            </w:numPr>
            <w:tabs>
              <w:tab w:val="left" w:pos="1513"/>
              <w:tab w:val="left" w:pos="1514"/>
              <w:tab w:val="right" w:leader="dot" w:pos="9297"/>
            </w:tabs>
            <w:ind w:left="1514"/>
            <w:rPr>
              <w:i w:val="0"/>
              <w:sz w:val="24"/>
            </w:rPr>
          </w:pPr>
          <w:r>
            <w:rPr>
              <w:i w:val="0"/>
              <w:spacing w:val="-2"/>
              <w:sz w:val="24"/>
            </w:rPr>
            <w:t>I</w:t>
          </w:r>
          <w:r>
            <w:rPr>
              <w:i w:val="0"/>
              <w:spacing w:val="-2"/>
              <w:sz w:val="19"/>
            </w:rPr>
            <w:t>NTRODUCTION</w:t>
          </w:r>
          <w:r>
            <w:rPr>
              <w:rFonts w:ascii="Times New Roman"/>
              <w:b w:val="0"/>
              <w:i w:val="0"/>
              <w:sz w:val="19"/>
            </w:rPr>
            <w:tab/>
          </w:r>
          <w:r>
            <w:rPr>
              <w:i w:val="0"/>
              <w:spacing w:val="-5"/>
              <w:sz w:val="24"/>
            </w:rPr>
            <w:t>32</w:t>
          </w:r>
        </w:p>
        <w:p w14:paraId="51DE74E4" w14:textId="77777777" w:rsidR="0010369C" w:rsidRDefault="008E43AE">
          <w:pPr>
            <w:pStyle w:val="TOC6"/>
            <w:numPr>
              <w:ilvl w:val="2"/>
              <w:numId w:val="80"/>
            </w:numPr>
            <w:tabs>
              <w:tab w:val="left" w:pos="1939"/>
              <w:tab w:val="left" w:pos="1940"/>
              <w:tab w:val="right" w:leader="dot" w:pos="9297"/>
            </w:tabs>
            <w:ind w:left="1940"/>
          </w:pPr>
          <w:hyperlink w:anchor="_TOC_250026" w:history="1">
            <w:r>
              <w:t>Australian</w:t>
            </w:r>
            <w:r>
              <w:rPr>
                <w:spacing w:val="-7"/>
              </w:rPr>
              <w:t xml:space="preserve"> </w:t>
            </w:r>
            <w:r>
              <w:t>bottled</w:t>
            </w:r>
            <w:r>
              <w:rPr>
                <w:spacing w:val="-6"/>
              </w:rPr>
              <w:t xml:space="preserve"> </w:t>
            </w:r>
            <w:r>
              <w:t>wine</w:t>
            </w:r>
            <w:r>
              <w:rPr>
                <w:spacing w:val="-2"/>
              </w:rPr>
              <w:t xml:space="preserve"> </w:t>
            </w:r>
            <w:r>
              <w:t>markets</w:t>
            </w:r>
            <w:r>
              <w:rPr>
                <w:spacing w:val="-4"/>
              </w:rPr>
              <w:t xml:space="preserve"> </w:t>
            </w:r>
            <w:r>
              <w:t>and</w:t>
            </w:r>
            <w:r>
              <w:rPr>
                <w:spacing w:val="-4"/>
              </w:rPr>
              <w:t xml:space="preserve"> </w:t>
            </w:r>
            <w:r>
              <w:rPr>
                <w:spacing w:val="-2"/>
              </w:rPr>
              <w:t>trade</w:t>
            </w:r>
            <w:r>
              <w:rPr>
                <w:rFonts w:ascii="Times New Roman"/>
                <w:b w:val="0"/>
              </w:rPr>
              <w:tab/>
            </w:r>
            <w:r>
              <w:rPr>
                <w:spacing w:val="-5"/>
              </w:rPr>
              <w:t>32</w:t>
            </w:r>
          </w:hyperlink>
        </w:p>
        <w:p w14:paraId="51DE74E5" w14:textId="77777777" w:rsidR="0010369C" w:rsidRDefault="008E43AE">
          <w:pPr>
            <w:pStyle w:val="TOC6"/>
            <w:numPr>
              <w:ilvl w:val="2"/>
              <w:numId w:val="80"/>
            </w:numPr>
            <w:tabs>
              <w:tab w:val="left" w:pos="1939"/>
              <w:tab w:val="left" w:pos="1940"/>
              <w:tab w:val="right" w:leader="dot" w:pos="9297"/>
            </w:tabs>
            <w:spacing w:before="121"/>
            <w:ind w:left="1940"/>
          </w:pPr>
          <w:hyperlink w:anchor="_TOC_250025" w:history="1">
            <w:r>
              <w:t>MOFCOM's</w:t>
            </w:r>
            <w:r>
              <w:rPr>
                <w:spacing w:val="-5"/>
              </w:rPr>
              <w:t xml:space="preserve"> </w:t>
            </w:r>
            <w:r>
              <w:t>dumping</w:t>
            </w:r>
            <w:r>
              <w:rPr>
                <w:spacing w:val="-4"/>
              </w:rPr>
              <w:t xml:space="preserve"> </w:t>
            </w:r>
            <w:r>
              <w:rPr>
                <w:spacing w:val="-2"/>
                <w:w w:val="95"/>
              </w:rPr>
              <w:t>determination</w:t>
            </w:r>
            <w:r>
              <w:rPr>
                <w:rFonts w:ascii="Times New Roman"/>
                <w:b w:val="0"/>
              </w:rPr>
              <w:tab/>
            </w:r>
            <w:r>
              <w:rPr>
                <w:spacing w:val="-5"/>
              </w:rPr>
              <w:t>33</w:t>
            </w:r>
          </w:hyperlink>
        </w:p>
        <w:p w14:paraId="51DE74E6" w14:textId="77777777" w:rsidR="0010369C" w:rsidRDefault="008E43AE">
          <w:pPr>
            <w:pStyle w:val="TOC6"/>
            <w:numPr>
              <w:ilvl w:val="2"/>
              <w:numId w:val="80"/>
            </w:numPr>
            <w:tabs>
              <w:tab w:val="left" w:pos="1939"/>
              <w:tab w:val="left" w:pos="1940"/>
              <w:tab w:val="right" w:leader="dot" w:pos="9297"/>
            </w:tabs>
            <w:ind w:left="1940"/>
          </w:pPr>
          <w:hyperlink w:anchor="_TOC_250024" w:history="1">
            <w:r>
              <w:t>MOFCOM's</w:t>
            </w:r>
            <w:r>
              <w:rPr>
                <w:spacing w:val="-3"/>
              </w:rPr>
              <w:t xml:space="preserve"> </w:t>
            </w:r>
            <w:r>
              <w:t>determination</w:t>
            </w:r>
            <w:r>
              <w:rPr>
                <w:spacing w:val="-2"/>
              </w:rPr>
              <w:t xml:space="preserve"> </w:t>
            </w:r>
            <w:r>
              <w:t>of</w:t>
            </w:r>
            <w:r>
              <w:rPr>
                <w:spacing w:val="-2"/>
              </w:rPr>
              <w:t xml:space="preserve"> </w:t>
            </w:r>
            <w:r>
              <w:t>the domestic</w:t>
            </w:r>
            <w:r>
              <w:rPr>
                <w:spacing w:val="-1"/>
              </w:rPr>
              <w:t xml:space="preserve"> </w:t>
            </w:r>
            <w:r>
              <w:rPr>
                <w:spacing w:val="-2"/>
              </w:rPr>
              <w:t>industry</w:t>
            </w:r>
            <w:r>
              <w:rPr>
                <w:rFonts w:ascii="Times New Roman"/>
                <w:b w:val="0"/>
              </w:rPr>
              <w:tab/>
            </w:r>
            <w:r>
              <w:rPr>
                <w:spacing w:val="-5"/>
              </w:rPr>
              <w:t>35</w:t>
            </w:r>
          </w:hyperlink>
        </w:p>
        <w:p w14:paraId="51DE74E7" w14:textId="77777777" w:rsidR="0010369C" w:rsidRDefault="008E43AE">
          <w:pPr>
            <w:pStyle w:val="TOC6"/>
            <w:numPr>
              <w:ilvl w:val="2"/>
              <w:numId w:val="80"/>
            </w:numPr>
            <w:tabs>
              <w:tab w:val="left" w:pos="1939"/>
              <w:tab w:val="left" w:pos="1940"/>
              <w:tab w:val="right" w:leader="dot" w:pos="9297"/>
            </w:tabs>
            <w:ind w:left="1940"/>
          </w:pPr>
          <w:hyperlink w:anchor="_TOC_250023" w:history="1">
            <w:r>
              <w:t>MOFCOM's</w:t>
            </w:r>
            <w:r>
              <w:rPr>
                <w:spacing w:val="-5"/>
              </w:rPr>
              <w:t xml:space="preserve"> </w:t>
            </w:r>
            <w:r>
              <w:t>determinations</w:t>
            </w:r>
            <w:r>
              <w:rPr>
                <w:spacing w:val="-2"/>
              </w:rPr>
              <w:t xml:space="preserve"> </w:t>
            </w:r>
            <w:r>
              <w:t>of</w:t>
            </w:r>
            <w:r>
              <w:rPr>
                <w:spacing w:val="-2"/>
              </w:rPr>
              <w:t xml:space="preserve"> </w:t>
            </w:r>
            <w:r>
              <w:t>causation</w:t>
            </w:r>
            <w:r>
              <w:rPr>
                <w:spacing w:val="-1"/>
              </w:rPr>
              <w:t xml:space="preserve"> </w:t>
            </w:r>
            <w:r>
              <w:t>and</w:t>
            </w:r>
            <w:r>
              <w:rPr>
                <w:spacing w:val="-2"/>
              </w:rPr>
              <w:t xml:space="preserve"> </w:t>
            </w:r>
            <w:r>
              <w:rPr>
                <w:spacing w:val="-2"/>
                <w:w w:val="95"/>
              </w:rPr>
              <w:t>injury</w:t>
            </w:r>
            <w:r>
              <w:rPr>
                <w:rFonts w:ascii="Times New Roman"/>
                <w:b w:val="0"/>
              </w:rPr>
              <w:tab/>
            </w:r>
            <w:r>
              <w:rPr>
                <w:spacing w:val="-5"/>
              </w:rPr>
              <w:t>35</w:t>
            </w:r>
          </w:hyperlink>
        </w:p>
        <w:p w14:paraId="51DE74E8" w14:textId="77777777" w:rsidR="0010369C" w:rsidRDefault="008E43AE">
          <w:pPr>
            <w:pStyle w:val="TOC6"/>
            <w:numPr>
              <w:ilvl w:val="2"/>
              <w:numId w:val="80"/>
            </w:numPr>
            <w:tabs>
              <w:tab w:val="left" w:pos="1939"/>
              <w:tab w:val="left" w:pos="1940"/>
              <w:tab w:val="right" w:leader="dot" w:pos="9297"/>
            </w:tabs>
            <w:ind w:left="1940"/>
          </w:pPr>
          <w:hyperlink w:anchor="_TOC_250022" w:history="1">
            <w:r>
              <w:t>MOFCOM's</w:t>
            </w:r>
            <w:r>
              <w:rPr>
                <w:spacing w:val="-5"/>
              </w:rPr>
              <w:t xml:space="preserve"> </w:t>
            </w:r>
            <w:r>
              <w:t>imposition</w:t>
            </w:r>
            <w:r>
              <w:rPr>
                <w:spacing w:val="-5"/>
              </w:rPr>
              <w:t xml:space="preserve"> </w:t>
            </w:r>
            <w:r>
              <w:t>of</w:t>
            </w:r>
            <w:r>
              <w:rPr>
                <w:spacing w:val="-3"/>
              </w:rPr>
              <w:t xml:space="preserve"> </w:t>
            </w:r>
            <w:r>
              <w:t>anti‐dumping</w:t>
            </w:r>
            <w:r>
              <w:rPr>
                <w:spacing w:val="-3"/>
              </w:rPr>
              <w:t xml:space="preserve"> </w:t>
            </w:r>
            <w:r>
              <w:rPr>
                <w:spacing w:val="-2"/>
              </w:rPr>
              <w:t>duties</w:t>
            </w:r>
            <w:r>
              <w:rPr>
                <w:rFonts w:ascii="Times New Roman" w:hAnsi="Times New Roman"/>
                <w:b w:val="0"/>
              </w:rPr>
              <w:tab/>
            </w:r>
            <w:r>
              <w:rPr>
                <w:spacing w:val="-5"/>
              </w:rPr>
              <w:t>36</w:t>
            </w:r>
          </w:hyperlink>
        </w:p>
        <w:p w14:paraId="51DE74E9" w14:textId="77777777" w:rsidR="0010369C" w:rsidRDefault="008E43AE">
          <w:pPr>
            <w:pStyle w:val="TOC6"/>
            <w:numPr>
              <w:ilvl w:val="2"/>
              <w:numId w:val="80"/>
            </w:numPr>
            <w:tabs>
              <w:tab w:val="left" w:pos="1939"/>
              <w:tab w:val="left" w:pos="1940"/>
              <w:tab w:val="right" w:leader="dot" w:pos="9297"/>
            </w:tabs>
            <w:ind w:left="1940"/>
          </w:pPr>
          <w:hyperlink w:anchor="_TOC_250021" w:history="1">
            <w:r>
              <w:t>MOFCOM's</w:t>
            </w:r>
            <w:r>
              <w:rPr>
                <w:spacing w:val="-3"/>
              </w:rPr>
              <w:t xml:space="preserve"> </w:t>
            </w:r>
            <w:r>
              <w:t>initiation</w:t>
            </w:r>
            <w:r>
              <w:rPr>
                <w:spacing w:val="-3"/>
              </w:rPr>
              <w:t xml:space="preserve"> </w:t>
            </w:r>
            <w:r>
              <w:t>of</w:t>
            </w:r>
            <w:r>
              <w:rPr>
                <w:spacing w:val="-1"/>
              </w:rPr>
              <w:t xml:space="preserve"> </w:t>
            </w:r>
            <w:r>
              <w:t xml:space="preserve">the </w:t>
            </w:r>
            <w:r>
              <w:rPr>
                <w:spacing w:val="-2"/>
              </w:rPr>
              <w:t>investigation</w:t>
            </w:r>
            <w:r>
              <w:rPr>
                <w:rFonts w:ascii="Times New Roman"/>
                <w:b w:val="0"/>
              </w:rPr>
              <w:tab/>
            </w:r>
            <w:r>
              <w:rPr>
                <w:spacing w:val="-5"/>
              </w:rPr>
              <w:t>36</w:t>
            </w:r>
          </w:hyperlink>
        </w:p>
        <w:p w14:paraId="51DE74EA" w14:textId="77777777" w:rsidR="0010369C" w:rsidRDefault="008E43AE">
          <w:pPr>
            <w:pStyle w:val="TOC6"/>
            <w:numPr>
              <w:ilvl w:val="2"/>
              <w:numId w:val="80"/>
            </w:numPr>
            <w:tabs>
              <w:tab w:val="left" w:pos="1939"/>
              <w:tab w:val="left" w:pos="1940"/>
              <w:tab w:val="right" w:leader="dot" w:pos="9297"/>
            </w:tabs>
            <w:spacing w:before="119"/>
            <w:ind w:left="1940"/>
          </w:pPr>
          <w:hyperlink w:anchor="_TOC_250020" w:history="1">
            <w:r>
              <w:t>MOFCOM's</w:t>
            </w:r>
            <w:r>
              <w:rPr>
                <w:spacing w:val="-4"/>
              </w:rPr>
              <w:t xml:space="preserve"> </w:t>
            </w:r>
            <w:r>
              <w:t>conduct</w:t>
            </w:r>
            <w:r>
              <w:rPr>
                <w:spacing w:val="-1"/>
              </w:rPr>
              <w:t xml:space="preserve"> </w:t>
            </w:r>
            <w:r>
              <w:t>of</w:t>
            </w:r>
            <w:r>
              <w:rPr>
                <w:spacing w:val="-3"/>
              </w:rPr>
              <w:t xml:space="preserve"> </w:t>
            </w:r>
            <w:r>
              <w:t>the</w:t>
            </w:r>
            <w:r>
              <w:rPr>
                <w:spacing w:val="-2"/>
              </w:rPr>
              <w:t xml:space="preserve"> investigation</w:t>
            </w:r>
            <w:r>
              <w:rPr>
                <w:rFonts w:ascii="Times New Roman"/>
                <w:b w:val="0"/>
              </w:rPr>
              <w:tab/>
            </w:r>
            <w:r>
              <w:rPr>
                <w:spacing w:val="-5"/>
              </w:rPr>
              <w:t>37</w:t>
            </w:r>
          </w:hyperlink>
        </w:p>
        <w:p w14:paraId="51DE74EB" w14:textId="77777777" w:rsidR="0010369C" w:rsidRDefault="008E43AE">
          <w:pPr>
            <w:pStyle w:val="TOC4"/>
            <w:numPr>
              <w:ilvl w:val="1"/>
              <w:numId w:val="80"/>
            </w:numPr>
            <w:tabs>
              <w:tab w:val="left" w:pos="1513"/>
              <w:tab w:val="left" w:pos="1514"/>
              <w:tab w:val="right" w:leader="dot" w:pos="9297"/>
            </w:tabs>
            <w:ind w:left="1514"/>
            <w:rPr>
              <w:sz w:val="24"/>
            </w:rPr>
          </w:pPr>
          <w:r>
            <w:rPr>
              <w:sz w:val="24"/>
            </w:rPr>
            <w:t>P</w:t>
          </w:r>
          <w:r>
            <w:t>ROCEDURAL</w:t>
          </w:r>
          <w:r>
            <w:rPr>
              <w:spacing w:val="-10"/>
            </w:rPr>
            <w:t xml:space="preserve"> </w:t>
          </w:r>
          <w:r>
            <w:rPr>
              <w:spacing w:val="-2"/>
            </w:rPr>
            <w:t>OVERVIEW</w:t>
          </w:r>
          <w:r>
            <w:rPr>
              <w:rFonts w:ascii="Times New Roman"/>
              <w:b w:val="0"/>
            </w:rPr>
            <w:tab/>
          </w:r>
          <w:r>
            <w:rPr>
              <w:spacing w:val="-5"/>
              <w:sz w:val="24"/>
            </w:rPr>
            <w:t>37</w:t>
          </w:r>
        </w:p>
        <w:p w14:paraId="51DE74EC" w14:textId="77777777" w:rsidR="0010369C" w:rsidRDefault="008E43AE">
          <w:pPr>
            <w:pStyle w:val="TOC4"/>
            <w:numPr>
              <w:ilvl w:val="1"/>
              <w:numId w:val="80"/>
            </w:numPr>
            <w:tabs>
              <w:tab w:val="left" w:pos="1513"/>
              <w:tab w:val="left" w:pos="1514"/>
              <w:tab w:val="right" w:leader="dot" w:pos="9297"/>
            </w:tabs>
            <w:spacing w:before="121"/>
            <w:ind w:left="1514"/>
            <w:rPr>
              <w:sz w:val="24"/>
            </w:rPr>
          </w:pPr>
          <w:r>
            <w:rPr>
              <w:sz w:val="24"/>
            </w:rPr>
            <w:t>S</w:t>
          </w:r>
          <w:r>
            <w:t>TANDARD</w:t>
          </w:r>
          <w:r>
            <w:rPr>
              <w:spacing w:val="-6"/>
            </w:rPr>
            <w:t xml:space="preserve"> </w:t>
          </w:r>
          <w:r>
            <w:t>OF</w:t>
          </w:r>
          <w:r>
            <w:rPr>
              <w:spacing w:val="-6"/>
            </w:rPr>
            <w:t xml:space="preserve"> </w:t>
          </w:r>
          <w:r>
            <w:rPr>
              <w:spacing w:val="-2"/>
            </w:rPr>
            <w:t>REVIEW</w:t>
          </w:r>
          <w:r>
            <w:rPr>
              <w:rFonts w:ascii="Times New Roman"/>
              <w:b w:val="0"/>
            </w:rPr>
            <w:tab/>
          </w:r>
          <w:r>
            <w:rPr>
              <w:spacing w:val="-5"/>
              <w:sz w:val="24"/>
            </w:rPr>
            <w:t>38</w:t>
          </w:r>
        </w:p>
        <w:p w14:paraId="51DE74ED" w14:textId="77777777" w:rsidR="0010369C" w:rsidRDefault="008E43AE">
          <w:pPr>
            <w:pStyle w:val="TOC2"/>
            <w:numPr>
              <w:ilvl w:val="0"/>
              <w:numId w:val="80"/>
            </w:numPr>
            <w:tabs>
              <w:tab w:val="left" w:pos="1089"/>
              <w:tab w:val="left" w:pos="1090"/>
              <w:tab w:val="right" w:leader="dot" w:pos="9297"/>
            </w:tabs>
            <w:ind w:hanging="852"/>
          </w:pPr>
          <w:hyperlink w:anchor="_TOC_250019" w:history="1">
            <w:r>
              <w:t>AUSTRALIA'S</w:t>
            </w:r>
            <w:r>
              <w:rPr>
                <w:spacing w:val="-3"/>
              </w:rPr>
              <w:t xml:space="preserve"> </w:t>
            </w:r>
            <w:r>
              <w:t>CLAIMS</w:t>
            </w:r>
            <w:r>
              <w:rPr>
                <w:spacing w:val="-2"/>
              </w:rPr>
              <w:t xml:space="preserve"> </w:t>
            </w:r>
            <w:r>
              <w:t>CONCERNING</w:t>
            </w:r>
            <w:r>
              <w:rPr>
                <w:spacing w:val="-3"/>
              </w:rPr>
              <w:t xml:space="preserve"> </w:t>
            </w:r>
            <w:r>
              <w:t>THE</w:t>
            </w:r>
            <w:r>
              <w:rPr>
                <w:spacing w:val="-2"/>
              </w:rPr>
              <w:t xml:space="preserve"> </w:t>
            </w:r>
            <w:r>
              <w:t>DUMPING</w:t>
            </w:r>
            <w:r>
              <w:rPr>
                <w:spacing w:val="-3"/>
              </w:rPr>
              <w:t xml:space="preserve"> </w:t>
            </w:r>
            <w:r>
              <w:rPr>
                <w:spacing w:val="-2"/>
              </w:rPr>
              <w:t>DETERMINATION</w:t>
            </w:r>
            <w:r>
              <w:rPr>
                <w:rFonts w:ascii="Times New Roman"/>
                <w:b w:val="0"/>
              </w:rPr>
              <w:tab/>
            </w:r>
            <w:r>
              <w:rPr>
                <w:spacing w:val="-5"/>
              </w:rPr>
              <w:t>40</w:t>
            </w:r>
          </w:hyperlink>
        </w:p>
        <w:p w14:paraId="51DE74EE" w14:textId="77777777" w:rsidR="0010369C" w:rsidRDefault="008E43AE">
          <w:pPr>
            <w:pStyle w:val="TOC5"/>
            <w:numPr>
              <w:ilvl w:val="1"/>
              <w:numId w:val="80"/>
            </w:numPr>
            <w:tabs>
              <w:tab w:val="left" w:pos="1513"/>
              <w:tab w:val="left" w:pos="1514"/>
            </w:tabs>
            <w:ind w:left="1514"/>
            <w:rPr>
              <w:i w:val="0"/>
              <w:sz w:val="24"/>
            </w:rPr>
          </w:pPr>
          <w:r>
            <w:rPr>
              <w:i w:val="0"/>
              <w:sz w:val="24"/>
            </w:rPr>
            <w:t>C</w:t>
          </w:r>
          <w:r>
            <w:rPr>
              <w:i w:val="0"/>
              <w:sz w:val="19"/>
            </w:rPr>
            <w:t>HINA ACTED INCONSISTENTLY</w:t>
          </w:r>
          <w:r>
            <w:rPr>
              <w:i w:val="0"/>
              <w:spacing w:val="-1"/>
              <w:sz w:val="19"/>
            </w:rPr>
            <w:t xml:space="preserve"> </w:t>
          </w:r>
          <w:r>
            <w:rPr>
              <w:i w:val="0"/>
              <w:sz w:val="19"/>
            </w:rPr>
            <w:t xml:space="preserve">WITH </w:t>
          </w:r>
          <w:r>
            <w:rPr>
              <w:i w:val="0"/>
              <w:sz w:val="24"/>
            </w:rPr>
            <w:t>A</w:t>
          </w:r>
          <w:r>
            <w:rPr>
              <w:i w:val="0"/>
              <w:sz w:val="19"/>
            </w:rPr>
            <w:t xml:space="preserve">RTICLES </w:t>
          </w:r>
          <w:r>
            <w:rPr>
              <w:i w:val="0"/>
              <w:sz w:val="24"/>
            </w:rPr>
            <w:t>2</w:t>
          </w:r>
          <w:r>
            <w:rPr>
              <w:i w:val="0"/>
              <w:spacing w:val="-12"/>
              <w:sz w:val="24"/>
            </w:rPr>
            <w:t xml:space="preserve"> </w:t>
          </w:r>
          <w:r>
            <w:rPr>
              <w:i w:val="0"/>
              <w:sz w:val="19"/>
            </w:rPr>
            <w:t xml:space="preserve">AND </w:t>
          </w:r>
          <w:r>
            <w:rPr>
              <w:i w:val="0"/>
              <w:sz w:val="24"/>
            </w:rPr>
            <w:t>6.8</w:t>
          </w:r>
          <w:r>
            <w:rPr>
              <w:i w:val="0"/>
              <w:spacing w:val="-12"/>
              <w:sz w:val="24"/>
            </w:rPr>
            <w:t xml:space="preserve"> </w:t>
          </w:r>
          <w:r>
            <w:rPr>
              <w:i w:val="0"/>
              <w:sz w:val="19"/>
            </w:rPr>
            <w:t xml:space="preserve">AND </w:t>
          </w:r>
          <w:r>
            <w:rPr>
              <w:i w:val="0"/>
              <w:sz w:val="24"/>
            </w:rPr>
            <w:t>P</w:t>
          </w:r>
          <w:r>
            <w:rPr>
              <w:i w:val="0"/>
              <w:sz w:val="19"/>
            </w:rPr>
            <w:t xml:space="preserve">ARAGRAPHS </w:t>
          </w:r>
          <w:r>
            <w:rPr>
              <w:i w:val="0"/>
              <w:sz w:val="24"/>
            </w:rPr>
            <w:t>1,</w:t>
          </w:r>
          <w:r>
            <w:rPr>
              <w:i w:val="0"/>
              <w:spacing w:val="-11"/>
              <w:sz w:val="24"/>
            </w:rPr>
            <w:t xml:space="preserve"> </w:t>
          </w:r>
          <w:r>
            <w:rPr>
              <w:i w:val="0"/>
              <w:sz w:val="24"/>
            </w:rPr>
            <w:t>3,</w:t>
          </w:r>
          <w:r>
            <w:rPr>
              <w:i w:val="0"/>
              <w:spacing w:val="-11"/>
              <w:sz w:val="24"/>
            </w:rPr>
            <w:t xml:space="preserve"> </w:t>
          </w:r>
          <w:r>
            <w:rPr>
              <w:i w:val="0"/>
              <w:sz w:val="24"/>
            </w:rPr>
            <w:t>5,</w:t>
          </w:r>
          <w:r>
            <w:rPr>
              <w:i w:val="0"/>
              <w:spacing w:val="-12"/>
              <w:sz w:val="24"/>
            </w:rPr>
            <w:t xml:space="preserve"> </w:t>
          </w:r>
          <w:r>
            <w:rPr>
              <w:i w:val="0"/>
              <w:sz w:val="24"/>
            </w:rPr>
            <w:t>6,</w:t>
          </w:r>
          <w:r>
            <w:rPr>
              <w:i w:val="0"/>
              <w:spacing w:val="-11"/>
              <w:sz w:val="24"/>
            </w:rPr>
            <w:t xml:space="preserve"> </w:t>
          </w:r>
          <w:r>
            <w:rPr>
              <w:i w:val="0"/>
              <w:sz w:val="19"/>
            </w:rPr>
            <w:t>AND</w:t>
          </w:r>
          <w:r>
            <w:rPr>
              <w:i w:val="0"/>
              <w:spacing w:val="-1"/>
              <w:sz w:val="19"/>
            </w:rPr>
            <w:t xml:space="preserve"> </w:t>
          </w:r>
          <w:r>
            <w:rPr>
              <w:i w:val="0"/>
              <w:spacing w:val="-10"/>
              <w:sz w:val="24"/>
            </w:rPr>
            <w:t>7</w:t>
          </w:r>
        </w:p>
        <w:p w14:paraId="51DE74EF" w14:textId="77777777" w:rsidR="0010369C" w:rsidRDefault="008E43AE">
          <w:pPr>
            <w:pStyle w:val="TOC8"/>
            <w:tabs>
              <w:tab w:val="right" w:leader="dot" w:pos="9297"/>
            </w:tabs>
            <w:rPr>
              <w:i w:val="0"/>
              <w:sz w:val="24"/>
            </w:rPr>
          </w:pPr>
          <w:r>
            <w:rPr>
              <w:i w:val="0"/>
              <w:sz w:val="19"/>
            </w:rPr>
            <w:t>OF</w:t>
          </w:r>
          <w:r>
            <w:rPr>
              <w:i w:val="0"/>
              <w:spacing w:val="-10"/>
              <w:sz w:val="19"/>
            </w:rPr>
            <w:t xml:space="preserve"> </w:t>
          </w:r>
          <w:r>
            <w:rPr>
              <w:i w:val="0"/>
              <w:sz w:val="24"/>
            </w:rPr>
            <w:t>A</w:t>
          </w:r>
          <w:r>
            <w:rPr>
              <w:i w:val="0"/>
              <w:sz w:val="19"/>
            </w:rPr>
            <w:t>NNEX</w:t>
          </w:r>
          <w:r>
            <w:rPr>
              <w:i w:val="0"/>
              <w:spacing w:val="-5"/>
              <w:sz w:val="19"/>
            </w:rPr>
            <w:t xml:space="preserve"> </w:t>
          </w:r>
          <w:r>
            <w:rPr>
              <w:i w:val="0"/>
              <w:sz w:val="24"/>
            </w:rPr>
            <w:t>II</w:t>
          </w:r>
          <w:r>
            <w:rPr>
              <w:i w:val="0"/>
              <w:spacing w:val="-14"/>
              <w:sz w:val="24"/>
            </w:rPr>
            <w:t xml:space="preserve"> </w:t>
          </w:r>
          <w:r>
            <w:rPr>
              <w:i w:val="0"/>
              <w:sz w:val="19"/>
            </w:rPr>
            <w:t>OF</w:t>
          </w:r>
          <w:r>
            <w:rPr>
              <w:i w:val="0"/>
              <w:spacing w:val="-5"/>
              <w:sz w:val="19"/>
            </w:rPr>
            <w:t xml:space="preserve"> </w:t>
          </w:r>
          <w:r>
            <w:rPr>
              <w:i w:val="0"/>
              <w:sz w:val="19"/>
            </w:rPr>
            <w:t>THE</w:t>
          </w:r>
          <w:r>
            <w:rPr>
              <w:i w:val="0"/>
              <w:spacing w:val="-6"/>
              <w:sz w:val="19"/>
            </w:rPr>
            <w:t xml:space="preserve"> </w:t>
          </w:r>
          <w:r>
            <w:rPr>
              <w:i w:val="0"/>
              <w:sz w:val="24"/>
            </w:rPr>
            <w:t>A</w:t>
          </w:r>
          <w:r>
            <w:rPr>
              <w:i w:val="0"/>
              <w:sz w:val="19"/>
            </w:rPr>
            <w:t>NTI</w:t>
          </w:r>
          <w:r>
            <w:rPr>
              <w:i w:val="0"/>
              <w:sz w:val="24"/>
            </w:rPr>
            <w:t>‐D</w:t>
          </w:r>
          <w:r>
            <w:rPr>
              <w:i w:val="0"/>
              <w:sz w:val="19"/>
            </w:rPr>
            <w:t>UMPING</w:t>
          </w:r>
          <w:r>
            <w:rPr>
              <w:i w:val="0"/>
              <w:spacing w:val="-5"/>
              <w:sz w:val="19"/>
            </w:rPr>
            <w:t xml:space="preserve"> </w:t>
          </w:r>
          <w:r>
            <w:rPr>
              <w:i w:val="0"/>
              <w:spacing w:val="-2"/>
              <w:sz w:val="24"/>
            </w:rPr>
            <w:t>A</w:t>
          </w:r>
          <w:r>
            <w:rPr>
              <w:i w:val="0"/>
              <w:spacing w:val="-2"/>
              <w:sz w:val="19"/>
            </w:rPr>
            <w:t>GREEMENT</w:t>
          </w:r>
          <w:r>
            <w:rPr>
              <w:rFonts w:ascii="Times New Roman" w:hAnsi="Times New Roman"/>
              <w:b w:val="0"/>
              <w:i w:val="0"/>
              <w:sz w:val="19"/>
            </w:rPr>
            <w:tab/>
          </w:r>
          <w:r>
            <w:rPr>
              <w:i w:val="0"/>
              <w:spacing w:val="-5"/>
              <w:sz w:val="24"/>
            </w:rPr>
            <w:t>40</w:t>
          </w:r>
        </w:p>
        <w:p w14:paraId="51DE74F0" w14:textId="77777777" w:rsidR="0010369C" w:rsidRDefault="008E43AE">
          <w:pPr>
            <w:pStyle w:val="TOC6"/>
            <w:numPr>
              <w:ilvl w:val="2"/>
              <w:numId w:val="80"/>
            </w:numPr>
            <w:tabs>
              <w:tab w:val="left" w:pos="1939"/>
              <w:tab w:val="left" w:pos="1940"/>
              <w:tab w:val="right" w:leader="dot" w:pos="9297"/>
            </w:tabs>
            <w:ind w:left="1940"/>
          </w:pPr>
          <w:hyperlink w:anchor="_TOC_250018" w:history="1">
            <w:r>
              <w:t>Anti‐Dumping</w:t>
            </w:r>
            <w:r>
              <w:rPr>
                <w:spacing w:val="-8"/>
              </w:rPr>
              <w:t xml:space="preserve"> </w:t>
            </w:r>
            <w:r>
              <w:rPr>
                <w:spacing w:val="-2"/>
              </w:rPr>
              <w:t>Questionnaire</w:t>
            </w:r>
            <w:r>
              <w:rPr>
                <w:rFonts w:ascii="Times New Roman" w:hAnsi="Times New Roman"/>
                <w:b w:val="0"/>
              </w:rPr>
              <w:tab/>
            </w:r>
            <w:r>
              <w:rPr>
                <w:spacing w:val="-5"/>
              </w:rPr>
              <w:t>41</w:t>
            </w:r>
          </w:hyperlink>
        </w:p>
        <w:p w14:paraId="51DE74F1" w14:textId="77777777" w:rsidR="0010369C" w:rsidRDefault="008E43AE">
          <w:pPr>
            <w:pStyle w:val="TOC6"/>
            <w:numPr>
              <w:ilvl w:val="2"/>
              <w:numId w:val="80"/>
            </w:numPr>
            <w:tabs>
              <w:tab w:val="left" w:pos="1939"/>
              <w:tab w:val="left" w:pos="1940"/>
              <w:tab w:val="right" w:leader="dot" w:pos="9297"/>
            </w:tabs>
            <w:spacing w:before="119"/>
            <w:ind w:left="1940"/>
          </w:pPr>
          <w:hyperlink w:anchor="_TOC_250017" w:history="1">
            <w:r>
              <w:t>Anti‐Dumping</w:t>
            </w:r>
            <w:r>
              <w:rPr>
                <w:spacing w:val="-4"/>
              </w:rPr>
              <w:t xml:space="preserve"> </w:t>
            </w:r>
            <w:r>
              <w:t>Preliminary</w:t>
            </w:r>
            <w:r>
              <w:rPr>
                <w:spacing w:val="-4"/>
              </w:rPr>
              <w:t xml:space="preserve"> </w:t>
            </w:r>
            <w:r>
              <w:rPr>
                <w:spacing w:val="-2"/>
              </w:rPr>
              <w:t>Determination</w:t>
            </w:r>
            <w:r>
              <w:rPr>
                <w:rFonts w:ascii="Times New Roman" w:hAnsi="Times New Roman"/>
                <w:b w:val="0"/>
              </w:rPr>
              <w:tab/>
            </w:r>
            <w:r>
              <w:rPr>
                <w:spacing w:val="-5"/>
              </w:rPr>
              <w:t>41</w:t>
            </w:r>
          </w:hyperlink>
        </w:p>
        <w:p w14:paraId="51DE74F2" w14:textId="77777777" w:rsidR="0010369C" w:rsidRDefault="008E43AE">
          <w:pPr>
            <w:pStyle w:val="TOC6"/>
            <w:numPr>
              <w:ilvl w:val="2"/>
              <w:numId w:val="80"/>
            </w:numPr>
            <w:tabs>
              <w:tab w:val="left" w:pos="1939"/>
              <w:tab w:val="left" w:pos="1940"/>
              <w:tab w:val="right" w:leader="dot" w:pos="9297"/>
            </w:tabs>
            <w:ind w:left="1940"/>
          </w:pPr>
          <w:hyperlink w:anchor="_TOC_250016" w:history="1">
            <w:r>
              <w:t>Comments</w:t>
            </w:r>
            <w:r>
              <w:rPr>
                <w:spacing w:val="-5"/>
              </w:rPr>
              <w:t xml:space="preserve"> </w:t>
            </w:r>
            <w:r>
              <w:t>on</w:t>
            </w:r>
            <w:r>
              <w:rPr>
                <w:spacing w:val="-6"/>
              </w:rPr>
              <w:t xml:space="preserve"> </w:t>
            </w:r>
            <w:r>
              <w:t>the</w:t>
            </w:r>
            <w:r>
              <w:rPr>
                <w:spacing w:val="-5"/>
              </w:rPr>
              <w:t xml:space="preserve"> </w:t>
            </w:r>
            <w:r>
              <w:t>Anti‐Dumping</w:t>
            </w:r>
            <w:r>
              <w:rPr>
                <w:spacing w:val="-5"/>
              </w:rPr>
              <w:t xml:space="preserve"> </w:t>
            </w:r>
            <w:r>
              <w:t>Preliminary</w:t>
            </w:r>
            <w:r>
              <w:rPr>
                <w:spacing w:val="-3"/>
              </w:rPr>
              <w:t xml:space="preserve"> </w:t>
            </w:r>
            <w:r>
              <w:rPr>
                <w:spacing w:val="-2"/>
              </w:rPr>
              <w:t>Determination</w:t>
            </w:r>
            <w:r>
              <w:rPr>
                <w:rFonts w:ascii="Times New Roman" w:hAnsi="Times New Roman"/>
                <w:b w:val="0"/>
              </w:rPr>
              <w:tab/>
            </w:r>
            <w:r>
              <w:rPr>
                <w:spacing w:val="-5"/>
              </w:rPr>
              <w:t>42</w:t>
            </w:r>
          </w:hyperlink>
        </w:p>
        <w:p w14:paraId="51DE74F3" w14:textId="77777777" w:rsidR="0010369C" w:rsidRDefault="008E43AE">
          <w:pPr>
            <w:pStyle w:val="TOC6"/>
            <w:numPr>
              <w:ilvl w:val="2"/>
              <w:numId w:val="80"/>
            </w:numPr>
            <w:tabs>
              <w:tab w:val="left" w:pos="1939"/>
              <w:tab w:val="left" w:pos="1940"/>
              <w:tab w:val="right" w:leader="dot" w:pos="9297"/>
            </w:tabs>
            <w:spacing w:before="121"/>
            <w:ind w:left="1940"/>
          </w:pPr>
          <w:hyperlink w:anchor="_TOC_250015" w:history="1">
            <w:r>
              <w:t>Supplementary</w:t>
            </w:r>
            <w:r>
              <w:rPr>
                <w:spacing w:val="-1"/>
              </w:rPr>
              <w:t xml:space="preserve"> </w:t>
            </w:r>
            <w:r>
              <w:rPr>
                <w:spacing w:val="-2"/>
              </w:rPr>
              <w:t>Questionnaire</w:t>
            </w:r>
            <w:r>
              <w:rPr>
                <w:rFonts w:ascii="Times New Roman"/>
                <w:b w:val="0"/>
              </w:rPr>
              <w:tab/>
            </w:r>
            <w:r>
              <w:rPr>
                <w:spacing w:val="-5"/>
              </w:rPr>
              <w:t>42</w:t>
            </w:r>
          </w:hyperlink>
        </w:p>
        <w:p w14:paraId="51DE74F4" w14:textId="77777777" w:rsidR="0010369C" w:rsidRDefault="008E43AE">
          <w:pPr>
            <w:pStyle w:val="TOC6"/>
            <w:numPr>
              <w:ilvl w:val="2"/>
              <w:numId w:val="80"/>
            </w:numPr>
            <w:tabs>
              <w:tab w:val="left" w:pos="1939"/>
              <w:tab w:val="left" w:pos="1940"/>
              <w:tab w:val="right" w:leader="dot" w:pos="9297"/>
            </w:tabs>
            <w:ind w:left="1940"/>
          </w:pPr>
          <w:hyperlink w:anchor="_TOC_250014" w:history="1">
            <w:r>
              <w:t>Anti‐Dumping</w:t>
            </w:r>
            <w:r>
              <w:rPr>
                <w:spacing w:val="-5"/>
              </w:rPr>
              <w:t xml:space="preserve"> </w:t>
            </w:r>
            <w:r>
              <w:t>Final</w:t>
            </w:r>
            <w:r>
              <w:rPr>
                <w:spacing w:val="-4"/>
              </w:rPr>
              <w:t xml:space="preserve"> </w:t>
            </w:r>
            <w:r>
              <w:rPr>
                <w:spacing w:val="-2"/>
              </w:rPr>
              <w:t>Disclosure</w:t>
            </w:r>
            <w:r>
              <w:rPr>
                <w:rFonts w:ascii="Times New Roman" w:hAnsi="Times New Roman"/>
                <w:b w:val="0"/>
              </w:rPr>
              <w:tab/>
            </w:r>
            <w:r>
              <w:rPr>
                <w:spacing w:val="-5"/>
              </w:rPr>
              <w:t>42</w:t>
            </w:r>
          </w:hyperlink>
        </w:p>
        <w:p w14:paraId="51DE74F5" w14:textId="77777777" w:rsidR="0010369C" w:rsidRDefault="008E43AE">
          <w:pPr>
            <w:pStyle w:val="TOC6"/>
            <w:numPr>
              <w:ilvl w:val="2"/>
              <w:numId w:val="80"/>
            </w:numPr>
            <w:tabs>
              <w:tab w:val="left" w:pos="1939"/>
              <w:tab w:val="left" w:pos="1940"/>
              <w:tab w:val="right" w:leader="dot" w:pos="9297"/>
            </w:tabs>
            <w:ind w:left="1940"/>
          </w:pPr>
          <w:hyperlink w:anchor="_TOC_250013" w:history="1">
            <w:r>
              <w:t>Anti‐Dumping</w:t>
            </w:r>
            <w:r>
              <w:rPr>
                <w:spacing w:val="-5"/>
              </w:rPr>
              <w:t xml:space="preserve"> </w:t>
            </w:r>
            <w:r>
              <w:t>Final</w:t>
            </w:r>
            <w:r>
              <w:rPr>
                <w:spacing w:val="-4"/>
              </w:rPr>
              <w:t xml:space="preserve"> </w:t>
            </w:r>
            <w:r>
              <w:rPr>
                <w:spacing w:val="-2"/>
              </w:rPr>
              <w:t>Determination</w:t>
            </w:r>
            <w:r>
              <w:rPr>
                <w:rFonts w:ascii="Times New Roman" w:hAnsi="Times New Roman"/>
                <w:b w:val="0"/>
              </w:rPr>
              <w:tab/>
            </w:r>
            <w:r>
              <w:rPr>
                <w:spacing w:val="-5"/>
              </w:rPr>
              <w:t>43</w:t>
            </w:r>
          </w:hyperlink>
        </w:p>
        <w:p w14:paraId="51DE74F6" w14:textId="77777777" w:rsidR="0010369C" w:rsidRDefault="008E43AE">
          <w:pPr>
            <w:pStyle w:val="TOC6"/>
            <w:numPr>
              <w:ilvl w:val="2"/>
              <w:numId w:val="80"/>
            </w:numPr>
            <w:tabs>
              <w:tab w:val="left" w:pos="1939"/>
              <w:tab w:val="left" w:pos="1940"/>
              <w:tab w:val="right" w:leader="dot" w:pos="9297"/>
            </w:tabs>
            <w:ind w:left="1940"/>
          </w:pPr>
          <w:hyperlink w:anchor="_TOC_250012" w:history="1">
            <w:r>
              <w:t>MOFCOM's</w:t>
            </w:r>
            <w:r>
              <w:rPr>
                <w:spacing w:val="-3"/>
              </w:rPr>
              <w:t xml:space="preserve"> </w:t>
            </w:r>
            <w:r>
              <w:t>approach</w:t>
            </w:r>
            <w:r>
              <w:rPr>
                <w:spacing w:val="-2"/>
              </w:rPr>
              <w:t xml:space="preserve"> </w:t>
            </w:r>
            <w:r>
              <w:t>to determining</w:t>
            </w:r>
            <w:r>
              <w:rPr>
                <w:spacing w:val="-2"/>
              </w:rPr>
              <w:t xml:space="preserve"> dumping</w:t>
            </w:r>
            <w:r>
              <w:rPr>
                <w:rFonts w:ascii="Times New Roman"/>
                <w:b w:val="0"/>
              </w:rPr>
              <w:tab/>
            </w:r>
            <w:r>
              <w:rPr>
                <w:spacing w:val="-5"/>
              </w:rPr>
              <w:t>43</w:t>
            </w:r>
          </w:hyperlink>
        </w:p>
        <w:p w14:paraId="51DE74F7" w14:textId="77777777" w:rsidR="0010369C" w:rsidRDefault="008E43AE">
          <w:pPr>
            <w:pStyle w:val="TOC5"/>
            <w:numPr>
              <w:ilvl w:val="1"/>
              <w:numId w:val="80"/>
            </w:numPr>
            <w:tabs>
              <w:tab w:val="left" w:pos="1513"/>
              <w:tab w:val="left" w:pos="1514"/>
              <w:tab w:val="right" w:leader="dot" w:pos="9297"/>
            </w:tabs>
            <w:ind w:left="1514"/>
            <w:rPr>
              <w:i w:val="0"/>
              <w:sz w:val="24"/>
            </w:rPr>
          </w:pPr>
          <w:r>
            <w:rPr>
              <w:i w:val="0"/>
              <w:sz w:val="24"/>
            </w:rPr>
            <w:t>L</w:t>
          </w:r>
          <w:r>
            <w:rPr>
              <w:i w:val="0"/>
              <w:sz w:val="19"/>
            </w:rPr>
            <w:t>EGAL</w:t>
          </w:r>
          <w:r>
            <w:rPr>
              <w:i w:val="0"/>
              <w:spacing w:val="-5"/>
              <w:sz w:val="19"/>
            </w:rPr>
            <w:t xml:space="preserve"> </w:t>
          </w:r>
          <w:r>
            <w:rPr>
              <w:i w:val="0"/>
              <w:spacing w:val="-2"/>
              <w:sz w:val="19"/>
            </w:rPr>
            <w:t>FRAMEWORK</w:t>
          </w:r>
          <w:r>
            <w:rPr>
              <w:rFonts w:ascii="Times New Roman"/>
              <w:b w:val="0"/>
              <w:i w:val="0"/>
              <w:sz w:val="19"/>
            </w:rPr>
            <w:tab/>
          </w:r>
          <w:r>
            <w:rPr>
              <w:i w:val="0"/>
              <w:spacing w:val="-5"/>
              <w:sz w:val="24"/>
            </w:rPr>
            <w:t>45</w:t>
          </w:r>
        </w:p>
        <w:p w14:paraId="51DE74F8" w14:textId="77777777" w:rsidR="0010369C" w:rsidRDefault="008E43AE">
          <w:pPr>
            <w:pStyle w:val="TOC6"/>
            <w:numPr>
              <w:ilvl w:val="2"/>
              <w:numId w:val="80"/>
            </w:numPr>
            <w:tabs>
              <w:tab w:val="left" w:pos="1939"/>
              <w:tab w:val="left" w:pos="1940"/>
              <w:tab w:val="right" w:leader="dot" w:pos="9297"/>
            </w:tabs>
            <w:spacing w:before="119"/>
            <w:ind w:left="1940"/>
          </w:pPr>
          <w:hyperlink w:anchor="_TOC_250011" w:history="1">
            <w:r>
              <w:t>Article</w:t>
            </w:r>
            <w:r>
              <w:rPr>
                <w:spacing w:val="-2"/>
              </w:rPr>
              <w:t xml:space="preserve"> </w:t>
            </w:r>
            <w:r>
              <w:t>6.8</w:t>
            </w:r>
            <w:r>
              <w:rPr>
                <w:spacing w:val="-3"/>
              </w:rPr>
              <w:t xml:space="preserve"> </w:t>
            </w:r>
            <w:r>
              <w:t>and</w:t>
            </w:r>
            <w:r>
              <w:rPr>
                <w:spacing w:val="-2"/>
              </w:rPr>
              <w:t xml:space="preserve"> </w:t>
            </w:r>
            <w:r>
              <w:t>Annex</w:t>
            </w:r>
            <w:r>
              <w:rPr>
                <w:spacing w:val="-2"/>
              </w:rPr>
              <w:t xml:space="preserve"> </w:t>
            </w:r>
            <w:r>
              <w:rPr>
                <w:spacing w:val="-5"/>
              </w:rPr>
              <w:t>II</w:t>
            </w:r>
            <w:r>
              <w:rPr>
                <w:rFonts w:ascii="Times New Roman"/>
                <w:b w:val="0"/>
              </w:rPr>
              <w:tab/>
            </w:r>
            <w:r>
              <w:rPr>
                <w:spacing w:val="-5"/>
              </w:rPr>
              <w:t>46</w:t>
            </w:r>
          </w:hyperlink>
        </w:p>
        <w:p w14:paraId="51DE74F9" w14:textId="77777777" w:rsidR="0010369C" w:rsidRDefault="008E43AE">
          <w:pPr>
            <w:pStyle w:val="TOC7"/>
            <w:numPr>
              <w:ilvl w:val="3"/>
              <w:numId w:val="80"/>
            </w:numPr>
            <w:tabs>
              <w:tab w:val="left" w:pos="2365"/>
              <w:tab w:val="left" w:pos="2366"/>
              <w:tab w:val="right" w:leader="dot" w:pos="9297"/>
            </w:tabs>
            <w:ind w:hanging="853"/>
            <w:rPr>
              <w:u w:val="none"/>
            </w:rPr>
          </w:pPr>
          <w:r>
            <w:t>"Necessary Information"</w:t>
          </w:r>
          <w:r>
            <w:rPr>
              <w:spacing w:val="-3"/>
            </w:rPr>
            <w:t xml:space="preserve"> </w:t>
          </w:r>
          <w:r>
            <w:rPr>
              <w:rFonts w:ascii="Times New Roman"/>
              <w:u w:val="none"/>
            </w:rPr>
            <w:tab/>
          </w:r>
          <w:r>
            <w:rPr>
              <w:spacing w:val="-6"/>
            </w:rPr>
            <w:t>47</w:t>
          </w:r>
        </w:p>
        <w:p w14:paraId="51DE74FA" w14:textId="77777777" w:rsidR="0010369C" w:rsidRDefault="008E43AE">
          <w:pPr>
            <w:pStyle w:val="TOC7"/>
            <w:numPr>
              <w:ilvl w:val="3"/>
              <w:numId w:val="80"/>
            </w:numPr>
            <w:tabs>
              <w:tab w:val="left" w:pos="2365"/>
              <w:tab w:val="left" w:pos="2366"/>
              <w:tab w:val="right" w:leader="dot" w:pos="9297"/>
            </w:tabs>
            <w:spacing w:before="121"/>
            <w:ind w:hanging="853"/>
            <w:rPr>
              <w:u w:val="none"/>
            </w:rPr>
          </w:pPr>
          <w:r>
            <w:t>Annex II obligations</w:t>
          </w:r>
          <w:r>
            <w:rPr>
              <w:spacing w:val="-8"/>
            </w:rPr>
            <w:t xml:space="preserve"> </w:t>
          </w:r>
          <w:r>
            <w:rPr>
              <w:rFonts w:ascii="Times New Roman"/>
              <w:u w:val="none"/>
            </w:rPr>
            <w:tab/>
          </w:r>
          <w:r>
            <w:rPr>
              <w:spacing w:val="-6"/>
            </w:rPr>
            <w:t>48</w:t>
          </w:r>
        </w:p>
        <w:p w14:paraId="51DE74FB" w14:textId="77777777" w:rsidR="0010369C" w:rsidRDefault="008E43AE">
          <w:pPr>
            <w:pStyle w:val="TOC9"/>
            <w:numPr>
              <w:ilvl w:val="4"/>
              <w:numId w:val="80"/>
            </w:numPr>
            <w:tabs>
              <w:tab w:val="left" w:pos="2790"/>
              <w:tab w:val="left" w:pos="2791"/>
              <w:tab w:val="right" w:leader="dot" w:pos="9297"/>
            </w:tabs>
          </w:pPr>
          <w:r>
            <w:t>Paragraph</w:t>
          </w:r>
          <w:r>
            <w:rPr>
              <w:spacing w:val="-1"/>
            </w:rPr>
            <w:t xml:space="preserve"> </w:t>
          </w:r>
          <w:r>
            <w:rPr>
              <w:spacing w:val="-10"/>
            </w:rPr>
            <w:t>1</w:t>
          </w:r>
          <w:r>
            <w:rPr>
              <w:rFonts w:ascii="Times New Roman"/>
              <w:i w:val="0"/>
            </w:rPr>
            <w:tab/>
          </w:r>
          <w:r>
            <w:rPr>
              <w:spacing w:val="-5"/>
            </w:rPr>
            <w:t>48</w:t>
          </w:r>
        </w:p>
        <w:p w14:paraId="51DE74FC" w14:textId="77777777" w:rsidR="0010369C" w:rsidRDefault="008E43AE">
          <w:pPr>
            <w:pStyle w:val="TOC9"/>
            <w:numPr>
              <w:ilvl w:val="4"/>
              <w:numId w:val="80"/>
            </w:numPr>
            <w:tabs>
              <w:tab w:val="left" w:pos="2790"/>
              <w:tab w:val="left" w:pos="2791"/>
              <w:tab w:val="right" w:leader="dot" w:pos="9297"/>
            </w:tabs>
            <w:spacing w:after="20"/>
            <w:ind w:hanging="852"/>
          </w:pPr>
          <w:r>
            <w:t>Paragraphs</w:t>
          </w:r>
          <w:r>
            <w:rPr>
              <w:spacing w:val="-3"/>
            </w:rPr>
            <w:t xml:space="preserve"> </w:t>
          </w:r>
          <w:r>
            <w:t>3</w:t>
          </w:r>
          <w:r>
            <w:rPr>
              <w:spacing w:val="-1"/>
            </w:rPr>
            <w:t xml:space="preserve"> </w:t>
          </w:r>
          <w:r>
            <w:t xml:space="preserve">and </w:t>
          </w:r>
          <w:r>
            <w:rPr>
              <w:spacing w:val="-10"/>
            </w:rPr>
            <w:t>5</w:t>
          </w:r>
          <w:r>
            <w:rPr>
              <w:rFonts w:ascii="Times New Roman"/>
              <w:i w:val="0"/>
            </w:rPr>
            <w:tab/>
          </w:r>
          <w:r>
            <w:rPr>
              <w:spacing w:val="-5"/>
            </w:rPr>
            <w:t>50</w:t>
          </w:r>
        </w:p>
        <w:p w14:paraId="51DE74FD" w14:textId="77777777" w:rsidR="0010369C" w:rsidRDefault="008E43AE">
          <w:pPr>
            <w:pStyle w:val="TOC3"/>
            <w:tabs>
              <w:tab w:val="left" w:pos="6425"/>
            </w:tabs>
            <w:spacing w:before="20"/>
            <w:rPr>
              <w:b w:val="0"/>
              <w:i w:val="0"/>
              <w:sz w:val="20"/>
            </w:rPr>
          </w:pPr>
          <w:r>
            <w:rPr>
              <w:b w:val="0"/>
              <w:sz w:val="20"/>
            </w:rPr>
            <w:lastRenderedPageBreak/>
            <w:t>China</w:t>
          </w:r>
          <w:r>
            <w:rPr>
              <w:b w:val="0"/>
              <w:spacing w:val="-5"/>
              <w:sz w:val="20"/>
            </w:rPr>
            <w:t xml:space="preserve"> </w:t>
          </w:r>
          <w:r>
            <w:rPr>
              <w:b w:val="0"/>
              <w:sz w:val="20"/>
            </w:rPr>
            <w:t>–</w:t>
          </w:r>
          <w:r>
            <w:rPr>
              <w:b w:val="0"/>
              <w:spacing w:val="-5"/>
              <w:sz w:val="20"/>
            </w:rPr>
            <w:t xml:space="preserve"> </w:t>
          </w:r>
          <w:r>
            <w:rPr>
              <w:b w:val="0"/>
              <w:sz w:val="20"/>
            </w:rPr>
            <w:t>Anti‐Dumping</w:t>
          </w:r>
          <w:r>
            <w:rPr>
              <w:b w:val="0"/>
              <w:spacing w:val="-4"/>
              <w:sz w:val="20"/>
            </w:rPr>
            <w:t xml:space="preserve"> </w:t>
          </w:r>
          <w:r>
            <w:rPr>
              <w:b w:val="0"/>
              <w:sz w:val="20"/>
            </w:rPr>
            <w:t>and</w:t>
          </w:r>
          <w:r>
            <w:rPr>
              <w:b w:val="0"/>
              <w:spacing w:val="-5"/>
              <w:sz w:val="20"/>
            </w:rPr>
            <w:t xml:space="preserve"> </w:t>
          </w:r>
          <w:r>
            <w:rPr>
              <w:b w:val="0"/>
              <w:sz w:val="20"/>
            </w:rPr>
            <w:t>Countervailing</w:t>
          </w:r>
          <w:r>
            <w:rPr>
              <w:b w:val="0"/>
              <w:spacing w:val="-5"/>
              <w:sz w:val="20"/>
            </w:rPr>
            <w:t xml:space="preserve"> </w:t>
          </w:r>
          <w:r>
            <w:rPr>
              <w:b w:val="0"/>
              <w:sz w:val="20"/>
            </w:rPr>
            <w:t>Duty</w:t>
          </w:r>
          <w:r>
            <w:rPr>
              <w:b w:val="0"/>
              <w:spacing w:val="-4"/>
              <w:sz w:val="20"/>
            </w:rPr>
            <w:t xml:space="preserve"> </w:t>
          </w:r>
          <w:r>
            <w:rPr>
              <w:b w:val="0"/>
              <w:spacing w:val="-2"/>
              <w:sz w:val="20"/>
            </w:rPr>
            <w:t>Measures</w:t>
          </w:r>
          <w:r>
            <w:rPr>
              <w:b w:val="0"/>
              <w:sz w:val="20"/>
            </w:rPr>
            <w:tab/>
          </w:r>
          <w:r>
            <w:rPr>
              <w:b w:val="0"/>
              <w:i w:val="0"/>
              <w:sz w:val="20"/>
            </w:rPr>
            <w:t>Australia's</w:t>
          </w:r>
          <w:r>
            <w:rPr>
              <w:b w:val="0"/>
              <w:i w:val="0"/>
              <w:spacing w:val="-6"/>
              <w:sz w:val="20"/>
            </w:rPr>
            <w:t xml:space="preserve"> </w:t>
          </w:r>
          <w:r>
            <w:rPr>
              <w:b w:val="0"/>
              <w:i w:val="0"/>
              <w:sz w:val="20"/>
            </w:rPr>
            <w:t>First</w:t>
          </w:r>
          <w:r>
            <w:rPr>
              <w:b w:val="0"/>
              <w:i w:val="0"/>
              <w:spacing w:val="-2"/>
              <w:sz w:val="20"/>
            </w:rPr>
            <w:t xml:space="preserve"> </w:t>
          </w:r>
          <w:r>
            <w:rPr>
              <w:b w:val="0"/>
              <w:i w:val="0"/>
              <w:sz w:val="20"/>
            </w:rPr>
            <w:t>Written</w:t>
          </w:r>
          <w:r>
            <w:rPr>
              <w:b w:val="0"/>
              <w:i w:val="0"/>
              <w:spacing w:val="-2"/>
              <w:sz w:val="20"/>
            </w:rPr>
            <w:t xml:space="preserve"> Submission</w:t>
          </w:r>
        </w:p>
        <w:p w14:paraId="51DE74FE" w14:textId="77777777" w:rsidR="0010369C" w:rsidRDefault="008E43AE">
          <w:pPr>
            <w:pStyle w:val="TOC3"/>
            <w:tabs>
              <w:tab w:val="left" w:pos="8227"/>
            </w:tabs>
            <w:ind w:left="239"/>
            <w:rPr>
              <w:b w:val="0"/>
              <w:i w:val="0"/>
              <w:sz w:val="20"/>
            </w:rPr>
          </w:pPr>
          <w:r>
            <w:rPr>
              <w:b w:val="0"/>
              <w:sz w:val="20"/>
            </w:rPr>
            <w:t>on</w:t>
          </w:r>
          <w:r>
            <w:rPr>
              <w:b w:val="0"/>
              <w:spacing w:val="-1"/>
              <w:sz w:val="20"/>
            </w:rPr>
            <w:t xml:space="preserve"> </w:t>
          </w:r>
          <w:r>
            <w:rPr>
              <w:b w:val="0"/>
              <w:sz w:val="20"/>
            </w:rPr>
            <w:t>Wine</w:t>
          </w:r>
          <w:r>
            <w:rPr>
              <w:b w:val="0"/>
              <w:spacing w:val="-1"/>
              <w:sz w:val="20"/>
            </w:rPr>
            <w:t xml:space="preserve"> </w:t>
          </w:r>
          <w:r>
            <w:rPr>
              <w:b w:val="0"/>
              <w:sz w:val="20"/>
            </w:rPr>
            <w:t>from</w:t>
          </w:r>
          <w:r>
            <w:rPr>
              <w:b w:val="0"/>
              <w:spacing w:val="-3"/>
              <w:sz w:val="20"/>
            </w:rPr>
            <w:t xml:space="preserve"> </w:t>
          </w:r>
          <w:r>
            <w:rPr>
              <w:b w:val="0"/>
              <w:sz w:val="20"/>
            </w:rPr>
            <w:t>Australia</w:t>
          </w:r>
          <w:r>
            <w:rPr>
              <w:b w:val="0"/>
              <w:spacing w:val="-1"/>
              <w:sz w:val="20"/>
            </w:rPr>
            <w:t xml:space="preserve"> </w:t>
          </w:r>
          <w:r>
            <w:rPr>
              <w:b w:val="0"/>
              <w:i w:val="0"/>
              <w:spacing w:val="-2"/>
              <w:sz w:val="20"/>
            </w:rPr>
            <w:t>(DS602)</w:t>
          </w:r>
          <w:r>
            <w:rPr>
              <w:b w:val="0"/>
              <w:i w:val="0"/>
              <w:sz w:val="20"/>
            </w:rPr>
            <w:tab/>
            <w:t>29</w:t>
          </w:r>
          <w:r>
            <w:rPr>
              <w:b w:val="0"/>
              <w:i w:val="0"/>
              <w:spacing w:val="-1"/>
              <w:sz w:val="20"/>
            </w:rPr>
            <w:t xml:space="preserve"> </w:t>
          </w:r>
          <w:r>
            <w:rPr>
              <w:b w:val="0"/>
              <w:i w:val="0"/>
              <w:sz w:val="20"/>
            </w:rPr>
            <w:t>April</w:t>
          </w:r>
          <w:r>
            <w:rPr>
              <w:b w:val="0"/>
              <w:i w:val="0"/>
              <w:spacing w:val="-2"/>
              <w:sz w:val="20"/>
            </w:rPr>
            <w:t xml:space="preserve"> </w:t>
          </w:r>
          <w:r>
            <w:rPr>
              <w:b w:val="0"/>
              <w:i w:val="0"/>
              <w:spacing w:val="-4"/>
              <w:sz w:val="20"/>
            </w:rPr>
            <w:t>2022</w:t>
          </w:r>
        </w:p>
        <w:p w14:paraId="51DE74FF" w14:textId="77777777" w:rsidR="0010369C" w:rsidRDefault="008E43AE">
          <w:pPr>
            <w:pStyle w:val="TOC9"/>
            <w:numPr>
              <w:ilvl w:val="4"/>
              <w:numId w:val="80"/>
            </w:numPr>
            <w:tabs>
              <w:tab w:val="left" w:pos="2790"/>
              <w:tab w:val="left" w:pos="2791"/>
              <w:tab w:val="left" w:leader="dot" w:pos="9054"/>
            </w:tabs>
            <w:spacing w:before="34"/>
          </w:pPr>
          <w:r>
            <w:t>Paragraph</w:t>
          </w:r>
          <w:r>
            <w:rPr>
              <w:spacing w:val="-1"/>
            </w:rPr>
            <w:t xml:space="preserve"> </w:t>
          </w:r>
          <w:r>
            <w:rPr>
              <w:spacing w:val="-10"/>
            </w:rPr>
            <w:t>6</w:t>
          </w:r>
          <w:r>
            <w:rPr>
              <w:rFonts w:ascii="Times New Roman"/>
              <w:i w:val="0"/>
            </w:rPr>
            <w:tab/>
          </w:r>
          <w:r>
            <w:rPr>
              <w:spacing w:val="-5"/>
            </w:rPr>
            <w:t>54</w:t>
          </w:r>
        </w:p>
        <w:p w14:paraId="51DE7500" w14:textId="77777777" w:rsidR="0010369C" w:rsidRDefault="008E43AE">
          <w:pPr>
            <w:pStyle w:val="TOC9"/>
            <w:numPr>
              <w:ilvl w:val="4"/>
              <w:numId w:val="80"/>
            </w:numPr>
            <w:tabs>
              <w:tab w:val="left" w:pos="2790"/>
              <w:tab w:val="left" w:pos="2791"/>
              <w:tab w:val="left" w:leader="dot" w:pos="9054"/>
            </w:tabs>
            <w:ind w:hanging="852"/>
          </w:pPr>
          <w:r>
            <w:t>Paragraph</w:t>
          </w:r>
          <w:r>
            <w:rPr>
              <w:spacing w:val="-1"/>
            </w:rPr>
            <w:t xml:space="preserve"> </w:t>
          </w:r>
          <w:r>
            <w:rPr>
              <w:spacing w:val="-10"/>
            </w:rPr>
            <w:t>7</w:t>
          </w:r>
          <w:r>
            <w:rPr>
              <w:rFonts w:ascii="Times New Roman"/>
              <w:i w:val="0"/>
            </w:rPr>
            <w:tab/>
          </w:r>
          <w:r>
            <w:rPr>
              <w:spacing w:val="-5"/>
            </w:rPr>
            <w:t>56</w:t>
          </w:r>
        </w:p>
        <w:p w14:paraId="51DE7501" w14:textId="77777777" w:rsidR="0010369C" w:rsidRDefault="008E43AE">
          <w:pPr>
            <w:pStyle w:val="TOC6"/>
            <w:numPr>
              <w:ilvl w:val="2"/>
              <w:numId w:val="80"/>
            </w:numPr>
            <w:tabs>
              <w:tab w:val="left" w:pos="1939"/>
              <w:tab w:val="left" w:pos="1940"/>
              <w:tab w:val="left" w:leader="dot" w:pos="9054"/>
            </w:tabs>
            <w:ind w:left="1940"/>
          </w:pPr>
          <w:hyperlink w:anchor="_TOC_250010" w:history="1">
            <w:r>
              <w:t>Articles</w:t>
            </w:r>
            <w:r>
              <w:rPr>
                <w:spacing w:val="-2"/>
              </w:rPr>
              <w:t xml:space="preserve"> </w:t>
            </w:r>
            <w:r>
              <w:t>2.1 and</w:t>
            </w:r>
            <w:r>
              <w:rPr>
                <w:spacing w:val="-1"/>
              </w:rPr>
              <w:t xml:space="preserve"> </w:t>
            </w:r>
            <w:r>
              <w:rPr>
                <w:spacing w:val="-5"/>
              </w:rPr>
              <w:t>2.2</w:t>
            </w:r>
            <w:r>
              <w:rPr>
                <w:rFonts w:ascii="Times New Roman"/>
                <w:b w:val="0"/>
              </w:rPr>
              <w:tab/>
            </w:r>
            <w:r>
              <w:rPr>
                <w:spacing w:val="-5"/>
              </w:rPr>
              <w:t>58</w:t>
            </w:r>
          </w:hyperlink>
        </w:p>
        <w:p w14:paraId="51DE7502" w14:textId="77777777" w:rsidR="0010369C" w:rsidRDefault="008E43AE">
          <w:pPr>
            <w:pStyle w:val="TOC7"/>
            <w:numPr>
              <w:ilvl w:val="3"/>
              <w:numId w:val="80"/>
            </w:numPr>
            <w:tabs>
              <w:tab w:val="left" w:pos="2365"/>
              <w:tab w:val="left" w:pos="2366"/>
              <w:tab w:val="left" w:leader="dot" w:pos="9054"/>
            </w:tabs>
            <w:ind w:hanging="853"/>
            <w:rPr>
              <w:u w:val="none"/>
            </w:rPr>
          </w:pPr>
          <w:r>
            <w:t>Article</w:t>
          </w:r>
          <w:r>
            <w:rPr>
              <w:spacing w:val="-1"/>
            </w:rPr>
            <w:t xml:space="preserve"> </w:t>
          </w:r>
          <w:r>
            <w:t>2.1</w:t>
          </w:r>
          <w:r>
            <w:rPr>
              <w:spacing w:val="-1"/>
            </w:rPr>
            <w:t xml:space="preserve"> </w:t>
          </w:r>
          <w:r>
            <w:t>Definition</w:t>
          </w:r>
          <w:r>
            <w:rPr>
              <w:spacing w:val="-1"/>
            </w:rPr>
            <w:t xml:space="preserve"> </w:t>
          </w:r>
          <w:r>
            <w:t>of</w:t>
          </w:r>
          <w:r>
            <w:rPr>
              <w:spacing w:val="-2"/>
            </w:rPr>
            <w:t xml:space="preserve"> </w:t>
          </w:r>
          <w:r>
            <w:t>Dumping</w:t>
          </w:r>
          <w:r>
            <w:rPr>
              <w:spacing w:val="-13"/>
            </w:rPr>
            <w:t xml:space="preserve"> </w:t>
          </w:r>
          <w:r>
            <w:rPr>
              <w:rFonts w:ascii="Times New Roman"/>
              <w:u w:val="none"/>
            </w:rPr>
            <w:tab/>
          </w:r>
          <w:r>
            <w:rPr>
              <w:spacing w:val="-5"/>
            </w:rPr>
            <w:t>59</w:t>
          </w:r>
        </w:p>
        <w:p w14:paraId="51DE7503" w14:textId="77777777" w:rsidR="0010369C" w:rsidRDefault="008E43AE">
          <w:pPr>
            <w:pStyle w:val="TOC7"/>
            <w:numPr>
              <w:ilvl w:val="3"/>
              <w:numId w:val="80"/>
            </w:numPr>
            <w:tabs>
              <w:tab w:val="left" w:pos="2365"/>
              <w:tab w:val="left" w:pos="2366"/>
              <w:tab w:val="left" w:leader="dot" w:pos="9054"/>
            </w:tabs>
            <w:spacing w:before="121"/>
            <w:ind w:hanging="853"/>
            <w:rPr>
              <w:u w:val="none"/>
            </w:rPr>
          </w:pPr>
          <w:r>
            <w:t>Article</w:t>
          </w:r>
          <w:r>
            <w:rPr>
              <w:spacing w:val="-2"/>
            </w:rPr>
            <w:t xml:space="preserve"> </w:t>
          </w:r>
          <w:r>
            <w:t>2.2</w:t>
          </w:r>
          <w:r>
            <w:rPr>
              <w:spacing w:val="-1"/>
            </w:rPr>
            <w:t xml:space="preserve"> </w:t>
          </w:r>
          <w:r>
            <w:rPr>
              <w:spacing w:val="-2"/>
            </w:rPr>
            <w:t>obligations</w:t>
          </w:r>
          <w:r>
            <w:rPr>
              <w:rFonts w:ascii="Times New Roman"/>
              <w:u w:val="none"/>
            </w:rPr>
            <w:tab/>
          </w:r>
          <w:r>
            <w:rPr>
              <w:spacing w:val="-5"/>
            </w:rPr>
            <w:t>60</w:t>
          </w:r>
        </w:p>
        <w:p w14:paraId="51DE7504" w14:textId="77777777" w:rsidR="0010369C" w:rsidRDefault="008E43AE">
          <w:pPr>
            <w:pStyle w:val="TOC4"/>
            <w:numPr>
              <w:ilvl w:val="1"/>
              <w:numId w:val="80"/>
            </w:numPr>
            <w:tabs>
              <w:tab w:val="left" w:pos="1513"/>
              <w:tab w:val="left" w:pos="1514"/>
              <w:tab w:val="left" w:leader="dot" w:pos="9054"/>
            </w:tabs>
            <w:ind w:left="1514"/>
            <w:rPr>
              <w:sz w:val="24"/>
            </w:rPr>
          </w:pPr>
          <w:r>
            <w:rPr>
              <w:sz w:val="24"/>
            </w:rPr>
            <w:t>T</w:t>
          </w:r>
          <w:r>
            <w:t>HE</w:t>
          </w:r>
          <w:r>
            <w:rPr>
              <w:spacing w:val="-8"/>
            </w:rPr>
            <w:t xml:space="preserve"> </w:t>
          </w:r>
          <w:r>
            <w:t>SAMPLED</w:t>
          </w:r>
          <w:r>
            <w:rPr>
              <w:spacing w:val="-7"/>
            </w:rPr>
            <w:t xml:space="preserve"> </w:t>
          </w:r>
          <w:r>
            <w:t>COMPANIES</w:t>
          </w:r>
          <w:r>
            <w:rPr>
              <w:spacing w:val="-6"/>
            </w:rPr>
            <w:t xml:space="preserve"> </w:t>
          </w:r>
          <w:r>
            <w:t>FULLY</w:t>
          </w:r>
          <w:r>
            <w:rPr>
              <w:spacing w:val="-7"/>
            </w:rPr>
            <w:t xml:space="preserve"> </w:t>
          </w:r>
          <w:r>
            <w:t>COOPERATED</w:t>
          </w:r>
          <w:r>
            <w:rPr>
              <w:spacing w:val="-6"/>
            </w:rPr>
            <w:t xml:space="preserve"> </w:t>
          </w:r>
          <w:r>
            <w:t>IN</w:t>
          </w:r>
          <w:r>
            <w:rPr>
              <w:spacing w:val="-7"/>
            </w:rPr>
            <w:t xml:space="preserve"> </w:t>
          </w:r>
          <w:r>
            <w:t>THE</w:t>
          </w:r>
          <w:r>
            <w:rPr>
              <w:spacing w:val="-7"/>
            </w:rPr>
            <w:t xml:space="preserve"> </w:t>
          </w:r>
          <w:r>
            <w:rPr>
              <w:spacing w:val="-2"/>
            </w:rPr>
            <w:t>INVESTIGATION</w:t>
          </w:r>
          <w:r>
            <w:rPr>
              <w:rFonts w:ascii="Times New Roman"/>
              <w:b w:val="0"/>
            </w:rPr>
            <w:tab/>
          </w:r>
          <w:r>
            <w:rPr>
              <w:spacing w:val="-5"/>
              <w:sz w:val="24"/>
            </w:rPr>
            <w:t>64</w:t>
          </w:r>
        </w:p>
        <w:p w14:paraId="51DE7505" w14:textId="77777777" w:rsidR="0010369C" w:rsidRDefault="008E43AE">
          <w:pPr>
            <w:pStyle w:val="TOC5"/>
            <w:numPr>
              <w:ilvl w:val="1"/>
              <w:numId w:val="80"/>
            </w:numPr>
            <w:tabs>
              <w:tab w:val="left" w:pos="1513"/>
              <w:tab w:val="left" w:pos="1514"/>
              <w:tab w:val="left" w:pos="1939"/>
              <w:tab w:val="left" w:leader="dot" w:pos="9054"/>
            </w:tabs>
            <w:spacing w:before="119" w:line="338" w:lineRule="auto"/>
            <w:ind w:left="1089" w:right="205" w:hanging="426"/>
            <w:rPr>
              <w:i w:val="0"/>
              <w:sz w:val="24"/>
            </w:rPr>
          </w:pPr>
          <w:r>
            <w:rPr>
              <w:i w:val="0"/>
              <w:sz w:val="24"/>
            </w:rPr>
            <w:t>C</w:t>
          </w:r>
          <w:r>
            <w:rPr>
              <w:i w:val="0"/>
              <w:w w:val="99"/>
              <w:sz w:val="19"/>
            </w:rPr>
            <w:t>HARACTERISTICS</w:t>
          </w:r>
          <w:r>
            <w:rPr>
              <w:i w:val="0"/>
              <w:sz w:val="19"/>
            </w:rPr>
            <w:t xml:space="preserve"> </w:t>
          </w:r>
          <w:r>
            <w:rPr>
              <w:i w:val="0"/>
              <w:w w:val="99"/>
              <w:sz w:val="19"/>
            </w:rPr>
            <w:t>AFFECTING</w:t>
          </w:r>
          <w:r>
            <w:rPr>
              <w:i w:val="0"/>
              <w:sz w:val="19"/>
            </w:rPr>
            <w:t xml:space="preserve"> </w:t>
          </w:r>
          <w:r>
            <w:rPr>
              <w:i w:val="0"/>
              <w:spacing w:val="-1"/>
              <w:w w:val="99"/>
              <w:sz w:val="19"/>
            </w:rPr>
            <w:t>DOMESTI</w:t>
          </w:r>
          <w:r>
            <w:rPr>
              <w:i w:val="0"/>
              <w:w w:val="99"/>
              <w:sz w:val="19"/>
            </w:rPr>
            <w:t>C</w:t>
          </w:r>
          <w:r>
            <w:rPr>
              <w:i w:val="0"/>
              <w:spacing w:val="1"/>
              <w:sz w:val="19"/>
            </w:rPr>
            <w:t xml:space="preserve"> </w:t>
          </w:r>
          <w:r>
            <w:rPr>
              <w:i w:val="0"/>
              <w:w w:val="99"/>
              <w:sz w:val="19"/>
            </w:rPr>
            <w:t>AND</w:t>
          </w:r>
          <w:r>
            <w:rPr>
              <w:i w:val="0"/>
              <w:sz w:val="19"/>
            </w:rPr>
            <w:t xml:space="preserve"> </w:t>
          </w:r>
          <w:r>
            <w:rPr>
              <w:i w:val="0"/>
              <w:w w:val="99"/>
              <w:sz w:val="19"/>
            </w:rPr>
            <w:t>EXPORT</w:t>
          </w:r>
          <w:r>
            <w:rPr>
              <w:i w:val="0"/>
              <w:spacing w:val="-1"/>
              <w:sz w:val="19"/>
            </w:rPr>
            <w:t xml:space="preserve"> </w:t>
          </w:r>
          <w:r>
            <w:rPr>
              <w:i w:val="0"/>
              <w:w w:val="99"/>
              <w:sz w:val="19"/>
            </w:rPr>
            <w:t>SALES</w:t>
          </w:r>
          <w:r>
            <w:rPr>
              <w:i w:val="0"/>
              <w:sz w:val="19"/>
            </w:rPr>
            <w:t xml:space="preserve"> </w:t>
          </w:r>
          <w:r>
            <w:rPr>
              <w:i w:val="0"/>
              <w:w w:val="99"/>
              <w:sz w:val="19"/>
            </w:rPr>
            <w:t>OF</w:t>
          </w:r>
          <w:r>
            <w:rPr>
              <w:i w:val="0"/>
              <w:sz w:val="19"/>
            </w:rPr>
            <w:t xml:space="preserve"> </w:t>
          </w:r>
          <w:r>
            <w:rPr>
              <w:i w:val="0"/>
              <w:spacing w:val="-1"/>
              <w:sz w:val="24"/>
            </w:rPr>
            <w:t>A</w:t>
          </w:r>
          <w:r>
            <w:rPr>
              <w:i w:val="0"/>
              <w:w w:val="99"/>
              <w:sz w:val="19"/>
            </w:rPr>
            <w:t>USTRALIAN</w:t>
          </w:r>
          <w:r>
            <w:rPr>
              <w:i w:val="0"/>
              <w:spacing w:val="-1"/>
              <w:sz w:val="19"/>
            </w:rPr>
            <w:t xml:space="preserve"> </w:t>
          </w:r>
          <w:r>
            <w:rPr>
              <w:i w:val="0"/>
              <w:w w:val="99"/>
              <w:sz w:val="19"/>
            </w:rPr>
            <w:t>BOTTLED</w:t>
          </w:r>
          <w:r>
            <w:rPr>
              <w:i w:val="0"/>
              <w:sz w:val="19"/>
            </w:rPr>
            <w:t xml:space="preserve"> </w:t>
          </w:r>
          <w:r>
            <w:rPr>
              <w:i w:val="0"/>
              <w:w w:val="99"/>
              <w:sz w:val="19"/>
            </w:rPr>
            <w:t>W</w:t>
          </w:r>
          <w:r>
            <w:rPr>
              <w:i w:val="0"/>
              <w:spacing w:val="-1"/>
              <w:w w:val="99"/>
              <w:sz w:val="19"/>
            </w:rPr>
            <w:t>IN</w:t>
          </w:r>
          <w:r>
            <w:rPr>
              <w:i w:val="0"/>
              <w:w w:val="99"/>
              <w:sz w:val="19"/>
            </w:rPr>
            <w:t>E</w:t>
          </w:r>
          <w:r>
            <w:rPr>
              <w:i w:val="0"/>
              <w:sz w:val="19"/>
            </w:rPr>
            <w:t xml:space="preserve">  </w:t>
          </w:r>
          <w:r>
            <w:rPr>
              <w:i w:val="0"/>
              <w:spacing w:val="-20"/>
              <w:sz w:val="19"/>
            </w:rPr>
            <w:t xml:space="preserve"> </w:t>
          </w:r>
          <w:r>
            <w:rPr>
              <w:i w:val="0"/>
              <w:spacing w:val="-1"/>
              <w:sz w:val="24"/>
            </w:rPr>
            <w:t>66 1</w:t>
          </w:r>
          <w:r>
            <w:rPr>
              <w:i w:val="0"/>
              <w:sz w:val="24"/>
            </w:rPr>
            <w:t>.</w:t>
          </w:r>
          <w:r>
            <w:rPr>
              <w:i w:val="0"/>
              <w:sz w:val="24"/>
            </w:rPr>
            <w:tab/>
          </w:r>
          <w:r>
            <w:rPr>
              <w:i w:val="0"/>
              <w:sz w:val="24"/>
            </w:rPr>
            <w:tab/>
            <w:t>Overview</w:t>
          </w:r>
          <w:r>
            <w:rPr>
              <w:rFonts w:ascii="Times New Roman"/>
              <w:b w:val="0"/>
              <w:i w:val="0"/>
              <w:sz w:val="24"/>
            </w:rPr>
            <w:t xml:space="preserve"> </w:t>
          </w:r>
          <w:r>
            <w:rPr>
              <w:rFonts w:ascii="Times New Roman"/>
              <w:b w:val="0"/>
              <w:i w:val="0"/>
              <w:sz w:val="24"/>
            </w:rPr>
            <w:tab/>
          </w:r>
          <w:r>
            <w:rPr>
              <w:i w:val="0"/>
              <w:spacing w:val="-9"/>
              <w:sz w:val="24"/>
            </w:rPr>
            <w:t>66</w:t>
          </w:r>
        </w:p>
        <w:p w14:paraId="51DE7506" w14:textId="77777777" w:rsidR="0010369C" w:rsidRDefault="008E43AE">
          <w:pPr>
            <w:pStyle w:val="TOC6"/>
            <w:numPr>
              <w:ilvl w:val="0"/>
              <w:numId w:val="79"/>
            </w:numPr>
            <w:tabs>
              <w:tab w:val="left" w:pos="1939"/>
              <w:tab w:val="left" w:pos="1940"/>
              <w:tab w:val="left" w:leader="dot" w:pos="9054"/>
            </w:tabs>
            <w:spacing w:before="0" w:line="292" w:lineRule="exact"/>
          </w:pPr>
          <w:hyperlink w:anchor="_TOC_250009" w:history="1">
            <w:r>
              <w:t>Domestic</w:t>
            </w:r>
            <w:r>
              <w:rPr>
                <w:spacing w:val="-4"/>
              </w:rPr>
              <w:t xml:space="preserve"> </w:t>
            </w:r>
            <w:r>
              <w:t>sales</w:t>
            </w:r>
            <w:r>
              <w:rPr>
                <w:spacing w:val="-3"/>
              </w:rPr>
              <w:t xml:space="preserve"> </w:t>
            </w:r>
            <w:r>
              <w:t>of</w:t>
            </w:r>
            <w:r>
              <w:rPr>
                <w:spacing w:val="-3"/>
              </w:rPr>
              <w:t xml:space="preserve"> </w:t>
            </w:r>
            <w:r>
              <w:t>Australian</w:t>
            </w:r>
            <w:r>
              <w:rPr>
                <w:spacing w:val="-4"/>
              </w:rPr>
              <w:t xml:space="preserve"> </w:t>
            </w:r>
            <w:r>
              <w:t>bottled</w:t>
            </w:r>
            <w:r>
              <w:rPr>
                <w:spacing w:val="-4"/>
              </w:rPr>
              <w:t xml:space="preserve"> wine</w:t>
            </w:r>
            <w:r>
              <w:rPr>
                <w:rFonts w:ascii="Times New Roman"/>
                <w:b w:val="0"/>
              </w:rPr>
              <w:tab/>
            </w:r>
            <w:r>
              <w:rPr>
                <w:spacing w:val="-5"/>
              </w:rPr>
              <w:t>66</w:t>
            </w:r>
          </w:hyperlink>
        </w:p>
        <w:p w14:paraId="51DE7507" w14:textId="77777777" w:rsidR="0010369C" w:rsidRDefault="008E43AE">
          <w:pPr>
            <w:pStyle w:val="TOC7"/>
            <w:numPr>
              <w:ilvl w:val="1"/>
              <w:numId w:val="79"/>
            </w:numPr>
            <w:tabs>
              <w:tab w:val="left" w:pos="2365"/>
              <w:tab w:val="left" w:pos="2366"/>
              <w:tab w:val="left" w:leader="dot" w:pos="9054"/>
            </w:tabs>
            <w:ind w:right="193"/>
            <w:rPr>
              <w:u w:val="none"/>
            </w:rPr>
          </w:pPr>
          <w:r>
            <w:t>Product</w:t>
          </w:r>
          <w:r>
            <w:rPr>
              <w:spacing w:val="80"/>
            </w:rPr>
            <w:t xml:space="preserve"> </w:t>
          </w:r>
          <w:r>
            <w:t>mix</w:t>
          </w:r>
          <w:r>
            <w:rPr>
              <w:spacing w:val="80"/>
            </w:rPr>
            <w:t xml:space="preserve"> </w:t>
          </w:r>
          <w:r>
            <w:t>(physical</w:t>
          </w:r>
          <w:r>
            <w:rPr>
              <w:spacing w:val="80"/>
            </w:rPr>
            <w:t xml:space="preserve"> </w:t>
          </w:r>
          <w:r>
            <w:t>characteristics,</w:t>
          </w:r>
          <w:r>
            <w:rPr>
              <w:spacing w:val="80"/>
            </w:rPr>
            <w:t xml:space="preserve"> </w:t>
          </w:r>
          <w:r>
            <w:t>quality,</w:t>
          </w:r>
          <w:r>
            <w:rPr>
              <w:spacing w:val="80"/>
            </w:rPr>
            <w:t xml:space="preserve"> </w:t>
          </w:r>
          <w:r>
            <w:t>quantity,</w:t>
          </w:r>
          <w:r>
            <w:rPr>
              <w:spacing w:val="80"/>
            </w:rPr>
            <w:t xml:space="preserve"> </w:t>
          </w:r>
          <w:r>
            <w:t>consumer</w:t>
          </w:r>
          <w:r>
            <w:rPr>
              <w:u w:val="none"/>
            </w:rPr>
            <w:t xml:space="preserve"> </w:t>
          </w:r>
          <w:r>
            <w:t>preferences,</w:t>
          </w:r>
          <w:r>
            <w:rPr>
              <w:spacing w:val="-4"/>
            </w:rPr>
            <w:t xml:space="preserve"> </w:t>
          </w:r>
          <w:r>
            <w:rPr>
              <w:spacing w:val="-2"/>
            </w:rPr>
            <w:t>price)</w:t>
          </w:r>
          <w:r>
            <w:rPr>
              <w:rFonts w:ascii="Times New Roman"/>
              <w:u w:val="none"/>
            </w:rPr>
            <w:tab/>
          </w:r>
          <w:r>
            <w:rPr>
              <w:spacing w:val="-5"/>
            </w:rPr>
            <w:t>67</w:t>
          </w:r>
        </w:p>
        <w:p w14:paraId="51DE7508" w14:textId="77777777" w:rsidR="0010369C" w:rsidRDefault="008E43AE">
          <w:pPr>
            <w:pStyle w:val="TOC7"/>
            <w:numPr>
              <w:ilvl w:val="1"/>
              <w:numId w:val="79"/>
            </w:numPr>
            <w:tabs>
              <w:tab w:val="left" w:pos="2365"/>
              <w:tab w:val="left" w:pos="2366"/>
              <w:tab w:val="left" w:leader="dot" w:pos="9054"/>
            </w:tabs>
            <w:spacing w:before="121"/>
            <w:ind w:hanging="853"/>
            <w:rPr>
              <w:u w:val="none"/>
            </w:rPr>
          </w:pPr>
          <w:r>
            <w:t>Level of</w:t>
          </w:r>
          <w:r>
            <w:rPr>
              <w:spacing w:val="-1"/>
            </w:rPr>
            <w:t xml:space="preserve"> </w:t>
          </w:r>
          <w:r>
            <w:t>Trade</w:t>
          </w:r>
          <w:r>
            <w:rPr>
              <w:spacing w:val="-16"/>
            </w:rPr>
            <w:t xml:space="preserve"> </w:t>
          </w:r>
          <w:r>
            <w:rPr>
              <w:rFonts w:ascii="Times New Roman"/>
              <w:u w:val="none"/>
            </w:rPr>
            <w:tab/>
          </w:r>
          <w:r>
            <w:rPr>
              <w:spacing w:val="-5"/>
            </w:rPr>
            <w:t>68</w:t>
          </w:r>
        </w:p>
        <w:p w14:paraId="51DE7509" w14:textId="77777777" w:rsidR="0010369C" w:rsidRDefault="008E43AE">
          <w:pPr>
            <w:pStyle w:val="TOC6"/>
            <w:numPr>
              <w:ilvl w:val="0"/>
              <w:numId w:val="79"/>
            </w:numPr>
            <w:tabs>
              <w:tab w:val="left" w:pos="1939"/>
              <w:tab w:val="left" w:pos="1940"/>
              <w:tab w:val="left" w:leader="dot" w:pos="9054"/>
            </w:tabs>
          </w:pPr>
          <w:hyperlink w:anchor="_TOC_250008" w:history="1">
            <w:r>
              <w:t>Export</w:t>
            </w:r>
            <w:r>
              <w:rPr>
                <w:spacing w:val="-3"/>
              </w:rPr>
              <w:t xml:space="preserve"> </w:t>
            </w:r>
            <w:r>
              <w:t>sales</w:t>
            </w:r>
            <w:r>
              <w:rPr>
                <w:spacing w:val="-3"/>
              </w:rPr>
              <w:t xml:space="preserve"> </w:t>
            </w:r>
            <w:r>
              <w:t>of</w:t>
            </w:r>
            <w:r>
              <w:rPr>
                <w:spacing w:val="-3"/>
              </w:rPr>
              <w:t xml:space="preserve"> </w:t>
            </w:r>
            <w:r>
              <w:t>Australian</w:t>
            </w:r>
            <w:r>
              <w:rPr>
                <w:spacing w:val="-2"/>
              </w:rPr>
              <w:t xml:space="preserve"> </w:t>
            </w:r>
            <w:r>
              <w:t>bottled</w:t>
            </w:r>
            <w:r>
              <w:rPr>
                <w:spacing w:val="-3"/>
              </w:rPr>
              <w:t xml:space="preserve"> </w:t>
            </w:r>
            <w:r>
              <w:rPr>
                <w:spacing w:val="-4"/>
              </w:rPr>
              <w:t>wine</w:t>
            </w:r>
            <w:r>
              <w:rPr>
                <w:rFonts w:ascii="Times New Roman"/>
                <w:b w:val="0"/>
              </w:rPr>
              <w:tab/>
            </w:r>
            <w:r>
              <w:rPr>
                <w:spacing w:val="-5"/>
              </w:rPr>
              <w:t>70</w:t>
            </w:r>
          </w:hyperlink>
        </w:p>
        <w:p w14:paraId="51DE750A" w14:textId="77777777" w:rsidR="0010369C" w:rsidRDefault="008E43AE">
          <w:pPr>
            <w:pStyle w:val="TOC7"/>
            <w:numPr>
              <w:ilvl w:val="1"/>
              <w:numId w:val="79"/>
            </w:numPr>
            <w:tabs>
              <w:tab w:val="left" w:pos="2365"/>
              <w:tab w:val="left" w:pos="2366"/>
              <w:tab w:val="left" w:leader="dot" w:pos="9054"/>
            </w:tabs>
            <w:ind w:right="193"/>
            <w:rPr>
              <w:u w:val="none"/>
            </w:rPr>
          </w:pPr>
          <w:r>
            <w:t>Product</w:t>
          </w:r>
          <w:r>
            <w:rPr>
              <w:spacing w:val="80"/>
            </w:rPr>
            <w:t xml:space="preserve"> </w:t>
          </w:r>
          <w:r>
            <w:t>mix</w:t>
          </w:r>
          <w:r>
            <w:rPr>
              <w:spacing w:val="80"/>
            </w:rPr>
            <w:t xml:space="preserve"> </w:t>
          </w:r>
          <w:r>
            <w:t>(physical</w:t>
          </w:r>
          <w:r>
            <w:rPr>
              <w:spacing w:val="80"/>
            </w:rPr>
            <w:t xml:space="preserve"> </w:t>
          </w:r>
          <w:r>
            <w:t>characteristics,</w:t>
          </w:r>
          <w:r>
            <w:rPr>
              <w:spacing w:val="80"/>
            </w:rPr>
            <w:t xml:space="preserve"> </w:t>
          </w:r>
          <w:r>
            <w:t>quality,</w:t>
          </w:r>
          <w:r>
            <w:rPr>
              <w:spacing w:val="80"/>
            </w:rPr>
            <w:t xml:space="preserve"> </w:t>
          </w:r>
          <w:r>
            <w:t>quantity,</w:t>
          </w:r>
          <w:r>
            <w:rPr>
              <w:spacing w:val="80"/>
            </w:rPr>
            <w:t xml:space="preserve"> </w:t>
          </w:r>
          <w:r>
            <w:t>consumer</w:t>
          </w:r>
          <w:r>
            <w:rPr>
              <w:u w:val="none"/>
            </w:rPr>
            <w:t xml:space="preserve"> </w:t>
          </w:r>
          <w:r>
            <w:t>preferences,</w:t>
          </w:r>
          <w:r>
            <w:rPr>
              <w:spacing w:val="-4"/>
            </w:rPr>
            <w:t xml:space="preserve"> </w:t>
          </w:r>
          <w:r>
            <w:rPr>
              <w:spacing w:val="-2"/>
            </w:rPr>
            <w:t>price)</w:t>
          </w:r>
          <w:r>
            <w:rPr>
              <w:rFonts w:ascii="Times New Roman"/>
              <w:u w:val="none"/>
            </w:rPr>
            <w:tab/>
          </w:r>
          <w:r>
            <w:rPr>
              <w:spacing w:val="-5"/>
            </w:rPr>
            <w:t>70</w:t>
          </w:r>
        </w:p>
        <w:p w14:paraId="51DE750B" w14:textId="77777777" w:rsidR="0010369C" w:rsidRDefault="008E43AE">
          <w:pPr>
            <w:pStyle w:val="TOC7"/>
            <w:numPr>
              <w:ilvl w:val="1"/>
              <w:numId w:val="79"/>
            </w:numPr>
            <w:tabs>
              <w:tab w:val="left" w:pos="2365"/>
              <w:tab w:val="left" w:pos="2366"/>
              <w:tab w:val="left" w:leader="dot" w:pos="9054"/>
            </w:tabs>
            <w:ind w:hanging="853"/>
            <w:rPr>
              <w:u w:val="none"/>
            </w:rPr>
          </w:pPr>
          <w:r>
            <w:t>Level of</w:t>
          </w:r>
          <w:r>
            <w:rPr>
              <w:spacing w:val="-1"/>
            </w:rPr>
            <w:t xml:space="preserve"> </w:t>
          </w:r>
          <w:r>
            <w:t>Trade</w:t>
          </w:r>
          <w:r>
            <w:rPr>
              <w:spacing w:val="-16"/>
            </w:rPr>
            <w:t xml:space="preserve"> </w:t>
          </w:r>
          <w:r>
            <w:rPr>
              <w:rFonts w:ascii="Times New Roman"/>
              <w:u w:val="none"/>
            </w:rPr>
            <w:tab/>
          </w:r>
          <w:r>
            <w:rPr>
              <w:spacing w:val="-5"/>
            </w:rPr>
            <w:t>71</w:t>
          </w:r>
        </w:p>
        <w:p w14:paraId="51DE750C" w14:textId="77777777" w:rsidR="0010369C" w:rsidRDefault="008E43AE">
          <w:pPr>
            <w:pStyle w:val="TOC4"/>
            <w:numPr>
              <w:ilvl w:val="1"/>
              <w:numId w:val="80"/>
            </w:numPr>
            <w:tabs>
              <w:tab w:val="left" w:pos="1513"/>
              <w:tab w:val="left" w:pos="1514"/>
              <w:tab w:val="left" w:leader="dot" w:pos="9054"/>
            </w:tabs>
            <w:spacing w:before="119"/>
            <w:ind w:left="1514"/>
            <w:rPr>
              <w:sz w:val="24"/>
            </w:rPr>
          </w:pPr>
          <w:r>
            <w:rPr>
              <w:sz w:val="24"/>
            </w:rPr>
            <w:t>T</w:t>
          </w:r>
          <w:r>
            <w:t>REASURY</w:t>
          </w:r>
          <w:r>
            <w:rPr>
              <w:spacing w:val="-8"/>
            </w:rPr>
            <w:t xml:space="preserve"> </w:t>
          </w:r>
          <w:r>
            <w:rPr>
              <w:sz w:val="24"/>
            </w:rPr>
            <w:t>W</w:t>
          </w:r>
          <w:r>
            <w:t>INE</w:t>
          </w:r>
          <w:r>
            <w:rPr>
              <w:spacing w:val="-7"/>
            </w:rPr>
            <w:t xml:space="preserve"> </w:t>
          </w:r>
          <w:r>
            <w:rPr>
              <w:sz w:val="24"/>
            </w:rPr>
            <w:t>E</w:t>
          </w:r>
          <w:r>
            <w:t>STATES</w:t>
          </w:r>
          <w:r>
            <w:rPr>
              <w:spacing w:val="-8"/>
            </w:rPr>
            <w:t xml:space="preserve"> </w:t>
          </w:r>
          <w:r>
            <w:rPr>
              <w:sz w:val="24"/>
            </w:rPr>
            <w:t>V</w:t>
          </w:r>
          <w:r>
            <w:t>INTNERS</w:t>
          </w:r>
          <w:r>
            <w:rPr>
              <w:spacing w:val="-7"/>
            </w:rPr>
            <w:t xml:space="preserve"> </w:t>
          </w:r>
          <w:r>
            <w:rPr>
              <w:spacing w:val="-2"/>
              <w:sz w:val="24"/>
            </w:rPr>
            <w:t>L</w:t>
          </w:r>
          <w:r>
            <w:rPr>
              <w:spacing w:val="-2"/>
            </w:rPr>
            <w:t>IMITED</w:t>
          </w:r>
          <w:r>
            <w:rPr>
              <w:rFonts w:ascii="Times New Roman"/>
              <w:b w:val="0"/>
            </w:rPr>
            <w:tab/>
          </w:r>
          <w:r>
            <w:rPr>
              <w:spacing w:val="-5"/>
              <w:sz w:val="24"/>
            </w:rPr>
            <w:t>72</w:t>
          </w:r>
        </w:p>
        <w:p w14:paraId="51DE750D" w14:textId="77777777" w:rsidR="0010369C" w:rsidRDefault="008E43AE">
          <w:pPr>
            <w:pStyle w:val="TOC6"/>
            <w:numPr>
              <w:ilvl w:val="2"/>
              <w:numId w:val="80"/>
            </w:numPr>
            <w:tabs>
              <w:tab w:val="left" w:pos="1939"/>
              <w:tab w:val="left" w:pos="1940"/>
              <w:tab w:val="left" w:leader="dot" w:pos="9054"/>
            </w:tabs>
            <w:ind w:left="1940"/>
          </w:pPr>
          <w:hyperlink w:anchor="_TOC_250007" w:history="1">
            <w:r>
              <w:rPr>
                <w:spacing w:val="-2"/>
              </w:rPr>
              <w:t>Overview</w:t>
            </w:r>
            <w:r>
              <w:rPr>
                <w:rFonts w:ascii="Times New Roman"/>
                <w:b w:val="0"/>
              </w:rPr>
              <w:tab/>
            </w:r>
            <w:r>
              <w:rPr>
                <w:spacing w:val="-5"/>
              </w:rPr>
              <w:t>72</w:t>
            </w:r>
          </w:hyperlink>
        </w:p>
        <w:p w14:paraId="51DE750E" w14:textId="77777777" w:rsidR="0010369C" w:rsidRDefault="008E43AE">
          <w:pPr>
            <w:pStyle w:val="TOC6"/>
            <w:numPr>
              <w:ilvl w:val="2"/>
              <w:numId w:val="80"/>
            </w:numPr>
            <w:tabs>
              <w:tab w:val="left" w:pos="1939"/>
              <w:tab w:val="left" w:pos="1940"/>
              <w:tab w:val="left" w:leader="dot" w:pos="9054"/>
            </w:tabs>
            <w:spacing w:before="121"/>
            <w:ind w:left="1940"/>
          </w:pPr>
          <w:hyperlink w:anchor="_TOC_250006" w:history="1">
            <w:r>
              <w:t>MOFCOM</w:t>
            </w:r>
            <w:r>
              <w:rPr>
                <w:spacing w:val="-3"/>
              </w:rPr>
              <w:t xml:space="preserve"> </w:t>
            </w:r>
            <w:r>
              <w:t>improperly</w:t>
            </w:r>
            <w:r>
              <w:rPr>
                <w:spacing w:val="-2"/>
              </w:rPr>
              <w:t xml:space="preserve"> </w:t>
            </w:r>
            <w:r>
              <w:t>resorted</w:t>
            </w:r>
            <w:r>
              <w:rPr>
                <w:spacing w:val="-3"/>
              </w:rPr>
              <w:t xml:space="preserve"> </w:t>
            </w:r>
            <w:r>
              <w:t>to</w:t>
            </w:r>
            <w:r>
              <w:rPr>
                <w:spacing w:val="-2"/>
              </w:rPr>
              <w:t xml:space="preserve"> </w:t>
            </w:r>
            <w:r>
              <w:t>facts</w:t>
            </w:r>
            <w:r>
              <w:rPr>
                <w:spacing w:val="-2"/>
              </w:rPr>
              <w:t xml:space="preserve"> available</w:t>
            </w:r>
            <w:r>
              <w:rPr>
                <w:rFonts w:ascii="Times New Roman"/>
                <w:b w:val="0"/>
              </w:rPr>
              <w:tab/>
            </w:r>
            <w:r>
              <w:rPr>
                <w:spacing w:val="-5"/>
              </w:rPr>
              <w:t>73</w:t>
            </w:r>
          </w:hyperlink>
        </w:p>
        <w:p w14:paraId="51DE750F" w14:textId="77777777" w:rsidR="0010369C" w:rsidRDefault="008E43AE">
          <w:pPr>
            <w:pStyle w:val="TOC7"/>
            <w:numPr>
              <w:ilvl w:val="3"/>
              <w:numId w:val="80"/>
            </w:numPr>
            <w:tabs>
              <w:tab w:val="left" w:pos="2365"/>
              <w:tab w:val="left" w:pos="2366"/>
              <w:tab w:val="left" w:leader="dot" w:pos="9054"/>
            </w:tabs>
            <w:ind w:hanging="853"/>
            <w:rPr>
              <w:u w:val="none"/>
            </w:rPr>
          </w:pPr>
          <w:r>
            <w:t>MOFCOM's</w:t>
          </w:r>
          <w:r>
            <w:rPr>
              <w:spacing w:val="-6"/>
            </w:rPr>
            <w:t xml:space="preserve"> </w:t>
          </w:r>
          <w:r>
            <w:t>Determination</w:t>
          </w:r>
          <w:r>
            <w:rPr>
              <w:spacing w:val="-13"/>
            </w:rPr>
            <w:t xml:space="preserve"> </w:t>
          </w:r>
          <w:r>
            <w:rPr>
              <w:rFonts w:ascii="Times New Roman"/>
              <w:u w:val="none"/>
            </w:rPr>
            <w:tab/>
          </w:r>
          <w:r>
            <w:rPr>
              <w:spacing w:val="-5"/>
            </w:rPr>
            <w:t>75</w:t>
          </w:r>
        </w:p>
        <w:p w14:paraId="51DE7510" w14:textId="77777777" w:rsidR="0010369C" w:rsidRDefault="008E43AE">
          <w:pPr>
            <w:pStyle w:val="TOC9"/>
            <w:numPr>
              <w:ilvl w:val="4"/>
              <w:numId w:val="80"/>
            </w:numPr>
            <w:tabs>
              <w:tab w:val="left" w:pos="2790"/>
              <w:tab w:val="left" w:pos="2791"/>
              <w:tab w:val="left" w:leader="dot" w:pos="9054"/>
            </w:tabs>
            <w:ind w:hanging="852"/>
          </w:pPr>
          <w:r>
            <w:t>Form</w:t>
          </w:r>
          <w:r>
            <w:rPr>
              <w:spacing w:val="-2"/>
            </w:rPr>
            <w:t xml:space="preserve"> </w:t>
          </w:r>
          <w:r>
            <w:t>6‐1‐1</w:t>
          </w:r>
          <w:r>
            <w:rPr>
              <w:spacing w:val="-2"/>
            </w:rPr>
            <w:t xml:space="preserve"> </w:t>
          </w:r>
          <w:r>
            <w:t>Procurement</w:t>
          </w:r>
          <w:r>
            <w:rPr>
              <w:spacing w:val="-2"/>
            </w:rPr>
            <w:t xml:space="preserve"> </w:t>
          </w:r>
          <w:r>
            <w:t>Cost</w:t>
          </w:r>
          <w:r>
            <w:rPr>
              <w:spacing w:val="-1"/>
            </w:rPr>
            <w:t xml:space="preserve"> </w:t>
          </w:r>
          <w:r>
            <w:t>Sheet</w:t>
          </w:r>
          <w:r>
            <w:rPr>
              <w:spacing w:val="-3"/>
            </w:rPr>
            <w:t xml:space="preserve"> </w:t>
          </w:r>
          <w:r>
            <w:t>for</w:t>
          </w:r>
          <w:r>
            <w:rPr>
              <w:spacing w:val="-1"/>
            </w:rPr>
            <w:t xml:space="preserve"> </w:t>
          </w:r>
          <w:r>
            <w:t>Raw</w:t>
          </w:r>
          <w:r>
            <w:rPr>
              <w:spacing w:val="-2"/>
            </w:rPr>
            <w:t xml:space="preserve"> Materials</w:t>
          </w:r>
          <w:r>
            <w:rPr>
              <w:rFonts w:ascii="Times New Roman" w:hAnsi="Times New Roman"/>
              <w:i w:val="0"/>
            </w:rPr>
            <w:tab/>
          </w:r>
          <w:r>
            <w:rPr>
              <w:spacing w:val="-5"/>
            </w:rPr>
            <w:t>75</w:t>
          </w:r>
        </w:p>
        <w:p w14:paraId="51DE7511" w14:textId="77777777" w:rsidR="0010369C" w:rsidRDefault="008E43AE">
          <w:pPr>
            <w:pStyle w:val="TOC9"/>
            <w:numPr>
              <w:ilvl w:val="4"/>
              <w:numId w:val="80"/>
            </w:numPr>
            <w:tabs>
              <w:tab w:val="left" w:pos="2790"/>
              <w:tab w:val="left" w:pos="2791"/>
              <w:tab w:val="left" w:leader="dot" w:pos="9054"/>
            </w:tabs>
            <w:ind w:hanging="852"/>
          </w:pPr>
          <w:r>
            <w:t>Form</w:t>
          </w:r>
          <w:r>
            <w:rPr>
              <w:spacing w:val="-5"/>
            </w:rPr>
            <w:t xml:space="preserve"> </w:t>
          </w:r>
          <w:r>
            <w:t>6‐1‐2</w:t>
          </w:r>
          <w:r>
            <w:rPr>
              <w:spacing w:val="-1"/>
            </w:rPr>
            <w:t xml:space="preserve"> </w:t>
          </w:r>
          <w:r>
            <w:t>Production</w:t>
          </w:r>
          <w:r>
            <w:rPr>
              <w:spacing w:val="-4"/>
            </w:rPr>
            <w:t xml:space="preserve"> </w:t>
          </w:r>
          <w:r>
            <w:t>Cost</w:t>
          </w:r>
          <w:r>
            <w:rPr>
              <w:spacing w:val="-1"/>
            </w:rPr>
            <w:t xml:space="preserve"> </w:t>
          </w:r>
          <w:r>
            <w:t>Sheet</w:t>
          </w:r>
          <w:r>
            <w:rPr>
              <w:spacing w:val="-2"/>
            </w:rPr>
            <w:t xml:space="preserve"> </w:t>
          </w:r>
          <w:r>
            <w:t>for</w:t>
          </w:r>
          <w:r>
            <w:rPr>
              <w:spacing w:val="-1"/>
            </w:rPr>
            <w:t xml:space="preserve"> </w:t>
          </w:r>
          <w:r>
            <w:t>Raw</w:t>
          </w:r>
          <w:r>
            <w:rPr>
              <w:spacing w:val="-2"/>
            </w:rPr>
            <w:t xml:space="preserve"> Materials</w:t>
          </w:r>
          <w:r>
            <w:rPr>
              <w:rFonts w:ascii="Times New Roman" w:hAnsi="Times New Roman"/>
              <w:i w:val="0"/>
            </w:rPr>
            <w:tab/>
          </w:r>
          <w:r>
            <w:rPr>
              <w:spacing w:val="-7"/>
            </w:rPr>
            <w:t>79</w:t>
          </w:r>
        </w:p>
        <w:p w14:paraId="51DE7512" w14:textId="77777777" w:rsidR="0010369C" w:rsidRDefault="008E43AE">
          <w:pPr>
            <w:pStyle w:val="TOC9"/>
            <w:numPr>
              <w:ilvl w:val="4"/>
              <w:numId w:val="80"/>
            </w:numPr>
            <w:tabs>
              <w:tab w:val="left" w:pos="2790"/>
              <w:tab w:val="left" w:pos="2791"/>
              <w:tab w:val="left" w:leader="dot" w:pos="9054"/>
            </w:tabs>
            <w:ind w:hanging="852"/>
          </w:pPr>
          <w:r>
            <w:t>Form</w:t>
          </w:r>
          <w:r>
            <w:rPr>
              <w:spacing w:val="-3"/>
            </w:rPr>
            <w:t xml:space="preserve"> </w:t>
          </w:r>
          <w:r>
            <w:t>6‐3</w:t>
          </w:r>
          <w:r>
            <w:rPr>
              <w:spacing w:val="-2"/>
            </w:rPr>
            <w:t xml:space="preserve"> </w:t>
          </w:r>
          <w:r>
            <w:t>Product</w:t>
          </w:r>
          <w:r>
            <w:rPr>
              <w:spacing w:val="-2"/>
            </w:rPr>
            <w:t xml:space="preserve"> </w:t>
          </w:r>
          <w:r>
            <w:t>Costs</w:t>
          </w:r>
          <w:r>
            <w:rPr>
              <w:spacing w:val="-2"/>
            </w:rPr>
            <w:t xml:space="preserve"> </w:t>
          </w:r>
          <w:r>
            <w:t>and</w:t>
          </w:r>
          <w:r>
            <w:rPr>
              <w:spacing w:val="-1"/>
            </w:rPr>
            <w:t xml:space="preserve"> </w:t>
          </w:r>
          <w:r>
            <w:t>Related</w:t>
          </w:r>
          <w:r>
            <w:rPr>
              <w:spacing w:val="-3"/>
            </w:rPr>
            <w:t xml:space="preserve"> </w:t>
          </w:r>
          <w:r>
            <w:rPr>
              <w:spacing w:val="-2"/>
            </w:rPr>
            <w:t>Expenses</w:t>
          </w:r>
          <w:r>
            <w:rPr>
              <w:rFonts w:ascii="Times New Roman" w:hAnsi="Times New Roman"/>
              <w:i w:val="0"/>
            </w:rPr>
            <w:tab/>
          </w:r>
          <w:r>
            <w:rPr>
              <w:spacing w:val="-5"/>
            </w:rPr>
            <w:t>83</w:t>
          </w:r>
        </w:p>
        <w:p w14:paraId="51DE7513" w14:textId="77777777" w:rsidR="0010369C" w:rsidRDefault="008E43AE">
          <w:pPr>
            <w:pStyle w:val="TOC9"/>
            <w:numPr>
              <w:ilvl w:val="4"/>
              <w:numId w:val="80"/>
            </w:numPr>
            <w:tabs>
              <w:tab w:val="left" w:pos="2790"/>
              <w:tab w:val="left" w:pos="2791"/>
              <w:tab w:val="left" w:leader="dot" w:pos="9054"/>
            </w:tabs>
            <w:spacing w:before="119"/>
            <w:ind w:right="194"/>
          </w:pPr>
          <w:r>
            <w:t>Form</w:t>
          </w:r>
          <w:r>
            <w:rPr>
              <w:spacing w:val="-12"/>
            </w:rPr>
            <w:t xml:space="preserve"> </w:t>
          </w:r>
          <w:r>
            <w:t>6‐4</w:t>
          </w:r>
          <w:r>
            <w:rPr>
              <w:spacing w:val="-13"/>
            </w:rPr>
            <w:t xml:space="preserve"> </w:t>
          </w:r>
          <w:r>
            <w:t>Production</w:t>
          </w:r>
          <w:r>
            <w:rPr>
              <w:spacing w:val="-12"/>
            </w:rPr>
            <w:t xml:space="preserve"> </w:t>
          </w:r>
          <w:r>
            <w:t>Cost</w:t>
          </w:r>
          <w:r>
            <w:rPr>
              <w:spacing w:val="-12"/>
            </w:rPr>
            <w:t xml:space="preserve"> </w:t>
          </w:r>
          <w:r>
            <w:t>Details</w:t>
          </w:r>
          <w:r>
            <w:rPr>
              <w:spacing w:val="-12"/>
            </w:rPr>
            <w:t xml:space="preserve"> </w:t>
          </w:r>
          <w:r>
            <w:t>of</w:t>
          </w:r>
          <w:r>
            <w:rPr>
              <w:spacing w:val="-13"/>
            </w:rPr>
            <w:t xml:space="preserve"> </w:t>
          </w:r>
          <w:r>
            <w:t>the</w:t>
          </w:r>
          <w:r>
            <w:rPr>
              <w:spacing w:val="-12"/>
            </w:rPr>
            <w:t xml:space="preserve"> </w:t>
          </w:r>
          <w:r>
            <w:t>Product</w:t>
          </w:r>
          <w:r>
            <w:rPr>
              <w:spacing w:val="-14"/>
            </w:rPr>
            <w:t xml:space="preserve"> </w:t>
          </w:r>
          <w:r>
            <w:t>Under</w:t>
          </w:r>
          <w:r>
            <w:rPr>
              <w:spacing w:val="-12"/>
            </w:rPr>
            <w:t xml:space="preserve"> </w:t>
          </w:r>
          <w:r>
            <w:t>Investigation</w:t>
          </w:r>
          <w:r>
            <w:t xml:space="preserve"> and</w:t>
          </w:r>
          <w:r>
            <w:rPr>
              <w:spacing w:val="-1"/>
            </w:rPr>
            <w:t xml:space="preserve"> </w:t>
          </w:r>
          <w:r>
            <w:t>the</w:t>
          </w:r>
          <w:r>
            <w:rPr>
              <w:spacing w:val="-2"/>
            </w:rPr>
            <w:t xml:space="preserve"> </w:t>
          </w:r>
          <w:r>
            <w:t>Like</w:t>
          </w:r>
          <w:r>
            <w:rPr>
              <w:spacing w:val="-1"/>
            </w:rPr>
            <w:t xml:space="preserve"> </w:t>
          </w:r>
          <w:r>
            <w:rPr>
              <w:spacing w:val="-2"/>
            </w:rPr>
            <w:t>Product</w:t>
          </w:r>
          <w:r>
            <w:rPr>
              <w:rFonts w:ascii="Times New Roman" w:hAnsi="Times New Roman"/>
              <w:i w:val="0"/>
            </w:rPr>
            <w:tab/>
          </w:r>
          <w:r>
            <w:rPr>
              <w:spacing w:val="-5"/>
            </w:rPr>
            <w:t>89</w:t>
          </w:r>
        </w:p>
        <w:p w14:paraId="51DE7514" w14:textId="77777777" w:rsidR="0010369C" w:rsidRDefault="008E43AE">
          <w:pPr>
            <w:pStyle w:val="TOC9"/>
            <w:tabs>
              <w:tab w:val="left" w:pos="2790"/>
              <w:tab w:val="left" w:leader="dot" w:pos="9054"/>
            </w:tabs>
            <w:spacing w:before="121"/>
            <w:ind w:left="1940" w:firstLine="0"/>
          </w:pPr>
          <w:r>
            <w:rPr>
              <w:spacing w:val="-5"/>
            </w:rPr>
            <w:t>v.</w:t>
          </w:r>
          <w:r>
            <w:tab/>
            <w:t>Reconciliation</w:t>
          </w:r>
          <w:r>
            <w:rPr>
              <w:spacing w:val="-3"/>
            </w:rPr>
            <w:t xml:space="preserve"> </w:t>
          </w:r>
          <w:r>
            <w:t>with</w:t>
          </w:r>
          <w:r>
            <w:rPr>
              <w:spacing w:val="-4"/>
            </w:rPr>
            <w:t xml:space="preserve"> </w:t>
          </w:r>
          <w:r>
            <w:t>Forms</w:t>
          </w:r>
          <w:r>
            <w:rPr>
              <w:spacing w:val="-3"/>
            </w:rPr>
            <w:t xml:space="preserve"> </w:t>
          </w:r>
          <w:r>
            <w:t>6‐1‐1,</w:t>
          </w:r>
          <w:r>
            <w:rPr>
              <w:spacing w:val="-4"/>
            </w:rPr>
            <w:t xml:space="preserve"> </w:t>
          </w:r>
          <w:r>
            <w:t>6‐1‐2,</w:t>
          </w:r>
          <w:r>
            <w:rPr>
              <w:spacing w:val="-3"/>
            </w:rPr>
            <w:t xml:space="preserve"> </w:t>
          </w:r>
          <w:r>
            <w:t>6‐3,</w:t>
          </w:r>
          <w:r>
            <w:rPr>
              <w:spacing w:val="-4"/>
            </w:rPr>
            <w:t xml:space="preserve"> </w:t>
          </w:r>
          <w:r>
            <w:t>6‐5,</w:t>
          </w:r>
          <w:r>
            <w:rPr>
              <w:spacing w:val="-4"/>
            </w:rPr>
            <w:t xml:space="preserve"> </w:t>
          </w:r>
          <w:r>
            <w:t>6‐6,</w:t>
          </w:r>
          <w:r>
            <w:rPr>
              <w:spacing w:val="-2"/>
            </w:rPr>
            <w:t xml:space="preserve"> </w:t>
          </w:r>
          <w:r>
            <w:t>6‐7,</w:t>
          </w:r>
          <w:r>
            <w:rPr>
              <w:spacing w:val="-1"/>
            </w:rPr>
            <w:t xml:space="preserve"> </w:t>
          </w:r>
          <w:r>
            <w:rPr>
              <w:spacing w:val="-5"/>
            </w:rPr>
            <w:t>6‐8</w:t>
          </w:r>
          <w:r>
            <w:rPr>
              <w:rFonts w:ascii="Times New Roman" w:hAnsi="Times New Roman"/>
              <w:i w:val="0"/>
            </w:rPr>
            <w:tab/>
          </w:r>
          <w:r>
            <w:rPr>
              <w:spacing w:val="-5"/>
            </w:rPr>
            <w:t>96</w:t>
          </w:r>
        </w:p>
        <w:p w14:paraId="51DE7515" w14:textId="77777777" w:rsidR="0010369C" w:rsidRDefault="008E43AE">
          <w:pPr>
            <w:pStyle w:val="TOC7"/>
            <w:numPr>
              <w:ilvl w:val="3"/>
              <w:numId w:val="80"/>
            </w:numPr>
            <w:tabs>
              <w:tab w:val="left" w:pos="2365"/>
              <w:tab w:val="left" w:pos="2366"/>
              <w:tab w:val="left" w:leader="dot" w:pos="8933"/>
            </w:tabs>
            <w:ind w:hanging="852"/>
            <w:rPr>
              <w:u w:val="none"/>
            </w:rPr>
          </w:pPr>
          <w:r>
            <w:t>Information</w:t>
          </w:r>
          <w:r>
            <w:rPr>
              <w:spacing w:val="-3"/>
            </w:rPr>
            <w:t xml:space="preserve"> </w:t>
          </w:r>
          <w:r>
            <w:t>used</w:t>
          </w:r>
          <w:r>
            <w:rPr>
              <w:spacing w:val="-1"/>
            </w:rPr>
            <w:t xml:space="preserve"> </w:t>
          </w:r>
          <w:r>
            <w:t>was</w:t>
          </w:r>
          <w:r>
            <w:rPr>
              <w:spacing w:val="-2"/>
            </w:rPr>
            <w:t xml:space="preserve"> </w:t>
          </w:r>
          <w:r>
            <w:t>not</w:t>
          </w:r>
          <w:r>
            <w:rPr>
              <w:spacing w:val="-1"/>
            </w:rPr>
            <w:t xml:space="preserve"> </w:t>
          </w:r>
          <w:r>
            <w:t>the "Best</w:t>
          </w:r>
          <w:r>
            <w:rPr>
              <w:spacing w:val="-1"/>
            </w:rPr>
            <w:t xml:space="preserve"> </w:t>
          </w:r>
          <w:r>
            <w:t>Available"</w:t>
          </w:r>
          <w:r>
            <w:rPr>
              <w:spacing w:val="-25"/>
            </w:rPr>
            <w:t xml:space="preserve"> </w:t>
          </w:r>
          <w:r>
            <w:rPr>
              <w:rFonts w:ascii="Times New Roman"/>
              <w:u w:val="none"/>
            </w:rPr>
            <w:tab/>
          </w:r>
          <w:r>
            <w:rPr>
              <w:spacing w:val="-5"/>
            </w:rPr>
            <w:t>101</w:t>
          </w:r>
        </w:p>
        <w:p w14:paraId="51DE7516" w14:textId="77777777" w:rsidR="0010369C" w:rsidRDefault="008E43AE">
          <w:pPr>
            <w:pStyle w:val="TOC6"/>
            <w:numPr>
              <w:ilvl w:val="2"/>
              <w:numId w:val="80"/>
            </w:numPr>
            <w:tabs>
              <w:tab w:val="left" w:pos="1939"/>
              <w:tab w:val="left" w:pos="1940"/>
              <w:tab w:val="left" w:leader="dot" w:pos="8933"/>
            </w:tabs>
            <w:ind w:left="1940"/>
          </w:pPr>
          <w:hyperlink w:anchor="_TOC_250005" w:history="1">
            <w:r>
              <w:t>MOFCOM</w:t>
            </w:r>
            <w:r>
              <w:rPr>
                <w:spacing w:val="-4"/>
              </w:rPr>
              <w:t xml:space="preserve"> </w:t>
            </w:r>
            <w:r>
              <w:t>improperly</w:t>
            </w:r>
            <w:r>
              <w:rPr>
                <w:spacing w:val="-4"/>
              </w:rPr>
              <w:t xml:space="preserve"> </w:t>
            </w:r>
            <w:r>
              <w:t>calculated</w:t>
            </w:r>
            <w:r>
              <w:rPr>
                <w:spacing w:val="-3"/>
              </w:rPr>
              <w:t xml:space="preserve"> </w:t>
            </w:r>
            <w:r>
              <w:t>normal</w:t>
            </w:r>
            <w:r>
              <w:rPr>
                <w:spacing w:val="-4"/>
              </w:rPr>
              <w:t xml:space="preserve"> </w:t>
            </w:r>
            <w:r>
              <w:rPr>
                <w:spacing w:val="-2"/>
              </w:rPr>
              <w:t>value</w:t>
            </w:r>
            <w:r>
              <w:rPr>
                <w:rFonts w:ascii="Times New Roman"/>
                <w:b w:val="0"/>
              </w:rPr>
              <w:tab/>
            </w:r>
            <w:r>
              <w:rPr>
                <w:spacing w:val="-5"/>
              </w:rPr>
              <w:t>103</w:t>
            </w:r>
          </w:hyperlink>
        </w:p>
        <w:p w14:paraId="51DE7517" w14:textId="77777777" w:rsidR="0010369C" w:rsidRDefault="008E43AE">
          <w:pPr>
            <w:pStyle w:val="TOC7"/>
            <w:numPr>
              <w:ilvl w:val="3"/>
              <w:numId w:val="80"/>
            </w:numPr>
            <w:tabs>
              <w:tab w:val="left" w:pos="2365"/>
              <w:tab w:val="left" w:pos="2366"/>
              <w:tab w:val="left" w:leader="dot" w:pos="8933"/>
            </w:tabs>
            <w:ind w:hanging="852"/>
            <w:rPr>
              <w:u w:val="none"/>
            </w:rPr>
          </w:pPr>
          <w:r>
            <w:t>MOFCOM</w:t>
          </w:r>
          <w:r>
            <w:rPr>
              <w:spacing w:val="-4"/>
            </w:rPr>
            <w:t xml:space="preserve"> </w:t>
          </w:r>
          <w:r>
            <w:t>failed</w:t>
          </w:r>
          <w:r>
            <w:rPr>
              <w:spacing w:val="-3"/>
            </w:rPr>
            <w:t xml:space="preserve"> </w:t>
          </w:r>
          <w:r>
            <w:t>to</w:t>
          </w:r>
          <w:r>
            <w:rPr>
              <w:spacing w:val="-2"/>
            </w:rPr>
            <w:t xml:space="preserve"> </w:t>
          </w:r>
          <w:r>
            <w:t>have</w:t>
          </w:r>
          <w:r>
            <w:rPr>
              <w:spacing w:val="-3"/>
            </w:rPr>
            <w:t xml:space="preserve"> </w:t>
          </w:r>
          <w:r>
            <w:t>regard</w:t>
          </w:r>
          <w:r>
            <w:rPr>
              <w:spacing w:val="-2"/>
            </w:rPr>
            <w:t xml:space="preserve"> </w:t>
          </w:r>
          <w:r>
            <w:t>to</w:t>
          </w:r>
          <w:r>
            <w:rPr>
              <w:spacing w:val="-2"/>
            </w:rPr>
            <w:t xml:space="preserve"> </w:t>
          </w:r>
          <w:r>
            <w:t>all</w:t>
          </w:r>
          <w:r>
            <w:rPr>
              <w:spacing w:val="-4"/>
            </w:rPr>
            <w:t xml:space="preserve"> </w:t>
          </w:r>
          <w:r>
            <w:t>relevant</w:t>
          </w:r>
          <w:r>
            <w:rPr>
              <w:spacing w:val="-3"/>
            </w:rPr>
            <w:t xml:space="preserve"> </w:t>
          </w:r>
          <w:r>
            <w:t>domestic</w:t>
          </w:r>
          <w:r>
            <w:rPr>
              <w:spacing w:val="-1"/>
            </w:rPr>
            <w:t xml:space="preserve"> </w:t>
          </w:r>
          <w:r>
            <w:rPr>
              <w:spacing w:val="-2"/>
            </w:rPr>
            <w:t>sales</w:t>
          </w:r>
          <w:r>
            <w:rPr>
              <w:rFonts w:ascii="Times New Roman"/>
              <w:u w:val="none"/>
            </w:rPr>
            <w:tab/>
          </w:r>
          <w:r>
            <w:rPr>
              <w:spacing w:val="-5"/>
            </w:rPr>
            <w:t>104</w:t>
          </w:r>
        </w:p>
        <w:p w14:paraId="51DE7518" w14:textId="77777777" w:rsidR="0010369C" w:rsidRDefault="008E43AE">
          <w:pPr>
            <w:pStyle w:val="TOC9"/>
            <w:numPr>
              <w:ilvl w:val="4"/>
              <w:numId w:val="80"/>
            </w:numPr>
            <w:tabs>
              <w:tab w:val="left" w:pos="2790"/>
              <w:tab w:val="left" w:pos="2791"/>
              <w:tab w:val="left" w:leader="dot" w:pos="8933"/>
            </w:tabs>
            <w:ind w:right="193"/>
          </w:pPr>
          <w:r>
            <w:t>MOFCOM failed to consider whether relevant domestic sales were</w:t>
          </w:r>
          <w:r>
            <w:t xml:space="preserve"> in the 'Ordinary Course of Trade'</w:t>
          </w:r>
          <w:r>
            <w:rPr>
              <w:rFonts w:ascii="Times New Roman"/>
              <w:i w:val="0"/>
            </w:rPr>
            <w:tab/>
          </w:r>
          <w:r>
            <w:rPr>
              <w:spacing w:val="-4"/>
            </w:rPr>
            <w:t>105</w:t>
          </w:r>
        </w:p>
        <w:p w14:paraId="51DE7519" w14:textId="77777777" w:rsidR="0010369C" w:rsidRDefault="008E43AE">
          <w:pPr>
            <w:pStyle w:val="TOC9"/>
            <w:numPr>
              <w:ilvl w:val="4"/>
              <w:numId w:val="80"/>
            </w:numPr>
            <w:tabs>
              <w:tab w:val="left" w:pos="2790"/>
              <w:tab w:val="left" w:pos="2791"/>
              <w:tab w:val="left" w:leader="dot" w:pos="8933"/>
            </w:tabs>
            <w:spacing w:before="119"/>
            <w:ind w:right="195"/>
          </w:pPr>
          <w:r>
            <w:t>Characteristics</w:t>
          </w:r>
          <w:r>
            <w:rPr>
              <w:spacing w:val="80"/>
            </w:rPr>
            <w:t xml:space="preserve"> </w:t>
          </w:r>
          <w:r>
            <w:t>affecting</w:t>
          </w:r>
          <w:r>
            <w:rPr>
              <w:spacing w:val="80"/>
            </w:rPr>
            <w:t xml:space="preserve"> </w:t>
          </w:r>
          <w:r>
            <w:t>price</w:t>
          </w:r>
          <w:r>
            <w:rPr>
              <w:spacing w:val="80"/>
            </w:rPr>
            <w:t xml:space="preserve"> </w:t>
          </w:r>
          <w:r>
            <w:t>comparability</w:t>
          </w:r>
          <w:r>
            <w:rPr>
              <w:spacing w:val="80"/>
            </w:rPr>
            <w:t xml:space="preserve"> </w:t>
          </w:r>
          <w:r>
            <w:t>in</w:t>
          </w:r>
          <w:r>
            <w:rPr>
              <w:spacing w:val="80"/>
            </w:rPr>
            <w:t xml:space="preserve"> </w:t>
          </w:r>
          <w:r>
            <w:t>the</w:t>
          </w:r>
          <w:r>
            <w:rPr>
              <w:spacing w:val="80"/>
            </w:rPr>
            <w:t xml:space="preserve"> </w:t>
          </w:r>
          <w:r>
            <w:t>selected</w:t>
          </w:r>
          <w:r>
            <w:rPr>
              <w:spacing w:val="80"/>
            </w:rPr>
            <w:t xml:space="preserve"> </w:t>
          </w:r>
          <w:r>
            <w:t>domestic</w:t>
          </w:r>
          <w:r>
            <w:rPr>
              <w:spacing w:val="-1"/>
            </w:rPr>
            <w:t xml:space="preserve"> </w:t>
          </w:r>
          <w:r>
            <w:rPr>
              <w:spacing w:val="-2"/>
            </w:rPr>
            <w:t>sales</w:t>
          </w:r>
          <w:r>
            <w:rPr>
              <w:rFonts w:ascii="Times New Roman"/>
              <w:i w:val="0"/>
            </w:rPr>
            <w:tab/>
          </w:r>
          <w:r>
            <w:rPr>
              <w:spacing w:val="-5"/>
            </w:rPr>
            <w:t>113</w:t>
          </w:r>
        </w:p>
        <w:p w14:paraId="51DE751A" w14:textId="77777777" w:rsidR="0010369C" w:rsidRDefault="008E43AE">
          <w:pPr>
            <w:pStyle w:val="TOC1"/>
            <w:numPr>
              <w:ilvl w:val="2"/>
              <w:numId w:val="80"/>
            </w:numPr>
            <w:tabs>
              <w:tab w:val="left" w:pos="850"/>
              <w:tab w:val="left" w:pos="1940"/>
            </w:tabs>
            <w:spacing w:before="120"/>
            <w:ind w:left="1940" w:right="193" w:hanging="1940"/>
            <w:jc w:val="right"/>
          </w:pPr>
          <w:hyperlink w:anchor="_TOC_250004" w:history="1">
            <w:r>
              <w:t>MOFCOM</w:t>
            </w:r>
            <w:r>
              <w:rPr>
                <w:spacing w:val="-10"/>
              </w:rPr>
              <w:t xml:space="preserve"> </w:t>
            </w:r>
            <w:r>
              <w:t>improperly</w:t>
            </w:r>
            <w:r>
              <w:rPr>
                <w:spacing w:val="-9"/>
              </w:rPr>
              <w:t xml:space="preserve"> </w:t>
            </w:r>
            <w:r>
              <w:t>resorted</w:t>
            </w:r>
            <w:r>
              <w:rPr>
                <w:spacing w:val="-9"/>
              </w:rPr>
              <w:t xml:space="preserve"> </w:t>
            </w:r>
            <w:r>
              <w:t>to</w:t>
            </w:r>
            <w:r>
              <w:rPr>
                <w:spacing w:val="-8"/>
              </w:rPr>
              <w:t xml:space="preserve"> </w:t>
            </w:r>
            <w:r>
              <w:t>and</w:t>
            </w:r>
            <w:r>
              <w:rPr>
                <w:spacing w:val="-9"/>
              </w:rPr>
              <w:t xml:space="preserve"> </w:t>
            </w:r>
            <w:r>
              <w:t>calculated</w:t>
            </w:r>
            <w:r>
              <w:rPr>
                <w:spacing w:val="-8"/>
              </w:rPr>
              <w:t xml:space="preserve"> </w:t>
            </w:r>
            <w:r>
              <w:t>constructed</w:t>
            </w:r>
            <w:r>
              <w:rPr>
                <w:spacing w:val="-8"/>
              </w:rPr>
              <w:t xml:space="preserve"> </w:t>
            </w:r>
            <w:r>
              <w:t>normal</w:t>
            </w:r>
            <w:r>
              <w:rPr>
                <w:spacing w:val="-8"/>
              </w:rPr>
              <w:t xml:space="preserve"> </w:t>
            </w:r>
            <w:r>
              <w:rPr>
                <w:spacing w:val="-2"/>
              </w:rPr>
              <w:t>value</w:t>
            </w:r>
          </w:hyperlink>
        </w:p>
        <w:p w14:paraId="51DE751B" w14:textId="77777777" w:rsidR="0010369C" w:rsidRDefault="008E43AE">
          <w:pPr>
            <w:pStyle w:val="TOC1"/>
            <w:spacing w:after="239"/>
            <w:ind w:right="205"/>
          </w:pPr>
          <w:r>
            <w:rPr>
              <w:spacing w:val="-2"/>
            </w:rPr>
            <w:t>.............................................................................................................115</w:t>
          </w:r>
        </w:p>
        <w:p w14:paraId="51DE751C" w14:textId="77777777" w:rsidR="0010369C" w:rsidRDefault="008E43AE">
          <w:pPr>
            <w:pStyle w:val="TOC3"/>
            <w:tabs>
              <w:tab w:val="left" w:pos="6425"/>
            </w:tabs>
            <w:spacing w:before="20"/>
            <w:rPr>
              <w:b w:val="0"/>
              <w:i w:val="0"/>
              <w:sz w:val="20"/>
            </w:rPr>
          </w:pPr>
          <w:r>
            <w:rPr>
              <w:b w:val="0"/>
              <w:sz w:val="20"/>
            </w:rPr>
            <w:lastRenderedPageBreak/>
            <w:t>China</w:t>
          </w:r>
          <w:r>
            <w:rPr>
              <w:b w:val="0"/>
              <w:spacing w:val="-5"/>
              <w:sz w:val="20"/>
            </w:rPr>
            <w:t xml:space="preserve"> </w:t>
          </w:r>
          <w:r>
            <w:rPr>
              <w:b w:val="0"/>
              <w:sz w:val="20"/>
            </w:rPr>
            <w:t>–</w:t>
          </w:r>
          <w:r>
            <w:rPr>
              <w:b w:val="0"/>
              <w:spacing w:val="-5"/>
              <w:sz w:val="20"/>
            </w:rPr>
            <w:t xml:space="preserve"> </w:t>
          </w:r>
          <w:r>
            <w:rPr>
              <w:b w:val="0"/>
              <w:sz w:val="20"/>
            </w:rPr>
            <w:t>Anti‐Dumping</w:t>
          </w:r>
          <w:r>
            <w:rPr>
              <w:b w:val="0"/>
              <w:spacing w:val="-4"/>
              <w:sz w:val="20"/>
            </w:rPr>
            <w:t xml:space="preserve"> </w:t>
          </w:r>
          <w:r>
            <w:rPr>
              <w:b w:val="0"/>
              <w:sz w:val="20"/>
            </w:rPr>
            <w:t>and</w:t>
          </w:r>
          <w:r>
            <w:rPr>
              <w:b w:val="0"/>
              <w:spacing w:val="-5"/>
              <w:sz w:val="20"/>
            </w:rPr>
            <w:t xml:space="preserve"> </w:t>
          </w:r>
          <w:r>
            <w:rPr>
              <w:b w:val="0"/>
              <w:sz w:val="20"/>
            </w:rPr>
            <w:t>Countervailing</w:t>
          </w:r>
          <w:r>
            <w:rPr>
              <w:b w:val="0"/>
              <w:spacing w:val="-5"/>
              <w:sz w:val="20"/>
            </w:rPr>
            <w:t xml:space="preserve"> </w:t>
          </w:r>
          <w:r>
            <w:rPr>
              <w:b w:val="0"/>
              <w:sz w:val="20"/>
            </w:rPr>
            <w:t>Duty</w:t>
          </w:r>
          <w:r>
            <w:rPr>
              <w:b w:val="0"/>
              <w:spacing w:val="-4"/>
              <w:sz w:val="20"/>
            </w:rPr>
            <w:t xml:space="preserve"> </w:t>
          </w:r>
          <w:r>
            <w:rPr>
              <w:b w:val="0"/>
              <w:spacing w:val="-2"/>
              <w:sz w:val="20"/>
            </w:rPr>
            <w:t>Measures</w:t>
          </w:r>
          <w:r>
            <w:rPr>
              <w:b w:val="0"/>
              <w:sz w:val="20"/>
            </w:rPr>
            <w:tab/>
          </w:r>
          <w:r>
            <w:rPr>
              <w:b w:val="0"/>
              <w:i w:val="0"/>
              <w:sz w:val="20"/>
            </w:rPr>
            <w:t>Australia's</w:t>
          </w:r>
          <w:r>
            <w:rPr>
              <w:b w:val="0"/>
              <w:i w:val="0"/>
              <w:spacing w:val="-6"/>
              <w:sz w:val="20"/>
            </w:rPr>
            <w:t xml:space="preserve"> </w:t>
          </w:r>
          <w:r>
            <w:rPr>
              <w:b w:val="0"/>
              <w:i w:val="0"/>
              <w:sz w:val="20"/>
            </w:rPr>
            <w:t>First</w:t>
          </w:r>
          <w:r>
            <w:rPr>
              <w:b w:val="0"/>
              <w:i w:val="0"/>
              <w:spacing w:val="-2"/>
              <w:sz w:val="20"/>
            </w:rPr>
            <w:t xml:space="preserve"> </w:t>
          </w:r>
          <w:r>
            <w:rPr>
              <w:b w:val="0"/>
              <w:i w:val="0"/>
              <w:sz w:val="20"/>
            </w:rPr>
            <w:t>Written</w:t>
          </w:r>
          <w:r>
            <w:rPr>
              <w:b w:val="0"/>
              <w:i w:val="0"/>
              <w:spacing w:val="-2"/>
              <w:sz w:val="20"/>
            </w:rPr>
            <w:t xml:space="preserve"> Submission</w:t>
          </w:r>
        </w:p>
        <w:p w14:paraId="51DE751D" w14:textId="77777777" w:rsidR="0010369C" w:rsidRDefault="008E43AE">
          <w:pPr>
            <w:pStyle w:val="TOC3"/>
            <w:tabs>
              <w:tab w:val="left" w:pos="8227"/>
            </w:tabs>
            <w:ind w:left="239"/>
            <w:rPr>
              <w:b w:val="0"/>
              <w:i w:val="0"/>
              <w:sz w:val="20"/>
            </w:rPr>
          </w:pPr>
          <w:r>
            <w:rPr>
              <w:b w:val="0"/>
              <w:sz w:val="20"/>
            </w:rPr>
            <w:t>on</w:t>
          </w:r>
          <w:r>
            <w:rPr>
              <w:b w:val="0"/>
              <w:spacing w:val="-1"/>
              <w:sz w:val="20"/>
            </w:rPr>
            <w:t xml:space="preserve"> </w:t>
          </w:r>
          <w:r>
            <w:rPr>
              <w:b w:val="0"/>
              <w:sz w:val="20"/>
            </w:rPr>
            <w:t>Wine</w:t>
          </w:r>
          <w:r>
            <w:rPr>
              <w:b w:val="0"/>
              <w:spacing w:val="-1"/>
              <w:sz w:val="20"/>
            </w:rPr>
            <w:t xml:space="preserve"> </w:t>
          </w:r>
          <w:r>
            <w:rPr>
              <w:b w:val="0"/>
              <w:sz w:val="20"/>
            </w:rPr>
            <w:t>from</w:t>
          </w:r>
          <w:r>
            <w:rPr>
              <w:b w:val="0"/>
              <w:spacing w:val="-3"/>
              <w:sz w:val="20"/>
            </w:rPr>
            <w:t xml:space="preserve"> </w:t>
          </w:r>
          <w:r>
            <w:rPr>
              <w:b w:val="0"/>
              <w:sz w:val="20"/>
            </w:rPr>
            <w:t>Aus</w:t>
          </w:r>
          <w:r>
            <w:rPr>
              <w:b w:val="0"/>
              <w:sz w:val="20"/>
            </w:rPr>
            <w:t>tralia</w:t>
          </w:r>
          <w:r>
            <w:rPr>
              <w:b w:val="0"/>
              <w:spacing w:val="-1"/>
              <w:sz w:val="20"/>
            </w:rPr>
            <w:t xml:space="preserve"> </w:t>
          </w:r>
          <w:r>
            <w:rPr>
              <w:b w:val="0"/>
              <w:i w:val="0"/>
              <w:spacing w:val="-2"/>
              <w:sz w:val="20"/>
            </w:rPr>
            <w:t>(DS602)</w:t>
          </w:r>
          <w:r>
            <w:rPr>
              <w:b w:val="0"/>
              <w:i w:val="0"/>
              <w:sz w:val="20"/>
            </w:rPr>
            <w:tab/>
            <w:t>29</w:t>
          </w:r>
          <w:r>
            <w:rPr>
              <w:b w:val="0"/>
              <w:i w:val="0"/>
              <w:spacing w:val="-1"/>
              <w:sz w:val="20"/>
            </w:rPr>
            <w:t xml:space="preserve"> </w:t>
          </w:r>
          <w:r>
            <w:rPr>
              <w:b w:val="0"/>
              <w:i w:val="0"/>
              <w:sz w:val="20"/>
            </w:rPr>
            <w:t>April</w:t>
          </w:r>
          <w:r>
            <w:rPr>
              <w:b w:val="0"/>
              <w:i w:val="0"/>
              <w:spacing w:val="-2"/>
              <w:sz w:val="20"/>
            </w:rPr>
            <w:t xml:space="preserve"> </w:t>
          </w:r>
          <w:r>
            <w:rPr>
              <w:b w:val="0"/>
              <w:i w:val="0"/>
              <w:spacing w:val="-4"/>
              <w:sz w:val="20"/>
            </w:rPr>
            <w:t>2022</w:t>
          </w:r>
        </w:p>
        <w:p w14:paraId="51DE751E" w14:textId="77777777" w:rsidR="0010369C" w:rsidRDefault="008E43AE">
          <w:pPr>
            <w:pStyle w:val="TOC6"/>
            <w:numPr>
              <w:ilvl w:val="2"/>
              <w:numId w:val="80"/>
            </w:numPr>
            <w:tabs>
              <w:tab w:val="left" w:pos="1939"/>
              <w:tab w:val="left" w:pos="1940"/>
              <w:tab w:val="left" w:leader="dot" w:pos="8933"/>
            </w:tabs>
            <w:spacing w:before="34"/>
            <w:ind w:left="1939" w:right="192"/>
          </w:pPr>
          <w:hyperlink w:anchor="_TOC_250003" w:history="1">
            <w:r>
              <w:t>MOFCOM</w:t>
            </w:r>
            <w:r>
              <w:rPr>
                <w:spacing w:val="80"/>
              </w:rPr>
              <w:t xml:space="preserve"> </w:t>
            </w:r>
            <w:r>
              <w:t>selected</w:t>
            </w:r>
            <w:r>
              <w:rPr>
                <w:spacing w:val="80"/>
              </w:rPr>
              <w:t xml:space="preserve"> </w:t>
            </w:r>
            <w:r>
              <w:t>export</w:t>
            </w:r>
            <w:r>
              <w:rPr>
                <w:spacing w:val="80"/>
              </w:rPr>
              <w:t xml:space="preserve"> </w:t>
            </w:r>
            <w:r>
              <w:t>sales</w:t>
            </w:r>
            <w:r>
              <w:rPr>
                <w:spacing w:val="80"/>
              </w:rPr>
              <w:t xml:space="preserve"> </w:t>
            </w:r>
            <w:r>
              <w:t>with</w:t>
            </w:r>
            <w:r>
              <w:rPr>
                <w:spacing w:val="80"/>
              </w:rPr>
              <w:t xml:space="preserve"> </w:t>
            </w:r>
            <w:r>
              <w:t>characteristics</w:t>
            </w:r>
            <w:r>
              <w:rPr>
                <w:spacing w:val="80"/>
              </w:rPr>
              <w:t xml:space="preserve"> </w:t>
            </w:r>
            <w:r>
              <w:t>affecting</w:t>
            </w:r>
            <w:r>
              <w:rPr>
                <w:spacing w:val="80"/>
              </w:rPr>
              <w:t xml:space="preserve"> </w:t>
            </w:r>
            <w:r>
              <w:t xml:space="preserve">price </w:t>
            </w:r>
            <w:r>
              <w:rPr>
                <w:spacing w:val="-2"/>
              </w:rPr>
              <w:t>comparability</w:t>
            </w:r>
            <w:r>
              <w:rPr>
                <w:rFonts w:ascii="Times New Roman"/>
                <w:b w:val="0"/>
              </w:rPr>
              <w:tab/>
            </w:r>
            <w:r>
              <w:rPr>
                <w:spacing w:val="-5"/>
              </w:rPr>
              <w:t>116</w:t>
            </w:r>
          </w:hyperlink>
        </w:p>
        <w:p w14:paraId="51DE751F" w14:textId="77777777" w:rsidR="0010369C" w:rsidRDefault="008E43AE">
          <w:pPr>
            <w:pStyle w:val="TOC6"/>
            <w:numPr>
              <w:ilvl w:val="2"/>
              <w:numId w:val="80"/>
            </w:numPr>
            <w:tabs>
              <w:tab w:val="left" w:pos="1939"/>
              <w:tab w:val="left" w:pos="1940"/>
              <w:tab w:val="left" w:leader="dot" w:pos="8933"/>
            </w:tabs>
            <w:ind w:left="1940"/>
          </w:pPr>
          <w:hyperlink w:anchor="_TOC_250002" w:history="1">
            <w:r>
              <w:rPr>
                <w:spacing w:val="-2"/>
              </w:rPr>
              <w:t>Conclusion</w:t>
            </w:r>
            <w:r>
              <w:rPr>
                <w:rFonts w:ascii="Times New Roman"/>
                <w:b w:val="0"/>
              </w:rPr>
              <w:tab/>
            </w:r>
            <w:r>
              <w:rPr>
                <w:spacing w:val="-5"/>
              </w:rPr>
              <w:t>117</w:t>
            </w:r>
          </w:hyperlink>
        </w:p>
        <w:p w14:paraId="51DE7520" w14:textId="77777777" w:rsidR="0010369C" w:rsidRDefault="008E43AE">
          <w:pPr>
            <w:pStyle w:val="TOC5"/>
            <w:numPr>
              <w:ilvl w:val="1"/>
              <w:numId w:val="80"/>
            </w:numPr>
            <w:tabs>
              <w:tab w:val="left" w:pos="1513"/>
              <w:tab w:val="left" w:pos="1514"/>
              <w:tab w:val="left" w:leader="dot" w:pos="8933"/>
            </w:tabs>
            <w:ind w:left="1514"/>
            <w:rPr>
              <w:i w:val="0"/>
              <w:sz w:val="24"/>
            </w:rPr>
          </w:pPr>
          <w:r>
            <w:rPr>
              <w:i w:val="0"/>
              <w:sz w:val="24"/>
            </w:rPr>
            <w:t>C</w:t>
          </w:r>
          <w:r>
            <w:rPr>
              <w:i w:val="0"/>
              <w:sz w:val="19"/>
            </w:rPr>
            <w:t>ASELLA</w:t>
          </w:r>
          <w:r>
            <w:rPr>
              <w:i w:val="0"/>
              <w:spacing w:val="-6"/>
              <w:sz w:val="19"/>
            </w:rPr>
            <w:t xml:space="preserve"> </w:t>
          </w:r>
          <w:r>
            <w:rPr>
              <w:i w:val="0"/>
              <w:sz w:val="24"/>
            </w:rPr>
            <w:t>W</w:t>
          </w:r>
          <w:r>
            <w:rPr>
              <w:i w:val="0"/>
              <w:sz w:val="19"/>
            </w:rPr>
            <w:t>INES</w:t>
          </w:r>
          <w:r>
            <w:rPr>
              <w:i w:val="0"/>
              <w:spacing w:val="-6"/>
              <w:sz w:val="19"/>
            </w:rPr>
            <w:t xml:space="preserve"> </w:t>
          </w:r>
          <w:r>
            <w:rPr>
              <w:i w:val="0"/>
              <w:sz w:val="24"/>
            </w:rPr>
            <w:t>P</w:t>
          </w:r>
          <w:r>
            <w:rPr>
              <w:i w:val="0"/>
              <w:sz w:val="19"/>
            </w:rPr>
            <w:t>TY</w:t>
          </w:r>
          <w:r>
            <w:rPr>
              <w:i w:val="0"/>
              <w:spacing w:val="-6"/>
              <w:sz w:val="19"/>
            </w:rPr>
            <w:t xml:space="preserve"> </w:t>
          </w:r>
          <w:r>
            <w:rPr>
              <w:i w:val="0"/>
              <w:spacing w:val="-2"/>
              <w:sz w:val="24"/>
            </w:rPr>
            <w:t>L</w:t>
          </w:r>
          <w:r>
            <w:rPr>
              <w:i w:val="0"/>
              <w:spacing w:val="-2"/>
              <w:sz w:val="19"/>
            </w:rPr>
            <w:t>IMITED</w:t>
          </w:r>
          <w:r>
            <w:rPr>
              <w:rFonts w:ascii="Times New Roman"/>
              <w:b w:val="0"/>
              <w:i w:val="0"/>
              <w:sz w:val="19"/>
            </w:rPr>
            <w:tab/>
          </w:r>
          <w:r>
            <w:rPr>
              <w:i w:val="0"/>
              <w:spacing w:val="-5"/>
              <w:sz w:val="24"/>
            </w:rPr>
            <w:t>117</w:t>
          </w:r>
        </w:p>
        <w:p w14:paraId="51DE7521" w14:textId="77777777" w:rsidR="0010369C" w:rsidRDefault="008E43AE">
          <w:pPr>
            <w:pStyle w:val="TOC6"/>
            <w:numPr>
              <w:ilvl w:val="2"/>
              <w:numId w:val="80"/>
            </w:numPr>
            <w:tabs>
              <w:tab w:val="left" w:pos="1939"/>
              <w:tab w:val="left" w:pos="1940"/>
              <w:tab w:val="left" w:leader="dot" w:pos="8933"/>
            </w:tabs>
            <w:spacing w:before="121"/>
            <w:ind w:left="1940"/>
          </w:pPr>
          <w:hyperlink w:anchor="_TOC_250001" w:history="1">
            <w:r>
              <w:rPr>
                <w:spacing w:val="-2"/>
              </w:rPr>
              <w:t>Overview</w:t>
            </w:r>
            <w:r>
              <w:rPr>
                <w:rFonts w:ascii="Times New Roman"/>
                <w:b w:val="0"/>
              </w:rPr>
              <w:tab/>
            </w:r>
            <w:r>
              <w:rPr>
                <w:spacing w:val="-5"/>
              </w:rPr>
              <w:t>117</w:t>
            </w:r>
          </w:hyperlink>
        </w:p>
        <w:p w14:paraId="51DE7522" w14:textId="77777777" w:rsidR="0010369C" w:rsidRDefault="008E43AE">
          <w:pPr>
            <w:pStyle w:val="TOC6"/>
            <w:numPr>
              <w:ilvl w:val="2"/>
              <w:numId w:val="80"/>
            </w:numPr>
            <w:tabs>
              <w:tab w:val="left" w:pos="1939"/>
              <w:tab w:val="left" w:pos="1940"/>
              <w:tab w:val="left" w:leader="dot" w:pos="8933"/>
            </w:tabs>
            <w:ind w:left="1940"/>
          </w:pPr>
          <w:hyperlink w:anchor="_TOC_250000" w:history="1">
            <w:r>
              <w:t>MOFCOM</w:t>
            </w:r>
            <w:r>
              <w:rPr>
                <w:spacing w:val="-4"/>
              </w:rPr>
              <w:t xml:space="preserve"> </w:t>
            </w:r>
            <w:r>
              <w:t>improperly</w:t>
            </w:r>
            <w:r>
              <w:rPr>
                <w:spacing w:val="-4"/>
              </w:rPr>
              <w:t xml:space="preserve"> </w:t>
            </w:r>
            <w:r>
              <w:t>calculated</w:t>
            </w:r>
            <w:r>
              <w:rPr>
                <w:spacing w:val="-3"/>
              </w:rPr>
              <w:t xml:space="preserve"> </w:t>
            </w:r>
            <w:r>
              <w:t>normal</w:t>
            </w:r>
            <w:r>
              <w:rPr>
                <w:spacing w:val="-4"/>
              </w:rPr>
              <w:t xml:space="preserve"> </w:t>
            </w:r>
            <w:r>
              <w:rPr>
                <w:spacing w:val="-2"/>
              </w:rPr>
              <w:t>value</w:t>
            </w:r>
            <w:r>
              <w:rPr>
                <w:rFonts w:ascii="Times New Roman"/>
                <w:b w:val="0"/>
              </w:rPr>
              <w:tab/>
            </w:r>
            <w:r>
              <w:rPr>
                <w:spacing w:val="-5"/>
              </w:rPr>
              <w:t>118</w:t>
            </w:r>
          </w:hyperlink>
        </w:p>
        <w:p w14:paraId="51DE7523" w14:textId="77777777" w:rsidR="0010369C" w:rsidRDefault="008E43AE">
          <w:pPr>
            <w:pStyle w:val="TOC7"/>
            <w:numPr>
              <w:ilvl w:val="3"/>
              <w:numId w:val="80"/>
            </w:numPr>
            <w:tabs>
              <w:tab w:val="left" w:pos="2365"/>
              <w:tab w:val="left" w:pos="2366"/>
              <w:tab w:val="left" w:leader="dot" w:pos="8933"/>
            </w:tabs>
            <w:spacing w:before="119"/>
            <w:ind w:hanging="853"/>
            <w:rPr>
              <w:u w:val="none"/>
            </w:rPr>
          </w:pPr>
          <w:r>
            <w:t>MOFCOM</w:t>
          </w:r>
          <w:r>
            <w:rPr>
              <w:spacing w:val="-4"/>
            </w:rPr>
            <w:t xml:space="preserve"> </w:t>
          </w:r>
          <w:r>
            <w:t>failed</w:t>
          </w:r>
          <w:r>
            <w:rPr>
              <w:spacing w:val="-3"/>
            </w:rPr>
            <w:t xml:space="preserve"> </w:t>
          </w:r>
          <w:r>
            <w:t>to</w:t>
          </w:r>
          <w:r>
            <w:rPr>
              <w:spacing w:val="-2"/>
            </w:rPr>
            <w:t xml:space="preserve"> </w:t>
          </w:r>
          <w:r>
            <w:t>have</w:t>
          </w:r>
          <w:r>
            <w:rPr>
              <w:spacing w:val="-3"/>
            </w:rPr>
            <w:t xml:space="preserve"> </w:t>
          </w:r>
          <w:r>
            <w:t>regard</w:t>
          </w:r>
          <w:r>
            <w:rPr>
              <w:spacing w:val="-2"/>
            </w:rPr>
            <w:t xml:space="preserve"> </w:t>
          </w:r>
          <w:r>
            <w:t>to</w:t>
          </w:r>
          <w:r>
            <w:rPr>
              <w:spacing w:val="-2"/>
            </w:rPr>
            <w:t xml:space="preserve"> </w:t>
          </w:r>
          <w:r>
            <w:t>all</w:t>
          </w:r>
          <w:r>
            <w:rPr>
              <w:spacing w:val="-4"/>
            </w:rPr>
            <w:t xml:space="preserve"> </w:t>
          </w:r>
          <w:r>
            <w:t>relevant</w:t>
          </w:r>
          <w:r>
            <w:rPr>
              <w:spacing w:val="-3"/>
            </w:rPr>
            <w:t xml:space="preserve"> </w:t>
          </w:r>
          <w:r>
            <w:t>domestic</w:t>
          </w:r>
          <w:r>
            <w:rPr>
              <w:spacing w:val="-1"/>
            </w:rPr>
            <w:t xml:space="preserve"> </w:t>
          </w:r>
          <w:r>
            <w:rPr>
              <w:spacing w:val="-2"/>
            </w:rPr>
            <w:t>sales</w:t>
          </w:r>
          <w:r>
            <w:rPr>
              <w:rFonts w:ascii="Times New Roman"/>
              <w:u w:val="none"/>
            </w:rPr>
            <w:tab/>
          </w:r>
          <w:r>
            <w:rPr>
              <w:spacing w:val="-5"/>
            </w:rPr>
            <w:t>118</w:t>
          </w:r>
        </w:p>
      </w:sdtContent>
    </w:sdt>
    <w:p w14:paraId="51DE7524" w14:textId="77777777" w:rsidR="0010369C" w:rsidRDefault="0010369C">
      <w:pPr>
        <w:sectPr w:rsidR="0010369C">
          <w:type w:val="continuous"/>
          <w:pgSz w:w="11910" w:h="16840"/>
          <w:pgMar w:top="874" w:right="1220" w:bottom="1569" w:left="1180" w:header="569" w:footer="788" w:gutter="0"/>
          <w:cols w:space="720"/>
        </w:sectPr>
      </w:pPr>
    </w:p>
    <w:p w14:paraId="51DE7525" w14:textId="77777777" w:rsidR="0010369C" w:rsidRDefault="008E43AE">
      <w:pPr>
        <w:pStyle w:val="ListParagraph"/>
        <w:numPr>
          <w:ilvl w:val="4"/>
          <w:numId w:val="80"/>
        </w:numPr>
        <w:tabs>
          <w:tab w:val="left" w:pos="2790"/>
          <w:tab w:val="left" w:pos="2791"/>
        </w:tabs>
        <w:rPr>
          <w:i/>
          <w:sz w:val="24"/>
        </w:rPr>
      </w:pPr>
      <w:r>
        <w:pict w14:anchorId="51DE9CF6">
          <v:rect id="docshape5" o:spid="_x0000_s3245" style="position:absolute;left:0;text-align:left;margin-left:340.9pt;margin-top:20.75pt;width:103.75pt;height:15.6pt;z-index:-251436544;mso-position-horizontal-relative:page" fillcolor="black" stroked="f">
            <w10:wrap anchorx="page"/>
          </v:rect>
        </w:pict>
      </w:r>
      <w:r>
        <w:rPr>
          <w:i/>
          <w:sz w:val="24"/>
        </w:rPr>
        <w:t>MOFCOM</w:t>
      </w:r>
      <w:r>
        <w:rPr>
          <w:i/>
          <w:spacing w:val="33"/>
          <w:sz w:val="24"/>
        </w:rPr>
        <w:t xml:space="preserve"> </w:t>
      </w:r>
      <w:r>
        <w:rPr>
          <w:i/>
          <w:sz w:val="24"/>
        </w:rPr>
        <w:t>fundamentally</w:t>
      </w:r>
      <w:r>
        <w:rPr>
          <w:i/>
          <w:spacing w:val="33"/>
          <w:sz w:val="24"/>
        </w:rPr>
        <w:t xml:space="preserve"> </w:t>
      </w:r>
      <w:r>
        <w:rPr>
          <w:i/>
          <w:sz w:val="24"/>
        </w:rPr>
        <w:t>misunderstood</w:t>
      </w:r>
      <w:r>
        <w:rPr>
          <w:i/>
          <w:sz w:val="24"/>
        </w:rPr>
        <w:t xml:space="preserve"> between Casella Wines and [[</w:t>
      </w:r>
    </w:p>
    <w:p w14:paraId="51DE7526" w14:textId="77777777" w:rsidR="0010369C" w:rsidRDefault="008E43AE">
      <w:pPr>
        <w:spacing w:before="120"/>
        <w:ind w:right="193"/>
        <w:jc w:val="right"/>
        <w:rPr>
          <w:i/>
          <w:sz w:val="24"/>
        </w:rPr>
      </w:pPr>
      <w:r>
        <w:br w:type="column"/>
      </w:r>
      <w:r>
        <w:rPr>
          <w:i/>
          <w:sz w:val="24"/>
        </w:rPr>
        <w:t>the</w:t>
      </w:r>
      <w:r>
        <w:rPr>
          <w:i/>
          <w:spacing w:val="49"/>
          <w:sz w:val="24"/>
        </w:rPr>
        <w:t xml:space="preserve"> </w:t>
      </w:r>
      <w:r>
        <w:rPr>
          <w:i/>
          <w:sz w:val="24"/>
        </w:rPr>
        <w:t>agency</w:t>
      </w:r>
      <w:r>
        <w:rPr>
          <w:i/>
          <w:spacing w:val="49"/>
          <w:sz w:val="24"/>
        </w:rPr>
        <w:t xml:space="preserve"> </w:t>
      </w:r>
      <w:r>
        <w:rPr>
          <w:i/>
          <w:spacing w:val="-2"/>
          <w:sz w:val="24"/>
        </w:rPr>
        <w:t>relationship</w:t>
      </w:r>
    </w:p>
    <w:p w14:paraId="51DE7527" w14:textId="77777777" w:rsidR="0010369C" w:rsidRDefault="008E43AE">
      <w:pPr>
        <w:ind w:right="205"/>
        <w:jc w:val="right"/>
        <w:rPr>
          <w:i/>
          <w:sz w:val="24"/>
        </w:rPr>
      </w:pPr>
      <w:r>
        <w:rPr>
          <w:i/>
          <w:sz w:val="24"/>
        </w:rPr>
        <w:t>]]</w:t>
      </w:r>
      <w:r>
        <w:rPr>
          <w:i/>
          <w:spacing w:val="4"/>
          <w:sz w:val="24"/>
        </w:rPr>
        <w:t xml:space="preserve"> </w:t>
      </w:r>
      <w:r>
        <w:rPr>
          <w:i/>
          <w:spacing w:val="-2"/>
          <w:sz w:val="24"/>
        </w:rPr>
        <w:t>................120</w:t>
      </w:r>
    </w:p>
    <w:p w14:paraId="51DE7528" w14:textId="77777777" w:rsidR="0010369C" w:rsidRDefault="0010369C">
      <w:pPr>
        <w:jc w:val="right"/>
        <w:rPr>
          <w:sz w:val="24"/>
        </w:rPr>
        <w:sectPr w:rsidR="0010369C">
          <w:type w:val="continuous"/>
          <w:pgSz w:w="11910" w:h="16840"/>
          <w:pgMar w:top="1460" w:right="1220" w:bottom="280" w:left="1180" w:header="569" w:footer="788" w:gutter="0"/>
          <w:cols w:num="2" w:space="720" w:equalWidth="0">
            <w:col w:w="6830" w:space="40"/>
            <w:col w:w="2640"/>
          </w:cols>
        </w:sectPr>
      </w:pPr>
    </w:p>
    <w:p w14:paraId="51DE7529" w14:textId="77777777" w:rsidR="0010369C" w:rsidRDefault="008E43AE">
      <w:pPr>
        <w:pStyle w:val="ListParagraph"/>
        <w:numPr>
          <w:ilvl w:val="4"/>
          <w:numId w:val="80"/>
        </w:numPr>
        <w:tabs>
          <w:tab w:val="left" w:pos="2790"/>
          <w:tab w:val="left" w:pos="2791"/>
          <w:tab w:val="left" w:leader="dot" w:pos="8933"/>
        </w:tabs>
        <w:ind w:right="194"/>
        <w:jc w:val="both"/>
        <w:rPr>
          <w:i/>
          <w:sz w:val="24"/>
        </w:rPr>
      </w:pPr>
      <w:r>
        <w:rPr>
          <w:i/>
          <w:sz w:val="24"/>
        </w:rPr>
        <w:t xml:space="preserve">MOFCOM incorrectly rejected domestic sales due to special price </w:t>
      </w:r>
      <w:r>
        <w:rPr>
          <w:i/>
          <w:spacing w:val="-2"/>
          <w:sz w:val="24"/>
        </w:rPr>
        <w:t>arrangements</w:t>
      </w:r>
      <w:r>
        <w:rPr>
          <w:rFonts w:ascii="Times New Roman"/>
          <w:sz w:val="24"/>
        </w:rPr>
        <w:tab/>
      </w:r>
      <w:r>
        <w:rPr>
          <w:i/>
          <w:spacing w:val="-5"/>
          <w:sz w:val="24"/>
        </w:rPr>
        <w:t>122</w:t>
      </w:r>
    </w:p>
    <w:p w14:paraId="51DE752A" w14:textId="77777777" w:rsidR="0010369C" w:rsidRDefault="008E43AE">
      <w:pPr>
        <w:pStyle w:val="ListParagraph"/>
        <w:numPr>
          <w:ilvl w:val="4"/>
          <w:numId w:val="80"/>
        </w:numPr>
        <w:tabs>
          <w:tab w:val="left" w:pos="2790"/>
          <w:tab w:val="left" w:pos="2791"/>
          <w:tab w:val="left" w:leader="dot" w:pos="8933"/>
        </w:tabs>
        <w:ind w:right="193"/>
        <w:jc w:val="both"/>
        <w:rPr>
          <w:i/>
          <w:sz w:val="24"/>
        </w:rPr>
      </w:pPr>
      <w:r>
        <w:rPr>
          <w:i/>
          <w:sz w:val="24"/>
        </w:rPr>
        <w:t>MOFCOM incorrectly found the WPS domestic sales spreadsheet was</w:t>
      </w:r>
      <w:r>
        <w:rPr>
          <w:i/>
          <w:spacing w:val="-1"/>
          <w:sz w:val="24"/>
        </w:rPr>
        <w:t xml:space="preserve"> </w:t>
      </w:r>
      <w:r>
        <w:rPr>
          <w:i/>
          <w:spacing w:val="-2"/>
          <w:sz w:val="24"/>
        </w:rPr>
        <w:t>incomplete</w:t>
      </w:r>
      <w:r>
        <w:rPr>
          <w:rFonts w:ascii="Times New Roman"/>
          <w:sz w:val="24"/>
        </w:rPr>
        <w:tab/>
      </w:r>
      <w:r>
        <w:rPr>
          <w:i/>
          <w:spacing w:val="-5"/>
          <w:sz w:val="24"/>
        </w:rPr>
        <w:t>125</w:t>
      </w:r>
    </w:p>
    <w:p w14:paraId="51DE752B" w14:textId="77777777" w:rsidR="0010369C" w:rsidRDefault="008E43AE">
      <w:pPr>
        <w:pStyle w:val="ListParagraph"/>
        <w:numPr>
          <w:ilvl w:val="3"/>
          <w:numId w:val="80"/>
        </w:numPr>
        <w:tabs>
          <w:tab w:val="left" w:pos="2365"/>
          <w:tab w:val="left" w:pos="2366"/>
          <w:tab w:val="left" w:leader="dot" w:pos="8933"/>
        </w:tabs>
        <w:spacing w:before="121"/>
        <w:ind w:hanging="853"/>
        <w:jc w:val="both"/>
        <w:rPr>
          <w:sz w:val="24"/>
        </w:rPr>
      </w:pPr>
      <w:r>
        <w:rPr>
          <w:sz w:val="24"/>
          <w:u w:val="single"/>
        </w:rPr>
        <w:t>Characteristics</w:t>
      </w:r>
      <w:r>
        <w:rPr>
          <w:spacing w:val="-2"/>
          <w:sz w:val="24"/>
          <w:u w:val="single"/>
        </w:rPr>
        <w:t xml:space="preserve"> </w:t>
      </w:r>
      <w:r>
        <w:rPr>
          <w:sz w:val="24"/>
          <w:u w:val="single"/>
        </w:rPr>
        <w:t>affecting</w:t>
      </w:r>
      <w:r>
        <w:rPr>
          <w:spacing w:val="-3"/>
          <w:sz w:val="24"/>
          <w:u w:val="single"/>
        </w:rPr>
        <w:t xml:space="preserve"> </w:t>
      </w:r>
      <w:r>
        <w:rPr>
          <w:sz w:val="24"/>
          <w:u w:val="single"/>
        </w:rPr>
        <w:t>price</w:t>
      </w:r>
      <w:r>
        <w:rPr>
          <w:spacing w:val="-1"/>
          <w:sz w:val="24"/>
          <w:u w:val="single"/>
        </w:rPr>
        <w:t xml:space="preserve"> </w:t>
      </w:r>
      <w:r>
        <w:rPr>
          <w:spacing w:val="-2"/>
          <w:sz w:val="24"/>
          <w:u w:val="single"/>
        </w:rPr>
        <w:t>comparability</w:t>
      </w:r>
      <w:r>
        <w:rPr>
          <w:rFonts w:ascii="Times New Roman"/>
          <w:sz w:val="24"/>
        </w:rPr>
        <w:tab/>
      </w:r>
      <w:r>
        <w:rPr>
          <w:spacing w:val="-5"/>
          <w:sz w:val="24"/>
          <w:u w:val="single"/>
        </w:rPr>
        <w:t>127</w:t>
      </w:r>
    </w:p>
    <w:p w14:paraId="51DE752C" w14:textId="77777777" w:rsidR="0010369C" w:rsidRDefault="008E43AE">
      <w:pPr>
        <w:pStyle w:val="Heading4"/>
        <w:numPr>
          <w:ilvl w:val="2"/>
          <w:numId w:val="80"/>
        </w:numPr>
        <w:tabs>
          <w:tab w:val="left" w:pos="1939"/>
          <w:tab w:val="left" w:pos="1940"/>
          <w:tab w:val="left" w:leader="dot" w:pos="8933"/>
        </w:tabs>
        <w:spacing w:before="119"/>
        <w:ind w:left="1940"/>
        <w:jc w:val="both"/>
      </w:pPr>
      <w:r>
        <w:t>MOFCOM</w:t>
      </w:r>
      <w:r>
        <w:rPr>
          <w:spacing w:val="-3"/>
        </w:rPr>
        <w:t xml:space="preserve"> </w:t>
      </w:r>
      <w:r>
        <w:t>improperly</w:t>
      </w:r>
      <w:r>
        <w:rPr>
          <w:spacing w:val="-2"/>
        </w:rPr>
        <w:t xml:space="preserve"> </w:t>
      </w:r>
      <w:r>
        <w:t>resorted</w:t>
      </w:r>
      <w:r>
        <w:rPr>
          <w:spacing w:val="-3"/>
        </w:rPr>
        <w:t xml:space="preserve"> </w:t>
      </w:r>
      <w:r>
        <w:t>to</w:t>
      </w:r>
      <w:r>
        <w:rPr>
          <w:spacing w:val="-2"/>
        </w:rPr>
        <w:t xml:space="preserve"> </w:t>
      </w:r>
      <w:r>
        <w:t>facts</w:t>
      </w:r>
      <w:r>
        <w:rPr>
          <w:spacing w:val="-2"/>
        </w:rPr>
        <w:t xml:space="preserve"> available</w:t>
      </w:r>
      <w:r>
        <w:rPr>
          <w:rFonts w:ascii="Times New Roman"/>
          <w:b w:val="0"/>
        </w:rPr>
        <w:tab/>
      </w:r>
      <w:r>
        <w:rPr>
          <w:spacing w:val="-5"/>
        </w:rPr>
        <w:t>129</w:t>
      </w:r>
    </w:p>
    <w:p w14:paraId="51DE752D" w14:textId="77777777" w:rsidR="0010369C" w:rsidRDefault="008E43AE">
      <w:pPr>
        <w:pStyle w:val="ListParagraph"/>
        <w:numPr>
          <w:ilvl w:val="3"/>
          <w:numId w:val="80"/>
        </w:numPr>
        <w:tabs>
          <w:tab w:val="left" w:pos="2365"/>
          <w:tab w:val="left" w:pos="2366"/>
          <w:tab w:val="left" w:leader="dot" w:pos="8933"/>
        </w:tabs>
        <w:ind w:hanging="853"/>
        <w:jc w:val="both"/>
        <w:rPr>
          <w:sz w:val="24"/>
        </w:rPr>
      </w:pPr>
      <w:r>
        <w:rPr>
          <w:sz w:val="24"/>
          <w:u w:val="single"/>
        </w:rPr>
        <w:t>MOFCOM's</w:t>
      </w:r>
      <w:r>
        <w:rPr>
          <w:spacing w:val="-6"/>
          <w:sz w:val="24"/>
          <w:u w:val="single"/>
        </w:rPr>
        <w:t xml:space="preserve"> </w:t>
      </w:r>
      <w:r>
        <w:rPr>
          <w:sz w:val="24"/>
          <w:u w:val="single"/>
        </w:rPr>
        <w:t>Determination</w:t>
      </w:r>
      <w:r>
        <w:rPr>
          <w:spacing w:val="-13"/>
          <w:sz w:val="24"/>
          <w:u w:val="single"/>
        </w:rPr>
        <w:t xml:space="preserve"> </w:t>
      </w:r>
      <w:r>
        <w:rPr>
          <w:rFonts w:ascii="Times New Roman"/>
          <w:sz w:val="24"/>
        </w:rPr>
        <w:tab/>
      </w:r>
      <w:r>
        <w:rPr>
          <w:spacing w:val="-5"/>
          <w:sz w:val="24"/>
          <w:u w:val="single"/>
        </w:rPr>
        <w:t>129</w:t>
      </w:r>
    </w:p>
    <w:p w14:paraId="51DE752E" w14:textId="77777777" w:rsidR="0010369C" w:rsidRDefault="008E43AE">
      <w:pPr>
        <w:pStyle w:val="ListParagraph"/>
        <w:numPr>
          <w:ilvl w:val="4"/>
          <w:numId w:val="80"/>
        </w:numPr>
        <w:tabs>
          <w:tab w:val="left" w:pos="2790"/>
          <w:tab w:val="left" w:pos="2791"/>
          <w:tab w:val="left" w:leader="dot" w:pos="8933"/>
        </w:tabs>
        <w:ind w:hanging="852"/>
        <w:jc w:val="both"/>
        <w:rPr>
          <w:i/>
          <w:sz w:val="24"/>
        </w:rPr>
      </w:pPr>
      <w:r>
        <w:rPr>
          <w:i/>
          <w:sz w:val="24"/>
        </w:rPr>
        <w:t>Form</w:t>
      </w:r>
      <w:r>
        <w:rPr>
          <w:i/>
          <w:spacing w:val="-5"/>
          <w:sz w:val="24"/>
        </w:rPr>
        <w:t xml:space="preserve"> </w:t>
      </w:r>
      <w:r>
        <w:rPr>
          <w:i/>
          <w:sz w:val="24"/>
        </w:rPr>
        <w:t>6‐1‐2</w:t>
      </w:r>
      <w:r>
        <w:rPr>
          <w:i/>
          <w:spacing w:val="-1"/>
          <w:sz w:val="24"/>
        </w:rPr>
        <w:t xml:space="preserve"> </w:t>
      </w:r>
      <w:r>
        <w:rPr>
          <w:i/>
          <w:sz w:val="24"/>
        </w:rPr>
        <w:t>Production</w:t>
      </w:r>
      <w:r>
        <w:rPr>
          <w:i/>
          <w:spacing w:val="-4"/>
          <w:sz w:val="24"/>
        </w:rPr>
        <w:t xml:space="preserve"> </w:t>
      </w:r>
      <w:r>
        <w:rPr>
          <w:i/>
          <w:sz w:val="24"/>
        </w:rPr>
        <w:t>Cost</w:t>
      </w:r>
      <w:r>
        <w:rPr>
          <w:i/>
          <w:spacing w:val="-1"/>
          <w:sz w:val="24"/>
        </w:rPr>
        <w:t xml:space="preserve"> </w:t>
      </w:r>
      <w:r>
        <w:rPr>
          <w:i/>
          <w:sz w:val="24"/>
        </w:rPr>
        <w:t>Sheet</w:t>
      </w:r>
      <w:r>
        <w:rPr>
          <w:i/>
          <w:spacing w:val="-2"/>
          <w:sz w:val="24"/>
        </w:rPr>
        <w:t xml:space="preserve"> </w:t>
      </w:r>
      <w:r>
        <w:rPr>
          <w:i/>
          <w:sz w:val="24"/>
        </w:rPr>
        <w:t>for</w:t>
      </w:r>
      <w:r>
        <w:rPr>
          <w:i/>
          <w:spacing w:val="-1"/>
          <w:sz w:val="24"/>
        </w:rPr>
        <w:t xml:space="preserve"> </w:t>
      </w:r>
      <w:r>
        <w:rPr>
          <w:i/>
          <w:sz w:val="24"/>
        </w:rPr>
        <w:t>Raw</w:t>
      </w:r>
      <w:r>
        <w:rPr>
          <w:i/>
          <w:spacing w:val="-2"/>
          <w:sz w:val="24"/>
        </w:rPr>
        <w:t xml:space="preserve"> Materials</w:t>
      </w:r>
      <w:r>
        <w:rPr>
          <w:rFonts w:ascii="Times New Roman" w:hAnsi="Times New Roman"/>
          <w:sz w:val="24"/>
        </w:rPr>
        <w:tab/>
      </w:r>
      <w:r>
        <w:rPr>
          <w:i/>
          <w:spacing w:val="-5"/>
          <w:sz w:val="24"/>
        </w:rPr>
        <w:t>129</w:t>
      </w:r>
    </w:p>
    <w:p w14:paraId="51DE752F" w14:textId="77777777" w:rsidR="0010369C" w:rsidRDefault="008E43AE">
      <w:pPr>
        <w:pStyle w:val="ListParagraph"/>
        <w:numPr>
          <w:ilvl w:val="4"/>
          <w:numId w:val="80"/>
        </w:numPr>
        <w:tabs>
          <w:tab w:val="left" w:pos="2790"/>
          <w:tab w:val="left" w:pos="2791"/>
          <w:tab w:val="left" w:leader="dot" w:pos="8933"/>
        </w:tabs>
        <w:ind w:hanging="852"/>
        <w:jc w:val="both"/>
        <w:rPr>
          <w:i/>
          <w:sz w:val="24"/>
        </w:rPr>
      </w:pPr>
      <w:r>
        <w:rPr>
          <w:i/>
          <w:sz w:val="24"/>
        </w:rPr>
        <w:t>Form</w:t>
      </w:r>
      <w:r>
        <w:rPr>
          <w:i/>
          <w:spacing w:val="-3"/>
          <w:sz w:val="24"/>
        </w:rPr>
        <w:t xml:space="preserve"> </w:t>
      </w:r>
      <w:r>
        <w:rPr>
          <w:i/>
          <w:sz w:val="24"/>
        </w:rPr>
        <w:t>6‐3</w:t>
      </w:r>
      <w:r>
        <w:rPr>
          <w:i/>
          <w:spacing w:val="-2"/>
          <w:sz w:val="24"/>
        </w:rPr>
        <w:t xml:space="preserve"> </w:t>
      </w:r>
      <w:r>
        <w:rPr>
          <w:i/>
          <w:sz w:val="24"/>
        </w:rPr>
        <w:t>Product</w:t>
      </w:r>
      <w:r>
        <w:rPr>
          <w:i/>
          <w:spacing w:val="-2"/>
          <w:sz w:val="24"/>
        </w:rPr>
        <w:t xml:space="preserve"> </w:t>
      </w:r>
      <w:r>
        <w:rPr>
          <w:i/>
          <w:sz w:val="24"/>
        </w:rPr>
        <w:t>Costs</w:t>
      </w:r>
      <w:r>
        <w:rPr>
          <w:i/>
          <w:spacing w:val="-2"/>
          <w:sz w:val="24"/>
        </w:rPr>
        <w:t xml:space="preserve"> </w:t>
      </w:r>
      <w:r>
        <w:rPr>
          <w:i/>
          <w:sz w:val="24"/>
        </w:rPr>
        <w:t>and</w:t>
      </w:r>
      <w:r>
        <w:rPr>
          <w:i/>
          <w:spacing w:val="-1"/>
          <w:sz w:val="24"/>
        </w:rPr>
        <w:t xml:space="preserve"> </w:t>
      </w:r>
      <w:r>
        <w:rPr>
          <w:i/>
          <w:sz w:val="24"/>
        </w:rPr>
        <w:t>Related</w:t>
      </w:r>
      <w:r>
        <w:rPr>
          <w:i/>
          <w:spacing w:val="-3"/>
          <w:sz w:val="24"/>
        </w:rPr>
        <w:t xml:space="preserve"> </w:t>
      </w:r>
      <w:r>
        <w:rPr>
          <w:i/>
          <w:spacing w:val="-2"/>
          <w:sz w:val="24"/>
        </w:rPr>
        <w:t>Expenses</w:t>
      </w:r>
      <w:r>
        <w:rPr>
          <w:rFonts w:ascii="Times New Roman" w:hAnsi="Times New Roman"/>
          <w:sz w:val="24"/>
        </w:rPr>
        <w:tab/>
      </w:r>
      <w:r>
        <w:rPr>
          <w:i/>
          <w:spacing w:val="-5"/>
          <w:sz w:val="24"/>
        </w:rPr>
        <w:t>132</w:t>
      </w:r>
    </w:p>
    <w:p w14:paraId="51DE7530" w14:textId="77777777" w:rsidR="0010369C" w:rsidRDefault="008E43AE">
      <w:pPr>
        <w:pStyle w:val="ListParagraph"/>
        <w:numPr>
          <w:ilvl w:val="4"/>
          <w:numId w:val="80"/>
        </w:numPr>
        <w:tabs>
          <w:tab w:val="left" w:pos="2790"/>
          <w:tab w:val="left" w:pos="2791"/>
          <w:tab w:val="left" w:leader="dot" w:pos="8933"/>
        </w:tabs>
        <w:ind w:right="194"/>
        <w:jc w:val="both"/>
        <w:rPr>
          <w:i/>
          <w:sz w:val="24"/>
        </w:rPr>
      </w:pPr>
      <w:r>
        <w:rPr>
          <w:i/>
          <w:sz w:val="24"/>
        </w:rPr>
        <w:t>Form</w:t>
      </w:r>
      <w:r>
        <w:rPr>
          <w:i/>
          <w:spacing w:val="-12"/>
          <w:sz w:val="24"/>
        </w:rPr>
        <w:t xml:space="preserve"> </w:t>
      </w:r>
      <w:r>
        <w:rPr>
          <w:i/>
          <w:sz w:val="24"/>
        </w:rPr>
        <w:t>6‐4</w:t>
      </w:r>
      <w:r>
        <w:rPr>
          <w:i/>
          <w:spacing w:val="-13"/>
          <w:sz w:val="24"/>
        </w:rPr>
        <w:t xml:space="preserve"> </w:t>
      </w:r>
      <w:r>
        <w:rPr>
          <w:i/>
          <w:sz w:val="24"/>
        </w:rPr>
        <w:t>Production</w:t>
      </w:r>
      <w:r>
        <w:rPr>
          <w:i/>
          <w:spacing w:val="-12"/>
          <w:sz w:val="24"/>
        </w:rPr>
        <w:t xml:space="preserve"> </w:t>
      </w:r>
      <w:r>
        <w:rPr>
          <w:i/>
          <w:sz w:val="24"/>
        </w:rPr>
        <w:t>Cost</w:t>
      </w:r>
      <w:r>
        <w:rPr>
          <w:i/>
          <w:spacing w:val="-12"/>
          <w:sz w:val="24"/>
        </w:rPr>
        <w:t xml:space="preserve"> </w:t>
      </w:r>
      <w:r>
        <w:rPr>
          <w:i/>
          <w:sz w:val="24"/>
        </w:rPr>
        <w:t>Details</w:t>
      </w:r>
      <w:r>
        <w:rPr>
          <w:i/>
          <w:spacing w:val="-12"/>
          <w:sz w:val="24"/>
        </w:rPr>
        <w:t xml:space="preserve"> </w:t>
      </w:r>
      <w:r>
        <w:rPr>
          <w:i/>
          <w:sz w:val="24"/>
        </w:rPr>
        <w:t>of</w:t>
      </w:r>
      <w:r>
        <w:rPr>
          <w:i/>
          <w:spacing w:val="-13"/>
          <w:sz w:val="24"/>
        </w:rPr>
        <w:t xml:space="preserve"> </w:t>
      </w:r>
      <w:r>
        <w:rPr>
          <w:i/>
          <w:sz w:val="24"/>
        </w:rPr>
        <w:t>the</w:t>
      </w:r>
      <w:r>
        <w:rPr>
          <w:i/>
          <w:spacing w:val="-12"/>
          <w:sz w:val="24"/>
        </w:rPr>
        <w:t xml:space="preserve"> </w:t>
      </w:r>
      <w:r>
        <w:rPr>
          <w:i/>
          <w:sz w:val="24"/>
        </w:rPr>
        <w:t>Product</w:t>
      </w:r>
      <w:r>
        <w:rPr>
          <w:i/>
          <w:spacing w:val="-14"/>
          <w:sz w:val="24"/>
        </w:rPr>
        <w:t xml:space="preserve"> </w:t>
      </w:r>
      <w:r>
        <w:rPr>
          <w:i/>
          <w:sz w:val="24"/>
        </w:rPr>
        <w:t>Under</w:t>
      </w:r>
      <w:r>
        <w:rPr>
          <w:i/>
          <w:spacing w:val="-12"/>
          <w:sz w:val="24"/>
        </w:rPr>
        <w:t xml:space="preserve"> </w:t>
      </w:r>
      <w:r>
        <w:rPr>
          <w:i/>
          <w:sz w:val="24"/>
        </w:rPr>
        <w:t>Investigation and</w:t>
      </w:r>
      <w:r>
        <w:rPr>
          <w:i/>
          <w:spacing w:val="-1"/>
          <w:sz w:val="24"/>
        </w:rPr>
        <w:t xml:space="preserve"> </w:t>
      </w:r>
      <w:r>
        <w:rPr>
          <w:i/>
          <w:sz w:val="24"/>
        </w:rPr>
        <w:t>the</w:t>
      </w:r>
      <w:r>
        <w:rPr>
          <w:i/>
          <w:spacing w:val="-2"/>
          <w:sz w:val="24"/>
        </w:rPr>
        <w:t xml:space="preserve"> </w:t>
      </w:r>
      <w:r>
        <w:rPr>
          <w:i/>
          <w:sz w:val="24"/>
        </w:rPr>
        <w:t>Like</w:t>
      </w:r>
      <w:r>
        <w:rPr>
          <w:i/>
          <w:spacing w:val="-1"/>
          <w:sz w:val="24"/>
        </w:rPr>
        <w:t xml:space="preserve"> </w:t>
      </w:r>
      <w:r>
        <w:rPr>
          <w:i/>
          <w:spacing w:val="-2"/>
          <w:sz w:val="24"/>
        </w:rPr>
        <w:t>Product</w:t>
      </w:r>
      <w:r>
        <w:rPr>
          <w:rFonts w:ascii="Times New Roman" w:hAnsi="Times New Roman"/>
          <w:sz w:val="24"/>
        </w:rPr>
        <w:tab/>
      </w:r>
      <w:r>
        <w:rPr>
          <w:i/>
          <w:spacing w:val="-5"/>
          <w:sz w:val="24"/>
        </w:rPr>
        <w:t>137</w:t>
      </w:r>
    </w:p>
    <w:p w14:paraId="51DE7531" w14:textId="77777777" w:rsidR="0010369C" w:rsidRDefault="008E43AE">
      <w:pPr>
        <w:pStyle w:val="ListParagraph"/>
        <w:numPr>
          <w:ilvl w:val="4"/>
          <w:numId w:val="80"/>
        </w:numPr>
        <w:tabs>
          <w:tab w:val="left" w:pos="2790"/>
          <w:tab w:val="left" w:pos="2791"/>
          <w:tab w:val="left" w:leader="dot" w:pos="8933"/>
        </w:tabs>
        <w:spacing w:before="121"/>
        <w:ind w:hanging="852"/>
        <w:jc w:val="both"/>
        <w:rPr>
          <w:i/>
          <w:sz w:val="24"/>
        </w:rPr>
      </w:pPr>
      <w:r>
        <w:rPr>
          <w:i/>
          <w:sz w:val="24"/>
        </w:rPr>
        <w:t>Reconciliation</w:t>
      </w:r>
      <w:r>
        <w:rPr>
          <w:i/>
          <w:spacing w:val="-4"/>
          <w:sz w:val="24"/>
        </w:rPr>
        <w:t xml:space="preserve"> </w:t>
      </w:r>
      <w:r>
        <w:rPr>
          <w:i/>
          <w:sz w:val="24"/>
        </w:rPr>
        <w:t>of</w:t>
      </w:r>
      <w:r>
        <w:rPr>
          <w:i/>
          <w:spacing w:val="-3"/>
          <w:sz w:val="24"/>
        </w:rPr>
        <w:t xml:space="preserve"> </w:t>
      </w:r>
      <w:r>
        <w:rPr>
          <w:i/>
          <w:sz w:val="24"/>
        </w:rPr>
        <w:t>Forms</w:t>
      </w:r>
      <w:r>
        <w:rPr>
          <w:i/>
          <w:spacing w:val="-2"/>
          <w:sz w:val="24"/>
        </w:rPr>
        <w:t xml:space="preserve"> </w:t>
      </w:r>
      <w:r>
        <w:rPr>
          <w:i/>
          <w:sz w:val="24"/>
        </w:rPr>
        <w:t>6‐1‐2,</w:t>
      </w:r>
      <w:r>
        <w:rPr>
          <w:i/>
          <w:spacing w:val="-3"/>
          <w:sz w:val="24"/>
        </w:rPr>
        <w:t xml:space="preserve"> </w:t>
      </w:r>
      <w:r>
        <w:rPr>
          <w:i/>
          <w:sz w:val="24"/>
        </w:rPr>
        <w:t>6‐3,</w:t>
      </w:r>
      <w:r>
        <w:rPr>
          <w:i/>
          <w:spacing w:val="-3"/>
          <w:sz w:val="24"/>
        </w:rPr>
        <w:t xml:space="preserve"> </w:t>
      </w:r>
      <w:r>
        <w:rPr>
          <w:i/>
          <w:sz w:val="24"/>
        </w:rPr>
        <w:t>and</w:t>
      </w:r>
      <w:r>
        <w:rPr>
          <w:i/>
          <w:spacing w:val="-1"/>
          <w:sz w:val="24"/>
        </w:rPr>
        <w:t xml:space="preserve"> </w:t>
      </w:r>
      <w:r>
        <w:rPr>
          <w:i/>
          <w:spacing w:val="-5"/>
          <w:sz w:val="24"/>
        </w:rPr>
        <w:t>6‐4</w:t>
      </w:r>
      <w:r>
        <w:rPr>
          <w:rFonts w:ascii="Times New Roman" w:hAnsi="Times New Roman"/>
          <w:sz w:val="24"/>
        </w:rPr>
        <w:tab/>
      </w:r>
      <w:r>
        <w:rPr>
          <w:i/>
          <w:spacing w:val="-5"/>
          <w:sz w:val="24"/>
        </w:rPr>
        <w:t>140</w:t>
      </w:r>
    </w:p>
    <w:p w14:paraId="51DE7532" w14:textId="77777777" w:rsidR="0010369C" w:rsidRDefault="008E43AE">
      <w:pPr>
        <w:pStyle w:val="ListParagraph"/>
        <w:numPr>
          <w:ilvl w:val="3"/>
          <w:numId w:val="80"/>
        </w:numPr>
        <w:tabs>
          <w:tab w:val="left" w:pos="2365"/>
          <w:tab w:val="left" w:pos="2366"/>
          <w:tab w:val="left" w:leader="dot" w:pos="8933"/>
        </w:tabs>
        <w:spacing w:before="119"/>
        <w:ind w:hanging="853"/>
        <w:jc w:val="both"/>
        <w:rPr>
          <w:sz w:val="24"/>
        </w:rPr>
      </w:pPr>
      <w:r>
        <w:rPr>
          <w:sz w:val="24"/>
          <w:u w:val="single"/>
        </w:rPr>
        <w:t>The</w:t>
      </w:r>
      <w:r>
        <w:rPr>
          <w:spacing w:val="-2"/>
          <w:sz w:val="24"/>
          <w:u w:val="single"/>
        </w:rPr>
        <w:t xml:space="preserve"> </w:t>
      </w:r>
      <w:r>
        <w:rPr>
          <w:sz w:val="24"/>
          <w:u w:val="single"/>
        </w:rPr>
        <w:t>Information</w:t>
      </w:r>
      <w:r>
        <w:rPr>
          <w:spacing w:val="-3"/>
          <w:sz w:val="24"/>
          <w:u w:val="single"/>
        </w:rPr>
        <w:t xml:space="preserve"> </w:t>
      </w:r>
      <w:r>
        <w:rPr>
          <w:sz w:val="24"/>
          <w:u w:val="single"/>
        </w:rPr>
        <w:t>Used</w:t>
      </w:r>
      <w:r>
        <w:rPr>
          <w:spacing w:val="-4"/>
          <w:sz w:val="24"/>
          <w:u w:val="single"/>
        </w:rPr>
        <w:t xml:space="preserve"> </w:t>
      </w:r>
      <w:r>
        <w:rPr>
          <w:sz w:val="24"/>
          <w:u w:val="single"/>
        </w:rPr>
        <w:t>was</w:t>
      </w:r>
      <w:r>
        <w:rPr>
          <w:spacing w:val="-2"/>
          <w:sz w:val="24"/>
          <w:u w:val="single"/>
        </w:rPr>
        <w:t xml:space="preserve"> </w:t>
      </w:r>
      <w:r>
        <w:rPr>
          <w:sz w:val="24"/>
          <w:u w:val="single"/>
        </w:rPr>
        <w:t>not</w:t>
      </w:r>
      <w:r>
        <w:rPr>
          <w:spacing w:val="-3"/>
          <w:sz w:val="24"/>
          <w:u w:val="single"/>
        </w:rPr>
        <w:t xml:space="preserve"> </w:t>
      </w:r>
      <w:r>
        <w:rPr>
          <w:sz w:val="24"/>
          <w:u w:val="single"/>
        </w:rPr>
        <w:t>the</w:t>
      </w:r>
      <w:r>
        <w:rPr>
          <w:spacing w:val="-2"/>
          <w:sz w:val="24"/>
          <w:u w:val="single"/>
        </w:rPr>
        <w:t xml:space="preserve"> </w:t>
      </w:r>
      <w:r>
        <w:rPr>
          <w:sz w:val="24"/>
          <w:u w:val="single"/>
        </w:rPr>
        <w:t>"Best</w:t>
      </w:r>
      <w:r>
        <w:rPr>
          <w:spacing w:val="-2"/>
          <w:sz w:val="24"/>
          <w:u w:val="single"/>
        </w:rPr>
        <w:t xml:space="preserve"> Available"</w:t>
      </w:r>
      <w:r>
        <w:rPr>
          <w:rFonts w:ascii="Times New Roman"/>
          <w:sz w:val="24"/>
        </w:rPr>
        <w:tab/>
      </w:r>
      <w:r>
        <w:rPr>
          <w:spacing w:val="-5"/>
          <w:sz w:val="24"/>
          <w:u w:val="single"/>
        </w:rPr>
        <w:t>144</w:t>
      </w:r>
    </w:p>
    <w:p w14:paraId="51DE7533" w14:textId="77777777" w:rsidR="0010369C" w:rsidRDefault="008E43AE">
      <w:pPr>
        <w:pStyle w:val="ListParagraph"/>
        <w:numPr>
          <w:ilvl w:val="4"/>
          <w:numId w:val="80"/>
        </w:numPr>
        <w:tabs>
          <w:tab w:val="left" w:pos="2790"/>
          <w:tab w:val="left" w:pos="2791"/>
          <w:tab w:val="left" w:leader="dot" w:pos="8933"/>
        </w:tabs>
        <w:ind w:right="194"/>
        <w:jc w:val="both"/>
        <w:rPr>
          <w:i/>
          <w:sz w:val="24"/>
        </w:rPr>
      </w:pPr>
      <w:r>
        <w:rPr>
          <w:i/>
          <w:sz w:val="24"/>
        </w:rPr>
        <w:t xml:space="preserve">MOFCOM'S Stated Methodology for Determining Normal Value Through Facts Available for Casella Wines and Swan Vintage Was </w:t>
      </w:r>
      <w:r>
        <w:rPr>
          <w:i/>
          <w:spacing w:val="-2"/>
          <w:sz w:val="24"/>
        </w:rPr>
        <w:t>Irrational</w:t>
      </w:r>
      <w:r>
        <w:rPr>
          <w:rFonts w:ascii="Times New Roman"/>
          <w:sz w:val="24"/>
        </w:rPr>
        <w:tab/>
      </w:r>
      <w:r>
        <w:rPr>
          <w:i/>
          <w:spacing w:val="-5"/>
          <w:sz w:val="24"/>
        </w:rPr>
        <w:t>145</w:t>
      </w:r>
    </w:p>
    <w:p w14:paraId="51DE7534" w14:textId="77777777" w:rsidR="0010369C" w:rsidRDefault="008E43AE">
      <w:pPr>
        <w:pStyle w:val="ListParagraph"/>
        <w:numPr>
          <w:ilvl w:val="4"/>
          <w:numId w:val="80"/>
        </w:numPr>
        <w:tabs>
          <w:tab w:val="left" w:pos="2790"/>
          <w:tab w:val="left" w:pos="2791"/>
          <w:tab w:val="left" w:leader="dot" w:pos="8933"/>
        </w:tabs>
        <w:ind w:right="192"/>
        <w:jc w:val="both"/>
        <w:rPr>
          <w:i/>
          <w:sz w:val="24"/>
        </w:rPr>
      </w:pPr>
      <w:r>
        <w:rPr>
          <w:i/>
          <w:sz w:val="24"/>
        </w:rPr>
        <w:t>MOFCOM did not check the information from "other respondents" against information obtained from the sampled companies, no</w:t>
      </w:r>
      <w:r>
        <w:rPr>
          <w:i/>
          <w:sz w:val="24"/>
        </w:rPr>
        <w:t>r from</w:t>
      </w:r>
      <w:r>
        <w:rPr>
          <w:i/>
          <w:spacing w:val="-3"/>
          <w:sz w:val="24"/>
        </w:rPr>
        <w:t xml:space="preserve"> </w:t>
      </w:r>
      <w:r>
        <w:rPr>
          <w:i/>
          <w:sz w:val="24"/>
        </w:rPr>
        <w:t>other</w:t>
      </w:r>
      <w:r>
        <w:rPr>
          <w:i/>
          <w:spacing w:val="-2"/>
          <w:sz w:val="24"/>
        </w:rPr>
        <w:t xml:space="preserve"> </w:t>
      </w:r>
      <w:r>
        <w:rPr>
          <w:i/>
          <w:sz w:val="24"/>
        </w:rPr>
        <w:t>independent</w:t>
      </w:r>
      <w:r>
        <w:rPr>
          <w:i/>
          <w:spacing w:val="-2"/>
          <w:sz w:val="24"/>
        </w:rPr>
        <w:t xml:space="preserve"> sources</w:t>
      </w:r>
      <w:r>
        <w:rPr>
          <w:rFonts w:ascii="Times New Roman"/>
          <w:sz w:val="24"/>
        </w:rPr>
        <w:tab/>
      </w:r>
      <w:r>
        <w:rPr>
          <w:i/>
          <w:spacing w:val="-5"/>
          <w:sz w:val="24"/>
        </w:rPr>
        <w:t>147</w:t>
      </w:r>
    </w:p>
    <w:p w14:paraId="51DE7535" w14:textId="77777777" w:rsidR="0010369C" w:rsidRDefault="008E43AE">
      <w:pPr>
        <w:pStyle w:val="ListParagraph"/>
        <w:numPr>
          <w:ilvl w:val="4"/>
          <w:numId w:val="80"/>
        </w:numPr>
        <w:tabs>
          <w:tab w:val="left" w:pos="2790"/>
          <w:tab w:val="left" w:pos="2791"/>
          <w:tab w:val="left" w:leader="dot" w:pos="8933"/>
        </w:tabs>
        <w:ind w:right="194"/>
        <w:jc w:val="both"/>
        <w:rPr>
          <w:i/>
          <w:sz w:val="24"/>
        </w:rPr>
      </w:pPr>
      <w:r>
        <w:rPr>
          <w:i/>
          <w:sz w:val="24"/>
        </w:rPr>
        <w:t>MOFCOM</w:t>
      </w:r>
      <w:r>
        <w:rPr>
          <w:i/>
          <w:spacing w:val="-9"/>
          <w:sz w:val="24"/>
        </w:rPr>
        <w:t xml:space="preserve"> </w:t>
      </w:r>
      <w:r>
        <w:rPr>
          <w:i/>
          <w:sz w:val="24"/>
        </w:rPr>
        <w:t>did</w:t>
      </w:r>
      <w:r>
        <w:rPr>
          <w:i/>
          <w:spacing w:val="-8"/>
          <w:sz w:val="24"/>
        </w:rPr>
        <w:t xml:space="preserve"> </w:t>
      </w:r>
      <w:r>
        <w:rPr>
          <w:i/>
          <w:sz w:val="24"/>
        </w:rPr>
        <w:t>not</w:t>
      </w:r>
      <w:r>
        <w:rPr>
          <w:i/>
          <w:spacing w:val="-8"/>
          <w:sz w:val="24"/>
        </w:rPr>
        <w:t xml:space="preserve"> </w:t>
      </w:r>
      <w:r>
        <w:rPr>
          <w:i/>
          <w:sz w:val="24"/>
        </w:rPr>
        <w:t>undertake</w:t>
      </w:r>
      <w:r>
        <w:rPr>
          <w:i/>
          <w:spacing w:val="-7"/>
          <w:sz w:val="24"/>
        </w:rPr>
        <w:t xml:space="preserve"> </w:t>
      </w:r>
      <w:r>
        <w:rPr>
          <w:i/>
          <w:sz w:val="24"/>
        </w:rPr>
        <w:t>a</w:t>
      </w:r>
      <w:r>
        <w:rPr>
          <w:i/>
          <w:spacing w:val="-8"/>
          <w:sz w:val="24"/>
        </w:rPr>
        <w:t xml:space="preserve"> </w:t>
      </w:r>
      <w:r>
        <w:rPr>
          <w:i/>
          <w:sz w:val="24"/>
        </w:rPr>
        <w:t>process</w:t>
      </w:r>
      <w:r>
        <w:rPr>
          <w:i/>
          <w:spacing w:val="-8"/>
          <w:sz w:val="24"/>
        </w:rPr>
        <w:t xml:space="preserve"> </w:t>
      </w:r>
      <w:r>
        <w:rPr>
          <w:i/>
          <w:sz w:val="24"/>
        </w:rPr>
        <w:t>of</w:t>
      </w:r>
      <w:r>
        <w:rPr>
          <w:i/>
          <w:spacing w:val="-9"/>
          <w:sz w:val="24"/>
        </w:rPr>
        <w:t xml:space="preserve"> </w:t>
      </w:r>
      <w:r>
        <w:rPr>
          <w:i/>
          <w:sz w:val="24"/>
        </w:rPr>
        <w:t>evaluation</w:t>
      </w:r>
      <w:r>
        <w:rPr>
          <w:i/>
          <w:spacing w:val="-9"/>
          <w:sz w:val="24"/>
        </w:rPr>
        <w:t xml:space="preserve"> </w:t>
      </w:r>
      <w:r>
        <w:rPr>
          <w:i/>
          <w:sz w:val="24"/>
        </w:rPr>
        <w:t>or</w:t>
      </w:r>
      <w:r>
        <w:rPr>
          <w:i/>
          <w:spacing w:val="-9"/>
          <w:sz w:val="24"/>
        </w:rPr>
        <w:t xml:space="preserve"> </w:t>
      </w:r>
      <w:r>
        <w:rPr>
          <w:i/>
          <w:sz w:val="24"/>
        </w:rPr>
        <w:t>reasoning</w:t>
      </w:r>
      <w:r>
        <w:rPr>
          <w:i/>
          <w:spacing w:val="-9"/>
          <w:sz w:val="24"/>
        </w:rPr>
        <w:t xml:space="preserve"> </w:t>
      </w:r>
      <w:r>
        <w:rPr>
          <w:i/>
          <w:sz w:val="24"/>
        </w:rPr>
        <w:t>of the</w:t>
      </w:r>
      <w:r>
        <w:rPr>
          <w:i/>
          <w:spacing w:val="-4"/>
          <w:sz w:val="24"/>
        </w:rPr>
        <w:t xml:space="preserve"> </w:t>
      </w:r>
      <w:r>
        <w:rPr>
          <w:i/>
          <w:sz w:val="24"/>
        </w:rPr>
        <w:t>facts</w:t>
      </w:r>
      <w:r>
        <w:rPr>
          <w:i/>
          <w:spacing w:val="-2"/>
          <w:sz w:val="24"/>
        </w:rPr>
        <w:t xml:space="preserve"> </w:t>
      </w:r>
      <w:r>
        <w:rPr>
          <w:i/>
          <w:sz w:val="24"/>
        </w:rPr>
        <w:t>on</w:t>
      </w:r>
      <w:r>
        <w:rPr>
          <w:i/>
          <w:spacing w:val="-3"/>
          <w:sz w:val="24"/>
        </w:rPr>
        <w:t xml:space="preserve"> </w:t>
      </w:r>
      <w:r>
        <w:rPr>
          <w:i/>
          <w:sz w:val="24"/>
        </w:rPr>
        <w:t>the</w:t>
      </w:r>
      <w:r>
        <w:rPr>
          <w:i/>
          <w:spacing w:val="-2"/>
          <w:sz w:val="24"/>
        </w:rPr>
        <w:t xml:space="preserve"> </w:t>
      </w:r>
      <w:r>
        <w:rPr>
          <w:i/>
          <w:sz w:val="24"/>
        </w:rPr>
        <w:t>record</w:t>
      </w:r>
      <w:r>
        <w:rPr>
          <w:i/>
          <w:spacing w:val="-2"/>
          <w:sz w:val="24"/>
        </w:rPr>
        <w:t xml:space="preserve"> </w:t>
      </w:r>
      <w:r>
        <w:rPr>
          <w:i/>
          <w:sz w:val="24"/>
        </w:rPr>
        <w:t>regarding</w:t>
      </w:r>
      <w:r>
        <w:rPr>
          <w:i/>
          <w:spacing w:val="-3"/>
          <w:sz w:val="24"/>
        </w:rPr>
        <w:t xml:space="preserve"> </w:t>
      </w:r>
      <w:r>
        <w:rPr>
          <w:i/>
          <w:sz w:val="24"/>
        </w:rPr>
        <w:t>normal</w:t>
      </w:r>
      <w:r>
        <w:rPr>
          <w:i/>
          <w:spacing w:val="-2"/>
          <w:sz w:val="24"/>
        </w:rPr>
        <w:t xml:space="preserve"> value</w:t>
      </w:r>
      <w:r>
        <w:rPr>
          <w:rFonts w:ascii="Times New Roman"/>
          <w:sz w:val="24"/>
        </w:rPr>
        <w:tab/>
      </w:r>
      <w:r>
        <w:rPr>
          <w:i/>
          <w:spacing w:val="-5"/>
          <w:sz w:val="24"/>
        </w:rPr>
        <w:t>149</w:t>
      </w:r>
    </w:p>
    <w:p w14:paraId="51DE7536" w14:textId="77777777" w:rsidR="0010369C" w:rsidRDefault="008E43AE">
      <w:pPr>
        <w:pStyle w:val="ListParagraph"/>
        <w:numPr>
          <w:ilvl w:val="3"/>
          <w:numId w:val="80"/>
        </w:numPr>
        <w:tabs>
          <w:tab w:val="left" w:pos="2365"/>
          <w:tab w:val="left" w:pos="2366"/>
        </w:tabs>
        <w:ind w:hanging="853"/>
        <w:jc w:val="both"/>
        <w:rPr>
          <w:sz w:val="24"/>
        </w:rPr>
      </w:pPr>
      <w:r>
        <w:rPr>
          <w:sz w:val="24"/>
          <w:u w:val="single"/>
        </w:rPr>
        <w:t>MOFCOM</w:t>
      </w:r>
      <w:r>
        <w:rPr>
          <w:spacing w:val="-5"/>
          <w:sz w:val="24"/>
          <w:u w:val="single"/>
        </w:rPr>
        <w:t xml:space="preserve"> </w:t>
      </w:r>
      <w:r>
        <w:rPr>
          <w:sz w:val="24"/>
          <w:u w:val="single"/>
        </w:rPr>
        <w:t>had</w:t>
      </w:r>
      <w:r>
        <w:rPr>
          <w:spacing w:val="-4"/>
          <w:sz w:val="24"/>
          <w:u w:val="single"/>
        </w:rPr>
        <w:t xml:space="preserve"> </w:t>
      </w:r>
      <w:r>
        <w:rPr>
          <w:sz w:val="24"/>
          <w:u w:val="single"/>
        </w:rPr>
        <w:t>all</w:t>
      </w:r>
      <w:r>
        <w:rPr>
          <w:spacing w:val="-4"/>
          <w:sz w:val="24"/>
          <w:u w:val="single"/>
        </w:rPr>
        <w:t xml:space="preserve"> </w:t>
      </w:r>
      <w:r>
        <w:rPr>
          <w:sz w:val="24"/>
          <w:u w:val="single"/>
        </w:rPr>
        <w:t>necessary</w:t>
      </w:r>
      <w:r>
        <w:rPr>
          <w:spacing w:val="-3"/>
          <w:sz w:val="24"/>
          <w:u w:val="single"/>
        </w:rPr>
        <w:t xml:space="preserve"> </w:t>
      </w:r>
      <w:r>
        <w:rPr>
          <w:sz w:val="24"/>
          <w:u w:val="single"/>
        </w:rPr>
        <w:t>information</w:t>
      </w:r>
      <w:r>
        <w:rPr>
          <w:spacing w:val="-3"/>
          <w:sz w:val="24"/>
          <w:u w:val="single"/>
        </w:rPr>
        <w:t xml:space="preserve"> </w:t>
      </w:r>
      <w:r>
        <w:rPr>
          <w:sz w:val="24"/>
          <w:u w:val="single"/>
        </w:rPr>
        <w:t>to</w:t>
      </w:r>
      <w:r>
        <w:rPr>
          <w:spacing w:val="-3"/>
          <w:sz w:val="24"/>
          <w:u w:val="single"/>
        </w:rPr>
        <w:t xml:space="preserve"> </w:t>
      </w:r>
      <w:r>
        <w:rPr>
          <w:sz w:val="24"/>
          <w:u w:val="single"/>
        </w:rPr>
        <w:t>construct</w:t>
      </w:r>
      <w:r>
        <w:rPr>
          <w:spacing w:val="-4"/>
          <w:sz w:val="24"/>
          <w:u w:val="single"/>
        </w:rPr>
        <w:t xml:space="preserve"> </w:t>
      </w:r>
      <w:r>
        <w:rPr>
          <w:sz w:val="24"/>
          <w:u w:val="single"/>
        </w:rPr>
        <w:t>normal</w:t>
      </w:r>
      <w:r>
        <w:rPr>
          <w:spacing w:val="-4"/>
          <w:sz w:val="24"/>
          <w:u w:val="single"/>
        </w:rPr>
        <w:t xml:space="preserve"> </w:t>
      </w:r>
      <w:r>
        <w:rPr>
          <w:spacing w:val="-2"/>
          <w:sz w:val="24"/>
          <w:u w:val="single"/>
        </w:rPr>
        <w:t>value.151</w:t>
      </w:r>
    </w:p>
    <w:p w14:paraId="51DE7537" w14:textId="77777777" w:rsidR="0010369C" w:rsidRDefault="008E43AE">
      <w:pPr>
        <w:pStyle w:val="Heading4"/>
        <w:numPr>
          <w:ilvl w:val="2"/>
          <w:numId w:val="80"/>
        </w:numPr>
        <w:tabs>
          <w:tab w:val="left" w:pos="1939"/>
          <w:tab w:val="left" w:pos="1940"/>
          <w:tab w:val="left" w:leader="dot" w:pos="8933"/>
        </w:tabs>
        <w:spacing w:before="120"/>
        <w:ind w:left="1939" w:right="192"/>
        <w:jc w:val="both"/>
      </w:pPr>
      <w:r>
        <w:t xml:space="preserve">MOFCOM selected export sales with characteristics affecting price </w:t>
      </w:r>
      <w:r>
        <w:rPr>
          <w:spacing w:val="-2"/>
        </w:rPr>
        <w:t>comparability</w:t>
      </w:r>
      <w:r>
        <w:rPr>
          <w:rFonts w:ascii="Times New Roman"/>
          <w:b w:val="0"/>
        </w:rPr>
        <w:tab/>
      </w:r>
      <w:r>
        <w:rPr>
          <w:spacing w:val="-5"/>
        </w:rPr>
        <w:t>151</w:t>
      </w:r>
    </w:p>
    <w:p w14:paraId="51DE7538" w14:textId="77777777" w:rsidR="0010369C" w:rsidRDefault="008E43AE">
      <w:pPr>
        <w:pStyle w:val="Heading4"/>
        <w:numPr>
          <w:ilvl w:val="2"/>
          <w:numId w:val="80"/>
        </w:numPr>
        <w:tabs>
          <w:tab w:val="left" w:pos="1939"/>
          <w:tab w:val="left" w:pos="1940"/>
          <w:tab w:val="left" w:leader="dot" w:pos="8933"/>
        </w:tabs>
        <w:spacing w:before="121"/>
        <w:ind w:left="1940"/>
        <w:jc w:val="both"/>
      </w:pPr>
      <w:r>
        <w:rPr>
          <w:spacing w:val="-2"/>
        </w:rPr>
        <w:t>Conclusion</w:t>
      </w:r>
      <w:r>
        <w:rPr>
          <w:rFonts w:ascii="Times New Roman"/>
          <w:b w:val="0"/>
        </w:rPr>
        <w:tab/>
      </w:r>
      <w:r>
        <w:rPr>
          <w:spacing w:val="-5"/>
        </w:rPr>
        <w:t>152</w:t>
      </w:r>
    </w:p>
    <w:p w14:paraId="51DE7539" w14:textId="77777777" w:rsidR="0010369C" w:rsidRDefault="008E43AE">
      <w:pPr>
        <w:pStyle w:val="ListParagraph"/>
        <w:numPr>
          <w:ilvl w:val="1"/>
          <w:numId w:val="80"/>
        </w:numPr>
        <w:tabs>
          <w:tab w:val="left" w:pos="1513"/>
          <w:tab w:val="left" w:pos="1514"/>
          <w:tab w:val="left" w:leader="dot" w:pos="8933"/>
        </w:tabs>
        <w:ind w:left="1514"/>
        <w:jc w:val="both"/>
        <w:rPr>
          <w:b/>
          <w:sz w:val="24"/>
        </w:rPr>
      </w:pPr>
      <w:r>
        <w:rPr>
          <w:b/>
          <w:sz w:val="24"/>
        </w:rPr>
        <w:t>A</w:t>
      </w:r>
      <w:r>
        <w:rPr>
          <w:b/>
          <w:sz w:val="19"/>
        </w:rPr>
        <w:t>USTRALIA</w:t>
      </w:r>
      <w:r>
        <w:rPr>
          <w:b/>
          <w:spacing w:val="-6"/>
          <w:sz w:val="19"/>
        </w:rPr>
        <w:t xml:space="preserve"> </w:t>
      </w:r>
      <w:r>
        <w:rPr>
          <w:b/>
          <w:sz w:val="24"/>
        </w:rPr>
        <w:t>S</w:t>
      </w:r>
      <w:r>
        <w:rPr>
          <w:b/>
          <w:sz w:val="19"/>
        </w:rPr>
        <w:t>WAN</w:t>
      </w:r>
      <w:r>
        <w:rPr>
          <w:b/>
          <w:spacing w:val="-6"/>
          <w:sz w:val="19"/>
        </w:rPr>
        <w:t xml:space="preserve"> </w:t>
      </w:r>
      <w:r>
        <w:rPr>
          <w:b/>
          <w:sz w:val="24"/>
        </w:rPr>
        <w:t>V</w:t>
      </w:r>
      <w:r>
        <w:rPr>
          <w:b/>
          <w:sz w:val="19"/>
        </w:rPr>
        <w:t>INTAGE</w:t>
      </w:r>
      <w:r>
        <w:rPr>
          <w:b/>
          <w:spacing w:val="-5"/>
          <w:sz w:val="19"/>
        </w:rPr>
        <w:t xml:space="preserve"> </w:t>
      </w:r>
      <w:r>
        <w:rPr>
          <w:b/>
          <w:sz w:val="24"/>
        </w:rPr>
        <w:t>P</w:t>
      </w:r>
      <w:r>
        <w:rPr>
          <w:b/>
          <w:sz w:val="19"/>
        </w:rPr>
        <w:t>TY</w:t>
      </w:r>
      <w:r>
        <w:rPr>
          <w:b/>
          <w:spacing w:val="-5"/>
          <w:sz w:val="19"/>
        </w:rPr>
        <w:t xml:space="preserve"> </w:t>
      </w:r>
      <w:r>
        <w:rPr>
          <w:b/>
          <w:spacing w:val="-5"/>
          <w:sz w:val="24"/>
        </w:rPr>
        <w:t>L</w:t>
      </w:r>
      <w:r>
        <w:rPr>
          <w:b/>
          <w:spacing w:val="-5"/>
          <w:sz w:val="19"/>
        </w:rPr>
        <w:t>TD</w:t>
      </w:r>
      <w:r>
        <w:rPr>
          <w:rFonts w:ascii="Times New Roman"/>
          <w:sz w:val="19"/>
        </w:rPr>
        <w:tab/>
      </w:r>
      <w:r>
        <w:rPr>
          <w:b/>
          <w:spacing w:val="-5"/>
          <w:sz w:val="24"/>
        </w:rPr>
        <w:t>152</w:t>
      </w:r>
    </w:p>
    <w:p w14:paraId="51DE753A" w14:textId="77777777" w:rsidR="0010369C" w:rsidRDefault="008E43AE">
      <w:pPr>
        <w:pStyle w:val="Heading4"/>
        <w:numPr>
          <w:ilvl w:val="2"/>
          <w:numId w:val="80"/>
        </w:numPr>
        <w:tabs>
          <w:tab w:val="left" w:pos="1939"/>
          <w:tab w:val="left" w:pos="1940"/>
          <w:tab w:val="left" w:leader="dot" w:pos="8933"/>
        </w:tabs>
        <w:spacing w:before="119"/>
        <w:ind w:left="1940"/>
        <w:jc w:val="both"/>
      </w:pPr>
      <w:r>
        <w:rPr>
          <w:spacing w:val="-2"/>
        </w:rPr>
        <w:t>Overview</w:t>
      </w:r>
      <w:r>
        <w:rPr>
          <w:rFonts w:ascii="Times New Roman"/>
          <w:b w:val="0"/>
        </w:rPr>
        <w:tab/>
      </w:r>
      <w:r>
        <w:rPr>
          <w:spacing w:val="-5"/>
        </w:rPr>
        <w:t>152</w:t>
      </w:r>
    </w:p>
    <w:p w14:paraId="51DE753B" w14:textId="77777777" w:rsidR="0010369C" w:rsidRDefault="008E43AE">
      <w:pPr>
        <w:pStyle w:val="Heading4"/>
        <w:numPr>
          <w:ilvl w:val="2"/>
          <w:numId w:val="80"/>
        </w:numPr>
        <w:tabs>
          <w:tab w:val="left" w:pos="1939"/>
          <w:tab w:val="left" w:pos="1940"/>
          <w:tab w:val="left" w:leader="dot" w:pos="8933"/>
        </w:tabs>
        <w:spacing w:before="120"/>
        <w:ind w:left="1940"/>
        <w:jc w:val="both"/>
      </w:pPr>
      <w:r>
        <w:t>MOFCOM</w:t>
      </w:r>
      <w:r>
        <w:rPr>
          <w:spacing w:val="-5"/>
        </w:rPr>
        <w:t xml:space="preserve"> </w:t>
      </w:r>
      <w:r>
        <w:t>failed</w:t>
      </w:r>
      <w:r>
        <w:rPr>
          <w:spacing w:val="-3"/>
        </w:rPr>
        <w:t xml:space="preserve"> </w:t>
      </w:r>
      <w:r>
        <w:t>to</w:t>
      </w:r>
      <w:r>
        <w:rPr>
          <w:spacing w:val="-3"/>
        </w:rPr>
        <w:t xml:space="preserve"> </w:t>
      </w:r>
      <w:r>
        <w:t>comply</w:t>
      </w:r>
      <w:r>
        <w:rPr>
          <w:spacing w:val="-2"/>
        </w:rPr>
        <w:t xml:space="preserve"> </w:t>
      </w:r>
      <w:r>
        <w:t>with</w:t>
      </w:r>
      <w:r>
        <w:rPr>
          <w:spacing w:val="-4"/>
        </w:rPr>
        <w:t xml:space="preserve"> </w:t>
      </w:r>
      <w:r>
        <w:t>its</w:t>
      </w:r>
      <w:r>
        <w:rPr>
          <w:spacing w:val="-3"/>
        </w:rPr>
        <w:t xml:space="preserve"> </w:t>
      </w:r>
      <w:r>
        <w:t>disclosure</w:t>
      </w:r>
      <w:r>
        <w:rPr>
          <w:spacing w:val="-3"/>
        </w:rPr>
        <w:t xml:space="preserve"> </w:t>
      </w:r>
      <w:r>
        <w:rPr>
          <w:spacing w:val="-2"/>
        </w:rPr>
        <w:t>obligations</w:t>
      </w:r>
      <w:r>
        <w:rPr>
          <w:rFonts w:ascii="Times New Roman"/>
          <w:b w:val="0"/>
        </w:rPr>
        <w:tab/>
      </w:r>
      <w:r>
        <w:rPr>
          <w:spacing w:val="-5"/>
        </w:rPr>
        <w:t>153</w:t>
      </w:r>
    </w:p>
    <w:p w14:paraId="51DE753C" w14:textId="77777777" w:rsidR="0010369C" w:rsidRDefault="0010369C">
      <w:pPr>
        <w:jc w:val="both"/>
        <w:sectPr w:rsidR="0010369C">
          <w:type w:val="continuous"/>
          <w:pgSz w:w="11910" w:h="16840"/>
          <w:pgMar w:top="1460" w:right="1220" w:bottom="280" w:left="1180" w:header="569" w:footer="788" w:gutter="0"/>
          <w:cols w:space="720"/>
        </w:sectPr>
      </w:pPr>
    </w:p>
    <w:p w14:paraId="51DE753D" w14:textId="77777777" w:rsidR="0010369C" w:rsidRDefault="008E43AE">
      <w:pPr>
        <w:tabs>
          <w:tab w:val="left" w:pos="6425"/>
        </w:tabs>
        <w:ind w:left="238"/>
        <w:rPr>
          <w:sz w:val="20"/>
        </w:rPr>
      </w:pPr>
      <w:r>
        <w:rPr>
          <w:i/>
          <w:sz w:val="20"/>
        </w:rPr>
        <w:lastRenderedPageBreak/>
        <w:t>China</w:t>
      </w:r>
      <w:r>
        <w:rPr>
          <w:i/>
          <w:spacing w:val="-5"/>
          <w:sz w:val="20"/>
        </w:rPr>
        <w:t xml:space="preserve"> </w:t>
      </w:r>
      <w:r>
        <w:rPr>
          <w:i/>
          <w:sz w:val="20"/>
        </w:rPr>
        <w:t>–</w:t>
      </w:r>
      <w:r>
        <w:rPr>
          <w:i/>
          <w:spacing w:val="-5"/>
          <w:sz w:val="20"/>
        </w:rPr>
        <w:t xml:space="preserve"> </w:t>
      </w:r>
      <w:r>
        <w:rPr>
          <w:i/>
          <w:sz w:val="20"/>
        </w:rPr>
        <w:t>Anti‐Dumping</w:t>
      </w:r>
      <w:r>
        <w:rPr>
          <w:i/>
          <w:spacing w:val="-4"/>
          <w:sz w:val="20"/>
        </w:rPr>
        <w:t xml:space="preserve"> </w:t>
      </w:r>
      <w:r>
        <w:rPr>
          <w:i/>
          <w:sz w:val="20"/>
        </w:rPr>
        <w:t>and</w:t>
      </w:r>
      <w:r>
        <w:rPr>
          <w:i/>
          <w:spacing w:val="-5"/>
          <w:sz w:val="20"/>
        </w:rPr>
        <w:t xml:space="preserve"> </w:t>
      </w:r>
      <w:r>
        <w:rPr>
          <w:i/>
          <w:sz w:val="20"/>
        </w:rPr>
        <w:t>Countervailing</w:t>
      </w:r>
      <w:r>
        <w:rPr>
          <w:i/>
          <w:spacing w:val="-5"/>
          <w:sz w:val="20"/>
        </w:rPr>
        <w:t xml:space="preserve"> </w:t>
      </w:r>
      <w:r>
        <w:rPr>
          <w:i/>
          <w:sz w:val="20"/>
        </w:rPr>
        <w:t>Duty</w:t>
      </w:r>
      <w:r>
        <w:rPr>
          <w:i/>
          <w:spacing w:val="-4"/>
          <w:sz w:val="20"/>
        </w:rPr>
        <w:t xml:space="preserve"> </w:t>
      </w:r>
      <w:r>
        <w:rPr>
          <w:i/>
          <w:spacing w:val="-2"/>
          <w:sz w:val="20"/>
        </w:rPr>
        <w:t>Measures</w:t>
      </w:r>
      <w:r>
        <w:rPr>
          <w:i/>
          <w:sz w:val="20"/>
        </w:rPr>
        <w:tab/>
      </w:r>
      <w:r>
        <w:rPr>
          <w:sz w:val="20"/>
        </w:rPr>
        <w:t>Australia's</w:t>
      </w:r>
      <w:r>
        <w:rPr>
          <w:spacing w:val="-6"/>
          <w:sz w:val="20"/>
        </w:rPr>
        <w:t xml:space="preserve"> </w:t>
      </w:r>
      <w:r>
        <w:rPr>
          <w:sz w:val="20"/>
        </w:rPr>
        <w:t>First</w:t>
      </w:r>
      <w:r>
        <w:rPr>
          <w:spacing w:val="-2"/>
          <w:sz w:val="20"/>
        </w:rPr>
        <w:t xml:space="preserve"> </w:t>
      </w:r>
      <w:r>
        <w:rPr>
          <w:sz w:val="20"/>
        </w:rPr>
        <w:t>Written</w:t>
      </w:r>
      <w:r>
        <w:rPr>
          <w:spacing w:val="-2"/>
          <w:sz w:val="20"/>
        </w:rPr>
        <w:t xml:space="preserve"> Submission</w:t>
      </w:r>
    </w:p>
    <w:p w14:paraId="51DE753E" w14:textId="77777777" w:rsidR="0010369C" w:rsidRDefault="008E43AE">
      <w:pPr>
        <w:tabs>
          <w:tab w:val="left" w:pos="8227"/>
        </w:tabs>
        <w:spacing w:before="1"/>
        <w:ind w:left="239"/>
        <w:rPr>
          <w:sz w:val="20"/>
        </w:rPr>
      </w:pPr>
      <w:r>
        <w:rPr>
          <w:i/>
          <w:sz w:val="20"/>
        </w:rPr>
        <w:t>on</w:t>
      </w:r>
      <w:r>
        <w:rPr>
          <w:i/>
          <w:spacing w:val="-1"/>
          <w:sz w:val="20"/>
        </w:rPr>
        <w:t xml:space="preserve"> </w:t>
      </w:r>
      <w:r>
        <w:rPr>
          <w:i/>
          <w:sz w:val="20"/>
        </w:rPr>
        <w:t>Wine</w:t>
      </w:r>
      <w:r>
        <w:rPr>
          <w:i/>
          <w:spacing w:val="-1"/>
          <w:sz w:val="20"/>
        </w:rPr>
        <w:t xml:space="preserve"> </w:t>
      </w:r>
      <w:r>
        <w:rPr>
          <w:i/>
          <w:sz w:val="20"/>
        </w:rPr>
        <w:t>from</w:t>
      </w:r>
      <w:r>
        <w:rPr>
          <w:i/>
          <w:spacing w:val="-3"/>
          <w:sz w:val="20"/>
        </w:rPr>
        <w:t xml:space="preserve"> </w:t>
      </w:r>
      <w:r>
        <w:rPr>
          <w:i/>
          <w:sz w:val="20"/>
        </w:rPr>
        <w:t>Australia</w:t>
      </w:r>
      <w:r>
        <w:rPr>
          <w:i/>
          <w:spacing w:val="-1"/>
          <w:sz w:val="20"/>
        </w:rPr>
        <w:t xml:space="preserve"> </w:t>
      </w:r>
      <w:r>
        <w:rPr>
          <w:spacing w:val="-2"/>
          <w:sz w:val="20"/>
        </w:rPr>
        <w:t>(DS602)</w:t>
      </w:r>
      <w:r>
        <w:rPr>
          <w:sz w:val="20"/>
        </w:rPr>
        <w:tab/>
        <w:t>29</w:t>
      </w:r>
      <w:r>
        <w:rPr>
          <w:spacing w:val="-1"/>
          <w:sz w:val="20"/>
        </w:rPr>
        <w:t xml:space="preserve"> </w:t>
      </w:r>
      <w:r>
        <w:rPr>
          <w:sz w:val="20"/>
        </w:rPr>
        <w:t>April</w:t>
      </w:r>
      <w:r>
        <w:rPr>
          <w:spacing w:val="-2"/>
          <w:sz w:val="20"/>
        </w:rPr>
        <w:t xml:space="preserve"> </w:t>
      </w:r>
      <w:r>
        <w:rPr>
          <w:spacing w:val="-4"/>
          <w:sz w:val="20"/>
        </w:rPr>
        <w:t>2022</w:t>
      </w:r>
    </w:p>
    <w:p w14:paraId="51DE753F" w14:textId="77777777" w:rsidR="0010369C" w:rsidRDefault="008E43AE">
      <w:pPr>
        <w:pStyle w:val="Heading4"/>
        <w:numPr>
          <w:ilvl w:val="2"/>
          <w:numId w:val="80"/>
        </w:numPr>
        <w:tabs>
          <w:tab w:val="left" w:pos="1939"/>
          <w:tab w:val="left" w:pos="1940"/>
          <w:tab w:val="left" w:leader="dot" w:pos="8933"/>
        </w:tabs>
        <w:spacing w:before="34"/>
        <w:ind w:left="1940"/>
      </w:pPr>
      <w:r>
        <w:t>MOFCOM</w:t>
      </w:r>
      <w:r>
        <w:rPr>
          <w:spacing w:val="-4"/>
        </w:rPr>
        <w:t xml:space="preserve"> </w:t>
      </w:r>
      <w:r>
        <w:t>improperly</w:t>
      </w:r>
      <w:r>
        <w:rPr>
          <w:spacing w:val="-4"/>
        </w:rPr>
        <w:t xml:space="preserve"> </w:t>
      </w:r>
      <w:r>
        <w:t>calculated</w:t>
      </w:r>
      <w:r>
        <w:rPr>
          <w:spacing w:val="-3"/>
        </w:rPr>
        <w:t xml:space="preserve"> </w:t>
      </w:r>
      <w:r>
        <w:t>normal</w:t>
      </w:r>
      <w:r>
        <w:rPr>
          <w:spacing w:val="-4"/>
        </w:rPr>
        <w:t xml:space="preserve"> </w:t>
      </w:r>
      <w:r>
        <w:rPr>
          <w:spacing w:val="-2"/>
        </w:rPr>
        <w:t>value</w:t>
      </w:r>
      <w:r>
        <w:rPr>
          <w:rFonts w:ascii="Times New Roman"/>
          <w:b w:val="0"/>
        </w:rPr>
        <w:tab/>
      </w:r>
      <w:r>
        <w:rPr>
          <w:spacing w:val="-5"/>
        </w:rPr>
        <w:t>155</w:t>
      </w:r>
    </w:p>
    <w:p w14:paraId="51DE7540" w14:textId="77777777" w:rsidR="0010369C" w:rsidRDefault="008E43AE">
      <w:pPr>
        <w:pStyle w:val="ListParagraph"/>
        <w:numPr>
          <w:ilvl w:val="3"/>
          <w:numId w:val="80"/>
        </w:numPr>
        <w:tabs>
          <w:tab w:val="left" w:pos="851"/>
          <w:tab w:val="left" w:pos="852"/>
        </w:tabs>
        <w:ind w:left="852" w:right="194" w:hanging="852"/>
        <w:jc w:val="right"/>
        <w:rPr>
          <w:sz w:val="24"/>
        </w:rPr>
      </w:pPr>
      <w:r>
        <w:rPr>
          <w:sz w:val="24"/>
          <w:u w:val="single"/>
        </w:rPr>
        <w:t>MOFCOM</w:t>
      </w:r>
      <w:r>
        <w:rPr>
          <w:spacing w:val="18"/>
          <w:sz w:val="24"/>
          <w:u w:val="single"/>
        </w:rPr>
        <w:t xml:space="preserve"> </w:t>
      </w:r>
      <w:r>
        <w:rPr>
          <w:sz w:val="24"/>
          <w:u w:val="single"/>
        </w:rPr>
        <w:t>erred</w:t>
      </w:r>
      <w:r>
        <w:rPr>
          <w:spacing w:val="17"/>
          <w:sz w:val="24"/>
          <w:u w:val="single"/>
        </w:rPr>
        <w:t xml:space="preserve"> </w:t>
      </w:r>
      <w:r>
        <w:rPr>
          <w:sz w:val="24"/>
          <w:u w:val="single"/>
        </w:rPr>
        <w:t>in</w:t>
      </w:r>
      <w:r>
        <w:rPr>
          <w:spacing w:val="17"/>
          <w:sz w:val="24"/>
          <w:u w:val="single"/>
        </w:rPr>
        <w:t xml:space="preserve"> </w:t>
      </w:r>
      <w:r>
        <w:rPr>
          <w:sz w:val="24"/>
          <w:u w:val="single"/>
        </w:rPr>
        <w:t>its</w:t>
      </w:r>
      <w:r>
        <w:rPr>
          <w:spacing w:val="17"/>
          <w:sz w:val="24"/>
          <w:u w:val="single"/>
        </w:rPr>
        <w:t xml:space="preserve"> </w:t>
      </w:r>
      <w:r>
        <w:rPr>
          <w:sz w:val="24"/>
          <w:u w:val="single"/>
        </w:rPr>
        <w:t>use</w:t>
      </w:r>
      <w:r>
        <w:rPr>
          <w:spacing w:val="18"/>
          <w:sz w:val="24"/>
          <w:u w:val="single"/>
        </w:rPr>
        <w:t xml:space="preserve"> </w:t>
      </w:r>
      <w:r>
        <w:rPr>
          <w:sz w:val="24"/>
          <w:u w:val="single"/>
        </w:rPr>
        <w:t>of</w:t>
      </w:r>
      <w:r>
        <w:rPr>
          <w:spacing w:val="17"/>
          <w:sz w:val="24"/>
          <w:u w:val="single"/>
        </w:rPr>
        <w:t xml:space="preserve"> </w:t>
      </w:r>
      <w:r>
        <w:rPr>
          <w:sz w:val="24"/>
          <w:u w:val="single"/>
        </w:rPr>
        <w:t>"other</w:t>
      </w:r>
      <w:r>
        <w:rPr>
          <w:spacing w:val="16"/>
          <w:sz w:val="24"/>
          <w:u w:val="single"/>
        </w:rPr>
        <w:t xml:space="preserve"> </w:t>
      </w:r>
      <w:r>
        <w:rPr>
          <w:sz w:val="24"/>
          <w:u w:val="single"/>
        </w:rPr>
        <w:t>respondents"</w:t>
      </w:r>
      <w:r>
        <w:rPr>
          <w:spacing w:val="17"/>
          <w:sz w:val="24"/>
          <w:u w:val="single"/>
        </w:rPr>
        <w:t xml:space="preserve"> </w:t>
      </w:r>
      <w:r>
        <w:rPr>
          <w:sz w:val="24"/>
          <w:u w:val="single"/>
        </w:rPr>
        <w:t>domestic</w:t>
      </w:r>
      <w:r>
        <w:rPr>
          <w:spacing w:val="18"/>
          <w:sz w:val="24"/>
          <w:u w:val="single"/>
        </w:rPr>
        <w:t xml:space="preserve"> </w:t>
      </w:r>
      <w:r>
        <w:rPr>
          <w:sz w:val="24"/>
          <w:u w:val="single"/>
        </w:rPr>
        <w:t>sales</w:t>
      </w:r>
      <w:r>
        <w:rPr>
          <w:spacing w:val="18"/>
          <w:sz w:val="24"/>
          <w:u w:val="single"/>
        </w:rPr>
        <w:t xml:space="preserve"> </w:t>
      </w:r>
      <w:r>
        <w:rPr>
          <w:spacing w:val="-4"/>
          <w:sz w:val="24"/>
          <w:u w:val="single"/>
        </w:rPr>
        <w:t>data</w:t>
      </w:r>
    </w:p>
    <w:p w14:paraId="51DE7541" w14:textId="77777777" w:rsidR="0010369C" w:rsidRDefault="008E43AE">
      <w:pPr>
        <w:pStyle w:val="BodyText"/>
        <w:ind w:right="205"/>
        <w:jc w:val="right"/>
      </w:pPr>
      <w:r>
        <w:rPr>
          <w:u w:val="single"/>
        </w:rPr>
        <w:t>...........................................................................................................</w:t>
      </w:r>
      <w:r>
        <w:rPr>
          <w:spacing w:val="-28"/>
          <w:u w:val="single"/>
        </w:rPr>
        <w:t xml:space="preserve"> </w:t>
      </w:r>
      <w:r>
        <w:rPr>
          <w:spacing w:val="-5"/>
          <w:u w:val="single"/>
        </w:rPr>
        <w:t>155</w:t>
      </w:r>
    </w:p>
    <w:p w14:paraId="51DE7542" w14:textId="77777777" w:rsidR="0010369C" w:rsidRDefault="008E43AE">
      <w:pPr>
        <w:pStyle w:val="ListParagraph"/>
        <w:numPr>
          <w:ilvl w:val="3"/>
          <w:numId w:val="80"/>
        </w:numPr>
        <w:tabs>
          <w:tab w:val="left" w:pos="2365"/>
          <w:tab w:val="left" w:pos="2366"/>
          <w:tab w:val="left" w:leader="dot" w:pos="8933"/>
        </w:tabs>
        <w:ind w:hanging="853"/>
        <w:rPr>
          <w:sz w:val="24"/>
        </w:rPr>
      </w:pPr>
      <w:r>
        <w:rPr>
          <w:sz w:val="24"/>
          <w:u w:val="single"/>
        </w:rPr>
        <w:t>Characteristics</w:t>
      </w:r>
      <w:r>
        <w:rPr>
          <w:spacing w:val="-2"/>
          <w:sz w:val="24"/>
          <w:u w:val="single"/>
        </w:rPr>
        <w:t xml:space="preserve"> </w:t>
      </w:r>
      <w:r>
        <w:rPr>
          <w:sz w:val="24"/>
          <w:u w:val="single"/>
        </w:rPr>
        <w:t>affecting</w:t>
      </w:r>
      <w:r>
        <w:rPr>
          <w:spacing w:val="-3"/>
          <w:sz w:val="24"/>
          <w:u w:val="single"/>
        </w:rPr>
        <w:t xml:space="preserve"> </w:t>
      </w:r>
      <w:r>
        <w:rPr>
          <w:sz w:val="24"/>
          <w:u w:val="single"/>
        </w:rPr>
        <w:t>price</w:t>
      </w:r>
      <w:r>
        <w:rPr>
          <w:spacing w:val="-1"/>
          <w:sz w:val="24"/>
          <w:u w:val="single"/>
        </w:rPr>
        <w:t xml:space="preserve"> </w:t>
      </w:r>
      <w:r>
        <w:rPr>
          <w:spacing w:val="-2"/>
          <w:sz w:val="24"/>
          <w:u w:val="single"/>
        </w:rPr>
        <w:t>comparability</w:t>
      </w:r>
      <w:r>
        <w:rPr>
          <w:rFonts w:ascii="Times New Roman"/>
          <w:sz w:val="24"/>
        </w:rPr>
        <w:tab/>
      </w:r>
      <w:r>
        <w:rPr>
          <w:spacing w:val="-5"/>
          <w:sz w:val="24"/>
          <w:u w:val="single"/>
        </w:rPr>
        <w:t>156</w:t>
      </w:r>
    </w:p>
    <w:p w14:paraId="51DE7543" w14:textId="77777777" w:rsidR="0010369C" w:rsidRDefault="008E43AE">
      <w:pPr>
        <w:pStyle w:val="Heading4"/>
        <w:numPr>
          <w:ilvl w:val="2"/>
          <w:numId w:val="80"/>
        </w:numPr>
        <w:tabs>
          <w:tab w:val="left" w:pos="1939"/>
          <w:tab w:val="left" w:pos="1940"/>
          <w:tab w:val="left" w:leader="dot" w:pos="8933"/>
        </w:tabs>
        <w:spacing w:before="121"/>
        <w:ind w:left="1940"/>
      </w:pPr>
      <w:r>
        <w:t>MOFCOM</w:t>
      </w:r>
      <w:r>
        <w:rPr>
          <w:spacing w:val="-3"/>
        </w:rPr>
        <w:t xml:space="preserve"> </w:t>
      </w:r>
      <w:r>
        <w:t>improperly</w:t>
      </w:r>
      <w:r>
        <w:rPr>
          <w:spacing w:val="-2"/>
        </w:rPr>
        <w:t xml:space="preserve"> </w:t>
      </w:r>
      <w:r>
        <w:t>resorted</w:t>
      </w:r>
      <w:r>
        <w:rPr>
          <w:spacing w:val="-3"/>
        </w:rPr>
        <w:t xml:space="preserve"> </w:t>
      </w:r>
      <w:r>
        <w:t>to</w:t>
      </w:r>
      <w:r>
        <w:rPr>
          <w:spacing w:val="-2"/>
        </w:rPr>
        <w:t xml:space="preserve"> </w:t>
      </w:r>
      <w:r>
        <w:t>facts</w:t>
      </w:r>
      <w:r>
        <w:rPr>
          <w:spacing w:val="-2"/>
        </w:rPr>
        <w:t xml:space="preserve"> available</w:t>
      </w:r>
      <w:r>
        <w:rPr>
          <w:rFonts w:ascii="Times New Roman"/>
          <w:b w:val="0"/>
        </w:rPr>
        <w:tab/>
      </w:r>
      <w:r>
        <w:rPr>
          <w:spacing w:val="-5"/>
        </w:rPr>
        <w:t>157</w:t>
      </w:r>
    </w:p>
    <w:p w14:paraId="51DE7544" w14:textId="77777777" w:rsidR="0010369C" w:rsidRDefault="008E43AE">
      <w:pPr>
        <w:pStyle w:val="ListParagraph"/>
        <w:numPr>
          <w:ilvl w:val="3"/>
          <w:numId w:val="80"/>
        </w:numPr>
        <w:tabs>
          <w:tab w:val="left" w:pos="2365"/>
          <w:tab w:val="left" w:pos="2366"/>
          <w:tab w:val="left" w:leader="dot" w:pos="8933"/>
        </w:tabs>
        <w:ind w:hanging="853"/>
        <w:rPr>
          <w:sz w:val="24"/>
        </w:rPr>
      </w:pPr>
      <w:r>
        <w:rPr>
          <w:sz w:val="24"/>
          <w:u w:val="single"/>
        </w:rPr>
        <w:t xml:space="preserve">Production costs and expenses </w:t>
      </w:r>
      <w:r>
        <w:rPr>
          <w:rFonts w:ascii="Times New Roman"/>
          <w:sz w:val="24"/>
        </w:rPr>
        <w:tab/>
      </w:r>
      <w:r>
        <w:rPr>
          <w:spacing w:val="-5"/>
          <w:sz w:val="24"/>
          <w:u w:val="single"/>
        </w:rPr>
        <w:t>157</w:t>
      </w:r>
    </w:p>
    <w:p w14:paraId="51DE7545" w14:textId="77777777" w:rsidR="0010369C" w:rsidRDefault="008E43AE">
      <w:pPr>
        <w:pStyle w:val="ListParagraph"/>
        <w:numPr>
          <w:ilvl w:val="4"/>
          <w:numId w:val="80"/>
        </w:numPr>
        <w:tabs>
          <w:tab w:val="left" w:pos="2790"/>
          <w:tab w:val="left" w:pos="2791"/>
          <w:tab w:val="left" w:leader="dot" w:pos="8933"/>
        </w:tabs>
        <w:spacing w:before="119"/>
        <w:ind w:hanging="852"/>
        <w:rPr>
          <w:i/>
          <w:sz w:val="24"/>
        </w:rPr>
      </w:pPr>
      <w:r>
        <w:rPr>
          <w:i/>
          <w:sz w:val="24"/>
        </w:rPr>
        <w:t>Product</w:t>
      </w:r>
      <w:r>
        <w:rPr>
          <w:i/>
          <w:spacing w:val="-1"/>
          <w:sz w:val="24"/>
        </w:rPr>
        <w:t xml:space="preserve"> </w:t>
      </w:r>
      <w:r>
        <w:rPr>
          <w:i/>
          <w:sz w:val="24"/>
        </w:rPr>
        <w:t>c</w:t>
      </w:r>
      <w:r>
        <w:rPr>
          <w:i/>
          <w:sz w:val="24"/>
        </w:rPr>
        <w:t>ontrol</w:t>
      </w:r>
      <w:r>
        <w:rPr>
          <w:i/>
          <w:spacing w:val="-1"/>
          <w:sz w:val="24"/>
        </w:rPr>
        <w:t xml:space="preserve"> </w:t>
      </w:r>
      <w:r>
        <w:rPr>
          <w:i/>
          <w:spacing w:val="-2"/>
          <w:sz w:val="24"/>
        </w:rPr>
        <w:t>codes</w:t>
      </w:r>
      <w:r>
        <w:rPr>
          <w:rFonts w:ascii="Times New Roman"/>
          <w:sz w:val="24"/>
        </w:rPr>
        <w:tab/>
      </w:r>
      <w:r>
        <w:rPr>
          <w:i/>
          <w:spacing w:val="-5"/>
          <w:sz w:val="24"/>
        </w:rPr>
        <w:t>159</w:t>
      </w:r>
    </w:p>
    <w:p w14:paraId="51DE7546" w14:textId="77777777" w:rsidR="0010369C" w:rsidRDefault="008E43AE">
      <w:pPr>
        <w:pStyle w:val="ListParagraph"/>
        <w:numPr>
          <w:ilvl w:val="4"/>
          <w:numId w:val="80"/>
        </w:numPr>
        <w:tabs>
          <w:tab w:val="left" w:pos="2790"/>
          <w:tab w:val="left" w:pos="2791"/>
          <w:tab w:val="left" w:leader="dot" w:pos="8933"/>
        </w:tabs>
        <w:ind w:hanging="852"/>
        <w:rPr>
          <w:i/>
          <w:sz w:val="24"/>
        </w:rPr>
      </w:pPr>
      <w:r>
        <w:rPr>
          <w:i/>
          <w:sz w:val="24"/>
        </w:rPr>
        <w:t>Data</w:t>
      </w:r>
      <w:r>
        <w:rPr>
          <w:i/>
          <w:spacing w:val="-4"/>
          <w:sz w:val="24"/>
        </w:rPr>
        <w:t xml:space="preserve"> </w:t>
      </w:r>
      <w:r>
        <w:rPr>
          <w:i/>
          <w:sz w:val="24"/>
        </w:rPr>
        <w:t>from</w:t>
      </w:r>
      <w:r>
        <w:rPr>
          <w:i/>
          <w:spacing w:val="-3"/>
          <w:sz w:val="24"/>
        </w:rPr>
        <w:t xml:space="preserve"> </w:t>
      </w:r>
      <w:r>
        <w:rPr>
          <w:i/>
          <w:sz w:val="24"/>
        </w:rPr>
        <w:t>non‐affiliated</w:t>
      </w:r>
      <w:r>
        <w:rPr>
          <w:i/>
          <w:spacing w:val="-4"/>
          <w:sz w:val="24"/>
        </w:rPr>
        <w:t xml:space="preserve"> </w:t>
      </w:r>
      <w:r>
        <w:rPr>
          <w:i/>
          <w:sz w:val="24"/>
        </w:rPr>
        <w:t>service</w:t>
      </w:r>
      <w:r>
        <w:rPr>
          <w:i/>
          <w:spacing w:val="-3"/>
          <w:sz w:val="24"/>
        </w:rPr>
        <w:t xml:space="preserve"> </w:t>
      </w:r>
      <w:r>
        <w:rPr>
          <w:i/>
          <w:spacing w:val="-2"/>
          <w:sz w:val="24"/>
        </w:rPr>
        <w:t>providers</w:t>
      </w:r>
      <w:r>
        <w:rPr>
          <w:rFonts w:ascii="Times New Roman" w:hAnsi="Times New Roman"/>
          <w:sz w:val="24"/>
        </w:rPr>
        <w:tab/>
      </w:r>
      <w:r>
        <w:rPr>
          <w:i/>
          <w:spacing w:val="-5"/>
          <w:sz w:val="24"/>
        </w:rPr>
        <w:t>163</w:t>
      </w:r>
    </w:p>
    <w:p w14:paraId="51DE7547" w14:textId="77777777" w:rsidR="0010369C" w:rsidRDefault="008E43AE">
      <w:pPr>
        <w:pStyle w:val="ListParagraph"/>
        <w:numPr>
          <w:ilvl w:val="4"/>
          <w:numId w:val="80"/>
        </w:numPr>
        <w:tabs>
          <w:tab w:val="left" w:pos="2790"/>
          <w:tab w:val="left" w:pos="2791"/>
          <w:tab w:val="left" w:leader="dot" w:pos="8933"/>
        </w:tabs>
        <w:ind w:hanging="852"/>
        <w:rPr>
          <w:i/>
          <w:sz w:val="24"/>
        </w:rPr>
      </w:pPr>
      <w:r>
        <w:rPr>
          <w:i/>
          <w:sz w:val="24"/>
        </w:rPr>
        <w:t>Cost</w:t>
      </w:r>
      <w:r>
        <w:rPr>
          <w:i/>
          <w:spacing w:val="-2"/>
          <w:sz w:val="24"/>
        </w:rPr>
        <w:t xml:space="preserve"> sheets</w:t>
      </w:r>
      <w:r>
        <w:rPr>
          <w:rFonts w:ascii="Times New Roman"/>
          <w:sz w:val="24"/>
        </w:rPr>
        <w:tab/>
      </w:r>
      <w:r>
        <w:rPr>
          <w:i/>
          <w:spacing w:val="-5"/>
          <w:sz w:val="24"/>
        </w:rPr>
        <w:t>167</w:t>
      </w:r>
    </w:p>
    <w:p w14:paraId="51DE7548" w14:textId="77777777" w:rsidR="0010369C" w:rsidRDefault="008E43AE">
      <w:pPr>
        <w:pStyle w:val="ListParagraph"/>
        <w:numPr>
          <w:ilvl w:val="3"/>
          <w:numId w:val="80"/>
        </w:numPr>
        <w:tabs>
          <w:tab w:val="left" w:pos="2365"/>
          <w:tab w:val="left" w:pos="2366"/>
          <w:tab w:val="left" w:leader="dot" w:pos="8933"/>
        </w:tabs>
        <w:ind w:hanging="853"/>
        <w:rPr>
          <w:sz w:val="24"/>
        </w:rPr>
      </w:pPr>
      <w:r>
        <w:rPr>
          <w:sz w:val="24"/>
          <w:u w:val="single"/>
        </w:rPr>
        <w:t>The</w:t>
      </w:r>
      <w:r>
        <w:rPr>
          <w:spacing w:val="-1"/>
          <w:sz w:val="24"/>
          <w:u w:val="single"/>
        </w:rPr>
        <w:t xml:space="preserve"> </w:t>
      </w:r>
      <w:r>
        <w:rPr>
          <w:sz w:val="24"/>
          <w:u w:val="single"/>
        </w:rPr>
        <w:t>information</w:t>
      </w:r>
      <w:r>
        <w:rPr>
          <w:spacing w:val="-1"/>
          <w:sz w:val="24"/>
          <w:u w:val="single"/>
        </w:rPr>
        <w:t xml:space="preserve"> </w:t>
      </w:r>
      <w:r>
        <w:rPr>
          <w:sz w:val="24"/>
          <w:u w:val="single"/>
        </w:rPr>
        <w:t>used</w:t>
      </w:r>
      <w:r>
        <w:rPr>
          <w:spacing w:val="-2"/>
          <w:sz w:val="24"/>
          <w:u w:val="single"/>
        </w:rPr>
        <w:t xml:space="preserve"> </w:t>
      </w:r>
      <w:r>
        <w:rPr>
          <w:sz w:val="24"/>
          <w:u w:val="single"/>
        </w:rPr>
        <w:t>was</w:t>
      </w:r>
      <w:r>
        <w:rPr>
          <w:spacing w:val="-2"/>
          <w:sz w:val="24"/>
          <w:u w:val="single"/>
        </w:rPr>
        <w:t xml:space="preserve"> </w:t>
      </w:r>
      <w:r>
        <w:rPr>
          <w:sz w:val="24"/>
          <w:u w:val="single"/>
        </w:rPr>
        <w:t>not</w:t>
      </w:r>
      <w:r>
        <w:rPr>
          <w:spacing w:val="-2"/>
          <w:sz w:val="24"/>
          <w:u w:val="single"/>
        </w:rPr>
        <w:t xml:space="preserve"> </w:t>
      </w:r>
      <w:r>
        <w:rPr>
          <w:sz w:val="24"/>
          <w:u w:val="single"/>
        </w:rPr>
        <w:t>the</w:t>
      </w:r>
      <w:r>
        <w:rPr>
          <w:spacing w:val="-1"/>
          <w:sz w:val="24"/>
          <w:u w:val="single"/>
        </w:rPr>
        <w:t xml:space="preserve"> </w:t>
      </w:r>
      <w:r>
        <w:rPr>
          <w:sz w:val="24"/>
          <w:u w:val="single"/>
        </w:rPr>
        <w:t>"Best</w:t>
      </w:r>
      <w:r>
        <w:rPr>
          <w:spacing w:val="-2"/>
          <w:sz w:val="24"/>
          <w:u w:val="single"/>
        </w:rPr>
        <w:t xml:space="preserve"> </w:t>
      </w:r>
      <w:r>
        <w:rPr>
          <w:sz w:val="24"/>
          <w:u w:val="single"/>
        </w:rPr>
        <w:t>Available"</w:t>
      </w:r>
      <w:r>
        <w:rPr>
          <w:spacing w:val="-8"/>
          <w:sz w:val="24"/>
          <w:u w:val="single"/>
        </w:rPr>
        <w:t xml:space="preserve"> </w:t>
      </w:r>
      <w:r>
        <w:rPr>
          <w:rFonts w:ascii="Times New Roman"/>
          <w:sz w:val="24"/>
        </w:rPr>
        <w:tab/>
      </w:r>
      <w:r>
        <w:rPr>
          <w:spacing w:val="-5"/>
          <w:sz w:val="24"/>
          <w:u w:val="single"/>
        </w:rPr>
        <w:t>170</w:t>
      </w:r>
    </w:p>
    <w:p w14:paraId="51DE7549" w14:textId="77777777" w:rsidR="0010369C" w:rsidRDefault="008E43AE">
      <w:pPr>
        <w:pStyle w:val="Heading4"/>
        <w:numPr>
          <w:ilvl w:val="2"/>
          <w:numId w:val="80"/>
        </w:numPr>
        <w:tabs>
          <w:tab w:val="left" w:pos="1939"/>
          <w:tab w:val="left" w:pos="1940"/>
          <w:tab w:val="left" w:leader="dot" w:pos="8933"/>
        </w:tabs>
        <w:spacing w:before="120"/>
        <w:ind w:left="1940"/>
      </w:pPr>
      <w:r>
        <w:t>MOFCOM</w:t>
      </w:r>
      <w:r>
        <w:rPr>
          <w:spacing w:val="-2"/>
        </w:rPr>
        <w:t xml:space="preserve"> </w:t>
      </w:r>
      <w:r>
        <w:t>had</w:t>
      </w:r>
      <w:r>
        <w:rPr>
          <w:spacing w:val="-3"/>
        </w:rPr>
        <w:t xml:space="preserve"> </w:t>
      </w:r>
      <w:r>
        <w:t>all</w:t>
      </w:r>
      <w:r>
        <w:rPr>
          <w:spacing w:val="-3"/>
        </w:rPr>
        <w:t xml:space="preserve"> </w:t>
      </w:r>
      <w:r>
        <w:t>necessary</w:t>
      </w:r>
      <w:r>
        <w:rPr>
          <w:spacing w:val="-2"/>
        </w:rPr>
        <w:t xml:space="preserve"> </w:t>
      </w:r>
      <w:r>
        <w:t>information</w:t>
      </w:r>
      <w:r>
        <w:rPr>
          <w:spacing w:val="-4"/>
        </w:rPr>
        <w:t xml:space="preserve"> </w:t>
      </w:r>
      <w:r>
        <w:t>to</w:t>
      </w:r>
      <w:r>
        <w:rPr>
          <w:spacing w:val="-2"/>
        </w:rPr>
        <w:t xml:space="preserve"> </w:t>
      </w:r>
      <w:r>
        <w:t>construct</w:t>
      </w:r>
      <w:r>
        <w:rPr>
          <w:spacing w:val="-2"/>
        </w:rPr>
        <w:t xml:space="preserve"> </w:t>
      </w:r>
      <w:r>
        <w:t>normal</w:t>
      </w:r>
      <w:r>
        <w:rPr>
          <w:spacing w:val="-2"/>
        </w:rPr>
        <w:t xml:space="preserve"> value</w:t>
      </w:r>
      <w:r>
        <w:rPr>
          <w:rFonts w:ascii="Times New Roman"/>
          <w:b w:val="0"/>
        </w:rPr>
        <w:tab/>
      </w:r>
      <w:r>
        <w:rPr>
          <w:spacing w:val="-5"/>
        </w:rPr>
        <w:t>171</w:t>
      </w:r>
    </w:p>
    <w:p w14:paraId="51DE754A" w14:textId="77777777" w:rsidR="0010369C" w:rsidRDefault="008E43AE">
      <w:pPr>
        <w:pStyle w:val="Heading4"/>
        <w:numPr>
          <w:ilvl w:val="2"/>
          <w:numId w:val="80"/>
        </w:numPr>
        <w:tabs>
          <w:tab w:val="left" w:pos="1939"/>
          <w:tab w:val="left" w:pos="1940"/>
          <w:tab w:val="left" w:leader="dot" w:pos="8933"/>
        </w:tabs>
        <w:spacing w:before="120"/>
        <w:ind w:left="1939" w:right="192"/>
      </w:pPr>
      <w:r>
        <w:t>MOFCOM</w:t>
      </w:r>
      <w:r>
        <w:rPr>
          <w:spacing w:val="80"/>
        </w:rPr>
        <w:t xml:space="preserve"> </w:t>
      </w:r>
      <w:r>
        <w:t>selected</w:t>
      </w:r>
      <w:r>
        <w:rPr>
          <w:spacing w:val="80"/>
        </w:rPr>
        <w:t xml:space="preserve"> </w:t>
      </w:r>
      <w:r>
        <w:t>export</w:t>
      </w:r>
      <w:r>
        <w:rPr>
          <w:spacing w:val="80"/>
        </w:rPr>
        <w:t xml:space="preserve"> </w:t>
      </w:r>
      <w:r>
        <w:t>sales</w:t>
      </w:r>
      <w:r>
        <w:rPr>
          <w:spacing w:val="80"/>
        </w:rPr>
        <w:t xml:space="preserve"> </w:t>
      </w:r>
      <w:r>
        <w:t>with</w:t>
      </w:r>
      <w:r>
        <w:rPr>
          <w:spacing w:val="80"/>
        </w:rPr>
        <w:t xml:space="preserve"> </w:t>
      </w:r>
      <w:r>
        <w:t>characteristics</w:t>
      </w:r>
      <w:r>
        <w:rPr>
          <w:spacing w:val="80"/>
        </w:rPr>
        <w:t xml:space="preserve"> </w:t>
      </w:r>
      <w:r>
        <w:t>affecting</w:t>
      </w:r>
      <w:r>
        <w:rPr>
          <w:spacing w:val="80"/>
        </w:rPr>
        <w:t xml:space="preserve"> </w:t>
      </w:r>
      <w:r>
        <w:t xml:space="preserve">price </w:t>
      </w:r>
      <w:r>
        <w:rPr>
          <w:spacing w:val="-2"/>
        </w:rPr>
        <w:t>comparability</w:t>
      </w:r>
      <w:r>
        <w:rPr>
          <w:rFonts w:ascii="Times New Roman"/>
          <w:b w:val="0"/>
        </w:rPr>
        <w:tab/>
      </w:r>
      <w:r>
        <w:rPr>
          <w:spacing w:val="-5"/>
        </w:rPr>
        <w:t>172</w:t>
      </w:r>
    </w:p>
    <w:p w14:paraId="51DE754B" w14:textId="77777777" w:rsidR="0010369C" w:rsidRDefault="008E43AE">
      <w:pPr>
        <w:pStyle w:val="Heading4"/>
        <w:numPr>
          <w:ilvl w:val="2"/>
          <w:numId w:val="80"/>
        </w:numPr>
        <w:tabs>
          <w:tab w:val="left" w:pos="1939"/>
          <w:tab w:val="left" w:pos="1940"/>
          <w:tab w:val="left" w:leader="dot" w:pos="8933"/>
        </w:tabs>
        <w:spacing w:before="121"/>
        <w:ind w:left="1940"/>
      </w:pPr>
      <w:r>
        <w:rPr>
          <w:spacing w:val="-2"/>
        </w:rPr>
        <w:t>Conclusion</w:t>
      </w:r>
      <w:r>
        <w:rPr>
          <w:rFonts w:ascii="Times New Roman"/>
          <w:b w:val="0"/>
        </w:rPr>
        <w:tab/>
      </w:r>
      <w:r>
        <w:rPr>
          <w:spacing w:val="-5"/>
        </w:rPr>
        <w:t>173</w:t>
      </w:r>
    </w:p>
    <w:p w14:paraId="51DE754C" w14:textId="77777777" w:rsidR="0010369C" w:rsidRDefault="008E43AE">
      <w:pPr>
        <w:pStyle w:val="ListParagraph"/>
        <w:numPr>
          <w:ilvl w:val="1"/>
          <w:numId w:val="80"/>
        </w:numPr>
        <w:tabs>
          <w:tab w:val="left" w:pos="1513"/>
          <w:tab w:val="left" w:pos="1514"/>
          <w:tab w:val="left" w:leader="dot" w:pos="8933"/>
        </w:tabs>
        <w:spacing w:before="119"/>
        <w:ind w:left="1514"/>
        <w:rPr>
          <w:b/>
          <w:sz w:val="24"/>
        </w:rPr>
      </w:pPr>
      <w:r>
        <w:rPr>
          <w:b/>
          <w:sz w:val="24"/>
        </w:rPr>
        <w:t>O</w:t>
      </w:r>
      <w:r>
        <w:rPr>
          <w:b/>
          <w:sz w:val="19"/>
        </w:rPr>
        <w:t>THER</w:t>
      </w:r>
      <w:r>
        <w:rPr>
          <w:b/>
          <w:spacing w:val="-8"/>
          <w:sz w:val="19"/>
        </w:rPr>
        <w:t xml:space="preserve"> </w:t>
      </w:r>
      <w:r>
        <w:rPr>
          <w:b/>
          <w:sz w:val="24"/>
        </w:rPr>
        <w:t>N</w:t>
      </w:r>
      <w:r>
        <w:rPr>
          <w:b/>
          <w:sz w:val="19"/>
        </w:rPr>
        <w:t>AMED</w:t>
      </w:r>
      <w:r>
        <w:rPr>
          <w:b/>
          <w:spacing w:val="-8"/>
          <w:sz w:val="19"/>
        </w:rPr>
        <w:t xml:space="preserve"> </w:t>
      </w:r>
      <w:r>
        <w:rPr>
          <w:b/>
          <w:sz w:val="24"/>
        </w:rPr>
        <w:t>A</w:t>
      </w:r>
      <w:r>
        <w:rPr>
          <w:b/>
          <w:sz w:val="19"/>
        </w:rPr>
        <w:t>USTRALIAN</w:t>
      </w:r>
      <w:r>
        <w:rPr>
          <w:b/>
          <w:spacing w:val="-7"/>
          <w:sz w:val="19"/>
        </w:rPr>
        <w:t xml:space="preserve"> </w:t>
      </w:r>
      <w:r>
        <w:rPr>
          <w:b/>
          <w:spacing w:val="-2"/>
          <w:sz w:val="24"/>
        </w:rPr>
        <w:t>E</w:t>
      </w:r>
      <w:r>
        <w:rPr>
          <w:b/>
          <w:spacing w:val="-2"/>
          <w:sz w:val="19"/>
        </w:rPr>
        <w:t>XPORTERS</w:t>
      </w:r>
      <w:r>
        <w:rPr>
          <w:rFonts w:ascii="Times New Roman"/>
          <w:sz w:val="19"/>
        </w:rPr>
        <w:tab/>
      </w:r>
      <w:r>
        <w:rPr>
          <w:b/>
          <w:spacing w:val="-5"/>
          <w:sz w:val="24"/>
        </w:rPr>
        <w:t>173</w:t>
      </w:r>
    </w:p>
    <w:p w14:paraId="51DE754D" w14:textId="77777777" w:rsidR="0010369C" w:rsidRDefault="008E43AE">
      <w:pPr>
        <w:pStyle w:val="ListParagraph"/>
        <w:numPr>
          <w:ilvl w:val="1"/>
          <w:numId w:val="80"/>
        </w:numPr>
        <w:tabs>
          <w:tab w:val="left" w:pos="1513"/>
          <w:tab w:val="left" w:pos="1514"/>
          <w:tab w:val="left" w:leader="dot" w:pos="8933"/>
        </w:tabs>
        <w:ind w:left="1514"/>
        <w:rPr>
          <w:b/>
          <w:sz w:val="24"/>
        </w:rPr>
      </w:pPr>
      <w:r>
        <w:rPr>
          <w:b/>
          <w:sz w:val="24"/>
        </w:rPr>
        <w:t>A</w:t>
      </w:r>
      <w:r>
        <w:rPr>
          <w:b/>
          <w:sz w:val="19"/>
        </w:rPr>
        <w:t>LL</w:t>
      </w:r>
      <w:r>
        <w:rPr>
          <w:b/>
          <w:spacing w:val="-3"/>
          <w:sz w:val="19"/>
        </w:rPr>
        <w:t xml:space="preserve"> </w:t>
      </w:r>
      <w:r>
        <w:rPr>
          <w:b/>
          <w:spacing w:val="-2"/>
          <w:sz w:val="24"/>
        </w:rPr>
        <w:t>O</w:t>
      </w:r>
      <w:r>
        <w:rPr>
          <w:b/>
          <w:spacing w:val="-2"/>
          <w:sz w:val="19"/>
        </w:rPr>
        <w:t>THERS</w:t>
      </w:r>
      <w:r>
        <w:rPr>
          <w:rFonts w:ascii="Times New Roman"/>
          <w:sz w:val="19"/>
        </w:rPr>
        <w:tab/>
      </w:r>
      <w:r>
        <w:rPr>
          <w:b/>
          <w:spacing w:val="-5"/>
          <w:sz w:val="24"/>
        </w:rPr>
        <w:t>174</w:t>
      </w:r>
    </w:p>
    <w:p w14:paraId="51DE754E" w14:textId="77777777" w:rsidR="0010369C" w:rsidRDefault="008E43AE">
      <w:pPr>
        <w:pStyle w:val="ListParagraph"/>
        <w:numPr>
          <w:ilvl w:val="1"/>
          <w:numId w:val="80"/>
        </w:numPr>
        <w:tabs>
          <w:tab w:val="left" w:pos="850"/>
          <w:tab w:val="left" w:pos="1514"/>
        </w:tabs>
        <w:ind w:left="1514" w:right="196" w:hanging="1514"/>
        <w:jc w:val="right"/>
        <w:rPr>
          <w:b/>
          <w:sz w:val="24"/>
        </w:rPr>
      </w:pPr>
      <w:r>
        <w:rPr>
          <w:b/>
          <w:sz w:val="24"/>
        </w:rPr>
        <w:t>MOFCOM</w:t>
      </w:r>
      <w:r>
        <w:rPr>
          <w:b/>
          <w:spacing w:val="-14"/>
          <w:sz w:val="24"/>
        </w:rPr>
        <w:t xml:space="preserve"> </w:t>
      </w:r>
      <w:r>
        <w:rPr>
          <w:b/>
          <w:sz w:val="19"/>
        </w:rPr>
        <w:t>FAILED</w:t>
      </w:r>
      <w:r>
        <w:rPr>
          <w:b/>
          <w:spacing w:val="-9"/>
          <w:sz w:val="19"/>
        </w:rPr>
        <w:t xml:space="preserve"> </w:t>
      </w:r>
      <w:r>
        <w:rPr>
          <w:b/>
          <w:sz w:val="19"/>
        </w:rPr>
        <w:t>TO</w:t>
      </w:r>
      <w:r>
        <w:rPr>
          <w:b/>
          <w:spacing w:val="-6"/>
          <w:sz w:val="19"/>
        </w:rPr>
        <w:t xml:space="preserve"> </w:t>
      </w:r>
      <w:r>
        <w:rPr>
          <w:b/>
          <w:sz w:val="19"/>
        </w:rPr>
        <w:t>MAKE</w:t>
      </w:r>
      <w:r>
        <w:rPr>
          <w:b/>
          <w:spacing w:val="-7"/>
          <w:sz w:val="19"/>
        </w:rPr>
        <w:t xml:space="preserve"> </w:t>
      </w:r>
      <w:r>
        <w:rPr>
          <w:b/>
          <w:sz w:val="19"/>
        </w:rPr>
        <w:t>A</w:t>
      </w:r>
      <w:r>
        <w:rPr>
          <w:b/>
          <w:spacing w:val="-5"/>
          <w:sz w:val="19"/>
        </w:rPr>
        <w:t xml:space="preserve"> </w:t>
      </w:r>
      <w:r>
        <w:rPr>
          <w:b/>
          <w:sz w:val="19"/>
        </w:rPr>
        <w:t>FAIR</w:t>
      </w:r>
      <w:r>
        <w:rPr>
          <w:b/>
          <w:spacing w:val="-6"/>
          <w:sz w:val="19"/>
        </w:rPr>
        <w:t xml:space="preserve"> </w:t>
      </w:r>
      <w:r>
        <w:rPr>
          <w:b/>
          <w:sz w:val="19"/>
        </w:rPr>
        <w:t>COMPARISON</w:t>
      </w:r>
      <w:r>
        <w:rPr>
          <w:b/>
          <w:spacing w:val="-6"/>
          <w:sz w:val="19"/>
        </w:rPr>
        <w:t xml:space="preserve"> </w:t>
      </w:r>
      <w:r>
        <w:rPr>
          <w:b/>
          <w:sz w:val="19"/>
        </w:rPr>
        <w:t>BETWEEN</w:t>
      </w:r>
      <w:r>
        <w:rPr>
          <w:b/>
          <w:spacing w:val="-6"/>
          <w:sz w:val="19"/>
        </w:rPr>
        <w:t xml:space="preserve"> </w:t>
      </w:r>
      <w:r>
        <w:rPr>
          <w:b/>
          <w:sz w:val="19"/>
        </w:rPr>
        <w:t>NORMAL</w:t>
      </w:r>
      <w:r>
        <w:rPr>
          <w:b/>
          <w:spacing w:val="-6"/>
          <w:sz w:val="19"/>
        </w:rPr>
        <w:t xml:space="preserve"> </w:t>
      </w:r>
      <w:r>
        <w:rPr>
          <w:b/>
          <w:sz w:val="19"/>
        </w:rPr>
        <w:t>VALUE</w:t>
      </w:r>
      <w:r>
        <w:rPr>
          <w:b/>
          <w:spacing w:val="-5"/>
          <w:sz w:val="19"/>
        </w:rPr>
        <w:t xml:space="preserve"> </w:t>
      </w:r>
      <w:r>
        <w:rPr>
          <w:b/>
          <w:sz w:val="19"/>
        </w:rPr>
        <w:t>AND</w:t>
      </w:r>
      <w:r>
        <w:rPr>
          <w:b/>
          <w:spacing w:val="-6"/>
          <w:sz w:val="19"/>
        </w:rPr>
        <w:t xml:space="preserve"> </w:t>
      </w:r>
      <w:r>
        <w:rPr>
          <w:b/>
          <w:sz w:val="19"/>
        </w:rPr>
        <w:t>EXPORT</w:t>
      </w:r>
      <w:r>
        <w:rPr>
          <w:b/>
          <w:spacing w:val="-7"/>
          <w:sz w:val="19"/>
        </w:rPr>
        <w:t xml:space="preserve"> </w:t>
      </w:r>
      <w:r>
        <w:rPr>
          <w:b/>
          <w:spacing w:val="-2"/>
          <w:sz w:val="19"/>
        </w:rPr>
        <w:t>PRICE</w:t>
      </w:r>
    </w:p>
    <w:p w14:paraId="51DE754F" w14:textId="77777777" w:rsidR="0010369C" w:rsidRDefault="008E43AE">
      <w:pPr>
        <w:pStyle w:val="Heading4"/>
        <w:spacing w:before="0"/>
        <w:ind w:left="1554" w:firstLine="0"/>
        <w:jc w:val="left"/>
      </w:pPr>
      <w:r>
        <w:rPr>
          <w:spacing w:val="-2"/>
        </w:rPr>
        <w:t>....................................................................................................................176</w:t>
      </w:r>
    </w:p>
    <w:p w14:paraId="51DE7550" w14:textId="77777777" w:rsidR="0010369C" w:rsidRDefault="008E43AE">
      <w:pPr>
        <w:pStyle w:val="Heading4"/>
        <w:numPr>
          <w:ilvl w:val="2"/>
          <w:numId w:val="80"/>
        </w:numPr>
        <w:tabs>
          <w:tab w:val="left" w:pos="1939"/>
          <w:tab w:val="left" w:pos="1940"/>
          <w:tab w:val="left" w:leader="dot" w:pos="8933"/>
        </w:tabs>
        <w:spacing w:before="121"/>
        <w:ind w:left="1940"/>
      </w:pPr>
      <w:r>
        <w:t>Legal</w:t>
      </w:r>
      <w:r>
        <w:rPr>
          <w:spacing w:val="-1"/>
        </w:rPr>
        <w:t xml:space="preserve"> </w:t>
      </w:r>
      <w:r>
        <w:rPr>
          <w:spacing w:val="-2"/>
        </w:rPr>
        <w:t>framework</w:t>
      </w:r>
      <w:r>
        <w:rPr>
          <w:rFonts w:ascii="Times New Roman"/>
          <w:b w:val="0"/>
        </w:rPr>
        <w:tab/>
      </w:r>
      <w:r>
        <w:rPr>
          <w:spacing w:val="-5"/>
        </w:rPr>
        <w:t>177</w:t>
      </w:r>
    </w:p>
    <w:p w14:paraId="51DE7551" w14:textId="77777777" w:rsidR="0010369C" w:rsidRDefault="008E43AE">
      <w:pPr>
        <w:pStyle w:val="Heading4"/>
        <w:numPr>
          <w:ilvl w:val="2"/>
          <w:numId w:val="80"/>
        </w:numPr>
        <w:tabs>
          <w:tab w:val="left" w:pos="1939"/>
          <w:tab w:val="left" w:pos="1940"/>
          <w:tab w:val="left" w:leader="dot" w:pos="8933"/>
        </w:tabs>
        <w:spacing w:before="118"/>
        <w:ind w:left="1939" w:right="193"/>
      </w:pPr>
      <w:r>
        <w:t>Obligation to compare sales "at</w:t>
      </w:r>
      <w:r>
        <w:rPr>
          <w:spacing w:val="-1"/>
        </w:rPr>
        <w:t xml:space="preserve"> </w:t>
      </w:r>
      <w:r>
        <w:t>the same level</w:t>
      </w:r>
      <w:r>
        <w:rPr>
          <w:spacing w:val="-2"/>
        </w:rPr>
        <w:t xml:space="preserve"> </w:t>
      </w:r>
      <w:r>
        <w:t>of</w:t>
      </w:r>
      <w:r>
        <w:rPr>
          <w:spacing w:val="-1"/>
        </w:rPr>
        <w:t xml:space="preserve"> </w:t>
      </w:r>
      <w:r>
        <w:t>trade"</w:t>
      </w:r>
      <w:r>
        <w:rPr>
          <w:spacing w:val="-1"/>
        </w:rPr>
        <w:t xml:space="preserve"> </w:t>
      </w:r>
      <w:r>
        <w:t>and</w:t>
      </w:r>
      <w:r>
        <w:rPr>
          <w:spacing w:val="-1"/>
        </w:rPr>
        <w:t xml:space="preserve"> </w:t>
      </w:r>
      <w:r>
        <w:t>"at</w:t>
      </w:r>
      <w:r>
        <w:rPr>
          <w:spacing w:val="-1"/>
        </w:rPr>
        <w:t xml:space="preserve"> </w:t>
      </w:r>
      <w:r>
        <w:t>as nearly as</w:t>
      </w:r>
      <w:r>
        <w:rPr>
          <w:spacing w:val="-2"/>
        </w:rPr>
        <w:t xml:space="preserve"> </w:t>
      </w:r>
      <w:r>
        <w:t>possible</w:t>
      </w:r>
      <w:r>
        <w:rPr>
          <w:spacing w:val="-1"/>
        </w:rPr>
        <w:t xml:space="preserve"> </w:t>
      </w:r>
      <w:r>
        <w:t>the</w:t>
      </w:r>
      <w:r>
        <w:rPr>
          <w:spacing w:val="-1"/>
        </w:rPr>
        <w:t xml:space="preserve"> </w:t>
      </w:r>
      <w:r>
        <w:t xml:space="preserve">same </w:t>
      </w:r>
      <w:r>
        <w:rPr>
          <w:spacing w:val="-2"/>
        </w:rPr>
        <w:t>time"</w:t>
      </w:r>
      <w:r>
        <w:rPr>
          <w:rFonts w:ascii="Times New Roman"/>
          <w:b w:val="0"/>
        </w:rPr>
        <w:tab/>
      </w:r>
      <w:r>
        <w:rPr>
          <w:spacing w:val="-5"/>
        </w:rPr>
        <w:t>178</w:t>
      </w:r>
    </w:p>
    <w:p w14:paraId="51DE7552" w14:textId="77777777" w:rsidR="0010369C" w:rsidRDefault="008E43AE">
      <w:pPr>
        <w:pStyle w:val="ListParagraph"/>
        <w:numPr>
          <w:ilvl w:val="3"/>
          <w:numId w:val="80"/>
        </w:numPr>
        <w:tabs>
          <w:tab w:val="left" w:pos="2365"/>
          <w:tab w:val="left" w:pos="2366"/>
          <w:tab w:val="left" w:leader="dot" w:pos="8933"/>
        </w:tabs>
        <w:spacing w:before="121"/>
        <w:ind w:hanging="853"/>
        <w:rPr>
          <w:sz w:val="24"/>
        </w:rPr>
      </w:pPr>
      <w:r>
        <w:rPr>
          <w:sz w:val="24"/>
          <w:u w:val="single"/>
        </w:rPr>
        <w:t>"at</w:t>
      </w:r>
      <w:r>
        <w:rPr>
          <w:spacing w:val="-2"/>
          <w:sz w:val="24"/>
          <w:u w:val="single"/>
        </w:rPr>
        <w:t xml:space="preserve"> </w:t>
      </w:r>
      <w:r>
        <w:rPr>
          <w:sz w:val="24"/>
          <w:u w:val="single"/>
        </w:rPr>
        <w:t>the sa</w:t>
      </w:r>
      <w:r>
        <w:rPr>
          <w:sz w:val="24"/>
          <w:u w:val="single"/>
        </w:rPr>
        <w:t>me</w:t>
      </w:r>
      <w:r>
        <w:rPr>
          <w:spacing w:val="-1"/>
          <w:sz w:val="24"/>
          <w:u w:val="single"/>
        </w:rPr>
        <w:t xml:space="preserve"> </w:t>
      </w:r>
      <w:r>
        <w:rPr>
          <w:sz w:val="24"/>
          <w:u w:val="single"/>
        </w:rPr>
        <w:t>level of</w:t>
      </w:r>
      <w:r>
        <w:rPr>
          <w:spacing w:val="-1"/>
          <w:sz w:val="24"/>
          <w:u w:val="single"/>
        </w:rPr>
        <w:t xml:space="preserve"> </w:t>
      </w:r>
      <w:r>
        <w:rPr>
          <w:spacing w:val="-2"/>
          <w:sz w:val="24"/>
          <w:u w:val="single"/>
        </w:rPr>
        <w:t>trade"</w:t>
      </w:r>
      <w:r>
        <w:rPr>
          <w:rFonts w:ascii="Times New Roman"/>
          <w:sz w:val="24"/>
        </w:rPr>
        <w:tab/>
      </w:r>
      <w:r>
        <w:rPr>
          <w:spacing w:val="-5"/>
          <w:sz w:val="24"/>
          <w:u w:val="single"/>
        </w:rPr>
        <w:t>179</w:t>
      </w:r>
    </w:p>
    <w:p w14:paraId="51DE7553" w14:textId="77777777" w:rsidR="0010369C" w:rsidRDefault="008E43AE">
      <w:pPr>
        <w:pStyle w:val="ListParagraph"/>
        <w:numPr>
          <w:ilvl w:val="3"/>
          <w:numId w:val="80"/>
        </w:numPr>
        <w:tabs>
          <w:tab w:val="left" w:pos="2365"/>
          <w:tab w:val="left" w:pos="2366"/>
          <w:tab w:val="left" w:leader="dot" w:pos="8933"/>
        </w:tabs>
        <w:ind w:hanging="853"/>
        <w:rPr>
          <w:sz w:val="24"/>
        </w:rPr>
      </w:pPr>
      <w:r>
        <w:rPr>
          <w:sz w:val="24"/>
          <w:u w:val="single"/>
        </w:rPr>
        <w:t>"</w:t>
      </w:r>
      <w:r>
        <w:rPr>
          <w:i/>
          <w:sz w:val="24"/>
          <w:u w:val="single"/>
        </w:rPr>
        <w:t>at</w:t>
      </w:r>
      <w:r>
        <w:rPr>
          <w:i/>
          <w:spacing w:val="-2"/>
          <w:sz w:val="24"/>
          <w:u w:val="single"/>
        </w:rPr>
        <w:t xml:space="preserve"> </w:t>
      </w:r>
      <w:r>
        <w:rPr>
          <w:i/>
          <w:sz w:val="24"/>
          <w:u w:val="single"/>
        </w:rPr>
        <w:t>as nearly</w:t>
      </w:r>
      <w:r>
        <w:rPr>
          <w:i/>
          <w:spacing w:val="-2"/>
          <w:sz w:val="24"/>
          <w:u w:val="single"/>
        </w:rPr>
        <w:t xml:space="preserve"> </w:t>
      </w:r>
      <w:r>
        <w:rPr>
          <w:i/>
          <w:sz w:val="24"/>
          <w:u w:val="single"/>
        </w:rPr>
        <w:t>as possible</w:t>
      </w:r>
      <w:r>
        <w:rPr>
          <w:i/>
          <w:spacing w:val="-2"/>
          <w:sz w:val="24"/>
          <w:u w:val="single"/>
        </w:rPr>
        <w:t xml:space="preserve"> </w:t>
      </w:r>
      <w:r>
        <w:rPr>
          <w:i/>
          <w:sz w:val="24"/>
          <w:u w:val="single"/>
        </w:rPr>
        <w:t>the same</w:t>
      </w:r>
      <w:r>
        <w:rPr>
          <w:i/>
          <w:spacing w:val="-1"/>
          <w:sz w:val="24"/>
          <w:u w:val="single"/>
        </w:rPr>
        <w:t xml:space="preserve"> </w:t>
      </w:r>
      <w:r>
        <w:rPr>
          <w:i/>
          <w:sz w:val="24"/>
          <w:u w:val="single"/>
        </w:rPr>
        <w:t>time"</w:t>
      </w:r>
      <w:r>
        <w:rPr>
          <w:i/>
          <w:spacing w:val="-12"/>
          <w:sz w:val="24"/>
          <w:u w:val="single"/>
        </w:rPr>
        <w:t xml:space="preserve"> </w:t>
      </w:r>
      <w:r>
        <w:rPr>
          <w:rFonts w:ascii="Times New Roman"/>
          <w:sz w:val="24"/>
        </w:rPr>
        <w:tab/>
      </w:r>
      <w:r>
        <w:rPr>
          <w:spacing w:val="-5"/>
          <w:sz w:val="24"/>
          <w:u w:val="single"/>
        </w:rPr>
        <w:t>180</w:t>
      </w:r>
    </w:p>
    <w:p w14:paraId="51DE7554" w14:textId="77777777" w:rsidR="0010369C" w:rsidRDefault="008E43AE">
      <w:pPr>
        <w:pStyle w:val="Heading4"/>
        <w:numPr>
          <w:ilvl w:val="2"/>
          <w:numId w:val="80"/>
        </w:numPr>
        <w:tabs>
          <w:tab w:val="left" w:pos="1939"/>
          <w:tab w:val="left" w:pos="1940"/>
          <w:tab w:val="left" w:leader="dot" w:pos="8933"/>
        </w:tabs>
        <w:spacing w:before="120"/>
        <w:ind w:left="1939" w:right="192"/>
      </w:pPr>
      <w:r>
        <w:t>Obligation</w:t>
      </w:r>
      <w:r>
        <w:rPr>
          <w:spacing w:val="36"/>
        </w:rPr>
        <w:t xml:space="preserve"> </w:t>
      </w:r>
      <w:r>
        <w:t>to</w:t>
      </w:r>
      <w:r>
        <w:rPr>
          <w:spacing w:val="35"/>
        </w:rPr>
        <w:t xml:space="preserve"> </w:t>
      </w:r>
      <w:r>
        <w:t>make</w:t>
      </w:r>
      <w:r>
        <w:rPr>
          <w:spacing w:val="35"/>
        </w:rPr>
        <w:t xml:space="preserve"> </w:t>
      </w:r>
      <w:r>
        <w:t>"due</w:t>
      </w:r>
      <w:r>
        <w:rPr>
          <w:spacing w:val="35"/>
        </w:rPr>
        <w:t xml:space="preserve"> </w:t>
      </w:r>
      <w:r>
        <w:t>allowance</w:t>
      </w:r>
      <w:r>
        <w:rPr>
          <w:spacing w:val="33"/>
        </w:rPr>
        <w:t xml:space="preserve"> </w:t>
      </w:r>
      <w:r>
        <w:t>[…]</w:t>
      </w:r>
      <w:r>
        <w:rPr>
          <w:spacing w:val="34"/>
        </w:rPr>
        <w:t xml:space="preserve"> </w:t>
      </w:r>
      <w:r>
        <w:t>in</w:t>
      </w:r>
      <w:r>
        <w:rPr>
          <w:spacing w:val="34"/>
        </w:rPr>
        <w:t xml:space="preserve"> </w:t>
      </w:r>
      <w:r>
        <w:t>each</w:t>
      </w:r>
      <w:r>
        <w:rPr>
          <w:spacing w:val="34"/>
        </w:rPr>
        <w:t xml:space="preserve"> </w:t>
      </w:r>
      <w:r>
        <w:t>case,</w:t>
      </w:r>
      <w:r>
        <w:rPr>
          <w:spacing w:val="35"/>
        </w:rPr>
        <w:t xml:space="preserve"> </w:t>
      </w:r>
      <w:r>
        <w:t>on</w:t>
      </w:r>
      <w:r>
        <w:rPr>
          <w:spacing w:val="34"/>
        </w:rPr>
        <w:t xml:space="preserve"> </w:t>
      </w:r>
      <w:r>
        <w:t>its</w:t>
      </w:r>
      <w:r>
        <w:rPr>
          <w:spacing w:val="34"/>
        </w:rPr>
        <w:t xml:space="preserve"> </w:t>
      </w:r>
      <w:r>
        <w:t>merits,</w:t>
      </w:r>
      <w:r>
        <w:rPr>
          <w:spacing w:val="35"/>
        </w:rPr>
        <w:t xml:space="preserve"> </w:t>
      </w:r>
      <w:r>
        <w:t>for differences which affect price comparability"</w:t>
      </w:r>
      <w:r>
        <w:rPr>
          <w:rFonts w:ascii="Times New Roman" w:hAnsi="Times New Roman"/>
          <w:b w:val="0"/>
        </w:rPr>
        <w:tab/>
      </w:r>
      <w:r>
        <w:rPr>
          <w:spacing w:val="-4"/>
        </w:rPr>
        <w:t>180</w:t>
      </w:r>
    </w:p>
    <w:p w14:paraId="51DE7555" w14:textId="77777777" w:rsidR="0010369C" w:rsidRDefault="008E43AE">
      <w:pPr>
        <w:pStyle w:val="ListParagraph"/>
        <w:numPr>
          <w:ilvl w:val="3"/>
          <w:numId w:val="80"/>
        </w:numPr>
        <w:tabs>
          <w:tab w:val="left" w:pos="2365"/>
          <w:tab w:val="left" w:pos="2366"/>
          <w:tab w:val="left" w:leader="dot" w:pos="8933"/>
        </w:tabs>
        <w:spacing w:before="121"/>
        <w:ind w:hanging="853"/>
        <w:rPr>
          <w:sz w:val="24"/>
        </w:rPr>
      </w:pPr>
      <w:r>
        <w:rPr>
          <w:sz w:val="24"/>
          <w:u w:val="single"/>
        </w:rPr>
        <w:t xml:space="preserve">Physical characteristics and consumer preferences </w:t>
      </w:r>
      <w:r>
        <w:rPr>
          <w:rFonts w:ascii="Times New Roman"/>
          <w:sz w:val="24"/>
        </w:rPr>
        <w:tab/>
      </w:r>
      <w:r>
        <w:rPr>
          <w:spacing w:val="-5"/>
          <w:sz w:val="24"/>
          <w:u w:val="single"/>
        </w:rPr>
        <w:t>180</w:t>
      </w:r>
    </w:p>
    <w:p w14:paraId="51DE7556" w14:textId="77777777" w:rsidR="0010369C" w:rsidRDefault="008E43AE">
      <w:pPr>
        <w:pStyle w:val="ListParagraph"/>
        <w:numPr>
          <w:ilvl w:val="3"/>
          <w:numId w:val="80"/>
        </w:numPr>
        <w:tabs>
          <w:tab w:val="left" w:pos="2365"/>
          <w:tab w:val="left" w:pos="2366"/>
          <w:tab w:val="left" w:leader="dot" w:pos="8933"/>
        </w:tabs>
        <w:ind w:hanging="853"/>
        <w:rPr>
          <w:sz w:val="24"/>
        </w:rPr>
      </w:pPr>
      <w:r>
        <w:rPr>
          <w:spacing w:val="-2"/>
          <w:sz w:val="24"/>
          <w:u w:val="single"/>
        </w:rPr>
        <w:t>Quantities</w:t>
      </w:r>
      <w:r>
        <w:rPr>
          <w:rFonts w:ascii="Times New Roman"/>
          <w:sz w:val="24"/>
        </w:rPr>
        <w:tab/>
      </w:r>
      <w:r>
        <w:rPr>
          <w:spacing w:val="-5"/>
          <w:sz w:val="24"/>
          <w:u w:val="single"/>
        </w:rPr>
        <w:t>181</w:t>
      </w:r>
    </w:p>
    <w:p w14:paraId="51DE7557" w14:textId="77777777" w:rsidR="0010369C" w:rsidRDefault="008E43AE">
      <w:pPr>
        <w:pStyle w:val="ListParagraph"/>
        <w:numPr>
          <w:ilvl w:val="3"/>
          <w:numId w:val="80"/>
        </w:numPr>
        <w:tabs>
          <w:tab w:val="left" w:pos="2365"/>
          <w:tab w:val="left" w:pos="2366"/>
          <w:tab w:val="left" w:leader="dot" w:pos="8933"/>
        </w:tabs>
        <w:ind w:hanging="853"/>
        <w:rPr>
          <w:sz w:val="24"/>
        </w:rPr>
      </w:pPr>
      <w:r>
        <w:rPr>
          <w:sz w:val="24"/>
          <w:u w:val="single"/>
        </w:rPr>
        <w:t>Other</w:t>
      </w:r>
      <w:r>
        <w:rPr>
          <w:spacing w:val="-4"/>
          <w:sz w:val="24"/>
          <w:u w:val="single"/>
        </w:rPr>
        <w:t xml:space="preserve"> </w:t>
      </w:r>
      <w:r>
        <w:rPr>
          <w:spacing w:val="-2"/>
          <w:sz w:val="24"/>
          <w:u w:val="single"/>
        </w:rPr>
        <w:t>adjustments</w:t>
      </w:r>
      <w:r>
        <w:rPr>
          <w:rFonts w:ascii="Times New Roman"/>
          <w:sz w:val="24"/>
        </w:rPr>
        <w:tab/>
      </w:r>
      <w:r>
        <w:rPr>
          <w:spacing w:val="-5"/>
          <w:sz w:val="24"/>
          <w:u w:val="single"/>
        </w:rPr>
        <w:t>182</w:t>
      </w:r>
    </w:p>
    <w:p w14:paraId="51DE7558" w14:textId="77777777" w:rsidR="0010369C" w:rsidRDefault="008E43AE">
      <w:pPr>
        <w:pStyle w:val="Heading4"/>
        <w:numPr>
          <w:ilvl w:val="2"/>
          <w:numId w:val="80"/>
        </w:numPr>
        <w:tabs>
          <w:tab w:val="left" w:pos="1939"/>
          <w:tab w:val="left" w:pos="1940"/>
          <w:tab w:val="left" w:leader="dot" w:pos="8933"/>
        </w:tabs>
        <w:spacing w:before="119"/>
        <w:ind w:left="1939" w:right="192"/>
      </w:pPr>
      <w:r>
        <w:t>Obligation to indicate in a timely manner information that was necessary to</w:t>
      </w:r>
      <w:r>
        <w:rPr>
          <w:spacing w:val="-3"/>
        </w:rPr>
        <w:t xml:space="preserve"> </w:t>
      </w:r>
      <w:r>
        <w:t>ensure</w:t>
      </w:r>
      <w:r>
        <w:rPr>
          <w:spacing w:val="-2"/>
        </w:rPr>
        <w:t xml:space="preserve"> </w:t>
      </w:r>
      <w:r>
        <w:t>a</w:t>
      </w:r>
      <w:r>
        <w:rPr>
          <w:spacing w:val="-2"/>
        </w:rPr>
        <w:t xml:space="preserve"> </w:t>
      </w:r>
      <w:r>
        <w:t>fair</w:t>
      </w:r>
      <w:r>
        <w:rPr>
          <w:spacing w:val="-3"/>
        </w:rPr>
        <w:t xml:space="preserve"> </w:t>
      </w:r>
      <w:r>
        <w:rPr>
          <w:spacing w:val="-2"/>
        </w:rPr>
        <w:t>comparison</w:t>
      </w:r>
      <w:r>
        <w:rPr>
          <w:rFonts w:ascii="Times New Roman"/>
          <w:b w:val="0"/>
        </w:rPr>
        <w:tab/>
      </w:r>
      <w:r>
        <w:rPr>
          <w:spacing w:val="-5"/>
        </w:rPr>
        <w:t>184</w:t>
      </w:r>
    </w:p>
    <w:p w14:paraId="51DE7559" w14:textId="77777777" w:rsidR="0010369C" w:rsidRDefault="008E43AE">
      <w:pPr>
        <w:pStyle w:val="Heading4"/>
        <w:numPr>
          <w:ilvl w:val="2"/>
          <w:numId w:val="80"/>
        </w:numPr>
        <w:tabs>
          <w:tab w:val="left" w:pos="1939"/>
          <w:tab w:val="left" w:pos="1940"/>
          <w:tab w:val="left" w:leader="dot" w:pos="8933"/>
        </w:tabs>
        <w:spacing w:before="120"/>
        <w:ind w:left="1940"/>
      </w:pPr>
      <w:r>
        <w:rPr>
          <w:spacing w:val="-2"/>
        </w:rPr>
        <w:t>Conclusions</w:t>
      </w:r>
      <w:r>
        <w:rPr>
          <w:rFonts w:ascii="Times New Roman"/>
          <w:b w:val="0"/>
        </w:rPr>
        <w:tab/>
      </w:r>
      <w:r>
        <w:rPr>
          <w:spacing w:val="-5"/>
        </w:rPr>
        <w:t>185</w:t>
      </w:r>
    </w:p>
    <w:p w14:paraId="51DE755A" w14:textId="77777777" w:rsidR="0010369C" w:rsidRDefault="008E43AE">
      <w:pPr>
        <w:pStyle w:val="ListParagraph"/>
        <w:numPr>
          <w:ilvl w:val="1"/>
          <w:numId w:val="80"/>
        </w:numPr>
        <w:tabs>
          <w:tab w:val="left" w:pos="1513"/>
          <w:tab w:val="left" w:pos="1514"/>
          <w:tab w:val="left" w:leader="dot" w:pos="8933"/>
        </w:tabs>
        <w:ind w:left="1514"/>
        <w:rPr>
          <w:b/>
          <w:sz w:val="24"/>
        </w:rPr>
      </w:pPr>
      <w:r>
        <w:rPr>
          <w:b/>
          <w:spacing w:val="-2"/>
          <w:sz w:val="24"/>
        </w:rPr>
        <w:t>C</w:t>
      </w:r>
      <w:r>
        <w:rPr>
          <w:b/>
          <w:spacing w:val="-2"/>
          <w:sz w:val="19"/>
        </w:rPr>
        <w:t>ONCLUSION</w:t>
      </w:r>
      <w:r>
        <w:rPr>
          <w:rFonts w:ascii="Times New Roman"/>
          <w:sz w:val="19"/>
        </w:rPr>
        <w:tab/>
      </w:r>
      <w:r>
        <w:rPr>
          <w:b/>
          <w:spacing w:val="-5"/>
          <w:sz w:val="24"/>
        </w:rPr>
        <w:t>185</w:t>
      </w:r>
    </w:p>
    <w:p w14:paraId="51DE755B" w14:textId="77777777" w:rsidR="0010369C" w:rsidRDefault="008E43AE">
      <w:pPr>
        <w:pStyle w:val="Heading4"/>
        <w:numPr>
          <w:ilvl w:val="0"/>
          <w:numId w:val="80"/>
        </w:numPr>
        <w:tabs>
          <w:tab w:val="left" w:pos="850"/>
          <w:tab w:val="left" w:pos="1090"/>
        </w:tabs>
        <w:spacing w:before="180"/>
        <w:ind w:right="192" w:hanging="1090"/>
        <w:jc w:val="right"/>
      </w:pPr>
      <w:r>
        <w:t>AUSTRALIA'S</w:t>
      </w:r>
      <w:r>
        <w:rPr>
          <w:spacing w:val="40"/>
        </w:rPr>
        <w:t xml:space="preserve"> </w:t>
      </w:r>
      <w:r>
        <w:t>CLAIMS</w:t>
      </w:r>
      <w:r>
        <w:rPr>
          <w:spacing w:val="40"/>
        </w:rPr>
        <w:t xml:space="preserve"> </w:t>
      </w:r>
      <w:r>
        <w:t>CONCERNING</w:t>
      </w:r>
      <w:r>
        <w:rPr>
          <w:spacing w:val="40"/>
        </w:rPr>
        <w:t xml:space="preserve"> </w:t>
      </w:r>
      <w:r>
        <w:t>THE</w:t>
      </w:r>
      <w:r>
        <w:rPr>
          <w:spacing w:val="41"/>
        </w:rPr>
        <w:t xml:space="preserve"> </w:t>
      </w:r>
      <w:r>
        <w:t>DEFINITION</w:t>
      </w:r>
      <w:r>
        <w:rPr>
          <w:spacing w:val="41"/>
        </w:rPr>
        <w:t xml:space="preserve"> </w:t>
      </w:r>
      <w:r>
        <w:t>OF</w:t>
      </w:r>
      <w:r>
        <w:rPr>
          <w:spacing w:val="41"/>
        </w:rPr>
        <w:t xml:space="preserve"> </w:t>
      </w:r>
      <w:r>
        <w:t>"DOMESTIC</w:t>
      </w:r>
      <w:r>
        <w:rPr>
          <w:spacing w:val="40"/>
        </w:rPr>
        <w:t xml:space="preserve"> </w:t>
      </w:r>
      <w:r>
        <w:rPr>
          <w:spacing w:val="-2"/>
        </w:rPr>
        <w:t>INDUSTRY"</w:t>
      </w:r>
    </w:p>
    <w:p w14:paraId="51DE755C" w14:textId="77777777" w:rsidR="0010369C" w:rsidRDefault="008E43AE">
      <w:pPr>
        <w:pStyle w:val="Heading4"/>
        <w:spacing w:before="0"/>
        <w:ind w:left="0" w:right="205" w:firstLine="0"/>
        <w:jc w:val="right"/>
      </w:pPr>
      <w:r>
        <w:rPr>
          <w:spacing w:val="-2"/>
        </w:rPr>
        <w:t>...........................................................................................................................186</w:t>
      </w:r>
    </w:p>
    <w:p w14:paraId="51DE755D" w14:textId="77777777" w:rsidR="0010369C" w:rsidRDefault="008E43AE">
      <w:pPr>
        <w:pStyle w:val="ListParagraph"/>
        <w:numPr>
          <w:ilvl w:val="1"/>
          <w:numId w:val="80"/>
        </w:numPr>
        <w:tabs>
          <w:tab w:val="left" w:pos="1513"/>
          <w:tab w:val="left" w:pos="1514"/>
          <w:tab w:val="left" w:leader="dot" w:pos="8933"/>
        </w:tabs>
        <w:spacing w:before="121"/>
        <w:ind w:left="1514"/>
        <w:rPr>
          <w:b/>
          <w:sz w:val="24"/>
        </w:rPr>
      </w:pPr>
      <w:r>
        <w:rPr>
          <w:b/>
          <w:sz w:val="24"/>
        </w:rPr>
        <w:t>C</w:t>
      </w:r>
      <w:r>
        <w:rPr>
          <w:b/>
          <w:sz w:val="19"/>
        </w:rPr>
        <w:t>HINA</w:t>
      </w:r>
      <w:r>
        <w:rPr>
          <w:b/>
          <w:spacing w:val="-10"/>
          <w:sz w:val="19"/>
        </w:rPr>
        <w:t xml:space="preserve"> </w:t>
      </w:r>
      <w:r>
        <w:rPr>
          <w:b/>
          <w:sz w:val="19"/>
        </w:rPr>
        <w:t>HAS</w:t>
      </w:r>
      <w:r>
        <w:rPr>
          <w:b/>
          <w:spacing w:val="-6"/>
          <w:sz w:val="19"/>
        </w:rPr>
        <w:t xml:space="preserve"> </w:t>
      </w:r>
      <w:r>
        <w:rPr>
          <w:b/>
          <w:sz w:val="19"/>
        </w:rPr>
        <w:t>BREACHED</w:t>
      </w:r>
      <w:r>
        <w:rPr>
          <w:b/>
          <w:spacing w:val="-6"/>
          <w:sz w:val="19"/>
        </w:rPr>
        <w:t xml:space="preserve"> </w:t>
      </w:r>
      <w:r>
        <w:rPr>
          <w:b/>
          <w:sz w:val="24"/>
        </w:rPr>
        <w:t>A</w:t>
      </w:r>
      <w:r>
        <w:rPr>
          <w:b/>
          <w:sz w:val="19"/>
        </w:rPr>
        <w:t>RTICLE</w:t>
      </w:r>
      <w:r>
        <w:rPr>
          <w:b/>
          <w:spacing w:val="-6"/>
          <w:sz w:val="19"/>
        </w:rPr>
        <w:t xml:space="preserve"> </w:t>
      </w:r>
      <w:r>
        <w:rPr>
          <w:b/>
          <w:sz w:val="24"/>
        </w:rPr>
        <w:t>4.1</w:t>
      </w:r>
      <w:r>
        <w:rPr>
          <w:b/>
          <w:spacing w:val="-14"/>
          <w:sz w:val="24"/>
        </w:rPr>
        <w:t xml:space="preserve"> </w:t>
      </w:r>
      <w:r>
        <w:rPr>
          <w:b/>
          <w:sz w:val="19"/>
        </w:rPr>
        <w:t>OF</w:t>
      </w:r>
      <w:r>
        <w:rPr>
          <w:b/>
          <w:spacing w:val="-6"/>
          <w:sz w:val="19"/>
        </w:rPr>
        <w:t xml:space="preserve"> </w:t>
      </w:r>
      <w:r>
        <w:rPr>
          <w:b/>
          <w:sz w:val="19"/>
        </w:rPr>
        <w:t>THE</w:t>
      </w:r>
      <w:r>
        <w:rPr>
          <w:b/>
          <w:spacing w:val="-5"/>
          <w:sz w:val="19"/>
        </w:rPr>
        <w:t xml:space="preserve"> </w:t>
      </w:r>
      <w:r>
        <w:rPr>
          <w:b/>
          <w:sz w:val="24"/>
        </w:rPr>
        <w:t>A</w:t>
      </w:r>
      <w:r>
        <w:rPr>
          <w:b/>
          <w:sz w:val="19"/>
        </w:rPr>
        <w:t>NTI</w:t>
      </w:r>
      <w:r>
        <w:rPr>
          <w:b/>
          <w:sz w:val="24"/>
        </w:rPr>
        <w:t>‐D</w:t>
      </w:r>
      <w:r>
        <w:rPr>
          <w:b/>
          <w:sz w:val="19"/>
        </w:rPr>
        <w:t>UMPING</w:t>
      </w:r>
      <w:r>
        <w:rPr>
          <w:b/>
          <w:spacing w:val="-5"/>
          <w:sz w:val="19"/>
        </w:rPr>
        <w:t xml:space="preserve"> </w:t>
      </w:r>
      <w:r>
        <w:rPr>
          <w:b/>
          <w:spacing w:val="-2"/>
          <w:sz w:val="24"/>
        </w:rPr>
        <w:t>A</w:t>
      </w:r>
      <w:r>
        <w:rPr>
          <w:b/>
          <w:spacing w:val="-2"/>
          <w:sz w:val="19"/>
        </w:rPr>
        <w:t>GREEMENT</w:t>
      </w:r>
      <w:r>
        <w:rPr>
          <w:rFonts w:ascii="Times New Roman" w:hAnsi="Times New Roman"/>
          <w:sz w:val="19"/>
        </w:rPr>
        <w:tab/>
      </w:r>
      <w:r>
        <w:rPr>
          <w:b/>
          <w:spacing w:val="-5"/>
          <w:sz w:val="24"/>
        </w:rPr>
        <w:t>186</w:t>
      </w:r>
    </w:p>
    <w:p w14:paraId="51DE755E" w14:textId="77777777" w:rsidR="0010369C" w:rsidRDefault="008E43AE">
      <w:pPr>
        <w:pStyle w:val="Heading4"/>
        <w:numPr>
          <w:ilvl w:val="2"/>
          <w:numId w:val="80"/>
        </w:numPr>
        <w:tabs>
          <w:tab w:val="left" w:pos="1939"/>
          <w:tab w:val="left" w:pos="1940"/>
          <w:tab w:val="left" w:leader="dot" w:pos="8933"/>
        </w:tabs>
        <w:spacing w:before="119"/>
        <w:ind w:left="1940"/>
      </w:pPr>
      <w:r>
        <w:t>MOFCOM's</w:t>
      </w:r>
      <w:r>
        <w:rPr>
          <w:spacing w:val="-4"/>
        </w:rPr>
        <w:t xml:space="preserve"> </w:t>
      </w:r>
      <w:r>
        <w:t>process</w:t>
      </w:r>
      <w:r>
        <w:rPr>
          <w:spacing w:val="-2"/>
        </w:rPr>
        <w:t xml:space="preserve"> </w:t>
      </w:r>
      <w:r>
        <w:t>for</w:t>
      </w:r>
      <w:r>
        <w:rPr>
          <w:spacing w:val="-4"/>
        </w:rPr>
        <w:t xml:space="preserve"> </w:t>
      </w:r>
      <w:r>
        <w:t>defining</w:t>
      </w:r>
      <w:r>
        <w:rPr>
          <w:spacing w:val="-1"/>
        </w:rPr>
        <w:t xml:space="preserve"> </w:t>
      </w:r>
      <w:r>
        <w:t>the</w:t>
      </w:r>
      <w:r>
        <w:rPr>
          <w:spacing w:val="-1"/>
        </w:rPr>
        <w:t xml:space="preserve"> </w:t>
      </w:r>
      <w:r>
        <w:t>domestic</w:t>
      </w:r>
      <w:r>
        <w:rPr>
          <w:spacing w:val="-2"/>
        </w:rPr>
        <w:t xml:space="preserve"> industry</w:t>
      </w:r>
      <w:r>
        <w:rPr>
          <w:rFonts w:ascii="Times New Roman"/>
          <w:b w:val="0"/>
        </w:rPr>
        <w:tab/>
      </w:r>
      <w:r>
        <w:rPr>
          <w:spacing w:val="-5"/>
        </w:rPr>
        <w:t>188</w:t>
      </w:r>
    </w:p>
    <w:p w14:paraId="51DE755F" w14:textId="77777777" w:rsidR="0010369C" w:rsidRDefault="0010369C">
      <w:pPr>
        <w:sectPr w:rsidR="0010369C">
          <w:pgSz w:w="11910" w:h="16840"/>
          <w:pgMar w:top="880" w:right="1220" w:bottom="980" w:left="1180" w:header="569" w:footer="788" w:gutter="0"/>
          <w:cols w:space="720"/>
        </w:sectPr>
      </w:pPr>
    </w:p>
    <w:p w14:paraId="51DE7560" w14:textId="77777777" w:rsidR="0010369C" w:rsidRDefault="008E43AE">
      <w:pPr>
        <w:tabs>
          <w:tab w:val="left" w:pos="6425"/>
        </w:tabs>
        <w:ind w:left="238"/>
        <w:rPr>
          <w:sz w:val="20"/>
        </w:rPr>
      </w:pPr>
      <w:r>
        <w:rPr>
          <w:i/>
          <w:sz w:val="20"/>
        </w:rPr>
        <w:lastRenderedPageBreak/>
        <w:t>China</w:t>
      </w:r>
      <w:r>
        <w:rPr>
          <w:i/>
          <w:spacing w:val="-5"/>
          <w:sz w:val="20"/>
        </w:rPr>
        <w:t xml:space="preserve"> </w:t>
      </w:r>
      <w:r>
        <w:rPr>
          <w:i/>
          <w:sz w:val="20"/>
        </w:rPr>
        <w:t>–</w:t>
      </w:r>
      <w:r>
        <w:rPr>
          <w:i/>
          <w:spacing w:val="-5"/>
          <w:sz w:val="20"/>
        </w:rPr>
        <w:t xml:space="preserve"> </w:t>
      </w:r>
      <w:r>
        <w:rPr>
          <w:i/>
          <w:sz w:val="20"/>
        </w:rPr>
        <w:t>Anti‐Dumping</w:t>
      </w:r>
      <w:r>
        <w:rPr>
          <w:i/>
          <w:spacing w:val="-4"/>
          <w:sz w:val="20"/>
        </w:rPr>
        <w:t xml:space="preserve"> </w:t>
      </w:r>
      <w:r>
        <w:rPr>
          <w:i/>
          <w:sz w:val="20"/>
        </w:rPr>
        <w:t>and</w:t>
      </w:r>
      <w:r>
        <w:rPr>
          <w:i/>
          <w:spacing w:val="-5"/>
          <w:sz w:val="20"/>
        </w:rPr>
        <w:t xml:space="preserve"> </w:t>
      </w:r>
      <w:r>
        <w:rPr>
          <w:i/>
          <w:sz w:val="20"/>
        </w:rPr>
        <w:t>Countervailing</w:t>
      </w:r>
      <w:r>
        <w:rPr>
          <w:i/>
          <w:spacing w:val="-5"/>
          <w:sz w:val="20"/>
        </w:rPr>
        <w:t xml:space="preserve"> </w:t>
      </w:r>
      <w:r>
        <w:rPr>
          <w:i/>
          <w:sz w:val="20"/>
        </w:rPr>
        <w:t>Duty</w:t>
      </w:r>
      <w:r>
        <w:rPr>
          <w:i/>
          <w:spacing w:val="-4"/>
          <w:sz w:val="20"/>
        </w:rPr>
        <w:t xml:space="preserve"> </w:t>
      </w:r>
      <w:r>
        <w:rPr>
          <w:i/>
          <w:spacing w:val="-2"/>
          <w:sz w:val="20"/>
        </w:rPr>
        <w:t>Measures</w:t>
      </w:r>
      <w:r>
        <w:rPr>
          <w:i/>
          <w:sz w:val="20"/>
        </w:rPr>
        <w:tab/>
      </w:r>
      <w:r>
        <w:rPr>
          <w:sz w:val="20"/>
        </w:rPr>
        <w:t>Australia's</w:t>
      </w:r>
      <w:r>
        <w:rPr>
          <w:spacing w:val="-6"/>
          <w:sz w:val="20"/>
        </w:rPr>
        <w:t xml:space="preserve"> </w:t>
      </w:r>
      <w:r>
        <w:rPr>
          <w:sz w:val="20"/>
        </w:rPr>
        <w:t>First</w:t>
      </w:r>
      <w:r>
        <w:rPr>
          <w:spacing w:val="-2"/>
          <w:sz w:val="20"/>
        </w:rPr>
        <w:t xml:space="preserve"> </w:t>
      </w:r>
      <w:r>
        <w:rPr>
          <w:sz w:val="20"/>
        </w:rPr>
        <w:t>Written</w:t>
      </w:r>
      <w:r>
        <w:rPr>
          <w:spacing w:val="-2"/>
          <w:sz w:val="20"/>
        </w:rPr>
        <w:t xml:space="preserve"> Submission</w:t>
      </w:r>
    </w:p>
    <w:p w14:paraId="51DE7561" w14:textId="77777777" w:rsidR="0010369C" w:rsidRDefault="008E43AE">
      <w:pPr>
        <w:tabs>
          <w:tab w:val="left" w:pos="8227"/>
        </w:tabs>
        <w:spacing w:before="1"/>
        <w:ind w:left="239"/>
        <w:rPr>
          <w:sz w:val="20"/>
        </w:rPr>
      </w:pPr>
      <w:r>
        <w:rPr>
          <w:i/>
          <w:sz w:val="20"/>
        </w:rPr>
        <w:t>on</w:t>
      </w:r>
      <w:r>
        <w:rPr>
          <w:i/>
          <w:spacing w:val="-1"/>
          <w:sz w:val="20"/>
        </w:rPr>
        <w:t xml:space="preserve"> </w:t>
      </w:r>
      <w:r>
        <w:rPr>
          <w:i/>
          <w:sz w:val="20"/>
        </w:rPr>
        <w:t>Wine</w:t>
      </w:r>
      <w:r>
        <w:rPr>
          <w:i/>
          <w:spacing w:val="-1"/>
          <w:sz w:val="20"/>
        </w:rPr>
        <w:t xml:space="preserve"> </w:t>
      </w:r>
      <w:r>
        <w:rPr>
          <w:i/>
          <w:sz w:val="20"/>
        </w:rPr>
        <w:t>from</w:t>
      </w:r>
      <w:r>
        <w:rPr>
          <w:i/>
          <w:spacing w:val="-3"/>
          <w:sz w:val="20"/>
        </w:rPr>
        <w:t xml:space="preserve"> </w:t>
      </w:r>
      <w:r>
        <w:rPr>
          <w:i/>
          <w:sz w:val="20"/>
        </w:rPr>
        <w:t>Australia</w:t>
      </w:r>
      <w:r>
        <w:rPr>
          <w:i/>
          <w:spacing w:val="-1"/>
          <w:sz w:val="20"/>
        </w:rPr>
        <w:t xml:space="preserve"> </w:t>
      </w:r>
      <w:r>
        <w:rPr>
          <w:spacing w:val="-2"/>
          <w:sz w:val="20"/>
        </w:rPr>
        <w:t>(DS602)</w:t>
      </w:r>
      <w:r>
        <w:rPr>
          <w:sz w:val="20"/>
        </w:rPr>
        <w:tab/>
        <w:t>29</w:t>
      </w:r>
      <w:r>
        <w:rPr>
          <w:spacing w:val="-1"/>
          <w:sz w:val="20"/>
        </w:rPr>
        <w:t xml:space="preserve"> </w:t>
      </w:r>
      <w:r>
        <w:rPr>
          <w:sz w:val="20"/>
        </w:rPr>
        <w:t>April</w:t>
      </w:r>
      <w:r>
        <w:rPr>
          <w:spacing w:val="-2"/>
          <w:sz w:val="20"/>
        </w:rPr>
        <w:t xml:space="preserve"> </w:t>
      </w:r>
      <w:r>
        <w:rPr>
          <w:spacing w:val="-4"/>
          <w:sz w:val="20"/>
        </w:rPr>
        <w:t>2022</w:t>
      </w:r>
    </w:p>
    <w:p w14:paraId="51DE7562" w14:textId="77777777" w:rsidR="0010369C" w:rsidRDefault="008E43AE">
      <w:pPr>
        <w:pStyle w:val="Heading4"/>
        <w:numPr>
          <w:ilvl w:val="2"/>
          <w:numId w:val="80"/>
        </w:numPr>
        <w:tabs>
          <w:tab w:val="left" w:pos="1939"/>
          <w:tab w:val="left" w:pos="1940"/>
          <w:tab w:val="left" w:leader="dot" w:pos="8933"/>
        </w:tabs>
        <w:spacing w:before="34"/>
        <w:ind w:left="1939" w:right="194"/>
        <w:jc w:val="both"/>
      </w:pPr>
      <w:r>
        <w:t>The process MOFCOM used to identify and define the domestic industry introduced</w:t>
      </w:r>
      <w:r>
        <w:rPr>
          <w:spacing w:val="-4"/>
        </w:rPr>
        <w:t xml:space="preserve"> </w:t>
      </w:r>
      <w:r>
        <w:t>material</w:t>
      </w:r>
      <w:r>
        <w:rPr>
          <w:spacing w:val="-1"/>
        </w:rPr>
        <w:t xml:space="preserve"> </w:t>
      </w:r>
      <w:r>
        <w:t>risks</w:t>
      </w:r>
      <w:r>
        <w:rPr>
          <w:spacing w:val="-1"/>
        </w:rPr>
        <w:t xml:space="preserve"> </w:t>
      </w:r>
      <w:r>
        <w:t>of</w:t>
      </w:r>
      <w:r>
        <w:rPr>
          <w:spacing w:val="-2"/>
        </w:rPr>
        <w:t xml:space="preserve"> distortion</w:t>
      </w:r>
      <w:r>
        <w:rPr>
          <w:rFonts w:ascii="Times New Roman"/>
          <w:b w:val="0"/>
        </w:rPr>
        <w:tab/>
      </w:r>
      <w:r>
        <w:rPr>
          <w:spacing w:val="-5"/>
        </w:rPr>
        <w:t>190</w:t>
      </w:r>
    </w:p>
    <w:p w14:paraId="51DE7563" w14:textId="77777777" w:rsidR="0010369C" w:rsidRDefault="008E43AE">
      <w:pPr>
        <w:pStyle w:val="Heading4"/>
        <w:numPr>
          <w:ilvl w:val="2"/>
          <w:numId w:val="80"/>
        </w:numPr>
        <w:tabs>
          <w:tab w:val="left" w:pos="1939"/>
          <w:tab w:val="left" w:pos="1940"/>
          <w:tab w:val="left" w:leader="dot" w:pos="8933"/>
        </w:tabs>
        <w:spacing w:before="120"/>
        <w:ind w:left="1939" w:right="193"/>
        <w:jc w:val="both"/>
      </w:pPr>
      <w:r>
        <w:t>MOFCOM's determination</w:t>
      </w:r>
      <w:r>
        <w:rPr>
          <w:spacing w:val="-2"/>
        </w:rPr>
        <w:t xml:space="preserve"> </w:t>
      </w:r>
      <w:r>
        <w:t>of</w:t>
      </w:r>
      <w:r>
        <w:rPr>
          <w:spacing w:val="-1"/>
        </w:rPr>
        <w:t xml:space="preserve"> </w:t>
      </w:r>
      <w:r>
        <w:t>"domestic industry"</w:t>
      </w:r>
      <w:r>
        <w:rPr>
          <w:spacing w:val="-2"/>
        </w:rPr>
        <w:t xml:space="preserve"> </w:t>
      </w:r>
      <w:r>
        <w:t>is not objective</w:t>
      </w:r>
      <w:r>
        <w:rPr>
          <w:spacing w:val="-1"/>
        </w:rPr>
        <w:t xml:space="preserve"> </w:t>
      </w:r>
      <w:r>
        <w:t>and</w:t>
      </w:r>
      <w:r>
        <w:rPr>
          <w:spacing w:val="-1"/>
        </w:rPr>
        <w:t xml:space="preserve"> </w:t>
      </w:r>
      <w:r>
        <w:t>not based</w:t>
      </w:r>
      <w:r>
        <w:rPr>
          <w:spacing w:val="-2"/>
        </w:rPr>
        <w:t xml:space="preserve"> </w:t>
      </w:r>
      <w:r>
        <w:t>on</w:t>
      </w:r>
      <w:r>
        <w:rPr>
          <w:spacing w:val="-1"/>
        </w:rPr>
        <w:t xml:space="preserve"> </w:t>
      </w:r>
      <w:r>
        <w:t>positive</w:t>
      </w:r>
      <w:r>
        <w:rPr>
          <w:spacing w:val="-1"/>
        </w:rPr>
        <w:t xml:space="preserve"> </w:t>
      </w:r>
      <w:r>
        <w:rPr>
          <w:spacing w:val="-2"/>
        </w:rPr>
        <w:t>evidence</w:t>
      </w:r>
      <w:r>
        <w:rPr>
          <w:rFonts w:ascii="Times New Roman"/>
          <w:b w:val="0"/>
        </w:rPr>
        <w:tab/>
      </w:r>
      <w:r>
        <w:rPr>
          <w:spacing w:val="-5"/>
        </w:rPr>
        <w:t>192</w:t>
      </w:r>
    </w:p>
    <w:p w14:paraId="51DE7564" w14:textId="77777777" w:rsidR="0010369C" w:rsidRDefault="008E43AE">
      <w:pPr>
        <w:pStyle w:val="Heading4"/>
        <w:numPr>
          <w:ilvl w:val="0"/>
          <w:numId w:val="80"/>
        </w:numPr>
        <w:tabs>
          <w:tab w:val="left" w:pos="1089"/>
          <w:tab w:val="left" w:pos="1090"/>
          <w:tab w:val="left" w:leader="dot" w:pos="8933"/>
        </w:tabs>
        <w:spacing w:before="180"/>
        <w:ind w:right="193"/>
      </w:pPr>
      <w:r>
        <w:t>AUSTRALIA'S</w:t>
      </w:r>
      <w:r>
        <w:rPr>
          <w:spacing w:val="80"/>
        </w:rPr>
        <w:t xml:space="preserve"> </w:t>
      </w:r>
      <w:r>
        <w:t>CLAIMS</w:t>
      </w:r>
      <w:r>
        <w:rPr>
          <w:spacing w:val="80"/>
        </w:rPr>
        <w:t xml:space="preserve"> </w:t>
      </w:r>
      <w:r>
        <w:t>CONCERNING</w:t>
      </w:r>
      <w:r>
        <w:rPr>
          <w:spacing w:val="80"/>
        </w:rPr>
        <w:t xml:space="preserve"> </w:t>
      </w:r>
      <w:r>
        <w:t>THE</w:t>
      </w:r>
      <w:r>
        <w:rPr>
          <w:spacing w:val="80"/>
        </w:rPr>
        <w:t xml:space="preserve"> </w:t>
      </w:r>
      <w:r>
        <w:t>DETERMINATION</w:t>
      </w:r>
      <w:r>
        <w:rPr>
          <w:spacing w:val="80"/>
        </w:rPr>
        <w:t xml:space="preserve"> </w:t>
      </w:r>
      <w:r>
        <w:t>OF</w:t>
      </w:r>
      <w:r>
        <w:rPr>
          <w:spacing w:val="80"/>
        </w:rPr>
        <w:t xml:space="preserve"> </w:t>
      </w:r>
      <w:r>
        <w:t>INJURY</w:t>
      </w:r>
      <w:r>
        <w:rPr>
          <w:spacing w:val="80"/>
        </w:rPr>
        <w:t xml:space="preserve"> </w:t>
      </w:r>
      <w:r>
        <w:t>AND</w:t>
      </w:r>
      <w:r>
        <w:rPr>
          <w:spacing w:val="80"/>
        </w:rPr>
        <w:t xml:space="preserve"> </w:t>
      </w:r>
      <w:r>
        <w:rPr>
          <w:spacing w:val="-2"/>
        </w:rPr>
        <w:t>CAUSATION</w:t>
      </w:r>
      <w:r>
        <w:rPr>
          <w:rFonts w:ascii="Times New Roman"/>
          <w:b w:val="0"/>
        </w:rPr>
        <w:tab/>
      </w:r>
      <w:r>
        <w:rPr>
          <w:spacing w:val="-4"/>
        </w:rPr>
        <w:t>195</w:t>
      </w:r>
    </w:p>
    <w:p w14:paraId="51DE7565" w14:textId="77777777" w:rsidR="0010369C" w:rsidRDefault="008E43AE">
      <w:pPr>
        <w:pStyle w:val="ListParagraph"/>
        <w:numPr>
          <w:ilvl w:val="1"/>
          <w:numId w:val="80"/>
        </w:numPr>
        <w:tabs>
          <w:tab w:val="left" w:pos="1513"/>
          <w:tab w:val="left" w:pos="1514"/>
        </w:tabs>
        <w:ind w:left="1514"/>
        <w:rPr>
          <w:b/>
          <w:sz w:val="24"/>
        </w:rPr>
      </w:pPr>
      <w:r>
        <w:rPr>
          <w:b/>
          <w:sz w:val="24"/>
        </w:rPr>
        <w:t>C</w:t>
      </w:r>
      <w:r>
        <w:rPr>
          <w:b/>
          <w:sz w:val="19"/>
        </w:rPr>
        <w:t>HINA</w:t>
      </w:r>
      <w:r>
        <w:rPr>
          <w:b/>
          <w:spacing w:val="12"/>
          <w:sz w:val="19"/>
        </w:rPr>
        <w:t xml:space="preserve"> </w:t>
      </w:r>
      <w:r>
        <w:rPr>
          <w:b/>
          <w:sz w:val="19"/>
        </w:rPr>
        <w:t>HAS</w:t>
      </w:r>
      <w:r>
        <w:rPr>
          <w:b/>
          <w:spacing w:val="12"/>
          <w:sz w:val="19"/>
        </w:rPr>
        <w:t xml:space="preserve"> </w:t>
      </w:r>
      <w:r>
        <w:rPr>
          <w:b/>
          <w:sz w:val="19"/>
        </w:rPr>
        <w:t>BREACHED</w:t>
      </w:r>
      <w:r>
        <w:rPr>
          <w:b/>
          <w:spacing w:val="12"/>
          <w:sz w:val="19"/>
        </w:rPr>
        <w:t xml:space="preserve"> </w:t>
      </w:r>
      <w:r>
        <w:rPr>
          <w:b/>
          <w:sz w:val="24"/>
        </w:rPr>
        <w:t>A</w:t>
      </w:r>
      <w:r>
        <w:rPr>
          <w:b/>
          <w:sz w:val="19"/>
        </w:rPr>
        <w:t>RTICLES</w:t>
      </w:r>
      <w:r>
        <w:rPr>
          <w:b/>
          <w:spacing w:val="12"/>
          <w:sz w:val="19"/>
        </w:rPr>
        <w:t xml:space="preserve"> </w:t>
      </w:r>
      <w:r>
        <w:rPr>
          <w:b/>
          <w:sz w:val="24"/>
        </w:rPr>
        <w:t>3.1,</w:t>
      </w:r>
      <w:r>
        <w:rPr>
          <w:b/>
          <w:spacing w:val="1"/>
          <w:sz w:val="24"/>
        </w:rPr>
        <w:t xml:space="preserve"> </w:t>
      </w:r>
      <w:r>
        <w:rPr>
          <w:b/>
          <w:sz w:val="24"/>
        </w:rPr>
        <w:t>3.2,</w:t>
      </w:r>
      <w:r>
        <w:rPr>
          <w:b/>
          <w:spacing w:val="2"/>
          <w:sz w:val="24"/>
        </w:rPr>
        <w:t xml:space="preserve"> </w:t>
      </w:r>
      <w:r>
        <w:rPr>
          <w:b/>
          <w:sz w:val="24"/>
        </w:rPr>
        <w:t xml:space="preserve">3.4 </w:t>
      </w:r>
      <w:r>
        <w:rPr>
          <w:b/>
          <w:sz w:val="19"/>
        </w:rPr>
        <w:t>AND</w:t>
      </w:r>
      <w:r>
        <w:rPr>
          <w:b/>
          <w:spacing w:val="12"/>
          <w:sz w:val="19"/>
        </w:rPr>
        <w:t xml:space="preserve"> </w:t>
      </w:r>
      <w:r>
        <w:rPr>
          <w:b/>
          <w:sz w:val="24"/>
        </w:rPr>
        <w:t xml:space="preserve">3.5 </w:t>
      </w:r>
      <w:r>
        <w:rPr>
          <w:b/>
          <w:sz w:val="19"/>
        </w:rPr>
        <w:t>OF</w:t>
      </w:r>
      <w:r>
        <w:rPr>
          <w:b/>
          <w:spacing w:val="12"/>
          <w:sz w:val="19"/>
        </w:rPr>
        <w:t xml:space="preserve"> </w:t>
      </w:r>
      <w:r>
        <w:rPr>
          <w:b/>
          <w:sz w:val="19"/>
        </w:rPr>
        <w:t>THE</w:t>
      </w:r>
      <w:r>
        <w:rPr>
          <w:b/>
          <w:spacing w:val="12"/>
          <w:sz w:val="19"/>
        </w:rPr>
        <w:t xml:space="preserve"> </w:t>
      </w:r>
      <w:r>
        <w:rPr>
          <w:b/>
          <w:sz w:val="24"/>
        </w:rPr>
        <w:t>A</w:t>
      </w:r>
      <w:r>
        <w:rPr>
          <w:b/>
          <w:sz w:val="19"/>
        </w:rPr>
        <w:t>NTI</w:t>
      </w:r>
      <w:r>
        <w:rPr>
          <w:b/>
          <w:sz w:val="24"/>
        </w:rPr>
        <w:t>‐D</w:t>
      </w:r>
      <w:r>
        <w:rPr>
          <w:b/>
          <w:sz w:val="19"/>
        </w:rPr>
        <w:t>UMPING</w:t>
      </w:r>
      <w:r>
        <w:rPr>
          <w:b/>
          <w:spacing w:val="12"/>
          <w:sz w:val="19"/>
        </w:rPr>
        <w:t xml:space="preserve"> </w:t>
      </w:r>
      <w:r>
        <w:rPr>
          <w:b/>
          <w:spacing w:val="-2"/>
          <w:sz w:val="24"/>
        </w:rPr>
        <w:t>A</w:t>
      </w:r>
      <w:r>
        <w:rPr>
          <w:b/>
          <w:spacing w:val="-2"/>
          <w:sz w:val="19"/>
        </w:rPr>
        <w:t>GREEMENT</w:t>
      </w:r>
    </w:p>
    <w:p w14:paraId="51DE7566" w14:textId="77777777" w:rsidR="0010369C" w:rsidRDefault="008E43AE">
      <w:pPr>
        <w:pStyle w:val="Heading4"/>
        <w:spacing w:before="0"/>
        <w:ind w:left="1554" w:firstLine="0"/>
        <w:jc w:val="left"/>
      </w:pPr>
      <w:r>
        <w:rPr>
          <w:spacing w:val="-2"/>
        </w:rPr>
        <w:t>....................................................................................................................195</w:t>
      </w:r>
    </w:p>
    <w:p w14:paraId="51DE7567" w14:textId="77777777" w:rsidR="0010369C" w:rsidRDefault="008E43AE">
      <w:pPr>
        <w:pStyle w:val="ListParagraph"/>
        <w:numPr>
          <w:ilvl w:val="1"/>
          <w:numId w:val="80"/>
        </w:numPr>
        <w:tabs>
          <w:tab w:val="left" w:pos="1513"/>
          <w:tab w:val="left" w:pos="1514"/>
          <w:tab w:val="left" w:leader="dot" w:pos="8933"/>
        </w:tabs>
        <w:ind w:left="1514"/>
        <w:rPr>
          <w:b/>
          <w:sz w:val="24"/>
        </w:rPr>
      </w:pPr>
      <w:r>
        <w:rPr>
          <w:b/>
          <w:sz w:val="24"/>
        </w:rPr>
        <w:t>L</w:t>
      </w:r>
      <w:r>
        <w:rPr>
          <w:b/>
          <w:sz w:val="19"/>
        </w:rPr>
        <w:t>EGAL</w:t>
      </w:r>
      <w:r>
        <w:rPr>
          <w:b/>
          <w:spacing w:val="-5"/>
          <w:sz w:val="19"/>
        </w:rPr>
        <w:t xml:space="preserve"> </w:t>
      </w:r>
      <w:r>
        <w:rPr>
          <w:b/>
          <w:spacing w:val="-2"/>
          <w:sz w:val="19"/>
        </w:rPr>
        <w:t>FRAMEWOR</w:t>
      </w:r>
      <w:r>
        <w:rPr>
          <w:b/>
          <w:spacing w:val="-2"/>
          <w:sz w:val="19"/>
        </w:rPr>
        <w:t>K</w:t>
      </w:r>
      <w:r>
        <w:rPr>
          <w:rFonts w:ascii="Times New Roman"/>
          <w:sz w:val="19"/>
        </w:rPr>
        <w:tab/>
      </w:r>
      <w:r>
        <w:rPr>
          <w:b/>
          <w:spacing w:val="-5"/>
          <w:sz w:val="24"/>
        </w:rPr>
        <w:t>196</w:t>
      </w:r>
    </w:p>
    <w:p w14:paraId="51DE7568" w14:textId="77777777" w:rsidR="0010369C" w:rsidRDefault="008E43AE">
      <w:pPr>
        <w:pStyle w:val="ListParagraph"/>
        <w:numPr>
          <w:ilvl w:val="1"/>
          <w:numId w:val="80"/>
        </w:numPr>
        <w:tabs>
          <w:tab w:val="left" w:pos="1513"/>
          <w:tab w:val="left" w:pos="1514"/>
          <w:tab w:val="left" w:leader="dot" w:pos="8933"/>
        </w:tabs>
        <w:ind w:left="1513" w:right="195"/>
        <w:jc w:val="both"/>
        <w:rPr>
          <w:b/>
          <w:sz w:val="24"/>
        </w:rPr>
      </w:pPr>
      <w:r>
        <w:rPr>
          <w:b/>
          <w:sz w:val="24"/>
        </w:rPr>
        <w:t>MOFCOM'</w:t>
      </w:r>
      <w:r>
        <w:rPr>
          <w:b/>
          <w:sz w:val="19"/>
        </w:rPr>
        <w:t>S</w:t>
      </w:r>
      <w:r>
        <w:rPr>
          <w:b/>
          <w:spacing w:val="-9"/>
          <w:sz w:val="19"/>
        </w:rPr>
        <w:t xml:space="preserve"> </w:t>
      </w:r>
      <w:r>
        <w:rPr>
          <w:b/>
          <w:sz w:val="19"/>
        </w:rPr>
        <w:t>CONSIDERATION</w:t>
      </w:r>
      <w:r>
        <w:rPr>
          <w:b/>
          <w:spacing w:val="-7"/>
          <w:sz w:val="19"/>
        </w:rPr>
        <w:t xml:space="preserve"> </w:t>
      </w:r>
      <w:r>
        <w:rPr>
          <w:b/>
          <w:sz w:val="19"/>
        </w:rPr>
        <w:t>OF</w:t>
      </w:r>
      <w:r>
        <w:rPr>
          <w:b/>
          <w:spacing w:val="-7"/>
          <w:sz w:val="19"/>
        </w:rPr>
        <w:t xml:space="preserve"> </w:t>
      </w:r>
      <w:r>
        <w:rPr>
          <w:b/>
          <w:sz w:val="19"/>
        </w:rPr>
        <w:t>THE</w:t>
      </w:r>
      <w:r>
        <w:rPr>
          <w:b/>
          <w:spacing w:val="-8"/>
          <w:sz w:val="19"/>
        </w:rPr>
        <w:t xml:space="preserve"> </w:t>
      </w:r>
      <w:r>
        <w:rPr>
          <w:b/>
          <w:sz w:val="19"/>
        </w:rPr>
        <w:t>EFFECT</w:t>
      </w:r>
      <w:r>
        <w:rPr>
          <w:b/>
          <w:spacing w:val="-9"/>
          <w:sz w:val="19"/>
        </w:rPr>
        <w:t xml:space="preserve"> </w:t>
      </w:r>
      <w:r>
        <w:rPr>
          <w:b/>
          <w:sz w:val="19"/>
        </w:rPr>
        <w:t>OF</w:t>
      </w:r>
      <w:r>
        <w:rPr>
          <w:b/>
          <w:spacing w:val="-7"/>
          <w:sz w:val="19"/>
        </w:rPr>
        <w:t xml:space="preserve"> </w:t>
      </w:r>
      <w:r>
        <w:rPr>
          <w:b/>
          <w:sz w:val="19"/>
        </w:rPr>
        <w:t>SUBJECT</w:t>
      </w:r>
      <w:r>
        <w:rPr>
          <w:b/>
          <w:spacing w:val="-9"/>
          <w:sz w:val="19"/>
        </w:rPr>
        <w:t xml:space="preserve"> </w:t>
      </w:r>
      <w:r>
        <w:rPr>
          <w:b/>
          <w:sz w:val="19"/>
        </w:rPr>
        <w:t>IMPORTS</w:t>
      </w:r>
      <w:r>
        <w:rPr>
          <w:b/>
          <w:spacing w:val="-8"/>
          <w:sz w:val="19"/>
        </w:rPr>
        <w:t xml:space="preserve"> </w:t>
      </w:r>
      <w:r>
        <w:rPr>
          <w:b/>
          <w:sz w:val="19"/>
        </w:rPr>
        <w:t>ON</w:t>
      </w:r>
      <w:r>
        <w:rPr>
          <w:b/>
          <w:spacing w:val="-8"/>
          <w:sz w:val="19"/>
        </w:rPr>
        <w:t xml:space="preserve"> </w:t>
      </w:r>
      <w:r>
        <w:rPr>
          <w:b/>
          <w:sz w:val="19"/>
        </w:rPr>
        <w:t>PRICES</w:t>
      </w:r>
      <w:r>
        <w:rPr>
          <w:b/>
          <w:spacing w:val="-7"/>
          <w:sz w:val="19"/>
        </w:rPr>
        <w:t xml:space="preserve"> </w:t>
      </w:r>
      <w:r>
        <w:rPr>
          <w:b/>
          <w:sz w:val="19"/>
        </w:rPr>
        <w:t>OF</w:t>
      </w:r>
      <w:r>
        <w:rPr>
          <w:b/>
          <w:spacing w:val="-7"/>
          <w:sz w:val="19"/>
        </w:rPr>
        <w:t xml:space="preserve"> </w:t>
      </w:r>
      <w:r>
        <w:rPr>
          <w:b/>
          <w:sz w:val="19"/>
        </w:rPr>
        <w:t>LIKE</w:t>
      </w:r>
      <w:r>
        <w:rPr>
          <w:b/>
          <w:spacing w:val="-8"/>
          <w:sz w:val="19"/>
        </w:rPr>
        <w:t xml:space="preserve"> </w:t>
      </w:r>
      <w:r>
        <w:rPr>
          <w:b/>
          <w:sz w:val="19"/>
        </w:rPr>
        <w:t xml:space="preserve">DOMESTIC PRODUCTS WAS INCONSISTENT WITH </w:t>
      </w:r>
      <w:r>
        <w:rPr>
          <w:b/>
          <w:sz w:val="24"/>
        </w:rPr>
        <w:t>A</w:t>
      </w:r>
      <w:r>
        <w:rPr>
          <w:b/>
          <w:sz w:val="19"/>
        </w:rPr>
        <w:t xml:space="preserve">RTICLE </w:t>
      </w:r>
      <w:r>
        <w:rPr>
          <w:b/>
          <w:sz w:val="24"/>
        </w:rPr>
        <w:t>3.1</w:t>
      </w:r>
      <w:r>
        <w:rPr>
          <w:b/>
          <w:spacing w:val="-4"/>
          <w:sz w:val="24"/>
        </w:rPr>
        <w:t xml:space="preserve"> </w:t>
      </w:r>
      <w:r>
        <w:rPr>
          <w:b/>
          <w:sz w:val="19"/>
        </w:rPr>
        <w:t xml:space="preserve">AND THE SECOND SENTENCE OF </w:t>
      </w:r>
      <w:r>
        <w:rPr>
          <w:b/>
          <w:sz w:val="24"/>
        </w:rPr>
        <w:t>A</w:t>
      </w:r>
      <w:r>
        <w:rPr>
          <w:b/>
          <w:sz w:val="19"/>
        </w:rPr>
        <w:t xml:space="preserve">RTICLE </w:t>
      </w:r>
      <w:r>
        <w:rPr>
          <w:b/>
          <w:sz w:val="24"/>
        </w:rPr>
        <w:t xml:space="preserve">3.2 </w:t>
      </w:r>
      <w:r>
        <w:rPr>
          <w:b/>
          <w:sz w:val="19"/>
        </w:rPr>
        <w:t>OF</w:t>
      </w:r>
      <w:r>
        <w:rPr>
          <w:b/>
          <w:spacing w:val="-10"/>
          <w:sz w:val="19"/>
        </w:rPr>
        <w:t xml:space="preserve"> </w:t>
      </w:r>
      <w:r>
        <w:rPr>
          <w:b/>
          <w:sz w:val="24"/>
        </w:rPr>
        <w:t>A</w:t>
      </w:r>
      <w:r>
        <w:rPr>
          <w:b/>
          <w:sz w:val="19"/>
        </w:rPr>
        <w:t>NTI</w:t>
      </w:r>
      <w:r>
        <w:rPr>
          <w:b/>
          <w:sz w:val="24"/>
        </w:rPr>
        <w:t>‐D</w:t>
      </w:r>
      <w:r>
        <w:rPr>
          <w:b/>
          <w:sz w:val="19"/>
        </w:rPr>
        <w:t>UMPING</w:t>
      </w:r>
      <w:r>
        <w:rPr>
          <w:b/>
          <w:spacing w:val="-9"/>
          <w:sz w:val="19"/>
        </w:rPr>
        <w:t xml:space="preserve"> </w:t>
      </w:r>
      <w:r>
        <w:rPr>
          <w:b/>
          <w:spacing w:val="-2"/>
          <w:sz w:val="24"/>
        </w:rPr>
        <w:t>A</w:t>
      </w:r>
      <w:r>
        <w:rPr>
          <w:b/>
          <w:spacing w:val="-2"/>
          <w:sz w:val="19"/>
        </w:rPr>
        <w:t>GREEMENT</w:t>
      </w:r>
      <w:r>
        <w:rPr>
          <w:rFonts w:ascii="Times New Roman" w:hAnsi="Times New Roman"/>
          <w:sz w:val="19"/>
        </w:rPr>
        <w:tab/>
      </w:r>
      <w:r>
        <w:rPr>
          <w:b/>
          <w:spacing w:val="-5"/>
          <w:sz w:val="24"/>
        </w:rPr>
        <w:t>197</w:t>
      </w:r>
    </w:p>
    <w:p w14:paraId="51DE7569" w14:textId="77777777" w:rsidR="0010369C" w:rsidRDefault="008E43AE">
      <w:pPr>
        <w:pStyle w:val="Heading4"/>
        <w:numPr>
          <w:ilvl w:val="2"/>
          <w:numId w:val="80"/>
        </w:numPr>
        <w:tabs>
          <w:tab w:val="left" w:pos="1939"/>
          <w:tab w:val="left" w:pos="1940"/>
          <w:tab w:val="left" w:leader="dot" w:pos="8933"/>
        </w:tabs>
        <w:spacing w:before="121"/>
        <w:ind w:left="1940"/>
        <w:jc w:val="both"/>
      </w:pPr>
      <w:r>
        <w:rPr>
          <w:spacing w:val="-2"/>
        </w:rPr>
        <w:t>Introduction</w:t>
      </w:r>
      <w:r>
        <w:rPr>
          <w:rFonts w:ascii="Times New Roman"/>
          <w:b w:val="0"/>
        </w:rPr>
        <w:tab/>
      </w:r>
      <w:r>
        <w:rPr>
          <w:spacing w:val="-5"/>
        </w:rPr>
        <w:t>197</w:t>
      </w:r>
    </w:p>
    <w:p w14:paraId="51DE756A" w14:textId="77777777" w:rsidR="0010369C" w:rsidRDefault="008E43AE">
      <w:pPr>
        <w:pStyle w:val="Heading4"/>
        <w:numPr>
          <w:ilvl w:val="2"/>
          <w:numId w:val="80"/>
        </w:numPr>
        <w:tabs>
          <w:tab w:val="left" w:pos="1939"/>
          <w:tab w:val="left" w:pos="1940"/>
          <w:tab w:val="left" w:leader="dot" w:pos="8933"/>
        </w:tabs>
        <w:spacing w:before="120"/>
        <w:ind w:left="1939" w:right="194"/>
        <w:jc w:val="both"/>
      </w:pPr>
      <w:r>
        <w:t>The examination of price suppression required under Articles 3.1 and 3.2 of</w:t>
      </w:r>
      <w:r>
        <w:rPr>
          <w:spacing w:val="-4"/>
        </w:rPr>
        <w:t xml:space="preserve"> </w:t>
      </w:r>
      <w:r>
        <w:t>the</w:t>
      </w:r>
      <w:r>
        <w:rPr>
          <w:spacing w:val="-3"/>
        </w:rPr>
        <w:t xml:space="preserve"> </w:t>
      </w:r>
      <w:r>
        <w:t>Anti‐Dumping</w:t>
      </w:r>
      <w:r>
        <w:rPr>
          <w:spacing w:val="-3"/>
        </w:rPr>
        <w:t xml:space="preserve"> </w:t>
      </w:r>
      <w:r>
        <w:rPr>
          <w:spacing w:val="-2"/>
        </w:rPr>
        <w:t>Agreement</w:t>
      </w:r>
      <w:r>
        <w:rPr>
          <w:rFonts w:ascii="Times New Roman" w:hAnsi="Times New Roman"/>
          <w:b w:val="0"/>
        </w:rPr>
        <w:tab/>
      </w:r>
      <w:r>
        <w:rPr>
          <w:spacing w:val="-5"/>
        </w:rPr>
        <w:t>200</w:t>
      </w:r>
    </w:p>
    <w:p w14:paraId="51DE756B" w14:textId="77777777" w:rsidR="0010369C" w:rsidRDefault="008E43AE">
      <w:pPr>
        <w:pStyle w:val="Heading4"/>
        <w:numPr>
          <w:ilvl w:val="2"/>
          <w:numId w:val="80"/>
        </w:numPr>
        <w:tabs>
          <w:tab w:val="left" w:pos="1939"/>
          <w:tab w:val="left" w:pos="1940"/>
          <w:tab w:val="left" w:leader="dot" w:pos="8933"/>
        </w:tabs>
        <w:spacing w:before="119"/>
        <w:ind w:left="1939" w:right="193"/>
        <w:jc w:val="both"/>
      </w:pPr>
      <w:r>
        <w:t>MOFCOM</w:t>
      </w:r>
      <w:r>
        <w:rPr>
          <w:spacing w:val="-2"/>
        </w:rPr>
        <w:t xml:space="preserve"> </w:t>
      </w:r>
      <w:r>
        <w:t>did</w:t>
      </w:r>
      <w:r>
        <w:rPr>
          <w:spacing w:val="-3"/>
        </w:rPr>
        <w:t xml:space="preserve"> </w:t>
      </w:r>
      <w:r>
        <w:t>not</w:t>
      </w:r>
      <w:r>
        <w:rPr>
          <w:spacing w:val="-3"/>
        </w:rPr>
        <w:t xml:space="preserve"> </w:t>
      </w:r>
      <w:r>
        <w:t>conduct</w:t>
      </w:r>
      <w:r>
        <w:rPr>
          <w:spacing w:val="-2"/>
        </w:rPr>
        <w:t xml:space="preserve"> </w:t>
      </w:r>
      <w:r>
        <w:t>an</w:t>
      </w:r>
      <w:r>
        <w:rPr>
          <w:spacing w:val="-3"/>
        </w:rPr>
        <w:t xml:space="preserve"> </w:t>
      </w:r>
      <w:r>
        <w:t>objective</w:t>
      </w:r>
      <w:r>
        <w:rPr>
          <w:spacing w:val="-3"/>
        </w:rPr>
        <w:t xml:space="preserve"> </w:t>
      </w:r>
      <w:r>
        <w:t>examination</w:t>
      </w:r>
      <w:r>
        <w:rPr>
          <w:spacing w:val="-4"/>
        </w:rPr>
        <w:t xml:space="preserve"> </w:t>
      </w:r>
      <w:r>
        <w:t>of</w:t>
      </w:r>
      <w:r>
        <w:rPr>
          <w:spacing w:val="-3"/>
        </w:rPr>
        <w:t xml:space="preserve"> </w:t>
      </w:r>
      <w:r>
        <w:t>price</w:t>
      </w:r>
      <w:r>
        <w:rPr>
          <w:spacing w:val="-4"/>
        </w:rPr>
        <w:t xml:space="preserve"> </w:t>
      </w:r>
      <w:r>
        <w:t>effects</w:t>
      </w:r>
      <w:r>
        <w:rPr>
          <w:spacing w:val="-2"/>
        </w:rPr>
        <w:t xml:space="preserve"> </w:t>
      </w:r>
      <w:r>
        <w:t>based on</w:t>
      </w:r>
      <w:r>
        <w:rPr>
          <w:spacing w:val="-1"/>
        </w:rPr>
        <w:t xml:space="preserve"> </w:t>
      </w:r>
      <w:r>
        <w:t>positive</w:t>
      </w:r>
      <w:r>
        <w:rPr>
          <w:spacing w:val="-1"/>
        </w:rPr>
        <w:t xml:space="preserve"> </w:t>
      </w:r>
      <w:r>
        <w:rPr>
          <w:spacing w:val="-2"/>
        </w:rPr>
        <w:t>evidence</w:t>
      </w:r>
      <w:r>
        <w:rPr>
          <w:rFonts w:ascii="Times New Roman"/>
          <w:b w:val="0"/>
        </w:rPr>
        <w:tab/>
      </w:r>
      <w:r>
        <w:rPr>
          <w:spacing w:val="-5"/>
        </w:rPr>
        <w:t>202</w:t>
      </w:r>
    </w:p>
    <w:p w14:paraId="51DE756C" w14:textId="77777777" w:rsidR="0010369C" w:rsidRDefault="008E43AE">
      <w:pPr>
        <w:pStyle w:val="ListParagraph"/>
        <w:numPr>
          <w:ilvl w:val="3"/>
          <w:numId w:val="80"/>
        </w:numPr>
        <w:tabs>
          <w:tab w:val="left" w:pos="2365"/>
          <w:tab w:val="left" w:pos="2366"/>
          <w:tab w:val="left" w:leader="dot" w:pos="8933"/>
        </w:tabs>
        <w:ind w:left="2365" w:right="194" w:hanging="852"/>
        <w:jc w:val="both"/>
        <w:rPr>
          <w:sz w:val="24"/>
        </w:rPr>
      </w:pPr>
      <w:r>
        <w:rPr>
          <w:sz w:val="24"/>
          <w:u w:val="single"/>
        </w:rPr>
        <w:t>The broad annual averages upon which MOFCOM's examination is</w:t>
      </w:r>
      <w:r>
        <w:rPr>
          <w:sz w:val="24"/>
        </w:rPr>
        <w:t xml:space="preserve"> </w:t>
      </w:r>
      <w:r>
        <w:rPr>
          <w:sz w:val="24"/>
          <w:u w:val="single"/>
        </w:rPr>
        <w:t xml:space="preserve">based do not constitute positive evidence </w:t>
      </w:r>
      <w:r>
        <w:rPr>
          <w:rFonts w:ascii="Times New Roman"/>
          <w:sz w:val="24"/>
        </w:rPr>
        <w:tab/>
      </w:r>
      <w:r>
        <w:rPr>
          <w:spacing w:val="-4"/>
          <w:sz w:val="24"/>
          <w:u w:val="single"/>
        </w:rPr>
        <w:t>202</w:t>
      </w:r>
    </w:p>
    <w:p w14:paraId="51DE756D" w14:textId="77777777" w:rsidR="0010369C" w:rsidRDefault="008E43AE">
      <w:pPr>
        <w:pStyle w:val="ListParagraph"/>
        <w:numPr>
          <w:ilvl w:val="3"/>
          <w:numId w:val="80"/>
        </w:numPr>
        <w:tabs>
          <w:tab w:val="left" w:pos="2365"/>
          <w:tab w:val="left" w:pos="2366"/>
          <w:tab w:val="left" w:leader="dot" w:pos="8933"/>
        </w:tabs>
        <w:spacing w:before="119"/>
        <w:ind w:left="2365" w:right="193" w:hanging="852"/>
        <w:jc w:val="both"/>
        <w:rPr>
          <w:sz w:val="24"/>
        </w:rPr>
      </w:pPr>
      <w:r>
        <w:rPr>
          <w:sz w:val="24"/>
          <w:u w:val="single"/>
        </w:rPr>
        <w:t>MOFCOM failed to ensure price comparability between the product</w:t>
      </w:r>
      <w:r>
        <w:rPr>
          <w:sz w:val="24"/>
        </w:rPr>
        <w:t xml:space="preserve"> </w:t>
      </w:r>
      <w:r>
        <w:rPr>
          <w:sz w:val="24"/>
          <w:u w:val="single"/>
        </w:rPr>
        <w:t>under</w:t>
      </w:r>
      <w:r>
        <w:rPr>
          <w:spacing w:val="-1"/>
          <w:sz w:val="24"/>
          <w:u w:val="single"/>
        </w:rPr>
        <w:t xml:space="preserve"> </w:t>
      </w:r>
      <w:r>
        <w:rPr>
          <w:sz w:val="24"/>
          <w:u w:val="single"/>
        </w:rPr>
        <w:t>consideration</w:t>
      </w:r>
      <w:r>
        <w:rPr>
          <w:spacing w:val="-1"/>
          <w:sz w:val="24"/>
          <w:u w:val="single"/>
        </w:rPr>
        <w:t xml:space="preserve"> </w:t>
      </w:r>
      <w:r>
        <w:rPr>
          <w:sz w:val="24"/>
          <w:u w:val="single"/>
        </w:rPr>
        <w:t>and</w:t>
      </w:r>
      <w:r>
        <w:rPr>
          <w:spacing w:val="-2"/>
          <w:sz w:val="24"/>
          <w:u w:val="single"/>
        </w:rPr>
        <w:t xml:space="preserve"> </w:t>
      </w:r>
      <w:r>
        <w:rPr>
          <w:sz w:val="24"/>
          <w:u w:val="single"/>
        </w:rPr>
        <w:t>the</w:t>
      </w:r>
      <w:r>
        <w:rPr>
          <w:spacing w:val="-1"/>
          <w:sz w:val="24"/>
          <w:u w:val="single"/>
        </w:rPr>
        <w:t xml:space="preserve"> </w:t>
      </w:r>
      <w:r>
        <w:rPr>
          <w:sz w:val="24"/>
          <w:u w:val="single"/>
        </w:rPr>
        <w:t>domestic</w:t>
      </w:r>
      <w:r>
        <w:rPr>
          <w:spacing w:val="-1"/>
          <w:sz w:val="24"/>
          <w:u w:val="single"/>
        </w:rPr>
        <w:t xml:space="preserve"> </w:t>
      </w:r>
      <w:r>
        <w:rPr>
          <w:sz w:val="24"/>
          <w:u w:val="single"/>
        </w:rPr>
        <w:t>like</w:t>
      </w:r>
      <w:r>
        <w:rPr>
          <w:spacing w:val="-1"/>
          <w:sz w:val="24"/>
          <w:u w:val="single"/>
        </w:rPr>
        <w:t xml:space="preserve"> </w:t>
      </w:r>
      <w:r>
        <w:rPr>
          <w:sz w:val="24"/>
          <w:u w:val="single"/>
        </w:rPr>
        <w:t>products</w:t>
      </w:r>
      <w:r>
        <w:rPr>
          <w:spacing w:val="-5"/>
          <w:sz w:val="24"/>
          <w:u w:val="single"/>
        </w:rPr>
        <w:t xml:space="preserve"> </w:t>
      </w:r>
      <w:r>
        <w:rPr>
          <w:rFonts w:ascii="Times New Roman"/>
          <w:sz w:val="24"/>
        </w:rPr>
        <w:tab/>
      </w:r>
      <w:r>
        <w:rPr>
          <w:spacing w:val="-5"/>
          <w:sz w:val="24"/>
          <w:u w:val="single"/>
        </w:rPr>
        <w:t>204</w:t>
      </w:r>
    </w:p>
    <w:p w14:paraId="51DE756E" w14:textId="77777777" w:rsidR="0010369C" w:rsidRDefault="008E43AE">
      <w:pPr>
        <w:pStyle w:val="ListParagraph"/>
        <w:numPr>
          <w:ilvl w:val="4"/>
          <w:numId w:val="80"/>
        </w:numPr>
        <w:tabs>
          <w:tab w:val="left" w:pos="2790"/>
          <w:tab w:val="left" w:pos="2791"/>
          <w:tab w:val="left" w:leader="dot" w:pos="8933"/>
        </w:tabs>
        <w:spacing w:before="121"/>
        <w:ind w:right="193"/>
        <w:jc w:val="both"/>
        <w:rPr>
          <w:i/>
          <w:sz w:val="24"/>
        </w:rPr>
      </w:pPr>
      <w:r>
        <w:rPr>
          <w:i/>
          <w:sz w:val="24"/>
        </w:rPr>
        <w:t>MOFCOM failed to account for</w:t>
      </w:r>
      <w:r>
        <w:rPr>
          <w:i/>
          <w:sz w:val="24"/>
        </w:rPr>
        <w:t xml:space="preserve"> the clear differences in product mix between the basket of subject imports and the basket of domestic like </w:t>
      </w:r>
      <w:r>
        <w:rPr>
          <w:i/>
          <w:spacing w:val="-2"/>
          <w:sz w:val="24"/>
        </w:rPr>
        <w:t>products</w:t>
      </w:r>
      <w:r>
        <w:rPr>
          <w:rFonts w:ascii="Times New Roman"/>
          <w:sz w:val="24"/>
        </w:rPr>
        <w:tab/>
      </w:r>
      <w:r>
        <w:rPr>
          <w:i/>
          <w:spacing w:val="-5"/>
          <w:sz w:val="24"/>
        </w:rPr>
        <w:t>205</w:t>
      </w:r>
    </w:p>
    <w:p w14:paraId="51DE756F" w14:textId="77777777" w:rsidR="0010369C" w:rsidRDefault="008E43AE">
      <w:pPr>
        <w:pStyle w:val="ListParagraph"/>
        <w:numPr>
          <w:ilvl w:val="4"/>
          <w:numId w:val="80"/>
        </w:numPr>
        <w:tabs>
          <w:tab w:val="left" w:pos="2790"/>
          <w:tab w:val="left" w:pos="2791"/>
          <w:tab w:val="left" w:leader="dot" w:pos="8933"/>
        </w:tabs>
        <w:ind w:right="194"/>
        <w:jc w:val="both"/>
        <w:rPr>
          <w:i/>
          <w:sz w:val="24"/>
        </w:rPr>
      </w:pPr>
      <w:r>
        <w:rPr>
          <w:i/>
          <w:sz w:val="24"/>
        </w:rPr>
        <w:t xml:space="preserve">MOFCOM failed to account for different levels of trade in the price </w:t>
      </w:r>
      <w:r>
        <w:rPr>
          <w:i/>
          <w:spacing w:val="-4"/>
          <w:sz w:val="24"/>
        </w:rPr>
        <w:t>data</w:t>
      </w:r>
      <w:r>
        <w:rPr>
          <w:rFonts w:ascii="Times New Roman"/>
          <w:sz w:val="24"/>
        </w:rPr>
        <w:tab/>
      </w:r>
      <w:r>
        <w:rPr>
          <w:i/>
          <w:spacing w:val="-5"/>
          <w:sz w:val="24"/>
        </w:rPr>
        <w:t>217</w:t>
      </w:r>
    </w:p>
    <w:p w14:paraId="51DE7570" w14:textId="77777777" w:rsidR="0010369C" w:rsidRDefault="008E43AE">
      <w:pPr>
        <w:pStyle w:val="ListParagraph"/>
        <w:numPr>
          <w:ilvl w:val="4"/>
          <w:numId w:val="80"/>
        </w:numPr>
        <w:tabs>
          <w:tab w:val="left" w:pos="2790"/>
          <w:tab w:val="left" w:pos="2791"/>
          <w:tab w:val="left" w:leader="dot" w:pos="8933"/>
        </w:tabs>
        <w:ind w:right="193"/>
        <w:jc w:val="both"/>
        <w:rPr>
          <w:i/>
          <w:sz w:val="24"/>
        </w:rPr>
      </w:pPr>
      <w:r>
        <w:rPr>
          <w:i/>
          <w:sz w:val="24"/>
        </w:rPr>
        <w:t>MOFCOM failed to account for prices with materially different conditions</w:t>
      </w:r>
      <w:r>
        <w:rPr>
          <w:i/>
          <w:spacing w:val="-3"/>
          <w:sz w:val="24"/>
        </w:rPr>
        <w:t xml:space="preserve"> </w:t>
      </w:r>
      <w:r>
        <w:rPr>
          <w:i/>
          <w:sz w:val="24"/>
        </w:rPr>
        <w:t>of</w:t>
      </w:r>
      <w:r>
        <w:rPr>
          <w:i/>
          <w:spacing w:val="-1"/>
          <w:sz w:val="24"/>
        </w:rPr>
        <w:t xml:space="preserve"> </w:t>
      </w:r>
      <w:r>
        <w:rPr>
          <w:i/>
          <w:spacing w:val="-4"/>
          <w:sz w:val="24"/>
        </w:rPr>
        <w:t>sale</w:t>
      </w:r>
      <w:r>
        <w:rPr>
          <w:rFonts w:ascii="Times New Roman"/>
          <w:sz w:val="24"/>
        </w:rPr>
        <w:tab/>
      </w:r>
      <w:r>
        <w:rPr>
          <w:i/>
          <w:spacing w:val="-5"/>
          <w:sz w:val="24"/>
        </w:rPr>
        <w:t>219</w:t>
      </w:r>
    </w:p>
    <w:p w14:paraId="51DE7571" w14:textId="77777777" w:rsidR="0010369C" w:rsidRDefault="008E43AE">
      <w:pPr>
        <w:pStyle w:val="Heading4"/>
        <w:numPr>
          <w:ilvl w:val="2"/>
          <w:numId w:val="80"/>
        </w:numPr>
        <w:tabs>
          <w:tab w:val="left" w:pos="1939"/>
          <w:tab w:val="left" w:pos="1940"/>
          <w:tab w:val="left" w:leader="dot" w:pos="8933"/>
        </w:tabs>
        <w:spacing w:before="120"/>
        <w:ind w:left="1939" w:right="194"/>
        <w:jc w:val="both"/>
      </w:pPr>
      <w:r>
        <w:t>MOFCOM</w:t>
      </w:r>
      <w:r>
        <w:rPr>
          <w:spacing w:val="-13"/>
        </w:rPr>
        <w:t xml:space="preserve"> </w:t>
      </w:r>
      <w:r>
        <w:t>failed</w:t>
      </w:r>
      <w:r>
        <w:rPr>
          <w:spacing w:val="-13"/>
        </w:rPr>
        <w:t xml:space="preserve"> </w:t>
      </w:r>
      <w:r>
        <w:t>to</w:t>
      </w:r>
      <w:r>
        <w:rPr>
          <w:spacing w:val="-13"/>
        </w:rPr>
        <w:t xml:space="preserve"> </w:t>
      </w:r>
      <w:r>
        <w:t>consider</w:t>
      </w:r>
      <w:r>
        <w:rPr>
          <w:spacing w:val="-13"/>
        </w:rPr>
        <w:t xml:space="preserve"> </w:t>
      </w:r>
      <w:r>
        <w:t>whether</w:t>
      </w:r>
      <w:r>
        <w:rPr>
          <w:spacing w:val="-12"/>
        </w:rPr>
        <w:t xml:space="preserve"> </w:t>
      </w:r>
      <w:r>
        <w:t>the</w:t>
      </w:r>
      <w:r>
        <w:rPr>
          <w:spacing w:val="-13"/>
        </w:rPr>
        <w:t xml:space="preserve"> </w:t>
      </w:r>
      <w:r>
        <w:t>subject</w:t>
      </w:r>
      <w:r>
        <w:rPr>
          <w:spacing w:val="-11"/>
        </w:rPr>
        <w:t xml:space="preserve"> </w:t>
      </w:r>
      <w:r>
        <w:t>imports</w:t>
      </w:r>
      <w:r>
        <w:rPr>
          <w:spacing w:val="-13"/>
        </w:rPr>
        <w:t xml:space="preserve"> </w:t>
      </w:r>
      <w:r>
        <w:t>had</w:t>
      </w:r>
      <w:r>
        <w:rPr>
          <w:spacing w:val="-12"/>
        </w:rPr>
        <w:t xml:space="preserve"> </w:t>
      </w:r>
      <w:r>
        <w:t>"explanatory force"</w:t>
      </w:r>
      <w:r>
        <w:rPr>
          <w:spacing w:val="-3"/>
        </w:rPr>
        <w:t xml:space="preserve"> </w:t>
      </w:r>
      <w:r>
        <w:t>for</w:t>
      </w:r>
      <w:r>
        <w:rPr>
          <w:spacing w:val="-1"/>
        </w:rPr>
        <w:t xml:space="preserve"> </w:t>
      </w:r>
      <w:r>
        <w:t>the alleged</w:t>
      </w:r>
      <w:r>
        <w:rPr>
          <w:spacing w:val="-3"/>
        </w:rPr>
        <w:t xml:space="preserve"> </w:t>
      </w:r>
      <w:r>
        <w:t>suppression</w:t>
      </w:r>
      <w:r>
        <w:rPr>
          <w:spacing w:val="-2"/>
        </w:rPr>
        <w:t xml:space="preserve"> </w:t>
      </w:r>
      <w:r>
        <w:t>of</w:t>
      </w:r>
      <w:r>
        <w:rPr>
          <w:spacing w:val="-1"/>
        </w:rPr>
        <w:t xml:space="preserve"> </w:t>
      </w:r>
      <w:r>
        <w:t>domestic</w:t>
      </w:r>
      <w:r>
        <w:rPr>
          <w:spacing w:val="-1"/>
        </w:rPr>
        <w:t xml:space="preserve"> </w:t>
      </w:r>
      <w:r>
        <w:rPr>
          <w:spacing w:val="-2"/>
        </w:rPr>
        <w:t>prices</w:t>
      </w:r>
      <w:r>
        <w:rPr>
          <w:rFonts w:ascii="Times New Roman"/>
          <w:b w:val="0"/>
        </w:rPr>
        <w:tab/>
      </w:r>
      <w:r>
        <w:rPr>
          <w:spacing w:val="-5"/>
        </w:rPr>
        <w:t>223</w:t>
      </w:r>
    </w:p>
    <w:p w14:paraId="51DE7572" w14:textId="77777777" w:rsidR="0010369C" w:rsidRDefault="008E43AE">
      <w:pPr>
        <w:pStyle w:val="ListParagraph"/>
        <w:numPr>
          <w:ilvl w:val="3"/>
          <w:numId w:val="80"/>
        </w:numPr>
        <w:tabs>
          <w:tab w:val="left" w:pos="2365"/>
          <w:tab w:val="left" w:pos="2366"/>
          <w:tab w:val="left" w:leader="dot" w:pos="8933"/>
        </w:tabs>
        <w:ind w:left="2365" w:right="192" w:hanging="852"/>
        <w:rPr>
          <w:sz w:val="24"/>
        </w:rPr>
      </w:pPr>
      <w:r>
        <w:rPr>
          <w:sz w:val="24"/>
          <w:u w:val="single"/>
        </w:rPr>
        <w:t>MOFCOM's price suppression analysis did not include a counterfactual</w:t>
      </w:r>
      <w:r>
        <w:rPr>
          <w:sz w:val="24"/>
        </w:rPr>
        <w:t xml:space="preserve"> </w:t>
      </w:r>
      <w:r>
        <w:rPr>
          <w:sz w:val="24"/>
          <w:u w:val="single"/>
        </w:rPr>
        <w:t>analysis</w:t>
      </w:r>
      <w:r>
        <w:rPr>
          <w:spacing w:val="-19"/>
          <w:sz w:val="24"/>
          <w:u w:val="single"/>
        </w:rPr>
        <w:t xml:space="preserve"> </w:t>
      </w:r>
      <w:r>
        <w:rPr>
          <w:rFonts w:ascii="Times New Roman"/>
          <w:sz w:val="24"/>
        </w:rPr>
        <w:tab/>
      </w:r>
      <w:r>
        <w:rPr>
          <w:spacing w:val="-5"/>
          <w:sz w:val="24"/>
          <w:u w:val="single"/>
        </w:rPr>
        <w:t>224</w:t>
      </w:r>
    </w:p>
    <w:p w14:paraId="51DE7573" w14:textId="77777777" w:rsidR="0010369C" w:rsidRDefault="008E43AE">
      <w:pPr>
        <w:pStyle w:val="ListParagraph"/>
        <w:numPr>
          <w:ilvl w:val="3"/>
          <w:numId w:val="80"/>
        </w:numPr>
        <w:tabs>
          <w:tab w:val="left" w:pos="2365"/>
          <w:tab w:val="left" w:pos="2366"/>
          <w:tab w:val="left" w:leader="dot" w:pos="8933"/>
        </w:tabs>
        <w:ind w:left="2365" w:right="193" w:hanging="852"/>
        <w:rPr>
          <w:sz w:val="24"/>
        </w:rPr>
      </w:pPr>
      <w:r>
        <w:rPr>
          <w:sz w:val="24"/>
          <w:u w:val="single"/>
        </w:rPr>
        <w:t>MOFCOM failed to consider all of the relevant evidence on the record</w:t>
      </w:r>
      <w:r>
        <w:rPr>
          <w:sz w:val="24"/>
        </w:rPr>
        <w:t xml:space="preserve"> </w:t>
      </w:r>
      <w:r>
        <w:rPr>
          <w:sz w:val="24"/>
          <w:u w:val="single"/>
        </w:rPr>
        <w:t>relating to price undercutting and price depression</w:t>
      </w:r>
      <w:r>
        <w:rPr>
          <w:rFonts w:ascii="Times New Roman"/>
          <w:sz w:val="24"/>
        </w:rPr>
        <w:tab/>
      </w:r>
      <w:r>
        <w:rPr>
          <w:spacing w:val="-4"/>
          <w:sz w:val="24"/>
          <w:u w:val="single"/>
        </w:rPr>
        <w:t>225</w:t>
      </w:r>
    </w:p>
    <w:p w14:paraId="51DE7574" w14:textId="77777777" w:rsidR="0010369C" w:rsidRDefault="008E43AE">
      <w:pPr>
        <w:pStyle w:val="ListParagraph"/>
        <w:numPr>
          <w:ilvl w:val="3"/>
          <w:numId w:val="80"/>
        </w:numPr>
        <w:tabs>
          <w:tab w:val="left" w:pos="2365"/>
          <w:tab w:val="left" w:pos="2366"/>
          <w:tab w:val="left" w:leader="dot" w:pos="8933"/>
        </w:tabs>
        <w:spacing w:before="121"/>
        <w:ind w:left="2365" w:right="193" w:hanging="852"/>
        <w:rPr>
          <w:sz w:val="24"/>
        </w:rPr>
      </w:pPr>
      <w:r>
        <w:rPr>
          <w:sz w:val="24"/>
          <w:u w:val="single"/>
        </w:rPr>
        <w:t>MOFCOM did not adequately examine year‐to‐year p</w:t>
      </w:r>
      <w:r>
        <w:rPr>
          <w:sz w:val="24"/>
          <w:u w:val="single"/>
        </w:rPr>
        <w:t>rice fluctuations</w:t>
      </w:r>
      <w:r>
        <w:rPr>
          <w:sz w:val="24"/>
        </w:rPr>
        <w:t xml:space="preserve"> </w:t>
      </w:r>
      <w:r>
        <w:rPr>
          <w:sz w:val="24"/>
          <w:u w:val="single"/>
        </w:rPr>
        <w:t>occurring</w:t>
      </w:r>
      <w:r>
        <w:rPr>
          <w:spacing w:val="-6"/>
          <w:sz w:val="24"/>
          <w:u w:val="single"/>
        </w:rPr>
        <w:t xml:space="preserve"> </w:t>
      </w:r>
      <w:r>
        <w:rPr>
          <w:sz w:val="24"/>
          <w:u w:val="single"/>
        </w:rPr>
        <w:t>during</w:t>
      </w:r>
      <w:r>
        <w:rPr>
          <w:spacing w:val="-2"/>
          <w:sz w:val="24"/>
          <w:u w:val="single"/>
        </w:rPr>
        <w:t xml:space="preserve"> </w:t>
      </w:r>
      <w:r>
        <w:rPr>
          <w:sz w:val="24"/>
          <w:u w:val="single"/>
        </w:rPr>
        <w:t>the</w:t>
      </w:r>
      <w:r>
        <w:rPr>
          <w:spacing w:val="-2"/>
          <w:sz w:val="24"/>
          <w:u w:val="single"/>
        </w:rPr>
        <w:t xml:space="preserve"> </w:t>
      </w:r>
      <w:r>
        <w:rPr>
          <w:sz w:val="24"/>
          <w:u w:val="single"/>
        </w:rPr>
        <w:t>Injury</w:t>
      </w:r>
      <w:r>
        <w:rPr>
          <w:spacing w:val="-3"/>
          <w:sz w:val="24"/>
          <w:u w:val="single"/>
        </w:rPr>
        <w:t xml:space="preserve"> </w:t>
      </w:r>
      <w:r>
        <w:rPr>
          <w:spacing w:val="-5"/>
          <w:sz w:val="24"/>
          <w:u w:val="single"/>
        </w:rPr>
        <w:t>POI</w:t>
      </w:r>
      <w:r>
        <w:rPr>
          <w:rFonts w:ascii="Times New Roman" w:hAnsi="Times New Roman"/>
          <w:sz w:val="24"/>
        </w:rPr>
        <w:tab/>
      </w:r>
      <w:r>
        <w:rPr>
          <w:spacing w:val="-5"/>
          <w:sz w:val="24"/>
          <w:u w:val="single"/>
        </w:rPr>
        <w:t>227</w:t>
      </w:r>
    </w:p>
    <w:p w14:paraId="51DE7575" w14:textId="77777777" w:rsidR="0010369C" w:rsidRDefault="008E43AE">
      <w:pPr>
        <w:pStyle w:val="Heading4"/>
        <w:numPr>
          <w:ilvl w:val="2"/>
          <w:numId w:val="80"/>
        </w:numPr>
        <w:tabs>
          <w:tab w:val="left" w:pos="1939"/>
          <w:tab w:val="left" w:pos="1940"/>
          <w:tab w:val="left" w:leader="dot" w:pos="8933"/>
        </w:tabs>
        <w:spacing w:before="119"/>
        <w:ind w:left="1940"/>
      </w:pPr>
      <w:r>
        <w:rPr>
          <w:spacing w:val="-2"/>
        </w:rPr>
        <w:t>Conclusion</w:t>
      </w:r>
      <w:r>
        <w:rPr>
          <w:rFonts w:ascii="Times New Roman"/>
          <w:b w:val="0"/>
        </w:rPr>
        <w:tab/>
      </w:r>
      <w:r>
        <w:rPr>
          <w:spacing w:val="-5"/>
        </w:rPr>
        <w:t>228</w:t>
      </w:r>
    </w:p>
    <w:p w14:paraId="51DE7576" w14:textId="77777777" w:rsidR="0010369C" w:rsidRDefault="0010369C">
      <w:pPr>
        <w:sectPr w:rsidR="0010369C">
          <w:pgSz w:w="11910" w:h="16840"/>
          <w:pgMar w:top="880" w:right="1220" w:bottom="980" w:left="1180" w:header="569" w:footer="788" w:gutter="0"/>
          <w:cols w:space="720"/>
        </w:sectPr>
      </w:pPr>
    </w:p>
    <w:p w14:paraId="51DE7577" w14:textId="77777777" w:rsidR="0010369C" w:rsidRDefault="008E43AE">
      <w:pPr>
        <w:tabs>
          <w:tab w:val="left" w:pos="6425"/>
        </w:tabs>
        <w:ind w:left="238"/>
        <w:rPr>
          <w:sz w:val="20"/>
        </w:rPr>
      </w:pPr>
      <w:r>
        <w:rPr>
          <w:i/>
          <w:sz w:val="20"/>
        </w:rPr>
        <w:lastRenderedPageBreak/>
        <w:t>China</w:t>
      </w:r>
      <w:r>
        <w:rPr>
          <w:i/>
          <w:spacing w:val="-5"/>
          <w:sz w:val="20"/>
        </w:rPr>
        <w:t xml:space="preserve"> </w:t>
      </w:r>
      <w:r>
        <w:rPr>
          <w:i/>
          <w:sz w:val="20"/>
        </w:rPr>
        <w:t>–</w:t>
      </w:r>
      <w:r>
        <w:rPr>
          <w:i/>
          <w:spacing w:val="-5"/>
          <w:sz w:val="20"/>
        </w:rPr>
        <w:t xml:space="preserve"> </w:t>
      </w:r>
      <w:r>
        <w:rPr>
          <w:i/>
          <w:sz w:val="20"/>
        </w:rPr>
        <w:t>Anti‐Dumping</w:t>
      </w:r>
      <w:r>
        <w:rPr>
          <w:i/>
          <w:spacing w:val="-4"/>
          <w:sz w:val="20"/>
        </w:rPr>
        <w:t xml:space="preserve"> </w:t>
      </w:r>
      <w:r>
        <w:rPr>
          <w:i/>
          <w:sz w:val="20"/>
        </w:rPr>
        <w:t>and</w:t>
      </w:r>
      <w:r>
        <w:rPr>
          <w:i/>
          <w:spacing w:val="-5"/>
          <w:sz w:val="20"/>
        </w:rPr>
        <w:t xml:space="preserve"> </w:t>
      </w:r>
      <w:r>
        <w:rPr>
          <w:i/>
          <w:sz w:val="20"/>
        </w:rPr>
        <w:t>Countervailing</w:t>
      </w:r>
      <w:r>
        <w:rPr>
          <w:i/>
          <w:spacing w:val="-5"/>
          <w:sz w:val="20"/>
        </w:rPr>
        <w:t xml:space="preserve"> </w:t>
      </w:r>
      <w:r>
        <w:rPr>
          <w:i/>
          <w:sz w:val="20"/>
        </w:rPr>
        <w:t>Duty</w:t>
      </w:r>
      <w:r>
        <w:rPr>
          <w:i/>
          <w:spacing w:val="-4"/>
          <w:sz w:val="20"/>
        </w:rPr>
        <w:t xml:space="preserve"> </w:t>
      </w:r>
      <w:r>
        <w:rPr>
          <w:i/>
          <w:spacing w:val="-2"/>
          <w:sz w:val="20"/>
        </w:rPr>
        <w:t>Measures</w:t>
      </w:r>
      <w:r>
        <w:rPr>
          <w:i/>
          <w:sz w:val="20"/>
        </w:rPr>
        <w:tab/>
      </w:r>
      <w:r>
        <w:rPr>
          <w:sz w:val="20"/>
        </w:rPr>
        <w:t>Australia's</w:t>
      </w:r>
      <w:r>
        <w:rPr>
          <w:spacing w:val="-6"/>
          <w:sz w:val="20"/>
        </w:rPr>
        <w:t xml:space="preserve"> </w:t>
      </w:r>
      <w:r>
        <w:rPr>
          <w:sz w:val="20"/>
        </w:rPr>
        <w:t>First</w:t>
      </w:r>
      <w:r>
        <w:rPr>
          <w:spacing w:val="-2"/>
          <w:sz w:val="20"/>
        </w:rPr>
        <w:t xml:space="preserve"> </w:t>
      </w:r>
      <w:r>
        <w:rPr>
          <w:sz w:val="20"/>
        </w:rPr>
        <w:t>Written</w:t>
      </w:r>
      <w:r>
        <w:rPr>
          <w:spacing w:val="-2"/>
          <w:sz w:val="20"/>
        </w:rPr>
        <w:t xml:space="preserve"> Submission</w:t>
      </w:r>
    </w:p>
    <w:p w14:paraId="51DE7578" w14:textId="77777777" w:rsidR="0010369C" w:rsidRDefault="008E43AE">
      <w:pPr>
        <w:tabs>
          <w:tab w:val="left" w:pos="8227"/>
        </w:tabs>
        <w:spacing w:before="1"/>
        <w:ind w:left="239"/>
        <w:rPr>
          <w:sz w:val="20"/>
        </w:rPr>
      </w:pPr>
      <w:r>
        <w:rPr>
          <w:i/>
          <w:sz w:val="20"/>
        </w:rPr>
        <w:t>on</w:t>
      </w:r>
      <w:r>
        <w:rPr>
          <w:i/>
          <w:spacing w:val="-1"/>
          <w:sz w:val="20"/>
        </w:rPr>
        <w:t xml:space="preserve"> </w:t>
      </w:r>
      <w:r>
        <w:rPr>
          <w:i/>
          <w:sz w:val="20"/>
        </w:rPr>
        <w:t>Wine</w:t>
      </w:r>
      <w:r>
        <w:rPr>
          <w:i/>
          <w:spacing w:val="-1"/>
          <w:sz w:val="20"/>
        </w:rPr>
        <w:t xml:space="preserve"> </w:t>
      </w:r>
      <w:r>
        <w:rPr>
          <w:i/>
          <w:sz w:val="20"/>
        </w:rPr>
        <w:t>from</w:t>
      </w:r>
      <w:r>
        <w:rPr>
          <w:i/>
          <w:spacing w:val="-3"/>
          <w:sz w:val="20"/>
        </w:rPr>
        <w:t xml:space="preserve"> </w:t>
      </w:r>
      <w:r>
        <w:rPr>
          <w:i/>
          <w:sz w:val="20"/>
        </w:rPr>
        <w:t>Australia</w:t>
      </w:r>
      <w:r>
        <w:rPr>
          <w:i/>
          <w:spacing w:val="-1"/>
          <w:sz w:val="20"/>
        </w:rPr>
        <w:t xml:space="preserve"> </w:t>
      </w:r>
      <w:r>
        <w:rPr>
          <w:spacing w:val="-2"/>
          <w:sz w:val="20"/>
        </w:rPr>
        <w:t>(DS602)</w:t>
      </w:r>
      <w:r>
        <w:rPr>
          <w:sz w:val="20"/>
        </w:rPr>
        <w:tab/>
        <w:t>29</w:t>
      </w:r>
      <w:r>
        <w:rPr>
          <w:spacing w:val="-1"/>
          <w:sz w:val="20"/>
        </w:rPr>
        <w:t xml:space="preserve"> </w:t>
      </w:r>
      <w:r>
        <w:rPr>
          <w:sz w:val="20"/>
        </w:rPr>
        <w:t>April</w:t>
      </w:r>
      <w:r>
        <w:rPr>
          <w:spacing w:val="-2"/>
          <w:sz w:val="20"/>
        </w:rPr>
        <w:t xml:space="preserve"> </w:t>
      </w:r>
      <w:r>
        <w:rPr>
          <w:spacing w:val="-4"/>
          <w:sz w:val="20"/>
        </w:rPr>
        <w:t>2022</w:t>
      </w:r>
    </w:p>
    <w:p w14:paraId="51DE7579" w14:textId="77777777" w:rsidR="0010369C" w:rsidRDefault="008E43AE">
      <w:pPr>
        <w:pStyle w:val="ListParagraph"/>
        <w:numPr>
          <w:ilvl w:val="1"/>
          <w:numId w:val="80"/>
        </w:numPr>
        <w:tabs>
          <w:tab w:val="left" w:pos="1513"/>
          <w:tab w:val="left" w:pos="1514"/>
          <w:tab w:val="left" w:leader="dot" w:pos="8933"/>
        </w:tabs>
        <w:spacing w:before="34"/>
        <w:ind w:left="1513" w:right="195"/>
        <w:jc w:val="both"/>
        <w:rPr>
          <w:b/>
          <w:sz w:val="24"/>
        </w:rPr>
      </w:pPr>
      <w:r>
        <w:rPr>
          <w:b/>
          <w:sz w:val="24"/>
        </w:rPr>
        <w:t>MOFCOM'</w:t>
      </w:r>
      <w:r>
        <w:rPr>
          <w:b/>
          <w:sz w:val="19"/>
        </w:rPr>
        <w:t>S</w:t>
      </w:r>
      <w:r>
        <w:rPr>
          <w:b/>
          <w:spacing w:val="-5"/>
          <w:sz w:val="19"/>
        </w:rPr>
        <w:t xml:space="preserve"> </w:t>
      </w:r>
      <w:r>
        <w:rPr>
          <w:b/>
          <w:sz w:val="19"/>
        </w:rPr>
        <w:t>EVALUATION</w:t>
      </w:r>
      <w:r>
        <w:rPr>
          <w:b/>
          <w:spacing w:val="-5"/>
          <w:sz w:val="19"/>
        </w:rPr>
        <w:t xml:space="preserve"> </w:t>
      </w:r>
      <w:r>
        <w:rPr>
          <w:b/>
          <w:sz w:val="19"/>
        </w:rPr>
        <w:t>OF</w:t>
      </w:r>
      <w:r>
        <w:rPr>
          <w:b/>
          <w:spacing w:val="-4"/>
          <w:sz w:val="19"/>
        </w:rPr>
        <w:t xml:space="preserve"> </w:t>
      </w:r>
      <w:r>
        <w:rPr>
          <w:b/>
          <w:sz w:val="19"/>
        </w:rPr>
        <w:t>THE</w:t>
      </w:r>
      <w:r>
        <w:rPr>
          <w:b/>
          <w:spacing w:val="-4"/>
          <w:sz w:val="19"/>
        </w:rPr>
        <w:t xml:space="preserve"> </w:t>
      </w:r>
      <w:r>
        <w:rPr>
          <w:b/>
          <w:sz w:val="19"/>
        </w:rPr>
        <w:t>ECONOMIC</w:t>
      </w:r>
      <w:r>
        <w:rPr>
          <w:b/>
          <w:spacing w:val="-4"/>
          <w:sz w:val="19"/>
        </w:rPr>
        <w:t xml:space="preserve"> </w:t>
      </w:r>
      <w:r>
        <w:rPr>
          <w:b/>
          <w:sz w:val="19"/>
        </w:rPr>
        <w:t>FACTORS</w:t>
      </w:r>
      <w:r>
        <w:rPr>
          <w:b/>
          <w:spacing w:val="-4"/>
          <w:sz w:val="19"/>
        </w:rPr>
        <w:t xml:space="preserve"> </w:t>
      </w:r>
      <w:r>
        <w:rPr>
          <w:b/>
          <w:sz w:val="19"/>
        </w:rPr>
        <w:t>BEARING</w:t>
      </w:r>
      <w:r>
        <w:rPr>
          <w:b/>
          <w:spacing w:val="-5"/>
          <w:sz w:val="19"/>
        </w:rPr>
        <w:t xml:space="preserve"> </w:t>
      </w:r>
      <w:r>
        <w:rPr>
          <w:b/>
          <w:sz w:val="19"/>
        </w:rPr>
        <w:t>ON</w:t>
      </w:r>
      <w:r>
        <w:rPr>
          <w:b/>
          <w:spacing w:val="-3"/>
          <w:sz w:val="19"/>
        </w:rPr>
        <w:t xml:space="preserve"> </w:t>
      </w:r>
      <w:r>
        <w:rPr>
          <w:b/>
          <w:sz w:val="19"/>
        </w:rPr>
        <w:t>THE</w:t>
      </w:r>
      <w:r>
        <w:rPr>
          <w:b/>
          <w:spacing w:val="-3"/>
          <w:sz w:val="19"/>
        </w:rPr>
        <w:t xml:space="preserve"> </w:t>
      </w:r>
      <w:r>
        <w:rPr>
          <w:b/>
          <w:sz w:val="19"/>
        </w:rPr>
        <w:t>STATE</w:t>
      </w:r>
      <w:r>
        <w:rPr>
          <w:b/>
          <w:spacing w:val="-5"/>
          <w:sz w:val="19"/>
        </w:rPr>
        <w:t xml:space="preserve"> </w:t>
      </w:r>
      <w:r>
        <w:rPr>
          <w:b/>
          <w:sz w:val="19"/>
        </w:rPr>
        <w:t>OF</w:t>
      </w:r>
      <w:r>
        <w:rPr>
          <w:b/>
          <w:spacing w:val="-4"/>
          <w:sz w:val="19"/>
        </w:rPr>
        <w:t xml:space="preserve"> </w:t>
      </w:r>
      <w:r>
        <w:rPr>
          <w:b/>
          <w:sz w:val="19"/>
        </w:rPr>
        <w:t>THE</w:t>
      </w:r>
      <w:r>
        <w:rPr>
          <w:b/>
          <w:spacing w:val="-3"/>
          <w:sz w:val="19"/>
        </w:rPr>
        <w:t xml:space="preserve"> </w:t>
      </w:r>
      <w:r>
        <w:rPr>
          <w:b/>
          <w:sz w:val="24"/>
        </w:rPr>
        <w:t>C</w:t>
      </w:r>
      <w:r>
        <w:rPr>
          <w:b/>
          <w:sz w:val="19"/>
        </w:rPr>
        <w:t xml:space="preserve">HINESE WINE INDUSTRY IS INCONSISTENT WITH </w:t>
      </w:r>
      <w:r>
        <w:rPr>
          <w:b/>
          <w:sz w:val="24"/>
        </w:rPr>
        <w:t>A</w:t>
      </w:r>
      <w:r>
        <w:rPr>
          <w:b/>
          <w:sz w:val="19"/>
        </w:rPr>
        <w:t xml:space="preserve">RTICLES </w:t>
      </w:r>
      <w:r>
        <w:rPr>
          <w:b/>
          <w:sz w:val="24"/>
        </w:rPr>
        <w:t xml:space="preserve">3.1 </w:t>
      </w:r>
      <w:r>
        <w:rPr>
          <w:b/>
          <w:sz w:val="19"/>
        </w:rPr>
        <w:t xml:space="preserve">AND </w:t>
      </w:r>
      <w:r>
        <w:rPr>
          <w:b/>
          <w:sz w:val="24"/>
        </w:rPr>
        <w:t xml:space="preserve">3.4 </w:t>
      </w:r>
      <w:r>
        <w:rPr>
          <w:b/>
          <w:sz w:val="19"/>
        </w:rPr>
        <w:t xml:space="preserve">OF THE </w:t>
      </w:r>
      <w:r>
        <w:rPr>
          <w:b/>
          <w:sz w:val="24"/>
        </w:rPr>
        <w:t>A</w:t>
      </w:r>
      <w:r>
        <w:rPr>
          <w:b/>
          <w:sz w:val="19"/>
        </w:rPr>
        <w:t>NTI</w:t>
      </w:r>
      <w:r>
        <w:rPr>
          <w:b/>
          <w:sz w:val="24"/>
        </w:rPr>
        <w:t>‐D</w:t>
      </w:r>
      <w:r>
        <w:rPr>
          <w:b/>
          <w:sz w:val="19"/>
        </w:rPr>
        <w:t xml:space="preserve">UMPING </w:t>
      </w:r>
      <w:r>
        <w:rPr>
          <w:b/>
          <w:spacing w:val="-2"/>
          <w:sz w:val="24"/>
        </w:rPr>
        <w:t>A</w:t>
      </w:r>
      <w:r>
        <w:rPr>
          <w:b/>
          <w:spacing w:val="-2"/>
          <w:sz w:val="19"/>
        </w:rPr>
        <w:t>GREEMENT</w:t>
      </w:r>
      <w:r>
        <w:rPr>
          <w:rFonts w:ascii="Times New Roman" w:hAnsi="Times New Roman"/>
          <w:sz w:val="19"/>
        </w:rPr>
        <w:tab/>
      </w:r>
      <w:r>
        <w:rPr>
          <w:b/>
          <w:spacing w:val="-5"/>
          <w:sz w:val="24"/>
        </w:rPr>
        <w:t>228</w:t>
      </w:r>
    </w:p>
    <w:p w14:paraId="51DE757A" w14:textId="77777777" w:rsidR="0010369C" w:rsidRDefault="008E43AE">
      <w:pPr>
        <w:pStyle w:val="Heading4"/>
        <w:numPr>
          <w:ilvl w:val="2"/>
          <w:numId w:val="80"/>
        </w:numPr>
        <w:tabs>
          <w:tab w:val="left" w:pos="1939"/>
          <w:tab w:val="left" w:pos="1940"/>
          <w:tab w:val="left" w:leader="dot" w:pos="8933"/>
        </w:tabs>
        <w:spacing w:before="120"/>
        <w:ind w:left="1940"/>
      </w:pPr>
      <w:r>
        <w:rPr>
          <w:spacing w:val="-2"/>
        </w:rPr>
        <w:t>Introduction</w:t>
      </w:r>
      <w:r>
        <w:rPr>
          <w:rFonts w:ascii="Times New Roman"/>
          <w:b w:val="0"/>
        </w:rPr>
        <w:tab/>
      </w:r>
      <w:r>
        <w:rPr>
          <w:spacing w:val="-5"/>
        </w:rPr>
        <w:t>228</w:t>
      </w:r>
    </w:p>
    <w:p w14:paraId="51DE757B" w14:textId="77777777" w:rsidR="0010369C" w:rsidRDefault="008E43AE">
      <w:pPr>
        <w:pStyle w:val="Heading4"/>
        <w:numPr>
          <w:ilvl w:val="2"/>
          <w:numId w:val="80"/>
        </w:numPr>
        <w:tabs>
          <w:tab w:val="left" w:pos="1939"/>
          <w:tab w:val="left" w:pos="1940"/>
          <w:tab w:val="left" w:leader="dot" w:pos="8933"/>
        </w:tabs>
        <w:spacing w:before="120"/>
        <w:ind w:left="1939" w:right="193"/>
      </w:pPr>
      <w:r>
        <w:t>MOFCOM's errors in defining the domestic industry under Article 4.1 are fatal to MOFCOM's Article 3.4 analysis</w:t>
      </w:r>
      <w:r>
        <w:rPr>
          <w:rFonts w:ascii="Times New Roman"/>
          <w:b w:val="0"/>
        </w:rPr>
        <w:tab/>
      </w:r>
      <w:r>
        <w:rPr>
          <w:spacing w:val="-4"/>
        </w:rPr>
        <w:t>229</w:t>
      </w:r>
    </w:p>
    <w:p w14:paraId="51DE757C" w14:textId="77777777" w:rsidR="0010369C" w:rsidRDefault="008E43AE">
      <w:pPr>
        <w:pStyle w:val="Heading4"/>
        <w:numPr>
          <w:ilvl w:val="2"/>
          <w:numId w:val="80"/>
        </w:numPr>
        <w:tabs>
          <w:tab w:val="left" w:pos="1939"/>
          <w:tab w:val="left" w:pos="1940"/>
          <w:tab w:val="left" w:leader="dot" w:pos="8933"/>
        </w:tabs>
        <w:spacing w:before="120"/>
        <w:ind w:left="1939" w:right="194"/>
      </w:pPr>
      <w:r>
        <w:t>The evaluation of economic factors required under Article 3.4 of the Anti‐ Dumping Agreement</w:t>
      </w:r>
      <w:r>
        <w:rPr>
          <w:rFonts w:ascii="Times New Roman" w:hAnsi="Times New Roman"/>
          <w:b w:val="0"/>
        </w:rPr>
        <w:tab/>
      </w:r>
      <w:r>
        <w:rPr>
          <w:spacing w:val="-4"/>
        </w:rPr>
        <w:t>229</w:t>
      </w:r>
    </w:p>
    <w:p w14:paraId="51DE757D" w14:textId="77777777" w:rsidR="0010369C" w:rsidRDefault="008E43AE">
      <w:pPr>
        <w:pStyle w:val="Heading4"/>
        <w:numPr>
          <w:ilvl w:val="2"/>
          <w:numId w:val="80"/>
        </w:numPr>
        <w:tabs>
          <w:tab w:val="left" w:pos="1939"/>
          <w:tab w:val="left" w:pos="1940"/>
        </w:tabs>
        <w:spacing w:before="120"/>
        <w:ind w:left="1939" w:right="192"/>
      </w:pPr>
      <w:r>
        <w:t>MOFCOM's</w:t>
      </w:r>
      <w:r>
        <w:rPr>
          <w:spacing w:val="32"/>
        </w:rPr>
        <w:t xml:space="preserve"> </w:t>
      </w:r>
      <w:r>
        <w:t>evaluation</w:t>
      </w:r>
      <w:r>
        <w:rPr>
          <w:spacing w:val="33"/>
        </w:rPr>
        <w:t xml:space="preserve"> </w:t>
      </w:r>
      <w:r>
        <w:t>of</w:t>
      </w:r>
      <w:r>
        <w:rPr>
          <w:spacing w:val="33"/>
        </w:rPr>
        <w:t xml:space="preserve"> </w:t>
      </w:r>
      <w:r>
        <w:t>the</w:t>
      </w:r>
      <w:r>
        <w:rPr>
          <w:spacing w:val="33"/>
        </w:rPr>
        <w:t xml:space="preserve"> </w:t>
      </w:r>
      <w:r>
        <w:t>factors</w:t>
      </w:r>
      <w:r>
        <w:rPr>
          <w:spacing w:val="34"/>
        </w:rPr>
        <w:t xml:space="preserve"> </w:t>
      </w:r>
      <w:r>
        <w:t>having</w:t>
      </w:r>
      <w:r>
        <w:rPr>
          <w:spacing w:val="33"/>
        </w:rPr>
        <w:t xml:space="preserve"> </w:t>
      </w:r>
      <w:r>
        <w:t>a</w:t>
      </w:r>
      <w:r>
        <w:rPr>
          <w:spacing w:val="34"/>
        </w:rPr>
        <w:t xml:space="preserve"> </w:t>
      </w:r>
      <w:r>
        <w:t>bearing</w:t>
      </w:r>
      <w:r>
        <w:rPr>
          <w:spacing w:val="33"/>
        </w:rPr>
        <w:t xml:space="preserve"> </w:t>
      </w:r>
      <w:r>
        <w:t>on</w:t>
      </w:r>
      <w:r>
        <w:rPr>
          <w:spacing w:val="33"/>
        </w:rPr>
        <w:t xml:space="preserve"> </w:t>
      </w:r>
      <w:r>
        <w:t>the</w:t>
      </w:r>
      <w:r>
        <w:rPr>
          <w:spacing w:val="33"/>
        </w:rPr>
        <w:t xml:space="preserve"> </w:t>
      </w:r>
      <w:r>
        <w:t>domestic industry</w:t>
      </w:r>
      <w:r>
        <w:rPr>
          <w:spacing w:val="-3"/>
        </w:rPr>
        <w:t xml:space="preserve"> </w:t>
      </w:r>
      <w:r>
        <w:t>does</w:t>
      </w:r>
      <w:r>
        <w:rPr>
          <w:spacing w:val="-2"/>
        </w:rPr>
        <w:t xml:space="preserve"> </w:t>
      </w:r>
      <w:r>
        <w:t>not</w:t>
      </w:r>
      <w:r>
        <w:rPr>
          <w:spacing w:val="-3"/>
        </w:rPr>
        <w:t xml:space="preserve"> </w:t>
      </w:r>
      <w:r>
        <w:t>provide</w:t>
      </w:r>
      <w:r>
        <w:rPr>
          <w:spacing w:val="-3"/>
        </w:rPr>
        <w:t xml:space="preserve"> </w:t>
      </w:r>
      <w:r>
        <w:t>a</w:t>
      </w:r>
      <w:r>
        <w:rPr>
          <w:spacing w:val="-2"/>
        </w:rPr>
        <w:t xml:space="preserve"> </w:t>
      </w:r>
      <w:r>
        <w:t>satisfactory</w:t>
      </w:r>
      <w:r>
        <w:rPr>
          <w:spacing w:val="-2"/>
        </w:rPr>
        <w:t xml:space="preserve"> </w:t>
      </w:r>
      <w:r>
        <w:t>basis</w:t>
      </w:r>
      <w:r>
        <w:rPr>
          <w:spacing w:val="-3"/>
        </w:rPr>
        <w:t xml:space="preserve"> </w:t>
      </w:r>
      <w:r>
        <w:t>for</w:t>
      </w:r>
      <w:r>
        <w:rPr>
          <w:spacing w:val="-2"/>
        </w:rPr>
        <w:t xml:space="preserve"> </w:t>
      </w:r>
      <w:r>
        <w:t>the</w:t>
      </w:r>
      <w:r>
        <w:rPr>
          <w:spacing w:val="-2"/>
        </w:rPr>
        <w:t xml:space="preserve"> </w:t>
      </w:r>
      <w:r>
        <w:t>injury</w:t>
      </w:r>
      <w:r>
        <w:rPr>
          <w:spacing w:val="-3"/>
        </w:rPr>
        <w:t xml:space="preserve"> </w:t>
      </w:r>
      <w:r>
        <w:t>determination</w:t>
      </w:r>
    </w:p>
    <w:p w14:paraId="51DE757E" w14:textId="77777777" w:rsidR="0010369C" w:rsidRDefault="008E43AE">
      <w:pPr>
        <w:pStyle w:val="Heading4"/>
        <w:spacing w:before="0" w:line="293" w:lineRule="exact"/>
        <w:ind w:left="1999" w:firstLine="0"/>
        <w:jc w:val="left"/>
      </w:pPr>
      <w:r>
        <w:rPr>
          <w:spacing w:val="-2"/>
        </w:rPr>
        <w:t>.............................................................................................................230</w:t>
      </w:r>
    </w:p>
    <w:p w14:paraId="51DE757F" w14:textId="77777777" w:rsidR="0010369C" w:rsidRDefault="008E43AE">
      <w:pPr>
        <w:pStyle w:val="ListParagraph"/>
        <w:numPr>
          <w:ilvl w:val="3"/>
          <w:numId w:val="80"/>
        </w:numPr>
        <w:tabs>
          <w:tab w:val="left" w:pos="2365"/>
          <w:tab w:val="left" w:pos="2366"/>
          <w:tab w:val="left" w:leader="dot" w:pos="8933"/>
        </w:tabs>
        <w:ind w:left="2365" w:right="193" w:hanging="852"/>
        <w:jc w:val="both"/>
        <w:rPr>
          <w:sz w:val="24"/>
        </w:rPr>
      </w:pPr>
      <w:r>
        <w:rPr>
          <w:sz w:val="24"/>
          <w:u w:val="single"/>
        </w:rPr>
        <w:t>MOFCOM's evaluation was a mechanical exercise that did not</w:t>
      </w:r>
      <w:r>
        <w:rPr>
          <w:sz w:val="24"/>
        </w:rPr>
        <w:t xml:space="preserve"> </w:t>
      </w:r>
      <w:r>
        <w:rPr>
          <w:sz w:val="24"/>
          <w:u w:val="single"/>
        </w:rPr>
        <w:t>adequately examine the explanatory force Australian imports were</w:t>
      </w:r>
      <w:r>
        <w:rPr>
          <w:sz w:val="24"/>
        </w:rPr>
        <w:t xml:space="preserve"> </w:t>
      </w:r>
      <w:r>
        <w:rPr>
          <w:sz w:val="24"/>
          <w:u w:val="single"/>
        </w:rPr>
        <w:t>alleged</w:t>
      </w:r>
      <w:r>
        <w:rPr>
          <w:spacing w:val="-3"/>
          <w:sz w:val="24"/>
          <w:u w:val="single"/>
        </w:rPr>
        <w:t xml:space="preserve"> </w:t>
      </w:r>
      <w:r>
        <w:rPr>
          <w:sz w:val="24"/>
          <w:u w:val="single"/>
        </w:rPr>
        <w:t>to</w:t>
      </w:r>
      <w:r>
        <w:rPr>
          <w:spacing w:val="-2"/>
          <w:sz w:val="24"/>
          <w:u w:val="single"/>
        </w:rPr>
        <w:t xml:space="preserve"> </w:t>
      </w:r>
      <w:r>
        <w:rPr>
          <w:sz w:val="24"/>
          <w:u w:val="single"/>
        </w:rPr>
        <w:t>have</w:t>
      </w:r>
      <w:r>
        <w:rPr>
          <w:spacing w:val="-2"/>
          <w:sz w:val="24"/>
          <w:u w:val="single"/>
        </w:rPr>
        <w:t xml:space="preserve"> </w:t>
      </w:r>
      <w:r>
        <w:rPr>
          <w:sz w:val="24"/>
          <w:u w:val="single"/>
        </w:rPr>
        <w:t>on</w:t>
      </w:r>
      <w:r>
        <w:rPr>
          <w:spacing w:val="-3"/>
          <w:sz w:val="24"/>
          <w:u w:val="single"/>
        </w:rPr>
        <w:t xml:space="preserve"> </w:t>
      </w:r>
      <w:r>
        <w:rPr>
          <w:sz w:val="24"/>
          <w:u w:val="single"/>
        </w:rPr>
        <w:t>the</w:t>
      </w:r>
      <w:r>
        <w:rPr>
          <w:spacing w:val="-2"/>
          <w:sz w:val="24"/>
          <w:u w:val="single"/>
        </w:rPr>
        <w:t xml:space="preserve"> </w:t>
      </w:r>
      <w:r>
        <w:rPr>
          <w:sz w:val="24"/>
          <w:u w:val="single"/>
        </w:rPr>
        <w:t>domestic</w:t>
      </w:r>
      <w:r>
        <w:rPr>
          <w:spacing w:val="-1"/>
          <w:sz w:val="24"/>
          <w:u w:val="single"/>
        </w:rPr>
        <w:t xml:space="preserve"> </w:t>
      </w:r>
      <w:r>
        <w:rPr>
          <w:spacing w:val="-2"/>
          <w:sz w:val="24"/>
          <w:u w:val="single"/>
        </w:rPr>
        <w:t>industry</w:t>
      </w:r>
      <w:r>
        <w:rPr>
          <w:rFonts w:ascii="Times New Roman"/>
          <w:sz w:val="24"/>
        </w:rPr>
        <w:tab/>
      </w:r>
      <w:r>
        <w:rPr>
          <w:spacing w:val="-5"/>
          <w:sz w:val="24"/>
          <w:u w:val="single"/>
        </w:rPr>
        <w:t>231</w:t>
      </w:r>
    </w:p>
    <w:p w14:paraId="51DE7580" w14:textId="77777777" w:rsidR="0010369C" w:rsidRDefault="008E43AE">
      <w:pPr>
        <w:pStyle w:val="ListParagraph"/>
        <w:numPr>
          <w:ilvl w:val="3"/>
          <w:numId w:val="80"/>
        </w:numPr>
        <w:tabs>
          <w:tab w:val="left" w:pos="2365"/>
          <w:tab w:val="left" w:pos="2366"/>
          <w:tab w:val="left" w:leader="dot" w:pos="8933"/>
        </w:tabs>
        <w:spacing w:before="121"/>
        <w:ind w:left="2365" w:right="195" w:hanging="852"/>
        <w:jc w:val="both"/>
        <w:rPr>
          <w:sz w:val="24"/>
        </w:rPr>
      </w:pPr>
      <w:r>
        <w:rPr>
          <w:sz w:val="24"/>
          <w:u w:val="single"/>
        </w:rPr>
        <w:t>MOFCOM failed to adequately consider factors affecting domestic</w:t>
      </w:r>
      <w:r>
        <w:rPr>
          <w:sz w:val="24"/>
        </w:rPr>
        <w:t xml:space="preserve"> </w:t>
      </w:r>
      <w:r>
        <w:rPr>
          <w:sz w:val="24"/>
          <w:u w:val="single"/>
        </w:rPr>
        <w:t>prices</w:t>
      </w:r>
      <w:r>
        <w:rPr>
          <w:spacing w:val="-20"/>
          <w:sz w:val="24"/>
          <w:u w:val="single"/>
        </w:rPr>
        <w:t xml:space="preserve"> </w:t>
      </w:r>
      <w:r>
        <w:rPr>
          <w:rFonts w:ascii="Times New Roman"/>
          <w:sz w:val="24"/>
        </w:rPr>
        <w:tab/>
      </w:r>
      <w:r>
        <w:rPr>
          <w:spacing w:val="-5"/>
          <w:sz w:val="24"/>
          <w:u w:val="single"/>
        </w:rPr>
        <w:t>234</w:t>
      </w:r>
    </w:p>
    <w:p w14:paraId="51DE7581" w14:textId="77777777" w:rsidR="0010369C" w:rsidRDefault="008E43AE">
      <w:pPr>
        <w:pStyle w:val="ListParagraph"/>
        <w:numPr>
          <w:ilvl w:val="4"/>
          <w:numId w:val="80"/>
        </w:numPr>
        <w:tabs>
          <w:tab w:val="left" w:pos="2790"/>
          <w:tab w:val="left" w:pos="2791"/>
          <w:tab w:val="left" w:leader="dot" w:pos="8933"/>
        </w:tabs>
        <w:spacing w:before="119"/>
        <w:ind w:hanging="852"/>
        <w:rPr>
          <w:i/>
          <w:sz w:val="24"/>
        </w:rPr>
      </w:pPr>
      <w:r>
        <w:rPr>
          <w:i/>
          <w:sz w:val="24"/>
        </w:rPr>
        <w:t>Market</w:t>
      </w:r>
      <w:r>
        <w:rPr>
          <w:i/>
          <w:spacing w:val="-3"/>
          <w:sz w:val="24"/>
        </w:rPr>
        <w:t xml:space="preserve"> </w:t>
      </w:r>
      <w:r>
        <w:rPr>
          <w:i/>
          <w:sz w:val="24"/>
        </w:rPr>
        <w:t>supply</w:t>
      </w:r>
      <w:r>
        <w:rPr>
          <w:i/>
          <w:spacing w:val="-3"/>
          <w:sz w:val="24"/>
        </w:rPr>
        <w:t xml:space="preserve"> </w:t>
      </w:r>
      <w:r>
        <w:rPr>
          <w:i/>
          <w:sz w:val="24"/>
        </w:rPr>
        <w:t>and</w:t>
      </w:r>
      <w:r>
        <w:rPr>
          <w:i/>
          <w:spacing w:val="-1"/>
          <w:sz w:val="24"/>
        </w:rPr>
        <w:t xml:space="preserve"> </w:t>
      </w:r>
      <w:r>
        <w:rPr>
          <w:i/>
          <w:spacing w:val="-2"/>
          <w:sz w:val="24"/>
        </w:rPr>
        <w:t>demand</w:t>
      </w:r>
      <w:r>
        <w:rPr>
          <w:rFonts w:ascii="Times New Roman"/>
          <w:sz w:val="24"/>
        </w:rPr>
        <w:tab/>
      </w:r>
      <w:r>
        <w:rPr>
          <w:i/>
          <w:spacing w:val="-5"/>
          <w:sz w:val="24"/>
        </w:rPr>
        <w:t>235</w:t>
      </w:r>
    </w:p>
    <w:p w14:paraId="51DE7582" w14:textId="77777777" w:rsidR="0010369C" w:rsidRDefault="008E43AE">
      <w:pPr>
        <w:pStyle w:val="ListParagraph"/>
        <w:numPr>
          <w:ilvl w:val="4"/>
          <w:numId w:val="80"/>
        </w:numPr>
        <w:tabs>
          <w:tab w:val="left" w:pos="2790"/>
          <w:tab w:val="left" w:pos="2791"/>
          <w:tab w:val="left" w:leader="dot" w:pos="8933"/>
        </w:tabs>
        <w:ind w:hanging="852"/>
        <w:rPr>
          <w:i/>
          <w:sz w:val="24"/>
        </w:rPr>
      </w:pPr>
      <w:r>
        <w:rPr>
          <w:i/>
          <w:sz w:val="24"/>
        </w:rPr>
        <w:t>Cost</w:t>
      </w:r>
      <w:r>
        <w:rPr>
          <w:i/>
          <w:spacing w:val="-1"/>
          <w:sz w:val="24"/>
        </w:rPr>
        <w:t xml:space="preserve"> </w:t>
      </w:r>
      <w:r>
        <w:rPr>
          <w:i/>
          <w:sz w:val="24"/>
        </w:rPr>
        <w:t>of</w:t>
      </w:r>
      <w:r>
        <w:rPr>
          <w:i/>
          <w:spacing w:val="-2"/>
          <w:sz w:val="24"/>
        </w:rPr>
        <w:t xml:space="preserve"> </w:t>
      </w:r>
      <w:r>
        <w:rPr>
          <w:i/>
          <w:sz w:val="24"/>
        </w:rPr>
        <w:t>raw</w:t>
      </w:r>
      <w:r>
        <w:rPr>
          <w:i/>
          <w:spacing w:val="-1"/>
          <w:sz w:val="24"/>
        </w:rPr>
        <w:t xml:space="preserve"> </w:t>
      </w:r>
      <w:r>
        <w:rPr>
          <w:i/>
          <w:spacing w:val="-2"/>
          <w:sz w:val="24"/>
        </w:rPr>
        <w:t>materials</w:t>
      </w:r>
      <w:r>
        <w:rPr>
          <w:rFonts w:ascii="Times New Roman"/>
          <w:sz w:val="24"/>
        </w:rPr>
        <w:tab/>
      </w:r>
      <w:r>
        <w:rPr>
          <w:i/>
          <w:spacing w:val="-5"/>
          <w:sz w:val="24"/>
        </w:rPr>
        <w:t>237</w:t>
      </w:r>
    </w:p>
    <w:p w14:paraId="51DE7583" w14:textId="77777777" w:rsidR="0010369C" w:rsidRDefault="008E43AE">
      <w:pPr>
        <w:pStyle w:val="ListParagraph"/>
        <w:numPr>
          <w:ilvl w:val="4"/>
          <w:numId w:val="80"/>
        </w:numPr>
        <w:tabs>
          <w:tab w:val="left" w:pos="2790"/>
          <w:tab w:val="left" w:pos="2791"/>
          <w:tab w:val="left" w:leader="dot" w:pos="8933"/>
        </w:tabs>
        <w:spacing w:before="121"/>
        <w:ind w:hanging="852"/>
        <w:rPr>
          <w:i/>
          <w:sz w:val="24"/>
        </w:rPr>
      </w:pPr>
      <w:r>
        <w:rPr>
          <w:i/>
          <w:spacing w:val="-2"/>
          <w:sz w:val="24"/>
        </w:rPr>
        <w:t>Conclusion</w:t>
      </w:r>
      <w:r>
        <w:rPr>
          <w:rFonts w:ascii="Times New Roman"/>
          <w:sz w:val="24"/>
        </w:rPr>
        <w:tab/>
      </w:r>
      <w:r>
        <w:rPr>
          <w:i/>
          <w:spacing w:val="-5"/>
          <w:sz w:val="24"/>
        </w:rPr>
        <w:t>237</w:t>
      </w:r>
    </w:p>
    <w:p w14:paraId="51DE7584" w14:textId="77777777" w:rsidR="0010369C" w:rsidRDefault="008E43AE">
      <w:pPr>
        <w:pStyle w:val="ListParagraph"/>
        <w:numPr>
          <w:ilvl w:val="3"/>
          <w:numId w:val="80"/>
        </w:numPr>
        <w:tabs>
          <w:tab w:val="left" w:pos="2365"/>
          <w:tab w:val="left" w:pos="2366"/>
          <w:tab w:val="left" w:leader="dot" w:pos="8933"/>
        </w:tabs>
        <w:spacing w:before="119"/>
        <w:ind w:left="2365" w:right="194" w:hanging="852"/>
        <w:rPr>
          <w:sz w:val="24"/>
        </w:rPr>
      </w:pPr>
      <w:r>
        <w:rPr>
          <w:sz w:val="24"/>
          <w:u w:val="single"/>
        </w:rPr>
        <w:t>There were errors and omissions in MOFCOM's evaluation of the data</w:t>
      </w:r>
      <w:r>
        <w:rPr>
          <w:sz w:val="24"/>
        </w:rPr>
        <w:t xml:space="preserve"> </w:t>
      </w:r>
      <w:r>
        <w:rPr>
          <w:sz w:val="24"/>
          <w:u w:val="single"/>
        </w:rPr>
        <w:t>relating</w:t>
      </w:r>
      <w:r>
        <w:rPr>
          <w:spacing w:val="-3"/>
          <w:sz w:val="24"/>
          <w:u w:val="single"/>
        </w:rPr>
        <w:t xml:space="preserve"> </w:t>
      </w:r>
      <w:r>
        <w:rPr>
          <w:sz w:val="24"/>
          <w:u w:val="single"/>
        </w:rPr>
        <w:t>to</w:t>
      </w:r>
      <w:r>
        <w:rPr>
          <w:spacing w:val="-3"/>
          <w:sz w:val="24"/>
          <w:u w:val="single"/>
        </w:rPr>
        <w:t xml:space="preserve"> </w:t>
      </w:r>
      <w:r>
        <w:rPr>
          <w:sz w:val="24"/>
          <w:u w:val="single"/>
        </w:rPr>
        <w:t>relevant</w:t>
      </w:r>
      <w:r>
        <w:rPr>
          <w:spacing w:val="-3"/>
          <w:sz w:val="24"/>
          <w:u w:val="single"/>
        </w:rPr>
        <w:t xml:space="preserve"> </w:t>
      </w:r>
      <w:r>
        <w:rPr>
          <w:sz w:val="24"/>
          <w:u w:val="single"/>
        </w:rPr>
        <w:t>economic</w:t>
      </w:r>
      <w:r>
        <w:rPr>
          <w:spacing w:val="-3"/>
          <w:sz w:val="24"/>
          <w:u w:val="single"/>
        </w:rPr>
        <w:t xml:space="preserve"> </w:t>
      </w:r>
      <w:r>
        <w:rPr>
          <w:sz w:val="24"/>
          <w:u w:val="single"/>
        </w:rPr>
        <w:t>factors</w:t>
      </w:r>
      <w:r>
        <w:rPr>
          <w:spacing w:val="-2"/>
          <w:sz w:val="24"/>
          <w:u w:val="single"/>
        </w:rPr>
        <w:t xml:space="preserve"> </w:t>
      </w:r>
      <w:r>
        <w:rPr>
          <w:sz w:val="24"/>
          <w:u w:val="single"/>
        </w:rPr>
        <w:t>and</w:t>
      </w:r>
      <w:r>
        <w:rPr>
          <w:spacing w:val="-3"/>
          <w:sz w:val="24"/>
          <w:u w:val="single"/>
        </w:rPr>
        <w:t xml:space="preserve"> </w:t>
      </w:r>
      <w:r>
        <w:rPr>
          <w:spacing w:val="-2"/>
          <w:sz w:val="24"/>
          <w:u w:val="single"/>
        </w:rPr>
        <w:t>i</w:t>
      </w:r>
      <w:r>
        <w:rPr>
          <w:spacing w:val="-2"/>
          <w:sz w:val="24"/>
          <w:u w:val="single"/>
        </w:rPr>
        <w:t>ndices</w:t>
      </w:r>
      <w:r>
        <w:rPr>
          <w:rFonts w:ascii="Times New Roman"/>
          <w:sz w:val="24"/>
        </w:rPr>
        <w:tab/>
      </w:r>
      <w:r>
        <w:rPr>
          <w:spacing w:val="-5"/>
          <w:sz w:val="24"/>
          <w:u w:val="single"/>
        </w:rPr>
        <w:t>237</w:t>
      </w:r>
    </w:p>
    <w:p w14:paraId="51DE7585" w14:textId="77777777" w:rsidR="0010369C" w:rsidRDefault="008E43AE">
      <w:pPr>
        <w:pStyle w:val="Heading4"/>
        <w:numPr>
          <w:ilvl w:val="2"/>
          <w:numId w:val="80"/>
        </w:numPr>
        <w:tabs>
          <w:tab w:val="left" w:pos="1939"/>
          <w:tab w:val="left" w:pos="1940"/>
          <w:tab w:val="left" w:leader="dot" w:pos="8933"/>
        </w:tabs>
        <w:spacing w:before="121"/>
        <w:ind w:left="1940"/>
      </w:pPr>
      <w:r>
        <w:rPr>
          <w:spacing w:val="-2"/>
        </w:rPr>
        <w:t>Conclusion</w:t>
      </w:r>
      <w:r>
        <w:rPr>
          <w:rFonts w:ascii="Times New Roman"/>
          <w:b w:val="0"/>
        </w:rPr>
        <w:tab/>
      </w:r>
      <w:r>
        <w:rPr>
          <w:spacing w:val="-5"/>
        </w:rPr>
        <w:t>242</w:t>
      </w:r>
    </w:p>
    <w:p w14:paraId="51DE7586" w14:textId="77777777" w:rsidR="0010369C" w:rsidRDefault="008E43AE">
      <w:pPr>
        <w:pStyle w:val="ListParagraph"/>
        <w:numPr>
          <w:ilvl w:val="1"/>
          <w:numId w:val="80"/>
        </w:numPr>
        <w:tabs>
          <w:tab w:val="left" w:pos="1513"/>
          <w:tab w:val="left" w:pos="1514"/>
          <w:tab w:val="left" w:leader="dot" w:pos="8933"/>
        </w:tabs>
        <w:ind w:left="1513" w:right="194"/>
        <w:jc w:val="both"/>
        <w:rPr>
          <w:b/>
          <w:sz w:val="24"/>
        </w:rPr>
      </w:pPr>
      <w:r>
        <w:rPr>
          <w:b/>
          <w:sz w:val="24"/>
        </w:rPr>
        <w:t>MOFCOM'</w:t>
      </w:r>
      <w:r>
        <w:rPr>
          <w:b/>
          <w:sz w:val="19"/>
        </w:rPr>
        <w:t>S</w:t>
      </w:r>
      <w:r>
        <w:rPr>
          <w:b/>
          <w:spacing w:val="-11"/>
          <w:sz w:val="19"/>
        </w:rPr>
        <w:t xml:space="preserve"> </w:t>
      </w:r>
      <w:r>
        <w:rPr>
          <w:b/>
          <w:sz w:val="19"/>
        </w:rPr>
        <w:t>CAUSATION</w:t>
      </w:r>
      <w:r>
        <w:rPr>
          <w:b/>
          <w:spacing w:val="-11"/>
          <w:sz w:val="19"/>
        </w:rPr>
        <w:t xml:space="preserve"> </w:t>
      </w:r>
      <w:r>
        <w:rPr>
          <w:b/>
          <w:sz w:val="19"/>
        </w:rPr>
        <w:t>ANALYSIS</w:t>
      </w:r>
      <w:r>
        <w:rPr>
          <w:b/>
          <w:spacing w:val="-9"/>
          <w:sz w:val="19"/>
        </w:rPr>
        <w:t xml:space="preserve"> </w:t>
      </w:r>
      <w:r>
        <w:rPr>
          <w:b/>
          <w:sz w:val="19"/>
        </w:rPr>
        <w:t>IS</w:t>
      </w:r>
      <w:r>
        <w:rPr>
          <w:b/>
          <w:spacing w:val="-6"/>
          <w:sz w:val="19"/>
        </w:rPr>
        <w:t xml:space="preserve"> </w:t>
      </w:r>
      <w:r>
        <w:rPr>
          <w:b/>
          <w:sz w:val="19"/>
        </w:rPr>
        <w:t>INCONSISTENT</w:t>
      </w:r>
      <w:r>
        <w:rPr>
          <w:b/>
          <w:spacing w:val="-7"/>
          <w:sz w:val="19"/>
        </w:rPr>
        <w:t xml:space="preserve"> </w:t>
      </w:r>
      <w:r>
        <w:rPr>
          <w:b/>
          <w:sz w:val="19"/>
        </w:rPr>
        <w:t>WITH</w:t>
      </w:r>
      <w:r>
        <w:rPr>
          <w:b/>
          <w:spacing w:val="-6"/>
          <w:sz w:val="19"/>
        </w:rPr>
        <w:t xml:space="preserve"> </w:t>
      </w:r>
      <w:r>
        <w:rPr>
          <w:b/>
          <w:sz w:val="24"/>
        </w:rPr>
        <w:t>A</w:t>
      </w:r>
      <w:r>
        <w:rPr>
          <w:b/>
          <w:sz w:val="19"/>
        </w:rPr>
        <w:t>RTICLES</w:t>
      </w:r>
      <w:r>
        <w:rPr>
          <w:b/>
          <w:spacing w:val="-6"/>
          <w:sz w:val="19"/>
        </w:rPr>
        <w:t xml:space="preserve"> </w:t>
      </w:r>
      <w:r>
        <w:rPr>
          <w:b/>
          <w:sz w:val="24"/>
        </w:rPr>
        <w:t>3.1</w:t>
      </w:r>
      <w:r>
        <w:rPr>
          <w:b/>
          <w:spacing w:val="-14"/>
          <w:sz w:val="24"/>
        </w:rPr>
        <w:t xml:space="preserve"> </w:t>
      </w:r>
      <w:r>
        <w:rPr>
          <w:b/>
          <w:sz w:val="19"/>
        </w:rPr>
        <w:t>AND</w:t>
      </w:r>
      <w:r>
        <w:rPr>
          <w:b/>
          <w:spacing w:val="-6"/>
          <w:sz w:val="19"/>
        </w:rPr>
        <w:t xml:space="preserve"> </w:t>
      </w:r>
      <w:r>
        <w:rPr>
          <w:b/>
          <w:sz w:val="24"/>
        </w:rPr>
        <w:t>3.5</w:t>
      </w:r>
      <w:r>
        <w:rPr>
          <w:b/>
          <w:spacing w:val="-14"/>
          <w:sz w:val="24"/>
        </w:rPr>
        <w:t xml:space="preserve"> </w:t>
      </w:r>
      <w:r>
        <w:rPr>
          <w:b/>
          <w:sz w:val="19"/>
        </w:rPr>
        <w:t>OF</w:t>
      </w:r>
      <w:r>
        <w:rPr>
          <w:b/>
          <w:spacing w:val="-6"/>
          <w:sz w:val="19"/>
        </w:rPr>
        <w:t xml:space="preserve"> </w:t>
      </w:r>
      <w:r>
        <w:rPr>
          <w:b/>
          <w:sz w:val="19"/>
        </w:rPr>
        <w:t>THE</w:t>
      </w:r>
      <w:r>
        <w:rPr>
          <w:b/>
          <w:spacing w:val="-7"/>
          <w:sz w:val="19"/>
        </w:rPr>
        <w:t xml:space="preserve"> </w:t>
      </w:r>
      <w:r>
        <w:rPr>
          <w:b/>
          <w:sz w:val="24"/>
        </w:rPr>
        <w:t>A</w:t>
      </w:r>
      <w:r>
        <w:rPr>
          <w:b/>
          <w:sz w:val="19"/>
        </w:rPr>
        <w:t>NTI</w:t>
      </w:r>
      <w:r>
        <w:rPr>
          <w:b/>
          <w:sz w:val="24"/>
        </w:rPr>
        <w:t xml:space="preserve">‐ </w:t>
      </w:r>
      <w:r>
        <w:rPr>
          <w:b/>
          <w:spacing w:val="-2"/>
          <w:sz w:val="24"/>
        </w:rPr>
        <w:t>D</w:t>
      </w:r>
      <w:r>
        <w:rPr>
          <w:b/>
          <w:spacing w:val="-2"/>
          <w:sz w:val="19"/>
        </w:rPr>
        <w:t>UMPING</w:t>
      </w:r>
      <w:r>
        <w:rPr>
          <w:b/>
          <w:spacing w:val="3"/>
          <w:sz w:val="19"/>
        </w:rPr>
        <w:t xml:space="preserve"> </w:t>
      </w:r>
      <w:r>
        <w:rPr>
          <w:b/>
          <w:spacing w:val="-2"/>
          <w:sz w:val="24"/>
        </w:rPr>
        <w:t>A</w:t>
      </w:r>
      <w:r>
        <w:rPr>
          <w:b/>
          <w:spacing w:val="-2"/>
          <w:sz w:val="19"/>
        </w:rPr>
        <w:t>GREEMENT</w:t>
      </w:r>
      <w:r>
        <w:rPr>
          <w:rFonts w:ascii="Times New Roman" w:hAnsi="Times New Roman"/>
          <w:sz w:val="19"/>
        </w:rPr>
        <w:tab/>
      </w:r>
      <w:r>
        <w:rPr>
          <w:b/>
          <w:spacing w:val="-5"/>
          <w:sz w:val="24"/>
        </w:rPr>
        <w:t>242</w:t>
      </w:r>
    </w:p>
    <w:p w14:paraId="51DE7587" w14:textId="77777777" w:rsidR="0010369C" w:rsidRDefault="008E43AE">
      <w:pPr>
        <w:pStyle w:val="Heading4"/>
        <w:numPr>
          <w:ilvl w:val="2"/>
          <w:numId w:val="80"/>
        </w:numPr>
        <w:tabs>
          <w:tab w:val="left" w:pos="1939"/>
          <w:tab w:val="left" w:pos="1940"/>
          <w:tab w:val="left" w:leader="dot" w:pos="8933"/>
        </w:tabs>
        <w:spacing w:before="119"/>
        <w:ind w:left="1940"/>
        <w:jc w:val="both"/>
      </w:pPr>
      <w:r>
        <w:rPr>
          <w:spacing w:val="-2"/>
        </w:rPr>
        <w:t>Introduction</w:t>
      </w:r>
      <w:r>
        <w:rPr>
          <w:rFonts w:ascii="Times New Roman"/>
          <w:b w:val="0"/>
        </w:rPr>
        <w:tab/>
      </w:r>
      <w:r>
        <w:rPr>
          <w:spacing w:val="-5"/>
        </w:rPr>
        <w:t>242</w:t>
      </w:r>
    </w:p>
    <w:p w14:paraId="51DE7588" w14:textId="77777777" w:rsidR="0010369C" w:rsidRDefault="008E43AE">
      <w:pPr>
        <w:pStyle w:val="Heading4"/>
        <w:numPr>
          <w:ilvl w:val="2"/>
          <w:numId w:val="80"/>
        </w:numPr>
        <w:tabs>
          <w:tab w:val="left" w:pos="1939"/>
          <w:tab w:val="left" w:pos="1940"/>
          <w:tab w:val="left" w:leader="dot" w:pos="8933"/>
        </w:tabs>
        <w:spacing w:before="120"/>
        <w:ind w:left="1940" w:right="194"/>
        <w:jc w:val="both"/>
      </w:pPr>
      <w:r>
        <w:t>The</w:t>
      </w:r>
      <w:r>
        <w:rPr>
          <w:spacing w:val="-13"/>
        </w:rPr>
        <w:t xml:space="preserve"> </w:t>
      </w:r>
      <w:r>
        <w:t>examinations</w:t>
      </w:r>
      <w:r>
        <w:rPr>
          <w:spacing w:val="-12"/>
        </w:rPr>
        <w:t xml:space="preserve"> </w:t>
      </w:r>
      <w:r>
        <w:t>of</w:t>
      </w:r>
      <w:r>
        <w:rPr>
          <w:spacing w:val="-14"/>
        </w:rPr>
        <w:t xml:space="preserve"> </w:t>
      </w:r>
      <w:r>
        <w:t>causation</w:t>
      </w:r>
      <w:r>
        <w:rPr>
          <w:spacing w:val="-13"/>
        </w:rPr>
        <w:t xml:space="preserve"> </w:t>
      </w:r>
      <w:r>
        <w:t>and</w:t>
      </w:r>
      <w:r>
        <w:rPr>
          <w:spacing w:val="-12"/>
        </w:rPr>
        <w:t xml:space="preserve"> </w:t>
      </w:r>
      <w:r>
        <w:t>non‐attribution</w:t>
      </w:r>
      <w:r>
        <w:rPr>
          <w:spacing w:val="-14"/>
        </w:rPr>
        <w:t xml:space="preserve"> </w:t>
      </w:r>
      <w:r>
        <w:t>required</w:t>
      </w:r>
      <w:r>
        <w:rPr>
          <w:spacing w:val="-12"/>
        </w:rPr>
        <w:t xml:space="preserve"> </w:t>
      </w:r>
      <w:r>
        <w:t>under</w:t>
      </w:r>
      <w:r>
        <w:rPr>
          <w:spacing w:val="-14"/>
        </w:rPr>
        <w:t xml:space="preserve"> </w:t>
      </w:r>
      <w:r>
        <w:t>Articles 3.5</w:t>
      </w:r>
      <w:r>
        <w:rPr>
          <w:spacing w:val="-3"/>
        </w:rPr>
        <w:t xml:space="preserve"> </w:t>
      </w:r>
      <w:r>
        <w:t>and</w:t>
      </w:r>
      <w:r>
        <w:rPr>
          <w:spacing w:val="-3"/>
        </w:rPr>
        <w:t xml:space="preserve"> </w:t>
      </w:r>
      <w:r>
        <w:t>3.1</w:t>
      </w:r>
      <w:r>
        <w:rPr>
          <w:spacing w:val="-2"/>
        </w:rPr>
        <w:t xml:space="preserve"> </w:t>
      </w:r>
      <w:r>
        <w:t>of</w:t>
      </w:r>
      <w:r>
        <w:rPr>
          <w:spacing w:val="-3"/>
        </w:rPr>
        <w:t xml:space="preserve"> </w:t>
      </w:r>
      <w:r>
        <w:t>the</w:t>
      </w:r>
      <w:r>
        <w:rPr>
          <w:spacing w:val="-2"/>
        </w:rPr>
        <w:t xml:space="preserve"> </w:t>
      </w:r>
      <w:r>
        <w:t>Anti‐Dumping</w:t>
      </w:r>
      <w:r>
        <w:rPr>
          <w:spacing w:val="-2"/>
        </w:rPr>
        <w:t xml:space="preserve"> Agreement</w:t>
      </w:r>
      <w:r>
        <w:rPr>
          <w:rFonts w:ascii="Times New Roman" w:hAnsi="Times New Roman"/>
          <w:b w:val="0"/>
        </w:rPr>
        <w:tab/>
      </w:r>
      <w:r>
        <w:rPr>
          <w:spacing w:val="-5"/>
        </w:rPr>
        <w:t>243</w:t>
      </w:r>
    </w:p>
    <w:p w14:paraId="51DE7589" w14:textId="77777777" w:rsidR="0010369C" w:rsidRDefault="008E43AE">
      <w:pPr>
        <w:pStyle w:val="Heading4"/>
        <w:numPr>
          <w:ilvl w:val="2"/>
          <w:numId w:val="80"/>
        </w:numPr>
        <w:tabs>
          <w:tab w:val="left" w:pos="1939"/>
          <w:tab w:val="left" w:pos="1940"/>
          <w:tab w:val="left" w:leader="dot" w:pos="8933"/>
        </w:tabs>
        <w:spacing w:before="121"/>
        <w:ind w:left="1940" w:right="193"/>
        <w:jc w:val="both"/>
      </w:pPr>
      <w:r>
        <w:t xml:space="preserve">The inconsistencies of MOFCOM's analyses under Articles 3.2 and 3.4 of the Anti‐Dumping Agreement vitiate its causation analysis under Article </w:t>
      </w:r>
      <w:r>
        <w:rPr>
          <w:spacing w:val="-5"/>
        </w:rPr>
        <w:t>3.5</w:t>
      </w:r>
      <w:r>
        <w:rPr>
          <w:rFonts w:ascii="Times New Roman" w:hAnsi="Times New Roman"/>
          <w:b w:val="0"/>
        </w:rPr>
        <w:tab/>
      </w:r>
      <w:r>
        <w:rPr>
          <w:spacing w:val="-5"/>
        </w:rPr>
        <w:t>245</w:t>
      </w:r>
    </w:p>
    <w:p w14:paraId="51DE758A" w14:textId="77777777" w:rsidR="0010369C" w:rsidRDefault="008E43AE">
      <w:pPr>
        <w:pStyle w:val="Heading4"/>
        <w:numPr>
          <w:ilvl w:val="2"/>
          <w:numId w:val="80"/>
        </w:numPr>
        <w:tabs>
          <w:tab w:val="left" w:pos="1939"/>
          <w:tab w:val="left" w:pos="1940"/>
          <w:tab w:val="left" w:leader="dot" w:pos="8933"/>
        </w:tabs>
        <w:spacing w:before="119"/>
        <w:ind w:left="1940" w:right="193"/>
        <w:jc w:val="both"/>
      </w:pPr>
      <w:r>
        <w:t>MOFCOM's analysis failed to establish a genuine causal link between Australian</w:t>
      </w:r>
      <w:r>
        <w:rPr>
          <w:spacing w:val="-6"/>
        </w:rPr>
        <w:t xml:space="preserve"> </w:t>
      </w:r>
      <w:r>
        <w:t>imports</w:t>
      </w:r>
      <w:r>
        <w:rPr>
          <w:spacing w:val="-2"/>
        </w:rPr>
        <w:t xml:space="preserve"> </w:t>
      </w:r>
      <w:r>
        <w:t>and</w:t>
      </w:r>
      <w:r>
        <w:rPr>
          <w:spacing w:val="-3"/>
        </w:rPr>
        <w:t xml:space="preserve"> </w:t>
      </w:r>
      <w:r>
        <w:t>injury</w:t>
      </w:r>
      <w:r>
        <w:rPr>
          <w:spacing w:val="-3"/>
        </w:rPr>
        <w:t xml:space="preserve"> </w:t>
      </w:r>
      <w:r>
        <w:t>to</w:t>
      </w:r>
      <w:r>
        <w:rPr>
          <w:spacing w:val="-3"/>
        </w:rPr>
        <w:t xml:space="preserve"> </w:t>
      </w:r>
      <w:r>
        <w:t>the</w:t>
      </w:r>
      <w:r>
        <w:rPr>
          <w:spacing w:val="-3"/>
        </w:rPr>
        <w:t xml:space="preserve"> </w:t>
      </w:r>
      <w:r>
        <w:t>domestic</w:t>
      </w:r>
      <w:r>
        <w:rPr>
          <w:spacing w:val="-3"/>
        </w:rPr>
        <w:t xml:space="preserve"> </w:t>
      </w:r>
      <w:r>
        <w:rPr>
          <w:spacing w:val="-2"/>
        </w:rPr>
        <w:t>industry</w:t>
      </w:r>
      <w:r>
        <w:rPr>
          <w:rFonts w:ascii="Times New Roman"/>
          <w:b w:val="0"/>
        </w:rPr>
        <w:tab/>
      </w:r>
      <w:r>
        <w:rPr>
          <w:spacing w:val="-5"/>
        </w:rPr>
        <w:t>246</w:t>
      </w:r>
    </w:p>
    <w:p w14:paraId="51DE758B" w14:textId="77777777" w:rsidR="0010369C" w:rsidRDefault="008E43AE">
      <w:pPr>
        <w:pStyle w:val="Heading4"/>
        <w:numPr>
          <w:ilvl w:val="2"/>
          <w:numId w:val="80"/>
        </w:numPr>
        <w:tabs>
          <w:tab w:val="left" w:pos="1939"/>
          <w:tab w:val="left" w:pos="1940"/>
          <w:tab w:val="left" w:leader="dot" w:pos="8933"/>
        </w:tabs>
        <w:spacing w:before="120"/>
        <w:ind w:left="1940" w:right="193"/>
        <w:jc w:val="both"/>
      </w:pPr>
      <w:r>
        <w:t>MOFCOM failed to conduct an examination of all relevant evidence that was</w:t>
      </w:r>
      <w:r>
        <w:rPr>
          <w:spacing w:val="-3"/>
        </w:rPr>
        <w:t xml:space="preserve"> </w:t>
      </w:r>
      <w:r>
        <w:t>before</w:t>
      </w:r>
      <w:r>
        <w:rPr>
          <w:spacing w:val="-1"/>
        </w:rPr>
        <w:t xml:space="preserve"> </w:t>
      </w:r>
      <w:r>
        <w:t>it</w:t>
      </w:r>
      <w:r>
        <w:rPr>
          <w:spacing w:val="-2"/>
        </w:rPr>
        <w:t xml:space="preserve"> </w:t>
      </w:r>
      <w:r>
        <w:t>on</w:t>
      </w:r>
      <w:r>
        <w:rPr>
          <w:spacing w:val="-1"/>
        </w:rPr>
        <w:t xml:space="preserve"> </w:t>
      </w:r>
      <w:r>
        <w:t>the</w:t>
      </w:r>
      <w:r>
        <w:rPr>
          <w:spacing w:val="-1"/>
        </w:rPr>
        <w:t xml:space="preserve"> </w:t>
      </w:r>
      <w:r>
        <w:t>investigation</w:t>
      </w:r>
      <w:r>
        <w:rPr>
          <w:spacing w:val="-2"/>
        </w:rPr>
        <w:t xml:space="preserve"> record</w:t>
      </w:r>
      <w:r>
        <w:rPr>
          <w:rFonts w:ascii="Times New Roman"/>
          <w:b w:val="0"/>
        </w:rPr>
        <w:tab/>
      </w:r>
      <w:r>
        <w:rPr>
          <w:spacing w:val="-5"/>
        </w:rPr>
        <w:t>248</w:t>
      </w:r>
    </w:p>
    <w:p w14:paraId="51DE758C" w14:textId="77777777" w:rsidR="0010369C" w:rsidRDefault="008E43AE">
      <w:pPr>
        <w:pStyle w:val="Heading4"/>
        <w:numPr>
          <w:ilvl w:val="2"/>
          <w:numId w:val="80"/>
        </w:numPr>
        <w:tabs>
          <w:tab w:val="left" w:pos="1939"/>
          <w:tab w:val="left" w:pos="1940"/>
          <w:tab w:val="left" w:leader="dot" w:pos="8933"/>
        </w:tabs>
        <w:spacing w:before="121"/>
        <w:ind w:left="1939" w:right="193"/>
        <w:jc w:val="both"/>
      </w:pPr>
      <w:r>
        <w:t>MOFCOM failed to establish that Australian wine and domestic like products were substitutab</w:t>
      </w:r>
      <w:r>
        <w:t>le with each other</w:t>
      </w:r>
      <w:r>
        <w:rPr>
          <w:rFonts w:ascii="Times New Roman"/>
          <w:b w:val="0"/>
        </w:rPr>
        <w:tab/>
      </w:r>
      <w:r>
        <w:rPr>
          <w:spacing w:val="-4"/>
        </w:rPr>
        <w:t>250</w:t>
      </w:r>
    </w:p>
    <w:p w14:paraId="51DE758D" w14:textId="77777777" w:rsidR="0010369C" w:rsidRDefault="008E43AE">
      <w:pPr>
        <w:pStyle w:val="Heading4"/>
        <w:numPr>
          <w:ilvl w:val="2"/>
          <w:numId w:val="80"/>
        </w:numPr>
        <w:tabs>
          <w:tab w:val="left" w:pos="1939"/>
          <w:tab w:val="left" w:pos="1940"/>
          <w:tab w:val="left" w:leader="dot" w:pos="8933"/>
        </w:tabs>
        <w:spacing w:before="120"/>
        <w:ind w:left="1939" w:right="192"/>
        <w:jc w:val="both"/>
      </w:pPr>
      <w:r>
        <w:t>MOFCOM's comparison of the "market share" of subject imports and domestic</w:t>
      </w:r>
      <w:r>
        <w:rPr>
          <w:spacing w:val="-3"/>
        </w:rPr>
        <w:t xml:space="preserve"> </w:t>
      </w:r>
      <w:r>
        <w:t>like</w:t>
      </w:r>
      <w:r>
        <w:rPr>
          <w:spacing w:val="-3"/>
        </w:rPr>
        <w:t xml:space="preserve"> </w:t>
      </w:r>
      <w:r>
        <w:t>products</w:t>
      </w:r>
      <w:r>
        <w:rPr>
          <w:spacing w:val="-3"/>
        </w:rPr>
        <w:t xml:space="preserve"> </w:t>
      </w:r>
      <w:r>
        <w:t>was</w:t>
      </w:r>
      <w:r>
        <w:rPr>
          <w:spacing w:val="-1"/>
        </w:rPr>
        <w:t xml:space="preserve"> </w:t>
      </w:r>
      <w:r>
        <w:rPr>
          <w:spacing w:val="-2"/>
        </w:rPr>
        <w:t>flawed</w:t>
      </w:r>
      <w:r>
        <w:rPr>
          <w:rFonts w:ascii="Times New Roman"/>
          <w:b w:val="0"/>
        </w:rPr>
        <w:tab/>
      </w:r>
      <w:r>
        <w:rPr>
          <w:spacing w:val="-5"/>
        </w:rPr>
        <w:t>254</w:t>
      </w:r>
    </w:p>
    <w:p w14:paraId="51DE758E" w14:textId="77777777" w:rsidR="0010369C" w:rsidRDefault="0010369C">
      <w:pPr>
        <w:jc w:val="both"/>
        <w:sectPr w:rsidR="0010369C">
          <w:pgSz w:w="11910" w:h="16840"/>
          <w:pgMar w:top="880" w:right="1220" w:bottom="980" w:left="1180" w:header="569" w:footer="788" w:gutter="0"/>
          <w:cols w:space="720"/>
        </w:sectPr>
      </w:pPr>
    </w:p>
    <w:p w14:paraId="51DE758F" w14:textId="77777777" w:rsidR="0010369C" w:rsidRDefault="008E43AE">
      <w:pPr>
        <w:tabs>
          <w:tab w:val="left" w:pos="6425"/>
        </w:tabs>
        <w:ind w:left="238"/>
        <w:rPr>
          <w:sz w:val="20"/>
        </w:rPr>
      </w:pPr>
      <w:r>
        <w:rPr>
          <w:i/>
          <w:sz w:val="20"/>
        </w:rPr>
        <w:lastRenderedPageBreak/>
        <w:t>China</w:t>
      </w:r>
      <w:r>
        <w:rPr>
          <w:i/>
          <w:spacing w:val="-5"/>
          <w:sz w:val="20"/>
        </w:rPr>
        <w:t xml:space="preserve"> </w:t>
      </w:r>
      <w:r>
        <w:rPr>
          <w:i/>
          <w:sz w:val="20"/>
        </w:rPr>
        <w:t>–</w:t>
      </w:r>
      <w:r>
        <w:rPr>
          <w:i/>
          <w:spacing w:val="-5"/>
          <w:sz w:val="20"/>
        </w:rPr>
        <w:t xml:space="preserve"> </w:t>
      </w:r>
      <w:r>
        <w:rPr>
          <w:i/>
          <w:sz w:val="20"/>
        </w:rPr>
        <w:t>Anti‐Dumping</w:t>
      </w:r>
      <w:r>
        <w:rPr>
          <w:i/>
          <w:spacing w:val="-4"/>
          <w:sz w:val="20"/>
        </w:rPr>
        <w:t xml:space="preserve"> </w:t>
      </w:r>
      <w:r>
        <w:rPr>
          <w:i/>
          <w:sz w:val="20"/>
        </w:rPr>
        <w:t>and</w:t>
      </w:r>
      <w:r>
        <w:rPr>
          <w:i/>
          <w:spacing w:val="-5"/>
          <w:sz w:val="20"/>
        </w:rPr>
        <w:t xml:space="preserve"> </w:t>
      </w:r>
      <w:r>
        <w:rPr>
          <w:i/>
          <w:sz w:val="20"/>
        </w:rPr>
        <w:t>Countervailing</w:t>
      </w:r>
      <w:r>
        <w:rPr>
          <w:i/>
          <w:spacing w:val="-5"/>
          <w:sz w:val="20"/>
        </w:rPr>
        <w:t xml:space="preserve"> </w:t>
      </w:r>
      <w:r>
        <w:rPr>
          <w:i/>
          <w:sz w:val="20"/>
        </w:rPr>
        <w:t>Duty</w:t>
      </w:r>
      <w:r>
        <w:rPr>
          <w:i/>
          <w:spacing w:val="-4"/>
          <w:sz w:val="20"/>
        </w:rPr>
        <w:t xml:space="preserve"> </w:t>
      </w:r>
      <w:r>
        <w:rPr>
          <w:i/>
          <w:spacing w:val="-2"/>
          <w:sz w:val="20"/>
        </w:rPr>
        <w:t>Measures</w:t>
      </w:r>
      <w:r>
        <w:rPr>
          <w:i/>
          <w:sz w:val="20"/>
        </w:rPr>
        <w:tab/>
      </w:r>
      <w:r>
        <w:rPr>
          <w:sz w:val="20"/>
        </w:rPr>
        <w:t>Australia's</w:t>
      </w:r>
      <w:r>
        <w:rPr>
          <w:spacing w:val="-6"/>
          <w:sz w:val="20"/>
        </w:rPr>
        <w:t xml:space="preserve"> </w:t>
      </w:r>
      <w:r>
        <w:rPr>
          <w:sz w:val="20"/>
        </w:rPr>
        <w:t>First</w:t>
      </w:r>
      <w:r>
        <w:rPr>
          <w:spacing w:val="-2"/>
          <w:sz w:val="20"/>
        </w:rPr>
        <w:t xml:space="preserve"> </w:t>
      </w:r>
      <w:r>
        <w:rPr>
          <w:sz w:val="20"/>
        </w:rPr>
        <w:t>Written</w:t>
      </w:r>
      <w:r>
        <w:rPr>
          <w:spacing w:val="-2"/>
          <w:sz w:val="20"/>
        </w:rPr>
        <w:t xml:space="preserve"> Submission</w:t>
      </w:r>
    </w:p>
    <w:p w14:paraId="51DE7590" w14:textId="77777777" w:rsidR="0010369C" w:rsidRDefault="008E43AE">
      <w:pPr>
        <w:tabs>
          <w:tab w:val="left" w:pos="8227"/>
        </w:tabs>
        <w:spacing w:before="1"/>
        <w:ind w:left="239"/>
        <w:rPr>
          <w:sz w:val="20"/>
        </w:rPr>
      </w:pPr>
      <w:r>
        <w:rPr>
          <w:i/>
          <w:sz w:val="20"/>
        </w:rPr>
        <w:t>on</w:t>
      </w:r>
      <w:r>
        <w:rPr>
          <w:i/>
          <w:spacing w:val="-1"/>
          <w:sz w:val="20"/>
        </w:rPr>
        <w:t xml:space="preserve"> </w:t>
      </w:r>
      <w:r>
        <w:rPr>
          <w:i/>
          <w:sz w:val="20"/>
        </w:rPr>
        <w:t>Wine</w:t>
      </w:r>
      <w:r>
        <w:rPr>
          <w:i/>
          <w:spacing w:val="-1"/>
          <w:sz w:val="20"/>
        </w:rPr>
        <w:t xml:space="preserve"> </w:t>
      </w:r>
      <w:r>
        <w:rPr>
          <w:i/>
          <w:sz w:val="20"/>
        </w:rPr>
        <w:t>from</w:t>
      </w:r>
      <w:r>
        <w:rPr>
          <w:i/>
          <w:spacing w:val="-3"/>
          <w:sz w:val="20"/>
        </w:rPr>
        <w:t xml:space="preserve"> </w:t>
      </w:r>
      <w:r>
        <w:rPr>
          <w:i/>
          <w:sz w:val="20"/>
        </w:rPr>
        <w:t>Australia</w:t>
      </w:r>
      <w:r>
        <w:rPr>
          <w:i/>
          <w:spacing w:val="-1"/>
          <w:sz w:val="20"/>
        </w:rPr>
        <w:t xml:space="preserve"> </w:t>
      </w:r>
      <w:r>
        <w:rPr>
          <w:spacing w:val="-2"/>
          <w:sz w:val="20"/>
        </w:rPr>
        <w:t>(DS602)</w:t>
      </w:r>
      <w:r>
        <w:rPr>
          <w:sz w:val="20"/>
        </w:rPr>
        <w:tab/>
        <w:t>29</w:t>
      </w:r>
      <w:r>
        <w:rPr>
          <w:spacing w:val="-1"/>
          <w:sz w:val="20"/>
        </w:rPr>
        <w:t xml:space="preserve"> </w:t>
      </w:r>
      <w:r>
        <w:rPr>
          <w:sz w:val="20"/>
        </w:rPr>
        <w:t>April</w:t>
      </w:r>
      <w:r>
        <w:rPr>
          <w:spacing w:val="-2"/>
          <w:sz w:val="20"/>
        </w:rPr>
        <w:t xml:space="preserve"> </w:t>
      </w:r>
      <w:r>
        <w:rPr>
          <w:spacing w:val="-4"/>
          <w:sz w:val="20"/>
        </w:rPr>
        <w:t>2022</w:t>
      </w:r>
    </w:p>
    <w:p w14:paraId="51DE7591" w14:textId="77777777" w:rsidR="0010369C" w:rsidRDefault="008E43AE">
      <w:pPr>
        <w:pStyle w:val="Heading4"/>
        <w:numPr>
          <w:ilvl w:val="2"/>
          <w:numId w:val="80"/>
        </w:numPr>
        <w:tabs>
          <w:tab w:val="left" w:pos="1939"/>
          <w:tab w:val="left" w:pos="1940"/>
          <w:tab w:val="left" w:leader="dot" w:pos="8933"/>
        </w:tabs>
        <w:spacing w:before="34"/>
        <w:ind w:left="1940" w:right="195"/>
        <w:jc w:val="both"/>
      </w:pPr>
      <w:r>
        <w:t>MOFCOM failed to conduct non‐attribution analyses in relation to "known" factors in accordance with Articles 3.1 and 3.5 of the Anti‐ Dumping</w:t>
      </w:r>
      <w:r>
        <w:rPr>
          <w:spacing w:val="-6"/>
        </w:rPr>
        <w:t xml:space="preserve"> </w:t>
      </w:r>
      <w:r>
        <w:rPr>
          <w:spacing w:val="-2"/>
        </w:rPr>
        <w:t>Agreement</w:t>
      </w:r>
      <w:r>
        <w:rPr>
          <w:rFonts w:ascii="Times New Roman" w:hAnsi="Times New Roman"/>
          <w:b w:val="0"/>
        </w:rPr>
        <w:tab/>
      </w:r>
      <w:r>
        <w:rPr>
          <w:spacing w:val="-5"/>
        </w:rPr>
        <w:t>256</w:t>
      </w:r>
    </w:p>
    <w:p w14:paraId="51DE7592" w14:textId="77777777" w:rsidR="0010369C" w:rsidRDefault="008E43AE">
      <w:pPr>
        <w:pStyle w:val="ListParagraph"/>
        <w:numPr>
          <w:ilvl w:val="3"/>
          <w:numId w:val="80"/>
        </w:numPr>
        <w:tabs>
          <w:tab w:val="left" w:pos="2365"/>
          <w:tab w:val="left" w:pos="2366"/>
          <w:tab w:val="left" w:leader="dot" w:pos="8933"/>
        </w:tabs>
        <w:ind w:hanging="853"/>
        <w:rPr>
          <w:sz w:val="24"/>
        </w:rPr>
      </w:pPr>
      <w:r>
        <w:rPr>
          <w:sz w:val="24"/>
          <w:u w:val="single"/>
        </w:rPr>
        <w:t>Changes</w:t>
      </w:r>
      <w:r>
        <w:rPr>
          <w:spacing w:val="-4"/>
          <w:sz w:val="24"/>
          <w:u w:val="single"/>
        </w:rPr>
        <w:t xml:space="preserve"> </w:t>
      </w:r>
      <w:r>
        <w:rPr>
          <w:sz w:val="24"/>
          <w:u w:val="single"/>
        </w:rPr>
        <w:t>to</w:t>
      </w:r>
      <w:r>
        <w:rPr>
          <w:spacing w:val="-1"/>
          <w:sz w:val="24"/>
          <w:u w:val="single"/>
        </w:rPr>
        <w:t xml:space="preserve"> </w:t>
      </w:r>
      <w:r>
        <w:rPr>
          <w:sz w:val="24"/>
          <w:u w:val="single"/>
        </w:rPr>
        <w:t>import</w:t>
      </w:r>
      <w:r>
        <w:rPr>
          <w:spacing w:val="-2"/>
          <w:sz w:val="24"/>
          <w:u w:val="single"/>
        </w:rPr>
        <w:t xml:space="preserve"> </w:t>
      </w:r>
      <w:r>
        <w:rPr>
          <w:sz w:val="24"/>
          <w:u w:val="single"/>
        </w:rPr>
        <w:t>tariffs</w:t>
      </w:r>
      <w:r>
        <w:rPr>
          <w:spacing w:val="-2"/>
          <w:sz w:val="24"/>
          <w:u w:val="single"/>
        </w:rPr>
        <w:t xml:space="preserve"> </w:t>
      </w:r>
      <w:r>
        <w:rPr>
          <w:sz w:val="24"/>
          <w:u w:val="single"/>
        </w:rPr>
        <w:t>under</w:t>
      </w:r>
      <w:r>
        <w:rPr>
          <w:spacing w:val="-1"/>
          <w:sz w:val="24"/>
          <w:u w:val="single"/>
        </w:rPr>
        <w:t xml:space="preserve"> </w:t>
      </w:r>
      <w:r>
        <w:rPr>
          <w:sz w:val="24"/>
          <w:u w:val="single"/>
        </w:rPr>
        <w:t>ChAFTA</w:t>
      </w:r>
      <w:r>
        <w:rPr>
          <w:spacing w:val="-14"/>
          <w:sz w:val="24"/>
          <w:u w:val="single"/>
        </w:rPr>
        <w:t xml:space="preserve"> </w:t>
      </w:r>
      <w:r>
        <w:rPr>
          <w:rFonts w:ascii="Times New Roman"/>
          <w:sz w:val="24"/>
        </w:rPr>
        <w:tab/>
      </w:r>
      <w:r>
        <w:rPr>
          <w:spacing w:val="-5"/>
          <w:sz w:val="24"/>
          <w:u w:val="single"/>
        </w:rPr>
        <w:t>258</w:t>
      </w:r>
    </w:p>
    <w:p w14:paraId="51DE7593" w14:textId="77777777" w:rsidR="0010369C" w:rsidRDefault="008E43AE">
      <w:pPr>
        <w:pStyle w:val="ListParagraph"/>
        <w:numPr>
          <w:ilvl w:val="3"/>
          <w:numId w:val="80"/>
        </w:numPr>
        <w:tabs>
          <w:tab w:val="left" w:pos="2365"/>
          <w:tab w:val="left" w:pos="2366"/>
          <w:tab w:val="left" w:leader="dot" w:pos="8933"/>
        </w:tabs>
        <w:spacing w:before="121"/>
        <w:ind w:hanging="853"/>
        <w:rPr>
          <w:sz w:val="24"/>
        </w:rPr>
      </w:pPr>
      <w:r>
        <w:rPr>
          <w:sz w:val="24"/>
          <w:u w:val="single"/>
        </w:rPr>
        <w:t>Imports</w:t>
      </w:r>
      <w:r>
        <w:rPr>
          <w:spacing w:val="-3"/>
          <w:sz w:val="24"/>
          <w:u w:val="single"/>
        </w:rPr>
        <w:t xml:space="preserve"> </w:t>
      </w:r>
      <w:r>
        <w:rPr>
          <w:sz w:val="24"/>
          <w:u w:val="single"/>
        </w:rPr>
        <w:t>from</w:t>
      </w:r>
      <w:r>
        <w:rPr>
          <w:spacing w:val="-1"/>
          <w:sz w:val="24"/>
          <w:u w:val="single"/>
        </w:rPr>
        <w:t xml:space="preserve"> </w:t>
      </w:r>
      <w:r>
        <w:rPr>
          <w:sz w:val="24"/>
          <w:u w:val="single"/>
        </w:rPr>
        <w:t>other</w:t>
      </w:r>
      <w:r>
        <w:rPr>
          <w:spacing w:val="-1"/>
          <w:sz w:val="24"/>
          <w:u w:val="single"/>
        </w:rPr>
        <w:t xml:space="preserve"> </w:t>
      </w:r>
      <w:r>
        <w:rPr>
          <w:sz w:val="24"/>
          <w:u w:val="single"/>
        </w:rPr>
        <w:t>countries</w:t>
      </w:r>
      <w:r>
        <w:rPr>
          <w:spacing w:val="-2"/>
          <w:sz w:val="24"/>
          <w:u w:val="single"/>
        </w:rPr>
        <w:t xml:space="preserve"> </w:t>
      </w:r>
      <w:r>
        <w:rPr>
          <w:sz w:val="24"/>
          <w:u w:val="single"/>
        </w:rPr>
        <w:t>or</w:t>
      </w:r>
      <w:r>
        <w:rPr>
          <w:spacing w:val="-1"/>
          <w:sz w:val="24"/>
          <w:u w:val="single"/>
        </w:rPr>
        <w:t xml:space="preserve"> </w:t>
      </w:r>
      <w:r>
        <w:rPr>
          <w:sz w:val="24"/>
          <w:u w:val="single"/>
        </w:rPr>
        <w:t>regions</w:t>
      </w:r>
      <w:r>
        <w:rPr>
          <w:spacing w:val="-20"/>
          <w:sz w:val="24"/>
          <w:u w:val="single"/>
        </w:rPr>
        <w:t xml:space="preserve"> </w:t>
      </w:r>
      <w:r>
        <w:rPr>
          <w:rFonts w:ascii="Times New Roman"/>
          <w:sz w:val="24"/>
        </w:rPr>
        <w:tab/>
      </w:r>
      <w:r>
        <w:rPr>
          <w:spacing w:val="-5"/>
          <w:sz w:val="24"/>
          <w:u w:val="single"/>
        </w:rPr>
        <w:t>261</w:t>
      </w:r>
    </w:p>
    <w:p w14:paraId="51DE7594" w14:textId="77777777" w:rsidR="0010369C" w:rsidRDefault="008E43AE">
      <w:pPr>
        <w:pStyle w:val="ListParagraph"/>
        <w:numPr>
          <w:ilvl w:val="3"/>
          <w:numId w:val="80"/>
        </w:numPr>
        <w:tabs>
          <w:tab w:val="left" w:pos="2365"/>
          <w:tab w:val="left" w:pos="2366"/>
          <w:tab w:val="left" w:leader="dot" w:pos="8933"/>
        </w:tabs>
        <w:ind w:hanging="853"/>
        <w:rPr>
          <w:sz w:val="24"/>
        </w:rPr>
      </w:pPr>
      <w:r>
        <w:rPr>
          <w:sz w:val="24"/>
          <w:u w:val="single"/>
        </w:rPr>
        <w:t>Exchange</w:t>
      </w:r>
      <w:r>
        <w:rPr>
          <w:spacing w:val="-2"/>
          <w:sz w:val="24"/>
          <w:u w:val="single"/>
        </w:rPr>
        <w:t xml:space="preserve"> rates</w:t>
      </w:r>
      <w:r>
        <w:rPr>
          <w:rFonts w:ascii="Times New Roman"/>
          <w:sz w:val="24"/>
        </w:rPr>
        <w:tab/>
      </w:r>
      <w:r>
        <w:rPr>
          <w:spacing w:val="-5"/>
          <w:sz w:val="24"/>
          <w:u w:val="single"/>
        </w:rPr>
        <w:t>265</w:t>
      </w:r>
    </w:p>
    <w:p w14:paraId="51DE7595" w14:textId="77777777" w:rsidR="0010369C" w:rsidRDefault="008E43AE">
      <w:pPr>
        <w:pStyle w:val="ListParagraph"/>
        <w:numPr>
          <w:ilvl w:val="3"/>
          <w:numId w:val="80"/>
        </w:numPr>
        <w:tabs>
          <w:tab w:val="left" w:pos="2365"/>
          <w:tab w:val="left" w:pos="2366"/>
          <w:tab w:val="left" w:leader="dot" w:pos="8933"/>
        </w:tabs>
        <w:spacing w:before="119"/>
        <w:ind w:right="193" w:hanging="852"/>
        <w:rPr>
          <w:sz w:val="24"/>
        </w:rPr>
      </w:pPr>
      <w:r>
        <w:rPr>
          <w:sz w:val="24"/>
          <w:u w:val="single"/>
        </w:rPr>
        <w:t>Purchase</w:t>
      </w:r>
      <w:r>
        <w:rPr>
          <w:spacing w:val="37"/>
          <w:sz w:val="24"/>
          <w:u w:val="single"/>
        </w:rPr>
        <w:t xml:space="preserve"> </w:t>
      </w:r>
      <w:r>
        <w:rPr>
          <w:sz w:val="24"/>
          <w:u w:val="single"/>
        </w:rPr>
        <w:t>of</w:t>
      </w:r>
      <w:r>
        <w:rPr>
          <w:spacing w:val="36"/>
          <w:sz w:val="24"/>
          <w:u w:val="single"/>
        </w:rPr>
        <w:t xml:space="preserve"> </w:t>
      </w:r>
      <w:r>
        <w:rPr>
          <w:sz w:val="24"/>
          <w:u w:val="single"/>
        </w:rPr>
        <w:t>imported</w:t>
      </w:r>
      <w:r>
        <w:rPr>
          <w:spacing w:val="37"/>
          <w:sz w:val="24"/>
          <w:u w:val="single"/>
        </w:rPr>
        <w:t xml:space="preserve"> </w:t>
      </w:r>
      <w:r>
        <w:rPr>
          <w:sz w:val="24"/>
          <w:u w:val="single"/>
        </w:rPr>
        <w:t>Australian</w:t>
      </w:r>
      <w:r>
        <w:rPr>
          <w:spacing w:val="36"/>
          <w:sz w:val="24"/>
          <w:u w:val="single"/>
        </w:rPr>
        <w:t xml:space="preserve"> </w:t>
      </w:r>
      <w:r>
        <w:rPr>
          <w:sz w:val="24"/>
          <w:u w:val="single"/>
        </w:rPr>
        <w:t>wine</w:t>
      </w:r>
      <w:r>
        <w:rPr>
          <w:spacing w:val="37"/>
          <w:sz w:val="24"/>
          <w:u w:val="single"/>
        </w:rPr>
        <w:t xml:space="preserve"> </w:t>
      </w:r>
      <w:r>
        <w:rPr>
          <w:sz w:val="24"/>
          <w:u w:val="single"/>
        </w:rPr>
        <w:t>rather</w:t>
      </w:r>
      <w:r>
        <w:rPr>
          <w:spacing w:val="35"/>
          <w:sz w:val="24"/>
          <w:u w:val="single"/>
        </w:rPr>
        <w:t xml:space="preserve"> </w:t>
      </w:r>
      <w:r>
        <w:rPr>
          <w:sz w:val="24"/>
          <w:u w:val="single"/>
        </w:rPr>
        <w:t>than</w:t>
      </w:r>
      <w:r>
        <w:rPr>
          <w:spacing w:val="37"/>
          <w:sz w:val="24"/>
          <w:u w:val="single"/>
        </w:rPr>
        <w:t xml:space="preserve"> </w:t>
      </w:r>
      <w:r>
        <w:rPr>
          <w:sz w:val="24"/>
          <w:u w:val="single"/>
        </w:rPr>
        <w:t>Chinese</w:t>
      </w:r>
      <w:r>
        <w:rPr>
          <w:spacing w:val="38"/>
          <w:sz w:val="24"/>
          <w:u w:val="single"/>
        </w:rPr>
        <w:t xml:space="preserve"> </w:t>
      </w:r>
      <w:r>
        <w:rPr>
          <w:sz w:val="24"/>
          <w:u w:val="single"/>
        </w:rPr>
        <w:t>domestic</w:t>
      </w:r>
      <w:r>
        <w:rPr>
          <w:sz w:val="24"/>
        </w:rPr>
        <w:t xml:space="preserve"> </w:t>
      </w:r>
      <w:r>
        <w:rPr>
          <w:sz w:val="24"/>
          <w:u w:val="single"/>
        </w:rPr>
        <w:t>wine</w:t>
      </w:r>
      <w:r>
        <w:rPr>
          <w:spacing w:val="-3"/>
          <w:sz w:val="24"/>
          <w:u w:val="single"/>
        </w:rPr>
        <w:t xml:space="preserve"> </w:t>
      </w:r>
      <w:r>
        <w:rPr>
          <w:sz w:val="24"/>
          <w:u w:val="single"/>
        </w:rPr>
        <w:t>because</w:t>
      </w:r>
      <w:r>
        <w:rPr>
          <w:spacing w:val="1"/>
          <w:sz w:val="24"/>
          <w:u w:val="single"/>
        </w:rPr>
        <w:t xml:space="preserve"> </w:t>
      </w:r>
      <w:r>
        <w:rPr>
          <w:sz w:val="24"/>
          <w:u w:val="single"/>
        </w:rPr>
        <w:t>of</w:t>
      </w:r>
      <w:r>
        <w:rPr>
          <w:spacing w:val="-2"/>
          <w:sz w:val="24"/>
          <w:u w:val="single"/>
        </w:rPr>
        <w:t xml:space="preserve"> </w:t>
      </w:r>
      <w:r>
        <w:rPr>
          <w:sz w:val="24"/>
          <w:u w:val="single"/>
        </w:rPr>
        <w:t>factors</w:t>
      </w:r>
      <w:r>
        <w:rPr>
          <w:spacing w:val="-2"/>
          <w:sz w:val="24"/>
          <w:u w:val="single"/>
        </w:rPr>
        <w:t xml:space="preserve"> </w:t>
      </w:r>
      <w:r>
        <w:rPr>
          <w:sz w:val="24"/>
          <w:u w:val="single"/>
        </w:rPr>
        <w:t>other than</w:t>
      </w:r>
      <w:r>
        <w:rPr>
          <w:spacing w:val="-1"/>
          <w:sz w:val="24"/>
          <w:u w:val="single"/>
        </w:rPr>
        <w:t xml:space="preserve"> </w:t>
      </w:r>
      <w:r>
        <w:rPr>
          <w:sz w:val="24"/>
          <w:u w:val="single"/>
        </w:rPr>
        <w:t>price</w:t>
      </w:r>
      <w:r>
        <w:rPr>
          <w:spacing w:val="-15"/>
          <w:sz w:val="24"/>
          <w:u w:val="single"/>
        </w:rPr>
        <w:t xml:space="preserve"> </w:t>
      </w:r>
      <w:r>
        <w:rPr>
          <w:rFonts w:ascii="Times New Roman"/>
          <w:sz w:val="24"/>
        </w:rPr>
        <w:tab/>
      </w:r>
      <w:r>
        <w:rPr>
          <w:spacing w:val="-5"/>
          <w:sz w:val="24"/>
          <w:u w:val="single"/>
        </w:rPr>
        <w:t>266</w:t>
      </w:r>
    </w:p>
    <w:p w14:paraId="51DE7596" w14:textId="77777777" w:rsidR="0010369C" w:rsidRDefault="008E43AE">
      <w:pPr>
        <w:pStyle w:val="Heading4"/>
        <w:numPr>
          <w:ilvl w:val="2"/>
          <w:numId w:val="80"/>
        </w:numPr>
        <w:tabs>
          <w:tab w:val="left" w:pos="1939"/>
          <w:tab w:val="left" w:pos="1940"/>
          <w:tab w:val="left" w:leader="dot" w:pos="8933"/>
        </w:tabs>
        <w:spacing w:before="120"/>
        <w:ind w:left="1940"/>
      </w:pPr>
      <w:r>
        <w:rPr>
          <w:spacing w:val="-2"/>
        </w:rPr>
        <w:t>Conclusion</w:t>
      </w:r>
      <w:r>
        <w:rPr>
          <w:rFonts w:ascii="Times New Roman"/>
          <w:b w:val="0"/>
        </w:rPr>
        <w:tab/>
      </w:r>
      <w:r>
        <w:rPr>
          <w:spacing w:val="-5"/>
        </w:rPr>
        <w:t>268</w:t>
      </w:r>
    </w:p>
    <w:p w14:paraId="51DE7597" w14:textId="77777777" w:rsidR="0010369C" w:rsidRDefault="008E43AE">
      <w:pPr>
        <w:pStyle w:val="ListParagraph"/>
        <w:numPr>
          <w:ilvl w:val="1"/>
          <w:numId w:val="80"/>
        </w:numPr>
        <w:tabs>
          <w:tab w:val="left" w:pos="1513"/>
          <w:tab w:val="left" w:pos="1514"/>
          <w:tab w:val="left" w:leader="dot" w:pos="8933"/>
        </w:tabs>
        <w:ind w:left="1514"/>
        <w:rPr>
          <w:b/>
          <w:sz w:val="24"/>
        </w:rPr>
      </w:pPr>
      <w:r>
        <w:rPr>
          <w:b/>
          <w:spacing w:val="-2"/>
          <w:sz w:val="24"/>
        </w:rPr>
        <w:t>C</w:t>
      </w:r>
      <w:r>
        <w:rPr>
          <w:b/>
          <w:spacing w:val="-2"/>
          <w:sz w:val="19"/>
        </w:rPr>
        <w:t>ONCLUSION</w:t>
      </w:r>
      <w:r>
        <w:rPr>
          <w:rFonts w:ascii="Times New Roman"/>
          <w:sz w:val="19"/>
        </w:rPr>
        <w:tab/>
      </w:r>
      <w:r>
        <w:rPr>
          <w:b/>
          <w:spacing w:val="-5"/>
          <w:sz w:val="24"/>
        </w:rPr>
        <w:t>268</w:t>
      </w:r>
    </w:p>
    <w:p w14:paraId="51DE7598" w14:textId="77777777" w:rsidR="0010369C" w:rsidRDefault="008E43AE">
      <w:pPr>
        <w:pStyle w:val="Heading4"/>
        <w:numPr>
          <w:ilvl w:val="0"/>
          <w:numId w:val="80"/>
        </w:numPr>
        <w:tabs>
          <w:tab w:val="left" w:pos="1089"/>
          <w:tab w:val="left" w:pos="1090"/>
          <w:tab w:val="left" w:leader="dot" w:pos="8933"/>
        </w:tabs>
        <w:spacing w:before="180"/>
        <w:ind w:hanging="852"/>
      </w:pPr>
      <w:r>
        <w:t>AUSTRALIA'S</w:t>
      </w:r>
      <w:r>
        <w:rPr>
          <w:spacing w:val="-5"/>
        </w:rPr>
        <w:t xml:space="preserve"> </w:t>
      </w:r>
      <w:r>
        <w:t>CLAIMS</w:t>
      </w:r>
      <w:r>
        <w:rPr>
          <w:spacing w:val="-2"/>
        </w:rPr>
        <w:t xml:space="preserve"> </w:t>
      </w:r>
      <w:r>
        <w:t>CONCERNING</w:t>
      </w:r>
      <w:r>
        <w:rPr>
          <w:spacing w:val="-3"/>
        </w:rPr>
        <w:t xml:space="preserve"> </w:t>
      </w:r>
      <w:r>
        <w:t>THE</w:t>
      </w:r>
      <w:r>
        <w:rPr>
          <w:spacing w:val="-3"/>
        </w:rPr>
        <w:t xml:space="preserve"> </w:t>
      </w:r>
      <w:r>
        <w:t>IMPOSITION</w:t>
      </w:r>
      <w:r>
        <w:rPr>
          <w:spacing w:val="-3"/>
        </w:rPr>
        <w:t xml:space="preserve"> </w:t>
      </w:r>
      <w:r>
        <w:t>OF</w:t>
      </w:r>
      <w:r>
        <w:rPr>
          <w:spacing w:val="-2"/>
        </w:rPr>
        <w:t xml:space="preserve"> DUTIES</w:t>
      </w:r>
      <w:r>
        <w:rPr>
          <w:rFonts w:ascii="Times New Roman"/>
          <w:b w:val="0"/>
        </w:rPr>
        <w:tab/>
      </w:r>
      <w:r>
        <w:rPr>
          <w:spacing w:val="-5"/>
        </w:rPr>
        <w:t>269</w:t>
      </w:r>
    </w:p>
    <w:p w14:paraId="51DE7599" w14:textId="77777777" w:rsidR="0010369C" w:rsidRDefault="008E43AE">
      <w:pPr>
        <w:pStyle w:val="ListParagraph"/>
        <w:numPr>
          <w:ilvl w:val="1"/>
          <w:numId w:val="80"/>
        </w:numPr>
        <w:tabs>
          <w:tab w:val="left" w:pos="1513"/>
          <w:tab w:val="left" w:pos="1514"/>
        </w:tabs>
        <w:ind w:left="1514"/>
        <w:rPr>
          <w:b/>
          <w:sz w:val="24"/>
        </w:rPr>
      </w:pPr>
      <w:r>
        <w:rPr>
          <w:b/>
          <w:sz w:val="24"/>
        </w:rPr>
        <w:t>C</w:t>
      </w:r>
      <w:r>
        <w:rPr>
          <w:b/>
          <w:sz w:val="19"/>
        </w:rPr>
        <w:t>HINA</w:t>
      </w:r>
      <w:r>
        <w:rPr>
          <w:b/>
          <w:sz w:val="24"/>
        </w:rPr>
        <w:t>'</w:t>
      </w:r>
      <w:r>
        <w:rPr>
          <w:b/>
          <w:sz w:val="19"/>
        </w:rPr>
        <w:t>S</w:t>
      </w:r>
      <w:r>
        <w:rPr>
          <w:b/>
          <w:spacing w:val="3"/>
          <w:sz w:val="19"/>
        </w:rPr>
        <w:t xml:space="preserve"> </w:t>
      </w:r>
      <w:r>
        <w:rPr>
          <w:b/>
          <w:sz w:val="19"/>
        </w:rPr>
        <w:t>IMPOSITION</w:t>
      </w:r>
      <w:r>
        <w:rPr>
          <w:b/>
          <w:spacing w:val="1"/>
          <w:sz w:val="19"/>
        </w:rPr>
        <w:t xml:space="preserve"> </w:t>
      </w:r>
      <w:r>
        <w:rPr>
          <w:b/>
          <w:sz w:val="19"/>
        </w:rPr>
        <w:t>OF</w:t>
      </w:r>
      <w:r>
        <w:rPr>
          <w:b/>
          <w:spacing w:val="3"/>
          <w:sz w:val="19"/>
        </w:rPr>
        <w:t xml:space="preserve"> </w:t>
      </w:r>
      <w:r>
        <w:rPr>
          <w:b/>
          <w:sz w:val="19"/>
        </w:rPr>
        <w:t>ANTI</w:t>
      </w:r>
      <w:r>
        <w:rPr>
          <w:b/>
          <w:sz w:val="24"/>
        </w:rPr>
        <w:t>‐</w:t>
      </w:r>
      <w:r>
        <w:rPr>
          <w:b/>
          <w:sz w:val="19"/>
        </w:rPr>
        <w:t>DUMPING</w:t>
      </w:r>
      <w:r>
        <w:rPr>
          <w:b/>
          <w:spacing w:val="4"/>
          <w:sz w:val="19"/>
        </w:rPr>
        <w:t xml:space="preserve"> </w:t>
      </w:r>
      <w:r>
        <w:rPr>
          <w:b/>
          <w:sz w:val="19"/>
        </w:rPr>
        <w:t>DUTIES</w:t>
      </w:r>
      <w:r>
        <w:rPr>
          <w:b/>
          <w:spacing w:val="3"/>
          <w:sz w:val="19"/>
        </w:rPr>
        <w:t xml:space="preserve"> </w:t>
      </w:r>
      <w:r>
        <w:rPr>
          <w:b/>
          <w:sz w:val="19"/>
        </w:rPr>
        <w:t>WAS</w:t>
      </w:r>
      <w:r>
        <w:rPr>
          <w:b/>
          <w:spacing w:val="3"/>
          <w:sz w:val="19"/>
        </w:rPr>
        <w:t xml:space="preserve"> </w:t>
      </w:r>
      <w:r>
        <w:rPr>
          <w:b/>
          <w:sz w:val="19"/>
        </w:rPr>
        <w:t>CONTRARY</w:t>
      </w:r>
      <w:r>
        <w:rPr>
          <w:b/>
          <w:spacing w:val="2"/>
          <w:sz w:val="19"/>
        </w:rPr>
        <w:t xml:space="preserve"> </w:t>
      </w:r>
      <w:r>
        <w:rPr>
          <w:b/>
          <w:sz w:val="19"/>
        </w:rPr>
        <w:t>TO</w:t>
      </w:r>
      <w:r>
        <w:rPr>
          <w:b/>
          <w:spacing w:val="4"/>
          <w:sz w:val="19"/>
        </w:rPr>
        <w:t xml:space="preserve"> </w:t>
      </w:r>
      <w:r>
        <w:rPr>
          <w:b/>
          <w:sz w:val="24"/>
        </w:rPr>
        <w:t>A</w:t>
      </w:r>
      <w:r>
        <w:rPr>
          <w:b/>
          <w:sz w:val="19"/>
        </w:rPr>
        <w:t>RTICLES</w:t>
      </w:r>
      <w:r>
        <w:rPr>
          <w:b/>
          <w:spacing w:val="3"/>
          <w:sz w:val="19"/>
        </w:rPr>
        <w:t xml:space="preserve"> </w:t>
      </w:r>
      <w:r>
        <w:rPr>
          <w:b/>
          <w:sz w:val="24"/>
        </w:rPr>
        <w:t>1,</w:t>
      </w:r>
      <w:r>
        <w:rPr>
          <w:b/>
          <w:spacing w:val="-9"/>
          <w:sz w:val="24"/>
        </w:rPr>
        <w:t xml:space="preserve"> </w:t>
      </w:r>
      <w:r>
        <w:rPr>
          <w:b/>
          <w:sz w:val="24"/>
        </w:rPr>
        <w:t>9.1,</w:t>
      </w:r>
      <w:r>
        <w:rPr>
          <w:b/>
          <w:spacing w:val="-8"/>
          <w:sz w:val="24"/>
        </w:rPr>
        <w:t xml:space="preserve"> </w:t>
      </w:r>
      <w:r>
        <w:rPr>
          <w:b/>
          <w:sz w:val="24"/>
        </w:rPr>
        <w:t>9.2</w:t>
      </w:r>
      <w:r>
        <w:rPr>
          <w:b/>
          <w:spacing w:val="-10"/>
          <w:sz w:val="24"/>
        </w:rPr>
        <w:t xml:space="preserve"> </w:t>
      </w:r>
      <w:r>
        <w:rPr>
          <w:b/>
          <w:spacing w:val="-5"/>
          <w:sz w:val="19"/>
        </w:rPr>
        <w:t>AND</w:t>
      </w:r>
    </w:p>
    <w:p w14:paraId="51DE759A" w14:textId="77777777" w:rsidR="0010369C" w:rsidRDefault="008E43AE">
      <w:pPr>
        <w:tabs>
          <w:tab w:val="left" w:leader="dot" w:pos="8933"/>
        </w:tabs>
        <w:ind w:left="1513"/>
        <w:rPr>
          <w:b/>
          <w:sz w:val="24"/>
        </w:rPr>
      </w:pPr>
      <w:r>
        <w:rPr>
          <w:b/>
          <w:sz w:val="24"/>
        </w:rPr>
        <w:t>9.3</w:t>
      </w:r>
      <w:r>
        <w:rPr>
          <w:b/>
          <w:spacing w:val="-14"/>
          <w:sz w:val="24"/>
        </w:rPr>
        <w:t xml:space="preserve"> </w:t>
      </w:r>
      <w:r>
        <w:rPr>
          <w:b/>
          <w:sz w:val="19"/>
        </w:rPr>
        <w:t>OF</w:t>
      </w:r>
      <w:r>
        <w:rPr>
          <w:b/>
          <w:spacing w:val="-11"/>
          <w:sz w:val="19"/>
        </w:rPr>
        <w:t xml:space="preserve"> </w:t>
      </w:r>
      <w:r>
        <w:rPr>
          <w:b/>
          <w:sz w:val="19"/>
        </w:rPr>
        <w:t>THE</w:t>
      </w:r>
      <w:r>
        <w:rPr>
          <w:b/>
          <w:spacing w:val="-10"/>
          <w:sz w:val="19"/>
        </w:rPr>
        <w:t xml:space="preserve"> </w:t>
      </w:r>
      <w:r>
        <w:rPr>
          <w:b/>
          <w:sz w:val="24"/>
        </w:rPr>
        <w:t>A</w:t>
      </w:r>
      <w:r>
        <w:rPr>
          <w:b/>
          <w:sz w:val="19"/>
        </w:rPr>
        <w:t>NTI</w:t>
      </w:r>
      <w:r>
        <w:rPr>
          <w:b/>
          <w:sz w:val="24"/>
        </w:rPr>
        <w:t>‐D</w:t>
      </w:r>
      <w:r>
        <w:rPr>
          <w:b/>
          <w:sz w:val="19"/>
        </w:rPr>
        <w:t>UMPING</w:t>
      </w:r>
      <w:r>
        <w:rPr>
          <w:b/>
          <w:spacing w:val="-5"/>
          <w:sz w:val="19"/>
        </w:rPr>
        <w:t xml:space="preserve"> </w:t>
      </w:r>
      <w:r>
        <w:rPr>
          <w:b/>
          <w:sz w:val="24"/>
        </w:rPr>
        <w:t>A</w:t>
      </w:r>
      <w:r>
        <w:rPr>
          <w:b/>
          <w:sz w:val="19"/>
        </w:rPr>
        <w:t>GREEMENT</w:t>
      </w:r>
      <w:r>
        <w:rPr>
          <w:b/>
          <w:spacing w:val="-5"/>
          <w:sz w:val="19"/>
        </w:rPr>
        <w:t xml:space="preserve"> </w:t>
      </w:r>
      <w:r>
        <w:rPr>
          <w:b/>
          <w:sz w:val="19"/>
        </w:rPr>
        <w:t>AND</w:t>
      </w:r>
      <w:r>
        <w:rPr>
          <w:b/>
          <w:spacing w:val="-5"/>
          <w:sz w:val="19"/>
        </w:rPr>
        <w:t xml:space="preserve"> </w:t>
      </w:r>
      <w:r>
        <w:rPr>
          <w:b/>
          <w:sz w:val="24"/>
        </w:rPr>
        <w:t>A</w:t>
      </w:r>
      <w:r>
        <w:rPr>
          <w:b/>
          <w:sz w:val="19"/>
        </w:rPr>
        <w:t>RTICLE</w:t>
      </w:r>
      <w:r>
        <w:rPr>
          <w:b/>
          <w:spacing w:val="-7"/>
          <w:sz w:val="19"/>
        </w:rPr>
        <w:t xml:space="preserve"> </w:t>
      </w:r>
      <w:r>
        <w:rPr>
          <w:b/>
          <w:sz w:val="24"/>
        </w:rPr>
        <w:t>VI:2</w:t>
      </w:r>
      <w:r>
        <w:rPr>
          <w:b/>
          <w:spacing w:val="-13"/>
          <w:sz w:val="24"/>
        </w:rPr>
        <w:t xml:space="preserve"> </w:t>
      </w:r>
      <w:r>
        <w:rPr>
          <w:b/>
          <w:sz w:val="19"/>
        </w:rPr>
        <w:t>OF</w:t>
      </w:r>
      <w:r>
        <w:rPr>
          <w:b/>
          <w:spacing w:val="-5"/>
          <w:sz w:val="19"/>
        </w:rPr>
        <w:t xml:space="preserve"> </w:t>
      </w:r>
      <w:r>
        <w:rPr>
          <w:b/>
          <w:sz w:val="19"/>
        </w:rPr>
        <w:t>THE</w:t>
      </w:r>
      <w:r>
        <w:rPr>
          <w:b/>
          <w:spacing w:val="-6"/>
          <w:sz w:val="19"/>
        </w:rPr>
        <w:t xml:space="preserve"> </w:t>
      </w:r>
      <w:r>
        <w:rPr>
          <w:b/>
          <w:sz w:val="24"/>
        </w:rPr>
        <w:t>GATT</w:t>
      </w:r>
      <w:r>
        <w:rPr>
          <w:b/>
          <w:spacing w:val="-13"/>
          <w:sz w:val="24"/>
        </w:rPr>
        <w:t xml:space="preserve"> </w:t>
      </w:r>
      <w:r>
        <w:rPr>
          <w:b/>
          <w:spacing w:val="-4"/>
          <w:sz w:val="24"/>
        </w:rPr>
        <w:t>1994</w:t>
      </w:r>
      <w:r>
        <w:rPr>
          <w:rFonts w:ascii="Times New Roman" w:hAnsi="Times New Roman"/>
          <w:sz w:val="24"/>
        </w:rPr>
        <w:tab/>
      </w:r>
      <w:r>
        <w:rPr>
          <w:b/>
          <w:spacing w:val="-5"/>
          <w:sz w:val="24"/>
        </w:rPr>
        <w:t>269</w:t>
      </w:r>
    </w:p>
    <w:p w14:paraId="51DE759B" w14:textId="77777777" w:rsidR="0010369C" w:rsidRDefault="008E43AE">
      <w:pPr>
        <w:pStyle w:val="Heading4"/>
        <w:numPr>
          <w:ilvl w:val="2"/>
          <w:numId w:val="80"/>
        </w:numPr>
        <w:tabs>
          <w:tab w:val="left" w:pos="1939"/>
          <w:tab w:val="left" w:pos="1940"/>
          <w:tab w:val="left" w:leader="dot" w:pos="8933"/>
        </w:tabs>
        <w:spacing w:before="121"/>
        <w:ind w:left="1940" w:right="193"/>
      </w:pPr>
      <w:r>
        <w:t>MOFCOM</w:t>
      </w:r>
      <w:r>
        <w:rPr>
          <w:spacing w:val="34"/>
        </w:rPr>
        <w:t xml:space="preserve"> </w:t>
      </w:r>
      <w:r>
        <w:t>failed</w:t>
      </w:r>
      <w:r>
        <w:rPr>
          <w:spacing w:val="33"/>
        </w:rPr>
        <w:t xml:space="preserve"> </w:t>
      </w:r>
      <w:r>
        <w:t>to</w:t>
      </w:r>
      <w:r>
        <w:rPr>
          <w:spacing w:val="34"/>
        </w:rPr>
        <w:t xml:space="preserve"> </w:t>
      </w:r>
      <w:r>
        <w:t>impose</w:t>
      </w:r>
      <w:r>
        <w:rPr>
          <w:spacing w:val="33"/>
        </w:rPr>
        <w:t xml:space="preserve"> </w:t>
      </w:r>
      <w:r>
        <w:t>anti‐dumping</w:t>
      </w:r>
      <w:r>
        <w:rPr>
          <w:spacing w:val="33"/>
        </w:rPr>
        <w:t xml:space="preserve"> </w:t>
      </w:r>
      <w:r>
        <w:t>duties</w:t>
      </w:r>
      <w:r>
        <w:rPr>
          <w:spacing w:val="33"/>
        </w:rPr>
        <w:t xml:space="preserve"> </w:t>
      </w:r>
      <w:r>
        <w:t>in</w:t>
      </w:r>
      <w:r>
        <w:rPr>
          <w:spacing w:val="33"/>
        </w:rPr>
        <w:t xml:space="preserve"> </w:t>
      </w:r>
      <w:r>
        <w:t>accordance</w:t>
      </w:r>
      <w:r>
        <w:rPr>
          <w:spacing w:val="33"/>
        </w:rPr>
        <w:t xml:space="preserve"> </w:t>
      </w:r>
      <w:r>
        <w:t>with</w:t>
      </w:r>
      <w:r>
        <w:rPr>
          <w:spacing w:val="34"/>
        </w:rPr>
        <w:t xml:space="preserve"> </w:t>
      </w:r>
      <w:r>
        <w:t>the Anti‐Dumping</w:t>
      </w:r>
      <w:r>
        <w:rPr>
          <w:spacing w:val="-8"/>
        </w:rPr>
        <w:t xml:space="preserve"> </w:t>
      </w:r>
      <w:r>
        <w:rPr>
          <w:spacing w:val="-2"/>
        </w:rPr>
        <w:t>Agreement</w:t>
      </w:r>
      <w:r>
        <w:rPr>
          <w:rFonts w:ascii="Times New Roman" w:hAnsi="Times New Roman"/>
          <w:b w:val="0"/>
        </w:rPr>
        <w:tab/>
      </w:r>
      <w:r>
        <w:rPr>
          <w:spacing w:val="-5"/>
        </w:rPr>
        <w:t>269</w:t>
      </w:r>
    </w:p>
    <w:p w14:paraId="51DE759C" w14:textId="77777777" w:rsidR="0010369C" w:rsidRDefault="008E43AE">
      <w:pPr>
        <w:pStyle w:val="Heading4"/>
        <w:numPr>
          <w:ilvl w:val="2"/>
          <w:numId w:val="80"/>
        </w:numPr>
        <w:tabs>
          <w:tab w:val="left" w:pos="1939"/>
          <w:tab w:val="left" w:pos="1940"/>
          <w:tab w:val="left" w:leader="dot" w:pos="8933"/>
        </w:tabs>
        <w:spacing w:before="119"/>
        <w:ind w:left="1940"/>
      </w:pPr>
      <w:r>
        <w:t>Breach</w:t>
      </w:r>
      <w:r>
        <w:rPr>
          <w:spacing w:val="-6"/>
        </w:rPr>
        <w:t xml:space="preserve"> </w:t>
      </w:r>
      <w:r>
        <w:t>of</w:t>
      </w:r>
      <w:r>
        <w:rPr>
          <w:spacing w:val="-3"/>
        </w:rPr>
        <w:t xml:space="preserve"> </w:t>
      </w:r>
      <w:r>
        <w:t>Article</w:t>
      </w:r>
      <w:r>
        <w:rPr>
          <w:spacing w:val="-2"/>
        </w:rPr>
        <w:t xml:space="preserve"> </w:t>
      </w:r>
      <w:r>
        <w:rPr>
          <w:spacing w:val="-5"/>
        </w:rPr>
        <w:t>9.1</w:t>
      </w:r>
      <w:r>
        <w:rPr>
          <w:rFonts w:ascii="Times New Roman"/>
          <w:b w:val="0"/>
        </w:rPr>
        <w:tab/>
      </w:r>
      <w:r>
        <w:rPr>
          <w:spacing w:val="-5"/>
        </w:rPr>
        <w:t>270</w:t>
      </w:r>
    </w:p>
    <w:p w14:paraId="51DE759D" w14:textId="77777777" w:rsidR="0010369C" w:rsidRDefault="008E43AE">
      <w:pPr>
        <w:pStyle w:val="Heading4"/>
        <w:numPr>
          <w:ilvl w:val="2"/>
          <w:numId w:val="80"/>
        </w:numPr>
        <w:tabs>
          <w:tab w:val="left" w:pos="1939"/>
          <w:tab w:val="left" w:pos="1940"/>
          <w:tab w:val="left" w:leader="dot" w:pos="8933"/>
        </w:tabs>
        <w:spacing w:before="120"/>
        <w:ind w:left="1940"/>
      </w:pPr>
      <w:r>
        <w:t>Breach</w:t>
      </w:r>
      <w:r>
        <w:rPr>
          <w:spacing w:val="-6"/>
        </w:rPr>
        <w:t xml:space="preserve"> </w:t>
      </w:r>
      <w:r>
        <w:t>of</w:t>
      </w:r>
      <w:r>
        <w:rPr>
          <w:spacing w:val="-3"/>
        </w:rPr>
        <w:t xml:space="preserve"> </w:t>
      </w:r>
      <w:r>
        <w:t>Article</w:t>
      </w:r>
      <w:r>
        <w:rPr>
          <w:spacing w:val="-2"/>
        </w:rPr>
        <w:t xml:space="preserve"> </w:t>
      </w:r>
      <w:r>
        <w:rPr>
          <w:spacing w:val="-5"/>
        </w:rPr>
        <w:t>9.2</w:t>
      </w:r>
      <w:r>
        <w:rPr>
          <w:rFonts w:ascii="Times New Roman"/>
          <w:b w:val="0"/>
        </w:rPr>
        <w:tab/>
      </w:r>
      <w:r>
        <w:rPr>
          <w:spacing w:val="-5"/>
        </w:rPr>
        <w:t>272</w:t>
      </w:r>
    </w:p>
    <w:p w14:paraId="51DE759E" w14:textId="77777777" w:rsidR="0010369C" w:rsidRDefault="008E43AE">
      <w:pPr>
        <w:pStyle w:val="Heading4"/>
        <w:numPr>
          <w:ilvl w:val="2"/>
          <w:numId w:val="80"/>
        </w:numPr>
        <w:tabs>
          <w:tab w:val="left" w:pos="1939"/>
          <w:tab w:val="left" w:pos="1940"/>
          <w:tab w:val="left" w:leader="dot" w:pos="8933"/>
        </w:tabs>
        <w:spacing w:before="120"/>
        <w:ind w:left="1940"/>
      </w:pPr>
      <w:r>
        <w:t>Breach</w:t>
      </w:r>
      <w:r>
        <w:rPr>
          <w:spacing w:val="-6"/>
        </w:rPr>
        <w:t xml:space="preserve"> </w:t>
      </w:r>
      <w:r>
        <w:t>of</w:t>
      </w:r>
      <w:r>
        <w:rPr>
          <w:spacing w:val="-3"/>
        </w:rPr>
        <w:t xml:space="preserve"> </w:t>
      </w:r>
      <w:r>
        <w:t>Article</w:t>
      </w:r>
      <w:r>
        <w:rPr>
          <w:spacing w:val="-2"/>
        </w:rPr>
        <w:t xml:space="preserve"> </w:t>
      </w:r>
      <w:r>
        <w:rPr>
          <w:spacing w:val="-5"/>
        </w:rPr>
        <w:t>9.3</w:t>
      </w:r>
      <w:r>
        <w:rPr>
          <w:rFonts w:ascii="Times New Roman"/>
          <w:b w:val="0"/>
        </w:rPr>
        <w:tab/>
      </w:r>
      <w:r>
        <w:rPr>
          <w:spacing w:val="-5"/>
        </w:rPr>
        <w:t>274</w:t>
      </w:r>
    </w:p>
    <w:p w14:paraId="51DE759F" w14:textId="77777777" w:rsidR="0010369C" w:rsidRDefault="008E43AE">
      <w:pPr>
        <w:pStyle w:val="Heading4"/>
        <w:numPr>
          <w:ilvl w:val="2"/>
          <w:numId w:val="80"/>
        </w:numPr>
        <w:tabs>
          <w:tab w:val="left" w:pos="1939"/>
          <w:tab w:val="left" w:pos="1940"/>
          <w:tab w:val="left" w:leader="dot" w:pos="8933"/>
        </w:tabs>
        <w:spacing w:before="121"/>
        <w:ind w:left="1940"/>
      </w:pPr>
      <w:r>
        <w:t>Consequential</w:t>
      </w:r>
      <w:r>
        <w:rPr>
          <w:spacing w:val="-5"/>
        </w:rPr>
        <w:t xml:space="preserve"> </w:t>
      </w:r>
      <w:r>
        <w:t>breach</w:t>
      </w:r>
      <w:r>
        <w:rPr>
          <w:spacing w:val="-6"/>
        </w:rPr>
        <w:t xml:space="preserve"> </w:t>
      </w:r>
      <w:r>
        <w:t>of</w:t>
      </w:r>
      <w:r>
        <w:rPr>
          <w:spacing w:val="-6"/>
        </w:rPr>
        <w:t xml:space="preserve"> </w:t>
      </w:r>
      <w:r>
        <w:t>Article</w:t>
      </w:r>
      <w:r>
        <w:rPr>
          <w:spacing w:val="-4"/>
        </w:rPr>
        <w:t xml:space="preserve"> </w:t>
      </w:r>
      <w:r>
        <w:rPr>
          <w:spacing w:val="-10"/>
        </w:rPr>
        <w:t>1</w:t>
      </w:r>
      <w:r>
        <w:rPr>
          <w:rFonts w:ascii="Times New Roman"/>
          <w:b w:val="0"/>
        </w:rPr>
        <w:tab/>
      </w:r>
      <w:r>
        <w:rPr>
          <w:spacing w:val="-5"/>
        </w:rPr>
        <w:t>275</w:t>
      </w:r>
    </w:p>
    <w:p w14:paraId="51DE75A0" w14:textId="77777777" w:rsidR="0010369C" w:rsidRDefault="008E43AE">
      <w:pPr>
        <w:pStyle w:val="Heading4"/>
        <w:numPr>
          <w:ilvl w:val="2"/>
          <w:numId w:val="80"/>
        </w:numPr>
        <w:tabs>
          <w:tab w:val="left" w:pos="1939"/>
          <w:tab w:val="left" w:pos="1940"/>
          <w:tab w:val="left" w:leader="dot" w:pos="8933"/>
        </w:tabs>
        <w:spacing w:before="120"/>
        <w:ind w:left="1940"/>
      </w:pPr>
      <w:r>
        <w:t>Consequential</w:t>
      </w:r>
      <w:r>
        <w:rPr>
          <w:spacing w:val="-4"/>
        </w:rPr>
        <w:t xml:space="preserve"> </w:t>
      </w:r>
      <w:r>
        <w:t>breach</w:t>
      </w:r>
      <w:r>
        <w:rPr>
          <w:spacing w:val="-4"/>
        </w:rPr>
        <w:t xml:space="preserve"> </w:t>
      </w:r>
      <w:r>
        <w:t>of</w:t>
      </w:r>
      <w:r>
        <w:rPr>
          <w:spacing w:val="-4"/>
        </w:rPr>
        <w:t xml:space="preserve"> </w:t>
      </w:r>
      <w:r>
        <w:t>Article</w:t>
      </w:r>
      <w:r>
        <w:rPr>
          <w:spacing w:val="-3"/>
        </w:rPr>
        <w:t xml:space="preserve"> </w:t>
      </w:r>
      <w:r>
        <w:t>VI:2</w:t>
      </w:r>
      <w:r>
        <w:rPr>
          <w:spacing w:val="-4"/>
        </w:rPr>
        <w:t xml:space="preserve"> </w:t>
      </w:r>
      <w:r>
        <w:t>of</w:t>
      </w:r>
      <w:r>
        <w:rPr>
          <w:spacing w:val="-4"/>
        </w:rPr>
        <w:t xml:space="preserve"> </w:t>
      </w:r>
      <w:r>
        <w:t>GATT</w:t>
      </w:r>
      <w:r>
        <w:rPr>
          <w:spacing w:val="-3"/>
        </w:rPr>
        <w:t xml:space="preserve"> </w:t>
      </w:r>
      <w:r>
        <w:rPr>
          <w:spacing w:val="-4"/>
        </w:rPr>
        <w:t>1994</w:t>
      </w:r>
      <w:r>
        <w:rPr>
          <w:rFonts w:ascii="Times New Roman"/>
          <w:b w:val="0"/>
        </w:rPr>
        <w:tab/>
      </w:r>
      <w:r>
        <w:rPr>
          <w:spacing w:val="-5"/>
        </w:rPr>
        <w:t>276</w:t>
      </w:r>
    </w:p>
    <w:p w14:paraId="51DE75A1" w14:textId="77777777" w:rsidR="0010369C" w:rsidRDefault="008E43AE">
      <w:pPr>
        <w:pStyle w:val="ListParagraph"/>
        <w:numPr>
          <w:ilvl w:val="1"/>
          <w:numId w:val="80"/>
        </w:numPr>
        <w:tabs>
          <w:tab w:val="left" w:pos="1513"/>
          <w:tab w:val="left" w:pos="1514"/>
          <w:tab w:val="left" w:leader="dot" w:pos="8933"/>
        </w:tabs>
        <w:ind w:left="1514"/>
        <w:rPr>
          <w:b/>
          <w:sz w:val="24"/>
        </w:rPr>
      </w:pPr>
      <w:r>
        <w:rPr>
          <w:b/>
          <w:spacing w:val="-2"/>
          <w:sz w:val="24"/>
        </w:rPr>
        <w:t>C</w:t>
      </w:r>
      <w:r>
        <w:rPr>
          <w:b/>
          <w:spacing w:val="-2"/>
          <w:sz w:val="19"/>
        </w:rPr>
        <w:t>ONCLUSION</w:t>
      </w:r>
      <w:r>
        <w:rPr>
          <w:rFonts w:ascii="Times New Roman"/>
          <w:sz w:val="19"/>
        </w:rPr>
        <w:tab/>
      </w:r>
      <w:r>
        <w:rPr>
          <w:b/>
          <w:spacing w:val="-5"/>
          <w:sz w:val="24"/>
        </w:rPr>
        <w:t>276</w:t>
      </w:r>
    </w:p>
    <w:p w14:paraId="51DE75A2" w14:textId="77777777" w:rsidR="0010369C" w:rsidRDefault="008E43AE">
      <w:pPr>
        <w:pStyle w:val="Heading4"/>
        <w:numPr>
          <w:ilvl w:val="0"/>
          <w:numId w:val="80"/>
        </w:numPr>
        <w:tabs>
          <w:tab w:val="left" w:pos="1089"/>
          <w:tab w:val="left" w:pos="1090"/>
          <w:tab w:val="left" w:leader="dot" w:pos="8933"/>
        </w:tabs>
        <w:spacing w:before="179"/>
        <w:ind w:hanging="852"/>
      </w:pPr>
      <w:r>
        <w:t>AUSTRALIA'S</w:t>
      </w:r>
      <w:r>
        <w:rPr>
          <w:spacing w:val="-1"/>
        </w:rPr>
        <w:t xml:space="preserve"> </w:t>
      </w:r>
      <w:r>
        <w:t>CLAIMS</w:t>
      </w:r>
      <w:r>
        <w:rPr>
          <w:spacing w:val="-1"/>
        </w:rPr>
        <w:t xml:space="preserve"> </w:t>
      </w:r>
      <w:r>
        <w:t>CONCERNING</w:t>
      </w:r>
      <w:r>
        <w:rPr>
          <w:spacing w:val="-2"/>
        </w:rPr>
        <w:t xml:space="preserve"> </w:t>
      </w:r>
      <w:r>
        <w:t>THE</w:t>
      </w:r>
      <w:r>
        <w:rPr>
          <w:spacing w:val="-1"/>
        </w:rPr>
        <w:t xml:space="preserve"> </w:t>
      </w:r>
      <w:r>
        <w:t>INITIATION</w:t>
      </w:r>
      <w:r>
        <w:rPr>
          <w:spacing w:val="-2"/>
        </w:rPr>
        <w:t xml:space="preserve"> </w:t>
      </w:r>
      <w:r>
        <w:t>OF</w:t>
      </w:r>
      <w:r>
        <w:rPr>
          <w:spacing w:val="-1"/>
        </w:rPr>
        <w:t xml:space="preserve"> </w:t>
      </w:r>
      <w:r>
        <w:t xml:space="preserve">THE </w:t>
      </w:r>
      <w:r>
        <w:rPr>
          <w:spacing w:val="-2"/>
        </w:rPr>
        <w:t>INVESTIGATION</w:t>
      </w:r>
      <w:r>
        <w:rPr>
          <w:rFonts w:ascii="Times New Roman"/>
          <w:b w:val="0"/>
        </w:rPr>
        <w:tab/>
      </w:r>
      <w:r>
        <w:rPr>
          <w:spacing w:val="-5"/>
        </w:rPr>
        <w:t>276</w:t>
      </w:r>
    </w:p>
    <w:p w14:paraId="51DE75A3" w14:textId="77777777" w:rsidR="0010369C" w:rsidRDefault="008E43AE">
      <w:pPr>
        <w:pStyle w:val="ListParagraph"/>
        <w:numPr>
          <w:ilvl w:val="1"/>
          <w:numId w:val="80"/>
        </w:numPr>
        <w:tabs>
          <w:tab w:val="left" w:pos="1513"/>
          <w:tab w:val="left" w:pos="1514"/>
          <w:tab w:val="left" w:leader="dot" w:pos="8933"/>
        </w:tabs>
        <w:ind w:left="1514"/>
        <w:rPr>
          <w:b/>
          <w:sz w:val="24"/>
        </w:rPr>
      </w:pPr>
      <w:r>
        <w:rPr>
          <w:b/>
          <w:sz w:val="24"/>
        </w:rPr>
        <w:t>T</w:t>
      </w:r>
      <w:r>
        <w:rPr>
          <w:b/>
          <w:sz w:val="19"/>
        </w:rPr>
        <w:t>HE</w:t>
      </w:r>
      <w:r>
        <w:rPr>
          <w:b/>
          <w:spacing w:val="-5"/>
          <w:sz w:val="19"/>
        </w:rPr>
        <w:t xml:space="preserve"> </w:t>
      </w:r>
      <w:r>
        <w:rPr>
          <w:b/>
          <w:sz w:val="19"/>
        </w:rPr>
        <w:t>APPLICATION</w:t>
      </w:r>
      <w:r>
        <w:rPr>
          <w:b/>
          <w:spacing w:val="-5"/>
          <w:sz w:val="19"/>
        </w:rPr>
        <w:t xml:space="preserve"> </w:t>
      </w:r>
      <w:r>
        <w:rPr>
          <w:b/>
          <w:sz w:val="19"/>
        </w:rPr>
        <w:t>WAS</w:t>
      </w:r>
      <w:r>
        <w:rPr>
          <w:b/>
          <w:spacing w:val="-5"/>
          <w:sz w:val="19"/>
        </w:rPr>
        <w:t xml:space="preserve"> </w:t>
      </w:r>
      <w:r>
        <w:rPr>
          <w:b/>
          <w:sz w:val="19"/>
        </w:rPr>
        <w:t>NOT</w:t>
      </w:r>
      <w:r>
        <w:rPr>
          <w:b/>
          <w:spacing w:val="-4"/>
          <w:sz w:val="19"/>
        </w:rPr>
        <w:t xml:space="preserve"> </w:t>
      </w:r>
      <w:r>
        <w:rPr>
          <w:b/>
          <w:sz w:val="19"/>
        </w:rPr>
        <w:t>MADE</w:t>
      </w:r>
      <w:r>
        <w:rPr>
          <w:b/>
          <w:spacing w:val="-5"/>
          <w:sz w:val="19"/>
        </w:rPr>
        <w:t xml:space="preserve"> </w:t>
      </w:r>
      <w:r>
        <w:rPr>
          <w:b/>
          <w:sz w:val="24"/>
        </w:rPr>
        <w:t>"</w:t>
      </w:r>
      <w:r>
        <w:rPr>
          <w:b/>
          <w:sz w:val="19"/>
        </w:rPr>
        <w:t>BY</w:t>
      </w:r>
      <w:r>
        <w:rPr>
          <w:b/>
          <w:spacing w:val="-5"/>
          <w:sz w:val="19"/>
        </w:rPr>
        <w:t xml:space="preserve"> </w:t>
      </w:r>
      <w:r>
        <w:rPr>
          <w:b/>
          <w:sz w:val="19"/>
        </w:rPr>
        <w:t>OR</w:t>
      </w:r>
      <w:r>
        <w:rPr>
          <w:b/>
          <w:spacing w:val="-5"/>
          <w:sz w:val="19"/>
        </w:rPr>
        <w:t xml:space="preserve"> </w:t>
      </w:r>
      <w:r>
        <w:rPr>
          <w:b/>
          <w:sz w:val="19"/>
        </w:rPr>
        <w:t>ON</w:t>
      </w:r>
      <w:r>
        <w:rPr>
          <w:b/>
          <w:spacing w:val="-4"/>
          <w:sz w:val="19"/>
        </w:rPr>
        <w:t xml:space="preserve"> </w:t>
      </w:r>
      <w:r>
        <w:rPr>
          <w:b/>
          <w:sz w:val="19"/>
        </w:rPr>
        <w:t>BEHALF</w:t>
      </w:r>
      <w:r>
        <w:rPr>
          <w:b/>
          <w:spacing w:val="-5"/>
          <w:sz w:val="19"/>
        </w:rPr>
        <w:t xml:space="preserve"> </w:t>
      </w:r>
      <w:r>
        <w:rPr>
          <w:b/>
          <w:sz w:val="19"/>
        </w:rPr>
        <w:t>OF</w:t>
      </w:r>
      <w:r>
        <w:rPr>
          <w:b/>
          <w:spacing w:val="-6"/>
          <w:sz w:val="19"/>
        </w:rPr>
        <w:t xml:space="preserve"> </w:t>
      </w:r>
      <w:r>
        <w:rPr>
          <w:b/>
          <w:sz w:val="19"/>
        </w:rPr>
        <w:t>THE</w:t>
      </w:r>
      <w:r>
        <w:rPr>
          <w:b/>
          <w:spacing w:val="-5"/>
          <w:sz w:val="19"/>
        </w:rPr>
        <w:t xml:space="preserve"> </w:t>
      </w:r>
      <w:r>
        <w:rPr>
          <w:b/>
          <w:sz w:val="19"/>
        </w:rPr>
        <w:t>DOMESTIC</w:t>
      </w:r>
      <w:r>
        <w:rPr>
          <w:b/>
          <w:spacing w:val="-3"/>
          <w:sz w:val="19"/>
        </w:rPr>
        <w:t xml:space="preserve"> </w:t>
      </w:r>
      <w:r>
        <w:rPr>
          <w:b/>
          <w:spacing w:val="-2"/>
          <w:sz w:val="19"/>
        </w:rPr>
        <w:t>INDUSTRY</w:t>
      </w:r>
      <w:r>
        <w:rPr>
          <w:b/>
          <w:spacing w:val="-2"/>
          <w:sz w:val="24"/>
        </w:rPr>
        <w:t>"</w:t>
      </w:r>
      <w:r>
        <w:rPr>
          <w:rFonts w:ascii="Times New Roman"/>
          <w:sz w:val="24"/>
        </w:rPr>
        <w:tab/>
      </w:r>
      <w:r>
        <w:rPr>
          <w:b/>
          <w:spacing w:val="-5"/>
          <w:sz w:val="24"/>
        </w:rPr>
        <w:t>277</w:t>
      </w:r>
    </w:p>
    <w:p w14:paraId="51DE75A4" w14:textId="77777777" w:rsidR="0010369C" w:rsidRDefault="008E43AE">
      <w:pPr>
        <w:pStyle w:val="Heading4"/>
        <w:numPr>
          <w:ilvl w:val="2"/>
          <w:numId w:val="80"/>
        </w:numPr>
        <w:tabs>
          <w:tab w:val="left" w:pos="1939"/>
          <w:tab w:val="left" w:pos="1940"/>
          <w:tab w:val="left" w:leader="dot" w:pos="8933"/>
        </w:tabs>
        <w:spacing w:before="120"/>
        <w:ind w:left="1940"/>
        <w:jc w:val="both"/>
      </w:pPr>
      <w:r>
        <w:t>Legal</w:t>
      </w:r>
      <w:r>
        <w:rPr>
          <w:spacing w:val="-1"/>
        </w:rPr>
        <w:t xml:space="preserve"> </w:t>
      </w:r>
      <w:r>
        <w:rPr>
          <w:spacing w:val="-2"/>
        </w:rPr>
        <w:t>framework</w:t>
      </w:r>
      <w:r>
        <w:rPr>
          <w:rFonts w:ascii="Times New Roman"/>
          <w:b w:val="0"/>
        </w:rPr>
        <w:tab/>
      </w:r>
      <w:r>
        <w:rPr>
          <w:spacing w:val="-5"/>
        </w:rPr>
        <w:t>277</w:t>
      </w:r>
    </w:p>
    <w:p w14:paraId="51DE75A5" w14:textId="77777777" w:rsidR="0010369C" w:rsidRDefault="008E43AE">
      <w:pPr>
        <w:pStyle w:val="Heading4"/>
        <w:numPr>
          <w:ilvl w:val="2"/>
          <w:numId w:val="80"/>
        </w:numPr>
        <w:tabs>
          <w:tab w:val="left" w:pos="1939"/>
          <w:tab w:val="left" w:pos="1940"/>
          <w:tab w:val="left" w:leader="dot" w:pos="8933"/>
        </w:tabs>
        <w:spacing w:before="120"/>
        <w:ind w:left="1939" w:right="192"/>
        <w:jc w:val="both"/>
      </w:pPr>
      <w:r>
        <w:t>An unbiased and objective investigating authority could not have determined that the applicant had standing</w:t>
      </w:r>
      <w:r>
        <w:rPr>
          <w:rFonts w:ascii="Times New Roman"/>
          <w:b w:val="0"/>
        </w:rPr>
        <w:tab/>
      </w:r>
      <w:r>
        <w:rPr>
          <w:spacing w:val="-4"/>
        </w:rPr>
        <w:t>278</w:t>
      </w:r>
    </w:p>
    <w:p w14:paraId="51DE75A6" w14:textId="77777777" w:rsidR="0010369C" w:rsidRDefault="008E43AE">
      <w:pPr>
        <w:pStyle w:val="ListParagraph"/>
        <w:numPr>
          <w:ilvl w:val="3"/>
          <w:numId w:val="80"/>
        </w:numPr>
        <w:tabs>
          <w:tab w:val="left" w:pos="2365"/>
          <w:tab w:val="left" w:pos="2366"/>
          <w:tab w:val="left" w:leader="dot" w:pos="8933"/>
        </w:tabs>
        <w:spacing w:before="121"/>
        <w:ind w:hanging="853"/>
        <w:jc w:val="both"/>
        <w:rPr>
          <w:sz w:val="24"/>
        </w:rPr>
      </w:pPr>
      <w:r>
        <w:rPr>
          <w:sz w:val="24"/>
          <w:u w:val="single"/>
        </w:rPr>
        <w:t>Required</w:t>
      </w:r>
      <w:r>
        <w:rPr>
          <w:spacing w:val="-2"/>
          <w:sz w:val="24"/>
          <w:u w:val="single"/>
        </w:rPr>
        <w:t xml:space="preserve"> </w:t>
      </w:r>
      <w:r>
        <w:rPr>
          <w:sz w:val="24"/>
          <w:u w:val="single"/>
        </w:rPr>
        <w:t>support</w:t>
      </w:r>
      <w:r>
        <w:rPr>
          <w:spacing w:val="-1"/>
          <w:sz w:val="24"/>
          <w:u w:val="single"/>
        </w:rPr>
        <w:t xml:space="preserve"> </w:t>
      </w:r>
      <w:r>
        <w:rPr>
          <w:sz w:val="24"/>
          <w:u w:val="single"/>
        </w:rPr>
        <w:t>of</w:t>
      </w:r>
      <w:r>
        <w:rPr>
          <w:spacing w:val="-2"/>
          <w:sz w:val="24"/>
          <w:u w:val="single"/>
        </w:rPr>
        <w:t xml:space="preserve"> </w:t>
      </w:r>
      <w:r>
        <w:rPr>
          <w:sz w:val="24"/>
          <w:u w:val="single"/>
        </w:rPr>
        <w:t>the</w:t>
      </w:r>
      <w:r>
        <w:rPr>
          <w:spacing w:val="-1"/>
          <w:sz w:val="24"/>
          <w:u w:val="single"/>
        </w:rPr>
        <w:t xml:space="preserve"> </w:t>
      </w:r>
      <w:r>
        <w:rPr>
          <w:sz w:val="24"/>
          <w:u w:val="single"/>
        </w:rPr>
        <w:t>domestic</w:t>
      </w:r>
      <w:r>
        <w:rPr>
          <w:spacing w:val="1"/>
          <w:sz w:val="24"/>
          <w:u w:val="single"/>
        </w:rPr>
        <w:t xml:space="preserve"> </w:t>
      </w:r>
      <w:r>
        <w:rPr>
          <w:spacing w:val="-2"/>
          <w:sz w:val="24"/>
          <w:u w:val="single"/>
        </w:rPr>
        <w:t>industry</w:t>
      </w:r>
      <w:r>
        <w:rPr>
          <w:rFonts w:ascii="Times New Roman"/>
          <w:sz w:val="24"/>
        </w:rPr>
        <w:tab/>
      </w:r>
      <w:r>
        <w:rPr>
          <w:spacing w:val="-5"/>
          <w:sz w:val="24"/>
          <w:u w:val="single"/>
        </w:rPr>
        <w:t>278</w:t>
      </w:r>
    </w:p>
    <w:p w14:paraId="51DE75A7" w14:textId="77777777" w:rsidR="0010369C" w:rsidRDefault="008E43AE">
      <w:pPr>
        <w:pStyle w:val="ListParagraph"/>
        <w:numPr>
          <w:ilvl w:val="3"/>
          <w:numId w:val="80"/>
        </w:numPr>
        <w:tabs>
          <w:tab w:val="left" w:pos="2365"/>
          <w:tab w:val="left" w:pos="2366"/>
          <w:tab w:val="left" w:leader="dot" w:pos="8933"/>
        </w:tabs>
        <w:ind w:left="2365" w:right="191" w:hanging="852"/>
        <w:jc w:val="both"/>
        <w:rPr>
          <w:sz w:val="24"/>
        </w:rPr>
      </w:pPr>
      <w:r>
        <w:rPr>
          <w:sz w:val="24"/>
          <w:u w:val="single"/>
        </w:rPr>
        <w:t>Unreliability of evidence relied upon by CADA to establish the total</w:t>
      </w:r>
      <w:r>
        <w:rPr>
          <w:sz w:val="24"/>
        </w:rPr>
        <w:t xml:space="preserve"> </w:t>
      </w:r>
      <w:r>
        <w:rPr>
          <w:sz w:val="24"/>
          <w:u w:val="single"/>
        </w:rPr>
        <w:t>output of its members and the</w:t>
      </w:r>
      <w:r>
        <w:rPr>
          <w:sz w:val="24"/>
          <w:u w:val="single"/>
        </w:rPr>
        <w:t xml:space="preserve"> total domestic production value of like</w:t>
      </w:r>
      <w:r>
        <w:rPr>
          <w:sz w:val="24"/>
        </w:rPr>
        <w:t xml:space="preserve"> </w:t>
      </w:r>
      <w:r>
        <w:rPr>
          <w:sz w:val="24"/>
          <w:u w:val="single"/>
        </w:rPr>
        <w:t xml:space="preserve">products </w:t>
      </w:r>
      <w:r>
        <w:rPr>
          <w:rFonts w:ascii="Times New Roman"/>
          <w:sz w:val="24"/>
        </w:rPr>
        <w:tab/>
      </w:r>
      <w:r>
        <w:rPr>
          <w:spacing w:val="-5"/>
          <w:sz w:val="24"/>
          <w:u w:val="single"/>
        </w:rPr>
        <w:t>281</w:t>
      </w:r>
    </w:p>
    <w:p w14:paraId="51DE75A8" w14:textId="77777777" w:rsidR="0010369C" w:rsidRDefault="008E43AE">
      <w:pPr>
        <w:pStyle w:val="ListParagraph"/>
        <w:numPr>
          <w:ilvl w:val="1"/>
          <w:numId w:val="80"/>
        </w:numPr>
        <w:tabs>
          <w:tab w:val="left" w:pos="1513"/>
          <w:tab w:val="left" w:pos="1514"/>
          <w:tab w:val="left" w:leader="dot" w:pos="8933"/>
        </w:tabs>
        <w:spacing w:before="119"/>
        <w:ind w:left="1515" w:right="194" w:hanging="853"/>
        <w:rPr>
          <w:b/>
          <w:sz w:val="24"/>
        </w:rPr>
      </w:pPr>
      <w:r>
        <w:rPr>
          <w:b/>
          <w:sz w:val="24"/>
        </w:rPr>
        <w:t>T</w:t>
      </w:r>
      <w:r>
        <w:rPr>
          <w:b/>
          <w:sz w:val="19"/>
        </w:rPr>
        <w:t xml:space="preserve">HE APPLICATION DID NOT CONTAIN A LIST OF ALL KNOWN DOMESTIC PRODUCERS OF THE LIKE </w:t>
      </w:r>
      <w:r>
        <w:rPr>
          <w:b/>
          <w:spacing w:val="-2"/>
          <w:sz w:val="19"/>
        </w:rPr>
        <w:t>PRODUCTS</w:t>
      </w:r>
      <w:r>
        <w:rPr>
          <w:rFonts w:ascii="Times New Roman"/>
          <w:sz w:val="19"/>
        </w:rPr>
        <w:tab/>
      </w:r>
      <w:r>
        <w:rPr>
          <w:b/>
          <w:spacing w:val="-4"/>
          <w:sz w:val="24"/>
        </w:rPr>
        <w:t>283</w:t>
      </w:r>
    </w:p>
    <w:p w14:paraId="51DE75A9" w14:textId="77777777" w:rsidR="0010369C" w:rsidRDefault="008E43AE">
      <w:pPr>
        <w:pStyle w:val="ListParagraph"/>
        <w:numPr>
          <w:ilvl w:val="1"/>
          <w:numId w:val="80"/>
        </w:numPr>
        <w:tabs>
          <w:tab w:val="left" w:pos="1513"/>
          <w:tab w:val="left" w:pos="1514"/>
          <w:tab w:val="left" w:leader="dot" w:pos="8933"/>
        </w:tabs>
        <w:ind w:left="1514"/>
        <w:rPr>
          <w:b/>
          <w:sz w:val="24"/>
        </w:rPr>
      </w:pPr>
      <w:r>
        <w:rPr>
          <w:b/>
          <w:spacing w:val="-2"/>
          <w:sz w:val="24"/>
        </w:rPr>
        <w:t>MOFCOM</w:t>
      </w:r>
      <w:r>
        <w:rPr>
          <w:b/>
          <w:spacing w:val="-5"/>
          <w:sz w:val="24"/>
        </w:rPr>
        <w:t xml:space="preserve"> </w:t>
      </w:r>
      <w:r>
        <w:rPr>
          <w:b/>
          <w:spacing w:val="-2"/>
          <w:sz w:val="19"/>
        </w:rPr>
        <w:t>INITIATED</w:t>
      </w:r>
      <w:r>
        <w:rPr>
          <w:b/>
          <w:spacing w:val="5"/>
          <w:sz w:val="19"/>
        </w:rPr>
        <w:t xml:space="preserve"> </w:t>
      </w:r>
      <w:r>
        <w:rPr>
          <w:b/>
          <w:spacing w:val="-2"/>
          <w:sz w:val="19"/>
        </w:rPr>
        <w:t>THE</w:t>
      </w:r>
      <w:r>
        <w:rPr>
          <w:b/>
          <w:spacing w:val="6"/>
          <w:sz w:val="19"/>
        </w:rPr>
        <w:t xml:space="preserve"> </w:t>
      </w:r>
      <w:r>
        <w:rPr>
          <w:b/>
          <w:spacing w:val="-2"/>
          <w:sz w:val="19"/>
        </w:rPr>
        <w:t>INVESTIGATION</w:t>
      </w:r>
      <w:r>
        <w:rPr>
          <w:b/>
          <w:spacing w:val="8"/>
          <w:sz w:val="19"/>
        </w:rPr>
        <w:t xml:space="preserve"> </w:t>
      </w:r>
      <w:r>
        <w:rPr>
          <w:b/>
          <w:spacing w:val="-2"/>
          <w:sz w:val="19"/>
        </w:rPr>
        <w:t>WITHOUT</w:t>
      </w:r>
      <w:r>
        <w:rPr>
          <w:b/>
          <w:spacing w:val="4"/>
          <w:sz w:val="19"/>
        </w:rPr>
        <w:t xml:space="preserve"> </w:t>
      </w:r>
      <w:r>
        <w:rPr>
          <w:b/>
          <w:spacing w:val="-2"/>
          <w:sz w:val="24"/>
        </w:rPr>
        <w:t>"</w:t>
      </w:r>
      <w:r>
        <w:rPr>
          <w:b/>
          <w:spacing w:val="-2"/>
          <w:sz w:val="19"/>
        </w:rPr>
        <w:t>SUFFICIENT</w:t>
      </w:r>
      <w:r>
        <w:rPr>
          <w:b/>
          <w:spacing w:val="5"/>
          <w:sz w:val="19"/>
        </w:rPr>
        <w:t xml:space="preserve"> </w:t>
      </w:r>
      <w:r>
        <w:rPr>
          <w:b/>
          <w:spacing w:val="-2"/>
          <w:sz w:val="19"/>
        </w:rPr>
        <w:t>EVIDENCE</w:t>
      </w:r>
      <w:r>
        <w:rPr>
          <w:b/>
          <w:spacing w:val="-2"/>
          <w:sz w:val="24"/>
        </w:rPr>
        <w:t>"</w:t>
      </w:r>
      <w:r>
        <w:rPr>
          <w:rFonts w:ascii="Times New Roman"/>
          <w:sz w:val="24"/>
        </w:rPr>
        <w:tab/>
      </w:r>
      <w:r>
        <w:rPr>
          <w:b/>
          <w:spacing w:val="-5"/>
          <w:sz w:val="24"/>
        </w:rPr>
        <w:t>284</w:t>
      </w:r>
    </w:p>
    <w:p w14:paraId="51DE75AA" w14:textId="77777777" w:rsidR="0010369C" w:rsidRDefault="008E43AE">
      <w:pPr>
        <w:pStyle w:val="Heading4"/>
        <w:numPr>
          <w:ilvl w:val="2"/>
          <w:numId w:val="80"/>
        </w:numPr>
        <w:tabs>
          <w:tab w:val="left" w:pos="1939"/>
          <w:tab w:val="left" w:pos="1940"/>
          <w:tab w:val="left" w:leader="dot" w:pos="8933"/>
        </w:tabs>
        <w:spacing w:before="121"/>
        <w:ind w:left="1940"/>
      </w:pPr>
      <w:r>
        <w:t>Legal</w:t>
      </w:r>
      <w:r>
        <w:rPr>
          <w:spacing w:val="-1"/>
        </w:rPr>
        <w:t xml:space="preserve"> </w:t>
      </w:r>
      <w:r>
        <w:rPr>
          <w:spacing w:val="-2"/>
        </w:rPr>
        <w:t>framework</w:t>
      </w:r>
      <w:r>
        <w:rPr>
          <w:rFonts w:ascii="Times New Roman"/>
          <w:b w:val="0"/>
        </w:rPr>
        <w:tab/>
      </w:r>
      <w:r>
        <w:rPr>
          <w:spacing w:val="-5"/>
        </w:rPr>
        <w:t>284</w:t>
      </w:r>
    </w:p>
    <w:p w14:paraId="51DE75AB" w14:textId="77777777" w:rsidR="0010369C" w:rsidRDefault="008E43AE">
      <w:pPr>
        <w:pStyle w:val="Heading4"/>
        <w:numPr>
          <w:ilvl w:val="2"/>
          <w:numId w:val="80"/>
        </w:numPr>
        <w:tabs>
          <w:tab w:val="left" w:pos="1939"/>
          <w:tab w:val="left" w:pos="1940"/>
          <w:tab w:val="left" w:leader="dot" w:pos="8933"/>
        </w:tabs>
        <w:spacing w:before="120"/>
        <w:ind w:left="1940"/>
      </w:pPr>
      <w:r>
        <w:t>The</w:t>
      </w:r>
      <w:r>
        <w:rPr>
          <w:spacing w:val="-2"/>
        </w:rPr>
        <w:t xml:space="preserve"> </w:t>
      </w:r>
      <w:r>
        <w:t>application</w:t>
      </w:r>
      <w:r>
        <w:rPr>
          <w:spacing w:val="-3"/>
        </w:rPr>
        <w:t xml:space="preserve"> </w:t>
      </w:r>
      <w:r>
        <w:t>did</w:t>
      </w:r>
      <w:r>
        <w:rPr>
          <w:spacing w:val="-2"/>
        </w:rPr>
        <w:t xml:space="preserve"> </w:t>
      </w:r>
      <w:r>
        <w:t>not contain</w:t>
      </w:r>
      <w:r>
        <w:rPr>
          <w:spacing w:val="-2"/>
        </w:rPr>
        <w:t xml:space="preserve"> </w:t>
      </w:r>
      <w:r>
        <w:t>sufficient</w:t>
      </w:r>
      <w:r>
        <w:rPr>
          <w:spacing w:val="-2"/>
        </w:rPr>
        <w:t xml:space="preserve"> </w:t>
      </w:r>
      <w:r>
        <w:t>evidence</w:t>
      </w:r>
      <w:r>
        <w:rPr>
          <w:spacing w:val="-1"/>
        </w:rPr>
        <w:t xml:space="preserve"> </w:t>
      </w:r>
      <w:r>
        <w:t>of</w:t>
      </w:r>
      <w:r>
        <w:rPr>
          <w:spacing w:val="-2"/>
        </w:rPr>
        <w:t xml:space="preserve"> dumping</w:t>
      </w:r>
      <w:r>
        <w:rPr>
          <w:rFonts w:ascii="Times New Roman"/>
          <w:b w:val="0"/>
        </w:rPr>
        <w:tab/>
      </w:r>
      <w:r>
        <w:rPr>
          <w:spacing w:val="-5"/>
        </w:rPr>
        <w:t>286</w:t>
      </w:r>
    </w:p>
    <w:p w14:paraId="51DE75AC" w14:textId="77777777" w:rsidR="0010369C" w:rsidRDefault="008E43AE">
      <w:pPr>
        <w:pStyle w:val="ListParagraph"/>
        <w:numPr>
          <w:ilvl w:val="3"/>
          <w:numId w:val="80"/>
        </w:numPr>
        <w:tabs>
          <w:tab w:val="left" w:pos="2365"/>
          <w:tab w:val="left" w:pos="2366"/>
          <w:tab w:val="left" w:leader="dot" w:pos="8933"/>
        </w:tabs>
        <w:spacing w:before="119"/>
        <w:ind w:hanging="853"/>
        <w:rPr>
          <w:sz w:val="24"/>
        </w:rPr>
      </w:pPr>
      <w:r>
        <w:rPr>
          <w:sz w:val="24"/>
          <w:u w:val="single"/>
        </w:rPr>
        <w:t>Normal value</w:t>
      </w:r>
      <w:r>
        <w:rPr>
          <w:spacing w:val="-9"/>
          <w:sz w:val="24"/>
          <w:u w:val="single"/>
        </w:rPr>
        <w:t xml:space="preserve"> </w:t>
      </w:r>
      <w:r>
        <w:rPr>
          <w:rFonts w:ascii="Times New Roman"/>
          <w:sz w:val="24"/>
        </w:rPr>
        <w:tab/>
      </w:r>
      <w:r>
        <w:rPr>
          <w:spacing w:val="-5"/>
          <w:sz w:val="24"/>
          <w:u w:val="single"/>
        </w:rPr>
        <w:t>286</w:t>
      </w:r>
    </w:p>
    <w:p w14:paraId="51DE75AD" w14:textId="77777777" w:rsidR="0010369C" w:rsidRDefault="0010369C">
      <w:pPr>
        <w:rPr>
          <w:sz w:val="24"/>
        </w:rPr>
        <w:sectPr w:rsidR="0010369C">
          <w:pgSz w:w="11910" w:h="16840"/>
          <w:pgMar w:top="880" w:right="1220" w:bottom="980" w:left="1180" w:header="569" w:footer="788" w:gutter="0"/>
          <w:cols w:space="720"/>
        </w:sectPr>
      </w:pPr>
    </w:p>
    <w:p w14:paraId="51DE75AE" w14:textId="77777777" w:rsidR="0010369C" w:rsidRDefault="008E43AE">
      <w:pPr>
        <w:tabs>
          <w:tab w:val="left" w:pos="6426"/>
        </w:tabs>
        <w:ind w:left="238"/>
        <w:rPr>
          <w:sz w:val="20"/>
        </w:rPr>
      </w:pPr>
      <w:r>
        <w:rPr>
          <w:i/>
          <w:sz w:val="20"/>
        </w:rPr>
        <w:lastRenderedPageBreak/>
        <w:t>China</w:t>
      </w:r>
      <w:r>
        <w:rPr>
          <w:i/>
          <w:spacing w:val="-5"/>
          <w:sz w:val="20"/>
        </w:rPr>
        <w:t xml:space="preserve"> </w:t>
      </w:r>
      <w:r>
        <w:rPr>
          <w:i/>
          <w:sz w:val="20"/>
        </w:rPr>
        <w:t>–</w:t>
      </w:r>
      <w:r>
        <w:rPr>
          <w:i/>
          <w:spacing w:val="-5"/>
          <w:sz w:val="20"/>
        </w:rPr>
        <w:t xml:space="preserve"> </w:t>
      </w:r>
      <w:r>
        <w:rPr>
          <w:i/>
          <w:sz w:val="20"/>
        </w:rPr>
        <w:t>Anti‐Dumping</w:t>
      </w:r>
      <w:r>
        <w:rPr>
          <w:i/>
          <w:spacing w:val="-4"/>
          <w:sz w:val="20"/>
        </w:rPr>
        <w:t xml:space="preserve"> </w:t>
      </w:r>
      <w:r>
        <w:rPr>
          <w:i/>
          <w:sz w:val="20"/>
        </w:rPr>
        <w:t>and</w:t>
      </w:r>
      <w:r>
        <w:rPr>
          <w:i/>
          <w:spacing w:val="-5"/>
          <w:sz w:val="20"/>
        </w:rPr>
        <w:t xml:space="preserve"> </w:t>
      </w:r>
      <w:r>
        <w:rPr>
          <w:i/>
          <w:sz w:val="20"/>
        </w:rPr>
        <w:t>Countervailing</w:t>
      </w:r>
      <w:r>
        <w:rPr>
          <w:i/>
          <w:spacing w:val="-5"/>
          <w:sz w:val="20"/>
        </w:rPr>
        <w:t xml:space="preserve"> </w:t>
      </w:r>
      <w:r>
        <w:rPr>
          <w:i/>
          <w:sz w:val="20"/>
        </w:rPr>
        <w:t>Duty</w:t>
      </w:r>
      <w:r>
        <w:rPr>
          <w:i/>
          <w:spacing w:val="-4"/>
          <w:sz w:val="20"/>
        </w:rPr>
        <w:t xml:space="preserve"> </w:t>
      </w:r>
      <w:r>
        <w:rPr>
          <w:i/>
          <w:spacing w:val="-2"/>
          <w:sz w:val="20"/>
        </w:rPr>
        <w:t>Measures</w:t>
      </w:r>
      <w:r>
        <w:rPr>
          <w:i/>
          <w:sz w:val="20"/>
        </w:rPr>
        <w:tab/>
      </w:r>
      <w:r>
        <w:rPr>
          <w:sz w:val="20"/>
        </w:rPr>
        <w:t>Australia's</w:t>
      </w:r>
      <w:r>
        <w:rPr>
          <w:spacing w:val="-6"/>
          <w:sz w:val="20"/>
        </w:rPr>
        <w:t xml:space="preserve"> </w:t>
      </w:r>
      <w:r>
        <w:rPr>
          <w:sz w:val="20"/>
        </w:rPr>
        <w:t>First</w:t>
      </w:r>
      <w:r>
        <w:rPr>
          <w:spacing w:val="-2"/>
          <w:sz w:val="20"/>
        </w:rPr>
        <w:t xml:space="preserve"> </w:t>
      </w:r>
      <w:r>
        <w:rPr>
          <w:sz w:val="20"/>
        </w:rPr>
        <w:t>Written</w:t>
      </w:r>
      <w:r>
        <w:rPr>
          <w:spacing w:val="-2"/>
          <w:sz w:val="20"/>
        </w:rPr>
        <w:t xml:space="preserve"> Submission</w:t>
      </w:r>
    </w:p>
    <w:p w14:paraId="51DE75AF" w14:textId="77777777" w:rsidR="0010369C" w:rsidRDefault="008E43AE">
      <w:pPr>
        <w:tabs>
          <w:tab w:val="left" w:pos="8228"/>
        </w:tabs>
        <w:spacing w:before="1"/>
        <w:ind w:left="239"/>
        <w:rPr>
          <w:sz w:val="20"/>
        </w:rPr>
      </w:pPr>
      <w:r>
        <w:rPr>
          <w:i/>
          <w:sz w:val="20"/>
        </w:rPr>
        <w:t>on</w:t>
      </w:r>
      <w:r>
        <w:rPr>
          <w:i/>
          <w:spacing w:val="-1"/>
          <w:sz w:val="20"/>
        </w:rPr>
        <w:t xml:space="preserve"> </w:t>
      </w:r>
      <w:r>
        <w:rPr>
          <w:i/>
          <w:sz w:val="20"/>
        </w:rPr>
        <w:t>Wine</w:t>
      </w:r>
      <w:r>
        <w:rPr>
          <w:i/>
          <w:spacing w:val="-1"/>
          <w:sz w:val="20"/>
        </w:rPr>
        <w:t xml:space="preserve"> </w:t>
      </w:r>
      <w:r>
        <w:rPr>
          <w:i/>
          <w:sz w:val="20"/>
        </w:rPr>
        <w:t>from</w:t>
      </w:r>
      <w:r>
        <w:rPr>
          <w:i/>
          <w:spacing w:val="-3"/>
          <w:sz w:val="20"/>
        </w:rPr>
        <w:t xml:space="preserve"> </w:t>
      </w:r>
      <w:r>
        <w:rPr>
          <w:i/>
          <w:sz w:val="20"/>
        </w:rPr>
        <w:t>Australia</w:t>
      </w:r>
      <w:r>
        <w:rPr>
          <w:i/>
          <w:spacing w:val="-1"/>
          <w:sz w:val="20"/>
        </w:rPr>
        <w:t xml:space="preserve"> </w:t>
      </w:r>
      <w:r>
        <w:rPr>
          <w:spacing w:val="-2"/>
          <w:sz w:val="20"/>
        </w:rPr>
        <w:t>(DS602)</w:t>
      </w:r>
      <w:r>
        <w:rPr>
          <w:sz w:val="20"/>
        </w:rPr>
        <w:tab/>
        <w:t>29</w:t>
      </w:r>
      <w:r>
        <w:rPr>
          <w:spacing w:val="-1"/>
          <w:sz w:val="20"/>
        </w:rPr>
        <w:t xml:space="preserve"> </w:t>
      </w:r>
      <w:r>
        <w:rPr>
          <w:sz w:val="20"/>
        </w:rPr>
        <w:t>April</w:t>
      </w:r>
      <w:r>
        <w:rPr>
          <w:spacing w:val="-2"/>
          <w:sz w:val="20"/>
        </w:rPr>
        <w:t xml:space="preserve"> </w:t>
      </w:r>
      <w:r>
        <w:rPr>
          <w:spacing w:val="-4"/>
          <w:sz w:val="20"/>
        </w:rPr>
        <w:t>2022</w:t>
      </w:r>
    </w:p>
    <w:p w14:paraId="51DE75B0" w14:textId="77777777" w:rsidR="0010369C" w:rsidRDefault="008E43AE">
      <w:pPr>
        <w:pStyle w:val="ListParagraph"/>
        <w:numPr>
          <w:ilvl w:val="4"/>
          <w:numId w:val="80"/>
        </w:numPr>
        <w:tabs>
          <w:tab w:val="left" w:pos="2790"/>
          <w:tab w:val="left" w:pos="2791"/>
        </w:tabs>
        <w:spacing w:before="34"/>
        <w:rPr>
          <w:i/>
          <w:sz w:val="24"/>
        </w:rPr>
      </w:pPr>
      <w:r>
        <w:rPr>
          <w:i/>
          <w:sz w:val="24"/>
        </w:rPr>
        <w:t>CADA's</w:t>
      </w:r>
      <w:r>
        <w:rPr>
          <w:i/>
          <w:spacing w:val="-4"/>
          <w:sz w:val="24"/>
        </w:rPr>
        <w:t xml:space="preserve"> </w:t>
      </w:r>
      <w:r>
        <w:rPr>
          <w:i/>
          <w:sz w:val="24"/>
        </w:rPr>
        <w:t>Unsubstantiated</w:t>
      </w:r>
      <w:r>
        <w:rPr>
          <w:i/>
          <w:spacing w:val="-4"/>
          <w:sz w:val="24"/>
        </w:rPr>
        <w:t xml:space="preserve"> </w:t>
      </w:r>
      <w:r>
        <w:rPr>
          <w:i/>
          <w:sz w:val="24"/>
        </w:rPr>
        <w:t>Claim</w:t>
      </w:r>
      <w:r>
        <w:rPr>
          <w:i/>
          <w:spacing w:val="-2"/>
          <w:sz w:val="24"/>
        </w:rPr>
        <w:t xml:space="preserve"> </w:t>
      </w:r>
      <w:r>
        <w:rPr>
          <w:i/>
          <w:sz w:val="24"/>
        </w:rPr>
        <w:t>of</w:t>
      </w:r>
      <w:r>
        <w:rPr>
          <w:i/>
          <w:spacing w:val="-3"/>
          <w:sz w:val="24"/>
        </w:rPr>
        <w:t xml:space="preserve"> </w:t>
      </w:r>
      <w:r>
        <w:rPr>
          <w:i/>
          <w:sz w:val="24"/>
        </w:rPr>
        <w:t>a</w:t>
      </w:r>
      <w:r>
        <w:rPr>
          <w:i/>
          <w:spacing w:val="-4"/>
          <w:sz w:val="24"/>
        </w:rPr>
        <w:t xml:space="preserve"> </w:t>
      </w:r>
      <w:r>
        <w:rPr>
          <w:i/>
          <w:sz w:val="24"/>
        </w:rPr>
        <w:t>Particular</w:t>
      </w:r>
      <w:r>
        <w:rPr>
          <w:i/>
          <w:spacing w:val="-2"/>
          <w:sz w:val="24"/>
        </w:rPr>
        <w:t xml:space="preserve"> </w:t>
      </w:r>
      <w:r>
        <w:rPr>
          <w:i/>
          <w:sz w:val="24"/>
        </w:rPr>
        <w:t>Market</w:t>
      </w:r>
      <w:r>
        <w:rPr>
          <w:i/>
          <w:spacing w:val="-3"/>
          <w:sz w:val="24"/>
        </w:rPr>
        <w:t xml:space="preserve"> </w:t>
      </w:r>
      <w:r>
        <w:rPr>
          <w:i/>
          <w:sz w:val="24"/>
        </w:rPr>
        <w:t>Situation</w:t>
      </w:r>
      <w:r>
        <w:rPr>
          <w:i/>
          <w:spacing w:val="-10"/>
          <w:sz w:val="24"/>
        </w:rPr>
        <w:t xml:space="preserve"> </w:t>
      </w:r>
      <w:r>
        <w:rPr>
          <w:i/>
          <w:spacing w:val="-5"/>
          <w:sz w:val="24"/>
        </w:rPr>
        <w:t>286</w:t>
      </w:r>
    </w:p>
    <w:p w14:paraId="51DE75B1" w14:textId="77777777" w:rsidR="0010369C" w:rsidRDefault="008E43AE">
      <w:pPr>
        <w:pStyle w:val="ListParagraph"/>
        <w:numPr>
          <w:ilvl w:val="4"/>
          <w:numId w:val="80"/>
        </w:numPr>
        <w:tabs>
          <w:tab w:val="left" w:pos="2790"/>
          <w:tab w:val="left" w:pos="2791"/>
          <w:tab w:val="left" w:leader="dot" w:pos="8933"/>
        </w:tabs>
        <w:ind w:right="193"/>
        <w:rPr>
          <w:i/>
          <w:sz w:val="24"/>
        </w:rPr>
      </w:pPr>
      <w:r>
        <w:rPr>
          <w:i/>
          <w:sz w:val="24"/>
        </w:rPr>
        <w:t>Prices</w:t>
      </w:r>
      <w:r>
        <w:rPr>
          <w:i/>
          <w:spacing w:val="40"/>
          <w:sz w:val="24"/>
        </w:rPr>
        <w:t xml:space="preserve"> </w:t>
      </w:r>
      <w:r>
        <w:rPr>
          <w:i/>
          <w:sz w:val="24"/>
        </w:rPr>
        <w:t>of</w:t>
      </w:r>
      <w:r>
        <w:rPr>
          <w:i/>
          <w:spacing w:val="40"/>
          <w:sz w:val="24"/>
        </w:rPr>
        <w:t xml:space="preserve"> </w:t>
      </w:r>
      <w:r>
        <w:rPr>
          <w:i/>
          <w:sz w:val="24"/>
        </w:rPr>
        <w:t>Wines</w:t>
      </w:r>
      <w:r>
        <w:rPr>
          <w:i/>
          <w:spacing w:val="40"/>
          <w:sz w:val="24"/>
        </w:rPr>
        <w:t xml:space="preserve"> </w:t>
      </w:r>
      <w:r>
        <w:rPr>
          <w:i/>
          <w:sz w:val="24"/>
        </w:rPr>
        <w:t>Imported</w:t>
      </w:r>
      <w:r>
        <w:rPr>
          <w:i/>
          <w:spacing w:val="40"/>
          <w:sz w:val="24"/>
        </w:rPr>
        <w:t xml:space="preserve"> </w:t>
      </w:r>
      <w:r>
        <w:rPr>
          <w:i/>
          <w:sz w:val="24"/>
        </w:rPr>
        <w:t>from</w:t>
      </w:r>
      <w:r>
        <w:rPr>
          <w:i/>
          <w:spacing w:val="40"/>
          <w:sz w:val="24"/>
        </w:rPr>
        <w:t xml:space="preserve"> </w:t>
      </w:r>
      <w:r>
        <w:rPr>
          <w:i/>
          <w:sz w:val="24"/>
        </w:rPr>
        <w:t>China</w:t>
      </w:r>
      <w:r>
        <w:rPr>
          <w:i/>
          <w:spacing w:val="40"/>
          <w:sz w:val="24"/>
        </w:rPr>
        <w:t xml:space="preserve"> </w:t>
      </w:r>
      <w:r>
        <w:rPr>
          <w:i/>
          <w:sz w:val="24"/>
        </w:rPr>
        <w:t>to</w:t>
      </w:r>
      <w:r>
        <w:rPr>
          <w:i/>
          <w:spacing w:val="40"/>
          <w:sz w:val="24"/>
        </w:rPr>
        <w:t xml:space="preserve"> </w:t>
      </w:r>
      <w:r>
        <w:rPr>
          <w:i/>
          <w:sz w:val="24"/>
        </w:rPr>
        <w:t>Australia</w:t>
      </w:r>
      <w:r>
        <w:rPr>
          <w:i/>
          <w:spacing w:val="40"/>
          <w:sz w:val="24"/>
        </w:rPr>
        <w:t xml:space="preserve"> </w:t>
      </w:r>
      <w:r>
        <w:rPr>
          <w:i/>
          <w:sz w:val="24"/>
        </w:rPr>
        <w:t>are</w:t>
      </w:r>
      <w:r>
        <w:rPr>
          <w:i/>
          <w:spacing w:val="40"/>
          <w:sz w:val="24"/>
        </w:rPr>
        <w:t xml:space="preserve"> </w:t>
      </w:r>
      <w:r>
        <w:rPr>
          <w:i/>
          <w:sz w:val="24"/>
        </w:rPr>
        <w:t>not</w:t>
      </w:r>
      <w:r>
        <w:rPr>
          <w:i/>
          <w:spacing w:val="40"/>
          <w:sz w:val="24"/>
        </w:rPr>
        <w:t xml:space="preserve"> </w:t>
      </w:r>
      <w:r>
        <w:rPr>
          <w:i/>
          <w:sz w:val="24"/>
        </w:rPr>
        <w:t>an</w:t>
      </w:r>
      <w:r>
        <w:rPr>
          <w:i/>
          <w:spacing w:val="80"/>
          <w:w w:val="150"/>
          <w:sz w:val="24"/>
        </w:rPr>
        <w:t xml:space="preserve"> </w:t>
      </w:r>
      <w:r>
        <w:rPr>
          <w:i/>
          <w:sz w:val="24"/>
        </w:rPr>
        <w:t>Appropriate</w:t>
      </w:r>
      <w:r>
        <w:rPr>
          <w:i/>
          <w:spacing w:val="-4"/>
          <w:sz w:val="24"/>
        </w:rPr>
        <w:t xml:space="preserve"> </w:t>
      </w:r>
      <w:r>
        <w:rPr>
          <w:i/>
          <w:sz w:val="24"/>
        </w:rPr>
        <w:t>Basis</w:t>
      </w:r>
      <w:r>
        <w:rPr>
          <w:i/>
          <w:spacing w:val="-3"/>
          <w:sz w:val="24"/>
        </w:rPr>
        <w:t xml:space="preserve"> </w:t>
      </w:r>
      <w:r>
        <w:rPr>
          <w:i/>
          <w:sz w:val="24"/>
        </w:rPr>
        <w:t>to</w:t>
      </w:r>
      <w:r>
        <w:rPr>
          <w:i/>
          <w:spacing w:val="-2"/>
          <w:sz w:val="24"/>
        </w:rPr>
        <w:t xml:space="preserve"> </w:t>
      </w:r>
      <w:r>
        <w:rPr>
          <w:i/>
          <w:sz w:val="24"/>
        </w:rPr>
        <w:t>Determine</w:t>
      </w:r>
      <w:r>
        <w:rPr>
          <w:i/>
          <w:spacing w:val="-2"/>
          <w:sz w:val="24"/>
        </w:rPr>
        <w:t xml:space="preserve"> </w:t>
      </w:r>
      <w:r>
        <w:rPr>
          <w:i/>
          <w:sz w:val="24"/>
        </w:rPr>
        <w:t>Normal</w:t>
      </w:r>
      <w:r>
        <w:rPr>
          <w:i/>
          <w:spacing w:val="-3"/>
          <w:sz w:val="24"/>
        </w:rPr>
        <w:t xml:space="preserve"> </w:t>
      </w:r>
      <w:r>
        <w:rPr>
          <w:i/>
          <w:spacing w:val="-2"/>
          <w:sz w:val="24"/>
        </w:rPr>
        <w:t>Value</w:t>
      </w:r>
      <w:r>
        <w:rPr>
          <w:rFonts w:ascii="Times New Roman"/>
          <w:sz w:val="24"/>
        </w:rPr>
        <w:tab/>
      </w:r>
      <w:r>
        <w:rPr>
          <w:i/>
          <w:spacing w:val="-5"/>
          <w:sz w:val="24"/>
        </w:rPr>
        <w:t>287</w:t>
      </w:r>
    </w:p>
    <w:p w14:paraId="51DE75B2" w14:textId="77777777" w:rsidR="0010369C" w:rsidRDefault="008E43AE">
      <w:pPr>
        <w:pStyle w:val="ListParagraph"/>
        <w:numPr>
          <w:ilvl w:val="3"/>
          <w:numId w:val="80"/>
        </w:numPr>
        <w:tabs>
          <w:tab w:val="left" w:pos="2365"/>
          <w:tab w:val="left" w:pos="2366"/>
          <w:tab w:val="left" w:leader="dot" w:pos="8933"/>
        </w:tabs>
        <w:ind w:hanging="852"/>
        <w:rPr>
          <w:sz w:val="24"/>
        </w:rPr>
      </w:pPr>
      <w:r>
        <w:rPr>
          <w:sz w:val="24"/>
          <w:u w:val="single"/>
        </w:rPr>
        <w:t>Export price</w:t>
      </w:r>
      <w:r>
        <w:rPr>
          <w:spacing w:val="-3"/>
          <w:sz w:val="24"/>
          <w:u w:val="single"/>
        </w:rPr>
        <w:t xml:space="preserve"> </w:t>
      </w:r>
      <w:r>
        <w:rPr>
          <w:rFonts w:ascii="Times New Roman"/>
          <w:sz w:val="24"/>
        </w:rPr>
        <w:tab/>
      </w:r>
      <w:r>
        <w:rPr>
          <w:spacing w:val="-5"/>
          <w:sz w:val="24"/>
          <w:u w:val="single"/>
        </w:rPr>
        <w:t>290</w:t>
      </w:r>
    </w:p>
    <w:p w14:paraId="51DE75B3" w14:textId="77777777" w:rsidR="0010369C" w:rsidRDefault="008E43AE">
      <w:pPr>
        <w:pStyle w:val="ListParagraph"/>
        <w:numPr>
          <w:ilvl w:val="3"/>
          <w:numId w:val="80"/>
        </w:numPr>
        <w:tabs>
          <w:tab w:val="left" w:pos="2365"/>
          <w:tab w:val="left" w:pos="2366"/>
          <w:tab w:val="left" w:leader="dot" w:pos="8933"/>
        </w:tabs>
        <w:spacing w:before="121"/>
        <w:ind w:hanging="852"/>
        <w:rPr>
          <w:sz w:val="24"/>
        </w:rPr>
      </w:pPr>
      <w:r>
        <w:rPr>
          <w:sz w:val="24"/>
          <w:u w:val="single"/>
        </w:rPr>
        <w:t xml:space="preserve">Fair </w:t>
      </w:r>
      <w:r>
        <w:rPr>
          <w:spacing w:val="-2"/>
          <w:sz w:val="24"/>
          <w:u w:val="single"/>
        </w:rPr>
        <w:t>comparison</w:t>
      </w:r>
      <w:r>
        <w:rPr>
          <w:rFonts w:ascii="Times New Roman"/>
          <w:sz w:val="24"/>
        </w:rPr>
        <w:tab/>
      </w:r>
      <w:r>
        <w:rPr>
          <w:spacing w:val="-5"/>
          <w:sz w:val="24"/>
          <w:u w:val="single"/>
        </w:rPr>
        <w:t>292</w:t>
      </w:r>
    </w:p>
    <w:p w14:paraId="51DE75B4" w14:textId="77777777" w:rsidR="0010369C" w:rsidRDefault="008E43AE">
      <w:pPr>
        <w:pStyle w:val="ListParagraph"/>
        <w:numPr>
          <w:ilvl w:val="3"/>
          <w:numId w:val="80"/>
        </w:numPr>
        <w:tabs>
          <w:tab w:val="left" w:pos="2365"/>
          <w:tab w:val="left" w:pos="2366"/>
          <w:tab w:val="left" w:leader="dot" w:pos="8933"/>
        </w:tabs>
        <w:ind w:hanging="853"/>
        <w:rPr>
          <w:sz w:val="24"/>
        </w:rPr>
      </w:pPr>
      <w:r>
        <w:rPr>
          <w:sz w:val="24"/>
          <w:u w:val="single"/>
        </w:rPr>
        <w:t>Conclusion</w:t>
      </w:r>
      <w:r>
        <w:rPr>
          <w:spacing w:val="-15"/>
          <w:sz w:val="24"/>
          <w:u w:val="single"/>
        </w:rPr>
        <w:t xml:space="preserve"> </w:t>
      </w:r>
      <w:r>
        <w:rPr>
          <w:rFonts w:ascii="Times New Roman"/>
          <w:sz w:val="24"/>
        </w:rPr>
        <w:tab/>
      </w:r>
      <w:r>
        <w:rPr>
          <w:spacing w:val="-5"/>
          <w:sz w:val="24"/>
          <w:u w:val="single"/>
        </w:rPr>
        <w:t>293</w:t>
      </w:r>
    </w:p>
    <w:p w14:paraId="51DE75B5" w14:textId="77777777" w:rsidR="0010369C" w:rsidRDefault="008E43AE">
      <w:pPr>
        <w:pStyle w:val="Heading4"/>
        <w:numPr>
          <w:ilvl w:val="2"/>
          <w:numId w:val="80"/>
        </w:numPr>
        <w:tabs>
          <w:tab w:val="left" w:pos="850"/>
          <w:tab w:val="left" w:pos="1940"/>
        </w:tabs>
        <w:spacing w:before="119"/>
        <w:ind w:left="1940" w:right="193" w:hanging="1940"/>
        <w:jc w:val="right"/>
      </w:pPr>
      <w:r>
        <w:t>The</w:t>
      </w:r>
      <w:r>
        <w:rPr>
          <w:spacing w:val="-2"/>
        </w:rPr>
        <w:t xml:space="preserve"> </w:t>
      </w:r>
      <w:r>
        <w:t>application</w:t>
      </w:r>
      <w:r>
        <w:rPr>
          <w:spacing w:val="-3"/>
        </w:rPr>
        <w:t xml:space="preserve"> </w:t>
      </w:r>
      <w:r>
        <w:t>did</w:t>
      </w:r>
      <w:r>
        <w:rPr>
          <w:spacing w:val="-2"/>
        </w:rPr>
        <w:t xml:space="preserve"> </w:t>
      </w:r>
      <w:r>
        <w:t>not</w:t>
      </w:r>
      <w:r>
        <w:rPr>
          <w:spacing w:val="-2"/>
        </w:rPr>
        <w:t xml:space="preserve"> </w:t>
      </w:r>
      <w:r>
        <w:t>contain</w:t>
      </w:r>
      <w:r>
        <w:rPr>
          <w:spacing w:val="-1"/>
        </w:rPr>
        <w:t xml:space="preserve"> </w:t>
      </w:r>
      <w:r>
        <w:t>sufficient</w:t>
      </w:r>
      <w:r>
        <w:rPr>
          <w:spacing w:val="-2"/>
        </w:rPr>
        <w:t xml:space="preserve"> </w:t>
      </w:r>
      <w:r>
        <w:t>evidence</w:t>
      </w:r>
      <w:r>
        <w:rPr>
          <w:spacing w:val="-2"/>
        </w:rPr>
        <w:t xml:space="preserve"> </w:t>
      </w:r>
      <w:r>
        <w:t>of</w:t>
      </w:r>
      <w:r>
        <w:rPr>
          <w:spacing w:val="-2"/>
        </w:rPr>
        <w:t xml:space="preserve"> </w:t>
      </w:r>
      <w:r>
        <w:t>injury</w:t>
      </w:r>
      <w:r>
        <w:rPr>
          <w:spacing w:val="-2"/>
        </w:rPr>
        <w:t xml:space="preserve"> </w:t>
      </w:r>
      <w:r>
        <w:t>and</w:t>
      </w:r>
      <w:r>
        <w:rPr>
          <w:spacing w:val="-2"/>
        </w:rPr>
        <w:t xml:space="preserve"> causation</w:t>
      </w:r>
    </w:p>
    <w:p w14:paraId="51DE75B6" w14:textId="77777777" w:rsidR="0010369C" w:rsidRDefault="008E43AE">
      <w:pPr>
        <w:ind w:right="205"/>
        <w:jc w:val="right"/>
        <w:rPr>
          <w:b/>
          <w:sz w:val="24"/>
        </w:rPr>
      </w:pPr>
      <w:r>
        <w:rPr>
          <w:b/>
          <w:spacing w:val="-2"/>
          <w:sz w:val="24"/>
        </w:rPr>
        <w:t>.............................................................................................................293</w:t>
      </w:r>
    </w:p>
    <w:p w14:paraId="51DE75B7" w14:textId="77777777" w:rsidR="0010369C" w:rsidRDefault="008E43AE">
      <w:pPr>
        <w:pStyle w:val="ListParagraph"/>
        <w:numPr>
          <w:ilvl w:val="3"/>
          <w:numId w:val="80"/>
        </w:numPr>
        <w:tabs>
          <w:tab w:val="left" w:pos="2365"/>
          <w:tab w:val="left" w:pos="2366"/>
          <w:tab w:val="left" w:leader="dot" w:pos="8933"/>
        </w:tabs>
        <w:ind w:hanging="853"/>
        <w:rPr>
          <w:sz w:val="24"/>
        </w:rPr>
      </w:pPr>
      <w:r>
        <w:rPr>
          <w:sz w:val="24"/>
          <w:u w:val="single"/>
        </w:rPr>
        <w:t xml:space="preserve">Injury </w:t>
      </w:r>
      <w:r>
        <w:rPr>
          <w:rFonts w:ascii="Times New Roman"/>
          <w:sz w:val="24"/>
        </w:rPr>
        <w:tab/>
      </w:r>
      <w:r>
        <w:rPr>
          <w:spacing w:val="-5"/>
          <w:sz w:val="24"/>
          <w:u w:val="single"/>
        </w:rPr>
        <w:t>294</w:t>
      </w:r>
    </w:p>
    <w:p w14:paraId="51DE75B8" w14:textId="77777777" w:rsidR="0010369C" w:rsidRDefault="008E43AE">
      <w:pPr>
        <w:pStyle w:val="ListParagraph"/>
        <w:numPr>
          <w:ilvl w:val="3"/>
          <w:numId w:val="80"/>
        </w:numPr>
        <w:tabs>
          <w:tab w:val="left" w:pos="2365"/>
          <w:tab w:val="left" w:pos="2366"/>
          <w:tab w:val="left" w:leader="dot" w:pos="8933"/>
        </w:tabs>
        <w:ind w:hanging="853"/>
        <w:rPr>
          <w:sz w:val="24"/>
        </w:rPr>
      </w:pPr>
      <w:r>
        <w:rPr>
          <w:sz w:val="24"/>
          <w:u w:val="single"/>
        </w:rPr>
        <w:t>Relevant</w:t>
      </w:r>
      <w:r>
        <w:rPr>
          <w:spacing w:val="-1"/>
          <w:sz w:val="24"/>
          <w:u w:val="single"/>
        </w:rPr>
        <w:t xml:space="preserve"> </w:t>
      </w:r>
      <w:r>
        <w:rPr>
          <w:sz w:val="24"/>
          <w:u w:val="single"/>
        </w:rPr>
        <w:t>economic factors</w:t>
      </w:r>
      <w:r>
        <w:rPr>
          <w:spacing w:val="-5"/>
          <w:sz w:val="24"/>
          <w:u w:val="single"/>
        </w:rPr>
        <w:t xml:space="preserve"> </w:t>
      </w:r>
      <w:r>
        <w:rPr>
          <w:rFonts w:ascii="Times New Roman"/>
          <w:sz w:val="24"/>
        </w:rPr>
        <w:tab/>
      </w:r>
      <w:r>
        <w:rPr>
          <w:spacing w:val="-5"/>
          <w:sz w:val="24"/>
          <w:u w:val="single"/>
        </w:rPr>
        <w:t>296</w:t>
      </w:r>
    </w:p>
    <w:p w14:paraId="51DE75B9" w14:textId="77777777" w:rsidR="0010369C" w:rsidRDefault="008E43AE">
      <w:pPr>
        <w:pStyle w:val="ListParagraph"/>
        <w:numPr>
          <w:ilvl w:val="3"/>
          <w:numId w:val="80"/>
        </w:numPr>
        <w:tabs>
          <w:tab w:val="left" w:pos="2365"/>
          <w:tab w:val="left" w:pos="2366"/>
          <w:tab w:val="left" w:leader="dot" w:pos="8933"/>
        </w:tabs>
        <w:ind w:hanging="853"/>
        <w:rPr>
          <w:sz w:val="24"/>
        </w:rPr>
      </w:pPr>
      <w:r>
        <w:rPr>
          <w:sz w:val="24"/>
          <w:u w:val="single"/>
        </w:rPr>
        <w:t>Causal</w:t>
      </w:r>
      <w:r>
        <w:rPr>
          <w:spacing w:val="-1"/>
          <w:sz w:val="24"/>
          <w:u w:val="single"/>
        </w:rPr>
        <w:t xml:space="preserve"> </w:t>
      </w:r>
      <w:r>
        <w:rPr>
          <w:spacing w:val="-4"/>
          <w:sz w:val="24"/>
          <w:u w:val="single"/>
        </w:rPr>
        <w:t>link</w:t>
      </w:r>
      <w:r>
        <w:rPr>
          <w:rFonts w:ascii="Times New Roman"/>
          <w:sz w:val="24"/>
        </w:rPr>
        <w:tab/>
      </w:r>
      <w:r>
        <w:rPr>
          <w:spacing w:val="-5"/>
          <w:sz w:val="24"/>
          <w:u w:val="single"/>
        </w:rPr>
        <w:t>297</w:t>
      </w:r>
    </w:p>
    <w:p w14:paraId="51DE75BA" w14:textId="77777777" w:rsidR="0010369C" w:rsidRDefault="008E43AE">
      <w:pPr>
        <w:pStyle w:val="ListParagraph"/>
        <w:numPr>
          <w:ilvl w:val="3"/>
          <w:numId w:val="80"/>
        </w:numPr>
        <w:tabs>
          <w:tab w:val="left" w:pos="2365"/>
          <w:tab w:val="left" w:pos="2366"/>
          <w:tab w:val="left" w:leader="dot" w:pos="8933"/>
        </w:tabs>
        <w:spacing w:before="121"/>
        <w:ind w:hanging="853"/>
        <w:rPr>
          <w:sz w:val="24"/>
        </w:rPr>
      </w:pPr>
      <w:r>
        <w:rPr>
          <w:sz w:val="24"/>
          <w:u w:val="single"/>
        </w:rPr>
        <w:t>Non‐attributable</w:t>
      </w:r>
      <w:r>
        <w:rPr>
          <w:spacing w:val="-13"/>
          <w:sz w:val="24"/>
          <w:u w:val="single"/>
        </w:rPr>
        <w:t xml:space="preserve"> </w:t>
      </w:r>
      <w:r>
        <w:rPr>
          <w:spacing w:val="-2"/>
          <w:sz w:val="24"/>
          <w:u w:val="single"/>
        </w:rPr>
        <w:t>factors</w:t>
      </w:r>
      <w:r>
        <w:rPr>
          <w:rFonts w:ascii="Times New Roman" w:hAnsi="Times New Roman"/>
          <w:sz w:val="24"/>
        </w:rPr>
        <w:tab/>
      </w:r>
      <w:r>
        <w:rPr>
          <w:spacing w:val="-5"/>
          <w:sz w:val="24"/>
          <w:u w:val="single"/>
        </w:rPr>
        <w:t>298</w:t>
      </w:r>
    </w:p>
    <w:p w14:paraId="51DE75BB" w14:textId="77777777" w:rsidR="0010369C" w:rsidRDefault="008E43AE">
      <w:pPr>
        <w:pStyle w:val="ListParagraph"/>
        <w:numPr>
          <w:ilvl w:val="3"/>
          <w:numId w:val="80"/>
        </w:numPr>
        <w:tabs>
          <w:tab w:val="left" w:pos="2365"/>
          <w:tab w:val="left" w:pos="2366"/>
          <w:tab w:val="left" w:leader="dot" w:pos="8933"/>
        </w:tabs>
        <w:ind w:hanging="853"/>
        <w:rPr>
          <w:sz w:val="24"/>
        </w:rPr>
      </w:pPr>
      <w:r>
        <w:rPr>
          <w:sz w:val="24"/>
          <w:u w:val="single"/>
        </w:rPr>
        <w:t>Conclusion</w:t>
      </w:r>
      <w:r>
        <w:rPr>
          <w:spacing w:val="-15"/>
          <w:sz w:val="24"/>
          <w:u w:val="single"/>
        </w:rPr>
        <w:t xml:space="preserve"> </w:t>
      </w:r>
      <w:r>
        <w:rPr>
          <w:rFonts w:ascii="Times New Roman"/>
          <w:sz w:val="24"/>
        </w:rPr>
        <w:tab/>
      </w:r>
      <w:r>
        <w:rPr>
          <w:spacing w:val="-5"/>
          <w:sz w:val="24"/>
          <w:u w:val="single"/>
        </w:rPr>
        <w:t>299</w:t>
      </w:r>
    </w:p>
    <w:p w14:paraId="51DE75BC" w14:textId="77777777" w:rsidR="0010369C" w:rsidRDefault="008E43AE">
      <w:pPr>
        <w:pStyle w:val="Heading4"/>
        <w:numPr>
          <w:ilvl w:val="2"/>
          <w:numId w:val="80"/>
        </w:numPr>
        <w:tabs>
          <w:tab w:val="left" w:pos="1939"/>
          <w:tab w:val="left" w:pos="1940"/>
          <w:tab w:val="left" w:leader="dot" w:pos="8933"/>
        </w:tabs>
        <w:spacing w:before="120"/>
        <w:ind w:left="1940"/>
      </w:pPr>
      <w:r>
        <w:t>The</w:t>
      </w:r>
      <w:r>
        <w:rPr>
          <w:spacing w:val="-2"/>
        </w:rPr>
        <w:t xml:space="preserve"> </w:t>
      </w:r>
      <w:r>
        <w:t>application</w:t>
      </w:r>
      <w:r>
        <w:rPr>
          <w:spacing w:val="-3"/>
        </w:rPr>
        <w:t xml:space="preserve"> </w:t>
      </w:r>
      <w:r>
        <w:t>should</w:t>
      </w:r>
      <w:r>
        <w:rPr>
          <w:spacing w:val="-3"/>
        </w:rPr>
        <w:t xml:space="preserve"> </w:t>
      </w:r>
      <w:r>
        <w:t>have</w:t>
      </w:r>
      <w:r>
        <w:rPr>
          <w:spacing w:val="-2"/>
        </w:rPr>
        <w:t xml:space="preserve"> </w:t>
      </w:r>
      <w:r>
        <w:t>been</w:t>
      </w:r>
      <w:r>
        <w:rPr>
          <w:spacing w:val="-3"/>
        </w:rPr>
        <w:t xml:space="preserve"> </w:t>
      </w:r>
      <w:r>
        <w:rPr>
          <w:spacing w:val="-2"/>
        </w:rPr>
        <w:t>rejected</w:t>
      </w:r>
      <w:r>
        <w:rPr>
          <w:rFonts w:ascii="Times New Roman"/>
          <w:b w:val="0"/>
        </w:rPr>
        <w:tab/>
      </w:r>
      <w:r>
        <w:rPr>
          <w:spacing w:val="-5"/>
        </w:rPr>
        <w:t>300</w:t>
      </w:r>
    </w:p>
    <w:p w14:paraId="51DE75BD" w14:textId="77777777" w:rsidR="0010369C" w:rsidRDefault="008E43AE">
      <w:pPr>
        <w:pStyle w:val="ListParagraph"/>
        <w:numPr>
          <w:ilvl w:val="1"/>
          <w:numId w:val="80"/>
        </w:numPr>
        <w:tabs>
          <w:tab w:val="left" w:pos="1513"/>
          <w:tab w:val="left" w:pos="1514"/>
          <w:tab w:val="left" w:leader="dot" w:pos="8933"/>
        </w:tabs>
        <w:spacing w:before="119"/>
        <w:ind w:left="1514"/>
        <w:rPr>
          <w:b/>
          <w:sz w:val="24"/>
        </w:rPr>
      </w:pPr>
      <w:r>
        <w:rPr>
          <w:b/>
          <w:spacing w:val="-2"/>
          <w:sz w:val="24"/>
        </w:rPr>
        <w:t>C</w:t>
      </w:r>
      <w:r>
        <w:rPr>
          <w:b/>
          <w:spacing w:val="-2"/>
          <w:sz w:val="19"/>
        </w:rPr>
        <w:t>ONCLUSION</w:t>
      </w:r>
      <w:r>
        <w:rPr>
          <w:rFonts w:ascii="Times New Roman"/>
          <w:sz w:val="19"/>
        </w:rPr>
        <w:tab/>
      </w:r>
      <w:r>
        <w:rPr>
          <w:b/>
          <w:spacing w:val="-5"/>
          <w:sz w:val="24"/>
        </w:rPr>
        <w:t>301</w:t>
      </w:r>
    </w:p>
    <w:p w14:paraId="51DE75BE" w14:textId="77777777" w:rsidR="0010369C" w:rsidRDefault="008E43AE">
      <w:pPr>
        <w:pStyle w:val="Heading4"/>
        <w:numPr>
          <w:ilvl w:val="0"/>
          <w:numId w:val="80"/>
        </w:numPr>
        <w:tabs>
          <w:tab w:val="left" w:pos="1089"/>
          <w:tab w:val="left" w:pos="1090"/>
          <w:tab w:val="left" w:leader="dot" w:pos="8933"/>
        </w:tabs>
        <w:spacing w:before="180"/>
        <w:ind w:right="196"/>
      </w:pPr>
      <w:r>
        <w:t>AUSTRALIA'S</w:t>
      </w:r>
      <w:r>
        <w:rPr>
          <w:spacing w:val="-14"/>
        </w:rPr>
        <w:t xml:space="preserve"> </w:t>
      </w:r>
      <w:r>
        <w:t>CLAIMS</w:t>
      </w:r>
      <w:r>
        <w:rPr>
          <w:spacing w:val="-14"/>
        </w:rPr>
        <w:t xml:space="preserve"> </w:t>
      </w:r>
      <w:r>
        <w:t>CONCERNING</w:t>
      </w:r>
      <w:r>
        <w:rPr>
          <w:spacing w:val="-13"/>
        </w:rPr>
        <w:t xml:space="preserve"> </w:t>
      </w:r>
      <w:r>
        <w:t>MOFCOM'S</w:t>
      </w:r>
      <w:r>
        <w:rPr>
          <w:spacing w:val="-14"/>
        </w:rPr>
        <w:t xml:space="preserve"> </w:t>
      </w:r>
      <w:r>
        <w:t>CONDUCT</w:t>
      </w:r>
      <w:r>
        <w:rPr>
          <w:spacing w:val="-13"/>
        </w:rPr>
        <w:t xml:space="preserve"> </w:t>
      </w:r>
      <w:r>
        <w:t>AND</w:t>
      </w:r>
      <w:r>
        <w:rPr>
          <w:spacing w:val="-14"/>
        </w:rPr>
        <w:t xml:space="preserve"> </w:t>
      </w:r>
      <w:r>
        <w:t>TRANSPARENCY</w:t>
      </w:r>
      <w:r>
        <w:rPr>
          <w:spacing w:val="-13"/>
        </w:rPr>
        <w:t xml:space="preserve"> </w:t>
      </w:r>
      <w:r>
        <w:t>OF THE</w:t>
      </w:r>
      <w:r>
        <w:rPr>
          <w:spacing w:val="-2"/>
        </w:rPr>
        <w:t xml:space="preserve"> INVESTIGATIONS</w:t>
      </w:r>
      <w:r>
        <w:rPr>
          <w:rFonts w:ascii="Times New Roman"/>
          <w:b w:val="0"/>
        </w:rPr>
        <w:tab/>
      </w:r>
      <w:r>
        <w:rPr>
          <w:spacing w:val="-5"/>
        </w:rPr>
        <w:t>301</w:t>
      </w:r>
    </w:p>
    <w:p w14:paraId="51DE75BF" w14:textId="77777777" w:rsidR="0010369C" w:rsidRDefault="008E43AE">
      <w:pPr>
        <w:pStyle w:val="ListParagraph"/>
        <w:numPr>
          <w:ilvl w:val="1"/>
          <w:numId w:val="80"/>
        </w:numPr>
        <w:tabs>
          <w:tab w:val="left" w:pos="1513"/>
          <w:tab w:val="left" w:pos="1514"/>
          <w:tab w:val="left" w:leader="dot" w:pos="8933"/>
        </w:tabs>
        <w:ind w:left="1514"/>
        <w:rPr>
          <w:b/>
          <w:sz w:val="24"/>
        </w:rPr>
      </w:pPr>
      <w:r>
        <w:rPr>
          <w:b/>
          <w:spacing w:val="-2"/>
          <w:sz w:val="24"/>
        </w:rPr>
        <w:t>I</w:t>
      </w:r>
      <w:r>
        <w:rPr>
          <w:b/>
          <w:spacing w:val="-2"/>
          <w:sz w:val="19"/>
        </w:rPr>
        <w:t>NTRODUCTION</w:t>
      </w:r>
      <w:r>
        <w:rPr>
          <w:rFonts w:ascii="Times New Roman"/>
          <w:sz w:val="19"/>
        </w:rPr>
        <w:tab/>
      </w:r>
      <w:r>
        <w:rPr>
          <w:b/>
          <w:spacing w:val="-5"/>
          <w:sz w:val="24"/>
        </w:rPr>
        <w:t>301</w:t>
      </w:r>
    </w:p>
    <w:p w14:paraId="51DE75C0" w14:textId="77777777" w:rsidR="0010369C" w:rsidRDefault="008E43AE">
      <w:pPr>
        <w:pStyle w:val="ListParagraph"/>
        <w:numPr>
          <w:ilvl w:val="1"/>
          <w:numId w:val="80"/>
        </w:numPr>
        <w:tabs>
          <w:tab w:val="left" w:pos="1513"/>
          <w:tab w:val="left" w:pos="1514"/>
        </w:tabs>
        <w:ind w:left="1513" w:right="195"/>
        <w:jc w:val="both"/>
        <w:rPr>
          <w:b/>
          <w:sz w:val="24"/>
        </w:rPr>
      </w:pPr>
      <w:r>
        <w:rPr>
          <w:b/>
          <w:sz w:val="24"/>
        </w:rPr>
        <w:t>C</w:t>
      </w:r>
      <w:r>
        <w:rPr>
          <w:b/>
          <w:sz w:val="19"/>
        </w:rPr>
        <w:t xml:space="preserve">HINA FAILED TO OBJECTIVELY ASSESS </w:t>
      </w:r>
      <w:r>
        <w:rPr>
          <w:b/>
          <w:sz w:val="24"/>
        </w:rPr>
        <w:t>"</w:t>
      </w:r>
      <w:r>
        <w:rPr>
          <w:b/>
          <w:sz w:val="19"/>
        </w:rPr>
        <w:t>GOOD CAUSE</w:t>
      </w:r>
      <w:r>
        <w:rPr>
          <w:b/>
          <w:sz w:val="24"/>
        </w:rPr>
        <w:t xml:space="preserve">" </w:t>
      </w:r>
      <w:r>
        <w:rPr>
          <w:b/>
          <w:sz w:val="19"/>
        </w:rPr>
        <w:t>FOR CLAIMS OF CONFIDENTIALITY AND FAILED TO REQUIRE INTERESTED PARTIES TO FURNISH ADEQUATE NON</w:t>
      </w:r>
      <w:r>
        <w:rPr>
          <w:b/>
          <w:sz w:val="24"/>
        </w:rPr>
        <w:t>‐</w:t>
      </w:r>
      <w:r>
        <w:rPr>
          <w:b/>
          <w:sz w:val="19"/>
        </w:rPr>
        <w:t>CONFIDENTIAL SUMMARIES</w:t>
      </w:r>
      <w:r>
        <w:rPr>
          <w:b/>
          <w:spacing w:val="-3"/>
          <w:sz w:val="19"/>
        </w:rPr>
        <w:t xml:space="preserve"> </w:t>
      </w:r>
      <w:r>
        <w:rPr>
          <w:b/>
          <w:sz w:val="19"/>
        </w:rPr>
        <w:t>IN</w:t>
      </w:r>
      <w:r>
        <w:rPr>
          <w:b/>
          <w:spacing w:val="-1"/>
          <w:sz w:val="19"/>
        </w:rPr>
        <w:t xml:space="preserve"> </w:t>
      </w:r>
      <w:r>
        <w:rPr>
          <w:b/>
          <w:sz w:val="19"/>
        </w:rPr>
        <w:t>BREACH</w:t>
      </w:r>
      <w:r>
        <w:rPr>
          <w:b/>
          <w:spacing w:val="-2"/>
          <w:sz w:val="19"/>
        </w:rPr>
        <w:t xml:space="preserve"> </w:t>
      </w:r>
      <w:r>
        <w:rPr>
          <w:b/>
          <w:sz w:val="19"/>
        </w:rPr>
        <w:t>OF</w:t>
      </w:r>
      <w:r>
        <w:rPr>
          <w:b/>
          <w:spacing w:val="-2"/>
          <w:sz w:val="19"/>
        </w:rPr>
        <w:t xml:space="preserve"> </w:t>
      </w:r>
      <w:r>
        <w:rPr>
          <w:b/>
          <w:sz w:val="24"/>
        </w:rPr>
        <w:t>A</w:t>
      </w:r>
      <w:r>
        <w:rPr>
          <w:b/>
          <w:sz w:val="19"/>
        </w:rPr>
        <w:t>RTICLES</w:t>
      </w:r>
      <w:r>
        <w:rPr>
          <w:b/>
          <w:spacing w:val="-2"/>
          <w:sz w:val="19"/>
        </w:rPr>
        <w:t xml:space="preserve"> </w:t>
      </w:r>
      <w:r>
        <w:rPr>
          <w:b/>
          <w:sz w:val="24"/>
        </w:rPr>
        <w:t>6.5</w:t>
      </w:r>
      <w:r>
        <w:rPr>
          <w:b/>
          <w:spacing w:val="-14"/>
          <w:sz w:val="24"/>
        </w:rPr>
        <w:t xml:space="preserve"> </w:t>
      </w:r>
      <w:r>
        <w:rPr>
          <w:b/>
          <w:sz w:val="19"/>
        </w:rPr>
        <w:t>AND</w:t>
      </w:r>
      <w:r>
        <w:rPr>
          <w:b/>
          <w:spacing w:val="-2"/>
          <w:sz w:val="19"/>
        </w:rPr>
        <w:t xml:space="preserve"> </w:t>
      </w:r>
      <w:r>
        <w:rPr>
          <w:b/>
          <w:sz w:val="24"/>
        </w:rPr>
        <w:t>6.5.1</w:t>
      </w:r>
      <w:r>
        <w:rPr>
          <w:b/>
          <w:spacing w:val="-14"/>
          <w:sz w:val="24"/>
        </w:rPr>
        <w:t xml:space="preserve"> </w:t>
      </w:r>
      <w:r>
        <w:rPr>
          <w:b/>
          <w:sz w:val="19"/>
        </w:rPr>
        <w:t>OF</w:t>
      </w:r>
      <w:r>
        <w:rPr>
          <w:b/>
          <w:spacing w:val="-2"/>
          <w:sz w:val="19"/>
        </w:rPr>
        <w:t xml:space="preserve"> </w:t>
      </w:r>
      <w:r>
        <w:rPr>
          <w:b/>
          <w:sz w:val="19"/>
        </w:rPr>
        <w:t>THE</w:t>
      </w:r>
      <w:r>
        <w:rPr>
          <w:b/>
          <w:spacing w:val="-2"/>
          <w:sz w:val="19"/>
        </w:rPr>
        <w:t xml:space="preserve"> </w:t>
      </w:r>
      <w:r>
        <w:rPr>
          <w:b/>
          <w:sz w:val="24"/>
        </w:rPr>
        <w:t>A</w:t>
      </w:r>
      <w:r>
        <w:rPr>
          <w:b/>
          <w:sz w:val="19"/>
        </w:rPr>
        <w:t>NTI</w:t>
      </w:r>
      <w:r>
        <w:rPr>
          <w:b/>
          <w:sz w:val="24"/>
        </w:rPr>
        <w:t>‐D</w:t>
      </w:r>
      <w:r>
        <w:rPr>
          <w:b/>
          <w:sz w:val="19"/>
        </w:rPr>
        <w:t>UMPING</w:t>
      </w:r>
      <w:r>
        <w:rPr>
          <w:b/>
          <w:spacing w:val="-2"/>
          <w:sz w:val="19"/>
        </w:rPr>
        <w:t xml:space="preserve"> </w:t>
      </w:r>
      <w:r>
        <w:rPr>
          <w:b/>
          <w:sz w:val="24"/>
        </w:rPr>
        <w:t>A</w:t>
      </w:r>
      <w:r>
        <w:rPr>
          <w:b/>
          <w:sz w:val="19"/>
        </w:rPr>
        <w:t>GREEMENT</w:t>
      </w:r>
      <w:r>
        <w:rPr>
          <w:b/>
          <w:spacing w:val="-5"/>
          <w:sz w:val="19"/>
        </w:rPr>
        <w:t xml:space="preserve"> </w:t>
      </w:r>
      <w:r>
        <w:rPr>
          <w:b/>
          <w:sz w:val="24"/>
        </w:rPr>
        <w:t>.302</w:t>
      </w:r>
    </w:p>
    <w:p w14:paraId="51DE75C1" w14:textId="77777777" w:rsidR="0010369C" w:rsidRDefault="008E43AE">
      <w:pPr>
        <w:pStyle w:val="Heading4"/>
        <w:numPr>
          <w:ilvl w:val="2"/>
          <w:numId w:val="80"/>
        </w:numPr>
        <w:tabs>
          <w:tab w:val="left" w:pos="1939"/>
          <w:tab w:val="left" w:pos="1940"/>
          <w:tab w:val="left" w:leader="dot" w:pos="8933"/>
        </w:tabs>
        <w:spacing w:before="120"/>
        <w:ind w:left="1940"/>
      </w:pPr>
      <w:r>
        <w:t>Legal</w:t>
      </w:r>
      <w:r>
        <w:rPr>
          <w:spacing w:val="-1"/>
        </w:rPr>
        <w:t xml:space="preserve"> </w:t>
      </w:r>
      <w:r>
        <w:rPr>
          <w:spacing w:val="-2"/>
        </w:rPr>
        <w:t>framework</w:t>
      </w:r>
      <w:r>
        <w:rPr>
          <w:rFonts w:ascii="Times New Roman"/>
          <w:b w:val="0"/>
        </w:rPr>
        <w:tab/>
      </w:r>
      <w:r>
        <w:rPr>
          <w:spacing w:val="-5"/>
        </w:rPr>
        <w:t>302</w:t>
      </w:r>
    </w:p>
    <w:p w14:paraId="51DE75C2" w14:textId="77777777" w:rsidR="0010369C" w:rsidRDefault="008E43AE">
      <w:pPr>
        <w:pStyle w:val="ListParagraph"/>
        <w:numPr>
          <w:ilvl w:val="2"/>
          <w:numId w:val="80"/>
        </w:numPr>
        <w:tabs>
          <w:tab w:val="left" w:pos="1939"/>
          <w:tab w:val="left" w:pos="1940"/>
          <w:tab w:val="left" w:leader="dot" w:pos="8933"/>
        </w:tabs>
        <w:ind w:left="1940"/>
        <w:rPr>
          <w:b/>
          <w:sz w:val="24"/>
        </w:rPr>
      </w:pPr>
      <w:r>
        <w:rPr>
          <w:b/>
          <w:sz w:val="24"/>
        </w:rPr>
        <w:t>CADA's</w:t>
      </w:r>
      <w:r>
        <w:rPr>
          <w:b/>
          <w:spacing w:val="-4"/>
          <w:sz w:val="24"/>
        </w:rPr>
        <w:t xml:space="preserve"> </w:t>
      </w:r>
      <w:r>
        <w:rPr>
          <w:b/>
          <w:sz w:val="24"/>
        </w:rPr>
        <w:t>request</w:t>
      </w:r>
      <w:r>
        <w:rPr>
          <w:b/>
          <w:spacing w:val="-4"/>
          <w:sz w:val="24"/>
        </w:rPr>
        <w:t xml:space="preserve"> </w:t>
      </w:r>
      <w:r>
        <w:rPr>
          <w:b/>
          <w:sz w:val="24"/>
        </w:rPr>
        <w:t>for</w:t>
      </w:r>
      <w:r>
        <w:rPr>
          <w:b/>
          <w:spacing w:val="-4"/>
          <w:sz w:val="24"/>
        </w:rPr>
        <w:t xml:space="preserve"> </w:t>
      </w:r>
      <w:r>
        <w:rPr>
          <w:b/>
          <w:sz w:val="24"/>
        </w:rPr>
        <w:t>confidential</w:t>
      </w:r>
      <w:r>
        <w:rPr>
          <w:b/>
          <w:spacing w:val="-3"/>
          <w:sz w:val="24"/>
        </w:rPr>
        <w:t xml:space="preserve"> </w:t>
      </w:r>
      <w:r>
        <w:rPr>
          <w:b/>
          <w:sz w:val="24"/>
        </w:rPr>
        <w:t>treatment</w:t>
      </w:r>
      <w:r>
        <w:rPr>
          <w:b/>
          <w:spacing w:val="-5"/>
          <w:sz w:val="24"/>
        </w:rPr>
        <w:t xml:space="preserve"> </w:t>
      </w:r>
      <w:r>
        <w:rPr>
          <w:b/>
          <w:sz w:val="24"/>
        </w:rPr>
        <w:t>of</w:t>
      </w:r>
      <w:r>
        <w:rPr>
          <w:b/>
          <w:spacing w:val="-4"/>
          <w:sz w:val="24"/>
        </w:rPr>
        <w:t xml:space="preserve"> </w:t>
      </w:r>
      <w:r>
        <w:rPr>
          <w:b/>
          <w:sz w:val="24"/>
        </w:rPr>
        <w:t>certain</w:t>
      </w:r>
      <w:r>
        <w:rPr>
          <w:b/>
          <w:spacing w:val="-3"/>
          <w:sz w:val="24"/>
        </w:rPr>
        <w:t xml:space="preserve"> </w:t>
      </w:r>
      <w:r>
        <w:rPr>
          <w:b/>
          <w:spacing w:val="-2"/>
          <w:sz w:val="24"/>
        </w:rPr>
        <w:t>information</w:t>
      </w:r>
      <w:r>
        <w:rPr>
          <w:rFonts w:ascii="Times New Roman"/>
          <w:sz w:val="24"/>
        </w:rPr>
        <w:tab/>
      </w:r>
      <w:r>
        <w:rPr>
          <w:b/>
          <w:spacing w:val="-5"/>
          <w:sz w:val="24"/>
        </w:rPr>
        <w:t>306</w:t>
      </w:r>
    </w:p>
    <w:p w14:paraId="51DE75C3" w14:textId="77777777" w:rsidR="0010369C" w:rsidRDefault="008E43AE">
      <w:pPr>
        <w:pStyle w:val="ListParagraph"/>
        <w:numPr>
          <w:ilvl w:val="3"/>
          <w:numId w:val="80"/>
        </w:numPr>
        <w:tabs>
          <w:tab w:val="left" w:pos="2365"/>
          <w:tab w:val="left" w:pos="2366"/>
          <w:tab w:val="left" w:leader="dot" w:pos="8933"/>
        </w:tabs>
        <w:ind w:hanging="853"/>
        <w:rPr>
          <w:sz w:val="24"/>
        </w:rPr>
      </w:pPr>
      <w:r>
        <w:rPr>
          <w:sz w:val="24"/>
          <w:u w:val="single"/>
        </w:rPr>
        <w:t>The</w:t>
      </w:r>
      <w:r>
        <w:rPr>
          <w:spacing w:val="-1"/>
          <w:sz w:val="24"/>
          <w:u w:val="single"/>
        </w:rPr>
        <w:t xml:space="preserve"> </w:t>
      </w:r>
      <w:r>
        <w:rPr>
          <w:sz w:val="24"/>
          <w:u w:val="single"/>
        </w:rPr>
        <w:t>body of</w:t>
      </w:r>
      <w:r>
        <w:rPr>
          <w:spacing w:val="-3"/>
          <w:sz w:val="24"/>
          <w:u w:val="single"/>
        </w:rPr>
        <w:t xml:space="preserve"> </w:t>
      </w:r>
      <w:r>
        <w:rPr>
          <w:sz w:val="24"/>
          <w:u w:val="single"/>
        </w:rPr>
        <w:t xml:space="preserve">CADA's </w:t>
      </w:r>
      <w:r>
        <w:rPr>
          <w:spacing w:val="-2"/>
          <w:sz w:val="24"/>
          <w:u w:val="single"/>
        </w:rPr>
        <w:t>application</w:t>
      </w:r>
      <w:r>
        <w:rPr>
          <w:rFonts w:ascii="Times New Roman"/>
          <w:sz w:val="24"/>
        </w:rPr>
        <w:tab/>
      </w:r>
      <w:r>
        <w:rPr>
          <w:spacing w:val="-5"/>
          <w:sz w:val="24"/>
          <w:u w:val="single"/>
        </w:rPr>
        <w:t>306</w:t>
      </w:r>
    </w:p>
    <w:p w14:paraId="51DE75C4" w14:textId="77777777" w:rsidR="0010369C" w:rsidRDefault="008E43AE">
      <w:pPr>
        <w:pStyle w:val="ListParagraph"/>
        <w:numPr>
          <w:ilvl w:val="3"/>
          <w:numId w:val="80"/>
        </w:numPr>
        <w:tabs>
          <w:tab w:val="left" w:pos="2365"/>
          <w:tab w:val="left" w:pos="2366"/>
          <w:tab w:val="left" w:leader="dot" w:pos="8933"/>
        </w:tabs>
        <w:ind w:hanging="853"/>
        <w:rPr>
          <w:sz w:val="24"/>
        </w:rPr>
      </w:pPr>
      <w:r>
        <w:rPr>
          <w:sz w:val="24"/>
          <w:u w:val="single"/>
        </w:rPr>
        <w:t>The</w:t>
      </w:r>
      <w:r>
        <w:rPr>
          <w:spacing w:val="-6"/>
          <w:sz w:val="24"/>
          <w:u w:val="single"/>
        </w:rPr>
        <w:t xml:space="preserve"> </w:t>
      </w:r>
      <w:r>
        <w:rPr>
          <w:sz w:val="24"/>
          <w:u w:val="single"/>
        </w:rPr>
        <w:t>annexes</w:t>
      </w:r>
      <w:r>
        <w:rPr>
          <w:spacing w:val="-3"/>
          <w:sz w:val="24"/>
          <w:u w:val="single"/>
        </w:rPr>
        <w:t xml:space="preserve"> </w:t>
      </w:r>
      <w:r>
        <w:rPr>
          <w:sz w:val="24"/>
          <w:u w:val="single"/>
        </w:rPr>
        <w:t>to</w:t>
      </w:r>
      <w:r>
        <w:rPr>
          <w:spacing w:val="-2"/>
          <w:sz w:val="24"/>
          <w:u w:val="single"/>
        </w:rPr>
        <w:t xml:space="preserve"> </w:t>
      </w:r>
      <w:r>
        <w:rPr>
          <w:sz w:val="24"/>
          <w:u w:val="single"/>
        </w:rPr>
        <w:t>the</w:t>
      </w:r>
      <w:r>
        <w:rPr>
          <w:spacing w:val="-2"/>
          <w:sz w:val="24"/>
          <w:u w:val="single"/>
        </w:rPr>
        <w:t xml:space="preserve"> </w:t>
      </w:r>
      <w:r>
        <w:rPr>
          <w:sz w:val="24"/>
          <w:u w:val="single"/>
        </w:rPr>
        <w:t>CADA</w:t>
      </w:r>
      <w:r>
        <w:rPr>
          <w:spacing w:val="-2"/>
          <w:sz w:val="24"/>
          <w:u w:val="single"/>
        </w:rPr>
        <w:t xml:space="preserve"> </w:t>
      </w:r>
      <w:r>
        <w:rPr>
          <w:sz w:val="24"/>
          <w:u w:val="single"/>
        </w:rPr>
        <w:t>Anti‐Dumping</w:t>
      </w:r>
      <w:r>
        <w:rPr>
          <w:spacing w:val="-2"/>
          <w:sz w:val="24"/>
          <w:u w:val="single"/>
        </w:rPr>
        <w:t xml:space="preserve"> </w:t>
      </w:r>
      <w:r>
        <w:rPr>
          <w:sz w:val="24"/>
          <w:u w:val="single"/>
        </w:rPr>
        <w:t>Application</w:t>
      </w:r>
      <w:r>
        <w:rPr>
          <w:spacing w:val="-16"/>
          <w:sz w:val="24"/>
          <w:u w:val="single"/>
        </w:rPr>
        <w:t xml:space="preserve"> </w:t>
      </w:r>
      <w:r>
        <w:rPr>
          <w:rFonts w:ascii="Times New Roman" w:hAnsi="Times New Roman"/>
          <w:sz w:val="24"/>
        </w:rPr>
        <w:tab/>
      </w:r>
      <w:r>
        <w:rPr>
          <w:spacing w:val="-5"/>
          <w:sz w:val="24"/>
          <w:u w:val="single"/>
        </w:rPr>
        <w:t>308</w:t>
      </w:r>
    </w:p>
    <w:p w14:paraId="51DE75C5" w14:textId="77777777" w:rsidR="0010369C" w:rsidRDefault="008E43AE">
      <w:pPr>
        <w:pStyle w:val="Heading4"/>
        <w:numPr>
          <w:ilvl w:val="2"/>
          <w:numId w:val="80"/>
        </w:numPr>
        <w:tabs>
          <w:tab w:val="left" w:pos="1939"/>
          <w:tab w:val="left" w:pos="1940"/>
          <w:tab w:val="left" w:leader="dot" w:pos="8933"/>
        </w:tabs>
        <w:spacing w:before="121"/>
        <w:ind w:left="1940"/>
      </w:pPr>
      <w:r>
        <w:t>Chinese</w:t>
      </w:r>
      <w:r>
        <w:rPr>
          <w:spacing w:val="-3"/>
        </w:rPr>
        <w:t xml:space="preserve"> </w:t>
      </w:r>
      <w:r>
        <w:t>domestic</w:t>
      </w:r>
      <w:r>
        <w:rPr>
          <w:spacing w:val="-3"/>
        </w:rPr>
        <w:t xml:space="preserve"> </w:t>
      </w:r>
      <w:r>
        <w:t>producers'</w:t>
      </w:r>
      <w:r>
        <w:rPr>
          <w:spacing w:val="-4"/>
        </w:rPr>
        <w:t xml:space="preserve"> </w:t>
      </w:r>
      <w:r>
        <w:t>claims</w:t>
      </w:r>
      <w:r>
        <w:rPr>
          <w:spacing w:val="-1"/>
        </w:rPr>
        <w:t xml:space="preserve"> </w:t>
      </w:r>
      <w:r>
        <w:t>to</w:t>
      </w:r>
      <w:r>
        <w:rPr>
          <w:spacing w:val="-2"/>
        </w:rPr>
        <w:t xml:space="preserve"> confidentiality</w:t>
      </w:r>
      <w:r>
        <w:rPr>
          <w:rFonts w:ascii="Times New Roman"/>
          <w:b w:val="0"/>
        </w:rPr>
        <w:tab/>
      </w:r>
      <w:r>
        <w:rPr>
          <w:spacing w:val="-5"/>
        </w:rPr>
        <w:t>311</w:t>
      </w:r>
    </w:p>
    <w:p w14:paraId="51DE75C6" w14:textId="77777777" w:rsidR="0010369C" w:rsidRDefault="008E43AE">
      <w:pPr>
        <w:pStyle w:val="ListParagraph"/>
        <w:numPr>
          <w:ilvl w:val="3"/>
          <w:numId w:val="80"/>
        </w:numPr>
        <w:tabs>
          <w:tab w:val="left" w:pos="2365"/>
          <w:tab w:val="left" w:pos="2366"/>
          <w:tab w:val="left" w:leader="dot" w:pos="8933"/>
        </w:tabs>
        <w:ind w:hanging="853"/>
        <w:rPr>
          <w:sz w:val="24"/>
        </w:rPr>
      </w:pPr>
      <w:r>
        <w:rPr>
          <w:sz w:val="24"/>
          <w:u w:val="single"/>
        </w:rPr>
        <w:t>The responses</w:t>
      </w:r>
      <w:r>
        <w:rPr>
          <w:spacing w:val="-2"/>
          <w:sz w:val="24"/>
          <w:u w:val="single"/>
        </w:rPr>
        <w:t xml:space="preserve"> </w:t>
      </w:r>
      <w:r>
        <w:rPr>
          <w:sz w:val="24"/>
          <w:u w:val="single"/>
        </w:rPr>
        <w:t>to the Domestic Producer</w:t>
      </w:r>
      <w:r>
        <w:rPr>
          <w:spacing w:val="-2"/>
          <w:sz w:val="24"/>
          <w:u w:val="single"/>
        </w:rPr>
        <w:t xml:space="preserve"> </w:t>
      </w:r>
      <w:r>
        <w:rPr>
          <w:sz w:val="24"/>
          <w:u w:val="single"/>
        </w:rPr>
        <w:t>Questionnaire</w:t>
      </w:r>
      <w:r>
        <w:rPr>
          <w:spacing w:val="-5"/>
          <w:sz w:val="24"/>
          <w:u w:val="single"/>
        </w:rPr>
        <w:t xml:space="preserve"> </w:t>
      </w:r>
      <w:r>
        <w:rPr>
          <w:rFonts w:ascii="Times New Roman"/>
          <w:sz w:val="24"/>
        </w:rPr>
        <w:tab/>
      </w:r>
      <w:r>
        <w:rPr>
          <w:spacing w:val="-5"/>
          <w:sz w:val="24"/>
          <w:u w:val="single"/>
        </w:rPr>
        <w:t>311</w:t>
      </w:r>
    </w:p>
    <w:p w14:paraId="51DE75C7" w14:textId="77777777" w:rsidR="0010369C" w:rsidRDefault="008E43AE">
      <w:pPr>
        <w:pStyle w:val="ListParagraph"/>
        <w:numPr>
          <w:ilvl w:val="3"/>
          <w:numId w:val="80"/>
        </w:numPr>
        <w:tabs>
          <w:tab w:val="left" w:pos="2365"/>
          <w:tab w:val="left" w:pos="2366"/>
          <w:tab w:val="left" w:leader="dot" w:pos="8933"/>
        </w:tabs>
        <w:ind w:hanging="853"/>
        <w:rPr>
          <w:sz w:val="24"/>
        </w:rPr>
      </w:pPr>
      <w:r>
        <w:rPr>
          <w:sz w:val="24"/>
          <w:u w:val="single"/>
        </w:rPr>
        <w:t>The</w:t>
      </w:r>
      <w:r>
        <w:rPr>
          <w:spacing w:val="-2"/>
          <w:sz w:val="24"/>
          <w:u w:val="single"/>
        </w:rPr>
        <w:t xml:space="preserve"> </w:t>
      </w:r>
      <w:r>
        <w:rPr>
          <w:sz w:val="24"/>
          <w:u w:val="single"/>
        </w:rPr>
        <w:t>responses</w:t>
      </w:r>
      <w:r>
        <w:rPr>
          <w:spacing w:val="-3"/>
          <w:sz w:val="24"/>
          <w:u w:val="single"/>
        </w:rPr>
        <w:t xml:space="preserve"> </w:t>
      </w:r>
      <w:r>
        <w:rPr>
          <w:sz w:val="24"/>
          <w:u w:val="single"/>
        </w:rPr>
        <w:t>to</w:t>
      </w:r>
      <w:r>
        <w:rPr>
          <w:spacing w:val="-1"/>
          <w:sz w:val="24"/>
          <w:u w:val="single"/>
        </w:rPr>
        <w:t xml:space="preserve"> </w:t>
      </w:r>
      <w:r>
        <w:rPr>
          <w:sz w:val="24"/>
          <w:u w:val="single"/>
        </w:rPr>
        <w:t>notices</w:t>
      </w:r>
      <w:r>
        <w:rPr>
          <w:spacing w:val="-2"/>
          <w:sz w:val="24"/>
          <w:u w:val="single"/>
        </w:rPr>
        <w:t xml:space="preserve"> </w:t>
      </w:r>
      <w:r>
        <w:rPr>
          <w:sz w:val="24"/>
          <w:u w:val="single"/>
        </w:rPr>
        <w:t>of</w:t>
      </w:r>
      <w:r>
        <w:rPr>
          <w:spacing w:val="-2"/>
          <w:sz w:val="24"/>
          <w:u w:val="single"/>
        </w:rPr>
        <w:t xml:space="preserve"> </w:t>
      </w:r>
      <w:r>
        <w:rPr>
          <w:sz w:val="24"/>
          <w:u w:val="single"/>
        </w:rPr>
        <w:t>verification</w:t>
      </w:r>
      <w:r>
        <w:rPr>
          <w:spacing w:val="-3"/>
          <w:sz w:val="24"/>
          <w:u w:val="single"/>
        </w:rPr>
        <w:t xml:space="preserve"> </w:t>
      </w:r>
      <w:r>
        <w:rPr>
          <w:sz w:val="24"/>
          <w:u w:val="single"/>
        </w:rPr>
        <w:t>from</w:t>
      </w:r>
      <w:r>
        <w:rPr>
          <w:spacing w:val="-2"/>
          <w:sz w:val="24"/>
          <w:u w:val="single"/>
        </w:rPr>
        <w:t xml:space="preserve"> </w:t>
      </w:r>
      <w:r>
        <w:rPr>
          <w:sz w:val="24"/>
          <w:u w:val="single"/>
        </w:rPr>
        <w:t>domestic</w:t>
      </w:r>
      <w:r>
        <w:rPr>
          <w:spacing w:val="-1"/>
          <w:sz w:val="24"/>
          <w:u w:val="single"/>
        </w:rPr>
        <w:t xml:space="preserve"> </w:t>
      </w:r>
      <w:r>
        <w:rPr>
          <w:spacing w:val="-2"/>
          <w:sz w:val="24"/>
          <w:u w:val="single"/>
        </w:rPr>
        <w:t>industry</w:t>
      </w:r>
      <w:r>
        <w:rPr>
          <w:rFonts w:ascii="Times New Roman"/>
          <w:sz w:val="24"/>
        </w:rPr>
        <w:tab/>
      </w:r>
      <w:r>
        <w:rPr>
          <w:spacing w:val="-5"/>
          <w:sz w:val="24"/>
          <w:u w:val="single"/>
        </w:rPr>
        <w:t>317</w:t>
      </w:r>
    </w:p>
    <w:p w14:paraId="51DE75C8" w14:textId="77777777" w:rsidR="0010369C" w:rsidRDefault="008E43AE">
      <w:pPr>
        <w:pStyle w:val="Heading4"/>
        <w:numPr>
          <w:ilvl w:val="2"/>
          <w:numId w:val="80"/>
        </w:numPr>
        <w:tabs>
          <w:tab w:val="left" w:pos="1939"/>
          <w:tab w:val="left" w:pos="1940"/>
          <w:tab w:val="left" w:leader="dot" w:pos="8933"/>
        </w:tabs>
        <w:spacing w:before="119"/>
        <w:ind w:left="1940"/>
      </w:pPr>
      <w:r>
        <w:rPr>
          <w:spacing w:val="-2"/>
        </w:rPr>
        <w:t>Conclusion</w:t>
      </w:r>
      <w:r>
        <w:rPr>
          <w:rFonts w:ascii="Times New Roman"/>
          <w:b w:val="0"/>
        </w:rPr>
        <w:tab/>
      </w:r>
      <w:r>
        <w:rPr>
          <w:spacing w:val="-5"/>
        </w:rPr>
        <w:t>320</w:t>
      </w:r>
    </w:p>
    <w:p w14:paraId="51DE75C9" w14:textId="77777777" w:rsidR="0010369C" w:rsidRDefault="008E43AE">
      <w:pPr>
        <w:pStyle w:val="ListParagraph"/>
        <w:numPr>
          <w:ilvl w:val="1"/>
          <w:numId w:val="80"/>
        </w:numPr>
        <w:tabs>
          <w:tab w:val="left" w:pos="1513"/>
          <w:tab w:val="left" w:pos="1514"/>
        </w:tabs>
        <w:ind w:left="1514"/>
        <w:rPr>
          <w:b/>
          <w:sz w:val="24"/>
        </w:rPr>
      </w:pPr>
      <w:r>
        <w:rPr>
          <w:b/>
          <w:sz w:val="24"/>
        </w:rPr>
        <w:t>MOFCOM'</w:t>
      </w:r>
      <w:r>
        <w:rPr>
          <w:b/>
          <w:sz w:val="19"/>
        </w:rPr>
        <w:t>S</w:t>
      </w:r>
      <w:r>
        <w:rPr>
          <w:b/>
          <w:spacing w:val="44"/>
          <w:sz w:val="19"/>
        </w:rPr>
        <w:t xml:space="preserve"> </w:t>
      </w:r>
      <w:r>
        <w:rPr>
          <w:b/>
          <w:sz w:val="19"/>
        </w:rPr>
        <w:t>FAILURE</w:t>
      </w:r>
      <w:r>
        <w:rPr>
          <w:b/>
          <w:spacing w:val="44"/>
          <w:sz w:val="19"/>
        </w:rPr>
        <w:t xml:space="preserve"> </w:t>
      </w:r>
      <w:r>
        <w:rPr>
          <w:b/>
          <w:sz w:val="19"/>
        </w:rPr>
        <w:t>TO</w:t>
      </w:r>
      <w:r>
        <w:rPr>
          <w:b/>
          <w:spacing w:val="46"/>
          <w:sz w:val="19"/>
        </w:rPr>
        <w:t xml:space="preserve"> </w:t>
      </w:r>
      <w:r>
        <w:rPr>
          <w:b/>
          <w:sz w:val="19"/>
        </w:rPr>
        <w:t>CONSTRUCT</w:t>
      </w:r>
      <w:r>
        <w:rPr>
          <w:b/>
          <w:spacing w:val="45"/>
          <w:sz w:val="19"/>
        </w:rPr>
        <w:t xml:space="preserve"> </w:t>
      </w:r>
      <w:r>
        <w:rPr>
          <w:b/>
          <w:sz w:val="19"/>
        </w:rPr>
        <w:t>A</w:t>
      </w:r>
      <w:r>
        <w:rPr>
          <w:b/>
          <w:spacing w:val="47"/>
          <w:sz w:val="19"/>
        </w:rPr>
        <w:t xml:space="preserve"> </w:t>
      </w:r>
      <w:r>
        <w:rPr>
          <w:b/>
          <w:sz w:val="19"/>
        </w:rPr>
        <w:t>SAMPLE</w:t>
      </w:r>
      <w:r>
        <w:rPr>
          <w:b/>
          <w:spacing w:val="44"/>
          <w:sz w:val="19"/>
        </w:rPr>
        <w:t xml:space="preserve"> </w:t>
      </w:r>
      <w:r>
        <w:rPr>
          <w:b/>
          <w:sz w:val="19"/>
        </w:rPr>
        <w:t>USING</w:t>
      </w:r>
      <w:r>
        <w:rPr>
          <w:b/>
          <w:spacing w:val="46"/>
          <w:sz w:val="19"/>
        </w:rPr>
        <w:t xml:space="preserve"> </w:t>
      </w:r>
      <w:r>
        <w:rPr>
          <w:b/>
          <w:sz w:val="19"/>
        </w:rPr>
        <w:t>A</w:t>
      </w:r>
      <w:r>
        <w:rPr>
          <w:b/>
          <w:spacing w:val="45"/>
          <w:sz w:val="19"/>
        </w:rPr>
        <w:t xml:space="preserve"> </w:t>
      </w:r>
      <w:r>
        <w:rPr>
          <w:b/>
          <w:sz w:val="19"/>
        </w:rPr>
        <w:t>PERMITTED</w:t>
      </w:r>
      <w:r>
        <w:rPr>
          <w:b/>
          <w:spacing w:val="45"/>
          <w:sz w:val="19"/>
        </w:rPr>
        <w:t xml:space="preserve"> </w:t>
      </w:r>
      <w:r>
        <w:rPr>
          <w:b/>
          <w:sz w:val="19"/>
        </w:rPr>
        <w:t>METHOD</w:t>
      </w:r>
      <w:r>
        <w:rPr>
          <w:b/>
          <w:spacing w:val="46"/>
          <w:sz w:val="19"/>
        </w:rPr>
        <w:t xml:space="preserve"> </w:t>
      </w:r>
      <w:r>
        <w:rPr>
          <w:b/>
          <w:spacing w:val="-2"/>
          <w:sz w:val="19"/>
        </w:rPr>
        <w:t>BREACHED</w:t>
      </w:r>
    </w:p>
    <w:p w14:paraId="51DE75CA" w14:textId="77777777" w:rsidR="0010369C" w:rsidRDefault="008E43AE">
      <w:pPr>
        <w:tabs>
          <w:tab w:val="left" w:leader="dot" w:pos="8933"/>
        </w:tabs>
        <w:ind w:left="1513"/>
        <w:rPr>
          <w:b/>
          <w:sz w:val="24"/>
        </w:rPr>
      </w:pPr>
      <w:r>
        <w:rPr>
          <w:b/>
          <w:sz w:val="24"/>
        </w:rPr>
        <w:t>C</w:t>
      </w:r>
      <w:r>
        <w:rPr>
          <w:b/>
          <w:sz w:val="19"/>
        </w:rPr>
        <w:t>HINA</w:t>
      </w:r>
      <w:r>
        <w:rPr>
          <w:b/>
          <w:sz w:val="24"/>
        </w:rPr>
        <w:t>'</w:t>
      </w:r>
      <w:r>
        <w:rPr>
          <w:b/>
          <w:sz w:val="19"/>
        </w:rPr>
        <w:t>S</w:t>
      </w:r>
      <w:r>
        <w:rPr>
          <w:b/>
          <w:spacing w:val="-11"/>
          <w:sz w:val="19"/>
        </w:rPr>
        <w:t xml:space="preserve"> </w:t>
      </w:r>
      <w:r>
        <w:rPr>
          <w:b/>
          <w:sz w:val="19"/>
        </w:rPr>
        <w:t>OBLIGATIONS</w:t>
      </w:r>
      <w:r>
        <w:rPr>
          <w:b/>
          <w:spacing w:val="-7"/>
          <w:sz w:val="19"/>
        </w:rPr>
        <w:t xml:space="preserve"> </w:t>
      </w:r>
      <w:r>
        <w:rPr>
          <w:b/>
          <w:sz w:val="19"/>
        </w:rPr>
        <w:t>UNDER</w:t>
      </w:r>
      <w:r>
        <w:rPr>
          <w:b/>
          <w:spacing w:val="-6"/>
          <w:sz w:val="19"/>
        </w:rPr>
        <w:t xml:space="preserve"> </w:t>
      </w:r>
      <w:r>
        <w:rPr>
          <w:b/>
          <w:sz w:val="24"/>
        </w:rPr>
        <w:t>A</w:t>
      </w:r>
      <w:r>
        <w:rPr>
          <w:b/>
          <w:sz w:val="19"/>
        </w:rPr>
        <w:t>RTICLE</w:t>
      </w:r>
      <w:r>
        <w:rPr>
          <w:b/>
          <w:spacing w:val="-8"/>
          <w:sz w:val="19"/>
        </w:rPr>
        <w:t xml:space="preserve"> </w:t>
      </w:r>
      <w:r>
        <w:rPr>
          <w:b/>
          <w:sz w:val="24"/>
        </w:rPr>
        <w:t>6.10</w:t>
      </w:r>
      <w:r>
        <w:rPr>
          <w:b/>
          <w:spacing w:val="-14"/>
          <w:sz w:val="24"/>
        </w:rPr>
        <w:t xml:space="preserve"> </w:t>
      </w:r>
      <w:r>
        <w:rPr>
          <w:b/>
          <w:sz w:val="19"/>
        </w:rPr>
        <w:t>OF</w:t>
      </w:r>
      <w:r>
        <w:rPr>
          <w:b/>
          <w:spacing w:val="-6"/>
          <w:sz w:val="19"/>
        </w:rPr>
        <w:t xml:space="preserve"> </w:t>
      </w:r>
      <w:r>
        <w:rPr>
          <w:b/>
          <w:sz w:val="19"/>
        </w:rPr>
        <w:t>THE</w:t>
      </w:r>
      <w:r>
        <w:rPr>
          <w:b/>
          <w:spacing w:val="-7"/>
          <w:sz w:val="19"/>
        </w:rPr>
        <w:t xml:space="preserve"> </w:t>
      </w:r>
      <w:r>
        <w:rPr>
          <w:b/>
          <w:sz w:val="24"/>
        </w:rPr>
        <w:t>A</w:t>
      </w:r>
      <w:r>
        <w:rPr>
          <w:b/>
          <w:sz w:val="19"/>
        </w:rPr>
        <w:t>NTI</w:t>
      </w:r>
      <w:r>
        <w:rPr>
          <w:b/>
          <w:sz w:val="24"/>
        </w:rPr>
        <w:t>‐D</w:t>
      </w:r>
      <w:r>
        <w:rPr>
          <w:b/>
          <w:sz w:val="19"/>
        </w:rPr>
        <w:t>UMPING</w:t>
      </w:r>
      <w:r>
        <w:rPr>
          <w:b/>
          <w:spacing w:val="-7"/>
          <w:sz w:val="19"/>
        </w:rPr>
        <w:t xml:space="preserve"> </w:t>
      </w:r>
      <w:r>
        <w:rPr>
          <w:b/>
          <w:spacing w:val="-2"/>
          <w:sz w:val="24"/>
        </w:rPr>
        <w:t>A</w:t>
      </w:r>
      <w:r>
        <w:rPr>
          <w:b/>
          <w:spacing w:val="-2"/>
          <w:sz w:val="19"/>
        </w:rPr>
        <w:t>GREEMENT</w:t>
      </w:r>
      <w:r>
        <w:rPr>
          <w:rFonts w:ascii="Times New Roman" w:hAnsi="Times New Roman"/>
          <w:sz w:val="19"/>
        </w:rPr>
        <w:tab/>
      </w:r>
      <w:r>
        <w:rPr>
          <w:b/>
          <w:spacing w:val="-5"/>
          <w:sz w:val="24"/>
        </w:rPr>
        <w:t>320</w:t>
      </w:r>
    </w:p>
    <w:p w14:paraId="51DE75CB" w14:textId="77777777" w:rsidR="0010369C" w:rsidRDefault="008E43AE">
      <w:pPr>
        <w:pStyle w:val="Heading4"/>
        <w:numPr>
          <w:ilvl w:val="2"/>
          <w:numId w:val="80"/>
        </w:numPr>
        <w:tabs>
          <w:tab w:val="left" w:pos="1939"/>
          <w:tab w:val="left" w:pos="1940"/>
          <w:tab w:val="left" w:leader="dot" w:pos="8933"/>
        </w:tabs>
        <w:spacing w:before="120"/>
        <w:ind w:left="1940"/>
      </w:pPr>
      <w:r>
        <w:t>Legal</w:t>
      </w:r>
      <w:r>
        <w:rPr>
          <w:spacing w:val="-1"/>
        </w:rPr>
        <w:t xml:space="preserve"> </w:t>
      </w:r>
      <w:r>
        <w:rPr>
          <w:spacing w:val="-2"/>
        </w:rPr>
        <w:t>framework</w:t>
      </w:r>
      <w:r>
        <w:rPr>
          <w:rFonts w:ascii="Times New Roman"/>
          <w:b w:val="0"/>
        </w:rPr>
        <w:tab/>
      </w:r>
      <w:r>
        <w:rPr>
          <w:spacing w:val="-5"/>
        </w:rPr>
        <w:t>320</w:t>
      </w:r>
    </w:p>
    <w:p w14:paraId="51DE75CC" w14:textId="77777777" w:rsidR="0010369C" w:rsidRDefault="008E43AE">
      <w:pPr>
        <w:pStyle w:val="ListParagraph"/>
        <w:numPr>
          <w:ilvl w:val="2"/>
          <w:numId w:val="80"/>
        </w:numPr>
        <w:tabs>
          <w:tab w:val="left" w:pos="1939"/>
          <w:tab w:val="left" w:pos="1940"/>
          <w:tab w:val="left" w:leader="dot" w:pos="8933"/>
        </w:tabs>
        <w:ind w:left="1940"/>
        <w:rPr>
          <w:b/>
          <w:sz w:val="24"/>
        </w:rPr>
      </w:pPr>
      <w:r>
        <w:rPr>
          <w:b/>
          <w:sz w:val="24"/>
        </w:rPr>
        <w:t>Construction</w:t>
      </w:r>
      <w:r>
        <w:rPr>
          <w:b/>
          <w:spacing w:val="-6"/>
          <w:sz w:val="24"/>
        </w:rPr>
        <w:t xml:space="preserve"> </w:t>
      </w:r>
      <w:r>
        <w:rPr>
          <w:b/>
          <w:sz w:val="24"/>
        </w:rPr>
        <w:t>of</w:t>
      </w:r>
      <w:r>
        <w:rPr>
          <w:b/>
          <w:spacing w:val="-5"/>
          <w:sz w:val="24"/>
        </w:rPr>
        <w:t xml:space="preserve"> </w:t>
      </w:r>
      <w:r>
        <w:rPr>
          <w:b/>
          <w:sz w:val="24"/>
        </w:rPr>
        <w:t>the</w:t>
      </w:r>
      <w:r>
        <w:rPr>
          <w:b/>
          <w:spacing w:val="-4"/>
          <w:sz w:val="24"/>
        </w:rPr>
        <w:t xml:space="preserve"> </w:t>
      </w:r>
      <w:r>
        <w:rPr>
          <w:b/>
          <w:spacing w:val="-2"/>
          <w:sz w:val="24"/>
        </w:rPr>
        <w:t>sample</w:t>
      </w:r>
      <w:r>
        <w:rPr>
          <w:rFonts w:ascii="Times New Roman"/>
          <w:sz w:val="24"/>
        </w:rPr>
        <w:tab/>
      </w:r>
      <w:r>
        <w:rPr>
          <w:b/>
          <w:spacing w:val="-5"/>
          <w:sz w:val="24"/>
        </w:rPr>
        <w:t>322</w:t>
      </w:r>
    </w:p>
    <w:p w14:paraId="51DE75CD" w14:textId="77777777" w:rsidR="0010369C" w:rsidRDefault="008E43AE">
      <w:pPr>
        <w:pStyle w:val="ListParagraph"/>
        <w:numPr>
          <w:ilvl w:val="1"/>
          <w:numId w:val="80"/>
        </w:numPr>
        <w:tabs>
          <w:tab w:val="left" w:pos="1513"/>
          <w:tab w:val="left" w:pos="1514"/>
        </w:tabs>
        <w:ind w:left="1513" w:right="195"/>
        <w:jc w:val="both"/>
        <w:rPr>
          <w:b/>
          <w:sz w:val="24"/>
        </w:rPr>
      </w:pPr>
      <w:r>
        <w:rPr>
          <w:b/>
          <w:sz w:val="24"/>
        </w:rPr>
        <w:t>MOFCOM'</w:t>
      </w:r>
      <w:r>
        <w:rPr>
          <w:b/>
          <w:sz w:val="19"/>
        </w:rPr>
        <w:t>S FAILURE TO PROVIDE INTERESTED PARTIES WITH AMPLE OPPORTUNITIES TO PRESENT</w:t>
      </w:r>
      <w:r>
        <w:rPr>
          <w:b/>
          <w:spacing w:val="40"/>
          <w:sz w:val="19"/>
        </w:rPr>
        <w:t xml:space="preserve"> </w:t>
      </w:r>
      <w:r>
        <w:rPr>
          <w:b/>
          <w:sz w:val="19"/>
        </w:rPr>
        <w:t>EVIDENCE</w:t>
      </w:r>
      <w:r>
        <w:rPr>
          <w:b/>
          <w:spacing w:val="40"/>
          <w:sz w:val="19"/>
        </w:rPr>
        <w:t xml:space="preserve"> </w:t>
      </w:r>
      <w:r>
        <w:rPr>
          <w:b/>
          <w:sz w:val="19"/>
        </w:rPr>
        <w:t>THEY</w:t>
      </w:r>
      <w:r>
        <w:rPr>
          <w:b/>
          <w:spacing w:val="40"/>
          <w:sz w:val="19"/>
        </w:rPr>
        <w:t xml:space="preserve"> </w:t>
      </w:r>
      <w:r>
        <w:rPr>
          <w:b/>
          <w:sz w:val="19"/>
        </w:rPr>
        <w:t>CONSIDERED</w:t>
      </w:r>
      <w:r>
        <w:rPr>
          <w:b/>
          <w:spacing w:val="40"/>
          <w:sz w:val="19"/>
        </w:rPr>
        <w:t xml:space="preserve"> </w:t>
      </w:r>
      <w:r>
        <w:rPr>
          <w:b/>
          <w:sz w:val="19"/>
        </w:rPr>
        <w:t>RELEVANT</w:t>
      </w:r>
      <w:r>
        <w:rPr>
          <w:b/>
          <w:spacing w:val="40"/>
          <w:sz w:val="19"/>
        </w:rPr>
        <w:t xml:space="preserve"> </w:t>
      </w:r>
      <w:r>
        <w:rPr>
          <w:b/>
          <w:sz w:val="19"/>
        </w:rPr>
        <w:t>BREACHED</w:t>
      </w:r>
      <w:r>
        <w:rPr>
          <w:b/>
          <w:spacing w:val="40"/>
          <w:sz w:val="19"/>
        </w:rPr>
        <w:t xml:space="preserve"> </w:t>
      </w:r>
      <w:r>
        <w:rPr>
          <w:b/>
          <w:sz w:val="24"/>
        </w:rPr>
        <w:t>C</w:t>
      </w:r>
      <w:r>
        <w:rPr>
          <w:b/>
          <w:sz w:val="19"/>
        </w:rPr>
        <w:t>HINA</w:t>
      </w:r>
      <w:r>
        <w:rPr>
          <w:b/>
          <w:sz w:val="24"/>
        </w:rPr>
        <w:t>'</w:t>
      </w:r>
      <w:r>
        <w:rPr>
          <w:b/>
          <w:sz w:val="19"/>
        </w:rPr>
        <w:t>S</w:t>
      </w:r>
      <w:r>
        <w:rPr>
          <w:b/>
          <w:spacing w:val="40"/>
          <w:sz w:val="19"/>
        </w:rPr>
        <w:t xml:space="preserve"> </w:t>
      </w:r>
      <w:r>
        <w:rPr>
          <w:b/>
          <w:sz w:val="19"/>
        </w:rPr>
        <w:t>OBLIGATIONS</w:t>
      </w:r>
      <w:r>
        <w:rPr>
          <w:b/>
          <w:spacing w:val="40"/>
          <w:sz w:val="19"/>
        </w:rPr>
        <w:t xml:space="preserve"> </w:t>
      </w:r>
      <w:r>
        <w:rPr>
          <w:b/>
          <w:sz w:val="19"/>
        </w:rPr>
        <w:t>UNDER</w:t>
      </w:r>
    </w:p>
    <w:p w14:paraId="51DE75CE" w14:textId="77777777" w:rsidR="0010369C" w:rsidRDefault="008E43AE">
      <w:pPr>
        <w:tabs>
          <w:tab w:val="left" w:leader="dot" w:pos="8933"/>
        </w:tabs>
        <w:ind w:left="1513"/>
        <w:rPr>
          <w:b/>
          <w:sz w:val="24"/>
        </w:rPr>
      </w:pPr>
      <w:r>
        <w:rPr>
          <w:b/>
          <w:sz w:val="24"/>
        </w:rPr>
        <w:t>A</w:t>
      </w:r>
      <w:r>
        <w:rPr>
          <w:b/>
          <w:sz w:val="19"/>
        </w:rPr>
        <w:t>RTICLES</w:t>
      </w:r>
      <w:r>
        <w:rPr>
          <w:b/>
          <w:spacing w:val="-11"/>
          <w:sz w:val="19"/>
        </w:rPr>
        <w:t xml:space="preserve"> </w:t>
      </w:r>
      <w:r>
        <w:rPr>
          <w:b/>
          <w:sz w:val="24"/>
        </w:rPr>
        <w:t>6.1,</w:t>
      </w:r>
      <w:r>
        <w:rPr>
          <w:b/>
          <w:spacing w:val="-14"/>
          <w:sz w:val="24"/>
        </w:rPr>
        <w:t xml:space="preserve"> </w:t>
      </w:r>
      <w:r>
        <w:rPr>
          <w:b/>
          <w:sz w:val="24"/>
        </w:rPr>
        <w:t>6.1.1,</w:t>
      </w:r>
      <w:r>
        <w:rPr>
          <w:b/>
          <w:spacing w:val="-13"/>
          <w:sz w:val="24"/>
        </w:rPr>
        <w:t xml:space="preserve"> </w:t>
      </w:r>
      <w:r>
        <w:rPr>
          <w:b/>
          <w:sz w:val="24"/>
        </w:rPr>
        <w:t>6.1.2</w:t>
      </w:r>
      <w:r>
        <w:rPr>
          <w:b/>
          <w:spacing w:val="-14"/>
          <w:sz w:val="24"/>
        </w:rPr>
        <w:t xml:space="preserve"> </w:t>
      </w:r>
      <w:r>
        <w:rPr>
          <w:b/>
          <w:sz w:val="19"/>
        </w:rPr>
        <w:t>AND</w:t>
      </w:r>
      <w:r>
        <w:rPr>
          <w:b/>
          <w:spacing w:val="-10"/>
          <w:sz w:val="19"/>
        </w:rPr>
        <w:t xml:space="preserve"> </w:t>
      </w:r>
      <w:r>
        <w:rPr>
          <w:b/>
          <w:sz w:val="24"/>
        </w:rPr>
        <w:t>6.2</w:t>
      </w:r>
      <w:r>
        <w:rPr>
          <w:b/>
          <w:spacing w:val="-13"/>
          <w:sz w:val="24"/>
        </w:rPr>
        <w:t xml:space="preserve"> </w:t>
      </w:r>
      <w:r>
        <w:rPr>
          <w:b/>
          <w:sz w:val="19"/>
        </w:rPr>
        <w:t>OF</w:t>
      </w:r>
      <w:r>
        <w:rPr>
          <w:b/>
          <w:spacing w:val="-5"/>
          <w:sz w:val="19"/>
        </w:rPr>
        <w:t xml:space="preserve"> </w:t>
      </w:r>
      <w:r>
        <w:rPr>
          <w:b/>
          <w:sz w:val="19"/>
        </w:rPr>
        <w:t>THE</w:t>
      </w:r>
      <w:r>
        <w:rPr>
          <w:b/>
          <w:spacing w:val="-5"/>
          <w:sz w:val="19"/>
        </w:rPr>
        <w:t xml:space="preserve"> </w:t>
      </w:r>
      <w:r>
        <w:rPr>
          <w:b/>
          <w:sz w:val="24"/>
        </w:rPr>
        <w:t>A</w:t>
      </w:r>
      <w:r>
        <w:rPr>
          <w:b/>
          <w:sz w:val="19"/>
        </w:rPr>
        <w:t>NTI</w:t>
      </w:r>
      <w:r>
        <w:rPr>
          <w:b/>
          <w:sz w:val="24"/>
        </w:rPr>
        <w:t>‐D</w:t>
      </w:r>
      <w:r>
        <w:rPr>
          <w:b/>
          <w:sz w:val="19"/>
        </w:rPr>
        <w:t>UMPING</w:t>
      </w:r>
      <w:r>
        <w:rPr>
          <w:b/>
          <w:spacing w:val="-5"/>
          <w:sz w:val="19"/>
        </w:rPr>
        <w:t xml:space="preserve"> </w:t>
      </w:r>
      <w:r>
        <w:rPr>
          <w:b/>
          <w:spacing w:val="-2"/>
          <w:sz w:val="24"/>
        </w:rPr>
        <w:t>A</w:t>
      </w:r>
      <w:r>
        <w:rPr>
          <w:b/>
          <w:spacing w:val="-2"/>
          <w:sz w:val="19"/>
        </w:rPr>
        <w:t>GREEMENT</w:t>
      </w:r>
      <w:r>
        <w:rPr>
          <w:rFonts w:ascii="Times New Roman" w:hAnsi="Times New Roman"/>
          <w:sz w:val="19"/>
        </w:rPr>
        <w:tab/>
      </w:r>
      <w:r>
        <w:rPr>
          <w:b/>
          <w:spacing w:val="-5"/>
          <w:sz w:val="24"/>
        </w:rPr>
        <w:t>325</w:t>
      </w:r>
    </w:p>
    <w:p w14:paraId="51DE75CF" w14:textId="77777777" w:rsidR="0010369C" w:rsidRDefault="0010369C">
      <w:pPr>
        <w:rPr>
          <w:sz w:val="24"/>
        </w:rPr>
        <w:sectPr w:rsidR="0010369C">
          <w:pgSz w:w="11910" w:h="16840"/>
          <w:pgMar w:top="880" w:right="1220" w:bottom="980" w:left="1180" w:header="569" w:footer="788" w:gutter="0"/>
          <w:cols w:space="720"/>
        </w:sectPr>
      </w:pPr>
    </w:p>
    <w:p w14:paraId="51DE75D0" w14:textId="77777777" w:rsidR="0010369C" w:rsidRDefault="008E43AE">
      <w:pPr>
        <w:tabs>
          <w:tab w:val="left" w:pos="6425"/>
        </w:tabs>
        <w:ind w:left="238"/>
        <w:rPr>
          <w:sz w:val="20"/>
        </w:rPr>
      </w:pPr>
      <w:r>
        <w:rPr>
          <w:i/>
          <w:sz w:val="20"/>
        </w:rPr>
        <w:lastRenderedPageBreak/>
        <w:t>China</w:t>
      </w:r>
      <w:r>
        <w:rPr>
          <w:i/>
          <w:spacing w:val="-5"/>
          <w:sz w:val="20"/>
        </w:rPr>
        <w:t xml:space="preserve"> </w:t>
      </w:r>
      <w:r>
        <w:rPr>
          <w:i/>
          <w:sz w:val="20"/>
        </w:rPr>
        <w:t>–</w:t>
      </w:r>
      <w:r>
        <w:rPr>
          <w:i/>
          <w:spacing w:val="-5"/>
          <w:sz w:val="20"/>
        </w:rPr>
        <w:t xml:space="preserve"> </w:t>
      </w:r>
      <w:r>
        <w:rPr>
          <w:i/>
          <w:sz w:val="20"/>
        </w:rPr>
        <w:t>Anti‐Dumping</w:t>
      </w:r>
      <w:r>
        <w:rPr>
          <w:i/>
          <w:spacing w:val="-4"/>
          <w:sz w:val="20"/>
        </w:rPr>
        <w:t xml:space="preserve"> </w:t>
      </w:r>
      <w:r>
        <w:rPr>
          <w:i/>
          <w:sz w:val="20"/>
        </w:rPr>
        <w:t>and</w:t>
      </w:r>
      <w:r>
        <w:rPr>
          <w:i/>
          <w:spacing w:val="-5"/>
          <w:sz w:val="20"/>
        </w:rPr>
        <w:t xml:space="preserve"> </w:t>
      </w:r>
      <w:r>
        <w:rPr>
          <w:i/>
          <w:sz w:val="20"/>
        </w:rPr>
        <w:t>Countervailing</w:t>
      </w:r>
      <w:r>
        <w:rPr>
          <w:i/>
          <w:spacing w:val="-5"/>
          <w:sz w:val="20"/>
        </w:rPr>
        <w:t xml:space="preserve"> </w:t>
      </w:r>
      <w:r>
        <w:rPr>
          <w:i/>
          <w:sz w:val="20"/>
        </w:rPr>
        <w:t>Duty</w:t>
      </w:r>
      <w:r>
        <w:rPr>
          <w:i/>
          <w:spacing w:val="-4"/>
          <w:sz w:val="20"/>
        </w:rPr>
        <w:t xml:space="preserve"> </w:t>
      </w:r>
      <w:r>
        <w:rPr>
          <w:i/>
          <w:spacing w:val="-2"/>
          <w:sz w:val="20"/>
        </w:rPr>
        <w:t>Measures</w:t>
      </w:r>
      <w:r>
        <w:rPr>
          <w:i/>
          <w:sz w:val="20"/>
        </w:rPr>
        <w:tab/>
      </w:r>
      <w:r>
        <w:rPr>
          <w:sz w:val="20"/>
        </w:rPr>
        <w:t>Australia's</w:t>
      </w:r>
      <w:r>
        <w:rPr>
          <w:spacing w:val="-6"/>
          <w:sz w:val="20"/>
        </w:rPr>
        <w:t xml:space="preserve"> </w:t>
      </w:r>
      <w:r>
        <w:rPr>
          <w:sz w:val="20"/>
        </w:rPr>
        <w:t>First</w:t>
      </w:r>
      <w:r>
        <w:rPr>
          <w:spacing w:val="-2"/>
          <w:sz w:val="20"/>
        </w:rPr>
        <w:t xml:space="preserve"> </w:t>
      </w:r>
      <w:r>
        <w:rPr>
          <w:sz w:val="20"/>
        </w:rPr>
        <w:t>Written</w:t>
      </w:r>
      <w:r>
        <w:rPr>
          <w:spacing w:val="-2"/>
          <w:sz w:val="20"/>
        </w:rPr>
        <w:t xml:space="preserve"> Submission</w:t>
      </w:r>
    </w:p>
    <w:p w14:paraId="51DE75D1" w14:textId="77777777" w:rsidR="0010369C" w:rsidRDefault="008E43AE">
      <w:pPr>
        <w:tabs>
          <w:tab w:val="left" w:pos="8227"/>
        </w:tabs>
        <w:spacing w:before="1"/>
        <w:ind w:left="239"/>
        <w:rPr>
          <w:sz w:val="20"/>
        </w:rPr>
      </w:pPr>
      <w:r>
        <w:rPr>
          <w:i/>
          <w:sz w:val="20"/>
        </w:rPr>
        <w:t>on</w:t>
      </w:r>
      <w:r>
        <w:rPr>
          <w:i/>
          <w:spacing w:val="-1"/>
          <w:sz w:val="20"/>
        </w:rPr>
        <w:t xml:space="preserve"> </w:t>
      </w:r>
      <w:r>
        <w:rPr>
          <w:i/>
          <w:sz w:val="20"/>
        </w:rPr>
        <w:t>Wine</w:t>
      </w:r>
      <w:r>
        <w:rPr>
          <w:i/>
          <w:spacing w:val="-1"/>
          <w:sz w:val="20"/>
        </w:rPr>
        <w:t xml:space="preserve"> </w:t>
      </w:r>
      <w:r>
        <w:rPr>
          <w:i/>
          <w:sz w:val="20"/>
        </w:rPr>
        <w:t>from</w:t>
      </w:r>
      <w:r>
        <w:rPr>
          <w:i/>
          <w:spacing w:val="-3"/>
          <w:sz w:val="20"/>
        </w:rPr>
        <w:t xml:space="preserve"> </w:t>
      </w:r>
      <w:r>
        <w:rPr>
          <w:i/>
          <w:sz w:val="20"/>
        </w:rPr>
        <w:t>Australia</w:t>
      </w:r>
      <w:r>
        <w:rPr>
          <w:i/>
          <w:spacing w:val="-1"/>
          <w:sz w:val="20"/>
        </w:rPr>
        <w:t xml:space="preserve"> </w:t>
      </w:r>
      <w:r>
        <w:rPr>
          <w:spacing w:val="-2"/>
          <w:sz w:val="20"/>
        </w:rPr>
        <w:t>(DS602)</w:t>
      </w:r>
      <w:r>
        <w:rPr>
          <w:sz w:val="20"/>
        </w:rPr>
        <w:tab/>
        <w:t>29</w:t>
      </w:r>
      <w:r>
        <w:rPr>
          <w:spacing w:val="-1"/>
          <w:sz w:val="20"/>
        </w:rPr>
        <w:t xml:space="preserve"> </w:t>
      </w:r>
      <w:r>
        <w:rPr>
          <w:sz w:val="20"/>
        </w:rPr>
        <w:t>April</w:t>
      </w:r>
      <w:r>
        <w:rPr>
          <w:spacing w:val="-2"/>
          <w:sz w:val="20"/>
        </w:rPr>
        <w:t xml:space="preserve"> </w:t>
      </w:r>
      <w:r>
        <w:rPr>
          <w:spacing w:val="-4"/>
          <w:sz w:val="20"/>
        </w:rPr>
        <w:t>2022</w:t>
      </w:r>
    </w:p>
    <w:p w14:paraId="51DE75D2" w14:textId="77777777" w:rsidR="0010369C" w:rsidRDefault="008E43AE">
      <w:pPr>
        <w:pStyle w:val="Heading4"/>
        <w:numPr>
          <w:ilvl w:val="2"/>
          <w:numId w:val="80"/>
        </w:numPr>
        <w:tabs>
          <w:tab w:val="left" w:pos="1939"/>
          <w:tab w:val="left" w:pos="1940"/>
          <w:tab w:val="left" w:leader="dot" w:pos="8933"/>
        </w:tabs>
        <w:spacing w:before="34"/>
        <w:ind w:left="1940"/>
        <w:jc w:val="both"/>
      </w:pPr>
      <w:r>
        <w:t>Legal</w:t>
      </w:r>
      <w:r>
        <w:rPr>
          <w:spacing w:val="-1"/>
        </w:rPr>
        <w:t xml:space="preserve"> </w:t>
      </w:r>
      <w:r>
        <w:rPr>
          <w:spacing w:val="-2"/>
        </w:rPr>
        <w:t>framework</w:t>
      </w:r>
      <w:r>
        <w:rPr>
          <w:rFonts w:ascii="Times New Roman"/>
          <w:b w:val="0"/>
        </w:rPr>
        <w:tab/>
      </w:r>
      <w:r>
        <w:rPr>
          <w:spacing w:val="-5"/>
        </w:rPr>
        <w:t>325</w:t>
      </w:r>
    </w:p>
    <w:p w14:paraId="51DE75D3" w14:textId="77777777" w:rsidR="0010369C" w:rsidRDefault="008E43AE">
      <w:pPr>
        <w:pStyle w:val="Heading4"/>
        <w:numPr>
          <w:ilvl w:val="2"/>
          <w:numId w:val="80"/>
        </w:numPr>
        <w:tabs>
          <w:tab w:val="left" w:pos="1939"/>
          <w:tab w:val="left" w:pos="1940"/>
          <w:tab w:val="left" w:leader="dot" w:pos="8933"/>
        </w:tabs>
        <w:spacing w:before="120"/>
        <w:ind w:left="1939" w:right="194"/>
        <w:jc w:val="both"/>
      </w:pPr>
      <w:r>
        <w:t>MOFCOM</w:t>
      </w:r>
      <w:r>
        <w:rPr>
          <w:spacing w:val="-3"/>
        </w:rPr>
        <w:t xml:space="preserve"> </w:t>
      </w:r>
      <w:r>
        <w:t>failed</w:t>
      </w:r>
      <w:r>
        <w:rPr>
          <w:spacing w:val="-4"/>
        </w:rPr>
        <w:t xml:space="preserve"> </w:t>
      </w:r>
      <w:r>
        <w:t>to</w:t>
      </w:r>
      <w:r>
        <w:rPr>
          <w:spacing w:val="-3"/>
        </w:rPr>
        <w:t xml:space="preserve"> </w:t>
      </w:r>
      <w:r>
        <w:t>provide</w:t>
      </w:r>
      <w:r>
        <w:rPr>
          <w:spacing w:val="-4"/>
        </w:rPr>
        <w:t xml:space="preserve"> </w:t>
      </w:r>
      <w:r>
        <w:t>interested</w:t>
      </w:r>
      <w:r>
        <w:rPr>
          <w:spacing w:val="-5"/>
        </w:rPr>
        <w:t xml:space="preserve"> </w:t>
      </w:r>
      <w:r>
        <w:t>parties</w:t>
      </w:r>
      <w:r>
        <w:rPr>
          <w:spacing w:val="-3"/>
        </w:rPr>
        <w:t xml:space="preserve"> </w:t>
      </w:r>
      <w:r>
        <w:t>with</w:t>
      </w:r>
      <w:r>
        <w:rPr>
          <w:spacing w:val="-4"/>
        </w:rPr>
        <w:t xml:space="preserve"> </w:t>
      </w:r>
      <w:r>
        <w:t>ample</w:t>
      </w:r>
      <w:r>
        <w:rPr>
          <w:spacing w:val="-4"/>
        </w:rPr>
        <w:t xml:space="preserve"> </w:t>
      </w:r>
      <w:r>
        <w:t>opportunities</w:t>
      </w:r>
      <w:r>
        <w:rPr>
          <w:spacing w:val="-4"/>
        </w:rPr>
        <w:t xml:space="preserve"> </w:t>
      </w:r>
      <w:r>
        <w:t>to provide evidence they considered relevant</w:t>
      </w:r>
      <w:r>
        <w:rPr>
          <w:rFonts w:ascii="Times New Roman"/>
          <w:b w:val="0"/>
        </w:rPr>
        <w:tab/>
      </w:r>
      <w:r>
        <w:rPr>
          <w:spacing w:val="-4"/>
        </w:rPr>
        <w:t>327</w:t>
      </w:r>
    </w:p>
    <w:p w14:paraId="51DE75D4" w14:textId="77777777" w:rsidR="0010369C" w:rsidRDefault="008E43AE">
      <w:pPr>
        <w:pStyle w:val="ListParagraph"/>
        <w:numPr>
          <w:ilvl w:val="3"/>
          <w:numId w:val="80"/>
        </w:numPr>
        <w:tabs>
          <w:tab w:val="left" w:pos="2365"/>
          <w:tab w:val="left" w:pos="2366"/>
          <w:tab w:val="left" w:leader="dot" w:pos="8933"/>
        </w:tabs>
        <w:ind w:hanging="853"/>
        <w:jc w:val="both"/>
        <w:rPr>
          <w:sz w:val="24"/>
        </w:rPr>
      </w:pPr>
      <w:r>
        <w:rPr>
          <w:sz w:val="24"/>
          <w:u w:val="single"/>
        </w:rPr>
        <w:t>Extension</w:t>
      </w:r>
      <w:r>
        <w:rPr>
          <w:spacing w:val="-4"/>
          <w:sz w:val="24"/>
          <w:u w:val="single"/>
        </w:rPr>
        <w:t xml:space="preserve"> </w:t>
      </w:r>
      <w:r>
        <w:rPr>
          <w:sz w:val="24"/>
          <w:u w:val="single"/>
        </w:rPr>
        <w:t>requests</w:t>
      </w:r>
      <w:r>
        <w:rPr>
          <w:spacing w:val="-4"/>
          <w:sz w:val="24"/>
          <w:u w:val="single"/>
        </w:rPr>
        <w:t xml:space="preserve"> </w:t>
      </w:r>
      <w:r>
        <w:rPr>
          <w:sz w:val="24"/>
          <w:u w:val="single"/>
        </w:rPr>
        <w:t>for</w:t>
      </w:r>
      <w:r>
        <w:rPr>
          <w:spacing w:val="-3"/>
          <w:sz w:val="24"/>
          <w:u w:val="single"/>
        </w:rPr>
        <w:t xml:space="preserve"> </w:t>
      </w:r>
      <w:r>
        <w:rPr>
          <w:sz w:val="24"/>
          <w:u w:val="single"/>
        </w:rPr>
        <w:t>questionnaire</w:t>
      </w:r>
      <w:r>
        <w:rPr>
          <w:spacing w:val="-3"/>
          <w:sz w:val="24"/>
          <w:u w:val="single"/>
        </w:rPr>
        <w:t xml:space="preserve"> </w:t>
      </w:r>
      <w:r>
        <w:rPr>
          <w:spacing w:val="-2"/>
          <w:sz w:val="24"/>
          <w:u w:val="single"/>
        </w:rPr>
        <w:t>responses</w:t>
      </w:r>
      <w:r>
        <w:rPr>
          <w:rFonts w:ascii="Times New Roman"/>
          <w:sz w:val="24"/>
        </w:rPr>
        <w:tab/>
      </w:r>
      <w:r>
        <w:rPr>
          <w:spacing w:val="-5"/>
          <w:sz w:val="24"/>
          <w:u w:val="single"/>
        </w:rPr>
        <w:t>327</w:t>
      </w:r>
    </w:p>
    <w:p w14:paraId="51DE75D5" w14:textId="77777777" w:rsidR="0010369C" w:rsidRDefault="008E43AE">
      <w:pPr>
        <w:pStyle w:val="ListParagraph"/>
        <w:numPr>
          <w:ilvl w:val="3"/>
          <w:numId w:val="80"/>
        </w:numPr>
        <w:tabs>
          <w:tab w:val="left" w:pos="2365"/>
          <w:tab w:val="left" w:pos="2366"/>
          <w:tab w:val="left" w:leader="dot" w:pos="8933"/>
        </w:tabs>
        <w:ind w:left="2365" w:right="192" w:hanging="852"/>
        <w:jc w:val="both"/>
        <w:rPr>
          <w:sz w:val="24"/>
        </w:rPr>
      </w:pPr>
      <w:r>
        <w:rPr>
          <w:sz w:val="24"/>
          <w:u w:val="single"/>
        </w:rPr>
        <w:t>Failure to provide notice of deficiencies in information submitted and</w:t>
      </w:r>
      <w:r>
        <w:rPr>
          <w:sz w:val="24"/>
        </w:rPr>
        <w:t xml:space="preserve"> </w:t>
      </w:r>
      <w:r>
        <w:rPr>
          <w:sz w:val="24"/>
          <w:u w:val="single"/>
        </w:rPr>
        <w:t>opportunities to present all evidence interested parties considered</w:t>
      </w:r>
      <w:r>
        <w:rPr>
          <w:sz w:val="24"/>
        </w:rPr>
        <w:t xml:space="preserve"> </w:t>
      </w:r>
      <w:r>
        <w:rPr>
          <w:sz w:val="24"/>
          <w:u w:val="single"/>
        </w:rPr>
        <w:t xml:space="preserve">relevant </w:t>
      </w:r>
      <w:r>
        <w:rPr>
          <w:rFonts w:ascii="Times New Roman"/>
          <w:sz w:val="24"/>
        </w:rPr>
        <w:tab/>
      </w:r>
      <w:r>
        <w:rPr>
          <w:spacing w:val="-5"/>
          <w:sz w:val="24"/>
          <w:u w:val="single"/>
        </w:rPr>
        <w:t>332</w:t>
      </w:r>
    </w:p>
    <w:p w14:paraId="51DE75D6" w14:textId="77777777" w:rsidR="0010369C" w:rsidRDefault="008E43AE">
      <w:pPr>
        <w:pStyle w:val="ListParagraph"/>
        <w:numPr>
          <w:ilvl w:val="3"/>
          <w:numId w:val="80"/>
        </w:numPr>
        <w:tabs>
          <w:tab w:val="left" w:pos="2365"/>
          <w:tab w:val="left" w:pos="2366"/>
          <w:tab w:val="left" w:leader="dot" w:pos="8933"/>
        </w:tabs>
        <w:ind w:left="2365" w:right="194" w:hanging="852"/>
        <w:jc w:val="both"/>
        <w:rPr>
          <w:sz w:val="24"/>
        </w:rPr>
      </w:pPr>
      <w:r>
        <w:rPr>
          <w:sz w:val="24"/>
          <w:u w:val="single"/>
        </w:rPr>
        <w:t>Failure to provide evidence presented in writing to other interested</w:t>
      </w:r>
      <w:r>
        <w:rPr>
          <w:sz w:val="24"/>
        </w:rPr>
        <w:t xml:space="preserve"> </w:t>
      </w:r>
      <w:r>
        <w:rPr>
          <w:spacing w:val="-2"/>
          <w:sz w:val="24"/>
          <w:u w:val="single"/>
        </w:rPr>
        <w:t>parties</w:t>
      </w:r>
      <w:r>
        <w:rPr>
          <w:rFonts w:ascii="Times New Roman"/>
          <w:sz w:val="24"/>
        </w:rPr>
        <w:tab/>
      </w:r>
      <w:r>
        <w:rPr>
          <w:spacing w:val="-5"/>
          <w:sz w:val="24"/>
          <w:u w:val="single"/>
        </w:rPr>
        <w:t>335</w:t>
      </w:r>
    </w:p>
    <w:p w14:paraId="51DE75D7" w14:textId="77777777" w:rsidR="0010369C" w:rsidRDefault="008E43AE">
      <w:pPr>
        <w:pStyle w:val="Heading4"/>
        <w:numPr>
          <w:ilvl w:val="2"/>
          <w:numId w:val="80"/>
        </w:numPr>
        <w:tabs>
          <w:tab w:val="left" w:pos="1939"/>
          <w:tab w:val="left" w:pos="1940"/>
          <w:tab w:val="left" w:leader="dot" w:pos="8933"/>
        </w:tabs>
        <w:spacing w:before="120"/>
        <w:ind w:left="1940"/>
        <w:jc w:val="both"/>
      </w:pPr>
      <w:r>
        <w:rPr>
          <w:spacing w:val="-2"/>
        </w:rPr>
        <w:t>Conclusion</w:t>
      </w:r>
      <w:r>
        <w:rPr>
          <w:rFonts w:ascii="Times New Roman"/>
          <w:b w:val="0"/>
        </w:rPr>
        <w:tab/>
      </w:r>
      <w:r>
        <w:rPr>
          <w:spacing w:val="-5"/>
        </w:rPr>
        <w:t>335</w:t>
      </w:r>
    </w:p>
    <w:p w14:paraId="51DE75D8" w14:textId="77777777" w:rsidR="0010369C" w:rsidRDefault="008E43AE">
      <w:pPr>
        <w:pStyle w:val="ListParagraph"/>
        <w:numPr>
          <w:ilvl w:val="1"/>
          <w:numId w:val="80"/>
        </w:numPr>
        <w:tabs>
          <w:tab w:val="left" w:pos="1513"/>
          <w:tab w:val="left" w:pos="1514"/>
        </w:tabs>
        <w:ind w:left="1514"/>
        <w:rPr>
          <w:b/>
          <w:sz w:val="24"/>
        </w:rPr>
      </w:pPr>
      <w:r>
        <w:rPr>
          <w:b/>
          <w:sz w:val="24"/>
        </w:rPr>
        <w:t>MOFCOM'</w:t>
      </w:r>
      <w:r>
        <w:rPr>
          <w:b/>
          <w:sz w:val="19"/>
        </w:rPr>
        <w:t>S</w:t>
      </w:r>
      <w:r>
        <w:rPr>
          <w:b/>
          <w:spacing w:val="25"/>
          <w:sz w:val="19"/>
        </w:rPr>
        <w:t xml:space="preserve"> </w:t>
      </w:r>
      <w:r>
        <w:rPr>
          <w:b/>
          <w:sz w:val="19"/>
        </w:rPr>
        <w:t>FAILURE</w:t>
      </w:r>
      <w:r>
        <w:rPr>
          <w:b/>
          <w:spacing w:val="25"/>
          <w:sz w:val="19"/>
        </w:rPr>
        <w:t xml:space="preserve"> </w:t>
      </w:r>
      <w:r>
        <w:rPr>
          <w:b/>
          <w:sz w:val="19"/>
        </w:rPr>
        <w:t>TO</w:t>
      </w:r>
      <w:r>
        <w:rPr>
          <w:b/>
          <w:spacing w:val="26"/>
          <w:sz w:val="19"/>
        </w:rPr>
        <w:t xml:space="preserve"> </w:t>
      </w:r>
      <w:r>
        <w:rPr>
          <w:b/>
          <w:sz w:val="19"/>
        </w:rPr>
        <w:t>SATISFY</w:t>
      </w:r>
      <w:r>
        <w:rPr>
          <w:b/>
          <w:spacing w:val="26"/>
          <w:sz w:val="19"/>
        </w:rPr>
        <w:t xml:space="preserve"> </w:t>
      </w:r>
      <w:r>
        <w:rPr>
          <w:b/>
          <w:sz w:val="19"/>
        </w:rPr>
        <w:t>ITSELF</w:t>
      </w:r>
      <w:r>
        <w:rPr>
          <w:b/>
          <w:spacing w:val="25"/>
          <w:sz w:val="19"/>
        </w:rPr>
        <w:t xml:space="preserve"> </w:t>
      </w:r>
      <w:r>
        <w:rPr>
          <w:b/>
          <w:sz w:val="19"/>
        </w:rPr>
        <w:t>AS</w:t>
      </w:r>
      <w:r>
        <w:rPr>
          <w:b/>
          <w:spacing w:val="27"/>
          <w:sz w:val="19"/>
        </w:rPr>
        <w:t xml:space="preserve"> </w:t>
      </w:r>
      <w:r>
        <w:rPr>
          <w:b/>
          <w:sz w:val="19"/>
        </w:rPr>
        <w:t>TO</w:t>
      </w:r>
      <w:r>
        <w:rPr>
          <w:b/>
          <w:spacing w:val="26"/>
          <w:sz w:val="19"/>
        </w:rPr>
        <w:t xml:space="preserve"> </w:t>
      </w:r>
      <w:r>
        <w:rPr>
          <w:b/>
          <w:sz w:val="19"/>
        </w:rPr>
        <w:t>THE</w:t>
      </w:r>
      <w:r>
        <w:rPr>
          <w:b/>
          <w:spacing w:val="26"/>
          <w:sz w:val="19"/>
        </w:rPr>
        <w:t xml:space="preserve"> </w:t>
      </w:r>
      <w:r>
        <w:rPr>
          <w:b/>
          <w:sz w:val="19"/>
        </w:rPr>
        <w:t>ACCURACY</w:t>
      </w:r>
      <w:r>
        <w:rPr>
          <w:b/>
          <w:spacing w:val="26"/>
          <w:sz w:val="19"/>
        </w:rPr>
        <w:t xml:space="preserve"> </w:t>
      </w:r>
      <w:r>
        <w:rPr>
          <w:b/>
          <w:sz w:val="19"/>
        </w:rPr>
        <w:t>OF</w:t>
      </w:r>
      <w:r>
        <w:rPr>
          <w:b/>
          <w:spacing w:val="27"/>
          <w:sz w:val="19"/>
        </w:rPr>
        <w:t xml:space="preserve"> </w:t>
      </w:r>
      <w:r>
        <w:rPr>
          <w:b/>
          <w:sz w:val="19"/>
        </w:rPr>
        <w:t>INFORMATION</w:t>
      </w:r>
      <w:r>
        <w:rPr>
          <w:b/>
          <w:spacing w:val="26"/>
          <w:sz w:val="19"/>
        </w:rPr>
        <w:t xml:space="preserve"> </w:t>
      </w:r>
      <w:r>
        <w:rPr>
          <w:b/>
          <w:spacing w:val="-2"/>
          <w:sz w:val="19"/>
        </w:rPr>
        <w:t>BREACHED</w:t>
      </w:r>
    </w:p>
    <w:p w14:paraId="51DE75D9" w14:textId="77777777" w:rsidR="0010369C" w:rsidRDefault="008E43AE">
      <w:pPr>
        <w:tabs>
          <w:tab w:val="left" w:leader="dot" w:pos="8933"/>
        </w:tabs>
        <w:ind w:left="1513"/>
        <w:rPr>
          <w:b/>
          <w:sz w:val="24"/>
        </w:rPr>
      </w:pPr>
      <w:r>
        <w:rPr>
          <w:b/>
          <w:sz w:val="24"/>
        </w:rPr>
        <w:t>C</w:t>
      </w:r>
      <w:r>
        <w:rPr>
          <w:b/>
          <w:sz w:val="19"/>
        </w:rPr>
        <w:t>HINA</w:t>
      </w:r>
      <w:r>
        <w:rPr>
          <w:b/>
          <w:sz w:val="24"/>
        </w:rPr>
        <w:t>'</w:t>
      </w:r>
      <w:r>
        <w:rPr>
          <w:b/>
          <w:sz w:val="19"/>
        </w:rPr>
        <w:t>S</w:t>
      </w:r>
      <w:r>
        <w:rPr>
          <w:b/>
          <w:spacing w:val="-11"/>
          <w:sz w:val="19"/>
        </w:rPr>
        <w:t xml:space="preserve"> </w:t>
      </w:r>
      <w:r>
        <w:rPr>
          <w:b/>
          <w:sz w:val="19"/>
        </w:rPr>
        <w:t>OBLIGATIONS</w:t>
      </w:r>
      <w:r>
        <w:rPr>
          <w:b/>
          <w:spacing w:val="-7"/>
          <w:sz w:val="19"/>
        </w:rPr>
        <w:t xml:space="preserve"> </w:t>
      </w:r>
      <w:r>
        <w:rPr>
          <w:b/>
          <w:sz w:val="19"/>
        </w:rPr>
        <w:t>UNDER</w:t>
      </w:r>
      <w:r>
        <w:rPr>
          <w:b/>
          <w:spacing w:val="-6"/>
          <w:sz w:val="19"/>
        </w:rPr>
        <w:t xml:space="preserve"> </w:t>
      </w:r>
      <w:r>
        <w:rPr>
          <w:b/>
          <w:sz w:val="24"/>
        </w:rPr>
        <w:t>A</w:t>
      </w:r>
      <w:r>
        <w:rPr>
          <w:b/>
          <w:sz w:val="19"/>
        </w:rPr>
        <w:t>RTICLE</w:t>
      </w:r>
      <w:r>
        <w:rPr>
          <w:b/>
          <w:spacing w:val="-7"/>
          <w:sz w:val="19"/>
        </w:rPr>
        <w:t xml:space="preserve"> </w:t>
      </w:r>
      <w:r>
        <w:rPr>
          <w:b/>
          <w:sz w:val="24"/>
        </w:rPr>
        <w:t>6.6</w:t>
      </w:r>
      <w:r>
        <w:rPr>
          <w:b/>
          <w:spacing w:val="-14"/>
          <w:sz w:val="24"/>
        </w:rPr>
        <w:t xml:space="preserve"> </w:t>
      </w:r>
      <w:r>
        <w:rPr>
          <w:b/>
          <w:sz w:val="19"/>
        </w:rPr>
        <w:t>OF</w:t>
      </w:r>
      <w:r>
        <w:rPr>
          <w:b/>
          <w:spacing w:val="-6"/>
          <w:sz w:val="19"/>
        </w:rPr>
        <w:t xml:space="preserve"> </w:t>
      </w:r>
      <w:r>
        <w:rPr>
          <w:b/>
          <w:sz w:val="19"/>
        </w:rPr>
        <w:t>THE</w:t>
      </w:r>
      <w:r>
        <w:rPr>
          <w:b/>
          <w:spacing w:val="-7"/>
          <w:sz w:val="19"/>
        </w:rPr>
        <w:t xml:space="preserve"> </w:t>
      </w:r>
      <w:r>
        <w:rPr>
          <w:b/>
          <w:sz w:val="24"/>
        </w:rPr>
        <w:t>A</w:t>
      </w:r>
      <w:r>
        <w:rPr>
          <w:b/>
          <w:sz w:val="19"/>
        </w:rPr>
        <w:t>NTI</w:t>
      </w:r>
      <w:r>
        <w:rPr>
          <w:b/>
          <w:sz w:val="24"/>
        </w:rPr>
        <w:t>‐D</w:t>
      </w:r>
      <w:r>
        <w:rPr>
          <w:b/>
          <w:sz w:val="19"/>
        </w:rPr>
        <w:t>UMPING</w:t>
      </w:r>
      <w:r>
        <w:rPr>
          <w:b/>
          <w:spacing w:val="-6"/>
          <w:sz w:val="19"/>
        </w:rPr>
        <w:t xml:space="preserve"> </w:t>
      </w:r>
      <w:r>
        <w:rPr>
          <w:b/>
          <w:spacing w:val="-2"/>
          <w:sz w:val="24"/>
        </w:rPr>
        <w:t>A</w:t>
      </w:r>
      <w:r>
        <w:rPr>
          <w:b/>
          <w:spacing w:val="-2"/>
          <w:sz w:val="19"/>
        </w:rPr>
        <w:t>GREEMENT</w:t>
      </w:r>
      <w:r>
        <w:rPr>
          <w:rFonts w:ascii="Times New Roman" w:hAnsi="Times New Roman"/>
          <w:sz w:val="19"/>
        </w:rPr>
        <w:tab/>
      </w:r>
      <w:r>
        <w:rPr>
          <w:b/>
          <w:spacing w:val="-5"/>
          <w:sz w:val="24"/>
        </w:rPr>
        <w:t>335</w:t>
      </w:r>
    </w:p>
    <w:p w14:paraId="51DE75DA" w14:textId="77777777" w:rsidR="0010369C" w:rsidRDefault="008E43AE">
      <w:pPr>
        <w:pStyle w:val="Heading4"/>
        <w:numPr>
          <w:ilvl w:val="2"/>
          <w:numId w:val="80"/>
        </w:numPr>
        <w:tabs>
          <w:tab w:val="left" w:pos="1939"/>
          <w:tab w:val="left" w:pos="1940"/>
          <w:tab w:val="left" w:leader="dot" w:pos="8933"/>
        </w:tabs>
        <w:spacing w:before="121"/>
        <w:ind w:left="1940"/>
      </w:pPr>
      <w:r>
        <w:t>Legal</w:t>
      </w:r>
      <w:r>
        <w:rPr>
          <w:spacing w:val="-1"/>
        </w:rPr>
        <w:t xml:space="preserve"> </w:t>
      </w:r>
      <w:r>
        <w:rPr>
          <w:spacing w:val="-2"/>
        </w:rPr>
        <w:t>framework</w:t>
      </w:r>
      <w:r>
        <w:rPr>
          <w:rFonts w:ascii="Times New Roman"/>
          <w:b w:val="0"/>
        </w:rPr>
        <w:tab/>
      </w:r>
      <w:r>
        <w:rPr>
          <w:spacing w:val="-5"/>
        </w:rPr>
        <w:t>336</w:t>
      </w:r>
    </w:p>
    <w:p w14:paraId="51DE75DB" w14:textId="77777777" w:rsidR="0010369C" w:rsidRDefault="008E43AE">
      <w:pPr>
        <w:pStyle w:val="Heading4"/>
        <w:numPr>
          <w:ilvl w:val="2"/>
          <w:numId w:val="80"/>
        </w:numPr>
        <w:tabs>
          <w:tab w:val="left" w:pos="1939"/>
          <w:tab w:val="left" w:pos="1940"/>
          <w:tab w:val="left" w:leader="dot" w:pos="8933"/>
        </w:tabs>
        <w:spacing w:before="120"/>
        <w:ind w:left="1940"/>
      </w:pPr>
      <w:r>
        <w:t>MOFCOM</w:t>
      </w:r>
      <w:r>
        <w:rPr>
          <w:spacing w:val="-4"/>
        </w:rPr>
        <w:t xml:space="preserve"> </w:t>
      </w:r>
      <w:r>
        <w:t>failed</w:t>
      </w:r>
      <w:r>
        <w:rPr>
          <w:spacing w:val="-2"/>
        </w:rPr>
        <w:t xml:space="preserve"> </w:t>
      </w:r>
      <w:r>
        <w:t>to</w:t>
      </w:r>
      <w:r>
        <w:rPr>
          <w:spacing w:val="-2"/>
        </w:rPr>
        <w:t xml:space="preserve"> </w:t>
      </w:r>
      <w:r>
        <w:t>satisfy</w:t>
      </w:r>
      <w:r>
        <w:rPr>
          <w:spacing w:val="-2"/>
        </w:rPr>
        <w:t xml:space="preserve"> </w:t>
      </w:r>
      <w:r>
        <w:t>itself</w:t>
      </w:r>
      <w:r>
        <w:rPr>
          <w:spacing w:val="-2"/>
        </w:rPr>
        <w:t xml:space="preserve"> </w:t>
      </w:r>
      <w:r>
        <w:t>as</w:t>
      </w:r>
      <w:r>
        <w:rPr>
          <w:spacing w:val="-3"/>
        </w:rPr>
        <w:t xml:space="preserve"> </w:t>
      </w:r>
      <w:r>
        <w:t>to</w:t>
      </w:r>
      <w:r>
        <w:rPr>
          <w:spacing w:val="-1"/>
        </w:rPr>
        <w:t xml:space="preserve"> </w:t>
      </w:r>
      <w:r>
        <w:t>the</w:t>
      </w:r>
      <w:r>
        <w:rPr>
          <w:spacing w:val="-2"/>
        </w:rPr>
        <w:t xml:space="preserve"> </w:t>
      </w:r>
      <w:r>
        <w:t>accuracy</w:t>
      </w:r>
      <w:r>
        <w:rPr>
          <w:spacing w:val="-2"/>
        </w:rPr>
        <w:t xml:space="preserve"> </w:t>
      </w:r>
      <w:r>
        <w:t>of</w:t>
      </w:r>
      <w:r>
        <w:rPr>
          <w:spacing w:val="-2"/>
        </w:rPr>
        <w:t xml:space="preserve"> information</w:t>
      </w:r>
      <w:r>
        <w:rPr>
          <w:rFonts w:ascii="Times New Roman"/>
          <w:b w:val="0"/>
        </w:rPr>
        <w:tab/>
      </w:r>
      <w:r>
        <w:rPr>
          <w:spacing w:val="-5"/>
        </w:rPr>
        <w:t>336</w:t>
      </w:r>
    </w:p>
    <w:p w14:paraId="51DE75DC" w14:textId="77777777" w:rsidR="0010369C" w:rsidRDefault="008E43AE">
      <w:pPr>
        <w:pStyle w:val="ListParagraph"/>
        <w:numPr>
          <w:ilvl w:val="3"/>
          <w:numId w:val="80"/>
        </w:numPr>
        <w:tabs>
          <w:tab w:val="left" w:pos="2365"/>
          <w:tab w:val="left" w:pos="2366"/>
          <w:tab w:val="left" w:leader="dot" w:pos="8933"/>
        </w:tabs>
        <w:spacing w:before="119"/>
        <w:ind w:hanging="853"/>
        <w:rPr>
          <w:sz w:val="24"/>
        </w:rPr>
      </w:pPr>
      <w:r>
        <w:rPr>
          <w:sz w:val="24"/>
          <w:u w:val="single"/>
        </w:rPr>
        <w:t>MOFCOM's calculation</w:t>
      </w:r>
      <w:r>
        <w:rPr>
          <w:spacing w:val="-2"/>
          <w:sz w:val="24"/>
          <w:u w:val="single"/>
        </w:rPr>
        <w:t xml:space="preserve"> </w:t>
      </w:r>
      <w:r>
        <w:rPr>
          <w:sz w:val="24"/>
          <w:u w:val="single"/>
        </w:rPr>
        <w:t>of</w:t>
      </w:r>
      <w:r>
        <w:rPr>
          <w:spacing w:val="-1"/>
          <w:sz w:val="24"/>
          <w:u w:val="single"/>
        </w:rPr>
        <w:t xml:space="preserve"> </w:t>
      </w:r>
      <w:r>
        <w:rPr>
          <w:sz w:val="24"/>
          <w:u w:val="single"/>
        </w:rPr>
        <w:t xml:space="preserve">total domestic output </w:t>
      </w:r>
      <w:r>
        <w:rPr>
          <w:rFonts w:ascii="Times New Roman"/>
          <w:sz w:val="24"/>
        </w:rPr>
        <w:tab/>
      </w:r>
      <w:r>
        <w:rPr>
          <w:spacing w:val="-5"/>
          <w:sz w:val="24"/>
          <w:u w:val="single"/>
        </w:rPr>
        <w:t>336</w:t>
      </w:r>
    </w:p>
    <w:p w14:paraId="51DE75DD" w14:textId="77777777" w:rsidR="0010369C" w:rsidRDefault="008E43AE">
      <w:pPr>
        <w:pStyle w:val="ListParagraph"/>
        <w:numPr>
          <w:ilvl w:val="3"/>
          <w:numId w:val="80"/>
        </w:numPr>
        <w:tabs>
          <w:tab w:val="left" w:pos="2366"/>
          <w:tab w:val="left" w:pos="2367"/>
          <w:tab w:val="left" w:leader="dot" w:pos="8933"/>
        </w:tabs>
        <w:ind w:hanging="853"/>
        <w:rPr>
          <w:sz w:val="24"/>
        </w:rPr>
      </w:pPr>
      <w:r>
        <w:rPr>
          <w:sz w:val="24"/>
          <w:u w:val="single"/>
        </w:rPr>
        <w:t>Responses</w:t>
      </w:r>
      <w:r>
        <w:rPr>
          <w:spacing w:val="-1"/>
          <w:sz w:val="24"/>
          <w:u w:val="single"/>
        </w:rPr>
        <w:t xml:space="preserve"> </w:t>
      </w:r>
      <w:r>
        <w:rPr>
          <w:sz w:val="24"/>
          <w:u w:val="single"/>
        </w:rPr>
        <w:t>to the Domestic Producer Questionnaire</w:t>
      </w:r>
      <w:r>
        <w:rPr>
          <w:spacing w:val="-2"/>
          <w:sz w:val="24"/>
          <w:u w:val="single"/>
        </w:rPr>
        <w:t xml:space="preserve"> </w:t>
      </w:r>
      <w:r>
        <w:rPr>
          <w:rFonts w:ascii="Times New Roman"/>
          <w:sz w:val="24"/>
        </w:rPr>
        <w:tab/>
      </w:r>
      <w:r>
        <w:rPr>
          <w:spacing w:val="-5"/>
          <w:sz w:val="24"/>
          <w:u w:val="single"/>
        </w:rPr>
        <w:t>337</w:t>
      </w:r>
    </w:p>
    <w:p w14:paraId="51DE75DE" w14:textId="77777777" w:rsidR="0010369C" w:rsidRDefault="008E43AE">
      <w:pPr>
        <w:pStyle w:val="ListParagraph"/>
        <w:numPr>
          <w:ilvl w:val="3"/>
          <w:numId w:val="80"/>
        </w:numPr>
        <w:tabs>
          <w:tab w:val="left" w:pos="2366"/>
          <w:tab w:val="left" w:pos="2367"/>
          <w:tab w:val="left" w:leader="dot" w:pos="8933"/>
        </w:tabs>
        <w:ind w:hanging="853"/>
        <w:rPr>
          <w:sz w:val="24"/>
        </w:rPr>
      </w:pPr>
      <w:r>
        <w:rPr>
          <w:sz w:val="24"/>
          <w:u w:val="single"/>
        </w:rPr>
        <w:t>The</w:t>
      </w:r>
      <w:r>
        <w:rPr>
          <w:spacing w:val="-1"/>
          <w:sz w:val="24"/>
          <w:u w:val="single"/>
        </w:rPr>
        <w:t xml:space="preserve"> </w:t>
      </w:r>
      <w:r>
        <w:rPr>
          <w:sz w:val="24"/>
          <w:u w:val="single"/>
        </w:rPr>
        <w:t>Sampling</w:t>
      </w:r>
      <w:r>
        <w:rPr>
          <w:spacing w:val="-1"/>
          <w:sz w:val="24"/>
          <w:u w:val="single"/>
        </w:rPr>
        <w:t xml:space="preserve"> </w:t>
      </w:r>
      <w:r>
        <w:rPr>
          <w:spacing w:val="-2"/>
          <w:sz w:val="24"/>
          <w:u w:val="single"/>
        </w:rPr>
        <w:t>Questionnaire</w:t>
      </w:r>
      <w:r>
        <w:rPr>
          <w:rFonts w:ascii="Times New Roman"/>
          <w:sz w:val="24"/>
        </w:rPr>
        <w:tab/>
      </w:r>
      <w:r>
        <w:rPr>
          <w:spacing w:val="-5"/>
          <w:sz w:val="24"/>
          <w:u w:val="single"/>
        </w:rPr>
        <w:t>339</w:t>
      </w:r>
    </w:p>
    <w:p w14:paraId="51DE75DF" w14:textId="77777777" w:rsidR="0010369C" w:rsidRDefault="008E43AE">
      <w:pPr>
        <w:pStyle w:val="ListParagraph"/>
        <w:numPr>
          <w:ilvl w:val="3"/>
          <w:numId w:val="80"/>
        </w:numPr>
        <w:tabs>
          <w:tab w:val="left" w:pos="2366"/>
          <w:tab w:val="left" w:pos="2367"/>
        </w:tabs>
        <w:ind w:hanging="853"/>
        <w:rPr>
          <w:sz w:val="24"/>
        </w:rPr>
      </w:pPr>
      <w:r>
        <w:rPr>
          <w:sz w:val="24"/>
          <w:u w:val="single"/>
        </w:rPr>
        <w:t>Defective</w:t>
      </w:r>
      <w:r>
        <w:rPr>
          <w:spacing w:val="31"/>
          <w:sz w:val="24"/>
          <w:u w:val="single"/>
        </w:rPr>
        <w:t xml:space="preserve"> </w:t>
      </w:r>
      <w:r>
        <w:rPr>
          <w:sz w:val="24"/>
          <w:u w:val="single"/>
        </w:rPr>
        <w:t>assessment</w:t>
      </w:r>
      <w:r>
        <w:rPr>
          <w:spacing w:val="30"/>
          <w:sz w:val="24"/>
          <w:u w:val="single"/>
        </w:rPr>
        <w:t xml:space="preserve"> </w:t>
      </w:r>
      <w:r>
        <w:rPr>
          <w:sz w:val="24"/>
          <w:u w:val="single"/>
        </w:rPr>
        <w:t>of</w:t>
      </w:r>
      <w:r>
        <w:rPr>
          <w:spacing w:val="28"/>
          <w:sz w:val="24"/>
          <w:u w:val="single"/>
        </w:rPr>
        <w:t xml:space="preserve"> </w:t>
      </w:r>
      <w:r>
        <w:rPr>
          <w:sz w:val="24"/>
          <w:u w:val="single"/>
        </w:rPr>
        <w:t>the</w:t>
      </w:r>
      <w:r>
        <w:rPr>
          <w:spacing w:val="30"/>
          <w:sz w:val="24"/>
          <w:u w:val="single"/>
        </w:rPr>
        <w:t xml:space="preserve"> </w:t>
      </w:r>
      <w:r>
        <w:rPr>
          <w:sz w:val="24"/>
          <w:u w:val="single"/>
        </w:rPr>
        <w:t>responses</w:t>
      </w:r>
      <w:r>
        <w:rPr>
          <w:spacing w:val="29"/>
          <w:sz w:val="24"/>
          <w:u w:val="single"/>
        </w:rPr>
        <w:t xml:space="preserve"> </w:t>
      </w:r>
      <w:r>
        <w:rPr>
          <w:sz w:val="24"/>
          <w:u w:val="single"/>
        </w:rPr>
        <w:t>from</w:t>
      </w:r>
      <w:r>
        <w:rPr>
          <w:spacing w:val="30"/>
          <w:sz w:val="24"/>
          <w:u w:val="single"/>
        </w:rPr>
        <w:t xml:space="preserve"> </w:t>
      </w:r>
      <w:r>
        <w:rPr>
          <w:sz w:val="24"/>
          <w:u w:val="single"/>
        </w:rPr>
        <w:t>the</w:t>
      </w:r>
      <w:r>
        <w:rPr>
          <w:spacing w:val="30"/>
          <w:sz w:val="24"/>
          <w:u w:val="single"/>
        </w:rPr>
        <w:t xml:space="preserve"> </w:t>
      </w:r>
      <w:r>
        <w:rPr>
          <w:sz w:val="24"/>
          <w:u w:val="single"/>
        </w:rPr>
        <w:t>sampled</w:t>
      </w:r>
      <w:r>
        <w:rPr>
          <w:spacing w:val="29"/>
          <w:sz w:val="24"/>
          <w:u w:val="single"/>
        </w:rPr>
        <w:t xml:space="preserve"> </w:t>
      </w:r>
      <w:r>
        <w:rPr>
          <w:spacing w:val="-2"/>
          <w:sz w:val="24"/>
          <w:u w:val="single"/>
        </w:rPr>
        <w:t>companies</w:t>
      </w:r>
    </w:p>
    <w:p w14:paraId="51DE75E0" w14:textId="77777777" w:rsidR="0010369C" w:rsidRDefault="008E43AE">
      <w:pPr>
        <w:pStyle w:val="BodyText"/>
        <w:ind w:left="2369"/>
      </w:pPr>
      <w:r>
        <w:rPr>
          <w:u w:val="single"/>
        </w:rPr>
        <w:t>...........................................................................................................</w:t>
      </w:r>
      <w:r>
        <w:rPr>
          <w:spacing w:val="-28"/>
          <w:u w:val="single"/>
        </w:rPr>
        <w:t xml:space="preserve"> </w:t>
      </w:r>
      <w:r>
        <w:rPr>
          <w:spacing w:val="-5"/>
          <w:u w:val="single"/>
        </w:rPr>
        <w:t>339</w:t>
      </w:r>
    </w:p>
    <w:p w14:paraId="51DE75E1" w14:textId="77777777" w:rsidR="0010369C" w:rsidRDefault="008E43AE">
      <w:pPr>
        <w:pStyle w:val="Heading4"/>
        <w:numPr>
          <w:ilvl w:val="2"/>
          <w:numId w:val="80"/>
        </w:numPr>
        <w:tabs>
          <w:tab w:val="left" w:pos="1940"/>
          <w:tab w:val="left" w:pos="1941"/>
          <w:tab w:val="left" w:leader="dot" w:pos="8933"/>
        </w:tabs>
        <w:spacing w:before="121"/>
        <w:ind w:left="1940" w:hanging="852"/>
      </w:pPr>
      <w:r>
        <w:rPr>
          <w:spacing w:val="-2"/>
        </w:rPr>
        <w:t>Conclusion</w:t>
      </w:r>
      <w:r>
        <w:rPr>
          <w:rFonts w:ascii="Times New Roman"/>
          <w:b w:val="0"/>
        </w:rPr>
        <w:tab/>
      </w:r>
      <w:r>
        <w:rPr>
          <w:spacing w:val="-5"/>
        </w:rPr>
        <w:t>341</w:t>
      </w:r>
    </w:p>
    <w:p w14:paraId="51DE75E2" w14:textId="77777777" w:rsidR="0010369C" w:rsidRDefault="008E43AE">
      <w:pPr>
        <w:pStyle w:val="ListParagraph"/>
        <w:numPr>
          <w:ilvl w:val="1"/>
          <w:numId w:val="80"/>
        </w:numPr>
        <w:tabs>
          <w:tab w:val="left" w:pos="1514"/>
          <w:tab w:val="left" w:pos="1515"/>
          <w:tab w:val="left" w:leader="dot" w:pos="8933"/>
        </w:tabs>
        <w:ind w:left="1513" w:right="194"/>
        <w:jc w:val="both"/>
        <w:rPr>
          <w:b/>
          <w:sz w:val="24"/>
        </w:rPr>
      </w:pPr>
      <w:r>
        <w:rPr>
          <w:b/>
          <w:sz w:val="24"/>
        </w:rPr>
        <w:t>MOFCOM'</w:t>
      </w:r>
      <w:r>
        <w:rPr>
          <w:b/>
          <w:sz w:val="19"/>
        </w:rPr>
        <w:t xml:space="preserve">S FAILURE TO PROVIDE INTERESTED PARTIES TIMELY OPPORTUNITIES TO SEE ALL INFORMATION BREACHED </w:t>
      </w:r>
      <w:r>
        <w:rPr>
          <w:b/>
          <w:sz w:val="24"/>
        </w:rPr>
        <w:t>C</w:t>
      </w:r>
      <w:r>
        <w:rPr>
          <w:b/>
          <w:sz w:val="19"/>
        </w:rPr>
        <w:t>HINA</w:t>
      </w:r>
      <w:r>
        <w:rPr>
          <w:b/>
          <w:sz w:val="24"/>
        </w:rPr>
        <w:t>'</w:t>
      </w:r>
      <w:r>
        <w:rPr>
          <w:b/>
          <w:sz w:val="19"/>
        </w:rPr>
        <w:t xml:space="preserve">S OBLIGATIONS UNDER </w:t>
      </w:r>
      <w:r>
        <w:rPr>
          <w:b/>
          <w:sz w:val="24"/>
        </w:rPr>
        <w:t>A</w:t>
      </w:r>
      <w:r>
        <w:rPr>
          <w:b/>
          <w:sz w:val="19"/>
        </w:rPr>
        <w:t>RT</w:t>
      </w:r>
      <w:r>
        <w:rPr>
          <w:b/>
          <w:sz w:val="19"/>
        </w:rPr>
        <w:t xml:space="preserve">ICLE </w:t>
      </w:r>
      <w:r>
        <w:rPr>
          <w:b/>
          <w:sz w:val="24"/>
        </w:rPr>
        <w:t xml:space="preserve">6.4 </w:t>
      </w:r>
      <w:r>
        <w:rPr>
          <w:b/>
          <w:sz w:val="19"/>
        </w:rPr>
        <w:t xml:space="preserve">OF THE </w:t>
      </w:r>
      <w:r>
        <w:rPr>
          <w:b/>
          <w:sz w:val="24"/>
        </w:rPr>
        <w:t>A</w:t>
      </w:r>
      <w:r>
        <w:rPr>
          <w:b/>
          <w:sz w:val="19"/>
        </w:rPr>
        <w:t>NTI</w:t>
      </w:r>
      <w:r>
        <w:rPr>
          <w:b/>
          <w:sz w:val="24"/>
        </w:rPr>
        <w:t>‐D</w:t>
      </w:r>
      <w:r>
        <w:rPr>
          <w:b/>
          <w:sz w:val="19"/>
        </w:rPr>
        <w:t xml:space="preserve">UMPING </w:t>
      </w:r>
      <w:r>
        <w:rPr>
          <w:b/>
          <w:spacing w:val="-2"/>
          <w:sz w:val="24"/>
        </w:rPr>
        <w:t>A</w:t>
      </w:r>
      <w:r>
        <w:rPr>
          <w:b/>
          <w:spacing w:val="-2"/>
          <w:sz w:val="19"/>
        </w:rPr>
        <w:t>GREEMENT</w:t>
      </w:r>
      <w:r>
        <w:rPr>
          <w:rFonts w:ascii="Times New Roman" w:hAnsi="Times New Roman"/>
          <w:sz w:val="19"/>
        </w:rPr>
        <w:tab/>
      </w:r>
      <w:r>
        <w:rPr>
          <w:b/>
          <w:spacing w:val="-5"/>
          <w:sz w:val="24"/>
        </w:rPr>
        <w:t>341</w:t>
      </w:r>
    </w:p>
    <w:p w14:paraId="51DE75E3" w14:textId="77777777" w:rsidR="0010369C" w:rsidRDefault="008E43AE">
      <w:pPr>
        <w:pStyle w:val="Heading4"/>
        <w:numPr>
          <w:ilvl w:val="2"/>
          <w:numId w:val="80"/>
        </w:numPr>
        <w:tabs>
          <w:tab w:val="left" w:pos="1939"/>
          <w:tab w:val="left" w:pos="1940"/>
          <w:tab w:val="left" w:leader="dot" w:pos="8933"/>
        </w:tabs>
        <w:spacing w:before="119"/>
        <w:ind w:left="1940"/>
        <w:jc w:val="both"/>
      </w:pPr>
      <w:r>
        <w:t>Legal</w:t>
      </w:r>
      <w:r>
        <w:rPr>
          <w:spacing w:val="-1"/>
        </w:rPr>
        <w:t xml:space="preserve"> </w:t>
      </w:r>
      <w:r>
        <w:rPr>
          <w:spacing w:val="-2"/>
        </w:rPr>
        <w:t>framework</w:t>
      </w:r>
      <w:r>
        <w:rPr>
          <w:rFonts w:ascii="Times New Roman"/>
          <w:b w:val="0"/>
        </w:rPr>
        <w:tab/>
      </w:r>
      <w:r>
        <w:rPr>
          <w:spacing w:val="-5"/>
        </w:rPr>
        <w:t>342</w:t>
      </w:r>
    </w:p>
    <w:p w14:paraId="51DE75E4" w14:textId="77777777" w:rsidR="0010369C" w:rsidRDefault="008E43AE">
      <w:pPr>
        <w:pStyle w:val="Heading4"/>
        <w:numPr>
          <w:ilvl w:val="2"/>
          <w:numId w:val="80"/>
        </w:numPr>
        <w:tabs>
          <w:tab w:val="left" w:pos="1939"/>
          <w:tab w:val="left" w:pos="1940"/>
          <w:tab w:val="left" w:leader="dot" w:pos="8933"/>
        </w:tabs>
        <w:spacing w:before="120"/>
        <w:ind w:left="1940" w:right="193"/>
        <w:jc w:val="both"/>
      </w:pPr>
      <w:r>
        <w:t>MOFCOM failed to provide interested parties timely opportunities to see all</w:t>
      </w:r>
      <w:r>
        <w:rPr>
          <w:spacing w:val="-1"/>
        </w:rPr>
        <w:t xml:space="preserve"> </w:t>
      </w:r>
      <w:r>
        <w:rPr>
          <w:spacing w:val="-2"/>
        </w:rPr>
        <w:t>information</w:t>
      </w:r>
      <w:r>
        <w:rPr>
          <w:rFonts w:ascii="Times New Roman"/>
          <w:b w:val="0"/>
        </w:rPr>
        <w:tab/>
      </w:r>
      <w:r>
        <w:rPr>
          <w:spacing w:val="-5"/>
        </w:rPr>
        <w:t>345</w:t>
      </w:r>
    </w:p>
    <w:p w14:paraId="51DE75E5" w14:textId="77777777" w:rsidR="0010369C" w:rsidRDefault="008E43AE">
      <w:pPr>
        <w:pStyle w:val="ListParagraph"/>
        <w:numPr>
          <w:ilvl w:val="3"/>
          <w:numId w:val="80"/>
        </w:numPr>
        <w:tabs>
          <w:tab w:val="left" w:pos="2365"/>
          <w:tab w:val="left" w:pos="2366"/>
        </w:tabs>
        <w:ind w:right="193" w:hanging="852"/>
        <w:jc w:val="right"/>
        <w:rPr>
          <w:sz w:val="24"/>
        </w:rPr>
      </w:pPr>
      <w:r>
        <w:rPr>
          <w:sz w:val="24"/>
          <w:u w:val="single"/>
        </w:rPr>
        <w:t>Calculation of the production of domestic industry and the proportion</w:t>
      </w:r>
      <w:r>
        <w:rPr>
          <w:sz w:val="24"/>
        </w:rPr>
        <w:t xml:space="preserve"> </w:t>
      </w:r>
      <w:r>
        <w:rPr>
          <w:sz w:val="24"/>
          <w:u w:val="single"/>
        </w:rPr>
        <w:t>of</w:t>
      </w:r>
      <w:r>
        <w:rPr>
          <w:spacing w:val="-13"/>
          <w:sz w:val="24"/>
          <w:u w:val="single"/>
        </w:rPr>
        <w:t xml:space="preserve"> </w:t>
      </w:r>
      <w:r>
        <w:rPr>
          <w:sz w:val="24"/>
          <w:u w:val="single"/>
        </w:rPr>
        <w:t>that</w:t>
      </w:r>
      <w:r>
        <w:rPr>
          <w:spacing w:val="-13"/>
          <w:sz w:val="24"/>
          <w:u w:val="single"/>
        </w:rPr>
        <w:t xml:space="preserve"> </w:t>
      </w:r>
      <w:r>
        <w:rPr>
          <w:sz w:val="24"/>
          <w:u w:val="single"/>
        </w:rPr>
        <w:t>production</w:t>
      </w:r>
      <w:r>
        <w:rPr>
          <w:spacing w:val="-12"/>
          <w:sz w:val="24"/>
          <w:u w:val="single"/>
        </w:rPr>
        <w:t xml:space="preserve"> </w:t>
      </w:r>
      <w:r>
        <w:rPr>
          <w:sz w:val="24"/>
          <w:u w:val="single"/>
        </w:rPr>
        <w:t>accounted</w:t>
      </w:r>
      <w:r>
        <w:rPr>
          <w:spacing w:val="-14"/>
          <w:sz w:val="24"/>
          <w:u w:val="single"/>
        </w:rPr>
        <w:t xml:space="preserve"> </w:t>
      </w:r>
      <w:r>
        <w:rPr>
          <w:sz w:val="24"/>
          <w:u w:val="single"/>
        </w:rPr>
        <w:t>for</w:t>
      </w:r>
      <w:r>
        <w:rPr>
          <w:spacing w:val="-12"/>
          <w:sz w:val="24"/>
          <w:u w:val="single"/>
        </w:rPr>
        <w:t xml:space="preserve"> </w:t>
      </w:r>
      <w:r>
        <w:rPr>
          <w:sz w:val="24"/>
          <w:u w:val="single"/>
        </w:rPr>
        <w:t>by</w:t>
      </w:r>
      <w:r>
        <w:rPr>
          <w:spacing w:val="-14"/>
          <w:sz w:val="24"/>
          <w:u w:val="single"/>
        </w:rPr>
        <w:t xml:space="preserve"> </w:t>
      </w:r>
      <w:r>
        <w:rPr>
          <w:sz w:val="24"/>
          <w:u w:val="single"/>
        </w:rPr>
        <w:t>the</w:t>
      </w:r>
      <w:r>
        <w:rPr>
          <w:spacing w:val="-12"/>
          <w:sz w:val="24"/>
          <w:u w:val="single"/>
        </w:rPr>
        <w:t xml:space="preserve"> </w:t>
      </w:r>
      <w:r>
        <w:rPr>
          <w:sz w:val="24"/>
          <w:u w:val="single"/>
        </w:rPr>
        <w:t>participating</w:t>
      </w:r>
      <w:r>
        <w:rPr>
          <w:spacing w:val="-13"/>
          <w:sz w:val="24"/>
          <w:u w:val="single"/>
        </w:rPr>
        <w:t xml:space="preserve"> </w:t>
      </w:r>
      <w:r>
        <w:rPr>
          <w:sz w:val="24"/>
          <w:u w:val="single"/>
        </w:rPr>
        <w:t>Chinese</w:t>
      </w:r>
      <w:r>
        <w:rPr>
          <w:spacing w:val="-12"/>
          <w:sz w:val="24"/>
          <w:u w:val="single"/>
        </w:rPr>
        <w:t xml:space="preserve"> </w:t>
      </w:r>
      <w:r>
        <w:rPr>
          <w:spacing w:val="-2"/>
          <w:sz w:val="24"/>
          <w:u w:val="single"/>
        </w:rPr>
        <w:t>producers</w:t>
      </w:r>
    </w:p>
    <w:p w14:paraId="51DE75E6" w14:textId="77777777" w:rsidR="0010369C" w:rsidRDefault="008E43AE">
      <w:pPr>
        <w:pStyle w:val="BodyText"/>
        <w:tabs>
          <w:tab w:val="left" w:pos="2365"/>
        </w:tabs>
        <w:spacing w:line="338" w:lineRule="auto"/>
        <w:ind w:left="1514" w:right="205" w:firstLine="855"/>
        <w:jc w:val="right"/>
      </w:pPr>
      <w:r>
        <w:rPr>
          <w:u w:val="single"/>
        </w:rPr>
        <w:t>...........................................................................................................</w:t>
      </w:r>
      <w:r>
        <w:rPr>
          <w:spacing w:val="-28"/>
          <w:u w:val="single"/>
        </w:rPr>
        <w:t xml:space="preserve"> </w:t>
      </w:r>
      <w:r>
        <w:rPr>
          <w:u w:val="single"/>
        </w:rPr>
        <w:t>345</w:t>
      </w:r>
      <w:r>
        <w:t xml:space="preserve"> </w:t>
      </w:r>
      <w:r>
        <w:rPr>
          <w:spacing w:val="-5"/>
          <w:u w:val="single"/>
        </w:rPr>
        <w:t>(b</w:t>
      </w:r>
      <w:r>
        <w:rPr>
          <w:spacing w:val="-5"/>
          <w:u w:val="single"/>
        </w:rPr>
        <w:t>)</w:t>
      </w:r>
      <w:r>
        <w:tab/>
      </w:r>
      <w:r>
        <w:rPr>
          <w:u w:val="single"/>
        </w:rPr>
        <w:t>Determination</w:t>
      </w:r>
      <w:r>
        <w:rPr>
          <w:spacing w:val="-4"/>
          <w:u w:val="single"/>
        </w:rPr>
        <w:t xml:space="preserve"> </w:t>
      </w:r>
      <w:r>
        <w:rPr>
          <w:u w:val="single"/>
        </w:rPr>
        <w:t>of</w:t>
      </w:r>
      <w:r>
        <w:rPr>
          <w:spacing w:val="-4"/>
          <w:u w:val="single"/>
        </w:rPr>
        <w:t xml:space="preserve"> </w:t>
      </w:r>
      <w:r>
        <w:rPr>
          <w:u w:val="single"/>
        </w:rPr>
        <w:t>Normal</w:t>
      </w:r>
      <w:r>
        <w:rPr>
          <w:spacing w:val="-4"/>
          <w:u w:val="single"/>
        </w:rPr>
        <w:t xml:space="preserve"> </w:t>
      </w:r>
      <w:r>
        <w:rPr>
          <w:u w:val="single"/>
        </w:rPr>
        <w:t>Value</w:t>
      </w:r>
      <w:r>
        <w:rPr>
          <w:spacing w:val="-1"/>
          <w:u w:val="single"/>
        </w:rPr>
        <w:t xml:space="preserve"> </w:t>
      </w:r>
      <w:r>
        <w:rPr>
          <w:u w:val="single"/>
        </w:rPr>
        <w:t>........................................................</w:t>
      </w:r>
      <w:r>
        <w:rPr>
          <w:spacing w:val="-33"/>
          <w:u w:val="single"/>
        </w:rPr>
        <w:t xml:space="preserve"> </w:t>
      </w:r>
      <w:r>
        <w:rPr>
          <w:spacing w:val="-5"/>
          <w:u w:val="single"/>
        </w:rPr>
        <w:t>347</w:t>
      </w:r>
    </w:p>
    <w:p w14:paraId="51DE75E7" w14:textId="77777777" w:rsidR="0010369C" w:rsidRDefault="008E43AE">
      <w:pPr>
        <w:pStyle w:val="ListParagraph"/>
        <w:numPr>
          <w:ilvl w:val="0"/>
          <w:numId w:val="78"/>
        </w:numPr>
        <w:tabs>
          <w:tab w:val="left" w:pos="2365"/>
          <w:tab w:val="left" w:pos="2366"/>
          <w:tab w:val="left" w:leader="dot" w:pos="8933"/>
        </w:tabs>
        <w:spacing w:before="0"/>
        <w:ind w:right="193"/>
        <w:rPr>
          <w:sz w:val="24"/>
        </w:rPr>
      </w:pPr>
      <w:r>
        <w:rPr>
          <w:sz w:val="24"/>
          <w:u w:val="single"/>
        </w:rPr>
        <w:t>Adjustments</w:t>
      </w:r>
      <w:r>
        <w:rPr>
          <w:spacing w:val="29"/>
          <w:sz w:val="24"/>
          <w:u w:val="single"/>
        </w:rPr>
        <w:t xml:space="preserve"> </w:t>
      </w:r>
      <w:r>
        <w:rPr>
          <w:sz w:val="24"/>
          <w:u w:val="single"/>
        </w:rPr>
        <w:t>to</w:t>
      </w:r>
      <w:r>
        <w:rPr>
          <w:spacing w:val="30"/>
          <w:sz w:val="24"/>
          <w:u w:val="single"/>
        </w:rPr>
        <w:t xml:space="preserve"> </w:t>
      </w:r>
      <w:r>
        <w:rPr>
          <w:sz w:val="24"/>
          <w:u w:val="single"/>
        </w:rPr>
        <w:t>ensure</w:t>
      </w:r>
      <w:r>
        <w:rPr>
          <w:spacing w:val="29"/>
          <w:sz w:val="24"/>
          <w:u w:val="single"/>
        </w:rPr>
        <w:t xml:space="preserve"> </w:t>
      </w:r>
      <w:r>
        <w:rPr>
          <w:sz w:val="24"/>
          <w:u w:val="single"/>
        </w:rPr>
        <w:t>a</w:t>
      </w:r>
      <w:r>
        <w:rPr>
          <w:spacing w:val="30"/>
          <w:sz w:val="24"/>
          <w:u w:val="single"/>
        </w:rPr>
        <w:t xml:space="preserve"> </w:t>
      </w:r>
      <w:r>
        <w:rPr>
          <w:sz w:val="24"/>
          <w:u w:val="single"/>
        </w:rPr>
        <w:t>fair</w:t>
      </w:r>
      <w:r>
        <w:rPr>
          <w:spacing w:val="30"/>
          <w:sz w:val="24"/>
          <w:u w:val="single"/>
        </w:rPr>
        <w:t xml:space="preserve"> </w:t>
      </w:r>
      <w:r>
        <w:rPr>
          <w:sz w:val="24"/>
          <w:u w:val="single"/>
        </w:rPr>
        <w:t>comparison</w:t>
      </w:r>
      <w:r>
        <w:rPr>
          <w:spacing w:val="29"/>
          <w:sz w:val="24"/>
          <w:u w:val="single"/>
        </w:rPr>
        <w:t xml:space="preserve"> </w:t>
      </w:r>
      <w:r>
        <w:rPr>
          <w:sz w:val="24"/>
          <w:u w:val="single"/>
        </w:rPr>
        <w:t>between</w:t>
      </w:r>
      <w:r>
        <w:rPr>
          <w:spacing w:val="29"/>
          <w:sz w:val="24"/>
          <w:u w:val="single"/>
        </w:rPr>
        <w:t xml:space="preserve"> </w:t>
      </w:r>
      <w:r>
        <w:rPr>
          <w:sz w:val="24"/>
          <w:u w:val="single"/>
        </w:rPr>
        <w:t>normal</w:t>
      </w:r>
      <w:r>
        <w:rPr>
          <w:spacing w:val="30"/>
          <w:sz w:val="24"/>
          <w:u w:val="single"/>
        </w:rPr>
        <w:t xml:space="preserve"> </w:t>
      </w:r>
      <w:r>
        <w:rPr>
          <w:sz w:val="24"/>
          <w:u w:val="single"/>
        </w:rPr>
        <w:t>value</w:t>
      </w:r>
      <w:r>
        <w:rPr>
          <w:spacing w:val="30"/>
          <w:sz w:val="24"/>
          <w:u w:val="single"/>
        </w:rPr>
        <w:t xml:space="preserve"> </w:t>
      </w:r>
      <w:r>
        <w:rPr>
          <w:sz w:val="24"/>
          <w:u w:val="single"/>
        </w:rPr>
        <w:t>and</w:t>
      </w:r>
      <w:r>
        <w:rPr>
          <w:sz w:val="24"/>
        </w:rPr>
        <w:t xml:space="preserve"> </w:t>
      </w:r>
      <w:r>
        <w:rPr>
          <w:sz w:val="24"/>
          <w:u w:val="single"/>
        </w:rPr>
        <w:t>export price</w:t>
      </w:r>
      <w:r>
        <w:rPr>
          <w:spacing w:val="-4"/>
          <w:sz w:val="24"/>
          <w:u w:val="single"/>
        </w:rPr>
        <w:t xml:space="preserve"> </w:t>
      </w:r>
      <w:r>
        <w:rPr>
          <w:rFonts w:ascii="Times New Roman"/>
          <w:sz w:val="24"/>
        </w:rPr>
        <w:tab/>
      </w:r>
      <w:r>
        <w:rPr>
          <w:spacing w:val="-5"/>
          <w:sz w:val="24"/>
          <w:u w:val="single"/>
        </w:rPr>
        <w:t>348</w:t>
      </w:r>
    </w:p>
    <w:p w14:paraId="51DE75E8" w14:textId="77777777" w:rsidR="0010369C" w:rsidRDefault="008E43AE">
      <w:pPr>
        <w:pStyle w:val="ListParagraph"/>
        <w:numPr>
          <w:ilvl w:val="0"/>
          <w:numId w:val="78"/>
        </w:numPr>
        <w:tabs>
          <w:tab w:val="left" w:pos="2365"/>
          <w:tab w:val="left" w:pos="2366"/>
          <w:tab w:val="left" w:leader="dot" w:pos="8933"/>
        </w:tabs>
        <w:spacing w:before="119"/>
        <w:rPr>
          <w:sz w:val="24"/>
        </w:rPr>
      </w:pPr>
      <w:r>
        <w:rPr>
          <w:sz w:val="24"/>
          <w:u w:val="single"/>
        </w:rPr>
        <w:t>Differences</w:t>
      </w:r>
      <w:r>
        <w:rPr>
          <w:spacing w:val="-3"/>
          <w:sz w:val="24"/>
          <w:u w:val="single"/>
        </w:rPr>
        <w:t xml:space="preserve"> </w:t>
      </w:r>
      <w:r>
        <w:rPr>
          <w:sz w:val="24"/>
          <w:u w:val="single"/>
        </w:rPr>
        <w:t>in</w:t>
      </w:r>
      <w:r>
        <w:rPr>
          <w:spacing w:val="-2"/>
          <w:sz w:val="24"/>
          <w:u w:val="single"/>
        </w:rPr>
        <w:t xml:space="preserve"> </w:t>
      </w:r>
      <w:r>
        <w:rPr>
          <w:sz w:val="24"/>
          <w:u w:val="single"/>
        </w:rPr>
        <w:t>price</w:t>
      </w:r>
      <w:r>
        <w:rPr>
          <w:spacing w:val="-1"/>
          <w:sz w:val="24"/>
          <w:u w:val="single"/>
        </w:rPr>
        <w:t xml:space="preserve"> </w:t>
      </w:r>
      <w:r>
        <w:rPr>
          <w:spacing w:val="-2"/>
          <w:sz w:val="24"/>
          <w:u w:val="single"/>
        </w:rPr>
        <w:t>comparability</w:t>
      </w:r>
      <w:r>
        <w:rPr>
          <w:rFonts w:ascii="Times New Roman"/>
          <w:sz w:val="24"/>
        </w:rPr>
        <w:tab/>
      </w:r>
      <w:r>
        <w:rPr>
          <w:spacing w:val="-5"/>
          <w:sz w:val="24"/>
          <w:u w:val="single"/>
        </w:rPr>
        <w:t>351</w:t>
      </w:r>
    </w:p>
    <w:p w14:paraId="51DE75E9" w14:textId="77777777" w:rsidR="0010369C" w:rsidRDefault="008E43AE">
      <w:pPr>
        <w:pStyle w:val="ListParagraph"/>
        <w:numPr>
          <w:ilvl w:val="0"/>
          <w:numId w:val="78"/>
        </w:numPr>
        <w:tabs>
          <w:tab w:val="left" w:pos="2365"/>
          <w:tab w:val="left" w:pos="2366"/>
          <w:tab w:val="left" w:leader="dot" w:pos="8933"/>
        </w:tabs>
        <w:spacing w:before="121"/>
        <w:rPr>
          <w:sz w:val="24"/>
        </w:rPr>
      </w:pPr>
      <w:r>
        <w:rPr>
          <w:sz w:val="24"/>
          <w:u w:val="single"/>
        </w:rPr>
        <w:t>Calculation</w:t>
      </w:r>
      <w:r>
        <w:rPr>
          <w:spacing w:val="-5"/>
          <w:sz w:val="24"/>
          <w:u w:val="single"/>
        </w:rPr>
        <w:t xml:space="preserve"> </w:t>
      </w:r>
      <w:r>
        <w:rPr>
          <w:sz w:val="24"/>
          <w:u w:val="single"/>
        </w:rPr>
        <w:t>of</w:t>
      </w:r>
      <w:r>
        <w:rPr>
          <w:spacing w:val="-3"/>
          <w:sz w:val="24"/>
          <w:u w:val="single"/>
        </w:rPr>
        <w:t xml:space="preserve"> </w:t>
      </w:r>
      <w:r>
        <w:rPr>
          <w:sz w:val="24"/>
          <w:u w:val="single"/>
        </w:rPr>
        <w:t>dumping</w:t>
      </w:r>
      <w:r>
        <w:rPr>
          <w:spacing w:val="-2"/>
          <w:sz w:val="24"/>
          <w:u w:val="single"/>
        </w:rPr>
        <w:t xml:space="preserve"> </w:t>
      </w:r>
      <w:r>
        <w:rPr>
          <w:sz w:val="24"/>
          <w:u w:val="single"/>
        </w:rPr>
        <w:t>margins</w:t>
      </w:r>
      <w:r>
        <w:rPr>
          <w:spacing w:val="-19"/>
          <w:sz w:val="24"/>
          <w:u w:val="single"/>
        </w:rPr>
        <w:t xml:space="preserve"> </w:t>
      </w:r>
      <w:r>
        <w:rPr>
          <w:rFonts w:ascii="Times New Roman"/>
          <w:sz w:val="24"/>
        </w:rPr>
        <w:tab/>
      </w:r>
      <w:r>
        <w:rPr>
          <w:spacing w:val="-5"/>
          <w:sz w:val="24"/>
          <w:u w:val="single"/>
        </w:rPr>
        <w:t>352</w:t>
      </w:r>
    </w:p>
    <w:p w14:paraId="51DE75EA" w14:textId="77777777" w:rsidR="0010369C" w:rsidRDefault="008E43AE">
      <w:pPr>
        <w:pStyle w:val="ListParagraph"/>
        <w:numPr>
          <w:ilvl w:val="0"/>
          <w:numId w:val="78"/>
        </w:numPr>
        <w:tabs>
          <w:tab w:val="left" w:pos="2365"/>
          <w:tab w:val="left" w:pos="2366"/>
          <w:tab w:val="left" w:leader="dot" w:pos="8933"/>
        </w:tabs>
        <w:rPr>
          <w:sz w:val="24"/>
        </w:rPr>
      </w:pPr>
      <w:r>
        <w:rPr>
          <w:sz w:val="24"/>
          <w:u w:val="single"/>
        </w:rPr>
        <w:t>Determination</w:t>
      </w:r>
      <w:r>
        <w:rPr>
          <w:spacing w:val="-4"/>
          <w:sz w:val="24"/>
          <w:u w:val="single"/>
        </w:rPr>
        <w:t xml:space="preserve"> </w:t>
      </w:r>
      <w:r>
        <w:rPr>
          <w:sz w:val="24"/>
          <w:u w:val="single"/>
        </w:rPr>
        <w:t>of</w:t>
      </w:r>
      <w:r>
        <w:rPr>
          <w:spacing w:val="-4"/>
          <w:sz w:val="24"/>
          <w:u w:val="single"/>
        </w:rPr>
        <w:t xml:space="preserve"> </w:t>
      </w:r>
      <w:r>
        <w:rPr>
          <w:sz w:val="24"/>
          <w:u w:val="single"/>
        </w:rPr>
        <w:t>injury</w:t>
      </w:r>
      <w:r>
        <w:rPr>
          <w:spacing w:val="-4"/>
          <w:sz w:val="24"/>
          <w:u w:val="single"/>
        </w:rPr>
        <w:t xml:space="preserve"> </w:t>
      </w:r>
      <w:r>
        <w:rPr>
          <w:sz w:val="24"/>
          <w:u w:val="single"/>
        </w:rPr>
        <w:t>and</w:t>
      </w:r>
      <w:r>
        <w:rPr>
          <w:spacing w:val="-3"/>
          <w:sz w:val="24"/>
          <w:u w:val="single"/>
        </w:rPr>
        <w:t xml:space="preserve"> </w:t>
      </w:r>
      <w:r>
        <w:rPr>
          <w:spacing w:val="-2"/>
          <w:sz w:val="24"/>
          <w:u w:val="single"/>
        </w:rPr>
        <w:t>causation</w:t>
      </w:r>
      <w:r>
        <w:rPr>
          <w:rFonts w:ascii="Times New Roman"/>
          <w:sz w:val="24"/>
        </w:rPr>
        <w:tab/>
      </w:r>
      <w:r>
        <w:rPr>
          <w:spacing w:val="-5"/>
          <w:sz w:val="24"/>
          <w:u w:val="single"/>
        </w:rPr>
        <w:t>353</w:t>
      </w:r>
    </w:p>
    <w:p w14:paraId="51DE75EB" w14:textId="77777777" w:rsidR="0010369C" w:rsidRDefault="008E43AE">
      <w:pPr>
        <w:pStyle w:val="ListParagraph"/>
        <w:numPr>
          <w:ilvl w:val="0"/>
          <w:numId w:val="78"/>
        </w:numPr>
        <w:tabs>
          <w:tab w:val="left" w:pos="2365"/>
          <w:tab w:val="left" w:pos="2366"/>
        </w:tabs>
        <w:ind w:right="193"/>
        <w:jc w:val="both"/>
        <w:rPr>
          <w:sz w:val="24"/>
        </w:rPr>
      </w:pPr>
      <w:r>
        <w:rPr>
          <w:sz w:val="24"/>
          <w:u w:val="single"/>
        </w:rPr>
        <w:t>To the extent that non‐confidential information was disclosed to some</w:t>
      </w:r>
      <w:r>
        <w:rPr>
          <w:sz w:val="24"/>
        </w:rPr>
        <w:t xml:space="preserve"> </w:t>
      </w:r>
      <w:r>
        <w:rPr>
          <w:sz w:val="24"/>
          <w:u w:val="single"/>
        </w:rPr>
        <w:t>interested parties, MOFCOM failed to provide those parties timely</w:t>
      </w:r>
      <w:r>
        <w:rPr>
          <w:sz w:val="24"/>
        </w:rPr>
        <w:t xml:space="preserve"> </w:t>
      </w:r>
      <w:r>
        <w:rPr>
          <w:sz w:val="24"/>
          <w:u w:val="single"/>
        </w:rPr>
        <w:t>opportunities</w:t>
      </w:r>
      <w:r>
        <w:rPr>
          <w:spacing w:val="-1"/>
          <w:sz w:val="24"/>
          <w:u w:val="single"/>
        </w:rPr>
        <w:t xml:space="preserve"> </w:t>
      </w:r>
      <w:r>
        <w:rPr>
          <w:sz w:val="24"/>
          <w:u w:val="single"/>
        </w:rPr>
        <w:t>to see the information and</w:t>
      </w:r>
      <w:r>
        <w:rPr>
          <w:spacing w:val="-1"/>
          <w:sz w:val="24"/>
          <w:u w:val="single"/>
        </w:rPr>
        <w:t xml:space="preserve"> </w:t>
      </w:r>
      <w:r>
        <w:rPr>
          <w:sz w:val="24"/>
          <w:u w:val="single"/>
        </w:rPr>
        <w:t>prepare presentations</w:t>
      </w:r>
      <w:r>
        <w:rPr>
          <w:rFonts w:ascii="Times New Roman" w:hAnsi="Times New Roman"/>
          <w:spacing w:val="261"/>
          <w:sz w:val="24"/>
        </w:rPr>
        <w:t xml:space="preserve"> </w:t>
      </w:r>
      <w:r>
        <w:rPr>
          <w:sz w:val="24"/>
          <w:u w:val="single"/>
        </w:rPr>
        <w:t>356</w:t>
      </w:r>
    </w:p>
    <w:p w14:paraId="51DE75EC" w14:textId="77777777" w:rsidR="0010369C" w:rsidRDefault="0010369C">
      <w:pPr>
        <w:jc w:val="both"/>
        <w:rPr>
          <w:sz w:val="24"/>
        </w:rPr>
        <w:sectPr w:rsidR="0010369C">
          <w:pgSz w:w="11910" w:h="16840"/>
          <w:pgMar w:top="880" w:right="1220" w:bottom="980" w:left="1180" w:header="569" w:footer="788" w:gutter="0"/>
          <w:cols w:space="720"/>
        </w:sectPr>
      </w:pPr>
    </w:p>
    <w:p w14:paraId="51DE75ED" w14:textId="77777777" w:rsidR="0010369C" w:rsidRDefault="008E43AE">
      <w:pPr>
        <w:tabs>
          <w:tab w:val="left" w:pos="6425"/>
        </w:tabs>
        <w:ind w:left="238"/>
        <w:rPr>
          <w:sz w:val="20"/>
        </w:rPr>
      </w:pPr>
      <w:r>
        <w:rPr>
          <w:i/>
          <w:sz w:val="20"/>
        </w:rPr>
        <w:lastRenderedPageBreak/>
        <w:t>China</w:t>
      </w:r>
      <w:r>
        <w:rPr>
          <w:i/>
          <w:spacing w:val="-5"/>
          <w:sz w:val="20"/>
        </w:rPr>
        <w:t xml:space="preserve"> </w:t>
      </w:r>
      <w:r>
        <w:rPr>
          <w:i/>
          <w:sz w:val="20"/>
        </w:rPr>
        <w:t>–</w:t>
      </w:r>
      <w:r>
        <w:rPr>
          <w:i/>
          <w:spacing w:val="-5"/>
          <w:sz w:val="20"/>
        </w:rPr>
        <w:t xml:space="preserve"> </w:t>
      </w:r>
      <w:r>
        <w:rPr>
          <w:i/>
          <w:sz w:val="20"/>
        </w:rPr>
        <w:t>Anti‐Dumping</w:t>
      </w:r>
      <w:r>
        <w:rPr>
          <w:i/>
          <w:spacing w:val="-4"/>
          <w:sz w:val="20"/>
        </w:rPr>
        <w:t xml:space="preserve"> </w:t>
      </w:r>
      <w:r>
        <w:rPr>
          <w:i/>
          <w:sz w:val="20"/>
        </w:rPr>
        <w:t>and</w:t>
      </w:r>
      <w:r>
        <w:rPr>
          <w:i/>
          <w:spacing w:val="-5"/>
          <w:sz w:val="20"/>
        </w:rPr>
        <w:t xml:space="preserve"> </w:t>
      </w:r>
      <w:r>
        <w:rPr>
          <w:i/>
          <w:sz w:val="20"/>
        </w:rPr>
        <w:t>Countervailing</w:t>
      </w:r>
      <w:r>
        <w:rPr>
          <w:i/>
          <w:spacing w:val="-5"/>
          <w:sz w:val="20"/>
        </w:rPr>
        <w:t xml:space="preserve"> </w:t>
      </w:r>
      <w:r>
        <w:rPr>
          <w:i/>
          <w:sz w:val="20"/>
        </w:rPr>
        <w:t>Duty</w:t>
      </w:r>
      <w:r>
        <w:rPr>
          <w:i/>
          <w:spacing w:val="-4"/>
          <w:sz w:val="20"/>
        </w:rPr>
        <w:t xml:space="preserve"> </w:t>
      </w:r>
      <w:r>
        <w:rPr>
          <w:i/>
          <w:spacing w:val="-2"/>
          <w:sz w:val="20"/>
        </w:rPr>
        <w:t>Measures</w:t>
      </w:r>
      <w:r>
        <w:rPr>
          <w:i/>
          <w:sz w:val="20"/>
        </w:rPr>
        <w:tab/>
      </w:r>
      <w:r>
        <w:rPr>
          <w:sz w:val="20"/>
        </w:rPr>
        <w:t>Australia's</w:t>
      </w:r>
      <w:r>
        <w:rPr>
          <w:spacing w:val="-6"/>
          <w:sz w:val="20"/>
        </w:rPr>
        <w:t xml:space="preserve"> </w:t>
      </w:r>
      <w:r>
        <w:rPr>
          <w:sz w:val="20"/>
        </w:rPr>
        <w:t>First</w:t>
      </w:r>
      <w:r>
        <w:rPr>
          <w:spacing w:val="-2"/>
          <w:sz w:val="20"/>
        </w:rPr>
        <w:t xml:space="preserve"> </w:t>
      </w:r>
      <w:r>
        <w:rPr>
          <w:sz w:val="20"/>
        </w:rPr>
        <w:t>Written</w:t>
      </w:r>
      <w:r>
        <w:rPr>
          <w:spacing w:val="-2"/>
          <w:sz w:val="20"/>
        </w:rPr>
        <w:t xml:space="preserve"> Submission</w:t>
      </w:r>
    </w:p>
    <w:p w14:paraId="51DE75EE" w14:textId="77777777" w:rsidR="0010369C" w:rsidRDefault="008E43AE">
      <w:pPr>
        <w:tabs>
          <w:tab w:val="left" w:pos="8227"/>
        </w:tabs>
        <w:spacing w:before="1"/>
        <w:ind w:left="239"/>
        <w:rPr>
          <w:sz w:val="20"/>
        </w:rPr>
      </w:pPr>
      <w:r>
        <w:rPr>
          <w:i/>
          <w:sz w:val="20"/>
        </w:rPr>
        <w:t>on</w:t>
      </w:r>
      <w:r>
        <w:rPr>
          <w:i/>
          <w:spacing w:val="-1"/>
          <w:sz w:val="20"/>
        </w:rPr>
        <w:t xml:space="preserve"> </w:t>
      </w:r>
      <w:r>
        <w:rPr>
          <w:i/>
          <w:sz w:val="20"/>
        </w:rPr>
        <w:t>Wine</w:t>
      </w:r>
      <w:r>
        <w:rPr>
          <w:i/>
          <w:spacing w:val="-1"/>
          <w:sz w:val="20"/>
        </w:rPr>
        <w:t xml:space="preserve"> </w:t>
      </w:r>
      <w:r>
        <w:rPr>
          <w:i/>
          <w:sz w:val="20"/>
        </w:rPr>
        <w:t>from</w:t>
      </w:r>
      <w:r>
        <w:rPr>
          <w:i/>
          <w:spacing w:val="-3"/>
          <w:sz w:val="20"/>
        </w:rPr>
        <w:t xml:space="preserve"> </w:t>
      </w:r>
      <w:r>
        <w:rPr>
          <w:i/>
          <w:sz w:val="20"/>
        </w:rPr>
        <w:t>Australia</w:t>
      </w:r>
      <w:r>
        <w:rPr>
          <w:i/>
          <w:spacing w:val="-1"/>
          <w:sz w:val="20"/>
        </w:rPr>
        <w:t xml:space="preserve"> </w:t>
      </w:r>
      <w:r>
        <w:rPr>
          <w:spacing w:val="-2"/>
          <w:sz w:val="20"/>
        </w:rPr>
        <w:t>(DS602)</w:t>
      </w:r>
      <w:r>
        <w:rPr>
          <w:sz w:val="20"/>
        </w:rPr>
        <w:tab/>
        <w:t>29</w:t>
      </w:r>
      <w:r>
        <w:rPr>
          <w:spacing w:val="-1"/>
          <w:sz w:val="20"/>
        </w:rPr>
        <w:t xml:space="preserve"> </w:t>
      </w:r>
      <w:r>
        <w:rPr>
          <w:sz w:val="20"/>
        </w:rPr>
        <w:t>April</w:t>
      </w:r>
      <w:r>
        <w:rPr>
          <w:spacing w:val="-2"/>
          <w:sz w:val="20"/>
        </w:rPr>
        <w:t xml:space="preserve"> </w:t>
      </w:r>
      <w:r>
        <w:rPr>
          <w:spacing w:val="-4"/>
          <w:sz w:val="20"/>
        </w:rPr>
        <w:t>2022</w:t>
      </w:r>
    </w:p>
    <w:p w14:paraId="51DE75EF" w14:textId="77777777" w:rsidR="0010369C" w:rsidRDefault="008E43AE">
      <w:pPr>
        <w:pStyle w:val="Heading4"/>
        <w:numPr>
          <w:ilvl w:val="2"/>
          <w:numId w:val="80"/>
        </w:numPr>
        <w:tabs>
          <w:tab w:val="left" w:pos="1939"/>
          <w:tab w:val="left" w:pos="1940"/>
          <w:tab w:val="left" w:leader="dot" w:pos="8933"/>
        </w:tabs>
        <w:spacing w:before="34"/>
        <w:ind w:left="1940"/>
      </w:pPr>
      <w:r>
        <w:rPr>
          <w:spacing w:val="-2"/>
        </w:rPr>
        <w:t>Conclusion</w:t>
      </w:r>
      <w:r>
        <w:rPr>
          <w:rFonts w:ascii="Times New Roman"/>
          <w:b w:val="0"/>
        </w:rPr>
        <w:tab/>
      </w:r>
      <w:r>
        <w:rPr>
          <w:spacing w:val="-5"/>
        </w:rPr>
        <w:t>357</w:t>
      </w:r>
    </w:p>
    <w:p w14:paraId="51DE75F0" w14:textId="77777777" w:rsidR="0010369C" w:rsidRDefault="008E43AE">
      <w:pPr>
        <w:pStyle w:val="ListParagraph"/>
        <w:numPr>
          <w:ilvl w:val="1"/>
          <w:numId w:val="80"/>
        </w:numPr>
        <w:tabs>
          <w:tab w:val="left" w:pos="1513"/>
          <w:tab w:val="left" w:pos="1514"/>
        </w:tabs>
        <w:ind w:left="1514"/>
        <w:rPr>
          <w:b/>
          <w:sz w:val="24"/>
        </w:rPr>
      </w:pPr>
      <w:r>
        <w:rPr>
          <w:b/>
          <w:sz w:val="24"/>
        </w:rPr>
        <w:t>MOFCOM'</w:t>
      </w:r>
      <w:r>
        <w:rPr>
          <w:b/>
          <w:sz w:val="19"/>
        </w:rPr>
        <w:t>S</w:t>
      </w:r>
      <w:r>
        <w:rPr>
          <w:b/>
          <w:spacing w:val="22"/>
          <w:sz w:val="19"/>
        </w:rPr>
        <w:t xml:space="preserve"> </w:t>
      </w:r>
      <w:r>
        <w:rPr>
          <w:b/>
          <w:sz w:val="19"/>
        </w:rPr>
        <w:t>FAILURE</w:t>
      </w:r>
      <w:r>
        <w:rPr>
          <w:b/>
          <w:spacing w:val="23"/>
          <w:sz w:val="19"/>
        </w:rPr>
        <w:t xml:space="preserve"> </w:t>
      </w:r>
      <w:r>
        <w:rPr>
          <w:b/>
          <w:sz w:val="19"/>
        </w:rPr>
        <w:t>TO</w:t>
      </w:r>
      <w:r>
        <w:rPr>
          <w:b/>
          <w:spacing w:val="23"/>
          <w:sz w:val="19"/>
        </w:rPr>
        <w:t xml:space="preserve"> </w:t>
      </w:r>
      <w:r>
        <w:rPr>
          <w:b/>
          <w:sz w:val="19"/>
        </w:rPr>
        <w:t>DISCLOSE</w:t>
      </w:r>
      <w:r>
        <w:rPr>
          <w:b/>
          <w:spacing w:val="24"/>
          <w:sz w:val="19"/>
        </w:rPr>
        <w:t xml:space="preserve"> </w:t>
      </w:r>
      <w:r>
        <w:rPr>
          <w:b/>
          <w:sz w:val="19"/>
        </w:rPr>
        <w:t>THE</w:t>
      </w:r>
      <w:r>
        <w:rPr>
          <w:b/>
          <w:spacing w:val="23"/>
          <w:sz w:val="19"/>
        </w:rPr>
        <w:t xml:space="preserve"> </w:t>
      </w:r>
      <w:r>
        <w:rPr>
          <w:b/>
          <w:sz w:val="19"/>
        </w:rPr>
        <w:t>ESSENTIAL</w:t>
      </w:r>
      <w:r>
        <w:rPr>
          <w:b/>
          <w:spacing w:val="23"/>
          <w:sz w:val="19"/>
        </w:rPr>
        <w:t xml:space="preserve"> </w:t>
      </w:r>
      <w:r>
        <w:rPr>
          <w:b/>
          <w:sz w:val="19"/>
        </w:rPr>
        <w:t>FACTS</w:t>
      </w:r>
      <w:r>
        <w:rPr>
          <w:b/>
          <w:spacing w:val="25"/>
          <w:sz w:val="19"/>
        </w:rPr>
        <w:t xml:space="preserve"> </w:t>
      </w:r>
      <w:r>
        <w:rPr>
          <w:b/>
          <w:sz w:val="19"/>
        </w:rPr>
        <w:t>UNDER</w:t>
      </w:r>
      <w:r>
        <w:rPr>
          <w:b/>
          <w:spacing w:val="23"/>
          <w:sz w:val="19"/>
        </w:rPr>
        <w:t xml:space="preserve"> </w:t>
      </w:r>
      <w:r>
        <w:rPr>
          <w:b/>
          <w:sz w:val="19"/>
        </w:rPr>
        <w:t>CONSIDERATION</w:t>
      </w:r>
      <w:r>
        <w:rPr>
          <w:b/>
          <w:spacing w:val="23"/>
          <w:sz w:val="19"/>
        </w:rPr>
        <w:t xml:space="preserve"> </w:t>
      </w:r>
      <w:r>
        <w:rPr>
          <w:b/>
          <w:spacing w:val="-2"/>
          <w:sz w:val="19"/>
        </w:rPr>
        <w:t>BREACHED</w:t>
      </w:r>
    </w:p>
    <w:p w14:paraId="51DE75F1" w14:textId="77777777" w:rsidR="0010369C" w:rsidRDefault="008E43AE">
      <w:pPr>
        <w:tabs>
          <w:tab w:val="left" w:leader="dot" w:pos="8933"/>
        </w:tabs>
        <w:ind w:left="1513"/>
        <w:rPr>
          <w:b/>
          <w:sz w:val="24"/>
        </w:rPr>
      </w:pPr>
      <w:r>
        <w:rPr>
          <w:b/>
          <w:sz w:val="24"/>
        </w:rPr>
        <w:t>C</w:t>
      </w:r>
      <w:r>
        <w:rPr>
          <w:b/>
          <w:sz w:val="19"/>
        </w:rPr>
        <w:t>HINA</w:t>
      </w:r>
      <w:r>
        <w:rPr>
          <w:b/>
          <w:sz w:val="24"/>
        </w:rPr>
        <w:t>'</w:t>
      </w:r>
      <w:r>
        <w:rPr>
          <w:b/>
          <w:sz w:val="19"/>
        </w:rPr>
        <w:t>S</w:t>
      </w:r>
      <w:r>
        <w:rPr>
          <w:b/>
          <w:spacing w:val="-11"/>
          <w:sz w:val="19"/>
        </w:rPr>
        <w:t xml:space="preserve"> </w:t>
      </w:r>
      <w:r>
        <w:rPr>
          <w:b/>
          <w:sz w:val="19"/>
        </w:rPr>
        <w:t>OBLIGATIONS</w:t>
      </w:r>
      <w:r>
        <w:rPr>
          <w:b/>
          <w:spacing w:val="-7"/>
          <w:sz w:val="19"/>
        </w:rPr>
        <w:t xml:space="preserve"> </w:t>
      </w:r>
      <w:r>
        <w:rPr>
          <w:b/>
          <w:sz w:val="19"/>
        </w:rPr>
        <w:t>UNDER</w:t>
      </w:r>
      <w:r>
        <w:rPr>
          <w:b/>
          <w:spacing w:val="-6"/>
          <w:sz w:val="19"/>
        </w:rPr>
        <w:t xml:space="preserve"> </w:t>
      </w:r>
      <w:r>
        <w:rPr>
          <w:b/>
          <w:sz w:val="24"/>
        </w:rPr>
        <w:t>A</w:t>
      </w:r>
      <w:r>
        <w:rPr>
          <w:b/>
          <w:sz w:val="19"/>
        </w:rPr>
        <w:t>RTICLE</w:t>
      </w:r>
      <w:r>
        <w:rPr>
          <w:b/>
          <w:spacing w:val="-7"/>
          <w:sz w:val="19"/>
        </w:rPr>
        <w:t xml:space="preserve"> </w:t>
      </w:r>
      <w:r>
        <w:rPr>
          <w:b/>
          <w:sz w:val="24"/>
        </w:rPr>
        <w:t>6.9</w:t>
      </w:r>
      <w:r>
        <w:rPr>
          <w:b/>
          <w:spacing w:val="-14"/>
          <w:sz w:val="24"/>
        </w:rPr>
        <w:t xml:space="preserve"> </w:t>
      </w:r>
      <w:r>
        <w:rPr>
          <w:b/>
          <w:sz w:val="19"/>
        </w:rPr>
        <w:t>OF</w:t>
      </w:r>
      <w:r>
        <w:rPr>
          <w:b/>
          <w:spacing w:val="-6"/>
          <w:sz w:val="19"/>
        </w:rPr>
        <w:t xml:space="preserve"> </w:t>
      </w:r>
      <w:r>
        <w:rPr>
          <w:b/>
          <w:sz w:val="19"/>
        </w:rPr>
        <w:t>THE</w:t>
      </w:r>
      <w:r>
        <w:rPr>
          <w:b/>
          <w:spacing w:val="-7"/>
          <w:sz w:val="19"/>
        </w:rPr>
        <w:t xml:space="preserve"> </w:t>
      </w:r>
      <w:r>
        <w:rPr>
          <w:b/>
          <w:sz w:val="24"/>
        </w:rPr>
        <w:t>A</w:t>
      </w:r>
      <w:r>
        <w:rPr>
          <w:b/>
          <w:sz w:val="19"/>
        </w:rPr>
        <w:t>NTI</w:t>
      </w:r>
      <w:r>
        <w:rPr>
          <w:b/>
          <w:sz w:val="24"/>
        </w:rPr>
        <w:t>‐D</w:t>
      </w:r>
      <w:r>
        <w:rPr>
          <w:b/>
          <w:sz w:val="19"/>
        </w:rPr>
        <w:t>UMPING</w:t>
      </w:r>
      <w:r>
        <w:rPr>
          <w:b/>
          <w:spacing w:val="-6"/>
          <w:sz w:val="19"/>
        </w:rPr>
        <w:t xml:space="preserve"> </w:t>
      </w:r>
      <w:r>
        <w:rPr>
          <w:b/>
          <w:spacing w:val="-2"/>
          <w:sz w:val="24"/>
        </w:rPr>
        <w:t>A</w:t>
      </w:r>
      <w:r>
        <w:rPr>
          <w:b/>
          <w:spacing w:val="-2"/>
          <w:sz w:val="19"/>
        </w:rPr>
        <w:t>GREEMENT</w:t>
      </w:r>
      <w:r>
        <w:rPr>
          <w:rFonts w:ascii="Times New Roman" w:hAnsi="Times New Roman"/>
          <w:sz w:val="19"/>
        </w:rPr>
        <w:tab/>
      </w:r>
      <w:r>
        <w:rPr>
          <w:b/>
          <w:spacing w:val="-5"/>
          <w:sz w:val="24"/>
        </w:rPr>
        <w:t>358</w:t>
      </w:r>
    </w:p>
    <w:p w14:paraId="51DE75F2" w14:textId="77777777" w:rsidR="0010369C" w:rsidRDefault="008E43AE">
      <w:pPr>
        <w:pStyle w:val="Heading4"/>
        <w:numPr>
          <w:ilvl w:val="2"/>
          <w:numId w:val="80"/>
        </w:numPr>
        <w:tabs>
          <w:tab w:val="left" w:pos="1939"/>
          <w:tab w:val="left" w:pos="1940"/>
          <w:tab w:val="left" w:leader="dot" w:pos="8933"/>
        </w:tabs>
        <w:spacing w:before="120"/>
        <w:ind w:left="1940"/>
      </w:pPr>
      <w:r>
        <w:t>Legal</w:t>
      </w:r>
      <w:r>
        <w:rPr>
          <w:spacing w:val="-1"/>
        </w:rPr>
        <w:t xml:space="preserve"> </w:t>
      </w:r>
      <w:r>
        <w:rPr>
          <w:spacing w:val="-2"/>
        </w:rPr>
        <w:t>framework</w:t>
      </w:r>
      <w:r>
        <w:rPr>
          <w:rFonts w:ascii="Times New Roman"/>
          <w:b w:val="0"/>
        </w:rPr>
        <w:tab/>
      </w:r>
      <w:r>
        <w:rPr>
          <w:spacing w:val="-5"/>
        </w:rPr>
        <w:t>359</w:t>
      </w:r>
    </w:p>
    <w:p w14:paraId="51DE75F3" w14:textId="77777777" w:rsidR="0010369C" w:rsidRDefault="008E43AE">
      <w:pPr>
        <w:pStyle w:val="Heading4"/>
        <w:numPr>
          <w:ilvl w:val="2"/>
          <w:numId w:val="80"/>
        </w:numPr>
        <w:tabs>
          <w:tab w:val="left" w:pos="1939"/>
          <w:tab w:val="left" w:pos="1940"/>
        </w:tabs>
        <w:spacing w:before="120"/>
        <w:ind w:left="1940"/>
      </w:pPr>
      <w:r>
        <w:t>MOFCOM</w:t>
      </w:r>
      <w:r>
        <w:rPr>
          <w:spacing w:val="15"/>
        </w:rPr>
        <w:t xml:space="preserve"> </w:t>
      </w:r>
      <w:r>
        <w:t>failed</w:t>
      </w:r>
      <w:r>
        <w:rPr>
          <w:spacing w:val="17"/>
        </w:rPr>
        <w:t xml:space="preserve"> </w:t>
      </w:r>
      <w:r>
        <w:t>to</w:t>
      </w:r>
      <w:r>
        <w:rPr>
          <w:spacing w:val="18"/>
        </w:rPr>
        <w:t xml:space="preserve"> </w:t>
      </w:r>
      <w:r>
        <w:t>disclose</w:t>
      </w:r>
      <w:r>
        <w:rPr>
          <w:spacing w:val="16"/>
        </w:rPr>
        <w:t xml:space="preserve"> </w:t>
      </w:r>
      <w:r>
        <w:t>all</w:t>
      </w:r>
      <w:r>
        <w:rPr>
          <w:spacing w:val="17"/>
        </w:rPr>
        <w:t xml:space="preserve"> </w:t>
      </w:r>
      <w:r>
        <w:t>of</w:t>
      </w:r>
      <w:r>
        <w:rPr>
          <w:spacing w:val="16"/>
        </w:rPr>
        <w:t xml:space="preserve"> </w:t>
      </w:r>
      <w:r>
        <w:t>the</w:t>
      </w:r>
      <w:r>
        <w:rPr>
          <w:spacing w:val="17"/>
        </w:rPr>
        <w:t xml:space="preserve"> </w:t>
      </w:r>
      <w:r>
        <w:t>essential</w:t>
      </w:r>
      <w:r>
        <w:rPr>
          <w:spacing w:val="18"/>
        </w:rPr>
        <w:t xml:space="preserve"> </w:t>
      </w:r>
      <w:r>
        <w:t>facts</w:t>
      </w:r>
      <w:r>
        <w:rPr>
          <w:spacing w:val="17"/>
        </w:rPr>
        <w:t xml:space="preserve"> </w:t>
      </w:r>
      <w:r>
        <w:t>under</w:t>
      </w:r>
      <w:r>
        <w:rPr>
          <w:spacing w:val="17"/>
        </w:rPr>
        <w:t xml:space="preserve"> </w:t>
      </w:r>
      <w:r>
        <w:rPr>
          <w:spacing w:val="-2"/>
        </w:rPr>
        <w:t>consideration</w:t>
      </w:r>
    </w:p>
    <w:p w14:paraId="51DE75F4" w14:textId="77777777" w:rsidR="0010369C" w:rsidRDefault="008E43AE">
      <w:pPr>
        <w:ind w:right="205"/>
        <w:jc w:val="right"/>
        <w:rPr>
          <w:b/>
          <w:sz w:val="24"/>
        </w:rPr>
      </w:pPr>
      <w:r>
        <w:rPr>
          <w:b/>
          <w:spacing w:val="-2"/>
          <w:sz w:val="24"/>
        </w:rPr>
        <w:t>...................................................................................................</w:t>
      </w:r>
      <w:r>
        <w:rPr>
          <w:b/>
          <w:spacing w:val="-2"/>
          <w:sz w:val="24"/>
        </w:rPr>
        <w:t>..........361</w:t>
      </w:r>
    </w:p>
    <w:p w14:paraId="51DE75F5" w14:textId="77777777" w:rsidR="0010369C" w:rsidRDefault="008E43AE">
      <w:pPr>
        <w:pStyle w:val="ListParagraph"/>
        <w:numPr>
          <w:ilvl w:val="3"/>
          <w:numId w:val="80"/>
        </w:numPr>
        <w:tabs>
          <w:tab w:val="left" w:pos="2365"/>
          <w:tab w:val="left" w:pos="2366"/>
        </w:tabs>
        <w:ind w:left="2365" w:right="193" w:hanging="852"/>
        <w:jc w:val="right"/>
        <w:rPr>
          <w:sz w:val="24"/>
        </w:rPr>
      </w:pPr>
      <w:r>
        <w:rPr>
          <w:sz w:val="24"/>
          <w:u w:val="single"/>
        </w:rPr>
        <w:t>Calculation of the output of domestic industry and the proportion of</w:t>
      </w:r>
      <w:r>
        <w:rPr>
          <w:spacing w:val="40"/>
          <w:sz w:val="24"/>
        </w:rPr>
        <w:t xml:space="preserve"> </w:t>
      </w:r>
      <w:r>
        <w:rPr>
          <w:sz w:val="24"/>
          <w:u w:val="single"/>
        </w:rPr>
        <w:t>that</w:t>
      </w:r>
      <w:r>
        <w:rPr>
          <w:spacing w:val="18"/>
          <w:sz w:val="24"/>
          <w:u w:val="single"/>
        </w:rPr>
        <w:t xml:space="preserve"> </w:t>
      </w:r>
      <w:r>
        <w:rPr>
          <w:sz w:val="24"/>
          <w:u w:val="single"/>
        </w:rPr>
        <w:t>production</w:t>
      </w:r>
      <w:r>
        <w:rPr>
          <w:spacing w:val="19"/>
          <w:sz w:val="24"/>
          <w:u w:val="single"/>
        </w:rPr>
        <w:t xml:space="preserve"> </w:t>
      </w:r>
      <w:r>
        <w:rPr>
          <w:sz w:val="24"/>
          <w:u w:val="single"/>
        </w:rPr>
        <w:t>accounted</w:t>
      </w:r>
      <w:r>
        <w:rPr>
          <w:spacing w:val="19"/>
          <w:sz w:val="24"/>
          <w:u w:val="single"/>
        </w:rPr>
        <w:t xml:space="preserve"> </w:t>
      </w:r>
      <w:r>
        <w:rPr>
          <w:sz w:val="24"/>
          <w:u w:val="single"/>
        </w:rPr>
        <w:t>for</w:t>
      </w:r>
      <w:r>
        <w:rPr>
          <w:spacing w:val="19"/>
          <w:sz w:val="24"/>
          <w:u w:val="single"/>
        </w:rPr>
        <w:t xml:space="preserve"> </w:t>
      </w:r>
      <w:r>
        <w:rPr>
          <w:sz w:val="24"/>
          <w:u w:val="single"/>
        </w:rPr>
        <w:t>by</w:t>
      </w:r>
      <w:r>
        <w:rPr>
          <w:spacing w:val="20"/>
          <w:sz w:val="24"/>
          <w:u w:val="single"/>
        </w:rPr>
        <w:t xml:space="preserve"> </w:t>
      </w:r>
      <w:r>
        <w:rPr>
          <w:sz w:val="24"/>
          <w:u w:val="single"/>
        </w:rPr>
        <w:t>the</w:t>
      </w:r>
      <w:r>
        <w:rPr>
          <w:spacing w:val="19"/>
          <w:sz w:val="24"/>
          <w:u w:val="single"/>
        </w:rPr>
        <w:t xml:space="preserve"> </w:t>
      </w:r>
      <w:r>
        <w:rPr>
          <w:sz w:val="24"/>
          <w:u w:val="single"/>
        </w:rPr>
        <w:t>participating</w:t>
      </w:r>
      <w:r>
        <w:rPr>
          <w:spacing w:val="20"/>
          <w:sz w:val="24"/>
          <w:u w:val="single"/>
        </w:rPr>
        <w:t xml:space="preserve"> </w:t>
      </w:r>
      <w:r>
        <w:rPr>
          <w:sz w:val="24"/>
          <w:u w:val="single"/>
        </w:rPr>
        <w:t>Chinese</w:t>
      </w:r>
      <w:r>
        <w:rPr>
          <w:spacing w:val="18"/>
          <w:sz w:val="24"/>
          <w:u w:val="single"/>
        </w:rPr>
        <w:t xml:space="preserve"> </w:t>
      </w:r>
      <w:r>
        <w:rPr>
          <w:spacing w:val="-2"/>
          <w:sz w:val="24"/>
          <w:u w:val="single"/>
        </w:rPr>
        <w:t>producers</w:t>
      </w:r>
    </w:p>
    <w:p w14:paraId="51DE75F6" w14:textId="77777777" w:rsidR="0010369C" w:rsidRDefault="008E43AE">
      <w:pPr>
        <w:pStyle w:val="BodyText"/>
        <w:spacing w:line="293" w:lineRule="exact"/>
        <w:ind w:right="205"/>
        <w:jc w:val="right"/>
      </w:pPr>
      <w:r>
        <w:rPr>
          <w:u w:val="single"/>
        </w:rPr>
        <w:t>...........................................................................................................</w:t>
      </w:r>
      <w:r>
        <w:rPr>
          <w:spacing w:val="-28"/>
          <w:u w:val="single"/>
        </w:rPr>
        <w:t xml:space="preserve"> </w:t>
      </w:r>
      <w:r>
        <w:rPr>
          <w:spacing w:val="-5"/>
          <w:u w:val="single"/>
        </w:rPr>
        <w:t>361</w:t>
      </w:r>
    </w:p>
    <w:p w14:paraId="51DE75F7" w14:textId="77777777" w:rsidR="0010369C" w:rsidRDefault="008E43AE">
      <w:pPr>
        <w:pStyle w:val="ListParagraph"/>
        <w:numPr>
          <w:ilvl w:val="3"/>
          <w:numId w:val="80"/>
        </w:numPr>
        <w:tabs>
          <w:tab w:val="left" w:pos="2365"/>
          <w:tab w:val="left" w:pos="2366"/>
          <w:tab w:val="left" w:leader="dot" w:pos="8933"/>
        </w:tabs>
        <w:ind w:right="191" w:hanging="852"/>
        <w:rPr>
          <w:sz w:val="24"/>
        </w:rPr>
      </w:pPr>
      <w:r>
        <w:rPr>
          <w:sz w:val="24"/>
          <w:u w:val="single"/>
        </w:rPr>
        <w:t>The</w:t>
      </w:r>
      <w:r>
        <w:rPr>
          <w:spacing w:val="40"/>
          <w:sz w:val="24"/>
          <w:u w:val="single"/>
        </w:rPr>
        <w:t xml:space="preserve"> </w:t>
      </w:r>
      <w:r>
        <w:rPr>
          <w:sz w:val="24"/>
          <w:u w:val="single"/>
        </w:rPr>
        <w:t>information</w:t>
      </w:r>
      <w:r>
        <w:rPr>
          <w:spacing w:val="40"/>
          <w:sz w:val="24"/>
          <w:u w:val="single"/>
        </w:rPr>
        <w:t xml:space="preserve"> </w:t>
      </w:r>
      <w:r>
        <w:rPr>
          <w:sz w:val="24"/>
          <w:u w:val="single"/>
        </w:rPr>
        <w:t>selected</w:t>
      </w:r>
      <w:r>
        <w:rPr>
          <w:spacing w:val="40"/>
          <w:sz w:val="24"/>
          <w:u w:val="single"/>
        </w:rPr>
        <w:t xml:space="preserve"> </w:t>
      </w:r>
      <w:r>
        <w:rPr>
          <w:sz w:val="24"/>
          <w:u w:val="single"/>
        </w:rPr>
        <w:t>as</w:t>
      </w:r>
      <w:r>
        <w:rPr>
          <w:spacing w:val="40"/>
          <w:sz w:val="24"/>
          <w:u w:val="single"/>
        </w:rPr>
        <w:t xml:space="preserve"> </w:t>
      </w:r>
      <w:r>
        <w:rPr>
          <w:sz w:val="24"/>
          <w:u w:val="single"/>
        </w:rPr>
        <w:t>the</w:t>
      </w:r>
      <w:r>
        <w:rPr>
          <w:spacing w:val="40"/>
          <w:sz w:val="24"/>
          <w:u w:val="single"/>
        </w:rPr>
        <w:t xml:space="preserve"> </w:t>
      </w:r>
      <w:r>
        <w:rPr>
          <w:sz w:val="24"/>
          <w:u w:val="single"/>
        </w:rPr>
        <w:t>"facts</w:t>
      </w:r>
      <w:r>
        <w:rPr>
          <w:spacing w:val="40"/>
          <w:sz w:val="24"/>
          <w:u w:val="single"/>
        </w:rPr>
        <w:t xml:space="preserve"> </w:t>
      </w:r>
      <w:r>
        <w:rPr>
          <w:sz w:val="24"/>
          <w:u w:val="single"/>
        </w:rPr>
        <w:t>available"</w:t>
      </w:r>
      <w:r>
        <w:rPr>
          <w:spacing w:val="40"/>
          <w:sz w:val="24"/>
          <w:u w:val="single"/>
        </w:rPr>
        <w:t xml:space="preserve"> </w:t>
      </w:r>
      <w:r>
        <w:rPr>
          <w:sz w:val="24"/>
          <w:u w:val="single"/>
        </w:rPr>
        <w:t>for</w:t>
      </w:r>
      <w:r>
        <w:rPr>
          <w:spacing w:val="40"/>
          <w:sz w:val="24"/>
          <w:u w:val="single"/>
        </w:rPr>
        <w:t xml:space="preserve"> </w:t>
      </w:r>
      <w:r>
        <w:rPr>
          <w:sz w:val="24"/>
          <w:u w:val="single"/>
        </w:rPr>
        <w:t>the</w:t>
      </w:r>
      <w:r>
        <w:rPr>
          <w:spacing w:val="40"/>
          <w:sz w:val="24"/>
          <w:u w:val="single"/>
        </w:rPr>
        <w:t xml:space="preserve"> </w:t>
      </w:r>
      <w:r>
        <w:rPr>
          <w:sz w:val="24"/>
          <w:u w:val="single"/>
        </w:rPr>
        <w:t>sampled</w:t>
      </w:r>
      <w:r>
        <w:rPr>
          <w:spacing w:val="40"/>
          <w:sz w:val="24"/>
        </w:rPr>
        <w:t xml:space="preserve"> </w:t>
      </w:r>
      <w:r>
        <w:rPr>
          <w:sz w:val="24"/>
          <w:u w:val="single"/>
        </w:rPr>
        <w:t>companies</w:t>
      </w:r>
      <w:r>
        <w:rPr>
          <w:spacing w:val="-1"/>
          <w:sz w:val="24"/>
          <w:u w:val="single"/>
        </w:rPr>
        <w:t xml:space="preserve"> </w:t>
      </w:r>
      <w:r>
        <w:rPr>
          <w:sz w:val="24"/>
          <w:u w:val="single"/>
        </w:rPr>
        <w:t>and</w:t>
      </w:r>
      <w:r>
        <w:rPr>
          <w:spacing w:val="-1"/>
          <w:sz w:val="24"/>
          <w:u w:val="single"/>
        </w:rPr>
        <w:t xml:space="preserve"> </w:t>
      </w:r>
      <w:r>
        <w:rPr>
          <w:sz w:val="24"/>
          <w:u w:val="single"/>
        </w:rPr>
        <w:t>the basis for those selections</w:t>
      </w:r>
      <w:r>
        <w:rPr>
          <w:spacing w:val="-4"/>
          <w:sz w:val="24"/>
          <w:u w:val="single"/>
        </w:rPr>
        <w:t xml:space="preserve"> </w:t>
      </w:r>
      <w:r>
        <w:rPr>
          <w:rFonts w:ascii="Times New Roman"/>
          <w:sz w:val="24"/>
        </w:rPr>
        <w:tab/>
      </w:r>
      <w:r>
        <w:rPr>
          <w:spacing w:val="-5"/>
          <w:sz w:val="24"/>
          <w:u w:val="single"/>
        </w:rPr>
        <w:t>362</w:t>
      </w:r>
    </w:p>
    <w:p w14:paraId="51DE75F8" w14:textId="77777777" w:rsidR="0010369C" w:rsidRDefault="008E43AE">
      <w:pPr>
        <w:pStyle w:val="ListParagraph"/>
        <w:numPr>
          <w:ilvl w:val="3"/>
          <w:numId w:val="80"/>
        </w:numPr>
        <w:tabs>
          <w:tab w:val="left" w:pos="2365"/>
          <w:tab w:val="left" w:pos="2366"/>
          <w:tab w:val="left" w:leader="dot" w:pos="8933"/>
        </w:tabs>
        <w:spacing w:before="121"/>
        <w:ind w:hanging="853"/>
        <w:rPr>
          <w:sz w:val="24"/>
        </w:rPr>
      </w:pPr>
      <w:r>
        <w:rPr>
          <w:sz w:val="24"/>
          <w:u w:val="single"/>
        </w:rPr>
        <w:t>Differences</w:t>
      </w:r>
      <w:r>
        <w:rPr>
          <w:spacing w:val="-3"/>
          <w:sz w:val="24"/>
          <w:u w:val="single"/>
        </w:rPr>
        <w:t xml:space="preserve"> </w:t>
      </w:r>
      <w:r>
        <w:rPr>
          <w:sz w:val="24"/>
          <w:u w:val="single"/>
        </w:rPr>
        <w:t>in</w:t>
      </w:r>
      <w:r>
        <w:rPr>
          <w:spacing w:val="-2"/>
          <w:sz w:val="24"/>
          <w:u w:val="single"/>
        </w:rPr>
        <w:t xml:space="preserve"> </w:t>
      </w:r>
      <w:r>
        <w:rPr>
          <w:sz w:val="24"/>
          <w:u w:val="single"/>
        </w:rPr>
        <w:t>price</w:t>
      </w:r>
      <w:r>
        <w:rPr>
          <w:spacing w:val="-1"/>
          <w:sz w:val="24"/>
          <w:u w:val="single"/>
        </w:rPr>
        <w:t xml:space="preserve"> </w:t>
      </w:r>
      <w:r>
        <w:rPr>
          <w:spacing w:val="-2"/>
          <w:sz w:val="24"/>
          <w:u w:val="single"/>
        </w:rPr>
        <w:t>comparability</w:t>
      </w:r>
      <w:r>
        <w:rPr>
          <w:rFonts w:ascii="Times New Roman"/>
          <w:sz w:val="24"/>
        </w:rPr>
        <w:tab/>
      </w:r>
      <w:r>
        <w:rPr>
          <w:spacing w:val="-5"/>
          <w:sz w:val="24"/>
          <w:u w:val="single"/>
        </w:rPr>
        <w:t>366</w:t>
      </w:r>
    </w:p>
    <w:p w14:paraId="51DE75F9" w14:textId="77777777" w:rsidR="0010369C" w:rsidRDefault="008E43AE">
      <w:pPr>
        <w:pStyle w:val="ListParagraph"/>
        <w:numPr>
          <w:ilvl w:val="3"/>
          <w:numId w:val="80"/>
        </w:numPr>
        <w:tabs>
          <w:tab w:val="left" w:pos="2365"/>
          <w:tab w:val="left" w:pos="2366"/>
          <w:tab w:val="left" w:leader="dot" w:pos="8933"/>
        </w:tabs>
        <w:spacing w:before="119"/>
        <w:ind w:left="2365" w:right="194" w:hanging="852"/>
        <w:rPr>
          <w:sz w:val="24"/>
        </w:rPr>
      </w:pPr>
      <w:r>
        <w:rPr>
          <w:sz w:val="24"/>
          <w:u w:val="single"/>
        </w:rPr>
        <w:t>Decisions</w:t>
      </w:r>
      <w:r>
        <w:rPr>
          <w:spacing w:val="-14"/>
          <w:sz w:val="24"/>
          <w:u w:val="single"/>
        </w:rPr>
        <w:t xml:space="preserve"> </w:t>
      </w:r>
      <w:r>
        <w:rPr>
          <w:sz w:val="24"/>
          <w:u w:val="single"/>
        </w:rPr>
        <w:t>concerning</w:t>
      </w:r>
      <w:r>
        <w:rPr>
          <w:spacing w:val="-14"/>
          <w:sz w:val="24"/>
          <w:u w:val="single"/>
        </w:rPr>
        <w:t xml:space="preserve"> </w:t>
      </w:r>
      <w:r>
        <w:rPr>
          <w:sz w:val="24"/>
          <w:u w:val="single"/>
        </w:rPr>
        <w:t>adjustments</w:t>
      </w:r>
      <w:r>
        <w:rPr>
          <w:spacing w:val="-14"/>
          <w:sz w:val="24"/>
          <w:u w:val="single"/>
        </w:rPr>
        <w:t xml:space="preserve"> </w:t>
      </w:r>
      <w:r>
        <w:rPr>
          <w:sz w:val="24"/>
          <w:u w:val="single"/>
        </w:rPr>
        <w:t>to</w:t>
      </w:r>
      <w:r>
        <w:rPr>
          <w:spacing w:val="-14"/>
          <w:sz w:val="24"/>
          <w:u w:val="single"/>
        </w:rPr>
        <w:t xml:space="preserve"> </w:t>
      </w:r>
      <w:r>
        <w:rPr>
          <w:sz w:val="24"/>
          <w:u w:val="single"/>
        </w:rPr>
        <w:t>ensure</w:t>
      </w:r>
      <w:r>
        <w:rPr>
          <w:spacing w:val="-14"/>
          <w:sz w:val="24"/>
          <w:u w:val="single"/>
        </w:rPr>
        <w:t xml:space="preserve"> </w:t>
      </w:r>
      <w:r>
        <w:rPr>
          <w:sz w:val="24"/>
          <w:u w:val="single"/>
        </w:rPr>
        <w:t>a</w:t>
      </w:r>
      <w:r>
        <w:rPr>
          <w:spacing w:val="-14"/>
          <w:sz w:val="24"/>
          <w:u w:val="single"/>
        </w:rPr>
        <w:t xml:space="preserve"> </w:t>
      </w:r>
      <w:r>
        <w:rPr>
          <w:sz w:val="24"/>
          <w:u w:val="single"/>
        </w:rPr>
        <w:t>fair</w:t>
      </w:r>
      <w:r>
        <w:rPr>
          <w:spacing w:val="-15"/>
          <w:sz w:val="24"/>
          <w:u w:val="single"/>
        </w:rPr>
        <w:t xml:space="preserve"> </w:t>
      </w:r>
      <w:r>
        <w:rPr>
          <w:sz w:val="24"/>
          <w:u w:val="single"/>
        </w:rPr>
        <w:t>comparison</w:t>
      </w:r>
      <w:r>
        <w:rPr>
          <w:spacing w:val="-16"/>
          <w:sz w:val="24"/>
          <w:u w:val="single"/>
        </w:rPr>
        <w:t xml:space="preserve"> </w:t>
      </w:r>
      <w:r>
        <w:rPr>
          <w:sz w:val="24"/>
          <w:u w:val="single"/>
        </w:rPr>
        <w:t>of</w:t>
      </w:r>
      <w:r>
        <w:rPr>
          <w:spacing w:val="-14"/>
          <w:sz w:val="24"/>
          <w:u w:val="single"/>
        </w:rPr>
        <w:t xml:space="preserve"> </w:t>
      </w:r>
      <w:r>
        <w:rPr>
          <w:sz w:val="24"/>
          <w:u w:val="single"/>
        </w:rPr>
        <w:t>normal</w:t>
      </w:r>
      <w:r>
        <w:rPr>
          <w:sz w:val="24"/>
        </w:rPr>
        <w:t xml:space="preserve"> </w:t>
      </w:r>
      <w:r>
        <w:rPr>
          <w:sz w:val="24"/>
          <w:u w:val="single"/>
        </w:rPr>
        <w:t>value and export price</w:t>
      </w:r>
      <w:r>
        <w:rPr>
          <w:spacing w:val="-6"/>
          <w:sz w:val="24"/>
          <w:u w:val="single"/>
        </w:rPr>
        <w:t xml:space="preserve"> </w:t>
      </w:r>
      <w:r>
        <w:rPr>
          <w:rFonts w:ascii="Times New Roman"/>
          <w:sz w:val="24"/>
        </w:rPr>
        <w:tab/>
      </w:r>
      <w:r>
        <w:rPr>
          <w:spacing w:val="-4"/>
          <w:sz w:val="24"/>
          <w:u w:val="single"/>
        </w:rPr>
        <w:t>368</w:t>
      </w:r>
    </w:p>
    <w:p w14:paraId="51DE75FA" w14:textId="77777777" w:rsidR="0010369C" w:rsidRDefault="008E43AE">
      <w:pPr>
        <w:pStyle w:val="ListParagraph"/>
        <w:numPr>
          <w:ilvl w:val="3"/>
          <w:numId w:val="80"/>
        </w:numPr>
        <w:tabs>
          <w:tab w:val="left" w:pos="2365"/>
          <w:tab w:val="left" w:pos="2366"/>
        </w:tabs>
        <w:spacing w:before="121"/>
        <w:ind w:hanging="853"/>
        <w:rPr>
          <w:sz w:val="24"/>
        </w:rPr>
      </w:pPr>
      <w:r>
        <w:rPr>
          <w:sz w:val="24"/>
          <w:u w:val="single"/>
        </w:rPr>
        <w:t>Details</w:t>
      </w:r>
      <w:r>
        <w:rPr>
          <w:spacing w:val="11"/>
          <w:sz w:val="24"/>
          <w:u w:val="single"/>
        </w:rPr>
        <w:t xml:space="preserve"> </w:t>
      </w:r>
      <w:r>
        <w:rPr>
          <w:sz w:val="24"/>
          <w:u w:val="single"/>
        </w:rPr>
        <w:t>of</w:t>
      </w:r>
      <w:r>
        <w:rPr>
          <w:spacing w:val="10"/>
          <w:sz w:val="24"/>
          <w:u w:val="single"/>
        </w:rPr>
        <w:t xml:space="preserve"> </w:t>
      </w:r>
      <w:r>
        <w:rPr>
          <w:sz w:val="24"/>
          <w:u w:val="single"/>
        </w:rPr>
        <w:t>the</w:t>
      </w:r>
      <w:r>
        <w:rPr>
          <w:spacing w:val="12"/>
          <w:sz w:val="24"/>
          <w:u w:val="single"/>
        </w:rPr>
        <w:t xml:space="preserve"> </w:t>
      </w:r>
      <w:r>
        <w:rPr>
          <w:sz w:val="24"/>
          <w:u w:val="single"/>
        </w:rPr>
        <w:t>methodologies</w:t>
      </w:r>
      <w:r>
        <w:rPr>
          <w:spacing w:val="10"/>
          <w:sz w:val="24"/>
          <w:u w:val="single"/>
        </w:rPr>
        <w:t xml:space="preserve"> </w:t>
      </w:r>
      <w:r>
        <w:rPr>
          <w:sz w:val="24"/>
          <w:u w:val="single"/>
        </w:rPr>
        <w:t>and</w:t>
      </w:r>
      <w:r>
        <w:rPr>
          <w:spacing w:val="11"/>
          <w:sz w:val="24"/>
          <w:u w:val="single"/>
        </w:rPr>
        <w:t xml:space="preserve"> </w:t>
      </w:r>
      <w:r>
        <w:rPr>
          <w:sz w:val="24"/>
          <w:u w:val="single"/>
        </w:rPr>
        <w:t>calculations</w:t>
      </w:r>
      <w:r>
        <w:rPr>
          <w:spacing w:val="9"/>
          <w:sz w:val="24"/>
          <w:u w:val="single"/>
        </w:rPr>
        <w:t xml:space="preserve"> </w:t>
      </w:r>
      <w:r>
        <w:rPr>
          <w:sz w:val="24"/>
          <w:u w:val="single"/>
        </w:rPr>
        <w:t>of</w:t>
      </w:r>
      <w:r>
        <w:rPr>
          <w:spacing w:val="10"/>
          <w:sz w:val="24"/>
          <w:u w:val="single"/>
        </w:rPr>
        <w:t xml:space="preserve"> </w:t>
      </w:r>
      <w:r>
        <w:rPr>
          <w:sz w:val="24"/>
          <w:u w:val="single"/>
        </w:rPr>
        <w:t>the</w:t>
      </w:r>
      <w:r>
        <w:rPr>
          <w:spacing w:val="11"/>
          <w:sz w:val="24"/>
          <w:u w:val="single"/>
        </w:rPr>
        <w:t xml:space="preserve"> </w:t>
      </w:r>
      <w:r>
        <w:rPr>
          <w:sz w:val="24"/>
          <w:u w:val="single"/>
        </w:rPr>
        <w:t>dumping</w:t>
      </w:r>
      <w:r>
        <w:rPr>
          <w:spacing w:val="13"/>
          <w:sz w:val="24"/>
          <w:u w:val="single"/>
        </w:rPr>
        <w:t xml:space="preserve"> </w:t>
      </w:r>
      <w:r>
        <w:rPr>
          <w:spacing w:val="-2"/>
          <w:sz w:val="24"/>
          <w:u w:val="single"/>
        </w:rPr>
        <w:t>margins</w:t>
      </w:r>
    </w:p>
    <w:p w14:paraId="51DE75FB" w14:textId="77777777" w:rsidR="0010369C" w:rsidRDefault="008E43AE">
      <w:pPr>
        <w:pStyle w:val="BodyText"/>
        <w:ind w:left="2369"/>
      </w:pPr>
      <w:r>
        <w:rPr>
          <w:u w:val="single"/>
        </w:rPr>
        <w:t>...........................................................................................................</w:t>
      </w:r>
      <w:r>
        <w:rPr>
          <w:spacing w:val="-28"/>
          <w:u w:val="single"/>
        </w:rPr>
        <w:t xml:space="preserve"> </w:t>
      </w:r>
      <w:r>
        <w:rPr>
          <w:spacing w:val="-5"/>
          <w:u w:val="single"/>
        </w:rPr>
        <w:t>369</w:t>
      </w:r>
    </w:p>
    <w:p w14:paraId="51DE75FC" w14:textId="77777777" w:rsidR="0010369C" w:rsidRDefault="008E43AE">
      <w:pPr>
        <w:pStyle w:val="ListParagraph"/>
        <w:numPr>
          <w:ilvl w:val="3"/>
          <w:numId w:val="80"/>
        </w:numPr>
        <w:tabs>
          <w:tab w:val="left" w:pos="2365"/>
          <w:tab w:val="left" w:pos="2366"/>
          <w:tab w:val="left" w:leader="dot" w:pos="8933"/>
        </w:tabs>
        <w:spacing w:before="119"/>
        <w:ind w:hanging="853"/>
        <w:rPr>
          <w:sz w:val="24"/>
        </w:rPr>
      </w:pPr>
      <w:r>
        <w:rPr>
          <w:sz w:val="24"/>
          <w:u w:val="single"/>
        </w:rPr>
        <w:t>Determination</w:t>
      </w:r>
      <w:r>
        <w:rPr>
          <w:spacing w:val="-4"/>
          <w:sz w:val="24"/>
          <w:u w:val="single"/>
        </w:rPr>
        <w:t xml:space="preserve"> </w:t>
      </w:r>
      <w:r>
        <w:rPr>
          <w:sz w:val="24"/>
          <w:u w:val="single"/>
        </w:rPr>
        <w:t>of</w:t>
      </w:r>
      <w:r>
        <w:rPr>
          <w:spacing w:val="-4"/>
          <w:sz w:val="24"/>
          <w:u w:val="single"/>
        </w:rPr>
        <w:t xml:space="preserve"> </w:t>
      </w:r>
      <w:r>
        <w:rPr>
          <w:sz w:val="24"/>
          <w:u w:val="single"/>
        </w:rPr>
        <w:t>injury</w:t>
      </w:r>
      <w:r>
        <w:rPr>
          <w:spacing w:val="-4"/>
          <w:sz w:val="24"/>
          <w:u w:val="single"/>
        </w:rPr>
        <w:t xml:space="preserve"> </w:t>
      </w:r>
      <w:r>
        <w:rPr>
          <w:sz w:val="24"/>
          <w:u w:val="single"/>
        </w:rPr>
        <w:t>and</w:t>
      </w:r>
      <w:r>
        <w:rPr>
          <w:spacing w:val="-3"/>
          <w:sz w:val="24"/>
          <w:u w:val="single"/>
        </w:rPr>
        <w:t xml:space="preserve"> </w:t>
      </w:r>
      <w:r>
        <w:rPr>
          <w:spacing w:val="-2"/>
          <w:sz w:val="24"/>
          <w:u w:val="single"/>
        </w:rPr>
        <w:t>causation</w:t>
      </w:r>
      <w:r>
        <w:rPr>
          <w:rFonts w:ascii="Times New Roman"/>
          <w:sz w:val="24"/>
        </w:rPr>
        <w:tab/>
      </w:r>
      <w:r>
        <w:rPr>
          <w:spacing w:val="-5"/>
          <w:sz w:val="24"/>
          <w:u w:val="single"/>
        </w:rPr>
        <w:t>370</w:t>
      </w:r>
    </w:p>
    <w:p w14:paraId="51DE75FD" w14:textId="77777777" w:rsidR="0010369C" w:rsidRDefault="008E43AE">
      <w:pPr>
        <w:pStyle w:val="ListParagraph"/>
        <w:numPr>
          <w:ilvl w:val="3"/>
          <w:numId w:val="80"/>
        </w:numPr>
        <w:tabs>
          <w:tab w:val="left" w:pos="2365"/>
          <w:tab w:val="left" w:pos="2366"/>
          <w:tab w:val="left" w:leader="dot" w:pos="8933"/>
        </w:tabs>
        <w:ind w:hanging="853"/>
        <w:rPr>
          <w:sz w:val="24"/>
        </w:rPr>
      </w:pPr>
      <w:r>
        <w:rPr>
          <w:sz w:val="24"/>
          <w:u w:val="single"/>
        </w:rPr>
        <w:t>Treatment of the other named Australian</w:t>
      </w:r>
      <w:r>
        <w:rPr>
          <w:spacing w:val="-1"/>
          <w:sz w:val="24"/>
          <w:u w:val="single"/>
        </w:rPr>
        <w:t xml:space="preserve"> </w:t>
      </w:r>
      <w:r>
        <w:rPr>
          <w:sz w:val="24"/>
          <w:u w:val="single"/>
        </w:rPr>
        <w:t xml:space="preserve">exporters </w:t>
      </w:r>
      <w:r>
        <w:rPr>
          <w:rFonts w:ascii="Times New Roman"/>
          <w:sz w:val="24"/>
        </w:rPr>
        <w:tab/>
      </w:r>
      <w:r>
        <w:rPr>
          <w:spacing w:val="-5"/>
          <w:sz w:val="24"/>
          <w:u w:val="single"/>
        </w:rPr>
        <w:t>373</w:t>
      </w:r>
    </w:p>
    <w:p w14:paraId="51DE75FE" w14:textId="77777777" w:rsidR="0010369C" w:rsidRDefault="008E43AE">
      <w:pPr>
        <w:pStyle w:val="ListParagraph"/>
        <w:numPr>
          <w:ilvl w:val="3"/>
          <w:numId w:val="80"/>
        </w:numPr>
        <w:tabs>
          <w:tab w:val="left" w:pos="2365"/>
          <w:tab w:val="left" w:pos="2366"/>
          <w:tab w:val="left" w:leader="dot" w:pos="8933"/>
        </w:tabs>
        <w:spacing w:before="121"/>
        <w:ind w:hanging="853"/>
        <w:rPr>
          <w:sz w:val="24"/>
        </w:rPr>
      </w:pPr>
      <w:r>
        <w:rPr>
          <w:sz w:val="24"/>
          <w:u w:val="single"/>
        </w:rPr>
        <w:t>Treatment</w:t>
      </w:r>
      <w:r>
        <w:rPr>
          <w:spacing w:val="-1"/>
          <w:sz w:val="24"/>
          <w:u w:val="single"/>
        </w:rPr>
        <w:t xml:space="preserve"> </w:t>
      </w:r>
      <w:r>
        <w:rPr>
          <w:sz w:val="24"/>
          <w:u w:val="single"/>
        </w:rPr>
        <w:t>of</w:t>
      </w:r>
      <w:r>
        <w:rPr>
          <w:spacing w:val="-1"/>
          <w:sz w:val="24"/>
          <w:u w:val="single"/>
        </w:rPr>
        <w:t xml:space="preserve"> </w:t>
      </w:r>
      <w:r>
        <w:rPr>
          <w:sz w:val="24"/>
          <w:u w:val="single"/>
        </w:rPr>
        <w:t>the "All</w:t>
      </w:r>
      <w:r>
        <w:rPr>
          <w:spacing w:val="-1"/>
          <w:sz w:val="24"/>
          <w:u w:val="single"/>
        </w:rPr>
        <w:t xml:space="preserve"> </w:t>
      </w:r>
      <w:r>
        <w:rPr>
          <w:sz w:val="24"/>
          <w:u w:val="single"/>
        </w:rPr>
        <w:t>Others"</w:t>
      </w:r>
      <w:r>
        <w:rPr>
          <w:spacing w:val="-1"/>
          <w:sz w:val="24"/>
          <w:u w:val="single"/>
        </w:rPr>
        <w:t xml:space="preserve"> </w:t>
      </w:r>
      <w:r>
        <w:rPr>
          <w:sz w:val="24"/>
          <w:u w:val="single"/>
        </w:rPr>
        <w:t>category</w:t>
      </w:r>
      <w:r>
        <w:rPr>
          <w:spacing w:val="-2"/>
          <w:sz w:val="24"/>
          <w:u w:val="single"/>
        </w:rPr>
        <w:t xml:space="preserve"> </w:t>
      </w:r>
      <w:r>
        <w:rPr>
          <w:sz w:val="24"/>
          <w:u w:val="single"/>
        </w:rPr>
        <w:t>of</w:t>
      </w:r>
      <w:r>
        <w:rPr>
          <w:spacing w:val="-1"/>
          <w:sz w:val="24"/>
          <w:u w:val="single"/>
        </w:rPr>
        <w:t xml:space="preserve"> </w:t>
      </w:r>
      <w:r>
        <w:rPr>
          <w:sz w:val="24"/>
          <w:u w:val="single"/>
        </w:rPr>
        <w:t>Australian</w:t>
      </w:r>
      <w:r>
        <w:rPr>
          <w:spacing w:val="-2"/>
          <w:sz w:val="24"/>
          <w:u w:val="single"/>
        </w:rPr>
        <w:t xml:space="preserve"> </w:t>
      </w:r>
      <w:r>
        <w:rPr>
          <w:sz w:val="24"/>
          <w:u w:val="single"/>
        </w:rPr>
        <w:t>companies</w:t>
      </w:r>
      <w:r>
        <w:rPr>
          <w:spacing w:val="4"/>
          <w:sz w:val="24"/>
          <w:u w:val="single"/>
        </w:rPr>
        <w:t xml:space="preserve"> </w:t>
      </w:r>
      <w:r>
        <w:rPr>
          <w:rFonts w:ascii="Times New Roman"/>
          <w:sz w:val="24"/>
        </w:rPr>
        <w:tab/>
      </w:r>
      <w:r>
        <w:rPr>
          <w:spacing w:val="-5"/>
          <w:sz w:val="24"/>
          <w:u w:val="single"/>
        </w:rPr>
        <w:t>374</w:t>
      </w:r>
    </w:p>
    <w:p w14:paraId="51DE75FF" w14:textId="77777777" w:rsidR="0010369C" w:rsidRDefault="008E43AE">
      <w:pPr>
        <w:pStyle w:val="Heading4"/>
        <w:numPr>
          <w:ilvl w:val="2"/>
          <w:numId w:val="80"/>
        </w:numPr>
        <w:tabs>
          <w:tab w:val="left" w:pos="1939"/>
          <w:tab w:val="left" w:pos="1940"/>
          <w:tab w:val="left" w:leader="dot" w:pos="8933"/>
        </w:tabs>
        <w:spacing w:before="120"/>
        <w:ind w:left="1940"/>
      </w:pPr>
      <w:r>
        <w:rPr>
          <w:spacing w:val="-2"/>
        </w:rPr>
        <w:t>Conclusion</w:t>
      </w:r>
      <w:r>
        <w:rPr>
          <w:rFonts w:ascii="Times New Roman"/>
          <w:b w:val="0"/>
        </w:rPr>
        <w:tab/>
      </w:r>
      <w:r>
        <w:rPr>
          <w:spacing w:val="-5"/>
        </w:rPr>
        <w:t>375</w:t>
      </w:r>
    </w:p>
    <w:p w14:paraId="51DE7600" w14:textId="77777777" w:rsidR="0010369C" w:rsidRDefault="008E43AE">
      <w:pPr>
        <w:pStyle w:val="ListParagraph"/>
        <w:numPr>
          <w:ilvl w:val="1"/>
          <w:numId w:val="80"/>
        </w:numPr>
        <w:tabs>
          <w:tab w:val="left" w:pos="1513"/>
          <w:tab w:val="left" w:pos="1514"/>
        </w:tabs>
        <w:ind w:left="1513" w:right="196" w:hanging="850"/>
        <w:rPr>
          <w:b/>
          <w:sz w:val="24"/>
        </w:rPr>
      </w:pPr>
      <w:r>
        <w:rPr>
          <w:b/>
          <w:sz w:val="24"/>
        </w:rPr>
        <w:t>MOFCOM'</w:t>
      </w:r>
      <w:r>
        <w:rPr>
          <w:b/>
          <w:sz w:val="19"/>
        </w:rPr>
        <w:t>S PUBLIC</w:t>
      </w:r>
      <w:r>
        <w:rPr>
          <w:b/>
          <w:spacing w:val="21"/>
          <w:sz w:val="19"/>
        </w:rPr>
        <w:t xml:space="preserve"> </w:t>
      </w:r>
      <w:r>
        <w:rPr>
          <w:b/>
          <w:sz w:val="19"/>
        </w:rPr>
        <w:t>NOTICE OF INITIATION FAILED TO CONTAIN ADEQUATE INFORMATION IN BREACH</w:t>
      </w:r>
      <w:r>
        <w:rPr>
          <w:b/>
          <w:spacing w:val="-7"/>
          <w:sz w:val="19"/>
        </w:rPr>
        <w:t xml:space="preserve"> </w:t>
      </w:r>
      <w:r>
        <w:rPr>
          <w:b/>
          <w:sz w:val="19"/>
        </w:rPr>
        <w:t>OF</w:t>
      </w:r>
      <w:r>
        <w:rPr>
          <w:b/>
          <w:spacing w:val="-3"/>
          <w:sz w:val="19"/>
        </w:rPr>
        <w:t xml:space="preserve"> </w:t>
      </w:r>
      <w:r>
        <w:rPr>
          <w:b/>
          <w:sz w:val="24"/>
        </w:rPr>
        <w:t>C</w:t>
      </w:r>
      <w:r>
        <w:rPr>
          <w:b/>
          <w:sz w:val="19"/>
        </w:rPr>
        <w:t>HINA</w:t>
      </w:r>
      <w:r>
        <w:rPr>
          <w:b/>
          <w:sz w:val="24"/>
        </w:rPr>
        <w:t>'</w:t>
      </w:r>
      <w:r>
        <w:rPr>
          <w:b/>
          <w:sz w:val="19"/>
        </w:rPr>
        <w:t>S</w:t>
      </w:r>
      <w:r>
        <w:rPr>
          <w:b/>
          <w:spacing w:val="-4"/>
          <w:sz w:val="19"/>
        </w:rPr>
        <w:t xml:space="preserve"> </w:t>
      </w:r>
      <w:r>
        <w:rPr>
          <w:b/>
          <w:sz w:val="19"/>
        </w:rPr>
        <w:t>OBLIGATIONS</w:t>
      </w:r>
      <w:r>
        <w:rPr>
          <w:b/>
          <w:spacing w:val="-4"/>
          <w:sz w:val="19"/>
        </w:rPr>
        <w:t xml:space="preserve"> </w:t>
      </w:r>
      <w:r>
        <w:rPr>
          <w:b/>
          <w:sz w:val="19"/>
        </w:rPr>
        <w:t>UNDER</w:t>
      </w:r>
      <w:r>
        <w:rPr>
          <w:b/>
          <w:spacing w:val="-5"/>
          <w:sz w:val="19"/>
        </w:rPr>
        <w:t xml:space="preserve"> </w:t>
      </w:r>
      <w:r>
        <w:rPr>
          <w:b/>
          <w:sz w:val="24"/>
        </w:rPr>
        <w:t>A</w:t>
      </w:r>
      <w:r>
        <w:rPr>
          <w:b/>
          <w:sz w:val="19"/>
        </w:rPr>
        <w:t>RTICLE</w:t>
      </w:r>
      <w:r>
        <w:rPr>
          <w:b/>
          <w:spacing w:val="-5"/>
          <w:sz w:val="19"/>
        </w:rPr>
        <w:t xml:space="preserve"> </w:t>
      </w:r>
      <w:r>
        <w:rPr>
          <w:b/>
          <w:sz w:val="24"/>
        </w:rPr>
        <w:t>12.1.1</w:t>
      </w:r>
      <w:r>
        <w:rPr>
          <w:b/>
          <w:spacing w:val="-14"/>
          <w:sz w:val="24"/>
        </w:rPr>
        <w:t xml:space="preserve"> </w:t>
      </w:r>
      <w:r>
        <w:rPr>
          <w:b/>
          <w:sz w:val="19"/>
        </w:rPr>
        <w:t>OF</w:t>
      </w:r>
      <w:r>
        <w:rPr>
          <w:b/>
          <w:spacing w:val="-4"/>
          <w:sz w:val="19"/>
        </w:rPr>
        <w:t xml:space="preserve"> </w:t>
      </w:r>
      <w:r>
        <w:rPr>
          <w:b/>
          <w:sz w:val="19"/>
        </w:rPr>
        <w:t>THE</w:t>
      </w:r>
      <w:r>
        <w:rPr>
          <w:b/>
          <w:spacing w:val="-5"/>
          <w:sz w:val="19"/>
        </w:rPr>
        <w:t xml:space="preserve"> </w:t>
      </w:r>
      <w:r>
        <w:rPr>
          <w:b/>
          <w:sz w:val="24"/>
        </w:rPr>
        <w:t>A</w:t>
      </w:r>
      <w:r>
        <w:rPr>
          <w:b/>
          <w:sz w:val="19"/>
        </w:rPr>
        <w:t>NTI</w:t>
      </w:r>
      <w:r>
        <w:rPr>
          <w:b/>
          <w:sz w:val="24"/>
        </w:rPr>
        <w:t>‐D</w:t>
      </w:r>
      <w:r>
        <w:rPr>
          <w:b/>
          <w:sz w:val="19"/>
        </w:rPr>
        <w:t>UMPING</w:t>
      </w:r>
      <w:r>
        <w:rPr>
          <w:b/>
          <w:spacing w:val="-4"/>
          <w:sz w:val="19"/>
        </w:rPr>
        <w:t xml:space="preserve"> </w:t>
      </w:r>
      <w:r>
        <w:rPr>
          <w:b/>
          <w:sz w:val="24"/>
        </w:rPr>
        <w:t>A</w:t>
      </w:r>
      <w:r>
        <w:rPr>
          <w:b/>
          <w:sz w:val="19"/>
        </w:rPr>
        <w:t>GREEMENT</w:t>
      </w:r>
    </w:p>
    <w:p w14:paraId="51DE7601" w14:textId="77777777" w:rsidR="0010369C" w:rsidRDefault="008E43AE">
      <w:pPr>
        <w:pStyle w:val="Heading4"/>
        <w:spacing w:before="0" w:line="293" w:lineRule="exact"/>
        <w:ind w:left="1554" w:firstLine="0"/>
        <w:jc w:val="left"/>
      </w:pPr>
      <w:r>
        <w:rPr>
          <w:spacing w:val="-2"/>
        </w:rPr>
        <w:t>....................................................................................................................376</w:t>
      </w:r>
    </w:p>
    <w:p w14:paraId="51DE7602" w14:textId="77777777" w:rsidR="0010369C" w:rsidRDefault="008E43AE">
      <w:pPr>
        <w:pStyle w:val="Heading4"/>
        <w:numPr>
          <w:ilvl w:val="2"/>
          <w:numId w:val="80"/>
        </w:numPr>
        <w:tabs>
          <w:tab w:val="left" w:pos="1939"/>
          <w:tab w:val="left" w:pos="1940"/>
          <w:tab w:val="left" w:leader="dot" w:pos="8933"/>
        </w:tabs>
        <w:spacing w:before="120"/>
        <w:ind w:left="1940"/>
      </w:pPr>
      <w:r>
        <w:t>Legal</w:t>
      </w:r>
      <w:r>
        <w:rPr>
          <w:spacing w:val="-1"/>
        </w:rPr>
        <w:t xml:space="preserve"> </w:t>
      </w:r>
      <w:r>
        <w:rPr>
          <w:spacing w:val="-2"/>
        </w:rPr>
        <w:t>framework</w:t>
      </w:r>
      <w:r>
        <w:rPr>
          <w:rFonts w:ascii="Times New Roman"/>
          <w:b w:val="0"/>
        </w:rPr>
        <w:tab/>
      </w:r>
      <w:r>
        <w:rPr>
          <w:spacing w:val="-5"/>
        </w:rPr>
        <w:t>376</w:t>
      </w:r>
    </w:p>
    <w:p w14:paraId="51DE7603" w14:textId="77777777" w:rsidR="0010369C" w:rsidRDefault="008E43AE">
      <w:pPr>
        <w:pStyle w:val="Heading4"/>
        <w:numPr>
          <w:ilvl w:val="2"/>
          <w:numId w:val="80"/>
        </w:numPr>
        <w:tabs>
          <w:tab w:val="left" w:pos="1939"/>
          <w:tab w:val="left" w:pos="1940"/>
          <w:tab w:val="left" w:leader="dot" w:pos="8933"/>
        </w:tabs>
        <w:spacing w:before="120"/>
        <w:ind w:left="1939" w:right="194"/>
      </w:pPr>
      <w:r>
        <w:t>MOFCOM's Public Notice of Initiation failed to contain a summary of the factors</w:t>
      </w:r>
      <w:r>
        <w:rPr>
          <w:spacing w:val="-3"/>
        </w:rPr>
        <w:t xml:space="preserve"> </w:t>
      </w:r>
      <w:r>
        <w:t>on</w:t>
      </w:r>
      <w:r>
        <w:rPr>
          <w:spacing w:val="-3"/>
        </w:rPr>
        <w:t xml:space="preserve"> </w:t>
      </w:r>
      <w:r>
        <w:t>which</w:t>
      </w:r>
      <w:r>
        <w:rPr>
          <w:spacing w:val="-3"/>
        </w:rPr>
        <w:t xml:space="preserve"> </w:t>
      </w:r>
      <w:r>
        <w:t>the</w:t>
      </w:r>
      <w:r>
        <w:rPr>
          <w:spacing w:val="-2"/>
        </w:rPr>
        <w:t xml:space="preserve"> </w:t>
      </w:r>
      <w:r>
        <w:t>allegation</w:t>
      </w:r>
      <w:r>
        <w:rPr>
          <w:spacing w:val="-4"/>
        </w:rPr>
        <w:t xml:space="preserve"> </w:t>
      </w:r>
      <w:r>
        <w:t>of</w:t>
      </w:r>
      <w:r>
        <w:rPr>
          <w:spacing w:val="-3"/>
        </w:rPr>
        <w:t xml:space="preserve"> </w:t>
      </w:r>
      <w:r>
        <w:t>injury</w:t>
      </w:r>
      <w:r>
        <w:rPr>
          <w:spacing w:val="-3"/>
        </w:rPr>
        <w:t xml:space="preserve"> </w:t>
      </w:r>
      <w:r>
        <w:t>wa</w:t>
      </w:r>
      <w:r>
        <w:t>s</w:t>
      </w:r>
      <w:r>
        <w:rPr>
          <w:spacing w:val="-2"/>
        </w:rPr>
        <w:t xml:space="preserve"> based</w:t>
      </w:r>
      <w:r>
        <w:rPr>
          <w:rFonts w:ascii="Times New Roman"/>
          <w:b w:val="0"/>
        </w:rPr>
        <w:tab/>
      </w:r>
      <w:r>
        <w:rPr>
          <w:spacing w:val="-5"/>
        </w:rPr>
        <w:t>376</w:t>
      </w:r>
    </w:p>
    <w:p w14:paraId="51DE7604" w14:textId="77777777" w:rsidR="0010369C" w:rsidRDefault="008E43AE">
      <w:pPr>
        <w:pStyle w:val="Heading4"/>
        <w:numPr>
          <w:ilvl w:val="2"/>
          <w:numId w:val="80"/>
        </w:numPr>
        <w:tabs>
          <w:tab w:val="left" w:pos="1939"/>
          <w:tab w:val="left" w:pos="1940"/>
          <w:tab w:val="left" w:leader="dot" w:pos="8933"/>
        </w:tabs>
        <w:spacing w:before="120"/>
        <w:ind w:left="1940"/>
      </w:pPr>
      <w:r>
        <w:rPr>
          <w:spacing w:val="-2"/>
        </w:rPr>
        <w:t>Conclusion</w:t>
      </w:r>
      <w:r>
        <w:rPr>
          <w:rFonts w:ascii="Times New Roman"/>
          <w:b w:val="0"/>
        </w:rPr>
        <w:tab/>
      </w:r>
      <w:r>
        <w:rPr>
          <w:spacing w:val="-5"/>
        </w:rPr>
        <w:t>377</w:t>
      </w:r>
    </w:p>
    <w:p w14:paraId="51DE7605" w14:textId="77777777" w:rsidR="0010369C" w:rsidRDefault="008E43AE">
      <w:pPr>
        <w:pStyle w:val="ListParagraph"/>
        <w:numPr>
          <w:ilvl w:val="1"/>
          <w:numId w:val="80"/>
        </w:numPr>
        <w:tabs>
          <w:tab w:val="left" w:pos="1513"/>
          <w:tab w:val="left" w:pos="1514"/>
          <w:tab w:val="left" w:leader="dot" w:pos="8933"/>
        </w:tabs>
        <w:ind w:left="1513" w:right="194"/>
        <w:rPr>
          <w:b/>
          <w:sz w:val="24"/>
        </w:rPr>
      </w:pPr>
      <w:r>
        <w:rPr>
          <w:b/>
          <w:sz w:val="24"/>
        </w:rPr>
        <w:t>C</w:t>
      </w:r>
      <w:r>
        <w:rPr>
          <w:b/>
          <w:sz w:val="19"/>
        </w:rPr>
        <w:t>HINA</w:t>
      </w:r>
      <w:r>
        <w:rPr>
          <w:b/>
          <w:spacing w:val="24"/>
          <w:sz w:val="19"/>
        </w:rPr>
        <w:t xml:space="preserve"> </w:t>
      </w:r>
      <w:r>
        <w:rPr>
          <w:b/>
          <w:sz w:val="19"/>
        </w:rPr>
        <w:t>VIOLATED</w:t>
      </w:r>
      <w:r>
        <w:rPr>
          <w:b/>
          <w:spacing w:val="24"/>
          <w:sz w:val="19"/>
        </w:rPr>
        <w:t xml:space="preserve"> </w:t>
      </w:r>
      <w:r>
        <w:rPr>
          <w:b/>
          <w:sz w:val="24"/>
        </w:rPr>
        <w:t>A</w:t>
      </w:r>
      <w:r>
        <w:rPr>
          <w:b/>
          <w:sz w:val="19"/>
        </w:rPr>
        <w:t>RTICLES</w:t>
      </w:r>
      <w:r>
        <w:rPr>
          <w:b/>
          <w:spacing w:val="24"/>
          <w:sz w:val="19"/>
        </w:rPr>
        <w:t xml:space="preserve"> </w:t>
      </w:r>
      <w:r>
        <w:rPr>
          <w:b/>
          <w:sz w:val="24"/>
        </w:rPr>
        <w:t xml:space="preserve">12.2 </w:t>
      </w:r>
      <w:r>
        <w:rPr>
          <w:b/>
          <w:sz w:val="19"/>
        </w:rPr>
        <w:t>AND</w:t>
      </w:r>
      <w:r>
        <w:rPr>
          <w:b/>
          <w:spacing w:val="24"/>
          <w:sz w:val="19"/>
        </w:rPr>
        <w:t xml:space="preserve"> </w:t>
      </w:r>
      <w:r>
        <w:rPr>
          <w:b/>
          <w:sz w:val="24"/>
        </w:rPr>
        <w:t xml:space="preserve">12.2.2 </w:t>
      </w:r>
      <w:r>
        <w:rPr>
          <w:b/>
          <w:sz w:val="19"/>
        </w:rPr>
        <w:t>BECAUSE</w:t>
      </w:r>
      <w:r>
        <w:rPr>
          <w:b/>
          <w:spacing w:val="23"/>
          <w:sz w:val="19"/>
        </w:rPr>
        <w:t xml:space="preserve"> </w:t>
      </w:r>
      <w:r>
        <w:rPr>
          <w:b/>
          <w:sz w:val="24"/>
        </w:rPr>
        <w:t>MOFCOM'</w:t>
      </w:r>
      <w:r>
        <w:rPr>
          <w:b/>
          <w:sz w:val="19"/>
        </w:rPr>
        <w:t>S</w:t>
      </w:r>
      <w:r>
        <w:rPr>
          <w:b/>
          <w:spacing w:val="22"/>
          <w:sz w:val="19"/>
        </w:rPr>
        <w:t xml:space="preserve"> </w:t>
      </w:r>
      <w:r>
        <w:rPr>
          <w:b/>
          <w:sz w:val="19"/>
        </w:rPr>
        <w:t>PUBLIC</w:t>
      </w:r>
      <w:r>
        <w:rPr>
          <w:b/>
          <w:spacing w:val="24"/>
          <w:sz w:val="19"/>
        </w:rPr>
        <w:t xml:space="preserve"> </w:t>
      </w:r>
      <w:r>
        <w:rPr>
          <w:b/>
          <w:sz w:val="19"/>
        </w:rPr>
        <w:t>NOTICE</w:t>
      </w:r>
      <w:r>
        <w:rPr>
          <w:b/>
          <w:spacing w:val="23"/>
          <w:sz w:val="19"/>
        </w:rPr>
        <w:t xml:space="preserve"> </w:t>
      </w:r>
      <w:r>
        <w:rPr>
          <w:b/>
          <w:sz w:val="19"/>
        </w:rPr>
        <w:t>OF</w:t>
      </w:r>
      <w:r>
        <w:rPr>
          <w:b/>
          <w:spacing w:val="24"/>
          <w:sz w:val="19"/>
        </w:rPr>
        <w:t xml:space="preserve"> </w:t>
      </w:r>
      <w:r>
        <w:rPr>
          <w:b/>
          <w:sz w:val="19"/>
        </w:rPr>
        <w:t>THE FINAL</w:t>
      </w:r>
      <w:r>
        <w:rPr>
          <w:b/>
          <w:spacing w:val="-8"/>
          <w:sz w:val="19"/>
        </w:rPr>
        <w:t xml:space="preserve"> </w:t>
      </w:r>
      <w:r>
        <w:rPr>
          <w:b/>
          <w:sz w:val="19"/>
        </w:rPr>
        <w:t>DETERMINATION</w:t>
      </w:r>
      <w:r>
        <w:rPr>
          <w:b/>
          <w:spacing w:val="-6"/>
          <w:sz w:val="19"/>
        </w:rPr>
        <w:t xml:space="preserve"> </w:t>
      </w:r>
      <w:r>
        <w:rPr>
          <w:b/>
          <w:sz w:val="19"/>
        </w:rPr>
        <w:t>FAILED</w:t>
      </w:r>
      <w:r>
        <w:rPr>
          <w:b/>
          <w:spacing w:val="-6"/>
          <w:sz w:val="19"/>
        </w:rPr>
        <w:t xml:space="preserve"> </w:t>
      </w:r>
      <w:r>
        <w:rPr>
          <w:b/>
          <w:sz w:val="19"/>
        </w:rPr>
        <w:t>TO</w:t>
      </w:r>
      <w:r>
        <w:rPr>
          <w:b/>
          <w:spacing w:val="-7"/>
          <w:sz w:val="19"/>
        </w:rPr>
        <w:t xml:space="preserve"> </w:t>
      </w:r>
      <w:r>
        <w:rPr>
          <w:b/>
          <w:sz w:val="19"/>
        </w:rPr>
        <w:t>CONTAIN</w:t>
      </w:r>
      <w:r>
        <w:rPr>
          <w:b/>
          <w:spacing w:val="-7"/>
          <w:sz w:val="19"/>
        </w:rPr>
        <w:t xml:space="preserve"> </w:t>
      </w:r>
      <w:r>
        <w:rPr>
          <w:b/>
          <w:sz w:val="19"/>
        </w:rPr>
        <w:t>ALL</w:t>
      </w:r>
      <w:r>
        <w:rPr>
          <w:b/>
          <w:spacing w:val="-7"/>
          <w:sz w:val="19"/>
        </w:rPr>
        <w:t xml:space="preserve"> </w:t>
      </w:r>
      <w:r>
        <w:rPr>
          <w:b/>
          <w:sz w:val="19"/>
        </w:rPr>
        <w:t>RELEVANT</w:t>
      </w:r>
      <w:r>
        <w:rPr>
          <w:b/>
          <w:spacing w:val="-8"/>
          <w:sz w:val="19"/>
        </w:rPr>
        <w:t xml:space="preserve"> </w:t>
      </w:r>
      <w:r>
        <w:rPr>
          <w:b/>
          <w:spacing w:val="-2"/>
          <w:sz w:val="19"/>
        </w:rPr>
        <w:t>INFORMATION</w:t>
      </w:r>
      <w:r>
        <w:rPr>
          <w:rFonts w:ascii="Times New Roman"/>
          <w:sz w:val="19"/>
        </w:rPr>
        <w:tab/>
      </w:r>
      <w:r>
        <w:rPr>
          <w:b/>
          <w:spacing w:val="-5"/>
          <w:sz w:val="24"/>
        </w:rPr>
        <w:t>377</w:t>
      </w:r>
    </w:p>
    <w:p w14:paraId="51DE7606" w14:textId="77777777" w:rsidR="0010369C" w:rsidRDefault="008E43AE">
      <w:pPr>
        <w:pStyle w:val="Heading4"/>
        <w:numPr>
          <w:ilvl w:val="2"/>
          <w:numId w:val="80"/>
        </w:numPr>
        <w:tabs>
          <w:tab w:val="left" w:pos="1939"/>
          <w:tab w:val="left" w:pos="1940"/>
          <w:tab w:val="left" w:leader="dot" w:pos="8933"/>
        </w:tabs>
        <w:spacing w:before="120"/>
        <w:ind w:left="1940"/>
        <w:jc w:val="both"/>
      </w:pPr>
      <w:r>
        <w:t>Legal</w:t>
      </w:r>
      <w:r>
        <w:rPr>
          <w:spacing w:val="-1"/>
        </w:rPr>
        <w:t xml:space="preserve"> </w:t>
      </w:r>
      <w:r>
        <w:rPr>
          <w:spacing w:val="-2"/>
        </w:rPr>
        <w:t>framework</w:t>
      </w:r>
      <w:r>
        <w:rPr>
          <w:rFonts w:ascii="Times New Roman"/>
          <w:b w:val="0"/>
        </w:rPr>
        <w:tab/>
      </w:r>
      <w:r>
        <w:rPr>
          <w:spacing w:val="-5"/>
        </w:rPr>
        <w:t>377</w:t>
      </w:r>
    </w:p>
    <w:p w14:paraId="51DE7607" w14:textId="77777777" w:rsidR="0010369C" w:rsidRDefault="008E43AE">
      <w:pPr>
        <w:pStyle w:val="Heading4"/>
        <w:numPr>
          <w:ilvl w:val="2"/>
          <w:numId w:val="80"/>
        </w:numPr>
        <w:tabs>
          <w:tab w:val="left" w:pos="1939"/>
          <w:tab w:val="left" w:pos="1940"/>
          <w:tab w:val="left" w:leader="dot" w:pos="8933"/>
        </w:tabs>
        <w:spacing w:before="120"/>
        <w:ind w:left="1940" w:right="192"/>
        <w:jc w:val="both"/>
      </w:pPr>
      <w:r>
        <w:t>MOFCOM's public notice of the Final Determination failed to contain all relevant</w:t>
      </w:r>
      <w:r>
        <w:rPr>
          <w:spacing w:val="-7"/>
        </w:rPr>
        <w:t xml:space="preserve"> </w:t>
      </w:r>
      <w:r>
        <w:rPr>
          <w:spacing w:val="-2"/>
        </w:rPr>
        <w:t>information</w:t>
      </w:r>
      <w:r>
        <w:rPr>
          <w:rFonts w:ascii="Times New Roman"/>
          <w:b w:val="0"/>
        </w:rPr>
        <w:tab/>
      </w:r>
      <w:r>
        <w:rPr>
          <w:spacing w:val="-5"/>
        </w:rPr>
        <w:t>380</w:t>
      </w:r>
    </w:p>
    <w:p w14:paraId="51DE7608" w14:textId="77777777" w:rsidR="0010369C" w:rsidRDefault="008E43AE">
      <w:pPr>
        <w:pStyle w:val="ListParagraph"/>
        <w:numPr>
          <w:ilvl w:val="3"/>
          <w:numId w:val="80"/>
        </w:numPr>
        <w:tabs>
          <w:tab w:val="left" w:pos="2365"/>
          <w:tab w:val="left" w:pos="2366"/>
          <w:tab w:val="left" w:leader="dot" w:pos="8933"/>
        </w:tabs>
        <w:spacing w:before="119"/>
        <w:ind w:right="193" w:hanging="852"/>
        <w:jc w:val="both"/>
        <w:rPr>
          <w:sz w:val="24"/>
        </w:rPr>
      </w:pPr>
      <w:r>
        <w:rPr>
          <w:sz w:val="24"/>
          <w:u w:val="single"/>
        </w:rPr>
        <w:t>Calculation of the output of domestic industry and the proportion of</w:t>
      </w:r>
      <w:r>
        <w:rPr>
          <w:sz w:val="24"/>
        </w:rPr>
        <w:t xml:space="preserve"> </w:t>
      </w:r>
      <w:r>
        <w:rPr>
          <w:sz w:val="24"/>
          <w:u w:val="single"/>
        </w:rPr>
        <w:t>that production accounted for by the Chinese producers surveyed for</w:t>
      </w:r>
      <w:r>
        <w:rPr>
          <w:sz w:val="24"/>
        </w:rPr>
        <w:t xml:space="preserve"> </w:t>
      </w:r>
      <w:r>
        <w:rPr>
          <w:sz w:val="24"/>
          <w:u w:val="single"/>
        </w:rPr>
        <w:t>the</w:t>
      </w:r>
      <w:r>
        <w:rPr>
          <w:spacing w:val="-4"/>
          <w:sz w:val="24"/>
          <w:u w:val="single"/>
        </w:rPr>
        <w:t xml:space="preserve"> </w:t>
      </w:r>
      <w:r>
        <w:rPr>
          <w:sz w:val="24"/>
          <w:u w:val="single"/>
        </w:rPr>
        <w:t>purpose</w:t>
      </w:r>
      <w:r>
        <w:rPr>
          <w:spacing w:val="-4"/>
          <w:sz w:val="24"/>
          <w:u w:val="single"/>
        </w:rPr>
        <w:t xml:space="preserve"> </w:t>
      </w:r>
      <w:r>
        <w:rPr>
          <w:sz w:val="24"/>
          <w:u w:val="single"/>
        </w:rPr>
        <w:t>of</w:t>
      </w:r>
      <w:r>
        <w:rPr>
          <w:spacing w:val="-3"/>
          <w:sz w:val="24"/>
          <w:u w:val="single"/>
        </w:rPr>
        <w:t xml:space="preserve"> </w:t>
      </w:r>
      <w:r>
        <w:rPr>
          <w:sz w:val="24"/>
          <w:u w:val="single"/>
        </w:rPr>
        <w:t>definin</w:t>
      </w:r>
      <w:r>
        <w:rPr>
          <w:sz w:val="24"/>
          <w:u w:val="single"/>
        </w:rPr>
        <w:t>g</w:t>
      </w:r>
      <w:r>
        <w:rPr>
          <w:spacing w:val="-4"/>
          <w:sz w:val="24"/>
          <w:u w:val="single"/>
        </w:rPr>
        <w:t xml:space="preserve"> </w:t>
      </w:r>
      <w:r>
        <w:rPr>
          <w:sz w:val="24"/>
          <w:u w:val="single"/>
        </w:rPr>
        <w:t>"domestic</w:t>
      </w:r>
      <w:r>
        <w:rPr>
          <w:spacing w:val="-3"/>
          <w:sz w:val="24"/>
          <w:u w:val="single"/>
        </w:rPr>
        <w:t xml:space="preserve"> </w:t>
      </w:r>
      <w:r>
        <w:rPr>
          <w:spacing w:val="-2"/>
          <w:sz w:val="24"/>
          <w:u w:val="single"/>
        </w:rPr>
        <w:t>industry"</w:t>
      </w:r>
      <w:r>
        <w:rPr>
          <w:rFonts w:ascii="Times New Roman"/>
          <w:sz w:val="24"/>
        </w:rPr>
        <w:tab/>
      </w:r>
      <w:r>
        <w:rPr>
          <w:spacing w:val="-5"/>
          <w:sz w:val="24"/>
          <w:u w:val="single"/>
        </w:rPr>
        <w:t>380</w:t>
      </w:r>
    </w:p>
    <w:p w14:paraId="51DE7609" w14:textId="77777777" w:rsidR="0010369C" w:rsidRDefault="008E43AE">
      <w:pPr>
        <w:pStyle w:val="ListParagraph"/>
        <w:numPr>
          <w:ilvl w:val="3"/>
          <w:numId w:val="80"/>
        </w:numPr>
        <w:tabs>
          <w:tab w:val="left" w:pos="2365"/>
          <w:tab w:val="left" w:pos="2366"/>
          <w:tab w:val="left" w:leader="dot" w:pos="8933"/>
        </w:tabs>
        <w:spacing w:before="121"/>
        <w:ind w:right="193" w:hanging="852"/>
        <w:jc w:val="both"/>
        <w:rPr>
          <w:sz w:val="24"/>
        </w:rPr>
      </w:pPr>
      <w:r>
        <w:rPr>
          <w:sz w:val="24"/>
          <w:u w:val="single"/>
        </w:rPr>
        <w:t>MOFCOM's</w:t>
      </w:r>
      <w:r>
        <w:rPr>
          <w:spacing w:val="-10"/>
          <w:sz w:val="24"/>
          <w:u w:val="single"/>
        </w:rPr>
        <w:t xml:space="preserve"> </w:t>
      </w:r>
      <w:r>
        <w:rPr>
          <w:sz w:val="24"/>
          <w:u w:val="single"/>
        </w:rPr>
        <w:t>recourse</w:t>
      </w:r>
      <w:r>
        <w:rPr>
          <w:spacing w:val="-10"/>
          <w:sz w:val="24"/>
          <w:u w:val="single"/>
        </w:rPr>
        <w:t xml:space="preserve"> </w:t>
      </w:r>
      <w:r>
        <w:rPr>
          <w:sz w:val="24"/>
          <w:u w:val="single"/>
        </w:rPr>
        <w:t>to</w:t>
      </w:r>
      <w:r>
        <w:rPr>
          <w:spacing w:val="-11"/>
          <w:sz w:val="24"/>
          <w:u w:val="single"/>
        </w:rPr>
        <w:t xml:space="preserve"> </w:t>
      </w:r>
      <w:r>
        <w:rPr>
          <w:sz w:val="24"/>
          <w:u w:val="single"/>
        </w:rPr>
        <w:t>"facts</w:t>
      </w:r>
      <w:r>
        <w:rPr>
          <w:spacing w:val="-11"/>
          <w:sz w:val="24"/>
          <w:u w:val="single"/>
        </w:rPr>
        <w:t xml:space="preserve"> </w:t>
      </w:r>
      <w:r>
        <w:rPr>
          <w:sz w:val="24"/>
          <w:u w:val="single"/>
        </w:rPr>
        <w:t>available"</w:t>
      </w:r>
      <w:r>
        <w:rPr>
          <w:spacing w:val="-11"/>
          <w:sz w:val="24"/>
          <w:u w:val="single"/>
        </w:rPr>
        <w:t xml:space="preserve"> </w:t>
      </w:r>
      <w:r>
        <w:rPr>
          <w:sz w:val="24"/>
          <w:u w:val="single"/>
        </w:rPr>
        <w:t>to</w:t>
      </w:r>
      <w:r>
        <w:rPr>
          <w:spacing w:val="-10"/>
          <w:sz w:val="24"/>
          <w:u w:val="single"/>
        </w:rPr>
        <w:t xml:space="preserve"> </w:t>
      </w:r>
      <w:r>
        <w:rPr>
          <w:sz w:val="24"/>
          <w:u w:val="single"/>
        </w:rPr>
        <w:t>determine</w:t>
      </w:r>
      <w:r>
        <w:rPr>
          <w:spacing w:val="-10"/>
          <w:sz w:val="24"/>
          <w:u w:val="single"/>
        </w:rPr>
        <w:t xml:space="preserve"> </w:t>
      </w:r>
      <w:r>
        <w:rPr>
          <w:sz w:val="24"/>
          <w:u w:val="single"/>
        </w:rPr>
        <w:t>normal</w:t>
      </w:r>
      <w:r>
        <w:rPr>
          <w:spacing w:val="-10"/>
          <w:sz w:val="24"/>
          <w:u w:val="single"/>
        </w:rPr>
        <w:t xml:space="preserve"> </w:t>
      </w:r>
      <w:r>
        <w:rPr>
          <w:sz w:val="24"/>
          <w:u w:val="single"/>
        </w:rPr>
        <w:t>value</w:t>
      </w:r>
      <w:r>
        <w:rPr>
          <w:spacing w:val="-10"/>
          <w:sz w:val="24"/>
          <w:u w:val="single"/>
        </w:rPr>
        <w:t xml:space="preserve"> </w:t>
      </w:r>
      <w:r>
        <w:rPr>
          <w:sz w:val="24"/>
          <w:u w:val="single"/>
        </w:rPr>
        <w:t>and</w:t>
      </w:r>
      <w:r>
        <w:rPr>
          <w:sz w:val="24"/>
        </w:rPr>
        <w:t xml:space="preserve"> </w:t>
      </w:r>
      <w:r>
        <w:rPr>
          <w:sz w:val="24"/>
          <w:u w:val="single"/>
        </w:rPr>
        <w:t xml:space="preserve">selection of the facts available </w:t>
      </w:r>
      <w:r>
        <w:rPr>
          <w:rFonts w:ascii="Times New Roman"/>
          <w:sz w:val="24"/>
        </w:rPr>
        <w:tab/>
      </w:r>
      <w:r>
        <w:rPr>
          <w:spacing w:val="-5"/>
          <w:sz w:val="24"/>
          <w:u w:val="single"/>
        </w:rPr>
        <w:t>382</w:t>
      </w:r>
    </w:p>
    <w:p w14:paraId="51DE760A" w14:textId="77777777" w:rsidR="0010369C" w:rsidRDefault="0010369C">
      <w:pPr>
        <w:jc w:val="both"/>
        <w:rPr>
          <w:sz w:val="24"/>
        </w:rPr>
        <w:sectPr w:rsidR="0010369C">
          <w:pgSz w:w="11910" w:h="16840"/>
          <w:pgMar w:top="880" w:right="1220" w:bottom="980" w:left="1180" w:header="569" w:footer="788" w:gutter="0"/>
          <w:cols w:space="720"/>
        </w:sectPr>
      </w:pPr>
    </w:p>
    <w:p w14:paraId="51DE760B" w14:textId="77777777" w:rsidR="0010369C" w:rsidRDefault="008E43AE">
      <w:pPr>
        <w:pStyle w:val="BodyText"/>
        <w:spacing w:line="20" w:lineRule="exact"/>
        <w:ind w:left="104"/>
        <w:rPr>
          <w:sz w:val="2"/>
        </w:rPr>
      </w:pPr>
      <w:r>
        <w:rPr>
          <w:sz w:val="2"/>
        </w:rPr>
      </w:r>
      <w:r>
        <w:rPr>
          <w:sz w:val="2"/>
        </w:rPr>
        <w:pict w14:anchorId="51DE9CF8">
          <v:group id="docshapegroup7" o:spid="_x0000_s3243" style="width:464.6pt;height:1.05pt;mso-position-horizontal-relative:char;mso-position-vertical-relative:line" coordsize="9292,21">
            <v:line id="_x0000_s3244" style="position:absolute" from="0,10" to="9291,10" strokeweight=".35361mm"/>
            <w10:anchorlock/>
          </v:group>
        </w:pict>
      </w:r>
    </w:p>
    <w:p w14:paraId="51DE760C" w14:textId="77777777" w:rsidR="0010369C" w:rsidRDefault="008E43AE">
      <w:pPr>
        <w:spacing w:before="52"/>
        <w:ind w:left="2132" w:right="2065"/>
        <w:jc w:val="center"/>
        <w:rPr>
          <w:rFonts w:ascii="Arial"/>
          <w:sz w:val="19"/>
        </w:rPr>
      </w:pPr>
      <w:r>
        <w:pict w14:anchorId="51DE9CF9">
          <v:shape id="docshape8" o:spid="_x0000_s3242" style="position:absolute;left:0;text-align:left;margin-left:64.2pt;margin-top:15pt;width:464.6pt;height:.1pt;z-index:-251265536;mso-wrap-distance-left:0;mso-wrap-distance-right:0;mso-position-horizontal-relative:page" coordorigin="1284,300" coordsize="9292,0" path="m1284,300r9291,e" filled="f" strokeweight=".35361mm">
            <v:path arrowok="t"/>
            <w10:wrap type="topAndBottom" anchorx="page"/>
          </v:shape>
        </w:pict>
      </w:r>
      <w:r>
        <w:rPr>
          <w:rFonts w:ascii="Arial"/>
          <w:color w:val="131313"/>
          <w:sz w:val="19"/>
        </w:rPr>
        <w:t>Business</w:t>
      </w:r>
      <w:r>
        <w:rPr>
          <w:rFonts w:ascii="Arial"/>
          <w:color w:val="131313"/>
          <w:spacing w:val="45"/>
          <w:sz w:val="19"/>
        </w:rPr>
        <w:t xml:space="preserve"> </w:t>
      </w:r>
      <w:r>
        <w:rPr>
          <w:rFonts w:ascii="Arial"/>
          <w:color w:val="131313"/>
          <w:sz w:val="19"/>
        </w:rPr>
        <w:t>Confidential</w:t>
      </w:r>
      <w:r>
        <w:rPr>
          <w:rFonts w:ascii="Arial"/>
          <w:color w:val="131313"/>
          <w:spacing w:val="38"/>
          <w:sz w:val="19"/>
        </w:rPr>
        <w:t xml:space="preserve"> </w:t>
      </w:r>
      <w:r>
        <w:rPr>
          <w:rFonts w:ascii="Arial"/>
          <w:color w:val="131313"/>
          <w:sz w:val="19"/>
        </w:rPr>
        <w:t>Information</w:t>
      </w:r>
      <w:r>
        <w:rPr>
          <w:rFonts w:ascii="Arial"/>
          <w:color w:val="131313"/>
          <w:spacing w:val="39"/>
          <w:sz w:val="19"/>
        </w:rPr>
        <w:t xml:space="preserve"> </w:t>
      </w:r>
      <w:r>
        <w:rPr>
          <w:rFonts w:ascii="Arial"/>
          <w:color w:val="131313"/>
          <w:sz w:val="19"/>
        </w:rPr>
        <w:t>-</w:t>
      </w:r>
      <w:r>
        <w:rPr>
          <w:rFonts w:ascii="Arial"/>
          <w:color w:val="131313"/>
          <w:spacing w:val="40"/>
          <w:sz w:val="19"/>
        </w:rPr>
        <w:t xml:space="preserve"> </w:t>
      </w:r>
      <w:r>
        <w:rPr>
          <w:rFonts w:ascii="Arial"/>
          <w:color w:val="131313"/>
          <w:spacing w:val="-2"/>
          <w:sz w:val="19"/>
        </w:rPr>
        <w:t>REDACTED</w:t>
      </w:r>
    </w:p>
    <w:p w14:paraId="51DE760D" w14:textId="77777777" w:rsidR="0010369C" w:rsidRDefault="008E43AE">
      <w:pPr>
        <w:tabs>
          <w:tab w:val="left" w:pos="6277"/>
        </w:tabs>
        <w:spacing w:before="3"/>
        <w:ind w:left="63"/>
        <w:jc w:val="center"/>
        <w:rPr>
          <w:rFonts w:ascii="Arial"/>
          <w:sz w:val="18"/>
        </w:rPr>
      </w:pPr>
      <w:r>
        <w:rPr>
          <w:rFonts w:ascii="Times New Roman"/>
          <w:i/>
          <w:color w:val="282828"/>
          <w:w w:val="105"/>
          <w:sz w:val="19"/>
        </w:rPr>
        <w:t>China</w:t>
      </w:r>
      <w:r>
        <w:rPr>
          <w:rFonts w:ascii="Times New Roman"/>
          <w:i/>
          <w:color w:val="282828"/>
          <w:spacing w:val="-9"/>
          <w:w w:val="105"/>
          <w:sz w:val="19"/>
        </w:rPr>
        <w:t xml:space="preserve"> </w:t>
      </w:r>
      <w:r>
        <w:rPr>
          <w:rFonts w:ascii="Times New Roman"/>
          <w:i/>
          <w:color w:val="131313"/>
          <w:w w:val="105"/>
          <w:sz w:val="19"/>
        </w:rPr>
        <w:t>-Anti-Dumping</w:t>
      </w:r>
      <w:r>
        <w:rPr>
          <w:rFonts w:ascii="Times New Roman"/>
          <w:i/>
          <w:color w:val="131313"/>
          <w:spacing w:val="13"/>
          <w:w w:val="105"/>
          <w:sz w:val="19"/>
        </w:rPr>
        <w:t xml:space="preserve"> </w:t>
      </w:r>
      <w:r>
        <w:rPr>
          <w:rFonts w:ascii="Times New Roman"/>
          <w:i/>
          <w:color w:val="282828"/>
          <w:w w:val="105"/>
          <w:sz w:val="19"/>
        </w:rPr>
        <w:t>and</w:t>
      </w:r>
      <w:r>
        <w:rPr>
          <w:rFonts w:ascii="Times New Roman"/>
          <w:i/>
          <w:color w:val="282828"/>
          <w:spacing w:val="-11"/>
          <w:w w:val="105"/>
          <w:sz w:val="19"/>
        </w:rPr>
        <w:t xml:space="preserve"> </w:t>
      </w:r>
      <w:r>
        <w:rPr>
          <w:rFonts w:ascii="Times New Roman"/>
          <w:i/>
          <w:color w:val="282828"/>
          <w:w w:val="105"/>
          <w:sz w:val="19"/>
        </w:rPr>
        <w:t>Countervailing</w:t>
      </w:r>
      <w:r>
        <w:rPr>
          <w:rFonts w:ascii="Times New Roman"/>
          <w:i/>
          <w:color w:val="282828"/>
          <w:spacing w:val="4"/>
          <w:w w:val="105"/>
          <w:sz w:val="19"/>
        </w:rPr>
        <w:t xml:space="preserve"> </w:t>
      </w:r>
      <w:r>
        <w:rPr>
          <w:rFonts w:ascii="Times New Roman"/>
          <w:i/>
          <w:color w:val="131313"/>
          <w:w w:val="105"/>
          <w:sz w:val="19"/>
        </w:rPr>
        <w:t>Duty</w:t>
      </w:r>
      <w:r>
        <w:rPr>
          <w:rFonts w:ascii="Times New Roman"/>
          <w:i/>
          <w:color w:val="131313"/>
          <w:spacing w:val="-14"/>
          <w:w w:val="105"/>
          <w:sz w:val="19"/>
        </w:rPr>
        <w:t xml:space="preserve"> </w:t>
      </w:r>
      <w:r>
        <w:rPr>
          <w:rFonts w:ascii="Times New Roman"/>
          <w:i/>
          <w:color w:val="131313"/>
          <w:spacing w:val="-2"/>
          <w:w w:val="105"/>
          <w:sz w:val="19"/>
        </w:rPr>
        <w:t>Measures</w:t>
      </w:r>
      <w:r>
        <w:rPr>
          <w:rFonts w:ascii="Times New Roman"/>
          <w:i/>
          <w:color w:val="131313"/>
          <w:sz w:val="19"/>
        </w:rPr>
        <w:tab/>
      </w:r>
      <w:r>
        <w:rPr>
          <w:rFonts w:ascii="Arial"/>
          <w:color w:val="131313"/>
          <w:spacing w:val="-2"/>
          <w:w w:val="105"/>
          <w:sz w:val="18"/>
        </w:rPr>
        <w:t>Australia's</w:t>
      </w:r>
      <w:r>
        <w:rPr>
          <w:rFonts w:ascii="Arial"/>
          <w:color w:val="131313"/>
          <w:spacing w:val="5"/>
          <w:w w:val="105"/>
          <w:sz w:val="18"/>
        </w:rPr>
        <w:t xml:space="preserve"> </w:t>
      </w:r>
      <w:r>
        <w:rPr>
          <w:rFonts w:ascii="Arial"/>
          <w:color w:val="131313"/>
          <w:spacing w:val="-2"/>
          <w:w w:val="105"/>
          <w:sz w:val="18"/>
        </w:rPr>
        <w:t>First</w:t>
      </w:r>
      <w:r>
        <w:rPr>
          <w:rFonts w:ascii="Arial"/>
          <w:color w:val="131313"/>
          <w:spacing w:val="1"/>
          <w:w w:val="105"/>
          <w:sz w:val="18"/>
        </w:rPr>
        <w:t xml:space="preserve"> </w:t>
      </w:r>
      <w:r>
        <w:rPr>
          <w:rFonts w:ascii="Arial"/>
          <w:color w:val="131313"/>
          <w:spacing w:val="-2"/>
          <w:w w:val="105"/>
          <w:sz w:val="18"/>
        </w:rPr>
        <w:t>Written</w:t>
      </w:r>
      <w:r>
        <w:rPr>
          <w:rFonts w:ascii="Arial"/>
          <w:color w:val="131313"/>
          <w:spacing w:val="-7"/>
          <w:w w:val="105"/>
          <w:sz w:val="18"/>
        </w:rPr>
        <w:t xml:space="preserve"> </w:t>
      </w:r>
      <w:r>
        <w:rPr>
          <w:rFonts w:ascii="Arial"/>
          <w:color w:val="282828"/>
          <w:spacing w:val="-2"/>
          <w:w w:val="105"/>
          <w:sz w:val="18"/>
        </w:rPr>
        <w:t>Submission</w:t>
      </w:r>
    </w:p>
    <w:p w14:paraId="51DE760E" w14:textId="77777777" w:rsidR="0010369C" w:rsidRDefault="008E43AE">
      <w:pPr>
        <w:tabs>
          <w:tab w:val="left" w:pos="8100"/>
        </w:tabs>
        <w:spacing w:before="42" w:line="218" w:lineRule="exact"/>
        <w:ind w:left="83"/>
        <w:jc w:val="center"/>
        <w:rPr>
          <w:rFonts w:ascii="Arial"/>
          <w:sz w:val="18"/>
        </w:rPr>
      </w:pPr>
      <w:r>
        <w:rPr>
          <w:rFonts w:ascii="Times New Roman"/>
          <w:i/>
          <w:color w:val="282828"/>
          <w:sz w:val="19"/>
        </w:rPr>
        <w:t>on</w:t>
      </w:r>
      <w:r>
        <w:rPr>
          <w:rFonts w:ascii="Times New Roman"/>
          <w:i/>
          <w:color w:val="282828"/>
          <w:spacing w:val="31"/>
          <w:sz w:val="19"/>
        </w:rPr>
        <w:t xml:space="preserve"> </w:t>
      </w:r>
      <w:r>
        <w:rPr>
          <w:rFonts w:ascii="Times New Roman"/>
          <w:i/>
          <w:color w:val="131313"/>
          <w:sz w:val="19"/>
        </w:rPr>
        <w:t>Wine</w:t>
      </w:r>
      <w:r>
        <w:rPr>
          <w:rFonts w:ascii="Times New Roman"/>
          <w:i/>
          <w:color w:val="131313"/>
          <w:spacing w:val="18"/>
          <w:sz w:val="19"/>
        </w:rPr>
        <w:t xml:space="preserve"> </w:t>
      </w:r>
      <w:r>
        <w:rPr>
          <w:rFonts w:ascii="Times New Roman"/>
          <w:i/>
          <w:color w:val="282828"/>
          <w:sz w:val="19"/>
        </w:rPr>
        <w:t>from</w:t>
      </w:r>
      <w:r>
        <w:rPr>
          <w:rFonts w:ascii="Times New Roman"/>
          <w:i/>
          <w:color w:val="282828"/>
          <w:spacing w:val="14"/>
          <w:sz w:val="19"/>
        </w:rPr>
        <w:t xml:space="preserve"> </w:t>
      </w:r>
      <w:r>
        <w:rPr>
          <w:rFonts w:ascii="Times New Roman"/>
          <w:i/>
          <w:color w:val="131313"/>
          <w:sz w:val="19"/>
        </w:rPr>
        <w:t>Australia</w:t>
      </w:r>
      <w:r>
        <w:rPr>
          <w:rFonts w:ascii="Times New Roman"/>
          <w:i/>
          <w:color w:val="131313"/>
          <w:spacing w:val="15"/>
          <w:sz w:val="19"/>
        </w:rPr>
        <w:t xml:space="preserve"> </w:t>
      </w:r>
      <w:r>
        <w:rPr>
          <w:rFonts w:ascii="Arial"/>
          <w:color w:val="282828"/>
          <w:spacing w:val="-2"/>
          <w:sz w:val="18"/>
        </w:rPr>
        <w:t>(D5602)</w:t>
      </w:r>
      <w:r>
        <w:rPr>
          <w:rFonts w:ascii="Arial"/>
          <w:color w:val="282828"/>
          <w:sz w:val="18"/>
        </w:rPr>
        <w:tab/>
      </w:r>
      <w:r>
        <w:rPr>
          <w:rFonts w:ascii="Arial"/>
          <w:color w:val="131313"/>
          <w:sz w:val="18"/>
        </w:rPr>
        <w:t>29</w:t>
      </w:r>
      <w:r>
        <w:rPr>
          <w:rFonts w:ascii="Arial"/>
          <w:color w:val="131313"/>
          <w:spacing w:val="4"/>
          <w:sz w:val="18"/>
        </w:rPr>
        <w:t xml:space="preserve"> </w:t>
      </w:r>
      <w:r>
        <w:rPr>
          <w:rFonts w:ascii="Arial"/>
          <w:color w:val="131313"/>
          <w:sz w:val="18"/>
        </w:rPr>
        <w:t>April</w:t>
      </w:r>
      <w:r>
        <w:rPr>
          <w:rFonts w:ascii="Arial"/>
          <w:color w:val="131313"/>
          <w:spacing w:val="11"/>
          <w:sz w:val="18"/>
        </w:rPr>
        <w:t xml:space="preserve"> </w:t>
      </w:r>
      <w:r>
        <w:rPr>
          <w:rFonts w:ascii="Arial"/>
          <w:color w:val="131313"/>
          <w:spacing w:val="-4"/>
          <w:sz w:val="18"/>
        </w:rPr>
        <w:t>2022</w:t>
      </w:r>
    </w:p>
    <w:p w14:paraId="51DE760F" w14:textId="77777777" w:rsidR="0010369C" w:rsidRDefault="008E43AE">
      <w:pPr>
        <w:tabs>
          <w:tab w:val="left" w:pos="2372"/>
          <w:tab w:val="left" w:leader="dot" w:pos="8965"/>
        </w:tabs>
        <w:spacing w:line="259" w:lineRule="auto"/>
        <w:ind w:left="2378" w:right="157" w:hanging="872"/>
        <w:rPr>
          <w:rFonts w:ascii="Arial"/>
          <w:sz w:val="21"/>
        </w:rPr>
      </w:pPr>
      <w:r>
        <w:rPr>
          <w:rFonts w:ascii="Times New Roman"/>
          <w:color w:val="131313"/>
          <w:spacing w:val="-6"/>
          <w:w w:val="105"/>
          <w:sz w:val="30"/>
        </w:rPr>
        <w:t>hl</w:t>
      </w:r>
      <w:r>
        <w:rPr>
          <w:rFonts w:ascii="Times New Roman"/>
          <w:color w:val="131313"/>
          <w:sz w:val="30"/>
        </w:rPr>
        <w:tab/>
      </w:r>
      <w:r>
        <w:rPr>
          <w:rFonts w:ascii="Arial"/>
          <w:color w:val="131313"/>
          <w:w w:val="105"/>
          <w:sz w:val="21"/>
          <w:u w:val="thick" w:color="131313"/>
        </w:rPr>
        <w:t>Adjustments</w:t>
      </w:r>
      <w:r>
        <w:rPr>
          <w:rFonts w:ascii="Arial"/>
          <w:color w:val="131313"/>
          <w:spacing w:val="37"/>
          <w:w w:val="105"/>
          <w:sz w:val="21"/>
        </w:rPr>
        <w:t xml:space="preserve"> </w:t>
      </w:r>
      <w:r>
        <w:rPr>
          <w:rFonts w:ascii="Arial"/>
          <w:color w:val="131313"/>
          <w:w w:val="105"/>
          <w:sz w:val="21"/>
          <w:u w:val="thick" w:color="131313"/>
        </w:rPr>
        <w:t>to</w:t>
      </w:r>
      <w:r>
        <w:rPr>
          <w:rFonts w:ascii="Arial"/>
          <w:color w:val="131313"/>
          <w:spacing w:val="40"/>
          <w:w w:val="105"/>
          <w:sz w:val="21"/>
          <w:u w:val="thick" w:color="131313"/>
        </w:rPr>
        <w:t xml:space="preserve"> </w:t>
      </w:r>
      <w:r>
        <w:rPr>
          <w:rFonts w:ascii="Arial"/>
          <w:color w:val="131313"/>
          <w:w w:val="105"/>
          <w:sz w:val="21"/>
          <w:u w:val="thick" w:color="131313"/>
        </w:rPr>
        <w:t>ensure a</w:t>
      </w:r>
      <w:r>
        <w:rPr>
          <w:rFonts w:ascii="Arial"/>
          <w:color w:val="131313"/>
          <w:spacing w:val="29"/>
          <w:w w:val="105"/>
          <w:sz w:val="21"/>
          <w:u w:val="thick" w:color="131313"/>
        </w:rPr>
        <w:t xml:space="preserve"> </w:t>
      </w:r>
      <w:r>
        <w:rPr>
          <w:rFonts w:ascii="Arial"/>
          <w:color w:val="131313"/>
          <w:w w:val="105"/>
          <w:sz w:val="21"/>
          <w:u w:val="thick" w:color="131313"/>
        </w:rPr>
        <w:t>fair</w:t>
      </w:r>
      <w:r>
        <w:rPr>
          <w:rFonts w:ascii="Arial"/>
          <w:color w:val="131313"/>
          <w:spacing w:val="32"/>
          <w:w w:val="105"/>
          <w:sz w:val="21"/>
          <w:u w:val="thick" w:color="131313"/>
        </w:rPr>
        <w:t xml:space="preserve"> </w:t>
      </w:r>
      <w:r>
        <w:rPr>
          <w:rFonts w:ascii="Arial"/>
          <w:color w:val="131313"/>
          <w:w w:val="105"/>
          <w:sz w:val="21"/>
          <w:u w:val="thick" w:color="131313"/>
        </w:rPr>
        <w:t>comparison</w:t>
      </w:r>
      <w:r>
        <w:rPr>
          <w:rFonts w:ascii="Arial"/>
          <w:color w:val="131313"/>
          <w:spacing w:val="39"/>
          <w:w w:val="105"/>
          <w:sz w:val="21"/>
          <w:u w:val="thick" w:color="131313"/>
        </w:rPr>
        <w:t xml:space="preserve"> </w:t>
      </w:r>
      <w:r>
        <w:rPr>
          <w:rFonts w:ascii="Arial"/>
          <w:color w:val="131313"/>
          <w:w w:val="105"/>
          <w:sz w:val="21"/>
          <w:u w:val="thick" w:color="131313"/>
        </w:rPr>
        <w:t>of</w:t>
      </w:r>
      <w:r>
        <w:rPr>
          <w:rFonts w:ascii="Arial"/>
          <w:color w:val="131313"/>
          <w:spacing w:val="40"/>
          <w:w w:val="105"/>
          <w:sz w:val="21"/>
          <w:u w:val="thick" w:color="131313"/>
        </w:rPr>
        <w:t xml:space="preserve"> </w:t>
      </w:r>
      <w:r>
        <w:rPr>
          <w:rFonts w:ascii="Arial"/>
          <w:w w:val="105"/>
          <w:sz w:val="21"/>
          <w:u w:val="thick" w:color="131313"/>
        </w:rPr>
        <w:t xml:space="preserve">normal </w:t>
      </w:r>
      <w:r>
        <w:rPr>
          <w:rFonts w:ascii="Arial"/>
          <w:color w:val="131313"/>
          <w:w w:val="105"/>
          <w:sz w:val="21"/>
          <w:u w:val="thick" w:color="131313"/>
        </w:rPr>
        <w:t>value and export</w:t>
      </w:r>
      <w:r>
        <w:rPr>
          <w:rFonts w:ascii="Arial"/>
          <w:color w:val="131313"/>
          <w:w w:val="105"/>
          <w:sz w:val="21"/>
        </w:rPr>
        <w:t xml:space="preserve"> </w:t>
      </w:r>
      <w:r>
        <w:rPr>
          <w:rFonts w:ascii="Arial"/>
          <w:color w:val="131313"/>
          <w:spacing w:val="-4"/>
          <w:w w:val="105"/>
          <w:sz w:val="21"/>
          <w:u w:val="thick" w:color="131313"/>
        </w:rPr>
        <w:t>price</w:t>
      </w:r>
      <w:r>
        <w:rPr>
          <w:rFonts w:ascii="Arial"/>
          <w:color w:val="131313"/>
          <w:sz w:val="21"/>
        </w:rPr>
        <w:tab/>
      </w:r>
      <w:r>
        <w:rPr>
          <w:rFonts w:ascii="Arial"/>
          <w:color w:val="131313"/>
          <w:spacing w:val="-5"/>
          <w:w w:val="105"/>
          <w:sz w:val="21"/>
          <w:u w:val="thick" w:color="131313"/>
        </w:rPr>
        <w:t>386</w:t>
      </w:r>
    </w:p>
    <w:p w14:paraId="51DE7610" w14:textId="77777777" w:rsidR="0010369C" w:rsidRDefault="008E43AE">
      <w:pPr>
        <w:tabs>
          <w:tab w:val="left" w:pos="2375"/>
          <w:tab w:val="left" w:leader="dot" w:pos="8965"/>
        </w:tabs>
        <w:spacing w:before="76"/>
        <w:ind w:left="1477"/>
        <w:rPr>
          <w:rFonts w:ascii="Arial" w:hAnsi="Arial"/>
          <w:sz w:val="21"/>
        </w:rPr>
      </w:pPr>
      <w:r>
        <w:rPr>
          <w:rFonts w:ascii="Arial" w:hAnsi="Arial"/>
          <w:color w:val="131313"/>
          <w:spacing w:val="-4"/>
          <w:sz w:val="29"/>
        </w:rPr>
        <w:t>1£!1</w:t>
      </w:r>
      <w:r>
        <w:rPr>
          <w:rFonts w:ascii="Arial" w:hAnsi="Arial"/>
          <w:color w:val="131313"/>
          <w:sz w:val="29"/>
        </w:rPr>
        <w:tab/>
      </w:r>
      <w:r>
        <w:rPr>
          <w:rFonts w:ascii="Arial" w:hAnsi="Arial"/>
          <w:color w:val="131313"/>
          <w:sz w:val="21"/>
          <w:u w:val="thick" w:color="131313"/>
        </w:rPr>
        <w:t>Differences</w:t>
      </w:r>
      <w:r>
        <w:rPr>
          <w:rFonts w:ascii="Arial" w:hAnsi="Arial"/>
          <w:color w:val="131313"/>
          <w:spacing w:val="27"/>
          <w:sz w:val="21"/>
          <w:u w:val="thick" w:color="131313"/>
        </w:rPr>
        <w:t xml:space="preserve"> </w:t>
      </w:r>
      <w:r>
        <w:rPr>
          <w:rFonts w:ascii="Arial" w:hAnsi="Arial"/>
          <w:color w:val="131313"/>
          <w:sz w:val="21"/>
          <w:u w:val="thick" w:color="131313"/>
        </w:rPr>
        <w:t>in</w:t>
      </w:r>
      <w:r>
        <w:rPr>
          <w:rFonts w:ascii="Arial" w:hAnsi="Arial"/>
          <w:color w:val="131313"/>
          <w:spacing w:val="31"/>
          <w:sz w:val="21"/>
          <w:u w:val="thick" w:color="131313"/>
        </w:rPr>
        <w:t xml:space="preserve"> </w:t>
      </w:r>
      <w:r>
        <w:rPr>
          <w:rFonts w:ascii="Arial" w:hAnsi="Arial"/>
          <w:color w:val="131313"/>
          <w:sz w:val="21"/>
          <w:u w:val="thick" w:color="131313"/>
        </w:rPr>
        <w:t>price</w:t>
      </w:r>
      <w:r>
        <w:rPr>
          <w:rFonts w:ascii="Arial" w:hAnsi="Arial"/>
          <w:color w:val="131313"/>
          <w:spacing w:val="17"/>
          <w:sz w:val="21"/>
          <w:u w:val="thick" w:color="131313"/>
        </w:rPr>
        <w:t xml:space="preserve"> </w:t>
      </w:r>
      <w:r>
        <w:rPr>
          <w:rFonts w:ascii="Arial" w:hAnsi="Arial"/>
          <w:color w:val="131313"/>
          <w:spacing w:val="-2"/>
          <w:sz w:val="21"/>
          <w:u w:val="thick" w:color="131313"/>
        </w:rPr>
        <w:t>comparability</w:t>
      </w:r>
      <w:r>
        <w:rPr>
          <w:rFonts w:ascii="Arial" w:hAnsi="Arial"/>
          <w:color w:val="131313"/>
          <w:sz w:val="21"/>
        </w:rPr>
        <w:tab/>
      </w:r>
      <w:r>
        <w:rPr>
          <w:rFonts w:ascii="Arial" w:hAnsi="Arial"/>
          <w:color w:val="131313"/>
          <w:spacing w:val="-5"/>
          <w:sz w:val="21"/>
          <w:u w:val="thick" w:color="131313"/>
        </w:rPr>
        <w:t>388</w:t>
      </w:r>
    </w:p>
    <w:p w14:paraId="51DE7611" w14:textId="77777777" w:rsidR="0010369C" w:rsidRDefault="008E43AE">
      <w:pPr>
        <w:tabs>
          <w:tab w:val="left" w:pos="2371"/>
          <w:tab w:val="left" w:leader="dot" w:pos="8965"/>
        </w:tabs>
        <w:spacing w:before="87" w:line="273" w:lineRule="auto"/>
        <w:ind w:left="2378" w:right="164" w:hanging="873"/>
        <w:rPr>
          <w:rFonts w:ascii="Arial"/>
          <w:sz w:val="21"/>
        </w:rPr>
      </w:pPr>
      <w:r>
        <w:rPr>
          <w:rFonts w:ascii="Arial"/>
          <w:color w:val="131313"/>
          <w:spacing w:val="-10"/>
          <w:w w:val="105"/>
          <w:sz w:val="28"/>
        </w:rPr>
        <w:t>W</w:t>
      </w:r>
      <w:r>
        <w:rPr>
          <w:rFonts w:ascii="Arial"/>
          <w:color w:val="131313"/>
          <w:sz w:val="28"/>
        </w:rPr>
        <w:tab/>
      </w:r>
      <w:r>
        <w:rPr>
          <w:rFonts w:ascii="Arial"/>
          <w:color w:val="131313"/>
          <w:w w:val="105"/>
          <w:sz w:val="21"/>
          <w:u w:val="thick" w:color="131313"/>
        </w:rPr>
        <w:t>Calculation</w:t>
      </w:r>
      <w:r>
        <w:rPr>
          <w:rFonts w:ascii="Arial"/>
          <w:color w:val="131313"/>
          <w:spacing w:val="40"/>
          <w:w w:val="105"/>
          <w:sz w:val="21"/>
          <w:u w:val="thick" w:color="131313"/>
        </w:rPr>
        <w:t xml:space="preserve"> </w:t>
      </w:r>
      <w:r>
        <w:rPr>
          <w:rFonts w:ascii="Arial"/>
          <w:color w:val="131313"/>
          <w:w w:val="105"/>
          <w:sz w:val="21"/>
          <w:u w:val="thick" w:color="131313"/>
        </w:rPr>
        <w:t>of</w:t>
      </w:r>
      <w:r>
        <w:rPr>
          <w:rFonts w:ascii="Arial"/>
          <w:color w:val="131313"/>
          <w:spacing w:val="40"/>
          <w:w w:val="105"/>
          <w:sz w:val="21"/>
          <w:u w:val="thick" w:color="131313"/>
        </w:rPr>
        <w:t xml:space="preserve"> </w:t>
      </w:r>
      <w:r>
        <w:rPr>
          <w:rFonts w:ascii="Arial"/>
          <w:color w:val="131313"/>
          <w:w w:val="105"/>
          <w:sz w:val="21"/>
          <w:u w:val="thick" w:color="131313"/>
        </w:rPr>
        <w:t>dumping</w:t>
      </w:r>
      <w:r>
        <w:rPr>
          <w:rFonts w:ascii="Arial"/>
          <w:color w:val="131313"/>
          <w:spacing w:val="27"/>
          <w:w w:val="105"/>
          <w:sz w:val="21"/>
          <w:u w:val="thick" w:color="131313"/>
        </w:rPr>
        <w:t xml:space="preserve"> </w:t>
      </w:r>
      <w:r>
        <w:rPr>
          <w:rFonts w:ascii="Arial"/>
          <w:color w:val="131313"/>
          <w:w w:val="105"/>
          <w:sz w:val="21"/>
          <w:u w:val="thick" w:color="131313"/>
        </w:rPr>
        <w:t>margins</w:t>
      </w:r>
      <w:r>
        <w:rPr>
          <w:rFonts w:ascii="Arial"/>
          <w:color w:val="131313"/>
          <w:spacing w:val="38"/>
          <w:w w:val="105"/>
          <w:sz w:val="21"/>
          <w:u w:val="thick" w:color="131313"/>
        </w:rPr>
        <w:t xml:space="preserve"> </w:t>
      </w:r>
      <w:r>
        <w:rPr>
          <w:rFonts w:ascii="Arial"/>
          <w:color w:val="131313"/>
          <w:w w:val="105"/>
          <w:sz w:val="21"/>
          <w:u w:val="thick" w:color="131313"/>
        </w:rPr>
        <w:t>and</w:t>
      </w:r>
      <w:r>
        <w:rPr>
          <w:rFonts w:ascii="Arial"/>
          <w:color w:val="131313"/>
          <w:spacing w:val="38"/>
          <w:w w:val="105"/>
          <w:sz w:val="21"/>
          <w:u w:val="thick" w:color="131313"/>
        </w:rPr>
        <w:t xml:space="preserve"> </w:t>
      </w:r>
      <w:r>
        <w:rPr>
          <w:rFonts w:ascii="Arial"/>
          <w:color w:val="131313"/>
          <w:w w:val="105"/>
          <w:sz w:val="21"/>
          <w:u w:val="thick" w:color="131313"/>
        </w:rPr>
        <w:t>the</w:t>
      </w:r>
      <w:r>
        <w:rPr>
          <w:rFonts w:ascii="Arial"/>
          <w:color w:val="131313"/>
          <w:spacing w:val="40"/>
          <w:w w:val="105"/>
          <w:sz w:val="21"/>
          <w:u w:val="thick" w:color="131313"/>
        </w:rPr>
        <w:t xml:space="preserve"> </w:t>
      </w:r>
      <w:r>
        <w:rPr>
          <w:rFonts w:ascii="Arial"/>
          <w:color w:val="131313"/>
          <w:w w:val="105"/>
          <w:sz w:val="21"/>
          <w:u w:val="thick" w:color="131313"/>
        </w:rPr>
        <w:t>reasons</w:t>
      </w:r>
      <w:r>
        <w:rPr>
          <w:rFonts w:ascii="Arial"/>
          <w:color w:val="131313"/>
          <w:spacing w:val="29"/>
          <w:w w:val="105"/>
          <w:sz w:val="21"/>
          <w:u w:val="thick" w:color="131313"/>
        </w:rPr>
        <w:t xml:space="preserve"> </w:t>
      </w:r>
      <w:r>
        <w:rPr>
          <w:rFonts w:ascii="Arial"/>
          <w:color w:val="131313"/>
          <w:w w:val="105"/>
          <w:sz w:val="21"/>
          <w:u w:val="thick" w:color="131313"/>
        </w:rPr>
        <w:t>for</w:t>
      </w:r>
      <w:r>
        <w:rPr>
          <w:rFonts w:ascii="Arial"/>
          <w:color w:val="131313"/>
          <w:spacing w:val="40"/>
          <w:w w:val="105"/>
          <w:sz w:val="21"/>
          <w:u w:val="thick" w:color="131313"/>
        </w:rPr>
        <w:t xml:space="preserve"> </w:t>
      </w:r>
      <w:r>
        <w:rPr>
          <w:rFonts w:ascii="Arial"/>
          <w:color w:val="131313"/>
          <w:w w:val="105"/>
          <w:sz w:val="21"/>
          <w:u w:val="thick" w:color="131313"/>
        </w:rPr>
        <w:t>the</w:t>
      </w:r>
      <w:r>
        <w:rPr>
          <w:rFonts w:ascii="Arial"/>
          <w:color w:val="131313"/>
          <w:spacing w:val="62"/>
          <w:w w:val="105"/>
          <w:sz w:val="21"/>
          <w:u w:val="thick" w:color="131313"/>
        </w:rPr>
        <w:t xml:space="preserve"> </w:t>
      </w:r>
      <w:r>
        <w:rPr>
          <w:rFonts w:ascii="Arial"/>
          <w:color w:val="131313"/>
          <w:w w:val="105"/>
          <w:sz w:val="21"/>
          <w:u w:val="thick" w:color="131313"/>
        </w:rPr>
        <w:t>calculation</w:t>
      </w:r>
      <w:r>
        <w:rPr>
          <w:rFonts w:ascii="Arial"/>
          <w:color w:val="131313"/>
          <w:w w:val="105"/>
          <w:sz w:val="21"/>
        </w:rPr>
        <w:t xml:space="preserve"> </w:t>
      </w:r>
      <w:r>
        <w:rPr>
          <w:rFonts w:ascii="Arial"/>
          <w:color w:val="131313"/>
          <w:w w:val="105"/>
          <w:sz w:val="21"/>
          <w:u w:val="thick" w:color="131313"/>
        </w:rPr>
        <w:t>methodology</w:t>
      </w:r>
      <w:r>
        <w:rPr>
          <w:rFonts w:ascii="Arial"/>
          <w:color w:val="131313"/>
          <w:spacing w:val="31"/>
          <w:w w:val="105"/>
          <w:sz w:val="21"/>
          <w:u w:val="thick" w:color="131313"/>
        </w:rPr>
        <w:t xml:space="preserve"> </w:t>
      </w:r>
      <w:r>
        <w:rPr>
          <w:rFonts w:ascii="Arial"/>
          <w:color w:val="131313"/>
          <w:spacing w:val="-4"/>
          <w:w w:val="105"/>
          <w:sz w:val="21"/>
          <w:u w:val="thick" w:color="131313"/>
        </w:rPr>
        <w:t>used</w:t>
      </w:r>
      <w:r>
        <w:rPr>
          <w:rFonts w:ascii="Arial"/>
          <w:color w:val="131313"/>
          <w:sz w:val="21"/>
        </w:rPr>
        <w:tab/>
      </w:r>
      <w:r>
        <w:rPr>
          <w:rFonts w:ascii="Arial"/>
          <w:color w:val="131313"/>
          <w:spacing w:val="-5"/>
          <w:w w:val="105"/>
          <w:sz w:val="21"/>
          <w:u w:val="thick" w:color="131313"/>
        </w:rPr>
        <w:t>389</w:t>
      </w:r>
    </w:p>
    <w:p w14:paraId="51DE7612" w14:textId="77777777" w:rsidR="0010369C" w:rsidRDefault="008E43AE">
      <w:pPr>
        <w:tabs>
          <w:tab w:val="left" w:pos="2375"/>
          <w:tab w:val="left" w:leader="dot" w:pos="8965"/>
        </w:tabs>
        <w:spacing w:before="42"/>
        <w:ind w:left="1499"/>
        <w:rPr>
          <w:rFonts w:ascii="Arial"/>
          <w:sz w:val="21"/>
        </w:rPr>
      </w:pPr>
      <w:r>
        <w:rPr>
          <w:rFonts w:ascii="Times New Roman"/>
          <w:color w:val="131313"/>
          <w:spacing w:val="-5"/>
          <w:w w:val="110"/>
          <w:sz w:val="31"/>
        </w:rPr>
        <w:t>ill</w:t>
      </w:r>
      <w:r>
        <w:rPr>
          <w:rFonts w:ascii="Times New Roman"/>
          <w:color w:val="131313"/>
          <w:sz w:val="31"/>
        </w:rPr>
        <w:tab/>
      </w:r>
      <w:r>
        <w:rPr>
          <w:rFonts w:ascii="Arial"/>
          <w:color w:val="131313"/>
          <w:w w:val="110"/>
          <w:sz w:val="21"/>
          <w:u w:val="thick" w:color="131313"/>
        </w:rPr>
        <w:t>Determination</w:t>
      </w:r>
      <w:r>
        <w:rPr>
          <w:rFonts w:ascii="Arial"/>
          <w:color w:val="131313"/>
          <w:spacing w:val="-17"/>
          <w:w w:val="110"/>
          <w:sz w:val="21"/>
        </w:rPr>
        <w:t xml:space="preserve"> </w:t>
      </w:r>
      <w:r>
        <w:rPr>
          <w:rFonts w:ascii="Arial"/>
          <w:color w:val="131313"/>
          <w:w w:val="110"/>
          <w:sz w:val="21"/>
          <w:u w:val="thick" w:color="131313"/>
        </w:rPr>
        <w:t>of</w:t>
      </w:r>
      <w:r>
        <w:rPr>
          <w:rFonts w:ascii="Arial"/>
          <w:color w:val="131313"/>
          <w:spacing w:val="-10"/>
          <w:w w:val="110"/>
          <w:sz w:val="21"/>
          <w:u w:val="thick" w:color="131313"/>
        </w:rPr>
        <w:t xml:space="preserve"> </w:t>
      </w:r>
      <w:r>
        <w:rPr>
          <w:rFonts w:ascii="Arial"/>
          <w:color w:val="131313"/>
          <w:w w:val="110"/>
          <w:sz w:val="21"/>
          <w:u w:val="thick" w:color="131313"/>
        </w:rPr>
        <w:t>injury</w:t>
      </w:r>
      <w:r>
        <w:rPr>
          <w:rFonts w:ascii="Arial"/>
          <w:color w:val="131313"/>
          <w:spacing w:val="-16"/>
          <w:w w:val="110"/>
          <w:sz w:val="21"/>
          <w:u w:val="thick" w:color="131313"/>
        </w:rPr>
        <w:t xml:space="preserve"> </w:t>
      </w:r>
      <w:r>
        <w:rPr>
          <w:rFonts w:ascii="Arial"/>
          <w:color w:val="131313"/>
          <w:w w:val="110"/>
          <w:sz w:val="21"/>
          <w:u w:val="thick" w:color="131313"/>
        </w:rPr>
        <w:t>and</w:t>
      </w:r>
      <w:r>
        <w:rPr>
          <w:rFonts w:ascii="Arial"/>
          <w:color w:val="131313"/>
          <w:spacing w:val="-21"/>
          <w:w w:val="110"/>
          <w:sz w:val="21"/>
          <w:u w:val="thick" w:color="131313"/>
        </w:rPr>
        <w:t xml:space="preserve"> </w:t>
      </w:r>
      <w:r>
        <w:rPr>
          <w:rFonts w:ascii="Arial"/>
          <w:color w:val="131313"/>
          <w:spacing w:val="-2"/>
          <w:w w:val="110"/>
          <w:sz w:val="21"/>
          <w:u w:val="thick" w:color="131313"/>
        </w:rPr>
        <w:t>causation</w:t>
      </w:r>
      <w:r>
        <w:rPr>
          <w:rFonts w:ascii="Arial"/>
          <w:color w:val="131313"/>
          <w:sz w:val="21"/>
        </w:rPr>
        <w:tab/>
      </w:r>
      <w:r>
        <w:rPr>
          <w:rFonts w:ascii="Arial"/>
          <w:color w:val="131313"/>
          <w:spacing w:val="-5"/>
          <w:w w:val="110"/>
          <w:sz w:val="21"/>
          <w:u w:val="thick" w:color="131313"/>
        </w:rPr>
        <w:t>390</w:t>
      </w:r>
    </w:p>
    <w:p w14:paraId="51DE7613" w14:textId="77777777" w:rsidR="0010369C" w:rsidRDefault="008E43AE">
      <w:pPr>
        <w:pStyle w:val="ListParagraph"/>
        <w:numPr>
          <w:ilvl w:val="2"/>
          <w:numId w:val="80"/>
        </w:numPr>
        <w:tabs>
          <w:tab w:val="left" w:pos="1940"/>
          <w:tab w:val="left" w:pos="1941"/>
          <w:tab w:val="left" w:leader="dot" w:pos="8965"/>
        </w:tabs>
        <w:spacing w:before="137"/>
        <w:ind w:left="1940" w:hanging="852"/>
        <w:rPr>
          <w:rFonts w:ascii="Arial"/>
          <w:b/>
          <w:color w:val="131313"/>
          <w:sz w:val="21"/>
        </w:rPr>
      </w:pPr>
      <w:r>
        <w:rPr>
          <w:rFonts w:ascii="Arial"/>
          <w:b/>
          <w:color w:val="131313"/>
          <w:spacing w:val="-2"/>
          <w:sz w:val="21"/>
        </w:rPr>
        <w:t>Conclusion</w:t>
      </w:r>
      <w:r>
        <w:rPr>
          <w:rFonts w:ascii="Arial"/>
          <w:b/>
          <w:color w:val="131313"/>
          <w:sz w:val="21"/>
        </w:rPr>
        <w:tab/>
      </w:r>
      <w:r>
        <w:rPr>
          <w:rFonts w:ascii="Arial"/>
          <w:b/>
          <w:color w:val="131313"/>
          <w:spacing w:val="-5"/>
          <w:sz w:val="21"/>
        </w:rPr>
        <w:t>393</w:t>
      </w:r>
    </w:p>
    <w:p w14:paraId="51DE7614" w14:textId="77777777" w:rsidR="0010369C" w:rsidRDefault="0010369C">
      <w:pPr>
        <w:pStyle w:val="BodyText"/>
        <w:spacing w:before="10"/>
        <w:rPr>
          <w:rFonts w:ascii="Arial"/>
          <w:b/>
          <w:sz w:val="20"/>
        </w:rPr>
      </w:pPr>
    </w:p>
    <w:p w14:paraId="51DE7615" w14:textId="77777777" w:rsidR="0010369C" w:rsidRDefault="008E43AE">
      <w:pPr>
        <w:pStyle w:val="ListParagraph"/>
        <w:numPr>
          <w:ilvl w:val="0"/>
          <w:numId w:val="80"/>
        </w:numPr>
        <w:tabs>
          <w:tab w:val="left" w:pos="935"/>
          <w:tab w:val="left" w:pos="1089"/>
          <w:tab w:val="left" w:leader="dot" w:pos="8813"/>
        </w:tabs>
        <w:spacing w:before="0"/>
        <w:ind w:left="1088" w:hanging="999"/>
        <w:rPr>
          <w:rFonts w:ascii="Arial"/>
          <w:sz w:val="21"/>
        </w:rPr>
      </w:pPr>
      <w:r>
        <w:rPr>
          <w:rFonts w:ascii="Arial"/>
          <w:b/>
          <w:color w:val="131313"/>
          <w:spacing w:val="-2"/>
          <w:w w:val="110"/>
          <w:sz w:val="19"/>
        </w:rPr>
        <w:t>CONCLUSION</w:t>
      </w:r>
      <w:r>
        <w:rPr>
          <w:rFonts w:ascii="Arial"/>
          <w:b/>
          <w:color w:val="131313"/>
          <w:sz w:val="19"/>
        </w:rPr>
        <w:tab/>
      </w:r>
      <w:r>
        <w:rPr>
          <w:rFonts w:ascii="Arial"/>
          <w:b/>
          <w:color w:val="131313"/>
          <w:spacing w:val="-5"/>
          <w:w w:val="110"/>
          <w:sz w:val="19"/>
        </w:rPr>
        <w:t>394</w:t>
      </w:r>
    </w:p>
    <w:p w14:paraId="51DE7616" w14:textId="77777777" w:rsidR="0010369C" w:rsidRDefault="0010369C">
      <w:pPr>
        <w:pStyle w:val="BodyText"/>
        <w:rPr>
          <w:rFonts w:ascii="Arial"/>
          <w:b/>
        </w:rPr>
      </w:pPr>
    </w:p>
    <w:p w14:paraId="51DE7617" w14:textId="77777777" w:rsidR="0010369C" w:rsidRDefault="0010369C">
      <w:pPr>
        <w:pStyle w:val="BodyText"/>
        <w:spacing w:before="6"/>
        <w:rPr>
          <w:rFonts w:ascii="Arial"/>
          <w:b/>
          <w:sz w:val="19"/>
        </w:rPr>
      </w:pPr>
    </w:p>
    <w:p w14:paraId="51DE7618" w14:textId="77777777" w:rsidR="0010369C" w:rsidRDefault="008E43AE">
      <w:pPr>
        <w:ind w:left="2132" w:right="2060"/>
        <w:jc w:val="center"/>
        <w:rPr>
          <w:rFonts w:ascii="Arial"/>
          <w:b/>
          <w:sz w:val="21"/>
        </w:rPr>
      </w:pPr>
      <w:r>
        <w:rPr>
          <w:rFonts w:ascii="Arial"/>
          <w:b/>
          <w:w w:val="90"/>
          <w:sz w:val="21"/>
        </w:rPr>
        <w:t>LIST</w:t>
      </w:r>
      <w:r>
        <w:rPr>
          <w:rFonts w:ascii="Arial"/>
          <w:b/>
          <w:spacing w:val="-3"/>
          <w:sz w:val="21"/>
        </w:rPr>
        <w:t xml:space="preserve"> </w:t>
      </w:r>
      <w:r>
        <w:rPr>
          <w:rFonts w:ascii="Arial"/>
          <w:b/>
          <w:color w:val="131313"/>
          <w:w w:val="90"/>
          <w:sz w:val="21"/>
        </w:rPr>
        <w:t>OF</w:t>
      </w:r>
      <w:r>
        <w:rPr>
          <w:rFonts w:ascii="Arial"/>
          <w:b/>
          <w:color w:val="131313"/>
          <w:spacing w:val="-4"/>
          <w:w w:val="90"/>
          <w:sz w:val="21"/>
        </w:rPr>
        <w:t xml:space="preserve"> </w:t>
      </w:r>
      <w:r>
        <w:rPr>
          <w:rFonts w:ascii="Arial"/>
          <w:b/>
          <w:spacing w:val="-2"/>
          <w:w w:val="90"/>
          <w:sz w:val="21"/>
        </w:rPr>
        <w:t>FIGURES</w:t>
      </w:r>
    </w:p>
    <w:p w14:paraId="51DE7619" w14:textId="77777777" w:rsidR="0010369C" w:rsidRDefault="008E43AE">
      <w:pPr>
        <w:tabs>
          <w:tab w:val="left" w:leader="dot" w:pos="8967"/>
        </w:tabs>
        <w:spacing w:before="189" w:line="439" w:lineRule="auto"/>
        <w:ind w:left="237" w:right="156" w:hanging="1"/>
        <w:rPr>
          <w:rFonts w:ascii="Arial"/>
          <w:sz w:val="21"/>
        </w:rPr>
      </w:pPr>
      <w:r>
        <w:rPr>
          <w:rFonts w:ascii="Arial"/>
          <w:color w:val="131313"/>
          <w:w w:val="105"/>
          <w:sz w:val="21"/>
        </w:rPr>
        <w:t>Figure</w:t>
      </w:r>
      <w:r>
        <w:rPr>
          <w:rFonts w:ascii="Arial"/>
          <w:color w:val="131313"/>
          <w:spacing w:val="40"/>
          <w:w w:val="105"/>
          <w:sz w:val="21"/>
        </w:rPr>
        <w:t xml:space="preserve"> </w:t>
      </w:r>
      <w:r>
        <w:rPr>
          <w:rFonts w:ascii="Arial"/>
          <w:color w:val="131313"/>
          <w:w w:val="105"/>
          <w:sz w:val="21"/>
        </w:rPr>
        <w:t>1</w:t>
      </w:r>
      <w:r>
        <w:rPr>
          <w:rFonts w:ascii="Arial"/>
          <w:color w:val="131313"/>
          <w:spacing w:val="79"/>
          <w:w w:val="105"/>
          <w:sz w:val="21"/>
        </w:rPr>
        <w:t xml:space="preserve"> </w:t>
      </w:r>
      <w:r>
        <w:rPr>
          <w:rFonts w:ascii="Arial"/>
          <w:color w:val="131313"/>
          <w:w w:val="105"/>
          <w:sz w:val="21"/>
        </w:rPr>
        <w:t>Price</w:t>
      </w:r>
      <w:r>
        <w:rPr>
          <w:rFonts w:ascii="Arial"/>
          <w:color w:val="131313"/>
          <w:spacing w:val="40"/>
          <w:w w:val="105"/>
          <w:sz w:val="21"/>
        </w:rPr>
        <w:t xml:space="preserve"> </w:t>
      </w:r>
      <w:r>
        <w:rPr>
          <w:rFonts w:ascii="Arial"/>
          <w:color w:val="131313"/>
          <w:w w:val="105"/>
          <w:sz w:val="21"/>
        </w:rPr>
        <w:t>comparison</w:t>
      </w:r>
      <w:r>
        <w:rPr>
          <w:rFonts w:ascii="Arial"/>
          <w:color w:val="131313"/>
          <w:spacing w:val="78"/>
          <w:w w:val="105"/>
          <w:sz w:val="21"/>
        </w:rPr>
        <w:t xml:space="preserve"> </w:t>
      </w:r>
      <w:r>
        <w:rPr>
          <w:rFonts w:ascii="Arial"/>
          <w:color w:val="131313"/>
          <w:w w:val="105"/>
          <w:sz w:val="21"/>
        </w:rPr>
        <w:t>between</w:t>
      </w:r>
      <w:r>
        <w:rPr>
          <w:rFonts w:ascii="Arial"/>
          <w:color w:val="131313"/>
          <w:spacing w:val="76"/>
          <w:w w:val="105"/>
          <w:sz w:val="21"/>
        </w:rPr>
        <w:t xml:space="preserve"> </w:t>
      </w:r>
      <w:r>
        <w:rPr>
          <w:rFonts w:ascii="Arial"/>
          <w:color w:val="131313"/>
          <w:w w:val="105"/>
          <w:sz w:val="21"/>
        </w:rPr>
        <w:t>products</w:t>
      </w:r>
      <w:r>
        <w:rPr>
          <w:rFonts w:ascii="Arial"/>
          <w:color w:val="131313"/>
          <w:spacing w:val="68"/>
          <w:w w:val="105"/>
          <w:sz w:val="21"/>
        </w:rPr>
        <w:t xml:space="preserve"> </w:t>
      </w:r>
      <w:r>
        <w:rPr>
          <w:rFonts w:ascii="Arial"/>
          <w:color w:val="131313"/>
          <w:w w:val="105"/>
          <w:sz w:val="21"/>
        </w:rPr>
        <w:t>subject</w:t>
      </w:r>
      <w:r>
        <w:rPr>
          <w:rFonts w:ascii="Arial"/>
          <w:color w:val="131313"/>
          <w:spacing w:val="70"/>
          <w:w w:val="105"/>
          <w:sz w:val="21"/>
        </w:rPr>
        <w:t xml:space="preserve"> </w:t>
      </w:r>
      <w:r>
        <w:rPr>
          <w:rFonts w:ascii="Arial"/>
          <w:color w:val="131313"/>
          <w:w w:val="105"/>
          <w:sz w:val="21"/>
        </w:rPr>
        <w:t>to</w:t>
      </w:r>
      <w:r>
        <w:rPr>
          <w:rFonts w:ascii="Arial"/>
          <w:color w:val="131313"/>
          <w:spacing w:val="80"/>
          <w:w w:val="105"/>
          <w:sz w:val="21"/>
        </w:rPr>
        <w:t xml:space="preserve"> </w:t>
      </w:r>
      <w:r>
        <w:rPr>
          <w:rFonts w:ascii="Arial"/>
          <w:color w:val="131313"/>
          <w:w w:val="105"/>
          <w:sz w:val="21"/>
        </w:rPr>
        <w:t>the</w:t>
      </w:r>
      <w:r>
        <w:rPr>
          <w:rFonts w:ascii="Arial"/>
          <w:color w:val="131313"/>
          <w:spacing w:val="80"/>
          <w:w w:val="105"/>
          <w:sz w:val="21"/>
        </w:rPr>
        <w:t xml:space="preserve"> </w:t>
      </w:r>
      <w:r>
        <w:rPr>
          <w:rFonts w:ascii="Arial"/>
          <w:color w:val="131313"/>
          <w:w w:val="105"/>
          <w:sz w:val="21"/>
        </w:rPr>
        <w:t>investigation</w:t>
      </w:r>
      <w:r>
        <w:rPr>
          <w:rFonts w:ascii="Arial"/>
          <w:color w:val="131313"/>
          <w:spacing w:val="74"/>
          <w:w w:val="105"/>
          <w:sz w:val="21"/>
        </w:rPr>
        <w:t xml:space="preserve"> </w:t>
      </w:r>
      <w:r>
        <w:rPr>
          <w:rFonts w:ascii="Arial"/>
          <w:color w:val="131313"/>
          <w:w w:val="105"/>
          <w:sz w:val="21"/>
        </w:rPr>
        <w:t>request</w:t>
      </w:r>
      <w:r>
        <w:rPr>
          <w:rFonts w:ascii="Arial"/>
          <w:color w:val="131313"/>
          <w:spacing w:val="77"/>
          <w:w w:val="105"/>
          <w:sz w:val="21"/>
        </w:rPr>
        <w:t xml:space="preserve"> </w:t>
      </w:r>
      <w:r>
        <w:rPr>
          <w:rFonts w:ascii="Arial"/>
          <w:color w:val="131313"/>
          <w:w w:val="105"/>
          <w:sz w:val="21"/>
        </w:rPr>
        <w:t>and domestic</w:t>
      </w:r>
      <w:r>
        <w:rPr>
          <w:rFonts w:ascii="Arial"/>
          <w:color w:val="131313"/>
          <w:spacing w:val="11"/>
          <w:w w:val="105"/>
          <w:sz w:val="21"/>
        </w:rPr>
        <w:t xml:space="preserve"> </w:t>
      </w:r>
      <w:r>
        <w:rPr>
          <w:rFonts w:ascii="Arial"/>
          <w:w w:val="105"/>
          <w:sz w:val="21"/>
        </w:rPr>
        <w:t>like</w:t>
      </w:r>
      <w:r>
        <w:rPr>
          <w:rFonts w:ascii="Arial"/>
          <w:spacing w:val="-15"/>
          <w:w w:val="105"/>
          <w:sz w:val="21"/>
        </w:rPr>
        <w:t xml:space="preserve"> </w:t>
      </w:r>
      <w:r>
        <w:rPr>
          <w:rFonts w:ascii="Arial"/>
          <w:color w:val="131313"/>
          <w:spacing w:val="-2"/>
          <w:w w:val="105"/>
          <w:sz w:val="21"/>
        </w:rPr>
        <w:t>products</w:t>
      </w:r>
      <w:r>
        <w:rPr>
          <w:rFonts w:ascii="Arial"/>
          <w:color w:val="131313"/>
          <w:sz w:val="21"/>
        </w:rPr>
        <w:tab/>
      </w:r>
      <w:r>
        <w:rPr>
          <w:rFonts w:ascii="Arial"/>
          <w:color w:val="131313"/>
          <w:spacing w:val="-5"/>
          <w:w w:val="105"/>
          <w:sz w:val="21"/>
        </w:rPr>
        <w:t>214</w:t>
      </w:r>
    </w:p>
    <w:p w14:paraId="51DE761A" w14:textId="77777777" w:rsidR="0010369C" w:rsidRDefault="008E43AE">
      <w:pPr>
        <w:tabs>
          <w:tab w:val="left" w:leader="dot" w:pos="8967"/>
        </w:tabs>
        <w:spacing w:line="240" w:lineRule="exact"/>
        <w:ind w:left="237"/>
        <w:rPr>
          <w:rFonts w:ascii="Arial"/>
          <w:sz w:val="21"/>
        </w:rPr>
      </w:pPr>
      <w:r>
        <w:rPr>
          <w:rFonts w:ascii="Arial"/>
          <w:color w:val="131313"/>
          <w:w w:val="105"/>
          <w:sz w:val="21"/>
        </w:rPr>
        <w:t>Figure</w:t>
      </w:r>
      <w:r>
        <w:rPr>
          <w:rFonts w:ascii="Arial"/>
          <w:color w:val="131313"/>
          <w:spacing w:val="2"/>
          <w:w w:val="105"/>
          <w:sz w:val="21"/>
        </w:rPr>
        <w:t xml:space="preserve"> </w:t>
      </w:r>
      <w:r>
        <w:rPr>
          <w:rFonts w:ascii="Arial"/>
          <w:color w:val="131313"/>
          <w:w w:val="105"/>
          <w:sz w:val="21"/>
        </w:rPr>
        <w:t>2</w:t>
      </w:r>
      <w:r>
        <w:rPr>
          <w:rFonts w:ascii="Arial"/>
          <w:color w:val="131313"/>
          <w:spacing w:val="-18"/>
          <w:w w:val="105"/>
          <w:sz w:val="21"/>
        </w:rPr>
        <w:t xml:space="preserve"> </w:t>
      </w:r>
      <w:r>
        <w:rPr>
          <w:rFonts w:ascii="Arial"/>
          <w:color w:val="131313"/>
          <w:w w:val="105"/>
          <w:sz w:val="21"/>
        </w:rPr>
        <w:t>Comparison</w:t>
      </w:r>
      <w:r>
        <w:rPr>
          <w:rFonts w:ascii="Arial"/>
          <w:color w:val="131313"/>
          <w:spacing w:val="13"/>
          <w:w w:val="105"/>
          <w:sz w:val="21"/>
        </w:rPr>
        <w:t xml:space="preserve"> </w:t>
      </w:r>
      <w:r>
        <w:rPr>
          <w:rFonts w:ascii="Arial"/>
          <w:color w:val="131313"/>
          <w:w w:val="105"/>
          <w:sz w:val="21"/>
        </w:rPr>
        <w:t>of</w:t>
      </w:r>
      <w:r>
        <w:rPr>
          <w:rFonts w:ascii="Arial"/>
          <w:color w:val="131313"/>
          <w:spacing w:val="19"/>
          <w:w w:val="105"/>
          <w:sz w:val="21"/>
        </w:rPr>
        <w:t xml:space="preserve"> </w:t>
      </w:r>
      <w:r>
        <w:rPr>
          <w:rFonts w:ascii="Arial"/>
          <w:color w:val="131313"/>
          <w:w w:val="105"/>
          <w:sz w:val="21"/>
        </w:rPr>
        <w:t>tariff</w:t>
      </w:r>
      <w:r>
        <w:rPr>
          <w:rFonts w:ascii="Arial"/>
          <w:color w:val="131313"/>
          <w:spacing w:val="-3"/>
          <w:w w:val="105"/>
          <w:sz w:val="21"/>
        </w:rPr>
        <w:t xml:space="preserve"> </w:t>
      </w:r>
      <w:r>
        <w:rPr>
          <w:rFonts w:ascii="Arial"/>
          <w:color w:val="131313"/>
          <w:w w:val="105"/>
          <w:sz w:val="21"/>
        </w:rPr>
        <w:t>reductions</w:t>
      </w:r>
      <w:r>
        <w:rPr>
          <w:rFonts w:ascii="Arial"/>
          <w:color w:val="131313"/>
          <w:spacing w:val="8"/>
          <w:w w:val="105"/>
          <w:sz w:val="21"/>
        </w:rPr>
        <w:t xml:space="preserve"> </w:t>
      </w:r>
      <w:r>
        <w:rPr>
          <w:rFonts w:ascii="Arial"/>
          <w:color w:val="131313"/>
          <w:w w:val="105"/>
          <w:sz w:val="21"/>
        </w:rPr>
        <w:t>to</w:t>
      </w:r>
      <w:r>
        <w:rPr>
          <w:rFonts w:ascii="Arial"/>
          <w:color w:val="131313"/>
          <w:spacing w:val="12"/>
          <w:w w:val="105"/>
          <w:sz w:val="21"/>
        </w:rPr>
        <w:t xml:space="preserve"> </w:t>
      </w:r>
      <w:r>
        <w:rPr>
          <w:rFonts w:ascii="Arial"/>
          <w:color w:val="131313"/>
          <w:w w:val="105"/>
          <w:sz w:val="21"/>
        </w:rPr>
        <w:t>Australian</w:t>
      </w:r>
      <w:r>
        <w:rPr>
          <w:rFonts w:ascii="Arial"/>
          <w:color w:val="131313"/>
          <w:spacing w:val="2"/>
          <w:w w:val="105"/>
          <w:sz w:val="21"/>
        </w:rPr>
        <w:t xml:space="preserve"> </w:t>
      </w:r>
      <w:r>
        <w:rPr>
          <w:rFonts w:ascii="Arial"/>
          <w:color w:val="131313"/>
          <w:w w:val="105"/>
          <w:sz w:val="21"/>
        </w:rPr>
        <w:t>prices</w:t>
      </w:r>
      <w:r>
        <w:rPr>
          <w:rFonts w:ascii="Arial"/>
          <w:color w:val="131313"/>
          <w:spacing w:val="-2"/>
          <w:w w:val="105"/>
          <w:sz w:val="21"/>
        </w:rPr>
        <w:t xml:space="preserve"> </w:t>
      </w:r>
      <w:r>
        <w:rPr>
          <w:rFonts w:ascii="Arial"/>
          <w:color w:val="131313"/>
          <w:w w:val="105"/>
          <w:sz w:val="21"/>
        </w:rPr>
        <w:t>during</w:t>
      </w:r>
      <w:r>
        <w:rPr>
          <w:rFonts w:ascii="Arial"/>
          <w:color w:val="131313"/>
          <w:spacing w:val="-22"/>
          <w:w w:val="105"/>
          <w:sz w:val="21"/>
        </w:rPr>
        <w:t xml:space="preserve"> </w:t>
      </w:r>
      <w:r>
        <w:rPr>
          <w:rFonts w:ascii="Arial"/>
          <w:color w:val="131313"/>
          <w:w w:val="105"/>
          <w:sz w:val="21"/>
        </w:rPr>
        <w:t>Injury</w:t>
      </w:r>
      <w:r>
        <w:rPr>
          <w:rFonts w:ascii="Arial"/>
          <w:color w:val="131313"/>
          <w:spacing w:val="-7"/>
          <w:w w:val="105"/>
          <w:sz w:val="21"/>
        </w:rPr>
        <w:t xml:space="preserve"> </w:t>
      </w:r>
      <w:r>
        <w:rPr>
          <w:rFonts w:ascii="Arial"/>
          <w:color w:val="131313"/>
          <w:spacing w:val="-5"/>
          <w:w w:val="105"/>
          <w:sz w:val="21"/>
        </w:rPr>
        <w:t>POI</w:t>
      </w:r>
      <w:r>
        <w:rPr>
          <w:rFonts w:ascii="Arial"/>
          <w:color w:val="131313"/>
          <w:sz w:val="21"/>
        </w:rPr>
        <w:tab/>
      </w:r>
      <w:r>
        <w:rPr>
          <w:rFonts w:ascii="Arial"/>
          <w:color w:val="131313"/>
          <w:spacing w:val="-5"/>
          <w:w w:val="105"/>
          <w:sz w:val="21"/>
        </w:rPr>
        <w:t>260</w:t>
      </w:r>
    </w:p>
    <w:p w14:paraId="51DE761B" w14:textId="77777777" w:rsidR="0010369C" w:rsidRDefault="008E43AE">
      <w:pPr>
        <w:tabs>
          <w:tab w:val="left" w:leader="dot" w:pos="8967"/>
        </w:tabs>
        <w:spacing w:before="190" w:line="448" w:lineRule="auto"/>
        <w:ind w:left="238" w:right="152" w:hanging="2"/>
        <w:rPr>
          <w:rFonts w:ascii="Arial"/>
          <w:sz w:val="21"/>
        </w:rPr>
      </w:pPr>
      <w:r>
        <w:rPr>
          <w:rFonts w:ascii="Arial"/>
          <w:color w:val="131313"/>
          <w:w w:val="105"/>
          <w:sz w:val="21"/>
        </w:rPr>
        <w:t>Figure 3</w:t>
      </w:r>
      <w:r>
        <w:rPr>
          <w:rFonts w:ascii="Arial"/>
          <w:color w:val="131313"/>
          <w:spacing w:val="-2"/>
          <w:w w:val="105"/>
          <w:sz w:val="21"/>
        </w:rPr>
        <w:t xml:space="preserve"> </w:t>
      </w:r>
      <w:r>
        <w:rPr>
          <w:rFonts w:ascii="Arial"/>
          <w:color w:val="131313"/>
          <w:w w:val="105"/>
          <w:sz w:val="21"/>
        </w:rPr>
        <w:t>Comparison of</w:t>
      </w:r>
      <w:r>
        <w:rPr>
          <w:rFonts w:ascii="Arial"/>
          <w:color w:val="131313"/>
          <w:spacing w:val="33"/>
          <w:w w:val="105"/>
          <w:sz w:val="21"/>
        </w:rPr>
        <w:t xml:space="preserve"> </w:t>
      </w:r>
      <w:r>
        <w:rPr>
          <w:rFonts w:ascii="Arial"/>
          <w:color w:val="131313"/>
          <w:w w:val="105"/>
          <w:sz w:val="21"/>
        </w:rPr>
        <w:t>export volumes from</w:t>
      </w:r>
      <w:r>
        <w:rPr>
          <w:rFonts w:ascii="Arial"/>
          <w:color w:val="131313"/>
          <w:spacing w:val="-1"/>
          <w:w w:val="105"/>
          <w:sz w:val="21"/>
        </w:rPr>
        <w:t xml:space="preserve"> </w:t>
      </w:r>
      <w:r>
        <w:rPr>
          <w:rFonts w:ascii="Arial"/>
          <w:color w:val="131313"/>
          <w:w w:val="105"/>
          <w:sz w:val="21"/>
        </w:rPr>
        <w:t>top 5</w:t>
      </w:r>
      <w:r>
        <w:rPr>
          <w:rFonts w:ascii="Arial"/>
          <w:color w:val="131313"/>
          <w:spacing w:val="-17"/>
          <w:w w:val="105"/>
          <w:sz w:val="21"/>
        </w:rPr>
        <w:t xml:space="preserve"> </w:t>
      </w:r>
      <w:r>
        <w:rPr>
          <w:rFonts w:ascii="Arial"/>
          <w:color w:val="131313"/>
          <w:w w:val="105"/>
          <w:sz w:val="21"/>
        </w:rPr>
        <w:t>exporting</w:t>
      </w:r>
      <w:r>
        <w:rPr>
          <w:rFonts w:ascii="Arial"/>
          <w:color w:val="131313"/>
          <w:spacing w:val="-2"/>
          <w:w w:val="105"/>
          <w:sz w:val="21"/>
        </w:rPr>
        <w:t xml:space="preserve"> </w:t>
      </w:r>
      <w:r>
        <w:rPr>
          <w:rFonts w:ascii="Arial"/>
          <w:color w:val="131313"/>
          <w:w w:val="105"/>
          <w:sz w:val="21"/>
        </w:rPr>
        <w:t>countries to</w:t>
      </w:r>
      <w:r>
        <w:rPr>
          <w:rFonts w:ascii="Arial"/>
          <w:color w:val="131313"/>
          <w:spacing w:val="30"/>
          <w:w w:val="105"/>
          <w:sz w:val="21"/>
        </w:rPr>
        <w:t xml:space="preserve"> </w:t>
      </w:r>
      <w:r>
        <w:rPr>
          <w:rFonts w:ascii="Arial"/>
          <w:color w:val="131313"/>
          <w:w w:val="105"/>
          <w:sz w:val="21"/>
        </w:rPr>
        <w:t>China during</w:t>
      </w:r>
      <w:r>
        <w:rPr>
          <w:rFonts w:ascii="Arial"/>
          <w:color w:val="131313"/>
          <w:spacing w:val="-7"/>
          <w:w w:val="105"/>
          <w:sz w:val="21"/>
        </w:rPr>
        <w:t xml:space="preserve"> </w:t>
      </w:r>
      <w:r>
        <w:rPr>
          <w:rFonts w:ascii="Arial"/>
          <w:color w:val="131313"/>
          <w:w w:val="105"/>
          <w:sz w:val="21"/>
        </w:rPr>
        <w:t xml:space="preserve">Injury </w:t>
      </w:r>
      <w:r>
        <w:rPr>
          <w:rFonts w:ascii="Arial"/>
          <w:color w:val="131313"/>
          <w:spacing w:val="-5"/>
          <w:w w:val="110"/>
          <w:sz w:val="21"/>
        </w:rPr>
        <w:t>POl</w:t>
      </w:r>
      <w:r>
        <w:rPr>
          <w:rFonts w:ascii="Arial"/>
          <w:color w:val="131313"/>
          <w:sz w:val="21"/>
        </w:rPr>
        <w:tab/>
      </w:r>
      <w:r>
        <w:rPr>
          <w:rFonts w:ascii="Arial"/>
          <w:color w:val="131313"/>
          <w:spacing w:val="-5"/>
          <w:w w:val="110"/>
          <w:sz w:val="21"/>
        </w:rPr>
        <w:t>263</w:t>
      </w:r>
    </w:p>
    <w:p w14:paraId="51DE761C" w14:textId="77777777" w:rsidR="0010369C" w:rsidRDefault="008E43AE">
      <w:pPr>
        <w:tabs>
          <w:tab w:val="left" w:leader="dot" w:pos="8967"/>
        </w:tabs>
        <w:spacing w:line="220" w:lineRule="exact"/>
        <w:ind w:left="237"/>
        <w:rPr>
          <w:rFonts w:ascii="Arial"/>
          <w:sz w:val="21"/>
        </w:rPr>
      </w:pPr>
      <w:r>
        <w:rPr>
          <w:rFonts w:ascii="Arial"/>
          <w:color w:val="131313"/>
          <w:w w:val="105"/>
          <w:sz w:val="21"/>
        </w:rPr>
        <w:t>Figure</w:t>
      </w:r>
      <w:r>
        <w:rPr>
          <w:rFonts w:ascii="Arial"/>
          <w:color w:val="131313"/>
          <w:spacing w:val="-16"/>
          <w:w w:val="105"/>
          <w:sz w:val="21"/>
        </w:rPr>
        <w:t xml:space="preserve"> </w:t>
      </w:r>
      <w:r>
        <w:rPr>
          <w:rFonts w:ascii="Arial"/>
          <w:color w:val="131313"/>
          <w:w w:val="105"/>
          <w:sz w:val="21"/>
        </w:rPr>
        <w:t>4</w:t>
      </w:r>
      <w:r>
        <w:rPr>
          <w:rFonts w:ascii="Arial"/>
          <w:color w:val="131313"/>
          <w:spacing w:val="-15"/>
          <w:w w:val="105"/>
          <w:sz w:val="21"/>
        </w:rPr>
        <w:t xml:space="preserve"> </w:t>
      </w:r>
      <w:r>
        <w:rPr>
          <w:rFonts w:ascii="Arial"/>
          <w:color w:val="131313"/>
          <w:w w:val="105"/>
          <w:sz w:val="21"/>
        </w:rPr>
        <w:t>Comparison</w:t>
      </w:r>
      <w:r>
        <w:rPr>
          <w:rFonts w:ascii="Arial"/>
          <w:color w:val="131313"/>
          <w:spacing w:val="-5"/>
          <w:w w:val="105"/>
          <w:sz w:val="21"/>
        </w:rPr>
        <w:t xml:space="preserve"> </w:t>
      </w:r>
      <w:r>
        <w:rPr>
          <w:rFonts w:ascii="Arial"/>
          <w:color w:val="131313"/>
          <w:w w:val="105"/>
          <w:sz w:val="21"/>
        </w:rPr>
        <w:t>of</w:t>
      </w:r>
      <w:r>
        <w:rPr>
          <w:rFonts w:ascii="Arial"/>
          <w:color w:val="131313"/>
          <w:spacing w:val="3"/>
          <w:w w:val="105"/>
          <w:sz w:val="21"/>
        </w:rPr>
        <w:t xml:space="preserve"> </w:t>
      </w:r>
      <w:r>
        <w:rPr>
          <w:rFonts w:ascii="Arial"/>
          <w:color w:val="131313"/>
          <w:w w:val="105"/>
          <w:sz w:val="21"/>
        </w:rPr>
        <w:t>average</w:t>
      </w:r>
      <w:r>
        <w:rPr>
          <w:rFonts w:ascii="Arial"/>
          <w:color w:val="131313"/>
          <w:spacing w:val="-6"/>
          <w:w w:val="105"/>
          <w:sz w:val="21"/>
        </w:rPr>
        <w:t xml:space="preserve"> </w:t>
      </w:r>
      <w:r>
        <w:rPr>
          <w:rFonts w:ascii="Arial"/>
          <w:w w:val="105"/>
          <w:sz w:val="21"/>
        </w:rPr>
        <w:t>unit</w:t>
      </w:r>
      <w:r>
        <w:rPr>
          <w:rFonts w:ascii="Arial"/>
          <w:spacing w:val="-15"/>
          <w:w w:val="105"/>
          <w:sz w:val="21"/>
        </w:rPr>
        <w:t xml:space="preserve"> </w:t>
      </w:r>
      <w:r>
        <w:rPr>
          <w:rFonts w:ascii="Arial"/>
          <w:color w:val="131313"/>
          <w:w w:val="105"/>
          <w:sz w:val="21"/>
        </w:rPr>
        <w:t>prices</w:t>
      </w:r>
      <w:r>
        <w:rPr>
          <w:rFonts w:ascii="Arial"/>
          <w:color w:val="131313"/>
          <w:spacing w:val="-17"/>
          <w:w w:val="105"/>
          <w:sz w:val="21"/>
        </w:rPr>
        <w:t xml:space="preserve"> </w:t>
      </w:r>
      <w:r>
        <w:rPr>
          <w:rFonts w:ascii="Arial"/>
          <w:color w:val="131313"/>
          <w:w w:val="105"/>
          <w:sz w:val="21"/>
        </w:rPr>
        <w:t>during</w:t>
      </w:r>
      <w:r>
        <w:rPr>
          <w:rFonts w:ascii="Arial"/>
          <w:color w:val="131313"/>
          <w:spacing w:val="-16"/>
          <w:w w:val="105"/>
          <w:sz w:val="21"/>
        </w:rPr>
        <w:t xml:space="preserve"> </w:t>
      </w:r>
      <w:r>
        <w:rPr>
          <w:rFonts w:ascii="Arial"/>
          <w:w w:val="105"/>
          <w:sz w:val="21"/>
        </w:rPr>
        <w:t>Injury</w:t>
      </w:r>
      <w:r>
        <w:rPr>
          <w:rFonts w:ascii="Arial"/>
          <w:spacing w:val="-15"/>
          <w:w w:val="105"/>
          <w:sz w:val="21"/>
        </w:rPr>
        <w:t xml:space="preserve"> </w:t>
      </w:r>
      <w:r>
        <w:rPr>
          <w:rFonts w:ascii="Arial"/>
          <w:color w:val="131313"/>
          <w:w w:val="105"/>
          <w:sz w:val="21"/>
        </w:rPr>
        <w:t>POI</w:t>
      </w:r>
      <w:r>
        <w:rPr>
          <w:rFonts w:ascii="Arial"/>
          <w:color w:val="131313"/>
          <w:spacing w:val="-13"/>
          <w:w w:val="105"/>
          <w:sz w:val="21"/>
        </w:rPr>
        <w:t xml:space="preserve"> </w:t>
      </w:r>
      <w:r>
        <w:rPr>
          <w:rFonts w:ascii="Arial"/>
          <w:color w:val="282828"/>
          <w:spacing w:val="-2"/>
          <w:w w:val="105"/>
          <w:sz w:val="21"/>
        </w:rPr>
        <w:t>{USO/kl)</w:t>
      </w:r>
      <w:r>
        <w:rPr>
          <w:rFonts w:ascii="Arial"/>
          <w:color w:val="282828"/>
          <w:sz w:val="21"/>
        </w:rPr>
        <w:tab/>
      </w:r>
      <w:r>
        <w:rPr>
          <w:rFonts w:ascii="Arial"/>
          <w:color w:val="131313"/>
          <w:spacing w:val="-5"/>
          <w:w w:val="105"/>
          <w:sz w:val="21"/>
        </w:rPr>
        <w:t>264</w:t>
      </w:r>
    </w:p>
    <w:p w14:paraId="51DE761D" w14:textId="77777777" w:rsidR="0010369C" w:rsidRDefault="0010369C">
      <w:pPr>
        <w:pStyle w:val="BodyText"/>
        <w:rPr>
          <w:rFonts w:ascii="Arial"/>
        </w:rPr>
      </w:pPr>
    </w:p>
    <w:p w14:paraId="51DE761E" w14:textId="77777777" w:rsidR="0010369C" w:rsidRDefault="0010369C">
      <w:pPr>
        <w:pStyle w:val="BodyText"/>
        <w:rPr>
          <w:rFonts w:ascii="Arial"/>
        </w:rPr>
      </w:pPr>
    </w:p>
    <w:p w14:paraId="51DE761F" w14:textId="77777777" w:rsidR="0010369C" w:rsidRDefault="0010369C">
      <w:pPr>
        <w:pStyle w:val="BodyText"/>
        <w:spacing w:before="1"/>
        <w:rPr>
          <w:rFonts w:ascii="Arial"/>
          <w:sz w:val="25"/>
        </w:rPr>
      </w:pPr>
    </w:p>
    <w:p w14:paraId="51DE7620" w14:textId="77777777" w:rsidR="0010369C" w:rsidRDefault="008E43AE">
      <w:pPr>
        <w:spacing w:before="1"/>
        <w:ind w:left="2132" w:right="2051"/>
        <w:jc w:val="center"/>
        <w:rPr>
          <w:rFonts w:ascii="Arial"/>
          <w:b/>
          <w:sz w:val="21"/>
        </w:rPr>
      </w:pPr>
      <w:r>
        <w:rPr>
          <w:rFonts w:ascii="Arial"/>
          <w:b/>
          <w:w w:val="90"/>
          <w:sz w:val="21"/>
        </w:rPr>
        <w:t>LIST</w:t>
      </w:r>
      <w:r>
        <w:rPr>
          <w:rFonts w:ascii="Arial"/>
          <w:b/>
          <w:spacing w:val="-6"/>
          <w:sz w:val="21"/>
        </w:rPr>
        <w:t xml:space="preserve"> </w:t>
      </w:r>
      <w:r>
        <w:rPr>
          <w:rFonts w:ascii="Arial"/>
          <w:b/>
          <w:color w:val="131313"/>
          <w:w w:val="90"/>
          <w:sz w:val="21"/>
        </w:rPr>
        <w:t>OF</w:t>
      </w:r>
      <w:r>
        <w:rPr>
          <w:rFonts w:ascii="Arial"/>
          <w:b/>
          <w:color w:val="131313"/>
          <w:spacing w:val="-11"/>
          <w:w w:val="90"/>
          <w:sz w:val="21"/>
        </w:rPr>
        <w:t xml:space="preserve"> </w:t>
      </w:r>
      <w:r>
        <w:rPr>
          <w:rFonts w:ascii="Arial"/>
          <w:b/>
          <w:spacing w:val="-2"/>
          <w:w w:val="90"/>
          <w:sz w:val="21"/>
        </w:rPr>
        <w:t>TABLES</w:t>
      </w:r>
    </w:p>
    <w:p w14:paraId="51DE7621" w14:textId="77777777" w:rsidR="0010369C" w:rsidRDefault="008E43AE">
      <w:pPr>
        <w:tabs>
          <w:tab w:val="left" w:leader="dot" w:pos="8804"/>
        </w:tabs>
        <w:spacing w:before="189"/>
        <w:ind w:left="76"/>
        <w:jc w:val="center"/>
        <w:rPr>
          <w:rFonts w:ascii="Arial"/>
          <w:sz w:val="21"/>
        </w:rPr>
      </w:pPr>
      <w:r>
        <w:rPr>
          <w:rFonts w:ascii="Arial"/>
          <w:color w:val="131313"/>
          <w:w w:val="105"/>
          <w:sz w:val="21"/>
        </w:rPr>
        <w:t>Table</w:t>
      </w:r>
      <w:r>
        <w:rPr>
          <w:rFonts w:ascii="Arial"/>
          <w:color w:val="131313"/>
          <w:spacing w:val="-16"/>
          <w:w w:val="105"/>
          <w:sz w:val="21"/>
        </w:rPr>
        <w:t xml:space="preserve"> </w:t>
      </w:r>
      <w:r>
        <w:rPr>
          <w:rFonts w:ascii="Arial"/>
          <w:color w:val="131313"/>
          <w:w w:val="105"/>
          <w:sz w:val="21"/>
        </w:rPr>
        <w:t>1</w:t>
      </w:r>
      <w:r>
        <w:rPr>
          <w:rFonts w:ascii="Arial"/>
          <w:color w:val="131313"/>
          <w:spacing w:val="-11"/>
          <w:w w:val="105"/>
          <w:sz w:val="21"/>
        </w:rPr>
        <w:t xml:space="preserve"> </w:t>
      </w:r>
      <w:r>
        <w:rPr>
          <w:rFonts w:ascii="Arial"/>
          <w:color w:val="131313"/>
          <w:w w:val="105"/>
          <w:sz w:val="21"/>
        </w:rPr>
        <w:t>Summary</w:t>
      </w:r>
      <w:r>
        <w:rPr>
          <w:rFonts w:ascii="Arial"/>
          <w:color w:val="131313"/>
          <w:spacing w:val="-3"/>
          <w:w w:val="105"/>
          <w:sz w:val="21"/>
        </w:rPr>
        <w:t xml:space="preserve"> </w:t>
      </w:r>
      <w:r>
        <w:rPr>
          <w:rFonts w:ascii="Arial"/>
          <w:color w:val="131313"/>
          <w:w w:val="105"/>
          <w:sz w:val="21"/>
        </w:rPr>
        <w:t>of</w:t>
      </w:r>
      <w:r>
        <w:rPr>
          <w:rFonts w:ascii="Arial"/>
          <w:color w:val="131313"/>
          <w:spacing w:val="3"/>
          <w:w w:val="105"/>
          <w:sz w:val="21"/>
        </w:rPr>
        <w:t xml:space="preserve"> </w:t>
      </w:r>
      <w:r>
        <w:rPr>
          <w:rFonts w:ascii="Arial"/>
          <w:color w:val="131313"/>
          <w:w w:val="105"/>
          <w:sz w:val="21"/>
        </w:rPr>
        <w:t>Anti-Dumping</w:t>
      </w:r>
      <w:r>
        <w:rPr>
          <w:rFonts w:ascii="Arial"/>
          <w:color w:val="131313"/>
          <w:spacing w:val="-8"/>
          <w:w w:val="105"/>
          <w:sz w:val="21"/>
        </w:rPr>
        <w:t xml:space="preserve"> </w:t>
      </w:r>
      <w:r>
        <w:rPr>
          <w:rFonts w:ascii="Arial"/>
          <w:color w:val="131313"/>
          <w:w w:val="105"/>
          <w:sz w:val="21"/>
        </w:rPr>
        <w:t>Duties</w:t>
      </w:r>
      <w:r>
        <w:rPr>
          <w:rFonts w:ascii="Arial"/>
          <w:color w:val="131313"/>
          <w:spacing w:val="-22"/>
          <w:w w:val="105"/>
          <w:sz w:val="21"/>
        </w:rPr>
        <w:t xml:space="preserve"> </w:t>
      </w:r>
      <w:r>
        <w:rPr>
          <w:rFonts w:ascii="Arial"/>
          <w:color w:val="131313"/>
          <w:w w:val="105"/>
          <w:sz w:val="21"/>
        </w:rPr>
        <w:t>Imposed</w:t>
      </w:r>
      <w:r>
        <w:rPr>
          <w:rFonts w:ascii="Arial"/>
          <w:color w:val="131313"/>
          <w:spacing w:val="-8"/>
          <w:w w:val="105"/>
          <w:sz w:val="21"/>
        </w:rPr>
        <w:t xml:space="preserve"> </w:t>
      </w:r>
      <w:r>
        <w:rPr>
          <w:rFonts w:ascii="Arial"/>
          <w:color w:val="131313"/>
          <w:w w:val="105"/>
          <w:sz w:val="21"/>
        </w:rPr>
        <w:t>by</w:t>
      </w:r>
      <w:r>
        <w:rPr>
          <w:rFonts w:ascii="Arial"/>
          <w:color w:val="131313"/>
          <w:spacing w:val="-28"/>
          <w:w w:val="105"/>
          <w:sz w:val="21"/>
        </w:rPr>
        <w:t xml:space="preserve"> </w:t>
      </w:r>
      <w:r>
        <w:rPr>
          <w:rFonts w:ascii="Arial"/>
          <w:color w:val="131313"/>
          <w:spacing w:val="-2"/>
          <w:w w:val="105"/>
          <w:sz w:val="21"/>
        </w:rPr>
        <w:t>MOFCOM</w:t>
      </w:r>
      <w:r>
        <w:rPr>
          <w:rFonts w:ascii="Arial"/>
          <w:color w:val="131313"/>
          <w:sz w:val="21"/>
        </w:rPr>
        <w:tab/>
      </w:r>
      <w:r>
        <w:rPr>
          <w:rFonts w:ascii="Arial"/>
          <w:color w:val="131313"/>
          <w:spacing w:val="-5"/>
          <w:w w:val="105"/>
          <w:sz w:val="21"/>
        </w:rPr>
        <w:t>270</w:t>
      </w:r>
    </w:p>
    <w:p w14:paraId="51DE7622" w14:textId="77777777" w:rsidR="0010369C" w:rsidRDefault="008E43AE">
      <w:pPr>
        <w:tabs>
          <w:tab w:val="left" w:leader="dot" w:pos="8804"/>
        </w:tabs>
        <w:spacing w:before="200"/>
        <w:ind w:left="76"/>
        <w:jc w:val="center"/>
        <w:rPr>
          <w:rFonts w:ascii="Arial"/>
          <w:sz w:val="21"/>
        </w:rPr>
      </w:pPr>
      <w:r>
        <w:rPr>
          <w:rFonts w:ascii="Arial"/>
          <w:color w:val="131313"/>
          <w:w w:val="105"/>
          <w:sz w:val="21"/>
        </w:rPr>
        <w:t>Table</w:t>
      </w:r>
      <w:r>
        <w:rPr>
          <w:rFonts w:ascii="Arial"/>
          <w:color w:val="131313"/>
          <w:spacing w:val="-10"/>
          <w:w w:val="105"/>
          <w:sz w:val="21"/>
        </w:rPr>
        <w:t xml:space="preserve"> </w:t>
      </w:r>
      <w:r>
        <w:rPr>
          <w:rFonts w:ascii="Arial"/>
          <w:color w:val="131313"/>
          <w:w w:val="105"/>
          <w:sz w:val="21"/>
        </w:rPr>
        <w:t>2</w:t>
      </w:r>
      <w:r>
        <w:rPr>
          <w:rFonts w:ascii="Arial"/>
          <w:color w:val="131313"/>
          <w:spacing w:val="-7"/>
          <w:w w:val="105"/>
          <w:sz w:val="21"/>
        </w:rPr>
        <w:t xml:space="preserve"> </w:t>
      </w:r>
      <w:r>
        <w:rPr>
          <w:rFonts w:ascii="Arial"/>
          <w:color w:val="131313"/>
          <w:w w:val="105"/>
          <w:sz w:val="21"/>
        </w:rPr>
        <w:t>Conflicting</w:t>
      </w:r>
      <w:r>
        <w:rPr>
          <w:rFonts w:ascii="Arial"/>
          <w:color w:val="131313"/>
          <w:spacing w:val="-24"/>
          <w:w w:val="105"/>
          <w:sz w:val="21"/>
        </w:rPr>
        <w:t xml:space="preserve"> </w:t>
      </w:r>
      <w:r>
        <w:rPr>
          <w:rFonts w:ascii="Arial"/>
          <w:w w:val="105"/>
          <w:sz w:val="21"/>
        </w:rPr>
        <w:t>Total</w:t>
      </w:r>
      <w:r>
        <w:rPr>
          <w:rFonts w:ascii="Arial"/>
          <w:spacing w:val="-8"/>
          <w:w w:val="105"/>
          <w:sz w:val="21"/>
        </w:rPr>
        <w:t xml:space="preserve"> </w:t>
      </w:r>
      <w:r>
        <w:rPr>
          <w:rFonts w:ascii="Arial"/>
          <w:color w:val="131313"/>
          <w:w w:val="105"/>
          <w:sz w:val="21"/>
        </w:rPr>
        <w:t>Domestic</w:t>
      </w:r>
      <w:r>
        <w:rPr>
          <w:rFonts w:ascii="Arial"/>
          <w:color w:val="131313"/>
          <w:spacing w:val="-4"/>
          <w:w w:val="105"/>
          <w:sz w:val="21"/>
        </w:rPr>
        <w:t xml:space="preserve"> </w:t>
      </w:r>
      <w:r>
        <w:rPr>
          <w:rFonts w:ascii="Arial"/>
          <w:color w:val="131313"/>
          <w:w w:val="105"/>
          <w:sz w:val="21"/>
        </w:rPr>
        <w:t>Production</w:t>
      </w:r>
      <w:r>
        <w:rPr>
          <w:rFonts w:ascii="Arial"/>
          <w:color w:val="131313"/>
          <w:spacing w:val="-6"/>
          <w:w w:val="105"/>
          <w:sz w:val="21"/>
        </w:rPr>
        <w:t xml:space="preserve"> </w:t>
      </w:r>
      <w:r>
        <w:rPr>
          <w:rFonts w:ascii="Arial"/>
          <w:color w:val="131313"/>
          <w:spacing w:val="-2"/>
          <w:w w:val="105"/>
          <w:sz w:val="21"/>
        </w:rPr>
        <w:t>Figures</w:t>
      </w:r>
      <w:r>
        <w:rPr>
          <w:rFonts w:ascii="Arial"/>
          <w:color w:val="131313"/>
          <w:sz w:val="21"/>
        </w:rPr>
        <w:tab/>
      </w:r>
      <w:r>
        <w:rPr>
          <w:rFonts w:ascii="Arial"/>
          <w:color w:val="131313"/>
          <w:spacing w:val="-5"/>
          <w:w w:val="105"/>
          <w:sz w:val="21"/>
        </w:rPr>
        <w:t>283</w:t>
      </w:r>
    </w:p>
    <w:p w14:paraId="51DE7623" w14:textId="77777777" w:rsidR="0010369C" w:rsidRDefault="0010369C">
      <w:pPr>
        <w:pStyle w:val="BodyText"/>
        <w:rPr>
          <w:rFonts w:ascii="Arial"/>
        </w:rPr>
      </w:pPr>
    </w:p>
    <w:p w14:paraId="51DE7624" w14:textId="77777777" w:rsidR="0010369C" w:rsidRDefault="0010369C">
      <w:pPr>
        <w:pStyle w:val="BodyText"/>
        <w:rPr>
          <w:rFonts w:ascii="Arial"/>
        </w:rPr>
      </w:pPr>
    </w:p>
    <w:p w14:paraId="51DE7625" w14:textId="77777777" w:rsidR="0010369C" w:rsidRDefault="0010369C">
      <w:pPr>
        <w:pStyle w:val="BodyText"/>
        <w:rPr>
          <w:rFonts w:ascii="Arial"/>
        </w:rPr>
      </w:pPr>
    </w:p>
    <w:p w14:paraId="51DE7626" w14:textId="77777777" w:rsidR="0010369C" w:rsidRDefault="0010369C">
      <w:pPr>
        <w:pStyle w:val="BodyText"/>
        <w:spacing w:before="7"/>
        <w:rPr>
          <w:rFonts w:ascii="Arial"/>
        </w:rPr>
      </w:pPr>
    </w:p>
    <w:p w14:paraId="51DE7627" w14:textId="77777777" w:rsidR="0010369C" w:rsidRDefault="008E43AE">
      <w:pPr>
        <w:spacing w:before="1"/>
        <w:ind w:left="2132" w:right="2059"/>
        <w:jc w:val="center"/>
        <w:rPr>
          <w:rFonts w:ascii="Arial"/>
          <w:b/>
          <w:sz w:val="21"/>
        </w:rPr>
      </w:pPr>
      <w:r>
        <w:rPr>
          <w:rFonts w:ascii="Arial"/>
          <w:b/>
          <w:w w:val="90"/>
          <w:sz w:val="21"/>
        </w:rPr>
        <w:t>TABLE</w:t>
      </w:r>
      <w:r>
        <w:rPr>
          <w:rFonts w:ascii="Arial"/>
          <w:b/>
          <w:spacing w:val="-1"/>
          <w:sz w:val="21"/>
        </w:rPr>
        <w:t xml:space="preserve"> </w:t>
      </w:r>
      <w:r>
        <w:rPr>
          <w:rFonts w:ascii="Arial"/>
          <w:b/>
          <w:color w:val="131313"/>
          <w:w w:val="90"/>
          <w:sz w:val="21"/>
        </w:rPr>
        <w:t>OF</w:t>
      </w:r>
      <w:r>
        <w:rPr>
          <w:rFonts w:ascii="Arial"/>
          <w:b/>
          <w:color w:val="131313"/>
          <w:spacing w:val="-2"/>
          <w:w w:val="90"/>
          <w:sz w:val="21"/>
        </w:rPr>
        <w:t xml:space="preserve"> CASES</w:t>
      </w:r>
    </w:p>
    <w:p w14:paraId="51DE7628" w14:textId="77777777" w:rsidR="0010369C" w:rsidRDefault="0010369C">
      <w:pPr>
        <w:pStyle w:val="BodyText"/>
        <w:spacing w:before="2" w:after="1"/>
        <w:rPr>
          <w:rFonts w:ascii="Arial"/>
          <w:b/>
          <w:sz w:val="12"/>
        </w:rPr>
      </w:pPr>
    </w:p>
    <w:tbl>
      <w:tblPr>
        <w:tblW w:w="0" w:type="auto"/>
        <w:tblInd w:w="264"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2268"/>
        <w:gridCol w:w="6773"/>
      </w:tblGrid>
      <w:tr w:rsidR="0010369C" w14:paraId="51DE762B" w14:textId="77777777">
        <w:trPr>
          <w:trHeight w:val="375"/>
        </w:trPr>
        <w:tc>
          <w:tcPr>
            <w:tcW w:w="2268" w:type="dxa"/>
          </w:tcPr>
          <w:p w14:paraId="51DE7629" w14:textId="77777777" w:rsidR="0010369C" w:rsidRDefault="008E43AE">
            <w:pPr>
              <w:pStyle w:val="TableParagraph"/>
              <w:spacing w:before="60"/>
              <w:ind w:left="116"/>
              <w:rPr>
                <w:rFonts w:ascii="Arial"/>
                <w:b/>
                <w:sz w:val="19"/>
              </w:rPr>
            </w:pPr>
            <w:r>
              <w:rPr>
                <w:rFonts w:ascii="Arial"/>
                <w:b/>
                <w:color w:val="131313"/>
                <w:w w:val="105"/>
                <w:sz w:val="19"/>
              </w:rPr>
              <w:t>Short</w:t>
            </w:r>
            <w:r>
              <w:rPr>
                <w:rFonts w:ascii="Arial"/>
                <w:b/>
                <w:color w:val="131313"/>
                <w:spacing w:val="-1"/>
                <w:w w:val="110"/>
                <w:sz w:val="19"/>
              </w:rPr>
              <w:t xml:space="preserve"> </w:t>
            </w:r>
            <w:r>
              <w:rPr>
                <w:rFonts w:ascii="Arial"/>
                <w:b/>
                <w:spacing w:val="-2"/>
                <w:w w:val="110"/>
                <w:sz w:val="19"/>
              </w:rPr>
              <w:t>Title</w:t>
            </w:r>
          </w:p>
        </w:tc>
        <w:tc>
          <w:tcPr>
            <w:tcW w:w="6773" w:type="dxa"/>
          </w:tcPr>
          <w:p w14:paraId="51DE762A" w14:textId="77777777" w:rsidR="0010369C" w:rsidRDefault="008E43AE">
            <w:pPr>
              <w:pStyle w:val="TableParagraph"/>
              <w:spacing w:before="60"/>
              <w:ind w:left="108"/>
              <w:rPr>
                <w:rFonts w:ascii="Arial"/>
                <w:b/>
                <w:sz w:val="19"/>
              </w:rPr>
            </w:pPr>
            <w:r>
              <w:rPr>
                <w:rFonts w:ascii="Arial"/>
                <w:b/>
                <w:w w:val="110"/>
                <w:sz w:val="19"/>
              </w:rPr>
              <w:t>Full</w:t>
            </w:r>
            <w:r>
              <w:rPr>
                <w:rFonts w:ascii="Arial"/>
                <w:b/>
                <w:spacing w:val="-15"/>
                <w:w w:val="110"/>
                <w:sz w:val="19"/>
              </w:rPr>
              <w:t xml:space="preserve"> </w:t>
            </w:r>
            <w:r>
              <w:rPr>
                <w:rFonts w:ascii="Arial"/>
                <w:b/>
                <w:color w:val="131313"/>
                <w:w w:val="110"/>
                <w:sz w:val="19"/>
              </w:rPr>
              <w:t>Case</w:t>
            </w:r>
            <w:r>
              <w:rPr>
                <w:rFonts w:ascii="Arial"/>
                <w:b/>
                <w:color w:val="131313"/>
                <w:spacing w:val="-18"/>
                <w:w w:val="110"/>
                <w:sz w:val="19"/>
              </w:rPr>
              <w:t xml:space="preserve"> </w:t>
            </w:r>
            <w:r>
              <w:rPr>
                <w:rFonts w:ascii="Arial"/>
                <w:b/>
                <w:w w:val="110"/>
                <w:sz w:val="19"/>
              </w:rPr>
              <w:t>Title</w:t>
            </w:r>
            <w:r>
              <w:rPr>
                <w:rFonts w:ascii="Arial"/>
                <w:b/>
                <w:spacing w:val="-15"/>
                <w:w w:val="110"/>
                <w:sz w:val="19"/>
              </w:rPr>
              <w:t xml:space="preserve"> </w:t>
            </w:r>
            <w:r>
              <w:rPr>
                <w:rFonts w:ascii="Arial"/>
                <w:b/>
                <w:color w:val="131313"/>
                <w:w w:val="110"/>
                <w:sz w:val="19"/>
              </w:rPr>
              <w:t>and</w:t>
            </w:r>
            <w:r>
              <w:rPr>
                <w:rFonts w:ascii="Arial"/>
                <w:b/>
                <w:color w:val="131313"/>
                <w:spacing w:val="-23"/>
                <w:w w:val="110"/>
                <w:sz w:val="19"/>
              </w:rPr>
              <w:t xml:space="preserve"> </w:t>
            </w:r>
            <w:r>
              <w:rPr>
                <w:rFonts w:ascii="Arial"/>
                <w:b/>
                <w:color w:val="131313"/>
                <w:spacing w:val="-2"/>
                <w:w w:val="110"/>
                <w:sz w:val="19"/>
              </w:rPr>
              <w:t>Citation</w:t>
            </w:r>
          </w:p>
        </w:tc>
      </w:tr>
      <w:tr w:rsidR="0010369C" w14:paraId="51DE762F" w14:textId="77777777">
        <w:trPr>
          <w:trHeight w:val="857"/>
        </w:trPr>
        <w:tc>
          <w:tcPr>
            <w:tcW w:w="2268" w:type="dxa"/>
          </w:tcPr>
          <w:p w14:paraId="51DE762C" w14:textId="77777777" w:rsidR="0010369C" w:rsidRDefault="008E43AE">
            <w:pPr>
              <w:pStyle w:val="TableParagraph"/>
              <w:spacing w:before="21" w:line="309" w:lineRule="auto"/>
              <w:ind w:left="106"/>
              <w:rPr>
                <w:rFonts w:ascii="Arial"/>
                <w:i/>
                <w:sz w:val="21"/>
              </w:rPr>
            </w:pPr>
            <w:r>
              <w:rPr>
                <w:rFonts w:ascii="Arial"/>
                <w:i/>
                <w:color w:val="131313"/>
                <w:w w:val="105"/>
                <w:sz w:val="21"/>
              </w:rPr>
              <w:t>Argentina</w:t>
            </w:r>
            <w:r>
              <w:rPr>
                <w:rFonts w:ascii="Arial"/>
                <w:i/>
                <w:color w:val="131313"/>
                <w:spacing w:val="-16"/>
                <w:w w:val="105"/>
                <w:sz w:val="21"/>
              </w:rPr>
              <w:t xml:space="preserve"> </w:t>
            </w:r>
            <w:r>
              <w:rPr>
                <w:rFonts w:ascii="Arial"/>
                <w:w w:val="105"/>
                <w:sz w:val="21"/>
              </w:rPr>
              <w:t>-</w:t>
            </w:r>
            <w:r>
              <w:rPr>
                <w:rFonts w:ascii="Arial"/>
                <w:spacing w:val="11"/>
                <w:w w:val="105"/>
                <w:sz w:val="21"/>
              </w:rPr>
              <w:t xml:space="preserve"> </w:t>
            </w:r>
            <w:r>
              <w:rPr>
                <w:rFonts w:ascii="Arial"/>
                <w:i/>
                <w:color w:val="131313"/>
                <w:w w:val="105"/>
                <w:sz w:val="21"/>
              </w:rPr>
              <w:t xml:space="preserve">Ceramic </w:t>
            </w:r>
            <w:r>
              <w:rPr>
                <w:rFonts w:ascii="Arial"/>
                <w:i/>
                <w:color w:val="131313"/>
                <w:spacing w:val="-4"/>
                <w:w w:val="105"/>
                <w:sz w:val="21"/>
              </w:rPr>
              <w:t>Tiles</w:t>
            </w:r>
          </w:p>
        </w:tc>
        <w:tc>
          <w:tcPr>
            <w:tcW w:w="6773" w:type="dxa"/>
          </w:tcPr>
          <w:p w14:paraId="51DE762D" w14:textId="77777777" w:rsidR="0010369C" w:rsidRDefault="008E43AE">
            <w:pPr>
              <w:pStyle w:val="TableParagraph"/>
              <w:spacing w:before="31"/>
              <w:ind w:left="106"/>
              <w:rPr>
                <w:rFonts w:ascii="Arial"/>
                <w:i/>
                <w:sz w:val="21"/>
              </w:rPr>
            </w:pPr>
            <w:r>
              <w:rPr>
                <w:rFonts w:ascii="Arial"/>
                <w:color w:val="131313"/>
                <w:w w:val="105"/>
                <w:sz w:val="21"/>
              </w:rPr>
              <w:t>Panel</w:t>
            </w:r>
            <w:r>
              <w:rPr>
                <w:rFonts w:ascii="Arial"/>
                <w:color w:val="131313"/>
                <w:spacing w:val="-9"/>
                <w:w w:val="105"/>
                <w:sz w:val="21"/>
              </w:rPr>
              <w:t xml:space="preserve"> </w:t>
            </w:r>
            <w:r>
              <w:rPr>
                <w:rFonts w:ascii="Arial"/>
                <w:color w:val="131313"/>
                <w:w w:val="105"/>
                <w:sz w:val="21"/>
              </w:rPr>
              <w:t>Report,</w:t>
            </w:r>
            <w:r>
              <w:rPr>
                <w:rFonts w:ascii="Arial"/>
                <w:color w:val="131313"/>
                <w:spacing w:val="-27"/>
                <w:w w:val="105"/>
                <w:sz w:val="21"/>
              </w:rPr>
              <w:t xml:space="preserve"> </w:t>
            </w:r>
            <w:r>
              <w:rPr>
                <w:rFonts w:ascii="Arial"/>
                <w:i/>
                <w:color w:val="131313"/>
                <w:w w:val="105"/>
                <w:sz w:val="21"/>
              </w:rPr>
              <w:t>Argentina</w:t>
            </w:r>
            <w:r>
              <w:rPr>
                <w:rFonts w:ascii="Arial"/>
                <w:i/>
                <w:color w:val="131313"/>
                <w:spacing w:val="-5"/>
                <w:w w:val="105"/>
                <w:sz w:val="21"/>
              </w:rPr>
              <w:t xml:space="preserve"> </w:t>
            </w:r>
            <w:r>
              <w:rPr>
                <w:rFonts w:ascii="Arial"/>
                <w:color w:val="131313"/>
                <w:w w:val="105"/>
                <w:sz w:val="21"/>
              </w:rPr>
              <w:t>-</w:t>
            </w:r>
            <w:r>
              <w:rPr>
                <w:rFonts w:ascii="Arial"/>
                <w:color w:val="131313"/>
                <w:spacing w:val="37"/>
                <w:w w:val="105"/>
                <w:sz w:val="21"/>
              </w:rPr>
              <w:t xml:space="preserve"> </w:t>
            </w:r>
            <w:r>
              <w:rPr>
                <w:rFonts w:ascii="Arial"/>
                <w:i/>
                <w:color w:val="131313"/>
                <w:w w:val="105"/>
                <w:sz w:val="21"/>
              </w:rPr>
              <w:t>Definitive</w:t>
            </w:r>
            <w:r>
              <w:rPr>
                <w:rFonts w:ascii="Arial"/>
                <w:i/>
                <w:color w:val="131313"/>
                <w:spacing w:val="-21"/>
                <w:w w:val="105"/>
                <w:sz w:val="21"/>
              </w:rPr>
              <w:t xml:space="preserve"> </w:t>
            </w:r>
            <w:r>
              <w:rPr>
                <w:rFonts w:ascii="Arial"/>
                <w:i/>
                <w:color w:val="131313"/>
                <w:w w:val="105"/>
                <w:sz w:val="21"/>
              </w:rPr>
              <w:t>Anti-Dumping</w:t>
            </w:r>
            <w:r>
              <w:rPr>
                <w:rFonts w:ascii="Arial"/>
                <w:i/>
                <w:color w:val="131313"/>
                <w:spacing w:val="5"/>
                <w:w w:val="105"/>
                <w:sz w:val="21"/>
              </w:rPr>
              <w:t xml:space="preserve"> </w:t>
            </w:r>
            <w:r>
              <w:rPr>
                <w:rFonts w:ascii="Arial"/>
                <w:i/>
                <w:color w:val="131313"/>
                <w:w w:val="105"/>
                <w:sz w:val="21"/>
              </w:rPr>
              <w:t>Measures</w:t>
            </w:r>
            <w:r>
              <w:rPr>
                <w:rFonts w:ascii="Arial"/>
                <w:i/>
                <w:color w:val="131313"/>
                <w:spacing w:val="6"/>
                <w:w w:val="105"/>
                <w:sz w:val="21"/>
              </w:rPr>
              <w:t xml:space="preserve"> </w:t>
            </w:r>
            <w:r>
              <w:rPr>
                <w:rFonts w:ascii="Arial"/>
                <w:i/>
                <w:color w:val="131313"/>
                <w:spacing w:val="-5"/>
                <w:w w:val="105"/>
                <w:sz w:val="21"/>
              </w:rPr>
              <w:t>on</w:t>
            </w:r>
          </w:p>
          <w:p w14:paraId="51DE762E" w14:textId="77777777" w:rsidR="0010369C" w:rsidRDefault="008E43AE">
            <w:pPr>
              <w:pStyle w:val="TableParagraph"/>
              <w:spacing w:before="4" w:line="280" w:lineRule="atLeast"/>
              <w:ind w:left="106" w:hanging="7"/>
              <w:rPr>
                <w:rFonts w:ascii="Arial"/>
                <w:sz w:val="21"/>
              </w:rPr>
            </w:pPr>
            <w:r>
              <w:rPr>
                <w:rFonts w:ascii="Arial"/>
                <w:i/>
                <w:color w:val="131313"/>
                <w:w w:val="105"/>
                <w:sz w:val="21"/>
              </w:rPr>
              <w:t>Imports</w:t>
            </w:r>
            <w:r>
              <w:rPr>
                <w:rFonts w:ascii="Arial"/>
                <w:i/>
                <w:color w:val="131313"/>
                <w:spacing w:val="-3"/>
                <w:w w:val="105"/>
                <w:sz w:val="21"/>
              </w:rPr>
              <w:t xml:space="preserve"> </w:t>
            </w:r>
            <w:r>
              <w:rPr>
                <w:rFonts w:ascii="Arial"/>
                <w:i/>
                <w:color w:val="131313"/>
                <w:w w:val="105"/>
                <w:sz w:val="21"/>
              </w:rPr>
              <w:t>of</w:t>
            </w:r>
            <w:r>
              <w:rPr>
                <w:rFonts w:ascii="Arial"/>
                <w:i/>
                <w:color w:val="131313"/>
                <w:spacing w:val="-2"/>
                <w:w w:val="105"/>
                <w:sz w:val="21"/>
              </w:rPr>
              <w:t xml:space="preserve"> </w:t>
            </w:r>
            <w:r>
              <w:rPr>
                <w:rFonts w:ascii="Arial"/>
                <w:i/>
                <w:color w:val="131313"/>
                <w:w w:val="105"/>
                <w:sz w:val="21"/>
              </w:rPr>
              <w:t>Ceramic Floor</w:t>
            </w:r>
            <w:r>
              <w:rPr>
                <w:rFonts w:ascii="Arial"/>
                <w:i/>
                <w:color w:val="131313"/>
                <w:spacing w:val="-2"/>
                <w:w w:val="105"/>
                <w:sz w:val="21"/>
              </w:rPr>
              <w:t xml:space="preserve"> </w:t>
            </w:r>
            <w:r>
              <w:rPr>
                <w:rFonts w:ascii="Arial"/>
                <w:i/>
                <w:color w:val="131313"/>
                <w:w w:val="105"/>
                <w:sz w:val="21"/>
              </w:rPr>
              <w:t>Tiles</w:t>
            </w:r>
            <w:r>
              <w:rPr>
                <w:rFonts w:ascii="Arial"/>
                <w:i/>
                <w:color w:val="131313"/>
                <w:spacing w:val="-39"/>
                <w:w w:val="105"/>
                <w:sz w:val="21"/>
              </w:rPr>
              <w:t xml:space="preserve"> </w:t>
            </w:r>
            <w:r>
              <w:rPr>
                <w:rFonts w:ascii="Arial"/>
                <w:i/>
                <w:color w:val="131313"/>
                <w:w w:val="105"/>
                <w:sz w:val="21"/>
              </w:rPr>
              <w:t>from</w:t>
            </w:r>
            <w:r>
              <w:rPr>
                <w:rFonts w:ascii="Arial"/>
                <w:i/>
                <w:color w:val="131313"/>
                <w:spacing w:val="-3"/>
                <w:w w:val="105"/>
                <w:sz w:val="21"/>
              </w:rPr>
              <w:t xml:space="preserve"> </w:t>
            </w:r>
            <w:r>
              <w:rPr>
                <w:rFonts w:ascii="Arial"/>
                <w:i/>
                <w:color w:val="131313"/>
                <w:w w:val="105"/>
                <w:sz w:val="21"/>
              </w:rPr>
              <w:t>Italy,</w:t>
            </w:r>
            <w:r>
              <w:rPr>
                <w:rFonts w:ascii="Arial"/>
                <w:i/>
                <w:color w:val="131313"/>
                <w:spacing w:val="-26"/>
                <w:w w:val="105"/>
                <w:sz w:val="21"/>
              </w:rPr>
              <w:t xml:space="preserve"> </w:t>
            </w:r>
            <w:r>
              <w:rPr>
                <w:rFonts w:ascii="Arial"/>
                <w:color w:val="131313"/>
                <w:w w:val="105"/>
                <w:sz w:val="21"/>
              </w:rPr>
              <w:t>WT</w:t>
            </w:r>
            <w:r>
              <w:rPr>
                <w:rFonts w:ascii="Arial"/>
                <w:color w:val="282828"/>
                <w:w w:val="105"/>
                <w:sz w:val="21"/>
              </w:rPr>
              <w:t xml:space="preserve">/DS189/R, </w:t>
            </w:r>
            <w:r>
              <w:rPr>
                <w:rFonts w:ascii="Arial"/>
                <w:color w:val="131313"/>
                <w:w w:val="105"/>
                <w:sz w:val="21"/>
              </w:rPr>
              <w:t>adopted</w:t>
            </w:r>
            <w:r>
              <w:rPr>
                <w:rFonts w:ascii="Arial"/>
                <w:color w:val="131313"/>
                <w:spacing w:val="-5"/>
                <w:w w:val="105"/>
                <w:sz w:val="21"/>
              </w:rPr>
              <w:t xml:space="preserve"> </w:t>
            </w:r>
            <w:r>
              <w:rPr>
                <w:rFonts w:ascii="Arial"/>
                <w:color w:val="131313"/>
                <w:w w:val="105"/>
                <w:sz w:val="21"/>
              </w:rPr>
              <w:t>5 November 2001,</w:t>
            </w:r>
            <w:r>
              <w:rPr>
                <w:rFonts w:ascii="Arial"/>
                <w:color w:val="131313"/>
                <w:spacing w:val="-19"/>
                <w:w w:val="105"/>
                <w:sz w:val="21"/>
              </w:rPr>
              <w:t xml:space="preserve"> </w:t>
            </w:r>
            <w:r>
              <w:rPr>
                <w:rFonts w:ascii="Arial"/>
                <w:color w:val="131313"/>
                <w:w w:val="105"/>
                <w:sz w:val="21"/>
              </w:rPr>
              <w:t>DSR 2001:XII, p. 6241</w:t>
            </w:r>
          </w:p>
        </w:tc>
      </w:tr>
      <w:tr w:rsidR="0010369C" w14:paraId="51DE7633" w14:textId="77777777">
        <w:trPr>
          <w:trHeight w:val="857"/>
        </w:trPr>
        <w:tc>
          <w:tcPr>
            <w:tcW w:w="2268" w:type="dxa"/>
          </w:tcPr>
          <w:p w14:paraId="51DE7630" w14:textId="77777777" w:rsidR="0010369C" w:rsidRDefault="008E43AE">
            <w:pPr>
              <w:pStyle w:val="TableParagraph"/>
              <w:spacing w:before="21" w:line="288" w:lineRule="auto"/>
              <w:ind w:left="107" w:right="71"/>
              <w:rPr>
                <w:rFonts w:ascii="Arial"/>
                <w:i/>
                <w:sz w:val="21"/>
              </w:rPr>
            </w:pPr>
            <w:r>
              <w:rPr>
                <w:rFonts w:ascii="Arial"/>
                <w:i/>
                <w:color w:val="131313"/>
                <w:w w:val="105"/>
                <w:sz w:val="21"/>
              </w:rPr>
              <w:t xml:space="preserve">Argentina </w:t>
            </w:r>
            <w:r>
              <w:rPr>
                <w:rFonts w:ascii="Arial"/>
                <w:w w:val="105"/>
                <w:sz w:val="21"/>
              </w:rPr>
              <w:t>-</w:t>
            </w:r>
            <w:r>
              <w:rPr>
                <w:rFonts w:ascii="Arial"/>
                <w:spacing w:val="40"/>
                <w:w w:val="105"/>
                <w:sz w:val="21"/>
              </w:rPr>
              <w:t xml:space="preserve"> </w:t>
            </w:r>
            <w:r>
              <w:rPr>
                <w:rFonts w:ascii="Arial"/>
                <w:i/>
                <w:color w:val="131313"/>
                <w:w w:val="105"/>
                <w:sz w:val="21"/>
              </w:rPr>
              <w:t>Poultry Anti-Dumping</w:t>
            </w:r>
            <w:r>
              <w:rPr>
                <w:rFonts w:ascii="Arial"/>
                <w:i/>
                <w:color w:val="131313"/>
                <w:spacing w:val="-16"/>
                <w:w w:val="105"/>
                <w:sz w:val="21"/>
              </w:rPr>
              <w:t xml:space="preserve"> </w:t>
            </w:r>
            <w:r>
              <w:rPr>
                <w:rFonts w:ascii="Arial"/>
                <w:i/>
                <w:color w:val="131313"/>
                <w:w w:val="105"/>
                <w:sz w:val="21"/>
              </w:rPr>
              <w:t>Duties</w:t>
            </w:r>
          </w:p>
        </w:tc>
        <w:tc>
          <w:tcPr>
            <w:tcW w:w="6773" w:type="dxa"/>
          </w:tcPr>
          <w:p w14:paraId="51DE7631" w14:textId="77777777" w:rsidR="0010369C" w:rsidRDefault="008E43AE">
            <w:pPr>
              <w:pStyle w:val="TableParagraph"/>
              <w:spacing w:before="31"/>
              <w:ind w:left="103" w:firstLine="2"/>
              <w:rPr>
                <w:rFonts w:ascii="Arial"/>
                <w:i/>
                <w:sz w:val="21"/>
              </w:rPr>
            </w:pPr>
            <w:r>
              <w:rPr>
                <w:rFonts w:ascii="Arial"/>
                <w:color w:val="131313"/>
                <w:w w:val="105"/>
                <w:sz w:val="21"/>
              </w:rPr>
              <w:t>Panel</w:t>
            </w:r>
            <w:r>
              <w:rPr>
                <w:rFonts w:ascii="Arial"/>
                <w:color w:val="131313"/>
                <w:spacing w:val="-4"/>
                <w:w w:val="105"/>
                <w:sz w:val="21"/>
              </w:rPr>
              <w:t xml:space="preserve"> </w:t>
            </w:r>
            <w:r>
              <w:rPr>
                <w:rFonts w:ascii="Arial"/>
                <w:color w:val="131313"/>
                <w:w w:val="105"/>
                <w:sz w:val="21"/>
              </w:rPr>
              <w:t>Report,</w:t>
            </w:r>
            <w:r>
              <w:rPr>
                <w:rFonts w:ascii="Arial"/>
                <w:color w:val="131313"/>
                <w:spacing w:val="-27"/>
                <w:w w:val="105"/>
                <w:sz w:val="21"/>
              </w:rPr>
              <w:t xml:space="preserve"> </w:t>
            </w:r>
            <w:r>
              <w:rPr>
                <w:rFonts w:ascii="Arial"/>
                <w:i/>
                <w:color w:val="131313"/>
                <w:w w:val="105"/>
                <w:sz w:val="21"/>
              </w:rPr>
              <w:t>Argentina</w:t>
            </w:r>
            <w:r>
              <w:rPr>
                <w:rFonts w:ascii="Arial"/>
                <w:i/>
                <w:color w:val="131313"/>
                <w:spacing w:val="-3"/>
                <w:w w:val="105"/>
                <w:sz w:val="21"/>
              </w:rPr>
              <w:t xml:space="preserve"> </w:t>
            </w:r>
            <w:r>
              <w:rPr>
                <w:rFonts w:ascii="Arial"/>
                <w:color w:val="131313"/>
                <w:w w:val="105"/>
                <w:sz w:val="21"/>
              </w:rPr>
              <w:t>-</w:t>
            </w:r>
            <w:r>
              <w:rPr>
                <w:rFonts w:ascii="Arial"/>
                <w:color w:val="131313"/>
                <w:spacing w:val="42"/>
                <w:w w:val="105"/>
                <w:sz w:val="21"/>
              </w:rPr>
              <w:t xml:space="preserve"> </w:t>
            </w:r>
            <w:r>
              <w:rPr>
                <w:rFonts w:ascii="Arial"/>
                <w:i/>
                <w:color w:val="131313"/>
                <w:w w:val="105"/>
                <w:sz w:val="21"/>
              </w:rPr>
              <w:t>Definitive</w:t>
            </w:r>
            <w:r>
              <w:rPr>
                <w:rFonts w:ascii="Arial"/>
                <w:i/>
                <w:color w:val="131313"/>
                <w:spacing w:val="-21"/>
                <w:w w:val="105"/>
                <w:sz w:val="21"/>
              </w:rPr>
              <w:t xml:space="preserve"> </w:t>
            </w:r>
            <w:r>
              <w:rPr>
                <w:rFonts w:ascii="Arial"/>
                <w:i/>
                <w:color w:val="131313"/>
                <w:w w:val="105"/>
                <w:sz w:val="21"/>
              </w:rPr>
              <w:t>Anti-Dumping</w:t>
            </w:r>
            <w:r>
              <w:rPr>
                <w:rFonts w:ascii="Arial"/>
                <w:i/>
                <w:color w:val="131313"/>
                <w:spacing w:val="9"/>
                <w:w w:val="105"/>
                <w:sz w:val="21"/>
              </w:rPr>
              <w:t xml:space="preserve"> </w:t>
            </w:r>
            <w:r>
              <w:rPr>
                <w:rFonts w:ascii="Arial"/>
                <w:i/>
                <w:color w:val="131313"/>
                <w:w w:val="105"/>
                <w:sz w:val="21"/>
              </w:rPr>
              <w:t>Duties</w:t>
            </w:r>
            <w:r>
              <w:rPr>
                <w:rFonts w:ascii="Arial"/>
                <w:i/>
                <w:color w:val="131313"/>
                <w:spacing w:val="-12"/>
                <w:w w:val="105"/>
                <w:sz w:val="21"/>
              </w:rPr>
              <w:t xml:space="preserve"> </w:t>
            </w:r>
            <w:r>
              <w:rPr>
                <w:rFonts w:ascii="Arial"/>
                <w:i/>
                <w:color w:val="131313"/>
                <w:spacing w:val="-5"/>
                <w:w w:val="105"/>
                <w:sz w:val="21"/>
              </w:rPr>
              <w:t>on</w:t>
            </w:r>
          </w:p>
          <w:p w14:paraId="51DE7632" w14:textId="77777777" w:rsidR="0010369C" w:rsidRDefault="008E43AE">
            <w:pPr>
              <w:pStyle w:val="TableParagraph"/>
              <w:spacing w:line="290" w:lineRule="atLeast"/>
              <w:ind w:left="116" w:hanging="14"/>
              <w:rPr>
                <w:rFonts w:ascii="Arial"/>
                <w:sz w:val="21"/>
              </w:rPr>
            </w:pPr>
            <w:r>
              <w:rPr>
                <w:rFonts w:ascii="Arial"/>
                <w:i/>
                <w:color w:val="131313"/>
                <w:w w:val="105"/>
                <w:sz w:val="21"/>
              </w:rPr>
              <w:t>Poultry</w:t>
            </w:r>
            <w:r>
              <w:rPr>
                <w:rFonts w:ascii="Arial"/>
                <w:i/>
                <w:color w:val="131313"/>
                <w:spacing w:val="-33"/>
                <w:w w:val="105"/>
                <w:sz w:val="21"/>
              </w:rPr>
              <w:t xml:space="preserve"> </w:t>
            </w:r>
            <w:r>
              <w:rPr>
                <w:rFonts w:ascii="Arial"/>
                <w:i/>
                <w:color w:val="131313"/>
                <w:w w:val="105"/>
                <w:sz w:val="21"/>
              </w:rPr>
              <w:t>from</w:t>
            </w:r>
            <w:r>
              <w:rPr>
                <w:rFonts w:ascii="Arial"/>
                <w:i/>
                <w:color w:val="131313"/>
                <w:spacing w:val="-8"/>
                <w:w w:val="105"/>
                <w:sz w:val="21"/>
              </w:rPr>
              <w:t xml:space="preserve"> </w:t>
            </w:r>
            <w:r>
              <w:rPr>
                <w:rFonts w:ascii="Arial"/>
                <w:i/>
                <w:color w:val="131313"/>
                <w:w w:val="105"/>
                <w:sz w:val="21"/>
              </w:rPr>
              <w:t>Brazil,</w:t>
            </w:r>
            <w:r>
              <w:rPr>
                <w:rFonts w:ascii="Arial"/>
                <w:i/>
                <w:color w:val="131313"/>
                <w:spacing w:val="-15"/>
                <w:w w:val="105"/>
                <w:sz w:val="21"/>
              </w:rPr>
              <w:t xml:space="preserve"> </w:t>
            </w:r>
            <w:r>
              <w:rPr>
                <w:rFonts w:ascii="Arial"/>
                <w:color w:val="131313"/>
                <w:w w:val="105"/>
                <w:sz w:val="21"/>
              </w:rPr>
              <w:t>WT</w:t>
            </w:r>
            <w:r>
              <w:rPr>
                <w:rFonts w:ascii="Arial"/>
                <w:color w:val="282828"/>
                <w:w w:val="105"/>
                <w:sz w:val="21"/>
              </w:rPr>
              <w:t>/DS241/R,</w:t>
            </w:r>
            <w:r>
              <w:rPr>
                <w:rFonts w:ascii="Arial"/>
                <w:color w:val="282828"/>
                <w:spacing w:val="-5"/>
                <w:w w:val="105"/>
                <w:sz w:val="21"/>
              </w:rPr>
              <w:t xml:space="preserve"> </w:t>
            </w:r>
            <w:r>
              <w:rPr>
                <w:rFonts w:ascii="Arial"/>
                <w:color w:val="131313"/>
                <w:w w:val="105"/>
                <w:sz w:val="21"/>
              </w:rPr>
              <w:t>adopted</w:t>
            </w:r>
            <w:r>
              <w:rPr>
                <w:rFonts w:ascii="Arial"/>
                <w:color w:val="131313"/>
                <w:spacing w:val="-13"/>
                <w:w w:val="105"/>
                <w:sz w:val="21"/>
              </w:rPr>
              <w:t xml:space="preserve"> </w:t>
            </w:r>
            <w:r>
              <w:rPr>
                <w:rFonts w:ascii="Arial"/>
                <w:color w:val="131313"/>
                <w:w w:val="105"/>
                <w:sz w:val="21"/>
              </w:rPr>
              <w:t>19</w:t>
            </w:r>
            <w:r>
              <w:rPr>
                <w:rFonts w:ascii="Arial"/>
                <w:color w:val="131313"/>
                <w:spacing w:val="-18"/>
                <w:w w:val="105"/>
                <w:sz w:val="21"/>
              </w:rPr>
              <w:t xml:space="preserve"> </w:t>
            </w:r>
            <w:r>
              <w:rPr>
                <w:rFonts w:ascii="Arial"/>
                <w:color w:val="131313"/>
                <w:w w:val="105"/>
                <w:sz w:val="21"/>
              </w:rPr>
              <w:t>May</w:t>
            </w:r>
            <w:r>
              <w:rPr>
                <w:rFonts w:ascii="Arial"/>
                <w:color w:val="131313"/>
                <w:spacing w:val="-3"/>
                <w:w w:val="105"/>
                <w:sz w:val="21"/>
              </w:rPr>
              <w:t xml:space="preserve"> </w:t>
            </w:r>
            <w:r>
              <w:rPr>
                <w:rFonts w:ascii="Arial"/>
                <w:color w:val="131313"/>
                <w:w w:val="105"/>
                <w:sz w:val="21"/>
              </w:rPr>
              <w:t>2003,</w:t>
            </w:r>
            <w:r>
              <w:rPr>
                <w:rFonts w:ascii="Arial"/>
                <w:color w:val="131313"/>
                <w:spacing w:val="-29"/>
                <w:w w:val="105"/>
                <w:sz w:val="21"/>
              </w:rPr>
              <w:t xml:space="preserve"> </w:t>
            </w:r>
            <w:r>
              <w:rPr>
                <w:rFonts w:ascii="Arial"/>
                <w:color w:val="131313"/>
                <w:w w:val="105"/>
                <w:sz w:val="21"/>
              </w:rPr>
              <w:t>DSR 2003:V, p. 1727</w:t>
            </w:r>
          </w:p>
        </w:tc>
      </w:tr>
      <w:tr w:rsidR="0010369C" w14:paraId="51DE7637" w14:textId="77777777">
        <w:trPr>
          <w:trHeight w:val="857"/>
        </w:trPr>
        <w:tc>
          <w:tcPr>
            <w:tcW w:w="2268" w:type="dxa"/>
          </w:tcPr>
          <w:p w14:paraId="51DE7634" w14:textId="77777777" w:rsidR="0010369C" w:rsidRDefault="008E43AE">
            <w:pPr>
              <w:pStyle w:val="TableParagraph"/>
              <w:spacing w:before="21"/>
              <w:ind w:left="107"/>
              <w:rPr>
                <w:rFonts w:ascii="Arial"/>
                <w:i/>
                <w:sz w:val="21"/>
              </w:rPr>
            </w:pPr>
            <w:r>
              <w:rPr>
                <w:rFonts w:ascii="Arial"/>
                <w:i/>
                <w:color w:val="131313"/>
                <w:w w:val="110"/>
                <w:sz w:val="21"/>
              </w:rPr>
              <w:t>Australia</w:t>
            </w:r>
            <w:r>
              <w:rPr>
                <w:rFonts w:ascii="Arial"/>
                <w:i/>
                <w:color w:val="131313"/>
                <w:spacing w:val="-17"/>
                <w:w w:val="110"/>
                <w:sz w:val="21"/>
              </w:rPr>
              <w:t xml:space="preserve"> </w:t>
            </w:r>
            <w:r>
              <w:rPr>
                <w:rFonts w:ascii="Arial"/>
                <w:color w:val="131313"/>
                <w:w w:val="110"/>
                <w:sz w:val="21"/>
              </w:rPr>
              <w:t>-</w:t>
            </w:r>
            <w:r>
              <w:rPr>
                <w:rFonts w:ascii="Arial"/>
                <w:color w:val="131313"/>
                <w:spacing w:val="15"/>
                <w:w w:val="110"/>
                <w:sz w:val="21"/>
              </w:rPr>
              <w:t xml:space="preserve"> </w:t>
            </w:r>
            <w:r>
              <w:rPr>
                <w:rFonts w:ascii="Arial"/>
                <w:i/>
                <w:color w:val="131313"/>
                <w:spacing w:val="-2"/>
                <w:w w:val="110"/>
                <w:sz w:val="21"/>
              </w:rPr>
              <w:t>Anti-</w:t>
            </w:r>
          </w:p>
          <w:p w14:paraId="51DE7635" w14:textId="77777777" w:rsidR="0010369C" w:rsidRDefault="008E43AE">
            <w:pPr>
              <w:pStyle w:val="TableParagraph"/>
              <w:spacing w:line="290" w:lineRule="atLeast"/>
              <w:ind w:left="112" w:right="71" w:firstLine="1"/>
              <w:rPr>
                <w:rFonts w:ascii="Arial"/>
                <w:i/>
                <w:sz w:val="21"/>
              </w:rPr>
            </w:pPr>
            <w:r>
              <w:rPr>
                <w:rFonts w:ascii="Arial"/>
                <w:i/>
                <w:color w:val="131313"/>
                <w:spacing w:val="-2"/>
                <w:w w:val="105"/>
                <w:sz w:val="21"/>
              </w:rPr>
              <w:t>Dumping</w:t>
            </w:r>
            <w:r>
              <w:rPr>
                <w:rFonts w:ascii="Arial"/>
                <w:i/>
                <w:color w:val="131313"/>
                <w:spacing w:val="-14"/>
                <w:w w:val="105"/>
                <w:sz w:val="21"/>
              </w:rPr>
              <w:t xml:space="preserve"> </w:t>
            </w:r>
            <w:r>
              <w:rPr>
                <w:rFonts w:ascii="Arial"/>
                <w:i/>
                <w:color w:val="131313"/>
                <w:spacing w:val="-2"/>
                <w:w w:val="105"/>
                <w:sz w:val="21"/>
              </w:rPr>
              <w:t xml:space="preserve">Measures </w:t>
            </w:r>
            <w:r>
              <w:rPr>
                <w:rFonts w:ascii="Arial"/>
                <w:i/>
                <w:color w:val="131313"/>
                <w:w w:val="105"/>
                <w:sz w:val="21"/>
              </w:rPr>
              <w:t>on A4 Copy Paper</w:t>
            </w:r>
          </w:p>
        </w:tc>
        <w:tc>
          <w:tcPr>
            <w:tcW w:w="6773" w:type="dxa"/>
          </w:tcPr>
          <w:p w14:paraId="51DE7636" w14:textId="77777777" w:rsidR="0010369C" w:rsidRDefault="008E43AE">
            <w:pPr>
              <w:pStyle w:val="TableParagraph"/>
              <w:spacing w:before="21" w:line="300" w:lineRule="auto"/>
              <w:ind w:left="103" w:right="157" w:firstLine="2"/>
              <w:rPr>
                <w:rFonts w:ascii="Arial"/>
                <w:sz w:val="21"/>
              </w:rPr>
            </w:pPr>
            <w:r>
              <w:rPr>
                <w:rFonts w:ascii="Arial"/>
                <w:color w:val="131313"/>
                <w:w w:val="105"/>
                <w:sz w:val="21"/>
              </w:rPr>
              <w:t>Panel Report,</w:t>
            </w:r>
            <w:r>
              <w:rPr>
                <w:rFonts w:ascii="Arial"/>
                <w:color w:val="131313"/>
                <w:spacing w:val="-23"/>
                <w:w w:val="105"/>
                <w:sz w:val="21"/>
              </w:rPr>
              <w:t xml:space="preserve"> </w:t>
            </w:r>
            <w:r>
              <w:rPr>
                <w:rFonts w:ascii="Arial"/>
                <w:i/>
                <w:color w:val="131313"/>
                <w:w w:val="105"/>
                <w:sz w:val="21"/>
              </w:rPr>
              <w:t>Australia</w:t>
            </w:r>
            <w:r>
              <w:rPr>
                <w:rFonts w:ascii="Arial"/>
                <w:i/>
                <w:color w:val="131313"/>
                <w:spacing w:val="-1"/>
                <w:w w:val="105"/>
                <w:sz w:val="21"/>
              </w:rPr>
              <w:t xml:space="preserve"> </w:t>
            </w:r>
            <w:r>
              <w:rPr>
                <w:rFonts w:ascii="Arial"/>
                <w:i/>
                <w:color w:val="131313"/>
                <w:w w:val="105"/>
                <w:sz w:val="21"/>
              </w:rPr>
              <w:t>-Anti-Dumping Measures on</w:t>
            </w:r>
            <w:r>
              <w:rPr>
                <w:rFonts w:ascii="Arial"/>
                <w:i/>
                <w:color w:val="131313"/>
                <w:spacing w:val="-14"/>
                <w:w w:val="105"/>
                <w:sz w:val="21"/>
              </w:rPr>
              <w:t xml:space="preserve"> </w:t>
            </w:r>
            <w:r>
              <w:rPr>
                <w:rFonts w:ascii="Arial"/>
                <w:i/>
                <w:color w:val="131313"/>
                <w:w w:val="105"/>
                <w:sz w:val="21"/>
              </w:rPr>
              <w:t>A4</w:t>
            </w:r>
            <w:r>
              <w:rPr>
                <w:rFonts w:ascii="Arial"/>
                <w:i/>
                <w:color w:val="131313"/>
                <w:spacing w:val="-11"/>
                <w:w w:val="105"/>
                <w:sz w:val="21"/>
              </w:rPr>
              <w:t xml:space="preserve"> </w:t>
            </w:r>
            <w:r>
              <w:rPr>
                <w:rFonts w:ascii="Arial"/>
                <w:i/>
                <w:color w:val="131313"/>
                <w:w w:val="105"/>
                <w:sz w:val="21"/>
              </w:rPr>
              <w:t>Copy Paper,</w:t>
            </w:r>
            <w:r>
              <w:rPr>
                <w:rFonts w:ascii="Arial"/>
                <w:i/>
                <w:color w:val="131313"/>
                <w:spacing w:val="-14"/>
                <w:w w:val="105"/>
                <w:sz w:val="21"/>
              </w:rPr>
              <w:t xml:space="preserve"> </w:t>
            </w:r>
            <w:r>
              <w:rPr>
                <w:rFonts w:ascii="Arial"/>
                <w:color w:val="131313"/>
                <w:w w:val="105"/>
                <w:sz w:val="21"/>
              </w:rPr>
              <w:t>WT/DS529/R</w:t>
            </w:r>
            <w:r>
              <w:rPr>
                <w:rFonts w:ascii="Arial"/>
                <w:color w:val="131313"/>
                <w:spacing w:val="37"/>
                <w:w w:val="105"/>
                <w:sz w:val="21"/>
              </w:rPr>
              <w:t xml:space="preserve"> </w:t>
            </w:r>
            <w:r>
              <w:rPr>
                <w:rFonts w:ascii="Arial"/>
                <w:color w:val="131313"/>
                <w:w w:val="105"/>
                <w:sz w:val="21"/>
              </w:rPr>
              <w:t>and</w:t>
            </w:r>
            <w:r>
              <w:rPr>
                <w:rFonts w:ascii="Arial"/>
                <w:color w:val="131313"/>
                <w:spacing w:val="-11"/>
                <w:w w:val="105"/>
                <w:sz w:val="21"/>
              </w:rPr>
              <w:t xml:space="preserve"> </w:t>
            </w:r>
            <w:r>
              <w:rPr>
                <w:rFonts w:ascii="Arial"/>
                <w:color w:val="131313"/>
                <w:w w:val="105"/>
                <w:sz w:val="21"/>
              </w:rPr>
              <w:t>Add.1,</w:t>
            </w:r>
            <w:r>
              <w:rPr>
                <w:rFonts w:ascii="Arial"/>
                <w:color w:val="131313"/>
                <w:spacing w:val="-6"/>
                <w:w w:val="105"/>
                <w:sz w:val="21"/>
              </w:rPr>
              <w:t xml:space="preserve"> </w:t>
            </w:r>
            <w:r>
              <w:rPr>
                <w:rFonts w:ascii="Arial"/>
                <w:color w:val="131313"/>
                <w:w w:val="105"/>
                <w:sz w:val="21"/>
              </w:rPr>
              <w:t>adopted 28</w:t>
            </w:r>
            <w:r>
              <w:rPr>
                <w:rFonts w:ascii="Arial"/>
                <w:color w:val="131313"/>
                <w:spacing w:val="-11"/>
                <w:w w:val="105"/>
                <w:sz w:val="21"/>
              </w:rPr>
              <w:t xml:space="preserve"> </w:t>
            </w:r>
            <w:r>
              <w:rPr>
                <w:rFonts w:ascii="Arial"/>
                <w:color w:val="131313"/>
                <w:w w:val="105"/>
                <w:sz w:val="21"/>
              </w:rPr>
              <w:t>January 2020</w:t>
            </w:r>
          </w:p>
        </w:tc>
      </w:tr>
      <w:tr w:rsidR="0010369C" w14:paraId="51DE763C" w14:textId="77777777">
        <w:trPr>
          <w:trHeight w:val="546"/>
        </w:trPr>
        <w:tc>
          <w:tcPr>
            <w:tcW w:w="2268" w:type="dxa"/>
          </w:tcPr>
          <w:p w14:paraId="51DE7638" w14:textId="77777777" w:rsidR="0010369C" w:rsidRDefault="008E43AE">
            <w:pPr>
              <w:pStyle w:val="TableParagraph"/>
              <w:spacing w:before="31"/>
              <w:ind w:left="103"/>
              <w:rPr>
                <w:rFonts w:ascii="Arial"/>
                <w:i/>
                <w:sz w:val="21"/>
              </w:rPr>
            </w:pPr>
            <w:r>
              <w:rPr>
                <w:rFonts w:ascii="Arial"/>
                <w:i/>
                <w:color w:val="131313"/>
                <w:w w:val="105"/>
                <w:sz w:val="21"/>
              </w:rPr>
              <w:t>Canada</w:t>
            </w:r>
            <w:r>
              <w:rPr>
                <w:rFonts w:ascii="Arial"/>
                <w:i/>
                <w:color w:val="131313"/>
                <w:spacing w:val="-18"/>
                <w:w w:val="105"/>
                <w:sz w:val="21"/>
              </w:rPr>
              <w:t xml:space="preserve"> </w:t>
            </w:r>
            <w:r>
              <w:rPr>
                <w:rFonts w:ascii="Arial"/>
                <w:color w:val="131313"/>
                <w:w w:val="105"/>
                <w:sz w:val="21"/>
              </w:rPr>
              <w:t>-</w:t>
            </w:r>
            <w:r>
              <w:rPr>
                <w:rFonts w:ascii="Arial"/>
                <w:color w:val="131313"/>
                <w:spacing w:val="25"/>
                <w:w w:val="105"/>
                <w:sz w:val="21"/>
              </w:rPr>
              <w:t xml:space="preserve"> </w:t>
            </w:r>
            <w:r>
              <w:rPr>
                <w:rFonts w:ascii="Arial"/>
                <w:i/>
                <w:color w:val="131313"/>
                <w:spacing w:val="-2"/>
                <w:w w:val="105"/>
                <w:sz w:val="21"/>
              </w:rPr>
              <w:t>Welded</w:t>
            </w:r>
          </w:p>
          <w:p w14:paraId="51DE7639" w14:textId="77777777" w:rsidR="0010369C" w:rsidRDefault="008E43AE">
            <w:pPr>
              <w:pStyle w:val="TableParagraph"/>
              <w:spacing w:before="49" w:line="205" w:lineRule="exact"/>
              <w:ind w:left="113"/>
              <w:rPr>
                <w:rFonts w:ascii="Arial"/>
                <w:i/>
                <w:sz w:val="21"/>
              </w:rPr>
            </w:pPr>
            <w:r>
              <w:rPr>
                <w:rFonts w:ascii="Arial"/>
                <w:i/>
                <w:color w:val="131313"/>
                <w:spacing w:val="-4"/>
                <w:sz w:val="21"/>
              </w:rPr>
              <w:t>Pipe</w:t>
            </w:r>
          </w:p>
        </w:tc>
        <w:tc>
          <w:tcPr>
            <w:tcW w:w="6773" w:type="dxa"/>
          </w:tcPr>
          <w:p w14:paraId="51DE763A" w14:textId="77777777" w:rsidR="0010369C" w:rsidRDefault="008E43AE">
            <w:pPr>
              <w:pStyle w:val="TableParagraph"/>
              <w:spacing w:before="31"/>
              <w:ind w:left="106"/>
              <w:rPr>
                <w:rFonts w:ascii="Arial"/>
                <w:i/>
                <w:sz w:val="21"/>
              </w:rPr>
            </w:pPr>
            <w:r>
              <w:rPr>
                <w:rFonts w:ascii="Arial"/>
                <w:color w:val="131313"/>
                <w:w w:val="105"/>
                <w:sz w:val="21"/>
              </w:rPr>
              <w:t>Panel</w:t>
            </w:r>
            <w:r>
              <w:rPr>
                <w:rFonts w:ascii="Arial"/>
                <w:color w:val="131313"/>
                <w:spacing w:val="3"/>
                <w:w w:val="105"/>
                <w:sz w:val="21"/>
              </w:rPr>
              <w:t xml:space="preserve"> </w:t>
            </w:r>
            <w:r>
              <w:rPr>
                <w:rFonts w:ascii="Arial"/>
                <w:color w:val="131313"/>
                <w:w w:val="105"/>
                <w:sz w:val="21"/>
              </w:rPr>
              <w:t>Report,</w:t>
            </w:r>
            <w:r>
              <w:rPr>
                <w:rFonts w:ascii="Arial"/>
                <w:color w:val="131313"/>
                <w:spacing w:val="-27"/>
                <w:w w:val="105"/>
                <w:sz w:val="21"/>
              </w:rPr>
              <w:t xml:space="preserve"> </w:t>
            </w:r>
            <w:r>
              <w:rPr>
                <w:rFonts w:ascii="Arial"/>
                <w:i/>
                <w:color w:val="131313"/>
                <w:w w:val="105"/>
                <w:sz w:val="21"/>
              </w:rPr>
              <w:t>Canada</w:t>
            </w:r>
            <w:r>
              <w:rPr>
                <w:rFonts w:ascii="Arial"/>
                <w:i/>
                <w:color w:val="131313"/>
                <w:spacing w:val="-17"/>
                <w:w w:val="105"/>
                <w:sz w:val="21"/>
              </w:rPr>
              <w:t xml:space="preserve"> </w:t>
            </w:r>
            <w:r>
              <w:rPr>
                <w:rFonts w:ascii="Arial"/>
                <w:i/>
                <w:color w:val="131313"/>
                <w:w w:val="105"/>
                <w:sz w:val="21"/>
              </w:rPr>
              <w:t>-Anti-Dumping</w:t>
            </w:r>
            <w:r>
              <w:rPr>
                <w:rFonts w:ascii="Arial"/>
                <w:i/>
                <w:color w:val="131313"/>
                <w:spacing w:val="32"/>
                <w:w w:val="105"/>
                <w:sz w:val="21"/>
              </w:rPr>
              <w:t xml:space="preserve"> </w:t>
            </w:r>
            <w:r>
              <w:rPr>
                <w:rFonts w:ascii="Arial"/>
                <w:i/>
                <w:color w:val="131313"/>
                <w:w w:val="105"/>
                <w:sz w:val="21"/>
              </w:rPr>
              <w:t>Measures</w:t>
            </w:r>
            <w:r>
              <w:rPr>
                <w:rFonts w:ascii="Arial"/>
                <w:i/>
                <w:color w:val="131313"/>
                <w:spacing w:val="6"/>
                <w:w w:val="105"/>
                <w:sz w:val="21"/>
              </w:rPr>
              <w:t xml:space="preserve"> </w:t>
            </w:r>
            <w:r>
              <w:rPr>
                <w:rFonts w:ascii="Arial"/>
                <w:i/>
                <w:color w:val="131313"/>
                <w:w w:val="105"/>
                <w:sz w:val="21"/>
              </w:rPr>
              <w:t>on</w:t>
            </w:r>
            <w:r>
              <w:rPr>
                <w:rFonts w:ascii="Arial"/>
                <w:i/>
                <w:color w:val="131313"/>
                <w:spacing w:val="6"/>
                <w:w w:val="105"/>
                <w:sz w:val="21"/>
              </w:rPr>
              <w:t xml:space="preserve"> </w:t>
            </w:r>
            <w:r>
              <w:rPr>
                <w:rFonts w:ascii="Arial"/>
                <w:i/>
                <w:color w:val="131313"/>
                <w:w w:val="105"/>
                <w:sz w:val="21"/>
              </w:rPr>
              <w:t>Imports</w:t>
            </w:r>
            <w:r>
              <w:rPr>
                <w:rFonts w:ascii="Arial"/>
                <w:i/>
                <w:color w:val="131313"/>
                <w:spacing w:val="-6"/>
                <w:w w:val="105"/>
                <w:sz w:val="21"/>
              </w:rPr>
              <w:t xml:space="preserve"> </w:t>
            </w:r>
            <w:r>
              <w:rPr>
                <w:rFonts w:ascii="Arial"/>
                <w:i/>
                <w:color w:val="131313"/>
                <w:spacing w:val="-5"/>
                <w:w w:val="105"/>
                <w:sz w:val="21"/>
              </w:rPr>
              <w:t>of</w:t>
            </w:r>
          </w:p>
          <w:p w14:paraId="51DE763B" w14:textId="77777777" w:rsidR="0010369C" w:rsidRDefault="008E43AE">
            <w:pPr>
              <w:pStyle w:val="TableParagraph"/>
              <w:spacing w:before="49" w:line="205" w:lineRule="exact"/>
              <w:ind w:left="103"/>
              <w:rPr>
                <w:rFonts w:ascii="Arial"/>
                <w:i/>
                <w:sz w:val="21"/>
              </w:rPr>
            </w:pPr>
            <w:r>
              <w:rPr>
                <w:rFonts w:ascii="Arial"/>
                <w:i/>
                <w:color w:val="131313"/>
                <w:w w:val="105"/>
                <w:sz w:val="21"/>
              </w:rPr>
              <w:t>Certain</w:t>
            </w:r>
            <w:r>
              <w:rPr>
                <w:rFonts w:ascii="Arial"/>
                <w:i/>
                <w:color w:val="131313"/>
                <w:spacing w:val="1"/>
                <w:w w:val="105"/>
                <w:sz w:val="21"/>
              </w:rPr>
              <w:t xml:space="preserve"> </w:t>
            </w:r>
            <w:r>
              <w:rPr>
                <w:rFonts w:ascii="Arial"/>
                <w:i/>
                <w:color w:val="131313"/>
                <w:w w:val="105"/>
                <w:sz w:val="21"/>
              </w:rPr>
              <w:t>Carbon</w:t>
            </w:r>
            <w:r>
              <w:rPr>
                <w:rFonts w:ascii="Arial"/>
                <w:i/>
                <w:color w:val="131313"/>
                <w:spacing w:val="-16"/>
                <w:w w:val="105"/>
                <w:sz w:val="21"/>
              </w:rPr>
              <w:t xml:space="preserve"> </w:t>
            </w:r>
            <w:r>
              <w:rPr>
                <w:rFonts w:ascii="Arial"/>
                <w:i/>
                <w:color w:val="131313"/>
                <w:w w:val="105"/>
                <w:sz w:val="21"/>
              </w:rPr>
              <w:t>Steel</w:t>
            </w:r>
            <w:r>
              <w:rPr>
                <w:rFonts w:ascii="Arial"/>
                <w:i/>
                <w:color w:val="131313"/>
                <w:spacing w:val="-5"/>
                <w:w w:val="105"/>
                <w:sz w:val="21"/>
              </w:rPr>
              <w:t xml:space="preserve"> </w:t>
            </w:r>
            <w:r>
              <w:rPr>
                <w:rFonts w:ascii="Arial"/>
                <w:i/>
                <w:color w:val="131313"/>
                <w:w w:val="105"/>
                <w:sz w:val="21"/>
              </w:rPr>
              <w:t>Welded</w:t>
            </w:r>
            <w:r>
              <w:rPr>
                <w:rFonts w:ascii="Arial"/>
                <w:i/>
                <w:color w:val="131313"/>
                <w:spacing w:val="-6"/>
                <w:w w:val="105"/>
                <w:sz w:val="21"/>
              </w:rPr>
              <w:t xml:space="preserve"> </w:t>
            </w:r>
            <w:r>
              <w:rPr>
                <w:rFonts w:ascii="Arial"/>
                <w:i/>
                <w:color w:val="131313"/>
                <w:w w:val="105"/>
                <w:sz w:val="21"/>
              </w:rPr>
              <w:t>Pipefrom</w:t>
            </w:r>
            <w:r>
              <w:rPr>
                <w:rFonts w:ascii="Arial"/>
                <w:i/>
                <w:color w:val="131313"/>
                <w:spacing w:val="-7"/>
                <w:w w:val="105"/>
                <w:sz w:val="21"/>
              </w:rPr>
              <w:t xml:space="preserve"> </w:t>
            </w:r>
            <w:r>
              <w:rPr>
                <w:rFonts w:ascii="Arial"/>
                <w:i/>
                <w:color w:val="131313"/>
                <w:w w:val="105"/>
                <w:sz w:val="21"/>
              </w:rPr>
              <w:t>theSeparate</w:t>
            </w:r>
            <w:r>
              <w:rPr>
                <w:rFonts w:ascii="Arial"/>
                <w:i/>
                <w:color w:val="131313"/>
                <w:spacing w:val="-5"/>
                <w:w w:val="105"/>
                <w:sz w:val="21"/>
              </w:rPr>
              <w:t xml:space="preserve"> </w:t>
            </w:r>
            <w:r>
              <w:rPr>
                <w:rFonts w:ascii="Arial"/>
                <w:i/>
                <w:color w:val="131313"/>
                <w:spacing w:val="-2"/>
                <w:w w:val="105"/>
                <w:sz w:val="21"/>
              </w:rPr>
              <w:t>Customs</w:t>
            </w:r>
          </w:p>
        </w:tc>
      </w:tr>
    </w:tbl>
    <w:p w14:paraId="51DE763D" w14:textId="77777777" w:rsidR="0010369C" w:rsidRDefault="0010369C">
      <w:pPr>
        <w:spacing w:line="205" w:lineRule="exact"/>
        <w:rPr>
          <w:rFonts w:ascii="Arial"/>
          <w:sz w:val="21"/>
        </w:rPr>
        <w:sectPr w:rsidR="0010369C">
          <w:headerReference w:type="default" r:id="rId9"/>
          <w:footerReference w:type="default" r:id="rId10"/>
          <w:pgSz w:w="11910" w:h="16840"/>
          <w:pgMar w:top="500" w:right="1220" w:bottom="1020" w:left="1180" w:header="0" w:footer="826" w:gutter="0"/>
          <w:cols w:space="720"/>
        </w:sectPr>
      </w:pPr>
    </w:p>
    <w:p w14:paraId="51DE763E" w14:textId="77777777" w:rsidR="0010369C" w:rsidRDefault="008E43AE">
      <w:pPr>
        <w:tabs>
          <w:tab w:val="left" w:pos="6425"/>
        </w:tabs>
        <w:ind w:left="238"/>
        <w:rPr>
          <w:sz w:val="20"/>
        </w:rPr>
      </w:pPr>
      <w:r>
        <w:rPr>
          <w:i/>
          <w:sz w:val="20"/>
        </w:rPr>
        <w:lastRenderedPageBreak/>
        <w:t>China</w:t>
      </w:r>
      <w:r>
        <w:rPr>
          <w:i/>
          <w:spacing w:val="-5"/>
          <w:sz w:val="20"/>
        </w:rPr>
        <w:t xml:space="preserve"> </w:t>
      </w:r>
      <w:r>
        <w:rPr>
          <w:i/>
          <w:sz w:val="20"/>
        </w:rPr>
        <w:t>–</w:t>
      </w:r>
      <w:r>
        <w:rPr>
          <w:i/>
          <w:spacing w:val="-5"/>
          <w:sz w:val="20"/>
        </w:rPr>
        <w:t xml:space="preserve"> </w:t>
      </w:r>
      <w:r>
        <w:rPr>
          <w:i/>
          <w:sz w:val="20"/>
        </w:rPr>
        <w:t>Anti‐Dumping</w:t>
      </w:r>
      <w:r>
        <w:rPr>
          <w:i/>
          <w:spacing w:val="-4"/>
          <w:sz w:val="20"/>
        </w:rPr>
        <w:t xml:space="preserve"> </w:t>
      </w:r>
      <w:r>
        <w:rPr>
          <w:i/>
          <w:sz w:val="20"/>
        </w:rPr>
        <w:t>and</w:t>
      </w:r>
      <w:r>
        <w:rPr>
          <w:i/>
          <w:spacing w:val="-5"/>
          <w:sz w:val="20"/>
        </w:rPr>
        <w:t xml:space="preserve"> </w:t>
      </w:r>
      <w:r>
        <w:rPr>
          <w:i/>
          <w:sz w:val="20"/>
        </w:rPr>
        <w:t>Countervailing</w:t>
      </w:r>
      <w:r>
        <w:rPr>
          <w:i/>
          <w:spacing w:val="-5"/>
          <w:sz w:val="20"/>
        </w:rPr>
        <w:t xml:space="preserve"> </w:t>
      </w:r>
      <w:r>
        <w:rPr>
          <w:i/>
          <w:sz w:val="20"/>
        </w:rPr>
        <w:t>Duty</w:t>
      </w:r>
      <w:r>
        <w:rPr>
          <w:i/>
          <w:spacing w:val="-4"/>
          <w:sz w:val="20"/>
        </w:rPr>
        <w:t xml:space="preserve"> </w:t>
      </w:r>
      <w:r>
        <w:rPr>
          <w:i/>
          <w:spacing w:val="-2"/>
          <w:sz w:val="20"/>
        </w:rPr>
        <w:t>Measures</w:t>
      </w:r>
      <w:r>
        <w:rPr>
          <w:i/>
          <w:sz w:val="20"/>
        </w:rPr>
        <w:tab/>
      </w:r>
      <w:r>
        <w:rPr>
          <w:sz w:val="20"/>
        </w:rPr>
        <w:t>Australia's</w:t>
      </w:r>
      <w:r>
        <w:rPr>
          <w:spacing w:val="-6"/>
          <w:sz w:val="20"/>
        </w:rPr>
        <w:t xml:space="preserve"> </w:t>
      </w:r>
      <w:r>
        <w:rPr>
          <w:sz w:val="20"/>
        </w:rPr>
        <w:t>First</w:t>
      </w:r>
      <w:r>
        <w:rPr>
          <w:spacing w:val="-2"/>
          <w:sz w:val="20"/>
        </w:rPr>
        <w:t xml:space="preserve"> </w:t>
      </w:r>
      <w:r>
        <w:rPr>
          <w:sz w:val="20"/>
        </w:rPr>
        <w:t>Written</w:t>
      </w:r>
      <w:r>
        <w:rPr>
          <w:spacing w:val="-2"/>
          <w:sz w:val="20"/>
        </w:rPr>
        <w:t xml:space="preserve"> Submission</w:t>
      </w:r>
    </w:p>
    <w:p w14:paraId="51DE763F" w14:textId="77777777" w:rsidR="0010369C" w:rsidRDefault="008E43AE">
      <w:pPr>
        <w:tabs>
          <w:tab w:val="left" w:pos="8227"/>
        </w:tabs>
        <w:spacing w:before="1" w:after="35"/>
        <w:ind w:left="239"/>
        <w:rPr>
          <w:sz w:val="20"/>
        </w:rPr>
      </w:pPr>
      <w:r>
        <w:rPr>
          <w:i/>
          <w:sz w:val="20"/>
        </w:rPr>
        <w:t>on</w:t>
      </w:r>
      <w:r>
        <w:rPr>
          <w:i/>
          <w:spacing w:val="-1"/>
          <w:sz w:val="20"/>
        </w:rPr>
        <w:t xml:space="preserve"> </w:t>
      </w:r>
      <w:r>
        <w:rPr>
          <w:i/>
          <w:sz w:val="20"/>
        </w:rPr>
        <w:t>Wine</w:t>
      </w:r>
      <w:r>
        <w:rPr>
          <w:i/>
          <w:spacing w:val="-1"/>
          <w:sz w:val="20"/>
        </w:rPr>
        <w:t xml:space="preserve"> </w:t>
      </w:r>
      <w:r>
        <w:rPr>
          <w:i/>
          <w:sz w:val="20"/>
        </w:rPr>
        <w:t>from</w:t>
      </w:r>
      <w:r>
        <w:rPr>
          <w:i/>
          <w:spacing w:val="-3"/>
          <w:sz w:val="20"/>
        </w:rPr>
        <w:t xml:space="preserve"> </w:t>
      </w:r>
      <w:r>
        <w:rPr>
          <w:i/>
          <w:sz w:val="20"/>
        </w:rPr>
        <w:t>Australia</w:t>
      </w:r>
      <w:r>
        <w:rPr>
          <w:i/>
          <w:spacing w:val="-1"/>
          <w:sz w:val="20"/>
        </w:rPr>
        <w:t xml:space="preserve"> </w:t>
      </w:r>
      <w:r>
        <w:rPr>
          <w:spacing w:val="-2"/>
          <w:sz w:val="20"/>
        </w:rPr>
        <w:t>(DS602)</w:t>
      </w:r>
      <w:r>
        <w:rPr>
          <w:sz w:val="20"/>
        </w:rPr>
        <w:tab/>
        <w:t>29</w:t>
      </w:r>
      <w:r>
        <w:rPr>
          <w:spacing w:val="-1"/>
          <w:sz w:val="20"/>
        </w:rPr>
        <w:t xml:space="preserve"> </w:t>
      </w:r>
      <w:r>
        <w:rPr>
          <w:sz w:val="20"/>
        </w:rPr>
        <w:t>April</w:t>
      </w:r>
      <w:r>
        <w:rPr>
          <w:spacing w:val="-2"/>
          <w:sz w:val="20"/>
        </w:rPr>
        <w:t xml:space="preserve"> </w:t>
      </w:r>
      <w:r>
        <w:rPr>
          <w:spacing w:val="-4"/>
          <w:sz w:val="20"/>
        </w:rPr>
        <w:t>2022</w:t>
      </w:r>
    </w:p>
    <w:tbl>
      <w:tblPr>
        <w:tblW w:w="0" w:type="auto"/>
        <w:tblInd w:w="25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255"/>
        <w:gridCol w:w="6761"/>
      </w:tblGrid>
      <w:tr w:rsidR="0010369C" w14:paraId="51DE7643" w14:textId="77777777">
        <w:trPr>
          <w:trHeight w:val="585"/>
        </w:trPr>
        <w:tc>
          <w:tcPr>
            <w:tcW w:w="2255" w:type="dxa"/>
          </w:tcPr>
          <w:p w14:paraId="51DE7640" w14:textId="77777777" w:rsidR="0010369C" w:rsidRDefault="0010369C">
            <w:pPr>
              <w:pStyle w:val="TableParagraph"/>
              <w:rPr>
                <w:rFonts w:ascii="Times New Roman"/>
              </w:rPr>
            </w:pPr>
          </w:p>
        </w:tc>
        <w:tc>
          <w:tcPr>
            <w:tcW w:w="6761" w:type="dxa"/>
          </w:tcPr>
          <w:p w14:paraId="51DE7641" w14:textId="77777777" w:rsidR="0010369C" w:rsidRDefault="008E43AE">
            <w:pPr>
              <w:pStyle w:val="TableParagraph"/>
              <w:spacing w:line="292" w:lineRule="exact"/>
              <w:ind w:left="106"/>
              <w:rPr>
                <w:sz w:val="24"/>
              </w:rPr>
            </w:pPr>
            <w:r>
              <w:rPr>
                <w:i/>
                <w:sz w:val="24"/>
              </w:rPr>
              <w:t>Territory</w:t>
            </w:r>
            <w:r>
              <w:rPr>
                <w:i/>
                <w:spacing w:val="-3"/>
                <w:sz w:val="24"/>
              </w:rPr>
              <w:t xml:space="preserve"> </w:t>
            </w:r>
            <w:r>
              <w:rPr>
                <w:i/>
                <w:sz w:val="24"/>
              </w:rPr>
              <w:t>of</w:t>
            </w:r>
            <w:r>
              <w:rPr>
                <w:i/>
                <w:spacing w:val="-2"/>
                <w:sz w:val="24"/>
              </w:rPr>
              <w:t xml:space="preserve"> </w:t>
            </w:r>
            <w:r>
              <w:rPr>
                <w:i/>
                <w:sz w:val="24"/>
              </w:rPr>
              <w:t>Taiwan,</w:t>
            </w:r>
            <w:r>
              <w:rPr>
                <w:i/>
                <w:spacing w:val="-1"/>
                <w:sz w:val="24"/>
              </w:rPr>
              <w:t xml:space="preserve"> </w:t>
            </w:r>
            <w:r>
              <w:rPr>
                <w:i/>
                <w:sz w:val="24"/>
              </w:rPr>
              <w:t>Penghu,</w:t>
            </w:r>
            <w:r>
              <w:rPr>
                <w:i/>
                <w:spacing w:val="-2"/>
                <w:sz w:val="24"/>
              </w:rPr>
              <w:t xml:space="preserve"> </w:t>
            </w:r>
            <w:r>
              <w:rPr>
                <w:i/>
                <w:sz w:val="24"/>
              </w:rPr>
              <w:t>Kinmen</w:t>
            </w:r>
            <w:r>
              <w:rPr>
                <w:i/>
                <w:spacing w:val="-3"/>
                <w:sz w:val="24"/>
              </w:rPr>
              <w:t xml:space="preserve"> </w:t>
            </w:r>
            <w:r>
              <w:rPr>
                <w:i/>
                <w:sz w:val="24"/>
              </w:rPr>
              <w:t>and</w:t>
            </w:r>
            <w:r>
              <w:rPr>
                <w:i/>
                <w:spacing w:val="-1"/>
                <w:sz w:val="24"/>
              </w:rPr>
              <w:t xml:space="preserve"> </w:t>
            </w:r>
            <w:r>
              <w:rPr>
                <w:i/>
                <w:sz w:val="24"/>
              </w:rPr>
              <w:t>Matsu</w:t>
            </w:r>
            <w:r>
              <w:rPr>
                <w:sz w:val="24"/>
              </w:rPr>
              <w:t>,</w:t>
            </w:r>
            <w:r>
              <w:rPr>
                <w:spacing w:val="-3"/>
                <w:sz w:val="24"/>
              </w:rPr>
              <w:t xml:space="preserve"> </w:t>
            </w:r>
            <w:r>
              <w:rPr>
                <w:sz w:val="24"/>
              </w:rPr>
              <w:t>WT/DS482/R</w:t>
            </w:r>
            <w:r>
              <w:rPr>
                <w:spacing w:val="-2"/>
                <w:sz w:val="24"/>
              </w:rPr>
              <w:t xml:space="preserve"> </w:t>
            </w:r>
            <w:r>
              <w:rPr>
                <w:spacing w:val="-5"/>
                <w:sz w:val="24"/>
              </w:rPr>
              <w:t>and</w:t>
            </w:r>
          </w:p>
          <w:p w14:paraId="51DE7642" w14:textId="77777777" w:rsidR="0010369C" w:rsidRDefault="008E43AE">
            <w:pPr>
              <w:pStyle w:val="TableParagraph"/>
              <w:spacing w:line="274" w:lineRule="exact"/>
              <w:ind w:left="106"/>
              <w:rPr>
                <w:sz w:val="24"/>
              </w:rPr>
            </w:pPr>
            <w:r>
              <w:rPr>
                <w:sz w:val="24"/>
              </w:rPr>
              <w:t>Add.1,</w:t>
            </w:r>
            <w:r>
              <w:rPr>
                <w:spacing w:val="-5"/>
                <w:sz w:val="24"/>
              </w:rPr>
              <w:t xml:space="preserve"> </w:t>
            </w:r>
            <w:r>
              <w:rPr>
                <w:sz w:val="24"/>
              </w:rPr>
              <w:t>adopted</w:t>
            </w:r>
            <w:r>
              <w:rPr>
                <w:spacing w:val="-3"/>
                <w:sz w:val="24"/>
              </w:rPr>
              <w:t xml:space="preserve"> </w:t>
            </w:r>
            <w:r>
              <w:rPr>
                <w:sz w:val="24"/>
              </w:rPr>
              <w:t>25</w:t>
            </w:r>
            <w:r>
              <w:rPr>
                <w:spacing w:val="-3"/>
                <w:sz w:val="24"/>
              </w:rPr>
              <w:t xml:space="preserve"> </w:t>
            </w:r>
            <w:r>
              <w:rPr>
                <w:sz w:val="24"/>
              </w:rPr>
              <w:t>January</w:t>
            </w:r>
            <w:r>
              <w:rPr>
                <w:spacing w:val="-2"/>
                <w:sz w:val="24"/>
              </w:rPr>
              <w:t xml:space="preserve"> </w:t>
            </w:r>
            <w:r>
              <w:rPr>
                <w:sz w:val="24"/>
              </w:rPr>
              <w:t>2017,</w:t>
            </w:r>
            <w:r>
              <w:rPr>
                <w:spacing w:val="-3"/>
                <w:sz w:val="24"/>
              </w:rPr>
              <w:t xml:space="preserve"> </w:t>
            </w:r>
            <w:r>
              <w:rPr>
                <w:sz w:val="24"/>
              </w:rPr>
              <w:t>DSR</w:t>
            </w:r>
            <w:r>
              <w:rPr>
                <w:spacing w:val="-2"/>
                <w:sz w:val="24"/>
              </w:rPr>
              <w:t xml:space="preserve"> </w:t>
            </w:r>
            <w:r>
              <w:rPr>
                <w:sz w:val="24"/>
              </w:rPr>
              <w:t>2017:I,</w:t>
            </w:r>
            <w:r>
              <w:rPr>
                <w:spacing w:val="-3"/>
                <w:sz w:val="24"/>
              </w:rPr>
              <w:t xml:space="preserve"> </w:t>
            </w:r>
            <w:r>
              <w:rPr>
                <w:sz w:val="24"/>
              </w:rPr>
              <w:t xml:space="preserve">p. </w:t>
            </w:r>
            <w:r>
              <w:rPr>
                <w:spacing w:val="-12"/>
                <w:sz w:val="24"/>
              </w:rPr>
              <w:t>7</w:t>
            </w:r>
          </w:p>
        </w:tc>
      </w:tr>
      <w:tr w:rsidR="0010369C" w14:paraId="51DE7647" w14:textId="77777777">
        <w:trPr>
          <w:trHeight w:val="878"/>
        </w:trPr>
        <w:tc>
          <w:tcPr>
            <w:tcW w:w="2255" w:type="dxa"/>
          </w:tcPr>
          <w:p w14:paraId="51DE7644" w14:textId="77777777" w:rsidR="0010369C" w:rsidRDefault="008E43AE">
            <w:pPr>
              <w:pStyle w:val="TableParagraph"/>
              <w:spacing w:line="292" w:lineRule="exact"/>
              <w:ind w:left="107"/>
              <w:rPr>
                <w:i/>
                <w:sz w:val="24"/>
              </w:rPr>
            </w:pPr>
            <w:r>
              <w:rPr>
                <w:i/>
                <w:sz w:val="24"/>
              </w:rPr>
              <w:t>China</w:t>
            </w:r>
            <w:r>
              <w:rPr>
                <w:i/>
                <w:spacing w:val="-3"/>
                <w:sz w:val="24"/>
              </w:rPr>
              <w:t xml:space="preserve"> </w:t>
            </w:r>
            <w:r>
              <w:rPr>
                <w:i/>
                <w:sz w:val="24"/>
              </w:rPr>
              <w:t>–</w:t>
            </w:r>
            <w:r>
              <w:rPr>
                <w:i/>
                <w:spacing w:val="-1"/>
                <w:sz w:val="24"/>
              </w:rPr>
              <w:t xml:space="preserve"> </w:t>
            </w:r>
            <w:r>
              <w:rPr>
                <w:i/>
                <w:sz w:val="24"/>
              </w:rPr>
              <w:t>Autos</w:t>
            </w:r>
            <w:r>
              <w:rPr>
                <w:i/>
                <w:spacing w:val="-1"/>
                <w:sz w:val="24"/>
              </w:rPr>
              <w:t xml:space="preserve"> </w:t>
            </w:r>
            <w:r>
              <w:rPr>
                <w:i/>
                <w:spacing w:val="-4"/>
                <w:sz w:val="24"/>
              </w:rPr>
              <w:t>(US)</w:t>
            </w:r>
          </w:p>
        </w:tc>
        <w:tc>
          <w:tcPr>
            <w:tcW w:w="6761" w:type="dxa"/>
          </w:tcPr>
          <w:p w14:paraId="51DE7645" w14:textId="77777777" w:rsidR="0010369C" w:rsidRDefault="008E43AE">
            <w:pPr>
              <w:pStyle w:val="TableParagraph"/>
              <w:ind w:left="106"/>
              <w:rPr>
                <w:sz w:val="24"/>
              </w:rPr>
            </w:pPr>
            <w:r>
              <w:rPr>
                <w:sz w:val="24"/>
              </w:rPr>
              <w:t>Panel</w:t>
            </w:r>
            <w:r>
              <w:rPr>
                <w:spacing w:val="-6"/>
                <w:sz w:val="24"/>
              </w:rPr>
              <w:t xml:space="preserve"> </w:t>
            </w:r>
            <w:r>
              <w:rPr>
                <w:sz w:val="24"/>
              </w:rPr>
              <w:t>Report,</w:t>
            </w:r>
            <w:r>
              <w:rPr>
                <w:spacing w:val="-5"/>
                <w:sz w:val="24"/>
              </w:rPr>
              <w:t xml:space="preserve"> </w:t>
            </w:r>
            <w:r>
              <w:rPr>
                <w:i/>
                <w:sz w:val="24"/>
              </w:rPr>
              <w:t>China</w:t>
            </w:r>
            <w:r>
              <w:rPr>
                <w:i/>
                <w:spacing w:val="-5"/>
                <w:sz w:val="24"/>
              </w:rPr>
              <w:t xml:space="preserve"> </w:t>
            </w:r>
            <w:r>
              <w:rPr>
                <w:i/>
                <w:sz w:val="24"/>
              </w:rPr>
              <w:t>–</w:t>
            </w:r>
            <w:r>
              <w:rPr>
                <w:i/>
                <w:spacing w:val="-5"/>
                <w:sz w:val="24"/>
              </w:rPr>
              <w:t xml:space="preserve"> </w:t>
            </w:r>
            <w:r>
              <w:rPr>
                <w:i/>
                <w:sz w:val="24"/>
              </w:rPr>
              <w:t>Anti‐Dumping</w:t>
            </w:r>
            <w:r>
              <w:rPr>
                <w:i/>
                <w:spacing w:val="-6"/>
                <w:sz w:val="24"/>
              </w:rPr>
              <w:t xml:space="preserve"> </w:t>
            </w:r>
            <w:r>
              <w:rPr>
                <w:i/>
                <w:sz w:val="24"/>
              </w:rPr>
              <w:t>and</w:t>
            </w:r>
            <w:r>
              <w:rPr>
                <w:i/>
                <w:spacing w:val="-5"/>
                <w:sz w:val="24"/>
              </w:rPr>
              <w:t xml:space="preserve"> </w:t>
            </w:r>
            <w:r>
              <w:rPr>
                <w:i/>
                <w:sz w:val="24"/>
              </w:rPr>
              <w:t>Countervailing</w:t>
            </w:r>
            <w:r>
              <w:rPr>
                <w:i/>
                <w:spacing w:val="-6"/>
                <w:sz w:val="24"/>
              </w:rPr>
              <w:t xml:space="preserve"> </w:t>
            </w:r>
            <w:r>
              <w:rPr>
                <w:i/>
                <w:sz w:val="24"/>
              </w:rPr>
              <w:t>Duties</w:t>
            </w:r>
            <w:r>
              <w:rPr>
                <w:i/>
                <w:spacing w:val="-6"/>
                <w:sz w:val="24"/>
              </w:rPr>
              <w:t xml:space="preserve"> </w:t>
            </w:r>
            <w:r>
              <w:rPr>
                <w:i/>
                <w:sz w:val="24"/>
              </w:rPr>
              <w:t>on Certain Automobiles from the United States</w:t>
            </w:r>
            <w:r>
              <w:rPr>
                <w:sz w:val="24"/>
              </w:rPr>
              <w:t>, WT/DS440/R and</w:t>
            </w:r>
          </w:p>
          <w:p w14:paraId="51DE7646" w14:textId="77777777" w:rsidR="0010369C" w:rsidRDefault="008E43AE">
            <w:pPr>
              <w:pStyle w:val="TableParagraph"/>
              <w:spacing w:line="273" w:lineRule="exact"/>
              <w:ind w:left="106"/>
              <w:rPr>
                <w:sz w:val="24"/>
              </w:rPr>
            </w:pPr>
            <w:r>
              <w:rPr>
                <w:sz w:val="24"/>
              </w:rPr>
              <w:t>Add.1,</w:t>
            </w:r>
            <w:r>
              <w:rPr>
                <w:spacing w:val="-3"/>
                <w:sz w:val="24"/>
              </w:rPr>
              <w:t xml:space="preserve"> </w:t>
            </w:r>
            <w:r>
              <w:rPr>
                <w:sz w:val="24"/>
              </w:rPr>
              <w:t>adopted</w:t>
            </w:r>
            <w:r>
              <w:rPr>
                <w:spacing w:val="-3"/>
                <w:sz w:val="24"/>
              </w:rPr>
              <w:t xml:space="preserve"> </w:t>
            </w:r>
            <w:r>
              <w:rPr>
                <w:sz w:val="24"/>
              </w:rPr>
              <w:t>18</w:t>
            </w:r>
            <w:r>
              <w:rPr>
                <w:spacing w:val="-3"/>
                <w:sz w:val="24"/>
              </w:rPr>
              <w:t xml:space="preserve"> </w:t>
            </w:r>
            <w:r>
              <w:rPr>
                <w:sz w:val="24"/>
              </w:rPr>
              <w:t>June</w:t>
            </w:r>
            <w:r>
              <w:rPr>
                <w:spacing w:val="-2"/>
                <w:sz w:val="24"/>
              </w:rPr>
              <w:t xml:space="preserve"> </w:t>
            </w:r>
            <w:r>
              <w:rPr>
                <w:sz w:val="24"/>
              </w:rPr>
              <w:t>2014,</w:t>
            </w:r>
            <w:r>
              <w:rPr>
                <w:spacing w:val="-2"/>
                <w:sz w:val="24"/>
              </w:rPr>
              <w:t xml:space="preserve"> </w:t>
            </w:r>
            <w:r>
              <w:rPr>
                <w:sz w:val="24"/>
              </w:rPr>
              <w:t>DSR</w:t>
            </w:r>
            <w:r>
              <w:rPr>
                <w:spacing w:val="-2"/>
                <w:sz w:val="24"/>
              </w:rPr>
              <w:t xml:space="preserve"> </w:t>
            </w:r>
            <w:r>
              <w:rPr>
                <w:sz w:val="24"/>
              </w:rPr>
              <w:t>2014:VII,</w:t>
            </w:r>
            <w:r>
              <w:rPr>
                <w:spacing w:val="-2"/>
                <w:sz w:val="24"/>
              </w:rPr>
              <w:t xml:space="preserve"> </w:t>
            </w:r>
            <w:r>
              <w:rPr>
                <w:sz w:val="24"/>
              </w:rPr>
              <w:t>p.</w:t>
            </w:r>
            <w:r>
              <w:rPr>
                <w:spacing w:val="-2"/>
                <w:sz w:val="24"/>
              </w:rPr>
              <w:t xml:space="preserve"> </w:t>
            </w:r>
            <w:r>
              <w:rPr>
                <w:spacing w:val="-4"/>
                <w:sz w:val="24"/>
              </w:rPr>
              <w:t>2655</w:t>
            </w:r>
          </w:p>
        </w:tc>
      </w:tr>
      <w:tr w:rsidR="0010369C" w14:paraId="51DE764B" w14:textId="77777777">
        <w:trPr>
          <w:trHeight w:val="878"/>
        </w:trPr>
        <w:tc>
          <w:tcPr>
            <w:tcW w:w="2255" w:type="dxa"/>
          </w:tcPr>
          <w:p w14:paraId="51DE7648" w14:textId="77777777" w:rsidR="0010369C" w:rsidRDefault="008E43AE">
            <w:pPr>
              <w:pStyle w:val="TableParagraph"/>
              <w:ind w:left="107"/>
              <w:rPr>
                <w:i/>
                <w:sz w:val="24"/>
              </w:rPr>
            </w:pPr>
            <w:r>
              <w:rPr>
                <w:i/>
                <w:sz w:val="24"/>
              </w:rPr>
              <w:t>China</w:t>
            </w:r>
            <w:r>
              <w:rPr>
                <w:i/>
                <w:spacing w:val="-14"/>
                <w:sz w:val="24"/>
              </w:rPr>
              <w:t xml:space="preserve"> </w:t>
            </w:r>
            <w:r>
              <w:rPr>
                <w:i/>
                <w:sz w:val="24"/>
              </w:rPr>
              <w:t>–</w:t>
            </w:r>
            <w:r>
              <w:rPr>
                <w:i/>
                <w:spacing w:val="-14"/>
                <w:sz w:val="24"/>
              </w:rPr>
              <w:t xml:space="preserve"> </w:t>
            </w:r>
            <w:r>
              <w:rPr>
                <w:i/>
                <w:sz w:val="24"/>
              </w:rPr>
              <w:t xml:space="preserve">Broiler </w:t>
            </w:r>
            <w:r>
              <w:rPr>
                <w:i/>
                <w:spacing w:val="-2"/>
                <w:sz w:val="24"/>
              </w:rPr>
              <w:t>Products</w:t>
            </w:r>
          </w:p>
        </w:tc>
        <w:tc>
          <w:tcPr>
            <w:tcW w:w="6761" w:type="dxa"/>
          </w:tcPr>
          <w:p w14:paraId="51DE7649" w14:textId="77777777" w:rsidR="0010369C" w:rsidRDefault="008E43AE">
            <w:pPr>
              <w:pStyle w:val="TableParagraph"/>
              <w:spacing w:line="292" w:lineRule="exact"/>
              <w:ind w:left="106"/>
              <w:rPr>
                <w:i/>
                <w:sz w:val="24"/>
              </w:rPr>
            </w:pPr>
            <w:r>
              <w:rPr>
                <w:sz w:val="24"/>
              </w:rPr>
              <w:t>Panel</w:t>
            </w:r>
            <w:r>
              <w:rPr>
                <w:spacing w:val="-2"/>
                <w:sz w:val="24"/>
              </w:rPr>
              <w:t xml:space="preserve"> </w:t>
            </w:r>
            <w:r>
              <w:rPr>
                <w:sz w:val="24"/>
              </w:rPr>
              <w:t>Report,</w:t>
            </w:r>
            <w:r>
              <w:rPr>
                <w:spacing w:val="-2"/>
                <w:sz w:val="24"/>
              </w:rPr>
              <w:t xml:space="preserve"> </w:t>
            </w:r>
            <w:r>
              <w:rPr>
                <w:i/>
                <w:sz w:val="24"/>
              </w:rPr>
              <w:t>China</w:t>
            </w:r>
            <w:r>
              <w:rPr>
                <w:i/>
                <w:spacing w:val="-1"/>
                <w:sz w:val="24"/>
              </w:rPr>
              <w:t xml:space="preserve"> </w:t>
            </w:r>
            <w:r>
              <w:rPr>
                <w:i/>
                <w:sz w:val="24"/>
              </w:rPr>
              <w:t>−</w:t>
            </w:r>
            <w:r>
              <w:rPr>
                <w:i/>
                <w:spacing w:val="-2"/>
                <w:sz w:val="24"/>
              </w:rPr>
              <w:t xml:space="preserve"> </w:t>
            </w:r>
            <w:r>
              <w:rPr>
                <w:i/>
                <w:sz w:val="24"/>
              </w:rPr>
              <w:t>Anti‐Dumping</w:t>
            </w:r>
            <w:r>
              <w:rPr>
                <w:i/>
                <w:spacing w:val="-2"/>
                <w:sz w:val="24"/>
              </w:rPr>
              <w:t xml:space="preserve"> </w:t>
            </w:r>
            <w:r>
              <w:rPr>
                <w:i/>
                <w:sz w:val="24"/>
              </w:rPr>
              <w:t>and</w:t>
            </w:r>
            <w:r>
              <w:rPr>
                <w:i/>
                <w:spacing w:val="-1"/>
                <w:sz w:val="24"/>
              </w:rPr>
              <w:t xml:space="preserve"> </w:t>
            </w:r>
            <w:r>
              <w:rPr>
                <w:i/>
                <w:sz w:val="24"/>
              </w:rPr>
              <w:t>Countervailing</w:t>
            </w:r>
            <w:r>
              <w:rPr>
                <w:i/>
                <w:spacing w:val="-2"/>
                <w:sz w:val="24"/>
              </w:rPr>
              <w:t xml:space="preserve"> </w:t>
            </w:r>
            <w:r>
              <w:rPr>
                <w:i/>
                <w:spacing w:val="-4"/>
                <w:sz w:val="24"/>
              </w:rPr>
              <w:t>Duty</w:t>
            </w:r>
          </w:p>
          <w:p w14:paraId="51DE764A" w14:textId="77777777" w:rsidR="0010369C" w:rsidRDefault="008E43AE">
            <w:pPr>
              <w:pStyle w:val="TableParagraph"/>
              <w:spacing w:line="290" w:lineRule="atLeast"/>
              <w:ind w:left="106"/>
              <w:rPr>
                <w:sz w:val="24"/>
              </w:rPr>
            </w:pPr>
            <w:r>
              <w:rPr>
                <w:i/>
                <w:sz w:val="24"/>
              </w:rPr>
              <w:t>Measures</w:t>
            </w:r>
            <w:r>
              <w:rPr>
                <w:i/>
                <w:spacing w:val="-5"/>
                <w:sz w:val="24"/>
              </w:rPr>
              <w:t xml:space="preserve"> </w:t>
            </w:r>
            <w:r>
              <w:rPr>
                <w:i/>
                <w:sz w:val="24"/>
              </w:rPr>
              <w:t>on</w:t>
            </w:r>
            <w:r>
              <w:rPr>
                <w:i/>
                <w:spacing w:val="-4"/>
                <w:sz w:val="24"/>
              </w:rPr>
              <w:t xml:space="preserve"> </w:t>
            </w:r>
            <w:r>
              <w:rPr>
                <w:i/>
                <w:sz w:val="24"/>
              </w:rPr>
              <w:t>Broiler</w:t>
            </w:r>
            <w:r>
              <w:rPr>
                <w:i/>
                <w:spacing w:val="-4"/>
                <w:sz w:val="24"/>
              </w:rPr>
              <w:t xml:space="preserve"> </w:t>
            </w:r>
            <w:r>
              <w:rPr>
                <w:i/>
                <w:sz w:val="24"/>
              </w:rPr>
              <w:t>Products</w:t>
            </w:r>
            <w:r>
              <w:rPr>
                <w:i/>
                <w:spacing w:val="-5"/>
                <w:sz w:val="24"/>
              </w:rPr>
              <w:t xml:space="preserve"> </w:t>
            </w:r>
            <w:r>
              <w:rPr>
                <w:i/>
                <w:sz w:val="24"/>
              </w:rPr>
              <w:t>from</w:t>
            </w:r>
            <w:r>
              <w:rPr>
                <w:i/>
                <w:spacing w:val="-5"/>
                <w:sz w:val="24"/>
              </w:rPr>
              <w:t xml:space="preserve"> </w:t>
            </w:r>
            <w:r>
              <w:rPr>
                <w:i/>
                <w:sz w:val="24"/>
              </w:rPr>
              <w:t>the</w:t>
            </w:r>
            <w:r>
              <w:rPr>
                <w:i/>
                <w:spacing w:val="-4"/>
                <w:sz w:val="24"/>
              </w:rPr>
              <w:t xml:space="preserve"> </w:t>
            </w:r>
            <w:r>
              <w:rPr>
                <w:i/>
                <w:sz w:val="24"/>
              </w:rPr>
              <w:t>United</w:t>
            </w:r>
            <w:r>
              <w:rPr>
                <w:i/>
                <w:spacing w:val="-5"/>
                <w:sz w:val="24"/>
              </w:rPr>
              <w:t xml:space="preserve"> </w:t>
            </w:r>
            <w:r>
              <w:rPr>
                <w:i/>
                <w:sz w:val="24"/>
              </w:rPr>
              <w:t>States</w:t>
            </w:r>
            <w:r>
              <w:rPr>
                <w:sz w:val="24"/>
              </w:rPr>
              <w:t>,</w:t>
            </w:r>
            <w:r>
              <w:rPr>
                <w:spacing w:val="-5"/>
                <w:sz w:val="24"/>
              </w:rPr>
              <w:t xml:space="preserve"> </w:t>
            </w:r>
            <w:r>
              <w:rPr>
                <w:sz w:val="24"/>
              </w:rPr>
              <w:t>WT/DS427/R and Add.1, adopted 25 September 2013, DSR 2013:IV, p. 1041</w:t>
            </w:r>
          </w:p>
        </w:tc>
      </w:tr>
      <w:tr w:rsidR="0010369C" w14:paraId="51DE7650" w14:textId="77777777">
        <w:trPr>
          <w:trHeight w:val="1171"/>
        </w:trPr>
        <w:tc>
          <w:tcPr>
            <w:tcW w:w="2255" w:type="dxa"/>
          </w:tcPr>
          <w:p w14:paraId="51DE764C" w14:textId="77777777" w:rsidR="0010369C" w:rsidRDefault="008E43AE">
            <w:pPr>
              <w:pStyle w:val="TableParagraph"/>
              <w:ind w:left="107" w:right="519"/>
              <w:rPr>
                <w:i/>
                <w:sz w:val="24"/>
              </w:rPr>
            </w:pPr>
            <w:r>
              <w:rPr>
                <w:i/>
                <w:sz w:val="24"/>
              </w:rPr>
              <w:t>China – Broiler Products</w:t>
            </w:r>
            <w:r>
              <w:rPr>
                <w:i/>
                <w:spacing w:val="-14"/>
                <w:sz w:val="24"/>
              </w:rPr>
              <w:t xml:space="preserve"> </w:t>
            </w:r>
            <w:r>
              <w:rPr>
                <w:i/>
                <w:sz w:val="24"/>
              </w:rPr>
              <w:t>(Article</w:t>
            </w:r>
          </w:p>
          <w:p w14:paraId="51DE764D" w14:textId="77777777" w:rsidR="0010369C" w:rsidRDefault="008E43AE">
            <w:pPr>
              <w:pStyle w:val="TableParagraph"/>
              <w:ind w:left="107"/>
              <w:rPr>
                <w:i/>
                <w:sz w:val="24"/>
              </w:rPr>
            </w:pPr>
            <w:r>
              <w:rPr>
                <w:i/>
                <w:sz w:val="24"/>
              </w:rPr>
              <w:t>21.5</w:t>
            </w:r>
            <w:r>
              <w:rPr>
                <w:i/>
                <w:spacing w:val="-3"/>
                <w:sz w:val="24"/>
              </w:rPr>
              <w:t xml:space="preserve"> </w:t>
            </w:r>
            <w:r>
              <w:rPr>
                <w:i/>
                <w:sz w:val="24"/>
              </w:rPr>
              <w:t>‐</w:t>
            </w:r>
            <w:r>
              <w:rPr>
                <w:i/>
                <w:spacing w:val="-1"/>
                <w:sz w:val="24"/>
              </w:rPr>
              <w:t xml:space="preserve"> </w:t>
            </w:r>
            <w:r>
              <w:rPr>
                <w:i/>
                <w:spacing w:val="-5"/>
                <w:sz w:val="24"/>
              </w:rPr>
              <w:t>US)</w:t>
            </w:r>
          </w:p>
        </w:tc>
        <w:tc>
          <w:tcPr>
            <w:tcW w:w="6761" w:type="dxa"/>
          </w:tcPr>
          <w:p w14:paraId="51DE764E" w14:textId="77777777" w:rsidR="0010369C" w:rsidRDefault="008E43AE">
            <w:pPr>
              <w:pStyle w:val="TableParagraph"/>
              <w:ind w:left="106"/>
              <w:rPr>
                <w:i/>
                <w:sz w:val="24"/>
              </w:rPr>
            </w:pPr>
            <w:r>
              <w:rPr>
                <w:sz w:val="24"/>
              </w:rPr>
              <w:t xml:space="preserve">Panel Report, </w:t>
            </w:r>
            <w:r>
              <w:rPr>
                <w:i/>
                <w:sz w:val="24"/>
              </w:rPr>
              <w:t>China ‐ Anti‐Dumping and Countervailing Duty Measures</w:t>
            </w:r>
            <w:r>
              <w:rPr>
                <w:i/>
                <w:spacing w:val="-4"/>
                <w:sz w:val="24"/>
              </w:rPr>
              <w:t xml:space="preserve"> </w:t>
            </w:r>
            <w:r>
              <w:rPr>
                <w:i/>
                <w:sz w:val="24"/>
              </w:rPr>
              <w:t>on</w:t>
            </w:r>
            <w:r>
              <w:rPr>
                <w:i/>
                <w:spacing w:val="-3"/>
                <w:sz w:val="24"/>
              </w:rPr>
              <w:t xml:space="preserve"> </w:t>
            </w:r>
            <w:r>
              <w:rPr>
                <w:i/>
                <w:sz w:val="24"/>
              </w:rPr>
              <w:t>Broiler</w:t>
            </w:r>
            <w:r>
              <w:rPr>
                <w:i/>
                <w:spacing w:val="-3"/>
                <w:sz w:val="24"/>
              </w:rPr>
              <w:t xml:space="preserve"> </w:t>
            </w:r>
            <w:r>
              <w:rPr>
                <w:i/>
                <w:sz w:val="24"/>
              </w:rPr>
              <w:t>Products</w:t>
            </w:r>
            <w:r>
              <w:rPr>
                <w:i/>
                <w:spacing w:val="-4"/>
                <w:sz w:val="24"/>
              </w:rPr>
              <w:t xml:space="preserve"> </w:t>
            </w:r>
            <w:r>
              <w:rPr>
                <w:i/>
                <w:sz w:val="24"/>
              </w:rPr>
              <w:t>from</w:t>
            </w:r>
            <w:r>
              <w:rPr>
                <w:i/>
                <w:spacing w:val="-4"/>
                <w:sz w:val="24"/>
              </w:rPr>
              <w:t xml:space="preserve"> </w:t>
            </w:r>
            <w:r>
              <w:rPr>
                <w:i/>
                <w:sz w:val="24"/>
              </w:rPr>
              <w:t>the</w:t>
            </w:r>
            <w:r>
              <w:rPr>
                <w:i/>
                <w:spacing w:val="-3"/>
                <w:sz w:val="24"/>
              </w:rPr>
              <w:t xml:space="preserve"> </w:t>
            </w:r>
            <w:r>
              <w:rPr>
                <w:i/>
                <w:sz w:val="24"/>
              </w:rPr>
              <w:t>United</w:t>
            </w:r>
            <w:r>
              <w:rPr>
                <w:i/>
                <w:spacing w:val="-4"/>
                <w:sz w:val="24"/>
              </w:rPr>
              <w:t xml:space="preserve"> </w:t>
            </w:r>
            <w:r>
              <w:rPr>
                <w:i/>
                <w:sz w:val="24"/>
              </w:rPr>
              <w:t>States</w:t>
            </w:r>
            <w:r>
              <w:rPr>
                <w:i/>
                <w:spacing w:val="-4"/>
                <w:sz w:val="24"/>
              </w:rPr>
              <w:t xml:space="preserve"> </w:t>
            </w:r>
            <w:r>
              <w:rPr>
                <w:i/>
                <w:sz w:val="24"/>
              </w:rPr>
              <w:t>–</w:t>
            </w:r>
            <w:r>
              <w:rPr>
                <w:i/>
                <w:spacing w:val="-3"/>
                <w:sz w:val="24"/>
              </w:rPr>
              <w:t xml:space="preserve"> </w:t>
            </w:r>
            <w:r>
              <w:rPr>
                <w:i/>
                <w:sz w:val="24"/>
              </w:rPr>
              <w:t>Recourse</w:t>
            </w:r>
            <w:r>
              <w:rPr>
                <w:i/>
                <w:spacing w:val="-3"/>
                <w:sz w:val="24"/>
              </w:rPr>
              <w:t xml:space="preserve"> </w:t>
            </w:r>
            <w:r>
              <w:rPr>
                <w:i/>
                <w:sz w:val="24"/>
              </w:rPr>
              <w:t>to</w:t>
            </w:r>
          </w:p>
          <w:p w14:paraId="51DE764F" w14:textId="77777777" w:rsidR="0010369C" w:rsidRDefault="008E43AE">
            <w:pPr>
              <w:pStyle w:val="TableParagraph"/>
              <w:spacing w:line="290" w:lineRule="atLeast"/>
              <w:ind w:left="106"/>
              <w:rPr>
                <w:sz w:val="24"/>
              </w:rPr>
            </w:pPr>
            <w:r>
              <w:rPr>
                <w:i/>
                <w:sz w:val="24"/>
              </w:rPr>
              <w:t>Article</w:t>
            </w:r>
            <w:r>
              <w:rPr>
                <w:i/>
                <w:spacing w:val="-4"/>
                <w:sz w:val="24"/>
              </w:rPr>
              <w:t xml:space="preserve"> </w:t>
            </w:r>
            <w:r>
              <w:rPr>
                <w:i/>
                <w:sz w:val="24"/>
              </w:rPr>
              <w:t>21.5</w:t>
            </w:r>
            <w:r>
              <w:rPr>
                <w:i/>
                <w:spacing w:val="-4"/>
                <w:sz w:val="24"/>
              </w:rPr>
              <w:t xml:space="preserve"> </w:t>
            </w:r>
            <w:r>
              <w:rPr>
                <w:i/>
                <w:sz w:val="24"/>
              </w:rPr>
              <w:t>of</w:t>
            </w:r>
            <w:r>
              <w:rPr>
                <w:i/>
                <w:spacing w:val="-4"/>
                <w:sz w:val="24"/>
              </w:rPr>
              <w:t xml:space="preserve"> </w:t>
            </w:r>
            <w:r>
              <w:rPr>
                <w:i/>
                <w:sz w:val="24"/>
              </w:rPr>
              <w:t>the</w:t>
            </w:r>
            <w:r>
              <w:rPr>
                <w:i/>
                <w:spacing w:val="-3"/>
                <w:sz w:val="24"/>
              </w:rPr>
              <w:t xml:space="preserve"> </w:t>
            </w:r>
            <w:r>
              <w:rPr>
                <w:i/>
                <w:sz w:val="24"/>
              </w:rPr>
              <w:t>DSU</w:t>
            </w:r>
            <w:r>
              <w:rPr>
                <w:i/>
                <w:spacing w:val="-4"/>
                <w:sz w:val="24"/>
              </w:rPr>
              <w:t xml:space="preserve"> </w:t>
            </w:r>
            <w:r>
              <w:rPr>
                <w:i/>
                <w:sz w:val="24"/>
              </w:rPr>
              <w:t>by</w:t>
            </w:r>
            <w:r>
              <w:rPr>
                <w:i/>
                <w:spacing w:val="-4"/>
                <w:sz w:val="24"/>
              </w:rPr>
              <w:t xml:space="preserve"> </w:t>
            </w:r>
            <w:r>
              <w:rPr>
                <w:i/>
                <w:sz w:val="24"/>
              </w:rPr>
              <w:t>the</w:t>
            </w:r>
            <w:r>
              <w:rPr>
                <w:i/>
                <w:spacing w:val="-3"/>
                <w:sz w:val="24"/>
              </w:rPr>
              <w:t xml:space="preserve"> </w:t>
            </w:r>
            <w:r>
              <w:rPr>
                <w:i/>
                <w:sz w:val="24"/>
              </w:rPr>
              <w:t>United</w:t>
            </w:r>
            <w:r>
              <w:rPr>
                <w:i/>
                <w:spacing w:val="-4"/>
                <w:sz w:val="24"/>
              </w:rPr>
              <w:t xml:space="preserve"> </w:t>
            </w:r>
            <w:r>
              <w:rPr>
                <w:i/>
                <w:sz w:val="24"/>
              </w:rPr>
              <w:t>States</w:t>
            </w:r>
            <w:r>
              <w:rPr>
                <w:sz w:val="24"/>
              </w:rPr>
              <w:t>,</w:t>
            </w:r>
            <w:r>
              <w:rPr>
                <w:spacing w:val="-4"/>
                <w:sz w:val="24"/>
              </w:rPr>
              <w:t xml:space="preserve"> </w:t>
            </w:r>
            <w:r>
              <w:rPr>
                <w:sz w:val="24"/>
              </w:rPr>
              <w:t>WT/DS427/RW</w:t>
            </w:r>
            <w:r>
              <w:rPr>
                <w:spacing w:val="-4"/>
                <w:sz w:val="24"/>
              </w:rPr>
              <w:t xml:space="preserve"> </w:t>
            </w:r>
            <w:r>
              <w:rPr>
                <w:sz w:val="24"/>
              </w:rPr>
              <w:t>and Add.1, adopted 28 February 2018, DSR 2018:II, p. 839</w:t>
            </w:r>
          </w:p>
        </w:tc>
      </w:tr>
      <w:tr w:rsidR="0010369C" w14:paraId="51DE7653" w14:textId="77777777">
        <w:trPr>
          <w:trHeight w:val="878"/>
        </w:trPr>
        <w:tc>
          <w:tcPr>
            <w:tcW w:w="2255" w:type="dxa"/>
          </w:tcPr>
          <w:p w14:paraId="51DE7651" w14:textId="77777777" w:rsidR="0010369C" w:rsidRDefault="008E43AE">
            <w:pPr>
              <w:pStyle w:val="TableParagraph"/>
              <w:ind w:left="107" w:right="152"/>
              <w:rPr>
                <w:i/>
                <w:sz w:val="24"/>
              </w:rPr>
            </w:pPr>
            <w:r>
              <w:rPr>
                <w:i/>
                <w:sz w:val="24"/>
              </w:rPr>
              <w:t>China</w:t>
            </w:r>
            <w:r>
              <w:rPr>
                <w:i/>
                <w:spacing w:val="-14"/>
                <w:sz w:val="24"/>
              </w:rPr>
              <w:t xml:space="preserve"> </w:t>
            </w:r>
            <w:r>
              <w:rPr>
                <w:i/>
                <w:sz w:val="24"/>
              </w:rPr>
              <w:t>–</w:t>
            </w:r>
            <w:r>
              <w:rPr>
                <w:i/>
                <w:spacing w:val="-14"/>
                <w:sz w:val="24"/>
              </w:rPr>
              <w:t xml:space="preserve"> </w:t>
            </w:r>
            <w:r>
              <w:rPr>
                <w:i/>
                <w:sz w:val="24"/>
              </w:rPr>
              <w:t xml:space="preserve">Cellulose </w:t>
            </w:r>
            <w:r>
              <w:rPr>
                <w:i/>
                <w:spacing w:val="-4"/>
                <w:sz w:val="24"/>
              </w:rPr>
              <w:t>Pulp</w:t>
            </w:r>
          </w:p>
        </w:tc>
        <w:tc>
          <w:tcPr>
            <w:tcW w:w="6761" w:type="dxa"/>
          </w:tcPr>
          <w:p w14:paraId="51DE7652" w14:textId="77777777" w:rsidR="0010369C" w:rsidRDefault="008E43AE">
            <w:pPr>
              <w:pStyle w:val="TableParagraph"/>
              <w:spacing w:line="290" w:lineRule="atLeast"/>
              <w:ind w:left="106"/>
              <w:rPr>
                <w:sz w:val="24"/>
              </w:rPr>
            </w:pPr>
            <w:r>
              <w:rPr>
                <w:sz w:val="24"/>
              </w:rPr>
              <w:t xml:space="preserve">Panel Report, </w:t>
            </w:r>
            <w:r>
              <w:rPr>
                <w:i/>
                <w:sz w:val="24"/>
              </w:rPr>
              <w:t>China – Anti‐Dumping Measures on Imports of Cellulose</w:t>
            </w:r>
            <w:r>
              <w:rPr>
                <w:i/>
                <w:spacing w:val="-3"/>
                <w:sz w:val="24"/>
              </w:rPr>
              <w:t xml:space="preserve"> </w:t>
            </w:r>
            <w:r>
              <w:rPr>
                <w:i/>
                <w:sz w:val="24"/>
              </w:rPr>
              <w:t>Pulp</w:t>
            </w:r>
            <w:r>
              <w:rPr>
                <w:i/>
                <w:spacing w:val="-5"/>
                <w:sz w:val="24"/>
              </w:rPr>
              <w:t xml:space="preserve"> </w:t>
            </w:r>
            <w:r>
              <w:rPr>
                <w:i/>
                <w:sz w:val="24"/>
              </w:rPr>
              <w:t>from</w:t>
            </w:r>
            <w:r>
              <w:rPr>
                <w:i/>
                <w:spacing w:val="-5"/>
                <w:sz w:val="24"/>
              </w:rPr>
              <w:t xml:space="preserve"> </w:t>
            </w:r>
            <w:r>
              <w:rPr>
                <w:i/>
                <w:sz w:val="24"/>
              </w:rPr>
              <w:t>Canada</w:t>
            </w:r>
            <w:r>
              <w:rPr>
                <w:sz w:val="24"/>
              </w:rPr>
              <w:t>,</w:t>
            </w:r>
            <w:r>
              <w:rPr>
                <w:spacing w:val="-5"/>
                <w:sz w:val="24"/>
              </w:rPr>
              <w:t xml:space="preserve"> </w:t>
            </w:r>
            <w:r>
              <w:rPr>
                <w:sz w:val="24"/>
              </w:rPr>
              <w:t>WT/DS483/R</w:t>
            </w:r>
            <w:r>
              <w:rPr>
                <w:spacing w:val="-5"/>
                <w:sz w:val="24"/>
              </w:rPr>
              <w:t xml:space="preserve"> </w:t>
            </w:r>
            <w:r>
              <w:rPr>
                <w:sz w:val="24"/>
              </w:rPr>
              <w:t>and</w:t>
            </w:r>
            <w:r>
              <w:rPr>
                <w:spacing w:val="-5"/>
                <w:sz w:val="24"/>
              </w:rPr>
              <w:t xml:space="preserve"> </w:t>
            </w:r>
            <w:r>
              <w:rPr>
                <w:sz w:val="24"/>
              </w:rPr>
              <w:t>Add.1,</w:t>
            </w:r>
            <w:r>
              <w:rPr>
                <w:spacing w:val="-5"/>
                <w:sz w:val="24"/>
              </w:rPr>
              <w:t xml:space="preserve"> </w:t>
            </w:r>
            <w:r>
              <w:rPr>
                <w:sz w:val="24"/>
              </w:rPr>
              <w:t>adopted</w:t>
            </w:r>
            <w:r>
              <w:rPr>
                <w:spacing w:val="-5"/>
                <w:sz w:val="24"/>
              </w:rPr>
              <w:t xml:space="preserve"> </w:t>
            </w:r>
            <w:r>
              <w:rPr>
                <w:sz w:val="24"/>
              </w:rPr>
              <w:t>22 May 2017, DSR 2017:IV, p. 1961</w:t>
            </w:r>
          </w:p>
        </w:tc>
      </w:tr>
      <w:tr w:rsidR="0010369C" w14:paraId="51DE7656" w14:textId="77777777">
        <w:trPr>
          <w:trHeight w:val="1171"/>
        </w:trPr>
        <w:tc>
          <w:tcPr>
            <w:tcW w:w="2255" w:type="dxa"/>
          </w:tcPr>
          <w:p w14:paraId="51DE7654" w14:textId="77777777" w:rsidR="0010369C" w:rsidRDefault="008E43AE">
            <w:pPr>
              <w:pStyle w:val="TableParagraph"/>
              <w:ind w:left="107"/>
              <w:rPr>
                <w:i/>
                <w:sz w:val="24"/>
              </w:rPr>
            </w:pPr>
            <w:r>
              <w:rPr>
                <w:i/>
                <w:sz w:val="24"/>
              </w:rPr>
              <w:t xml:space="preserve">China – </w:t>
            </w:r>
            <w:r>
              <w:rPr>
                <w:i/>
                <w:spacing w:val="-4"/>
                <w:sz w:val="24"/>
              </w:rPr>
              <w:t>GOES</w:t>
            </w:r>
          </w:p>
        </w:tc>
        <w:tc>
          <w:tcPr>
            <w:tcW w:w="6761" w:type="dxa"/>
          </w:tcPr>
          <w:p w14:paraId="51DE7655" w14:textId="77777777" w:rsidR="0010369C" w:rsidRDefault="008E43AE">
            <w:pPr>
              <w:pStyle w:val="TableParagraph"/>
              <w:spacing w:line="290" w:lineRule="atLeast"/>
              <w:ind w:left="106" w:right="167"/>
              <w:rPr>
                <w:sz w:val="24"/>
              </w:rPr>
            </w:pPr>
            <w:r>
              <w:rPr>
                <w:sz w:val="24"/>
              </w:rPr>
              <w:t xml:space="preserve">Appellate Body Report, </w:t>
            </w:r>
            <w:r>
              <w:rPr>
                <w:i/>
                <w:sz w:val="24"/>
              </w:rPr>
              <w:t>China ‐ Countervailing and Anti‐Dumping Duties on Grain Oriented Flat‐Rolled Electrical Steel from the United</w:t>
            </w:r>
            <w:r>
              <w:rPr>
                <w:i/>
                <w:spacing w:val="-6"/>
                <w:sz w:val="24"/>
              </w:rPr>
              <w:t xml:space="preserve"> </w:t>
            </w:r>
            <w:r>
              <w:rPr>
                <w:i/>
                <w:sz w:val="24"/>
              </w:rPr>
              <w:t>States</w:t>
            </w:r>
            <w:r>
              <w:rPr>
                <w:sz w:val="24"/>
              </w:rPr>
              <w:t>,</w:t>
            </w:r>
            <w:r>
              <w:rPr>
                <w:spacing w:val="-6"/>
                <w:sz w:val="24"/>
              </w:rPr>
              <w:t xml:space="preserve"> </w:t>
            </w:r>
            <w:r>
              <w:rPr>
                <w:sz w:val="24"/>
              </w:rPr>
              <w:t>WT/DS414/AB/R,</w:t>
            </w:r>
            <w:r>
              <w:rPr>
                <w:spacing w:val="-7"/>
                <w:sz w:val="24"/>
              </w:rPr>
              <w:t xml:space="preserve"> </w:t>
            </w:r>
            <w:r>
              <w:rPr>
                <w:sz w:val="24"/>
              </w:rPr>
              <w:t>adopted</w:t>
            </w:r>
            <w:r>
              <w:rPr>
                <w:spacing w:val="-6"/>
                <w:sz w:val="24"/>
              </w:rPr>
              <w:t xml:space="preserve"> </w:t>
            </w:r>
            <w:r>
              <w:rPr>
                <w:sz w:val="24"/>
              </w:rPr>
              <w:t>16</w:t>
            </w:r>
            <w:r>
              <w:rPr>
                <w:spacing w:val="-6"/>
                <w:sz w:val="24"/>
              </w:rPr>
              <w:t xml:space="preserve"> </w:t>
            </w:r>
            <w:r>
              <w:rPr>
                <w:sz w:val="24"/>
              </w:rPr>
              <w:t>November</w:t>
            </w:r>
            <w:r>
              <w:rPr>
                <w:spacing w:val="-6"/>
                <w:sz w:val="24"/>
              </w:rPr>
              <w:t xml:space="preserve"> </w:t>
            </w:r>
            <w:r>
              <w:rPr>
                <w:sz w:val="24"/>
              </w:rPr>
              <w:t>2012,</w:t>
            </w:r>
            <w:r>
              <w:rPr>
                <w:spacing w:val="-6"/>
                <w:sz w:val="24"/>
              </w:rPr>
              <w:t xml:space="preserve"> </w:t>
            </w:r>
            <w:r>
              <w:rPr>
                <w:sz w:val="24"/>
              </w:rPr>
              <w:t>DSR 2012:XII, p. 6251</w:t>
            </w:r>
          </w:p>
        </w:tc>
      </w:tr>
      <w:tr w:rsidR="0010369C" w14:paraId="51DE765A" w14:textId="77777777">
        <w:trPr>
          <w:trHeight w:val="1171"/>
        </w:trPr>
        <w:tc>
          <w:tcPr>
            <w:tcW w:w="2255" w:type="dxa"/>
          </w:tcPr>
          <w:p w14:paraId="51DE7657" w14:textId="77777777" w:rsidR="0010369C" w:rsidRDefault="008E43AE">
            <w:pPr>
              <w:pStyle w:val="TableParagraph"/>
              <w:spacing w:line="293" w:lineRule="exact"/>
              <w:ind w:left="107"/>
              <w:rPr>
                <w:i/>
                <w:sz w:val="24"/>
              </w:rPr>
            </w:pPr>
            <w:r>
              <w:rPr>
                <w:i/>
                <w:sz w:val="24"/>
              </w:rPr>
              <w:t xml:space="preserve">China – </w:t>
            </w:r>
            <w:r>
              <w:rPr>
                <w:i/>
                <w:spacing w:val="-4"/>
                <w:sz w:val="24"/>
              </w:rPr>
              <w:t>GOES</w:t>
            </w:r>
          </w:p>
        </w:tc>
        <w:tc>
          <w:tcPr>
            <w:tcW w:w="6761" w:type="dxa"/>
          </w:tcPr>
          <w:p w14:paraId="51DE7658" w14:textId="77777777" w:rsidR="0010369C" w:rsidRDefault="008E43AE">
            <w:pPr>
              <w:pStyle w:val="TableParagraph"/>
              <w:ind w:left="106" w:right="259"/>
              <w:jc w:val="both"/>
              <w:rPr>
                <w:sz w:val="24"/>
              </w:rPr>
            </w:pPr>
            <w:r>
              <w:rPr>
                <w:sz w:val="24"/>
              </w:rPr>
              <w:t>Panel</w:t>
            </w:r>
            <w:r>
              <w:rPr>
                <w:spacing w:val="-6"/>
                <w:sz w:val="24"/>
              </w:rPr>
              <w:t xml:space="preserve"> </w:t>
            </w:r>
            <w:r>
              <w:rPr>
                <w:sz w:val="24"/>
              </w:rPr>
              <w:t>Report,</w:t>
            </w:r>
            <w:r>
              <w:rPr>
                <w:spacing w:val="-5"/>
                <w:sz w:val="24"/>
              </w:rPr>
              <w:t xml:space="preserve"> </w:t>
            </w:r>
            <w:r>
              <w:rPr>
                <w:i/>
                <w:sz w:val="24"/>
              </w:rPr>
              <w:t>China</w:t>
            </w:r>
            <w:r>
              <w:rPr>
                <w:i/>
                <w:spacing w:val="-5"/>
                <w:sz w:val="24"/>
              </w:rPr>
              <w:t xml:space="preserve"> </w:t>
            </w:r>
            <w:r>
              <w:rPr>
                <w:i/>
                <w:sz w:val="24"/>
              </w:rPr>
              <w:t>–</w:t>
            </w:r>
            <w:r>
              <w:rPr>
                <w:i/>
                <w:spacing w:val="-6"/>
                <w:sz w:val="24"/>
              </w:rPr>
              <w:t xml:space="preserve"> </w:t>
            </w:r>
            <w:r>
              <w:rPr>
                <w:i/>
                <w:sz w:val="24"/>
              </w:rPr>
              <w:t>Countervailing</w:t>
            </w:r>
            <w:r>
              <w:rPr>
                <w:i/>
                <w:spacing w:val="-6"/>
                <w:sz w:val="24"/>
              </w:rPr>
              <w:t xml:space="preserve"> </w:t>
            </w:r>
            <w:r>
              <w:rPr>
                <w:i/>
                <w:sz w:val="24"/>
              </w:rPr>
              <w:t>and</w:t>
            </w:r>
            <w:r>
              <w:rPr>
                <w:i/>
                <w:spacing w:val="-5"/>
                <w:sz w:val="24"/>
              </w:rPr>
              <w:t xml:space="preserve"> </w:t>
            </w:r>
            <w:r>
              <w:rPr>
                <w:i/>
                <w:sz w:val="24"/>
              </w:rPr>
              <w:t>Anti‐Dumping</w:t>
            </w:r>
            <w:r>
              <w:rPr>
                <w:i/>
                <w:spacing w:val="-5"/>
                <w:sz w:val="24"/>
              </w:rPr>
              <w:t xml:space="preserve"> </w:t>
            </w:r>
            <w:r>
              <w:rPr>
                <w:i/>
                <w:sz w:val="24"/>
              </w:rPr>
              <w:t>Duties</w:t>
            </w:r>
            <w:r>
              <w:rPr>
                <w:i/>
                <w:spacing w:val="-5"/>
                <w:sz w:val="24"/>
              </w:rPr>
              <w:t xml:space="preserve"> </w:t>
            </w:r>
            <w:r>
              <w:rPr>
                <w:i/>
                <w:sz w:val="24"/>
              </w:rPr>
              <w:t>on Grain Oriented Flat‐Rolled Electrical Steel from the United States</w:t>
            </w:r>
            <w:r>
              <w:rPr>
                <w:sz w:val="24"/>
              </w:rPr>
              <w:t>, WT/DS414/R and Add.1, adopted 16 November 2012, upheld by</w:t>
            </w:r>
          </w:p>
          <w:p w14:paraId="51DE7659" w14:textId="77777777" w:rsidR="0010369C" w:rsidRDefault="008E43AE">
            <w:pPr>
              <w:pStyle w:val="TableParagraph"/>
              <w:spacing w:line="274" w:lineRule="exact"/>
              <w:ind w:left="106"/>
              <w:jc w:val="both"/>
              <w:rPr>
                <w:sz w:val="24"/>
              </w:rPr>
            </w:pPr>
            <w:r>
              <w:rPr>
                <w:sz w:val="24"/>
              </w:rPr>
              <w:t>Appellate</w:t>
            </w:r>
            <w:r>
              <w:rPr>
                <w:spacing w:val="-4"/>
                <w:sz w:val="24"/>
              </w:rPr>
              <w:t xml:space="preserve"> </w:t>
            </w:r>
            <w:r>
              <w:rPr>
                <w:sz w:val="24"/>
              </w:rPr>
              <w:t>Body</w:t>
            </w:r>
            <w:r>
              <w:rPr>
                <w:spacing w:val="-3"/>
                <w:sz w:val="24"/>
              </w:rPr>
              <w:t xml:space="preserve"> </w:t>
            </w:r>
            <w:r>
              <w:rPr>
                <w:sz w:val="24"/>
              </w:rPr>
              <w:t>Report</w:t>
            </w:r>
            <w:r>
              <w:rPr>
                <w:spacing w:val="-4"/>
                <w:sz w:val="24"/>
              </w:rPr>
              <w:t xml:space="preserve"> </w:t>
            </w:r>
            <w:r>
              <w:rPr>
                <w:sz w:val="24"/>
              </w:rPr>
              <w:t>WT/DS414/AB/R,</w:t>
            </w:r>
            <w:r>
              <w:rPr>
                <w:spacing w:val="-5"/>
                <w:sz w:val="24"/>
              </w:rPr>
              <w:t xml:space="preserve"> </w:t>
            </w:r>
            <w:r>
              <w:rPr>
                <w:sz w:val="24"/>
              </w:rPr>
              <w:t>DSR</w:t>
            </w:r>
            <w:r>
              <w:rPr>
                <w:spacing w:val="-3"/>
                <w:sz w:val="24"/>
              </w:rPr>
              <w:t xml:space="preserve"> </w:t>
            </w:r>
            <w:r>
              <w:rPr>
                <w:sz w:val="24"/>
              </w:rPr>
              <w:t>2012:XII,</w:t>
            </w:r>
            <w:r>
              <w:rPr>
                <w:spacing w:val="-4"/>
                <w:sz w:val="24"/>
              </w:rPr>
              <w:t xml:space="preserve"> </w:t>
            </w:r>
            <w:r>
              <w:rPr>
                <w:sz w:val="24"/>
              </w:rPr>
              <w:t>p.</w:t>
            </w:r>
            <w:r>
              <w:rPr>
                <w:spacing w:val="-3"/>
                <w:sz w:val="24"/>
              </w:rPr>
              <w:t xml:space="preserve"> </w:t>
            </w:r>
            <w:r>
              <w:rPr>
                <w:spacing w:val="-4"/>
                <w:sz w:val="24"/>
              </w:rPr>
              <w:t>6369</w:t>
            </w:r>
          </w:p>
        </w:tc>
      </w:tr>
      <w:tr w:rsidR="0010369C" w14:paraId="51DE765F" w14:textId="77777777">
        <w:trPr>
          <w:trHeight w:val="2050"/>
        </w:trPr>
        <w:tc>
          <w:tcPr>
            <w:tcW w:w="2255" w:type="dxa"/>
          </w:tcPr>
          <w:p w14:paraId="51DE765B" w14:textId="77777777" w:rsidR="0010369C" w:rsidRDefault="008E43AE">
            <w:pPr>
              <w:pStyle w:val="TableParagraph"/>
              <w:ind w:left="107"/>
              <w:rPr>
                <w:i/>
                <w:sz w:val="24"/>
              </w:rPr>
            </w:pPr>
            <w:r>
              <w:rPr>
                <w:i/>
                <w:sz w:val="24"/>
              </w:rPr>
              <w:t>China – HP‐SSST (Japan)</w:t>
            </w:r>
            <w:r>
              <w:rPr>
                <w:i/>
                <w:spacing w:val="-12"/>
                <w:sz w:val="24"/>
              </w:rPr>
              <w:t xml:space="preserve"> </w:t>
            </w:r>
            <w:r>
              <w:rPr>
                <w:i/>
                <w:sz w:val="24"/>
              </w:rPr>
              <w:t>/</w:t>
            </w:r>
            <w:r>
              <w:rPr>
                <w:i/>
                <w:spacing w:val="-12"/>
                <w:sz w:val="24"/>
              </w:rPr>
              <w:t xml:space="preserve"> </w:t>
            </w:r>
            <w:r>
              <w:rPr>
                <w:i/>
                <w:sz w:val="24"/>
              </w:rPr>
              <w:t>China</w:t>
            </w:r>
            <w:r>
              <w:rPr>
                <w:i/>
                <w:spacing w:val="-12"/>
                <w:sz w:val="24"/>
              </w:rPr>
              <w:t xml:space="preserve"> </w:t>
            </w:r>
            <w:r>
              <w:rPr>
                <w:i/>
                <w:sz w:val="24"/>
              </w:rPr>
              <w:t>– HP‐SSST (EU)</w:t>
            </w:r>
          </w:p>
        </w:tc>
        <w:tc>
          <w:tcPr>
            <w:tcW w:w="6761" w:type="dxa"/>
          </w:tcPr>
          <w:p w14:paraId="51DE765C" w14:textId="77777777" w:rsidR="0010369C" w:rsidRDefault="008E43AE">
            <w:pPr>
              <w:pStyle w:val="TableParagraph"/>
              <w:ind w:left="106"/>
              <w:rPr>
                <w:i/>
                <w:sz w:val="24"/>
              </w:rPr>
            </w:pPr>
            <w:r>
              <w:rPr>
                <w:sz w:val="24"/>
              </w:rPr>
              <w:t>Appellate</w:t>
            </w:r>
            <w:r>
              <w:rPr>
                <w:spacing w:val="-6"/>
                <w:sz w:val="24"/>
              </w:rPr>
              <w:t xml:space="preserve"> </w:t>
            </w:r>
            <w:r>
              <w:rPr>
                <w:sz w:val="24"/>
              </w:rPr>
              <w:t>Body</w:t>
            </w:r>
            <w:r>
              <w:rPr>
                <w:spacing w:val="-6"/>
                <w:sz w:val="24"/>
              </w:rPr>
              <w:t xml:space="preserve"> </w:t>
            </w:r>
            <w:r>
              <w:rPr>
                <w:sz w:val="24"/>
              </w:rPr>
              <w:t>Reports,</w:t>
            </w:r>
            <w:r>
              <w:rPr>
                <w:spacing w:val="-6"/>
                <w:sz w:val="24"/>
              </w:rPr>
              <w:t xml:space="preserve"> </w:t>
            </w:r>
            <w:r>
              <w:rPr>
                <w:i/>
                <w:sz w:val="24"/>
              </w:rPr>
              <w:t>China</w:t>
            </w:r>
            <w:r>
              <w:rPr>
                <w:i/>
                <w:spacing w:val="-6"/>
                <w:sz w:val="24"/>
              </w:rPr>
              <w:t xml:space="preserve"> </w:t>
            </w:r>
            <w:r>
              <w:rPr>
                <w:i/>
                <w:sz w:val="24"/>
              </w:rPr>
              <w:t>–</w:t>
            </w:r>
            <w:r>
              <w:rPr>
                <w:i/>
                <w:spacing w:val="-6"/>
                <w:sz w:val="24"/>
              </w:rPr>
              <w:t xml:space="preserve"> </w:t>
            </w:r>
            <w:r>
              <w:rPr>
                <w:i/>
                <w:sz w:val="24"/>
              </w:rPr>
              <w:t>Measures</w:t>
            </w:r>
            <w:r>
              <w:rPr>
                <w:i/>
                <w:spacing w:val="-6"/>
                <w:sz w:val="24"/>
              </w:rPr>
              <w:t xml:space="preserve"> </w:t>
            </w:r>
            <w:r>
              <w:rPr>
                <w:i/>
                <w:sz w:val="24"/>
              </w:rPr>
              <w:t>Imposing</w:t>
            </w:r>
            <w:r>
              <w:rPr>
                <w:i/>
                <w:spacing w:val="-7"/>
                <w:sz w:val="24"/>
              </w:rPr>
              <w:t xml:space="preserve"> </w:t>
            </w:r>
            <w:r>
              <w:rPr>
                <w:i/>
                <w:sz w:val="24"/>
              </w:rPr>
              <w:t>Anti‐Dumping Duties on High‐Performance</w:t>
            </w:r>
            <w:r>
              <w:rPr>
                <w:i/>
                <w:sz w:val="24"/>
              </w:rPr>
              <w:t xml:space="preserve"> Stainless Steel Seamless Tubes</w:t>
            </w:r>
          </w:p>
          <w:p w14:paraId="51DE765D" w14:textId="77777777" w:rsidR="0010369C" w:rsidRDefault="008E43AE">
            <w:pPr>
              <w:pStyle w:val="TableParagraph"/>
              <w:spacing w:line="237" w:lineRule="auto"/>
              <w:ind w:left="106" w:right="85"/>
              <w:rPr>
                <w:sz w:val="24"/>
              </w:rPr>
            </w:pPr>
            <w:r>
              <w:rPr>
                <w:i/>
                <w:sz w:val="24"/>
              </w:rPr>
              <w:t>("HP</w:t>
            </w:r>
            <w:r>
              <w:rPr>
                <w:rFonts w:ascii="Cambria" w:hAnsi="Cambria"/>
                <w:i/>
                <w:sz w:val="25"/>
              </w:rPr>
              <w:t>-</w:t>
            </w:r>
            <w:r>
              <w:rPr>
                <w:i/>
                <w:sz w:val="24"/>
              </w:rPr>
              <w:t>SSST") from Japan / China – Measures Imposing Anti‐ Dumping Duties on High‐Performance Stainless Steel Seamless Tubes ("HP</w:t>
            </w:r>
            <w:r>
              <w:rPr>
                <w:rFonts w:ascii="Cambria" w:hAnsi="Cambria"/>
                <w:i/>
                <w:sz w:val="25"/>
              </w:rPr>
              <w:t>-</w:t>
            </w:r>
            <w:r>
              <w:rPr>
                <w:i/>
                <w:sz w:val="24"/>
              </w:rPr>
              <w:t>SSST") from the European Union</w:t>
            </w:r>
            <w:r>
              <w:rPr>
                <w:sz w:val="24"/>
              </w:rPr>
              <w:t>, WT/DS454/AB/R and Add.1</w:t>
            </w:r>
            <w:r>
              <w:rPr>
                <w:spacing w:val="-6"/>
                <w:sz w:val="24"/>
              </w:rPr>
              <w:t xml:space="preserve"> </w:t>
            </w:r>
            <w:r>
              <w:rPr>
                <w:sz w:val="24"/>
              </w:rPr>
              <w:t>/WT/DS460/AB/R</w:t>
            </w:r>
            <w:r>
              <w:rPr>
                <w:spacing w:val="-3"/>
                <w:sz w:val="24"/>
              </w:rPr>
              <w:t xml:space="preserve"> </w:t>
            </w:r>
            <w:r>
              <w:rPr>
                <w:sz w:val="24"/>
              </w:rPr>
              <w:t>and</w:t>
            </w:r>
            <w:r>
              <w:rPr>
                <w:spacing w:val="-6"/>
                <w:sz w:val="24"/>
              </w:rPr>
              <w:t xml:space="preserve"> </w:t>
            </w:r>
            <w:r>
              <w:rPr>
                <w:sz w:val="24"/>
              </w:rPr>
              <w:t>Add.1,</w:t>
            </w:r>
            <w:r>
              <w:rPr>
                <w:spacing w:val="-6"/>
                <w:sz w:val="24"/>
              </w:rPr>
              <w:t xml:space="preserve"> </w:t>
            </w:r>
            <w:r>
              <w:rPr>
                <w:sz w:val="24"/>
              </w:rPr>
              <w:t>adopted</w:t>
            </w:r>
            <w:r>
              <w:rPr>
                <w:spacing w:val="-6"/>
                <w:sz w:val="24"/>
              </w:rPr>
              <w:t xml:space="preserve"> </w:t>
            </w:r>
            <w:r>
              <w:rPr>
                <w:sz w:val="24"/>
              </w:rPr>
              <w:t>28</w:t>
            </w:r>
            <w:r>
              <w:rPr>
                <w:spacing w:val="-6"/>
                <w:sz w:val="24"/>
              </w:rPr>
              <w:t xml:space="preserve"> </w:t>
            </w:r>
            <w:r>
              <w:rPr>
                <w:sz w:val="24"/>
              </w:rPr>
              <w:t>October</w:t>
            </w:r>
            <w:r>
              <w:rPr>
                <w:spacing w:val="-5"/>
                <w:sz w:val="24"/>
              </w:rPr>
              <w:t xml:space="preserve"> </w:t>
            </w:r>
            <w:r>
              <w:rPr>
                <w:sz w:val="24"/>
              </w:rPr>
              <w:t>2015,</w:t>
            </w:r>
            <w:r>
              <w:rPr>
                <w:spacing w:val="-6"/>
                <w:sz w:val="24"/>
              </w:rPr>
              <w:t xml:space="preserve"> </w:t>
            </w:r>
            <w:r>
              <w:rPr>
                <w:sz w:val="24"/>
              </w:rPr>
              <w:t>DSR</w:t>
            </w:r>
          </w:p>
          <w:p w14:paraId="51DE765E" w14:textId="77777777" w:rsidR="0010369C" w:rsidRDefault="008E43AE">
            <w:pPr>
              <w:pStyle w:val="TableParagraph"/>
              <w:spacing w:line="273" w:lineRule="exact"/>
              <w:ind w:left="106"/>
              <w:rPr>
                <w:sz w:val="24"/>
              </w:rPr>
            </w:pPr>
            <w:r>
              <w:rPr>
                <w:sz w:val="24"/>
              </w:rPr>
              <w:t>2015:IX,</w:t>
            </w:r>
            <w:r>
              <w:rPr>
                <w:spacing w:val="-5"/>
                <w:sz w:val="24"/>
              </w:rPr>
              <w:t xml:space="preserve"> </w:t>
            </w:r>
            <w:r>
              <w:rPr>
                <w:sz w:val="24"/>
              </w:rPr>
              <w:t>p.</w:t>
            </w:r>
            <w:r>
              <w:rPr>
                <w:spacing w:val="-4"/>
                <w:sz w:val="24"/>
              </w:rPr>
              <w:t xml:space="preserve"> 4573</w:t>
            </w:r>
          </w:p>
        </w:tc>
      </w:tr>
      <w:tr w:rsidR="0010369C" w14:paraId="51DE7663" w14:textId="77777777">
        <w:trPr>
          <w:trHeight w:val="2051"/>
        </w:trPr>
        <w:tc>
          <w:tcPr>
            <w:tcW w:w="2255" w:type="dxa"/>
          </w:tcPr>
          <w:p w14:paraId="51DE7660" w14:textId="77777777" w:rsidR="0010369C" w:rsidRDefault="008E43AE">
            <w:pPr>
              <w:pStyle w:val="TableParagraph"/>
              <w:ind w:left="107"/>
              <w:rPr>
                <w:i/>
                <w:sz w:val="24"/>
              </w:rPr>
            </w:pPr>
            <w:r>
              <w:rPr>
                <w:i/>
                <w:sz w:val="24"/>
              </w:rPr>
              <w:t>China – HP‐SSST (Japan)</w:t>
            </w:r>
            <w:r>
              <w:rPr>
                <w:i/>
                <w:spacing w:val="-13"/>
                <w:sz w:val="24"/>
              </w:rPr>
              <w:t xml:space="preserve"> </w:t>
            </w:r>
            <w:r>
              <w:rPr>
                <w:i/>
                <w:sz w:val="24"/>
              </w:rPr>
              <w:t>/</w:t>
            </w:r>
            <w:r>
              <w:rPr>
                <w:i/>
                <w:spacing w:val="-13"/>
                <w:sz w:val="24"/>
              </w:rPr>
              <w:t xml:space="preserve"> </w:t>
            </w:r>
            <w:r>
              <w:rPr>
                <w:i/>
                <w:sz w:val="24"/>
              </w:rPr>
              <w:t>China</w:t>
            </w:r>
            <w:r>
              <w:rPr>
                <w:i/>
                <w:spacing w:val="-13"/>
                <w:sz w:val="24"/>
              </w:rPr>
              <w:t xml:space="preserve"> </w:t>
            </w:r>
            <w:r>
              <w:rPr>
                <w:i/>
                <w:sz w:val="24"/>
              </w:rPr>
              <w:t>– HP‐SSST (EU)</w:t>
            </w:r>
          </w:p>
        </w:tc>
        <w:tc>
          <w:tcPr>
            <w:tcW w:w="6761" w:type="dxa"/>
          </w:tcPr>
          <w:p w14:paraId="51DE7661" w14:textId="77777777" w:rsidR="0010369C" w:rsidRDefault="008E43AE">
            <w:pPr>
              <w:pStyle w:val="TableParagraph"/>
              <w:spacing w:line="237" w:lineRule="auto"/>
              <w:ind w:left="106"/>
              <w:rPr>
                <w:sz w:val="24"/>
              </w:rPr>
            </w:pPr>
            <w:r>
              <w:rPr>
                <w:sz w:val="24"/>
              </w:rPr>
              <w:t>Panel</w:t>
            </w:r>
            <w:r>
              <w:rPr>
                <w:spacing w:val="-6"/>
                <w:sz w:val="24"/>
              </w:rPr>
              <w:t xml:space="preserve"> </w:t>
            </w:r>
            <w:r>
              <w:rPr>
                <w:sz w:val="24"/>
              </w:rPr>
              <w:t>Reports,</w:t>
            </w:r>
            <w:r>
              <w:rPr>
                <w:spacing w:val="-5"/>
                <w:sz w:val="24"/>
              </w:rPr>
              <w:t xml:space="preserve"> </w:t>
            </w:r>
            <w:r>
              <w:rPr>
                <w:i/>
                <w:sz w:val="24"/>
              </w:rPr>
              <w:t>China</w:t>
            </w:r>
            <w:r>
              <w:rPr>
                <w:i/>
                <w:spacing w:val="-5"/>
                <w:sz w:val="24"/>
              </w:rPr>
              <w:t xml:space="preserve"> </w:t>
            </w:r>
            <w:r>
              <w:rPr>
                <w:i/>
                <w:sz w:val="24"/>
              </w:rPr>
              <w:t>–</w:t>
            </w:r>
            <w:r>
              <w:rPr>
                <w:i/>
                <w:spacing w:val="-6"/>
                <w:sz w:val="24"/>
              </w:rPr>
              <w:t xml:space="preserve"> </w:t>
            </w:r>
            <w:r>
              <w:rPr>
                <w:i/>
                <w:sz w:val="24"/>
              </w:rPr>
              <w:t>Measures</w:t>
            </w:r>
            <w:r>
              <w:rPr>
                <w:i/>
                <w:spacing w:val="-6"/>
                <w:sz w:val="24"/>
              </w:rPr>
              <w:t xml:space="preserve"> </w:t>
            </w:r>
            <w:r>
              <w:rPr>
                <w:i/>
                <w:sz w:val="24"/>
              </w:rPr>
              <w:t>Imposing</w:t>
            </w:r>
            <w:r>
              <w:rPr>
                <w:i/>
                <w:spacing w:val="-5"/>
                <w:sz w:val="24"/>
              </w:rPr>
              <w:t xml:space="preserve"> </w:t>
            </w:r>
            <w:r>
              <w:rPr>
                <w:i/>
                <w:sz w:val="24"/>
              </w:rPr>
              <w:t>Anti</w:t>
            </w:r>
            <w:r>
              <w:rPr>
                <w:rFonts w:ascii="Cambria" w:hAnsi="Cambria"/>
                <w:i/>
                <w:sz w:val="25"/>
              </w:rPr>
              <w:t>-</w:t>
            </w:r>
            <w:r>
              <w:rPr>
                <w:i/>
                <w:sz w:val="24"/>
              </w:rPr>
              <w:t>Dumping</w:t>
            </w:r>
            <w:r>
              <w:rPr>
                <w:i/>
                <w:spacing w:val="-5"/>
                <w:sz w:val="24"/>
              </w:rPr>
              <w:t xml:space="preserve"> </w:t>
            </w:r>
            <w:r>
              <w:rPr>
                <w:i/>
                <w:sz w:val="24"/>
              </w:rPr>
              <w:t>Duties</w:t>
            </w:r>
            <w:r>
              <w:rPr>
                <w:i/>
                <w:spacing w:val="-6"/>
                <w:sz w:val="24"/>
              </w:rPr>
              <w:t xml:space="preserve"> </w:t>
            </w:r>
            <w:r>
              <w:rPr>
                <w:i/>
                <w:sz w:val="24"/>
              </w:rPr>
              <w:t>on High‐Performance Stainless Steel Seamless Tubes ("HP</w:t>
            </w:r>
            <w:r>
              <w:rPr>
                <w:rFonts w:ascii="Cambria" w:hAnsi="Cambria"/>
                <w:i/>
                <w:sz w:val="25"/>
              </w:rPr>
              <w:t>-</w:t>
            </w:r>
            <w:r>
              <w:rPr>
                <w:i/>
                <w:sz w:val="24"/>
              </w:rPr>
              <w:t>SSST") from</w:t>
            </w:r>
            <w:r>
              <w:rPr>
                <w:i/>
                <w:sz w:val="24"/>
              </w:rPr>
              <w:t xml:space="preserve"> Japan / China – Measures Imposing Anti‐Dumping Duties on High‐ Performance Stainless Steel Seamless Tubes ("HP</w:t>
            </w:r>
            <w:r>
              <w:rPr>
                <w:rFonts w:ascii="Cambria" w:hAnsi="Cambria"/>
                <w:i/>
                <w:sz w:val="25"/>
              </w:rPr>
              <w:t>-</w:t>
            </w:r>
            <w:r>
              <w:rPr>
                <w:i/>
                <w:sz w:val="24"/>
              </w:rPr>
              <w:t>SSST") from the European</w:t>
            </w:r>
            <w:r>
              <w:rPr>
                <w:i/>
                <w:spacing w:val="-3"/>
                <w:sz w:val="24"/>
              </w:rPr>
              <w:t xml:space="preserve"> </w:t>
            </w:r>
            <w:r>
              <w:rPr>
                <w:i/>
                <w:sz w:val="24"/>
              </w:rPr>
              <w:t>Union</w:t>
            </w:r>
            <w:r>
              <w:rPr>
                <w:sz w:val="24"/>
              </w:rPr>
              <w:t>,</w:t>
            </w:r>
            <w:r>
              <w:rPr>
                <w:spacing w:val="-4"/>
                <w:sz w:val="24"/>
              </w:rPr>
              <w:t xml:space="preserve"> </w:t>
            </w:r>
            <w:r>
              <w:rPr>
                <w:sz w:val="24"/>
              </w:rPr>
              <w:t>WT/DS454/R</w:t>
            </w:r>
            <w:r>
              <w:rPr>
                <w:spacing w:val="-4"/>
                <w:sz w:val="24"/>
              </w:rPr>
              <w:t xml:space="preserve"> </w:t>
            </w:r>
            <w:r>
              <w:rPr>
                <w:sz w:val="24"/>
              </w:rPr>
              <w:t>and</w:t>
            </w:r>
            <w:r>
              <w:rPr>
                <w:spacing w:val="-4"/>
                <w:sz w:val="24"/>
              </w:rPr>
              <w:t xml:space="preserve"> </w:t>
            </w:r>
            <w:r>
              <w:rPr>
                <w:sz w:val="24"/>
              </w:rPr>
              <w:t>Add.1</w:t>
            </w:r>
            <w:r>
              <w:rPr>
                <w:spacing w:val="-4"/>
                <w:sz w:val="24"/>
              </w:rPr>
              <w:t xml:space="preserve"> </w:t>
            </w:r>
            <w:r>
              <w:rPr>
                <w:sz w:val="24"/>
              </w:rPr>
              <w:t>/WT/DS460/R,</w:t>
            </w:r>
            <w:r>
              <w:rPr>
                <w:spacing w:val="-4"/>
                <w:sz w:val="24"/>
              </w:rPr>
              <w:t xml:space="preserve"> </w:t>
            </w:r>
            <w:r>
              <w:rPr>
                <w:sz w:val="24"/>
              </w:rPr>
              <w:t>Add.1</w:t>
            </w:r>
            <w:r>
              <w:rPr>
                <w:spacing w:val="-5"/>
                <w:sz w:val="24"/>
              </w:rPr>
              <w:t xml:space="preserve"> </w:t>
            </w:r>
            <w:r>
              <w:rPr>
                <w:sz w:val="24"/>
              </w:rPr>
              <w:t>and Corr.1, adopted 28 October 2015, as modified by Appellate Body</w:t>
            </w:r>
          </w:p>
          <w:p w14:paraId="51DE7662" w14:textId="77777777" w:rsidR="0010369C" w:rsidRDefault="008E43AE">
            <w:pPr>
              <w:pStyle w:val="TableParagraph"/>
              <w:spacing w:line="270" w:lineRule="exact"/>
              <w:ind w:left="106"/>
              <w:rPr>
                <w:sz w:val="24"/>
              </w:rPr>
            </w:pPr>
            <w:r>
              <w:rPr>
                <w:sz w:val="24"/>
              </w:rPr>
              <w:t>Repor</w:t>
            </w:r>
            <w:r>
              <w:rPr>
                <w:sz w:val="24"/>
              </w:rPr>
              <w:t>ts</w:t>
            </w:r>
            <w:r>
              <w:rPr>
                <w:spacing w:val="-3"/>
                <w:sz w:val="24"/>
              </w:rPr>
              <w:t xml:space="preserve"> </w:t>
            </w:r>
            <w:r>
              <w:rPr>
                <w:sz w:val="24"/>
              </w:rPr>
              <w:t>WT/DS454/AB/R</w:t>
            </w:r>
            <w:r>
              <w:rPr>
                <w:spacing w:val="-2"/>
                <w:sz w:val="24"/>
              </w:rPr>
              <w:t xml:space="preserve"> </w:t>
            </w:r>
            <w:r>
              <w:rPr>
                <w:sz w:val="24"/>
              </w:rPr>
              <w:t>/</w:t>
            </w:r>
            <w:r>
              <w:rPr>
                <w:spacing w:val="-2"/>
                <w:sz w:val="24"/>
              </w:rPr>
              <w:t xml:space="preserve"> </w:t>
            </w:r>
            <w:r>
              <w:rPr>
                <w:sz w:val="24"/>
              </w:rPr>
              <w:t>WT/DS460/AB/R,</w:t>
            </w:r>
            <w:r>
              <w:rPr>
                <w:spacing w:val="-3"/>
                <w:sz w:val="24"/>
              </w:rPr>
              <w:t xml:space="preserve"> </w:t>
            </w:r>
            <w:r>
              <w:rPr>
                <w:sz w:val="24"/>
              </w:rPr>
              <w:t>DSR</w:t>
            </w:r>
            <w:r>
              <w:rPr>
                <w:spacing w:val="-1"/>
                <w:sz w:val="24"/>
              </w:rPr>
              <w:t xml:space="preserve"> </w:t>
            </w:r>
            <w:r>
              <w:rPr>
                <w:sz w:val="24"/>
              </w:rPr>
              <w:t>2015:IX,</w:t>
            </w:r>
            <w:r>
              <w:rPr>
                <w:spacing w:val="-2"/>
                <w:sz w:val="24"/>
              </w:rPr>
              <w:t xml:space="preserve"> </w:t>
            </w:r>
            <w:r>
              <w:rPr>
                <w:sz w:val="24"/>
              </w:rPr>
              <w:t xml:space="preserve">p. </w:t>
            </w:r>
            <w:r>
              <w:rPr>
                <w:spacing w:val="-4"/>
                <w:sz w:val="24"/>
              </w:rPr>
              <w:t>4789</w:t>
            </w:r>
          </w:p>
        </w:tc>
      </w:tr>
      <w:tr w:rsidR="0010369C" w14:paraId="51DE7666" w14:textId="77777777">
        <w:trPr>
          <w:trHeight w:val="1171"/>
        </w:trPr>
        <w:tc>
          <w:tcPr>
            <w:tcW w:w="2255" w:type="dxa"/>
          </w:tcPr>
          <w:p w14:paraId="51DE7664" w14:textId="77777777" w:rsidR="0010369C" w:rsidRDefault="008E43AE">
            <w:pPr>
              <w:pStyle w:val="TableParagraph"/>
              <w:ind w:left="107"/>
              <w:rPr>
                <w:i/>
                <w:sz w:val="24"/>
              </w:rPr>
            </w:pPr>
            <w:r>
              <w:rPr>
                <w:i/>
                <w:sz w:val="24"/>
              </w:rPr>
              <w:t>China</w:t>
            </w:r>
            <w:r>
              <w:rPr>
                <w:i/>
                <w:spacing w:val="-14"/>
                <w:sz w:val="24"/>
              </w:rPr>
              <w:t xml:space="preserve"> </w:t>
            </w:r>
            <w:r>
              <w:rPr>
                <w:i/>
                <w:sz w:val="24"/>
              </w:rPr>
              <w:t>–</w:t>
            </w:r>
            <w:r>
              <w:rPr>
                <w:i/>
                <w:spacing w:val="-14"/>
                <w:sz w:val="24"/>
              </w:rPr>
              <w:t xml:space="preserve"> </w:t>
            </w:r>
            <w:r>
              <w:rPr>
                <w:i/>
                <w:sz w:val="24"/>
              </w:rPr>
              <w:t xml:space="preserve">X‐Ray </w:t>
            </w:r>
            <w:r>
              <w:rPr>
                <w:i/>
                <w:spacing w:val="-2"/>
                <w:sz w:val="24"/>
              </w:rPr>
              <w:t>Equipment</w:t>
            </w:r>
          </w:p>
        </w:tc>
        <w:tc>
          <w:tcPr>
            <w:tcW w:w="6761" w:type="dxa"/>
          </w:tcPr>
          <w:p w14:paraId="51DE7665" w14:textId="77777777" w:rsidR="0010369C" w:rsidRDefault="008E43AE">
            <w:pPr>
              <w:pStyle w:val="TableParagraph"/>
              <w:spacing w:line="290" w:lineRule="atLeast"/>
              <w:ind w:left="106" w:right="167"/>
              <w:rPr>
                <w:sz w:val="24"/>
              </w:rPr>
            </w:pPr>
            <w:r>
              <w:rPr>
                <w:sz w:val="24"/>
              </w:rPr>
              <w:t xml:space="preserve">Panel Report, </w:t>
            </w:r>
            <w:r>
              <w:rPr>
                <w:i/>
                <w:sz w:val="24"/>
              </w:rPr>
              <w:t>China – Definitive Anti‐Dumping Duties on X‐Ray Security Inspection Equipment from the European Union</w:t>
            </w:r>
            <w:r>
              <w:rPr>
                <w:sz w:val="24"/>
              </w:rPr>
              <w:t>, WT/DS425/R</w:t>
            </w:r>
            <w:r>
              <w:rPr>
                <w:spacing w:val="-5"/>
                <w:sz w:val="24"/>
              </w:rPr>
              <w:t xml:space="preserve"> </w:t>
            </w:r>
            <w:r>
              <w:rPr>
                <w:sz w:val="24"/>
              </w:rPr>
              <w:t>and</w:t>
            </w:r>
            <w:r>
              <w:rPr>
                <w:spacing w:val="-5"/>
                <w:sz w:val="24"/>
              </w:rPr>
              <w:t xml:space="preserve"> </w:t>
            </w:r>
            <w:r>
              <w:rPr>
                <w:sz w:val="24"/>
              </w:rPr>
              <w:t>Add.1,</w:t>
            </w:r>
            <w:r>
              <w:rPr>
                <w:spacing w:val="-5"/>
                <w:sz w:val="24"/>
              </w:rPr>
              <w:t xml:space="preserve"> </w:t>
            </w:r>
            <w:r>
              <w:rPr>
                <w:sz w:val="24"/>
              </w:rPr>
              <w:t>adopted</w:t>
            </w:r>
            <w:r>
              <w:rPr>
                <w:spacing w:val="-5"/>
                <w:sz w:val="24"/>
              </w:rPr>
              <w:t xml:space="preserve"> </w:t>
            </w:r>
            <w:r>
              <w:rPr>
                <w:sz w:val="24"/>
              </w:rPr>
              <w:t>24</w:t>
            </w:r>
            <w:r>
              <w:rPr>
                <w:spacing w:val="-5"/>
                <w:sz w:val="24"/>
              </w:rPr>
              <w:t xml:space="preserve"> </w:t>
            </w:r>
            <w:r>
              <w:rPr>
                <w:sz w:val="24"/>
              </w:rPr>
              <w:t>April</w:t>
            </w:r>
            <w:r>
              <w:rPr>
                <w:spacing w:val="-5"/>
                <w:sz w:val="24"/>
              </w:rPr>
              <w:t xml:space="preserve"> </w:t>
            </w:r>
            <w:r>
              <w:rPr>
                <w:sz w:val="24"/>
              </w:rPr>
              <w:t>2013,</w:t>
            </w:r>
            <w:r>
              <w:rPr>
                <w:spacing w:val="-5"/>
                <w:sz w:val="24"/>
              </w:rPr>
              <w:t xml:space="preserve"> </w:t>
            </w:r>
            <w:r>
              <w:rPr>
                <w:sz w:val="24"/>
              </w:rPr>
              <w:t>DSR</w:t>
            </w:r>
            <w:r>
              <w:rPr>
                <w:spacing w:val="-4"/>
                <w:sz w:val="24"/>
              </w:rPr>
              <w:t xml:space="preserve"> </w:t>
            </w:r>
            <w:r>
              <w:rPr>
                <w:sz w:val="24"/>
              </w:rPr>
              <w:t>2013:III,</w:t>
            </w:r>
            <w:r>
              <w:rPr>
                <w:spacing w:val="-5"/>
                <w:sz w:val="24"/>
              </w:rPr>
              <w:t xml:space="preserve"> </w:t>
            </w:r>
            <w:r>
              <w:rPr>
                <w:sz w:val="24"/>
              </w:rPr>
              <w:t xml:space="preserve">p. </w:t>
            </w:r>
            <w:r>
              <w:rPr>
                <w:spacing w:val="-4"/>
                <w:sz w:val="24"/>
              </w:rPr>
              <w:t>659</w:t>
            </w:r>
          </w:p>
        </w:tc>
      </w:tr>
      <w:tr w:rsidR="0010369C" w14:paraId="51DE7669" w14:textId="77777777">
        <w:trPr>
          <w:trHeight w:val="878"/>
        </w:trPr>
        <w:tc>
          <w:tcPr>
            <w:tcW w:w="2255" w:type="dxa"/>
          </w:tcPr>
          <w:p w14:paraId="51DE7667" w14:textId="77777777" w:rsidR="0010369C" w:rsidRDefault="008E43AE">
            <w:pPr>
              <w:pStyle w:val="TableParagraph"/>
              <w:ind w:left="107"/>
              <w:rPr>
                <w:i/>
                <w:sz w:val="24"/>
              </w:rPr>
            </w:pPr>
            <w:r>
              <w:rPr>
                <w:i/>
                <w:sz w:val="24"/>
              </w:rPr>
              <w:t>EC —</w:t>
            </w:r>
            <w:r>
              <w:rPr>
                <w:i/>
                <w:spacing w:val="-1"/>
                <w:sz w:val="24"/>
              </w:rPr>
              <w:t xml:space="preserve"> </w:t>
            </w:r>
            <w:r>
              <w:rPr>
                <w:i/>
                <w:sz w:val="24"/>
              </w:rPr>
              <w:t>Bed</w:t>
            </w:r>
            <w:r>
              <w:rPr>
                <w:i/>
                <w:spacing w:val="-1"/>
                <w:sz w:val="24"/>
              </w:rPr>
              <w:t xml:space="preserve"> </w:t>
            </w:r>
            <w:r>
              <w:rPr>
                <w:i/>
                <w:spacing w:val="-2"/>
                <w:sz w:val="24"/>
              </w:rPr>
              <w:t>Linen</w:t>
            </w:r>
          </w:p>
        </w:tc>
        <w:tc>
          <w:tcPr>
            <w:tcW w:w="6761" w:type="dxa"/>
          </w:tcPr>
          <w:p w14:paraId="51DE7668" w14:textId="77777777" w:rsidR="0010369C" w:rsidRDefault="008E43AE">
            <w:pPr>
              <w:pStyle w:val="TableParagraph"/>
              <w:spacing w:line="290" w:lineRule="atLeast"/>
              <w:ind w:left="106"/>
              <w:rPr>
                <w:sz w:val="24"/>
              </w:rPr>
            </w:pPr>
            <w:r>
              <w:rPr>
                <w:sz w:val="24"/>
              </w:rPr>
              <w:t>Appellate</w:t>
            </w:r>
            <w:r>
              <w:rPr>
                <w:spacing w:val="-4"/>
                <w:sz w:val="24"/>
              </w:rPr>
              <w:t xml:space="preserve"> </w:t>
            </w:r>
            <w:r>
              <w:rPr>
                <w:sz w:val="24"/>
              </w:rPr>
              <w:t>Body</w:t>
            </w:r>
            <w:r>
              <w:rPr>
                <w:spacing w:val="-4"/>
                <w:sz w:val="24"/>
              </w:rPr>
              <w:t xml:space="preserve"> </w:t>
            </w:r>
            <w:r>
              <w:rPr>
                <w:sz w:val="24"/>
              </w:rPr>
              <w:t>Report,</w:t>
            </w:r>
            <w:r>
              <w:rPr>
                <w:spacing w:val="-5"/>
                <w:sz w:val="24"/>
              </w:rPr>
              <w:t xml:space="preserve"> </w:t>
            </w:r>
            <w:r>
              <w:rPr>
                <w:i/>
                <w:sz w:val="24"/>
              </w:rPr>
              <w:t>European</w:t>
            </w:r>
            <w:r>
              <w:rPr>
                <w:i/>
                <w:spacing w:val="-5"/>
                <w:sz w:val="24"/>
              </w:rPr>
              <w:t xml:space="preserve"> </w:t>
            </w:r>
            <w:r>
              <w:rPr>
                <w:i/>
                <w:sz w:val="24"/>
              </w:rPr>
              <w:t>Communities</w:t>
            </w:r>
            <w:r>
              <w:rPr>
                <w:i/>
                <w:spacing w:val="-5"/>
                <w:sz w:val="24"/>
              </w:rPr>
              <w:t xml:space="preserve"> </w:t>
            </w:r>
            <w:r>
              <w:rPr>
                <w:i/>
                <w:sz w:val="24"/>
              </w:rPr>
              <w:t>–</w:t>
            </w:r>
            <w:r>
              <w:rPr>
                <w:i/>
                <w:spacing w:val="-4"/>
                <w:sz w:val="24"/>
              </w:rPr>
              <w:t xml:space="preserve"> </w:t>
            </w:r>
            <w:r>
              <w:rPr>
                <w:i/>
                <w:sz w:val="24"/>
              </w:rPr>
              <w:t>Anti‐Dumping Duties on Imports of Cotton‐Type Bed Linen from India</w:t>
            </w:r>
            <w:r>
              <w:rPr>
                <w:sz w:val="24"/>
              </w:rPr>
              <w:t>, WT/DS141/AB/R,</w:t>
            </w:r>
            <w:r>
              <w:rPr>
                <w:spacing w:val="-6"/>
                <w:sz w:val="24"/>
              </w:rPr>
              <w:t xml:space="preserve"> </w:t>
            </w:r>
            <w:r>
              <w:rPr>
                <w:sz w:val="24"/>
              </w:rPr>
              <w:t>adopted</w:t>
            </w:r>
            <w:r>
              <w:rPr>
                <w:spacing w:val="-5"/>
                <w:sz w:val="24"/>
              </w:rPr>
              <w:t xml:space="preserve"> </w:t>
            </w:r>
            <w:r>
              <w:rPr>
                <w:sz w:val="24"/>
              </w:rPr>
              <w:t>12</w:t>
            </w:r>
            <w:r>
              <w:rPr>
                <w:spacing w:val="-5"/>
                <w:sz w:val="24"/>
              </w:rPr>
              <w:t xml:space="preserve"> </w:t>
            </w:r>
            <w:r>
              <w:rPr>
                <w:sz w:val="24"/>
              </w:rPr>
              <w:t>March</w:t>
            </w:r>
            <w:r>
              <w:rPr>
                <w:spacing w:val="-5"/>
                <w:sz w:val="24"/>
              </w:rPr>
              <w:t xml:space="preserve"> </w:t>
            </w:r>
            <w:r>
              <w:rPr>
                <w:sz w:val="24"/>
              </w:rPr>
              <w:t>2001,</w:t>
            </w:r>
            <w:r>
              <w:rPr>
                <w:spacing w:val="-5"/>
                <w:sz w:val="24"/>
              </w:rPr>
              <w:t xml:space="preserve"> </w:t>
            </w:r>
            <w:r>
              <w:rPr>
                <w:sz w:val="24"/>
              </w:rPr>
              <w:t>DSR</w:t>
            </w:r>
            <w:r>
              <w:rPr>
                <w:spacing w:val="-3"/>
                <w:sz w:val="24"/>
              </w:rPr>
              <w:t xml:space="preserve"> </w:t>
            </w:r>
            <w:r>
              <w:rPr>
                <w:sz w:val="24"/>
              </w:rPr>
              <w:t>2001:V,</w:t>
            </w:r>
            <w:r>
              <w:rPr>
                <w:spacing w:val="-6"/>
                <w:sz w:val="24"/>
              </w:rPr>
              <w:t xml:space="preserve"> </w:t>
            </w:r>
            <w:r>
              <w:rPr>
                <w:sz w:val="24"/>
              </w:rPr>
              <w:t>p.</w:t>
            </w:r>
            <w:r>
              <w:rPr>
                <w:spacing w:val="-4"/>
                <w:sz w:val="24"/>
              </w:rPr>
              <w:t xml:space="preserve"> </w:t>
            </w:r>
            <w:r>
              <w:rPr>
                <w:sz w:val="24"/>
              </w:rPr>
              <w:t>2049</w:t>
            </w:r>
          </w:p>
        </w:tc>
      </w:tr>
      <w:tr w:rsidR="0010369C" w14:paraId="51DE766C" w14:textId="77777777">
        <w:trPr>
          <w:trHeight w:val="586"/>
        </w:trPr>
        <w:tc>
          <w:tcPr>
            <w:tcW w:w="2255" w:type="dxa"/>
          </w:tcPr>
          <w:p w14:paraId="51DE766A" w14:textId="77777777" w:rsidR="0010369C" w:rsidRDefault="008E43AE">
            <w:pPr>
              <w:pStyle w:val="TableParagraph"/>
              <w:ind w:left="107"/>
              <w:rPr>
                <w:i/>
                <w:sz w:val="24"/>
              </w:rPr>
            </w:pPr>
            <w:r>
              <w:rPr>
                <w:i/>
                <w:sz w:val="24"/>
              </w:rPr>
              <w:t>EC</w:t>
            </w:r>
            <w:r>
              <w:rPr>
                <w:i/>
                <w:spacing w:val="-1"/>
                <w:sz w:val="24"/>
              </w:rPr>
              <w:t xml:space="preserve"> </w:t>
            </w:r>
            <w:r>
              <w:rPr>
                <w:i/>
                <w:sz w:val="24"/>
              </w:rPr>
              <w:t>– Bed</w:t>
            </w:r>
            <w:r>
              <w:rPr>
                <w:i/>
                <w:spacing w:val="-1"/>
                <w:sz w:val="24"/>
              </w:rPr>
              <w:t xml:space="preserve"> </w:t>
            </w:r>
            <w:r>
              <w:rPr>
                <w:i/>
                <w:spacing w:val="-2"/>
                <w:sz w:val="24"/>
              </w:rPr>
              <w:t>Linen</w:t>
            </w:r>
          </w:p>
        </w:tc>
        <w:tc>
          <w:tcPr>
            <w:tcW w:w="6761" w:type="dxa"/>
          </w:tcPr>
          <w:p w14:paraId="51DE766B" w14:textId="77777777" w:rsidR="0010369C" w:rsidRDefault="008E43AE">
            <w:pPr>
              <w:pStyle w:val="TableParagraph"/>
              <w:spacing w:line="290" w:lineRule="atLeast"/>
              <w:ind w:left="106"/>
              <w:rPr>
                <w:sz w:val="24"/>
              </w:rPr>
            </w:pPr>
            <w:r>
              <w:rPr>
                <w:sz w:val="24"/>
              </w:rPr>
              <w:t>Panel</w:t>
            </w:r>
            <w:r>
              <w:rPr>
                <w:spacing w:val="-7"/>
                <w:sz w:val="24"/>
              </w:rPr>
              <w:t xml:space="preserve"> </w:t>
            </w:r>
            <w:r>
              <w:rPr>
                <w:sz w:val="24"/>
              </w:rPr>
              <w:t>Report,</w:t>
            </w:r>
            <w:r>
              <w:rPr>
                <w:spacing w:val="-6"/>
                <w:sz w:val="24"/>
              </w:rPr>
              <w:t xml:space="preserve"> </w:t>
            </w:r>
            <w:r>
              <w:rPr>
                <w:i/>
                <w:sz w:val="24"/>
              </w:rPr>
              <w:t>European</w:t>
            </w:r>
            <w:r>
              <w:rPr>
                <w:i/>
                <w:spacing w:val="-7"/>
                <w:sz w:val="24"/>
              </w:rPr>
              <w:t xml:space="preserve"> </w:t>
            </w:r>
            <w:r>
              <w:rPr>
                <w:i/>
                <w:sz w:val="24"/>
              </w:rPr>
              <w:t>Communities</w:t>
            </w:r>
            <w:r>
              <w:rPr>
                <w:i/>
                <w:spacing w:val="-5"/>
                <w:sz w:val="24"/>
              </w:rPr>
              <w:t xml:space="preserve"> </w:t>
            </w:r>
            <w:r>
              <w:rPr>
                <w:i/>
                <w:sz w:val="24"/>
              </w:rPr>
              <w:t>–</w:t>
            </w:r>
            <w:r>
              <w:rPr>
                <w:i/>
                <w:spacing w:val="-6"/>
                <w:sz w:val="24"/>
              </w:rPr>
              <w:t xml:space="preserve"> </w:t>
            </w:r>
            <w:r>
              <w:rPr>
                <w:i/>
                <w:sz w:val="24"/>
              </w:rPr>
              <w:t>Anti‐Dumping</w:t>
            </w:r>
            <w:r>
              <w:rPr>
                <w:i/>
                <w:spacing w:val="-6"/>
                <w:sz w:val="24"/>
              </w:rPr>
              <w:t xml:space="preserve"> </w:t>
            </w:r>
            <w:r>
              <w:rPr>
                <w:i/>
                <w:sz w:val="24"/>
              </w:rPr>
              <w:t>Duties</w:t>
            </w:r>
            <w:r>
              <w:rPr>
                <w:i/>
                <w:spacing w:val="-6"/>
                <w:sz w:val="24"/>
              </w:rPr>
              <w:t xml:space="preserve"> </w:t>
            </w:r>
            <w:r>
              <w:rPr>
                <w:i/>
                <w:sz w:val="24"/>
              </w:rPr>
              <w:t>on Imports of Cotton‐Type Bed Linen from India</w:t>
            </w:r>
            <w:r>
              <w:rPr>
                <w:sz w:val="24"/>
              </w:rPr>
              <w:t>, WT/DS141/R,</w:t>
            </w:r>
          </w:p>
        </w:tc>
      </w:tr>
    </w:tbl>
    <w:p w14:paraId="51DE766D" w14:textId="77777777" w:rsidR="0010369C" w:rsidRDefault="0010369C">
      <w:pPr>
        <w:spacing w:line="290" w:lineRule="atLeast"/>
        <w:rPr>
          <w:sz w:val="24"/>
        </w:rPr>
        <w:sectPr w:rsidR="0010369C">
          <w:headerReference w:type="default" r:id="rId11"/>
          <w:footerReference w:type="default" r:id="rId12"/>
          <w:pgSz w:w="11910" w:h="16840"/>
          <w:pgMar w:top="880" w:right="1220" w:bottom="980" w:left="1180" w:header="569" w:footer="788" w:gutter="0"/>
          <w:cols w:space="720"/>
        </w:sectPr>
      </w:pPr>
    </w:p>
    <w:p w14:paraId="51DE766E" w14:textId="77777777" w:rsidR="0010369C" w:rsidRDefault="008E43AE">
      <w:pPr>
        <w:tabs>
          <w:tab w:val="left" w:pos="6425"/>
        </w:tabs>
        <w:ind w:left="238"/>
        <w:rPr>
          <w:sz w:val="20"/>
        </w:rPr>
      </w:pPr>
      <w:r>
        <w:rPr>
          <w:i/>
          <w:sz w:val="20"/>
        </w:rPr>
        <w:lastRenderedPageBreak/>
        <w:t>China</w:t>
      </w:r>
      <w:r>
        <w:rPr>
          <w:i/>
          <w:spacing w:val="-5"/>
          <w:sz w:val="20"/>
        </w:rPr>
        <w:t xml:space="preserve"> </w:t>
      </w:r>
      <w:r>
        <w:rPr>
          <w:i/>
          <w:sz w:val="20"/>
        </w:rPr>
        <w:t>–</w:t>
      </w:r>
      <w:r>
        <w:rPr>
          <w:i/>
          <w:spacing w:val="-5"/>
          <w:sz w:val="20"/>
        </w:rPr>
        <w:t xml:space="preserve"> </w:t>
      </w:r>
      <w:r>
        <w:rPr>
          <w:i/>
          <w:sz w:val="20"/>
        </w:rPr>
        <w:t>Anti‐Dumping</w:t>
      </w:r>
      <w:r>
        <w:rPr>
          <w:i/>
          <w:spacing w:val="-4"/>
          <w:sz w:val="20"/>
        </w:rPr>
        <w:t xml:space="preserve"> </w:t>
      </w:r>
      <w:r>
        <w:rPr>
          <w:i/>
          <w:sz w:val="20"/>
        </w:rPr>
        <w:t>and</w:t>
      </w:r>
      <w:r>
        <w:rPr>
          <w:i/>
          <w:spacing w:val="-5"/>
          <w:sz w:val="20"/>
        </w:rPr>
        <w:t xml:space="preserve"> </w:t>
      </w:r>
      <w:r>
        <w:rPr>
          <w:i/>
          <w:sz w:val="20"/>
        </w:rPr>
        <w:t>Countervailing</w:t>
      </w:r>
      <w:r>
        <w:rPr>
          <w:i/>
          <w:spacing w:val="-5"/>
          <w:sz w:val="20"/>
        </w:rPr>
        <w:t xml:space="preserve"> </w:t>
      </w:r>
      <w:r>
        <w:rPr>
          <w:i/>
          <w:sz w:val="20"/>
        </w:rPr>
        <w:t>Duty</w:t>
      </w:r>
      <w:r>
        <w:rPr>
          <w:i/>
          <w:spacing w:val="-4"/>
          <w:sz w:val="20"/>
        </w:rPr>
        <w:t xml:space="preserve"> </w:t>
      </w:r>
      <w:r>
        <w:rPr>
          <w:i/>
          <w:spacing w:val="-2"/>
          <w:sz w:val="20"/>
        </w:rPr>
        <w:t>Measures</w:t>
      </w:r>
      <w:r>
        <w:rPr>
          <w:i/>
          <w:sz w:val="20"/>
        </w:rPr>
        <w:tab/>
      </w:r>
      <w:r>
        <w:rPr>
          <w:sz w:val="20"/>
        </w:rPr>
        <w:t>Australia's</w:t>
      </w:r>
      <w:r>
        <w:rPr>
          <w:spacing w:val="-6"/>
          <w:sz w:val="20"/>
        </w:rPr>
        <w:t xml:space="preserve"> </w:t>
      </w:r>
      <w:r>
        <w:rPr>
          <w:sz w:val="20"/>
        </w:rPr>
        <w:t>First</w:t>
      </w:r>
      <w:r>
        <w:rPr>
          <w:spacing w:val="-2"/>
          <w:sz w:val="20"/>
        </w:rPr>
        <w:t xml:space="preserve"> </w:t>
      </w:r>
      <w:r>
        <w:rPr>
          <w:sz w:val="20"/>
        </w:rPr>
        <w:t>Written</w:t>
      </w:r>
      <w:r>
        <w:rPr>
          <w:spacing w:val="-2"/>
          <w:sz w:val="20"/>
        </w:rPr>
        <w:t xml:space="preserve"> Submission</w:t>
      </w:r>
    </w:p>
    <w:p w14:paraId="51DE766F" w14:textId="77777777" w:rsidR="0010369C" w:rsidRDefault="008E43AE">
      <w:pPr>
        <w:tabs>
          <w:tab w:val="left" w:pos="8227"/>
        </w:tabs>
        <w:spacing w:before="1" w:after="35"/>
        <w:ind w:left="239"/>
        <w:rPr>
          <w:sz w:val="20"/>
        </w:rPr>
      </w:pPr>
      <w:r>
        <w:rPr>
          <w:i/>
          <w:sz w:val="20"/>
        </w:rPr>
        <w:t>on</w:t>
      </w:r>
      <w:r>
        <w:rPr>
          <w:i/>
          <w:spacing w:val="-1"/>
          <w:sz w:val="20"/>
        </w:rPr>
        <w:t xml:space="preserve"> </w:t>
      </w:r>
      <w:r>
        <w:rPr>
          <w:i/>
          <w:sz w:val="20"/>
        </w:rPr>
        <w:t>Wine</w:t>
      </w:r>
      <w:r>
        <w:rPr>
          <w:i/>
          <w:spacing w:val="-1"/>
          <w:sz w:val="20"/>
        </w:rPr>
        <w:t xml:space="preserve"> </w:t>
      </w:r>
      <w:r>
        <w:rPr>
          <w:i/>
          <w:sz w:val="20"/>
        </w:rPr>
        <w:t>from</w:t>
      </w:r>
      <w:r>
        <w:rPr>
          <w:i/>
          <w:spacing w:val="-3"/>
          <w:sz w:val="20"/>
        </w:rPr>
        <w:t xml:space="preserve"> </w:t>
      </w:r>
      <w:r>
        <w:rPr>
          <w:i/>
          <w:sz w:val="20"/>
        </w:rPr>
        <w:t>Australia</w:t>
      </w:r>
      <w:r>
        <w:rPr>
          <w:i/>
          <w:spacing w:val="-1"/>
          <w:sz w:val="20"/>
        </w:rPr>
        <w:t xml:space="preserve"> </w:t>
      </w:r>
      <w:r>
        <w:rPr>
          <w:spacing w:val="-2"/>
          <w:sz w:val="20"/>
        </w:rPr>
        <w:t>(DS602)</w:t>
      </w:r>
      <w:r>
        <w:rPr>
          <w:sz w:val="20"/>
        </w:rPr>
        <w:tab/>
        <w:t>29</w:t>
      </w:r>
      <w:r>
        <w:rPr>
          <w:spacing w:val="-1"/>
          <w:sz w:val="20"/>
        </w:rPr>
        <w:t xml:space="preserve"> </w:t>
      </w:r>
      <w:r>
        <w:rPr>
          <w:sz w:val="20"/>
        </w:rPr>
        <w:t>April</w:t>
      </w:r>
      <w:r>
        <w:rPr>
          <w:spacing w:val="-2"/>
          <w:sz w:val="20"/>
        </w:rPr>
        <w:t xml:space="preserve"> </w:t>
      </w:r>
      <w:r>
        <w:rPr>
          <w:spacing w:val="-4"/>
          <w:sz w:val="20"/>
        </w:rPr>
        <w:t>2022</w:t>
      </w:r>
    </w:p>
    <w:tbl>
      <w:tblPr>
        <w:tblW w:w="0" w:type="auto"/>
        <w:tblInd w:w="25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255"/>
        <w:gridCol w:w="6761"/>
      </w:tblGrid>
      <w:tr w:rsidR="0010369C" w14:paraId="51DE7673" w14:textId="77777777">
        <w:trPr>
          <w:trHeight w:val="585"/>
        </w:trPr>
        <w:tc>
          <w:tcPr>
            <w:tcW w:w="2255" w:type="dxa"/>
          </w:tcPr>
          <w:p w14:paraId="51DE7670" w14:textId="77777777" w:rsidR="0010369C" w:rsidRDefault="0010369C">
            <w:pPr>
              <w:pStyle w:val="TableParagraph"/>
              <w:rPr>
                <w:rFonts w:ascii="Times New Roman"/>
              </w:rPr>
            </w:pPr>
          </w:p>
        </w:tc>
        <w:tc>
          <w:tcPr>
            <w:tcW w:w="6761" w:type="dxa"/>
          </w:tcPr>
          <w:p w14:paraId="51DE7671" w14:textId="77777777" w:rsidR="0010369C" w:rsidRDefault="008E43AE">
            <w:pPr>
              <w:pStyle w:val="TableParagraph"/>
              <w:spacing w:line="292" w:lineRule="exact"/>
              <w:ind w:left="106"/>
              <w:rPr>
                <w:sz w:val="24"/>
              </w:rPr>
            </w:pPr>
            <w:r>
              <w:rPr>
                <w:sz w:val="24"/>
              </w:rPr>
              <w:t>adopted</w:t>
            </w:r>
            <w:r>
              <w:rPr>
                <w:spacing w:val="-4"/>
                <w:sz w:val="24"/>
              </w:rPr>
              <w:t xml:space="preserve"> </w:t>
            </w:r>
            <w:r>
              <w:rPr>
                <w:sz w:val="24"/>
              </w:rPr>
              <w:t>12</w:t>
            </w:r>
            <w:r>
              <w:rPr>
                <w:spacing w:val="-2"/>
                <w:sz w:val="24"/>
              </w:rPr>
              <w:t xml:space="preserve"> </w:t>
            </w:r>
            <w:r>
              <w:rPr>
                <w:sz w:val="24"/>
              </w:rPr>
              <w:t>March</w:t>
            </w:r>
            <w:r>
              <w:rPr>
                <w:spacing w:val="-1"/>
                <w:sz w:val="24"/>
              </w:rPr>
              <w:t xml:space="preserve"> </w:t>
            </w:r>
            <w:r>
              <w:rPr>
                <w:sz w:val="24"/>
              </w:rPr>
              <w:t>2001,</w:t>
            </w:r>
            <w:r>
              <w:rPr>
                <w:spacing w:val="-2"/>
                <w:sz w:val="24"/>
              </w:rPr>
              <w:t xml:space="preserve"> </w:t>
            </w:r>
            <w:r>
              <w:rPr>
                <w:sz w:val="24"/>
              </w:rPr>
              <w:t>as</w:t>
            </w:r>
            <w:r>
              <w:rPr>
                <w:spacing w:val="-2"/>
                <w:sz w:val="24"/>
              </w:rPr>
              <w:t xml:space="preserve"> </w:t>
            </w:r>
            <w:r>
              <w:rPr>
                <w:sz w:val="24"/>
              </w:rPr>
              <w:t>modified</w:t>
            </w:r>
            <w:r>
              <w:rPr>
                <w:spacing w:val="-1"/>
                <w:sz w:val="24"/>
              </w:rPr>
              <w:t xml:space="preserve"> </w:t>
            </w:r>
            <w:r>
              <w:rPr>
                <w:sz w:val="24"/>
              </w:rPr>
              <w:t>by</w:t>
            </w:r>
            <w:r>
              <w:rPr>
                <w:spacing w:val="-1"/>
                <w:sz w:val="24"/>
              </w:rPr>
              <w:t xml:space="preserve"> </w:t>
            </w:r>
            <w:r>
              <w:rPr>
                <w:sz w:val="24"/>
              </w:rPr>
              <w:t>Appellate</w:t>
            </w:r>
            <w:r>
              <w:rPr>
                <w:spacing w:val="-2"/>
                <w:sz w:val="24"/>
              </w:rPr>
              <w:t xml:space="preserve"> </w:t>
            </w:r>
            <w:r>
              <w:rPr>
                <w:sz w:val="24"/>
              </w:rPr>
              <w:t>Body</w:t>
            </w:r>
            <w:r>
              <w:rPr>
                <w:spacing w:val="-1"/>
                <w:sz w:val="24"/>
              </w:rPr>
              <w:t xml:space="preserve"> </w:t>
            </w:r>
            <w:r>
              <w:rPr>
                <w:spacing w:val="-2"/>
                <w:sz w:val="24"/>
              </w:rPr>
              <w:t>Report</w:t>
            </w:r>
          </w:p>
          <w:p w14:paraId="51DE7672" w14:textId="77777777" w:rsidR="0010369C" w:rsidRDefault="008E43AE">
            <w:pPr>
              <w:pStyle w:val="TableParagraph"/>
              <w:spacing w:line="274" w:lineRule="exact"/>
              <w:ind w:left="106"/>
              <w:rPr>
                <w:sz w:val="24"/>
              </w:rPr>
            </w:pPr>
            <w:r>
              <w:rPr>
                <w:sz w:val="24"/>
              </w:rPr>
              <w:t>WT/DS141/AB/R,</w:t>
            </w:r>
            <w:r>
              <w:rPr>
                <w:spacing w:val="-4"/>
                <w:sz w:val="24"/>
              </w:rPr>
              <w:t xml:space="preserve"> </w:t>
            </w:r>
            <w:r>
              <w:rPr>
                <w:sz w:val="24"/>
              </w:rPr>
              <w:t>DSR</w:t>
            </w:r>
            <w:r>
              <w:rPr>
                <w:spacing w:val="-2"/>
                <w:sz w:val="24"/>
              </w:rPr>
              <w:t xml:space="preserve"> </w:t>
            </w:r>
            <w:r>
              <w:rPr>
                <w:sz w:val="24"/>
              </w:rPr>
              <w:t>2001:VI,</w:t>
            </w:r>
            <w:r>
              <w:rPr>
                <w:spacing w:val="-3"/>
                <w:sz w:val="24"/>
              </w:rPr>
              <w:t xml:space="preserve"> </w:t>
            </w:r>
            <w:r>
              <w:rPr>
                <w:sz w:val="24"/>
              </w:rPr>
              <w:t>p.</w:t>
            </w:r>
            <w:r>
              <w:rPr>
                <w:spacing w:val="-1"/>
                <w:sz w:val="24"/>
              </w:rPr>
              <w:t xml:space="preserve"> </w:t>
            </w:r>
            <w:r>
              <w:rPr>
                <w:spacing w:val="-4"/>
                <w:sz w:val="24"/>
              </w:rPr>
              <w:t>2077</w:t>
            </w:r>
          </w:p>
        </w:tc>
      </w:tr>
      <w:tr w:rsidR="0010369C" w14:paraId="51DE7677" w14:textId="77777777">
        <w:trPr>
          <w:trHeight w:val="1464"/>
        </w:trPr>
        <w:tc>
          <w:tcPr>
            <w:tcW w:w="2255" w:type="dxa"/>
          </w:tcPr>
          <w:p w14:paraId="51DE7674" w14:textId="77777777" w:rsidR="0010369C" w:rsidRDefault="008E43AE">
            <w:pPr>
              <w:pStyle w:val="TableParagraph"/>
              <w:ind w:left="107" w:right="152"/>
              <w:rPr>
                <w:i/>
                <w:sz w:val="24"/>
              </w:rPr>
            </w:pPr>
            <w:r>
              <w:rPr>
                <w:i/>
                <w:sz w:val="24"/>
              </w:rPr>
              <w:t>EC – Ben Linen (Article</w:t>
            </w:r>
            <w:r>
              <w:rPr>
                <w:i/>
                <w:spacing w:val="-12"/>
                <w:sz w:val="24"/>
              </w:rPr>
              <w:t xml:space="preserve"> </w:t>
            </w:r>
            <w:r>
              <w:rPr>
                <w:i/>
                <w:sz w:val="24"/>
              </w:rPr>
              <w:t>21.5</w:t>
            </w:r>
            <w:r>
              <w:rPr>
                <w:i/>
                <w:spacing w:val="-13"/>
                <w:sz w:val="24"/>
              </w:rPr>
              <w:t xml:space="preserve"> </w:t>
            </w:r>
            <w:r>
              <w:rPr>
                <w:i/>
                <w:sz w:val="24"/>
              </w:rPr>
              <w:t>‐</w:t>
            </w:r>
            <w:r>
              <w:rPr>
                <w:i/>
                <w:spacing w:val="-13"/>
                <w:sz w:val="24"/>
              </w:rPr>
              <w:t xml:space="preserve"> </w:t>
            </w:r>
            <w:r>
              <w:rPr>
                <w:i/>
                <w:sz w:val="24"/>
              </w:rPr>
              <w:t>India)</w:t>
            </w:r>
          </w:p>
        </w:tc>
        <w:tc>
          <w:tcPr>
            <w:tcW w:w="6761" w:type="dxa"/>
          </w:tcPr>
          <w:p w14:paraId="51DE7675" w14:textId="77777777" w:rsidR="0010369C" w:rsidRDefault="008E43AE">
            <w:pPr>
              <w:pStyle w:val="TableParagraph"/>
              <w:ind w:left="106"/>
              <w:rPr>
                <w:i/>
                <w:sz w:val="24"/>
              </w:rPr>
            </w:pPr>
            <w:r>
              <w:rPr>
                <w:sz w:val="24"/>
              </w:rPr>
              <w:t xml:space="preserve">Panel Report, </w:t>
            </w:r>
            <w:r>
              <w:rPr>
                <w:i/>
                <w:sz w:val="24"/>
              </w:rPr>
              <w:t>European Communities – Anti‐Dumping Duties on Imports</w:t>
            </w:r>
            <w:r>
              <w:rPr>
                <w:i/>
                <w:spacing w:val="-5"/>
                <w:sz w:val="24"/>
              </w:rPr>
              <w:t xml:space="preserve"> </w:t>
            </w:r>
            <w:r>
              <w:rPr>
                <w:i/>
                <w:sz w:val="24"/>
              </w:rPr>
              <w:t>of</w:t>
            </w:r>
            <w:r>
              <w:rPr>
                <w:i/>
                <w:spacing w:val="-5"/>
                <w:sz w:val="24"/>
              </w:rPr>
              <w:t xml:space="preserve"> </w:t>
            </w:r>
            <w:r>
              <w:rPr>
                <w:i/>
                <w:sz w:val="24"/>
              </w:rPr>
              <w:t>Cotton‐Type</w:t>
            </w:r>
            <w:r>
              <w:rPr>
                <w:i/>
                <w:spacing w:val="-5"/>
                <w:sz w:val="24"/>
              </w:rPr>
              <w:t xml:space="preserve"> </w:t>
            </w:r>
            <w:r>
              <w:rPr>
                <w:i/>
                <w:sz w:val="24"/>
              </w:rPr>
              <w:t>Bed</w:t>
            </w:r>
            <w:r>
              <w:rPr>
                <w:i/>
                <w:spacing w:val="-5"/>
                <w:sz w:val="24"/>
              </w:rPr>
              <w:t xml:space="preserve"> </w:t>
            </w:r>
            <w:r>
              <w:rPr>
                <w:i/>
                <w:sz w:val="24"/>
              </w:rPr>
              <w:t>Linen</w:t>
            </w:r>
            <w:r>
              <w:rPr>
                <w:i/>
                <w:spacing w:val="-4"/>
                <w:sz w:val="24"/>
              </w:rPr>
              <w:t xml:space="preserve"> </w:t>
            </w:r>
            <w:r>
              <w:rPr>
                <w:i/>
                <w:sz w:val="24"/>
              </w:rPr>
              <w:t>from</w:t>
            </w:r>
            <w:r>
              <w:rPr>
                <w:i/>
                <w:spacing w:val="-5"/>
                <w:sz w:val="24"/>
              </w:rPr>
              <w:t xml:space="preserve"> </w:t>
            </w:r>
            <w:r>
              <w:rPr>
                <w:i/>
                <w:sz w:val="24"/>
              </w:rPr>
              <w:t>India</w:t>
            </w:r>
            <w:r>
              <w:rPr>
                <w:i/>
                <w:spacing w:val="-5"/>
                <w:sz w:val="24"/>
              </w:rPr>
              <w:t xml:space="preserve"> </w:t>
            </w:r>
            <w:r>
              <w:rPr>
                <w:i/>
                <w:sz w:val="24"/>
              </w:rPr>
              <w:t>–</w:t>
            </w:r>
            <w:r>
              <w:rPr>
                <w:i/>
                <w:spacing w:val="-4"/>
                <w:sz w:val="24"/>
              </w:rPr>
              <w:t xml:space="preserve"> </w:t>
            </w:r>
            <w:r>
              <w:rPr>
                <w:i/>
                <w:sz w:val="24"/>
              </w:rPr>
              <w:t>Recourse</w:t>
            </w:r>
            <w:r>
              <w:rPr>
                <w:i/>
                <w:spacing w:val="-4"/>
                <w:sz w:val="24"/>
              </w:rPr>
              <w:t xml:space="preserve"> </w:t>
            </w:r>
            <w:r>
              <w:rPr>
                <w:i/>
                <w:sz w:val="24"/>
              </w:rPr>
              <w:t>to</w:t>
            </w:r>
            <w:r>
              <w:rPr>
                <w:i/>
                <w:spacing w:val="-4"/>
                <w:sz w:val="24"/>
              </w:rPr>
              <w:t xml:space="preserve"> </w:t>
            </w:r>
            <w:r>
              <w:rPr>
                <w:i/>
                <w:sz w:val="24"/>
              </w:rPr>
              <w:t>Article</w:t>
            </w:r>
          </w:p>
          <w:p w14:paraId="51DE7676" w14:textId="77777777" w:rsidR="0010369C" w:rsidRDefault="008E43AE">
            <w:pPr>
              <w:pStyle w:val="TableParagraph"/>
              <w:spacing w:line="290" w:lineRule="atLeast"/>
              <w:ind w:left="106" w:right="85"/>
              <w:rPr>
                <w:sz w:val="24"/>
              </w:rPr>
            </w:pPr>
            <w:r>
              <w:rPr>
                <w:i/>
                <w:sz w:val="24"/>
              </w:rPr>
              <w:t>21.5</w:t>
            </w:r>
            <w:r>
              <w:rPr>
                <w:i/>
                <w:spacing w:val="-4"/>
                <w:sz w:val="24"/>
              </w:rPr>
              <w:t xml:space="preserve"> </w:t>
            </w:r>
            <w:r>
              <w:rPr>
                <w:i/>
                <w:sz w:val="24"/>
              </w:rPr>
              <w:t>of</w:t>
            </w:r>
            <w:r>
              <w:rPr>
                <w:i/>
                <w:spacing w:val="-4"/>
                <w:sz w:val="24"/>
              </w:rPr>
              <w:t xml:space="preserve"> </w:t>
            </w:r>
            <w:r>
              <w:rPr>
                <w:i/>
                <w:sz w:val="24"/>
              </w:rPr>
              <w:t>the</w:t>
            </w:r>
            <w:r>
              <w:rPr>
                <w:i/>
                <w:spacing w:val="-3"/>
                <w:sz w:val="24"/>
              </w:rPr>
              <w:t xml:space="preserve"> </w:t>
            </w:r>
            <w:r>
              <w:rPr>
                <w:i/>
                <w:sz w:val="24"/>
              </w:rPr>
              <w:t>DSU</w:t>
            </w:r>
            <w:r>
              <w:rPr>
                <w:i/>
                <w:spacing w:val="-4"/>
                <w:sz w:val="24"/>
              </w:rPr>
              <w:t xml:space="preserve"> </w:t>
            </w:r>
            <w:r>
              <w:rPr>
                <w:i/>
                <w:sz w:val="24"/>
              </w:rPr>
              <w:t>by</w:t>
            </w:r>
            <w:r>
              <w:rPr>
                <w:i/>
                <w:spacing w:val="-3"/>
                <w:sz w:val="24"/>
              </w:rPr>
              <w:t xml:space="preserve"> </w:t>
            </w:r>
            <w:r>
              <w:rPr>
                <w:i/>
                <w:sz w:val="24"/>
              </w:rPr>
              <w:t>India</w:t>
            </w:r>
            <w:r>
              <w:rPr>
                <w:sz w:val="24"/>
              </w:rPr>
              <w:t>,</w:t>
            </w:r>
            <w:r>
              <w:rPr>
                <w:spacing w:val="-4"/>
                <w:sz w:val="24"/>
              </w:rPr>
              <w:t xml:space="preserve"> </w:t>
            </w:r>
            <w:r>
              <w:rPr>
                <w:sz w:val="24"/>
              </w:rPr>
              <w:t>WT/DS141/RW,</w:t>
            </w:r>
            <w:r>
              <w:rPr>
                <w:spacing w:val="-5"/>
                <w:sz w:val="24"/>
              </w:rPr>
              <w:t xml:space="preserve"> </w:t>
            </w:r>
            <w:r>
              <w:rPr>
                <w:sz w:val="24"/>
              </w:rPr>
              <w:t>adopted</w:t>
            </w:r>
            <w:r>
              <w:rPr>
                <w:spacing w:val="-4"/>
                <w:sz w:val="24"/>
              </w:rPr>
              <w:t xml:space="preserve"> </w:t>
            </w:r>
            <w:r>
              <w:rPr>
                <w:sz w:val="24"/>
              </w:rPr>
              <w:t>24</w:t>
            </w:r>
            <w:r>
              <w:rPr>
                <w:spacing w:val="-4"/>
                <w:sz w:val="24"/>
              </w:rPr>
              <w:t xml:space="preserve"> </w:t>
            </w:r>
            <w:r>
              <w:rPr>
                <w:sz w:val="24"/>
              </w:rPr>
              <w:t>April</w:t>
            </w:r>
            <w:r>
              <w:rPr>
                <w:spacing w:val="-4"/>
                <w:sz w:val="24"/>
              </w:rPr>
              <w:t xml:space="preserve"> </w:t>
            </w:r>
            <w:r>
              <w:rPr>
                <w:sz w:val="24"/>
              </w:rPr>
              <w:t>2003,</w:t>
            </w:r>
            <w:r>
              <w:rPr>
                <w:spacing w:val="-3"/>
                <w:sz w:val="24"/>
              </w:rPr>
              <w:t xml:space="preserve"> </w:t>
            </w:r>
            <w:r>
              <w:rPr>
                <w:sz w:val="24"/>
              </w:rPr>
              <w:t>as modified by Appellate Body Report WT/DS141/AB/RW, DSR 2003:IV, p. 1269</w:t>
            </w:r>
          </w:p>
        </w:tc>
      </w:tr>
      <w:tr w:rsidR="0010369C" w14:paraId="51DE767A" w14:textId="77777777">
        <w:trPr>
          <w:trHeight w:val="878"/>
        </w:trPr>
        <w:tc>
          <w:tcPr>
            <w:tcW w:w="2255" w:type="dxa"/>
          </w:tcPr>
          <w:p w14:paraId="51DE7678" w14:textId="77777777" w:rsidR="0010369C" w:rsidRDefault="008E43AE">
            <w:pPr>
              <w:pStyle w:val="TableParagraph"/>
              <w:ind w:left="107" w:right="519"/>
              <w:rPr>
                <w:i/>
                <w:sz w:val="24"/>
              </w:rPr>
            </w:pPr>
            <w:r>
              <w:rPr>
                <w:i/>
                <w:sz w:val="24"/>
              </w:rPr>
              <w:t>EC</w:t>
            </w:r>
            <w:r>
              <w:rPr>
                <w:i/>
                <w:spacing w:val="-14"/>
                <w:sz w:val="24"/>
              </w:rPr>
              <w:t xml:space="preserve"> </w:t>
            </w:r>
            <w:r>
              <w:rPr>
                <w:i/>
                <w:sz w:val="24"/>
              </w:rPr>
              <w:t>–</w:t>
            </w:r>
            <w:r>
              <w:rPr>
                <w:i/>
                <w:spacing w:val="-14"/>
                <w:sz w:val="24"/>
              </w:rPr>
              <w:t xml:space="preserve"> </w:t>
            </w:r>
            <w:r>
              <w:rPr>
                <w:i/>
                <w:sz w:val="24"/>
              </w:rPr>
              <w:t xml:space="preserve">Fasteners </w:t>
            </w:r>
            <w:r>
              <w:rPr>
                <w:i/>
                <w:spacing w:val="-2"/>
                <w:sz w:val="24"/>
              </w:rPr>
              <w:t>(China)</w:t>
            </w:r>
          </w:p>
        </w:tc>
        <w:tc>
          <w:tcPr>
            <w:tcW w:w="6761" w:type="dxa"/>
          </w:tcPr>
          <w:p w14:paraId="51DE7679" w14:textId="77777777" w:rsidR="0010369C" w:rsidRDefault="008E43AE">
            <w:pPr>
              <w:pStyle w:val="TableParagraph"/>
              <w:spacing w:line="290" w:lineRule="atLeast"/>
              <w:ind w:left="106"/>
              <w:rPr>
                <w:sz w:val="24"/>
              </w:rPr>
            </w:pPr>
            <w:r>
              <w:rPr>
                <w:sz w:val="24"/>
              </w:rPr>
              <w:t xml:space="preserve">Appellate Body Report, </w:t>
            </w:r>
            <w:r>
              <w:rPr>
                <w:i/>
                <w:sz w:val="24"/>
              </w:rPr>
              <w:t>European Communities – Definitive Anti‐ Dumping</w:t>
            </w:r>
            <w:r>
              <w:rPr>
                <w:i/>
                <w:spacing w:val="-4"/>
                <w:sz w:val="24"/>
              </w:rPr>
              <w:t xml:space="preserve"> </w:t>
            </w:r>
            <w:r>
              <w:rPr>
                <w:i/>
                <w:sz w:val="24"/>
              </w:rPr>
              <w:t>Measures</w:t>
            </w:r>
            <w:r>
              <w:rPr>
                <w:i/>
                <w:spacing w:val="-5"/>
                <w:sz w:val="24"/>
              </w:rPr>
              <w:t xml:space="preserve"> </w:t>
            </w:r>
            <w:r>
              <w:rPr>
                <w:i/>
                <w:sz w:val="24"/>
              </w:rPr>
              <w:t>on</w:t>
            </w:r>
            <w:r>
              <w:rPr>
                <w:i/>
                <w:spacing w:val="-6"/>
                <w:sz w:val="24"/>
              </w:rPr>
              <w:t xml:space="preserve"> </w:t>
            </w:r>
            <w:r>
              <w:rPr>
                <w:i/>
                <w:sz w:val="24"/>
              </w:rPr>
              <w:t>Certain</w:t>
            </w:r>
            <w:r>
              <w:rPr>
                <w:i/>
                <w:spacing w:val="-4"/>
                <w:sz w:val="24"/>
              </w:rPr>
              <w:t xml:space="preserve"> </w:t>
            </w:r>
            <w:r>
              <w:rPr>
                <w:i/>
                <w:sz w:val="24"/>
              </w:rPr>
              <w:t>Iron</w:t>
            </w:r>
            <w:r>
              <w:rPr>
                <w:i/>
                <w:spacing w:val="-5"/>
                <w:sz w:val="24"/>
              </w:rPr>
              <w:t xml:space="preserve"> </w:t>
            </w:r>
            <w:r>
              <w:rPr>
                <w:i/>
                <w:sz w:val="24"/>
              </w:rPr>
              <w:t>or</w:t>
            </w:r>
            <w:r>
              <w:rPr>
                <w:i/>
                <w:spacing w:val="-4"/>
                <w:sz w:val="24"/>
              </w:rPr>
              <w:t xml:space="preserve"> </w:t>
            </w:r>
            <w:r>
              <w:rPr>
                <w:i/>
                <w:sz w:val="24"/>
              </w:rPr>
              <w:t>Steel</w:t>
            </w:r>
            <w:r>
              <w:rPr>
                <w:i/>
                <w:spacing w:val="-5"/>
                <w:sz w:val="24"/>
              </w:rPr>
              <w:t xml:space="preserve"> </w:t>
            </w:r>
            <w:r>
              <w:rPr>
                <w:i/>
                <w:sz w:val="24"/>
              </w:rPr>
              <w:t>Fasteners</w:t>
            </w:r>
            <w:r>
              <w:rPr>
                <w:i/>
                <w:spacing w:val="-4"/>
                <w:sz w:val="24"/>
              </w:rPr>
              <w:t xml:space="preserve"> </w:t>
            </w:r>
            <w:r>
              <w:rPr>
                <w:i/>
                <w:sz w:val="24"/>
              </w:rPr>
              <w:t>from</w:t>
            </w:r>
            <w:r>
              <w:rPr>
                <w:i/>
                <w:spacing w:val="-5"/>
                <w:sz w:val="24"/>
              </w:rPr>
              <w:t xml:space="preserve"> </w:t>
            </w:r>
            <w:r>
              <w:rPr>
                <w:i/>
                <w:sz w:val="24"/>
              </w:rPr>
              <w:t>China</w:t>
            </w:r>
            <w:r>
              <w:rPr>
                <w:sz w:val="24"/>
              </w:rPr>
              <w:t>, WT/DS397/AB/R, adopted 28 July 2011, DSR 2011:VII, p. 3995</w:t>
            </w:r>
          </w:p>
        </w:tc>
      </w:tr>
      <w:tr w:rsidR="0010369C" w14:paraId="51DE767E" w14:textId="77777777">
        <w:trPr>
          <w:trHeight w:val="1170"/>
        </w:trPr>
        <w:tc>
          <w:tcPr>
            <w:tcW w:w="2255" w:type="dxa"/>
          </w:tcPr>
          <w:p w14:paraId="51DE767B" w14:textId="77777777" w:rsidR="0010369C" w:rsidRDefault="008E43AE">
            <w:pPr>
              <w:pStyle w:val="TableParagraph"/>
              <w:ind w:left="107" w:right="519"/>
              <w:rPr>
                <w:i/>
                <w:sz w:val="24"/>
              </w:rPr>
            </w:pPr>
            <w:r>
              <w:rPr>
                <w:i/>
                <w:sz w:val="24"/>
              </w:rPr>
              <w:t>EC</w:t>
            </w:r>
            <w:r>
              <w:rPr>
                <w:i/>
                <w:spacing w:val="-14"/>
                <w:sz w:val="24"/>
              </w:rPr>
              <w:t xml:space="preserve"> </w:t>
            </w:r>
            <w:r>
              <w:rPr>
                <w:i/>
                <w:sz w:val="24"/>
              </w:rPr>
              <w:t>–</w:t>
            </w:r>
            <w:r>
              <w:rPr>
                <w:i/>
                <w:spacing w:val="-14"/>
                <w:sz w:val="24"/>
              </w:rPr>
              <w:t xml:space="preserve"> </w:t>
            </w:r>
            <w:r>
              <w:rPr>
                <w:i/>
                <w:sz w:val="24"/>
              </w:rPr>
              <w:t xml:space="preserve">Fasteners </w:t>
            </w:r>
            <w:r>
              <w:rPr>
                <w:i/>
                <w:spacing w:val="-2"/>
                <w:sz w:val="24"/>
              </w:rPr>
              <w:t>(China)</w:t>
            </w:r>
          </w:p>
        </w:tc>
        <w:tc>
          <w:tcPr>
            <w:tcW w:w="6761" w:type="dxa"/>
          </w:tcPr>
          <w:p w14:paraId="51DE767C" w14:textId="77777777" w:rsidR="0010369C" w:rsidRDefault="008E43AE">
            <w:pPr>
              <w:pStyle w:val="TableParagraph"/>
              <w:ind w:left="106"/>
              <w:rPr>
                <w:sz w:val="24"/>
              </w:rPr>
            </w:pPr>
            <w:r>
              <w:rPr>
                <w:sz w:val="24"/>
              </w:rPr>
              <w:t>Panel</w:t>
            </w:r>
            <w:r>
              <w:rPr>
                <w:spacing w:val="-8"/>
                <w:sz w:val="24"/>
              </w:rPr>
              <w:t xml:space="preserve"> </w:t>
            </w:r>
            <w:r>
              <w:rPr>
                <w:sz w:val="24"/>
              </w:rPr>
              <w:t>Report,</w:t>
            </w:r>
            <w:r>
              <w:rPr>
                <w:spacing w:val="-7"/>
                <w:sz w:val="24"/>
              </w:rPr>
              <w:t xml:space="preserve"> </w:t>
            </w:r>
            <w:r>
              <w:rPr>
                <w:i/>
                <w:sz w:val="24"/>
              </w:rPr>
              <w:t>European</w:t>
            </w:r>
            <w:r>
              <w:rPr>
                <w:i/>
                <w:spacing w:val="-8"/>
                <w:sz w:val="24"/>
              </w:rPr>
              <w:t xml:space="preserve"> </w:t>
            </w:r>
            <w:r>
              <w:rPr>
                <w:i/>
                <w:sz w:val="24"/>
              </w:rPr>
              <w:t>Communities</w:t>
            </w:r>
            <w:r>
              <w:rPr>
                <w:i/>
                <w:spacing w:val="-6"/>
                <w:sz w:val="24"/>
              </w:rPr>
              <w:t xml:space="preserve"> </w:t>
            </w:r>
            <w:r>
              <w:rPr>
                <w:i/>
                <w:sz w:val="24"/>
              </w:rPr>
              <w:t>–</w:t>
            </w:r>
            <w:r>
              <w:rPr>
                <w:i/>
                <w:spacing w:val="-7"/>
                <w:sz w:val="24"/>
              </w:rPr>
              <w:t xml:space="preserve"> </w:t>
            </w:r>
            <w:r>
              <w:rPr>
                <w:i/>
                <w:sz w:val="24"/>
              </w:rPr>
              <w:t>Definitive</w:t>
            </w:r>
            <w:r>
              <w:rPr>
                <w:i/>
                <w:spacing w:val="-7"/>
                <w:sz w:val="24"/>
              </w:rPr>
              <w:t xml:space="preserve"> </w:t>
            </w:r>
            <w:r>
              <w:rPr>
                <w:i/>
                <w:sz w:val="24"/>
              </w:rPr>
              <w:t>Anti‐Dumping Measures on Certain Iron or Steel Fasteners from China</w:t>
            </w:r>
            <w:r>
              <w:rPr>
                <w:sz w:val="24"/>
              </w:rPr>
              <w:t>, WT/DS397/R and Corr.1, adopted 28 July 2011, as modifi</w:t>
            </w:r>
            <w:r>
              <w:rPr>
                <w:sz w:val="24"/>
              </w:rPr>
              <w:t>ed by</w:t>
            </w:r>
          </w:p>
          <w:p w14:paraId="51DE767D" w14:textId="77777777" w:rsidR="0010369C" w:rsidRDefault="008E43AE">
            <w:pPr>
              <w:pStyle w:val="TableParagraph"/>
              <w:spacing w:line="272" w:lineRule="exact"/>
              <w:ind w:left="106"/>
              <w:rPr>
                <w:sz w:val="24"/>
              </w:rPr>
            </w:pPr>
            <w:r>
              <w:rPr>
                <w:sz w:val="24"/>
              </w:rPr>
              <w:t>Appellate</w:t>
            </w:r>
            <w:r>
              <w:rPr>
                <w:spacing w:val="-6"/>
                <w:sz w:val="24"/>
              </w:rPr>
              <w:t xml:space="preserve"> </w:t>
            </w:r>
            <w:r>
              <w:rPr>
                <w:sz w:val="24"/>
              </w:rPr>
              <w:t>Body</w:t>
            </w:r>
            <w:r>
              <w:rPr>
                <w:spacing w:val="-3"/>
                <w:sz w:val="24"/>
              </w:rPr>
              <w:t xml:space="preserve"> </w:t>
            </w:r>
            <w:r>
              <w:rPr>
                <w:sz w:val="24"/>
              </w:rPr>
              <w:t>Report</w:t>
            </w:r>
            <w:r>
              <w:rPr>
                <w:spacing w:val="-5"/>
                <w:sz w:val="24"/>
              </w:rPr>
              <w:t xml:space="preserve"> </w:t>
            </w:r>
            <w:r>
              <w:rPr>
                <w:sz w:val="24"/>
              </w:rPr>
              <w:t>WT/DS397/AB/R,</w:t>
            </w:r>
            <w:r>
              <w:rPr>
                <w:spacing w:val="-5"/>
                <w:sz w:val="24"/>
              </w:rPr>
              <w:t xml:space="preserve"> </w:t>
            </w:r>
            <w:r>
              <w:rPr>
                <w:sz w:val="24"/>
              </w:rPr>
              <w:t>DSR</w:t>
            </w:r>
            <w:r>
              <w:rPr>
                <w:spacing w:val="-3"/>
                <w:sz w:val="24"/>
              </w:rPr>
              <w:t xml:space="preserve"> </w:t>
            </w:r>
            <w:r>
              <w:rPr>
                <w:sz w:val="24"/>
              </w:rPr>
              <w:t>2011:VIII,</w:t>
            </w:r>
            <w:r>
              <w:rPr>
                <w:spacing w:val="-4"/>
                <w:sz w:val="24"/>
              </w:rPr>
              <w:t xml:space="preserve"> </w:t>
            </w:r>
            <w:r>
              <w:rPr>
                <w:sz w:val="24"/>
              </w:rPr>
              <w:t>p.</w:t>
            </w:r>
            <w:r>
              <w:rPr>
                <w:spacing w:val="-3"/>
                <w:sz w:val="24"/>
              </w:rPr>
              <w:t xml:space="preserve"> </w:t>
            </w:r>
            <w:r>
              <w:rPr>
                <w:spacing w:val="-4"/>
                <w:sz w:val="24"/>
              </w:rPr>
              <w:t>4289</w:t>
            </w:r>
          </w:p>
        </w:tc>
      </w:tr>
      <w:tr w:rsidR="0010369C" w14:paraId="51DE7682" w14:textId="77777777">
        <w:trPr>
          <w:trHeight w:val="1172"/>
        </w:trPr>
        <w:tc>
          <w:tcPr>
            <w:tcW w:w="2255" w:type="dxa"/>
          </w:tcPr>
          <w:p w14:paraId="51DE767F" w14:textId="77777777" w:rsidR="0010369C" w:rsidRDefault="008E43AE">
            <w:pPr>
              <w:pStyle w:val="TableParagraph"/>
              <w:ind w:left="107" w:right="152"/>
              <w:rPr>
                <w:i/>
                <w:sz w:val="24"/>
              </w:rPr>
            </w:pPr>
            <w:r>
              <w:rPr>
                <w:i/>
                <w:sz w:val="24"/>
              </w:rPr>
              <w:t>EC – Fasteners (China)</w:t>
            </w:r>
            <w:r>
              <w:rPr>
                <w:i/>
                <w:spacing w:val="-14"/>
                <w:sz w:val="24"/>
              </w:rPr>
              <w:t xml:space="preserve"> </w:t>
            </w:r>
            <w:r>
              <w:rPr>
                <w:i/>
                <w:sz w:val="24"/>
              </w:rPr>
              <w:t>(Article</w:t>
            </w:r>
            <w:r>
              <w:rPr>
                <w:i/>
                <w:spacing w:val="-14"/>
                <w:sz w:val="24"/>
              </w:rPr>
              <w:t xml:space="preserve"> </w:t>
            </w:r>
            <w:r>
              <w:rPr>
                <w:i/>
                <w:sz w:val="24"/>
              </w:rPr>
              <w:t>21.5</w:t>
            </w:r>
          </w:p>
          <w:p w14:paraId="51DE7680" w14:textId="77777777" w:rsidR="0010369C" w:rsidRDefault="008E43AE">
            <w:pPr>
              <w:pStyle w:val="TableParagraph"/>
              <w:spacing w:line="293" w:lineRule="exact"/>
              <w:ind w:left="107"/>
              <w:rPr>
                <w:i/>
                <w:sz w:val="24"/>
              </w:rPr>
            </w:pPr>
            <w:r>
              <w:rPr>
                <w:i/>
                <w:sz w:val="24"/>
              </w:rPr>
              <w:t>‐</w:t>
            </w:r>
            <w:r>
              <w:rPr>
                <w:i/>
                <w:spacing w:val="-1"/>
                <w:sz w:val="24"/>
              </w:rPr>
              <w:t xml:space="preserve"> </w:t>
            </w:r>
            <w:r>
              <w:rPr>
                <w:i/>
                <w:spacing w:val="-2"/>
                <w:sz w:val="24"/>
              </w:rPr>
              <w:t>China)</w:t>
            </w:r>
          </w:p>
        </w:tc>
        <w:tc>
          <w:tcPr>
            <w:tcW w:w="6761" w:type="dxa"/>
          </w:tcPr>
          <w:p w14:paraId="51DE7681" w14:textId="77777777" w:rsidR="0010369C" w:rsidRDefault="008E43AE">
            <w:pPr>
              <w:pStyle w:val="TableParagraph"/>
              <w:spacing w:line="290" w:lineRule="atLeast"/>
              <w:ind w:left="106" w:right="167"/>
              <w:rPr>
                <w:sz w:val="24"/>
              </w:rPr>
            </w:pPr>
            <w:r>
              <w:rPr>
                <w:sz w:val="24"/>
              </w:rPr>
              <w:t xml:space="preserve">Appellate Body Report, </w:t>
            </w:r>
            <w:r>
              <w:rPr>
                <w:i/>
                <w:sz w:val="24"/>
              </w:rPr>
              <w:t>European Communities – Definitive Anti‐ Dumping</w:t>
            </w:r>
            <w:r>
              <w:rPr>
                <w:i/>
                <w:spacing w:val="-4"/>
                <w:sz w:val="24"/>
              </w:rPr>
              <w:t xml:space="preserve"> </w:t>
            </w:r>
            <w:r>
              <w:rPr>
                <w:i/>
                <w:sz w:val="24"/>
              </w:rPr>
              <w:t>Measures</w:t>
            </w:r>
            <w:r>
              <w:rPr>
                <w:i/>
                <w:spacing w:val="-5"/>
                <w:sz w:val="24"/>
              </w:rPr>
              <w:t xml:space="preserve"> </w:t>
            </w:r>
            <w:r>
              <w:rPr>
                <w:i/>
                <w:sz w:val="24"/>
              </w:rPr>
              <w:t>on</w:t>
            </w:r>
            <w:r>
              <w:rPr>
                <w:i/>
                <w:spacing w:val="-6"/>
                <w:sz w:val="24"/>
              </w:rPr>
              <w:t xml:space="preserve"> </w:t>
            </w:r>
            <w:r>
              <w:rPr>
                <w:i/>
                <w:sz w:val="24"/>
              </w:rPr>
              <w:t>Certain</w:t>
            </w:r>
            <w:r>
              <w:rPr>
                <w:i/>
                <w:spacing w:val="-4"/>
                <w:sz w:val="24"/>
              </w:rPr>
              <w:t xml:space="preserve"> </w:t>
            </w:r>
            <w:r>
              <w:rPr>
                <w:i/>
                <w:sz w:val="24"/>
              </w:rPr>
              <w:t>Iron</w:t>
            </w:r>
            <w:r>
              <w:rPr>
                <w:i/>
                <w:spacing w:val="-5"/>
                <w:sz w:val="24"/>
              </w:rPr>
              <w:t xml:space="preserve"> </w:t>
            </w:r>
            <w:r>
              <w:rPr>
                <w:i/>
                <w:sz w:val="24"/>
              </w:rPr>
              <w:t>or</w:t>
            </w:r>
            <w:r>
              <w:rPr>
                <w:i/>
                <w:spacing w:val="-4"/>
                <w:sz w:val="24"/>
              </w:rPr>
              <w:t xml:space="preserve"> </w:t>
            </w:r>
            <w:r>
              <w:rPr>
                <w:i/>
                <w:sz w:val="24"/>
              </w:rPr>
              <w:t>Steel</w:t>
            </w:r>
            <w:r>
              <w:rPr>
                <w:i/>
                <w:spacing w:val="-5"/>
                <w:sz w:val="24"/>
              </w:rPr>
              <w:t xml:space="preserve"> </w:t>
            </w:r>
            <w:r>
              <w:rPr>
                <w:i/>
                <w:sz w:val="24"/>
              </w:rPr>
              <w:t>Fasteners</w:t>
            </w:r>
            <w:r>
              <w:rPr>
                <w:i/>
                <w:spacing w:val="-4"/>
                <w:sz w:val="24"/>
              </w:rPr>
              <w:t xml:space="preserve"> </w:t>
            </w:r>
            <w:r>
              <w:rPr>
                <w:i/>
                <w:sz w:val="24"/>
              </w:rPr>
              <w:t>from</w:t>
            </w:r>
            <w:r>
              <w:rPr>
                <w:i/>
                <w:spacing w:val="-5"/>
                <w:sz w:val="24"/>
              </w:rPr>
              <w:t xml:space="preserve"> </w:t>
            </w:r>
            <w:r>
              <w:rPr>
                <w:i/>
                <w:sz w:val="24"/>
              </w:rPr>
              <w:t>China</w:t>
            </w:r>
            <w:r>
              <w:rPr>
                <w:i/>
                <w:spacing w:val="-4"/>
                <w:sz w:val="24"/>
              </w:rPr>
              <w:t xml:space="preserve"> </w:t>
            </w:r>
            <w:r>
              <w:rPr>
                <w:i/>
                <w:sz w:val="24"/>
              </w:rPr>
              <w:t>– Recourse to Article 21.5 of the DSU by China</w:t>
            </w:r>
            <w:r>
              <w:rPr>
                <w:sz w:val="24"/>
              </w:rPr>
              <w:t>, WT/DS397/AB/RW and Add.1, adopted 12 February 2016, DSR 2016:I, p. 7</w:t>
            </w:r>
          </w:p>
        </w:tc>
      </w:tr>
      <w:tr w:rsidR="0010369C" w14:paraId="51DE7686" w14:textId="77777777">
        <w:trPr>
          <w:trHeight w:val="878"/>
        </w:trPr>
        <w:tc>
          <w:tcPr>
            <w:tcW w:w="2255" w:type="dxa"/>
          </w:tcPr>
          <w:p w14:paraId="51DE7683" w14:textId="77777777" w:rsidR="0010369C" w:rsidRDefault="008E43AE">
            <w:pPr>
              <w:pStyle w:val="TableParagraph"/>
              <w:ind w:left="107" w:right="519"/>
              <w:rPr>
                <w:i/>
                <w:sz w:val="24"/>
              </w:rPr>
            </w:pPr>
            <w:r>
              <w:rPr>
                <w:i/>
                <w:sz w:val="24"/>
              </w:rPr>
              <w:t>EC</w:t>
            </w:r>
            <w:r>
              <w:rPr>
                <w:i/>
                <w:spacing w:val="-14"/>
                <w:sz w:val="24"/>
              </w:rPr>
              <w:t xml:space="preserve"> </w:t>
            </w:r>
            <w:r>
              <w:rPr>
                <w:i/>
                <w:sz w:val="24"/>
              </w:rPr>
              <w:t>–</w:t>
            </w:r>
            <w:r>
              <w:rPr>
                <w:i/>
                <w:spacing w:val="-14"/>
                <w:sz w:val="24"/>
              </w:rPr>
              <w:t xml:space="preserve"> </w:t>
            </w:r>
            <w:r>
              <w:rPr>
                <w:i/>
                <w:sz w:val="24"/>
              </w:rPr>
              <w:t xml:space="preserve">Salmon </w:t>
            </w:r>
            <w:r>
              <w:rPr>
                <w:i/>
                <w:spacing w:val="-2"/>
                <w:sz w:val="24"/>
              </w:rPr>
              <w:t>(Norway)</w:t>
            </w:r>
          </w:p>
        </w:tc>
        <w:tc>
          <w:tcPr>
            <w:tcW w:w="6761" w:type="dxa"/>
          </w:tcPr>
          <w:p w14:paraId="51DE7684" w14:textId="77777777" w:rsidR="0010369C" w:rsidRDefault="008E43AE">
            <w:pPr>
              <w:pStyle w:val="TableParagraph"/>
              <w:spacing w:line="292" w:lineRule="exact"/>
              <w:ind w:left="106"/>
              <w:rPr>
                <w:i/>
                <w:sz w:val="24"/>
              </w:rPr>
            </w:pPr>
            <w:r>
              <w:rPr>
                <w:sz w:val="24"/>
              </w:rPr>
              <w:t>Panel</w:t>
            </w:r>
            <w:r>
              <w:rPr>
                <w:spacing w:val="-5"/>
                <w:sz w:val="24"/>
              </w:rPr>
              <w:t xml:space="preserve"> </w:t>
            </w:r>
            <w:r>
              <w:rPr>
                <w:sz w:val="24"/>
              </w:rPr>
              <w:t>Report,</w:t>
            </w:r>
            <w:r>
              <w:rPr>
                <w:spacing w:val="-3"/>
                <w:sz w:val="24"/>
              </w:rPr>
              <w:t xml:space="preserve"> </w:t>
            </w:r>
            <w:r>
              <w:rPr>
                <w:i/>
                <w:sz w:val="24"/>
              </w:rPr>
              <w:t>European</w:t>
            </w:r>
            <w:r>
              <w:rPr>
                <w:i/>
                <w:spacing w:val="-4"/>
                <w:sz w:val="24"/>
              </w:rPr>
              <w:t xml:space="preserve"> </w:t>
            </w:r>
            <w:r>
              <w:rPr>
                <w:i/>
                <w:sz w:val="24"/>
              </w:rPr>
              <w:t>Communities</w:t>
            </w:r>
            <w:r>
              <w:rPr>
                <w:i/>
                <w:spacing w:val="-3"/>
                <w:sz w:val="24"/>
              </w:rPr>
              <w:t xml:space="preserve"> </w:t>
            </w:r>
            <w:r>
              <w:rPr>
                <w:i/>
                <w:sz w:val="24"/>
              </w:rPr>
              <w:t>–</w:t>
            </w:r>
            <w:r>
              <w:rPr>
                <w:i/>
                <w:spacing w:val="-3"/>
                <w:sz w:val="24"/>
              </w:rPr>
              <w:t xml:space="preserve"> </w:t>
            </w:r>
            <w:r>
              <w:rPr>
                <w:i/>
                <w:sz w:val="24"/>
              </w:rPr>
              <w:t>Anti‐Dumping</w:t>
            </w:r>
            <w:r>
              <w:rPr>
                <w:i/>
                <w:spacing w:val="-3"/>
                <w:sz w:val="24"/>
              </w:rPr>
              <w:t xml:space="preserve"> </w:t>
            </w:r>
            <w:r>
              <w:rPr>
                <w:i/>
                <w:sz w:val="24"/>
              </w:rPr>
              <w:t>Measure</w:t>
            </w:r>
            <w:r>
              <w:rPr>
                <w:i/>
                <w:spacing w:val="-3"/>
                <w:sz w:val="24"/>
              </w:rPr>
              <w:t xml:space="preserve"> </w:t>
            </w:r>
            <w:r>
              <w:rPr>
                <w:i/>
                <w:spacing w:val="-5"/>
                <w:sz w:val="24"/>
              </w:rPr>
              <w:t>on</w:t>
            </w:r>
          </w:p>
          <w:p w14:paraId="51DE7685" w14:textId="77777777" w:rsidR="0010369C" w:rsidRDefault="008E43AE">
            <w:pPr>
              <w:pStyle w:val="TableParagraph"/>
              <w:spacing w:line="290" w:lineRule="atLeast"/>
              <w:ind w:left="106"/>
              <w:rPr>
                <w:sz w:val="24"/>
              </w:rPr>
            </w:pPr>
            <w:r>
              <w:rPr>
                <w:i/>
                <w:sz w:val="24"/>
              </w:rPr>
              <w:t>Farmed</w:t>
            </w:r>
            <w:r>
              <w:rPr>
                <w:i/>
                <w:spacing w:val="-5"/>
                <w:sz w:val="24"/>
              </w:rPr>
              <w:t xml:space="preserve"> </w:t>
            </w:r>
            <w:r>
              <w:rPr>
                <w:i/>
                <w:sz w:val="24"/>
              </w:rPr>
              <w:t>Salmon</w:t>
            </w:r>
            <w:r>
              <w:rPr>
                <w:i/>
                <w:spacing w:val="-6"/>
                <w:sz w:val="24"/>
              </w:rPr>
              <w:t xml:space="preserve"> </w:t>
            </w:r>
            <w:r>
              <w:rPr>
                <w:i/>
                <w:sz w:val="24"/>
              </w:rPr>
              <w:t>from</w:t>
            </w:r>
            <w:r>
              <w:rPr>
                <w:i/>
                <w:spacing w:val="-6"/>
                <w:sz w:val="24"/>
              </w:rPr>
              <w:t xml:space="preserve"> </w:t>
            </w:r>
            <w:r>
              <w:rPr>
                <w:i/>
                <w:sz w:val="24"/>
              </w:rPr>
              <w:t>Norway</w:t>
            </w:r>
            <w:r>
              <w:rPr>
                <w:sz w:val="24"/>
              </w:rPr>
              <w:t>,</w:t>
            </w:r>
            <w:r>
              <w:rPr>
                <w:spacing w:val="-6"/>
                <w:sz w:val="24"/>
              </w:rPr>
              <w:t xml:space="preserve"> </w:t>
            </w:r>
            <w:r>
              <w:rPr>
                <w:sz w:val="24"/>
              </w:rPr>
              <w:t>WT/DS337/R,</w:t>
            </w:r>
            <w:r>
              <w:rPr>
                <w:spacing w:val="-7"/>
                <w:sz w:val="24"/>
              </w:rPr>
              <w:t xml:space="preserve"> </w:t>
            </w:r>
            <w:r>
              <w:rPr>
                <w:sz w:val="24"/>
              </w:rPr>
              <w:t>adopted</w:t>
            </w:r>
            <w:r>
              <w:rPr>
                <w:spacing w:val="-6"/>
                <w:sz w:val="24"/>
              </w:rPr>
              <w:t xml:space="preserve"> </w:t>
            </w:r>
            <w:r>
              <w:rPr>
                <w:sz w:val="24"/>
              </w:rPr>
              <w:t>15</w:t>
            </w:r>
            <w:r>
              <w:rPr>
                <w:spacing w:val="-6"/>
                <w:sz w:val="24"/>
              </w:rPr>
              <w:t xml:space="preserve"> </w:t>
            </w:r>
            <w:r>
              <w:rPr>
                <w:sz w:val="24"/>
              </w:rPr>
              <w:t>January 2008, and Corr.1, DSR 2008:I, p. 3</w:t>
            </w:r>
          </w:p>
        </w:tc>
      </w:tr>
      <w:tr w:rsidR="0010369C" w14:paraId="51DE768A" w14:textId="77777777">
        <w:trPr>
          <w:trHeight w:val="878"/>
        </w:trPr>
        <w:tc>
          <w:tcPr>
            <w:tcW w:w="2255" w:type="dxa"/>
          </w:tcPr>
          <w:p w14:paraId="51DE7687" w14:textId="77777777" w:rsidR="0010369C" w:rsidRDefault="008E43AE">
            <w:pPr>
              <w:pStyle w:val="TableParagraph"/>
              <w:ind w:left="107"/>
              <w:rPr>
                <w:i/>
                <w:sz w:val="24"/>
              </w:rPr>
            </w:pPr>
            <w:r>
              <w:rPr>
                <w:i/>
                <w:sz w:val="24"/>
              </w:rPr>
              <w:t>EC</w:t>
            </w:r>
            <w:r>
              <w:rPr>
                <w:i/>
                <w:spacing w:val="-10"/>
                <w:sz w:val="24"/>
              </w:rPr>
              <w:t xml:space="preserve"> </w:t>
            </w:r>
            <w:r>
              <w:rPr>
                <w:i/>
                <w:sz w:val="24"/>
              </w:rPr>
              <w:t>–</w:t>
            </w:r>
            <w:r>
              <w:rPr>
                <w:i/>
                <w:spacing w:val="-10"/>
                <w:sz w:val="24"/>
              </w:rPr>
              <w:t xml:space="preserve"> </w:t>
            </w:r>
            <w:r>
              <w:rPr>
                <w:i/>
                <w:sz w:val="24"/>
              </w:rPr>
              <w:t>Tube</w:t>
            </w:r>
            <w:r>
              <w:rPr>
                <w:i/>
                <w:spacing w:val="-10"/>
                <w:sz w:val="24"/>
              </w:rPr>
              <w:t xml:space="preserve"> </w:t>
            </w:r>
            <w:r>
              <w:rPr>
                <w:i/>
                <w:sz w:val="24"/>
              </w:rPr>
              <w:t>or</w:t>
            </w:r>
            <w:r>
              <w:rPr>
                <w:i/>
                <w:spacing w:val="-10"/>
                <w:sz w:val="24"/>
              </w:rPr>
              <w:t xml:space="preserve"> </w:t>
            </w:r>
            <w:r>
              <w:rPr>
                <w:i/>
                <w:sz w:val="24"/>
              </w:rPr>
              <w:t xml:space="preserve">Pipe </w:t>
            </w:r>
            <w:r>
              <w:rPr>
                <w:i/>
                <w:spacing w:val="-2"/>
                <w:sz w:val="24"/>
              </w:rPr>
              <w:t>Fittings</w:t>
            </w:r>
          </w:p>
        </w:tc>
        <w:tc>
          <w:tcPr>
            <w:tcW w:w="6761" w:type="dxa"/>
          </w:tcPr>
          <w:p w14:paraId="51DE7688" w14:textId="77777777" w:rsidR="0010369C" w:rsidRDefault="008E43AE">
            <w:pPr>
              <w:pStyle w:val="TableParagraph"/>
              <w:ind w:left="106"/>
              <w:rPr>
                <w:sz w:val="24"/>
              </w:rPr>
            </w:pPr>
            <w:r>
              <w:rPr>
                <w:sz w:val="24"/>
              </w:rPr>
              <w:t>Appellate</w:t>
            </w:r>
            <w:r>
              <w:rPr>
                <w:spacing w:val="-6"/>
                <w:sz w:val="24"/>
              </w:rPr>
              <w:t xml:space="preserve"> </w:t>
            </w:r>
            <w:r>
              <w:rPr>
                <w:sz w:val="24"/>
              </w:rPr>
              <w:t>Body</w:t>
            </w:r>
            <w:r>
              <w:rPr>
                <w:spacing w:val="-6"/>
                <w:sz w:val="24"/>
              </w:rPr>
              <w:t xml:space="preserve"> </w:t>
            </w:r>
            <w:r>
              <w:rPr>
                <w:sz w:val="24"/>
              </w:rPr>
              <w:t>Report,</w:t>
            </w:r>
            <w:r>
              <w:rPr>
                <w:spacing w:val="-7"/>
                <w:sz w:val="24"/>
              </w:rPr>
              <w:t xml:space="preserve"> </w:t>
            </w:r>
            <w:r>
              <w:rPr>
                <w:i/>
                <w:sz w:val="24"/>
              </w:rPr>
              <w:t>European</w:t>
            </w:r>
            <w:r>
              <w:rPr>
                <w:i/>
                <w:spacing w:val="-7"/>
                <w:sz w:val="24"/>
              </w:rPr>
              <w:t xml:space="preserve"> </w:t>
            </w:r>
            <w:r>
              <w:rPr>
                <w:i/>
                <w:sz w:val="24"/>
              </w:rPr>
              <w:t>Communities</w:t>
            </w:r>
            <w:r>
              <w:rPr>
                <w:i/>
                <w:spacing w:val="-7"/>
                <w:sz w:val="24"/>
              </w:rPr>
              <w:t xml:space="preserve"> </w:t>
            </w:r>
            <w:r>
              <w:rPr>
                <w:i/>
                <w:sz w:val="24"/>
              </w:rPr>
              <w:t>–</w:t>
            </w:r>
            <w:r>
              <w:rPr>
                <w:i/>
                <w:spacing w:val="-6"/>
                <w:sz w:val="24"/>
              </w:rPr>
              <w:t xml:space="preserve"> </w:t>
            </w:r>
            <w:r>
              <w:rPr>
                <w:i/>
                <w:sz w:val="24"/>
              </w:rPr>
              <w:t>Anti‐Dumping Duties on Malleable Cast Iron Tube or Pipe Fittings from Brazil</w:t>
            </w:r>
            <w:r>
              <w:rPr>
                <w:sz w:val="24"/>
              </w:rPr>
              <w:t>,</w:t>
            </w:r>
          </w:p>
          <w:p w14:paraId="51DE7689" w14:textId="77777777" w:rsidR="0010369C" w:rsidRDefault="008E43AE">
            <w:pPr>
              <w:pStyle w:val="TableParagraph"/>
              <w:spacing w:line="273" w:lineRule="exact"/>
              <w:ind w:left="106"/>
              <w:rPr>
                <w:sz w:val="24"/>
              </w:rPr>
            </w:pPr>
            <w:r>
              <w:rPr>
                <w:sz w:val="24"/>
              </w:rPr>
              <w:t>WT/DS219/AB/R,</w:t>
            </w:r>
            <w:r>
              <w:rPr>
                <w:spacing w:val="-4"/>
                <w:sz w:val="24"/>
              </w:rPr>
              <w:t xml:space="preserve"> </w:t>
            </w:r>
            <w:r>
              <w:rPr>
                <w:sz w:val="24"/>
              </w:rPr>
              <w:t>adopted</w:t>
            </w:r>
            <w:r>
              <w:rPr>
                <w:spacing w:val="-3"/>
                <w:sz w:val="24"/>
              </w:rPr>
              <w:t xml:space="preserve"> </w:t>
            </w:r>
            <w:r>
              <w:rPr>
                <w:sz w:val="24"/>
              </w:rPr>
              <w:t>18</w:t>
            </w:r>
            <w:r>
              <w:rPr>
                <w:spacing w:val="-3"/>
                <w:sz w:val="24"/>
              </w:rPr>
              <w:t xml:space="preserve"> </w:t>
            </w:r>
            <w:r>
              <w:rPr>
                <w:sz w:val="24"/>
              </w:rPr>
              <w:t>August</w:t>
            </w:r>
            <w:r>
              <w:rPr>
                <w:spacing w:val="-3"/>
                <w:sz w:val="24"/>
              </w:rPr>
              <w:t xml:space="preserve"> </w:t>
            </w:r>
            <w:r>
              <w:rPr>
                <w:sz w:val="24"/>
              </w:rPr>
              <w:t>2003,</w:t>
            </w:r>
            <w:r>
              <w:rPr>
                <w:spacing w:val="-3"/>
                <w:sz w:val="24"/>
              </w:rPr>
              <w:t xml:space="preserve"> </w:t>
            </w:r>
            <w:r>
              <w:rPr>
                <w:sz w:val="24"/>
              </w:rPr>
              <w:t>DSR</w:t>
            </w:r>
            <w:r>
              <w:rPr>
                <w:spacing w:val="-1"/>
                <w:sz w:val="24"/>
              </w:rPr>
              <w:t xml:space="preserve"> </w:t>
            </w:r>
            <w:r>
              <w:rPr>
                <w:sz w:val="24"/>
              </w:rPr>
              <w:t>2003:VI,</w:t>
            </w:r>
            <w:r>
              <w:rPr>
                <w:spacing w:val="-3"/>
                <w:sz w:val="24"/>
              </w:rPr>
              <w:t xml:space="preserve"> </w:t>
            </w:r>
            <w:r>
              <w:rPr>
                <w:sz w:val="24"/>
              </w:rPr>
              <w:t>p.</w:t>
            </w:r>
            <w:r>
              <w:rPr>
                <w:spacing w:val="-1"/>
                <w:sz w:val="24"/>
              </w:rPr>
              <w:t xml:space="preserve"> </w:t>
            </w:r>
            <w:r>
              <w:rPr>
                <w:spacing w:val="-4"/>
                <w:sz w:val="24"/>
              </w:rPr>
              <w:t>2613</w:t>
            </w:r>
          </w:p>
        </w:tc>
      </w:tr>
      <w:tr w:rsidR="0010369C" w14:paraId="51DE768E" w14:textId="77777777">
        <w:trPr>
          <w:trHeight w:val="1171"/>
        </w:trPr>
        <w:tc>
          <w:tcPr>
            <w:tcW w:w="2255" w:type="dxa"/>
          </w:tcPr>
          <w:p w14:paraId="51DE768B" w14:textId="77777777" w:rsidR="0010369C" w:rsidRDefault="008E43AE">
            <w:pPr>
              <w:pStyle w:val="TableParagraph"/>
              <w:ind w:left="107"/>
              <w:rPr>
                <w:i/>
                <w:sz w:val="24"/>
              </w:rPr>
            </w:pPr>
            <w:r>
              <w:rPr>
                <w:i/>
                <w:sz w:val="24"/>
              </w:rPr>
              <w:t>EC</w:t>
            </w:r>
            <w:r>
              <w:rPr>
                <w:i/>
                <w:spacing w:val="-10"/>
                <w:sz w:val="24"/>
              </w:rPr>
              <w:t xml:space="preserve"> </w:t>
            </w:r>
            <w:r>
              <w:rPr>
                <w:i/>
                <w:sz w:val="24"/>
              </w:rPr>
              <w:t>–</w:t>
            </w:r>
            <w:r>
              <w:rPr>
                <w:i/>
                <w:spacing w:val="-10"/>
                <w:sz w:val="24"/>
              </w:rPr>
              <w:t xml:space="preserve"> </w:t>
            </w:r>
            <w:r>
              <w:rPr>
                <w:i/>
                <w:sz w:val="24"/>
              </w:rPr>
              <w:t>Tube</w:t>
            </w:r>
            <w:r>
              <w:rPr>
                <w:i/>
                <w:spacing w:val="-10"/>
                <w:sz w:val="24"/>
              </w:rPr>
              <w:t xml:space="preserve"> </w:t>
            </w:r>
            <w:r>
              <w:rPr>
                <w:i/>
                <w:sz w:val="24"/>
              </w:rPr>
              <w:t>or</w:t>
            </w:r>
            <w:r>
              <w:rPr>
                <w:i/>
                <w:spacing w:val="-10"/>
                <w:sz w:val="24"/>
              </w:rPr>
              <w:t xml:space="preserve"> </w:t>
            </w:r>
            <w:r>
              <w:rPr>
                <w:i/>
                <w:sz w:val="24"/>
              </w:rPr>
              <w:t xml:space="preserve">Pipe </w:t>
            </w:r>
            <w:r>
              <w:rPr>
                <w:i/>
                <w:spacing w:val="-2"/>
                <w:sz w:val="24"/>
              </w:rPr>
              <w:t>Fittings</w:t>
            </w:r>
          </w:p>
        </w:tc>
        <w:tc>
          <w:tcPr>
            <w:tcW w:w="6761" w:type="dxa"/>
          </w:tcPr>
          <w:p w14:paraId="51DE768C" w14:textId="77777777" w:rsidR="0010369C" w:rsidRDefault="008E43AE">
            <w:pPr>
              <w:pStyle w:val="TableParagraph"/>
              <w:ind w:left="106"/>
              <w:rPr>
                <w:sz w:val="24"/>
              </w:rPr>
            </w:pPr>
            <w:r>
              <w:rPr>
                <w:sz w:val="24"/>
              </w:rPr>
              <w:t xml:space="preserve">Panel Report, </w:t>
            </w:r>
            <w:r>
              <w:rPr>
                <w:i/>
                <w:sz w:val="24"/>
              </w:rPr>
              <w:t>European Communities – Anti Dumping Duties on Malleable</w:t>
            </w:r>
            <w:r>
              <w:rPr>
                <w:i/>
                <w:spacing w:val="-4"/>
                <w:sz w:val="24"/>
              </w:rPr>
              <w:t xml:space="preserve"> </w:t>
            </w:r>
            <w:r>
              <w:rPr>
                <w:i/>
                <w:sz w:val="24"/>
              </w:rPr>
              <w:t>Cast</w:t>
            </w:r>
            <w:r>
              <w:rPr>
                <w:i/>
                <w:spacing w:val="-5"/>
                <w:sz w:val="24"/>
              </w:rPr>
              <w:t xml:space="preserve"> </w:t>
            </w:r>
            <w:r>
              <w:rPr>
                <w:i/>
                <w:sz w:val="24"/>
              </w:rPr>
              <w:t>Iron</w:t>
            </w:r>
            <w:r>
              <w:rPr>
                <w:i/>
                <w:spacing w:val="-5"/>
                <w:sz w:val="24"/>
              </w:rPr>
              <w:t xml:space="preserve"> </w:t>
            </w:r>
            <w:r>
              <w:rPr>
                <w:i/>
                <w:sz w:val="24"/>
              </w:rPr>
              <w:t>Tube</w:t>
            </w:r>
            <w:r>
              <w:rPr>
                <w:i/>
                <w:spacing w:val="-4"/>
                <w:sz w:val="24"/>
              </w:rPr>
              <w:t xml:space="preserve"> </w:t>
            </w:r>
            <w:r>
              <w:rPr>
                <w:i/>
                <w:sz w:val="24"/>
              </w:rPr>
              <w:t>or</w:t>
            </w:r>
            <w:r>
              <w:rPr>
                <w:i/>
                <w:spacing w:val="-4"/>
                <w:sz w:val="24"/>
              </w:rPr>
              <w:t xml:space="preserve"> </w:t>
            </w:r>
            <w:r>
              <w:rPr>
                <w:i/>
                <w:sz w:val="24"/>
              </w:rPr>
              <w:t>Pipe</w:t>
            </w:r>
            <w:r>
              <w:rPr>
                <w:i/>
                <w:spacing w:val="-5"/>
                <w:sz w:val="24"/>
              </w:rPr>
              <w:t xml:space="preserve"> </w:t>
            </w:r>
            <w:r>
              <w:rPr>
                <w:i/>
                <w:sz w:val="24"/>
              </w:rPr>
              <w:t>Fittings</w:t>
            </w:r>
            <w:r>
              <w:rPr>
                <w:i/>
                <w:spacing w:val="-4"/>
                <w:sz w:val="24"/>
              </w:rPr>
              <w:t xml:space="preserve"> </w:t>
            </w:r>
            <w:r>
              <w:rPr>
                <w:i/>
                <w:sz w:val="24"/>
              </w:rPr>
              <w:t>from</w:t>
            </w:r>
            <w:r>
              <w:rPr>
                <w:i/>
                <w:spacing w:val="-5"/>
                <w:sz w:val="24"/>
              </w:rPr>
              <w:t xml:space="preserve"> </w:t>
            </w:r>
            <w:r>
              <w:rPr>
                <w:i/>
                <w:sz w:val="24"/>
              </w:rPr>
              <w:t>Brazil</w:t>
            </w:r>
            <w:r>
              <w:rPr>
                <w:sz w:val="24"/>
              </w:rPr>
              <w:t>,</w:t>
            </w:r>
            <w:r>
              <w:rPr>
                <w:spacing w:val="-5"/>
                <w:sz w:val="24"/>
              </w:rPr>
              <w:t xml:space="preserve"> </w:t>
            </w:r>
            <w:r>
              <w:rPr>
                <w:sz w:val="24"/>
              </w:rPr>
              <w:t>WT/DS219/R,</w:t>
            </w:r>
          </w:p>
          <w:p w14:paraId="51DE768D" w14:textId="77777777" w:rsidR="0010369C" w:rsidRDefault="008E43AE">
            <w:pPr>
              <w:pStyle w:val="TableParagraph"/>
              <w:spacing w:line="290" w:lineRule="atLeast"/>
              <w:ind w:left="106"/>
              <w:rPr>
                <w:sz w:val="24"/>
              </w:rPr>
            </w:pPr>
            <w:r>
              <w:rPr>
                <w:sz w:val="24"/>
              </w:rPr>
              <w:t>adopted</w:t>
            </w:r>
            <w:r>
              <w:rPr>
                <w:spacing w:val="-5"/>
                <w:sz w:val="24"/>
              </w:rPr>
              <w:t xml:space="preserve"> </w:t>
            </w:r>
            <w:r>
              <w:rPr>
                <w:sz w:val="24"/>
              </w:rPr>
              <w:t>18</w:t>
            </w:r>
            <w:r>
              <w:rPr>
                <w:spacing w:val="-5"/>
                <w:sz w:val="24"/>
              </w:rPr>
              <w:t xml:space="preserve"> </w:t>
            </w:r>
            <w:r>
              <w:rPr>
                <w:sz w:val="24"/>
              </w:rPr>
              <w:t>August</w:t>
            </w:r>
            <w:r>
              <w:rPr>
                <w:spacing w:val="-5"/>
                <w:sz w:val="24"/>
              </w:rPr>
              <w:t xml:space="preserve"> </w:t>
            </w:r>
            <w:r>
              <w:rPr>
                <w:sz w:val="24"/>
              </w:rPr>
              <w:t>2003,</w:t>
            </w:r>
            <w:r>
              <w:rPr>
                <w:spacing w:val="-5"/>
                <w:sz w:val="24"/>
              </w:rPr>
              <w:t xml:space="preserve"> </w:t>
            </w:r>
            <w:r>
              <w:rPr>
                <w:sz w:val="24"/>
              </w:rPr>
              <w:t>as</w:t>
            </w:r>
            <w:r>
              <w:rPr>
                <w:spacing w:val="-5"/>
                <w:sz w:val="24"/>
              </w:rPr>
              <w:t xml:space="preserve"> </w:t>
            </w:r>
            <w:r>
              <w:rPr>
                <w:sz w:val="24"/>
              </w:rPr>
              <w:t>modified</w:t>
            </w:r>
            <w:r>
              <w:rPr>
                <w:spacing w:val="-5"/>
                <w:sz w:val="24"/>
              </w:rPr>
              <w:t xml:space="preserve"> </w:t>
            </w:r>
            <w:r>
              <w:rPr>
                <w:sz w:val="24"/>
              </w:rPr>
              <w:t>by</w:t>
            </w:r>
            <w:r>
              <w:rPr>
                <w:spacing w:val="-4"/>
                <w:sz w:val="24"/>
              </w:rPr>
              <w:t xml:space="preserve"> </w:t>
            </w:r>
            <w:r>
              <w:rPr>
                <w:sz w:val="24"/>
              </w:rPr>
              <w:t>Appellate</w:t>
            </w:r>
            <w:r>
              <w:rPr>
                <w:spacing w:val="-5"/>
                <w:sz w:val="24"/>
              </w:rPr>
              <w:t xml:space="preserve"> </w:t>
            </w:r>
            <w:r>
              <w:rPr>
                <w:sz w:val="24"/>
              </w:rPr>
              <w:t>Body</w:t>
            </w:r>
            <w:r>
              <w:rPr>
                <w:spacing w:val="-5"/>
                <w:sz w:val="24"/>
              </w:rPr>
              <w:t xml:space="preserve"> </w:t>
            </w:r>
            <w:r>
              <w:rPr>
                <w:sz w:val="24"/>
              </w:rPr>
              <w:t>Report WT/DS219/AB/R, DSR 2003:VII, 2701</w:t>
            </w:r>
          </w:p>
        </w:tc>
      </w:tr>
      <w:tr w:rsidR="0010369C" w14:paraId="51DE7691" w14:textId="77777777">
        <w:trPr>
          <w:trHeight w:val="878"/>
        </w:trPr>
        <w:tc>
          <w:tcPr>
            <w:tcW w:w="2255" w:type="dxa"/>
          </w:tcPr>
          <w:p w14:paraId="51DE768F" w14:textId="77777777" w:rsidR="0010369C" w:rsidRDefault="008E43AE">
            <w:pPr>
              <w:pStyle w:val="TableParagraph"/>
              <w:spacing w:line="290" w:lineRule="atLeast"/>
              <w:ind w:left="107" w:right="338"/>
              <w:rPr>
                <w:i/>
                <w:sz w:val="24"/>
              </w:rPr>
            </w:pPr>
            <w:r>
              <w:rPr>
                <w:sz w:val="24"/>
              </w:rPr>
              <w:t xml:space="preserve">EC and certain member States – </w:t>
            </w:r>
            <w:r>
              <w:rPr>
                <w:i/>
                <w:sz w:val="24"/>
              </w:rPr>
              <w:t>Large</w:t>
            </w:r>
            <w:r>
              <w:rPr>
                <w:i/>
                <w:spacing w:val="-1"/>
                <w:sz w:val="24"/>
              </w:rPr>
              <w:t xml:space="preserve"> </w:t>
            </w:r>
            <w:r>
              <w:rPr>
                <w:i/>
                <w:sz w:val="24"/>
              </w:rPr>
              <w:t xml:space="preserve">Civil </w:t>
            </w:r>
            <w:r>
              <w:rPr>
                <w:i/>
                <w:spacing w:val="-2"/>
                <w:sz w:val="24"/>
              </w:rPr>
              <w:t>Aircraft</w:t>
            </w:r>
          </w:p>
        </w:tc>
        <w:tc>
          <w:tcPr>
            <w:tcW w:w="6761" w:type="dxa"/>
          </w:tcPr>
          <w:p w14:paraId="51DE7690" w14:textId="77777777" w:rsidR="0010369C" w:rsidRDefault="008E43AE">
            <w:pPr>
              <w:pStyle w:val="TableParagraph"/>
              <w:spacing w:line="290" w:lineRule="atLeast"/>
              <w:ind w:left="106" w:right="167"/>
              <w:rPr>
                <w:sz w:val="24"/>
              </w:rPr>
            </w:pPr>
            <w:r>
              <w:rPr>
                <w:sz w:val="24"/>
              </w:rPr>
              <w:t xml:space="preserve">Appellate Body Report, </w:t>
            </w:r>
            <w:r>
              <w:rPr>
                <w:i/>
                <w:sz w:val="24"/>
              </w:rPr>
              <w:t>European Communities and Certain Member</w:t>
            </w:r>
            <w:r>
              <w:rPr>
                <w:i/>
                <w:spacing w:val="-5"/>
                <w:sz w:val="24"/>
              </w:rPr>
              <w:t xml:space="preserve"> </w:t>
            </w:r>
            <w:r>
              <w:rPr>
                <w:i/>
                <w:sz w:val="24"/>
              </w:rPr>
              <w:t>States</w:t>
            </w:r>
            <w:r>
              <w:rPr>
                <w:i/>
                <w:spacing w:val="-5"/>
                <w:sz w:val="24"/>
              </w:rPr>
              <w:t xml:space="preserve"> </w:t>
            </w:r>
            <w:r>
              <w:rPr>
                <w:i/>
                <w:sz w:val="24"/>
              </w:rPr>
              <w:t>–</w:t>
            </w:r>
            <w:r>
              <w:rPr>
                <w:i/>
                <w:spacing w:val="-4"/>
                <w:sz w:val="24"/>
              </w:rPr>
              <w:t xml:space="preserve"> </w:t>
            </w:r>
            <w:r>
              <w:rPr>
                <w:i/>
                <w:sz w:val="24"/>
              </w:rPr>
              <w:t>Measures</w:t>
            </w:r>
            <w:r>
              <w:rPr>
                <w:i/>
                <w:spacing w:val="-4"/>
                <w:sz w:val="24"/>
              </w:rPr>
              <w:t xml:space="preserve"> </w:t>
            </w:r>
            <w:r>
              <w:rPr>
                <w:i/>
                <w:sz w:val="24"/>
              </w:rPr>
              <w:t>Affecting</w:t>
            </w:r>
            <w:r>
              <w:rPr>
                <w:i/>
                <w:spacing w:val="-6"/>
                <w:sz w:val="24"/>
              </w:rPr>
              <w:t xml:space="preserve"> </w:t>
            </w:r>
            <w:r>
              <w:rPr>
                <w:i/>
                <w:sz w:val="24"/>
              </w:rPr>
              <w:t>Trade</w:t>
            </w:r>
            <w:r>
              <w:rPr>
                <w:i/>
                <w:spacing w:val="-4"/>
                <w:sz w:val="24"/>
              </w:rPr>
              <w:t xml:space="preserve"> </w:t>
            </w:r>
            <w:r>
              <w:rPr>
                <w:i/>
                <w:sz w:val="24"/>
              </w:rPr>
              <w:t>in</w:t>
            </w:r>
            <w:r>
              <w:rPr>
                <w:i/>
                <w:spacing w:val="-4"/>
                <w:sz w:val="24"/>
              </w:rPr>
              <w:t xml:space="preserve"> </w:t>
            </w:r>
            <w:r>
              <w:rPr>
                <w:i/>
                <w:sz w:val="24"/>
              </w:rPr>
              <w:t>Large</w:t>
            </w:r>
            <w:r>
              <w:rPr>
                <w:i/>
                <w:spacing w:val="-4"/>
                <w:sz w:val="24"/>
              </w:rPr>
              <w:t xml:space="preserve"> </w:t>
            </w:r>
            <w:r>
              <w:rPr>
                <w:i/>
                <w:sz w:val="24"/>
              </w:rPr>
              <w:t>Civil</w:t>
            </w:r>
            <w:r>
              <w:rPr>
                <w:i/>
                <w:spacing w:val="-4"/>
                <w:sz w:val="24"/>
              </w:rPr>
              <w:t xml:space="preserve"> </w:t>
            </w:r>
            <w:r>
              <w:rPr>
                <w:i/>
                <w:sz w:val="24"/>
              </w:rPr>
              <w:t>Aircraft</w:t>
            </w:r>
            <w:r>
              <w:rPr>
                <w:sz w:val="24"/>
              </w:rPr>
              <w:t>, WT/DS316/AB/R, adopted 1 June 2011, DSR 2011:I, p. 7</w:t>
            </w:r>
          </w:p>
        </w:tc>
      </w:tr>
      <w:tr w:rsidR="0010369C" w14:paraId="51DE7694" w14:textId="77777777">
        <w:trPr>
          <w:trHeight w:val="878"/>
        </w:trPr>
        <w:tc>
          <w:tcPr>
            <w:tcW w:w="2255" w:type="dxa"/>
          </w:tcPr>
          <w:p w14:paraId="51DE7692" w14:textId="77777777" w:rsidR="0010369C" w:rsidRDefault="008E43AE">
            <w:pPr>
              <w:pStyle w:val="TableParagraph"/>
              <w:ind w:left="107"/>
              <w:rPr>
                <w:i/>
                <w:sz w:val="24"/>
              </w:rPr>
            </w:pPr>
            <w:r>
              <w:rPr>
                <w:i/>
                <w:sz w:val="24"/>
              </w:rPr>
              <w:t>Egypt</w:t>
            </w:r>
            <w:r>
              <w:rPr>
                <w:i/>
                <w:spacing w:val="-2"/>
                <w:sz w:val="24"/>
              </w:rPr>
              <w:t xml:space="preserve"> </w:t>
            </w:r>
            <w:r>
              <w:rPr>
                <w:i/>
                <w:sz w:val="24"/>
              </w:rPr>
              <w:t>–</w:t>
            </w:r>
            <w:r>
              <w:rPr>
                <w:i/>
                <w:spacing w:val="-1"/>
                <w:sz w:val="24"/>
              </w:rPr>
              <w:t xml:space="preserve"> </w:t>
            </w:r>
            <w:r>
              <w:rPr>
                <w:i/>
                <w:sz w:val="24"/>
              </w:rPr>
              <w:t>Steel</w:t>
            </w:r>
            <w:r>
              <w:rPr>
                <w:i/>
                <w:spacing w:val="-2"/>
                <w:sz w:val="24"/>
              </w:rPr>
              <w:t xml:space="preserve"> </w:t>
            </w:r>
            <w:r>
              <w:rPr>
                <w:i/>
                <w:spacing w:val="-4"/>
                <w:sz w:val="24"/>
              </w:rPr>
              <w:t>Rebar</w:t>
            </w:r>
          </w:p>
        </w:tc>
        <w:tc>
          <w:tcPr>
            <w:tcW w:w="6761" w:type="dxa"/>
          </w:tcPr>
          <w:p w14:paraId="51DE7693" w14:textId="77777777" w:rsidR="0010369C" w:rsidRDefault="008E43AE">
            <w:pPr>
              <w:pStyle w:val="TableParagraph"/>
              <w:spacing w:line="290" w:lineRule="atLeast"/>
              <w:ind w:left="106"/>
              <w:rPr>
                <w:sz w:val="24"/>
              </w:rPr>
            </w:pPr>
            <w:r>
              <w:rPr>
                <w:sz w:val="24"/>
              </w:rPr>
              <w:t>Panel</w:t>
            </w:r>
            <w:r>
              <w:rPr>
                <w:spacing w:val="-6"/>
                <w:sz w:val="24"/>
              </w:rPr>
              <w:t xml:space="preserve"> </w:t>
            </w:r>
            <w:r>
              <w:rPr>
                <w:sz w:val="24"/>
              </w:rPr>
              <w:t>Report,</w:t>
            </w:r>
            <w:r>
              <w:rPr>
                <w:spacing w:val="-5"/>
                <w:sz w:val="24"/>
              </w:rPr>
              <w:t xml:space="preserve"> </w:t>
            </w:r>
            <w:r>
              <w:rPr>
                <w:i/>
                <w:sz w:val="24"/>
              </w:rPr>
              <w:t>Egypt</w:t>
            </w:r>
            <w:r>
              <w:rPr>
                <w:i/>
                <w:spacing w:val="-5"/>
                <w:sz w:val="24"/>
              </w:rPr>
              <w:t xml:space="preserve"> </w:t>
            </w:r>
            <w:r>
              <w:rPr>
                <w:i/>
                <w:sz w:val="24"/>
              </w:rPr>
              <w:t>–</w:t>
            </w:r>
            <w:r>
              <w:rPr>
                <w:i/>
                <w:spacing w:val="-5"/>
                <w:sz w:val="24"/>
              </w:rPr>
              <w:t xml:space="preserve"> </w:t>
            </w:r>
            <w:r>
              <w:rPr>
                <w:i/>
                <w:sz w:val="24"/>
              </w:rPr>
              <w:t>Definitive</w:t>
            </w:r>
            <w:r>
              <w:rPr>
                <w:i/>
                <w:spacing w:val="-4"/>
                <w:sz w:val="24"/>
              </w:rPr>
              <w:t xml:space="preserve"> </w:t>
            </w:r>
            <w:r>
              <w:rPr>
                <w:i/>
                <w:sz w:val="24"/>
              </w:rPr>
              <w:t>Anti‐Dumping</w:t>
            </w:r>
            <w:r>
              <w:rPr>
                <w:i/>
                <w:spacing w:val="-5"/>
                <w:sz w:val="24"/>
              </w:rPr>
              <w:t xml:space="preserve"> </w:t>
            </w:r>
            <w:r>
              <w:rPr>
                <w:i/>
                <w:sz w:val="24"/>
              </w:rPr>
              <w:t>Measures</w:t>
            </w:r>
            <w:r>
              <w:rPr>
                <w:i/>
                <w:spacing w:val="-6"/>
                <w:sz w:val="24"/>
              </w:rPr>
              <w:t xml:space="preserve"> </w:t>
            </w:r>
            <w:r>
              <w:rPr>
                <w:i/>
                <w:sz w:val="24"/>
              </w:rPr>
              <w:t>on</w:t>
            </w:r>
            <w:r>
              <w:rPr>
                <w:i/>
                <w:spacing w:val="-5"/>
                <w:sz w:val="24"/>
              </w:rPr>
              <w:t xml:space="preserve"> </w:t>
            </w:r>
            <w:r>
              <w:rPr>
                <w:i/>
                <w:sz w:val="24"/>
              </w:rPr>
              <w:t>Steel Rebar from Turkey</w:t>
            </w:r>
            <w:r>
              <w:rPr>
                <w:sz w:val="24"/>
              </w:rPr>
              <w:t>, WT/DS211/R, adopted 1 October 2002, DSR 2002:VII, p. 2667</w:t>
            </w:r>
          </w:p>
        </w:tc>
      </w:tr>
      <w:tr w:rsidR="0010369C" w14:paraId="51DE7698" w14:textId="77777777">
        <w:trPr>
          <w:trHeight w:val="878"/>
        </w:trPr>
        <w:tc>
          <w:tcPr>
            <w:tcW w:w="2255" w:type="dxa"/>
          </w:tcPr>
          <w:p w14:paraId="51DE7695" w14:textId="77777777" w:rsidR="0010369C" w:rsidRDefault="008E43AE">
            <w:pPr>
              <w:pStyle w:val="TableParagraph"/>
              <w:ind w:left="107"/>
              <w:rPr>
                <w:i/>
                <w:sz w:val="24"/>
              </w:rPr>
            </w:pPr>
            <w:r>
              <w:rPr>
                <w:i/>
                <w:sz w:val="24"/>
              </w:rPr>
              <w:t>EU</w:t>
            </w:r>
            <w:r>
              <w:rPr>
                <w:i/>
                <w:spacing w:val="-14"/>
                <w:sz w:val="24"/>
              </w:rPr>
              <w:t xml:space="preserve"> </w:t>
            </w:r>
            <w:r>
              <w:rPr>
                <w:i/>
                <w:sz w:val="24"/>
              </w:rPr>
              <w:t>–</w:t>
            </w:r>
            <w:r>
              <w:rPr>
                <w:i/>
                <w:spacing w:val="-14"/>
                <w:sz w:val="24"/>
              </w:rPr>
              <w:t xml:space="preserve"> </w:t>
            </w:r>
            <w:r>
              <w:rPr>
                <w:i/>
                <w:sz w:val="24"/>
              </w:rPr>
              <w:t xml:space="preserve">Biodiesel </w:t>
            </w:r>
            <w:r>
              <w:rPr>
                <w:i/>
                <w:spacing w:val="-2"/>
                <w:sz w:val="24"/>
              </w:rPr>
              <w:t>(Argentina)</w:t>
            </w:r>
          </w:p>
        </w:tc>
        <w:tc>
          <w:tcPr>
            <w:tcW w:w="6761" w:type="dxa"/>
          </w:tcPr>
          <w:p w14:paraId="51DE7696" w14:textId="77777777" w:rsidR="0010369C" w:rsidRDefault="008E43AE">
            <w:pPr>
              <w:pStyle w:val="TableParagraph"/>
              <w:ind w:left="106"/>
              <w:rPr>
                <w:sz w:val="24"/>
              </w:rPr>
            </w:pPr>
            <w:r>
              <w:rPr>
                <w:sz w:val="24"/>
              </w:rPr>
              <w:t>Appellate</w:t>
            </w:r>
            <w:r>
              <w:rPr>
                <w:spacing w:val="-5"/>
                <w:sz w:val="24"/>
              </w:rPr>
              <w:t xml:space="preserve"> </w:t>
            </w:r>
            <w:r>
              <w:rPr>
                <w:sz w:val="24"/>
              </w:rPr>
              <w:t>Body</w:t>
            </w:r>
            <w:r>
              <w:rPr>
                <w:spacing w:val="-5"/>
                <w:sz w:val="24"/>
              </w:rPr>
              <w:t xml:space="preserve"> </w:t>
            </w:r>
            <w:r>
              <w:rPr>
                <w:sz w:val="24"/>
              </w:rPr>
              <w:t>Report,</w:t>
            </w:r>
            <w:r>
              <w:rPr>
                <w:spacing w:val="-6"/>
                <w:sz w:val="24"/>
              </w:rPr>
              <w:t xml:space="preserve"> </w:t>
            </w:r>
            <w:r>
              <w:rPr>
                <w:i/>
                <w:sz w:val="24"/>
              </w:rPr>
              <w:t>European</w:t>
            </w:r>
            <w:r>
              <w:rPr>
                <w:i/>
                <w:spacing w:val="-5"/>
                <w:sz w:val="24"/>
              </w:rPr>
              <w:t xml:space="preserve"> </w:t>
            </w:r>
            <w:r>
              <w:rPr>
                <w:i/>
                <w:sz w:val="24"/>
              </w:rPr>
              <w:t>Union</w:t>
            </w:r>
            <w:r>
              <w:rPr>
                <w:i/>
                <w:spacing w:val="-6"/>
                <w:sz w:val="24"/>
              </w:rPr>
              <w:t xml:space="preserve"> </w:t>
            </w:r>
            <w:r>
              <w:rPr>
                <w:i/>
                <w:sz w:val="24"/>
              </w:rPr>
              <w:t>–</w:t>
            </w:r>
            <w:r>
              <w:rPr>
                <w:i/>
                <w:spacing w:val="-5"/>
                <w:sz w:val="24"/>
              </w:rPr>
              <w:t xml:space="preserve"> </w:t>
            </w:r>
            <w:r>
              <w:rPr>
                <w:i/>
                <w:sz w:val="24"/>
              </w:rPr>
              <w:t>Anti‐Dumping</w:t>
            </w:r>
            <w:r>
              <w:rPr>
                <w:i/>
                <w:spacing w:val="-5"/>
                <w:sz w:val="24"/>
              </w:rPr>
              <w:t xml:space="preserve"> </w:t>
            </w:r>
            <w:r>
              <w:rPr>
                <w:i/>
                <w:sz w:val="24"/>
              </w:rPr>
              <w:t>Measures on</w:t>
            </w:r>
            <w:r>
              <w:rPr>
                <w:i/>
                <w:spacing w:val="-1"/>
                <w:sz w:val="24"/>
              </w:rPr>
              <w:t xml:space="preserve"> </w:t>
            </w:r>
            <w:r>
              <w:rPr>
                <w:i/>
                <w:sz w:val="24"/>
              </w:rPr>
              <w:t>Biodiesel</w:t>
            </w:r>
            <w:r>
              <w:rPr>
                <w:i/>
                <w:spacing w:val="-2"/>
                <w:sz w:val="24"/>
              </w:rPr>
              <w:t xml:space="preserve"> </w:t>
            </w:r>
            <w:r>
              <w:rPr>
                <w:i/>
                <w:sz w:val="24"/>
              </w:rPr>
              <w:t>from</w:t>
            </w:r>
            <w:r>
              <w:rPr>
                <w:i/>
                <w:spacing w:val="-2"/>
                <w:sz w:val="24"/>
              </w:rPr>
              <w:t xml:space="preserve"> </w:t>
            </w:r>
            <w:r>
              <w:rPr>
                <w:i/>
                <w:sz w:val="24"/>
              </w:rPr>
              <w:t>Argentina</w:t>
            </w:r>
            <w:r>
              <w:rPr>
                <w:sz w:val="24"/>
              </w:rPr>
              <w:t>,</w:t>
            </w:r>
            <w:r>
              <w:rPr>
                <w:spacing w:val="-1"/>
                <w:sz w:val="24"/>
              </w:rPr>
              <w:t xml:space="preserve"> </w:t>
            </w:r>
            <w:r>
              <w:rPr>
                <w:sz w:val="24"/>
              </w:rPr>
              <w:t>WT/DS473/AB/R</w:t>
            </w:r>
            <w:r>
              <w:rPr>
                <w:spacing w:val="-2"/>
                <w:sz w:val="24"/>
              </w:rPr>
              <w:t xml:space="preserve"> </w:t>
            </w:r>
            <w:r>
              <w:rPr>
                <w:sz w:val="24"/>
              </w:rPr>
              <w:t>and</w:t>
            </w:r>
            <w:r>
              <w:rPr>
                <w:spacing w:val="-2"/>
                <w:sz w:val="24"/>
              </w:rPr>
              <w:t xml:space="preserve"> </w:t>
            </w:r>
            <w:r>
              <w:rPr>
                <w:sz w:val="24"/>
              </w:rPr>
              <w:t>Add.1,</w:t>
            </w:r>
            <w:r>
              <w:rPr>
                <w:spacing w:val="-1"/>
                <w:sz w:val="24"/>
              </w:rPr>
              <w:t xml:space="preserve"> </w:t>
            </w:r>
            <w:r>
              <w:rPr>
                <w:spacing w:val="-2"/>
                <w:sz w:val="24"/>
              </w:rPr>
              <w:t>adopted</w:t>
            </w:r>
          </w:p>
          <w:p w14:paraId="51DE7697" w14:textId="77777777" w:rsidR="0010369C" w:rsidRDefault="008E43AE">
            <w:pPr>
              <w:pStyle w:val="TableParagraph"/>
              <w:spacing w:line="273" w:lineRule="exact"/>
              <w:ind w:left="106"/>
              <w:rPr>
                <w:sz w:val="24"/>
              </w:rPr>
            </w:pPr>
            <w:r>
              <w:rPr>
                <w:sz w:val="24"/>
              </w:rPr>
              <w:t>26</w:t>
            </w:r>
            <w:r>
              <w:rPr>
                <w:spacing w:val="-4"/>
                <w:sz w:val="24"/>
              </w:rPr>
              <w:t xml:space="preserve"> </w:t>
            </w:r>
            <w:r>
              <w:rPr>
                <w:sz w:val="24"/>
              </w:rPr>
              <w:t>October</w:t>
            </w:r>
            <w:r>
              <w:rPr>
                <w:spacing w:val="-1"/>
                <w:sz w:val="24"/>
              </w:rPr>
              <w:t xml:space="preserve"> </w:t>
            </w:r>
            <w:r>
              <w:rPr>
                <w:sz w:val="24"/>
              </w:rPr>
              <w:t>2016,</w:t>
            </w:r>
            <w:r>
              <w:rPr>
                <w:spacing w:val="-1"/>
                <w:sz w:val="24"/>
              </w:rPr>
              <w:t xml:space="preserve"> </w:t>
            </w:r>
            <w:r>
              <w:rPr>
                <w:sz w:val="24"/>
              </w:rPr>
              <w:t>DSR</w:t>
            </w:r>
            <w:r>
              <w:rPr>
                <w:spacing w:val="-1"/>
                <w:sz w:val="24"/>
              </w:rPr>
              <w:t xml:space="preserve"> </w:t>
            </w:r>
            <w:r>
              <w:rPr>
                <w:sz w:val="24"/>
              </w:rPr>
              <w:t>2016:VI,</w:t>
            </w:r>
            <w:r>
              <w:rPr>
                <w:spacing w:val="-2"/>
                <w:sz w:val="24"/>
              </w:rPr>
              <w:t xml:space="preserve"> </w:t>
            </w:r>
            <w:r>
              <w:rPr>
                <w:sz w:val="24"/>
              </w:rPr>
              <w:t>p.</w:t>
            </w:r>
            <w:r>
              <w:rPr>
                <w:spacing w:val="-1"/>
                <w:sz w:val="24"/>
              </w:rPr>
              <w:t xml:space="preserve"> </w:t>
            </w:r>
            <w:r>
              <w:rPr>
                <w:spacing w:val="-4"/>
                <w:sz w:val="24"/>
              </w:rPr>
              <w:t>2871</w:t>
            </w:r>
          </w:p>
        </w:tc>
      </w:tr>
      <w:tr w:rsidR="0010369C" w14:paraId="51DE769B" w14:textId="77777777">
        <w:trPr>
          <w:trHeight w:val="1171"/>
        </w:trPr>
        <w:tc>
          <w:tcPr>
            <w:tcW w:w="2255" w:type="dxa"/>
          </w:tcPr>
          <w:p w14:paraId="51DE7699" w14:textId="77777777" w:rsidR="0010369C" w:rsidRDefault="008E43AE">
            <w:pPr>
              <w:pStyle w:val="TableParagraph"/>
              <w:ind w:left="107"/>
              <w:rPr>
                <w:i/>
                <w:sz w:val="24"/>
              </w:rPr>
            </w:pPr>
            <w:r>
              <w:rPr>
                <w:i/>
                <w:sz w:val="24"/>
              </w:rPr>
              <w:t>EU</w:t>
            </w:r>
            <w:r>
              <w:rPr>
                <w:i/>
                <w:spacing w:val="-14"/>
                <w:sz w:val="24"/>
              </w:rPr>
              <w:t xml:space="preserve"> </w:t>
            </w:r>
            <w:r>
              <w:rPr>
                <w:i/>
                <w:sz w:val="24"/>
              </w:rPr>
              <w:t>–</w:t>
            </w:r>
            <w:r>
              <w:rPr>
                <w:i/>
                <w:spacing w:val="-14"/>
                <w:sz w:val="24"/>
              </w:rPr>
              <w:t xml:space="preserve"> </w:t>
            </w:r>
            <w:r>
              <w:rPr>
                <w:i/>
                <w:sz w:val="24"/>
              </w:rPr>
              <w:t xml:space="preserve">Biodiesel </w:t>
            </w:r>
            <w:r>
              <w:rPr>
                <w:i/>
                <w:spacing w:val="-2"/>
                <w:sz w:val="24"/>
              </w:rPr>
              <w:t>(Argentina)</w:t>
            </w:r>
          </w:p>
        </w:tc>
        <w:tc>
          <w:tcPr>
            <w:tcW w:w="6761" w:type="dxa"/>
          </w:tcPr>
          <w:p w14:paraId="51DE769A" w14:textId="77777777" w:rsidR="0010369C" w:rsidRDefault="008E43AE">
            <w:pPr>
              <w:pStyle w:val="TableParagraph"/>
              <w:spacing w:line="290" w:lineRule="atLeast"/>
              <w:ind w:left="106"/>
              <w:rPr>
                <w:sz w:val="24"/>
              </w:rPr>
            </w:pPr>
            <w:r>
              <w:rPr>
                <w:sz w:val="24"/>
              </w:rPr>
              <w:t xml:space="preserve">Panel Report, </w:t>
            </w:r>
            <w:r>
              <w:rPr>
                <w:i/>
                <w:sz w:val="24"/>
              </w:rPr>
              <w:t>European Union – Anti‐Dumping Measures on Biodiesel</w:t>
            </w:r>
            <w:r>
              <w:rPr>
                <w:i/>
                <w:spacing w:val="-6"/>
                <w:sz w:val="24"/>
              </w:rPr>
              <w:t xml:space="preserve"> </w:t>
            </w:r>
            <w:r>
              <w:rPr>
                <w:i/>
                <w:sz w:val="24"/>
              </w:rPr>
              <w:t>from</w:t>
            </w:r>
            <w:r>
              <w:rPr>
                <w:i/>
                <w:spacing w:val="-6"/>
                <w:sz w:val="24"/>
              </w:rPr>
              <w:t xml:space="preserve"> </w:t>
            </w:r>
            <w:r>
              <w:rPr>
                <w:i/>
                <w:sz w:val="24"/>
              </w:rPr>
              <w:t>Argentina</w:t>
            </w:r>
            <w:r>
              <w:rPr>
                <w:sz w:val="24"/>
              </w:rPr>
              <w:t>,</w:t>
            </w:r>
            <w:r>
              <w:rPr>
                <w:spacing w:val="-6"/>
                <w:sz w:val="24"/>
              </w:rPr>
              <w:t xml:space="preserve"> </w:t>
            </w:r>
            <w:r>
              <w:rPr>
                <w:sz w:val="24"/>
              </w:rPr>
              <w:t>WT/DS473/R</w:t>
            </w:r>
            <w:r>
              <w:rPr>
                <w:spacing w:val="-6"/>
                <w:sz w:val="24"/>
              </w:rPr>
              <w:t xml:space="preserve"> </w:t>
            </w:r>
            <w:r>
              <w:rPr>
                <w:sz w:val="24"/>
              </w:rPr>
              <w:t>and</w:t>
            </w:r>
            <w:r>
              <w:rPr>
                <w:spacing w:val="-6"/>
                <w:sz w:val="24"/>
              </w:rPr>
              <w:t xml:space="preserve"> </w:t>
            </w:r>
            <w:r>
              <w:rPr>
                <w:sz w:val="24"/>
              </w:rPr>
              <w:t>Add.1,</w:t>
            </w:r>
            <w:r>
              <w:rPr>
                <w:spacing w:val="-6"/>
                <w:sz w:val="24"/>
              </w:rPr>
              <w:t xml:space="preserve"> </w:t>
            </w:r>
            <w:r>
              <w:rPr>
                <w:sz w:val="24"/>
              </w:rPr>
              <w:t>adopted</w:t>
            </w:r>
            <w:r>
              <w:rPr>
                <w:spacing w:val="-6"/>
                <w:sz w:val="24"/>
              </w:rPr>
              <w:t xml:space="preserve"> </w:t>
            </w:r>
            <w:r>
              <w:rPr>
                <w:sz w:val="24"/>
              </w:rPr>
              <w:t>26 October 2016, as modified by Appellate Body Report WT/DS473/AB/R, DSR 2016:VI, p. 3077</w:t>
            </w:r>
          </w:p>
        </w:tc>
      </w:tr>
      <w:tr w:rsidR="0010369C" w14:paraId="51DE769E" w14:textId="77777777">
        <w:trPr>
          <w:trHeight w:val="880"/>
        </w:trPr>
        <w:tc>
          <w:tcPr>
            <w:tcW w:w="2255" w:type="dxa"/>
          </w:tcPr>
          <w:p w14:paraId="51DE769C" w14:textId="77777777" w:rsidR="0010369C" w:rsidRDefault="008E43AE">
            <w:pPr>
              <w:pStyle w:val="TableParagraph"/>
              <w:ind w:left="107"/>
              <w:rPr>
                <w:i/>
                <w:sz w:val="24"/>
              </w:rPr>
            </w:pPr>
            <w:r>
              <w:rPr>
                <w:i/>
                <w:sz w:val="24"/>
              </w:rPr>
              <w:t>EU</w:t>
            </w:r>
            <w:r>
              <w:rPr>
                <w:i/>
                <w:spacing w:val="-14"/>
                <w:sz w:val="24"/>
              </w:rPr>
              <w:t xml:space="preserve"> </w:t>
            </w:r>
            <w:r>
              <w:rPr>
                <w:i/>
                <w:sz w:val="24"/>
              </w:rPr>
              <w:t>–</w:t>
            </w:r>
            <w:r>
              <w:rPr>
                <w:i/>
                <w:spacing w:val="-14"/>
                <w:sz w:val="24"/>
              </w:rPr>
              <w:t xml:space="preserve"> </w:t>
            </w:r>
            <w:r>
              <w:rPr>
                <w:i/>
                <w:sz w:val="24"/>
              </w:rPr>
              <w:t xml:space="preserve">Biodiesel </w:t>
            </w:r>
            <w:r>
              <w:rPr>
                <w:i/>
                <w:spacing w:val="-2"/>
                <w:sz w:val="24"/>
              </w:rPr>
              <w:t>(Indonesia)</w:t>
            </w:r>
          </w:p>
        </w:tc>
        <w:tc>
          <w:tcPr>
            <w:tcW w:w="6761" w:type="dxa"/>
          </w:tcPr>
          <w:p w14:paraId="51DE769D" w14:textId="77777777" w:rsidR="0010369C" w:rsidRDefault="008E43AE">
            <w:pPr>
              <w:pStyle w:val="TableParagraph"/>
              <w:spacing w:line="290" w:lineRule="atLeast"/>
              <w:ind w:left="106"/>
              <w:rPr>
                <w:sz w:val="24"/>
              </w:rPr>
            </w:pPr>
            <w:r>
              <w:rPr>
                <w:sz w:val="24"/>
              </w:rPr>
              <w:t xml:space="preserve">Panel Report, </w:t>
            </w:r>
            <w:r>
              <w:rPr>
                <w:i/>
                <w:sz w:val="24"/>
              </w:rPr>
              <w:t>European Union – Anti‐Dumping Measures on Biodiesel</w:t>
            </w:r>
            <w:r>
              <w:rPr>
                <w:i/>
                <w:spacing w:val="-6"/>
                <w:sz w:val="24"/>
              </w:rPr>
              <w:t xml:space="preserve"> </w:t>
            </w:r>
            <w:r>
              <w:rPr>
                <w:i/>
                <w:sz w:val="24"/>
              </w:rPr>
              <w:t>from</w:t>
            </w:r>
            <w:r>
              <w:rPr>
                <w:i/>
                <w:spacing w:val="-6"/>
                <w:sz w:val="24"/>
              </w:rPr>
              <w:t xml:space="preserve"> </w:t>
            </w:r>
            <w:r>
              <w:rPr>
                <w:i/>
                <w:sz w:val="24"/>
              </w:rPr>
              <w:t>Indonesia</w:t>
            </w:r>
            <w:r>
              <w:rPr>
                <w:sz w:val="24"/>
              </w:rPr>
              <w:t>,</w:t>
            </w:r>
            <w:r>
              <w:rPr>
                <w:spacing w:val="-6"/>
                <w:sz w:val="24"/>
              </w:rPr>
              <w:t xml:space="preserve"> </w:t>
            </w:r>
            <w:r>
              <w:rPr>
                <w:sz w:val="24"/>
              </w:rPr>
              <w:t>WT/DS480/R</w:t>
            </w:r>
            <w:r>
              <w:rPr>
                <w:spacing w:val="-6"/>
                <w:sz w:val="24"/>
              </w:rPr>
              <w:t xml:space="preserve"> </w:t>
            </w:r>
            <w:r>
              <w:rPr>
                <w:sz w:val="24"/>
              </w:rPr>
              <w:t>and</w:t>
            </w:r>
            <w:r>
              <w:rPr>
                <w:spacing w:val="-6"/>
                <w:sz w:val="24"/>
              </w:rPr>
              <w:t xml:space="preserve"> </w:t>
            </w:r>
            <w:r>
              <w:rPr>
                <w:sz w:val="24"/>
              </w:rPr>
              <w:t>Add.1,</w:t>
            </w:r>
            <w:r>
              <w:rPr>
                <w:spacing w:val="-6"/>
                <w:sz w:val="24"/>
              </w:rPr>
              <w:t xml:space="preserve"> </w:t>
            </w:r>
            <w:r>
              <w:rPr>
                <w:sz w:val="24"/>
              </w:rPr>
              <w:t>adopted</w:t>
            </w:r>
            <w:r>
              <w:rPr>
                <w:spacing w:val="-6"/>
                <w:sz w:val="24"/>
              </w:rPr>
              <w:t xml:space="preserve"> </w:t>
            </w:r>
            <w:r>
              <w:rPr>
                <w:sz w:val="24"/>
              </w:rPr>
              <w:t>28 February 2018, DSR 2018:II, p. 605</w:t>
            </w:r>
          </w:p>
        </w:tc>
      </w:tr>
      <w:tr w:rsidR="0010369C" w14:paraId="51DE76A3" w14:textId="77777777">
        <w:trPr>
          <w:trHeight w:val="584"/>
        </w:trPr>
        <w:tc>
          <w:tcPr>
            <w:tcW w:w="2255" w:type="dxa"/>
          </w:tcPr>
          <w:p w14:paraId="51DE769F" w14:textId="77777777" w:rsidR="0010369C" w:rsidRDefault="008E43AE">
            <w:pPr>
              <w:pStyle w:val="TableParagraph"/>
              <w:spacing w:line="292" w:lineRule="exact"/>
              <w:ind w:left="107"/>
              <w:rPr>
                <w:i/>
                <w:sz w:val="24"/>
              </w:rPr>
            </w:pPr>
            <w:r>
              <w:rPr>
                <w:i/>
                <w:sz w:val="24"/>
              </w:rPr>
              <w:t>EU</w:t>
            </w:r>
            <w:r>
              <w:rPr>
                <w:i/>
                <w:spacing w:val="-3"/>
                <w:sz w:val="24"/>
              </w:rPr>
              <w:t xml:space="preserve"> </w:t>
            </w:r>
            <w:r>
              <w:rPr>
                <w:i/>
                <w:sz w:val="24"/>
              </w:rPr>
              <w:t>–</w:t>
            </w:r>
            <w:r>
              <w:rPr>
                <w:i/>
                <w:spacing w:val="-1"/>
                <w:sz w:val="24"/>
              </w:rPr>
              <w:t xml:space="preserve"> </w:t>
            </w:r>
            <w:r>
              <w:rPr>
                <w:i/>
                <w:sz w:val="24"/>
              </w:rPr>
              <w:t>Fatty</w:t>
            </w:r>
            <w:r>
              <w:rPr>
                <w:i/>
                <w:spacing w:val="-2"/>
                <w:sz w:val="24"/>
              </w:rPr>
              <w:t xml:space="preserve"> Alcohols</w:t>
            </w:r>
          </w:p>
          <w:p w14:paraId="51DE76A0" w14:textId="77777777" w:rsidR="0010369C" w:rsidRDefault="008E43AE">
            <w:pPr>
              <w:pStyle w:val="TableParagraph"/>
              <w:spacing w:line="273" w:lineRule="exact"/>
              <w:ind w:left="107"/>
              <w:rPr>
                <w:i/>
                <w:sz w:val="24"/>
              </w:rPr>
            </w:pPr>
            <w:r>
              <w:rPr>
                <w:i/>
                <w:spacing w:val="-2"/>
                <w:sz w:val="24"/>
              </w:rPr>
              <w:t>(Indonesia)</w:t>
            </w:r>
          </w:p>
        </w:tc>
        <w:tc>
          <w:tcPr>
            <w:tcW w:w="6761" w:type="dxa"/>
          </w:tcPr>
          <w:p w14:paraId="51DE76A1" w14:textId="77777777" w:rsidR="0010369C" w:rsidRDefault="008E43AE">
            <w:pPr>
              <w:pStyle w:val="TableParagraph"/>
              <w:spacing w:line="292" w:lineRule="exact"/>
              <w:ind w:left="106"/>
              <w:rPr>
                <w:i/>
                <w:sz w:val="24"/>
              </w:rPr>
            </w:pPr>
            <w:r>
              <w:rPr>
                <w:sz w:val="24"/>
              </w:rPr>
              <w:t>Appellate</w:t>
            </w:r>
            <w:r>
              <w:rPr>
                <w:spacing w:val="-3"/>
                <w:sz w:val="24"/>
              </w:rPr>
              <w:t xml:space="preserve"> </w:t>
            </w:r>
            <w:r>
              <w:rPr>
                <w:sz w:val="24"/>
              </w:rPr>
              <w:t>Body</w:t>
            </w:r>
            <w:r>
              <w:rPr>
                <w:spacing w:val="-3"/>
                <w:sz w:val="24"/>
              </w:rPr>
              <w:t xml:space="preserve"> </w:t>
            </w:r>
            <w:r>
              <w:rPr>
                <w:sz w:val="24"/>
              </w:rPr>
              <w:t>Report,</w:t>
            </w:r>
            <w:r>
              <w:rPr>
                <w:spacing w:val="-4"/>
                <w:sz w:val="24"/>
              </w:rPr>
              <w:t xml:space="preserve"> </w:t>
            </w:r>
            <w:r>
              <w:rPr>
                <w:i/>
                <w:sz w:val="24"/>
              </w:rPr>
              <w:t>European</w:t>
            </w:r>
            <w:r>
              <w:rPr>
                <w:i/>
                <w:spacing w:val="-2"/>
                <w:sz w:val="24"/>
              </w:rPr>
              <w:t xml:space="preserve"> </w:t>
            </w:r>
            <w:r>
              <w:rPr>
                <w:i/>
                <w:sz w:val="24"/>
              </w:rPr>
              <w:t>Union</w:t>
            </w:r>
            <w:r>
              <w:rPr>
                <w:i/>
                <w:spacing w:val="-4"/>
                <w:sz w:val="24"/>
              </w:rPr>
              <w:t xml:space="preserve"> </w:t>
            </w:r>
            <w:r>
              <w:rPr>
                <w:i/>
                <w:sz w:val="24"/>
              </w:rPr>
              <w:t>–</w:t>
            </w:r>
            <w:r>
              <w:rPr>
                <w:i/>
                <w:spacing w:val="-3"/>
                <w:sz w:val="24"/>
              </w:rPr>
              <w:t xml:space="preserve"> </w:t>
            </w:r>
            <w:r>
              <w:rPr>
                <w:i/>
                <w:sz w:val="24"/>
              </w:rPr>
              <w:t>Anti‐Dumping</w:t>
            </w:r>
            <w:r>
              <w:rPr>
                <w:i/>
                <w:spacing w:val="-2"/>
                <w:sz w:val="24"/>
              </w:rPr>
              <w:t xml:space="preserve"> Measures</w:t>
            </w:r>
          </w:p>
          <w:p w14:paraId="51DE76A2" w14:textId="77777777" w:rsidR="0010369C" w:rsidRDefault="008E43AE">
            <w:pPr>
              <w:pStyle w:val="TableParagraph"/>
              <w:spacing w:line="273" w:lineRule="exact"/>
              <w:ind w:left="106"/>
              <w:rPr>
                <w:sz w:val="24"/>
              </w:rPr>
            </w:pPr>
            <w:r>
              <w:rPr>
                <w:i/>
                <w:sz w:val="24"/>
              </w:rPr>
              <w:t>on</w:t>
            </w:r>
            <w:r>
              <w:rPr>
                <w:i/>
                <w:spacing w:val="-3"/>
                <w:sz w:val="24"/>
              </w:rPr>
              <w:t xml:space="preserve"> </w:t>
            </w:r>
            <w:r>
              <w:rPr>
                <w:i/>
                <w:sz w:val="24"/>
              </w:rPr>
              <w:t>Imports</w:t>
            </w:r>
            <w:r>
              <w:rPr>
                <w:i/>
                <w:spacing w:val="-3"/>
                <w:sz w:val="24"/>
              </w:rPr>
              <w:t xml:space="preserve"> </w:t>
            </w:r>
            <w:r>
              <w:rPr>
                <w:i/>
                <w:sz w:val="24"/>
              </w:rPr>
              <w:t>of</w:t>
            </w:r>
            <w:r>
              <w:rPr>
                <w:i/>
                <w:spacing w:val="-2"/>
                <w:sz w:val="24"/>
              </w:rPr>
              <w:t xml:space="preserve"> </w:t>
            </w:r>
            <w:r>
              <w:rPr>
                <w:i/>
                <w:sz w:val="24"/>
              </w:rPr>
              <w:t>Certain Fatty</w:t>
            </w:r>
            <w:r>
              <w:rPr>
                <w:i/>
                <w:spacing w:val="-2"/>
                <w:sz w:val="24"/>
              </w:rPr>
              <w:t xml:space="preserve"> </w:t>
            </w:r>
            <w:r>
              <w:rPr>
                <w:i/>
                <w:sz w:val="24"/>
              </w:rPr>
              <w:t>Alcohols</w:t>
            </w:r>
            <w:r>
              <w:rPr>
                <w:i/>
                <w:spacing w:val="-2"/>
                <w:sz w:val="24"/>
              </w:rPr>
              <w:t xml:space="preserve"> </w:t>
            </w:r>
            <w:r>
              <w:rPr>
                <w:i/>
                <w:sz w:val="24"/>
              </w:rPr>
              <w:t>from</w:t>
            </w:r>
            <w:r>
              <w:rPr>
                <w:i/>
                <w:spacing w:val="-1"/>
                <w:sz w:val="24"/>
              </w:rPr>
              <w:t xml:space="preserve"> </w:t>
            </w:r>
            <w:r>
              <w:rPr>
                <w:i/>
                <w:spacing w:val="-2"/>
                <w:sz w:val="24"/>
              </w:rPr>
              <w:t>Indonesia</w:t>
            </w:r>
            <w:r>
              <w:rPr>
                <w:spacing w:val="-2"/>
                <w:sz w:val="24"/>
              </w:rPr>
              <w:t>,</w:t>
            </w:r>
          </w:p>
        </w:tc>
      </w:tr>
    </w:tbl>
    <w:p w14:paraId="51DE76A4" w14:textId="77777777" w:rsidR="0010369C" w:rsidRDefault="0010369C">
      <w:pPr>
        <w:spacing w:line="273" w:lineRule="exact"/>
        <w:rPr>
          <w:sz w:val="24"/>
        </w:rPr>
        <w:sectPr w:rsidR="0010369C">
          <w:pgSz w:w="11910" w:h="16840"/>
          <w:pgMar w:top="880" w:right="1220" w:bottom="980" w:left="1180" w:header="569" w:footer="788" w:gutter="0"/>
          <w:cols w:space="720"/>
        </w:sectPr>
      </w:pPr>
    </w:p>
    <w:p w14:paraId="51DE76A5" w14:textId="77777777" w:rsidR="0010369C" w:rsidRDefault="008E43AE">
      <w:pPr>
        <w:tabs>
          <w:tab w:val="left" w:pos="6425"/>
        </w:tabs>
        <w:ind w:left="238"/>
        <w:rPr>
          <w:sz w:val="20"/>
        </w:rPr>
      </w:pPr>
      <w:r>
        <w:rPr>
          <w:i/>
          <w:sz w:val="20"/>
        </w:rPr>
        <w:lastRenderedPageBreak/>
        <w:t>China</w:t>
      </w:r>
      <w:r>
        <w:rPr>
          <w:i/>
          <w:spacing w:val="-5"/>
          <w:sz w:val="20"/>
        </w:rPr>
        <w:t xml:space="preserve"> </w:t>
      </w:r>
      <w:r>
        <w:rPr>
          <w:i/>
          <w:sz w:val="20"/>
        </w:rPr>
        <w:t>–</w:t>
      </w:r>
      <w:r>
        <w:rPr>
          <w:i/>
          <w:spacing w:val="-5"/>
          <w:sz w:val="20"/>
        </w:rPr>
        <w:t xml:space="preserve"> </w:t>
      </w:r>
      <w:r>
        <w:rPr>
          <w:i/>
          <w:sz w:val="20"/>
        </w:rPr>
        <w:t>Anti‐Dumping</w:t>
      </w:r>
      <w:r>
        <w:rPr>
          <w:i/>
          <w:spacing w:val="-4"/>
          <w:sz w:val="20"/>
        </w:rPr>
        <w:t xml:space="preserve"> </w:t>
      </w:r>
      <w:r>
        <w:rPr>
          <w:i/>
          <w:sz w:val="20"/>
        </w:rPr>
        <w:t>and</w:t>
      </w:r>
      <w:r>
        <w:rPr>
          <w:i/>
          <w:spacing w:val="-5"/>
          <w:sz w:val="20"/>
        </w:rPr>
        <w:t xml:space="preserve"> </w:t>
      </w:r>
      <w:r>
        <w:rPr>
          <w:i/>
          <w:sz w:val="20"/>
        </w:rPr>
        <w:t>Countervailing</w:t>
      </w:r>
      <w:r>
        <w:rPr>
          <w:i/>
          <w:spacing w:val="-5"/>
          <w:sz w:val="20"/>
        </w:rPr>
        <w:t xml:space="preserve"> </w:t>
      </w:r>
      <w:r>
        <w:rPr>
          <w:i/>
          <w:sz w:val="20"/>
        </w:rPr>
        <w:t>Duty</w:t>
      </w:r>
      <w:r>
        <w:rPr>
          <w:i/>
          <w:spacing w:val="-4"/>
          <w:sz w:val="20"/>
        </w:rPr>
        <w:t xml:space="preserve"> </w:t>
      </w:r>
      <w:r>
        <w:rPr>
          <w:i/>
          <w:spacing w:val="-2"/>
          <w:sz w:val="20"/>
        </w:rPr>
        <w:t>Measures</w:t>
      </w:r>
      <w:r>
        <w:rPr>
          <w:i/>
          <w:sz w:val="20"/>
        </w:rPr>
        <w:tab/>
      </w:r>
      <w:r>
        <w:rPr>
          <w:sz w:val="20"/>
        </w:rPr>
        <w:t>Australia's</w:t>
      </w:r>
      <w:r>
        <w:rPr>
          <w:spacing w:val="-6"/>
          <w:sz w:val="20"/>
        </w:rPr>
        <w:t xml:space="preserve"> </w:t>
      </w:r>
      <w:r>
        <w:rPr>
          <w:sz w:val="20"/>
        </w:rPr>
        <w:t>First</w:t>
      </w:r>
      <w:r>
        <w:rPr>
          <w:spacing w:val="-2"/>
          <w:sz w:val="20"/>
        </w:rPr>
        <w:t xml:space="preserve"> </w:t>
      </w:r>
      <w:r>
        <w:rPr>
          <w:sz w:val="20"/>
        </w:rPr>
        <w:t>Written</w:t>
      </w:r>
      <w:r>
        <w:rPr>
          <w:spacing w:val="-2"/>
          <w:sz w:val="20"/>
        </w:rPr>
        <w:t xml:space="preserve"> Submission</w:t>
      </w:r>
    </w:p>
    <w:p w14:paraId="51DE76A6" w14:textId="77777777" w:rsidR="0010369C" w:rsidRDefault="008E43AE">
      <w:pPr>
        <w:tabs>
          <w:tab w:val="left" w:pos="8227"/>
        </w:tabs>
        <w:spacing w:before="1" w:after="35"/>
        <w:ind w:left="239"/>
        <w:rPr>
          <w:sz w:val="20"/>
        </w:rPr>
      </w:pPr>
      <w:r>
        <w:rPr>
          <w:i/>
          <w:sz w:val="20"/>
        </w:rPr>
        <w:t>on</w:t>
      </w:r>
      <w:r>
        <w:rPr>
          <w:i/>
          <w:spacing w:val="-1"/>
          <w:sz w:val="20"/>
        </w:rPr>
        <w:t xml:space="preserve"> </w:t>
      </w:r>
      <w:r>
        <w:rPr>
          <w:i/>
          <w:sz w:val="20"/>
        </w:rPr>
        <w:t>Wine</w:t>
      </w:r>
      <w:r>
        <w:rPr>
          <w:i/>
          <w:spacing w:val="-1"/>
          <w:sz w:val="20"/>
        </w:rPr>
        <w:t xml:space="preserve"> </w:t>
      </w:r>
      <w:r>
        <w:rPr>
          <w:i/>
          <w:sz w:val="20"/>
        </w:rPr>
        <w:t>from</w:t>
      </w:r>
      <w:r>
        <w:rPr>
          <w:i/>
          <w:spacing w:val="-3"/>
          <w:sz w:val="20"/>
        </w:rPr>
        <w:t xml:space="preserve"> </w:t>
      </w:r>
      <w:r>
        <w:rPr>
          <w:i/>
          <w:sz w:val="20"/>
        </w:rPr>
        <w:t>Australia</w:t>
      </w:r>
      <w:r>
        <w:rPr>
          <w:i/>
          <w:spacing w:val="-1"/>
          <w:sz w:val="20"/>
        </w:rPr>
        <w:t xml:space="preserve"> </w:t>
      </w:r>
      <w:r>
        <w:rPr>
          <w:spacing w:val="-2"/>
          <w:sz w:val="20"/>
        </w:rPr>
        <w:t>(DS602)</w:t>
      </w:r>
      <w:r>
        <w:rPr>
          <w:sz w:val="20"/>
        </w:rPr>
        <w:tab/>
        <w:t>29</w:t>
      </w:r>
      <w:r>
        <w:rPr>
          <w:spacing w:val="-1"/>
          <w:sz w:val="20"/>
        </w:rPr>
        <w:t xml:space="preserve"> </w:t>
      </w:r>
      <w:r>
        <w:rPr>
          <w:sz w:val="20"/>
        </w:rPr>
        <w:t>April</w:t>
      </w:r>
      <w:r>
        <w:rPr>
          <w:spacing w:val="-2"/>
          <w:sz w:val="20"/>
        </w:rPr>
        <w:t xml:space="preserve"> </w:t>
      </w:r>
      <w:r>
        <w:rPr>
          <w:spacing w:val="-4"/>
          <w:sz w:val="20"/>
        </w:rPr>
        <w:t>2022</w:t>
      </w:r>
    </w:p>
    <w:tbl>
      <w:tblPr>
        <w:tblW w:w="0" w:type="auto"/>
        <w:tblInd w:w="25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255"/>
        <w:gridCol w:w="6761"/>
      </w:tblGrid>
      <w:tr w:rsidR="0010369C" w14:paraId="51DE76AA" w14:textId="77777777">
        <w:trPr>
          <w:trHeight w:val="585"/>
        </w:trPr>
        <w:tc>
          <w:tcPr>
            <w:tcW w:w="2255" w:type="dxa"/>
          </w:tcPr>
          <w:p w14:paraId="51DE76A7" w14:textId="77777777" w:rsidR="0010369C" w:rsidRDefault="0010369C">
            <w:pPr>
              <w:pStyle w:val="TableParagraph"/>
              <w:rPr>
                <w:rFonts w:ascii="Times New Roman"/>
              </w:rPr>
            </w:pPr>
          </w:p>
        </w:tc>
        <w:tc>
          <w:tcPr>
            <w:tcW w:w="6761" w:type="dxa"/>
          </w:tcPr>
          <w:p w14:paraId="51DE76A8" w14:textId="77777777" w:rsidR="0010369C" w:rsidRDefault="008E43AE">
            <w:pPr>
              <w:pStyle w:val="TableParagraph"/>
              <w:spacing w:line="292" w:lineRule="exact"/>
              <w:ind w:left="106"/>
              <w:rPr>
                <w:sz w:val="24"/>
              </w:rPr>
            </w:pPr>
            <w:r>
              <w:rPr>
                <w:sz w:val="24"/>
              </w:rPr>
              <w:t>WT/DS442/AB/R</w:t>
            </w:r>
            <w:r>
              <w:rPr>
                <w:spacing w:val="-4"/>
                <w:sz w:val="24"/>
              </w:rPr>
              <w:t xml:space="preserve"> </w:t>
            </w:r>
            <w:r>
              <w:rPr>
                <w:sz w:val="24"/>
              </w:rPr>
              <w:t>and</w:t>
            </w:r>
            <w:r>
              <w:rPr>
                <w:spacing w:val="-3"/>
                <w:sz w:val="24"/>
              </w:rPr>
              <w:t xml:space="preserve"> </w:t>
            </w:r>
            <w:r>
              <w:rPr>
                <w:sz w:val="24"/>
              </w:rPr>
              <w:t>Add.1,</w:t>
            </w:r>
            <w:r>
              <w:rPr>
                <w:spacing w:val="-4"/>
                <w:sz w:val="24"/>
              </w:rPr>
              <w:t xml:space="preserve"> </w:t>
            </w:r>
            <w:r>
              <w:rPr>
                <w:sz w:val="24"/>
              </w:rPr>
              <w:t>adopted</w:t>
            </w:r>
            <w:r>
              <w:rPr>
                <w:spacing w:val="-3"/>
                <w:sz w:val="24"/>
              </w:rPr>
              <w:t xml:space="preserve"> </w:t>
            </w:r>
            <w:r>
              <w:rPr>
                <w:sz w:val="24"/>
              </w:rPr>
              <w:t>29</w:t>
            </w:r>
            <w:r>
              <w:rPr>
                <w:spacing w:val="-4"/>
                <w:sz w:val="24"/>
              </w:rPr>
              <w:t xml:space="preserve"> </w:t>
            </w:r>
            <w:r>
              <w:rPr>
                <w:sz w:val="24"/>
              </w:rPr>
              <w:t>September</w:t>
            </w:r>
            <w:r>
              <w:rPr>
                <w:spacing w:val="-1"/>
                <w:sz w:val="24"/>
              </w:rPr>
              <w:t xml:space="preserve"> </w:t>
            </w:r>
            <w:r>
              <w:rPr>
                <w:sz w:val="24"/>
              </w:rPr>
              <w:t>2017,</w:t>
            </w:r>
            <w:r>
              <w:rPr>
                <w:spacing w:val="-2"/>
                <w:sz w:val="24"/>
              </w:rPr>
              <w:t xml:space="preserve"> </w:t>
            </w:r>
            <w:r>
              <w:rPr>
                <w:spacing w:val="-5"/>
                <w:sz w:val="24"/>
              </w:rPr>
              <w:t>DSR</w:t>
            </w:r>
          </w:p>
          <w:p w14:paraId="51DE76A9" w14:textId="77777777" w:rsidR="0010369C" w:rsidRDefault="008E43AE">
            <w:pPr>
              <w:pStyle w:val="TableParagraph"/>
              <w:spacing w:line="274" w:lineRule="exact"/>
              <w:ind w:left="106"/>
              <w:rPr>
                <w:sz w:val="24"/>
              </w:rPr>
            </w:pPr>
            <w:r>
              <w:rPr>
                <w:sz w:val="24"/>
              </w:rPr>
              <w:t>2017:VI,</w:t>
            </w:r>
            <w:r>
              <w:rPr>
                <w:spacing w:val="-5"/>
                <w:sz w:val="24"/>
              </w:rPr>
              <w:t xml:space="preserve"> </w:t>
            </w:r>
            <w:r>
              <w:rPr>
                <w:sz w:val="24"/>
              </w:rPr>
              <w:t>p.</w:t>
            </w:r>
            <w:r>
              <w:rPr>
                <w:spacing w:val="-4"/>
                <w:sz w:val="24"/>
              </w:rPr>
              <w:t xml:space="preserve"> 2613</w:t>
            </w:r>
          </w:p>
        </w:tc>
      </w:tr>
      <w:tr w:rsidR="0010369C" w14:paraId="51DE76AE" w14:textId="77777777">
        <w:trPr>
          <w:trHeight w:val="878"/>
        </w:trPr>
        <w:tc>
          <w:tcPr>
            <w:tcW w:w="2255" w:type="dxa"/>
          </w:tcPr>
          <w:p w14:paraId="51DE76AB" w14:textId="77777777" w:rsidR="0010369C" w:rsidRDefault="008E43AE">
            <w:pPr>
              <w:pStyle w:val="TableParagraph"/>
              <w:ind w:left="107" w:right="519"/>
              <w:rPr>
                <w:i/>
                <w:sz w:val="24"/>
              </w:rPr>
            </w:pPr>
            <w:r>
              <w:rPr>
                <w:i/>
                <w:sz w:val="24"/>
              </w:rPr>
              <w:t>EU</w:t>
            </w:r>
            <w:r>
              <w:rPr>
                <w:i/>
                <w:spacing w:val="-14"/>
                <w:sz w:val="24"/>
              </w:rPr>
              <w:t xml:space="preserve"> </w:t>
            </w:r>
            <w:r>
              <w:rPr>
                <w:i/>
                <w:sz w:val="24"/>
              </w:rPr>
              <w:t>–</w:t>
            </w:r>
            <w:r>
              <w:rPr>
                <w:i/>
                <w:spacing w:val="-14"/>
                <w:sz w:val="24"/>
              </w:rPr>
              <w:t xml:space="preserve"> </w:t>
            </w:r>
            <w:r>
              <w:rPr>
                <w:i/>
                <w:sz w:val="24"/>
              </w:rPr>
              <w:t xml:space="preserve">Footwear </w:t>
            </w:r>
            <w:r>
              <w:rPr>
                <w:i/>
                <w:spacing w:val="-2"/>
                <w:sz w:val="24"/>
              </w:rPr>
              <w:t>(China)</w:t>
            </w:r>
          </w:p>
        </w:tc>
        <w:tc>
          <w:tcPr>
            <w:tcW w:w="6761" w:type="dxa"/>
          </w:tcPr>
          <w:p w14:paraId="51DE76AC" w14:textId="77777777" w:rsidR="0010369C" w:rsidRDefault="008E43AE">
            <w:pPr>
              <w:pStyle w:val="TableParagraph"/>
              <w:ind w:left="106" w:right="167"/>
              <w:rPr>
                <w:sz w:val="24"/>
              </w:rPr>
            </w:pPr>
            <w:r>
              <w:rPr>
                <w:sz w:val="24"/>
              </w:rPr>
              <w:t xml:space="preserve">Panel Report, </w:t>
            </w:r>
            <w:r>
              <w:rPr>
                <w:i/>
                <w:sz w:val="24"/>
              </w:rPr>
              <w:t>European Union – Anti‐Dumping Measures on Certain</w:t>
            </w:r>
            <w:r>
              <w:rPr>
                <w:i/>
                <w:spacing w:val="-5"/>
                <w:sz w:val="24"/>
              </w:rPr>
              <w:t xml:space="preserve"> </w:t>
            </w:r>
            <w:r>
              <w:rPr>
                <w:i/>
                <w:sz w:val="24"/>
              </w:rPr>
              <w:t>Footwear</w:t>
            </w:r>
            <w:r>
              <w:rPr>
                <w:i/>
                <w:spacing w:val="-5"/>
                <w:sz w:val="24"/>
              </w:rPr>
              <w:t xml:space="preserve"> </w:t>
            </w:r>
            <w:r>
              <w:rPr>
                <w:i/>
                <w:sz w:val="24"/>
              </w:rPr>
              <w:t>from</w:t>
            </w:r>
            <w:r>
              <w:rPr>
                <w:i/>
                <w:spacing w:val="-6"/>
                <w:sz w:val="24"/>
              </w:rPr>
              <w:t xml:space="preserve"> </w:t>
            </w:r>
            <w:r>
              <w:rPr>
                <w:i/>
                <w:sz w:val="24"/>
              </w:rPr>
              <w:t>China</w:t>
            </w:r>
            <w:r>
              <w:rPr>
                <w:sz w:val="24"/>
              </w:rPr>
              <w:t>,</w:t>
            </w:r>
            <w:r>
              <w:rPr>
                <w:spacing w:val="-6"/>
                <w:sz w:val="24"/>
              </w:rPr>
              <w:t xml:space="preserve"> </w:t>
            </w:r>
            <w:r>
              <w:rPr>
                <w:sz w:val="24"/>
              </w:rPr>
              <w:t>WT/DS405/R,</w:t>
            </w:r>
            <w:r>
              <w:rPr>
                <w:spacing w:val="-7"/>
                <w:sz w:val="24"/>
              </w:rPr>
              <w:t xml:space="preserve"> </w:t>
            </w:r>
            <w:r>
              <w:rPr>
                <w:sz w:val="24"/>
              </w:rPr>
              <w:t>adopted</w:t>
            </w:r>
            <w:r>
              <w:rPr>
                <w:spacing w:val="-6"/>
                <w:sz w:val="24"/>
              </w:rPr>
              <w:t xml:space="preserve"> </w:t>
            </w:r>
            <w:r>
              <w:rPr>
                <w:sz w:val="24"/>
              </w:rPr>
              <w:t>22</w:t>
            </w:r>
            <w:r>
              <w:rPr>
                <w:spacing w:val="-6"/>
                <w:sz w:val="24"/>
              </w:rPr>
              <w:t xml:space="preserve"> </w:t>
            </w:r>
            <w:r>
              <w:rPr>
                <w:sz w:val="24"/>
              </w:rPr>
              <w:t>February</w:t>
            </w:r>
          </w:p>
          <w:p w14:paraId="51DE76AD" w14:textId="77777777" w:rsidR="0010369C" w:rsidRDefault="008E43AE">
            <w:pPr>
              <w:pStyle w:val="TableParagraph"/>
              <w:spacing w:line="273" w:lineRule="exact"/>
              <w:ind w:left="106"/>
              <w:rPr>
                <w:sz w:val="24"/>
              </w:rPr>
            </w:pPr>
            <w:r>
              <w:rPr>
                <w:sz w:val="24"/>
              </w:rPr>
              <w:t>2012,</w:t>
            </w:r>
            <w:r>
              <w:rPr>
                <w:spacing w:val="-2"/>
                <w:sz w:val="24"/>
              </w:rPr>
              <w:t xml:space="preserve"> </w:t>
            </w:r>
            <w:r>
              <w:rPr>
                <w:sz w:val="24"/>
              </w:rPr>
              <w:t>DSR</w:t>
            </w:r>
            <w:r>
              <w:rPr>
                <w:spacing w:val="-1"/>
                <w:sz w:val="24"/>
              </w:rPr>
              <w:t xml:space="preserve"> </w:t>
            </w:r>
            <w:r>
              <w:rPr>
                <w:sz w:val="24"/>
              </w:rPr>
              <w:t>2012:IX,</w:t>
            </w:r>
            <w:r>
              <w:rPr>
                <w:spacing w:val="-2"/>
                <w:sz w:val="24"/>
              </w:rPr>
              <w:t xml:space="preserve"> </w:t>
            </w:r>
            <w:r>
              <w:rPr>
                <w:sz w:val="24"/>
              </w:rPr>
              <w:t>p.</w:t>
            </w:r>
            <w:r>
              <w:rPr>
                <w:spacing w:val="-1"/>
                <w:sz w:val="24"/>
              </w:rPr>
              <w:t xml:space="preserve"> </w:t>
            </w:r>
            <w:r>
              <w:rPr>
                <w:spacing w:val="-4"/>
                <w:sz w:val="24"/>
              </w:rPr>
              <w:t>4585</w:t>
            </w:r>
          </w:p>
        </w:tc>
      </w:tr>
      <w:tr w:rsidR="0010369C" w14:paraId="51DE76B2" w14:textId="77777777">
        <w:trPr>
          <w:trHeight w:val="1171"/>
        </w:trPr>
        <w:tc>
          <w:tcPr>
            <w:tcW w:w="2255" w:type="dxa"/>
          </w:tcPr>
          <w:p w14:paraId="51DE76AF" w14:textId="77777777" w:rsidR="0010369C" w:rsidRDefault="008E43AE">
            <w:pPr>
              <w:pStyle w:val="TableParagraph"/>
              <w:spacing w:line="292" w:lineRule="exact"/>
              <w:ind w:left="161"/>
              <w:rPr>
                <w:i/>
                <w:sz w:val="24"/>
              </w:rPr>
            </w:pPr>
            <w:r>
              <w:rPr>
                <w:i/>
                <w:sz w:val="24"/>
              </w:rPr>
              <w:t>EU</w:t>
            </w:r>
            <w:r>
              <w:rPr>
                <w:i/>
                <w:spacing w:val="-1"/>
                <w:sz w:val="24"/>
              </w:rPr>
              <w:t xml:space="preserve"> </w:t>
            </w:r>
            <w:r>
              <w:rPr>
                <w:i/>
                <w:sz w:val="24"/>
              </w:rPr>
              <w:t xml:space="preserve">– PET </w:t>
            </w:r>
            <w:r>
              <w:rPr>
                <w:i/>
                <w:spacing w:val="-2"/>
                <w:sz w:val="24"/>
              </w:rPr>
              <w:t>(Pakistan)</w:t>
            </w:r>
          </w:p>
        </w:tc>
        <w:tc>
          <w:tcPr>
            <w:tcW w:w="6761" w:type="dxa"/>
          </w:tcPr>
          <w:p w14:paraId="51DE76B0" w14:textId="77777777" w:rsidR="0010369C" w:rsidRDefault="008E43AE">
            <w:pPr>
              <w:pStyle w:val="TableParagraph"/>
              <w:ind w:left="106"/>
              <w:rPr>
                <w:sz w:val="24"/>
              </w:rPr>
            </w:pPr>
            <w:r>
              <w:rPr>
                <w:sz w:val="24"/>
              </w:rPr>
              <w:t>Appellate</w:t>
            </w:r>
            <w:r>
              <w:rPr>
                <w:spacing w:val="-4"/>
                <w:sz w:val="24"/>
              </w:rPr>
              <w:t xml:space="preserve"> </w:t>
            </w:r>
            <w:r>
              <w:rPr>
                <w:sz w:val="24"/>
              </w:rPr>
              <w:t>Body</w:t>
            </w:r>
            <w:r>
              <w:rPr>
                <w:spacing w:val="-4"/>
                <w:sz w:val="24"/>
              </w:rPr>
              <w:t xml:space="preserve"> </w:t>
            </w:r>
            <w:r>
              <w:rPr>
                <w:sz w:val="24"/>
              </w:rPr>
              <w:t>Report,</w:t>
            </w:r>
            <w:r>
              <w:rPr>
                <w:spacing w:val="-5"/>
                <w:sz w:val="24"/>
              </w:rPr>
              <w:t xml:space="preserve"> </w:t>
            </w:r>
            <w:r>
              <w:rPr>
                <w:i/>
                <w:sz w:val="24"/>
              </w:rPr>
              <w:t>European</w:t>
            </w:r>
            <w:r>
              <w:rPr>
                <w:i/>
                <w:spacing w:val="-4"/>
                <w:sz w:val="24"/>
              </w:rPr>
              <w:t xml:space="preserve"> </w:t>
            </w:r>
            <w:r>
              <w:rPr>
                <w:i/>
                <w:sz w:val="24"/>
              </w:rPr>
              <w:t>Union</w:t>
            </w:r>
            <w:r>
              <w:rPr>
                <w:i/>
                <w:spacing w:val="-5"/>
                <w:sz w:val="24"/>
              </w:rPr>
              <w:t xml:space="preserve"> </w:t>
            </w:r>
            <w:r>
              <w:rPr>
                <w:i/>
                <w:sz w:val="24"/>
              </w:rPr>
              <w:t>–</w:t>
            </w:r>
            <w:r>
              <w:rPr>
                <w:i/>
                <w:spacing w:val="-4"/>
                <w:sz w:val="24"/>
              </w:rPr>
              <w:t xml:space="preserve"> </w:t>
            </w:r>
            <w:r>
              <w:rPr>
                <w:i/>
                <w:sz w:val="24"/>
              </w:rPr>
              <w:t>Countervailing</w:t>
            </w:r>
            <w:r>
              <w:rPr>
                <w:i/>
                <w:spacing w:val="-3"/>
                <w:sz w:val="24"/>
              </w:rPr>
              <w:t xml:space="preserve"> </w:t>
            </w:r>
            <w:r>
              <w:rPr>
                <w:i/>
                <w:sz w:val="24"/>
              </w:rPr>
              <w:t>Measures on Certain Polyethylene Terephthalate from Pakistan</w:t>
            </w:r>
            <w:r>
              <w:rPr>
                <w:sz w:val="24"/>
              </w:rPr>
              <w:t>,</w:t>
            </w:r>
          </w:p>
          <w:p w14:paraId="51DE76B1" w14:textId="77777777" w:rsidR="0010369C" w:rsidRDefault="008E43AE">
            <w:pPr>
              <w:pStyle w:val="TableParagraph"/>
              <w:spacing w:line="290" w:lineRule="atLeast"/>
              <w:ind w:left="106"/>
              <w:rPr>
                <w:sz w:val="24"/>
              </w:rPr>
            </w:pPr>
            <w:r>
              <w:rPr>
                <w:sz w:val="24"/>
              </w:rPr>
              <w:t>WT/DS486/AB/R</w:t>
            </w:r>
            <w:r>
              <w:rPr>
                <w:spacing w:val="-5"/>
                <w:sz w:val="24"/>
              </w:rPr>
              <w:t xml:space="preserve"> </w:t>
            </w:r>
            <w:r>
              <w:rPr>
                <w:sz w:val="24"/>
              </w:rPr>
              <w:t>and</w:t>
            </w:r>
            <w:r>
              <w:rPr>
                <w:spacing w:val="-5"/>
                <w:sz w:val="24"/>
              </w:rPr>
              <w:t xml:space="preserve"> </w:t>
            </w:r>
            <w:r>
              <w:rPr>
                <w:sz w:val="24"/>
              </w:rPr>
              <w:t>Add.1,</w:t>
            </w:r>
            <w:r>
              <w:rPr>
                <w:spacing w:val="-5"/>
                <w:sz w:val="24"/>
              </w:rPr>
              <w:t xml:space="preserve"> </w:t>
            </w:r>
            <w:r>
              <w:rPr>
                <w:sz w:val="24"/>
              </w:rPr>
              <w:t>adopted</w:t>
            </w:r>
            <w:r>
              <w:rPr>
                <w:spacing w:val="-5"/>
                <w:sz w:val="24"/>
              </w:rPr>
              <w:t xml:space="preserve"> </w:t>
            </w:r>
            <w:r>
              <w:rPr>
                <w:sz w:val="24"/>
              </w:rPr>
              <w:t>28</w:t>
            </w:r>
            <w:r>
              <w:rPr>
                <w:spacing w:val="-5"/>
                <w:sz w:val="24"/>
              </w:rPr>
              <w:t xml:space="preserve"> </w:t>
            </w:r>
            <w:r>
              <w:rPr>
                <w:sz w:val="24"/>
              </w:rPr>
              <w:t>May</w:t>
            </w:r>
            <w:r>
              <w:rPr>
                <w:spacing w:val="-4"/>
                <w:sz w:val="24"/>
              </w:rPr>
              <w:t xml:space="preserve"> </w:t>
            </w:r>
            <w:r>
              <w:rPr>
                <w:sz w:val="24"/>
              </w:rPr>
              <w:t>2018,</w:t>
            </w:r>
            <w:r>
              <w:rPr>
                <w:spacing w:val="-5"/>
                <w:sz w:val="24"/>
              </w:rPr>
              <w:t xml:space="preserve"> </w:t>
            </w:r>
            <w:r>
              <w:rPr>
                <w:sz w:val="24"/>
              </w:rPr>
              <w:t>DSR</w:t>
            </w:r>
            <w:r>
              <w:rPr>
                <w:spacing w:val="-4"/>
                <w:sz w:val="24"/>
              </w:rPr>
              <w:t xml:space="preserve"> </w:t>
            </w:r>
            <w:r>
              <w:rPr>
                <w:sz w:val="24"/>
              </w:rPr>
              <w:t>2018:IV,</w:t>
            </w:r>
            <w:r>
              <w:rPr>
                <w:spacing w:val="-5"/>
                <w:sz w:val="24"/>
              </w:rPr>
              <w:t xml:space="preserve"> </w:t>
            </w:r>
            <w:r>
              <w:rPr>
                <w:sz w:val="24"/>
              </w:rPr>
              <w:t xml:space="preserve">p. </w:t>
            </w:r>
            <w:r>
              <w:rPr>
                <w:spacing w:val="-4"/>
                <w:sz w:val="24"/>
              </w:rPr>
              <w:t>1615</w:t>
            </w:r>
          </w:p>
        </w:tc>
      </w:tr>
      <w:tr w:rsidR="0010369C" w14:paraId="51DE76B5" w14:textId="77777777">
        <w:trPr>
          <w:trHeight w:val="1171"/>
        </w:trPr>
        <w:tc>
          <w:tcPr>
            <w:tcW w:w="2255" w:type="dxa"/>
          </w:tcPr>
          <w:p w14:paraId="51DE76B3" w14:textId="77777777" w:rsidR="0010369C" w:rsidRDefault="008E43AE">
            <w:pPr>
              <w:pStyle w:val="TableParagraph"/>
              <w:ind w:left="107" w:right="863"/>
              <w:rPr>
                <w:i/>
                <w:sz w:val="24"/>
              </w:rPr>
            </w:pPr>
            <w:r>
              <w:rPr>
                <w:i/>
                <w:sz w:val="24"/>
              </w:rPr>
              <w:t>Guatemala</w:t>
            </w:r>
            <w:r>
              <w:rPr>
                <w:i/>
                <w:spacing w:val="-14"/>
                <w:sz w:val="24"/>
              </w:rPr>
              <w:t xml:space="preserve"> </w:t>
            </w:r>
            <w:r>
              <w:rPr>
                <w:i/>
                <w:sz w:val="24"/>
              </w:rPr>
              <w:t>– Cement I</w:t>
            </w:r>
          </w:p>
        </w:tc>
        <w:tc>
          <w:tcPr>
            <w:tcW w:w="6761" w:type="dxa"/>
          </w:tcPr>
          <w:p w14:paraId="51DE76B4" w14:textId="77777777" w:rsidR="0010369C" w:rsidRDefault="008E43AE">
            <w:pPr>
              <w:pStyle w:val="TableParagraph"/>
              <w:spacing w:line="290" w:lineRule="atLeast"/>
              <w:ind w:left="106"/>
              <w:rPr>
                <w:sz w:val="24"/>
              </w:rPr>
            </w:pPr>
            <w:r>
              <w:rPr>
                <w:sz w:val="24"/>
              </w:rPr>
              <w:t xml:space="preserve">Panel Report, </w:t>
            </w:r>
            <w:r>
              <w:rPr>
                <w:i/>
                <w:sz w:val="24"/>
              </w:rPr>
              <w:t>Guatemala – Anti‐Dumping Investigation Regarding Portland</w:t>
            </w:r>
            <w:r>
              <w:rPr>
                <w:i/>
                <w:spacing w:val="-5"/>
                <w:sz w:val="24"/>
              </w:rPr>
              <w:t xml:space="preserve"> </w:t>
            </w:r>
            <w:r>
              <w:rPr>
                <w:i/>
                <w:sz w:val="24"/>
              </w:rPr>
              <w:t>Cement</w:t>
            </w:r>
            <w:r>
              <w:rPr>
                <w:i/>
                <w:spacing w:val="-5"/>
                <w:sz w:val="24"/>
              </w:rPr>
              <w:t xml:space="preserve"> </w:t>
            </w:r>
            <w:r>
              <w:rPr>
                <w:i/>
                <w:sz w:val="24"/>
              </w:rPr>
              <w:t>from</w:t>
            </w:r>
            <w:r>
              <w:rPr>
                <w:i/>
                <w:spacing w:val="-6"/>
                <w:sz w:val="24"/>
              </w:rPr>
              <w:t xml:space="preserve"> </w:t>
            </w:r>
            <w:r>
              <w:rPr>
                <w:i/>
                <w:sz w:val="24"/>
              </w:rPr>
              <w:t>Mexico</w:t>
            </w:r>
            <w:r>
              <w:rPr>
                <w:sz w:val="24"/>
              </w:rPr>
              <w:t>,</w:t>
            </w:r>
            <w:r>
              <w:rPr>
                <w:spacing w:val="-5"/>
                <w:sz w:val="24"/>
              </w:rPr>
              <w:t xml:space="preserve"> </w:t>
            </w:r>
            <w:r>
              <w:rPr>
                <w:sz w:val="24"/>
              </w:rPr>
              <w:t>WT/DS60/R,</w:t>
            </w:r>
            <w:r>
              <w:rPr>
                <w:spacing w:val="-6"/>
                <w:sz w:val="24"/>
              </w:rPr>
              <w:t xml:space="preserve"> </w:t>
            </w:r>
            <w:r>
              <w:rPr>
                <w:sz w:val="24"/>
              </w:rPr>
              <w:t>adopted</w:t>
            </w:r>
            <w:r>
              <w:rPr>
                <w:spacing w:val="-5"/>
                <w:sz w:val="24"/>
              </w:rPr>
              <w:t xml:space="preserve"> </w:t>
            </w:r>
            <w:r>
              <w:rPr>
                <w:sz w:val="24"/>
              </w:rPr>
              <w:t>25</w:t>
            </w:r>
            <w:r>
              <w:rPr>
                <w:spacing w:val="-5"/>
                <w:sz w:val="24"/>
              </w:rPr>
              <w:t xml:space="preserve"> </w:t>
            </w:r>
            <w:r>
              <w:rPr>
                <w:sz w:val="24"/>
              </w:rPr>
              <w:t>November 1998, as reversed by Appellate Body Report WT/DS60/AB/R, DSR 1998:IX, p. 3797</w:t>
            </w:r>
          </w:p>
        </w:tc>
      </w:tr>
      <w:tr w:rsidR="0010369C" w14:paraId="51DE76B9" w14:textId="77777777">
        <w:trPr>
          <w:trHeight w:val="877"/>
        </w:trPr>
        <w:tc>
          <w:tcPr>
            <w:tcW w:w="2255" w:type="dxa"/>
          </w:tcPr>
          <w:p w14:paraId="51DE76B6" w14:textId="77777777" w:rsidR="0010369C" w:rsidRDefault="008E43AE">
            <w:pPr>
              <w:pStyle w:val="TableParagraph"/>
              <w:ind w:left="107" w:right="863"/>
              <w:rPr>
                <w:i/>
                <w:sz w:val="24"/>
              </w:rPr>
            </w:pPr>
            <w:r>
              <w:rPr>
                <w:i/>
                <w:sz w:val="24"/>
              </w:rPr>
              <w:t>Guatemala</w:t>
            </w:r>
            <w:r>
              <w:rPr>
                <w:i/>
                <w:spacing w:val="-14"/>
                <w:sz w:val="24"/>
              </w:rPr>
              <w:t xml:space="preserve"> </w:t>
            </w:r>
            <w:r>
              <w:rPr>
                <w:i/>
                <w:sz w:val="24"/>
              </w:rPr>
              <w:t>– Cement II</w:t>
            </w:r>
          </w:p>
        </w:tc>
        <w:tc>
          <w:tcPr>
            <w:tcW w:w="6761" w:type="dxa"/>
          </w:tcPr>
          <w:p w14:paraId="51DE76B7" w14:textId="77777777" w:rsidR="0010369C" w:rsidRDefault="008E43AE">
            <w:pPr>
              <w:pStyle w:val="TableParagraph"/>
              <w:ind w:left="106"/>
              <w:rPr>
                <w:sz w:val="24"/>
              </w:rPr>
            </w:pPr>
            <w:r>
              <w:rPr>
                <w:sz w:val="24"/>
              </w:rPr>
              <w:t>Panel</w:t>
            </w:r>
            <w:r>
              <w:rPr>
                <w:spacing w:val="-7"/>
                <w:sz w:val="24"/>
              </w:rPr>
              <w:t xml:space="preserve"> </w:t>
            </w:r>
            <w:r>
              <w:rPr>
                <w:sz w:val="24"/>
              </w:rPr>
              <w:t>Report,</w:t>
            </w:r>
            <w:r>
              <w:rPr>
                <w:spacing w:val="-6"/>
                <w:sz w:val="24"/>
              </w:rPr>
              <w:t xml:space="preserve"> </w:t>
            </w:r>
            <w:r>
              <w:rPr>
                <w:i/>
                <w:sz w:val="24"/>
              </w:rPr>
              <w:t>Guatemala</w:t>
            </w:r>
            <w:r>
              <w:rPr>
                <w:i/>
                <w:spacing w:val="-7"/>
                <w:sz w:val="24"/>
              </w:rPr>
              <w:t xml:space="preserve"> </w:t>
            </w:r>
            <w:r>
              <w:rPr>
                <w:i/>
                <w:sz w:val="24"/>
              </w:rPr>
              <w:t>–</w:t>
            </w:r>
            <w:r>
              <w:rPr>
                <w:i/>
                <w:spacing w:val="-6"/>
                <w:sz w:val="24"/>
              </w:rPr>
              <w:t xml:space="preserve"> </w:t>
            </w:r>
            <w:r>
              <w:rPr>
                <w:i/>
                <w:sz w:val="24"/>
              </w:rPr>
              <w:t>Definitive</w:t>
            </w:r>
            <w:r>
              <w:rPr>
                <w:i/>
                <w:spacing w:val="-6"/>
                <w:sz w:val="24"/>
              </w:rPr>
              <w:t xml:space="preserve"> </w:t>
            </w:r>
            <w:r>
              <w:rPr>
                <w:i/>
                <w:sz w:val="24"/>
              </w:rPr>
              <w:t>Anti‐Dump</w:t>
            </w:r>
            <w:r>
              <w:rPr>
                <w:i/>
                <w:sz w:val="24"/>
              </w:rPr>
              <w:t>ing</w:t>
            </w:r>
            <w:r>
              <w:rPr>
                <w:i/>
                <w:spacing w:val="-6"/>
                <w:sz w:val="24"/>
              </w:rPr>
              <w:t xml:space="preserve"> </w:t>
            </w:r>
            <w:r>
              <w:rPr>
                <w:i/>
                <w:sz w:val="24"/>
              </w:rPr>
              <w:t>Measures</w:t>
            </w:r>
            <w:r>
              <w:rPr>
                <w:i/>
                <w:spacing w:val="-6"/>
                <w:sz w:val="24"/>
              </w:rPr>
              <w:t xml:space="preserve"> </w:t>
            </w:r>
            <w:r>
              <w:rPr>
                <w:i/>
                <w:sz w:val="24"/>
              </w:rPr>
              <w:t>on Grey Portland Cement from Mexico</w:t>
            </w:r>
            <w:r>
              <w:rPr>
                <w:sz w:val="24"/>
              </w:rPr>
              <w:t>, WT/DS156/R, adopted 17</w:t>
            </w:r>
          </w:p>
          <w:p w14:paraId="51DE76B8" w14:textId="77777777" w:rsidR="0010369C" w:rsidRDefault="008E43AE">
            <w:pPr>
              <w:pStyle w:val="TableParagraph"/>
              <w:spacing w:line="273" w:lineRule="exact"/>
              <w:ind w:left="106"/>
              <w:rPr>
                <w:sz w:val="24"/>
              </w:rPr>
            </w:pPr>
            <w:r>
              <w:rPr>
                <w:sz w:val="24"/>
              </w:rPr>
              <w:t>November</w:t>
            </w:r>
            <w:r>
              <w:rPr>
                <w:spacing w:val="-4"/>
                <w:sz w:val="24"/>
              </w:rPr>
              <w:t xml:space="preserve"> </w:t>
            </w:r>
            <w:r>
              <w:rPr>
                <w:sz w:val="24"/>
              </w:rPr>
              <w:t>2000,</w:t>
            </w:r>
            <w:r>
              <w:rPr>
                <w:spacing w:val="-2"/>
                <w:sz w:val="24"/>
              </w:rPr>
              <w:t xml:space="preserve"> </w:t>
            </w:r>
            <w:r>
              <w:rPr>
                <w:sz w:val="24"/>
              </w:rPr>
              <w:t>DSR</w:t>
            </w:r>
            <w:r>
              <w:rPr>
                <w:spacing w:val="-1"/>
                <w:sz w:val="24"/>
              </w:rPr>
              <w:t xml:space="preserve"> </w:t>
            </w:r>
            <w:r>
              <w:rPr>
                <w:sz w:val="24"/>
              </w:rPr>
              <w:t>2000:XI,</w:t>
            </w:r>
            <w:r>
              <w:rPr>
                <w:spacing w:val="-2"/>
                <w:sz w:val="24"/>
              </w:rPr>
              <w:t xml:space="preserve"> </w:t>
            </w:r>
            <w:r>
              <w:rPr>
                <w:sz w:val="24"/>
              </w:rPr>
              <w:t>p.</w:t>
            </w:r>
            <w:r>
              <w:rPr>
                <w:spacing w:val="-1"/>
                <w:sz w:val="24"/>
              </w:rPr>
              <w:t xml:space="preserve"> </w:t>
            </w:r>
            <w:r>
              <w:rPr>
                <w:spacing w:val="-4"/>
                <w:sz w:val="24"/>
              </w:rPr>
              <w:t>5295</w:t>
            </w:r>
          </w:p>
        </w:tc>
      </w:tr>
      <w:tr w:rsidR="0010369C" w14:paraId="51DE76BC" w14:textId="77777777">
        <w:trPr>
          <w:trHeight w:val="878"/>
        </w:trPr>
        <w:tc>
          <w:tcPr>
            <w:tcW w:w="2255" w:type="dxa"/>
          </w:tcPr>
          <w:p w14:paraId="51DE76BA" w14:textId="77777777" w:rsidR="0010369C" w:rsidRDefault="008E43AE">
            <w:pPr>
              <w:pStyle w:val="TableParagraph"/>
              <w:ind w:left="107" w:right="519"/>
              <w:rPr>
                <w:i/>
                <w:sz w:val="24"/>
              </w:rPr>
            </w:pPr>
            <w:r>
              <w:rPr>
                <w:i/>
                <w:sz w:val="24"/>
              </w:rPr>
              <w:t>Korea</w:t>
            </w:r>
            <w:r>
              <w:rPr>
                <w:i/>
                <w:spacing w:val="-14"/>
                <w:sz w:val="24"/>
              </w:rPr>
              <w:t xml:space="preserve"> </w:t>
            </w:r>
            <w:r>
              <w:rPr>
                <w:i/>
                <w:sz w:val="24"/>
              </w:rPr>
              <w:t>–</w:t>
            </w:r>
            <w:r>
              <w:rPr>
                <w:i/>
                <w:spacing w:val="-14"/>
                <w:sz w:val="24"/>
              </w:rPr>
              <w:t xml:space="preserve"> </w:t>
            </w:r>
            <w:r>
              <w:rPr>
                <w:i/>
                <w:sz w:val="24"/>
              </w:rPr>
              <w:t xml:space="preserve">Certain </w:t>
            </w:r>
            <w:r>
              <w:rPr>
                <w:i/>
                <w:spacing w:val="-2"/>
                <w:sz w:val="24"/>
              </w:rPr>
              <w:t>Paper</w:t>
            </w:r>
          </w:p>
        </w:tc>
        <w:tc>
          <w:tcPr>
            <w:tcW w:w="6761" w:type="dxa"/>
          </w:tcPr>
          <w:p w14:paraId="51DE76BB" w14:textId="77777777" w:rsidR="0010369C" w:rsidRDefault="008E43AE">
            <w:pPr>
              <w:pStyle w:val="TableParagraph"/>
              <w:spacing w:line="290" w:lineRule="atLeast"/>
              <w:ind w:left="106" w:right="250"/>
              <w:jc w:val="both"/>
              <w:rPr>
                <w:sz w:val="24"/>
              </w:rPr>
            </w:pPr>
            <w:r>
              <w:rPr>
                <w:sz w:val="24"/>
              </w:rPr>
              <w:t xml:space="preserve">Panel Report, </w:t>
            </w:r>
            <w:r>
              <w:rPr>
                <w:i/>
                <w:sz w:val="24"/>
              </w:rPr>
              <w:t>Korea – Anti‐Dumping Duties on Imports of Certain Paper</w:t>
            </w:r>
            <w:r>
              <w:rPr>
                <w:i/>
                <w:spacing w:val="-6"/>
                <w:sz w:val="24"/>
              </w:rPr>
              <w:t xml:space="preserve"> </w:t>
            </w:r>
            <w:r>
              <w:rPr>
                <w:i/>
                <w:sz w:val="24"/>
              </w:rPr>
              <w:t>from</w:t>
            </w:r>
            <w:r>
              <w:rPr>
                <w:i/>
                <w:spacing w:val="-6"/>
                <w:sz w:val="24"/>
              </w:rPr>
              <w:t xml:space="preserve"> </w:t>
            </w:r>
            <w:r>
              <w:rPr>
                <w:i/>
                <w:sz w:val="24"/>
              </w:rPr>
              <w:t>Indonesia</w:t>
            </w:r>
            <w:r>
              <w:rPr>
                <w:sz w:val="24"/>
              </w:rPr>
              <w:t>,</w:t>
            </w:r>
            <w:r>
              <w:rPr>
                <w:spacing w:val="-6"/>
                <w:sz w:val="24"/>
              </w:rPr>
              <w:t xml:space="preserve"> </w:t>
            </w:r>
            <w:r>
              <w:rPr>
                <w:sz w:val="24"/>
              </w:rPr>
              <w:t>WT/DS312/R,</w:t>
            </w:r>
            <w:r>
              <w:rPr>
                <w:spacing w:val="-6"/>
                <w:sz w:val="24"/>
              </w:rPr>
              <w:t xml:space="preserve"> </w:t>
            </w:r>
            <w:r>
              <w:rPr>
                <w:sz w:val="24"/>
              </w:rPr>
              <w:t>adopted</w:t>
            </w:r>
            <w:r>
              <w:rPr>
                <w:spacing w:val="-6"/>
                <w:sz w:val="24"/>
              </w:rPr>
              <w:t xml:space="preserve"> </w:t>
            </w:r>
            <w:r>
              <w:rPr>
                <w:sz w:val="24"/>
              </w:rPr>
              <w:t>28</w:t>
            </w:r>
            <w:r>
              <w:rPr>
                <w:spacing w:val="-6"/>
                <w:sz w:val="24"/>
              </w:rPr>
              <w:t xml:space="preserve"> </w:t>
            </w:r>
            <w:r>
              <w:rPr>
                <w:sz w:val="24"/>
              </w:rPr>
              <w:t>November</w:t>
            </w:r>
            <w:r>
              <w:rPr>
                <w:spacing w:val="-6"/>
                <w:sz w:val="24"/>
              </w:rPr>
              <w:t xml:space="preserve"> </w:t>
            </w:r>
            <w:r>
              <w:rPr>
                <w:sz w:val="24"/>
              </w:rPr>
              <w:t>2005, DSR 2005:XXII, p. 10637</w:t>
            </w:r>
          </w:p>
        </w:tc>
      </w:tr>
      <w:tr w:rsidR="0010369C" w14:paraId="51DE76BF" w14:textId="77777777">
        <w:trPr>
          <w:trHeight w:val="1172"/>
        </w:trPr>
        <w:tc>
          <w:tcPr>
            <w:tcW w:w="2255" w:type="dxa"/>
          </w:tcPr>
          <w:p w14:paraId="51DE76BD" w14:textId="77777777" w:rsidR="0010369C" w:rsidRDefault="008E43AE">
            <w:pPr>
              <w:pStyle w:val="TableParagraph"/>
              <w:ind w:left="107" w:right="152"/>
              <w:rPr>
                <w:i/>
                <w:sz w:val="24"/>
              </w:rPr>
            </w:pPr>
            <w:r>
              <w:rPr>
                <w:i/>
                <w:sz w:val="24"/>
              </w:rPr>
              <w:t>Korea – Certain Paper</w:t>
            </w:r>
            <w:r>
              <w:rPr>
                <w:i/>
                <w:spacing w:val="-13"/>
                <w:sz w:val="24"/>
              </w:rPr>
              <w:t xml:space="preserve"> </w:t>
            </w:r>
            <w:r>
              <w:rPr>
                <w:i/>
                <w:sz w:val="24"/>
              </w:rPr>
              <w:t>(Article</w:t>
            </w:r>
            <w:r>
              <w:rPr>
                <w:i/>
                <w:spacing w:val="-13"/>
                <w:sz w:val="24"/>
              </w:rPr>
              <w:t xml:space="preserve"> </w:t>
            </w:r>
            <w:r>
              <w:rPr>
                <w:i/>
                <w:sz w:val="24"/>
              </w:rPr>
              <w:t>21.5</w:t>
            </w:r>
            <w:r>
              <w:rPr>
                <w:i/>
                <w:spacing w:val="-13"/>
                <w:sz w:val="24"/>
              </w:rPr>
              <w:t xml:space="preserve"> </w:t>
            </w:r>
            <w:r>
              <w:rPr>
                <w:i/>
                <w:sz w:val="24"/>
              </w:rPr>
              <w:t xml:space="preserve">‐ </w:t>
            </w:r>
            <w:r>
              <w:rPr>
                <w:i/>
                <w:spacing w:val="-2"/>
                <w:sz w:val="24"/>
              </w:rPr>
              <w:t>Indonesia)</w:t>
            </w:r>
          </w:p>
        </w:tc>
        <w:tc>
          <w:tcPr>
            <w:tcW w:w="6761" w:type="dxa"/>
          </w:tcPr>
          <w:p w14:paraId="51DE76BE" w14:textId="77777777" w:rsidR="0010369C" w:rsidRDefault="008E43AE">
            <w:pPr>
              <w:pStyle w:val="TableParagraph"/>
              <w:spacing w:line="290" w:lineRule="atLeast"/>
              <w:ind w:left="106" w:right="167"/>
              <w:rPr>
                <w:sz w:val="24"/>
              </w:rPr>
            </w:pPr>
            <w:r>
              <w:rPr>
                <w:sz w:val="24"/>
              </w:rPr>
              <w:t>Panel</w:t>
            </w:r>
            <w:r>
              <w:rPr>
                <w:spacing w:val="-5"/>
                <w:sz w:val="24"/>
              </w:rPr>
              <w:t xml:space="preserve"> </w:t>
            </w:r>
            <w:r>
              <w:rPr>
                <w:sz w:val="24"/>
              </w:rPr>
              <w:t>Report,</w:t>
            </w:r>
            <w:r>
              <w:rPr>
                <w:spacing w:val="-4"/>
                <w:sz w:val="24"/>
              </w:rPr>
              <w:t xml:space="preserve"> </w:t>
            </w:r>
            <w:r>
              <w:rPr>
                <w:i/>
                <w:sz w:val="24"/>
              </w:rPr>
              <w:t>Korea</w:t>
            </w:r>
            <w:r>
              <w:rPr>
                <w:i/>
                <w:spacing w:val="-6"/>
                <w:sz w:val="24"/>
              </w:rPr>
              <w:t xml:space="preserve"> </w:t>
            </w:r>
            <w:r>
              <w:rPr>
                <w:i/>
                <w:sz w:val="24"/>
              </w:rPr>
              <w:t>–</w:t>
            </w:r>
            <w:r>
              <w:rPr>
                <w:i/>
                <w:spacing w:val="-4"/>
                <w:sz w:val="24"/>
              </w:rPr>
              <w:t xml:space="preserve"> </w:t>
            </w:r>
            <w:r>
              <w:rPr>
                <w:i/>
                <w:sz w:val="24"/>
              </w:rPr>
              <w:t>Anti‐Dumping</w:t>
            </w:r>
            <w:r>
              <w:rPr>
                <w:i/>
                <w:spacing w:val="-5"/>
                <w:sz w:val="24"/>
              </w:rPr>
              <w:t xml:space="preserve"> </w:t>
            </w:r>
            <w:r>
              <w:rPr>
                <w:i/>
                <w:sz w:val="24"/>
              </w:rPr>
              <w:t>Duties</w:t>
            </w:r>
            <w:r>
              <w:rPr>
                <w:i/>
                <w:spacing w:val="-5"/>
                <w:sz w:val="24"/>
              </w:rPr>
              <w:t xml:space="preserve"> </w:t>
            </w:r>
            <w:r>
              <w:rPr>
                <w:i/>
                <w:sz w:val="24"/>
              </w:rPr>
              <w:t>on</w:t>
            </w:r>
            <w:r>
              <w:rPr>
                <w:i/>
                <w:spacing w:val="-4"/>
                <w:sz w:val="24"/>
              </w:rPr>
              <w:t xml:space="preserve"> </w:t>
            </w:r>
            <w:r>
              <w:rPr>
                <w:i/>
                <w:sz w:val="24"/>
              </w:rPr>
              <w:t>Imports</w:t>
            </w:r>
            <w:r>
              <w:rPr>
                <w:i/>
                <w:spacing w:val="-5"/>
                <w:sz w:val="24"/>
              </w:rPr>
              <w:t xml:space="preserve"> </w:t>
            </w:r>
            <w:r>
              <w:rPr>
                <w:i/>
                <w:sz w:val="24"/>
              </w:rPr>
              <w:t>of</w:t>
            </w:r>
            <w:r>
              <w:rPr>
                <w:i/>
                <w:spacing w:val="-5"/>
                <w:sz w:val="24"/>
              </w:rPr>
              <w:t xml:space="preserve"> </w:t>
            </w:r>
            <w:r>
              <w:rPr>
                <w:i/>
                <w:sz w:val="24"/>
              </w:rPr>
              <w:t>Certain</w:t>
            </w:r>
            <w:r>
              <w:rPr>
                <w:i/>
                <w:sz w:val="24"/>
              </w:rPr>
              <w:t xml:space="preserve"> Paper from Indonesia – Recourse to Article 21.5 of the DSU by Indonesia</w:t>
            </w:r>
            <w:r>
              <w:rPr>
                <w:sz w:val="24"/>
              </w:rPr>
              <w:t>, WT/DS312/RW, adopted 22 October 2007, DSR 2007:VIII, p. 3369</w:t>
            </w:r>
          </w:p>
        </w:tc>
      </w:tr>
      <w:tr w:rsidR="0010369C" w14:paraId="51DE76C3" w14:textId="77777777">
        <w:trPr>
          <w:trHeight w:val="878"/>
        </w:trPr>
        <w:tc>
          <w:tcPr>
            <w:tcW w:w="2255" w:type="dxa"/>
          </w:tcPr>
          <w:p w14:paraId="51DE76C0" w14:textId="77777777" w:rsidR="0010369C" w:rsidRDefault="008E43AE">
            <w:pPr>
              <w:pStyle w:val="TableParagraph"/>
              <w:ind w:left="107"/>
              <w:rPr>
                <w:i/>
                <w:sz w:val="24"/>
              </w:rPr>
            </w:pPr>
            <w:r>
              <w:rPr>
                <w:i/>
                <w:sz w:val="24"/>
              </w:rPr>
              <w:t>Korea</w:t>
            </w:r>
            <w:r>
              <w:rPr>
                <w:i/>
                <w:spacing w:val="-14"/>
                <w:sz w:val="24"/>
              </w:rPr>
              <w:t xml:space="preserve"> </w:t>
            </w:r>
            <w:r>
              <w:rPr>
                <w:i/>
                <w:sz w:val="24"/>
              </w:rPr>
              <w:t>–</w:t>
            </w:r>
            <w:r>
              <w:rPr>
                <w:i/>
                <w:spacing w:val="-14"/>
                <w:sz w:val="24"/>
              </w:rPr>
              <w:t xml:space="preserve"> </w:t>
            </w:r>
            <w:r>
              <w:rPr>
                <w:i/>
                <w:sz w:val="24"/>
              </w:rPr>
              <w:t xml:space="preserve">Pneumatic </w:t>
            </w:r>
            <w:r>
              <w:rPr>
                <w:i/>
                <w:spacing w:val="-2"/>
                <w:sz w:val="24"/>
              </w:rPr>
              <w:t>Valves</w:t>
            </w:r>
          </w:p>
        </w:tc>
        <w:tc>
          <w:tcPr>
            <w:tcW w:w="6761" w:type="dxa"/>
          </w:tcPr>
          <w:p w14:paraId="51DE76C1" w14:textId="77777777" w:rsidR="0010369C" w:rsidRDefault="008E43AE">
            <w:pPr>
              <w:pStyle w:val="TableParagraph"/>
              <w:ind w:left="106"/>
              <w:rPr>
                <w:sz w:val="24"/>
              </w:rPr>
            </w:pPr>
            <w:r>
              <w:rPr>
                <w:sz w:val="24"/>
              </w:rPr>
              <w:t>Appellate</w:t>
            </w:r>
            <w:r>
              <w:rPr>
                <w:spacing w:val="-5"/>
                <w:sz w:val="24"/>
              </w:rPr>
              <w:t xml:space="preserve"> </w:t>
            </w:r>
            <w:r>
              <w:rPr>
                <w:sz w:val="24"/>
              </w:rPr>
              <w:t>Body</w:t>
            </w:r>
            <w:r>
              <w:rPr>
                <w:spacing w:val="-5"/>
                <w:sz w:val="24"/>
              </w:rPr>
              <w:t xml:space="preserve"> </w:t>
            </w:r>
            <w:r>
              <w:rPr>
                <w:sz w:val="24"/>
              </w:rPr>
              <w:t>Report,</w:t>
            </w:r>
            <w:r>
              <w:rPr>
                <w:spacing w:val="-6"/>
                <w:sz w:val="24"/>
              </w:rPr>
              <w:t xml:space="preserve"> </w:t>
            </w:r>
            <w:r>
              <w:rPr>
                <w:i/>
                <w:sz w:val="24"/>
              </w:rPr>
              <w:t>Korea</w:t>
            </w:r>
            <w:r>
              <w:rPr>
                <w:i/>
                <w:spacing w:val="-6"/>
                <w:sz w:val="24"/>
              </w:rPr>
              <w:t xml:space="preserve"> </w:t>
            </w:r>
            <w:r>
              <w:rPr>
                <w:i/>
                <w:sz w:val="24"/>
              </w:rPr>
              <w:t>–</w:t>
            </w:r>
            <w:r>
              <w:rPr>
                <w:i/>
                <w:spacing w:val="-5"/>
                <w:sz w:val="24"/>
              </w:rPr>
              <w:t xml:space="preserve"> </w:t>
            </w:r>
            <w:r>
              <w:rPr>
                <w:i/>
                <w:sz w:val="24"/>
              </w:rPr>
              <w:t>Anti‐Dumping</w:t>
            </w:r>
            <w:r>
              <w:rPr>
                <w:i/>
                <w:spacing w:val="-5"/>
                <w:sz w:val="24"/>
              </w:rPr>
              <w:t xml:space="preserve"> </w:t>
            </w:r>
            <w:r>
              <w:rPr>
                <w:i/>
                <w:sz w:val="24"/>
              </w:rPr>
              <w:t>Duties</w:t>
            </w:r>
            <w:r>
              <w:rPr>
                <w:i/>
                <w:spacing w:val="-6"/>
                <w:sz w:val="24"/>
              </w:rPr>
              <w:t xml:space="preserve"> </w:t>
            </w:r>
            <w:r>
              <w:rPr>
                <w:i/>
                <w:sz w:val="24"/>
              </w:rPr>
              <w:t>on</w:t>
            </w:r>
            <w:r>
              <w:rPr>
                <w:i/>
                <w:spacing w:val="-5"/>
                <w:sz w:val="24"/>
              </w:rPr>
              <w:t xml:space="preserve"> </w:t>
            </w:r>
            <w:r>
              <w:rPr>
                <w:i/>
                <w:sz w:val="24"/>
              </w:rPr>
              <w:t xml:space="preserve">Pneumatic Valves from Japan, </w:t>
            </w:r>
            <w:r>
              <w:rPr>
                <w:sz w:val="24"/>
              </w:rPr>
              <w:t>WT/DS504/AB/</w:t>
            </w:r>
            <w:r>
              <w:rPr>
                <w:sz w:val="24"/>
              </w:rPr>
              <w:t>R and Add.1, adopted 30</w:t>
            </w:r>
          </w:p>
          <w:p w14:paraId="51DE76C2" w14:textId="77777777" w:rsidR="0010369C" w:rsidRDefault="008E43AE">
            <w:pPr>
              <w:pStyle w:val="TableParagraph"/>
              <w:spacing w:line="273" w:lineRule="exact"/>
              <w:ind w:left="106"/>
              <w:rPr>
                <w:sz w:val="24"/>
              </w:rPr>
            </w:pPr>
            <w:r>
              <w:rPr>
                <w:sz w:val="24"/>
              </w:rPr>
              <w:t>September</w:t>
            </w:r>
            <w:r>
              <w:rPr>
                <w:spacing w:val="-3"/>
                <w:sz w:val="24"/>
              </w:rPr>
              <w:t xml:space="preserve"> </w:t>
            </w:r>
            <w:r>
              <w:rPr>
                <w:sz w:val="24"/>
              </w:rPr>
              <w:t>2019,</w:t>
            </w:r>
            <w:r>
              <w:rPr>
                <w:spacing w:val="-1"/>
                <w:sz w:val="24"/>
              </w:rPr>
              <w:t xml:space="preserve"> </w:t>
            </w:r>
            <w:r>
              <w:rPr>
                <w:sz w:val="24"/>
              </w:rPr>
              <w:t>DSR</w:t>
            </w:r>
            <w:r>
              <w:rPr>
                <w:spacing w:val="-2"/>
                <w:sz w:val="24"/>
              </w:rPr>
              <w:t xml:space="preserve"> </w:t>
            </w:r>
            <w:r>
              <w:rPr>
                <w:sz w:val="24"/>
              </w:rPr>
              <w:t>2019:XI,</w:t>
            </w:r>
            <w:r>
              <w:rPr>
                <w:spacing w:val="-2"/>
                <w:sz w:val="24"/>
              </w:rPr>
              <w:t xml:space="preserve"> </w:t>
            </w:r>
            <w:r>
              <w:rPr>
                <w:sz w:val="24"/>
              </w:rPr>
              <w:t>p.</w:t>
            </w:r>
            <w:r>
              <w:rPr>
                <w:spacing w:val="-1"/>
                <w:sz w:val="24"/>
              </w:rPr>
              <w:t xml:space="preserve"> </w:t>
            </w:r>
            <w:r>
              <w:rPr>
                <w:spacing w:val="-4"/>
                <w:sz w:val="24"/>
              </w:rPr>
              <w:t>5637</w:t>
            </w:r>
          </w:p>
        </w:tc>
      </w:tr>
      <w:tr w:rsidR="0010369C" w14:paraId="51DE76C7" w14:textId="77777777">
        <w:trPr>
          <w:trHeight w:val="878"/>
        </w:trPr>
        <w:tc>
          <w:tcPr>
            <w:tcW w:w="2255" w:type="dxa"/>
          </w:tcPr>
          <w:p w14:paraId="51DE76C4" w14:textId="77777777" w:rsidR="0010369C" w:rsidRDefault="008E43AE">
            <w:pPr>
              <w:pStyle w:val="TableParagraph"/>
              <w:ind w:left="107"/>
              <w:rPr>
                <w:i/>
                <w:sz w:val="24"/>
              </w:rPr>
            </w:pPr>
            <w:r>
              <w:rPr>
                <w:i/>
                <w:sz w:val="24"/>
              </w:rPr>
              <w:t>Korea</w:t>
            </w:r>
            <w:r>
              <w:rPr>
                <w:i/>
                <w:spacing w:val="-14"/>
                <w:sz w:val="24"/>
              </w:rPr>
              <w:t xml:space="preserve"> </w:t>
            </w:r>
            <w:r>
              <w:rPr>
                <w:i/>
                <w:sz w:val="24"/>
              </w:rPr>
              <w:t>–</w:t>
            </w:r>
            <w:r>
              <w:rPr>
                <w:i/>
                <w:spacing w:val="-14"/>
                <w:sz w:val="24"/>
              </w:rPr>
              <w:t xml:space="preserve"> </w:t>
            </w:r>
            <w:r>
              <w:rPr>
                <w:i/>
                <w:sz w:val="24"/>
              </w:rPr>
              <w:t xml:space="preserve">Pneumatic </w:t>
            </w:r>
            <w:r>
              <w:rPr>
                <w:i/>
                <w:spacing w:val="-2"/>
                <w:sz w:val="24"/>
              </w:rPr>
              <w:t>Valves</w:t>
            </w:r>
          </w:p>
        </w:tc>
        <w:tc>
          <w:tcPr>
            <w:tcW w:w="6761" w:type="dxa"/>
          </w:tcPr>
          <w:p w14:paraId="51DE76C5" w14:textId="77777777" w:rsidR="0010369C" w:rsidRDefault="008E43AE">
            <w:pPr>
              <w:pStyle w:val="TableParagraph"/>
              <w:ind w:left="106"/>
              <w:rPr>
                <w:sz w:val="24"/>
              </w:rPr>
            </w:pPr>
            <w:r>
              <w:rPr>
                <w:sz w:val="24"/>
              </w:rPr>
              <w:t xml:space="preserve">Panel Report, </w:t>
            </w:r>
            <w:r>
              <w:rPr>
                <w:i/>
                <w:sz w:val="24"/>
              </w:rPr>
              <w:t>Korea ‐ Anti‐Dumping Duties on Pneumatic Valves from</w:t>
            </w:r>
            <w:r>
              <w:rPr>
                <w:i/>
                <w:spacing w:val="-5"/>
                <w:sz w:val="24"/>
              </w:rPr>
              <w:t xml:space="preserve"> </w:t>
            </w:r>
            <w:r>
              <w:rPr>
                <w:i/>
                <w:sz w:val="24"/>
              </w:rPr>
              <w:t>Japan</w:t>
            </w:r>
            <w:r>
              <w:rPr>
                <w:sz w:val="24"/>
              </w:rPr>
              <w:t>,</w:t>
            </w:r>
            <w:r>
              <w:rPr>
                <w:spacing w:val="-6"/>
                <w:sz w:val="24"/>
              </w:rPr>
              <w:t xml:space="preserve"> </w:t>
            </w:r>
            <w:r>
              <w:rPr>
                <w:sz w:val="24"/>
              </w:rPr>
              <w:t>WT/DS504/R,</w:t>
            </w:r>
            <w:r>
              <w:rPr>
                <w:spacing w:val="-6"/>
                <w:sz w:val="24"/>
              </w:rPr>
              <w:t xml:space="preserve"> </w:t>
            </w:r>
            <w:r>
              <w:rPr>
                <w:sz w:val="24"/>
              </w:rPr>
              <w:t>as</w:t>
            </w:r>
            <w:r>
              <w:rPr>
                <w:spacing w:val="-5"/>
                <w:sz w:val="24"/>
              </w:rPr>
              <w:t xml:space="preserve"> </w:t>
            </w:r>
            <w:r>
              <w:rPr>
                <w:sz w:val="24"/>
              </w:rPr>
              <w:t>modified</w:t>
            </w:r>
            <w:r>
              <w:rPr>
                <w:spacing w:val="-5"/>
                <w:sz w:val="24"/>
              </w:rPr>
              <w:t xml:space="preserve"> </w:t>
            </w:r>
            <w:r>
              <w:rPr>
                <w:sz w:val="24"/>
              </w:rPr>
              <w:t>by</w:t>
            </w:r>
            <w:r>
              <w:rPr>
                <w:spacing w:val="-4"/>
                <w:sz w:val="24"/>
              </w:rPr>
              <w:t xml:space="preserve"> </w:t>
            </w:r>
            <w:r>
              <w:rPr>
                <w:sz w:val="24"/>
              </w:rPr>
              <w:t>Appellate</w:t>
            </w:r>
            <w:r>
              <w:rPr>
                <w:spacing w:val="-5"/>
                <w:sz w:val="24"/>
              </w:rPr>
              <w:t xml:space="preserve"> </w:t>
            </w:r>
            <w:r>
              <w:rPr>
                <w:sz w:val="24"/>
              </w:rPr>
              <w:t>Body</w:t>
            </w:r>
            <w:r>
              <w:rPr>
                <w:spacing w:val="-4"/>
                <w:sz w:val="24"/>
              </w:rPr>
              <w:t xml:space="preserve"> </w:t>
            </w:r>
            <w:r>
              <w:rPr>
                <w:sz w:val="24"/>
              </w:rPr>
              <w:t>Report</w:t>
            </w:r>
          </w:p>
          <w:p w14:paraId="51DE76C6" w14:textId="77777777" w:rsidR="0010369C" w:rsidRDefault="008E43AE">
            <w:pPr>
              <w:pStyle w:val="TableParagraph"/>
              <w:spacing w:line="273" w:lineRule="exact"/>
              <w:ind w:left="106"/>
              <w:rPr>
                <w:sz w:val="24"/>
              </w:rPr>
            </w:pPr>
            <w:r>
              <w:rPr>
                <w:sz w:val="24"/>
              </w:rPr>
              <w:t>WT/DS504/AB/R,</w:t>
            </w:r>
            <w:r>
              <w:rPr>
                <w:spacing w:val="-3"/>
                <w:sz w:val="24"/>
              </w:rPr>
              <w:t xml:space="preserve"> </w:t>
            </w:r>
            <w:r>
              <w:rPr>
                <w:sz w:val="24"/>
              </w:rPr>
              <w:t>adopted</w:t>
            </w:r>
            <w:r>
              <w:rPr>
                <w:spacing w:val="-1"/>
                <w:sz w:val="24"/>
              </w:rPr>
              <w:t xml:space="preserve"> </w:t>
            </w:r>
            <w:r>
              <w:rPr>
                <w:sz w:val="24"/>
              </w:rPr>
              <w:t>30</w:t>
            </w:r>
            <w:r>
              <w:rPr>
                <w:spacing w:val="-2"/>
                <w:sz w:val="24"/>
              </w:rPr>
              <w:t xml:space="preserve"> </w:t>
            </w:r>
            <w:r>
              <w:rPr>
                <w:sz w:val="24"/>
              </w:rPr>
              <w:t>September</w:t>
            </w:r>
            <w:r>
              <w:rPr>
                <w:spacing w:val="1"/>
                <w:sz w:val="24"/>
              </w:rPr>
              <w:t xml:space="preserve"> </w:t>
            </w:r>
            <w:r>
              <w:rPr>
                <w:spacing w:val="-4"/>
                <w:sz w:val="24"/>
              </w:rPr>
              <w:t>2019</w:t>
            </w:r>
          </w:p>
        </w:tc>
      </w:tr>
      <w:tr w:rsidR="0010369C" w14:paraId="51DE76CB" w14:textId="77777777">
        <w:trPr>
          <w:trHeight w:val="878"/>
        </w:trPr>
        <w:tc>
          <w:tcPr>
            <w:tcW w:w="2255" w:type="dxa"/>
          </w:tcPr>
          <w:p w14:paraId="51DE76C8" w14:textId="77777777" w:rsidR="0010369C" w:rsidRDefault="008E43AE">
            <w:pPr>
              <w:pStyle w:val="TableParagraph"/>
              <w:ind w:left="107" w:right="152"/>
              <w:rPr>
                <w:i/>
                <w:sz w:val="24"/>
              </w:rPr>
            </w:pPr>
            <w:r>
              <w:rPr>
                <w:i/>
                <w:sz w:val="24"/>
              </w:rPr>
              <w:t>Korea</w:t>
            </w:r>
            <w:r>
              <w:rPr>
                <w:i/>
                <w:spacing w:val="-14"/>
                <w:sz w:val="24"/>
              </w:rPr>
              <w:t xml:space="preserve"> </w:t>
            </w:r>
            <w:r>
              <w:rPr>
                <w:i/>
                <w:sz w:val="24"/>
              </w:rPr>
              <w:t>–</w:t>
            </w:r>
            <w:r>
              <w:rPr>
                <w:i/>
                <w:spacing w:val="-14"/>
                <w:sz w:val="24"/>
              </w:rPr>
              <w:t xml:space="preserve"> </w:t>
            </w:r>
            <w:r>
              <w:rPr>
                <w:i/>
                <w:sz w:val="24"/>
              </w:rPr>
              <w:t>Stainless Steel Bars</w:t>
            </w:r>
          </w:p>
        </w:tc>
        <w:tc>
          <w:tcPr>
            <w:tcW w:w="6761" w:type="dxa"/>
          </w:tcPr>
          <w:p w14:paraId="51DE76C9" w14:textId="77777777" w:rsidR="0010369C" w:rsidRDefault="008E43AE">
            <w:pPr>
              <w:pStyle w:val="TableParagraph"/>
              <w:spacing w:line="292" w:lineRule="exact"/>
              <w:ind w:left="106"/>
              <w:rPr>
                <w:i/>
                <w:sz w:val="24"/>
              </w:rPr>
            </w:pPr>
            <w:r>
              <w:rPr>
                <w:sz w:val="24"/>
              </w:rPr>
              <w:t>Panel</w:t>
            </w:r>
            <w:r>
              <w:rPr>
                <w:spacing w:val="-2"/>
                <w:sz w:val="24"/>
              </w:rPr>
              <w:t xml:space="preserve"> </w:t>
            </w:r>
            <w:r>
              <w:rPr>
                <w:sz w:val="24"/>
              </w:rPr>
              <w:t>Report,</w:t>
            </w:r>
            <w:r>
              <w:rPr>
                <w:spacing w:val="-1"/>
                <w:sz w:val="24"/>
              </w:rPr>
              <w:t xml:space="preserve"> </w:t>
            </w:r>
            <w:r>
              <w:rPr>
                <w:i/>
                <w:sz w:val="24"/>
              </w:rPr>
              <w:t>Korea</w:t>
            </w:r>
            <w:r>
              <w:rPr>
                <w:i/>
                <w:spacing w:val="-3"/>
                <w:sz w:val="24"/>
              </w:rPr>
              <w:t xml:space="preserve"> </w:t>
            </w:r>
            <w:r>
              <w:rPr>
                <w:i/>
                <w:sz w:val="24"/>
              </w:rPr>
              <w:t>–</w:t>
            </w:r>
            <w:r>
              <w:rPr>
                <w:i/>
                <w:spacing w:val="-1"/>
                <w:sz w:val="24"/>
              </w:rPr>
              <w:t xml:space="preserve"> </w:t>
            </w:r>
            <w:r>
              <w:rPr>
                <w:i/>
                <w:sz w:val="24"/>
              </w:rPr>
              <w:t>Sunset</w:t>
            </w:r>
            <w:r>
              <w:rPr>
                <w:i/>
                <w:spacing w:val="-2"/>
                <w:sz w:val="24"/>
              </w:rPr>
              <w:t xml:space="preserve"> </w:t>
            </w:r>
            <w:r>
              <w:rPr>
                <w:i/>
                <w:sz w:val="24"/>
              </w:rPr>
              <w:t>Review</w:t>
            </w:r>
            <w:r>
              <w:rPr>
                <w:i/>
                <w:spacing w:val="-3"/>
                <w:sz w:val="24"/>
              </w:rPr>
              <w:t xml:space="preserve"> </w:t>
            </w:r>
            <w:r>
              <w:rPr>
                <w:i/>
                <w:sz w:val="24"/>
              </w:rPr>
              <w:t>of</w:t>
            </w:r>
            <w:r>
              <w:rPr>
                <w:i/>
                <w:spacing w:val="-2"/>
                <w:sz w:val="24"/>
              </w:rPr>
              <w:t xml:space="preserve"> </w:t>
            </w:r>
            <w:r>
              <w:rPr>
                <w:i/>
                <w:sz w:val="24"/>
              </w:rPr>
              <w:t>Anti‐Dumping</w:t>
            </w:r>
            <w:r>
              <w:rPr>
                <w:i/>
                <w:spacing w:val="-1"/>
                <w:sz w:val="24"/>
              </w:rPr>
              <w:t xml:space="preserve"> </w:t>
            </w:r>
            <w:r>
              <w:rPr>
                <w:i/>
                <w:sz w:val="24"/>
              </w:rPr>
              <w:t>Duties</w:t>
            </w:r>
            <w:r>
              <w:rPr>
                <w:i/>
                <w:spacing w:val="-2"/>
                <w:sz w:val="24"/>
              </w:rPr>
              <w:t xml:space="preserve"> </w:t>
            </w:r>
            <w:r>
              <w:rPr>
                <w:i/>
                <w:spacing w:val="-5"/>
                <w:sz w:val="24"/>
              </w:rPr>
              <w:t>on</w:t>
            </w:r>
          </w:p>
          <w:p w14:paraId="51DE76CA" w14:textId="77777777" w:rsidR="0010369C" w:rsidRDefault="008E43AE">
            <w:pPr>
              <w:pStyle w:val="TableParagraph"/>
              <w:spacing w:line="290" w:lineRule="atLeast"/>
              <w:ind w:left="106"/>
              <w:rPr>
                <w:sz w:val="24"/>
              </w:rPr>
            </w:pPr>
            <w:r>
              <w:rPr>
                <w:i/>
                <w:sz w:val="24"/>
              </w:rPr>
              <w:t>Stainless</w:t>
            </w:r>
            <w:r>
              <w:rPr>
                <w:i/>
                <w:spacing w:val="-4"/>
                <w:sz w:val="24"/>
              </w:rPr>
              <w:t xml:space="preserve"> </w:t>
            </w:r>
            <w:r>
              <w:rPr>
                <w:i/>
                <w:sz w:val="24"/>
              </w:rPr>
              <w:t>Steel</w:t>
            </w:r>
            <w:r>
              <w:rPr>
                <w:i/>
                <w:spacing w:val="-5"/>
                <w:sz w:val="24"/>
              </w:rPr>
              <w:t xml:space="preserve"> </w:t>
            </w:r>
            <w:r>
              <w:rPr>
                <w:i/>
                <w:sz w:val="24"/>
              </w:rPr>
              <w:t>Bars</w:t>
            </w:r>
            <w:r>
              <w:rPr>
                <w:sz w:val="24"/>
              </w:rPr>
              <w:t>,</w:t>
            </w:r>
            <w:r>
              <w:rPr>
                <w:spacing w:val="-5"/>
                <w:sz w:val="24"/>
              </w:rPr>
              <w:t xml:space="preserve"> </w:t>
            </w:r>
            <w:r>
              <w:rPr>
                <w:sz w:val="24"/>
              </w:rPr>
              <w:t>WT/DS553/R</w:t>
            </w:r>
            <w:r>
              <w:rPr>
                <w:spacing w:val="-5"/>
                <w:sz w:val="24"/>
              </w:rPr>
              <w:t xml:space="preserve"> </w:t>
            </w:r>
            <w:r>
              <w:rPr>
                <w:sz w:val="24"/>
              </w:rPr>
              <w:t>and</w:t>
            </w:r>
            <w:r>
              <w:rPr>
                <w:spacing w:val="-5"/>
                <w:sz w:val="24"/>
              </w:rPr>
              <w:t xml:space="preserve"> </w:t>
            </w:r>
            <w:r>
              <w:rPr>
                <w:sz w:val="24"/>
              </w:rPr>
              <w:t>Add.1,</w:t>
            </w:r>
            <w:r>
              <w:rPr>
                <w:spacing w:val="-5"/>
                <w:sz w:val="24"/>
              </w:rPr>
              <w:t xml:space="preserve"> </w:t>
            </w:r>
            <w:r>
              <w:rPr>
                <w:sz w:val="24"/>
              </w:rPr>
              <w:t>circulated</w:t>
            </w:r>
            <w:r>
              <w:rPr>
                <w:spacing w:val="-6"/>
                <w:sz w:val="24"/>
              </w:rPr>
              <w:t xml:space="preserve"> </w:t>
            </w:r>
            <w:r>
              <w:rPr>
                <w:sz w:val="24"/>
              </w:rPr>
              <w:t>to</w:t>
            </w:r>
            <w:r>
              <w:rPr>
                <w:spacing w:val="-4"/>
                <w:sz w:val="24"/>
              </w:rPr>
              <w:t xml:space="preserve"> </w:t>
            </w:r>
            <w:r>
              <w:rPr>
                <w:sz w:val="24"/>
              </w:rPr>
              <w:t>WTO Members 30 November 2020 [appealed; adoption pending]</w:t>
            </w:r>
          </w:p>
        </w:tc>
      </w:tr>
      <w:tr w:rsidR="0010369C" w14:paraId="51DE76CF" w14:textId="77777777">
        <w:trPr>
          <w:trHeight w:val="1171"/>
        </w:trPr>
        <w:tc>
          <w:tcPr>
            <w:tcW w:w="2255" w:type="dxa"/>
          </w:tcPr>
          <w:p w14:paraId="51DE76CC" w14:textId="77777777" w:rsidR="0010369C" w:rsidRDefault="008E43AE">
            <w:pPr>
              <w:pStyle w:val="TableParagraph"/>
              <w:ind w:left="107" w:right="231"/>
              <w:rPr>
                <w:i/>
                <w:sz w:val="24"/>
              </w:rPr>
            </w:pPr>
            <w:r>
              <w:rPr>
                <w:i/>
                <w:sz w:val="24"/>
              </w:rPr>
              <w:t>Mexico – Anti‐ Dumping</w:t>
            </w:r>
            <w:r>
              <w:rPr>
                <w:i/>
                <w:spacing w:val="-14"/>
                <w:sz w:val="24"/>
              </w:rPr>
              <w:t xml:space="preserve"> </w:t>
            </w:r>
            <w:r>
              <w:rPr>
                <w:i/>
                <w:sz w:val="24"/>
              </w:rPr>
              <w:t>Measures on Rice</w:t>
            </w:r>
          </w:p>
        </w:tc>
        <w:tc>
          <w:tcPr>
            <w:tcW w:w="6761" w:type="dxa"/>
          </w:tcPr>
          <w:p w14:paraId="51DE76CD" w14:textId="77777777" w:rsidR="0010369C" w:rsidRDefault="008E43AE">
            <w:pPr>
              <w:pStyle w:val="TableParagraph"/>
              <w:ind w:left="106" w:right="167"/>
              <w:rPr>
                <w:sz w:val="24"/>
              </w:rPr>
            </w:pPr>
            <w:r>
              <w:rPr>
                <w:sz w:val="24"/>
              </w:rPr>
              <w:t xml:space="preserve">Appellate Body Report, </w:t>
            </w:r>
            <w:r>
              <w:rPr>
                <w:i/>
                <w:sz w:val="24"/>
              </w:rPr>
              <w:t>Mexico – Definitive Anti‐Dumping</w:t>
            </w:r>
            <w:r>
              <w:rPr>
                <w:i/>
                <w:sz w:val="24"/>
              </w:rPr>
              <w:t xml:space="preserve"> Measures on Beef and Rice, Complaint with Respect to Rice</w:t>
            </w:r>
            <w:r>
              <w:rPr>
                <w:sz w:val="24"/>
              </w:rPr>
              <w:t>,</w:t>
            </w:r>
          </w:p>
          <w:p w14:paraId="51DE76CE" w14:textId="77777777" w:rsidR="0010369C" w:rsidRDefault="008E43AE">
            <w:pPr>
              <w:pStyle w:val="TableParagraph"/>
              <w:spacing w:line="290" w:lineRule="atLeast"/>
              <w:ind w:left="106"/>
              <w:rPr>
                <w:sz w:val="24"/>
              </w:rPr>
            </w:pPr>
            <w:r>
              <w:rPr>
                <w:sz w:val="24"/>
              </w:rPr>
              <w:t>WT/DS295/AB/R,</w:t>
            </w:r>
            <w:r>
              <w:rPr>
                <w:spacing w:val="-7"/>
                <w:sz w:val="24"/>
              </w:rPr>
              <w:t xml:space="preserve"> </w:t>
            </w:r>
            <w:r>
              <w:rPr>
                <w:sz w:val="24"/>
              </w:rPr>
              <w:t>adopted</w:t>
            </w:r>
            <w:r>
              <w:rPr>
                <w:spacing w:val="-6"/>
                <w:sz w:val="24"/>
              </w:rPr>
              <w:t xml:space="preserve"> </w:t>
            </w:r>
            <w:r>
              <w:rPr>
                <w:sz w:val="24"/>
              </w:rPr>
              <w:t>20</w:t>
            </w:r>
            <w:r>
              <w:rPr>
                <w:spacing w:val="-6"/>
                <w:sz w:val="24"/>
              </w:rPr>
              <w:t xml:space="preserve"> </w:t>
            </w:r>
            <w:r>
              <w:rPr>
                <w:sz w:val="24"/>
              </w:rPr>
              <w:t>December</w:t>
            </w:r>
            <w:r>
              <w:rPr>
                <w:spacing w:val="-5"/>
                <w:sz w:val="24"/>
              </w:rPr>
              <w:t xml:space="preserve"> </w:t>
            </w:r>
            <w:r>
              <w:rPr>
                <w:sz w:val="24"/>
              </w:rPr>
              <w:t>2005,</w:t>
            </w:r>
            <w:r>
              <w:rPr>
                <w:spacing w:val="-5"/>
                <w:sz w:val="24"/>
              </w:rPr>
              <w:t xml:space="preserve"> </w:t>
            </w:r>
            <w:r>
              <w:rPr>
                <w:sz w:val="24"/>
              </w:rPr>
              <w:t>DSR</w:t>
            </w:r>
            <w:r>
              <w:rPr>
                <w:spacing w:val="-5"/>
                <w:sz w:val="24"/>
              </w:rPr>
              <w:t xml:space="preserve"> </w:t>
            </w:r>
            <w:r>
              <w:rPr>
                <w:sz w:val="24"/>
              </w:rPr>
              <w:t>2005:XXII,</w:t>
            </w:r>
            <w:r>
              <w:rPr>
                <w:spacing w:val="-6"/>
                <w:sz w:val="24"/>
              </w:rPr>
              <w:t xml:space="preserve"> </w:t>
            </w:r>
            <w:r>
              <w:rPr>
                <w:sz w:val="24"/>
              </w:rPr>
              <w:t xml:space="preserve">p. </w:t>
            </w:r>
            <w:r>
              <w:rPr>
                <w:spacing w:val="-2"/>
                <w:sz w:val="24"/>
              </w:rPr>
              <w:t>10853</w:t>
            </w:r>
          </w:p>
        </w:tc>
      </w:tr>
      <w:tr w:rsidR="0010369C" w14:paraId="51DE76D2" w14:textId="77777777">
        <w:trPr>
          <w:trHeight w:val="1171"/>
        </w:trPr>
        <w:tc>
          <w:tcPr>
            <w:tcW w:w="2255" w:type="dxa"/>
          </w:tcPr>
          <w:p w14:paraId="51DE76D0" w14:textId="77777777" w:rsidR="0010369C" w:rsidRDefault="008E43AE">
            <w:pPr>
              <w:pStyle w:val="TableParagraph"/>
              <w:ind w:left="107" w:right="231"/>
              <w:rPr>
                <w:i/>
                <w:sz w:val="24"/>
              </w:rPr>
            </w:pPr>
            <w:r>
              <w:rPr>
                <w:i/>
                <w:sz w:val="24"/>
              </w:rPr>
              <w:t>Mexico – Anti‐ Dumping</w:t>
            </w:r>
            <w:r>
              <w:rPr>
                <w:i/>
                <w:spacing w:val="-14"/>
                <w:sz w:val="24"/>
              </w:rPr>
              <w:t xml:space="preserve"> </w:t>
            </w:r>
            <w:r>
              <w:rPr>
                <w:i/>
                <w:sz w:val="24"/>
              </w:rPr>
              <w:t>Measures on Rice</w:t>
            </w:r>
          </w:p>
        </w:tc>
        <w:tc>
          <w:tcPr>
            <w:tcW w:w="6761" w:type="dxa"/>
          </w:tcPr>
          <w:p w14:paraId="51DE76D1" w14:textId="77777777" w:rsidR="0010369C" w:rsidRDefault="008E43AE">
            <w:pPr>
              <w:pStyle w:val="TableParagraph"/>
              <w:spacing w:line="290" w:lineRule="atLeast"/>
              <w:ind w:left="106" w:right="167"/>
              <w:rPr>
                <w:sz w:val="24"/>
              </w:rPr>
            </w:pPr>
            <w:r>
              <w:rPr>
                <w:sz w:val="24"/>
              </w:rPr>
              <w:t>Panel</w:t>
            </w:r>
            <w:r>
              <w:rPr>
                <w:spacing w:val="-6"/>
                <w:sz w:val="24"/>
              </w:rPr>
              <w:t xml:space="preserve"> </w:t>
            </w:r>
            <w:r>
              <w:rPr>
                <w:sz w:val="24"/>
              </w:rPr>
              <w:t>Report,</w:t>
            </w:r>
            <w:r>
              <w:rPr>
                <w:spacing w:val="-5"/>
                <w:sz w:val="24"/>
              </w:rPr>
              <w:t xml:space="preserve"> </w:t>
            </w:r>
            <w:r>
              <w:rPr>
                <w:i/>
                <w:sz w:val="24"/>
              </w:rPr>
              <w:t>Mexico</w:t>
            </w:r>
            <w:r>
              <w:rPr>
                <w:i/>
                <w:spacing w:val="-5"/>
                <w:sz w:val="24"/>
              </w:rPr>
              <w:t xml:space="preserve"> </w:t>
            </w:r>
            <w:r>
              <w:rPr>
                <w:i/>
                <w:sz w:val="24"/>
              </w:rPr>
              <w:t>–</w:t>
            </w:r>
            <w:r>
              <w:rPr>
                <w:i/>
                <w:spacing w:val="-6"/>
                <w:sz w:val="24"/>
              </w:rPr>
              <w:t xml:space="preserve"> </w:t>
            </w:r>
            <w:r>
              <w:rPr>
                <w:i/>
                <w:sz w:val="24"/>
              </w:rPr>
              <w:t>Definitive</w:t>
            </w:r>
            <w:r>
              <w:rPr>
                <w:i/>
                <w:spacing w:val="-4"/>
                <w:sz w:val="24"/>
              </w:rPr>
              <w:t xml:space="preserve"> </w:t>
            </w:r>
            <w:r>
              <w:rPr>
                <w:i/>
                <w:sz w:val="24"/>
              </w:rPr>
              <w:t>Anti‐Dumping</w:t>
            </w:r>
            <w:r>
              <w:rPr>
                <w:i/>
                <w:spacing w:val="-6"/>
                <w:sz w:val="24"/>
              </w:rPr>
              <w:t xml:space="preserve"> </w:t>
            </w:r>
            <w:r>
              <w:rPr>
                <w:i/>
                <w:sz w:val="24"/>
              </w:rPr>
              <w:t>Measures</w:t>
            </w:r>
            <w:r>
              <w:rPr>
                <w:i/>
                <w:spacing w:val="-6"/>
                <w:sz w:val="24"/>
              </w:rPr>
              <w:t xml:space="preserve"> </w:t>
            </w:r>
            <w:r>
              <w:rPr>
                <w:i/>
                <w:sz w:val="24"/>
              </w:rPr>
              <w:t>on</w:t>
            </w:r>
            <w:r>
              <w:rPr>
                <w:i/>
                <w:spacing w:val="-5"/>
                <w:sz w:val="24"/>
              </w:rPr>
              <w:t xml:space="preserve"> </w:t>
            </w:r>
            <w:r>
              <w:rPr>
                <w:i/>
                <w:sz w:val="24"/>
              </w:rPr>
              <w:t>Beef</w:t>
            </w:r>
            <w:r>
              <w:rPr>
                <w:i/>
                <w:sz w:val="24"/>
              </w:rPr>
              <w:t xml:space="preserve"> and Rice, Complaint with Respect to Rice</w:t>
            </w:r>
            <w:r>
              <w:rPr>
                <w:sz w:val="24"/>
              </w:rPr>
              <w:t>, WT/DS295/R, adopted 20 December 2005, as modified by Appellate</w:t>
            </w:r>
            <w:r>
              <w:rPr>
                <w:spacing w:val="40"/>
                <w:sz w:val="24"/>
              </w:rPr>
              <w:t xml:space="preserve"> </w:t>
            </w:r>
            <w:r>
              <w:rPr>
                <w:sz w:val="24"/>
              </w:rPr>
              <w:t>Body Report WT/DS295/AB/R, DSR 2005:XXIII, p. 11007</w:t>
            </w:r>
          </w:p>
        </w:tc>
      </w:tr>
      <w:tr w:rsidR="0010369C" w14:paraId="51DE76D6" w14:textId="77777777">
        <w:trPr>
          <w:trHeight w:val="877"/>
        </w:trPr>
        <w:tc>
          <w:tcPr>
            <w:tcW w:w="2255" w:type="dxa"/>
          </w:tcPr>
          <w:p w14:paraId="51DE76D3" w14:textId="77777777" w:rsidR="0010369C" w:rsidRDefault="008E43AE">
            <w:pPr>
              <w:pStyle w:val="TableParagraph"/>
              <w:spacing w:line="293" w:lineRule="exact"/>
              <w:ind w:left="107"/>
              <w:rPr>
                <w:i/>
                <w:sz w:val="24"/>
              </w:rPr>
            </w:pPr>
            <w:r>
              <w:rPr>
                <w:i/>
                <w:sz w:val="24"/>
              </w:rPr>
              <w:t>Mexico</w:t>
            </w:r>
            <w:r>
              <w:rPr>
                <w:i/>
                <w:spacing w:val="-1"/>
                <w:sz w:val="24"/>
              </w:rPr>
              <w:t xml:space="preserve"> </w:t>
            </w:r>
            <w:r>
              <w:rPr>
                <w:i/>
                <w:sz w:val="24"/>
              </w:rPr>
              <w:t>–</w:t>
            </w:r>
            <w:r>
              <w:rPr>
                <w:i/>
                <w:spacing w:val="-1"/>
                <w:sz w:val="24"/>
              </w:rPr>
              <w:t xml:space="preserve"> </w:t>
            </w:r>
            <w:r>
              <w:rPr>
                <w:i/>
                <w:sz w:val="24"/>
              </w:rPr>
              <w:t xml:space="preserve">Corn </w:t>
            </w:r>
            <w:r>
              <w:rPr>
                <w:i/>
                <w:spacing w:val="-2"/>
                <w:sz w:val="24"/>
              </w:rPr>
              <w:t>Syrup</w:t>
            </w:r>
          </w:p>
        </w:tc>
        <w:tc>
          <w:tcPr>
            <w:tcW w:w="6761" w:type="dxa"/>
          </w:tcPr>
          <w:p w14:paraId="51DE76D4" w14:textId="77777777" w:rsidR="0010369C" w:rsidRDefault="008E43AE">
            <w:pPr>
              <w:pStyle w:val="TableParagraph"/>
              <w:ind w:left="106" w:right="167"/>
              <w:rPr>
                <w:sz w:val="24"/>
              </w:rPr>
            </w:pPr>
            <w:r>
              <w:rPr>
                <w:sz w:val="24"/>
              </w:rPr>
              <w:t xml:space="preserve">Panel Report, </w:t>
            </w:r>
            <w:r>
              <w:rPr>
                <w:i/>
                <w:sz w:val="24"/>
              </w:rPr>
              <w:t>Mexico – Anti‐Dumping Investigation of High Fructose</w:t>
            </w:r>
            <w:r>
              <w:rPr>
                <w:i/>
                <w:spacing w:val="-3"/>
                <w:sz w:val="24"/>
              </w:rPr>
              <w:t xml:space="preserve"> </w:t>
            </w:r>
            <w:r>
              <w:rPr>
                <w:i/>
                <w:sz w:val="24"/>
              </w:rPr>
              <w:t>Corn</w:t>
            </w:r>
            <w:r>
              <w:rPr>
                <w:i/>
                <w:spacing w:val="-5"/>
                <w:sz w:val="24"/>
              </w:rPr>
              <w:t xml:space="preserve"> </w:t>
            </w:r>
            <w:r>
              <w:rPr>
                <w:i/>
                <w:sz w:val="24"/>
              </w:rPr>
              <w:t>Syrup</w:t>
            </w:r>
            <w:r>
              <w:rPr>
                <w:i/>
                <w:spacing w:val="-5"/>
                <w:sz w:val="24"/>
              </w:rPr>
              <w:t xml:space="preserve"> </w:t>
            </w:r>
            <w:r>
              <w:rPr>
                <w:i/>
                <w:sz w:val="24"/>
              </w:rPr>
              <w:t>(HFCS)</w:t>
            </w:r>
            <w:r>
              <w:rPr>
                <w:i/>
                <w:spacing w:val="-5"/>
                <w:sz w:val="24"/>
              </w:rPr>
              <w:t xml:space="preserve"> </w:t>
            </w:r>
            <w:r>
              <w:rPr>
                <w:i/>
                <w:sz w:val="24"/>
              </w:rPr>
              <w:t>from</w:t>
            </w:r>
            <w:r>
              <w:rPr>
                <w:i/>
                <w:spacing w:val="-6"/>
                <w:sz w:val="24"/>
              </w:rPr>
              <w:t xml:space="preserve"> </w:t>
            </w:r>
            <w:r>
              <w:rPr>
                <w:i/>
                <w:sz w:val="24"/>
              </w:rPr>
              <w:t>the</w:t>
            </w:r>
            <w:r>
              <w:rPr>
                <w:i/>
                <w:spacing w:val="-6"/>
                <w:sz w:val="24"/>
              </w:rPr>
              <w:t xml:space="preserve"> </w:t>
            </w:r>
            <w:r>
              <w:rPr>
                <w:i/>
                <w:sz w:val="24"/>
              </w:rPr>
              <w:t>United</w:t>
            </w:r>
            <w:r>
              <w:rPr>
                <w:i/>
                <w:spacing w:val="-6"/>
                <w:sz w:val="24"/>
              </w:rPr>
              <w:t xml:space="preserve"> </w:t>
            </w:r>
            <w:r>
              <w:rPr>
                <w:i/>
                <w:sz w:val="24"/>
              </w:rPr>
              <w:t>States</w:t>
            </w:r>
            <w:r>
              <w:rPr>
                <w:sz w:val="24"/>
              </w:rPr>
              <w:t>,</w:t>
            </w:r>
            <w:r>
              <w:rPr>
                <w:spacing w:val="-6"/>
                <w:sz w:val="24"/>
              </w:rPr>
              <w:t xml:space="preserve"> </w:t>
            </w:r>
            <w:r>
              <w:rPr>
                <w:sz w:val="24"/>
              </w:rPr>
              <w:t>WT/DS132/R,</w:t>
            </w:r>
          </w:p>
          <w:p w14:paraId="51DE76D5" w14:textId="77777777" w:rsidR="0010369C" w:rsidRDefault="008E43AE">
            <w:pPr>
              <w:pStyle w:val="TableParagraph"/>
              <w:spacing w:line="273" w:lineRule="exact"/>
              <w:ind w:left="106"/>
              <w:rPr>
                <w:sz w:val="24"/>
              </w:rPr>
            </w:pPr>
            <w:r>
              <w:rPr>
                <w:sz w:val="24"/>
              </w:rPr>
              <w:t>adopted</w:t>
            </w:r>
            <w:r>
              <w:rPr>
                <w:spacing w:val="-4"/>
                <w:sz w:val="24"/>
              </w:rPr>
              <w:t xml:space="preserve"> </w:t>
            </w:r>
            <w:r>
              <w:rPr>
                <w:sz w:val="24"/>
              </w:rPr>
              <w:t>24</w:t>
            </w:r>
            <w:r>
              <w:rPr>
                <w:spacing w:val="-3"/>
                <w:sz w:val="24"/>
              </w:rPr>
              <w:t xml:space="preserve"> </w:t>
            </w:r>
            <w:r>
              <w:rPr>
                <w:sz w:val="24"/>
              </w:rPr>
              <w:t>February</w:t>
            </w:r>
            <w:r>
              <w:rPr>
                <w:spacing w:val="-2"/>
                <w:sz w:val="24"/>
              </w:rPr>
              <w:t xml:space="preserve"> </w:t>
            </w:r>
            <w:r>
              <w:rPr>
                <w:sz w:val="24"/>
              </w:rPr>
              <w:t>2000,</w:t>
            </w:r>
            <w:r>
              <w:rPr>
                <w:spacing w:val="-3"/>
                <w:sz w:val="24"/>
              </w:rPr>
              <w:t xml:space="preserve"> </w:t>
            </w:r>
            <w:r>
              <w:rPr>
                <w:sz w:val="24"/>
              </w:rPr>
              <w:t>and</w:t>
            </w:r>
            <w:r>
              <w:rPr>
                <w:spacing w:val="-3"/>
                <w:sz w:val="24"/>
              </w:rPr>
              <w:t xml:space="preserve"> </w:t>
            </w:r>
            <w:r>
              <w:rPr>
                <w:sz w:val="24"/>
              </w:rPr>
              <w:t>Corr.1,</w:t>
            </w:r>
            <w:r>
              <w:rPr>
                <w:spacing w:val="-2"/>
                <w:sz w:val="24"/>
              </w:rPr>
              <w:t xml:space="preserve"> </w:t>
            </w:r>
            <w:r>
              <w:rPr>
                <w:sz w:val="24"/>
              </w:rPr>
              <w:t>DSR</w:t>
            </w:r>
            <w:r>
              <w:rPr>
                <w:spacing w:val="-3"/>
                <w:sz w:val="24"/>
              </w:rPr>
              <w:t xml:space="preserve"> </w:t>
            </w:r>
            <w:r>
              <w:rPr>
                <w:sz w:val="24"/>
              </w:rPr>
              <w:t>2000:III,</w:t>
            </w:r>
            <w:r>
              <w:rPr>
                <w:spacing w:val="-3"/>
                <w:sz w:val="24"/>
              </w:rPr>
              <w:t xml:space="preserve"> </w:t>
            </w:r>
            <w:r>
              <w:rPr>
                <w:sz w:val="24"/>
              </w:rPr>
              <w:t>p.</w:t>
            </w:r>
            <w:r>
              <w:rPr>
                <w:spacing w:val="-2"/>
                <w:sz w:val="24"/>
              </w:rPr>
              <w:t xml:space="preserve"> </w:t>
            </w:r>
            <w:r>
              <w:rPr>
                <w:spacing w:val="-4"/>
                <w:sz w:val="24"/>
              </w:rPr>
              <w:t>1345</w:t>
            </w:r>
          </w:p>
        </w:tc>
      </w:tr>
      <w:tr w:rsidR="0010369C" w14:paraId="51DE76D9" w14:textId="77777777">
        <w:trPr>
          <w:trHeight w:val="878"/>
        </w:trPr>
        <w:tc>
          <w:tcPr>
            <w:tcW w:w="2255" w:type="dxa"/>
          </w:tcPr>
          <w:p w14:paraId="51DE76D7" w14:textId="77777777" w:rsidR="0010369C" w:rsidRDefault="008E43AE">
            <w:pPr>
              <w:pStyle w:val="TableParagraph"/>
              <w:ind w:left="107"/>
              <w:rPr>
                <w:i/>
                <w:sz w:val="24"/>
              </w:rPr>
            </w:pPr>
            <w:r>
              <w:rPr>
                <w:i/>
                <w:sz w:val="24"/>
              </w:rPr>
              <w:t>Mexico</w:t>
            </w:r>
            <w:r>
              <w:rPr>
                <w:i/>
                <w:spacing w:val="-13"/>
                <w:sz w:val="24"/>
              </w:rPr>
              <w:t xml:space="preserve"> </w:t>
            </w:r>
            <w:r>
              <w:rPr>
                <w:i/>
                <w:sz w:val="24"/>
              </w:rPr>
              <w:t>–</w:t>
            </w:r>
            <w:r>
              <w:rPr>
                <w:i/>
                <w:spacing w:val="-13"/>
                <w:sz w:val="24"/>
              </w:rPr>
              <w:t xml:space="preserve"> </w:t>
            </w:r>
            <w:r>
              <w:rPr>
                <w:i/>
                <w:sz w:val="24"/>
              </w:rPr>
              <w:t>Steel</w:t>
            </w:r>
            <w:r>
              <w:rPr>
                <w:i/>
                <w:spacing w:val="-13"/>
                <w:sz w:val="24"/>
              </w:rPr>
              <w:t xml:space="preserve"> </w:t>
            </w:r>
            <w:r>
              <w:rPr>
                <w:i/>
                <w:sz w:val="24"/>
              </w:rPr>
              <w:t>Pipes and Tubes</w:t>
            </w:r>
          </w:p>
        </w:tc>
        <w:tc>
          <w:tcPr>
            <w:tcW w:w="6761" w:type="dxa"/>
          </w:tcPr>
          <w:p w14:paraId="51DE76D8" w14:textId="77777777" w:rsidR="0010369C" w:rsidRDefault="008E43AE">
            <w:pPr>
              <w:pStyle w:val="TableParagraph"/>
              <w:spacing w:line="290" w:lineRule="atLeast"/>
              <w:ind w:left="106"/>
              <w:rPr>
                <w:sz w:val="24"/>
              </w:rPr>
            </w:pPr>
            <w:r>
              <w:rPr>
                <w:sz w:val="24"/>
              </w:rPr>
              <w:t xml:space="preserve">Panel Report, </w:t>
            </w:r>
            <w:r>
              <w:rPr>
                <w:i/>
                <w:sz w:val="24"/>
              </w:rPr>
              <w:t>Mexico – Anti‐Dumping Duties on Steel Pipes and Tubes</w:t>
            </w:r>
            <w:r>
              <w:rPr>
                <w:i/>
                <w:spacing w:val="-4"/>
                <w:sz w:val="24"/>
              </w:rPr>
              <w:t xml:space="preserve"> </w:t>
            </w:r>
            <w:r>
              <w:rPr>
                <w:i/>
                <w:sz w:val="24"/>
              </w:rPr>
              <w:t>from</w:t>
            </w:r>
            <w:r>
              <w:rPr>
                <w:i/>
                <w:spacing w:val="-6"/>
                <w:sz w:val="24"/>
              </w:rPr>
              <w:t xml:space="preserve"> </w:t>
            </w:r>
            <w:r>
              <w:rPr>
                <w:i/>
                <w:sz w:val="24"/>
              </w:rPr>
              <w:t>Guatemala</w:t>
            </w:r>
            <w:r>
              <w:rPr>
                <w:sz w:val="24"/>
              </w:rPr>
              <w:t>,</w:t>
            </w:r>
            <w:r>
              <w:rPr>
                <w:spacing w:val="-6"/>
                <w:sz w:val="24"/>
              </w:rPr>
              <w:t xml:space="preserve"> </w:t>
            </w:r>
            <w:r>
              <w:rPr>
                <w:sz w:val="24"/>
              </w:rPr>
              <w:t>WT/DS331/R,</w:t>
            </w:r>
            <w:r>
              <w:rPr>
                <w:spacing w:val="-6"/>
                <w:sz w:val="24"/>
              </w:rPr>
              <w:t xml:space="preserve"> </w:t>
            </w:r>
            <w:r>
              <w:rPr>
                <w:sz w:val="24"/>
              </w:rPr>
              <w:t>adopted</w:t>
            </w:r>
            <w:r>
              <w:rPr>
                <w:spacing w:val="-6"/>
                <w:sz w:val="24"/>
              </w:rPr>
              <w:t xml:space="preserve"> </w:t>
            </w:r>
            <w:r>
              <w:rPr>
                <w:sz w:val="24"/>
              </w:rPr>
              <w:t>24</w:t>
            </w:r>
            <w:r>
              <w:rPr>
                <w:spacing w:val="-5"/>
                <w:sz w:val="24"/>
              </w:rPr>
              <w:t xml:space="preserve"> </w:t>
            </w:r>
            <w:r>
              <w:rPr>
                <w:sz w:val="24"/>
              </w:rPr>
              <w:t>July</w:t>
            </w:r>
            <w:r>
              <w:rPr>
                <w:spacing w:val="-4"/>
                <w:sz w:val="24"/>
              </w:rPr>
              <w:t xml:space="preserve"> </w:t>
            </w:r>
            <w:r>
              <w:rPr>
                <w:sz w:val="24"/>
              </w:rPr>
              <w:t>2007,</w:t>
            </w:r>
            <w:r>
              <w:rPr>
                <w:spacing w:val="-5"/>
                <w:sz w:val="24"/>
              </w:rPr>
              <w:t xml:space="preserve"> </w:t>
            </w:r>
            <w:r>
              <w:rPr>
                <w:sz w:val="24"/>
              </w:rPr>
              <w:t>DSR 2007:IV, p. 1207</w:t>
            </w:r>
          </w:p>
        </w:tc>
      </w:tr>
    </w:tbl>
    <w:p w14:paraId="51DE76DA" w14:textId="77777777" w:rsidR="0010369C" w:rsidRDefault="0010369C">
      <w:pPr>
        <w:spacing w:line="290" w:lineRule="atLeast"/>
        <w:rPr>
          <w:sz w:val="24"/>
        </w:rPr>
        <w:sectPr w:rsidR="0010369C">
          <w:pgSz w:w="11910" w:h="16840"/>
          <w:pgMar w:top="880" w:right="1220" w:bottom="980" w:left="1180" w:header="569" w:footer="788" w:gutter="0"/>
          <w:cols w:space="720"/>
        </w:sectPr>
      </w:pPr>
    </w:p>
    <w:p w14:paraId="51DE76DB" w14:textId="77777777" w:rsidR="0010369C" w:rsidRDefault="008E43AE">
      <w:pPr>
        <w:tabs>
          <w:tab w:val="left" w:pos="6426"/>
        </w:tabs>
        <w:ind w:left="238"/>
        <w:rPr>
          <w:sz w:val="20"/>
        </w:rPr>
      </w:pPr>
      <w:r>
        <w:rPr>
          <w:i/>
          <w:sz w:val="20"/>
        </w:rPr>
        <w:lastRenderedPageBreak/>
        <w:t>China</w:t>
      </w:r>
      <w:r>
        <w:rPr>
          <w:i/>
          <w:spacing w:val="-5"/>
          <w:sz w:val="20"/>
        </w:rPr>
        <w:t xml:space="preserve"> </w:t>
      </w:r>
      <w:r>
        <w:rPr>
          <w:i/>
          <w:sz w:val="20"/>
        </w:rPr>
        <w:t>–</w:t>
      </w:r>
      <w:r>
        <w:rPr>
          <w:i/>
          <w:spacing w:val="-5"/>
          <w:sz w:val="20"/>
        </w:rPr>
        <w:t xml:space="preserve"> </w:t>
      </w:r>
      <w:r>
        <w:rPr>
          <w:i/>
          <w:sz w:val="20"/>
        </w:rPr>
        <w:t>Anti‐Dumping</w:t>
      </w:r>
      <w:r>
        <w:rPr>
          <w:i/>
          <w:spacing w:val="-4"/>
          <w:sz w:val="20"/>
        </w:rPr>
        <w:t xml:space="preserve"> </w:t>
      </w:r>
      <w:r>
        <w:rPr>
          <w:i/>
          <w:sz w:val="20"/>
        </w:rPr>
        <w:t>and</w:t>
      </w:r>
      <w:r>
        <w:rPr>
          <w:i/>
          <w:spacing w:val="-5"/>
          <w:sz w:val="20"/>
        </w:rPr>
        <w:t xml:space="preserve"> </w:t>
      </w:r>
      <w:r>
        <w:rPr>
          <w:i/>
          <w:sz w:val="20"/>
        </w:rPr>
        <w:t>Countervailing</w:t>
      </w:r>
      <w:r>
        <w:rPr>
          <w:i/>
          <w:spacing w:val="-5"/>
          <w:sz w:val="20"/>
        </w:rPr>
        <w:t xml:space="preserve"> </w:t>
      </w:r>
      <w:r>
        <w:rPr>
          <w:i/>
          <w:sz w:val="20"/>
        </w:rPr>
        <w:t>Duty</w:t>
      </w:r>
      <w:r>
        <w:rPr>
          <w:i/>
          <w:spacing w:val="-4"/>
          <w:sz w:val="20"/>
        </w:rPr>
        <w:t xml:space="preserve"> </w:t>
      </w:r>
      <w:r>
        <w:rPr>
          <w:i/>
          <w:spacing w:val="-2"/>
          <w:sz w:val="20"/>
        </w:rPr>
        <w:t>Measures</w:t>
      </w:r>
      <w:r>
        <w:rPr>
          <w:i/>
          <w:sz w:val="20"/>
        </w:rPr>
        <w:tab/>
      </w:r>
      <w:r>
        <w:rPr>
          <w:sz w:val="20"/>
        </w:rPr>
        <w:t>Australia's</w:t>
      </w:r>
      <w:r>
        <w:rPr>
          <w:spacing w:val="-6"/>
          <w:sz w:val="20"/>
        </w:rPr>
        <w:t xml:space="preserve"> </w:t>
      </w:r>
      <w:r>
        <w:rPr>
          <w:sz w:val="20"/>
        </w:rPr>
        <w:t>First</w:t>
      </w:r>
      <w:r>
        <w:rPr>
          <w:spacing w:val="-2"/>
          <w:sz w:val="20"/>
        </w:rPr>
        <w:t xml:space="preserve"> </w:t>
      </w:r>
      <w:r>
        <w:rPr>
          <w:sz w:val="20"/>
        </w:rPr>
        <w:t>Written</w:t>
      </w:r>
      <w:r>
        <w:rPr>
          <w:spacing w:val="-2"/>
          <w:sz w:val="20"/>
        </w:rPr>
        <w:t xml:space="preserve"> Submission</w:t>
      </w:r>
    </w:p>
    <w:p w14:paraId="51DE76DC" w14:textId="77777777" w:rsidR="0010369C" w:rsidRDefault="008E43AE">
      <w:pPr>
        <w:tabs>
          <w:tab w:val="left" w:pos="8228"/>
        </w:tabs>
        <w:spacing w:before="1" w:after="35"/>
        <w:ind w:left="239"/>
        <w:rPr>
          <w:sz w:val="20"/>
        </w:rPr>
      </w:pPr>
      <w:r>
        <w:rPr>
          <w:i/>
          <w:sz w:val="20"/>
        </w:rPr>
        <w:t>on</w:t>
      </w:r>
      <w:r>
        <w:rPr>
          <w:i/>
          <w:spacing w:val="-1"/>
          <w:sz w:val="20"/>
        </w:rPr>
        <w:t xml:space="preserve"> </w:t>
      </w:r>
      <w:r>
        <w:rPr>
          <w:i/>
          <w:sz w:val="20"/>
        </w:rPr>
        <w:t>Wine</w:t>
      </w:r>
      <w:r>
        <w:rPr>
          <w:i/>
          <w:spacing w:val="-1"/>
          <w:sz w:val="20"/>
        </w:rPr>
        <w:t xml:space="preserve"> </w:t>
      </w:r>
      <w:r>
        <w:rPr>
          <w:i/>
          <w:sz w:val="20"/>
        </w:rPr>
        <w:t>from</w:t>
      </w:r>
      <w:r>
        <w:rPr>
          <w:i/>
          <w:spacing w:val="-3"/>
          <w:sz w:val="20"/>
        </w:rPr>
        <w:t xml:space="preserve"> </w:t>
      </w:r>
      <w:r>
        <w:rPr>
          <w:i/>
          <w:sz w:val="20"/>
        </w:rPr>
        <w:t>Australia</w:t>
      </w:r>
      <w:r>
        <w:rPr>
          <w:i/>
          <w:spacing w:val="-1"/>
          <w:sz w:val="20"/>
        </w:rPr>
        <w:t xml:space="preserve"> </w:t>
      </w:r>
      <w:r>
        <w:rPr>
          <w:spacing w:val="-2"/>
          <w:sz w:val="20"/>
        </w:rPr>
        <w:t>(DS602)</w:t>
      </w:r>
      <w:r>
        <w:rPr>
          <w:sz w:val="20"/>
        </w:rPr>
        <w:tab/>
        <w:t>29</w:t>
      </w:r>
      <w:r>
        <w:rPr>
          <w:spacing w:val="-1"/>
          <w:sz w:val="20"/>
        </w:rPr>
        <w:t xml:space="preserve"> </w:t>
      </w:r>
      <w:r>
        <w:rPr>
          <w:sz w:val="20"/>
        </w:rPr>
        <w:t>April</w:t>
      </w:r>
      <w:r>
        <w:rPr>
          <w:spacing w:val="-2"/>
          <w:sz w:val="20"/>
        </w:rPr>
        <w:t xml:space="preserve"> </w:t>
      </w:r>
      <w:r>
        <w:rPr>
          <w:spacing w:val="-4"/>
          <w:sz w:val="20"/>
        </w:rPr>
        <w:t>2022</w:t>
      </w:r>
    </w:p>
    <w:tbl>
      <w:tblPr>
        <w:tblW w:w="0" w:type="auto"/>
        <w:tblInd w:w="25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255"/>
        <w:gridCol w:w="6761"/>
      </w:tblGrid>
      <w:tr w:rsidR="0010369C" w14:paraId="51DE76DF" w14:textId="77777777">
        <w:trPr>
          <w:trHeight w:val="313"/>
        </w:trPr>
        <w:tc>
          <w:tcPr>
            <w:tcW w:w="2255" w:type="dxa"/>
            <w:tcBorders>
              <w:bottom w:val="nil"/>
            </w:tcBorders>
          </w:tcPr>
          <w:p w14:paraId="51DE76DD" w14:textId="77777777" w:rsidR="0010369C" w:rsidRDefault="008E43AE">
            <w:pPr>
              <w:pStyle w:val="TableParagraph"/>
              <w:spacing w:line="292" w:lineRule="exact"/>
              <w:ind w:left="107"/>
              <w:rPr>
                <w:sz w:val="24"/>
              </w:rPr>
            </w:pPr>
            <w:r>
              <w:rPr>
                <w:sz w:val="24"/>
              </w:rPr>
              <w:t xml:space="preserve">Morocco </w:t>
            </w:r>
            <w:r>
              <w:rPr>
                <w:spacing w:val="-10"/>
                <w:sz w:val="24"/>
              </w:rPr>
              <w:t>–</w:t>
            </w:r>
          </w:p>
        </w:tc>
        <w:tc>
          <w:tcPr>
            <w:tcW w:w="6761" w:type="dxa"/>
            <w:tcBorders>
              <w:bottom w:val="nil"/>
            </w:tcBorders>
          </w:tcPr>
          <w:p w14:paraId="51DE76DE" w14:textId="77777777" w:rsidR="0010369C" w:rsidRDefault="008E43AE">
            <w:pPr>
              <w:pStyle w:val="TableParagraph"/>
              <w:spacing w:line="292" w:lineRule="exact"/>
              <w:ind w:left="106"/>
              <w:rPr>
                <w:i/>
                <w:sz w:val="24"/>
              </w:rPr>
            </w:pPr>
            <w:r>
              <w:rPr>
                <w:sz w:val="24"/>
              </w:rPr>
              <w:t>Panel</w:t>
            </w:r>
            <w:r>
              <w:rPr>
                <w:spacing w:val="-3"/>
                <w:sz w:val="24"/>
              </w:rPr>
              <w:t xml:space="preserve"> </w:t>
            </w:r>
            <w:r>
              <w:rPr>
                <w:sz w:val="24"/>
              </w:rPr>
              <w:t>Report,</w:t>
            </w:r>
            <w:r>
              <w:rPr>
                <w:spacing w:val="-1"/>
                <w:sz w:val="24"/>
              </w:rPr>
              <w:t xml:space="preserve"> </w:t>
            </w:r>
            <w:r>
              <w:rPr>
                <w:i/>
                <w:sz w:val="24"/>
              </w:rPr>
              <w:t>Morocco</w:t>
            </w:r>
            <w:r>
              <w:rPr>
                <w:i/>
                <w:spacing w:val="-1"/>
                <w:sz w:val="24"/>
              </w:rPr>
              <w:t xml:space="preserve"> </w:t>
            </w:r>
            <w:r>
              <w:rPr>
                <w:i/>
                <w:sz w:val="24"/>
              </w:rPr>
              <w:t>–</w:t>
            </w:r>
            <w:r>
              <w:rPr>
                <w:i/>
                <w:spacing w:val="-2"/>
                <w:sz w:val="24"/>
              </w:rPr>
              <w:t xml:space="preserve"> </w:t>
            </w:r>
            <w:r>
              <w:rPr>
                <w:i/>
                <w:sz w:val="24"/>
              </w:rPr>
              <w:t>Definitive Anti‐Dumping</w:t>
            </w:r>
            <w:r>
              <w:rPr>
                <w:i/>
                <w:spacing w:val="-2"/>
                <w:sz w:val="24"/>
              </w:rPr>
              <w:t xml:space="preserve"> </w:t>
            </w:r>
            <w:r>
              <w:rPr>
                <w:i/>
                <w:sz w:val="24"/>
              </w:rPr>
              <w:t>Measures</w:t>
            </w:r>
            <w:r>
              <w:rPr>
                <w:i/>
                <w:spacing w:val="-2"/>
                <w:sz w:val="24"/>
              </w:rPr>
              <w:t xml:space="preserve"> </w:t>
            </w:r>
            <w:r>
              <w:rPr>
                <w:i/>
                <w:spacing w:val="-5"/>
                <w:sz w:val="24"/>
              </w:rPr>
              <w:t>on</w:t>
            </w:r>
          </w:p>
        </w:tc>
      </w:tr>
      <w:tr w:rsidR="0010369C" w14:paraId="51DE76E2" w14:textId="77777777">
        <w:trPr>
          <w:trHeight w:val="293"/>
        </w:trPr>
        <w:tc>
          <w:tcPr>
            <w:tcW w:w="2255" w:type="dxa"/>
            <w:tcBorders>
              <w:top w:val="nil"/>
              <w:bottom w:val="nil"/>
            </w:tcBorders>
          </w:tcPr>
          <w:p w14:paraId="51DE76E0" w14:textId="77777777" w:rsidR="0010369C" w:rsidRDefault="008E43AE">
            <w:pPr>
              <w:pStyle w:val="TableParagraph"/>
              <w:spacing w:line="271" w:lineRule="exact"/>
              <w:ind w:left="107"/>
              <w:rPr>
                <w:sz w:val="24"/>
              </w:rPr>
            </w:pPr>
            <w:r>
              <w:rPr>
                <w:sz w:val="24"/>
              </w:rPr>
              <w:t>Definitive</w:t>
            </w:r>
            <w:r>
              <w:rPr>
                <w:spacing w:val="-10"/>
                <w:sz w:val="24"/>
              </w:rPr>
              <w:t xml:space="preserve"> </w:t>
            </w:r>
            <w:r>
              <w:rPr>
                <w:spacing w:val="-7"/>
                <w:sz w:val="24"/>
              </w:rPr>
              <w:t>AD</w:t>
            </w:r>
          </w:p>
        </w:tc>
        <w:tc>
          <w:tcPr>
            <w:tcW w:w="6761" w:type="dxa"/>
            <w:tcBorders>
              <w:top w:val="nil"/>
              <w:bottom w:val="nil"/>
            </w:tcBorders>
          </w:tcPr>
          <w:p w14:paraId="51DE76E1" w14:textId="77777777" w:rsidR="0010369C" w:rsidRDefault="008E43AE">
            <w:pPr>
              <w:pStyle w:val="TableParagraph"/>
              <w:spacing w:line="271" w:lineRule="exact"/>
              <w:ind w:left="106"/>
              <w:rPr>
                <w:sz w:val="24"/>
              </w:rPr>
            </w:pPr>
            <w:r>
              <w:rPr>
                <w:i/>
                <w:sz w:val="24"/>
              </w:rPr>
              <w:t>School</w:t>
            </w:r>
            <w:r>
              <w:rPr>
                <w:i/>
                <w:spacing w:val="-3"/>
                <w:sz w:val="24"/>
              </w:rPr>
              <w:t xml:space="preserve"> </w:t>
            </w:r>
            <w:r>
              <w:rPr>
                <w:i/>
                <w:sz w:val="24"/>
              </w:rPr>
              <w:t>Exercise</w:t>
            </w:r>
            <w:r>
              <w:rPr>
                <w:i/>
                <w:spacing w:val="-1"/>
                <w:sz w:val="24"/>
              </w:rPr>
              <w:t xml:space="preserve"> </w:t>
            </w:r>
            <w:r>
              <w:rPr>
                <w:i/>
                <w:sz w:val="24"/>
              </w:rPr>
              <w:t>Books</w:t>
            </w:r>
            <w:r>
              <w:rPr>
                <w:i/>
                <w:spacing w:val="-2"/>
                <w:sz w:val="24"/>
              </w:rPr>
              <w:t xml:space="preserve"> </w:t>
            </w:r>
            <w:r>
              <w:rPr>
                <w:i/>
                <w:sz w:val="24"/>
              </w:rPr>
              <w:t>from</w:t>
            </w:r>
            <w:r>
              <w:rPr>
                <w:i/>
                <w:spacing w:val="-3"/>
                <w:sz w:val="24"/>
              </w:rPr>
              <w:t xml:space="preserve"> </w:t>
            </w:r>
            <w:r>
              <w:rPr>
                <w:i/>
                <w:sz w:val="24"/>
              </w:rPr>
              <w:t>Tunisia</w:t>
            </w:r>
            <w:r>
              <w:rPr>
                <w:sz w:val="24"/>
              </w:rPr>
              <w:t>,</w:t>
            </w:r>
            <w:r>
              <w:rPr>
                <w:spacing w:val="-3"/>
                <w:sz w:val="24"/>
              </w:rPr>
              <w:t xml:space="preserve"> </w:t>
            </w:r>
            <w:r>
              <w:rPr>
                <w:sz w:val="24"/>
              </w:rPr>
              <w:t>WT/DS578/R</w:t>
            </w:r>
            <w:r>
              <w:rPr>
                <w:spacing w:val="-2"/>
                <w:sz w:val="24"/>
              </w:rPr>
              <w:t xml:space="preserve"> </w:t>
            </w:r>
            <w:r>
              <w:rPr>
                <w:sz w:val="24"/>
              </w:rPr>
              <w:t>and</w:t>
            </w:r>
            <w:r>
              <w:rPr>
                <w:spacing w:val="-2"/>
                <w:sz w:val="24"/>
              </w:rPr>
              <w:t xml:space="preserve"> Add.1,</w:t>
            </w:r>
          </w:p>
        </w:tc>
      </w:tr>
      <w:tr w:rsidR="0010369C" w14:paraId="51DE76E5" w14:textId="77777777">
        <w:trPr>
          <w:trHeight w:val="293"/>
        </w:trPr>
        <w:tc>
          <w:tcPr>
            <w:tcW w:w="2255" w:type="dxa"/>
            <w:tcBorders>
              <w:top w:val="nil"/>
              <w:bottom w:val="nil"/>
            </w:tcBorders>
          </w:tcPr>
          <w:p w14:paraId="51DE76E3" w14:textId="77777777" w:rsidR="0010369C" w:rsidRDefault="008E43AE">
            <w:pPr>
              <w:pStyle w:val="TableParagraph"/>
              <w:spacing w:line="271" w:lineRule="exact"/>
              <w:ind w:left="107"/>
              <w:rPr>
                <w:sz w:val="24"/>
              </w:rPr>
            </w:pPr>
            <w:r>
              <w:rPr>
                <w:sz w:val="24"/>
              </w:rPr>
              <w:t>Measures</w:t>
            </w:r>
            <w:r>
              <w:rPr>
                <w:spacing w:val="-1"/>
                <w:sz w:val="24"/>
              </w:rPr>
              <w:t xml:space="preserve"> </w:t>
            </w:r>
            <w:r>
              <w:rPr>
                <w:spacing w:val="-5"/>
                <w:sz w:val="24"/>
              </w:rPr>
              <w:t>on</w:t>
            </w:r>
          </w:p>
        </w:tc>
        <w:tc>
          <w:tcPr>
            <w:tcW w:w="6761" w:type="dxa"/>
            <w:tcBorders>
              <w:top w:val="nil"/>
              <w:bottom w:val="nil"/>
            </w:tcBorders>
          </w:tcPr>
          <w:p w14:paraId="51DE76E4" w14:textId="77777777" w:rsidR="0010369C" w:rsidRDefault="008E43AE">
            <w:pPr>
              <w:pStyle w:val="TableParagraph"/>
              <w:spacing w:line="271" w:lineRule="exact"/>
              <w:ind w:left="106"/>
              <w:rPr>
                <w:sz w:val="24"/>
              </w:rPr>
            </w:pPr>
            <w:r>
              <w:rPr>
                <w:sz w:val="24"/>
              </w:rPr>
              <w:t>circulated</w:t>
            </w:r>
            <w:r>
              <w:rPr>
                <w:spacing w:val="-2"/>
                <w:sz w:val="24"/>
              </w:rPr>
              <w:t xml:space="preserve"> </w:t>
            </w:r>
            <w:r>
              <w:rPr>
                <w:sz w:val="24"/>
              </w:rPr>
              <w:t>to</w:t>
            </w:r>
            <w:r>
              <w:rPr>
                <w:spacing w:val="-2"/>
                <w:sz w:val="24"/>
              </w:rPr>
              <w:t xml:space="preserve"> </w:t>
            </w:r>
            <w:r>
              <w:rPr>
                <w:sz w:val="24"/>
              </w:rPr>
              <w:t>WTO</w:t>
            </w:r>
            <w:r>
              <w:rPr>
                <w:spacing w:val="-2"/>
                <w:sz w:val="24"/>
              </w:rPr>
              <w:t xml:space="preserve"> </w:t>
            </w:r>
            <w:r>
              <w:rPr>
                <w:sz w:val="24"/>
              </w:rPr>
              <w:t>Members</w:t>
            </w:r>
            <w:r>
              <w:rPr>
                <w:spacing w:val="-1"/>
                <w:sz w:val="24"/>
              </w:rPr>
              <w:t xml:space="preserve"> </w:t>
            </w:r>
            <w:r>
              <w:rPr>
                <w:sz w:val="24"/>
              </w:rPr>
              <w:t>27</w:t>
            </w:r>
            <w:r>
              <w:rPr>
                <w:spacing w:val="-2"/>
                <w:sz w:val="24"/>
              </w:rPr>
              <w:t xml:space="preserve"> </w:t>
            </w:r>
            <w:r>
              <w:rPr>
                <w:sz w:val="24"/>
              </w:rPr>
              <w:t>July</w:t>
            </w:r>
            <w:r>
              <w:rPr>
                <w:spacing w:val="-1"/>
                <w:sz w:val="24"/>
              </w:rPr>
              <w:t xml:space="preserve"> </w:t>
            </w:r>
            <w:r>
              <w:rPr>
                <w:sz w:val="24"/>
              </w:rPr>
              <w:t>2021</w:t>
            </w:r>
            <w:r>
              <w:rPr>
                <w:spacing w:val="-1"/>
                <w:sz w:val="24"/>
              </w:rPr>
              <w:t xml:space="preserve"> </w:t>
            </w:r>
            <w:r>
              <w:rPr>
                <w:sz w:val="24"/>
              </w:rPr>
              <w:t>[appealed;</w:t>
            </w:r>
            <w:r>
              <w:rPr>
                <w:spacing w:val="-1"/>
                <w:sz w:val="24"/>
              </w:rPr>
              <w:t xml:space="preserve"> </w:t>
            </w:r>
            <w:r>
              <w:rPr>
                <w:spacing w:val="-2"/>
                <w:sz w:val="24"/>
              </w:rPr>
              <w:t>adoption</w:t>
            </w:r>
          </w:p>
        </w:tc>
      </w:tr>
      <w:tr w:rsidR="0010369C" w14:paraId="51DE76E8" w14:textId="77777777">
        <w:trPr>
          <w:trHeight w:val="292"/>
        </w:trPr>
        <w:tc>
          <w:tcPr>
            <w:tcW w:w="2255" w:type="dxa"/>
            <w:tcBorders>
              <w:top w:val="nil"/>
              <w:bottom w:val="nil"/>
            </w:tcBorders>
          </w:tcPr>
          <w:p w14:paraId="51DE76E6" w14:textId="77777777" w:rsidR="0010369C" w:rsidRDefault="008E43AE">
            <w:pPr>
              <w:pStyle w:val="TableParagraph"/>
              <w:spacing w:line="271" w:lineRule="exact"/>
              <w:ind w:left="107"/>
              <w:rPr>
                <w:sz w:val="24"/>
              </w:rPr>
            </w:pPr>
            <w:r>
              <w:rPr>
                <w:sz w:val="24"/>
              </w:rPr>
              <w:t>Exercise</w:t>
            </w:r>
            <w:r>
              <w:rPr>
                <w:spacing w:val="-1"/>
                <w:sz w:val="24"/>
              </w:rPr>
              <w:t xml:space="preserve"> </w:t>
            </w:r>
            <w:r>
              <w:rPr>
                <w:spacing w:val="-2"/>
                <w:sz w:val="24"/>
              </w:rPr>
              <w:t>Books</w:t>
            </w:r>
          </w:p>
        </w:tc>
        <w:tc>
          <w:tcPr>
            <w:tcW w:w="6761" w:type="dxa"/>
            <w:tcBorders>
              <w:top w:val="nil"/>
              <w:bottom w:val="nil"/>
            </w:tcBorders>
          </w:tcPr>
          <w:p w14:paraId="51DE76E7" w14:textId="77777777" w:rsidR="0010369C" w:rsidRDefault="008E43AE">
            <w:pPr>
              <w:pStyle w:val="TableParagraph"/>
              <w:spacing w:line="271" w:lineRule="exact"/>
              <w:ind w:left="106"/>
              <w:rPr>
                <w:sz w:val="24"/>
              </w:rPr>
            </w:pPr>
            <w:r>
              <w:rPr>
                <w:spacing w:val="-2"/>
                <w:sz w:val="24"/>
              </w:rPr>
              <w:t>pending]</w:t>
            </w:r>
          </w:p>
        </w:tc>
      </w:tr>
      <w:tr w:rsidR="0010369C" w14:paraId="51DE76EB" w14:textId="77777777">
        <w:trPr>
          <w:trHeight w:val="270"/>
        </w:trPr>
        <w:tc>
          <w:tcPr>
            <w:tcW w:w="2255" w:type="dxa"/>
            <w:tcBorders>
              <w:top w:val="nil"/>
            </w:tcBorders>
          </w:tcPr>
          <w:p w14:paraId="51DE76E9" w14:textId="77777777" w:rsidR="0010369C" w:rsidRDefault="008E43AE">
            <w:pPr>
              <w:pStyle w:val="TableParagraph"/>
              <w:spacing w:line="251" w:lineRule="exact"/>
              <w:ind w:left="107"/>
              <w:rPr>
                <w:sz w:val="24"/>
              </w:rPr>
            </w:pPr>
            <w:r>
              <w:rPr>
                <w:spacing w:val="-2"/>
                <w:sz w:val="24"/>
              </w:rPr>
              <w:t>(Tunisia)</w:t>
            </w:r>
          </w:p>
        </w:tc>
        <w:tc>
          <w:tcPr>
            <w:tcW w:w="6761" w:type="dxa"/>
            <w:tcBorders>
              <w:top w:val="nil"/>
            </w:tcBorders>
          </w:tcPr>
          <w:p w14:paraId="51DE76EA" w14:textId="77777777" w:rsidR="0010369C" w:rsidRDefault="0010369C">
            <w:pPr>
              <w:pStyle w:val="TableParagraph"/>
              <w:rPr>
                <w:rFonts w:ascii="Times New Roman"/>
                <w:sz w:val="20"/>
              </w:rPr>
            </w:pPr>
          </w:p>
        </w:tc>
      </w:tr>
      <w:tr w:rsidR="0010369C" w14:paraId="51DE76EE" w14:textId="77777777">
        <w:trPr>
          <w:trHeight w:val="315"/>
        </w:trPr>
        <w:tc>
          <w:tcPr>
            <w:tcW w:w="2255" w:type="dxa"/>
            <w:tcBorders>
              <w:bottom w:val="nil"/>
            </w:tcBorders>
          </w:tcPr>
          <w:p w14:paraId="51DE76EC" w14:textId="77777777" w:rsidR="0010369C" w:rsidRDefault="008E43AE">
            <w:pPr>
              <w:pStyle w:val="TableParagraph"/>
              <w:ind w:left="107"/>
              <w:rPr>
                <w:i/>
                <w:sz w:val="24"/>
              </w:rPr>
            </w:pPr>
            <w:r>
              <w:rPr>
                <w:i/>
                <w:sz w:val="24"/>
              </w:rPr>
              <w:t>Morocco ‐</w:t>
            </w:r>
            <w:r>
              <w:rPr>
                <w:i/>
                <w:spacing w:val="-1"/>
                <w:sz w:val="24"/>
              </w:rPr>
              <w:t xml:space="preserve"> </w:t>
            </w:r>
            <w:r>
              <w:rPr>
                <w:i/>
                <w:spacing w:val="-4"/>
                <w:sz w:val="24"/>
              </w:rPr>
              <w:t>Hot‐</w:t>
            </w:r>
          </w:p>
        </w:tc>
        <w:tc>
          <w:tcPr>
            <w:tcW w:w="6761" w:type="dxa"/>
            <w:tcBorders>
              <w:bottom w:val="nil"/>
            </w:tcBorders>
          </w:tcPr>
          <w:p w14:paraId="51DE76ED" w14:textId="77777777" w:rsidR="0010369C" w:rsidRDefault="008E43AE">
            <w:pPr>
              <w:pStyle w:val="TableParagraph"/>
              <w:ind w:left="106"/>
              <w:rPr>
                <w:i/>
                <w:sz w:val="24"/>
              </w:rPr>
            </w:pPr>
            <w:r>
              <w:rPr>
                <w:sz w:val="24"/>
              </w:rPr>
              <w:t>Panel</w:t>
            </w:r>
            <w:r>
              <w:rPr>
                <w:spacing w:val="-3"/>
                <w:sz w:val="24"/>
              </w:rPr>
              <w:t xml:space="preserve"> </w:t>
            </w:r>
            <w:r>
              <w:rPr>
                <w:sz w:val="24"/>
              </w:rPr>
              <w:t>Report,</w:t>
            </w:r>
            <w:r>
              <w:rPr>
                <w:spacing w:val="-2"/>
                <w:sz w:val="24"/>
              </w:rPr>
              <w:t xml:space="preserve"> </w:t>
            </w:r>
            <w:r>
              <w:rPr>
                <w:i/>
                <w:sz w:val="24"/>
              </w:rPr>
              <w:t>Morocco</w:t>
            </w:r>
            <w:r>
              <w:rPr>
                <w:i/>
                <w:spacing w:val="-2"/>
                <w:sz w:val="24"/>
              </w:rPr>
              <w:t xml:space="preserve"> </w:t>
            </w:r>
            <w:r>
              <w:rPr>
                <w:i/>
                <w:sz w:val="24"/>
              </w:rPr>
              <w:t>–</w:t>
            </w:r>
            <w:r>
              <w:rPr>
                <w:i/>
                <w:spacing w:val="-2"/>
                <w:sz w:val="24"/>
              </w:rPr>
              <w:t xml:space="preserve"> </w:t>
            </w:r>
            <w:r>
              <w:rPr>
                <w:i/>
                <w:sz w:val="24"/>
              </w:rPr>
              <w:t>Anti‐dumping</w:t>
            </w:r>
            <w:r>
              <w:rPr>
                <w:i/>
                <w:spacing w:val="-2"/>
                <w:sz w:val="24"/>
              </w:rPr>
              <w:t xml:space="preserve"> </w:t>
            </w:r>
            <w:r>
              <w:rPr>
                <w:i/>
                <w:sz w:val="24"/>
              </w:rPr>
              <w:t>Measures</w:t>
            </w:r>
            <w:r>
              <w:rPr>
                <w:i/>
                <w:spacing w:val="-2"/>
                <w:sz w:val="24"/>
              </w:rPr>
              <w:t xml:space="preserve"> </w:t>
            </w:r>
            <w:r>
              <w:rPr>
                <w:i/>
                <w:sz w:val="24"/>
              </w:rPr>
              <w:t>on</w:t>
            </w:r>
            <w:r>
              <w:rPr>
                <w:i/>
                <w:spacing w:val="-2"/>
                <w:sz w:val="24"/>
              </w:rPr>
              <w:t xml:space="preserve"> </w:t>
            </w:r>
            <w:r>
              <w:rPr>
                <w:i/>
                <w:sz w:val="24"/>
              </w:rPr>
              <w:t>Certain</w:t>
            </w:r>
            <w:r>
              <w:rPr>
                <w:i/>
                <w:spacing w:val="-2"/>
                <w:sz w:val="24"/>
              </w:rPr>
              <w:t xml:space="preserve"> </w:t>
            </w:r>
            <w:r>
              <w:rPr>
                <w:i/>
                <w:spacing w:val="-4"/>
                <w:sz w:val="24"/>
              </w:rPr>
              <w:t>Hot‐</w:t>
            </w:r>
          </w:p>
        </w:tc>
      </w:tr>
      <w:tr w:rsidR="0010369C" w14:paraId="51DE76F1" w14:textId="77777777">
        <w:trPr>
          <w:trHeight w:val="292"/>
        </w:trPr>
        <w:tc>
          <w:tcPr>
            <w:tcW w:w="2255" w:type="dxa"/>
            <w:tcBorders>
              <w:top w:val="nil"/>
              <w:bottom w:val="nil"/>
            </w:tcBorders>
          </w:tcPr>
          <w:p w14:paraId="51DE76EF" w14:textId="77777777" w:rsidR="0010369C" w:rsidRDefault="008E43AE">
            <w:pPr>
              <w:pStyle w:val="TableParagraph"/>
              <w:spacing w:line="271" w:lineRule="exact"/>
              <w:ind w:left="107"/>
              <w:rPr>
                <w:i/>
                <w:sz w:val="24"/>
              </w:rPr>
            </w:pPr>
            <w:r>
              <w:rPr>
                <w:i/>
                <w:sz w:val="24"/>
              </w:rPr>
              <w:t>Rolled</w:t>
            </w:r>
            <w:r>
              <w:rPr>
                <w:i/>
                <w:spacing w:val="-1"/>
                <w:sz w:val="24"/>
              </w:rPr>
              <w:t xml:space="preserve"> </w:t>
            </w:r>
            <w:r>
              <w:rPr>
                <w:i/>
                <w:spacing w:val="-2"/>
                <w:sz w:val="24"/>
              </w:rPr>
              <w:t>Steel</w:t>
            </w:r>
          </w:p>
        </w:tc>
        <w:tc>
          <w:tcPr>
            <w:tcW w:w="6761" w:type="dxa"/>
            <w:tcBorders>
              <w:top w:val="nil"/>
              <w:bottom w:val="nil"/>
            </w:tcBorders>
          </w:tcPr>
          <w:p w14:paraId="51DE76F0" w14:textId="77777777" w:rsidR="0010369C" w:rsidRDefault="008E43AE">
            <w:pPr>
              <w:pStyle w:val="TableParagraph"/>
              <w:spacing w:line="271" w:lineRule="exact"/>
              <w:ind w:left="106"/>
              <w:rPr>
                <w:sz w:val="24"/>
              </w:rPr>
            </w:pPr>
            <w:r>
              <w:rPr>
                <w:i/>
                <w:sz w:val="24"/>
              </w:rPr>
              <w:t>Rolled</w:t>
            </w:r>
            <w:r>
              <w:rPr>
                <w:i/>
                <w:spacing w:val="-2"/>
                <w:sz w:val="24"/>
              </w:rPr>
              <w:t xml:space="preserve"> </w:t>
            </w:r>
            <w:r>
              <w:rPr>
                <w:i/>
                <w:sz w:val="24"/>
              </w:rPr>
              <w:t>Steel</w:t>
            </w:r>
            <w:r>
              <w:rPr>
                <w:i/>
                <w:spacing w:val="-2"/>
                <w:sz w:val="24"/>
              </w:rPr>
              <w:t xml:space="preserve"> </w:t>
            </w:r>
            <w:r>
              <w:rPr>
                <w:i/>
                <w:sz w:val="24"/>
              </w:rPr>
              <w:t>from</w:t>
            </w:r>
            <w:r>
              <w:rPr>
                <w:i/>
                <w:spacing w:val="-2"/>
                <w:sz w:val="24"/>
              </w:rPr>
              <w:t xml:space="preserve"> </w:t>
            </w:r>
            <w:r>
              <w:rPr>
                <w:i/>
                <w:sz w:val="24"/>
              </w:rPr>
              <w:t>Turkey</w:t>
            </w:r>
            <w:r>
              <w:rPr>
                <w:sz w:val="24"/>
              </w:rPr>
              <w:t>,</w:t>
            </w:r>
            <w:r>
              <w:rPr>
                <w:spacing w:val="-1"/>
                <w:sz w:val="24"/>
              </w:rPr>
              <w:t xml:space="preserve"> </w:t>
            </w:r>
            <w:r>
              <w:rPr>
                <w:sz w:val="24"/>
              </w:rPr>
              <w:t>WT/DS513/R</w:t>
            </w:r>
            <w:r>
              <w:rPr>
                <w:spacing w:val="-2"/>
                <w:sz w:val="24"/>
              </w:rPr>
              <w:t xml:space="preserve"> </w:t>
            </w:r>
            <w:r>
              <w:rPr>
                <w:sz w:val="24"/>
              </w:rPr>
              <w:t>and</w:t>
            </w:r>
            <w:r>
              <w:rPr>
                <w:spacing w:val="-1"/>
                <w:sz w:val="24"/>
              </w:rPr>
              <w:t xml:space="preserve"> </w:t>
            </w:r>
            <w:r>
              <w:rPr>
                <w:sz w:val="24"/>
              </w:rPr>
              <w:t>Add.1,</w:t>
            </w:r>
            <w:r>
              <w:rPr>
                <w:spacing w:val="-2"/>
                <w:sz w:val="24"/>
              </w:rPr>
              <w:t xml:space="preserve"> </w:t>
            </w:r>
            <w:r>
              <w:rPr>
                <w:sz w:val="24"/>
              </w:rPr>
              <w:t>adopted</w:t>
            </w:r>
            <w:r>
              <w:rPr>
                <w:spacing w:val="-1"/>
                <w:sz w:val="24"/>
              </w:rPr>
              <w:t xml:space="preserve"> </w:t>
            </w:r>
            <w:r>
              <w:rPr>
                <w:spacing w:val="-10"/>
                <w:sz w:val="24"/>
              </w:rPr>
              <w:t>8</w:t>
            </w:r>
          </w:p>
        </w:tc>
      </w:tr>
      <w:tr w:rsidR="0010369C" w14:paraId="51DE76F4" w14:textId="77777777">
        <w:trPr>
          <w:trHeight w:val="292"/>
        </w:trPr>
        <w:tc>
          <w:tcPr>
            <w:tcW w:w="2255" w:type="dxa"/>
            <w:tcBorders>
              <w:top w:val="nil"/>
              <w:bottom w:val="nil"/>
            </w:tcBorders>
          </w:tcPr>
          <w:p w14:paraId="51DE76F2" w14:textId="77777777" w:rsidR="0010369C" w:rsidRDefault="008E43AE">
            <w:pPr>
              <w:pStyle w:val="TableParagraph"/>
              <w:spacing w:line="271" w:lineRule="exact"/>
              <w:ind w:left="107"/>
              <w:rPr>
                <w:sz w:val="24"/>
              </w:rPr>
            </w:pPr>
            <w:r>
              <w:rPr>
                <w:i/>
                <w:sz w:val="24"/>
              </w:rPr>
              <w:t>(Turkey)</w:t>
            </w:r>
            <w:r>
              <w:rPr>
                <w:b/>
                <w:i/>
                <w:sz w:val="24"/>
              </w:rPr>
              <w:t>,</w:t>
            </w:r>
            <w:r>
              <w:rPr>
                <w:b/>
                <w:i/>
                <w:spacing w:val="-2"/>
                <w:sz w:val="24"/>
              </w:rPr>
              <w:t xml:space="preserve"> </w:t>
            </w:r>
            <w:r>
              <w:rPr>
                <w:spacing w:val="-2"/>
                <w:sz w:val="24"/>
              </w:rPr>
              <w:t>para.</w:t>
            </w:r>
          </w:p>
        </w:tc>
        <w:tc>
          <w:tcPr>
            <w:tcW w:w="6761" w:type="dxa"/>
            <w:tcBorders>
              <w:top w:val="nil"/>
              <w:bottom w:val="nil"/>
            </w:tcBorders>
          </w:tcPr>
          <w:p w14:paraId="51DE76F3" w14:textId="77777777" w:rsidR="0010369C" w:rsidRDefault="008E43AE">
            <w:pPr>
              <w:pStyle w:val="TableParagraph"/>
              <w:spacing w:line="271" w:lineRule="exact"/>
              <w:ind w:left="106"/>
              <w:rPr>
                <w:sz w:val="24"/>
              </w:rPr>
            </w:pPr>
            <w:r>
              <w:rPr>
                <w:sz w:val="24"/>
              </w:rPr>
              <w:t>January</w:t>
            </w:r>
            <w:r>
              <w:rPr>
                <w:spacing w:val="-5"/>
                <w:sz w:val="24"/>
              </w:rPr>
              <w:t xml:space="preserve"> </w:t>
            </w:r>
            <w:r>
              <w:rPr>
                <w:sz w:val="24"/>
              </w:rPr>
              <w:t>2020;</w:t>
            </w:r>
            <w:r>
              <w:rPr>
                <w:spacing w:val="-2"/>
                <w:sz w:val="24"/>
              </w:rPr>
              <w:t xml:space="preserve"> </w:t>
            </w:r>
            <w:r>
              <w:rPr>
                <w:sz w:val="24"/>
              </w:rPr>
              <w:t>appeal</w:t>
            </w:r>
            <w:r>
              <w:rPr>
                <w:spacing w:val="-2"/>
                <w:sz w:val="24"/>
              </w:rPr>
              <w:t xml:space="preserve"> </w:t>
            </w:r>
            <w:r>
              <w:rPr>
                <w:sz w:val="24"/>
              </w:rPr>
              <w:t>withdrawn</w:t>
            </w:r>
            <w:r>
              <w:rPr>
                <w:spacing w:val="-3"/>
                <w:sz w:val="24"/>
              </w:rPr>
              <w:t xml:space="preserve"> </w:t>
            </w:r>
            <w:r>
              <w:rPr>
                <w:sz w:val="24"/>
              </w:rPr>
              <w:t>by</w:t>
            </w:r>
            <w:r>
              <w:rPr>
                <w:spacing w:val="-2"/>
                <w:sz w:val="24"/>
              </w:rPr>
              <w:t xml:space="preserve"> </w:t>
            </w:r>
            <w:r>
              <w:rPr>
                <w:sz w:val="24"/>
              </w:rPr>
              <w:t>Morocco</w:t>
            </w:r>
            <w:r>
              <w:rPr>
                <w:spacing w:val="-1"/>
                <w:sz w:val="24"/>
              </w:rPr>
              <w:t xml:space="preserve"> </w:t>
            </w:r>
            <w:r>
              <w:rPr>
                <w:sz w:val="24"/>
              </w:rPr>
              <w:t>as</w:t>
            </w:r>
            <w:r>
              <w:rPr>
                <w:spacing w:val="-3"/>
                <w:sz w:val="24"/>
              </w:rPr>
              <w:t xml:space="preserve"> </w:t>
            </w:r>
            <w:r>
              <w:rPr>
                <w:sz w:val="24"/>
              </w:rPr>
              <w:t>reflected</w:t>
            </w:r>
            <w:r>
              <w:rPr>
                <w:spacing w:val="-3"/>
                <w:sz w:val="24"/>
              </w:rPr>
              <w:t xml:space="preserve"> </w:t>
            </w:r>
            <w:r>
              <w:rPr>
                <w:spacing w:val="-5"/>
                <w:sz w:val="24"/>
              </w:rPr>
              <w:t>in</w:t>
            </w:r>
          </w:p>
        </w:tc>
      </w:tr>
      <w:tr w:rsidR="0010369C" w14:paraId="51DE76F7" w14:textId="77777777">
        <w:trPr>
          <w:trHeight w:val="270"/>
        </w:trPr>
        <w:tc>
          <w:tcPr>
            <w:tcW w:w="2255" w:type="dxa"/>
            <w:tcBorders>
              <w:top w:val="nil"/>
            </w:tcBorders>
          </w:tcPr>
          <w:p w14:paraId="51DE76F5" w14:textId="77777777" w:rsidR="0010369C" w:rsidRDefault="008E43AE">
            <w:pPr>
              <w:pStyle w:val="TableParagraph"/>
              <w:spacing w:line="251" w:lineRule="exact"/>
              <w:ind w:left="107"/>
              <w:rPr>
                <w:sz w:val="24"/>
              </w:rPr>
            </w:pPr>
            <w:r>
              <w:rPr>
                <w:spacing w:val="-2"/>
                <w:sz w:val="24"/>
              </w:rPr>
              <w:t>7.272.</w:t>
            </w:r>
          </w:p>
        </w:tc>
        <w:tc>
          <w:tcPr>
            <w:tcW w:w="6761" w:type="dxa"/>
            <w:tcBorders>
              <w:top w:val="nil"/>
            </w:tcBorders>
          </w:tcPr>
          <w:p w14:paraId="51DE76F6" w14:textId="77777777" w:rsidR="0010369C" w:rsidRDefault="008E43AE">
            <w:pPr>
              <w:pStyle w:val="TableParagraph"/>
              <w:spacing w:line="251" w:lineRule="exact"/>
              <w:ind w:left="106"/>
              <w:rPr>
                <w:sz w:val="24"/>
              </w:rPr>
            </w:pPr>
            <w:r>
              <w:rPr>
                <w:sz w:val="24"/>
              </w:rPr>
              <w:t>Appellate</w:t>
            </w:r>
            <w:r>
              <w:rPr>
                <w:spacing w:val="-5"/>
                <w:sz w:val="24"/>
              </w:rPr>
              <w:t xml:space="preserve"> </w:t>
            </w:r>
            <w:r>
              <w:rPr>
                <w:sz w:val="24"/>
              </w:rPr>
              <w:t>Body</w:t>
            </w:r>
            <w:r>
              <w:rPr>
                <w:spacing w:val="-4"/>
                <w:sz w:val="24"/>
              </w:rPr>
              <w:t xml:space="preserve"> </w:t>
            </w:r>
            <w:r>
              <w:rPr>
                <w:sz w:val="24"/>
              </w:rPr>
              <w:t>Report</w:t>
            </w:r>
            <w:r>
              <w:rPr>
                <w:spacing w:val="-6"/>
                <w:sz w:val="24"/>
              </w:rPr>
              <w:t xml:space="preserve"> </w:t>
            </w:r>
            <w:r>
              <w:rPr>
                <w:spacing w:val="-2"/>
                <w:sz w:val="24"/>
              </w:rPr>
              <w:t>WT/DS513/AB/R</w:t>
            </w:r>
          </w:p>
        </w:tc>
      </w:tr>
      <w:tr w:rsidR="0010369C" w14:paraId="51DE76FA" w14:textId="77777777">
        <w:trPr>
          <w:trHeight w:val="315"/>
        </w:trPr>
        <w:tc>
          <w:tcPr>
            <w:tcW w:w="2255" w:type="dxa"/>
            <w:tcBorders>
              <w:bottom w:val="nil"/>
            </w:tcBorders>
          </w:tcPr>
          <w:p w14:paraId="51DE76F8" w14:textId="77777777" w:rsidR="0010369C" w:rsidRDefault="008E43AE">
            <w:pPr>
              <w:pStyle w:val="TableParagraph"/>
              <w:ind w:left="107"/>
              <w:rPr>
                <w:i/>
                <w:sz w:val="24"/>
              </w:rPr>
            </w:pPr>
            <w:r>
              <w:rPr>
                <w:i/>
                <w:sz w:val="24"/>
              </w:rPr>
              <w:t>Pakistan</w:t>
            </w:r>
            <w:r>
              <w:rPr>
                <w:i/>
                <w:spacing w:val="-1"/>
                <w:sz w:val="24"/>
              </w:rPr>
              <w:t xml:space="preserve"> </w:t>
            </w:r>
            <w:r>
              <w:rPr>
                <w:i/>
                <w:sz w:val="24"/>
              </w:rPr>
              <w:t xml:space="preserve">– </w:t>
            </w:r>
            <w:r>
              <w:rPr>
                <w:i/>
                <w:spacing w:val="-4"/>
                <w:sz w:val="24"/>
              </w:rPr>
              <w:t>BOPP</w:t>
            </w:r>
          </w:p>
        </w:tc>
        <w:tc>
          <w:tcPr>
            <w:tcW w:w="6761" w:type="dxa"/>
            <w:tcBorders>
              <w:bottom w:val="nil"/>
            </w:tcBorders>
          </w:tcPr>
          <w:p w14:paraId="51DE76F9" w14:textId="77777777" w:rsidR="0010369C" w:rsidRDefault="008E43AE">
            <w:pPr>
              <w:pStyle w:val="TableParagraph"/>
              <w:ind w:left="106"/>
              <w:rPr>
                <w:i/>
                <w:sz w:val="24"/>
              </w:rPr>
            </w:pPr>
            <w:r>
              <w:rPr>
                <w:sz w:val="24"/>
              </w:rPr>
              <w:t>Panel</w:t>
            </w:r>
            <w:r>
              <w:rPr>
                <w:spacing w:val="-3"/>
                <w:sz w:val="24"/>
              </w:rPr>
              <w:t xml:space="preserve"> </w:t>
            </w:r>
            <w:r>
              <w:rPr>
                <w:sz w:val="24"/>
              </w:rPr>
              <w:t>Report,</w:t>
            </w:r>
            <w:r>
              <w:rPr>
                <w:spacing w:val="-2"/>
                <w:sz w:val="24"/>
              </w:rPr>
              <w:t xml:space="preserve"> </w:t>
            </w:r>
            <w:r>
              <w:rPr>
                <w:i/>
                <w:sz w:val="24"/>
              </w:rPr>
              <w:t>Pakistan</w:t>
            </w:r>
            <w:r>
              <w:rPr>
                <w:i/>
                <w:spacing w:val="-3"/>
                <w:sz w:val="24"/>
              </w:rPr>
              <w:t xml:space="preserve"> </w:t>
            </w:r>
            <w:r>
              <w:rPr>
                <w:i/>
                <w:sz w:val="24"/>
              </w:rPr>
              <w:t>–</w:t>
            </w:r>
            <w:r>
              <w:rPr>
                <w:i/>
                <w:spacing w:val="-2"/>
                <w:sz w:val="24"/>
              </w:rPr>
              <w:t xml:space="preserve"> </w:t>
            </w:r>
            <w:r>
              <w:rPr>
                <w:i/>
                <w:sz w:val="24"/>
              </w:rPr>
              <w:t>Anti‐Dumping</w:t>
            </w:r>
            <w:r>
              <w:rPr>
                <w:i/>
                <w:spacing w:val="-2"/>
                <w:sz w:val="24"/>
              </w:rPr>
              <w:t xml:space="preserve"> </w:t>
            </w:r>
            <w:r>
              <w:rPr>
                <w:i/>
                <w:sz w:val="24"/>
              </w:rPr>
              <w:t>Measures</w:t>
            </w:r>
            <w:r>
              <w:rPr>
                <w:i/>
                <w:spacing w:val="-2"/>
                <w:sz w:val="24"/>
              </w:rPr>
              <w:t xml:space="preserve"> </w:t>
            </w:r>
            <w:r>
              <w:rPr>
                <w:i/>
                <w:sz w:val="24"/>
              </w:rPr>
              <w:t>on</w:t>
            </w:r>
            <w:r>
              <w:rPr>
                <w:i/>
                <w:spacing w:val="-1"/>
                <w:sz w:val="24"/>
              </w:rPr>
              <w:t xml:space="preserve"> </w:t>
            </w:r>
            <w:r>
              <w:rPr>
                <w:i/>
                <w:spacing w:val="-2"/>
                <w:sz w:val="24"/>
              </w:rPr>
              <w:t>Biaxially</w:t>
            </w:r>
          </w:p>
        </w:tc>
      </w:tr>
      <w:tr w:rsidR="0010369C" w14:paraId="51DE76FD" w14:textId="77777777">
        <w:trPr>
          <w:trHeight w:val="292"/>
        </w:trPr>
        <w:tc>
          <w:tcPr>
            <w:tcW w:w="2255" w:type="dxa"/>
            <w:tcBorders>
              <w:top w:val="nil"/>
              <w:bottom w:val="nil"/>
            </w:tcBorders>
          </w:tcPr>
          <w:p w14:paraId="51DE76FB" w14:textId="77777777" w:rsidR="0010369C" w:rsidRDefault="008E43AE">
            <w:pPr>
              <w:pStyle w:val="TableParagraph"/>
              <w:spacing w:line="271" w:lineRule="exact"/>
              <w:ind w:left="107"/>
              <w:rPr>
                <w:sz w:val="24"/>
              </w:rPr>
            </w:pPr>
            <w:r>
              <w:rPr>
                <w:i/>
                <w:sz w:val="24"/>
              </w:rPr>
              <w:t>Film</w:t>
            </w:r>
            <w:r>
              <w:rPr>
                <w:i/>
                <w:spacing w:val="-1"/>
                <w:sz w:val="24"/>
              </w:rPr>
              <w:t xml:space="preserve"> </w:t>
            </w:r>
            <w:r>
              <w:rPr>
                <w:i/>
                <w:sz w:val="24"/>
              </w:rPr>
              <w:t>(UAE)</w:t>
            </w:r>
            <w:r>
              <w:rPr>
                <w:sz w:val="24"/>
              </w:rPr>
              <w:t>,</w:t>
            </w:r>
            <w:r>
              <w:rPr>
                <w:spacing w:val="-2"/>
                <w:sz w:val="24"/>
              </w:rPr>
              <w:t xml:space="preserve"> para.</w:t>
            </w:r>
          </w:p>
        </w:tc>
        <w:tc>
          <w:tcPr>
            <w:tcW w:w="6761" w:type="dxa"/>
            <w:tcBorders>
              <w:top w:val="nil"/>
              <w:bottom w:val="nil"/>
            </w:tcBorders>
          </w:tcPr>
          <w:p w14:paraId="51DE76FC" w14:textId="77777777" w:rsidR="0010369C" w:rsidRDefault="008E43AE">
            <w:pPr>
              <w:pStyle w:val="TableParagraph"/>
              <w:spacing w:line="271" w:lineRule="exact"/>
              <w:ind w:left="106"/>
              <w:rPr>
                <w:sz w:val="24"/>
              </w:rPr>
            </w:pPr>
            <w:r>
              <w:rPr>
                <w:i/>
                <w:sz w:val="24"/>
              </w:rPr>
              <w:t>Oriented</w:t>
            </w:r>
            <w:r>
              <w:rPr>
                <w:i/>
                <w:spacing w:val="-3"/>
                <w:sz w:val="24"/>
              </w:rPr>
              <w:t xml:space="preserve"> </w:t>
            </w:r>
            <w:r>
              <w:rPr>
                <w:i/>
                <w:sz w:val="24"/>
              </w:rPr>
              <w:t>Polypropylene</w:t>
            </w:r>
            <w:r>
              <w:rPr>
                <w:i/>
                <w:spacing w:val="-2"/>
                <w:sz w:val="24"/>
              </w:rPr>
              <w:t xml:space="preserve"> </w:t>
            </w:r>
            <w:r>
              <w:rPr>
                <w:i/>
                <w:sz w:val="24"/>
              </w:rPr>
              <w:t>Film</w:t>
            </w:r>
            <w:r>
              <w:rPr>
                <w:i/>
                <w:spacing w:val="-2"/>
                <w:sz w:val="24"/>
              </w:rPr>
              <w:t xml:space="preserve"> </w:t>
            </w:r>
            <w:r>
              <w:rPr>
                <w:i/>
                <w:sz w:val="24"/>
              </w:rPr>
              <w:t>from</w:t>
            </w:r>
            <w:r>
              <w:rPr>
                <w:i/>
                <w:spacing w:val="-1"/>
                <w:sz w:val="24"/>
              </w:rPr>
              <w:t xml:space="preserve"> </w:t>
            </w:r>
            <w:r>
              <w:rPr>
                <w:i/>
                <w:sz w:val="24"/>
              </w:rPr>
              <w:t>the</w:t>
            </w:r>
            <w:r>
              <w:rPr>
                <w:i/>
                <w:spacing w:val="-1"/>
                <w:sz w:val="24"/>
              </w:rPr>
              <w:t xml:space="preserve"> </w:t>
            </w:r>
            <w:r>
              <w:rPr>
                <w:i/>
                <w:sz w:val="24"/>
              </w:rPr>
              <w:t>United</w:t>
            </w:r>
            <w:r>
              <w:rPr>
                <w:i/>
                <w:spacing w:val="-2"/>
                <w:sz w:val="24"/>
              </w:rPr>
              <w:t xml:space="preserve"> </w:t>
            </w:r>
            <w:r>
              <w:rPr>
                <w:i/>
                <w:sz w:val="24"/>
              </w:rPr>
              <w:t>Arab</w:t>
            </w:r>
            <w:r>
              <w:rPr>
                <w:i/>
                <w:spacing w:val="-1"/>
                <w:sz w:val="24"/>
              </w:rPr>
              <w:t xml:space="preserve"> </w:t>
            </w:r>
            <w:r>
              <w:rPr>
                <w:i/>
                <w:spacing w:val="-2"/>
                <w:sz w:val="24"/>
              </w:rPr>
              <w:t>Emirates</w:t>
            </w:r>
            <w:r>
              <w:rPr>
                <w:spacing w:val="-2"/>
                <w:sz w:val="24"/>
              </w:rPr>
              <w:t>,</w:t>
            </w:r>
          </w:p>
        </w:tc>
      </w:tr>
      <w:tr w:rsidR="0010369C" w14:paraId="51DE7700" w14:textId="77777777">
        <w:trPr>
          <w:trHeight w:val="292"/>
        </w:trPr>
        <w:tc>
          <w:tcPr>
            <w:tcW w:w="2255" w:type="dxa"/>
            <w:tcBorders>
              <w:top w:val="nil"/>
              <w:bottom w:val="nil"/>
            </w:tcBorders>
          </w:tcPr>
          <w:p w14:paraId="51DE76FE" w14:textId="77777777" w:rsidR="0010369C" w:rsidRDefault="008E43AE">
            <w:pPr>
              <w:pStyle w:val="TableParagraph"/>
              <w:spacing w:line="271" w:lineRule="exact"/>
              <w:ind w:left="107"/>
              <w:rPr>
                <w:sz w:val="24"/>
              </w:rPr>
            </w:pPr>
            <w:r>
              <w:rPr>
                <w:sz w:val="24"/>
              </w:rPr>
              <w:t>7.258.</w:t>
            </w:r>
            <w:r>
              <w:rPr>
                <w:spacing w:val="-5"/>
                <w:sz w:val="24"/>
              </w:rPr>
              <w:t xml:space="preserve"> </w:t>
            </w:r>
            <w:r>
              <w:rPr>
                <w:spacing w:val="-2"/>
                <w:sz w:val="24"/>
              </w:rPr>
              <w:t>(footnote</w:t>
            </w:r>
          </w:p>
        </w:tc>
        <w:tc>
          <w:tcPr>
            <w:tcW w:w="6761" w:type="dxa"/>
            <w:tcBorders>
              <w:top w:val="nil"/>
              <w:bottom w:val="nil"/>
            </w:tcBorders>
          </w:tcPr>
          <w:p w14:paraId="51DE76FF" w14:textId="77777777" w:rsidR="0010369C" w:rsidRDefault="008E43AE">
            <w:pPr>
              <w:pStyle w:val="TableParagraph"/>
              <w:spacing w:line="271" w:lineRule="exact"/>
              <w:ind w:left="106"/>
              <w:rPr>
                <w:sz w:val="24"/>
              </w:rPr>
            </w:pPr>
            <w:r>
              <w:rPr>
                <w:sz w:val="24"/>
              </w:rPr>
              <w:t>WT/DS538/R</w:t>
            </w:r>
            <w:r>
              <w:rPr>
                <w:spacing w:val="-5"/>
                <w:sz w:val="24"/>
              </w:rPr>
              <w:t xml:space="preserve"> </w:t>
            </w:r>
            <w:r>
              <w:rPr>
                <w:sz w:val="24"/>
              </w:rPr>
              <w:t>and</w:t>
            </w:r>
            <w:r>
              <w:rPr>
                <w:spacing w:val="-2"/>
                <w:sz w:val="24"/>
              </w:rPr>
              <w:t xml:space="preserve"> </w:t>
            </w:r>
            <w:r>
              <w:rPr>
                <w:sz w:val="24"/>
              </w:rPr>
              <w:t>Add.1,</w:t>
            </w:r>
            <w:r>
              <w:rPr>
                <w:spacing w:val="-3"/>
                <w:sz w:val="24"/>
              </w:rPr>
              <w:t xml:space="preserve"> </w:t>
            </w:r>
            <w:r>
              <w:rPr>
                <w:sz w:val="24"/>
              </w:rPr>
              <w:t>circulated</w:t>
            </w:r>
            <w:r>
              <w:rPr>
                <w:spacing w:val="-2"/>
                <w:sz w:val="24"/>
              </w:rPr>
              <w:t xml:space="preserve"> </w:t>
            </w:r>
            <w:r>
              <w:rPr>
                <w:sz w:val="24"/>
              </w:rPr>
              <w:t>to</w:t>
            </w:r>
            <w:r>
              <w:rPr>
                <w:spacing w:val="-2"/>
                <w:sz w:val="24"/>
              </w:rPr>
              <w:t xml:space="preserve"> </w:t>
            </w:r>
            <w:r>
              <w:rPr>
                <w:sz w:val="24"/>
              </w:rPr>
              <w:t>WTO</w:t>
            </w:r>
            <w:r>
              <w:rPr>
                <w:spacing w:val="-2"/>
                <w:sz w:val="24"/>
              </w:rPr>
              <w:t xml:space="preserve"> </w:t>
            </w:r>
            <w:r>
              <w:rPr>
                <w:sz w:val="24"/>
              </w:rPr>
              <w:t>Members</w:t>
            </w:r>
            <w:r>
              <w:rPr>
                <w:spacing w:val="-3"/>
                <w:sz w:val="24"/>
              </w:rPr>
              <w:t xml:space="preserve"> </w:t>
            </w:r>
            <w:r>
              <w:rPr>
                <w:sz w:val="24"/>
              </w:rPr>
              <w:t>18</w:t>
            </w:r>
            <w:r>
              <w:rPr>
                <w:spacing w:val="-2"/>
                <w:sz w:val="24"/>
              </w:rPr>
              <w:t xml:space="preserve"> January</w:t>
            </w:r>
          </w:p>
        </w:tc>
      </w:tr>
      <w:tr w:rsidR="0010369C" w14:paraId="51DE7703" w14:textId="77777777">
        <w:trPr>
          <w:trHeight w:val="270"/>
        </w:trPr>
        <w:tc>
          <w:tcPr>
            <w:tcW w:w="2255" w:type="dxa"/>
            <w:tcBorders>
              <w:top w:val="nil"/>
            </w:tcBorders>
          </w:tcPr>
          <w:p w14:paraId="51DE7701" w14:textId="77777777" w:rsidR="0010369C" w:rsidRDefault="008E43AE">
            <w:pPr>
              <w:pStyle w:val="TableParagraph"/>
              <w:spacing w:line="251" w:lineRule="exact"/>
              <w:ind w:left="107"/>
              <w:rPr>
                <w:sz w:val="24"/>
              </w:rPr>
            </w:pPr>
            <w:r>
              <w:rPr>
                <w:spacing w:val="-2"/>
                <w:sz w:val="24"/>
              </w:rPr>
              <w:t>omitted).</w:t>
            </w:r>
          </w:p>
        </w:tc>
        <w:tc>
          <w:tcPr>
            <w:tcW w:w="6761" w:type="dxa"/>
            <w:tcBorders>
              <w:top w:val="nil"/>
            </w:tcBorders>
          </w:tcPr>
          <w:p w14:paraId="51DE7702" w14:textId="77777777" w:rsidR="0010369C" w:rsidRDefault="008E43AE">
            <w:pPr>
              <w:pStyle w:val="TableParagraph"/>
              <w:spacing w:line="251" w:lineRule="exact"/>
              <w:ind w:left="106"/>
              <w:rPr>
                <w:sz w:val="24"/>
              </w:rPr>
            </w:pPr>
            <w:r>
              <w:rPr>
                <w:sz w:val="24"/>
              </w:rPr>
              <w:t>2021</w:t>
            </w:r>
            <w:r>
              <w:rPr>
                <w:spacing w:val="-4"/>
                <w:sz w:val="24"/>
              </w:rPr>
              <w:t xml:space="preserve"> </w:t>
            </w:r>
            <w:r>
              <w:rPr>
                <w:sz w:val="24"/>
              </w:rPr>
              <w:t>[appealed;</w:t>
            </w:r>
            <w:r>
              <w:rPr>
                <w:spacing w:val="-5"/>
                <w:sz w:val="24"/>
              </w:rPr>
              <w:t xml:space="preserve"> </w:t>
            </w:r>
            <w:r>
              <w:rPr>
                <w:sz w:val="24"/>
              </w:rPr>
              <w:t>adoption</w:t>
            </w:r>
            <w:r>
              <w:rPr>
                <w:spacing w:val="-3"/>
                <w:sz w:val="24"/>
              </w:rPr>
              <w:t xml:space="preserve"> </w:t>
            </w:r>
            <w:r>
              <w:rPr>
                <w:spacing w:val="-2"/>
                <w:sz w:val="24"/>
              </w:rPr>
              <w:t>pending]</w:t>
            </w:r>
          </w:p>
        </w:tc>
      </w:tr>
      <w:tr w:rsidR="0010369C" w14:paraId="51DE7706" w14:textId="77777777">
        <w:trPr>
          <w:trHeight w:val="880"/>
        </w:trPr>
        <w:tc>
          <w:tcPr>
            <w:tcW w:w="2255" w:type="dxa"/>
          </w:tcPr>
          <w:p w14:paraId="51DE7704" w14:textId="77777777" w:rsidR="0010369C" w:rsidRDefault="008E43AE">
            <w:pPr>
              <w:pStyle w:val="TableParagraph"/>
              <w:ind w:left="107"/>
              <w:rPr>
                <w:i/>
                <w:sz w:val="24"/>
              </w:rPr>
            </w:pPr>
            <w:r>
              <w:rPr>
                <w:i/>
                <w:sz w:val="24"/>
              </w:rPr>
              <w:t>Russia</w:t>
            </w:r>
            <w:r>
              <w:rPr>
                <w:i/>
                <w:spacing w:val="-14"/>
                <w:sz w:val="24"/>
              </w:rPr>
              <w:t xml:space="preserve"> </w:t>
            </w:r>
            <w:r>
              <w:rPr>
                <w:i/>
                <w:sz w:val="24"/>
              </w:rPr>
              <w:t>‐</w:t>
            </w:r>
            <w:r>
              <w:rPr>
                <w:i/>
                <w:spacing w:val="-14"/>
                <w:sz w:val="24"/>
              </w:rPr>
              <w:t xml:space="preserve"> </w:t>
            </w:r>
            <w:r>
              <w:rPr>
                <w:i/>
                <w:sz w:val="24"/>
              </w:rPr>
              <w:t xml:space="preserve">Commercial </w:t>
            </w:r>
            <w:r>
              <w:rPr>
                <w:i/>
                <w:spacing w:val="-2"/>
                <w:sz w:val="24"/>
              </w:rPr>
              <w:t>Vehicles</w:t>
            </w:r>
          </w:p>
        </w:tc>
        <w:tc>
          <w:tcPr>
            <w:tcW w:w="6761" w:type="dxa"/>
          </w:tcPr>
          <w:p w14:paraId="51DE7705" w14:textId="77777777" w:rsidR="0010369C" w:rsidRDefault="008E43AE">
            <w:pPr>
              <w:pStyle w:val="TableParagraph"/>
              <w:spacing w:line="290" w:lineRule="atLeast"/>
              <w:ind w:left="106" w:right="214"/>
              <w:rPr>
                <w:sz w:val="24"/>
              </w:rPr>
            </w:pPr>
            <w:r>
              <w:rPr>
                <w:sz w:val="24"/>
              </w:rPr>
              <w:t xml:space="preserve">Appellate Body Report, </w:t>
            </w:r>
            <w:r>
              <w:rPr>
                <w:i/>
                <w:sz w:val="24"/>
              </w:rPr>
              <w:t>Russia – Anti‐Dumping Duties on Light Commercial</w:t>
            </w:r>
            <w:r>
              <w:rPr>
                <w:i/>
                <w:spacing w:val="-6"/>
                <w:sz w:val="24"/>
              </w:rPr>
              <w:t xml:space="preserve"> </w:t>
            </w:r>
            <w:r>
              <w:rPr>
                <w:i/>
                <w:sz w:val="24"/>
              </w:rPr>
              <w:t>Vehicles</w:t>
            </w:r>
            <w:r>
              <w:rPr>
                <w:i/>
                <w:spacing w:val="-6"/>
                <w:sz w:val="24"/>
              </w:rPr>
              <w:t xml:space="preserve"> </w:t>
            </w:r>
            <w:r>
              <w:rPr>
                <w:i/>
                <w:sz w:val="24"/>
              </w:rPr>
              <w:t>from</w:t>
            </w:r>
            <w:r>
              <w:rPr>
                <w:i/>
                <w:spacing w:val="-6"/>
                <w:sz w:val="24"/>
              </w:rPr>
              <w:t xml:space="preserve"> </w:t>
            </w:r>
            <w:r>
              <w:rPr>
                <w:i/>
                <w:sz w:val="24"/>
              </w:rPr>
              <w:t>Germany</w:t>
            </w:r>
            <w:r>
              <w:rPr>
                <w:i/>
                <w:spacing w:val="-7"/>
                <w:sz w:val="24"/>
              </w:rPr>
              <w:t xml:space="preserve"> </w:t>
            </w:r>
            <w:r>
              <w:rPr>
                <w:i/>
                <w:sz w:val="24"/>
              </w:rPr>
              <w:t>and</w:t>
            </w:r>
            <w:r>
              <w:rPr>
                <w:i/>
                <w:spacing w:val="-6"/>
                <w:sz w:val="24"/>
              </w:rPr>
              <w:t xml:space="preserve"> </w:t>
            </w:r>
            <w:r>
              <w:rPr>
                <w:i/>
                <w:sz w:val="24"/>
              </w:rPr>
              <w:t>Italy</w:t>
            </w:r>
            <w:r>
              <w:rPr>
                <w:sz w:val="24"/>
              </w:rPr>
              <w:t>,</w:t>
            </w:r>
            <w:r>
              <w:rPr>
                <w:spacing w:val="-7"/>
                <w:sz w:val="24"/>
              </w:rPr>
              <w:t xml:space="preserve"> </w:t>
            </w:r>
            <w:r>
              <w:rPr>
                <w:sz w:val="24"/>
              </w:rPr>
              <w:t>WT/DS479/AB/R and Add.1, adopted 9 April 2018, DSR 2018:III, p. 1167</w:t>
            </w:r>
          </w:p>
        </w:tc>
      </w:tr>
      <w:tr w:rsidR="0010369C" w14:paraId="51DE7709" w14:textId="77777777">
        <w:trPr>
          <w:trHeight w:val="313"/>
        </w:trPr>
        <w:tc>
          <w:tcPr>
            <w:tcW w:w="2255" w:type="dxa"/>
            <w:tcBorders>
              <w:bottom w:val="nil"/>
            </w:tcBorders>
          </w:tcPr>
          <w:p w14:paraId="51DE7707" w14:textId="77777777" w:rsidR="0010369C" w:rsidRDefault="008E43AE">
            <w:pPr>
              <w:pStyle w:val="TableParagraph"/>
              <w:spacing w:line="292" w:lineRule="exact"/>
              <w:ind w:left="107"/>
              <w:rPr>
                <w:i/>
                <w:sz w:val="24"/>
              </w:rPr>
            </w:pPr>
            <w:r>
              <w:rPr>
                <w:i/>
                <w:sz w:val="24"/>
              </w:rPr>
              <w:t>Russia</w:t>
            </w:r>
            <w:r>
              <w:rPr>
                <w:i/>
                <w:spacing w:val="-1"/>
                <w:sz w:val="24"/>
              </w:rPr>
              <w:t xml:space="preserve"> </w:t>
            </w:r>
            <w:r>
              <w:rPr>
                <w:i/>
                <w:sz w:val="24"/>
              </w:rPr>
              <w:t>–</w:t>
            </w:r>
            <w:r>
              <w:rPr>
                <w:i/>
                <w:spacing w:val="-1"/>
                <w:sz w:val="24"/>
              </w:rPr>
              <w:t xml:space="preserve"> </w:t>
            </w:r>
            <w:r>
              <w:rPr>
                <w:i/>
                <w:spacing w:val="-2"/>
                <w:sz w:val="24"/>
              </w:rPr>
              <w:t>Commercial</w:t>
            </w:r>
          </w:p>
        </w:tc>
        <w:tc>
          <w:tcPr>
            <w:tcW w:w="6761" w:type="dxa"/>
            <w:tcBorders>
              <w:bottom w:val="nil"/>
            </w:tcBorders>
          </w:tcPr>
          <w:p w14:paraId="51DE7708" w14:textId="77777777" w:rsidR="0010369C" w:rsidRDefault="008E43AE">
            <w:pPr>
              <w:pStyle w:val="TableParagraph"/>
              <w:spacing w:line="292" w:lineRule="exact"/>
              <w:ind w:left="106"/>
              <w:rPr>
                <w:i/>
                <w:sz w:val="24"/>
              </w:rPr>
            </w:pPr>
            <w:r>
              <w:rPr>
                <w:sz w:val="24"/>
              </w:rPr>
              <w:t>Panel</w:t>
            </w:r>
            <w:r>
              <w:rPr>
                <w:spacing w:val="-3"/>
                <w:sz w:val="24"/>
              </w:rPr>
              <w:t xml:space="preserve"> </w:t>
            </w:r>
            <w:r>
              <w:rPr>
                <w:sz w:val="24"/>
              </w:rPr>
              <w:t>Report,</w:t>
            </w:r>
            <w:r>
              <w:rPr>
                <w:spacing w:val="-1"/>
                <w:sz w:val="24"/>
              </w:rPr>
              <w:t xml:space="preserve"> </w:t>
            </w:r>
            <w:r>
              <w:rPr>
                <w:i/>
                <w:sz w:val="24"/>
              </w:rPr>
              <w:t>Russia</w:t>
            </w:r>
            <w:r>
              <w:rPr>
                <w:i/>
                <w:spacing w:val="-3"/>
                <w:sz w:val="24"/>
              </w:rPr>
              <w:t xml:space="preserve"> </w:t>
            </w:r>
            <w:r>
              <w:rPr>
                <w:i/>
                <w:sz w:val="24"/>
              </w:rPr>
              <w:t>–</w:t>
            </w:r>
            <w:r>
              <w:rPr>
                <w:i/>
                <w:spacing w:val="-1"/>
                <w:sz w:val="24"/>
              </w:rPr>
              <w:t xml:space="preserve"> </w:t>
            </w:r>
            <w:r>
              <w:rPr>
                <w:i/>
                <w:sz w:val="24"/>
              </w:rPr>
              <w:t>Anti‐Dumping</w:t>
            </w:r>
            <w:r>
              <w:rPr>
                <w:i/>
                <w:spacing w:val="-2"/>
                <w:sz w:val="24"/>
              </w:rPr>
              <w:t xml:space="preserve"> </w:t>
            </w:r>
            <w:r>
              <w:rPr>
                <w:i/>
                <w:sz w:val="24"/>
              </w:rPr>
              <w:t>Duties</w:t>
            </w:r>
            <w:r>
              <w:rPr>
                <w:i/>
                <w:spacing w:val="-3"/>
                <w:sz w:val="24"/>
              </w:rPr>
              <w:t xml:space="preserve"> </w:t>
            </w:r>
            <w:r>
              <w:rPr>
                <w:i/>
                <w:sz w:val="24"/>
              </w:rPr>
              <w:t>on</w:t>
            </w:r>
            <w:r>
              <w:rPr>
                <w:i/>
                <w:spacing w:val="-1"/>
                <w:sz w:val="24"/>
              </w:rPr>
              <w:t xml:space="preserve"> </w:t>
            </w:r>
            <w:r>
              <w:rPr>
                <w:i/>
                <w:sz w:val="24"/>
              </w:rPr>
              <w:t>Light</w:t>
            </w:r>
            <w:r>
              <w:rPr>
                <w:i/>
                <w:spacing w:val="-1"/>
                <w:sz w:val="24"/>
              </w:rPr>
              <w:t xml:space="preserve"> </w:t>
            </w:r>
            <w:r>
              <w:rPr>
                <w:i/>
                <w:spacing w:val="-2"/>
                <w:sz w:val="24"/>
              </w:rPr>
              <w:t>Commercial</w:t>
            </w:r>
          </w:p>
        </w:tc>
      </w:tr>
      <w:tr w:rsidR="0010369C" w14:paraId="51DE770D" w14:textId="77777777">
        <w:trPr>
          <w:trHeight w:val="857"/>
        </w:trPr>
        <w:tc>
          <w:tcPr>
            <w:tcW w:w="2255" w:type="dxa"/>
            <w:tcBorders>
              <w:top w:val="nil"/>
            </w:tcBorders>
          </w:tcPr>
          <w:p w14:paraId="51DE770A" w14:textId="77777777" w:rsidR="0010369C" w:rsidRDefault="008E43AE">
            <w:pPr>
              <w:pStyle w:val="TableParagraph"/>
              <w:spacing w:line="271" w:lineRule="exact"/>
              <w:ind w:left="107"/>
              <w:rPr>
                <w:i/>
                <w:sz w:val="24"/>
              </w:rPr>
            </w:pPr>
            <w:r>
              <w:rPr>
                <w:i/>
                <w:spacing w:val="-2"/>
                <w:sz w:val="24"/>
              </w:rPr>
              <w:t>Vehicles</w:t>
            </w:r>
          </w:p>
        </w:tc>
        <w:tc>
          <w:tcPr>
            <w:tcW w:w="6761" w:type="dxa"/>
            <w:tcBorders>
              <w:top w:val="nil"/>
            </w:tcBorders>
          </w:tcPr>
          <w:p w14:paraId="51DE770B" w14:textId="77777777" w:rsidR="0010369C" w:rsidRDefault="008E43AE">
            <w:pPr>
              <w:pStyle w:val="TableParagraph"/>
              <w:spacing w:line="271" w:lineRule="exact"/>
              <w:ind w:left="106"/>
              <w:rPr>
                <w:sz w:val="24"/>
              </w:rPr>
            </w:pPr>
            <w:r>
              <w:rPr>
                <w:i/>
                <w:sz w:val="24"/>
              </w:rPr>
              <w:t>Vehicles</w:t>
            </w:r>
            <w:r>
              <w:rPr>
                <w:i/>
                <w:spacing w:val="-5"/>
                <w:sz w:val="24"/>
              </w:rPr>
              <w:t xml:space="preserve"> </w:t>
            </w:r>
            <w:r>
              <w:rPr>
                <w:i/>
                <w:sz w:val="24"/>
              </w:rPr>
              <w:t>from</w:t>
            </w:r>
            <w:r>
              <w:rPr>
                <w:i/>
                <w:spacing w:val="-2"/>
                <w:sz w:val="24"/>
              </w:rPr>
              <w:t xml:space="preserve"> </w:t>
            </w:r>
            <w:r>
              <w:rPr>
                <w:i/>
                <w:sz w:val="24"/>
              </w:rPr>
              <w:t>Germany</w:t>
            </w:r>
            <w:r>
              <w:rPr>
                <w:i/>
                <w:spacing w:val="-4"/>
                <w:sz w:val="24"/>
              </w:rPr>
              <w:t xml:space="preserve"> </w:t>
            </w:r>
            <w:r>
              <w:rPr>
                <w:i/>
                <w:sz w:val="24"/>
              </w:rPr>
              <w:t>and</w:t>
            </w:r>
            <w:r>
              <w:rPr>
                <w:i/>
                <w:spacing w:val="-2"/>
                <w:sz w:val="24"/>
              </w:rPr>
              <w:t xml:space="preserve"> </w:t>
            </w:r>
            <w:r>
              <w:rPr>
                <w:i/>
                <w:sz w:val="24"/>
              </w:rPr>
              <w:t>Italy</w:t>
            </w:r>
            <w:r>
              <w:rPr>
                <w:sz w:val="24"/>
              </w:rPr>
              <w:t>,</w:t>
            </w:r>
            <w:r>
              <w:rPr>
                <w:spacing w:val="-3"/>
                <w:sz w:val="24"/>
              </w:rPr>
              <w:t xml:space="preserve"> </w:t>
            </w:r>
            <w:r>
              <w:rPr>
                <w:sz w:val="24"/>
              </w:rPr>
              <w:t>WT/DS479/R</w:t>
            </w:r>
            <w:r>
              <w:rPr>
                <w:spacing w:val="-4"/>
                <w:sz w:val="24"/>
              </w:rPr>
              <w:t xml:space="preserve"> </w:t>
            </w:r>
            <w:r>
              <w:rPr>
                <w:sz w:val="24"/>
              </w:rPr>
              <w:t>and</w:t>
            </w:r>
            <w:r>
              <w:rPr>
                <w:spacing w:val="-3"/>
                <w:sz w:val="24"/>
              </w:rPr>
              <w:t xml:space="preserve"> </w:t>
            </w:r>
            <w:r>
              <w:rPr>
                <w:sz w:val="24"/>
              </w:rPr>
              <w:t>Add.1,</w:t>
            </w:r>
            <w:r>
              <w:rPr>
                <w:spacing w:val="-3"/>
                <w:sz w:val="24"/>
              </w:rPr>
              <w:t xml:space="preserve"> </w:t>
            </w:r>
            <w:r>
              <w:rPr>
                <w:spacing w:val="-2"/>
                <w:sz w:val="24"/>
              </w:rPr>
              <w:t>adopted</w:t>
            </w:r>
          </w:p>
          <w:p w14:paraId="51DE770C" w14:textId="77777777" w:rsidR="0010369C" w:rsidRDefault="008E43AE">
            <w:pPr>
              <w:pStyle w:val="TableParagraph"/>
              <w:spacing w:line="290" w:lineRule="atLeast"/>
              <w:ind w:left="106" w:right="167"/>
              <w:rPr>
                <w:sz w:val="24"/>
              </w:rPr>
            </w:pPr>
            <w:r>
              <w:rPr>
                <w:sz w:val="24"/>
              </w:rPr>
              <w:t>9</w:t>
            </w:r>
            <w:r>
              <w:rPr>
                <w:spacing w:val="-5"/>
                <w:sz w:val="24"/>
              </w:rPr>
              <w:t xml:space="preserve"> </w:t>
            </w:r>
            <w:r>
              <w:rPr>
                <w:sz w:val="24"/>
              </w:rPr>
              <w:t>April</w:t>
            </w:r>
            <w:r>
              <w:rPr>
                <w:spacing w:val="-5"/>
                <w:sz w:val="24"/>
              </w:rPr>
              <w:t xml:space="preserve"> </w:t>
            </w:r>
            <w:r>
              <w:rPr>
                <w:sz w:val="24"/>
              </w:rPr>
              <w:t>2018,</w:t>
            </w:r>
            <w:r>
              <w:rPr>
                <w:spacing w:val="-5"/>
                <w:sz w:val="24"/>
              </w:rPr>
              <w:t xml:space="preserve"> </w:t>
            </w:r>
            <w:r>
              <w:rPr>
                <w:sz w:val="24"/>
              </w:rPr>
              <w:t>as</w:t>
            </w:r>
            <w:r>
              <w:rPr>
                <w:spacing w:val="-5"/>
                <w:sz w:val="24"/>
              </w:rPr>
              <w:t xml:space="preserve"> </w:t>
            </w:r>
            <w:r>
              <w:rPr>
                <w:sz w:val="24"/>
              </w:rPr>
              <w:t>modified</w:t>
            </w:r>
            <w:r>
              <w:rPr>
                <w:spacing w:val="-5"/>
                <w:sz w:val="24"/>
              </w:rPr>
              <w:t xml:space="preserve"> </w:t>
            </w:r>
            <w:r>
              <w:rPr>
                <w:sz w:val="24"/>
              </w:rPr>
              <w:t>by</w:t>
            </w:r>
            <w:r>
              <w:rPr>
                <w:spacing w:val="-4"/>
                <w:sz w:val="24"/>
              </w:rPr>
              <w:t xml:space="preserve"> </w:t>
            </w:r>
            <w:r>
              <w:rPr>
                <w:sz w:val="24"/>
              </w:rPr>
              <w:t>Appellate</w:t>
            </w:r>
            <w:r>
              <w:rPr>
                <w:spacing w:val="-5"/>
                <w:sz w:val="24"/>
              </w:rPr>
              <w:t xml:space="preserve"> </w:t>
            </w:r>
            <w:r>
              <w:rPr>
                <w:sz w:val="24"/>
              </w:rPr>
              <w:t>Body</w:t>
            </w:r>
            <w:r>
              <w:rPr>
                <w:spacing w:val="-5"/>
                <w:sz w:val="24"/>
              </w:rPr>
              <w:t xml:space="preserve"> </w:t>
            </w:r>
            <w:r>
              <w:rPr>
                <w:sz w:val="24"/>
              </w:rPr>
              <w:t>Report WT/DS479/AB/R, DSR 2018:III, p. 1329</w:t>
            </w:r>
          </w:p>
        </w:tc>
      </w:tr>
      <w:tr w:rsidR="0010369C" w14:paraId="51DE7711" w14:textId="77777777">
        <w:trPr>
          <w:trHeight w:val="1171"/>
        </w:trPr>
        <w:tc>
          <w:tcPr>
            <w:tcW w:w="2255" w:type="dxa"/>
          </w:tcPr>
          <w:p w14:paraId="51DE770E" w14:textId="77777777" w:rsidR="0010369C" w:rsidRDefault="008E43AE">
            <w:pPr>
              <w:pStyle w:val="TableParagraph"/>
              <w:spacing w:line="292" w:lineRule="exact"/>
              <w:ind w:left="107"/>
              <w:rPr>
                <w:i/>
                <w:sz w:val="24"/>
              </w:rPr>
            </w:pPr>
            <w:r>
              <w:rPr>
                <w:i/>
                <w:sz w:val="24"/>
              </w:rPr>
              <w:t>Thailand</w:t>
            </w:r>
            <w:r>
              <w:rPr>
                <w:i/>
                <w:spacing w:val="-3"/>
                <w:sz w:val="24"/>
              </w:rPr>
              <w:t xml:space="preserve"> </w:t>
            </w:r>
            <w:r>
              <w:rPr>
                <w:i/>
                <w:sz w:val="24"/>
              </w:rPr>
              <w:t>–</w:t>
            </w:r>
            <w:r>
              <w:rPr>
                <w:i/>
                <w:spacing w:val="-3"/>
                <w:sz w:val="24"/>
              </w:rPr>
              <w:t xml:space="preserve"> </w:t>
            </w:r>
            <w:r>
              <w:rPr>
                <w:i/>
                <w:spacing w:val="-2"/>
                <w:sz w:val="24"/>
              </w:rPr>
              <w:t>H‐Beams</w:t>
            </w:r>
          </w:p>
        </w:tc>
        <w:tc>
          <w:tcPr>
            <w:tcW w:w="6761" w:type="dxa"/>
          </w:tcPr>
          <w:p w14:paraId="51DE770F" w14:textId="77777777" w:rsidR="0010369C" w:rsidRDefault="008E43AE">
            <w:pPr>
              <w:pStyle w:val="TableParagraph"/>
              <w:ind w:left="106"/>
              <w:rPr>
                <w:sz w:val="24"/>
              </w:rPr>
            </w:pPr>
            <w:r>
              <w:rPr>
                <w:sz w:val="24"/>
              </w:rPr>
              <w:t>Appellate</w:t>
            </w:r>
            <w:r>
              <w:rPr>
                <w:spacing w:val="-5"/>
                <w:sz w:val="24"/>
              </w:rPr>
              <w:t xml:space="preserve"> </w:t>
            </w:r>
            <w:r>
              <w:rPr>
                <w:sz w:val="24"/>
              </w:rPr>
              <w:t>Body</w:t>
            </w:r>
            <w:r>
              <w:rPr>
                <w:spacing w:val="-5"/>
                <w:sz w:val="24"/>
              </w:rPr>
              <w:t xml:space="preserve"> </w:t>
            </w:r>
            <w:r>
              <w:rPr>
                <w:sz w:val="24"/>
              </w:rPr>
              <w:t>Report,</w:t>
            </w:r>
            <w:r>
              <w:rPr>
                <w:spacing w:val="-6"/>
                <w:sz w:val="24"/>
              </w:rPr>
              <w:t xml:space="preserve"> </w:t>
            </w:r>
            <w:r>
              <w:rPr>
                <w:i/>
                <w:sz w:val="24"/>
              </w:rPr>
              <w:t>Thailand</w:t>
            </w:r>
            <w:r>
              <w:rPr>
                <w:i/>
                <w:spacing w:val="-4"/>
                <w:sz w:val="24"/>
              </w:rPr>
              <w:t xml:space="preserve"> </w:t>
            </w:r>
            <w:r>
              <w:rPr>
                <w:i/>
                <w:sz w:val="24"/>
              </w:rPr>
              <w:t>–</w:t>
            </w:r>
            <w:r>
              <w:rPr>
                <w:i/>
                <w:spacing w:val="-5"/>
                <w:sz w:val="24"/>
              </w:rPr>
              <w:t xml:space="preserve"> </w:t>
            </w:r>
            <w:r>
              <w:rPr>
                <w:i/>
                <w:sz w:val="24"/>
              </w:rPr>
              <w:t>Anti‐Dumping</w:t>
            </w:r>
            <w:r>
              <w:rPr>
                <w:i/>
                <w:spacing w:val="-6"/>
                <w:sz w:val="24"/>
              </w:rPr>
              <w:t xml:space="preserve"> </w:t>
            </w:r>
            <w:r>
              <w:rPr>
                <w:i/>
                <w:sz w:val="24"/>
              </w:rPr>
              <w:t>Duties</w:t>
            </w:r>
            <w:r>
              <w:rPr>
                <w:i/>
                <w:spacing w:val="-6"/>
                <w:sz w:val="24"/>
              </w:rPr>
              <w:t xml:space="preserve"> </w:t>
            </w:r>
            <w:r>
              <w:rPr>
                <w:i/>
                <w:sz w:val="24"/>
              </w:rPr>
              <w:t>on</w:t>
            </w:r>
            <w:r>
              <w:rPr>
                <w:i/>
                <w:spacing w:val="-5"/>
                <w:sz w:val="24"/>
              </w:rPr>
              <w:t xml:space="preserve"> </w:t>
            </w:r>
            <w:r>
              <w:rPr>
                <w:i/>
                <w:sz w:val="24"/>
              </w:rPr>
              <w:t>Angles,</w:t>
            </w:r>
            <w:r>
              <w:rPr>
                <w:i/>
                <w:sz w:val="24"/>
              </w:rPr>
              <w:t xml:space="preserve"> Shapes and Sections of Iron or Non‐Alloy Steel and H‐Beams from Poland</w:t>
            </w:r>
            <w:r>
              <w:rPr>
                <w:sz w:val="24"/>
              </w:rPr>
              <w:t>, WT/DS122/AB/R, adopted 5 April 2001, DSR 2001:VII, p.</w:t>
            </w:r>
          </w:p>
          <w:p w14:paraId="51DE7710" w14:textId="77777777" w:rsidR="0010369C" w:rsidRDefault="008E43AE">
            <w:pPr>
              <w:pStyle w:val="TableParagraph"/>
              <w:spacing w:line="273" w:lineRule="exact"/>
              <w:ind w:left="106"/>
              <w:rPr>
                <w:sz w:val="24"/>
              </w:rPr>
            </w:pPr>
            <w:r>
              <w:rPr>
                <w:spacing w:val="-4"/>
                <w:sz w:val="24"/>
              </w:rPr>
              <w:t>2701</w:t>
            </w:r>
          </w:p>
        </w:tc>
      </w:tr>
      <w:tr w:rsidR="0010369C" w14:paraId="51DE7714" w14:textId="77777777">
        <w:trPr>
          <w:trHeight w:val="1171"/>
        </w:trPr>
        <w:tc>
          <w:tcPr>
            <w:tcW w:w="2255" w:type="dxa"/>
          </w:tcPr>
          <w:p w14:paraId="51DE7712" w14:textId="77777777" w:rsidR="0010369C" w:rsidRDefault="008E43AE">
            <w:pPr>
              <w:pStyle w:val="TableParagraph"/>
              <w:ind w:left="107"/>
              <w:rPr>
                <w:i/>
                <w:sz w:val="24"/>
              </w:rPr>
            </w:pPr>
            <w:r>
              <w:rPr>
                <w:i/>
                <w:sz w:val="24"/>
              </w:rPr>
              <w:t>Thailand</w:t>
            </w:r>
            <w:r>
              <w:rPr>
                <w:i/>
                <w:spacing w:val="-2"/>
                <w:sz w:val="24"/>
              </w:rPr>
              <w:t xml:space="preserve"> </w:t>
            </w:r>
            <w:r>
              <w:rPr>
                <w:i/>
                <w:sz w:val="24"/>
              </w:rPr>
              <w:t>–</w:t>
            </w:r>
            <w:r>
              <w:rPr>
                <w:i/>
                <w:spacing w:val="-3"/>
                <w:sz w:val="24"/>
              </w:rPr>
              <w:t xml:space="preserve"> </w:t>
            </w:r>
            <w:r>
              <w:rPr>
                <w:i/>
                <w:sz w:val="24"/>
              </w:rPr>
              <w:t>H‐</w:t>
            </w:r>
            <w:r>
              <w:rPr>
                <w:i/>
                <w:spacing w:val="-3"/>
                <w:sz w:val="24"/>
              </w:rPr>
              <w:t xml:space="preserve"> </w:t>
            </w:r>
            <w:r>
              <w:rPr>
                <w:i/>
                <w:spacing w:val="-2"/>
                <w:sz w:val="24"/>
              </w:rPr>
              <w:t>Beams</w:t>
            </w:r>
          </w:p>
        </w:tc>
        <w:tc>
          <w:tcPr>
            <w:tcW w:w="6761" w:type="dxa"/>
          </w:tcPr>
          <w:p w14:paraId="51DE7713" w14:textId="77777777" w:rsidR="0010369C" w:rsidRDefault="008E43AE">
            <w:pPr>
              <w:pStyle w:val="TableParagraph"/>
              <w:spacing w:line="290" w:lineRule="atLeast"/>
              <w:ind w:left="106" w:right="85"/>
              <w:rPr>
                <w:sz w:val="24"/>
              </w:rPr>
            </w:pPr>
            <w:r>
              <w:rPr>
                <w:sz w:val="24"/>
              </w:rPr>
              <w:t>Panel Report, Thailand – Anti‐Dumping Duties on Angles, Shapes and Sections of Iron or Non‐Alloy Steel and H‐Beams from Poland, WT/DS122/R,</w:t>
            </w:r>
            <w:r>
              <w:rPr>
                <w:spacing w:val="-5"/>
                <w:sz w:val="24"/>
              </w:rPr>
              <w:t xml:space="preserve"> </w:t>
            </w:r>
            <w:r>
              <w:rPr>
                <w:sz w:val="24"/>
              </w:rPr>
              <w:t>adopted</w:t>
            </w:r>
            <w:r>
              <w:rPr>
                <w:spacing w:val="-5"/>
                <w:sz w:val="24"/>
              </w:rPr>
              <w:t xml:space="preserve"> </w:t>
            </w:r>
            <w:r>
              <w:rPr>
                <w:sz w:val="24"/>
              </w:rPr>
              <w:t>5</w:t>
            </w:r>
            <w:r>
              <w:rPr>
                <w:spacing w:val="-4"/>
                <w:sz w:val="24"/>
              </w:rPr>
              <w:t xml:space="preserve"> </w:t>
            </w:r>
            <w:r>
              <w:rPr>
                <w:sz w:val="24"/>
              </w:rPr>
              <w:t>April</w:t>
            </w:r>
            <w:r>
              <w:rPr>
                <w:spacing w:val="-4"/>
                <w:sz w:val="24"/>
              </w:rPr>
              <w:t xml:space="preserve"> </w:t>
            </w:r>
            <w:r>
              <w:rPr>
                <w:sz w:val="24"/>
              </w:rPr>
              <w:t>2001,</w:t>
            </w:r>
            <w:r>
              <w:rPr>
                <w:spacing w:val="-4"/>
                <w:sz w:val="24"/>
              </w:rPr>
              <w:t xml:space="preserve"> </w:t>
            </w:r>
            <w:r>
              <w:rPr>
                <w:sz w:val="24"/>
              </w:rPr>
              <w:t>as</w:t>
            </w:r>
            <w:r>
              <w:rPr>
                <w:spacing w:val="-4"/>
                <w:sz w:val="24"/>
              </w:rPr>
              <w:t xml:space="preserve"> </w:t>
            </w:r>
            <w:r>
              <w:rPr>
                <w:sz w:val="24"/>
              </w:rPr>
              <w:t>modified</w:t>
            </w:r>
            <w:r>
              <w:rPr>
                <w:spacing w:val="-4"/>
                <w:sz w:val="24"/>
              </w:rPr>
              <w:t xml:space="preserve"> </w:t>
            </w:r>
            <w:r>
              <w:rPr>
                <w:sz w:val="24"/>
              </w:rPr>
              <w:t>by</w:t>
            </w:r>
            <w:r>
              <w:rPr>
                <w:spacing w:val="-3"/>
                <w:sz w:val="24"/>
              </w:rPr>
              <w:t xml:space="preserve"> </w:t>
            </w:r>
            <w:r>
              <w:rPr>
                <w:sz w:val="24"/>
              </w:rPr>
              <w:t>Appellate</w:t>
            </w:r>
            <w:r>
              <w:rPr>
                <w:spacing w:val="-4"/>
                <w:sz w:val="24"/>
              </w:rPr>
              <w:t xml:space="preserve"> </w:t>
            </w:r>
            <w:r>
              <w:rPr>
                <w:sz w:val="24"/>
              </w:rPr>
              <w:t>Body Report WT/DS122/AB/R, DSR 2001:VII, p. 2741</w:t>
            </w:r>
          </w:p>
        </w:tc>
      </w:tr>
      <w:tr w:rsidR="0010369C" w14:paraId="51DE7717" w14:textId="77777777">
        <w:trPr>
          <w:trHeight w:val="315"/>
        </w:trPr>
        <w:tc>
          <w:tcPr>
            <w:tcW w:w="2255" w:type="dxa"/>
            <w:tcBorders>
              <w:bottom w:val="nil"/>
            </w:tcBorders>
          </w:tcPr>
          <w:p w14:paraId="51DE7715" w14:textId="77777777" w:rsidR="0010369C" w:rsidRDefault="008E43AE">
            <w:pPr>
              <w:pStyle w:val="TableParagraph"/>
              <w:ind w:left="107"/>
              <w:rPr>
                <w:i/>
                <w:sz w:val="24"/>
              </w:rPr>
            </w:pPr>
            <w:r>
              <w:rPr>
                <w:i/>
                <w:sz w:val="24"/>
              </w:rPr>
              <w:t>Ukraine</w:t>
            </w:r>
            <w:r>
              <w:rPr>
                <w:i/>
                <w:spacing w:val="-1"/>
                <w:sz w:val="24"/>
              </w:rPr>
              <w:t xml:space="preserve"> </w:t>
            </w:r>
            <w:r>
              <w:rPr>
                <w:i/>
                <w:spacing w:val="-10"/>
                <w:sz w:val="24"/>
              </w:rPr>
              <w:t>–</w:t>
            </w:r>
          </w:p>
        </w:tc>
        <w:tc>
          <w:tcPr>
            <w:tcW w:w="6761" w:type="dxa"/>
            <w:tcBorders>
              <w:bottom w:val="nil"/>
            </w:tcBorders>
          </w:tcPr>
          <w:p w14:paraId="51DE7716" w14:textId="77777777" w:rsidR="0010369C" w:rsidRDefault="008E43AE">
            <w:pPr>
              <w:pStyle w:val="TableParagraph"/>
              <w:ind w:left="106"/>
              <w:rPr>
                <w:i/>
                <w:sz w:val="24"/>
              </w:rPr>
            </w:pPr>
            <w:r>
              <w:rPr>
                <w:sz w:val="24"/>
              </w:rPr>
              <w:t>Panel</w:t>
            </w:r>
            <w:r>
              <w:rPr>
                <w:spacing w:val="-4"/>
                <w:sz w:val="24"/>
              </w:rPr>
              <w:t xml:space="preserve"> </w:t>
            </w:r>
            <w:r>
              <w:rPr>
                <w:sz w:val="24"/>
              </w:rPr>
              <w:t>Rep</w:t>
            </w:r>
            <w:r>
              <w:rPr>
                <w:sz w:val="24"/>
              </w:rPr>
              <w:t>ort,</w:t>
            </w:r>
            <w:r>
              <w:rPr>
                <w:spacing w:val="-3"/>
                <w:sz w:val="24"/>
              </w:rPr>
              <w:t xml:space="preserve"> </w:t>
            </w:r>
            <w:r>
              <w:rPr>
                <w:i/>
                <w:sz w:val="24"/>
              </w:rPr>
              <w:t>Ukraine</w:t>
            </w:r>
            <w:r>
              <w:rPr>
                <w:i/>
                <w:spacing w:val="-3"/>
                <w:sz w:val="24"/>
              </w:rPr>
              <w:t xml:space="preserve"> </w:t>
            </w:r>
            <w:r>
              <w:rPr>
                <w:i/>
                <w:sz w:val="24"/>
              </w:rPr>
              <w:t>–</w:t>
            </w:r>
            <w:r>
              <w:rPr>
                <w:i/>
                <w:spacing w:val="-4"/>
                <w:sz w:val="24"/>
              </w:rPr>
              <w:t xml:space="preserve"> </w:t>
            </w:r>
            <w:r>
              <w:rPr>
                <w:i/>
                <w:sz w:val="24"/>
              </w:rPr>
              <w:t>Anti‐Dumping</w:t>
            </w:r>
            <w:r>
              <w:rPr>
                <w:i/>
                <w:spacing w:val="-2"/>
                <w:sz w:val="24"/>
              </w:rPr>
              <w:t xml:space="preserve"> </w:t>
            </w:r>
            <w:r>
              <w:rPr>
                <w:i/>
                <w:sz w:val="24"/>
              </w:rPr>
              <w:t>Measures</w:t>
            </w:r>
            <w:r>
              <w:rPr>
                <w:i/>
                <w:spacing w:val="-3"/>
                <w:sz w:val="24"/>
              </w:rPr>
              <w:t xml:space="preserve"> </w:t>
            </w:r>
            <w:r>
              <w:rPr>
                <w:i/>
                <w:sz w:val="24"/>
              </w:rPr>
              <w:t>on</w:t>
            </w:r>
            <w:r>
              <w:rPr>
                <w:i/>
                <w:spacing w:val="-2"/>
                <w:sz w:val="24"/>
              </w:rPr>
              <w:t xml:space="preserve"> Ammonium</w:t>
            </w:r>
          </w:p>
        </w:tc>
      </w:tr>
      <w:tr w:rsidR="0010369C" w14:paraId="51DE771A" w14:textId="77777777">
        <w:trPr>
          <w:trHeight w:val="292"/>
        </w:trPr>
        <w:tc>
          <w:tcPr>
            <w:tcW w:w="2255" w:type="dxa"/>
            <w:tcBorders>
              <w:top w:val="nil"/>
              <w:bottom w:val="nil"/>
            </w:tcBorders>
          </w:tcPr>
          <w:p w14:paraId="51DE7718" w14:textId="77777777" w:rsidR="0010369C" w:rsidRDefault="008E43AE">
            <w:pPr>
              <w:pStyle w:val="TableParagraph"/>
              <w:spacing w:line="271" w:lineRule="exact"/>
              <w:ind w:left="107"/>
              <w:rPr>
                <w:i/>
                <w:sz w:val="24"/>
              </w:rPr>
            </w:pPr>
            <w:r>
              <w:rPr>
                <w:i/>
                <w:sz w:val="24"/>
              </w:rPr>
              <w:t>Ammonium</w:t>
            </w:r>
            <w:r>
              <w:rPr>
                <w:i/>
                <w:spacing w:val="-2"/>
                <w:sz w:val="24"/>
              </w:rPr>
              <w:t xml:space="preserve"> Nitrate</w:t>
            </w:r>
          </w:p>
        </w:tc>
        <w:tc>
          <w:tcPr>
            <w:tcW w:w="6761" w:type="dxa"/>
            <w:tcBorders>
              <w:top w:val="nil"/>
              <w:bottom w:val="nil"/>
            </w:tcBorders>
          </w:tcPr>
          <w:p w14:paraId="51DE7719" w14:textId="77777777" w:rsidR="0010369C" w:rsidRDefault="008E43AE">
            <w:pPr>
              <w:pStyle w:val="TableParagraph"/>
              <w:spacing w:line="271" w:lineRule="exact"/>
              <w:ind w:left="106"/>
              <w:rPr>
                <w:sz w:val="24"/>
              </w:rPr>
            </w:pPr>
            <w:r>
              <w:rPr>
                <w:i/>
                <w:sz w:val="24"/>
              </w:rPr>
              <w:t>Nitrate</w:t>
            </w:r>
            <w:r>
              <w:rPr>
                <w:sz w:val="24"/>
              </w:rPr>
              <w:t>,</w:t>
            </w:r>
            <w:r>
              <w:rPr>
                <w:spacing w:val="-3"/>
                <w:sz w:val="24"/>
              </w:rPr>
              <w:t xml:space="preserve"> </w:t>
            </w:r>
            <w:r>
              <w:rPr>
                <w:sz w:val="24"/>
              </w:rPr>
              <w:t>WT/DS493/R,</w:t>
            </w:r>
            <w:r>
              <w:rPr>
                <w:spacing w:val="-4"/>
                <w:sz w:val="24"/>
              </w:rPr>
              <w:t xml:space="preserve"> </w:t>
            </w:r>
            <w:r>
              <w:rPr>
                <w:sz w:val="24"/>
              </w:rPr>
              <w:t>Add.1</w:t>
            </w:r>
            <w:r>
              <w:rPr>
                <w:spacing w:val="-4"/>
                <w:sz w:val="24"/>
              </w:rPr>
              <w:t xml:space="preserve"> </w:t>
            </w:r>
            <w:r>
              <w:rPr>
                <w:sz w:val="24"/>
              </w:rPr>
              <w:t>and</w:t>
            </w:r>
            <w:r>
              <w:rPr>
                <w:spacing w:val="-2"/>
                <w:sz w:val="24"/>
              </w:rPr>
              <w:t xml:space="preserve"> </w:t>
            </w:r>
            <w:r>
              <w:rPr>
                <w:sz w:val="24"/>
              </w:rPr>
              <w:t>Corr.1,</w:t>
            </w:r>
            <w:r>
              <w:rPr>
                <w:spacing w:val="-2"/>
                <w:sz w:val="24"/>
              </w:rPr>
              <w:t xml:space="preserve"> </w:t>
            </w:r>
            <w:r>
              <w:rPr>
                <w:sz w:val="24"/>
              </w:rPr>
              <w:t>adopted</w:t>
            </w:r>
            <w:r>
              <w:rPr>
                <w:spacing w:val="-4"/>
                <w:sz w:val="24"/>
              </w:rPr>
              <w:t xml:space="preserve"> </w:t>
            </w:r>
            <w:r>
              <w:rPr>
                <w:sz w:val="24"/>
              </w:rPr>
              <w:t>30</w:t>
            </w:r>
            <w:r>
              <w:rPr>
                <w:spacing w:val="-2"/>
                <w:sz w:val="24"/>
              </w:rPr>
              <w:t xml:space="preserve"> September</w:t>
            </w:r>
          </w:p>
        </w:tc>
      </w:tr>
      <w:tr w:rsidR="0010369C" w14:paraId="51DE771E" w14:textId="77777777">
        <w:trPr>
          <w:trHeight w:val="563"/>
        </w:trPr>
        <w:tc>
          <w:tcPr>
            <w:tcW w:w="2255" w:type="dxa"/>
            <w:tcBorders>
              <w:top w:val="nil"/>
            </w:tcBorders>
          </w:tcPr>
          <w:p w14:paraId="51DE771B" w14:textId="77777777" w:rsidR="0010369C" w:rsidRDefault="008E43AE">
            <w:pPr>
              <w:pStyle w:val="TableParagraph"/>
              <w:spacing w:line="271" w:lineRule="exact"/>
              <w:ind w:left="107"/>
              <w:rPr>
                <w:i/>
                <w:sz w:val="24"/>
              </w:rPr>
            </w:pPr>
            <w:r>
              <w:rPr>
                <w:i/>
                <w:spacing w:val="-2"/>
                <w:sz w:val="24"/>
              </w:rPr>
              <w:t>(Russia)</w:t>
            </w:r>
          </w:p>
        </w:tc>
        <w:tc>
          <w:tcPr>
            <w:tcW w:w="6761" w:type="dxa"/>
            <w:tcBorders>
              <w:top w:val="nil"/>
            </w:tcBorders>
          </w:tcPr>
          <w:p w14:paraId="51DE771C" w14:textId="77777777" w:rsidR="0010369C" w:rsidRDefault="008E43AE">
            <w:pPr>
              <w:pStyle w:val="TableParagraph"/>
              <w:spacing w:line="271" w:lineRule="exact"/>
              <w:ind w:left="106"/>
              <w:rPr>
                <w:sz w:val="24"/>
              </w:rPr>
            </w:pPr>
            <w:r>
              <w:rPr>
                <w:sz w:val="24"/>
              </w:rPr>
              <w:t>2019,</w:t>
            </w:r>
            <w:r>
              <w:rPr>
                <w:spacing w:val="-6"/>
                <w:sz w:val="24"/>
              </w:rPr>
              <w:t xml:space="preserve"> </w:t>
            </w:r>
            <w:r>
              <w:rPr>
                <w:sz w:val="24"/>
              </w:rPr>
              <w:t>as</w:t>
            </w:r>
            <w:r>
              <w:rPr>
                <w:spacing w:val="-4"/>
                <w:sz w:val="24"/>
              </w:rPr>
              <w:t xml:space="preserve"> </w:t>
            </w:r>
            <w:r>
              <w:rPr>
                <w:sz w:val="24"/>
              </w:rPr>
              <w:t>upheld</w:t>
            </w:r>
            <w:r>
              <w:rPr>
                <w:spacing w:val="-3"/>
                <w:sz w:val="24"/>
              </w:rPr>
              <w:t xml:space="preserve"> </w:t>
            </w:r>
            <w:r>
              <w:rPr>
                <w:sz w:val="24"/>
              </w:rPr>
              <w:t>by</w:t>
            </w:r>
            <w:r>
              <w:rPr>
                <w:spacing w:val="-3"/>
                <w:sz w:val="24"/>
              </w:rPr>
              <w:t xml:space="preserve"> </w:t>
            </w:r>
            <w:r>
              <w:rPr>
                <w:sz w:val="24"/>
              </w:rPr>
              <w:t>Appellate</w:t>
            </w:r>
            <w:r>
              <w:rPr>
                <w:spacing w:val="-3"/>
                <w:sz w:val="24"/>
              </w:rPr>
              <w:t xml:space="preserve"> </w:t>
            </w:r>
            <w:r>
              <w:rPr>
                <w:sz w:val="24"/>
              </w:rPr>
              <w:t>Body</w:t>
            </w:r>
            <w:r>
              <w:rPr>
                <w:spacing w:val="-4"/>
                <w:sz w:val="24"/>
              </w:rPr>
              <w:t xml:space="preserve"> </w:t>
            </w:r>
            <w:r>
              <w:rPr>
                <w:sz w:val="24"/>
              </w:rPr>
              <w:t>Report</w:t>
            </w:r>
            <w:r>
              <w:rPr>
                <w:spacing w:val="-4"/>
                <w:sz w:val="24"/>
              </w:rPr>
              <w:t xml:space="preserve"> </w:t>
            </w:r>
            <w:r>
              <w:rPr>
                <w:sz w:val="24"/>
              </w:rPr>
              <w:t>WT/DS493/AB/R,</w:t>
            </w:r>
            <w:r>
              <w:rPr>
                <w:spacing w:val="-4"/>
                <w:sz w:val="24"/>
              </w:rPr>
              <w:t xml:space="preserve"> </w:t>
            </w:r>
            <w:r>
              <w:rPr>
                <w:spacing w:val="-5"/>
                <w:sz w:val="24"/>
              </w:rPr>
              <w:t>DSR</w:t>
            </w:r>
          </w:p>
          <w:p w14:paraId="51DE771D" w14:textId="77777777" w:rsidR="0010369C" w:rsidRDefault="008E43AE">
            <w:pPr>
              <w:pStyle w:val="TableParagraph"/>
              <w:spacing w:line="273" w:lineRule="exact"/>
              <w:ind w:left="106"/>
              <w:rPr>
                <w:sz w:val="24"/>
              </w:rPr>
            </w:pPr>
            <w:r>
              <w:rPr>
                <w:sz w:val="24"/>
              </w:rPr>
              <w:t>2019:X,</w:t>
            </w:r>
            <w:r>
              <w:rPr>
                <w:spacing w:val="-5"/>
                <w:sz w:val="24"/>
              </w:rPr>
              <w:t xml:space="preserve"> </w:t>
            </w:r>
            <w:r>
              <w:rPr>
                <w:sz w:val="24"/>
              </w:rPr>
              <w:t>p.</w:t>
            </w:r>
            <w:r>
              <w:rPr>
                <w:spacing w:val="-3"/>
                <w:sz w:val="24"/>
              </w:rPr>
              <w:t xml:space="preserve"> </w:t>
            </w:r>
            <w:r>
              <w:rPr>
                <w:spacing w:val="-4"/>
                <w:sz w:val="24"/>
              </w:rPr>
              <w:t>5339</w:t>
            </w:r>
          </w:p>
        </w:tc>
      </w:tr>
      <w:tr w:rsidR="0010369C" w14:paraId="51DE7722" w14:textId="77777777">
        <w:trPr>
          <w:trHeight w:val="1758"/>
        </w:trPr>
        <w:tc>
          <w:tcPr>
            <w:tcW w:w="2255" w:type="dxa"/>
          </w:tcPr>
          <w:p w14:paraId="51DE771F" w14:textId="77777777" w:rsidR="0010369C" w:rsidRDefault="008E43AE">
            <w:pPr>
              <w:pStyle w:val="TableParagraph"/>
              <w:ind w:left="107" w:right="198"/>
              <w:rPr>
                <w:i/>
                <w:sz w:val="24"/>
              </w:rPr>
            </w:pPr>
            <w:r>
              <w:rPr>
                <w:i/>
                <w:sz w:val="24"/>
              </w:rPr>
              <w:t>United States –</w:t>
            </w:r>
            <w:r>
              <w:rPr>
                <w:i/>
                <w:sz w:val="24"/>
              </w:rPr>
              <w:t xml:space="preserve"> Imposition of anti‐ dumping duties on gray Portland cement</w:t>
            </w:r>
            <w:r>
              <w:rPr>
                <w:i/>
                <w:spacing w:val="-1"/>
                <w:sz w:val="24"/>
              </w:rPr>
              <w:t xml:space="preserve"> </w:t>
            </w:r>
            <w:r>
              <w:rPr>
                <w:i/>
                <w:sz w:val="24"/>
              </w:rPr>
              <w:t>and</w:t>
            </w:r>
            <w:r>
              <w:rPr>
                <w:i/>
                <w:spacing w:val="-2"/>
                <w:sz w:val="24"/>
              </w:rPr>
              <w:t xml:space="preserve"> cement</w:t>
            </w:r>
          </w:p>
          <w:p w14:paraId="51DE7720" w14:textId="77777777" w:rsidR="0010369C" w:rsidRDefault="008E43AE">
            <w:pPr>
              <w:pStyle w:val="TableParagraph"/>
              <w:spacing w:line="273" w:lineRule="exact"/>
              <w:ind w:left="107"/>
              <w:rPr>
                <w:i/>
                <w:sz w:val="24"/>
              </w:rPr>
            </w:pPr>
            <w:r>
              <w:rPr>
                <w:i/>
                <w:sz w:val="24"/>
              </w:rPr>
              <w:t>clinker from</w:t>
            </w:r>
            <w:r>
              <w:rPr>
                <w:i/>
                <w:spacing w:val="-1"/>
                <w:sz w:val="24"/>
              </w:rPr>
              <w:t xml:space="preserve"> </w:t>
            </w:r>
            <w:r>
              <w:rPr>
                <w:i/>
                <w:spacing w:val="-2"/>
                <w:sz w:val="24"/>
              </w:rPr>
              <w:t>Mexico</w:t>
            </w:r>
          </w:p>
        </w:tc>
        <w:tc>
          <w:tcPr>
            <w:tcW w:w="6761" w:type="dxa"/>
          </w:tcPr>
          <w:p w14:paraId="51DE7721" w14:textId="77777777" w:rsidR="0010369C" w:rsidRDefault="008E43AE">
            <w:pPr>
              <w:pStyle w:val="TableParagraph"/>
              <w:ind w:left="106"/>
              <w:rPr>
                <w:sz w:val="24"/>
              </w:rPr>
            </w:pPr>
            <w:r>
              <w:rPr>
                <w:sz w:val="24"/>
              </w:rPr>
              <w:t>GATT</w:t>
            </w:r>
            <w:r>
              <w:rPr>
                <w:spacing w:val="-5"/>
                <w:sz w:val="24"/>
              </w:rPr>
              <w:t xml:space="preserve"> </w:t>
            </w:r>
            <w:r>
              <w:rPr>
                <w:sz w:val="24"/>
              </w:rPr>
              <w:t>Panel</w:t>
            </w:r>
            <w:r>
              <w:rPr>
                <w:spacing w:val="-6"/>
                <w:sz w:val="24"/>
              </w:rPr>
              <w:t xml:space="preserve"> </w:t>
            </w:r>
            <w:r>
              <w:rPr>
                <w:sz w:val="24"/>
              </w:rPr>
              <w:t>Report,</w:t>
            </w:r>
            <w:r>
              <w:rPr>
                <w:spacing w:val="-5"/>
                <w:sz w:val="24"/>
              </w:rPr>
              <w:t xml:space="preserve"> </w:t>
            </w:r>
            <w:r>
              <w:rPr>
                <w:i/>
                <w:sz w:val="24"/>
              </w:rPr>
              <w:t>United</w:t>
            </w:r>
            <w:r>
              <w:rPr>
                <w:i/>
                <w:spacing w:val="-6"/>
                <w:sz w:val="24"/>
              </w:rPr>
              <w:t xml:space="preserve"> </w:t>
            </w:r>
            <w:r>
              <w:rPr>
                <w:i/>
                <w:sz w:val="24"/>
              </w:rPr>
              <w:t>States,</w:t>
            </w:r>
            <w:r>
              <w:rPr>
                <w:i/>
                <w:spacing w:val="-4"/>
                <w:sz w:val="24"/>
              </w:rPr>
              <w:t xml:space="preserve"> </w:t>
            </w:r>
            <w:r>
              <w:rPr>
                <w:i/>
                <w:sz w:val="24"/>
              </w:rPr>
              <w:t>Anti‐dumping</w:t>
            </w:r>
            <w:r>
              <w:rPr>
                <w:i/>
                <w:spacing w:val="-6"/>
                <w:sz w:val="24"/>
              </w:rPr>
              <w:t xml:space="preserve"> </w:t>
            </w:r>
            <w:r>
              <w:rPr>
                <w:i/>
                <w:sz w:val="24"/>
              </w:rPr>
              <w:t>duties</w:t>
            </w:r>
            <w:r>
              <w:rPr>
                <w:i/>
                <w:spacing w:val="-4"/>
                <w:sz w:val="24"/>
              </w:rPr>
              <w:t xml:space="preserve"> </w:t>
            </w:r>
            <w:r>
              <w:rPr>
                <w:i/>
                <w:sz w:val="24"/>
              </w:rPr>
              <w:t>on</w:t>
            </w:r>
            <w:r>
              <w:rPr>
                <w:i/>
                <w:spacing w:val="-4"/>
                <w:sz w:val="24"/>
              </w:rPr>
              <w:t xml:space="preserve"> </w:t>
            </w:r>
            <w:r>
              <w:rPr>
                <w:i/>
                <w:sz w:val="24"/>
              </w:rPr>
              <w:t>gray Portland cement and cement clinker from Mexico</w:t>
            </w:r>
            <w:r>
              <w:rPr>
                <w:sz w:val="24"/>
              </w:rPr>
              <w:t>, ADP/82, 7 September 1992 [unadopted]</w:t>
            </w:r>
          </w:p>
        </w:tc>
      </w:tr>
      <w:tr w:rsidR="0010369C" w14:paraId="51DE7726" w14:textId="77777777">
        <w:trPr>
          <w:trHeight w:val="2050"/>
        </w:trPr>
        <w:tc>
          <w:tcPr>
            <w:tcW w:w="2255" w:type="dxa"/>
          </w:tcPr>
          <w:p w14:paraId="51DE7723" w14:textId="77777777" w:rsidR="0010369C" w:rsidRDefault="008E43AE">
            <w:pPr>
              <w:pStyle w:val="TableParagraph"/>
              <w:ind w:left="107" w:right="152"/>
              <w:rPr>
                <w:i/>
                <w:sz w:val="24"/>
              </w:rPr>
            </w:pPr>
            <w:r>
              <w:rPr>
                <w:i/>
                <w:sz w:val="24"/>
              </w:rPr>
              <w:t>United States – Imposition of anti‐ dumping duties on imports</w:t>
            </w:r>
            <w:r>
              <w:rPr>
                <w:i/>
                <w:spacing w:val="-14"/>
                <w:sz w:val="24"/>
              </w:rPr>
              <w:t xml:space="preserve"> </w:t>
            </w:r>
            <w:r>
              <w:rPr>
                <w:i/>
                <w:sz w:val="24"/>
              </w:rPr>
              <w:t>of</w:t>
            </w:r>
            <w:r>
              <w:rPr>
                <w:i/>
                <w:spacing w:val="-14"/>
                <w:sz w:val="24"/>
              </w:rPr>
              <w:t xml:space="preserve"> </w:t>
            </w:r>
            <w:r>
              <w:rPr>
                <w:i/>
                <w:sz w:val="24"/>
              </w:rPr>
              <w:t>seamless stainless steel hollow products</w:t>
            </w:r>
          </w:p>
          <w:p w14:paraId="51DE7724" w14:textId="77777777" w:rsidR="0010369C" w:rsidRDefault="008E43AE">
            <w:pPr>
              <w:pStyle w:val="TableParagraph"/>
              <w:spacing w:line="272" w:lineRule="exact"/>
              <w:ind w:left="107"/>
              <w:rPr>
                <w:i/>
                <w:sz w:val="24"/>
              </w:rPr>
            </w:pPr>
            <w:r>
              <w:rPr>
                <w:i/>
                <w:sz w:val="24"/>
              </w:rPr>
              <w:t>from</w:t>
            </w:r>
            <w:r>
              <w:rPr>
                <w:i/>
                <w:spacing w:val="-1"/>
                <w:sz w:val="24"/>
              </w:rPr>
              <w:t xml:space="preserve"> </w:t>
            </w:r>
            <w:r>
              <w:rPr>
                <w:i/>
                <w:spacing w:val="-2"/>
                <w:sz w:val="24"/>
              </w:rPr>
              <w:t>Sweden</w:t>
            </w:r>
          </w:p>
        </w:tc>
        <w:tc>
          <w:tcPr>
            <w:tcW w:w="6761" w:type="dxa"/>
          </w:tcPr>
          <w:p w14:paraId="51DE7725" w14:textId="77777777" w:rsidR="0010369C" w:rsidRDefault="008E43AE">
            <w:pPr>
              <w:pStyle w:val="TableParagraph"/>
              <w:ind w:left="106"/>
              <w:rPr>
                <w:sz w:val="24"/>
              </w:rPr>
            </w:pPr>
            <w:r>
              <w:rPr>
                <w:sz w:val="24"/>
              </w:rPr>
              <w:t xml:space="preserve">GATT Panel Report, </w:t>
            </w:r>
            <w:r>
              <w:rPr>
                <w:i/>
                <w:sz w:val="24"/>
              </w:rPr>
              <w:t>United States – Imposition of anti‐dumping duties</w:t>
            </w:r>
            <w:r>
              <w:rPr>
                <w:i/>
                <w:spacing w:val="-4"/>
                <w:sz w:val="24"/>
              </w:rPr>
              <w:t xml:space="preserve"> </w:t>
            </w:r>
            <w:r>
              <w:rPr>
                <w:i/>
                <w:sz w:val="24"/>
              </w:rPr>
              <w:t>on</w:t>
            </w:r>
            <w:r>
              <w:rPr>
                <w:i/>
                <w:spacing w:val="-4"/>
                <w:sz w:val="24"/>
              </w:rPr>
              <w:t xml:space="preserve"> </w:t>
            </w:r>
            <w:r>
              <w:rPr>
                <w:i/>
                <w:sz w:val="24"/>
              </w:rPr>
              <w:t>imports</w:t>
            </w:r>
            <w:r>
              <w:rPr>
                <w:i/>
                <w:spacing w:val="-4"/>
                <w:sz w:val="24"/>
              </w:rPr>
              <w:t xml:space="preserve"> </w:t>
            </w:r>
            <w:r>
              <w:rPr>
                <w:i/>
                <w:sz w:val="24"/>
              </w:rPr>
              <w:t>of</w:t>
            </w:r>
            <w:r>
              <w:rPr>
                <w:i/>
                <w:spacing w:val="-5"/>
                <w:sz w:val="24"/>
              </w:rPr>
              <w:t xml:space="preserve"> </w:t>
            </w:r>
            <w:r>
              <w:rPr>
                <w:i/>
                <w:sz w:val="24"/>
              </w:rPr>
              <w:t>seamless</w:t>
            </w:r>
            <w:r>
              <w:rPr>
                <w:i/>
                <w:spacing w:val="-5"/>
                <w:sz w:val="24"/>
              </w:rPr>
              <w:t xml:space="preserve"> </w:t>
            </w:r>
            <w:r>
              <w:rPr>
                <w:i/>
                <w:sz w:val="24"/>
              </w:rPr>
              <w:t>stainless</w:t>
            </w:r>
            <w:r>
              <w:rPr>
                <w:i/>
                <w:spacing w:val="-5"/>
                <w:sz w:val="24"/>
              </w:rPr>
              <w:t xml:space="preserve"> </w:t>
            </w:r>
            <w:r>
              <w:rPr>
                <w:i/>
                <w:sz w:val="24"/>
              </w:rPr>
              <w:t>steel</w:t>
            </w:r>
            <w:r>
              <w:rPr>
                <w:i/>
                <w:spacing w:val="-4"/>
                <w:sz w:val="24"/>
              </w:rPr>
              <w:t xml:space="preserve"> </w:t>
            </w:r>
            <w:r>
              <w:rPr>
                <w:i/>
                <w:sz w:val="24"/>
              </w:rPr>
              <w:t>hollow</w:t>
            </w:r>
            <w:r>
              <w:rPr>
                <w:i/>
                <w:spacing w:val="-4"/>
                <w:sz w:val="24"/>
              </w:rPr>
              <w:t xml:space="preserve"> </w:t>
            </w:r>
            <w:r>
              <w:rPr>
                <w:i/>
                <w:sz w:val="24"/>
              </w:rPr>
              <w:t>products</w:t>
            </w:r>
            <w:r>
              <w:rPr>
                <w:i/>
                <w:spacing w:val="-6"/>
                <w:sz w:val="24"/>
              </w:rPr>
              <w:t xml:space="preserve"> </w:t>
            </w:r>
            <w:r>
              <w:rPr>
                <w:i/>
                <w:sz w:val="24"/>
              </w:rPr>
              <w:t>from Sweden</w:t>
            </w:r>
            <w:r>
              <w:rPr>
                <w:sz w:val="24"/>
              </w:rPr>
              <w:t>, 2</w:t>
            </w:r>
            <w:r>
              <w:rPr>
                <w:sz w:val="24"/>
              </w:rPr>
              <w:t>0 August 1990, ADP/47 [unadopted]</w:t>
            </w:r>
          </w:p>
        </w:tc>
      </w:tr>
    </w:tbl>
    <w:p w14:paraId="51DE7727" w14:textId="77777777" w:rsidR="0010369C" w:rsidRDefault="0010369C">
      <w:pPr>
        <w:rPr>
          <w:sz w:val="24"/>
        </w:rPr>
        <w:sectPr w:rsidR="0010369C">
          <w:pgSz w:w="11910" w:h="16840"/>
          <w:pgMar w:top="880" w:right="1220" w:bottom="980" w:left="1180" w:header="569" w:footer="788" w:gutter="0"/>
          <w:cols w:space="720"/>
        </w:sectPr>
      </w:pPr>
    </w:p>
    <w:p w14:paraId="51DE7728" w14:textId="77777777" w:rsidR="0010369C" w:rsidRDefault="008E43AE">
      <w:pPr>
        <w:tabs>
          <w:tab w:val="left" w:pos="6425"/>
        </w:tabs>
        <w:ind w:left="238"/>
        <w:rPr>
          <w:sz w:val="20"/>
        </w:rPr>
      </w:pPr>
      <w:r>
        <w:rPr>
          <w:i/>
          <w:sz w:val="20"/>
        </w:rPr>
        <w:lastRenderedPageBreak/>
        <w:t>China</w:t>
      </w:r>
      <w:r>
        <w:rPr>
          <w:i/>
          <w:spacing w:val="-5"/>
          <w:sz w:val="20"/>
        </w:rPr>
        <w:t xml:space="preserve"> </w:t>
      </w:r>
      <w:r>
        <w:rPr>
          <w:i/>
          <w:sz w:val="20"/>
        </w:rPr>
        <w:t>–</w:t>
      </w:r>
      <w:r>
        <w:rPr>
          <w:i/>
          <w:spacing w:val="-5"/>
          <w:sz w:val="20"/>
        </w:rPr>
        <w:t xml:space="preserve"> </w:t>
      </w:r>
      <w:r>
        <w:rPr>
          <w:i/>
          <w:sz w:val="20"/>
        </w:rPr>
        <w:t>Anti‐Dumping</w:t>
      </w:r>
      <w:r>
        <w:rPr>
          <w:i/>
          <w:spacing w:val="-4"/>
          <w:sz w:val="20"/>
        </w:rPr>
        <w:t xml:space="preserve"> </w:t>
      </w:r>
      <w:r>
        <w:rPr>
          <w:i/>
          <w:sz w:val="20"/>
        </w:rPr>
        <w:t>and</w:t>
      </w:r>
      <w:r>
        <w:rPr>
          <w:i/>
          <w:spacing w:val="-5"/>
          <w:sz w:val="20"/>
        </w:rPr>
        <w:t xml:space="preserve"> </w:t>
      </w:r>
      <w:r>
        <w:rPr>
          <w:i/>
          <w:sz w:val="20"/>
        </w:rPr>
        <w:t>Countervailing</w:t>
      </w:r>
      <w:r>
        <w:rPr>
          <w:i/>
          <w:spacing w:val="-5"/>
          <w:sz w:val="20"/>
        </w:rPr>
        <w:t xml:space="preserve"> </w:t>
      </w:r>
      <w:r>
        <w:rPr>
          <w:i/>
          <w:sz w:val="20"/>
        </w:rPr>
        <w:t>Duty</w:t>
      </w:r>
      <w:r>
        <w:rPr>
          <w:i/>
          <w:spacing w:val="-4"/>
          <w:sz w:val="20"/>
        </w:rPr>
        <w:t xml:space="preserve"> </w:t>
      </w:r>
      <w:r>
        <w:rPr>
          <w:i/>
          <w:spacing w:val="-2"/>
          <w:sz w:val="20"/>
        </w:rPr>
        <w:t>Measures</w:t>
      </w:r>
      <w:r>
        <w:rPr>
          <w:i/>
          <w:sz w:val="20"/>
        </w:rPr>
        <w:tab/>
      </w:r>
      <w:r>
        <w:rPr>
          <w:sz w:val="20"/>
        </w:rPr>
        <w:t>Australia's</w:t>
      </w:r>
      <w:r>
        <w:rPr>
          <w:spacing w:val="-6"/>
          <w:sz w:val="20"/>
        </w:rPr>
        <w:t xml:space="preserve"> </w:t>
      </w:r>
      <w:r>
        <w:rPr>
          <w:sz w:val="20"/>
        </w:rPr>
        <w:t>First</w:t>
      </w:r>
      <w:r>
        <w:rPr>
          <w:spacing w:val="-2"/>
          <w:sz w:val="20"/>
        </w:rPr>
        <w:t xml:space="preserve"> </w:t>
      </w:r>
      <w:r>
        <w:rPr>
          <w:sz w:val="20"/>
        </w:rPr>
        <w:t>Written</w:t>
      </w:r>
      <w:r>
        <w:rPr>
          <w:spacing w:val="-2"/>
          <w:sz w:val="20"/>
        </w:rPr>
        <w:t xml:space="preserve"> Submission</w:t>
      </w:r>
    </w:p>
    <w:p w14:paraId="51DE7729" w14:textId="77777777" w:rsidR="0010369C" w:rsidRDefault="008E43AE">
      <w:pPr>
        <w:tabs>
          <w:tab w:val="left" w:pos="8227"/>
        </w:tabs>
        <w:spacing w:before="1" w:after="35"/>
        <w:ind w:left="239"/>
        <w:rPr>
          <w:sz w:val="20"/>
        </w:rPr>
      </w:pPr>
      <w:r>
        <w:rPr>
          <w:i/>
          <w:sz w:val="20"/>
        </w:rPr>
        <w:t>on</w:t>
      </w:r>
      <w:r>
        <w:rPr>
          <w:i/>
          <w:spacing w:val="-1"/>
          <w:sz w:val="20"/>
        </w:rPr>
        <w:t xml:space="preserve"> </w:t>
      </w:r>
      <w:r>
        <w:rPr>
          <w:i/>
          <w:sz w:val="20"/>
        </w:rPr>
        <w:t>Wine</w:t>
      </w:r>
      <w:r>
        <w:rPr>
          <w:i/>
          <w:spacing w:val="-1"/>
          <w:sz w:val="20"/>
        </w:rPr>
        <w:t xml:space="preserve"> </w:t>
      </w:r>
      <w:r>
        <w:rPr>
          <w:i/>
          <w:sz w:val="20"/>
        </w:rPr>
        <w:t>from</w:t>
      </w:r>
      <w:r>
        <w:rPr>
          <w:i/>
          <w:spacing w:val="-3"/>
          <w:sz w:val="20"/>
        </w:rPr>
        <w:t xml:space="preserve"> </w:t>
      </w:r>
      <w:r>
        <w:rPr>
          <w:i/>
          <w:sz w:val="20"/>
        </w:rPr>
        <w:t>Australia</w:t>
      </w:r>
      <w:r>
        <w:rPr>
          <w:i/>
          <w:spacing w:val="-1"/>
          <w:sz w:val="20"/>
        </w:rPr>
        <w:t xml:space="preserve"> </w:t>
      </w:r>
      <w:r>
        <w:rPr>
          <w:spacing w:val="-2"/>
          <w:sz w:val="20"/>
        </w:rPr>
        <w:t>(DS602)</w:t>
      </w:r>
      <w:r>
        <w:rPr>
          <w:sz w:val="20"/>
        </w:rPr>
        <w:tab/>
        <w:t>29</w:t>
      </w:r>
      <w:r>
        <w:rPr>
          <w:spacing w:val="-1"/>
          <w:sz w:val="20"/>
        </w:rPr>
        <w:t xml:space="preserve"> </w:t>
      </w:r>
      <w:r>
        <w:rPr>
          <w:sz w:val="20"/>
        </w:rPr>
        <w:t>April</w:t>
      </w:r>
      <w:r>
        <w:rPr>
          <w:spacing w:val="-2"/>
          <w:sz w:val="20"/>
        </w:rPr>
        <w:t xml:space="preserve"> </w:t>
      </w:r>
      <w:r>
        <w:rPr>
          <w:spacing w:val="-4"/>
          <w:sz w:val="20"/>
        </w:rPr>
        <w:t>2022</w:t>
      </w:r>
    </w:p>
    <w:tbl>
      <w:tblPr>
        <w:tblW w:w="0" w:type="auto"/>
        <w:tblInd w:w="25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255"/>
        <w:gridCol w:w="6761"/>
      </w:tblGrid>
      <w:tr w:rsidR="0010369C" w14:paraId="51DE772C" w14:textId="77777777">
        <w:trPr>
          <w:trHeight w:val="313"/>
        </w:trPr>
        <w:tc>
          <w:tcPr>
            <w:tcW w:w="2255" w:type="dxa"/>
            <w:tcBorders>
              <w:bottom w:val="nil"/>
            </w:tcBorders>
          </w:tcPr>
          <w:p w14:paraId="51DE772A" w14:textId="77777777" w:rsidR="0010369C" w:rsidRDefault="008E43AE">
            <w:pPr>
              <w:pStyle w:val="TableParagraph"/>
              <w:spacing w:line="292" w:lineRule="exact"/>
              <w:ind w:left="107"/>
              <w:rPr>
                <w:i/>
                <w:sz w:val="24"/>
              </w:rPr>
            </w:pPr>
            <w:r>
              <w:rPr>
                <w:i/>
                <w:sz w:val="24"/>
              </w:rPr>
              <w:t>United</w:t>
            </w:r>
            <w:r>
              <w:rPr>
                <w:i/>
                <w:spacing w:val="-4"/>
                <w:sz w:val="24"/>
              </w:rPr>
              <w:t xml:space="preserve"> </w:t>
            </w:r>
            <w:r>
              <w:rPr>
                <w:i/>
                <w:sz w:val="24"/>
              </w:rPr>
              <w:t>States</w:t>
            </w:r>
            <w:r>
              <w:rPr>
                <w:i/>
                <w:spacing w:val="-2"/>
                <w:sz w:val="24"/>
              </w:rPr>
              <w:t xml:space="preserve"> </w:t>
            </w:r>
            <w:r>
              <w:rPr>
                <w:i/>
                <w:spacing w:val="-10"/>
                <w:sz w:val="24"/>
              </w:rPr>
              <w:t>–</w:t>
            </w:r>
          </w:p>
        </w:tc>
        <w:tc>
          <w:tcPr>
            <w:tcW w:w="6761" w:type="dxa"/>
            <w:tcBorders>
              <w:bottom w:val="nil"/>
            </w:tcBorders>
          </w:tcPr>
          <w:p w14:paraId="51DE772B" w14:textId="77777777" w:rsidR="0010369C" w:rsidRDefault="008E43AE">
            <w:pPr>
              <w:pStyle w:val="TableParagraph"/>
              <w:spacing w:line="292" w:lineRule="exact"/>
              <w:ind w:left="106"/>
              <w:rPr>
                <w:i/>
                <w:sz w:val="24"/>
              </w:rPr>
            </w:pPr>
            <w:r>
              <w:rPr>
                <w:sz w:val="24"/>
              </w:rPr>
              <w:t>Appellate</w:t>
            </w:r>
            <w:r>
              <w:rPr>
                <w:spacing w:val="-4"/>
                <w:sz w:val="24"/>
              </w:rPr>
              <w:t xml:space="preserve"> </w:t>
            </w:r>
            <w:r>
              <w:rPr>
                <w:sz w:val="24"/>
              </w:rPr>
              <w:t>Body</w:t>
            </w:r>
            <w:r>
              <w:rPr>
                <w:spacing w:val="-3"/>
                <w:sz w:val="24"/>
              </w:rPr>
              <w:t xml:space="preserve"> </w:t>
            </w:r>
            <w:r>
              <w:rPr>
                <w:sz w:val="24"/>
              </w:rPr>
              <w:t>Report,</w:t>
            </w:r>
            <w:r>
              <w:rPr>
                <w:spacing w:val="-5"/>
                <w:sz w:val="24"/>
              </w:rPr>
              <w:t xml:space="preserve"> </w:t>
            </w:r>
            <w:r>
              <w:rPr>
                <w:i/>
                <w:sz w:val="24"/>
              </w:rPr>
              <w:t>United</w:t>
            </w:r>
            <w:r>
              <w:rPr>
                <w:i/>
                <w:spacing w:val="-4"/>
                <w:sz w:val="24"/>
              </w:rPr>
              <w:t xml:space="preserve"> </w:t>
            </w:r>
            <w:r>
              <w:rPr>
                <w:i/>
                <w:sz w:val="24"/>
              </w:rPr>
              <w:t>States</w:t>
            </w:r>
            <w:r>
              <w:rPr>
                <w:i/>
                <w:spacing w:val="-3"/>
                <w:sz w:val="24"/>
              </w:rPr>
              <w:t xml:space="preserve"> </w:t>
            </w:r>
            <w:r>
              <w:rPr>
                <w:i/>
                <w:sz w:val="24"/>
              </w:rPr>
              <w:t>–</w:t>
            </w:r>
            <w:r>
              <w:rPr>
                <w:i/>
                <w:spacing w:val="-4"/>
                <w:sz w:val="24"/>
              </w:rPr>
              <w:t xml:space="preserve"> </w:t>
            </w:r>
            <w:r>
              <w:rPr>
                <w:i/>
                <w:sz w:val="24"/>
              </w:rPr>
              <w:t>Measures</w:t>
            </w:r>
            <w:r>
              <w:rPr>
                <w:i/>
                <w:spacing w:val="-3"/>
                <w:sz w:val="24"/>
              </w:rPr>
              <w:t xml:space="preserve"> </w:t>
            </w:r>
            <w:r>
              <w:rPr>
                <w:i/>
                <w:sz w:val="24"/>
              </w:rPr>
              <w:t>Relating</w:t>
            </w:r>
            <w:r>
              <w:rPr>
                <w:i/>
                <w:spacing w:val="-4"/>
                <w:sz w:val="24"/>
              </w:rPr>
              <w:t xml:space="preserve"> </w:t>
            </w:r>
            <w:r>
              <w:rPr>
                <w:i/>
                <w:spacing w:val="-5"/>
                <w:sz w:val="24"/>
              </w:rPr>
              <w:t>to</w:t>
            </w:r>
          </w:p>
        </w:tc>
      </w:tr>
      <w:tr w:rsidR="0010369C" w14:paraId="51DE772F" w14:textId="77777777">
        <w:trPr>
          <w:trHeight w:val="293"/>
        </w:trPr>
        <w:tc>
          <w:tcPr>
            <w:tcW w:w="2255" w:type="dxa"/>
            <w:tcBorders>
              <w:top w:val="nil"/>
              <w:bottom w:val="nil"/>
            </w:tcBorders>
          </w:tcPr>
          <w:p w14:paraId="51DE772D" w14:textId="77777777" w:rsidR="0010369C" w:rsidRDefault="008E43AE">
            <w:pPr>
              <w:pStyle w:val="TableParagraph"/>
              <w:spacing w:line="271" w:lineRule="exact"/>
              <w:ind w:left="107"/>
              <w:rPr>
                <w:i/>
                <w:sz w:val="24"/>
              </w:rPr>
            </w:pPr>
            <w:r>
              <w:rPr>
                <w:i/>
                <w:sz w:val="24"/>
              </w:rPr>
              <w:t>Measures</w:t>
            </w:r>
            <w:r>
              <w:rPr>
                <w:i/>
                <w:spacing w:val="-3"/>
                <w:sz w:val="24"/>
              </w:rPr>
              <w:t xml:space="preserve"> </w:t>
            </w:r>
            <w:r>
              <w:rPr>
                <w:i/>
                <w:spacing w:val="-2"/>
                <w:sz w:val="24"/>
              </w:rPr>
              <w:t>Relating</w:t>
            </w:r>
          </w:p>
        </w:tc>
        <w:tc>
          <w:tcPr>
            <w:tcW w:w="6761" w:type="dxa"/>
            <w:tcBorders>
              <w:top w:val="nil"/>
              <w:bottom w:val="nil"/>
            </w:tcBorders>
          </w:tcPr>
          <w:p w14:paraId="51DE772E" w14:textId="77777777" w:rsidR="0010369C" w:rsidRDefault="008E43AE">
            <w:pPr>
              <w:pStyle w:val="TableParagraph"/>
              <w:spacing w:line="271" w:lineRule="exact"/>
              <w:ind w:left="106"/>
              <w:rPr>
                <w:sz w:val="24"/>
              </w:rPr>
            </w:pPr>
            <w:r>
              <w:rPr>
                <w:i/>
                <w:sz w:val="24"/>
              </w:rPr>
              <w:t>Zeroing</w:t>
            </w:r>
            <w:r>
              <w:rPr>
                <w:i/>
                <w:spacing w:val="-1"/>
                <w:sz w:val="24"/>
              </w:rPr>
              <w:t xml:space="preserve"> </w:t>
            </w:r>
            <w:r>
              <w:rPr>
                <w:i/>
                <w:sz w:val="24"/>
              </w:rPr>
              <w:t>and</w:t>
            </w:r>
            <w:r>
              <w:rPr>
                <w:i/>
                <w:spacing w:val="-2"/>
                <w:sz w:val="24"/>
              </w:rPr>
              <w:t xml:space="preserve"> </w:t>
            </w:r>
            <w:r>
              <w:rPr>
                <w:i/>
                <w:sz w:val="24"/>
              </w:rPr>
              <w:t>Sunset</w:t>
            </w:r>
            <w:r>
              <w:rPr>
                <w:i/>
                <w:spacing w:val="-2"/>
                <w:sz w:val="24"/>
              </w:rPr>
              <w:t xml:space="preserve"> </w:t>
            </w:r>
            <w:r>
              <w:rPr>
                <w:i/>
                <w:sz w:val="24"/>
              </w:rPr>
              <w:t>Reviews</w:t>
            </w:r>
            <w:r>
              <w:rPr>
                <w:sz w:val="24"/>
              </w:rPr>
              <w:t>,</w:t>
            </w:r>
            <w:r>
              <w:rPr>
                <w:spacing w:val="-1"/>
                <w:sz w:val="24"/>
              </w:rPr>
              <w:t xml:space="preserve"> </w:t>
            </w:r>
            <w:r>
              <w:rPr>
                <w:sz w:val="24"/>
              </w:rPr>
              <w:t>WT/DS322/AB/R,</w:t>
            </w:r>
            <w:r>
              <w:rPr>
                <w:spacing w:val="-3"/>
                <w:sz w:val="24"/>
              </w:rPr>
              <w:t xml:space="preserve"> </w:t>
            </w:r>
            <w:r>
              <w:rPr>
                <w:sz w:val="24"/>
              </w:rPr>
              <w:t>adopted</w:t>
            </w:r>
            <w:r>
              <w:rPr>
                <w:spacing w:val="-1"/>
                <w:sz w:val="24"/>
              </w:rPr>
              <w:t xml:space="preserve"> </w:t>
            </w:r>
            <w:r>
              <w:rPr>
                <w:sz w:val="24"/>
              </w:rPr>
              <w:t>23</w:t>
            </w:r>
            <w:r>
              <w:rPr>
                <w:spacing w:val="-1"/>
                <w:sz w:val="24"/>
              </w:rPr>
              <w:t xml:space="preserve"> </w:t>
            </w:r>
            <w:r>
              <w:rPr>
                <w:spacing w:val="-2"/>
                <w:sz w:val="24"/>
              </w:rPr>
              <w:t>January</w:t>
            </w:r>
          </w:p>
        </w:tc>
      </w:tr>
      <w:tr w:rsidR="0010369C" w14:paraId="51DE7732" w14:textId="77777777">
        <w:trPr>
          <w:trHeight w:val="293"/>
        </w:trPr>
        <w:tc>
          <w:tcPr>
            <w:tcW w:w="2255" w:type="dxa"/>
            <w:tcBorders>
              <w:top w:val="nil"/>
              <w:bottom w:val="nil"/>
            </w:tcBorders>
          </w:tcPr>
          <w:p w14:paraId="51DE7730" w14:textId="77777777" w:rsidR="0010369C" w:rsidRDefault="008E43AE">
            <w:pPr>
              <w:pStyle w:val="TableParagraph"/>
              <w:spacing w:line="271" w:lineRule="exact"/>
              <w:ind w:left="107"/>
              <w:rPr>
                <w:i/>
                <w:sz w:val="24"/>
              </w:rPr>
            </w:pPr>
            <w:r>
              <w:rPr>
                <w:i/>
                <w:sz w:val="24"/>
              </w:rPr>
              <w:t xml:space="preserve">to Zeroing </w:t>
            </w:r>
            <w:r>
              <w:rPr>
                <w:i/>
                <w:spacing w:val="-5"/>
                <w:sz w:val="24"/>
              </w:rPr>
              <w:t>and</w:t>
            </w:r>
          </w:p>
        </w:tc>
        <w:tc>
          <w:tcPr>
            <w:tcW w:w="6761" w:type="dxa"/>
            <w:tcBorders>
              <w:top w:val="nil"/>
              <w:bottom w:val="nil"/>
            </w:tcBorders>
          </w:tcPr>
          <w:p w14:paraId="51DE7731" w14:textId="77777777" w:rsidR="0010369C" w:rsidRDefault="008E43AE">
            <w:pPr>
              <w:pStyle w:val="TableParagraph"/>
              <w:spacing w:line="271" w:lineRule="exact"/>
              <w:ind w:left="106"/>
              <w:rPr>
                <w:sz w:val="24"/>
              </w:rPr>
            </w:pPr>
            <w:r>
              <w:rPr>
                <w:sz w:val="24"/>
              </w:rPr>
              <w:t>2007,</w:t>
            </w:r>
            <w:r>
              <w:rPr>
                <w:spacing w:val="-4"/>
                <w:sz w:val="24"/>
              </w:rPr>
              <w:t xml:space="preserve"> </w:t>
            </w:r>
            <w:r>
              <w:rPr>
                <w:sz w:val="24"/>
              </w:rPr>
              <w:t>DSR</w:t>
            </w:r>
            <w:r>
              <w:rPr>
                <w:spacing w:val="-3"/>
                <w:sz w:val="24"/>
              </w:rPr>
              <w:t xml:space="preserve"> </w:t>
            </w:r>
            <w:r>
              <w:rPr>
                <w:sz w:val="24"/>
              </w:rPr>
              <w:t>2007:I,</w:t>
            </w:r>
            <w:r>
              <w:rPr>
                <w:spacing w:val="-4"/>
                <w:sz w:val="24"/>
              </w:rPr>
              <w:t xml:space="preserve"> </w:t>
            </w:r>
            <w:r>
              <w:rPr>
                <w:spacing w:val="-10"/>
                <w:sz w:val="24"/>
              </w:rPr>
              <w:t>3</w:t>
            </w:r>
          </w:p>
        </w:tc>
      </w:tr>
      <w:tr w:rsidR="0010369C" w14:paraId="51DE7735" w14:textId="77777777">
        <w:trPr>
          <w:trHeight w:val="270"/>
        </w:trPr>
        <w:tc>
          <w:tcPr>
            <w:tcW w:w="2255" w:type="dxa"/>
            <w:tcBorders>
              <w:top w:val="nil"/>
            </w:tcBorders>
          </w:tcPr>
          <w:p w14:paraId="51DE7733" w14:textId="77777777" w:rsidR="0010369C" w:rsidRDefault="008E43AE">
            <w:pPr>
              <w:pStyle w:val="TableParagraph"/>
              <w:spacing w:line="251" w:lineRule="exact"/>
              <w:ind w:left="107"/>
              <w:rPr>
                <w:i/>
                <w:sz w:val="24"/>
              </w:rPr>
            </w:pPr>
            <w:r>
              <w:rPr>
                <w:i/>
                <w:sz w:val="24"/>
              </w:rPr>
              <w:t>Sunset</w:t>
            </w:r>
            <w:r>
              <w:rPr>
                <w:i/>
                <w:spacing w:val="-1"/>
                <w:sz w:val="24"/>
              </w:rPr>
              <w:t xml:space="preserve"> </w:t>
            </w:r>
            <w:r>
              <w:rPr>
                <w:i/>
                <w:spacing w:val="-2"/>
                <w:sz w:val="24"/>
              </w:rPr>
              <w:t>Reviews</w:t>
            </w:r>
          </w:p>
        </w:tc>
        <w:tc>
          <w:tcPr>
            <w:tcW w:w="6761" w:type="dxa"/>
            <w:tcBorders>
              <w:top w:val="nil"/>
            </w:tcBorders>
          </w:tcPr>
          <w:p w14:paraId="51DE7734" w14:textId="77777777" w:rsidR="0010369C" w:rsidRDefault="0010369C">
            <w:pPr>
              <w:pStyle w:val="TableParagraph"/>
              <w:rPr>
                <w:rFonts w:ascii="Times New Roman"/>
                <w:sz w:val="20"/>
              </w:rPr>
            </w:pPr>
          </w:p>
        </w:tc>
      </w:tr>
      <w:tr w:rsidR="0010369C" w14:paraId="51DE7738" w14:textId="77777777">
        <w:trPr>
          <w:trHeight w:val="878"/>
        </w:trPr>
        <w:tc>
          <w:tcPr>
            <w:tcW w:w="2255" w:type="dxa"/>
          </w:tcPr>
          <w:p w14:paraId="51DE7736" w14:textId="77777777" w:rsidR="0010369C" w:rsidRDefault="008E43AE">
            <w:pPr>
              <w:pStyle w:val="TableParagraph"/>
              <w:ind w:left="107"/>
              <w:rPr>
                <w:i/>
                <w:sz w:val="24"/>
              </w:rPr>
            </w:pPr>
            <w:r>
              <w:rPr>
                <w:i/>
                <w:sz w:val="24"/>
              </w:rPr>
              <w:t>US</w:t>
            </w:r>
            <w:r>
              <w:rPr>
                <w:i/>
                <w:spacing w:val="-2"/>
                <w:sz w:val="24"/>
              </w:rPr>
              <w:t xml:space="preserve"> </w:t>
            </w:r>
            <w:r>
              <w:rPr>
                <w:i/>
                <w:sz w:val="24"/>
              </w:rPr>
              <w:t>–</w:t>
            </w:r>
            <w:r>
              <w:rPr>
                <w:i/>
                <w:spacing w:val="-1"/>
                <w:sz w:val="24"/>
              </w:rPr>
              <w:t xml:space="preserve"> </w:t>
            </w:r>
            <w:r>
              <w:rPr>
                <w:i/>
                <w:sz w:val="24"/>
              </w:rPr>
              <w:t>Hot</w:t>
            </w:r>
            <w:r>
              <w:rPr>
                <w:i/>
                <w:spacing w:val="-2"/>
                <w:sz w:val="24"/>
              </w:rPr>
              <w:t xml:space="preserve"> </w:t>
            </w:r>
            <w:r>
              <w:rPr>
                <w:i/>
                <w:sz w:val="24"/>
              </w:rPr>
              <w:t>Rolled</w:t>
            </w:r>
            <w:r>
              <w:rPr>
                <w:i/>
                <w:spacing w:val="-1"/>
                <w:sz w:val="24"/>
              </w:rPr>
              <w:t xml:space="preserve"> </w:t>
            </w:r>
            <w:r>
              <w:rPr>
                <w:i/>
                <w:spacing w:val="-2"/>
                <w:sz w:val="24"/>
              </w:rPr>
              <w:t>Steel</w:t>
            </w:r>
          </w:p>
        </w:tc>
        <w:tc>
          <w:tcPr>
            <w:tcW w:w="6761" w:type="dxa"/>
          </w:tcPr>
          <w:p w14:paraId="51DE7737" w14:textId="77777777" w:rsidR="0010369C" w:rsidRDefault="008E43AE">
            <w:pPr>
              <w:pStyle w:val="TableParagraph"/>
              <w:spacing w:line="290" w:lineRule="atLeast"/>
              <w:ind w:left="106"/>
              <w:rPr>
                <w:sz w:val="24"/>
              </w:rPr>
            </w:pPr>
            <w:r>
              <w:rPr>
                <w:sz w:val="24"/>
              </w:rPr>
              <w:t>Appellate</w:t>
            </w:r>
            <w:r>
              <w:rPr>
                <w:spacing w:val="-5"/>
                <w:sz w:val="24"/>
              </w:rPr>
              <w:t xml:space="preserve"> </w:t>
            </w:r>
            <w:r>
              <w:rPr>
                <w:sz w:val="24"/>
              </w:rPr>
              <w:t>Body</w:t>
            </w:r>
            <w:r>
              <w:rPr>
                <w:spacing w:val="-5"/>
                <w:sz w:val="24"/>
              </w:rPr>
              <w:t xml:space="preserve"> </w:t>
            </w:r>
            <w:r>
              <w:rPr>
                <w:sz w:val="24"/>
              </w:rPr>
              <w:t>Report,</w:t>
            </w:r>
            <w:r>
              <w:rPr>
                <w:spacing w:val="-6"/>
                <w:sz w:val="24"/>
              </w:rPr>
              <w:t xml:space="preserve"> </w:t>
            </w:r>
            <w:r>
              <w:rPr>
                <w:i/>
                <w:sz w:val="24"/>
              </w:rPr>
              <w:t>United</w:t>
            </w:r>
            <w:r>
              <w:rPr>
                <w:i/>
                <w:spacing w:val="-6"/>
                <w:sz w:val="24"/>
              </w:rPr>
              <w:t xml:space="preserve"> </w:t>
            </w:r>
            <w:r>
              <w:rPr>
                <w:i/>
                <w:sz w:val="24"/>
              </w:rPr>
              <w:t>States</w:t>
            </w:r>
            <w:r>
              <w:rPr>
                <w:i/>
                <w:spacing w:val="-5"/>
                <w:sz w:val="24"/>
              </w:rPr>
              <w:t xml:space="preserve"> </w:t>
            </w:r>
            <w:r>
              <w:rPr>
                <w:i/>
                <w:sz w:val="24"/>
              </w:rPr>
              <w:t>–</w:t>
            </w:r>
            <w:r>
              <w:rPr>
                <w:i/>
                <w:spacing w:val="-5"/>
                <w:sz w:val="24"/>
              </w:rPr>
              <w:t xml:space="preserve"> </w:t>
            </w:r>
            <w:r>
              <w:rPr>
                <w:i/>
                <w:sz w:val="24"/>
              </w:rPr>
              <w:t>Anti‐Dumping</w:t>
            </w:r>
            <w:r>
              <w:rPr>
                <w:i/>
                <w:spacing w:val="-5"/>
                <w:sz w:val="24"/>
              </w:rPr>
              <w:t xml:space="preserve"> </w:t>
            </w:r>
            <w:r>
              <w:rPr>
                <w:i/>
                <w:sz w:val="24"/>
              </w:rPr>
              <w:t>Measures</w:t>
            </w:r>
            <w:r>
              <w:rPr>
                <w:i/>
                <w:spacing w:val="-6"/>
                <w:sz w:val="24"/>
              </w:rPr>
              <w:t xml:space="preserve"> </w:t>
            </w:r>
            <w:r>
              <w:rPr>
                <w:i/>
                <w:sz w:val="24"/>
              </w:rPr>
              <w:t>on</w:t>
            </w:r>
            <w:r>
              <w:rPr>
                <w:i/>
                <w:sz w:val="24"/>
              </w:rPr>
              <w:t xml:space="preserve"> Certain Hot‐Rolled Steel Products from Japan</w:t>
            </w:r>
            <w:r>
              <w:rPr>
                <w:sz w:val="24"/>
              </w:rPr>
              <w:t>, WT/DS184/AB/R, adopted 23 August 2001, DSR 2001:X, p. 4697</w:t>
            </w:r>
          </w:p>
        </w:tc>
      </w:tr>
      <w:tr w:rsidR="0010369C" w14:paraId="51DE773B" w14:textId="77777777">
        <w:trPr>
          <w:trHeight w:val="315"/>
        </w:trPr>
        <w:tc>
          <w:tcPr>
            <w:tcW w:w="2255" w:type="dxa"/>
            <w:tcBorders>
              <w:bottom w:val="nil"/>
            </w:tcBorders>
          </w:tcPr>
          <w:p w14:paraId="51DE7739" w14:textId="77777777" w:rsidR="0010369C" w:rsidRDefault="008E43AE">
            <w:pPr>
              <w:pStyle w:val="TableParagraph"/>
              <w:ind w:left="107"/>
              <w:rPr>
                <w:i/>
                <w:sz w:val="24"/>
              </w:rPr>
            </w:pPr>
            <w:r>
              <w:rPr>
                <w:i/>
                <w:sz w:val="24"/>
              </w:rPr>
              <w:t>US</w:t>
            </w:r>
            <w:r>
              <w:rPr>
                <w:i/>
                <w:spacing w:val="-2"/>
                <w:sz w:val="24"/>
              </w:rPr>
              <w:t xml:space="preserve"> </w:t>
            </w:r>
            <w:r>
              <w:rPr>
                <w:i/>
                <w:sz w:val="24"/>
              </w:rPr>
              <w:t xml:space="preserve">– </w:t>
            </w:r>
            <w:r>
              <w:rPr>
                <w:i/>
                <w:spacing w:val="-2"/>
                <w:sz w:val="24"/>
              </w:rPr>
              <w:t>Anti‐Dumping</w:t>
            </w:r>
          </w:p>
        </w:tc>
        <w:tc>
          <w:tcPr>
            <w:tcW w:w="6761" w:type="dxa"/>
            <w:tcBorders>
              <w:bottom w:val="nil"/>
            </w:tcBorders>
          </w:tcPr>
          <w:p w14:paraId="51DE773A" w14:textId="77777777" w:rsidR="0010369C" w:rsidRDefault="008E43AE">
            <w:pPr>
              <w:pStyle w:val="TableParagraph"/>
              <w:ind w:left="106"/>
              <w:rPr>
                <w:i/>
                <w:sz w:val="24"/>
              </w:rPr>
            </w:pPr>
            <w:r>
              <w:rPr>
                <w:sz w:val="24"/>
              </w:rPr>
              <w:t>Panel</w:t>
            </w:r>
            <w:r>
              <w:rPr>
                <w:spacing w:val="-3"/>
                <w:sz w:val="24"/>
              </w:rPr>
              <w:t xml:space="preserve"> </w:t>
            </w:r>
            <w:r>
              <w:rPr>
                <w:sz w:val="24"/>
              </w:rPr>
              <w:t>Report,</w:t>
            </w:r>
            <w:r>
              <w:rPr>
                <w:spacing w:val="-2"/>
                <w:sz w:val="24"/>
              </w:rPr>
              <w:t xml:space="preserve"> </w:t>
            </w:r>
            <w:r>
              <w:rPr>
                <w:i/>
                <w:sz w:val="24"/>
              </w:rPr>
              <w:t>United</w:t>
            </w:r>
            <w:r>
              <w:rPr>
                <w:i/>
                <w:spacing w:val="-3"/>
                <w:sz w:val="24"/>
              </w:rPr>
              <w:t xml:space="preserve"> </w:t>
            </w:r>
            <w:r>
              <w:rPr>
                <w:i/>
                <w:sz w:val="24"/>
              </w:rPr>
              <w:t>States</w:t>
            </w:r>
            <w:r>
              <w:rPr>
                <w:i/>
                <w:spacing w:val="-3"/>
                <w:sz w:val="24"/>
              </w:rPr>
              <w:t xml:space="preserve"> </w:t>
            </w:r>
            <w:r>
              <w:rPr>
                <w:i/>
                <w:sz w:val="24"/>
              </w:rPr>
              <w:t>–</w:t>
            </w:r>
            <w:r>
              <w:rPr>
                <w:i/>
                <w:spacing w:val="-2"/>
                <w:sz w:val="24"/>
              </w:rPr>
              <w:t xml:space="preserve"> </w:t>
            </w:r>
            <w:r>
              <w:rPr>
                <w:i/>
                <w:sz w:val="24"/>
              </w:rPr>
              <w:t>Definitive</w:t>
            </w:r>
            <w:r>
              <w:rPr>
                <w:i/>
                <w:spacing w:val="-2"/>
                <w:sz w:val="24"/>
              </w:rPr>
              <w:t xml:space="preserve"> </w:t>
            </w:r>
            <w:r>
              <w:rPr>
                <w:i/>
                <w:sz w:val="24"/>
              </w:rPr>
              <w:t>Anti‐Dumping</w:t>
            </w:r>
            <w:r>
              <w:rPr>
                <w:i/>
                <w:spacing w:val="-2"/>
                <w:sz w:val="24"/>
              </w:rPr>
              <w:t xml:space="preserve"> </w:t>
            </w:r>
            <w:r>
              <w:rPr>
                <w:i/>
                <w:spacing w:val="-5"/>
                <w:sz w:val="24"/>
              </w:rPr>
              <w:t>and</w:t>
            </w:r>
          </w:p>
        </w:tc>
      </w:tr>
      <w:tr w:rsidR="0010369C" w14:paraId="51DE773E" w14:textId="77777777">
        <w:trPr>
          <w:trHeight w:val="292"/>
        </w:trPr>
        <w:tc>
          <w:tcPr>
            <w:tcW w:w="2255" w:type="dxa"/>
            <w:tcBorders>
              <w:top w:val="nil"/>
              <w:bottom w:val="nil"/>
            </w:tcBorders>
          </w:tcPr>
          <w:p w14:paraId="51DE773C" w14:textId="77777777" w:rsidR="0010369C" w:rsidRDefault="008E43AE">
            <w:pPr>
              <w:pStyle w:val="TableParagraph"/>
              <w:spacing w:line="271" w:lineRule="exact"/>
              <w:ind w:left="107"/>
              <w:rPr>
                <w:i/>
                <w:sz w:val="24"/>
              </w:rPr>
            </w:pPr>
            <w:r>
              <w:rPr>
                <w:i/>
                <w:sz w:val="24"/>
              </w:rPr>
              <w:t xml:space="preserve">and </w:t>
            </w:r>
            <w:r>
              <w:rPr>
                <w:i/>
                <w:spacing w:val="-2"/>
                <w:sz w:val="24"/>
              </w:rPr>
              <w:t>Countervailing</w:t>
            </w:r>
          </w:p>
        </w:tc>
        <w:tc>
          <w:tcPr>
            <w:tcW w:w="6761" w:type="dxa"/>
            <w:tcBorders>
              <w:top w:val="nil"/>
              <w:bottom w:val="nil"/>
            </w:tcBorders>
          </w:tcPr>
          <w:p w14:paraId="51DE773D" w14:textId="77777777" w:rsidR="0010369C" w:rsidRDefault="008E43AE">
            <w:pPr>
              <w:pStyle w:val="TableParagraph"/>
              <w:spacing w:line="271" w:lineRule="exact"/>
              <w:ind w:left="106"/>
              <w:rPr>
                <w:sz w:val="24"/>
              </w:rPr>
            </w:pPr>
            <w:r>
              <w:rPr>
                <w:i/>
                <w:sz w:val="24"/>
              </w:rPr>
              <w:t>Countervailing</w:t>
            </w:r>
            <w:r>
              <w:rPr>
                <w:i/>
                <w:spacing w:val="-2"/>
                <w:sz w:val="24"/>
              </w:rPr>
              <w:t xml:space="preserve"> </w:t>
            </w:r>
            <w:r>
              <w:rPr>
                <w:i/>
                <w:sz w:val="24"/>
              </w:rPr>
              <w:t>Duties</w:t>
            </w:r>
            <w:r>
              <w:rPr>
                <w:i/>
                <w:spacing w:val="-2"/>
                <w:sz w:val="24"/>
              </w:rPr>
              <w:t xml:space="preserve"> </w:t>
            </w:r>
            <w:r>
              <w:rPr>
                <w:i/>
                <w:sz w:val="24"/>
              </w:rPr>
              <w:t>on</w:t>
            </w:r>
            <w:r>
              <w:rPr>
                <w:i/>
                <w:spacing w:val="-3"/>
                <w:sz w:val="24"/>
              </w:rPr>
              <w:t xml:space="preserve"> </w:t>
            </w:r>
            <w:r>
              <w:rPr>
                <w:i/>
                <w:sz w:val="24"/>
              </w:rPr>
              <w:t>Certain Products</w:t>
            </w:r>
            <w:r>
              <w:rPr>
                <w:i/>
                <w:spacing w:val="-2"/>
                <w:sz w:val="24"/>
              </w:rPr>
              <w:t xml:space="preserve"> </w:t>
            </w:r>
            <w:r>
              <w:rPr>
                <w:i/>
                <w:sz w:val="24"/>
              </w:rPr>
              <w:t>from</w:t>
            </w:r>
            <w:r>
              <w:rPr>
                <w:i/>
                <w:spacing w:val="-2"/>
                <w:sz w:val="24"/>
              </w:rPr>
              <w:t xml:space="preserve"> China</w:t>
            </w:r>
            <w:r>
              <w:rPr>
                <w:spacing w:val="-2"/>
                <w:sz w:val="24"/>
              </w:rPr>
              <w:t>,</w:t>
            </w:r>
          </w:p>
        </w:tc>
      </w:tr>
      <w:tr w:rsidR="0010369C" w14:paraId="51DE7742" w14:textId="77777777">
        <w:trPr>
          <w:trHeight w:val="563"/>
        </w:trPr>
        <w:tc>
          <w:tcPr>
            <w:tcW w:w="2255" w:type="dxa"/>
            <w:tcBorders>
              <w:top w:val="nil"/>
            </w:tcBorders>
          </w:tcPr>
          <w:p w14:paraId="51DE773F" w14:textId="77777777" w:rsidR="0010369C" w:rsidRDefault="008E43AE">
            <w:pPr>
              <w:pStyle w:val="TableParagraph"/>
              <w:spacing w:line="271" w:lineRule="exact"/>
              <w:ind w:left="107"/>
              <w:rPr>
                <w:i/>
                <w:sz w:val="24"/>
              </w:rPr>
            </w:pPr>
            <w:r>
              <w:rPr>
                <w:i/>
                <w:sz w:val="24"/>
              </w:rPr>
              <w:t>Duties</w:t>
            </w:r>
            <w:r>
              <w:rPr>
                <w:i/>
                <w:spacing w:val="-1"/>
                <w:sz w:val="24"/>
              </w:rPr>
              <w:t xml:space="preserve"> </w:t>
            </w:r>
            <w:r>
              <w:rPr>
                <w:i/>
                <w:spacing w:val="-2"/>
                <w:sz w:val="24"/>
              </w:rPr>
              <w:t>(China)</w:t>
            </w:r>
          </w:p>
        </w:tc>
        <w:tc>
          <w:tcPr>
            <w:tcW w:w="6761" w:type="dxa"/>
            <w:tcBorders>
              <w:top w:val="nil"/>
            </w:tcBorders>
          </w:tcPr>
          <w:p w14:paraId="51DE7740" w14:textId="77777777" w:rsidR="0010369C" w:rsidRDefault="008E43AE">
            <w:pPr>
              <w:pStyle w:val="TableParagraph"/>
              <w:spacing w:line="271" w:lineRule="exact"/>
              <w:ind w:left="106"/>
              <w:rPr>
                <w:sz w:val="24"/>
              </w:rPr>
            </w:pPr>
            <w:r>
              <w:rPr>
                <w:sz w:val="24"/>
              </w:rPr>
              <w:t>WT/DS379/R,</w:t>
            </w:r>
            <w:r>
              <w:rPr>
                <w:spacing w:val="-3"/>
                <w:sz w:val="24"/>
              </w:rPr>
              <w:t xml:space="preserve"> </w:t>
            </w:r>
            <w:r>
              <w:rPr>
                <w:sz w:val="24"/>
              </w:rPr>
              <w:t>adopted</w:t>
            </w:r>
            <w:r>
              <w:rPr>
                <w:spacing w:val="-3"/>
                <w:sz w:val="24"/>
              </w:rPr>
              <w:t xml:space="preserve"> </w:t>
            </w:r>
            <w:r>
              <w:rPr>
                <w:sz w:val="24"/>
              </w:rPr>
              <w:t>25</w:t>
            </w:r>
            <w:r>
              <w:rPr>
                <w:spacing w:val="-2"/>
                <w:sz w:val="24"/>
              </w:rPr>
              <w:t xml:space="preserve"> </w:t>
            </w:r>
            <w:r>
              <w:rPr>
                <w:sz w:val="24"/>
              </w:rPr>
              <w:t>March</w:t>
            </w:r>
            <w:r>
              <w:rPr>
                <w:spacing w:val="-1"/>
                <w:sz w:val="24"/>
              </w:rPr>
              <w:t xml:space="preserve"> </w:t>
            </w:r>
            <w:r>
              <w:rPr>
                <w:sz w:val="24"/>
              </w:rPr>
              <w:t>2011,</w:t>
            </w:r>
            <w:r>
              <w:rPr>
                <w:spacing w:val="-2"/>
                <w:sz w:val="24"/>
              </w:rPr>
              <w:t xml:space="preserve"> </w:t>
            </w:r>
            <w:r>
              <w:rPr>
                <w:sz w:val="24"/>
              </w:rPr>
              <w:t>as</w:t>
            </w:r>
            <w:r>
              <w:rPr>
                <w:spacing w:val="-2"/>
                <w:sz w:val="24"/>
              </w:rPr>
              <w:t xml:space="preserve"> </w:t>
            </w:r>
            <w:r>
              <w:rPr>
                <w:sz w:val="24"/>
              </w:rPr>
              <w:t>modified</w:t>
            </w:r>
            <w:r>
              <w:rPr>
                <w:spacing w:val="-2"/>
                <w:sz w:val="24"/>
              </w:rPr>
              <w:t xml:space="preserve"> </w:t>
            </w:r>
            <w:r>
              <w:rPr>
                <w:sz w:val="24"/>
              </w:rPr>
              <w:t xml:space="preserve">by </w:t>
            </w:r>
            <w:r>
              <w:rPr>
                <w:spacing w:val="-2"/>
                <w:sz w:val="24"/>
              </w:rPr>
              <w:t>Appellate</w:t>
            </w:r>
          </w:p>
          <w:p w14:paraId="51DE7741" w14:textId="77777777" w:rsidR="0010369C" w:rsidRDefault="008E43AE">
            <w:pPr>
              <w:pStyle w:val="TableParagraph"/>
              <w:spacing w:line="273" w:lineRule="exact"/>
              <w:ind w:left="106"/>
              <w:rPr>
                <w:sz w:val="24"/>
              </w:rPr>
            </w:pPr>
            <w:r>
              <w:rPr>
                <w:sz w:val="24"/>
              </w:rPr>
              <w:t>Body</w:t>
            </w:r>
            <w:r>
              <w:rPr>
                <w:spacing w:val="-2"/>
                <w:sz w:val="24"/>
              </w:rPr>
              <w:t xml:space="preserve"> </w:t>
            </w:r>
            <w:r>
              <w:rPr>
                <w:sz w:val="24"/>
              </w:rPr>
              <w:t>Report</w:t>
            </w:r>
            <w:r>
              <w:rPr>
                <w:spacing w:val="-4"/>
                <w:sz w:val="24"/>
              </w:rPr>
              <w:t xml:space="preserve"> </w:t>
            </w:r>
            <w:r>
              <w:rPr>
                <w:sz w:val="24"/>
              </w:rPr>
              <w:t>WT/DS379/AB/R,</w:t>
            </w:r>
            <w:r>
              <w:rPr>
                <w:spacing w:val="-4"/>
                <w:sz w:val="24"/>
              </w:rPr>
              <w:t xml:space="preserve"> </w:t>
            </w:r>
            <w:r>
              <w:rPr>
                <w:sz w:val="24"/>
              </w:rPr>
              <w:t>DSR</w:t>
            </w:r>
            <w:r>
              <w:rPr>
                <w:spacing w:val="-2"/>
                <w:sz w:val="24"/>
              </w:rPr>
              <w:t xml:space="preserve"> </w:t>
            </w:r>
            <w:r>
              <w:rPr>
                <w:sz w:val="24"/>
              </w:rPr>
              <w:t>2011:VI,</w:t>
            </w:r>
            <w:r>
              <w:rPr>
                <w:spacing w:val="-3"/>
                <w:sz w:val="24"/>
              </w:rPr>
              <w:t xml:space="preserve"> </w:t>
            </w:r>
            <w:r>
              <w:rPr>
                <w:sz w:val="24"/>
              </w:rPr>
              <w:t>p.</w:t>
            </w:r>
            <w:r>
              <w:rPr>
                <w:spacing w:val="-1"/>
                <w:sz w:val="24"/>
              </w:rPr>
              <w:t xml:space="preserve"> </w:t>
            </w:r>
            <w:r>
              <w:rPr>
                <w:spacing w:val="-4"/>
                <w:sz w:val="24"/>
              </w:rPr>
              <w:t>3143</w:t>
            </w:r>
          </w:p>
        </w:tc>
      </w:tr>
      <w:tr w:rsidR="0010369C" w14:paraId="51DE7745" w14:textId="77777777">
        <w:trPr>
          <w:trHeight w:val="315"/>
        </w:trPr>
        <w:tc>
          <w:tcPr>
            <w:tcW w:w="2255" w:type="dxa"/>
            <w:tcBorders>
              <w:bottom w:val="nil"/>
            </w:tcBorders>
          </w:tcPr>
          <w:p w14:paraId="51DE7743" w14:textId="77777777" w:rsidR="0010369C" w:rsidRDefault="008E43AE">
            <w:pPr>
              <w:pStyle w:val="TableParagraph"/>
              <w:ind w:left="107"/>
              <w:rPr>
                <w:i/>
                <w:sz w:val="24"/>
              </w:rPr>
            </w:pPr>
            <w:r>
              <w:rPr>
                <w:i/>
                <w:sz w:val="24"/>
              </w:rPr>
              <w:t>US</w:t>
            </w:r>
            <w:r>
              <w:rPr>
                <w:i/>
                <w:spacing w:val="-2"/>
                <w:sz w:val="24"/>
              </w:rPr>
              <w:t xml:space="preserve"> </w:t>
            </w:r>
            <w:r>
              <w:rPr>
                <w:i/>
                <w:sz w:val="24"/>
              </w:rPr>
              <w:t xml:space="preserve">– </w:t>
            </w:r>
            <w:r>
              <w:rPr>
                <w:i/>
                <w:spacing w:val="-2"/>
                <w:sz w:val="24"/>
              </w:rPr>
              <w:t>Anti‐Dumping</w:t>
            </w:r>
          </w:p>
        </w:tc>
        <w:tc>
          <w:tcPr>
            <w:tcW w:w="6761" w:type="dxa"/>
            <w:tcBorders>
              <w:bottom w:val="nil"/>
            </w:tcBorders>
          </w:tcPr>
          <w:p w14:paraId="51DE7744" w14:textId="77777777" w:rsidR="0010369C" w:rsidRDefault="008E43AE">
            <w:pPr>
              <w:pStyle w:val="TableParagraph"/>
              <w:ind w:left="106"/>
              <w:rPr>
                <w:i/>
                <w:sz w:val="24"/>
              </w:rPr>
            </w:pPr>
            <w:r>
              <w:rPr>
                <w:sz w:val="24"/>
              </w:rPr>
              <w:t>Panel</w:t>
            </w:r>
            <w:r>
              <w:rPr>
                <w:spacing w:val="-4"/>
                <w:sz w:val="24"/>
              </w:rPr>
              <w:t xml:space="preserve"> </w:t>
            </w:r>
            <w:r>
              <w:rPr>
                <w:sz w:val="24"/>
              </w:rPr>
              <w:t>Report,</w:t>
            </w:r>
            <w:r>
              <w:rPr>
                <w:spacing w:val="-1"/>
                <w:sz w:val="24"/>
              </w:rPr>
              <w:t xml:space="preserve"> </w:t>
            </w:r>
            <w:r>
              <w:rPr>
                <w:i/>
                <w:sz w:val="24"/>
              </w:rPr>
              <w:t>United</w:t>
            </w:r>
            <w:r>
              <w:rPr>
                <w:i/>
                <w:spacing w:val="-2"/>
                <w:sz w:val="24"/>
              </w:rPr>
              <w:t xml:space="preserve"> </w:t>
            </w:r>
            <w:r>
              <w:rPr>
                <w:i/>
                <w:sz w:val="24"/>
              </w:rPr>
              <w:t>States</w:t>
            </w:r>
            <w:r>
              <w:rPr>
                <w:i/>
                <w:spacing w:val="-2"/>
                <w:sz w:val="24"/>
              </w:rPr>
              <w:t xml:space="preserve"> </w:t>
            </w:r>
            <w:r>
              <w:rPr>
                <w:i/>
                <w:sz w:val="24"/>
              </w:rPr>
              <w:t>–</w:t>
            </w:r>
            <w:r>
              <w:rPr>
                <w:i/>
                <w:spacing w:val="-2"/>
                <w:sz w:val="24"/>
              </w:rPr>
              <w:t xml:space="preserve"> </w:t>
            </w:r>
            <w:r>
              <w:rPr>
                <w:i/>
                <w:sz w:val="24"/>
              </w:rPr>
              <w:t>Anti‐Dumping</w:t>
            </w:r>
            <w:r>
              <w:rPr>
                <w:i/>
                <w:spacing w:val="-1"/>
                <w:sz w:val="24"/>
              </w:rPr>
              <w:t xml:space="preserve"> </w:t>
            </w:r>
            <w:r>
              <w:rPr>
                <w:i/>
                <w:sz w:val="24"/>
              </w:rPr>
              <w:t>and</w:t>
            </w:r>
            <w:r>
              <w:rPr>
                <w:i/>
                <w:spacing w:val="-2"/>
                <w:sz w:val="24"/>
              </w:rPr>
              <w:t xml:space="preserve"> Countervailing</w:t>
            </w:r>
          </w:p>
        </w:tc>
      </w:tr>
      <w:tr w:rsidR="0010369C" w14:paraId="51DE7748" w14:textId="77777777">
        <w:trPr>
          <w:trHeight w:val="292"/>
        </w:trPr>
        <w:tc>
          <w:tcPr>
            <w:tcW w:w="2255" w:type="dxa"/>
            <w:tcBorders>
              <w:top w:val="nil"/>
              <w:bottom w:val="nil"/>
            </w:tcBorders>
          </w:tcPr>
          <w:p w14:paraId="51DE7746" w14:textId="77777777" w:rsidR="0010369C" w:rsidRDefault="008E43AE">
            <w:pPr>
              <w:pStyle w:val="TableParagraph"/>
              <w:spacing w:line="271" w:lineRule="exact"/>
              <w:ind w:left="107"/>
              <w:rPr>
                <w:i/>
                <w:sz w:val="24"/>
              </w:rPr>
            </w:pPr>
            <w:r>
              <w:rPr>
                <w:i/>
                <w:sz w:val="24"/>
              </w:rPr>
              <w:t xml:space="preserve">and </w:t>
            </w:r>
            <w:r>
              <w:rPr>
                <w:i/>
                <w:spacing w:val="-2"/>
                <w:sz w:val="24"/>
              </w:rPr>
              <w:t>Countervailing</w:t>
            </w:r>
          </w:p>
        </w:tc>
        <w:tc>
          <w:tcPr>
            <w:tcW w:w="6761" w:type="dxa"/>
            <w:tcBorders>
              <w:top w:val="nil"/>
              <w:bottom w:val="nil"/>
            </w:tcBorders>
          </w:tcPr>
          <w:p w14:paraId="51DE7747" w14:textId="77777777" w:rsidR="0010369C" w:rsidRDefault="008E43AE">
            <w:pPr>
              <w:pStyle w:val="TableParagraph"/>
              <w:spacing w:line="271" w:lineRule="exact"/>
              <w:ind w:left="106"/>
              <w:rPr>
                <w:sz w:val="24"/>
              </w:rPr>
            </w:pPr>
            <w:r>
              <w:rPr>
                <w:i/>
                <w:sz w:val="24"/>
              </w:rPr>
              <w:t>Duties</w:t>
            </w:r>
            <w:r>
              <w:rPr>
                <w:i/>
                <w:spacing w:val="-2"/>
                <w:sz w:val="24"/>
              </w:rPr>
              <w:t xml:space="preserve"> </w:t>
            </w:r>
            <w:r>
              <w:rPr>
                <w:i/>
                <w:sz w:val="24"/>
              </w:rPr>
              <w:t>on</w:t>
            </w:r>
            <w:r>
              <w:rPr>
                <w:i/>
                <w:spacing w:val="-2"/>
                <w:sz w:val="24"/>
              </w:rPr>
              <w:t xml:space="preserve"> </w:t>
            </w:r>
            <w:r>
              <w:rPr>
                <w:i/>
                <w:sz w:val="24"/>
              </w:rPr>
              <w:t>Certain</w:t>
            </w:r>
            <w:r>
              <w:rPr>
                <w:i/>
                <w:spacing w:val="-1"/>
                <w:sz w:val="24"/>
              </w:rPr>
              <w:t xml:space="preserve"> </w:t>
            </w:r>
            <w:r>
              <w:rPr>
                <w:i/>
                <w:sz w:val="24"/>
              </w:rPr>
              <w:t>Products</w:t>
            </w:r>
            <w:r>
              <w:rPr>
                <w:i/>
                <w:spacing w:val="-1"/>
                <w:sz w:val="24"/>
              </w:rPr>
              <w:t xml:space="preserve"> </w:t>
            </w:r>
            <w:r>
              <w:rPr>
                <w:i/>
                <w:sz w:val="24"/>
              </w:rPr>
              <w:t>and</w:t>
            </w:r>
            <w:r>
              <w:rPr>
                <w:i/>
                <w:spacing w:val="-1"/>
                <w:sz w:val="24"/>
              </w:rPr>
              <w:t xml:space="preserve"> </w:t>
            </w:r>
            <w:r>
              <w:rPr>
                <w:i/>
                <w:sz w:val="24"/>
              </w:rPr>
              <w:t>the Use</w:t>
            </w:r>
            <w:r>
              <w:rPr>
                <w:i/>
                <w:spacing w:val="-1"/>
                <w:sz w:val="24"/>
              </w:rPr>
              <w:t xml:space="preserve"> </w:t>
            </w:r>
            <w:r>
              <w:rPr>
                <w:i/>
                <w:sz w:val="24"/>
              </w:rPr>
              <w:t>of</w:t>
            </w:r>
            <w:r>
              <w:rPr>
                <w:i/>
                <w:spacing w:val="-1"/>
                <w:sz w:val="24"/>
              </w:rPr>
              <w:t xml:space="preserve"> </w:t>
            </w:r>
            <w:r>
              <w:rPr>
                <w:i/>
                <w:sz w:val="24"/>
              </w:rPr>
              <w:t xml:space="preserve">Facts </w:t>
            </w:r>
            <w:r>
              <w:rPr>
                <w:i/>
                <w:spacing w:val="-2"/>
                <w:sz w:val="24"/>
              </w:rPr>
              <w:t>Available</w:t>
            </w:r>
            <w:r>
              <w:rPr>
                <w:spacing w:val="-2"/>
                <w:sz w:val="24"/>
              </w:rPr>
              <w:t>,</w:t>
            </w:r>
          </w:p>
        </w:tc>
      </w:tr>
      <w:tr w:rsidR="0010369C" w14:paraId="51DE774C" w14:textId="77777777">
        <w:trPr>
          <w:trHeight w:val="563"/>
        </w:trPr>
        <w:tc>
          <w:tcPr>
            <w:tcW w:w="2255" w:type="dxa"/>
            <w:tcBorders>
              <w:top w:val="nil"/>
            </w:tcBorders>
          </w:tcPr>
          <w:p w14:paraId="51DE7749" w14:textId="77777777" w:rsidR="0010369C" w:rsidRDefault="008E43AE">
            <w:pPr>
              <w:pStyle w:val="TableParagraph"/>
              <w:spacing w:line="271" w:lineRule="exact"/>
              <w:ind w:left="107"/>
              <w:rPr>
                <w:i/>
                <w:sz w:val="24"/>
              </w:rPr>
            </w:pPr>
            <w:r>
              <w:rPr>
                <w:i/>
                <w:sz w:val="24"/>
              </w:rPr>
              <w:t>Duties</w:t>
            </w:r>
            <w:r>
              <w:rPr>
                <w:i/>
                <w:spacing w:val="-1"/>
                <w:sz w:val="24"/>
              </w:rPr>
              <w:t xml:space="preserve"> </w:t>
            </w:r>
            <w:r>
              <w:rPr>
                <w:i/>
                <w:spacing w:val="-2"/>
                <w:sz w:val="24"/>
              </w:rPr>
              <w:t>(Korea)</w:t>
            </w:r>
          </w:p>
        </w:tc>
        <w:tc>
          <w:tcPr>
            <w:tcW w:w="6761" w:type="dxa"/>
            <w:tcBorders>
              <w:top w:val="nil"/>
            </w:tcBorders>
          </w:tcPr>
          <w:p w14:paraId="51DE774A" w14:textId="77777777" w:rsidR="0010369C" w:rsidRDefault="008E43AE">
            <w:pPr>
              <w:pStyle w:val="TableParagraph"/>
              <w:spacing w:line="271" w:lineRule="exact"/>
              <w:ind w:left="106"/>
              <w:rPr>
                <w:sz w:val="24"/>
              </w:rPr>
            </w:pPr>
            <w:r>
              <w:rPr>
                <w:sz w:val="24"/>
              </w:rPr>
              <w:t>WT/DS539/R</w:t>
            </w:r>
            <w:r>
              <w:rPr>
                <w:spacing w:val="-5"/>
                <w:sz w:val="24"/>
              </w:rPr>
              <w:t xml:space="preserve"> </w:t>
            </w:r>
            <w:r>
              <w:rPr>
                <w:sz w:val="24"/>
              </w:rPr>
              <w:t>and</w:t>
            </w:r>
            <w:r>
              <w:rPr>
                <w:spacing w:val="-2"/>
                <w:sz w:val="24"/>
              </w:rPr>
              <w:t xml:space="preserve"> </w:t>
            </w:r>
            <w:r>
              <w:rPr>
                <w:sz w:val="24"/>
              </w:rPr>
              <w:t>Add.1,</w:t>
            </w:r>
            <w:r>
              <w:rPr>
                <w:spacing w:val="-3"/>
                <w:sz w:val="24"/>
              </w:rPr>
              <w:t xml:space="preserve"> </w:t>
            </w:r>
            <w:r>
              <w:rPr>
                <w:sz w:val="24"/>
              </w:rPr>
              <w:t>circulated</w:t>
            </w:r>
            <w:r>
              <w:rPr>
                <w:spacing w:val="-2"/>
                <w:sz w:val="24"/>
              </w:rPr>
              <w:t xml:space="preserve"> </w:t>
            </w:r>
            <w:r>
              <w:rPr>
                <w:sz w:val="24"/>
              </w:rPr>
              <w:t>to</w:t>
            </w:r>
            <w:r>
              <w:rPr>
                <w:spacing w:val="-2"/>
                <w:sz w:val="24"/>
              </w:rPr>
              <w:t xml:space="preserve"> </w:t>
            </w:r>
            <w:r>
              <w:rPr>
                <w:sz w:val="24"/>
              </w:rPr>
              <w:t>WTO</w:t>
            </w:r>
            <w:r>
              <w:rPr>
                <w:spacing w:val="-2"/>
                <w:sz w:val="24"/>
              </w:rPr>
              <w:t xml:space="preserve"> </w:t>
            </w:r>
            <w:r>
              <w:rPr>
                <w:sz w:val="24"/>
              </w:rPr>
              <w:t>Members</w:t>
            </w:r>
            <w:r>
              <w:rPr>
                <w:spacing w:val="-3"/>
                <w:sz w:val="24"/>
              </w:rPr>
              <w:t xml:space="preserve"> </w:t>
            </w:r>
            <w:r>
              <w:rPr>
                <w:sz w:val="24"/>
              </w:rPr>
              <w:t>21</w:t>
            </w:r>
            <w:r>
              <w:rPr>
                <w:spacing w:val="-2"/>
                <w:sz w:val="24"/>
              </w:rPr>
              <w:t xml:space="preserve"> January</w:t>
            </w:r>
          </w:p>
          <w:p w14:paraId="51DE774B" w14:textId="77777777" w:rsidR="0010369C" w:rsidRDefault="008E43AE">
            <w:pPr>
              <w:pStyle w:val="TableParagraph"/>
              <w:spacing w:line="273" w:lineRule="exact"/>
              <w:ind w:left="106"/>
              <w:rPr>
                <w:sz w:val="24"/>
              </w:rPr>
            </w:pPr>
            <w:r>
              <w:rPr>
                <w:sz w:val="24"/>
              </w:rPr>
              <w:t>2021</w:t>
            </w:r>
            <w:r>
              <w:rPr>
                <w:spacing w:val="-4"/>
                <w:sz w:val="24"/>
              </w:rPr>
              <w:t xml:space="preserve"> </w:t>
            </w:r>
            <w:r>
              <w:rPr>
                <w:sz w:val="24"/>
              </w:rPr>
              <w:t>[appealed;</w:t>
            </w:r>
            <w:r>
              <w:rPr>
                <w:spacing w:val="-5"/>
                <w:sz w:val="24"/>
              </w:rPr>
              <w:t xml:space="preserve"> </w:t>
            </w:r>
            <w:r>
              <w:rPr>
                <w:sz w:val="24"/>
              </w:rPr>
              <w:t>adoption</w:t>
            </w:r>
            <w:r>
              <w:rPr>
                <w:spacing w:val="-3"/>
                <w:sz w:val="24"/>
              </w:rPr>
              <w:t xml:space="preserve"> </w:t>
            </w:r>
            <w:r>
              <w:rPr>
                <w:spacing w:val="-2"/>
                <w:sz w:val="24"/>
              </w:rPr>
              <w:t>pending]</w:t>
            </w:r>
          </w:p>
        </w:tc>
      </w:tr>
      <w:tr w:rsidR="0010369C" w14:paraId="51DE774F" w14:textId="77777777">
        <w:trPr>
          <w:trHeight w:val="315"/>
        </w:trPr>
        <w:tc>
          <w:tcPr>
            <w:tcW w:w="2255" w:type="dxa"/>
            <w:tcBorders>
              <w:bottom w:val="nil"/>
            </w:tcBorders>
          </w:tcPr>
          <w:p w14:paraId="51DE774D" w14:textId="77777777" w:rsidR="0010369C" w:rsidRDefault="008E43AE">
            <w:pPr>
              <w:pStyle w:val="TableParagraph"/>
              <w:ind w:left="107"/>
              <w:rPr>
                <w:i/>
                <w:sz w:val="24"/>
              </w:rPr>
            </w:pPr>
            <w:r>
              <w:rPr>
                <w:i/>
                <w:sz w:val="24"/>
              </w:rPr>
              <w:t>US</w:t>
            </w:r>
            <w:r>
              <w:rPr>
                <w:i/>
                <w:spacing w:val="-2"/>
                <w:sz w:val="24"/>
              </w:rPr>
              <w:t xml:space="preserve"> </w:t>
            </w:r>
            <w:r>
              <w:rPr>
                <w:i/>
                <w:sz w:val="24"/>
              </w:rPr>
              <w:t xml:space="preserve">– </w:t>
            </w:r>
            <w:r>
              <w:rPr>
                <w:i/>
                <w:spacing w:val="-2"/>
                <w:sz w:val="24"/>
              </w:rPr>
              <w:t>Anti‐Dumping</w:t>
            </w:r>
          </w:p>
        </w:tc>
        <w:tc>
          <w:tcPr>
            <w:tcW w:w="6761" w:type="dxa"/>
            <w:tcBorders>
              <w:bottom w:val="nil"/>
            </w:tcBorders>
          </w:tcPr>
          <w:p w14:paraId="51DE774E" w14:textId="77777777" w:rsidR="0010369C" w:rsidRDefault="008E43AE">
            <w:pPr>
              <w:pStyle w:val="TableParagraph"/>
              <w:ind w:left="106"/>
              <w:rPr>
                <w:i/>
                <w:sz w:val="24"/>
              </w:rPr>
            </w:pPr>
            <w:r>
              <w:rPr>
                <w:sz w:val="24"/>
              </w:rPr>
              <w:t>Appellate</w:t>
            </w:r>
            <w:r>
              <w:rPr>
                <w:spacing w:val="-5"/>
                <w:sz w:val="24"/>
              </w:rPr>
              <w:t xml:space="preserve"> </w:t>
            </w:r>
            <w:r>
              <w:rPr>
                <w:sz w:val="24"/>
              </w:rPr>
              <w:t>Body</w:t>
            </w:r>
            <w:r>
              <w:rPr>
                <w:spacing w:val="-3"/>
                <w:sz w:val="24"/>
              </w:rPr>
              <w:t xml:space="preserve"> </w:t>
            </w:r>
            <w:r>
              <w:rPr>
                <w:sz w:val="24"/>
              </w:rPr>
              <w:t>Report,</w:t>
            </w:r>
            <w:r>
              <w:rPr>
                <w:spacing w:val="-4"/>
                <w:sz w:val="24"/>
              </w:rPr>
              <w:t xml:space="preserve"> </w:t>
            </w:r>
            <w:r>
              <w:rPr>
                <w:i/>
                <w:sz w:val="24"/>
              </w:rPr>
              <w:t>United</w:t>
            </w:r>
            <w:r>
              <w:rPr>
                <w:i/>
                <w:spacing w:val="-3"/>
                <w:sz w:val="24"/>
              </w:rPr>
              <w:t xml:space="preserve"> </w:t>
            </w:r>
            <w:r>
              <w:rPr>
                <w:i/>
                <w:sz w:val="24"/>
              </w:rPr>
              <w:t>States</w:t>
            </w:r>
            <w:r>
              <w:rPr>
                <w:i/>
                <w:spacing w:val="-3"/>
                <w:sz w:val="24"/>
              </w:rPr>
              <w:t xml:space="preserve"> </w:t>
            </w:r>
            <w:r>
              <w:rPr>
                <w:i/>
                <w:sz w:val="24"/>
              </w:rPr>
              <w:t>–</w:t>
            </w:r>
            <w:r>
              <w:rPr>
                <w:i/>
                <w:spacing w:val="-3"/>
                <w:sz w:val="24"/>
              </w:rPr>
              <w:t xml:space="preserve"> </w:t>
            </w:r>
            <w:r>
              <w:rPr>
                <w:i/>
                <w:sz w:val="24"/>
              </w:rPr>
              <w:t>Certain</w:t>
            </w:r>
            <w:r>
              <w:rPr>
                <w:i/>
                <w:spacing w:val="-4"/>
                <w:sz w:val="24"/>
              </w:rPr>
              <w:t xml:space="preserve"> </w:t>
            </w:r>
            <w:r>
              <w:rPr>
                <w:i/>
                <w:sz w:val="24"/>
              </w:rPr>
              <w:t>Methodologies</w:t>
            </w:r>
            <w:r>
              <w:rPr>
                <w:i/>
                <w:spacing w:val="-2"/>
                <w:sz w:val="24"/>
              </w:rPr>
              <w:t xml:space="preserve"> </w:t>
            </w:r>
            <w:r>
              <w:rPr>
                <w:i/>
                <w:spacing w:val="-5"/>
                <w:sz w:val="24"/>
              </w:rPr>
              <w:t>and</w:t>
            </w:r>
          </w:p>
        </w:tc>
      </w:tr>
      <w:tr w:rsidR="0010369C" w14:paraId="51DE7752" w14:textId="77777777">
        <w:trPr>
          <w:trHeight w:val="292"/>
        </w:trPr>
        <w:tc>
          <w:tcPr>
            <w:tcW w:w="2255" w:type="dxa"/>
            <w:tcBorders>
              <w:top w:val="nil"/>
              <w:bottom w:val="nil"/>
            </w:tcBorders>
          </w:tcPr>
          <w:p w14:paraId="51DE7750" w14:textId="77777777" w:rsidR="0010369C" w:rsidRDefault="008E43AE">
            <w:pPr>
              <w:pStyle w:val="TableParagraph"/>
              <w:spacing w:line="271" w:lineRule="exact"/>
              <w:ind w:left="107"/>
              <w:rPr>
                <w:i/>
                <w:sz w:val="24"/>
              </w:rPr>
            </w:pPr>
            <w:r>
              <w:rPr>
                <w:i/>
                <w:spacing w:val="-2"/>
                <w:sz w:val="24"/>
              </w:rPr>
              <w:t>Methodologies</w:t>
            </w:r>
          </w:p>
        </w:tc>
        <w:tc>
          <w:tcPr>
            <w:tcW w:w="6761" w:type="dxa"/>
            <w:tcBorders>
              <w:top w:val="nil"/>
              <w:bottom w:val="nil"/>
            </w:tcBorders>
          </w:tcPr>
          <w:p w14:paraId="51DE7751" w14:textId="77777777" w:rsidR="0010369C" w:rsidRDefault="008E43AE">
            <w:pPr>
              <w:pStyle w:val="TableParagraph"/>
              <w:spacing w:line="271" w:lineRule="exact"/>
              <w:ind w:left="106"/>
              <w:rPr>
                <w:sz w:val="24"/>
              </w:rPr>
            </w:pPr>
            <w:r>
              <w:rPr>
                <w:i/>
                <w:sz w:val="24"/>
              </w:rPr>
              <w:t>Their</w:t>
            </w:r>
            <w:r>
              <w:rPr>
                <w:i/>
                <w:spacing w:val="-5"/>
                <w:sz w:val="24"/>
              </w:rPr>
              <w:t xml:space="preserve"> </w:t>
            </w:r>
            <w:r>
              <w:rPr>
                <w:i/>
                <w:sz w:val="24"/>
              </w:rPr>
              <w:t>Application</w:t>
            </w:r>
            <w:r>
              <w:rPr>
                <w:i/>
                <w:spacing w:val="-4"/>
                <w:sz w:val="24"/>
              </w:rPr>
              <w:t xml:space="preserve"> </w:t>
            </w:r>
            <w:r>
              <w:rPr>
                <w:i/>
                <w:sz w:val="24"/>
              </w:rPr>
              <w:t>to</w:t>
            </w:r>
            <w:r>
              <w:rPr>
                <w:i/>
                <w:spacing w:val="-3"/>
                <w:sz w:val="24"/>
              </w:rPr>
              <w:t xml:space="preserve"> </w:t>
            </w:r>
            <w:r>
              <w:rPr>
                <w:i/>
                <w:sz w:val="24"/>
              </w:rPr>
              <w:t>Anti‐Dumping</w:t>
            </w:r>
            <w:r>
              <w:rPr>
                <w:i/>
                <w:spacing w:val="-2"/>
                <w:sz w:val="24"/>
              </w:rPr>
              <w:t xml:space="preserve"> </w:t>
            </w:r>
            <w:r>
              <w:rPr>
                <w:i/>
                <w:sz w:val="24"/>
              </w:rPr>
              <w:t>Proceedings</w:t>
            </w:r>
            <w:r>
              <w:rPr>
                <w:i/>
                <w:spacing w:val="-4"/>
                <w:sz w:val="24"/>
              </w:rPr>
              <w:t xml:space="preserve"> </w:t>
            </w:r>
            <w:r>
              <w:rPr>
                <w:i/>
                <w:sz w:val="24"/>
              </w:rPr>
              <w:t>Involving</w:t>
            </w:r>
            <w:r>
              <w:rPr>
                <w:i/>
                <w:spacing w:val="-3"/>
                <w:sz w:val="24"/>
              </w:rPr>
              <w:t xml:space="preserve"> </w:t>
            </w:r>
            <w:r>
              <w:rPr>
                <w:i/>
                <w:spacing w:val="-2"/>
                <w:sz w:val="24"/>
              </w:rPr>
              <w:t>China</w:t>
            </w:r>
            <w:r>
              <w:rPr>
                <w:spacing w:val="-2"/>
                <w:sz w:val="24"/>
              </w:rPr>
              <w:t>,</w:t>
            </w:r>
          </w:p>
        </w:tc>
      </w:tr>
      <w:tr w:rsidR="0010369C" w14:paraId="51DE7756" w14:textId="77777777">
        <w:trPr>
          <w:trHeight w:val="564"/>
        </w:trPr>
        <w:tc>
          <w:tcPr>
            <w:tcW w:w="2255" w:type="dxa"/>
            <w:tcBorders>
              <w:top w:val="nil"/>
            </w:tcBorders>
          </w:tcPr>
          <w:p w14:paraId="51DE7753" w14:textId="77777777" w:rsidR="0010369C" w:rsidRDefault="008E43AE">
            <w:pPr>
              <w:pStyle w:val="TableParagraph"/>
              <w:spacing w:line="271" w:lineRule="exact"/>
              <w:ind w:left="107"/>
              <w:rPr>
                <w:i/>
                <w:sz w:val="24"/>
              </w:rPr>
            </w:pPr>
            <w:r>
              <w:rPr>
                <w:i/>
                <w:spacing w:val="-2"/>
                <w:sz w:val="24"/>
              </w:rPr>
              <w:t>(China)</w:t>
            </w:r>
          </w:p>
        </w:tc>
        <w:tc>
          <w:tcPr>
            <w:tcW w:w="6761" w:type="dxa"/>
            <w:tcBorders>
              <w:top w:val="nil"/>
            </w:tcBorders>
          </w:tcPr>
          <w:p w14:paraId="51DE7754" w14:textId="77777777" w:rsidR="0010369C" w:rsidRDefault="008E43AE">
            <w:pPr>
              <w:pStyle w:val="TableParagraph"/>
              <w:spacing w:line="271" w:lineRule="exact"/>
              <w:ind w:left="106"/>
              <w:rPr>
                <w:sz w:val="24"/>
              </w:rPr>
            </w:pPr>
            <w:r>
              <w:rPr>
                <w:sz w:val="24"/>
              </w:rPr>
              <w:t>WT/DS471/AB/R</w:t>
            </w:r>
            <w:r>
              <w:rPr>
                <w:spacing w:val="-4"/>
                <w:sz w:val="24"/>
              </w:rPr>
              <w:t xml:space="preserve"> </w:t>
            </w:r>
            <w:r>
              <w:rPr>
                <w:sz w:val="24"/>
              </w:rPr>
              <w:t>and</w:t>
            </w:r>
            <w:r>
              <w:rPr>
                <w:spacing w:val="-4"/>
                <w:sz w:val="24"/>
              </w:rPr>
              <w:t xml:space="preserve"> </w:t>
            </w:r>
            <w:r>
              <w:rPr>
                <w:sz w:val="24"/>
              </w:rPr>
              <w:t>Add.1,</w:t>
            </w:r>
            <w:r>
              <w:rPr>
                <w:spacing w:val="-3"/>
                <w:sz w:val="24"/>
              </w:rPr>
              <w:t xml:space="preserve"> </w:t>
            </w:r>
            <w:r>
              <w:rPr>
                <w:sz w:val="24"/>
              </w:rPr>
              <w:t>adopted</w:t>
            </w:r>
            <w:r>
              <w:rPr>
                <w:spacing w:val="-4"/>
                <w:sz w:val="24"/>
              </w:rPr>
              <w:t xml:space="preserve"> </w:t>
            </w:r>
            <w:r>
              <w:rPr>
                <w:sz w:val="24"/>
              </w:rPr>
              <w:t>22</w:t>
            </w:r>
            <w:r>
              <w:rPr>
                <w:spacing w:val="-3"/>
                <w:sz w:val="24"/>
              </w:rPr>
              <w:t xml:space="preserve"> </w:t>
            </w:r>
            <w:r>
              <w:rPr>
                <w:sz w:val="24"/>
              </w:rPr>
              <w:t>May</w:t>
            </w:r>
            <w:r>
              <w:rPr>
                <w:spacing w:val="-3"/>
                <w:sz w:val="24"/>
              </w:rPr>
              <w:t xml:space="preserve"> </w:t>
            </w:r>
            <w:r>
              <w:rPr>
                <w:sz w:val="24"/>
              </w:rPr>
              <w:t>2017,</w:t>
            </w:r>
            <w:r>
              <w:rPr>
                <w:spacing w:val="-3"/>
                <w:sz w:val="24"/>
              </w:rPr>
              <w:t xml:space="preserve"> </w:t>
            </w:r>
            <w:r>
              <w:rPr>
                <w:sz w:val="24"/>
              </w:rPr>
              <w:t>DSR</w:t>
            </w:r>
            <w:r>
              <w:rPr>
                <w:spacing w:val="-3"/>
                <w:sz w:val="24"/>
              </w:rPr>
              <w:t xml:space="preserve"> </w:t>
            </w:r>
            <w:r>
              <w:rPr>
                <w:sz w:val="24"/>
              </w:rPr>
              <w:t>2017:III,</w:t>
            </w:r>
            <w:r>
              <w:rPr>
                <w:spacing w:val="-2"/>
                <w:sz w:val="24"/>
              </w:rPr>
              <w:t xml:space="preserve"> </w:t>
            </w:r>
            <w:r>
              <w:rPr>
                <w:spacing w:val="-5"/>
                <w:sz w:val="24"/>
              </w:rPr>
              <w:t>p.</w:t>
            </w:r>
          </w:p>
          <w:p w14:paraId="51DE7755" w14:textId="77777777" w:rsidR="0010369C" w:rsidRDefault="008E43AE">
            <w:pPr>
              <w:pStyle w:val="TableParagraph"/>
              <w:spacing w:before="1" w:line="273" w:lineRule="exact"/>
              <w:ind w:left="106"/>
              <w:rPr>
                <w:sz w:val="24"/>
              </w:rPr>
            </w:pPr>
            <w:r>
              <w:rPr>
                <w:spacing w:val="-4"/>
                <w:sz w:val="24"/>
              </w:rPr>
              <w:t>1423</w:t>
            </w:r>
          </w:p>
        </w:tc>
      </w:tr>
      <w:tr w:rsidR="0010369C" w14:paraId="51DE775A" w14:textId="77777777">
        <w:trPr>
          <w:trHeight w:val="1171"/>
        </w:trPr>
        <w:tc>
          <w:tcPr>
            <w:tcW w:w="2255" w:type="dxa"/>
          </w:tcPr>
          <w:p w14:paraId="51DE7757" w14:textId="77777777" w:rsidR="0010369C" w:rsidRDefault="008E43AE">
            <w:pPr>
              <w:pStyle w:val="TableParagraph"/>
              <w:ind w:left="107" w:right="152"/>
              <w:rPr>
                <w:i/>
                <w:sz w:val="24"/>
              </w:rPr>
            </w:pPr>
            <w:r>
              <w:rPr>
                <w:i/>
                <w:sz w:val="24"/>
              </w:rPr>
              <w:t>US</w:t>
            </w:r>
            <w:r>
              <w:rPr>
                <w:i/>
                <w:spacing w:val="-14"/>
                <w:sz w:val="24"/>
              </w:rPr>
              <w:t xml:space="preserve"> </w:t>
            </w:r>
            <w:r>
              <w:rPr>
                <w:i/>
                <w:sz w:val="24"/>
              </w:rPr>
              <w:t>–</w:t>
            </w:r>
            <w:r>
              <w:rPr>
                <w:i/>
                <w:spacing w:val="-14"/>
                <w:sz w:val="24"/>
              </w:rPr>
              <w:t xml:space="preserve"> </w:t>
            </w:r>
            <w:r>
              <w:rPr>
                <w:i/>
                <w:sz w:val="24"/>
              </w:rPr>
              <w:t xml:space="preserve">Anti‐Dumping </w:t>
            </w:r>
            <w:r>
              <w:rPr>
                <w:i/>
                <w:spacing w:val="-2"/>
                <w:sz w:val="24"/>
              </w:rPr>
              <w:t>Methodologies (China)</w:t>
            </w:r>
          </w:p>
        </w:tc>
        <w:tc>
          <w:tcPr>
            <w:tcW w:w="6761" w:type="dxa"/>
          </w:tcPr>
          <w:p w14:paraId="51DE7758" w14:textId="77777777" w:rsidR="0010369C" w:rsidRDefault="008E43AE">
            <w:pPr>
              <w:pStyle w:val="TableParagraph"/>
              <w:ind w:left="106"/>
              <w:rPr>
                <w:sz w:val="24"/>
              </w:rPr>
            </w:pPr>
            <w:r>
              <w:rPr>
                <w:sz w:val="24"/>
              </w:rPr>
              <w:t>Panel</w:t>
            </w:r>
            <w:r>
              <w:rPr>
                <w:spacing w:val="-3"/>
                <w:sz w:val="24"/>
              </w:rPr>
              <w:t xml:space="preserve"> </w:t>
            </w:r>
            <w:r>
              <w:rPr>
                <w:sz w:val="24"/>
              </w:rPr>
              <w:t>Report,</w:t>
            </w:r>
            <w:r>
              <w:rPr>
                <w:spacing w:val="-2"/>
                <w:sz w:val="24"/>
              </w:rPr>
              <w:t xml:space="preserve"> </w:t>
            </w:r>
            <w:r>
              <w:rPr>
                <w:i/>
                <w:sz w:val="24"/>
              </w:rPr>
              <w:t>United</w:t>
            </w:r>
            <w:r>
              <w:rPr>
                <w:i/>
                <w:spacing w:val="-3"/>
                <w:sz w:val="24"/>
              </w:rPr>
              <w:t xml:space="preserve"> </w:t>
            </w:r>
            <w:r>
              <w:rPr>
                <w:i/>
                <w:sz w:val="24"/>
              </w:rPr>
              <w:t>States</w:t>
            </w:r>
            <w:r>
              <w:rPr>
                <w:i/>
                <w:spacing w:val="-3"/>
                <w:sz w:val="24"/>
              </w:rPr>
              <w:t xml:space="preserve"> </w:t>
            </w:r>
            <w:r>
              <w:rPr>
                <w:i/>
                <w:sz w:val="24"/>
              </w:rPr>
              <w:t>–</w:t>
            </w:r>
            <w:r>
              <w:rPr>
                <w:i/>
                <w:spacing w:val="-2"/>
                <w:sz w:val="24"/>
              </w:rPr>
              <w:t xml:space="preserve"> </w:t>
            </w:r>
            <w:r>
              <w:rPr>
                <w:i/>
                <w:sz w:val="24"/>
              </w:rPr>
              <w:t>Certain</w:t>
            </w:r>
            <w:r>
              <w:rPr>
                <w:i/>
                <w:spacing w:val="-3"/>
                <w:sz w:val="24"/>
              </w:rPr>
              <w:t xml:space="preserve"> </w:t>
            </w:r>
            <w:r>
              <w:rPr>
                <w:i/>
                <w:sz w:val="24"/>
              </w:rPr>
              <w:t>Methodologies</w:t>
            </w:r>
            <w:r>
              <w:rPr>
                <w:i/>
                <w:spacing w:val="-3"/>
                <w:sz w:val="24"/>
              </w:rPr>
              <w:t xml:space="preserve"> </w:t>
            </w:r>
            <w:r>
              <w:rPr>
                <w:i/>
                <w:sz w:val="24"/>
              </w:rPr>
              <w:t>and</w:t>
            </w:r>
            <w:r>
              <w:rPr>
                <w:i/>
                <w:spacing w:val="-4"/>
                <w:sz w:val="24"/>
              </w:rPr>
              <w:t xml:space="preserve"> </w:t>
            </w:r>
            <w:r>
              <w:rPr>
                <w:i/>
                <w:sz w:val="24"/>
              </w:rPr>
              <w:t>Their Application to Anti‐Dumping Proceedings Involving China</w:t>
            </w:r>
            <w:r>
              <w:rPr>
                <w:sz w:val="24"/>
              </w:rPr>
              <w:t>, WT/DS471/R</w:t>
            </w:r>
            <w:r>
              <w:rPr>
                <w:spacing w:val="-5"/>
                <w:sz w:val="24"/>
              </w:rPr>
              <w:t xml:space="preserve"> </w:t>
            </w:r>
            <w:r>
              <w:rPr>
                <w:sz w:val="24"/>
              </w:rPr>
              <w:t>and</w:t>
            </w:r>
            <w:r>
              <w:rPr>
                <w:spacing w:val="-5"/>
                <w:sz w:val="24"/>
              </w:rPr>
              <w:t xml:space="preserve"> </w:t>
            </w:r>
            <w:r>
              <w:rPr>
                <w:sz w:val="24"/>
              </w:rPr>
              <w:t>Add.1,</w:t>
            </w:r>
            <w:r>
              <w:rPr>
                <w:spacing w:val="-5"/>
                <w:sz w:val="24"/>
              </w:rPr>
              <w:t xml:space="preserve"> </w:t>
            </w:r>
            <w:r>
              <w:rPr>
                <w:sz w:val="24"/>
              </w:rPr>
              <w:t>adopted</w:t>
            </w:r>
            <w:r>
              <w:rPr>
                <w:spacing w:val="-5"/>
                <w:sz w:val="24"/>
              </w:rPr>
              <w:t xml:space="preserve"> </w:t>
            </w:r>
            <w:r>
              <w:rPr>
                <w:sz w:val="24"/>
              </w:rPr>
              <w:t>22</w:t>
            </w:r>
            <w:r>
              <w:rPr>
                <w:spacing w:val="-5"/>
                <w:sz w:val="24"/>
              </w:rPr>
              <w:t xml:space="preserve"> </w:t>
            </w:r>
            <w:r>
              <w:rPr>
                <w:sz w:val="24"/>
              </w:rPr>
              <w:t>May</w:t>
            </w:r>
            <w:r>
              <w:rPr>
                <w:spacing w:val="-4"/>
                <w:sz w:val="24"/>
              </w:rPr>
              <w:t xml:space="preserve"> </w:t>
            </w:r>
            <w:r>
              <w:rPr>
                <w:sz w:val="24"/>
              </w:rPr>
              <w:t>2017,</w:t>
            </w:r>
            <w:r>
              <w:rPr>
                <w:spacing w:val="-5"/>
                <w:sz w:val="24"/>
              </w:rPr>
              <w:t xml:space="preserve"> </w:t>
            </w:r>
            <w:r>
              <w:rPr>
                <w:sz w:val="24"/>
              </w:rPr>
              <w:t>as</w:t>
            </w:r>
            <w:r>
              <w:rPr>
                <w:spacing w:val="-5"/>
                <w:sz w:val="24"/>
              </w:rPr>
              <w:t xml:space="preserve"> </w:t>
            </w:r>
            <w:r>
              <w:rPr>
                <w:sz w:val="24"/>
              </w:rPr>
              <w:t>modified</w:t>
            </w:r>
            <w:r>
              <w:rPr>
                <w:spacing w:val="-6"/>
                <w:sz w:val="24"/>
              </w:rPr>
              <w:t xml:space="preserve"> </w:t>
            </w:r>
            <w:r>
              <w:rPr>
                <w:sz w:val="24"/>
              </w:rPr>
              <w:t>by</w:t>
            </w:r>
          </w:p>
          <w:p w14:paraId="51DE7759" w14:textId="77777777" w:rsidR="0010369C" w:rsidRDefault="008E43AE">
            <w:pPr>
              <w:pStyle w:val="TableParagraph"/>
              <w:spacing w:line="273" w:lineRule="exact"/>
              <w:ind w:left="106"/>
              <w:rPr>
                <w:sz w:val="24"/>
              </w:rPr>
            </w:pPr>
            <w:r>
              <w:rPr>
                <w:sz w:val="24"/>
              </w:rPr>
              <w:t>Appellate</w:t>
            </w:r>
            <w:r>
              <w:rPr>
                <w:spacing w:val="-3"/>
                <w:sz w:val="24"/>
              </w:rPr>
              <w:t xml:space="preserve"> </w:t>
            </w:r>
            <w:r>
              <w:rPr>
                <w:sz w:val="24"/>
              </w:rPr>
              <w:t>Body</w:t>
            </w:r>
            <w:r>
              <w:rPr>
                <w:spacing w:val="-3"/>
                <w:sz w:val="24"/>
              </w:rPr>
              <w:t xml:space="preserve"> </w:t>
            </w:r>
            <w:r>
              <w:rPr>
                <w:sz w:val="24"/>
              </w:rPr>
              <w:t>Report</w:t>
            </w:r>
            <w:r>
              <w:rPr>
                <w:spacing w:val="-5"/>
                <w:sz w:val="24"/>
              </w:rPr>
              <w:t xml:space="preserve"> </w:t>
            </w:r>
            <w:r>
              <w:rPr>
                <w:sz w:val="24"/>
              </w:rPr>
              <w:t>WT/DS471/AB/R,</w:t>
            </w:r>
            <w:r>
              <w:rPr>
                <w:spacing w:val="-5"/>
                <w:sz w:val="24"/>
              </w:rPr>
              <w:t xml:space="preserve"> </w:t>
            </w:r>
            <w:r>
              <w:rPr>
                <w:sz w:val="24"/>
              </w:rPr>
              <w:t>DSR</w:t>
            </w:r>
            <w:r>
              <w:rPr>
                <w:spacing w:val="-3"/>
                <w:sz w:val="24"/>
              </w:rPr>
              <w:t xml:space="preserve"> </w:t>
            </w:r>
            <w:r>
              <w:rPr>
                <w:sz w:val="24"/>
              </w:rPr>
              <w:t>2017:IV,</w:t>
            </w:r>
            <w:r>
              <w:rPr>
                <w:spacing w:val="-4"/>
                <w:sz w:val="24"/>
              </w:rPr>
              <w:t xml:space="preserve"> </w:t>
            </w:r>
            <w:r>
              <w:rPr>
                <w:sz w:val="24"/>
              </w:rPr>
              <w:t>p.</w:t>
            </w:r>
            <w:r>
              <w:rPr>
                <w:spacing w:val="-2"/>
                <w:sz w:val="24"/>
              </w:rPr>
              <w:t xml:space="preserve"> </w:t>
            </w:r>
            <w:r>
              <w:rPr>
                <w:spacing w:val="-4"/>
                <w:sz w:val="24"/>
              </w:rPr>
              <w:t>1589</w:t>
            </w:r>
          </w:p>
        </w:tc>
      </w:tr>
      <w:tr w:rsidR="0010369C" w14:paraId="51DE775D" w14:textId="77777777">
        <w:trPr>
          <w:trHeight w:val="315"/>
        </w:trPr>
        <w:tc>
          <w:tcPr>
            <w:tcW w:w="2255" w:type="dxa"/>
            <w:tcBorders>
              <w:bottom w:val="nil"/>
            </w:tcBorders>
          </w:tcPr>
          <w:p w14:paraId="51DE775B" w14:textId="77777777" w:rsidR="0010369C" w:rsidRDefault="008E43AE">
            <w:pPr>
              <w:pStyle w:val="TableParagraph"/>
              <w:ind w:left="107"/>
              <w:rPr>
                <w:i/>
                <w:sz w:val="24"/>
              </w:rPr>
            </w:pPr>
            <w:r>
              <w:rPr>
                <w:i/>
                <w:sz w:val="24"/>
              </w:rPr>
              <w:t>US</w:t>
            </w:r>
            <w:r>
              <w:rPr>
                <w:i/>
                <w:spacing w:val="-2"/>
                <w:sz w:val="24"/>
              </w:rPr>
              <w:t xml:space="preserve"> </w:t>
            </w:r>
            <w:r>
              <w:rPr>
                <w:i/>
                <w:sz w:val="24"/>
              </w:rPr>
              <w:t>– Carbon</w:t>
            </w:r>
            <w:r>
              <w:rPr>
                <w:i/>
                <w:spacing w:val="-1"/>
                <w:sz w:val="24"/>
              </w:rPr>
              <w:t xml:space="preserve"> </w:t>
            </w:r>
            <w:r>
              <w:rPr>
                <w:i/>
                <w:spacing w:val="-2"/>
                <w:sz w:val="24"/>
              </w:rPr>
              <w:t>Steel</w:t>
            </w:r>
          </w:p>
        </w:tc>
        <w:tc>
          <w:tcPr>
            <w:tcW w:w="6761" w:type="dxa"/>
            <w:tcBorders>
              <w:bottom w:val="nil"/>
            </w:tcBorders>
          </w:tcPr>
          <w:p w14:paraId="51DE775C" w14:textId="77777777" w:rsidR="0010369C" w:rsidRDefault="008E43AE">
            <w:pPr>
              <w:pStyle w:val="TableParagraph"/>
              <w:ind w:left="106"/>
              <w:rPr>
                <w:i/>
                <w:sz w:val="24"/>
              </w:rPr>
            </w:pPr>
            <w:r>
              <w:rPr>
                <w:sz w:val="24"/>
              </w:rPr>
              <w:t>Appellate</w:t>
            </w:r>
            <w:r>
              <w:rPr>
                <w:spacing w:val="-4"/>
                <w:sz w:val="24"/>
              </w:rPr>
              <w:t xml:space="preserve"> </w:t>
            </w:r>
            <w:r>
              <w:rPr>
                <w:sz w:val="24"/>
              </w:rPr>
              <w:t>Body</w:t>
            </w:r>
            <w:r>
              <w:rPr>
                <w:spacing w:val="-3"/>
                <w:sz w:val="24"/>
              </w:rPr>
              <w:t xml:space="preserve"> </w:t>
            </w:r>
            <w:r>
              <w:rPr>
                <w:sz w:val="24"/>
              </w:rPr>
              <w:t>Report,</w:t>
            </w:r>
            <w:r>
              <w:rPr>
                <w:spacing w:val="-4"/>
                <w:sz w:val="24"/>
              </w:rPr>
              <w:t xml:space="preserve"> </w:t>
            </w:r>
            <w:r>
              <w:rPr>
                <w:i/>
                <w:sz w:val="24"/>
              </w:rPr>
              <w:t>United</w:t>
            </w:r>
            <w:r>
              <w:rPr>
                <w:i/>
                <w:spacing w:val="-5"/>
                <w:sz w:val="24"/>
              </w:rPr>
              <w:t xml:space="preserve"> </w:t>
            </w:r>
            <w:r>
              <w:rPr>
                <w:i/>
                <w:sz w:val="24"/>
              </w:rPr>
              <w:t>States</w:t>
            </w:r>
            <w:r>
              <w:rPr>
                <w:i/>
                <w:spacing w:val="-3"/>
                <w:sz w:val="24"/>
              </w:rPr>
              <w:t xml:space="preserve"> </w:t>
            </w:r>
            <w:r>
              <w:rPr>
                <w:i/>
                <w:sz w:val="24"/>
              </w:rPr>
              <w:t>–</w:t>
            </w:r>
            <w:r>
              <w:rPr>
                <w:i/>
                <w:spacing w:val="-3"/>
                <w:sz w:val="24"/>
              </w:rPr>
              <w:t xml:space="preserve"> </w:t>
            </w:r>
            <w:r>
              <w:rPr>
                <w:i/>
                <w:sz w:val="24"/>
              </w:rPr>
              <w:t>Countervailing</w:t>
            </w:r>
            <w:r>
              <w:rPr>
                <w:i/>
                <w:spacing w:val="-3"/>
                <w:sz w:val="24"/>
              </w:rPr>
              <w:t xml:space="preserve"> </w:t>
            </w:r>
            <w:r>
              <w:rPr>
                <w:i/>
                <w:spacing w:val="-2"/>
                <w:sz w:val="24"/>
              </w:rPr>
              <w:t>Measures</w:t>
            </w:r>
          </w:p>
        </w:tc>
      </w:tr>
      <w:tr w:rsidR="0010369C" w14:paraId="51DE7761" w14:textId="77777777">
        <w:trPr>
          <w:trHeight w:val="856"/>
        </w:trPr>
        <w:tc>
          <w:tcPr>
            <w:tcW w:w="2255" w:type="dxa"/>
            <w:tcBorders>
              <w:top w:val="nil"/>
            </w:tcBorders>
          </w:tcPr>
          <w:p w14:paraId="51DE775E" w14:textId="77777777" w:rsidR="0010369C" w:rsidRDefault="008E43AE">
            <w:pPr>
              <w:pStyle w:val="TableParagraph"/>
              <w:spacing w:line="271" w:lineRule="exact"/>
              <w:ind w:left="107"/>
              <w:rPr>
                <w:i/>
                <w:sz w:val="24"/>
              </w:rPr>
            </w:pPr>
            <w:r>
              <w:rPr>
                <w:i/>
                <w:spacing w:val="-2"/>
                <w:sz w:val="24"/>
              </w:rPr>
              <w:t>(India)</w:t>
            </w:r>
          </w:p>
        </w:tc>
        <w:tc>
          <w:tcPr>
            <w:tcW w:w="6761" w:type="dxa"/>
            <w:tcBorders>
              <w:top w:val="nil"/>
            </w:tcBorders>
          </w:tcPr>
          <w:p w14:paraId="51DE775F" w14:textId="77777777" w:rsidR="0010369C" w:rsidRDefault="008E43AE">
            <w:pPr>
              <w:pStyle w:val="TableParagraph"/>
              <w:spacing w:line="271" w:lineRule="exact"/>
              <w:ind w:left="106"/>
              <w:rPr>
                <w:sz w:val="24"/>
              </w:rPr>
            </w:pPr>
            <w:r>
              <w:rPr>
                <w:i/>
                <w:sz w:val="24"/>
              </w:rPr>
              <w:t>on</w:t>
            </w:r>
            <w:r>
              <w:rPr>
                <w:i/>
                <w:spacing w:val="-2"/>
                <w:sz w:val="24"/>
              </w:rPr>
              <w:t xml:space="preserve"> </w:t>
            </w:r>
            <w:r>
              <w:rPr>
                <w:i/>
                <w:sz w:val="24"/>
              </w:rPr>
              <w:t>Certain</w:t>
            </w:r>
            <w:r>
              <w:rPr>
                <w:i/>
                <w:spacing w:val="-2"/>
                <w:sz w:val="24"/>
              </w:rPr>
              <w:t xml:space="preserve"> </w:t>
            </w:r>
            <w:r>
              <w:rPr>
                <w:i/>
                <w:sz w:val="24"/>
              </w:rPr>
              <w:t>Hot‐Rolled</w:t>
            </w:r>
            <w:r>
              <w:rPr>
                <w:i/>
                <w:spacing w:val="-3"/>
                <w:sz w:val="24"/>
              </w:rPr>
              <w:t xml:space="preserve"> </w:t>
            </w:r>
            <w:r>
              <w:rPr>
                <w:i/>
                <w:sz w:val="24"/>
              </w:rPr>
              <w:t>Carbon</w:t>
            </w:r>
            <w:r>
              <w:rPr>
                <w:i/>
                <w:spacing w:val="-3"/>
                <w:sz w:val="24"/>
              </w:rPr>
              <w:t xml:space="preserve"> </w:t>
            </w:r>
            <w:r>
              <w:rPr>
                <w:i/>
                <w:sz w:val="24"/>
              </w:rPr>
              <w:t>Steel</w:t>
            </w:r>
            <w:r>
              <w:rPr>
                <w:i/>
                <w:spacing w:val="-2"/>
                <w:sz w:val="24"/>
              </w:rPr>
              <w:t xml:space="preserve"> </w:t>
            </w:r>
            <w:r>
              <w:rPr>
                <w:i/>
                <w:sz w:val="24"/>
              </w:rPr>
              <w:t>Flat</w:t>
            </w:r>
            <w:r>
              <w:rPr>
                <w:i/>
                <w:spacing w:val="-3"/>
                <w:sz w:val="24"/>
              </w:rPr>
              <w:t xml:space="preserve"> </w:t>
            </w:r>
            <w:r>
              <w:rPr>
                <w:i/>
                <w:sz w:val="24"/>
              </w:rPr>
              <w:t>Products</w:t>
            </w:r>
            <w:r>
              <w:rPr>
                <w:i/>
                <w:spacing w:val="-4"/>
                <w:sz w:val="24"/>
              </w:rPr>
              <w:t xml:space="preserve"> </w:t>
            </w:r>
            <w:r>
              <w:rPr>
                <w:i/>
                <w:sz w:val="24"/>
              </w:rPr>
              <w:t>from</w:t>
            </w:r>
            <w:r>
              <w:rPr>
                <w:i/>
                <w:spacing w:val="-2"/>
                <w:sz w:val="24"/>
              </w:rPr>
              <w:t xml:space="preserve"> India</w:t>
            </w:r>
            <w:r>
              <w:rPr>
                <w:spacing w:val="-2"/>
                <w:sz w:val="24"/>
              </w:rPr>
              <w:t>,</w:t>
            </w:r>
          </w:p>
          <w:p w14:paraId="51DE7760" w14:textId="77777777" w:rsidR="0010369C" w:rsidRDefault="008E43AE">
            <w:pPr>
              <w:pStyle w:val="TableParagraph"/>
              <w:spacing w:line="290" w:lineRule="atLeast"/>
              <w:ind w:left="106" w:right="214"/>
              <w:rPr>
                <w:sz w:val="24"/>
              </w:rPr>
            </w:pPr>
            <w:r>
              <w:rPr>
                <w:sz w:val="24"/>
              </w:rPr>
              <w:t>WT/DS436/AB/R,</w:t>
            </w:r>
            <w:r>
              <w:rPr>
                <w:spacing w:val="-7"/>
                <w:sz w:val="24"/>
              </w:rPr>
              <w:t xml:space="preserve"> </w:t>
            </w:r>
            <w:r>
              <w:rPr>
                <w:sz w:val="24"/>
              </w:rPr>
              <w:t>adopted</w:t>
            </w:r>
            <w:r>
              <w:rPr>
                <w:spacing w:val="-6"/>
                <w:sz w:val="24"/>
              </w:rPr>
              <w:t xml:space="preserve"> </w:t>
            </w:r>
            <w:r>
              <w:rPr>
                <w:sz w:val="24"/>
              </w:rPr>
              <w:t>19</w:t>
            </w:r>
            <w:r>
              <w:rPr>
                <w:spacing w:val="-6"/>
                <w:sz w:val="24"/>
              </w:rPr>
              <w:t xml:space="preserve"> </w:t>
            </w:r>
            <w:r>
              <w:rPr>
                <w:sz w:val="24"/>
              </w:rPr>
              <w:t>December</w:t>
            </w:r>
            <w:r>
              <w:rPr>
                <w:spacing w:val="-5"/>
                <w:sz w:val="24"/>
              </w:rPr>
              <w:t xml:space="preserve"> </w:t>
            </w:r>
            <w:r>
              <w:rPr>
                <w:sz w:val="24"/>
              </w:rPr>
              <w:t>2014,</w:t>
            </w:r>
            <w:r>
              <w:rPr>
                <w:spacing w:val="-5"/>
                <w:sz w:val="24"/>
              </w:rPr>
              <w:t xml:space="preserve"> </w:t>
            </w:r>
            <w:r>
              <w:rPr>
                <w:sz w:val="24"/>
              </w:rPr>
              <w:t>DSR</w:t>
            </w:r>
            <w:r>
              <w:rPr>
                <w:spacing w:val="-5"/>
                <w:sz w:val="24"/>
              </w:rPr>
              <w:t xml:space="preserve"> </w:t>
            </w:r>
            <w:r>
              <w:rPr>
                <w:sz w:val="24"/>
              </w:rPr>
              <w:t>2014:V,</w:t>
            </w:r>
            <w:r>
              <w:rPr>
                <w:spacing w:val="-7"/>
                <w:sz w:val="24"/>
              </w:rPr>
              <w:t xml:space="preserve"> </w:t>
            </w:r>
            <w:r>
              <w:rPr>
                <w:sz w:val="24"/>
              </w:rPr>
              <w:t xml:space="preserve">p. </w:t>
            </w:r>
            <w:r>
              <w:rPr>
                <w:spacing w:val="-4"/>
                <w:sz w:val="24"/>
              </w:rPr>
              <w:t>1727</w:t>
            </w:r>
          </w:p>
        </w:tc>
      </w:tr>
      <w:tr w:rsidR="0010369C" w14:paraId="51DE7764" w14:textId="77777777">
        <w:trPr>
          <w:trHeight w:val="315"/>
        </w:trPr>
        <w:tc>
          <w:tcPr>
            <w:tcW w:w="2255" w:type="dxa"/>
            <w:tcBorders>
              <w:bottom w:val="nil"/>
            </w:tcBorders>
          </w:tcPr>
          <w:p w14:paraId="51DE7762" w14:textId="77777777" w:rsidR="0010369C" w:rsidRDefault="008E43AE">
            <w:pPr>
              <w:pStyle w:val="TableParagraph"/>
              <w:ind w:left="107"/>
              <w:rPr>
                <w:i/>
                <w:sz w:val="24"/>
              </w:rPr>
            </w:pPr>
            <w:r>
              <w:rPr>
                <w:i/>
                <w:sz w:val="24"/>
              </w:rPr>
              <w:t>US</w:t>
            </w:r>
            <w:r>
              <w:rPr>
                <w:i/>
                <w:spacing w:val="-4"/>
                <w:sz w:val="24"/>
              </w:rPr>
              <w:t xml:space="preserve"> </w:t>
            </w:r>
            <w:r>
              <w:rPr>
                <w:i/>
                <w:sz w:val="24"/>
              </w:rPr>
              <w:t>‒</w:t>
            </w:r>
            <w:r>
              <w:rPr>
                <w:i/>
                <w:spacing w:val="-1"/>
                <w:sz w:val="24"/>
              </w:rPr>
              <w:t xml:space="preserve"> </w:t>
            </w:r>
            <w:r>
              <w:rPr>
                <w:i/>
                <w:spacing w:val="-2"/>
                <w:sz w:val="24"/>
              </w:rPr>
              <w:t>Corrosion‐</w:t>
            </w:r>
          </w:p>
        </w:tc>
        <w:tc>
          <w:tcPr>
            <w:tcW w:w="6761" w:type="dxa"/>
            <w:tcBorders>
              <w:bottom w:val="nil"/>
            </w:tcBorders>
          </w:tcPr>
          <w:p w14:paraId="51DE7763" w14:textId="77777777" w:rsidR="0010369C" w:rsidRDefault="008E43AE">
            <w:pPr>
              <w:pStyle w:val="TableParagraph"/>
              <w:ind w:left="106"/>
              <w:rPr>
                <w:i/>
                <w:sz w:val="24"/>
              </w:rPr>
            </w:pPr>
            <w:r>
              <w:rPr>
                <w:sz w:val="24"/>
              </w:rPr>
              <w:t>Appellate</w:t>
            </w:r>
            <w:r>
              <w:rPr>
                <w:spacing w:val="-5"/>
                <w:sz w:val="24"/>
              </w:rPr>
              <w:t xml:space="preserve"> </w:t>
            </w:r>
            <w:r>
              <w:rPr>
                <w:sz w:val="24"/>
              </w:rPr>
              <w:t>Body</w:t>
            </w:r>
            <w:r>
              <w:rPr>
                <w:spacing w:val="-2"/>
                <w:sz w:val="24"/>
              </w:rPr>
              <w:t xml:space="preserve"> </w:t>
            </w:r>
            <w:r>
              <w:rPr>
                <w:sz w:val="24"/>
              </w:rPr>
              <w:t>Report,</w:t>
            </w:r>
            <w:r>
              <w:rPr>
                <w:spacing w:val="-4"/>
                <w:sz w:val="24"/>
              </w:rPr>
              <w:t xml:space="preserve"> </w:t>
            </w:r>
            <w:r>
              <w:rPr>
                <w:i/>
                <w:sz w:val="24"/>
              </w:rPr>
              <w:t>United</w:t>
            </w:r>
            <w:r>
              <w:rPr>
                <w:i/>
                <w:spacing w:val="-3"/>
                <w:sz w:val="24"/>
              </w:rPr>
              <w:t xml:space="preserve"> </w:t>
            </w:r>
            <w:r>
              <w:rPr>
                <w:i/>
                <w:sz w:val="24"/>
              </w:rPr>
              <w:t>States</w:t>
            </w:r>
            <w:r>
              <w:rPr>
                <w:i/>
                <w:spacing w:val="-3"/>
                <w:sz w:val="24"/>
              </w:rPr>
              <w:t xml:space="preserve"> </w:t>
            </w:r>
            <w:r>
              <w:rPr>
                <w:i/>
                <w:sz w:val="24"/>
              </w:rPr>
              <w:t>–</w:t>
            </w:r>
            <w:r>
              <w:rPr>
                <w:i/>
                <w:spacing w:val="-2"/>
                <w:sz w:val="24"/>
              </w:rPr>
              <w:t xml:space="preserve"> </w:t>
            </w:r>
            <w:r>
              <w:rPr>
                <w:i/>
                <w:sz w:val="24"/>
              </w:rPr>
              <w:t>Sunset</w:t>
            </w:r>
            <w:r>
              <w:rPr>
                <w:i/>
                <w:spacing w:val="-3"/>
                <w:sz w:val="24"/>
              </w:rPr>
              <w:t xml:space="preserve"> </w:t>
            </w:r>
            <w:r>
              <w:rPr>
                <w:i/>
                <w:sz w:val="24"/>
              </w:rPr>
              <w:t>Review</w:t>
            </w:r>
            <w:r>
              <w:rPr>
                <w:i/>
                <w:spacing w:val="-3"/>
                <w:sz w:val="24"/>
              </w:rPr>
              <w:t xml:space="preserve"> </w:t>
            </w:r>
            <w:r>
              <w:rPr>
                <w:i/>
                <w:sz w:val="24"/>
              </w:rPr>
              <w:t>of</w:t>
            </w:r>
            <w:r>
              <w:rPr>
                <w:i/>
                <w:spacing w:val="-3"/>
                <w:sz w:val="24"/>
              </w:rPr>
              <w:t xml:space="preserve"> </w:t>
            </w:r>
            <w:r>
              <w:rPr>
                <w:i/>
                <w:spacing w:val="-2"/>
                <w:sz w:val="24"/>
              </w:rPr>
              <w:t>Anti‐</w:t>
            </w:r>
          </w:p>
        </w:tc>
      </w:tr>
      <w:tr w:rsidR="0010369C" w14:paraId="51DE7767" w14:textId="77777777">
        <w:trPr>
          <w:trHeight w:val="292"/>
        </w:trPr>
        <w:tc>
          <w:tcPr>
            <w:tcW w:w="2255" w:type="dxa"/>
            <w:tcBorders>
              <w:top w:val="nil"/>
              <w:bottom w:val="nil"/>
            </w:tcBorders>
          </w:tcPr>
          <w:p w14:paraId="51DE7765" w14:textId="77777777" w:rsidR="0010369C" w:rsidRDefault="008E43AE">
            <w:pPr>
              <w:pStyle w:val="TableParagraph"/>
              <w:spacing w:line="271" w:lineRule="exact"/>
              <w:ind w:left="107"/>
              <w:rPr>
                <w:i/>
                <w:sz w:val="24"/>
              </w:rPr>
            </w:pPr>
            <w:r>
              <w:rPr>
                <w:i/>
                <w:sz w:val="24"/>
              </w:rPr>
              <w:t>Resistant</w:t>
            </w:r>
            <w:r>
              <w:rPr>
                <w:i/>
                <w:spacing w:val="-3"/>
                <w:sz w:val="24"/>
              </w:rPr>
              <w:t xml:space="preserve"> </w:t>
            </w:r>
            <w:r>
              <w:rPr>
                <w:i/>
                <w:spacing w:val="-2"/>
                <w:sz w:val="24"/>
              </w:rPr>
              <w:t>Steel</w:t>
            </w:r>
          </w:p>
        </w:tc>
        <w:tc>
          <w:tcPr>
            <w:tcW w:w="6761" w:type="dxa"/>
            <w:tcBorders>
              <w:top w:val="nil"/>
              <w:bottom w:val="nil"/>
            </w:tcBorders>
          </w:tcPr>
          <w:p w14:paraId="51DE7766" w14:textId="77777777" w:rsidR="0010369C" w:rsidRDefault="008E43AE">
            <w:pPr>
              <w:pStyle w:val="TableParagraph"/>
              <w:spacing w:line="271" w:lineRule="exact"/>
              <w:ind w:left="106"/>
              <w:rPr>
                <w:i/>
                <w:sz w:val="24"/>
              </w:rPr>
            </w:pPr>
            <w:r>
              <w:rPr>
                <w:i/>
                <w:sz w:val="24"/>
              </w:rPr>
              <w:t>Dumping</w:t>
            </w:r>
            <w:r>
              <w:rPr>
                <w:i/>
                <w:spacing w:val="-2"/>
                <w:sz w:val="24"/>
              </w:rPr>
              <w:t xml:space="preserve"> </w:t>
            </w:r>
            <w:r>
              <w:rPr>
                <w:i/>
                <w:sz w:val="24"/>
              </w:rPr>
              <w:t>Duties</w:t>
            </w:r>
            <w:r>
              <w:rPr>
                <w:i/>
                <w:spacing w:val="-3"/>
                <w:sz w:val="24"/>
              </w:rPr>
              <w:t xml:space="preserve"> </w:t>
            </w:r>
            <w:r>
              <w:rPr>
                <w:i/>
                <w:sz w:val="24"/>
              </w:rPr>
              <w:t>on</w:t>
            </w:r>
            <w:r>
              <w:rPr>
                <w:i/>
                <w:spacing w:val="-2"/>
                <w:sz w:val="24"/>
              </w:rPr>
              <w:t xml:space="preserve"> </w:t>
            </w:r>
            <w:r>
              <w:rPr>
                <w:i/>
                <w:sz w:val="24"/>
              </w:rPr>
              <w:t>Corrosion‐Resistant</w:t>
            </w:r>
            <w:r>
              <w:rPr>
                <w:i/>
                <w:spacing w:val="-3"/>
                <w:sz w:val="24"/>
              </w:rPr>
              <w:t xml:space="preserve"> </w:t>
            </w:r>
            <w:r>
              <w:rPr>
                <w:i/>
                <w:sz w:val="24"/>
              </w:rPr>
              <w:t>Carbon</w:t>
            </w:r>
            <w:r>
              <w:rPr>
                <w:i/>
                <w:spacing w:val="-3"/>
                <w:sz w:val="24"/>
              </w:rPr>
              <w:t xml:space="preserve"> </w:t>
            </w:r>
            <w:r>
              <w:rPr>
                <w:i/>
                <w:sz w:val="24"/>
              </w:rPr>
              <w:t>Steel</w:t>
            </w:r>
            <w:r>
              <w:rPr>
                <w:i/>
                <w:spacing w:val="-3"/>
                <w:sz w:val="24"/>
              </w:rPr>
              <w:t xml:space="preserve"> </w:t>
            </w:r>
            <w:r>
              <w:rPr>
                <w:i/>
                <w:sz w:val="24"/>
              </w:rPr>
              <w:t>Flat</w:t>
            </w:r>
            <w:r>
              <w:rPr>
                <w:i/>
                <w:spacing w:val="-1"/>
                <w:sz w:val="24"/>
              </w:rPr>
              <w:t xml:space="preserve"> </w:t>
            </w:r>
            <w:r>
              <w:rPr>
                <w:i/>
                <w:spacing w:val="-2"/>
                <w:sz w:val="24"/>
              </w:rPr>
              <w:t>Products</w:t>
            </w:r>
          </w:p>
        </w:tc>
      </w:tr>
      <w:tr w:rsidR="0010369C" w14:paraId="51DE776B" w14:textId="77777777">
        <w:trPr>
          <w:trHeight w:val="563"/>
        </w:trPr>
        <w:tc>
          <w:tcPr>
            <w:tcW w:w="2255" w:type="dxa"/>
            <w:tcBorders>
              <w:top w:val="nil"/>
            </w:tcBorders>
          </w:tcPr>
          <w:p w14:paraId="51DE7768" w14:textId="77777777" w:rsidR="0010369C" w:rsidRDefault="008E43AE">
            <w:pPr>
              <w:pStyle w:val="TableParagraph"/>
              <w:spacing w:line="271" w:lineRule="exact"/>
              <w:ind w:left="107"/>
              <w:rPr>
                <w:i/>
                <w:sz w:val="24"/>
              </w:rPr>
            </w:pPr>
            <w:r>
              <w:rPr>
                <w:i/>
                <w:sz w:val="24"/>
              </w:rPr>
              <w:t>Sunset</w:t>
            </w:r>
            <w:r>
              <w:rPr>
                <w:i/>
                <w:spacing w:val="-1"/>
                <w:sz w:val="24"/>
              </w:rPr>
              <w:t xml:space="preserve"> </w:t>
            </w:r>
            <w:r>
              <w:rPr>
                <w:i/>
                <w:spacing w:val="-2"/>
                <w:sz w:val="24"/>
              </w:rPr>
              <w:t>Review</w:t>
            </w:r>
          </w:p>
        </w:tc>
        <w:tc>
          <w:tcPr>
            <w:tcW w:w="6761" w:type="dxa"/>
            <w:tcBorders>
              <w:top w:val="nil"/>
            </w:tcBorders>
          </w:tcPr>
          <w:p w14:paraId="51DE7769" w14:textId="77777777" w:rsidR="0010369C" w:rsidRDefault="008E43AE">
            <w:pPr>
              <w:pStyle w:val="TableParagraph"/>
              <w:spacing w:line="271" w:lineRule="exact"/>
              <w:ind w:left="106"/>
              <w:rPr>
                <w:sz w:val="24"/>
              </w:rPr>
            </w:pPr>
            <w:r>
              <w:rPr>
                <w:i/>
                <w:sz w:val="24"/>
              </w:rPr>
              <w:t>from</w:t>
            </w:r>
            <w:r>
              <w:rPr>
                <w:i/>
                <w:spacing w:val="-4"/>
                <w:sz w:val="24"/>
              </w:rPr>
              <w:t xml:space="preserve"> </w:t>
            </w:r>
            <w:r>
              <w:rPr>
                <w:i/>
                <w:sz w:val="24"/>
              </w:rPr>
              <w:t>Japan</w:t>
            </w:r>
            <w:r>
              <w:rPr>
                <w:sz w:val="24"/>
              </w:rPr>
              <w:t>,</w:t>
            </w:r>
            <w:r>
              <w:rPr>
                <w:spacing w:val="-3"/>
                <w:sz w:val="24"/>
              </w:rPr>
              <w:t xml:space="preserve"> </w:t>
            </w:r>
            <w:r>
              <w:rPr>
                <w:sz w:val="24"/>
              </w:rPr>
              <w:t>WT/DS244/AB/R,</w:t>
            </w:r>
            <w:r>
              <w:rPr>
                <w:spacing w:val="-2"/>
                <w:sz w:val="24"/>
              </w:rPr>
              <w:t xml:space="preserve"> </w:t>
            </w:r>
            <w:r>
              <w:rPr>
                <w:sz w:val="24"/>
              </w:rPr>
              <w:t>adopted</w:t>
            </w:r>
            <w:r>
              <w:rPr>
                <w:spacing w:val="-2"/>
                <w:sz w:val="24"/>
              </w:rPr>
              <w:t xml:space="preserve"> </w:t>
            </w:r>
            <w:r>
              <w:rPr>
                <w:sz w:val="24"/>
              </w:rPr>
              <w:t>9</w:t>
            </w:r>
            <w:r>
              <w:rPr>
                <w:spacing w:val="-2"/>
                <w:sz w:val="24"/>
              </w:rPr>
              <w:t xml:space="preserve"> </w:t>
            </w:r>
            <w:r>
              <w:rPr>
                <w:sz w:val="24"/>
              </w:rPr>
              <w:t>January</w:t>
            </w:r>
            <w:r>
              <w:rPr>
                <w:spacing w:val="-2"/>
                <w:sz w:val="24"/>
              </w:rPr>
              <w:t xml:space="preserve"> </w:t>
            </w:r>
            <w:r>
              <w:rPr>
                <w:sz w:val="24"/>
              </w:rPr>
              <w:t>2004,</w:t>
            </w:r>
            <w:r>
              <w:rPr>
                <w:spacing w:val="-2"/>
                <w:sz w:val="24"/>
              </w:rPr>
              <w:t xml:space="preserve"> </w:t>
            </w:r>
            <w:r>
              <w:rPr>
                <w:sz w:val="24"/>
              </w:rPr>
              <w:t xml:space="preserve">DSR </w:t>
            </w:r>
            <w:r>
              <w:rPr>
                <w:spacing w:val="-2"/>
                <w:sz w:val="24"/>
              </w:rPr>
              <w:t>2004:I,</w:t>
            </w:r>
          </w:p>
          <w:p w14:paraId="51DE776A" w14:textId="77777777" w:rsidR="0010369C" w:rsidRDefault="008E43AE">
            <w:pPr>
              <w:pStyle w:val="TableParagraph"/>
              <w:spacing w:line="273" w:lineRule="exact"/>
              <w:ind w:left="106"/>
              <w:rPr>
                <w:sz w:val="24"/>
              </w:rPr>
            </w:pPr>
            <w:r>
              <w:rPr>
                <w:sz w:val="24"/>
              </w:rPr>
              <w:t>p.</w:t>
            </w:r>
            <w:r>
              <w:rPr>
                <w:spacing w:val="-1"/>
                <w:sz w:val="24"/>
              </w:rPr>
              <w:t xml:space="preserve"> </w:t>
            </w:r>
            <w:r>
              <w:rPr>
                <w:spacing w:val="-10"/>
                <w:sz w:val="24"/>
              </w:rPr>
              <w:t>3</w:t>
            </w:r>
          </w:p>
        </w:tc>
      </w:tr>
      <w:tr w:rsidR="0010369C" w14:paraId="51DE776E" w14:textId="77777777">
        <w:trPr>
          <w:trHeight w:val="878"/>
        </w:trPr>
        <w:tc>
          <w:tcPr>
            <w:tcW w:w="2255" w:type="dxa"/>
          </w:tcPr>
          <w:p w14:paraId="51DE776C" w14:textId="77777777" w:rsidR="0010369C" w:rsidRDefault="008E43AE">
            <w:pPr>
              <w:pStyle w:val="TableParagraph"/>
              <w:ind w:left="107"/>
              <w:rPr>
                <w:i/>
                <w:sz w:val="24"/>
              </w:rPr>
            </w:pPr>
            <w:r>
              <w:rPr>
                <w:i/>
                <w:sz w:val="24"/>
              </w:rPr>
              <w:t>US</w:t>
            </w:r>
            <w:r>
              <w:rPr>
                <w:i/>
                <w:spacing w:val="-2"/>
                <w:sz w:val="24"/>
              </w:rPr>
              <w:t xml:space="preserve"> </w:t>
            </w:r>
            <w:r>
              <w:rPr>
                <w:i/>
                <w:sz w:val="24"/>
              </w:rPr>
              <w:t xml:space="preserve">– Cotton </w:t>
            </w:r>
            <w:r>
              <w:rPr>
                <w:i/>
                <w:spacing w:val="-4"/>
                <w:sz w:val="24"/>
              </w:rPr>
              <w:t>Yarn</w:t>
            </w:r>
          </w:p>
        </w:tc>
        <w:tc>
          <w:tcPr>
            <w:tcW w:w="6761" w:type="dxa"/>
          </w:tcPr>
          <w:p w14:paraId="51DE776D" w14:textId="77777777" w:rsidR="0010369C" w:rsidRDefault="008E43AE">
            <w:pPr>
              <w:pStyle w:val="TableParagraph"/>
              <w:spacing w:line="290" w:lineRule="atLeast"/>
              <w:ind w:left="106"/>
              <w:rPr>
                <w:sz w:val="24"/>
              </w:rPr>
            </w:pPr>
            <w:r>
              <w:rPr>
                <w:sz w:val="24"/>
              </w:rPr>
              <w:t xml:space="preserve">Appellate Body Report, </w:t>
            </w:r>
            <w:r>
              <w:rPr>
                <w:i/>
                <w:sz w:val="24"/>
              </w:rPr>
              <w:t>United States – Transitional Safeguard Measure</w:t>
            </w:r>
            <w:r>
              <w:rPr>
                <w:i/>
                <w:spacing w:val="-5"/>
                <w:sz w:val="24"/>
              </w:rPr>
              <w:t xml:space="preserve"> </w:t>
            </w:r>
            <w:r>
              <w:rPr>
                <w:i/>
                <w:sz w:val="24"/>
              </w:rPr>
              <w:t>on</w:t>
            </w:r>
            <w:r>
              <w:rPr>
                <w:i/>
                <w:spacing w:val="-7"/>
                <w:sz w:val="24"/>
              </w:rPr>
              <w:t xml:space="preserve"> </w:t>
            </w:r>
            <w:r>
              <w:rPr>
                <w:i/>
                <w:sz w:val="24"/>
              </w:rPr>
              <w:t>Combed</w:t>
            </w:r>
            <w:r>
              <w:rPr>
                <w:i/>
                <w:spacing w:val="-4"/>
                <w:sz w:val="24"/>
              </w:rPr>
              <w:t xml:space="preserve"> </w:t>
            </w:r>
            <w:r>
              <w:rPr>
                <w:i/>
                <w:sz w:val="24"/>
              </w:rPr>
              <w:t>Cotton</w:t>
            </w:r>
            <w:r>
              <w:rPr>
                <w:i/>
                <w:spacing w:val="-5"/>
                <w:sz w:val="24"/>
              </w:rPr>
              <w:t xml:space="preserve"> </w:t>
            </w:r>
            <w:r>
              <w:rPr>
                <w:i/>
                <w:sz w:val="24"/>
              </w:rPr>
              <w:t>Yarn</w:t>
            </w:r>
            <w:r>
              <w:rPr>
                <w:i/>
                <w:spacing w:val="-5"/>
                <w:sz w:val="24"/>
              </w:rPr>
              <w:t xml:space="preserve"> </w:t>
            </w:r>
            <w:r>
              <w:rPr>
                <w:i/>
                <w:sz w:val="24"/>
              </w:rPr>
              <w:t>from</w:t>
            </w:r>
            <w:r>
              <w:rPr>
                <w:i/>
                <w:spacing w:val="-5"/>
                <w:sz w:val="24"/>
              </w:rPr>
              <w:t xml:space="preserve"> </w:t>
            </w:r>
            <w:r>
              <w:rPr>
                <w:i/>
                <w:sz w:val="24"/>
              </w:rPr>
              <w:t>Pakistan</w:t>
            </w:r>
            <w:r>
              <w:rPr>
                <w:sz w:val="24"/>
              </w:rPr>
              <w:t>,</w:t>
            </w:r>
            <w:r>
              <w:rPr>
                <w:spacing w:val="-6"/>
                <w:sz w:val="24"/>
              </w:rPr>
              <w:t xml:space="preserve"> </w:t>
            </w:r>
            <w:r>
              <w:rPr>
                <w:sz w:val="24"/>
              </w:rPr>
              <w:t>WT/DS192/AB/R, adopted 5 November 2001, DSR 2001:XII, p. 6027</w:t>
            </w:r>
          </w:p>
        </w:tc>
      </w:tr>
      <w:tr w:rsidR="0010369C" w14:paraId="51DE7771" w14:textId="77777777">
        <w:trPr>
          <w:trHeight w:val="315"/>
        </w:trPr>
        <w:tc>
          <w:tcPr>
            <w:tcW w:w="2255" w:type="dxa"/>
            <w:tcBorders>
              <w:bottom w:val="nil"/>
            </w:tcBorders>
          </w:tcPr>
          <w:p w14:paraId="51DE776F" w14:textId="77777777" w:rsidR="0010369C" w:rsidRDefault="008E43AE">
            <w:pPr>
              <w:pStyle w:val="TableParagraph"/>
              <w:ind w:left="107"/>
              <w:rPr>
                <w:i/>
                <w:sz w:val="24"/>
              </w:rPr>
            </w:pPr>
            <w:r>
              <w:rPr>
                <w:i/>
                <w:sz w:val="24"/>
              </w:rPr>
              <w:t>US</w:t>
            </w:r>
            <w:r>
              <w:rPr>
                <w:i/>
                <w:spacing w:val="-2"/>
                <w:sz w:val="24"/>
              </w:rPr>
              <w:t xml:space="preserve"> </w:t>
            </w:r>
            <w:r>
              <w:rPr>
                <w:i/>
                <w:sz w:val="24"/>
              </w:rPr>
              <w:t xml:space="preserve">– </w:t>
            </w:r>
            <w:r>
              <w:rPr>
                <w:i/>
                <w:spacing w:val="-2"/>
                <w:sz w:val="24"/>
              </w:rPr>
              <w:t>Countervailing</w:t>
            </w:r>
          </w:p>
        </w:tc>
        <w:tc>
          <w:tcPr>
            <w:tcW w:w="6761" w:type="dxa"/>
            <w:tcBorders>
              <w:bottom w:val="nil"/>
            </w:tcBorders>
          </w:tcPr>
          <w:p w14:paraId="51DE7770" w14:textId="77777777" w:rsidR="0010369C" w:rsidRDefault="008E43AE">
            <w:pPr>
              <w:pStyle w:val="TableParagraph"/>
              <w:ind w:left="106"/>
              <w:rPr>
                <w:i/>
                <w:sz w:val="24"/>
              </w:rPr>
            </w:pPr>
            <w:r>
              <w:rPr>
                <w:sz w:val="24"/>
              </w:rPr>
              <w:t>Appellate</w:t>
            </w:r>
            <w:r>
              <w:rPr>
                <w:spacing w:val="-4"/>
                <w:sz w:val="24"/>
              </w:rPr>
              <w:t xml:space="preserve"> </w:t>
            </w:r>
            <w:r>
              <w:rPr>
                <w:sz w:val="24"/>
              </w:rPr>
              <w:t>Body</w:t>
            </w:r>
            <w:r>
              <w:rPr>
                <w:spacing w:val="-3"/>
                <w:sz w:val="24"/>
              </w:rPr>
              <w:t xml:space="preserve"> </w:t>
            </w:r>
            <w:r>
              <w:rPr>
                <w:sz w:val="24"/>
              </w:rPr>
              <w:t>Report,</w:t>
            </w:r>
            <w:r>
              <w:rPr>
                <w:spacing w:val="-4"/>
                <w:sz w:val="24"/>
              </w:rPr>
              <w:t xml:space="preserve"> </w:t>
            </w:r>
            <w:r>
              <w:rPr>
                <w:i/>
                <w:sz w:val="24"/>
              </w:rPr>
              <w:t>United</w:t>
            </w:r>
            <w:r>
              <w:rPr>
                <w:i/>
                <w:spacing w:val="-5"/>
                <w:sz w:val="24"/>
              </w:rPr>
              <w:t xml:space="preserve"> </w:t>
            </w:r>
            <w:r>
              <w:rPr>
                <w:i/>
                <w:sz w:val="24"/>
              </w:rPr>
              <w:t>States</w:t>
            </w:r>
            <w:r>
              <w:rPr>
                <w:i/>
                <w:spacing w:val="-3"/>
                <w:sz w:val="24"/>
              </w:rPr>
              <w:t xml:space="preserve"> </w:t>
            </w:r>
            <w:r>
              <w:rPr>
                <w:i/>
                <w:sz w:val="24"/>
              </w:rPr>
              <w:t>–</w:t>
            </w:r>
            <w:r>
              <w:rPr>
                <w:i/>
                <w:spacing w:val="-3"/>
                <w:sz w:val="24"/>
              </w:rPr>
              <w:t xml:space="preserve"> </w:t>
            </w:r>
            <w:r>
              <w:rPr>
                <w:i/>
                <w:sz w:val="24"/>
              </w:rPr>
              <w:t>Countervailing</w:t>
            </w:r>
            <w:r>
              <w:rPr>
                <w:i/>
                <w:spacing w:val="-3"/>
                <w:sz w:val="24"/>
              </w:rPr>
              <w:t xml:space="preserve"> </w:t>
            </w:r>
            <w:r>
              <w:rPr>
                <w:i/>
                <w:spacing w:val="-4"/>
                <w:sz w:val="24"/>
              </w:rPr>
              <w:t>Duty</w:t>
            </w:r>
          </w:p>
        </w:tc>
      </w:tr>
      <w:tr w:rsidR="0010369C" w14:paraId="51DE7774" w14:textId="77777777">
        <w:trPr>
          <w:trHeight w:val="292"/>
        </w:trPr>
        <w:tc>
          <w:tcPr>
            <w:tcW w:w="2255" w:type="dxa"/>
            <w:tcBorders>
              <w:top w:val="nil"/>
              <w:bottom w:val="nil"/>
            </w:tcBorders>
          </w:tcPr>
          <w:p w14:paraId="51DE7772" w14:textId="77777777" w:rsidR="0010369C" w:rsidRDefault="008E43AE">
            <w:pPr>
              <w:pStyle w:val="TableParagraph"/>
              <w:spacing w:line="271" w:lineRule="exact"/>
              <w:ind w:left="107"/>
              <w:rPr>
                <w:i/>
                <w:sz w:val="24"/>
              </w:rPr>
            </w:pPr>
            <w:r>
              <w:rPr>
                <w:i/>
                <w:sz w:val="24"/>
              </w:rPr>
              <w:t>Duty</w:t>
            </w:r>
            <w:r>
              <w:rPr>
                <w:i/>
                <w:spacing w:val="-1"/>
                <w:sz w:val="24"/>
              </w:rPr>
              <w:t xml:space="preserve"> </w:t>
            </w:r>
            <w:r>
              <w:rPr>
                <w:i/>
                <w:spacing w:val="-2"/>
                <w:sz w:val="24"/>
              </w:rPr>
              <w:t>Investigation</w:t>
            </w:r>
          </w:p>
        </w:tc>
        <w:tc>
          <w:tcPr>
            <w:tcW w:w="6761" w:type="dxa"/>
            <w:tcBorders>
              <w:top w:val="nil"/>
              <w:bottom w:val="nil"/>
            </w:tcBorders>
          </w:tcPr>
          <w:p w14:paraId="51DE7773" w14:textId="77777777" w:rsidR="0010369C" w:rsidRDefault="008E43AE">
            <w:pPr>
              <w:pStyle w:val="TableParagraph"/>
              <w:spacing w:line="271" w:lineRule="exact"/>
              <w:ind w:left="106"/>
              <w:rPr>
                <w:i/>
                <w:sz w:val="24"/>
              </w:rPr>
            </w:pPr>
            <w:r>
              <w:rPr>
                <w:i/>
                <w:sz w:val="24"/>
              </w:rPr>
              <w:t>Investigation</w:t>
            </w:r>
            <w:r>
              <w:rPr>
                <w:i/>
                <w:spacing w:val="-4"/>
                <w:sz w:val="24"/>
              </w:rPr>
              <w:t xml:space="preserve"> </w:t>
            </w:r>
            <w:r>
              <w:rPr>
                <w:i/>
                <w:sz w:val="24"/>
              </w:rPr>
              <w:t>on</w:t>
            </w:r>
            <w:r>
              <w:rPr>
                <w:i/>
                <w:spacing w:val="-2"/>
                <w:sz w:val="24"/>
              </w:rPr>
              <w:t xml:space="preserve"> </w:t>
            </w:r>
            <w:r>
              <w:rPr>
                <w:i/>
                <w:sz w:val="24"/>
              </w:rPr>
              <w:t>Dynamic</w:t>
            </w:r>
            <w:r>
              <w:rPr>
                <w:i/>
                <w:spacing w:val="-2"/>
                <w:sz w:val="24"/>
              </w:rPr>
              <w:t xml:space="preserve"> </w:t>
            </w:r>
            <w:r>
              <w:rPr>
                <w:i/>
                <w:sz w:val="24"/>
              </w:rPr>
              <w:t>Random</w:t>
            </w:r>
            <w:r>
              <w:rPr>
                <w:i/>
                <w:spacing w:val="-2"/>
                <w:sz w:val="24"/>
              </w:rPr>
              <w:t xml:space="preserve"> </w:t>
            </w:r>
            <w:r>
              <w:rPr>
                <w:i/>
                <w:sz w:val="24"/>
              </w:rPr>
              <w:t>Access</w:t>
            </w:r>
            <w:r>
              <w:rPr>
                <w:i/>
                <w:spacing w:val="-2"/>
                <w:sz w:val="24"/>
              </w:rPr>
              <w:t xml:space="preserve"> </w:t>
            </w:r>
            <w:r>
              <w:rPr>
                <w:i/>
                <w:sz w:val="24"/>
              </w:rPr>
              <w:t>Memory</w:t>
            </w:r>
            <w:r>
              <w:rPr>
                <w:i/>
                <w:spacing w:val="-2"/>
                <w:sz w:val="24"/>
              </w:rPr>
              <w:t xml:space="preserve"> Semiconductors</w:t>
            </w:r>
          </w:p>
        </w:tc>
      </w:tr>
      <w:tr w:rsidR="0010369C" w14:paraId="51DE7778" w14:textId="77777777">
        <w:trPr>
          <w:trHeight w:val="564"/>
        </w:trPr>
        <w:tc>
          <w:tcPr>
            <w:tcW w:w="2255" w:type="dxa"/>
            <w:tcBorders>
              <w:top w:val="nil"/>
            </w:tcBorders>
          </w:tcPr>
          <w:p w14:paraId="51DE7775" w14:textId="77777777" w:rsidR="0010369C" w:rsidRDefault="008E43AE">
            <w:pPr>
              <w:pStyle w:val="TableParagraph"/>
              <w:spacing w:line="271" w:lineRule="exact"/>
              <w:ind w:left="107"/>
              <w:rPr>
                <w:i/>
                <w:sz w:val="24"/>
              </w:rPr>
            </w:pPr>
            <w:r>
              <w:rPr>
                <w:i/>
                <w:sz w:val="24"/>
              </w:rPr>
              <w:t xml:space="preserve">on </w:t>
            </w:r>
            <w:r>
              <w:rPr>
                <w:i/>
                <w:spacing w:val="-2"/>
                <w:sz w:val="24"/>
              </w:rPr>
              <w:t>DRAMS</w:t>
            </w:r>
          </w:p>
        </w:tc>
        <w:tc>
          <w:tcPr>
            <w:tcW w:w="6761" w:type="dxa"/>
            <w:tcBorders>
              <w:top w:val="nil"/>
            </w:tcBorders>
          </w:tcPr>
          <w:p w14:paraId="51DE7776" w14:textId="77777777" w:rsidR="0010369C" w:rsidRDefault="008E43AE">
            <w:pPr>
              <w:pStyle w:val="TableParagraph"/>
              <w:spacing w:line="271" w:lineRule="exact"/>
              <w:ind w:left="106"/>
              <w:rPr>
                <w:sz w:val="24"/>
              </w:rPr>
            </w:pPr>
            <w:r>
              <w:rPr>
                <w:i/>
                <w:sz w:val="24"/>
              </w:rPr>
              <w:t>(DRAMS)</w:t>
            </w:r>
            <w:r>
              <w:rPr>
                <w:i/>
                <w:spacing w:val="-3"/>
                <w:sz w:val="24"/>
              </w:rPr>
              <w:t xml:space="preserve"> </w:t>
            </w:r>
            <w:r>
              <w:rPr>
                <w:i/>
                <w:sz w:val="24"/>
              </w:rPr>
              <w:t>from</w:t>
            </w:r>
            <w:r>
              <w:rPr>
                <w:i/>
                <w:spacing w:val="-3"/>
                <w:sz w:val="24"/>
              </w:rPr>
              <w:t xml:space="preserve"> </w:t>
            </w:r>
            <w:r>
              <w:rPr>
                <w:i/>
                <w:sz w:val="24"/>
              </w:rPr>
              <w:t>Korea</w:t>
            </w:r>
            <w:r>
              <w:rPr>
                <w:sz w:val="24"/>
              </w:rPr>
              <w:t>,</w:t>
            </w:r>
            <w:r>
              <w:rPr>
                <w:spacing w:val="-3"/>
                <w:sz w:val="24"/>
              </w:rPr>
              <w:t xml:space="preserve"> </w:t>
            </w:r>
            <w:r>
              <w:rPr>
                <w:sz w:val="24"/>
              </w:rPr>
              <w:t>WT/DS296/AB/R,</w:t>
            </w:r>
            <w:r>
              <w:rPr>
                <w:spacing w:val="-4"/>
                <w:sz w:val="24"/>
              </w:rPr>
              <w:t xml:space="preserve"> </w:t>
            </w:r>
            <w:r>
              <w:rPr>
                <w:sz w:val="24"/>
              </w:rPr>
              <w:t>adopted</w:t>
            </w:r>
            <w:r>
              <w:rPr>
                <w:spacing w:val="-5"/>
                <w:sz w:val="24"/>
              </w:rPr>
              <w:t xml:space="preserve"> </w:t>
            </w:r>
            <w:r>
              <w:rPr>
                <w:sz w:val="24"/>
              </w:rPr>
              <w:t>20</w:t>
            </w:r>
            <w:r>
              <w:rPr>
                <w:spacing w:val="-3"/>
                <w:sz w:val="24"/>
              </w:rPr>
              <w:t xml:space="preserve"> </w:t>
            </w:r>
            <w:r>
              <w:rPr>
                <w:sz w:val="24"/>
              </w:rPr>
              <w:t>July</w:t>
            </w:r>
            <w:r>
              <w:rPr>
                <w:spacing w:val="-2"/>
                <w:sz w:val="24"/>
              </w:rPr>
              <w:t xml:space="preserve"> </w:t>
            </w:r>
            <w:r>
              <w:rPr>
                <w:sz w:val="24"/>
              </w:rPr>
              <w:t>2005,</w:t>
            </w:r>
            <w:r>
              <w:rPr>
                <w:spacing w:val="-3"/>
                <w:sz w:val="24"/>
              </w:rPr>
              <w:t xml:space="preserve"> </w:t>
            </w:r>
            <w:r>
              <w:rPr>
                <w:spacing w:val="-5"/>
                <w:sz w:val="24"/>
              </w:rPr>
              <w:t>DSR</w:t>
            </w:r>
          </w:p>
          <w:p w14:paraId="51DE7777" w14:textId="77777777" w:rsidR="0010369C" w:rsidRDefault="008E43AE">
            <w:pPr>
              <w:pStyle w:val="TableParagraph"/>
              <w:spacing w:before="1" w:line="273" w:lineRule="exact"/>
              <w:ind w:left="106"/>
              <w:rPr>
                <w:sz w:val="24"/>
              </w:rPr>
            </w:pPr>
            <w:r>
              <w:rPr>
                <w:sz w:val="24"/>
              </w:rPr>
              <w:t>2005:XVI,</w:t>
            </w:r>
            <w:r>
              <w:rPr>
                <w:spacing w:val="-6"/>
                <w:sz w:val="24"/>
              </w:rPr>
              <w:t xml:space="preserve"> </w:t>
            </w:r>
            <w:r>
              <w:rPr>
                <w:sz w:val="24"/>
              </w:rPr>
              <w:t>p.</w:t>
            </w:r>
            <w:r>
              <w:rPr>
                <w:spacing w:val="-3"/>
                <w:sz w:val="24"/>
              </w:rPr>
              <w:t xml:space="preserve"> </w:t>
            </w:r>
            <w:r>
              <w:rPr>
                <w:spacing w:val="-4"/>
                <w:sz w:val="24"/>
              </w:rPr>
              <w:t>8131</w:t>
            </w:r>
          </w:p>
        </w:tc>
      </w:tr>
      <w:tr w:rsidR="0010369C" w14:paraId="51DE777B" w14:textId="77777777">
        <w:trPr>
          <w:trHeight w:val="313"/>
        </w:trPr>
        <w:tc>
          <w:tcPr>
            <w:tcW w:w="2255" w:type="dxa"/>
            <w:tcBorders>
              <w:bottom w:val="nil"/>
            </w:tcBorders>
          </w:tcPr>
          <w:p w14:paraId="51DE7779" w14:textId="77777777" w:rsidR="0010369C" w:rsidRDefault="008E43AE">
            <w:pPr>
              <w:pStyle w:val="TableParagraph"/>
              <w:spacing w:line="292" w:lineRule="exact"/>
              <w:ind w:left="107"/>
              <w:rPr>
                <w:i/>
                <w:sz w:val="24"/>
              </w:rPr>
            </w:pPr>
            <w:r>
              <w:rPr>
                <w:i/>
                <w:sz w:val="24"/>
              </w:rPr>
              <w:t>US</w:t>
            </w:r>
            <w:r>
              <w:rPr>
                <w:i/>
                <w:spacing w:val="-4"/>
                <w:sz w:val="24"/>
              </w:rPr>
              <w:t xml:space="preserve"> </w:t>
            </w:r>
            <w:r>
              <w:rPr>
                <w:i/>
                <w:sz w:val="24"/>
              </w:rPr>
              <w:t>—</w:t>
            </w:r>
            <w:r>
              <w:rPr>
                <w:i/>
                <w:spacing w:val="-1"/>
                <w:sz w:val="24"/>
              </w:rPr>
              <w:t xml:space="preserve"> </w:t>
            </w:r>
            <w:r>
              <w:rPr>
                <w:i/>
                <w:spacing w:val="-2"/>
                <w:sz w:val="24"/>
              </w:rPr>
              <w:t>Differential</w:t>
            </w:r>
          </w:p>
        </w:tc>
        <w:tc>
          <w:tcPr>
            <w:tcW w:w="6761" w:type="dxa"/>
            <w:tcBorders>
              <w:bottom w:val="nil"/>
            </w:tcBorders>
          </w:tcPr>
          <w:p w14:paraId="51DE777A" w14:textId="77777777" w:rsidR="0010369C" w:rsidRDefault="008E43AE">
            <w:pPr>
              <w:pStyle w:val="TableParagraph"/>
              <w:spacing w:line="292" w:lineRule="exact"/>
              <w:ind w:left="106"/>
              <w:rPr>
                <w:i/>
                <w:sz w:val="24"/>
              </w:rPr>
            </w:pPr>
            <w:r>
              <w:rPr>
                <w:sz w:val="24"/>
              </w:rPr>
              <w:t>Panel</w:t>
            </w:r>
            <w:r>
              <w:rPr>
                <w:spacing w:val="-3"/>
                <w:sz w:val="24"/>
              </w:rPr>
              <w:t xml:space="preserve"> </w:t>
            </w:r>
            <w:r>
              <w:rPr>
                <w:sz w:val="24"/>
              </w:rPr>
              <w:t>Report,</w:t>
            </w:r>
            <w:r>
              <w:rPr>
                <w:spacing w:val="-2"/>
                <w:sz w:val="24"/>
              </w:rPr>
              <w:t xml:space="preserve"> </w:t>
            </w:r>
            <w:r>
              <w:rPr>
                <w:i/>
                <w:sz w:val="24"/>
              </w:rPr>
              <w:t>United</w:t>
            </w:r>
            <w:r>
              <w:rPr>
                <w:i/>
                <w:spacing w:val="-3"/>
                <w:sz w:val="24"/>
              </w:rPr>
              <w:t xml:space="preserve"> </w:t>
            </w:r>
            <w:r>
              <w:rPr>
                <w:i/>
                <w:sz w:val="24"/>
              </w:rPr>
              <w:t>States</w:t>
            </w:r>
            <w:r>
              <w:rPr>
                <w:i/>
                <w:spacing w:val="-3"/>
                <w:sz w:val="24"/>
              </w:rPr>
              <w:t xml:space="preserve"> </w:t>
            </w:r>
            <w:r>
              <w:rPr>
                <w:i/>
                <w:sz w:val="24"/>
              </w:rPr>
              <w:t>–</w:t>
            </w:r>
            <w:r>
              <w:rPr>
                <w:i/>
                <w:spacing w:val="-2"/>
                <w:sz w:val="24"/>
              </w:rPr>
              <w:t xml:space="preserve"> </w:t>
            </w:r>
            <w:r>
              <w:rPr>
                <w:i/>
                <w:sz w:val="24"/>
              </w:rPr>
              <w:t>Anti‐Dumping</w:t>
            </w:r>
            <w:r>
              <w:rPr>
                <w:i/>
                <w:spacing w:val="-2"/>
                <w:sz w:val="24"/>
              </w:rPr>
              <w:t xml:space="preserve"> </w:t>
            </w:r>
            <w:r>
              <w:rPr>
                <w:i/>
                <w:sz w:val="24"/>
              </w:rPr>
              <w:t>Measures</w:t>
            </w:r>
            <w:r>
              <w:rPr>
                <w:i/>
                <w:spacing w:val="-2"/>
                <w:sz w:val="24"/>
              </w:rPr>
              <w:t xml:space="preserve"> Applying</w:t>
            </w:r>
          </w:p>
        </w:tc>
      </w:tr>
      <w:tr w:rsidR="0010369C" w14:paraId="51DE777F" w14:textId="77777777">
        <w:trPr>
          <w:trHeight w:val="857"/>
        </w:trPr>
        <w:tc>
          <w:tcPr>
            <w:tcW w:w="2255" w:type="dxa"/>
            <w:tcBorders>
              <w:top w:val="nil"/>
            </w:tcBorders>
          </w:tcPr>
          <w:p w14:paraId="51DE777C" w14:textId="77777777" w:rsidR="0010369C" w:rsidRDefault="008E43AE">
            <w:pPr>
              <w:pStyle w:val="TableParagraph"/>
              <w:spacing w:line="271" w:lineRule="exact"/>
              <w:ind w:left="107"/>
              <w:rPr>
                <w:i/>
                <w:sz w:val="24"/>
              </w:rPr>
            </w:pPr>
            <w:r>
              <w:rPr>
                <w:i/>
                <w:sz w:val="24"/>
              </w:rPr>
              <w:t>Pricing</w:t>
            </w:r>
            <w:r>
              <w:rPr>
                <w:i/>
                <w:spacing w:val="-1"/>
                <w:sz w:val="24"/>
              </w:rPr>
              <w:t xml:space="preserve"> </w:t>
            </w:r>
            <w:r>
              <w:rPr>
                <w:i/>
                <w:spacing w:val="-2"/>
                <w:sz w:val="24"/>
              </w:rPr>
              <w:t>Methodology</w:t>
            </w:r>
          </w:p>
        </w:tc>
        <w:tc>
          <w:tcPr>
            <w:tcW w:w="6761" w:type="dxa"/>
            <w:tcBorders>
              <w:top w:val="nil"/>
            </w:tcBorders>
          </w:tcPr>
          <w:p w14:paraId="51DE777D" w14:textId="77777777" w:rsidR="0010369C" w:rsidRDefault="008E43AE">
            <w:pPr>
              <w:pStyle w:val="TableParagraph"/>
              <w:spacing w:line="271" w:lineRule="exact"/>
              <w:ind w:left="106"/>
              <w:rPr>
                <w:i/>
                <w:sz w:val="24"/>
              </w:rPr>
            </w:pPr>
            <w:r>
              <w:rPr>
                <w:i/>
                <w:sz w:val="24"/>
              </w:rPr>
              <w:t>Differential</w:t>
            </w:r>
            <w:r>
              <w:rPr>
                <w:i/>
                <w:spacing w:val="-3"/>
                <w:sz w:val="24"/>
              </w:rPr>
              <w:t xml:space="preserve"> </w:t>
            </w:r>
            <w:r>
              <w:rPr>
                <w:i/>
                <w:sz w:val="24"/>
              </w:rPr>
              <w:t>Pricing</w:t>
            </w:r>
            <w:r>
              <w:rPr>
                <w:i/>
                <w:spacing w:val="-2"/>
                <w:sz w:val="24"/>
              </w:rPr>
              <w:t xml:space="preserve"> </w:t>
            </w:r>
            <w:r>
              <w:rPr>
                <w:i/>
                <w:sz w:val="24"/>
              </w:rPr>
              <w:t>Methodology</w:t>
            </w:r>
            <w:r>
              <w:rPr>
                <w:i/>
                <w:spacing w:val="-3"/>
                <w:sz w:val="24"/>
              </w:rPr>
              <w:t xml:space="preserve"> </w:t>
            </w:r>
            <w:r>
              <w:rPr>
                <w:i/>
                <w:sz w:val="24"/>
              </w:rPr>
              <w:t>to</w:t>
            </w:r>
            <w:r>
              <w:rPr>
                <w:i/>
                <w:spacing w:val="-1"/>
                <w:sz w:val="24"/>
              </w:rPr>
              <w:t xml:space="preserve"> </w:t>
            </w:r>
            <w:r>
              <w:rPr>
                <w:i/>
                <w:sz w:val="24"/>
              </w:rPr>
              <w:t>Softwood</w:t>
            </w:r>
            <w:r>
              <w:rPr>
                <w:i/>
                <w:spacing w:val="-3"/>
                <w:sz w:val="24"/>
              </w:rPr>
              <w:t xml:space="preserve"> </w:t>
            </w:r>
            <w:r>
              <w:rPr>
                <w:i/>
                <w:sz w:val="24"/>
              </w:rPr>
              <w:t>Lumber</w:t>
            </w:r>
            <w:r>
              <w:rPr>
                <w:i/>
                <w:spacing w:val="-1"/>
                <w:sz w:val="24"/>
              </w:rPr>
              <w:t xml:space="preserve"> </w:t>
            </w:r>
            <w:r>
              <w:rPr>
                <w:i/>
                <w:spacing w:val="-4"/>
                <w:sz w:val="24"/>
              </w:rPr>
              <w:t>from</w:t>
            </w:r>
          </w:p>
          <w:p w14:paraId="51DE777E" w14:textId="77777777" w:rsidR="0010369C" w:rsidRDefault="008E43AE">
            <w:pPr>
              <w:pStyle w:val="TableParagraph"/>
              <w:spacing w:line="290" w:lineRule="atLeast"/>
              <w:ind w:left="106" w:right="167"/>
              <w:rPr>
                <w:sz w:val="24"/>
              </w:rPr>
            </w:pPr>
            <w:r>
              <w:rPr>
                <w:i/>
                <w:sz w:val="24"/>
              </w:rPr>
              <w:t>Canada</w:t>
            </w:r>
            <w:r>
              <w:rPr>
                <w:sz w:val="24"/>
              </w:rPr>
              <w:t>,</w:t>
            </w:r>
            <w:r>
              <w:rPr>
                <w:spacing w:val="-5"/>
                <w:sz w:val="24"/>
              </w:rPr>
              <w:t xml:space="preserve"> </w:t>
            </w:r>
            <w:r>
              <w:rPr>
                <w:sz w:val="24"/>
              </w:rPr>
              <w:t>WT/DS534/R</w:t>
            </w:r>
            <w:r>
              <w:rPr>
                <w:spacing w:val="-5"/>
                <w:sz w:val="24"/>
              </w:rPr>
              <w:t xml:space="preserve"> </w:t>
            </w:r>
            <w:r>
              <w:rPr>
                <w:sz w:val="24"/>
              </w:rPr>
              <w:t>and</w:t>
            </w:r>
            <w:r>
              <w:rPr>
                <w:spacing w:val="-5"/>
                <w:sz w:val="24"/>
              </w:rPr>
              <w:t xml:space="preserve"> </w:t>
            </w:r>
            <w:r>
              <w:rPr>
                <w:sz w:val="24"/>
              </w:rPr>
              <w:t>Add.1,</w:t>
            </w:r>
            <w:r>
              <w:rPr>
                <w:spacing w:val="-5"/>
                <w:sz w:val="24"/>
              </w:rPr>
              <w:t xml:space="preserve"> </w:t>
            </w:r>
            <w:r>
              <w:rPr>
                <w:sz w:val="24"/>
              </w:rPr>
              <w:t>circulated</w:t>
            </w:r>
            <w:r>
              <w:rPr>
                <w:spacing w:val="-5"/>
                <w:sz w:val="24"/>
              </w:rPr>
              <w:t xml:space="preserve"> </w:t>
            </w:r>
            <w:r>
              <w:rPr>
                <w:sz w:val="24"/>
              </w:rPr>
              <w:t>to</w:t>
            </w:r>
            <w:r>
              <w:rPr>
                <w:spacing w:val="-4"/>
                <w:sz w:val="24"/>
              </w:rPr>
              <w:t xml:space="preserve"> </w:t>
            </w:r>
            <w:r>
              <w:rPr>
                <w:sz w:val="24"/>
              </w:rPr>
              <w:t>WTO</w:t>
            </w:r>
            <w:r>
              <w:rPr>
                <w:spacing w:val="-5"/>
                <w:sz w:val="24"/>
              </w:rPr>
              <w:t xml:space="preserve"> </w:t>
            </w:r>
            <w:r>
              <w:rPr>
                <w:sz w:val="24"/>
              </w:rPr>
              <w:t>Members</w:t>
            </w:r>
            <w:r>
              <w:rPr>
                <w:spacing w:val="-5"/>
                <w:sz w:val="24"/>
              </w:rPr>
              <w:t xml:space="preserve"> </w:t>
            </w:r>
            <w:r>
              <w:rPr>
                <w:sz w:val="24"/>
              </w:rPr>
              <w:t>9 April 2019 [appealed; adoption pending]</w:t>
            </w:r>
          </w:p>
        </w:tc>
      </w:tr>
      <w:tr w:rsidR="0010369C" w14:paraId="51DE7782" w14:textId="77777777">
        <w:trPr>
          <w:trHeight w:val="1171"/>
        </w:trPr>
        <w:tc>
          <w:tcPr>
            <w:tcW w:w="2255" w:type="dxa"/>
          </w:tcPr>
          <w:p w14:paraId="51DE7780" w14:textId="77777777" w:rsidR="0010369C" w:rsidRDefault="008E43AE">
            <w:pPr>
              <w:pStyle w:val="TableParagraph"/>
              <w:ind w:left="107"/>
              <w:rPr>
                <w:i/>
                <w:sz w:val="24"/>
              </w:rPr>
            </w:pPr>
            <w:r>
              <w:rPr>
                <w:i/>
                <w:sz w:val="24"/>
              </w:rPr>
              <w:t>US</w:t>
            </w:r>
            <w:r>
              <w:rPr>
                <w:i/>
                <w:spacing w:val="-2"/>
                <w:sz w:val="24"/>
              </w:rPr>
              <w:t xml:space="preserve"> </w:t>
            </w:r>
            <w:r>
              <w:rPr>
                <w:i/>
                <w:sz w:val="24"/>
              </w:rPr>
              <w:t xml:space="preserve">– </w:t>
            </w:r>
            <w:r>
              <w:rPr>
                <w:i/>
                <w:spacing w:val="-2"/>
                <w:sz w:val="24"/>
              </w:rPr>
              <w:t>DRAMS</w:t>
            </w:r>
          </w:p>
        </w:tc>
        <w:tc>
          <w:tcPr>
            <w:tcW w:w="6761" w:type="dxa"/>
          </w:tcPr>
          <w:p w14:paraId="51DE7781" w14:textId="77777777" w:rsidR="0010369C" w:rsidRDefault="008E43AE">
            <w:pPr>
              <w:pStyle w:val="TableParagraph"/>
              <w:spacing w:line="290" w:lineRule="atLeast"/>
              <w:ind w:left="106" w:right="85"/>
              <w:rPr>
                <w:sz w:val="24"/>
              </w:rPr>
            </w:pPr>
            <w:r>
              <w:rPr>
                <w:sz w:val="24"/>
              </w:rPr>
              <w:t xml:space="preserve">Panel Report, </w:t>
            </w:r>
            <w:r>
              <w:rPr>
                <w:i/>
                <w:sz w:val="24"/>
              </w:rPr>
              <w:t>United States – Anti‐Dumping Duty on Dynamic Random</w:t>
            </w:r>
            <w:r>
              <w:rPr>
                <w:i/>
                <w:spacing w:val="-6"/>
                <w:sz w:val="24"/>
              </w:rPr>
              <w:t xml:space="preserve"> </w:t>
            </w:r>
            <w:r>
              <w:rPr>
                <w:i/>
                <w:sz w:val="24"/>
              </w:rPr>
              <w:t>Acc</w:t>
            </w:r>
            <w:r>
              <w:rPr>
                <w:i/>
                <w:sz w:val="24"/>
              </w:rPr>
              <w:t>ess</w:t>
            </w:r>
            <w:r>
              <w:rPr>
                <w:i/>
                <w:spacing w:val="-6"/>
                <w:sz w:val="24"/>
              </w:rPr>
              <w:t xml:space="preserve"> </w:t>
            </w:r>
            <w:r>
              <w:rPr>
                <w:i/>
                <w:sz w:val="24"/>
              </w:rPr>
              <w:t>Memory</w:t>
            </w:r>
            <w:r>
              <w:rPr>
                <w:i/>
                <w:spacing w:val="-7"/>
                <w:sz w:val="24"/>
              </w:rPr>
              <w:t xml:space="preserve"> </w:t>
            </w:r>
            <w:r>
              <w:rPr>
                <w:i/>
                <w:sz w:val="24"/>
              </w:rPr>
              <w:t>Semiconductors</w:t>
            </w:r>
            <w:r>
              <w:rPr>
                <w:i/>
                <w:spacing w:val="-5"/>
                <w:sz w:val="24"/>
              </w:rPr>
              <w:t xml:space="preserve"> </w:t>
            </w:r>
            <w:r>
              <w:rPr>
                <w:i/>
                <w:sz w:val="24"/>
              </w:rPr>
              <w:t>(DRAMS)</w:t>
            </w:r>
            <w:r>
              <w:rPr>
                <w:i/>
                <w:spacing w:val="-5"/>
                <w:sz w:val="24"/>
              </w:rPr>
              <w:t xml:space="preserve"> </w:t>
            </w:r>
            <w:r>
              <w:rPr>
                <w:i/>
                <w:sz w:val="24"/>
              </w:rPr>
              <w:t>of</w:t>
            </w:r>
            <w:r>
              <w:rPr>
                <w:i/>
                <w:spacing w:val="-6"/>
                <w:sz w:val="24"/>
              </w:rPr>
              <w:t xml:space="preserve"> </w:t>
            </w:r>
            <w:r>
              <w:rPr>
                <w:i/>
                <w:sz w:val="24"/>
              </w:rPr>
              <w:t>One</w:t>
            </w:r>
            <w:r>
              <w:rPr>
                <w:i/>
                <w:spacing w:val="-5"/>
                <w:sz w:val="24"/>
              </w:rPr>
              <w:t xml:space="preserve"> </w:t>
            </w:r>
            <w:r>
              <w:rPr>
                <w:i/>
                <w:sz w:val="24"/>
              </w:rPr>
              <w:t>Megabit or Above from Korea</w:t>
            </w:r>
            <w:r>
              <w:rPr>
                <w:sz w:val="24"/>
              </w:rPr>
              <w:t>, WT/DS99/R, adopted 19 March 1999, DSR 1999:II, p. 521</w:t>
            </w:r>
          </w:p>
        </w:tc>
      </w:tr>
    </w:tbl>
    <w:p w14:paraId="51DE7783" w14:textId="77777777" w:rsidR="0010369C" w:rsidRDefault="0010369C">
      <w:pPr>
        <w:spacing w:line="290" w:lineRule="atLeast"/>
        <w:rPr>
          <w:sz w:val="24"/>
        </w:rPr>
        <w:sectPr w:rsidR="0010369C">
          <w:pgSz w:w="11910" w:h="16840"/>
          <w:pgMar w:top="880" w:right="1220" w:bottom="980" w:left="1180" w:header="569" w:footer="788" w:gutter="0"/>
          <w:cols w:space="720"/>
        </w:sectPr>
      </w:pPr>
    </w:p>
    <w:p w14:paraId="51DE7784" w14:textId="77777777" w:rsidR="0010369C" w:rsidRDefault="008E43AE">
      <w:pPr>
        <w:tabs>
          <w:tab w:val="left" w:pos="6425"/>
        </w:tabs>
        <w:ind w:left="238"/>
        <w:rPr>
          <w:sz w:val="20"/>
        </w:rPr>
      </w:pPr>
      <w:r>
        <w:rPr>
          <w:i/>
          <w:sz w:val="20"/>
        </w:rPr>
        <w:lastRenderedPageBreak/>
        <w:t>China</w:t>
      </w:r>
      <w:r>
        <w:rPr>
          <w:i/>
          <w:spacing w:val="-5"/>
          <w:sz w:val="20"/>
        </w:rPr>
        <w:t xml:space="preserve"> </w:t>
      </w:r>
      <w:r>
        <w:rPr>
          <w:i/>
          <w:sz w:val="20"/>
        </w:rPr>
        <w:t>–</w:t>
      </w:r>
      <w:r>
        <w:rPr>
          <w:i/>
          <w:spacing w:val="-5"/>
          <w:sz w:val="20"/>
        </w:rPr>
        <w:t xml:space="preserve"> </w:t>
      </w:r>
      <w:r>
        <w:rPr>
          <w:i/>
          <w:sz w:val="20"/>
        </w:rPr>
        <w:t>Anti‐Dumping</w:t>
      </w:r>
      <w:r>
        <w:rPr>
          <w:i/>
          <w:spacing w:val="-4"/>
          <w:sz w:val="20"/>
        </w:rPr>
        <w:t xml:space="preserve"> </w:t>
      </w:r>
      <w:r>
        <w:rPr>
          <w:i/>
          <w:sz w:val="20"/>
        </w:rPr>
        <w:t>and</w:t>
      </w:r>
      <w:r>
        <w:rPr>
          <w:i/>
          <w:spacing w:val="-5"/>
          <w:sz w:val="20"/>
        </w:rPr>
        <w:t xml:space="preserve"> </w:t>
      </w:r>
      <w:r>
        <w:rPr>
          <w:i/>
          <w:sz w:val="20"/>
        </w:rPr>
        <w:t>Countervailing</w:t>
      </w:r>
      <w:r>
        <w:rPr>
          <w:i/>
          <w:spacing w:val="-5"/>
          <w:sz w:val="20"/>
        </w:rPr>
        <w:t xml:space="preserve"> </w:t>
      </w:r>
      <w:r>
        <w:rPr>
          <w:i/>
          <w:sz w:val="20"/>
        </w:rPr>
        <w:t>Duty</w:t>
      </w:r>
      <w:r>
        <w:rPr>
          <w:i/>
          <w:spacing w:val="-4"/>
          <w:sz w:val="20"/>
        </w:rPr>
        <w:t xml:space="preserve"> </w:t>
      </w:r>
      <w:r>
        <w:rPr>
          <w:i/>
          <w:spacing w:val="-2"/>
          <w:sz w:val="20"/>
        </w:rPr>
        <w:t>Measures</w:t>
      </w:r>
      <w:r>
        <w:rPr>
          <w:i/>
          <w:sz w:val="20"/>
        </w:rPr>
        <w:tab/>
      </w:r>
      <w:r>
        <w:rPr>
          <w:sz w:val="20"/>
        </w:rPr>
        <w:t>Australia's</w:t>
      </w:r>
      <w:r>
        <w:rPr>
          <w:spacing w:val="-6"/>
          <w:sz w:val="20"/>
        </w:rPr>
        <w:t xml:space="preserve"> </w:t>
      </w:r>
      <w:r>
        <w:rPr>
          <w:sz w:val="20"/>
        </w:rPr>
        <w:t>First</w:t>
      </w:r>
      <w:r>
        <w:rPr>
          <w:spacing w:val="-2"/>
          <w:sz w:val="20"/>
        </w:rPr>
        <w:t xml:space="preserve"> </w:t>
      </w:r>
      <w:r>
        <w:rPr>
          <w:sz w:val="20"/>
        </w:rPr>
        <w:t>Written</w:t>
      </w:r>
      <w:r>
        <w:rPr>
          <w:spacing w:val="-2"/>
          <w:sz w:val="20"/>
        </w:rPr>
        <w:t xml:space="preserve"> Submission</w:t>
      </w:r>
    </w:p>
    <w:p w14:paraId="51DE7785" w14:textId="77777777" w:rsidR="0010369C" w:rsidRDefault="008E43AE">
      <w:pPr>
        <w:tabs>
          <w:tab w:val="left" w:pos="8227"/>
        </w:tabs>
        <w:spacing w:before="1" w:after="35"/>
        <w:ind w:left="239"/>
        <w:rPr>
          <w:sz w:val="20"/>
        </w:rPr>
      </w:pPr>
      <w:r>
        <w:rPr>
          <w:i/>
          <w:sz w:val="20"/>
        </w:rPr>
        <w:t>on</w:t>
      </w:r>
      <w:r>
        <w:rPr>
          <w:i/>
          <w:spacing w:val="-1"/>
          <w:sz w:val="20"/>
        </w:rPr>
        <w:t xml:space="preserve"> </w:t>
      </w:r>
      <w:r>
        <w:rPr>
          <w:i/>
          <w:sz w:val="20"/>
        </w:rPr>
        <w:t>Wine</w:t>
      </w:r>
      <w:r>
        <w:rPr>
          <w:i/>
          <w:spacing w:val="-1"/>
          <w:sz w:val="20"/>
        </w:rPr>
        <w:t xml:space="preserve"> </w:t>
      </w:r>
      <w:r>
        <w:rPr>
          <w:i/>
          <w:sz w:val="20"/>
        </w:rPr>
        <w:t>from</w:t>
      </w:r>
      <w:r>
        <w:rPr>
          <w:i/>
          <w:spacing w:val="-3"/>
          <w:sz w:val="20"/>
        </w:rPr>
        <w:t xml:space="preserve"> </w:t>
      </w:r>
      <w:r>
        <w:rPr>
          <w:i/>
          <w:sz w:val="20"/>
        </w:rPr>
        <w:t>Australia</w:t>
      </w:r>
      <w:r>
        <w:rPr>
          <w:i/>
          <w:spacing w:val="-1"/>
          <w:sz w:val="20"/>
        </w:rPr>
        <w:t xml:space="preserve"> </w:t>
      </w:r>
      <w:r>
        <w:rPr>
          <w:spacing w:val="-2"/>
          <w:sz w:val="20"/>
        </w:rPr>
        <w:t>(DS602)</w:t>
      </w:r>
      <w:r>
        <w:rPr>
          <w:sz w:val="20"/>
        </w:rPr>
        <w:tab/>
        <w:t>29</w:t>
      </w:r>
      <w:r>
        <w:rPr>
          <w:spacing w:val="-1"/>
          <w:sz w:val="20"/>
        </w:rPr>
        <w:t xml:space="preserve"> </w:t>
      </w:r>
      <w:r>
        <w:rPr>
          <w:sz w:val="20"/>
        </w:rPr>
        <w:t>April</w:t>
      </w:r>
      <w:r>
        <w:rPr>
          <w:spacing w:val="-2"/>
          <w:sz w:val="20"/>
        </w:rPr>
        <w:t xml:space="preserve"> </w:t>
      </w:r>
      <w:r>
        <w:rPr>
          <w:spacing w:val="-4"/>
          <w:sz w:val="20"/>
        </w:rPr>
        <w:t>2022</w:t>
      </w:r>
    </w:p>
    <w:tbl>
      <w:tblPr>
        <w:tblW w:w="0" w:type="auto"/>
        <w:tblInd w:w="25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255"/>
        <w:gridCol w:w="6761"/>
      </w:tblGrid>
      <w:tr w:rsidR="0010369C" w14:paraId="51DE7789" w14:textId="77777777">
        <w:trPr>
          <w:trHeight w:val="1171"/>
        </w:trPr>
        <w:tc>
          <w:tcPr>
            <w:tcW w:w="2255" w:type="dxa"/>
          </w:tcPr>
          <w:p w14:paraId="51DE7786" w14:textId="77777777" w:rsidR="0010369C" w:rsidRDefault="008E43AE">
            <w:pPr>
              <w:pStyle w:val="TableParagraph"/>
              <w:spacing w:line="292" w:lineRule="exact"/>
              <w:ind w:left="107"/>
              <w:rPr>
                <w:i/>
                <w:sz w:val="24"/>
              </w:rPr>
            </w:pPr>
            <w:r>
              <w:rPr>
                <w:i/>
                <w:sz w:val="24"/>
              </w:rPr>
              <w:t>US</w:t>
            </w:r>
            <w:r>
              <w:rPr>
                <w:i/>
                <w:spacing w:val="-2"/>
                <w:sz w:val="24"/>
              </w:rPr>
              <w:t xml:space="preserve"> </w:t>
            </w:r>
            <w:r>
              <w:rPr>
                <w:i/>
                <w:sz w:val="24"/>
              </w:rPr>
              <w:t xml:space="preserve">– </w:t>
            </w:r>
            <w:r>
              <w:rPr>
                <w:i/>
                <w:spacing w:val="-4"/>
                <w:sz w:val="24"/>
              </w:rPr>
              <w:t>Lamb</w:t>
            </w:r>
          </w:p>
        </w:tc>
        <w:tc>
          <w:tcPr>
            <w:tcW w:w="6761" w:type="dxa"/>
          </w:tcPr>
          <w:p w14:paraId="51DE7787" w14:textId="77777777" w:rsidR="0010369C" w:rsidRDefault="008E43AE">
            <w:pPr>
              <w:pStyle w:val="TableParagraph"/>
              <w:ind w:left="106"/>
              <w:rPr>
                <w:sz w:val="24"/>
              </w:rPr>
            </w:pPr>
            <w:r>
              <w:rPr>
                <w:sz w:val="24"/>
              </w:rPr>
              <w:t xml:space="preserve">Appellate Body Report, </w:t>
            </w:r>
            <w:r>
              <w:rPr>
                <w:i/>
                <w:sz w:val="24"/>
              </w:rPr>
              <w:t>United States – Safeguard Measures on Imports of Fresh, Chilled or Frozen Lamb Meat from New Zealand and</w:t>
            </w:r>
            <w:r>
              <w:rPr>
                <w:i/>
                <w:spacing w:val="-6"/>
                <w:sz w:val="24"/>
              </w:rPr>
              <w:t xml:space="preserve"> </w:t>
            </w:r>
            <w:r>
              <w:rPr>
                <w:i/>
                <w:sz w:val="24"/>
              </w:rPr>
              <w:t>Australia</w:t>
            </w:r>
            <w:r>
              <w:rPr>
                <w:sz w:val="24"/>
              </w:rPr>
              <w:t>,</w:t>
            </w:r>
            <w:r>
              <w:rPr>
                <w:spacing w:val="-7"/>
                <w:sz w:val="24"/>
              </w:rPr>
              <w:t xml:space="preserve"> </w:t>
            </w:r>
            <w:r>
              <w:rPr>
                <w:sz w:val="24"/>
              </w:rPr>
              <w:t>WT/DS177/AB/R,</w:t>
            </w:r>
            <w:r>
              <w:rPr>
                <w:spacing w:val="-8"/>
                <w:sz w:val="24"/>
              </w:rPr>
              <w:t xml:space="preserve"> </w:t>
            </w:r>
            <w:r>
              <w:rPr>
                <w:sz w:val="24"/>
              </w:rPr>
              <w:t>WT/DS178/AB/R,</w:t>
            </w:r>
            <w:r>
              <w:rPr>
                <w:spacing w:val="-8"/>
                <w:sz w:val="24"/>
              </w:rPr>
              <w:t xml:space="preserve"> </w:t>
            </w:r>
            <w:r>
              <w:rPr>
                <w:sz w:val="24"/>
              </w:rPr>
              <w:t>adopted</w:t>
            </w:r>
            <w:r>
              <w:rPr>
                <w:spacing w:val="-8"/>
                <w:sz w:val="24"/>
              </w:rPr>
              <w:t xml:space="preserve"> </w:t>
            </w:r>
            <w:r>
              <w:rPr>
                <w:sz w:val="24"/>
              </w:rPr>
              <w:t>16</w:t>
            </w:r>
            <w:r>
              <w:rPr>
                <w:spacing w:val="-7"/>
                <w:sz w:val="24"/>
              </w:rPr>
              <w:t xml:space="preserve"> </w:t>
            </w:r>
            <w:r>
              <w:rPr>
                <w:sz w:val="24"/>
              </w:rPr>
              <w:t>May</w:t>
            </w:r>
          </w:p>
          <w:p w14:paraId="51DE7788" w14:textId="77777777" w:rsidR="0010369C" w:rsidRDefault="008E43AE">
            <w:pPr>
              <w:pStyle w:val="TableParagraph"/>
              <w:spacing w:line="273" w:lineRule="exact"/>
              <w:ind w:left="106"/>
              <w:rPr>
                <w:sz w:val="24"/>
              </w:rPr>
            </w:pPr>
            <w:r>
              <w:rPr>
                <w:sz w:val="24"/>
              </w:rPr>
              <w:t>2001,</w:t>
            </w:r>
            <w:r>
              <w:rPr>
                <w:spacing w:val="-2"/>
                <w:sz w:val="24"/>
              </w:rPr>
              <w:t xml:space="preserve"> </w:t>
            </w:r>
            <w:r>
              <w:rPr>
                <w:sz w:val="24"/>
              </w:rPr>
              <w:t>DSR</w:t>
            </w:r>
            <w:r>
              <w:rPr>
                <w:spacing w:val="-1"/>
                <w:sz w:val="24"/>
              </w:rPr>
              <w:t xml:space="preserve"> </w:t>
            </w:r>
            <w:r>
              <w:rPr>
                <w:sz w:val="24"/>
              </w:rPr>
              <w:t>2001:IX,</w:t>
            </w:r>
            <w:r>
              <w:rPr>
                <w:spacing w:val="-2"/>
                <w:sz w:val="24"/>
              </w:rPr>
              <w:t xml:space="preserve"> </w:t>
            </w:r>
            <w:r>
              <w:rPr>
                <w:sz w:val="24"/>
              </w:rPr>
              <w:t>p.</w:t>
            </w:r>
            <w:r>
              <w:rPr>
                <w:spacing w:val="-1"/>
                <w:sz w:val="24"/>
              </w:rPr>
              <w:t xml:space="preserve"> </w:t>
            </w:r>
            <w:r>
              <w:rPr>
                <w:spacing w:val="-4"/>
                <w:sz w:val="24"/>
              </w:rPr>
              <w:t>4051</w:t>
            </w:r>
          </w:p>
        </w:tc>
      </w:tr>
      <w:tr w:rsidR="0010369C" w14:paraId="51DE778C" w14:textId="77777777">
        <w:trPr>
          <w:trHeight w:val="878"/>
        </w:trPr>
        <w:tc>
          <w:tcPr>
            <w:tcW w:w="2255" w:type="dxa"/>
          </w:tcPr>
          <w:p w14:paraId="51DE778A" w14:textId="77777777" w:rsidR="0010369C" w:rsidRDefault="008E43AE">
            <w:pPr>
              <w:pStyle w:val="TableParagraph"/>
              <w:spacing w:line="290" w:lineRule="atLeast"/>
              <w:ind w:left="107"/>
              <w:rPr>
                <w:i/>
                <w:sz w:val="24"/>
              </w:rPr>
            </w:pPr>
            <w:r>
              <w:rPr>
                <w:i/>
                <w:sz w:val="24"/>
              </w:rPr>
              <w:t>US</w:t>
            </w:r>
            <w:r>
              <w:rPr>
                <w:i/>
                <w:spacing w:val="-14"/>
                <w:sz w:val="24"/>
              </w:rPr>
              <w:t xml:space="preserve"> </w:t>
            </w:r>
            <w:r>
              <w:rPr>
                <w:i/>
                <w:sz w:val="24"/>
              </w:rPr>
              <w:t>–</w:t>
            </w:r>
            <w:r>
              <w:rPr>
                <w:i/>
                <w:spacing w:val="-13"/>
                <w:sz w:val="24"/>
              </w:rPr>
              <w:t xml:space="preserve"> </w:t>
            </w:r>
            <w:r>
              <w:rPr>
                <w:i/>
                <w:sz w:val="24"/>
              </w:rPr>
              <w:t>Large</w:t>
            </w:r>
            <w:r>
              <w:rPr>
                <w:i/>
                <w:spacing w:val="-13"/>
                <w:sz w:val="24"/>
              </w:rPr>
              <w:t xml:space="preserve"> </w:t>
            </w:r>
            <w:r>
              <w:rPr>
                <w:i/>
                <w:sz w:val="24"/>
              </w:rPr>
              <w:t xml:space="preserve">Civil Aircraft (2nd </w:t>
            </w:r>
            <w:r>
              <w:rPr>
                <w:i/>
                <w:spacing w:val="-2"/>
                <w:sz w:val="24"/>
              </w:rPr>
              <w:t>complaint)</w:t>
            </w:r>
          </w:p>
        </w:tc>
        <w:tc>
          <w:tcPr>
            <w:tcW w:w="6761" w:type="dxa"/>
          </w:tcPr>
          <w:p w14:paraId="51DE778B" w14:textId="77777777" w:rsidR="0010369C" w:rsidRDefault="008E43AE">
            <w:pPr>
              <w:pStyle w:val="TableParagraph"/>
              <w:spacing w:line="290" w:lineRule="atLeast"/>
              <w:ind w:left="106" w:right="167"/>
              <w:rPr>
                <w:sz w:val="24"/>
              </w:rPr>
            </w:pPr>
            <w:r>
              <w:rPr>
                <w:sz w:val="24"/>
              </w:rPr>
              <w:t>Appellate</w:t>
            </w:r>
            <w:r>
              <w:rPr>
                <w:spacing w:val="-5"/>
                <w:sz w:val="24"/>
              </w:rPr>
              <w:t xml:space="preserve"> </w:t>
            </w:r>
            <w:r>
              <w:rPr>
                <w:sz w:val="24"/>
              </w:rPr>
              <w:t>Body</w:t>
            </w:r>
            <w:r>
              <w:rPr>
                <w:spacing w:val="-5"/>
                <w:sz w:val="24"/>
              </w:rPr>
              <w:t xml:space="preserve"> </w:t>
            </w:r>
            <w:r>
              <w:rPr>
                <w:sz w:val="24"/>
              </w:rPr>
              <w:t>Report,</w:t>
            </w:r>
            <w:r>
              <w:rPr>
                <w:spacing w:val="-6"/>
                <w:sz w:val="24"/>
              </w:rPr>
              <w:t xml:space="preserve"> </w:t>
            </w:r>
            <w:r>
              <w:rPr>
                <w:i/>
                <w:sz w:val="24"/>
              </w:rPr>
              <w:t>United</w:t>
            </w:r>
            <w:r>
              <w:rPr>
                <w:i/>
                <w:spacing w:val="-6"/>
                <w:sz w:val="24"/>
              </w:rPr>
              <w:t xml:space="preserve"> </w:t>
            </w:r>
            <w:r>
              <w:rPr>
                <w:i/>
                <w:sz w:val="24"/>
              </w:rPr>
              <w:t>States</w:t>
            </w:r>
            <w:r>
              <w:rPr>
                <w:i/>
                <w:spacing w:val="-5"/>
                <w:sz w:val="24"/>
              </w:rPr>
              <w:t xml:space="preserve"> </w:t>
            </w:r>
            <w:r>
              <w:rPr>
                <w:i/>
                <w:sz w:val="24"/>
              </w:rPr>
              <w:t>–</w:t>
            </w:r>
            <w:r>
              <w:rPr>
                <w:i/>
                <w:spacing w:val="-5"/>
                <w:sz w:val="24"/>
              </w:rPr>
              <w:t xml:space="preserve"> </w:t>
            </w:r>
            <w:r>
              <w:rPr>
                <w:i/>
                <w:sz w:val="24"/>
              </w:rPr>
              <w:t>Measures</w:t>
            </w:r>
            <w:r>
              <w:rPr>
                <w:i/>
                <w:spacing w:val="-5"/>
                <w:sz w:val="24"/>
              </w:rPr>
              <w:t xml:space="preserve"> </w:t>
            </w:r>
            <w:r>
              <w:rPr>
                <w:i/>
                <w:sz w:val="24"/>
              </w:rPr>
              <w:t>Affecting</w:t>
            </w:r>
            <w:r>
              <w:rPr>
                <w:i/>
                <w:spacing w:val="-6"/>
                <w:sz w:val="24"/>
              </w:rPr>
              <w:t xml:space="preserve"> </w:t>
            </w:r>
            <w:r>
              <w:rPr>
                <w:i/>
                <w:sz w:val="24"/>
              </w:rPr>
              <w:t>Trade in Large Civil Aircraft (Second Complaint)</w:t>
            </w:r>
            <w:r>
              <w:rPr>
                <w:sz w:val="24"/>
              </w:rPr>
              <w:t>, WT/DS353/AB/R, adopted 23 March 2012, DSR 2012:I, p. 7</w:t>
            </w:r>
          </w:p>
        </w:tc>
      </w:tr>
      <w:tr w:rsidR="0010369C" w14:paraId="51DE778F" w14:textId="77777777">
        <w:trPr>
          <w:trHeight w:val="878"/>
        </w:trPr>
        <w:tc>
          <w:tcPr>
            <w:tcW w:w="2255" w:type="dxa"/>
          </w:tcPr>
          <w:p w14:paraId="51DE778D" w14:textId="77777777" w:rsidR="0010369C" w:rsidRDefault="008E43AE">
            <w:pPr>
              <w:pStyle w:val="TableParagraph"/>
              <w:ind w:left="107"/>
              <w:rPr>
                <w:i/>
                <w:sz w:val="24"/>
              </w:rPr>
            </w:pPr>
            <w:r>
              <w:rPr>
                <w:i/>
                <w:sz w:val="24"/>
              </w:rPr>
              <w:t>US</w:t>
            </w:r>
            <w:r>
              <w:rPr>
                <w:i/>
                <w:spacing w:val="-2"/>
                <w:sz w:val="24"/>
              </w:rPr>
              <w:t xml:space="preserve"> </w:t>
            </w:r>
            <w:r>
              <w:rPr>
                <w:i/>
                <w:sz w:val="24"/>
              </w:rPr>
              <w:t>—</w:t>
            </w:r>
            <w:r>
              <w:rPr>
                <w:i/>
                <w:spacing w:val="-1"/>
                <w:sz w:val="24"/>
              </w:rPr>
              <w:t xml:space="preserve"> </w:t>
            </w:r>
            <w:r>
              <w:rPr>
                <w:i/>
                <w:sz w:val="24"/>
              </w:rPr>
              <w:t>OCTG</w:t>
            </w:r>
            <w:r>
              <w:rPr>
                <w:i/>
                <w:spacing w:val="-1"/>
                <w:sz w:val="24"/>
              </w:rPr>
              <w:t xml:space="preserve"> </w:t>
            </w:r>
            <w:r>
              <w:rPr>
                <w:i/>
                <w:spacing w:val="-2"/>
                <w:sz w:val="24"/>
              </w:rPr>
              <w:t>(Korea)</w:t>
            </w:r>
          </w:p>
        </w:tc>
        <w:tc>
          <w:tcPr>
            <w:tcW w:w="6761" w:type="dxa"/>
          </w:tcPr>
          <w:p w14:paraId="51DE778E" w14:textId="77777777" w:rsidR="0010369C" w:rsidRDefault="008E43AE">
            <w:pPr>
              <w:pStyle w:val="TableParagraph"/>
              <w:spacing w:line="290" w:lineRule="atLeast"/>
              <w:ind w:left="106" w:right="167"/>
              <w:rPr>
                <w:sz w:val="24"/>
              </w:rPr>
            </w:pPr>
            <w:r>
              <w:rPr>
                <w:sz w:val="24"/>
              </w:rPr>
              <w:t>Panel</w:t>
            </w:r>
            <w:r>
              <w:rPr>
                <w:spacing w:val="-6"/>
                <w:sz w:val="24"/>
              </w:rPr>
              <w:t xml:space="preserve"> </w:t>
            </w:r>
            <w:r>
              <w:rPr>
                <w:sz w:val="24"/>
              </w:rPr>
              <w:t>Report,</w:t>
            </w:r>
            <w:r>
              <w:rPr>
                <w:spacing w:val="-5"/>
                <w:sz w:val="24"/>
              </w:rPr>
              <w:t xml:space="preserve"> </w:t>
            </w:r>
            <w:r>
              <w:rPr>
                <w:i/>
                <w:sz w:val="24"/>
              </w:rPr>
              <w:t>United</w:t>
            </w:r>
            <w:r>
              <w:rPr>
                <w:i/>
                <w:spacing w:val="-6"/>
                <w:sz w:val="24"/>
              </w:rPr>
              <w:t xml:space="preserve"> </w:t>
            </w:r>
            <w:r>
              <w:rPr>
                <w:i/>
                <w:sz w:val="24"/>
              </w:rPr>
              <w:t>States</w:t>
            </w:r>
            <w:r>
              <w:rPr>
                <w:i/>
                <w:spacing w:val="-6"/>
                <w:sz w:val="24"/>
              </w:rPr>
              <w:t xml:space="preserve"> </w:t>
            </w:r>
            <w:r>
              <w:rPr>
                <w:i/>
                <w:sz w:val="24"/>
              </w:rPr>
              <w:t>–</w:t>
            </w:r>
            <w:r>
              <w:rPr>
                <w:i/>
                <w:spacing w:val="-5"/>
                <w:sz w:val="24"/>
              </w:rPr>
              <w:t xml:space="preserve"> </w:t>
            </w:r>
            <w:r>
              <w:rPr>
                <w:i/>
                <w:sz w:val="24"/>
              </w:rPr>
              <w:t>Anti‐Dumping</w:t>
            </w:r>
            <w:r>
              <w:rPr>
                <w:i/>
                <w:spacing w:val="-5"/>
                <w:sz w:val="24"/>
              </w:rPr>
              <w:t xml:space="preserve"> </w:t>
            </w:r>
            <w:r>
              <w:rPr>
                <w:i/>
                <w:sz w:val="24"/>
              </w:rPr>
              <w:t>Measures</w:t>
            </w:r>
            <w:r>
              <w:rPr>
                <w:i/>
                <w:spacing w:val="-5"/>
                <w:sz w:val="24"/>
              </w:rPr>
              <w:t xml:space="preserve"> </w:t>
            </w:r>
            <w:r>
              <w:rPr>
                <w:i/>
                <w:sz w:val="24"/>
              </w:rPr>
              <w:t>on</w:t>
            </w:r>
            <w:r>
              <w:rPr>
                <w:i/>
                <w:spacing w:val="-5"/>
                <w:sz w:val="24"/>
              </w:rPr>
              <w:t xml:space="preserve"> </w:t>
            </w:r>
            <w:r>
              <w:rPr>
                <w:i/>
                <w:sz w:val="24"/>
              </w:rPr>
              <w:t>Certain Oil Country Tubular Goods from Korea</w:t>
            </w:r>
            <w:r>
              <w:rPr>
                <w:sz w:val="24"/>
              </w:rPr>
              <w:t>, WT/DS488/R and Add.1, adopted 12 January 2018, DSR 2018:I, p. 7</w:t>
            </w:r>
          </w:p>
        </w:tc>
      </w:tr>
      <w:tr w:rsidR="0010369C" w14:paraId="51DE7792" w14:textId="77777777">
        <w:trPr>
          <w:trHeight w:val="878"/>
        </w:trPr>
        <w:tc>
          <w:tcPr>
            <w:tcW w:w="2255" w:type="dxa"/>
          </w:tcPr>
          <w:p w14:paraId="51DE7790" w14:textId="77777777" w:rsidR="0010369C" w:rsidRDefault="008E43AE">
            <w:pPr>
              <w:pStyle w:val="TableParagraph"/>
              <w:ind w:left="107"/>
              <w:rPr>
                <w:i/>
                <w:sz w:val="24"/>
              </w:rPr>
            </w:pPr>
            <w:r>
              <w:rPr>
                <w:i/>
                <w:sz w:val="24"/>
              </w:rPr>
              <w:t>US</w:t>
            </w:r>
            <w:r>
              <w:rPr>
                <w:i/>
                <w:spacing w:val="-10"/>
                <w:sz w:val="24"/>
              </w:rPr>
              <w:t xml:space="preserve"> </w:t>
            </w:r>
            <w:r>
              <w:rPr>
                <w:i/>
                <w:sz w:val="24"/>
              </w:rPr>
              <w:t>–</w:t>
            </w:r>
            <w:r>
              <w:rPr>
                <w:i/>
                <w:spacing w:val="-9"/>
                <w:sz w:val="24"/>
              </w:rPr>
              <w:t xml:space="preserve"> </w:t>
            </w:r>
            <w:r>
              <w:rPr>
                <w:i/>
                <w:sz w:val="24"/>
              </w:rPr>
              <w:t>Offset</w:t>
            </w:r>
            <w:r>
              <w:rPr>
                <w:i/>
                <w:spacing w:val="-10"/>
                <w:sz w:val="24"/>
              </w:rPr>
              <w:t xml:space="preserve"> </w:t>
            </w:r>
            <w:r>
              <w:rPr>
                <w:i/>
                <w:sz w:val="24"/>
              </w:rPr>
              <w:t>Act</w:t>
            </w:r>
            <w:r>
              <w:rPr>
                <w:i/>
                <w:spacing w:val="-10"/>
                <w:sz w:val="24"/>
              </w:rPr>
              <w:t xml:space="preserve"> </w:t>
            </w:r>
            <w:r>
              <w:rPr>
                <w:i/>
                <w:sz w:val="24"/>
              </w:rPr>
              <w:t xml:space="preserve">(Byrd </w:t>
            </w:r>
            <w:r>
              <w:rPr>
                <w:i/>
                <w:spacing w:val="-2"/>
                <w:sz w:val="24"/>
              </w:rPr>
              <w:t>Amendment)</w:t>
            </w:r>
          </w:p>
        </w:tc>
        <w:tc>
          <w:tcPr>
            <w:tcW w:w="6761" w:type="dxa"/>
          </w:tcPr>
          <w:p w14:paraId="51DE7791" w14:textId="77777777" w:rsidR="0010369C" w:rsidRDefault="008E43AE">
            <w:pPr>
              <w:pStyle w:val="TableParagraph"/>
              <w:spacing w:line="290" w:lineRule="atLeast"/>
              <w:ind w:left="106"/>
              <w:rPr>
                <w:sz w:val="24"/>
              </w:rPr>
            </w:pPr>
            <w:r>
              <w:rPr>
                <w:sz w:val="24"/>
              </w:rPr>
              <w:t>Appellate</w:t>
            </w:r>
            <w:r>
              <w:rPr>
                <w:spacing w:val="-5"/>
                <w:sz w:val="24"/>
              </w:rPr>
              <w:t xml:space="preserve"> </w:t>
            </w:r>
            <w:r>
              <w:rPr>
                <w:sz w:val="24"/>
              </w:rPr>
              <w:t>Body</w:t>
            </w:r>
            <w:r>
              <w:rPr>
                <w:spacing w:val="-5"/>
                <w:sz w:val="24"/>
              </w:rPr>
              <w:t xml:space="preserve"> </w:t>
            </w:r>
            <w:r>
              <w:rPr>
                <w:sz w:val="24"/>
              </w:rPr>
              <w:t>Report,</w:t>
            </w:r>
            <w:r>
              <w:rPr>
                <w:spacing w:val="-6"/>
                <w:sz w:val="24"/>
              </w:rPr>
              <w:t xml:space="preserve"> </w:t>
            </w:r>
            <w:r>
              <w:rPr>
                <w:i/>
                <w:sz w:val="24"/>
              </w:rPr>
              <w:t>United</w:t>
            </w:r>
            <w:r>
              <w:rPr>
                <w:i/>
                <w:spacing w:val="-6"/>
                <w:sz w:val="24"/>
              </w:rPr>
              <w:t xml:space="preserve"> </w:t>
            </w:r>
            <w:r>
              <w:rPr>
                <w:i/>
                <w:sz w:val="24"/>
              </w:rPr>
              <w:t>States</w:t>
            </w:r>
            <w:r>
              <w:rPr>
                <w:i/>
                <w:spacing w:val="-5"/>
                <w:sz w:val="24"/>
              </w:rPr>
              <w:t xml:space="preserve"> </w:t>
            </w:r>
            <w:r>
              <w:rPr>
                <w:i/>
                <w:sz w:val="24"/>
              </w:rPr>
              <w:t>–</w:t>
            </w:r>
            <w:r>
              <w:rPr>
                <w:i/>
                <w:spacing w:val="-5"/>
                <w:sz w:val="24"/>
              </w:rPr>
              <w:t xml:space="preserve"> </w:t>
            </w:r>
            <w:r>
              <w:rPr>
                <w:i/>
                <w:sz w:val="24"/>
              </w:rPr>
              <w:t>Continued</w:t>
            </w:r>
            <w:r>
              <w:rPr>
                <w:i/>
                <w:spacing w:val="-5"/>
                <w:sz w:val="24"/>
              </w:rPr>
              <w:t xml:space="preserve"> </w:t>
            </w:r>
            <w:r>
              <w:rPr>
                <w:i/>
                <w:sz w:val="24"/>
              </w:rPr>
              <w:t>Dumping</w:t>
            </w:r>
            <w:r>
              <w:rPr>
                <w:i/>
                <w:spacing w:val="-5"/>
                <w:sz w:val="24"/>
              </w:rPr>
              <w:t xml:space="preserve"> </w:t>
            </w:r>
            <w:r>
              <w:rPr>
                <w:i/>
                <w:sz w:val="24"/>
              </w:rPr>
              <w:t>and Subsidy Offset Act of 2000</w:t>
            </w:r>
            <w:r>
              <w:rPr>
                <w:sz w:val="24"/>
              </w:rPr>
              <w:t xml:space="preserve">, WT/DS217/AB/R, WT/DS234/AB/R, adopted 27 January 2003, DSR 2003:I, </w:t>
            </w:r>
            <w:r>
              <w:rPr>
                <w:sz w:val="24"/>
              </w:rPr>
              <w:t>p. 375</w:t>
            </w:r>
          </w:p>
        </w:tc>
      </w:tr>
      <w:tr w:rsidR="0010369C" w14:paraId="51DE7795" w14:textId="77777777">
        <w:trPr>
          <w:trHeight w:val="1465"/>
        </w:trPr>
        <w:tc>
          <w:tcPr>
            <w:tcW w:w="2255" w:type="dxa"/>
          </w:tcPr>
          <w:p w14:paraId="51DE7793" w14:textId="77777777" w:rsidR="0010369C" w:rsidRDefault="008E43AE">
            <w:pPr>
              <w:pStyle w:val="TableParagraph"/>
              <w:spacing w:line="290" w:lineRule="atLeast"/>
              <w:ind w:left="107" w:right="519"/>
              <w:rPr>
                <w:i/>
                <w:sz w:val="24"/>
              </w:rPr>
            </w:pPr>
            <w:r>
              <w:rPr>
                <w:i/>
                <w:sz w:val="24"/>
              </w:rPr>
              <w:t>US</w:t>
            </w:r>
            <w:r>
              <w:rPr>
                <w:i/>
                <w:spacing w:val="-13"/>
                <w:sz w:val="24"/>
              </w:rPr>
              <w:t xml:space="preserve"> </w:t>
            </w:r>
            <w:r>
              <w:rPr>
                <w:i/>
                <w:sz w:val="24"/>
              </w:rPr>
              <w:t>–</w:t>
            </w:r>
            <w:r>
              <w:rPr>
                <w:i/>
                <w:spacing w:val="-12"/>
                <w:sz w:val="24"/>
              </w:rPr>
              <w:t xml:space="preserve"> </w:t>
            </w:r>
            <w:r>
              <w:rPr>
                <w:i/>
                <w:sz w:val="24"/>
              </w:rPr>
              <w:t>Oil</w:t>
            </w:r>
            <w:r>
              <w:rPr>
                <w:i/>
                <w:spacing w:val="-12"/>
                <w:sz w:val="24"/>
              </w:rPr>
              <w:t xml:space="preserve"> </w:t>
            </w:r>
            <w:r>
              <w:rPr>
                <w:i/>
                <w:sz w:val="24"/>
              </w:rPr>
              <w:t xml:space="preserve">Country Tubular Goods Sunset Reviews (Article 21.5 – </w:t>
            </w:r>
            <w:r>
              <w:rPr>
                <w:i/>
                <w:spacing w:val="-2"/>
                <w:sz w:val="24"/>
              </w:rPr>
              <w:t>Argentina)</w:t>
            </w:r>
          </w:p>
        </w:tc>
        <w:tc>
          <w:tcPr>
            <w:tcW w:w="6761" w:type="dxa"/>
          </w:tcPr>
          <w:p w14:paraId="51DE7794" w14:textId="77777777" w:rsidR="0010369C" w:rsidRDefault="008E43AE">
            <w:pPr>
              <w:pStyle w:val="TableParagraph"/>
              <w:spacing w:line="290" w:lineRule="atLeast"/>
              <w:ind w:left="106" w:right="119"/>
              <w:rPr>
                <w:sz w:val="24"/>
              </w:rPr>
            </w:pPr>
            <w:r>
              <w:rPr>
                <w:sz w:val="24"/>
              </w:rPr>
              <w:t xml:space="preserve">Panel Report, </w:t>
            </w:r>
            <w:r>
              <w:rPr>
                <w:i/>
                <w:sz w:val="24"/>
              </w:rPr>
              <w:t>United States – Sunset Reviews of Anti‐Dumping Measures</w:t>
            </w:r>
            <w:r>
              <w:rPr>
                <w:i/>
                <w:spacing w:val="-5"/>
                <w:sz w:val="24"/>
              </w:rPr>
              <w:t xml:space="preserve"> </w:t>
            </w:r>
            <w:r>
              <w:rPr>
                <w:i/>
                <w:sz w:val="24"/>
              </w:rPr>
              <w:t>on</w:t>
            </w:r>
            <w:r>
              <w:rPr>
                <w:i/>
                <w:spacing w:val="-4"/>
                <w:sz w:val="24"/>
              </w:rPr>
              <w:t xml:space="preserve"> </w:t>
            </w:r>
            <w:r>
              <w:rPr>
                <w:i/>
                <w:sz w:val="24"/>
              </w:rPr>
              <w:t>Oil</w:t>
            </w:r>
            <w:r>
              <w:rPr>
                <w:i/>
                <w:spacing w:val="-4"/>
                <w:sz w:val="24"/>
              </w:rPr>
              <w:t xml:space="preserve"> </w:t>
            </w:r>
            <w:r>
              <w:rPr>
                <w:i/>
                <w:sz w:val="24"/>
              </w:rPr>
              <w:t>Country</w:t>
            </w:r>
            <w:r>
              <w:rPr>
                <w:i/>
                <w:spacing w:val="-4"/>
                <w:sz w:val="24"/>
              </w:rPr>
              <w:t xml:space="preserve"> </w:t>
            </w:r>
            <w:r>
              <w:rPr>
                <w:i/>
                <w:sz w:val="24"/>
              </w:rPr>
              <w:t>Tubular</w:t>
            </w:r>
            <w:r>
              <w:rPr>
                <w:i/>
                <w:spacing w:val="-4"/>
                <w:sz w:val="24"/>
              </w:rPr>
              <w:t xml:space="preserve"> </w:t>
            </w:r>
            <w:r>
              <w:rPr>
                <w:i/>
                <w:sz w:val="24"/>
              </w:rPr>
              <w:t>Goods</w:t>
            </w:r>
            <w:r>
              <w:rPr>
                <w:i/>
                <w:spacing w:val="-4"/>
                <w:sz w:val="24"/>
              </w:rPr>
              <w:t xml:space="preserve"> </w:t>
            </w:r>
            <w:r>
              <w:rPr>
                <w:i/>
                <w:sz w:val="24"/>
              </w:rPr>
              <w:t>from</w:t>
            </w:r>
            <w:r>
              <w:rPr>
                <w:i/>
                <w:spacing w:val="-5"/>
                <w:sz w:val="24"/>
              </w:rPr>
              <w:t xml:space="preserve"> </w:t>
            </w:r>
            <w:r>
              <w:rPr>
                <w:i/>
                <w:sz w:val="24"/>
              </w:rPr>
              <w:t>Argentina</w:t>
            </w:r>
            <w:r>
              <w:rPr>
                <w:i/>
                <w:spacing w:val="-5"/>
                <w:sz w:val="24"/>
              </w:rPr>
              <w:t xml:space="preserve"> </w:t>
            </w:r>
            <w:r>
              <w:rPr>
                <w:i/>
                <w:sz w:val="24"/>
              </w:rPr>
              <w:t>–</w:t>
            </w:r>
            <w:r>
              <w:rPr>
                <w:i/>
                <w:spacing w:val="-4"/>
                <w:sz w:val="24"/>
              </w:rPr>
              <w:t xml:space="preserve"> </w:t>
            </w:r>
            <w:r>
              <w:rPr>
                <w:i/>
                <w:sz w:val="24"/>
              </w:rPr>
              <w:t>Recourse to Article 21.5 of the DSU by Argentina</w:t>
            </w:r>
            <w:r>
              <w:rPr>
                <w:sz w:val="24"/>
              </w:rPr>
              <w:t>, WT/DS268/RW, adopted 11 May 2007, as modified by Appellate Body Report WT/DS268/AB/RW, DSR 2007:IX, p. 3609</w:t>
            </w:r>
          </w:p>
        </w:tc>
      </w:tr>
      <w:tr w:rsidR="0010369C" w14:paraId="51DE7799" w14:textId="77777777">
        <w:trPr>
          <w:trHeight w:val="878"/>
        </w:trPr>
        <w:tc>
          <w:tcPr>
            <w:tcW w:w="2255" w:type="dxa"/>
          </w:tcPr>
          <w:p w14:paraId="51DE7796" w14:textId="77777777" w:rsidR="0010369C" w:rsidRDefault="008E43AE">
            <w:pPr>
              <w:pStyle w:val="TableParagraph"/>
              <w:ind w:left="107" w:right="519"/>
              <w:rPr>
                <w:i/>
                <w:sz w:val="24"/>
              </w:rPr>
            </w:pPr>
            <w:r>
              <w:rPr>
                <w:i/>
                <w:sz w:val="24"/>
              </w:rPr>
              <w:t>US</w:t>
            </w:r>
            <w:r>
              <w:rPr>
                <w:i/>
                <w:spacing w:val="-13"/>
                <w:sz w:val="24"/>
              </w:rPr>
              <w:t xml:space="preserve"> </w:t>
            </w:r>
            <w:r>
              <w:rPr>
                <w:i/>
                <w:sz w:val="24"/>
              </w:rPr>
              <w:t>–</w:t>
            </w:r>
            <w:r>
              <w:rPr>
                <w:i/>
                <w:spacing w:val="-12"/>
                <w:sz w:val="24"/>
              </w:rPr>
              <w:t xml:space="preserve"> </w:t>
            </w:r>
            <w:r>
              <w:rPr>
                <w:i/>
                <w:sz w:val="24"/>
              </w:rPr>
              <w:t>Ripe</w:t>
            </w:r>
            <w:r>
              <w:rPr>
                <w:i/>
                <w:spacing w:val="-12"/>
                <w:sz w:val="24"/>
              </w:rPr>
              <w:t xml:space="preserve"> </w:t>
            </w:r>
            <w:r>
              <w:rPr>
                <w:i/>
                <w:sz w:val="24"/>
              </w:rPr>
              <w:t>Olives from Spain</w:t>
            </w:r>
          </w:p>
        </w:tc>
        <w:tc>
          <w:tcPr>
            <w:tcW w:w="6761" w:type="dxa"/>
          </w:tcPr>
          <w:p w14:paraId="51DE7797" w14:textId="77777777" w:rsidR="0010369C" w:rsidRDefault="008E43AE">
            <w:pPr>
              <w:pStyle w:val="TableParagraph"/>
              <w:spacing w:line="292" w:lineRule="exact"/>
              <w:ind w:left="106"/>
              <w:rPr>
                <w:i/>
                <w:sz w:val="24"/>
              </w:rPr>
            </w:pPr>
            <w:r>
              <w:rPr>
                <w:sz w:val="24"/>
              </w:rPr>
              <w:t>Panel</w:t>
            </w:r>
            <w:r>
              <w:rPr>
                <w:spacing w:val="-4"/>
                <w:sz w:val="24"/>
              </w:rPr>
              <w:t xml:space="preserve"> </w:t>
            </w:r>
            <w:r>
              <w:rPr>
                <w:sz w:val="24"/>
              </w:rPr>
              <w:t>Report,</w:t>
            </w:r>
            <w:r>
              <w:rPr>
                <w:spacing w:val="-1"/>
                <w:sz w:val="24"/>
              </w:rPr>
              <w:t xml:space="preserve"> </w:t>
            </w:r>
            <w:r>
              <w:rPr>
                <w:i/>
                <w:sz w:val="24"/>
              </w:rPr>
              <w:t>United</w:t>
            </w:r>
            <w:r>
              <w:rPr>
                <w:i/>
                <w:spacing w:val="-2"/>
                <w:sz w:val="24"/>
              </w:rPr>
              <w:t xml:space="preserve"> </w:t>
            </w:r>
            <w:r>
              <w:rPr>
                <w:i/>
                <w:sz w:val="24"/>
              </w:rPr>
              <w:t>States</w:t>
            </w:r>
            <w:r>
              <w:rPr>
                <w:i/>
                <w:spacing w:val="-2"/>
                <w:sz w:val="24"/>
              </w:rPr>
              <w:t xml:space="preserve"> </w:t>
            </w:r>
            <w:r>
              <w:rPr>
                <w:i/>
                <w:sz w:val="24"/>
              </w:rPr>
              <w:t>–</w:t>
            </w:r>
            <w:r>
              <w:rPr>
                <w:i/>
                <w:spacing w:val="-2"/>
                <w:sz w:val="24"/>
              </w:rPr>
              <w:t xml:space="preserve"> </w:t>
            </w:r>
            <w:r>
              <w:rPr>
                <w:i/>
                <w:sz w:val="24"/>
              </w:rPr>
              <w:t>Anti‐Dumping</w:t>
            </w:r>
            <w:r>
              <w:rPr>
                <w:i/>
                <w:spacing w:val="-1"/>
                <w:sz w:val="24"/>
              </w:rPr>
              <w:t xml:space="preserve"> </w:t>
            </w:r>
            <w:r>
              <w:rPr>
                <w:i/>
                <w:sz w:val="24"/>
              </w:rPr>
              <w:t>and</w:t>
            </w:r>
            <w:r>
              <w:rPr>
                <w:i/>
                <w:spacing w:val="-2"/>
                <w:sz w:val="24"/>
              </w:rPr>
              <w:t xml:space="preserve"> Countervailing</w:t>
            </w:r>
          </w:p>
          <w:p w14:paraId="51DE7798" w14:textId="77777777" w:rsidR="0010369C" w:rsidRDefault="008E43AE">
            <w:pPr>
              <w:pStyle w:val="TableParagraph"/>
              <w:spacing w:line="290" w:lineRule="atLeast"/>
              <w:ind w:left="106"/>
              <w:rPr>
                <w:sz w:val="24"/>
              </w:rPr>
            </w:pPr>
            <w:r>
              <w:rPr>
                <w:i/>
                <w:sz w:val="24"/>
              </w:rPr>
              <w:t>Duties</w:t>
            </w:r>
            <w:r>
              <w:rPr>
                <w:i/>
                <w:spacing w:val="-5"/>
                <w:sz w:val="24"/>
              </w:rPr>
              <w:t xml:space="preserve"> </w:t>
            </w:r>
            <w:r>
              <w:rPr>
                <w:i/>
                <w:sz w:val="24"/>
              </w:rPr>
              <w:t>on</w:t>
            </w:r>
            <w:r>
              <w:rPr>
                <w:i/>
                <w:spacing w:val="-4"/>
                <w:sz w:val="24"/>
              </w:rPr>
              <w:t xml:space="preserve"> </w:t>
            </w:r>
            <w:r>
              <w:rPr>
                <w:i/>
                <w:sz w:val="24"/>
              </w:rPr>
              <w:t>Ripe</w:t>
            </w:r>
            <w:r>
              <w:rPr>
                <w:i/>
                <w:spacing w:val="-5"/>
                <w:sz w:val="24"/>
              </w:rPr>
              <w:t xml:space="preserve"> </w:t>
            </w:r>
            <w:r>
              <w:rPr>
                <w:i/>
                <w:sz w:val="24"/>
              </w:rPr>
              <w:t>Olives</w:t>
            </w:r>
            <w:r>
              <w:rPr>
                <w:i/>
                <w:spacing w:val="-5"/>
                <w:sz w:val="24"/>
              </w:rPr>
              <w:t xml:space="preserve"> </w:t>
            </w:r>
            <w:r>
              <w:rPr>
                <w:i/>
                <w:sz w:val="24"/>
              </w:rPr>
              <w:t>from</w:t>
            </w:r>
            <w:r>
              <w:rPr>
                <w:i/>
                <w:spacing w:val="-5"/>
                <w:sz w:val="24"/>
              </w:rPr>
              <w:t xml:space="preserve"> </w:t>
            </w:r>
            <w:r>
              <w:rPr>
                <w:i/>
                <w:sz w:val="24"/>
              </w:rPr>
              <w:t>Spain</w:t>
            </w:r>
            <w:r>
              <w:rPr>
                <w:sz w:val="24"/>
              </w:rPr>
              <w:t>,</w:t>
            </w:r>
            <w:r>
              <w:rPr>
                <w:spacing w:val="-5"/>
                <w:sz w:val="24"/>
              </w:rPr>
              <w:t xml:space="preserve"> </w:t>
            </w:r>
            <w:r>
              <w:rPr>
                <w:sz w:val="24"/>
              </w:rPr>
              <w:t>WT/DS577/R</w:t>
            </w:r>
            <w:r>
              <w:rPr>
                <w:spacing w:val="-5"/>
                <w:sz w:val="24"/>
              </w:rPr>
              <w:t xml:space="preserve"> </w:t>
            </w:r>
            <w:r>
              <w:rPr>
                <w:sz w:val="24"/>
              </w:rPr>
              <w:t>and</w:t>
            </w:r>
            <w:r>
              <w:rPr>
                <w:spacing w:val="-5"/>
                <w:sz w:val="24"/>
              </w:rPr>
              <w:t xml:space="preserve"> </w:t>
            </w:r>
            <w:r>
              <w:rPr>
                <w:sz w:val="24"/>
              </w:rPr>
              <w:t>Add.1,</w:t>
            </w:r>
            <w:r>
              <w:rPr>
                <w:spacing w:val="-5"/>
                <w:sz w:val="24"/>
              </w:rPr>
              <w:t xml:space="preserve"> </w:t>
            </w:r>
            <w:r>
              <w:rPr>
                <w:sz w:val="24"/>
              </w:rPr>
              <w:t>adopted 20 December 2021</w:t>
            </w:r>
          </w:p>
        </w:tc>
      </w:tr>
      <w:tr w:rsidR="0010369C" w14:paraId="51DE779C" w14:textId="77777777">
        <w:trPr>
          <w:trHeight w:val="944"/>
        </w:trPr>
        <w:tc>
          <w:tcPr>
            <w:tcW w:w="2255" w:type="dxa"/>
          </w:tcPr>
          <w:p w14:paraId="51DE779A" w14:textId="77777777" w:rsidR="0010369C" w:rsidRDefault="008E43AE">
            <w:pPr>
              <w:pStyle w:val="TableParagraph"/>
              <w:ind w:left="107" w:right="519"/>
              <w:rPr>
                <w:i/>
                <w:sz w:val="24"/>
              </w:rPr>
            </w:pPr>
            <w:r>
              <w:rPr>
                <w:i/>
                <w:sz w:val="24"/>
              </w:rPr>
              <w:t>US</w:t>
            </w:r>
            <w:r>
              <w:rPr>
                <w:i/>
                <w:spacing w:val="-14"/>
                <w:sz w:val="24"/>
              </w:rPr>
              <w:t xml:space="preserve"> </w:t>
            </w:r>
            <w:r>
              <w:rPr>
                <w:i/>
                <w:sz w:val="24"/>
              </w:rPr>
              <w:t>–</w:t>
            </w:r>
            <w:r>
              <w:rPr>
                <w:i/>
                <w:spacing w:val="-14"/>
                <w:sz w:val="24"/>
              </w:rPr>
              <w:t xml:space="preserve"> </w:t>
            </w:r>
            <w:r>
              <w:rPr>
                <w:i/>
                <w:sz w:val="24"/>
              </w:rPr>
              <w:t>Softwood Lumber II</w:t>
            </w:r>
          </w:p>
        </w:tc>
        <w:tc>
          <w:tcPr>
            <w:tcW w:w="6761" w:type="dxa"/>
          </w:tcPr>
          <w:p w14:paraId="51DE779B" w14:textId="77777777" w:rsidR="0010369C" w:rsidRDefault="008E43AE">
            <w:pPr>
              <w:pStyle w:val="TableParagraph"/>
              <w:ind w:left="106" w:right="167"/>
              <w:rPr>
                <w:sz w:val="24"/>
              </w:rPr>
            </w:pPr>
            <w:r>
              <w:rPr>
                <w:sz w:val="24"/>
              </w:rPr>
              <w:t>GATT</w:t>
            </w:r>
            <w:r>
              <w:rPr>
                <w:spacing w:val="-4"/>
                <w:sz w:val="24"/>
              </w:rPr>
              <w:t xml:space="preserve"> </w:t>
            </w:r>
            <w:r>
              <w:rPr>
                <w:sz w:val="24"/>
              </w:rPr>
              <w:t>Panel</w:t>
            </w:r>
            <w:r>
              <w:rPr>
                <w:spacing w:val="-5"/>
                <w:sz w:val="24"/>
              </w:rPr>
              <w:t xml:space="preserve"> </w:t>
            </w:r>
            <w:r>
              <w:rPr>
                <w:sz w:val="24"/>
              </w:rPr>
              <w:t>Report,</w:t>
            </w:r>
            <w:r>
              <w:rPr>
                <w:spacing w:val="-4"/>
                <w:sz w:val="24"/>
              </w:rPr>
              <w:t xml:space="preserve"> </w:t>
            </w:r>
            <w:r>
              <w:rPr>
                <w:i/>
                <w:sz w:val="24"/>
              </w:rPr>
              <w:t>United</w:t>
            </w:r>
            <w:r>
              <w:rPr>
                <w:i/>
                <w:spacing w:val="-5"/>
                <w:sz w:val="24"/>
              </w:rPr>
              <w:t xml:space="preserve"> </w:t>
            </w:r>
            <w:r>
              <w:rPr>
                <w:i/>
                <w:sz w:val="24"/>
              </w:rPr>
              <w:t>States</w:t>
            </w:r>
            <w:r>
              <w:rPr>
                <w:i/>
                <w:spacing w:val="-4"/>
                <w:sz w:val="24"/>
              </w:rPr>
              <w:t xml:space="preserve"> </w:t>
            </w:r>
            <w:r>
              <w:rPr>
                <w:i/>
                <w:sz w:val="24"/>
              </w:rPr>
              <w:t>–</w:t>
            </w:r>
            <w:r>
              <w:rPr>
                <w:i/>
                <w:spacing w:val="-4"/>
                <w:sz w:val="24"/>
              </w:rPr>
              <w:t xml:space="preserve"> </w:t>
            </w:r>
            <w:r>
              <w:rPr>
                <w:i/>
                <w:sz w:val="24"/>
              </w:rPr>
              <w:t>Measures</w:t>
            </w:r>
            <w:r>
              <w:rPr>
                <w:i/>
                <w:spacing w:val="-4"/>
                <w:sz w:val="24"/>
              </w:rPr>
              <w:t xml:space="preserve"> </w:t>
            </w:r>
            <w:r>
              <w:rPr>
                <w:i/>
                <w:sz w:val="24"/>
              </w:rPr>
              <w:t>Affecting</w:t>
            </w:r>
            <w:r>
              <w:rPr>
                <w:i/>
                <w:spacing w:val="-4"/>
                <w:sz w:val="24"/>
              </w:rPr>
              <w:t xml:space="preserve"> </w:t>
            </w:r>
            <w:r>
              <w:rPr>
                <w:i/>
                <w:sz w:val="24"/>
              </w:rPr>
              <w:t>Imports</w:t>
            </w:r>
            <w:r>
              <w:rPr>
                <w:i/>
                <w:spacing w:val="-4"/>
                <w:sz w:val="24"/>
              </w:rPr>
              <w:t xml:space="preserve"> </w:t>
            </w:r>
            <w:r>
              <w:rPr>
                <w:i/>
                <w:sz w:val="24"/>
              </w:rPr>
              <w:t xml:space="preserve">of Softwood Lumber from Canada, </w:t>
            </w:r>
            <w:r>
              <w:rPr>
                <w:sz w:val="24"/>
              </w:rPr>
              <w:t xml:space="preserve">SCM/162, adopted 27 October </w:t>
            </w:r>
            <w:r>
              <w:rPr>
                <w:spacing w:val="-4"/>
                <w:sz w:val="24"/>
              </w:rPr>
              <w:t>1993</w:t>
            </w:r>
          </w:p>
        </w:tc>
      </w:tr>
      <w:tr w:rsidR="0010369C" w14:paraId="51DE77A0" w14:textId="77777777">
        <w:trPr>
          <w:trHeight w:val="878"/>
        </w:trPr>
        <w:tc>
          <w:tcPr>
            <w:tcW w:w="2255" w:type="dxa"/>
          </w:tcPr>
          <w:p w14:paraId="51DE779D" w14:textId="77777777" w:rsidR="0010369C" w:rsidRDefault="008E43AE">
            <w:pPr>
              <w:pStyle w:val="TableParagraph"/>
              <w:ind w:left="107" w:right="519"/>
              <w:rPr>
                <w:i/>
                <w:sz w:val="24"/>
              </w:rPr>
            </w:pPr>
            <w:r>
              <w:rPr>
                <w:i/>
                <w:sz w:val="24"/>
              </w:rPr>
              <w:t>US</w:t>
            </w:r>
            <w:r>
              <w:rPr>
                <w:i/>
                <w:spacing w:val="-14"/>
                <w:sz w:val="24"/>
              </w:rPr>
              <w:t xml:space="preserve"> </w:t>
            </w:r>
            <w:r>
              <w:rPr>
                <w:i/>
                <w:sz w:val="24"/>
              </w:rPr>
              <w:t>–</w:t>
            </w:r>
            <w:r>
              <w:rPr>
                <w:i/>
                <w:spacing w:val="-14"/>
                <w:sz w:val="24"/>
              </w:rPr>
              <w:t xml:space="preserve"> </w:t>
            </w:r>
            <w:r>
              <w:rPr>
                <w:i/>
                <w:sz w:val="24"/>
              </w:rPr>
              <w:t>Softwood Lumber V</w:t>
            </w:r>
          </w:p>
        </w:tc>
        <w:tc>
          <w:tcPr>
            <w:tcW w:w="6761" w:type="dxa"/>
          </w:tcPr>
          <w:p w14:paraId="51DE779E" w14:textId="77777777" w:rsidR="0010369C" w:rsidRDefault="008E43AE">
            <w:pPr>
              <w:pStyle w:val="TableParagraph"/>
              <w:spacing w:line="292" w:lineRule="exact"/>
              <w:ind w:left="106"/>
              <w:rPr>
                <w:i/>
                <w:sz w:val="24"/>
              </w:rPr>
            </w:pPr>
            <w:r>
              <w:rPr>
                <w:sz w:val="24"/>
              </w:rPr>
              <w:t>Appellate</w:t>
            </w:r>
            <w:r>
              <w:rPr>
                <w:spacing w:val="-3"/>
                <w:sz w:val="24"/>
              </w:rPr>
              <w:t xml:space="preserve"> </w:t>
            </w:r>
            <w:r>
              <w:rPr>
                <w:sz w:val="24"/>
              </w:rPr>
              <w:t>Body</w:t>
            </w:r>
            <w:r>
              <w:rPr>
                <w:spacing w:val="-3"/>
                <w:sz w:val="24"/>
              </w:rPr>
              <w:t xml:space="preserve"> </w:t>
            </w:r>
            <w:r>
              <w:rPr>
                <w:sz w:val="24"/>
              </w:rPr>
              <w:t>Report,</w:t>
            </w:r>
            <w:r>
              <w:rPr>
                <w:spacing w:val="-4"/>
                <w:sz w:val="24"/>
              </w:rPr>
              <w:t xml:space="preserve"> </w:t>
            </w:r>
            <w:r>
              <w:rPr>
                <w:i/>
                <w:sz w:val="24"/>
              </w:rPr>
              <w:t>United</w:t>
            </w:r>
            <w:r>
              <w:rPr>
                <w:i/>
                <w:spacing w:val="-3"/>
                <w:sz w:val="24"/>
              </w:rPr>
              <w:t xml:space="preserve"> </w:t>
            </w:r>
            <w:r>
              <w:rPr>
                <w:i/>
                <w:sz w:val="24"/>
              </w:rPr>
              <w:t>States</w:t>
            </w:r>
            <w:r>
              <w:rPr>
                <w:i/>
                <w:spacing w:val="-3"/>
                <w:sz w:val="24"/>
              </w:rPr>
              <w:t xml:space="preserve"> </w:t>
            </w:r>
            <w:r>
              <w:rPr>
                <w:i/>
                <w:sz w:val="24"/>
              </w:rPr>
              <w:t>–</w:t>
            </w:r>
            <w:r>
              <w:rPr>
                <w:i/>
                <w:spacing w:val="-3"/>
                <w:sz w:val="24"/>
              </w:rPr>
              <w:t xml:space="preserve"> </w:t>
            </w:r>
            <w:r>
              <w:rPr>
                <w:i/>
                <w:sz w:val="24"/>
              </w:rPr>
              <w:t>Final</w:t>
            </w:r>
            <w:r>
              <w:rPr>
                <w:i/>
                <w:spacing w:val="-2"/>
                <w:sz w:val="24"/>
              </w:rPr>
              <w:t xml:space="preserve"> Dumping</w:t>
            </w:r>
          </w:p>
          <w:p w14:paraId="51DE779F" w14:textId="77777777" w:rsidR="0010369C" w:rsidRDefault="008E43AE">
            <w:pPr>
              <w:pStyle w:val="TableParagraph"/>
              <w:spacing w:line="290" w:lineRule="atLeast"/>
              <w:ind w:left="106" w:right="167"/>
              <w:rPr>
                <w:sz w:val="24"/>
              </w:rPr>
            </w:pPr>
            <w:r>
              <w:rPr>
                <w:i/>
                <w:sz w:val="24"/>
              </w:rPr>
              <w:t>Determination on Softwood Lumber from Canada</w:t>
            </w:r>
            <w:r>
              <w:rPr>
                <w:sz w:val="24"/>
              </w:rPr>
              <w:t>, WT/DS264/AB/R,</w:t>
            </w:r>
            <w:r>
              <w:rPr>
                <w:spacing w:val="-6"/>
                <w:sz w:val="24"/>
              </w:rPr>
              <w:t xml:space="preserve"> </w:t>
            </w:r>
            <w:r>
              <w:rPr>
                <w:sz w:val="24"/>
              </w:rPr>
              <w:t>adopted</w:t>
            </w:r>
            <w:r>
              <w:rPr>
                <w:spacing w:val="-5"/>
                <w:sz w:val="24"/>
              </w:rPr>
              <w:t xml:space="preserve"> </w:t>
            </w:r>
            <w:r>
              <w:rPr>
                <w:sz w:val="24"/>
              </w:rPr>
              <w:t>31</w:t>
            </w:r>
            <w:r>
              <w:rPr>
                <w:spacing w:val="-5"/>
                <w:sz w:val="24"/>
              </w:rPr>
              <w:t xml:space="preserve"> </w:t>
            </w:r>
            <w:r>
              <w:rPr>
                <w:sz w:val="24"/>
              </w:rPr>
              <w:t>August</w:t>
            </w:r>
            <w:r>
              <w:rPr>
                <w:spacing w:val="-6"/>
                <w:sz w:val="24"/>
              </w:rPr>
              <w:t xml:space="preserve"> </w:t>
            </w:r>
            <w:r>
              <w:rPr>
                <w:sz w:val="24"/>
              </w:rPr>
              <w:t>2004,</w:t>
            </w:r>
            <w:r>
              <w:rPr>
                <w:spacing w:val="-5"/>
                <w:sz w:val="24"/>
              </w:rPr>
              <w:t xml:space="preserve"> </w:t>
            </w:r>
            <w:r>
              <w:rPr>
                <w:sz w:val="24"/>
              </w:rPr>
              <w:t>DSR</w:t>
            </w:r>
            <w:r>
              <w:rPr>
                <w:spacing w:val="-3"/>
                <w:sz w:val="24"/>
              </w:rPr>
              <w:t xml:space="preserve"> </w:t>
            </w:r>
            <w:r>
              <w:rPr>
                <w:sz w:val="24"/>
              </w:rPr>
              <w:t>2004:V,</w:t>
            </w:r>
            <w:r>
              <w:rPr>
                <w:spacing w:val="-6"/>
                <w:sz w:val="24"/>
              </w:rPr>
              <w:t xml:space="preserve"> </w:t>
            </w:r>
            <w:r>
              <w:rPr>
                <w:sz w:val="24"/>
              </w:rPr>
              <w:t>p.</w:t>
            </w:r>
            <w:r>
              <w:rPr>
                <w:spacing w:val="-4"/>
                <w:sz w:val="24"/>
              </w:rPr>
              <w:t xml:space="preserve"> </w:t>
            </w:r>
            <w:r>
              <w:rPr>
                <w:sz w:val="24"/>
              </w:rPr>
              <w:t>1875</w:t>
            </w:r>
          </w:p>
        </w:tc>
      </w:tr>
      <w:tr w:rsidR="0010369C" w14:paraId="51DE77A3" w14:textId="77777777">
        <w:trPr>
          <w:trHeight w:val="1171"/>
        </w:trPr>
        <w:tc>
          <w:tcPr>
            <w:tcW w:w="2255" w:type="dxa"/>
          </w:tcPr>
          <w:p w14:paraId="51DE77A1" w14:textId="77777777" w:rsidR="0010369C" w:rsidRDefault="008E43AE">
            <w:pPr>
              <w:pStyle w:val="TableParagraph"/>
              <w:ind w:left="107" w:right="519"/>
              <w:rPr>
                <w:i/>
                <w:sz w:val="24"/>
              </w:rPr>
            </w:pPr>
            <w:r>
              <w:rPr>
                <w:i/>
                <w:sz w:val="24"/>
              </w:rPr>
              <w:t>US</w:t>
            </w:r>
            <w:r>
              <w:rPr>
                <w:i/>
                <w:spacing w:val="-14"/>
                <w:sz w:val="24"/>
              </w:rPr>
              <w:t xml:space="preserve"> </w:t>
            </w:r>
            <w:r>
              <w:rPr>
                <w:i/>
                <w:sz w:val="24"/>
              </w:rPr>
              <w:t>–</w:t>
            </w:r>
            <w:r>
              <w:rPr>
                <w:i/>
                <w:spacing w:val="-14"/>
                <w:sz w:val="24"/>
              </w:rPr>
              <w:t xml:space="preserve"> </w:t>
            </w:r>
            <w:r>
              <w:rPr>
                <w:i/>
                <w:sz w:val="24"/>
              </w:rPr>
              <w:t>Softwood Lumber V</w:t>
            </w:r>
          </w:p>
        </w:tc>
        <w:tc>
          <w:tcPr>
            <w:tcW w:w="6761" w:type="dxa"/>
          </w:tcPr>
          <w:p w14:paraId="51DE77A2" w14:textId="77777777" w:rsidR="0010369C" w:rsidRDefault="008E43AE">
            <w:pPr>
              <w:pStyle w:val="TableParagraph"/>
              <w:spacing w:line="290" w:lineRule="atLeast"/>
              <w:ind w:left="106"/>
              <w:rPr>
                <w:sz w:val="24"/>
              </w:rPr>
            </w:pPr>
            <w:r>
              <w:rPr>
                <w:sz w:val="24"/>
              </w:rPr>
              <w:t xml:space="preserve">Panel Report, </w:t>
            </w:r>
            <w:r>
              <w:rPr>
                <w:i/>
                <w:sz w:val="24"/>
              </w:rPr>
              <w:t>United States – Final Dumping Determination on Softwood Lumber from Canada</w:t>
            </w:r>
            <w:r>
              <w:rPr>
                <w:sz w:val="24"/>
              </w:rPr>
              <w:t>, WT/DS264/R, adopted 31 August 2004,</w:t>
            </w:r>
            <w:r>
              <w:rPr>
                <w:spacing w:val="-4"/>
                <w:sz w:val="24"/>
              </w:rPr>
              <w:t xml:space="preserve"> </w:t>
            </w:r>
            <w:r>
              <w:rPr>
                <w:sz w:val="24"/>
              </w:rPr>
              <w:t>as</w:t>
            </w:r>
            <w:r>
              <w:rPr>
                <w:spacing w:val="-5"/>
                <w:sz w:val="24"/>
              </w:rPr>
              <w:t xml:space="preserve"> </w:t>
            </w:r>
            <w:r>
              <w:rPr>
                <w:sz w:val="24"/>
              </w:rPr>
              <w:t>modified</w:t>
            </w:r>
            <w:r>
              <w:rPr>
                <w:spacing w:val="-5"/>
                <w:sz w:val="24"/>
              </w:rPr>
              <w:t xml:space="preserve"> </w:t>
            </w:r>
            <w:r>
              <w:rPr>
                <w:sz w:val="24"/>
              </w:rPr>
              <w:t>by</w:t>
            </w:r>
            <w:r>
              <w:rPr>
                <w:spacing w:val="-4"/>
                <w:sz w:val="24"/>
              </w:rPr>
              <w:t xml:space="preserve"> </w:t>
            </w:r>
            <w:r>
              <w:rPr>
                <w:sz w:val="24"/>
              </w:rPr>
              <w:t>Appellate</w:t>
            </w:r>
            <w:r>
              <w:rPr>
                <w:spacing w:val="-4"/>
                <w:sz w:val="24"/>
              </w:rPr>
              <w:t xml:space="preserve"> </w:t>
            </w:r>
            <w:r>
              <w:rPr>
                <w:sz w:val="24"/>
              </w:rPr>
              <w:t>Body</w:t>
            </w:r>
            <w:r>
              <w:rPr>
                <w:spacing w:val="-5"/>
                <w:sz w:val="24"/>
              </w:rPr>
              <w:t xml:space="preserve"> </w:t>
            </w:r>
            <w:r>
              <w:rPr>
                <w:sz w:val="24"/>
              </w:rPr>
              <w:t>Report</w:t>
            </w:r>
            <w:r>
              <w:rPr>
                <w:spacing w:val="-5"/>
                <w:sz w:val="24"/>
              </w:rPr>
              <w:t xml:space="preserve"> </w:t>
            </w:r>
            <w:r>
              <w:rPr>
                <w:sz w:val="24"/>
              </w:rPr>
              <w:t>WT/DS264/AB/R,</w:t>
            </w:r>
            <w:r>
              <w:rPr>
                <w:spacing w:val="-6"/>
                <w:sz w:val="24"/>
              </w:rPr>
              <w:t xml:space="preserve"> </w:t>
            </w:r>
            <w:r>
              <w:rPr>
                <w:sz w:val="24"/>
              </w:rPr>
              <w:t>DSR 2004:V, p. 1937</w:t>
            </w:r>
          </w:p>
        </w:tc>
      </w:tr>
      <w:tr w:rsidR="0010369C" w14:paraId="51DE77A7" w14:textId="77777777">
        <w:trPr>
          <w:trHeight w:val="1171"/>
        </w:trPr>
        <w:tc>
          <w:tcPr>
            <w:tcW w:w="2255" w:type="dxa"/>
          </w:tcPr>
          <w:p w14:paraId="51DE77A4" w14:textId="77777777" w:rsidR="0010369C" w:rsidRDefault="008E43AE">
            <w:pPr>
              <w:pStyle w:val="TableParagraph"/>
              <w:ind w:left="107"/>
              <w:rPr>
                <w:i/>
                <w:sz w:val="24"/>
              </w:rPr>
            </w:pPr>
            <w:r>
              <w:rPr>
                <w:i/>
                <w:sz w:val="24"/>
              </w:rPr>
              <w:t>US – Softwood Lumber</w:t>
            </w:r>
            <w:r>
              <w:rPr>
                <w:i/>
                <w:spacing w:val="-14"/>
                <w:sz w:val="24"/>
              </w:rPr>
              <w:t xml:space="preserve"> </w:t>
            </w:r>
            <w:r>
              <w:rPr>
                <w:i/>
                <w:sz w:val="24"/>
              </w:rPr>
              <w:t>V</w:t>
            </w:r>
            <w:r>
              <w:rPr>
                <w:i/>
                <w:spacing w:val="-14"/>
                <w:sz w:val="24"/>
              </w:rPr>
              <w:t xml:space="preserve"> </w:t>
            </w:r>
            <w:r>
              <w:rPr>
                <w:i/>
                <w:sz w:val="24"/>
              </w:rPr>
              <w:t>(Article</w:t>
            </w:r>
          </w:p>
          <w:p w14:paraId="51DE77A5" w14:textId="77777777" w:rsidR="0010369C" w:rsidRDefault="008E43AE">
            <w:pPr>
              <w:pStyle w:val="TableParagraph"/>
              <w:spacing w:line="293" w:lineRule="exact"/>
              <w:ind w:left="107"/>
              <w:rPr>
                <w:i/>
                <w:sz w:val="24"/>
              </w:rPr>
            </w:pPr>
            <w:r>
              <w:rPr>
                <w:i/>
                <w:sz w:val="24"/>
              </w:rPr>
              <w:t>21.5</w:t>
            </w:r>
            <w:r>
              <w:rPr>
                <w:i/>
                <w:spacing w:val="-3"/>
                <w:sz w:val="24"/>
              </w:rPr>
              <w:t xml:space="preserve"> </w:t>
            </w:r>
            <w:r>
              <w:rPr>
                <w:i/>
                <w:sz w:val="24"/>
              </w:rPr>
              <w:t>–</w:t>
            </w:r>
            <w:r>
              <w:rPr>
                <w:i/>
                <w:spacing w:val="-1"/>
                <w:sz w:val="24"/>
              </w:rPr>
              <w:t xml:space="preserve"> </w:t>
            </w:r>
            <w:r>
              <w:rPr>
                <w:i/>
                <w:spacing w:val="-2"/>
                <w:sz w:val="24"/>
              </w:rPr>
              <w:t>Canada)</w:t>
            </w:r>
          </w:p>
        </w:tc>
        <w:tc>
          <w:tcPr>
            <w:tcW w:w="6761" w:type="dxa"/>
          </w:tcPr>
          <w:p w14:paraId="51DE77A6" w14:textId="77777777" w:rsidR="0010369C" w:rsidRDefault="008E43AE">
            <w:pPr>
              <w:pStyle w:val="TableParagraph"/>
              <w:spacing w:line="290" w:lineRule="atLeast"/>
              <w:ind w:left="106"/>
              <w:rPr>
                <w:sz w:val="24"/>
              </w:rPr>
            </w:pPr>
            <w:r>
              <w:rPr>
                <w:sz w:val="24"/>
              </w:rPr>
              <w:t xml:space="preserve">Appellate Body Report, </w:t>
            </w:r>
            <w:r>
              <w:rPr>
                <w:i/>
                <w:sz w:val="24"/>
              </w:rPr>
              <w:t>United States – Final Dumping Determination on Softwood Lumber from Canada – Recourse to Article</w:t>
            </w:r>
            <w:r>
              <w:rPr>
                <w:i/>
                <w:spacing w:val="-5"/>
                <w:sz w:val="24"/>
              </w:rPr>
              <w:t xml:space="preserve"> </w:t>
            </w:r>
            <w:r>
              <w:rPr>
                <w:i/>
                <w:sz w:val="24"/>
              </w:rPr>
              <w:t>21.5</w:t>
            </w:r>
            <w:r>
              <w:rPr>
                <w:i/>
                <w:spacing w:val="-5"/>
                <w:sz w:val="24"/>
              </w:rPr>
              <w:t xml:space="preserve"> </w:t>
            </w:r>
            <w:r>
              <w:rPr>
                <w:i/>
                <w:sz w:val="24"/>
              </w:rPr>
              <w:t>of</w:t>
            </w:r>
            <w:r>
              <w:rPr>
                <w:i/>
                <w:spacing w:val="-5"/>
                <w:sz w:val="24"/>
              </w:rPr>
              <w:t xml:space="preserve"> </w:t>
            </w:r>
            <w:r>
              <w:rPr>
                <w:i/>
                <w:sz w:val="24"/>
              </w:rPr>
              <w:t>the</w:t>
            </w:r>
            <w:r>
              <w:rPr>
                <w:i/>
                <w:spacing w:val="-4"/>
                <w:sz w:val="24"/>
              </w:rPr>
              <w:t xml:space="preserve"> </w:t>
            </w:r>
            <w:r>
              <w:rPr>
                <w:i/>
                <w:sz w:val="24"/>
              </w:rPr>
              <w:t>DSU</w:t>
            </w:r>
            <w:r>
              <w:rPr>
                <w:i/>
                <w:spacing w:val="-5"/>
                <w:sz w:val="24"/>
              </w:rPr>
              <w:t xml:space="preserve"> </w:t>
            </w:r>
            <w:r>
              <w:rPr>
                <w:i/>
                <w:sz w:val="24"/>
              </w:rPr>
              <w:t>by</w:t>
            </w:r>
            <w:r>
              <w:rPr>
                <w:i/>
                <w:spacing w:val="-5"/>
                <w:sz w:val="24"/>
              </w:rPr>
              <w:t xml:space="preserve"> </w:t>
            </w:r>
            <w:r>
              <w:rPr>
                <w:i/>
                <w:sz w:val="24"/>
              </w:rPr>
              <w:t>Canada</w:t>
            </w:r>
            <w:r>
              <w:rPr>
                <w:sz w:val="24"/>
              </w:rPr>
              <w:t>,</w:t>
            </w:r>
            <w:r>
              <w:rPr>
                <w:spacing w:val="-6"/>
                <w:sz w:val="24"/>
              </w:rPr>
              <w:t xml:space="preserve"> </w:t>
            </w:r>
            <w:r>
              <w:rPr>
                <w:sz w:val="24"/>
              </w:rPr>
              <w:t>WT/DS264/AB/RW,</w:t>
            </w:r>
            <w:r>
              <w:rPr>
                <w:spacing w:val="-6"/>
                <w:sz w:val="24"/>
              </w:rPr>
              <w:t xml:space="preserve"> </w:t>
            </w:r>
            <w:r>
              <w:rPr>
                <w:sz w:val="24"/>
              </w:rPr>
              <w:t>adopted</w:t>
            </w:r>
            <w:r>
              <w:rPr>
                <w:spacing w:val="-5"/>
                <w:sz w:val="24"/>
              </w:rPr>
              <w:t xml:space="preserve"> </w:t>
            </w:r>
            <w:r>
              <w:rPr>
                <w:sz w:val="24"/>
              </w:rPr>
              <w:t>1 September 2006, DSR 2006:XII, p. 5087</w:t>
            </w:r>
          </w:p>
        </w:tc>
      </w:tr>
      <w:tr w:rsidR="0010369C" w14:paraId="51DE77AB" w14:textId="77777777">
        <w:trPr>
          <w:trHeight w:val="877"/>
        </w:trPr>
        <w:tc>
          <w:tcPr>
            <w:tcW w:w="2255" w:type="dxa"/>
          </w:tcPr>
          <w:p w14:paraId="51DE77A8" w14:textId="77777777" w:rsidR="0010369C" w:rsidRDefault="008E43AE">
            <w:pPr>
              <w:pStyle w:val="TableParagraph"/>
              <w:ind w:left="107" w:right="519"/>
              <w:rPr>
                <w:i/>
                <w:sz w:val="24"/>
              </w:rPr>
            </w:pPr>
            <w:r>
              <w:rPr>
                <w:i/>
                <w:sz w:val="24"/>
              </w:rPr>
              <w:t>US</w:t>
            </w:r>
            <w:r>
              <w:rPr>
                <w:i/>
                <w:spacing w:val="-14"/>
                <w:sz w:val="24"/>
              </w:rPr>
              <w:t xml:space="preserve"> </w:t>
            </w:r>
            <w:r>
              <w:rPr>
                <w:i/>
                <w:sz w:val="24"/>
              </w:rPr>
              <w:t>–</w:t>
            </w:r>
            <w:r>
              <w:rPr>
                <w:i/>
                <w:spacing w:val="-14"/>
                <w:sz w:val="24"/>
              </w:rPr>
              <w:t xml:space="preserve"> </w:t>
            </w:r>
            <w:r>
              <w:rPr>
                <w:i/>
                <w:sz w:val="24"/>
              </w:rPr>
              <w:t>Softwood Lumber VI</w:t>
            </w:r>
          </w:p>
        </w:tc>
        <w:tc>
          <w:tcPr>
            <w:tcW w:w="6761" w:type="dxa"/>
          </w:tcPr>
          <w:p w14:paraId="51DE77A9" w14:textId="77777777" w:rsidR="0010369C" w:rsidRDefault="008E43AE">
            <w:pPr>
              <w:pStyle w:val="TableParagraph"/>
              <w:ind w:left="106" w:right="167"/>
              <w:rPr>
                <w:sz w:val="24"/>
              </w:rPr>
            </w:pPr>
            <w:r>
              <w:rPr>
                <w:sz w:val="24"/>
              </w:rPr>
              <w:t>Panel</w:t>
            </w:r>
            <w:r>
              <w:rPr>
                <w:spacing w:val="-6"/>
                <w:sz w:val="24"/>
              </w:rPr>
              <w:t xml:space="preserve"> </w:t>
            </w:r>
            <w:r>
              <w:rPr>
                <w:sz w:val="24"/>
              </w:rPr>
              <w:t>Report,</w:t>
            </w:r>
            <w:r>
              <w:rPr>
                <w:spacing w:val="-5"/>
                <w:sz w:val="24"/>
              </w:rPr>
              <w:t xml:space="preserve"> </w:t>
            </w:r>
            <w:r>
              <w:rPr>
                <w:i/>
                <w:sz w:val="24"/>
              </w:rPr>
              <w:t>United</w:t>
            </w:r>
            <w:r>
              <w:rPr>
                <w:i/>
                <w:spacing w:val="-6"/>
                <w:sz w:val="24"/>
              </w:rPr>
              <w:t xml:space="preserve"> </w:t>
            </w:r>
            <w:r>
              <w:rPr>
                <w:i/>
                <w:sz w:val="24"/>
              </w:rPr>
              <w:t>States</w:t>
            </w:r>
            <w:r>
              <w:rPr>
                <w:i/>
                <w:spacing w:val="-6"/>
                <w:sz w:val="24"/>
              </w:rPr>
              <w:t xml:space="preserve"> </w:t>
            </w:r>
            <w:r>
              <w:rPr>
                <w:i/>
                <w:sz w:val="24"/>
              </w:rPr>
              <w:t>–</w:t>
            </w:r>
            <w:r>
              <w:rPr>
                <w:i/>
                <w:spacing w:val="-5"/>
                <w:sz w:val="24"/>
              </w:rPr>
              <w:t xml:space="preserve"> </w:t>
            </w:r>
            <w:r>
              <w:rPr>
                <w:i/>
                <w:sz w:val="24"/>
              </w:rPr>
              <w:t>Investigation</w:t>
            </w:r>
            <w:r>
              <w:rPr>
                <w:i/>
                <w:spacing w:val="-5"/>
                <w:sz w:val="24"/>
              </w:rPr>
              <w:t xml:space="preserve"> </w:t>
            </w:r>
            <w:r>
              <w:rPr>
                <w:i/>
                <w:sz w:val="24"/>
              </w:rPr>
              <w:t>of</w:t>
            </w:r>
            <w:r>
              <w:rPr>
                <w:i/>
                <w:spacing w:val="-6"/>
                <w:sz w:val="24"/>
              </w:rPr>
              <w:t xml:space="preserve"> </w:t>
            </w:r>
            <w:r>
              <w:rPr>
                <w:i/>
                <w:sz w:val="24"/>
              </w:rPr>
              <w:t>the</w:t>
            </w:r>
            <w:r>
              <w:rPr>
                <w:i/>
                <w:spacing w:val="-5"/>
                <w:sz w:val="24"/>
              </w:rPr>
              <w:t xml:space="preserve"> </w:t>
            </w:r>
            <w:r>
              <w:rPr>
                <w:i/>
                <w:sz w:val="24"/>
              </w:rPr>
              <w:t>International Trade Commission in Softwood Lumber from Canada</w:t>
            </w:r>
            <w:r>
              <w:rPr>
                <w:sz w:val="24"/>
              </w:rPr>
              <w:t>,</w:t>
            </w:r>
          </w:p>
          <w:p w14:paraId="51DE77AA" w14:textId="77777777" w:rsidR="0010369C" w:rsidRDefault="008E43AE">
            <w:pPr>
              <w:pStyle w:val="TableParagraph"/>
              <w:spacing w:line="273" w:lineRule="exact"/>
              <w:ind w:left="106"/>
              <w:rPr>
                <w:sz w:val="24"/>
              </w:rPr>
            </w:pPr>
            <w:r>
              <w:rPr>
                <w:sz w:val="24"/>
              </w:rPr>
              <w:t>WT/DS277/R,</w:t>
            </w:r>
            <w:r>
              <w:rPr>
                <w:spacing w:val="-3"/>
                <w:sz w:val="24"/>
              </w:rPr>
              <w:t xml:space="preserve"> </w:t>
            </w:r>
            <w:r>
              <w:rPr>
                <w:sz w:val="24"/>
              </w:rPr>
              <w:t>adopted</w:t>
            </w:r>
            <w:r>
              <w:rPr>
                <w:spacing w:val="-2"/>
                <w:sz w:val="24"/>
              </w:rPr>
              <w:t xml:space="preserve"> </w:t>
            </w:r>
            <w:r>
              <w:rPr>
                <w:sz w:val="24"/>
              </w:rPr>
              <w:t>26</w:t>
            </w:r>
            <w:r>
              <w:rPr>
                <w:spacing w:val="-2"/>
                <w:sz w:val="24"/>
              </w:rPr>
              <w:t xml:space="preserve"> </w:t>
            </w:r>
            <w:r>
              <w:rPr>
                <w:sz w:val="24"/>
              </w:rPr>
              <w:t>April</w:t>
            </w:r>
            <w:r>
              <w:rPr>
                <w:spacing w:val="-1"/>
                <w:sz w:val="24"/>
              </w:rPr>
              <w:t xml:space="preserve"> </w:t>
            </w:r>
            <w:r>
              <w:rPr>
                <w:sz w:val="24"/>
              </w:rPr>
              <w:t>2004,</w:t>
            </w:r>
            <w:r>
              <w:rPr>
                <w:spacing w:val="-1"/>
                <w:sz w:val="24"/>
              </w:rPr>
              <w:t xml:space="preserve"> </w:t>
            </w:r>
            <w:r>
              <w:rPr>
                <w:sz w:val="24"/>
              </w:rPr>
              <w:t>DSR</w:t>
            </w:r>
            <w:r>
              <w:rPr>
                <w:spacing w:val="-1"/>
                <w:sz w:val="24"/>
              </w:rPr>
              <w:t xml:space="preserve"> </w:t>
            </w:r>
            <w:r>
              <w:rPr>
                <w:sz w:val="24"/>
              </w:rPr>
              <w:t>2004:VI,</w:t>
            </w:r>
            <w:r>
              <w:rPr>
                <w:spacing w:val="-1"/>
                <w:sz w:val="24"/>
              </w:rPr>
              <w:t xml:space="preserve"> </w:t>
            </w:r>
            <w:r>
              <w:rPr>
                <w:sz w:val="24"/>
              </w:rPr>
              <w:t xml:space="preserve">p. </w:t>
            </w:r>
            <w:r>
              <w:rPr>
                <w:spacing w:val="-4"/>
                <w:sz w:val="24"/>
              </w:rPr>
              <w:t>2485</w:t>
            </w:r>
          </w:p>
        </w:tc>
      </w:tr>
      <w:tr w:rsidR="0010369C" w14:paraId="51DE77B1" w14:textId="77777777">
        <w:trPr>
          <w:trHeight w:val="1465"/>
        </w:trPr>
        <w:tc>
          <w:tcPr>
            <w:tcW w:w="2255" w:type="dxa"/>
          </w:tcPr>
          <w:p w14:paraId="51DE77AC" w14:textId="77777777" w:rsidR="0010369C" w:rsidRDefault="008E43AE">
            <w:pPr>
              <w:pStyle w:val="TableParagraph"/>
              <w:ind w:left="107"/>
              <w:rPr>
                <w:i/>
                <w:sz w:val="24"/>
              </w:rPr>
            </w:pPr>
            <w:r>
              <w:rPr>
                <w:i/>
                <w:sz w:val="24"/>
              </w:rPr>
              <w:t>US – Softwood Lumber</w:t>
            </w:r>
            <w:r>
              <w:rPr>
                <w:i/>
                <w:spacing w:val="-14"/>
                <w:sz w:val="24"/>
              </w:rPr>
              <w:t xml:space="preserve"> </w:t>
            </w:r>
            <w:r>
              <w:rPr>
                <w:i/>
                <w:sz w:val="24"/>
              </w:rPr>
              <w:t>VI</w:t>
            </w:r>
            <w:r>
              <w:rPr>
                <w:i/>
                <w:spacing w:val="-14"/>
                <w:sz w:val="24"/>
              </w:rPr>
              <w:t xml:space="preserve"> </w:t>
            </w:r>
            <w:r>
              <w:rPr>
                <w:i/>
                <w:sz w:val="24"/>
              </w:rPr>
              <w:t>(Article</w:t>
            </w:r>
          </w:p>
          <w:p w14:paraId="51DE77AD" w14:textId="77777777" w:rsidR="0010369C" w:rsidRDefault="008E43AE">
            <w:pPr>
              <w:pStyle w:val="TableParagraph"/>
              <w:spacing w:line="293" w:lineRule="exact"/>
              <w:ind w:left="107"/>
              <w:rPr>
                <w:i/>
                <w:sz w:val="24"/>
              </w:rPr>
            </w:pPr>
            <w:r>
              <w:rPr>
                <w:i/>
                <w:sz w:val="24"/>
              </w:rPr>
              <w:t>21.5</w:t>
            </w:r>
            <w:r>
              <w:rPr>
                <w:i/>
                <w:spacing w:val="-3"/>
                <w:sz w:val="24"/>
              </w:rPr>
              <w:t xml:space="preserve"> </w:t>
            </w:r>
            <w:r>
              <w:rPr>
                <w:i/>
                <w:sz w:val="24"/>
              </w:rPr>
              <w:t>–</w:t>
            </w:r>
            <w:r>
              <w:rPr>
                <w:i/>
                <w:spacing w:val="-1"/>
                <w:sz w:val="24"/>
              </w:rPr>
              <w:t xml:space="preserve"> </w:t>
            </w:r>
            <w:r>
              <w:rPr>
                <w:i/>
                <w:spacing w:val="-2"/>
                <w:sz w:val="24"/>
              </w:rPr>
              <w:t>Canada)</w:t>
            </w:r>
          </w:p>
        </w:tc>
        <w:tc>
          <w:tcPr>
            <w:tcW w:w="6761" w:type="dxa"/>
          </w:tcPr>
          <w:p w14:paraId="51DE77AE" w14:textId="77777777" w:rsidR="0010369C" w:rsidRDefault="008E43AE">
            <w:pPr>
              <w:pStyle w:val="TableParagraph"/>
              <w:ind w:left="106"/>
              <w:rPr>
                <w:i/>
                <w:sz w:val="24"/>
              </w:rPr>
            </w:pPr>
            <w:r>
              <w:rPr>
                <w:sz w:val="24"/>
              </w:rPr>
              <w:t xml:space="preserve">Appellate Body Report, </w:t>
            </w:r>
            <w:r>
              <w:rPr>
                <w:i/>
                <w:sz w:val="24"/>
              </w:rPr>
              <w:t>United States – Investigation of the International</w:t>
            </w:r>
            <w:r>
              <w:rPr>
                <w:i/>
                <w:spacing w:val="-6"/>
                <w:sz w:val="24"/>
              </w:rPr>
              <w:t xml:space="preserve"> </w:t>
            </w:r>
            <w:r>
              <w:rPr>
                <w:i/>
                <w:sz w:val="24"/>
              </w:rPr>
              <w:t>Trade</w:t>
            </w:r>
            <w:r>
              <w:rPr>
                <w:i/>
                <w:spacing w:val="-5"/>
                <w:sz w:val="24"/>
              </w:rPr>
              <w:t xml:space="preserve"> </w:t>
            </w:r>
            <w:r>
              <w:rPr>
                <w:i/>
                <w:sz w:val="24"/>
              </w:rPr>
              <w:t>Commission</w:t>
            </w:r>
            <w:r>
              <w:rPr>
                <w:i/>
                <w:spacing w:val="-5"/>
                <w:sz w:val="24"/>
              </w:rPr>
              <w:t xml:space="preserve"> </w:t>
            </w:r>
            <w:r>
              <w:rPr>
                <w:i/>
                <w:sz w:val="24"/>
              </w:rPr>
              <w:t>in</w:t>
            </w:r>
            <w:r>
              <w:rPr>
                <w:i/>
                <w:spacing w:val="-5"/>
                <w:sz w:val="24"/>
              </w:rPr>
              <w:t xml:space="preserve"> </w:t>
            </w:r>
            <w:r>
              <w:rPr>
                <w:i/>
                <w:sz w:val="24"/>
              </w:rPr>
              <w:t>Softwood</w:t>
            </w:r>
            <w:r>
              <w:rPr>
                <w:i/>
                <w:spacing w:val="-6"/>
                <w:sz w:val="24"/>
              </w:rPr>
              <w:t xml:space="preserve"> </w:t>
            </w:r>
            <w:r>
              <w:rPr>
                <w:i/>
                <w:sz w:val="24"/>
              </w:rPr>
              <w:t>Lumber</w:t>
            </w:r>
            <w:r>
              <w:rPr>
                <w:i/>
                <w:spacing w:val="-5"/>
                <w:sz w:val="24"/>
              </w:rPr>
              <w:t xml:space="preserve"> </w:t>
            </w:r>
            <w:r>
              <w:rPr>
                <w:i/>
                <w:sz w:val="24"/>
              </w:rPr>
              <w:t>from</w:t>
            </w:r>
            <w:r>
              <w:rPr>
                <w:i/>
                <w:spacing w:val="-7"/>
                <w:sz w:val="24"/>
              </w:rPr>
              <w:t xml:space="preserve"> </w:t>
            </w:r>
            <w:r>
              <w:rPr>
                <w:i/>
                <w:sz w:val="24"/>
              </w:rPr>
              <w:t>Canada</w:t>
            </w:r>
          </w:p>
          <w:p w14:paraId="51DE77AF" w14:textId="77777777" w:rsidR="0010369C" w:rsidRDefault="008E43AE">
            <w:pPr>
              <w:pStyle w:val="TableParagraph"/>
              <w:spacing w:line="293" w:lineRule="exact"/>
              <w:ind w:left="106"/>
              <w:rPr>
                <w:sz w:val="24"/>
              </w:rPr>
            </w:pPr>
            <w:r>
              <w:rPr>
                <w:i/>
                <w:sz w:val="24"/>
              </w:rPr>
              <w:t>–</w:t>
            </w:r>
            <w:r>
              <w:rPr>
                <w:i/>
                <w:spacing w:val="-1"/>
                <w:sz w:val="24"/>
              </w:rPr>
              <w:t xml:space="preserve"> </w:t>
            </w:r>
            <w:r>
              <w:rPr>
                <w:i/>
                <w:sz w:val="24"/>
              </w:rPr>
              <w:t>Recourse</w:t>
            </w:r>
            <w:r>
              <w:rPr>
                <w:i/>
                <w:spacing w:val="-1"/>
                <w:sz w:val="24"/>
              </w:rPr>
              <w:t xml:space="preserve"> </w:t>
            </w:r>
            <w:r>
              <w:rPr>
                <w:i/>
                <w:sz w:val="24"/>
              </w:rPr>
              <w:t>to</w:t>
            </w:r>
            <w:r>
              <w:rPr>
                <w:i/>
                <w:spacing w:val="-1"/>
                <w:sz w:val="24"/>
              </w:rPr>
              <w:t xml:space="preserve"> </w:t>
            </w:r>
            <w:r>
              <w:rPr>
                <w:i/>
                <w:sz w:val="24"/>
              </w:rPr>
              <w:t>Article</w:t>
            </w:r>
            <w:r>
              <w:rPr>
                <w:i/>
                <w:spacing w:val="-2"/>
                <w:sz w:val="24"/>
              </w:rPr>
              <w:t xml:space="preserve"> </w:t>
            </w:r>
            <w:r>
              <w:rPr>
                <w:i/>
                <w:sz w:val="24"/>
              </w:rPr>
              <w:t>21.5</w:t>
            </w:r>
            <w:r>
              <w:rPr>
                <w:i/>
                <w:spacing w:val="-2"/>
                <w:sz w:val="24"/>
              </w:rPr>
              <w:t xml:space="preserve"> </w:t>
            </w:r>
            <w:r>
              <w:rPr>
                <w:i/>
                <w:sz w:val="24"/>
              </w:rPr>
              <w:t>of</w:t>
            </w:r>
            <w:r>
              <w:rPr>
                <w:i/>
                <w:spacing w:val="-2"/>
                <w:sz w:val="24"/>
              </w:rPr>
              <w:t xml:space="preserve"> </w:t>
            </w:r>
            <w:r>
              <w:rPr>
                <w:i/>
                <w:sz w:val="24"/>
              </w:rPr>
              <w:t>the</w:t>
            </w:r>
            <w:r>
              <w:rPr>
                <w:i/>
                <w:spacing w:val="-1"/>
                <w:sz w:val="24"/>
              </w:rPr>
              <w:t xml:space="preserve"> </w:t>
            </w:r>
            <w:r>
              <w:rPr>
                <w:i/>
                <w:sz w:val="24"/>
              </w:rPr>
              <w:t>DSU</w:t>
            </w:r>
            <w:r>
              <w:rPr>
                <w:i/>
                <w:spacing w:val="-1"/>
                <w:sz w:val="24"/>
              </w:rPr>
              <w:t xml:space="preserve"> </w:t>
            </w:r>
            <w:r>
              <w:rPr>
                <w:i/>
                <w:sz w:val="24"/>
              </w:rPr>
              <w:t>by</w:t>
            </w:r>
            <w:r>
              <w:rPr>
                <w:i/>
                <w:spacing w:val="-1"/>
                <w:sz w:val="24"/>
              </w:rPr>
              <w:t xml:space="preserve"> </w:t>
            </w:r>
            <w:r>
              <w:rPr>
                <w:i/>
                <w:spacing w:val="-2"/>
                <w:sz w:val="24"/>
              </w:rPr>
              <w:t>Canada</w:t>
            </w:r>
            <w:r>
              <w:rPr>
                <w:spacing w:val="-2"/>
                <w:sz w:val="24"/>
              </w:rPr>
              <w:t>,</w:t>
            </w:r>
          </w:p>
          <w:p w14:paraId="51DE77B0" w14:textId="77777777" w:rsidR="0010369C" w:rsidRDefault="008E43AE">
            <w:pPr>
              <w:pStyle w:val="TableParagraph"/>
              <w:spacing w:line="290" w:lineRule="atLeast"/>
              <w:ind w:left="106"/>
              <w:rPr>
                <w:sz w:val="24"/>
              </w:rPr>
            </w:pPr>
            <w:r>
              <w:rPr>
                <w:sz w:val="24"/>
              </w:rPr>
              <w:t>WT/DS277/AB/RW,</w:t>
            </w:r>
            <w:r>
              <w:rPr>
                <w:spacing w:val="-7"/>
                <w:sz w:val="24"/>
              </w:rPr>
              <w:t xml:space="preserve"> </w:t>
            </w:r>
            <w:r>
              <w:rPr>
                <w:sz w:val="24"/>
              </w:rPr>
              <w:t>adopted</w:t>
            </w:r>
            <w:r>
              <w:rPr>
                <w:spacing w:val="-6"/>
                <w:sz w:val="24"/>
              </w:rPr>
              <w:t xml:space="preserve"> </w:t>
            </w:r>
            <w:r>
              <w:rPr>
                <w:sz w:val="24"/>
              </w:rPr>
              <w:t>9</w:t>
            </w:r>
            <w:r>
              <w:rPr>
                <w:spacing w:val="-6"/>
                <w:sz w:val="24"/>
              </w:rPr>
              <w:t xml:space="preserve"> </w:t>
            </w:r>
            <w:r>
              <w:rPr>
                <w:sz w:val="24"/>
              </w:rPr>
              <w:t>May</w:t>
            </w:r>
            <w:r>
              <w:rPr>
                <w:spacing w:val="-5"/>
                <w:sz w:val="24"/>
              </w:rPr>
              <w:t xml:space="preserve"> </w:t>
            </w:r>
            <w:r>
              <w:rPr>
                <w:sz w:val="24"/>
              </w:rPr>
              <w:t>2006,</w:t>
            </w:r>
            <w:r>
              <w:rPr>
                <w:spacing w:val="-5"/>
                <w:sz w:val="24"/>
              </w:rPr>
              <w:t xml:space="preserve"> </w:t>
            </w:r>
            <w:r>
              <w:rPr>
                <w:sz w:val="24"/>
              </w:rPr>
              <w:t>and</w:t>
            </w:r>
            <w:r>
              <w:rPr>
                <w:spacing w:val="-6"/>
                <w:sz w:val="24"/>
              </w:rPr>
              <w:t xml:space="preserve"> </w:t>
            </w:r>
            <w:r>
              <w:rPr>
                <w:sz w:val="24"/>
              </w:rPr>
              <w:t>Corr.1,</w:t>
            </w:r>
            <w:r>
              <w:rPr>
                <w:spacing w:val="-5"/>
                <w:sz w:val="24"/>
              </w:rPr>
              <w:t xml:space="preserve"> </w:t>
            </w:r>
            <w:r>
              <w:rPr>
                <w:sz w:val="24"/>
              </w:rPr>
              <w:t>DSR</w:t>
            </w:r>
            <w:r>
              <w:rPr>
                <w:spacing w:val="-5"/>
                <w:sz w:val="24"/>
              </w:rPr>
              <w:t xml:space="preserve"> </w:t>
            </w:r>
            <w:r>
              <w:rPr>
                <w:sz w:val="24"/>
              </w:rPr>
              <w:t xml:space="preserve">2006:XI, </w:t>
            </w:r>
            <w:r>
              <w:rPr>
                <w:spacing w:val="-4"/>
                <w:sz w:val="24"/>
              </w:rPr>
              <w:t>4865</w:t>
            </w:r>
          </w:p>
        </w:tc>
      </w:tr>
      <w:tr w:rsidR="0010369C" w14:paraId="51DE77B5" w14:textId="77777777">
        <w:trPr>
          <w:trHeight w:val="878"/>
        </w:trPr>
        <w:tc>
          <w:tcPr>
            <w:tcW w:w="2255" w:type="dxa"/>
          </w:tcPr>
          <w:p w14:paraId="51DE77B2" w14:textId="77777777" w:rsidR="0010369C" w:rsidRDefault="008E43AE">
            <w:pPr>
              <w:pStyle w:val="TableParagraph"/>
              <w:spacing w:line="292" w:lineRule="exact"/>
              <w:ind w:left="107"/>
              <w:rPr>
                <w:i/>
                <w:sz w:val="24"/>
              </w:rPr>
            </w:pPr>
            <w:r>
              <w:rPr>
                <w:i/>
                <w:sz w:val="24"/>
              </w:rPr>
              <w:t>US</w:t>
            </w:r>
            <w:r>
              <w:rPr>
                <w:i/>
                <w:spacing w:val="-2"/>
                <w:sz w:val="24"/>
              </w:rPr>
              <w:t xml:space="preserve"> </w:t>
            </w:r>
            <w:r>
              <w:rPr>
                <w:i/>
                <w:sz w:val="24"/>
              </w:rPr>
              <w:t xml:space="preserve">– Stainless </w:t>
            </w:r>
            <w:r>
              <w:rPr>
                <w:i/>
                <w:spacing w:val="-2"/>
                <w:sz w:val="24"/>
              </w:rPr>
              <w:t>Steel</w:t>
            </w:r>
          </w:p>
        </w:tc>
        <w:tc>
          <w:tcPr>
            <w:tcW w:w="6761" w:type="dxa"/>
          </w:tcPr>
          <w:p w14:paraId="51DE77B3" w14:textId="77777777" w:rsidR="0010369C" w:rsidRDefault="008E43AE">
            <w:pPr>
              <w:pStyle w:val="TableParagraph"/>
              <w:spacing w:line="292" w:lineRule="exact"/>
              <w:ind w:left="106"/>
              <w:rPr>
                <w:i/>
                <w:sz w:val="24"/>
              </w:rPr>
            </w:pPr>
            <w:r>
              <w:rPr>
                <w:sz w:val="24"/>
              </w:rPr>
              <w:t>Panel</w:t>
            </w:r>
            <w:r>
              <w:rPr>
                <w:spacing w:val="-3"/>
                <w:sz w:val="24"/>
              </w:rPr>
              <w:t xml:space="preserve"> </w:t>
            </w:r>
            <w:r>
              <w:rPr>
                <w:sz w:val="24"/>
              </w:rPr>
              <w:t>Report,</w:t>
            </w:r>
            <w:r>
              <w:rPr>
                <w:spacing w:val="-2"/>
                <w:sz w:val="24"/>
              </w:rPr>
              <w:t xml:space="preserve"> </w:t>
            </w:r>
            <w:r>
              <w:rPr>
                <w:i/>
                <w:sz w:val="24"/>
              </w:rPr>
              <w:t>United</w:t>
            </w:r>
            <w:r>
              <w:rPr>
                <w:i/>
                <w:spacing w:val="-3"/>
                <w:sz w:val="24"/>
              </w:rPr>
              <w:t xml:space="preserve"> </w:t>
            </w:r>
            <w:r>
              <w:rPr>
                <w:i/>
                <w:sz w:val="24"/>
              </w:rPr>
              <w:t>States</w:t>
            </w:r>
            <w:r>
              <w:rPr>
                <w:i/>
                <w:spacing w:val="-2"/>
                <w:sz w:val="24"/>
              </w:rPr>
              <w:t xml:space="preserve"> </w:t>
            </w:r>
            <w:r>
              <w:rPr>
                <w:i/>
                <w:sz w:val="24"/>
              </w:rPr>
              <w:t>–</w:t>
            </w:r>
            <w:r>
              <w:rPr>
                <w:i/>
                <w:spacing w:val="-2"/>
                <w:sz w:val="24"/>
              </w:rPr>
              <w:t xml:space="preserve"> </w:t>
            </w:r>
            <w:r>
              <w:rPr>
                <w:i/>
                <w:sz w:val="24"/>
              </w:rPr>
              <w:t>Anti‐Dumping</w:t>
            </w:r>
            <w:r>
              <w:rPr>
                <w:i/>
                <w:spacing w:val="-2"/>
                <w:sz w:val="24"/>
              </w:rPr>
              <w:t xml:space="preserve"> </w:t>
            </w:r>
            <w:r>
              <w:rPr>
                <w:i/>
                <w:sz w:val="24"/>
              </w:rPr>
              <w:t>Measures</w:t>
            </w:r>
            <w:r>
              <w:rPr>
                <w:i/>
                <w:spacing w:val="-2"/>
                <w:sz w:val="24"/>
              </w:rPr>
              <w:t xml:space="preserve"> </w:t>
            </w:r>
            <w:r>
              <w:rPr>
                <w:i/>
                <w:sz w:val="24"/>
              </w:rPr>
              <w:t>on</w:t>
            </w:r>
            <w:r>
              <w:rPr>
                <w:i/>
                <w:spacing w:val="-1"/>
                <w:sz w:val="24"/>
              </w:rPr>
              <w:t xml:space="preserve"> </w:t>
            </w:r>
            <w:r>
              <w:rPr>
                <w:i/>
                <w:spacing w:val="-2"/>
                <w:sz w:val="24"/>
              </w:rPr>
              <w:t>Stainless</w:t>
            </w:r>
          </w:p>
          <w:p w14:paraId="51DE77B4" w14:textId="77777777" w:rsidR="0010369C" w:rsidRDefault="008E43AE">
            <w:pPr>
              <w:pStyle w:val="TableParagraph"/>
              <w:spacing w:line="290" w:lineRule="atLeast"/>
              <w:ind w:left="106"/>
              <w:rPr>
                <w:sz w:val="24"/>
              </w:rPr>
            </w:pPr>
            <w:r>
              <w:rPr>
                <w:i/>
                <w:sz w:val="24"/>
              </w:rPr>
              <w:t>Steel</w:t>
            </w:r>
            <w:r>
              <w:rPr>
                <w:i/>
                <w:spacing w:val="-5"/>
                <w:sz w:val="24"/>
              </w:rPr>
              <w:t xml:space="preserve"> </w:t>
            </w:r>
            <w:r>
              <w:rPr>
                <w:i/>
                <w:sz w:val="24"/>
              </w:rPr>
              <w:t>Plate</w:t>
            </w:r>
            <w:r>
              <w:rPr>
                <w:i/>
                <w:spacing w:val="-4"/>
                <w:sz w:val="24"/>
              </w:rPr>
              <w:t xml:space="preserve"> </w:t>
            </w:r>
            <w:r>
              <w:rPr>
                <w:i/>
                <w:sz w:val="24"/>
              </w:rPr>
              <w:t>in</w:t>
            </w:r>
            <w:r>
              <w:rPr>
                <w:i/>
                <w:spacing w:val="-4"/>
                <w:sz w:val="24"/>
              </w:rPr>
              <w:t xml:space="preserve"> </w:t>
            </w:r>
            <w:r>
              <w:rPr>
                <w:i/>
                <w:sz w:val="24"/>
              </w:rPr>
              <w:t>Coils</w:t>
            </w:r>
            <w:r>
              <w:rPr>
                <w:i/>
                <w:spacing w:val="-4"/>
                <w:sz w:val="24"/>
              </w:rPr>
              <w:t xml:space="preserve"> </w:t>
            </w:r>
            <w:r>
              <w:rPr>
                <w:i/>
                <w:sz w:val="24"/>
              </w:rPr>
              <w:t>and</w:t>
            </w:r>
            <w:r>
              <w:rPr>
                <w:i/>
                <w:spacing w:val="-4"/>
                <w:sz w:val="24"/>
              </w:rPr>
              <w:t xml:space="preserve"> </w:t>
            </w:r>
            <w:r>
              <w:rPr>
                <w:i/>
                <w:sz w:val="24"/>
              </w:rPr>
              <w:t>Stainless</w:t>
            </w:r>
            <w:r>
              <w:rPr>
                <w:i/>
                <w:spacing w:val="-4"/>
                <w:sz w:val="24"/>
              </w:rPr>
              <w:t xml:space="preserve"> </w:t>
            </w:r>
            <w:r>
              <w:rPr>
                <w:i/>
                <w:sz w:val="24"/>
              </w:rPr>
              <w:t>Steel</w:t>
            </w:r>
            <w:r>
              <w:rPr>
                <w:i/>
                <w:spacing w:val="-4"/>
                <w:sz w:val="24"/>
              </w:rPr>
              <w:t xml:space="preserve"> </w:t>
            </w:r>
            <w:r>
              <w:rPr>
                <w:i/>
                <w:sz w:val="24"/>
              </w:rPr>
              <w:t>Sheet</w:t>
            </w:r>
            <w:r>
              <w:rPr>
                <w:i/>
                <w:spacing w:val="-5"/>
                <w:sz w:val="24"/>
              </w:rPr>
              <w:t xml:space="preserve"> </w:t>
            </w:r>
            <w:r>
              <w:rPr>
                <w:i/>
                <w:sz w:val="24"/>
              </w:rPr>
              <w:t>and</w:t>
            </w:r>
            <w:r>
              <w:rPr>
                <w:i/>
                <w:spacing w:val="-5"/>
                <w:sz w:val="24"/>
              </w:rPr>
              <w:t xml:space="preserve"> </w:t>
            </w:r>
            <w:r>
              <w:rPr>
                <w:i/>
                <w:sz w:val="24"/>
              </w:rPr>
              <w:t>Strip</w:t>
            </w:r>
            <w:r>
              <w:rPr>
                <w:i/>
                <w:spacing w:val="-4"/>
                <w:sz w:val="24"/>
              </w:rPr>
              <w:t xml:space="preserve"> </w:t>
            </w:r>
            <w:r>
              <w:rPr>
                <w:i/>
                <w:sz w:val="24"/>
              </w:rPr>
              <w:t>from</w:t>
            </w:r>
            <w:r>
              <w:rPr>
                <w:i/>
                <w:spacing w:val="-5"/>
                <w:sz w:val="24"/>
              </w:rPr>
              <w:t xml:space="preserve"> </w:t>
            </w:r>
            <w:r>
              <w:rPr>
                <w:i/>
                <w:sz w:val="24"/>
              </w:rPr>
              <w:t>Korea</w:t>
            </w:r>
            <w:r>
              <w:rPr>
                <w:sz w:val="24"/>
              </w:rPr>
              <w:t>, WT/DS179/R, adopted 1 February 2001, DSR 2001:IV, p. 1295</w:t>
            </w:r>
          </w:p>
        </w:tc>
      </w:tr>
    </w:tbl>
    <w:p w14:paraId="51DE77B6" w14:textId="77777777" w:rsidR="0010369C" w:rsidRDefault="0010369C">
      <w:pPr>
        <w:spacing w:line="290" w:lineRule="atLeast"/>
        <w:rPr>
          <w:sz w:val="24"/>
        </w:rPr>
        <w:sectPr w:rsidR="0010369C">
          <w:pgSz w:w="11910" w:h="16840"/>
          <w:pgMar w:top="880" w:right="1220" w:bottom="980" w:left="1180" w:header="569" w:footer="788" w:gutter="0"/>
          <w:cols w:space="720"/>
        </w:sectPr>
      </w:pPr>
    </w:p>
    <w:p w14:paraId="51DE77B7" w14:textId="77777777" w:rsidR="0010369C" w:rsidRDefault="008E43AE">
      <w:pPr>
        <w:tabs>
          <w:tab w:val="left" w:pos="6425"/>
        </w:tabs>
        <w:ind w:left="238"/>
        <w:rPr>
          <w:sz w:val="20"/>
        </w:rPr>
      </w:pPr>
      <w:r>
        <w:rPr>
          <w:i/>
          <w:sz w:val="20"/>
        </w:rPr>
        <w:lastRenderedPageBreak/>
        <w:t>China</w:t>
      </w:r>
      <w:r>
        <w:rPr>
          <w:i/>
          <w:spacing w:val="-5"/>
          <w:sz w:val="20"/>
        </w:rPr>
        <w:t xml:space="preserve"> </w:t>
      </w:r>
      <w:r>
        <w:rPr>
          <w:i/>
          <w:sz w:val="20"/>
        </w:rPr>
        <w:t>–</w:t>
      </w:r>
      <w:r>
        <w:rPr>
          <w:i/>
          <w:spacing w:val="-5"/>
          <w:sz w:val="20"/>
        </w:rPr>
        <w:t xml:space="preserve"> </w:t>
      </w:r>
      <w:r>
        <w:rPr>
          <w:i/>
          <w:sz w:val="20"/>
        </w:rPr>
        <w:t>Anti‐Dumping</w:t>
      </w:r>
      <w:r>
        <w:rPr>
          <w:i/>
          <w:spacing w:val="-4"/>
          <w:sz w:val="20"/>
        </w:rPr>
        <w:t xml:space="preserve"> </w:t>
      </w:r>
      <w:r>
        <w:rPr>
          <w:i/>
          <w:sz w:val="20"/>
        </w:rPr>
        <w:t>and</w:t>
      </w:r>
      <w:r>
        <w:rPr>
          <w:i/>
          <w:spacing w:val="-5"/>
          <w:sz w:val="20"/>
        </w:rPr>
        <w:t xml:space="preserve"> </w:t>
      </w:r>
      <w:r>
        <w:rPr>
          <w:i/>
          <w:sz w:val="20"/>
        </w:rPr>
        <w:t>Countervailing</w:t>
      </w:r>
      <w:r>
        <w:rPr>
          <w:i/>
          <w:spacing w:val="-5"/>
          <w:sz w:val="20"/>
        </w:rPr>
        <w:t xml:space="preserve"> </w:t>
      </w:r>
      <w:r>
        <w:rPr>
          <w:i/>
          <w:sz w:val="20"/>
        </w:rPr>
        <w:t>Duty</w:t>
      </w:r>
      <w:r>
        <w:rPr>
          <w:i/>
          <w:spacing w:val="-4"/>
          <w:sz w:val="20"/>
        </w:rPr>
        <w:t xml:space="preserve"> </w:t>
      </w:r>
      <w:r>
        <w:rPr>
          <w:i/>
          <w:spacing w:val="-2"/>
          <w:sz w:val="20"/>
        </w:rPr>
        <w:t>Measures</w:t>
      </w:r>
      <w:r>
        <w:rPr>
          <w:i/>
          <w:sz w:val="20"/>
        </w:rPr>
        <w:tab/>
      </w:r>
      <w:r>
        <w:rPr>
          <w:sz w:val="20"/>
        </w:rPr>
        <w:t>Australia's</w:t>
      </w:r>
      <w:r>
        <w:rPr>
          <w:spacing w:val="-6"/>
          <w:sz w:val="20"/>
        </w:rPr>
        <w:t xml:space="preserve"> </w:t>
      </w:r>
      <w:r>
        <w:rPr>
          <w:sz w:val="20"/>
        </w:rPr>
        <w:t>First</w:t>
      </w:r>
      <w:r>
        <w:rPr>
          <w:spacing w:val="-2"/>
          <w:sz w:val="20"/>
        </w:rPr>
        <w:t xml:space="preserve"> </w:t>
      </w:r>
      <w:r>
        <w:rPr>
          <w:sz w:val="20"/>
        </w:rPr>
        <w:t>Written</w:t>
      </w:r>
      <w:r>
        <w:rPr>
          <w:spacing w:val="-2"/>
          <w:sz w:val="20"/>
        </w:rPr>
        <w:t xml:space="preserve"> Submission</w:t>
      </w:r>
    </w:p>
    <w:p w14:paraId="51DE77B8" w14:textId="77777777" w:rsidR="0010369C" w:rsidRDefault="008E43AE">
      <w:pPr>
        <w:tabs>
          <w:tab w:val="left" w:pos="8227"/>
        </w:tabs>
        <w:spacing w:before="1" w:after="35"/>
        <w:ind w:left="239"/>
        <w:rPr>
          <w:sz w:val="20"/>
        </w:rPr>
      </w:pPr>
      <w:r>
        <w:rPr>
          <w:i/>
          <w:sz w:val="20"/>
        </w:rPr>
        <w:t>on</w:t>
      </w:r>
      <w:r>
        <w:rPr>
          <w:i/>
          <w:spacing w:val="-1"/>
          <w:sz w:val="20"/>
        </w:rPr>
        <w:t xml:space="preserve"> </w:t>
      </w:r>
      <w:r>
        <w:rPr>
          <w:i/>
          <w:sz w:val="20"/>
        </w:rPr>
        <w:t>Wine</w:t>
      </w:r>
      <w:r>
        <w:rPr>
          <w:i/>
          <w:spacing w:val="-1"/>
          <w:sz w:val="20"/>
        </w:rPr>
        <w:t xml:space="preserve"> </w:t>
      </w:r>
      <w:r>
        <w:rPr>
          <w:i/>
          <w:sz w:val="20"/>
        </w:rPr>
        <w:t>from</w:t>
      </w:r>
      <w:r>
        <w:rPr>
          <w:i/>
          <w:spacing w:val="-3"/>
          <w:sz w:val="20"/>
        </w:rPr>
        <w:t xml:space="preserve"> </w:t>
      </w:r>
      <w:r>
        <w:rPr>
          <w:i/>
          <w:sz w:val="20"/>
        </w:rPr>
        <w:t>Australia</w:t>
      </w:r>
      <w:r>
        <w:rPr>
          <w:i/>
          <w:spacing w:val="-1"/>
          <w:sz w:val="20"/>
        </w:rPr>
        <w:t xml:space="preserve"> </w:t>
      </w:r>
      <w:r>
        <w:rPr>
          <w:spacing w:val="-2"/>
          <w:sz w:val="20"/>
        </w:rPr>
        <w:t>(DS602)</w:t>
      </w:r>
      <w:r>
        <w:rPr>
          <w:sz w:val="20"/>
        </w:rPr>
        <w:tab/>
        <w:t>29</w:t>
      </w:r>
      <w:r>
        <w:rPr>
          <w:spacing w:val="-1"/>
          <w:sz w:val="20"/>
        </w:rPr>
        <w:t xml:space="preserve"> </w:t>
      </w:r>
      <w:r>
        <w:rPr>
          <w:sz w:val="20"/>
        </w:rPr>
        <w:t>April</w:t>
      </w:r>
      <w:r>
        <w:rPr>
          <w:spacing w:val="-2"/>
          <w:sz w:val="20"/>
        </w:rPr>
        <w:t xml:space="preserve"> </w:t>
      </w:r>
      <w:r>
        <w:rPr>
          <w:spacing w:val="-4"/>
          <w:sz w:val="20"/>
        </w:rPr>
        <w:t>2022</w:t>
      </w:r>
    </w:p>
    <w:tbl>
      <w:tblPr>
        <w:tblW w:w="0" w:type="auto"/>
        <w:tblInd w:w="25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255"/>
        <w:gridCol w:w="6761"/>
      </w:tblGrid>
      <w:tr w:rsidR="0010369C" w14:paraId="51DE77BC" w14:textId="77777777">
        <w:trPr>
          <w:trHeight w:val="878"/>
        </w:trPr>
        <w:tc>
          <w:tcPr>
            <w:tcW w:w="2255" w:type="dxa"/>
          </w:tcPr>
          <w:p w14:paraId="51DE77B9" w14:textId="77777777" w:rsidR="0010369C" w:rsidRDefault="008E43AE">
            <w:pPr>
              <w:pStyle w:val="TableParagraph"/>
              <w:ind w:left="107" w:right="255"/>
              <w:rPr>
                <w:sz w:val="24"/>
              </w:rPr>
            </w:pPr>
            <w:r>
              <w:rPr>
                <w:i/>
                <w:sz w:val="24"/>
              </w:rPr>
              <w:t>US</w:t>
            </w:r>
            <w:r>
              <w:rPr>
                <w:i/>
                <w:spacing w:val="-13"/>
                <w:sz w:val="24"/>
              </w:rPr>
              <w:t xml:space="preserve"> </w:t>
            </w:r>
            <w:r>
              <w:rPr>
                <w:i/>
                <w:sz w:val="24"/>
              </w:rPr>
              <w:t>–</w:t>
            </w:r>
            <w:r>
              <w:rPr>
                <w:i/>
                <w:spacing w:val="-12"/>
                <w:sz w:val="24"/>
              </w:rPr>
              <w:t xml:space="preserve"> </w:t>
            </w:r>
            <w:r>
              <w:rPr>
                <w:i/>
                <w:sz w:val="24"/>
              </w:rPr>
              <w:t>Stainless</w:t>
            </w:r>
            <w:r>
              <w:rPr>
                <w:i/>
                <w:spacing w:val="-12"/>
                <w:sz w:val="24"/>
              </w:rPr>
              <w:t xml:space="preserve"> </w:t>
            </w:r>
            <w:r>
              <w:rPr>
                <w:i/>
                <w:sz w:val="24"/>
              </w:rPr>
              <w:t>Steel (Korea)</w:t>
            </w:r>
            <w:r>
              <w:rPr>
                <w:sz w:val="24"/>
              </w:rPr>
              <w:t>,</w:t>
            </w:r>
            <w:r>
              <w:rPr>
                <w:spacing w:val="-4"/>
                <w:sz w:val="24"/>
              </w:rPr>
              <w:t xml:space="preserve"> </w:t>
            </w:r>
            <w:r>
              <w:rPr>
                <w:sz w:val="24"/>
              </w:rPr>
              <w:t>para.</w:t>
            </w:r>
            <w:r>
              <w:rPr>
                <w:spacing w:val="-2"/>
                <w:sz w:val="24"/>
              </w:rPr>
              <w:t xml:space="preserve"> 6.77.</w:t>
            </w:r>
          </w:p>
        </w:tc>
        <w:tc>
          <w:tcPr>
            <w:tcW w:w="6761" w:type="dxa"/>
          </w:tcPr>
          <w:p w14:paraId="51DE77BA" w14:textId="77777777" w:rsidR="0010369C" w:rsidRDefault="008E43AE">
            <w:pPr>
              <w:pStyle w:val="TableParagraph"/>
              <w:ind w:left="106"/>
              <w:rPr>
                <w:sz w:val="24"/>
              </w:rPr>
            </w:pPr>
            <w:r>
              <w:rPr>
                <w:sz w:val="24"/>
              </w:rPr>
              <w:t>Panel</w:t>
            </w:r>
            <w:r>
              <w:rPr>
                <w:spacing w:val="-6"/>
                <w:sz w:val="24"/>
              </w:rPr>
              <w:t xml:space="preserve"> </w:t>
            </w:r>
            <w:r>
              <w:rPr>
                <w:sz w:val="24"/>
              </w:rPr>
              <w:t>Report,</w:t>
            </w:r>
            <w:r>
              <w:rPr>
                <w:spacing w:val="-5"/>
                <w:sz w:val="24"/>
              </w:rPr>
              <w:t xml:space="preserve"> </w:t>
            </w:r>
            <w:r>
              <w:rPr>
                <w:i/>
                <w:sz w:val="24"/>
              </w:rPr>
              <w:t>United</w:t>
            </w:r>
            <w:r>
              <w:rPr>
                <w:i/>
                <w:spacing w:val="-6"/>
                <w:sz w:val="24"/>
              </w:rPr>
              <w:t xml:space="preserve"> </w:t>
            </w:r>
            <w:r>
              <w:rPr>
                <w:i/>
                <w:sz w:val="24"/>
              </w:rPr>
              <w:t>States</w:t>
            </w:r>
            <w:r>
              <w:rPr>
                <w:i/>
                <w:spacing w:val="-6"/>
                <w:sz w:val="24"/>
              </w:rPr>
              <w:t xml:space="preserve"> </w:t>
            </w:r>
            <w:r>
              <w:rPr>
                <w:i/>
                <w:sz w:val="24"/>
              </w:rPr>
              <w:t>–</w:t>
            </w:r>
            <w:r>
              <w:rPr>
                <w:i/>
                <w:spacing w:val="-5"/>
                <w:sz w:val="24"/>
              </w:rPr>
              <w:t xml:space="preserve"> </w:t>
            </w:r>
            <w:r>
              <w:rPr>
                <w:i/>
                <w:sz w:val="24"/>
              </w:rPr>
              <w:t>Anti‐Dumping</w:t>
            </w:r>
            <w:r>
              <w:rPr>
                <w:i/>
                <w:spacing w:val="-5"/>
                <w:sz w:val="24"/>
              </w:rPr>
              <w:t xml:space="preserve"> </w:t>
            </w:r>
            <w:r>
              <w:rPr>
                <w:i/>
                <w:sz w:val="24"/>
              </w:rPr>
              <w:t>Measures</w:t>
            </w:r>
            <w:r>
              <w:rPr>
                <w:i/>
                <w:spacing w:val="-5"/>
                <w:sz w:val="24"/>
              </w:rPr>
              <w:t xml:space="preserve"> </w:t>
            </w:r>
            <w:r>
              <w:rPr>
                <w:i/>
                <w:sz w:val="24"/>
              </w:rPr>
              <w:t>on</w:t>
            </w:r>
            <w:r>
              <w:rPr>
                <w:i/>
                <w:spacing w:val="-5"/>
                <w:sz w:val="24"/>
              </w:rPr>
              <w:t xml:space="preserve"> </w:t>
            </w:r>
            <w:r>
              <w:rPr>
                <w:i/>
                <w:sz w:val="24"/>
              </w:rPr>
              <w:t>Stainless</w:t>
            </w:r>
            <w:r>
              <w:rPr>
                <w:i/>
                <w:sz w:val="24"/>
              </w:rPr>
              <w:t xml:space="preserve"> Steel Plate in Coils and Stainless Steel Sheet and Strip from Korea</w:t>
            </w:r>
            <w:r>
              <w:rPr>
                <w:sz w:val="24"/>
              </w:rPr>
              <w:t>,</w:t>
            </w:r>
          </w:p>
          <w:p w14:paraId="51DE77BB" w14:textId="77777777" w:rsidR="0010369C" w:rsidRDefault="008E43AE">
            <w:pPr>
              <w:pStyle w:val="TableParagraph"/>
              <w:spacing w:line="273" w:lineRule="exact"/>
              <w:ind w:left="106"/>
              <w:rPr>
                <w:sz w:val="24"/>
              </w:rPr>
            </w:pPr>
            <w:r>
              <w:rPr>
                <w:sz w:val="24"/>
              </w:rPr>
              <w:t>WT/DS179/R,</w:t>
            </w:r>
            <w:r>
              <w:rPr>
                <w:spacing w:val="-3"/>
                <w:sz w:val="24"/>
              </w:rPr>
              <w:t xml:space="preserve"> </w:t>
            </w:r>
            <w:r>
              <w:rPr>
                <w:sz w:val="24"/>
              </w:rPr>
              <w:t>adopted</w:t>
            </w:r>
            <w:r>
              <w:rPr>
                <w:spacing w:val="-3"/>
                <w:sz w:val="24"/>
              </w:rPr>
              <w:t xml:space="preserve"> </w:t>
            </w:r>
            <w:r>
              <w:rPr>
                <w:sz w:val="24"/>
              </w:rPr>
              <w:t>1</w:t>
            </w:r>
            <w:r>
              <w:rPr>
                <w:spacing w:val="-1"/>
                <w:sz w:val="24"/>
              </w:rPr>
              <w:t xml:space="preserve"> </w:t>
            </w:r>
            <w:r>
              <w:rPr>
                <w:sz w:val="24"/>
              </w:rPr>
              <w:t>February 2001,</w:t>
            </w:r>
            <w:r>
              <w:rPr>
                <w:spacing w:val="-2"/>
                <w:sz w:val="24"/>
              </w:rPr>
              <w:t xml:space="preserve"> </w:t>
            </w:r>
            <w:r>
              <w:rPr>
                <w:sz w:val="24"/>
              </w:rPr>
              <w:t>DSR 2001:IV,</w:t>
            </w:r>
            <w:r>
              <w:rPr>
                <w:spacing w:val="-2"/>
                <w:sz w:val="24"/>
              </w:rPr>
              <w:t xml:space="preserve"> </w:t>
            </w:r>
            <w:r>
              <w:rPr>
                <w:sz w:val="24"/>
              </w:rPr>
              <w:t xml:space="preserve">p. </w:t>
            </w:r>
            <w:r>
              <w:rPr>
                <w:spacing w:val="-4"/>
                <w:sz w:val="24"/>
              </w:rPr>
              <w:t>1295</w:t>
            </w:r>
          </w:p>
        </w:tc>
      </w:tr>
      <w:tr w:rsidR="0010369C" w14:paraId="51DE77C0" w14:textId="77777777">
        <w:trPr>
          <w:trHeight w:val="878"/>
        </w:trPr>
        <w:tc>
          <w:tcPr>
            <w:tcW w:w="2255" w:type="dxa"/>
          </w:tcPr>
          <w:p w14:paraId="51DE77BD" w14:textId="77777777" w:rsidR="0010369C" w:rsidRDefault="008E43AE">
            <w:pPr>
              <w:pStyle w:val="TableParagraph"/>
              <w:spacing w:line="292" w:lineRule="exact"/>
              <w:ind w:left="107"/>
              <w:rPr>
                <w:i/>
                <w:sz w:val="24"/>
              </w:rPr>
            </w:pPr>
            <w:r>
              <w:rPr>
                <w:i/>
                <w:sz w:val="24"/>
              </w:rPr>
              <w:t>US</w:t>
            </w:r>
            <w:r>
              <w:rPr>
                <w:i/>
                <w:spacing w:val="-2"/>
                <w:sz w:val="24"/>
              </w:rPr>
              <w:t xml:space="preserve"> </w:t>
            </w:r>
            <w:r>
              <w:rPr>
                <w:i/>
                <w:sz w:val="24"/>
              </w:rPr>
              <w:t>– Steel</w:t>
            </w:r>
            <w:r>
              <w:rPr>
                <w:i/>
                <w:spacing w:val="-1"/>
                <w:sz w:val="24"/>
              </w:rPr>
              <w:t xml:space="preserve"> </w:t>
            </w:r>
            <w:r>
              <w:rPr>
                <w:i/>
                <w:spacing w:val="-2"/>
                <w:sz w:val="24"/>
              </w:rPr>
              <w:t>Plate</w:t>
            </w:r>
          </w:p>
        </w:tc>
        <w:tc>
          <w:tcPr>
            <w:tcW w:w="6761" w:type="dxa"/>
          </w:tcPr>
          <w:p w14:paraId="51DE77BE" w14:textId="77777777" w:rsidR="0010369C" w:rsidRDefault="008E43AE">
            <w:pPr>
              <w:pStyle w:val="TableParagraph"/>
              <w:spacing w:line="292" w:lineRule="exact"/>
              <w:ind w:left="106"/>
              <w:rPr>
                <w:i/>
                <w:sz w:val="24"/>
              </w:rPr>
            </w:pPr>
            <w:r>
              <w:rPr>
                <w:sz w:val="24"/>
              </w:rPr>
              <w:t>Panel</w:t>
            </w:r>
            <w:r>
              <w:rPr>
                <w:spacing w:val="-4"/>
                <w:sz w:val="24"/>
              </w:rPr>
              <w:t xml:space="preserve"> </w:t>
            </w:r>
            <w:r>
              <w:rPr>
                <w:sz w:val="24"/>
              </w:rPr>
              <w:t>Report,</w:t>
            </w:r>
            <w:r>
              <w:rPr>
                <w:spacing w:val="-1"/>
                <w:sz w:val="24"/>
              </w:rPr>
              <w:t xml:space="preserve"> </w:t>
            </w:r>
            <w:r>
              <w:rPr>
                <w:i/>
                <w:sz w:val="24"/>
              </w:rPr>
              <w:t>United</w:t>
            </w:r>
            <w:r>
              <w:rPr>
                <w:i/>
                <w:spacing w:val="-2"/>
                <w:sz w:val="24"/>
              </w:rPr>
              <w:t xml:space="preserve"> </w:t>
            </w:r>
            <w:r>
              <w:rPr>
                <w:i/>
                <w:sz w:val="24"/>
              </w:rPr>
              <w:t>States</w:t>
            </w:r>
            <w:r>
              <w:rPr>
                <w:i/>
                <w:spacing w:val="-2"/>
                <w:sz w:val="24"/>
              </w:rPr>
              <w:t xml:space="preserve"> </w:t>
            </w:r>
            <w:r>
              <w:rPr>
                <w:i/>
                <w:sz w:val="24"/>
              </w:rPr>
              <w:t>–</w:t>
            </w:r>
            <w:r>
              <w:rPr>
                <w:i/>
                <w:spacing w:val="-2"/>
                <w:sz w:val="24"/>
              </w:rPr>
              <w:t xml:space="preserve"> </w:t>
            </w:r>
            <w:r>
              <w:rPr>
                <w:i/>
                <w:sz w:val="24"/>
              </w:rPr>
              <w:t>Anti‐Dumping</w:t>
            </w:r>
            <w:r>
              <w:rPr>
                <w:i/>
                <w:spacing w:val="-1"/>
                <w:sz w:val="24"/>
              </w:rPr>
              <w:t xml:space="preserve"> </w:t>
            </w:r>
            <w:r>
              <w:rPr>
                <w:i/>
                <w:sz w:val="24"/>
              </w:rPr>
              <w:t>and</w:t>
            </w:r>
            <w:r>
              <w:rPr>
                <w:i/>
                <w:spacing w:val="-2"/>
                <w:sz w:val="24"/>
              </w:rPr>
              <w:t xml:space="preserve"> Countervailing</w:t>
            </w:r>
          </w:p>
          <w:p w14:paraId="51DE77BF" w14:textId="77777777" w:rsidR="0010369C" w:rsidRDefault="008E43AE">
            <w:pPr>
              <w:pStyle w:val="TableParagraph"/>
              <w:spacing w:line="290" w:lineRule="atLeast"/>
              <w:ind w:left="106"/>
              <w:rPr>
                <w:sz w:val="24"/>
              </w:rPr>
            </w:pPr>
            <w:r>
              <w:rPr>
                <w:i/>
                <w:sz w:val="24"/>
              </w:rPr>
              <w:t>Measures</w:t>
            </w:r>
            <w:r>
              <w:rPr>
                <w:i/>
                <w:spacing w:val="-5"/>
                <w:sz w:val="24"/>
              </w:rPr>
              <w:t xml:space="preserve"> </w:t>
            </w:r>
            <w:r>
              <w:rPr>
                <w:i/>
                <w:sz w:val="24"/>
              </w:rPr>
              <w:t>on</w:t>
            </w:r>
            <w:r>
              <w:rPr>
                <w:i/>
                <w:spacing w:val="-4"/>
                <w:sz w:val="24"/>
              </w:rPr>
              <w:t xml:space="preserve"> </w:t>
            </w:r>
            <w:r>
              <w:rPr>
                <w:i/>
                <w:sz w:val="24"/>
              </w:rPr>
              <w:t>Steel</w:t>
            </w:r>
            <w:r>
              <w:rPr>
                <w:i/>
                <w:spacing w:val="-5"/>
                <w:sz w:val="24"/>
              </w:rPr>
              <w:t xml:space="preserve"> </w:t>
            </w:r>
            <w:r>
              <w:rPr>
                <w:i/>
                <w:sz w:val="24"/>
              </w:rPr>
              <w:t>Plate</w:t>
            </w:r>
            <w:r>
              <w:rPr>
                <w:i/>
                <w:spacing w:val="-6"/>
                <w:sz w:val="24"/>
              </w:rPr>
              <w:t xml:space="preserve"> </w:t>
            </w:r>
            <w:r>
              <w:rPr>
                <w:i/>
                <w:sz w:val="24"/>
              </w:rPr>
              <w:t>from</w:t>
            </w:r>
            <w:r>
              <w:rPr>
                <w:i/>
                <w:spacing w:val="-5"/>
                <w:sz w:val="24"/>
              </w:rPr>
              <w:t xml:space="preserve"> </w:t>
            </w:r>
            <w:r>
              <w:rPr>
                <w:i/>
                <w:sz w:val="24"/>
              </w:rPr>
              <w:t>India</w:t>
            </w:r>
            <w:r>
              <w:rPr>
                <w:sz w:val="24"/>
              </w:rPr>
              <w:t>,</w:t>
            </w:r>
            <w:r>
              <w:rPr>
                <w:spacing w:val="-5"/>
                <w:sz w:val="24"/>
              </w:rPr>
              <w:t xml:space="preserve"> </w:t>
            </w:r>
            <w:r>
              <w:rPr>
                <w:sz w:val="24"/>
              </w:rPr>
              <w:t>WT/DS206/R</w:t>
            </w:r>
            <w:r>
              <w:rPr>
                <w:spacing w:val="-5"/>
                <w:sz w:val="24"/>
              </w:rPr>
              <w:t xml:space="preserve"> </w:t>
            </w:r>
            <w:r>
              <w:rPr>
                <w:sz w:val="24"/>
              </w:rPr>
              <w:t>and</w:t>
            </w:r>
            <w:r>
              <w:rPr>
                <w:spacing w:val="-5"/>
                <w:sz w:val="24"/>
              </w:rPr>
              <w:t xml:space="preserve"> </w:t>
            </w:r>
            <w:r>
              <w:rPr>
                <w:sz w:val="24"/>
              </w:rPr>
              <w:t>Corr.1, adopted 29 July 2002, DSR 2002:VI, p. 2073</w:t>
            </w:r>
          </w:p>
        </w:tc>
      </w:tr>
      <w:tr w:rsidR="0010369C" w14:paraId="51DE77C5" w14:textId="77777777">
        <w:trPr>
          <w:trHeight w:val="1757"/>
        </w:trPr>
        <w:tc>
          <w:tcPr>
            <w:tcW w:w="2255" w:type="dxa"/>
          </w:tcPr>
          <w:p w14:paraId="51DE77C1" w14:textId="77777777" w:rsidR="0010369C" w:rsidRDefault="008E43AE">
            <w:pPr>
              <w:pStyle w:val="TableParagraph"/>
              <w:ind w:left="107" w:right="519"/>
              <w:rPr>
                <w:i/>
                <w:sz w:val="24"/>
              </w:rPr>
            </w:pPr>
            <w:r>
              <w:rPr>
                <w:i/>
                <w:sz w:val="24"/>
              </w:rPr>
              <w:t xml:space="preserve">US – Steel </w:t>
            </w:r>
            <w:r>
              <w:rPr>
                <w:i/>
                <w:spacing w:val="-2"/>
                <w:sz w:val="24"/>
              </w:rPr>
              <w:t>Safeguards</w:t>
            </w:r>
          </w:p>
        </w:tc>
        <w:tc>
          <w:tcPr>
            <w:tcW w:w="6761" w:type="dxa"/>
          </w:tcPr>
          <w:p w14:paraId="51DE77C2" w14:textId="77777777" w:rsidR="0010369C" w:rsidRDefault="008E43AE">
            <w:pPr>
              <w:pStyle w:val="TableParagraph"/>
              <w:ind w:left="106"/>
              <w:rPr>
                <w:sz w:val="24"/>
              </w:rPr>
            </w:pPr>
            <w:r>
              <w:rPr>
                <w:sz w:val="24"/>
              </w:rPr>
              <w:t xml:space="preserve">Appellate Body Report, </w:t>
            </w:r>
            <w:r>
              <w:rPr>
                <w:i/>
                <w:sz w:val="24"/>
              </w:rPr>
              <w:t>United States – Definitive Safeguard Measures</w:t>
            </w:r>
            <w:r>
              <w:rPr>
                <w:i/>
                <w:spacing w:val="-6"/>
                <w:sz w:val="24"/>
              </w:rPr>
              <w:t xml:space="preserve"> </w:t>
            </w:r>
            <w:r>
              <w:rPr>
                <w:i/>
                <w:sz w:val="24"/>
              </w:rPr>
              <w:t>on</w:t>
            </w:r>
            <w:r>
              <w:rPr>
                <w:i/>
                <w:spacing w:val="-5"/>
                <w:sz w:val="24"/>
              </w:rPr>
              <w:t xml:space="preserve"> </w:t>
            </w:r>
            <w:r>
              <w:rPr>
                <w:i/>
                <w:sz w:val="24"/>
              </w:rPr>
              <w:t>Imports</w:t>
            </w:r>
            <w:r>
              <w:rPr>
                <w:i/>
                <w:spacing w:val="-6"/>
                <w:sz w:val="24"/>
              </w:rPr>
              <w:t xml:space="preserve"> </w:t>
            </w:r>
            <w:r>
              <w:rPr>
                <w:i/>
                <w:sz w:val="24"/>
              </w:rPr>
              <w:t>of</w:t>
            </w:r>
            <w:r>
              <w:rPr>
                <w:i/>
                <w:spacing w:val="-7"/>
                <w:sz w:val="24"/>
              </w:rPr>
              <w:t xml:space="preserve"> </w:t>
            </w:r>
            <w:r>
              <w:rPr>
                <w:i/>
                <w:sz w:val="24"/>
              </w:rPr>
              <w:t>Certain</w:t>
            </w:r>
            <w:r>
              <w:rPr>
                <w:i/>
                <w:spacing w:val="-4"/>
                <w:sz w:val="24"/>
              </w:rPr>
              <w:t xml:space="preserve"> </w:t>
            </w:r>
            <w:r>
              <w:rPr>
                <w:i/>
                <w:sz w:val="24"/>
              </w:rPr>
              <w:t>Steel</w:t>
            </w:r>
            <w:r>
              <w:rPr>
                <w:i/>
                <w:spacing w:val="-6"/>
                <w:sz w:val="24"/>
              </w:rPr>
              <w:t xml:space="preserve"> </w:t>
            </w:r>
            <w:r>
              <w:rPr>
                <w:i/>
                <w:sz w:val="24"/>
              </w:rPr>
              <w:t>Products</w:t>
            </w:r>
            <w:r>
              <w:rPr>
                <w:sz w:val="24"/>
              </w:rPr>
              <w:t>,</w:t>
            </w:r>
            <w:r>
              <w:rPr>
                <w:spacing w:val="-7"/>
                <w:sz w:val="24"/>
              </w:rPr>
              <w:t xml:space="preserve"> </w:t>
            </w:r>
            <w:r>
              <w:rPr>
                <w:sz w:val="24"/>
              </w:rPr>
              <w:t xml:space="preserve">WT/DS248/AB/R, WT/DS249/AB/R, WT/DS251/AB/R, WT/DS252/AB/R, </w:t>
            </w:r>
            <w:r>
              <w:rPr>
                <w:sz w:val="24"/>
              </w:rPr>
              <w:t>WT/DS253/AB/R, WT/DS254/AB/R, WT/DS258/AB/R,</w:t>
            </w:r>
          </w:p>
          <w:p w14:paraId="51DE77C3" w14:textId="77777777" w:rsidR="0010369C" w:rsidRDefault="008E43AE">
            <w:pPr>
              <w:pStyle w:val="TableParagraph"/>
              <w:spacing w:line="292" w:lineRule="exact"/>
              <w:ind w:left="106"/>
              <w:rPr>
                <w:sz w:val="24"/>
              </w:rPr>
            </w:pPr>
            <w:r>
              <w:rPr>
                <w:sz w:val="24"/>
              </w:rPr>
              <w:t>WT/DS259/AB/R,</w:t>
            </w:r>
            <w:r>
              <w:rPr>
                <w:spacing w:val="-4"/>
                <w:sz w:val="24"/>
              </w:rPr>
              <w:t xml:space="preserve"> </w:t>
            </w:r>
            <w:r>
              <w:rPr>
                <w:sz w:val="24"/>
              </w:rPr>
              <w:t>adopted</w:t>
            </w:r>
            <w:r>
              <w:rPr>
                <w:spacing w:val="-3"/>
                <w:sz w:val="24"/>
              </w:rPr>
              <w:t xml:space="preserve"> </w:t>
            </w:r>
            <w:r>
              <w:rPr>
                <w:sz w:val="24"/>
              </w:rPr>
              <w:t>10</w:t>
            </w:r>
            <w:r>
              <w:rPr>
                <w:spacing w:val="-3"/>
                <w:sz w:val="24"/>
              </w:rPr>
              <w:t xml:space="preserve"> </w:t>
            </w:r>
            <w:r>
              <w:rPr>
                <w:sz w:val="24"/>
              </w:rPr>
              <w:t>December</w:t>
            </w:r>
            <w:r>
              <w:rPr>
                <w:spacing w:val="-2"/>
                <w:sz w:val="24"/>
              </w:rPr>
              <w:t xml:space="preserve"> </w:t>
            </w:r>
            <w:r>
              <w:rPr>
                <w:sz w:val="24"/>
              </w:rPr>
              <w:t>2003,</w:t>
            </w:r>
            <w:r>
              <w:rPr>
                <w:spacing w:val="-2"/>
                <w:sz w:val="24"/>
              </w:rPr>
              <w:t xml:space="preserve"> </w:t>
            </w:r>
            <w:r>
              <w:rPr>
                <w:sz w:val="24"/>
              </w:rPr>
              <w:t>DSR</w:t>
            </w:r>
            <w:r>
              <w:rPr>
                <w:spacing w:val="-2"/>
                <w:sz w:val="24"/>
              </w:rPr>
              <w:t xml:space="preserve"> </w:t>
            </w:r>
            <w:r>
              <w:rPr>
                <w:sz w:val="24"/>
              </w:rPr>
              <w:t>2003:VII,</w:t>
            </w:r>
            <w:r>
              <w:rPr>
                <w:spacing w:val="-2"/>
                <w:sz w:val="24"/>
              </w:rPr>
              <w:t xml:space="preserve"> </w:t>
            </w:r>
            <w:r>
              <w:rPr>
                <w:spacing w:val="-5"/>
                <w:sz w:val="24"/>
              </w:rPr>
              <w:t>p.</w:t>
            </w:r>
          </w:p>
          <w:p w14:paraId="51DE77C4" w14:textId="77777777" w:rsidR="0010369C" w:rsidRDefault="008E43AE">
            <w:pPr>
              <w:pStyle w:val="TableParagraph"/>
              <w:spacing w:line="273" w:lineRule="exact"/>
              <w:ind w:left="106"/>
              <w:rPr>
                <w:sz w:val="24"/>
              </w:rPr>
            </w:pPr>
            <w:r>
              <w:rPr>
                <w:spacing w:val="-4"/>
                <w:sz w:val="24"/>
              </w:rPr>
              <w:t>3117</w:t>
            </w:r>
          </w:p>
        </w:tc>
      </w:tr>
      <w:tr w:rsidR="0010369C" w14:paraId="51DE77C9" w14:textId="77777777">
        <w:trPr>
          <w:trHeight w:val="878"/>
        </w:trPr>
        <w:tc>
          <w:tcPr>
            <w:tcW w:w="2255" w:type="dxa"/>
          </w:tcPr>
          <w:p w14:paraId="51DE77C6" w14:textId="77777777" w:rsidR="0010369C" w:rsidRDefault="008E43AE">
            <w:pPr>
              <w:pStyle w:val="TableParagraph"/>
              <w:ind w:left="107"/>
              <w:rPr>
                <w:i/>
                <w:sz w:val="24"/>
              </w:rPr>
            </w:pPr>
            <w:r>
              <w:rPr>
                <w:i/>
                <w:sz w:val="24"/>
              </w:rPr>
              <w:t>US</w:t>
            </w:r>
            <w:r>
              <w:rPr>
                <w:i/>
                <w:spacing w:val="-2"/>
                <w:sz w:val="24"/>
              </w:rPr>
              <w:t xml:space="preserve"> </w:t>
            </w:r>
            <w:r>
              <w:rPr>
                <w:i/>
                <w:spacing w:val="-10"/>
                <w:sz w:val="24"/>
              </w:rPr>
              <w:t>–</w:t>
            </w:r>
          </w:p>
          <w:p w14:paraId="51DE77C7" w14:textId="77777777" w:rsidR="0010369C" w:rsidRDefault="008E43AE">
            <w:pPr>
              <w:pStyle w:val="TableParagraph"/>
              <w:spacing w:line="290" w:lineRule="atLeast"/>
              <w:ind w:left="107"/>
              <w:rPr>
                <w:i/>
                <w:sz w:val="24"/>
              </w:rPr>
            </w:pPr>
            <w:r>
              <w:rPr>
                <w:i/>
                <w:spacing w:val="-2"/>
                <w:sz w:val="24"/>
              </w:rPr>
              <w:t>Supercalendered Paper</w:t>
            </w:r>
          </w:p>
        </w:tc>
        <w:tc>
          <w:tcPr>
            <w:tcW w:w="6761" w:type="dxa"/>
          </w:tcPr>
          <w:p w14:paraId="51DE77C8" w14:textId="77777777" w:rsidR="0010369C" w:rsidRDefault="008E43AE">
            <w:pPr>
              <w:pStyle w:val="TableParagraph"/>
              <w:spacing w:line="290" w:lineRule="atLeast"/>
              <w:ind w:left="106" w:right="214"/>
              <w:rPr>
                <w:sz w:val="24"/>
              </w:rPr>
            </w:pPr>
            <w:r>
              <w:rPr>
                <w:sz w:val="24"/>
              </w:rPr>
              <w:t>Appellate</w:t>
            </w:r>
            <w:r>
              <w:rPr>
                <w:spacing w:val="-5"/>
                <w:sz w:val="24"/>
              </w:rPr>
              <w:t xml:space="preserve"> </w:t>
            </w:r>
            <w:r>
              <w:rPr>
                <w:sz w:val="24"/>
              </w:rPr>
              <w:t>Body</w:t>
            </w:r>
            <w:r>
              <w:rPr>
                <w:spacing w:val="-5"/>
                <w:sz w:val="24"/>
              </w:rPr>
              <w:t xml:space="preserve"> </w:t>
            </w:r>
            <w:r>
              <w:rPr>
                <w:sz w:val="24"/>
              </w:rPr>
              <w:t>Report,</w:t>
            </w:r>
            <w:r>
              <w:rPr>
                <w:spacing w:val="-6"/>
                <w:sz w:val="24"/>
              </w:rPr>
              <w:t xml:space="preserve"> </w:t>
            </w:r>
            <w:r>
              <w:rPr>
                <w:i/>
                <w:sz w:val="24"/>
              </w:rPr>
              <w:t>United</w:t>
            </w:r>
            <w:r>
              <w:rPr>
                <w:i/>
                <w:spacing w:val="-6"/>
                <w:sz w:val="24"/>
              </w:rPr>
              <w:t xml:space="preserve"> </w:t>
            </w:r>
            <w:r>
              <w:rPr>
                <w:i/>
                <w:sz w:val="24"/>
              </w:rPr>
              <w:t>States</w:t>
            </w:r>
            <w:r>
              <w:rPr>
                <w:i/>
                <w:spacing w:val="-5"/>
                <w:sz w:val="24"/>
              </w:rPr>
              <w:t xml:space="preserve"> </w:t>
            </w:r>
            <w:r>
              <w:rPr>
                <w:i/>
                <w:sz w:val="24"/>
              </w:rPr>
              <w:t>–</w:t>
            </w:r>
            <w:r>
              <w:rPr>
                <w:i/>
                <w:spacing w:val="-5"/>
                <w:sz w:val="24"/>
              </w:rPr>
              <w:t xml:space="preserve"> </w:t>
            </w:r>
            <w:r>
              <w:rPr>
                <w:i/>
                <w:sz w:val="24"/>
              </w:rPr>
              <w:t>Countervailing</w:t>
            </w:r>
            <w:r>
              <w:rPr>
                <w:i/>
                <w:spacing w:val="-5"/>
                <w:sz w:val="24"/>
              </w:rPr>
              <w:t xml:space="preserve"> </w:t>
            </w:r>
            <w:r>
              <w:rPr>
                <w:i/>
                <w:sz w:val="24"/>
              </w:rPr>
              <w:t>Measures</w:t>
            </w:r>
            <w:r>
              <w:rPr>
                <w:i/>
                <w:sz w:val="24"/>
              </w:rPr>
              <w:t xml:space="preserve"> on Supercalendered Paper from Canada</w:t>
            </w:r>
            <w:r>
              <w:rPr>
                <w:sz w:val="24"/>
              </w:rPr>
              <w:t>, WT/DS505/AB/R and Add.1, adopted 5 March 2020</w:t>
            </w:r>
          </w:p>
        </w:tc>
      </w:tr>
      <w:tr w:rsidR="0010369C" w14:paraId="51DE77CE" w14:textId="77777777">
        <w:trPr>
          <w:trHeight w:val="1172"/>
        </w:trPr>
        <w:tc>
          <w:tcPr>
            <w:tcW w:w="2255" w:type="dxa"/>
          </w:tcPr>
          <w:p w14:paraId="51DE77CA" w14:textId="77777777" w:rsidR="0010369C" w:rsidRDefault="008E43AE">
            <w:pPr>
              <w:pStyle w:val="TableParagraph"/>
              <w:ind w:left="107"/>
              <w:rPr>
                <w:i/>
                <w:sz w:val="24"/>
              </w:rPr>
            </w:pPr>
            <w:r>
              <w:rPr>
                <w:i/>
                <w:sz w:val="24"/>
              </w:rPr>
              <w:t>US</w:t>
            </w:r>
            <w:r>
              <w:rPr>
                <w:i/>
                <w:spacing w:val="-2"/>
                <w:sz w:val="24"/>
              </w:rPr>
              <w:t xml:space="preserve"> </w:t>
            </w:r>
            <w:r>
              <w:rPr>
                <w:i/>
                <w:spacing w:val="-10"/>
                <w:sz w:val="24"/>
              </w:rPr>
              <w:t>–</w:t>
            </w:r>
          </w:p>
          <w:p w14:paraId="51DE77CB" w14:textId="77777777" w:rsidR="0010369C" w:rsidRDefault="008E43AE">
            <w:pPr>
              <w:pStyle w:val="TableParagraph"/>
              <w:ind w:left="107"/>
              <w:rPr>
                <w:i/>
                <w:sz w:val="24"/>
              </w:rPr>
            </w:pPr>
            <w:r>
              <w:rPr>
                <w:i/>
                <w:spacing w:val="-2"/>
                <w:sz w:val="24"/>
              </w:rPr>
              <w:t>Supercalendered Paper</w:t>
            </w:r>
          </w:p>
        </w:tc>
        <w:tc>
          <w:tcPr>
            <w:tcW w:w="6761" w:type="dxa"/>
          </w:tcPr>
          <w:p w14:paraId="51DE77CC" w14:textId="77777777" w:rsidR="0010369C" w:rsidRDefault="008E43AE">
            <w:pPr>
              <w:pStyle w:val="TableParagraph"/>
              <w:ind w:left="106"/>
              <w:rPr>
                <w:sz w:val="24"/>
              </w:rPr>
            </w:pPr>
            <w:r>
              <w:rPr>
                <w:sz w:val="24"/>
              </w:rPr>
              <w:t xml:space="preserve">Panel Report, </w:t>
            </w:r>
            <w:r>
              <w:rPr>
                <w:i/>
                <w:sz w:val="24"/>
              </w:rPr>
              <w:t>United States – Countervailing Measures on Supercalendered</w:t>
            </w:r>
            <w:r>
              <w:rPr>
                <w:i/>
                <w:spacing w:val="-6"/>
                <w:sz w:val="24"/>
              </w:rPr>
              <w:t xml:space="preserve"> </w:t>
            </w:r>
            <w:r>
              <w:rPr>
                <w:i/>
                <w:sz w:val="24"/>
              </w:rPr>
              <w:t>Paper</w:t>
            </w:r>
            <w:r>
              <w:rPr>
                <w:i/>
                <w:spacing w:val="-7"/>
                <w:sz w:val="24"/>
              </w:rPr>
              <w:t xml:space="preserve"> </w:t>
            </w:r>
            <w:r>
              <w:rPr>
                <w:i/>
                <w:sz w:val="24"/>
              </w:rPr>
              <w:t>from</w:t>
            </w:r>
            <w:r>
              <w:rPr>
                <w:i/>
                <w:spacing w:val="-7"/>
                <w:sz w:val="24"/>
              </w:rPr>
              <w:t xml:space="preserve"> </w:t>
            </w:r>
            <w:r>
              <w:rPr>
                <w:i/>
                <w:sz w:val="24"/>
              </w:rPr>
              <w:t>Canada</w:t>
            </w:r>
            <w:r>
              <w:rPr>
                <w:sz w:val="24"/>
              </w:rPr>
              <w:t>,</w:t>
            </w:r>
            <w:r>
              <w:rPr>
                <w:spacing w:val="-7"/>
                <w:sz w:val="24"/>
              </w:rPr>
              <w:t xml:space="preserve"> </w:t>
            </w:r>
            <w:r>
              <w:rPr>
                <w:sz w:val="24"/>
              </w:rPr>
              <w:t>WT/DS505/R</w:t>
            </w:r>
            <w:r>
              <w:rPr>
                <w:spacing w:val="-7"/>
                <w:sz w:val="24"/>
              </w:rPr>
              <w:t xml:space="preserve"> </w:t>
            </w:r>
            <w:r>
              <w:rPr>
                <w:sz w:val="24"/>
              </w:rPr>
              <w:t>and</w:t>
            </w:r>
            <w:r>
              <w:rPr>
                <w:spacing w:val="-7"/>
                <w:sz w:val="24"/>
              </w:rPr>
              <w:t xml:space="preserve"> </w:t>
            </w:r>
            <w:r>
              <w:rPr>
                <w:sz w:val="24"/>
              </w:rPr>
              <w:t>Add.1, adopted 5 March 2020, as upheld by Appellate Body Report</w:t>
            </w:r>
          </w:p>
          <w:p w14:paraId="51DE77CD" w14:textId="77777777" w:rsidR="0010369C" w:rsidRDefault="008E43AE">
            <w:pPr>
              <w:pStyle w:val="TableParagraph"/>
              <w:spacing w:before="1" w:line="273" w:lineRule="exact"/>
              <w:ind w:left="106"/>
              <w:rPr>
                <w:sz w:val="24"/>
              </w:rPr>
            </w:pPr>
            <w:r>
              <w:rPr>
                <w:spacing w:val="-2"/>
                <w:sz w:val="24"/>
              </w:rPr>
              <w:t>WT/DS505/AB/R</w:t>
            </w:r>
          </w:p>
        </w:tc>
      </w:tr>
      <w:tr w:rsidR="0010369C" w14:paraId="51DE77D2" w14:textId="77777777">
        <w:trPr>
          <w:trHeight w:val="878"/>
        </w:trPr>
        <w:tc>
          <w:tcPr>
            <w:tcW w:w="2255" w:type="dxa"/>
          </w:tcPr>
          <w:p w14:paraId="51DE77CF" w14:textId="77777777" w:rsidR="0010369C" w:rsidRDefault="008E43AE">
            <w:pPr>
              <w:pStyle w:val="TableParagraph"/>
              <w:spacing w:line="292" w:lineRule="exact"/>
              <w:ind w:left="107"/>
              <w:rPr>
                <w:i/>
                <w:sz w:val="24"/>
              </w:rPr>
            </w:pPr>
            <w:r>
              <w:rPr>
                <w:i/>
                <w:sz w:val="24"/>
              </w:rPr>
              <w:t>US</w:t>
            </w:r>
            <w:r>
              <w:rPr>
                <w:i/>
                <w:spacing w:val="-2"/>
                <w:sz w:val="24"/>
              </w:rPr>
              <w:t xml:space="preserve"> </w:t>
            </w:r>
            <w:r>
              <w:rPr>
                <w:i/>
                <w:sz w:val="24"/>
              </w:rPr>
              <w:t xml:space="preserve">– Tyres </w:t>
            </w:r>
            <w:r>
              <w:rPr>
                <w:i/>
                <w:spacing w:val="-2"/>
                <w:sz w:val="24"/>
              </w:rPr>
              <w:t>(China)</w:t>
            </w:r>
          </w:p>
        </w:tc>
        <w:tc>
          <w:tcPr>
            <w:tcW w:w="6761" w:type="dxa"/>
          </w:tcPr>
          <w:p w14:paraId="51DE77D0" w14:textId="77777777" w:rsidR="0010369C" w:rsidRDefault="008E43AE">
            <w:pPr>
              <w:pStyle w:val="TableParagraph"/>
              <w:ind w:left="106"/>
              <w:rPr>
                <w:sz w:val="24"/>
              </w:rPr>
            </w:pPr>
            <w:r>
              <w:rPr>
                <w:sz w:val="24"/>
              </w:rPr>
              <w:t>Appellate</w:t>
            </w:r>
            <w:r>
              <w:rPr>
                <w:spacing w:val="-5"/>
                <w:sz w:val="24"/>
              </w:rPr>
              <w:t xml:space="preserve"> </w:t>
            </w:r>
            <w:r>
              <w:rPr>
                <w:sz w:val="24"/>
              </w:rPr>
              <w:t>Body</w:t>
            </w:r>
            <w:r>
              <w:rPr>
                <w:spacing w:val="-5"/>
                <w:sz w:val="24"/>
              </w:rPr>
              <w:t xml:space="preserve"> </w:t>
            </w:r>
            <w:r>
              <w:rPr>
                <w:sz w:val="24"/>
              </w:rPr>
              <w:t>Report,</w:t>
            </w:r>
            <w:r>
              <w:rPr>
                <w:spacing w:val="-6"/>
                <w:sz w:val="24"/>
              </w:rPr>
              <w:t xml:space="preserve"> </w:t>
            </w:r>
            <w:r>
              <w:rPr>
                <w:i/>
                <w:sz w:val="24"/>
              </w:rPr>
              <w:t>United</w:t>
            </w:r>
            <w:r>
              <w:rPr>
                <w:i/>
                <w:spacing w:val="-6"/>
                <w:sz w:val="24"/>
              </w:rPr>
              <w:t xml:space="preserve"> </w:t>
            </w:r>
            <w:r>
              <w:rPr>
                <w:i/>
                <w:sz w:val="24"/>
              </w:rPr>
              <w:t>States</w:t>
            </w:r>
            <w:r>
              <w:rPr>
                <w:i/>
                <w:spacing w:val="-5"/>
                <w:sz w:val="24"/>
              </w:rPr>
              <w:t xml:space="preserve"> </w:t>
            </w:r>
            <w:r>
              <w:rPr>
                <w:i/>
                <w:sz w:val="24"/>
              </w:rPr>
              <w:t>–</w:t>
            </w:r>
            <w:r>
              <w:rPr>
                <w:i/>
                <w:spacing w:val="-5"/>
                <w:sz w:val="24"/>
              </w:rPr>
              <w:t xml:space="preserve"> </w:t>
            </w:r>
            <w:r>
              <w:rPr>
                <w:i/>
                <w:sz w:val="24"/>
              </w:rPr>
              <w:t>Measures</w:t>
            </w:r>
            <w:r>
              <w:rPr>
                <w:i/>
                <w:spacing w:val="-5"/>
                <w:sz w:val="24"/>
              </w:rPr>
              <w:t xml:space="preserve"> </w:t>
            </w:r>
            <w:r>
              <w:rPr>
                <w:i/>
                <w:sz w:val="24"/>
              </w:rPr>
              <w:t>Affecting</w:t>
            </w:r>
            <w:r>
              <w:rPr>
                <w:i/>
                <w:spacing w:val="-6"/>
                <w:sz w:val="24"/>
              </w:rPr>
              <w:t xml:space="preserve"> </w:t>
            </w:r>
            <w:r>
              <w:rPr>
                <w:i/>
                <w:sz w:val="24"/>
              </w:rPr>
              <w:t>Imports of Certain Passenger Vehicle and Light Truck Tyres from China</w:t>
            </w:r>
            <w:r>
              <w:rPr>
                <w:sz w:val="24"/>
              </w:rPr>
              <w:t>,</w:t>
            </w:r>
          </w:p>
          <w:p w14:paraId="51DE77D1" w14:textId="77777777" w:rsidR="0010369C" w:rsidRDefault="008E43AE">
            <w:pPr>
              <w:pStyle w:val="TableParagraph"/>
              <w:spacing w:line="273" w:lineRule="exact"/>
              <w:ind w:left="106"/>
              <w:rPr>
                <w:sz w:val="24"/>
              </w:rPr>
            </w:pPr>
            <w:r>
              <w:rPr>
                <w:sz w:val="24"/>
              </w:rPr>
              <w:t>WT/DS399/AB/R,</w:t>
            </w:r>
            <w:r>
              <w:rPr>
                <w:spacing w:val="-7"/>
                <w:sz w:val="24"/>
              </w:rPr>
              <w:t xml:space="preserve"> </w:t>
            </w:r>
            <w:r>
              <w:rPr>
                <w:sz w:val="24"/>
              </w:rPr>
              <w:t>adopted</w:t>
            </w:r>
            <w:r>
              <w:rPr>
                <w:spacing w:val="-3"/>
                <w:sz w:val="24"/>
              </w:rPr>
              <w:t xml:space="preserve"> </w:t>
            </w:r>
            <w:r>
              <w:rPr>
                <w:sz w:val="24"/>
              </w:rPr>
              <w:t>5</w:t>
            </w:r>
            <w:r>
              <w:rPr>
                <w:spacing w:val="-4"/>
                <w:sz w:val="24"/>
              </w:rPr>
              <w:t xml:space="preserve"> </w:t>
            </w:r>
            <w:r>
              <w:rPr>
                <w:sz w:val="24"/>
              </w:rPr>
              <w:t>Octo</w:t>
            </w:r>
            <w:r>
              <w:rPr>
                <w:sz w:val="24"/>
              </w:rPr>
              <w:t>ber</w:t>
            </w:r>
            <w:r>
              <w:rPr>
                <w:spacing w:val="-2"/>
                <w:sz w:val="24"/>
              </w:rPr>
              <w:t xml:space="preserve"> </w:t>
            </w:r>
            <w:r>
              <w:rPr>
                <w:sz w:val="24"/>
              </w:rPr>
              <w:t>2011,</w:t>
            </w:r>
            <w:r>
              <w:rPr>
                <w:spacing w:val="-2"/>
                <w:sz w:val="24"/>
              </w:rPr>
              <w:t xml:space="preserve"> </w:t>
            </w:r>
            <w:r>
              <w:rPr>
                <w:sz w:val="24"/>
              </w:rPr>
              <w:t>DSR</w:t>
            </w:r>
            <w:r>
              <w:rPr>
                <w:spacing w:val="-3"/>
                <w:sz w:val="24"/>
              </w:rPr>
              <w:t xml:space="preserve"> </w:t>
            </w:r>
            <w:r>
              <w:rPr>
                <w:sz w:val="24"/>
              </w:rPr>
              <w:t>2011:IX,</w:t>
            </w:r>
            <w:r>
              <w:rPr>
                <w:spacing w:val="-3"/>
                <w:sz w:val="24"/>
              </w:rPr>
              <w:t xml:space="preserve"> </w:t>
            </w:r>
            <w:r>
              <w:rPr>
                <w:sz w:val="24"/>
              </w:rPr>
              <w:t>p.</w:t>
            </w:r>
            <w:r>
              <w:rPr>
                <w:spacing w:val="-2"/>
                <w:sz w:val="24"/>
              </w:rPr>
              <w:t xml:space="preserve"> </w:t>
            </w:r>
            <w:r>
              <w:rPr>
                <w:spacing w:val="-4"/>
                <w:sz w:val="24"/>
              </w:rPr>
              <w:t>4811</w:t>
            </w:r>
          </w:p>
        </w:tc>
      </w:tr>
      <w:tr w:rsidR="0010369C" w14:paraId="51DE77D6" w14:textId="77777777">
        <w:trPr>
          <w:trHeight w:val="586"/>
        </w:trPr>
        <w:tc>
          <w:tcPr>
            <w:tcW w:w="2255" w:type="dxa"/>
          </w:tcPr>
          <w:p w14:paraId="51DE77D3" w14:textId="77777777" w:rsidR="0010369C" w:rsidRDefault="008E43AE">
            <w:pPr>
              <w:pStyle w:val="TableParagraph"/>
              <w:spacing w:line="292" w:lineRule="exact"/>
              <w:ind w:left="107"/>
              <w:rPr>
                <w:i/>
                <w:sz w:val="24"/>
              </w:rPr>
            </w:pPr>
            <w:r>
              <w:rPr>
                <w:i/>
                <w:sz w:val="24"/>
              </w:rPr>
              <w:t>US</w:t>
            </w:r>
            <w:r>
              <w:rPr>
                <w:i/>
                <w:spacing w:val="-2"/>
                <w:sz w:val="24"/>
              </w:rPr>
              <w:t xml:space="preserve"> </w:t>
            </w:r>
            <w:r>
              <w:rPr>
                <w:i/>
                <w:sz w:val="24"/>
              </w:rPr>
              <w:t>– Upland</w:t>
            </w:r>
            <w:r>
              <w:rPr>
                <w:i/>
                <w:spacing w:val="-1"/>
                <w:sz w:val="24"/>
              </w:rPr>
              <w:t xml:space="preserve"> </w:t>
            </w:r>
            <w:r>
              <w:rPr>
                <w:i/>
                <w:spacing w:val="-2"/>
                <w:sz w:val="24"/>
              </w:rPr>
              <w:t>Cotton</w:t>
            </w:r>
          </w:p>
        </w:tc>
        <w:tc>
          <w:tcPr>
            <w:tcW w:w="6761" w:type="dxa"/>
          </w:tcPr>
          <w:p w14:paraId="51DE77D4" w14:textId="77777777" w:rsidR="0010369C" w:rsidRDefault="008E43AE">
            <w:pPr>
              <w:pStyle w:val="TableParagraph"/>
              <w:spacing w:line="292" w:lineRule="exact"/>
              <w:ind w:left="106"/>
              <w:rPr>
                <w:i/>
                <w:sz w:val="24"/>
              </w:rPr>
            </w:pPr>
            <w:r>
              <w:rPr>
                <w:sz w:val="24"/>
              </w:rPr>
              <w:t>Appellate</w:t>
            </w:r>
            <w:r>
              <w:rPr>
                <w:spacing w:val="-3"/>
                <w:sz w:val="24"/>
              </w:rPr>
              <w:t xml:space="preserve"> </w:t>
            </w:r>
            <w:r>
              <w:rPr>
                <w:sz w:val="24"/>
              </w:rPr>
              <w:t>Body</w:t>
            </w:r>
            <w:r>
              <w:rPr>
                <w:spacing w:val="-2"/>
                <w:sz w:val="24"/>
              </w:rPr>
              <w:t xml:space="preserve"> </w:t>
            </w:r>
            <w:r>
              <w:rPr>
                <w:sz w:val="24"/>
              </w:rPr>
              <w:t>Report,</w:t>
            </w:r>
            <w:r>
              <w:rPr>
                <w:spacing w:val="-4"/>
                <w:sz w:val="24"/>
              </w:rPr>
              <w:t xml:space="preserve"> </w:t>
            </w:r>
            <w:r>
              <w:rPr>
                <w:i/>
                <w:sz w:val="24"/>
              </w:rPr>
              <w:t>United</w:t>
            </w:r>
            <w:r>
              <w:rPr>
                <w:i/>
                <w:spacing w:val="-3"/>
                <w:sz w:val="24"/>
              </w:rPr>
              <w:t xml:space="preserve"> </w:t>
            </w:r>
            <w:r>
              <w:rPr>
                <w:i/>
                <w:sz w:val="24"/>
              </w:rPr>
              <w:t>States</w:t>
            </w:r>
            <w:r>
              <w:rPr>
                <w:i/>
                <w:spacing w:val="-2"/>
                <w:sz w:val="24"/>
              </w:rPr>
              <w:t xml:space="preserve"> </w:t>
            </w:r>
            <w:r>
              <w:rPr>
                <w:i/>
                <w:sz w:val="24"/>
              </w:rPr>
              <w:t>–</w:t>
            </w:r>
            <w:r>
              <w:rPr>
                <w:i/>
                <w:spacing w:val="-3"/>
                <w:sz w:val="24"/>
              </w:rPr>
              <w:t xml:space="preserve"> </w:t>
            </w:r>
            <w:r>
              <w:rPr>
                <w:i/>
                <w:sz w:val="24"/>
              </w:rPr>
              <w:t>Subsidies</w:t>
            </w:r>
            <w:r>
              <w:rPr>
                <w:i/>
                <w:spacing w:val="-4"/>
                <w:sz w:val="24"/>
              </w:rPr>
              <w:t xml:space="preserve"> </w:t>
            </w:r>
            <w:r>
              <w:rPr>
                <w:i/>
                <w:sz w:val="24"/>
              </w:rPr>
              <w:t>on</w:t>
            </w:r>
            <w:r>
              <w:rPr>
                <w:i/>
                <w:spacing w:val="-2"/>
                <w:sz w:val="24"/>
              </w:rPr>
              <w:t xml:space="preserve"> Upland</w:t>
            </w:r>
          </w:p>
          <w:p w14:paraId="51DE77D5" w14:textId="77777777" w:rsidR="0010369C" w:rsidRDefault="008E43AE">
            <w:pPr>
              <w:pStyle w:val="TableParagraph"/>
              <w:spacing w:before="1" w:line="273" w:lineRule="exact"/>
              <w:ind w:left="106"/>
              <w:rPr>
                <w:sz w:val="24"/>
              </w:rPr>
            </w:pPr>
            <w:r>
              <w:rPr>
                <w:i/>
                <w:sz w:val="24"/>
              </w:rPr>
              <w:t>Cotton</w:t>
            </w:r>
            <w:r>
              <w:rPr>
                <w:sz w:val="24"/>
              </w:rPr>
              <w:t>,</w:t>
            </w:r>
            <w:r>
              <w:rPr>
                <w:spacing w:val="-6"/>
                <w:sz w:val="24"/>
              </w:rPr>
              <w:t xml:space="preserve"> </w:t>
            </w:r>
            <w:r>
              <w:rPr>
                <w:sz w:val="24"/>
              </w:rPr>
              <w:t>WT/DS267/AB/R,</w:t>
            </w:r>
            <w:r>
              <w:rPr>
                <w:spacing w:val="-4"/>
                <w:sz w:val="24"/>
              </w:rPr>
              <w:t xml:space="preserve"> </w:t>
            </w:r>
            <w:r>
              <w:rPr>
                <w:sz w:val="24"/>
              </w:rPr>
              <w:t>adopted</w:t>
            </w:r>
            <w:r>
              <w:rPr>
                <w:spacing w:val="-3"/>
                <w:sz w:val="24"/>
              </w:rPr>
              <w:t xml:space="preserve"> </w:t>
            </w:r>
            <w:r>
              <w:rPr>
                <w:sz w:val="24"/>
              </w:rPr>
              <w:t>21</w:t>
            </w:r>
            <w:r>
              <w:rPr>
                <w:spacing w:val="-3"/>
                <w:sz w:val="24"/>
              </w:rPr>
              <w:t xml:space="preserve"> </w:t>
            </w:r>
            <w:r>
              <w:rPr>
                <w:sz w:val="24"/>
              </w:rPr>
              <w:t>March</w:t>
            </w:r>
            <w:r>
              <w:rPr>
                <w:spacing w:val="-3"/>
                <w:sz w:val="24"/>
              </w:rPr>
              <w:t xml:space="preserve"> </w:t>
            </w:r>
            <w:r>
              <w:rPr>
                <w:sz w:val="24"/>
              </w:rPr>
              <w:t>2005,</w:t>
            </w:r>
            <w:r>
              <w:rPr>
                <w:spacing w:val="-3"/>
                <w:sz w:val="24"/>
              </w:rPr>
              <w:t xml:space="preserve"> </w:t>
            </w:r>
            <w:r>
              <w:rPr>
                <w:sz w:val="24"/>
              </w:rPr>
              <w:t>DSR</w:t>
            </w:r>
            <w:r>
              <w:rPr>
                <w:spacing w:val="-2"/>
                <w:sz w:val="24"/>
              </w:rPr>
              <w:t xml:space="preserve"> </w:t>
            </w:r>
            <w:r>
              <w:rPr>
                <w:sz w:val="24"/>
              </w:rPr>
              <w:t>2005:I,</w:t>
            </w:r>
            <w:r>
              <w:rPr>
                <w:spacing w:val="-3"/>
                <w:sz w:val="24"/>
              </w:rPr>
              <w:t xml:space="preserve"> </w:t>
            </w:r>
            <w:r>
              <w:rPr>
                <w:sz w:val="24"/>
              </w:rPr>
              <w:t>p.</w:t>
            </w:r>
            <w:r>
              <w:rPr>
                <w:spacing w:val="-2"/>
                <w:sz w:val="24"/>
              </w:rPr>
              <w:t xml:space="preserve"> </w:t>
            </w:r>
            <w:r>
              <w:rPr>
                <w:spacing w:val="-10"/>
                <w:sz w:val="24"/>
              </w:rPr>
              <w:t>3</w:t>
            </w:r>
          </w:p>
        </w:tc>
      </w:tr>
      <w:tr w:rsidR="0010369C" w14:paraId="51DE77DA" w14:textId="77777777">
        <w:trPr>
          <w:trHeight w:val="1171"/>
        </w:trPr>
        <w:tc>
          <w:tcPr>
            <w:tcW w:w="2255" w:type="dxa"/>
          </w:tcPr>
          <w:p w14:paraId="51DE77D7" w14:textId="77777777" w:rsidR="0010369C" w:rsidRDefault="008E43AE">
            <w:pPr>
              <w:pStyle w:val="TableParagraph"/>
              <w:ind w:left="107"/>
              <w:rPr>
                <w:i/>
                <w:sz w:val="24"/>
              </w:rPr>
            </w:pPr>
            <w:r>
              <w:rPr>
                <w:i/>
                <w:sz w:val="24"/>
              </w:rPr>
              <w:t>US</w:t>
            </w:r>
            <w:r>
              <w:rPr>
                <w:i/>
                <w:spacing w:val="-14"/>
                <w:sz w:val="24"/>
              </w:rPr>
              <w:t xml:space="preserve"> </w:t>
            </w:r>
            <w:r>
              <w:rPr>
                <w:i/>
                <w:sz w:val="24"/>
              </w:rPr>
              <w:t>–</w:t>
            </w:r>
            <w:r>
              <w:rPr>
                <w:i/>
                <w:spacing w:val="-14"/>
                <w:sz w:val="24"/>
              </w:rPr>
              <w:t xml:space="preserve"> </w:t>
            </w:r>
            <w:r>
              <w:rPr>
                <w:i/>
                <w:sz w:val="24"/>
              </w:rPr>
              <w:t xml:space="preserve">Washing </w:t>
            </w:r>
            <w:r>
              <w:rPr>
                <w:i/>
                <w:spacing w:val="-2"/>
                <w:sz w:val="24"/>
              </w:rPr>
              <w:t>Machines</w:t>
            </w:r>
          </w:p>
        </w:tc>
        <w:tc>
          <w:tcPr>
            <w:tcW w:w="6761" w:type="dxa"/>
          </w:tcPr>
          <w:p w14:paraId="51DE77D8" w14:textId="77777777" w:rsidR="0010369C" w:rsidRDefault="008E43AE">
            <w:pPr>
              <w:pStyle w:val="TableParagraph"/>
              <w:ind w:left="106"/>
              <w:rPr>
                <w:i/>
                <w:sz w:val="24"/>
              </w:rPr>
            </w:pPr>
            <w:r>
              <w:rPr>
                <w:sz w:val="24"/>
              </w:rPr>
              <w:t xml:space="preserve">Appellate Body Report, </w:t>
            </w:r>
            <w:r>
              <w:rPr>
                <w:i/>
                <w:sz w:val="24"/>
              </w:rPr>
              <w:t>United States – Anti‐Dumping and Countervailing Measures on Large Residential Washers from</w:t>
            </w:r>
          </w:p>
          <w:p w14:paraId="51DE77D9" w14:textId="77777777" w:rsidR="0010369C" w:rsidRDefault="008E43AE">
            <w:pPr>
              <w:pStyle w:val="TableParagraph"/>
              <w:spacing w:line="290" w:lineRule="atLeast"/>
              <w:ind w:left="106"/>
              <w:rPr>
                <w:sz w:val="24"/>
              </w:rPr>
            </w:pPr>
            <w:r>
              <w:rPr>
                <w:i/>
                <w:sz w:val="24"/>
              </w:rPr>
              <w:t>Korea</w:t>
            </w:r>
            <w:r>
              <w:rPr>
                <w:sz w:val="24"/>
              </w:rPr>
              <w:t>,</w:t>
            </w:r>
            <w:r>
              <w:rPr>
                <w:spacing w:val="-6"/>
                <w:sz w:val="24"/>
              </w:rPr>
              <w:t xml:space="preserve"> </w:t>
            </w:r>
            <w:r>
              <w:rPr>
                <w:sz w:val="24"/>
              </w:rPr>
              <w:t>WT/DS464/AB/R</w:t>
            </w:r>
            <w:r>
              <w:rPr>
                <w:spacing w:val="-5"/>
                <w:sz w:val="24"/>
              </w:rPr>
              <w:t xml:space="preserve"> </w:t>
            </w:r>
            <w:r>
              <w:rPr>
                <w:sz w:val="24"/>
              </w:rPr>
              <w:t>and</w:t>
            </w:r>
            <w:r>
              <w:rPr>
                <w:spacing w:val="-6"/>
                <w:sz w:val="24"/>
              </w:rPr>
              <w:t xml:space="preserve"> </w:t>
            </w:r>
            <w:r>
              <w:rPr>
                <w:sz w:val="24"/>
              </w:rPr>
              <w:t>Add.1,</w:t>
            </w:r>
            <w:r>
              <w:rPr>
                <w:spacing w:val="-6"/>
                <w:sz w:val="24"/>
              </w:rPr>
              <w:t xml:space="preserve"> </w:t>
            </w:r>
            <w:r>
              <w:rPr>
                <w:sz w:val="24"/>
              </w:rPr>
              <w:t>adopted</w:t>
            </w:r>
            <w:r>
              <w:rPr>
                <w:spacing w:val="-6"/>
                <w:sz w:val="24"/>
              </w:rPr>
              <w:t xml:space="preserve"> </w:t>
            </w:r>
            <w:r>
              <w:rPr>
                <w:sz w:val="24"/>
              </w:rPr>
              <w:t>26</w:t>
            </w:r>
            <w:r>
              <w:rPr>
                <w:spacing w:val="-6"/>
                <w:sz w:val="24"/>
              </w:rPr>
              <w:t xml:space="preserve"> </w:t>
            </w:r>
            <w:r>
              <w:rPr>
                <w:sz w:val="24"/>
              </w:rPr>
              <w:t>September</w:t>
            </w:r>
            <w:r>
              <w:rPr>
                <w:spacing w:val="-6"/>
                <w:sz w:val="24"/>
              </w:rPr>
              <w:t xml:space="preserve"> </w:t>
            </w:r>
            <w:r>
              <w:rPr>
                <w:sz w:val="24"/>
              </w:rPr>
              <w:t>2016, DSR 2016:V, p. 2275</w:t>
            </w:r>
          </w:p>
        </w:tc>
      </w:tr>
      <w:tr w:rsidR="0010369C" w14:paraId="51DE77DD" w14:textId="77777777">
        <w:trPr>
          <w:trHeight w:val="1171"/>
        </w:trPr>
        <w:tc>
          <w:tcPr>
            <w:tcW w:w="2255" w:type="dxa"/>
          </w:tcPr>
          <w:p w14:paraId="51DE77DB" w14:textId="77777777" w:rsidR="0010369C" w:rsidRDefault="008E43AE">
            <w:pPr>
              <w:pStyle w:val="TableParagraph"/>
              <w:ind w:left="107"/>
              <w:rPr>
                <w:i/>
                <w:sz w:val="24"/>
              </w:rPr>
            </w:pPr>
            <w:r>
              <w:rPr>
                <w:i/>
                <w:sz w:val="24"/>
              </w:rPr>
              <w:t>US</w:t>
            </w:r>
            <w:r>
              <w:rPr>
                <w:i/>
                <w:spacing w:val="-2"/>
                <w:sz w:val="24"/>
              </w:rPr>
              <w:t xml:space="preserve"> </w:t>
            </w:r>
            <w:r>
              <w:rPr>
                <w:i/>
                <w:sz w:val="24"/>
              </w:rPr>
              <w:t>– Wheat</w:t>
            </w:r>
            <w:r>
              <w:rPr>
                <w:i/>
                <w:spacing w:val="-1"/>
                <w:sz w:val="24"/>
              </w:rPr>
              <w:t xml:space="preserve"> </w:t>
            </w:r>
            <w:r>
              <w:rPr>
                <w:i/>
                <w:spacing w:val="-2"/>
                <w:sz w:val="24"/>
              </w:rPr>
              <w:t>Gluten</w:t>
            </w:r>
          </w:p>
        </w:tc>
        <w:tc>
          <w:tcPr>
            <w:tcW w:w="6761" w:type="dxa"/>
          </w:tcPr>
          <w:p w14:paraId="51DE77DC" w14:textId="77777777" w:rsidR="0010369C" w:rsidRDefault="008E43AE">
            <w:pPr>
              <w:pStyle w:val="TableParagraph"/>
              <w:spacing w:line="290" w:lineRule="atLeast"/>
              <w:ind w:left="106"/>
              <w:rPr>
                <w:sz w:val="24"/>
              </w:rPr>
            </w:pPr>
            <w:r>
              <w:rPr>
                <w:sz w:val="24"/>
              </w:rPr>
              <w:t xml:space="preserve">Appellate Body Report, </w:t>
            </w:r>
            <w:r>
              <w:rPr>
                <w:i/>
                <w:sz w:val="24"/>
              </w:rPr>
              <w:t>United States – Definitive Safeguard Measures on Imports of Wheat Gluten from the European Communities</w:t>
            </w:r>
            <w:r>
              <w:rPr>
                <w:sz w:val="24"/>
              </w:rPr>
              <w:t>,</w:t>
            </w:r>
            <w:r>
              <w:rPr>
                <w:spacing w:val="-7"/>
                <w:sz w:val="24"/>
              </w:rPr>
              <w:t xml:space="preserve"> </w:t>
            </w:r>
            <w:r>
              <w:rPr>
                <w:sz w:val="24"/>
              </w:rPr>
              <w:t>WT/DS166/AB/R,</w:t>
            </w:r>
            <w:r>
              <w:rPr>
                <w:spacing w:val="-8"/>
                <w:sz w:val="24"/>
              </w:rPr>
              <w:t xml:space="preserve"> </w:t>
            </w:r>
            <w:r>
              <w:rPr>
                <w:sz w:val="24"/>
              </w:rPr>
              <w:t>adopted</w:t>
            </w:r>
            <w:r>
              <w:rPr>
                <w:spacing w:val="-7"/>
                <w:sz w:val="24"/>
              </w:rPr>
              <w:t xml:space="preserve"> </w:t>
            </w:r>
            <w:r>
              <w:rPr>
                <w:sz w:val="24"/>
              </w:rPr>
              <w:t>19</w:t>
            </w:r>
            <w:r>
              <w:rPr>
                <w:spacing w:val="-7"/>
                <w:sz w:val="24"/>
              </w:rPr>
              <w:t xml:space="preserve"> </w:t>
            </w:r>
            <w:r>
              <w:rPr>
                <w:sz w:val="24"/>
              </w:rPr>
              <w:t>January</w:t>
            </w:r>
            <w:r>
              <w:rPr>
                <w:spacing w:val="-7"/>
                <w:sz w:val="24"/>
              </w:rPr>
              <w:t xml:space="preserve"> </w:t>
            </w:r>
            <w:r>
              <w:rPr>
                <w:sz w:val="24"/>
              </w:rPr>
              <w:t>2001,</w:t>
            </w:r>
            <w:r>
              <w:rPr>
                <w:spacing w:val="-6"/>
                <w:sz w:val="24"/>
              </w:rPr>
              <w:t xml:space="preserve"> </w:t>
            </w:r>
            <w:r>
              <w:rPr>
                <w:sz w:val="24"/>
              </w:rPr>
              <w:t>DSR 2001:II, p. 717</w:t>
            </w:r>
          </w:p>
        </w:tc>
      </w:tr>
      <w:tr w:rsidR="0010369C" w14:paraId="51DE77E1" w14:textId="77777777">
        <w:trPr>
          <w:trHeight w:val="1170"/>
        </w:trPr>
        <w:tc>
          <w:tcPr>
            <w:tcW w:w="2255" w:type="dxa"/>
          </w:tcPr>
          <w:p w14:paraId="51DE77DE" w14:textId="77777777" w:rsidR="0010369C" w:rsidRDefault="008E43AE">
            <w:pPr>
              <w:pStyle w:val="TableParagraph"/>
              <w:spacing w:line="293" w:lineRule="exact"/>
              <w:ind w:left="107"/>
              <w:rPr>
                <w:i/>
                <w:sz w:val="24"/>
              </w:rPr>
            </w:pPr>
            <w:r>
              <w:rPr>
                <w:i/>
                <w:sz w:val="24"/>
              </w:rPr>
              <w:t>US</w:t>
            </w:r>
            <w:r>
              <w:rPr>
                <w:i/>
                <w:spacing w:val="-2"/>
                <w:sz w:val="24"/>
              </w:rPr>
              <w:t xml:space="preserve"> </w:t>
            </w:r>
            <w:r>
              <w:rPr>
                <w:i/>
                <w:sz w:val="24"/>
              </w:rPr>
              <w:t>– Zeroing</w:t>
            </w:r>
            <w:r>
              <w:rPr>
                <w:i/>
                <w:spacing w:val="-1"/>
                <w:sz w:val="24"/>
              </w:rPr>
              <w:t xml:space="preserve"> </w:t>
            </w:r>
            <w:r>
              <w:rPr>
                <w:i/>
                <w:spacing w:val="-4"/>
                <w:sz w:val="24"/>
              </w:rPr>
              <w:t>(EC)</w:t>
            </w:r>
          </w:p>
        </w:tc>
        <w:tc>
          <w:tcPr>
            <w:tcW w:w="6761" w:type="dxa"/>
          </w:tcPr>
          <w:p w14:paraId="51DE77DF" w14:textId="77777777" w:rsidR="0010369C" w:rsidRDefault="008E43AE">
            <w:pPr>
              <w:pStyle w:val="TableParagraph"/>
              <w:ind w:left="106"/>
              <w:rPr>
                <w:sz w:val="24"/>
              </w:rPr>
            </w:pPr>
            <w:r>
              <w:rPr>
                <w:sz w:val="24"/>
              </w:rPr>
              <w:t xml:space="preserve">Appellate Body Report, </w:t>
            </w:r>
            <w:r>
              <w:rPr>
                <w:i/>
                <w:sz w:val="24"/>
              </w:rPr>
              <w:t xml:space="preserve">United States – Laws, Regulations and Methodology </w:t>
            </w:r>
            <w:r>
              <w:rPr>
                <w:i/>
                <w:sz w:val="24"/>
              </w:rPr>
              <w:t>for Calculating Dumping Margins ("Zeroing")</w:t>
            </w:r>
            <w:r>
              <w:rPr>
                <w:sz w:val="24"/>
              </w:rPr>
              <w:t>, WT/DS294/AB/R,</w:t>
            </w:r>
            <w:r>
              <w:rPr>
                <w:spacing w:val="-6"/>
                <w:sz w:val="24"/>
              </w:rPr>
              <w:t xml:space="preserve"> </w:t>
            </w:r>
            <w:r>
              <w:rPr>
                <w:sz w:val="24"/>
              </w:rPr>
              <w:t>adopted</w:t>
            </w:r>
            <w:r>
              <w:rPr>
                <w:spacing w:val="-5"/>
                <w:sz w:val="24"/>
              </w:rPr>
              <w:t xml:space="preserve"> </w:t>
            </w:r>
            <w:r>
              <w:rPr>
                <w:sz w:val="24"/>
              </w:rPr>
              <w:t>9</w:t>
            </w:r>
            <w:r>
              <w:rPr>
                <w:spacing w:val="-5"/>
                <w:sz w:val="24"/>
              </w:rPr>
              <w:t xml:space="preserve"> </w:t>
            </w:r>
            <w:r>
              <w:rPr>
                <w:sz w:val="24"/>
              </w:rPr>
              <w:t>May</w:t>
            </w:r>
            <w:r>
              <w:rPr>
                <w:spacing w:val="-4"/>
                <w:sz w:val="24"/>
              </w:rPr>
              <w:t xml:space="preserve"> </w:t>
            </w:r>
            <w:r>
              <w:rPr>
                <w:sz w:val="24"/>
              </w:rPr>
              <w:t>2006,</w:t>
            </w:r>
            <w:r>
              <w:rPr>
                <w:spacing w:val="-5"/>
                <w:sz w:val="24"/>
              </w:rPr>
              <w:t xml:space="preserve"> </w:t>
            </w:r>
            <w:r>
              <w:rPr>
                <w:sz w:val="24"/>
              </w:rPr>
              <w:t>and</w:t>
            </w:r>
            <w:r>
              <w:rPr>
                <w:spacing w:val="-5"/>
                <w:sz w:val="24"/>
              </w:rPr>
              <w:t xml:space="preserve"> </w:t>
            </w:r>
            <w:r>
              <w:rPr>
                <w:sz w:val="24"/>
              </w:rPr>
              <w:t>Corr.1,</w:t>
            </w:r>
            <w:r>
              <w:rPr>
                <w:spacing w:val="-4"/>
                <w:sz w:val="24"/>
              </w:rPr>
              <w:t xml:space="preserve"> </w:t>
            </w:r>
            <w:r>
              <w:rPr>
                <w:sz w:val="24"/>
              </w:rPr>
              <w:t>DSR</w:t>
            </w:r>
            <w:r>
              <w:rPr>
                <w:spacing w:val="-4"/>
                <w:sz w:val="24"/>
              </w:rPr>
              <w:t xml:space="preserve"> </w:t>
            </w:r>
            <w:r>
              <w:rPr>
                <w:sz w:val="24"/>
              </w:rPr>
              <w:t>2006:II,</w:t>
            </w:r>
            <w:r>
              <w:rPr>
                <w:spacing w:val="-5"/>
                <w:sz w:val="24"/>
              </w:rPr>
              <w:t xml:space="preserve"> </w:t>
            </w:r>
            <w:r>
              <w:rPr>
                <w:sz w:val="24"/>
              </w:rPr>
              <w:t>p.</w:t>
            </w:r>
          </w:p>
          <w:p w14:paraId="51DE77E0" w14:textId="77777777" w:rsidR="0010369C" w:rsidRDefault="008E43AE">
            <w:pPr>
              <w:pStyle w:val="TableParagraph"/>
              <w:spacing w:line="272" w:lineRule="exact"/>
              <w:ind w:left="106"/>
              <w:rPr>
                <w:sz w:val="24"/>
              </w:rPr>
            </w:pPr>
            <w:r>
              <w:rPr>
                <w:spacing w:val="-5"/>
                <w:sz w:val="24"/>
              </w:rPr>
              <w:t>417</w:t>
            </w:r>
          </w:p>
        </w:tc>
      </w:tr>
      <w:tr w:rsidR="0010369C" w14:paraId="51DE77E4" w14:textId="77777777">
        <w:trPr>
          <w:trHeight w:val="878"/>
        </w:trPr>
        <w:tc>
          <w:tcPr>
            <w:tcW w:w="2255" w:type="dxa"/>
          </w:tcPr>
          <w:p w14:paraId="51DE77E2" w14:textId="77777777" w:rsidR="0010369C" w:rsidRDefault="008E43AE">
            <w:pPr>
              <w:pStyle w:val="TableParagraph"/>
              <w:ind w:left="107" w:right="519"/>
              <w:rPr>
                <w:i/>
                <w:sz w:val="24"/>
              </w:rPr>
            </w:pPr>
            <w:r>
              <w:rPr>
                <w:i/>
                <w:sz w:val="24"/>
              </w:rPr>
              <w:t>US</w:t>
            </w:r>
            <w:r>
              <w:rPr>
                <w:i/>
                <w:spacing w:val="-14"/>
                <w:sz w:val="24"/>
              </w:rPr>
              <w:t xml:space="preserve"> </w:t>
            </w:r>
            <w:r>
              <w:rPr>
                <w:i/>
                <w:sz w:val="24"/>
              </w:rPr>
              <w:t>—</w:t>
            </w:r>
            <w:r>
              <w:rPr>
                <w:i/>
                <w:spacing w:val="-14"/>
                <w:sz w:val="24"/>
              </w:rPr>
              <w:t xml:space="preserve"> </w:t>
            </w:r>
            <w:r>
              <w:rPr>
                <w:i/>
                <w:sz w:val="24"/>
              </w:rPr>
              <w:t xml:space="preserve">Zeroing </w:t>
            </w:r>
            <w:r>
              <w:rPr>
                <w:i/>
                <w:spacing w:val="-2"/>
                <w:sz w:val="24"/>
              </w:rPr>
              <w:t>(Japan)</w:t>
            </w:r>
          </w:p>
        </w:tc>
        <w:tc>
          <w:tcPr>
            <w:tcW w:w="6761" w:type="dxa"/>
          </w:tcPr>
          <w:p w14:paraId="51DE77E3" w14:textId="77777777" w:rsidR="0010369C" w:rsidRDefault="008E43AE">
            <w:pPr>
              <w:pStyle w:val="TableParagraph"/>
              <w:spacing w:line="290" w:lineRule="atLeast"/>
              <w:ind w:left="106" w:right="85"/>
              <w:rPr>
                <w:sz w:val="24"/>
              </w:rPr>
            </w:pPr>
            <w:r>
              <w:rPr>
                <w:sz w:val="24"/>
              </w:rPr>
              <w:t xml:space="preserve">Appellate Body Report, </w:t>
            </w:r>
            <w:r>
              <w:rPr>
                <w:i/>
                <w:sz w:val="24"/>
              </w:rPr>
              <w:t>United States – Measures Relating to Zeroing</w:t>
            </w:r>
            <w:r>
              <w:rPr>
                <w:i/>
                <w:spacing w:val="-5"/>
                <w:sz w:val="24"/>
              </w:rPr>
              <w:t xml:space="preserve"> </w:t>
            </w:r>
            <w:r>
              <w:rPr>
                <w:i/>
                <w:sz w:val="24"/>
              </w:rPr>
              <w:t>and</w:t>
            </w:r>
            <w:r>
              <w:rPr>
                <w:i/>
                <w:spacing w:val="-6"/>
                <w:sz w:val="24"/>
              </w:rPr>
              <w:t xml:space="preserve"> </w:t>
            </w:r>
            <w:r>
              <w:rPr>
                <w:i/>
                <w:sz w:val="24"/>
              </w:rPr>
              <w:t>Sunset</w:t>
            </w:r>
            <w:r>
              <w:rPr>
                <w:i/>
                <w:spacing w:val="-6"/>
                <w:sz w:val="24"/>
              </w:rPr>
              <w:t xml:space="preserve"> </w:t>
            </w:r>
            <w:r>
              <w:rPr>
                <w:i/>
                <w:sz w:val="24"/>
              </w:rPr>
              <w:t>Reviews</w:t>
            </w:r>
            <w:r>
              <w:rPr>
                <w:sz w:val="24"/>
              </w:rPr>
              <w:t>,</w:t>
            </w:r>
            <w:r>
              <w:rPr>
                <w:spacing w:val="-6"/>
                <w:sz w:val="24"/>
              </w:rPr>
              <w:t xml:space="preserve"> </w:t>
            </w:r>
            <w:r>
              <w:rPr>
                <w:sz w:val="24"/>
              </w:rPr>
              <w:t>WT/DS322/AB/R,</w:t>
            </w:r>
            <w:r>
              <w:rPr>
                <w:spacing w:val="-6"/>
                <w:sz w:val="24"/>
              </w:rPr>
              <w:t xml:space="preserve"> </w:t>
            </w:r>
            <w:r>
              <w:rPr>
                <w:sz w:val="24"/>
              </w:rPr>
              <w:t>adopted</w:t>
            </w:r>
            <w:r>
              <w:rPr>
                <w:spacing w:val="-6"/>
                <w:sz w:val="24"/>
              </w:rPr>
              <w:t xml:space="preserve"> </w:t>
            </w:r>
            <w:r>
              <w:rPr>
                <w:sz w:val="24"/>
              </w:rPr>
              <w:t>23</w:t>
            </w:r>
            <w:r>
              <w:rPr>
                <w:spacing w:val="-6"/>
                <w:sz w:val="24"/>
              </w:rPr>
              <w:t xml:space="preserve"> </w:t>
            </w:r>
            <w:r>
              <w:rPr>
                <w:sz w:val="24"/>
              </w:rPr>
              <w:t>January 2007, DSR 2007:I, p. 3</w:t>
            </w:r>
          </w:p>
        </w:tc>
      </w:tr>
      <w:tr w:rsidR="0010369C" w14:paraId="51DE77E8" w14:textId="77777777">
        <w:trPr>
          <w:trHeight w:val="1171"/>
        </w:trPr>
        <w:tc>
          <w:tcPr>
            <w:tcW w:w="2255" w:type="dxa"/>
          </w:tcPr>
          <w:p w14:paraId="51DE77E5" w14:textId="77777777" w:rsidR="0010369C" w:rsidRDefault="008E43AE">
            <w:pPr>
              <w:pStyle w:val="TableParagraph"/>
              <w:ind w:left="107" w:right="641"/>
              <w:jc w:val="both"/>
              <w:rPr>
                <w:i/>
                <w:sz w:val="24"/>
              </w:rPr>
            </w:pPr>
            <w:r>
              <w:rPr>
                <w:i/>
                <w:sz w:val="24"/>
              </w:rPr>
              <w:t>US–Oil</w:t>
            </w:r>
            <w:r>
              <w:rPr>
                <w:i/>
                <w:spacing w:val="-14"/>
                <w:sz w:val="24"/>
              </w:rPr>
              <w:t xml:space="preserve"> </w:t>
            </w:r>
            <w:r>
              <w:rPr>
                <w:i/>
                <w:sz w:val="24"/>
              </w:rPr>
              <w:t>Country Tubular Goods Sunset</w:t>
            </w:r>
            <w:r>
              <w:rPr>
                <w:i/>
                <w:spacing w:val="-1"/>
                <w:sz w:val="24"/>
              </w:rPr>
              <w:t xml:space="preserve"> </w:t>
            </w:r>
            <w:r>
              <w:rPr>
                <w:i/>
                <w:spacing w:val="-2"/>
                <w:sz w:val="24"/>
              </w:rPr>
              <w:t>Reviews</w:t>
            </w:r>
          </w:p>
        </w:tc>
        <w:tc>
          <w:tcPr>
            <w:tcW w:w="6761" w:type="dxa"/>
          </w:tcPr>
          <w:p w14:paraId="51DE77E6" w14:textId="77777777" w:rsidR="0010369C" w:rsidRDefault="008E43AE">
            <w:pPr>
              <w:pStyle w:val="TableParagraph"/>
              <w:ind w:left="106"/>
              <w:rPr>
                <w:sz w:val="24"/>
              </w:rPr>
            </w:pPr>
            <w:r>
              <w:rPr>
                <w:sz w:val="24"/>
              </w:rPr>
              <w:t xml:space="preserve">Appellate Body Report, </w:t>
            </w:r>
            <w:r>
              <w:rPr>
                <w:i/>
                <w:sz w:val="24"/>
              </w:rPr>
              <w:t>United States – Sunset Reviews of Anti‐ Dumping</w:t>
            </w:r>
            <w:r>
              <w:rPr>
                <w:i/>
                <w:spacing w:val="-4"/>
                <w:sz w:val="24"/>
              </w:rPr>
              <w:t xml:space="preserve"> </w:t>
            </w:r>
            <w:r>
              <w:rPr>
                <w:i/>
                <w:sz w:val="24"/>
              </w:rPr>
              <w:t>Measures</w:t>
            </w:r>
            <w:r>
              <w:rPr>
                <w:i/>
                <w:spacing w:val="-5"/>
                <w:sz w:val="24"/>
              </w:rPr>
              <w:t xml:space="preserve"> </w:t>
            </w:r>
            <w:r>
              <w:rPr>
                <w:i/>
                <w:sz w:val="24"/>
              </w:rPr>
              <w:t>on</w:t>
            </w:r>
            <w:r>
              <w:rPr>
                <w:i/>
                <w:spacing w:val="-6"/>
                <w:sz w:val="24"/>
              </w:rPr>
              <w:t xml:space="preserve"> </w:t>
            </w:r>
            <w:r>
              <w:rPr>
                <w:i/>
                <w:sz w:val="24"/>
              </w:rPr>
              <w:t>Oil</w:t>
            </w:r>
            <w:r>
              <w:rPr>
                <w:i/>
                <w:spacing w:val="-4"/>
                <w:sz w:val="24"/>
              </w:rPr>
              <w:t xml:space="preserve"> </w:t>
            </w:r>
            <w:r>
              <w:rPr>
                <w:i/>
                <w:sz w:val="24"/>
              </w:rPr>
              <w:t>Country</w:t>
            </w:r>
            <w:r>
              <w:rPr>
                <w:i/>
                <w:spacing w:val="-5"/>
                <w:sz w:val="24"/>
              </w:rPr>
              <w:t xml:space="preserve"> </w:t>
            </w:r>
            <w:r>
              <w:rPr>
                <w:i/>
                <w:sz w:val="24"/>
              </w:rPr>
              <w:t>Tubular</w:t>
            </w:r>
            <w:r>
              <w:rPr>
                <w:i/>
                <w:spacing w:val="-3"/>
                <w:sz w:val="24"/>
              </w:rPr>
              <w:t xml:space="preserve"> </w:t>
            </w:r>
            <w:r>
              <w:rPr>
                <w:i/>
                <w:sz w:val="24"/>
              </w:rPr>
              <w:t>Goods</w:t>
            </w:r>
            <w:r>
              <w:rPr>
                <w:i/>
                <w:spacing w:val="-5"/>
                <w:sz w:val="24"/>
              </w:rPr>
              <w:t xml:space="preserve"> </w:t>
            </w:r>
            <w:r>
              <w:rPr>
                <w:i/>
                <w:sz w:val="24"/>
              </w:rPr>
              <w:t>from</w:t>
            </w:r>
            <w:r>
              <w:rPr>
                <w:i/>
                <w:spacing w:val="-5"/>
                <w:sz w:val="24"/>
              </w:rPr>
              <w:t xml:space="preserve"> </w:t>
            </w:r>
            <w:r>
              <w:rPr>
                <w:i/>
                <w:sz w:val="24"/>
              </w:rPr>
              <w:t>Argentina</w:t>
            </w:r>
            <w:r>
              <w:rPr>
                <w:sz w:val="24"/>
              </w:rPr>
              <w:t>, WT/DS268/AB/R, adopted 17 December 2004, DSR 2004:VII, p.</w:t>
            </w:r>
          </w:p>
          <w:p w14:paraId="51DE77E7" w14:textId="77777777" w:rsidR="0010369C" w:rsidRDefault="008E43AE">
            <w:pPr>
              <w:pStyle w:val="TableParagraph"/>
              <w:spacing w:before="1" w:line="272" w:lineRule="exact"/>
              <w:ind w:left="106"/>
              <w:rPr>
                <w:sz w:val="24"/>
              </w:rPr>
            </w:pPr>
            <w:r>
              <w:rPr>
                <w:spacing w:val="-4"/>
                <w:sz w:val="24"/>
              </w:rPr>
              <w:t>3257</w:t>
            </w:r>
          </w:p>
        </w:tc>
      </w:tr>
    </w:tbl>
    <w:p w14:paraId="51DE77E9" w14:textId="77777777" w:rsidR="0010369C" w:rsidRDefault="0010369C">
      <w:pPr>
        <w:spacing w:line="272" w:lineRule="exact"/>
        <w:rPr>
          <w:sz w:val="24"/>
        </w:rPr>
        <w:sectPr w:rsidR="0010369C">
          <w:pgSz w:w="11910" w:h="16840"/>
          <w:pgMar w:top="880" w:right="1220" w:bottom="980" w:left="1180" w:header="569" w:footer="788" w:gutter="0"/>
          <w:cols w:space="720"/>
        </w:sectPr>
      </w:pPr>
    </w:p>
    <w:p w14:paraId="51DE77EA" w14:textId="77777777" w:rsidR="0010369C" w:rsidRDefault="008E43AE">
      <w:pPr>
        <w:pStyle w:val="BodyText"/>
        <w:spacing w:line="20" w:lineRule="exact"/>
        <w:ind w:left="104"/>
        <w:rPr>
          <w:sz w:val="2"/>
        </w:rPr>
      </w:pPr>
      <w:r>
        <w:rPr>
          <w:sz w:val="2"/>
        </w:rPr>
      </w:r>
      <w:r>
        <w:rPr>
          <w:sz w:val="2"/>
        </w:rPr>
        <w:pict w14:anchorId="51DE9CFB">
          <v:group id="docshapegroup13" o:spid="_x0000_s3240" style="width:464.6pt;height:1.05pt;mso-position-horizontal-relative:char;mso-position-vertical-relative:line" coordsize="9292,21">
            <v:line id="_x0000_s3241" style="position:absolute" from="0,10" to="9291,10" strokeweight=".35361mm"/>
            <w10:anchorlock/>
          </v:group>
        </w:pict>
      </w:r>
    </w:p>
    <w:p w14:paraId="51DE77EB" w14:textId="77777777" w:rsidR="0010369C" w:rsidRDefault="008E43AE">
      <w:pPr>
        <w:spacing w:before="52"/>
        <w:ind w:left="2132" w:right="2065"/>
        <w:jc w:val="center"/>
        <w:rPr>
          <w:rFonts w:ascii="Arial"/>
          <w:sz w:val="19"/>
        </w:rPr>
      </w:pPr>
      <w:r>
        <w:pict w14:anchorId="51DE9CFC">
          <v:line id="_x0000_s3239" style="position:absolute;left:0;text-align:left;z-index:251689472;mso-position-horizontal-relative:page" from="64.2pt,15pt" to="528.75pt,15pt" strokeweight=".35361mm">
            <w10:wrap anchorx="page"/>
          </v:line>
        </w:pict>
      </w:r>
      <w:r>
        <w:rPr>
          <w:rFonts w:ascii="Arial"/>
          <w:color w:val="080808"/>
          <w:sz w:val="19"/>
        </w:rPr>
        <w:t>Business</w:t>
      </w:r>
      <w:r>
        <w:rPr>
          <w:rFonts w:ascii="Arial"/>
          <w:color w:val="080808"/>
          <w:spacing w:val="45"/>
          <w:sz w:val="19"/>
        </w:rPr>
        <w:t xml:space="preserve"> </w:t>
      </w:r>
      <w:r>
        <w:rPr>
          <w:rFonts w:ascii="Arial"/>
          <w:color w:val="161616"/>
          <w:sz w:val="19"/>
        </w:rPr>
        <w:t>Confidential</w:t>
      </w:r>
      <w:r>
        <w:rPr>
          <w:rFonts w:ascii="Arial"/>
          <w:color w:val="161616"/>
          <w:spacing w:val="38"/>
          <w:sz w:val="19"/>
        </w:rPr>
        <w:t xml:space="preserve"> </w:t>
      </w:r>
      <w:r>
        <w:rPr>
          <w:rFonts w:ascii="Arial"/>
          <w:color w:val="161616"/>
          <w:sz w:val="19"/>
        </w:rPr>
        <w:t>Information</w:t>
      </w:r>
      <w:r>
        <w:rPr>
          <w:rFonts w:ascii="Arial"/>
          <w:color w:val="161616"/>
          <w:spacing w:val="39"/>
          <w:sz w:val="19"/>
        </w:rPr>
        <w:t xml:space="preserve"> </w:t>
      </w:r>
      <w:r>
        <w:rPr>
          <w:rFonts w:ascii="Arial"/>
          <w:color w:val="080808"/>
          <w:sz w:val="19"/>
        </w:rPr>
        <w:t>-</w:t>
      </w:r>
      <w:r>
        <w:rPr>
          <w:rFonts w:ascii="Arial"/>
          <w:color w:val="080808"/>
          <w:spacing w:val="40"/>
          <w:sz w:val="19"/>
        </w:rPr>
        <w:t xml:space="preserve"> </w:t>
      </w:r>
      <w:r>
        <w:rPr>
          <w:rFonts w:ascii="Arial"/>
          <w:color w:val="080808"/>
          <w:spacing w:val="-2"/>
          <w:sz w:val="19"/>
        </w:rPr>
        <w:t>REDACTED</w:t>
      </w:r>
    </w:p>
    <w:p w14:paraId="51DE77EC" w14:textId="77777777" w:rsidR="0010369C" w:rsidRDefault="0010369C">
      <w:pPr>
        <w:jc w:val="center"/>
        <w:rPr>
          <w:rFonts w:ascii="Arial"/>
          <w:sz w:val="19"/>
        </w:rPr>
        <w:sectPr w:rsidR="0010369C">
          <w:headerReference w:type="default" r:id="rId13"/>
          <w:footerReference w:type="default" r:id="rId14"/>
          <w:pgSz w:w="11910" w:h="16840"/>
          <w:pgMar w:top="500" w:right="1220" w:bottom="980" w:left="1180" w:header="0" w:footer="788" w:gutter="0"/>
          <w:cols w:space="720"/>
        </w:sectPr>
      </w:pPr>
    </w:p>
    <w:p w14:paraId="51DE77ED" w14:textId="77777777" w:rsidR="0010369C" w:rsidRDefault="008E43AE">
      <w:pPr>
        <w:spacing w:before="43" w:line="285" w:lineRule="auto"/>
        <w:ind w:left="239" w:hanging="8"/>
        <w:rPr>
          <w:rFonts w:ascii="Arial"/>
          <w:sz w:val="18"/>
        </w:rPr>
      </w:pPr>
      <w:r>
        <w:rPr>
          <w:rFonts w:ascii="Times New Roman"/>
          <w:i/>
          <w:color w:val="282828"/>
          <w:w w:val="105"/>
          <w:sz w:val="19"/>
        </w:rPr>
        <w:t>China</w:t>
      </w:r>
      <w:r>
        <w:rPr>
          <w:rFonts w:ascii="Times New Roman"/>
          <w:i/>
          <w:color w:val="282828"/>
          <w:spacing w:val="-13"/>
          <w:w w:val="105"/>
          <w:sz w:val="19"/>
        </w:rPr>
        <w:t xml:space="preserve"> </w:t>
      </w:r>
      <w:r>
        <w:rPr>
          <w:rFonts w:ascii="Times New Roman"/>
          <w:color w:val="080808"/>
          <w:w w:val="105"/>
          <w:sz w:val="19"/>
        </w:rPr>
        <w:t>-</w:t>
      </w:r>
      <w:r>
        <w:rPr>
          <w:rFonts w:ascii="Times New Roman"/>
          <w:color w:val="080808"/>
          <w:spacing w:val="11"/>
          <w:w w:val="105"/>
          <w:sz w:val="19"/>
        </w:rPr>
        <w:t xml:space="preserve"> </w:t>
      </w:r>
      <w:r>
        <w:rPr>
          <w:rFonts w:ascii="Times New Roman"/>
          <w:i/>
          <w:color w:val="161616"/>
          <w:w w:val="105"/>
          <w:sz w:val="19"/>
        </w:rPr>
        <w:t>Anti-Dumping</w:t>
      </w:r>
      <w:r>
        <w:rPr>
          <w:rFonts w:ascii="Times New Roman"/>
          <w:i/>
          <w:color w:val="161616"/>
          <w:spacing w:val="-12"/>
          <w:w w:val="105"/>
          <w:sz w:val="19"/>
        </w:rPr>
        <w:t xml:space="preserve"> </w:t>
      </w:r>
      <w:r>
        <w:rPr>
          <w:rFonts w:ascii="Times New Roman"/>
          <w:i/>
          <w:color w:val="282828"/>
          <w:w w:val="105"/>
          <w:sz w:val="19"/>
        </w:rPr>
        <w:t>and</w:t>
      </w:r>
      <w:r>
        <w:rPr>
          <w:rFonts w:ascii="Times New Roman"/>
          <w:i/>
          <w:color w:val="282828"/>
          <w:spacing w:val="-12"/>
          <w:w w:val="105"/>
          <w:sz w:val="19"/>
        </w:rPr>
        <w:t xml:space="preserve"> </w:t>
      </w:r>
      <w:r>
        <w:rPr>
          <w:rFonts w:ascii="Times New Roman"/>
          <w:i/>
          <w:color w:val="282828"/>
          <w:w w:val="105"/>
          <w:sz w:val="19"/>
        </w:rPr>
        <w:t>Countervailing</w:t>
      </w:r>
      <w:r>
        <w:rPr>
          <w:rFonts w:ascii="Times New Roman"/>
          <w:i/>
          <w:color w:val="282828"/>
          <w:spacing w:val="-13"/>
          <w:w w:val="105"/>
          <w:sz w:val="19"/>
        </w:rPr>
        <w:t xml:space="preserve"> </w:t>
      </w:r>
      <w:r>
        <w:rPr>
          <w:rFonts w:ascii="Times New Roman"/>
          <w:i/>
          <w:color w:val="161616"/>
          <w:w w:val="105"/>
          <w:sz w:val="19"/>
        </w:rPr>
        <w:t>Duty</w:t>
      </w:r>
      <w:r>
        <w:rPr>
          <w:rFonts w:ascii="Times New Roman"/>
          <w:i/>
          <w:color w:val="161616"/>
          <w:spacing w:val="-13"/>
          <w:w w:val="105"/>
          <w:sz w:val="19"/>
        </w:rPr>
        <w:t xml:space="preserve"> </w:t>
      </w:r>
      <w:r>
        <w:rPr>
          <w:rFonts w:ascii="Times New Roman"/>
          <w:i/>
          <w:color w:val="161616"/>
          <w:w w:val="105"/>
          <w:sz w:val="19"/>
        </w:rPr>
        <w:t xml:space="preserve">Measures </w:t>
      </w:r>
      <w:r>
        <w:rPr>
          <w:rFonts w:ascii="Times New Roman"/>
          <w:i/>
          <w:color w:val="282828"/>
          <w:w w:val="105"/>
          <w:sz w:val="19"/>
        </w:rPr>
        <w:t xml:space="preserve">on </w:t>
      </w:r>
      <w:r>
        <w:rPr>
          <w:rFonts w:ascii="Times New Roman"/>
          <w:i/>
          <w:color w:val="161616"/>
          <w:w w:val="105"/>
          <w:sz w:val="19"/>
        </w:rPr>
        <w:t xml:space="preserve">Wine </w:t>
      </w:r>
      <w:r>
        <w:rPr>
          <w:rFonts w:ascii="Times New Roman"/>
          <w:i/>
          <w:color w:val="282828"/>
          <w:w w:val="105"/>
          <w:sz w:val="19"/>
        </w:rPr>
        <w:t xml:space="preserve">from </w:t>
      </w:r>
      <w:r>
        <w:rPr>
          <w:rFonts w:ascii="Times New Roman"/>
          <w:i/>
          <w:color w:val="161616"/>
          <w:w w:val="105"/>
          <w:sz w:val="19"/>
        </w:rPr>
        <w:t xml:space="preserve">Australia </w:t>
      </w:r>
      <w:r>
        <w:rPr>
          <w:rFonts w:ascii="Arial"/>
          <w:color w:val="282828"/>
          <w:w w:val="105"/>
          <w:sz w:val="18"/>
        </w:rPr>
        <w:t>(D5602)</w:t>
      </w:r>
    </w:p>
    <w:p w14:paraId="51DE77EE" w14:textId="77777777" w:rsidR="0010369C" w:rsidRDefault="008E43AE">
      <w:pPr>
        <w:spacing w:before="52"/>
        <w:ind w:right="166"/>
        <w:jc w:val="right"/>
        <w:rPr>
          <w:rFonts w:ascii="Arial"/>
          <w:sz w:val="18"/>
        </w:rPr>
      </w:pPr>
      <w:r>
        <w:br w:type="column"/>
      </w:r>
      <w:r>
        <w:rPr>
          <w:rFonts w:ascii="Arial"/>
          <w:color w:val="161616"/>
          <w:sz w:val="18"/>
        </w:rPr>
        <w:t>Australia's</w:t>
      </w:r>
      <w:r>
        <w:rPr>
          <w:rFonts w:ascii="Arial"/>
          <w:color w:val="161616"/>
          <w:spacing w:val="22"/>
          <w:sz w:val="18"/>
        </w:rPr>
        <w:t xml:space="preserve"> </w:t>
      </w:r>
      <w:r>
        <w:rPr>
          <w:rFonts w:ascii="Arial"/>
          <w:color w:val="161616"/>
          <w:sz w:val="18"/>
        </w:rPr>
        <w:t>First</w:t>
      </w:r>
      <w:r>
        <w:rPr>
          <w:rFonts w:ascii="Arial"/>
          <w:color w:val="161616"/>
          <w:spacing w:val="18"/>
          <w:sz w:val="18"/>
        </w:rPr>
        <w:t xml:space="preserve"> </w:t>
      </w:r>
      <w:r>
        <w:rPr>
          <w:rFonts w:ascii="Arial"/>
          <w:color w:val="161616"/>
          <w:sz w:val="18"/>
        </w:rPr>
        <w:t>Written</w:t>
      </w:r>
      <w:r>
        <w:rPr>
          <w:rFonts w:ascii="Arial"/>
          <w:color w:val="161616"/>
          <w:spacing w:val="8"/>
          <w:sz w:val="18"/>
        </w:rPr>
        <w:t xml:space="preserve"> </w:t>
      </w:r>
      <w:r>
        <w:rPr>
          <w:rFonts w:ascii="Arial"/>
          <w:color w:val="282828"/>
          <w:spacing w:val="-2"/>
          <w:sz w:val="18"/>
        </w:rPr>
        <w:t>Submission</w:t>
      </w:r>
    </w:p>
    <w:p w14:paraId="51DE77EF" w14:textId="77777777" w:rsidR="0010369C" w:rsidRDefault="008E43AE">
      <w:pPr>
        <w:spacing w:before="43"/>
        <w:ind w:right="153"/>
        <w:jc w:val="right"/>
        <w:rPr>
          <w:rFonts w:ascii="Arial"/>
          <w:sz w:val="18"/>
        </w:rPr>
      </w:pPr>
      <w:r>
        <w:rPr>
          <w:rFonts w:ascii="Arial"/>
          <w:color w:val="161616"/>
          <w:w w:val="105"/>
          <w:sz w:val="18"/>
        </w:rPr>
        <w:t>29</w:t>
      </w:r>
      <w:r>
        <w:rPr>
          <w:rFonts w:ascii="Arial"/>
          <w:color w:val="161616"/>
          <w:spacing w:val="-12"/>
          <w:w w:val="105"/>
          <w:sz w:val="18"/>
        </w:rPr>
        <w:t xml:space="preserve"> </w:t>
      </w:r>
      <w:r>
        <w:rPr>
          <w:rFonts w:ascii="Arial"/>
          <w:color w:val="161616"/>
          <w:w w:val="105"/>
          <w:sz w:val="18"/>
        </w:rPr>
        <w:t>April</w:t>
      </w:r>
      <w:r>
        <w:rPr>
          <w:rFonts w:ascii="Arial"/>
          <w:color w:val="161616"/>
          <w:spacing w:val="-6"/>
          <w:w w:val="105"/>
          <w:sz w:val="18"/>
        </w:rPr>
        <w:t xml:space="preserve"> </w:t>
      </w:r>
      <w:r>
        <w:rPr>
          <w:rFonts w:ascii="Arial"/>
          <w:color w:val="161616"/>
          <w:spacing w:val="-4"/>
          <w:w w:val="105"/>
          <w:sz w:val="18"/>
        </w:rPr>
        <w:t>2022</w:t>
      </w:r>
    </w:p>
    <w:p w14:paraId="51DE77F0" w14:textId="77777777" w:rsidR="0010369C" w:rsidRDefault="0010369C">
      <w:pPr>
        <w:jc w:val="right"/>
        <w:rPr>
          <w:rFonts w:ascii="Arial"/>
          <w:sz w:val="18"/>
        </w:rPr>
        <w:sectPr w:rsidR="0010369C">
          <w:type w:val="continuous"/>
          <w:pgSz w:w="11910" w:h="16840"/>
          <w:pgMar w:top="1460" w:right="1220" w:bottom="280" w:left="1180" w:header="0" w:footer="788" w:gutter="0"/>
          <w:cols w:num="2" w:space="720" w:equalWidth="0">
            <w:col w:w="4921" w:space="1293"/>
            <w:col w:w="3296"/>
          </w:cols>
        </w:sectPr>
      </w:pPr>
    </w:p>
    <w:p w14:paraId="51DE77F1" w14:textId="77777777" w:rsidR="0010369C" w:rsidRDefault="008E43AE">
      <w:pPr>
        <w:spacing w:before="42"/>
        <w:ind w:left="1007" w:right="921"/>
        <w:jc w:val="center"/>
        <w:rPr>
          <w:rFonts w:ascii="Arial"/>
          <w:b/>
          <w:sz w:val="21"/>
        </w:rPr>
      </w:pPr>
      <w:r>
        <w:rPr>
          <w:rFonts w:ascii="Arial"/>
          <w:b/>
          <w:color w:val="080808"/>
          <w:w w:val="95"/>
          <w:sz w:val="21"/>
        </w:rPr>
        <w:t>LIST</w:t>
      </w:r>
      <w:r>
        <w:rPr>
          <w:rFonts w:ascii="Arial"/>
          <w:b/>
          <w:color w:val="080808"/>
          <w:spacing w:val="-19"/>
          <w:w w:val="95"/>
          <w:sz w:val="21"/>
        </w:rPr>
        <w:t xml:space="preserve"> </w:t>
      </w:r>
      <w:r>
        <w:rPr>
          <w:rFonts w:ascii="Arial"/>
          <w:b/>
          <w:color w:val="080808"/>
          <w:w w:val="95"/>
          <w:sz w:val="21"/>
        </w:rPr>
        <w:t>OF</w:t>
      </w:r>
      <w:r>
        <w:rPr>
          <w:rFonts w:ascii="Arial"/>
          <w:b/>
          <w:color w:val="080808"/>
          <w:spacing w:val="-11"/>
          <w:w w:val="95"/>
          <w:sz w:val="21"/>
        </w:rPr>
        <w:t xml:space="preserve"> </w:t>
      </w:r>
      <w:r>
        <w:rPr>
          <w:rFonts w:ascii="Arial"/>
          <w:b/>
          <w:color w:val="080808"/>
          <w:w w:val="95"/>
          <w:sz w:val="21"/>
        </w:rPr>
        <w:t>ACRONYMS,</w:t>
      </w:r>
      <w:r>
        <w:rPr>
          <w:rFonts w:ascii="Arial"/>
          <w:b/>
          <w:color w:val="080808"/>
          <w:spacing w:val="-10"/>
          <w:w w:val="95"/>
          <w:sz w:val="21"/>
        </w:rPr>
        <w:t xml:space="preserve"> </w:t>
      </w:r>
      <w:r>
        <w:rPr>
          <w:rFonts w:ascii="Arial"/>
          <w:b/>
          <w:color w:val="080808"/>
          <w:w w:val="95"/>
          <w:sz w:val="21"/>
        </w:rPr>
        <w:t>ABBREVIATIONS</w:t>
      </w:r>
      <w:r>
        <w:rPr>
          <w:rFonts w:ascii="Arial"/>
          <w:b/>
          <w:color w:val="080808"/>
          <w:spacing w:val="-3"/>
          <w:w w:val="95"/>
          <w:sz w:val="21"/>
        </w:rPr>
        <w:t xml:space="preserve"> </w:t>
      </w:r>
      <w:r>
        <w:rPr>
          <w:rFonts w:ascii="Arial"/>
          <w:b/>
          <w:color w:val="080808"/>
          <w:w w:val="95"/>
          <w:sz w:val="21"/>
        </w:rPr>
        <w:t>AND</w:t>
      </w:r>
      <w:r>
        <w:rPr>
          <w:rFonts w:ascii="Arial"/>
          <w:b/>
          <w:color w:val="080808"/>
          <w:spacing w:val="-17"/>
          <w:w w:val="95"/>
          <w:sz w:val="21"/>
        </w:rPr>
        <w:t xml:space="preserve"> </w:t>
      </w:r>
      <w:r>
        <w:rPr>
          <w:rFonts w:ascii="Arial"/>
          <w:b/>
          <w:color w:val="080808"/>
          <w:w w:val="95"/>
          <w:sz w:val="21"/>
        </w:rPr>
        <w:t>SHORT</w:t>
      </w:r>
      <w:r>
        <w:rPr>
          <w:rFonts w:ascii="Arial"/>
          <w:b/>
          <w:color w:val="080808"/>
          <w:spacing w:val="-12"/>
          <w:w w:val="95"/>
          <w:sz w:val="21"/>
        </w:rPr>
        <w:t xml:space="preserve"> </w:t>
      </w:r>
      <w:r>
        <w:rPr>
          <w:rFonts w:ascii="Arial"/>
          <w:b/>
          <w:color w:val="080808"/>
          <w:spacing w:val="-2"/>
          <w:w w:val="95"/>
          <w:sz w:val="21"/>
        </w:rPr>
        <w:t>FORMS</w:t>
      </w:r>
    </w:p>
    <w:p w14:paraId="51DE77F2" w14:textId="77777777" w:rsidR="0010369C" w:rsidRDefault="0010369C">
      <w:pPr>
        <w:pStyle w:val="BodyText"/>
        <w:spacing w:before="3"/>
        <w:rPr>
          <w:rFonts w:ascii="Arial"/>
          <w:b/>
          <w:sz w:val="12"/>
        </w:rPr>
      </w:pPr>
    </w:p>
    <w:tbl>
      <w:tblPr>
        <w:tblW w:w="0" w:type="auto"/>
        <w:tblInd w:w="264"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2268"/>
        <w:gridCol w:w="6773"/>
      </w:tblGrid>
      <w:tr w:rsidR="0010369C" w14:paraId="51DE77F5" w14:textId="77777777">
        <w:trPr>
          <w:trHeight w:val="355"/>
        </w:trPr>
        <w:tc>
          <w:tcPr>
            <w:tcW w:w="2268" w:type="dxa"/>
          </w:tcPr>
          <w:p w14:paraId="51DE77F3" w14:textId="77777777" w:rsidR="0010369C" w:rsidRDefault="008E43AE">
            <w:pPr>
              <w:pStyle w:val="TableParagraph"/>
              <w:spacing w:before="40"/>
              <w:ind w:left="484"/>
              <w:rPr>
                <w:rFonts w:ascii="Arial"/>
                <w:b/>
                <w:sz w:val="20"/>
              </w:rPr>
            </w:pPr>
            <w:r>
              <w:rPr>
                <w:rFonts w:ascii="Arial"/>
                <w:b/>
                <w:color w:val="080808"/>
                <w:spacing w:val="-2"/>
                <w:w w:val="105"/>
                <w:sz w:val="20"/>
              </w:rPr>
              <w:t>Abbreviation</w:t>
            </w:r>
          </w:p>
        </w:tc>
        <w:tc>
          <w:tcPr>
            <w:tcW w:w="6773" w:type="dxa"/>
          </w:tcPr>
          <w:p w14:paraId="51DE77F4" w14:textId="77777777" w:rsidR="0010369C" w:rsidRDefault="008E43AE">
            <w:pPr>
              <w:pStyle w:val="TableParagraph"/>
              <w:spacing w:before="40"/>
              <w:ind w:left="2172" w:right="2140"/>
              <w:jc w:val="center"/>
              <w:rPr>
                <w:rFonts w:ascii="Arial"/>
                <w:b/>
                <w:sz w:val="20"/>
              </w:rPr>
            </w:pPr>
            <w:r>
              <w:rPr>
                <w:rFonts w:ascii="Arial"/>
                <w:b/>
                <w:color w:val="080808"/>
                <w:w w:val="105"/>
                <w:sz w:val="20"/>
              </w:rPr>
              <w:t>Full</w:t>
            </w:r>
            <w:r>
              <w:rPr>
                <w:rFonts w:ascii="Arial"/>
                <w:b/>
                <w:color w:val="080808"/>
                <w:spacing w:val="-22"/>
                <w:w w:val="105"/>
                <w:sz w:val="20"/>
              </w:rPr>
              <w:t xml:space="preserve"> </w:t>
            </w:r>
            <w:r>
              <w:rPr>
                <w:rFonts w:ascii="Arial"/>
                <w:b/>
                <w:color w:val="080808"/>
                <w:w w:val="105"/>
                <w:sz w:val="20"/>
              </w:rPr>
              <w:t>Form</w:t>
            </w:r>
            <w:r>
              <w:rPr>
                <w:rFonts w:ascii="Arial"/>
                <w:b/>
                <w:color w:val="080808"/>
                <w:spacing w:val="-12"/>
                <w:w w:val="105"/>
                <w:sz w:val="20"/>
              </w:rPr>
              <w:t xml:space="preserve"> </w:t>
            </w:r>
            <w:r>
              <w:rPr>
                <w:rFonts w:ascii="Arial"/>
                <w:b/>
                <w:color w:val="080808"/>
                <w:w w:val="105"/>
                <w:sz w:val="20"/>
              </w:rPr>
              <w:t>or</w:t>
            </w:r>
            <w:r>
              <w:rPr>
                <w:rFonts w:ascii="Arial"/>
                <w:b/>
                <w:color w:val="080808"/>
                <w:spacing w:val="-7"/>
                <w:w w:val="105"/>
                <w:sz w:val="20"/>
              </w:rPr>
              <w:t xml:space="preserve"> </w:t>
            </w:r>
            <w:r>
              <w:rPr>
                <w:rFonts w:ascii="Arial"/>
                <w:b/>
                <w:color w:val="080808"/>
                <w:spacing w:val="-2"/>
                <w:w w:val="105"/>
                <w:sz w:val="20"/>
              </w:rPr>
              <w:t>Description</w:t>
            </w:r>
          </w:p>
        </w:tc>
      </w:tr>
      <w:tr w:rsidR="0010369C" w14:paraId="51DE77FA" w14:textId="77777777">
        <w:trPr>
          <w:trHeight w:val="556"/>
        </w:trPr>
        <w:tc>
          <w:tcPr>
            <w:tcW w:w="2268" w:type="dxa"/>
          </w:tcPr>
          <w:p w14:paraId="51DE77F6" w14:textId="77777777" w:rsidR="0010369C" w:rsidRDefault="008E43AE">
            <w:pPr>
              <w:pStyle w:val="TableParagraph"/>
              <w:spacing w:before="21"/>
              <w:ind w:left="113"/>
              <w:rPr>
                <w:rFonts w:ascii="Arial"/>
                <w:sz w:val="21"/>
              </w:rPr>
            </w:pPr>
            <w:r>
              <w:rPr>
                <w:rFonts w:ascii="Arial"/>
                <w:color w:val="161616"/>
                <w:w w:val="105"/>
                <w:sz w:val="21"/>
              </w:rPr>
              <w:t>Additional</w:t>
            </w:r>
            <w:r>
              <w:rPr>
                <w:rFonts w:ascii="Arial"/>
                <w:color w:val="161616"/>
                <w:spacing w:val="15"/>
                <w:w w:val="105"/>
                <w:sz w:val="21"/>
              </w:rPr>
              <w:t xml:space="preserve"> </w:t>
            </w:r>
            <w:r>
              <w:rPr>
                <w:rFonts w:ascii="Arial"/>
                <w:color w:val="080808"/>
                <w:spacing w:val="-2"/>
                <w:w w:val="105"/>
                <w:sz w:val="21"/>
              </w:rPr>
              <w:t>Final</w:t>
            </w:r>
          </w:p>
          <w:p w14:paraId="51DE77F7" w14:textId="77777777" w:rsidR="0010369C" w:rsidRDefault="008E43AE">
            <w:pPr>
              <w:pStyle w:val="TableParagraph"/>
              <w:spacing w:before="49" w:line="225" w:lineRule="exact"/>
              <w:ind w:left="106"/>
              <w:rPr>
                <w:rFonts w:ascii="Arial"/>
                <w:sz w:val="21"/>
              </w:rPr>
            </w:pPr>
            <w:r>
              <w:rPr>
                <w:rFonts w:ascii="Arial"/>
                <w:color w:val="161616"/>
                <w:spacing w:val="-2"/>
                <w:w w:val="105"/>
                <w:sz w:val="21"/>
              </w:rPr>
              <w:t>Disclosure</w:t>
            </w:r>
          </w:p>
        </w:tc>
        <w:tc>
          <w:tcPr>
            <w:tcW w:w="6773" w:type="dxa"/>
          </w:tcPr>
          <w:p w14:paraId="51DE77F8" w14:textId="77777777" w:rsidR="0010369C" w:rsidRDefault="008E43AE">
            <w:pPr>
              <w:pStyle w:val="TableParagraph"/>
              <w:spacing w:before="21"/>
              <w:ind w:left="106"/>
              <w:rPr>
                <w:rFonts w:ascii="Arial"/>
                <w:sz w:val="21"/>
              </w:rPr>
            </w:pPr>
            <w:r>
              <w:rPr>
                <w:rFonts w:ascii="Arial"/>
                <w:color w:val="080808"/>
                <w:spacing w:val="-2"/>
                <w:w w:val="105"/>
                <w:sz w:val="21"/>
              </w:rPr>
              <w:t>MOFCOM's</w:t>
            </w:r>
            <w:r>
              <w:rPr>
                <w:rFonts w:ascii="Arial"/>
                <w:color w:val="080808"/>
                <w:spacing w:val="-4"/>
                <w:w w:val="105"/>
                <w:sz w:val="21"/>
              </w:rPr>
              <w:t xml:space="preserve"> </w:t>
            </w:r>
            <w:r>
              <w:rPr>
                <w:rFonts w:ascii="Arial"/>
                <w:color w:val="080808"/>
                <w:spacing w:val="-2"/>
                <w:w w:val="105"/>
                <w:sz w:val="21"/>
              </w:rPr>
              <w:t>release</w:t>
            </w:r>
            <w:r>
              <w:rPr>
                <w:rFonts w:ascii="Arial"/>
                <w:color w:val="080808"/>
                <w:spacing w:val="-11"/>
                <w:w w:val="105"/>
                <w:sz w:val="21"/>
              </w:rPr>
              <w:t xml:space="preserve"> </w:t>
            </w:r>
            <w:r>
              <w:rPr>
                <w:rFonts w:ascii="Arial"/>
                <w:color w:val="161616"/>
                <w:spacing w:val="-2"/>
                <w:w w:val="105"/>
                <w:sz w:val="21"/>
              </w:rPr>
              <w:t>of</w:t>
            </w:r>
            <w:r>
              <w:rPr>
                <w:rFonts w:ascii="Arial"/>
                <w:color w:val="161616"/>
                <w:spacing w:val="3"/>
                <w:w w:val="105"/>
                <w:sz w:val="21"/>
              </w:rPr>
              <w:t xml:space="preserve"> </w:t>
            </w:r>
            <w:r>
              <w:rPr>
                <w:rFonts w:ascii="Arial"/>
                <w:color w:val="161616"/>
                <w:spacing w:val="-2"/>
                <w:w w:val="105"/>
                <w:sz w:val="21"/>
              </w:rPr>
              <w:t>34</w:t>
            </w:r>
            <w:r>
              <w:rPr>
                <w:rFonts w:ascii="Arial"/>
                <w:color w:val="161616"/>
                <w:spacing w:val="-1"/>
                <w:w w:val="105"/>
                <w:sz w:val="21"/>
              </w:rPr>
              <w:t xml:space="preserve"> </w:t>
            </w:r>
            <w:r>
              <w:rPr>
                <w:rFonts w:ascii="Arial"/>
                <w:color w:val="080808"/>
                <w:spacing w:val="-2"/>
                <w:w w:val="105"/>
                <w:sz w:val="21"/>
              </w:rPr>
              <w:t>pages</w:t>
            </w:r>
            <w:r>
              <w:rPr>
                <w:rFonts w:ascii="Arial"/>
                <w:color w:val="080808"/>
                <w:spacing w:val="-17"/>
                <w:w w:val="105"/>
                <w:sz w:val="21"/>
              </w:rPr>
              <w:t xml:space="preserve"> </w:t>
            </w:r>
            <w:r>
              <w:rPr>
                <w:rFonts w:ascii="Arial"/>
                <w:color w:val="161616"/>
                <w:spacing w:val="-2"/>
                <w:w w:val="105"/>
                <w:sz w:val="21"/>
              </w:rPr>
              <w:t>of</w:t>
            </w:r>
            <w:r>
              <w:rPr>
                <w:rFonts w:ascii="Arial"/>
                <w:color w:val="161616"/>
                <w:spacing w:val="8"/>
                <w:w w:val="105"/>
                <w:sz w:val="21"/>
              </w:rPr>
              <w:t xml:space="preserve"> </w:t>
            </w:r>
            <w:r>
              <w:rPr>
                <w:rFonts w:ascii="Arial"/>
                <w:color w:val="161616"/>
                <w:spacing w:val="-2"/>
                <w:w w:val="105"/>
                <w:sz w:val="21"/>
              </w:rPr>
              <w:t>supplementary</w:t>
            </w:r>
            <w:r>
              <w:rPr>
                <w:rFonts w:ascii="Arial"/>
                <w:color w:val="161616"/>
                <w:spacing w:val="3"/>
                <w:w w:val="105"/>
                <w:sz w:val="21"/>
              </w:rPr>
              <w:t xml:space="preserve"> </w:t>
            </w:r>
            <w:r>
              <w:rPr>
                <w:rFonts w:ascii="Arial"/>
                <w:color w:val="080808"/>
                <w:spacing w:val="-2"/>
                <w:w w:val="105"/>
                <w:sz w:val="21"/>
              </w:rPr>
              <w:t>Final</w:t>
            </w:r>
            <w:r>
              <w:rPr>
                <w:rFonts w:ascii="Arial"/>
                <w:color w:val="080808"/>
                <w:spacing w:val="-23"/>
                <w:w w:val="105"/>
                <w:sz w:val="21"/>
              </w:rPr>
              <w:t xml:space="preserve"> </w:t>
            </w:r>
            <w:r>
              <w:rPr>
                <w:rFonts w:ascii="Arial"/>
                <w:color w:val="080808"/>
                <w:spacing w:val="-2"/>
                <w:w w:val="105"/>
                <w:sz w:val="21"/>
              </w:rPr>
              <w:t>Disclosure</w:t>
            </w:r>
          </w:p>
          <w:p w14:paraId="51DE77F9" w14:textId="77777777" w:rsidR="0010369C" w:rsidRDefault="008E43AE">
            <w:pPr>
              <w:pStyle w:val="TableParagraph"/>
              <w:spacing w:before="49" w:line="225" w:lineRule="exact"/>
              <w:ind w:left="108"/>
              <w:rPr>
                <w:rFonts w:ascii="Arial"/>
                <w:sz w:val="21"/>
              </w:rPr>
            </w:pPr>
            <w:r>
              <w:rPr>
                <w:rFonts w:ascii="Arial"/>
                <w:color w:val="080808"/>
                <w:w w:val="105"/>
                <w:sz w:val="21"/>
              </w:rPr>
              <w:t>material</w:t>
            </w:r>
            <w:r>
              <w:rPr>
                <w:rFonts w:ascii="Arial"/>
                <w:color w:val="080808"/>
                <w:spacing w:val="3"/>
                <w:w w:val="105"/>
                <w:sz w:val="21"/>
              </w:rPr>
              <w:t xml:space="preserve"> </w:t>
            </w:r>
            <w:r>
              <w:rPr>
                <w:rFonts w:ascii="Arial"/>
                <w:color w:val="161616"/>
                <w:w w:val="105"/>
                <w:sz w:val="21"/>
              </w:rPr>
              <w:t>to</w:t>
            </w:r>
            <w:r>
              <w:rPr>
                <w:rFonts w:ascii="Arial"/>
                <w:color w:val="161616"/>
                <w:spacing w:val="19"/>
                <w:w w:val="105"/>
                <w:sz w:val="21"/>
              </w:rPr>
              <w:t xml:space="preserve"> </w:t>
            </w:r>
            <w:r>
              <w:rPr>
                <w:rFonts w:ascii="Arial"/>
                <w:color w:val="161616"/>
                <w:w w:val="105"/>
                <w:sz w:val="21"/>
              </w:rPr>
              <w:t>the</w:t>
            </w:r>
            <w:r>
              <w:rPr>
                <w:rFonts w:ascii="Arial"/>
                <w:color w:val="161616"/>
                <w:spacing w:val="13"/>
                <w:w w:val="105"/>
                <w:sz w:val="21"/>
              </w:rPr>
              <w:t xml:space="preserve"> </w:t>
            </w:r>
            <w:r>
              <w:rPr>
                <w:rFonts w:ascii="Arial"/>
                <w:color w:val="161616"/>
                <w:w w:val="105"/>
                <w:sz w:val="21"/>
              </w:rPr>
              <w:t>Australian</w:t>
            </w:r>
            <w:r>
              <w:rPr>
                <w:rFonts w:ascii="Arial"/>
                <w:color w:val="161616"/>
                <w:spacing w:val="7"/>
                <w:w w:val="105"/>
                <w:sz w:val="21"/>
              </w:rPr>
              <w:t xml:space="preserve"> </w:t>
            </w:r>
            <w:r>
              <w:rPr>
                <w:rFonts w:ascii="Arial"/>
                <w:color w:val="080808"/>
                <w:w w:val="105"/>
                <w:sz w:val="21"/>
              </w:rPr>
              <w:t>Government</w:t>
            </w:r>
            <w:r>
              <w:rPr>
                <w:rFonts w:ascii="Arial"/>
                <w:color w:val="080808"/>
                <w:spacing w:val="8"/>
                <w:w w:val="105"/>
                <w:sz w:val="21"/>
              </w:rPr>
              <w:t xml:space="preserve"> </w:t>
            </w:r>
            <w:r>
              <w:rPr>
                <w:rFonts w:ascii="Arial"/>
                <w:color w:val="161616"/>
                <w:w w:val="105"/>
                <w:sz w:val="21"/>
              </w:rPr>
              <w:t>on</w:t>
            </w:r>
            <w:r>
              <w:rPr>
                <w:rFonts w:ascii="Arial"/>
                <w:color w:val="161616"/>
                <w:spacing w:val="4"/>
                <w:w w:val="105"/>
                <w:sz w:val="21"/>
              </w:rPr>
              <w:t xml:space="preserve"> </w:t>
            </w:r>
            <w:r>
              <w:rPr>
                <w:rFonts w:ascii="Arial"/>
                <w:color w:val="080808"/>
                <w:w w:val="105"/>
                <w:sz w:val="21"/>
              </w:rPr>
              <w:t>17</w:t>
            </w:r>
            <w:r>
              <w:rPr>
                <w:rFonts w:ascii="Arial"/>
                <w:color w:val="080808"/>
                <w:spacing w:val="-5"/>
                <w:w w:val="105"/>
                <w:sz w:val="21"/>
              </w:rPr>
              <w:t xml:space="preserve"> </w:t>
            </w:r>
            <w:r>
              <w:rPr>
                <w:rFonts w:ascii="Arial"/>
                <w:color w:val="080808"/>
                <w:w w:val="105"/>
                <w:sz w:val="21"/>
              </w:rPr>
              <w:t>March</w:t>
            </w:r>
            <w:r>
              <w:rPr>
                <w:rFonts w:ascii="Arial"/>
                <w:color w:val="080808"/>
                <w:spacing w:val="5"/>
                <w:w w:val="105"/>
                <w:sz w:val="21"/>
              </w:rPr>
              <w:t xml:space="preserve"> </w:t>
            </w:r>
            <w:r>
              <w:rPr>
                <w:rFonts w:ascii="Arial"/>
                <w:color w:val="080808"/>
                <w:spacing w:val="-4"/>
                <w:w w:val="105"/>
                <w:sz w:val="21"/>
              </w:rPr>
              <w:t>2021</w:t>
            </w:r>
          </w:p>
        </w:tc>
      </w:tr>
      <w:tr w:rsidR="0010369C" w14:paraId="51DE77FD" w14:textId="77777777">
        <w:trPr>
          <w:trHeight w:val="576"/>
        </w:trPr>
        <w:tc>
          <w:tcPr>
            <w:tcW w:w="2268" w:type="dxa"/>
          </w:tcPr>
          <w:p w14:paraId="51DE77FB" w14:textId="77777777" w:rsidR="0010369C" w:rsidRDefault="008E43AE">
            <w:pPr>
              <w:pStyle w:val="TableParagraph"/>
              <w:spacing w:before="21"/>
              <w:ind w:left="113"/>
              <w:rPr>
                <w:rFonts w:ascii="Arial"/>
                <w:sz w:val="21"/>
              </w:rPr>
            </w:pPr>
            <w:r>
              <w:rPr>
                <w:rFonts w:ascii="Arial"/>
                <w:color w:val="161616"/>
                <w:spacing w:val="-5"/>
                <w:sz w:val="21"/>
              </w:rPr>
              <w:t>AGW</w:t>
            </w:r>
          </w:p>
        </w:tc>
        <w:tc>
          <w:tcPr>
            <w:tcW w:w="6773" w:type="dxa"/>
          </w:tcPr>
          <w:p w14:paraId="51DE77FC" w14:textId="77777777" w:rsidR="0010369C" w:rsidRDefault="008E43AE">
            <w:pPr>
              <w:pStyle w:val="TableParagraph"/>
              <w:spacing w:before="11"/>
              <w:ind w:left="112"/>
              <w:rPr>
                <w:rFonts w:ascii="Arial"/>
                <w:sz w:val="21"/>
              </w:rPr>
            </w:pPr>
            <w:r>
              <w:rPr>
                <w:rFonts w:ascii="Arial"/>
                <w:color w:val="161616"/>
                <w:w w:val="105"/>
                <w:sz w:val="21"/>
              </w:rPr>
              <w:t>Australian</w:t>
            </w:r>
            <w:r>
              <w:rPr>
                <w:rFonts w:ascii="Arial"/>
                <w:color w:val="161616"/>
                <w:spacing w:val="-9"/>
                <w:w w:val="105"/>
                <w:sz w:val="21"/>
              </w:rPr>
              <w:t xml:space="preserve"> </w:t>
            </w:r>
            <w:r>
              <w:rPr>
                <w:rFonts w:ascii="Arial"/>
                <w:color w:val="080808"/>
                <w:w w:val="105"/>
                <w:sz w:val="21"/>
              </w:rPr>
              <w:t>Grape</w:t>
            </w:r>
            <w:r>
              <w:rPr>
                <w:rFonts w:ascii="Arial"/>
                <w:color w:val="080808"/>
                <w:spacing w:val="-11"/>
                <w:w w:val="105"/>
                <w:sz w:val="21"/>
              </w:rPr>
              <w:t xml:space="preserve"> </w:t>
            </w:r>
            <w:r>
              <w:rPr>
                <w:rFonts w:ascii="Arial"/>
                <w:color w:val="161616"/>
                <w:w w:val="105"/>
                <w:sz w:val="21"/>
              </w:rPr>
              <w:t>and</w:t>
            </w:r>
            <w:r>
              <w:rPr>
                <w:rFonts w:ascii="Arial"/>
                <w:color w:val="161616"/>
                <w:spacing w:val="-16"/>
                <w:w w:val="105"/>
                <w:sz w:val="21"/>
              </w:rPr>
              <w:t xml:space="preserve"> </w:t>
            </w:r>
            <w:r>
              <w:rPr>
                <w:rFonts w:ascii="Arial"/>
                <w:color w:val="161616"/>
                <w:w w:val="105"/>
                <w:sz w:val="21"/>
              </w:rPr>
              <w:t>Wine</w:t>
            </w:r>
            <w:r>
              <w:rPr>
                <w:rFonts w:ascii="Arial"/>
                <w:color w:val="161616"/>
                <w:spacing w:val="-20"/>
                <w:w w:val="105"/>
                <w:sz w:val="21"/>
              </w:rPr>
              <w:t xml:space="preserve"> </w:t>
            </w:r>
            <w:r>
              <w:rPr>
                <w:rFonts w:ascii="Arial"/>
                <w:color w:val="080808"/>
                <w:spacing w:val="-5"/>
                <w:w w:val="105"/>
                <w:sz w:val="21"/>
              </w:rPr>
              <w:t>Inc</w:t>
            </w:r>
          </w:p>
        </w:tc>
      </w:tr>
      <w:tr w:rsidR="0010369C" w14:paraId="51DE7801" w14:textId="77777777">
        <w:trPr>
          <w:trHeight w:val="556"/>
        </w:trPr>
        <w:tc>
          <w:tcPr>
            <w:tcW w:w="2268" w:type="dxa"/>
          </w:tcPr>
          <w:p w14:paraId="51DE77FE" w14:textId="77777777" w:rsidR="0010369C" w:rsidRDefault="008E43AE">
            <w:pPr>
              <w:pStyle w:val="TableParagraph"/>
              <w:spacing w:before="21"/>
              <w:ind w:left="113"/>
              <w:rPr>
                <w:rFonts w:ascii="Arial"/>
                <w:sz w:val="21"/>
              </w:rPr>
            </w:pPr>
            <w:r>
              <w:rPr>
                <w:rFonts w:ascii="Arial"/>
                <w:color w:val="161616"/>
                <w:spacing w:val="-2"/>
                <w:w w:val="105"/>
                <w:sz w:val="21"/>
              </w:rPr>
              <w:t>Anti-Dumping</w:t>
            </w:r>
          </w:p>
          <w:p w14:paraId="51DE77FF" w14:textId="77777777" w:rsidR="0010369C" w:rsidRDefault="008E43AE">
            <w:pPr>
              <w:pStyle w:val="TableParagraph"/>
              <w:spacing w:before="49" w:line="225" w:lineRule="exact"/>
              <w:ind w:left="113"/>
              <w:rPr>
                <w:rFonts w:ascii="Arial"/>
                <w:sz w:val="21"/>
              </w:rPr>
            </w:pPr>
            <w:r>
              <w:rPr>
                <w:rFonts w:ascii="Arial"/>
                <w:color w:val="161616"/>
                <w:spacing w:val="-2"/>
                <w:w w:val="105"/>
                <w:sz w:val="21"/>
              </w:rPr>
              <w:t>Agreement</w:t>
            </w:r>
          </w:p>
        </w:tc>
        <w:tc>
          <w:tcPr>
            <w:tcW w:w="6773" w:type="dxa"/>
          </w:tcPr>
          <w:p w14:paraId="51DE7800" w14:textId="77777777" w:rsidR="0010369C" w:rsidRDefault="008E43AE">
            <w:pPr>
              <w:pStyle w:val="TableParagraph"/>
              <w:spacing w:before="21"/>
              <w:ind w:left="112"/>
              <w:rPr>
                <w:rFonts w:ascii="Arial"/>
                <w:sz w:val="21"/>
              </w:rPr>
            </w:pPr>
            <w:r>
              <w:rPr>
                <w:rFonts w:ascii="Arial"/>
                <w:color w:val="161616"/>
                <w:w w:val="105"/>
                <w:sz w:val="21"/>
              </w:rPr>
              <w:t>Agreement</w:t>
            </w:r>
            <w:r>
              <w:rPr>
                <w:rFonts w:ascii="Arial"/>
                <w:color w:val="161616"/>
                <w:spacing w:val="7"/>
                <w:w w:val="105"/>
                <w:sz w:val="21"/>
              </w:rPr>
              <w:t xml:space="preserve"> </w:t>
            </w:r>
            <w:r>
              <w:rPr>
                <w:rFonts w:ascii="Arial"/>
                <w:color w:val="161616"/>
                <w:w w:val="105"/>
                <w:sz w:val="21"/>
              </w:rPr>
              <w:t>on the</w:t>
            </w:r>
            <w:r>
              <w:rPr>
                <w:rFonts w:ascii="Arial"/>
                <w:color w:val="161616"/>
                <w:spacing w:val="19"/>
                <w:w w:val="105"/>
                <w:sz w:val="21"/>
              </w:rPr>
              <w:t xml:space="preserve"> </w:t>
            </w:r>
            <w:r>
              <w:rPr>
                <w:rFonts w:ascii="Arial"/>
                <w:color w:val="080808"/>
                <w:w w:val="105"/>
                <w:sz w:val="21"/>
              </w:rPr>
              <w:t>Implementation</w:t>
            </w:r>
            <w:r>
              <w:rPr>
                <w:rFonts w:ascii="Arial"/>
                <w:color w:val="080808"/>
                <w:spacing w:val="-28"/>
                <w:w w:val="105"/>
                <w:sz w:val="21"/>
              </w:rPr>
              <w:t xml:space="preserve"> </w:t>
            </w:r>
            <w:r>
              <w:rPr>
                <w:rFonts w:ascii="Arial"/>
                <w:color w:val="161616"/>
                <w:w w:val="105"/>
                <w:sz w:val="21"/>
              </w:rPr>
              <w:t>of</w:t>
            </w:r>
            <w:r>
              <w:rPr>
                <w:rFonts w:ascii="Arial"/>
                <w:color w:val="161616"/>
                <w:spacing w:val="4"/>
                <w:w w:val="105"/>
                <w:sz w:val="21"/>
              </w:rPr>
              <w:t xml:space="preserve"> </w:t>
            </w:r>
            <w:r>
              <w:rPr>
                <w:rFonts w:ascii="Arial"/>
                <w:color w:val="161616"/>
                <w:w w:val="105"/>
                <w:sz w:val="21"/>
              </w:rPr>
              <w:t>Article</w:t>
            </w:r>
            <w:r>
              <w:rPr>
                <w:rFonts w:ascii="Arial"/>
                <w:color w:val="161616"/>
                <w:spacing w:val="-4"/>
                <w:w w:val="105"/>
                <w:sz w:val="21"/>
              </w:rPr>
              <w:t xml:space="preserve"> </w:t>
            </w:r>
            <w:r>
              <w:rPr>
                <w:rFonts w:ascii="Arial"/>
                <w:color w:val="161616"/>
                <w:w w:val="105"/>
                <w:sz w:val="21"/>
              </w:rPr>
              <w:t>VI</w:t>
            </w:r>
            <w:r>
              <w:rPr>
                <w:rFonts w:ascii="Arial"/>
                <w:color w:val="161616"/>
                <w:spacing w:val="-12"/>
                <w:w w:val="105"/>
                <w:sz w:val="21"/>
              </w:rPr>
              <w:t xml:space="preserve"> </w:t>
            </w:r>
            <w:r>
              <w:rPr>
                <w:rFonts w:ascii="Arial"/>
                <w:color w:val="161616"/>
                <w:w w:val="105"/>
                <w:sz w:val="21"/>
              </w:rPr>
              <w:t>of</w:t>
            </w:r>
            <w:r>
              <w:rPr>
                <w:rFonts w:ascii="Arial"/>
                <w:color w:val="161616"/>
                <w:spacing w:val="5"/>
                <w:w w:val="105"/>
                <w:sz w:val="21"/>
              </w:rPr>
              <w:t xml:space="preserve"> </w:t>
            </w:r>
            <w:r>
              <w:rPr>
                <w:rFonts w:ascii="Arial"/>
                <w:color w:val="161616"/>
                <w:w w:val="105"/>
                <w:sz w:val="21"/>
              </w:rPr>
              <w:t>GATT</w:t>
            </w:r>
            <w:r>
              <w:rPr>
                <w:rFonts w:ascii="Arial"/>
                <w:color w:val="161616"/>
                <w:spacing w:val="-12"/>
                <w:w w:val="105"/>
                <w:sz w:val="21"/>
              </w:rPr>
              <w:t xml:space="preserve"> </w:t>
            </w:r>
            <w:r>
              <w:rPr>
                <w:rFonts w:ascii="Arial"/>
                <w:color w:val="080808"/>
                <w:spacing w:val="-4"/>
                <w:w w:val="105"/>
                <w:sz w:val="21"/>
              </w:rPr>
              <w:t>1994</w:t>
            </w:r>
          </w:p>
        </w:tc>
      </w:tr>
      <w:tr w:rsidR="0010369C" w14:paraId="51DE7805" w14:textId="77777777">
        <w:trPr>
          <w:trHeight w:val="1137"/>
        </w:trPr>
        <w:tc>
          <w:tcPr>
            <w:tcW w:w="2268" w:type="dxa"/>
          </w:tcPr>
          <w:p w14:paraId="51DE7802" w14:textId="77777777" w:rsidR="0010369C" w:rsidRDefault="008E43AE">
            <w:pPr>
              <w:pStyle w:val="TableParagraph"/>
              <w:spacing w:before="11" w:line="309" w:lineRule="auto"/>
              <w:ind w:left="113"/>
              <w:rPr>
                <w:rFonts w:ascii="Arial"/>
                <w:sz w:val="21"/>
              </w:rPr>
            </w:pPr>
            <w:r>
              <w:rPr>
                <w:rFonts w:ascii="Arial"/>
                <w:color w:val="161616"/>
                <w:w w:val="105"/>
                <w:sz w:val="21"/>
              </w:rPr>
              <w:t xml:space="preserve">Anti-Dumping </w:t>
            </w:r>
            <w:r>
              <w:rPr>
                <w:rFonts w:ascii="Arial"/>
                <w:color w:val="080808"/>
                <w:w w:val="105"/>
                <w:sz w:val="21"/>
              </w:rPr>
              <w:t xml:space="preserve">Duty </w:t>
            </w:r>
            <w:r>
              <w:rPr>
                <w:rFonts w:ascii="Arial"/>
                <w:color w:val="161616"/>
                <w:spacing w:val="-2"/>
                <w:w w:val="105"/>
                <w:sz w:val="21"/>
              </w:rPr>
              <w:t>Announcement</w:t>
            </w:r>
          </w:p>
        </w:tc>
        <w:tc>
          <w:tcPr>
            <w:tcW w:w="6773" w:type="dxa"/>
          </w:tcPr>
          <w:p w14:paraId="51DE7803" w14:textId="77777777" w:rsidR="0010369C" w:rsidRDefault="008E43AE">
            <w:pPr>
              <w:pStyle w:val="TableParagraph"/>
              <w:spacing w:before="11" w:line="292" w:lineRule="auto"/>
              <w:ind w:left="108" w:right="60" w:hanging="2"/>
              <w:rPr>
                <w:rFonts w:ascii="Arial"/>
                <w:sz w:val="21"/>
              </w:rPr>
            </w:pPr>
            <w:r>
              <w:rPr>
                <w:rFonts w:ascii="Arial"/>
                <w:color w:val="080808"/>
                <w:w w:val="105"/>
                <w:sz w:val="21"/>
              </w:rPr>
              <w:t xml:space="preserve">MOFCOM, </w:t>
            </w:r>
            <w:r>
              <w:rPr>
                <w:rFonts w:ascii="Arial"/>
                <w:color w:val="161616"/>
                <w:w w:val="105"/>
                <w:sz w:val="21"/>
              </w:rPr>
              <w:t>"Announcement</w:t>
            </w:r>
            <w:r>
              <w:rPr>
                <w:rFonts w:ascii="Arial"/>
                <w:color w:val="161616"/>
                <w:spacing w:val="40"/>
                <w:w w:val="105"/>
                <w:sz w:val="21"/>
              </w:rPr>
              <w:t xml:space="preserve"> </w:t>
            </w:r>
            <w:r>
              <w:rPr>
                <w:rFonts w:ascii="Arial"/>
                <w:color w:val="161616"/>
                <w:w w:val="105"/>
                <w:sz w:val="21"/>
              </w:rPr>
              <w:t xml:space="preserve">No. 6 of 2021of </w:t>
            </w:r>
            <w:r>
              <w:rPr>
                <w:rFonts w:ascii="Arial"/>
                <w:color w:val="080808"/>
                <w:w w:val="105"/>
                <w:sz w:val="21"/>
              </w:rPr>
              <w:t xml:space="preserve">the Ministry </w:t>
            </w:r>
            <w:r>
              <w:rPr>
                <w:rFonts w:ascii="Arial"/>
                <w:color w:val="161616"/>
                <w:w w:val="105"/>
                <w:sz w:val="21"/>
              </w:rPr>
              <w:t xml:space="preserve">of Commerce on the </w:t>
            </w:r>
            <w:r>
              <w:rPr>
                <w:rFonts w:ascii="Arial"/>
                <w:color w:val="080808"/>
                <w:w w:val="105"/>
                <w:sz w:val="21"/>
              </w:rPr>
              <w:t>Final</w:t>
            </w:r>
            <w:r>
              <w:rPr>
                <w:rFonts w:ascii="Arial"/>
                <w:color w:val="080808"/>
                <w:spacing w:val="-6"/>
                <w:w w:val="105"/>
                <w:sz w:val="21"/>
              </w:rPr>
              <w:t xml:space="preserve"> </w:t>
            </w:r>
            <w:r>
              <w:rPr>
                <w:rFonts w:ascii="Arial"/>
                <w:color w:val="161616"/>
                <w:w w:val="105"/>
                <w:sz w:val="21"/>
              </w:rPr>
              <w:t>Ruling</w:t>
            </w:r>
            <w:r>
              <w:rPr>
                <w:rFonts w:ascii="Arial"/>
                <w:color w:val="161616"/>
                <w:spacing w:val="-14"/>
                <w:w w:val="105"/>
                <w:sz w:val="21"/>
              </w:rPr>
              <w:t xml:space="preserve"> </w:t>
            </w:r>
            <w:r>
              <w:rPr>
                <w:rFonts w:ascii="Arial"/>
                <w:color w:val="161616"/>
                <w:w w:val="105"/>
                <w:sz w:val="21"/>
              </w:rPr>
              <w:t>of the Anti-dumping</w:t>
            </w:r>
            <w:r>
              <w:rPr>
                <w:rFonts w:ascii="Arial"/>
                <w:color w:val="161616"/>
                <w:spacing w:val="-7"/>
                <w:w w:val="105"/>
                <w:sz w:val="21"/>
              </w:rPr>
              <w:t xml:space="preserve"> </w:t>
            </w:r>
            <w:r>
              <w:rPr>
                <w:rFonts w:ascii="Arial"/>
                <w:color w:val="080808"/>
                <w:w w:val="105"/>
                <w:sz w:val="21"/>
              </w:rPr>
              <w:t>Investigation into</w:t>
            </w:r>
            <w:r>
              <w:rPr>
                <w:rFonts w:ascii="Arial"/>
                <w:color w:val="080808"/>
                <w:spacing w:val="-12"/>
                <w:w w:val="105"/>
                <w:sz w:val="21"/>
              </w:rPr>
              <w:t xml:space="preserve"> </w:t>
            </w:r>
            <w:r>
              <w:rPr>
                <w:rFonts w:ascii="Arial"/>
                <w:color w:val="080808"/>
                <w:w w:val="105"/>
                <w:sz w:val="21"/>
              </w:rPr>
              <w:t xml:space="preserve">Relevant Imported </w:t>
            </w:r>
            <w:r>
              <w:rPr>
                <w:rFonts w:ascii="Arial"/>
                <w:color w:val="161616"/>
                <w:w w:val="105"/>
                <w:sz w:val="21"/>
              </w:rPr>
              <w:t xml:space="preserve">Wines Originating </w:t>
            </w:r>
            <w:r>
              <w:rPr>
                <w:rFonts w:ascii="Arial"/>
                <w:color w:val="080808"/>
                <w:w w:val="105"/>
                <w:sz w:val="21"/>
              </w:rPr>
              <w:t xml:space="preserve">in </w:t>
            </w:r>
            <w:r>
              <w:rPr>
                <w:rFonts w:ascii="Arial"/>
                <w:color w:val="161616"/>
                <w:w w:val="105"/>
                <w:sz w:val="21"/>
              </w:rPr>
              <w:t>Australia", 26</w:t>
            </w:r>
            <w:r>
              <w:rPr>
                <w:rFonts w:ascii="Arial"/>
                <w:color w:val="161616"/>
                <w:spacing w:val="-12"/>
                <w:w w:val="105"/>
                <w:sz w:val="21"/>
              </w:rPr>
              <w:t xml:space="preserve"> </w:t>
            </w:r>
            <w:r>
              <w:rPr>
                <w:rFonts w:ascii="Arial"/>
                <w:color w:val="080808"/>
                <w:w w:val="105"/>
                <w:sz w:val="21"/>
              </w:rPr>
              <w:t>March</w:t>
            </w:r>
          </w:p>
          <w:p w14:paraId="51DE7804" w14:textId="77777777" w:rsidR="0010369C" w:rsidRDefault="008E43AE">
            <w:pPr>
              <w:pStyle w:val="TableParagraph"/>
              <w:spacing w:before="8" w:line="215" w:lineRule="exact"/>
              <w:ind w:left="116"/>
              <w:rPr>
                <w:rFonts w:ascii="Arial"/>
                <w:sz w:val="21"/>
              </w:rPr>
            </w:pPr>
            <w:r>
              <w:rPr>
                <w:rFonts w:ascii="Arial"/>
                <w:color w:val="080808"/>
                <w:spacing w:val="-4"/>
                <w:w w:val="110"/>
                <w:sz w:val="21"/>
              </w:rPr>
              <w:t>2021</w:t>
            </w:r>
          </w:p>
        </w:tc>
      </w:tr>
      <w:tr w:rsidR="0010369C" w14:paraId="51DE780A" w14:textId="77777777">
        <w:trPr>
          <w:trHeight w:val="556"/>
        </w:trPr>
        <w:tc>
          <w:tcPr>
            <w:tcW w:w="2268" w:type="dxa"/>
          </w:tcPr>
          <w:p w14:paraId="51DE7806" w14:textId="77777777" w:rsidR="0010369C" w:rsidRDefault="008E43AE">
            <w:pPr>
              <w:pStyle w:val="TableParagraph"/>
              <w:spacing w:before="11"/>
              <w:ind w:left="113"/>
              <w:rPr>
                <w:rFonts w:ascii="Arial"/>
                <w:sz w:val="21"/>
              </w:rPr>
            </w:pPr>
            <w:r>
              <w:rPr>
                <w:rFonts w:ascii="Arial"/>
                <w:color w:val="161616"/>
                <w:spacing w:val="-2"/>
                <w:w w:val="105"/>
                <w:sz w:val="21"/>
              </w:rPr>
              <w:t>Anti-Dumping</w:t>
            </w:r>
          </w:p>
          <w:p w14:paraId="51DE7807" w14:textId="77777777" w:rsidR="0010369C" w:rsidRDefault="008E43AE">
            <w:pPr>
              <w:pStyle w:val="TableParagraph"/>
              <w:spacing w:before="69" w:line="215" w:lineRule="exact"/>
              <w:ind w:left="113"/>
              <w:rPr>
                <w:rFonts w:ascii="Arial"/>
                <w:sz w:val="21"/>
              </w:rPr>
            </w:pPr>
            <w:r>
              <w:rPr>
                <w:rFonts w:ascii="Arial"/>
                <w:color w:val="161616"/>
                <w:spacing w:val="-2"/>
                <w:w w:val="105"/>
                <w:sz w:val="21"/>
              </w:rPr>
              <w:t>Questionnaire</w:t>
            </w:r>
          </w:p>
        </w:tc>
        <w:tc>
          <w:tcPr>
            <w:tcW w:w="6773" w:type="dxa"/>
          </w:tcPr>
          <w:p w14:paraId="51DE7808" w14:textId="77777777" w:rsidR="0010369C" w:rsidRDefault="008E43AE">
            <w:pPr>
              <w:pStyle w:val="TableParagraph"/>
              <w:spacing w:before="11"/>
              <w:ind w:left="105"/>
              <w:rPr>
                <w:rFonts w:ascii="Arial"/>
                <w:sz w:val="21"/>
              </w:rPr>
            </w:pPr>
            <w:r>
              <w:rPr>
                <w:rFonts w:ascii="Arial"/>
                <w:color w:val="080808"/>
                <w:w w:val="105"/>
                <w:sz w:val="21"/>
              </w:rPr>
              <w:t>Unless</w:t>
            </w:r>
            <w:r>
              <w:rPr>
                <w:rFonts w:ascii="Arial"/>
                <w:color w:val="080808"/>
                <w:spacing w:val="-11"/>
                <w:w w:val="105"/>
                <w:sz w:val="21"/>
              </w:rPr>
              <w:t xml:space="preserve"> </w:t>
            </w:r>
            <w:r>
              <w:rPr>
                <w:rFonts w:ascii="Arial"/>
                <w:color w:val="161616"/>
                <w:w w:val="105"/>
                <w:sz w:val="21"/>
              </w:rPr>
              <w:t>otherwise</w:t>
            </w:r>
            <w:r>
              <w:rPr>
                <w:rFonts w:ascii="Arial"/>
                <w:color w:val="161616"/>
                <w:spacing w:val="-8"/>
                <w:w w:val="105"/>
                <w:sz w:val="21"/>
              </w:rPr>
              <w:t xml:space="preserve"> </w:t>
            </w:r>
            <w:r>
              <w:rPr>
                <w:rFonts w:ascii="Arial"/>
                <w:color w:val="161616"/>
                <w:w w:val="105"/>
                <w:sz w:val="21"/>
              </w:rPr>
              <w:t>specified</w:t>
            </w:r>
            <w:r>
              <w:rPr>
                <w:rFonts w:ascii="Arial"/>
                <w:color w:val="161616"/>
                <w:spacing w:val="-14"/>
                <w:w w:val="105"/>
                <w:sz w:val="21"/>
              </w:rPr>
              <w:t xml:space="preserve"> </w:t>
            </w:r>
            <w:r>
              <w:rPr>
                <w:rFonts w:ascii="Arial"/>
                <w:color w:val="080808"/>
                <w:w w:val="105"/>
                <w:sz w:val="21"/>
              </w:rPr>
              <w:t>means</w:t>
            </w:r>
            <w:r>
              <w:rPr>
                <w:rFonts w:ascii="Arial"/>
                <w:color w:val="080808"/>
                <w:spacing w:val="-16"/>
                <w:w w:val="105"/>
                <w:sz w:val="21"/>
              </w:rPr>
              <w:t xml:space="preserve"> </w:t>
            </w:r>
            <w:r>
              <w:rPr>
                <w:rFonts w:ascii="Arial"/>
                <w:color w:val="161616"/>
                <w:w w:val="105"/>
                <w:sz w:val="21"/>
              </w:rPr>
              <w:t>the</w:t>
            </w:r>
            <w:r>
              <w:rPr>
                <w:rFonts w:ascii="Arial"/>
                <w:color w:val="161616"/>
                <w:spacing w:val="7"/>
                <w:w w:val="105"/>
                <w:sz w:val="21"/>
              </w:rPr>
              <w:t xml:space="preserve"> </w:t>
            </w:r>
            <w:r>
              <w:rPr>
                <w:rFonts w:ascii="Arial"/>
                <w:color w:val="080808"/>
                <w:w w:val="105"/>
                <w:sz w:val="21"/>
              </w:rPr>
              <w:t>Exporter</w:t>
            </w:r>
            <w:r>
              <w:rPr>
                <w:rFonts w:ascii="Arial"/>
                <w:color w:val="080808"/>
                <w:spacing w:val="-10"/>
                <w:w w:val="105"/>
                <w:sz w:val="21"/>
              </w:rPr>
              <w:t xml:space="preserve"> </w:t>
            </w:r>
            <w:r>
              <w:rPr>
                <w:rFonts w:ascii="Arial"/>
                <w:color w:val="161616"/>
                <w:spacing w:val="-2"/>
                <w:w w:val="105"/>
                <w:sz w:val="21"/>
              </w:rPr>
              <w:t>Questionnaire</w:t>
            </w:r>
          </w:p>
          <w:p w14:paraId="51DE7809" w14:textId="77777777" w:rsidR="0010369C" w:rsidRDefault="008E43AE">
            <w:pPr>
              <w:pStyle w:val="TableParagraph"/>
              <w:spacing w:before="59" w:line="225" w:lineRule="exact"/>
              <w:ind w:left="108"/>
              <w:rPr>
                <w:rFonts w:ascii="Arial"/>
                <w:sz w:val="21"/>
              </w:rPr>
            </w:pPr>
            <w:r>
              <w:rPr>
                <w:rFonts w:ascii="Arial"/>
                <w:color w:val="080808"/>
                <w:w w:val="105"/>
                <w:sz w:val="21"/>
              </w:rPr>
              <w:t>issued</w:t>
            </w:r>
            <w:r>
              <w:rPr>
                <w:rFonts w:ascii="Arial"/>
                <w:color w:val="080808"/>
                <w:spacing w:val="-16"/>
                <w:w w:val="105"/>
                <w:sz w:val="21"/>
              </w:rPr>
              <w:t xml:space="preserve"> </w:t>
            </w:r>
            <w:r>
              <w:rPr>
                <w:rFonts w:ascii="Arial"/>
                <w:color w:val="080808"/>
                <w:w w:val="105"/>
                <w:sz w:val="21"/>
              </w:rPr>
              <w:t>by</w:t>
            </w:r>
            <w:r>
              <w:rPr>
                <w:rFonts w:ascii="Arial"/>
                <w:color w:val="080808"/>
                <w:spacing w:val="-18"/>
                <w:w w:val="105"/>
                <w:sz w:val="21"/>
              </w:rPr>
              <w:t xml:space="preserve"> </w:t>
            </w:r>
            <w:r>
              <w:rPr>
                <w:rFonts w:ascii="Arial"/>
                <w:color w:val="161616"/>
                <w:w w:val="105"/>
                <w:sz w:val="21"/>
              </w:rPr>
              <w:t>MOFCOM</w:t>
            </w:r>
            <w:r>
              <w:rPr>
                <w:rFonts w:ascii="Arial"/>
                <w:color w:val="161616"/>
                <w:spacing w:val="-10"/>
                <w:w w:val="105"/>
                <w:sz w:val="21"/>
              </w:rPr>
              <w:t xml:space="preserve"> </w:t>
            </w:r>
            <w:r>
              <w:rPr>
                <w:rFonts w:ascii="Arial"/>
                <w:color w:val="080808"/>
                <w:w w:val="105"/>
                <w:sz w:val="21"/>
              </w:rPr>
              <w:t>to</w:t>
            </w:r>
            <w:r>
              <w:rPr>
                <w:rFonts w:ascii="Arial"/>
                <w:color w:val="080808"/>
                <w:spacing w:val="9"/>
                <w:w w:val="105"/>
                <w:sz w:val="21"/>
              </w:rPr>
              <w:t xml:space="preserve"> </w:t>
            </w:r>
            <w:r>
              <w:rPr>
                <w:rFonts w:ascii="Arial"/>
                <w:color w:val="161616"/>
                <w:w w:val="105"/>
                <w:sz w:val="21"/>
              </w:rPr>
              <w:t>Australian</w:t>
            </w:r>
            <w:r>
              <w:rPr>
                <w:rFonts w:ascii="Arial"/>
                <w:color w:val="161616"/>
                <w:spacing w:val="-13"/>
                <w:w w:val="105"/>
                <w:sz w:val="21"/>
              </w:rPr>
              <w:t xml:space="preserve"> </w:t>
            </w:r>
            <w:r>
              <w:rPr>
                <w:rFonts w:ascii="Arial"/>
                <w:color w:val="161616"/>
                <w:w w:val="105"/>
                <w:sz w:val="21"/>
              </w:rPr>
              <w:t>exporters</w:t>
            </w:r>
            <w:r>
              <w:rPr>
                <w:rFonts w:ascii="Arial"/>
                <w:color w:val="161616"/>
                <w:spacing w:val="-4"/>
                <w:w w:val="105"/>
                <w:sz w:val="21"/>
              </w:rPr>
              <w:t xml:space="preserve"> </w:t>
            </w:r>
            <w:r>
              <w:rPr>
                <w:rFonts w:ascii="Arial"/>
                <w:color w:val="161616"/>
                <w:w w:val="105"/>
                <w:sz w:val="21"/>
              </w:rPr>
              <w:t>on</w:t>
            </w:r>
            <w:r>
              <w:rPr>
                <w:rFonts w:ascii="Arial"/>
                <w:color w:val="161616"/>
                <w:spacing w:val="-17"/>
                <w:w w:val="105"/>
                <w:sz w:val="21"/>
              </w:rPr>
              <w:t xml:space="preserve"> </w:t>
            </w:r>
            <w:r>
              <w:rPr>
                <w:rFonts w:ascii="Arial"/>
                <w:color w:val="080808"/>
                <w:w w:val="105"/>
                <w:sz w:val="21"/>
              </w:rPr>
              <w:t>10</w:t>
            </w:r>
            <w:r>
              <w:rPr>
                <w:rFonts w:ascii="Arial"/>
                <w:color w:val="080808"/>
                <w:spacing w:val="-14"/>
                <w:w w:val="105"/>
                <w:sz w:val="21"/>
              </w:rPr>
              <w:t xml:space="preserve"> </w:t>
            </w:r>
            <w:r>
              <w:rPr>
                <w:rFonts w:ascii="Arial"/>
                <w:color w:val="161616"/>
                <w:w w:val="105"/>
                <w:sz w:val="21"/>
              </w:rPr>
              <w:t>October</w:t>
            </w:r>
            <w:r>
              <w:rPr>
                <w:rFonts w:ascii="Arial"/>
                <w:color w:val="161616"/>
                <w:spacing w:val="5"/>
                <w:w w:val="105"/>
                <w:sz w:val="21"/>
              </w:rPr>
              <w:t xml:space="preserve"> </w:t>
            </w:r>
            <w:r>
              <w:rPr>
                <w:rFonts w:ascii="Arial"/>
                <w:color w:val="080808"/>
                <w:spacing w:val="-4"/>
                <w:w w:val="105"/>
                <w:sz w:val="21"/>
              </w:rPr>
              <w:t>2020</w:t>
            </w:r>
          </w:p>
        </w:tc>
      </w:tr>
      <w:tr w:rsidR="0010369C" w14:paraId="51DE780D" w14:textId="77777777">
        <w:trPr>
          <w:trHeight w:val="355"/>
        </w:trPr>
        <w:tc>
          <w:tcPr>
            <w:tcW w:w="2268" w:type="dxa"/>
          </w:tcPr>
          <w:p w14:paraId="51DE780B" w14:textId="77777777" w:rsidR="0010369C" w:rsidRDefault="008E43AE">
            <w:pPr>
              <w:pStyle w:val="TableParagraph"/>
              <w:spacing w:before="21"/>
              <w:ind w:left="113"/>
              <w:rPr>
                <w:rFonts w:ascii="Arial"/>
                <w:sz w:val="21"/>
              </w:rPr>
            </w:pPr>
            <w:r>
              <w:rPr>
                <w:rFonts w:ascii="Arial"/>
                <w:color w:val="161616"/>
                <w:spacing w:val="-5"/>
                <w:sz w:val="21"/>
              </w:rPr>
              <w:t>AUD</w:t>
            </w:r>
          </w:p>
        </w:tc>
        <w:tc>
          <w:tcPr>
            <w:tcW w:w="6773" w:type="dxa"/>
          </w:tcPr>
          <w:p w14:paraId="51DE780C" w14:textId="77777777" w:rsidR="0010369C" w:rsidRDefault="008E43AE">
            <w:pPr>
              <w:pStyle w:val="TableParagraph"/>
              <w:spacing w:before="11"/>
              <w:ind w:left="112"/>
              <w:rPr>
                <w:rFonts w:ascii="Arial"/>
                <w:sz w:val="21"/>
              </w:rPr>
            </w:pPr>
            <w:r>
              <w:rPr>
                <w:rFonts w:ascii="Arial"/>
                <w:color w:val="161616"/>
                <w:spacing w:val="-2"/>
                <w:w w:val="105"/>
                <w:sz w:val="21"/>
              </w:rPr>
              <w:t>Australian</w:t>
            </w:r>
            <w:r>
              <w:rPr>
                <w:rFonts w:ascii="Arial"/>
                <w:color w:val="161616"/>
                <w:spacing w:val="4"/>
                <w:w w:val="105"/>
                <w:sz w:val="21"/>
              </w:rPr>
              <w:t xml:space="preserve"> </w:t>
            </w:r>
            <w:r>
              <w:rPr>
                <w:rFonts w:ascii="Arial"/>
                <w:color w:val="080808"/>
                <w:spacing w:val="-2"/>
                <w:w w:val="105"/>
                <w:sz w:val="21"/>
              </w:rPr>
              <w:t>Dollars</w:t>
            </w:r>
          </w:p>
        </w:tc>
      </w:tr>
      <w:tr w:rsidR="0010369C" w14:paraId="51DE7811" w14:textId="77777777">
        <w:trPr>
          <w:trHeight w:val="536"/>
        </w:trPr>
        <w:tc>
          <w:tcPr>
            <w:tcW w:w="2268" w:type="dxa"/>
          </w:tcPr>
          <w:p w14:paraId="51DE780E" w14:textId="77777777" w:rsidR="0010369C" w:rsidRDefault="008E43AE">
            <w:pPr>
              <w:pStyle w:val="TableParagraph"/>
              <w:spacing w:before="21"/>
              <w:ind w:left="113"/>
              <w:rPr>
                <w:rFonts w:ascii="Arial"/>
                <w:sz w:val="21"/>
              </w:rPr>
            </w:pPr>
            <w:r>
              <w:rPr>
                <w:rFonts w:ascii="Arial"/>
                <w:color w:val="161616"/>
                <w:spacing w:val="-2"/>
                <w:w w:val="105"/>
                <w:sz w:val="21"/>
              </w:rPr>
              <w:t>Australian</w:t>
            </w:r>
            <w:r>
              <w:rPr>
                <w:rFonts w:ascii="Arial"/>
                <w:color w:val="161616"/>
                <w:spacing w:val="1"/>
                <w:w w:val="105"/>
                <w:sz w:val="21"/>
              </w:rPr>
              <w:t xml:space="preserve"> </w:t>
            </w:r>
            <w:r>
              <w:rPr>
                <w:rFonts w:ascii="Arial"/>
                <w:color w:val="080808"/>
                <w:spacing w:val="-2"/>
                <w:w w:val="105"/>
                <w:sz w:val="21"/>
              </w:rPr>
              <w:t>Food</w:t>
            </w:r>
            <w:r>
              <w:rPr>
                <w:rFonts w:ascii="Arial"/>
                <w:color w:val="080808"/>
                <w:spacing w:val="-7"/>
                <w:w w:val="105"/>
                <w:sz w:val="21"/>
              </w:rPr>
              <w:t xml:space="preserve"> </w:t>
            </w:r>
            <w:r>
              <w:rPr>
                <w:rFonts w:ascii="Arial"/>
                <w:color w:val="080808"/>
                <w:spacing w:val="-5"/>
                <w:w w:val="105"/>
                <w:sz w:val="21"/>
              </w:rPr>
              <w:t>and</w:t>
            </w:r>
          </w:p>
          <w:p w14:paraId="51DE780F" w14:textId="77777777" w:rsidR="0010369C" w:rsidRDefault="008E43AE">
            <w:pPr>
              <w:pStyle w:val="TableParagraph"/>
              <w:spacing w:before="39" w:line="215" w:lineRule="exact"/>
              <w:ind w:left="107"/>
              <w:rPr>
                <w:rFonts w:ascii="Arial"/>
                <w:sz w:val="21"/>
              </w:rPr>
            </w:pPr>
            <w:r>
              <w:rPr>
                <w:rFonts w:ascii="Arial"/>
                <w:color w:val="080808"/>
                <w:spacing w:val="-2"/>
                <w:sz w:val="21"/>
              </w:rPr>
              <w:t>Beverage</w:t>
            </w:r>
          </w:p>
        </w:tc>
        <w:tc>
          <w:tcPr>
            <w:tcW w:w="6773" w:type="dxa"/>
          </w:tcPr>
          <w:p w14:paraId="51DE7810" w14:textId="77777777" w:rsidR="0010369C" w:rsidRDefault="008E43AE">
            <w:pPr>
              <w:pStyle w:val="TableParagraph"/>
              <w:spacing w:before="11"/>
              <w:ind w:left="112"/>
              <w:rPr>
                <w:rFonts w:ascii="Arial"/>
                <w:sz w:val="21"/>
              </w:rPr>
            </w:pPr>
            <w:r>
              <w:rPr>
                <w:rFonts w:ascii="Arial"/>
                <w:color w:val="161616"/>
                <w:spacing w:val="-2"/>
                <w:w w:val="105"/>
                <w:sz w:val="21"/>
              </w:rPr>
              <w:t>Australian</w:t>
            </w:r>
            <w:r>
              <w:rPr>
                <w:rFonts w:ascii="Arial"/>
                <w:color w:val="161616"/>
                <w:spacing w:val="-3"/>
                <w:w w:val="105"/>
                <w:sz w:val="21"/>
              </w:rPr>
              <w:t xml:space="preserve"> </w:t>
            </w:r>
            <w:r>
              <w:rPr>
                <w:rFonts w:ascii="Arial"/>
                <w:color w:val="080808"/>
                <w:spacing w:val="-2"/>
                <w:w w:val="105"/>
                <w:sz w:val="21"/>
              </w:rPr>
              <w:t>Food</w:t>
            </w:r>
            <w:r>
              <w:rPr>
                <w:rFonts w:ascii="Arial"/>
                <w:color w:val="080808"/>
                <w:spacing w:val="-14"/>
                <w:w w:val="105"/>
                <w:sz w:val="21"/>
              </w:rPr>
              <w:t xml:space="preserve"> </w:t>
            </w:r>
            <w:r>
              <w:rPr>
                <w:rFonts w:ascii="Arial"/>
                <w:color w:val="080808"/>
                <w:spacing w:val="-2"/>
                <w:w w:val="105"/>
                <w:sz w:val="21"/>
              </w:rPr>
              <w:t>and</w:t>
            </w:r>
            <w:r>
              <w:rPr>
                <w:rFonts w:ascii="Arial"/>
                <w:color w:val="080808"/>
                <w:spacing w:val="-13"/>
                <w:w w:val="105"/>
                <w:sz w:val="21"/>
              </w:rPr>
              <w:t xml:space="preserve"> </w:t>
            </w:r>
            <w:r>
              <w:rPr>
                <w:rFonts w:ascii="Arial"/>
                <w:color w:val="080808"/>
                <w:spacing w:val="-2"/>
                <w:w w:val="105"/>
                <w:sz w:val="21"/>
              </w:rPr>
              <w:t>Beverage</w:t>
            </w:r>
            <w:r>
              <w:rPr>
                <w:rFonts w:ascii="Arial"/>
                <w:color w:val="080808"/>
                <w:spacing w:val="-9"/>
                <w:w w:val="105"/>
                <w:sz w:val="21"/>
              </w:rPr>
              <w:t xml:space="preserve"> </w:t>
            </w:r>
            <w:r>
              <w:rPr>
                <w:rFonts w:ascii="Arial"/>
                <w:color w:val="161616"/>
                <w:spacing w:val="-2"/>
                <w:w w:val="105"/>
                <w:sz w:val="21"/>
              </w:rPr>
              <w:t>Group</w:t>
            </w:r>
            <w:r>
              <w:rPr>
                <w:rFonts w:ascii="Arial"/>
                <w:color w:val="161616"/>
                <w:spacing w:val="1"/>
                <w:w w:val="105"/>
                <w:sz w:val="21"/>
              </w:rPr>
              <w:t xml:space="preserve"> </w:t>
            </w:r>
            <w:r>
              <w:rPr>
                <w:rFonts w:ascii="Arial"/>
                <w:color w:val="161616"/>
                <w:spacing w:val="-2"/>
                <w:w w:val="105"/>
                <w:sz w:val="21"/>
              </w:rPr>
              <w:t>Pty</w:t>
            </w:r>
            <w:r>
              <w:rPr>
                <w:rFonts w:ascii="Arial"/>
                <w:color w:val="161616"/>
                <w:spacing w:val="-21"/>
                <w:w w:val="105"/>
                <w:sz w:val="21"/>
              </w:rPr>
              <w:t xml:space="preserve"> </w:t>
            </w:r>
            <w:r>
              <w:rPr>
                <w:rFonts w:ascii="Arial"/>
                <w:color w:val="080808"/>
                <w:spacing w:val="-5"/>
                <w:w w:val="105"/>
                <w:sz w:val="21"/>
              </w:rPr>
              <w:t>Ltd</w:t>
            </w:r>
          </w:p>
        </w:tc>
      </w:tr>
      <w:tr w:rsidR="0010369C" w14:paraId="51DE7814" w14:textId="77777777">
        <w:trPr>
          <w:trHeight w:val="355"/>
        </w:trPr>
        <w:tc>
          <w:tcPr>
            <w:tcW w:w="2268" w:type="dxa"/>
          </w:tcPr>
          <w:p w14:paraId="51DE7812" w14:textId="77777777" w:rsidR="0010369C" w:rsidRDefault="008E43AE">
            <w:pPr>
              <w:pStyle w:val="TableParagraph"/>
              <w:spacing w:before="41"/>
              <w:ind w:left="107"/>
              <w:rPr>
                <w:rFonts w:ascii="Arial"/>
                <w:sz w:val="21"/>
              </w:rPr>
            </w:pPr>
            <w:r>
              <w:rPr>
                <w:rFonts w:ascii="Arial"/>
                <w:color w:val="080808"/>
                <w:spacing w:val="-5"/>
                <w:sz w:val="21"/>
              </w:rPr>
              <w:t>BCI</w:t>
            </w:r>
          </w:p>
        </w:tc>
        <w:tc>
          <w:tcPr>
            <w:tcW w:w="6773" w:type="dxa"/>
          </w:tcPr>
          <w:p w14:paraId="51DE7813" w14:textId="77777777" w:rsidR="0010369C" w:rsidRDefault="008E43AE">
            <w:pPr>
              <w:pStyle w:val="TableParagraph"/>
              <w:spacing w:before="31"/>
              <w:ind w:left="107"/>
              <w:rPr>
                <w:rFonts w:ascii="Arial"/>
                <w:sz w:val="21"/>
              </w:rPr>
            </w:pPr>
            <w:r>
              <w:rPr>
                <w:rFonts w:ascii="Arial"/>
                <w:color w:val="080808"/>
                <w:sz w:val="21"/>
              </w:rPr>
              <w:t>Business</w:t>
            </w:r>
            <w:r>
              <w:rPr>
                <w:rFonts w:ascii="Arial"/>
                <w:color w:val="080808"/>
                <w:spacing w:val="18"/>
                <w:sz w:val="21"/>
              </w:rPr>
              <w:t xml:space="preserve"> </w:t>
            </w:r>
            <w:r>
              <w:rPr>
                <w:rFonts w:ascii="Arial"/>
                <w:color w:val="161616"/>
                <w:sz w:val="21"/>
              </w:rPr>
              <w:t>Confidential</w:t>
            </w:r>
            <w:r>
              <w:rPr>
                <w:rFonts w:ascii="Arial"/>
                <w:color w:val="161616"/>
                <w:spacing w:val="23"/>
                <w:sz w:val="21"/>
              </w:rPr>
              <w:t xml:space="preserve"> </w:t>
            </w:r>
            <w:r>
              <w:rPr>
                <w:rFonts w:ascii="Arial"/>
                <w:color w:val="080808"/>
                <w:spacing w:val="-2"/>
                <w:sz w:val="21"/>
              </w:rPr>
              <w:t>Information</w:t>
            </w:r>
          </w:p>
        </w:tc>
      </w:tr>
      <w:tr w:rsidR="0010369C" w14:paraId="51DE7817" w14:textId="77777777">
        <w:trPr>
          <w:trHeight w:val="355"/>
        </w:trPr>
        <w:tc>
          <w:tcPr>
            <w:tcW w:w="2268" w:type="dxa"/>
          </w:tcPr>
          <w:p w14:paraId="51DE7815" w14:textId="77777777" w:rsidR="0010369C" w:rsidRDefault="008E43AE">
            <w:pPr>
              <w:pStyle w:val="TableParagraph"/>
              <w:spacing w:before="41"/>
              <w:ind w:left="112"/>
              <w:rPr>
                <w:rFonts w:ascii="Arial"/>
                <w:sz w:val="21"/>
              </w:rPr>
            </w:pPr>
            <w:r>
              <w:rPr>
                <w:rFonts w:ascii="Arial"/>
                <w:color w:val="161616"/>
                <w:spacing w:val="-4"/>
                <w:sz w:val="21"/>
              </w:rPr>
              <w:t>CADA</w:t>
            </w:r>
          </w:p>
        </w:tc>
        <w:tc>
          <w:tcPr>
            <w:tcW w:w="6773" w:type="dxa"/>
          </w:tcPr>
          <w:p w14:paraId="51DE7816" w14:textId="77777777" w:rsidR="0010369C" w:rsidRDefault="008E43AE">
            <w:pPr>
              <w:pStyle w:val="TableParagraph"/>
              <w:spacing w:before="31"/>
              <w:ind w:left="112"/>
              <w:rPr>
                <w:rFonts w:ascii="Arial"/>
                <w:sz w:val="21"/>
              </w:rPr>
            </w:pPr>
            <w:r>
              <w:rPr>
                <w:rFonts w:ascii="Arial"/>
                <w:color w:val="161616"/>
                <w:sz w:val="21"/>
              </w:rPr>
              <w:t>China</w:t>
            </w:r>
            <w:r>
              <w:rPr>
                <w:rFonts w:ascii="Arial"/>
                <w:color w:val="161616"/>
                <w:spacing w:val="17"/>
                <w:sz w:val="21"/>
              </w:rPr>
              <w:t xml:space="preserve"> </w:t>
            </w:r>
            <w:r>
              <w:rPr>
                <w:rFonts w:ascii="Arial"/>
                <w:color w:val="161616"/>
                <w:sz w:val="21"/>
              </w:rPr>
              <w:t>Alcoholic</w:t>
            </w:r>
            <w:r>
              <w:rPr>
                <w:rFonts w:ascii="Arial"/>
                <w:color w:val="161616"/>
                <w:spacing w:val="16"/>
                <w:sz w:val="21"/>
              </w:rPr>
              <w:t xml:space="preserve"> </w:t>
            </w:r>
            <w:r>
              <w:rPr>
                <w:rFonts w:ascii="Arial"/>
                <w:color w:val="080808"/>
                <w:sz w:val="21"/>
              </w:rPr>
              <w:t>Drinks</w:t>
            </w:r>
            <w:r>
              <w:rPr>
                <w:rFonts w:ascii="Arial"/>
                <w:color w:val="080808"/>
                <w:spacing w:val="3"/>
                <w:sz w:val="21"/>
              </w:rPr>
              <w:t xml:space="preserve"> </w:t>
            </w:r>
            <w:r>
              <w:rPr>
                <w:rFonts w:ascii="Arial"/>
                <w:color w:val="161616"/>
                <w:spacing w:val="-2"/>
                <w:sz w:val="21"/>
              </w:rPr>
              <w:t>Association</w:t>
            </w:r>
          </w:p>
        </w:tc>
      </w:tr>
      <w:tr w:rsidR="0010369C" w14:paraId="51DE781B" w14:textId="77777777">
        <w:trPr>
          <w:trHeight w:val="857"/>
        </w:trPr>
        <w:tc>
          <w:tcPr>
            <w:tcW w:w="2268" w:type="dxa"/>
          </w:tcPr>
          <w:p w14:paraId="51DE7818" w14:textId="77777777" w:rsidR="0010369C" w:rsidRDefault="008E43AE">
            <w:pPr>
              <w:pStyle w:val="TableParagraph"/>
              <w:spacing w:before="31" w:line="300" w:lineRule="auto"/>
              <w:ind w:left="113" w:hanging="1"/>
              <w:rPr>
                <w:rFonts w:ascii="Arial"/>
                <w:sz w:val="21"/>
              </w:rPr>
            </w:pPr>
            <w:r>
              <w:rPr>
                <w:rFonts w:ascii="Arial"/>
                <w:color w:val="161616"/>
                <w:sz w:val="21"/>
              </w:rPr>
              <w:t xml:space="preserve">CADA Anti-Dumping </w:t>
            </w:r>
            <w:r>
              <w:rPr>
                <w:rFonts w:ascii="Arial"/>
                <w:color w:val="161616"/>
                <w:spacing w:val="-2"/>
                <w:w w:val="105"/>
                <w:sz w:val="21"/>
              </w:rPr>
              <w:t>Application</w:t>
            </w:r>
          </w:p>
        </w:tc>
        <w:tc>
          <w:tcPr>
            <w:tcW w:w="6773" w:type="dxa"/>
          </w:tcPr>
          <w:p w14:paraId="51DE7819" w14:textId="77777777" w:rsidR="0010369C" w:rsidRDefault="008E43AE">
            <w:pPr>
              <w:pStyle w:val="TableParagraph"/>
              <w:spacing w:before="31" w:line="288" w:lineRule="auto"/>
              <w:ind w:left="105" w:right="157" w:firstLine="6"/>
              <w:rPr>
                <w:rFonts w:ascii="Arial"/>
                <w:sz w:val="21"/>
              </w:rPr>
            </w:pPr>
            <w:r>
              <w:rPr>
                <w:rFonts w:ascii="Arial"/>
                <w:color w:val="161616"/>
                <w:w w:val="105"/>
                <w:sz w:val="21"/>
              </w:rPr>
              <w:t>CADA,</w:t>
            </w:r>
            <w:r>
              <w:rPr>
                <w:rFonts w:ascii="Arial"/>
                <w:color w:val="161616"/>
                <w:spacing w:val="-11"/>
                <w:w w:val="105"/>
                <w:sz w:val="21"/>
              </w:rPr>
              <w:t xml:space="preserve"> </w:t>
            </w:r>
            <w:r>
              <w:rPr>
                <w:rFonts w:ascii="Arial"/>
                <w:color w:val="282828"/>
                <w:w w:val="105"/>
                <w:sz w:val="21"/>
              </w:rPr>
              <w:t xml:space="preserve">"Application </w:t>
            </w:r>
            <w:r>
              <w:rPr>
                <w:rFonts w:ascii="Arial"/>
                <w:color w:val="161616"/>
                <w:w w:val="105"/>
                <w:sz w:val="21"/>
              </w:rPr>
              <w:t>of</w:t>
            </w:r>
            <w:r>
              <w:rPr>
                <w:rFonts w:ascii="Arial"/>
                <w:color w:val="161616"/>
                <w:spacing w:val="-1"/>
                <w:w w:val="105"/>
                <w:sz w:val="21"/>
              </w:rPr>
              <w:t xml:space="preserve"> </w:t>
            </w:r>
            <w:r>
              <w:rPr>
                <w:rFonts w:ascii="Arial"/>
                <w:color w:val="080808"/>
                <w:w w:val="105"/>
                <w:sz w:val="21"/>
              </w:rPr>
              <w:t xml:space="preserve">the </w:t>
            </w:r>
            <w:r>
              <w:rPr>
                <w:rFonts w:ascii="Arial"/>
                <w:color w:val="161616"/>
                <w:w w:val="105"/>
                <w:sz w:val="21"/>
              </w:rPr>
              <w:t>Wine</w:t>
            </w:r>
            <w:r>
              <w:rPr>
                <w:rFonts w:ascii="Arial"/>
                <w:color w:val="161616"/>
                <w:spacing w:val="-13"/>
                <w:w w:val="105"/>
                <w:sz w:val="21"/>
              </w:rPr>
              <w:t xml:space="preserve"> </w:t>
            </w:r>
            <w:r>
              <w:rPr>
                <w:rFonts w:ascii="Arial"/>
                <w:color w:val="161616"/>
                <w:w w:val="105"/>
                <w:sz w:val="21"/>
              </w:rPr>
              <w:t>Industry</w:t>
            </w:r>
            <w:r>
              <w:rPr>
                <w:rFonts w:ascii="Arial"/>
                <w:color w:val="161616"/>
                <w:spacing w:val="-7"/>
                <w:w w:val="105"/>
                <w:sz w:val="21"/>
              </w:rPr>
              <w:t xml:space="preserve"> </w:t>
            </w:r>
            <w:r>
              <w:rPr>
                <w:rFonts w:ascii="Arial"/>
                <w:color w:val="161616"/>
                <w:w w:val="105"/>
                <w:sz w:val="21"/>
              </w:rPr>
              <w:t>of</w:t>
            </w:r>
            <w:r>
              <w:rPr>
                <w:rFonts w:ascii="Arial"/>
                <w:color w:val="161616"/>
                <w:spacing w:val="-1"/>
                <w:w w:val="105"/>
                <w:sz w:val="21"/>
              </w:rPr>
              <w:t xml:space="preserve"> </w:t>
            </w:r>
            <w:r>
              <w:rPr>
                <w:rFonts w:ascii="Arial"/>
                <w:color w:val="161616"/>
                <w:w w:val="105"/>
                <w:sz w:val="21"/>
              </w:rPr>
              <w:t>the</w:t>
            </w:r>
            <w:r>
              <w:rPr>
                <w:rFonts w:ascii="Arial"/>
                <w:color w:val="161616"/>
                <w:spacing w:val="-2"/>
                <w:w w:val="105"/>
                <w:sz w:val="21"/>
              </w:rPr>
              <w:t xml:space="preserve"> </w:t>
            </w:r>
            <w:r>
              <w:rPr>
                <w:rFonts w:ascii="Arial"/>
                <w:color w:val="080808"/>
                <w:w w:val="105"/>
                <w:sz w:val="21"/>
              </w:rPr>
              <w:t>People's</w:t>
            </w:r>
            <w:r>
              <w:rPr>
                <w:rFonts w:ascii="Arial"/>
                <w:color w:val="080808"/>
                <w:spacing w:val="-16"/>
                <w:w w:val="105"/>
                <w:sz w:val="21"/>
              </w:rPr>
              <w:t xml:space="preserve"> </w:t>
            </w:r>
            <w:r>
              <w:rPr>
                <w:rFonts w:ascii="Arial"/>
                <w:color w:val="080808"/>
                <w:w w:val="105"/>
                <w:sz w:val="21"/>
              </w:rPr>
              <w:t xml:space="preserve">Republic </w:t>
            </w:r>
            <w:r>
              <w:rPr>
                <w:rFonts w:ascii="Arial"/>
                <w:color w:val="161616"/>
                <w:w w:val="105"/>
                <w:sz w:val="21"/>
              </w:rPr>
              <w:t>of China for</w:t>
            </w:r>
            <w:r>
              <w:rPr>
                <w:rFonts w:ascii="Arial"/>
                <w:color w:val="161616"/>
                <w:spacing w:val="40"/>
                <w:w w:val="105"/>
                <w:sz w:val="21"/>
              </w:rPr>
              <w:t xml:space="preserve"> </w:t>
            </w:r>
            <w:r>
              <w:rPr>
                <w:rFonts w:ascii="Arial"/>
                <w:color w:val="161616"/>
                <w:w w:val="105"/>
                <w:sz w:val="21"/>
              </w:rPr>
              <w:t xml:space="preserve">Anti-dumping Investigation on </w:t>
            </w:r>
            <w:r>
              <w:rPr>
                <w:rFonts w:ascii="Arial"/>
                <w:color w:val="080808"/>
                <w:w w:val="105"/>
                <w:sz w:val="21"/>
              </w:rPr>
              <w:t xml:space="preserve">Imported </w:t>
            </w:r>
            <w:r>
              <w:rPr>
                <w:rFonts w:ascii="Arial"/>
                <w:color w:val="161616"/>
                <w:w w:val="105"/>
                <w:sz w:val="21"/>
              </w:rPr>
              <w:t>Wines</w:t>
            </w:r>
          </w:p>
          <w:p w14:paraId="51DE781A" w14:textId="77777777" w:rsidR="0010369C" w:rsidRDefault="008E43AE">
            <w:pPr>
              <w:pStyle w:val="TableParagraph"/>
              <w:spacing w:before="2" w:line="225" w:lineRule="exact"/>
              <w:ind w:left="112"/>
              <w:rPr>
                <w:rFonts w:ascii="Arial"/>
                <w:sz w:val="21"/>
              </w:rPr>
            </w:pPr>
            <w:r>
              <w:rPr>
                <w:rFonts w:ascii="Arial"/>
                <w:color w:val="161616"/>
                <w:w w:val="105"/>
                <w:sz w:val="21"/>
              </w:rPr>
              <w:t>Originating</w:t>
            </w:r>
            <w:r>
              <w:rPr>
                <w:rFonts w:ascii="Arial"/>
                <w:color w:val="161616"/>
                <w:spacing w:val="-10"/>
                <w:w w:val="105"/>
                <w:sz w:val="21"/>
              </w:rPr>
              <w:t xml:space="preserve"> </w:t>
            </w:r>
            <w:r>
              <w:rPr>
                <w:rFonts w:ascii="Arial"/>
                <w:color w:val="080808"/>
                <w:w w:val="105"/>
                <w:sz w:val="21"/>
              </w:rPr>
              <w:t>in</w:t>
            </w:r>
            <w:r>
              <w:rPr>
                <w:rFonts w:ascii="Arial"/>
                <w:color w:val="080808"/>
                <w:spacing w:val="10"/>
                <w:w w:val="105"/>
                <w:sz w:val="21"/>
              </w:rPr>
              <w:t xml:space="preserve"> </w:t>
            </w:r>
            <w:r>
              <w:rPr>
                <w:rFonts w:ascii="Arial"/>
                <w:color w:val="161616"/>
                <w:w w:val="105"/>
                <w:sz w:val="21"/>
              </w:rPr>
              <w:t>Australia",</w:t>
            </w:r>
            <w:r>
              <w:rPr>
                <w:rFonts w:ascii="Arial"/>
                <w:color w:val="161616"/>
                <w:spacing w:val="-3"/>
                <w:w w:val="105"/>
                <w:sz w:val="21"/>
              </w:rPr>
              <w:t xml:space="preserve"> </w:t>
            </w:r>
            <w:r>
              <w:rPr>
                <w:rFonts w:ascii="Arial"/>
                <w:color w:val="161616"/>
                <w:w w:val="105"/>
                <w:sz w:val="21"/>
              </w:rPr>
              <w:t>6</w:t>
            </w:r>
            <w:r>
              <w:rPr>
                <w:rFonts w:ascii="Arial"/>
                <w:color w:val="161616"/>
                <w:spacing w:val="-27"/>
                <w:w w:val="105"/>
                <w:sz w:val="21"/>
              </w:rPr>
              <w:t xml:space="preserve"> </w:t>
            </w:r>
            <w:r>
              <w:rPr>
                <w:rFonts w:ascii="Arial"/>
                <w:color w:val="080808"/>
                <w:w w:val="105"/>
                <w:sz w:val="21"/>
              </w:rPr>
              <w:t>July</w:t>
            </w:r>
            <w:r>
              <w:rPr>
                <w:rFonts w:ascii="Arial"/>
                <w:color w:val="080808"/>
                <w:spacing w:val="-12"/>
                <w:w w:val="105"/>
                <w:sz w:val="21"/>
              </w:rPr>
              <w:t xml:space="preserve"> </w:t>
            </w:r>
            <w:r>
              <w:rPr>
                <w:rFonts w:ascii="Arial"/>
                <w:color w:val="080808"/>
                <w:spacing w:val="-4"/>
                <w:w w:val="105"/>
                <w:sz w:val="21"/>
              </w:rPr>
              <w:t>2020</w:t>
            </w:r>
          </w:p>
        </w:tc>
      </w:tr>
      <w:tr w:rsidR="0010369C" w14:paraId="51DE781E" w14:textId="77777777">
        <w:trPr>
          <w:trHeight w:val="355"/>
        </w:trPr>
        <w:tc>
          <w:tcPr>
            <w:tcW w:w="2268" w:type="dxa"/>
          </w:tcPr>
          <w:p w14:paraId="51DE781C" w14:textId="77777777" w:rsidR="0010369C" w:rsidRDefault="008E43AE">
            <w:pPr>
              <w:pStyle w:val="TableParagraph"/>
              <w:spacing w:before="21"/>
              <w:ind w:left="112"/>
              <w:rPr>
                <w:rFonts w:ascii="Arial"/>
                <w:sz w:val="21"/>
              </w:rPr>
            </w:pPr>
            <w:r>
              <w:rPr>
                <w:rFonts w:ascii="Arial"/>
                <w:color w:val="161616"/>
                <w:w w:val="95"/>
                <w:sz w:val="21"/>
              </w:rPr>
              <w:t>Casella</w:t>
            </w:r>
            <w:r>
              <w:rPr>
                <w:rFonts w:ascii="Arial"/>
                <w:color w:val="161616"/>
                <w:spacing w:val="8"/>
                <w:sz w:val="21"/>
              </w:rPr>
              <w:t xml:space="preserve"> </w:t>
            </w:r>
            <w:r>
              <w:rPr>
                <w:rFonts w:ascii="Arial"/>
                <w:color w:val="161616"/>
                <w:spacing w:val="-2"/>
                <w:sz w:val="21"/>
              </w:rPr>
              <w:t>Wines</w:t>
            </w:r>
          </w:p>
        </w:tc>
        <w:tc>
          <w:tcPr>
            <w:tcW w:w="6773" w:type="dxa"/>
          </w:tcPr>
          <w:p w14:paraId="51DE781D" w14:textId="77777777" w:rsidR="0010369C" w:rsidRDefault="008E43AE">
            <w:pPr>
              <w:pStyle w:val="TableParagraph"/>
              <w:spacing w:before="11"/>
              <w:ind w:left="112"/>
              <w:rPr>
                <w:rFonts w:ascii="Arial"/>
                <w:sz w:val="21"/>
              </w:rPr>
            </w:pPr>
            <w:r>
              <w:rPr>
                <w:rFonts w:ascii="Arial"/>
                <w:color w:val="161616"/>
                <w:sz w:val="21"/>
              </w:rPr>
              <w:t>Casella</w:t>
            </w:r>
            <w:r>
              <w:rPr>
                <w:rFonts w:ascii="Arial"/>
                <w:color w:val="161616"/>
                <w:spacing w:val="11"/>
                <w:sz w:val="21"/>
              </w:rPr>
              <w:t xml:space="preserve"> </w:t>
            </w:r>
            <w:r>
              <w:rPr>
                <w:rFonts w:ascii="Arial"/>
                <w:color w:val="161616"/>
                <w:sz w:val="21"/>
              </w:rPr>
              <w:t>Wines</w:t>
            </w:r>
            <w:r>
              <w:rPr>
                <w:rFonts w:ascii="Arial"/>
                <w:color w:val="161616"/>
                <w:spacing w:val="-11"/>
                <w:sz w:val="21"/>
              </w:rPr>
              <w:t xml:space="preserve"> </w:t>
            </w:r>
            <w:r>
              <w:rPr>
                <w:rFonts w:ascii="Arial"/>
                <w:color w:val="161616"/>
                <w:sz w:val="21"/>
              </w:rPr>
              <w:t>Pty</w:t>
            </w:r>
            <w:r>
              <w:rPr>
                <w:rFonts w:ascii="Arial"/>
                <w:color w:val="161616"/>
                <w:spacing w:val="-19"/>
                <w:sz w:val="21"/>
              </w:rPr>
              <w:t xml:space="preserve"> </w:t>
            </w:r>
            <w:r>
              <w:rPr>
                <w:rFonts w:ascii="Arial"/>
                <w:color w:val="080808"/>
                <w:spacing w:val="-5"/>
                <w:sz w:val="21"/>
              </w:rPr>
              <w:t>Ltd</w:t>
            </w:r>
          </w:p>
        </w:tc>
      </w:tr>
      <w:tr w:rsidR="0010369C" w14:paraId="51DE7821" w14:textId="77777777">
        <w:trPr>
          <w:trHeight w:val="355"/>
        </w:trPr>
        <w:tc>
          <w:tcPr>
            <w:tcW w:w="2268" w:type="dxa"/>
          </w:tcPr>
          <w:p w14:paraId="51DE781F" w14:textId="77777777" w:rsidR="0010369C" w:rsidRDefault="008E43AE">
            <w:pPr>
              <w:pStyle w:val="TableParagraph"/>
              <w:spacing w:before="31"/>
              <w:ind w:left="112"/>
              <w:rPr>
                <w:rFonts w:ascii="Arial"/>
                <w:sz w:val="21"/>
              </w:rPr>
            </w:pPr>
            <w:r>
              <w:rPr>
                <w:rFonts w:ascii="Arial"/>
                <w:color w:val="161616"/>
                <w:spacing w:val="-2"/>
                <w:sz w:val="21"/>
              </w:rPr>
              <w:t>ChAFTA</w:t>
            </w:r>
          </w:p>
        </w:tc>
        <w:tc>
          <w:tcPr>
            <w:tcW w:w="6773" w:type="dxa"/>
          </w:tcPr>
          <w:p w14:paraId="51DE7820" w14:textId="77777777" w:rsidR="0010369C" w:rsidRDefault="008E43AE">
            <w:pPr>
              <w:pStyle w:val="TableParagraph"/>
              <w:spacing w:before="21"/>
              <w:ind w:left="112"/>
              <w:rPr>
                <w:rFonts w:ascii="Arial"/>
                <w:sz w:val="21"/>
              </w:rPr>
            </w:pPr>
            <w:r>
              <w:rPr>
                <w:rFonts w:ascii="Arial"/>
                <w:color w:val="161616"/>
                <w:sz w:val="21"/>
              </w:rPr>
              <w:t>China-Australia</w:t>
            </w:r>
            <w:r>
              <w:rPr>
                <w:rFonts w:ascii="Arial"/>
                <w:color w:val="161616"/>
                <w:spacing w:val="4"/>
                <w:sz w:val="21"/>
              </w:rPr>
              <w:t xml:space="preserve"> </w:t>
            </w:r>
            <w:r>
              <w:rPr>
                <w:rFonts w:ascii="Arial"/>
                <w:color w:val="080808"/>
                <w:sz w:val="21"/>
              </w:rPr>
              <w:t>Free</w:t>
            </w:r>
            <w:r>
              <w:rPr>
                <w:rFonts w:ascii="Arial"/>
                <w:color w:val="080808"/>
                <w:spacing w:val="7"/>
                <w:sz w:val="21"/>
              </w:rPr>
              <w:t xml:space="preserve"> </w:t>
            </w:r>
            <w:r>
              <w:rPr>
                <w:rFonts w:ascii="Arial"/>
                <w:color w:val="080808"/>
                <w:sz w:val="21"/>
              </w:rPr>
              <w:t>Trade</w:t>
            </w:r>
            <w:r>
              <w:rPr>
                <w:rFonts w:ascii="Arial"/>
                <w:color w:val="080808"/>
                <w:spacing w:val="18"/>
                <w:sz w:val="21"/>
              </w:rPr>
              <w:t xml:space="preserve"> </w:t>
            </w:r>
            <w:r>
              <w:rPr>
                <w:rFonts w:ascii="Arial"/>
                <w:color w:val="161616"/>
                <w:spacing w:val="-2"/>
                <w:sz w:val="21"/>
              </w:rPr>
              <w:t>Agreement</w:t>
            </w:r>
          </w:p>
        </w:tc>
      </w:tr>
      <w:tr w:rsidR="0010369C" w14:paraId="51DE7824" w14:textId="77777777">
        <w:trPr>
          <w:trHeight w:val="355"/>
        </w:trPr>
        <w:tc>
          <w:tcPr>
            <w:tcW w:w="2268" w:type="dxa"/>
          </w:tcPr>
          <w:p w14:paraId="51DE7822" w14:textId="77777777" w:rsidR="0010369C" w:rsidRDefault="008E43AE">
            <w:pPr>
              <w:pStyle w:val="TableParagraph"/>
              <w:spacing w:before="11"/>
              <w:ind w:left="112"/>
              <w:rPr>
                <w:rFonts w:ascii="Arial"/>
                <w:sz w:val="21"/>
              </w:rPr>
            </w:pPr>
            <w:r>
              <w:rPr>
                <w:rFonts w:ascii="Arial"/>
                <w:color w:val="161616"/>
                <w:sz w:val="21"/>
              </w:rPr>
              <w:t>Changyu</w:t>
            </w:r>
            <w:r>
              <w:rPr>
                <w:rFonts w:ascii="Arial"/>
                <w:color w:val="161616"/>
                <w:spacing w:val="-7"/>
                <w:sz w:val="21"/>
              </w:rPr>
              <w:t xml:space="preserve"> </w:t>
            </w:r>
            <w:r>
              <w:rPr>
                <w:rFonts w:ascii="Arial"/>
                <w:color w:val="161616"/>
                <w:spacing w:val="-4"/>
                <w:sz w:val="21"/>
              </w:rPr>
              <w:t>Wine</w:t>
            </w:r>
          </w:p>
        </w:tc>
        <w:tc>
          <w:tcPr>
            <w:tcW w:w="6773" w:type="dxa"/>
          </w:tcPr>
          <w:p w14:paraId="51DE7823" w14:textId="77777777" w:rsidR="0010369C" w:rsidRDefault="008E43AE">
            <w:pPr>
              <w:pStyle w:val="TableParagraph"/>
              <w:spacing w:before="11"/>
              <w:ind w:left="111"/>
              <w:rPr>
                <w:rFonts w:ascii="Arial"/>
                <w:sz w:val="21"/>
              </w:rPr>
            </w:pPr>
            <w:r>
              <w:rPr>
                <w:rFonts w:ascii="Arial"/>
                <w:color w:val="161616"/>
                <w:sz w:val="21"/>
              </w:rPr>
              <w:t>Yantai</w:t>
            </w:r>
            <w:r>
              <w:rPr>
                <w:rFonts w:ascii="Arial"/>
                <w:color w:val="161616"/>
                <w:spacing w:val="10"/>
                <w:sz w:val="21"/>
              </w:rPr>
              <w:t xml:space="preserve"> </w:t>
            </w:r>
            <w:r>
              <w:rPr>
                <w:rFonts w:ascii="Arial"/>
                <w:color w:val="161616"/>
                <w:sz w:val="21"/>
              </w:rPr>
              <w:t>Changyu</w:t>
            </w:r>
            <w:r>
              <w:rPr>
                <w:rFonts w:ascii="Arial"/>
                <w:color w:val="161616"/>
                <w:spacing w:val="3"/>
                <w:sz w:val="21"/>
              </w:rPr>
              <w:t xml:space="preserve"> </w:t>
            </w:r>
            <w:r>
              <w:rPr>
                <w:rFonts w:ascii="Arial"/>
                <w:color w:val="080808"/>
                <w:sz w:val="21"/>
              </w:rPr>
              <w:t>Pioneer</w:t>
            </w:r>
            <w:r>
              <w:rPr>
                <w:rFonts w:ascii="Arial"/>
                <w:color w:val="080808"/>
                <w:spacing w:val="13"/>
                <w:sz w:val="21"/>
              </w:rPr>
              <w:t xml:space="preserve"> </w:t>
            </w:r>
            <w:r>
              <w:rPr>
                <w:rFonts w:ascii="Arial"/>
                <w:color w:val="161616"/>
                <w:sz w:val="21"/>
              </w:rPr>
              <w:t>Wine Co</w:t>
            </w:r>
            <w:r>
              <w:rPr>
                <w:rFonts w:ascii="Arial"/>
                <w:color w:val="161616"/>
                <w:spacing w:val="1"/>
                <w:sz w:val="21"/>
              </w:rPr>
              <w:t xml:space="preserve"> </w:t>
            </w:r>
            <w:r>
              <w:rPr>
                <w:rFonts w:ascii="Arial"/>
                <w:color w:val="080808"/>
                <w:spacing w:val="-5"/>
                <w:sz w:val="21"/>
              </w:rPr>
              <w:t>Ltd</w:t>
            </w:r>
          </w:p>
        </w:tc>
      </w:tr>
      <w:tr w:rsidR="0010369C" w14:paraId="51DE7828" w14:textId="77777777">
        <w:trPr>
          <w:trHeight w:val="837"/>
        </w:trPr>
        <w:tc>
          <w:tcPr>
            <w:tcW w:w="2268" w:type="dxa"/>
          </w:tcPr>
          <w:p w14:paraId="51DE7825" w14:textId="77777777" w:rsidR="0010369C" w:rsidRDefault="008E43AE">
            <w:pPr>
              <w:pStyle w:val="TableParagraph"/>
              <w:spacing w:before="11"/>
              <w:ind w:left="112"/>
              <w:rPr>
                <w:rFonts w:ascii="Arial"/>
                <w:sz w:val="21"/>
              </w:rPr>
            </w:pPr>
            <w:r>
              <w:rPr>
                <w:rFonts w:ascii="Arial"/>
                <w:color w:val="161616"/>
                <w:spacing w:val="-2"/>
                <w:sz w:val="21"/>
              </w:rPr>
              <w:t>China's</w:t>
            </w:r>
          </w:p>
          <w:p w14:paraId="51DE7826" w14:textId="77777777" w:rsidR="0010369C" w:rsidRDefault="008E43AE">
            <w:pPr>
              <w:pStyle w:val="TableParagraph"/>
              <w:spacing w:line="290" w:lineRule="atLeast"/>
              <w:ind w:left="106" w:firstLine="6"/>
              <w:rPr>
                <w:rFonts w:ascii="Arial"/>
                <w:sz w:val="21"/>
              </w:rPr>
            </w:pPr>
            <w:r>
              <w:rPr>
                <w:rFonts w:ascii="Arial"/>
                <w:color w:val="161616"/>
                <w:spacing w:val="-2"/>
                <w:w w:val="105"/>
                <w:sz w:val="21"/>
              </w:rPr>
              <w:t xml:space="preserve">Countervailing </w:t>
            </w:r>
            <w:r>
              <w:rPr>
                <w:rFonts w:ascii="Arial"/>
                <w:color w:val="080808"/>
                <w:spacing w:val="-2"/>
                <w:w w:val="105"/>
                <w:sz w:val="21"/>
              </w:rPr>
              <w:t>Regulation</w:t>
            </w:r>
          </w:p>
        </w:tc>
        <w:tc>
          <w:tcPr>
            <w:tcW w:w="6773" w:type="dxa"/>
          </w:tcPr>
          <w:p w14:paraId="51DE7827" w14:textId="77777777" w:rsidR="0010369C" w:rsidRDefault="008E43AE">
            <w:pPr>
              <w:pStyle w:val="TableParagraph"/>
              <w:spacing w:before="11"/>
              <w:ind w:left="112"/>
              <w:rPr>
                <w:rFonts w:ascii="Arial"/>
                <w:sz w:val="21"/>
              </w:rPr>
            </w:pPr>
            <w:r>
              <w:rPr>
                <w:rFonts w:ascii="Arial"/>
                <w:color w:val="161616"/>
                <w:w w:val="105"/>
                <w:sz w:val="21"/>
              </w:rPr>
              <w:t>Countervailing</w:t>
            </w:r>
            <w:r>
              <w:rPr>
                <w:rFonts w:ascii="Arial"/>
                <w:color w:val="161616"/>
                <w:spacing w:val="-34"/>
                <w:w w:val="105"/>
                <w:sz w:val="21"/>
              </w:rPr>
              <w:t xml:space="preserve"> </w:t>
            </w:r>
            <w:r>
              <w:rPr>
                <w:rFonts w:ascii="Arial"/>
                <w:color w:val="080808"/>
                <w:w w:val="105"/>
                <w:sz w:val="21"/>
              </w:rPr>
              <w:t>Regulation</w:t>
            </w:r>
            <w:r>
              <w:rPr>
                <w:rFonts w:ascii="Arial"/>
                <w:color w:val="080808"/>
                <w:spacing w:val="-16"/>
                <w:w w:val="105"/>
                <w:sz w:val="21"/>
              </w:rPr>
              <w:t xml:space="preserve"> </w:t>
            </w:r>
            <w:r>
              <w:rPr>
                <w:rFonts w:ascii="Arial"/>
                <w:color w:val="161616"/>
                <w:w w:val="105"/>
                <w:sz w:val="21"/>
              </w:rPr>
              <w:t>of</w:t>
            </w:r>
            <w:r>
              <w:rPr>
                <w:rFonts w:ascii="Arial"/>
                <w:color w:val="161616"/>
                <w:spacing w:val="-6"/>
                <w:w w:val="105"/>
                <w:sz w:val="21"/>
              </w:rPr>
              <w:t xml:space="preserve"> </w:t>
            </w:r>
            <w:r>
              <w:rPr>
                <w:rFonts w:ascii="Arial"/>
                <w:color w:val="080808"/>
                <w:w w:val="105"/>
                <w:sz w:val="21"/>
              </w:rPr>
              <w:t>the</w:t>
            </w:r>
            <w:r>
              <w:rPr>
                <w:rFonts w:ascii="Arial"/>
                <w:color w:val="080808"/>
                <w:spacing w:val="-1"/>
                <w:w w:val="105"/>
                <w:sz w:val="21"/>
              </w:rPr>
              <w:t xml:space="preserve"> </w:t>
            </w:r>
            <w:r>
              <w:rPr>
                <w:rFonts w:ascii="Arial"/>
                <w:color w:val="080808"/>
                <w:w w:val="105"/>
                <w:sz w:val="21"/>
              </w:rPr>
              <w:t>People's</w:t>
            </w:r>
            <w:r>
              <w:rPr>
                <w:rFonts w:ascii="Arial"/>
                <w:color w:val="080808"/>
                <w:spacing w:val="-15"/>
                <w:w w:val="105"/>
                <w:sz w:val="21"/>
              </w:rPr>
              <w:t xml:space="preserve"> </w:t>
            </w:r>
            <w:r>
              <w:rPr>
                <w:rFonts w:ascii="Arial"/>
                <w:color w:val="161616"/>
                <w:w w:val="105"/>
                <w:sz w:val="21"/>
              </w:rPr>
              <w:t>Republic</w:t>
            </w:r>
            <w:r>
              <w:rPr>
                <w:rFonts w:ascii="Arial"/>
                <w:color w:val="161616"/>
                <w:spacing w:val="-15"/>
                <w:w w:val="105"/>
                <w:sz w:val="21"/>
              </w:rPr>
              <w:t xml:space="preserve"> </w:t>
            </w:r>
            <w:r>
              <w:rPr>
                <w:rFonts w:ascii="Arial"/>
                <w:color w:val="161616"/>
                <w:w w:val="105"/>
                <w:sz w:val="21"/>
              </w:rPr>
              <w:t>of</w:t>
            </w:r>
            <w:r>
              <w:rPr>
                <w:rFonts w:ascii="Arial"/>
                <w:color w:val="161616"/>
                <w:spacing w:val="2"/>
                <w:w w:val="105"/>
                <w:sz w:val="21"/>
              </w:rPr>
              <w:t xml:space="preserve"> </w:t>
            </w:r>
            <w:r>
              <w:rPr>
                <w:rFonts w:ascii="Arial"/>
                <w:color w:val="161616"/>
                <w:spacing w:val="-2"/>
                <w:w w:val="105"/>
                <w:sz w:val="21"/>
              </w:rPr>
              <w:t>China</w:t>
            </w:r>
          </w:p>
        </w:tc>
      </w:tr>
      <w:tr w:rsidR="0010369C" w14:paraId="51DE782B" w14:textId="77777777">
        <w:trPr>
          <w:trHeight w:val="355"/>
        </w:trPr>
        <w:tc>
          <w:tcPr>
            <w:tcW w:w="2268" w:type="dxa"/>
          </w:tcPr>
          <w:p w14:paraId="51DE7829" w14:textId="77777777" w:rsidR="0010369C" w:rsidRDefault="008E43AE">
            <w:pPr>
              <w:pStyle w:val="TableParagraph"/>
              <w:spacing w:before="31"/>
              <w:ind w:left="112"/>
              <w:rPr>
                <w:rFonts w:ascii="Arial"/>
                <w:sz w:val="21"/>
              </w:rPr>
            </w:pPr>
            <w:r>
              <w:rPr>
                <w:rFonts w:ascii="Arial"/>
                <w:color w:val="161616"/>
                <w:spacing w:val="-5"/>
                <w:sz w:val="21"/>
              </w:rPr>
              <w:t>CIF</w:t>
            </w:r>
          </w:p>
        </w:tc>
        <w:tc>
          <w:tcPr>
            <w:tcW w:w="6773" w:type="dxa"/>
          </w:tcPr>
          <w:p w14:paraId="51DE782A" w14:textId="77777777" w:rsidR="0010369C" w:rsidRDefault="008E43AE">
            <w:pPr>
              <w:pStyle w:val="TableParagraph"/>
              <w:spacing w:before="21"/>
              <w:ind w:left="112"/>
              <w:rPr>
                <w:rFonts w:ascii="Arial"/>
                <w:sz w:val="21"/>
              </w:rPr>
            </w:pPr>
            <w:r>
              <w:rPr>
                <w:rFonts w:ascii="Arial"/>
                <w:color w:val="161616"/>
                <w:sz w:val="21"/>
              </w:rPr>
              <w:t xml:space="preserve">Cost, </w:t>
            </w:r>
            <w:r>
              <w:rPr>
                <w:rFonts w:ascii="Arial"/>
                <w:color w:val="080808"/>
                <w:sz w:val="21"/>
              </w:rPr>
              <w:t>insurance</w:t>
            </w:r>
            <w:r>
              <w:rPr>
                <w:rFonts w:ascii="Arial"/>
                <w:color w:val="080808"/>
                <w:spacing w:val="16"/>
                <w:sz w:val="21"/>
              </w:rPr>
              <w:t xml:space="preserve"> </w:t>
            </w:r>
            <w:r>
              <w:rPr>
                <w:rFonts w:ascii="Arial"/>
                <w:color w:val="161616"/>
                <w:sz w:val="21"/>
              </w:rPr>
              <w:t>and</w:t>
            </w:r>
            <w:r>
              <w:rPr>
                <w:rFonts w:ascii="Arial"/>
                <w:color w:val="161616"/>
                <w:spacing w:val="1"/>
                <w:sz w:val="21"/>
              </w:rPr>
              <w:t xml:space="preserve"> </w:t>
            </w:r>
            <w:r>
              <w:rPr>
                <w:rFonts w:ascii="Arial"/>
                <w:color w:val="080808"/>
                <w:spacing w:val="-2"/>
                <w:sz w:val="21"/>
              </w:rPr>
              <w:t>freight</w:t>
            </w:r>
          </w:p>
        </w:tc>
      </w:tr>
      <w:tr w:rsidR="0010369C" w14:paraId="51DE782E" w14:textId="77777777">
        <w:trPr>
          <w:trHeight w:val="355"/>
        </w:trPr>
        <w:tc>
          <w:tcPr>
            <w:tcW w:w="2268" w:type="dxa"/>
          </w:tcPr>
          <w:p w14:paraId="51DE782C" w14:textId="77777777" w:rsidR="0010369C" w:rsidRDefault="008E43AE">
            <w:pPr>
              <w:pStyle w:val="TableParagraph"/>
              <w:spacing w:before="31"/>
              <w:ind w:left="112"/>
              <w:rPr>
                <w:rFonts w:ascii="Arial"/>
                <w:sz w:val="21"/>
              </w:rPr>
            </w:pPr>
            <w:r>
              <w:rPr>
                <w:rFonts w:ascii="Arial"/>
                <w:color w:val="161616"/>
                <w:spacing w:val="-2"/>
                <w:w w:val="90"/>
                <w:sz w:val="21"/>
              </w:rPr>
              <w:t>COFCO</w:t>
            </w:r>
            <w:r>
              <w:rPr>
                <w:rFonts w:ascii="Arial"/>
                <w:color w:val="161616"/>
                <w:spacing w:val="-8"/>
                <w:sz w:val="21"/>
              </w:rPr>
              <w:t xml:space="preserve"> </w:t>
            </w:r>
            <w:r>
              <w:rPr>
                <w:rFonts w:ascii="Arial"/>
                <w:color w:val="161616"/>
                <w:spacing w:val="-2"/>
                <w:sz w:val="21"/>
              </w:rPr>
              <w:t>Greatwall</w:t>
            </w:r>
          </w:p>
        </w:tc>
        <w:tc>
          <w:tcPr>
            <w:tcW w:w="6773" w:type="dxa"/>
          </w:tcPr>
          <w:p w14:paraId="51DE782D" w14:textId="77777777" w:rsidR="0010369C" w:rsidRDefault="008E43AE">
            <w:pPr>
              <w:pStyle w:val="TableParagraph"/>
              <w:spacing w:before="31"/>
              <w:ind w:left="112"/>
              <w:rPr>
                <w:rFonts w:ascii="Arial"/>
                <w:sz w:val="21"/>
              </w:rPr>
            </w:pPr>
            <w:r>
              <w:rPr>
                <w:rFonts w:ascii="Arial"/>
                <w:color w:val="161616"/>
                <w:sz w:val="21"/>
              </w:rPr>
              <w:t>COFCO</w:t>
            </w:r>
            <w:r>
              <w:rPr>
                <w:rFonts w:ascii="Arial"/>
                <w:color w:val="161616"/>
                <w:spacing w:val="-5"/>
                <w:sz w:val="21"/>
              </w:rPr>
              <w:t xml:space="preserve"> </w:t>
            </w:r>
            <w:r>
              <w:rPr>
                <w:rFonts w:ascii="Arial"/>
                <w:color w:val="161616"/>
                <w:sz w:val="21"/>
              </w:rPr>
              <w:t>Great</w:t>
            </w:r>
            <w:r>
              <w:rPr>
                <w:rFonts w:ascii="Arial"/>
                <w:color w:val="161616"/>
                <w:spacing w:val="-2"/>
                <w:sz w:val="21"/>
              </w:rPr>
              <w:t xml:space="preserve"> </w:t>
            </w:r>
            <w:r>
              <w:rPr>
                <w:rFonts w:ascii="Arial"/>
                <w:color w:val="161616"/>
                <w:sz w:val="21"/>
              </w:rPr>
              <w:t>Wall</w:t>
            </w:r>
            <w:r>
              <w:rPr>
                <w:rFonts w:ascii="Arial"/>
                <w:color w:val="161616"/>
                <w:spacing w:val="-9"/>
                <w:sz w:val="21"/>
              </w:rPr>
              <w:t xml:space="preserve"> </w:t>
            </w:r>
            <w:r>
              <w:rPr>
                <w:rFonts w:ascii="Arial"/>
                <w:color w:val="161616"/>
                <w:sz w:val="21"/>
              </w:rPr>
              <w:t>Wine</w:t>
            </w:r>
            <w:r>
              <w:rPr>
                <w:rFonts w:ascii="Arial"/>
                <w:color w:val="161616"/>
                <w:spacing w:val="-8"/>
                <w:sz w:val="21"/>
              </w:rPr>
              <w:t xml:space="preserve"> </w:t>
            </w:r>
            <w:r>
              <w:rPr>
                <w:rFonts w:ascii="Arial"/>
                <w:color w:val="161616"/>
                <w:sz w:val="21"/>
              </w:rPr>
              <w:t>Co</w:t>
            </w:r>
            <w:r>
              <w:rPr>
                <w:rFonts w:ascii="Arial"/>
                <w:color w:val="161616"/>
                <w:spacing w:val="-17"/>
                <w:sz w:val="21"/>
              </w:rPr>
              <w:t xml:space="preserve"> </w:t>
            </w:r>
            <w:r>
              <w:rPr>
                <w:rFonts w:ascii="Arial"/>
                <w:color w:val="080808"/>
                <w:spacing w:val="-5"/>
                <w:sz w:val="21"/>
              </w:rPr>
              <w:t>Ltd</w:t>
            </w:r>
          </w:p>
        </w:tc>
      </w:tr>
      <w:tr w:rsidR="0010369C" w14:paraId="51DE7833" w14:textId="77777777">
        <w:trPr>
          <w:trHeight w:val="556"/>
        </w:trPr>
        <w:tc>
          <w:tcPr>
            <w:tcW w:w="2268" w:type="dxa"/>
          </w:tcPr>
          <w:p w14:paraId="51DE782F" w14:textId="77777777" w:rsidR="0010369C" w:rsidRDefault="008E43AE">
            <w:pPr>
              <w:pStyle w:val="TableParagraph"/>
              <w:spacing w:before="21"/>
              <w:ind w:left="106"/>
              <w:rPr>
                <w:rFonts w:ascii="Arial"/>
                <w:sz w:val="21"/>
              </w:rPr>
            </w:pPr>
            <w:r>
              <w:rPr>
                <w:rFonts w:ascii="Arial"/>
                <w:color w:val="161616"/>
                <w:w w:val="105"/>
                <w:sz w:val="21"/>
              </w:rPr>
              <w:t>Domestic</w:t>
            </w:r>
            <w:r>
              <w:rPr>
                <w:rFonts w:ascii="Arial"/>
                <w:color w:val="161616"/>
                <w:spacing w:val="-8"/>
                <w:w w:val="105"/>
                <w:sz w:val="21"/>
              </w:rPr>
              <w:t xml:space="preserve"> </w:t>
            </w:r>
            <w:r>
              <w:rPr>
                <w:rFonts w:ascii="Arial"/>
                <w:color w:val="080808"/>
                <w:spacing w:val="-2"/>
                <w:w w:val="105"/>
                <w:sz w:val="21"/>
              </w:rPr>
              <w:t>Producer</w:t>
            </w:r>
          </w:p>
          <w:p w14:paraId="51DE7830" w14:textId="77777777" w:rsidR="0010369C" w:rsidRDefault="008E43AE">
            <w:pPr>
              <w:pStyle w:val="TableParagraph"/>
              <w:spacing w:before="69" w:line="205" w:lineRule="exact"/>
              <w:ind w:left="113"/>
              <w:rPr>
                <w:rFonts w:ascii="Arial"/>
                <w:sz w:val="21"/>
              </w:rPr>
            </w:pPr>
            <w:r>
              <w:rPr>
                <w:rFonts w:ascii="Arial"/>
                <w:color w:val="161616"/>
                <w:spacing w:val="-2"/>
                <w:w w:val="105"/>
                <w:sz w:val="21"/>
              </w:rPr>
              <w:t>Questionnaire</w:t>
            </w:r>
          </w:p>
        </w:tc>
        <w:tc>
          <w:tcPr>
            <w:tcW w:w="6773" w:type="dxa"/>
          </w:tcPr>
          <w:p w14:paraId="51DE7831" w14:textId="77777777" w:rsidR="0010369C" w:rsidRDefault="008E43AE">
            <w:pPr>
              <w:pStyle w:val="TableParagraph"/>
              <w:spacing w:before="31"/>
              <w:ind w:left="105"/>
              <w:rPr>
                <w:rFonts w:ascii="Arial"/>
                <w:sz w:val="21"/>
              </w:rPr>
            </w:pPr>
            <w:r>
              <w:rPr>
                <w:rFonts w:ascii="Arial"/>
                <w:color w:val="080808"/>
                <w:w w:val="105"/>
                <w:sz w:val="21"/>
              </w:rPr>
              <w:t>Unless</w:t>
            </w:r>
            <w:r>
              <w:rPr>
                <w:rFonts w:ascii="Arial"/>
                <w:color w:val="080808"/>
                <w:spacing w:val="-16"/>
                <w:w w:val="105"/>
                <w:sz w:val="21"/>
              </w:rPr>
              <w:t xml:space="preserve"> </w:t>
            </w:r>
            <w:r>
              <w:rPr>
                <w:rFonts w:ascii="Arial"/>
                <w:color w:val="161616"/>
                <w:w w:val="105"/>
                <w:sz w:val="21"/>
              </w:rPr>
              <w:t>otherwise</w:t>
            </w:r>
            <w:r>
              <w:rPr>
                <w:rFonts w:ascii="Arial"/>
                <w:color w:val="161616"/>
                <w:spacing w:val="-14"/>
                <w:w w:val="105"/>
                <w:sz w:val="21"/>
              </w:rPr>
              <w:t xml:space="preserve"> </w:t>
            </w:r>
            <w:r>
              <w:rPr>
                <w:rFonts w:ascii="Arial"/>
                <w:color w:val="161616"/>
                <w:w w:val="105"/>
                <w:sz w:val="21"/>
              </w:rPr>
              <w:t>specified,</w:t>
            </w:r>
            <w:r>
              <w:rPr>
                <w:rFonts w:ascii="Arial"/>
                <w:color w:val="161616"/>
                <w:spacing w:val="-15"/>
                <w:w w:val="105"/>
                <w:sz w:val="21"/>
              </w:rPr>
              <w:t xml:space="preserve"> </w:t>
            </w:r>
            <w:r>
              <w:rPr>
                <w:rFonts w:ascii="Arial"/>
                <w:color w:val="080808"/>
                <w:w w:val="105"/>
                <w:sz w:val="21"/>
              </w:rPr>
              <w:t>means</w:t>
            </w:r>
            <w:r>
              <w:rPr>
                <w:rFonts w:ascii="Arial"/>
                <w:color w:val="080808"/>
                <w:spacing w:val="-16"/>
                <w:w w:val="105"/>
                <w:sz w:val="21"/>
              </w:rPr>
              <w:t xml:space="preserve"> </w:t>
            </w:r>
            <w:r>
              <w:rPr>
                <w:rFonts w:ascii="Arial"/>
                <w:color w:val="161616"/>
                <w:w w:val="105"/>
                <w:sz w:val="21"/>
              </w:rPr>
              <w:t>the</w:t>
            </w:r>
            <w:r>
              <w:rPr>
                <w:rFonts w:ascii="Arial"/>
                <w:color w:val="161616"/>
                <w:spacing w:val="4"/>
                <w:w w:val="105"/>
                <w:sz w:val="21"/>
              </w:rPr>
              <w:t xml:space="preserve"> </w:t>
            </w:r>
            <w:r>
              <w:rPr>
                <w:rFonts w:ascii="Arial"/>
                <w:color w:val="161616"/>
                <w:w w:val="105"/>
                <w:sz w:val="21"/>
              </w:rPr>
              <w:t>Domestic</w:t>
            </w:r>
            <w:r>
              <w:rPr>
                <w:rFonts w:ascii="Arial"/>
                <w:color w:val="161616"/>
                <w:spacing w:val="-11"/>
                <w:w w:val="105"/>
                <w:sz w:val="21"/>
              </w:rPr>
              <w:t xml:space="preserve"> </w:t>
            </w:r>
            <w:r>
              <w:rPr>
                <w:rFonts w:ascii="Arial"/>
                <w:color w:val="080808"/>
                <w:spacing w:val="-2"/>
                <w:w w:val="105"/>
                <w:sz w:val="21"/>
              </w:rPr>
              <w:t>Producer</w:t>
            </w:r>
          </w:p>
          <w:p w14:paraId="51DE7832" w14:textId="77777777" w:rsidR="0010369C" w:rsidRDefault="008E43AE">
            <w:pPr>
              <w:pStyle w:val="TableParagraph"/>
              <w:spacing w:before="49" w:line="215" w:lineRule="exact"/>
              <w:ind w:left="113"/>
              <w:rPr>
                <w:rFonts w:ascii="Arial"/>
                <w:sz w:val="21"/>
              </w:rPr>
            </w:pPr>
            <w:r>
              <w:rPr>
                <w:rFonts w:ascii="Arial"/>
                <w:color w:val="161616"/>
                <w:w w:val="105"/>
                <w:sz w:val="21"/>
              </w:rPr>
              <w:t>Questionnaire</w:t>
            </w:r>
            <w:r>
              <w:rPr>
                <w:rFonts w:ascii="Arial"/>
                <w:color w:val="161616"/>
                <w:spacing w:val="-16"/>
                <w:w w:val="105"/>
                <w:sz w:val="21"/>
              </w:rPr>
              <w:t xml:space="preserve"> </w:t>
            </w:r>
            <w:r>
              <w:rPr>
                <w:rFonts w:ascii="Arial"/>
                <w:color w:val="080808"/>
                <w:w w:val="105"/>
                <w:sz w:val="21"/>
              </w:rPr>
              <w:t>issued</w:t>
            </w:r>
            <w:r>
              <w:rPr>
                <w:rFonts w:ascii="Arial"/>
                <w:color w:val="080808"/>
                <w:spacing w:val="-15"/>
                <w:w w:val="105"/>
                <w:sz w:val="21"/>
              </w:rPr>
              <w:t xml:space="preserve"> </w:t>
            </w:r>
            <w:r>
              <w:rPr>
                <w:rFonts w:ascii="Arial"/>
                <w:color w:val="080808"/>
                <w:w w:val="105"/>
                <w:sz w:val="21"/>
              </w:rPr>
              <w:t>by</w:t>
            </w:r>
            <w:r>
              <w:rPr>
                <w:rFonts w:ascii="Arial"/>
                <w:color w:val="080808"/>
                <w:spacing w:val="-18"/>
                <w:w w:val="105"/>
                <w:sz w:val="21"/>
              </w:rPr>
              <w:t xml:space="preserve"> </w:t>
            </w:r>
            <w:r>
              <w:rPr>
                <w:rFonts w:ascii="Arial"/>
                <w:color w:val="080808"/>
                <w:w w:val="105"/>
                <w:sz w:val="21"/>
              </w:rPr>
              <w:t>MOFCOM</w:t>
            </w:r>
            <w:r>
              <w:rPr>
                <w:rFonts w:ascii="Arial"/>
                <w:color w:val="080808"/>
                <w:spacing w:val="-15"/>
                <w:w w:val="105"/>
                <w:sz w:val="21"/>
              </w:rPr>
              <w:t xml:space="preserve"> </w:t>
            </w:r>
            <w:r>
              <w:rPr>
                <w:rFonts w:ascii="Arial"/>
                <w:color w:val="161616"/>
                <w:w w:val="105"/>
                <w:sz w:val="21"/>
              </w:rPr>
              <w:t>on</w:t>
            </w:r>
            <w:r>
              <w:rPr>
                <w:rFonts w:ascii="Arial"/>
                <w:color w:val="161616"/>
                <w:spacing w:val="-16"/>
                <w:w w:val="105"/>
                <w:sz w:val="21"/>
              </w:rPr>
              <w:t xml:space="preserve"> </w:t>
            </w:r>
            <w:r>
              <w:rPr>
                <w:rFonts w:ascii="Arial"/>
                <w:color w:val="080808"/>
                <w:w w:val="105"/>
                <w:sz w:val="21"/>
              </w:rPr>
              <w:t>10</w:t>
            </w:r>
            <w:r>
              <w:rPr>
                <w:rFonts w:ascii="Arial"/>
                <w:color w:val="080808"/>
                <w:spacing w:val="-12"/>
                <w:w w:val="105"/>
                <w:sz w:val="21"/>
              </w:rPr>
              <w:t xml:space="preserve"> </w:t>
            </w:r>
            <w:r>
              <w:rPr>
                <w:rFonts w:ascii="Arial"/>
                <w:color w:val="161616"/>
                <w:w w:val="105"/>
                <w:sz w:val="21"/>
              </w:rPr>
              <w:t>October</w:t>
            </w:r>
            <w:r>
              <w:rPr>
                <w:rFonts w:ascii="Arial"/>
                <w:color w:val="161616"/>
                <w:spacing w:val="-11"/>
                <w:w w:val="105"/>
                <w:sz w:val="21"/>
              </w:rPr>
              <w:t xml:space="preserve"> </w:t>
            </w:r>
            <w:r>
              <w:rPr>
                <w:rFonts w:ascii="Arial"/>
                <w:color w:val="161616"/>
                <w:spacing w:val="-4"/>
                <w:w w:val="105"/>
                <w:sz w:val="21"/>
              </w:rPr>
              <w:t>2020</w:t>
            </w:r>
          </w:p>
        </w:tc>
      </w:tr>
      <w:tr w:rsidR="0010369C" w14:paraId="51DE7836" w14:textId="77777777">
        <w:trPr>
          <w:trHeight w:val="355"/>
        </w:trPr>
        <w:tc>
          <w:tcPr>
            <w:tcW w:w="2268" w:type="dxa"/>
          </w:tcPr>
          <w:p w14:paraId="51DE7834" w14:textId="77777777" w:rsidR="0010369C" w:rsidRDefault="008E43AE">
            <w:pPr>
              <w:pStyle w:val="TableParagraph"/>
              <w:spacing w:before="21"/>
              <w:ind w:left="106"/>
              <w:rPr>
                <w:rFonts w:ascii="Arial"/>
                <w:sz w:val="21"/>
              </w:rPr>
            </w:pPr>
            <w:r>
              <w:rPr>
                <w:rFonts w:ascii="Arial"/>
                <w:color w:val="161616"/>
                <w:w w:val="105"/>
                <w:sz w:val="21"/>
              </w:rPr>
              <w:t>Dorrien</w:t>
            </w:r>
            <w:r>
              <w:rPr>
                <w:rFonts w:ascii="Arial"/>
                <w:color w:val="161616"/>
                <w:spacing w:val="9"/>
                <w:w w:val="105"/>
                <w:sz w:val="21"/>
              </w:rPr>
              <w:t xml:space="preserve"> </w:t>
            </w:r>
            <w:r>
              <w:rPr>
                <w:rFonts w:ascii="Arial"/>
                <w:color w:val="080808"/>
                <w:spacing w:val="-2"/>
                <w:w w:val="105"/>
                <w:sz w:val="21"/>
              </w:rPr>
              <w:t>Estate</w:t>
            </w:r>
          </w:p>
        </w:tc>
        <w:tc>
          <w:tcPr>
            <w:tcW w:w="6773" w:type="dxa"/>
          </w:tcPr>
          <w:p w14:paraId="51DE7835" w14:textId="77777777" w:rsidR="0010369C" w:rsidRDefault="008E43AE">
            <w:pPr>
              <w:pStyle w:val="TableParagraph"/>
              <w:spacing w:before="21"/>
              <w:ind w:left="106"/>
              <w:rPr>
                <w:rFonts w:ascii="Arial"/>
                <w:sz w:val="21"/>
              </w:rPr>
            </w:pPr>
            <w:r>
              <w:rPr>
                <w:rFonts w:ascii="Arial"/>
                <w:color w:val="161616"/>
                <w:w w:val="105"/>
                <w:sz w:val="21"/>
              </w:rPr>
              <w:t>Dorrien</w:t>
            </w:r>
            <w:r>
              <w:rPr>
                <w:rFonts w:ascii="Arial"/>
                <w:color w:val="161616"/>
                <w:spacing w:val="-12"/>
                <w:w w:val="105"/>
                <w:sz w:val="21"/>
              </w:rPr>
              <w:t xml:space="preserve"> </w:t>
            </w:r>
            <w:r>
              <w:rPr>
                <w:rFonts w:ascii="Arial"/>
                <w:color w:val="080808"/>
                <w:w w:val="105"/>
                <w:sz w:val="21"/>
              </w:rPr>
              <w:t>Estate</w:t>
            </w:r>
            <w:r>
              <w:rPr>
                <w:rFonts w:ascii="Arial"/>
                <w:color w:val="080808"/>
                <w:spacing w:val="-2"/>
                <w:w w:val="105"/>
                <w:sz w:val="21"/>
              </w:rPr>
              <w:t xml:space="preserve"> </w:t>
            </w:r>
            <w:r>
              <w:rPr>
                <w:rFonts w:ascii="Arial"/>
                <w:color w:val="161616"/>
                <w:w w:val="105"/>
                <w:sz w:val="21"/>
              </w:rPr>
              <w:t xml:space="preserve">Winery </w:t>
            </w:r>
            <w:r>
              <w:rPr>
                <w:rFonts w:ascii="Arial"/>
                <w:color w:val="161616"/>
                <w:spacing w:val="-5"/>
                <w:w w:val="105"/>
                <w:sz w:val="21"/>
              </w:rPr>
              <w:t>Pty</w:t>
            </w:r>
          </w:p>
        </w:tc>
      </w:tr>
      <w:tr w:rsidR="0010369C" w14:paraId="51DE7839" w14:textId="77777777">
        <w:trPr>
          <w:trHeight w:val="355"/>
        </w:trPr>
        <w:tc>
          <w:tcPr>
            <w:tcW w:w="2268" w:type="dxa"/>
          </w:tcPr>
          <w:p w14:paraId="51DE7837" w14:textId="77777777" w:rsidR="0010369C" w:rsidRDefault="008E43AE">
            <w:pPr>
              <w:pStyle w:val="TableParagraph"/>
              <w:spacing w:before="31"/>
              <w:ind w:left="106"/>
              <w:rPr>
                <w:rFonts w:ascii="Arial"/>
                <w:sz w:val="21"/>
              </w:rPr>
            </w:pPr>
            <w:r>
              <w:rPr>
                <w:rFonts w:ascii="Arial"/>
                <w:color w:val="161616"/>
                <w:spacing w:val="-5"/>
                <w:sz w:val="21"/>
              </w:rPr>
              <w:t>DSB</w:t>
            </w:r>
          </w:p>
        </w:tc>
        <w:tc>
          <w:tcPr>
            <w:tcW w:w="6773" w:type="dxa"/>
          </w:tcPr>
          <w:p w14:paraId="51DE7838" w14:textId="77777777" w:rsidR="0010369C" w:rsidRDefault="008E43AE">
            <w:pPr>
              <w:pStyle w:val="TableParagraph"/>
              <w:spacing w:before="21"/>
              <w:ind w:left="106"/>
              <w:rPr>
                <w:rFonts w:ascii="Arial"/>
                <w:sz w:val="21"/>
              </w:rPr>
            </w:pPr>
            <w:r>
              <w:rPr>
                <w:rFonts w:ascii="Arial"/>
                <w:color w:val="161616"/>
                <w:w w:val="105"/>
                <w:sz w:val="21"/>
              </w:rPr>
              <w:t>Dispute</w:t>
            </w:r>
            <w:r>
              <w:rPr>
                <w:rFonts w:ascii="Arial"/>
                <w:color w:val="161616"/>
                <w:spacing w:val="-12"/>
                <w:w w:val="105"/>
                <w:sz w:val="21"/>
              </w:rPr>
              <w:t xml:space="preserve"> </w:t>
            </w:r>
            <w:r>
              <w:rPr>
                <w:rFonts w:ascii="Arial"/>
                <w:color w:val="161616"/>
                <w:w w:val="105"/>
                <w:sz w:val="21"/>
              </w:rPr>
              <w:t>Settlement</w:t>
            </w:r>
            <w:r>
              <w:rPr>
                <w:rFonts w:ascii="Arial"/>
                <w:color w:val="161616"/>
                <w:spacing w:val="15"/>
                <w:w w:val="105"/>
                <w:sz w:val="21"/>
              </w:rPr>
              <w:t xml:space="preserve"> </w:t>
            </w:r>
            <w:r>
              <w:rPr>
                <w:rFonts w:ascii="Arial"/>
                <w:color w:val="080808"/>
                <w:spacing w:val="-4"/>
                <w:w w:val="105"/>
                <w:sz w:val="21"/>
              </w:rPr>
              <w:t>Body</w:t>
            </w:r>
          </w:p>
        </w:tc>
      </w:tr>
      <w:tr w:rsidR="0010369C" w14:paraId="51DE783D" w14:textId="77777777">
        <w:trPr>
          <w:trHeight w:val="556"/>
        </w:trPr>
        <w:tc>
          <w:tcPr>
            <w:tcW w:w="2268" w:type="dxa"/>
          </w:tcPr>
          <w:p w14:paraId="51DE783A" w14:textId="77777777" w:rsidR="0010369C" w:rsidRDefault="008E43AE">
            <w:pPr>
              <w:pStyle w:val="TableParagraph"/>
              <w:spacing w:before="31"/>
              <w:ind w:left="106"/>
              <w:rPr>
                <w:rFonts w:ascii="Arial"/>
                <w:sz w:val="21"/>
              </w:rPr>
            </w:pPr>
            <w:r>
              <w:rPr>
                <w:rFonts w:ascii="Arial"/>
                <w:color w:val="161616"/>
                <w:spacing w:val="-5"/>
                <w:sz w:val="21"/>
              </w:rPr>
              <w:t>DSU</w:t>
            </w:r>
          </w:p>
        </w:tc>
        <w:tc>
          <w:tcPr>
            <w:tcW w:w="6773" w:type="dxa"/>
          </w:tcPr>
          <w:p w14:paraId="51DE783B" w14:textId="77777777" w:rsidR="0010369C" w:rsidRDefault="008E43AE">
            <w:pPr>
              <w:pStyle w:val="TableParagraph"/>
              <w:spacing w:before="21"/>
              <w:ind w:left="105"/>
              <w:rPr>
                <w:rFonts w:ascii="Arial"/>
                <w:sz w:val="21"/>
              </w:rPr>
            </w:pPr>
            <w:r>
              <w:rPr>
                <w:rFonts w:ascii="Arial"/>
                <w:color w:val="080808"/>
                <w:spacing w:val="-2"/>
                <w:w w:val="105"/>
                <w:sz w:val="21"/>
              </w:rPr>
              <w:t>Understanding</w:t>
            </w:r>
            <w:r>
              <w:rPr>
                <w:rFonts w:ascii="Arial"/>
                <w:color w:val="080808"/>
                <w:spacing w:val="-7"/>
                <w:w w:val="105"/>
                <w:sz w:val="21"/>
              </w:rPr>
              <w:t xml:space="preserve"> </w:t>
            </w:r>
            <w:r>
              <w:rPr>
                <w:rFonts w:ascii="Arial"/>
                <w:color w:val="161616"/>
                <w:spacing w:val="-2"/>
                <w:w w:val="105"/>
                <w:sz w:val="21"/>
              </w:rPr>
              <w:t>on</w:t>
            </w:r>
            <w:r>
              <w:rPr>
                <w:rFonts w:ascii="Arial"/>
                <w:color w:val="161616"/>
                <w:spacing w:val="-6"/>
                <w:w w:val="105"/>
                <w:sz w:val="21"/>
              </w:rPr>
              <w:t xml:space="preserve"> </w:t>
            </w:r>
            <w:r>
              <w:rPr>
                <w:rFonts w:ascii="Arial"/>
                <w:color w:val="080808"/>
                <w:spacing w:val="-2"/>
                <w:w w:val="105"/>
                <w:sz w:val="21"/>
              </w:rPr>
              <w:t>Rules</w:t>
            </w:r>
            <w:r>
              <w:rPr>
                <w:rFonts w:ascii="Arial"/>
                <w:color w:val="080808"/>
                <w:spacing w:val="-6"/>
                <w:w w:val="105"/>
                <w:sz w:val="21"/>
              </w:rPr>
              <w:t xml:space="preserve"> </w:t>
            </w:r>
            <w:r>
              <w:rPr>
                <w:rFonts w:ascii="Arial"/>
                <w:color w:val="161616"/>
                <w:spacing w:val="-2"/>
                <w:w w:val="105"/>
                <w:sz w:val="21"/>
              </w:rPr>
              <w:t>and</w:t>
            </w:r>
            <w:r>
              <w:rPr>
                <w:rFonts w:ascii="Arial"/>
                <w:color w:val="161616"/>
                <w:spacing w:val="-17"/>
                <w:w w:val="105"/>
                <w:sz w:val="21"/>
              </w:rPr>
              <w:t xml:space="preserve"> </w:t>
            </w:r>
            <w:r>
              <w:rPr>
                <w:rFonts w:ascii="Arial"/>
                <w:color w:val="080808"/>
                <w:spacing w:val="-2"/>
                <w:w w:val="105"/>
                <w:sz w:val="21"/>
              </w:rPr>
              <w:t>Procedures</w:t>
            </w:r>
            <w:r>
              <w:rPr>
                <w:rFonts w:ascii="Arial"/>
                <w:color w:val="080808"/>
                <w:spacing w:val="3"/>
                <w:w w:val="105"/>
                <w:sz w:val="21"/>
              </w:rPr>
              <w:t xml:space="preserve"> </w:t>
            </w:r>
            <w:r>
              <w:rPr>
                <w:rFonts w:ascii="Arial"/>
                <w:color w:val="080808"/>
                <w:spacing w:val="-2"/>
                <w:w w:val="105"/>
                <w:sz w:val="21"/>
              </w:rPr>
              <w:t>Governing</w:t>
            </w:r>
            <w:r>
              <w:rPr>
                <w:rFonts w:ascii="Arial"/>
                <w:color w:val="080808"/>
                <w:spacing w:val="-7"/>
                <w:w w:val="105"/>
                <w:sz w:val="21"/>
              </w:rPr>
              <w:t xml:space="preserve"> </w:t>
            </w:r>
            <w:r>
              <w:rPr>
                <w:rFonts w:ascii="Arial"/>
                <w:color w:val="080808"/>
                <w:spacing w:val="-2"/>
                <w:w w:val="105"/>
                <w:sz w:val="21"/>
              </w:rPr>
              <w:t>the</w:t>
            </w:r>
            <w:r>
              <w:rPr>
                <w:rFonts w:ascii="Arial"/>
                <w:color w:val="080808"/>
                <w:spacing w:val="10"/>
                <w:w w:val="105"/>
                <w:sz w:val="21"/>
              </w:rPr>
              <w:t xml:space="preserve"> </w:t>
            </w:r>
            <w:r>
              <w:rPr>
                <w:rFonts w:ascii="Arial"/>
                <w:color w:val="161616"/>
                <w:spacing w:val="-2"/>
                <w:w w:val="105"/>
                <w:sz w:val="21"/>
              </w:rPr>
              <w:t>Settlement</w:t>
            </w:r>
          </w:p>
          <w:p w14:paraId="51DE783C" w14:textId="77777777" w:rsidR="0010369C" w:rsidRDefault="008E43AE">
            <w:pPr>
              <w:pStyle w:val="TableParagraph"/>
              <w:spacing w:before="49" w:line="225" w:lineRule="exact"/>
              <w:ind w:left="105"/>
              <w:rPr>
                <w:rFonts w:ascii="Arial"/>
                <w:sz w:val="21"/>
              </w:rPr>
            </w:pPr>
            <w:r>
              <w:rPr>
                <w:rFonts w:ascii="Arial"/>
                <w:color w:val="161616"/>
                <w:w w:val="105"/>
                <w:sz w:val="21"/>
              </w:rPr>
              <w:t>of</w:t>
            </w:r>
            <w:r>
              <w:rPr>
                <w:rFonts w:ascii="Arial"/>
                <w:color w:val="161616"/>
                <w:spacing w:val="14"/>
                <w:w w:val="105"/>
                <w:sz w:val="21"/>
              </w:rPr>
              <w:t xml:space="preserve"> </w:t>
            </w:r>
            <w:r>
              <w:rPr>
                <w:rFonts w:ascii="Arial"/>
                <w:color w:val="080808"/>
                <w:spacing w:val="-2"/>
                <w:w w:val="105"/>
                <w:sz w:val="21"/>
              </w:rPr>
              <w:t>Disputes</w:t>
            </w:r>
          </w:p>
        </w:tc>
      </w:tr>
      <w:tr w:rsidR="0010369C" w14:paraId="51DE7840" w14:textId="77777777">
        <w:trPr>
          <w:trHeight w:val="355"/>
        </w:trPr>
        <w:tc>
          <w:tcPr>
            <w:tcW w:w="2268" w:type="dxa"/>
          </w:tcPr>
          <w:p w14:paraId="51DE783E" w14:textId="77777777" w:rsidR="0010369C" w:rsidRDefault="008E43AE">
            <w:pPr>
              <w:pStyle w:val="TableParagraph"/>
              <w:spacing w:before="31"/>
              <w:ind w:left="106"/>
              <w:rPr>
                <w:rFonts w:ascii="Arial"/>
                <w:sz w:val="21"/>
              </w:rPr>
            </w:pPr>
            <w:r>
              <w:rPr>
                <w:rFonts w:ascii="Arial"/>
                <w:color w:val="080808"/>
                <w:spacing w:val="-5"/>
                <w:sz w:val="21"/>
              </w:rPr>
              <w:t>ERP</w:t>
            </w:r>
          </w:p>
        </w:tc>
        <w:tc>
          <w:tcPr>
            <w:tcW w:w="6773" w:type="dxa"/>
          </w:tcPr>
          <w:p w14:paraId="51DE783F" w14:textId="77777777" w:rsidR="0010369C" w:rsidRDefault="008E43AE">
            <w:pPr>
              <w:pStyle w:val="TableParagraph"/>
              <w:spacing w:before="21"/>
              <w:ind w:left="105"/>
              <w:rPr>
                <w:rFonts w:ascii="Arial"/>
                <w:sz w:val="21"/>
              </w:rPr>
            </w:pPr>
            <w:r>
              <w:rPr>
                <w:rFonts w:ascii="Arial"/>
                <w:color w:val="080808"/>
                <w:w w:val="105"/>
                <w:sz w:val="21"/>
              </w:rPr>
              <w:t>Enterprise</w:t>
            </w:r>
            <w:r>
              <w:rPr>
                <w:rFonts w:ascii="Arial"/>
                <w:color w:val="080808"/>
                <w:spacing w:val="-7"/>
                <w:w w:val="105"/>
                <w:sz w:val="21"/>
              </w:rPr>
              <w:t xml:space="preserve"> </w:t>
            </w:r>
            <w:r>
              <w:rPr>
                <w:rFonts w:ascii="Arial"/>
                <w:color w:val="080808"/>
                <w:w w:val="105"/>
                <w:sz w:val="21"/>
              </w:rPr>
              <w:t>resource</w:t>
            </w:r>
            <w:r>
              <w:rPr>
                <w:rFonts w:ascii="Arial"/>
                <w:color w:val="080808"/>
                <w:spacing w:val="-14"/>
                <w:w w:val="105"/>
                <w:sz w:val="21"/>
              </w:rPr>
              <w:t xml:space="preserve"> </w:t>
            </w:r>
            <w:r>
              <w:rPr>
                <w:rFonts w:ascii="Arial"/>
                <w:color w:val="080808"/>
                <w:spacing w:val="-2"/>
                <w:w w:val="105"/>
                <w:sz w:val="21"/>
              </w:rPr>
              <w:t>planning</w:t>
            </w:r>
          </w:p>
        </w:tc>
      </w:tr>
      <w:tr w:rsidR="0010369C" w14:paraId="51DE7844" w14:textId="77777777">
        <w:trPr>
          <w:trHeight w:val="827"/>
        </w:trPr>
        <w:tc>
          <w:tcPr>
            <w:tcW w:w="2268" w:type="dxa"/>
          </w:tcPr>
          <w:p w14:paraId="51DE7841" w14:textId="77777777" w:rsidR="0010369C" w:rsidRDefault="008E43AE">
            <w:pPr>
              <w:pStyle w:val="TableParagraph"/>
              <w:spacing w:before="21"/>
              <w:ind w:left="105"/>
              <w:rPr>
                <w:rFonts w:ascii="Arial"/>
                <w:sz w:val="21"/>
              </w:rPr>
            </w:pPr>
            <w:r>
              <w:rPr>
                <w:rFonts w:ascii="Arial"/>
                <w:color w:val="080808"/>
                <w:sz w:val="21"/>
              </w:rPr>
              <w:t>Final</w:t>
            </w:r>
            <w:r>
              <w:rPr>
                <w:rFonts w:ascii="Arial"/>
                <w:color w:val="080808"/>
                <w:spacing w:val="4"/>
                <w:sz w:val="21"/>
              </w:rPr>
              <w:t xml:space="preserve"> </w:t>
            </w:r>
            <w:r>
              <w:rPr>
                <w:rFonts w:ascii="Arial"/>
                <w:color w:val="161616"/>
                <w:spacing w:val="-2"/>
                <w:sz w:val="21"/>
              </w:rPr>
              <w:t>Determination</w:t>
            </w:r>
          </w:p>
        </w:tc>
        <w:tc>
          <w:tcPr>
            <w:tcW w:w="6773" w:type="dxa"/>
          </w:tcPr>
          <w:p w14:paraId="51DE7842" w14:textId="77777777" w:rsidR="0010369C" w:rsidRDefault="008E43AE">
            <w:pPr>
              <w:pStyle w:val="TableParagraph"/>
              <w:spacing w:before="21" w:line="288" w:lineRule="auto"/>
              <w:ind w:left="106"/>
              <w:rPr>
                <w:rFonts w:ascii="Arial"/>
                <w:sz w:val="21"/>
              </w:rPr>
            </w:pPr>
            <w:r>
              <w:rPr>
                <w:rFonts w:ascii="Arial"/>
                <w:color w:val="080808"/>
                <w:w w:val="105"/>
                <w:sz w:val="21"/>
              </w:rPr>
              <w:t xml:space="preserve">MOFCOM, </w:t>
            </w:r>
            <w:r>
              <w:rPr>
                <w:rFonts w:ascii="Arial"/>
                <w:color w:val="161616"/>
                <w:w w:val="105"/>
                <w:sz w:val="21"/>
              </w:rPr>
              <w:t>"Final</w:t>
            </w:r>
            <w:r>
              <w:rPr>
                <w:rFonts w:ascii="Arial"/>
                <w:color w:val="161616"/>
                <w:spacing w:val="-4"/>
                <w:w w:val="105"/>
                <w:sz w:val="21"/>
              </w:rPr>
              <w:t xml:space="preserve"> </w:t>
            </w:r>
            <w:r>
              <w:rPr>
                <w:rFonts w:ascii="Arial"/>
                <w:color w:val="080808"/>
                <w:w w:val="105"/>
                <w:sz w:val="21"/>
              </w:rPr>
              <w:t>Ruling</w:t>
            </w:r>
            <w:r>
              <w:rPr>
                <w:rFonts w:ascii="Arial"/>
                <w:color w:val="080808"/>
                <w:spacing w:val="-12"/>
                <w:w w:val="105"/>
                <w:sz w:val="21"/>
              </w:rPr>
              <w:t xml:space="preserve"> </w:t>
            </w:r>
            <w:r>
              <w:rPr>
                <w:rFonts w:ascii="Arial"/>
                <w:color w:val="161616"/>
                <w:w w:val="105"/>
                <w:sz w:val="21"/>
              </w:rPr>
              <w:t>of</w:t>
            </w:r>
            <w:r>
              <w:rPr>
                <w:rFonts w:ascii="Arial"/>
                <w:color w:val="161616"/>
                <w:spacing w:val="38"/>
                <w:w w:val="105"/>
                <w:sz w:val="21"/>
              </w:rPr>
              <w:t xml:space="preserve"> </w:t>
            </w:r>
            <w:r>
              <w:rPr>
                <w:rFonts w:ascii="Arial"/>
                <w:color w:val="080808"/>
                <w:w w:val="105"/>
                <w:sz w:val="21"/>
              </w:rPr>
              <w:t xml:space="preserve">the </w:t>
            </w:r>
            <w:r>
              <w:rPr>
                <w:rFonts w:ascii="Arial"/>
                <w:color w:val="161616"/>
                <w:w w:val="105"/>
                <w:sz w:val="21"/>
              </w:rPr>
              <w:t xml:space="preserve">Ministry of Commerce of </w:t>
            </w:r>
            <w:r>
              <w:rPr>
                <w:rFonts w:ascii="Arial"/>
                <w:color w:val="080808"/>
                <w:w w:val="105"/>
                <w:sz w:val="21"/>
              </w:rPr>
              <w:t>the People's</w:t>
            </w:r>
            <w:r>
              <w:rPr>
                <w:rFonts w:ascii="Arial"/>
                <w:color w:val="080808"/>
                <w:spacing w:val="-16"/>
                <w:w w:val="105"/>
                <w:sz w:val="21"/>
              </w:rPr>
              <w:t xml:space="preserve"> </w:t>
            </w:r>
            <w:r>
              <w:rPr>
                <w:rFonts w:ascii="Arial"/>
                <w:color w:val="080808"/>
                <w:w w:val="105"/>
                <w:sz w:val="21"/>
              </w:rPr>
              <w:t xml:space="preserve">Republic </w:t>
            </w:r>
            <w:r>
              <w:rPr>
                <w:rFonts w:ascii="Arial"/>
                <w:color w:val="161616"/>
                <w:w w:val="105"/>
                <w:sz w:val="21"/>
              </w:rPr>
              <w:t>of China</w:t>
            </w:r>
            <w:r>
              <w:rPr>
                <w:rFonts w:ascii="Arial"/>
                <w:color w:val="161616"/>
                <w:spacing w:val="-11"/>
                <w:w w:val="105"/>
                <w:sz w:val="21"/>
              </w:rPr>
              <w:t xml:space="preserve"> </w:t>
            </w:r>
            <w:r>
              <w:rPr>
                <w:rFonts w:ascii="Arial"/>
                <w:color w:val="161616"/>
                <w:w w:val="105"/>
                <w:sz w:val="21"/>
              </w:rPr>
              <w:t>on</w:t>
            </w:r>
            <w:r>
              <w:rPr>
                <w:rFonts w:ascii="Arial"/>
                <w:color w:val="161616"/>
                <w:spacing w:val="17"/>
                <w:w w:val="105"/>
                <w:sz w:val="21"/>
              </w:rPr>
              <w:t xml:space="preserve"> </w:t>
            </w:r>
            <w:r>
              <w:rPr>
                <w:rFonts w:ascii="Arial"/>
                <w:color w:val="161616"/>
                <w:w w:val="105"/>
                <w:sz w:val="21"/>
              </w:rPr>
              <w:t>Anti-Dumping</w:t>
            </w:r>
            <w:r>
              <w:rPr>
                <w:rFonts w:ascii="Arial"/>
                <w:color w:val="161616"/>
                <w:spacing w:val="-11"/>
                <w:w w:val="105"/>
                <w:sz w:val="21"/>
              </w:rPr>
              <w:t xml:space="preserve"> </w:t>
            </w:r>
            <w:r>
              <w:rPr>
                <w:rFonts w:ascii="Arial"/>
                <w:color w:val="080808"/>
                <w:w w:val="105"/>
                <w:sz w:val="21"/>
              </w:rPr>
              <w:t>Investigation into</w:t>
            </w:r>
          </w:p>
          <w:p w14:paraId="51DE7843" w14:textId="77777777" w:rsidR="0010369C" w:rsidRDefault="008E43AE">
            <w:pPr>
              <w:pStyle w:val="TableParagraph"/>
              <w:spacing w:before="2" w:line="205" w:lineRule="exact"/>
              <w:ind w:left="102"/>
              <w:rPr>
                <w:rFonts w:ascii="Arial"/>
                <w:sz w:val="21"/>
              </w:rPr>
            </w:pPr>
            <w:r>
              <w:rPr>
                <w:rFonts w:ascii="Arial"/>
                <w:color w:val="080808"/>
                <w:w w:val="105"/>
                <w:sz w:val="21"/>
              </w:rPr>
              <w:t>Imported</w:t>
            </w:r>
            <w:r>
              <w:rPr>
                <w:rFonts w:ascii="Arial"/>
                <w:color w:val="080808"/>
                <w:spacing w:val="10"/>
                <w:w w:val="105"/>
                <w:sz w:val="21"/>
              </w:rPr>
              <w:t xml:space="preserve"> </w:t>
            </w:r>
            <w:r>
              <w:rPr>
                <w:rFonts w:ascii="Arial"/>
                <w:color w:val="161616"/>
                <w:w w:val="105"/>
                <w:sz w:val="21"/>
              </w:rPr>
              <w:t>Wine</w:t>
            </w:r>
            <w:r>
              <w:rPr>
                <w:rFonts w:ascii="Arial"/>
                <w:color w:val="161616"/>
                <w:spacing w:val="2"/>
                <w:w w:val="105"/>
                <w:sz w:val="21"/>
              </w:rPr>
              <w:t xml:space="preserve"> </w:t>
            </w:r>
            <w:r>
              <w:rPr>
                <w:rFonts w:ascii="Arial"/>
                <w:color w:val="161616"/>
                <w:w w:val="105"/>
                <w:sz w:val="21"/>
              </w:rPr>
              <w:t>Originating</w:t>
            </w:r>
            <w:r>
              <w:rPr>
                <w:rFonts w:ascii="Arial"/>
                <w:color w:val="161616"/>
                <w:spacing w:val="2"/>
                <w:w w:val="105"/>
                <w:sz w:val="21"/>
              </w:rPr>
              <w:t xml:space="preserve"> </w:t>
            </w:r>
            <w:r>
              <w:rPr>
                <w:rFonts w:ascii="Arial"/>
                <w:color w:val="080808"/>
                <w:w w:val="105"/>
                <w:sz w:val="21"/>
              </w:rPr>
              <w:t>in</w:t>
            </w:r>
            <w:r>
              <w:rPr>
                <w:rFonts w:ascii="Arial"/>
                <w:color w:val="080808"/>
                <w:spacing w:val="12"/>
                <w:w w:val="105"/>
                <w:sz w:val="21"/>
              </w:rPr>
              <w:t xml:space="preserve"> </w:t>
            </w:r>
            <w:r>
              <w:rPr>
                <w:rFonts w:ascii="Arial"/>
                <w:color w:val="161616"/>
                <w:w w:val="105"/>
                <w:sz w:val="21"/>
              </w:rPr>
              <w:t>Australia",</w:t>
            </w:r>
            <w:r>
              <w:rPr>
                <w:rFonts w:ascii="Arial"/>
                <w:color w:val="161616"/>
                <w:spacing w:val="12"/>
                <w:w w:val="105"/>
                <w:sz w:val="21"/>
              </w:rPr>
              <w:t xml:space="preserve"> </w:t>
            </w:r>
            <w:r>
              <w:rPr>
                <w:rFonts w:ascii="Arial"/>
                <w:color w:val="080808"/>
                <w:w w:val="105"/>
                <w:sz w:val="21"/>
              </w:rPr>
              <w:t xml:space="preserve">26 </w:t>
            </w:r>
            <w:r>
              <w:rPr>
                <w:rFonts w:ascii="Arial"/>
                <w:color w:val="161616"/>
                <w:w w:val="105"/>
                <w:sz w:val="21"/>
              </w:rPr>
              <w:t>March</w:t>
            </w:r>
            <w:r>
              <w:rPr>
                <w:rFonts w:ascii="Arial"/>
                <w:color w:val="161616"/>
                <w:spacing w:val="12"/>
                <w:w w:val="105"/>
                <w:sz w:val="21"/>
              </w:rPr>
              <w:t xml:space="preserve"> </w:t>
            </w:r>
            <w:r>
              <w:rPr>
                <w:rFonts w:ascii="Arial"/>
                <w:color w:val="161616"/>
                <w:spacing w:val="-4"/>
                <w:w w:val="105"/>
                <w:sz w:val="21"/>
              </w:rPr>
              <w:t>2021</w:t>
            </w:r>
          </w:p>
        </w:tc>
      </w:tr>
    </w:tbl>
    <w:p w14:paraId="51DE7845" w14:textId="77777777" w:rsidR="0010369C" w:rsidRDefault="0010369C">
      <w:pPr>
        <w:spacing w:line="205" w:lineRule="exact"/>
        <w:rPr>
          <w:rFonts w:ascii="Arial"/>
          <w:sz w:val="21"/>
        </w:rPr>
        <w:sectPr w:rsidR="0010369C">
          <w:type w:val="continuous"/>
          <w:pgSz w:w="11910" w:h="16840"/>
          <w:pgMar w:top="1460" w:right="1220" w:bottom="280" w:left="1180" w:header="0" w:footer="788" w:gutter="0"/>
          <w:cols w:space="720"/>
        </w:sectPr>
      </w:pPr>
    </w:p>
    <w:p w14:paraId="51DE7846" w14:textId="77777777" w:rsidR="0010369C" w:rsidRDefault="008E43AE">
      <w:pPr>
        <w:pStyle w:val="BodyText"/>
        <w:ind w:left="119"/>
        <w:rPr>
          <w:rFonts w:ascii="Arial"/>
          <w:sz w:val="20"/>
        </w:rPr>
      </w:pPr>
      <w:r>
        <w:rPr>
          <w:rFonts w:ascii="Arial"/>
          <w:sz w:val="20"/>
        </w:rPr>
      </w:r>
      <w:r>
        <w:rPr>
          <w:rFonts w:ascii="Arial"/>
          <w:sz w:val="20"/>
        </w:rPr>
        <w:pict w14:anchorId="51DE9CFE">
          <v:shape id="docshape15" o:spid="_x0000_s3238" type="#_x0000_t202" style="width:460.95pt;height:15.8pt;mso-left-percent:-10001;mso-top-percent:-10001;mso-position-horizontal:absolute;mso-position-horizontal-relative:char;mso-position-vertical:absolute;mso-position-vertical-relative:line;mso-left-percent:-10001;mso-top-percent:-10001" filled="f" strokeweight=".48pt">
            <v:textbox inset="0,0,0,0">
              <w:txbxContent>
                <w:p w14:paraId="51DEAC0F" w14:textId="77777777" w:rsidR="0010369C" w:rsidRDefault="008E43AE">
                  <w:pPr>
                    <w:spacing w:before="19"/>
                    <w:ind w:left="2574" w:right="2496"/>
                    <w:jc w:val="center"/>
                  </w:pPr>
                  <w:r>
                    <w:t>Business</w:t>
                  </w:r>
                  <w:r>
                    <w:rPr>
                      <w:spacing w:val="-9"/>
                    </w:rPr>
                    <w:t xml:space="preserve"> </w:t>
                  </w:r>
                  <w:r>
                    <w:t>Confidential</w:t>
                  </w:r>
                  <w:r>
                    <w:rPr>
                      <w:spacing w:val="-7"/>
                    </w:rPr>
                    <w:t xml:space="preserve"> </w:t>
                  </w:r>
                  <w:r>
                    <w:t>Information</w:t>
                  </w:r>
                  <w:r>
                    <w:rPr>
                      <w:spacing w:val="-9"/>
                    </w:rPr>
                    <w:t xml:space="preserve"> </w:t>
                  </w:r>
                  <w:r>
                    <w:t>‐</w:t>
                  </w:r>
                  <w:r>
                    <w:rPr>
                      <w:spacing w:val="-7"/>
                    </w:rPr>
                    <w:t xml:space="preserve"> </w:t>
                  </w:r>
                  <w:r>
                    <w:rPr>
                      <w:spacing w:val="-2"/>
                    </w:rPr>
                    <w:t>REDACTED</w:t>
                  </w:r>
                </w:p>
              </w:txbxContent>
            </v:textbox>
            <w10:anchorlock/>
          </v:shape>
        </w:pict>
      </w:r>
    </w:p>
    <w:p w14:paraId="51DE7847" w14:textId="77777777" w:rsidR="0010369C" w:rsidRDefault="008E43AE">
      <w:pPr>
        <w:tabs>
          <w:tab w:val="left" w:pos="6425"/>
        </w:tabs>
        <w:spacing w:line="203" w:lineRule="exact"/>
        <w:ind w:left="238"/>
        <w:rPr>
          <w:sz w:val="20"/>
        </w:rPr>
      </w:pPr>
      <w:r>
        <w:rPr>
          <w:i/>
          <w:sz w:val="20"/>
        </w:rPr>
        <w:t>China</w:t>
      </w:r>
      <w:r>
        <w:rPr>
          <w:i/>
          <w:spacing w:val="-5"/>
          <w:sz w:val="20"/>
        </w:rPr>
        <w:t xml:space="preserve"> </w:t>
      </w:r>
      <w:r>
        <w:rPr>
          <w:i/>
          <w:sz w:val="20"/>
        </w:rPr>
        <w:t>–</w:t>
      </w:r>
      <w:r>
        <w:rPr>
          <w:i/>
          <w:spacing w:val="-5"/>
          <w:sz w:val="20"/>
        </w:rPr>
        <w:t xml:space="preserve"> </w:t>
      </w:r>
      <w:r>
        <w:rPr>
          <w:i/>
          <w:sz w:val="20"/>
        </w:rPr>
        <w:t>Anti‐Dumping</w:t>
      </w:r>
      <w:r>
        <w:rPr>
          <w:i/>
          <w:spacing w:val="-4"/>
          <w:sz w:val="20"/>
        </w:rPr>
        <w:t xml:space="preserve"> </w:t>
      </w:r>
      <w:r>
        <w:rPr>
          <w:i/>
          <w:sz w:val="20"/>
        </w:rPr>
        <w:t>and</w:t>
      </w:r>
      <w:r>
        <w:rPr>
          <w:i/>
          <w:spacing w:val="-5"/>
          <w:sz w:val="20"/>
        </w:rPr>
        <w:t xml:space="preserve"> </w:t>
      </w:r>
      <w:r>
        <w:rPr>
          <w:i/>
          <w:sz w:val="20"/>
        </w:rPr>
        <w:t>Countervailing</w:t>
      </w:r>
      <w:r>
        <w:rPr>
          <w:i/>
          <w:spacing w:val="-5"/>
          <w:sz w:val="20"/>
        </w:rPr>
        <w:t xml:space="preserve"> </w:t>
      </w:r>
      <w:r>
        <w:rPr>
          <w:i/>
          <w:sz w:val="20"/>
        </w:rPr>
        <w:t>Duty</w:t>
      </w:r>
      <w:r>
        <w:rPr>
          <w:i/>
          <w:spacing w:val="-4"/>
          <w:sz w:val="20"/>
        </w:rPr>
        <w:t xml:space="preserve"> </w:t>
      </w:r>
      <w:r>
        <w:rPr>
          <w:i/>
          <w:spacing w:val="-2"/>
          <w:sz w:val="20"/>
        </w:rPr>
        <w:t>Measures</w:t>
      </w:r>
      <w:r>
        <w:rPr>
          <w:i/>
          <w:sz w:val="20"/>
        </w:rPr>
        <w:tab/>
      </w:r>
      <w:r>
        <w:rPr>
          <w:sz w:val="20"/>
        </w:rPr>
        <w:t>Australia's</w:t>
      </w:r>
      <w:r>
        <w:rPr>
          <w:spacing w:val="-6"/>
          <w:sz w:val="20"/>
        </w:rPr>
        <w:t xml:space="preserve"> </w:t>
      </w:r>
      <w:r>
        <w:rPr>
          <w:sz w:val="20"/>
        </w:rPr>
        <w:t>First</w:t>
      </w:r>
      <w:r>
        <w:rPr>
          <w:spacing w:val="-2"/>
          <w:sz w:val="20"/>
        </w:rPr>
        <w:t xml:space="preserve"> </w:t>
      </w:r>
      <w:r>
        <w:rPr>
          <w:sz w:val="20"/>
        </w:rPr>
        <w:t>Written</w:t>
      </w:r>
      <w:r>
        <w:rPr>
          <w:spacing w:val="-2"/>
          <w:sz w:val="20"/>
        </w:rPr>
        <w:t xml:space="preserve"> Submission</w:t>
      </w:r>
    </w:p>
    <w:p w14:paraId="51DE7848" w14:textId="77777777" w:rsidR="0010369C" w:rsidRDefault="008E43AE">
      <w:pPr>
        <w:tabs>
          <w:tab w:val="left" w:pos="8227"/>
        </w:tabs>
        <w:spacing w:after="36"/>
        <w:ind w:left="239"/>
        <w:rPr>
          <w:sz w:val="20"/>
        </w:rPr>
      </w:pPr>
      <w:r>
        <w:rPr>
          <w:i/>
          <w:sz w:val="20"/>
        </w:rPr>
        <w:t>on</w:t>
      </w:r>
      <w:r>
        <w:rPr>
          <w:i/>
          <w:spacing w:val="-1"/>
          <w:sz w:val="20"/>
        </w:rPr>
        <w:t xml:space="preserve"> </w:t>
      </w:r>
      <w:r>
        <w:rPr>
          <w:i/>
          <w:sz w:val="20"/>
        </w:rPr>
        <w:t>Wine</w:t>
      </w:r>
      <w:r>
        <w:rPr>
          <w:i/>
          <w:spacing w:val="-1"/>
          <w:sz w:val="20"/>
        </w:rPr>
        <w:t xml:space="preserve"> </w:t>
      </w:r>
      <w:r>
        <w:rPr>
          <w:i/>
          <w:sz w:val="20"/>
        </w:rPr>
        <w:t>from</w:t>
      </w:r>
      <w:r>
        <w:rPr>
          <w:i/>
          <w:spacing w:val="-3"/>
          <w:sz w:val="20"/>
        </w:rPr>
        <w:t xml:space="preserve"> </w:t>
      </w:r>
      <w:r>
        <w:rPr>
          <w:i/>
          <w:sz w:val="20"/>
        </w:rPr>
        <w:t>Australia</w:t>
      </w:r>
      <w:r>
        <w:rPr>
          <w:i/>
          <w:spacing w:val="-1"/>
          <w:sz w:val="20"/>
        </w:rPr>
        <w:t xml:space="preserve"> </w:t>
      </w:r>
      <w:r>
        <w:rPr>
          <w:spacing w:val="-2"/>
          <w:sz w:val="20"/>
        </w:rPr>
        <w:t>(DS602)</w:t>
      </w:r>
      <w:r>
        <w:rPr>
          <w:sz w:val="20"/>
        </w:rPr>
        <w:tab/>
        <w:t>29</w:t>
      </w:r>
      <w:r>
        <w:rPr>
          <w:spacing w:val="-1"/>
          <w:sz w:val="20"/>
        </w:rPr>
        <w:t xml:space="preserve"> </w:t>
      </w:r>
      <w:r>
        <w:rPr>
          <w:sz w:val="20"/>
        </w:rPr>
        <w:t>April</w:t>
      </w:r>
      <w:r>
        <w:rPr>
          <w:spacing w:val="-2"/>
          <w:sz w:val="20"/>
        </w:rPr>
        <w:t xml:space="preserve"> </w:t>
      </w:r>
      <w:r>
        <w:rPr>
          <w:spacing w:val="-4"/>
          <w:sz w:val="20"/>
        </w:rPr>
        <w:t>2022</w:t>
      </w:r>
    </w:p>
    <w:tbl>
      <w:tblPr>
        <w:tblW w:w="0" w:type="auto"/>
        <w:tblInd w:w="2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58"/>
        <w:gridCol w:w="6757"/>
      </w:tblGrid>
      <w:tr w:rsidR="0010369C" w14:paraId="51DE784C" w14:textId="77777777">
        <w:trPr>
          <w:trHeight w:val="877"/>
        </w:trPr>
        <w:tc>
          <w:tcPr>
            <w:tcW w:w="2258" w:type="dxa"/>
          </w:tcPr>
          <w:p w14:paraId="51DE7849" w14:textId="77777777" w:rsidR="0010369C" w:rsidRDefault="008E43AE">
            <w:pPr>
              <w:pStyle w:val="TableParagraph"/>
              <w:spacing w:line="292" w:lineRule="exact"/>
              <w:ind w:left="107"/>
              <w:rPr>
                <w:sz w:val="24"/>
              </w:rPr>
            </w:pPr>
            <w:r>
              <w:rPr>
                <w:sz w:val="24"/>
              </w:rPr>
              <w:t xml:space="preserve">Final </w:t>
            </w:r>
            <w:r>
              <w:rPr>
                <w:spacing w:val="-2"/>
                <w:sz w:val="24"/>
              </w:rPr>
              <w:t>Disclosure</w:t>
            </w:r>
          </w:p>
        </w:tc>
        <w:tc>
          <w:tcPr>
            <w:tcW w:w="6757" w:type="dxa"/>
          </w:tcPr>
          <w:p w14:paraId="51DE784A" w14:textId="77777777" w:rsidR="0010369C" w:rsidRDefault="008E43AE">
            <w:pPr>
              <w:pStyle w:val="TableParagraph"/>
              <w:ind w:left="107"/>
              <w:rPr>
                <w:sz w:val="24"/>
              </w:rPr>
            </w:pPr>
            <w:r>
              <w:rPr>
                <w:sz w:val="24"/>
              </w:rPr>
              <w:t>MOFCOM,</w:t>
            </w:r>
            <w:r>
              <w:rPr>
                <w:spacing w:val="-4"/>
                <w:sz w:val="24"/>
              </w:rPr>
              <w:t xml:space="preserve"> </w:t>
            </w:r>
            <w:r>
              <w:rPr>
                <w:sz w:val="24"/>
              </w:rPr>
              <w:t>"Disclosure</w:t>
            </w:r>
            <w:r>
              <w:rPr>
                <w:spacing w:val="-5"/>
                <w:sz w:val="24"/>
              </w:rPr>
              <w:t xml:space="preserve"> </w:t>
            </w:r>
            <w:r>
              <w:rPr>
                <w:sz w:val="24"/>
              </w:rPr>
              <w:t>of</w:t>
            </w:r>
            <w:r>
              <w:rPr>
                <w:spacing w:val="-4"/>
                <w:sz w:val="24"/>
              </w:rPr>
              <w:t xml:space="preserve"> </w:t>
            </w:r>
            <w:r>
              <w:rPr>
                <w:sz w:val="24"/>
              </w:rPr>
              <w:t>Basic</w:t>
            </w:r>
            <w:r>
              <w:rPr>
                <w:spacing w:val="-3"/>
                <w:sz w:val="24"/>
              </w:rPr>
              <w:t xml:space="preserve"> </w:t>
            </w:r>
            <w:r>
              <w:rPr>
                <w:sz w:val="24"/>
              </w:rPr>
              <w:t>Facts</w:t>
            </w:r>
            <w:r>
              <w:rPr>
                <w:spacing w:val="-5"/>
                <w:sz w:val="24"/>
              </w:rPr>
              <w:t xml:space="preserve"> </w:t>
            </w:r>
            <w:r>
              <w:rPr>
                <w:sz w:val="24"/>
              </w:rPr>
              <w:t>Relied</w:t>
            </w:r>
            <w:r>
              <w:rPr>
                <w:spacing w:val="-5"/>
                <w:sz w:val="24"/>
              </w:rPr>
              <w:t xml:space="preserve"> </w:t>
            </w:r>
            <w:r>
              <w:rPr>
                <w:sz w:val="24"/>
              </w:rPr>
              <w:t>on</w:t>
            </w:r>
            <w:r>
              <w:rPr>
                <w:spacing w:val="-4"/>
                <w:sz w:val="24"/>
              </w:rPr>
              <w:t xml:space="preserve"> </w:t>
            </w:r>
            <w:r>
              <w:rPr>
                <w:sz w:val="24"/>
              </w:rPr>
              <w:t>by</w:t>
            </w:r>
            <w:r>
              <w:rPr>
                <w:spacing w:val="-3"/>
                <w:sz w:val="24"/>
              </w:rPr>
              <w:t xml:space="preserve"> </w:t>
            </w:r>
            <w:r>
              <w:rPr>
                <w:sz w:val="24"/>
              </w:rPr>
              <w:t>Final</w:t>
            </w:r>
            <w:r>
              <w:rPr>
                <w:spacing w:val="-3"/>
                <w:sz w:val="24"/>
              </w:rPr>
              <w:t xml:space="preserve"> </w:t>
            </w:r>
            <w:r>
              <w:rPr>
                <w:sz w:val="24"/>
              </w:rPr>
              <w:t>Ruling</w:t>
            </w:r>
            <w:r>
              <w:rPr>
                <w:spacing w:val="-4"/>
                <w:sz w:val="24"/>
              </w:rPr>
              <w:t xml:space="preserve"> </w:t>
            </w:r>
            <w:r>
              <w:rPr>
                <w:sz w:val="24"/>
              </w:rPr>
              <w:t>of Anti‐Dumping Investigation into Relevant Imported Wines</w:t>
            </w:r>
          </w:p>
          <w:p w14:paraId="51DE784B" w14:textId="77777777" w:rsidR="0010369C" w:rsidRDefault="008E43AE">
            <w:pPr>
              <w:pStyle w:val="TableParagraph"/>
              <w:spacing w:line="273" w:lineRule="exact"/>
              <w:ind w:left="107"/>
              <w:rPr>
                <w:sz w:val="24"/>
              </w:rPr>
            </w:pPr>
            <w:r>
              <w:rPr>
                <w:sz w:val="24"/>
              </w:rPr>
              <w:t>Originating</w:t>
            </w:r>
            <w:r>
              <w:rPr>
                <w:spacing w:val="-4"/>
                <w:sz w:val="24"/>
              </w:rPr>
              <w:t xml:space="preserve"> </w:t>
            </w:r>
            <w:r>
              <w:rPr>
                <w:sz w:val="24"/>
              </w:rPr>
              <w:t>in</w:t>
            </w:r>
            <w:r>
              <w:rPr>
                <w:spacing w:val="-3"/>
                <w:sz w:val="24"/>
              </w:rPr>
              <w:t xml:space="preserve"> </w:t>
            </w:r>
            <w:r>
              <w:rPr>
                <w:sz w:val="24"/>
              </w:rPr>
              <w:t>Australia",</w:t>
            </w:r>
            <w:r>
              <w:rPr>
                <w:spacing w:val="-4"/>
                <w:sz w:val="24"/>
              </w:rPr>
              <w:t xml:space="preserve"> </w:t>
            </w:r>
            <w:r>
              <w:rPr>
                <w:sz w:val="24"/>
              </w:rPr>
              <w:t>12</w:t>
            </w:r>
            <w:r>
              <w:rPr>
                <w:spacing w:val="-3"/>
                <w:sz w:val="24"/>
              </w:rPr>
              <w:t xml:space="preserve"> </w:t>
            </w:r>
            <w:r>
              <w:rPr>
                <w:sz w:val="24"/>
              </w:rPr>
              <w:t>March</w:t>
            </w:r>
            <w:r>
              <w:rPr>
                <w:spacing w:val="-3"/>
                <w:sz w:val="24"/>
              </w:rPr>
              <w:t xml:space="preserve"> </w:t>
            </w:r>
            <w:r>
              <w:rPr>
                <w:spacing w:val="-4"/>
                <w:sz w:val="24"/>
              </w:rPr>
              <w:t>2021</w:t>
            </w:r>
          </w:p>
        </w:tc>
      </w:tr>
      <w:tr w:rsidR="0010369C" w14:paraId="51DE784F" w14:textId="77777777">
        <w:trPr>
          <w:trHeight w:val="390"/>
        </w:trPr>
        <w:tc>
          <w:tcPr>
            <w:tcW w:w="2258" w:type="dxa"/>
          </w:tcPr>
          <w:p w14:paraId="51DE784D" w14:textId="77777777" w:rsidR="0010369C" w:rsidRDefault="008E43AE">
            <w:pPr>
              <w:pStyle w:val="TableParagraph"/>
              <w:ind w:left="107"/>
              <w:rPr>
                <w:sz w:val="24"/>
              </w:rPr>
            </w:pPr>
            <w:r>
              <w:rPr>
                <w:spacing w:val="-4"/>
                <w:sz w:val="24"/>
              </w:rPr>
              <w:t>GAAP</w:t>
            </w:r>
          </w:p>
        </w:tc>
        <w:tc>
          <w:tcPr>
            <w:tcW w:w="6757" w:type="dxa"/>
          </w:tcPr>
          <w:p w14:paraId="51DE784E" w14:textId="77777777" w:rsidR="0010369C" w:rsidRDefault="008E43AE">
            <w:pPr>
              <w:pStyle w:val="TableParagraph"/>
              <w:ind w:left="106"/>
              <w:rPr>
                <w:sz w:val="24"/>
              </w:rPr>
            </w:pPr>
            <w:r>
              <w:rPr>
                <w:sz w:val="24"/>
              </w:rPr>
              <w:t>Generally</w:t>
            </w:r>
            <w:r>
              <w:rPr>
                <w:spacing w:val="-2"/>
                <w:sz w:val="24"/>
              </w:rPr>
              <w:t xml:space="preserve"> </w:t>
            </w:r>
            <w:r>
              <w:rPr>
                <w:sz w:val="24"/>
              </w:rPr>
              <w:t>Accepted</w:t>
            </w:r>
            <w:r>
              <w:rPr>
                <w:spacing w:val="-2"/>
                <w:sz w:val="24"/>
              </w:rPr>
              <w:t xml:space="preserve"> </w:t>
            </w:r>
            <w:r>
              <w:rPr>
                <w:sz w:val="24"/>
              </w:rPr>
              <w:t>Accounting</w:t>
            </w:r>
            <w:r>
              <w:rPr>
                <w:spacing w:val="-2"/>
                <w:sz w:val="24"/>
              </w:rPr>
              <w:t xml:space="preserve"> Principles</w:t>
            </w:r>
          </w:p>
        </w:tc>
      </w:tr>
      <w:tr w:rsidR="0010369C" w14:paraId="51DE7852" w14:textId="77777777">
        <w:trPr>
          <w:trHeight w:val="389"/>
        </w:trPr>
        <w:tc>
          <w:tcPr>
            <w:tcW w:w="2258" w:type="dxa"/>
          </w:tcPr>
          <w:p w14:paraId="51DE7850" w14:textId="77777777" w:rsidR="0010369C" w:rsidRDefault="008E43AE">
            <w:pPr>
              <w:pStyle w:val="TableParagraph"/>
              <w:spacing w:line="292" w:lineRule="exact"/>
              <w:ind w:left="107"/>
              <w:rPr>
                <w:sz w:val="24"/>
              </w:rPr>
            </w:pPr>
            <w:r>
              <w:rPr>
                <w:sz w:val="24"/>
              </w:rPr>
              <w:t>GATT</w:t>
            </w:r>
            <w:r>
              <w:rPr>
                <w:spacing w:val="-1"/>
                <w:sz w:val="24"/>
              </w:rPr>
              <w:t xml:space="preserve"> </w:t>
            </w:r>
            <w:r>
              <w:rPr>
                <w:spacing w:val="-4"/>
                <w:sz w:val="24"/>
              </w:rPr>
              <w:t>1994</w:t>
            </w:r>
          </w:p>
        </w:tc>
        <w:tc>
          <w:tcPr>
            <w:tcW w:w="6757" w:type="dxa"/>
          </w:tcPr>
          <w:p w14:paraId="51DE7851" w14:textId="77777777" w:rsidR="0010369C" w:rsidRDefault="008E43AE">
            <w:pPr>
              <w:pStyle w:val="TableParagraph"/>
              <w:spacing w:line="292" w:lineRule="exact"/>
              <w:ind w:left="107"/>
              <w:rPr>
                <w:sz w:val="24"/>
              </w:rPr>
            </w:pPr>
            <w:r>
              <w:rPr>
                <w:sz w:val="24"/>
              </w:rPr>
              <w:t>General</w:t>
            </w:r>
            <w:r>
              <w:rPr>
                <w:spacing w:val="-3"/>
                <w:sz w:val="24"/>
              </w:rPr>
              <w:t xml:space="preserve"> </w:t>
            </w:r>
            <w:r>
              <w:rPr>
                <w:sz w:val="24"/>
              </w:rPr>
              <w:t>Agreement</w:t>
            </w:r>
            <w:r>
              <w:rPr>
                <w:spacing w:val="-3"/>
                <w:sz w:val="24"/>
              </w:rPr>
              <w:t xml:space="preserve"> </w:t>
            </w:r>
            <w:r>
              <w:rPr>
                <w:sz w:val="24"/>
              </w:rPr>
              <w:t>on</w:t>
            </w:r>
            <w:r>
              <w:rPr>
                <w:spacing w:val="-3"/>
                <w:sz w:val="24"/>
              </w:rPr>
              <w:t xml:space="preserve"> </w:t>
            </w:r>
            <w:r>
              <w:rPr>
                <w:sz w:val="24"/>
              </w:rPr>
              <w:t>Tariffs</w:t>
            </w:r>
            <w:r>
              <w:rPr>
                <w:spacing w:val="-2"/>
                <w:sz w:val="24"/>
              </w:rPr>
              <w:t xml:space="preserve"> </w:t>
            </w:r>
            <w:r>
              <w:rPr>
                <w:sz w:val="24"/>
              </w:rPr>
              <w:t>and</w:t>
            </w:r>
            <w:r>
              <w:rPr>
                <w:spacing w:val="-2"/>
                <w:sz w:val="24"/>
              </w:rPr>
              <w:t xml:space="preserve"> </w:t>
            </w:r>
            <w:r>
              <w:rPr>
                <w:sz w:val="24"/>
              </w:rPr>
              <w:t>Trade</w:t>
            </w:r>
            <w:r>
              <w:rPr>
                <w:spacing w:val="-1"/>
                <w:sz w:val="24"/>
              </w:rPr>
              <w:t xml:space="preserve"> </w:t>
            </w:r>
            <w:r>
              <w:rPr>
                <w:spacing w:val="-4"/>
                <w:sz w:val="24"/>
              </w:rPr>
              <w:t>1994</w:t>
            </w:r>
          </w:p>
        </w:tc>
      </w:tr>
      <w:tr w:rsidR="0010369C" w14:paraId="51DE7856" w14:textId="77777777">
        <w:trPr>
          <w:trHeight w:val="586"/>
        </w:trPr>
        <w:tc>
          <w:tcPr>
            <w:tcW w:w="2258" w:type="dxa"/>
          </w:tcPr>
          <w:p w14:paraId="51DE7853" w14:textId="77777777" w:rsidR="0010369C" w:rsidRDefault="008E43AE">
            <w:pPr>
              <w:pStyle w:val="TableParagraph"/>
              <w:spacing w:line="292" w:lineRule="exact"/>
              <w:ind w:left="107"/>
              <w:rPr>
                <w:sz w:val="24"/>
              </w:rPr>
            </w:pPr>
            <w:r>
              <w:rPr>
                <w:sz w:val="24"/>
              </w:rPr>
              <w:t>Growers</w:t>
            </w:r>
            <w:r>
              <w:rPr>
                <w:spacing w:val="-1"/>
                <w:sz w:val="24"/>
              </w:rPr>
              <w:t xml:space="preserve"> </w:t>
            </w:r>
            <w:r>
              <w:rPr>
                <w:spacing w:val="-4"/>
                <w:sz w:val="24"/>
              </w:rPr>
              <w:t>Wine</w:t>
            </w:r>
          </w:p>
          <w:p w14:paraId="51DE7854" w14:textId="77777777" w:rsidR="0010369C" w:rsidRDefault="008E43AE">
            <w:pPr>
              <w:pStyle w:val="TableParagraph"/>
              <w:spacing w:before="1" w:line="273" w:lineRule="exact"/>
              <w:ind w:left="107"/>
              <w:rPr>
                <w:sz w:val="24"/>
              </w:rPr>
            </w:pPr>
            <w:r>
              <w:rPr>
                <w:spacing w:val="-2"/>
                <w:sz w:val="24"/>
              </w:rPr>
              <w:t>Industry</w:t>
            </w:r>
          </w:p>
        </w:tc>
        <w:tc>
          <w:tcPr>
            <w:tcW w:w="6757" w:type="dxa"/>
          </w:tcPr>
          <w:p w14:paraId="51DE7855" w14:textId="77777777" w:rsidR="0010369C" w:rsidRDefault="008E43AE">
            <w:pPr>
              <w:pStyle w:val="TableParagraph"/>
              <w:spacing w:line="292" w:lineRule="exact"/>
              <w:ind w:left="106"/>
              <w:rPr>
                <w:sz w:val="24"/>
              </w:rPr>
            </w:pPr>
            <w:r>
              <w:rPr>
                <w:sz w:val="24"/>
              </w:rPr>
              <w:t>Growers</w:t>
            </w:r>
            <w:r>
              <w:rPr>
                <w:spacing w:val="-3"/>
                <w:sz w:val="24"/>
              </w:rPr>
              <w:t xml:space="preserve"> </w:t>
            </w:r>
            <w:r>
              <w:rPr>
                <w:sz w:val="24"/>
              </w:rPr>
              <w:t>Wine</w:t>
            </w:r>
            <w:r>
              <w:rPr>
                <w:spacing w:val="-2"/>
                <w:sz w:val="24"/>
              </w:rPr>
              <w:t xml:space="preserve"> </w:t>
            </w:r>
            <w:r>
              <w:rPr>
                <w:sz w:val="24"/>
              </w:rPr>
              <w:t>Group</w:t>
            </w:r>
            <w:r>
              <w:rPr>
                <w:spacing w:val="-2"/>
                <w:sz w:val="24"/>
              </w:rPr>
              <w:t xml:space="preserve"> </w:t>
            </w:r>
            <w:r>
              <w:rPr>
                <w:sz w:val="24"/>
              </w:rPr>
              <w:t>Pty</w:t>
            </w:r>
            <w:r>
              <w:rPr>
                <w:spacing w:val="-1"/>
                <w:sz w:val="24"/>
              </w:rPr>
              <w:t xml:space="preserve"> </w:t>
            </w:r>
            <w:r>
              <w:rPr>
                <w:spacing w:val="-5"/>
                <w:sz w:val="24"/>
              </w:rPr>
              <w:t>Ltd</w:t>
            </w:r>
          </w:p>
        </w:tc>
      </w:tr>
      <w:tr w:rsidR="0010369C" w14:paraId="51DE7859" w14:textId="77777777">
        <w:trPr>
          <w:trHeight w:val="389"/>
        </w:trPr>
        <w:tc>
          <w:tcPr>
            <w:tcW w:w="2258" w:type="dxa"/>
          </w:tcPr>
          <w:p w14:paraId="51DE7857" w14:textId="77777777" w:rsidR="0010369C" w:rsidRDefault="008E43AE">
            <w:pPr>
              <w:pStyle w:val="TableParagraph"/>
              <w:spacing w:line="292" w:lineRule="exact"/>
              <w:ind w:left="107"/>
              <w:rPr>
                <w:sz w:val="24"/>
              </w:rPr>
            </w:pPr>
            <w:r>
              <w:rPr>
                <w:spacing w:val="-4"/>
                <w:sz w:val="24"/>
              </w:rPr>
              <w:t>IFRS</w:t>
            </w:r>
          </w:p>
        </w:tc>
        <w:tc>
          <w:tcPr>
            <w:tcW w:w="6757" w:type="dxa"/>
          </w:tcPr>
          <w:p w14:paraId="51DE7858" w14:textId="77777777" w:rsidR="0010369C" w:rsidRDefault="008E43AE">
            <w:pPr>
              <w:pStyle w:val="TableParagraph"/>
              <w:spacing w:line="292" w:lineRule="exact"/>
              <w:ind w:left="107"/>
              <w:rPr>
                <w:sz w:val="24"/>
              </w:rPr>
            </w:pPr>
            <w:r>
              <w:rPr>
                <w:sz w:val="24"/>
              </w:rPr>
              <w:t>International</w:t>
            </w:r>
            <w:r>
              <w:rPr>
                <w:spacing w:val="-3"/>
                <w:sz w:val="24"/>
              </w:rPr>
              <w:t xml:space="preserve"> </w:t>
            </w:r>
            <w:r>
              <w:rPr>
                <w:sz w:val="24"/>
              </w:rPr>
              <w:t>Financial</w:t>
            </w:r>
            <w:r>
              <w:rPr>
                <w:spacing w:val="-3"/>
                <w:sz w:val="24"/>
              </w:rPr>
              <w:t xml:space="preserve"> </w:t>
            </w:r>
            <w:r>
              <w:rPr>
                <w:sz w:val="24"/>
              </w:rPr>
              <w:t>Reporting</w:t>
            </w:r>
            <w:r>
              <w:rPr>
                <w:spacing w:val="-2"/>
                <w:sz w:val="24"/>
              </w:rPr>
              <w:t xml:space="preserve"> Standards</w:t>
            </w:r>
          </w:p>
        </w:tc>
      </w:tr>
      <w:tr w:rsidR="0010369C" w14:paraId="51DE785D" w14:textId="77777777">
        <w:trPr>
          <w:trHeight w:val="586"/>
        </w:trPr>
        <w:tc>
          <w:tcPr>
            <w:tcW w:w="2258" w:type="dxa"/>
          </w:tcPr>
          <w:p w14:paraId="51DE785A" w14:textId="77777777" w:rsidR="0010369C" w:rsidRDefault="008E43AE">
            <w:pPr>
              <w:pStyle w:val="TableParagraph"/>
              <w:spacing w:line="292" w:lineRule="exact"/>
              <w:ind w:left="107"/>
              <w:rPr>
                <w:sz w:val="24"/>
              </w:rPr>
            </w:pPr>
            <w:r>
              <w:rPr>
                <w:sz w:val="24"/>
              </w:rPr>
              <w:t>Injury</w:t>
            </w:r>
            <w:r>
              <w:rPr>
                <w:spacing w:val="-1"/>
                <w:sz w:val="24"/>
              </w:rPr>
              <w:t xml:space="preserve"> </w:t>
            </w:r>
            <w:r>
              <w:rPr>
                <w:spacing w:val="-5"/>
                <w:sz w:val="24"/>
              </w:rPr>
              <w:t>POI</w:t>
            </w:r>
          </w:p>
        </w:tc>
        <w:tc>
          <w:tcPr>
            <w:tcW w:w="6757" w:type="dxa"/>
          </w:tcPr>
          <w:p w14:paraId="51DE785B" w14:textId="77777777" w:rsidR="0010369C" w:rsidRDefault="008E43AE">
            <w:pPr>
              <w:pStyle w:val="TableParagraph"/>
              <w:spacing w:line="292" w:lineRule="exact"/>
              <w:ind w:left="107"/>
              <w:rPr>
                <w:sz w:val="24"/>
              </w:rPr>
            </w:pPr>
            <w:r>
              <w:rPr>
                <w:sz w:val="24"/>
              </w:rPr>
              <w:t>The</w:t>
            </w:r>
            <w:r>
              <w:rPr>
                <w:spacing w:val="-6"/>
                <w:sz w:val="24"/>
              </w:rPr>
              <w:t xml:space="preserve"> </w:t>
            </w:r>
            <w:r>
              <w:rPr>
                <w:sz w:val="24"/>
              </w:rPr>
              <w:t>injury</w:t>
            </w:r>
            <w:r>
              <w:rPr>
                <w:spacing w:val="-3"/>
                <w:sz w:val="24"/>
              </w:rPr>
              <w:t xml:space="preserve"> </w:t>
            </w:r>
            <w:r>
              <w:rPr>
                <w:sz w:val="24"/>
              </w:rPr>
              <w:t>investigation</w:t>
            </w:r>
            <w:r>
              <w:rPr>
                <w:spacing w:val="-2"/>
                <w:sz w:val="24"/>
              </w:rPr>
              <w:t xml:space="preserve"> </w:t>
            </w:r>
            <w:r>
              <w:rPr>
                <w:sz w:val="24"/>
              </w:rPr>
              <w:t>period</w:t>
            </w:r>
            <w:r>
              <w:rPr>
                <w:spacing w:val="-5"/>
                <w:sz w:val="24"/>
              </w:rPr>
              <w:t xml:space="preserve"> </w:t>
            </w:r>
            <w:r>
              <w:rPr>
                <w:sz w:val="24"/>
              </w:rPr>
              <w:t>adopted</w:t>
            </w:r>
            <w:r>
              <w:rPr>
                <w:spacing w:val="-4"/>
                <w:sz w:val="24"/>
              </w:rPr>
              <w:t xml:space="preserve"> </w:t>
            </w:r>
            <w:r>
              <w:rPr>
                <w:sz w:val="24"/>
              </w:rPr>
              <w:t>by</w:t>
            </w:r>
            <w:r>
              <w:rPr>
                <w:spacing w:val="-4"/>
                <w:sz w:val="24"/>
              </w:rPr>
              <w:t xml:space="preserve"> </w:t>
            </w:r>
            <w:r>
              <w:rPr>
                <w:sz w:val="24"/>
              </w:rPr>
              <w:t>MOFCOM,</w:t>
            </w:r>
            <w:r>
              <w:rPr>
                <w:spacing w:val="-4"/>
                <w:sz w:val="24"/>
              </w:rPr>
              <w:t xml:space="preserve"> </w:t>
            </w:r>
            <w:r>
              <w:rPr>
                <w:sz w:val="24"/>
              </w:rPr>
              <w:t>being</w:t>
            </w:r>
            <w:r>
              <w:rPr>
                <w:spacing w:val="-4"/>
                <w:sz w:val="24"/>
              </w:rPr>
              <w:t xml:space="preserve"> </w:t>
            </w:r>
            <w:r>
              <w:rPr>
                <w:spacing w:val="-10"/>
                <w:sz w:val="24"/>
              </w:rPr>
              <w:t>1</w:t>
            </w:r>
          </w:p>
          <w:p w14:paraId="51DE785C" w14:textId="77777777" w:rsidR="0010369C" w:rsidRDefault="008E43AE">
            <w:pPr>
              <w:pStyle w:val="TableParagraph"/>
              <w:spacing w:before="1" w:line="273" w:lineRule="exact"/>
              <w:ind w:left="107"/>
              <w:rPr>
                <w:sz w:val="24"/>
              </w:rPr>
            </w:pPr>
            <w:r>
              <w:rPr>
                <w:sz w:val="24"/>
              </w:rPr>
              <w:t>January</w:t>
            </w:r>
            <w:r>
              <w:rPr>
                <w:spacing w:val="-2"/>
                <w:sz w:val="24"/>
              </w:rPr>
              <w:t xml:space="preserve"> </w:t>
            </w:r>
            <w:r>
              <w:rPr>
                <w:sz w:val="24"/>
              </w:rPr>
              <w:t>2015</w:t>
            </w:r>
            <w:r>
              <w:rPr>
                <w:spacing w:val="-2"/>
                <w:sz w:val="24"/>
              </w:rPr>
              <w:t xml:space="preserve"> </w:t>
            </w:r>
            <w:r>
              <w:rPr>
                <w:sz w:val="24"/>
              </w:rPr>
              <w:t>to</w:t>
            </w:r>
            <w:r>
              <w:rPr>
                <w:spacing w:val="-1"/>
                <w:sz w:val="24"/>
              </w:rPr>
              <w:t xml:space="preserve"> </w:t>
            </w:r>
            <w:r>
              <w:rPr>
                <w:sz w:val="24"/>
              </w:rPr>
              <w:t>31</w:t>
            </w:r>
            <w:r>
              <w:rPr>
                <w:spacing w:val="-2"/>
                <w:sz w:val="24"/>
              </w:rPr>
              <w:t xml:space="preserve"> </w:t>
            </w:r>
            <w:r>
              <w:rPr>
                <w:sz w:val="24"/>
              </w:rPr>
              <w:t xml:space="preserve">December </w:t>
            </w:r>
            <w:r>
              <w:rPr>
                <w:spacing w:val="-2"/>
                <w:sz w:val="24"/>
              </w:rPr>
              <w:t>2019.</w:t>
            </w:r>
          </w:p>
        </w:tc>
      </w:tr>
      <w:tr w:rsidR="0010369C" w14:paraId="51DE7860" w14:textId="77777777">
        <w:trPr>
          <w:trHeight w:val="389"/>
        </w:trPr>
        <w:tc>
          <w:tcPr>
            <w:tcW w:w="2258" w:type="dxa"/>
          </w:tcPr>
          <w:p w14:paraId="51DE785E" w14:textId="77777777" w:rsidR="0010369C" w:rsidRDefault="008E43AE">
            <w:pPr>
              <w:pStyle w:val="TableParagraph"/>
              <w:spacing w:line="292" w:lineRule="exact"/>
              <w:ind w:left="107"/>
              <w:rPr>
                <w:sz w:val="24"/>
              </w:rPr>
            </w:pPr>
            <w:r>
              <w:rPr>
                <w:spacing w:val="-2"/>
                <w:sz w:val="24"/>
              </w:rPr>
              <w:t>Liquorland</w:t>
            </w:r>
          </w:p>
        </w:tc>
        <w:tc>
          <w:tcPr>
            <w:tcW w:w="6757" w:type="dxa"/>
          </w:tcPr>
          <w:p w14:paraId="51DE785F" w14:textId="77777777" w:rsidR="0010369C" w:rsidRDefault="008E43AE">
            <w:pPr>
              <w:pStyle w:val="TableParagraph"/>
              <w:spacing w:line="292" w:lineRule="exact"/>
              <w:ind w:left="107"/>
              <w:rPr>
                <w:sz w:val="24"/>
              </w:rPr>
            </w:pPr>
            <w:r>
              <w:rPr>
                <w:sz w:val="24"/>
              </w:rPr>
              <w:t>Liquorland</w:t>
            </w:r>
            <w:r>
              <w:rPr>
                <w:spacing w:val="-4"/>
                <w:sz w:val="24"/>
              </w:rPr>
              <w:t xml:space="preserve"> </w:t>
            </w:r>
            <w:r>
              <w:rPr>
                <w:sz w:val="24"/>
              </w:rPr>
              <w:t>(Australia)</w:t>
            </w:r>
            <w:r>
              <w:rPr>
                <w:spacing w:val="-4"/>
                <w:sz w:val="24"/>
              </w:rPr>
              <w:t xml:space="preserve"> </w:t>
            </w:r>
            <w:r>
              <w:rPr>
                <w:sz w:val="24"/>
              </w:rPr>
              <w:t>Pty</w:t>
            </w:r>
            <w:r>
              <w:rPr>
                <w:spacing w:val="-4"/>
                <w:sz w:val="24"/>
              </w:rPr>
              <w:t xml:space="preserve"> </w:t>
            </w:r>
            <w:r>
              <w:rPr>
                <w:spacing w:val="-5"/>
                <w:sz w:val="24"/>
              </w:rPr>
              <w:t>Ltd</w:t>
            </w:r>
          </w:p>
        </w:tc>
      </w:tr>
      <w:tr w:rsidR="0010369C" w14:paraId="51DE7863" w14:textId="77777777">
        <w:trPr>
          <w:trHeight w:val="389"/>
        </w:trPr>
        <w:tc>
          <w:tcPr>
            <w:tcW w:w="2258" w:type="dxa"/>
          </w:tcPr>
          <w:p w14:paraId="51DE7861" w14:textId="77777777" w:rsidR="0010369C" w:rsidRDefault="008E43AE">
            <w:pPr>
              <w:pStyle w:val="TableParagraph"/>
              <w:spacing w:line="292" w:lineRule="exact"/>
              <w:ind w:left="107"/>
              <w:rPr>
                <w:sz w:val="24"/>
              </w:rPr>
            </w:pPr>
            <w:r>
              <w:rPr>
                <w:spacing w:val="-2"/>
                <w:sz w:val="24"/>
              </w:rPr>
              <w:t>MOFCOM</w:t>
            </w:r>
          </w:p>
        </w:tc>
        <w:tc>
          <w:tcPr>
            <w:tcW w:w="6757" w:type="dxa"/>
          </w:tcPr>
          <w:p w14:paraId="51DE7862" w14:textId="77777777" w:rsidR="0010369C" w:rsidRDefault="008E43AE">
            <w:pPr>
              <w:pStyle w:val="TableParagraph"/>
              <w:spacing w:line="292" w:lineRule="exact"/>
              <w:ind w:left="106"/>
              <w:rPr>
                <w:sz w:val="24"/>
              </w:rPr>
            </w:pPr>
            <w:r>
              <w:rPr>
                <w:sz w:val="24"/>
              </w:rPr>
              <w:t>Ministry</w:t>
            </w:r>
            <w:r>
              <w:rPr>
                <w:spacing w:val="-1"/>
                <w:sz w:val="24"/>
              </w:rPr>
              <w:t xml:space="preserve"> </w:t>
            </w:r>
            <w:r>
              <w:rPr>
                <w:sz w:val="24"/>
              </w:rPr>
              <w:t>of</w:t>
            </w:r>
            <w:r>
              <w:rPr>
                <w:spacing w:val="-2"/>
                <w:sz w:val="24"/>
              </w:rPr>
              <w:t xml:space="preserve"> </w:t>
            </w:r>
            <w:r>
              <w:rPr>
                <w:sz w:val="24"/>
              </w:rPr>
              <w:t>Commerce</w:t>
            </w:r>
            <w:r>
              <w:rPr>
                <w:spacing w:val="-2"/>
                <w:sz w:val="24"/>
              </w:rPr>
              <w:t xml:space="preserve"> </w:t>
            </w:r>
            <w:r>
              <w:rPr>
                <w:sz w:val="24"/>
              </w:rPr>
              <w:t>of</w:t>
            </w:r>
            <w:r>
              <w:rPr>
                <w:spacing w:val="-1"/>
                <w:sz w:val="24"/>
              </w:rPr>
              <w:t xml:space="preserve"> </w:t>
            </w:r>
            <w:r>
              <w:rPr>
                <w:sz w:val="24"/>
              </w:rPr>
              <w:t>the</w:t>
            </w:r>
            <w:r>
              <w:rPr>
                <w:spacing w:val="-1"/>
                <w:sz w:val="24"/>
              </w:rPr>
              <w:t xml:space="preserve"> </w:t>
            </w:r>
            <w:r>
              <w:rPr>
                <w:sz w:val="24"/>
              </w:rPr>
              <w:t>People's</w:t>
            </w:r>
            <w:r>
              <w:rPr>
                <w:spacing w:val="-1"/>
                <w:sz w:val="24"/>
              </w:rPr>
              <w:t xml:space="preserve"> </w:t>
            </w:r>
            <w:r>
              <w:rPr>
                <w:sz w:val="24"/>
              </w:rPr>
              <w:t>Republic</w:t>
            </w:r>
            <w:r>
              <w:rPr>
                <w:spacing w:val="-2"/>
                <w:sz w:val="24"/>
              </w:rPr>
              <w:t xml:space="preserve"> </w:t>
            </w:r>
            <w:r>
              <w:rPr>
                <w:sz w:val="24"/>
              </w:rPr>
              <w:t>of</w:t>
            </w:r>
            <w:r>
              <w:rPr>
                <w:spacing w:val="-1"/>
                <w:sz w:val="24"/>
              </w:rPr>
              <w:t xml:space="preserve"> </w:t>
            </w:r>
            <w:r>
              <w:rPr>
                <w:spacing w:val="-2"/>
                <w:sz w:val="24"/>
              </w:rPr>
              <w:t>China</w:t>
            </w:r>
          </w:p>
        </w:tc>
      </w:tr>
      <w:tr w:rsidR="0010369C" w14:paraId="51DE7866" w14:textId="77777777">
        <w:trPr>
          <w:trHeight w:val="879"/>
        </w:trPr>
        <w:tc>
          <w:tcPr>
            <w:tcW w:w="2258" w:type="dxa"/>
          </w:tcPr>
          <w:p w14:paraId="51DE7864" w14:textId="77777777" w:rsidR="0010369C" w:rsidRDefault="008E43AE">
            <w:pPr>
              <w:pStyle w:val="TableParagraph"/>
              <w:ind w:left="107" w:right="154"/>
              <w:rPr>
                <w:sz w:val="24"/>
              </w:rPr>
            </w:pPr>
            <w:r>
              <w:rPr>
                <w:sz w:val="24"/>
              </w:rPr>
              <w:t>Other named Australian</w:t>
            </w:r>
            <w:r>
              <w:rPr>
                <w:spacing w:val="-14"/>
                <w:sz w:val="24"/>
              </w:rPr>
              <w:t xml:space="preserve"> </w:t>
            </w:r>
            <w:r>
              <w:rPr>
                <w:sz w:val="24"/>
              </w:rPr>
              <w:t>exporters</w:t>
            </w:r>
          </w:p>
        </w:tc>
        <w:tc>
          <w:tcPr>
            <w:tcW w:w="6757" w:type="dxa"/>
          </w:tcPr>
          <w:p w14:paraId="51DE7865" w14:textId="77777777" w:rsidR="0010369C" w:rsidRDefault="008E43AE">
            <w:pPr>
              <w:pStyle w:val="TableParagraph"/>
              <w:spacing w:line="290" w:lineRule="atLeast"/>
              <w:ind w:left="106" w:right="1057"/>
              <w:jc w:val="both"/>
              <w:rPr>
                <w:sz w:val="24"/>
              </w:rPr>
            </w:pPr>
            <w:r>
              <w:rPr>
                <w:sz w:val="24"/>
              </w:rPr>
              <w:t>The 21 Australian exporters listed in Annex 1 of the Final Determination</w:t>
            </w:r>
            <w:r>
              <w:rPr>
                <w:spacing w:val="-5"/>
                <w:sz w:val="24"/>
              </w:rPr>
              <w:t xml:space="preserve"> </w:t>
            </w:r>
            <w:r>
              <w:rPr>
                <w:sz w:val="24"/>
              </w:rPr>
              <w:t>in</w:t>
            </w:r>
            <w:r>
              <w:rPr>
                <w:spacing w:val="-6"/>
                <w:sz w:val="24"/>
              </w:rPr>
              <w:t xml:space="preserve"> </w:t>
            </w:r>
            <w:r>
              <w:rPr>
                <w:sz w:val="24"/>
              </w:rPr>
              <w:t>the</w:t>
            </w:r>
            <w:r>
              <w:rPr>
                <w:spacing w:val="-5"/>
                <w:sz w:val="24"/>
              </w:rPr>
              <w:t xml:space="preserve"> </w:t>
            </w:r>
            <w:r>
              <w:rPr>
                <w:sz w:val="24"/>
              </w:rPr>
              <w:t>category,</w:t>
            </w:r>
            <w:r>
              <w:rPr>
                <w:spacing w:val="-6"/>
                <w:sz w:val="24"/>
              </w:rPr>
              <w:t xml:space="preserve"> </w:t>
            </w:r>
            <w:r>
              <w:rPr>
                <w:sz w:val="24"/>
              </w:rPr>
              <w:t>"Other</w:t>
            </w:r>
            <w:r>
              <w:rPr>
                <w:spacing w:val="-6"/>
                <w:sz w:val="24"/>
              </w:rPr>
              <w:t xml:space="preserve"> </w:t>
            </w:r>
            <w:r>
              <w:rPr>
                <w:sz w:val="24"/>
              </w:rPr>
              <w:t>Cooperative</w:t>
            </w:r>
            <w:r>
              <w:rPr>
                <w:spacing w:val="-5"/>
                <w:sz w:val="24"/>
              </w:rPr>
              <w:t xml:space="preserve"> </w:t>
            </w:r>
            <w:r>
              <w:rPr>
                <w:sz w:val="24"/>
              </w:rPr>
              <w:t>in</w:t>
            </w:r>
            <w:r>
              <w:rPr>
                <w:spacing w:val="-6"/>
                <w:sz w:val="24"/>
              </w:rPr>
              <w:t xml:space="preserve"> </w:t>
            </w:r>
            <w:r>
              <w:rPr>
                <w:sz w:val="24"/>
              </w:rPr>
              <w:t xml:space="preserve">the </w:t>
            </w:r>
            <w:r>
              <w:rPr>
                <w:spacing w:val="-2"/>
                <w:sz w:val="24"/>
              </w:rPr>
              <w:t>Investigation"</w:t>
            </w:r>
          </w:p>
        </w:tc>
      </w:tr>
      <w:tr w:rsidR="0010369C" w14:paraId="51DE7869" w14:textId="77777777">
        <w:trPr>
          <w:trHeight w:val="389"/>
        </w:trPr>
        <w:tc>
          <w:tcPr>
            <w:tcW w:w="2258" w:type="dxa"/>
          </w:tcPr>
          <w:p w14:paraId="51DE7867" w14:textId="77777777" w:rsidR="0010369C" w:rsidRDefault="008E43AE">
            <w:pPr>
              <w:pStyle w:val="TableParagraph"/>
              <w:spacing w:line="292" w:lineRule="exact"/>
              <w:ind w:left="107"/>
              <w:rPr>
                <w:sz w:val="24"/>
              </w:rPr>
            </w:pPr>
            <w:r>
              <w:rPr>
                <w:spacing w:val="-5"/>
                <w:sz w:val="24"/>
              </w:rPr>
              <w:t>PCN</w:t>
            </w:r>
          </w:p>
        </w:tc>
        <w:tc>
          <w:tcPr>
            <w:tcW w:w="6757" w:type="dxa"/>
          </w:tcPr>
          <w:p w14:paraId="51DE7868" w14:textId="77777777" w:rsidR="0010369C" w:rsidRDefault="008E43AE">
            <w:pPr>
              <w:pStyle w:val="TableParagraph"/>
              <w:spacing w:line="292" w:lineRule="exact"/>
              <w:ind w:left="106"/>
              <w:rPr>
                <w:sz w:val="24"/>
              </w:rPr>
            </w:pPr>
            <w:r>
              <w:rPr>
                <w:sz w:val="24"/>
              </w:rPr>
              <w:t>Product</w:t>
            </w:r>
            <w:r>
              <w:rPr>
                <w:spacing w:val="-4"/>
                <w:sz w:val="24"/>
              </w:rPr>
              <w:t xml:space="preserve"> </w:t>
            </w:r>
            <w:r>
              <w:rPr>
                <w:sz w:val="24"/>
              </w:rPr>
              <w:t>Control</w:t>
            </w:r>
            <w:r>
              <w:rPr>
                <w:spacing w:val="-2"/>
                <w:sz w:val="24"/>
              </w:rPr>
              <w:t xml:space="preserve"> Number</w:t>
            </w:r>
          </w:p>
        </w:tc>
      </w:tr>
      <w:tr w:rsidR="0010369C" w14:paraId="51DE786C" w14:textId="77777777">
        <w:trPr>
          <w:trHeight w:val="390"/>
        </w:trPr>
        <w:tc>
          <w:tcPr>
            <w:tcW w:w="2258" w:type="dxa"/>
          </w:tcPr>
          <w:p w14:paraId="51DE786A" w14:textId="77777777" w:rsidR="0010369C" w:rsidRDefault="008E43AE">
            <w:pPr>
              <w:pStyle w:val="TableParagraph"/>
              <w:ind w:left="107"/>
              <w:rPr>
                <w:sz w:val="24"/>
              </w:rPr>
            </w:pPr>
            <w:r>
              <w:rPr>
                <w:sz w:val="24"/>
              </w:rPr>
              <w:t>Pernod</w:t>
            </w:r>
            <w:r>
              <w:rPr>
                <w:spacing w:val="-4"/>
                <w:sz w:val="24"/>
              </w:rPr>
              <w:t xml:space="preserve"> </w:t>
            </w:r>
            <w:r>
              <w:rPr>
                <w:spacing w:val="-2"/>
                <w:sz w:val="24"/>
              </w:rPr>
              <w:t>Ricard</w:t>
            </w:r>
          </w:p>
        </w:tc>
        <w:tc>
          <w:tcPr>
            <w:tcW w:w="6757" w:type="dxa"/>
          </w:tcPr>
          <w:p w14:paraId="51DE786B" w14:textId="77777777" w:rsidR="0010369C" w:rsidRDefault="008E43AE">
            <w:pPr>
              <w:pStyle w:val="TableParagraph"/>
              <w:ind w:left="107"/>
              <w:rPr>
                <w:sz w:val="24"/>
              </w:rPr>
            </w:pPr>
            <w:r>
              <w:rPr>
                <w:sz w:val="24"/>
              </w:rPr>
              <w:t>Pernod</w:t>
            </w:r>
            <w:r>
              <w:rPr>
                <w:spacing w:val="-4"/>
                <w:sz w:val="24"/>
              </w:rPr>
              <w:t xml:space="preserve"> </w:t>
            </w:r>
            <w:r>
              <w:rPr>
                <w:sz w:val="24"/>
              </w:rPr>
              <w:t>Ricard</w:t>
            </w:r>
            <w:r>
              <w:rPr>
                <w:spacing w:val="-2"/>
                <w:sz w:val="24"/>
              </w:rPr>
              <w:t xml:space="preserve"> </w:t>
            </w:r>
            <w:r>
              <w:rPr>
                <w:sz w:val="24"/>
              </w:rPr>
              <w:t>Winemakers</w:t>
            </w:r>
            <w:r>
              <w:rPr>
                <w:spacing w:val="-3"/>
                <w:sz w:val="24"/>
              </w:rPr>
              <w:t xml:space="preserve"> </w:t>
            </w:r>
            <w:r>
              <w:rPr>
                <w:sz w:val="24"/>
              </w:rPr>
              <w:t>Pty</w:t>
            </w:r>
            <w:r>
              <w:rPr>
                <w:spacing w:val="-1"/>
                <w:sz w:val="24"/>
              </w:rPr>
              <w:t xml:space="preserve"> </w:t>
            </w:r>
            <w:r>
              <w:rPr>
                <w:spacing w:val="-5"/>
                <w:sz w:val="24"/>
              </w:rPr>
              <w:t>Ltd</w:t>
            </w:r>
          </w:p>
        </w:tc>
      </w:tr>
      <w:tr w:rsidR="0010369C" w14:paraId="51DE7870" w14:textId="77777777">
        <w:trPr>
          <w:trHeight w:val="585"/>
        </w:trPr>
        <w:tc>
          <w:tcPr>
            <w:tcW w:w="2258" w:type="dxa"/>
          </w:tcPr>
          <w:p w14:paraId="51DE786D" w14:textId="77777777" w:rsidR="0010369C" w:rsidRDefault="008E43AE">
            <w:pPr>
              <w:pStyle w:val="TableParagraph"/>
              <w:spacing w:line="292" w:lineRule="exact"/>
              <w:ind w:left="107"/>
              <w:rPr>
                <w:sz w:val="24"/>
              </w:rPr>
            </w:pPr>
            <w:r>
              <w:rPr>
                <w:spacing w:val="-5"/>
                <w:sz w:val="24"/>
              </w:rPr>
              <w:t>POI</w:t>
            </w:r>
          </w:p>
        </w:tc>
        <w:tc>
          <w:tcPr>
            <w:tcW w:w="6757" w:type="dxa"/>
          </w:tcPr>
          <w:p w14:paraId="51DE786E" w14:textId="77777777" w:rsidR="0010369C" w:rsidRDefault="008E43AE">
            <w:pPr>
              <w:pStyle w:val="TableParagraph"/>
              <w:spacing w:line="292" w:lineRule="exact"/>
              <w:ind w:left="106"/>
              <w:rPr>
                <w:sz w:val="24"/>
              </w:rPr>
            </w:pPr>
            <w:r>
              <w:rPr>
                <w:sz w:val="24"/>
              </w:rPr>
              <w:t>The</w:t>
            </w:r>
            <w:r>
              <w:rPr>
                <w:spacing w:val="-6"/>
                <w:sz w:val="24"/>
              </w:rPr>
              <w:t xml:space="preserve"> </w:t>
            </w:r>
            <w:r>
              <w:rPr>
                <w:sz w:val="24"/>
              </w:rPr>
              <w:t>dumping</w:t>
            </w:r>
            <w:r>
              <w:rPr>
                <w:spacing w:val="-2"/>
                <w:sz w:val="24"/>
              </w:rPr>
              <w:t xml:space="preserve"> </w:t>
            </w:r>
            <w:r>
              <w:rPr>
                <w:sz w:val="24"/>
              </w:rPr>
              <w:t>investigation</w:t>
            </w:r>
            <w:r>
              <w:rPr>
                <w:spacing w:val="-2"/>
                <w:sz w:val="24"/>
              </w:rPr>
              <w:t xml:space="preserve"> </w:t>
            </w:r>
            <w:r>
              <w:rPr>
                <w:sz w:val="24"/>
              </w:rPr>
              <w:t>period</w:t>
            </w:r>
            <w:r>
              <w:rPr>
                <w:spacing w:val="-4"/>
                <w:sz w:val="24"/>
              </w:rPr>
              <w:t xml:space="preserve"> </w:t>
            </w:r>
            <w:r>
              <w:rPr>
                <w:sz w:val="24"/>
              </w:rPr>
              <w:t>adopted</w:t>
            </w:r>
            <w:r>
              <w:rPr>
                <w:spacing w:val="-4"/>
                <w:sz w:val="24"/>
              </w:rPr>
              <w:t xml:space="preserve"> </w:t>
            </w:r>
            <w:r>
              <w:rPr>
                <w:sz w:val="24"/>
              </w:rPr>
              <w:t>by</w:t>
            </w:r>
            <w:r>
              <w:rPr>
                <w:spacing w:val="-4"/>
                <w:sz w:val="24"/>
              </w:rPr>
              <w:t xml:space="preserve"> </w:t>
            </w:r>
            <w:r>
              <w:rPr>
                <w:sz w:val="24"/>
              </w:rPr>
              <w:t>MOFCOM,</w:t>
            </w:r>
            <w:r>
              <w:rPr>
                <w:spacing w:val="-4"/>
                <w:sz w:val="24"/>
              </w:rPr>
              <w:t xml:space="preserve"> </w:t>
            </w:r>
            <w:r>
              <w:rPr>
                <w:sz w:val="24"/>
              </w:rPr>
              <w:t>being</w:t>
            </w:r>
            <w:r>
              <w:rPr>
                <w:spacing w:val="-4"/>
                <w:sz w:val="24"/>
              </w:rPr>
              <w:t xml:space="preserve"> </w:t>
            </w:r>
            <w:r>
              <w:rPr>
                <w:spacing w:val="-10"/>
                <w:sz w:val="24"/>
              </w:rPr>
              <w:t>1</w:t>
            </w:r>
          </w:p>
          <w:p w14:paraId="51DE786F" w14:textId="77777777" w:rsidR="0010369C" w:rsidRDefault="008E43AE">
            <w:pPr>
              <w:pStyle w:val="TableParagraph"/>
              <w:spacing w:line="273" w:lineRule="exact"/>
              <w:ind w:left="107"/>
              <w:rPr>
                <w:sz w:val="24"/>
              </w:rPr>
            </w:pPr>
            <w:r>
              <w:rPr>
                <w:sz w:val="24"/>
              </w:rPr>
              <w:t>January</w:t>
            </w:r>
            <w:r>
              <w:rPr>
                <w:spacing w:val="-2"/>
                <w:sz w:val="24"/>
              </w:rPr>
              <w:t xml:space="preserve"> </w:t>
            </w:r>
            <w:r>
              <w:rPr>
                <w:sz w:val="24"/>
              </w:rPr>
              <w:t>to</w:t>
            </w:r>
            <w:r>
              <w:rPr>
                <w:spacing w:val="-1"/>
                <w:sz w:val="24"/>
              </w:rPr>
              <w:t xml:space="preserve"> </w:t>
            </w:r>
            <w:r>
              <w:rPr>
                <w:sz w:val="24"/>
              </w:rPr>
              <w:t>31</w:t>
            </w:r>
            <w:r>
              <w:rPr>
                <w:spacing w:val="-2"/>
                <w:sz w:val="24"/>
              </w:rPr>
              <w:t xml:space="preserve"> </w:t>
            </w:r>
            <w:r>
              <w:rPr>
                <w:sz w:val="24"/>
              </w:rPr>
              <w:t>December</w:t>
            </w:r>
            <w:r>
              <w:rPr>
                <w:spacing w:val="-1"/>
                <w:sz w:val="24"/>
              </w:rPr>
              <w:t xml:space="preserve"> </w:t>
            </w:r>
            <w:r>
              <w:rPr>
                <w:spacing w:val="-2"/>
                <w:sz w:val="24"/>
              </w:rPr>
              <w:t>2019.</w:t>
            </w:r>
          </w:p>
        </w:tc>
      </w:tr>
      <w:tr w:rsidR="0010369C" w14:paraId="51DE7873" w14:textId="77777777">
        <w:trPr>
          <w:trHeight w:val="390"/>
        </w:trPr>
        <w:tc>
          <w:tcPr>
            <w:tcW w:w="2258" w:type="dxa"/>
          </w:tcPr>
          <w:p w14:paraId="51DE7871" w14:textId="77777777" w:rsidR="0010369C" w:rsidRDefault="008E43AE">
            <w:pPr>
              <w:pStyle w:val="TableParagraph"/>
              <w:ind w:left="107"/>
              <w:rPr>
                <w:sz w:val="24"/>
              </w:rPr>
            </w:pPr>
            <w:r>
              <w:rPr>
                <w:sz w:val="24"/>
              </w:rPr>
              <w:t>Portia</w:t>
            </w:r>
            <w:r>
              <w:rPr>
                <w:spacing w:val="-3"/>
                <w:sz w:val="24"/>
              </w:rPr>
              <w:t xml:space="preserve"> </w:t>
            </w:r>
            <w:r>
              <w:rPr>
                <w:sz w:val="24"/>
              </w:rPr>
              <w:t>Valley</w:t>
            </w:r>
            <w:r>
              <w:rPr>
                <w:spacing w:val="-2"/>
                <w:sz w:val="24"/>
              </w:rPr>
              <w:t xml:space="preserve"> Wines</w:t>
            </w:r>
          </w:p>
        </w:tc>
        <w:tc>
          <w:tcPr>
            <w:tcW w:w="6757" w:type="dxa"/>
          </w:tcPr>
          <w:p w14:paraId="51DE7872" w14:textId="77777777" w:rsidR="0010369C" w:rsidRDefault="008E43AE">
            <w:pPr>
              <w:pStyle w:val="TableParagraph"/>
              <w:ind w:left="106"/>
              <w:rPr>
                <w:sz w:val="24"/>
              </w:rPr>
            </w:pPr>
            <w:r>
              <w:rPr>
                <w:sz w:val="24"/>
              </w:rPr>
              <w:t>Portia</w:t>
            </w:r>
            <w:r>
              <w:rPr>
                <w:spacing w:val="-3"/>
                <w:sz w:val="24"/>
              </w:rPr>
              <w:t xml:space="preserve"> </w:t>
            </w:r>
            <w:r>
              <w:rPr>
                <w:sz w:val="24"/>
              </w:rPr>
              <w:t>Valley</w:t>
            </w:r>
            <w:r>
              <w:rPr>
                <w:spacing w:val="-2"/>
                <w:sz w:val="24"/>
              </w:rPr>
              <w:t xml:space="preserve"> </w:t>
            </w:r>
            <w:r>
              <w:rPr>
                <w:sz w:val="24"/>
              </w:rPr>
              <w:t>Wines</w:t>
            </w:r>
            <w:r>
              <w:rPr>
                <w:spacing w:val="-2"/>
                <w:sz w:val="24"/>
              </w:rPr>
              <w:t xml:space="preserve"> </w:t>
            </w:r>
            <w:r>
              <w:rPr>
                <w:sz w:val="24"/>
              </w:rPr>
              <w:t>Pty</w:t>
            </w:r>
            <w:r>
              <w:rPr>
                <w:spacing w:val="-1"/>
                <w:sz w:val="24"/>
              </w:rPr>
              <w:t xml:space="preserve"> </w:t>
            </w:r>
            <w:r>
              <w:rPr>
                <w:spacing w:val="-5"/>
                <w:sz w:val="24"/>
              </w:rPr>
              <w:t>Ltd</w:t>
            </w:r>
          </w:p>
        </w:tc>
      </w:tr>
      <w:tr w:rsidR="0010369C" w14:paraId="51DE7877" w14:textId="77777777">
        <w:trPr>
          <w:trHeight w:val="877"/>
        </w:trPr>
        <w:tc>
          <w:tcPr>
            <w:tcW w:w="2258" w:type="dxa"/>
          </w:tcPr>
          <w:p w14:paraId="51DE7874" w14:textId="77777777" w:rsidR="0010369C" w:rsidRDefault="008E43AE">
            <w:pPr>
              <w:pStyle w:val="TableParagraph"/>
              <w:ind w:left="107"/>
              <w:rPr>
                <w:sz w:val="24"/>
              </w:rPr>
            </w:pPr>
            <w:r>
              <w:rPr>
                <w:spacing w:val="-2"/>
                <w:sz w:val="24"/>
              </w:rPr>
              <w:t>Preliminary Determination</w:t>
            </w:r>
          </w:p>
        </w:tc>
        <w:tc>
          <w:tcPr>
            <w:tcW w:w="6757" w:type="dxa"/>
          </w:tcPr>
          <w:p w14:paraId="51DE7875" w14:textId="77777777" w:rsidR="0010369C" w:rsidRDefault="008E43AE">
            <w:pPr>
              <w:pStyle w:val="TableParagraph"/>
              <w:ind w:left="106"/>
              <w:rPr>
                <w:sz w:val="24"/>
              </w:rPr>
            </w:pPr>
            <w:r>
              <w:rPr>
                <w:sz w:val="24"/>
              </w:rPr>
              <w:t>MOFCOM,</w:t>
            </w:r>
            <w:r>
              <w:rPr>
                <w:spacing w:val="-5"/>
                <w:sz w:val="24"/>
              </w:rPr>
              <w:t xml:space="preserve"> </w:t>
            </w:r>
            <w:r>
              <w:rPr>
                <w:sz w:val="24"/>
              </w:rPr>
              <w:t>"Preliminary</w:t>
            </w:r>
            <w:r>
              <w:rPr>
                <w:spacing w:val="-6"/>
                <w:sz w:val="24"/>
              </w:rPr>
              <w:t xml:space="preserve"> </w:t>
            </w:r>
            <w:r>
              <w:rPr>
                <w:sz w:val="24"/>
              </w:rPr>
              <w:t>Ruling</w:t>
            </w:r>
            <w:r>
              <w:rPr>
                <w:spacing w:val="-5"/>
                <w:sz w:val="24"/>
              </w:rPr>
              <w:t xml:space="preserve"> </w:t>
            </w:r>
            <w:r>
              <w:rPr>
                <w:sz w:val="24"/>
              </w:rPr>
              <w:t>of</w:t>
            </w:r>
            <w:r>
              <w:rPr>
                <w:spacing w:val="-5"/>
                <w:sz w:val="24"/>
              </w:rPr>
              <w:t xml:space="preserve"> </w:t>
            </w:r>
            <w:r>
              <w:rPr>
                <w:sz w:val="24"/>
              </w:rPr>
              <w:t>the</w:t>
            </w:r>
            <w:r>
              <w:rPr>
                <w:spacing w:val="-4"/>
                <w:sz w:val="24"/>
              </w:rPr>
              <w:t xml:space="preserve"> </w:t>
            </w:r>
            <w:r>
              <w:rPr>
                <w:sz w:val="24"/>
              </w:rPr>
              <w:t>Ministry</w:t>
            </w:r>
            <w:r>
              <w:rPr>
                <w:spacing w:val="-4"/>
                <w:sz w:val="24"/>
              </w:rPr>
              <w:t xml:space="preserve"> </w:t>
            </w:r>
            <w:r>
              <w:rPr>
                <w:sz w:val="24"/>
              </w:rPr>
              <w:t>of</w:t>
            </w:r>
            <w:r>
              <w:rPr>
                <w:spacing w:val="-5"/>
                <w:sz w:val="24"/>
              </w:rPr>
              <w:t xml:space="preserve"> </w:t>
            </w:r>
            <w:r>
              <w:rPr>
                <w:sz w:val="24"/>
              </w:rPr>
              <w:t>Commerce</w:t>
            </w:r>
            <w:r>
              <w:rPr>
                <w:spacing w:val="-5"/>
                <w:sz w:val="24"/>
              </w:rPr>
              <w:t xml:space="preserve"> </w:t>
            </w:r>
            <w:r>
              <w:rPr>
                <w:sz w:val="24"/>
              </w:rPr>
              <w:t>of</w:t>
            </w:r>
            <w:r>
              <w:rPr>
                <w:spacing w:val="-5"/>
                <w:sz w:val="24"/>
              </w:rPr>
              <w:t xml:space="preserve"> </w:t>
            </w:r>
            <w:r>
              <w:rPr>
                <w:sz w:val="24"/>
              </w:rPr>
              <w:t>the People's Republic of China on Anti‐Dumping Investigation into</w:t>
            </w:r>
          </w:p>
          <w:p w14:paraId="51DE7876" w14:textId="77777777" w:rsidR="0010369C" w:rsidRDefault="008E43AE">
            <w:pPr>
              <w:pStyle w:val="TableParagraph"/>
              <w:spacing w:line="273" w:lineRule="exact"/>
              <w:ind w:left="107"/>
              <w:rPr>
                <w:sz w:val="24"/>
              </w:rPr>
            </w:pPr>
            <w:r>
              <w:rPr>
                <w:sz w:val="24"/>
              </w:rPr>
              <w:t>Relevant</w:t>
            </w:r>
            <w:r>
              <w:rPr>
                <w:spacing w:val="-4"/>
                <w:sz w:val="24"/>
              </w:rPr>
              <w:t xml:space="preserve"> </w:t>
            </w:r>
            <w:r>
              <w:rPr>
                <w:sz w:val="24"/>
              </w:rPr>
              <w:t>Imported</w:t>
            </w:r>
            <w:r>
              <w:rPr>
                <w:spacing w:val="-3"/>
                <w:sz w:val="24"/>
              </w:rPr>
              <w:t xml:space="preserve"> </w:t>
            </w:r>
            <w:r>
              <w:rPr>
                <w:sz w:val="24"/>
              </w:rPr>
              <w:t>Wines</w:t>
            </w:r>
            <w:r>
              <w:rPr>
                <w:spacing w:val="-2"/>
                <w:sz w:val="24"/>
              </w:rPr>
              <w:t xml:space="preserve"> </w:t>
            </w:r>
            <w:r>
              <w:rPr>
                <w:sz w:val="24"/>
              </w:rPr>
              <w:t>Originating</w:t>
            </w:r>
            <w:r>
              <w:rPr>
                <w:spacing w:val="-3"/>
                <w:sz w:val="24"/>
              </w:rPr>
              <w:t xml:space="preserve"> </w:t>
            </w:r>
            <w:r>
              <w:rPr>
                <w:sz w:val="24"/>
              </w:rPr>
              <w:t>in</w:t>
            </w:r>
            <w:r>
              <w:rPr>
                <w:spacing w:val="-3"/>
                <w:sz w:val="24"/>
              </w:rPr>
              <w:t xml:space="preserve"> </w:t>
            </w:r>
            <w:r>
              <w:rPr>
                <w:sz w:val="24"/>
              </w:rPr>
              <w:t>Australia",</w:t>
            </w:r>
            <w:r>
              <w:rPr>
                <w:spacing w:val="-2"/>
                <w:sz w:val="24"/>
              </w:rPr>
              <w:t xml:space="preserve"> </w:t>
            </w:r>
            <w:r>
              <w:rPr>
                <w:sz w:val="24"/>
              </w:rPr>
              <w:t>30</w:t>
            </w:r>
            <w:r>
              <w:rPr>
                <w:spacing w:val="-3"/>
                <w:sz w:val="24"/>
              </w:rPr>
              <w:t xml:space="preserve"> </w:t>
            </w:r>
            <w:r>
              <w:rPr>
                <w:sz w:val="24"/>
              </w:rPr>
              <w:t>August</w:t>
            </w:r>
            <w:r>
              <w:rPr>
                <w:spacing w:val="-2"/>
                <w:sz w:val="24"/>
              </w:rPr>
              <w:t xml:space="preserve"> </w:t>
            </w:r>
            <w:r>
              <w:rPr>
                <w:spacing w:val="-4"/>
                <w:sz w:val="24"/>
              </w:rPr>
              <w:t>2021</w:t>
            </w:r>
          </w:p>
        </w:tc>
      </w:tr>
      <w:tr w:rsidR="0010369C" w14:paraId="51DE787A" w14:textId="77777777">
        <w:trPr>
          <w:trHeight w:val="390"/>
        </w:trPr>
        <w:tc>
          <w:tcPr>
            <w:tcW w:w="2258" w:type="dxa"/>
          </w:tcPr>
          <w:p w14:paraId="51DE7878" w14:textId="77777777" w:rsidR="0010369C" w:rsidRDefault="008E43AE">
            <w:pPr>
              <w:pStyle w:val="TableParagraph"/>
              <w:ind w:left="107"/>
              <w:rPr>
                <w:sz w:val="24"/>
              </w:rPr>
            </w:pPr>
            <w:r>
              <w:rPr>
                <w:spacing w:val="-5"/>
                <w:sz w:val="24"/>
              </w:rPr>
              <w:t>RMB</w:t>
            </w:r>
          </w:p>
        </w:tc>
        <w:tc>
          <w:tcPr>
            <w:tcW w:w="6757" w:type="dxa"/>
          </w:tcPr>
          <w:p w14:paraId="51DE7879" w14:textId="77777777" w:rsidR="0010369C" w:rsidRDefault="008E43AE">
            <w:pPr>
              <w:pStyle w:val="TableParagraph"/>
              <w:ind w:left="107"/>
              <w:rPr>
                <w:sz w:val="24"/>
              </w:rPr>
            </w:pPr>
            <w:r>
              <w:rPr>
                <w:sz w:val="24"/>
              </w:rPr>
              <w:t xml:space="preserve">Chinese </w:t>
            </w:r>
            <w:r>
              <w:rPr>
                <w:spacing w:val="-2"/>
                <w:sz w:val="24"/>
              </w:rPr>
              <w:t>Renminbi</w:t>
            </w:r>
          </w:p>
        </w:tc>
      </w:tr>
      <w:tr w:rsidR="0010369C" w14:paraId="51DE787E" w14:textId="77777777">
        <w:trPr>
          <w:trHeight w:val="1172"/>
        </w:trPr>
        <w:tc>
          <w:tcPr>
            <w:tcW w:w="2258" w:type="dxa"/>
          </w:tcPr>
          <w:p w14:paraId="51DE787B" w14:textId="77777777" w:rsidR="0010369C" w:rsidRDefault="008E43AE">
            <w:pPr>
              <w:pStyle w:val="TableParagraph"/>
              <w:spacing w:line="292" w:lineRule="exact"/>
              <w:ind w:left="107"/>
              <w:rPr>
                <w:sz w:val="24"/>
              </w:rPr>
            </w:pPr>
            <w:r>
              <w:rPr>
                <w:sz w:val="24"/>
              </w:rPr>
              <w:t xml:space="preserve">Sampled </w:t>
            </w:r>
            <w:r>
              <w:rPr>
                <w:spacing w:val="-2"/>
                <w:sz w:val="24"/>
              </w:rPr>
              <w:t>companies</w:t>
            </w:r>
          </w:p>
        </w:tc>
        <w:tc>
          <w:tcPr>
            <w:tcW w:w="6757" w:type="dxa"/>
          </w:tcPr>
          <w:p w14:paraId="51DE787C" w14:textId="77777777" w:rsidR="0010369C" w:rsidRDefault="008E43AE">
            <w:pPr>
              <w:pStyle w:val="TableParagraph"/>
              <w:ind w:left="107"/>
              <w:rPr>
                <w:sz w:val="24"/>
              </w:rPr>
            </w:pPr>
            <w:r>
              <w:rPr>
                <w:sz w:val="24"/>
              </w:rPr>
              <w:t>Treasury Wines, Casella Wines and Swan Vintage, the three Australian</w:t>
            </w:r>
            <w:r>
              <w:rPr>
                <w:spacing w:val="-7"/>
                <w:sz w:val="24"/>
              </w:rPr>
              <w:t xml:space="preserve"> </w:t>
            </w:r>
            <w:r>
              <w:rPr>
                <w:sz w:val="24"/>
              </w:rPr>
              <w:t>companies</w:t>
            </w:r>
            <w:r>
              <w:rPr>
                <w:spacing w:val="-6"/>
                <w:sz w:val="24"/>
              </w:rPr>
              <w:t xml:space="preserve"> </w:t>
            </w:r>
            <w:r>
              <w:rPr>
                <w:sz w:val="24"/>
              </w:rPr>
              <w:t>selected</w:t>
            </w:r>
            <w:r>
              <w:rPr>
                <w:spacing w:val="-6"/>
                <w:sz w:val="24"/>
              </w:rPr>
              <w:t xml:space="preserve"> </w:t>
            </w:r>
            <w:r>
              <w:rPr>
                <w:sz w:val="24"/>
              </w:rPr>
              <w:t>by</w:t>
            </w:r>
            <w:r>
              <w:rPr>
                <w:spacing w:val="-5"/>
                <w:sz w:val="24"/>
              </w:rPr>
              <w:t xml:space="preserve"> </w:t>
            </w:r>
            <w:r>
              <w:rPr>
                <w:sz w:val="24"/>
              </w:rPr>
              <w:t>MOFCOM</w:t>
            </w:r>
            <w:r>
              <w:rPr>
                <w:spacing w:val="-5"/>
                <w:sz w:val="24"/>
              </w:rPr>
              <w:t xml:space="preserve"> </w:t>
            </w:r>
            <w:r>
              <w:rPr>
                <w:sz w:val="24"/>
              </w:rPr>
              <w:t>as</w:t>
            </w:r>
            <w:r>
              <w:rPr>
                <w:spacing w:val="-6"/>
                <w:sz w:val="24"/>
              </w:rPr>
              <w:t xml:space="preserve"> </w:t>
            </w:r>
            <w:r>
              <w:rPr>
                <w:sz w:val="24"/>
              </w:rPr>
              <w:t>sampled</w:t>
            </w:r>
            <w:r>
              <w:rPr>
                <w:spacing w:val="-6"/>
                <w:sz w:val="24"/>
              </w:rPr>
              <w:t xml:space="preserve"> </w:t>
            </w:r>
            <w:r>
              <w:rPr>
                <w:sz w:val="24"/>
              </w:rPr>
              <w:t>companies and named in Annex 1 of the Final Determination in the category,</w:t>
            </w:r>
          </w:p>
          <w:p w14:paraId="51DE787D" w14:textId="77777777" w:rsidR="0010369C" w:rsidRDefault="008E43AE">
            <w:pPr>
              <w:pStyle w:val="TableParagraph"/>
              <w:spacing w:line="273" w:lineRule="exact"/>
              <w:ind w:left="107"/>
              <w:rPr>
                <w:sz w:val="24"/>
              </w:rPr>
            </w:pPr>
            <w:r>
              <w:rPr>
                <w:sz w:val="24"/>
              </w:rPr>
              <w:t>"Sampled</w:t>
            </w:r>
            <w:r>
              <w:rPr>
                <w:spacing w:val="-1"/>
                <w:sz w:val="24"/>
              </w:rPr>
              <w:t xml:space="preserve"> </w:t>
            </w:r>
            <w:r>
              <w:rPr>
                <w:spacing w:val="-2"/>
                <w:sz w:val="24"/>
              </w:rPr>
              <w:t>Companies"</w:t>
            </w:r>
          </w:p>
        </w:tc>
      </w:tr>
      <w:tr w:rsidR="0010369C" w14:paraId="51DE7883" w14:textId="77777777">
        <w:trPr>
          <w:trHeight w:val="585"/>
        </w:trPr>
        <w:tc>
          <w:tcPr>
            <w:tcW w:w="2258" w:type="dxa"/>
          </w:tcPr>
          <w:p w14:paraId="51DE787F" w14:textId="77777777" w:rsidR="0010369C" w:rsidRDefault="008E43AE">
            <w:pPr>
              <w:pStyle w:val="TableParagraph"/>
              <w:spacing w:line="292" w:lineRule="exact"/>
              <w:ind w:left="107"/>
              <w:rPr>
                <w:sz w:val="24"/>
              </w:rPr>
            </w:pPr>
            <w:r>
              <w:rPr>
                <w:spacing w:val="-2"/>
                <w:sz w:val="24"/>
              </w:rPr>
              <w:t>Sampling</w:t>
            </w:r>
          </w:p>
          <w:p w14:paraId="51DE7880" w14:textId="77777777" w:rsidR="0010369C" w:rsidRDefault="008E43AE">
            <w:pPr>
              <w:pStyle w:val="TableParagraph"/>
              <w:spacing w:line="273" w:lineRule="exact"/>
              <w:ind w:left="107"/>
              <w:rPr>
                <w:sz w:val="24"/>
              </w:rPr>
            </w:pPr>
            <w:r>
              <w:rPr>
                <w:spacing w:val="-2"/>
                <w:sz w:val="24"/>
              </w:rPr>
              <w:t>Questionnaire</w:t>
            </w:r>
          </w:p>
        </w:tc>
        <w:tc>
          <w:tcPr>
            <w:tcW w:w="6757" w:type="dxa"/>
          </w:tcPr>
          <w:p w14:paraId="51DE7881" w14:textId="77777777" w:rsidR="0010369C" w:rsidRDefault="008E43AE">
            <w:pPr>
              <w:pStyle w:val="TableParagraph"/>
              <w:spacing w:line="292" w:lineRule="exact"/>
              <w:ind w:left="107"/>
              <w:rPr>
                <w:sz w:val="24"/>
              </w:rPr>
            </w:pPr>
            <w:r>
              <w:rPr>
                <w:sz w:val="24"/>
              </w:rPr>
              <w:t>MOFCOM,</w:t>
            </w:r>
            <w:r>
              <w:rPr>
                <w:spacing w:val="-5"/>
                <w:sz w:val="24"/>
              </w:rPr>
              <w:t xml:space="preserve"> </w:t>
            </w:r>
            <w:r>
              <w:rPr>
                <w:sz w:val="24"/>
              </w:rPr>
              <w:t>"Anti‐dumping</w:t>
            </w:r>
            <w:r>
              <w:rPr>
                <w:spacing w:val="-5"/>
                <w:sz w:val="24"/>
              </w:rPr>
              <w:t xml:space="preserve"> </w:t>
            </w:r>
            <w:r>
              <w:rPr>
                <w:sz w:val="24"/>
              </w:rPr>
              <w:t>Investigation</w:t>
            </w:r>
            <w:r>
              <w:rPr>
                <w:spacing w:val="-5"/>
                <w:sz w:val="24"/>
              </w:rPr>
              <w:t xml:space="preserve"> </w:t>
            </w:r>
            <w:r>
              <w:rPr>
                <w:sz w:val="24"/>
              </w:rPr>
              <w:t>of</w:t>
            </w:r>
            <w:r>
              <w:rPr>
                <w:spacing w:val="-5"/>
                <w:sz w:val="24"/>
              </w:rPr>
              <w:t xml:space="preserve"> </w:t>
            </w:r>
            <w:r>
              <w:rPr>
                <w:sz w:val="24"/>
              </w:rPr>
              <w:t>Certain</w:t>
            </w:r>
            <w:r>
              <w:rPr>
                <w:spacing w:val="-5"/>
                <w:sz w:val="24"/>
              </w:rPr>
              <w:t xml:space="preserve"> </w:t>
            </w:r>
            <w:r>
              <w:rPr>
                <w:sz w:val="24"/>
              </w:rPr>
              <w:t>Wines</w:t>
            </w:r>
            <w:r>
              <w:rPr>
                <w:spacing w:val="-4"/>
                <w:sz w:val="24"/>
              </w:rPr>
              <w:t xml:space="preserve"> </w:t>
            </w:r>
            <w:r>
              <w:rPr>
                <w:spacing w:val="-2"/>
                <w:sz w:val="24"/>
              </w:rPr>
              <w:t>Sampling</w:t>
            </w:r>
          </w:p>
          <w:p w14:paraId="51DE7882" w14:textId="77777777" w:rsidR="0010369C" w:rsidRDefault="008E43AE">
            <w:pPr>
              <w:pStyle w:val="TableParagraph"/>
              <w:spacing w:line="273" w:lineRule="exact"/>
              <w:ind w:left="107"/>
              <w:rPr>
                <w:sz w:val="24"/>
              </w:rPr>
            </w:pPr>
            <w:r>
              <w:rPr>
                <w:sz w:val="24"/>
              </w:rPr>
              <w:t>Investigation</w:t>
            </w:r>
            <w:r>
              <w:rPr>
                <w:spacing w:val="-6"/>
                <w:sz w:val="24"/>
              </w:rPr>
              <w:t xml:space="preserve"> </w:t>
            </w:r>
            <w:r>
              <w:rPr>
                <w:sz w:val="24"/>
              </w:rPr>
              <w:t>Questionnaire</w:t>
            </w:r>
            <w:r>
              <w:rPr>
                <w:spacing w:val="-2"/>
                <w:sz w:val="24"/>
              </w:rPr>
              <w:t xml:space="preserve"> </w:t>
            </w:r>
            <w:r>
              <w:rPr>
                <w:sz w:val="24"/>
              </w:rPr>
              <w:t>for</w:t>
            </w:r>
            <w:r>
              <w:rPr>
                <w:spacing w:val="-3"/>
                <w:sz w:val="24"/>
              </w:rPr>
              <w:t xml:space="preserve"> </w:t>
            </w:r>
            <w:r>
              <w:rPr>
                <w:sz w:val="24"/>
              </w:rPr>
              <w:t>Dumping",</w:t>
            </w:r>
            <w:r>
              <w:rPr>
                <w:spacing w:val="-3"/>
                <w:sz w:val="24"/>
              </w:rPr>
              <w:t xml:space="preserve"> </w:t>
            </w:r>
            <w:r>
              <w:rPr>
                <w:sz w:val="24"/>
              </w:rPr>
              <w:t>15</w:t>
            </w:r>
            <w:r>
              <w:rPr>
                <w:spacing w:val="-2"/>
                <w:sz w:val="24"/>
              </w:rPr>
              <w:t xml:space="preserve"> </w:t>
            </w:r>
            <w:r>
              <w:rPr>
                <w:sz w:val="24"/>
              </w:rPr>
              <w:t>September</w:t>
            </w:r>
            <w:r>
              <w:rPr>
                <w:spacing w:val="-3"/>
                <w:sz w:val="24"/>
              </w:rPr>
              <w:t xml:space="preserve"> </w:t>
            </w:r>
            <w:r>
              <w:rPr>
                <w:spacing w:val="-4"/>
                <w:sz w:val="24"/>
              </w:rPr>
              <w:t>2020</w:t>
            </w:r>
          </w:p>
        </w:tc>
      </w:tr>
      <w:tr w:rsidR="0010369C" w14:paraId="51DE7886" w14:textId="77777777">
        <w:trPr>
          <w:trHeight w:val="390"/>
        </w:trPr>
        <w:tc>
          <w:tcPr>
            <w:tcW w:w="2258" w:type="dxa"/>
          </w:tcPr>
          <w:p w14:paraId="51DE7884" w14:textId="77777777" w:rsidR="0010369C" w:rsidRDefault="008E43AE">
            <w:pPr>
              <w:pStyle w:val="TableParagraph"/>
              <w:ind w:left="107"/>
              <w:rPr>
                <w:sz w:val="24"/>
              </w:rPr>
            </w:pPr>
            <w:r>
              <w:rPr>
                <w:sz w:val="24"/>
              </w:rPr>
              <w:t>SCM</w:t>
            </w:r>
            <w:r>
              <w:rPr>
                <w:spacing w:val="-1"/>
                <w:sz w:val="24"/>
              </w:rPr>
              <w:t xml:space="preserve"> </w:t>
            </w:r>
            <w:r>
              <w:rPr>
                <w:spacing w:val="-2"/>
                <w:sz w:val="24"/>
              </w:rPr>
              <w:t>Agreement</w:t>
            </w:r>
          </w:p>
        </w:tc>
        <w:tc>
          <w:tcPr>
            <w:tcW w:w="6757" w:type="dxa"/>
          </w:tcPr>
          <w:p w14:paraId="51DE7885" w14:textId="77777777" w:rsidR="0010369C" w:rsidRDefault="008E43AE">
            <w:pPr>
              <w:pStyle w:val="TableParagraph"/>
              <w:ind w:left="107"/>
              <w:rPr>
                <w:sz w:val="24"/>
              </w:rPr>
            </w:pPr>
            <w:r>
              <w:rPr>
                <w:sz w:val="24"/>
              </w:rPr>
              <w:t>Agreement</w:t>
            </w:r>
            <w:r>
              <w:rPr>
                <w:spacing w:val="-7"/>
                <w:sz w:val="24"/>
              </w:rPr>
              <w:t xml:space="preserve"> </w:t>
            </w:r>
            <w:r>
              <w:rPr>
                <w:sz w:val="24"/>
              </w:rPr>
              <w:t>on</w:t>
            </w:r>
            <w:r>
              <w:rPr>
                <w:spacing w:val="-3"/>
                <w:sz w:val="24"/>
              </w:rPr>
              <w:t xml:space="preserve"> </w:t>
            </w:r>
            <w:r>
              <w:rPr>
                <w:sz w:val="24"/>
              </w:rPr>
              <w:t>Subsidies</w:t>
            </w:r>
            <w:r>
              <w:rPr>
                <w:spacing w:val="-1"/>
                <w:sz w:val="24"/>
              </w:rPr>
              <w:t xml:space="preserve"> </w:t>
            </w:r>
            <w:r>
              <w:rPr>
                <w:sz w:val="24"/>
              </w:rPr>
              <w:t>and</w:t>
            </w:r>
            <w:r>
              <w:rPr>
                <w:spacing w:val="-3"/>
                <w:sz w:val="24"/>
              </w:rPr>
              <w:t xml:space="preserve"> </w:t>
            </w:r>
            <w:r>
              <w:rPr>
                <w:sz w:val="24"/>
              </w:rPr>
              <w:t>Countervailing</w:t>
            </w:r>
            <w:r>
              <w:rPr>
                <w:spacing w:val="-1"/>
                <w:sz w:val="24"/>
              </w:rPr>
              <w:t xml:space="preserve"> </w:t>
            </w:r>
            <w:r>
              <w:rPr>
                <w:spacing w:val="-2"/>
                <w:sz w:val="24"/>
              </w:rPr>
              <w:t>Measures</w:t>
            </w:r>
          </w:p>
        </w:tc>
      </w:tr>
      <w:tr w:rsidR="0010369C" w14:paraId="51DE788A" w14:textId="77777777">
        <w:trPr>
          <w:trHeight w:val="878"/>
        </w:trPr>
        <w:tc>
          <w:tcPr>
            <w:tcW w:w="2258" w:type="dxa"/>
          </w:tcPr>
          <w:p w14:paraId="51DE7887" w14:textId="77777777" w:rsidR="0010369C" w:rsidRDefault="008E43AE">
            <w:pPr>
              <w:pStyle w:val="TableParagraph"/>
              <w:ind w:left="107"/>
              <w:rPr>
                <w:sz w:val="24"/>
              </w:rPr>
            </w:pPr>
            <w:r>
              <w:rPr>
                <w:spacing w:val="-2"/>
                <w:sz w:val="24"/>
              </w:rPr>
              <w:t>Supplementary Questionnaire</w:t>
            </w:r>
          </w:p>
        </w:tc>
        <w:tc>
          <w:tcPr>
            <w:tcW w:w="6757" w:type="dxa"/>
          </w:tcPr>
          <w:p w14:paraId="51DE7888" w14:textId="77777777" w:rsidR="0010369C" w:rsidRDefault="008E43AE">
            <w:pPr>
              <w:pStyle w:val="TableParagraph"/>
              <w:ind w:left="107"/>
              <w:rPr>
                <w:sz w:val="24"/>
              </w:rPr>
            </w:pPr>
            <w:r>
              <w:rPr>
                <w:sz w:val="24"/>
              </w:rPr>
              <w:t>Unless otherwise specified, means the Supplementary Questionnaire</w:t>
            </w:r>
            <w:r>
              <w:rPr>
                <w:spacing w:val="-8"/>
                <w:sz w:val="24"/>
              </w:rPr>
              <w:t xml:space="preserve"> </w:t>
            </w:r>
            <w:r>
              <w:rPr>
                <w:sz w:val="24"/>
              </w:rPr>
              <w:t>on</w:t>
            </w:r>
            <w:r>
              <w:rPr>
                <w:spacing w:val="-8"/>
                <w:sz w:val="24"/>
              </w:rPr>
              <w:t xml:space="preserve"> </w:t>
            </w:r>
            <w:r>
              <w:rPr>
                <w:sz w:val="24"/>
              </w:rPr>
              <w:t>Relevant</w:t>
            </w:r>
            <w:r>
              <w:rPr>
                <w:spacing w:val="-8"/>
                <w:sz w:val="24"/>
              </w:rPr>
              <w:t xml:space="preserve"> </w:t>
            </w:r>
            <w:r>
              <w:rPr>
                <w:sz w:val="24"/>
              </w:rPr>
              <w:t>Wines</w:t>
            </w:r>
            <w:r>
              <w:rPr>
                <w:spacing w:val="-8"/>
                <w:sz w:val="24"/>
              </w:rPr>
              <w:t xml:space="preserve"> </w:t>
            </w:r>
            <w:r>
              <w:rPr>
                <w:sz w:val="24"/>
              </w:rPr>
              <w:t>Anti‐Dumping</w:t>
            </w:r>
            <w:r>
              <w:rPr>
                <w:spacing w:val="-8"/>
                <w:sz w:val="24"/>
              </w:rPr>
              <w:t xml:space="preserve"> </w:t>
            </w:r>
            <w:r>
              <w:rPr>
                <w:sz w:val="24"/>
              </w:rPr>
              <w:t>Investigation</w:t>
            </w:r>
          </w:p>
          <w:p w14:paraId="51DE7889" w14:textId="77777777" w:rsidR="0010369C" w:rsidRDefault="008E43AE">
            <w:pPr>
              <w:pStyle w:val="TableParagraph"/>
              <w:spacing w:line="273" w:lineRule="exact"/>
              <w:ind w:left="107"/>
              <w:rPr>
                <w:sz w:val="24"/>
              </w:rPr>
            </w:pPr>
            <w:r>
              <w:rPr>
                <w:sz w:val="24"/>
              </w:rPr>
              <w:t>issued</w:t>
            </w:r>
            <w:r>
              <w:rPr>
                <w:spacing w:val="-4"/>
                <w:sz w:val="24"/>
              </w:rPr>
              <w:t xml:space="preserve"> </w:t>
            </w:r>
            <w:r>
              <w:rPr>
                <w:sz w:val="24"/>
              </w:rPr>
              <w:t>by</w:t>
            </w:r>
            <w:r>
              <w:rPr>
                <w:spacing w:val="-2"/>
                <w:sz w:val="24"/>
              </w:rPr>
              <w:t xml:space="preserve"> </w:t>
            </w:r>
            <w:r>
              <w:rPr>
                <w:sz w:val="24"/>
              </w:rPr>
              <w:t>MOFCOM</w:t>
            </w:r>
            <w:r>
              <w:rPr>
                <w:spacing w:val="-2"/>
                <w:sz w:val="24"/>
              </w:rPr>
              <w:t xml:space="preserve"> </w:t>
            </w:r>
            <w:r>
              <w:rPr>
                <w:sz w:val="24"/>
              </w:rPr>
              <w:t>to</w:t>
            </w:r>
            <w:r>
              <w:rPr>
                <w:spacing w:val="-2"/>
                <w:sz w:val="24"/>
              </w:rPr>
              <w:t xml:space="preserve"> </w:t>
            </w:r>
            <w:r>
              <w:rPr>
                <w:sz w:val="24"/>
              </w:rPr>
              <w:t>sampled</w:t>
            </w:r>
            <w:r>
              <w:rPr>
                <w:spacing w:val="-3"/>
                <w:sz w:val="24"/>
              </w:rPr>
              <w:t xml:space="preserve"> </w:t>
            </w:r>
            <w:r>
              <w:rPr>
                <w:sz w:val="24"/>
              </w:rPr>
              <w:t>companies</w:t>
            </w:r>
            <w:r>
              <w:rPr>
                <w:spacing w:val="-3"/>
                <w:sz w:val="24"/>
              </w:rPr>
              <w:t xml:space="preserve"> </w:t>
            </w:r>
            <w:r>
              <w:rPr>
                <w:sz w:val="24"/>
              </w:rPr>
              <w:t>on</w:t>
            </w:r>
            <w:r>
              <w:rPr>
                <w:spacing w:val="-3"/>
                <w:sz w:val="24"/>
              </w:rPr>
              <w:t xml:space="preserve"> </w:t>
            </w:r>
            <w:r>
              <w:rPr>
                <w:sz w:val="24"/>
              </w:rPr>
              <w:t>1</w:t>
            </w:r>
            <w:r>
              <w:rPr>
                <w:spacing w:val="-3"/>
                <w:sz w:val="24"/>
              </w:rPr>
              <w:t xml:space="preserve"> </w:t>
            </w:r>
            <w:r>
              <w:rPr>
                <w:sz w:val="24"/>
              </w:rPr>
              <w:t>February</w:t>
            </w:r>
            <w:r>
              <w:rPr>
                <w:spacing w:val="-1"/>
                <w:sz w:val="24"/>
              </w:rPr>
              <w:t xml:space="preserve"> </w:t>
            </w:r>
            <w:r>
              <w:rPr>
                <w:spacing w:val="-4"/>
                <w:sz w:val="24"/>
              </w:rPr>
              <w:t>2021</w:t>
            </w:r>
          </w:p>
        </w:tc>
      </w:tr>
      <w:tr w:rsidR="0010369C" w14:paraId="51DE788D" w14:textId="77777777">
        <w:trPr>
          <w:trHeight w:val="390"/>
        </w:trPr>
        <w:tc>
          <w:tcPr>
            <w:tcW w:w="2258" w:type="dxa"/>
          </w:tcPr>
          <w:p w14:paraId="51DE788B" w14:textId="77777777" w:rsidR="0010369C" w:rsidRDefault="008E43AE">
            <w:pPr>
              <w:pStyle w:val="TableParagraph"/>
              <w:ind w:left="107"/>
              <w:rPr>
                <w:sz w:val="24"/>
              </w:rPr>
            </w:pPr>
            <w:r>
              <w:rPr>
                <w:sz w:val="24"/>
              </w:rPr>
              <w:t>Swan</w:t>
            </w:r>
            <w:r>
              <w:rPr>
                <w:spacing w:val="-1"/>
                <w:sz w:val="24"/>
              </w:rPr>
              <w:t xml:space="preserve"> </w:t>
            </w:r>
            <w:r>
              <w:rPr>
                <w:spacing w:val="-2"/>
                <w:sz w:val="24"/>
              </w:rPr>
              <w:t>Vintage</w:t>
            </w:r>
          </w:p>
        </w:tc>
        <w:tc>
          <w:tcPr>
            <w:tcW w:w="6757" w:type="dxa"/>
          </w:tcPr>
          <w:p w14:paraId="51DE788C" w14:textId="77777777" w:rsidR="0010369C" w:rsidRDefault="008E43AE">
            <w:pPr>
              <w:pStyle w:val="TableParagraph"/>
              <w:ind w:left="107"/>
              <w:rPr>
                <w:sz w:val="24"/>
              </w:rPr>
            </w:pPr>
            <w:r>
              <w:rPr>
                <w:sz w:val="24"/>
              </w:rPr>
              <w:t>Australian</w:t>
            </w:r>
            <w:r>
              <w:rPr>
                <w:spacing w:val="-3"/>
                <w:sz w:val="24"/>
              </w:rPr>
              <w:t xml:space="preserve"> </w:t>
            </w:r>
            <w:r>
              <w:rPr>
                <w:sz w:val="24"/>
              </w:rPr>
              <w:t>Swan</w:t>
            </w:r>
            <w:r>
              <w:rPr>
                <w:spacing w:val="-1"/>
                <w:sz w:val="24"/>
              </w:rPr>
              <w:t xml:space="preserve"> </w:t>
            </w:r>
            <w:r>
              <w:rPr>
                <w:sz w:val="24"/>
              </w:rPr>
              <w:t>Vintage</w:t>
            </w:r>
            <w:r>
              <w:rPr>
                <w:spacing w:val="-2"/>
                <w:sz w:val="24"/>
              </w:rPr>
              <w:t xml:space="preserve"> </w:t>
            </w:r>
            <w:r>
              <w:rPr>
                <w:sz w:val="24"/>
              </w:rPr>
              <w:t>Pty</w:t>
            </w:r>
            <w:r>
              <w:rPr>
                <w:spacing w:val="-1"/>
                <w:sz w:val="24"/>
              </w:rPr>
              <w:t xml:space="preserve"> </w:t>
            </w:r>
            <w:r>
              <w:rPr>
                <w:spacing w:val="-5"/>
                <w:sz w:val="24"/>
              </w:rPr>
              <w:t>Ltd</w:t>
            </w:r>
          </w:p>
        </w:tc>
      </w:tr>
      <w:tr w:rsidR="0010369C" w14:paraId="51DE7891" w14:textId="77777777">
        <w:trPr>
          <w:trHeight w:val="1171"/>
        </w:trPr>
        <w:tc>
          <w:tcPr>
            <w:tcW w:w="2258" w:type="dxa"/>
          </w:tcPr>
          <w:p w14:paraId="51DE788E" w14:textId="77777777" w:rsidR="0010369C" w:rsidRDefault="008E43AE">
            <w:pPr>
              <w:pStyle w:val="TableParagraph"/>
              <w:ind w:left="107" w:right="154"/>
              <w:rPr>
                <w:sz w:val="24"/>
              </w:rPr>
            </w:pPr>
            <w:r>
              <w:rPr>
                <w:sz w:val="24"/>
              </w:rPr>
              <w:t>The</w:t>
            </w:r>
            <w:r>
              <w:rPr>
                <w:spacing w:val="-14"/>
                <w:sz w:val="24"/>
              </w:rPr>
              <w:t xml:space="preserve"> </w:t>
            </w:r>
            <w:r>
              <w:rPr>
                <w:sz w:val="24"/>
              </w:rPr>
              <w:t>"All</w:t>
            </w:r>
            <w:r>
              <w:rPr>
                <w:spacing w:val="-14"/>
                <w:sz w:val="24"/>
              </w:rPr>
              <w:t xml:space="preserve"> </w:t>
            </w:r>
            <w:r>
              <w:rPr>
                <w:sz w:val="24"/>
              </w:rPr>
              <w:t xml:space="preserve">Others" category of </w:t>
            </w:r>
            <w:r>
              <w:rPr>
                <w:spacing w:val="-2"/>
                <w:sz w:val="24"/>
              </w:rPr>
              <w:t>Australian</w:t>
            </w:r>
          </w:p>
          <w:p w14:paraId="51DE788F" w14:textId="77777777" w:rsidR="0010369C" w:rsidRDefault="008E43AE">
            <w:pPr>
              <w:pStyle w:val="TableParagraph"/>
              <w:spacing w:line="274" w:lineRule="exact"/>
              <w:ind w:left="107"/>
              <w:rPr>
                <w:sz w:val="24"/>
              </w:rPr>
            </w:pPr>
            <w:r>
              <w:rPr>
                <w:spacing w:val="-2"/>
                <w:sz w:val="24"/>
              </w:rPr>
              <w:t>companies</w:t>
            </w:r>
          </w:p>
        </w:tc>
        <w:tc>
          <w:tcPr>
            <w:tcW w:w="6757" w:type="dxa"/>
          </w:tcPr>
          <w:p w14:paraId="51DE7890" w14:textId="77777777" w:rsidR="0010369C" w:rsidRDefault="008E43AE">
            <w:pPr>
              <w:pStyle w:val="TableParagraph"/>
              <w:ind w:left="107" w:right="149"/>
              <w:rPr>
                <w:sz w:val="24"/>
              </w:rPr>
            </w:pPr>
            <w:r>
              <w:rPr>
                <w:sz w:val="24"/>
              </w:rPr>
              <w:t>All</w:t>
            </w:r>
            <w:r>
              <w:rPr>
                <w:spacing w:val="-4"/>
                <w:sz w:val="24"/>
              </w:rPr>
              <w:t xml:space="preserve"> </w:t>
            </w:r>
            <w:r>
              <w:rPr>
                <w:sz w:val="24"/>
              </w:rPr>
              <w:t>other</w:t>
            </w:r>
            <w:r>
              <w:rPr>
                <w:spacing w:val="-3"/>
                <w:sz w:val="24"/>
              </w:rPr>
              <w:t xml:space="preserve"> </w:t>
            </w:r>
            <w:r>
              <w:rPr>
                <w:sz w:val="24"/>
              </w:rPr>
              <w:t>Australian</w:t>
            </w:r>
            <w:r>
              <w:rPr>
                <w:spacing w:val="-4"/>
                <w:sz w:val="24"/>
              </w:rPr>
              <w:t xml:space="preserve"> </w:t>
            </w:r>
            <w:r>
              <w:rPr>
                <w:sz w:val="24"/>
              </w:rPr>
              <w:t>companies</w:t>
            </w:r>
            <w:r>
              <w:rPr>
                <w:spacing w:val="-4"/>
                <w:sz w:val="24"/>
              </w:rPr>
              <w:t xml:space="preserve"> </w:t>
            </w:r>
            <w:r>
              <w:rPr>
                <w:sz w:val="24"/>
              </w:rPr>
              <w:t>that</w:t>
            </w:r>
            <w:r>
              <w:rPr>
                <w:spacing w:val="-4"/>
                <w:sz w:val="24"/>
              </w:rPr>
              <w:t xml:space="preserve"> </w:t>
            </w:r>
            <w:r>
              <w:rPr>
                <w:sz w:val="24"/>
              </w:rPr>
              <w:t>were</w:t>
            </w:r>
            <w:r>
              <w:rPr>
                <w:spacing w:val="-3"/>
                <w:sz w:val="24"/>
              </w:rPr>
              <w:t xml:space="preserve"> </w:t>
            </w:r>
            <w:r>
              <w:rPr>
                <w:sz w:val="24"/>
              </w:rPr>
              <w:t>not</w:t>
            </w:r>
            <w:r>
              <w:rPr>
                <w:spacing w:val="-4"/>
                <w:sz w:val="24"/>
              </w:rPr>
              <w:t xml:space="preserve"> </w:t>
            </w:r>
            <w:r>
              <w:rPr>
                <w:sz w:val="24"/>
              </w:rPr>
              <w:t>named</w:t>
            </w:r>
            <w:r>
              <w:rPr>
                <w:spacing w:val="-4"/>
                <w:sz w:val="24"/>
              </w:rPr>
              <w:t xml:space="preserve"> </w:t>
            </w:r>
            <w:r>
              <w:rPr>
                <w:sz w:val="24"/>
              </w:rPr>
              <w:t>in</w:t>
            </w:r>
            <w:r>
              <w:rPr>
                <w:spacing w:val="-4"/>
                <w:sz w:val="24"/>
              </w:rPr>
              <w:t xml:space="preserve"> </w:t>
            </w:r>
            <w:r>
              <w:rPr>
                <w:sz w:val="24"/>
              </w:rPr>
              <w:t>Annex</w:t>
            </w:r>
            <w:r>
              <w:rPr>
                <w:spacing w:val="-4"/>
                <w:sz w:val="24"/>
              </w:rPr>
              <w:t xml:space="preserve"> </w:t>
            </w:r>
            <w:r>
              <w:rPr>
                <w:sz w:val="24"/>
              </w:rPr>
              <w:t>1</w:t>
            </w:r>
            <w:r>
              <w:rPr>
                <w:spacing w:val="-4"/>
                <w:sz w:val="24"/>
              </w:rPr>
              <w:t xml:space="preserve"> </w:t>
            </w:r>
            <w:r>
              <w:rPr>
                <w:sz w:val="24"/>
              </w:rPr>
              <w:t>of the Final Determination, which MOFCOM collectively referred to as "All Others"</w:t>
            </w:r>
          </w:p>
        </w:tc>
      </w:tr>
      <w:tr w:rsidR="0010369C" w14:paraId="51DE7894" w14:textId="77777777">
        <w:trPr>
          <w:trHeight w:val="389"/>
        </w:trPr>
        <w:tc>
          <w:tcPr>
            <w:tcW w:w="2258" w:type="dxa"/>
          </w:tcPr>
          <w:p w14:paraId="51DE7892" w14:textId="77777777" w:rsidR="0010369C" w:rsidRDefault="008E43AE">
            <w:pPr>
              <w:pStyle w:val="TableParagraph"/>
              <w:spacing w:line="292" w:lineRule="exact"/>
              <w:ind w:left="107"/>
              <w:rPr>
                <w:sz w:val="24"/>
              </w:rPr>
            </w:pPr>
            <w:r>
              <w:rPr>
                <w:sz w:val="24"/>
              </w:rPr>
              <w:t>Treasury</w:t>
            </w:r>
            <w:r>
              <w:rPr>
                <w:spacing w:val="-1"/>
                <w:sz w:val="24"/>
              </w:rPr>
              <w:t xml:space="preserve"> </w:t>
            </w:r>
            <w:r>
              <w:rPr>
                <w:spacing w:val="-2"/>
                <w:sz w:val="24"/>
              </w:rPr>
              <w:t>Wines</w:t>
            </w:r>
          </w:p>
        </w:tc>
        <w:tc>
          <w:tcPr>
            <w:tcW w:w="6757" w:type="dxa"/>
          </w:tcPr>
          <w:p w14:paraId="51DE7893" w14:textId="77777777" w:rsidR="0010369C" w:rsidRDefault="008E43AE">
            <w:pPr>
              <w:pStyle w:val="TableParagraph"/>
              <w:spacing w:line="292" w:lineRule="exact"/>
              <w:ind w:left="107"/>
              <w:rPr>
                <w:sz w:val="24"/>
              </w:rPr>
            </w:pPr>
            <w:r>
              <w:rPr>
                <w:sz w:val="24"/>
              </w:rPr>
              <w:t>Treasury</w:t>
            </w:r>
            <w:r>
              <w:rPr>
                <w:spacing w:val="-3"/>
                <w:sz w:val="24"/>
              </w:rPr>
              <w:t xml:space="preserve"> </w:t>
            </w:r>
            <w:r>
              <w:rPr>
                <w:sz w:val="24"/>
              </w:rPr>
              <w:t>Wine</w:t>
            </w:r>
            <w:r>
              <w:rPr>
                <w:spacing w:val="-4"/>
                <w:sz w:val="24"/>
              </w:rPr>
              <w:t xml:space="preserve"> </w:t>
            </w:r>
            <w:r>
              <w:rPr>
                <w:sz w:val="24"/>
              </w:rPr>
              <w:t>Estates</w:t>
            </w:r>
            <w:r>
              <w:rPr>
                <w:spacing w:val="-4"/>
                <w:sz w:val="24"/>
              </w:rPr>
              <w:t xml:space="preserve"> </w:t>
            </w:r>
            <w:r>
              <w:rPr>
                <w:sz w:val="24"/>
              </w:rPr>
              <w:t>Vintners</w:t>
            </w:r>
            <w:r>
              <w:rPr>
                <w:spacing w:val="-3"/>
                <w:sz w:val="24"/>
              </w:rPr>
              <w:t xml:space="preserve"> </w:t>
            </w:r>
            <w:r>
              <w:rPr>
                <w:spacing w:val="-2"/>
                <w:sz w:val="24"/>
              </w:rPr>
              <w:t>Limited</w:t>
            </w:r>
          </w:p>
        </w:tc>
      </w:tr>
      <w:tr w:rsidR="0010369C" w14:paraId="51DE7897" w14:textId="77777777">
        <w:trPr>
          <w:trHeight w:val="389"/>
        </w:trPr>
        <w:tc>
          <w:tcPr>
            <w:tcW w:w="2258" w:type="dxa"/>
          </w:tcPr>
          <w:p w14:paraId="51DE7895" w14:textId="77777777" w:rsidR="0010369C" w:rsidRDefault="008E43AE">
            <w:pPr>
              <w:pStyle w:val="TableParagraph"/>
              <w:spacing w:line="292" w:lineRule="exact"/>
              <w:ind w:left="107"/>
              <w:rPr>
                <w:sz w:val="24"/>
              </w:rPr>
            </w:pPr>
            <w:r>
              <w:rPr>
                <w:spacing w:val="-5"/>
                <w:sz w:val="24"/>
              </w:rPr>
              <w:t>USD</w:t>
            </w:r>
          </w:p>
        </w:tc>
        <w:tc>
          <w:tcPr>
            <w:tcW w:w="6757" w:type="dxa"/>
          </w:tcPr>
          <w:p w14:paraId="51DE7896" w14:textId="77777777" w:rsidR="0010369C" w:rsidRDefault="008E43AE">
            <w:pPr>
              <w:pStyle w:val="TableParagraph"/>
              <w:spacing w:line="292" w:lineRule="exact"/>
              <w:ind w:left="107"/>
              <w:rPr>
                <w:sz w:val="24"/>
              </w:rPr>
            </w:pPr>
            <w:r>
              <w:rPr>
                <w:sz w:val="24"/>
              </w:rPr>
              <w:t>United</w:t>
            </w:r>
            <w:r>
              <w:rPr>
                <w:spacing w:val="-5"/>
                <w:sz w:val="24"/>
              </w:rPr>
              <w:t xml:space="preserve"> </w:t>
            </w:r>
            <w:r>
              <w:rPr>
                <w:sz w:val="24"/>
              </w:rPr>
              <w:t>States</w:t>
            </w:r>
            <w:r>
              <w:rPr>
                <w:spacing w:val="-2"/>
                <w:sz w:val="24"/>
              </w:rPr>
              <w:t xml:space="preserve"> Dollars</w:t>
            </w:r>
          </w:p>
        </w:tc>
      </w:tr>
      <w:tr w:rsidR="0010369C" w14:paraId="51DE789A" w14:textId="77777777">
        <w:trPr>
          <w:trHeight w:val="390"/>
        </w:trPr>
        <w:tc>
          <w:tcPr>
            <w:tcW w:w="2258" w:type="dxa"/>
          </w:tcPr>
          <w:p w14:paraId="51DE7898" w14:textId="77777777" w:rsidR="0010369C" w:rsidRDefault="008E43AE">
            <w:pPr>
              <w:pStyle w:val="TableParagraph"/>
              <w:ind w:left="107"/>
              <w:rPr>
                <w:sz w:val="24"/>
              </w:rPr>
            </w:pPr>
            <w:r>
              <w:rPr>
                <w:spacing w:val="-5"/>
                <w:sz w:val="24"/>
              </w:rPr>
              <w:t>WTO</w:t>
            </w:r>
          </w:p>
        </w:tc>
        <w:tc>
          <w:tcPr>
            <w:tcW w:w="6757" w:type="dxa"/>
          </w:tcPr>
          <w:p w14:paraId="51DE7899" w14:textId="77777777" w:rsidR="0010369C" w:rsidRDefault="008E43AE">
            <w:pPr>
              <w:pStyle w:val="TableParagraph"/>
              <w:ind w:left="107"/>
              <w:rPr>
                <w:sz w:val="24"/>
              </w:rPr>
            </w:pPr>
            <w:r>
              <w:rPr>
                <w:sz w:val="24"/>
              </w:rPr>
              <w:t>World</w:t>
            </w:r>
            <w:r>
              <w:rPr>
                <w:spacing w:val="-5"/>
                <w:sz w:val="24"/>
              </w:rPr>
              <w:t xml:space="preserve"> </w:t>
            </w:r>
            <w:r>
              <w:rPr>
                <w:sz w:val="24"/>
              </w:rPr>
              <w:t>Trade</w:t>
            </w:r>
            <w:r>
              <w:rPr>
                <w:spacing w:val="-3"/>
                <w:sz w:val="24"/>
              </w:rPr>
              <w:t xml:space="preserve"> </w:t>
            </w:r>
            <w:r>
              <w:rPr>
                <w:spacing w:val="-2"/>
                <w:sz w:val="24"/>
              </w:rPr>
              <w:t>Organization</w:t>
            </w:r>
          </w:p>
        </w:tc>
      </w:tr>
    </w:tbl>
    <w:p w14:paraId="51DE789B" w14:textId="77777777" w:rsidR="0010369C" w:rsidRDefault="0010369C">
      <w:pPr>
        <w:rPr>
          <w:sz w:val="24"/>
        </w:rPr>
        <w:sectPr w:rsidR="0010369C">
          <w:headerReference w:type="default" r:id="rId15"/>
          <w:footerReference w:type="default" r:id="rId16"/>
          <w:pgSz w:w="11910" w:h="16840"/>
          <w:pgMar w:top="580" w:right="1220" w:bottom="980" w:left="1180" w:header="0" w:footer="788" w:gutter="0"/>
          <w:cols w:space="720"/>
        </w:sectPr>
      </w:pPr>
    </w:p>
    <w:p w14:paraId="51DE789C" w14:textId="77777777" w:rsidR="0010369C" w:rsidRDefault="008E43AE">
      <w:pPr>
        <w:pStyle w:val="BodyText"/>
        <w:spacing w:line="20" w:lineRule="exact"/>
        <w:ind w:left="104"/>
        <w:rPr>
          <w:sz w:val="2"/>
        </w:rPr>
      </w:pPr>
      <w:r>
        <w:rPr>
          <w:sz w:val="2"/>
        </w:rPr>
      </w:r>
      <w:r>
        <w:rPr>
          <w:sz w:val="2"/>
        </w:rPr>
        <w:pict w14:anchorId="51DE9D00">
          <v:group id="docshapegroup17" o:spid="_x0000_s3236" style="width:464.6pt;height:1.05pt;mso-position-horizontal-relative:char;mso-position-vertical-relative:line" coordsize="9292,21">
            <v:line id="_x0000_s3237" style="position:absolute" from="0,10" to="9291,10" strokeweight=".35361mm"/>
            <w10:anchorlock/>
          </v:group>
        </w:pict>
      </w:r>
    </w:p>
    <w:p w14:paraId="51DE789D" w14:textId="77777777" w:rsidR="0010369C" w:rsidRDefault="008E43AE">
      <w:pPr>
        <w:spacing w:before="52"/>
        <w:ind w:left="2132" w:right="2065"/>
        <w:jc w:val="center"/>
        <w:rPr>
          <w:rFonts w:ascii="Arial"/>
          <w:sz w:val="19"/>
        </w:rPr>
      </w:pPr>
      <w:r>
        <w:pict w14:anchorId="51DE9D01">
          <v:shape id="docshape18" o:spid="_x0000_s3235" style="position:absolute;left:0;text-align:left;margin-left:64.2pt;margin-top:15pt;width:464.6pt;height:.1pt;z-index:-251264512;mso-wrap-distance-left:0;mso-wrap-distance-right:0;mso-position-horizontal-relative:page" coordorigin="1284,300" coordsize="9292,0" path="m1284,300r9291,e" filled="f" strokeweight=".35361mm">
            <v:path arrowok="t"/>
            <w10:wrap type="topAndBottom" anchorx="page"/>
          </v:shape>
        </w:pict>
      </w:r>
      <w:r>
        <w:rPr>
          <w:rFonts w:ascii="Arial"/>
          <w:color w:val="080808"/>
          <w:sz w:val="19"/>
        </w:rPr>
        <w:t>Business</w:t>
      </w:r>
      <w:r>
        <w:rPr>
          <w:rFonts w:ascii="Arial"/>
          <w:color w:val="080808"/>
          <w:spacing w:val="45"/>
          <w:sz w:val="19"/>
        </w:rPr>
        <w:t xml:space="preserve"> </w:t>
      </w:r>
      <w:r>
        <w:rPr>
          <w:rFonts w:ascii="Arial"/>
          <w:color w:val="1A1A1A"/>
          <w:sz w:val="19"/>
        </w:rPr>
        <w:t>Confidential</w:t>
      </w:r>
      <w:r>
        <w:rPr>
          <w:rFonts w:ascii="Arial"/>
          <w:color w:val="1A1A1A"/>
          <w:spacing w:val="38"/>
          <w:sz w:val="19"/>
        </w:rPr>
        <w:t xml:space="preserve"> </w:t>
      </w:r>
      <w:r>
        <w:rPr>
          <w:rFonts w:ascii="Arial"/>
          <w:color w:val="1A1A1A"/>
          <w:sz w:val="19"/>
        </w:rPr>
        <w:t>Information</w:t>
      </w:r>
      <w:r>
        <w:rPr>
          <w:rFonts w:ascii="Arial"/>
          <w:color w:val="1A1A1A"/>
          <w:spacing w:val="39"/>
          <w:sz w:val="19"/>
        </w:rPr>
        <w:t xml:space="preserve"> </w:t>
      </w:r>
      <w:r>
        <w:rPr>
          <w:rFonts w:ascii="Arial"/>
          <w:color w:val="080808"/>
          <w:sz w:val="19"/>
        </w:rPr>
        <w:t>-</w:t>
      </w:r>
      <w:r>
        <w:rPr>
          <w:rFonts w:ascii="Arial"/>
          <w:color w:val="080808"/>
          <w:spacing w:val="40"/>
          <w:sz w:val="19"/>
        </w:rPr>
        <w:t xml:space="preserve"> </w:t>
      </w:r>
      <w:r>
        <w:rPr>
          <w:rFonts w:ascii="Arial"/>
          <w:color w:val="080808"/>
          <w:spacing w:val="-2"/>
          <w:sz w:val="19"/>
        </w:rPr>
        <w:t>REDACTED</w:t>
      </w:r>
    </w:p>
    <w:p w14:paraId="51DE789E" w14:textId="77777777" w:rsidR="0010369C" w:rsidRDefault="008E43AE">
      <w:pPr>
        <w:tabs>
          <w:tab w:val="left" w:pos="6277"/>
        </w:tabs>
        <w:spacing w:before="3"/>
        <w:ind w:left="63"/>
        <w:jc w:val="center"/>
        <w:rPr>
          <w:rFonts w:ascii="Arial"/>
          <w:sz w:val="18"/>
        </w:rPr>
      </w:pPr>
      <w:r>
        <w:rPr>
          <w:rFonts w:ascii="Times New Roman"/>
          <w:i/>
          <w:color w:val="282828"/>
          <w:w w:val="105"/>
          <w:sz w:val="19"/>
        </w:rPr>
        <w:t>China</w:t>
      </w:r>
      <w:r>
        <w:rPr>
          <w:rFonts w:ascii="Times New Roman"/>
          <w:i/>
          <w:color w:val="282828"/>
          <w:spacing w:val="-9"/>
          <w:w w:val="105"/>
          <w:sz w:val="19"/>
        </w:rPr>
        <w:t xml:space="preserve"> </w:t>
      </w:r>
      <w:r>
        <w:rPr>
          <w:rFonts w:ascii="Times New Roman"/>
          <w:i/>
          <w:color w:val="080808"/>
          <w:w w:val="105"/>
          <w:sz w:val="19"/>
        </w:rPr>
        <w:t>-Anti-Dumping</w:t>
      </w:r>
      <w:r>
        <w:rPr>
          <w:rFonts w:ascii="Times New Roman"/>
          <w:i/>
          <w:color w:val="080808"/>
          <w:spacing w:val="13"/>
          <w:w w:val="105"/>
          <w:sz w:val="19"/>
        </w:rPr>
        <w:t xml:space="preserve"> </w:t>
      </w:r>
      <w:r>
        <w:rPr>
          <w:rFonts w:ascii="Times New Roman"/>
          <w:i/>
          <w:color w:val="282828"/>
          <w:w w:val="105"/>
          <w:sz w:val="19"/>
        </w:rPr>
        <w:t>and</w:t>
      </w:r>
      <w:r>
        <w:rPr>
          <w:rFonts w:ascii="Times New Roman"/>
          <w:i/>
          <w:color w:val="282828"/>
          <w:spacing w:val="-11"/>
          <w:w w:val="105"/>
          <w:sz w:val="19"/>
        </w:rPr>
        <w:t xml:space="preserve"> </w:t>
      </w:r>
      <w:r>
        <w:rPr>
          <w:rFonts w:ascii="Times New Roman"/>
          <w:i/>
          <w:color w:val="282828"/>
          <w:w w:val="105"/>
          <w:sz w:val="19"/>
        </w:rPr>
        <w:t>Countervailing</w:t>
      </w:r>
      <w:r>
        <w:rPr>
          <w:rFonts w:ascii="Times New Roman"/>
          <w:i/>
          <w:color w:val="282828"/>
          <w:spacing w:val="4"/>
          <w:w w:val="105"/>
          <w:sz w:val="19"/>
        </w:rPr>
        <w:t xml:space="preserve"> </w:t>
      </w:r>
      <w:r>
        <w:rPr>
          <w:rFonts w:ascii="Times New Roman"/>
          <w:i/>
          <w:color w:val="1A1A1A"/>
          <w:w w:val="105"/>
          <w:sz w:val="19"/>
        </w:rPr>
        <w:t>Duty</w:t>
      </w:r>
      <w:r>
        <w:rPr>
          <w:rFonts w:ascii="Times New Roman"/>
          <w:i/>
          <w:color w:val="1A1A1A"/>
          <w:spacing w:val="-14"/>
          <w:w w:val="105"/>
          <w:sz w:val="19"/>
        </w:rPr>
        <w:t xml:space="preserve"> </w:t>
      </w:r>
      <w:r>
        <w:rPr>
          <w:rFonts w:ascii="Times New Roman"/>
          <w:i/>
          <w:color w:val="1A1A1A"/>
          <w:spacing w:val="-2"/>
          <w:w w:val="105"/>
          <w:sz w:val="19"/>
        </w:rPr>
        <w:t>Measures</w:t>
      </w:r>
      <w:r>
        <w:rPr>
          <w:rFonts w:ascii="Times New Roman"/>
          <w:i/>
          <w:color w:val="1A1A1A"/>
          <w:sz w:val="19"/>
        </w:rPr>
        <w:tab/>
      </w:r>
      <w:r>
        <w:rPr>
          <w:rFonts w:ascii="Arial"/>
          <w:color w:val="1A1A1A"/>
          <w:spacing w:val="-2"/>
          <w:w w:val="105"/>
          <w:sz w:val="18"/>
        </w:rPr>
        <w:t>Australia's</w:t>
      </w:r>
      <w:r>
        <w:rPr>
          <w:rFonts w:ascii="Arial"/>
          <w:color w:val="1A1A1A"/>
          <w:spacing w:val="5"/>
          <w:w w:val="105"/>
          <w:sz w:val="18"/>
        </w:rPr>
        <w:t xml:space="preserve"> </w:t>
      </w:r>
      <w:r>
        <w:rPr>
          <w:rFonts w:ascii="Arial"/>
          <w:color w:val="1A1A1A"/>
          <w:spacing w:val="-2"/>
          <w:w w:val="105"/>
          <w:sz w:val="18"/>
        </w:rPr>
        <w:t>First</w:t>
      </w:r>
      <w:r>
        <w:rPr>
          <w:rFonts w:ascii="Arial"/>
          <w:color w:val="1A1A1A"/>
          <w:spacing w:val="1"/>
          <w:w w:val="105"/>
          <w:sz w:val="18"/>
        </w:rPr>
        <w:t xml:space="preserve"> </w:t>
      </w:r>
      <w:r>
        <w:rPr>
          <w:rFonts w:ascii="Arial"/>
          <w:color w:val="1A1A1A"/>
          <w:spacing w:val="-2"/>
          <w:w w:val="105"/>
          <w:sz w:val="18"/>
        </w:rPr>
        <w:t>Written</w:t>
      </w:r>
      <w:r>
        <w:rPr>
          <w:rFonts w:ascii="Arial"/>
          <w:color w:val="1A1A1A"/>
          <w:spacing w:val="-7"/>
          <w:w w:val="105"/>
          <w:sz w:val="18"/>
        </w:rPr>
        <w:t xml:space="preserve"> </w:t>
      </w:r>
      <w:r>
        <w:rPr>
          <w:rFonts w:ascii="Arial"/>
          <w:color w:val="282828"/>
          <w:spacing w:val="-2"/>
          <w:w w:val="105"/>
          <w:sz w:val="18"/>
        </w:rPr>
        <w:t>Submission</w:t>
      </w:r>
    </w:p>
    <w:p w14:paraId="51DE789F" w14:textId="77777777" w:rsidR="0010369C" w:rsidRDefault="008E43AE">
      <w:pPr>
        <w:tabs>
          <w:tab w:val="left" w:pos="8100"/>
        </w:tabs>
        <w:spacing w:before="42"/>
        <w:ind w:left="83"/>
        <w:jc w:val="center"/>
        <w:rPr>
          <w:rFonts w:ascii="Arial"/>
          <w:sz w:val="18"/>
        </w:rPr>
      </w:pPr>
      <w:r>
        <w:rPr>
          <w:rFonts w:ascii="Times New Roman"/>
          <w:i/>
          <w:color w:val="282828"/>
          <w:sz w:val="19"/>
          <w:u w:val="thick" w:color="282828"/>
        </w:rPr>
        <w:t>on</w:t>
      </w:r>
      <w:r>
        <w:rPr>
          <w:rFonts w:ascii="Times New Roman"/>
          <w:i/>
          <w:color w:val="282828"/>
          <w:spacing w:val="29"/>
          <w:sz w:val="19"/>
          <w:u w:val="thick" w:color="282828"/>
        </w:rPr>
        <w:t xml:space="preserve"> </w:t>
      </w:r>
      <w:r>
        <w:rPr>
          <w:rFonts w:ascii="Times New Roman"/>
          <w:i/>
          <w:color w:val="1A1A1A"/>
          <w:sz w:val="19"/>
          <w:u w:val="thick" w:color="282828"/>
        </w:rPr>
        <w:t>Wine</w:t>
      </w:r>
      <w:r>
        <w:rPr>
          <w:rFonts w:ascii="Times New Roman"/>
          <w:i/>
          <w:color w:val="1A1A1A"/>
          <w:spacing w:val="25"/>
          <w:sz w:val="19"/>
          <w:u w:val="thick" w:color="282828"/>
        </w:rPr>
        <w:t xml:space="preserve"> </w:t>
      </w:r>
      <w:r>
        <w:rPr>
          <w:rFonts w:ascii="Times New Roman"/>
          <w:i/>
          <w:color w:val="282828"/>
          <w:sz w:val="19"/>
          <w:u w:val="thick" w:color="282828"/>
        </w:rPr>
        <w:t>from</w:t>
      </w:r>
      <w:r>
        <w:rPr>
          <w:rFonts w:ascii="Times New Roman"/>
          <w:i/>
          <w:color w:val="282828"/>
          <w:spacing w:val="18"/>
          <w:sz w:val="19"/>
          <w:u w:val="thick" w:color="282828"/>
        </w:rPr>
        <w:t xml:space="preserve"> </w:t>
      </w:r>
      <w:r>
        <w:rPr>
          <w:rFonts w:ascii="Times New Roman"/>
          <w:i/>
          <w:color w:val="1A1A1A"/>
          <w:sz w:val="19"/>
          <w:u w:val="thick" w:color="282828"/>
        </w:rPr>
        <w:t>Australia</w:t>
      </w:r>
      <w:r>
        <w:rPr>
          <w:rFonts w:ascii="Times New Roman"/>
          <w:i/>
          <w:color w:val="1A1A1A"/>
          <w:spacing w:val="15"/>
          <w:sz w:val="19"/>
          <w:u w:val="thick" w:color="282828"/>
        </w:rPr>
        <w:t xml:space="preserve"> </w:t>
      </w:r>
      <w:r>
        <w:rPr>
          <w:rFonts w:ascii="Arial"/>
          <w:color w:val="282828"/>
          <w:spacing w:val="-2"/>
          <w:sz w:val="18"/>
          <w:u w:val="thick" w:color="282828"/>
        </w:rPr>
        <w:t>(D5602)</w:t>
      </w:r>
      <w:r>
        <w:rPr>
          <w:rFonts w:ascii="Arial"/>
          <w:color w:val="282828"/>
          <w:sz w:val="18"/>
        </w:rPr>
        <w:tab/>
      </w:r>
      <w:r>
        <w:rPr>
          <w:rFonts w:ascii="Arial"/>
          <w:color w:val="1A1A1A"/>
          <w:sz w:val="18"/>
          <w:u w:val="thick" w:color="1A1A1A"/>
        </w:rPr>
        <w:t>29</w:t>
      </w:r>
      <w:r>
        <w:rPr>
          <w:rFonts w:ascii="Arial"/>
          <w:color w:val="1A1A1A"/>
          <w:spacing w:val="5"/>
          <w:sz w:val="18"/>
          <w:u w:val="thick" w:color="1A1A1A"/>
        </w:rPr>
        <w:t xml:space="preserve"> </w:t>
      </w:r>
      <w:r>
        <w:rPr>
          <w:rFonts w:ascii="Arial"/>
          <w:color w:val="1A1A1A"/>
          <w:sz w:val="18"/>
          <w:u w:val="thick" w:color="1A1A1A"/>
        </w:rPr>
        <w:t>April</w:t>
      </w:r>
      <w:r>
        <w:rPr>
          <w:rFonts w:ascii="Arial"/>
          <w:color w:val="1A1A1A"/>
          <w:spacing w:val="16"/>
          <w:sz w:val="18"/>
          <w:u w:val="thick" w:color="1A1A1A"/>
        </w:rPr>
        <w:t xml:space="preserve"> </w:t>
      </w:r>
      <w:r>
        <w:rPr>
          <w:rFonts w:ascii="Arial"/>
          <w:color w:val="1A1A1A"/>
          <w:spacing w:val="-4"/>
          <w:sz w:val="18"/>
          <w:u w:val="thick" w:color="1A1A1A"/>
        </w:rPr>
        <w:t>2022</w:t>
      </w:r>
    </w:p>
    <w:p w14:paraId="51DE78A0" w14:textId="77777777" w:rsidR="0010369C" w:rsidRDefault="008E43AE">
      <w:pPr>
        <w:tabs>
          <w:tab w:val="left" w:pos="2612"/>
        </w:tabs>
        <w:spacing w:before="83"/>
        <w:ind w:left="354"/>
        <w:rPr>
          <w:rFonts w:ascii="Arial"/>
          <w:sz w:val="21"/>
        </w:rPr>
      </w:pPr>
      <w:r>
        <w:rPr>
          <w:rFonts w:ascii="Arial"/>
          <w:color w:val="1A1A1A"/>
          <w:sz w:val="21"/>
        </w:rPr>
        <w:t>Yalumba</w:t>
      </w:r>
      <w:r>
        <w:rPr>
          <w:rFonts w:ascii="Arial"/>
          <w:color w:val="1A1A1A"/>
          <w:spacing w:val="6"/>
          <w:sz w:val="21"/>
        </w:rPr>
        <w:t xml:space="preserve"> </w:t>
      </w:r>
      <w:r>
        <w:rPr>
          <w:rFonts w:ascii="Arial"/>
          <w:color w:val="1A1A1A"/>
          <w:spacing w:val="-2"/>
          <w:sz w:val="21"/>
        </w:rPr>
        <w:t>Wines</w:t>
      </w:r>
      <w:r>
        <w:rPr>
          <w:rFonts w:ascii="Arial"/>
          <w:color w:val="1A1A1A"/>
          <w:sz w:val="21"/>
        </w:rPr>
        <w:tab/>
      </w:r>
      <w:r>
        <w:rPr>
          <w:rFonts w:ascii="Arial"/>
          <w:color w:val="1A1A1A"/>
          <w:w w:val="105"/>
          <w:sz w:val="21"/>
        </w:rPr>
        <w:t>S.</w:t>
      </w:r>
      <w:r>
        <w:rPr>
          <w:rFonts w:ascii="Arial"/>
          <w:color w:val="1A1A1A"/>
          <w:spacing w:val="-36"/>
          <w:w w:val="105"/>
          <w:sz w:val="21"/>
        </w:rPr>
        <w:t xml:space="preserve"> </w:t>
      </w:r>
      <w:r>
        <w:rPr>
          <w:rFonts w:ascii="Arial"/>
          <w:color w:val="1A1A1A"/>
          <w:w w:val="105"/>
          <w:sz w:val="21"/>
        </w:rPr>
        <w:t>Smith</w:t>
      </w:r>
      <w:r>
        <w:rPr>
          <w:rFonts w:ascii="Arial"/>
          <w:color w:val="1A1A1A"/>
          <w:spacing w:val="-16"/>
          <w:w w:val="105"/>
          <w:sz w:val="21"/>
        </w:rPr>
        <w:t xml:space="preserve"> </w:t>
      </w:r>
      <w:r>
        <w:rPr>
          <w:rFonts w:ascii="Arial"/>
          <w:color w:val="1A1A1A"/>
          <w:w w:val="105"/>
          <w:sz w:val="21"/>
        </w:rPr>
        <w:t>and</w:t>
      </w:r>
      <w:r>
        <w:rPr>
          <w:rFonts w:ascii="Arial"/>
          <w:color w:val="1A1A1A"/>
          <w:spacing w:val="-22"/>
          <w:w w:val="105"/>
          <w:sz w:val="21"/>
        </w:rPr>
        <w:t xml:space="preserve"> </w:t>
      </w:r>
      <w:r>
        <w:rPr>
          <w:rFonts w:ascii="Arial"/>
          <w:color w:val="1A1A1A"/>
          <w:w w:val="105"/>
          <w:sz w:val="21"/>
        </w:rPr>
        <w:t>Son</w:t>
      </w:r>
      <w:r>
        <w:rPr>
          <w:rFonts w:ascii="Arial"/>
          <w:color w:val="1A1A1A"/>
          <w:spacing w:val="-15"/>
          <w:w w:val="105"/>
          <w:sz w:val="21"/>
        </w:rPr>
        <w:t xml:space="preserve"> </w:t>
      </w:r>
      <w:r>
        <w:rPr>
          <w:rFonts w:ascii="Arial"/>
          <w:color w:val="080808"/>
          <w:w w:val="105"/>
          <w:sz w:val="21"/>
        </w:rPr>
        <w:t>Pty</w:t>
      </w:r>
      <w:r>
        <w:rPr>
          <w:rFonts w:ascii="Arial"/>
          <w:color w:val="080808"/>
          <w:spacing w:val="-15"/>
          <w:w w:val="105"/>
          <w:sz w:val="21"/>
        </w:rPr>
        <w:t xml:space="preserve"> </w:t>
      </w:r>
      <w:r>
        <w:rPr>
          <w:rFonts w:ascii="Arial"/>
          <w:color w:val="080808"/>
          <w:w w:val="105"/>
          <w:sz w:val="21"/>
        </w:rPr>
        <w:t>Ltd</w:t>
      </w:r>
      <w:r>
        <w:rPr>
          <w:rFonts w:ascii="Arial"/>
          <w:color w:val="080808"/>
          <w:spacing w:val="-18"/>
          <w:w w:val="105"/>
          <w:sz w:val="21"/>
        </w:rPr>
        <w:t xml:space="preserve"> </w:t>
      </w:r>
      <w:r>
        <w:rPr>
          <w:rFonts w:ascii="Arial"/>
          <w:color w:val="080808"/>
          <w:w w:val="105"/>
          <w:sz w:val="21"/>
        </w:rPr>
        <w:t>trading</w:t>
      </w:r>
      <w:r>
        <w:rPr>
          <w:rFonts w:ascii="Arial"/>
          <w:color w:val="080808"/>
          <w:spacing w:val="-21"/>
          <w:w w:val="105"/>
          <w:sz w:val="21"/>
        </w:rPr>
        <w:t xml:space="preserve"> </w:t>
      </w:r>
      <w:r>
        <w:rPr>
          <w:rFonts w:ascii="Arial"/>
          <w:color w:val="080808"/>
          <w:w w:val="105"/>
          <w:sz w:val="21"/>
        </w:rPr>
        <w:t>as</w:t>
      </w:r>
      <w:r>
        <w:rPr>
          <w:rFonts w:ascii="Arial"/>
          <w:color w:val="080808"/>
          <w:spacing w:val="-21"/>
          <w:w w:val="105"/>
          <w:sz w:val="21"/>
        </w:rPr>
        <w:t xml:space="preserve"> </w:t>
      </w:r>
      <w:r>
        <w:rPr>
          <w:rFonts w:ascii="Arial"/>
          <w:color w:val="080808"/>
          <w:w w:val="105"/>
          <w:sz w:val="21"/>
        </w:rPr>
        <w:t>The</w:t>
      </w:r>
      <w:r>
        <w:rPr>
          <w:rFonts w:ascii="Arial"/>
          <w:color w:val="080808"/>
          <w:spacing w:val="-15"/>
          <w:w w:val="105"/>
          <w:sz w:val="21"/>
        </w:rPr>
        <w:t xml:space="preserve"> </w:t>
      </w:r>
      <w:r>
        <w:rPr>
          <w:rFonts w:ascii="Arial"/>
          <w:color w:val="1A1A1A"/>
          <w:w w:val="105"/>
          <w:sz w:val="21"/>
        </w:rPr>
        <w:t>Yalumba</w:t>
      </w:r>
      <w:r>
        <w:rPr>
          <w:rFonts w:ascii="Arial"/>
          <w:color w:val="1A1A1A"/>
          <w:spacing w:val="-9"/>
          <w:w w:val="105"/>
          <w:sz w:val="21"/>
        </w:rPr>
        <w:t xml:space="preserve"> </w:t>
      </w:r>
      <w:r>
        <w:rPr>
          <w:rFonts w:ascii="Arial"/>
          <w:color w:val="1A1A1A"/>
          <w:w w:val="105"/>
          <w:sz w:val="21"/>
        </w:rPr>
        <w:t>Wine</w:t>
      </w:r>
      <w:r>
        <w:rPr>
          <w:rFonts w:ascii="Arial"/>
          <w:color w:val="1A1A1A"/>
          <w:spacing w:val="-14"/>
          <w:w w:val="105"/>
          <w:sz w:val="21"/>
        </w:rPr>
        <w:t xml:space="preserve"> </w:t>
      </w:r>
      <w:r>
        <w:rPr>
          <w:rFonts w:ascii="Arial"/>
          <w:color w:val="1A1A1A"/>
          <w:spacing w:val="-2"/>
          <w:w w:val="105"/>
          <w:sz w:val="21"/>
        </w:rPr>
        <w:t>Company</w:t>
      </w:r>
    </w:p>
    <w:p w14:paraId="51DE78A1" w14:textId="77777777" w:rsidR="0010369C" w:rsidRDefault="008E43AE">
      <w:pPr>
        <w:pStyle w:val="BodyText"/>
        <w:spacing w:before="11"/>
        <w:rPr>
          <w:rFonts w:ascii="Arial"/>
          <w:sz w:val="7"/>
        </w:rPr>
      </w:pPr>
      <w:r>
        <w:pict w14:anchorId="51DE9D02">
          <v:shape id="docshape19" o:spid="_x0000_s3234" style="position:absolute;margin-left:70.25pt;margin-top:5.8pt;width:454.55pt;height:.1pt;z-index:-251263488;mso-wrap-distance-left:0;mso-wrap-distance-right:0;mso-position-horizontal-relative:page" coordorigin="1405,116" coordsize="9091,0" path="m1405,116r9090,e" filled="f" strokeweight=".35361mm">
            <v:path arrowok="t"/>
            <w10:wrap type="topAndBottom" anchorx="page"/>
          </v:shape>
        </w:pict>
      </w:r>
    </w:p>
    <w:p w14:paraId="51DE78A2" w14:textId="77777777" w:rsidR="0010369C" w:rsidRDefault="0010369C">
      <w:pPr>
        <w:pStyle w:val="BodyText"/>
        <w:spacing w:before="4"/>
        <w:rPr>
          <w:rFonts w:ascii="Arial"/>
          <w:sz w:val="33"/>
        </w:rPr>
      </w:pPr>
    </w:p>
    <w:p w14:paraId="51DE78A3" w14:textId="77777777" w:rsidR="0010369C" w:rsidRDefault="008E43AE">
      <w:pPr>
        <w:ind w:left="2132" w:right="2055"/>
        <w:jc w:val="center"/>
        <w:rPr>
          <w:rFonts w:ascii="Arial"/>
          <w:b/>
          <w:sz w:val="20"/>
        </w:rPr>
      </w:pPr>
      <w:r>
        <w:rPr>
          <w:rFonts w:ascii="Arial"/>
          <w:b/>
          <w:color w:val="080808"/>
          <w:w w:val="95"/>
          <w:sz w:val="20"/>
        </w:rPr>
        <w:t>LIST</w:t>
      </w:r>
      <w:r>
        <w:rPr>
          <w:rFonts w:ascii="Arial"/>
          <w:b/>
          <w:color w:val="080808"/>
          <w:spacing w:val="-12"/>
          <w:w w:val="95"/>
          <w:sz w:val="20"/>
        </w:rPr>
        <w:t xml:space="preserve"> </w:t>
      </w:r>
      <w:r>
        <w:rPr>
          <w:rFonts w:ascii="Arial"/>
          <w:b/>
          <w:color w:val="080808"/>
          <w:w w:val="95"/>
          <w:sz w:val="20"/>
        </w:rPr>
        <w:t>OF</w:t>
      </w:r>
      <w:r>
        <w:rPr>
          <w:rFonts w:ascii="Arial"/>
          <w:b/>
          <w:color w:val="080808"/>
          <w:spacing w:val="-4"/>
          <w:w w:val="95"/>
          <w:sz w:val="20"/>
        </w:rPr>
        <w:t xml:space="preserve"> </w:t>
      </w:r>
      <w:r>
        <w:rPr>
          <w:rFonts w:ascii="Arial"/>
          <w:b/>
          <w:color w:val="080808"/>
          <w:spacing w:val="-2"/>
          <w:w w:val="95"/>
          <w:sz w:val="20"/>
        </w:rPr>
        <w:t>EXHIBITS</w:t>
      </w:r>
    </w:p>
    <w:p w14:paraId="51DE78A4" w14:textId="77777777" w:rsidR="0010369C" w:rsidRDefault="0010369C">
      <w:pPr>
        <w:pStyle w:val="BodyText"/>
        <w:spacing w:before="1"/>
        <w:rPr>
          <w:rFonts w:ascii="Arial"/>
          <w:b/>
          <w:sz w:val="11"/>
        </w:rPr>
      </w:pPr>
    </w:p>
    <w:p w14:paraId="51DE78A5" w14:textId="77777777" w:rsidR="0010369C" w:rsidRDefault="0010369C">
      <w:pPr>
        <w:rPr>
          <w:rFonts w:ascii="Arial"/>
          <w:sz w:val="11"/>
        </w:rPr>
        <w:sectPr w:rsidR="0010369C">
          <w:headerReference w:type="default" r:id="rId17"/>
          <w:footerReference w:type="default" r:id="rId18"/>
          <w:pgSz w:w="11910" w:h="16840"/>
          <w:pgMar w:top="500" w:right="1220" w:bottom="1020" w:left="1180" w:header="0" w:footer="826" w:gutter="0"/>
          <w:cols w:space="720"/>
        </w:sectPr>
      </w:pPr>
    </w:p>
    <w:p w14:paraId="51DE78A6" w14:textId="77777777" w:rsidR="0010369C" w:rsidRDefault="008E43AE">
      <w:pPr>
        <w:spacing w:before="94" w:line="314" w:lineRule="auto"/>
        <w:ind w:left="661" w:hanging="171"/>
        <w:rPr>
          <w:rFonts w:ascii="Arial"/>
          <w:b/>
          <w:sz w:val="20"/>
        </w:rPr>
      </w:pPr>
      <w:r>
        <w:pict w14:anchorId="51DE9D03">
          <v:group id="docshapegroup20" o:spid="_x0000_s3230" style="position:absolute;left:0;text-align:left;margin-left:70.25pt;margin-top:1.05pt;width:457.05pt;height:625.5pt;z-index:-251435520;mso-position-horizontal-relative:page" coordorigin="1405,21" coordsize="9141,125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1" o:spid="_x0000_s3233" type="#_x0000_t75" style="position:absolute;left:2568;top:4762;width:7977;height:7769">
              <v:imagedata r:id="rId19" o:title=""/>
            </v:shape>
            <v:shape id="docshape22" o:spid="_x0000_s3232" style="position:absolute;left:1404;top:20;width:9111;height:12490" coordorigin="1405,21" coordsize="9111,12490" o:spt="100" adj="0,,0" path="m2609,4752r,-3849m7385,4752r,-3268m10515,4752r,-4731m1415,12511l1415,21t-10,2386l2709,2407m1405,3890r1304,m1405,5674r1164,m1405,6566r1164,m1405,7749r1164,m1405,8932r1164,m1405,10115r1164,m1405,11298r1164,e" filled="f" strokeweight=".35378mm">
              <v:stroke joinstyle="round"/>
              <v:formulas/>
              <v:path arrowok="t" o:connecttype="segments"/>
            </v:shape>
            <v:line id="_x0000_s3231" style="position:absolute" from="1405,12481" to="2569,12481" strokeweight=".17681mm"/>
            <w10:wrap anchorx="page"/>
          </v:group>
        </w:pict>
      </w:r>
      <w:r>
        <w:rPr>
          <w:rFonts w:ascii="Arial"/>
          <w:b/>
          <w:color w:val="080808"/>
          <w:spacing w:val="-4"/>
          <w:w w:val="105"/>
          <w:sz w:val="20"/>
        </w:rPr>
        <w:t>Exhibit No.</w:t>
      </w:r>
    </w:p>
    <w:p w14:paraId="51DE78A7" w14:textId="77777777" w:rsidR="0010369C" w:rsidRDefault="008E43AE">
      <w:pPr>
        <w:spacing w:line="221" w:lineRule="exact"/>
        <w:ind w:left="355"/>
        <w:rPr>
          <w:rFonts w:ascii="Arial"/>
          <w:sz w:val="21"/>
        </w:rPr>
      </w:pPr>
      <w:r>
        <w:pict w14:anchorId="51DE9D04">
          <v:group id="docshapegroup23" o:spid="_x0000_s3227" style="position:absolute;left:0;text-align:left;margin-left:70.25pt;margin-top:85pt;width:60.75pt;height:119.8pt;z-index:251690496;mso-position-horizontal-relative:page" coordorigin="1405,1700" coordsize="1215,2396">
            <v:shape id="docshape24" o:spid="_x0000_s3229" type="#_x0000_t202" style="position:absolute;left:1414;top:3193;width:1194;height:893" filled="f" strokeweight=".35397mm">
              <v:textbox inset="0,0,0,0">
                <w:txbxContent>
                  <w:p w14:paraId="51DEAC10" w14:textId="77777777" w:rsidR="0010369C" w:rsidRDefault="008E43AE">
                    <w:pPr>
                      <w:spacing w:before="23"/>
                      <w:ind w:left="110"/>
                      <w:rPr>
                        <w:rFonts w:ascii="Arial"/>
                        <w:sz w:val="21"/>
                      </w:rPr>
                    </w:pPr>
                    <w:r>
                      <w:rPr>
                        <w:rFonts w:ascii="Arial"/>
                        <w:color w:val="1A1A1A"/>
                        <w:w w:val="95"/>
                        <w:sz w:val="21"/>
                      </w:rPr>
                      <w:t>AUS-</w:t>
                    </w:r>
                    <w:r>
                      <w:rPr>
                        <w:rFonts w:ascii="Arial"/>
                        <w:color w:val="1A1A1A"/>
                        <w:spacing w:val="-10"/>
                        <w:sz w:val="21"/>
                      </w:rPr>
                      <w:t>3</w:t>
                    </w:r>
                  </w:p>
                </w:txbxContent>
              </v:textbox>
            </v:shape>
            <v:shape id="docshape25" o:spid="_x0000_s3228" type="#_x0000_t202" style="position:absolute;left:1414;top:1710;width:1194;height:1484" filled="f" strokeweight=".35397mm">
              <v:textbox inset="0,0,0,0">
                <w:txbxContent>
                  <w:p w14:paraId="51DEAC11" w14:textId="77777777" w:rsidR="0010369C" w:rsidRDefault="008E43AE">
                    <w:pPr>
                      <w:spacing w:before="33"/>
                      <w:ind w:left="110"/>
                      <w:rPr>
                        <w:rFonts w:ascii="Arial"/>
                        <w:sz w:val="21"/>
                      </w:rPr>
                    </w:pPr>
                    <w:r>
                      <w:rPr>
                        <w:rFonts w:ascii="Arial"/>
                        <w:color w:val="1A1A1A"/>
                        <w:w w:val="95"/>
                        <w:sz w:val="21"/>
                      </w:rPr>
                      <w:t>AUS-</w:t>
                    </w:r>
                    <w:r>
                      <w:rPr>
                        <w:rFonts w:ascii="Arial"/>
                        <w:color w:val="1A1A1A"/>
                        <w:spacing w:val="-10"/>
                        <w:sz w:val="21"/>
                      </w:rPr>
                      <w:t>2</w:t>
                    </w:r>
                  </w:p>
                </w:txbxContent>
              </v:textbox>
            </v:shape>
            <w10:wrap anchorx="page"/>
          </v:group>
        </w:pict>
      </w:r>
      <w:r>
        <w:rPr>
          <w:rFonts w:ascii="Arial"/>
          <w:color w:val="1A1A1A"/>
          <w:sz w:val="21"/>
        </w:rPr>
        <w:t>AUS-</w:t>
      </w:r>
      <w:r>
        <w:rPr>
          <w:rFonts w:ascii="Arial"/>
          <w:color w:val="1A1A1A"/>
          <w:spacing w:val="-10"/>
          <w:sz w:val="21"/>
        </w:rPr>
        <w:t>1</w:t>
      </w:r>
    </w:p>
    <w:p w14:paraId="51DE78A8" w14:textId="77777777" w:rsidR="0010369C" w:rsidRDefault="0010369C">
      <w:pPr>
        <w:pStyle w:val="BodyText"/>
        <w:rPr>
          <w:rFonts w:ascii="Arial"/>
        </w:rPr>
      </w:pPr>
    </w:p>
    <w:p w14:paraId="51DE78A9" w14:textId="77777777" w:rsidR="0010369C" w:rsidRDefault="0010369C">
      <w:pPr>
        <w:pStyle w:val="BodyText"/>
        <w:rPr>
          <w:rFonts w:ascii="Arial"/>
        </w:rPr>
      </w:pPr>
    </w:p>
    <w:p w14:paraId="51DE78AA" w14:textId="77777777" w:rsidR="0010369C" w:rsidRDefault="0010369C">
      <w:pPr>
        <w:pStyle w:val="BodyText"/>
        <w:rPr>
          <w:rFonts w:ascii="Arial"/>
        </w:rPr>
      </w:pPr>
    </w:p>
    <w:p w14:paraId="51DE78AB" w14:textId="77777777" w:rsidR="0010369C" w:rsidRDefault="0010369C">
      <w:pPr>
        <w:pStyle w:val="BodyText"/>
        <w:rPr>
          <w:rFonts w:ascii="Arial"/>
        </w:rPr>
      </w:pPr>
    </w:p>
    <w:p w14:paraId="51DE78AC" w14:textId="77777777" w:rsidR="0010369C" w:rsidRDefault="0010369C">
      <w:pPr>
        <w:pStyle w:val="BodyText"/>
        <w:rPr>
          <w:rFonts w:ascii="Arial"/>
        </w:rPr>
      </w:pPr>
    </w:p>
    <w:p w14:paraId="51DE78AD" w14:textId="77777777" w:rsidR="0010369C" w:rsidRDefault="0010369C">
      <w:pPr>
        <w:pStyle w:val="BodyText"/>
        <w:rPr>
          <w:rFonts w:ascii="Arial"/>
        </w:rPr>
      </w:pPr>
    </w:p>
    <w:p w14:paraId="51DE78AE" w14:textId="77777777" w:rsidR="0010369C" w:rsidRDefault="0010369C">
      <w:pPr>
        <w:pStyle w:val="BodyText"/>
        <w:rPr>
          <w:rFonts w:ascii="Arial"/>
        </w:rPr>
      </w:pPr>
    </w:p>
    <w:p w14:paraId="51DE78AF" w14:textId="77777777" w:rsidR="0010369C" w:rsidRDefault="0010369C">
      <w:pPr>
        <w:pStyle w:val="BodyText"/>
        <w:rPr>
          <w:rFonts w:ascii="Arial"/>
        </w:rPr>
      </w:pPr>
    </w:p>
    <w:p w14:paraId="51DE78B0" w14:textId="77777777" w:rsidR="0010369C" w:rsidRDefault="0010369C">
      <w:pPr>
        <w:pStyle w:val="BodyText"/>
        <w:rPr>
          <w:rFonts w:ascii="Arial"/>
        </w:rPr>
      </w:pPr>
    </w:p>
    <w:p w14:paraId="51DE78B1" w14:textId="77777777" w:rsidR="0010369C" w:rsidRDefault="0010369C">
      <w:pPr>
        <w:pStyle w:val="BodyText"/>
        <w:rPr>
          <w:rFonts w:ascii="Arial"/>
        </w:rPr>
      </w:pPr>
    </w:p>
    <w:p w14:paraId="51DE78B2" w14:textId="77777777" w:rsidR="0010369C" w:rsidRDefault="0010369C">
      <w:pPr>
        <w:pStyle w:val="BodyText"/>
        <w:rPr>
          <w:rFonts w:ascii="Arial"/>
        </w:rPr>
      </w:pPr>
    </w:p>
    <w:p w14:paraId="51DE78B3" w14:textId="77777777" w:rsidR="0010369C" w:rsidRDefault="0010369C">
      <w:pPr>
        <w:pStyle w:val="BodyText"/>
        <w:rPr>
          <w:rFonts w:ascii="Arial"/>
        </w:rPr>
      </w:pPr>
    </w:p>
    <w:p w14:paraId="51DE78B4" w14:textId="77777777" w:rsidR="0010369C" w:rsidRDefault="0010369C">
      <w:pPr>
        <w:pStyle w:val="BodyText"/>
        <w:rPr>
          <w:rFonts w:ascii="Arial"/>
        </w:rPr>
      </w:pPr>
    </w:p>
    <w:p w14:paraId="51DE78B5" w14:textId="77777777" w:rsidR="0010369C" w:rsidRDefault="0010369C">
      <w:pPr>
        <w:pStyle w:val="BodyText"/>
        <w:rPr>
          <w:rFonts w:ascii="Arial"/>
          <w:sz w:val="27"/>
        </w:rPr>
      </w:pPr>
    </w:p>
    <w:p w14:paraId="51DE78B6" w14:textId="77777777" w:rsidR="0010369C" w:rsidRDefault="008E43AE">
      <w:pPr>
        <w:spacing w:line="288" w:lineRule="auto"/>
        <w:ind w:left="352" w:firstLine="3"/>
        <w:rPr>
          <w:rFonts w:ascii="Arial"/>
          <w:sz w:val="21"/>
        </w:rPr>
      </w:pPr>
      <w:r>
        <w:rPr>
          <w:rFonts w:ascii="Arial"/>
          <w:color w:val="1A1A1A"/>
          <w:spacing w:val="-4"/>
          <w:w w:val="95"/>
          <w:sz w:val="21"/>
        </w:rPr>
        <w:t xml:space="preserve">AUS-4 </w:t>
      </w:r>
      <w:r>
        <w:rPr>
          <w:rFonts w:ascii="Arial"/>
          <w:color w:val="1A1A1A"/>
          <w:spacing w:val="-2"/>
          <w:sz w:val="21"/>
        </w:rPr>
        <w:t>(BCI)</w:t>
      </w:r>
    </w:p>
    <w:p w14:paraId="51DE78B7" w14:textId="77777777" w:rsidR="0010369C" w:rsidRDefault="0010369C">
      <w:pPr>
        <w:pStyle w:val="BodyText"/>
        <w:spacing w:before="2"/>
        <w:rPr>
          <w:rFonts w:ascii="Arial"/>
          <w:sz w:val="27"/>
        </w:rPr>
      </w:pPr>
    </w:p>
    <w:p w14:paraId="51DE78B8" w14:textId="77777777" w:rsidR="0010369C" w:rsidRDefault="008E43AE">
      <w:pPr>
        <w:spacing w:line="288" w:lineRule="auto"/>
        <w:ind w:left="352" w:firstLine="3"/>
        <w:rPr>
          <w:rFonts w:ascii="Arial"/>
          <w:sz w:val="21"/>
        </w:rPr>
      </w:pPr>
      <w:r>
        <w:rPr>
          <w:rFonts w:ascii="Arial"/>
          <w:color w:val="1A1A1A"/>
          <w:spacing w:val="-4"/>
          <w:w w:val="95"/>
          <w:sz w:val="21"/>
        </w:rPr>
        <w:t xml:space="preserve">AUS-5 </w:t>
      </w:r>
      <w:r>
        <w:rPr>
          <w:rFonts w:ascii="Arial"/>
          <w:color w:val="1A1A1A"/>
          <w:spacing w:val="-2"/>
          <w:sz w:val="21"/>
        </w:rPr>
        <w:t>(BCI)</w:t>
      </w:r>
    </w:p>
    <w:p w14:paraId="51DE78B9" w14:textId="77777777" w:rsidR="0010369C" w:rsidRDefault="0010369C">
      <w:pPr>
        <w:pStyle w:val="BodyText"/>
        <w:spacing w:before="2"/>
        <w:rPr>
          <w:rFonts w:ascii="Arial"/>
          <w:sz w:val="27"/>
        </w:rPr>
      </w:pPr>
    </w:p>
    <w:p w14:paraId="51DE78BA" w14:textId="77777777" w:rsidR="0010369C" w:rsidRDefault="008E43AE">
      <w:pPr>
        <w:spacing w:line="288" w:lineRule="auto"/>
        <w:ind w:left="352" w:firstLine="3"/>
        <w:rPr>
          <w:rFonts w:ascii="Arial"/>
          <w:sz w:val="21"/>
        </w:rPr>
      </w:pPr>
      <w:r>
        <w:rPr>
          <w:rFonts w:ascii="Arial"/>
          <w:color w:val="1A1A1A"/>
          <w:spacing w:val="-4"/>
          <w:w w:val="95"/>
          <w:sz w:val="21"/>
        </w:rPr>
        <w:t xml:space="preserve">AUS-6 </w:t>
      </w:r>
      <w:r>
        <w:rPr>
          <w:rFonts w:ascii="Arial"/>
          <w:color w:val="1A1A1A"/>
          <w:spacing w:val="-2"/>
          <w:sz w:val="21"/>
        </w:rPr>
        <w:t>(BCI)</w:t>
      </w:r>
    </w:p>
    <w:p w14:paraId="51DE78BB" w14:textId="77777777" w:rsidR="0010369C" w:rsidRDefault="0010369C">
      <w:pPr>
        <w:pStyle w:val="BodyText"/>
        <w:rPr>
          <w:rFonts w:ascii="Arial"/>
        </w:rPr>
      </w:pPr>
    </w:p>
    <w:p w14:paraId="51DE78BC" w14:textId="77777777" w:rsidR="0010369C" w:rsidRDefault="0010369C">
      <w:pPr>
        <w:pStyle w:val="BodyText"/>
        <w:spacing w:before="5"/>
        <w:rPr>
          <w:rFonts w:ascii="Arial"/>
          <w:sz w:val="28"/>
        </w:rPr>
      </w:pPr>
    </w:p>
    <w:p w14:paraId="51DE78BD" w14:textId="77777777" w:rsidR="0010369C" w:rsidRDefault="008E43AE">
      <w:pPr>
        <w:spacing w:line="288" w:lineRule="auto"/>
        <w:ind w:left="352" w:firstLine="3"/>
        <w:rPr>
          <w:rFonts w:ascii="Arial"/>
          <w:sz w:val="21"/>
        </w:rPr>
      </w:pPr>
      <w:r>
        <w:rPr>
          <w:rFonts w:ascii="Arial"/>
          <w:color w:val="1A1A1A"/>
          <w:spacing w:val="-4"/>
          <w:w w:val="95"/>
          <w:sz w:val="21"/>
        </w:rPr>
        <w:t xml:space="preserve">AUS-7 </w:t>
      </w:r>
      <w:r>
        <w:rPr>
          <w:rFonts w:ascii="Arial"/>
          <w:color w:val="1A1A1A"/>
          <w:spacing w:val="-2"/>
          <w:sz w:val="21"/>
        </w:rPr>
        <w:t>(BCI)</w:t>
      </w:r>
    </w:p>
    <w:p w14:paraId="51DE78BE" w14:textId="77777777" w:rsidR="0010369C" w:rsidRDefault="0010369C">
      <w:pPr>
        <w:pStyle w:val="BodyText"/>
        <w:rPr>
          <w:rFonts w:ascii="Arial"/>
        </w:rPr>
      </w:pPr>
    </w:p>
    <w:p w14:paraId="51DE78BF" w14:textId="77777777" w:rsidR="0010369C" w:rsidRDefault="0010369C">
      <w:pPr>
        <w:pStyle w:val="BodyText"/>
        <w:spacing w:before="5"/>
        <w:rPr>
          <w:rFonts w:ascii="Arial"/>
          <w:sz w:val="28"/>
        </w:rPr>
      </w:pPr>
    </w:p>
    <w:p w14:paraId="51DE78C0" w14:textId="77777777" w:rsidR="0010369C" w:rsidRDefault="008E43AE">
      <w:pPr>
        <w:spacing w:before="1" w:line="288" w:lineRule="auto"/>
        <w:ind w:left="352" w:firstLine="3"/>
        <w:rPr>
          <w:rFonts w:ascii="Arial"/>
          <w:sz w:val="21"/>
        </w:rPr>
      </w:pPr>
      <w:r>
        <w:rPr>
          <w:rFonts w:ascii="Arial"/>
          <w:color w:val="1A1A1A"/>
          <w:spacing w:val="-4"/>
          <w:w w:val="95"/>
          <w:sz w:val="21"/>
        </w:rPr>
        <w:t xml:space="preserve">AUS-8 </w:t>
      </w:r>
      <w:r>
        <w:rPr>
          <w:rFonts w:ascii="Arial"/>
          <w:color w:val="1A1A1A"/>
          <w:spacing w:val="-2"/>
          <w:sz w:val="21"/>
        </w:rPr>
        <w:t>(BCI)</w:t>
      </w:r>
    </w:p>
    <w:p w14:paraId="51DE78C1" w14:textId="77777777" w:rsidR="0010369C" w:rsidRDefault="0010369C">
      <w:pPr>
        <w:pStyle w:val="BodyText"/>
        <w:rPr>
          <w:rFonts w:ascii="Arial"/>
        </w:rPr>
      </w:pPr>
    </w:p>
    <w:p w14:paraId="51DE78C2" w14:textId="77777777" w:rsidR="0010369C" w:rsidRDefault="0010369C">
      <w:pPr>
        <w:pStyle w:val="BodyText"/>
        <w:spacing w:before="5"/>
        <w:rPr>
          <w:rFonts w:ascii="Arial"/>
          <w:sz w:val="28"/>
        </w:rPr>
      </w:pPr>
    </w:p>
    <w:p w14:paraId="51DE78C3" w14:textId="77777777" w:rsidR="0010369C" w:rsidRDefault="008E43AE">
      <w:pPr>
        <w:spacing w:line="300" w:lineRule="auto"/>
        <w:ind w:left="352" w:firstLine="3"/>
        <w:rPr>
          <w:rFonts w:ascii="Arial"/>
          <w:sz w:val="21"/>
        </w:rPr>
      </w:pPr>
      <w:r>
        <w:rPr>
          <w:rFonts w:ascii="Arial"/>
          <w:color w:val="1A1A1A"/>
          <w:spacing w:val="-4"/>
          <w:w w:val="95"/>
          <w:sz w:val="21"/>
        </w:rPr>
        <w:t xml:space="preserve">AUS-9 </w:t>
      </w:r>
      <w:r>
        <w:rPr>
          <w:rFonts w:ascii="Arial"/>
          <w:color w:val="1A1A1A"/>
          <w:spacing w:val="-2"/>
          <w:sz w:val="21"/>
        </w:rPr>
        <w:t>(BCI)</w:t>
      </w:r>
    </w:p>
    <w:p w14:paraId="51DE78C4" w14:textId="77777777" w:rsidR="0010369C" w:rsidRDefault="0010369C">
      <w:pPr>
        <w:pStyle w:val="BodyText"/>
        <w:rPr>
          <w:rFonts w:ascii="Arial"/>
        </w:rPr>
      </w:pPr>
    </w:p>
    <w:p w14:paraId="51DE78C5" w14:textId="77777777" w:rsidR="0010369C" w:rsidRDefault="0010369C">
      <w:pPr>
        <w:pStyle w:val="BodyText"/>
        <w:spacing w:before="2"/>
        <w:rPr>
          <w:rFonts w:ascii="Arial"/>
          <w:sz w:val="27"/>
        </w:rPr>
      </w:pPr>
    </w:p>
    <w:p w14:paraId="51DE78C6" w14:textId="77777777" w:rsidR="0010369C" w:rsidRDefault="008E43AE">
      <w:pPr>
        <w:spacing w:before="1" w:line="288" w:lineRule="auto"/>
        <w:ind w:left="352" w:firstLine="3"/>
        <w:rPr>
          <w:rFonts w:ascii="Arial"/>
          <w:sz w:val="21"/>
        </w:rPr>
      </w:pPr>
      <w:r>
        <w:rPr>
          <w:rFonts w:ascii="Arial"/>
          <w:color w:val="1A1A1A"/>
          <w:spacing w:val="-4"/>
          <w:sz w:val="21"/>
        </w:rPr>
        <w:t xml:space="preserve">AUS-10 </w:t>
      </w:r>
      <w:r>
        <w:rPr>
          <w:rFonts w:ascii="Arial"/>
          <w:color w:val="1A1A1A"/>
          <w:spacing w:val="-2"/>
          <w:sz w:val="21"/>
        </w:rPr>
        <w:t>(BCI)</w:t>
      </w:r>
    </w:p>
    <w:p w14:paraId="51DE78C7" w14:textId="77777777" w:rsidR="0010369C" w:rsidRDefault="008E43AE">
      <w:pPr>
        <w:tabs>
          <w:tab w:val="left" w:pos="6025"/>
        </w:tabs>
        <w:spacing w:before="94"/>
        <w:ind w:left="1924"/>
        <w:rPr>
          <w:rFonts w:ascii="Arial"/>
          <w:b/>
          <w:sz w:val="20"/>
        </w:rPr>
      </w:pPr>
      <w:r>
        <w:br w:type="column"/>
      </w:r>
      <w:r>
        <w:rPr>
          <w:rFonts w:ascii="Arial"/>
          <w:b/>
          <w:color w:val="080808"/>
          <w:sz w:val="20"/>
        </w:rPr>
        <w:t>Exhibit</w:t>
      </w:r>
      <w:r>
        <w:rPr>
          <w:rFonts w:ascii="Arial"/>
          <w:b/>
          <w:color w:val="080808"/>
          <w:spacing w:val="9"/>
          <w:w w:val="105"/>
          <w:sz w:val="20"/>
        </w:rPr>
        <w:t xml:space="preserve"> </w:t>
      </w:r>
      <w:r>
        <w:rPr>
          <w:rFonts w:ascii="Arial"/>
          <w:b/>
          <w:color w:val="080808"/>
          <w:spacing w:val="-4"/>
          <w:w w:val="105"/>
          <w:sz w:val="20"/>
        </w:rPr>
        <w:t>Name</w:t>
      </w:r>
      <w:r>
        <w:rPr>
          <w:rFonts w:ascii="Arial"/>
          <w:b/>
          <w:color w:val="080808"/>
          <w:sz w:val="20"/>
        </w:rPr>
        <w:tab/>
      </w:r>
      <w:r>
        <w:rPr>
          <w:rFonts w:ascii="Arial"/>
          <w:b/>
          <w:color w:val="080808"/>
          <w:spacing w:val="-2"/>
          <w:w w:val="105"/>
          <w:sz w:val="20"/>
        </w:rPr>
        <w:t>Short</w:t>
      </w:r>
      <w:r>
        <w:rPr>
          <w:rFonts w:ascii="Arial"/>
          <w:b/>
          <w:color w:val="080808"/>
          <w:spacing w:val="-8"/>
          <w:w w:val="105"/>
          <w:sz w:val="20"/>
        </w:rPr>
        <w:t xml:space="preserve"> </w:t>
      </w:r>
      <w:r>
        <w:rPr>
          <w:rFonts w:ascii="Arial"/>
          <w:b/>
          <w:color w:val="080808"/>
          <w:spacing w:val="-2"/>
          <w:sz w:val="20"/>
        </w:rPr>
        <w:t>Title</w:t>
      </w:r>
    </w:p>
    <w:p w14:paraId="51DE78C8" w14:textId="77777777" w:rsidR="0010369C" w:rsidRDefault="0010369C">
      <w:pPr>
        <w:pStyle w:val="BodyText"/>
        <w:spacing w:before="6"/>
        <w:rPr>
          <w:rFonts w:ascii="Arial"/>
          <w:b/>
          <w:sz w:val="30"/>
        </w:rPr>
      </w:pPr>
    </w:p>
    <w:p w14:paraId="51DE78C9" w14:textId="77777777" w:rsidR="0010369C" w:rsidRDefault="008E43AE">
      <w:pPr>
        <w:tabs>
          <w:tab w:val="left" w:pos="5093"/>
        </w:tabs>
        <w:spacing w:before="1" w:line="288" w:lineRule="auto"/>
        <w:ind w:left="310" w:right="1295" w:hanging="3"/>
        <w:rPr>
          <w:rFonts w:ascii="Arial"/>
          <w:sz w:val="21"/>
        </w:rPr>
      </w:pPr>
      <w:r>
        <w:rPr>
          <w:rFonts w:ascii="Arial"/>
          <w:color w:val="080808"/>
          <w:w w:val="105"/>
          <w:sz w:val="21"/>
        </w:rPr>
        <w:t xml:space="preserve">MOFCOM, </w:t>
      </w:r>
      <w:r>
        <w:rPr>
          <w:rFonts w:ascii="Arial"/>
          <w:color w:val="1A1A1A"/>
          <w:w w:val="105"/>
          <w:sz w:val="21"/>
        </w:rPr>
        <w:t xml:space="preserve">"Announcement </w:t>
      </w:r>
      <w:r>
        <w:rPr>
          <w:rFonts w:ascii="Arial"/>
          <w:color w:val="080808"/>
          <w:w w:val="105"/>
          <w:sz w:val="21"/>
        </w:rPr>
        <w:t xml:space="preserve">No. 6 </w:t>
      </w:r>
      <w:r>
        <w:rPr>
          <w:rFonts w:ascii="Arial"/>
          <w:color w:val="1A1A1A"/>
          <w:w w:val="105"/>
          <w:sz w:val="21"/>
        </w:rPr>
        <w:t xml:space="preserve">of </w:t>
      </w:r>
      <w:r>
        <w:rPr>
          <w:rFonts w:ascii="Arial"/>
          <w:color w:val="080808"/>
          <w:w w:val="105"/>
          <w:sz w:val="21"/>
        </w:rPr>
        <w:t>2021</w:t>
      </w:r>
      <w:r>
        <w:rPr>
          <w:rFonts w:ascii="Arial"/>
          <w:color w:val="1A1A1A"/>
          <w:w w:val="105"/>
          <w:sz w:val="21"/>
        </w:rPr>
        <w:t>of</w:t>
      </w:r>
      <w:r>
        <w:rPr>
          <w:rFonts w:ascii="Arial"/>
          <w:color w:val="1A1A1A"/>
          <w:sz w:val="21"/>
        </w:rPr>
        <w:tab/>
      </w:r>
      <w:r>
        <w:rPr>
          <w:rFonts w:ascii="Arial"/>
          <w:color w:val="1A1A1A"/>
          <w:spacing w:val="-52"/>
          <w:sz w:val="21"/>
        </w:rPr>
        <w:t xml:space="preserve"> </w:t>
      </w:r>
      <w:r>
        <w:rPr>
          <w:rFonts w:ascii="Arial"/>
          <w:color w:val="1A1A1A"/>
          <w:w w:val="105"/>
          <w:sz w:val="21"/>
        </w:rPr>
        <w:t>Anti-Dumping</w:t>
      </w:r>
      <w:r>
        <w:rPr>
          <w:rFonts w:ascii="Arial"/>
          <w:color w:val="1A1A1A"/>
          <w:spacing w:val="-16"/>
          <w:w w:val="105"/>
          <w:sz w:val="21"/>
        </w:rPr>
        <w:t xml:space="preserve"> </w:t>
      </w:r>
      <w:r>
        <w:rPr>
          <w:rFonts w:ascii="Arial"/>
          <w:color w:val="080808"/>
          <w:w w:val="105"/>
          <w:sz w:val="21"/>
        </w:rPr>
        <w:t xml:space="preserve">Final the Ministry </w:t>
      </w:r>
      <w:r>
        <w:rPr>
          <w:rFonts w:ascii="Arial"/>
          <w:color w:val="1A1A1A"/>
          <w:w w:val="105"/>
          <w:sz w:val="21"/>
        </w:rPr>
        <w:t xml:space="preserve">of Commerce on </w:t>
      </w:r>
      <w:r>
        <w:rPr>
          <w:rFonts w:ascii="Arial"/>
          <w:color w:val="080808"/>
          <w:w w:val="105"/>
          <w:sz w:val="21"/>
        </w:rPr>
        <w:t>the Final Ruling</w:t>
      </w:r>
      <w:r>
        <w:rPr>
          <w:rFonts w:ascii="Arial"/>
          <w:color w:val="080808"/>
          <w:sz w:val="21"/>
        </w:rPr>
        <w:tab/>
      </w:r>
      <w:r>
        <w:rPr>
          <w:rFonts w:ascii="Arial"/>
          <w:color w:val="080808"/>
          <w:spacing w:val="-2"/>
          <w:w w:val="105"/>
          <w:sz w:val="21"/>
        </w:rPr>
        <w:t>Determination</w:t>
      </w:r>
    </w:p>
    <w:p w14:paraId="51DE78CA" w14:textId="77777777" w:rsidR="0010369C" w:rsidRDefault="008E43AE">
      <w:pPr>
        <w:tabs>
          <w:tab w:val="left" w:pos="5100"/>
        </w:tabs>
        <w:spacing w:before="2" w:line="288" w:lineRule="auto"/>
        <w:ind w:left="307" w:right="1691" w:firstLine="9"/>
        <w:rPr>
          <w:rFonts w:ascii="Arial"/>
          <w:sz w:val="21"/>
        </w:rPr>
      </w:pPr>
      <w:r>
        <w:rPr>
          <w:rFonts w:ascii="Arial"/>
          <w:color w:val="1A1A1A"/>
          <w:w w:val="105"/>
          <w:position w:val="1"/>
          <w:sz w:val="21"/>
        </w:rPr>
        <w:t xml:space="preserve">on </w:t>
      </w:r>
      <w:r>
        <w:rPr>
          <w:rFonts w:ascii="Arial"/>
          <w:color w:val="080808"/>
          <w:w w:val="105"/>
          <w:position w:val="1"/>
          <w:sz w:val="21"/>
        </w:rPr>
        <w:t xml:space="preserve">the </w:t>
      </w:r>
      <w:r>
        <w:rPr>
          <w:rFonts w:ascii="Arial"/>
          <w:color w:val="1A1A1A"/>
          <w:w w:val="105"/>
          <w:position w:val="1"/>
          <w:sz w:val="21"/>
        </w:rPr>
        <w:t xml:space="preserve">Anti-dumping </w:t>
      </w:r>
      <w:r>
        <w:rPr>
          <w:rFonts w:ascii="Arial"/>
          <w:color w:val="080808"/>
          <w:w w:val="105"/>
          <w:position w:val="1"/>
          <w:sz w:val="21"/>
        </w:rPr>
        <w:t>Investigation into</w:t>
      </w:r>
      <w:r>
        <w:rPr>
          <w:rFonts w:ascii="Arial"/>
          <w:color w:val="080808"/>
          <w:position w:val="1"/>
          <w:sz w:val="21"/>
        </w:rPr>
        <w:tab/>
      </w:r>
      <w:r>
        <w:rPr>
          <w:rFonts w:ascii="Arial"/>
          <w:color w:val="1A1A1A"/>
          <w:spacing w:val="-2"/>
          <w:w w:val="105"/>
          <w:sz w:val="21"/>
        </w:rPr>
        <w:t xml:space="preserve">Announcement </w:t>
      </w:r>
      <w:r>
        <w:rPr>
          <w:rFonts w:ascii="Arial"/>
          <w:color w:val="080808"/>
          <w:w w:val="105"/>
          <w:sz w:val="21"/>
        </w:rPr>
        <w:t xml:space="preserve">Relevant Imported </w:t>
      </w:r>
      <w:r>
        <w:rPr>
          <w:rFonts w:ascii="Arial"/>
          <w:color w:val="1A1A1A"/>
          <w:w w:val="105"/>
          <w:sz w:val="21"/>
        </w:rPr>
        <w:t xml:space="preserve">Wines Originating </w:t>
      </w:r>
      <w:r>
        <w:rPr>
          <w:rFonts w:ascii="Arial"/>
          <w:color w:val="080808"/>
          <w:w w:val="105"/>
          <w:sz w:val="21"/>
        </w:rPr>
        <w:t>in</w:t>
      </w:r>
    </w:p>
    <w:p w14:paraId="51DE78CB" w14:textId="77777777" w:rsidR="0010369C" w:rsidRDefault="008E43AE">
      <w:pPr>
        <w:spacing w:before="1" w:line="288" w:lineRule="auto"/>
        <w:ind w:left="309" w:right="3507" w:firstLine="5"/>
        <w:rPr>
          <w:rFonts w:ascii="Arial"/>
          <w:sz w:val="21"/>
        </w:rPr>
      </w:pPr>
      <w:r>
        <w:rPr>
          <w:rFonts w:ascii="Arial"/>
          <w:color w:val="1A1A1A"/>
          <w:w w:val="105"/>
          <w:sz w:val="21"/>
        </w:rPr>
        <w:t xml:space="preserve">Australia", </w:t>
      </w:r>
      <w:r>
        <w:rPr>
          <w:rFonts w:ascii="Arial"/>
          <w:color w:val="080808"/>
          <w:w w:val="105"/>
          <w:sz w:val="21"/>
        </w:rPr>
        <w:t>26</w:t>
      </w:r>
      <w:r>
        <w:rPr>
          <w:rFonts w:ascii="Arial"/>
          <w:color w:val="080808"/>
          <w:spacing w:val="-8"/>
          <w:w w:val="105"/>
          <w:sz w:val="21"/>
        </w:rPr>
        <w:t xml:space="preserve"> </w:t>
      </w:r>
      <w:r>
        <w:rPr>
          <w:rFonts w:ascii="Arial"/>
          <w:color w:val="080808"/>
          <w:w w:val="105"/>
          <w:sz w:val="21"/>
        </w:rPr>
        <w:t>March 2021</w:t>
      </w:r>
      <w:r>
        <w:rPr>
          <w:rFonts w:ascii="Arial"/>
          <w:color w:val="1A1A1A"/>
          <w:w w:val="105"/>
          <w:sz w:val="21"/>
        </w:rPr>
        <w:t xml:space="preserve">(English </w:t>
      </w:r>
      <w:r>
        <w:rPr>
          <w:rFonts w:ascii="Arial"/>
          <w:color w:val="080808"/>
          <w:w w:val="105"/>
          <w:sz w:val="21"/>
        </w:rPr>
        <w:t xml:space="preserve">Translation) </w:t>
      </w:r>
      <w:r>
        <w:rPr>
          <w:rFonts w:ascii="Arial"/>
          <w:color w:val="1A1A1A"/>
          <w:w w:val="105"/>
          <w:sz w:val="21"/>
        </w:rPr>
        <w:t xml:space="preserve">(pages </w:t>
      </w:r>
      <w:r>
        <w:rPr>
          <w:rFonts w:ascii="Arial"/>
          <w:color w:val="080808"/>
          <w:w w:val="105"/>
          <w:sz w:val="21"/>
        </w:rPr>
        <w:t>renumbered)</w:t>
      </w:r>
    </w:p>
    <w:p w14:paraId="51DE78CC" w14:textId="77777777" w:rsidR="0010369C" w:rsidRDefault="008E43AE">
      <w:pPr>
        <w:tabs>
          <w:tab w:val="left" w:pos="5093"/>
        </w:tabs>
        <w:spacing w:before="22" w:line="288" w:lineRule="auto"/>
        <w:ind w:left="313" w:right="1295" w:hanging="6"/>
        <w:rPr>
          <w:rFonts w:ascii="Arial"/>
          <w:sz w:val="21"/>
        </w:rPr>
      </w:pPr>
      <w:r>
        <w:rPr>
          <w:rFonts w:ascii="Arial"/>
          <w:color w:val="080808"/>
          <w:w w:val="105"/>
          <w:sz w:val="21"/>
        </w:rPr>
        <w:t xml:space="preserve">MOFCOM, </w:t>
      </w:r>
      <w:r>
        <w:rPr>
          <w:rFonts w:ascii="Arial"/>
          <w:color w:val="1A1A1A"/>
          <w:w w:val="105"/>
          <w:sz w:val="21"/>
        </w:rPr>
        <w:t xml:space="preserve">"Final </w:t>
      </w:r>
      <w:r>
        <w:rPr>
          <w:rFonts w:ascii="Arial"/>
          <w:color w:val="080808"/>
          <w:w w:val="105"/>
          <w:sz w:val="21"/>
        </w:rPr>
        <w:t xml:space="preserve">Ruling </w:t>
      </w:r>
      <w:r>
        <w:rPr>
          <w:rFonts w:ascii="Arial"/>
          <w:color w:val="1A1A1A"/>
          <w:w w:val="105"/>
          <w:sz w:val="21"/>
        </w:rPr>
        <w:t xml:space="preserve">of </w:t>
      </w:r>
      <w:r>
        <w:rPr>
          <w:rFonts w:ascii="Arial"/>
          <w:color w:val="080808"/>
          <w:w w:val="105"/>
          <w:sz w:val="21"/>
        </w:rPr>
        <w:t>the</w:t>
      </w:r>
      <w:r>
        <w:rPr>
          <w:rFonts w:ascii="Arial"/>
          <w:color w:val="080808"/>
          <w:spacing w:val="40"/>
          <w:w w:val="105"/>
          <w:sz w:val="21"/>
        </w:rPr>
        <w:t xml:space="preserve"> </w:t>
      </w:r>
      <w:r>
        <w:rPr>
          <w:rFonts w:ascii="Arial"/>
          <w:color w:val="080808"/>
          <w:w w:val="105"/>
          <w:sz w:val="21"/>
        </w:rPr>
        <w:t xml:space="preserve">Ministry </w:t>
      </w:r>
      <w:r>
        <w:rPr>
          <w:rFonts w:ascii="Arial"/>
          <w:color w:val="1A1A1A"/>
          <w:w w:val="105"/>
          <w:sz w:val="21"/>
        </w:rPr>
        <w:t>of</w:t>
      </w:r>
      <w:r>
        <w:rPr>
          <w:rFonts w:ascii="Arial"/>
          <w:color w:val="1A1A1A"/>
          <w:sz w:val="21"/>
        </w:rPr>
        <w:tab/>
      </w:r>
      <w:r>
        <w:rPr>
          <w:rFonts w:ascii="Arial"/>
          <w:color w:val="1A1A1A"/>
          <w:spacing w:val="-52"/>
          <w:sz w:val="21"/>
        </w:rPr>
        <w:t xml:space="preserve"> </w:t>
      </w:r>
      <w:r>
        <w:rPr>
          <w:rFonts w:ascii="Arial"/>
          <w:color w:val="1A1A1A"/>
          <w:w w:val="105"/>
          <w:sz w:val="21"/>
        </w:rPr>
        <w:t>Anti-Dumping</w:t>
      </w:r>
      <w:r>
        <w:rPr>
          <w:rFonts w:ascii="Arial"/>
          <w:color w:val="1A1A1A"/>
          <w:spacing w:val="-16"/>
          <w:w w:val="105"/>
          <w:sz w:val="21"/>
        </w:rPr>
        <w:t xml:space="preserve"> </w:t>
      </w:r>
      <w:r>
        <w:rPr>
          <w:rFonts w:ascii="Arial"/>
          <w:color w:val="080808"/>
          <w:w w:val="105"/>
          <w:sz w:val="21"/>
        </w:rPr>
        <w:t xml:space="preserve">Final </w:t>
      </w:r>
      <w:r>
        <w:rPr>
          <w:rFonts w:ascii="Arial"/>
          <w:color w:val="1A1A1A"/>
          <w:w w:val="105"/>
          <w:sz w:val="21"/>
        </w:rPr>
        <w:t xml:space="preserve">Commerce of </w:t>
      </w:r>
      <w:r>
        <w:rPr>
          <w:rFonts w:ascii="Arial"/>
          <w:color w:val="080808"/>
          <w:w w:val="105"/>
          <w:sz w:val="21"/>
        </w:rPr>
        <w:t>the</w:t>
      </w:r>
      <w:r>
        <w:rPr>
          <w:rFonts w:ascii="Arial"/>
          <w:color w:val="080808"/>
          <w:spacing w:val="40"/>
          <w:w w:val="105"/>
          <w:sz w:val="21"/>
        </w:rPr>
        <w:t xml:space="preserve"> </w:t>
      </w:r>
      <w:r>
        <w:rPr>
          <w:rFonts w:ascii="Arial"/>
          <w:color w:val="1A1A1A"/>
          <w:w w:val="105"/>
          <w:sz w:val="21"/>
        </w:rPr>
        <w:t xml:space="preserve">Peoples </w:t>
      </w:r>
      <w:r>
        <w:rPr>
          <w:rFonts w:ascii="Arial"/>
          <w:color w:val="080808"/>
          <w:w w:val="105"/>
          <w:sz w:val="21"/>
        </w:rPr>
        <w:t xml:space="preserve">Republic </w:t>
      </w:r>
      <w:r>
        <w:rPr>
          <w:rFonts w:ascii="Arial"/>
          <w:color w:val="1A1A1A"/>
          <w:w w:val="105"/>
          <w:sz w:val="21"/>
        </w:rPr>
        <w:t>of China</w:t>
      </w:r>
      <w:r>
        <w:rPr>
          <w:rFonts w:ascii="Arial"/>
          <w:color w:val="1A1A1A"/>
          <w:sz w:val="21"/>
        </w:rPr>
        <w:tab/>
      </w:r>
      <w:r>
        <w:rPr>
          <w:rFonts w:ascii="Arial"/>
          <w:color w:val="080808"/>
          <w:spacing w:val="-2"/>
          <w:w w:val="105"/>
          <w:position w:val="1"/>
          <w:sz w:val="21"/>
        </w:rPr>
        <w:t>Determination</w:t>
      </w:r>
    </w:p>
    <w:p w14:paraId="51DE78CD" w14:textId="77777777" w:rsidR="0010369C" w:rsidRDefault="008E43AE">
      <w:pPr>
        <w:spacing w:line="292" w:lineRule="auto"/>
        <w:ind w:left="304" w:right="3621" w:firstLine="12"/>
        <w:jc w:val="both"/>
        <w:rPr>
          <w:rFonts w:ascii="Arial"/>
          <w:sz w:val="21"/>
        </w:rPr>
      </w:pPr>
      <w:r>
        <w:rPr>
          <w:rFonts w:ascii="Arial"/>
          <w:color w:val="1A1A1A"/>
          <w:w w:val="105"/>
          <w:sz w:val="21"/>
        </w:rPr>
        <w:t>on</w:t>
      </w:r>
      <w:r>
        <w:rPr>
          <w:rFonts w:ascii="Arial"/>
          <w:color w:val="1A1A1A"/>
          <w:spacing w:val="-1"/>
          <w:w w:val="105"/>
          <w:sz w:val="21"/>
        </w:rPr>
        <w:t xml:space="preserve"> </w:t>
      </w:r>
      <w:r>
        <w:rPr>
          <w:rFonts w:ascii="Arial"/>
          <w:color w:val="1A1A1A"/>
          <w:w w:val="105"/>
          <w:sz w:val="21"/>
        </w:rPr>
        <w:t xml:space="preserve">Anti-Dumping </w:t>
      </w:r>
      <w:r>
        <w:rPr>
          <w:rFonts w:ascii="Arial"/>
          <w:color w:val="080808"/>
          <w:w w:val="105"/>
          <w:sz w:val="21"/>
        </w:rPr>
        <w:t>Investigation into</w:t>
      </w:r>
      <w:r>
        <w:rPr>
          <w:rFonts w:ascii="Arial"/>
          <w:color w:val="080808"/>
          <w:spacing w:val="-16"/>
          <w:w w:val="105"/>
          <w:sz w:val="21"/>
        </w:rPr>
        <w:t xml:space="preserve"> </w:t>
      </w:r>
      <w:r>
        <w:rPr>
          <w:rFonts w:ascii="Arial"/>
          <w:color w:val="080808"/>
          <w:w w:val="105"/>
          <w:sz w:val="21"/>
        </w:rPr>
        <w:t xml:space="preserve">Relevant Imported </w:t>
      </w:r>
      <w:r>
        <w:rPr>
          <w:rFonts w:ascii="Arial"/>
          <w:color w:val="1A1A1A"/>
          <w:w w:val="105"/>
          <w:sz w:val="21"/>
        </w:rPr>
        <w:t xml:space="preserve">Wines Originating </w:t>
      </w:r>
      <w:r>
        <w:rPr>
          <w:rFonts w:ascii="Arial"/>
          <w:color w:val="080808"/>
          <w:w w:val="105"/>
          <w:sz w:val="21"/>
        </w:rPr>
        <w:t xml:space="preserve">in </w:t>
      </w:r>
      <w:r>
        <w:rPr>
          <w:rFonts w:ascii="Arial"/>
          <w:color w:val="1A1A1A"/>
          <w:w w:val="105"/>
          <w:sz w:val="21"/>
        </w:rPr>
        <w:t xml:space="preserve">Australia", </w:t>
      </w:r>
      <w:r>
        <w:rPr>
          <w:rFonts w:ascii="Arial"/>
          <w:color w:val="080808"/>
          <w:w w:val="105"/>
          <w:sz w:val="21"/>
        </w:rPr>
        <w:t>26 March 2021</w:t>
      </w:r>
      <w:r>
        <w:rPr>
          <w:rFonts w:ascii="Arial"/>
          <w:color w:val="080808"/>
          <w:spacing w:val="-22"/>
          <w:w w:val="105"/>
          <w:sz w:val="21"/>
        </w:rPr>
        <w:t xml:space="preserve"> </w:t>
      </w:r>
      <w:r>
        <w:rPr>
          <w:rFonts w:ascii="Arial"/>
          <w:color w:val="282828"/>
          <w:w w:val="105"/>
          <w:sz w:val="21"/>
        </w:rPr>
        <w:t xml:space="preserve">(English </w:t>
      </w:r>
      <w:r>
        <w:rPr>
          <w:rFonts w:ascii="Arial"/>
          <w:color w:val="080808"/>
          <w:w w:val="105"/>
          <w:sz w:val="21"/>
        </w:rPr>
        <w:t>Translation)</w:t>
      </w:r>
    </w:p>
    <w:p w14:paraId="51DE78CE" w14:textId="77777777" w:rsidR="0010369C" w:rsidRDefault="008E43AE">
      <w:pPr>
        <w:tabs>
          <w:tab w:val="left" w:pos="5100"/>
        </w:tabs>
        <w:spacing w:line="292" w:lineRule="auto"/>
        <w:ind w:left="316" w:right="1801" w:hanging="9"/>
        <w:jc w:val="both"/>
        <w:rPr>
          <w:rFonts w:ascii="Arial"/>
          <w:sz w:val="21"/>
        </w:rPr>
      </w:pPr>
      <w:r>
        <w:rPr>
          <w:rFonts w:ascii="Arial"/>
          <w:color w:val="080808"/>
          <w:w w:val="105"/>
          <w:sz w:val="21"/>
        </w:rPr>
        <w:t>MOFCOM,</w:t>
      </w:r>
      <w:r>
        <w:rPr>
          <w:rFonts w:ascii="Arial"/>
          <w:color w:val="080808"/>
          <w:spacing w:val="-10"/>
          <w:w w:val="105"/>
          <w:sz w:val="21"/>
        </w:rPr>
        <w:t xml:space="preserve"> </w:t>
      </w:r>
      <w:r>
        <w:rPr>
          <w:rFonts w:ascii="Arial"/>
          <w:color w:val="1A1A1A"/>
          <w:w w:val="105"/>
          <w:sz w:val="21"/>
        </w:rPr>
        <w:t xml:space="preserve">"Anti-Dumping </w:t>
      </w:r>
      <w:r>
        <w:rPr>
          <w:rFonts w:ascii="Arial"/>
          <w:color w:val="080808"/>
          <w:w w:val="105"/>
          <w:sz w:val="21"/>
        </w:rPr>
        <w:t>Foreign</w:t>
      </w:r>
      <w:r>
        <w:rPr>
          <w:rFonts w:ascii="Arial"/>
          <w:color w:val="080808"/>
          <w:spacing w:val="-5"/>
          <w:w w:val="105"/>
          <w:sz w:val="21"/>
        </w:rPr>
        <w:t xml:space="preserve"> </w:t>
      </w:r>
      <w:r>
        <w:rPr>
          <w:rFonts w:ascii="Arial"/>
          <w:color w:val="080808"/>
          <w:w w:val="105"/>
          <w:sz w:val="21"/>
        </w:rPr>
        <w:t>Exporter</w:t>
      </w:r>
      <w:r>
        <w:rPr>
          <w:rFonts w:ascii="Arial"/>
          <w:color w:val="080808"/>
          <w:spacing w:val="80"/>
          <w:w w:val="105"/>
          <w:sz w:val="21"/>
        </w:rPr>
        <w:t xml:space="preserve">  </w:t>
      </w:r>
      <w:r>
        <w:rPr>
          <w:rFonts w:ascii="Arial"/>
          <w:color w:val="1A1A1A"/>
          <w:w w:val="105"/>
          <w:sz w:val="21"/>
        </w:rPr>
        <w:t xml:space="preserve">Anti-Dumping </w:t>
      </w:r>
      <w:r>
        <w:rPr>
          <w:rFonts w:ascii="Arial"/>
          <w:color w:val="080808"/>
          <w:w w:val="105"/>
          <w:sz w:val="21"/>
        </w:rPr>
        <w:t xml:space="preserve">and Producer </w:t>
      </w:r>
      <w:r>
        <w:rPr>
          <w:rFonts w:ascii="Arial"/>
          <w:color w:val="1A1A1A"/>
          <w:w w:val="105"/>
          <w:sz w:val="21"/>
        </w:rPr>
        <w:t xml:space="preserve">Questionnaire", </w:t>
      </w:r>
      <w:r>
        <w:rPr>
          <w:rFonts w:ascii="Arial"/>
          <w:color w:val="080808"/>
          <w:w w:val="105"/>
          <w:sz w:val="21"/>
        </w:rPr>
        <w:t xml:space="preserve">10 </w:t>
      </w:r>
      <w:r>
        <w:rPr>
          <w:rFonts w:ascii="Arial"/>
          <w:color w:val="1A1A1A"/>
          <w:w w:val="105"/>
          <w:sz w:val="21"/>
        </w:rPr>
        <w:t>October</w:t>
      </w:r>
      <w:r>
        <w:rPr>
          <w:rFonts w:ascii="Arial"/>
          <w:color w:val="1A1A1A"/>
          <w:sz w:val="21"/>
        </w:rPr>
        <w:tab/>
      </w:r>
      <w:r>
        <w:rPr>
          <w:rFonts w:ascii="Arial"/>
          <w:color w:val="1A1A1A"/>
          <w:spacing w:val="-2"/>
          <w:w w:val="105"/>
          <w:sz w:val="21"/>
        </w:rPr>
        <w:t xml:space="preserve">Questionnaire </w:t>
      </w:r>
      <w:r>
        <w:rPr>
          <w:rFonts w:ascii="Arial"/>
          <w:color w:val="1A1A1A"/>
          <w:w w:val="105"/>
          <w:sz w:val="21"/>
        </w:rPr>
        <w:t xml:space="preserve">2020 (English </w:t>
      </w:r>
      <w:r>
        <w:rPr>
          <w:rFonts w:ascii="Arial"/>
          <w:color w:val="080808"/>
          <w:w w:val="105"/>
          <w:sz w:val="21"/>
        </w:rPr>
        <w:t>Translation)</w:t>
      </w:r>
    </w:p>
    <w:p w14:paraId="51DE78CF" w14:textId="77777777" w:rsidR="0010369C" w:rsidRDefault="0010369C">
      <w:pPr>
        <w:spacing w:line="292" w:lineRule="auto"/>
        <w:jc w:val="both"/>
        <w:rPr>
          <w:rFonts w:ascii="Arial"/>
          <w:sz w:val="21"/>
        </w:rPr>
        <w:sectPr w:rsidR="0010369C">
          <w:type w:val="continuous"/>
          <w:pgSz w:w="11910" w:h="16840"/>
          <w:pgMar w:top="1460" w:right="1220" w:bottom="280" w:left="1180" w:header="0" w:footer="826" w:gutter="0"/>
          <w:cols w:num="2" w:space="720" w:equalWidth="0">
            <w:col w:w="1186" w:space="40"/>
            <w:col w:w="8284"/>
          </w:cols>
        </w:sectPr>
      </w:pPr>
    </w:p>
    <w:p w14:paraId="51DE78D0" w14:textId="77777777" w:rsidR="0010369C" w:rsidRDefault="008E43AE">
      <w:pPr>
        <w:tabs>
          <w:tab w:val="left" w:pos="6426"/>
        </w:tabs>
        <w:ind w:left="238"/>
        <w:rPr>
          <w:sz w:val="20"/>
        </w:rPr>
      </w:pPr>
      <w:r>
        <w:rPr>
          <w:i/>
          <w:sz w:val="20"/>
        </w:rPr>
        <w:lastRenderedPageBreak/>
        <w:t>China</w:t>
      </w:r>
      <w:r>
        <w:rPr>
          <w:i/>
          <w:spacing w:val="-5"/>
          <w:sz w:val="20"/>
        </w:rPr>
        <w:t xml:space="preserve"> </w:t>
      </w:r>
      <w:r>
        <w:rPr>
          <w:i/>
          <w:sz w:val="20"/>
        </w:rPr>
        <w:t>–</w:t>
      </w:r>
      <w:r>
        <w:rPr>
          <w:i/>
          <w:spacing w:val="-5"/>
          <w:sz w:val="20"/>
        </w:rPr>
        <w:t xml:space="preserve"> </w:t>
      </w:r>
      <w:r>
        <w:rPr>
          <w:i/>
          <w:sz w:val="20"/>
        </w:rPr>
        <w:t>Anti‐Dumping</w:t>
      </w:r>
      <w:r>
        <w:rPr>
          <w:i/>
          <w:spacing w:val="-4"/>
          <w:sz w:val="20"/>
        </w:rPr>
        <w:t xml:space="preserve"> </w:t>
      </w:r>
      <w:r>
        <w:rPr>
          <w:i/>
          <w:sz w:val="20"/>
        </w:rPr>
        <w:t>and</w:t>
      </w:r>
      <w:r>
        <w:rPr>
          <w:i/>
          <w:spacing w:val="-5"/>
          <w:sz w:val="20"/>
        </w:rPr>
        <w:t xml:space="preserve"> </w:t>
      </w:r>
      <w:r>
        <w:rPr>
          <w:i/>
          <w:sz w:val="20"/>
        </w:rPr>
        <w:t>Countervailing</w:t>
      </w:r>
      <w:r>
        <w:rPr>
          <w:i/>
          <w:spacing w:val="-5"/>
          <w:sz w:val="20"/>
        </w:rPr>
        <w:t xml:space="preserve"> </w:t>
      </w:r>
      <w:r>
        <w:rPr>
          <w:i/>
          <w:sz w:val="20"/>
        </w:rPr>
        <w:t>Duty</w:t>
      </w:r>
      <w:r>
        <w:rPr>
          <w:i/>
          <w:spacing w:val="-4"/>
          <w:sz w:val="20"/>
        </w:rPr>
        <w:t xml:space="preserve"> </w:t>
      </w:r>
      <w:r>
        <w:rPr>
          <w:i/>
          <w:spacing w:val="-2"/>
          <w:sz w:val="20"/>
        </w:rPr>
        <w:t>Measures</w:t>
      </w:r>
      <w:r>
        <w:rPr>
          <w:i/>
          <w:sz w:val="20"/>
        </w:rPr>
        <w:tab/>
      </w:r>
      <w:r>
        <w:rPr>
          <w:sz w:val="20"/>
        </w:rPr>
        <w:t>Australia's</w:t>
      </w:r>
      <w:r>
        <w:rPr>
          <w:spacing w:val="-6"/>
          <w:sz w:val="20"/>
        </w:rPr>
        <w:t xml:space="preserve"> </w:t>
      </w:r>
      <w:r>
        <w:rPr>
          <w:sz w:val="20"/>
        </w:rPr>
        <w:t>First</w:t>
      </w:r>
      <w:r>
        <w:rPr>
          <w:spacing w:val="-2"/>
          <w:sz w:val="20"/>
        </w:rPr>
        <w:t xml:space="preserve"> </w:t>
      </w:r>
      <w:r>
        <w:rPr>
          <w:sz w:val="20"/>
        </w:rPr>
        <w:t>Written</w:t>
      </w:r>
      <w:r>
        <w:rPr>
          <w:spacing w:val="-2"/>
          <w:sz w:val="20"/>
        </w:rPr>
        <w:t xml:space="preserve"> Submission</w:t>
      </w:r>
    </w:p>
    <w:p w14:paraId="51DE78D1" w14:textId="77777777" w:rsidR="0010369C" w:rsidRDefault="008E43AE">
      <w:pPr>
        <w:tabs>
          <w:tab w:val="left" w:pos="8228"/>
        </w:tabs>
        <w:spacing w:before="1"/>
        <w:ind w:left="239"/>
        <w:rPr>
          <w:sz w:val="20"/>
        </w:rPr>
      </w:pPr>
      <w:r>
        <w:rPr>
          <w:i/>
          <w:sz w:val="20"/>
        </w:rPr>
        <w:t>on</w:t>
      </w:r>
      <w:r>
        <w:rPr>
          <w:i/>
          <w:spacing w:val="-1"/>
          <w:sz w:val="20"/>
        </w:rPr>
        <w:t xml:space="preserve"> </w:t>
      </w:r>
      <w:r>
        <w:rPr>
          <w:i/>
          <w:sz w:val="20"/>
        </w:rPr>
        <w:t>Wine</w:t>
      </w:r>
      <w:r>
        <w:rPr>
          <w:i/>
          <w:spacing w:val="-1"/>
          <w:sz w:val="20"/>
        </w:rPr>
        <w:t xml:space="preserve"> </w:t>
      </w:r>
      <w:r>
        <w:rPr>
          <w:i/>
          <w:sz w:val="20"/>
        </w:rPr>
        <w:t>from</w:t>
      </w:r>
      <w:r>
        <w:rPr>
          <w:i/>
          <w:spacing w:val="-3"/>
          <w:sz w:val="20"/>
        </w:rPr>
        <w:t xml:space="preserve"> </w:t>
      </w:r>
      <w:r>
        <w:rPr>
          <w:i/>
          <w:sz w:val="20"/>
        </w:rPr>
        <w:t>Australia</w:t>
      </w:r>
      <w:r>
        <w:rPr>
          <w:i/>
          <w:spacing w:val="-1"/>
          <w:sz w:val="20"/>
        </w:rPr>
        <w:t xml:space="preserve"> </w:t>
      </w:r>
      <w:r>
        <w:rPr>
          <w:spacing w:val="-2"/>
          <w:sz w:val="20"/>
        </w:rPr>
        <w:t>(DS602)</w:t>
      </w:r>
      <w:r>
        <w:rPr>
          <w:sz w:val="20"/>
        </w:rPr>
        <w:tab/>
        <w:t>29</w:t>
      </w:r>
      <w:r>
        <w:rPr>
          <w:spacing w:val="-1"/>
          <w:sz w:val="20"/>
        </w:rPr>
        <w:t xml:space="preserve"> </w:t>
      </w:r>
      <w:r>
        <w:rPr>
          <w:sz w:val="20"/>
        </w:rPr>
        <w:t>April</w:t>
      </w:r>
      <w:r>
        <w:rPr>
          <w:spacing w:val="-2"/>
          <w:sz w:val="20"/>
        </w:rPr>
        <w:t xml:space="preserve"> </w:t>
      </w:r>
      <w:r>
        <w:rPr>
          <w:spacing w:val="-4"/>
          <w:sz w:val="20"/>
        </w:rPr>
        <w:t>2022</w:t>
      </w:r>
    </w:p>
    <w:p w14:paraId="51DE78D2" w14:textId="77777777" w:rsidR="0010369C" w:rsidRDefault="008E43AE">
      <w:pPr>
        <w:pStyle w:val="BodyText"/>
        <w:spacing w:before="44"/>
        <w:ind w:left="351" w:right="8431"/>
      </w:pPr>
      <w:r>
        <w:rPr>
          <w:spacing w:val="-2"/>
        </w:rPr>
        <w:t>AUS‐11 (BCI)</w:t>
      </w:r>
    </w:p>
    <w:p w14:paraId="51DE78D3" w14:textId="77777777" w:rsidR="0010369C" w:rsidRDefault="0010369C">
      <w:pPr>
        <w:pStyle w:val="BodyText"/>
        <w:rPr>
          <w:sz w:val="20"/>
        </w:rPr>
      </w:pPr>
    </w:p>
    <w:p w14:paraId="51DE78D4" w14:textId="77777777" w:rsidR="0010369C" w:rsidRDefault="0010369C">
      <w:pPr>
        <w:pStyle w:val="BodyText"/>
        <w:spacing w:before="7"/>
      </w:pPr>
    </w:p>
    <w:p w14:paraId="51DE78D5" w14:textId="77777777" w:rsidR="0010369C" w:rsidRDefault="008E43AE">
      <w:pPr>
        <w:pStyle w:val="BodyText"/>
        <w:spacing w:before="52"/>
        <w:ind w:left="351" w:right="8431"/>
      </w:pPr>
      <w:r>
        <w:rPr>
          <w:spacing w:val="-2"/>
        </w:rPr>
        <w:t>AUS‐12 (BCI)</w:t>
      </w:r>
    </w:p>
    <w:p w14:paraId="51DE78D6" w14:textId="77777777" w:rsidR="0010369C" w:rsidRDefault="0010369C">
      <w:pPr>
        <w:pStyle w:val="BodyText"/>
        <w:rPr>
          <w:sz w:val="20"/>
        </w:rPr>
      </w:pPr>
    </w:p>
    <w:p w14:paraId="51DE78D7" w14:textId="77777777" w:rsidR="0010369C" w:rsidRDefault="0010369C">
      <w:pPr>
        <w:pStyle w:val="BodyText"/>
        <w:rPr>
          <w:sz w:val="20"/>
        </w:rPr>
      </w:pPr>
    </w:p>
    <w:p w14:paraId="51DE78D8" w14:textId="77777777" w:rsidR="0010369C" w:rsidRDefault="0010369C">
      <w:pPr>
        <w:pStyle w:val="BodyText"/>
        <w:spacing w:before="7"/>
        <w:rPr>
          <w:sz w:val="28"/>
        </w:rPr>
      </w:pPr>
    </w:p>
    <w:p w14:paraId="51DE78D9" w14:textId="77777777" w:rsidR="0010369C" w:rsidRDefault="008E43AE">
      <w:pPr>
        <w:pStyle w:val="BodyText"/>
        <w:spacing w:before="52"/>
        <w:ind w:left="351" w:right="8431"/>
      </w:pPr>
      <w:r>
        <w:rPr>
          <w:spacing w:val="-2"/>
        </w:rPr>
        <w:t>AUS‐13 (BCI)</w:t>
      </w:r>
    </w:p>
    <w:p w14:paraId="51DE78DA" w14:textId="77777777" w:rsidR="0010369C" w:rsidRDefault="0010369C">
      <w:pPr>
        <w:pStyle w:val="BodyText"/>
        <w:rPr>
          <w:sz w:val="20"/>
        </w:rPr>
      </w:pPr>
    </w:p>
    <w:p w14:paraId="51DE78DB" w14:textId="77777777" w:rsidR="0010369C" w:rsidRDefault="0010369C">
      <w:pPr>
        <w:pStyle w:val="BodyText"/>
        <w:rPr>
          <w:sz w:val="20"/>
        </w:rPr>
      </w:pPr>
    </w:p>
    <w:p w14:paraId="51DE78DC" w14:textId="77777777" w:rsidR="0010369C" w:rsidRDefault="0010369C">
      <w:pPr>
        <w:pStyle w:val="BodyText"/>
        <w:spacing w:before="7"/>
        <w:rPr>
          <w:sz w:val="28"/>
        </w:rPr>
      </w:pPr>
    </w:p>
    <w:p w14:paraId="51DE78DD" w14:textId="77777777" w:rsidR="0010369C" w:rsidRDefault="0010369C">
      <w:pPr>
        <w:rPr>
          <w:sz w:val="28"/>
        </w:rPr>
        <w:sectPr w:rsidR="0010369C">
          <w:headerReference w:type="default" r:id="rId20"/>
          <w:footerReference w:type="default" r:id="rId21"/>
          <w:pgSz w:w="11910" w:h="16840"/>
          <w:pgMar w:top="880" w:right="1220" w:bottom="980" w:left="1180" w:header="569" w:footer="788" w:gutter="0"/>
          <w:cols w:space="720"/>
        </w:sectPr>
      </w:pPr>
    </w:p>
    <w:p w14:paraId="51DE78DE" w14:textId="77777777" w:rsidR="0010369C" w:rsidRDefault="008E43AE">
      <w:pPr>
        <w:pStyle w:val="BodyText"/>
        <w:spacing w:before="51"/>
        <w:ind w:left="351"/>
      </w:pPr>
      <w:r>
        <w:rPr>
          <w:spacing w:val="-2"/>
        </w:rPr>
        <w:t>AUS‐14</w:t>
      </w:r>
    </w:p>
    <w:p w14:paraId="51DE78DF" w14:textId="77777777" w:rsidR="0010369C" w:rsidRDefault="0010369C">
      <w:pPr>
        <w:pStyle w:val="BodyText"/>
      </w:pPr>
    </w:p>
    <w:p w14:paraId="51DE78E0" w14:textId="77777777" w:rsidR="0010369C" w:rsidRDefault="0010369C">
      <w:pPr>
        <w:pStyle w:val="BodyText"/>
        <w:spacing w:before="11"/>
      </w:pPr>
    </w:p>
    <w:p w14:paraId="51DE78E1" w14:textId="77777777" w:rsidR="0010369C" w:rsidRDefault="008E43AE">
      <w:pPr>
        <w:pStyle w:val="BodyText"/>
        <w:ind w:left="351" w:right="32"/>
      </w:pPr>
      <w:r>
        <w:rPr>
          <w:spacing w:val="-2"/>
        </w:rPr>
        <w:t>AUS‐15 (BCI)</w:t>
      </w:r>
    </w:p>
    <w:p w14:paraId="51DE78E2" w14:textId="77777777" w:rsidR="0010369C" w:rsidRDefault="008E43AE">
      <w:pPr>
        <w:pStyle w:val="BodyText"/>
        <w:spacing w:before="51"/>
        <w:ind w:left="351"/>
      </w:pPr>
      <w:r>
        <w:br w:type="column"/>
      </w:r>
      <w:r>
        <w:t>Treasury Wines, "Supplementary Questionnaire for Treasury Wine Estates Vintners</w:t>
      </w:r>
      <w:r>
        <w:rPr>
          <w:spacing w:val="-8"/>
        </w:rPr>
        <w:t xml:space="preserve"> </w:t>
      </w:r>
      <w:r>
        <w:t>Limited",</w:t>
      </w:r>
      <w:r>
        <w:rPr>
          <w:spacing w:val="-8"/>
        </w:rPr>
        <w:t xml:space="preserve"> </w:t>
      </w:r>
      <w:r>
        <w:t>3</w:t>
      </w:r>
      <w:r>
        <w:rPr>
          <w:spacing w:val="-8"/>
        </w:rPr>
        <w:t xml:space="preserve"> </w:t>
      </w:r>
      <w:r>
        <w:t>February</w:t>
      </w:r>
      <w:r>
        <w:rPr>
          <w:spacing w:val="-7"/>
        </w:rPr>
        <w:t xml:space="preserve"> </w:t>
      </w:r>
      <w:r>
        <w:t>2021</w:t>
      </w:r>
      <w:r>
        <w:rPr>
          <w:spacing w:val="-8"/>
        </w:rPr>
        <w:t xml:space="preserve"> </w:t>
      </w:r>
      <w:r>
        <w:t>(Public)</w:t>
      </w:r>
    </w:p>
    <w:p w14:paraId="51DE78E3" w14:textId="77777777" w:rsidR="0010369C" w:rsidRDefault="008E43AE">
      <w:pPr>
        <w:pStyle w:val="BodyText"/>
        <w:spacing w:before="51"/>
        <w:ind w:left="351" w:right="380"/>
      </w:pPr>
      <w:r>
        <w:br w:type="column"/>
      </w:r>
      <w:r>
        <w:t xml:space="preserve">Treasury Wines </w:t>
      </w:r>
      <w:r>
        <w:rPr>
          <w:spacing w:val="-2"/>
        </w:rPr>
        <w:t xml:space="preserve">Supplementary </w:t>
      </w:r>
      <w:r>
        <w:t>Questionnaire</w:t>
      </w:r>
      <w:r>
        <w:rPr>
          <w:spacing w:val="-14"/>
        </w:rPr>
        <w:t xml:space="preserve"> </w:t>
      </w:r>
      <w:r>
        <w:t>Response</w:t>
      </w:r>
    </w:p>
    <w:p w14:paraId="51DE78E4" w14:textId="77777777" w:rsidR="0010369C" w:rsidRDefault="0010369C">
      <w:pPr>
        <w:sectPr w:rsidR="0010369C">
          <w:type w:val="continuous"/>
          <w:pgSz w:w="11910" w:h="16840"/>
          <w:pgMar w:top="1460" w:right="1220" w:bottom="280" w:left="1180" w:header="569" w:footer="788" w:gutter="0"/>
          <w:cols w:num="3" w:space="720" w:equalWidth="0">
            <w:col w:w="1111" w:space="73"/>
            <w:col w:w="4584" w:space="180"/>
            <w:col w:w="3562"/>
          </w:cols>
        </w:sectPr>
      </w:pPr>
    </w:p>
    <w:p w14:paraId="51DE78E5" w14:textId="77777777" w:rsidR="0010369C" w:rsidRDefault="0010369C">
      <w:pPr>
        <w:pStyle w:val="BodyText"/>
        <w:rPr>
          <w:sz w:val="20"/>
        </w:rPr>
      </w:pPr>
    </w:p>
    <w:p w14:paraId="51DE78E6" w14:textId="77777777" w:rsidR="0010369C" w:rsidRDefault="0010369C">
      <w:pPr>
        <w:pStyle w:val="BodyText"/>
        <w:rPr>
          <w:sz w:val="20"/>
        </w:rPr>
      </w:pPr>
    </w:p>
    <w:p w14:paraId="51DE78E7" w14:textId="77777777" w:rsidR="0010369C" w:rsidRDefault="0010369C">
      <w:pPr>
        <w:pStyle w:val="BodyText"/>
        <w:spacing w:before="7"/>
        <w:rPr>
          <w:sz w:val="28"/>
        </w:rPr>
      </w:pPr>
    </w:p>
    <w:p w14:paraId="51DE78E8" w14:textId="77777777" w:rsidR="0010369C" w:rsidRDefault="0010369C">
      <w:pPr>
        <w:rPr>
          <w:sz w:val="28"/>
        </w:rPr>
        <w:sectPr w:rsidR="0010369C">
          <w:type w:val="continuous"/>
          <w:pgSz w:w="11910" w:h="16840"/>
          <w:pgMar w:top="1460" w:right="1220" w:bottom="280" w:left="1180" w:header="569" w:footer="788" w:gutter="0"/>
          <w:cols w:space="720"/>
        </w:sectPr>
      </w:pPr>
    </w:p>
    <w:p w14:paraId="51DE78E9" w14:textId="77777777" w:rsidR="0010369C" w:rsidRDefault="008E43AE">
      <w:pPr>
        <w:pStyle w:val="BodyText"/>
        <w:spacing w:before="51"/>
        <w:ind w:left="351"/>
      </w:pPr>
      <w:r>
        <w:rPr>
          <w:spacing w:val="-2"/>
        </w:rPr>
        <w:t>AUS‐16</w:t>
      </w:r>
    </w:p>
    <w:p w14:paraId="51DE78EA" w14:textId="77777777" w:rsidR="0010369C" w:rsidRDefault="0010369C">
      <w:pPr>
        <w:pStyle w:val="BodyText"/>
      </w:pPr>
    </w:p>
    <w:p w14:paraId="51DE78EB" w14:textId="77777777" w:rsidR="0010369C" w:rsidRDefault="0010369C">
      <w:pPr>
        <w:pStyle w:val="BodyText"/>
      </w:pPr>
    </w:p>
    <w:p w14:paraId="51DE78EC" w14:textId="77777777" w:rsidR="0010369C" w:rsidRDefault="0010369C">
      <w:pPr>
        <w:pStyle w:val="BodyText"/>
      </w:pPr>
    </w:p>
    <w:p w14:paraId="51DE78ED" w14:textId="77777777" w:rsidR="0010369C" w:rsidRDefault="0010369C">
      <w:pPr>
        <w:pStyle w:val="BodyText"/>
        <w:spacing w:before="10"/>
      </w:pPr>
    </w:p>
    <w:p w14:paraId="51DE78EE" w14:textId="77777777" w:rsidR="0010369C" w:rsidRDefault="008E43AE">
      <w:pPr>
        <w:pStyle w:val="BodyText"/>
        <w:ind w:left="351" w:right="32"/>
      </w:pPr>
      <w:r>
        <w:rPr>
          <w:spacing w:val="-2"/>
        </w:rPr>
        <w:t>AUS‐17 (BCI)</w:t>
      </w:r>
    </w:p>
    <w:p w14:paraId="51DE78EF" w14:textId="77777777" w:rsidR="0010369C" w:rsidRDefault="008E43AE">
      <w:pPr>
        <w:pStyle w:val="BodyText"/>
        <w:spacing w:before="51"/>
        <w:ind w:left="351"/>
      </w:pPr>
      <w:r>
        <w:br w:type="column"/>
      </w:r>
      <w:r>
        <w:t>MOFCOM,</w:t>
      </w:r>
      <w:r>
        <w:rPr>
          <w:spacing w:val="-7"/>
        </w:rPr>
        <w:t xml:space="preserve"> </w:t>
      </w:r>
      <w:r>
        <w:t>"Disclosure</w:t>
      </w:r>
      <w:r>
        <w:rPr>
          <w:spacing w:val="-8"/>
        </w:rPr>
        <w:t xml:space="preserve"> </w:t>
      </w:r>
      <w:r>
        <w:t>of</w:t>
      </w:r>
      <w:r>
        <w:rPr>
          <w:spacing w:val="-7"/>
        </w:rPr>
        <w:t xml:space="preserve"> </w:t>
      </w:r>
      <w:r>
        <w:t>Basic</w:t>
      </w:r>
      <w:r>
        <w:rPr>
          <w:spacing w:val="-6"/>
        </w:rPr>
        <w:t xml:space="preserve"> </w:t>
      </w:r>
      <w:r>
        <w:t>Facts</w:t>
      </w:r>
      <w:r>
        <w:rPr>
          <w:spacing w:val="-8"/>
        </w:rPr>
        <w:t xml:space="preserve"> </w:t>
      </w:r>
      <w:r>
        <w:t>Relied</w:t>
      </w:r>
      <w:r>
        <w:rPr>
          <w:spacing w:val="-8"/>
        </w:rPr>
        <w:t xml:space="preserve"> </w:t>
      </w:r>
      <w:r>
        <w:t>on by Final Ruling of Anti‐Dumping Investigation into Relevant Imported Wines Originating in Australia (Australian Embassy in China)", 12 March 2021 (English Translation</w:t>
      </w:r>
      <w:r>
        <w:t>)</w:t>
      </w:r>
    </w:p>
    <w:p w14:paraId="51DE78F0" w14:textId="77777777" w:rsidR="0010369C" w:rsidRDefault="008E43AE">
      <w:pPr>
        <w:pStyle w:val="BodyText"/>
        <w:spacing w:before="51"/>
        <w:ind w:left="218" w:right="386"/>
      </w:pPr>
      <w:r>
        <w:br w:type="column"/>
      </w:r>
      <w:r>
        <w:t>Anti‐Dumping</w:t>
      </w:r>
      <w:r>
        <w:rPr>
          <w:spacing w:val="-14"/>
        </w:rPr>
        <w:t xml:space="preserve"> </w:t>
      </w:r>
      <w:r>
        <w:t xml:space="preserve">Final </w:t>
      </w:r>
      <w:r>
        <w:rPr>
          <w:spacing w:val="-2"/>
        </w:rPr>
        <w:t>Disclosure</w:t>
      </w:r>
    </w:p>
    <w:p w14:paraId="51DE78F1" w14:textId="77777777" w:rsidR="0010369C" w:rsidRDefault="0010369C">
      <w:pPr>
        <w:sectPr w:rsidR="0010369C">
          <w:type w:val="continuous"/>
          <w:pgSz w:w="11910" w:h="16840"/>
          <w:pgMar w:top="1460" w:right="1220" w:bottom="280" w:left="1180" w:header="569" w:footer="788" w:gutter="0"/>
          <w:cols w:num="3" w:space="720" w:equalWidth="0">
            <w:col w:w="1111" w:space="73"/>
            <w:col w:w="4858" w:space="39"/>
            <w:col w:w="3429"/>
          </w:cols>
        </w:sectPr>
      </w:pPr>
    </w:p>
    <w:p w14:paraId="51DE78F2" w14:textId="77777777" w:rsidR="0010369C" w:rsidRDefault="008E43AE">
      <w:pPr>
        <w:pStyle w:val="BodyText"/>
        <w:rPr>
          <w:sz w:val="20"/>
        </w:rPr>
      </w:pPr>
      <w:r>
        <w:pict w14:anchorId="51DE9D05">
          <v:group id="docshapegroup29" o:spid="_x0000_s3223" style="position:absolute;margin-left:70.9pt;margin-top:70.9pt;width:453.85pt;height:695.5pt;z-index:-251434496;mso-position-horizontal-relative:page;mso-position-vertical-relative:page" coordorigin="1418,1418" coordsize="9077,13910">
            <v:shape id="docshape30" o:spid="_x0000_s3226" style="position:absolute;left:1418;top:1418;width:9077;height:13889" coordorigin="1418,1418" coordsize="9077,13889" o:spt="100" adj="0,,0" path="m2714,12934r-111,l2603,12943r,1173l2603,14125r,1173l1428,15298r,-1173l2603,14125r,-9l1428,14116r,-1173l2603,12943r,-9l1418,12934r,9l1418,12943r,1173l1418,14125r,l1418,15298r,9l1428,15307r1175,l2612,15307r102,l2714,15298r-102,l2612,14125r102,l2714,14116r-102,l2612,12943r102,l2714,12934xm2714,9388r-111,l2603,9397r,1173l2603,10579r,1173l1428,11752r,-1173l2603,10579r,-9l1428,10570r,-1173l2603,9397r,-9l1418,9388r,9l1418,9397r,1173l1418,10579r,1173l1418,11761r,1173l1428,12934r,-1173l2603,11761r,1173l2612,12934r,-1173l2714,11761r,-9l2612,11752r,-1173l2714,10579r,-9l2612,10570r,-1173l2714,9397r,-9xm2714,1418r-111,l2603,1428r,1172l2603,2610r,1465l1428,4075r,-1465l2603,2610r,-10l1428,2600r,-1172l2603,1428r,-10l1428,1418r,l1418,1418r,l1418,1428r,l1418,2600r,10l1418,4075r,10l1418,4085r,1465l1428,5550r,-1465l2603,4085r,1465l2612,5550r,-1465l2714,4085r,-10l2612,4075r,-1465l2714,2610r,-10l2612,2600r,-1172l2714,1428r,-10xm7205,1723r-253,l6952,1430r-4258,l2694,1723r,28l2694,2015r,29l2694,2337r2073,l4767,2044r2438,l7205,1723xm7368,15298r-2581,l4787,15307r2581,l7368,15298xm7480,5550r-112,l7368,5560r,878l5922,6438r,10l7368,6448r,1465l2612,7913r,-1465l2714,6448r,-10l2612,6438r,-878l7368,5560r,-10l2603,5550r,10l2603,6438r,10l2603,7913r-1175,l1428,6448r1175,l2603,6438r-1175,l1428,5560r1175,l2603,5550r-1185,l1418,5560r,l1418,6438r,l1418,6448r,l1418,7913r,l1418,7922r,l1418,9388r10,l1428,7922r1175,l2603,9388r9,l2612,7922r4756,l7368,9388r10,l7378,7922r102,l7480,7913r-102,l7378,6448r102,l7480,6438r-102,l7378,5560r102,l7480,5550xm7480,12934r-791,l6689,12943r679,l7368,14116r-679,l6689,14125r679,l7368,15307r10,l7480,15307r,-9l7378,15298r,-1173l7480,14125r,-9l7378,14116r,-1173l7480,12943r,-9xm7480,10570r-102,l7378,9397r102,l7480,9388r-791,l6689,9397r679,l7368,10570r-852,l6516,10579r852,l7368,11752r-679,l6689,11761r679,l7368,12934r10,l7378,11761r102,l7480,11752r-102,l7378,10579r102,l7480,10570xm7480,1418r-508,l6972,1428r396,l7368,2600r-401,l6967,2610r401,l7368,4075r-156,l7212,4085r156,l7368,5550r10,l7378,4085r102,l7480,4075r-102,l7378,2610r102,l7480,2600r-102,l7378,1428r102,l7480,1418xm10495,5550r-2229,l8266,5560r2220,l10486,6438r-1497,l8989,6448r1506,l10495,6438r,-878l10495,5560r,-10xm10495,1418r-9,l10486,1418r-385,l10101,1428r385,l10486,2600r-385,l10101,2610r385,l10486,4075r-385,l10101,4085r385,l10486,5550r9,l10495,4085r,l10495,4075r,-1465l10495,2600r,-1172l10495,1428r,-10l10495,1418xe" fillcolor="black" stroked="f">
              <v:stroke joinstyle="round"/>
              <v:formulas/>
              <v:path arrowok="t" o:connecttype="segments"/>
            </v:shape>
            <v:shape id="docshape31" o:spid="_x0000_s3225" style="position:absolute;left:2694;top:1429;width:7801;height:13878" coordorigin="2694,1430" coordsize="7801,13878" o:spt="100" adj="0,,0" path="m6646,6743r-744,l5902,6451r-3208,l2694,6743r,29l2694,7036r,29l2694,7329r,29l2694,7650r2073,l4767,7358r1331,l6098,7065r548,l6646,6743xm6669,11764r-3975,l2694,12057r,29l2694,12350r,28l2694,12643r,28l2694,12945r,19l2694,13266r3975,l6669,12945r-1902,l4767,12671r1532,l6299,12378r224,l6523,12086r146,l6669,11764xm7151,10875r-655,l6496,10582r-1729,l4767,10307r1532,l6299,10014r165,l6464,9722r205,l6669,9400r-3975,l2694,9693r,29l2694,9986r,28l2694,10279r,28l2694,10582r,18l2694,10875r,29l2694,11168r,28l2694,11489r2073,l4767,11196r2384,l7151,10875xm7184,3197r-550,l6634,2933r313,l6947,2612r-4253,l2694,2905r,28l2694,3197r,29l2694,3490r,29l2694,3812r1167,l3861,3519r3323,l7184,3197xm7192,4087r-4498,l2694,4379r,29l2694,4672r,29l2694,4965r,29l2694,5286r1167,l3861,4994r3323,l7184,4672r-349,l6835,4408r357,l7192,4087xm9682,7329r-834,l8848,7065r100,l8948,6772r21,l8969,6451r-1509,l7460,6743r,29l7460,7036r,29l7460,7329r,29l7460,7622r,28l7460,7943r786,l8246,7650r1436,l9682,7329xm9788,9693r-291,l9497,9400r-2037,l7460,9693r,29l7460,9986r,28l7460,10279r,28l7460,10582r,18l7460,10875r,29l7460,11168r,28l7460,11461r,28l7460,11764r,18l7460,12057r,29l7460,12350r,28l7460,12643r,28l7460,12964r2249,l9709,12643r-437,l9272,12378r516,l9788,12057r-291,l9497,11764r-1251,l8246,11489r1436,l9682,11196r106,l9788,10875r-291,l9497,10600r212,l9709,10279r-437,l9272,10014r516,l9788,9693xm10323,4672r-1058,l9265,4408r816,l10081,4087r-1835,l8246,3812r1578,l9824,3519r426,l10250,3197r-985,l9265,2933r816,l10081,2612r-1835,l8246,2337r1926,l10172,2015r-907,l9265,1751r816,l10081,1430r-2621,l7460,1723r,28l7460,2015r,29l7460,2308r,29l7460,2612r,18l7460,2905r,28l7460,3197r,29l7460,3490r,29l7460,3783r,29l7460,4087r,17l7460,4379r,29l7460,4672r,29l7460,4965r,29l7460,5258r,28l7460,5579r786,l8246,5286r1578,l9824,4994r499,l10323,4672xm10495,12934r-766,l9729,12943r757,l10486,14116r-757,l9729,14125r757,l10486,15298r-757,l9729,15307r757,l10495,15307r,-9l10495,14125r,l10495,14116r,-1173l10495,12943r,-9xm10495,9388r-978,l9517,9397r969,l10486,10570r-757,l9729,10579r757,l10486,11752r-969,l9517,11761r969,l10486,12934r9,l10495,11761r,-9l10495,10579r,-9l10495,9397r,l10495,9388xm10495,6438r-1506,l8989,6448r1497,l10486,7913r-2220,l8266,7922r2220,l10486,9388r9,l10495,7922r,l10495,7913r,-1465l10495,6438xe" fillcolor="black" stroked="f">
              <v:stroke joinstyle="round"/>
              <v:formulas/>
              <v:path arrowok="t" o:connecttype="segments"/>
            </v:shape>
            <v:shape id="docshape32" o:spid="_x0000_s3224" style="position:absolute;left:2694;top:12944;width:7094;height:2383" coordorigin="2694,12945" coordsize="7094,2383" o:spt="100" adj="0,,0" path="m6669,12945r-3975,l2694,13239r,27l2694,13532r,28l2694,13825r,28l2694,14127r,19l2694,14421r,27l2694,14714r,28l2694,15007r,28l2694,15328r2073,l4767,15035r1532,l6299,14742r224,l6523,14448r146,l6669,14127r-1902,l4767,13853r1532,l6299,13560r224,l6523,13266r146,l6669,12945xm9788,13239r-291,l9497,12945r-2037,l7460,13239r,27l7460,13532r,28l7460,13825r,28l7460,14127r,19l7460,14421r,27l7460,14714r,28l7460,15007r,28l7460,15328r2249,l9709,15007r-437,l9272,14742r516,l9788,14421r-291,l9497,14146r212,l9709,13825r-437,l9272,13560r516,l9788,13239xe" fillcolor="black" stroked="f">
              <v:stroke joinstyle="round"/>
              <v:formulas/>
              <v:path arrowok="t" o:connecttype="segments"/>
            </v:shape>
            <w10:wrap anchorx="page" anchory="page"/>
          </v:group>
        </w:pict>
      </w:r>
    </w:p>
    <w:p w14:paraId="51DE78F3" w14:textId="77777777" w:rsidR="0010369C" w:rsidRDefault="0010369C">
      <w:pPr>
        <w:pStyle w:val="BodyText"/>
        <w:spacing w:before="8"/>
      </w:pPr>
    </w:p>
    <w:p w14:paraId="51DE78F4" w14:textId="77777777" w:rsidR="0010369C" w:rsidRDefault="008E43AE">
      <w:pPr>
        <w:pStyle w:val="BodyText"/>
        <w:spacing w:before="51"/>
        <w:ind w:left="351" w:right="8431"/>
      </w:pPr>
      <w:r>
        <w:rPr>
          <w:spacing w:val="-2"/>
        </w:rPr>
        <w:t>AUS‐18 (BCI)</w:t>
      </w:r>
    </w:p>
    <w:p w14:paraId="51DE78F5" w14:textId="77777777" w:rsidR="0010369C" w:rsidRDefault="0010369C">
      <w:pPr>
        <w:pStyle w:val="BodyText"/>
        <w:rPr>
          <w:sz w:val="20"/>
        </w:rPr>
      </w:pPr>
    </w:p>
    <w:p w14:paraId="51DE78F6" w14:textId="77777777" w:rsidR="0010369C" w:rsidRDefault="0010369C">
      <w:pPr>
        <w:pStyle w:val="BodyText"/>
        <w:spacing w:before="8"/>
      </w:pPr>
    </w:p>
    <w:p w14:paraId="51DE78F7" w14:textId="77777777" w:rsidR="0010369C" w:rsidRDefault="008E43AE">
      <w:pPr>
        <w:pStyle w:val="BodyText"/>
        <w:spacing w:before="51"/>
        <w:ind w:left="351" w:right="8431"/>
      </w:pPr>
      <w:r>
        <w:rPr>
          <w:spacing w:val="-2"/>
        </w:rPr>
        <w:t>AUS‐19 (BCI)</w:t>
      </w:r>
    </w:p>
    <w:p w14:paraId="51DE78F8" w14:textId="77777777" w:rsidR="0010369C" w:rsidRDefault="0010369C">
      <w:pPr>
        <w:pStyle w:val="BodyText"/>
        <w:rPr>
          <w:sz w:val="20"/>
        </w:rPr>
      </w:pPr>
    </w:p>
    <w:p w14:paraId="51DE78F9" w14:textId="77777777" w:rsidR="0010369C" w:rsidRDefault="0010369C">
      <w:pPr>
        <w:pStyle w:val="BodyText"/>
        <w:spacing w:before="6"/>
      </w:pPr>
    </w:p>
    <w:p w14:paraId="51DE78FA" w14:textId="77777777" w:rsidR="0010369C" w:rsidRDefault="008E43AE">
      <w:pPr>
        <w:pStyle w:val="BodyText"/>
        <w:spacing w:before="52"/>
        <w:ind w:left="351" w:right="8431"/>
      </w:pPr>
      <w:r>
        <w:rPr>
          <w:spacing w:val="-2"/>
        </w:rPr>
        <w:t>AUS‐20 (BCI)</w:t>
      </w:r>
    </w:p>
    <w:p w14:paraId="51DE78FB" w14:textId="77777777" w:rsidR="0010369C" w:rsidRDefault="0010369C">
      <w:pPr>
        <w:pStyle w:val="BodyText"/>
        <w:rPr>
          <w:sz w:val="20"/>
        </w:rPr>
      </w:pPr>
    </w:p>
    <w:p w14:paraId="51DE78FC" w14:textId="77777777" w:rsidR="0010369C" w:rsidRDefault="0010369C">
      <w:pPr>
        <w:pStyle w:val="BodyText"/>
        <w:spacing w:before="7"/>
      </w:pPr>
    </w:p>
    <w:p w14:paraId="51DE78FD" w14:textId="77777777" w:rsidR="0010369C" w:rsidRDefault="008E43AE">
      <w:pPr>
        <w:pStyle w:val="BodyText"/>
        <w:spacing w:before="52"/>
        <w:ind w:left="351" w:right="8431"/>
      </w:pPr>
      <w:r>
        <w:rPr>
          <w:spacing w:val="-2"/>
        </w:rPr>
        <w:t>AUS‐21 (BCI)</w:t>
      </w:r>
    </w:p>
    <w:p w14:paraId="51DE78FE" w14:textId="77777777" w:rsidR="0010369C" w:rsidRDefault="0010369C">
      <w:pPr>
        <w:sectPr w:rsidR="0010369C">
          <w:type w:val="continuous"/>
          <w:pgSz w:w="11910" w:h="16840"/>
          <w:pgMar w:top="1460" w:right="1220" w:bottom="280" w:left="1180" w:header="569" w:footer="788" w:gutter="0"/>
          <w:cols w:space="720"/>
        </w:sectPr>
      </w:pPr>
    </w:p>
    <w:p w14:paraId="51DE78FF" w14:textId="77777777" w:rsidR="0010369C" w:rsidRDefault="008E43AE">
      <w:pPr>
        <w:tabs>
          <w:tab w:val="left" w:pos="6426"/>
        </w:tabs>
        <w:ind w:left="238"/>
        <w:rPr>
          <w:sz w:val="20"/>
        </w:rPr>
      </w:pPr>
      <w:r>
        <w:rPr>
          <w:i/>
          <w:sz w:val="20"/>
        </w:rPr>
        <w:lastRenderedPageBreak/>
        <w:t>China</w:t>
      </w:r>
      <w:r>
        <w:rPr>
          <w:i/>
          <w:spacing w:val="-5"/>
          <w:sz w:val="20"/>
        </w:rPr>
        <w:t xml:space="preserve"> </w:t>
      </w:r>
      <w:r>
        <w:rPr>
          <w:i/>
          <w:sz w:val="20"/>
        </w:rPr>
        <w:t>–</w:t>
      </w:r>
      <w:r>
        <w:rPr>
          <w:i/>
          <w:spacing w:val="-5"/>
          <w:sz w:val="20"/>
        </w:rPr>
        <w:t xml:space="preserve"> </w:t>
      </w:r>
      <w:r>
        <w:rPr>
          <w:i/>
          <w:sz w:val="20"/>
        </w:rPr>
        <w:t>Anti‐Dumping</w:t>
      </w:r>
      <w:r>
        <w:rPr>
          <w:i/>
          <w:spacing w:val="-4"/>
          <w:sz w:val="20"/>
        </w:rPr>
        <w:t xml:space="preserve"> </w:t>
      </w:r>
      <w:r>
        <w:rPr>
          <w:i/>
          <w:sz w:val="20"/>
        </w:rPr>
        <w:t>and</w:t>
      </w:r>
      <w:r>
        <w:rPr>
          <w:i/>
          <w:spacing w:val="-5"/>
          <w:sz w:val="20"/>
        </w:rPr>
        <w:t xml:space="preserve"> </w:t>
      </w:r>
      <w:r>
        <w:rPr>
          <w:i/>
          <w:sz w:val="20"/>
        </w:rPr>
        <w:t>Countervailing</w:t>
      </w:r>
      <w:r>
        <w:rPr>
          <w:i/>
          <w:spacing w:val="-5"/>
          <w:sz w:val="20"/>
        </w:rPr>
        <w:t xml:space="preserve"> </w:t>
      </w:r>
      <w:r>
        <w:rPr>
          <w:i/>
          <w:sz w:val="20"/>
        </w:rPr>
        <w:t>Duty</w:t>
      </w:r>
      <w:r>
        <w:rPr>
          <w:i/>
          <w:spacing w:val="-4"/>
          <w:sz w:val="20"/>
        </w:rPr>
        <w:t xml:space="preserve"> </w:t>
      </w:r>
      <w:r>
        <w:rPr>
          <w:i/>
          <w:spacing w:val="-2"/>
          <w:sz w:val="20"/>
        </w:rPr>
        <w:t>Measures</w:t>
      </w:r>
      <w:r>
        <w:rPr>
          <w:i/>
          <w:sz w:val="20"/>
        </w:rPr>
        <w:tab/>
      </w:r>
      <w:r>
        <w:rPr>
          <w:sz w:val="20"/>
        </w:rPr>
        <w:t>Australia's</w:t>
      </w:r>
      <w:r>
        <w:rPr>
          <w:spacing w:val="-6"/>
          <w:sz w:val="20"/>
        </w:rPr>
        <w:t xml:space="preserve"> </w:t>
      </w:r>
      <w:r>
        <w:rPr>
          <w:sz w:val="20"/>
        </w:rPr>
        <w:t>First</w:t>
      </w:r>
      <w:r>
        <w:rPr>
          <w:spacing w:val="-2"/>
          <w:sz w:val="20"/>
        </w:rPr>
        <w:t xml:space="preserve"> </w:t>
      </w:r>
      <w:r>
        <w:rPr>
          <w:sz w:val="20"/>
        </w:rPr>
        <w:t>Written</w:t>
      </w:r>
      <w:r>
        <w:rPr>
          <w:spacing w:val="-2"/>
          <w:sz w:val="20"/>
        </w:rPr>
        <w:t xml:space="preserve"> Submission</w:t>
      </w:r>
    </w:p>
    <w:p w14:paraId="51DE7900" w14:textId="77777777" w:rsidR="0010369C" w:rsidRDefault="008E43AE">
      <w:pPr>
        <w:tabs>
          <w:tab w:val="left" w:pos="8228"/>
        </w:tabs>
        <w:spacing w:before="1"/>
        <w:ind w:left="239"/>
        <w:rPr>
          <w:sz w:val="20"/>
        </w:rPr>
      </w:pPr>
      <w:r>
        <w:rPr>
          <w:i/>
          <w:sz w:val="20"/>
        </w:rPr>
        <w:t>on</w:t>
      </w:r>
      <w:r>
        <w:rPr>
          <w:i/>
          <w:spacing w:val="-1"/>
          <w:sz w:val="20"/>
        </w:rPr>
        <w:t xml:space="preserve"> </w:t>
      </w:r>
      <w:r>
        <w:rPr>
          <w:i/>
          <w:sz w:val="20"/>
        </w:rPr>
        <w:t>Wine</w:t>
      </w:r>
      <w:r>
        <w:rPr>
          <w:i/>
          <w:spacing w:val="-1"/>
          <w:sz w:val="20"/>
        </w:rPr>
        <w:t xml:space="preserve"> </w:t>
      </w:r>
      <w:r>
        <w:rPr>
          <w:i/>
          <w:sz w:val="20"/>
        </w:rPr>
        <w:t>from</w:t>
      </w:r>
      <w:r>
        <w:rPr>
          <w:i/>
          <w:spacing w:val="-3"/>
          <w:sz w:val="20"/>
        </w:rPr>
        <w:t xml:space="preserve"> </w:t>
      </w:r>
      <w:r>
        <w:rPr>
          <w:i/>
          <w:sz w:val="20"/>
        </w:rPr>
        <w:t>Australia</w:t>
      </w:r>
      <w:r>
        <w:rPr>
          <w:i/>
          <w:spacing w:val="-1"/>
          <w:sz w:val="20"/>
        </w:rPr>
        <w:t xml:space="preserve"> </w:t>
      </w:r>
      <w:r>
        <w:rPr>
          <w:spacing w:val="-2"/>
          <w:sz w:val="20"/>
        </w:rPr>
        <w:t>(DS602)</w:t>
      </w:r>
      <w:r>
        <w:rPr>
          <w:sz w:val="20"/>
        </w:rPr>
        <w:tab/>
        <w:t>29</w:t>
      </w:r>
      <w:r>
        <w:rPr>
          <w:spacing w:val="-1"/>
          <w:sz w:val="20"/>
        </w:rPr>
        <w:t xml:space="preserve"> </w:t>
      </w:r>
      <w:r>
        <w:rPr>
          <w:sz w:val="20"/>
        </w:rPr>
        <w:t>April</w:t>
      </w:r>
      <w:r>
        <w:rPr>
          <w:spacing w:val="-2"/>
          <w:sz w:val="20"/>
        </w:rPr>
        <w:t xml:space="preserve"> </w:t>
      </w:r>
      <w:r>
        <w:rPr>
          <w:spacing w:val="-4"/>
          <w:sz w:val="20"/>
        </w:rPr>
        <w:t>2022</w:t>
      </w:r>
    </w:p>
    <w:p w14:paraId="51DE7901" w14:textId="77777777" w:rsidR="0010369C" w:rsidRDefault="008E43AE">
      <w:pPr>
        <w:pStyle w:val="BodyText"/>
        <w:spacing w:before="44"/>
        <w:ind w:left="351" w:right="8431"/>
      </w:pPr>
      <w:r>
        <w:rPr>
          <w:spacing w:val="-2"/>
        </w:rPr>
        <w:t>AUS‐22 (BCI)</w:t>
      </w:r>
    </w:p>
    <w:p w14:paraId="51DE7902" w14:textId="77777777" w:rsidR="0010369C" w:rsidRDefault="0010369C">
      <w:pPr>
        <w:pStyle w:val="BodyText"/>
        <w:rPr>
          <w:sz w:val="20"/>
        </w:rPr>
      </w:pPr>
    </w:p>
    <w:p w14:paraId="51DE7903" w14:textId="77777777" w:rsidR="0010369C" w:rsidRDefault="0010369C">
      <w:pPr>
        <w:pStyle w:val="BodyText"/>
        <w:spacing w:before="7"/>
      </w:pPr>
    </w:p>
    <w:p w14:paraId="51DE7904" w14:textId="77777777" w:rsidR="0010369C" w:rsidRDefault="008E43AE">
      <w:pPr>
        <w:pStyle w:val="BodyText"/>
        <w:spacing w:before="52"/>
        <w:ind w:left="351" w:right="8431"/>
      </w:pPr>
      <w:r>
        <w:rPr>
          <w:spacing w:val="-2"/>
        </w:rPr>
        <w:t>AUS‐23 (BCI)</w:t>
      </w:r>
    </w:p>
    <w:p w14:paraId="51DE7905" w14:textId="77777777" w:rsidR="0010369C" w:rsidRDefault="0010369C">
      <w:pPr>
        <w:pStyle w:val="BodyText"/>
        <w:rPr>
          <w:sz w:val="20"/>
        </w:rPr>
      </w:pPr>
    </w:p>
    <w:p w14:paraId="51DE7906" w14:textId="77777777" w:rsidR="0010369C" w:rsidRDefault="0010369C">
      <w:pPr>
        <w:pStyle w:val="BodyText"/>
        <w:rPr>
          <w:sz w:val="20"/>
        </w:rPr>
      </w:pPr>
    </w:p>
    <w:p w14:paraId="51DE7907" w14:textId="77777777" w:rsidR="0010369C" w:rsidRDefault="0010369C">
      <w:pPr>
        <w:pStyle w:val="BodyText"/>
        <w:spacing w:before="7"/>
        <w:rPr>
          <w:sz w:val="28"/>
        </w:rPr>
      </w:pPr>
    </w:p>
    <w:p w14:paraId="51DE7908" w14:textId="77777777" w:rsidR="0010369C" w:rsidRDefault="008E43AE">
      <w:pPr>
        <w:pStyle w:val="BodyText"/>
        <w:spacing w:before="52"/>
        <w:ind w:left="351" w:right="8431"/>
      </w:pPr>
      <w:r>
        <w:rPr>
          <w:spacing w:val="-2"/>
        </w:rPr>
        <w:t>AUS‐24 (BCI)</w:t>
      </w:r>
    </w:p>
    <w:p w14:paraId="51DE7909" w14:textId="77777777" w:rsidR="0010369C" w:rsidRDefault="0010369C">
      <w:pPr>
        <w:pStyle w:val="BodyText"/>
        <w:rPr>
          <w:sz w:val="20"/>
        </w:rPr>
      </w:pPr>
    </w:p>
    <w:p w14:paraId="51DE790A" w14:textId="77777777" w:rsidR="0010369C" w:rsidRDefault="0010369C">
      <w:pPr>
        <w:pStyle w:val="BodyText"/>
        <w:rPr>
          <w:sz w:val="20"/>
        </w:rPr>
      </w:pPr>
    </w:p>
    <w:p w14:paraId="51DE790B" w14:textId="77777777" w:rsidR="0010369C" w:rsidRDefault="0010369C">
      <w:pPr>
        <w:pStyle w:val="BodyText"/>
        <w:spacing w:before="7"/>
        <w:rPr>
          <w:sz w:val="28"/>
        </w:rPr>
      </w:pPr>
    </w:p>
    <w:p w14:paraId="51DE790C" w14:textId="77777777" w:rsidR="0010369C" w:rsidRDefault="008E43AE">
      <w:pPr>
        <w:pStyle w:val="BodyText"/>
        <w:spacing w:before="51"/>
        <w:ind w:left="351" w:right="8431"/>
      </w:pPr>
      <w:r>
        <w:rPr>
          <w:spacing w:val="-2"/>
        </w:rPr>
        <w:t>AUS‐25 (BCI)</w:t>
      </w:r>
    </w:p>
    <w:p w14:paraId="51DE790D" w14:textId="77777777" w:rsidR="0010369C" w:rsidRDefault="0010369C">
      <w:pPr>
        <w:pStyle w:val="BodyText"/>
        <w:rPr>
          <w:sz w:val="20"/>
        </w:rPr>
      </w:pPr>
    </w:p>
    <w:p w14:paraId="51DE790E" w14:textId="77777777" w:rsidR="0010369C" w:rsidRDefault="0010369C">
      <w:pPr>
        <w:pStyle w:val="BodyText"/>
        <w:spacing w:before="8"/>
      </w:pPr>
    </w:p>
    <w:p w14:paraId="51DE790F" w14:textId="77777777" w:rsidR="0010369C" w:rsidRDefault="008E43AE">
      <w:pPr>
        <w:pStyle w:val="BodyText"/>
        <w:spacing w:before="51"/>
        <w:ind w:left="351" w:right="8431"/>
      </w:pPr>
      <w:r>
        <w:rPr>
          <w:spacing w:val="-2"/>
        </w:rPr>
        <w:t>AUS‐26 (BCI)</w:t>
      </w:r>
    </w:p>
    <w:p w14:paraId="51DE7910" w14:textId="77777777" w:rsidR="0010369C" w:rsidRDefault="0010369C">
      <w:pPr>
        <w:pStyle w:val="BodyText"/>
        <w:rPr>
          <w:sz w:val="20"/>
        </w:rPr>
      </w:pPr>
    </w:p>
    <w:p w14:paraId="51DE7911" w14:textId="77777777" w:rsidR="0010369C" w:rsidRDefault="0010369C">
      <w:pPr>
        <w:pStyle w:val="BodyText"/>
        <w:spacing w:before="8"/>
      </w:pPr>
    </w:p>
    <w:p w14:paraId="51DE7912" w14:textId="77777777" w:rsidR="0010369C" w:rsidRDefault="008E43AE">
      <w:pPr>
        <w:pStyle w:val="BodyText"/>
        <w:spacing w:before="51"/>
        <w:ind w:left="351" w:right="8431"/>
      </w:pPr>
      <w:r>
        <w:rPr>
          <w:spacing w:val="-2"/>
        </w:rPr>
        <w:t>AUS‐27 (BCI)</w:t>
      </w:r>
    </w:p>
    <w:p w14:paraId="51DE7913" w14:textId="77777777" w:rsidR="0010369C" w:rsidRDefault="0010369C">
      <w:pPr>
        <w:pStyle w:val="BodyText"/>
        <w:rPr>
          <w:sz w:val="20"/>
        </w:rPr>
      </w:pPr>
    </w:p>
    <w:p w14:paraId="51DE7914" w14:textId="77777777" w:rsidR="0010369C" w:rsidRDefault="0010369C">
      <w:pPr>
        <w:pStyle w:val="BodyText"/>
        <w:spacing w:before="8"/>
      </w:pPr>
    </w:p>
    <w:p w14:paraId="51DE7915" w14:textId="77777777" w:rsidR="0010369C" w:rsidRDefault="008E43AE">
      <w:pPr>
        <w:pStyle w:val="BodyText"/>
        <w:spacing w:before="51"/>
        <w:ind w:left="351" w:right="8431"/>
      </w:pPr>
      <w:r>
        <w:rPr>
          <w:spacing w:val="-2"/>
        </w:rPr>
        <w:t>AUS‐28 (BCI)</w:t>
      </w:r>
    </w:p>
    <w:p w14:paraId="51DE7916" w14:textId="77777777" w:rsidR="0010369C" w:rsidRDefault="0010369C">
      <w:pPr>
        <w:pStyle w:val="BodyText"/>
        <w:rPr>
          <w:sz w:val="20"/>
        </w:rPr>
      </w:pPr>
    </w:p>
    <w:p w14:paraId="51DE7917" w14:textId="77777777" w:rsidR="0010369C" w:rsidRDefault="0010369C">
      <w:pPr>
        <w:pStyle w:val="BodyText"/>
        <w:spacing w:before="8"/>
      </w:pPr>
    </w:p>
    <w:p w14:paraId="51DE7918" w14:textId="77777777" w:rsidR="0010369C" w:rsidRDefault="008E43AE">
      <w:pPr>
        <w:pStyle w:val="BodyText"/>
        <w:spacing w:before="51"/>
        <w:ind w:left="351" w:right="8431"/>
      </w:pPr>
      <w:r>
        <w:rPr>
          <w:spacing w:val="-2"/>
        </w:rPr>
        <w:t>AUS‐29 (BCI)</w:t>
      </w:r>
    </w:p>
    <w:p w14:paraId="51DE7919" w14:textId="77777777" w:rsidR="0010369C" w:rsidRDefault="0010369C">
      <w:pPr>
        <w:pStyle w:val="BodyText"/>
        <w:rPr>
          <w:sz w:val="20"/>
        </w:rPr>
      </w:pPr>
    </w:p>
    <w:p w14:paraId="51DE791A" w14:textId="77777777" w:rsidR="0010369C" w:rsidRDefault="0010369C">
      <w:pPr>
        <w:pStyle w:val="BodyText"/>
        <w:spacing w:before="6"/>
      </w:pPr>
    </w:p>
    <w:p w14:paraId="51DE791B" w14:textId="77777777" w:rsidR="0010369C" w:rsidRDefault="0010369C">
      <w:pPr>
        <w:sectPr w:rsidR="0010369C">
          <w:pgSz w:w="11910" w:h="16840"/>
          <w:pgMar w:top="880" w:right="1220" w:bottom="980" w:left="1180" w:header="569" w:footer="788" w:gutter="0"/>
          <w:cols w:space="720"/>
        </w:sectPr>
      </w:pPr>
    </w:p>
    <w:p w14:paraId="51DE791C" w14:textId="77777777" w:rsidR="0010369C" w:rsidRDefault="008E43AE">
      <w:pPr>
        <w:pStyle w:val="BodyText"/>
        <w:spacing w:before="52"/>
        <w:ind w:left="351"/>
      </w:pPr>
      <w:r>
        <w:rPr>
          <w:spacing w:val="-2"/>
        </w:rPr>
        <w:t>AUS‐30</w:t>
      </w:r>
    </w:p>
    <w:p w14:paraId="51DE791D" w14:textId="77777777" w:rsidR="0010369C" w:rsidRDefault="0010369C">
      <w:pPr>
        <w:pStyle w:val="BodyText"/>
      </w:pPr>
    </w:p>
    <w:p w14:paraId="51DE791E" w14:textId="77777777" w:rsidR="0010369C" w:rsidRDefault="0010369C">
      <w:pPr>
        <w:pStyle w:val="BodyText"/>
        <w:spacing w:before="10"/>
      </w:pPr>
    </w:p>
    <w:p w14:paraId="51DE791F" w14:textId="77777777" w:rsidR="0010369C" w:rsidRDefault="008E43AE">
      <w:pPr>
        <w:pStyle w:val="BodyText"/>
        <w:ind w:left="351" w:right="32"/>
      </w:pPr>
      <w:r>
        <w:rPr>
          <w:spacing w:val="-2"/>
        </w:rPr>
        <w:t>AUS‐31 (BCI)</w:t>
      </w:r>
    </w:p>
    <w:p w14:paraId="51DE7920" w14:textId="77777777" w:rsidR="0010369C" w:rsidRDefault="008E43AE">
      <w:pPr>
        <w:pStyle w:val="BodyText"/>
        <w:spacing w:before="52"/>
        <w:ind w:left="351"/>
      </w:pPr>
      <w:r>
        <w:br w:type="column"/>
      </w:r>
      <w:r>
        <w:t>Casella</w:t>
      </w:r>
      <w:r>
        <w:rPr>
          <w:spacing w:val="-13"/>
        </w:rPr>
        <w:t xml:space="preserve"> </w:t>
      </w:r>
      <w:r>
        <w:t>Wines,</w:t>
      </w:r>
      <w:r>
        <w:rPr>
          <w:spacing w:val="-14"/>
        </w:rPr>
        <w:t xml:space="preserve"> </w:t>
      </w:r>
      <w:r>
        <w:t>"Supplementary</w:t>
      </w:r>
      <w:r>
        <w:rPr>
          <w:spacing w:val="-13"/>
        </w:rPr>
        <w:t xml:space="preserve"> </w:t>
      </w:r>
      <w:r>
        <w:t xml:space="preserve">Questionnaire Response", 5 February 2021 (English </w:t>
      </w:r>
      <w:r>
        <w:rPr>
          <w:spacing w:val="-2"/>
        </w:rPr>
        <w:t>translation)</w:t>
      </w:r>
    </w:p>
    <w:p w14:paraId="51DE7921" w14:textId="77777777" w:rsidR="0010369C" w:rsidRDefault="008E43AE">
      <w:pPr>
        <w:pStyle w:val="BodyText"/>
        <w:spacing w:before="52"/>
        <w:ind w:left="239"/>
      </w:pPr>
      <w:r>
        <w:br w:type="column"/>
      </w:r>
      <w:r>
        <w:t>Casella</w:t>
      </w:r>
      <w:r>
        <w:rPr>
          <w:spacing w:val="-14"/>
        </w:rPr>
        <w:t xml:space="preserve"> </w:t>
      </w:r>
      <w:r>
        <w:t>Wines</w:t>
      </w:r>
      <w:r>
        <w:rPr>
          <w:spacing w:val="-14"/>
        </w:rPr>
        <w:t xml:space="preserve"> </w:t>
      </w:r>
      <w:r>
        <w:t>Supplementary Questionnaire Response</w:t>
      </w:r>
    </w:p>
    <w:p w14:paraId="51DE7922" w14:textId="77777777" w:rsidR="0010369C" w:rsidRDefault="0010369C">
      <w:pPr>
        <w:sectPr w:rsidR="0010369C">
          <w:type w:val="continuous"/>
          <w:pgSz w:w="11910" w:h="16840"/>
          <w:pgMar w:top="1460" w:right="1220" w:bottom="280" w:left="1180" w:header="569" w:footer="788" w:gutter="0"/>
          <w:cols w:num="3" w:space="720" w:equalWidth="0">
            <w:col w:w="1111" w:space="73"/>
            <w:col w:w="4837" w:space="39"/>
            <w:col w:w="3450"/>
          </w:cols>
        </w:sectPr>
      </w:pPr>
    </w:p>
    <w:p w14:paraId="51DE7923" w14:textId="77777777" w:rsidR="0010369C" w:rsidRDefault="008E43AE">
      <w:pPr>
        <w:pStyle w:val="BodyText"/>
        <w:rPr>
          <w:sz w:val="20"/>
        </w:rPr>
      </w:pPr>
      <w:r>
        <w:pict w14:anchorId="51DE9D06">
          <v:group id="docshapegroup33" o:spid="_x0000_s3219" style="position:absolute;margin-left:70.9pt;margin-top:70.9pt;width:453.85pt;height:666.2pt;z-index:-251433472;mso-position-horizontal-relative:page;mso-position-vertical-relative:page" coordorigin="1418,1418" coordsize="9077,13324">
            <v:shape id="docshape34" o:spid="_x0000_s3222" style="position:absolute;left:1418;top:1418;width:9077;height:13304" coordorigin="1418,1418" coordsize="9077,13304" o:spt="100" adj="0,,0" path="m2714,5550r-111,l2603,5560r,1172l2603,6742r,1171l2603,7922r,1173l1428,9095r,-1173l2603,7922r,-9l1428,7913r,-1171l2603,6742r,-10l1428,6732r,-1172l2603,5560r,-10l1418,5550r,10l1418,5560r,1172l1418,6742r,l1418,7913r,l1418,7922r,l1418,9095r,9l1418,10277r10,l1428,9104r1175,l2603,10277r9,l2612,9104r102,l2714,9095r-102,l2612,7922r102,l2714,7913r-102,l2612,6742r102,l2714,6732r-102,l2612,5560r102,l2714,5550xm6669,1430r-3975,l2694,1723r,28l2694,2015r,29l2694,2308r,29l2694,2600r-82,l2612,1428r102,l2714,1418r-111,l2603,1428r,1172l2603,2610r,1465l1428,4075r,-1465l2603,2610r,-10l1428,2600r,-1172l2603,1428r,-10l1428,1418r,l1418,1418r,l1418,1428r,l1418,2600r,10l1418,4075r,10l1418,4085r,1465l1428,5550r,-1465l2603,4085r,1465l2612,5550r,-1465l2714,4085r,-10l2612,4075r,-1465l2694,2610r,20l4767,2630r,-293l6299,2337r,-293l6523,2044r,-293l6669,1751r,-321xm7480,12348r-102,l7378,11468r102,l7480,11459r-102,l7378,10286r102,l7480,10277r-393,l7087,10286r281,l7368,11459r-4756,l2612,10286r102,l2714,10277r-111,l2603,10286r,1173l2603,11468r,880l2603,12358r,1172l2603,13540r,1172l1428,14712r,-1172l2603,13540r,-10l1428,13530r,-1172l2603,12358r,-10l1428,12348r,-880l2603,11468r,-9l1428,11459r,-1173l2603,10286r,-9l1418,10277r,9l1418,10286r,1173l1418,11459r,9l1418,11468r,880l1418,12358r,l1418,13530r,10l1418,14712r,10l1428,14722r1175,l2612,14722r,-1182l2714,13540r,-10l2612,13530r,-1172l2714,12358r,-10l2612,12348r,-880l7368,11468r,880l6552,12348r,10l7368,12358r,1172l6552,13530r,10l7368,13540r,1172l2612,14712r,10l7368,14722r10,l7378,14722r102,l7480,14712r-102,l7378,13540r102,l7480,13530r-102,l7378,12358r102,l7480,12348xm7480,6732r-102,l7378,5560r102,l7480,5550r-791,l6689,5560r679,l7368,6732r-401,l6967,6742r401,l7368,7913r-816,l6552,7922r816,l7368,9095r-909,l6459,9104r909,l7368,10277r10,l7378,9104r102,l7480,9095r-102,l7378,7922r102,l7480,7913r-102,l7378,6742r102,l7480,6732xm7480,2600r-102,l7378,1428r102,l7480,1418r-791,l6689,1428r679,l7368,2600r-401,l6967,2610r401,l7368,4075r-401,l6967,4085r401,l7368,5550r10,l7378,4085r102,l7480,4075r-102,l7378,2610r102,l7480,2600xm10495,5550r-978,l9517,5560r969,l10486,6732r9,l10495,5560r,l10495,5550xm10495,1418r-9,l10486,1418r-969,l9517,1428r969,l10486,2600r-385,l10101,2610r385,l10486,4075r-385,l10101,4085r385,l10486,5550r9,l10495,4085r,l10495,4075r,-1465l10495,2600r,-1172l10495,1428r,-10l10495,1418xe" fillcolor="black" stroked="f">
              <v:stroke joinstyle="round"/>
              <v:formulas/>
              <v:path arrowok="t" o:connecttype="segments"/>
            </v:shape>
            <v:shape id="docshape35" o:spid="_x0000_s3221" style="position:absolute;left:2694;top:1429;width:7801;height:13292" coordorigin="2694,1430" coordsize="7801,13292" o:spt="100" adj="0,,0" path="m6439,9107r-3745,l2694,9400r,29l2694,9693r,29l2694,10014r2613,l5307,9722r1120,l6427,9429r12,l6439,9107xm7042,7329r-42,l7000,7036r-53,l6947,6743r-2180,l4767,6468r1532,l6299,6176r224,l6523,5883r146,l6669,5561r-3975,l2694,5854r,29l2694,6147r,29l2694,6440r,28l2694,6743r,18l2694,7036r,29l2694,7329r,29l2694,7622r,28l2694,7925r,18l2694,8218r,29l2694,8511r,29l2694,8832r2819,l5513,8540r1483,l6996,8218r-464,l6532,7925r-2671,l3861,7650r3181,l7042,7329xm7184,4672r-744,l6440,4408r507,l6947,4087r-4253,l2694,4379r,29l2694,4672r,29l2694,4965r,29l2694,5286r1167,l3861,4994r3323,l7184,4672xm7184,3197r-264,l6920,2933r27,l6947,2612r-4253,l2694,2905r,28l2694,3197r,29l2694,3490r,29l2694,3812r1167,l3861,3519r3323,l7184,3197xm7227,10582r-160,l7067,10289r-4373,l2694,10582r,29l2694,10875r,29l2694,11196r2073,l4767,10904r2460,l7227,10582xm10323,3197r-1058,l9265,2933r816,l10081,2612r-372,l9709,2308r-437,l9272,2044r516,l9788,1723r-291,l9497,1430r-2037,l7460,1723r,28l7460,2015r,29l7460,2308r,29l7460,2612r,18l7460,2905r,28l7460,3197r,29l7460,3490r,29l7460,3783r,29l7460,4087r,17l7460,4379r,29l7460,4672r,29l7460,4965r,29l7460,5258r,28l7460,5561r,18l7460,5854r,29l7460,6147r,29l7460,6440r,28l7460,6743r,18l7460,7036r,29l7460,7329r,29l7460,7622r,28l7460,7925r,18l7460,8218r,29l7460,8511r,29l7460,8804r,28l7460,9107r,18l7460,9400r,29l7460,9693r,29l7460,10014r2429,l9889,9722r9,l9898,9429r319,l10217,9107r-1971,l8246,8832r1436,l9682,8511r-834,l8848,8247r1369,l10217,7943r57,l10274,7650r49,l10323,7329r-1058,l9265,7065r816,l10081,6743r-372,l9709,6440r-437,l9272,6176r516,l9788,5854r-291,l9497,5561r-1251,l8246,5286r1384,l9630,4994r693,l10323,4672r-1058,l9265,4408r816,l10081,4087r-1835,l8246,3812r1864,l10110,3519r213,l10323,3197xm10486,14712r-2220,l8266,14722r2220,l10486,14712xm10495,10277r-253,l10242,10286r244,l10486,11459r-2220,l8266,11468r2220,l10486,12348r-249,l10237,12358r249,l10486,13530r-249,l10237,13540r249,l10486,14712r,10l10495,14722r,-10l10495,13540r,-10l10495,12358r,l10495,12348r,-880l10495,11468r,-9l10495,10286r,l10495,10277xm10495,5560r-9,l10486,6732r-385,l10101,6742r385,l10486,7913r-192,l10294,7922r192,l10486,9095r-249,l10237,9104r249,l10486,10277r9,l10495,9104r,-9l10495,7922r,l10495,7913r,l10495,6742r,l10495,6732r,-1172xe" fillcolor="black" stroked="f">
              <v:stroke joinstyle="round"/>
              <v:formulas/>
              <v:path arrowok="t" o:connecttype="segments"/>
            </v:shape>
            <v:shape id="docshape36" o:spid="_x0000_s3220" style="position:absolute;left:2694;top:9692;width:7528;height:5050" coordorigin="2694,9693" coordsize="7528,5050" o:spt="100" adj="0,,0" path="m6901,13834r-369,l6532,13541r-3838,l2694,13834r,29l2694,14127r,29l2694,14448r4070,l6764,14156r137,l6901,13834xm6901,12652r-369,l6532,12359r-3838,l2694,12652r,29l2694,12945r,29l2694,13266r4070,l6764,12974r137,l6901,12652xm10217,12359r-2757,l7460,12652r,29l7460,12945r,29l7460,13239r,27l7460,13541r,19l7460,13834r,29l7460,14127r,29l7460,14421r,27l7460,14742r786,l8246,14448r1578,l9824,14156r74,l9898,13863r319,l10217,13541r-1971,l8246,13266r1578,l9824,12974r74,l9898,12681r319,l10217,12359xm10222,10289r-1976,l8246,10014r1643,l9889,9693r-2429,l7460,9986r,28l7460,10289r,18l7460,10582r,29l7460,10875r,29l7460,11168r,28l7460,11489r786,l8246,11196r1926,l10172,10875r-1214,l8958,10611r1264,l10222,10289xe" fillcolor="black" stroked="f">
              <v:stroke joinstyle="round"/>
              <v:formulas/>
              <v:path arrowok="t" o:connecttype="segments"/>
            </v:shape>
            <w10:wrap anchorx="page" anchory="page"/>
          </v:group>
        </w:pict>
      </w:r>
    </w:p>
    <w:p w14:paraId="51DE7924" w14:textId="77777777" w:rsidR="0010369C" w:rsidRDefault="0010369C">
      <w:pPr>
        <w:pStyle w:val="BodyText"/>
        <w:spacing w:before="8"/>
      </w:pPr>
    </w:p>
    <w:p w14:paraId="51DE7925" w14:textId="77777777" w:rsidR="0010369C" w:rsidRDefault="008E43AE">
      <w:pPr>
        <w:pStyle w:val="BodyText"/>
        <w:spacing w:before="51"/>
        <w:ind w:left="351" w:right="8431"/>
      </w:pPr>
      <w:r>
        <w:rPr>
          <w:spacing w:val="-2"/>
        </w:rPr>
        <w:t>AUS‐32 (BCI)</w:t>
      </w:r>
    </w:p>
    <w:p w14:paraId="51DE7926" w14:textId="77777777" w:rsidR="0010369C" w:rsidRDefault="0010369C">
      <w:pPr>
        <w:sectPr w:rsidR="0010369C">
          <w:type w:val="continuous"/>
          <w:pgSz w:w="11910" w:h="16840"/>
          <w:pgMar w:top="1460" w:right="1220" w:bottom="280" w:left="1180" w:header="569" w:footer="788" w:gutter="0"/>
          <w:cols w:space="720"/>
        </w:sectPr>
      </w:pPr>
    </w:p>
    <w:p w14:paraId="51DE7927" w14:textId="77777777" w:rsidR="0010369C" w:rsidRDefault="008E43AE">
      <w:pPr>
        <w:pStyle w:val="BodyText"/>
        <w:spacing w:line="20" w:lineRule="exact"/>
        <w:ind w:left="104"/>
        <w:rPr>
          <w:sz w:val="2"/>
        </w:rPr>
      </w:pPr>
      <w:r>
        <w:rPr>
          <w:sz w:val="2"/>
        </w:rPr>
      </w:r>
      <w:r>
        <w:rPr>
          <w:sz w:val="2"/>
        </w:rPr>
        <w:pict w14:anchorId="51DE9D08">
          <v:group id="docshapegroup38" o:spid="_x0000_s3217" style="width:464.6pt;height:1.05pt;mso-position-horizontal-relative:char;mso-position-vertical-relative:line" coordsize="9292,21">
            <v:line id="_x0000_s3218" style="position:absolute" from="0,10" to="9291,10" strokeweight=".35361mm"/>
            <w10:anchorlock/>
          </v:group>
        </w:pict>
      </w:r>
    </w:p>
    <w:p w14:paraId="51DE7928" w14:textId="77777777" w:rsidR="0010369C" w:rsidRDefault="008E43AE">
      <w:pPr>
        <w:spacing w:before="52"/>
        <w:ind w:left="2132" w:right="2065"/>
        <w:jc w:val="center"/>
        <w:rPr>
          <w:rFonts w:ascii="Arial"/>
          <w:b/>
          <w:sz w:val="19"/>
        </w:rPr>
      </w:pPr>
      <w:r>
        <w:pict w14:anchorId="51DE9D09">
          <v:line id="_x0000_s3216" style="position:absolute;left:0;text-align:left;z-index:251691520;mso-position-horizontal-relative:page" from="64.2pt,15pt" to="528.75pt,15pt" strokeweight=".35361mm">
            <w10:wrap anchorx="page"/>
          </v:line>
        </w:pict>
      </w:r>
      <w:r>
        <w:rPr>
          <w:rFonts w:ascii="Arial"/>
          <w:b/>
          <w:color w:val="111111"/>
          <w:w w:val="95"/>
          <w:sz w:val="19"/>
        </w:rPr>
        <w:t>Business</w:t>
      </w:r>
      <w:r>
        <w:rPr>
          <w:rFonts w:ascii="Arial"/>
          <w:b/>
          <w:color w:val="111111"/>
          <w:spacing w:val="3"/>
          <w:sz w:val="19"/>
        </w:rPr>
        <w:t xml:space="preserve"> </w:t>
      </w:r>
      <w:r>
        <w:rPr>
          <w:rFonts w:ascii="Arial"/>
          <w:b/>
          <w:color w:val="111111"/>
          <w:w w:val="95"/>
          <w:sz w:val="19"/>
        </w:rPr>
        <w:t>Confidential</w:t>
      </w:r>
      <w:r>
        <w:rPr>
          <w:rFonts w:ascii="Arial"/>
          <w:b/>
          <w:color w:val="111111"/>
          <w:spacing w:val="22"/>
          <w:sz w:val="19"/>
        </w:rPr>
        <w:t xml:space="preserve"> </w:t>
      </w:r>
      <w:r>
        <w:rPr>
          <w:rFonts w:ascii="Arial"/>
          <w:b/>
          <w:color w:val="111111"/>
          <w:w w:val="95"/>
          <w:sz w:val="19"/>
        </w:rPr>
        <w:t>Information</w:t>
      </w:r>
      <w:r>
        <w:rPr>
          <w:rFonts w:ascii="Arial"/>
          <w:b/>
          <w:color w:val="111111"/>
          <w:spacing w:val="11"/>
          <w:sz w:val="19"/>
        </w:rPr>
        <w:t xml:space="preserve"> </w:t>
      </w:r>
      <w:r>
        <w:rPr>
          <w:rFonts w:ascii="Arial"/>
          <w:color w:val="111111"/>
          <w:w w:val="95"/>
          <w:sz w:val="19"/>
        </w:rPr>
        <w:t>-</w:t>
      </w:r>
      <w:r>
        <w:rPr>
          <w:rFonts w:ascii="Arial"/>
          <w:color w:val="111111"/>
          <w:spacing w:val="17"/>
          <w:sz w:val="19"/>
        </w:rPr>
        <w:t xml:space="preserve"> </w:t>
      </w:r>
      <w:r>
        <w:rPr>
          <w:rFonts w:ascii="Arial"/>
          <w:b/>
          <w:color w:val="111111"/>
          <w:spacing w:val="-2"/>
          <w:w w:val="95"/>
          <w:sz w:val="19"/>
        </w:rPr>
        <w:t>REDACTED</w:t>
      </w:r>
    </w:p>
    <w:p w14:paraId="51DE7929" w14:textId="77777777" w:rsidR="0010369C" w:rsidRDefault="0010369C">
      <w:pPr>
        <w:jc w:val="center"/>
        <w:rPr>
          <w:rFonts w:ascii="Arial"/>
          <w:sz w:val="19"/>
        </w:rPr>
        <w:sectPr w:rsidR="0010369C">
          <w:headerReference w:type="default" r:id="rId22"/>
          <w:footerReference w:type="default" r:id="rId23"/>
          <w:pgSz w:w="11910" w:h="16840"/>
          <w:pgMar w:top="500" w:right="1220" w:bottom="1020" w:left="1180" w:header="0" w:footer="826" w:gutter="0"/>
          <w:cols w:space="720"/>
        </w:sectPr>
      </w:pPr>
    </w:p>
    <w:p w14:paraId="51DE792A" w14:textId="77777777" w:rsidR="0010369C" w:rsidRDefault="008E43AE">
      <w:pPr>
        <w:spacing w:before="43" w:line="285" w:lineRule="auto"/>
        <w:ind w:left="239" w:hanging="8"/>
        <w:rPr>
          <w:rFonts w:ascii="Arial"/>
          <w:sz w:val="18"/>
        </w:rPr>
      </w:pPr>
      <w:r>
        <w:rPr>
          <w:rFonts w:ascii="Times New Roman"/>
          <w:i/>
          <w:color w:val="282828"/>
          <w:w w:val="105"/>
          <w:sz w:val="19"/>
        </w:rPr>
        <w:t>China</w:t>
      </w:r>
      <w:r>
        <w:rPr>
          <w:rFonts w:ascii="Times New Roman"/>
          <w:i/>
          <w:color w:val="282828"/>
          <w:spacing w:val="-13"/>
          <w:w w:val="105"/>
          <w:sz w:val="19"/>
        </w:rPr>
        <w:t xml:space="preserve"> </w:t>
      </w:r>
      <w:r>
        <w:rPr>
          <w:rFonts w:ascii="Times New Roman"/>
          <w:color w:val="111111"/>
          <w:w w:val="105"/>
          <w:sz w:val="19"/>
        </w:rPr>
        <w:t>-</w:t>
      </w:r>
      <w:r>
        <w:rPr>
          <w:rFonts w:ascii="Times New Roman"/>
          <w:color w:val="111111"/>
          <w:spacing w:val="11"/>
          <w:w w:val="105"/>
          <w:sz w:val="19"/>
        </w:rPr>
        <w:t xml:space="preserve"> </w:t>
      </w:r>
      <w:r>
        <w:rPr>
          <w:rFonts w:ascii="Times New Roman"/>
          <w:i/>
          <w:color w:val="111111"/>
          <w:w w:val="105"/>
          <w:sz w:val="19"/>
        </w:rPr>
        <w:t>Anti-Dumping</w:t>
      </w:r>
      <w:r>
        <w:rPr>
          <w:rFonts w:ascii="Times New Roman"/>
          <w:i/>
          <w:color w:val="111111"/>
          <w:spacing w:val="-12"/>
          <w:w w:val="105"/>
          <w:sz w:val="19"/>
        </w:rPr>
        <w:t xml:space="preserve"> </w:t>
      </w:r>
      <w:r>
        <w:rPr>
          <w:rFonts w:ascii="Times New Roman"/>
          <w:i/>
          <w:color w:val="282828"/>
          <w:w w:val="105"/>
          <w:sz w:val="19"/>
        </w:rPr>
        <w:t>and</w:t>
      </w:r>
      <w:r>
        <w:rPr>
          <w:rFonts w:ascii="Times New Roman"/>
          <w:i/>
          <w:color w:val="282828"/>
          <w:spacing w:val="-12"/>
          <w:w w:val="105"/>
          <w:sz w:val="19"/>
        </w:rPr>
        <w:t xml:space="preserve"> </w:t>
      </w:r>
      <w:r>
        <w:rPr>
          <w:rFonts w:ascii="Times New Roman"/>
          <w:i/>
          <w:color w:val="282828"/>
          <w:w w:val="105"/>
          <w:sz w:val="19"/>
        </w:rPr>
        <w:t>Countervailing</w:t>
      </w:r>
      <w:r>
        <w:rPr>
          <w:rFonts w:ascii="Times New Roman"/>
          <w:i/>
          <w:color w:val="282828"/>
          <w:spacing w:val="-13"/>
          <w:w w:val="105"/>
          <w:sz w:val="19"/>
        </w:rPr>
        <w:t xml:space="preserve"> </w:t>
      </w:r>
      <w:r>
        <w:rPr>
          <w:rFonts w:ascii="Times New Roman"/>
          <w:i/>
          <w:color w:val="111111"/>
          <w:w w:val="105"/>
          <w:sz w:val="19"/>
        </w:rPr>
        <w:t>Duty</w:t>
      </w:r>
      <w:r>
        <w:rPr>
          <w:rFonts w:ascii="Times New Roman"/>
          <w:i/>
          <w:color w:val="111111"/>
          <w:spacing w:val="-13"/>
          <w:w w:val="105"/>
          <w:sz w:val="19"/>
        </w:rPr>
        <w:t xml:space="preserve"> </w:t>
      </w:r>
      <w:r>
        <w:rPr>
          <w:rFonts w:ascii="Times New Roman"/>
          <w:i/>
          <w:color w:val="111111"/>
          <w:w w:val="105"/>
          <w:sz w:val="19"/>
        </w:rPr>
        <w:t xml:space="preserve">Measures </w:t>
      </w:r>
      <w:r>
        <w:rPr>
          <w:rFonts w:ascii="Times New Roman"/>
          <w:i/>
          <w:color w:val="282828"/>
          <w:w w:val="105"/>
          <w:sz w:val="19"/>
          <w:u w:val="thick" w:color="111111"/>
        </w:rPr>
        <w:t xml:space="preserve">on </w:t>
      </w:r>
      <w:r>
        <w:rPr>
          <w:rFonts w:ascii="Times New Roman"/>
          <w:i/>
          <w:color w:val="111111"/>
          <w:w w:val="105"/>
          <w:sz w:val="19"/>
          <w:u w:val="thick" w:color="111111"/>
        </w:rPr>
        <w:t xml:space="preserve">Wine </w:t>
      </w:r>
      <w:r>
        <w:rPr>
          <w:rFonts w:ascii="Times New Roman"/>
          <w:i/>
          <w:color w:val="282828"/>
          <w:w w:val="105"/>
          <w:sz w:val="19"/>
          <w:u w:val="thick" w:color="111111"/>
        </w:rPr>
        <w:t xml:space="preserve">from </w:t>
      </w:r>
      <w:r>
        <w:rPr>
          <w:rFonts w:ascii="Times New Roman"/>
          <w:i/>
          <w:color w:val="111111"/>
          <w:w w:val="105"/>
          <w:sz w:val="19"/>
          <w:u w:val="thick" w:color="111111"/>
        </w:rPr>
        <w:t>Australia</w:t>
      </w:r>
      <w:r>
        <w:rPr>
          <w:rFonts w:ascii="Times New Roman"/>
          <w:i/>
          <w:color w:val="111111"/>
          <w:w w:val="105"/>
          <w:sz w:val="19"/>
        </w:rPr>
        <w:t xml:space="preserve"> </w:t>
      </w:r>
      <w:r>
        <w:rPr>
          <w:rFonts w:ascii="Arial"/>
          <w:color w:val="282828"/>
          <w:w w:val="105"/>
          <w:sz w:val="18"/>
        </w:rPr>
        <w:t>(D5602)</w:t>
      </w:r>
    </w:p>
    <w:p w14:paraId="51DE792B" w14:textId="77777777" w:rsidR="0010369C" w:rsidRDefault="008E43AE">
      <w:pPr>
        <w:spacing w:before="61"/>
        <w:ind w:left="355"/>
        <w:rPr>
          <w:rFonts w:ascii="Arial"/>
          <w:b/>
          <w:sz w:val="19"/>
        </w:rPr>
      </w:pPr>
      <w:r>
        <w:rPr>
          <w:rFonts w:ascii="Arial"/>
          <w:b/>
          <w:color w:val="111111"/>
          <w:w w:val="105"/>
          <w:sz w:val="19"/>
        </w:rPr>
        <w:t>AUS-</w:t>
      </w:r>
      <w:r>
        <w:rPr>
          <w:rFonts w:ascii="Arial"/>
          <w:b/>
          <w:color w:val="111111"/>
          <w:spacing w:val="-5"/>
          <w:w w:val="105"/>
          <w:sz w:val="19"/>
        </w:rPr>
        <w:t>33</w:t>
      </w:r>
    </w:p>
    <w:p w14:paraId="51DE792C" w14:textId="77777777" w:rsidR="0010369C" w:rsidRDefault="008E43AE">
      <w:pPr>
        <w:spacing w:before="53"/>
        <w:ind w:left="354"/>
        <w:rPr>
          <w:rFonts w:ascii="Arial"/>
          <w:b/>
          <w:sz w:val="21"/>
        </w:rPr>
      </w:pPr>
      <w:r>
        <w:rPr>
          <w:rFonts w:ascii="Arial"/>
          <w:b/>
          <w:color w:val="111111"/>
          <w:spacing w:val="-2"/>
          <w:sz w:val="21"/>
        </w:rPr>
        <w:t>(BCI)</w:t>
      </w:r>
    </w:p>
    <w:p w14:paraId="51DE792D" w14:textId="77777777" w:rsidR="0010369C" w:rsidRDefault="008E43AE">
      <w:pPr>
        <w:spacing w:before="52"/>
        <w:ind w:right="166"/>
        <w:jc w:val="right"/>
        <w:rPr>
          <w:rFonts w:ascii="Arial"/>
          <w:sz w:val="18"/>
        </w:rPr>
      </w:pPr>
      <w:r>
        <w:br w:type="column"/>
      </w:r>
      <w:r>
        <w:rPr>
          <w:rFonts w:ascii="Arial"/>
          <w:color w:val="111111"/>
          <w:w w:val="105"/>
          <w:sz w:val="18"/>
        </w:rPr>
        <w:t>Au</w:t>
      </w:r>
      <w:r>
        <w:rPr>
          <w:rFonts w:ascii="Arial"/>
          <w:color w:val="3B3B3B"/>
          <w:w w:val="105"/>
          <w:sz w:val="18"/>
        </w:rPr>
        <w:t>s</w:t>
      </w:r>
      <w:r>
        <w:rPr>
          <w:rFonts w:ascii="Arial"/>
          <w:color w:val="111111"/>
          <w:w w:val="105"/>
          <w:sz w:val="18"/>
        </w:rPr>
        <w:t>tralia's</w:t>
      </w:r>
      <w:r>
        <w:rPr>
          <w:rFonts w:ascii="Arial"/>
          <w:color w:val="111111"/>
          <w:spacing w:val="-23"/>
          <w:w w:val="105"/>
          <w:sz w:val="18"/>
        </w:rPr>
        <w:t xml:space="preserve"> </w:t>
      </w:r>
      <w:r>
        <w:rPr>
          <w:rFonts w:ascii="Arial"/>
          <w:color w:val="111111"/>
          <w:w w:val="105"/>
          <w:sz w:val="18"/>
        </w:rPr>
        <w:t>First</w:t>
      </w:r>
      <w:r>
        <w:rPr>
          <w:rFonts w:ascii="Arial"/>
          <w:color w:val="111111"/>
          <w:spacing w:val="-6"/>
          <w:w w:val="105"/>
          <w:sz w:val="18"/>
        </w:rPr>
        <w:t xml:space="preserve"> </w:t>
      </w:r>
      <w:r>
        <w:rPr>
          <w:rFonts w:ascii="Arial"/>
          <w:color w:val="111111"/>
          <w:w w:val="105"/>
          <w:sz w:val="18"/>
        </w:rPr>
        <w:t>Written</w:t>
      </w:r>
      <w:r>
        <w:rPr>
          <w:rFonts w:ascii="Arial"/>
          <w:color w:val="111111"/>
          <w:spacing w:val="-12"/>
          <w:w w:val="105"/>
          <w:sz w:val="18"/>
        </w:rPr>
        <w:t xml:space="preserve"> </w:t>
      </w:r>
      <w:r>
        <w:rPr>
          <w:rFonts w:ascii="Arial"/>
          <w:color w:val="282828"/>
          <w:spacing w:val="-2"/>
          <w:w w:val="105"/>
          <w:sz w:val="18"/>
        </w:rPr>
        <w:t>Submission</w:t>
      </w:r>
    </w:p>
    <w:p w14:paraId="51DE792E" w14:textId="77777777" w:rsidR="0010369C" w:rsidRDefault="008E43AE">
      <w:pPr>
        <w:spacing w:before="43"/>
        <w:ind w:right="153"/>
        <w:jc w:val="right"/>
        <w:rPr>
          <w:rFonts w:ascii="Arial"/>
          <w:sz w:val="18"/>
        </w:rPr>
      </w:pPr>
      <w:r>
        <w:rPr>
          <w:rFonts w:ascii="Arial"/>
          <w:color w:val="111111"/>
          <w:w w:val="105"/>
          <w:sz w:val="18"/>
        </w:rPr>
        <w:t>29</w:t>
      </w:r>
      <w:r>
        <w:rPr>
          <w:rFonts w:ascii="Arial"/>
          <w:color w:val="111111"/>
          <w:spacing w:val="-12"/>
          <w:w w:val="105"/>
          <w:sz w:val="18"/>
        </w:rPr>
        <w:t xml:space="preserve"> </w:t>
      </w:r>
      <w:r>
        <w:rPr>
          <w:rFonts w:ascii="Arial"/>
          <w:color w:val="111111"/>
          <w:w w:val="105"/>
          <w:sz w:val="18"/>
        </w:rPr>
        <w:t>April</w:t>
      </w:r>
      <w:r>
        <w:rPr>
          <w:rFonts w:ascii="Arial"/>
          <w:color w:val="111111"/>
          <w:spacing w:val="-6"/>
          <w:w w:val="105"/>
          <w:sz w:val="18"/>
        </w:rPr>
        <w:t xml:space="preserve"> </w:t>
      </w:r>
      <w:r>
        <w:rPr>
          <w:rFonts w:ascii="Arial"/>
          <w:color w:val="111111"/>
          <w:spacing w:val="-4"/>
          <w:w w:val="105"/>
          <w:sz w:val="18"/>
        </w:rPr>
        <w:t>2022</w:t>
      </w:r>
    </w:p>
    <w:p w14:paraId="51DE792F" w14:textId="77777777" w:rsidR="0010369C" w:rsidRDefault="0010369C">
      <w:pPr>
        <w:jc w:val="right"/>
        <w:rPr>
          <w:rFonts w:ascii="Arial"/>
          <w:sz w:val="18"/>
        </w:rPr>
        <w:sectPr w:rsidR="0010369C">
          <w:type w:val="continuous"/>
          <w:pgSz w:w="11910" w:h="16840"/>
          <w:pgMar w:top="1460" w:right="1220" w:bottom="280" w:left="1180" w:header="0" w:footer="826" w:gutter="0"/>
          <w:cols w:num="2" w:space="720" w:equalWidth="0">
            <w:col w:w="4921" w:space="1293"/>
            <w:col w:w="3296"/>
          </w:cols>
        </w:sectPr>
      </w:pPr>
    </w:p>
    <w:p w14:paraId="51DE7930" w14:textId="77777777" w:rsidR="0010369C" w:rsidRDefault="0010369C">
      <w:pPr>
        <w:pStyle w:val="BodyText"/>
        <w:rPr>
          <w:rFonts w:ascii="Arial"/>
          <w:sz w:val="20"/>
        </w:rPr>
      </w:pPr>
    </w:p>
    <w:p w14:paraId="51DE7931" w14:textId="77777777" w:rsidR="0010369C" w:rsidRDefault="0010369C">
      <w:pPr>
        <w:pStyle w:val="BodyText"/>
        <w:spacing w:before="5"/>
        <w:rPr>
          <w:rFonts w:ascii="Arial"/>
          <w:sz w:val="28"/>
        </w:rPr>
      </w:pPr>
    </w:p>
    <w:p w14:paraId="51DE7932" w14:textId="77777777" w:rsidR="0010369C" w:rsidRDefault="008E43AE">
      <w:pPr>
        <w:spacing w:before="94" w:line="288" w:lineRule="auto"/>
        <w:ind w:left="352" w:right="8411" w:firstLine="3"/>
        <w:rPr>
          <w:rFonts w:ascii="Arial"/>
          <w:sz w:val="21"/>
        </w:rPr>
      </w:pPr>
      <w:r>
        <w:rPr>
          <w:rFonts w:ascii="Arial"/>
          <w:color w:val="111111"/>
          <w:spacing w:val="-2"/>
          <w:sz w:val="21"/>
        </w:rPr>
        <w:t>AUS-34 (BCI)</w:t>
      </w:r>
    </w:p>
    <w:p w14:paraId="51DE7933" w14:textId="77777777" w:rsidR="0010369C" w:rsidRDefault="0010369C">
      <w:pPr>
        <w:pStyle w:val="BodyText"/>
        <w:rPr>
          <w:rFonts w:ascii="Arial"/>
          <w:sz w:val="20"/>
        </w:rPr>
      </w:pPr>
    </w:p>
    <w:p w14:paraId="51DE7934" w14:textId="77777777" w:rsidR="0010369C" w:rsidRDefault="0010369C">
      <w:pPr>
        <w:pStyle w:val="BodyText"/>
        <w:spacing w:before="3"/>
        <w:rPr>
          <w:rFonts w:ascii="Arial"/>
        </w:rPr>
      </w:pPr>
    </w:p>
    <w:p w14:paraId="51DE7935" w14:textId="77777777" w:rsidR="0010369C" w:rsidRDefault="0010369C">
      <w:pPr>
        <w:rPr>
          <w:rFonts w:ascii="Arial"/>
        </w:rPr>
        <w:sectPr w:rsidR="0010369C">
          <w:type w:val="continuous"/>
          <w:pgSz w:w="11910" w:h="16840"/>
          <w:pgMar w:top="1460" w:right="1220" w:bottom="280" w:left="1180" w:header="0" w:footer="826" w:gutter="0"/>
          <w:cols w:space="720"/>
        </w:sectPr>
      </w:pPr>
    </w:p>
    <w:p w14:paraId="51DE7936" w14:textId="77777777" w:rsidR="0010369C" w:rsidRDefault="008E43AE">
      <w:pPr>
        <w:spacing w:before="94"/>
        <w:ind w:left="355"/>
        <w:rPr>
          <w:rFonts w:ascii="Arial"/>
          <w:sz w:val="21"/>
        </w:rPr>
      </w:pPr>
      <w:r>
        <w:rPr>
          <w:rFonts w:ascii="Arial"/>
          <w:color w:val="111111"/>
          <w:w w:val="95"/>
          <w:sz w:val="21"/>
        </w:rPr>
        <w:t>AUS-</w:t>
      </w:r>
      <w:r>
        <w:rPr>
          <w:rFonts w:ascii="Arial"/>
          <w:color w:val="111111"/>
          <w:spacing w:val="-5"/>
          <w:sz w:val="21"/>
        </w:rPr>
        <w:t>35</w:t>
      </w:r>
    </w:p>
    <w:p w14:paraId="51DE7937" w14:textId="77777777" w:rsidR="0010369C" w:rsidRDefault="008E43AE">
      <w:pPr>
        <w:spacing w:before="94" w:line="292" w:lineRule="auto"/>
        <w:ind w:left="355" w:firstLine="3"/>
        <w:rPr>
          <w:rFonts w:ascii="Arial"/>
          <w:sz w:val="21"/>
        </w:rPr>
      </w:pPr>
      <w:r>
        <w:br w:type="column"/>
      </w:r>
      <w:r>
        <w:rPr>
          <w:rFonts w:ascii="Arial"/>
          <w:color w:val="111111"/>
          <w:w w:val="105"/>
          <w:sz w:val="21"/>
        </w:rPr>
        <w:t>MOFCOM, "Preliminary Ruling</w:t>
      </w:r>
      <w:r>
        <w:rPr>
          <w:rFonts w:ascii="Arial"/>
          <w:color w:val="111111"/>
          <w:spacing w:val="-5"/>
          <w:w w:val="105"/>
          <w:sz w:val="21"/>
        </w:rPr>
        <w:t xml:space="preserve"> </w:t>
      </w:r>
      <w:r>
        <w:rPr>
          <w:rFonts w:ascii="Arial"/>
          <w:color w:val="111111"/>
          <w:w w:val="105"/>
          <w:sz w:val="21"/>
        </w:rPr>
        <w:t>of the Ministry of</w:t>
      </w:r>
      <w:r>
        <w:rPr>
          <w:rFonts w:ascii="Arial"/>
          <w:color w:val="111111"/>
          <w:spacing w:val="-16"/>
          <w:w w:val="105"/>
          <w:sz w:val="21"/>
        </w:rPr>
        <w:t xml:space="preserve"> </w:t>
      </w:r>
      <w:r>
        <w:rPr>
          <w:rFonts w:ascii="Arial"/>
          <w:color w:val="111111"/>
          <w:w w:val="105"/>
          <w:sz w:val="21"/>
        </w:rPr>
        <w:t>Commerce</w:t>
      </w:r>
      <w:r>
        <w:rPr>
          <w:rFonts w:ascii="Arial"/>
          <w:color w:val="111111"/>
          <w:spacing w:val="-15"/>
          <w:w w:val="105"/>
          <w:sz w:val="21"/>
        </w:rPr>
        <w:t xml:space="preserve"> </w:t>
      </w:r>
      <w:r>
        <w:rPr>
          <w:rFonts w:ascii="Arial"/>
          <w:color w:val="111111"/>
          <w:w w:val="105"/>
          <w:sz w:val="21"/>
        </w:rPr>
        <w:t>of</w:t>
      </w:r>
      <w:r>
        <w:rPr>
          <w:rFonts w:ascii="Arial"/>
          <w:color w:val="111111"/>
          <w:spacing w:val="-13"/>
          <w:w w:val="105"/>
          <w:sz w:val="21"/>
        </w:rPr>
        <w:t xml:space="preserve"> </w:t>
      </w:r>
      <w:r>
        <w:rPr>
          <w:rFonts w:ascii="Arial"/>
          <w:color w:val="111111"/>
          <w:w w:val="105"/>
          <w:sz w:val="21"/>
        </w:rPr>
        <w:t>the</w:t>
      </w:r>
      <w:r>
        <w:rPr>
          <w:rFonts w:ascii="Arial"/>
          <w:color w:val="111111"/>
          <w:spacing w:val="-5"/>
          <w:w w:val="105"/>
          <w:sz w:val="21"/>
        </w:rPr>
        <w:t xml:space="preserve"> </w:t>
      </w:r>
      <w:r>
        <w:rPr>
          <w:rFonts w:ascii="Arial"/>
          <w:color w:val="111111"/>
          <w:w w:val="105"/>
          <w:sz w:val="21"/>
        </w:rPr>
        <w:t>Peoples</w:t>
      </w:r>
      <w:r>
        <w:rPr>
          <w:rFonts w:ascii="Arial"/>
          <w:color w:val="111111"/>
          <w:spacing w:val="-16"/>
          <w:w w:val="105"/>
          <w:sz w:val="21"/>
        </w:rPr>
        <w:t xml:space="preserve"> </w:t>
      </w:r>
      <w:r>
        <w:rPr>
          <w:rFonts w:ascii="Arial"/>
          <w:color w:val="111111"/>
          <w:w w:val="105"/>
          <w:sz w:val="21"/>
        </w:rPr>
        <w:t>Republic</w:t>
      </w:r>
      <w:r>
        <w:rPr>
          <w:rFonts w:ascii="Arial"/>
          <w:color w:val="111111"/>
          <w:spacing w:val="-14"/>
          <w:w w:val="105"/>
          <w:sz w:val="21"/>
        </w:rPr>
        <w:t xml:space="preserve"> </w:t>
      </w:r>
      <w:r>
        <w:rPr>
          <w:rFonts w:ascii="Arial"/>
          <w:color w:val="111111"/>
          <w:w w:val="105"/>
          <w:sz w:val="21"/>
        </w:rPr>
        <w:t>of</w:t>
      </w:r>
      <w:r>
        <w:rPr>
          <w:rFonts w:ascii="Arial"/>
          <w:color w:val="111111"/>
          <w:spacing w:val="-14"/>
          <w:w w:val="105"/>
          <w:sz w:val="21"/>
        </w:rPr>
        <w:t xml:space="preserve"> </w:t>
      </w:r>
      <w:r>
        <w:rPr>
          <w:rFonts w:ascii="Arial"/>
          <w:color w:val="111111"/>
          <w:w w:val="105"/>
          <w:sz w:val="21"/>
        </w:rPr>
        <w:t xml:space="preserve">China on Anti-Dumping Investigation into Relevant </w:t>
      </w:r>
      <w:r>
        <w:rPr>
          <w:rFonts w:ascii="Arial"/>
          <w:w w:val="105"/>
          <w:sz w:val="21"/>
        </w:rPr>
        <w:t xml:space="preserve">Imported </w:t>
      </w:r>
      <w:r>
        <w:rPr>
          <w:rFonts w:ascii="Arial"/>
          <w:color w:val="111111"/>
          <w:w w:val="105"/>
          <w:sz w:val="21"/>
        </w:rPr>
        <w:t>Wines Originating in Australia", 30</w:t>
      </w:r>
    </w:p>
    <w:p w14:paraId="51DE7938" w14:textId="77777777" w:rsidR="0010369C" w:rsidRDefault="008E43AE">
      <w:pPr>
        <w:spacing w:line="166" w:lineRule="exact"/>
        <w:ind w:left="365"/>
        <w:rPr>
          <w:rFonts w:ascii="Arial"/>
          <w:sz w:val="21"/>
        </w:rPr>
      </w:pPr>
      <w:r>
        <w:rPr>
          <w:rFonts w:ascii="Arial"/>
          <w:color w:val="111111"/>
          <w:sz w:val="21"/>
        </w:rPr>
        <w:t>August</w:t>
      </w:r>
      <w:r>
        <w:rPr>
          <w:rFonts w:ascii="Arial"/>
          <w:color w:val="111111"/>
          <w:spacing w:val="9"/>
          <w:sz w:val="21"/>
        </w:rPr>
        <w:t xml:space="preserve"> </w:t>
      </w:r>
      <w:r>
        <w:rPr>
          <w:rFonts w:ascii="Arial"/>
          <w:color w:val="111111"/>
          <w:sz w:val="21"/>
        </w:rPr>
        <w:t>2020</w:t>
      </w:r>
      <w:r>
        <w:rPr>
          <w:rFonts w:ascii="Arial"/>
          <w:color w:val="111111"/>
          <w:spacing w:val="-5"/>
          <w:sz w:val="21"/>
        </w:rPr>
        <w:t xml:space="preserve"> </w:t>
      </w:r>
      <w:r>
        <w:rPr>
          <w:rFonts w:ascii="Arial"/>
          <w:color w:val="111111"/>
          <w:sz w:val="21"/>
        </w:rPr>
        <w:t>(English</w:t>
      </w:r>
      <w:r>
        <w:rPr>
          <w:rFonts w:ascii="Arial"/>
          <w:color w:val="111111"/>
          <w:spacing w:val="13"/>
          <w:sz w:val="21"/>
        </w:rPr>
        <w:t xml:space="preserve"> </w:t>
      </w:r>
      <w:r>
        <w:rPr>
          <w:rFonts w:ascii="Arial"/>
          <w:color w:val="111111"/>
          <w:spacing w:val="-2"/>
          <w:sz w:val="21"/>
        </w:rPr>
        <w:t>Translation)</w:t>
      </w:r>
    </w:p>
    <w:p w14:paraId="51DE7939" w14:textId="77777777" w:rsidR="0010369C" w:rsidRDefault="008E43AE">
      <w:pPr>
        <w:spacing w:before="94" w:line="288" w:lineRule="auto"/>
        <w:ind w:left="206" w:firstLine="6"/>
        <w:rPr>
          <w:rFonts w:ascii="Arial"/>
          <w:sz w:val="21"/>
        </w:rPr>
      </w:pPr>
      <w:r>
        <w:br w:type="column"/>
      </w:r>
      <w:r>
        <w:rPr>
          <w:rFonts w:ascii="Arial"/>
          <w:color w:val="111111"/>
          <w:w w:val="105"/>
          <w:sz w:val="21"/>
        </w:rPr>
        <w:t xml:space="preserve">Anti-Dumping Preliminary </w:t>
      </w:r>
      <w:r>
        <w:rPr>
          <w:rFonts w:ascii="Arial"/>
          <w:color w:val="111111"/>
          <w:spacing w:val="-2"/>
          <w:w w:val="105"/>
          <w:sz w:val="21"/>
        </w:rPr>
        <w:t>Determination</w:t>
      </w:r>
    </w:p>
    <w:p w14:paraId="51DE793A" w14:textId="77777777" w:rsidR="0010369C" w:rsidRDefault="0010369C">
      <w:pPr>
        <w:spacing w:line="288" w:lineRule="auto"/>
        <w:rPr>
          <w:rFonts w:ascii="Arial"/>
          <w:sz w:val="21"/>
        </w:rPr>
        <w:sectPr w:rsidR="0010369C">
          <w:type w:val="continuous"/>
          <w:pgSz w:w="11910" w:h="16840"/>
          <w:pgMar w:top="1460" w:right="1220" w:bottom="280" w:left="1180" w:header="0" w:footer="826" w:gutter="0"/>
          <w:cols w:num="3" w:space="720" w:equalWidth="0">
            <w:col w:w="1110" w:space="64"/>
            <w:col w:w="4899" w:space="40"/>
            <w:col w:w="3397"/>
          </w:cols>
        </w:sectPr>
      </w:pPr>
    </w:p>
    <w:p w14:paraId="51DE793B" w14:textId="77777777" w:rsidR="0010369C" w:rsidRDefault="008E43AE">
      <w:pPr>
        <w:tabs>
          <w:tab w:val="left" w:leader="hyphen" w:pos="1160"/>
        </w:tabs>
        <w:spacing w:line="154" w:lineRule="exact"/>
        <w:ind w:left="209"/>
        <w:rPr>
          <w:rFonts w:ascii="Arial"/>
          <w:sz w:val="16"/>
        </w:rPr>
      </w:pPr>
      <w:r>
        <w:pict w14:anchorId="51DE9D0A">
          <v:group id="docshapegroup39" o:spid="_x0000_s3207" style="position:absolute;left:0;text-align:left;margin-left:70.25pt;margin-top:67.15pt;width:457.05pt;height:698.7pt;z-index:-251432448;mso-position-horizontal-relative:page;mso-position-vertical-relative:page" coordorigin="1405,1343" coordsize="9141,13974">
            <v:shape id="docshape40" o:spid="_x0000_s3215" type="#_x0000_t75" style="position:absolute;left:2568;top:1373;width:7977;height:2396">
              <v:imagedata r:id="rId24" o:title=""/>
            </v:shape>
            <v:shape id="docshape41" o:spid="_x0000_s3214" type="#_x0000_t75" style="position:absolute;left:2568;top:5182;width:7977;height:2136">
              <v:imagedata r:id="rId25" o:title=""/>
            </v:shape>
            <v:shape id="docshape42" o:spid="_x0000_s3213" style="position:absolute;left:1414;top:1343;width:9101;height:13974" coordorigin="1415,1343" coordsize="9101,13974" o:spt="100" adj="0,,0" path="m2609,5152r,-1383m7385,5172r,-1403m10515,5172r,-1403m1415,15316r,-13973e" filled="f" strokeweight=".35378mm">
              <v:stroke joinstyle="round"/>
              <v:formulas/>
              <v:path arrowok="t" o:connecttype="segments"/>
            </v:shape>
            <v:line id="_x0000_s3212" style="position:absolute" from="1405,2536" to="2569,2536" strokeweight=".17681mm"/>
            <v:shape id="docshape43" o:spid="_x0000_s3211" style="position:absolute;left:1404;top:3728;width:1164;height:3549" coordorigin="1405,3729" coordsize="1164,3549" o:spt="100" adj="0,,0" path="m1405,3729r1164,m1405,6095r1164,m1405,7277r1164,e" filled="f" strokeweight=".35378mm">
              <v:stroke joinstyle="round"/>
              <v:formulas/>
              <v:path arrowok="t" o:connecttype="segments"/>
            </v:shape>
            <v:shape id="docshape44" o:spid="_x0000_s3210" style="position:absolute;left:1535;top:8169;width:8971;height:1484" coordorigin="1535,8169" coordsize="8971,1484" o:spt="100" adj="0,,0" path="m1535,8169r8970,m1535,8771r8970,m1535,9653r8970,e" filled="f" strokeweight=".53069mm">
              <v:stroke joinstyle="round"/>
              <v:formulas/>
              <v:path arrowok="t" o:connecttype="segments"/>
            </v:shape>
            <v:line id="_x0000_s3209" style="position:absolute" from="1535,10545" to="10505,10545" strokeweight=".35361mm"/>
            <v:shape id="docshape45" o:spid="_x0000_s3208" style="position:absolute;left:1535;top:11437;width:8971;height:3840" coordorigin="1535,11437" coordsize="8971,3840" o:spt="100" adj="0,,0" path="m1535,11437r8970,m1535,12319r8970,m1535,13502r8970,m1535,14404r8970,m1535,15276r8970,e" filled="f" strokeweight=".53069mm">
              <v:stroke joinstyle="round"/>
              <v:formulas/>
              <v:path arrowok="t" o:connecttype="segments"/>
            </v:shape>
            <w10:wrap anchorx="page" anchory="page"/>
          </v:group>
        </w:pict>
      </w:r>
      <w:r>
        <w:rPr>
          <w:rFonts w:ascii="Arial"/>
          <w:color w:val="282828"/>
          <w:spacing w:val="-10"/>
          <w:w w:val="260"/>
          <w:sz w:val="16"/>
        </w:rPr>
        <w:t>I</w:t>
      </w:r>
      <w:r>
        <w:rPr>
          <w:rFonts w:ascii="Arial"/>
          <w:color w:val="282828"/>
          <w:sz w:val="16"/>
        </w:rPr>
        <w:tab/>
      </w:r>
      <w:r>
        <w:rPr>
          <w:rFonts w:ascii="Arial"/>
          <w:color w:val="282828"/>
          <w:spacing w:val="-5"/>
          <w:w w:val="260"/>
          <w:sz w:val="16"/>
        </w:rPr>
        <w:t>+-</w:t>
      </w:r>
    </w:p>
    <w:p w14:paraId="51DE793C" w14:textId="77777777" w:rsidR="0010369C" w:rsidRDefault="008E43AE">
      <w:pPr>
        <w:spacing w:line="216" w:lineRule="exact"/>
        <w:ind w:left="355"/>
        <w:rPr>
          <w:rFonts w:ascii="Arial"/>
          <w:sz w:val="21"/>
        </w:rPr>
      </w:pPr>
      <w:r>
        <w:rPr>
          <w:rFonts w:ascii="Arial"/>
          <w:color w:val="111111"/>
          <w:w w:val="95"/>
          <w:sz w:val="21"/>
        </w:rPr>
        <w:t>AUS-</w:t>
      </w:r>
      <w:r>
        <w:rPr>
          <w:rFonts w:ascii="Arial"/>
          <w:color w:val="111111"/>
          <w:spacing w:val="-5"/>
          <w:sz w:val="21"/>
        </w:rPr>
        <w:t>36</w:t>
      </w:r>
    </w:p>
    <w:p w14:paraId="51DE793D" w14:textId="77777777" w:rsidR="0010369C" w:rsidRDefault="008E43AE">
      <w:pPr>
        <w:spacing w:before="59"/>
        <w:ind w:left="352"/>
        <w:rPr>
          <w:rFonts w:ascii="Arial"/>
          <w:sz w:val="21"/>
        </w:rPr>
      </w:pPr>
      <w:r>
        <w:rPr>
          <w:rFonts w:ascii="Arial"/>
          <w:color w:val="111111"/>
          <w:spacing w:val="-2"/>
          <w:sz w:val="21"/>
        </w:rPr>
        <w:t>(BCI)</w:t>
      </w:r>
    </w:p>
    <w:p w14:paraId="51DE793E" w14:textId="77777777" w:rsidR="0010369C" w:rsidRDefault="0010369C">
      <w:pPr>
        <w:pStyle w:val="BodyText"/>
        <w:spacing w:before="5"/>
        <w:rPr>
          <w:rFonts w:ascii="Arial"/>
          <w:sz w:val="30"/>
        </w:rPr>
      </w:pPr>
    </w:p>
    <w:p w14:paraId="51DE793F" w14:textId="77777777" w:rsidR="0010369C" w:rsidRDefault="008E43AE">
      <w:pPr>
        <w:spacing w:line="300" w:lineRule="auto"/>
        <w:ind w:left="352" w:right="8431" w:firstLine="3"/>
        <w:rPr>
          <w:rFonts w:ascii="Arial"/>
          <w:sz w:val="21"/>
        </w:rPr>
      </w:pPr>
      <w:r>
        <w:rPr>
          <w:rFonts w:ascii="Arial"/>
          <w:color w:val="111111"/>
          <w:spacing w:val="-2"/>
          <w:w w:val="95"/>
          <w:sz w:val="21"/>
        </w:rPr>
        <w:t xml:space="preserve">AUS-37 </w:t>
      </w:r>
      <w:r>
        <w:rPr>
          <w:rFonts w:ascii="Arial"/>
          <w:color w:val="111111"/>
          <w:spacing w:val="-2"/>
          <w:sz w:val="21"/>
        </w:rPr>
        <w:t>(BCI)</w:t>
      </w:r>
    </w:p>
    <w:p w14:paraId="51DE7940" w14:textId="77777777" w:rsidR="0010369C" w:rsidRDefault="0010369C">
      <w:pPr>
        <w:pStyle w:val="BodyText"/>
        <w:rPr>
          <w:rFonts w:ascii="Arial"/>
        </w:rPr>
      </w:pPr>
    </w:p>
    <w:p w14:paraId="51DE7941" w14:textId="77777777" w:rsidR="0010369C" w:rsidRDefault="0010369C">
      <w:pPr>
        <w:pStyle w:val="BodyText"/>
        <w:spacing w:before="4"/>
        <w:rPr>
          <w:rFonts w:ascii="Arial"/>
          <w:sz w:val="26"/>
        </w:rPr>
      </w:pPr>
    </w:p>
    <w:p w14:paraId="51DE7942" w14:textId="77777777" w:rsidR="0010369C" w:rsidRDefault="008E43AE">
      <w:pPr>
        <w:tabs>
          <w:tab w:val="left" w:pos="1529"/>
          <w:tab w:val="left" w:pos="6315"/>
        </w:tabs>
        <w:spacing w:line="300" w:lineRule="auto"/>
        <w:ind w:left="1532" w:right="442" w:hanging="1178"/>
        <w:rPr>
          <w:rFonts w:ascii="Arial"/>
          <w:sz w:val="21"/>
        </w:rPr>
      </w:pPr>
      <w:r>
        <w:rPr>
          <w:rFonts w:ascii="Arial"/>
          <w:color w:val="111111"/>
          <w:spacing w:val="-2"/>
          <w:w w:val="105"/>
          <w:sz w:val="21"/>
        </w:rPr>
        <w:t>AUS-38</w:t>
      </w:r>
      <w:r>
        <w:rPr>
          <w:rFonts w:ascii="Arial"/>
          <w:color w:val="111111"/>
          <w:sz w:val="21"/>
        </w:rPr>
        <w:tab/>
      </w:r>
      <w:r>
        <w:rPr>
          <w:rFonts w:ascii="Arial"/>
          <w:color w:val="111111"/>
          <w:w w:val="105"/>
          <w:sz w:val="21"/>
        </w:rPr>
        <w:t>Swan Vintage, "Comments on Preliminary</w:t>
      </w:r>
      <w:r>
        <w:rPr>
          <w:rFonts w:ascii="Arial"/>
          <w:color w:val="111111"/>
          <w:sz w:val="21"/>
        </w:rPr>
        <w:tab/>
      </w:r>
      <w:r>
        <w:rPr>
          <w:rFonts w:ascii="Arial"/>
          <w:color w:val="111111"/>
          <w:spacing w:val="-2"/>
          <w:w w:val="105"/>
          <w:sz w:val="21"/>
        </w:rPr>
        <w:t>Swan</w:t>
      </w:r>
      <w:r>
        <w:rPr>
          <w:rFonts w:ascii="Arial"/>
          <w:color w:val="111111"/>
          <w:spacing w:val="-18"/>
          <w:w w:val="105"/>
          <w:sz w:val="21"/>
        </w:rPr>
        <w:t xml:space="preserve"> </w:t>
      </w:r>
      <w:r>
        <w:rPr>
          <w:rFonts w:ascii="Arial"/>
          <w:color w:val="111111"/>
          <w:spacing w:val="-2"/>
          <w:w w:val="105"/>
          <w:sz w:val="21"/>
        </w:rPr>
        <w:t>Vintage</w:t>
      </w:r>
      <w:r>
        <w:rPr>
          <w:rFonts w:ascii="Arial"/>
          <w:color w:val="111111"/>
          <w:spacing w:val="-14"/>
          <w:w w:val="105"/>
          <w:sz w:val="21"/>
        </w:rPr>
        <w:t xml:space="preserve"> </w:t>
      </w:r>
      <w:r>
        <w:rPr>
          <w:rFonts w:ascii="Arial"/>
          <w:color w:val="111111"/>
          <w:spacing w:val="-2"/>
          <w:w w:val="105"/>
          <w:sz w:val="21"/>
        </w:rPr>
        <w:t>Comments</w:t>
      </w:r>
      <w:r>
        <w:rPr>
          <w:rFonts w:ascii="Arial"/>
          <w:color w:val="111111"/>
          <w:spacing w:val="-8"/>
          <w:w w:val="105"/>
          <w:sz w:val="21"/>
        </w:rPr>
        <w:t xml:space="preserve"> </w:t>
      </w:r>
      <w:r>
        <w:rPr>
          <w:rFonts w:ascii="Arial"/>
          <w:color w:val="111111"/>
          <w:spacing w:val="-2"/>
          <w:w w:val="105"/>
          <w:sz w:val="21"/>
        </w:rPr>
        <w:t xml:space="preserve">on </w:t>
      </w:r>
      <w:r>
        <w:rPr>
          <w:rFonts w:ascii="Arial"/>
          <w:color w:val="111111"/>
          <w:w w:val="105"/>
          <w:sz w:val="21"/>
        </w:rPr>
        <w:t>Determination," 7 December 2020 (English</w:t>
      </w:r>
      <w:r>
        <w:rPr>
          <w:rFonts w:ascii="Arial"/>
          <w:color w:val="111111"/>
          <w:sz w:val="21"/>
        </w:rPr>
        <w:tab/>
      </w:r>
      <w:r>
        <w:rPr>
          <w:rFonts w:ascii="Arial"/>
          <w:color w:val="111111"/>
          <w:spacing w:val="-50"/>
          <w:sz w:val="21"/>
        </w:rPr>
        <w:t xml:space="preserve"> </w:t>
      </w:r>
      <w:r>
        <w:rPr>
          <w:rFonts w:ascii="Arial"/>
          <w:color w:val="111111"/>
          <w:w w:val="105"/>
          <w:sz w:val="21"/>
        </w:rPr>
        <w:t>the Preliminary</w:t>
      </w:r>
    </w:p>
    <w:p w14:paraId="51DE7943" w14:textId="77777777" w:rsidR="0010369C" w:rsidRDefault="008E43AE">
      <w:pPr>
        <w:tabs>
          <w:tab w:val="left" w:pos="6318"/>
        </w:tabs>
        <w:spacing w:line="229" w:lineRule="exact"/>
        <w:ind w:left="1535"/>
        <w:rPr>
          <w:rFonts w:ascii="Arial"/>
          <w:sz w:val="21"/>
        </w:rPr>
      </w:pPr>
      <w:r>
        <w:rPr>
          <w:rFonts w:ascii="Arial"/>
          <w:color w:val="111111"/>
          <w:spacing w:val="-2"/>
          <w:w w:val="110"/>
          <w:sz w:val="21"/>
        </w:rPr>
        <w:t>translation)</w:t>
      </w:r>
      <w:r>
        <w:rPr>
          <w:rFonts w:ascii="Arial"/>
          <w:color w:val="111111"/>
          <w:sz w:val="21"/>
        </w:rPr>
        <w:tab/>
      </w:r>
      <w:r>
        <w:rPr>
          <w:rFonts w:ascii="Arial"/>
          <w:color w:val="111111"/>
          <w:spacing w:val="-2"/>
          <w:w w:val="110"/>
          <w:sz w:val="21"/>
        </w:rPr>
        <w:t>Determination</w:t>
      </w:r>
    </w:p>
    <w:p w14:paraId="51DE7944" w14:textId="77777777" w:rsidR="0010369C" w:rsidRDefault="008E43AE">
      <w:pPr>
        <w:tabs>
          <w:tab w:val="left" w:pos="1529"/>
          <w:tab w:val="left" w:pos="6315"/>
        </w:tabs>
        <w:spacing w:before="59" w:line="300" w:lineRule="auto"/>
        <w:ind w:left="1543" w:right="442" w:hanging="1188"/>
        <w:rPr>
          <w:rFonts w:ascii="Arial"/>
          <w:sz w:val="21"/>
        </w:rPr>
      </w:pPr>
      <w:r>
        <w:rPr>
          <w:rFonts w:ascii="Arial"/>
          <w:color w:val="111111"/>
          <w:spacing w:val="-2"/>
          <w:w w:val="105"/>
          <w:sz w:val="21"/>
        </w:rPr>
        <w:t>AUS-39</w:t>
      </w:r>
      <w:r>
        <w:rPr>
          <w:rFonts w:ascii="Arial"/>
          <w:color w:val="111111"/>
          <w:sz w:val="21"/>
        </w:rPr>
        <w:tab/>
      </w:r>
      <w:r>
        <w:rPr>
          <w:rFonts w:ascii="Arial"/>
          <w:color w:val="111111"/>
          <w:w w:val="105"/>
          <w:sz w:val="21"/>
        </w:rPr>
        <w:t>Swan Vintage "Response to</w:t>
      </w:r>
      <w:r>
        <w:rPr>
          <w:rFonts w:ascii="Arial"/>
          <w:color w:val="111111"/>
          <w:spacing w:val="40"/>
          <w:w w:val="105"/>
          <w:sz w:val="21"/>
        </w:rPr>
        <w:t xml:space="preserve"> </w:t>
      </w:r>
      <w:r>
        <w:rPr>
          <w:rFonts w:ascii="Arial"/>
          <w:color w:val="111111"/>
          <w:w w:val="105"/>
          <w:sz w:val="21"/>
        </w:rPr>
        <w:t>Final Disclosure,"</w:t>
      </w:r>
      <w:r>
        <w:rPr>
          <w:rFonts w:ascii="Arial"/>
          <w:color w:val="111111"/>
          <w:sz w:val="21"/>
        </w:rPr>
        <w:tab/>
      </w:r>
      <w:r>
        <w:rPr>
          <w:rFonts w:ascii="Arial"/>
          <w:color w:val="111111"/>
          <w:spacing w:val="-2"/>
          <w:w w:val="105"/>
          <w:sz w:val="21"/>
        </w:rPr>
        <w:t>Swan</w:t>
      </w:r>
      <w:r>
        <w:rPr>
          <w:rFonts w:ascii="Arial"/>
          <w:color w:val="111111"/>
          <w:spacing w:val="-18"/>
          <w:w w:val="105"/>
          <w:sz w:val="21"/>
        </w:rPr>
        <w:t xml:space="preserve"> </w:t>
      </w:r>
      <w:r>
        <w:rPr>
          <w:rFonts w:ascii="Arial"/>
          <w:color w:val="111111"/>
          <w:spacing w:val="-2"/>
          <w:w w:val="105"/>
          <w:sz w:val="21"/>
        </w:rPr>
        <w:t>Vintage</w:t>
      </w:r>
      <w:r>
        <w:rPr>
          <w:rFonts w:ascii="Arial"/>
          <w:color w:val="111111"/>
          <w:spacing w:val="-14"/>
          <w:w w:val="105"/>
          <w:sz w:val="21"/>
        </w:rPr>
        <w:t xml:space="preserve"> </w:t>
      </w:r>
      <w:r>
        <w:rPr>
          <w:rFonts w:ascii="Arial"/>
          <w:color w:val="111111"/>
          <w:spacing w:val="-2"/>
          <w:w w:val="105"/>
          <w:sz w:val="21"/>
        </w:rPr>
        <w:t>Comments</w:t>
      </w:r>
      <w:r>
        <w:rPr>
          <w:rFonts w:ascii="Arial"/>
          <w:color w:val="111111"/>
          <w:spacing w:val="-8"/>
          <w:w w:val="105"/>
          <w:sz w:val="21"/>
        </w:rPr>
        <w:t xml:space="preserve"> </w:t>
      </w:r>
      <w:r>
        <w:rPr>
          <w:rFonts w:ascii="Arial"/>
          <w:color w:val="111111"/>
          <w:spacing w:val="-2"/>
          <w:w w:val="105"/>
          <w:sz w:val="21"/>
        </w:rPr>
        <w:t xml:space="preserve">on </w:t>
      </w:r>
      <w:r>
        <w:rPr>
          <w:rFonts w:ascii="Arial"/>
          <w:color w:val="111111"/>
          <w:w w:val="105"/>
          <w:sz w:val="21"/>
        </w:rPr>
        <w:t>21 March 2021(English translation)</w:t>
      </w:r>
      <w:r>
        <w:rPr>
          <w:rFonts w:ascii="Arial"/>
          <w:color w:val="111111"/>
          <w:sz w:val="21"/>
        </w:rPr>
        <w:tab/>
      </w:r>
      <w:r>
        <w:rPr>
          <w:rFonts w:ascii="Arial"/>
          <w:color w:val="111111"/>
          <w:spacing w:val="-49"/>
          <w:sz w:val="21"/>
        </w:rPr>
        <w:t xml:space="preserve"> </w:t>
      </w:r>
      <w:r>
        <w:rPr>
          <w:rFonts w:ascii="Arial"/>
          <w:color w:val="111111"/>
          <w:w w:val="105"/>
          <w:sz w:val="21"/>
        </w:rPr>
        <w:t>the Final Disclosure</w:t>
      </w:r>
    </w:p>
    <w:p w14:paraId="51DE7945" w14:textId="77777777" w:rsidR="0010369C" w:rsidRDefault="008E43AE">
      <w:pPr>
        <w:tabs>
          <w:tab w:val="left" w:pos="1529"/>
          <w:tab w:val="left" w:pos="6315"/>
        </w:tabs>
        <w:spacing w:line="292" w:lineRule="auto"/>
        <w:ind w:left="1532" w:right="439" w:hanging="1178"/>
        <w:rPr>
          <w:rFonts w:ascii="Arial"/>
          <w:sz w:val="21"/>
        </w:rPr>
      </w:pPr>
      <w:r>
        <w:rPr>
          <w:rFonts w:ascii="Arial"/>
          <w:color w:val="111111"/>
          <w:spacing w:val="-2"/>
          <w:w w:val="105"/>
          <w:sz w:val="21"/>
        </w:rPr>
        <w:t>AUS-40</w:t>
      </w:r>
      <w:r>
        <w:rPr>
          <w:rFonts w:ascii="Arial"/>
          <w:color w:val="111111"/>
          <w:sz w:val="21"/>
        </w:rPr>
        <w:tab/>
      </w:r>
      <w:r>
        <w:rPr>
          <w:rFonts w:ascii="Arial"/>
          <w:color w:val="111111"/>
          <w:w w:val="105"/>
          <w:sz w:val="21"/>
        </w:rPr>
        <w:t>Swan Vintage, "Exporter Questionnaire</w:t>
      </w:r>
      <w:r>
        <w:rPr>
          <w:rFonts w:ascii="Arial"/>
          <w:color w:val="111111"/>
          <w:sz w:val="21"/>
        </w:rPr>
        <w:tab/>
      </w:r>
      <w:r>
        <w:rPr>
          <w:rFonts w:ascii="Arial"/>
          <w:color w:val="111111"/>
          <w:w w:val="105"/>
          <w:sz w:val="21"/>
        </w:rPr>
        <w:t>Swan</w:t>
      </w:r>
      <w:r>
        <w:rPr>
          <w:rFonts w:ascii="Arial"/>
          <w:color w:val="111111"/>
          <w:spacing w:val="-18"/>
          <w:w w:val="105"/>
          <w:sz w:val="21"/>
        </w:rPr>
        <w:t xml:space="preserve"> </w:t>
      </w:r>
      <w:r>
        <w:rPr>
          <w:rFonts w:ascii="Arial"/>
          <w:color w:val="111111"/>
          <w:w w:val="105"/>
          <w:sz w:val="21"/>
        </w:rPr>
        <w:t>Vintage</w:t>
      </w:r>
      <w:r>
        <w:rPr>
          <w:rFonts w:ascii="Arial"/>
          <w:color w:val="111111"/>
          <w:spacing w:val="-16"/>
          <w:w w:val="105"/>
          <w:sz w:val="21"/>
        </w:rPr>
        <w:t xml:space="preserve"> </w:t>
      </w:r>
      <w:r>
        <w:rPr>
          <w:rFonts w:ascii="Arial"/>
          <w:color w:val="111111"/>
          <w:w w:val="105"/>
          <w:sz w:val="21"/>
        </w:rPr>
        <w:t xml:space="preserve">Anti-Dumping Response" 16 November 2020 </w:t>
      </w:r>
      <w:r>
        <w:rPr>
          <w:rFonts w:ascii="Arial"/>
          <w:color w:val="282828"/>
          <w:w w:val="105"/>
          <w:sz w:val="21"/>
        </w:rPr>
        <w:t>(</w:t>
      </w:r>
      <w:r>
        <w:rPr>
          <w:rFonts w:ascii="Arial"/>
          <w:w w:val="105"/>
          <w:sz w:val="21"/>
        </w:rPr>
        <w:t>English</w:t>
      </w:r>
      <w:r>
        <w:rPr>
          <w:rFonts w:ascii="Arial"/>
          <w:sz w:val="21"/>
        </w:rPr>
        <w:tab/>
      </w:r>
      <w:r>
        <w:rPr>
          <w:rFonts w:ascii="Arial"/>
          <w:spacing w:val="-43"/>
          <w:sz w:val="21"/>
        </w:rPr>
        <w:t xml:space="preserve"> </w:t>
      </w:r>
      <w:r>
        <w:rPr>
          <w:rFonts w:ascii="Arial"/>
          <w:color w:val="111111"/>
          <w:w w:val="105"/>
          <w:sz w:val="21"/>
        </w:rPr>
        <w:t xml:space="preserve">Questionnaire Response </w:t>
      </w:r>
      <w:r>
        <w:rPr>
          <w:rFonts w:ascii="Arial"/>
          <w:color w:val="111111"/>
          <w:spacing w:val="-2"/>
          <w:w w:val="105"/>
          <w:sz w:val="21"/>
        </w:rPr>
        <w:t>Translation)</w:t>
      </w:r>
    </w:p>
    <w:p w14:paraId="51DE7946" w14:textId="77777777" w:rsidR="0010369C" w:rsidRDefault="008E43AE">
      <w:pPr>
        <w:tabs>
          <w:tab w:val="left" w:pos="1529"/>
          <w:tab w:val="left" w:pos="6315"/>
        </w:tabs>
        <w:spacing w:before="6" w:line="292" w:lineRule="auto"/>
        <w:ind w:left="1529" w:right="331" w:hanging="1174"/>
        <w:rPr>
          <w:rFonts w:ascii="Arial"/>
          <w:sz w:val="21"/>
        </w:rPr>
      </w:pPr>
      <w:r>
        <w:rPr>
          <w:rFonts w:ascii="Arial"/>
          <w:color w:val="111111"/>
          <w:spacing w:val="-2"/>
          <w:w w:val="105"/>
          <w:sz w:val="21"/>
        </w:rPr>
        <w:t>AUS-41</w:t>
      </w:r>
      <w:r>
        <w:rPr>
          <w:rFonts w:ascii="Arial"/>
          <w:color w:val="111111"/>
          <w:sz w:val="21"/>
        </w:rPr>
        <w:tab/>
      </w:r>
      <w:r>
        <w:rPr>
          <w:rFonts w:ascii="Arial"/>
          <w:color w:val="111111"/>
          <w:w w:val="105"/>
          <w:sz w:val="21"/>
        </w:rPr>
        <w:t>Swan Vintage, "Response to</w:t>
      </w:r>
      <w:r>
        <w:rPr>
          <w:rFonts w:ascii="Arial"/>
          <w:color w:val="111111"/>
          <w:spacing w:val="40"/>
          <w:w w:val="105"/>
          <w:sz w:val="21"/>
        </w:rPr>
        <w:t xml:space="preserve"> </w:t>
      </w:r>
      <w:r>
        <w:rPr>
          <w:rFonts w:ascii="Arial"/>
          <w:color w:val="111111"/>
          <w:w w:val="105"/>
          <w:sz w:val="21"/>
        </w:rPr>
        <w:t>the</w:t>
      </w:r>
      <w:r>
        <w:rPr>
          <w:rFonts w:ascii="Arial"/>
          <w:color w:val="111111"/>
          <w:sz w:val="21"/>
        </w:rPr>
        <w:tab/>
      </w:r>
      <w:r>
        <w:rPr>
          <w:rFonts w:ascii="Arial"/>
          <w:color w:val="111111"/>
          <w:spacing w:val="-2"/>
          <w:w w:val="105"/>
          <w:sz w:val="21"/>
        </w:rPr>
        <w:t>Swan</w:t>
      </w:r>
      <w:r>
        <w:rPr>
          <w:rFonts w:ascii="Arial"/>
          <w:color w:val="111111"/>
          <w:spacing w:val="-18"/>
          <w:w w:val="105"/>
          <w:sz w:val="21"/>
        </w:rPr>
        <w:t xml:space="preserve"> </w:t>
      </w:r>
      <w:r>
        <w:rPr>
          <w:rFonts w:ascii="Arial"/>
          <w:color w:val="111111"/>
          <w:spacing w:val="-2"/>
          <w:w w:val="105"/>
          <w:sz w:val="21"/>
        </w:rPr>
        <w:t>Vintage</w:t>
      </w:r>
      <w:r>
        <w:rPr>
          <w:rFonts w:ascii="Arial"/>
          <w:color w:val="111111"/>
          <w:spacing w:val="-14"/>
          <w:w w:val="105"/>
          <w:sz w:val="21"/>
        </w:rPr>
        <w:t xml:space="preserve"> </w:t>
      </w:r>
      <w:r>
        <w:rPr>
          <w:rFonts w:ascii="Arial"/>
          <w:color w:val="111111"/>
          <w:spacing w:val="-2"/>
          <w:w w:val="105"/>
          <w:sz w:val="21"/>
        </w:rPr>
        <w:t xml:space="preserve">Supplementary </w:t>
      </w:r>
      <w:r>
        <w:rPr>
          <w:rFonts w:ascii="Arial"/>
          <w:color w:val="111111"/>
          <w:w w:val="105"/>
          <w:sz w:val="21"/>
        </w:rPr>
        <w:t>Supplementary Questionnaire," 3 February</w:t>
      </w:r>
      <w:r>
        <w:rPr>
          <w:rFonts w:ascii="Arial"/>
          <w:color w:val="111111"/>
          <w:sz w:val="21"/>
        </w:rPr>
        <w:tab/>
      </w:r>
      <w:r>
        <w:rPr>
          <w:rFonts w:ascii="Arial"/>
          <w:color w:val="111111"/>
          <w:spacing w:val="-43"/>
          <w:sz w:val="21"/>
        </w:rPr>
        <w:t xml:space="preserve"> </w:t>
      </w:r>
      <w:r>
        <w:rPr>
          <w:rFonts w:ascii="Arial"/>
          <w:color w:val="111111"/>
          <w:w w:val="105"/>
          <w:sz w:val="21"/>
        </w:rPr>
        <w:t>Questionnaire Response 2021(English</w:t>
      </w:r>
      <w:r>
        <w:rPr>
          <w:rFonts w:ascii="Arial"/>
          <w:color w:val="111111"/>
          <w:spacing w:val="-17"/>
          <w:w w:val="105"/>
          <w:sz w:val="21"/>
        </w:rPr>
        <w:t xml:space="preserve"> </w:t>
      </w:r>
      <w:r>
        <w:rPr>
          <w:rFonts w:ascii="Arial"/>
          <w:w w:val="105"/>
          <w:sz w:val="21"/>
        </w:rPr>
        <w:t>Translation)</w:t>
      </w:r>
    </w:p>
    <w:p w14:paraId="51DE7947" w14:textId="77777777" w:rsidR="0010369C" w:rsidRDefault="008E43AE">
      <w:pPr>
        <w:tabs>
          <w:tab w:val="left" w:pos="1533"/>
          <w:tab w:val="left" w:pos="6315"/>
        </w:tabs>
        <w:spacing w:before="9" w:line="288" w:lineRule="auto"/>
        <w:ind w:left="1532" w:right="669" w:hanging="1178"/>
        <w:rPr>
          <w:rFonts w:ascii="Arial"/>
          <w:sz w:val="21"/>
        </w:rPr>
      </w:pPr>
      <w:r>
        <w:rPr>
          <w:rFonts w:ascii="Arial"/>
          <w:color w:val="111111"/>
          <w:spacing w:val="-2"/>
          <w:w w:val="105"/>
          <w:sz w:val="21"/>
        </w:rPr>
        <w:t>AUS-42</w:t>
      </w:r>
      <w:r>
        <w:rPr>
          <w:rFonts w:ascii="Arial"/>
          <w:color w:val="111111"/>
          <w:sz w:val="21"/>
        </w:rPr>
        <w:tab/>
      </w:r>
      <w:r>
        <w:rPr>
          <w:rFonts w:ascii="Arial"/>
          <w:color w:val="111111"/>
          <w:sz w:val="21"/>
        </w:rPr>
        <w:tab/>
      </w:r>
      <w:r>
        <w:rPr>
          <w:rFonts w:ascii="Arial"/>
          <w:color w:val="111111"/>
          <w:w w:val="105"/>
          <w:sz w:val="21"/>
        </w:rPr>
        <w:t xml:space="preserve">MOFCOM, "Notice No. 36 on </w:t>
      </w:r>
      <w:r>
        <w:rPr>
          <w:rFonts w:ascii="Arial"/>
          <w:w w:val="105"/>
          <w:sz w:val="21"/>
        </w:rPr>
        <w:t>Issuing</w:t>
      </w:r>
      <w:r>
        <w:rPr>
          <w:rFonts w:ascii="Arial"/>
          <w:sz w:val="21"/>
        </w:rPr>
        <w:tab/>
      </w:r>
      <w:r>
        <w:rPr>
          <w:rFonts w:ascii="Arial"/>
          <w:color w:val="111111"/>
          <w:w w:val="105"/>
          <w:sz w:val="21"/>
        </w:rPr>
        <w:t>Issuance</w:t>
      </w:r>
      <w:r>
        <w:rPr>
          <w:rFonts w:ascii="Arial"/>
          <w:color w:val="111111"/>
          <w:spacing w:val="-16"/>
          <w:w w:val="105"/>
          <w:sz w:val="21"/>
        </w:rPr>
        <w:t xml:space="preserve"> </w:t>
      </w:r>
      <w:r>
        <w:rPr>
          <w:rFonts w:ascii="Arial"/>
          <w:color w:val="111111"/>
          <w:w w:val="105"/>
          <w:sz w:val="21"/>
        </w:rPr>
        <w:t>of</w:t>
      </w:r>
      <w:r>
        <w:rPr>
          <w:rFonts w:ascii="Arial"/>
          <w:color w:val="111111"/>
          <w:spacing w:val="-8"/>
          <w:w w:val="105"/>
          <w:sz w:val="21"/>
        </w:rPr>
        <w:t xml:space="preserve"> </w:t>
      </w:r>
      <w:r>
        <w:rPr>
          <w:rFonts w:ascii="Arial"/>
          <w:color w:val="111111"/>
          <w:w w:val="105"/>
          <w:sz w:val="21"/>
        </w:rPr>
        <w:t>Anti-Dumping Questionnaires on Wine Anti-Dumping Case</w:t>
      </w:r>
      <w:r>
        <w:rPr>
          <w:rFonts w:ascii="Arial"/>
          <w:color w:val="111111"/>
          <w:sz w:val="21"/>
        </w:rPr>
        <w:tab/>
      </w:r>
      <w:r>
        <w:rPr>
          <w:rFonts w:ascii="Arial"/>
          <w:color w:val="111111"/>
          <w:spacing w:val="-55"/>
          <w:sz w:val="21"/>
        </w:rPr>
        <w:t xml:space="preserve"> </w:t>
      </w:r>
      <w:r>
        <w:rPr>
          <w:rFonts w:ascii="Arial"/>
          <w:color w:val="111111"/>
          <w:w w:val="105"/>
          <w:sz w:val="21"/>
        </w:rPr>
        <w:t>Questionnaire Notice RVU"</w:t>
      </w:r>
      <w:r>
        <w:rPr>
          <w:rFonts w:ascii="Arial"/>
          <w:color w:val="646464"/>
          <w:w w:val="105"/>
          <w:sz w:val="21"/>
        </w:rPr>
        <w:t xml:space="preserve">, </w:t>
      </w:r>
      <w:r>
        <w:rPr>
          <w:rFonts w:ascii="Arial"/>
          <w:color w:val="111111"/>
          <w:w w:val="105"/>
          <w:sz w:val="21"/>
        </w:rPr>
        <w:t>10 October 2020</w:t>
      </w:r>
      <w:r>
        <w:rPr>
          <w:rFonts w:ascii="Arial"/>
          <w:color w:val="111111"/>
          <w:spacing w:val="-12"/>
          <w:w w:val="105"/>
          <w:sz w:val="21"/>
        </w:rPr>
        <w:t xml:space="preserve"> </w:t>
      </w:r>
      <w:r>
        <w:rPr>
          <w:rFonts w:ascii="Arial"/>
          <w:color w:val="111111"/>
          <w:w w:val="105"/>
          <w:sz w:val="21"/>
        </w:rPr>
        <w:t xml:space="preserve">(English </w:t>
      </w:r>
      <w:r>
        <w:rPr>
          <w:rFonts w:ascii="Arial"/>
          <w:w w:val="105"/>
          <w:sz w:val="21"/>
        </w:rPr>
        <w:t>Translation</w:t>
      </w:r>
      <w:r>
        <w:rPr>
          <w:rFonts w:ascii="Arial"/>
          <w:color w:val="282828"/>
          <w:w w:val="105"/>
          <w:sz w:val="21"/>
        </w:rPr>
        <w:t>)</w:t>
      </w:r>
    </w:p>
    <w:p w14:paraId="51DE7948" w14:textId="77777777" w:rsidR="0010369C" w:rsidRDefault="008E43AE">
      <w:pPr>
        <w:tabs>
          <w:tab w:val="left" w:pos="1534"/>
          <w:tab w:val="left" w:pos="6315"/>
        </w:tabs>
        <w:spacing w:before="22" w:line="288" w:lineRule="auto"/>
        <w:ind w:left="1536" w:right="858" w:hanging="1181"/>
        <w:rPr>
          <w:rFonts w:ascii="Arial"/>
          <w:sz w:val="21"/>
        </w:rPr>
      </w:pPr>
      <w:r>
        <w:rPr>
          <w:rFonts w:ascii="Arial"/>
          <w:color w:val="111111"/>
          <w:spacing w:val="-2"/>
          <w:w w:val="105"/>
          <w:sz w:val="21"/>
        </w:rPr>
        <w:t>AUS-43</w:t>
      </w:r>
      <w:r>
        <w:rPr>
          <w:rFonts w:ascii="Arial"/>
          <w:color w:val="111111"/>
          <w:sz w:val="21"/>
        </w:rPr>
        <w:tab/>
      </w:r>
      <w:r>
        <w:rPr>
          <w:rFonts w:ascii="Arial"/>
          <w:color w:val="111111"/>
          <w:w w:val="105"/>
          <w:sz w:val="21"/>
        </w:rPr>
        <w:t>Tonghua Winery, "Domestic Producer</w:t>
      </w:r>
      <w:r>
        <w:rPr>
          <w:rFonts w:ascii="Arial"/>
          <w:color w:val="111111"/>
          <w:sz w:val="21"/>
        </w:rPr>
        <w:tab/>
      </w:r>
      <w:r>
        <w:rPr>
          <w:rFonts w:ascii="Arial"/>
          <w:color w:val="111111"/>
          <w:spacing w:val="-51"/>
          <w:sz w:val="21"/>
        </w:rPr>
        <w:t xml:space="preserve"> </w:t>
      </w:r>
      <w:r>
        <w:rPr>
          <w:rFonts w:ascii="Arial"/>
          <w:color w:val="111111"/>
          <w:w w:val="105"/>
          <w:sz w:val="21"/>
        </w:rPr>
        <w:t>Tonghua Winery Anti- Questionnaire Response", 16 November 2020</w:t>
      </w:r>
      <w:r>
        <w:rPr>
          <w:rFonts w:ascii="Arial"/>
          <w:color w:val="111111"/>
          <w:sz w:val="21"/>
        </w:rPr>
        <w:tab/>
      </w:r>
      <w:r>
        <w:rPr>
          <w:rFonts w:ascii="Arial"/>
          <w:color w:val="111111"/>
          <w:w w:val="105"/>
          <w:sz w:val="21"/>
        </w:rPr>
        <w:t>Dumping</w:t>
      </w:r>
      <w:r>
        <w:rPr>
          <w:rFonts w:ascii="Arial"/>
          <w:color w:val="111111"/>
          <w:spacing w:val="-16"/>
          <w:w w:val="105"/>
          <w:sz w:val="21"/>
        </w:rPr>
        <w:t xml:space="preserve"> </w:t>
      </w:r>
      <w:r>
        <w:rPr>
          <w:rFonts w:ascii="Arial"/>
          <w:color w:val="111111"/>
          <w:w w:val="105"/>
          <w:sz w:val="21"/>
        </w:rPr>
        <w:t xml:space="preserve">Questionnaire </w:t>
      </w:r>
      <w:r>
        <w:rPr>
          <w:rFonts w:ascii="Arial"/>
          <w:color w:val="111111"/>
          <w:w w:val="105"/>
          <w:position w:val="1"/>
          <w:sz w:val="21"/>
        </w:rPr>
        <w:t>(English translation)</w:t>
      </w:r>
      <w:r>
        <w:rPr>
          <w:rFonts w:ascii="Arial"/>
          <w:color w:val="111111"/>
          <w:position w:val="1"/>
          <w:sz w:val="21"/>
        </w:rPr>
        <w:tab/>
      </w:r>
      <w:r>
        <w:rPr>
          <w:rFonts w:ascii="Arial"/>
          <w:color w:val="111111"/>
          <w:spacing w:val="-56"/>
          <w:position w:val="1"/>
          <w:sz w:val="21"/>
        </w:rPr>
        <w:t xml:space="preserve"> </w:t>
      </w:r>
      <w:r>
        <w:rPr>
          <w:rFonts w:ascii="Arial"/>
          <w:color w:val="111111"/>
          <w:spacing w:val="-2"/>
          <w:w w:val="105"/>
          <w:sz w:val="21"/>
        </w:rPr>
        <w:t>Response</w:t>
      </w:r>
    </w:p>
    <w:p w14:paraId="51DE7949" w14:textId="77777777" w:rsidR="0010369C" w:rsidRDefault="008E43AE">
      <w:pPr>
        <w:tabs>
          <w:tab w:val="left" w:pos="1538"/>
          <w:tab w:val="left" w:pos="6322"/>
        </w:tabs>
        <w:spacing w:before="13" w:line="283" w:lineRule="auto"/>
        <w:ind w:left="1532" w:right="799" w:hanging="1178"/>
        <w:rPr>
          <w:rFonts w:ascii="Arial"/>
          <w:sz w:val="21"/>
        </w:rPr>
      </w:pPr>
      <w:r>
        <w:rPr>
          <w:rFonts w:ascii="Arial"/>
          <w:color w:val="111111"/>
          <w:spacing w:val="-2"/>
          <w:sz w:val="21"/>
        </w:rPr>
        <w:t>AUS-44</w:t>
      </w:r>
      <w:r>
        <w:rPr>
          <w:rFonts w:ascii="Arial"/>
          <w:color w:val="111111"/>
          <w:sz w:val="21"/>
        </w:rPr>
        <w:tab/>
      </w:r>
      <w:r>
        <w:rPr>
          <w:rFonts w:ascii="Arial"/>
          <w:color w:val="111111"/>
          <w:sz w:val="21"/>
        </w:rPr>
        <w:tab/>
      </w:r>
      <w:r>
        <w:rPr>
          <w:rFonts w:ascii="Arial"/>
          <w:color w:val="111111"/>
          <w:sz w:val="21"/>
        </w:rPr>
        <w:t>COFCO, "Anti-Dumping Case of</w:t>
      </w:r>
      <w:r>
        <w:rPr>
          <w:rFonts w:ascii="Arial"/>
          <w:color w:val="111111"/>
          <w:spacing w:val="40"/>
          <w:sz w:val="21"/>
        </w:rPr>
        <w:t xml:space="preserve"> </w:t>
      </w:r>
      <w:r>
        <w:rPr>
          <w:rFonts w:ascii="Arial"/>
          <w:color w:val="111111"/>
          <w:sz w:val="21"/>
        </w:rPr>
        <w:t>Relevant</w:t>
      </w:r>
      <w:r>
        <w:rPr>
          <w:rFonts w:ascii="Arial"/>
          <w:color w:val="111111"/>
          <w:sz w:val="21"/>
        </w:rPr>
        <w:tab/>
      </w:r>
      <w:r>
        <w:rPr>
          <w:rFonts w:ascii="Arial"/>
          <w:color w:val="111111"/>
          <w:spacing w:val="-57"/>
          <w:sz w:val="21"/>
        </w:rPr>
        <w:t xml:space="preserve"> </w:t>
      </w:r>
      <w:r>
        <w:rPr>
          <w:rFonts w:ascii="Arial"/>
          <w:color w:val="111111"/>
          <w:sz w:val="21"/>
        </w:rPr>
        <w:t>COFCO Anti-Dumping Wines Questionnaire for Domestic</w:t>
      </w:r>
      <w:r>
        <w:rPr>
          <w:rFonts w:ascii="Arial"/>
          <w:color w:val="111111"/>
          <w:sz w:val="21"/>
        </w:rPr>
        <w:tab/>
      </w:r>
      <w:r>
        <w:rPr>
          <w:rFonts w:ascii="Arial"/>
          <w:color w:val="111111"/>
          <w:position w:val="1"/>
          <w:sz w:val="21"/>
        </w:rPr>
        <w:t xml:space="preserve">Questionnaire Response </w:t>
      </w:r>
      <w:r>
        <w:rPr>
          <w:rFonts w:ascii="Arial"/>
          <w:color w:val="111111"/>
          <w:sz w:val="21"/>
        </w:rPr>
        <w:t>Producers", 13 October 2020 (English</w:t>
      </w:r>
    </w:p>
    <w:p w14:paraId="51DE794A" w14:textId="77777777" w:rsidR="0010369C" w:rsidRDefault="008E43AE">
      <w:pPr>
        <w:spacing w:before="7"/>
        <w:ind w:left="1534"/>
        <w:rPr>
          <w:rFonts w:ascii="Arial"/>
          <w:sz w:val="21"/>
        </w:rPr>
      </w:pPr>
      <w:r>
        <w:rPr>
          <w:rFonts w:ascii="Arial"/>
          <w:color w:val="111111"/>
          <w:spacing w:val="-2"/>
          <w:w w:val="105"/>
          <w:sz w:val="21"/>
        </w:rPr>
        <w:t>Translation)</w:t>
      </w:r>
    </w:p>
    <w:p w14:paraId="51DE794B" w14:textId="77777777" w:rsidR="0010369C" w:rsidRDefault="008E43AE">
      <w:pPr>
        <w:tabs>
          <w:tab w:val="left" w:pos="1538"/>
          <w:tab w:val="left" w:pos="6316"/>
        </w:tabs>
        <w:spacing w:before="70" w:line="283" w:lineRule="auto"/>
        <w:ind w:left="1533" w:right="560" w:hanging="1178"/>
        <w:rPr>
          <w:rFonts w:ascii="Arial"/>
          <w:sz w:val="21"/>
        </w:rPr>
      </w:pPr>
      <w:r>
        <w:rPr>
          <w:rFonts w:ascii="Arial"/>
          <w:color w:val="111111"/>
          <w:spacing w:val="-2"/>
          <w:w w:val="105"/>
          <w:sz w:val="21"/>
        </w:rPr>
        <w:t>AUS-45</w:t>
      </w:r>
      <w:r>
        <w:rPr>
          <w:rFonts w:ascii="Arial"/>
          <w:color w:val="111111"/>
          <w:sz w:val="21"/>
        </w:rPr>
        <w:tab/>
      </w:r>
      <w:r>
        <w:rPr>
          <w:rFonts w:ascii="Arial"/>
          <w:color w:val="111111"/>
          <w:sz w:val="21"/>
        </w:rPr>
        <w:tab/>
      </w:r>
      <w:r>
        <w:rPr>
          <w:rFonts w:ascii="Arial"/>
          <w:color w:val="111111"/>
          <w:w w:val="105"/>
          <w:sz w:val="21"/>
        </w:rPr>
        <w:t>Xinjiang West Region Pearl Winery,</w:t>
      </w:r>
      <w:r>
        <w:rPr>
          <w:rFonts w:ascii="Arial"/>
          <w:color w:val="111111"/>
          <w:sz w:val="21"/>
        </w:rPr>
        <w:tab/>
      </w:r>
      <w:r>
        <w:rPr>
          <w:rFonts w:ascii="Arial"/>
          <w:color w:val="111111"/>
          <w:spacing w:val="-51"/>
          <w:sz w:val="21"/>
        </w:rPr>
        <w:t xml:space="preserve"> </w:t>
      </w:r>
      <w:r>
        <w:rPr>
          <w:rFonts w:ascii="Arial"/>
          <w:color w:val="111111"/>
          <w:spacing w:val="-2"/>
          <w:w w:val="105"/>
          <w:sz w:val="21"/>
        </w:rPr>
        <w:t>Xinjiang</w:t>
      </w:r>
      <w:r>
        <w:rPr>
          <w:rFonts w:ascii="Arial"/>
          <w:color w:val="111111"/>
          <w:spacing w:val="-16"/>
          <w:w w:val="105"/>
          <w:sz w:val="21"/>
        </w:rPr>
        <w:t xml:space="preserve"> </w:t>
      </w:r>
      <w:r>
        <w:rPr>
          <w:rFonts w:ascii="Arial"/>
          <w:color w:val="111111"/>
          <w:spacing w:val="-2"/>
          <w:w w:val="105"/>
          <w:sz w:val="21"/>
        </w:rPr>
        <w:t>West</w:t>
      </w:r>
      <w:r>
        <w:rPr>
          <w:rFonts w:ascii="Arial"/>
          <w:color w:val="111111"/>
          <w:spacing w:val="-13"/>
          <w:w w:val="105"/>
          <w:sz w:val="21"/>
        </w:rPr>
        <w:t xml:space="preserve"> </w:t>
      </w:r>
      <w:r>
        <w:rPr>
          <w:rFonts w:ascii="Arial"/>
          <w:color w:val="111111"/>
          <w:spacing w:val="-2"/>
          <w:w w:val="105"/>
          <w:sz w:val="21"/>
        </w:rPr>
        <w:t>Region</w:t>
      </w:r>
      <w:r>
        <w:rPr>
          <w:rFonts w:ascii="Arial"/>
          <w:color w:val="111111"/>
          <w:spacing w:val="-14"/>
          <w:w w:val="105"/>
          <w:sz w:val="21"/>
        </w:rPr>
        <w:t xml:space="preserve"> </w:t>
      </w:r>
      <w:r>
        <w:rPr>
          <w:rFonts w:ascii="Arial"/>
          <w:color w:val="111111"/>
          <w:spacing w:val="-2"/>
          <w:w w:val="105"/>
          <w:sz w:val="21"/>
        </w:rPr>
        <w:t xml:space="preserve">Pearl </w:t>
      </w:r>
      <w:r>
        <w:rPr>
          <w:rFonts w:ascii="Arial"/>
          <w:color w:val="111111"/>
          <w:w w:val="105"/>
          <w:sz w:val="21"/>
        </w:rPr>
        <w:t>"Domestic Producer Questionnaire",</w:t>
      </w:r>
      <w:r>
        <w:rPr>
          <w:rFonts w:ascii="Arial"/>
          <w:color w:val="111111"/>
          <w:spacing w:val="-12"/>
          <w:w w:val="105"/>
          <w:sz w:val="21"/>
        </w:rPr>
        <w:t xml:space="preserve"> </w:t>
      </w:r>
      <w:r>
        <w:rPr>
          <w:rFonts w:ascii="Arial"/>
          <w:color w:val="111111"/>
          <w:w w:val="105"/>
          <w:sz w:val="21"/>
        </w:rPr>
        <w:t>16</w:t>
      </w:r>
      <w:r>
        <w:rPr>
          <w:rFonts w:ascii="Arial"/>
          <w:color w:val="111111"/>
          <w:sz w:val="21"/>
        </w:rPr>
        <w:tab/>
      </w:r>
      <w:r>
        <w:rPr>
          <w:rFonts w:ascii="Arial"/>
          <w:color w:val="111111"/>
          <w:w w:val="105"/>
          <w:position w:val="1"/>
          <w:sz w:val="21"/>
        </w:rPr>
        <w:t xml:space="preserve">Winery Anti-Dumping </w:t>
      </w:r>
      <w:r>
        <w:rPr>
          <w:rFonts w:ascii="Arial"/>
          <w:color w:val="111111"/>
          <w:w w:val="105"/>
          <w:sz w:val="21"/>
        </w:rPr>
        <w:t>November 2020 (English translation)</w:t>
      </w:r>
      <w:r>
        <w:rPr>
          <w:rFonts w:ascii="Arial"/>
          <w:color w:val="111111"/>
          <w:sz w:val="21"/>
        </w:rPr>
        <w:tab/>
      </w:r>
      <w:r>
        <w:rPr>
          <w:rFonts w:ascii="Arial"/>
          <w:color w:val="111111"/>
          <w:spacing w:val="-44"/>
          <w:sz w:val="21"/>
        </w:rPr>
        <w:t xml:space="preserve"> </w:t>
      </w:r>
      <w:r>
        <w:rPr>
          <w:rFonts w:ascii="Arial"/>
          <w:color w:val="111111"/>
          <w:w w:val="105"/>
          <w:sz w:val="21"/>
        </w:rPr>
        <w:t>Questionnaire Response</w:t>
      </w:r>
    </w:p>
    <w:p w14:paraId="51DE794C" w14:textId="77777777" w:rsidR="0010369C" w:rsidRDefault="008E43AE">
      <w:pPr>
        <w:tabs>
          <w:tab w:val="left" w:pos="1538"/>
          <w:tab w:val="left" w:pos="6314"/>
        </w:tabs>
        <w:spacing w:before="27" w:line="288" w:lineRule="auto"/>
        <w:ind w:left="1535" w:right="531" w:hanging="1181"/>
        <w:rPr>
          <w:rFonts w:ascii="Arial"/>
          <w:sz w:val="21"/>
        </w:rPr>
      </w:pPr>
      <w:r>
        <w:rPr>
          <w:rFonts w:ascii="Arial"/>
          <w:color w:val="111111"/>
          <w:spacing w:val="-2"/>
          <w:w w:val="105"/>
          <w:sz w:val="21"/>
        </w:rPr>
        <w:t>AUS-46</w:t>
      </w:r>
      <w:r>
        <w:rPr>
          <w:rFonts w:ascii="Arial"/>
          <w:color w:val="111111"/>
          <w:sz w:val="21"/>
        </w:rPr>
        <w:tab/>
      </w:r>
      <w:r>
        <w:rPr>
          <w:rFonts w:ascii="Arial"/>
          <w:color w:val="111111"/>
          <w:sz w:val="21"/>
        </w:rPr>
        <w:tab/>
      </w:r>
      <w:r>
        <w:rPr>
          <w:rFonts w:ascii="Arial"/>
          <w:color w:val="111111"/>
          <w:w w:val="105"/>
          <w:sz w:val="21"/>
        </w:rPr>
        <w:t>Yunan Gaoyuan Wine, "Domestic Producer</w:t>
      </w:r>
      <w:r>
        <w:rPr>
          <w:rFonts w:ascii="Arial"/>
          <w:color w:val="111111"/>
          <w:sz w:val="21"/>
        </w:rPr>
        <w:tab/>
      </w:r>
      <w:r>
        <w:rPr>
          <w:rFonts w:ascii="Arial"/>
          <w:color w:val="111111"/>
          <w:spacing w:val="-49"/>
          <w:sz w:val="21"/>
        </w:rPr>
        <w:t xml:space="preserve"> </w:t>
      </w:r>
      <w:r>
        <w:rPr>
          <w:rFonts w:ascii="Arial"/>
          <w:color w:val="111111"/>
          <w:w w:val="105"/>
          <w:sz w:val="21"/>
        </w:rPr>
        <w:t>Yunan</w:t>
      </w:r>
      <w:r>
        <w:rPr>
          <w:rFonts w:ascii="Arial"/>
          <w:color w:val="111111"/>
          <w:spacing w:val="-15"/>
          <w:w w:val="105"/>
          <w:sz w:val="21"/>
        </w:rPr>
        <w:t xml:space="preserve"> </w:t>
      </w:r>
      <w:r>
        <w:rPr>
          <w:rFonts w:ascii="Arial"/>
          <w:color w:val="111111"/>
          <w:w w:val="105"/>
          <w:sz w:val="21"/>
        </w:rPr>
        <w:t>Gaoyuan</w:t>
      </w:r>
      <w:r>
        <w:rPr>
          <w:rFonts w:ascii="Arial"/>
          <w:color w:val="111111"/>
          <w:spacing w:val="-16"/>
          <w:w w:val="105"/>
          <w:sz w:val="21"/>
        </w:rPr>
        <w:t xml:space="preserve"> </w:t>
      </w:r>
      <w:r>
        <w:rPr>
          <w:rFonts w:ascii="Arial"/>
          <w:color w:val="111111"/>
          <w:w w:val="105"/>
          <w:sz w:val="21"/>
        </w:rPr>
        <w:t>Wine</w:t>
      </w:r>
      <w:r>
        <w:rPr>
          <w:rFonts w:ascii="Arial"/>
          <w:color w:val="111111"/>
          <w:spacing w:val="-15"/>
          <w:w w:val="105"/>
          <w:sz w:val="21"/>
        </w:rPr>
        <w:t xml:space="preserve"> </w:t>
      </w:r>
      <w:r>
        <w:rPr>
          <w:rFonts w:ascii="Arial"/>
          <w:color w:val="111111"/>
          <w:w w:val="105"/>
          <w:sz w:val="21"/>
        </w:rPr>
        <w:t>Anti- Questionnaire",</w:t>
      </w:r>
      <w:r>
        <w:rPr>
          <w:rFonts w:ascii="Arial"/>
          <w:color w:val="111111"/>
          <w:spacing w:val="-12"/>
          <w:w w:val="105"/>
          <w:sz w:val="21"/>
        </w:rPr>
        <w:t xml:space="preserve"> </w:t>
      </w:r>
      <w:r>
        <w:rPr>
          <w:rFonts w:ascii="Arial"/>
          <w:color w:val="111111"/>
          <w:w w:val="105"/>
          <w:sz w:val="21"/>
        </w:rPr>
        <w:t>16 November 2020 (English</w:t>
      </w:r>
      <w:r>
        <w:rPr>
          <w:rFonts w:ascii="Arial"/>
          <w:color w:val="111111"/>
          <w:sz w:val="21"/>
        </w:rPr>
        <w:tab/>
      </w:r>
      <w:r>
        <w:rPr>
          <w:rFonts w:ascii="Arial"/>
          <w:color w:val="111111"/>
          <w:w w:val="105"/>
          <w:sz w:val="21"/>
        </w:rPr>
        <w:t>Dumping</w:t>
      </w:r>
      <w:r>
        <w:rPr>
          <w:rFonts w:ascii="Arial"/>
          <w:color w:val="111111"/>
          <w:spacing w:val="-7"/>
          <w:w w:val="105"/>
          <w:sz w:val="21"/>
        </w:rPr>
        <w:t xml:space="preserve"> </w:t>
      </w:r>
      <w:r>
        <w:rPr>
          <w:rFonts w:ascii="Arial"/>
          <w:color w:val="111111"/>
          <w:w w:val="105"/>
          <w:sz w:val="21"/>
        </w:rPr>
        <w:t xml:space="preserve">Questionnaire </w:t>
      </w:r>
      <w:r>
        <w:rPr>
          <w:rFonts w:ascii="Arial"/>
          <w:color w:val="111111"/>
          <w:spacing w:val="-2"/>
          <w:w w:val="105"/>
          <w:position w:val="1"/>
          <w:sz w:val="21"/>
        </w:rPr>
        <w:t>translation)</w:t>
      </w:r>
      <w:r>
        <w:rPr>
          <w:rFonts w:ascii="Arial"/>
          <w:color w:val="111111"/>
          <w:position w:val="1"/>
          <w:sz w:val="21"/>
        </w:rPr>
        <w:tab/>
      </w:r>
      <w:r>
        <w:rPr>
          <w:rFonts w:ascii="Arial"/>
          <w:color w:val="111111"/>
          <w:spacing w:val="-55"/>
          <w:position w:val="1"/>
          <w:sz w:val="21"/>
        </w:rPr>
        <w:t xml:space="preserve"> </w:t>
      </w:r>
      <w:r>
        <w:rPr>
          <w:rFonts w:ascii="Arial"/>
          <w:color w:val="111111"/>
          <w:spacing w:val="-2"/>
          <w:w w:val="105"/>
          <w:sz w:val="21"/>
        </w:rPr>
        <w:t>Response</w:t>
      </w:r>
    </w:p>
    <w:p w14:paraId="51DE794D" w14:textId="77777777" w:rsidR="0010369C" w:rsidRDefault="0010369C">
      <w:pPr>
        <w:spacing w:line="288" w:lineRule="auto"/>
        <w:rPr>
          <w:rFonts w:ascii="Arial"/>
          <w:sz w:val="21"/>
        </w:rPr>
        <w:sectPr w:rsidR="0010369C">
          <w:type w:val="continuous"/>
          <w:pgSz w:w="11910" w:h="16840"/>
          <w:pgMar w:top="1460" w:right="1220" w:bottom="280" w:left="1180" w:header="0" w:footer="826" w:gutter="0"/>
          <w:cols w:space="720"/>
        </w:sectPr>
      </w:pPr>
    </w:p>
    <w:p w14:paraId="51DE794E" w14:textId="77777777" w:rsidR="0010369C" w:rsidRDefault="008E43AE">
      <w:pPr>
        <w:tabs>
          <w:tab w:val="left" w:pos="6425"/>
        </w:tabs>
        <w:ind w:left="238"/>
        <w:rPr>
          <w:sz w:val="20"/>
        </w:rPr>
      </w:pPr>
      <w:r>
        <w:rPr>
          <w:i/>
          <w:sz w:val="20"/>
        </w:rPr>
        <w:lastRenderedPageBreak/>
        <w:t>China</w:t>
      </w:r>
      <w:r>
        <w:rPr>
          <w:i/>
          <w:spacing w:val="-5"/>
          <w:sz w:val="20"/>
        </w:rPr>
        <w:t xml:space="preserve"> </w:t>
      </w:r>
      <w:r>
        <w:rPr>
          <w:i/>
          <w:sz w:val="20"/>
        </w:rPr>
        <w:t>–</w:t>
      </w:r>
      <w:r>
        <w:rPr>
          <w:i/>
          <w:spacing w:val="-5"/>
          <w:sz w:val="20"/>
        </w:rPr>
        <w:t xml:space="preserve"> </w:t>
      </w:r>
      <w:r>
        <w:rPr>
          <w:i/>
          <w:sz w:val="20"/>
        </w:rPr>
        <w:t>Anti‐Dumping</w:t>
      </w:r>
      <w:r>
        <w:rPr>
          <w:i/>
          <w:spacing w:val="-4"/>
          <w:sz w:val="20"/>
        </w:rPr>
        <w:t xml:space="preserve"> </w:t>
      </w:r>
      <w:r>
        <w:rPr>
          <w:i/>
          <w:sz w:val="20"/>
        </w:rPr>
        <w:t>and</w:t>
      </w:r>
      <w:r>
        <w:rPr>
          <w:i/>
          <w:spacing w:val="-5"/>
          <w:sz w:val="20"/>
        </w:rPr>
        <w:t xml:space="preserve"> </w:t>
      </w:r>
      <w:r>
        <w:rPr>
          <w:i/>
          <w:sz w:val="20"/>
        </w:rPr>
        <w:t>Countervailing</w:t>
      </w:r>
      <w:r>
        <w:rPr>
          <w:i/>
          <w:spacing w:val="-5"/>
          <w:sz w:val="20"/>
        </w:rPr>
        <w:t xml:space="preserve"> </w:t>
      </w:r>
      <w:r>
        <w:rPr>
          <w:i/>
          <w:sz w:val="20"/>
        </w:rPr>
        <w:t>Duty</w:t>
      </w:r>
      <w:r>
        <w:rPr>
          <w:i/>
          <w:spacing w:val="-4"/>
          <w:sz w:val="20"/>
        </w:rPr>
        <w:t xml:space="preserve"> </w:t>
      </w:r>
      <w:r>
        <w:rPr>
          <w:i/>
          <w:spacing w:val="-2"/>
          <w:sz w:val="20"/>
        </w:rPr>
        <w:t>Measures</w:t>
      </w:r>
      <w:r>
        <w:rPr>
          <w:i/>
          <w:sz w:val="20"/>
        </w:rPr>
        <w:tab/>
      </w:r>
      <w:r>
        <w:rPr>
          <w:sz w:val="20"/>
        </w:rPr>
        <w:t>Australia's</w:t>
      </w:r>
      <w:r>
        <w:rPr>
          <w:spacing w:val="-6"/>
          <w:sz w:val="20"/>
        </w:rPr>
        <w:t xml:space="preserve"> </w:t>
      </w:r>
      <w:r>
        <w:rPr>
          <w:sz w:val="20"/>
        </w:rPr>
        <w:t>First</w:t>
      </w:r>
      <w:r>
        <w:rPr>
          <w:spacing w:val="-2"/>
          <w:sz w:val="20"/>
        </w:rPr>
        <w:t xml:space="preserve"> </w:t>
      </w:r>
      <w:r>
        <w:rPr>
          <w:sz w:val="20"/>
        </w:rPr>
        <w:t>Written</w:t>
      </w:r>
      <w:r>
        <w:rPr>
          <w:spacing w:val="-2"/>
          <w:sz w:val="20"/>
        </w:rPr>
        <w:t xml:space="preserve"> Submission</w:t>
      </w:r>
    </w:p>
    <w:p w14:paraId="51DE794F" w14:textId="77777777" w:rsidR="0010369C" w:rsidRDefault="008E43AE">
      <w:pPr>
        <w:tabs>
          <w:tab w:val="left" w:pos="8227"/>
        </w:tabs>
        <w:spacing w:before="1" w:after="35"/>
        <w:ind w:left="239"/>
        <w:rPr>
          <w:sz w:val="20"/>
        </w:rPr>
      </w:pPr>
      <w:r>
        <w:rPr>
          <w:i/>
          <w:sz w:val="20"/>
        </w:rPr>
        <w:t>on</w:t>
      </w:r>
      <w:r>
        <w:rPr>
          <w:i/>
          <w:spacing w:val="-1"/>
          <w:sz w:val="20"/>
        </w:rPr>
        <w:t xml:space="preserve"> </w:t>
      </w:r>
      <w:r>
        <w:rPr>
          <w:i/>
          <w:sz w:val="20"/>
        </w:rPr>
        <w:t>Wine</w:t>
      </w:r>
      <w:r>
        <w:rPr>
          <w:i/>
          <w:spacing w:val="-1"/>
          <w:sz w:val="20"/>
        </w:rPr>
        <w:t xml:space="preserve"> </w:t>
      </w:r>
      <w:r>
        <w:rPr>
          <w:i/>
          <w:sz w:val="20"/>
        </w:rPr>
        <w:t>from</w:t>
      </w:r>
      <w:r>
        <w:rPr>
          <w:i/>
          <w:spacing w:val="-3"/>
          <w:sz w:val="20"/>
        </w:rPr>
        <w:t xml:space="preserve"> </w:t>
      </w:r>
      <w:r>
        <w:rPr>
          <w:i/>
          <w:sz w:val="20"/>
        </w:rPr>
        <w:t>Australia</w:t>
      </w:r>
      <w:r>
        <w:rPr>
          <w:i/>
          <w:spacing w:val="-1"/>
          <w:sz w:val="20"/>
        </w:rPr>
        <w:t xml:space="preserve"> </w:t>
      </w:r>
      <w:r>
        <w:rPr>
          <w:spacing w:val="-2"/>
          <w:sz w:val="20"/>
        </w:rPr>
        <w:t>(DS602)</w:t>
      </w:r>
      <w:r>
        <w:rPr>
          <w:sz w:val="20"/>
        </w:rPr>
        <w:tab/>
        <w:t>29</w:t>
      </w:r>
      <w:r>
        <w:rPr>
          <w:spacing w:val="-1"/>
          <w:sz w:val="20"/>
        </w:rPr>
        <w:t xml:space="preserve"> </w:t>
      </w:r>
      <w:r>
        <w:rPr>
          <w:sz w:val="20"/>
        </w:rPr>
        <w:t>April</w:t>
      </w:r>
      <w:r>
        <w:rPr>
          <w:spacing w:val="-2"/>
          <w:sz w:val="20"/>
        </w:rPr>
        <w:t xml:space="preserve"> </w:t>
      </w:r>
      <w:r>
        <w:rPr>
          <w:spacing w:val="-4"/>
          <w:sz w:val="20"/>
        </w:rPr>
        <w:t>2022</w:t>
      </w:r>
    </w:p>
    <w:tbl>
      <w:tblPr>
        <w:tblW w:w="0" w:type="auto"/>
        <w:tblInd w:w="2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84"/>
        <w:gridCol w:w="4765"/>
        <w:gridCol w:w="3117"/>
      </w:tblGrid>
      <w:tr w:rsidR="0010369C" w14:paraId="51DE7955" w14:textId="77777777">
        <w:trPr>
          <w:trHeight w:val="877"/>
        </w:trPr>
        <w:tc>
          <w:tcPr>
            <w:tcW w:w="1184" w:type="dxa"/>
          </w:tcPr>
          <w:p w14:paraId="51DE7950" w14:textId="77777777" w:rsidR="0010369C" w:rsidRDefault="008E43AE">
            <w:pPr>
              <w:pStyle w:val="TableParagraph"/>
              <w:spacing w:line="292" w:lineRule="exact"/>
              <w:ind w:left="107"/>
              <w:rPr>
                <w:sz w:val="24"/>
              </w:rPr>
            </w:pPr>
            <w:r>
              <w:rPr>
                <w:spacing w:val="-2"/>
                <w:sz w:val="24"/>
              </w:rPr>
              <w:t>AUS‐47</w:t>
            </w:r>
          </w:p>
        </w:tc>
        <w:tc>
          <w:tcPr>
            <w:tcW w:w="4765" w:type="dxa"/>
          </w:tcPr>
          <w:p w14:paraId="51DE7951" w14:textId="77777777" w:rsidR="0010369C" w:rsidRDefault="008E43AE">
            <w:pPr>
              <w:pStyle w:val="TableParagraph"/>
              <w:ind w:left="107"/>
              <w:rPr>
                <w:sz w:val="24"/>
              </w:rPr>
            </w:pPr>
            <w:r>
              <w:rPr>
                <w:sz w:val="24"/>
              </w:rPr>
              <w:t>CITIC Guoan Wine, "Domestic Producer Questionnaire</w:t>
            </w:r>
            <w:r>
              <w:rPr>
                <w:spacing w:val="-10"/>
                <w:sz w:val="24"/>
              </w:rPr>
              <w:t xml:space="preserve"> </w:t>
            </w:r>
            <w:r>
              <w:rPr>
                <w:sz w:val="24"/>
              </w:rPr>
              <w:t>Response",</w:t>
            </w:r>
            <w:r>
              <w:rPr>
                <w:spacing w:val="-10"/>
                <w:sz w:val="24"/>
              </w:rPr>
              <w:t xml:space="preserve"> </w:t>
            </w:r>
            <w:r>
              <w:rPr>
                <w:sz w:val="24"/>
              </w:rPr>
              <w:t>16</w:t>
            </w:r>
            <w:r>
              <w:rPr>
                <w:spacing w:val="-10"/>
                <w:sz w:val="24"/>
              </w:rPr>
              <w:t xml:space="preserve"> </w:t>
            </w:r>
            <w:r>
              <w:rPr>
                <w:sz w:val="24"/>
              </w:rPr>
              <w:t>November</w:t>
            </w:r>
            <w:r>
              <w:rPr>
                <w:spacing w:val="-11"/>
                <w:sz w:val="24"/>
              </w:rPr>
              <w:t xml:space="preserve"> </w:t>
            </w:r>
            <w:r>
              <w:rPr>
                <w:sz w:val="24"/>
              </w:rPr>
              <w:t>2020</w:t>
            </w:r>
          </w:p>
          <w:p w14:paraId="51DE7952" w14:textId="77777777" w:rsidR="0010369C" w:rsidRDefault="008E43AE">
            <w:pPr>
              <w:pStyle w:val="TableParagraph"/>
              <w:spacing w:line="273" w:lineRule="exact"/>
              <w:ind w:left="107"/>
              <w:rPr>
                <w:sz w:val="24"/>
              </w:rPr>
            </w:pPr>
            <w:r>
              <w:rPr>
                <w:sz w:val="24"/>
              </w:rPr>
              <w:t xml:space="preserve">(English </w:t>
            </w:r>
            <w:r>
              <w:rPr>
                <w:spacing w:val="-2"/>
                <w:sz w:val="24"/>
              </w:rPr>
              <w:t>translation)</w:t>
            </w:r>
          </w:p>
        </w:tc>
        <w:tc>
          <w:tcPr>
            <w:tcW w:w="3117" w:type="dxa"/>
          </w:tcPr>
          <w:p w14:paraId="51DE7953" w14:textId="77777777" w:rsidR="0010369C" w:rsidRDefault="008E43AE">
            <w:pPr>
              <w:pStyle w:val="TableParagraph"/>
              <w:ind w:left="107"/>
              <w:rPr>
                <w:sz w:val="24"/>
              </w:rPr>
            </w:pPr>
            <w:r>
              <w:rPr>
                <w:sz w:val="24"/>
              </w:rPr>
              <w:t>CITIC Guoan</w:t>
            </w:r>
            <w:r>
              <w:rPr>
                <w:spacing w:val="-1"/>
                <w:sz w:val="24"/>
              </w:rPr>
              <w:t xml:space="preserve"> </w:t>
            </w:r>
            <w:r>
              <w:rPr>
                <w:sz w:val="24"/>
              </w:rPr>
              <w:t>Wine Anti‐ Dumping</w:t>
            </w:r>
            <w:r>
              <w:rPr>
                <w:spacing w:val="-7"/>
                <w:sz w:val="24"/>
              </w:rPr>
              <w:t xml:space="preserve"> </w:t>
            </w:r>
            <w:r>
              <w:rPr>
                <w:spacing w:val="-2"/>
                <w:sz w:val="24"/>
              </w:rPr>
              <w:t>Questionnaire</w:t>
            </w:r>
          </w:p>
          <w:p w14:paraId="51DE7954" w14:textId="77777777" w:rsidR="0010369C" w:rsidRDefault="008E43AE">
            <w:pPr>
              <w:pStyle w:val="TableParagraph"/>
              <w:spacing w:line="273" w:lineRule="exact"/>
              <w:ind w:left="107"/>
              <w:rPr>
                <w:sz w:val="24"/>
              </w:rPr>
            </w:pPr>
            <w:r>
              <w:rPr>
                <w:spacing w:val="-2"/>
                <w:sz w:val="24"/>
              </w:rPr>
              <w:t>Response</w:t>
            </w:r>
          </w:p>
        </w:tc>
      </w:tr>
      <w:tr w:rsidR="0010369C" w14:paraId="51DE7959" w14:textId="77777777">
        <w:trPr>
          <w:trHeight w:val="879"/>
        </w:trPr>
        <w:tc>
          <w:tcPr>
            <w:tcW w:w="1184" w:type="dxa"/>
          </w:tcPr>
          <w:p w14:paraId="51DE7956" w14:textId="77777777" w:rsidR="0010369C" w:rsidRDefault="008E43AE">
            <w:pPr>
              <w:pStyle w:val="TableParagraph"/>
              <w:ind w:left="107"/>
              <w:rPr>
                <w:sz w:val="24"/>
              </w:rPr>
            </w:pPr>
            <w:r>
              <w:rPr>
                <w:spacing w:val="-2"/>
                <w:sz w:val="24"/>
              </w:rPr>
              <w:t>AUS‐48</w:t>
            </w:r>
          </w:p>
        </w:tc>
        <w:tc>
          <w:tcPr>
            <w:tcW w:w="4765" w:type="dxa"/>
          </w:tcPr>
          <w:p w14:paraId="51DE7957" w14:textId="77777777" w:rsidR="0010369C" w:rsidRDefault="008E43AE">
            <w:pPr>
              <w:pStyle w:val="TableParagraph"/>
              <w:spacing w:line="290" w:lineRule="atLeast"/>
              <w:ind w:left="107"/>
              <w:rPr>
                <w:sz w:val="24"/>
              </w:rPr>
            </w:pPr>
            <w:r>
              <w:rPr>
                <w:sz w:val="24"/>
              </w:rPr>
              <w:t>Chateau Junding, "Domestic Producer Questionnaire</w:t>
            </w:r>
            <w:r>
              <w:rPr>
                <w:spacing w:val="-10"/>
                <w:sz w:val="24"/>
              </w:rPr>
              <w:t xml:space="preserve"> </w:t>
            </w:r>
            <w:r>
              <w:rPr>
                <w:sz w:val="24"/>
              </w:rPr>
              <w:t>Response",</w:t>
            </w:r>
            <w:r>
              <w:rPr>
                <w:spacing w:val="-10"/>
                <w:sz w:val="24"/>
              </w:rPr>
              <w:t xml:space="preserve"> </w:t>
            </w:r>
            <w:r>
              <w:rPr>
                <w:sz w:val="24"/>
              </w:rPr>
              <w:t>16</w:t>
            </w:r>
            <w:r>
              <w:rPr>
                <w:spacing w:val="-10"/>
                <w:sz w:val="24"/>
              </w:rPr>
              <w:t xml:space="preserve"> </w:t>
            </w:r>
            <w:r>
              <w:rPr>
                <w:sz w:val="24"/>
              </w:rPr>
              <w:t>November</w:t>
            </w:r>
            <w:r>
              <w:rPr>
                <w:spacing w:val="-11"/>
                <w:sz w:val="24"/>
              </w:rPr>
              <w:t xml:space="preserve"> </w:t>
            </w:r>
            <w:r>
              <w:rPr>
                <w:sz w:val="24"/>
              </w:rPr>
              <w:t>2020 (English translation)</w:t>
            </w:r>
          </w:p>
        </w:tc>
        <w:tc>
          <w:tcPr>
            <w:tcW w:w="3117" w:type="dxa"/>
          </w:tcPr>
          <w:p w14:paraId="51DE7958" w14:textId="77777777" w:rsidR="0010369C" w:rsidRDefault="008E43AE">
            <w:pPr>
              <w:pStyle w:val="TableParagraph"/>
              <w:spacing w:line="290" w:lineRule="atLeast"/>
              <w:ind w:left="107" w:right="665"/>
              <w:rPr>
                <w:sz w:val="24"/>
              </w:rPr>
            </w:pPr>
            <w:r>
              <w:rPr>
                <w:sz w:val="24"/>
              </w:rPr>
              <w:t>Chateau Junding Anti‐ Dumping</w:t>
            </w:r>
            <w:r>
              <w:rPr>
                <w:spacing w:val="-14"/>
                <w:sz w:val="24"/>
              </w:rPr>
              <w:t xml:space="preserve"> </w:t>
            </w:r>
            <w:r>
              <w:rPr>
                <w:sz w:val="24"/>
              </w:rPr>
              <w:t xml:space="preserve">Questionnaire </w:t>
            </w:r>
            <w:r>
              <w:rPr>
                <w:spacing w:val="-2"/>
                <w:sz w:val="24"/>
              </w:rPr>
              <w:t>Response</w:t>
            </w:r>
          </w:p>
        </w:tc>
      </w:tr>
      <w:tr w:rsidR="0010369C" w14:paraId="51DE795D" w14:textId="77777777">
        <w:trPr>
          <w:trHeight w:val="879"/>
        </w:trPr>
        <w:tc>
          <w:tcPr>
            <w:tcW w:w="1184" w:type="dxa"/>
          </w:tcPr>
          <w:p w14:paraId="51DE795A" w14:textId="77777777" w:rsidR="0010369C" w:rsidRDefault="008E43AE">
            <w:pPr>
              <w:pStyle w:val="TableParagraph"/>
              <w:ind w:left="107"/>
              <w:rPr>
                <w:sz w:val="24"/>
              </w:rPr>
            </w:pPr>
            <w:r>
              <w:rPr>
                <w:spacing w:val="-2"/>
                <w:sz w:val="24"/>
              </w:rPr>
              <w:t>AUS‐49</w:t>
            </w:r>
          </w:p>
        </w:tc>
        <w:tc>
          <w:tcPr>
            <w:tcW w:w="4765" w:type="dxa"/>
          </w:tcPr>
          <w:p w14:paraId="51DE795B" w14:textId="77777777" w:rsidR="0010369C" w:rsidRDefault="008E43AE">
            <w:pPr>
              <w:pStyle w:val="TableParagraph"/>
              <w:spacing w:line="290" w:lineRule="atLeast"/>
              <w:ind w:left="107"/>
              <w:rPr>
                <w:sz w:val="24"/>
              </w:rPr>
            </w:pPr>
            <w:r>
              <w:rPr>
                <w:sz w:val="24"/>
              </w:rPr>
              <w:t>Xinjiang Sunyard Wine, "Domestic Producer Questionnaire</w:t>
            </w:r>
            <w:r>
              <w:rPr>
                <w:spacing w:val="-10"/>
                <w:sz w:val="24"/>
              </w:rPr>
              <w:t xml:space="preserve"> </w:t>
            </w:r>
            <w:r>
              <w:rPr>
                <w:sz w:val="24"/>
              </w:rPr>
              <w:t>Response",</w:t>
            </w:r>
            <w:r>
              <w:rPr>
                <w:spacing w:val="-10"/>
                <w:sz w:val="24"/>
              </w:rPr>
              <w:t xml:space="preserve"> </w:t>
            </w:r>
            <w:r>
              <w:rPr>
                <w:sz w:val="24"/>
              </w:rPr>
              <w:t>16</w:t>
            </w:r>
            <w:r>
              <w:rPr>
                <w:spacing w:val="-10"/>
                <w:sz w:val="24"/>
              </w:rPr>
              <w:t xml:space="preserve"> </w:t>
            </w:r>
            <w:r>
              <w:rPr>
                <w:sz w:val="24"/>
              </w:rPr>
              <w:t>November</w:t>
            </w:r>
            <w:r>
              <w:rPr>
                <w:spacing w:val="-11"/>
                <w:sz w:val="24"/>
              </w:rPr>
              <w:t xml:space="preserve"> </w:t>
            </w:r>
            <w:r>
              <w:rPr>
                <w:sz w:val="24"/>
              </w:rPr>
              <w:t>2020 (English translation)</w:t>
            </w:r>
          </w:p>
        </w:tc>
        <w:tc>
          <w:tcPr>
            <w:tcW w:w="3117" w:type="dxa"/>
          </w:tcPr>
          <w:p w14:paraId="51DE795C" w14:textId="77777777" w:rsidR="0010369C" w:rsidRDefault="008E43AE">
            <w:pPr>
              <w:pStyle w:val="TableParagraph"/>
              <w:spacing w:line="290" w:lineRule="atLeast"/>
              <w:ind w:left="107"/>
              <w:rPr>
                <w:sz w:val="24"/>
              </w:rPr>
            </w:pPr>
            <w:r>
              <w:rPr>
                <w:sz w:val="24"/>
              </w:rPr>
              <w:t>Xinjiang</w:t>
            </w:r>
            <w:r>
              <w:rPr>
                <w:spacing w:val="-12"/>
                <w:sz w:val="24"/>
              </w:rPr>
              <w:t xml:space="preserve"> </w:t>
            </w:r>
            <w:r>
              <w:rPr>
                <w:sz w:val="24"/>
              </w:rPr>
              <w:t>Sunyard</w:t>
            </w:r>
            <w:r>
              <w:rPr>
                <w:spacing w:val="-12"/>
                <w:sz w:val="24"/>
              </w:rPr>
              <w:t xml:space="preserve"> </w:t>
            </w:r>
            <w:r>
              <w:rPr>
                <w:sz w:val="24"/>
              </w:rPr>
              <w:t>Wine</w:t>
            </w:r>
            <w:r>
              <w:rPr>
                <w:spacing w:val="-12"/>
                <w:sz w:val="24"/>
              </w:rPr>
              <w:t xml:space="preserve"> </w:t>
            </w:r>
            <w:r>
              <w:rPr>
                <w:sz w:val="24"/>
              </w:rPr>
              <w:t xml:space="preserve">Anti‐ Dumping Questionnaire </w:t>
            </w:r>
            <w:r>
              <w:rPr>
                <w:spacing w:val="-2"/>
                <w:sz w:val="24"/>
              </w:rPr>
              <w:t>Response</w:t>
            </w:r>
          </w:p>
        </w:tc>
      </w:tr>
      <w:tr w:rsidR="0010369C" w14:paraId="51DE7963" w14:textId="77777777">
        <w:trPr>
          <w:trHeight w:val="879"/>
        </w:trPr>
        <w:tc>
          <w:tcPr>
            <w:tcW w:w="1184" w:type="dxa"/>
          </w:tcPr>
          <w:p w14:paraId="51DE795E" w14:textId="77777777" w:rsidR="0010369C" w:rsidRDefault="008E43AE">
            <w:pPr>
              <w:pStyle w:val="TableParagraph"/>
              <w:spacing w:line="292" w:lineRule="exact"/>
              <w:ind w:left="107"/>
              <w:rPr>
                <w:sz w:val="24"/>
              </w:rPr>
            </w:pPr>
            <w:r>
              <w:rPr>
                <w:spacing w:val="-2"/>
                <w:sz w:val="24"/>
              </w:rPr>
              <w:t>AUS‐50</w:t>
            </w:r>
          </w:p>
        </w:tc>
        <w:tc>
          <w:tcPr>
            <w:tcW w:w="4765" w:type="dxa"/>
          </w:tcPr>
          <w:p w14:paraId="51DE795F" w14:textId="77777777" w:rsidR="0010369C" w:rsidRDefault="008E43AE">
            <w:pPr>
              <w:pStyle w:val="TableParagraph"/>
              <w:ind w:left="107"/>
              <w:rPr>
                <w:sz w:val="24"/>
              </w:rPr>
            </w:pPr>
            <w:r>
              <w:rPr>
                <w:sz w:val="24"/>
              </w:rPr>
              <w:t>Tonghua Tontine Wine, "Domestic Producer Questionnaire</w:t>
            </w:r>
            <w:r>
              <w:rPr>
                <w:spacing w:val="-10"/>
                <w:sz w:val="24"/>
              </w:rPr>
              <w:t xml:space="preserve"> </w:t>
            </w:r>
            <w:r>
              <w:rPr>
                <w:sz w:val="24"/>
              </w:rPr>
              <w:t>Response",</w:t>
            </w:r>
            <w:r>
              <w:rPr>
                <w:spacing w:val="-10"/>
                <w:sz w:val="24"/>
              </w:rPr>
              <w:t xml:space="preserve"> </w:t>
            </w:r>
            <w:r>
              <w:rPr>
                <w:sz w:val="24"/>
              </w:rPr>
              <w:t>16</w:t>
            </w:r>
            <w:r>
              <w:rPr>
                <w:spacing w:val="-10"/>
                <w:sz w:val="24"/>
              </w:rPr>
              <w:t xml:space="preserve"> </w:t>
            </w:r>
            <w:r>
              <w:rPr>
                <w:sz w:val="24"/>
              </w:rPr>
              <w:t>November</w:t>
            </w:r>
            <w:r>
              <w:rPr>
                <w:spacing w:val="-11"/>
                <w:sz w:val="24"/>
              </w:rPr>
              <w:t xml:space="preserve"> </w:t>
            </w:r>
            <w:r>
              <w:rPr>
                <w:sz w:val="24"/>
              </w:rPr>
              <w:t>2020</w:t>
            </w:r>
          </w:p>
          <w:p w14:paraId="51DE7960" w14:textId="77777777" w:rsidR="0010369C" w:rsidRDefault="008E43AE">
            <w:pPr>
              <w:pStyle w:val="TableParagraph"/>
              <w:spacing w:line="273" w:lineRule="exact"/>
              <w:ind w:left="107"/>
              <w:rPr>
                <w:sz w:val="24"/>
              </w:rPr>
            </w:pPr>
            <w:r>
              <w:rPr>
                <w:sz w:val="24"/>
              </w:rPr>
              <w:t xml:space="preserve">(English </w:t>
            </w:r>
            <w:r>
              <w:rPr>
                <w:spacing w:val="-2"/>
                <w:sz w:val="24"/>
              </w:rPr>
              <w:t>translation)</w:t>
            </w:r>
          </w:p>
        </w:tc>
        <w:tc>
          <w:tcPr>
            <w:tcW w:w="3117" w:type="dxa"/>
          </w:tcPr>
          <w:p w14:paraId="51DE7961" w14:textId="77777777" w:rsidR="0010369C" w:rsidRDefault="008E43AE">
            <w:pPr>
              <w:pStyle w:val="TableParagraph"/>
              <w:ind w:left="107"/>
              <w:rPr>
                <w:sz w:val="24"/>
              </w:rPr>
            </w:pPr>
            <w:r>
              <w:rPr>
                <w:sz w:val="24"/>
              </w:rPr>
              <w:t>Tonghua</w:t>
            </w:r>
            <w:r>
              <w:rPr>
                <w:spacing w:val="-13"/>
                <w:sz w:val="24"/>
              </w:rPr>
              <w:t xml:space="preserve"> </w:t>
            </w:r>
            <w:r>
              <w:rPr>
                <w:sz w:val="24"/>
              </w:rPr>
              <w:t>Tontine</w:t>
            </w:r>
            <w:r>
              <w:rPr>
                <w:spacing w:val="-13"/>
                <w:sz w:val="24"/>
              </w:rPr>
              <w:t xml:space="preserve"> </w:t>
            </w:r>
            <w:r>
              <w:rPr>
                <w:sz w:val="24"/>
              </w:rPr>
              <w:t>Wine</w:t>
            </w:r>
            <w:r>
              <w:rPr>
                <w:spacing w:val="-14"/>
                <w:sz w:val="24"/>
              </w:rPr>
              <w:t xml:space="preserve"> </w:t>
            </w:r>
            <w:r>
              <w:rPr>
                <w:sz w:val="24"/>
              </w:rPr>
              <w:t>Anti‐ Dumping Questionnaire</w:t>
            </w:r>
          </w:p>
          <w:p w14:paraId="51DE7962" w14:textId="77777777" w:rsidR="0010369C" w:rsidRDefault="008E43AE">
            <w:pPr>
              <w:pStyle w:val="TableParagraph"/>
              <w:spacing w:line="273" w:lineRule="exact"/>
              <w:ind w:left="107"/>
              <w:rPr>
                <w:sz w:val="24"/>
              </w:rPr>
            </w:pPr>
            <w:r>
              <w:rPr>
                <w:spacing w:val="-2"/>
                <w:sz w:val="24"/>
              </w:rPr>
              <w:t>Response</w:t>
            </w:r>
          </w:p>
        </w:tc>
      </w:tr>
      <w:tr w:rsidR="0010369C" w14:paraId="51DE7969" w14:textId="77777777">
        <w:trPr>
          <w:trHeight w:val="878"/>
        </w:trPr>
        <w:tc>
          <w:tcPr>
            <w:tcW w:w="1184" w:type="dxa"/>
          </w:tcPr>
          <w:p w14:paraId="51DE7964" w14:textId="77777777" w:rsidR="0010369C" w:rsidRDefault="008E43AE">
            <w:pPr>
              <w:pStyle w:val="TableParagraph"/>
              <w:spacing w:line="292" w:lineRule="exact"/>
              <w:ind w:left="107"/>
              <w:rPr>
                <w:sz w:val="24"/>
              </w:rPr>
            </w:pPr>
            <w:r>
              <w:rPr>
                <w:spacing w:val="-2"/>
                <w:sz w:val="24"/>
              </w:rPr>
              <w:t>AUS‐51</w:t>
            </w:r>
          </w:p>
        </w:tc>
        <w:tc>
          <w:tcPr>
            <w:tcW w:w="4765" w:type="dxa"/>
          </w:tcPr>
          <w:p w14:paraId="51DE7965" w14:textId="77777777" w:rsidR="0010369C" w:rsidRDefault="008E43AE">
            <w:pPr>
              <w:pStyle w:val="TableParagraph"/>
              <w:spacing w:line="292" w:lineRule="exact"/>
              <w:ind w:left="106"/>
              <w:rPr>
                <w:sz w:val="24"/>
              </w:rPr>
            </w:pPr>
            <w:r>
              <w:rPr>
                <w:sz w:val="24"/>
              </w:rPr>
              <w:t>Grand</w:t>
            </w:r>
            <w:r>
              <w:rPr>
                <w:spacing w:val="-3"/>
                <w:sz w:val="24"/>
              </w:rPr>
              <w:t xml:space="preserve"> </w:t>
            </w:r>
            <w:r>
              <w:rPr>
                <w:sz w:val="24"/>
              </w:rPr>
              <w:t>Dragon</w:t>
            </w:r>
            <w:r>
              <w:rPr>
                <w:spacing w:val="-3"/>
                <w:sz w:val="24"/>
              </w:rPr>
              <w:t xml:space="preserve"> </w:t>
            </w:r>
            <w:r>
              <w:rPr>
                <w:sz w:val="24"/>
              </w:rPr>
              <w:t>Wine,</w:t>
            </w:r>
            <w:r>
              <w:rPr>
                <w:spacing w:val="-3"/>
                <w:sz w:val="24"/>
              </w:rPr>
              <w:t xml:space="preserve"> </w:t>
            </w:r>
            <w:r>
              <w:rPr>
                <w:sz w:val="24"/>
              </w:rPr>
              <w:t>"Domestic</w:t>
            </w:r>
            <w:r>
              <w:rPr>
                <w:spacing w:val="-2"/>
                <w:sz w:val="24"/>
              </w:rPr>
              <w:t xml:space="preserve"> Producer</w:t>
            </w:r>
          </w:p>
          <w:p w14:paraId="51DE7966" w14:textId="77777777" w:rsidR="0010369C" w:rsidRDefault="008E43AE">
            <w:pPr>
              <w:pStyle w:val="TableParagraph"/>
              <w:spacing w:line="290" w:lineRule="atLeast"/>
              <w:ind w:left="107"/>
              <w:rPr>
                <w:sz w:val="24"/>
              </w:rPr>
            </w:pPr>
            <w:r>
              <w:rPr>
                <w:sz w:val="24"/>
              </w:rPr>
              <w:t>Questionnaire</w:t>
            </w:r>
            <w:r>
              <w:rPr>
                <w:spacing w:val="-10"/>
                <w:sz w:val="24"/>
              </w:rPr>
              <w:t xml:space="preserve"> </w:t>
            </w:r>
            <w:r>
              <w:rPr>
                <w:sz w:val="24"/>
              </w:rPr>
              <w:t>Response",</w:t>
            </w:r>
            <w:r>
              <w:rPr>
                <w:spacing w:val="-10"/>
                <w:sz w:val="24"/>
              </w:rPr>
              <w:t xml:space="preserve"> </w:t>
            </w:r>
            <w:r>
              <w:rPr>
                <w:sz w:val="24"/>
              </w:rPr>
              <w:t>16</w:t>
            </w:r>
            <w:r>
              <w:rPr>
                <w:spacing w:val="-10"/>
                <w:sz w:val="24"/>
              </w:rPr>
              <w:t xml:space="preserve"> </w:t>
            </w:r>
            <w:r>
              <w:rPr>
                <w:sz w:val="24"/>
              </w:rPr>
              <w:t>November</w:t>
            </w:r>
            <w:r>
              <w:rPr>
                <w:spacing w:val="-11"/>
                <w:sz w:val="24"/>
              </w:rPr>
              <w:t xml:space="preserve"> </w:t>
            </w:r>
            <w:r>
              <w:rPr>
                <w:sz w:val="24"/>
              </w:rPr>
              <w:t>2020 (English translation)</w:t>
            </w:r>
          </w:p>
        </w:tc>
        <w:tc>
          <w:tcPr>
            <w:tcW w:w="3117" w:type="dxa"/>
          </w:tcPr>
          <w:p w14:paraId="51DE7967" w14:textId="77777777" w:rsidR="0010369C" w:rsidRDefault="008E43AE">
            <w:pPr>
              <w:pStyle w:val="TableParagraph"/>
              <w:spacing w:line="292" w:lineRule="exact"/>
              <w:ind w:left="107"/>
              <w:rPr>
                <w:sz w:val="24"/>
              </w:rPr>
            </w:pPr>
            <w:r>
              <w:rPr>
                <w:sz w:val="24"/>
              </w:rPr>
              <w:t>Grand</w:t>
            </w:r>
            <w:r>
              <w:rPr>
                <w:spacing w:val="-1"/>
                <w:sz w:val="24"/>
              </w:rPr>
              <w:t xml:space="preserve"> </w:t>
            </w:r>
            <w:r>
              <w:rPr>
                <w:sz w:val="24"/>
              </w:rPr>
              <w:t>Dragon</w:t>
            </w:r>
            <w:r>
              <w:rPr>
                <w:spacing w:val="-1"/>
                <w:sz w:val="24"/>
              </w:rPr>
              <w:t xml:space="preserve"> </w:t>
            </w:r>
            <w:r>
              <w:rPr>
                <w:sz w:val="24"/>
              </w:rPr>
              <w:t xml:space="preserve">Wine </w:t>
            </w:r>
            <w:r>
              <w:rPr>
                <w:spacing w:val="-2"/>
                <w:sz w:val="24"/>
              </w:rPr>
              <w:t>Anti‐</w:t>
            </w:r>
          </w:p>
          <w:p w14:paraId="51DE7968" w14:textId="77777777" w:rsidR="0010369C" w:rsidRDefault="008E43AE">
            <w:pPr>
              <w:pStyle w:val="TableParagraph"/>
              <w:spacing w:line="290" w:lineRule="atLeast"/>
              <w:ind w:left="107" w:right="665"/>
              <w:rPr>
                <w:sz w:val="24"/>
              </w:rPr>
            </w:pPr>
            <w:r>
              <w:rPr>
                <w:sz w:val="24"/>
              </w:rPr>
              <w:t>Dumping</w:t>
            </w:r>
            <w:r>
              <w:rPr>
                <w:spacing w:val="-14"/>
                <w:sz w:val="24"/>
              </w:rPr>
              <w:t xml:space="preserve"> </w:t>
            </w:r>
            <w:r>
              <w:rPr>
                <w:sz w:val="24"/>
              </w:rPr>
              <w:t xml:space="preserve">Questionnaire </w:t>
            </w:r>
            <w:r>
              <w:rPr>
                <w:spacing w:val="-2"/>
                <w:sz w:val="24"/>
              </w:rPr>
              <w:t>Response</w:t>
            </w:r>
          </w:p>
        </w:tc>
      </w:tr>
      <w:tr w:rsidR="0010369C" w14:paraId="51DE796D" w14:textId="77777777">
        <w:trPr>
          <w:trHeight w:val="1171"/>
        </w:trPr>
        <w:tc>
          <w:tcPr>
            <w:tcW w:w="1184" w:type="dxa"/>
          </w:tcPr>
          <w:p w14:paraId="51DE796A" w14:textId="77777777" w:rsidR="0010369C" w:rsidRDefault="008E43AE">
            <w:pPr>
              <w:pStyle w:val="TableParagraph"/>
              <w:ind w:left="107"/>
              <w:rPr>
                <w:sz w:val="24"/>
              </w:rPr>
            </w:pPr>
            <w:r>
              <w:rPr>
                <w:spacing w:val="-2"/>
                <w:sz w:val="24"/>
              </w:rPr>
              <w:t>AUS‐52</w:t>
            </w:r>
          </w:p>
        </w:tc>
        <w:tc>
          <w:tcPr>
            <w:tcW w:w="4765" w:type="dxa"/>
          </w:tcPr>
          <w:p w14:paraId="51DE796B" w14:textId="77777777" w:rsidR="0010369C" w:rsidRDefault="008E43AE">
            <w:pPr>
              <w:pStyle w:val="TableParagraph"/>
              <w:spacing w:line="290" w:lineRule="atLeast"/>
              <w:ind w:left="106"/>
              <w:rPr>
                <w:sz w:val="24"/>
              </w:rPr>
            </w:pPr>
            <w:r>
              <w:rPr>
                <w:sz w:val="24"/>
              </w:rPr>
              <w:t>Yanti Landsun Manor Wine Co, Anti‐Dumping Case of Relevant Wines Questionnaire for Domestic</w:t>
            </w:r>
            <w:r>
              <w:rPr>
                <w:spacing w:val="-7"/>
                <w:sz w:val="24"/>
              </w:rPr>
              <w:t xml:space="preserve"> </w:t>
            </w:r>
            <w:r>
              <w:rPr>
                <w:sz w:val="24"/>
              </w:rPr>
              <w:t>Producers,</w:t>
            </w:r>
            <w:r>
              <w:rPr>
                <w:spacing w:val="-9"/>
                <w:sz w:val="24"/>
              </w:rPr>
              <w:t xml:space="preserve"> </w:t>
            </w:r>
            <w:r>
              <w:rPr>
                <w:sz w:val="24"/>
              </w:rPr>
              <w:t>13</w:t>
            </w:r>
            <w:r>
              <w:rPr>
                <w:spacing w:val="-8"/>
                <w:sz w:val="24"/>
              </w:rPr>
              <w:t xml:space="preserve"> </w:t>
            </w:r>
            <w:r>
              <w:rPr>
                <w:sz w:val="24"/>
              </w:rPr>
              <w:t>October</w:t>
            </w:r>
            <w:r>
              <w:rPr>
                <w:spacing w:val="-8"/>
                <w:sz w:val="24"/>
              </w:rPr>
              <w:t xml:space="preserve"> </w:t>
            </w:r>
            <w:r>
              <w:rPr>
                <w:sz w:val="24"/>
              </w:rPr>
              <w:t>2020</w:t>
            </w:r>
            <w:r>
              <w:rPr>
                <w:spacing w:val="-9"/>
                <w:sz w:val="24"/>
              </w:rPr>
              <w:t xml:space="preserve"> </w:t>
            </w:r>
            <w:r>
              <w:rPr>
                <w:sz w:val="24"/>
              </w:rPr>
              <w:t xml:space="preserve">(English </w:t>
            </w:r>
            <w:r>
              <w:rPr>
                <w:spacing w:val="-2"/>
                <w:sz w:val="24"/>
              </w:rPr>
              <w:t>Translation)</w:t>
            </w:r>
          </w:p>
        </w:tc>
        <w:tc>
          <w:tcPr>
            <w:tcW w:w="3117" w:type="dxa"/>
          </w:tcPr>
          <w:p w14:paraId="51DE796C" w14:textId="77777777" w:rsidR="0010369C" w:rsidRDefault="008E43AE">
            <w:pPr>
              <w:pStyle w:val="TableParagraph"/>
              <w:ind w:left="107"/>
              <w:rPr>
                <w:sz w:val="24"/>
              </w:rPr>
            </w:pPr>
            <w:r>
              <w:rPr>
                <w:sz w:val="24"/>
              </w:rPr>
              <w:t>Yantai</w:t>
            </w:r>
            <w:r>
              <w:rPr>
                <w:spacing w:val="-14"/>
                <w:sz w:val="24"/>
              </w:rPr>
              <w:t xml:space="preserve"> </w:t>
            </w:r>
            <w:r>
              <w:rPr>
                <w:sz w:val="24"/>
              </w:rPr>
              <w:t>Landsun</w:t>
            </w:r>
            <w:r>
              <w:rPr>
                <w:spacing w:val="-14"/>
                <w:sz w:val="24"/>
              </w:rPr>
              <w:t xml:space="preserve"> </w:t>
            </w:r>
            <w:r>
              <w:rPr>
                <w:sz w:val="24"/>
              </w:rPr>
              <w:t>Anti‐Dumping Questionnaire Response</w:t>
            </w:r>
          </w:p>
        </w:tc>
      </w:tr>
      <w:tr w:rsidR="0010369C" w14:paraId="51DE7971" w14:textId="77777777">
        <w:trPr>
          <w:trHeight w:val="1171"/>
        </w:trPr>
        <w:tc>
          <w:tcPr>
            <w:tcW w:w="1184" w:type="dxa"/>
          </w:tcPr>
          <w:p w14:paraId="51DE796E" w14:textId="77777777" w:rsidR="0010369C" w:rsidRDefault="008E43AE">
            <w:pPr>
              <w:pStyle w:val="TableParagraph"/>
              <w:ind w:left="107"/>
              <w:rPr>
                <w:sz w:val="24"/>
              </w:rPr>
            </w:pPr>
            <w:r>
              <w:rPr>
                <w:spacing w:val="-2"/>
                <w:sz w:val="24"/>
              </w:rPr>
              <w:t>AUS‐53</w:t>
            </w:r>
          </w:p>
        </w:tc>
        <w:tc>
          <w:tcPr>
            <w:tcW w:w="4765" w:type="dxa"/>
          </w:tcPr>
          <w:p w14:paraId="51DE796F" w14:textId="77777777" w:rsidR="0010369C" w:rsidRDefault="008E43AE">
            <w:pPr>
              <w:pStyle w:val="TableParagraph"/>
              <w:spacing w:line="290" w:lineRule="atLeast"/>
              <w:ind w:left="106"/>
              <w:rPr>
                <w:sz w:val="24"/>
              </w:rPr>
            </w:pPr>
            <w:r>
              <w:rPr>
                <w:sz w:val="24"/>
              </w:rPr>
              <w:t>Changyu Wines, "Anti‐Dumping Case of Relevant</w:t>
            </w:r>
            <w:r>
              <w:rPr>
                <w:spacing w:val="-9"/>
                <w:sz w:val="24"/>
              </w:rPr>
              <w:t xml:space="preserve"> </w:t>
            </w:r>
            <w:r>
              <w:rPr>
                <w:sz w:val="24"/>
              </w:rPr>
              <w:t>Wines</w:t>
            </w:r>
            <w:r>
              <w:rPr>
                <w:spacing w:val="-10"/>
                <w:sz w:val="24"/>
              </w:rPr>
              <w:t xml:space="preserve"> </w:t>
            </w:r>
            <w:r>
              <w:rPr>
                <w:sz w:val="24"/>
              </w:rPr>
              <w:t>Questionnaire</w:t>
            </w:r>
            <w:r>
              <w:rPr>
                <w:spacing w:val="-10"/>
                <w:sz w:val="24"/>
              </w:rPr>
              <w:t xml:space="preserve"> </w:t>
            </w:r>
            <w:r>
              <w:rPr>
                <w:sz w:val="24"/>
              </w:rPr>
              <w:t>for</w:t>
            </w:r>
            <w:r>
              <w:rPr>
                <w:spacing w:val="-9"/>
                <w:sz w:val="24"/>
              </w:rPr>
              <w:t xml:space="preserve"> </w:t>
            </w:r>
            <w:r>
              <w:rPr>
                <w:sz w:val="24"/>
              </w:rPr>
              <w:t xml:space="preserve">Domestic Producers", 13 October 2020 (English </w:t>
            </w:r>
            <w:r>
              <w:rPr>
                <w:spacing w:val="-2"/>
                <w:sz w:val="24"/>
              </w:rPr>
              <w:t>Translation)</w:t>
            </w:r>
          </w:p>
        </w:tc>
        <w:tc>
          <w:tcPr>
            <w:tcW w:w="3117" w:type="dxa"/>
          </w:tcPr>
          <w:p w14:paraId="51DE7970" w14:textId="77777777" w:rsidR="0010369C" w:rsidRDefault="008E43AE">
            <w:pPr>
              <w:pStyle w:val="TableParagraph"/>
              <w:ind w:left="107" w:right="665"/>
              <w:rPr>
                <w:sz w:val="24"/>
              </w:rPr>
            </w:pPr>
            <w:r>
              <w:rPr>
                <w:sz w:val="24"/>
              </w:rPr>
              <w:t>Changyu Wines Anti‐ Dumping</w:t>
            </w:r>
            <w:r>
              <w:rPr>
                <w:spacing w:val="-14"/>
                <w:sz w:val="24"/>
              </w:rPr>
              <w:t xml:space="preserve"> </w:t>
            </w:r>
            <w:r>
              <w:rPr>
                <w:sz w:val="24"/>
              </w:rPr>
              <w:t xml:space="preserve">Questionnaire </w:t>
            </w:r>
            <w:r>
              <w:rPr>
                <w:spacing w:val="-2"/>
                <w:sz w:val="24"/>
              </w:rPr>
              <w:t>Response</w:t>
            </w:r>
          </w:p>
        </w:tc>
      </w:tr>
      <w:tr w:rsidR="0010369C" w14:paraId="51DE7975" w14:textId="77777777">
        <w:trPr>
          <w:trHeight w:val="879"/>
        </w:trPr>
        <w:tc>
          <w:tcPr>
            <w:tcW w:w="1184" w:type="dxa"/>
          </w:tcPr>
          <w:p w14:paraId="51DE7972" w14:textId="77777777" w:rsidR="0010369C" w:rsidRDefault="008E43AE">
            <w:pPr>
              <w:pStyle w:val="TableParagraph"/>
              <w:ind w:left="107"/>
              <w:rPr>
                <w:sz w:val="24"/>
              </w:rPr>
            </w:pPr>
            <w:r>
              <w:rPr>
                <w:spacing w:val="-2"/>
                <w:sz w:val="24"/>
              </w:rPr>
              <w:t>AUS‐54</w:t>
            </w:r>
          </w:p>
        </w:tc>
        <w:tc>
          <w:tcPr>
            <w:tcW w:w="4765" w:type="dxa"/>
          </w:tcPr>
          <w:p w14:paraId="51DE7973" w14:textId="77777777" w:rsidR="0010369C" w:rsidRDefault="008E43AE">
            <w:pPr>
              <w:pStyle w:val="TableParagraph"/>
              <w:spacing w:line="290" w:lineRule="atLeast"/>
              <w:ind w:left="106"/>
              <w:rPr>
                <w:sz w:val="24"/>
              </w:rPr>
            </w:pPr>
            <w:r>
              <w:rPr>
                <w:sz w:val="24"/>
              </w:rPr>
              <w:t>Turpan LouLan Wine, "Domestic Producer Questionnaire</w:t>
            </w:r>
            <w:r>
              <w:rPr>
                <w:spacing w:val="-10"/>
                <w:sz w:val="24"/>
              </w:rPr>
              <w:t xml:space="preserve"> </w:t>
            </w:r>
            <w:r>
              <w:rPr>
                <w:sz w:val="24"/>
              </w:rPr>
              <w:t>Response",</w:t>
            </w:r>
            <w:r>
              <w:rPr>
                <w:spacing w:val="-10"/>
                <w:sz w:val="24"/>
              </w:rPr>
              <w:t xml:space="preserve"> </w:t>
            </w:r>
            <w:r>
              <w:rPr>
                <w:sz w:val="24"/>
              </w:rPr>
              <w:t>16</w:t>
            </w:r>
            <w:r>
              <w:rPr>
                <w:spacing w:val="-10"/>
                <w:sz w:val="24"/>
              </w:rPr>
              <w:t xml:space="preserve"> </w:t>
            </w:r>
            <w:r>
              <w:rPr>
                <w:sz w:val="24"/>
              </w:rPr>
              <w:t>November</w:t>
            </w:r>
            <w:r>
              <w:rPr>
                <w:spacing w:val="-11"/>
                <w:sz w:val="24"/>
              </w:rPr>
              <w:t xml:space="preserve"> </w:t>
            </w:r>
            <w:r>
              <w:rPr>
                <w:sz w:val="24"/>
              </w:rPr>
              <w:t>2020 (English translation)</w:t>
            </w:r>
          </w:p>
        </w:tc>
        <w:tc>
          <w:tcPr>
            <w:tcW w:w="3117" w:type="dxa"/>
          </w:tcPr>
          <w:p w14:paraId="51DE7974" w14:textId="77777777" w:rsidR="0010369C" w:rsidRDefault="008E43AE">
            <w:pPr>
              <w:pStyle w:val="TableParagraph"/>
              <w:spacing w:line="290" w:lineRule="atLeast"/>
              <w:ind w:left="107"/>
              <w:rPr>
                <w:sz w:val="24"/>
              </w:rPr>
            </w:pPr>
            <w:r>
              <w:rPr>
                <w:sz w:val="24"/>
              </w:rPr>
              <w:t>Turpan</w:t>
            </w:r>
            <w:r>
              <w:rPr>
                <w:spacing w:val="-14"/>
                <w:sz w:val="24"/>
              </w:rPr>
              <w:t xml:space="preserve"> </w:t>
            </w:r>
            <w:r>
              <w:rPr>
                <w:sz w:val="24"/>
              </w:rPr>
              <w:t>LouLan</w:t>
            </w:r>
            <w:r>
              <w:rPr>
                <w:spacing w:val="-13"/>
                <w:sz w:val="24"/>
              </w:rPr>
              <w:t xml:space="preserve"> </w:t>
            </w:r>
            <w:r>
              <w:rPr>
                <w:sz w:val="24"/>
              </w:rPr>
              <w:t>Wine</w:t>
            </w:r>
            <w:r>
              <w:rPr>
                <w:spacing w:val="-13"/>
                <w:sz w:val="24"/>
              </w:rPr>
              <w:t xml:space="preserve"> </w:t>
            </w:r>
            <w:r>
              <w:rPr>
                <w:sz w:val="24"/>
              </w:rPr>
              <w:t xml:space="preserve">Anti‐ Dumping Questionnaire </w:t>
            </w:r>
            <w:r>
              <w:rPr>
                <w:spacing w:val="-2"/>
                <w:sz w:val="24"/>
              </w:rPr>
              <w:t>Response</w:t>
            </w:r>
          </w:p>
        </w:tc>
      </w:tr>
      <w:tr w:rsidR="0010369C" w14:paraId="51DE797B" w14:textId="77777777">
        <w:trPr>
          <w:trHeight w:val="879"/>
        </w:trPr>
        <w:tc>
          <w:tcPr>
            <w:tcW w:w="1184" w:type="dxa"/>
          </w:tcPr>
          <w:p w14:paraId="51DE7976" w14:textId="77777777" w:rsidR="0010369C" w:rsidRDefault="008E43AE">
            <w:pPr>
              <w:pStyle w:val="TableParagraph"/>
              <w:spacing w:line="292" w:lineRule="exact"/>
              <w:ind w:left="107"/>
              <w:rPr>
                <w:sz w:val="24"/>
              </w:rPr>
            </w:pPr>
            <w:r>
              <w:rPr>
                <w:spacing w:val="-2"/>
                <w:sz w:val="24"/>
              </w:rPr>
              <w:t>AUS‐55</w:t>
            </w:r>
          </w:p>
        </w:tc>
        <w:tc>
          <w:tcPr>
            <w:tcW w:w="4765" w:type="dxa"/>
          </w:tcPr>
          <w:p w14:paraId="51DE7977" w14:textId="77777777" w:rsidR="0010369C" w:rsidRDefault="008E43AE">
            <w:pPr>
              <w:pStyle w:val="TableParagraph"/>
              <w:ind w:left="106" w:right="181"/>
              <w:rPr>
                <w:sz w:val="24"/>
              </w:rPr>
            </w:pPr>
            <w:r>
              <w:rPr>
                <w:sz w:val="24"/>
              </w:rPr>
              <w:t>Dynasty Fine Wine Group, "Domestic Producer</w:t>
            </w:r>
            <w:r>
              <w:rPr>
                <w:spacing w:val="-12"/>
                <w:sz w:val="24"/>
              </w:rPr>
              <w:t xml:space="preserve"> </w:t>
            </w:r>
            <w:r>
              <w:rPr>
                <w:sz w:val="24"/>
              </w:rPr>
              <w:t>Questionnaire</w:t>
            </w:r>
            <w:r>
              <w:rPr>
                <w:spacing w:val="-14"/>
                <w:sz w:val="24"/>
              </w:rPr>
              <w:t xml:space="preserve"> </w:t>
            </w:r>
            <w:r>
              <w:rPr>
                <w:sz w:val="24"/>
              </w:rPr>
              <w:t>Response",</w:t>
            </w:r>
            <w:r>
              <w:rPr>
                <w:spacing w:val="-13"/>
                <w:sz w:val="24"/>
              </w:rPr>
              <w:t xml:space="preserve"> </w:t>
            </w:r>
            <w:r>
              <w:rPr>
                <w:sz w:val="24"/>
              </w:rPr>
              <w:t>16</w:t>
            </w:r>
          </w:p>
          <w:p w14:paraId="51DE7978" w14:textId="77777777" w:rsidR="0010369C" w:rsidRDefault="008E43AE">
            <w:pPr>
              <w:pStyle w:val="TableParagraph"/>
              <w:spacing w:line="273" w:lineRule="exact"/>
              <w:ind w:left="106"/>
              <w:rPr>
                <w:sz w:val="24"/>
              </w:rPr>
            </w:pPr>
            <w:r>
              <w:rPr>
                <w:sz w:val="24"/>
              </w:rPr>
              <w:t>November</w:t>
            </w:r>
            <w:r>
              <w:rPr>
                <w:spacing w:val="-2"/>
                <w:sz w:val="24"/>
              </w:rPr>
              <w:t xml:space="preserve"> </w:t>
            </w:r>
            <w:r>
              <w:rPr>
                <w:sz w:val="24"/>
              </w:rPr>
              <w:t>2020</w:t>
            </w:r>
            <w:r>
              <w:rPr>
                <w:spacing w:val="-2"/>
                <w:sz w:val="24"/>
              </w:rPr>
              <w:t xml:space="preserve"> </w:t>
            </w:r>
            <w:r>
              <w:rPr>
                <w:sz w:val="24"/>
              </w:rPr>
              <w:t xml:space="preserve">(English </w:t>
            </w:r>
            <w:r>
              <w:rPr>
                <w:spacing w:val="-2"/>
                <w:sz w:val="24"/>
              </w:rPr>
              <w:t>translation)</w:t>
            </w:r>
          </w:p>
        </w:tc>
        <w:tc>
          <w:tcPr>
            <w:tcW w:w="3117" w:type="dxa"/>
          </w:tcPr>
          <w:p w14:paraId="51DE7979" w14:textId="77777777" w:rsidR="0010369C" w:rsidRDefault="008E43AE">
            <w:pPr>
              <w:pStyle w:val="TableParagraph"/>
              <w:ind w:left="107"/>
              <w:rPr>
                <w:sz w:val="24"/>
              </w:rPr>
            </w:pPr>
            <w:r>
              <w:rPr>
                <w:sz w:val="24"/>
              </w:rPr>
              <w:t>Dynasty</w:t>
            </w:r>
            <w:r>
              <w:rPr>
                <w:spacing w:val="-10"/>
                <w:sz w:val="24"/>
              </w:rPr>
              <w:t xml:space="preserve"> </w:t>
            </w:r>
            <w:r>
              <w:rPr>
                <w:sz w:val="24"/>
              </w:rPr>
              <w:t>Fine</w:t>
            </w:r>
            <w:r>
              <w:rPr>
                <w:spacing w:val="-10"/>
                <w:sz w:val="24"/>
              </w:rPr>
              <w:t xml:space="preserve"> </w:t>
            </w:r>
            <w:r>
              <w:rPr>
                <w:sz w:val="24"/>
              </w:rPr>
              <w:t>Wine</w:t>
            </w:r>
            <w:r>
              <w:rPr>
                <w:spacing w:val="34"/>
                <w:sz w:val="24"/>
              </w:rPr>
              <w:t xml:space="preserve"> </w:t>
            </w:r>
            <w:r>
              <w:rPr>
                <w:sz w:val="24"/>
              </w:rPr>
              <w:t>Anti‐ Dumping Questionnaire</w:t>
            </w:r>
          </w:p>
          <w:p w14:paraId="51DE797A" w14:textId="77777777" w:rsidR="0010369C" w:rsidRDefault="008E43AE">
            <w:pPr>
              <w:pStyle w:val="TableParagraph"/>
              <w:spacing w:line="273" w:lineRule="exact"/>
              <w:ind w:left="107"/>
              <w:rPr>
                <w:sz w:val="24"/>
              </w:rPr>
            </w:pPr>
            <w:r>
              <w:rPr>
                <w:spacing w:val="-2"/>
                <w:sz w:val="24"/>
              </w:rPr>
              <w:t>Response</w:t>
            </w:r>
          </w:p>
        </w:tc>
      </w:tr>
      <w:tr w:rsidR="0010369C" w14:paraId="51DE7981" w14:textId="77777777">
        <w:trPr>
          <w:trHeight w:val="878"/>
        </w:trPr>
        <w:tc>
          <w:tcPr>
            <w:tcW w:w="1184" w:type="dxa"/>
          </w:tcPr>
          <w:p w14:paraId="51DE797C" w14:textId="77777777" w:rsidR="0010369C" w:rsidRDefault="008E43AE">
            <w:pPr>
              <w:pStyle w:val="TableParagraph"/>
              <w:spacing w:line="292" w:lineRule="exact"/>
              <w:ind w:left="107"/>
              <w:rPr>
                <w:sz w:val="24"/>
              </w:rPr>
            </w:pPr>
            <w:r>
              <w:rPr>
                <w:spacing w:val="-2"/>
                <w:sz w:val="24"/>
              </w:rPr>
              <w:t>AUS‐56</w:t>
            </w:r>
          </w:p>
        </w:tc>
        <w:tc>
          <w:tcPr>
            <w:tcW w:w="4765" w:type="dxa"/>
          </w:tcPr>
          <w:p w14:paraId="51DE797D" w14:textId="77777777" w:rsidR="0010369C" w:rsidRDefault="008E43AE">
            <w:pPr>
              <w:pStyle w:val="TableParagraph"/>
              <w:ind w:left="106"/>
              <w:rPr>
                <w:sz w:val="24"/>
              </w:rPr>
            </w:pPr>
            <w:r>
              <w:rPr>
                <w:sz w:val="24"/>
              </w:rPr>
              <w:t>Boheng</w:t>
            </w:r>
            <w:r>
              <w:rPr>
                <w:spacing w:val="-10"/>
                <w:sz w:val="24"/>
              </w:rPr>
              <w:t xml:space="preserve"> </w:t>
            </w:r>
            <w:r>
              <w:rPr>
                <w:sz w:val="24"/>
              </w:rPr>
              <w:t>Beijing</w:t>
            </w:r>
            <w:r>
              <w:rPr>
                <w:spacing w:val="-10"/>
                <w:sz w:val="24"/>
              </w:rPr>
              <w:t xml:space="preserve"> </w:t>
            </w:r>
            <w:r>
              <w:rPr>
                <w:sz w:val="24"/>
              </w:rPr>
              <w:t>Fengshou</w:t>
            </w:r>
            <w:r>
              <w:rPr>
                <w:spacing w:val="-9"/>
                <w:sz w:val="24"/>
              </w:rPr>
              <w:t xml:space="preserve"> </w:t>
            </w:r>
            <w:r>
              <w:rPr>
                <w:sz w:val="24"/>
              </w:rPr>
              <w:t>Wine,</w:t>
            </w:r>
            <w:r>
              <w:rPr>
                <w:spacing w:val="-10"/>
                <w:sz w:val="24"/>
              </w:rPr>
              <w:t xml:space="preserve"> </w:t>
            </w:r>
            <w:r>
              <w:rPr>
                <w:sz w:val="24"/>
              </w:rPr>
              <w:t>"Domestic Producer Response," 16 November 2020</w:t>
            </w:r>
          </w:p>
          <w:p w14:paraId="51DE797E" w14:textId="77777777" w:rsidR="0010369C" w:rsidRDefault="008E43AE">
            <w:pPr>
              <w:pStyle w:val="TableParagraph"/>
              <w:spacing w:line="273" w:lineRule="exact"/>
              <w:ind w:left="106"/>
              <w:rPr>
                <w:sz w:val="24"/>
              </w:rPr>
            </w:pPr>
            <w:r>
              <w:rPr>
                <w:sz w:val="24"/>
              </w:rPr>
              <w:t xml:space="preserve">(English </w:t>
            </w:r>
            <w:r>
              <w:rPr>
                <w:spacing w:val="-2"/>
                <w:sz w:val="24"/>
              </w:rPr>
              <w:t>translation)</w:t>
            </w:r>
          </w:p>
        </w:tc>
        <w:tc>
          <w:tcPr>
            <w:tcW w:w="3117" w:type="dxa"/>
          </w:tcPr>
          <w:p w14:paraId="51DE797F" w14:textId="77777777" w:rsidR="0010369C" w:rsidRDefault="008E43AE">
            <w:pPr>
              <w:pStyle w:val="TableParagraph"/>
              <w:ind w:left="107"/>
              <w:rPr>
                <w:sz w:val="24"/>
              </w:rPr>
            </w:pPr>
            <w:r>
              <w:rPr>
                <w:sz w:val="24"/>
              </w:rPr>
              <w:t>Beijing</w:t>
            </w:r>
            <w:r>
              <w:rPr>
                <w:spacing w:val="-13"/>
                <w:sz w:val="24"/>
              </w:rPr>
              <w:t xml:space="preserve"> </w:t>
            </w:r>
            <w:r>
              <w:rPr>
                <w:sz w:val="24"/>
              </w:rPr>
              <w:t>Fengshou</w:t>
            </w:r>
            <w:r>
              <w:rPr>
                <w:spacing w:val="-13"/>
                <w:sz w:val="24"/>
              </w:rPr>
              <w:t xml:space="preserve"> </w:t>
            </w:r>
            <w:r>
              <w:rPr>
                <w:sz w:val="24"/>
              </w:rPr>
              <w:t>Wine</w:t>
            </w:r>
            <w:r>
              <w:rPr>
                <w:spacing w:val="-12"/>
                <w:sz w:val="24"/>
              </w:rPr>
              <w:t xml:space="preserve"> </w:t>
            </w:r>
            <w:r>
              <w:rPr>
                <w:sz w:val="24"/>
              </w:rPr>
              <w:t>Anti‐ Dumping Questionnaire</w:t>
            </w:r>
          </w:p>
          <w:p w14:paraId="51DE7980" w14:textId="77777777" w:rsidR="0010369C" w:rsidRDefault="008E43AE">
            <w:pPr>
              <w:pStyle w:val="TableParagraph"/>
              <w:spacing w:line="273" w:lineRule="exact"/>
              <w:ind w:left="107"/>
              <w:rPr>
                <w:sz w:val="24"/>
              </w:rPr>
            </w:pPr>
            <w:r>
              <w:rPr>
                <w:spacing w:val="-2"/>
                <w:sz w:val="24"/>
              </w:rPr>
              <w:t>Response</w:t>
            </w:r>
          </w:p>
        </w:tc>
      </w:tr>
      <w:tr w:rsidR="0010369C" w14:paraId="51DE7985" w14:textId="77777777">
        <w:trPr>
          <w:trHeight w:val="1171"/>
        </w:trPr>
        <w:tc>
          <w:tcPr>
            <w:tcW w:w="1184" w:type="dxa"/>
          </w:tcPr>
          <w:p w14:paraId="51DE7982" w14:textId="77777777" w:rsidR="0010369C" w:rsidRDefault="008E43AE">
            <w:pPr>
              <w:pStyle w:val="TableParagraph"/>
              <w:ind w:left="107"/>
              <w:rPr>
                <w:sz w:val="24"/>
              </w:rPr>
            </w:pPr>
            <w:r>
              <w:rPr>
                <w:spacing w:val="-2"/>
                <w:sz w:val="24"/>
              </w:rPr>
              <w:t>AUS‐57</w:t>
            </w:r>
          </w:p>
        </w:tc>
        <w:tc>
          <w:tcPr>
            <w:tcW w:w="4765" w:type="dxa"/>
          </w:tcPr>
          <w:p w14:paraId="51DE7983" w14:textId="77777777" w:rsidR="0010369C" w:rsidRDefault="008E43AE">
            <w:pPr>
              <w:pStyle w:val="TableParagraph"/>
              <w:spacing w:line="290" w:lineRule="atLeast"/>
              <w:ind w:left="106" w:right="181"/>
              <w:rPr>
                <w:sz w:val="24"/>
              </w:rPr>
            </w:pPr>
            <w:r>
              <w:rPr>
                <w:sz w:val="24"/>
              </w:rPr>
              <w:t>Ningxia</w:t>
            </w:r>
            <w:r>
              <w:rPr>
                <w:spacing w:val="-8"/>
                <w:sz w:val="24"/>
              </w:rPr>
              <w:t xml:space="preserve"> </w:t>
            </w:r>
            <w:r>
              <w:rPr>
                <w:sz w:val="24"/>
              </w:rPr>
              <w:t>Hengsheng</w:t>
            </w:r>
            <w:r>
              <w:rPr>
                <w:spacing w:val="-8"/>
                <w:sz w:val="24"/>
              </w:rPr>
              <w:t xml:space="preserve"> </w:t>
            </w:r>
            <w:r>
              <w:rPr>
                <w:sz w:val="24"/>
              </w:rPr>
              <w:t>Xixiaking</w:t>
            </w:r>
            <w:r>
              <w:rPr>
                <w:spacing w:val="-8"/>
                <w:sz w:val="24"/>
              </w:rPr>
              <w:t xml:space="preserve"> </w:t>
            </w:r>
            <w:r>
              <w:rPr>
                <w:sz w:val="24"/>
              </w:rPr>
              <w:t>Wine</w:t>
            </w:r>
            <w:r>
              <w:rPr>
                <w:spacing w:val="-7"/>
                <w:sz w:val="24"/>
              </w:rPr>
              <w:t xml:space="preserve"> </w:t>
            </w:r>
            <w:r>
              <w:rPr>
                <w:sz w:val="24"/>
              </w:rPr>
              <w:t>Co,</w:t>
            </w:r>
            <w:r>
              <w:rPr>
                <w:spacing w:val="-8"/>
                <w:sz w:val="24"/>
              </w:rPr>
              <w:t xml:space="preserve"> </w:t>
            </w:r>
            <w:r>
              <w:rPr>
                <w:sz w:val="24"/>
              </w:rPr>
              <w:t>Anti‐ Dumping Case of Relevant Wines – Questionnaire for Domestic Producers, Nil date (English Translation)</w:t>
            </w:r>
          </w:p>
        </w:tc>
        <w:tc>
          <w:tcPr>
            <w:tcW w:w="3117" w:type="dxa"/>
          </w:tcPr>
          <w:p w14:paraId="51DE7984" w14:textId="77777777" w:rsidR="0010369C" w:rsidRDefault="008E43AE">
            <w:pPr>
              <w:pStyle w:val="TableParagraph"/>
              <w:ind w:left="107" w:right="615"/>
              <w:rPr>
                <w:sz w:val="24"/>
              </w:rPr>
            </w:pPr>
            <w:r>
              <w:rPr>
                <w:sz w:val="24"/>
              </w:rPr>
              <w:t>Ningxia Anti‐Dumping Questionnaire</w:t>
            </w:r>
            <w:r>
              <w:rPr>
                <w:spacing w:val="-14"/>
                <w:sz w:val="24"/>
              </w:rPr>
              <w:t xml:space="preserve"> </w:t>
            </w:r>
            <w:r>
              <w:rPr>
                <w:sz w:val="24"/>
              </w:rPr>
              <w:t>Response</w:t>
            </w:r>
          </w:p>
        </w:tc>
      </w:tr>
      <w:tr w:rsidR="0010369C" w14:paraId="51DE7989" w14:textId="77777777">
        <w:trPr>
          <w:trHeight w:val="879"/>
        </w:trPr>
        <w:tc>
          <w:tcPr>
            <w:tcW w:w="1184" w:type="dxa"/>
          </w:tcPr>
          <w:p w14:paraId="51DE7986" w14:textId="77777777" w:rsidR="0010369C" w:rsidRDefault="008E43AE">
            <w:pPr>
              <w:pStyle w:val="TableParagraph"/>
              <w:ind w:left="107"/>
              <w:rPr>
                <w:sz w:val="24"/>
              </w:rPr>
            </w:pPr>
            <w:r>
              <w:rPr>
                <w:spacing w:val="-2"/>
                <w:sz w:val="24"/>
              </w:rPr>
              <w:t>AUS‐58</w:t>
            </w:r>
          </w:p>
        </w:tc>
        <w:tc>
          <w:tcPr>
            <w:tcW w:w="4765" w:type="dxa"/>
          </w:tcPr>
          <w:p w14:paraId="51DE7987" w14:textId="77777777" w:rsidR="0010369C" w:rsidRDefault="008E43AE">
            <w:pPr>
              <w:pStyle w:val="TableParagraph"/>
              <w:spacing w:line="290" w:lineRule="atLeast"/>
              <w:ind w:left="106"/>
              <w:rPr>
                <w:sz w:val="24"/>
              </w:rPr>
            </w:pPr>
            <w:r>
              <w:rPr>
                <w:sz w:val="24"/>
              </w:rPr>
              <w:t>Gansu Mogao Industrial Development, "Domestic</w:t>
            </w:r>
            <w:r>
              <w:rPr>
                <w:spacing w:val="-13"/>
                <w:sz w:val="24"/>
              </w:rPr>
              <w:t xml:space="preserve"> </w:t>
            </w:r>
            <w:r>
              <w:rPr>
                <w:sz w:val="24"/>
              </w:rPr>
              <w:t>Producer</w:t>
            </w:r>
            <w:r>
              <w:rPr>
                <w:spacing w:val="-13"/>
                <w:sz w:val="24"/>
              </w:rPr>
              <w:t xml:space="preserve"> </w:t>
            </w:r>
            <w:r>
              <w:rPr>
                <w:sz w:val="24"/>
              </w:rPr>
              <w:t>Questionnaire</w:t>
            </w:r>
            <w:r>
              <w:rPr>
                <w:spacing w:val="-13"/>
                <w:sz w:val="24"/>
              </w:rPr>
              <w:t xml:space="preserve"> </w:t>
            </w:r>
            <w:r>
              <w:rPr>
                <w:sz w:val="24"/>
              </w:rPr>
              <w:t>Response", 16 November 2020 (English translation)</w:t>
            </w:r>
          </w:p>
        </w:tc>
        <w:tc>
          <w:tcPr>
            <w:tcW w:w="3117" w:type="dxa"/>
          </w:tcPr>
          <w:p w14:paraId="51DE7988" w14:textId="77777777" w:rsidR="0010369C" w:rsidRDefault="008E43AE">
            <w:pPr>
              <w:pStyle w:val="TableParagraph"/>
              <w:spacing w:line="290" w:lineRule="atLeast"/>
              <w:ind w:left="107" w:right="259"/>
              <w:rPr>
                <w:sz w:val="24"/>
              </w:rPr>
            </w:pPr>
            <w:r>
              <w:rPr>
                <w:sz w:val="24"/>
              </w:rPr>
              <w:t>Gansu Mogao Industrial Development</w:t>
            </w:r>
            <w:r>
              <w:rPr>
                <w:spacing w:val="-14"/>
                <w:sz w:val="24"/>
              </w:rPr>
              <w:t xml:space="preserve"> </w:t>
            </w:r>
            <w:r>
              <w:rPr>
                <w:sz w:val="24"/>
              </w:rPr>
              <w:t>Anti‐Dumping Questionnaire Response</w:t>
            </w:r>
          </w:p>
        </w:tc>
      </w:tr>
      <w:tr w:rsidR="0010369C" w14:paraId="51DE798F" w14:textId="77777777">
        <w:trPr>
          <w:trHeight w:val="879"/>
        </w:trPr>
        <w:tc>
          <w:tcPr>
            <w:tcW w:w="1184" w:type="dxa"/>
          </w:tcPr>
          <w:p w14:paraId="51DE798A" w14:textId="77777777" w:rsidR="0010369C" w:rsidRDefault="008E43AE">
            <w:pPr>
              <w:pStyle w:val="TableParagraph"/>
              <w:spacing w:line="292" w:lineRule="exact"/>
              <w:ind w:left="107"/>
              <w:rPr>
                <w:sz w:val="24"/>
              </w:rPr>
            </w:pPr>
            <w:r>
              <w:rPr>
                <w:spacing w:val="-2"/>
                <w:sz w:val="24"/>
              </w:rPr>
              <w:t>AUS‐59</w:t>
            </w:r>
          </w:p>
        </w:tc>
        <w:tc>
          <w:tcPr>
            <w:tcW w:w="4765" w:type="dxa"/>
          </w:tcPr>
          <w:p w14:paraId="51DE798B" w14:textId="77777777" w:rsidR="0010369C" w:rsidRDefault="008E43AE">
            <w:pPr>
              <w:pStyle w:val="TableParagraph"/>
              <w:spacing w:line="292" w:lineRule="exact"/>
              <w:ind w:left="106"/>
              <w:rPr>
                <w:sz w:val="24"/>
              </w:rPr>
            </w:pPr>
            <w:r>
              <w:rPr>
                <w:sz w:val="24"/>
              </w:rPr>
              <w:t>Gansu</w:t>
            </w:r>
            <w:r>
              <w:rPr>
                <w:spacing w:val="-2"/>
                <w:sz w:val="24"/>
              </w:rPr>
              <w:t xml:space="preserve"> </w:t>
            </w:r>
            <w:r>
              <w:rPr>
                <w:sz w:val="24"/>
              </w:rPr>
              <w:t>Zixuan</w:t>
            </w:r>
            <w:r>
              <w:rPr>
                <w:spacing w:val="-2"/>
                <w:sz w:val="24"/>
              </w:rPr>
              <w:t xml:space="preserve"> </w:t>
            </w:r>
            <w:r>
              <w:rPr>
                <w:sz w:val="24"/>
              </w:rPr>
              <w:t>Wine,</w:t>
            </w:r>
            <w:r>
              <w:rPr>
                <w:spacing w:val="-2"/>
                <w:sz w:val="24"/>
              </w:rPr>
              <w:t xml:space="preserve"> </w:t>
            </w:r>
            <w:r>
              <w:rPr>
                <w:sz w:val="24"/>
              </w:rPr>
              <w:t>"Domestic</w:t>
            </w:r>
            <w:r>
              <w:rPr>
                <w:spacing w:val="-1"/>
                <w:sz w:val="24"/>
              </w:rPr>
              <w:t xml:space="preserve"> </w:t>
            </w:r>
            <w:r>
              <w:rPr>
                <w:spacing w:val="-2"/>
                <w:sz w:val="24"/>
              </w:rPr>
              <w:t>Producer</w:t>
            </w:r>
          </w:p>
          <w:p w14:paraId="51DE798C" w14:textId="77777777" w:rsidR="0010369C" w:rsidRDefault="008E43AE">
            <w:pPr>
              <w:pStyle w:val="TableParagraph"/>
              <w:spacing w:line="290" w:lineRule="atLeast"/>
              <w:ind w:left="106"/>
              <w:rPr>
                <w:sz w:val="24"/>
              </w:rPr>
            </w:pPr>
            <w:r>
              <w:rPr>
                <w:sz w:val="24"/>
              </w:rPr>
              <w:t>Questionnaire</w:t>
            </w:r>
            <w:r>
              <w:rPr>
                <w:spacing w:val="-10"/>
                <w:sz w:val="24"/>
              </w:rPr>
              <w:t xml:space="preserve"> </w:t>
            </w:r>
            <w:r>
              <w:rPr>
                <w:sz w:val="24"/>
              </w:rPr>
              <w:t>Response,"</w:t>
            </w:r>
            <w:r>
              <w:rPr>
                <w:spacing w:val="-10"/>
                <w:sz w:val="24"/>
              </w:rPr>
              <w:t xml:space="preserve"> </w:t>
            </w:r>
            <w:r>
              <w:rPr>
                <w:sz w:val="24"/>
              </w:rPr>
              <w:t>16</w:t>
            </w:r>
            <w:r>
              <w:rPr>
                <w:spacing w:val="-10"/>
                <w:sz w:val="24"/>
              </w:rPr>
              <w:t xml:space="preserve"> </w:t>
            </w:r>
            <w:r>
              <w:rPr>
                <w:sz w:val="24"/>
              </w:rPr>
              <w:t>November</w:t>
            </w:r>
            <w:r>
              <w:rPr>
                <w:spacing w:val="-11"/>
                <w:sz w:val="24"/>
              </w:rPr>
              <w:t xml:space="preserve"> </w:t>
            </w:r>
            <w:r>
              <w:rPr>
                <w:sz w:val="24"/>
              </w:rPr>
              <w:t>2020 (English translation)</w:t>
            </w:r>
          </w:p>
        </w:tc>
        <w:tc>
          <w:tcPr>
            <w:tcW w:w="3117" w:type="dxa"/>
          </w:tcPr>
          <w:p w14:paraId="51DE798D" w14:textId="77777777" w:rsidR="0010369C" w:rsidRDefault="008E43AE">
            <w:pPr>
              <w:pStyle w:val="TableParagraph"/>
              <w:spacing w:line="292" w:lineRule="exact"/>
              <w:ind w:left="107"/>
              <w:rPr>
                <w:sz w:val="24"/>
              </w:rPr>
            </w:pPr>
            <w:r>
              <w:rPr>
                <w:sz w:val="24"/>
              </w:rPr>
              <w:t>Gansu</w:t>
            </w:r>
            <w:r>
              <w:rPr>
                <w:spacing w:val="-3"/>
                <w:sz w:val="24"/>
              </w:rPr>
              <w:t xml:space="preserve"> </w:t>
            </w:r>
            <w:r>
              <w:rPr>
                <w:sz w:val="24"/>
              </w:rPr>
              <w:t>Zixuan</w:t>
            </w:r>
            <w:r>
              <w:rPr>
                <w:spacing w:val="-2"/>
                <w:sz w:val="24"/>
              </w:rPr>
              <w:t xml:space="preserve"> </w:t>
            </w:r>
            <w:r>
              <w:rPr>
                <w:sz w:val="24"/>
              </w:rPr>
              <w:t>Wine</w:t>
            </w:r>
            <w:r>
              <w:rPr>
                <w:spacing w:val="-1"/>
                <w:sz w:val="24"/>
              </w:rPr>
              <w:t xml:space="preserve"> </w:t>
            </w:r>
            <w:r>
              <w:rPr>
                <w:spacing w:val="-4"/>
                <w:sz w:val="24"/>
              </w:rPr>
              <w:t>Anti‐</w:t>
            </w:r>
          </w:p>
          <w:p w14:paraId="51DE798E" w14:textId="77777777" w:rsidR="0010369C" w:rsidRDefault="008E43AE">
            <w:pPr>
              <w:pStyle w:val="TableParagraph"/>
              <w:spacing w:line="290" w:lineRule="atLeast"/>
              <w:ind w:left="107" w:right="665"/>
              <w:rPr>
                <w:sz w:val="24"/>
              </w:rPr>
            </w:pPr>
            <w:r>
              <w:rPr>
                <w:sz w:val="24"/>
              </w:rPr>
              <w:t>Dumping</w:t>
            </w:r>
            <w:r>
              <w:rPr>
                <w:spacing w:val="-14"/>
                <w:sz w:val="24"/>
              </w:rPr>
              <w:t xml:space="preserve"> </w:t>
            </w:r>
            <w:r>
              <w:rPr>
                <w:sz w:val="24"/>
              </w:rPr>
              <w:t xml:space="preserve">Questionnaire </w:t>
            </w:r>
            <w:r>
              <w:rPr>
                <w:spacing w:val="-2"/>
                <w:sz w:val="24"/>
              </w:rPr>
              <w:t>Response</w:t>
            </w:r>
          </w:p>
        </w:tc>
      </w:tr>
      <w:tr w:rsidR="0010369C" w14:paraId="51DE7995" w14:textId="77777777">
        <w:trPr>
          <w:trHeight w:val="879"/>
        </w:trPr>
        <w:tc>
          <w:tcPr>
            <w:tcW w:w="1184" w:type="dxa"/>
          </w:tcPr>
          <w:p w14:paraId="51DE7990" w14:textId="77777777" w:rsidR="0010369C" w:rsidRDefault="008E43AE">
            <w:pPr>
              <w:pStyle w:val="TableParagraph"/>
              <w:spacing w:line="292" w:lineRule="exact"/>
              <w:ind w:left="107"/>
              <w:rPr>
                <w:sz w:val="24"/>
              </w:rPr>
            </w:pPr>
            <w:r>
              <w:rPr>
                <w:spacing w:val="-2"/>
                <w:sz w:val="24"/>
              </w:rPr>
              <w:t>AUS‐60</w:t>
            </w:r>
          </w:p>
        </w:tc>
        <w:tc>
          <w:tcPr>
            <w:tcW w:w="4765" w:type="dxa"/>
          </w:tcPr>
          <w:p w14:paraId="51DE7991" w14:textId="77777777" w:rsidR="0010369C" w:rsidRDefault="008E43AE">
            <w:pPr>
              <w:pStyle w:val="TableParagraph"/>
              <w:ind w:left="106"/>
              <w:rPr>
                <w:sz w:val="24"/>
              </w:rPr>
            </w:pPr>
            <w:r>
              <w:rPr>
                <w:sz w:val="24"/>
              </w:rPr>
              <w:t>Kweichow</w:t>
            </w:r>
            <w:r>
              <w:rPr>
                <w:spacing w:val="-10"/>
                <w:sz w:val="24"/>
              </w:rPr>
              <w:t xml:space="preserve"> </w:t>
            </w:r>
            <w:r>
              <w:rPr>
                <w:sz w:val="24"/>
              </w:rPr>
              <w:t>Moutai</w:t>
            </w:r>
            <w:r>
              <w:rPr>
                <w:spacing w:val="-9"/>
                <w:sz w:val="24"/>
              </w:rPr>
              <w:t xml:space="preserve"> </w:t>
            </w:r>
            <w:r>
              <w:rPr>
                <w:sz w:val="24"/>
              </w:rPr>
              <w:t>Distillery</w:t>
            </w:r>
            <w:r>
              <w:rPr>
                <w:spacing w:val="-8"/>
                <w:sz w:val="24"/>
              </w:rPr>
              <w:t xml:space="preserve"> </w:t>
            </w:r>
            <w:r>
              <w:rPr>
                <w:sz w:val="24"/>
              </w:rPr>
              <w:t>Group,</w:t>
            </w:r>
            <w:r>
              <w:rPr>
                <w:spacing w:val="-10"/>
                <w:sz w:val="24"/>
              </w:rPr>
              <w:t xml:space="preserve"> </w:t>
            </w:r>
            <w:r>
              <w:rPr>
                <w:sz w:val="24"/>
              </w:rPr>
              <w:t>"Domestic Producer Questionnaire Response", 16</w:t>
            </w:r>
          </w:p>
          <w:p w14:paraId="51DE7992" w14:textId="77777777" w:rsidR="0010369C" w:rsidRDefault="008E43AE">
            <w:pPr>
              <w:pStyle w:val="TableParagraph"/>
              <w:spacing w:line="273" w:lineRule="exact"/>
              <w:ind w:left="106"/>
              <w:rPr>
                <w:sz w:val="24"/>
              </w:rPr>
            </w:pPr>
            <w:r>
              <w:rPr>
                <w:sz w:val="24"/>
              </w:rPr>
              <w:t>November</w:t>
            </w:r>
            <w:r>
              <w:rPr>
                <w:spacing w:val="-2"/>
                <w:sz w:val="24"/>
              </w:rPr>
              <w:t xml:space="preserve"> </w:t>
            </w:r>
            <w:r>
              <w:rPr>
                <w:sz w:val="24"/>
              </w:rPr>
              <w:t>2020</w:t>
            </w:r>
            <w:r>
              <w:rPr>
                <w:spacing w:val="-2"/>
                <w:sz w:val="24"/>
              </w:rPr>
              <w:t xml:space="preserve"> </w:t>
            </w:r>
            <w:r>
              <w:rPr>
                <w:sz w:val="24"/>
              </w:rPr>
              <w:t xml:space="preserve">(English </w:t>
            </w:r>
            <w:r>
              <w:rPr>
                <w:spacing w:val="-2"/>
                <w:sz w:val="24"/>
              </w:rPr>
              <w:t>translation)</w:t>
            </w:r>
          </w:p>
        </w:tc>
        <w:tc>
          <w:tcPr>
            <w:tcW w:w="3117" w:type="dxa"/>
          </w:tcPr>
          <w:p w14:paraId="51DE7993" w14:textId="77777777" w:rsidR="0010369C" w:rsidRDefault="008E43AE">
            <w:pPr>
              <w:pStyle w:val="TableParagraph"/>
              <w:ind w:left="107" w:right="191"/>
              <w:rPr>
                <w:sz w:val="24"/>
              </w:rPr>
            </w:pPr>
            <w:r>
              <w:rPr>
                <w:sz w:val="24"/>
              </w:rPr>
              <w:t>Kweichow Moutai Distillery Anti‐Dumping</w:t>
            </w:r>
            <w:r>
              <w:rPr>
                <w:spacing w:val="-14"/>
                <w:sz w:val="24"/>
              </w:rPr>
              <w:t xml:space="preserve"> </w:t>
            </w:r>
            <w:r>
              <w:rPr>
                <w:sz w:val="24"/>
              </w:rPr>
              <w:t>Questionnaire</w:t>
            </w:r>
          </w:p>
          <w:p w14:paraId="51DE7994" w14:textId="77777777" w:rsidR="0010369C" w:rsidRDefault="008E43AE">
            <w:pPr>
              <w:pStyle w:val="TableParagraph"/>
              <w:spacing w:line="273" w:lineRule="exact"/>
              <w:ind w:left="107"/>
              <w:rPr>
                <w:sz w:val="24"/>
              </w:rPr>
            </w:pPr>
            <w:r>
              <w:rPr>
                <w:spacing w:val="-2"/>
                <w:sz w:val="24"/>
              </w:rPr>
              <w:t>Response</w:t>
            </w:r>
          </w:p>
        </w:tc>
      </w:tr>
    </w:tbl>
    <w:p w14:paraId="51DE7996" w14:textId="77777777" w:rsidR="0010369C" w:rsidRDefault="0010369C">
      <w:pPr>
        <w:spacing w:line="273" w:lineRule="exact"/>
        <w:rPr>
          <w:sz w:val="24"/>
        </w:rPr>
        <w:sectPr w:rsidR="0010369C">
          <w:headerReference w:type="default" r:id="rId26"/>
          <w:footerReference w:type="default" r:id="rId27"/>
          <w:pgSz w:w="11910" w:h="16840"/>
          <w:pgMar w:top="880" w:right="1220" w:bottom="980" w:left="1180" w:header="569" w:footer="788" w:gutter="0"/>
          <w:cols w:space="720"/>
        </w:sectPr>
      </w:pPr>
    </w:p>
    <w:p w14:paraId="51DE7997" w14:textId="77777777" w:rsidR="0010369C" w:rsidRDefault="008E43AE">
      <w:pPr>
        <w:tabs>
          <w:tab w:val="left" w:pos="6426"/>
        </w:tabs>
        <w:ind w:left="238"/>
        <w:rPr>
          <w:sz w:val="20"/>
        </w:rPr>
      </w:pPr>
      <w:r>
        <w:rPr>
          <w:i/>
          <w:sz w:val="20"/>
        </w:rPr>
        <w:lastRenderedPageBreak/>
        <w:t>China</w:t>
      </w:r>
      <w:r>
        <w:rPr>
          <w:i/>
          <w:spacing w:val="-5"/>
          <w:sz w:val="20"/>
        </w:rPr>
        <w:t xml:space="preserve"> </w:t>
      </w:r>
      <w:r>
        <w:rPr>
          <w:i/>
          <w:sz w:val="20"/>
        </w:rPr>
        <w:t>–</w:t>
      </w:r>
      <w:r>
        <w:rPr>
          <w:i/>
          <w:spacing w:val="-5"/>
          <w:sz w:val="20"/>
        </w:rPr>
        <w:t xml:space="preserve"> </w:t>
      </w:r>
      <w:r>
        <w:rPr>
          <w:i/>
          <w:sz w:val="20"/>
        </w:rPr>
        <w:t>Anti‐Dumping</w:t>
      </w:r>
      <w:r>
        <w:rPr>
          <w:i/>
          <w:spacing w:val="-4"/>
          <w:sz w:val="20"/>
        </w:rPr>
        <w:t xml:space="preserve"> </w:t>
      </w:r>
      <w:r>
        <w:rPr>
          <w:i/>
          <w:sz w:val="20"/>
        </w:rPr>
        <w:t>and</w:t>
      </w:r>
      <w:r>
        <w:rPr>
          <w:i/>
          <w:spacing w:val="-5"/>
          <w:sz w:val="20"/>
        </w:rPr>
        <w:t xml:space="preserve"> </w:t>
      </w:r>
      <w:r>
        <w:rPr>
          <w:i/>
          <w:sz w:val="20"/>
        </w:rPr>
        <w:t>Countervailing</w:t>
      </w:r>
      <w:r>
        <w:rPr>
          <w:i/>
          <w:spacing w:val="-5"/>
          <w:sz w:val="20"/>
        </w:rPr>
        <w:t xml:space="preserve"> </w:t>
      </w:r>
      <w:r>
        <w:rPr>
          <w:i/>
          <w:sz w:val="20"/>
        </w:rPr>
        <w:t>Duty</w:t>
      </w:r>
      <w:r>
        <w:rPr>
          <w:i/>
          <w:spacing w:val="-4"/>
          <w:sz w:val="20"/>
        </w:rPr>
        <w:t xml:space="preserve"> </w:t>
      </w:r>
      <w:r>
        <w:rPr>
          <w:i/>
          <w:spacing w:val="-2"/>
          <w:sz w:val="20"/>
        </w:rPr>
        <w:t>Measures</w:t>
      </w:r>
      <w:r>
        <w:rPr>
          <w:i/>
          <w:sz w:val="20"/>
        </w:rPr>
        <w:tab/>
      </w:r>
      <w:r>
        <w:rPr>
          <w:sz w:val="20"/>
        </w:rPr>
        <w:t>Australia's</w:t>
      </w:r>
      <w:r>
        <w:rPr>
          <w:spacing w:val="-6"/>
          <w:sz w:val="20"/>
        </w:rPr>
        <w:t xml:space="preserve"> </w:t>
      </w:r>
      <w:r>
        <w:rPr>
          <w:sz w:val="20"/>
        </w:rPr>
        <w:t>First</w:t>
      </w:r>
      <w:r>
        <w:rPr>
          <w:spacing w:val="-2"/>
          <w:sz w:val="20"/>
        </w:rPr>
        <w:t xml:space="preserve"> </w:t>
      </w:r>
      <w:r>
        <w:rPr>
          <w:sz w:val="20"/>
        </w:rPr>
        <w:t>Written</w:t>
      </w:r>
      <w:r>
        <w:rPr>
          <w:spacing w:val="-2"/>
          <w:sz w:val="20"/>
        </w:rPr>
        <w:t xml:space="preserve"> Submission</w:t>
      </w:r>
    </w:p>
    <w:p w14:paraId="51DE7998" w14:textId="77777777" w:rsidR="0010369C" w:rsidRDefault="008E43AE">
      <w:pPr>
        <w:tabs>
          <w:tab w:val="left" w:pos="8228"/>
        </w:tabs>
        <w:spacing w:before="1" w:after="35"/>
        <w:ind w:left="239"/>
        <w:rPr>
          <w:sz w:val="20"/>
        </w:rPr>
      </w:pPr>
      <w:r>
        <w:rPr>
          <w:i/>
          <w:sz w:val="20"/>
        </w:rPr>
        <w:t>on</w:t>
      </w:r>
      <w:r>
        <w:rPr>
          <w:i/>
          <w:spacing w:val="-1"/>
          <w:sz w:val="20"/>
        </w:rPr>
        <w:t xml:space="preserve"> </w:t>
      </w:r>
      <w:r>
        <w:rPr>
          <w:i/>
          <w:sz w:val="20"/>
        </w:rPr>
        <w:t>Wine</w:t>
      </w:r>
      <w:r>
        <w:rPr>
          <w:i/>
          <w:spacing w:val="-1"/>
          <w:sz w:val="20"/>
        </w:rPr>
        <w:t xml:space="preserve"> </w:t>
      </w:r>
      <w:r>
        <w:rPr>
          <w:i/>
          <w:sz w:val="20"/>
        </w:rPr>
        <w:t>from</w:t>
      </w:r>
      <w:r>
        <w:rPr>
          <w:i/>
          <w:spacing w:val="-3"/>
          <w:sz w:val="20"/>
        </w:rPr>
        <w:t xml:space="preserve"> </w:t>
      </w:r>
      <w:r>
        <w:rPr>
          <w:i/>
          <w:sz w:val="20"/>
        </w:rPr>
        <w:t>Australia</w:t>
      </w:r>
      <w:r>
        <w:rPr>
          <w:i/>
          <w:spacing w:val="-1"/>
          <w:sz w:val="20"/>
        </w:rPr>
        <w:t xml:space="preserve"> </w:t>
      </w:r>
      <w:r>
        <w:rPr>
          <w:spacing w:val="-2"/>
          <w:sz w:val="20"/>
        </w:rPr>
        <w:t>(DS602)</w:t>
      </w:r>
      <w:r>
        <w:rPr>
          <w:sz w:val="20"/>
        </w:rPr>
        <w:tab/>
        <w:t>29</w:t>
      </w:r>
      <w:r>
        <w:rPr>
          <w:spacing w:val="-1"/>
          <w:sz w:val="20"/>
        </w:rPr>
        <w:t xml:space="preserve"> </w:t>
      </w:r>
      <w:r>
        <w:rPr>
          <w:sz w:val="20"/>
        </w:rPr>
        <w:t>April</w:t>
      </w:r>
      <w:r>
        <w:rPr>
          <w:spacing w:val="-2"/>
          <w:sz w:val="20"/>
        </w:rPr>
        <w:t xml:space="preserve"> </w:t>
      </w:r>
      <w:r>
        <w:rPr>
          <w:spacing w:val="-4"/>
          <w:sz w:val="20"/>
        </w:rPr>
        <w:t>2022</w:t>
      </w:r>
    </w:p>
    <w:tbl>
      <w:tblPr>
        <w:tblW w:w="0" w:type="auto"/>
        <w:tblInd w:w="2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84"/>
        <w:gridCol w:w="86"/>
        <w:gridCol w:w="786"/>
        <w:gridCol w:w="3709"/>
        <w:gridCol w:w="181"/>
        <w:gridCol w:w="86"/>
        <w:gridCol w:w="1647"/>
        <w:gridCol w:w="392"/>
        <w:gridCol w:w="236"/>
        <w:gridCol w:w="752"/>
      </w:tblGrid>
      <w:tr w:rsidR="0010369C" w14:paraId="51DE799E" w14:textId="77777777">
        <w:trPr>
          <w:trHeight w:val="877"/>
        </w:trPr>
        <w:tc>
          <w:tcPr>
            <w:tcW w:w="1184" w:type="dxa"/>
          </w:tcPr>
          <w:p w14:paraId="51DE7999" w14:textId="77777777" w:rsidR="0010369C" w:rsidRDefault="008E43AE">
            <w:pPr>
              <w:pStyle w:val="TableParagraph"/>
              <w:spacing w:line="292" w:lineRule="exact"/>
              <w:ind w:left="107"/>
              <w:rPr>
                <w:sz w:val="24"/>
              </w:rPr>
            </w:pPr>
            <w:r>
              <w:rPr>
                <w:spacing w:val="-2"/>
                <w:sz w:val="24"/>
              </w:rPr>
              <w:t>AUS‐61</w:t>
            </w:r>
          </w:p>
        </w:tc>
        <w:tc>
          <w:tcPr>
            <w:tcW w:w="4762" w:type="dxa"/>
            <w:gridSpan w:val="4"/>
          </w:tcPr>
          <w:p w14:paraId="51DE799A" w14:textId="77777777" w:rsidR="0010369C" w:rsidRDefault="008E43AE">
            <w:pPr>
              <w:pStyle w:val="TableParagraph"/>
              <w:ind w:left="107" w:right="153"/>
              <w:rPr>
                <w:sz w:val="24"/>
              </w:rPr>
            </w:pPr>
            <w:r>
              <w:rPr>
                <w:sz w:val="24"/>
              </w:rPr>
              <w:t>Qingdao Huadong Winery, "Domestic Producer</w:t>
            </w:r>
            <w:r>
              <w:rPr>
                <w:spacing w:val="-13"/>
                <w:sz w:val="24"/>
              </w:rPr>
              <w:t xml:space="preserve"> </w:t>
            </w:r>
            <w:r>
              <w:rPr>
                <w:sz w:val="24"/>
              </w:rPr>
              <w:t>Questionnaire</w:t>
            </w:r>
            <w:r>
              <w:rPr>
                <w:spacing w:val="-14"/>
                <w:sz w:val="24"/>
              </w:rPr>
              <w:t xml:space="preserve"> </w:t>
            </w:r>
            <w:r>
              <w:rPr>
                <w:sz w:val="24"/>
              </w:rPr>
              <w:t>Response",</w:t>
            </w:r>
            <w:r>
              <w:rPr>
                <w:spacing w:val="-13"/>
                <w:sz w:val="24"/>
              </w:rPr>
              <w:t xml:space="preserve"> </w:t>
            </w:r>
            <w:r>
              <w:rPr>
                <w:sz w:val="24"/>
              </w:rPr>
              <w:t>16</w:t>
            </w:r>
          </w:p>
          <w:p w14:paraId="51DE799B" w14:textId="77777777" w:rsidR="0010369C" w:rsidRDefault="008E43AE">
            <w:pPr>
              <w:pStyle w:val="TableParagraph"/>
              <w:spacing w:line="273" w:lineRule="exact"/>
              <w:ind w:left="107"/>
              <w:rPr>
                <w:sz w:val="24"/>
              </w:rPr>
            </w:pPr>
            <w:r>
              <w:rPr>
                <w:sz w:val="24"/>
              </w:rPr>
              <w:t>November</w:t>
            </w:r>
            <w:r>
              <w:rPr>
                <w:spacing w:val="-2"/>
                <w:sz w:val="24"/>
              </w:rPr>
              <w:t xml:space="preserve"> </w:t>
            </w:r>
            <w:r>
              <w:rPr>
                <w:sz w:val="24"/>
              </w:rPr>
              <w:t>2020</w:t>
            </w:r>
            <w:r>
              <w:rPr>
                <w:spacing w:val="-2"/>
                <w:sz w:val="24"/>
              </w:rPr>
              <w:t xml:space="preserve"> </w:t>
            </w:r>
            <w:r>
              <w:rPr>
                <w:sz w:val="24"/>
              </w:rPr>
              <w:t xml:space="preserve">(English </w:t>
            </w:r>
            <w:r>
              <w:rPr>
                <w:spacing w:val="-2"/>
                <w:sz w:val="24"/>
              </w:rPr>
              <w:t>translation)</w:t>
            </w:r>
          </w:p>
        </w:tc>
        <w:tc>
          <w:tcPr>
            <w:tcW w:w="3113" w:type="dxa"/>
            <w:gridSpan w:val="5"/>
          </w:tcPr>
          <w:p w14:paraId="51DE799C" w14:textId="77777777" w:rsidR="0010369C" w:rsidRDefault="008E43AE">
            <w:pPr>
              <w:pStyle w:val="TableParagraph"/>
              <w:ind w:left="110" w:right="184"/>
              <w:rPr>
                <w:sz w:val="24"/>
              </w:rPr>
            </w:pPr>
            <w:r>
              <w:rPr>
                <w:sz w:val="24"/>
              </w:rPr>
              <w:t>Qingdao Huadong Winery Anti‐Dumping</w:t>
            </w:r>
            <w:r>
              <w:rPr>
                <w:spacing w:val="-14"/>
                <w:sz w:val="24"/>
              </w:rPr>
              <w:t xml:space="preserve"> </w:t>
            </w:r>
            <w:r>
              <w:rPr>
                <w:sz w:val="24"/>
              </w:rPr>
              <w:t>Questionnaire</w:t>
            </w:r>
          </w:p>
          <w:p w14:paraId="51DE799D" w14:textId="77777777" w:rsidR="0010369C" w:rsidRDefault="008E43AE">
            <w:pPr>
              <w:pStyle w:val="TableParagraph"/>
              <w:spacing w:line="273" w:lineRule="exact"/>
              <w:ind w:left="110"/>
              <w:rPr>
                <w:sz w:val="24"/>
              </w:rPr>
            </w:pPr>
            <w:r>
              <w:rPr>
                <w:spacing w:val="-2"/>
                <w:sz w:val="24"/>
              </w:rPr>
              <w:t>Response</w:t>
            </w:r>
          </w:p>
        </w:tc>
      </w:tr>
      <w:tr w:rsidR="0010369C" w14:paraId="51DE79A2" w14:textId="77777777">
        <w:trPr>
          <w:trHeight w:val="879"/>
        </w:trPr>
        <w:tc>
          <w:tcPr>
            <w:tcW w:w="1184" w:type="dxa"/>
          </w:tcPr>
          <w:p w14:paraId="51DE799F" w14:textId="77777777" w:rsidR="0010369C" w:rsidRDefault="008E43AE">
            <w:pPr>
              <w:pStyle w:val="TableParagraph"/>
              <w:ind w:left="107"/>
              <w:rPr>
                <w:sz w:val="24"/>
              </w:rPr>
            </w:pPr>
            <w:r>
              <w:rPr>
                <w:spacing w:val="-2"/>
                <w:sz w:val="24"/>
              </w:rPr>
              <w:t>AUS‐62</w:t>
            </w:r>
          </w:p>
        </w:tc>
        <w:tc>
          <w:tcPr>
            <w:tcW w:w="4762" w:type="dxa"/>
            <w:gridSpan w:val="4"/>
          </w:tcPr>
          <w:p w14:paraId="51DE79A0" w14:textId="77777777" w:rsidR="0010369C" w:rsidRDefault="008E43AE">
            <w:pPr>
              <w:pStyle w:val="TableParagraph"/>
              <w:spacing w:line="290" w:lineRule="atLeast"/>
              <w:ind w:left="107" w:right="153"/>
              <w:rPr>
                <w:sz w:val="24"/>
              </w:rPr>
            </w:pPr>
            <w:r>
              <w:rPr>
                <w:sz w:val="24"/>
              </w:rPr>
              <w:t>Shangri‐La Wine, "Domestic Producer Questionnaire</w:t>
            </w:r>
            <w:r>
              <w:rPr>
                <w:spacing w:val="-10"/>
                <w:sz w:val="24"/>
              </w:rPr>
              <w:t xml:space="preserve"> </w:t>
            </w:r>
            <w:r>
              <w:rPr>
                <w:sz w:val="24"/>
              </w:rPr>
              <w:t>Response",</w:t>
            </w:r>
            <w:r>
              <w:rPr>
                <w:spacing w:val="-10"/>
                <w:sz w:val="24"/>
              </w:rPr>
              <w:t xml:space="preserve"> </w:t>
            </w:r>
            <w:r>
              <w:rPr>
                <w:sz w:val="24"/>
              </w:rPr>
              <w:t>16</w:t>
            </w:r>
            <w:r>
              <w:rPr>
                <w:spacing w:val="-10"/>
                <w:sz w:val="24"/>
              </w:rPr>
              <w:t xml:space="preserve"> </w:t>
            </w:r>
            <w:r>
              <w:rPr>
                <w:sz w:val="24"/>
              </w:rPr>
              <w:t>November</w:t>
            </w:r>
            <w:r>
              <w:rPr>
                <w:spacing w:val="-11"/>
                <w:sz w:val="24"/>
              </w:rPr>
              <w:t xml:space="preserve"> </w:t>
            </w:r>
            <w:r>
              <w:rPr>
                <w:sz w:val="24"/>
              </w:rPr>
              <w:t>2020 (English translation)</w:t>
            </w:r>
          </w:p>
        </w:tc>
        <w:tc>
          <w:tcPr>
            <w:tcW w:w="3113" w:type="dxa"/>
            <w:gridSpan w:val="5"/>
          </w:tcPr>
          <w:p w14:paraId="51DE79A1" w14:textId="77777777" w:rsidR="0010369C" w:rsidRDefault="008E43AE">
            <w:pPr>
              <w:pStyle w:val="TableParagraph"/>
              <w:spacing w:line="290" w:lineRule="atLeast"/>
              <w:ind w:left="110" w:right="658"/>
              <w:rPr>
                <w:sz w:val="24"/>
              </w:rPr>
            </w:pPr>
            <w:r>
              <w:rPr>
                <w:sz w:val="24"/>
              </w:rPr>
              <w:t>Shangri‐La Wine Anti‐ Dumping</w:t>
            </w:r>
            <w:r>
              <w:rPr>
                <w:spacing w:val="-14"/>
                <w:sz w:val="24"/>
              </w:rPr>
              <w:t xml:space="preserve"> </w:t>
            </w:r>
            <w:r>
              <w:rPr>
                <w:sz w:val="24"/>
              </w:rPr>
              <w:t xml:space="preserve">Questionnaire </w:t>
            </w:r>
            <w:r>
              <w:rPr>
                <w:spacing w:val="-2"/>
                <w:sz w:val="24"/>
              </w:rPr>
              <w:t>Response</w:t>
            </w:r>
          </w:p>
        </w:tc>
      </w:tr>
      <w:tr w:rsidR="0010369C" w14:paraId="51DE79A6" w14:textId="77777777">
        <w:trPr>
          <w:trHeight w:val="879"/>
        </w:trPr>
        <w:tc>
          <w:tcPr>
            <w:tcW w:w="1184" w:type="dxa"/>
          </w:tcPr>
          <w:p w14:paraId="51DE79A3" w14:textId="77777777" w:rsidR="0010369C" w:rsidRDefault="008E43AE">
            <w:pPr>
              <w:pStyle w:val="TableParagraph"/>
              <w:ind w:left="107"/>
              <w:rPr>
                <w:sz w:val="24"/>
              </w:rPr>
            </w:pPr>
            <w:r>
              <w:rPr>
                <w:spacing w:val="-2"/>
                <w:sz w:val="24"/>
              </w:rPr>
              <w:t>AUS‐63</w:t>
            </w:r>
          </w:p>
        </w:tc>
        <w:tc>
          <w:tcPr>
            <w:tcW w:w="4762" w:type="dxa"/>
            <w:gridSpan w:val="4"/>
          </w:tcPr>
          <w:p w14:paraId="51DE79A4" w14:textId="77777777" w:rsidR="0010369C" w:rsidRDefault="008E43AE">
            <w:pPr>
              <w:pStyle w:val="TableParagraph"/>
              <w:spacing w:line="290" w:lineRule="atLeast"/>
              <w:ind w:left="107" w:right="153"/>
              <w:rPr>
                <w:sz w:val="24"/>
              </w:rPr>
            </w:pPr>
            <w:r>
              <w:rPr>
                <w:sz w:val="24"/>
              </w:rPr>
              <w:t>Shanxi Rongzi Winery, "Domestic Producer Questionnaire</w:t>
            </w:r>
            <w:r>
              <w:rPr>
                <w:spacing w:val="-10"/>
                <w:sz w:val="24"/>
              </w:rPr>
              <w:t xml:space="preserve"> </w:t>
            </w:r>
            <w:r>
              <w:rPr>
                <w:sz w:val="24"/>
              </w:rPr>
              <w:t>Response",</w:t>
            </w:r>
            <w:r>
              <w:rPr>
                <w:spacing w:val="-10"/>
                <w:sz w:val="24"/>
              </w:rPr>
              <w:t xml:space="preserve"> </w:t>
            </w:r>
            <w:r>
              <w:rPr>
                <w:sz w:val="24"/>
              </w:rPr>
              <w:t>16</w:t>
            </w:r>
            <w:r>
              <w:rPr>
                <w:spacing w:val="-10"/>
                <w:sz w:val="24"/>
              </w:rPr>
              <w:t xml:space="preserve"> </w:t>
            </w:r>
            <w:r>
              <w:rPr>
                <w:sz w:val="24"/>
              </w:rPr>
              <w:t>November</w:t>
            </w:r>
            <w:r>
              <w:rPr>
                <w:spacing w:val="-11"/>
                <w:sz w:val="24"/>
              </w:rPr>
              <w:t xml:space="preserve"> </w:t>
            </w:r>
            <w:r>
              <w:rPr>
                <w:sz w:val="24"/>
              </w:rPr>
              <w:t>2020 (English translation)</w:t>
            </w:r>
          </w:p>
        </w:tc>
        <w:tc>
          <w:tcPr>
            <w:tcW w:w="3113" w:type="dxa"/>
            <w:gridSpan w:val="5"/>
          </w:tcPr>
          <w:p w14:paraId="51DE79A5" w14:textId="77777777" w:rsidR="0010369C" w:rsidRDefault="008E43AE">
            <w:pPr>
              <w:pStyle w:val="TableParagraph"/>
              <w:spacing w:line="290" w:lineRule="atLeast"/>
              <w:ind w:left="110" w:right="184"/>
              <w:rPr>
                <w:sz w:val="24"/>
              </w:rPr>
            </w:pPr>
            <w:r>
              <w:rPr>
                <w:sz w:val="24"/>
              </w:rPr>
              <w:t>Shanxi</w:t>
            </w:r>
            <w:r>
              <w:rPr>
                <w:spacing w:val="-12"/>
                <w:sz w:val="24"/>
              </w:rPr>
              <w:t xml:space="preserve"> </w:t>
            </w:r>
            <w:r>
              <w:rPr>
                <w:sz w:val="24"/>
              </w:rPr>
              <w:t>Rongzi</w:t>
            </w:r>
            <w:r>
              <w:rPr>
                <w:spacing w:val="-12"/>
                <w:sz w:val="24"/>
              </w:rPr>
              <w:t xml:space="preserve"> </w:t>
            </w:r>
            <w:r>
              <w:rPr>
                <w:sz w:val="24"/>
              </w:rPr>
              <w:t>Winery</w:t>
            </w:r>
            <w:r>
              <w:rPr>
                <w:spacing w:val="-13"/>
                <w:sz w:val="24"/>
              </w:rPr>
              <w:t xml:space="preserve"> </w:t>
            </w:r>
            <w:r>
              <w:rPr>
                <w:sz w:val="24"/>
              </w:rPr>
              <w:t xml:space="preserve">Anti‐ Dumping Questionnaire </w:t>
            </w:r>
            <w:r>
              <w:rPr>
                <w:spacing w:val="-2"/>
                <w:sz w:val="24"/>
              </w:rPr>
              <w:t>Response</w:t>
            </w:r>
          </w:p>
        </w:tc>
      </w:tr>
      <w:tr w:rsidR="0010369C" w14:paraId="51DE79AB" w14:textId="77777777">
        <w:trPr>
          <w:trHeight w:val="1172"/>
        </w:trPr>
        <w:tc>
          <w:tcPr>
            <w:tcW w:w="1184" w:type="dxa"/>
          </w:tcPr>
          <w:p w14:paraId="51DE79A7" w14:textId="77777777" w:rsidR="0010369C" w:rsidRDefault="008E43AE">
            <w:pPr>
              <w:pStyle w:val="TableParagraph"/>
              <w:spacing w:line="292" w:lineRule="exact"/>
              <w:ind w:left="107"/>
              <w:rPr>
                <w:sz w:val="24"/>
              </w:rPr>
            </w:pPr>
            <w:r>
              <w:rPr>
                <w:spacing w:val="-2"/>
                <w:sz w:val="24"/>
              </w:rPr>
              <w:t>AUS‐64</w:t>
            </w:r>
          </w:p>
        </w:tc>
        <w:tc>
          <w:tcPr>
            <w:tcW w:w="4762" w:type="dxa"/>
            <w:gridSpan w:val="4"/>
            <w:tcBorders>
              <w:bottom w:val="nil"/>
            </w:tcBorders>
          </w:tcPr>
          <w:p w14:paraId="51DE79A8" w14:textId="77777777" w:rsidR="0010369C" w:rsidRDefault="008E43AE">
            <w:pPr>
              <w:pStyle w:val="TableParagraph"/>
              <w:ind w:left="107" w:right="153"/>
              <w:rPr>
                <w:sz w:val="24"/>
              </w:rPr>
            </w:pPr>
            <w:r>
              <w:rPr>
                <w:sz w:val="24"/>
              </w:rPr>
              <w:t>CADA, "Application of the Wine Industry of the Peoples Republic of China for Anti‐</w:t>
            </w:r>
          </w:p>
          <w:p w14:paraId="51DE79A9" w14:textId="77777777" w:rsidR="0010369C" w:rsidRDefault="008E43AE">
            <w:pPr>
              <w:pStyle w:val="TableParagraph"/>
              <w:spacing w:line="290" w:lineRule="atLeast"/>
              <w:ind w:left="107" w:right="153"/>
              <w:rPr>
                <w:sz w:val="24"/>
              </w:rPr>
            </w:pPr>
            <w:r>
              <w:rPr>
                <w:sz w:val="24"/>
              </w:rPr>
              <w:t>Du</w:t>
            </w:r>
            <w:r>
              <w:rPr>
                <w:sz w:val="24"/>
              </w:rPr>
              <w:t>mping</w:t>
            </w:r>
            <w:r>
              <w:rPr>
                <w:spacing w:val="-8"/>
                <w:sz w:val="24"/>
              </w:rPr>
              <w:t xml:space="preserve"> </w:t>
            </w:r>
            <w:r>
              <w:rPr>
                <w:sz w:val="24"/>
              </w:rPr>
              <w:t>Investigation",</w:t>
            </w:r>
            <w:r>
              <w:rPr>
                <w:spacing w:val="-8"/>
                <w:sz w:val="24"/>
              </w:rPr>
              <w:t xml:space="preserve"> </w:t>
            </w:r>
            <w:r>
              <w:rPr>
                <w:sz w:val="24"/>
              </w:rPr>
              <w:t>6</w:t>
            </w:r>
            <w:r>
              <w:rPr>
                <w:spacing w:val="-8"/>
                <w:sz w:val="24"/>
              </w:rPr>
              <w:t xml:space="preserve"> </w:t>
            </w:r>
            <w:r>
              <w:rPr>
                <w:sz w:val="24"/>
              </w:rPr>
              <w:t>July</w:t>
            </w:r>
            <w:r>
              <w:rPr>
                <w:spacing w:val="-8"/>
                <w:sz w:val="24"/>
              </w:rPr>
              <w:t xml:space="preserve"> </w:t>
            </w:r>
            <w:r>
              <w:rPr>
                <w:sz w:val="24"/>
              </w:rPr>
              <w:t>2020</w:t>
            </w:r>
            <w:r>
              <w:rPr>
                <w:spacing w:val="-8"/>
                <w:sz w:val="24"/>
              </w:rPr>
              <w:t xml:space="preserve"> </w:t>
            </w:r>
            <w:r>
              <w:rPr>
                <w:sz w:val="24"/>
              </w:rPr>
              <w:t xml:space="preserve">(English </w:t>
            </w:r>
            <w:r>
              <w:rPr>
                <w:spacing w:val="-2"/>
                <w:sz w:val="24"/>
              </w:rPr>
              <w:t>Translation)</w:t>
            </w:r>
          </w:p>
        </w:tc>
        <w:tc>
          <w:tcPr>
            <w:tcW w:w="3113" w:type="dxa"/>
            <w:gridSpan w:val="5"/>
            <w:tcBorders>
              <w:bottom w:val="nil"/>
            </w:tcBorders>
          </w:tcPr>
          <w:p w14:paraId="51DE79AA" w14:textId="77777777" w:rsidR="0010369C" w:rsidRDefault="008E43AE">
            <w:pPr>
              <w:pStyle w:val="TableParagraph"/>
              <w:ind w:left="110" w:right="184"/>
              <w:rPr>
                <w:sz w:val="24"/>
              </w:rPr>
            </w:pPr>
            <w:r>
              <w:rPr>
                <w:sz w:val="24"/>
              </w:rPr>
              <w:t>CADA</w:t>
            </w:r>
            <w:r>
              <w:rPr>
                <w:spacing w:val="-12"/>
                <w:sz w:val="24"/>
              </w:rPr>
              <w:t xml:space="preserve"> </w:t>
            </w:r>
            <w:r>
              <w:rPr>
                <w:sz w:val="24"/>
              </w:rPr>
              <w:t>Application</w:t>
            </w:r>
            <w:r>
              <w:rPr>
                <w:spacing w:val="-14"/>
                <w:sz w:val="24"/>
              </w:rPr>
              <w:t xml:space="preserve"> </w:t>
            </w:r>
            <w:r>
              <w:rPr>
                <w:sz w:val="24"/>
              </w:rPr>
              <w:t>for</w:t>
            </w:r>
            <w:r>
              <w:rPr>
                <w:spacing w:val="-12"/>
                <w:sz w:val="24"/>
              </w:rPr>
              <w:t xml:space="preserve"> </w:t>
            </w:r>
            <w:r>
              <w:rPr>
                <w:sz w:val="24"/>
              </w:rPr>
              <w:t>Anti‐ Dumping Investigation</w:t>
            </w:r>
          </w:p>
        </w:tc>
      </w:tr>
      <w:tr w:rsidR="0010369C" w14:paraId="51DE79B3" w14:textId="77777777">
        <w:trPr>
          <w:trHeight w:val="317"/>
        </w:trPr>
        <w:tc>
          <w:tcPr>
            <w:tcW w:w="1184" w:type="dxa"/>
            <w:vMerge w:val="restart"/>
          </w:tcPr>
          <w:p w14:paraId="51DE79AC" w14:textId="77777777" w:rsidR="0010369C" w:rsidRDefault="008E43AE">
            <w:pPr>
              <w:pStyle w:val="TableParagraph"/>
              <w:ind w:left="107" w:right="339"/>
              <w:rPr>
                <w:sz w:val="24"/>
              </w:rPr>
            </w:pPr>
            <w:r>
              <w:rPr>
                <w:spacing w:val="-2"/>
                <w:sz w:val="24"/>
              </w:rPr>
              <w:t>AUS‐65 (BCI)</w:t>
            </w:r>
          </w:p>
        </w:tc>
        <w:tc>
          <w:tcPr>
            <w:tcW w:w="86" w:type="dxa"/>
            <w:vMerge w:val="restart"/>
            <w:tcBorders>
              <w:top w:val="nil"/>
              <w:left w:val="nil"/>
              <w:bottom w:val="nil"/>
              <w:right w:val="nil"/>
            </w:tcBorders>
            <w:shd w:val="clear" w:color="auto" w:fill="000000"/>
          </w:tcPr>
          <w:p w14:paraId="51DE79AD" w14:textId="77777777" w:rsidR="0010369C" w:rsidRDefault="0010369C">
            <w:pPr>
              <w:pStyle w:val="TableParagraph"/>
              <w:rPr>
                <w:rFonts w:ascii="Times New Roman"/>
              </w:rPr>
            </w:pPr>
          </w:p>
        </w:tc>
        <w:tc>
          <w:tcPr>
            <w:tcW w:w="4495" w:type="dxa"/>
            <w:gridSpan w:val="2"/>
            <w:vMerge w:val="restart"/>
            <w:tcBorders>
              <w:top w:val="nil"/>
              <w:left w:val="nil"/>
              <w:bottom w:val="nil"/>
              <w:right w:val="nil"/>
            </w:tcBorders>
            <w:shd w:val="clear" w:color="auto" w:fill="000000"/>
          </w:tcPr>
          <w:p w14:paraId="51DE79AE" w14:textId="77777777" w:rsidR="0010369C" w:rsidRDefault="0010369C">
            <w:pPr>
              <w:pStyle w:val="TableParagraph"/>
              <w:rPr>
                <w:rFonts w:ascii="Times New Roman"/>
              </w:rPr>
            </w:pPr>
          </w:p>
        </w:tc>
        <w:tc>
          <w:tcPr>
            <w:tcW w:w="181" w:type="dxa"/>
            <w:vMerge w:val="restart"/>
            <w:tcBorders>
              <w:left w:val="nil"/>
              <w:bottom w:val="nil"/>
            </w:tcBorders>
          </w:tcPr>
          <w:p w14:paraId="51DE79AF" w14:textId="77777777" w:rsidR="0010369C" w:rsidRDefault="0010369C">
            <w:pPr>
              <w:pStyle w:val="TableParagraph"/>
              <w:rPr>
                <w:rFonts w:ascii="Times New Roman"/>
              </w:rPr>
            </w:pPr>
          </w:p>
        </w:tc>
        <w:tc>
          <w:tcPr>
            <w:tcW w:w="86" w:type="dxa"/>
            <w:vMerge w:val="restart"/>
            <w:tcBorders>
              <w:top w:val="nil"/>
              <w:left w:val="nil"/>
              <w:bottom w:val="nil"/>
              <w:right w:val="nil"/>
            </w:tcBorders>
            <w:shd w:val="clear" w:color="auto" w:fill="000000"/>
          </w:tcPr>
          <w:p w14:paraId="51DE79B0" w14:textId="77777777" w:rsidR="0010369C" w:rsidRDefault="0010369C">
            <w:pPr>
              <w:pStyle w:val="TableParagraph"/>
              <w:rPr>
                <w:rFonts w:ascii="Times New Roman"/>
              </w:rPr>
            </w:pPr>
          </w:p>
        </w:tc>
        <w:tc>
          <w:tcPr>
            <w:tcW w:w="2275" w:type="dxa"/>
            <w:gridSpan w:val="3"/>
            <w:tcBorders>
              <w:top w:val="nil"/>
              <w:left w:val="nil"/>
              <w:bottom w:val="nil"/>
              <w:right w:val="nil"/>
            </w:tcBorders>
            <w:shd w:val="clear" w:color="auto" w:fill="000000"/>
          </w:tcPr>
          <w:p w14:paraId="51DE79B1" w14:textId="77777777" w:rsidR="0010369C" w:rsidRDefault="0010369C">
            <w:pPr>
              <w:pStyle w:val="TableParagraph"/>
              <w:rPr>
                <w:rFonts w:ascii="Times New Roman"/>
              </w:rPr>
            </w:pPr>
          </w:p>
        </w:tc>
        <w:tc>
          <w:tcPr>
            <w:tcW w:w="752" w:type="dxa"/>
            <w:vMerge w:val="restart"/>
            <w:tcBorders>
              <w:left w:val="nil"/>
            </w:tcBorders>
          </w:tcPr>
          <w:p w14:paraId="51DE79B2" w14:textId="77777777" w:rsidR="0010369C" w:rsidRDefault="0010369C">
            <w:pPr>
              <w:pStyle w:val="TableParagraph"/>
              <w:rPr>
                <w:rFonts w:ascii="Times New Roman"/>
              </w:rPr>
            </w:pPr>
          </w:p>
        </w:tc>
      </w:tr>
      <w:tr w:rsidR="0010369C" w14:paraId="51DE79BC" w14:textId="77777777">
        <w:trPr>
          <w:trHeight w:val="282"/>
        </w:trPr>
        <w:tc>
          <w:tcPr>
            <w:tcW w:w="1184" w:type="dxa"/>
            <w:vMerge/>
            <w:tcBorders>
              <w:top w:val="nil"/>
            </w:tcBorders>
          </w:tcPr>
          <w:p w14:paraId="51DE79B4" w14:textId="77777777" w:rsidR="0010369C" w:rsidRDefault="0010369C">
            <w:pPr>
              <w:rPr>
                <w:sz w:val="2"/>
                <w:szCs w:val="2"/>
              </w:rPr>
            </w:pPr>
          </w:p>
        </w:tc>
        <w:tc>
          <w:tcPr>
            <w:tcW w:w="86" w:type="dxa"/>
            <w:vMerge/>
            <w:tcBorders>
              <w:top w:val="nil"/>
              <w:left w:val="nil"/>
              <w:bottom w:val="nil"/>
              <w:right w:val="nil"/>
            </w:tcBorders>
            <w:shd w:val="clear" w:color="auto" w:fill="000000"/>
          </w:tcPr>
          <w:p w14:paraId="51DE79B5" w14:textId="77777777" w:rsidR="0010369C" w:rsidRDefault="0010369C">
            <w:pPr>
              <w:rPr>
                <w:sz w:val="2"/>
                <w:szCs w:val="2"/>
              </w:rPr>
            </w:pPr>
          </w:p>
        </w:tc>
        <w:tc>
          <w:tcPr>
            <w:tcW w:w="4495" w:type="dxa"/>
            <w:gridSpan w:val="2"/>
            <w:vMerge/>
            <w:tcBorders>
              <w:top w:val="nil"/>
              <w:left w:val="nil"/>
              <w:bottom w:val="nil"/>
              <w:right w:val="nil"/>
            </w:tcBorders>
            <w:shd w:val="clear" w:color="auto" w:fill="000000"/>
          </w:tcPr>
          <w:p w14:paraId="51DE79B6" w14:textId="77777777" w:rsidR="0010369C" w:rsidRDefault="0010369C">
            <w:pPr>
              <w:rPr>
                <w:sz w:val="2"/>
                <w:szCs w:val="2"/>
              </w:rPr>
            </w:pPr>
          </w:p>
        </w:tc>
        <w:tc>
          <w:tcPr>
            <w:tcW w:w="181" w:type="dxa"/>
            <w:vMerge/>
            <w:tcBorders>
              <w:top w:val="nil"/>
              <w:left w:val="nil"/>
              <w:bottom w:val="nil"/>
            </w:tcBorders>
          </w:tcPr>
          <w:p w14:paraId="51DE79B7" w14:textId="77777777" w:rsidR="0010369C" w:rsidRDefault="0010369C">
            <w:pPr>
              <w:rPr>
                <w:sz w:val="2"/>
                <w:szCs w:val="2"/>
              </w:rPr>
            </w:pPr>
          </w:p>
        </w:tc>
        <w:tc>
          <w:tcPr>
            <w:tcW w:w="86" w:type="dxa"/>
            <w:vMerge/>
            <w:tcBorders>
              <w:top w:val="nil"/>
              <w:left w:val="nil"/>
              <w:bottom w:val="nil"/>
              <w:right w:val="nil"/>
            </w:tcBorders>
            <w:shd w:val="clear" w:color="auto" w:fill="000000"/>
          </w:tcPr>
          <w:p w14:paraId="51DE79B8" w14:textId="77777777" w:rsidR="0010369C" w:rsidRDefault="0010369C">
            <w:pPr>
              <w:rPr>
                <w:sz w:val="2"/>
                <w:szCs w:val="2"/>
              </w:rPr>
            </w:pPr>
          </w:p>
        </w:tc>
        <w:tc>
          <w:tcPr>
            <w:tcW w:w="2039" w:type="dxa"/>
            <w:gridSpan w:val="2"/>
            <w:tcBorders>
              <w:top w:val="nil"/>
              <w:left w:val="nil"/>
              <w:bottom w:val="nil"/>
              <w:right w:val="nil"/>
            </w:tcBorders>
            <w:shd w:val="clear" w:color="auto" w:fill="000000"/>
          </w:tcPr>
          <w:p w14:paraId="51DE79B9" w14:textId="77777777" w:rsidR="0010369C" w:rsidRDefault="0010369C">
            <w:pPr>
              <w:pStyle w:val="TableParagraph"/>
              <w:rPr>
                <w:rFonts w:ascii="Times New Roman"/>
                <w:sz w:val="20"/>
              </w:rPr>
            </w:pPr>
          </w:p>
        </w:tc>
        <w:tc>
          <w:tcPr>
            <w:tcW w:w="236" w:type="dxa"/>
            <w:tcBorders>
              <w:top w:val="nil"/>
              <w:left w:val="nil"/>
              <w:bottom w:val="nil"/>
              <w:right w:val="nil"/>
            </w:tcBorders>
          </w:tcPr>
          <w:p w14:paraId="51DE79BA" w14:textId="77777777" w:rsidR="0010369C" w:rsidRDefault="0010369C">
            <w:pPr>
              <w:pStyle w:val="TableParagraph"/>
              <w:rPr>
                <w:rFonts w:ascii="Times New Roman"/>
                <w:sz w:val="20"/>
              </w:rPr>
            </w:pPr>
          </w:p>
        </w:tc>
        <w:tc>
          <w:tcPr>
            <w:tcW w:w="752" w:type="dxa"/>
            <w:vMerge/>
            <w:tcBorders>
              <w:top w:val="nil"/>
              <w:left w:val="nil"/>
            </w:tcBorders>
          </w:tcPr>
          <w:p w14:paraId="51DE79BB" w14:textId="77777777" w:rsidR="0010369C" w:rsidRDefault="0010369C">
            <w:pPr>
              <w:rPr>
                <w:sz w:val="2"/>
                <w:szCs w:val="2"/>
              </w:rPr>
            </w:pPr>
          </w:p>
        </w:tc>
      </w:tr>
      <w:tr w:rsidR="0010369C" w14:paraId="51DE79C5" w14:textId="77777777">
        <w:trPr>
          <w:trHeight w:val="269"/>
        </w:trPr>
        <w:tc>
          <w:tcPr>
            <w:tcW w:w="1184" w:type="dxa"/>
            <w:vMerge/>
            <w:tcBorders>
              <w:top w:val="nil"/>
            </w:tcBorders>
          </w:tcPr>
          <w:p w14:paraId="51DE79BD" w14:textId="77777777" w:rsidR="0010369C" w:rsidRDefault="0010369C">
            <w:pPr>
              <w:rPr>
                <w:sz w:val="2"/>
                <w:szCs w:val="2"/>
              </w:rPr>
            </w:pPr>
          </w:p>
        </w:tc>
        <w:tc>
          <w:tcPr>
            <w:tcW w:w="86" w:type="dxa"/>
            <w:vMerge/>
            <w:tcBorders>
              <w:top w:val="nil"/>
              <w:left w:val="nil"/>
              <w:bottom w:val="nil"/>
              <w:right w:val="nil"/>
            </w:tcBorders>
            <w:shd w:val="clear" w:color="auto" w:fill="000000"/>
          </w:tcPr>
          <w:p w14:paraId="51DE79BE" w14:textId="77777777" w:rsidR="0010369C" w:rsidRDefault="0010369C">
            <w:pPr>
              <w:rPr>
                <w:sz w:val="2"/>
                <w:szCs w:val="2"/>
              </w:rPr>
            </w:pPr>
          </w:p>
        </w:tc>
        <w:tc>
          <w:tcPr>
            <w:tcW w:w="786" w:type="dxa"/>
            <w:tcBorders>
              <w:top w:val="nil"/>
              <w:left w:val="nil"/>
              <w:bottom w:val="nil"/>
              <w:right w:val="nil"/>
            </w:tcBorders>
            <w:shd w:val="clear" w:color="auto" w:fill="000000"/>
          </w:tcPr>
          <w:p w14:paraId="51DE79BF" w14:textId="77777777" w:rsidR="0010369C" w:rsidRDefault="0010369C">
            <w:pPr>
              <w:pStyle w:val="TableParagraph"/>
              <w:rPr>
                <w:rFonts w:ascii="Times New Roman"/>
                <w:sz w:val="18"/>
              </w:rPr>
            </w:pPr>
          </w:p>
        </w:tc>
        <w:tc>
          <w:tcPr>
            <w:tcW w:w="3890" w:type="dxa"/>
            <w:gridSpan w:val="2"/>
            <w:tcBorders>
              <w:top w:val="nil"/>
              <w:left w:val="nil"/>
              <w:bottom w:val="nil"/>
            </w:tcBorders>
          </w:tcPr>
          <w:p w14:paraId="51DE79C0" w14:textId="77777777" w:rsidR="0010369C" w:rsidRDefault="0010369C">
            <w:pPr>
              <w:pStyle w:val="TableParagraph"/>
              <w:rPr>
                <w:rFonts w:ascii="Times New Roman"/>
                <w:sz w:val="18"/>
              </w:rPr>
            </w:pPr>
          </w:p>
        </w:tc>
        <w:tc>
          <w:tcPr>
            <w:tcW w:w="86" w:type="dxa"/>
            <w:vMerge/>
            <w:tcBorders>
              <w:top w:val="nil"/>
              <w:left w:val="nil"/>
              <w:bottom w:val="nil"/>
              <w:right w:val="nil"/>
            </w:tcBorders>
            <w:shd w:val="clear" w:color="auto" w:fill="000000"/>
          </w:tcPr>
          <w:p w14:paraId="51DE79C1" w14:textId="77777777" w:rsidR="0010369C" w:rsidRDefault="0010369C">
            <w:pPr>
              <w:rPr>
                <w:sz w:val="2"/>
                <w:szCs w:val="2"/>
              </w:rPr>
            </w:pPr>
          </w:p>
        </w:tc>
        <w:tc>
          <w:tcPr>
            <w:tcW w:w="1647" w:type="dxa"/>
            <w:tcBorders>
              <w:top w:val="nil"/>
              <w:left w:val="nil"/>
              <w:bottom w:val="nil"/>
              <w:right w:val="nil"/>
            </w:tcBorders>
            <w:shd w:val="clear" w:color="auto" w:fill="000000"/>
          </w:tcPr>
          <w:p w14:paraId="51DE79C2" w14:textId="77777777" w:rsidR="0010369C" w:rsidRDefault="0010369C">
            <w:pPr>
              <w:pStyle w:val="TableParagraph"/>
              <w:rPr>
                <w:rFonts w:ascii="Times New Roman"/>
                <w:sz w:val="18"/>
              </w:rPr>
            </w:pPr>
          </w:p>
        </w:tc>
        <w:tc>
          <w:tcPr>
            <w:tcW w:w="628" w:type="dxa"/>
            <w:gridSpan w:val="2"/>
            <w:tcBorders>
              <w:top w:val="nil"/>
              <w:left w:val="nil"/>
              <w:bottom w:val="nil"/>
              <w:right w:val="nil"/>
            </w:tcBorders>
          </w:tcPr>
          <w:p w14:paraId="51DE79C3" w14:textId="77777777" w:rsidR="0010369C" w:rsidRDefault="0010369C">
            <w:pPr>
              <w:pStyle w:val="TableParagraph"/>
              <w:rPr>
                <w:rFonts w:ascii="Times New Roman"/>
                <w:sz w:val="18"/>
              </w:rPr>
            </w:pPr>
          </w:p>
        </w:tc>
        <w:tc>
          <w:tcPr>
            <w:tcW w:w="752" w:type="dxa"/>
            <w:vMerge/>
            <w:tcBorders>
              <w:top w:val="nil"/>
              <w:left w:val="nil"/>
            </w:tcBorders>
          </w:tcPr>
          <w:p w14:paraId="51DE79C4" w14:textId="77777777" w:rsidR="0010369C" w:rsidRDefault="0010369C">
            <w:pPr>
              <w:rPr>
                <w:sz w:val="2"/>
                <w:szCs w:val="2"/>
              </w:rPr>
            </w:pPr>
          </w:p>
        </w:tc>
      </w:tr>
      <w:tr w:rsidR="0010369C" w14:paraId="51DE79CC" w14:textId="77777777">
        <w:trPr>
          <w:trHeight w:val="272"/>
        </w:trPr>
        <w:tc>
          <w:tcPr>
            <w:tcW w:w="1184" w:type="dxa"/>
            <w:vMerge/>
            <w:tcBorders>
              <w:top w:val="nil"/>
            </w:tcBorders>
          </w:tcPr>
          <w:p w14:paraId="51DE79C6" w14:textId="77777777" w:rsidR="0010369C" w:rsidRDefault="0010369C">
            <w:pPr>
              <w:rPr>
                <w:sz w:val="2"/>
                <w:szCs w:val="2"/>
              </w:rPr>
            </w:pPr>
          </w:p>
        </w:tc>
        <w:tc>
          <w:tcPr>
            <w:tcW w:w="4762" w:type="dxa"/>
            <w:gridSpan w:val="4"/>
            <w:tcBorders>
              <w:top w:val="nil"/>
            </w:tcBorders>
          </w:tcPr>
          <w:p w14:paraId="51DE79C7" w14:textId="77777777" w:rsidR="0010369C" w:rsidRDefault="0010369C">
            <w:pPr>
              <w:pStyle w:val="TableParagraph"/>
              <w:rPr>
                <w:rFonts w:ascii="Times New Roman"/>
                <w:sz w:val="20"/>
              </w:rPr>
            </w:pPr>
          </w:p>
        </w:tc>
        <w:tc>
          <w:tcPr>
            <w:tcW w:w="86" w:type="dxa"/>
            <w:vMerge/>
            <w:tcBorders>
              <w:top w:val="nil"/>
              <w:left w:val="nil"/>
              <w:bottom w:val="nil"/>
              <w:right w:val="nil"/>
            </w:tcBorders>
            <w:shd w:val="clear" w:color="auto" w:fill="000000"/>
          </w:tcPr>
          <w:p w14:paraId="51DE79C8" w14:textId="77777777" w:rsidR="0010369C" w:rsidRDefault="0010369C">
            <w:pPr>
              <w:rPr>
                <w:sz w:val="2"/>
                <w:szCs w:val="2"/>
              </w:rPr>
            </w:pPr>
          </w:p>
        </w:tc>
        <w:tc>
          <w:tcPr>
            <w:tcW w:w="2039" w:type="dxa"/>
            <w:gridSpan w:val="2"/>
            <w:tcBorders>
              <w:top w:val="nil"/>
              <w:left w:val="nil"/>
              <w:bottom w:val="nil"/>
              <w:right w:val="nil"/>
            </w:tcBorders>
            <w:shd w:val="clear" w:color="auto" w:fill="000000"/>
          </w:tcPr>
          <w:p w14:paraId="51DE79C9" w14:textId="77777777" w:rsidR="0010369C" w:rsidRDefault="0010369C">
            <w:pPr>
              <w:pStyle w:val="TableParagraph"/>
              <w:rPr>
                <w:rFonts w:ascii="Times New Roman"/>
                <w:sz w:val="20"/>
              </w:rPr>
            </w:pPr>
          </w:p>
        </w:tc>
        <w:tc>
          <w:tcPr>
            <w:tcW w:w="236" w:type="dxa"/>
            <w:tcBorders>
              <w:top w:val="nil"/>
              <w:left w:val="nil"/>
              <w:right w:val="nil"/>
            </w:tcBorders>
          </w:tcPr>
          <w:p w14:paraId="51DE79CA" w14:textId="77777777" w:rsidR="0010369C" w:rsidRDefault="0010369C">
            <w:pPr>
              <w:pStyle w:val="TableParagraph"/>
              <w:rPr>
                <w:rFonts w:ascii="Times New Roman"/>
                <w:sz w:val="20"/>
              </w:rPr>
            </w:pPr>
          </w:p>
        </w:tc>
        <w:tc>
          <w:tcPr>
            <w:tcW w:w="752" w:type="dxa"/>
            <w:vMerge/>
            <w:tcBorders>
              <w:top w:val="nil"/>
              <w:left w:val="nil"/>
            </w:tcBorders>
          </w:tcPr>
          <w:p w14:paraId="51DE79CB" w14:textId="77777777" w:rsidR="0010369C" w:rsidRDefault="0010369C">
            <w:pPr>
              <w:rPr>
                <w:sz w:val="2"/>
                <w:szCs w:val="2"/>
              </w:rPr>
            </w:pPr>
          </w:p>
        </w:tc>
      </w:tr>
      <w:tr w:rsidR="0010369C" w14:paraId="51DE79D1" w14:textId="77777777">
        <w:trPr>
          <w:trHeight w:val="1172"/>
        </w:trPr>
        <w:tc>
          <w:tcPr>
            <w:tcW w:w="1184" w:type="dxa"/>
          </w:tcPr>
          <w:p w14:paraId="51DE79CD" w14:textId="77777777" w:rsidR="0010369C" w:rsidRDefault="008E43AE">
            <w:pPr>
              <w:pStyle w:val="TableParagraph"/>
              <w:spacing w:line="292" w:lineRule="exact"/>
              <w:ind w:left="107"/>
              <w:rPr>
                <w:sz w:val="24"/>
              </w:rPr>
            </w:pPr>
            <w:r>
              <w:rPr>
                <w:spacing w:val="-2"/>
                <w:sz w:val="24"/>
              </w:rPr>
              <w:t>AUS‐66</w:t>
            </w:r>
          </w:p>
        </w:tc>
        <w:tc>
          <w:tcPr>
            <w:tcW w:w="4762" w:type="dxa"/>
            <w:gridSpan w:val="4"/>
          </w:tcPr>
          <w:p w14:paraId="51DE79CE" w14:textId="77777777" w:rsidR="0010369C" w:rsidRDefault="008E43AE">
            <w:pPr>
              <w:pStyle w:val="TableParagraph"/>
              <w:ind w:left="106" w:right="147"/>
              <w:rPr>
                <w:sz w:val="24"/>
              </w:rPr>
            </w:pPr>
            <w:r>
              <w:rPr>
                <w:sz w:val="24"/>
              </w:rPr>
              <w:t>CADA, "Application of the Wine Industry of the Peoples Republic of China for Anti‐ Dumping</w:t>
            </w:r>
            <w:r>
              <w:rPr>
                <w:spacing w:val="-9"/>
                <w:sz w:val="24"/>
              </w:rPr>
              <w:t xml:space="preserve"> </w:t>
            </w:r>
            <w:r>
              <w:rPr>
                <w:sz w:val="24"/>
              </w:rPr>
              <w:t>Investigation,</w:t>
            </w:r>
            <w:r>
              <w:rPr>
                <w:spacing w:val="-10"/>
                <w:sz w:val="24"/>
              </w:rPr>
              <w:t xml:space="preserve"> </w:t>
            </w:r>
            <w:r>
              <w:rPr>
                <w:sz w:val="24"/>
              </w:rPr>
              <w:t>Annexures</w:t>
            </w:r>
            <w:r>
              <w:rPr>
                <w:spacing w:val="-10"/>
                <w:sz w:val="24"/>
              </w:rPr>
              <w:t xml:space="preserve"> </w:t>
            </w:r>
            <w:r>
              <w:rPr>
                <w:sz w:val="24"/>
              </w:rPr>
              <w:t>11‐12</w:t>
            </w:r>
            <w:r>
              <w:rPr>
                <w:spacing w:val="-9"/>
                <w:sz w:val="24"/>
              </w:rPr>
              <w:t xml:space="preserve"> </w:t>
            </w:r>
            <w:r>
              <w:rPr>
                <w:sz w:val="24"/>
              </w:rPr>
              <w:t>(Part</w:t>
            </w:r>
          </w:p>
          <w:p w14:paraId="51DE79CF" w14:textId="77777777" w:rsidR="0010369C" w:rsidRDefault="008E43AE">
            <w:pPr>
              <w:pStyle w:val="TableParagraph"/>
              <w:spacing w:line="274" w:lineRule="exact"/>
              <w:ind w:left="106"/>
              <w:rPr>
                <w:sz w:val="24"/>
              </w:rPr>
            </w:pPr>
            <w:r>
              <w:rPr>
                <w:sz w:val="24"/>
              </w:rPr>
              <w:t>2)",</w:t>
            </w:r>
            <w:r>
              <w:rPr>
                <w:spacing w:val="-3"/>
                <w:sz w:val="24"/>
              </w:rPr>
              <w:t xml:space="preserve"> </w:t>
            </w:r>
            <w:r>
              <w:rPr>
                <w:sz w:val="24"/>
              </w:rPr>
              <w:t>6</w:t>
            </w:r>
            <w:r>
              <w:rPr>
                <w:spacing w:val="-2"/>
                <w:sz w:val="24"/>
              </w:rPr>
              <w:t xml:space="preserve"> </w:t>
            </w:r>
            <w:r>
              <w:rPr>
                <w:sz w:val="24"/>
              </w:rPr>
              <w:t>July</w:t>
            </w:r>
            <w:r>
              <w:rPr>
                <w:spacing w:val="-1"/>
                <w:sz w:val="24"/>
              </w:rPr>
              <w:t xml:space="preserve"> </w:t>
            </w:r>
            <w:r>
              <w:rPr>
                <w:sz w:val="24"/>
              </w:rPr>
              <w:t>2020</w:t>
            </w:r>
            <w:r>
              <w:rPr>
                <w:spacing w:val="-2"/>
                <w:sz w:val="24"/>
              </w:rPr>
              <w:t xml:space="preserve"> </w:t>
            </w:r>
            <w:r>
              <w:rPr>
                <w:sz w:val="24"/>
              </w:rPr>
              <w:t xml:space="preserve">(English </w:t>
            </w:r>
            <w:r>
              <w:rPr>
                <w:spacing w:val="-2"/>
                <w:sz w:val="24"/>
              </w:rPr>
              <w:t>Translation)</w:t>
            </w:r>
          </w:p>
        </w:tc>
        <w:tc>
          <w:tcPr>
            <w:tcW w:w="3113" w:type="dxa"/>
            <w:gridSpan w:val="5"/>
            <w:tcBorders>
              <w:top w:val="nil"/>
            </w:tcBorders>
          </w:tcPr>
          <w:p w14:paraId="51DE79D0" w14:textId="77777777" w:rsidR="0010369C" w:rsidRDefault="008E43AE">
            <w:pPr>
              <w:pStyle w:val="TableParagraph"/>
              <w:ind w:left="110" w:right="184"/>
              <w:rPr>
                <w:sz w:val="24"/>
              </w:rPr>
            </w:pPr>
            <w:r>
              <w:rPr>
                <w:sz w:val="24"/>
              </w:rPr>
              <w:t>CADA</w:t>
            </w:r>
            <w:r>
              <w:rPr>
                <w:spacing w:val="-12"/>
                <w:sz w:val="24"/>
              </w:rPr>
              <w:t xml:space="preserve"> </w:t>
            </w:r>
            <w:r>
              <w:rPr>
                <w:sz w:val="24"/>
              </w:rPr>
              <w:t>Application</w:t>
            </w:r>
            <w:r>
              <w:rPr>
                <w:spacing w:val="-14"/>
                <w:sz w:val="24"/>
              </w:rPr>
              <w:t xml:space="preserve"> </w:t>
            </w:r>
            <w:r>
              <w:rPr>
                <w:sz w:val="24"/>
              </w:rPr>
              <w:t>for</w:t>
            </w:r>
            <w:r>
              <w:rPr>
                <w:spacing w:val="-12"/>
                <w:sz w:val="24"/>
              </w:rPr>
              <w:t xml:space="preserve"> </w:t>
            </w:r>
            <w:r>
              <w:rPr>
                <w:sz w:val="24"/>
              </w:rPr>
              <w:t>Anti‐ Dumping Investigation, Annexes 1‐12 (Part 2)</w:t>
            </w:r>
          </w:p>
        </w:tc>
      </w:tr>
      <w:tr w:rsidR="0010369C" w14:paraId="51DE79D6" w14:textId="77777777">
        <w:trPr>
          <w:trHeight w:val="1172"/>
        </w:trPr>
        <w:tc>
          <w:tcPr>
            <w:tcW w:w="1184" w:type="dxa"/>
          </w:tcPr>
          <w:p w14:paraId="51DE79D2" w14:textId="77777777" w:rsidR="0010369C" w:rsidRDefault="008E43AE">
            <w:pPr>
              <w:pStyle w:val="TableParagraph"/>
              <w:spacing w:line="292" w:lineRule="exact"/>
              <w:ind w:left="107"/>
              <w:rPr>
                <w:sz w:val="24"/>
              </w:rPr>
            </w:pPr>
            <w:r>
              <w:rPr>
                <w:spacing w:val="-2"/>
                <w:sz w:val="24"/>
              </w:rPr>
              <w:t>AUS‐67</w:t>
            </w:r>
          </w:p>
        </w:tc>
        <w:tc>
          <w:tcPr>
            <w:tcW w:w="4762" w:type="dxa"/>
            <w:gridSpan w:val="4"/>
          </w:tcPr>
          <w:p w14:paraId="51DE79D3" w14:textId="77777777" w:rsidR="0010369C" w:rsidRDefault="008E43AE">
            <w:pPr>
              <w:pStyle w:val="TableParagraph"/>
              <w:ind w:left="106" w:right="134"/>
              <w:rPr>
                <w:sz w:val="24"/>
              </w:rPr>
            </w:pPr>
            <w:r>
              <w:rPr>
                <w:sz w:val="24"/>
              </w:rPr>
              <w:t>CADA, "Ap</w:t>
            </w:r>
            <w:r>
              <w:rPr>
                <w:sz w:val="24"/>
              </w:rPr>
              <w:t>plication of the Wine Industry of the Peoples Republic of China for Anti‐ Dumping</w:t>
            </w:r>
            <w:r>
              <w:rPr>
                <w:spacing w:val="-8"/>
                <w:sz w:val="24"/>
              </w:rPr>
              <w:t xml:space="preserve"> </w:t>
            </w:r>
            <w:r>
              <w:rPr>
                <w:sz w:val="24"/>
              </w:rPr>
              <w:t>Investigation,</w:t>
            </w:r>
            <w:r>
              <w:rPr>
                <w:spacing w:val="-9"/>
                <w:sz w:val="24"/>
              </w:rPr>
              <w:t xml:space="preserve"> </w:t>
            </w:r>
            <w:r>
              <w:rPr>
                <w:sz w:val="24"/>
              </w:rPr>
              <w:t>Annexes</w:t>
            </w:r>
            <w:r>
              <w:rPr>
                <w:spacing w:val="-9"/>
                <w:sz w:val="24"/>
              </w:rPr>
              <w:t xml:space="preserve"> </w:t>
            </w:r>
            <w:r>
              <w:rPr>
                <w:sz w:val="24"/>
              </w:rPr>
              <w:t>13‐14",</w:t>
            </w:r>
            <w:r>
              <w:rPr>
                <w:spacing w:val="-8"/>
                <w:sz w:val="24"/>
              </w:rPr>
              <w:t xml:space="preserve"> </w:t>
            </w:r>
            <w:r>
              <w:rPr>
                <w:sz w:val="24"/>
              </w:rPr>
              <w:t>6</w:t>
            </w:r>
            <w:r>
              <w:rPr>
                <w:spacing w:val="-7"/>
                <w:sz w:val="24"/>
              </w:rPr>
              <w:t xml:space="preserve"> </w:t>
            </w:r>
            <w:r>
              <w:rPr>
                <w:sz w:val="24"/>
              </w:rPr>
              <w:t>July</w:t>
            </w:r>
          </w:p>
          <w:p w14:paraId="51DE79D4" w14:textId="77777777" w:rsidR="0010369C" w:rsidRDefault="008E43AE">
            <w:pPr>
              <w:pStyle w:val="TableParagraph"/>
              <w:spacing w:line="274" w:lineRule="exact"/>
              <w:ind w:left="106"/>
              <w:rPr>
                <w:sz w:val="24"/>
              </w:rPr>
            </w:pPr>
            <w:r>
              <w:rPr>
                <w:sz w:val="24"/>
              </w:rPr>
              <w:t>2020</w:t>
            </w:r>
            <w:r>
              <w:rPr>
                <w:spacing w:val="-4"/>
                <w:sz w:val="24"/>
              </w:rPr>
              <w:t xml:space="preserve"> </w:t>
            </w:r>
            <w:r>
              <w:rPr>
                <w:sz w:val="24"/>
              </w:rPr>
              <w:t>(English</w:t>
            </w:r>
            <w:r>
              <w:rPr>
                <w:spacing w:val="-1"/>
                <w:sz w:val="24"/>
              </w:rPr>
              <w:t xml:space="preserve"> </w:t>
            </w:r>
            <w:r>
              <w:rPr>
                <w:spacing w:val="-2"/>
                <w:sz w:val="24"/>
              </w:rPr>
              <w:t>Translation)</w:t>
            </w:r>
          </w:p>
        </w:tc>
        <w:tc>
          <w:tcPr>
            <w:tcW w:w="3113" w:type="dxa"/>
            <w:gridSpan w:val="5"/>
          </w:tcPr>
          <w:p w14:paraId="51DE79D5" w14:textId="77777777" w:rsidR="0010369C" w:rsidRDefault="008E43AE">
            <w:pPr>
              <w:pStyle w:val="TableParagraph"/>
              <w:ind w:left="110" w:right="184"/>
              <w:rPr>
                <w:sz w:val="24"/>
              </w:rPr>
            </w:pPr>
            <w:r>
              <w:rPr>
                <w:sz w:val="24"/>
              </w:rPr>
              <w:t>CADA</w:t>
            </w:r>
            <w:r>
              <w:rPr>
                <w:spacing w:val="-12"/>
                <w:sz w:val="24"/>
              </w:rPr>
              <w:t xml:space="preserve"> </w:t>
            </w:r>
            <w:r>
              <w:rPr>
                <w:sz w:val="24"/>
              </w:rPr>
              <w:t>Application</w:t>
            </w:r>
            <w:r>
              <w:rPr>
                <w:spacing w:val="-14"/>
                <w:sz w:val="24"/>
              </w:rPr>
              <w:t xml:space="preserve"> </w:t>
            </w:r>
            <w:r>
              <w:rPr>
                <w:sz w:val="24"/>
              </w:rPr>
              <w:t>for</w:t>
            </w:r>
            <w:r>
              <w:rPr>
                <w:spacing w:val="-12"/>
                <w:sz w:val="24"/>
              </w:rPr>
              <w:t xml:space="preserve"> </w:t>
            </w:r>
            <w:r>
              <w:rPr>
                <w:sz w:val="24"/>
              </w:rPr>
              <w:t>Anti‐ Dumping Investigation, Annexes 13‐14</w:t>
            </w:r>
          </w:p>
        </w:tc>
      </w:tr>
      <w:tr w:rsidR="0010369C" w14:paraId="51DE79DC" w14:textId="77777777">
        <w:trPr>
          <w:trHeight w:val="877"/>
        </w:trPr>
        <w:tc>
          <w:tcPr>
            <w:tcW w:w="1184" w:type="dxa"/>
          </w:tcPr>
          <w:p w14:paraId="51DE79D7" w14:textId="77777777" w:rsidR="0010369C" w:rsidRDefault="008E43AE">
            <w:pPr>
              <w:pStyle w:val="TableParagraph"/>
              <w:spacing w:line="292" w:lineRule="exact"/>
              <w:ind w:left="107"/>
              <w:rPr>
                <w:sz w:val="24"/>
              </w:rPr>
            </w:pPr>
            <w:r>
              <w:rPr>
                <w:spacing w:val="-2"/>
                <w:sz w:val="24"/>
              </w:rPr>
              <w:t>AUS‐68</w:t>
            </w:r>
          </w:p>
        </w:tc>
        <w:tc>
          <w:tcPr>
            <w:tcW w:w="4762" w:type="dxa"/>
            <w:gridSpan w:val="4"/>
          </w:tcPr>
          <w:p w14:paraId="51DE79D8" w14:textId="77777777" w:rsidR="0010369C" w:rsidRDefault="008E43AE">
            <w:pPr>
              <w:pStyle w:val="TableParagraph"/>
              <w:ind w:left="106" w:right="153"/>
              <w:rPr>
                <w:sz w:val="24"/>
              </w:rPr>
            </w:pPr>
            <w:r>
              <w:rPr>
                <w:sz w:val="24"/>
              </w:rPr>
              <w:t>Longcheng Wine, "Domestic Importer Questionnaire</w:t>
            </w:r>
            <w:r>
              <w:rPr>
                <w:spacing w:val="-10"/>
                <w:sz w:val="24"/>
              </w:rPr>
              <w:t xml:space="preserve"> </w:t>
            </w:r>
            <w:r>
              <w:rPr>
                <w:sz w:val="24"/>
              </w:rPr>
              <w:t>Response",</w:t>
            </w:r>
            <w:r>
              <w:rPr>
                <w:spacing w:val="-10"/>
                <w:sz w:val="24"/>
              </w:rPr>
              <w:t xml:space="preserve"> </w:t>
            </w:r>
            <w:r>
              <w:rPr>
                <w:sz w:val="24"/>
              </w:rPr>
              <w:t>16</w:t>
            </w:r>
            <w:r>
              <w:rPr>
                <w:spacing w:val="-10"/>
                <w:sz w:val="24"/>
              </w:rPr>
              <w:t xml:space="preserve"> </w:t>
            </w:r>
            <w:r>
              <w:rPr>
                <w:sz w:val="24"/>
              </w:rPr>
              <w:t>November</w:t>
            </w:r>
            <w:r>
              <w:rPr>
                <w:spacing w:val="-11"/>
                <w:sz w:val="24"/>
              </w:rPr>
              <w:t xml:space="preserve"> </w:t>
            </w:r>
            <w:r>
              <w:rPr>
                <w:sz w:val="24"/>
              </w:rPr>
              <w:t>2020</w:t>
            </w:r>
          </w:p>
          <w:p w14:paraId="51DE79D9" w14:textId="77777777" w:rsidR="0010369C" w:rsidRDefault="008E43AE">
            <w:pPr>
              <w:pStyle w:val="TableParagraph"/>
              <w:spacing w:line="273" w:lineRule="exact"/>
              <w:ind w:left="106"/>
              <w:rPr>
                <w:sz w:val="24"/>
              </w:rPr>
            </w:pPr>
            <w:r>
              <w:rPr>
                <w:sz w:val="24"/>
              </w:rPr>
              <w:t xml:space="preserve">(English </w:t>
            </w:r>
            <w:r>
              <w:rPr>
                <w:spacing w:val="-2"/>
                <w:sz w:val="24"/>
              </w:rPr>
              <w:t>translation)</w:t>
            </w:r>
          </w:p>
        </w:tc>
        <w:tc>
          <w:tcPr>
            <w:tcW w:w="3113" w:type="dxa"/>
            <w:gridSpan w:val="5"/>
          </w:tcPr>
          <w:p w14:paraId="51DE79DA" w14:textId="77777777" w:rsidR="0010369C" w:rsidRDefault="008E43AE">
            <w:pPr>
              <w:pStyle w:val="TableParagraph"/>
              <w:ind w:left="110" w:right="658"/>
              <w:rPr>
                <w:sz w:val="24"/>
              </w:rPr>
            </w:pPr>
            <w:r>
              <w:rPr>
                <w:sz w:val="24"/>
              </w:rPr>
              <w:t>Longcheng Wine Anti‐ Dumping</w:t>
            </w:r>
            <w:r>
              <w:rPr>
                <w:spacing w:val="-14"/>
                <w:sz w:val="24"/>
              </w:rPr>
              <w:t xml:space="preserve"> </w:t>
            </w:r>
            <w:r>
              <w:rPr>
                <w:sz w:val="24"/>
              </w:rPr>
              <w:t>Questionnaire</w:t>
            </w:r>
          </w:p>
          <w:p w14:paraId="51DE79DB" w14:textId="77777777" w:rsidR="0010369C" w:rsidRDefault="008E43AE">
            <w:pPr>
              <w:pStyle w:val="TableParagraph"/>
              <w:spacing w:line="273" w:lineRule="exact"/>
              <w:ind w:left="110"/>
              <w:rPr>
                <w:sz w:val="24"/>
              </w:rPr>
            </w:pPr>
            <w:r>
              <w:rPr>
                <w:spacing w:val="-2"/>
                <w:sz w:val="24"/>
              </w:rPr>
              <w:t>Response</w:t>
            </w:r>
          </w:p>
        </w:tc>
      </w:tr>
      <w:tr w:rsidR="0010369C" w14:paraId="51DE79E0" w14:textId="77777777">
        <w:trPr>
          <w:trHeight w:val="1464"/>
        </w:trPr>
        <w:tc>
          <w:tcPr>
            <w:tcW w:w="1184" w:type="dxa"/>
          </w:tcPr>
          <w:p w14:paraId="51DE79DD" w14:textId="77777777" w:rsidR="0010369C" w:rsidRDefault="008E43AE">
            <w:pPr>
              <w:pStyle w:val="TableParagraph"/>
              <w:ind w:left="107"/>
              <w:rPr>
                <w:sz w:val="24"/>
              </w:rPr>
            </w:pPr>
            <w:r>
              <w:rPr>
                <w:spacing w:val="-2"/>
                <w:sz w:val="24"/>
              </w:rPr>
              <w:t>AUS‐69</w:t>
            </w:r>
          </w:p>
        </w:tc>
        <w:tc>
          <w:tcPr>
            <w:tcW w:w="4762" w:type="dxa"/>
            <w:gridSpan w:val="4"/>
          </w:tcPr>
          <w:p w14:paraId="51DE79DE" w14:textId="77777777" w:rsidR="0010369C" w:rsidRDefault="008E43AE">
            <w:pPr>
              <w:pStyle w:val="TableParagraph"/>
              <w:spacing w:line="290" w:lineRule="atLeast"/>
              <w:ind w:left="106"/>
              <w:rPr>
                <w:sz w:val="24"/>
              </w:rPr>
            </w:pPr>
            <w:r>
              <w:rPr>
                <w:sz w:val="24"/>
              </w:rPr>
              <w:t>AGW,</w:t>
            </w:r>
            <w:r>
              <w:rPr>
                <w:spacing w:val="-8"/>
                <w:sz w:val="24"/>
              </w:rPr>
              <w:t xml:space="preserve"> </w:t>
            </w:r>
            <w:r>
              <w:rPr>
                <w:sz w:val="24"/>
              </w:rPr>
              <w:t>"Re:</w:t>
            </w:r>
            <w:r>
              <w:rPr>
                <w:spacing w:val="-9"/>
                <w:sz w:val="24"/>
              </w:rPr>
              <w:t xml:space="preserve"> </w:t>
            </w:r>
            <w:r>
              <w:rPr>
                <w:sz w:val="24"/>
              </w:rPr>
              <w:t>Dumping</w:t>
            </w:r>
            <w:r>
              <w:rPr>
                <w:spacing w:val="-8"/>
                <w:sz w:val="24"/>
              </w:rPr>
              <w:t xml:space="preserve"> </w:t>
            </w:r>
            <w:r>
              <w:rPr>
                <w:sz w:val="24"/>
              </w:rPr>
              <w:t>investigation</w:t>
            </w:r>
            <w:r>
              <w:rPr>
                <w:spacing w:val="-6"/>
                <w:sz w:val="24"/>
              </w:rPr>
              <w:t xml:space="preserve"> </w:t>
            </w:r>
            <w:r>
              <w:rPr>
                <w:sz w:val="24"/>
              </w:rPr>
              <w:t>into</w:t>
            </w:r>
            <w:r>
              <w:rPr>
                <w:spacing w:val="-7"/>
                <w:sz w:val="24"/>
              </w:rPr>
              <w:t xml:space="preserve"> </w:t>
            </w:r>
            <w:r>
              <w:rPr>
                <w:sz w:val="24"/>
              </w:rPr>
              <w:t xml:space="preserve">exports of certain Australian wines to China – Preliminary Determination – Submission", 7 December 2020 (English Translation) (pages </w:t>
            </w:r>
            <w:r>
              <w:rPr>
                <w:spacing w:val="-2"/>
                <w:sz w:val="24"/>
              </w:rPr>
              <w:t>renumbered)</w:t>
            </w:r>
          </w:p>
        </w:tc>
        <w:tc>
          <w:tcPr>
            <w:tcW w:w="3113" w:type="dxa"/>
            <w:gridSpan w:val="5"/>
          </w:tcPr>
          <w:p w14:paraId="51DE79DF" w14:textId="77777777" w:rsidR="0010369C" w:rsidRDefault="008E43AE">
            <w:pPr>
              <w:pStyle w:val="TableParagraph"/>
              <w:ind w:left="110" w:right="388"/>
              <w:rPr>
                <w:sz w:val="24"/>
              </w:rPr>
            </w:pPr>
            <w:r>
              <w:rPr>
                <w:sz w:val="24"/>
              </w:rPr>
              <w:t>AGW Comments on Preliminary</w:t>
            </w:r>
            <w:r>
              <w:rPr>
                <w:spacing w:val="-14"/>
                <w:sz w:val="24"/>
              </w:rPr>
              <w:t xml:space="preserve"> </w:t>
            </w:r>
            <w:r>
              <w:rPr>
                <w:sz w:val="24"/>
              </w:rPr>
              <w:t>Determination</w:t>
            </w:r>
          </w:p>
        </w:tc>
      </w:tr>
      <w:tr w:rsidR="0010369C" w14:paraId="51DE79E4" w14:textId="77777777">
        <w:trPr>
          <w:trHeight w:val="879"/>
        </w:trPr>
        <w:tc>
          <w:tcPr>
            <w:tcW w:w="1184" w:type="dxa"/>
          </w:tcPr>
          <w:p w14:paraId="51DE79E1" w14:textId="77777777" w:rsidR="0010369C" w:rsidRDefault="008E43AE">
            <w:pPr>
              <w:pStyle w:val="TableParagraph"/>
              <w:ind w:left="107"/>
              <w:rPr>
                <w:sz w:val="24"/>
              </w:rPr>
            </w:pPr>
            <w:r>
              <w:rPr>
                <w:spacing w:val="-2"/>
                <w:sz w:val="24"/>
              </w:rPr>
              <w:t>AUS‐70</w:t>
            </w:r>
          </w:p>
        </w:tc>
        <w:tc>
          <w:tcPr>
            <w:tcW w:w="4762" w:type="dxa"/>
            <w:gridSpan w:val="4"/>
          </w:tcPr>
          <w:p w14:paraId="51DE79E2" w14:textId="77777777" w:rsidR="0010369C" w:rsidRDefault="008E43AE">
            <w:pPr>
              <w:pStyle w:val="TableParagraph"/>
              <w:spacing w:line="290" w:lineRule="atLeast"/>
              <w:ind w:left="106" w:right="153"/>
              <w:rPr>
                <w:sz w:val="24"/>
              </w:rPr>
            </w:pPr>
            <w:r>
              <w:rPr>
                <w:sz w:val="24"/>
              </w:rPr>
              <w:t>CADA,</w:t>
            </w:r>
            <w:r>
              <w:rPr>
                <w:spacing w:val="-9"/>
                <w:sz w:val="24"/>
              </w:rPr>
              <w:t xml:space="preserve"> </w:t>
            </w:r>
            <w:r>
              <w:rPr>
                <w:sz w:val="24"/>
              </w:rPr>
              <w:t>"Applicant</w:t>
            </w:r>
            <w:r>
              <w:rPr>
                <w:spacing w:val="-10"/>
                <w:sz w:val="24"/>
              </w:rPr>
              <w:t xml:space="preserve"> </w:t>
            </w:r>
            <w:r>
              <w:rPr>
                <w:sz w:val="24"/>
              </w:rPr>
              <w:t>Comments</w:t>
            </w:r>
            <w:r>
              <w:rPr>
                <w:spacing w:val="-10"/>
                <w:sz w:val="24"/>
              </w:rPr>
              <w:t xml:space="preserve"> </w:t>
            </w:r>
            <w:r>
              <w:rPr>
                <w:sz w:val="24"/>
              </w:rPr>
              <w:t>on</w:t>
            </w:r>
            <w:r>
              <w:rPr>
                <w:spacing w:val="-10"/>
                <w:sz w:val="24"/>
              </w:rPr>
              <w:t xml:space="preserve"> </w:t>
            </w:r>
            <w:r>
              <w:rPr>
                <w:sz w:val="24"/>
              </w:rPr>
              <w:t>Stakeholder's Comments to Preliminary Ruling", 3 March 2021 (English Translation)</w:t>
            </w:r>
          </w:p>
        </w:tc>
        <w:tc>
          <w:tcPr>
            <w:tcW w:w="3113" w:type="dxa"/>
            <w:gridSpan w:val="5"/>
          </w:tcPr>
          <w:p w14:paraId="51DE79E3" w14:textId="77777777" w:rsidR="0010369C" w:rsidRDefault="008E43AE">
            <w:pPr>
              <w:pStyle w:val="TableParagraph"/>
              <w:spacing w:line="290" w:lineRule="atLeast"/>
              <w:ind w:left="110" w:right="184"/>
              <w:rPr>
                <w:sz w:val="24"/>
              </w:rPr>
            </w:pPr>
            <w:r>
              <w:rPr>
                <w:sz w:val="24"/>
              </w:rPr>
              <w:t>CADA Comments on Stakeholder's</w:t>
            </w:r>
            <w:r>
              <w:rPr>
                <w:spacing w:val="-14"/>
                <w:sz w:val="24"/>
              </w:rPr>
              <w:t xml:space="preserve"> </w:t>
            </w:r>
            <w:r>
              <w:rPr>
                <w:sz w:val="24"/>
              </w:rPr>
              <w:t>Comments</w:t>
            </w:r>
            <w:r>
              <w:rPr>
                <w:spacing w:val="-14"/>
                <w:sz w:val="24"/>
              </w:rPr>
              <w:t xml:space="preserve"> </w:t>
            </w:r>
            <w:r>
              <w:rPr>
                <w:sz w:val="24"/>
              </w:rPr>
              <w:t>on Preliminary Ruling</w:t>
            </w:r>
          </w:p>
        </w:tc>
      </w:tr>
      <w:tr w:rsidR="0010369C" w14:paraId="51DE79E9" w14:textId="77777777">
        <w:trPr>
          <w:trHeight w:val="1171"/>
        </w:trPr>
        <w:tc>
          <w:tcPr>
            <w:tcW w:w="1184" w:type="dxa"/>
          </w:tcPr>
          <w:p w14:paraId="51DE79E5" w14:textId="77777777" w:rsidR="0010369C" w:rsidRDefault="008E43AE">
            <w:pPr>
              <w:pStyle w:val="TableParagraph"/>
              <w:spacing w:line="292" w:lineRule="exact"/>
              <w:ind w:left="107"/>
              <w:rPr>
                <w:sz w:val="24"/>
              </w:rPr>
            </w:pPr>
            <w:r>
              <w:rPr>
                <w:spacing w:val="-2"/>
                <w:sz w:val="24"/>
              </w:rPr>
              <w:t>AUS‐71</w:t>
            </w:r>
          </w:p>
        </w:tc>
        <w:tc>
          <w:tcPr>
            <w:tcW w:w="4762" w:type="dxa"/>
            <w:gridSpan w:val="4"/>
          </w:tcPr>
          <w:p w14:paraId="51DE79E6" w14:textId="77777777" w:rsidR="0010369C" w:rsidRDefault="008E43AE">
            <w:pPr>
              <w:pStyle w:val="TableParagraph"/>
              <w:ind w:left="106"/>
              <w:rPr>
                <w:sz w:val="24"/>
              </w:rPr>
            </w:pPr>
            <w:r>
              <w:rPr>
                <w:sz w:val="24"/>
              </w:rPr>
              <w:t>AGW, "Letter to MOFCOM Re: Dumping Investigation</w:t>
            </w:r>
            <w:r>
              <w:rPr>
                <w:spacing w:val="-7"/>
                <w:sz w:val="24"/>
              </w:rPr>
              <w:t xml:space="preserve"> </w:t>
            </w:r>
            <w:r>
              <w:rPr>
                <w:sz w:val="24"/>
              </w:rPr>
              <w:t>into</w:t>
            </w:r>
            <w:r>
              <w:rPr>
                <w:spacing w:val="-6"/>
                <w:sz w:val="24"/>
              </w:rPr>
              <w:t xml:space="preserve"> </w:t>
            </w:r>
            <w:r>
              <w:rPr>
                <w:sz w:val="24"/>
              </w:rPr>
              <w:t>exports</w:t>
            </w:r>
            <w:r>
              <w:rPr>
                <w:spacing w:val="-8"/>
                <w:sz w:val="24"/>
              </w:rPr>
              <w:t xml:space="preserve"> </w:t>
            </w:r>
            <w:r>
              <w:rPr>
                <w:sz w:val="24"/>
              </w:rPr>
              <w:t>of</w:t>
            </w:r>
            <w:r>
              <w:rPr>
                <w:spacing w:val="-7"/>
                <w:sz w:val="24"/>
              </w:rPr>
              <w:t xml:space="preserve"> </w:t>
            </w:r>
            <w:r>
              <w:rPr>
                <w:sz w:val="24"/>
              </w:rPr>
              <w:t>certain</w:t>
            </w:r>
            <w:r>
              <w:rPr>
                <w:spacing w:val="-8"/>
                <w:sz w:val="24"/>
              </w:rPr>
              <w:t xml:space="preserve"> </w:t>
            </w:r>
            <w:r>
              <w:rPr>
                <w:sz w:val="24"/>
              </w:rPr>
              <w:t>Australian</w:t>
            </w:r>
          </w:p>
          <w:p w14:paraId="51DE79E7" w14:textId="77777777" w:rsidR="0010369C" w:rsidRDefault="008E43AE">
            <w:pPr>
              <w:pStyle w:val="TableParagraph"/>
              <w:spacing w:line="290" w:lineRule="atLeast"/>
              <w:ind w:left="106" w:right="153"/>
              <w:rPr>
                <w:sz w:val="24"/>
              </w:rPr>
            </w:pPr>
            <w:r>
              <w:rPr>
                <w:sz w:val="24"/>
              </w:rPr>
              <w:t>wines</w:t>
            </w:r>
            <w:r>
              <w:rPr>
                <w:spacing w:val="-7"/>
                <w:sz w:val="24"/>
              </w:rPr>
              <w:t xml:space="preserve"> </w:t>
            </w:r>
            <w:r>
              <w:rPr>
                <w:sz w:val="24"/>
              </w:rPr>
              <w:t>to</w:t>
            </w:r>
            <w:r>
              <w:rPr>
                <w:spacing w:val="-6"/>
                <w:sz w:val="24"/>
              </w:rPr>
              <w:t xml:space="preserve"> </w:t>
            </w:r>
            <w:r>
              <w:rPr>
                <w:sz w:val="24"/>
              </w:rPr>
              <w:t>China</w:t>
            </w:r>
            <w:r>
              <w:rPr>
                <w:spacing w:val="-6"/>
                <w:sz w:val="24"/>
              </w:rPr>
              <w:t xml:space="preserve"> </w:t>
            </w:r>
            <w:r>
              <w:rPr>
                <w:sz w:val="24"/>
              </w:rPr>
              <w:t>–</w:t>
            </w:r>
            <w:r>
              <w:rPr>
                <w:spacing w:val="-6"/>
                <w:sz w:val="24"/>
              </w:rPr>
              <w:t xml:space="preserve"> </w:t>
            </w:r>
            <w:r>
              <w:rPr>
                <w:sz w:val="24"/>
              </w:rPr>
              <w:t>Sub</w:t>
            </w:r>
            <w:r>
              <w:rPr>
                <w:sz w:val="24"/>
              </w:rPr>
              <w:t>mission",</w:t>
            </w:r>
            <w:r>
              <w:rPr>
                <w:spacing w:val="-6"/>
                <w:sz w:val="24"/>
              </w:rPr>
              <w:t xml:space="preserve"> </w:t>
            </w:r>
            <w:r>
              <w:rPr>
                <w:sz w:val="24"/>
              </w:rPr>
              <w:t>7</w:t>
            </w:r>
            <w:r>
              <w:rPr>
                <w:spacing w:val="-7"/>
                <w:sz w:val="24"/>
              </w:rPr>
              <w:t xml:space="preserve"> </w:t>
            </w:r>
            <w:r>
              <w:rPr>
                <w:sz w:val="24"/>
              </w:rPr>
              <w:t>September 2020</w:t>
            </w:r>
            <w:r>
              <w:rPr>
                <w:spacing w:val="40"/>
                <w:sz w:val="24"/>
              </w:rPr>
              <w:t xml:space="preserve"> </w:t>
            </w:r>
            <w:r>
              <w:rPr>
                <w:sz w:val="24"/>
              </w:rPr>
              <w:t>(pages renumbered)</w:t>
            </w:r>
          </w:p>
        </w:tc>
        <w:tc>
          <w:tcPr>
            <w:tcW w:w="3113" w:type="dxa"/>
            <w:gridSpan w:val="5"/>
          </w:tcPr>
          <w:p w14:paraId="51DE79E8" w14:textId="77777777" w:rsidR="0010369C" w:rsidRDefault="008E43AE">
            <w:pPr>
              <w:pStyle w:val="TableParagraph"/>
              <w:ind w:left="110" w:right="162"/>
              <w:rPr>
                <w:sz w:val="24"/>
              </w:rPr>
            </w:pPr>
            <w:r>
              <w:rPr>
                <w:sz w:val="24"/>
              </w:rPr>
              <w:t>AGW Submission on Initiation</w:t>
            </w:r>
            <w:r>
              <w:rPr>
                <w:spacing w:val="-14"/>
                <w:sz w:val="24"/>
              </w:rPr>
              <w:t xml:space="preserve"> </w:t>
            </w:r>
            <w:r>
              <w:rPr>
                <w:sz w:val="24"/>
              </w:rPr>
              <w:t>of</w:t>
            </w:r>
            <w:r>
              <w:rPr>
                <w:spacing w:val="-13"/>
                <w:sz w:val="24"/>
              </w:rPr>
              <w:t xml:space="preserve"> </w:t>
            </w:r>
            <w:r>
              <w:rPr>
                <w:sz w:val="24"/>
              </w:rPr>
              <w:t>the</w:t>
            </w:r>
            <w:r>
              <w:rPr>
                <w:spacing w:val="-12"/>
                <w:sz w:val="24"/>
              </w:rPr>
              <w:t xml:space="preserve"> </w:t>
            </w:r>
            <w:r>
              <w:rPr>
                <w:sz w:val="24"/>
              </w:rPr>
              <w:t>Investigation</w:t>
            </w:r>
          </w:p>
        </w:tc>
      </w:tr>
      <w:tr w:rsidR="0010369C" w14:paraId="51DE79EE" w14:textId="77777777">
        <w:trPr>
          <w:trHeight w:val="879"/>
        </w:trPr>
        <w:tc>
          <w:tcPr>
            <w:tcW w:w="1184" w:type="dxa"/>
          </w:tcPr>
          <w:p w14:paraId="51DE79EA" w14:textId="77777777" w:rsidR="0010369C" w:rsidRDefault="008E43AE">
            <w:pPr>
              <w:pStyle w:val="TableParagraph"/>
              <w:spacing w:line="292" w:lineRule="exact"/>
              <w:ind w:left="107"/>
              <w:rPr>
                <w:sz w:val="24"/>
              </w:rPr>
            </w:pPr>
            <w:r>
              <w:rPr>
                <w:spacing w:val="-2"/>
                <w:sz w:val="24"/>
              </w:rPr>
              <w:t>AUS‐72</w:t>
            </w:r>
          </w:p>
        </w:tc>
        <w:tc>
          <w:tcPr>
            <w:tcW w:w="4762" w:type="dxa"/>
            <w:gridSpan w:val="4"/>
          </w:tcPr>
          <w:p w14:paraId="51DE79EB" w14:textId="77777777" w:rsidR="0010369C" w:rsidRDefault="008E43AE">
            <w:pPr>
              <w:pStyle w:val="TableParagraph"/>
              <w:ind w:left="106" w:right="153"/>
              <w:rPr>
                <w:sz w:val="24"/>
              </w:rPr>
            </w:pPr>
            <w:r>
              <w:rPr>
                <w:sz w:val="24"/>
              </w:rPr>
              <w:t>Casella</w:t>
            </w:r>
            <w:r>
              <w:rPr>
                <w:spacing w:val="-12"/>
                <w:sz w:val="24"/>
              </w:rPr>
              <w:t xml:space="preserve"> </w:t>
            </w:r>
            <w:r>
              <w:rPr>
                <w:sz w:val="24"/>
              </w:rPr>
              <w:t>Wines,</w:t>
            </w:r>
            <w:r>
              <w:rPr>
                <w:spacing w:val="-13"/>
                <w:sz w:val="24"/>
              </w:rPr>
              <w:t xml:space="preserve"> </w:t>
            </w:r>
            <w:r>
              <w:rPr>
                <w:sz w:val="24"/>
              </w:rPr>
              <w:t>"Exporter</w:t>
            </w:r>
            <w:r>
              <w:rPr>
                <w:spacing w:val="-13"/>
                <w:sz w:val="24"/>
              </w:rPr>
              <w:t xml:space="preserve"> </w:t>
            </w:r>
            <w:r>
              <w:rPr>
                <w:sz w:val="24"/>
              </w:rPr>
              <w:t>Questionnaire Response", 13 November 2020 (public</w:t>
            </w:r>
          </w:p>
          <w:p w14:paraId="51DE79EC" w14:textId="77777777" w:rsidR="0010369C" w:rsidRDefault="008E43AE">
            <w:pPr>
              <w:pStyle w:val="TableParagraph"/>
              <w:spacing w:line="273" w:lineRule="exact"/>
              <w:ind w:left="106"/>
              <w:rPr>
                <w:sz w:val="24"/>
              </w:rPr>
            </w:pPr>
            <w:r>
              <w:rPr>
                <w:sz w:val="24"/>
              </w:rPr>
              <w:t>version)</w:t>
            </w:r>
            <w:r>
              <w:rPr>
                <w:spacing w:val="-3"/>
                <w:sz w:val="24"/>
              </w:rPr>
              <w:t xml:space="preserve"> </w:t>
            </w:r>
            <w:r>
              <w:rPr>
                <w:sz w:val="24"/>
              </w:rPr>
              <w:t>(English</w:t>
            </w:r>
            <w:r>
              <w:rPr>
                <w:spacing w:val="-3"/>
                <w:sz w:val="24"/>
              </w:rPr>
              <w:t xml:space="preserve"> </w:t>
            </w:r>
            <w:r>
              <w:rPr>
                <w:spacing w:val="-2"/>
                <w:sz w:val="24"/>
              </w:rPr>
              <w:t>Translation)</w:t>
            </w:r>
          </w:p>
        </w:tc>
        <w:tc>
          <w:tcPr>
            <w:tcW w:w="3113" w:type="dxa"/>
            <w:gridSpan w:val="5"/>
          </w:tcPr>
          <w:p w14:paraId="51DE79ED" w14:textId="77777777" w:rsidR="0010369C" w:rsidRDefault="008E43AE">
            <w:pPr>
              <w:pStyle w:val="TableParagraph"/>
              <w:ind w:left="110" w:right="184"/>
              <w:rPr>
                <w:sz w:val="24"/>
              </w:rPr>
            </w:pPr>
            <w:r>
              <w:rPr>
                <w:sz w:val="24"/>
              </w:rPr>
              <w:t>Casella</w:t>
            </w:r>
            <w:r>
              <w:rPr>
                <w:spacing w:val="-14"/>
                <w:sz w:val="24"/>
              </w:rPr>
              <w:t xml:space="preserve"> </w:t>
            </w:r>
            <w:r>
              <w:rPr>
                <w:sz w:val="24"/>
              </w:rPr>
              <w:t>Wines</w:t>
            </w:r>
            <w:r>
              <w:rPr>
                <w:spacing w:val="-14"/>
                <w:sz w:val="24"/>
              </w:rPr>
              <w:t xml:space="preserve"> </w:t>
            </w:r>
            <w:r>
              <w:rPr>
                <w:sz w:val="24"/>
              </w:rPr>
              <w:t>Anti‐Dumping Questionnaire Response</w:t>
            </w:r>
          </w:p>
        </w:tc>
      </w:tr>
      <w:tr w:rsidR="0010369C" w14:paraId="51DE79F4" w14:textId="77777777">
        <w:trPr>
          <w:trHeight w:val="879"/>
        </w:trPr>
        <w:tc>
          <w:tcPr>
            <w:tcW w:w="1184" w:type="dxa"/>
          </w:tcPr>
          <w:p w14:paraId="51DE79EF" w14:textId="77777777" w:rsidR="0010369C" w:rsidRDefault="008E43AE">
            <w:pPr>
              <w:pStyle w:val="TableParagraph"/>
              <w:spacing w:line="292" w:lineRule="exact"/>
              <w:ind w:left="107"/>
              <w:rPr>
                <w:sz w:val="24"/>
              </w:rPr>
            </w:pPr>
            <w:r>
              <w:rPr>
                <w:spacing w:val="-2"/>
                <w:sz w:val="24"/>
              </w:rPr>
              <w:t>AUS‐73</w:t>
            </w:r>
          </w:p>
        </w:tc>
        <w:tc>
          <w:tcPr>
            <w:tcW w:w="4762" w:type="dxa"/>
            <w:gridSpan w:val="4"/>
          </w:tcPr>
          <w:p w14:paraId="51DE79F0" w14:textId="77777777" w:rsidR="0010369C" w:rsidRDefault="008E43AE">
            <w:pPr>
              <w:pStyle w:val="TableParagraph"/>
              <w:ind w:left="106" w:right="153"/>
              <w:rPr>
                <w:sz w:val="24"/>
              </w:rPr>
            </w:pPr>
            <w:r>
              <w:rPr>
                <w:sz w:val="24"/>
              </w:rPr>
              <w:t>Treasury Wines, "Public Exporter Questionnaire</w:t>
            </w:r>
            <w:r>
              <w:rPr>
                <w:spacing w:val="-12"/>
                <w:sz w:val="24"/>
              </w:rPr>
              <w:t xml:space="preserve"> </w:t>
            </w:r>
            <w:r>
              <w:rPr>
                <w:sz w:val="24"/>
              </w:rPr>
              <w:t>Response"</w:t>
            </w:r>
            <w:r>
              <w:rPr>
                <w:spacing w:val="-12"/>
                <w:sz w:val="24"/>
              </w:rPr>
              <w:t xml:space="preserve"> </w:t>
            </w:r>
            <w:r>
              <w:rPr>
                <w:sz w:val="24"/>
              </w:rPr>
              <w:t>13</w:t>
            </w:r>
            <w:r>
              <w:rPr>
                <w:spacing w:val="-12"/>
                <w:sz w:val="24"/>
              </w:rPr>
              <w:t xml:space="preserve"> </w:t>
            </w:r>
            <w:r>
              <w:rPr>
                <w:sz w:val="24"/>
              </w:rPr>
              <w:t>November</w:t>
            </w:r>
          </w:p>
          <w:p w14:paraId="51DE79F1" w14:textId="77777777" w:rsidR="0010369C" w:rsidRDefault="008E43AE">
            <w:pPr>
              <w:pStyle w:val="TableParagraph"/>
              <w:spacing w:line="274" w:lineRule="exact"/>
              <w:ind w:left="106"/>
              <w:rPr>
                <w:sz w:val="24"/>
              </w:rPr>
            </w:pPr>
            <w:r>
              <w:rPr>
                <w:sz w:val="24"/>
              </w:rPr>
              <w:t>2020</w:t>
            </w:r>
            <w:r>
              <w:rPr>
                <w:spacing w:val="50"/>
                <w:sz w:val="24"/>
              </w:rPr>
              <w:t xml:space="preserve"> </w:t>
            </w:r>
            <w:r>
              <w:rPr>
                <w:sz w:val="24"/>
              </w:rPr>
              <w:t>(public</w:t>
            </w:r>
            <w:r>
              <w:rPr>
                <w:spacing w:val="-2"/>
                <w:sz w:val="24"/>
              </w:rPr>
              <w:t xml:space="preserve"> </w:t>
            </w:r>
            <w:r>
              <w:rPr>
                <w:sz w:val="24"/>
              </w:rPr>
              <w:t>version)</w:t>
            </w:r>
            <w:r>
              <w:rPr>
                <w:spacing w:val="-3"/>
                <w:sz w:val="24"/>
              </w:rPr>
              <w:t xml:space="preserve"> </w:t>
            </w:r>
            <w:r>
              <w:rPr>
                <w:sz w:val="24"/>
              </w:rPr>
              <w:t>(English</w:t>
            </w:r>
            <w:r>
              <w:rPr>
                <w:spacing w:val="-2"/>
                <w:sz w:val="24"/>
              </w:rPr>
              <w:t xml:space="preserve"> Translation)</w:t>
            </w:r>
          </w:p>
        </w:tc>
        <w:tc>
          <w:tcPr>
            <w:tcW w:w="3113" w:type="dxa"/>
            <w:gridSpan w:val="5"/>
          </w:tcPr>
          <w:p w14:paraId="51DE79F2" w14:textId="77777777" w:rsidR="0010369C" w:rsidRDefault="008E43AE">
            <w:pPr>
              <w:pStyle w:val="TableParagraph"/>
              <w:ind w:left="110" w:right="658"/>
              <w:rPr>
                <w:sz w:val="24"/>
              </w:rPr>
            </w:pPr>
            <w:r>
              <w:rPr>
                <w:sz w:val="24"/>
              </w:rPr>
              <w:t>Treasury Wines Anti‐ Dumping</w:t>
            </w:r>
            <w:r>
              <w:rPr>
                <w:spacing w:val="-14"/>
                <w:sz w:val="24"/>
              </w:rPr>
              <w:t xml:space="preserve"> </w:t>
            </w:r>
            <w:r>
              <w:rPr>
                <w:sz w:val="24"/>
              </w:rPr>
              <w:t>Questionnaire</w:t>
            </w:r>
          </w:p>
          <w:p w14:paraId="51DE79F3" w14:textId="77777777" w:rsidR="0010369C" w:rsidRDefault="008E43AE">
            <w:pPr>
              <w:pStyle w:val="TableParagraph"/>
              <w:spacing w:line="274" w:lineRule="exact"/>
              <w:ind w:left="110"/>
              <w:rPr>
                <w:sz w:val="24"/>
              </w:rPr>
            </w:pPr>
            <w:r>
              <w:rPr>
                <w:spacing w:val="-2"/>
                <w:sz w:val="24"/>
              </w:rPr>
              <w:t>Response</w:t>
            </w:r>
          </w:p>
        </w:tc>
      </w:tr>
    </w:tbl>
    <w:p w14:paraId="51DE79F5" w14:textId="77777777" w:rsidR="0010369C" w:rsidRDefault="0010369C">
      <w:pPr>
        <w:spacing w:line="274" w:lineRule="exact"/>
        <w:rPr>
          <w:sz w:val="24"/>
        </w:rPr>
        <w:sectPr w:rsidR="0010369C">
          <w:pgSz w:w="11910" w:h="16840"/>
          <w:pgMar w:top="880" w:right="1220" w:bottom="980" w:left="1180" w:header="569" w:footer="788" w:gutter="0"/>
          <w:cols w:space="720"/>
        </w:sectPr>
      </w:pPr>
    </w:p>
    <w:p w14:paraId="51DE79F6" w14:textId="77777777" w:rsidR="0010369C" w:rsidRDefault="008E43AE">
      <w:pPr>
        <w:ind w:left="239" w:hanging="1"/>
        <w:rPr>
          <w:sz w:val="20"/>
        </w:rPr>
      </w:pPr>
      <w:r>
        <w:rPr>
          <w:i/>
          <w:sz w:val="20"/>
        </w:rPr>
        <w:lastRenderedPageBreak/>
        <w:t>China</w:t>
      </w:r>
      <w:r>
        <w:rPr>
          <w:i/>
          <w:spacing w:val="-6"/>
          <w:sz w:val="20"/>
        </w:rPr>
        <w:t xml:space="preserve"> </w:t>
      </w:r>
      <w:r>
        <w:rPr>
          <w:i/>
          <w:sz w:val="20"/>
        </w:rPr>
        <w:t>–</w:t>
      </w:r>
      <w:r>
        <w:rPr>
          <w:i/>
          <w:spacing w:val="-7"/>
          <w:sz w:val="20"/>
        </w:rPr>
        <w:t xml:space="preserve"> </w:t>
      </w:r>
      <w:r>
        <w:rPr>
          <w:i/>
          <w:sz w:val="20"/>
        </w:rPr>
        <w:t>Anti‐Dumping</w:t>
      </w:r>
      <w:r>
        <w:rPr>
          <w:i/>
          <w:spacing w:val="-7"/>
          <w:sz w:val="20"/>
        </w:rPr>
        <w:t xml:space="preserve"> </w:t>
      </w:r>
      <w:r>
        <w:rPr>
          <w:i/>
          <w:sz w:val="20"/>
        </w:rPr>
        <w:t>and</w:t>
      </w:r>
      <w:r>
        <w:rPr>
          <w:i/>
          <w:spacing w:val="-7"/>
          <w:sz w:val="20"/>
        </w:rPr>
        <w:t xml:space="preserve"> </w:t>
      </w:r>
      <w:r>
        <w:rPr>
          <w:i/>
          <w:sz w:val="20"/>
        </w:rPr>
        <w:t>Countervailing</w:t>
      </w:r>
      <w:r>
        <w:rPr>
          <w:i/>
          <w:spacing w:val="-6"/>
          <w:sz w:val="20"/>
        </w:rPr>
        <w:t xml:space="preserve"> </w:t>
      </w:r>
      <w:r>
        <w:rPr>
          <w:i/>
          <w:sz w:val="20"/>
        </w:rPr>
        <w:t>Duty</w:t>
      </w:r>
      <w:r>
        <w:rPr>
          <w:i/>
          <w:spacing w:val="-7"/>
          <w:sz w:val="20"/>
        </w:rPr>
        <w:t xml:space="preserve"> </w:t>
      </w:r>
      <w:r>
        <w:rPr>
          <w:i/>
          <w:sz w:val="20"/>
        </w:rPr>
        <w:t xml:space="preserve">Measures on Wine from Australia </w:t>
      </w:r>
      <w:r>
        <w:rPr>
          <w:sz w:val="20"/>
        </w:rPr>
        <w:t>(DS602)</w:t>
      </w:r>
    </w:p>
    <w:p w14:paraId="51DE79F7" w14:textId="77777777" w:rsidR="0010369C" w:rsidRDefault="008E43AE">
      <w:pPr>
        <w:ind w:right="194"/>
        <w:jc w:val="right"/>
        <w:rPr>
          <w:sz w:val="20"/>
        </w:rPr>
      </w:pPr>
      <w:r>
        <w:br w:type="column"/>
      </w:r>
      <w:r>
        <w:rPr>
          <w:sz w:val="20"/>
        </w:rPr>
        <w:t>Australia's</w:t>
      </w:r>
      <w:r>
        <w:rPr>
          <w:spacing w:val="-4"/>
          <w:sz w:val="20"/>
        </w:rPr>
        <w:t xml:space="preserve"> </w:t>
      </w:r>
      <w:r>
        <w:rPr>
          <w:sz w:val="20"/>
        </w:rPr>
        <w:t>First</w:t>
      </w:r>
      <w:r>
        <w:rPr>
          <w:spacing w:val="-2"/>
          <w:sz w:val="20"/>
        </w:rPr>
        <w:t xml:space="preserve"> </w:t>
      </w:r>
      <w:r>
        <w:rPr>
          <w:sz w:val="20"/>
        </w:rPr>
        <w:t>Written</w:t>
      </w:r>
      <w:r>
        <w:rPr>
          <w:spacing w:val="-2"/>
          <w:sz w:val="20"/>
        </w:rPr>
        <w:t xml:space="preserve"> Submission</w:t>
      </w:r>
    </w:p>
    <w:p w14:paraId="51DE79F8" w14:textId="77777777" w:rsidR="0010369C" w:rsidRDefault="008E43AE">
      <w:pPr>
        <w:spacing w:before="1"/>
        <w:ind w:right="191"/>
        <w:jc w:val="right"/>
        <w:rPr>
          <w:sz w:val="20"/>
        </w:rPr>
      </w:pPr>
      <w:r>
        <w:rPr>
          <w:sz w:val="20"/>
        </w:rPr>
        <w:t>29</w:t>
      </w:r>
      <w:r>
        <w:rPr>
          <w:spacing w:val="-1"/>
          <w:sz w:val="20"/>
        </w:rPr>
        <w:t xml:space="preserve"> </w:t>
      </w:r>
      <w:r>
        <w:rPr>
          <w:sz w:val="20"/>
        </w:rPr>
        <w:t>April</w:t>
      </w:r>
      <w:r>
        <w:rPr>
          <w:spacing w:val="-2"/>
          <w:sz w:val="20"/>
        </w:rPr>
        <w:t xml:space="preserve"> </w:t>
      </w:r>
      <w:r>
        <w:rPr>
          <w:spacing w:val="-4"/>
          <w:sz w:val="20"/>
        </w:rPr>
        <w:t>2022</w:t>
      </w:r>
    </w:p>
    <w:p w14:paraId="51DE79F9" w14:textId="77777777" w:rsidR="0010369C" w:rsidRDefault="0010369C">
      <w:pPr>
        <w:jc w:val="right"/>
        <w:rPr>
          <w:sz w:val="20"/>
        </w:rPr>
        <w:sectPr w:rsidR="0010369C">
          <w:pgSz w:w="11910" w:h="16840"/>
          <w:pgMar w:top="880" w:right="1220" w:bottom="980" w:left="1180" w:header="569" w:footer="788" w:gutter="0"/>
          <w:cols w:num="2" w:space="720" w:equalWidth="0">
            <w:col w:w="4904" w:space="1283"/>
            <w:col w:w="3323"/>
          </w:cols>
        </w:sectPr>
      </w:pPr>
    </w:p>
    <w:p w14:paraId="51DE79FA" w14:textId="77777777" w:rsidR="0010369C" w:rsidRDefault="0010369C">
      <w:pPr>
        <w:pStyle w:val="BodyText"/>
        <w:spacing w:before="10"/>
        <w:rPr>
          <w:sz w:val="2"/>
        </w:rPr>
      </w:pPr>
    </w:p>
    <w:tbl>
      <w:tblPr>
        <w:tblW w:w="0" w:type="auto"/>
        <w:tblInd w:w="248" w:type="dxa"/>
        <w:tblLayout w:type="fixed"/>
        <w:tblCellMar>
          <w:left w:w="0" w:type="dxa"/>
          <w:right w:w="0" w:type="dxa"/>
        </w:tblCellMar>
        <w:tblLook w:val="01E0" w:firstRow="1" w:lastRow="1" w:firstColumn="1" w:lastColumn="1" w:noHBand="0" w:noVBand="0"/>
      </w:tblPr>
      <w:tblGrid>
        <w:gridCol w:w="1184"/>
        <w:gridCol w:w="86"/>
        <w:gridCol w:w="1330"/>
        <w:gridCol w:w="742"/>
        <w:gridCol w:w="1671"/>
        <w:gridCol w:w="170"/>
        <w:gridCol w:w="110"/>
        <w:gridCol w:w="652"/>
        <w:gridCol w:w="101"/>
        <w:gridCol w:w="1876"/>
        <w:gridCol w:w="496"/>
        <w:gridCol w:w="641"/>
      </w:tblGrid>
      <w:tr w:rsidR="0010369C" w14:paraId="51DE79FF" w14:textId="77777777">
        <w:trPr>
          <w:trHeight w:val="309"/>
        </w:trPr>
        <w:tc>
          <w:tcPr>
            <w:tcW w:w="1184" w:type="dxa"/>
            <w:vMerge w:val="restart"/>
            <w:tcBorders>
              <w:top w:val="single" w:sz="4" w:space="0" w:color="000000"/>
              <w:left w:val="single" w:sz="4" w:space="0" w:color="000000"/>
              <w:bottom w:val="single" w:sz="4" w:space="0" w:color="000000"/>
              <w:right w:val="single" w:sz="4" w:space="0" w:color="000000"/>
            </w:tcBorders>
          </w:tcPr>
          <w:p w14:paraId="51DE79FB" w14:textId="77777777" w:rsidR="0010369C" w:rsidRDefault="008E43AE">
            <w:pPr>
              <w:pStyle w:val="TableParagraph"/>
              <w:spacing w:line="292" w:lineRule="exact"/>
              <w:ind w:left="107"/>
              <w:rPr>
                <w:sz w:val="24"/>
              </w:rPr>
            </w:pPr>
            <w:r>
              <w:rPr>
                <w:spacing w:val="-2"/>
                <w:sz w:val="24"/>
              </w:rPr>
              <w:t>AUS‐74</w:t>
            </w:r>
          </w:p>
        </w:tc>
        <w:tc>
          <w:tcPr>
            <w:tcW w:w="86" w:type="dxa"/>
            <w:tcBorders>
              <w:top w:val="single" w:sz="4" w:space="0" w:color="000000"/>
              <w:left w:val="single" w:sz="4" w:space="0" w:color="000000"/>
            </w:tcBorders>
          </w:tcPr>
          <w:p w14:paraId="51DE79FC" w14:textId="77777777" w:rsidR="0010369C" w:rsidRDefault="0010369C">
            <w:pPr>
              <w:pStyle w:val="TableParagraph"/>
              <w:rPr>
                <w:rFonts w:ascii="Times New Roman"/>
              </w:rPr>
            </w:pPr>
          </w:p>
        </w:tc>
        <w:tc>
          <w:tcPr>
            <w:tcW w:w="4675" w:type="dxa"/>
            <w:gridSpan w:val="6"/>
            <w:tcBorders>
              <w:top w:val="single" w:sz="4" w:space="0" w:color="000000"/>
              <w:right w:val="single" w:sz="4" w:space="0" w:color="000000"/>
            </w:tcBorders>
          </w:tcPr>
          <w:p w14:paraId="51DE79FD" w14:textId="77777777" w:rsidR="0010369C" w:rsidRDefault="008E43AE">
            <w:pPr>
              <w:pStyle w:val="TableParagraph"/>
              <w:spacing w:line="289" w:lineRule="exact"/>
              <w:ind w:left="20"/>
              <w:rPr>
                <w:sz w:val="24"/>
              </w:rPr>
            </w:pPr>
            <w:r>
              <w:rPr>
                <w:sz w:val="24"/>
              </w:rPr>
              <w:t>Treasury</w:t>
            </w:r>
            <w:r>
              <w:rPr>
                <w:spacing w:val="-5"/>
                <w:sz w:val="24"/>
              </w:rPr>
              <w:t xml:space="preserve"> </w:t>
            </w:r>
            <w:r>
              <w:rPr>
                <w:sz w:val="24"/>
              </w:rPr>
              <w:t>Wines,</w:t>
            </w:r>
            <w:r>
              <w:rPr>
                <w:spacing w:val="-6"/>
                <w:sz w:val="24"/>
              </w:rPr>
              <w:t xml:space="preserve"> </w:t>
            </w:r>
            <w:r>
              <w:rPr>
                <w:sz w:val="24"/>
              </w:rPr>
              <w:t>"Sampling</w:t>
            </w:r>
            <w:r>
              <w:rPr>
                <w:spacing w:val="-5"/>
                <w:sz w:val="24"/>
              </w:rPr>
              <w:t xml:space="preserve"> </w:t>
            </w:r>
            <w:r>
              <w:rPr>
                <w:spacing w:val="-2"/>
                <w:sz w:val="24"/>
              </w:rPr>
              <w:t>Questionnaire</w:t>
            </w:r>
          </w:p>
        </w:tc>
        <w:tc>
          <w:tcPr>
            <w:tcW w:w="3114" w:type="dxa"/>
            <w:gridSpan w:val="4"/>
            <w:vMerge w:val="restart"/>
            <w:tcBorders>
              <w:top w:val="single" w:sz="4" w:space="0" w:color="000000"/>
              <w:left w:val="single" w:sz="4" w:space="0" w:color="000000"/>
              <w:bottom w:val="single" w:sz="4" w:space="0" w:color="000000"/>
              <w:right w:val="single" w:sz="4" w:space="0" w:color="000000"/>
            </w:tcBorders>
          </w:tcPr>
          <w:p w14:paraId="51DE79FE" w14:textId="77777777" w:rsidR="0010369C" w:rsidRDefault="008E43AE">
            <w:pPr>
              <w:pStyle w:val="TableParagraph"/>
              <w:ind w:left="111"/>
              <w:rPr>
                <w:sz w:val="24"/>
              </w:rPr>
            </w:pPr>
            <w:r>
              <w:rPr>
                <w:sz w:val="24"/>
              </w:rPr>
              <w:t>Treasury</w:t>
            </w:r>
            <w:r>
              <w:rPr>
                <w:spacing w:val="-14"/>
                <w:sz w:val="24"/>
              </w:rPr>
              <w:t xml:space="preserve"> </w:t>
            </w:r>
            <w:r>
              <w:rPr>
                <w:sz w:val="24"/>
              </w:rPr>
              <w:t>Wines</w:t>
            </w:r>
            <w:r>
              <w:rPr>
                <w:spacing w:val="-14"/>
                <w:sz w:val="24"/>
              </w:rPr>
              <w:t xml:space="preserve"> </w:t>
            </w:r>
            <w:r>
              <w:rPr>
                <w:sz w:val="24"/>
              </w:rPr>
              <w:t>Sampling Questionnaire Response</w:t>
            </w:r>
          </w:p>
        </w:tc>
      </w:tr>
      <w:tr w:rsidR="0010369C" w14:paraId="51DE7A06" w14:textId="77777777">
        <w:trPr>
          <w:trHeight w:val="282"/>
        </w:trPr>
        <w:tc>
          <w:tcPr>
            <w:tcW w:w="1184" w:type="dxa"/>
            <w:vMerge/>
            <w:tcBorders>
              <w:top w:val="nil"/>
              <w:left w:val="single" w:sz="4" w:space="0" w:color="000000"/>
              <w:bottom w:val="single" w:sz="4" w:space="0" w:color="000000"/>
              <w:right w:val="single" w:sz="4" w:space="0" w:color="000000"/>
            </w:tcBorders>
          </w:tcPr>
          <w:p w14:paraId="51DE7A00" w14:textId="77777777" w:rsidR="0010369C" w:rsidRDefault="0010369C">
            <w:pPr>
              <w:rPr>
                <w:sz w:val="2"/>
                <w:szCs w:val="2"/>
              </w:rPr>
            </w:pPr>
          </w:p>
        </w:tc>
        <w:tc>
          <w:tcPr>
            <w:tcW w:w="86" w:type="dxa"/>
            <w:tcBorders>
              <w:left w:val="single" w:sz="4" w:space="0" w:color="000000"/>
            </w:tcBorders>
          </w:tcPr>
          <w:p w14:paraId="51DE7A01" w14:textId="77777777" w:rsidR="0010369C" w:rsidRDefault="0010369C">
            <w:pPr>
              <w:pStyle w:val="TableParagraph"/>
              <w:rPr>
                <w:rFonts w:ascii="Times New Roman"/>
                <w:sz w:val="20"/>
              </w:rPr>
            </w:pPr>
          </w:p>
        </w:tc>
        <w:tc>
          <w:tcPr>
            <w:tcW w:w="3913" w:type="dxa"/>
            <w:gridSpan w:val="4"/>
          </w:tcPr>
          <w:p w14:paraId="51DE7A02" w14:textId="77777777" w:rsidR="0010369C" w:rsidRDefault="008E43AE">
            <w:pPr>
              <w:pStyle w:val="TableParagraph"/>
              <w:spacing w:line="263" w:lineRule="exact"/>
              <w:ind w:left="26"/>
              <w:rPr>
                <w:sz w:val="24"/>
              </w:rPr>
            </w:pPr>
            <w:r>
              <w:rPr>
                <w:sz w:val="24"/>
              </w:rPr>
              <w:t>Response",</w:t>
            </w:r>
            <w:r>
              <w:rPr>
                <w:spacing w:val="-3"/>
                <w:sz w:val="24"/>
              </w:rPr>
              <w:t xml:space="preserve"> </w:t>
            </w:r>
            <w:r>
              <w:rPr>
                <w:sz w:val="24"/>
              </w:rPr>
              <w:t>25</w:t>
            </w:r>
            <w:r>
              <w:rPr>
                <w:spacing w:val="-2"/>
                <w:sz w:val="24"/>
              </w:rPr>
              <w:t xml:space="preserve"> </w:t>
            </w:r>
            <w:r>
              <w:rPr>
                <w:sz w:val="24"/>
              </w:rPr>
              <w:t>September 2020</w:t>
            </w:r>
            <w:r>
              <w:rPr>
                <w:spacing w:val="-2"/>
                <w:sz w:val="24"/>
              </w:rPr>
              <w:t xml:space="preserve"> (public</w:t>
            </w:r>
          </w:p>
        </w:tc>
        <w:tc>
          <w:tcPr>
            <w:tcW w:w="110" w:type="dxa"/>
          </w:tcPr>
          <w:p w14:paraId="51DE7A03" w14:textId="77777777" w:rsidR="0010369C" w:rsidRDefault="0010369C">
            <w:pPr>
              <w:pStyle w:val="TableParagraph"/>
              <w:rPr>
                <w:rFonts w:ascii="Times New Roman"/>
                <w:sz w:val="20"/>
              </w:rPr>
            </w:pPr>
          </w:p>
        </w:tc>
        <w:tc>
          <w:tcPr>
            <w:tcW w:w="652" w:type="dxa"/>
            <w:tcBorders>
              <w:right w:val="single" w:sz="4" w:space="0" w:color="000000"/>
            </w:tcBorders>
          </w:tcPr>
          <w:p w14:paraId="51DE7A04" w14:textId="77777777" w:rsidR="0010369C" w:rsidRDefault="0010369C">
            <w:pPr>
              <w:pStyle w:val="TableParagraph"/>
              <w:rPr>
                <w:rFonts w:ascii="Times New Roman"/>
                <w:sz w:val="20"/>
              </w:rPr>
            </w:pPr>
          </w:p>
        </w:tc>
        <w:tc>
          <w:tcPr>
            <w:tcW w:w="3114" w:type="dxa"/>
            <w:gridSpan w:val="4"/>
            <w:vMerge/>
            <w:tcBorders>
              <w:top w:val="nil"/>
              <w:left w:val="single" w:sz="4" w:space="0" w:color="000000"/>
              <w:bottom w:val="single" w:sz="4" w:space="0" w:color="000000"/>
              <w:right w:val="single" w:sz="4" w:space="0" w:color="000000"/>
            </w:tcBorders>
          </w:tcPr>
          <w:p w14:paraId="51DE7A05" w14:textId="77777777" w:rsidR="0010369C" w:rsidRDefault="0010369C">
            <w:pPr>
              <w:rPr>
                <w:sz w:val="2"/>
                <w:szCs w:val="2"/>
              </w:rPr>
            </w:pPr>
          </w:p>
        </w:tc>
      </w:tr>
      <w:tr w:rsidR="0010369C" w14:paraId="51DE7A0E" w14:textId="77777777">
        <w:trPr>
          <w:trHeight w:val="266"/>
        </w:trPr>
        <w:tc>
          <w:tcPr>
            <w:tcW w:w="1184" w:type="dxa"/>
            <w:vMerge/>
            <w:tcBorders>
              <w:top w:val="nil"/>
              <w:left w:val="single" w:sz="4" w:space="0" w:color="000000"/>
              <w:bottom w:val="single" w:sz="4" w:space="0" w:color="000000"/>
              <w:right w:val="single" w:sz="4" w:space="0" w:color="000000"/>
            </w:tcBorders>
          </w:tcPr>
          <w:p w14:paraId="51DE7A07" w14:textId="77777777" w:rsidR="0010369C" w:rsidRDefault="0010369C">
            <w:pPr>
              <w:rPr>
                <w:sz w:val="2"/>
                <w:szCs w:val="2"/>
              </w:rPr>
            </w:pPr>
          </w:p>
        </w:tc>
        <w:tc>
          <w:tcPr>
            <w:tcW w:w="86" w:type="dxa"/>
            <w:tcBorders>
              <w:left w:val="single" w:sz="4" w:space="0" w:color="000000"/>
              <w:bottom w:val="single" w:sz="4" w:space="0" w:color="000000"/>
            </w:tcBorders>
          </w:tcPr>
          <w:p w14:paraId="51DE7A08" w14:textId="77777777" w:rsidR="0010369C" w:rsidRDefault="0010369C">
            <w:pPr>
              <w:pStyle w:val="TableParagraph"/>
              <w:rPr>
                <w:rFonts w:ascii="Times New Roman"/>
                <w:sz w:val="18"/>
              </w:rPr>
            </w:pPr>
          </w:p>
        </w:tc>
        <w:tc>
          <w:tcPr>
            <w:tcW w:w="3743" w:type="dxa"/>
            <w:gridSpan w:val="3"/>
            <w:tcBorders>
              <w:bottom w:val="single" w:sz="4" w:space="0" w:color="000000"/>
            </w:tcBorders>
          </w:tcPr>
          <w:p w14:paraId="51DE7A09" w14:textId="77777777" w:rsidR="0010369C" w:rsidRDefault="008E43AE">
            <w:pPr>
              <w:pStyle w:val="TableParagraph"/>
              <w:spacing w:line="246" w:lineRule="exact"/>
              <w:ind w:left="26"/>
              <w:rPr>
                <w:sz w:val="24"/>
              </w:rPr>
            </w:pPr>
            <w:r>
              <w:rPr>
                <w:sz w:val="24"/>
              </w:rPr>
              <w:t>version)</w:t>
            </w:r>
            <w:r>
              <w:rPr>
                <w:spacing w:val="-3"/>
                <w:sz w:val="24"/>
              </w:rPr>
              <w:t xml:space="preserve"> </w:t>
            </w:r>
            <w:r>
              <w:rPr>
                <w:sz w:val="24"/>
              </w:rPr>
              <w:t>(English</w:t>
            </w:r>
            <w:r>
              <w:rPr>
                <w:spacing w:val="-3"/>
                <w:sz w:val="24"/>
              </w:rPr>
              <w:t xml:space="preserve"> </w:t>
            </w:r>
            <w:r>
              <w:rPr>
                <w:spacing w:val="-2"/>
                <w:sz w:val="24"/>
              </w:rPr>
              <w:t>Translation)</w:t>
            </w:r>
          </w:p>
        </w:tc>
        <w:tc>
          <w:tcPr>
            <w:tcW w:w="170" w:type="dxa"/>
            <w:tcBorders>
              <w:bottom w:val="single" w:sz="4" w:space="0" w:color="000000"/>
            </w:tcBorders>
          </w:tcPr>
          <w:p w14:paraId="51DE7A0A" w14:textId="77777777" w:rsidR="0010369C" w:rsidRDefault="0010369C">
            <w:pPr>
              <w:pStyle w:val="TableParagraph"/>
              <w:rPr>
                <w:rFonts w:ascii="Times New Roman"/>
                <w:sz w:val="18"/>
              </w:rPr>
            </w:pPr>
          </w:p>
        </w:tc>
        <w:tc>
          <w:tcPr>
            <w:tcW w:w="110" w:type="dxa"/>
            <w:tcBorders>
              <w:bottom w:val="single" w:sz="4" w:space="0" w:color="000000"/>
            </w:tcBorders>
          </w:tcPr>
          <w:p w14:paraId="51DE7A0B" w14:textId="77777777" w:rsidR="0010369C" w:rsidRDefault="0010369C">
            <w:pPr>
              <w:pStyle w:val="TableParagraph"/>
              <w:rPr>
                <w:rFonts w:ascii="Times New Roman"/>
                <w:sz w:val="18"/>
              </w:rPr>
            </w:pPr>
          </w:p>
        </w:tc>
        <w:tc>
          <w:tcPr>
            <w:tcW w:w="652" w:type="dxa"/>
            <w:tcBorders>
              <w:bottom w:val="single" w:sz="4" w:space="0" w:color="000000"/>
              <w:right w:val="single" w:sz="4" w:space="0" w:color="000000"/>
            </w:tcBorders>
          </w:tcPr>
          <w:p w14:paraId="51DE7A0C" w14:textId="77777777" w:rsidR="0010369C" w:rsidRDefault="0010369C">
            <w:pPr>
              <w:pStyle w:val="TableParagraph"/>
              <w:rPr>
                <w:rFonts w:ascii="Times New Roman"/>
                <w:sz w:val="18"/>
              </w:rPr>
            </w:pPr>
          </w:p>
        </w:tc>
        <w:tc>
          <w:tcPr>
            <w:tcW w:w="3114" w:type="dxa"/>
            <w:gridSpan w:val="4"/>
            <w:vMerge/>
            <w:tcBorders>
              <w:top w:val="nil"/>
              <w:left w:val="single" w:sz="4" w:space="0" w:color="000000"/>
              <w:bottom w:val="single" w:sz="4" w:space="0" w:color="000000"/>
              <w:right w:val="single" w:sz="4" w:space="0" w:color="000000"/>
            </w:tcBorders>
          </w:tcPr>
          <w:p w14:paraId="51DE7A0D" w14:textId="77777777" w:rsidR="0010369C" w:rsidRDefault="0010369C">
            <w:pPr>
              <w:rPr>
                <w:sz w:val="2"/>
                <w:szCs w:val="2"/>
              </w:rPr>
            </w:pPr>
          </w:p>
        </w:tc>
      </w:tr>
      <w:tr w:rsidR="0010369C" w14:paraId="51DE7A15" w14:textId="77777777">
        <w:trPr>
          <w:trHeight w:val="310"/>
        </w:trPr>
        <w:tc>
          <w:tcPr>
            <w:tcW w:w="1184" w:type="dxa"/>
            <w:vMerge w:val="restart"/>
            <w:tcBorders>
              <w:top w:val="single" w:sz="4" w:space="0" w:color="000000"/>
              <w:left w:val="single" w:sz="4" w:space="0" w:color="000000"/>
              <w:bottom w:val="single" w:sz="4" w:space="0" w:color="000000"/>
              <w:right w:val="single" w:sz="4" w:space="0" w:color="000000"/>
            </w:tcBorders>
          </w:tcPr>
          <w:p w14:paraId="51DE7A0F" w14:textId="77777777" w:rsidR="0010369C" w:rsidRDefault="008E43AE">
            <w:pPr>
              <w:pStyle w:val="TableParagraph"/>
              <w:ind w:left="107"/>
              <w:rPr>
                <w:sz w:val="24"/>
              </w:rPr>
            </w:pPr>
            <w:r>
              <w:rPr>
                <w:spacing w:val="-2"/>
                <w:sz w:val="24"/>
              </w:rPr>
              <w:t>AUS‐75</w:t>
            </w:r>
          </w:p>
        </w:tc>
        <w:tc>
          <w:tcPr>
            <w:tcW w:w="86" w:type="dxa"/>
            <w:tcBorders>
              <w:top w:val="single" w:sz="4" w:space="0" w:color="000000"/>
              <w:left w:val="single" w:sz="4" w:space="0" w:color="000000"/>
            </w:tcBorders>
          </w:tcPr>
          <w:p w14:paraId="51DE7A10" w14:textId="77777777" w:rsidR="0010369C" w:rsidRDefault="0010369C">
            <w:pPr>
              <w:pStyle w:val="TableParagraph"/>
              <w:rPr>
                <w:rFonts w:ascii="Times New Roman"/>
              </w:rPr>
            </w:pPr>
          </w:p>
        </w:tc>
        <w:tc>
          <w:tcPr>
            <w:tcW w:w="3913" w:type="dxa"/>
            <w:gridSpan w:val="4"/>
            <w:tcBorders>
              <w:top w:val="single" w:sz="4" w:space="0" w:color="000000"/>
            </w:tcBorders>
          </w:tcPr>
          <w:p w14:paraId="51DE7A11" w14:textId="77777777" w:rsidR="0010369C" w:rsidRDefault="008E43AE">
            <w:pPr>
              <w:pStyle w:val="TableParagraph"/>
              <w:spacing w:line="290" w:lineRule="exact"/>
              <w:ind w:left="26" w:right="-15"/>
              <w:rPr>
                <w:sz w:val="24"/>
              </w:rPr>
            </w:pPr>
            <w:r>
              <w:rPr>
                <w:sz w:val="24"/>
              </w:rPr>
              <w:t>Casella</w:t>
            </w:r>
            <w:r>
              <w:rPr>
                <w:spacing w:val="-2"/>
                <w:sz w:val="24"/>
              </w:rPr>
              <w:t xml:space="preserve"> </w:t>
            </w:r>
            <w:r>
              <w:rPr>
                <w:sz w:val="24"/>
              </w:rPr>
              <w:t>Wines,</w:t>
            </w:r>
            <w:r>
              <w:rPr>
                <w:spacing w:val="-3"/>
                <w:sz w:val="24"/>
              </w:rPr>
              <w:t xml:space="preserve"> </w:t>
            </w:r>
            <w:r>
              <w:rPr>
                <w:sz w:val="24"/>
              </w:rPr>
              <w:t>"Sampling</w:t>
            </w:r>
            <w:r>
              <w:rPr>
                <w:spacing w:val="-2"/>
                <w:sz w:val="24"/>
              </w:rPr>
              <w:t xml:space="preserve"> Questionnaire</w:t>
            </w:r>
          </w:p>
        </w:tc>
        <w:tc>
          <w:tcPr>
            <w:tcW w:w="110" w:type="dxa"/>
            <w:tcBorders>
              <w:top w:val="single" w:sz="4" w:space="0" w:color="000000"/>
            </w:tcBorders>
          </w:tcPr>
          <w:p w14:paraId="51DE7A12" w14:textId="77777777" w:rsidR="0010369C" w:rsidRDefault="0010369C">
            <w:pPr>
              <w:pStyle w:val="TableParagraph"/>
              <w:rPr>
                <w:rFonts w:ascii="Times New Roman"/>
              </w:rPr>
            </w:pPr>
          </w:p>
        </w:tc>
        <w:tc>
          <w:tcPr>
            <w:tcW w:w="652" w:type="dxa"/>
            <w:tcBorders>
              <w:top w:val="single" w:sz="4" w:space="0" w:color="000000"/>
              <w:right w:val="single" w:sz="4" w:space="0" w:color="000000"/>
            </w:tcBorders>
          </w:tcPr>
          <w:p w14:paraId="51DE7A13" w14:textId="77777777" w:rsidR="0010369C" w:rsidRDefault="0010369C">
            <w:pPr>
              <w:pStyle w:val="TableParagraph"/>
              <w:rPr>
                <w:rFonts w:ascii="Times New Roman"/>
              </w:rPr>
            </w:pPr>
          </w:p>
        </w:tc>
        <w:tc>
          <w:tcPr>
            <w:tcW w:w="3114" w:type="dxa"/>
            <w:gridSpan w:val="4"/>
            <w:vMerge w:val="restart"/>
            <w:tcBorders>
              <w:top w:val="single" w:sz="4" w:space="0" w:color="000000"/>
              <w:left w:val="single" w:sz="4" w:space="0" w:color="000000"/>
              <w:right w:val="single" w:sz="4" w:space="0" w:color="000000"/>
            </w:tcBorders>
          </w:tcPr>
          <w:p w14:paraId="51DE7A14" w14:textId="77777777" w:rsidR="0010369C" w:rsidRDefault="008E43AE">
            <w:pPr>
              <w:pStyle w:val="TableParagraph"/>
              <w:ind w:left="111" w:right="608"/>
              <w:rPr>
                <w:sz w:val="24"/>
              </w:rPr>
            </w:pPr>
            <w:r>
              <w:rPr>
                <w:sz w:val="24"/>
              </w:rPr>
              <w:t>Casella Wines Sampling Questionnaire</w:t>
            </w:r>
            <w:r>
              <w:rPr>
                <w:spacing w:val="-14"/>
                <w:sz w:val="24"/>
              </w:rPr>
              <w:t xml:space="preserve"> </w:t>
            </w:r>
            <w:r>
              <w:rPr>
                <w:sz w:val="24"/>
              </w:rPr>
              <w:t>Response</w:t>
            </w:r>
          </w:p>
        </w:tc>
      </w:tr>
      <w:tr w:rsidR="0010369C" w14:paraId="51DE7A1C" w14:textId="77777777">
        <w:trPr>
          <w:trHeight w:val="282"/>
        </w:trPr>
        <w:tc>
          <w:tcPr>
            <w:tcW w:w="1184" w:type="dxa"/>
            <w:vMerge/>
            <w:tcBorders>
              <w:top w:val="nil"/>
              <w:left w:val="single" w:sz="4" w:space="0" w:color="000000"/>
              <w:bottom w:val="single" w:sz="4" w:space="0" w:color="000000"/>
              <w:right w:val="single" w:sz="4" w:space="0" w:color="000000"/>
            </w:tcBorders>
          </w:tcPr>
          <w:p w14:paraId="51DE7A16" w14:textId="77777777" w:rsidR="0010369C" w:rsidRDefault="0010369C">
            <w:pPr>
              <w:rPr>
                <w:sz w:val="2"/>
                <w:szCs w:val="2"/>
              </w:rPr>
            </w:pPr>
          </w:p>
        </w:tc>
        <w:tc>
          <w:tcPr>
            <w:tcW w:w="86" w:type="dxa"/>
            <w:tcBorders>
              <w:left w:val="single" w:sz="4" w:space="0" w:color="000000"/>
            </w:tcBorders>
          </w:tcPr>
          <w:p w14:paraId="51DE7A17" w14:textId="77777777" w:rsidR="0010369C" w:rsidRDefault="0010369C">
            <w:pPr>
              <w:pStyle w:val="TableParagraph"/>
              <w:rPr>
                <w:rFonts w:ascii="Times New Roman"/>
                <w:sz w:val="20"/>
              </w:rPr>
            </w:pPr>
          </w:p>
        </w:tc>
        <w:tc>
          <w:tcPr>
            <w:tcW w:w="3913" w:type="dxa"/>
            <w:gridSpan w:val="4"/>
          </w:tcPr>
          <w:p w14:paraId="51DE7A18" w14:textId="77777777" w:rsidR="0010369C" w:rsidRDefault="008E43AE">
            <w:pPr>
              <w:pStyle w:val="TableParagraph"/>
              <w:spacing w:line="263" w:lineRule="exact"/>
              <w:ind w:left="26"/>
              <w:rPr>
                <w:sz w:val="24"/>
              </w:rPr>
            </w:pPr>
            <w:r>
              <w:rPr>
                <w:sz w:val="24"/>
              </w:rPr>
              <w:t>Response",</w:t>
            </w:r>
            <w:r>
              <w:rPr>
                <w:spacing w:val="-3"/>
                <w:sz w:val="24"/>
              </w:rPr>
              <w:t xml:space="preserve"> </w:t>
            </w:r>
            <w:r>
              <w:rPr>
                <w:sz w:val="24"/>
              </w:rPr>
              <w:t>25</w:t>
            </w:r>
            <w:r>
              <w:rPr>
                <w:spacing w:val="-2"/>
                <w:sz w:val="24"/>
              </w:rPr>
              <w:t xml:space="preserve"> </w:t>
            </w:r>
            <w:r>
              <w:rPr>
                <w:sz w:val="24"/>
              </w:rPr>
              <w:t>September 2020</w:t>
            </w:r>
            <w:r>
              <w:rPr>
                <w:spacing w:val="-2"/>
                <w:sz w:val="24"/>
              </w:rPr>
              <w:t xml:space="preserve"> (public</w:t>
            </w:r>
          </w:p>
        </w:tc>
        <w:tc>
          <w:tcPr>
            <w:tcW w:w="110" w:type="dxa"/>
          </w:tcPr>
          <w:p w14:paraId="51DE7A19" w14:textId="77777777" w:rsidR="0010369C" w:rsidRDefault="0010369C">
            <w:pPr>
              <w:pStyle w:val="TableParagraph"/>
              <w:rPr>
                <w:rFonts w:ascii="Times New Roman"/>
                <w:sz w:val="20"/>
              </w:rPr>
            </w:pPr>
          </w:p>
        </w:tc>
        <w:tc>
          <w:tcPr>
            <w:tcW w:w="652" w:type="dxa"/>
            <w:tcBorders>
              <w:right w:val="single" w:sz="4" w:space="0" w:color="000000"/>
            </w:tcBorders>
          </w:tcPr>
          <w:p w14:paraId="51DE7A1A" w14:textId="77777777" w:rsidR="0010369C" w:rsidRDefault="0010369C">
            <w:pPr>
              <w:pStyle w:val="TableParagraph"/>
              <w:rPr>
                <w:rFonts w:ascii="Times New Roman"/>
                <w:sz w:val="20"/>
              </w:rPr>
            </w:pPr>
          </w:p>
        </w:tc>
        <w:tc>
          <w:tcPr>
            <w:tcW w:w="3114" w:type="dxa"/>
            <w:gridSpan w:val="4"/>
            <w:vMerge/>
            <w:tcBorders>
              <w:top w:val="nil"/>
              <w:left w:val="single" w:sz="4" w:space="0" w:color="000000"/>
              <w:right w:val="single" w:sz="4" w:space="0" w:color="000000"/>
            </w:tcBorders>
          </w:tcPr>
          <w:p w14:paraId="51DE7A1B" w14:textId="77777777" w:rsidR="0010369C" w:rsidRDefault="0010369C">
            <w:pPr>
              <w:rPr>
                <w:sz w:val="2"/>
                <w:szCs w:val="2"/>
              </w:rPr>
            </w:pPr>
          </w:p>
        </w:tc>
      </w:tr>
      <w:tr w:rsidR="0010369C" w14:paraId="51DE7A24" w14:textId="77777777">
        <w:trPr>
          <w:trHeight w:val="266"/>
        </w:trPr>
        <w:tc>
          <w:tcPr>
            <w:tcW w:w="1184" w:type="dxa"/>
            <w:vMerge/>
            <w:tcBorders>
              <w:top w:val="nil"/>
              <w:left w:val="single" w:sz="4" w:space="0" w:color="000000"/>
              <w:bottom w:val="single" w:sz="4" w:space="0" w:color="000000"/>
              <w:right w:val="single" w:sz="4" w:space="0" w:color="000000"/>
            </w:tcBorders>
          </w:tcPr>
          <w:p w14:paraId="51DE7A1D" w14:textId="77777777" w:rsidR="0010369C" w:rsidRDefault="0010369C">
            <w:pPr>
              <w:rPr>
                <w:sz w:val="2"/>
                <w:szCs w:val="2"/>
              </w:rPr>
            </w:pPr>
          </w:p>
        </w:tc>
        <w:tc>
          <w:tcPr>
            <w:tcW w:w="86" w:type="dxa"/>
            <w:tcBorders>
              <w:left w:val="single" w:sz="4" w:space="0" w:color="000000"/>
              <w:bottom w:val="single" w:sz="4" w:space="0" w:color="000000"/>
            </w:tcBorders>
          </w:tcPr>
          <w:p w14:paraId="51DE7A1E" w14:textId="77777777" w:rsidR="0010369C" w:rsidRDefault="0010369C">
            <w:pPr>
              <w:pStyle w:val="TableParagraph"/>
              <w:rPr>
                <w:rFonts w:ascii="Times New Roman"/>
                <w:sz w:val="18"/>
              </w:rPr>
            </w:pPr>
          </w:p>
        </w:tc>
        <w:tc>
          <w:tcPr>
            <w:tcW w:w="3743" w:type="dxa"/>
            <w:gridSpan w:val="3"/>
          </w:tcPr>
          <w:p w14:paraId="51DE7A1F" w14:textId="77777777" w:rsidR="0010369C" w:rsidRDefault="008E43AE">
            <w:pPr>
              <w:pStyle w:val="TableParagraph"/>
              <w:spacing w:line="246" w:lineRule="exact"/>
              <w:ind w:left="26"/>
              <w:rPr>
                <w:sz w:val="24"/>
              </w:rPr>
            </w:pPr>
            <w:r>
              <w:rPr>
                <w:sz w:val="24"/>
              </w:rPr>
              <w:t>version)</w:t>
            </w:r>
            <w:r>
              <w:rPr>
                <w:spacing w:val="-3"/>
                <w:sz w:val="24"/>
              </w:rPr>
              <w:t xml:space="preserve"> </w:t>
            </w:r>
            <w:r>
              <w:rPr>
                <w:sz w:val="24"/>
              </w:rPr>
              <w:t>(English</w:t>
            </w:r>
            <w:r>
              <w:rPr>
                <w:spacing w:val="-3"/>
                <w:sz w:val="24"/>
              </w:rPr>
              <w:t xml:space="preserve"> </w:t>
            </w:r>
            <w:r>
              <w:rPr>
                <w:spacing w:val="-2"/>
                <w:sz w:val="24"/>
              </w:rPr>
              <w:t>Translation)</w:t>
            </w:r>
          </w:p>
        </w:tc>
        <w:tc>
          <w:tcPr>
            <w:tcW w:w="170" w:type="dxa"/>
          </w:tcPr>
          <w:p w14:paraId="51DE7A20" w14:textId="77777777" w:rsidR="0010369C" w:rsidRDefault="0010369C">
            <w:pPr>
              <w:pStyle w:val="TableParagraph"/>
              <w:rPr>
                <w:rFonts w:ascii="Times New Roman"/>
                <w:sz w:val="18"/>
              </w:rPr>
            </w:pPr>
          </w:p>
        </w:tc>
        <w:tc>
          <w:tcPr>
            <w:tcW w:w="110" w:type="dxa"/>
          </w:tcPr>
          <w:p w14:paraId="51DE7A21" w14:textId="77777777" w:rsidR="0010369C" w:rsidRDefault="0010369C">
            <w:pPr>
              <w:pStyle w:val="TableParagraph"/>
              <w:rPr>
                <w:rFonts w:ascii="Times New Roman"/>
                <w:sz w:val="18"/>
              </w:rPr>
            </w:pPr>
          </w:p>
        </w:tc>
        <w:tc>
          <w:tcPr>
            <w:tcW w:w="652" w:type="dxa"/>
            <w:tcBorders>
              <w:bottom w:val="single" w:sz="4" w:space="0" w:color="000000"/>
              <w:right w:val="single" w:sz="4" w:space="0" w:color="000000"/>
            </w:tcBorders>
          </w:tcPr>
          <w:p w14:paraId="51DE7A22" w14:textId="77777777" w:rsidR="0010369C" w:rsidRDefault="0010369C">
            <w:pPr>
              <w:pStyle w:val="TableParagraph"/>
              <w:rPr>
                <w:rFonts w:ascii="Times New Roman"/>
                <w:sz w:val="18"/>
              </w:rPr>
            </w:pPr>
          </w:p>
        </w:tc>
        <w:tc>
          <w:tcPr>
            <w:tcW w:w="3114" w:type="dxa"/>
            <w:gridSpan w:val="4"/>
            <w:vMerge/>
            <w:tcBorders>
              <w:top w:val="nil"/>
              <w:left w:val="single" w:sz="4" w:space="0" w:color="000000"/>
              <w:right w:val="single" w:sz="4" w:space="0" w:color="000000"/>
            </w:tcBorders>
          </w:tcPr>
          <w:p w14:paraId="51DE7A23" w14:textId="77777777" w:rsidR="0010369C" w:rsidRDefault="0010369C">
            <w:pPr>
              <w:rPr>
                <w:sz w:val="2"/>
                <w:szCs w:val="2"/>
              </w:rPr>
            </w:pPr>
          </w:p>
        </w:tc>
      </w:tr>
      <w:tr w:rsidR="0010369C" w14:paraId="51DE7A2C" w14:textId="77777777">
        <w:trPr>
          <w:trHeight w:val="310"/>
        </w:trPr>
        <w:tc>
          <w:tcPr>
            <w:tcW w:w="1184" w:type="dxa"/>
            <w:tcBorders>
              <w:top w:val="single" w:sz="4" w:space="0" w:color="000000"/>
              <w:left w:val="single" w:sz="4" w:space="0" w:color="000000"/>
              <w:right w:val="single" w:sz="4" w:space="0" w:color="000000"/>
            </w:tcBorders>
          </w:tcPr>
          <w:p w14:paraId="51DE7A25" w14:textId="77777777" w:rsidR="0010369C" w:rsidRDefault="008E43AE">
            <w:pPr>
              <w:pStyle w:val="TableParagraph"/>
              <w:spacing w:line="290" w:lineRule="exact"/>
              <w:ind w:left="107"/>
              <w:rPr>
                <w:sz w:val="24"/>
              </w:rPr>
            </w:pPr>
            <w:r>
              <w:rPr>
                <w:spacing w:val="-2"/>
                <w:sz w:val="24"/>
              </w:rPr>
              <w:t>AUS‐76</w:t>
            </w:r>
          </w:p>
        </w:tc>
        <w:tc>
          <w:tcPr>
            <w:tcW w:w="86" w:type="dxa"/>
            <w:vMerge w:val="restart"/>
            <w:shd w:val="clear" w:color="auto" w:fill="000000"/>
          </w:tcPr>
          <w:p w14:paraId="51DE7A26" w14:textId="77777777" w:rsidR="0010369C" w:rsidRDefault="0010369C">
            <w:pPr>
              <w:pStyle w:val="TableParagraph"/>
              <w:rPr>
                <w:rFonts w:ascii="Times New Roman"/>
              </w:rPr>
            </w:pPr>
          </w:p>
        </w:tc>
        <w:tc>
          <w:tcPr>
            <w:tcW w:w="4023" w:type="dxa"/>
            <w:gridSpan w:val="5"/>
            <w:vMerge w:val="restart"/>
            <w:shd w:val="clear" w:color="auto" w:fill="000000"/>
          </w:tcPr>
          <w:p w14:paraId="51DE7A27" w14:textId="77777777" w:rsidR="0010369C" w:rsidRDefault="0010369C">
            <w:pPr>
              <w:pStyle w:val="TableParagraph"/>
              <w:rPr>
                <w:rFonts w:ascii="Times New Roman"/>
              </w:rPr>
            </w:pPr>
          </w:p>
        </w:tc>
        <w:tc>
          <w:tcPr>
            <w:tcW w:w="652" w:type="dxa"/>
            <w:vMerge w:val="restart"/>
            <w:tcBorders>
              <w:top w:val="single" w:sz="4" w:space="0" w:color="000000"/>
              <w:right w:val="single" w:sz="4" w:space="0" w:color="000000"/>
            </w:tcBorders>
          </w:tcPr>
          <w:p w14:paraId="51DE7A28" w14:textId="77777777" w:rsidR="0010369C" w:rsidRDefault="0010369C">
            <w:pPr>
              <w:pStyle w:val="TableParagraph"/>
              <w:rPr>
                <w:rFonts w:ascii="Times New Roman"/>
              </w:rPr>
            </w:pPr>
          </w:p>
        </w:tc>
        <w:tc>
          <w:tcPr>
            <w:tcW w:w="101" w:type="dxa"/>
            <w:vMerge w:val="restart"/>
            <w:shd w:val="clear" w:color="auto" w:fill="000000"/>
          </w:tcPr>
          <w:p w14:paraId="51DE7A29" w14:textId="77777777" w:rsidR="0010369C" w:rsidRDefault="0010369C">
            <w:pPr>
              <w:pStyle w:val="TableParagraph"/>
              <w:rPr>
                <w:rFonts w:ascii="Times New Roman"/>
              </w:rPr>
            </w:pPr>
          </w:p>
        </w:tc>
        <w:tc>
          <w:tcPr>
            <w:tcW w:w="2372" w:type="dxa"/>
            <w:gridSpan w:val="2"/>
            <w:vMerge w:val="restart"/>
            <w:shd w:val="clear" w:color="auto" w:fill="000000"/>
          </w:tcPr>
          <w:p w14:paraId="51DE7A2A" w14:textId="77777777" w:rsidR="0010369C" w:rsidRDefault="0010369C">
            <w:pPr>
              <w:pStyle w:val="TableParagraph"/>
              <w:rPr>
                <w:rFonts w:ascii="Times New Roman"/>
              </w:rPr>
            </w:pPr>
          </w:p>
        </w:tc>
        <w:tc>
          <w:tcPr>
            <w:tcW w:w="641" w:type="dxa"/>
            <w:vMerge w:val="restart"/>
            <w:tcBorders>
              <w:top w:val="single" w:sz="4" w:space="0" w:color="000000"/>
              <w:bottom w:val="single" w:sz="4" w:space="0" w:color="000000"/>
              <w:right w:val="single" w:sz="4" w:space="0" w:color="000000"/>
            </w:tcBorders>
          </w:tcPr>
          <w:p w14:paraId="51DE7A2B" w14:textId="77777777" w:rsidR="0010369C" w:rsidRDefault="0010369C">
            <w:pPr>
              <w:pStyle w:val="TableParagraph"/>
              <w:rPr>
                <w:rFonts w:ascii="Times New Roman"/>
              </w:rPr>
            </w:pPr>
          </w:p>
        </w:tc>
      </w:tr>
      <w:tr w:rsidR="0010369C" w14:paraId="51DE7A34" w14:textId="77777777">
        <w:trPr>
          <w:trHeight w:val="291"/>
        </w:trPr>
        <w:tc>
          <w:tcPr>
            <w:tcW w:w="1184" w:type="dxa"/>
            <w:tcBorders>
              <w:left w:val="single" w:sz="4" w:space="0" w:color="000000"/>
              <w:right w:val="single" w:sz="4" w:space="0" w:color="000000"/>
            </w:tcBorders>
          </w:tcPr>
          <w:p w14:paraId="51DE7A2D" w14:textId="77777777" w:rsidR="0010369C" w:rsidRDefault="008E43AE">
            <w:pPr>
              <w:pStyle w:val="TableParagraph"/>
              <w:spacing w:line="266" w:lineRule="exact"/>
              <w:ind w:left="107"/>
              <w:rPr>
                <w:sz w:val="24"/>
              </w:rPr>
            </w:pPr>
            <w:r>
              <w:rPr>
                <w:spacing w:val="-2"/>
                <w:sz w:val="24"/>
              </w:rPr>
              <w:t>(BCI)</w:t>
            </w:r>
          </w:p>
        </w:tc>
        <w:tc>
          <w:tcPr>
            <w:tcW w:w="86" w:type="dxa"/>
            <w:vMerge/>
            <w:tcBorders>
              <w:top w:val="nil"/>
            </w:tcBorders>
            <w:shd w:val="clear" w:color="auto" w:fill="000000"/>
          </w:tcPr>
          <w:p w14:paraId="51DE7A2E" w14:textId="77777777" w:rsidR="0010369C" w:rsidRDefault="0010369C">
            <w:pPr>
              <w:rPr>
                <w:sz w:val="2"/>
                <w:szCs w:val="2"/>
              </w:rPr>
            </w:pPr>
          </w:p>
        </w:tc>
        <w:tc>
          <w:tcPr>
            <w:tcW w:w="4023" w:type="dxa"/>
            <w:gridSpan w:val="5"/>
            <w:vMerge/>
            <w:tcBorders>
              <w:top w:val="nil"/>
            </w:tcBorders>
            <w:shd w:val="clear" w:color="auto" w:fill="000000"/>
          </w:tcPr>
          <w:p w14:paraId="51DE7A2F" w14:textId="77777777" w:rsidR="0010369C" w:rsidRDefault="0010369C">
            <w:pPr>
              <w:rPr>
                <w:sz w:val="2"/>
                <w:szCs w:val="2"/>
              </w:rPr>
            </w:pPr>
          </w:p>
        </w:tc>
        <w:tc>
          <w:tcPr>
            <w:tcW w:w="652" w:type="dxa"/>
            <w:vMerge/>
            <w:tcBorders>
              <w:top w:val="nil"/>
              <w:right w:val="single" w:sz="4" w:space="0" w:color="000000"/>
            </w:tcBorders>
          </w:tcPr>
          <w:p w14:paraId="51DE7A30" w14:textId="77777777" w:rsidR="0010369C" w:rsidRDefault="0010369C">
            <w:pPr>
              <w:rPr>
                <w:sz w:val="2"/>
                <w:szCs w:val="2"/>
              </w:rPr>
            </w:pPr>
          </w:p>
        </w:tc>
        <w:tc>
          <w:tcPr>
            <w:tcW w:w="101" w:type="dxa"/>
            <w:vMerge/>
            <w:tcBorders>
              <w:top w:val="nil"/>
            </w:tcBorders>
            <w:shd w:val="clear" w:color="auto" w:fill="000000"/>
          </w:tcPr>
          <w:p w14:paraId="51DE7A31" w14:textId="77777777" w:rsidR="0010369C" w:rsidRDefault="0010369C">
            <w:pPr>
              <w:rPr>
                <w:sz w:val="2"/>
                <w:szCs w:val="2"/>
              </w:rPr>
            </w:pPr>
          </w:p>
        </w:tc>
        <w:tc>
          <w:tcPr>
            <w:tcW w:w="2372" w:type="dxa"/>
            <w:gridSpan w:val="2"/>
            <w:vMerge/>
            <w:tcBorders>
              <w:top w:val="nil"/>
            </w:tcBorders>
            <w:shd w:val="clear" w:color="auto" w:fill="000000"/>
          </w:tcPr>
          <w:p w14:paraId="51DE7A32" w14:textId="77777777" w:rsidR="0010369C" w:rsidRDefault="0010369C">
            <w:pPr>
              <w:rPr>
                <w:sz w:val="2"/>
                <w:szCs w:val="2"/>
              </w:rPr>
            </w:pPr>
          </w:p>
        </w:tc>
        <w:tc>
          <w:tcPr>
            <w:tcW w:w="641" w:type="dxa"/>
            <w:vMerge/>
            <w:tcBorders>
              <w:top w:val="nil"/>
              <w:bottom w:val="single" w:sz="4" w:space="0" w:color="000000"/>
              <w:right w:val="single" w:sz="4" w:space="0" w:color="000000"/>
            </w:tcBorders>
          </w:tcPr>
          <w:p w14:paraId="51DE7A33" w14:textId="77777777" w:rsidR="0010369C" w:rsidRDefault="0010369C">
            <w:pPr>
              <w:rPr>
                <w:sz w:val="2"/>
                <w:szCs w:val="2"/>
              </w:rPr>
            </w:pPr>
          </w:p>
        </w:tc>
      </w:tr>
      <w:tr w:rsidR="0010369C" w14:paraId="51DE7A3C" w14:textId="77777777">
        <w:trPr>
          <w:trHeight w:val="282"/>
        </w:trPr>
        <w:tc>
          <w:tcPr>
            <w:tcW w:w="1184" w:type="dxa"/>
            <w:tcBorders>
              <w:left w:val="single" w:sz="4" w:space="0" w:color="000000"/>
              <w:right w:val="single" w:sz="4" w:space="0" w:color="000000"/>
            </w:tcBorders>
          </w:tcPr>
          <w:p w14:paraId="51DE7A35" w14:textId="77777777" w:rsidR="0010369C" w:rsidRDefault="0010369C">
            <w:pPr>
              <w:pStyle w:val="TableParagraph"/>
              <w:rPr>
                <w:rFonts w:ascii="Times New Roman"/>
                <w:sz w:val="20"/>
              </w:rPr>
            </w:pPr>
          </w:p>
        </w:tc>
        <w:tc>
          <w:tcPr>
            <w:tcW w:w="86" w:type="dxa"/>
            <w:vMerge/>
            <w:tcBorders>
              <w:top w:val="nil"/>
            </w:tcBorders>
            <w:shd w:val="clear" w:color="auto" w:fill="000000"/>
          </w:tcPr>
          <w:p w14:paraId="51DE7A36" w14:textId="77777777" w:rsidR="0010369C" w:rsidRDefault="0010369C">
            <w:pPr>
              <w:rPr>
                <w:sz w:val="2"/>
                <w:szCs w:val="2"/>
              </w:rPr>
            </w:pPr>
          </w:p>
        </w:tc>
        <w:tc>
          <w:tcPr>
            <w:tcW w:w="1330" w:type="dxa"/>
            <w:shd w:val="clear" w:color="auto" w:fill="000000"/>
          </w:tcPr>
          <w:p w14:paraId="51DE7A37" w14:textId="77777777" w:rsidR="0010369C" w:rsidRDefault="0010369C">
            <w:pPr>
              <w:pStyle w:val="TableParagraph"/>
              <w:rPr>
                <w:rFonts w:ascii="Times New Roman"/>
                <w:sz w:val="20"/>
              </w:rPr>
            </w:pPr>
          </w:p>
        </w:tc>
        <w:tc>
          <w:tcPr>
            <w:tcW w:w="3345" w:type="dxa"/>
            <w:gridSpan w:val="5"/>
            <w:tcBorders>
              <w:right w:val="single" w:sz="4" w:space="0" w:color="000000"/>
            </w:tcBorders>
          </w:tcPr>
          <w:p w14:paraId="51DE7A38" w14:textId="77777777" w:rsidR="0010369C" w:rsidRDefault="0010369C">
            <w:pPr>
              <w:pStyle w:val="TableParagraph"/>
              <w:rPr>
                <w:rFonts w:ascii="Times New Roman"/>
                <w:sz w:val="20"/>
              </w:rPr>
            </w:pPr>
          </w:p>
        </w:tc>
        <w:tc>
          <w:tcPr>
            <w:tcW w:w="101" w:type="dxa"/>
            <w:vMerge/>
            <w:tcBorders>
              <w:top w:val="nil"/>
            </w:tcBorders>
            <w:shd w:val="clear" w:color="auto" w:fill="000000"/>
          </w:tcPr>
          <w:p w14:paraId="51DE7A39" w14:textId="77777777" w:rsidR="0010369C" w:rsidRDefault="0010369C">
            <w:pPr>
              <w:rPr>
                <w:sz w:val="2"/>
                <w:szCs w:val="2"/>
              </w:rPr>
            </w:pPr>
          </w:p>
        </w:tc>
        <w:tc>
          <w:tcPr>
            <w:tcW w:w="2372" w:type="dxa"/>
            <w:gridSpan w:val="2"/>
            <w:vMerge/>
            <w:tcBorders>
              <w:top w:val="nil"/>
            </w:tcBorders>
            <w:shd w:val="clear" w:color="auto" w:fill="000000"/>
          </w:tcPr>
          <w:p w14:paraId="51DE7A3A" w14:textId="77777777" w:rsidR="0010369C" w:rsidRDefault="0010369C">
            <w:pPr>
              <w:rPr>
                <w:sz w:val="2"/>
                <w:szCs w:val="2"/>
              </w:rPr>
            </w:pPr>
          </w:p>
        </w:tc>
        <w:tc>
          <w:tcPr>
            <w:tcW w:w="641" w:type="dxa"/>
            <w:vMerge/>
            <w:tcBorders>
              <w:top w:val="nil"/>
              <w:bottom w:val="single" w:sz="4" w:space="0" w:color="000000"/>
              <w:right w:val="single" w:sz="4" w:space="0" w:color="000000"/>
            </w:tcBorders>
          </w:tcPr>
          <w:p w14:paraId="51DE7A3B" w14:textId="77777777" w:rsidR="0010369C" w:rsidRDefault="0010369C">
            <w:pPr>
              <w:rPr>
                <w:sz w:val="2"/>
                <w:szCs w:val="2"/>
              </w:rPr>
            </w:pPr>
          </w:p>
        </w:tc>
      </w:tr>
      <w:tr w:rsidR="0010369C" w14:paraId="51DE7A42" w14:textId="77777777">
        <w:trPr>
          <w:trHeight w:val="257"/>
        </w:trPr>
        <w:tc>
          <w:tcPr>
            <w:tcW w:w="1184" w:type="dxa"/>
            <w:tcBorders>
              <w:left w:val="single" w:sz="4" w:space="0" w:color="000000"/>
              <w:bottom w:val="single" w:sz="4" w:space="0" w:color="000000"/>
              <w:right w:val="single" w:sz="4" w:space="0" w:color="000000"/>
            </w:tcBorders>
          </w:tcPr>
          <w:p w14:paraId="51DE7A3D" w14:textId="77777777" w:rsidR="0010369C" w:rsidRDefault="0010369C">
            <w:pPr>
              <w:pStyle w:val="TableParagraph"/>
              <w:rPr>
                <w:rFonts w:ascii="Times New Roman"/>
                <w:sz w:val="18"/>
              </w:rPr>
            </w:pPr>
          </w:p>
        </w:tc>
        <w:tc>
          <w:tcPr>
            <w:tcW w:w="4761" w:type="dxa"/>
            <w:gridSpan w:val="7"/>
            <w:tcBorders>
              <w:left w:val="single" w:sz="4" w:space="0" w:color="000000"/>
              <w:bottom w:val="single" w:sz="4" w:space="0" w:color="000000"/>
              <w:right w:val="single" w:sz="4" w:space="0" w:color="000000"/>
            </w:tcBorders>
          </w:tcPr>
          <w:p w14:paraId="51DE7A3E" w14:textId="77777777" w:rsidR="0010369C" w:rsidRDefault="0010369C">
            <w:pPr>
              <w:pStyle w:val="TableParagraph"/>
              <w:rPr>
                <w:rFonts w:ascii="Times New Roman"/>
                <w:sz w:val="18"/>
              </w:rPr>
            </w:pPr>
          </w:p>
        </w:tc>
        <w:tc>
          <w:tcPr>
            <w:tcW w:w="101" w:type="dxa"/>
            <w:vMerge/>
            <w:tcBorders>
              <w:top w:val="nil"/>
            </w:tcBorders>
            <w:shd w:val="clear" w:color="auto" w:fill="000000"/>
          </w:tcPr>
          <w:p w14:paraId="51DE7A3F" w14:textId="77777777" w:rsidR="0010369C" w:rsidRDefault="0010369C">
            <w:pPr>
              <w:rPr>
                <w:sz w:val="2"/>
                <w:szCs w:val="2"/>
              </w:rPr>
            </w:pPr>
          </w:p>
        </w:tc>
        <w:tc>
          <w:tcPr>
            <w:tcW w:w="2372" w:type="dxa"/>
            <w:gridSpan w:val="2"/>
            <w:vMerge/>
            <w:tcBorders>
              <w:top w:val="nil"/>
            </w:tcBorders>
            <w:shd w:val="clear" w:color="auto" w:fill="000000"/>
          </w:tcPr>
          <w:p w14:paraId="51DE7A40" w14:textId="77777777" w:rsidR="0010369C" w:rsidRDefault="0010369C">
            <w:pPr>
              <w:rPr>
                <w:sz w:val="2"/>
                <w:szCs w:val="2"/>
              </w:rPr>
            </w:pPr>
          </w:p>
        </w:tc>
        <w:tc>
          <w:tcPr>
            <w:tcW w:w="641" w:type="dxa"/>
            <w:vMerge/>
            <w:tcBorders>
              <w:top w:val="nil"/>
              <w:bottom w:val="single" w:sz="4" w:space="0" w:color="000000"/>
              <w:right w:val="single" w:sz="4" w:space="0" w:color="000000"/>
            </w:tcBorders>
          </w:tcPr>
          <w:p w14:paraId="51DE7A41" w14:textId="77777777" w:rsidR="0010369C" w:rsidRDefault="0010369C">
            <w:pPr>
              <w:rPr>
                <w:sz w:val="2"/>
                <w:szCs w:val="2"/>
              </w:rPr>
            </w:pPr>
          </w:p>
        </w:tc>
      </w:tr>
      <w:tr w:rsidR="0010369C" w14:paraId="51DE7A48" w14:textId="77777777">
        <w:trPr>
          <w:trHeight w:val="309"/>
        </w:trPr>
        <w:tc>
          <w:tcPr>
            <w:tcW w:w="1184" w:type="dxa"/>
            <w:vMerge w:val="restart"/>
            <w:tcBorders>
              <w:top w:val="single" w:sz="4" w:space="0" w:color="000000"/>
              <w:left w:val="single" w:sz="4" w:space="0" w:color="000000"/>
              <w:bottom w:val="single" w:sz="4" w:space="0" w:color="000000"/>
              <w:right w:val="single" w:sz="4" w:space="0" w:color="000000"/>
            </w:tcBorders>
          </w:tcPr>
          <w:p w14:paraId="51DE7A43" w14:textId="77777777" w:rsidR="0010369C" w:rsidRDefault="008E43AE">
            <w:pPr>
              <w:pStyle w:val="TableParagraph"/>
              <w:spacing w:line="292" w:lineRule="exact"/>
              <w:ind w:left="107"/>
              <w:rPr>
                <w:sz w:val="24"/>
              </w:rPr>
            </w:pPr>
            <w:r>
              <w:rPr>
                <w:spacing w:val="-2"/>
                <w:sz w:val="24"/>
              </w:rPr>
              <w:t>AUS‐77</w:t>
            </w:r>
          </w:p>
        </w:tc>
        <w:tc>
          <w:tcPr>
            <w:tcW w:w="86" w:type="dxa"/>
            <w:tcBorders>
              <w:top w:val="single" w:sz="4" w:space="0" w:color="000000"/>
              <w:left w:val="single" w:sz="4" w:space="0" w:color="000000"/>
            </w:tcBorders>
          </w:tcPr>
          <w:p w14:paraId="51DE7A44" w14:textId="77777777" w:rsidR="0010369C" w:rsidRDefault="0010369C">
            <w:pPr>
              <w:pStyle w:val="TableParagraph"/>
              <w:rPr>
                <w:rFonts w:ascii="Times New Roman"/>
              </w:rPr>
            </w:pPr>
          </w:p>
        </w:tc>
        <w:tc>
          <w:tcPr>
            <w:tcW w:w="4675" w:type="dxa"/>
            <w:gridSpan w:val="6"/>
            <w:tcBorders>
              <w:top w:val="single" w:sz="4" w:space="0" w:color="000000"/>
              <w:right w:val="single" w:sz="4" w:space="0" w:color="000000"/>
            </w:tcBorders>
          </w:tcPr>
          <w:p w14:paraId="51DE7A45" w14:textId="77777777" w:rsidR="0010369C" w:rsidRDefault="008E43AE">
            <w:pPr>
              <w:pStyle w:val="TableParagraph"/>
              <w:spacing w:line="290" w:lineRule="exact"/>
              <w:ind w:left="21"/>
              <w:rPr>
                <w:sz w:val="24"/>
              </w:rPr>
            </w:pPr>
            <w:r>
              <w:rPr>
                <w:sz w:val="24"/>
              </w:rPr>
              <w:t>Reserve</w:t>
            </w:r>
            <w:r>
              <w:rPr>
                <w:spacing w:val="-2"/>
                <w:sz w:val="24"/>
              </w:rPr>
              <w:t xml:space="preserve"> </w:t>
            </w:r>
            <w:r>
              <w:rPr>
                <w:sz w:val="24"/>
              </w:rPr>
              <w:t>Bank</w:t>
            </w:r>
            <w:r>
              <w:rPr>
                <w:spacing w:val="-3"/>
                <w:sz w:val="24"/>
              </w:rPr>
              <w:t xml:space="preserve"> </w:t>
            </w:r>
            <w:r>
              <w:rPr>
                <w:sz w:val="24"/>
              </w:rPr>
              <w:t>of</w:t>
            </w:r>
            <w:r>
              <w:rPr>
                <w:spacing w:val="-3"/>
                <w:sz w:val="24"/>
              </w:rPr>
              <w:t xml:space="preserve"> </w:t>
            </w:r>
            <w:r>
              <w:rPr>
                <w:sz w:val="24"/>
              </w:rPr>
              <w:t>Australia,</w:t>
            </w:r>
            <w:r>
              <w:rPr>
                <w:spacing w:val="-3"/>
                <w:sz w:val="24"/>
              </w:rPr>
              <w:t xml:space="preserve"> </w:t>
            </w:r>
            <w:r>
              <w:rPr>
                <w:sz w:val="24"/>
              </w:rPr>
              <w:t>"2019</w:t>
            </w:r>
            <w:r>
              <w:rPr>
                <w:spacing w:val="-2"/>
                <w:sz w:val="24"/>
              </w:rPr>
              <w:t xml:space="preserve"> Average</w:t>
            </w:r>
          </w:p>
        </w:tc>
        <w:tc>
          <w:tcPr>
            <w:tcW w:w="3114" w:type="dxa"/>
            <w:gridSpan w:val="4"/>
            <w:vMerge w:val="restart"/>
            <w:tcBorders>
              <w:left w:val="single" w:sz="4" w:space="0" w:color="000000"/>
              <w:bottom w:val="single" w:sz="4" w:space="0" w:color="000000"/>
              <w:right w:val="single" w:sz="4" w:space="0" w:color="000000"/>
            </w:tcBorders>
          </w:tcPr>
          <w:p w14:paraId="51DE7A46" w14:textId="77777777" w:rsidR="0010369C" w:rsidRDefault="008E43AE">
            <w:pPr>
              <w:pStyle w:val="TableParagraph"/>
              <w:spacing w:line="292" w:lineRule="exact"/>
              <w:ind w:left="111"/>
              <w:rPr>
                <w:sz w:val="24"/>
              </w:rPr>
            </w:pPr>
            <w:r>
              <w:rPr>
                <w:sz w:val="24"/>
              </w:rPr>
              <w:t>Reserve</w:t>
            </w:r>
            <w:r>
              <w:rPr>
                <w:spacing w:val="-2"/>
                <w:sz w:val="24"/>
              </w:rPr>
              <w:t xml:space="preserve"> </w:t>
            </w:r>
            <w:r>
              <w:rPr>
                <w:sz w:val="24"/>
              </w:rPr>
              <w:t>Bank</w:t>
            </w:r>
            <w:r>
              <w:rPr>
                <w:spacing w:val="-2"/>
                <w:sz w:val="24"/>
              </w:rPr>
              <w:t xml:space="preserve"> </w:t>
            </w:r>
            <w:r>
              <w:rPr>
                <w:sz w:val="24"/>
              </w:rPr>
              <w:t>of</w:t>
            </w:r>
            <w:r>
              <w:rPr>
                <w:spacing w:val="-2"/>
                <w:sz w:val="24"/>
              </w:rPr>
              <w:t xml:space="preserve"> Australia</w:t>
            </w:r>
          </w:p>
          <w:p w14:paraId="51DE7A47" w14:textId="77777777" w:rsidR="0010369C" w:rsidRDefault="008E43AE">
            <w:pPr>
              <w:pStyle w:val="TableParagraph"/>
              <w:spacing w:line="290" w:lineRule="atLeast"/>
              <w:ind w:left="111" w:right="608"/>
              <w:rPr>
                <w:sz w:val="24"/>
              </w:rPr>
            </w:pPr>
            <w:r>
              <w:rPr>
                <w:sz w:val="24"/>
              </w:rPr>
              <w:t>2019</w:t>
            </w:r>
            <w:r>
              <w:rPr>
                <w:spacing w:val="-14"/>
                <w:sz w:val="24"/>
              </w:rPr>
              <w:t xml:space="preserve"> </w:t>
            </w:r>
            <w:r>
              <w:rPr>
                <w:sz w:val="24"/>
              </w:rPr>
              <w:t>Average</w:t>
            </w:r>
            <w:r>
              <w:rPr>
                <w:spacing w:val="-14"/>
                <w:sz w:val="24"/>
              </w:rPr>
              <w:t xml:space="preserve"> </w:t>
            </w:r>
            <w:r>
              <w:rPr>
                <w:sz w:val="24"/>
              </w:rPr>
              <w:t xml:space="preserve">Exchange </w:t>
            </w:r>
            <w:r>
              <w:rPr>
                <w:spacing w:val="-2"/>
                <w:sz w:val="24"/>
              </w:rPr>
              <w:t>Rates</w:t>
            </w:r>
          </w:p>
        </w:tc>
      </w:tr>
      <w:tr w:rsidR="0010369C" w14:paraId="51DE7A50" w14:textId="77777777">
        <w:trPr>
          <w:trHeight w:val="559"/>
        </w:trPr>
        <w:tc>
          <w:tcPr>
            <w:tcW w:w="1184" w:type="dxa"/>
            <w:vMerge/>
            <w:tcBorders>
              <w:top w:val="nil"/>
              <w:left w:val="single" w:sz="4" w:space="0" w:color="000000"/>
              <w:bottom w:val="single" w:sz="4" w:space="0" w:color="000000"/>
              <w:right w:val="single" w:sz="4" w:space="0" w:color="000000"/>
            </w:tcBorders>
          </w:tcPr>
          <w:p w14:paraId="51DE7A49" w14:textId="77777777" w:rsidR="0010369C" w:rsidRDefault="0010369C">
            <w:pPr>
              <w:rPr>
                <w:sz w:val="2"/>
                <w:szCs w:val="2"/>
              </w:rPr>
            </w:pPr>
          </w:p>
        </w:tc>
        <w:tc>
          <w:tcPr>
            <w:tcW w:w="86" w:type="dxa"/>
            <w:tcBorders>
              <w:left w:val="single" w:sz="4" w:space="0" w:color="000000"/>
              <w:bottom w:val="single" w:sz="4" w:space="0" w:color="000000"/>
            </w:tcBorders>
          </w:tcPr>
          <w:p w14:paraId="51DE7A4A" w14:textId="77777777" w:rsidR="0010369C" w:rsidRDefault="0010369C">
            <w:pPr>
              <w:pStyle w:val="TableParagraph"/>
              <w:rPr>
                <w:rFonts w:ascii="Times New Roman"/>
              </w:rPr>
            </w:pPr>
          </w:p>
        </w:tc>
        <w:tc>
          <w:tcPr>
            <w:tcW w:w="3743" w:type="dxa"/>
            <w:gridSpan w:val="3"/>
            <w:tcBorders>
              <w:bottom w:val="single" w:sz="4" w:space="0" w:color="000000"/>
            </w:tcBorders>
          </w:tcPr>
          <w:p w14:paraId="51DE7A4B" w14:textId="77777777" w:rsidR="0010369C" w:rsidRDefault="008E43AE">
            <w:pPr>
              <w:pStyle w:val="TableParagraph"/>
              <w:spacing w:line="266" w:lineRule="exact"/>
              <w:ind w:left="26"/>
              <w:rPr>
                <w:sz w:val="24"/>
              </w:rPr>
            </w:pPr>
            <w:r>
              <w:rPr>
                <w:sz w:val="24"/>
              </w:rPr>
              <w:t>Exchange</w:t>
            </w:r>
            <w:r>
              <w:rPr>
                <w:spacing w:val="-5"/>
                <w:sz w:val="24"/>
              </w:rPr>
              <w:t xml:space="preserve"> </w:t>
            </w:r>
            <w:r>
              <w:rPr>
                <w:sz w:val="24"/>
              </w:rPr>
              <w:t>Rates",</w:t>
            </w:r>
            <w:r>
              <w:rPr>
                <w:spacing w:val="-4"/>
                <w:sz w:val="24"/>
              </w:rPr>
              <w:t xml:space="preserve"> 2019</w:t>
            </w:r>
          </w:p>
        </w:tc>
        <w:tc>
          <w:tcPr>
            <w:tcW w:w="170" w:type="dxa"/>
            <w:tcBorders>
              <w:bottom w:val="single" w:sz="4" w:space="0" w:color="000000"/>
            </w:tcBorders>
          </w:tcPr>
          <w:p w14:paraId="51DE7A4C" w14:textId="77777777" w:rsidR="0010369C" w:rsidRDefault="0010369C">
            <w:pPr>
              <w:pStyle w:val="TableParagraph"/>
              <w:rPr>
                <w:rFonts w:ascii="Times New Roman"/>
              </w:rPr>
            </w:pPr>
          </w:p>
        </w:tc>
        <w:tc>
          <w:tcPr>
            <w:tcW w:w="110" w:type="dxa"/>
            <w:tcBorders>
              <w:bottom w:val="single" w:sz="4" w:space="0" w:color="000000"/>
            </w:tcBorders>
          </w:tcPr>
          <w:p w14:paraId="51DE7A4D" w14:textId="77777777" w:rsidR="0010369C" w:rsidRDefault="0010369C">
            <w:pPr>
              <w:pStyle w:val="TableParagraph"/>
              <w:rPr>
                <w:rFonts w:ascii="Times New Roman"/>
              </w:rPr>
            </w:pPr>
          </w:p>
        </w:tc>
        <w:tc>
          <w:tcPr>
            <w:tcW w:w="652" w:type="dxa"/>
            <w:tcBorders>
              <w:bottom w:val="single" w:sz="4" w:space="0" w:color="000000"/>
              <w:right w:val="single" w:sz="4" w:space="0" w:color="000000"/>
            </w:tcBorders>
          </w:tcPr>
          <w:p w14:paraId="51DE7A4E" w14:textId="77777777" w:rsidR="0010369C" w:rsidRDefault="0010369C">
            <w:pPr>
              <w:pStyle w:val="TableParagraph"/>
              <w:rPr>
                <w:rFonts w:ascii="Times New Roman"/>
              </w:rPr>
            </w:pPr>
          </w:p>
        </w:tc>
        <w:tc>
          <w:tcPr>
            <w:tcW w:w="3114" w:type="dxa"/>
            <w:gridSpan w:val="4"/>
            <w:vMerge/>
            <w:tcBorders>
              <w:top w:val="nil"/>
              <w:left w:val="single" w:sz="4" w:space="0" w:color="000000"/>
              <w:bottom w:val="single" w:sz="4" w:space="0" w:color="000000"/>
              <w:right w:val="single" w:sz="4" w:space="0" w:color="000000"/>
            </w:tcBorders>
          </w:tcPr>
          <w:p w14:paraId="51DE7A4F" w14:textId="77777777" w:rsidR="0010369C" w:rsidRDefault="0010369C">
            <w:pPr>
              <w:rPr>
                <w:sz w:val="2"/>
                <w:szCs w:val="2"/>
              </w:rPr>
            </w:pPr>
          </w:p>
        </w:tc>
      </w:tr>
      <w:tr w:rsidR="0010369C" w14:paraId="51DE7A58" w14:textId="77777777">
        <w:trPr>
          <w:trHeight w:val="309"/>
        </w:trPr>
        <w:tc>
          <w:tcPr>
            <w:tcW w:w="1184" w:type="dxa"/>
            <w:vMerge w:val="restart"/>
            <w:tcBorders>
              <w:top w:val="single" w:sz="4" w:space="0" w:color="000000"/>
              <w:left w:val="single" w:sz="4" w:space="0" w:color="000000"/>
              <w:bottom w:val="single" w:sz="4" w:space="0" w:color="000000"/>
              <w:right w:val="single" w:sz="4" w:space="0" w:color="000000"/>
            </w:tcBorders>
          </w:tcPr>
          <w:p w14:paraId="51DE7A51" w14:textId="77777777" w:rsidR="0010369C" w:rsidRDefault="008E43AE">
            <w:pPr>
              <w:pStyle w:val="TableParagraph"/>
              <w:spacing w:line="292" w:lineRule="exact"/>
              <w:ind w:left="107"/>
              <w:rPr>
                <w:sz w:val="24"/>
              </w:rPr>
            </w:pPr>
            <w:r>
              <w:rPr>
                <w:spacing w:val="-2"/>
                <w:sz w:val="24"/>
              </w:rPr>
              <w:t>AUS‐78</w:t>
            </w:r>
          </w:p>
        </w:tc>
        <w:tc>
          <w:tcPr>
            <w:tcW w:w="86" w:type="dxa"/>
            <w:tcBorders>
              <w:top w:val="single" w:sz="4" w:space="0" w:color="000000"/>
              <w:left w:val="single" w:sz="4" w:space="0" w:color="000000"/>
            </w:tcBorders>
          </w:tcPr>
          <w:p w14:paraId="51DE7A52" w14:textId="77777777" w:rsidR="0010369C" w:rsidRDefault="0010369C">
            <w:pPr>
              <w:pStyle w:val="TableParagraph"/>
              <w:rPr>
                <w:rFonts w:ascii="Times New Roman"/>
              </w:rPr>
            </w:pPr>
          </w:p>
        </w:tc>
        <w:tc>
          <w:tcPr>
            <w:tcW w:w="3913" w:type="dxa"/>
            <w:gridSpan w:val="4"/>
            <w:tcBorders>
              <w:top w:val="single" w:sz="4" w:space="0" w:color="000000"/>
            </w:tcBorders>
          </w:tcPr>
          <w:p w14:paraId="51DE7A53" w14:textId="77777777" w:rsidR="0010369C" w:rsidRDefault="008E43AE">
            <w:pPr>
              <w:pStyle w:val="TableParagraph"/>
              <w:spacing w:line="289" w:lineRule="exact"/>
              <w:ind w:left="26"/>
              <w:rPr>
                <w:sz w:val="24"/>
              </w:rPr>
            </w:pPr>
            <w:r>
              <w:rPr>
                <w:sz w:val="24"/>
              </w:rPr>
              <w:t>Swan</w:t>
            </w:r>
            <w:r>
              <w:rPr>
                <w:spacing w:val="-2"/>
                <w:sz w:val="24"/>
              </w:rPr>
              <w:t xml:space="preserve"> </w:t>
            </w:r>
            <w:r>
              <w:rPr>
                <w:sz w:val="24"/>
              </w:rPr>
              <w:t>Vintage,</w:t>
            </w:r>
            <w:r>
              <w:rPr>
                <w:spacing w:val="-1"/>
                <w:sz w:val="24"/>
              </w:rPr>
              <w:t xml:space="preserve"> </w:t>
            </w:r>
            <w:r>
              <w:rPr>
                <w:sz w:val="24"/>
              </w:rPr>
              <w:t>"Exporter</w:t>
            </w:r>
            <w:r>
              <w:rPr>
                <w:spacing w:val="-2"/>
                <w:sz w:val="24"/>
              </w:rPr>
              <w:t xml:space="preserve"> Questionnaire</w:t>
            </w:r>
          </w:p>
        </w:tc>
        <w:tc>
          <w:tcPr>
            <w:tcW w:w="110" w:type="dxa"/>
            <w:tcBorders>
              <w:top w:val="single" w:sz="4" w:space="0" w:color="000000"/>
            </w:tcBorders>
          </w:tcPr>
          <w:p w14:paraId="51DE7A54" w14:textId="77777777" w:rsidR="0010369C" w:rsidRDefault="0010369C">
            <w:pPr>
              <w:pStyle w:val="TableParagraph"/>
              <w:rPr>
                <w:rFonts w:ascii="Times New Roman"/>
              </w:rPr>
            </w:pPr>
          </w:p>
        </w:tc>
        <w:tc>
          <w:tcPr>
            <w:tcW w:w="652" w:type="dxa"/>
            <w:tcBorders>
              <w:top w:val="single" w:sz="4" w:space="0" w:color="000000"/>
              <w:right w:val="single" w:sz="4" w:space="0" w:color="000000"/>
            </w:tcBorders>
          </w:tcPr>
          <w:p w14:paraId="51DE7A55" w14:textId="77777777" w:rsidR="0010369C" w:rsidRDefault="0010369C">
            <w:pPr>
              <w:pStyle w:val="TableParagraph"/>
              <w:rPr>
                <w:rFonts w:ascii="Times New Roman"/>
              </w:rPr>
            </w:pPr>
          </w:p>
        </w:tc>
        <w:tc>
          <w:tcPr>
            <w:tcW w:w="3114" w:type="dxa"/>
            <w:gridSpan w:val="4"/>
            <w:vMerge w:val="restart"/>
            <w:tcBorders>
              <w:top w:val="single" w:sz="4" w:space="0" w:color="000000"/>
              <w:left w:val="single" w:sz="4" w:space="0" w:color="000000"/>
              <w:bottom w:val="single" w:sz="4" w:space="0" w:color="000000"/>
              <w:right w:val="single" w:sz="4" w:space="0" w:color="000000"/>
            </w:tcBorders>
          </w:tcPr>
          <w:p w14:paraId="51DE7A56" w14:textId="77777777" w:rsidR="0010369C" w:rsidRDefault="008E43AE">
            <w:pPr>
              <w:pStyle w:val="TableParagraph"/>
              <w:ind w:left="111"/>
              <w:rPr>
                <w:sz w:val="24"/>
              </w:rPr>
            </w:pPr>
            <w:r>
              <w:rPr>
                <w:sz w:val="24"/>
              </w:rPr>
              <w:t>Swan</w:t>
            </w:r>
            <w:r>
              <w:rPr>
                <w:spacing w:val="-14"/>
                <w:sz w:val="24"/>
              </w:rPr>
              <w:t xml:space="preserve"> </w:t>
            </w:r>
            <w:r>
              <w:rPr>
                <w:sz w:val="24"/>
              </w:rPr>
              <w:t>Vintage</w:t>
            </w:r>
            <w:r>
              <w:rPr>
                <w:spacing w:val="-14"/>
                <w:sz w:val="24"/>
              </w:rPr>
              <w:t xml:space="preserve"> </w:t>
            </w:r>
            <w:r>
              <w:rPr>
                <w:sz w:val="24"/>
              </w:rPr>
              <w:t>Anti‐Dumping Questionnaire Response,</w:t>
            </w:r>
          </w:p>
          <w:p w14:paraId="51DE7A57" w14:textId="77777777" w:rsidR="0010369C" w:rsidRDefault="008E43AE">
            <w:pPr>
              <w:pStyle w:val="TableParagraph"/>
              <w:spacing w:line="274" w:lineRule="exact"/>
              <w:ind w:left="111"/>
              <w:rPr>
                <w:sz w:val="24"/>
              </w:rPr>
            </w:pPr>
            <w:r>
              <w:rPr>
                <w:sz w:val="24"/>
              </w:rPr>
              <w:t>Annex</w:t>
            </w:r>
            <w:r>
              <w:rPr>
                <w:spacing w:val="-1"/>
                <w:sz w:val="24"/>
              </w:rPr>
              <w:t xml:space="preserve"> </w:t>
            </w:r>
            <w:r>
              <w:rPr>
                <w:sz w:val="24"/>
              </w:rPr>
              <w:t>1</w:t>
            </w:r>
            <w:r>
              <w:rPr>
                <w:spacing w:val="-1"/>
                <w:sz w:val="24"/>
              </w:rPr>
              <w:t xml:space="preserve"> </w:t>
            </w:r>
            <w:r>
              <w:rPr>
                <w:sz w:val="24"/>
              </w:rPr>
              <w:t>(Part</w:t>
            </w:r>
            <w:r>
              <w:rPr>
                <w:spacing w:val="-1"/>
                <w:sz w:val="24"/>
              </w:rPr>
              <w:t xml:space="preserve"> </w:t>
            </w:r>
            <w:r>
              <w:rPr>
                <w:sz w:val="24"/>
              </w:rPr>
              <w:t>1</w:t>
            </w:r>
            <w:r>
              <w:rPr>
                <w:spacing w:val="-1"/>
                <w:sz w:val="24"/>
              </w:rPr>
              <w:t xml:space="preserve"> </w:t>
            </w:r>
            <w:r>
              <w:rPr>
                <w:sz w:val="24"/>
              </w:rPr>
              <w:t>of</w:t>
            </w:r>
            <w:r>
              <w:rPr>
                <w:spacing w:val="-1"/>
                <w:sz w:val="24"/>
              </w:rPr>
              <w:t xml:space="preserve"> </w:t>
            </w:r>
            <w:r>
              <w:rPr>
                <w:spacing w:val="-5"/>
                <w:sz w:val="24"/>
              </w:rPr>
              <w:t>2)</w:t>
            </w:r>
          </w:p>
        </w:tc>
      </w:tr>
      <w:tr w:rsidR="0010369C" w14:paraId="51DE7A5E" w14:textId="77777777">
        <w:trPr>
          <w:trHeight w:val="282"/>
        </w:trPr>
        <w:tc>
          <w:tcPr>
            <w:tcW w:w="1184" w:type="dxa"/>
            <w:vMerge/>
            <w:tcBorders>
              <w:top w:val="nil"/>
              <w:left w:val="single" w:sz="4" w:space="0" w:color="000000"/>
              <w:bottom w:val="single" w:sz="4" w:space="0" w:color="000000"/>
              <w:right w:val="single" w:sz="4" w:space="0" w:color="000000"/>
            </w:tcBorders>
          </w:tcPr>
          <w:p w14:paraId="51DE7A59" w14:textId="77777777" w:rsidR="0010369C" w:rsidRDefault="0010369C">
            <w:pPr>
              <w:rPr>
                <w:sz w:val="2"/>
                <w:szCs w:val="2"/>
              </w:rPr>
            </w:pPr>
          </w:p>
        </w:tc>
        <w:tc>
          <w:tcPr>
            <w:tcW w:w="86" w:type="dxa"/>
            <w:tcBorders>
              <w:left w:val="single" w:sz="4" w:space="0" w:color="000000"/>
            </w:tcBorders>
          </w:tcPr>
          <w:p w14:paraId="51DE7A5A" w14:textId="77777777" w:rsidR="0010369C" w:rsidRDefault="0010369C">
            <w:pPr>
              <w:pStyle w:val="TableParagraph"/>
              <w:rPr>
                <w:rFonts w:ascii="Times New Roman"/>
                <w:sz w:val="20"/>
              </w:rPr>
            </w:pPr>
          </w:p>
        </w:tc>
        <w:tc>
          <w:tcPr>
            <w:tcW w:w="4023" w:type="dxa"/>
            <w:gridSpan w:val="5"/>
          </w:tcPr>
          <w:p w14:paraId="51DE7A5B" w14:textId="77777777" w:rsidR="0010369C" w:rsidRDefault="008E43AE">
            <w:pPr>
              <w:pStyle w:val="TableParagraph"/>
              <w:spacing w:line="263" w:lineRule="exact"/>
              <w:ind w:left="26"/>
              <w:rPr>
                <w:sz w:val="24"/>
              </w:rPr>
            </w:pPr>
            <w:r>
              <w:rPr>
                <w:sz w:val="24"/>
              </w:rPr>
              <w:t>Response,</w:t>
            </w:r>
            <w:r>
              <w:rPr>
                <w:spacing w:val="-5"/>
                <w:sz w:val="24"/>
              </w:rPr>
              <w:t xml:space="preserve"> </w:t>
            </w:r>
            <w:r>
              <w:rPr>
                <w:sz w:val="24"/>
              </w:rPr>
              <w:t>Annex</w:t>
            </w:r>
            <w:r>
              <w:rPr>
                <w:spacing w:val="-2"/>
                <w:sz w:val="24"/>
              </w:rPr>
              <w:t xml:space="preserve"> </w:t>
            </w:r>
            <w:r>
              <w:rPr>
                <w:sz w:val="24"/>
              </w:rPr>
              <w:t>1</w:t>
            </w:r>
            <w:r>
              <w:rPr>
                <w:spacing w:val="-1"/>
                <w:sz w:val="24"/>
              </w:rPr>
              <w:t xml:space="preserve"> </w:t>
            </w:r>
            <w:r>
              <w:rPr>
                <w:sz w:val="24"/>
              </w:rPr>
              <w:t>(Part</w:t>
            </w:r>
            <w:r>
              <w:rPr>
                <w:spacing w:val="-2"/>
                <w:sz w:val="24"/>
              </w:rPr>
              <w:t xml:space="preserve"> </w:t>
            </w:r>
            <w:r>
              <w:rPr>
                <w:sz w:val="24"/>
              </w:rPr>
              <w:t>1</w:t>
            </w:r>
            <w:r>
              <w:rPr>
                <w:spacing w:val="-1"/>
                <w:sz w:val="24"/>
              </w:rPr>
              <w:t xml:space="preserve"> </w:t>
            </w:r>
            <w:r>
              <w:rPr>
                <w:sz w:val="24"/>
              </w:rPr>
              <w:t>of</w:t>
            </w:r>
            <w:r>
              <w:rPr>
                <w:spacing w:val="-2"/>
                <w:sz w:val="24"/>
              </w:rPr>
              <w:t xml:space="preserve"> </w:t>
            </w:r>
            <w:r>
              <w:rPr>
                <w:sz w:val="24"/>
              </w:rPr>
              <w:t>2)"</w:t>
            </w:r>
            <w:r>
              <w:rPr>
                <w:spacing w:val="-1"/>
                <w:sz w:val="24"/>
              </w:rPr>
              <w:t xml:space="preserve"> </w:t>
            </w:r>
            <w:r>
              <w:rPr>
                <w:spacing w:val="-2"/>
                <w:sz w:val="24"/>
              </w:rPr>
              <w:t>(English</w:t>
            </w:r>
          </w:p>
        </w:tc>
        <w:tc>
          <w:tcPr>
            <w:tcW w:w="652" w:type="dxa"/>
            <w:tcBorders>
              <w:right w:val="single" w:sz="4" w:space="0" w:color="000000"/>
            </w:tcBorders>
          </w:tcPr>
          <w:p w14:paraId="51DE7A5C" w14:textId="77777777" w:rsidR="0010369C" w:rsidRDefault="0010369C">
            <w:pPr>
              <w:pStyle w:val="TableParagraph"/>
              <w:rPr>
                <w:rFonts w:ascii="Times New Roman"/>
                <w:sz w:val="20"/>
              </w:rPr>
            </w:pPr>
          </w:p>
        </w:tc>
        <w:tc>
          <w:tcPr>
            <w:tcW w:w="3114" w:type="dxa"/>
            <w:gridSpan w:val="4"/>
            <w:vMerge/>
            <w:tcBorders>
              <w:top w:val="nil"/>
              <w:left w:val="single" w:sz="4" w:space="0" w:color="000000"/>
              <w:bottom w:val="single" w:sz="4" w:space="0" w:color="000000"/>
              <w:right w:val="single" w:sz="4" w:space="0" w:color="000000"/>
            </w:tcBorders>
          </w:tcPr>
          <w:p w14:paraId="51DE7A5D" w14:textId="77777777" w:rsidR="0010369C" w:rsidRDefault="0010369C">
            <w:pPr>
              <w:rPr>
                <w:sz w:val="2"/>
                <w:szCs w:val="2"/>
              </w:rPr>
            </w:pPr>
          </w:p>
        </w:tc>
      </w:tr>
      <w:tr w:rsidR="0010369C" w14:paraId="51DE7A68" w14:textId="77777777">
        <w:trPr>
          <w:trHeight w:val="267"/>
        </w:trPr>
        <w:tc>
          <w:tcPr>
            <w:tcW w:w="1184" w:type="dxa"/>
            <w:vMerge/>
            <w:tcBorders>
              <w:top w:val="nil"/>
              <w:left w:val="single" w:sz="4" w:space="0" w:color="000000"/>
              <w:bottom w:val="single" w:sz="4" w:space="0" w:color="000000"/>
              <w:right w:val="single" w:sz="4" w:space="0" w:color="000000"/>
            </w:tcBorders>
          </w:tcPr>
          <w:p w14:paraId="51DE7A5F" w14:textId="77777777" w:rsidR="0010369C" w:rsidRDefault="0010369C">
            <w:pPr>
              <w:rPr>
                <w:sz w:val="2"/>
                <w:szCs w:val="2"/>
              </w:rPr>
            </w:pPr>
          </w:p>
        </w:tc>
        <w:tc>
          <w:tcPr>
            <w:tcW w:w="86" w:type="dxa"/>
            <w:tcBorders>
              <w:left w:val="single" w:sz="4" w:space="0" w:color="000000"/>
              <w:bottom w:val="single" w:sz="4" w:space="0" w:color="000000"/>
            </w:tcBorders>
          </w:tcPr>
          <w:p w14:paraId="51DE7A60" w14:textId="77777777" w:rsidR="0010369C" w:rsidRDefault="0010369C">
            <w:pPr>
              <w:pStyle w:val="TableParagraph"/>
              <w:rPr>
                <w:rFonts w:ascii="Times New Roman"/>
                <w:sz w:val="18"/>
              </w:rPr>
            </w:pPr>
          </w:p>
        </w:tc>
        <w:tc>
          <w:tcPr>
            <w:tcW w:w="1330" w:type="dxa"/>
            <w:tcBorders>
              <w:bottom w:val="single" w:sz="4" w:space="0" w:color="000000"/>
            </w:tcBorders>
          </w:tcPr>
          <w:p w14:paraId="51DE7A61" w14:textId="77777777" w:rsidR="0010369C" w:rsidRDefault="008E43AE">
            <w:pPr>
              <w:pStyle w:val="TableParagraph"/>
              <w:spacing w:line="247" w:lineRule="exact"/>
              <w:ind w:left="26"/>
              <w:rPr>
                <w:sz w:val="24"/>
              </w:rPr>
            </w:pPr>
            <w:r>
              <w:rPr>
                <w:spacing w:val="-2"/>
                <w:sz w:val="24"/>
              </w:rPr>
              <w:t>translation)</w:t>
            </w:r>
          </w:p>
        </w:tc>
        <w:tc>
          <w:tcPr>
            <w:tcW w:w="742" w:type="dxa"/>
            <w:tcBorders>
              <w:bottom w:val="single" w:sz="4" w:space="0" w:color="000000"/>
            </w:tcBorders>
          </w:tcPr>
          <w:p w14:paraId="51DE7A62" w14:textId="77777777" w:rsidR="0010369C" w:rsidRDefault="0010369C">
            <w:pPr>
              <w:pStyle w:val="TableParagraph"/>
              <w:rPr>
                <w:rFonts w:ascii="Times New Roman"/>
                <w:sz w:val="18"/>
              </w:rPr>
            </w:pPr>
          </w:p>
        </w:tc>
        <w:tc>
          <w:tcPr>
            <w:tcW w:w="1671" w:type="dxa"/>
            <w:tcBorders>
              <w:bottom w:val="single" w:sz="4" w:space="0" w:color="000000"/>
            </w:tcBorders>
          </w:tcPr>
          <w:p w14:paraId="51DE7A63" w14:textId="77777777" w:rsidR="0010369C" w:rsidRDefault="0010369C">
            <w:pPr>
              <w:pStyle w:val="TableParagraph"/>
              <w:rPr>
                <w:rFonts w:ascii="Times New Roman"/>
                <w:sz w:val="18"/>
              </w:rPr>
            </w:pPr>
          </w:p>
        </w:tc>
        <w:tc>
          <w:tcPr>
            <w:tcW w:w="170" w:type="dxa"/>
            <w:tcBorders>
              <w:bottom w:val="single" w:sz="4" w:space="0" w:color="000000"/>
            </w:tcBorders>
          </w:tcPr>
          <w:p w14:paraId="51DE7A64" w14:textId="77777777" w:rsidR="0010369C" w:rsidRDefault="0010369C">
            <w:pPr>
              <w:pStyle w:val="TableParagraph"/>
              <w:rPr>
                <w:rFonts w:ascii="Times New Roman"/>
                <w:sz w:val="18"/>
              </w:rPr>
            </w:pPr>
          </w:p>
        </w:tc>
        <w:tc>
          <w:tcPr>
            <w:tcW w:w="110" w:type="dxa"/>
            <w:tcBorders>
              <w:bottom w:val="single" w:sz="4" w:space="0" w:color="000000"/>
            </w:tcBorders>
          </w:tcPr>
          <w:p w14:paraId="51DE7A65" w14:textId="77777777" w:rsidR="0010369C" w:rsidRDefault="0010369C">
            <w:pPr>
              <w:pStyle w:val="TableParagraph"/>
              <w:rPr>
                <w:rFonts w:ascii="Times New Roman"/>
                <w:sz w:val="18"/>
              </w:rPr>
            </w:pPr>
          </w:p>
        </w:tc>
        <w:tc>
          <w:tcPr>
            <w:tcW w:w="652" w:type="dxa"/>
            <w:tcBorders>
              <w:bottom w:val="single" w:sz="4" w:space="0" w:color="000000"/>
              <w:right w:val="single" w:sz="4" w:space="0" w:color="000000"/>
            </w:tcBorders>
          </w:tcPr>
          <w:p w14:paraId="51DE7A66" w14:textId="77777777" w:rsidR="0010369C" w:rsidRDefault="0010369C">
            <w:pPr>
              <w:pStyle w:val="TableParagraph"/>
              <w:rPr>
                <w:rFonts w:ascii="Times New Roman"/>
                <w:sz w:val="18"/>
              </w:rPr>
            </w:pPr>
          </w:p>
        </w:tc>
        <w:tc>
          <w:tcPr>
            <w:tcW w:w="3114" w:type="dxa"/>
            <w:gridSpan w:val="4"/>
            <w:vMerge/>
            <w:tcBorders>
              <w:top w:val="nil"/>
              <w:left w:val="single" w:sz="4" w:space="0" w:color="000000"/>
              <w:bottom w:val="single" w:sz="4" w:space="0" w:color="000000"/>
              <w:right w:val="single" w:sz="4" w:space="0" w:color="000000"/>
            </w:tcBorders>
          </w:tcPr>
          <w:p w14:paraId="51DE7A67" w14:textId="77777777" w:rsidR="0010369C" w:rsidRDefault="0010369C">
            <w:pPr>
              <w:rPr>
                <w:sz w:val="2"/>
                <w:szCs w:val="2"/>
              </w:rPr>
            </w:pPr>
          </w:p>
        </w:tc>
      </w:tr>
      <w:tr w:rsidR="0010369C" w14:paraId="51DE7A6D" w14:textId="77777777">
        <w:trPr>
          <w:trHeight w:val="309"/>
        </w:trPr>
        <w:tc>
          <w:tcPr>
            <w:tcW w:w="1184" w:type="dxa"/>
            <w:vMerge w:val="restart"/>
            <w:tcBorders>
              <w:top w:val="single" w:sz="4" w:space="0" w:color="000000"/>
              <w:left w:val="single" w:sz="4" w:space="0" w:color="000000"/>
              <w:bottom w:val="single" w:sz="4" w:space="0" w:color="000000"/>
              <w:right w:val="single" w:sz="4" w:space="0" w:color="000000"/>
            </w:tcBorders>
          </w:tcPr>
          <w:p w14:paraId="51DE7A69" w14:textId="77777777" w:rsidR="0010369C" w:rsidRDefault="008E43AE">
            <w:pPr>
              <w:pStyle w:val="TableParagraph"/>
              <w:spacing w:line="292" w:lineRule="exact"/>
              <w:ind w:left="107"/>
              <w:rPr>
                <w:sz w:val="24"/>
              </w:rPr>
            </w:pPr>
            <w:r>
              <w:rPr>
                <w:spacing w:val="-2"/>
                <w:sz w:val="24"/>
              </w:rPr>
              <w:t>AUS‐79</w:t>
            </w:r>
          </w:p>
        </w:tc>
        <w:tc>
          <w:tcPr>
            <w:tcW w:w="86" w:type="dxa"/>
            <w:tcBorders>
              <w:top w:val="single" w:sz="4" w:space="0" w:color="000000"/>
              <w:left w:val="single" w:sz="4" w:space="0" w:color="000000"/>
            </w:tcBorders>
          </w:tcPr>
          <w:p w14:paraId="51DE7A6A" w14:textId="77777777" w:rsidR="0010369C" w:rsidRDefault="0010369C">
            <w:pPr>
              <w:pStyle w:val="TableParagraph"/>
              <w:rPr>
                <w:rFonts w:ascii="Times New Roman"/>
              </w:rPr>
            </w:pPr>
          </w:p>
        </w:tc>
        <w:tc>
          <w:tcPr>
            <w:tcW w:w="4675" w:type="dxa"/>
            <w:gridSpan w:val="6"/>
            <w:tcBorders>
              <w:top w:val="single" w:sz="4" w:space="0" w:color="000000"/>
              <w:right w:val="single" w:sz="4" w:space="0" w:color="000000"/>
            </w:tcBorders>
          </w:tcPr>
          <w:p w14:paraId="51DE7A6B" w14:textId="77777777" w:rsidR="0010369C" w:rsidRDefault="008E43AE">
            <w:pPr>
              <w:pStyle w:val="TableParagraph"/>
              <w:spacing w:line="289" w:lineRule="exact"/>
              <w:ind w:left="21"/>
              <w:rPr>
                <w:sz w:val="24"/>
              </w:rPr>
            </w:pPr>
            <w:r>
              <w:rPr>
                <w:sz w:val="24"/>
              </w:rPr>
              <w:t>Treasury</w:t>
            </w:r>
            <w:r>
              <w:rPr>
                <w:spacing w:val="-2"/>
                <w:sz w:val="24"/>
              </w:rPr>
              <w:t xml:space="preserve"> </w:t>
            </w:r>
            <w:r>
              <w:rPr>
                <w:sz w:val="24"/>
              </w:rPr>
              <w:t>Wines,</w:t>
            </w:r>
            <w:r>
              <w:rPr>
                <w:spacing w:val="-2"/>
                <w:sz w:val="24"/>
              </w:rPr>
              <w:t xml:space="preserve"> </w:t>
            </w:r>
            <w:r>
              <w:rPr>
                <w:sz w:val="24"/>
              </w:rPr>
              <w:t>"Comments</w:t>
            </w:r>
            <w:r>
              <w:rPr>
                <w:spacing w:val="-3"/>
                <w:sz w:val="24"/>
              </w:rPr>
              <w:t xml:space="preserve"> </w:t>
            </w:r>
            <w:r>
              <w:rPr>
                <w:sz w:val="24"/>
              </w:rPr>
              <w:t>after</w:t>
            </w:r>
            <w:r>
              <w:rPr>
                <w:spacing w:val="-1"/>
                <w:sz w:val="24"/>
              </w:rPr>
              <w:t xml:space="preserve"> </w:t>
            </w:r>
            <w:r>
              <w:rPr>
                <w:spacing w:val="-2"/>
                <w:sz w:val="24"/>
              </w:rPr>
              <w:t>Stakeholder</w:t>
            </w:r>
          </w:p>
        </w:tc>
        <w:tc>
          <w:tcPr>
            <w:tcW w:w="3114" w:type="dxa"/>
            <w:gridSpan w:val="4"/>
            <w:vMerge w:val="restart"/>
            <w:tcBorders>
              <w:top w:val="single" w:sz="4" w:space="0" w:color="000000"/>
              <w:left w:val="single" w:sz="4" w:space="0" w:color="000000"/>
              <w:bottom w:val="single" w:sz="4" w:space="0" w:color="000000"/>
              <w:right w:val="single" w:sz="4" w:space="0" w:color="000000"/>
            </w:tcBorders>
          </w:tcPr>
          <w:p w14:paraId="51DE7A6C" w14:textId="77777777" w:rsidR="0010369C" w:rsidRDefault="008E43AE">
            <w:pPr>
              <w:pStyle w:val="TableParagraph"/>
              <w:ind w:left="111"/>
              <w:rPr>
                <w:sz w:val="24"/>
              </w:rPr>
            </w:pPr>
            <w:r>
              <w:rPr>
                <w:sz w:val="24"/>
              </w:rPr>
              <w:t>Treasury</w:t>
            </w:r>
            <w:r>
              <w:rPr>
                <w:spacing w:val="-14"/>
                <w:sz w:val="24"/>
              </w:rPr>
              <w:t xml:space="preserve"> </w:t>
            </w:r>
            <w:r>
              <w:rPr>
                <w:sz w:val="24"/>
              </w:rPr>
              <w:t>Wines</w:t>
            </w:r>
            <w:r>
              <w:rPr>
                <w:spacing w:val="-14"/>
                <w:sz w:val="24"/>
              </w:rPr>
              <w:t xml:space="preserve"> </w:t>
            </w:r>
            <w:r>
              <w:rPr>
                <w:sz w:val="24"/>
              </w:rPr>
              <w:t>Comments after Stakeholder Meeting</w:t>
            </w:r>
          </w:p>
        </w:tc>
      </w:tr>
      <w:tr w:rsidR="0010369C" w14:paraId="51DE7A75" w14:textId="77777777">
        <w:trPr>
          <w:trHeight w:val="282"/>
        </w:trPr>
        <w:tc>
          <w:tcPr>
            <w:tcW w:w="1184" w:type="dxa"/>
            <w:vMerge/>
            <w:tcBorders>
              <w:top w:val="nil"/>
              <w:left w:val="single" w:sz="4" w:space="0" w:color="000000"/>
              <w:bottom w:val="single" w:sz="4" w:space="0" w:color="000000"/>
              <w:right w:val="single" w:sz="4" w:space="0" w:color="000000"/>
            </w:tcBorders>
          </w:tcPr>
          <w:p w14:paraId="51DE7A6E" w14:textId="77777777" w:rsidR="0010369C" w:rsidRDefault="0010369C">
            <w:pPr>
              <w:rPr>
                <w:sz w:val="2"/>
                <w:szCs w:val="2"/>
              </w:rPr>
            </w:pPr>
          </w:p>
        </w:tc>
        <w:tc>
          <w:tcPr>
            <w:tcW w:w="86" w:type="dxa"/>
            <w:tcBorders>
              <w:left w:val="single" w:sz="4" w:space="0" w:color="000000"/>
            </w:tcBorders>
          </w:tcPr>
          <w:p w14:paraId="51DE7A6F" w14:textId="77777777" w:rsidR="0010369C" w:rsidRDefault="0010369C">
            <w:pPr>
              <w:pStyle w:val="TableParagraph"/>
              <w:rPr>
                <w:rFonts w:ascii="Times New Roman"/>
                <w:sz w:val="20"/>
              </w:rPr>
            </w:pPr>
          </w:p>
        </w:tc>
        <w:tc>
          <w:tcPr>
            <w:tcW w:w="3743" w:type="dxa"/>
            <w:gridSpan w:val="3"/>
          </w:tcPr>
          <w:p w14:paraId="51DE7A70" w14:textId="77777777" w:rsidR="0010369C" w:rsidRDefault="008E43AE">
            <w:pPr>
              <w:pStyle w:val="TableParagraph"/>
              <w:spacing w:line="263" w:lineRule="exact"/>
              <w:ind w:left="26"/>
              <w:rPr>
                <w:sz w:val="24"/>
              </w:rPr>
            </w:pPr>
            <w:r>
              <w:rPr>
                <w:sz w:val="24"/>
              </w:rPr>
              <w:t>Meeting",</w:t>
            </w:r>
            <w:r>
              <w:rPr>
                <w:spacing w:val="-2"/>
                <w:sz w:val="24"/>
              </w:rPr>
              <w:t xml:space="preserve"> </w:t>
            </w:r>
            <w:r>
              <w:rPr>
                <w:sz w:val="24"/>
              </w:rPr>
              <w:t>9</w:t>
            </w:r>
            <w:r>
              <w:rPr>
                <w:spacing w:val="-2"/>
                <w:sz w:val="24"/>
              </w:rPr>
              <w:t xml:space="preserve"> </w:t>
            </w:r>
            <w:r>
              <w:rPr>
                <w:sz w:val="24"/>
              </w:rPr>
              <w:t>October</w:t>
            </w:r>
            <w:r>
              <w:rPr>
                <w:spacing w:val="-1"/>
                <w:sz w:val="24"/>
              </w:rPr>
              <w:t xml:space="preserve"> </w:t>
            </w:r>
            <w:r>
              <w:rPr>
                <w:sz w:val="24"/>
              </w:rPr>
              <w:t>2020</w:t>
            </w:r>
            <w:r>
              <w:rPr>
                <w:spacing w:val="-1"/>
                <w:sz w:val="24"/>
              </w:rPr>
              <w:t xml:space="preserve"> </w:t>
            </w:r>
            <w:r>
              <w:rPr>
                <w:spacing w:val="-2"/>
                <w:sz w:val="24"/>
              </w:rPr>
              <w:t>(English</w:t>
            </w:r>
          </w:p>
        </w:tc>
        <w:tc>
          <w:tcPr>
            <w:tcW w:w="170" w:type="dxa"/>
          </w:tcPr>
          <w:p w14:paraId="51DE7A71" w14:textId="77777777" w:rsidR="0010369C" w:rsidRDefault="0010369C">
            <w:pPr>
              <w:pStyle w:val="TableParagraph"/>
              <w:rPr>
                <w:rFonts w:ascii="Times New Roman"/>
                <w:sz w:val="20"/>
              </w:rPr>
            </w:pPr>
          </w:p>
        </w:tc>
        <w:tc>
          <w:tcPr>
            <w:tcW w:w="110" w:type="dxa"/>
          </w:tcPr>
          <w:p w14:paraId="51DE7A72" w14:textId="77777777" w:rsidR="0010369C" w:rsidRDefault="0010369C">
            <w:pPr>
              <w:pStyle w:val="TableParagraph"/>
              <w:rPr>
                <w:rFonts w:ascii="Times New Roman"/>
                <w:sz w:val="20"/>
              </w:rPr>
            </w:pPr>
          </w:p>
        </w:tc>
        <w:tc>
          <w:tcPr>
            <w:tcW w:w="652" w:type="dxa"/>
            <w:tcBorders>
              <w:right w:val="single" w:sz="4" w:space="0" w:color="000000"/>
            </w:tcBorders>
          </w:tcPr>
          <w:p w14:paraId="51DE7A73" w14:textId="77777777" w:rsidR="0010369C" w:rsidRDefault="0010369C">
            <w:pPr>
              <w:pStyle w:val="TableParagraph"/>
              <w:rPr>
                <w:rFonts w:ascii="Times New Roman"/>
                <w:sz w:val="20"/>
              </w:rPr>
            </w:pPr>
          </w:p>
        </w:tc>
        <w:tc>
          <w:tcPr>
            <w:tcW w:w="3114" w:type="dxa"/>
            <w:gridSpan w:val="4"/>
            <w:vMerge/>
            <w:tcBorders>
              <w:top w:val="nil"/>
              <w:left w:val="single" w:sz="4" w:space="0" w:color="000000"/>
              <w:bottom w:val="single" w:sz="4" w:space="0" w:color="000000"/>
              <w:right w:val="single" w:sz="4" w:space="0" w:color="000000"/>
            </w:tcBorders>
          </w:tcPr>
          <w:p w14:paraId="51DE7A74" w14:textId="77777777" w:rsidR="0010369C" w:rsidRDefault="0010369C">
            <w:pPr>
              <w:rPr>
                <w:sz w:val="2"/>
                <w:szCs w:val="2"/>
              </w:rPr>
            </w:pPr>
          </w:p>
        </w:tc>
      </w:tr>
      <w:tr w:rsidR="0010369C" w14:paraId="51DE7A7F" w14:textId="77777777">
        <w:trPr>
          <w:trHeight w:val="266"/>
        </w:trPr>
        <w:tc>
          <w:tcPr>
            <w:tcW w:w="1184" w:type="dxa"/>
            <w:vMerge/>
            <w:tcBorders>
              <w:top w:val="nil"/>
              <w:left w:val="single" w:sz="4" w:space="0" w:color="000000"/>
              <w:bottom w:val="single" w:sz="4" w:space="0" w:color="000000"/>
              <w:right w:val="single" w:sz="4" w:space="0" w:color="000000"/>
            </w:tcBorders>
          </w:tcPr>
          <w:p w14:paraId="51DE7A76" w14:textId="77777777" w:rsidR="0010369C" w:rsidRDefault="0010369C">
            <w:pPr>
              <w:rPr>
                <w:sz w:val="2"/>
                <w:szCs w:val="2"/>
              </w:rPr>
            </w:pPr>
          </w:p>
        </w:tc>
        <w:tc>
          <w:tcPr>
            <w:tcW w:w="86" w:type="dxa"/>
            <w:tcBorders>
              <w:left w:val="single" w:sz="4" w:space="0" w:color="000000"/>
              <w:bottom w:val="single" w:sz="4" w:space="0" w:color="000000"/>
            </w:tcBorders>
          </w:tcPr>
          <w:p w14:paraId="51DE7A77" w14:textId="77777777" w:rsidR="0010369C" w:rsidRDefault="0010369C">
            <w:pPr>
              <w:pStyle w:val="TableParagraph"/>
              <w:rPr>
                <w:rFonts w:ascii="Times New Roman"/>
                <w:sz w:val="18"/>
              </w:rPr>
            </w:pPr>
          </w:p>
        </w:tc>
        <w:tc>
          <w:tcPr>
            <w:tcW w:w="1330" w:type="dxa"/>
            <w:tcBorders>
              <w:bottom w:val="single" w:sz="4" w:space="0" w:color="000000"/>
            </w:tcBorders>
          </w:tcPr>
          <w:p w14:paraId="51DE7A78" w14:textId="77777777" w:rsidR="0010369C" w:rsidRDefault="008E43AE">
            <w:pPr>
              <w:pStyle w:val="TableParagraph"/>
              <w:spacing w:line="246" w:lineRule="exact"/>
              <w:ind w:left="26"/>
              <w:rPr>
                <w:sz w:val="24"/>
              </w:rPr>
            </w:pPr>
            <w:r>
              <w:rPr>
                <w:spacing w:val="-2"/>
                <w:sz w:val="24"/>
              </w:rPr>
              <w:t>Translation)</w:t>
            </w:r>
          </w:p>
        </w:tc>
        <w:tc>
          <w:tcPr>
            <w:tcW w:w="742" w:type="dxa"/>
            <w:tcBorders>
              <w:bottom w:val="single" w:sz="4" w:space="0" w:color="000000"/>
            </w:tcBorders>
          </w:tcPr>
          <w:p w14:paraId="51DE7A79" w14:textId="77777777" w:rsidR="0010369C" w:rsidRDefault="0010369C">
            <w:pPr>
              <w:pStyle w:val="TableParagraph"/>
              <w:rPr>
                <w:rFonts w:ascii="Times New Roman"/>
                <w:sz w:val="18"/>
              </w:rPr>
            </w:pPr>
          </w:p>
        </w:tc>
        <w:tc>
          <w:tcPr>
            <w:tcW w:w="1671" w:type="dxa"/>
            <w:tcBorders>
              <w:bottom w:val="single" w:sz="4" w:space="0" w:color="000000"/>
            </w:tcBorders>
          </w:tcPr>
          <w:p w14:paraId="51DE7A7A" w14:textId="77777777" w:rsidR="0010369C" w:rsidRDefault="0010369C">
            <w:pPr>
              <w:pStyle w:val="TableParagraph"/>
              <w:rPr>
                <w:rFonts w:ascii="Times New Roman"/>
                <w:sz w:val="18"/>
              </w:rPr>
            </w:pPr>
          </w:p>
        </w:tc>
        <w:tc>
          <w:tcPr>
            <w:tcW w:w="170" w:type="dxa"/>
            <w:tcBorders>
              <w:bottom w:val="single" w:sz="4" w:space="0" w:color="000000"/>
            </w:tcBorders>
          </w:tcPr>
          <w:p w14:paraId="51DE7A7B" w14:textId="77777777" w:rsidR="0010369C" w:rsidRDefault="0010369C">
            <w:pPr>
              <w:pStyle w:val="TableParagraph"/>
              <w:rPr>
                <w:rFonts w:ascii="Times New Roman"/>
                <w:sz w:val="18"/>
              </w:rPr>
            </w:pPr>
          </w:p>
        </w:tc>
        <w:tc>
          <w:tcPr>
            <w:tcW w:w="110" w:type="dxa"/>
            <w:tcBorders>
              <w:bottom w:val="single" w:sz="4" w:space="0" w:color="000000"/>
            </w:tcBorders>
          </w:tcPr>
          <w:p w14:paraId="51DE7A7C" w14:textId="77777777" w:rsidR="0010369C" w:rsidRDefault="0010369C">
            <w:pPr>
              <w:pStyle w:val="TableParagraph"/>
              <w:rPr>
                <w:rFonts w:ascii="Times New Roman"/>
                <w:sz w:val="18"/>
              </w:rPr>
            </w:pPr>
          </w:p>
        </w:tc>
        <w:tc>
          <w:tcPr>
            <w:tcW w:w="652" w:type="dxa"/>
            <w:tcBorders>
              <w:bottom w:val="single" w:sz="4" w:space="0" w:color="000000"/>
              <w:right w:val="single" w:sz="4" w:space="0" w:color="000000"/>
            </w:tcBorders>
          </w:tcPr>
          <w:p w14:paraId="51DE7A7D" w14:textId="77777777" w:rsidR="0010369C" w:rsidRDefault="0010369C">
            <w:pPr>
              <w:pStyle w:val="TableParagraph"/>
              <w:rPr>
                <w:rFonts w:ascii="Times New Roman"/>
                <w:sz w:val="18"/>
              </w:rPr>
            </w:pPr>
          </w:p>
        </w:tc>
        <w:tc>
          <w:tcPr>
            <w:tcW w:w="3114" w:type="dxa"/>
            <w:gridSpan w:val="4"/>
            <w:vMerge/>
            <w:tcBorders>
              <w:top w:val="nil"/>
              <w:left w:val="single" w:sz="4" w:space="0" w:color="000000"/>
              <w:bottom w:val="single" w:sz="4" w:space="0" w:color="000000"/>
              <w:right w:val="single" w:sz="4" w:space="0" w:color="000000"/>
            </w:tcBorders>
          </w:tcPr>
          <w:p w14:paraId="51DE7A7E" w14:textId="77777777" w:rsidR="0010369C" w:rsidRDefault="0010369C">
            <w:pPr>
              <w:rPr>
                <w:sz w:val="2"/>
                <w:szCs w:val="2"/>
              </w:rPr>
            </w:pPr>
          </w:p>
        </w:tc>
      </w:tr>
      <w:tr w:rsidR="0010369C" w14:paraId="51DE7A85" w14:textId="77777777">
        <w:trPr>
          <w:trHeight w:val="310"/>
        </w:trPr>
        <w:tc>
          <w:tcPr>
            <w:tcW w:w="1184" w:type="dxa"/>
            <w:vMerge w:val="restart"/>
            <w:tcBorders>
              <w:top w:val="single" w:sz="4" w:space="0" w:color="000000"/>
              <w:left w:val="single" w:sz="4" w:space="0" w:color="000000"/>
              <w:bottom w:val="single" w:sz="4" w:space="0" w:color="000000"/>
              <w:right w:val="single" w:sz="4" w:space="0" w:color="000000"/>
            </w:tcBorders>
          </w:tcPr>
          <w:p w14:paraId="51DE7A80" w14:textId="77777777" w:rsidR="0010369C" w:rsidRDefault="008E43AE">
            <w:pPr>
              <w:pStyle w:val="TableParagraph"/>
              <w:ind w:left="107"/>
              <w:rPr>
                <w:sz w:val="24"/>
              </w:rPr>
            </w:pPr>
            <w:r>
              <w:rPr>
                <w:spacing w:val="-2"/>
                <w:sz w:val="24"/>
              </w:rPr>
              <w:t>AUS‐80</w:t>
            </w:r>
          </w:p>
        </w:tc>
        <w:tc>
          <w:tcPr>
            <w:tcW w:w="86" w:type="dxa"/>
            <w:tcBorders>
              <w:top w:val="single" w:sz="4" w:space="0" w:color="000000"/>
              <w:left w:val="single" w:sz="4" w:space="0" w:color="000000"/>
            </w:tcBorders>
          </w:tcPr>
          <w:p w14:paraId="51DE7A81" w14:textId="77777777" w:rsidR="0010369C" w:rsidRDefault="0010369C">
            <w:pPr>
              <w:pStyle w:val="TableParagraph"/>
              <w:rPr>
                <w:rFonts w:ascii="Times New Roman"/>
              </w:rPr>
            </w:pPr>
          </w:p>
        </w:tc>
        <w:tc>
          <w:tcPr>
            <w:tcW w:w="4023" w:type="dxa"/>
            <w:gridSpan w:val="5"/>
            <w:tcBorders>
              <w:top w:val="single" w:sz="4" w:space="0" w:color="000000"/>
            </w:tcBorders>
          </w:tcPr>
          <w:p w14:paraId="51DE7A82" w14:textId="77777777" w:rsidR="0010369C" w:rsidRDefault="008E43AE">
            <w:pPr>
              <w:pStyle w:val="TableParagraph"/>
              <w:spacing w:line="290" w:lineRule="exact"/>
              <w:ind w:left="26" w:right="-15"/>
              <w:rPr>
                <w:sz w:val="24"/>
              </w:rPr>
            </w:pPr>
            <w:r>
              <w:rPr>
                <w:sz w:val="24"/>
              </w:rPr>
              <w:t>Treasury</w:t>
            </w:r>
            <w:r>
              <w:rPr>
                <w:spacing w:val="-2"/>
                <w:sz w:val="24"/>
              </w:rPr>
              <w:t xml:space="preserve"> </w:t>
            </w:r>
            <w:r>
              <w:rPr>
                <w:sz w:val="24"/>
              </w:rPr>
              <w:t>Wines,</w:t>
            </w:r>
            <w:r>
              <w:rPr>
                <w:spacing w:val="-3"/>
                <w:sz w:val="24"/>
              </w:rPr>
              <w:t xml:space="preserve"> </w:t>
            </w:r>
            <w:r>
              <w:rPr>
                <w:sz w:val="24"/>
              </w:rPr>
              <w:t>"Minutes</w:t>
            </w:r>
            <w:r>
              <w:rPr>
                <w:spacing w:val="-3"/>
                <w:sz w:val="24"/>
              </w:rPr>
              <w:t xml:space="preserve"> </w:t>
            </w:r>
            <w:r>
              <w:rPr>
                <w:sz w:val="24"/>
              </w:rPr>
              <w:t>of</w:t>
            </w:r>
            <w:r>
              <w:rPr>
                <w:spacing w:val="-2"/>
                <w:sz w:val="24"/>
              </w:rPr>
              <w:t xml:space="preserve"> Stakeholder</w:t>
            </w:r>
          </w:p>
        </w:tc>
        <w:tc>
          <w:tcPr>
            <w:tcW w:w="652" w:type="dxa"/>
            <w:tcBorders>
              <w:top w:val="single" w:sz="4" w:space="0" w:color="000000"/>
              <w:right w:val="single" w:sz="4" w:space="0" w:color="000000"/>
            </w:tcBorders>
          </w:tcPr>
          <w:p w14:paraId="51DE7A83" w14:textId="77777777" w:rsidR="0010369C" w:rsidRDefault="0010369C">
            <w:pPr>
              <w:pStyle w:val="TableParagraph"/>
              <w:rPr>
                <w:rFonts w:ascii="Times New Roman"/>
              </w:rPr>
            </w:pPr>
          </w:p>
        </w:tc>
        <w:tc>
          <w:tcPr>
            <w:tcW w:w="3114" w:type="dxa"/>
            <w:gridSpan w:val="4"/>
            <w:vMerge w:val="restart"/>
            <w:tcBorders>
              <w:top w:val="single" w:sz="4" w:space="0" w:color="000000"/>
              <w:left w:val="single" w:sz="4" w:space="0" w:color="000000"/>
              <w:right w:val="single" w:sz="4" w:space="0" w:color="000000"/>
            </w:tcBorders>
          </w:tcPr>
          <w:p w14:paraId="51DE7A84" w14:textId="77777777" w:rsidR="0010369C" w:rsidRDefault="008E43AE">
            <w:pPr>
              <w:pStyle w:val="TableParagraph"/>
              <w:ind w:left="111"/>
              <w:rPr>
                <w:sz w:val="24"/>
              </w:rPr>
            </w:pPr>
            <w:r>
              <w:rPr>
                <w:sz w:val="24"/>
              </w:rPr>
              <w:t>Treasury</w:t>
            </w:r>
            <w:r>
              <w:rPr>
                <w:spacing w:val="-12"/>
                <w:sz w:val="24"/>
              </w:rPr>
              <w:t xml:space="preserve"> </w:t>
            </w:r>
            <w:r>
              <w:rPr>
                <w:sz w:val="24"/>
              </w:rPr>
              <w:t>Wines</w:t>
            </w:r>
            <w:r>
              <w:rPr>
                <w:spacing w:val="-13"/>
                <w:sz w:val="24"/>
              </w:rPr>
              <w:t xml:space="preserve"> </w:t>
            </w:r>
            <w:r>
              <w:rPr>
                <w:sz w:val="24"/>
              </w:rPr>
              <w:t>Minutes</w:t>
            </w:r>
            <w:r>
              <w:rPr>
                <w:spacing w:val="-13"/>
                <w:sz w:val="24"/>
              </w:rPr>
              <w:t xml:space="preserve"> </w:t>
            </w:r>
            <w:r>
              <w:rPr>
                <w:sz w:val="24"/>
              </w:rPr>
              <w:t>of Stakeholder Meeting</w:t>
            </w:r>
          </w:p>
        </w:tc>
      </w:tr>
      <w:tr w:rsidR="0010369C" w14:paraId="51DE7A8A" w14:textId="77777777">
        <w:trPr>
          <w:trHeight w:val="282"/>
        </w:trPr>
        <w:tc>
          <w:tcPr>
            <w:tcW w:w="1184" w:type="dxa"/>
            <w:vMerge/>
            <w:tcBorders>
              <w:top w:val="nil"/>
              <w:left w:val="single" w:sz="4" w:space="0" w:color="000000"/>
              <w:bottom w:val="single" w:sz="4" w:space="0" w:color="000000"/>
              <w:right w:val="single" w:sz="4" w:space="0" w:color="000000"/>
            </w:tcBorders>
          </w:tcPr>
          <w:p w14:paraId="51DE7A86" w14:textId="77777777" w:rsidR="0010369C" w:rsidRDefault="0010369C">
            <w:pPr>
              <w:rPr>
                <w:sz w:val="2"/>
                <w:szCs w:val="2"/>
              </w:rPr>
            </w:pPr>
          </w:p>
        </w:tc>
        <w:tc>
          <w:tcPr>
            <w:tcW w:w="86" w:type="dxa"/>
            <w:tcBorders>
              <w:left w:val="single" w:sz="4" w:space="0" w:color="000000"/>
            </w:tcBorders>
          </w:tcPr>
          <w:p w14:paraId="51DE7A87" w14:textId="77777777" w:rsidR="0010369C" w:rsidRDefault="0010369C">
            <w:pPr>
              <w:pStyle w:val="TableParagraph"/>
              <w:rPr>
                <w:rFonts w:ascii="Times New Roman"/>
                <w:sz w:val="20"/>
              </w:rPr>
            </w:pPr>
          </w:p>
        </w:tc>
        <w:tc>
          <w:tcPr>
            <w:tcW w:w="4675" w:type="dxa"/>
            <w:gridSpan w:val="6"/>
            <w:tcBorders>
              <w:right w:val="single" w:sz="4" w:space="0" w:color="000000"/>
            </w:tcBorders>
          </w:tcPr>
          <w:p w14:paraId="51DE7A88" w14:textId="77777777" w:rsidR="0010369C" w:rsidRDefault="008E43AE">
            <w:pPr>
              <w:pStyle w:val="TableParagraph"/>
              <w:spacing w:line="263" w:lineRule="exact"/>
              <w:ind w:left="21"/>
              <w:rPr>
                <w:sz w:val="24"/>
              </w:rPr>
            </w:pPr>
            <w:r>
              <w:rPr>
                <w:sz w:val="24"/>
              </w:rPr>
              <w:t>Meeting</w:t>
            </w:r>
            <w:r>
              <w:rPr>
                <w:spacing w:val="-4"/>
                <w:sz w:val="24"/>
              </w:rPr>
              <w:t xml:space="preserve"> </w:t>
            </w:r>
            <w:r>
              <w:rPr>
                <w:sz w:val="24"/>
              </w:rPr>
              <w:t>with</w:t>
            </w:r>
            <w:r>
              <w:rPr>
                <w:spacing w:val="-1"/>
                <w:sz w:val="24"/>
              </w:rPr>
              <w:t xml:space="preserve"> </w:t>
            </w:r>
            <w:r>
              <w:rPr>
                <w:sz w:val="24"/>
              </w:rPr>
              <w:t>MOFCOM",</w:t>
            </w:r>
            <w:r>
              <w:rPr>
                <w:spacing w:val="52"/>
                <w:sz w:val="24"/>
              </w:rPr>
              <w:t xml:space="preserve"> </w:t>
            </w:r>
            <w:r>
              <w:rPr>
                <w:sz w:val="24"/>
              </w:rPr>
              <w:t>12</w:t>
            </w:r>
            <w:r>
              <w:rPr>
                <w:spacing w:val="-1"/>
                <w:sz w:val="24"/>
              </w:rPr>
              <w:t xml:space="preserve"> </w:t>
            </w:r>
            <w:r>
              <w:rPr>
                <w:sz w:val="24"/>
              </w:rPr>
              <w:t xml:space="preserve">October </w:t>
            </w:r>
            <w:r>
              <w:rPr>
                <w:spacing w:val="-4"/>
                <w:sz w:val="24"/>
              </w:rPr>
              <w:t>2020</w:t>
            </w:r>
          </w:p>
        </w:tc>
        <w:tc>
          <w:tcPr>
            <w:tcW w:w="3114" w:type="dxa"/>
            <w:gridSpan w:val="4"/>
            <w:vMerge/>
            <w:tcBorders>
              <w:top w:val="nil"/>
              <w:left w:val="single" w:sz="4" w:space="0" w:color="000000"/>
              <w:right w:val="single" w:sz="4" w:space="0" w:color="000000"/>
            </w:tcBorders>
          </w:tcPr>
          <w:p w14:paraId="51DE7A89" w14:textId="77777777" w:rsidR="0010369C" w:rsidRDefault="0010369C">
            <w:pPr>
              <w:rPr>
                <w:sz w:val="2"/>
                <w:szCs w:val="2"/>
              </w:rPr>
            </w:pPr>
          </w:p>
        </w:tc>
      </w:tr>
      <w:tr w:rsidR="0010369C" w14:paraId="51DE7A92" w14:textId="77777777">
        <w:trPr>
          <w:trHeight w:val="266"/>
        </w:trPr>
        <w:tc>
          <w:tcPr>
            <w:tcW w:w="1184" w:type="dxa"/>
            <w:vMerge/>
            <w:tcBorders>
              <w:top w:val="nil"/>
              <w:left w:val="single" w:sz="4" w:space="0" w:color="000000"/>
              <w:bottom w:val="single" w:sz="4" w:space="0" w:color="000000"/>
              <w:right w:val="single" w:sz="4" w:space="0" w:color="000000"/>
            </w:tcBorders>
          </w:tcPr>
          <w:p w14:paraId="51DE7A8B" w14:textId="77777777" w:rsidR="0010369C" w:rsidRDefault="0010369C">
            <w:pPr>
              <w:rPr>
                <w:sz w:val="2"/>
                <w:szCs w:val="2"/>
              </w:rPr>
            </w:pPr>
          </w:p>
        </w:tc>
        <w:tc>
          <w:tcPr>
            <w:tcW w:w="86" w:type="dxa"/>
            <w:tcBorders>
              <w:left w:val="single" w:sz="4" w:space="0" w:color="000000"/>
              <w:bottom w:val="single" w:sz="4" w:space="0" w:color="000000"/>
            </w:tcBorders>
          </w:tcPr>
          <w:p w14:paraId="51DE7A8C" w14:textId="77777777" w:rsidR="0010369C" w:rsidRDefault="0010369C">
            <w:pPr>
              <w:pStyle w:val="TableParagraph"/>
              <w:rPr>
                <w:rFonts w:ascii="Times New Roman"/>
                <w:sz w:val="18"/>
              </w:rPr>
            </w:pPr>
          </w:p>
        </w:tc>
        <w:tc>
          <w:tcPr>
            <w:tcW w:w="3743" w:type="dxa"/>
            <w:gridSpan w:val="3"/>
          </w:tcPr>
          <w:p w14:paraId="51DE7A8D" w14:textId="77777777" w:rsidR="0010369C" w:rsidRDefault="008E43AE">
            <w:pPr>
              <w:pStyle w:val="TableParagraph"/>
              <w:spacing w:line="246" w:lineRule="exact"/>
              <w:ind w:left="26"/>
              <w:rPr>
                <w:sz w:val="24"/>
              </w:rPr>
            </w:pPr>
            <w:r>
              <w:rPr>
                <w:sz w:val="24"/>
              </w:rPr>
              <w:t>(public</w:t>
            </w:r>
            <w:r>
              <w:rPr>
                <w:spacing w:val="-2"/>
                <w:sz w:val="24"/>
              </w:rPr>
              <w:t xml:space="preserve"> </w:t>
            </w:r>
            <w:r>
              <w:rPr>
                <w:sz w:val="24"/>
              </w:rPr>
              <w:t>version)</w:t>
            </w:r>
            <w:r>
              <w:rPr>
                <w:spacing w:val="-1"/>
                <w:sz w:val="24"/>
              </w:rPr>
              <w:t xml:space="preserve"> </w:t>
            </w:r>
            <w:r>
              <w:rPr>
                <w:sz w:val="24"/>
              </w:rPr>
              <w:t>(English</w:t>
            </w:r>
            <w:r>
              <w:rPr>
                <w:spacing w:val="-2"/>
                <w:sz w:val="24"/>
              </w:rPr>
              <w:t xml:space="preserve"> Translation)</w:t>
            </w:r>
          </w:p>
        </w:tc>
        <w:tc>
          <w:tcPr>
            <w:tcW w:w="170" w:type="dxa"/>
          </w:tcPr>
          <w:p w14:paraId="51DE7A8E" w14:textId="77777777" w:rsidR="0010369C" w:rsidRDefault="0010369C">
            <w:pPr>
              <w:pStyle w:val="TableParagraph"/>
              <w:rPr>
                <w:rFonts w:ascii="Times New Roman"/>
                <w:sz w:val="18"/>
              </w:rPr>
            </w:pPr>
          </w:p>
        </w:tc>
        <w:tc>
          <w:tcPr>
            <w:tcW w:w="110" w:type="dxa"/>
          </w:tcPr>
          <w:p w14:paraId="51DE7A8F" w14:textId="77777777" w:rsidR="0010369C" w:rsidRDefault="0010369C">
            <w:pPr>
              <w:pStyle w:val="TableParagraph"/>
              <w:rPr>
                <w:rFonts w:ascii="Times New Roman"/>
                <w:sz w:val="18"/>
              </w:rPr>
            </w:pPr>
          </w:p>
        </w:tc>
        <w:tc>
          <w:tcPr>
            <w:tcW w:w="652" w:type="dxa"/>
            <w:tcBorders>
              <w:bottom w:val="single" w:sz="4" w:space="0" w:color="000000"/>
              <w:right w:val="single" w:sz="4" w:space="0" w:color="000000"/>
            </w:tcBorders>
          </w:tcPr>
          <w:p w14:paraId="51DE7A90" w14:textId="77777777" w:rsidR="0010369C" w:rsidRDefault="0010369C">
            <w:pPr>
              <w:pStyle w:val="TableParagraph"/>
              <w:rPr>
                <w:rFonts w:ascii="Times New Roman"/>
                <w:sz w:val="18"/>
              </w:rPr>
            </w:pPr>
          </w:p>
        </w:tc>
        <w:tc>
          <w:tcPr>
            <w:tcW w:w="3114" w:type="dxa"/>
            <w:gridSpan w:val="4"/>
            <w:vMerge/>
            <w:tcBorders>
              <w:top w:val="nil"/>
              <w:left w:val="single" w:sz="4" w:space="0" w:color="000000"/>
              <w:right w:val="single" w:sz="4" w:space="0" w:color="000000"/>
            </w:tcBorders>
          </w:tcPr>
          <w:p w14:paraId="51DE7A91" w14:textId="77777777" w:rsidR="0010369C" w:rsidRDefault="0010369C">
            <w:pPr>
              <w:rPr>
                <w:sz w:val="2"/>
                <w:szCs w:val="2"/>
              </w:rPr>
            </w:pPr>
          </w:p>
        </w:tc>
      </w:tr>
      <w:tr w:rsidR="0010369C" w14:paraId="51DE7A9B" w14:textId="77777777">
        <w:trPr>
          <w:trHeight w:val="309"/>
        </w:trPr>
        <w:tc>
          <w:tcPr>
            <w:tcW w:w="1184" w:type="dxa"/>
            <w:tcBorders>
              <w:top w:val="single" w:sz="4" w:space="0" w:color="000000"/>
              <w:left w:val="single" w:sz="4" w:space="0" w:color="000000"/>
              <w:right w:val="single" w:sz="4" w:space="0" w:color="000000"/>
            </w:tcBorders>
          </w:tcPr>
          <w:p w14:paraId="51DE7A93" w14:textId="77777777" w:rsidR="0010369C" w:rsidRDefault="008E43AE">
            <w:pPr>
              <w:pStyle w:val="TableParagraph"/>
              <w:spacing w:line="290" w:lineRule="exact"/>
              <w:ind w:left="107"/>
              <w:rPr>
                <w:sz w:val="24"/>
              </w:rPr>
            </w:pPr>
            <w:r>
              <w:rPr>
                <w:spacing w:val="-2"/>
                <w:sz w:val="24"/>
              </w:rPr>
              <w:t>AUS‐81</w:t>
            </w:r>
          </w:p>
        </w:tc>
        <w:tc>
          <w:tcPr>
            <w:tcW w:w="86" w:type="dxa"/>
            <w:vMerge w:val="restart"/>
            <w:shd w:val="clear" w:color="auto" w:fill="000000"/>
          </w:tcPr>
          <w:p w14:paraId="51DE7A94" w14:textId="77777777" w:rsidR="0010369C" w:rsidRDefault="0010369C">
            <w:pPr>
              <w:pStyle w:val="TableParagraph"/>
              <w:rPr>
                <w:rFonts w:ascii="Times New Roman"/>
              </w:rPr>
            </w:pPr>
          </w:p>
        </w:tc>
        <w:tc>
          <w:tcPr>
            <w:tcW w:w="4023" w:type="dxa"/>
            <w:gridSpan w:val="5"/>
            <w:vMerge w:val="restart"/>
            <w:shd w:val="clear" w:color="auto" w:fill="000000"/>
          </w:tcPr>
          <w:p w14:paraId="51DE7A95" w14:textId="77777777" w:rsidR="0010369C" w:rsidRDefault="0010369C">
            <w:pPr>
              <w:pStyle w:val="TableParagraph"/>
              <w:rPr>
                <w:rFonts w:ascii="Times New Roman"/>
              </w:rPr>
            </w:pPr>
          </w:p>
        </w:tc>
        <w:tc>
          <w:tcPr>
            <w:tcW w:w="652" w:type="dxa"/>
            <w:vMerge w:val="restart"/>
            <w:tcBorders>
              <w:top w:val="single" w:sz="4" w:space="0" w:color="000000"/>
              <w:right w:val="single" w:sz="4" w:space="0" w:color="000000"/>
            </w:tcBorders>
          </w:tcPr>
          <w:p w14:paraId="51DE7A96" w14:textId="77777777" w:rsidR="0010369C" w:rsidRDefault="0010369C">
            <w:pPr>
              <w:pStyle w:val="TableParagraph"/>
              <w:rPr>
                <w:rFonts w:ascii="Times New Roman"/>
              </w:rPr>
            </w:pPr>
          </w:p>
        </w:tc>
        <w:tc>
          <w:tcPr>
            <w:tcW w:w="101" w:type="dxa"/>
            <w:vMerge w:val="restart"/>
            <w:shd w:val="clear" w:color="auto" w:fill="000000"/>
          </w:tcPr>
          <w:p w14:paraId="51DE7A97" w14:textId="77777777" w:rsidR="0010369C" w:rsidRDefault="0010369C">
            <w:pPr>
              <w:pStyle w:val="TableParagraph"/>
              <w:rPr>
                <w:rFonts w:ascii="Times New Roman"/>
              </w:rPr>
            </w:pPr>
          </w:p>
        </w:tc>
        <w:tc>
          <w:tcPr>
            <w:tcW w:w="1876" w:type="dxa"/>
            <w:vMerge w:val="restart"/>
            <w:shd w:val="clear" w:color="auto" w:fill="000000"/>
          </w:tcPr>
          <w:p w14:paraId="51DE7A98" w14:textId="77777777" w:rsidR="0010369C" w:rsidRDefault="0010369C">
            <w:pPr>
              <w:pStyle w:val="TableParagraph"/>
              <w:rPr>
                <w:rFonts w:ascii="Times New Roman"/>
              </w:rPr>
            </w:pPr>
          </w:p>
        </w:tc>
        <w:tc>
          <w:tcPr>
            <w:tcW w:w="496" w:type="dxa"/>
            <w:vMerge w:val="restart"/>
            <w:shd w:val="clear" w:color="auto" w:fill="000000"/>
          </w:tcPr>
          <w:p w14:paraId="51DE7A99" w14:textId="77777777" w:rsidR="0010369C" w:rsidRDefault="0010369C">
            <w:pPr>
              <w:pStyle w:val="TableParagraph"/>
              <w:rPr>
                <w:rFonts w:ascii="Times New Roman"/>
              </w:rPr>
            </w:pPr>
          </w:p>
        </w:tc>
        <w:tc>
          <w:tcPr>
            <w:tcW w:w="641" w:type="dxa"/>
            <w:vMerge w:val="restart"/>
            <w:tcBorders>
              <w:top w:val="single" w:sz="4" w:space="0" w:color="000000"/>
              <w:bottom w:val="single" w:sz="4" w:space="0" w:color="000000"/>
              <w:right w:val="single" w:sz="4" w:space="0" w:color="000000"/>
            </w:tcBorders>
          </w:tcPr>
          <w:p w14:paraId="51DE7A9A" w14:textId="77777777" w:rsidR="0010369C" w:rsidRDefault="0010369C">
            <w:pPr>
              <w:pStyle w:val="TableParagraph"/>
              <w:rPr>
                <w:rFonts w:ascii="Times New Roman"/>
              </w:rPr>
            </w:pPr>
          </w:p>
        </w:tc>
      </w:tr>
      <w:tr w:rsidR="0010369C" w14:paraId="51DE7AA4" w14:textId="77777777">
        <w:trPr>
          <w:trHeight w:val="292"/>
        </w:trPr>
        <w:tc>
          <w:tcPr>
            <w:tcW w:w="1184" w:type="dxa"/>
            <w:tcBorders>
              <w:left w:val="single" w:sz="4" w:space="0" w:color="000000"/>
              <w:right w:val="single" w:sz="4" w:space="0" w:color="000000"/>
            </w:tcBorders>
          </w:tcPr>
          <w:p w14:paraId="51DE7A9C" w14:textId="77777777" w:rsidR="0010369C" w:rsidRDefault="008E43AE">
            <w:pPr>
              <w:pStyle w:val="TableParagraph"/>
              <w:spacing w:line="266" w:lineRule="exact"/>
              <w:ind w:left="107"/>
              <w:rPr>
                <w:sz w:val="24"/>
              </w:rPr>
            </w:pPr>
            <w:r>
              <w:rPr>
                <w:spacing w:val="-2"/>
                <w:sz w:val="24"/>
              </w:rPr>
              <w:t>(BCI)</w:t>
            </w:r>
          </w:p>
        </w:tc>
        <w:tc>
          <w:tcPr>
            <w:tcW w:w="86" w:type="dxa"/>
            <w:vMerge/>
            <w:tcBorders>
              <w:top w:val="nil"/>
            </w:tcBorders>
            <w:shd w:val="clear" w:color="auto" w:fill="000000"/>
          </w:tcPr>
          <w:p w14:paraId="51DE7A9D" w14:textId="77777777" w:rsidR="0010369C" w:rsidRDefault="0010369C">
            <w:pPr>
              <w:rPr>
                <w:sz w:val="2"/>
                <w:szCs w:val="2"/>
              </w:rPr>
            </w:pPr>
          </w:p>
        </w:tc>
        <w:tc>
          <w:tcPr>
            <w:tcW w:w="4023" w:type="dxa"/>
            <w:gridSpan w:val="5"/>
            <w:vMerge/>
            <w:tcBorders>
              <w:top w:val="nil"/>
            </w:tcBorders>
            <w:shd w:val="clear" w:color="auto" w:fill="000000"/>
          </w:tcPr>
          <w:p w14:paraId="51DE7A9E" w14:textId="77777777" w:rsidR="0010369C" w:rsidRDefault="0010369C">
            <w:pPr>
              <w:rPr>
                <w:sz w:val="2"/>
                <w:szCs w:val="2"/>
              </w:rPr>
            </w:pPr>
          </w:p>
        </w:tc>
        <w:tc>
          <w:tcPr>
            <w:tcW w:w="652" w:type="dxa"/>
            <w:vMerge/>
            <w:tcBorders>
              <w:top w:val="nil"/>
              <w:right w:val="single" w:sz="4" w:space="0" w:color="000000"/>
            </w:tcBorders>
          </w:tcPr>
          <w:p w14:paraId="51DE7A9F" w14:textId="77777777" w:rsidR="0010369C" w:rsidRDefault="0010369C">
            <w:pPr>
              <w:rPr>
                <w:sz w:val="2"/>
                <w:szCs w:val="2"/>
              </w:rPr>
            </w:pPr>
          </w:p>
        </w:tc>
        <w:tc>
          <w:tcPr>
            <w:tcW w:w="101" w:type="dxa"/>
            <w:vMerge/>
            <w:tcBorders>
              <w:top w:val="nil"/>
            </w:tcBorders>
            <w:shd w:val="clear" w:color="auto" w:fill="000000"/>
          </w:tcPr>
          <w:p w14:paraId="51DE7AA0" w14:textId="77777777" w:rsidR="0010369C" w:rsidRDefault="0010369C">
            <w:pPr>
              <w:rPr>
                <w:sz w:val="2"/>
                <w:szCs w:val="2"/>
              </w:rPr>
            </w:pPr>
          </w:p>
        </w:tc>
        <w:tc>
          <w:tcPr>
            <w:tcW w:w="1876" w:type="dxa"/>
            <w:vMerge/>
            <w:tcBorders>
              <w:top w:val="nil"/>
            </w:tcBorders>
            <w:shd w:val="clear" w:color="auto" w:fill="000000"/>
          </w:tcPr>
          <w:p w14:paraId="51DE7AA1" w14:textId="77777777" w:rsidR="0010369C" w:rsidRDefault="0010369C">
            <w:pPr>
              <w:rPr>
                <w:sz w:val="2"/>
                <w:szCs w:val="2"/>
              </w:rPr>
            </w:pPr>
          </w:p>
        </w:tc>
        <w:tc>
          <w:tcPr>
            <w:tcW w:w="496" w:type="dxa"/>
            <w:vMerge/>
            <w:tcBorders>
              <w:top w:val="nil"/>
            </w:tcBorders>
            <w:shd w:val="clear" w:color="auto" w:fill="000000"/>
          </w:tcPr>
          <w:p w14:paraId="51DE7AA2" w14:textId="77777777" w:rsidR="0010369C" w:rsidRDefault="0010369C">
            <w:pPr>
              <w:rPr>
                <w:sz w:val="2"/>
                <w:szCs w:val="2"/>
              </w:rPr>
            </w:pPr>
          </w:p>
        </w:tc>
        <w:tc>
          <w:tcPr>
            <w:tcW w:w="641" w:type="dxa"/>
            <w:vMerge/>
            <w:tcBorders>
              <w:top w:val="nil"/>
              <w:bottom w:val="single" w:sz="4" w:space="0" w:color="000000"/>
              <w:right w:val="single" w:sz="4" w:space="0" w:color="000000"/>
            </w:tcBorders>
          </w:tcPr>
          <w:p w14:paraId="51DE7AA3" w14:textId="77777777" w:rsidR="0010369C" w:rsidRDefault="0010369C">
            <w:pPr>
              <w:rPr>
                <w:sz w:val="2"/>
                <w:szCs w:val="2"/>
              </w:rPr>
            </w:pPr>
          </w:p>
        </w:tc>
      </w:tr>
      <w:tr w:rsidR="0010369C" w14:paraId="51DE7AAD" w14:textId="77777777">
        <w:trPr>
          <w:trHeight w:val="282"/>
        </w:trPr>
        <w:tc>
          <w:tcPr>
            <w:tcW w:w="1184" w:type="dxa"/>
            <w:tcBorders>
              <w:left w:val="single" w:sz="4" w:space="0" w:color="000000"/>
              <w:right w:val="single" w:sz="4" w:space="0" w:color="000000"/>
            </w:tcBorders>
          </w:tcPr>
          <w:p w14:paraId="51DE7AA5" w14:textId="77777777" w:rsidR="0010369C" w:rsidRDefault="0010369C">
            <w:pPr>
              <w:pStyle w:val="TableParagraph"/>
              <w:rPr>
                <w:rFonts w:ascii="Times New Roman"/>
                <w:sz w:val="20"/>
              </w:rPr>
            </w:pPr>
          </w:p>
        </w:tc>
        <w:tc>
          <w:tcPr>
            <w:tcW w:w="86" w:type="dxa"/>
            <w:vMerge/>
            <w:tcBorders>
              <w:top w:val="nil"/>
            </w:tcBorders>
            <w:shd w:val="clear" w:color="auto" w:fill="000000"/>
          </w:tcPr>
          <w:p w14:paraId="51DE7AA6" w14:textId="77777777" w:rsidR="0010369C" w:rsidRDefault="0010369C">
            <w:pPr>
              <w:rPr>
                <w:sz w:val="2"/>
                <w:szCs w:val="2"/>
              </w:rPr>
            </w:pPr>
          </w:p>
        </w:tc>
        <w:tc>
          <w:tcPr>
            <w:tcW w:w="2072" w:type="dxa"/>
            <w:gridSpan w:val="2"/>
            <w:shd w:val="clear" w:color="auto" w:fill="000000"/>
          </w:tcPr>
          <w:p w14:paraId="51DE7AA7" w14:textId="77777777" w:rsidR="0010369C" w:rsidRDefault="0010369C">
            <w:pPr>
              <w:pStyle w:val="TableParagraph"/>
              <w:rPr>
                <w:rFonts w:ascii="Times New Roman"/>
                <w:sz w:val="20"/>
              </w:rPr>
            </w:pPr>
          </w:p>
        </w:tc>
        <w:tc>
          <w:tcPr>
            <w:tcW w:w="2603" w:type="dxa"/>
            <w:gridSpan w:val="4"/>
            <w:tcBorders>
              <w:right w:val="single" w:sz="4" w:space="0" w:color="000000"/>
            </w:tcBorders>
          </w:tcPr>
          <w:p w14:paraId="51DE7AA8" w14:textId="77777777" w:rsidR="0010369C" w:rsidRDefault="0010369C">
            <w:pPr>
              <w:pStyle w:val="TableParagraph"/>
              <w:rPr>
                <w:rFonts w:ascii="Times New Roman"/>
                <w:sz w:val="20"/>
              </w:rPr>
            </w:pPr>
          </w:p>
        </w:tc>
        <w:tc>
          <w:tcPr>
            <w:tcW w:w="101" w:type="dxa"/>
            <w:vMerge/>
            <w:tcBorders>
              <w:top w:val="nil"/>
            </w:tcBorders>
            <w:shd w:val="clear" w:color="auto" w:fill="000000"/>
          </w:tcPr>
          <w:p w14:paraId="51DE7AA9" w14:textId="77777777" w:rsidR="0010369C" w:rsidRDefault="0010369C">
            <w:pPr>
              <w:rPr>
                <w:sz w:val="2"/>
                <w:szCs w:val="2"/>
              </w:rPr>
            </w:pPr>
          </w:p>
        </w:tc>
        <w:tc>
          <w:tcPr>
            <w:tcW w:w="1876" w:type="dxa"/>
            <w:vMerge/>
            <w:tcBorders>
              <w:top w:val="nil"/>
            </w:tcBorders>
            <w:shd w:val="clear" w:color="auto" w:fill="000000"/>
          </w:tcPr>
          <w:p w14:paraId="51DE7AAA" w14:textId="77777777" w:rsidR="0010369C" w:rsidRDefault="0010369C">
            <w:pPr>
              <w:rPr>
                <w:sz w:val="2"/>
                <w:szCs w:val="2"/>
              </w:rPr>
            </w:pPr>
          </w:p>
        </w:tc>
        <w:tc>
          <w:tcPr>
            <w:tcW w:w="496" w:type="dxa"/>
            <w:vMerge/>
            <w:tcBorders>
              <w:top w:val="nil"/>
            </w:tcBorders>
            <w:shd w:val="clear" w:color="auto" w:fill="000000"/>
          </w:tcPr>
          <w:p w14:paraId="51DE7AAB" w14:textId="77777777" w:rsidR="0010369C" w:rsidRDefault="0010369C">
            <w:pPr>
              <w:rPr>
                <w:sz w:val="2"/>
                <w:szCs w:val="2"/>
              </w:rPr>
            </w:pPr>
          </w:p>
        </w:tc>
        <w:tc>
          <w:tcPr>
            <w:tcW w:w="641" w:type="dxa"/>
            <w:vMerge/>
            <w:tcBorders>
              <w:top w:val="nil"/>
              <w:bottom w:val="single" w:sz="4" w:space="0" w:color="000000"/>
              <w:right w:val="single" w:sz="4" w:space="0" w:color="000000"/>
            </w:tcBorders>
          </w:tcPr>
          <w:p w14:paraId="51DE7AAC" w14:textId="77777777" w:rsidR="0010369C" w:rsidRDefault="0010369C">
            <w:pPr>
              <w:rPr>
                <w:sz w:val="2"/>
                <w:szCs w:val="2"/>
              </w:rPr>
            </w:pPr>
          </w:p>
        </w:tc>
      </w:tr>
      <w:tr w:rsidR="0010369C" w14:paraId="51DE7AB4" w14:textId="77777777">
        <w:trPr>
          <w:trHeight w:val="257"/>
        </w:trPr>
        <w:tc>
          <w:tcPr>
            <w:tcW w:w="1184" w:type="dxa"/>
            <w:tcBorders>
              <w:left w:val="single" w:sz="4" w:space="0" w:color="000000"/>
              <w:bottom w:val="single" w:sz="4" w:space="0" w:color="000000"/>
              <w:right w:val="single" w:sz="4" w:space="0" w:color="000000"/>
            </w:tcBorders>
          </w:tcPr>
          <w:p w14:paraId="51DE7AAE" w14:textId="77777777" w:rsidR="0010369C" w:rsidRDefault="0010369C">
            <w:pPr>
              <w:pStyle w:val="TableParagraph"/>
              <w:rPr>
                <w:rFonts w:ascii="Times New Roman"/>
                <w:sz w:val="18"/>
              </w:rPr>
            </w:pPr>
          </w:p>
        </w:tc>
        <w:tc>
          <w:tcPr>
            <w:tcW w:w="4761" w:type="dxa"/>
            <w:gridSpan w:val="7"/>
            <w:tcBorders>
              <w:left w:val="single" w:sz="4" w:space="0" w:color="000000"/>
              <w:right w:val="single" w:sz="4" w:space="0" w:color="000000"/>
            </w:tcBorders>
          </w:tcPr>
          <w:p w14:paraId="51DE7AAF" w14:textId="77777777" w:rsidR="0010369C" w:rsidRDefault="0010369C">
            <w:pPr>
              <w:pStyle w:val="TableParagraph"/>
              <w:rPr>
                <w:rFonts w:ascii="Times New Roman"/>
                <w:sz w:val="18"/>
              </w:rPr>
            </w:pPr>
          </w:p>
        </w:tc>
        <w:tc>
          <w:tcPr>
            <w:tcW w:w="101" w:type="dxa"/>
            <w:vMerge/>
            <w:tcBorders>
              <w:top w:val="nil"/>
            </w:tcBorders>
            <w:shd w:val="clear" w:color="auto" w:fill="000000"/>
          </w:tcPr>
          <w:p w14:paraId="51DE7AB0" w14:textId="77777777" w:rsidR="0010369C" w:rsidRDefault="0010369C">
            <w:pPr>
              <w:rPr>
                <w:sz w:val="2"/>
                <w:szCs w:val="2"/>
              </w:rPr>
            </w:pPr>
          </w:p>
        </w:tc>
        <w:tc>
          <w:tcPr>
            <w:tcW w:w="1876" w:type="dxa"/>
            <w:vMerge/>
            <w:tcBorders>
              <w:top w:val="nil"/>
            </w:tcBorders>
            <w:shd w:val="clear" w:color="auto" w:fill="000000"/>
          </w:tcPr>
          <w:p w14:paraId="51DE7AB1" w14:textId="77777777" w:rsidR="0010369C" w:rsidRDefault="0010369C">
            <w:pPr>
              <w:rPr>
                <w:sz w:val="2"/>
                <w:szCs w:val="2"/>
              </w:rPr>
            </w:pPr>
          </w:p>
        </w:tc>
        <w:tc>
          <w:tcPr>
            <w:tcW w:w="496" w:type="dxa"/>
            <w:vMerge/>
            <w:tcBorders>
              <w:top w:val="nil"/>
            </w:tcBorders>
            <w:shd w:val="clear" w:color="auto" w:fill="000000"/>
          </w:tcPr>
          <w:p w14:paraId="51DE7AB2" w14:textId="77777777" w:rsidR="0010369C" w:rsidRDefault="0010369C">
            <w:pPr>
              <w:rPr>
                <w:sz w:val="2"/>
                <w:szCs w:val="2"/>
              </w:rPr>
            </w:pPr>
          </w:p>
        </w:tc>
        <w:tc>
          <w:tcPr>
            <w:tcW w:w="641" w:type="dxa"/>
            <w:vMerge/>
            <w:tcBorders>
              <w:top w:val="nil"/>
              <w:bottom w:val="single" w:sz="4" w:space="0" w:color="000000"/>
              <w:right w:val="single" w:sz="4" w:space="0" w:color="000000"/>
            </w:tcBorders>
          </w:tcPr>
          <w:p w14:paraId="51DE7AB3" w14:textId="77777777" w:rsidR="0010369C" w:rsidRDefault="0010369C">
            <w:pPr>
              <w:rPr>
                <w:sz w:val="2"/>
                <w:szCs w:val="2"/>
              </w:rPr>
            </w:pPr>
          </w:p>
        </w:tc>
      </w:tr>
      <w:tr w:rsidR="0010369C" w14:paraId="51DE7ABD" w14:textId="77777777">
        <w:trPr>
          <w:trHeight w:val="309"/>
        </w:trPr>
        <w:tc>
          <w:tcPr>
            <w:tcW w:w="1184" w:type="dxa"/>
            <w:tcBorders>
              <w:top w:val="single" w:sz="4" w:space="0" w:color="000000"/>
              <w:left w:val="single" w:sz="4" w:space="0" w:color="000000"/>
              <w:right w:val="single" w:sz="4" w:space="0" w:color="000000"/>
            </w:tcBorders>
          </w:tcPr>
          <w:p w14:paraId="51DE7AB5" w14:textId="77777777" w:rsidR="0010369C" w:rsidRDefault="008E43AE">
            <w:pPr>
              <w:pStyle w:val="TableParagraph"/>
              <w:spacing w:line="289" w:lineRule="exact"/>
              <w:ind w:left="107"/>
              <w:rPr>
                <w:sz w:val="24"/>
              </w:rPr>
            </w:pPr>
            <w:r>
              <w:rPr>
                <w:spacing w:val="-2"/>
                <w:sz w:val="24"/>
              </w:rPr>
              <w:t>AUS‐82</w:t>
            </w:r>
          </w:p>
        </w:tc>
        <w:tc>
          <w:tcPr>
            <w:tcW w:w="86" w:type="dxa"/>
            <w:vMerge w:val="restart"/>
            <w:shd w:val="clear" w:color="auto" w:fill="000000"/>
          </w:tcPr>
          <w:p w14:paraId="51DE7AB6" w14:textId="77777777" w:rsidR="0010369C" w:rsidRDefault="0010369C">
            <w:pPr>
              <w:pStyle w:val="TableParagraph"/>
              <w:rPr>
                <w:rFonts w:ascii="Times New Roman"/>
              </w:rPr>
            </w:pPr>
          </w:p>
        </w:tc>
        <w:tc>
          <w:tcPr>
            <w:tcW w:w="4023" w:type="dxa"/>
            <w:gridSpan w:val="5"/>
            <w:vMerge w:val="restart"/>
            <w:shd w:val="clear" w:color="auto" w:fill="000000"/>
          </w:tcPr>
          <w:p w14:paraId="51DE7AB7" w14:textId="77777777" w:rsidR="0010369C" w:rsidRDefault="0010369C">
            <w:pPr>
              <w:pStyle w:val="TableParagraph"/>
              <w:rPr>
                <w:rFonts w:ascii="Times New Roman"/>
              </w:rPr>
            </w:pPr>
          </w:p>
        </w:tc>
        <w:tc>
          <w:tcPr>
            <w:tcW w:w="652" w:type="dxa"/>
            <w:vMerge w:val="restart"/>
            <w:tcBorders>
              <w:top w:val="single" w:sz="4" w:space="0" w:color="000000"/>
              <w:right w:val="single" w:sz="4" w:space="0" w:color="000000"/>
            </w:tcBorders>
          </w:tcPr>
          <w:p w14:paraId="51DE7AB8" w14:textId="77777777" w:rsidR="0010369C" w:rsidRDefault="0010369C">
            <w:pPr>
              <w:pStyle w:val="TableParagraph"/>
              <w:rPr>
                <w:rFonts w:ascii="Times New Roman"/>
              </w:rPr>
            </w:pPr>
          </w:p>
        </w:tc>
        <w:tc>
          <w:tcPr>
            <w:tcW w:w="101" w:type="dxa"/>
            <w:vMerge w:val="restart"/>
            <w:shd w:val="clear" w:color="auto" w:fill="000000"/>
          </w:tcPr>
          <w:p w14:paraId="51DE7AB9" w14:textId="77777777" w:rsidR="0010369C" w:rsidRDefault="0010369C">
            <w:pPr>
              <w:pStyle w:val="TableParagraph"/>
              <w:rPr>
                <w:rFonts w:ascii="Times New Roman"/>
              </w:rPr>
            </w:pPr>
          </w:p>
        </w:tc>
        <w:tc>
          <w:tcPr>
            <w:tcW w:w="1876" w:type="dxa"/>
            <w:vMerge/>
            <w:tcBorders>
              <w:top w:val="nil"/>
            </w:tcBorders>
            <w:shd w:val="clear" w:color="auto" w:fill="000000"/>
          </w:tcPr>
          <w:p w14:paraId="51DE7ABA" w14:textId="77777777" w:rsidR="0010369C" w:rsidRDefault="0010369C">
            <w:pPr>
              <w:rPr>
                <w:sz w:val="2"/>
                <w:szCs w:val="2"/>
              </w:rPr>
            </w:pPr>
          </w:p>
        </w:tc>
        <w:tc>
          <w:tcPr>
            <w:tcW w:w="496" w:type="dxa"/>
            <w:vMerge w:val="restart"/>
            <w:shd w:val="clear" w:color="auto" w:fill="000000"/>
          </w:tcPr>
          <w:p w14:paraId="51DE7ABB" w14:textId="77777777" w:rsidR="0010369C" w:rsidRDefault="0010369C">
            <w:pPr>
              <w:pStyle w:val="TableParagraph"/>
              <w:rPr>
                <w:rFonts w:ascii="Times New Roman"/>
              </w:rPr>
            </w:pPr>
          </w:p>
        </w:tc>
        <w:tc>
          <w:tcPr>
            <w:tcW w:w="641" w:type="dxa"/>
            <w:vMerge w:val="restart"/>
            <w:tcBorders>
              <w:top w:val="single" w:sz="4" w:space="0" w:color="000000"/>
              <w:bottom w:val="single" w:sz="4" w:space="0" w:color="000000"/>
              <w:right w:val="single" w:sz="4" w:space="0" w:color="000000"/>
            </w:tcBorders>
          </w:tcPr>
          <w:p w14:paraId="51DE7ABC" w14:textId="77777777" w:rsidR="0010369C" w:rsidRDefault="0010369C">
            <w:pPr>
              <w:pStyle w:val="TableParagraph"/>
              <w:rPr>
                <w:rFonts w:ascii="Times New Roman"/>
              </w:rPr>
            </w:pPr>
          </w:p>
        </w:tc>
      </w:tr>
      <w:tr w:rsidR="0010369C" w14:paraId="51DE7AC6" w14:textId="77777777">
        <w:trPr>
          <w:trHeight w:val="585"/>
        </w:trPr>
        <w:tc>
          <w:tcPr>
            <w:tcW w:w="1184" w:type="dxa"/>
            <w:tcBorders>
              <w:left w:val="single" w:sz="4" w:space="0" w:color="000000"/>
              <w:right w:val="single" w:sz="4" w:space="0" w:color="000000"/>
            </w:tcBorders>
          </w:tcPr>
          <w:p w14:paraId="51DE7ABE" w14:textId="77777777" w:rsidR="0010369C" w:rsidRDefault="008E43AE">
            <w:pPr>
              <w:pStyle w:val="TableParagraph"/>
              <w:spacing w:line="266" w:lineRule="exact"/>
              <w:ind w:left="107"/>
              <w:rPr>
                <w:sz w:val="24"/>
              </w:rPr>
            </w:pPr>
            <w:r>
              <w:rPr>
                <w:spacing w:val="-2"/>
                <w:sz w:val="24"/>
              </w:rPr>
              <w:t>(BCI)</w:t>
            </w:r>
          </w:p>
        </w:tc>
        <w:tc>
          <w:tcPr>
            <w:tcW w:w="86" w:type="dxa"/>
            <w:vMerge/>
            <w:tcBorders>
              <w:top w:val="nil"/>
            </w:tcBorders>
            <w:shd w:val="clear" w:color="auto" w:fill="000000"/>
          </w:tcPr>
          <w:p w14:paraId="51DE7ABF" w14:textId="77777777" w:rsidR="0010369C" w:rsidRDefault="0010369C">
            <w:pPr>
              <w:rPr>
                <w:sz w:val="2"/>
                <w:szCs w:val="2"/>
              </w:rPr>
            </w:pPr>
          </w:p>
        </w:tc>
        <w:tc>
          <w:tcPr>
            <w:tcW w:w="4023" w:type="dxa"/>
            <w:gridSpan w:val="5"/>
            <w:vMerge/>
            <w:tcBorders>
              <w:top w:val="nil"/>
            </w:tcBorders>
            <w:shd w:val="clear" w:color="auto" w:fill="000000"/>
          </w:tcPr>
          <w:p w14:paraId="51DE7AC0" w14:textId="77777777" w:rsidR="0010369C" w:rsidRDefault="0010369C">
            <w:pPr>
              <w:rPr>
                <w:sz w:val="2"/>
                <w:szCs w:val="2"/>
              </w:rPr>
            </w:pPr>
          </w:p>
        </w:tc>
        <w:tc>
          <w:tcPr>
            <w:tcW w:w="652" w:type="dxa"/>
            <w:vMerge/>
            <w:tcBorders>
              <w:top w:val="nil"/>
              <w:right w:val="single" w:sz="4" w:space="0" w:color="000000"/>
            </w:tcBorders>
          </w:tcPr>
          <w:p w14:paraId="51DE7AC1" w14:textId="77777777" w:rsidR="0010369C" w:rsidRDefault="0010369C">
            <w:pPr>
              <w:rPr>
                <w:sz w:val="2"/>
                <w:szCs w:val="2"/>
              </w:rPr>
            </w:pPr>
          </w:p>
        </w:tc>
        <w:tc>
          <w:tcPr>
            <w:tcW w:w="101" w:type="dxa"/>
            <w:vMerge/>
            <w:tcBorders>
              <w:top w:val="nil"/>
            </w:tcBorders>
            <w:shd w:val="clear" w:color="auto" w:fill="000000"/>
          </w:tcPr>
          <w:p w14:paraId="51DE7AC2" w14:textId="77777777" w:rsidR="0010369C" w:rsidRDefault="0010369C">
            <w:pPr>
              <w:rPr>
                <w:sz w:val="2"/>
                <w:szCs w:val="2"/>
              </w:rPr>
            </w:pPr>
          </w:p>
        </w:tc>
        <w:tc>
          <w:tcPr>
            <w:tcW w:w="1876" w:type="dxa"/>
            <w:vMerge/>
            <w:tcBorders>
              <w:top w:val="nil"/>
            </w:tcBorders>
            <w:shd w:val="clear" w:color="auto" w:fill="000000"/>
          </w:tcPr>
          <w:p w14:paraId="51DE7AC3" w14:textId="77777777" w:rsidR="0010369C" w:rsidRDefault="0010369C">
            <w:pPr>
              <w:rPr>
                <w:sz w:val="2"/>
                <w:szCs w:val="2"/>
              </w:rPr>
            </w:pPr>
          </w:p>
        </w:tc>
        <w:tc>
          <w:tcPr>
            <w:tcW w:w="496" w:type="dxa"/>
            <w:vMerge/>
            <w:tcBorders>
              <w:top w:val="nil"/>
            </w:tcBorders>
            <w:shd w:val="clear" w:color="auto" w:fill="000000"/>
          </w:tcPr>
          <w:p w14:paraId="51DE7AC4" w14:textId="77777777" w:rsidR="0010369C" w:rsidRDefault="0010369C">
            <w:pPr>
              <w:rPr>
                <w:sz w:val="2"/>
                <w:szCs w:val="2"/>
              </w:rPr>
            </w:pPr>
          </w:p>
        </w:tc>
        <w:tc>
          <w:tcPr>
            <w:tcW w:w="641" w:type="dxa"/>
            <w:vMerge/>
            <w:tcBorders>
              <w:top w:val="nil"/>
              <w:bottom w:val="single" w:sz="4" w:space="0" w:color="000000"/>
              <w:right w:val="single" w:sz="4" w:space="0" w:color="000000"/>
            </w:tcBorders>
          </w:tcPr>
          <w:p w14:paraId="51DE7AC5" w14:textId="77777777" w:rsidR="0010369C" w:rsidRDefault="0010369C">
            <w:pPr>
              <w:rPr>
                <w:sz w:val="2"/>
                <w:szCs w:val="2"/>
              </w:rPr>
            </w:pPr>
          </w:p>
        </w:tc>
      </w:tr>
      <w:tr w:rsidR="0010369C" w14:paraId="51DE7ACD" w14:textId="77777777">
        <w:trPr>
          <w:trHeight w:val="257"/>
        </w:trPr>
        <w:tc>
          <w:tcPr>
            <w:tcW w:w="1184" w:type="dxa"/>
            <w:tcBorders>
              <w:left w:val="single" w:sz="4" w:space="0" w:color="000000"/>
              <w:bottom w:val="single" w:sz="4" w:space="0" w:color="000000"/>
              <w:right w:val="single" w:sz="4" w:space="0" w:color="000000"/>
            </w:tcBorders>
          </w:tcPr>
          <w:p w14:paraId="51DE7AC7" w14:textId="77777777" w:rsidR="0010369C" w:rsidRDefault="0010369C">
            <w:pPr>
              <w:pStyle w:val="TableParagraph"/>
              <w:rPr>
                <w:rFonts w:ascii="Times New Roman"/>
                <w:sz w:val="18"/>
              </w:rPr>
            </w:pPr>
          </w:p>
        </w:tc>
        <w:tc>
          <w:tcPr>
            <w:tcW w:w="4761" w:type="dxa"/>
            <w:gridSpan w:val="7"/>
            <w:tcBorders>
              <w:left w:val="single" w:sz="4" w:space="0" w:color="000000"/>
              <w:bottom w:val="single" w:sz="4" w:space="0" w:color="000000"/>
              <w:right w:val="single" w:sz="4" w:space="0" w:color="000000"/>
            </w:tcBorders>
          </w:tcPr>
          <w:p w14:paraId="51DE7AC8" w14:textId="77777777" w:rsidR="0010369C" w:rsidRDefault="0010369C">
            <w:pPr>
              <w:pStyle w:val="TableParagraph"/>
              <w:rPr>
                <w:rFonts w:ascii="Times New Roman"/>
                <w:sz w:val="18"/>
              </w:rPr>
            </w:pPr>
          </w:p>
        </w:tc>
        <w:tc>
          <w:tcPr>
            <w:tcW w:w="101" w:type="dxa"/>
            <w:vMerge/>
            <w:tcBorders>
              <w:top w:val="nil"/>
            </w:tcBorders>
            <w:shd w:val="clear" w:color="auto" w:fill="000000"/>
          </w:tcPr>
          <w:p w14:paraId="51DE7AC9" w14:textId="77777777" w:rsidR="0010369C" w:rsidRDefault="0010369C">
            <w:pPr>
              <w:rPr>
                <w:sz w:val="2"/>
                <w:szCs w:val="2"/>
              </w:rPr>
            </w:pPr>
          </w:p>
        </w:tc>
        <w:tc>
          <w:tcPr>
            <w:tcW w:w="1876" w:type="dxa"/>
            <w:vMerge/>
            <w:tcBorders>
              <w:top w:val="nil"/>
            </w:tcBorders>
            <w:shd w:val="clear" w:color="auto" w:fill="000000"/>
          </w:tcPr>
          <w:p w14:paraId="51DE7ACA" w14:textId="77777777" w:rsidR="0010369C" w:rsidRDefault="0010369C">
            <w:pPr>
              <w:rPr>
                <w:sz w:val="2"/>
                <w:szCs w:val="2"/>
              </w:rPr>
            </w:pPr>
          </w:p>
        </w:tc>
        <w:tc>
          <w:tcPr>
            <w:tcW w:w="496" w:type="dxa"/>
            <w:vMerge/>
            <w:tcBorders>
              <w:top w:val="nil"/>
            </w:tcBorders>
            <w:shd w:val="clear" w:color="auto" w:fill="000000"/>
          </w:tcPr>
          <w:p w14:paraId="51DE7ACB" w14:textId="77777777" w:rsidR="0010369C" w:rsidRDefault="0010369C">
            <w:pPr>
              <w:rPr>
                <w:sz w:val="2"/>
                <w:szCs w:val="2"/>
              </w:rPr>
            </w:pPr>
          </w:p>
        </w:tc>
        <w:tc>
          <w:tcPr>
            <w:tcW w:w="641" w:type="dxa"/>
            <w:vMerge/>
            <w:tcBorders>
              <w:top w:val="nil"/>
              <w:bottom w:val="single" w:sz="4" w:space="0" w:color="000000"/>
              <w:right w:val="single" w:sz="4" w:space="0" w:color="000000"/>
            </w:tcBorders>
          </w:tcPr>
          <w:p w14:paraId="51DE7ACC" w14:textId="77777777" w:rsidR="0010369C" w:rsidRDefault="0010369C">
            <w:pPr>
              <w:rPr>
                <w:sz w:val="2"/>
                <w:szCs w:val="2"/>
              </w:rPr>
            </w:pPr>
          </w:p>
        </w:tc>
      </w:tr>
      <w:tr w:rsidR="0010369C" w14:paraId="51DE7AD6" w14:textId="77777777">
        <w:trPr>
          <w:trHeight w:val="309"/>
        </w:trPr>
        <w:tc>
          <w:tcPr>
            <w:tcW w:w="1184" w:type="dxa"/>
            <w:vMerge w:val="restart"/>
            <w:tcBorders>
              <w:top w:val="single" w:sz="4" w:space="0" w:color="000000"/>
              <w:left w:val="single" w:sz="4" w:space="0" w:color="000000"/>
              <w:bottom w:val="single" w:sz="4" w:space="0" w:color="000000"/>
              <w:right w:val="single" w:sz="4" w:space="0" w:color="000000"/>
            </w:tcBorders>
          </w:tcPr>
          <w:p w14:paraId="51DE7ACE" w14:textId="77777777" w:rsidR="0010369C" w:rsidRDefault="008E43AE">
            <w:pPr>
              <w:pStyle w:val="TableParagraph"/>
              <w:spacing w:line="292" w:lineRule="exact"/>
              <w:ind w:left="107"/>
              <w:rPr>
                <w:sz w:val="24"/>
              </w:rPr>
            </w:pPr>
            <w:r>
              <w:rPr>
                <w:spacing w:val="-2"/>
                <w:sz w:val="24"/>
              </w:rPr>
              <w:t>AUS‐83</w:t>
            </w:r>
          </w:p>
        </w:tc>
        <w:tc>
          <w:tcPr>
            <w:tcW w:w="86" w:type="dxa"/>
            <w:tcBorders>
              <w:top w:val="single" w:sz="4" w:space="0" w:color="000000"/>
              <w:left w:val="single" w:sz="4" w:space="0" w:color="000000"/>
            </w:tcBorders>
          </w:tcPr>
          <w:p w14:paraId="51DE7ACF" w14:textId="77777777" w:rsidR="0010369C" w:rsidRDefault="0010369C">
            <w:pPr>
              <w:pStyle w:val="TableParagraph"/>
              <w:rPr>
                <w:rFonts w:ascii="Times New Roman"/>
              </w:rPr>
            </w:pPr>
          </w:p>
        </w:tc>
        <w:tc>
          <w:tcPr>
            <w:tcW w:w="3743" w:type="dxa"/>
            <w:gridSpan w:val="3"/>
            <w:tcBorders>
              <w:top w:val="single" w:sz="4" w:space="0" w:color="000000"/>
            </w:tcBorders>
          </w:tcPr>
          <w:p w14:paraId="51DE7AD0" w14:textId="77777777" w:rsidR="0010369C" w:rsidRDefault="008E43AE">
            <w:pPr>
              <w:pStyle w:val="TableParagraph"/>
              <w:spacing w:line="289" w:lineRule="exact"/>
              <w:ind w:left="26"/>
              <w:rPr>
                <w:sz w:val="24"/>
              </w:rPr>
            </w:pPr>
            <w:r>
              <w:rPr>
                <w:sz w:val="24"/>
              </w:rPr>
              <w:t>International</w:t>
            </w:r>
            <w:r>
              <w:rPr>
                <w:spacing w:val="-2"/>
                <w:sz w:val="24"/>
              </w:rPr>
              <w:t xml:space="preserve"> </w:t>
            </w:r>
            <w:r>
              <w:rPr>
                <w:sz w:val="24"/>
              </w:rPr>
              <w:t>Chamber</w:t>
            </w:r>
            <w:r>
              <w:rPr>
                <w:spacing w:val="-1"/>
                <w:sz w:val="24"/>
              </w:rPr>
              <w:t xml:space="preserve"> </w:t>
            </w:r>
            <w:r>
              <w:rPr>
                <w:sz w:val="24"/>
              </w:rPr>
              <w:t>of</w:t>
            </w:r>
            <w:r>
              <w:rPr>
                <w:spacing w:val="-1"/>
                <w:sz w:val="24"/>
              </w:rPr>
              <w:t xml:space="preserve"> </w:t>
            </w:r>
            <w:r>
              <w:rPr>
                <w:spacing w:val="-2"/>
                <w:sz w:val="24"/>
              </w:rPr>
              <w:t>Commerce,</w:t>
            </w:r>
          </w:p>
        </w:tc>
        <w:tc>
          <w:tcPr>
            <w:tcW w:w="170" w:type="dxa"/>
            <w:tcBorders>
              <w:top w:val="single" w:sz="4" w:space="0" w:color="000000"/>
            </w:tcBorders>
          </w:tcPr>
          <w:p w14:paraId="51DE7AD1" w14:textId="77777777" w:rsidR="0010369C" w:rsidRDefault="0010369C">
            <w:pPr>
              <w:pStyle w:val="TableParagraph"/>
              <w:rPr>
                <w:rFonts w:ascii="Times New Roman"/>
              </w:rPr>
            </w:pPr>
          </w:p>
        </w:tc>
        <w:tc>
          <w:tcPr>
            <w:tcW w:w="110" w:type="dxa"/>
            <w:tcBorders>
              <w:top w:val="single" w:sz="4" w:space="0" w:color="000000"/>
            </w:tcBorders>
          </w:tcPr>
          <w:p w14:paraId="51DE7AD2" w14:textId="77777777" w:rsidR="0010369C" w:rsidRDefault="0010369C">
            <w:pPr>
              <w:pStyle w:val="TableParagraph"/>
              <w:rPr>
                <w:rFonts w:ascii="Times New Roman"/>
              </w:rPr>
            </w:pPr>
          </w:p>
        </w:tc>
        <w:tc>
          <w:tcPr>
            <w:tcW w:w="652" w:type="dxa"/>
            <w:tcBorders>
              <w:top w:val="single" w:sz="4" w:space="0" w:color="000000"/>
              <w:right w:val="single" w:sz="4" w:space="0" w:color="000000"/>
            </w:tcBorders>
          </w:tcPr>
          <w:p w14:paraId="51DE7AD3" w14:textId="77777777" w:rsidR="0010369C" w:rsidRDefault="0010369C">
            <w:pPr>
              <w:pStyle w:val="TableParagraph"/>
              <w:rPr>
                <w:rFonts w:ascii="Times New Roman"/>
              </w:rPr>
            </w:pPr>
          </w:p>
        </w:tc>
        <w:tc>
          <w:tcPr>
            <w:tcW w:w="3114" w:type="dxa"/>
            <w:gridSpan w:val="4"/>
            <w:vMerge w:val="restart"/>
            <w:tcBorders>
              <w:left w:val="single" w:sz="4" w:space="0" w:color="000000"/>
              <w:right w:val="single" w:sz="4" w:space="0" w:color="000000"/>
            </w:tcBorders>
          </w:tcPr>
          <w:p w14:paraId="51DE7AD4" w14:textId="77777777" w:rsidR="0010369C" w:rsidRDefault="008E43AE">
            <w:pPr>
              <w:pStyle w:val="TableParagraph"/>
              <w:spacing w:line="292" w:lineRule="exact"/>
              <w:ind w:left="111"/>
              <w:rPr>
                <w:sz w:val="24"/>
              </w:rPr>
            </w:pPr>
            <w:r>
              <w:rPr>
                <w:sz w:val="24"/>
              </w:rPr>
              <w:t>International</w:t>
            </w:r>
            <w:r>
              <w:rPr>
                <w:spacing w:val="-1"/>
                <w:sz w:val="24"/>
              </w:rPr>
              <w:t xml:space="preserve"> </w:t>
            </w:r>
            <w:r>
              <w:rPr>
                <w:sz w:val="24"/>
              </w:rPr>
              <w:t>Chamber</w:t>
            </w:r>
            <w:r>
              <w:rPr>
                <w:spacing w:val="-1"/>
                <w:sz w:val="24"/>
              </w:rPr>
              <w:t xml:space="preserve"> </w:t>
            </w:r>
            <w:r>
              <w:rPr>
                <w:spacing w:val="-5"/>
                <w:sz w:val="24"/>
              </w:rPr>
              <w:t>of</w:t>
            </w:r>
          </w:p>
          <w:p w14:paraId="51DE7AD5" w14:textId="77777777" w:rsidR="0010369C" w:rsidRDefault="008E43AE">
            <w:pPr>
              <w:pStyle w:val="TableParagraph"/>
              <w:tabs>
                <w:tab w:val="left" w:pos="3126"/>
              </w:tabs>
              <w:spacing w:line="273" w:lineRule="exact"/>
              <w:ind w:left="111" w:right="-29"/>
              <w:rPr>
                <w:sz w:val="24"/>
              </w:rPr>
            </w:pPr>
            <w:r>
              <w:rPr>
                <w:sz w:val="24"/>
              </w:rPr>
              <w:t>Commerce</w:t>
            </w:r>
            <w:r>
              <w:rPr>
                <w:spacing w:val="-1"/>
                <w:sz w:val="24"/>
              </w:rPr>
              <w:t xml:space="preserve"> </w:t>
            </w:r>
            <w:r>
              <w:rPr>
                <w:sz w:val="24"/>
              </w:rPr>
              <w:t>Incoter</w:t>
            </w:r>
            <w:r>
              <w:rPr>
                <w:sz w:val="24"/>
                <w:u w:val="single"/>
              </w:rPr>
              <w:t>ms</w:t>
            </w:r>
            <w:r>
              <w:rPr>
                <w:spacing w:val="-2"/>
                <w:sz w:val="24"/>
                <w:u w:val="single"/>
              </w:rPr>
              <w:t xml:space="preserve"> </w:t>
            </w:r>
            <w:r>
              <w:rPr>
                <w:spacing w:val="-4"/>
                <w:sz w:val="24"/>
                <w:u w:val="single"/>
              </w:rPr>
              <w:t>2010</w:t>
            </w:r>
            <w:r>
              <w:rPr>
                <w:sz w:val="24"/>
                <w:u w:val="single"/>
              </w:rPr>
              <w:tab/>
            </w:r>
          </w:p>
        </w:tc>
      </w:tr>
      <w:tr w:rsidR="0010369C" w14:paraId="51DE7ADE" w14:textId="77777777">
        <w:trPr>
          <w:trHeight w:val="266"/>
        </w:trPr>
        <w:tc>
          <w:tcPr>
            <w:tcW w:w="1184" w:type="dxa"/>
            <w:vMerge/>
            <w:tcBorders>
              <w:top w:val="nil"/>
              <w:left w:val="single" w:sz="4" w:space="0" w:color="000000"/>
              <w:bottom w:val="single" w:sz="4" w:space="0" w:color="000000"/>
              <w:right w:val="single" w:sz="4" w:space="0" w:color="000000"/>
            </w:tcBorders>
          </w:tcPr>
          <w:p w14:paraId="51DE7AD7" w14:textId="77777777" w:rsidR="0010369C" w:rsidRDefault="0010369C">
            <w:pPr>
              <w:rPr>
                <w:sz w:val="2"/>
                <w:szCs w:val="2"/>
              </w:rPr>
            </w:pPr>
          </w:p>
        </w:tc>
        <w:tc>
          <w:tcPr>
            <w:tcW w:w="86" w:type="dxa"/>
            <w:tcBorders>
              <w:left w:val="single" w:sz="4" w:space="0" w:color="000000"/>
              <w:bottom w:val="single" w:sz="4" w:space="0" w:color="000000"/>
            </w:tcBorders>
          </w:tcPr>
          <w:p w14:paraId="51DE7AD8" w14:textId="77777777" w:rsidR="0010369C" w:rsidRDefault="0010369C">
            <w:pPr>
              <w:pStyle w:val="TableParagraph"/>
              <w:rPr>
                <w:rFonts w:ascii="Times New Roman"/>
                <w:sz w:val="18"/>
              </w:rPr>
            </w:pPr>
          </w:p>
        </w:tc>
        <w:tc>
          <w:tcPr>
            <w:tcW w:w="3743" w:type="dxa"/>
            <w:gridSpan w:val="3"/>
          </w:tcPr>
          <w:p w14:paraId="51DE7AD9" w14:textId="77777777" w:rsidR="0010369C" w:rsidRDefault="008E43AE">
            <w:pPr>
              <w:pStyle w:val="TableParagraph"/>
              <w:spacing w:line="246" w:lineRule="exact"/>
              <w:ind w:left="26"/>
              <w:rPr>
                <w:sz w:val="24"/>
              </w:rPr>
            </w:pPr>
            <w:r>
              <w:rPr>
                <w:sz w:val="24"/>
              </w:rPr>
              <w:t>"Incoterms</w:t>
            </w:r>
            <w:r>
              <w:rPr>
                <w:spacing w:val="-6"/>
                <w:sz w:val="24"/>
              </w:rPr>
              <w:t xml:space="preserve"> </w:t>
            </w:r>
            <w:r>
              <w:rPr>
                <w:sz w:val="24"/>
              </w:rPr>
              <w:t>2010",</w:t>
            </w:r>
            <w:r>
              <w:rPr>
                <w:spacing w:val="-3"/>
                <w:sz w:val="24"/>
              </w:rPr>
              <w:t xml:space="preserve"> </w:t>
            </w:r>
            <w:r>
              <w:rPr>
                <w:spacing w:val="-4"/>
                <w:sz w:val="24"/>
              </w:rPr>
              <w:t>2010</w:t>
            </w:r>
          </w:p>
        </w:tc>
        <w:tc>
          <w:tcPr>
            <w:tcW w:w="170" w:type="dxa"/>
          </w:tcPr>
          <w:p w14:paraId="51DE7ADA" w14:textId="77777777" w:rsidR="0010369C" w:rsidRDefault="0010369C">
            <w:pPr>
              <w:pStyle w:val="TableParagraph"/>
              <w:rPr>
                <w:rFonts w:ascii="Times New Roman"/>
                <w:sz w:val="18"/>
              </w:rPr>
            </w:pPr>
          </w:p>
        </w:tc>
        <w:tc>
          <w:tcPr>
            <w:tcW w:w="110" w:type="dxa"/>
          </w:tcPr>
          <w:p w14:paraId="51DE7ADB" w14:textId="77777777" w:rsidR="0010369C" w:rsidRDefault="0010369C">
            <w:pPr>
              <w:pStyle w:val="TableParagraph"/>
              <w:rPr>
                <w:rFonts w:ascii="Times New Roman"/>
                <w:sz w:val="18"/>
              </w:rPr>
            </w:pPr>
          </w:p>
        </w:tc>
        <w:tc>
          <w:tcPr>
            <w:tcW w:w="652" w:type="dxa"/>
            <w:tcBorders>
              <w:bottom w:val="single" w:sz="4" w:space="0" w:color="000000"/>
              <w:right w:val="single" w:sz="4" w:space="0" w:color="000000"/>
            </w:tcBorders>
          </w:tcPr>
          <w:p w14:paraId="51DE7ADC" w14:textId="77777777" w:rsidR="0010369C" w:rsidRDefault="0010369C">
            <w:pPr>
              <w:pStyle w:val="TableParagraph"/>
              <w:rPr>
                <w:rFonts w:ascii="Times New Roman"/>
                <w:sz w:val="18"/>
              </w:rPr>
            </w:pPr>
          </w:p>
        </w:tc>
        <w:tc>
          <w:tcPr>
            <w:tcW w:w="3114" w:type="dxa"/>
            <w:gridSpan w:val="4"/>
            <w:vMerge/>
            <w:tcBorders>
              <w:top w:val="nil"/>
              <w:left w:val="single" w:sz="4" w:space="0" w:color="000000"/>
              <w:right w:val="single" w:sz="4" w:space="0" w:color="000000"/>
            </w:tcBorders>
          </w:tcPr>
          <w:p w14:paraId="51DE7ADD" w14:textId="77777777" w:rsidR="0010369C" w:rsidRDefault="0010369C">
            <w:pPr>
              <w:rPr>
                <w:sz w:val="2"/>
                <w:szCs w:val="2"/>
              </w:rPr>
            </w:pPr>
          </w:p>
        </w:tc>
      </w:tr>
      <w:tr w:rsidR="0010369C" w14:paraId="51DE7AE7" w14:textId="77777777">
        <w:trPr>
          <w:trHeight w:val="310"/>
        </w:trPr>
        <w:tc>
          <w:tcPr>
            <w:tcW w:w="1184" w:type="dxa"/>
            <w:tcBorders>
              <w:top w:val="single" w:sz="4" w:space="0" w:color="000000"/>
              <w:left w:val="single" w:sz="4" w:space="0" w:color="000000"/>
              <w:right w:val="single" w:sz="4" w:space="0" w:color="000000"/>
            </w:tcBorders>
          </w:tcPr>
          <w:p w14:paraId="51DE7ADF" w14:textId="77777777" w:rsidR="0010369C" w:rsidRDefault="008E43AE">
            <w:pPr>
              <w:pStyle w:val="TableParagraph"/>
              <w:spacing w:line="290" w:lineRule="exact"/>
              <w:ind w:left="107"/>
              <w:rPr>
                <w:sz w:val="24"/>
              </w:rPr>
            </w:pPr>
            <w:r>
              <w:rPr>
                <w:spacing w:val="-2"/>
                <w:sz w:val="24"/>
              </w:rPr>
              <w:t>AUS‐84</w:t>
            </w:r>
          </w:p>
        </w:tc>
        <w:tc>
          <w:tcPr>
            <w:tcW w:w="86" w:type="dxa"/>
            <w:vMerge w:val="restart"/>
            <w:shd w:val="clear" w:color="auto" w:fill="000000"/>
          </w:tcPr>
          <w:p w14:paraId="51DE7AE0" w14:textId="77777777" w:rsidR="0010369C" w:rsidRDefault="0010369C">
            <w:pPr>
              <w:pStyle w:val="TableParagraph"/>
              <w:rPr>
                <w:rFonts w:ascii="Times New Roman"/>
              </w:rPr>
            </w:pPr>
          </w:p>
        </w:tc>
        <w:tc>
          <w:tcPr>
            <w:tcW w:w="4023" w:type="dxa"/>
            <w:gridSpan w:val="5"/>
            <w:vMerge w:val="restart"/>
            <w:shd w:val="clear" w:color="auto" w:fill="000000"/>
          </w:tcPr>
          <w:p w14:paraId="51DE7AE1" w14:textId="77777777" w:rsidR="0010369C" w:rsidRDefault="0010369C">
            <w:pPr>
              <w:pStyle w:val="TableParagraph"/>
              <w:rPr>
                <w:rFonts w:ascii="Times New Roman"/>
              </w:rPr>
            </w:pPr>
          </w:p>
        </w:tc>
        <w:tc>
          <w:tcPr>
            <w:tcW w:w="652" w:type="dxa"/>
            <w:vMerge w:val="restart"/>
            <w:tcBorders>
              <w:top w:val="single" w:sz="4" w:space="0" w:color="000000"/>
              <w:right w:val="single" w:sz="4" w:space="0" w:color="000000"/>
            </w:tcBorders>
          </w:tcPr>
          <w:p w14:paraId="51DE7AE2" w14:textId="77777777" w:rsidR="0010369C" w:rsidRDefault="0010369C">
            <w:pPr>
              <w:pStyle w:val="TableParagraph"/>
              <w:rPr>
                <w:rFonts w:ascii="Times New Roman"/>
              </w:rPr>
            </w:pPr>
          </w:p>
        </w:tc>
        <w:tc>
          <w:tcPr>
            <w:tcW w:w="101" w:type="dxa"/>
            <w:vMerge w:val="restart"/>
            <w:shd w:val="clear" w:color="auto" w:fill="000000"/>
          </w:tcPr>
          <w:p w14:paraId="51DE7AE3" w14:textId="77777777" w:rsidR="0010369C" w:rsidRDefault="0010369C">
            <w:pPr>
              <w:pStyle w:val="TableParagraph"/>
              <w:rPr>
                <w:rFonts w:ascii="Times New Roman"/>
              </w:rPr>
            </w:pPr>
          </w:p>
        </w:tc>
        <w:tc>
          <w:tcPr>
            <w:tcW w:w="1876" w:type="dxa"/>
            <w:vMerge w:val="restart"/>
            <w:shd w:val="clear" w:color="auto" w:fill="000000"/>
          </w:tcPr>
          <w:p w14:paraId="51DE7AE4" w14:textId="77777777" w:rsidR="0010369C" w:rsidRDefault="0010369C">
            <w:pPr>
              <w:pStyle w:val="TableParagraph"/>
              <w:rPr>
                <w:rFonts w:ascii="Times New Roman"/>
              </w:rPr>
            </w:pPr>
          </w:p>
        </w:tc>
        <w:tc>
          <w:tcPr>
            <w:tcW w:w="496" w:type="dxa"/>
            <w:vMerge w:val="restart"/>
            <w:shd w:val="clear" w:color="auto" w:fill="000000"/>
          </w:tcPr>
          <w:p w14:paraId="51DE7AE5" w14:textId="77777777" w:rsidR="0010369C" w:rsidRDefault="0010369C">
            <w:pPr>
              <w:pStyle w:val="TableParagraph"/>
              <w:rPr>
                <w:rFonts w:ascii="Times New Roman"/>
              </w:rPr>
            </w:pPr>
          </w:p>
        </w:tc>
        <w:tc>
          <w:tcPr>
            <w:tcW w:w="641" w:type="dxa"/>
            <w:vMerge w:val="restart"/>
            <w:tcBorders>
              <w:bottom w:val="single" w:sz="4" w:space="0" w:color="000000"/>
              <w:right w:val="single" w:sz="4" w:space="0" w:color="000000"/>
            </w:tcBorders>
          </w:tcPr>
          <w:p w14:paraId="51DE7AE6" w14:textId="77777777" w:rsidR="0010369C" w:rsidRDefault="0010369C">
            <w:pPr>
              <w:pStyle w:val="TableParagraph"/>
              <w:rPr>
                <w:rFonts w:ascii="Times New Roman"/>
              </w:rPr>
            </w:pPr>
          </w:p>
        </w:tc>
      </w:tr>
      <w:tr w:rsidR="0010369C" w14:paraId="51DE7AF0" w14:textId="77777777">
        <w:trPr>
          <w:trHeight w:val="291"/>
        </w:trPr>
        <w:tc>
          <w:tcPr>
            <w:tcW w:w="1184" w:type="dxa"/>
            <w:tcBorders>
              <w:left w:val="single" w:sz="4" w:space="0" w:color="000000"/>
              <w:right w:val="single" w:sz="4" w:space="0" w:color="000000"/>
            </w:tcBorders>
          </w:tcPr>
          <w:p w14:paraId="51DE7AE8" w14:textId="77777777" w:rsidR="0010369C" w:rsidRDefault="008E43AE">
            <w:pPr>
              <w:pStyle w:val="TableParagraph"/>
              <w:spacing w:line="266" w:lineRule="exact"/>
              <w:ind w:left="107"/>
              <w:rPr>
                <w:sz w:val="24"/>
              </w:rPr>
            </w:pPr>
            <w:r>
              <w:rPr>
                <w:spacing w:val="-2"/>
                <w:sz w:val="24"/>
              </w:rPr>
              <w:t>(BCI)</w:t>
            </w:r>
          </w:p>
        </w:tc>
        <w:tc>
          <w:tcPr>
            <w:tcW w:w="86" w:type="dxa"/>
            <w:vMerge/>
            <w:tcBorders>
              <w:top w:val="nil"/>
            </w:tcBorders>
            <w:shd w:val="clear" w:color="auto" w:fill="000000"/>
          </w:tcPr>
          <w:p w14:paraId="51DE7AE9" w14:textId="77777777" w:rsidR="0010369C" w:rsidRDefault="0010369C">
            <w:pPr>
              <w:rPr>
                <w:sz w:val="2"/>
                <w:szCs w:val="2"/>
              </w:rPr>
            </w:pPr>
          </w:p>
        </w:tc>
        <w:tc>
          <w:tcPr>
            <w:tcW w:w="4023" w:type="dxa"/>
            <w:gridSpan w:val="5"/>
            <w:vMerge/>
            <w:tcBorders>
              <w:top w:val="nil"/>
            </w:tcBorders>
            <w:shd w:val="clear" w:color="auto" w:fill="000000"/>
          </w:tcPr>
          <w:p w14:paraId="51DE7AEA" w14:textId="77777777" w:rsidR="0010369C" w:rsidRDefault="0010369C">
            <w:pPr>
              <w:rPr>
                <w:sz w:val="2"/>
                <w:szCs w:val="2"/>
              </w:rPr>
            </w:pPr>
          </w:p>
        </w:tc>
        <w:tc>
          <w:tcPr>
            <w:tcW w:w="652" w:type="dxa"/>
            <w:vMerge/>
            <w:tcBorders>
              <w:top w:val="nil"/>
              <w:right w:val="single" w:sz="4" w:space="0" w:color="000000"/>
            </w:tcBorders>
          </w:tcPr>
          <w:p w14:paraId="51DE7AEB" w14:textId="77777777" w:rsidR="0010369C" w:rsidRDefault="0010369C">
            <w:pPr>
              <w:rPr>
                <w:sz w:val="2"/>
                <w:szCs w:val="2"/>
              </w:rPr>
            </w:pPr>
          </w:p>
        </w:tc>
        <w:tc>
          <w:tcPr>
            <w:tcW w:w="101" w:type="dxa"/>
            <w:vMerge/>
            <w:tcBorders>
              <w:top w:val="nil"/>
            </w:tcBorders>
            <w:shd w:val="clear" w:color="auto" w:fill="000000"/>
          </w:tcPr>
          <w:p w14:paraId="51DE7AEC" w14:textId="77777777" w:rsidR="0010369C" w:rsidRDefault="0010369C">
            <w:pPr>
              <w:rPr>
                <w:sz w:val="2"/>
                <w:szCs w:val="2"/>
              </w:rPr>
            </w:pPr>
          </w:p>
        </w:tc>
        <w:tc>
          <w:tcPr>
            <w:tcW w:w="1876" w:type="dxa"/>
            <w:vMerge/>
            <w:tcBorders>
              <w:top w:val="nil"/>
            </w:tcBorders>
            <w:shd w:val="clear" w:color="auto" w:fill="000000"/>
          </w:tcPr>
          <w:p w14:paraId="51DE7AED" w14:textId="77777777" w:rsidR="0010369C" w:rsidRDefault="0010369C">
            <w:pPr>
              <w:rPr>
                <w:sz w:val="2"/>
                <w:szCs w:val="2"/>
              </w:rPr>
            </w:pPr>
          </w:p>
        </w:tc>
        <w:tc>
          <w:tcPr>
            <w:tcW w:w="496" w:type="dxa"/>
            <w:vMerge/>
            <w:tcBorders>
              <w:top w:val="nil"/>
            </w:tcBorders>
            <w:shd w:val="clear" w:color="auto" w:fill="000000"/>
          </w:tcPr>
          <w:p w14:paraId="51DE7AEE" w14:textId="77777777" w:rsidR="0010369C" w:rsidRDefault="0010369C">
            <w:pPr>
              <w:rPr>
                <w:sz w:val="2"/>
                <w:szCs w:val="2"/>
              </w:rPr>
            </w:pPr>
          </w:p>
        </w:tc>
        <w:tc>
          <w:tcPr>
            <w:tcW w:w="641" w:type="dxa"/>
            <w:vMerge/>
            <w:tcBorders>
              <w:top w:val="nil"/>
              <w:bottom w:val="single" w:sz="4" w:space="0" w:color="000000"/>
              <w:right w:val="single" w:sz="4" w:space="0" w:color="000000"/>
            </w:tcBorders>
          </w:tcPr>
          <w:p w14:paraId="51DE7AEF" w14:textId="77777777" w:rsidR="0010369C" w:rsidRDefault="0010369C">
            <w:pPr>
              <w:rPr>
                <w:sz w:val="2"/>
                <w:szCs w:val="2"/>
              </w:rPr>
            </w:pPr>
          </w:p>
        </w:tc>
      </w:tr>
      <w:tr w:rsidR="0010369C" w14:paraId="51DE7AF9" w14:textId="77777777">
        <w:trPr>
          <w:trHeight w:val="282"/>
        </w:trPr>
        <w:tc>
          <w:tcPr>
            <w:tcW w:w="1184" w:type="dxa"/>
            <w:tcBorders>
              <w:left w:val="single" w:sz="4" w:space="0" w:color="000000"/>
              <w:right w:val="single" w:sz="4" w:space="0" w:color="000000"/>
            </w:tcBorders>
          </w:tcPr>
          <w:p w14:paraId="51DE7AF1" w14:textId="77777777" w:rsidR="0010369C" w:rsidRDefault="0010369C">
            <w:pPr>
              <w:pStyle w:val="TableParagraph"/>
              <w:rPr>
                <w:rFonts w:ascii="Times New Roman"/>
                <w:sz w:val="20"/>
              </w:rPr>
            </w:pPr>
          </w:p>
        </w:tc>
        <w:tc>
          <w:tcPr>
            <w:tcW w:w="86" w:type="dxa"/>
            <w:vMerge/>
            <w:tcBorders>
              <w:top w:val="nil"/>
            </w:tcBorders>
            <w:shd w:val="clear" w:color="auto" w:fill="000000"/>
          </w:tcPr>
          <w:p w14:paraId="51DE7AF2" w14:textId="77777777" w:rsidR="0010369C" w:rsidRDefault="0010369C">
            <w:pPr>
              <w:rPr>
                <w:sz w:val="2"/>
                <w:szCs w:val="2"/>
              </w:rPr>
            </w:pPr>
          </w:p>
        </w:tc>
        <w:tc>
          <w:tcPr>
            <w:tcW w:w="2072" w:type="dxa"/>
            <w:gridSpan w:val="2"/>
            <w:shd w:val="clear" w:color="auto" w:fill="000000"/>
          </w:tcPr>
          <w:p w14:paraId="51DE7AF3" w14:textId="77777777" w:rsidR="0010369C" w:rsidRDefault="0010369C">
            <w:pPr>
              <w:pStyle w:val="TableParagraph"/>
              <w:rPr>
                <w:rFonts w:ascii="Times New Roman"/>
                <w:sz w:val="20"/>
              </w:rPr>
            </w:pPr>
          </w:p>
        </w:tc>
        <w:tc>
          <w:tcPr>
            <w:tcW w:w="2603" w:type="dxa"/>
            <w:gridSpan w:val="4"/>
            <w:tcBorders>
              <w:right w:val="single" w:sz="4" w:space="0" w:color="000000"/>
            </w:tcBorders>
          </w:tcPr>
          <w:p w14:paraId="51DE7AF4" w14:textId="77777777" w:rsidR="0010369C" w:rsidRDefault="0010369C">
            <w:pPr>
              <w:pStyle w:val="TableParagraph"/>
              <w:rPr>
                <w:rFonts w:ascii="Times New Roman"/>
                <w:sz w:val="20"/>
              </w:rPr>
            </w:pPr>
          </w:p>
        </w:tc>
        <w:tc>
          <w:tcPr>
            <w:tcW w:w="101" w:type="dxa"/>
            <w:vMerge/>
            <w:tcBorders>
              <w:top w:val="nil"/>
            </w:tcBorders>
            <w:shd w:val="clear" w:color="auto" w:fill="000000"/>
          </w:tcPr>
          <w:p w14:paraId="51DE7AF5" w14:textId="77777777" w:rsidR="0010369C" w:rsidRDefault="0010369C">
            <w:pPr>
              <w:rPr>
                <w:sz w:val="2"/>
                <w:szCs w:val="2"/>
              </w:rPr>
            </w:pPr>
          </w:p>
        </w:tc>
        <w:tc>
          <w:tcPr>
            <w:tcW w:w="1876" w:type="dxa"/>
            <w:vMerge/>
            <w:tcBorders>
              <w:top w:val="nil"/>
            </w:tcBorders>
            <w:shd w:val="clear" w:color="auto" w:fill="000000"/>
          </w:tcPr>
          <w:p w14:paraId="51DE7AF6" w14:textId="77777777" w:rsidR="0010369C" w:rsidRDefault="0010369C">
            <w:pPr>
              <w:rPr>
                <w:sz w:val="2"/>
                <w:szCs w:val="2"/>
              </w:rPr>
            </w:pPr>
          </w:p>
        </w:tc>
        <w:tc>
          <w:tcPr>
            <w:tcW w:w="496" w:type="dxa"/>
            <w:vMerge/>
            <w:tcBorders>
              <w:top w:val="nil"/>
            </w:tcBorders>
            <w:shd w:val="clear" w:color="auto" w:fill="000000"/>
          </w:tcPr>
          <w:p w14:paraId="51DE7AF7" w14:textId="77777777" w:rsidR="0010369C" w:rsidRDefault="0010369C">
            <w:pPr>
              <w:rPr>
                <w:sz w:val="2"/>
                <w:szCs w:val="2"/>
              </w:rPr>
            </w:pPr>
          </w:p>
        </w:tc>
        <w:tc>
          <w:tcPr>
            <w:tcW w:w="641" w:type="dxa"/>
            <w:vMerge/>
            <w:tcBorders>
              <w:top w:val="nil"/>
              <w:bottom w:val="single" w:sz="4" w:space="0" w:color="000000"/>
              <w:right w:val="single" w:sz="4" w:space="0" w:color="000000"/>
            </w:tcBorders>
          </w:tcPr>
          <w:p w14:paraId="51DE7AF8" w14:textId="77777777" w:rsidR="0010369C" w:rsidRDefault="0010369C">
            <w:pPr>
              <w:rPr>
                <w:sz w:val="2"/>
                <w:szCs w:val="2"/>
              </w:rPr>
            </w:pPr>
          </w:p>
        </w:tc>
      </w:tr>
      <w:tr w:rsidR="0010369C" w14:paraId="51DE7B00" w14:textId="77777777">
        <w:trPr>
          <w:trHeight w:val="257"/>
        </w:trPr>
        <w:tc>
          <w:tcPr>
            <w:tcW w:w="1184" w:type="dxa"/>
            <w:tcBorders>
              <w:left w:val="single" w:sz="4" w:space="0" w:color="000000"/>
              <w:bottom w:val="single" w:sz="4" w:space="0" w:color="000000"/>
              <w:right w:val="single" w:sz="4" w:space="0" w:color="000000"/>
            </w:tcBorders>
          </w:tcPr>
          <w:p w14:paraId="51DE7AFA" w14:textId="77777777" w:rsidR="0010369C" w:rsidRDefault="0010369C">
            <w:pPr>
              <w:pStyle w:val="TableParagraph"/>
              <w:rPr>
                <w:rFonts w:ascii="Times New Roman"/>
                <w:sz w:val="18"/>
              </w:rPr>
            </w:pPr>
          </w:p>
        </w:tc>
        <w:tc>
          <w:tcPr>
            <w:tcW w:w="4761" w:type="dxa"/>
            <w:gridSpan w:val="7"/>
            <w:tcBorders>
              <w:left w:val="single" w:sz="4" w:space="0" w:color="000000"/>
              <w:right w:val="single" w:sz="4" w:space="0" w:color="000000"/>
            </w:tcBorders>
          </w:tcPr>
          <w:p w14:paraId="51DE7AFB" w14:textId="77777777" w:rsidR="0010369C" w:rsidRDefault="0010369C">
            <w:pPr>
              <w:pStyle w:val="TableParagraph"/>
              <w:rPr>
                <w:rFonts w:ascii="Times New Roman"/>
                <w:sz w:val="18"/>
              </w:rPr>
            </w:pPr>
          </w:p>
        </w:tc>
        <w:tc>
          <w:tcPr>
            <w:tcW w:w="101" w:type="dxa"/>
            <w:vMerge/>
            <w:tcBorders>
              <w:top w:val="nil"/>
            </w:tcBorders>
            <w:shd w:val="clear" w:color="auto" w:fill="000000"/>
          </w:tcPr>
          <w:p w14:paraId="51DE7AFC" w14:textId="77777777" w:rsidR="0010369C" w:rsidRDefault="0010369C">
            <w:pPr>
              <w:rPr>
                <w:sz w:val="2"/>
                <w:szCs w:val="2"/>
              </w:rPr>
            </w:pPr>
          </w:p>
        </w:tc>
        <w:tc>
          <w:tcPr>
            <w:tcW w:w="1876" w:type="dxa"/>
            <w:vMerge/>
            <w:tcBorders>
              <w:top w:val="nil"/>
            </w:tcBorders>
            <w:shd w:val="clear" w:color="auto" w:fill="000000"/>
          </w:tcPr>
          <w:p w14:paraId="51DE7AFD" w14:textId="77777777" w:rsidR="0010369C" w:rsidRDefault="0010369C">
            <w:pPr>
              <w:rPr>
                <w:sz w:val="2"/>
                <w:szCs w:val="2"/>
              </w:rPr>
            </w:pPr>
          </w:p>
        </w:tc>
        <w:tc>
          <w:tcPr>
            <w:tcW w:w="496" w:type="dxa"/>
            <w:vMerge/>
            <w:tcBorders>
              <w:top w:val="nil"/>
            </w:tcBorders>
            <w:shd w:val="clear" w:color="auto" w:fill="000000"/>
          </w:tcPr>
          <w:p w14:paraId="51DE7AFE" w14:textId="77777777" w:rsidR="0010369C" w:rsidRDefault="0010369C">
            <w:pPr>
              <w:rPr>
                <w:sz w:val="2"/>
                <w:szCs w:val="2"/>
              </w:rPr>
            </w:pPr>
          </w:p>
        </w:tc>
        <w:tc>
          <w:tcPr>
            <w:tcW w:w="641" w:type="dxa"/>
            <w:vMerge/>
            <w:tcBorders>
              <w:top w:val="nil"/>
              <w:bottom w:val="single" w:sz="4" w:space="0" w:color="000000"/>
              <w:right w:val="single" w:sz="4" w:space="0" w:color="000000"/>
            </w:tcBorders>
          </w:tcPr>
          <w:p w14:paraId="51DE7AFF" w14:textId="77777777" w:rsidR="0010369C" w:rsidRDefault="0010369C">
            <w:pPr>
              <w:rPr>
                <w:sz w:val="2"/>
                <w:szCs w:val="2"/>
              </w:rPr>
            </w:pPr>
          </w:p>
        </w:tc>
      </w:tr>
      <w:tr w:rsidR="0010369C" w14:paraId="51DE7B09" w14:textId="77777777">
        <w:trPr>
          <w:trHeight w:val="319"/>
        </w:trPr>
        <w:tc>
          <w:tcPr>
            <w:tcW w:w="1184" w:type="dxa"/>
            <w:tcBorders>
              <w:top w:val="single" w:sz="4" w:space="0" w:color="000000"/>
              <w:left w:val="single" w:sz="4" w:space="0" w:color="000000"/>
              <w:right w:val="single" w:sz="4" w:space="0" w:color="000000"/>
            </w:tcBorders>
          </w:tcPr>
          <w:p w14:paraId="51DE7B01" w14:textId="77777777" w:rsidR="0010369C" w:rsidRDefault="008E43AE">
            <w:pPr>
              <w:pStyle w:val="TableParagraph"/>
              <w:ind w:left="107"/>
              <w:rPr>
                <w:sz w:val="24"/>
              </w:rPr>
            </w:pPr>
            <w:r>
              <w:rPr>
                <w:spacing w:val="-2"/>
                <w:sz w:val="24"/>
              </w:rPr>
              <w:t>AUS‐85</w:t>
            </w:r>
          </w:p>
        </w:tc>
        <w:tc>
          <w:tcPr>
            <w:tcW w:w="86" w:type="dxa"/>
            <w:vMerge w:val="restart"/>
            <w:shd w:val="clear" w:color="auto" w:fill="000000"/>
          </w:tcPr>
          <w:p w14:paraId="51DE7B02" w14:textId="77777777" w:rsidR="0010369C" w:rsidRDefault="0010369C">
            <w:pPr>
              <w:pStyle w:val="TableParagraph"/>
              <w:rPr>
                <w:rFonts w:ascii="Times New Roman"/>
              </w:rPr>
            </w:pPr>
          </w:p>
        </w:tc>
        <w:tc>
          <w:tcPr>
            <w:tcW w:w="3743" w:type="dxa"/>
            <w:gridSpan w:val="3"/>
            <w:shd w:val="clear" w:color="auto" w:fill="000000"/>
          </w:tcPr>
          <w:p w14:paraId="51DE7B03" w14:textId="77777777" w:rsidR="0010369C" w:rsidRDefault="0010369C">
            <w:pPr>
              <w:pStyle w:val="TableParagraph"/>
              <w:rPr>
                <w:rFonts w:ascii="Times New Roman"/>
              </w:rPr>
            </w:pPr>
          </w:p>
        </w:tc>
        <w:tc>
          <w:tcPr>
            <w:tcW w:w="932" w:type="dxa"/>
            <w:gridSpan w:val="3"/>
            <w:tcBorders>
              <w:top w:val="single" w:sz="4" w:space="0" w:color="000000"/>
              <w:right w:val="single" w:sz="4" w:space="0" w:color="000000"/>
            </w:tcBorders>
          </w:tcPr>
          <w:p w14:paraId="51DE7B04" w14:textId="77777777" w:rsidR="0010369C" w:rsidRDefault="0010369C">
            <w:pPr>
              <w:pStyle w:val="TableParagraph"/>
              <w:rPr>
                <w:rFonts w:ascii="Times New Roman"/>
              </w:rPr>
            </w:pPr>
          </w:p>
        </w:tc>
        <w:tc>
          <w:tcPr>
            <w:tcW w:w="101" w:type="dxa"/>
            <w:vMerge w:val="restart"/>
            <w:shd w:val="clear" w:color="auto" w:fill="000000"/>
          </w:tcPr>
          <w:p w14:paraId="51DE7B05" w14:textId="77777777" w:rsidR="0010369C" w:rsidRDefault="0010369C">
            <w:pPr>
              <w:pStyle w:val="TableParagraph"/>
              <w:rPr>
                <w:rFonts w:ascii="Times New Roman"/>
              </w:rPr>
            </w:pPr>
          </w:p>
        </w:tc>
        <w:tc>
          <w:tcPr>
            <w:tcW w:w="1876" w:type="dxa"/>
            <w:vMerge/>
            <w:tcBorders>
              <w:top w:val="nil"/>
            </w:tcBorders>
            <w:shd w:val="clear" w:color="auto" w:fill="000000"/>
          </w:tcPr>
          <w:p w14:paraId="51DE7B06" w14:textId="77777777" w:rsidR="0010369C" w:rsidRDefault="0010369C">
            <w:pPr>
              <w:rPr>
                <w:sz w:val="2"/>
                <w:szCs w:val="2"/>
              </w:rPr>
            </w:pPr>
          </w:p>
        </w:tc>
        <w:tc>
          <w:tcPr>
            <w:tcW w:w="496" w:type="dxa"/>
            <w:vMerge w:val="restart"/>
            <w:shd w:val="clear" w:color="auto" w:fill="000000"/>
          </w:tcPr>
          <w:p w14:paraId="51DE7B07" w14:textId="77777777" w:rsidR="0010369C" w:rsidRDefault="0010369C">
            <w:pPr>
              <w:pStyle w:val="TableParagraph"/>
              <w:rPr>
                <w:rFonts w:ascii="Times New Roman"/>
              </w:rPr>
            </w:pPr>
          </w:p>
        </w:tc>
        <w:tc>
          <w:tcPr>
            <w:tcW w:w="641" w:type="dxa"/>
            <w:vMerge w:val="restart"/>
            <w:tcBorders>
              <w:top w:val="single" w:sz="4" w:space="0" w:color="000000"/>
              <w:bottom w:val="single" w:sz="4" w:space="0" w:color="000000"/>
              <w:right w:val="single" w:sz="4" w:space="0" w:color="000000"/>
            </w:tcBorders>
          </w:tcPr>
          <w:p w14:paraId="51DE7B08" w14:textId="77777777" w:rsidR="0010369C" w:rsidRDefault="0010369C">
            <w:pPr>
              <w:pStyle w:val="TableParagraph"/>
              <w:rPr>
                <w:rFonts w:ascii="Times New Roman"/>
              </w:rPr>
            </w:pPr>
          </w:p>
        </w:tc>
      </w:tr>
      <w:tr w:rsidR="0010369C" w14:paraId="51DE7B12" w14:textId="77777777">
        <w:trPr>
          <w:trHeight w:val="282"/>
        </w:trPr>
        <w:tc>
          <w:tcPr>
            <w:tcW w:w="1184" w:type="dxa"/>
            <w:tcBorders>
              <w:left w:val="single" w:sz="4" w:space="0" w:color="000000"/>
              <w:right w:val="single" w:sz="4" w:space="0" w:color="000000"/>
            </w:tcBorders>
          </w:tcPr>
          <w:p w14:paraId="51DE7B0A" w14:textId="77777777" w:rsidR="0010369C" w:rsidRDefault="008E43AE">
            <w:pPr>
              <w:pStyle w:val="TableParagraph"/>
              <w:spacing w:line="257" w:lineRule="exact"/>
              <w:ind w:left="107"/>
              <w:rPr>
                <w:sz w:val="24"/>
              </w:rPr>
            </w:pPr>
            <w:r>
              <w:rPr>
                <w:spacing w:val="-2"/>
                <w:sz w:val="24"/>
              </w:rPr>
              <w:t>(BCI)</w:t>
            </w:r>
          </w:p>
        </w:tc>
        <w:tc>
          <w:tcPr>
            <w:tcW w:w="86" w:type="dxa"/>
            <w:vMerge/>
            <w:tcBorders>
              <w:top w:val="nil"/>
            </w:tcBorders>
            <w:shd w:val="clear" w:color="auto" w:fill="000000"/>
          </w:tcPr>
          <w:p w14:paraId="51DE7B0B" w14:textId="77777777" w:rsidR="0010369C" w:rsidRDefault="0010369C">
            <w:pPr>
              <w:rPr>
                <w:sz w:val="2"/>
                <w:szCs w:val="2"/>
              </w:rPr>
            </w:pPr>
          </w:p>
        </w:tc>
        <w:tc>
          <w:tcPr>
            <w:tcW w:w="3913" w:type="dxa"/>
            <w:gridSpan w:val="4"/>
            <w:shd w:val="clear" w:color="auto" w:fill="000000"/>
          </w:tcPr>
          <w:p w14:paraId="51DE7B0C" w14:textId="77777777" w:rsidR="0010369C" w:rsidRDefault="0010369C">
            <w:pPr>
              <w:pStyle w:val="TableParagraph"/>
              <w:rPr>
                <w:rFonts w:ascii="Times New Roman"/>
                <w:sz w:val="20"/>
              </w:rPr>
            </w:pPr>
          </w:p>
        </w:tc>
        <w:tc>
          <w:tcPr>
            <w:tcW w:w="762" w:type="dxa"/>
            <w:gridSpan w:val="2"/>
            <w:tcBorders>
              <w:right w:val="single" w:sz="4" w:space="0" w:color="000000"/>
            </w:tcBorders>
          </w:tcPr>
          <w:p w14:paraId="51DE7B0D" w14:textId="77777777" w:rsidR="0010369C" w:rsidRDefault="0010369C">
            <w:pPr>
              <w:pStyle w:val="TableParagraph"/>
              <w:rPr>
                <w:rFonts w:ascii="Times New Roman"/>
                <w:sz w:val="20"/>
              </w:rPr>
            </w:pPr>
          </w:p>
        </w:tc>
        <w:tc>
          <w:tcPr>
            <w:tcW w:w="101" w:type="dxa"/>
            <w:vMerge/>
            <w:tcBorders>
              <w:top w:val="nil"/>
            </w:tcBorders>
            <w:shd w:val="clear" w:color="auto" w:fill="000000"/>
          </w:tcPr>
          <w:p w14:paraId="51DE7B0E" w14:textId="77777777" w:rsidR="0010369C" w:rsidRDefault="0010369C">
            <w:pPr>
              <w:rPr>
                <w:sz w:val="2"/>
                <w:szCs w:val="2"/>
              </w:rPr>
            </w:pPr>
          </w:p>
        </w:tc>
        <w:tc>
          <w:tcPr>
            <w:tcW w:w="1876" w:type="dxa"/>
            <w:vMerge/>
            <w:tcBorders>
              <w:top w:val="nil"/>
            </w:tcBorders>
            <w:shd w:val="clear" w:color="auto" w:fill="000000"/>
          </w:tcPr>
          <w:p w14:paraId="51DE7B0F" w14:textId="77777777" w:rsidR="0010369C" w:rsidRDefault="0010369C">
            <w:pPr>
              <w:rPr>
                <w:sz w:val="2"/>
                <w:szCs w:val="2"/>
              </w:rPr>
            </w:pPr>
          </w:p>
        </w:tc>
        <w:tc>
          <w:tcPr>
            <w:tcW w:w="496" w:type="dxa"/>
            <w:vMerge/>
            <w:tcBorders>
              <w:top w:val="nil"/>
            </w:tcBorders>
            <w:shd w:val="clear" w:color="auto" w:fill="000000"/>
          </w:tcPr>
          <w:p w14:paraId="51DE7B10" w14:textId="77777777" w:rsidR="0010369C" w:rsidRDefault="0010369C">
            <w:pPr>
              <w:rPr>
                <w:sz w:val="2"/>
                <w:szCs w:val="2"/>
              </w:rPr>
            </w:pPr>
          </w:p>
        </w:tc>
        <w:tc>
          <w:tcPr>
            <w:tcW w:w="641" w:type="dxa"/>
            <w:vMerge/>
            <w:tcBorders>
              <w:top w:val="nil"/>
              <w:bottom w:val="single" w:sz="4" w:space="0" w:color="000000"/>
              <w:right w:val="single" w:sz="4" w:space="0" w:color="000000"/>
            </w:tcBorders>
          </w:tcPr>
          <w:p w14:paraId="51DE7B11" w14:textId="77777777" w:rsidR="0010369C" w:rsidRDefault="0010369C">
            <w:pPr>
              <w:rPr>
                <w:sz w:val="2"/>
                <w:szCs w:val="2"/>
              </w:rPr>
            </w:pPr>
          </w:p>
        </w:tc>
      </w:tr>
      <w:tr w:rsidR="0010369C" w14:paraId="51DE7B1B" w14:textId="77777777">
        <w:trPr>
          <w:trHeight w:val="282"/>
        </w:trPr>
        <w:tc>
          <w:tcPr>
            <w:tcW w:w="1184" w:type="dxa"/>
            <w:tcBorders>
              <w:left w:val="single" w:sz="4" w:space="0" w:color="000000"/>
              <w:right w:val="single" w:sz="4" w:space="0" w:color="000000"/>
            </w:tcBorders>
          </w:tcPr>
          <w:p w14:paraId="51DE7B13" w14:textId="77777777" w:rsidR="0010369C" w:rsidRDefault="0010369C">
            <w:pPr>
              <w:pStyle w:val="TableParagraph"/>
              <w:rPr>
                <w:rFonts w:ascii="Times New Roman"/>
                <w:sz w:val="20"/>
              </w:rPr>
            </w:pPr>
          </w:p>
        </w:tc>
        <w:tc>
          <w:tcPr>
            <w:tcW w:w="86" w:type="dxa"/>
            <w:vMerge/>
            <w:tcBorders>
              <w:top w:val="nil"/>
            </w:tcBorders>
            <w:shd w:val="clear" w:color="auto" w:fill="000000"/>
          </w:tcPr>
          <w:p w14:paraId="51DE7B14" w14:textId="77777777" w:rsidR="0010369C" w:rsidRDefault="0010369C">
            <w:pPr>
              <w:rPr>
                <w:sz w:val="2"/>
                <w:szCs w:val="2"/>
              </w:rPr>
            </w:pPr>
          </w:p>
        </w:tc>
        <w:tc>
          <w:tcPr>
            <w:tcW w:w="2072" w:type="dxa"/>
            <w:gridSpan w:val="2"/>
            <w:shd w:val="clear" w:color="auto" w:fill="000000"/>
          </w:tcPr>
          <w:p w14:paraId="51DE7B15" w14:textId="77777777" w:rsidR="0010369C" w:rsidRDefault="0010369C">
            <w:pPr>
              <w:pStyle w:val="TableParagraph"/>
              <w:rPr>
                <w:rFonts w:ascii="Times New Roman"/>
                <w:sz w:val="20"/>
              </w:rPr>
            </w:pPr>
          </w:p>
        </w:tc>
        <w:tc>
          <w:tcPr>
            <w:tcW w:w="2603" w:type="dxa"/>
            <w:gridSpan w:val="4"/>
            <w:tcBorders>
              <w:right w:val="single" w:sz="4" w:space="0" w:color="000000"/>
            </w:tcBorders>
          </w:tcPr>
          <w:p w14:paraId="51DE7B16" w14:textId="77777777" w:rsidR="0010369C" w:rsidRDefault="0010369C">
            <w:pPr>
              <w:pStyle w:val="TableParagraph"/>
              <w:rPr>
                <w:rFonts w:ascii="Times New Roman"/>
                <w:sz w:val="20"/>
              </w:rPr>
            </w:pPr>
          </w:p>
        </w:tc>
        <w:tc>
          <w:tcPr>
            <w:tcW w:w="101" w:type="dxa"/>
            <w:vMerge/>
            <w:tcBorders>
              <w:top w:val="nil"/>
            </w:tcBorders>
            <w:shd w:val="clear" w:color="auto" w:fill="000000"/>
          </w:tcPr>
          <w:p w14:paraId="51DE7B17" w14:textId="77777777" w:rsidR="0010369C" w:rsidRDefault="0010369C">
            <w:pPr>
              <w:rPr>
                <w:sz w:val="2"/>
                <w:szCs w:val="2"/>
              </w:rPr>
            </w:pPr>
          </w:p>
        </w:tc>
        <w:tc>
          <w:tcPr>
            <w:tcW w:w="1876" w:type="dxa"/>
            <w:vMerge/>
            <w:tcBorders>
              <w:top w:val="nil"/>
            </w:tcBorders>
            <w:shd w:val="clear" w:color="auto" w:fill="000000"/>
          </w:tcPr>
          <w:p w14:paraId="51DE7B18" w14:textId="77777777" w:rsidR="0010369C" w:rsidRDefault="0010369C">
            <w:pPr>
              <w:rPr>
                <w:sz w:val="2"/>
                <w:szCs w:val="2"/>
              </w:rPr>
            </w:pPr>
          </w:p>
        </w:tc>
        <w:tc>
          <w:tcPr>
            <w:tcW w:w="496" w:type="dxa"/>
            <w:vMerge/>
            <w:tcBorders>
              <w:top w:val="nil"/>
            </w:tcBorders>
            <w:shd w:val="clear" w:color="auto" w:fill="000000"/>
          </w:tcPr>
          <w:p w14:paraId="51DE7B19" w14:textId="77777777" w:rsidR="0010369C" w:rsidRDefault="0010369C">
            <w:pPr>
              <w:rPr>
                <w:sz w:val="2"/>
                <w:szCs w:val="2"/>
              </w:rPr>
            </w:pPr>
          </w:p>
        </w:tc>
        <w:tc>
          <w:tcPr>
            <w:tcW w:w="641" w:type="dxa"/>
            <w:vMerge/>
            <w:tcBorders>
              <w:top w:val="nil"/>
              <w:bottom w:val="single" w:sz="4" w:space="0" w:color="000000"/>
              <w:right w:val="single" w:sz="4" w:space="0" w:color="000000"/>
            </w:tcBorders>
          </w:tcPr>
          <w:p w14:paraId="51DE7B1A" w14:textId="77777777" w:rsidR="0010369C" w:rsidRDefault="0010369C">
            <w:pPr>
              <w:rPr>
                <w:sz w:val="2"/>
                <w:szCs w:val="2"/>
              </w:rPr>
            </w:pPr>
          </w:p>
        </w:tc>
      </w:tr>
      <w:tr w:rsidR="0010369C" w14:paraId="51DE7B22" w14:textId="77777777">
        <w:trPr>
          <w:trHeight w:val="257"/>
        </w:trPr>
        <w:tc>
          <w:tcPr>
            <w:tcW w:w="1184" w:type="dxa"/>
            <w:tcBorders>
              <w:left w:val="single" w:sz="4" w:space="0" w:color="000000"/>
              <w:bottom w:val="single" w:sz="4" w:space="0" w:color="000000"/>
              <w:right w:val="single" w:sz="4" w:space="0" w:color="000000"/>
            </w:tcBorders>
          </w:tcPr>
          <w:p w14:paraId="51DE7B1C" w14:textId="77777777" w:rsidR="0010369C" w:rsidRDefault="0010369C">
            <w:pPr>
              <w:pStyle w:val="TableParagraph"/>
              <w:rPr>
                <w:rFonts w:ascii="Times New Roman"/>
                <w:sz w:val="18"/>
              </w:rPr>
            </w:pPr>
          </w:p>
        </w:tc>
        <w:tc>
          <w:tcPr>
            <w:tcW w:w="4761" w:type="dxa"/>
            <w:gridSpan w:val="7"/>
            <w:tcBorders>
              <w:left w:val="single" w:sz="4" w:space="0" w:color="000000"/>
              <w:bottom w:val="single" w:sz="4" w:space="0" w:color="000000"/>
              <w:right w:val="single" w:sz="4" w:space="0" w:color="000000"/>
            </w:tcBorders>
          </w:tcPr>
          <w:p w14:paraId="51DE7B1D" w14:textId="77777777" w:rsidR="0010369C" w:rsidRDefault="0010369C">
            <w:pPr>
              <w:pStyle w:val="TableParagraph"/>
              <w:rPr>
                <w:rFonts w:ascii="Times New Roman"/>
                <w:sz w:val="18"/>
              </w:rPr>
            </w:pPr>
          </w:p>
        </w:tc>
        <w:tc>
          <w:tcPr>
            <w:tcW w:w="101" w:type="dxa"/>
            <w:vMerge/>
            <w:tcBorders>
              <w:top w:val="nil"/>
            </w:tcBorders>
            <w:shd w:val="clear" w:color="auto" w:fill="000000"/>
          </w:tcPr>
          <w:p w14:paraId="51DE7B1E" w14:textId="77777777" w:rsidR="0010369C" w:rsidRDefault="0010369C">
            <w:pPr>
              <w:rPr>
                <w:sz w:val="2"/>
                <w:szCs w:val="2"/>
              </w:rPr>
            </w:pPr>
          </w:p>
        </w:tc>
        <w:tc>
          <w:tcPr>
            <w:tcW w:w="1876" w:type="dxa"/>
            <w:vMerge/>
            <w:tcBorders>
              <w:top w:val="nil"/>
            </w:tcBorders>
            <w:shd w:val="clear" w:color="auto" w:fill="000000"/>
          </w:tcPr>
          <w:p w14:paraId="51DE7B1F" w14:textId="77777777" w:rsidR="0010369C" w:rsidRDefault="0010369C">
            <w:pPr>
              <w:rPr>
                <w:sz w:val="2"/>
                <w:szCs w:val="2"/>
              </w:rPr>
            </w:pPr>
          </w:p>
        </w:tc>
        <w:tc>
          <w:tcPr>
            <w:tcW w:w="496" w:type="dxa"/>
            <w:vMerge/>
            <w:tcBorders>
              <w:top w:val="nil"/>
            </w:tcBorders>
            <w:shd w:val="clear" w:color="auto" w:fill="000000"/>
          </w:tcPr>
          <w:p w14:paraId="51DE7B20" w14:textId="77777777" w:rsidR="0010369C" w:rsidRDefault="0010369C">
            <w:pPr>
              <w:rPr>
                <w:sz w:val="2"/>
                <w:szCs w:val="2"/>
              </w:rPr>
            </w:pPr>
          </w:p>
        </w:tc>
        <w:tc>
          <w:tcPr>
            <w:tcW w:w="641" w:type="dxa"/>
            <w:vMerge/>
            <w:tcBorders>
              <w:top w:val="nil"/>
              <w:bottom w:val="single" w:sz="4" w:space="0" w:color="000000"/>
              <w:right w:val="single" w:sz="4" w:space="0" w:color="000000"/>
            </w:tcBorders>
          </w:tcPr>
          <w:p w14:paraId="51DE7B21" w14:textId="77777777" w:rsidR="0010369C" w:rsidRDefault="0010369C">
            <w:pPr>
              <w:rPr>
                <w:sz w:val="2"/>
                <w:szCs w:val="2"/>
              </w:rPr>
            </w:pPr>
          </w:p>
        </w:tc>
      </w:tr>
      <w:tr w:rsidR="0010369C" w14:paraId="51DE7B29" w14:textId="77777777">
        <w:trPr>
          <w:trHeight w:val="310"/>
        </w:trPr>
        <w:tc>
          <w:tcPr>
            <w:tcW w:w="1184" w:type="dxa"/>
            <w:vMerge w:val="restart"/>
            <w:tcBorders>
              <w:top w:val="single" w:sz="4" w:space="0" w:color="000000"/>
              <w:left w:val="single" w:sz="4" w:space="0" w:color="000000"/>
              <w:bottom w:val="single" w:sz="4" w:space="0" w:color="000000"/>
              <w:right w:val="single" w:sz="4" w:space="0" w:color="000000"/>
            </w:tcBorders>
          </w:tcPr>
          <w:p w14:paraId="51DE7B23" w14:textId="77777777" w:rsidR="0010369C" w:rsidRDefault="008E43AE">
            <w:pPr>
              <w:pStyle w:val="TableParagraph"/>
              <w:ind w:left="107"/>
              <w:rPr>
                <w:sz w:val="24"/>
              </w:rPr>
            </w:pPr>
            <w:r>
              <w:rPr>
                <w:spacing w:val="-2"/>
                <w:sz w:val="24"/>
              </w:rPr>
              <w:t>AUS‐86</w:t>
            </w:r>
          </w:p>
        </w:tc>
        <w:tc>
          <w:tcPr>
            <w:tcW w:w="86" w:type="dxa"/>
            <w:tcBorders>
              <w:top w:val="single" w:sz="4" w:space="0" w:color="000000"/>
              <w:left w:val="single" w:sz="4" w:space="0" w:color="000000"/>
            </w:tcBorders>
          </w:tcPr>
          <w:p w14:paraId="51DE7B24" w14:textId="77777777" w:rsidR="0010369C" w:rsidRDefault="0010369C">
            <w:pPr>
              <w:pStyle w:val="TableParagraph"/>
              <w:rPr>
                <w:rFonts w:ascii="Times New Roman"/>
              </w:rPr>
            </w:pPr>
          </w:p>
        </w:tc>
        <w:tc>
          <w:tcPr>
            <w:tcW w:w="3913" w:type="dxa"/>
            <w:gridSpan w:val="4"/>
            <w:tcBorders>
              <w:top w:val="single" w:sz="4" w:space="0" w:color="000000"/>
            </w:tcBorders>
          </w:tcPr>
          <w:p w14:paraId="51DE7B25" w14:textId="77777777" w:rsidR="0010369C" w:rsidRDefault="008E43AE">
            <w:pPr>
              <w:pStyle w:val="TableParagraph"/>
              <w:spacing w:line="290" w:lineRule="exact"/>
              <w:ind w:left="26"/>
              <w:rPr>
                <w:sz w:val="24"/>
              </w:rPr>
            </w:pPr>
            <w:r>
              <w:rPr>
                <w:sz w:val="24"/>
              </w:rPr>
              <w:t>Australian</w:t>
            </w:r>
            <w:r>
              <w:rPr>
                <w:spacing w:val="-2"/>
                <w:sz w:val="24"/>
              </w:rPr>
              <w:t xml:space="preserve"> </w:t>
            </w:r>
            <w:r>
              <w:rPr>
                <w:sz w:val="24"/>
              </w:rPr>
              <w:t>Government,</w:t>
            </w:r>
            <w:r>
              <w:rPr>
                <w:spacing w:val="-1"/>
                <w:sz w:val="24"/>
              </w:rPr>
              <w:t xml:space="preserve"> </w:t>
            </w:r>
            <w:r>
              <w:rPr>
                <w:spacing w:val="-2"/>
                <w:sz w:val="24"/>
              </w:rPr>
              <w:t>"Anti‐Dumping</w:t>
            </w:r>
          </w:p>
        </w:tc>
        <w:tc>
          <w:tcPr>
            <w:tcW w:w="110" w:type="dxa"/>
            <w:tcBorders>
              <w:top w:val="single" w:sz="4" w:space="0" w:color="000000"/>
            </w:tcBorders>
          </w:tcPr>
          <w:p w14:paraId="51DE7B26" w14:textId="77777777" w:rsidR="0010369C" w:rsidRDefault="0010369C">
            <w:pPr>
              <w:pStyle w:val="TableParagraph"/>
              <w:rPr>
                <w:rFonts w:ascii="Times New Roman"/>
              </w:rPr>
            </w:pPr>
          </w:p>
        </w:tc>
        <w:tc>
          <w:tcPr>
            <w:tcW w:w="652" w:type="dxa"/>
            <w:tcBorders>
              <w:top w:val="single" w:sz="4" w:space="0" w:color="000000"/>
              <w:right w:val="single" w:sz="4" w:space="0" w:color="000000"/>
            </w:tcBorders>
          </w:tcPr>
          <w:p w14:paraId="51DE7B27" w14:textId="77777777" w:rsidR="0010369C" w:rsidRDefault="0010369C">
            <w:pPr>
              <w:pStyle w:val="TableParagraph"/>
              <w:rPr>
                <w:rFonts w:ascii="Times New Roman"/>
              </w:rPr>
            </w:pPr>
          </w:p>
        </w:tc>
        <w:tc>
          <w:tcPr>
            <w:tcW w:w="3114" w:type="dxa"/>
            <w:gridSpan w:val="4"/>
            <w:vMerge w:val="restart"/>
            <w:tcBorders>
              <w:left w:val="single" w:sz="4" w:space="0" w:color="000000"/>
              <w:bottom w:val="single" w:sz="4" w:space="0" w:color="000000"/>
              <w:right w:val="single" w:sz="4" w:space="0" w:color="000000"/>
            </w:tcBorders>
          </w:tcPr>
          <w:p w14:paraId="51DE7B28" w14:textId="77777777" w:rsidR="0010369C" w:rsidRDefault="008E43AE">
            <w:pPr>
              <w:pStyle w:val="TableParagraph"/>
              <w:spacing w:line="290" w:lineRule="atLeast"/>
              <w:ind w:left="111"/>
              <w:rPr>
                <w:sz w:val="24"/>
              </w:rPr>
            </w:pPr>
            <w:r>
              <w:rPr>
                <w:sz w:val="24"/>
              </w:rPr>
              <w:t>Australian</w:t>
            </w:r>
            <w:r>
              <w:rPr>
                <w:spacing w:val="-14"/>
                <w:sz w:val="24"/>
              </w:rPr>
              <w:t xml:space="preserve"> </w:t>
            </w:r>
            <w:r>
              <w:rPr>
                <w:sz w:val="24"/>
              </w:rPr>
              <w:t>Government</w:t>
            </w:r>
            <w:r>
              <w:rPr>
                <w:spacing w:val="-14"/>
                <w:sz w:val="24"/>
              </w:rPr>
              <w:t xml:space="preserve"> </w:t>
            </w:r>
            <w:r>
              <w:rPr>
                <w:sz w:val="24"/>
              </w:rPr>
              <w:t>Anti‐ Dumping Questionnaire Response, Section 7</w:t>
            </w:r>
          </w:p>
        </w:tc>
      </w:tr>
      <w:tr w:rsidR="0010369C" w14:paraId="51DE7B30" w14:textId="77777777">
        <w:trPr>
          <w:trHeight w:val="282"/>
        </w:trPr>
        <w:tc>
          <w:tcPr>
            <w:tcW w:w="1184" w:type="dxa"/>
            <w:vMerge/>
            <w:tcBorders>
              <w:top w:val="nil"/>
              <w:left w:val="single" w:sz="4" w:space="0" w:color="000000"/>
              <w:bottom w:val="single" w:sz="4" w:space="0" w:color="000000"/>
              <w:right w:val="single" w:sz="4" w:space="0" w:color="000000"/>
            </w:tcBorders>
          </w:tcPr>
          <w:p w14:paraId="51DE7B2A" w14:textId="77777777" w:rsidR="0010369C" w:rsidRDefault="0010369C">
            <w:pPr>
              <w:rPr>
                <w:sz w:val="2"/>
                <w:szCs w:val="2"/>
              </w:rPr>
            </w:pPr>
          </w:p>
        </w:tc>
        <w:tc>
          <w:tcPr>
            <w:tcW w:w="86" w:type="dxa"/>
            <w:tcBorders>
              <w:left w:val="single" w:sz="4" w:space="0" w:color="000000"/>
            </w:tcBorders>
          </w:tcPr>
          <w:p w14:paraId="51DE7B2B" w14:textId="77777777" w:rsidR="0010369C" w:rsidRDefault="0010369C">
            <w:pPr>
              <w:pStyle w:val="TableParagraph"/>
              <w:rPr>
                <w:rFonts w:ascii="Times New Roman"/>
                <w:sz w:val="20"/>
              </w:rPr>
            </w:pPr>
          </w:p>
        </w:tc>
        <w:tc>
          <w:tcPr>
            <w:tcW w:w="3913" w:type="dxa"/>
            <w:gridSpan w:val="4"/>
          </w:tcPr>
          <w:p w14:paraId="51DE7B2C" w14:textId="77777777" w:rsidR="0010369C" w:rsidRDefault="008E43AE">
            <w:pPr>
              <w:pStyle w:val="TableParagraph"/>
              <w:spacing w:line="263" w:lineRule="exact"/>
              <w:ind w:left="26"/>
              <w:rPr>
                <w:sz w:val="24"/>
              </w:rPr>
            </w:pPr>
            <w:r>
              <w:rPr>
                <w:sz w:val="24"/>
              </w:rPr>
              <w:t>Questionnaire</w:t>
            </w:r>
            <w:r>
              <w:rPr>
                <w:spacing w:val="-4"/>
                <w:sz w:val="24"/>
              </w:rPr>
              <w:t xml:space="preserve"> </w:t>
            </w:r>
            <w:r>
              <w:rPr>
                <w:sz w:val="24"/>
              </w:rPr>
              <w:t>Response,</w:t>
            </w:r>
            <w:r>
              <w:rPr>
                <w:spacing w:val="-3"/>
                <w:sz w:val="24"/>
              </w:rPr>
              <w:t xml:space="preserve"> </w:t>
            </w:r>
            <w:r>
              <w:rPr>
                <w:sz w:val="24"/>
              </w:rPr>
              <w:t>Section</w:t>
            </w:r>
            <w:r>
              <w:rPr>
                <w:spacing w:val="-3"/>
                <w:sz w:val="24"/>
              </w:rPr>
              <w:t xml:space="preserve"> </w:t>
            </w:r>
            <w:r>
              <w:rPr>
                <w:sz w:val="24"/>
              </w:rPr>
              <w:t>7",</w:t>
            </w:r>
            <w:r>
              <w:rPr>
                <w:spacing w:val="-3"/>
                <w:sz w:val="24"/>
              </w:rPr>
              <w:t xml:space="preserve"> </w:t>
            </w:r>
            <w:r>
              <w:rPr>
                <w:spacing w:val="-5"/>
                <w:sz w:val="24"/>
              </w:rPr>
              <w:t>16</w:t>
            </w:r>
          </w:p>
        </w:tc>
        <w:tc>
          <w:tcPr>
            <w:tcW w:w="110" w:type="dxa"/>
          </w:tcPr>
          <w:p w14:paraId="51DE7B2D" w14:textId="77777777" w:rsidR="0010369C" w:rsidRDefault="0010369C">
            <w:pPr>
              <w:pStyle w:val="TableParagraph"/>
              <w:rPr>
                <w:rFonts w:ascii="Times New Roman"/>
                <w:sz w:val="20"/>
              </w:rPr>
            </w:pPr>
          </w:p>
        </w:tc>
        <w:tc>
          <w:tcPr>
            <w:tcW w:w="652" w:type="dxa"/>
            <w:tcBorders>
              <w:right w:val="single" w:sz="4" w:space="0" w:color="000000"/>
            </w:tcBorders>
          </w:tcPr>
          <w:p w14:paraId="51DE7B2E" w14:textId="77777777" w:rsidR="0010369C" w:rsidRDefault="0010369C">
            <w:pPr>
              <w:pStyle w:val="TableParagraph"/>
              <w:rPr>
                <w:rFonts w:ascii="Times New Roman"/>
                <w:sz w:val="20"/>
              </w:rPr>
            </w:pPr>
          </w:p>
        </w:tc>
        <w:tc>
          <w:tcPr>
            <w:tcW w:w="3114" w:type="dxa"/>
            <w:gridSpan w:val="4"/>
            <w:vMerge/>
            <w:tcBorders>
              <w:top w:val="nil"/>
              <w:left w:val="single" w:sz="4" w:space="0" w:color="000000"/>
              <w:bottom w:val="single" w:sz="4" w:space="0" w:color="000000"/>
              <w:right w:val="single" w:sz="4" w:space="0" w:color="000000"/>
            </w:tcBorders>
          </w:tcPr>
          <w:p w14:paraId="51DE7B2F" w14:textId="77777777" w:rsidR="0010369C" w:rsidRDefault="0010369C">
            <w:pPr>
              <w:rPr>
                <w:sz w:val="2"/>
                <w:szCs w:val="2"/>
              </w:rPr>
            </w:pPr>
          </w:p>
        </w:tc>
      </w:tr>
      <w:tr w:rsidR="0010369C" w14:paraId="51DE7B39" w14:textId="77777777">
        <w:trPr>
          <w:trHeight w:val="266"/>
        </w:trPr>
        <w:tc>
          <w:tcPr>
            <w:tcW w:w="1184" w:type="dxa"/>
            <w:vMerge/>
            <w:tcBorders>
              <w:top w:val="nil"/>
              <w:left w:val="single" w:sz="4" w:space="0" w:color="000000"/>
              <w:bottom w:val="single" w:sz="4" w:space="0" w:color="000000"/>
              <w:right w:val="single" w:sz="4" w:space="0" w:color="000000"/>
            </w:tcBorders>
          </w:tcPr>
          <w:p w14:paraId="51DE7B31" w14:textId="77777777" w:rsidR="0010369C" w:rsidRDefault="0010369C">
            <w:pPr>
              <w:rPr>
                <w:sz w:val="2"/>
                <w:szCs w:val="2"/>
              </w:rPr>
            </w:pPr>
          </w:p>
        </w:tc>
        <w:tc>
          <w:tcPr>
            <w:tcW w:w="86" w:type="dxa"/>
            <w:tcBorders>
              <w:left w:val="single" w:sz="4" w:space="0" w:color="000000"/>
              <w:bottom w:val="single" w:sz="4" w:space="0" w:color="000000"/>
            </w:tcBorders>
          </w:tcPr>
          <w:p w14:paraId="51DE7B32" w14:textId="77777777" w:rsidR="0010369C" w:rsidRDefault="0010369C">
            <w:pPr>
              <w:pStyle w:val="TableParagraph"/>
              <w:rPr>
                <w:rFonts w:ascii="Times New Roman"/>
                <w:sz w:val="18"/>
              </w:rPr>
            </w:pPr>
          </w:p>
        </w:tc>
        <w:tc>
          <w:tcPr>
            <w:tcW w:w="2072" w:type="dxa"/>
            <w:gridSpan w:val="2"/>
            <w:tcBorders>
              <w:bottom w:val="single" w:sz="4" w:space="0" w:color="000000"/>
            </w:tcBorders>
          </w:tcPr>
          <w:p w14:paraId="51DE7B33" w14:textId="77777777" w:rsidR="0010369C" w:rsidRDefault="008E43AE">
            <w:pPr>
              <w:pStyle w:val="TableParagraph"/>
              <w:spacing w:line="246" w:lineRule="exact"/>
              <w:ind w:left="26"/>
              <w:rPr>
                <w:sz w:val="24"/>
              </w:rPr>
            </w:pPr>
            <w:r>
              <w:rPr>
                <w:sz w:val="24"/>
              </w:rPr>
              <w:t>November</w:t>
            </w:r>
            <w:r>
              <w:rPr>
                <w:spacing w:val="-1"/>
                <w:sz w:val="24"/>
              </w:rPr>
              <w:t xml:space="preserve"> </w:t>
            </w:r>
            <w:r>
              <w:rPr>
                <w:spacing w:val="-4"/>
                <w:sz w:val="24"/>
              </w:rPr>
              <w:t>2020</w:t>
            </w:r>
          </w:p>
        </w:tc>
        <w:tc>
          <w:tcPr>
            <w:tcW w:w="1671" w:type="dxa"/>
            <w:tcBorders>
              <w:bottom w:val="single" w:sz="4" w:space="0" w:color="000000"/>
            </w:tcBorders>
          </w:tcPr>
          <w:p w14:paraId="51DE7B34" w14:textId="77777777" w:rsidR="0010369C" w:rsidRDefault="0010369C">
            <w:pPr>
              <w:pStyle w:val="TableParagraph"/>
              <w:rPr>
                <w:rFonts w:ascii="Times New Roman"/>
                <w:sz w:val="18"/>
              </w:rPr>
            </w:pPr>
          </w:p>
        </w:tc>
        <w:tc>
          <w:tcPr>
            <w:tcW w:w="170" w:type="dxa"/>
            <w:tcBorders>
              <w:bottom w:val="single" w:sz="4" w:space="0" w:color="000000"/>
            </w:tcBorders>
          </w:tcPr>
          <w:p w14:paraId="51DE7B35" w14:textId="77777777" w:rsidR="0010369C" w:rsidRDefault="0010369C">
            <w:pPr>
              <w:pStyle w:val="TableParagraph"/>
              <w:rPr>
                <w:rFonts w:ascii="Times New Roman"/>
                <w:sz w:val="18"/>
              </w:rPr>
            </w:pPr>
          </w:p>
        </w:tc>
        <w:tc>
          <w:tcPr>
            <w:tcW w:w="110" w:type="dxa"/>
            <w:tcBorders>
              <w:bottom w:val="single" w:sz="4" w:space="0" w:color="000000"/>
            </w:tcBorders>
          </w:tcPr>
          <w:p w14:paraId="51DE7B36" w14:textId="77777777" w:rsidR="0010369C" w:rsidRDefault="0010369C">
            <w:pPr>
              <w:pStyle w:val="TableParagraph"/>
              <w:rPr>
                <w:rFonts w:ascii="Times New Roman"/>
                <w:sz w:val="18"/>
              </w:rPr>
            </w:pPr>
          </w:p>
        </w:tc>
        <w:tc>
          <w:tcPr>
            <w:tcW w:w="652" w:type="dxa"/>
            <w:tcBorders>
              <w:bottom w:val="single" w:sz="4" w:space="0" w:color="000000"/>
              <w:right w:val="single" w:sz="4" w:space="0" w:color="000000"/>
            </w:tcBorders>
          </w:tcPr>
          <w:p w14:paraId="51DE7B37" w14:textId="77777777" w:rsidR="0010369C" w:rsidRDefault="0010369C">
            <w:pPr>
              <w:pStyle w:val="TableParagraph"/>
              <w:rPr>
                <w:rFonts w:ascii="Times New Roman"/>
                <w:sz w:val="18"/>
              </w:rPr>
            </w:pPr>
          </w:p>
        </w:tc>
        <w:tc>
          <w:tcPr>
            <w:tcW w:w="3114" w:type="dxa"/>
            <w:gridSpan w:val="4"/>
            <w:vMerge/>
            <w:tcBorders>
              <w:top w:val="nil"/>
              <w:left w:val="single" w:sz="4" w:space="0" w:color="000000"/>
              <w:bottom w:val="single" w:sz="4" w:space="0" w:color="000000"/>
              <w:right w:val="single" w:sz="4" w:space="0" w:color="000000"/>
            </w:tcBorders>
          </w:tcPr>
          <w:p w14:paraId="51DE7B38" w14:textId="77777777" w:rsidR="0010369C" w:rsidRDefault="0010369C">
            <w:pPr>
              <w:rPr>
                <w:sz w:val="2"/>
                <w:szCs w:val="2"/>
              </w:rPr>
            </w:pPr>
          </w:p>
        </w:tc>
      </w:tr>
      <w:tr w:rsidR="0010369C" w14:paraId="51DE7B3E" w14:textId="77777777">
        <w:trPr>
          <w:trHeight w:val="309"/>
        </w:trPr>
        <w:tc>
          <w:tcPr>
            <w:tcW w:w="1184" w:type="dxa"/>
            <w:vMerge w:val="restart"/>
            <w:tcBorders>
              <w:top w:val="single" w:sz="4" w:space="0" w:color="000000"/>
              <w:left w:val="single" w:sz="4" w:space="0" w:color="000000"/>
              <w:bottom w:val="single" w:sz="4" w:space="0" w:color="000000"/>
              <w:right w:val="single" w:sz="4" w:space="0" w:color="000000"/>
            </w:tcBorders>
          </w:tcPr>
          <w:p w14:paraId="51DE7B3A" w14:textId="77777777" w:rsidR="0010369C" w:rsidRDefault="008E43AE">
            <w:pPr>
              <w:pStyle w:val="TableParagraph"/>
              <w:spacing w:line="292" w:lineRule="exact"/>
              <w:ind w:left="107"/>
              <w:rPr>
                <w:sz w:val="24"/>
              </w:rPr>
            </w:pPr>
            <w:r>
              <w:rPr>
                <w:spacing w:val="-2"/>
                <w:sz w:val="24"/>
              </w:rPr>
              <w:t>AUS‐87</w:t>
            </w:r>
          </w:p>
        </w:tc>
        <w:tc>
          <w:tcPr>
            <w:tcW w:w="86" w:type="dxa"/>
            <w:tcBorders>
              <w:top w:val="single" w:sz="4" w:space="0" w:color="000000"/>
              <w:left w:val="single" w:sz="4" w:space="0" w:color="000000"/>
            </w:tcBorders>
          </w:tcPr>
          <w:p w14:paraId="51DE7B3B" w14:textId="77777777" w:rsidR="0010369C" w:rsidRDefault="0010369C">
            <w:pPr>
              <w:pStyle w:val="TableParagraph"/>
              <w:rPr>
                <w:rFonts w:ascii="Times New Roman"/>
              </w:rPr>
            </w:pPr>
          </w:p>
        </w:tc>
        <w:tc>
          <w:tcPr>
            <w:tcW w:w="4675" w:type="dxa"/>
            <w:gridSpan w:val="6"/>
            <w:tcBorders>
              <w:top w:val="single" w:sz="4" w:space="0" w:color="000000"/>
              <w:right w:val="single" w:sz="4" w:space="0" w:color="000000"/>
            </w:tcBorders>
          </w:tcPr>
          <w:p w14:paraId="51DE7B3C" w14:textId="77777777" w:rsidR="0010369C" w:rsidRDefault="008E43AE">
            <w:pPr>
              <w:pStyle w:val="TableParagraph"/>
              <w:spacing w:line="290" w:lineRule="exact"/>
              <w:ind w:left="21"/>
              <w:rPr>
                <w:sz w:val="24"/>
              </w:rPr>
            </w:pPr>
            <w:r>
              <w:rPr>
                <w:sz w:val="24"/>
              </w:rPr>
              <w:t>Australian</w:t>
            </w:r>
            <w:r>
              <w:rPr>
                <w:spacing w:val="-3"/>
                <w:sz w:val="24"/>
              </w:rPr>
              <w:t xml:space="preserve"> </w:t>
            </w:r>
            <w:r>
              <w:rPr>
                <w:sz w:val="24"/>
              </w:rPr>
              <w:t>Government,</w:t>
            </w:r>
            <w:r>
              <w:rPr>
                <w:spacing w:val="-1"/>
                <w:sz w:val="24"/>
              </w:rPr>
              <w:t xml:space="preserve"> </w:t>
            </w:r>
            <w:r>
              <w:rPr>
                <w:sz w:val="24"/>
              </w:rPr>
              <w:t>"Initiation</w:t>
            </w:r>
            <w:r>
              <w:rPr>
                <w:spacing w:val="-1"/>
                <w:sz w:val="24"/>
              </w:rPr>
              <w:t xml:space="preserve"> </w:t>
            </w:r>
            <w:r>
              <w:rPr>
                <w:sz w:val="24"/>
              </w:rPr>
              <w:t>of</w:t>
            </w:r>
            <w:r>
              <w:rPr>
                <w:spacing w:val="-1"/>
                <w:sz w:val="24"/>
              </w:rPr>
              <w:t xml:space="preserve"> </w:t>
            </w:r>
            <w:r>
              <w:rPr>
                <w:spacing w:val="-2"/>
                <w:sz w:val="24"/>
              </w:rPr>
              <w:t>Anti‐</w:t>
            </w:r>
          </w:p>
        </w:tc>
        <w:tc>
          <w:tcPr>
            <w:tcW w:w="3114" w:type="dxa"/>
            <w:gridSpan w:val="4"/>
            <w:vMerge w:val="restart"/>
            <w:tcBorders>
              <w:top w:val="single" w:sz="4" w:space="0" w:color="000000"/>
              <w:left w:val="single" w:sz="4" w:space="0" w:color="000000"/>
              <w:bottom w:val="single" w:sz="4" w:space="0" w:color="000000"/>
              <w:right w:val="single" w:sz="4" w:space="0" w:color="000000"/>
            </w:tcBorders>
          </w:tcPr>
          <w:p w14:paraId="51DE7B3D" w14:textId="77777777" w:rsidR="0010369C" w:rsidRDefault="008E43AE">
            <w:pPr>
              <w:pStyle w:val="TableParagraph"/>
              <w:ind w:left="111"/>
              <w:rPr>
                <w:sz w:val="24"/>
              </w:rPr>
            </w:pPr>
            <w:r>
              <w:rPr>
                <w:sz w:val="24"/>
              </w:rPr>
              <w:t>Australian Government Submission on</w:t>
            </w:r>
            <w:r>
              <w:rPr>
                <w:spacing w:val="-1"/>
                <w:sz w:val="24"/>
              </w:rPr>
              <w:t xml:space="preserve"> </w:t>
            </w:r>
            <w:r>
              <w:rPr>
                <w:spacing w:val="-2"/>
                <w:sz w:val="24"/>
              </w:rPr>
              <w:t>Initiation</w:t>
            </w:r>
          </w:p>
        </w:tc>
      </w:tr>
      <w:tr w:rsidR="0010369C" w14:paraId="51DE7B43" w14:textId="77777777">
        <w:trPr>
          <w:trHeight w:val="283"/>
        </w:trPr>
        <w:tc>
          <w:tcPr>
            <w:tcW w:w="1184" w:type="dxa"/>
            <w:vMerge/>
            <w:tcBorders>
              <w:top w:val="nil"/>
              <w:left w:val="single" w:sz="4" w:space="0" w:color="000000"/>
              <w:bottom w:val="single" w:sz="4" w:space="0" w:color="000000"/>
              <w:right w:val="single" w:sz="4" w:space="0" w:color="000000"/>
            </w:tcBorders>
          </w:tcPr>
          <w:p w14:paraId="51DE7B3F" w14:textId="77777777" w:rsidR="0010369C" w:rsidRDefault="0010369C">
            <w:pPr>
              <w:rPr>
                <w:sz w:val="2"/>
                <w:szCs w:val="2"/>
              </w:rPr>
            </w:pPr>
          </w:p>
        </w:tc>
        <w:tc>
          <w:tcPr>
            <w:tcW w:w="86" w:type="dxa"/>
            <w:tcBorders>
              <w:left w:val="single" w:sz="4" w:space="0" w:color="000000"/>
            </w:tcBorders>
          </w:tcPr>
          <w:p w14:paraId="51DE7B40" w14:textId="77777777" w:rsidR="0010369C" w:rsidRDefault="0010369C">
            <w:pPr>
              <w:pStyle w:val="TableParagraph"/>
              <w:rPr>
                <w:rFonts w:ascii="Times New Roman"/>
                <w:sz w:val="20"/>
              </w:rPr>
            </w:pPr>
          </w:p>
        </w:tc>
        <w:tc>
          <w:tcPr>
            <w:tcW w:w="4675" w:type="dxa"/>
            <w:gridSpan w:val="6"/>
            <w:tcBorders>
              <w:right w:val="single" w:sz="4" w:space="0" w:color="000000"/>
            </w:tcBorders>
          </w:tcPr>
          <w:p w14:paraId="51DE7B41" w14:textId="77777777" w:rsidR="0010369C" w:rsidRDefault="008E43AE">
            <w:pPr>
              <w:pStyle w:val="TableParagraph"/>
              <w:spacing w:line="263" w:lineRule="exact"/>
              <w:ind w:left="21"/>
              <w:rPr>
                <w:sz w:val="24"/>
              </w:rPr>
            </w:pPr>
            <w:r>
              <w:rPr>
                <w:sz w:val="24"/>
              </w:rPr>
              <w:t>Dumping</w:t>
            </w:r>
            <w:r>
              <w:rPr>
                <w:spacing w:val="-5"/>
                <w:sz w:val="24"/>
              </w:rPr>
              <w:t xml:space="preserve"> </w:t>
            </w:r>
            <w:r>
              <w:rPr>
                <w:sz w:val="24"/>
              </w:rPr>
              <w:t>Investigation</w:t>
            </w:r>
            <w:r>
              <w:rPr>
                <w:spacing w:val="-3"/>
                <w:sz w:val="24"/>
              </w:rPr>
              <w:t xml:space="preserve"> </w:t>
            </w:r>
            <w:r>
              <w:rPr>
                <w:sz w:val="24"/>
              </w:rPr>
              <w:t>into</w:t>
            </w:r>
            <w:r>
              <w:rPr>
                <w:spacing w:val="-2"/>
                <w:sz w:val="24"/>
              </w:rPr>
              <w:t xml:space="preserve"> </w:t>
            </w:r>
            <w:r>
              <w:rPr>
                <w:sz w:val="24"/>
              </w:rPr>
              <w:t>Imports</w:t>
            </w:r>
            <w:r>
              <w:rPr>
                <w:spacing w:val="-3"/>
                <w:sz w:val="24"/>
              </w:rPr>
              <w:t xml:space="preserve"> </w:t>
            </w:r>
            <w:r>
              <w:rPr>
                <w:sz w:val="24"/>
              </w:rPr>
              <w:t>of</w:t>
            </w:r>
            <w:r>
              <w:rPr>
                <w:spacing w:val="-2"/>
                <w:sz w:val="24"/>
              </w:rPr>
              <w:t xml:space="preserve"> </w:t>
            </w:r>
            <w:r>
              <w:rPr>
                <w:spacing w:val="-4"/>
                <w:sz w:val="24"/>
              </w:rPr>
              <w:t>Wine</w:t>
            </w:r>
          </w:p>
        </w:tc>
        <w:tc>
          <w:tcPr>
            <w:tcW w:w="3114" w:type="dxa"/>
            <w:gridSpan w:val="4"/>
            <w:vMerge/>
            <w:tcBorders>
              <w:top w:val="nil"/>
              <w:left w:val="single" w:sz="4" w:space="0" w:color="000000"/>
              <w:bottom w:val="single" w:sz="4" w:space="0" w:color="000000"/>
              <w:right w:val="single" w:sz="4" w:space="0" w:color="000000"/>
            </w:tcBorders>
          </w:tcPr>
          <w:p w14:paraId="51DE7B42" w14:textId="77777777" w:rsidR="0010369C" w:rsidRDefault="0010369C">
            <w:pPr>
              <w:rPr>
                <w:sz w:val="2"/>
                <w:szCs w:val="2"/>
              </w:rPr>
            </w:pPr>
          </w:p>
        </w:tc>
      </w:tr>
      <w:tr w:rsidR="0010369C" w14:paraId="51DE7B48" w14:textId="77777777">
        <w:trPr>
          <w:trHeight w:val="282"/>
        </w:trPr>
        <w:tc>
          <w:tcPr>
            <w:tcW w:w="1184" w:type="dxa"/>
            <w:vMerge/>
            <w:tcBorders>
              <w:top w:val="nil"/>
              <w:left w:val="single" w:sz="4" w:space="0" w:color="000000"/>
              <w:bottom w:val="single" w:sz="4" w:space="0" w:color="000000"/>
              <w:right w:val="single" w:sz="4" w:space="0" w:color="000000"/>
            </w:tcBorders>
          </w:tcPr>
          <w:p w14:paraId="51DE7B44" w14:textId="77777777" w:rsidR="0010369C" w:rsidRDefault="0010369C">
            <w:pPr>
              <w:rPr>
                <w:sz w:val="2"/>
                <w:szCs w:val="2"/>
              </w:rPr>
            </w:pPr>
          </w:p>
        </w:tc>
        <w:tc>
          <w:tcPr>
            <w:tcW w:w="86" w:type="dxa"/>
            <w:tcBorders>
              <w:left w:val="single" w:sz="4" w:space="0" w:color="000000"/>
            </w:tcBorders>
          </w:tcPr>
          <w:p w14:paraId="51DE7B45" w14:textId="77777777" w:rsidR="0010369C" w:rsidRDefault="0010369C">
            <w:pPr>
              <w:pStyle w:val="TableParagraph"/>
              <w:rPr>
                <w:rFonts w:ascii="Times New Roman"/>
                <w:sz w:val="20"/>
              </w:rPr>
            </w:pPr>
          </w:p>
        </w:tc>
        <w:tc>
          <w:tcPr>
            <w:tcW w:w="4675" w:type="dxa"/>
            <w:gridSpan w:val="6"/>
            <w:tcBorders>
              <w:right w:val="single" w:sz="4" w:space="0" w:color="000000"/>
            </w:tcBorders>
          </w:tcPr>
          <w:p w14:paraId="51DE7B46" w14:textId="77777777" w:rsidR="0010369C" w:rsidRDefault="008E43AE">
            <w:pPr>
              <w:pStyle w:val="TableParagraph"/>
              <w:spacing w:line="263" w:lineRule="exact"/>
              <w:ind w:left="21"/>
              <w:rPr>
                <w:sz w:val="24"/>
              </w:rPr>
            </w:pPr>
            <w:r>
              <w:rPr>
                <w:sz w:val="24"/>
              </w:rPr>
              <w:t>from</w:t>
            </w:r>
            <w:r>
              <w:rPr>
                <w:spacing w:val="-2"/>
                <w:sz w:val="24"/>
              </w:rPr>
              <w:t xml:space="preserve"> </w:t>
            </w:r>
            <w:r>
              <w:rPr>
                <w:sz w:val="24"/>
              </w:rPr>
              <w:t>Australian</w:t>
            </w:r>
            <w:r>
              <w:rPr>
                <w:spacing w:val="-1"/>
                <w:sz w:val="24"/>
              </w:rPr>
              <w:t xml:space="preserve"> </w:t>
            </w:r>
            <w:r>
              <w:rPr>
                <w:sz w:val="24"/>
              </w:rPr>
              <w:t>– Submission from</w:t>
            </w:r>
            <w:r>
              <w:rPr>
                <w:spacing w:val="-1"/>
                <w:sz w:val="24"/>
              </w:rPr>
              <w:t xml:space="preserve"> </w:t>
            </w:r>
            <w:r>
              <w:rPr>
                <w:spacing w:val="-2"/>
                <w:sz w:val="24"/>
              </w:rPr>
              <w:t>Australia"</w:t>
            </w:r>
          </w:p>
        </w:tc>
        <w:tc>
          <w:tcPr>
            <w:tcW w:w="3114" w:type="dxa"/>
            <w:gridSpan w:val="4"/>
            <w:vMerge/>
            <w:tcBorders>
              <w:top w:val="nil"/>
              <w:left w:val="single" w:sz="4" w:space="0" w:color="000000"/>
              <w:bottom w:val="single" w:sz="4" w:space="0" w:color="000000"/>
              <w:right w:val="single" w:sz="4" w:space="0" w:color="000000"/>
            </w:tcBorders>
          </w:tcPr>
          <w:p w14:paraId="51DE7B47" w14:textId="77777777" w:rsidR="0010369C" w:rsidRDefault="0010369C">
            <w:pPr>
              <w:rPr>
                <w:sz w:val="2"/>
                <w:szCs w:val="2"/>
              </w:rPr>
            </w:pPr>
          </w:p>
        </w:tc>
      </w:tr>
      <w:tr w:rsidR="0010369C" w14:paraId="51DE7B4F" w14:textId="77777777">
        <w:trPr>
          <w:trHeight w:val="266"/>
        </w:trPr>
        <w:tc>
          <w:tcPr>
            <w:tcW w:w="1184" w:type="dxa"/>
            <w:vMerge/>
            <w:tcBorders>
              <w:top w:val="nil"/>
              <w:left w:val="single" w:sz="4" w:space="0" w:color="000000"/>
              <w:bottom w:val="single" w:sz="4" w:space="0" w:color="000000"/>
              <w:right w:val="single" w:sz="4" w:space="0" w:color="000000"/>
            </w:tcBorders>
          </w:tcPr>
          <w:p w14:paraId="51DE7B49" w14:textId="77777777" w:rsidR="0010369C" w:rsidRDefault="0010369C">
            <w:pPr>
              <w:rPr>
                <w:sz w:val="2"/>
                <w:szCs w:val="2"/>
              </w:rPr>
            </w:pPr>
          </w:p>
        </w:tc>
        <w:tc>
          <w:tcPr>
            <w:tcW w:w="86" w:type="dxa"/>
            <w:tcBorders>
              <w:left w:val="single" w:sz="4" w:space="0" w:color="000000"/>
              <w:bottom w:val="single" w:sz="4" w:space="0" w:color="000000"/>
            </w:tcBorders>
          </w:tcPr>
          <w:p w14:paraId="51DE7B4A" w14:textId="77777777" w:rsidR="0010369C" w:rsidRDefault="0010369C">
            <w:pPr>
              <w:pStyle w:val="TableParagraph"/>
              <w:rPr>
                <w:rFonts w:ascii="Times New Roman"/>
                <w:sz w:val="18"/>
              </w:rPr>
            </w:pPr>
          </w:p>
        </w:tc>
        <w:tc>
          <w:tcPr>
            <w:tcW w:w="3913" w:type="dxa"/>
            <w:gridSpan w:val="4"/>
            <w:tcBorders>
              <w:bottom w:val="single" w:sz="4" w:space="0" w:color="000000"/>
            </w:tcBorders>
          </w:tcPr>
          <w:p w14:paraId="51DE7B4B" w14:textId="77777777" w:rsidR="0010369C" w:rsidRDefault="008E43AE">
            <w:pPr>
              <w:pStyle w:val="TableParagraph"/>
              <w:spacing w:line="246" w:lineRule="exact"/>
              <w:ind w:left="26"/>
              <w:rPr>
                <w:sz w:val="24"/>
              </w:rPr>
            </w:pPr>
            <w:r>
              <w:rPr>
                <w:sz w:val="24"/>
              </w:rPr>
              <w:t>7</w:t>
            </w:r>
            <w:r>
              <w:rPr>
                <w:spacing w:val="-4"/>
                <w:sz w:val="24"/>
              </w:rPr>
              <w:t xml:space="preserve"> </w:t>
            </w:r>
            <w:r>
              <w:rPr>
                <w:sz w:val="24"/>
              </w:rPr>
              <w:t>September</w:t>
            </w:r>
            <w:r>
              <w:rPr>
                <w:spacing w:val="-2"/>
                <w:sz w:val="24"/>
              </w:rPr>
              <w:t xml:space="preserve"> </w:t>
            </w:r>
            <w:r>
              <w:rPr>
                <w:sz w:val="24"/>
              </w:rPr>
              <w:t>2020</w:t>
            </w:r>
            <w:r>
              <w:rPr>
                <w:spacing w:val="-3"/>
                <w:sz w:val="24"/>
              </w:rPr>
              <w:t xml:space="preserve"> </w:t>
            </w:r>
            <w:r>
              <w:rPr>
                <w:sz w:val="24"/>
              </w:rPr>
              <w:t>(pages</w:t>
            </w:r>
            <w:r>
              <w:rPr>
                <w:spacing w:val="-3"/>
                <w:sz w:val="24"/>
              </w:rPr>
              <w:t xml:space="preserve"> </w:t>
            </w:r>
            <w:r>
              <w:rPr>
                <w:spacing w:val="-2"/>
                <w:sz w:val="24"/>
              </w:rPr>
              <w:t>renumbered)</w:t>
            </w:r>
          </w:p>
        </w:tc>
        <w:tc>
          <w:tcPr>
            <w:tcW w:w="110" w:type="dxa"/>
            <w:tcBorders>
              <w:bottom w:val="single" w:sz="4" w:space="0" w:color="000000"/>
            </w:tcBorders>
          </w:tcPr>
          <w:p w14:paraId="51DE7B4C" w14:textId="77777777" w:rsidR="0010369C" w:rsidRDefault="0010369C">
            <w:pPr>
              <w:pStyle w:val="TableParagraph"/>
              <w:rPr>
                <w:rFonts w:ascii="Times New Roman"/>
                <w:sz w:val="18"/>
              </w:rPr>
            </w:pPr>
          </w:p>
        </w:tc>
        <w:tc>
          <w:tcPr>
            <w:tcW w:w="652" w:type="dxa"/>
            <w:tcBorders>
              <w:bottom w:val="single" w:sz="4" w:space="0" w:color="000000"/>
              <w:right w:val="single" w:sz="4" w:space="0" w:color="000000"/>
            </w:tcBorders>
          </w:tcPr>
          <w:p w14:paraId="51DE7B4D" w14:textId="77777777" w:rsidR="0010369C" w:rsidRDefault="0010369C">
            <w:pPr>
              <w:pStyle w:val="TableParagraph"/>
              <w:rPr>
                <w:rFonts w:ascii="Times New Roman"/>
                <w:sz w:val="18"/>
              </w:rPr>
            </w:pPr>
          </w:p>
        </w:tc>
        <w:tc>
          <w:tcPr>
            <w:tcW w:w="3114" w:type="dxa"/>
            <w:gridSpan w:val="4"/>
            <w:vMerge/>
            <w:tcBorders>
              <w:top w:val="nil"/>
              <w:left w:val="single" w:sz="4" w:space="0" w:color="000000"/>
              <w:bottom w:val="single" w:sz="4" w:space="0" w:color="000000"/>
              <w:right w:val="single" w:sz="4" w:space="0" w:color="000000"/>
            </w:tcBorders>
          </w:tcPr>
          <w:p w14:paraId="51DE7B4E" w14:textId="77777777" w:rsidR="0010369C" w:rsidRDefault="0010369C">
            <w:pPr>
              <w:rPr>
                <w:sz w:val="2"/>
                <w:szCs w:val="2"/>
              </w:rPr>
            </w:pPr>
          </w:p>
        </w:tc>
      </w:tr>
    </w:tbl>
    <w:p w14:paraId="51DE7B50" w14:textId="77777777" w:rsidR="0010369C" w:rsidRDefault="0010369C">
      <w:pPr>
        <w:rPr>
          <w:sz w:val="2"/>
          <w:szCs w:val="2"/>
        </w:rPr>
        <w:sectPr w:rsidR="0010369C">
          <w:type w:val="continuous"/>
          <w:pgSz w:w="11910" w:h="16840"/>
          <w:pgMar w:top="1460" w:right="1220" w:bottom="280" w:left="1180" w:header="569" w:footer="788" w:gutter="0"/>
          <w:cols w:space="720"/>
        </w:sectPr>
      </w:pPr>
    </w:p>
    <w:p w14:paraId="51DE7B51" w14:textId="77777777" w:rsidR="0010369C" w:rsidRDefault="008E43AE">
      <w:pPr>
        <w:tabs>
          <w:tab w:val="left" w:pos="6426"/>
        </w:tabs>
        <w:ind w:left="238"/>
        <w:rPr>
          <w:sz w:val="20"/>
        </w:rPr>
      </w:pPr>
      <w:r>
        <w:rPr>
          <w:i/>
          <w:sz w:val="20"/>
        </w:rPr>
        <w:lastRenderedPageBreak/>
        <w:t>China</w:t>
      </w:r>
      <w:r>
        <w:rPr>
          <w:i/>
          <w:spacing w:val="-5"/>
          <w:sz w:val="20"/>
        </w:rPr>
        <w:t xml:space="preserve"> </w:t>
      </w:r>
      <w:r>
        <w:rPr>
          <w:i/>
          <w:sz w:val="20"/>
        </w:rPr>
        <w:t>–</w:t>
      </w:r>
      <w:r>
        <w:rPr>
          <w:i/>
          <w:spacing w:val="-5"/>
          <w:sz w:val="20"/>
        </w:rPr>
        <w:t xml:space="preserve"> </w:t>
      </w:r>
      <w:r>
        <w:rPr>
          <w:i/>
          <w:sz w:val="20"/>
        </w:rPr>
        <w:t>Anti‐Dumping</w:t>
      </w:r>
      <w:r>
        <w:rPr>
          <w:i/>
          <w:spacing w:val="-4"/>
          <w:sz w:val="20"/>
        </w:rPr>
        <w:t xml:space="preserve"> </w:t>
      </w:r>
      <w:r>
        <w:rPr>
          <w:i/>
          <w:sz w:val="20"/>
        </w:rPr>
        <w:t>and</w:t>
      </w:r>
      <w:r>
        <w:rPr>
          <w:i/>
          <w:spacing w:val="-5"/>
          <w:sz w:val="20"/>
        </w:rPr>
        <w:t xml:space="preserve"> </w:t>
      </w:r>
      <w:r>
        <w:rPr>
          <w:i/>
          <w:sz w:val="20"/>
        </w:rPr>
        <w:t>Countervailing</w:t>
      </w:r>
      <w:r>
        <w:rPr>
          <w:i/>
          <w:spacing w:val="-5"/>
          <w:sz w:val="20"/>
        </w:rPr>
        <w:t xml:space="preserve"> </w:t>
      </w:r>
      <w:r>
        <w:rPr>
          <w:i/>
          <w:sz w:val="20"/>
        </w:rPr>
        <w:t>Duty</w:t>
      </w:r>
      <w:r>
        <w:rPr>
          <w:i/>
          <w:spacing w:val="-4"/>
          <w:sz w:val="20"/>
        </w:rPr>
        <w:t xml:space="preserve"> </w:t>
      </w:r>
      <w:r>
        <w:rPr>
          <w:i/>
          <w:spacing w:val="-2"/>
          <w:sz w:val="20"/>
        </w:rPr>
        <w:t>Measures</w:t>
      </w:r>
      <w:r>
        <w:rPr>
          <w:i/>
          <w:sz w:val="20"/>
        </w:rPr>
        <w:tab/>
      </w:r>
      <w:r>
        <w:rPr>
          <w:sz w:val="20"/>
        </w:rPr>
        <w:t>Australia's</w:t>
      </w:r>
      <w:r>
        <w:rPr>
          <w:spacing w:val="-6"/>
          <w:sz w:val="20"/>
        </w:rPr>
        <w:t xml:space="preserve"> </w:t>
      </w:r>
      <w:r>
        <w:rPr>
          <w:sz w:val="20"/>
        </w:rPr>
        <w:t>First</w:t>
      </w:r>
      <w:r>
        <w:rPr>
          <w:spacing w:val="-2"/>
          <w:sz w:val="20"/>
        </w:rPr>
        <w:t xml:space="preserve"> </w:t>
      </w:r>
      <w:r>
        <w:rPr>
          <w:sz w:val="20"/>
        </w:rPr>
        <w:t>Written</w:t>
      </w:r>
      <w:r>
        <w:rPr>
          <w:spacing w:val="-2"/>
          <w:sz w:val="20"/>
        </w:rPr>
        <w:t xml:space="preserve"> Submission</w:t>
      </w:r>
    </w:p>
    <w:p w14:paraId="51DE7B52" w14:textId="77777777" w:rsidR="0010369C" w:rsidRDefault="008E43AE">
      <w:pPr>
        <w:tabs>
          <w:tab w:val="left" w:pos="8228"/>
        </w:tabs>
        <w:spacing w:before="1" w:after="35"/>
        <w:ind w:left="239"/>
        <w:rPr>
          <w:sz w:val="20"/>
        </w:rPr>
      </w:pPr>
      <w:r>
        <w:rPr>
          <w:i/>
          <w:sz w:val="20"/>
        </w:rPr>
        <w:t>on</w:t>
      </w:r>
      <w:r>
        <w:rPr>
          <w:i/>
          <w:spacing w:val="-1"/>
          <w:sz w:val="20"/>
        </w:rPr>
        <w:t xml:space="preserve"> </w:t>
      </w:r>
      <w:r>
        <w:rPr>
          <w:i/>
          <w:sz w:val="20"/>
        </w:rPr>
        <w:t>Wine</w:t>
      </w:r>
      <w:r>
        <w:rPr>
          <w:i/>
          <w:spacing w:val="-1"/>
          <w:sz w:val="20"/>
        </w:rPr>
        <w:t xml:space="preserve"> </w:t>
      </w:r>
      <w:r>
        <w:rPr>
          <w:i/>
          <w:sz w:val="20"/>
        </w:rPr>
        <w:t>from</w:t>
      </w:r>
      <w:r>
        <w:rPr>
          <w:i/>
          <w:spacing w:val="-3"/>
          <w:sz w:val="20"/>
        </w:rPr>
        <w:t xml:space="preserve"> </w:t>
      </w:r>
      <w:r>
        <w:rPr>
          <w:i/>
          <w:sz w:val="20"/>
        </w:rPr>
        <w:t>Australia</w:t>
      </w:r>
      <w:r>
        <w:rPr>
          <w:i/>
          <w:spacing w:val="-1"/>
          <w:sz w:val="20"/>
        </w:rPr>
        <w:t xml:space="preserve"> </w:t>
      </w:r>
      <w:r>
        <w:rPr>
          <w:spacing w:val="-2"/>
          <w:sz w:val="20"/>
        </w:rPr>
        <w:t>(DS602)</w:t>
      </w:r>
      <w:r>
        <w:rPr>
          <w:sz w:val="20"/>
        </w:rPr>
        <w:tab/>
        <w:t>29</w:t>
      </w:r>
      <w:r>
        <w:rPr>
          <w:spacing w:val="-1"/>
          <w:sz w:val="20"/>
        </w:rPr>
        <w:t xml:space="preserve"> </w:t>
      </w:r>
      <w:r>
        <w:rPr>
          <w:sz w:val="20"/>
        </w:rPr>
        <w:t>April</w:t>
      </w:r>
      <w:r>
        <w:rPr>
          <w:spacing w:val="-2"/>
          <w:sz w:val="20"/>
        </w:rPr>
        <w:t xml:space="preserve"> </w:t>
      </w:r>
      <w:r>
        <w:rPr>
          <w:spacing w:val="-4"/>
          <w:sz w:val="20"/>
        </w:rPr>
        <w:t>2022</w:t>
      </w:r>
    </w:p>
    <w:tbl>
      <w:tblPr>
        <w:tblW w:w="0" w:type="auto"/>
        <w:tblInd w:w="2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84"/>
        <w:gridCol w:w="4765"/>
        <w:gridCol w:w="3117"/>
      </w:tblGrid>
      <w:tr w:rsidR="0010369C" w14:paraId="51DE7B58" w14:textId="77777777">
        <w:trPr>
          <w:trHeight w:val="877"/>
        </w:trPr>
        <w:tc>
          <w:tcPr>
            <w:tcW w:w="1184" w:type="dxa"/>
          </w:tcPr>
          <w:p w14:paraId="51DE7B53" w14:textId="77777777" w:rsidR="0010369C" w:rsidRDefault="008E43AE">
            <w:pPr>
              <w:pStyle w:val="TableParagraph"/>
              <w:spacing w:line="292" w:lineRule="exact"/>
              <w:ind w:left="107"/>
              <w:rPr>
                <w:sz w:val="24"/>
              </w:rPr>
            </w:pPr>
            <w:r>
              <w:rPr>
                <w:spacing w:val="-2"/>
                <w:sz w:val="24"/>
              </w:rPr>
              <w:t>AUS‐88</w:t>
            </w:r>
          </w:p>
        </w:tc>
        <w:tc>
          <w:tcPr>
            <w:tcW w:w="4765" w:type="dxa"/>
          </w:tcPr>
          <w:p w14:paraId="51DE7B54" w14:textId="77777777" w:rsidR="0010369C" w:rsidRDefault="008E43AE">
            <w:pPr>
              <w:pStyle w:val="TableParagraph"/>
              <w:ind w:left="107"/>
              <w:rPr>
                <w:sz w:val="24"/>
              </w:rPr>
            </w:pPr>
            <w:r>
              <w:rPr>
                <w:sz w:val="24"/>
              </w:rPr>
              <w:t>E. Vermulst, The WTO Anti‐Dumping Agreement:</w:t>
            </w:r>
            <w:r>
              <w:rPr>
                <w:spacing w:val="-10"/>
                <w:sz w:val="24"/>
              </w:rPr>
              <w:t xml:space="preserve"> </w:t>
            </w:r>
            <w:r>
              <w:rPr>
                <w:sz w:val="24"/>
              </w:rPr>
              <w:t>A</w:t>
            </w:r>
            <w:r>
              <w:rPr>
                <w:spacing w:val="-9"/>
                <w:sz w:val="24"/>
              </w:rPr>
              <w:t xml:space="preserve"> </w:t>
            </w:r>
            <w:r>
              <w:rPr>
                <w:sz w:val="24"/>
              </w:rPr>
              <w:t>Commentary</w:t>
            </w:r>
            <w:r>
              <w:rPr>
                <w:spacing w:val="-9"/>
                <w:sz w:val="24"/>
              </w:rPr>
              <w:t xml:space="preserve"> </w:t>
            </w:r>
            <w:r>
              <w:rPr>
                <w:sz w:val="24"/>
              </w:rPr>
              <w:t>(Oxford</w:t>
            </w:r>
            <w:r>
              <w:rPr>
                <w:spacing w:val="-11"/>
                <w:sz w:val="24"/>
              </w:rPr>
              <w:t xml:space="preserve"> </w:t>
            </w:r>
            <w:r>
              <w:rPr>
                <w:sz w:val="24"/>
              </w:rPr>
              <w:t>University</w:t>
            </w:r>
          </w:p>
          <w:p w14:paraId="51DE7B55" w14:textId="77777777" w:rsidR="0010369C" w:rsidRDefault="008E43AE">
            <w:pPr>
              <w:pStyle w:val="TableParagraph"/>
              <w:spacing w:line="273" w:lineRule="exact"/>
              <w:ind w:left="107"/>
              <w:rPr>
                <w:sz w:val="24"/>
              </w:rPr>
            </w:pPr>
            <w:r>
              <w:rPr>
                <w:sz w:val="24"/>
              </w:rPr>
              <w:t>Press,</w:t>
            </w:r>
            <w:r>
              <w:rPr>
                <w:spacing w:val="-1"/>
                <w:sz w:val="24"/>
              </w:rPr>
              <w:t xml:space="preserve"> </w:t>
            </w:r>
            <w:r>
              <w:rPr>
                <w:spacing w:val="-2"/>
                <w:sz w:val="24"/>
              </w:rPr>
              <w:t>2005)(Excerpt)</w:t>
            </w:r>
          </w:p>
        </w:tc>
        <w:tc>
          <w:tcPr>
            <w:tcW w:w="3117" w:type="dxa"/>
          </w:tcPr>
          <w:p w14:paraId="51DE7B56" w14:textId="77777777" w:rsidR="0010369C" w:rsidRDefault="008E43AE">
            <w:pPr>
              <w:pStyle w:val="TableParagraph"/>
              <w:ind w:left="107"/>
              <w:rPr>
                <w:sz w:val="24"/>
              </w:rPr>
            </w:pPr>
            <w:r>
              <w:rPr>
                <w:sz w:val="24"/>
              </w:rPr>
              <w:t>Vermulst,</w:t>
            </w:r>
            <w:r>
              <w:rPr>
                <w:spacing w:val="-9"/>
                <w:sz w:val="24"/>
              </w:rPr>
              <w:t xml:space="preserve"> </w:t>
            </w:r>
            <w:r>
              <w:rPr>
                <w:sz w:val="24"/>
              </w:rPr>
              <w:t>E,</w:t>
            </w:r>
            <w:r>
              <w:rPr>
                <w:spacing w:val="-11"/>
                <w:sz w:val="24"/>
              </w:rPr>
              <w:t xml:space="preserve"> </w:t>
            </w:r>
            <w:r>
              <w:rPr>
                <w:sz w:val="24"/>
              </w:rPr>
              <w:t>The</w:t>
            </w:r>
            <w:r>
              <w:rPr>
                <w:spacing w:val="-9"/>
                <w:sz w:val="24"/>
              </w:rPr>
              <w:t xml:space="preserve"> </w:t>
            </w:r>
            <w:r>
              <w:rPr>
                <w:sz w:val="24"/>
              </w:rPr>
              <w:t>WTO</w:t>
            </w:r>
            <w:r>
              <w:rPr>
                <w:spacing w:val="-10"/>
                <w:sz w:val="24"/>
              </w:rPr>
              <w:t xml:space="preserve"> </w:t>
            </w:r>
            <w:r>
              <w:rPr>
                <w:sz w:val="24"/>
              </w:rPr>
              <w:t>Anti‐ Dumping Agreement</w:t>
            </w:r>
          </w:p>
          <w:p w14:paraId="51DE7B57" w14:textId="77777777" w:rsidR="0010369C" w:rsidRDefault="008E43AE">
            <w:pPr>
              <w:pStyle w:val="TableParagraph"/>
              <w:spacing w:line="273" w:lineRule="exact"/>
              <w:ind w:left="107"/>
              <w:rPr>
                <w:sz w:val="24"/>
              </w:rPr>
            </w:pPr>
            <w:r>
              <w:rPr>
                <w:spacing w:val="-2"/>
                <w:sz w:val="24"/>
              </w:rPr>
              <w:t>(Excerpt)</w:t>
            </w:r>
          </w:p>
        </w:tc>
      </w:tr>
      <w:tr w:rsidR="0010369C" w14:paraId="51DE7B5C" w14:textId="77777777">
        <w:trPr>
          <w:trHeight w:val="1464"/>
        </w:trPr>
        <w:tc>
          <w:tcPr>
            <w:tcW w:w="1184" w:type="dxa"/>
          </w:tcPr>
          <w:p w14:paraId="51DE7B59" w14:textId="77777777" w:rsidR="0010369C" w:rsidRDefault="008E43AE">
            <w:pPr>
              <w:pStyle w:val="TableParagraph"/>
              <w:ind w:left="107"/>
              <w:rPr>
                <w:sz w:val="24"/>
              </w:rPr>
            </w:pPr>
            <w:r>
              <w:rPr>
                <w:spacing w:val="-2"/>
                <w:sz w:val="24"/>
              </w:rPr>
              <w:t>AUS‐89</w:t>
            </w:r>
          </w:p>
        </w:tc>
        <w:tc>
          <w:tcPr>
            <w:tcW w:w="4765" w:type="dxa"/>
          </w:tcPr>
          <w:p w14:paraId="51DE7B5A" w14:textId="77777777" w:rsidR="0010369C" w:rsidRDefault="008E43AE">
            <w:pPr>
              <w:pStyle w:val="TableParagraph"/>
              <w:spacing w:line="290" w:lineRule="atLeast"/>
              <w:ind w:left="107" w:right="134"/>
              <w:rPr>
                <w:sz w:val="24"/>
              </w:rPr>
            </w:pPr>
            <w:r>
              <w:rPr>
                <w:sz w:val="24"/>
              </w:rPr>
              <w:t>MOFCOM,</w:t>
            </w:r>
            <w:r>
              <w:rPr>
                <w:spacing w:val="-7"/>
                <w:sz w:val="24"/>
              </w:rPr>
              <w:t xml:space="preserve"> </w:t>
            </w:r>
            <w:r>
              <w:rPr>
                <w:sz w:val="24"/>
              </w:rPr>
              <w:t>"Announcement</w:t>
            </w:r>
            <w:r>
              <w:rPr>
                <w:spacing w:val="-7"/>
                <w:sz w:val="24"/>
              </w:rPr>
              <w:t xml:space="preserve"> </w:t>
            </w:r>
            <w:r>
              <w:rPr>
                <w:sz w:val="24"/>
              </w:rPr>
              <w:t>No.</w:t>
            </w:r>
            <w:r>
              <w:rPr>
                <w:spacing w:val="-6"/>
                <w:sz w:val="24"/>
              </w:rPr>
              <w:t xml:space="preserve"> </w:t>
            </w:r>
            <w:r>
              <w:rPr>
                <w:sz w:val="24"/>
              </w:rPr>
              <w:t>34</w:t>
            </w:r>
            <w:r>
              <w:rPr>
                <w:spacing w:val="-7"/>
                <w:sz w:val="24"/>
              </w:rPr>
              <w:t xml:space="preserve"> </w:t>
            </w:r>
            <w:r>
              <w:rPr>
                <w:sz w:val="24"/>
              </w:rPr>
              <w:t>of</w:t>
            </w:r>
            <w:r>
              <w:rPr>
                <w:spacing w:val="-7"/>
                <w:sz w:val="24"/>
              </w:rPr>
              <w:t xml:space="preserve"> </w:t>
            </w:r>
            <w:r>
              <w:rPr>
                <w:sz w:val="24"/>
              </w:rPr>
              <w:t>2020</w:t>
            </w:r>
            <w:r>
              <w:rPr>
                <w:spacing w:val="-7"/>
                <w:sz w:val="24"/>
              </w:rPr>
              <w:t xml:space="preserve"> </w:t>
            </w:r>
            <w:r>
              <w:rPr>
                <w:sz w:val="24"/>
              </w:rPr>
              <w:t>on initiating anti‐dumping investigation into relevant imported wines originating in Australia", 18 August 2020 (English translation) (pages renumbered)</w:t>
            </w:r>
          </w:p>
        </w:tc>
        <w:tc>
          <w:tcPr>
            <w:tcW w:w="3117" w:type="dxa"/>
          </w:tcPr>
          <w:p w14:paraId="51DE7B5B" w14:textId="77777777" w:rsidR="0010369C" w:rsidRDefault="008E43AE">
            <w:pPr>
              <w:pStyle w:val="TableParagraph"/>
              <w:ind w:left="107" w:right="171"/>
              <w:rPr>
                <w:sz w:val="24"/>
              </w:rPr>
            </w:pPr>
            <w:r>
              <w:rPr>
                <w:sz w:val="24"/>
              </w:rPr>
              <w:t>Anti‐Dumping Initiation of Investigation</w:t>
            </w:r>
            <w:r>
              <w:rPr>
                <w:spacing w:val="-14"/>
                <w:sz w:val="24"/>
              </w:rPr>
              <w:t xml:space="preserve"> </w:t>
            </w:r>
            <w:r>
              <w:rPr>
                <w:sz w:val="24"/>
              </w:rPr>
              <w:t>Announcement</w:t>
            </w:r>
          </w:p>
        </w:tc>
      </w:tr>
      <w:tr w:rsidR="0010369C" w14:paraId="51DE7B60" w14:textId="77777777">
        <w:trPr>
          <w:trHeight w:val="1172"/>
        </w:trPr>
        <w:tc>
          <w:tcPr>
            <w:tcW w:w="1184" w:type="dxa"/>
          </w:tcPr>
          <w:p w14:paraId="51DE7B5D" w14:textId="77777777" w:rsidR="0010369C" w:rsidRDefault="008E43AE">
            <w:pPr>
              <w:pStyle w:val="TableParagraph"/>
              <w:ind w:left="107"/>
              <w:rPr>
                <w:sz w:val="24"/>
              </w:rPr>
            </w:pPr>
            <w:r>
              <w:rPr>
                <w:spacing w:val="-2"/>
                <w:sz w:val="24"/>
              </w:rPr>
              <w:t>AUS‐90</w:t>
            </w:r>
          </w:p>
        </w:tc>
        <w:tc>
          <w:tcPr>
            <w:tcW w:w="4765" w:type="dxa"/>
          </w:tcPr>
          <w:p w14:paraId="51DE7B5E" w14:textId="77777777" w:rsidR="0010369C" w:rsidRDefault="008E43AE">
            <w:pPr>
              <w:pStyle w:val="TableParagraph"/>
              <w:spacing w:line="290" w:lineRule="atLeast"/>
              <w:ind w:left="107" w:right="181"/>
              <w:rPr>
                <w:sz w:val="24"/>
              </w:rPr>
            </w:pPr>
            <w:r>
              <w:rPr>
                <w:sz w:val="24"/>
              </w:rPr>
              <w:t>CADA, "Annexes to the Application of the Wine Industry of the Peoples Republic of China</w:t>
            </w:r>
            <w:r>
              <w:rPr>
                <w:spacing w:val="-8"/>
                <w:sz w:val="24"/>
              </w:rPr>
              <w:t xml:space="preserve"> </w:t>
            </w:r>
            <w:r>
              <w:rPr>
                <w:sz w:val="24"/>
              </w:rPr>
              <w:t>for</w:t>
            </w:r>
            <w:r>
              <w:rPr>
                <w:spacing w:val="-8"/>
                <w:sz w:val="24"/>
              </w:rPr>
              <w:t xml:space="preserve"> </w:t>
            </w:r>
            <w:r>
              <w:rPr>
                <w:sz w:val="24"/>
              </w:rPr>
              <w:t>Anti‐Dumping</w:t>
            </w:r>
            <w:r>
              <w:rPr>
                <w:spacing w:val="-9"/>
                <w:sz w:val="24"/>
              </w:rPr>
              <w:t xml:space="preserve"> </w:t>
            </w:r>
            <w:r>
              <w:rPr>
                <w:sz w:val="24"/>
              </w:rPr>
              <w:t>Investigation",</w:t>
            </w:r>
            <w:r>
              <w:rPr>
                <w:spacing w:val="-9"/>
                <w:sz w:val="24"/>
              </w:rPr>
              <w:t xml:space="preserve"> </w:t>
            </w:r>
            <w:r>
              <w:rPr>
                <w:sz w:val="24"/>
              </w:rPr>
              <w:t>6</w:t>
            </w:r>
            <w:r>
              <w:rPr>
                <w:spacing w:val="-9"/>
                <w:sz w:val="24"/>
              </w:rPr>
              <w:t xml:space="preserve"> </w:t>
            </w:r>
            <w:r>
              <w:rPr>
                <w:sz w:val="24"/>
              </w:rPr>
              <w:t>July 2020 (English translation)</w:t>
            </w:r>
          </w:p>
        </w:tc>
        <w:tc>
          <w:tcPr>
            <w:tcW w:w="3117" w:type="dxa"/>
          </w:tcPr>
          <w:p w14:paraId="51DE7B5F" w14:textId="77777777" w:rsidR="0010369C" w:rsidRDefault="008E43AE">
            <w:pPr>
              <w:pStyle w:val="TableParagraph"/>
              <w:ind w:left="107"/>
              <w:rPr>
                <w:sz w:val="24"/>
              </w:rPr>
            </w:pPr>
            <w:r>
              <w:rPr>
                <w:sz w:val="24"/>
              </w:rPr>
              <w:t>CADA</w:t>
            </w:r>
            <w:r>
              <w:rPr>
                <w:spacing w:val="-12"/>
                <w:sz w:val="24"/>
              </w:rPr>
              <w:t xml:space="preserve"> </w:t>
            </w:r>
            <w:r>
              <w:rPr>
                <w:sz w:val="24"/>
              </w:rPr>
              <w:t>Application</w:t>
            </w:r>
            <w:r>
              <w:rPr>
                <w:spacing w:val="-14"/>
                <w:sz w:val="24"/>
              </w:rPr>
              <w:t xml:space="preserve"> </w:t>
            </w:r>
            <w:r>
              <w:rPr>
                <w:sz w:val="24"/>
              </w:rPr>
              <w:t>for</w:t>
            </w:r>
            <w:r>
              <w:rPr>
                <w:spacing w:val="-12"/>
                <w:sz w:val="24"/>
              </w:rPr>
              <w:t xml:space="preserve"> </w:t>
            </w:r>
            <w:r>
              <w:rPr>
                <w:sz w:val="24"/>
              </w:rPr>
              <w:t>Anti‐ Dumping Investigation, Annexes 1‐12 (Part 1)</w:t>
            </w:r>
          </w:p>
        </w:tc>
      </w:tr>
      <w:tr w:rsidR="0010369C" w14:paraId="51DE7B64" w14:textId="77777777">
        <w:trPr>
          <w:trHeight w:val="1758"/>
        </w:trPr>
        <w:tc>
          <w:tcPr>
            <w:tcW w:w="1184" w:type="dxa"/>
          </w:tcPr>
          <w:p w14:paraId="51DE7B61" w14:textId="77777777" w:rsidR="0010369C" w:rsidRDefault="008E43AE">
            <w:pPr>
              <w:pStyle w:val="TableParagraph"/>
              <w:ind w:left="107"/>
              <w:rPr>
                <w:sz w:val="24"/>
              </w:rPr>
            </w:pPr>
            <w:r>
              <w:rPr>
                <w:spacing w:val="-2"/>
                <w:sz w:val="24"/>
              </w:rPr>
              <w:t>AUS‐91</w:t>
            </w:r>
          </w:p>
        </w:tc>
        <w:tc>
          <w:tcPr>
            <w:tcW w:w="4765" w:type="dxa"/>
          </w:tcPr>
          <w:p w14:paraId="51DE7B62" w14:textId="77777777" w:rsidR="0010369C" w:rsidRDefault="008E43AE">
            <w:pPr>
              <w:pStyle w:val="TableParagraph"/>
              <w:spacing w:line="290" w:lineRule="atLeast"/>
              <w:ind w:left="107" w:right="181"/>
              <w:rPr>
                <w:sz w:val="24"/>
              </w:rPr>
            </w:pPr>
            <w:r>
              <w:rPr>
                <w:sz w:val="24"/>
              </w:rPr>
              <w:t>Yantai Changyu Pionee</w:t>
            </w:r>
            <w:r>
              <w:rPr>
                <w:sz w:val="24"/>
              </w:rPr>
              <w:t>r Wine Co, Anti‐ Dumping</w:t>
            </w:r>
            <w:r>
              <w:rPr>
                <w:spacing w:val="-9"/>
                <w:sz w:val="24"/>
              </w:rPr>
              <w:t xml:space="preserve"> </w:t>
            </w:r>
            <w:r>
              <w:rPr>
                <w:sz w:val="24"/>
              </w:rPr>
              <w:t>and</w:t>
            </w:r>
            <w:r>
              <w:rPr>
                <w:spacing w:val="-9"/>
                <w:sz w:val="24"/>
              </w:rPr>
              <w:t xml:space="preserve"> </w:t>
            </w:r>
            <w:r>
              <w:rPr>
                <w:sz w:val="24"/>
              </w:rPr>
              <w:t>Countervailing</w:t>
            </w:r>
            <w:r>
              <w:rPr>
                <w:spacing w:val="-8"/>
                <w:sz w:val="24"/>
              </w:rPr>
              <w:t xml:space="preserve"> </w:t>
            </w:r>
            <w:r>
              <w:rPr>
                <w:sz w:val="24"/>
              </w:rPr>
              <w:t>Duty</w:t>
            </w:r>
            <w:r>
              <w:rPr>
                <w:spacing w:val="-8"/>
                <w:sz w:val="24"/>
              </w:rPr>
              <w:t xml:space="preserve"> </w:t>
            </w:r>
            <w:r>
              <w:rPr>
                <w:sz w:val="24"/>
              </w:rPr>
              <w:t>Cases against Relevant Wines – Supporting Documents for the Response to the Questionnaire,</w:t>
            </w:r>
            <w:r>
              <w:rPr>
                <w:spacing w:val="-10"/>
                <w:sz w:val="24"/>
              </w:rPr>
              <w:t xml:space="preserve"> </w:t>
            </w:r>
            <w:r>
              <w:rPr>
                <w:sz w:val="24"/>
              </w:rPr>
              <w:t>9</w:t>
            </w:r>
            <w:r>
              <w:rPr>
                <w:spacing w:val="-10"/>
                <w:sz w:val="24"/>
              </w:rPr>
              <w:t xml:space="preserve"> </w:t>
            </w:r>
            <w:r>
              <w:rPr>
                <w:sz w:val="24"/>
              </w:rPr>
              <w:t>February</w:t>
            </w:r>
            <w:r>
              <w:rPr>
                <w:spacing w:val="-9"/>
                <w:sz w:val="24"/>
              </w:rPr>
              <w:t xml:space="preserve"> </w:t>
            </w:r>
            <w:r>
              <w:rPr>
                <w:sz w:val="24"/>
              </w:rPr>
              <w:t>2021</w:t>
            </w:r>
            <w:r>
              <w:rPr>
                <w:spacing w:val="-10"/>
                <w:sz w:val="24"/>
              </w:rPr>
              <w:t xml:space="preserve"> </w:t>
            </w:r>
            <w:r>
              <w:rPr>
                <w:sz w:val="24"/>
              </w:rPr>
              <w:t xml:space="preserve">(English </w:t>
            </w:r>
            <w:r>
              <w:rPr>
                <w:spacing w:val="-2"/>
                <w:sz w:val="24"/>
              </w:rPr>
              <w:t>translation)</w:t>
            </w:r>
          </w:p>
        </w:tc>
        <w:tc>
          <w:tcPr>
            <w:tcW w:w="3117" w:type="dxa"/>
          </w:tcPr>
          <w:p w14:paraId="51DE7B63" w14:textId="77777777" w:rsidR="0010369C" w:rsidRDefault="008E43AE">
            <w:pPr>
              <w:pStyle w:val="TableParagraph"/>
              <w:ind w:left="107" w:right="665"/>
              <w:rPr>
                <w:sz w:val="24"/>
              </w:rPr>
            </w:pPr>
            <w:r>
              <w:rPr>
                <w:sz w:val="24"/>
              </w:rPr>
              <w:t>Changyu Wines Anti‐ Dumping</w:t>
            </w:r>
            <w:r>
              <w:rPr>
                <w:spacing w:val="-14"/>
                <w:sz w:val="24"/>
              </w:rPr>
              <w:t xml:space="preserve"> </w:t>
            </w:r>
            <w:r>
              <w:rPr>
                <w:sz w:val="24"/>
              </w:rPr>
              <w:t xml:space="preserve">Questionnaire Response Supporting </w:t>
            </w:r>
            <w:r>
              <w:rPr>
                <w:spacing w:val="-2"/>
                <w:sz w:val="24"/>
              </w:rPr>
              <w:t>Documents</w:t>
            </w:r>
          </w:p>
        </w:tc>
      </w:tr>
      <w:tr w:rsidR="0010369C" w14:paraId="51DE7B69" w14:textId="77777777">
        <w:trPr>
          <w:trHeight w:val="878"/>
        </w:trPr>
        <w:tc>
          <w:tcPr>
            <w:tcW w:w="1184" w:type="dxa"/>
          </w:tcPr>
          <w:p w14:paraId="51DE7B65" w14:textId="77777777" w:rsidR="0010369C" w:rsidRDefault="008E43AE">
            <w:pPr>
              <w:pStyle w:val="TableParagraph"/>
              <w:spacing w:line="292" w:lineRule="exact"/>
              <w:ind w:left="107"/>
              <w:rPr>
                <w:sz w:val="24"/>
              </w:rPr>
            </w:pPr>
            <w:r>
              <w:rPr>
                <w:spacing w:val="-2"/>
                <w:sz w:val="24"/>
              </w:rPr>
              <w:t>AUS‐92</w:t>
            </w:r>
          </w:p>
        </w:tc>
        <w:tc>
          <w:tcPr>
            <w:tcW w:w="4765" w:type="dxa"/>
          </w:tcPr>
          <w:p w14:paraId="51DE7B66" w14:textId="77777777" w:rsidR="0010369C" w:rsidRDefault="008E43AE">
            <w:pPr>
              <w:pStyle w:val="TableParagraph"/>
              <w:ind w:left="107" w:right="181"/>
              <w:rPr>
                <w:sz w:val="24"/>
              </w:rPr>
            </w:pPr>
            <w:r>
              <w:rPr>
                <w:sz w:val="24"/>
              </w:rPr>
              <w:t>MOFCOM,</w:t>
            </w:r>
            <w:r>
              <w:rPr>
                <w:spacing w:val="-8"/>
                <w:sz w:val="24"/>
              </w:rPr>
              <w:t xml:space="preserve"> </w:t>
            </w:r>
            <w:r>
              <w:rPr>
                <w:sz w:val="24"/>
              </w:rPr>
              <w:t>"Notice</w:t>
            </w:r>
            <w:r>
              <w:rPr>
                <w:spacing w:val="-9"/>
                <w:sz w:val="24"/>
              </w:rPr>
              <w:t xml:space="preserve"> </w:t>
            </w:r>
            <w:r>
              <w:rPr>
                <w:sz w:val="24"/>
              </w:rPr>
              <w:t>of</w:t>
            </w:r>
            <w:r>
              <w:rPr>
                <w:spacing w:val="-8"/>
                <w:sz w:val="24"/>
              </w:rPr>
              <w:t xml:space="preserve"> </w:t>
            </w:r>
            <w:r>
              <w:rPr>
                <w:sz w:val="24"/>
              </w:rPr>
              <w:t>Sampling</w:t>
            </w:r>
            <w:r>
              <w:rPr>
                <w:spacing w:val="-7"/>
                <w:sz w:val="24"/>
              </w:rPr>
              <w:t xml:space="preserve"> </w:t>
            </w:r>
            <w:r>
              <w:rPr>
                <w:sz w:val="24"/>
              </w:rPr>
              <w:t>in</w:t>
            </w:r>
            <w:r>
              <w:rPr>
                <w:spacing w:val="-8"/>
                <w:sz w:val="24"/>
              </w:rPr>
              <w:t xml:space="preserve"> </w:t>
            </w:r>
            <w:r>
              <w:rPr>
                <w:sz w:val="24"/>
              </w:rPr>
              <w:t>Anti‐ Dumping Case of Relevant Wines, 28</w:t>
            </w:r>
          </w:p>
          <w:p w14:paraId="51DE7B67" w14:textId="77777777" w:rsidR="0010369C" w:rsidRDefault="008E43AE">
            <w:pPr>
              <w:pStyle w:val="TableParagraph"/>
              <w:spacing w:line="273" w:lineRule="exact"/>
              <w:ind w:left="107"/>
              <w:rPr>
                <w:sz w:val="24"/>
              </w:rPr>
            </w:pPr>
            <w:r>
              <w:rPr>
                <w:sz w:val="24"/>
              </w:rPr>
              <w:t>September</w:t>
            </w:r>
            <w:r>
              <w:rPr>
                <w:spacing w:val="-3"/>
                <w:sz w:val="24"/>
              </w:rPr>
              <w:t xml:space="preserve"> </w:t>
            </w:r>
            <w:r>
              <w:rPr>
                <w:sz w:val="24"/>
              </w:rPr>
              <w:t>2020</w:t>
            </w:r>
            <w:r>
              <w:rPr>
                <w:spacing w:val="-2"/>
                <w:sz w:val="24"/>
              </w:rPr>
              <w:t xml:space="preserve"> </w:t>
            </w:r>
            <w:r>
              <w:rPr>
                <w:sz w:val="24"/>
              </w:rPr>
              <w:t>(English</w:t>
            </w:r>
            <w:r>
              <w:rPr>
                <w:spacing w:val="-1"/>
                <w:sz w:val="24"/>
              </w:rPr>
              <w:t xml:space="preserve"> </w:t>
            </w:r>
            <w:r>
              <w:rPr>
                <w:spacing w:val="-2"/>
                <w:sz w:val="24"/>
              </w:rPr>
              <w:t>translation)</w:t>
            </w:r>
          </w:p>
        </w:tc>
        <w:tc>
          <w:tcPr>
            <w:tcW w:w="3117" w:type="dxa"/>
          </w:tcPr>
          <w:p w14:paraId="51DE7B68" w14:textId="77777777" w:rsidR="0010369C" w:rsidRDefault="008E43AE">
            <w:pPr>
              <w:pStyle w:val="TableParagraph"/>
              <w:ind w:left="107" w:right="687"/>
              <w:rPr>
                <w:sz w:val="24"/>
              </w:rPr>
            </w:pPr>
            <w:r>
              <w:rPr>
                <w:sz w:val="24"/>
              </w:rPr>
              <w:t>Anti‐Dumping</w:t>
            </w:r>
            <w:r>
              <w:rPr>
                <w:spacing w:val="-14"/>
                <w:sz w:val="24"/>
              </w:rPr>
              <w:t xml:space="preserve"> </w:t>
            </w:r>
            <w:r>
              <w:rPr>
                <w:sz w:val="24"/>
              </w:rPr>
              <w:t xml:space="preserve">Sampling </w:t>
            </w:r>
            <w:r>
              <w:rPr>
                <w:spacing w:val="-2"/>
                <w:sz w:val="24"/>
              </w:rPr>
              <w:t>Notice</w:t>
            </w:r>
          </w:p>
        </w:tc>
      </w:tr>
      <w:tr w:rsidR="0010369C" w14:paraId="51DE7B6D" w14:textId="77777777">
        <w:trPr>
          <w:trHeight w:val="1171"/>
        </w:trPr>
        <w:tc>
          <w:tcPr>
            <w:tcW w:w="1184" w:type="dxa"/>
          </w:tcPr>
          <w:p w14:paraId="51DE7B6A" w14:textId="77777777" w:rsidR="0010369C" w:rsidRDefault="008E43AE">
            <w:pPr>
              <w:pStyle w:val="TableParagraph"/>
              <w:ind w:left="107"/>
              <w:rPr>
                <w:sz w:val="24"/>
              </w:rPr>
            </w:pPr>
            <w:r>
              <w:rPr>
                <w:spacing w:val="-2"/>
                <w:sz w:val="24"/>
              </w:rPr>
              <w:t>AUS‐93</w:t>
            </w:r>
          </w:p>
        </w:tc>
        <w:tc>
          <w:tcPr>
            <w:tcW w:w="4765" w:type="dxa"/>
          </w:tcPr>
          <w:p w14:paraId="51DE7B6B" w14:textId="77777777" w:rsidR="0010369C" w:rsidRDefault="008E43AE">
            <w:pPr>
              <w:pStyle w:val="TableParagraph"/>
              <w:spacing w:line="290" w:lineRule="atLeast"/>
              <w:ind w:left="107" w:right="181"/>
              <w:rPr>
                <w:sz w:val="24"/>
              </w:rPr>
            </w:pPr>
            <w:r>
              <w:rPr>
                <w:sz w:val="24"/>
              </w:rPr>
              <w:t>Pernod</w:t>
            </w:r>
            <w:r>
              <w:rPr>
                <w:spacing w:val="-9"/>
                <w:sz w:val="24"/>
              </w:rPr>
              <w:t xml:space="preserve"> </w:t>
            </w:r>
            <w:r>
              <w:rPr>
                <w:sz w:val="24"/>
              </w:rPr>
              <w:t>Ricard,</w:t>
            </w:r>
            <w:r>
              <w:rPr>
                <w:spacing w:val="-8"/>
                <w:sz w:val="24"/>
              </w:rPr>
              <w:t xml:space="preserve"> </w:t>
            </w:r>
            <w:r>
              <w:rPr>
                <w:sz w:val="24"/>
              </w:rPr>
              <w:t>Comments</w:t>
            </w:r>
            <w:r>
              <w:rPr>
                <w:spacing w:val="-8"/>
                <w:sz w:val="24"/>
              </w:rPr>
              <w:t xml:space="preserve"> </w:t>
            </w:r>
            <w:r>
              <w:rPr>
                <w:sz w:val="24"/>
              </w:rPr>
              <w:t>on</w:t>
            </w:r>
            <w:r>
              <w:rPr>
                <w:spacing w:val="-8"/>
                <w:sz w:val="24"/>
              </w:rPr>
              <w:t xml:space="preserve"> </w:t>
            </w:r>
            <w:r>
              <w:rPr>
                <w:sz w:val="24"/>
              </w:rPr>
              <w:t>the</w:t>
            </w:r>
            <w:r>
              <w:rPr>
                <w:spacing w:val="-7"/>
                <w:sz w:val="24"/>
              </w:rPr>
              <w:t xml:space="preserve"> </w:t>
            </w:r>
            <w:r>
              <w:rPr>
                <w:sz w:val="24"/>
              </w:rPr>
              <w:t xml:space="preserve">Sample Survey Results Regarding the Wine Anti‐ Dumping Case, 9 October 2020 (English </w:t>
            </w:r>
            <w:r>
              <w:rPr>
                <w:spacing w:val="-2"/>
                <w:sz w:val="24"/>
              </w:rPr>
              <w:t>translation)</w:t>
            </w:r>
          </w:p>
        </w:tc>
        <w:tc>
          <w:tcPr>
            <w:tcW w:w="3117" w:type="dxa"/>
          </w:tcPr>
          <w:p w14:paraId="51DE7B6C" w14:textId="77777777" w:rsidR="0010369C" w:rsidRDefault="008E43AE">
            <w:pPr>
              <w:pStyle w:val="TableParagraph"/>
              <w:ind w:left="107"/>
              <w:rPr>
                <w:sz w:val="24"/>
              </w:rPr>
            </w:pPr>
            <w:r>
              <w:rPr>
                <w:sz w:val="24"/>
              </w:rPr>
              <w:t>Pernod</w:t>
            </w:r>
            <w:r>
              <w:rPr>
                <w:spacing w:val="-14"/>
                <w:sz w:val="24"/>
              </w:rPr>
              <w:t xml:space="preserve"> </w:t>
            </w:r>
            <w:r>
              <w:rPr>
                <w:sz w:val="24"/>
              </w:rPr>
              <w:t>Ricard</w:t>
            </w:r>
            <w:r>
              <w:rPr>
                <w:spacing w:val="-12"/>
                <w:sz w:val="24"/>
              </w:rPr>
              <w:t xml:space="preserve"> </w:t>
            </w:r>
            <w:r>
              <w:rPr>
                <w:sz w:val="24"/>
              </w:rPr>
              <w:t>Comments</w:t>
            </w:r>
            <w:r>
              <w:rPr>
                <w:spacing w:val="-13"/>
                <w:sz w:val="24"/>
              </w:rPr>
              <w:t xml:space="preserve"> </w:t>
            </w:r>
            <w:r>
              <w:rPr>
                <w:sz w:val="24"/>
              </w:rPr>
              <w:t xml:space="preserve">on </w:t>
            </w:r>
            <w:r>
              <w:rPr>
                <w:spacing w:val="-2"/>
                <w:sz w:val="24"/>
              </w:rPr>
              <w:t>Sampling</w:t>
            </w:r>
          </w:p>
        </w:tc>
      </w:tr>
      <w:tr w:rsidR="0010369C" w14:paraId="51DE7B71" w14:textId="77777777">
        <w:trPr>
          <w:trHeight w:val="1757"/>
        </w:trPr>
        <w:tc>
          <w:tcPr>
            <w:tcW w:w="1184" w:type="dxa"/>
          </w:tcPr>
          <w:p w14:paraId="51DE7B6E" w14:textId="77777777" w:rsidR="0010369C" w:rsidRDefault="008E43AE">
            <w:pPr>
              <w:pStyle w:val="TableParagraph"/>
              <w:ind w:left="107"/>
              <w:rPr>
                <w:sz w:val="24"/>
              </w:rPr>
            </w:pPr>
            <w:r>
              <w:rPr>
                <w:spacing w:val="-2"/>
                <w:sz w:val="24"/>
              </w:rPr>
              <w:t>AUS‐94</w:t>
            </w:r>
          </w:p>
        </w:tc>
        <w:tc>
          <w:tcPr>
            <w:tcW w:w="4765" w:type="dxa"/>
          </w:tcPr>
          <w:p w14:paraId="51DE7B6F" w14:textId="77777777" w:rsidR="0010369C" w:rsidRDefault="008E43AE">
            <w:pPr>
              <w:pStyle w:val="TableParagraph"/>
              <w:spacing w:line="290" w:lineRule="atLeast"/>
              <w:ind w:left="107" w:right="140"/>
              <w:rPr>
                <w:sz w:val="24"/>
              </w:rPr>
            </w:pPr>
            <w:r>
              <w:rPr>
                <w:sz w:val="24"/>
              </w:rPr>
              <w:t>Treasury Wines, "Application for Postponement of Submission of Questionnaire</w:t>
            </w:r>
            <w:r>
              <w:rPr>
                <w:spacing w:val="-9"/>
                <w:sz w:val="24"/>
              </w:rPr>
              <w:t xml:space="preserve"> </w:t>
            </w:r>
            <w:r>
              <w:rPr>
                <w:sz w:val="24"/>
              </w:rPr>
              <w:t>Responses</w:t>
            </w:r>
            <w:r>
              <w:rPr>
                <w:spacing w:val="-9"/>
                <w:sz w:val="24"/>
              </w:rPr>
              <w:t xml:space="preserve"> </w:t>
            </w:r>
            <w:r>
              <w:rPr>
                <w:sz w:val="24"/>
              </w:rPr>
              <w:t>of</w:t>
            </w:r>
            <w:r>
              <w:rPr>
                <w:spacing w:val="-9"/>
                <w:sz w:val="24"/>
              </w:rPr>
              <w:t xml:space="preserve"> </w:t>
            </w:r>
            <w:r>
              <w:rPr>
                <w:sz w:val="24"/>
              </w:rPr>
              <w:t>Foreign</w:t>
            </w:r>
            <w:r>
              <w:rPr>
                <w:spacing w:val="-9"/>
                <w:sz w:val="24"/>
              </w:rPr>
              <w:t xml:space="preserve"> </w:t>
            </w:r>
            <w:r>
              <w:rPr>
                <w:sz w:val="24"/>
              </w:rPr>
              <w:t xml:space="preserve">Exporters or Producers in Relevant Wine Anti‐Dumping Case" 7 July 2020 (English translation) (pages </w:t>
            </w:r>
            <w:r>
              <w:rPr>
                <w:spacing w:val="-2"/>
                <w:sz w:val="24"/>
              </w:rPr>
              <w:t>renumbered)</w:t>
            </w:r>
          </w:p>
        </w:tc>
        <w:tc>
          <w:tcPr>
            <w:tcW w:w="3117" w:type="dxa"/>
          </w:tcPr>
          <w:p w14:paraId="51DE7B70" w14:textId="77777777" w:rsidR="0010369C" w:rsidRDefault="008E43AE">
            <w:pPr>
              <w:pStyle w:val="TableParagraph"/>
              <w:ind w:left="107" w:right="665"/>
              <w:rPr>
                <w:sz w:val="24"/>
              </w:rPr>
            </w:pPr>
            <w:r>
              <w:rPr>
                <w:sz w:val="24"/>
              </w:rPr>
              <w:t>Treasury Wines Anti‐ Dumping</w:t>
            </w:r>
            <w:r>
              <w:rPr>
                <w:spacing w:val="-14"/>
                <w:sz w:val="24"/>
              </w:rPr>
              <w:t xml:space="preserve"> </w:t>
            </w:r>
            <w:r>
              <w:rPr>
                <w:sz w:val="24"/>
              </w:rPr>
              <w:t>Questionnaire Ext</w:t>
            </w:r>
            <w:r>
              <w:rPr>
                <w:sz w:val="24"/>
              </w:rPr>
              <w:t>ension Request</w:t>
            </w:r>
          </w:p>
        </w:tc>
      </w:tr>
      <w:tr w:rsidR="0010369C" w14:paraId="51DE7B75" w14:textId="77777777">
        <w:trPr>
          <w:trHeight w:val="1464"/>
        </w:trPr>
        <w:tc>
          <w:tcPr>
            <w:tcW w:w="1184" w:type="dxa"/>
          </w:tcPr>
          <w:p w14:paraId="51DE7B72" w14:textId="77777777" w:rsidR="0010369C" w:rsidRDefault="008E43AE">
            <w:pPr>
              <w:pStyle w:val="TableParagraph"/>
              <w:ind w:left="107"/>
              <w:rPr>
                <w:sz w:val="24"/>
              </w:rPr>
            </w:pPr>
            <w:r>
              <w:rPr>
                <w:spacing w:val="-2"/>
                <w:sz w:val="24"/>
              </w:rPr>
              <w:t>AUS‐95</w:t>
            </w:r>
          </w:p>
        </w:tc>
        <w:tc>
          <w:tcPr>
            <w:tcW w:w="4765" w:type="dxa"/>
          </w:tcPr>
          <w:p w14:paraId="51DE7B73" w14:textId="77777777" w:rsidR="0010369C" w:rsidRDefault="008E43AE">
            <w:pPr>
              <w:pStyle w:val="TableParagraph"/>
              <w:spacing w:line="290" w:lineRule="atLeast"/>
              <w:ind w:left="107" w:right="181"/>
              <w:rPr>
                <w:sz w:val="24"/>
              </w:rPr>
            </w:pPr>
            <w:r>
              <w:rPr>
                <w:sz w:val="24"/>
              </w:rPr>
              <w:t>Casella Wines, Application for Postponement of Submission of Questionnaire Responses of Foreign Exporters or Producers in Relevant Wine</w:t>
            </w:r>
            <w:r>
              <w:rPr>
                <w:spacing w:val="-6"/>
                <w:sz w:val="24"/>
              </w:rPr>
              <w:t xml:space="preserve"> </w:t>
            </w:r>
            <w:r>
              <w:rPr>
                <w:sz w:val="24"/>
              </w:rPr>
              <w:t>Anti‐Dumping</w:t>
            </w:r>
            <w:r>
              <w:rPr>
                <w:spacing w:val="-7"/>
                <w:sz w:val="24"/>
              </w:rPr>
              <w:t xml:space="preserve"> </w:t>
            </w:r>
            <w:r>
              <w:rPr>
                <w:sz w:val="24"/>
              </w:rPr>
              <w:t>Case,</w:t>
            </w:r>
            <w:r>
              <w:rPr>
                <w:spacing w:val="-6"/>
                <w:sz w:val="24"/>
              </w:rPr>
              <w:t xml:space="preserve"> </w:t>
            </w:r>
            <w:r>
              <w:rPr>
                <w:sz w:val="24"/>
              </w:rPr>
              <w:t>9</w:t>
            </w:r>
            <w:r>
              <w:rPr>
                <w:spacing w:val="-7"/>
                <w:sz w:val="24"/>
              </w:rPr>
              <w:t xml:space="preserve"> </w:t>
            </w:r>
            <w:r>
              <w:rPr>
                <w:sz w:val="24"/>
              </w:rPr>
              <w:t>July</w:t>
            </w:r>
            <w:r>
              <w:rPr>
                <w:spacing w:val="-6"/>
                <w:sz w:val="24"/>
              </w:rPr>
              <w:t xml:space="preserve"> </w:t>
            </w:r>
            <w:r>
              <w:rPr>
                <w:sz w:val="24"/>
              </w:rPr>
              <w:t>2020</w:t>
            </w:r>
            <w:r>
              <w:rPr>
                <w:spacing w:val="-7"/>
                <w:sz w:val="24"/>
              </w:rPr>
              <w:t xml:space="preserve"> </w:t>
            </w:r>
            <w:r>
              <w:rPr>
                <w:sz w:val="24"/>
              </w:rPr>
              <w:t>(English translation) (pages renumbered)</w:t>
            </w:r>
          </w:p>
        </w:tc>
        <w:tc>
          <w:tcPr>
            <w:tcW w:w="3117" w:type="dxa"/>
          </w:tcPr>
          <w:p w14:paraId="51DE7B74" w14:textId="77777777" w:rsidR="0010369C" w:rsidRDefault="008E43AE">
            <w:pPr>
              <w:pStyle w:val="TableParagraph"/>
              <w:ind w:left="107"/>
              <w:rPr>
                <w:sz w:val="24"/>
              </w:rPr>
            </w:pPr>
            <w:r>
              <w:rPr>
                <w:sz w:val="24"/>
              </w:rPr>
              <w:t>Casella</w:t>
            </w:r>
            <w:r>
              <w:rPr>
                <w:spacing w:val="-14"/>
                <w:sz w:val="24"/>
              </w:rPr>
              <w:t xml:space="preserve"> </w:t>
            </w:r>
            <w:r>
              <w:rPr>
                <w:sz w:val="24"/>
              </w:rPr>
              <w:t>Wines</w:t>
            </w:r>
            <w:r>
              <w:rPr>
                <w:spacing w:val="-14"/>
                <w:sz w:val="24"/>
              </w:rPr>
              <w:t xml:space="preserve"> </w:t>
            </w:r>
            <w:r>
              <w:rPr>
                <w:sz w:val="24"/>
              </w:rPr>
              <w:t>Anti‐Dumpin</w:t>
            </w:r>
            <w:r>
              <w:rPr>
                <w:sz w:val="24"/>
              </w:rPr>
              <w:t xml:space="preserve">g Questionnaire Extension </w:t>
            </w:r>
            <w:r>
              <w:rPr>
                <w:spacing w:val="-2"/>
                <w:sz w:val="24"/>
              </w:rPr>
              <w:t>Request</w:t>
            </w:r>
          </w:p>
        </w:tc>
      </w:tr>
      <w:tr w:rsidR="0010369C" w14:paraId="51DE7B79" w14:textId="77777777">
        <w:trPr>
          <w:trHeight w:val="1758"/>
        </w:trPr>
        <w:tc>
          <w:tcPr>
            <w:tcW w:w="1184" w:type="dxa"/>
          </w:tcPr>
          <w:p w14:paraId="51DE7B76" w14:textId="77777777" w:rsidR="0010369C" w:rsidRDefault="008E43AE">
            <w:pPr>
              <w:pStyle w:val="TableParagraph"/>
              <w:ind w:left="107"/>
              <w:rPr>
                <w:sz w:val="24"/>
              </w:rPr>
            </w:pPr>
            <w:r>
              <w:rPr>
                <w:spacing w:val="-2"/>
                <w:sz w:val="24"/>
              </w:rPr>
              <w:t>AUS‐96</w:t>
            </w:r>
          </w:p>
        </w:tc>
        <w:tc>
          <w:tcPr>
            <w:tcW w:w="4765" w:type="dxa"/>
          </w:tcPr>
          <w:p w14:paraId="51DE7B77" w14:textId="77777777" w:rsidR="0010369C" w:rsidRDefault="008E43AE">
            <w:pPr>
              <w:pStyle w:val="TableParagraph"/>
              <w:spacing w:line="290" w:lineRule="atLeast"/>
              <w:ind w:left="107" w:right="181"/>
              <w:rPr>
                <w:sz w:val="24"/>
              </w:rPr>
            </w:pPr>
            <w:r>
              <w:rPr>
                <w:sz w:val="24"/>
              </w:rPr>
              <w:t>Australian Government, "Submission on Disclosure</w:t>
            </w:r>
            <w:r>
              <w:rPr>
                <w:spacing w:val="-6"/>
                <w:sz w:val="24"/>
              </w:rPr>
              <w:t xml:space="preserve"> </w:t>
            </w:r>
            <w:r>
              <w:rPr>
                <w:sz w:val="24"/>
              </w:rPr>
              <w:t>of</w:t>
            </w:r>
            <w:r>
              <w:rPr>
                <w:spacing w:val="-6"/>
                <w:sz w:val="24"/>
              </w:rPr>
              <w:t xml:space="preserve"> </w:t>
            </w:r>
            <w:r>
              <w:rPr>
                <w:sz w:val="24"/>
              </w:rPr>
              <w:t>Basic</w:t>
            </w:r>
            <w:r>
              <w:rPr>
                <w:spacing w:val="-5"/>
                <w:sz w:val="24"/>
              </w:rPr>
              <w:t xml:space="preserve"> </w:t>
            </w:r>
            <w:r>
              <w:rPr>
                <w:sz w:val="24"/>
              </w:rPr>
              <w:t>Facts</w:t>
            </w:r>
            <w:r>
              <w:rPr>
                <w:spacing w:val="-7"/>
                <w:sz w:val="24"/>
              </w:rPr>
              <w:t xml:space="preserve"> </w:t>
            </w:r>
            <w:r>
              <w:rPr>
                <w:sz w:val="24"/>
              </w:rPr>
              <w:t>Relied</w:t>
            </w:r>
            <w:r>
              <w:rPr>
                <w:spacing w:val="-7"/>
                <w:sz w:val="24"/>
              </w:rPr>
              <w:t xml:space="preserve"> </w:t>
            </w:r>
            <w:r>
              <w:rPr>
                <w:sz w:val="24"/>
              </w:rPr>
              <w:t>on</w:t>
            </w:r>
            <w:r>
              <w:rPr>
                <w:spacing w:val="-6"/>
                <w:sz w:val="24"/>
              </w:rPr>
              <w:t xml:space="preserve"> </w:t>
            </w:r>
            <w:r>
              <w:rPr>
                <w:sz w:val="24"/>
              </w:rPr>
              <w:t>by</w:t>
            </w:r>
            <w:r>
              <w:rPr>
                <w:spacing w:val="-5"/>
                <w:sz w:val="24"/>
              </w:rPr>
              <w:t xml:space="preserve"> </w:t>
            </w:r>
            <w:r>
              <w:rPr>
                <w:sz w:val="24"/>
              </w:rPr>
              <w:t>Final Determination in the Anti‐Dumping Investigation into imports of Wines from Australia", 23 March 2021 (English translation) (pages renumbered)</w:t>
            </w:r>
          </w:p>
        </w:tc>
        <w:tc>
          <w:tcPr>
            <w:tcW w:w="3117" w:type="dxa"/>
          </w:tcPr>
          <w:p w14:paraId="51DE7B78" w14:textId="77777777" w:rsidR="0010369C" w:rsidRDefault="008E43AE">
            <w:pPr>
              <w:pStyle w:val="TableParagraph"/>
              <w:ind w:left="107" w:right="717"/>
              <w:rPr>
                <w:sz w:val="24"/>
              </w:rPr>
            </w:pPr>
            <w:r>
              <w:rPr>
                <w:sz w:val="24"/>
              </w:rPr>
              <w:t>Australian</w:t>
            </w:r>
            <w:r>
              <w:rPr>
                <w:spacing w:val="-14"/>
                <w:sz w:val="24"/>
              </w:rPr>
              <w:t xml:space="preserve"> </w:t>
            </w:r>
            <w:r>
              <w:rPr>
                <w:sz w:val="24"/>
              </w:rPr>
              <w:t xml:space="preserve">Government Comments on Final </w:t>
            </w:r>
            <w:r>
              <w:rPr>
                <w:spacing w:val="-2"/>
                <w:sz w:val="24"/>
              </w:rPr>
              <w:t>Disclosure</w:t>
            </w:r>
          </w:p>
        </w:tc>
      </w:tr>
      <w:tr w:rsidR="0010369C" w14:paraId="51DE7B7E" w14:textId="77777777">
        <w:trPr>
          <w:trHeight w:val="1172"/>
        </w:trPr>
        <w:tc>
          <w:tcPr>
            <w:tcW w:w="1184" w:type="dxa"/>
          </w:tcPr>
          <w:p w14:paraId="51DE7B7A" w14:textId="77777777" w:rsidR="0010369C" w:rsidRDefault="008E43AE">
            <w:pPr>
              <w:pStyle w:val="TableParagraph"/>
              <w:spacing w:line="292" w:lineRule="exact"/>
              <w:ind w:left="107"/>
              <w:rPr>
                <w:sz w:val="24"/>
              </w:rPr>
            </w:pPr>
            <w:r>
              <w:rPr>
                <w:spacing w:val="-2"/>
                <w:sz w:val="24"/>
              </w:rPr>
              <w:t>AUS‐97</w:t>
            </w:r>
          </w:p>
        </w:tc>
        <w:tc>
          <w:tcPr>
            <w:tcW w:w="4765" w:type="dxa"/>
          </w:tcPr>
          <w:p w14:paraId="51DE7B7B" w14:textId="77777777" w:rsidR="0010369C" w:rsidRDefault="008E43AE">
            <w:pPr>
              <w:pStyle w:val="TableParagraph"/>
              <w:ind w:left="107" w:right="181"/>
              <w:rPr>
                <w:sz w:val="24"/>
              </w:rPr>
            </w:pPr>
            <w:r>
              <w:rPr>
                <w:sz w:val="24"/>
              </w:rPr>
              <w:t>AGW, "Re: Dumping and subsidy investigations into exports of certain Australian</w:t>
            </w:r>
            <w:r>
              <w:rPr>
                <w:spacing w:val="-8"/>
                <w:sz w:val="24"/>
              </w:rPr>
              <w:t xml:space="preserve"> </w:t>
            </w:r>
            <w:r>
              <w:rPr>
                <w:sz w:val="24"/>
              </w:rPr>
              <w:t>wines</w:t>
            </w:r>
            <w:r>
              <w:rPr>
                <w:spacing w:val="-7"/>
                <w:sz w:val="24"/>
              </w:rPr>
              <w:t xml:space="preserve"> </w:t>
            </w:r>
            <w:r>
              <w:rPr>
                <w:sz w:val="24"/>
              </w:rPr>
              <w:t>to</w:t>
            </w:r>
            <w:r>
              <w:rPr>
                <w:spacing w:val="-6"/>
                <w:sz w:val="24"/>
              </w:rPr>
              <w:t xml:space="preserve"> </w:t>
            </w:r>
            <w:r>
              <w:rPr>
                <w:sz w:val="24"/>
              </w:rPr>
              <w:t>China</w:t>
            </w:r>
            <w:r>
              <w:rPr>
                <w:spacing w:val="-6"/>
                <w:sz w:val="24"/>
              </w:rPr>
              <w:t xml:space="preserve"> </w:t>
            </w:r>
            <w:r>
              <w:rPr>
                <w:sz w:val="24"/>
              </w:rPr>
              <w:t>–</w:t>
            </w:r>
            <w:r>
              <w:rPr>
                <w:spacing w:val="-6"/>
                <w:sz w:val="24"/>
              </w:rPr>
              <w:t xml:space="preserve"> </w:t>
            </w:r>
            <w:r>
              <w:rPr>
                <w:sz w:val="24"/>
              </w:rPr>
              <w:t>Submission</w:t>
            </w:r>
            <w:r>
              <w:rPr>
                <w:spacing w:val="-6"/>
                <w:sz w:val="24"/>
              </w:rPr>
              <w:t xml:space="preserve"> </w:t>
            </w:r>
            <w:r>
              <w:rPr>
                <w:sz w:val="24"/>
              </w:rPr>
              <w:t>on</w:t>
            </w:r>
          </w:p>
          <w:p w14:paraId="51DE7B7C" w14:textId="77777777" w:rsidR="0010369C" w:rsidRDefault="008E43AE">
            <w:pPr>
              <w:pStyle w:val="TableParagraph"/>
              <w:spacing w:line="274" w:lineRule="exact"/>
              <w:ind w:left="107"/>
              <w:rPr>
                <w:sz w:val="24"/>
              </w:rPr>
            </w:pPr>
            <w:r>
              <w:rPr>
                <w:sz w:val="24"/>
              </w:rPr>
              <w:t>Disclosure</w:t>
            </w:r>
            <w:r>
              <w:rPr>
                <w:spacing w:val="-2"/>
                <w:sz w:val="24"/>
              </w:rPr>
              <w:t xml:space="preserve"> </w:t>
            </w:r>
            <w:r>
              <w:rPr>
                <w:sz w:val="24"/>
              </w:rPr>
              <w:t>of</w:t>
            </w:r>
            <w:r>
              <w:rPr>
                <w:spacing w:val="-2"/>
                <w:sz w:val="24"/>
              </w:rPr>
              <w:t xml:space="preserve"> </w:t>
            </w:r>
            <w:r>
              <w:rPr>
                <w:sz w:val="24"/>
              </w:rPr>
              <w:t>Basic</w:t>
            </w:r>
            <w:r>
              <w:rPr>
                <w:spacing w:val="-1"/>
                <w:sz w:val="24"/>
              </w:rPr>
              <w:t xml:space="preserve"> </w:t>
            </w:r>
            <w:r>
              <w:rPr>
                <w:sz w:val="24"/>
              </w:rPr>
              <w:t>Facts",</w:t>
            </w:r>
            <w:r>
              <w:rPr>
                <w:spacing w:val="-1"/>
                <w:sz w:val="24"/>
              </w:rPr>
              <w:t xml:space="preserve"> </w:t>
            </w:r>
            <w:r>
              <w:rPr>
                <w:sz w:val="24"/>
              </w:rPr>
              <w:t>22</w:t>
            </w:r>
            <w:r>
              <w:rPr>
                <w:spacing w:val="-2"/>
                <w:sz w:val="24"/>
              </w:rPr>
              <w:t xml:space="preserve"> </w:t>
            </w:r>
            <w:r>
              <w:rPr>
                <w:sz w:val="24"/>
              </w:rPr>
              <w:t xml:space="preserve">March </w:t>
            </w:r>
            <w:r>
              <w:rPr>
                <w:spacing w:val="-4"/>
                <w:sz w:val="24"/>
              </w:rPr>
              <w:t>2021</w:t>
            </w:r>
          </w:p>
        </w:tc>
        <w:tc>
          <w:tcPr>
            <w:tcW w:w="3117" w:type="dxa"/>
          </w:tcPr>
          <w:p w14:paraId="51DE7B7D" w14:textId="77777777" w:rsidR="0010369C" w:rsidRDefault="008E43AE">
            <w:pPr>
              <w:pStyle w:val="TableParagraph"/>
              <w:ind w:left="107"/>
              <w:rPr>
                <w:sz w:val="24"/>
              </w:rPr>
            </w:pPr>
            <w:r>
              <w:rPr>
                <w:sz w:val="24"/>
              </w:rPr>
              <w:t>AGW</w:t>
            </w:r>
            <w:r>
              <w:rPr>
                <w:spacing w:val="-14"/>
                <w:sz w:val="24"/>
              </w:rPr>
              <w:t xml:space="preserve"> </w:t>
            </w:r>
            <w:r>
              <w:rPr>
                <w:sz w:val="24"/>
              </w:rPr>
              <w:t>Comments</w:t>
            </w:r>
            <w:r>
              <w:rPr>
                <w:spacing w:val="-13"/>
                <w:sz w:val="24"/>
              </w:rPr>
              <w:t xml:space="preserve"> </w:t>
            </w:r>
            <w:r>
              <w:rPr>
                <w:sz w:val="24"/>
              </w:rPr>
              <w:t>on</w:t>
            </w:r>
            <w:r>
              <w:rPr>
                <w:spacing w:val="-14"/>
                <w:sz w:val="24"/>
              </w:rPr>
              <w:t xml:space="preserve"> </w:t>
            </w:r>
            <w:r>
              <w:rPr>
                <w:sz w:val="24"/>
              </w:rPr>
              <w:t xml:space="preserve">Final </w:t>
            </w:r>
            <w:r>
              <w:rPr>
                <w:spacing w:val="-2"/>
                <w:sz w:val="24"/>
              </w:rPr>
              <w:t>Disclosure</w:t>
            </w:r>
          </w:p>
        </w:tc>
      </w:tr>
    </w:tbl>
    <w:p w14:paraId="51DE7B7F" w14:textId="77777777" w:rsidR="0010369C" w:rsidRDefault="0010369C">
      <w:pPr>
        <w:rPr>
          <w:sz w:val="24"/>
        </w:rPr>
        <w:sectPr w:rsidR="0010369C">
          <w:pgSz w:w="11910" w:h="16840"/>
          <w:pgMar w:top="880" w:right="1220" w:bottom="980" w:left="1180" w:header="569" w:footer="788" w:gutter="0"/>
          <w:cols w:space="720"/>
        </w:sectPr>
      </w:pPr>
    </w:p>
    <w:p w14:paraId="51DE7B80" w14:textId="77777777" w:rsidR="0010369C" w:rsidRDefault="008E43AE">
      <w:pPr>
        <w:ind w:left="239" w:right="1047" w:hanging="1"/>
        <w:rPr>
          <w:sz w:val="20"/>
        </w:rPr>
      </w:pPr>
      <w:r>
        <w:rPr>
          <w:i/>
          <w:sz w:val="20"/>
        </w:rPr>
        <w:lastRenderedPageBreak/>
        <w:t>China</w:t>
      </w:r>
      <w:r>
        <w:rPr>
          <w:i/>
          <w:spacing w:val="-6"/>
          <w:sz w:val="20"/>
        </w:rPr>
        <w:t xml:space="preserve"> </w:t>
      </w:r>
      <w:r>
        <w:rPr>
          <w:i/>
          <w:sz w:val="20"/>
        </w:rPr>
        <w:t>–</w:t>
      </w:r>
      <w:r>
        <w:rPr>
          <w:i/>
          <w:spacing w:val="-6"/>
          <w:sz w:val="20"/>
        </w:rPr>
        <w:t xml:space="preserve"> </w:t>
      </w:r>
      <w:r>
        <w:rPr>
          <w:i/>
          <w:sz w:val="20"/>
        </w:rPr>
        <w:t>Anti‐Dumping</w:t>
      </w:r>
      <w:r>
        <w:rPr>
          <w:i/>
          <w:spacing w:val="-6"/>
          <w:sz w:val="20"/>
        </w:rPr>
        <w:t xml:space="preserve"> </w:t>
      </w:r>
      <w:r>
        <w:rPr>
          <w:i/>
          <w:sz w:val="20"/>
        </w:rPr>
        <w:t>and</w:t>
      </w:r>
      <w:r>
        <w:rPr>
          <w:i/>
          <w:spacing w:val="-6"/>
          <w:sz w:val="20"/>
        </w:rPr>
        <w:t xml:space="preserve"> </w:t>
      </w:r>
      <w:r>
        <w:rPr>
          <w:i/>
          <w:sz w:val="20"/>
        </w:rPr>
        <w:t>Countervailing</w:t>
      </w:r>
      <w:r>
        <w:rPr>
          <w:i/>
          <w:spacing w:val="-6"/>
          <w:sz w:val="20"/>
        </w:rPr>
        <w:t xml:space="preserve"> </w:t>
      </w:r>
      <w:r>
        <w:rPr>
          <w:i/>
          <w:sz w:val="20"/>
        </w:rPr>
        <w:t>Duty</w:t>
      </w:r>
      <w:r>
        <w:rPr>
          <w:i/>
          <w:spacing w:val="-6"/>
          <w:sz w:val="20"/>
        </w:rPr>
        <w:t xml:space="preserve"> </w:t>
      </w:r>
      <w:r>
        <w:rPr>
          <w:i/>
          <w:sz w:val="20"/>
        </w:rPr>
        <w:t xml:space="preserve">Measures on Wine from Australia </w:t>
      </w:r>
      <w:r>
        <w:rPr>
          <w:sz w:val="20"/>
        </w:rPr>
        <w:t>(DS602)</w:t>
      </w:r>
    </w:p>
    <w:p w14:paraId="51DE7B81" w14:textId="77777777" w:rsidR="0010369C" w:rsidRDefault="008E43AE">
      <w:pPr>
        <w:pStyle w:val="BodyText"/>
        <w:tabs>
          <w:tab w:val="left" w:pos="1534"/>
        </w:tabs>
        <w:spacing w:before="45"/>
        <w:ind w:left="1534" w:right="145" w:hanging="1184"/>
      </w:pPr>
      <w:r>
        <w:rPr>
          <w:spacing w:val="-2"/>
        </w:rPr>
        <w:t>AUS‐98</w:t>
      </w:r>
      <w:r>
        <w:tab/>
        <w:t>Casella</w:t>
      </w:r>
      <w:r>
        <w:rPr>
          <w:spacing w:val="-7"/>
        </w:rPr>
        <w:t xml:space="preserve"> </w:t>
      </w:r>
      <w:r>
        <w:t>Wines,</w:t>
      </w:r>
      <w:r>
        <w:rPr>
          <w:spacing w:val="-8"/>
        </w:rPr>
        <w:t xml:space="preserve"> </w:t>
      </w:r>
      <w:r>
        <w:t>Comments</w:t>
      </w:r>
      <w:r>
        <w:rPr>
          <w:spacing w:val="-8"/>
        </w:rPr>
        <w:t xml:space="preserve"> </w:t>
      </w:r>
      <w:r>
        <w:t>on</w:t>
      </w:r>
      <w:r>
        <w:rPr>
          <w:spacing w:val="-8"/>
        </w:rPr>
        <w:t xml:space="preserve"> </w:t>
      </w:r>
      <w:r>
        <w:t>the</w:t>
      </w:r>
      <w:r>
        <w:rPr>
          <w:spacing w:val="-7"/>
        </w:rPr>
        <w:t xml:space="preserve"> </w:t>
      </w:r>
      <w:r>
        <w:t xml:space="preserve">Preliminary Ruling in the Wine Anti‐Dumping Case, 4 December 2020 (public version) (English </w:t>
      </w:r>
      <w:r>
        <w:rPr>
          <w:spacing w:val="-2"/>
        </w:rPr>
        <w:t>Translation)</w:t>
      </w:r>
    </w:p>
    <w:p w14:paraId="51DE7B82" w14:textId="77777777" w:rsidR="0010369C" w:rsidRDefault="008E43AE">
      <w:pPr>
        <w:pStyle w:val="BodyText"/>
        <w:tabs>
          <w:tab w:val="left" w:pos="1534"/>
        </w:tabs>
        <w:spacing w:before="10"/>
        <w:ind w:left="1534" w:right="1" w:hanging="1184"/>
      </w:pPr>
      <w:r>
        <w:rPr>
          <w:spacing w:val="-2"/>
        </w:rPr>
        <w:t>AUS‐99</w:t>
      </w:r>
      <w:r>
        <w:tab/>
        <w:t>Treasury</w:t>
      </w:r>
      <w:r>
        <w:rPr>
          <w:spacing w:val="-8"/>
        </w:rPr>
        <w:t xml:space="preserve"> </w:t>
      </w:r>
      <w:r>
        <w:t>Wines,</w:t>
      </w:r>
      <w:r>
        <w:rPr>
          <w:spacing w:val="-8"/>
        </w:rPr>
        <w:t xml:space="preserve"> </w:t>
      </w:r>
      <w:r>
        <w:t>"Comments</w:t>
      </w:r>
      <w:r>
        <w:rPr>
          <w:spacing w:val="-8"/>
        </w:rPr>
        <w:t xml:space="preserve"> </w:t>
      </w:r>
      <w:r>
        <w:t>on</w:t>
      </w:r>
      <w:r>
        <w:rPr>
          <w:spacing w:val="-8"/>
        </w:rPr>
        <w:t xml:space="preserve"> </w:t>
      </w:r>
      <w:r>
        <w:t>the</w:t>
      </w:r>
      <w:r>
        <w:rPr>
          <w:spacing w:val="-8"/>
        </w:rPr>
        <w:t xml:space="preserve"> </w:t>
      </w:r>
      <w:r>
        <w:t>Disclosure of Essential Facts" 22 March 2021</w:t>
      </w:r>
    </w:p>
    <w:p w14:paraId="51DE7B83" w14:textId="77777777" w:rsidR="0010369C" w:rsidRDefault="008E43AE">
      <w:pPr>
        <w:pStyle w:val="BodyText"/>
        <w:tabs>
          <w:tab w:val="left" w:pos="1534"/>
        </w:tabs>
        <w:spacing w:before="10"/>
        <w:ind w:left="1534" w:right="40" w:hanging="1184"/>
      </w:pPr>
      <w:r>
        <w:rPr>
          <w:spacing w:val="-2"/>
        </w:rPr>
        <w:t>AUS‐100</w:t>
      </w:r>
      <w:r>
        <w:tab/>
        <w:t>MOFCOM,</w:t>
      </w:r>
      <w:r>
        <w:rPr>
          <w:spacing w:val="-6"/>
        </w:rPr>
        <w:t xml:space="preserve"> </w:t>
      </w:r>
      <w:r>
        <w:t>"Disclosure</w:t>
      </w:r>
      <w:r>
        <w:rPr>
          <w:spacing w:val="-7"/>
        </w:rPr>
        <w:t xml:space="preserve"> </w:t>
      </w:r>
      <w:r>
        <w:t>of</w:t>
      </w:r>
      <w:r>
        <w:rPr>
          <w:spacing w:val="-6"/>
        </w:rPr>
        <w:t xml:space="preserve"> </w:t>
      </w:r>
      <w:r>
        <w:t>Basic</w:t>
      </w:r>
      <w:r>
        <w:rPr>
          <w:spacing w:val="-6"/>
        </w:rPr>
        <w:t xml:space="preserve"> </w:t>
      </w:r>
      <w:r>
        <w:t>Facts</w:t>
      </w:r>
      <w:r>
        <w:rPr>
          <w:spacing w:val="-7"/>
        </w:rPr>
        <w:t xml:space="preserve"> </w:t>
      </w:r>
      <w:r>
        <w:t>on</w:t>
      </w:r>
      <w:r>
        <w:rPr>
          <w:spacing w:val="-6"/>
        </w:rPr>
        <w:t xml:space="preserve"> </w:t>
      </w:r>
      <w:r>
        <w:t>which The Final Determination of Antidumping</w:t>
      </w:r>
      <w:r>
        <w:rPr>
          <w:spacing w:val="-1"/>
        </w:rPr>
        <w:t xml:space="preserve"> </w:t>
      </w:r>
      <w:r>
        <w:t>Case against Australian Wines is Based" (English translation), 12 March 2021</w:t>
      </w:r>
    </w:p>
    <w:p w14:paraId="51DE7B84" w14:textId="77777777" w:rsidR="0010369C" w:rsidRDefault="008E43AE">
      <w:pPr>
        <w:pStyle w:val="BodyText"/>
        <w:tabs>
          <w:tab w:val="left" w:pos="1534"/>
        </w:tabs>
        <w:spacing w:before="9"/>
        <w:ind w:left="1534" w:right="1" w:hanging="1184"/>
      </w:pPr>
      <w:r>
        <w:rPr>
          <w:spacing w:val="-2"/>
        </w:rPr>
        <w:t>AUS‐101</w:t>
      </w:r>
      <w:r>
        <w:tab/>
        <w:t>MOFCOM, "Additional Disclosure of B</w:t>
      </w:r>
      <w:r>
        <w:t>asic Facts Relied on by Final Ruling of Anti‐ Dumping</w:t>
      </w:r>
      <w:r>
        <w:rPr>
          <w:spacing w:val="-10"/>
        </w:rPr>
        <w:t xml:space="preserve"> </w:t>
      </w:r>
      <w:r>
        <w:t>Investigation</w:t>
      </w:r>
      <w:r>
        <w:rPr>
          <w:spacing w:val="-10"/>
        </w:rPr>
        <w:t xml:space="preserve"> </w:t>
      </w:r>
      <w:r>
        <w:t>into</w:t>
      </w:r>
      <w:r>
        <w:rPr>
          <w:spacing w:val="-9"/>
        </w:rPr>
        <w:t xml:space="preserve"> </w:t>
      </w:r>
      <w:r>
        <w:t>Relevant</w:t>
      </w:r>
      <w:r>
        <w:rPr>
          <w:spacing w:val="-10"/>
        </w:rPr>
        <w:t xml:space="preserve"> </w:t>
      </w:r>
      <w:r>
        <w:t>Imported Wines Originating in Australia", 19 March 2021, (English translation)</w:t>
      </w:r>
    </w:p>
    <w:p w14:paraId="51DE7B85" w14:textId="77777777" w:rsidR="0010369C" w:rsidRDefault="008E43AE">
      <w:pPr>
        <w:pStyle w:val="BodyText"/>
        <w:tabs>
          <w:tab w:val="left" w:pos="1534"/>
        </w:tabs>
        <w:spacing w:before="10"/>
        <w:ind w:left="1534" w:right="615" w:hanging="1184"/>
      </w:pPr>
      <w:r>
        <w:rPr>
          <w:spacing w:val="-2"/>
        </w:rPr>
        <w:t>AUS‐102</w:t>
      </w:r>
      <w:r>
        <w:tab/>
        <w:t>Yantai Changyu Pioneer Wine Co, Anti‐ Dumping</w:t>
      </w:r>
      <w:r>
        <w:rPr>
          <w:spacing w:val="-9"/>
        </w:rPr>
        <w:t xml:space="preserve"> </w:t>
      </w:r>
      <w:r>
        <w:t>and</w:t>
      </w:r>
      <w:r>
        <w:rPr>
          <w:spacing w:val="-9"/>
        </w:rPr>
        <w:t xml:space="preserve"> </w:t>
      </w:r>
      <w:r>
        <w:t>Countervailing</w:t>
      </w:r>
      <w:r>
        <w:rPr>
          <w:spacing w:val="-8"/>
        </w:rPr>
        <w:t xml:space="preserve"> </w:t>
      </w:r>
      <w:r>
        <w:t>Duty</w:t>
      </w:r>
      <w:r>
        <w:rPr>
          <w:spacing w:val="-8"/>
        </w:rPr>
        <w:t xml:space="preserve"> </w:t>
      </w:r>
      <w:r>
        <w:t>Cases against Rel</w:t>
      </w:r>
      <w:r>
        <w:t>evant Wines – Supporting Documents for the Response to the Questionnaire,</w:t>
      </w:r>
      <w:r>
        <w:rPr>
          <w:spacing w:val="-10"/>
        </w:rPr>
        <w:t xml:space="preserve"> </w:t>
      </w:r>
      <w:r>
        <w:t>9</w:t>
      </w:r>
      <w:r>
        <w:rPr>
          <w:spacing w:val="-10"/>
        </w:rPr>
        <w:t xml:space="preserve"> </w:t>
      </w:r>
      <w:r>
        <w:t>February</w:t>
      </w:r>
      <w:r>
        <w:rPr>
          <w:spacing w:val="-9"/>
        </w:rPr>
        <w:t xml:space="preserve"> </w:t>
      </w:r>
      <w:r>
        <w:t>2021</w:t>
      </w:r>
      <w:r>
        <w:rPr>
          <w:spacing w:val="-10"/>
        </w:rPr>
        <w:t xml:space="preserve"> </w:t>
      </w:r>
      <w:r>
        <w:t xml:space="preserve">(English </w:t>
      </w:r>
      <w:r>
        <w:rPr>
          <w:spacing w:val="-2"/>
        </w:rPr>
        <w:t>translation)</w:t>
      </w:r>
    </w:p>
    <w:p w14:paraId="51DE7B86" w14:textId="77777777" w:rsidR="0010369C" w:rsidRDefault="008E43AE">
      <w:pPr>
        <w:pStyle w:val="BodyText"/>
        <w:tabs>
          <w:tab w:val="left" w:pos="1534"/>
        </w:tabs>
        <w:spacing w:before="11"/>
        <w:ind w:left="1534" w:right="65" w:hanging="1184"/>
      </w:pPr>
      <w:r>
        <w:rPr>
          <w:spacing w:val="-2"/>
        </w:rPr>
        <w:t>AUS‐103</w:t>
      </w:r>
      <w:r>
        <w:tab/>
        <w:t>COFCO W&amp;W, "Domestic Importer Questionnaire</w:t>
      </w:r>
      <w:r>
        <w:rPr>
          <w:spacing w:val="-10"/>
        </w:rPr>
        <w:t xml:space="preserve"> </w:t>
      </w:r>
      <w:r>
        <w:t>Response",</w:t>
      </w:r>
      <w:r>
        <w:rPr>
          <w:spacing w:val="-10"/>
        </w:rPr>
        <w:t xml:space="preserve"> </w:t>
      </w:r>
      <w:r>
        <w:t>16</w:t>
      </w:r>
      <w:r>
        <w:rPr>
          <w:spacing w:val="-10"/>
        </w:rPr>
        <w:t xml:space="preserve"> </w:t>
      </w:r>
      <w:r>
        <w:t>November</w:t>
      </w:r>
      <w:r>
        <w:rPr>
          <w:spacing w:val="-11"/>
        </w:rPr>
        <w:t xml:space="preserve"> </w:t>
      </w:r>
      <w:r>
        <w:t>2020 (English translation)</w:t>
      </w:r>
    </w:p>
    <w:p w14:paraId="51DE7B87" w14:textId="77777777" w:rsidR="0010369C" w:rsidRDefault="008E43AE">
      <w:pPr>
        <w:ind w:left="328"/>
        <w:rPr>
          <w:sz w:val="20"/>
        </w:rPr>
      </w:pPr>
      <w:r>
        <w:br w:type="column"/>
      </w:r>
      <w:r>
        <w:rPr>
          <w:sz w:val="20"/>
        </w:rPr>
        <w:t>Australia's</w:t>
      </w:r>
      <w:r>
        <w:rPr>
          <w:spacing w:val="-4"/>
          <w:sz w:val="20"/>
        </w:rPr>
        <w:t xml:space="preserve"> </w:t>
      </w:r>
      <w:r>
        <w:rPr>
          <w:sz w:val="20"/>
        </w:rPr>
        <w:t>First</w:t>
      </w:r>
      <w:r>
        <w:rPr>
          <w:spacing w:val="-2"/>
          <w:sz w:val="20"/>
        </w:rPr>
        <w:t xml:space="preserve"> </w:t>
      </w:r>
      <w:r>
        <w:rPr>
          <w:sz w:val="20"/>
        </w:rPr>
        <w:t>Written</w:t>
      </w:r>
      <w:r>
        <w:rPr>
          <w:spacing w:val="-2"/>
          <w:sz w:val="20"/>
        </w:rPr>
        <w:t xml:space="preserve"> Submission</w:t>
      </w:r>
    </w:p>
    <w:p w14:paraId="51DE7B88" w14:textId="77777777" w:rsidR="0010369C" w:rsidRDefault="008E43AE">
      <w:pPr>
        <w:spacing w:before="1" w:line="261" w:lineRule="auto"/>
        <w:ind w:left="201" w:right="142" w:firstLine="1928"/>
        <w:rPr>
          <w:sz w:val="24"/>
        </w:rPr>
      </w:pPr>
      <w:r>
        <w:rPr>
          <w:sz w:val="20"/>
        </w:rPr>
        <w:t>29</w:t>
      </w:r>
      <w:r>
        <w:rPr>
          <w:spacing w:val="-12"/>
          <w:sz w:val="20"/>
        </w:rPr>
        <w:t xml:space="preserve"> </w:t>
      </w:r>
      <w:r>
        <w:rPr>
          <w:sz w:val="20"/>
        </w:rPr>
        <w:t>April</w:t>
      </w:r>
      <w:r>
        <w:rPr>
          <w:spacing w:val="-11"/>
          <w:sz w:val="20"/>
        </w:rPr>
        <w:t xml:space="preserve"> </w:t>
      </w:r>
      <w:r>
        <w:rPr>
          <w:sz w:val="20"/>
        </w:rPr>
        <w:t xml:space="preserve">2022 </w:t>
      </w:r>
      <w:r>
        <w:rPr>
          <w:sz w:val="24"/>
        </w:rPr>
        <w:t>Casella Wines Comments on the Preliminary</w:t>
      </w:r>
    </w:p>
    <w:p w14:paraId="51DE7B89" w14:textId="77777777" w:rsidR="0010369C" w:rsidRDefault="008E43AE">
      <w:pPr>
        <w:pStyle w:val="BodyText"/>
        <w:spacing w:line="262" w:lineRule="exact"/>
        <w:ind w:left="201"/>
      </w:pPr>
      <w:r>
        <w:rPr>
          <w:spacing w:val="-2"/>
        </w:rPr>
        <w:t>Determination</w:t>
      </w:r>
    </w:p>
    <w:p w14:paraId="51DE7B8A" w14:textId="77777777" w:rsidR="0010369C" w:rsidRDefault="0010369C">
      <w:pPr>
        <w:pStyle w:val="BodyText"/>
        <w:spacing w:before="10"/>
      </w:pPr>
    </w:p>
    <w:p w14:paraId="51DE7B8B" w14:textId="77777777" w:rsidR="0010369C" w:rsidRDefault="008E43AE">
      <w:pPr>
        <w:pStyle w:val="BodyText"/>
        <w:spacing w:line="242" w:lineRule="auto"/>
        <w:ind w:left="201" w:right="384"/>
      </w:pPr>
      <w:r>
        <w:t>Treasury</w:t>
      </w:r>
      <w:r>
        <w:rPr>
          <w:spacing w:val="-14"/>
        </w:rPr>
        <w:t xml:space="preserve"> </w:t>
      </w:r>
      <w:r>
        <w:t>Wines</w:t>
      </w:r>
      <w:r>
        <w:rPr>
          <w:spacing w:val="-14"/>
        </w:rPr>
        <w:t xml:space="preserve"> </w:t>
      </w:r>
      <w:r>
        <w:t>Comments on the Final Disclosure Anti‐Dumping Final Disclosure Notice</w:t>
      </w:r>
    </w:p>
    <w:p w14:paraId="51DE7B8C" w14:textId="77777777" w:rsidR="0010369C" w:rsidRDefault="0010369C">
      <w:pPr>
        <w:pStyle w:val="BodyText"/>
      </w:pPr>
    </w:p>
    <w:p w14:paraId="51DE7B8D" w14:textId="77777777" w:rsidR="0010369C" w:rsidRDefault="0010369C">
      <w:pPr>
        <w:pStyle w:val="BodyText"/>
        <w:spacing w:before="8"/>
      </w:pPr>
    </w:p>
    <w:p w14:paraId="51DE7B8E" w14:textId="77777777" w:rsidR="0010369C" w:rsidRDefault="008E43AE">
      <w:pPr>
        <w:pStyle w:val="BodyText"/>
        <w:ind w:left="201" w:right="384"/>
      </w:pPr>
      <w:r>
        <w:t>Anti‐Dumping</w:t>
      </w:r>
      <w:r>
        <w:rPr>
          <w:spacing w:val="-14"/>
        </w:rPr>
        <w:t xml:space="preserve"> </w:t>
      </w:r>
      <w:r>
        <w:t>Additional Final Disclosure</w:t>
      </w:r>
    </w:p>
    <w:p w14:paraId="51DE7B8F" w14:textId="77777777" w:rsidR="0010369C" w:rsidRDefault="0010369C">
      <w:pPr>
        <w:pStyle w:val="BodyText"/>
      </w:pPr>
    </w:p>
    <w:p w14:paraId="51DE7B90" w14:textId="77777777" w:rsidR="0010369C" w:rsidRDefault="0010369C">
      <w:pPr>
        <w:pStyle w:val="BodyText"/>
      </w:pPr>
    </w:p>
    <w:p w14:paraId="51DE7B91" w14:textId="77777777" w:rsidR="0010369C" w:rsidRDefault="0010369C">
      <w:pPr>
        <w:pStyle w:val="BodyText"/>
        <w:spacing w:before="10"/>
      </w:pPr>
    </w:p>
    <w:p w14:paraId="51DE7B92" w14:textId="77777777" w:rsidR="0010369C" w:rsidRDefault="008E43AE">
      <w:pPr>
        <w:pStyle w:val="BodyText"/>
        <w:ind w:left="201"/>
      </w:pPr>
      <w:r>
        <w:t>COFCO</w:t>
      </w:r>
      <w:r>
        <w:rPr>
          <w:spacing w:val="-14"/>
        </w:rPr>
        <w:t xml:space="preserve"> </w:t>
      </w:r>
      <w:r>
        <w:t>Wines</w:t>
      </w:r>
      <w:r>
        <w:rPr>
          <w:spacing w:val="-14"/>
        </w:rPr>
        <w:t xml:space="preserve"> </w:t>
      </w:r>
      <w:r>
        <w:t>Anti‐Dumping Questionnaire Response Supporting Documents</w:t>
      </w:r>
    </w:p>
    <w:p w14:paraId="51DE7B93" w14:textId="77777777" w:rsidR="0010369C" w:rsidRDefault="0010369C">
      <w:pPr>
        <w:pStyle w:val="BodyText"/>
      </w:pPr>
    </w:p>
    <w:p w14:paraId="51DE7B94" w14:textId="77777777" w:rsidR="0010369C" w:rsidRDefault="0010369C">
      <w:pPr>
        <w:pStyle w:val="BodyText"/>
      </w:pPr>
    </w:p>
    <w:p w14:paraId="51DE7B95" w14:textId="77777777" w:rsidR="0010369C" w:rsidRDefault="0010369C">
      <w:pPr>
        <w:pStyle w:val="BodyText"/>
        <w:spacing w:before="11"/>
      </w:pPr>
    </w:p>
    <w:p w14:paraId="51DE7B96" w14:textId="77777777" w:rsidR="0010369C" w:rsidRDefault="008E43AE">
      <w:pPr>
        <w:pStyle w:val="BodyText"/>
        <w:ind w:left="201"/>
      </w:pPr>
      <w:r>
        <w:t>COFCO W&amp;W International Anti‐Dumping</w:t>
      </w:r>
      <w:r>
        <w:rPr>
          <w:spacing w:val="-14"/>
        </w:rPr>
        <w:t xml:space="preserve"> </w:t>
      </w:r>
      <w:r>
        <w:t xml:space="preserve">Questionnaire </w:t>
      </w:r>
      <w:r>
        <w:rPr>
          <w:spacing w:val="-2"/>
        </w:rPr>
        <w:t>Response</w:t>
      </w:r>
    </w:p>
    <w:p w14:paraId="51DE7B97" w14:textId="77777777" w:rsidR="0010369C" w:rsidRDefault="0010369C">
      <w:pPr>
        <w:sectPr w:rsidR="0010369C">
          <w:pgSz w:w="11910" w:h="16840"/>
          <w:pgMar w:top="880" w:right="1220" w:bottom="980" w:left="1180" w:header="569" w:footer="788" w:gutter="0"/>
          <w:cols w:num="2" w:space="720" w:equalWidth="0">
            <w:col w:w="6058" w:space="40"/>
            <w:col w:w="3412"/>
          </w:cols>
        </w:sectPr>
      </w:pPr>
    </w:p>
    <w:p w14:paraId="51DE7B98" w14:textId="77777777" w:rsidR="0010369C" w:rsidRDefault="008E43AE">
      <w:pPr>
        <w:pStyle w:val="BodyText"/>
        <w:spacing w:before="9"/>
        <w:ind w:left="351" w:right="7896"/>
      </w:pPr>
      <w:r>
        <w:pict w14:anchorId="51DE9D0B">
          <v:group id="docshapegroup49" o:spid="_x0000_s3204" style="position:absolute;left:0;text-align:left;margin-left:70.9pt;margin-top:70.9pt;width:453.85pt;height:695.5pt;z-index:-251431424;mso-position-horizontal-relative:page;mso-position-vertical-relative:page" coordorigin="1418,1418" coordsize="9077,13910">
            <v:shape id="docshape50" o:spid="_x0000_s3206" style="position:absolute;left:1418;top:1418;width:9077;height:12990" coordorigin="1418,1418" coordsize="9077,12990" o:spt="100" adj="0,,0" path="m2714,12934r-1296,l1418,12943r,l1418,14408r10,l1428,12943r1175,l2603,14408r9,l2612,12943r102,l2714,12934xm2714,8509r-111,l2603,8519r,1465l2603,9994r,1465l1428,11459r,-1465l2603,9994r,-10l1428,9984r,-1465l2603,8519r,-10l1418,8509r,10l1418,8519r,1465l1418,9994r,1465l1418,11468r,l1418,12934r10,l1428,11468r1175,l2603,12934r9,l2612,11468r102,l2714,11459r-102,l2612,9994r102,l2714,9984r-102,l2612,8519r102,l2714,8509xm7087,13532r-129,l6958,13239r-11,l6947,12945r-4253,l2694,13239r,27l2694,13532r,28l2694,13825r,28l2694,14146r1943,l4637,13853r2450,l7087,13532xm7177,11764r-230,l6947,11470r-4253,l2694,11764r,28l2694,12057r,29l2694,12350r,28l2694,12671r1980,l4674,12378r1873,l6547,12086r630,l7177,11764xm7177,10289r-230,l6947,9995r-4253,l2694,10289r,28l2694,10582r,29l2694,10875r,29l2694,11196r1943,l4637,10904r1910,l6547,10611r630,l7177,10289xm7177,8815r-230,l6947,8521r-4253,l2694,8815r,27l2694,9107r,29l2694,9400r,29l2694,9722r1943,l4637,9429r1910,l6547,9136r630,l7177,8815xm7480,12934r-513,l6967,12943r513,l7480,12934xm7480,8509r-513,l6967,8519r401,l7368,9984r-401,l6967,9994r401,l7368,11459r-401,l6967,11468r513,l7480,11459r-102,l7378,9994r102,l7480,9984r-102,l7378,8519r102,l7480,8509xm10495,8509r-394,l10101,8519r385,l10486,9984r-385,l10101,9994r385,l10486,11459r-385,l10101,11468r394,l10495,11459r,-1465l10495,9984r,-1465l10495,8519r,-10xm10495,1418r-9,l10486,1428r,1172l10486,2610r,586l10486,3205r,1173l10486,4387r,1465l10486,5862r,1758l7378,7620r,-1758l10486,5862r,-10l7378,5852r,-1465l10486,4387r,-9l7378,4378r,-1173l10486,3205r,-9l7378,3196r,-586l10486,2610r,-10l7378,2600r,-1172l10486,1428r,-10l7368,1418r,10l7368,2600r,10l7368,3196r,9l7368,4378r,9l7368,5852r,10l7368,7620r-4756,l2612,5862r4756,l7368,5852r-4756,l2612,4387r4756,l7368,4378r-4756,l2612,3205r4756,l7368,3196r-4756,l2612,2610r4756,l7368,2600r-4756,l2612,1428r4756,l7368,1418r-4765,l2603,1428r,1172l2603,2610r,586l2603,3205r,1173l2603,4387r,1465l2603,5862r,1758l1428,7620r,-1758l2603,5862r,-10l1428,5852r,-1465l2603,4387r,-9l1428,4378r,-1173l2603,3205r,-9l1428,3196r,-586l2603,2610r,-10l1428,2600r,-1172l2603,1428r,-10l1428,1418r-10,l1418,1428r,1172l1418,2610r,586l1418,3205r,1173l1418,4387r,1465l1418,5862r,1758l1418,7630r,879l1428,8509r,-879l2603,7630r,879l2612,8509r,-879l7368,7630r,879l7378,8509r,-879l10486,7630r,879l10495,8509r,-879l10495,7620r,-1758l10495,5852r,-1465l10495,4378r,-1173l10495,3196r,-586l10495,2600r,-1172l10495,1418xe" fillcolor="black" stroked="f">
              <v:stroke joinstyle="round"/>
              <v:formulas/>
              <v:path arrowok="t" o:connecttype="segments"/>
            </v:shape>
            <v:shape id="docshape51" o:spid="_x0000_s3205" style="position:absolute;left:1418;top:8520;width:9077;height:6808" coordorigin="1418,8521" coordsize="9077,6808" o:spt="100" adj="0,,0" path="m2714,14408r-111,l2603,14418r,880l1428,15298r,-880l2603,14418r,-10l1418,14408r,10l1418,15298r,9l1428,15307r1175,l2612,15307r,-889l2714,14418r,-10xm6958,14714r-11,l6947,14421r-4253,l2694,14714r,28l2694,15035r4264,l6958,14714xm7378,11468r-10,l7368,12934r10,l7378,11468xm10250,9107r-985,l9265,8842r816,l10081,8521r-2621,l7460,8815r,27l7460,9107r,29l7460,9400r,29l7460,9693r,29l7460,9995r,19l7460,10289r,28l7460,10582r,29l7460,10875r,29l7460,11168r,28l7460,11470r,19l7460,11764r,28l7460,12057r,29l7460,12350r,28l7460,12643r,28l7460,12945r,19l7460,13239r,27l7460,13532r,28l7460,13825r,28l7460,14117r,29l7460,14408r,10l7460,14421r,18l7460,14714r,28l7460,15007r,28l7460,15298r-82,l7378,14418r82,l7460,14408r-82,l7378,12943r-10,l7368,14408r-401,l6967,14418r401,l7368,15298r-4756,l2612,15307r4756,l7378,15307r82,l7460,15328r2790,l10250,15007r-985,l9265,14742r816,l10081,14421r-1835,l8246,14146r1650,l9896,13853r354,l10250,13532r-985,l9265,13266r816,l10081,12945r-1835,l8246,12671r1384,l9630,12378r620,l10250,12057r-985,l9265,11792r816,l10081,11470r-1835,l8246,11196r1384,l9630,10904r620,l10250,10582r-985,l9265,10317r816,l10081,9995r-1835,l8246,9722r1384,l9630,9429r620,l10250,9107xm10486,15298r-216,l10270,15307r216,l10486,15298xm10495,12934r-394,l10101,12943r385,l10486,14408r-385,l10101,14418r385,l10486,15298r,9l10495,15307r,-9l10495,14418r,-10l10495,12943r,l10495,12934xm10495,11459r-394,l10101,11468r385,l10486,12934r9,l10495,11468r,l10495,11459xe" fillcolor="black" stroked="f">
              <v:stroke joinstyle="round"/>
              <v:formulas/>
              <v:path arrowok="t" o:connecttype="segments"/>
            </v:shape>
            <w10:wrap anchorx="page" anchory="page"/>
          </v:group>
        </w:pict>
      </w:r>
      <w:r>
        <w:rPr>
          <w:spacing w:val="-2"/>
        </w:rPr>
        <w:t>AUS‐104 (BCI)</w:t>
      </w:r>
    </w:p>
    <w:p w14:paraId="51DE7B99" w14:textId="77777777" w:rsidR="0010369C" w:rsidRDefault="0010369C">
      <w:pPr>
        <w:pStyle w:val="BodyText"/>
      </w:pPr>
    </w:p>
    <w:p w14:paraId="51DE7B9A" w14:textId="77777777" w:rsidR="0010369C" w:rsidRDefault="0010369C">
      <w:pPr>
        <w:pStyle w:val="BodyText"/>
      </w:pPr>
    </w:p>
    <w:p w14:paraId="51DE7B9B" w14:textId="77777777" w:rsidR="0010369C" w:rsidRDefault="0010369C">
      <w:pPr>
        <w:pStyle w:val="BodyText"/>
        <w:spacing w:before="10"/>
      </w:pPr>
    </w:p>
    <w:p w14:paraId="51DE7B9C" w14:textId="77777777" w:rsidR="0010369C" w:rsidRDefault="008E43AE">
      <w:pPr>
        <w:pStyle w:val="BodyText"/>
        <w:ind w:left="351" w:right="7896"/>
      </w:pPr>
      <w:r>
        <w:rPr>
          <w:spacing w:val="-2"/>
        </w:rPr>
        <w:t>AUS‐105 (BCI)</w:t>
      </w:r>
    </w:p>
    <w:p w14:paraId="51DE7B9D" w14:textId="77777777" w:rsidR="0010369C" w:rsidRDefault="0010369C">
      <w:pPr>
        <w:pStyle w:val="BodyText"/>
      </w:pPr>
    </w:p>
    <w:p w14:paraId="51DE7B9E" w14:textId="77777777" w:rsidR="0010369C" w:rsidRDefault="0010369C">
      <w:pPr>
        <w:pStyle w:val="BodyText"/>
      </w:pPr>
    </w:p>
    <w:p w14:paraId="51DE7B9F" w14:textId="77777777" w:rsidR="0010369C" w:rsidRDefault="0010369C">
      <w:pPr>
        <w:pStyle w:val="BodyText"/>
        <w:spacing w:before="10"/>
      </w:pPr>
    </w:p>
    <w:p w14:paraId="51DE7BA0" w14:textId="77777777" w:rsidR="0010369C" w:rsidRDefault="008E43AE">
      <w:pPr>
        <w:pStyle w:val="BodyText"/>
        <w:ind w:left="351" w:right="7896"/>
      </w:pPr>
      <w:r>
        <w:rPr>
          <w:spacing w:val="-2"/>
        </w:rPr>
        <w:t>AUS‐106 (BCI)</w:t>
      </w:r>
    </w:p>
    <w:p w14:paraId="51DE7BA1" w14:textId="77777777" w:rsidR="0010369C" w:rsidRDefault="0010369C">
      <w:pPr>
        <w:pStyle w:val="BodyText"/>
      </w:pPr>
    </w:p>
    <w:p w14:paraId="51DE7BA2" w14:textId="77777777" w:rsidR="0010369C" w:rsidRDefault="0010369C">
      <w:pPr>
        <w:pStyle w:val="BodyText"/>
      </w:pPr>
    </w:p>
    <w:p w14:paraId="51DE7BA3" w14:textId="77777777" w:rsidR="0010369C" w:rsidRDefault="0010369C">
      <w:pPr>
        <w:pStyle w:val="BodyText"/>
        <w:spacing w:before="10"/>
      </w:pPr>
    </w:p>
    <w:p w14:paraId="51DE7BA4" w14:textId="77777777" w:rsidR="0010369C" w:rsidRDefault="008E43AE">
      <w:pPr>
        <w:pStyle w:val="BodyText"/>
        <w:ind w:left="351" w:right="7896"/>
      </w:pPr>
      <w:r>
        <w:rPr>
          <w:spacing w:val="-2"/>
        </w:rPr>
        <w:t>AUS‐107 (BCI)</w:t>
      </w:r>
    </w:p>
    <w:p w14:paraId="51DE7BA5" w14:textId="77777777" w:rsidR="0010369C" w:rsidRDefault="0010369C">
      <w:pPr>
        <w:pStyle w:val="BodyText"/>
        <w:rPr>
          <w:sz w:val="20"/>
        </w:rPr>
      </w:pPr>
    </w:p>
    <w:p w14:paraId="51DE7BA6" w14:textId="77777777" w:rsidR="0010369C" w:rsidRDefault="0010369C">
      <w:pPr>
        <w:pStyle w:val="BodyText"/>
        <w:rPr>
          <w:sz w:val="20"/>
        </w:rPr>
      </w:pPr>
    </w:p>
    <w:p w14:paraId="51DE7BA7" w14:textId="77777777" w:rsidR="0010369C" w:rsidRDefault="0010369C">
      <w:pPr>
        <w:pStyle w:val="BodyText"/>
        <w:spacing w:before="8"/>
        <w:rPr>
          <w:sz w:val="28"/>
        </w:rPr>
      </w:pPr>
    </w:p>
    <w:p w14:paraId="51DE7BA8" w14:textId="77777777" w:rsidR="0010369C" w:rsidRDefault="008E43AE">
      <w:pPr>
        <w:pStyle w:val="BodyText"/>
        <w:spacing w:before="52"/>
        <w:ind w:left="351" w:right="7896"/>
      </w:pPr>
      <w:r>
        <w:rPr>
          <w:spacing w:val="-2"/>
        </w:rPr>
        <w:t>AUS‐108 (BCI)</w:t>
      </w:r>
    </w:p>
    <w:p w14:paraId="51DE7BA9" w14:textId="77777777" w:rsidR="0010369C" w:rsidRDefault="0010369C">
      <w:pPr>
        <w:sectPr w:rsidR="0010369C">
          <w:type w:val="continuous"/>
          <w:pgSz w:w="11910" w:h="16840"/>
          <w:pgMar w:top="1460" w:right="1220" w:bottom="280" w:left="1180" w:header="569" w:footer="788" w:gutter="0"/>
          <w:cols w:space="720"/>
        </w:sectPr>
      </w:pPr>
    </w:p>
    <w:p w14:paraId="51DE7BAA" w14:textId="77777777" w:rsidR="0010369C" w:rsidRDefault="008E43AE">
      <w:pPr>
        <w:tabs>
          <w:tab w:val="left" w:pos="6426"/>
        </w:tabs>
        <w:ind w:left="238"/>
        <w:rPr>
          <w:sz w:val="20"/>
        </w:rPr>
      </w:pPr>
      <w:r>
        <w:rPr>
          <w:i/>
          <w:sz w:val="20"/>
        </w:rPr>
        <w:lastRenderedPageBreak/>
        <w:t>China</w:t>
      </w:r>
      <w:r>
        <w:rPr>
          <w:i/>
          <w:spacing w:val="-5"/>
          <w:sz w:val="20"/>
        </w:rPr>
        <w:t xml:space="preserve"> </w:t>
      </w:r>
      <w:r>
        <w:rPr>
          <w:i/>
          <w:sz w:val="20"/>
        </w:rPr>
        <w:t>–</w:t>
      </w:r>
      <w:r>
        <w:rPr>
          <w:i/>
          <w:spacing w:val="-5"/>
          <w:sz w:val="20"/>
        </w:rPr>
        <w:t xml:space="preserve"> </w:t>
      </w:r>
      <w:r>
        <w:rPr>
          <w:i/>
          <w:sz w:val="20"/>
        </w:rPr>
        <w:t>Anti‐Dumping</w:t>
      </w:r>
      <w:r>
        <w:rPr>
          <w:i/>
          <w:spacing w:val="-4"/>
          <w:sz w:val="20"/>
        </w:rPr>
        <w:t xml:space="preserve"> </w:t>
      </w:r>
      <w:r>
        <w:rPr>
          <w:i/>
          <w:sz w:val="20"/>
        </w:rPr>
        <w:t>and</w:t>
      </w:r>
      <w:r>
        <w:rPr>
          <w:i/>
          <w:spacing w:val="-5"/>
          <w:sz w:val="20"/>
        </w:rPr>
        <w:t xml:space="preserve"> </w:t>
      </w:r>
      <w:r>
        <w:rPr>
          <w:i/>
          <w:sz w:val="20"/>
        </w:rPr>
        <w:t>Countervailing</w:t>
      </w:r>
      <w:r>
        <w:rPr>
          <w:i/>
          <w:spacing w:val="-5"/>
          <w:sz w:val="20"/>
        </w:rPr>
        <w:t xml:space="preserve"> </w:t>
      </w:r>
      <w:r>
        <w:rPr>
          <w:i/>
          <w:sz w:val="20"/>
        </w:rPr>
        <w:t>Duty</w:t>
      </w:r>
      <w:r>
        <w:rPr>
          <w:i/>
          <w:spacing w:val="-4"/>
          <w:sz w:val="20"/>
        </w:rPr>
        <w:t xml:space="preserve"> </w:t>
      </w:r>
      <w:r>
        <w:rPr>
          <w:i/>
          <w:spacing w:val="-2"/>
          <w:sz w:val="20"/>
        </w:rPr>
        <w:t>Measures</w:t>
      </w:r>
      <w:r>
        <w:rPr>
          <w:i/>
          <w:sz w:val="20"/>
        </w:rPr>
        <w:tab/>
      </w:r>
      <w:r>
        <w:rPr>
          <w:sz w:val="20"/>
        </w:rPr>
        <w:t>Australia's</w:t>
      </w:r>
      <w:r>
        <w:rPr>
          <w:spacing w:val="-6"/>
          <w:sz w:val="20"/>
        </w:rPr>
        <w:t xml:space="preserve"> </w:t>
      </w:r>
      <w:r>
        <w:rPr>
          <w:sz w:val="20"/>
        </w:rPr>
        <w:t>First</w:t>
      </w:r>
      <w:r>
        <w:rPr>
          <w:spacing w:val="-2"/>
          <w:sz w:val="20"/>
        </w:rPr>
        <w:t xml:space="preserve"> </w:t>
      </w:r>
      <w:r>
        <w:rPr>
          <w:sz w:val="20"/>
        </w:rPr>
        <w:t>Written</w:t>
      </w:r>
      <w:r>
        <w:rPr>
          <w:spacing w:val="-2"/>
          <w:sz w:val="20"/>
        </w:rPr>
        <w:t xml:space="preserve"> Submission</w:t>
      </w:r>
    </w:p>
    <w:p w14:paraId="51DE7BAB" w14:textId="77777777" w:rsidR="0010369C" w:rsidRDefault="008E43AE">
      <w:pPr>
        <w:tabs>
          <w:tab w:val="left" w:pos="8228"/>
        </w:tabs>
        <w:spacing w:before="1"/>
        <w:ind w:left="239"/>
        <w:rPr>
          <w:sz w:val="20"/>
        </w:rPr>
      </w:pPr>
      <w:r>
        <w:pict w14:anchorId="51DE9D0C">
          <v:group id="docshapegroup52" o:spid="_x0000_s3199" style="position:absolute;left:0;text-align:left;margin-left:70.9pt;margin-top:13.45pt;width:453.85pt;height:254.75pt;z-index:-251262464;mso-wrap-distance-left:0;mso-wrap-distance-right:0;mso-position-horizontal-relative:page" coordorigin="1418,269" coordsize="9077,5095">
            <v:shape id="docshape53" o:spid="_x0000_s3203" style="position:absolute;left:1418;top:269;width:9077;height:5095" coordorigin="1418,269" coordsize="9077,5095" o:spt="100" adj="0,,0" path="m2714,269r-1286,l1428,269r-10,l1418,269r,l1418,279r,l1418,909r10,l1428,279r1175,l2603,909r9,l2612,279r102,l2714,269xm2714,909r-111,l2603,918r,1465l2603,2393r,1465l2603,3868r,1465l1428,5333r,-1465l2603,3868r,-10l1428,3858r,-1465l2603,2393r,-10l1428,2383r,-1465l2603,918r,-9l1418,909r,9l1418,918r,1465l1418,2393r,1465l1418,3868r,l1418,5333r,10l1428,5343r1175,l2612,5343r,-1475l2714,3868r,-10l2612,3858r,-1465l2714,2393r,-10l2612,2383r,-1465l2714,918r,-9xm7087,280r-4393,l2694,573r,29l2694,895r1943,l4637,602r2450,l7087,280xm7177,4164r-230,l6947,3870r-4253,l2694,4164r,27l2694,4456r,29l2694,4749r,29l2694,5071r1943,l4637,4778r1910,l6547,4485r630,l7177,4164xm7177,2689r-230,l6947,2395r-4253,l2694,2689r,27l2694,2982r,28l2694,3274r,29l2694,3596r1943,l4637,3303r1910,l6547,3010r630,l7177,2689xm7177,1213r-230,l6947,920r-4253,l2694,1213r,28l2694,1507r,27l2694,1800r,28l2694,2121r1943,l4637,1828r1910,l6547,1534r630,l7177,1213xm7480,269r-373,l7107,279r261,l7368,909r10,l7378,279r102,l7480,269xm9896,280r-2436,l7460,573r,29l7460,895r786,l8246,602r1650,l9896,280xm10250,1507r-985,l9265,1241r816,l10081,920r-2621,l7460,1213r,28l7460,1507r,27l7460,1800r,28l7460,2092r,29l7460,2383r,10l7460,2395r,19l7460,2689r,27l7460,2982r,28l7460,3274r,29l7460,3567r,29l7460,3858r,10l7460,3870r,19l7460,4164r,27l7460,4456r,29l7460,4749r,29l7460,5042r,29l7460,5333r-82,l7378,3868r82,l7460,3858r-82,l7378,2393r82,l7460,2383r-82,l7378,918r102,l7480,909r-513,l6967,918r401,l7368,2383r-401,l6967,2393r401,l7368,3858r-401,l6967,3868r401,l7368,5333r-4756,l2612,5343r4756,l7378,5343r,l7460,5343r,20l8246,5363r,-292l9630,5071r,-293l10250,4778r,-322l9265,4456r,-265l10081,4191r,-321l8246,3870r,-274l9630,3596r,-293l10250,3303r,-321l9265,2982r,-266l10081,2716r,-321l8246,2395r,-274l9630,2121r,-293l10250,1828r,-321xm10486,5333r-2220,l8266,5343r2220,l10486,5333xm10495,909r-394,l10101,918r385,l10486,2383r-385,l10101,2393r385,l10486,3858r-385,l10101,3868r385,l10486,5333r,10l10495,5343r,-10l10495,3868r,l10495,3858r,-1465l10495,2383r,-1465l10495,918r,-9xm10495,269r-9,l10486,269r-570,l9916,279r570,l10486,909r9,l10495,279r,l10495,269r,xe" fillcolor="black" stroked="f">
              <v:stroke joinstyle="round"/>
              <v:formulas/>
              <v:path arrowok="t" o:connecttype="segments"/>
            </v:shape>
            <v:shape id="docshape54" o:spid="_x0000_s3202" type="#_x0000_t202" style="position:absolute;left:1531;top:966;width:861;height:533" filled="f" stroked="f">
              <v:textbox inset="0,0,0,0">
                <w:txbxContent>
                  <w:p w14:paraId="51DEAC12" w14:textId="77777777" w:rsidR="0010369C" w:rsidRDefault="008E43AE">
                    <w:pPr>
                      <w:spacing w:line="244" w:lineRule="exact"/>
                      <w:rPr>
                        <w:sz w:val="24"/>
                      </w:rPr>
                    </w:pPr>
                    <w:r>
                      <w:rPr>
                        <w:spacing w:val="-2"/>
                        <w:sz w:val="24"/>
                      </w:rPr>
                      <w:t>AUS‐109</w:t>
                    </w:r>
                  </w:p>
                  <w:p w14:paraId="51DEAC13" w14:textId="77777777" w:rsidR="0010369C" w:rsidRDefault="008E43AE">
                    <w:pPr>
                      <w:spacing w:line="288" w:lineRule="exact"/>
                      <w:rPr>
                        <w:sz w:val="24"/>
                      </w:rPr>
                    </w:pPr>
                    <w:r>
                      <w:rPr>
                        <w:spacing w:val="-2"/>
                        <w:sz w:val="24"/>
                      </w:rPr>
                      <w:t>(BCI)</w:t>
                    </w:r>
                  </w:p>
                </w:txbxContent>
              </v:textbox>
            </v:shape>
            <v:shape id="docshape55" o:spid="_x0000_s3201" type="#_x0000_t202" style="position:absolute;left:1531;top:2441;width:861;height:534" filled="f" stroked="f">
              <v:textbox inset="0,0,0,0">
                <w:txbxContent>
                  <w:p w14:paraId="51DEAC14" w14:textId="77777777" w:rsidR="0010369C" w:rsidRDefault="008E43AE">
                    <w:pPr>
                      <w:spacing w:line="244" w:lineRule="exact"/>
                      <w:rPr>
                        <w:sz w:val="24"/>
                      </w:rPr>
                    </w:pPr>
                    <w:r>
                      <w:rPr>
                        <w:spacing w:val="-2"/>
                        <w:sz w:val="24"/>
                      </w:rPr>
                      <w:t>AUS‐110</w:t>
                    </w:r>
                  </w:p>
                  <w:p w14:paraId="51DEAC15" w14:textId="77777777" w:rsidR="0010369C" w:rsidRDefault="008E43AE">
                    <w:pPr>
                      <w:spacing w:before="1" w:line="289" w:lineRule="exact"/>
                      <w:rPr>
                        <w:sz w:val="24"/>
                      </w:rPr>
                    </w:pPr>
                    <w:r>
                      <w:rPr>
                        <w:spacing w:val="-2"/>
                        <w:sz w:val="24"/>
                      </w:rPr>
                      <w:t>(BCI)</w:t>
                    </w:r>
                  </w:p>
                </w:txbxContent>
              </v:textbox>
            </v:shape>
            <v:shape id="docshape56" o:spid="_x0000_s3200" type="#_x0000_t202" style="position:absolute;left:1531;top:3915;width:861;height:534" filled="f" stroked="f">
              <v:textbox inset="0,0,0,0">
                <w:txbxContent>
                  <w:p w14:paraId="51DEAC16" w14:textId="77777777" w:rsidR="0010369C" w:rsidRDefault="008E43AE">
                    <w:pPr>
                      <w:spacing w:line="244" w:lineRule="exact"/>
                      <w:rPr>
                        <w:sz w:val="24"/>
                      </w:rPr>
                    </w:pPr>
                    <w:r>
                      <w:rPr>
                        <w:spacing w:val="-2"/>
                        <w:sz w:val="24"/>
                      </w:rPr>
                      <w:t>AUS‐111</w:t>
                    </w:r>
                  </w:p>
                  <w:p w14:paraId="51DEAC17" w14:textId="77777777" w:rsidR="0010369C" w:rsidRDefault="008E43AE">
                    <w:pPr>
                      <w:spacing w:before="1" w:line="289" w:lineRule="exact"/>
                      <w:rPr>
                        <w:sz w:val="24"/>
                      </w:rPr>
                    </w:pPr>
                    <w:r>
                      <w:rPr>
                        <w:spacing w:val="-2"/>
                        <w:sz w:val="24"/>
                      </w:rPr>
                      <w:t>(BCI)</w:t>
                    </w:r>
                  </w:p>
                </w:txbxContent>
              </v:textbox>
            </v:shape>
            <w10:wrap type="topAndBottom" anchorx="page"/>
          </v:group>
        </w:pict>
      </w:r>
      <w:r>
        <w:rPr>
          <w:i/>
          <w:sz w:val="20"/>
        </w:rPr>
        <w:t>on</w:t>
      </w:r>
      <w:r>
        <w:rPr>
          <w:i/>
          <w:spacing w:val="-1"/>
          <w:sz w:val="20"/>
        </w:rPr>
        <w:t xml:space="preserve"> </w:t>
      </w:r>
      <w:r>
        <w:rPr>
          <w:i/>
          <w:sz w:val="20"/>
        </w:rPr>
        <w:t>Wine</w:t>
      </w:r>
      <w:r>
        <w:rPr>
          <w:i/>
          <w:spacing w:val="-1"/>
          <w:sz w:val="20"/>
        </w:rPr>
        <w:t xml:space="preserve"> </w:t>
      </w:r>
      <w:r>
        <w:rPr>
          <w:i/>
          <w:sz w:val="20"/>
        </w:rPr>
        <w:t>from</w:t>
      </w:r>
      <w:r>
        <w:rPr>
          <w:i/>
          <w:spacing w:val="-3"/>
          <w:sz w:val="20"/>
        </w:rPr>
        <w:t xml:space="preserve"> </w:t>
      </w:r>
      <w:r>
        <w:rPr>
          <w:i/>
          <w:sz w:val="20"/>
        </w:rPr>
        <w:t>Australia</w:t>
      </w:r>
      <w:r>
        <w:rPr>
          <w:i/>
          <w:spacing w:val="-1"/>
          <w:sz w:val="20"/>
        </w:rPr>
        <w:t xml:space="preserve"> </w:t>
      </w:r>
      <w:r>
        <w:rPr>
          <w:spacing w:val="-2"/>
          <w:sz w:val="20"/>
        </w:rPr>
        <w:t>(DS602)</w:t>
      </w:r>
      <w:r>
        <w:rPr>
          <w:sz w:val="20"/>
        </w:rPr>
        <w:tab/>
        <w:t>29</w:t>
      </w:r>
      <w:r>
        <w:rPr>
          <w:spacing w:val="-1"/>
          <w:sz w:val="20"/>
        </w:rPr>
        <w:t xml:space="preserve"> </w:t>
      </w:r>
      <w:r>
        <w:rPr>
          <w:sz w:val="20"/>
        </w:rPr>
        <w:t>April</w:t>
      </w:r>
      <w:r>
        <w:rPr>
          <w:spacing w:val="-2"/>
          <w:sz w:val="20"/>
        </w:rPr>
        <w:t xml:space="preserve"> </w:t>
      </w:r>
      <w:r>
        <w:rPr>
          <w:spacing w:val="-4"/>
          <w:sz w:val="20"/>
        </w:rPr>
        <w:t>2022</w:t>
      </w:r>
    </w:p>
    <w:p w14:paraId="51DE7BAC" w14:textId="77777777" w:rsidR="0010369C" w:rsidRDefault="0010369C">
      <w:pPr>
        <w:rPr>
          <w:sz w:val="20"/>
        </w:rPr>
        <w:sectPr w:rsidR="0010369C">
          <w:pgSz w:w="11910" w:h="16840"/>
          <w:pgMar w:top="880" w:right="1220" w:bottom="980" w:left="1180" w:header="569" w:footer="788" w:gutter="0"/>
          <w:cols w:space="720"/>
        </w:sectPr>
      </w:pPr>
    </w:p>
    <w:tbl>
      <w:tblPr>
        <w:tblW w:w="0" w:type="auto"/>
        <w:tblInd w:w="132" w:type="dxa"/>
        <w:tblLayout w:type="fixed"/>
        <w:tblCellMar>
          <w:left w:w="0" w:type="dxa"/>
          <w:right w:w="0" w:type="dxa"/>
        </w:tblCellMar>
        <w:tblLook w:val="01E0" w:firstRow="1" w:lastRow="1" w:firstColumn="1" w:lastColumn="1" w:noHBand="0" w:noVBand="0"/>
      </w:tblPr>
      <w:tblGrid>
        <w:gridCol w:w="614"/>
        <w:gridCol w:w="4907"/>
        <w:gridCol w:w="3698"/>
      </w:tblGrid>
      <w:tr w:rsidR="0010369C" w14:paraId="51DE7BB1" w14:textId="77777777">
        <w:trPr>
          <w:trHeight w:val="553"/>
        </w:trPr>
        <w:tc>
          <w:tcPr>
            <w:tcW w:w="5521" w:type="dxa"/>
            <w:gridSpan w:val="2"/>
            <w:tcBorders>
              <w:top w:val="single" w:sz="4" w:space="0" w:color="000000"/>
              <w:left w:val="single" w:sz="4" w:space="0" w:color="000000"/>
            </w:tcBorders>
          </w:tcPr>
          <w:p w14:paraId="51DE7BAD" w14:textId="77777777" w:rsidR="0010369C" w:rsidRDefault="008E43AE">
            <w:pPr>
              <w:pStyle w:val="TableParagraph"/>
              <w:spacing w:before="19"/>
              <w:ind w:left="2896" w:right="-87"/>
              <w:rPr>
                <w:sz w:val="20"/>
              </w:rPr>
            </w:pPr>
            <w:r>
              <w:rPr>
                <w:sz w:val="20"/>
              </w:rPr>
              <w:lastRenderedPageBreak/>
              <w:t>Contains</w:t>
            </w:r>
            <w:r>
              <w:rPr>
                <w:spacing w:val="-7"/>
                <w:sz w:val="20"/>
              </w:rPr>
              <w:t xml:space="preserve"> </w:t>
            </w:r>
            <w:r>
              <w:rPr>
                <w:sz w:val="20"/>
              </w:rPr>
              <w:t>Business</w:t>
            </w:r>
            <w:r>
              <w:rPr>
                <w:spacing w:val="-5"/>
                <w:sz w:val="20"/>
              </w:rPr>
              <w:t xml:space="preserve"> </w:t>
            </w:r>
            <w:r>
              <w:rPr>
                <w:sz w:val="20"/>
              </w:rPr>
              <w:t>Confidential</w:t>
            </w:r>
            <w:r>
              <w:rPr>
                <w:spacing w:val="-5"/>
                <w:sz w:val="20"/>
              </w:rPr>
              <w:t xml:space="preserve"> In</w:t>
            </w:r>
          </w:p>
          <w:p w14:paraId="51DE7BAE" w14:textId="77777777" w:rsidR="0010369C" w:rsidRDefault="008E43AE">
            <w:pPr>
              <w:pStyle w:val="TableParagraph"/>
              <w:spacing w:before="28" w:line="242" w:lineRule="exact"/>
              <w:ind w:left="113"/>
              <w:rPr>
                <w:i/>
                <w:sz w:val="20"/>
              </w:rPr>
            </w:pPr>
            <w:r>
              <w:rPr>
                <w:i/>
                <w:sz w:val="20"/>
              </w:rPr>
              <w:t>China</w:t>
            </w:r>
            <w:r>
              <w:rPr>
                <w:i/>
                <w:spacing w:val="-5"/>
                <w:sz w:val="20"/>
              </w:rPr>
              <w:t xml:space="preserve"> </w:t>
            </w:r>
            <w:r>
              <w:rPr>
                <w:i/>
                <w:sz w:val="20"/>
              </w:rPr>
              <w:t>–</w:t>
            </w:r>
            <w:r>
              <w:rPr>
                <w:i/>
                <w:spacing w:val="-5"/>
                <w:sz w:val="20"/>
              </w:rPr>
              <w:t xml:space="preserve"> </w:t>
            </w:r>
            <w:r>
              <w:rPr>
                <w:i/>
                <w:sz w:val="20"/>
              </w:rPr>
              <w:t>Anti‐Dumping</w:t>
            </w:r>
            <w:r>
              <w:rPr>
                <w:i/>
                <w:spacing w:val="-4"/>
                <w:sz w:val="20"/>
              </w:rPr>
              <w:t xml:space="preserve"> </w:t>
            </w:r>
            <w:r>
              <w:rPr>
                <w:i/>
                <w:sz w:val="20"/>
              </w:rPr>
              <w:t>and</w:t>
            </w:r>
            <w:r>
              <w:rPr>
                <w:i/>
                <w:spacing w:val="-5"/>
                <w:sz w:val="20"/>
              </w:rPr>
              <w:t xml:space="preserve"> </w:t>
            </w:r>
            <w:r>
              <w:rPr>
                <w:i/>
                <w:sz w:val="20"/>
              </w:rPr>
              <w:t>Countervailing</w:t>
            </w:r>
            <w:r>
              <w:rPr>
                <w:i/>
                <w:spacing w:val="-5"/>
                <w:sz w:val="20"/>
              </w:rPr>
              <w:t xml:space="preserve"> </w:t>
            </w:r>
            <w:r>
              <w:rPr>
                <w:i/>
                <w:sz w:val="20"/>
              </w:rPr>
              <w:t>Duty</w:t>
            </w:r>
            <w:r>
              <w:rPr>
                <w:i/>
                <w:spacing w:val="-4"/>
                <w:sz w:val="20"/>
              </w:rPr>
              <w:t xml:space="preserve"> </w:t>
            </w:r>
            <w:r>
              <w:rPr>
                <w:i/>
                <w:spacing w:val="-2"/>
                <w:sz w:val="20"/>
              </w:rPr>
              <w:t>Measures</w:t>
            </w:r>
          </w:p>
        </w:tc>
        <w:tc>
          <w:tcPr>
            <w:tcW w:w="3698" w:type="dxa"/>
            <w:tcBorders>
              <w:top w:val="single" w:sz="4" w:space="0" w:color="000000"/>
              <w:right w:val="single" w:sz="4" w:space="0" w:color="000000"/>
            </w:tcBorders>
          </w:tcPr>
          <w:p w14:paraId="51DE7BAF" w14:textId="77777777" w:rsidR="0010369C" w:rsidRDefault="008E43AE">
            <w:pPr>
              <w:pStyle w:val="TableParagraph"/>
              <w:spacing w:before="19"/>
              <w:ind w:left="64"/>
              <w:rPr>
                <w:sz w:val="20"/>
              </w:rPr>
            </w:pPr>
            <w:r>
              <w:rPr>
                <w:spacing w:val="-2"/>
                <w:sz w:val="20"/>
              </w:rPr>
              <w:t>formation</w:t>
            </w:r>
          </w:p>
          <w:p w14:paraId="51DE7BB0" w14:textId="77777777" w:rsidR="0010369C" w:rsidRDefault="008E43AE">
            <w:pPr>
              <w:pStyle w:val="TableParagraph"/>
              <w:spacing w:before="28" w:line="242" w:lineRule="exact"/>
              <w:ind w:left="780"/>
              <w:rPr>
                <w:sz w:val="20"/>
              </w:rPr>
            </w:pPr>
            <w:r>
              <w:rPr>
                <w:sz w:val="20"/>
              </w:rPr>
              <w:t>Australia's</w:t>
            </w:r>
            <w:r>
              <w:rPr>
                <w:spacing w:val="-5"/>
                <w:sz w:val="20"/>
              </w:rPr>
              <w:t xml:space="preserve"> </w:t>
            </w:r>
            <w:r>
              <w:rPr>
                <w:sz w:val="20"/>
              </w:rPr>
              <w:t>First</w:t>
            </w:r>
            <w:r>
              <w:rPr>
                <w:spacing w:val="-2"/>
                <w:sz w:val="20"/>
              </w:rPr>
              <w:t xml:space="preserve"> </w:t>
            </w:r>
            <w:r>
              <w:rPr>
                <w:sz w:val="20"/>
              </w:rPr>
              <w:t>Written</w:t>
            </w:r>
            <w:r>
              <w:rPr>
                <w:spacing w:val="-2"/>
                <w:sz w:val="20"/>
              </w:rPr>
              <w:t xml:space="preserve"> Submission</w:t>
            </w:r>
          </w:p>
        </w:tc>
      </w:tr>
      <w:tr w:rsidR="0010369C" w14:paraId="51DE7BB4" w14:textId="77777777">
        <w:trPr>
          <w:trHeight w:val="322"/>
        </w:trPr>
        <w:tc>
          <w:tcPr>
            <w:tcW w:w="5521" w:type="dxa"/>
            <w:gridSpan w:val="2"/>
          </w:tcPr>
          <w:p w14:paraId="51DE7BB2" w14:textId="77777777" w:rsidR="0010369C" w:rsidRDefault="008E43AE">
            <w:pPr>
              <w:pStyle w:val="TableParagraph"/>
              <w:spacing w:line="226" w:lineRule="exact"/>
              <w:ind w:left="119"/>
              <w:rPr>
                <w:sz w:val="20"/>
              </w:rPr>
            </w:pPr>
            <w:r>
              <w:rPr>
                <w:i/>
                <w:sz w:val="20"/>
              </w:rPr>
              <w:t>on</w:t>
            </w:r>
            <w:r>
              <w:rPr>
                <w:i/>
                <w:spacing w:val="-1"/>
                <w:sz w:val="20"/>
              </w:rPr>
              <w:t xml:space="preserve"> </w:t>
            </w:r>
            <w:r>
              <w:rPr>
                <w:i/>
                <w:sz w:val="20"/>
              </w:rPr>
              <w:t>Wine</w:t>
            </w:r>
            <w:r>
              <w:rPr>
                <w:i/>
                <w:spacing w:val="-1"/>
                <w:sz w:val="20"/>
              </w:rPr>
              <w:t xml:space="preserve"> </w:t>
            </w:r>
            <w:r>
              <w:rPr>
                <w:i/>
                <w:sz w:val="20"/>
              </w:rPr>
              <w:t>from</w:t>
            </w:r>
            <w:r>
              <w:rPr>
                <w:i/>
                <w:spacing w:val="-3"/>
                <w:sz w:val="20"/>
              </w:rPr>
              <w:t xml:space="preserve"> </w:t>
            </w:r>
            <w:r>
              <w:rPr>
                <w:i/>
                <w:sz w:val="20"/>
              </w:rPr>
              <w:t>Australia</w:t>
            </w:r>
            <w:r>
              <w:rPr>
                <w:i/>
                <w:spacing w:val="-1"/>
                <w:sz w:val="20"/>
              </w:rPr>
              <w:t xml:space="preserve"> </w:t>
            </w:r>
            <w:r>
              <w:rPr>
                <w:spacing w:val="-2"/>
                <w:sz w:val="20"/>
              </w:rPr>
              <w:t>(DS602)</w:t>
            </w:r>
          </w:p>
        </w:tc>
        <w:tc>
          <w:tcPr>
            <w:tcW w:w="3698" w:type="dxa"/>
          </w:tcPr>
          <w:p w14:paraId="51DE7BB3" w14:textId="77777777" w:rsidR="0010369C" w:rsidRDefault="008E43AE">
            <w:pPr>
              <w:pStyle w:val="TableParagraph"/>
              <w:spacing w:line="226" w:lineRule="exact"/>
              <w:ind w:right="25"/>
              <w:jc w:val="right"/>
              <w:rPr>
                <w:sz w:val="20"/>
              </w:rPr>
            </w:pPr>
            <w:r>
              <w:rPr>
                <w:sz w:val="20"/>
              </w:rPr>
              <w:t>29</w:t>
            </w:r>
            <w:r>
              <w:rPr>
                <w:spacing w:val="-1"/>
                <w:sz w:val="20"/>
              </w:rPr>
              <w:t xml:space="preserve"> </w:t>
            </w:r>
            <w:r>
              <w:rPr>
                <w:sz w:val="20"/>
              </w:rPr>
              <w:t>April</w:t>
            </w:r>
            <w:r>
              <w:rPr>
                <w:spacing w:val="-2"/>
                <w:sz w:val="20"/>
              </w:rPr>
              <w:t xml:space="preserve"> </w:t>
            </w:r>
            <w:r>
              <w:rPr>
                <w:spacing w:val="-4"/>
                <w:sz w:val="20"/>
              </w:rPr>
              <w:t>2022</w:t>
            </w:r>
          </w:p>
        </w:tc>
      </w:tr>
      <w:tr w:rsidR="0010369C" w14:paraId="51DE7BB8" w14:textId="77777777">
        <w:trPr>
          <w:trHeight w:val="380"/>
        </w:trPr>
        <w:tc>
          <w:tcPr>
            <w:tcW w:w="614" w:type="dxa"/>
          </w:tcPr>
          <w:p w14:paraId="51DE7BB5" w14:textId="77777777" w:rsidR="0010369C" w:rsidRDefault="008E43AE">
            <w:pPr>
              <w:pStyle w:val="TableParagraph"/>
              <w:spacing w:before="43" w:line="317" w:lineRule="exact"/>
              <w:ind w:left="118"/>
              <w:rPr>
                <w:b/>
                <w:sz w:val="28"/>
              </w:rPr>
            </w:pPr>
            <w:r>
              <w:rPr>
                <w:b/>
                <w:spacing w:val="-5"/>
                <w:sz w:val="28"/>
              </w:rPr>
              <w:t>I.</w:t>
            </w:r>
          </w:p>
        </w:tc>
        <w:tc>
          <w:tcPr>
            <w:tcW w:w="4907" w:type="dxa"/>
          </w:tcPr>
          <w:p w14:paraId="51DE7BB6" w14:textId="77777777" w:rsidR="0010369C" w:rsidRDefault="008E43AE">
            <w:pPr>
              <w:pStyle w:val="TableParagraph"/>
              <w:spacing w:before="43" w:line="317" w:lineRule="exact"/>
              <w:ind w:left="355"/>
              <w:rPr>
                <w:b/>
                <w:sz w:val="28"/>
              </w:rPr>
            </w:pPr>
            <w:r>
              <w:rPr>
                <w:b/>
                <w:spacing w:val="-2"/>
                <w:sz w:val="28"/>
              </w:rPr>
              <w:t>INTRODUCTION</w:t>
            </w:r>
          </w:p>
        </w:tc>
        <w:tc>
          <w:tcPr>
            <w:tcW w:w="3698" w:type="dxa"/>
          </w:tcPr>
          <w:p w14:paraId="51DE7BB7" w14:textId="77777777" w:rsidR="0010369C" w:rsidRDefault="0010369C">
            <w:pPr>
              <w:pStyle w:val="TableParagraph"/>
              <w:rPr>
                <w:rFonts w:ascii="Times New Roman"/>
              </w:rPr>
            </w:pPr>
          </w:p>
        </w:tc>
      </w:tr>
    </w:tbl>
    <w:p w14:paraId="51DE7BB9" w14:textId="77777777" w:rsidR="0010369C" w:rsidRDefault="0010369C">
      <w:pPr>
        <w:pStyle w:val="BodyText"/>
        <w:spacing w:before="9"/>
      </w:pPr>
    </w:p>
    <w:p w14:paraId="51DE7BBA" w14:textId="77777777" w:rsidR="0010369C" w:rsidRDefault="008E43AE">
      <w:pPr>
        <w:pStyle w:val="ListParagraph"/>
        <w:numPr>
          <w:ilvl w:val="1"/>
          <w:numId w:val="80"/>
        </w:numPr>
        <w:tabs>
          <w:tab w:val="left" w:pos="1939"/>
          <w:tab w:val="left" w:pos="1940"/>
        </w:tabs>
        <w:spacing w:before="43"/>
        <w:rPr>
          <w:b/>
          <w:sz w:val="28"/>
        </w:rPr>
      </w:pPr>
      <w:r>
        <w:pict w14:anchorId="51DE9D0D">
          <v:rect id="docshape57" o:spid="_x0000_s3198" style="position:absolute;left:0;text-align:left;margin-left:65pt;margin-top:-63.3pt;width:461.4pt;height:.5pt;z-index:-251430400;mso-position-horizontal-relative:page" fillcolor="black" stroked="f">
            <w10:wrap anchorx="page"/>
          </v:rect>
        </w:pict>
      </w:r>
      <w:r>
        <w:rPr>
          <w:b/>
          <w:spacing w:val="-2"/>
          <w:sz w:val="28"/>
        </w:rPr>
        <w:t>I</w:t>
      </w:r>
      <w:r>
        <w:rPr>
          <w:b/>
          <w:spacing w:val="-2"/>
        </w:rPr>
        <w:t>NTRODUCTION</w:t>
      </w:r>
    </w:p>
    <w:p w14:paraId="51DE7BBB" w14:textId="77777777" w:rsidR="0010369C" w:rsidRDefault="0010369C">
      <w:pPr>
        <w:pStyle w:val="BodyText"/>
        <w:rPr>
          <w:b/>
          <w:sz w:val="27"/>
        </w:rPr>
      </w:pPr>
    </w:p>
    <w:p w14:paraId="51DE7BBC" w14:textId="77777777" w:rsidR="0010369C" w:rsidRDefault="008E43AE">
      <w:pPr>
        <w:pStyle w:val="BodyText"/>
        <w:spacing w:before="1" w:line="360" w:lineRule="auto"/>
        <w:ind w:left="236" w:right="194" w:firstLine="852"/>
        <w:jc w:val="both"/>
      </w:pPr>
      <w:r>
        <w:rPr>
          <w:noProof/>
        </w:rPr>
        <w:drawing>
          <wp:anchor distT="0" distB="0" distL="0" distR="0" simplePos="0" relativeHeight="250700288" behindDoc="1" locked="0" layoutInCell="1" allowOverlap="1" wp14:anchorId="51DE9D0E" wp14:editId="51DE9D0F">
            <wp:simplePos x="0" y="0"/>
            <wp:positionH relativeFrom="page">
              <wp:posOffset>908303</wp:posOffset>
            </wp:positionH>
            <wp:positionV relativeFrom="paragraph">
              <wp:posOffset>48803</wp:posOffset>
            </wp:positionV>
            <wp:extent cx="100584" cy="100753"/>
            <wp:effectExtent l="0" t="0" r="0" b="0"/>
            <wp:wrapNone/>
            <wp:docPr id="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png"/>
                    <pic:cNvPicPr/>
                  </pic:nvPicPr>
                  <pic:blipFill>
                    <a:blip r:embed="rId28" cstate="print"/>
                    <a:stretch>
                      <a:fillRect/>
                    </a:stretch>
                  </pic:blipFill>
                  <pic:spPr>
                    <a:xfrm>
                      <a:off x="0" y="0"/>
                      <a:ext cx="100584" cy="100753"/>
                    </a:xfrm>
                    <a:prstGeom prst="rect">
                      <a:avLst/>
                    </a:prstGeom>
                  </pic:spPr>
                </pic:pic>
              </a:graphicData>
            </a:graphic>
          </wp:anchor>
        </w:drawing>
      </w:r>
      <w:r>
        <w:t xml:space="preserve">This dispute concerns anti‐dumping duties applied by China to bottled wines from </w:t>
      </w:r>
      <w:hyperlink w:anchor="_bookmark0" w:history="1">
        <w:r>
          <w:t>Australia.</w:t>
        </w:r>
        <w:r>
          <w:rPr>
            <w:vertAlign w:val="superscript"/>
          </w:rPr>
          <w:t>1</w:t>
        </w:r>
        <w:r>
          <w:rPr>
            <w:spacing w:val="-2"/>
          </w:rPr>
          <w:t xml:space="preserve"> </w:t>
        </w:r>
      </w:hyperlink>
      <w:r>
        <w:t>Bottled</w:t>
      </w:r>
      <w:r>
        <w:rPr>
          <w:spacing w:val="-2"/>
        </w:rPr>
        <w:t xml:space="preserve"> </w:t>
      </w:r>
      <w:r>
        <w:t>wines</w:t>
      </w:r>
      <w:r>
        <w:rPr>
          <w:spacing w:val="-3"/>
        </w:rPr>
        <w:t xml:space="preserve"> </w:t>
      </w:r>
      <w:r>
        <w:t>(referred</w:t>
      </w:r>
      <w:r>
        <w:rPr>
          <w:spacing w:val="-1"/>
        </w:rPr>
        <w:t xml:space="preserve"> </w:t>
      </w:r>
      <w:r>
        <w:t>to</w:t>
      </w:r>
      <w:r>
        <w:rPr>
          <w:spacing w:val="-2"/>
        </w:rPr>
        <w:t xml:space="preserve"> </w:t>
      </w:r>
      <w:r>
        <w:t>in</w:t>
      </w:r>
      <w:r>
        <w:rPr>
          <w:spacing w:val="-2"/>
        </w:rPr>
        <w:t xml:space="preserve"> </w:t>
      </w:r>
      <w:r>
        <w:t>this</w:t>
      </w:r>
      <w:r>
        <w:rPr>
          <w:spacing w:val="-1"/>
        </w:rPr>
        <w:t xml:space="preserve"> </w:t>
      </w:r>
      <w:r>
        <w:t>submission</w:t>
      </w:r>
      <w:r>
        <w:rPr>
          <w:spacing w:val="-2"/>
        </w:rPr>
        <w:t xml:space="preserve"> </w:t>
      </w:r>
      <w:r>
        <w:t>simply</w:t>
      </w:r>
      <w:r>
        <w:rPr>
          <w:spacing w:val="-1"/>
        </w:rPr>
        <w:t xml:space="preserve"> </w:t>
      </w:r>
      <w:r>
        <w:t>as</w:t>
      </w:r>
      <w:r>
        <w:rPr>
          <w:spacing w:val="-2"/>
        </w:rPr>
        <w:t xml:space="preserve"> </w:t>
      </w:r>
      <w:r>
        <w:t>"wines")</w:t>
      </w:r>
      <w:r>
        <w:rPr>
          <w:spacing w:val="-1"/>
        </w:rPr>
        <w:t xml:space="preserve"> </w:t>
      </w:r>
      <w:r>
        <w:t>are</w:t>
      </w:r>
      <w:r>
        <w:rPr>
          <w:spacing w:val="-1"/>
        </w:rPr>
        <w:t xml:space="preserve"> </w:t>
      </w:r>
      <w:r>
        <w:t>traded</w:t>
      </w:r>
      <w:r>
        <w:rPr>
          <w:spacing w:val="-1"/>
        </w:rPr>
        <w:t xml:space="preserve"> </w:t>
      </w:r>
      <w:r>
        <w:t>around the globe, with Australia being a recognised producer and exporter of high‐quality wines. Australia's wine industry is well‐developed, efficient, and profitable. The export prices for Australian wines are largely determined by international supply a</w:t>
      </w:r>
      <w:r>
        <w:t>nd demand conditions, in particular competition with producers of similar high‐quality wines.</w:t>
      </w:r>
    </w:p>
    <w:p w14:paraId="51DE7BBD" w14:textId="77777777" w:rsidR="0010369C" w:rsidRDefault="008E43AE">
      <w:pPr>
        <w:pStyle w:val="BodyText"/>
        <w:spacing w:before="160" w:line="360" w:lineRule="auto"/>
        <w:ind w:left="236" w:right="193" w:firstLine="852"/>
        <w:jc w:val="both"/>
      </w:pPr>
      <w:r>
        <w:rPr>
          <w:noProof/>
        </w:rPr>
        <w:drawing>
          <wp:anchor distT="0" distB="0" distL="0" distR="0" simplePos="0" relativeHeight="250701312" behindDoc="1" locked="0" layoutInCell="1" allowOverlap="1" wp14:anchorId="51DE9D10" wp14:editId="51DE9D11">
            <wp:simplePos x="0" y="0"/>
            <wp:positionH relativeFrom="page">
              <wp:posOffset>905255</wp:posOffset>
            </wp:positionH>
            <wp:positionV relativeFrom="paragraph">
              <wp:posOffset>150529</wp:posOffset>
            </wp:positionV>
            <wp:extent cx="103631" cy="100753"/>
            <wp:effectExtent l="0" t="0" r="0" b="0"/>
            <wp:wrapNone/>
            <wp:docPr id="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png"/>
                    <pic:cNvPicPr/>
                  </pic:nvPicPr>
                  <pic:blipFill>
                    <a:blip r:embed="rId29" cstate="print"/>
                    <a:stretch>
                      <a:fillRect/>
                    </a:stretch>
                  </pic:blipFill>
                  <pic:spPr>
                    <a:xfrm>
                      <a:off x="0" y="0"/>
                      <a:ext cx="103631" cy="100753"/>
                    </a:xfrm>
                    <a:prstGeom prst="rect">
                      <a:avLst/>
                    </a:prstGeom>
                  </pic:spPr>
                </pic:pic>
              </a:graphicData>
            </a:graphic>
          </wp:anchor>
        </w:drawing>
      </w:r>
      <w:r>
        <w:t>At the core of this dispute is China's decision to impose anti‐dumping duties on imported Australian wine, ranging from 116.2% to 218.4%. This was an absurd deci</w:t>
      </w:r>
      <w:r>
        <w:t>sion that was reached on the basis of findings that lacked any logical relationship to the facts on the record, following a deeply flawed investigation that did not comply with China's obligations under the Anti‐Dumping Agreement or the GATT 1994.</w:t>
      </w:r>
    </w:p>
    <w:p w14:paraId="51DE7BBE" w14:textId="77777777" w:rsidR="0010369C" w:rsidRDefault="008E43AE">
      <w:pPr>
        <w:pStyle w:val="Heading4"/>
        <w:numPr>
          <w:ilvl w:val="2"/>
          <w:numId w:val="80"/>
        </w:numPr>
        <w:tabs>
          <w:tab w:val="left" w:pos="2649"/>
          <w:tab w:val="left" w:pos="2650"/>
        </w:tabs>
        <w:ind w:hanging="852"/>
        <w:jc w:val="both"/>
      </w:pPr>
      <w:bookmarkStart w:id="0" w:name="_TOC_250026"/>
      <w:r>
        <w:t>Australi</w:t>
      </w:r>
      <w:r>
        <w:t>an</w:t>
      </w:r>
      <w:r>
        <w:rPr>
          <w:spacing w:val="-11"/>
        </w:rPr>
        <w:t xml:space="preserve"> </w:t>
      </w:r>
      <w:r>
        <w:t>bottled</w:t>
      </w:r>
      <w:r>
        <w:rPr>
          <w:spacing w:val="-11"/>
        </w:rPr>
        <w:t xml:space="preserve"> </w:t>
      </w:r>
      <w:r>
        <w:t>wine</w:t>
      </w:r>
      <w:r>
        <w:rPr>
          <w:spacing w:val="-8"/>
        </w:rPr>
        <w:t xml:space="preserve"> </w:t>
      </w:r>
      <w:r>
        <w:t>markets</w:t>
      </w:r>
      <w:r>
        <w:rPr>
          <w:spacing w:val="-10"/>
        </w:rPr>
        <w:t xml:space="preserve"> </w:t>
      </w:r>
      <w:r>
        <w:t>and</w:t>
      </w:r>
      <w:r>
        <w:rPr>
          <w:spacing w:val="-10"/>
        </w:rPr>
        <w:t xml:space="preserve"> </w:t>
      </w:r>
      <w:bookmarkEnd w:id="0"/>
      <w:r>
        <w:rPr>
          <w:spacing w:val="-2"/>
        </w:rPr>
        <w:t>trade</w:t>
      </w:r>
    </w:p>
    <w:p w14:paraId="51DE7BBF" w14:textId="77777777" w:rsidR="0010369C" w:rsidRDefault="0010369C">
      <w:pPr>
        <w:pStyle w:val="BodyText"/>
        <w:rPr>
          <w:b/>
          <w:sz w:val="25"/>
        </w:rPr>
      </w:pPr>
    </w:p>
    <w:p w14:paraId="51DE7BC0" w14:textId="77777777" w:rsidR="0010369C" w:rsidRDefault="008E43AE">
      <w:pPr>
        <w:pStyle w:val="BodyText"/>
        <w:spacing w:line="360" w:lineRule="auto"/>
        <w:ind w:left="237" w:right="193" w:firstLine="851"/>
        <w:jc w:val="both"/>
      </w:pPr>
      <w:r>
        <w:rPr>
          <w:noProof/>
        </w:rPr>
        <w:drawing>
          <wp:anchor distT="0" distB="0" distL="0" distR="0" simplePos="0" relativeHeight="250702336" behindDoc="1" locked="0" layoutInCell="1" allowOverlap="1" wp14:anchorId="51DE9D12" wp14:editId="51DE9D13">
            <wp:simplePos x="0" y="0"/>
            <wp:positionH relativeFrom="page">
              <wp:posOffset>905255</wp:posOffset>
            </wp:positionH>
            <wp:positionV relativeFrom="paragraph">
              <wp:posOffset>48930</wp:posOffset>
            </wp:positionV>
            <wp:extent cx="103631" cy="100753"/>
            <wp:effectExtent l="0" t="0" r="0" b="0"/>
            <wp:wrapNone/>
            <wp:docPr id="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png"/>
                    <pic:cNvPicPr/>
                  </pic:nvPicPr>
                  <pic:blipFill>
                    <a:blip r:embed="rId30" cstate="print"/>
                    <a:stretch>
                      <a:fillRect/>
                    </a:stretch>
                  </pic:blipFill>
                  <pic:spPr>
                    <a:xfrm>
                      <a:off x="0" y="0"/>
                      <a:ext cx="103631" cy="100753"/>
                    </a:xfrm>
                    <a:prstGeom prst="rect">
                      <a:avLst/>
                    </a:prstGeom>
                  </pic:spPr>
                </pic:pic>
              </a:graphicData>
            </a:graphic>
          </wp:anchor>
        </w:drawing>
      </w:r>
      <w:r>
        <w:t xml:space="preserve">Wines are highly differentiated consumer products. They vary by, </w:t>
      </w:r>
      <w:r>
        <w:rPr>
          <w:i/>
        </w:rPr>
        <w:t>inter alia</w:t>
      </w:r>
      <w:r>
        <w:t>, grape type and blends, viticulture (cultivation or winegrowing), the terroir, geography and the climate of the region the grapes were grown in,</w:t>
      </w:r>
      <w:r>
        <w:t xml:space="preserve"> year of harvest and production, vinification (winemaking) and consumer perceptions such as taste and status symbolism, marketing and brand reputation. Price is closely linked to these characteristics.</w:t>
      </w:r>
    </w:p>
    <w:p w14:paraId="51DE7BC1" w14:textId="77777777" w:rsidR="0010369C" w:rsidRDefault="008E43AE">
      <w:pPr>
        <w:pStyle w:val="BodyText"/>
        <w:spacing w:before="160" w:line="360" w:lineRule="auto"/>
        <w:ind w:left="237" w:right="194" w:firstLine="852"/>
        <w:jc w:val="both"/>
      </w:pPr>
      <w:r>
        <w:rPr>
          <w:noProof/>
        </w:rPr>
        <w:drawing>
          <wp:anchor distT="0" distB="0" distL="0" distR="0" simplePos="0" relativeHeight="250703360" behindDoc="1" locked="0" layoutInCell="1" allowOverlap="1" wp14:anchorId="51DE9D14" wp14:editId="51DE9D15">
            <wp:simplePos x="0" y="0"/>
            <wp:positionH relativeFrom="page">
              <wp:posOffset>899160</wp:posOffset>
            </wp:positionH>
            <wp:positionV relativeFrom="paragraph">
              <wp:posOffset>150529</wp:posOffset>
            </wp:positionV>
            <wp:extent cx="109728" cy="100753"/>
            <wp:effectExtent l="0" t="0" r="0" b="0"/>
            <wp:wrapNone/>
            <wp:docPr id="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png"/>
                    <pic:cNvPicPr/>
                  </pic:nvPicPr>
                  <pic:blipFill>
                    <a:blip r:embed="rId31" cstate="print"/>
                    <a:stretch>
                      <a:fillRect/>
                    </a:stretch>
                  </pic:blipFill>
                  <pic:spPr>
                    <a:xfrm>
                      <a:off x="0" y="0"/>
                      <a:ext cx="109728" cy="100753"/>
                    </a:xfrm>
                    <a:prstGeom prst="rect">
                      <a:avLst/>
                    </a:prstGeom>
                  </pic:spPr>
                </pic:pic>
              </a:graphicData>
            </a:graphic>
          </wp:anchor>
        </w:drawing>
      </w:r>
      <w:r>
        <w:t>Price is often used by consumers as an indicator of t</w:t>
      </w:r>
      <w:r>
        <w:t>he quality of the product, with prices between low and high‐quality wines varying greatly because of the substantial value placed</w:t>
      </w:r>
      <w:r>
        <w:rPr>
          <w:spacing w:val="-14"/>
        </w:rPr>
        <w:t xml:space="preserve"> </w:t>
      </w:r>
      <w:r>
        <w:t>on</w:t>
      </w:r>
      <w:r>
        <w:rPr>
          <w:spacing w:val="-14"/>
        </w:rPr>
        <w:t xml:space="preserve"> </w:t>
      </w:r>
      <w:r>
        <w:t>premium</w:t>
      </w:r>
      <w:r>
        <w:rPr>
          <w:spacing w:val="-13"/>
        </w:rPr>
        <w:t xml:space="preserve"> </w:t>
      </w:r>
      <w:r>
        <w:t>wines</w:t>
      </w:r>
      <w:r>
        <w:rPr>
          <w:spacing w:val="-14"/>
        </w:rPr>
        <w:t xml:space="preserve"> </w:t>
      </w:r>
      <w:r>
        <w:t>by</w:t>
      </w:r>
      <w:r>
        <w:rPr>
          <w:spacing w:val="-13"/>
        </w:rPr>
        <w:t xml:space="preserve"> </w:t>
      </w:r>
      <w:r>
        <w:t>consumers.</w:t>
      </w:r>
      <w:r>
        <w:rPr>
          <w:spacing w:val="-14"/>
        </w:rPr>
        <w:t xml:space="preserve"> </w:t>
      </w:r>
      <w:r>
        <w:t>Importantly,</w:t>
      </w:r>
      <w:r>
        <w:rPr>
          <w:spacing w:val="-13"/>
        </w:rPr>
        <w:t xml:space="preserve"> </w:t>
      </w:r>
      <w:r>
        <w:t>and</w:t>
      </w:r>
      <w:r>
        <w:rPr>
          <w:spacing w:val="-14"/>
        </w:rPr>
        <w:t xml:space="preserve"> </w:t>
      </w:r>
      <w:r>
        <w:t>as</w:t>
      </w:r>
      <w:r>
        <w:rPr>
          <w:spacing w:val="-14"/>
        </w:rPr>
        <w:t xml:space="preserve"> </w:t>
      </w:r>
      <w:r>
        <w:t>Australia</w:t>
      </w:r>
      <w:r>
        <w:rPr>
          <w:spacing w:val="-13"/>
        </w:rPr>
        <w:t xml:space="preserve"> </w:t>
      </w:r>
      <w:r>
        <w:t>will</w:t>
      </w:r>
      <w:r>
        <w:rPr>
          <w:spacing w:val="-14"/>
        </w:rPr>
        <w:t xml:space="preserve"> </w:t>
      </w:r>
      <w:r>
        <w:t>demonstrate,</w:t>
      </w:r>
      <w:r>
        <w:rPr>
          <w:spacing w:val="-13"/>
        </w:rPr>
        <w:t xml:space="preserve"> </w:t>
      </w:r>
      <w:r>
        <w:t xml:space="preserve">there is little or no competitive relationship between the high‐price and low‐price segments of the </w:t>
      </w:r>
      <w:r>
        <w:rPr>
          <w:spacing w:val="-2"/>
        </w:rPr>
        <w:t>market.</w:t>
      </w:r>
    </w:p>
    <w:p w14:paraId="51DE7BC2" w14:textId="77777777" w:rsidR="0010369C" w:rsidRDefault="008E43AE">
      <w:pPr>
        <w:pStyle w:val="BodyText"/>
        <w:spacing w:before="161" w:line="360" w:lineRule="auto"/>
        <w:ind w:left="238" w:right="193" w:firstLine="851"/>
        <w:jc w:val="both"/>
      </w:pPr>
      <w:r>
        <w:rPr>
          <w:noProof/>
        </w:rPr>
        <w:drawing>
          <wp:anchor distT="0" distB="0" distL="0" distR="0" simplePos="0" relativeHeight="250704384" behindDoc="1" locked="0" layoutInCell="1" allowOverlap="1" wp14:anchorId="51DE9D16" wp14:editId="51DE9D17">
            <wp:simplePos x="0" y="0"/>
            <wp:positionH relativeFrom="page">
              <wp:posOffset>902208</wp:posOffset>
            </wp:positionH>
            <wp:positionV relativeFrom="paragraph">
              <wp:posOffset>147524</wp:posOffset>
            </wp:positionV>
            <wp:extent cx="106679" cy="106679"/>
            <wp:effectExtent l="0" t="0" r="0" b="0"/>
            <wp:wrapNone/>
            <wp:docPr id="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8.png"/>
                    <pic:cNvPicPr/>
                  </pic:nvPicPr>
                  <pic:blipFill>
                    <a:blip r:embed="rId32" cstate="print"/>
                    <a:stretch>
                      <a:fillRect/>
                    </a:stretch>
                  </pic:blipFill>
                  <pic:spPr>
                    <a:xfrm>
                      <a:off x="0" y="0"/>
                      <a:ext cx="106679" cy="106679"/>
                    </a:xfrm>
                    <a:prstGeom prst="rect">
                      <a:avLst/>
                    </a:prstGeom>
                  </pic:spPr>
                </pic:pic>
              </a:graphicData>
            </a:graphic>
          </wp:anchor>
        </w:drawing>
      </w:r>
      <w:r>
        <w:t>In the Chinese market, the quality of Australian wines and the focus of Australian exporters</w:t>
      </w:r>
      <w:r>
        <w:rPr>
          <w:spacing w:val="4"/>
        </w:rPr>
        <w:t xml:space="preserve"> </w:t>
      </w:r>
      <w:r>
        <w:t>on</w:t>
      </w:r>
      <w:r>
        <w:rPr>
          <w:spacing w:val="7"/>
        </w:rPr>
        <w:t xml:space="preserve"> </w:t>
      </w:r>
      <w:r>
        <w:t>the</w:t>
      </w:r>
      <w:r>
        <w:rPr>
          <w:spacing w:val="8"/>
        </w:rPr>
        <w:t xml:space="preserve"> </w:t>
      </w:r>
      <w:r>
        <w:t>higher</w:t>
      </w:r>
      <w:r>
        <w:rPr>
          <w:spacing w:val="7"/>
        </w:rPr>
        <w:t xml:space="preserve"> </w:t>
      </w:r>
      <w:r>
        <w:t>end</w:t>
      </w:r>
      <w:r>
        <w:rPr>
          <w:spacing w:val="7"/>
        </w:rPr>
        <w:t xml:space="preserve"> </w:t>
      </w:r>
      <w:r>
        <w:t>of</w:t>
      </w:r>
      <w:r>
        <w:rPr>
          <w:spacing w:val="7"/>
        </w:rPr>
        <w:t xml:space="preserve"> </w:t>
      </w:r>
      <w:r>
        <w:t>the</w:t>
      </w:r>
      <w:r>
        <w:rPr>
          <w:spacing w:val="6"/>
        </w:rPr>
        <w:t xml:space="preserve"> </w:t>
      </w:r>
      <w:r>
        <w:t>market</w:t>
      </w:r>
      <w:r>
        <w:rPr>
          <w:spacing w:val="7"/>
        </w:rPr>
        <w:t xml:space="preserve"> </w:t>
      </w:r>
      <w:r>
        <w:t>is</w:t>
      </w:r>
      <w:r>
        <w:rPr>
          <w:spacing w:val="6"/>
        </w:rPr>
        <w:t xml:space="preserve"> </w:t>
      </w:r>
      <w:r>
        <w:t>reflected</w:t>
      </w:r>
      <w:r>
        <w:rPr>
          <w:spacing w:val="6"/>
        </w:rPr>
        <w:t xml:space="preserve"> </w:t>
      </w:r>
      <w:r>
        <w:t>in</w:t>
      </w:r>
      <w:r>
        <w:rPr>
          <w:spacing w:val="7"/>
        </w:rPr>
        <w:t xml:space="preserve"> </w:t>
      </w:r>
      <w:r>
        <w:t>the</w:t>
      </w:r>
      <w:r>
        <w:rPr>
          <w:spacing w:val="8"/>
        </w:rPr>
        <w:t xml:space="preserve"> </w:t>
      </w:r>
      <w:r>
        <w:t>av</w:t>
      </w:r>
      <w:r>
        <w:t>erage</w:t>
      </w:r>
      <w:r>
        <w:rPr>
          <w:spacing w:val="7"/>
        </w:rPr>
        <w:t xml:space="preserve"> </w:t>
      </w:r>
      <w:r>
        <w:t>prices</w:t>
      </w:r>
      <w:r>
        <w:rPr>
          <w:spacing w:val="6"/>
        </w:rPr>
        <w:t xml:space="preserve"> </w:t>
      </w:r>
      <w:r>
        <w:t>of</w:t>
      </w:r>
      <w:r>
        <w:rPr>
          <w:spacing w:val="7"/>
        </w:rPr>
        <w:t xml:space="preserve"> </w:t>
      </w:r>
      <w:r>
        <w:t>those</w:t>
      </w:r>
      <w:r>
        <w:rPr>
          <w:spacing w:val="8"/>
        </w:rPr>
        <w:t xml:space="preserve"> </w:t>
      </w:r>
      <w:r>
        <w:rPr>
          <w:spacing w:val="-2"/>
        </w:rPr>
        <w:t>wines.</w:t>
      </w:r>
    </w:p>
    <w:p w14:paraId="51DE7BC3" w14:textId="77777777" w:rsidR="0010369C" w:rsidRDefault="0010369C">
      <w:pPr>
        <w:pStyle w:val="BodyText"/>
        <w:rPr>
          <w:sz w:val="20"/>
        </w:rPr>
      </w:pPr>
    </w:p>
    <w:p w14:paraId="51DE7BC4" w14:textId="77777777" w:rsidR="0010369C" w:rsidRDefault="008E43AE">
      <w:pPr>
        <w:pStyle w:val="BodyText"/>
        <w:spacing w:before="7"/>
        <w:rPr>
          <w:sz w:val="14"/>
        </w:rPr>
      </w:pPr>
      <w:r>
        <w:pict w14:anchorId="51DE9D18">
          <v:rect id="docshape58" o:spid="_x0000_s3197" style="position:absolute;margin-left:70.9pt;margin-top:10.1pt;width:2in;height:.8pt;z-index:-251261440;mso-wrap-distance-left:0;mso-wrap-distance-right:0;mso-position-horizontal-relative:page" fillcolor="black" stroked="f">
            <w10:wrap type="topAndBottom" anchorx="page"/>
          </v:rect>
        </w:pict>
      </w:r>
    </w:p>
    <w:p w14:paraId="51DE7BC5" w14:textId="77777777" w:rsidR="0010369C" w:rsidRDefault="008E43AE">
      <w:pPr>
        <w:spacing w:before="109"/>
        <w:ind w:left="239" w:right="193" w:hanging="1"/>
        <w:jc w:val="both"/>
        <w:rPr>
          <w:sz w:val="18"/>
        </w:rPr>
      </w:pPr>
      <w:bookmarkStart w:id="1" w:name="_bookmark0"/>
      <w:bookmarkEnd w:id="1"/>
      <w:r>
        <w:rPr>
          <w:sz w:val="18"/>
          <w:vertAlign w:val="superscript"/>
        </w:rPr>
        <w:t>1</w:t>
      </w:r>
      <w:r>
        <w:rPr>
          <w:sz w:val="18"/>
        </w:rPr>
        <w:t xml:space="preserve"> In this Submission, Australia refers to "wines" as "wines in containers holding 2 litres or less originating in Australia" as defined by MOFCOM in Anti‐Dumping Final Determination Announcement (Exhibit AUS‐1) and Anti‐Dump</w:t>
      </w:r>
      <w:r>
        <w:rPr>
          <w:sz w:val="18"/>
        </w:rPr>
        <w:t>ing Final Determination (Exhibit AUS‐2).</w:t>
      </w:r>
    </w:p>
    <w:p w14:paraId="51DE7BC6" w14:textId="77777777" w:rsidR="0010369C" w:rsidRDefault="0010369C">
      <w:pPr>
        <w:jc w:val="both"/>
        <w:rPr>
          <w:sz w:val="18"/>
        </w:rPr>
        <w:sectPr w:rsidR="0010369C">
          <w:headerReference w:type="default" r:id="rId33"/>
          <w:footerReference w:type="default" r:id="rId34"/>
          <w:pgSz w:w="11910" w:h="16840"/>
          <w:pgMar w:top="560" w:right="1220" w:bottom="280" w:left="1180" w:header="0" w:footer="0" w:gutter="0"/>
          <w:cols w:space="720"/>
        </w:sectPr>
      </w:pPr>
    </w:p>
    <w:p w14:paraId="51DE7BC7" w14:textId="77777777" w:rsidR="0010369C" w:rsidRDefault="008E43AE">
      <w:pPr>
        <w:tabs>
          <w:tab w:val="left" w:pos="6426"/>
        </w:tabs>
        <w:ind w:left="238"/>
        <w:jc w:val="both"/>
        <w:rPr>
          <w:sz w:val="20"/>
        </w:rPr>
      </w:pPr>
      <w:r>
        <w:rPr>
          <w:i/>
          <w:sz w:val="20"/>
        </w:rPr>
        <w:lastRenderedPageBreak/>
        <w:t>China</w:t>
      </w:r>
      <w:r>
        <w:rPr>
          <w:i/>
          <w:spacing w:val="-5"/>
          <w:sz w:val="20"/>
        </w:rPr>
        <w:t xml:space="preserve"> </w:t>
      </w:r>
      <w:r>
        <w:rPr>
          <w:i/>
          <w:sz w:val="20"/>
        </w:rPr>
        <w:t>–</w:t>
      </w:r>
      <w:r>
        <w:rPr>
          <w:i/>
          <w:spacing w:val="-5"/>
          <w:sz w:val="20"/>
        </w:rPr>
        <w:t xml:space="preserve"> </w:t>
      </w:r>
      <w:r>
        <w:rPr>
          <w:i/>
          <w:sz w:val="20"/>
        </w:rPr>
        <w:t>Anti‐Dumping</w:t>
      </w:r>
      <w:r>
        <w:rPr>
          <w:i/>
          <w:spacing w:val="-4"/>
          <w:sz w:val="20"/>
        </w:rPr>
        <w:t xml:space="preserve"> </w:t>
      </w:r>
      <w:r>
        <w:rPr>
          <w:i/>
          <w:sz w:val="20"/>
        </w:rPr>
        <w:t>and</w:t>
      </w:r>
      <w:r>
        <w:rPr>
          <w:i/>
          <w:spacing w:val="-5"/>
          <w:sz w:val="20"/>
        </w:rPr>
        <w:t xml:space="preserve"> </w:t>
      </w:r>
      <w:r>
        <w:rPr>
          <w:i/>
          <w:sz w:val="20"/>
        </w:rPr>
        <w:t>Countervailing</w:t>
      </w:r>
      <w:r>
        <w:rPr>
          <w:i/>
          <w:spacing w:val="-5"/>
          <w:sz w:val="20"/>
        </w:rPr>
        <w:t xml:space="preserve"> </w:t>
      </w:r>
      <w:r>
        <w:rPr>
          <w:i/>
          <w:sz w:val="20"/>
        </w:rPr>
        <w:t>Duty</w:t>
      </w:r>
      <w:r>
        <w:rPr>
          <w:i/>
          <w:spacing w:val="-4"/>
          <w:sz w:val="20"/>
        </w:rPr>
        <w:t xml:space="preserve"> </w:t>
      </w:r>
      <w:r>
        <w:rPr>
          <w:i/>
          <w:spacing w:val="-2"/>
          <w:sz w:val="20"/>
        </w:rPr>
        <w:t>Measures</w:t>
      </w:r>
      <w:r>
        <w:rPr>
          <w:i/>
          <w:sz w:val="20"/>
        </w:rPr>
        <w:tab/>
      </w:r>
      <w:r>
        <w:rPr>
          <w:sz w:val="20"/>
        </w:rPr>
        <w:t>Australia's</w:t>
      </w:r>
      <w:r>
        <w:rPr>
          <w:spacing w:val="-7"/>
          <w:sz w:val="20"/>
        </w:rPr>
        <w:t xml:space="preserve"> </w:t>
      </w:r>
      <w:r>
        <w:rPr>
          <w:sz w:val="20"/>
        </w:rPr>
        <w:t>First</w:t>
      </w:r>
      <w:r>
        <w:rPr>
          <w:spacing w:val="-2"/>
          <w:sz w:val="20"/>
        </w:rPr>
        <w:t xml:space="preserve"> </w:t>
      </w:r>
      <w:r>
        <w:rPr>
          <w:sz w:val="20"/>
        </w:rPr>
        <w:t>Written</w:t>
      </w:r>
      <w:r>
        <w:rPr>
          <w:spacing w:val="-2"/>
          <w:sz w:val="20"/>
        </w:rPr>
        <w:t xml:space="preserve"> Submission</w:t>
      </w:r>
    </w:p>
    <w:p w14:paraId="51DE7BC8" w14:textId="77777777" w:rsidR="0010369C" w:rsidRDefault="008E43AE">
      <w:pPr>
        <w:tabs>
          <w:tab w:val="left" w:pos="8228"/>
        </w:tabs>
        <w:spacing w:before="1"/>
        <w:ind w:left="239"/>
        <w:jc w:val="both"/>
        <w:rPr>
          <w:sz w:val="20"/>
        </w:rPr>
      </w:pPr>
      <w:r>
        <w:rPr>
          <w:i/>
          <w:sz w:val="20"/>
        </w:rPr>
        <w:t>on</w:t>
      </w:r>
      <w:r>
        <w:rPr>
          <w:i/>
          <w:spacing w:val="-1"/>
          <w:sz w:val="20"/>
        </w:rPr>
        <w:t xml:space="preserve"> </w:t>
      </w:r>
      <w:r>
        <w:rPr>
          <w:i/>
          <w:sz w:val="20"/>
        </w:rPr>
        <w:t>Wine</w:t>
      </w:r>
      <w:r>
        <w:rPr>
          <w:i/>
          <w:spacing w:val="-1"/>
          <w:sz w:val="20"/>
        </w:rPr>
        <w:t xml:space="preserve"> </w:t>
      </w:r>
      <w:r>
        <w:rPr>
          <w:i/>
          <w:sz w:val="20"/>
        </w:rPr>
        <w:t>from</w:t>
      </w:r>
      <w:r>
        <w:rPr>
          <w:i/>
          <w:spacing w:val="-3"/>
          <w:sz w:val="20"/>
        </w:rPr>
        <w:t xml:space="preserve"> </w:t>
      </w:r>
      <w:r>
        <w:rPr>
          <w:i/>
          <w:sz w:val="20"/>
        </w:rPr>
        <w:t>Australia</w:t>
      </w:r>
      <w:r>
        <w:rPr>
          <w:i/>
          <w:spacing w:val="-1"/>
          <w:sz w:val="20"/>
        </w:rPr>
        <w:t xml:space="preserve"> </w:t>
      </w:r>
      <w:r>
        <w:rPr>
          <w:spacing w:val="-2"/>
          <w:sz w:val="20"/>
        </w:rPr>
        <w:t>(DS602)</w:t>
      </w:r>
      <w:r>
        <w:rPr>
          <w:sz w:val="20"/>
        </w:rPr>
        <w:tab/>
        <w:t>29</w:t>
      </w:r>
      <w:r>
        <w:rPr>
          <w:spacing w:val="-1"/>
          <w:sz w:val="20"/>
        </w:rPr>
        <w:t xml:space="preserve"> </w:t>
      </w:r>
      <w:r>
        <w:rPr>
          <w:sz w:val="20"/>
        </w:rPr>
        <w:t>April</w:t>
      </w:r>
      <w:r>
        <w:rPr>
          <w:spacing w:val="-2"/>
          <w:sz w:val="20"/>
        </w:rPr>
        <w:t xml:space="preserve"> </w:t>
      </w:r>
      <w:r>
        <w:rPr>
          <w:spacing w:val="-4"/>
          <w:sz w:val="20"/>
        </w:rPr>
        <w:t>2022</w:t>
      </w:r>
    </w:p>
    <w:p w14:paraId="51DE7BC9" w14:textId="77777777" w:rsidR="0010369C" w:rsidRDefault="008E43AE">
      <w:pPr>
        <w:pStyle w:val="BodyText"/>
        <w:spacing w:before="34" w:line="360" w:lineRule="auto"/>
        <w:ind w:left="237" w:right="194" w:firstLine="1"/>
        <w:jc w:val="both"/>
      </w:pPr>
      <w:r>
        <w:t>During the injury investigation period (1</w:t>
      </w:r>
      <w:r>
        <w:rPr>
          <w:spacing w:val="-3"/>
        </w:rPr>
        <w:t xml:space="preserve"> </w:t>
      </w:r>
      <w:r>
        <w:t>January</w:t>
      </w:r>
      <w:r>
        <w:rPr>
          <w:spacing w:val="-3"/>
        </w:rPr>
        <w:t xml:space="preserve"> </w:t>
      </w:r>
      <w:r>
        <w:t>2015 to 31</w:t>
      </w:r>
      <w:r>
        <w:rPr>
          <w:spacing w:val="-3"/>
        </w:rPr>
        <w:t xml:space="preserve"> </w:t>
      </w:r>
      <w:r>
        <w:t>December</w:t>
      </w:r>
      <w:r>
        <w:rPr>
          <w:spacing w:val="-1"/>
        </w:rPr>
        <w:t xml:space="preserve"> </w:t>
      </w:r>
      <w:r>
        <w:t>2019), the average price exceeded both the average price of Chinese wines and the average price of all other imported wines.</w:t>
      </w:r>
    </w:p>
    <w:p w14:paraId="51DE7BCA" w14:textId="77777777" w:rsidR="0010369C" w:rsidRDefault="0010369C">
      <w:pPr>
        <w:pStyle w:val="BodyText"/>
        <w:spacing w:before="11"/>
        <w:rPr>
          <w:sz w:val="8"/>
        </w:rPr>
      </w:pPr>
    </w:p>
    <w:p w14:paraId="51DE7BCB" w14:textId="77777777" w:rsidR="0010369C" w:rsidRDefault="008E43AE">
      <w:pPr>
        <w:pStyle w:val="BodyText"/>
        <w:spacing w:before="52" w:line="360" w:lineRule="auto"/>
        <w:ind w:left="236" w:right="192" w:firstLine="852"/>
        <w:jc w:val="both"/>
      </w:pPr>
      <w:r>
        <w:rPr>
          <w:noProof/>
        </w:rPr>
        <w:drawing>
          <wp:anchor distT="0" distB="0" distL="0" distR="0" simplePos="0" relativeHeight="250705408" behindDoc="1" locked="0" layoutInCell="1" allowOverlap="1" wp14:anchorId="51DE9D19" wp14:editId="51DE9D1A">
            <wp:simplePos x="0" y="0"/>
            <wp:positionH relativeFrom="page">
              <wp:posOffset>905255</wp:posOffset>
            </wp:positionH>
            <wp:positionV relativeFrom="paragraph">
              <wp:posOffset>80595</wp:posOffset>
            </wp:positionV>
            <wp:extent cx="103631" cy="103631"/>
            <wp:effectExtent l="0" t="0" r="0" b="0"/>
            <wp:wrapNone/>
            <wp:docPr id="11"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9.png"/>
                    <pic:cNvPicPr/>
                  </pic:nvPicPr>
                  <pic:blipFill>
                    <a:blip r:embed="rId35" cstate="print"/>
                    <a:stretch>
                      <a:fillRect/>
                    </a:stretch>
                  </pic:blipFill>
                  <pic:spPr>
                    <a:xfrm>
                      <a:off x="0" y="0"/>
                      <a:ext cx="103631" cy="103631"/>
                    </a:xfrm>
                    <a:prstGeom prst="rect">
                      <a:avLst/>
                    </a:prstGeom>
                  </pic:spPr>
                </pic:pic>
              </a:graphicData>
            </a:graphic>
          </wp:anchor>
        </w:drawing>
      </w:r>
      <w:r>
        <w:t>The Chinese wine industry is still developing, and its wine</w:t>
      </w:r>
      <w:r>
        <w:t>s tend to be sold at the lower</w:t>
      </w:r>
      <w:r>
        <w:rPr>
          <w:spacing w:val="-3"/>
        </w:rPr>
        <w:t xml:space="preserve"> </w:t>
      </w:r>
      <w:r>
        <w:t>end</w:t>
      </w:r>
      <w:r>
        <w:rPr>
          <w:spacing w:val="-4"/>
        </w:rPr>
        <w:t xml:space="preserve"> </w:t>
      </w:r>
      <w:r>
        <w:t>of</w:t>
      </w:r>
      <w:r>
        <w:rPr>
          <w:spacing w:val="-4"/>
        </w:rPr>
        <w:t xml:space="preserve"> </w:t>
      </w:r>
      <w:r>
        <w:t>the</w:t>
      </w:r>
      <w:r>
        <w:rPr>
          <w:spacing w:val="-3"/>
        </w:rPr>
        <w:t xml:space="preserve"> </w:t>
      </w:r>
      <w:r>
        <w:t>market.</w:t>
      </w:r>
      <w:r>
        <w:rPr>
          <w:spacing w:val="-4"/>
        </w:rPr>
        <w:t xml:space="preserve"> </w:t>
      </w:r>
      <w:r>
        <w:t>China</w:t>
      </w:r>
      <w:r>
        <w:rPr>
          <w:spacing w:val="-4"/>
        </w:rPr>
        <w:t xml:space="preserve"> </w:t>
      </w:r>
      <w:r>
        <w:t>does</w:t>
      </w:r>
      <w:r>
        <w:rPr>
          <w:spacing w:val="-5"/>
        </w:rPr>
        <w:t xml:space="preserve"> </w:t>
      </w:r>
      <w:r>
        <w:t>not</w:t>
      </w:r>
      <w:r>
        <w:rPr>
          <w:spacing w:val="-4"/>
        </w:rPr>
        <w:t xml:space="preserve"> </w:t>
      </w:r>
      <w:r>
        <w:t>produce</w:t>
      </w:r>
      <w:r>
        <w:rPr>
          <w:spacing w:val="-3"/>
        </w:rPr>
        <w:t xml:space="preserve"> </w:t>
      </w:r>
      <w:r>
        <w:t>meaningful</w:t>
      </w:r>
      <w:r>
        <w:rPr>
          <w:spacing w:val="-4"/>
        </w:rPr>
        <w:t xml:space="preserve"> </w:t>
      </w:r>
      <w:r>
        <w:t>quantities</w:t>
      </w:r>
      <w:r>
        <w:rPr>
          <w:spacing w:val="-3"/>
        </w:rPr>
        <w:t xml:space="preserve"> </w:t>
      </w:r>
      <w:r>
        <w:t>of</w:t>
      </w:r>
      <w:r>
        <w:rPr>
          <w:spacing w:val="-4"/>
        </w:rPr>
        <w:t xml:space="preserve"> </w:t>
      </w:r>
      <w:r>
        <w:t>high‐quality</w:t>
      </w:r>
      <w:r>
        <w:rPr>
          <w:spacing w:val="-3"/>
        </w:rPr>
        <w:t xml:space="preserve"> </w:t>
      </w:r>
      <w:r>
        <w:t>wines that compete with Australian wines and high quality‐wines from other countries. Reflecting this reality, during the injury investigation pe</w:t>
      </w:r>
      <w:r>
        <w:t>riod, the majority of wines sold in China were imported. Based on MOFCOM's own estimate,</w:t>
      </w:r>
      <w:r>
        <w:rPr>
          <w:spacing w:val="-1"/>
        </w:rPr>
        <w:t xml:space="preserve"> </w:t>
      </w:r>
      <w:r>
        <w:t>sales of Chinese domestically produced wines represented between 24% to 32% of annual apparent consumption when measured by volume. At all times during that period, Australian wines accounted for a relatively small amount of the total volume of imported wi</w:t>
      </w:r>
      <w:r>
        <w:t>ne, and the total volume of Australian wine was significantly less than the total volume of sales by Chinese domestic producers.</w:t>
      </w:r>
    </w:p>
    <w:p w14:paraId="51DE7BCC" w14:textId="77777777" w:rsidR="0010369C" w:rsidRDefault="0010369C">
      <w:pPr>
        <w:pStyle w:val="BodyText"/>
        <w:spacing w:before="10"/>
        <w:rPr>
          <w:sz w:val="8"/>
        </w:rPr>
      </w:pPr>
    </w:p>
    <w:p w14:paraId="51DE7BCD" w14:textId="77777777" w:rsidR="0010369C" w:rsidRDefault="008E43AE">
      <w:pPr>
        <w:pStyle w:val="BodyText"/>
        <w:spacing w:before="52" w:line="360" w:lineRule="auto"/>
        <w:ind w:left="236" w:right="193" w:firstLine="852"/>
        <w:jc w:val="both"/>
      </w:pPr>
      <w:r>
        <w:rPr>
          <w:noProof/>
        </w:rPr>
        <w:drawing>
          <wp:anchor distT="0" distB="0" distL="0" distR="0" simplePos="0" relativeHeight="250706432" behindDoc="1" locked="0" layoutInCell="1" allowOverlap="1" wp14:anchorId="51DE9D1B" wp14:editId="51DE9D1C">
            <wp:simplePos x="0" y="0"/>
            <wp:positionH relativeFrom="page">
              <wp:posOffset>908134</wp:posOffset>
            </wp:positionH>
            <wp:positionV relativeFrom="paragraph">
              <wp:posOffset>82711</wp:posOffset>
            </wp:positionV>
            <wp:extent cx="100753" cy="100753"/>
            <wp:effectExtent l="0" t="0" r="0" b="0"/>
            <wp:wrapNone/>
            <wp:docPr id="13"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0.png"/>
                    <pic:cNvPicPr/>
                  </pic:nvPicPr>
                  <pic:blipFill>
                    <a:blip r:embed="rId36" cstate="print"/>
                    <a:stretch>
                      <a:fillRect/>
                    </a:stretch>
                  </pic:blipFill>
                  <pic:spPr>
                    <a:xfrm>
                      <a:off x="0" y="0"/>
                      <a:ext cx="100753" cy="100753"/>
                    </a:xfrm>
                    <a:prstGeom prst="rect">
                      <a:avLst/>
                    </a:prstGeom>
                  </pic:spPr>
                </pic:pic>
              </a:graphicData>
            </a:graphic>
          </wp:anchor>
        </w:drawing>
      </w:r>
      <w:r>
        <w:t>The market for Chinese imports of Australian wines went through a period of significant change during the injury investigatio</w:t>
      </w:r>
      <w:r>
        <w:t>n period. For example, one factor was the entry</w:t>
      </w:r>
      <w:r>
        <w:rPr>
          <w:spacing w:val="-11"/>
        </w:rPr>
        <w:t xml:space="preserve"> </w:t>
      </w:r>
      <w:r>
        <w:t>into</w:t>
      </w:r>
      <w:r>
        <w:rPr>
          <w:spacing w:val="-9"/>
        </w:rPr>
        <w:t xml:space="preserve"> </w:t>
      </w:r>
      <w:r>
        <w:t>force</w:t>
      </w:r>
      <w:r>
        <w:rPr>
          <w:spacing w:val="-10"/>
        </w:rPr>
        <w:t xml:space="preserve"> </w:t>
      </w:r>
      <w:r>
        <w:t>of</w:t>
      </w:r>
      <w:r>
        <w:rPr>
          <w:spacing w:val="-10"/>
        </w:rPr>
        <w:t xml:space="preserve"> </w:t>
      </w:r>
      <w:r>
        <w:t>the</w:t>
      </w:r>
      <w:r>
        <w:rPr>
          <w:spacing w:val="-9"/>
        </w:rPr>
        <w:t xml:space="preserve"> </w:t>
      </w:r>
      <w:r>
        <w:t>China‐Australia</w:t>
      </w:r>
      <w:r>
        <w:rPr>
          <w:spacing w:val="-11"/>
        </w:rPr>
        <w:t xml:space="preserve"> </w:t>
      </w:r>
      <w:r>
        <w:t>Free</w:t>
      </w:r>
      <w:r>
        <w:rPr>
          <w:spacing w:val="-10"/>
        </w:rPr>
        <w:t xml:space="preserve"> </w:t>
      </w:r>
      <w:r>
        <w:t>Trade</w:t>
      </w:r>
      <w:r>
        <w:rPr>
          <w:spacing w:val="-10"/>
        </w:rPr>
        <w:t xml:space="preserve"> </w:t>
      </w:r>
      <w:r>
        <w:t>Agreement</w:t>
      </w:r>
      <w:r>
        <w:rPr>
          <w:spacing w:val="-13"/>
        </w:rPr>
        <w:t xml:space="preserve"> </w:t>
      </w:r>
      <w:r>
        <w:t>on</w:t>
      </w:r>
      <w:r>
        <w:rPr>
          <w:spacing w:val="-10"/>
        </w:rPr>
        <w:t xml:space="preserve"> </w:t>
      </w:r>
      <w:r>
        <w:t>20</w:t>
      </w:r>
      <w:r>
        <w:rPr>
          <w:spacing w:val="-11"/>
        </w:rPr>
        <w:t xml:space="preserve"> </w:t>
      </w:r>
      <w:r>
        <w:t>December</w:t>
      </w:r>
      <w:r>
        <w:rPr>
          <w:spacing w:val="-10"/>
        </w:rPr>
        <w:t xml:space="preserve"> </w:t>
      </w:r>
      <w:r>
        <w:t>2015</w:t>
      </w:r>
      <w:r>
        <w:rPr>
          <w:spacing w:val="-10"/>
        </w:rPr>
        <w:t xml:space="preserve"> </w:t>
      </w:r>
      <w:r>
        <w:t>(ChAFTA). ChAFTA provided for the progressive elimination of Chinese tariffs on Australian wine beginning at its entry into force, un</w:t>
      </w:r>
      <w:r>
        <w:t>til their complete elimination on 1</w:t>
      </w:r>
      <w:r>
        <w:rPr>
          <w:spacing w:val="-3"/>
        </w:rPr>
        <w:t xml:space="preserve"> </w:t>
      </w:r>
      <w:r>
        <w:t>January</w:t>
      </w:r>
      <w:r>
        <w:rPr>
          <w:spacing w:val="-3"/>
        </w:rPr>
        <w:t xml:space="preserve"> </w:t>
      </w:r>
      <w:r>
        <w:t>2019. This led to a significant change in the competitiveness of Australian wine within the Chinese market vis‐à‐vis other comparable wines. China's tariffs on Australian wines fell from 14% in December</w:t>
      </w:r>
      <w:r>
        <w:rPr>
          <w:spacing w:val="-1"/>
        </w:rPr>
        <w:t xml:space="preserve"> </w:t>
      </w:r>
      <w:r>
        <w:t>2015 to 0</w:t>
      </w:r>
      <w:r>
        <w:t>% in January</w:t>
      </w:r>
      <w:r>
        <w:rPr>
          <w:spacing w:val="-2"/>
        </w:rPr>
        <w:t xml:space="preserve"> </w:t>
      </w:r>
      <w:r>
        <w:t>2019. This coincided with an increase in the volume of Australian wines imported into China.</w:t>
      </w:r>
    </w:p>
    <w:p w14:paraId="51DE7BCE" w14:textId="77777777" w:rsidR="0010369C" w:rsidRDefault="008E43AE">
      <w:pPr>
        <w:pStyle w:val="Heading4"/>
        <w:numPr>
          <w:ilvl w:val="2"/>
          <w:numId w:val="80"/>
        </w:numPr>
        <w:tabs>
          <w:tab w:val="left" w:pos="2648"/>
          <w:tab w:val="left" w:pos="2649"/>
        </w:tabs>
        <w:jc w:val="both"/>
      </w:pPr>
      <w:bookmarkStart w:id="2" w:name="_TOC_250025"/>
      <w:r>
        <w:rPr>
          <w:spacing w:val="-2"/>
        </w:rPr>
        <w:t>MOFCOM's</w:t>
      </w:r>
      <w:r>
        <w:rPr>
          <w:spacing w:val="-1"/>
        </w:rPr>
        <w:t xml:space="preserve"> </w:t>
      </w:r>
      <w:r>
        <w:rPr>
          <w:spacing w:val="-2"/>
        </w:rPr>
        <w:t>dumping</w:t>
      </w:r>
      <w:r>
        <w:rPr>
          <w:spacing w:val="1"/>
        </w:rPr>
        <w:t xml:space="preserve"> </w:t>
      </w:r>
      <w:bookmarkEnd w:id="2"/>
      <w:r>
        <w:rPr>
          <w:spacing w:val="-2"/>
        </w:rPr>
        <w:t>determination</w:t>
      </w:r>
    </w:p>
    <w:p w14:paraId="51DE7BCF" w14:textId="77777777" w:rsidR="0010369C" w:rsidRDefault="0010369C">
      <w:pPr>
        <w:pStyle w:val="BodyText"/>
        <w:spacing w:before="10"/>
        <w:rPr>
          <w:b/>
          <w:sz w:val="20"/>
        </w:rPr>
      </w:pPr>
    </w:p>
    <w:p w14:paraId="51DE7BD0" w14:textId="77777777" w:rsidR="0010369C" w:rsidRDefault="008E43AE">
      <w:pPr>
        <w:pStyle w:val="BodyText"/>
        <w:spacing w:before="51" w:line="360" w:lineRule="auto"/>
        <w:ind w:left="236" w:right="193" w:firstLine="852"/>
        <w:jc w:val="both"/>
      </w:pPr>
      <w:r>
        <w:rPr>
          <w:noProof/>
        </w:rPr>
        <w:drawing>
          <wp:anchor distT="0" distB="0" distL="0" distR="0" simplePos="0" relativeHeight="250707456" behindDoc="1" locked="0" layoutInCell="1" allowOverlap="1" wp14:anchorId="51DE9D1D" wp14:editId="51DE9D1E">
            <wp:simplePos x="0" y="0"/>
            <wp:positionH relativeFrom="page">
              <wp:posOffset>902208</wp:posOffset>
            </wp:positionH>
            <wp:positionV relativeFrom="paragraph">
              <wp:posOffset>81314</wp:posOffset>
            </wp:positionV>
            <wp:extent cx="106679" cy="100753"/>
            <wp:effectExtent l="0" t="0" r="0" b="0"/>
            <wp:wrapNone/>
            <wp:docPr id="1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1.png"/>
                    <pic:cNvPicPr/>
                  </pic:nvPicPr>
                  <pic:blipFill>
                    <a:blip r:embed="rId37" cstate="print"/>
                    <a:stretch>
                      <a:fillRect/>
                    </a:stretch>
                  </pic:blipFill>
                  <pic:spPr>
                    <a:xfrm>
                      <a:off x="0" y="0"/>
                      <a:ext cx="106679" cy="100753"/>
                    </a:xfrm>
                    <a:prstGeom prst="rect">
                      <a:avLst/>
                    </a:prstGeom>
                  </pic:spPr>
                </pic:pic>
              </a:graphicData>
            </a:graphic>
          </wp:anchor>
        </w:drawing>
      </w:r>
      <w:r>
        <w:t>In section II, relating to MOFCOM's determination of dumping, Australia will demonstrate that China acted inconsistently with its WTO obligations under Articles 2.1, 2.2, 2.2.1, 2.2.1.1, 2.4, 6.8 and paragraphs 1, 3, 5, 6, and 7 of Annex II of the Anti‐Dum</w:t>
      </w:r>
      <w:r>
        <w:t>ping Agreement in the following respects:</w:t>
      </w:r>
    </w:p>
    <w:p w14:paraId="51DE7BD1" w14:textId="77777777" w:rsidR="0010369C" w:rsidRDefault="008E43AE">
      <w:pPr>
        <w:pStyle w:val="ListParagraph"/>
        <w:numPr>
          <w:ilvl w:val="0"/>
          <w:numId w:val="77"/>
        </w:numPr>
        <w:tabs>
          <w:tab w:val="left" w:pos="1938"/>
          <w:tab w:val="left" w:pos="1939"/>
        </w:tabs>
        <w:spacing w:before="161" w:line="357" w:lineRule="auto"/>
        <w:ind w:right="192" w:hanging="852"/>
        <w:rPr>
          <w:sz w:val="24"/>
        </w:rPr>
      </w:pPr>
      <w:r>
        <w:rPr>
          <w:i/>
          <w:sz w:val="24"/>
        </w:rPr>
        <w:t>First,</w:t>
      </w:r>
      <w:r>
        <w:rPr>
          <w:i/>
          <w:spacing w:val="-7"/>
          <w:sz w:val="24"/>
        </w:rPr>
        <w:t xml:space="preserve"> </w:t>
      </w:r>
      <w:r>
        <w:rPr>
          <w:sz w:val="24"/>
        </w:rPr>
        <w:t>MOFCOM</w:t>
      </w:r>
      <w:r>
        <w:rPr>
          <w:spacing w:val="-7"/>
          <w:sz w:val="24"/>
        </w:rPr>
        <w:t xml:space="preserve"> </w:t>
      </w:r>
      <w:r>
        <w:rPr>
          <w:sz w:val="24"/>
        </w:rPr>
        <w:t>failed</w:t>
      </w:r>
      <w:r>
        <w:rPr>
          <w:spacing w:val="-7"/>
          <w:sz w:val="24"/>
        </w:rPr>
        <w:t xml:space="preserve"> </w:t>
      </w:r>
      <w:r>
        <w:rPr>
          <w:sz w:val="24"/>
        </w:rPr>
        <w:t>to</w:t>
      </w:r>
      <w:r>
        <w:rPr>
          <w:spacing w:val="-7"/>
          <w:sz w:val="24"/>
        </w:rPr>
        <w:t xml:space="preserve"> </w:t>
      </w:r>
      <w:r>
        <w:rPr>
          <w:sz w:val="24"/>
        </w:rPr>
        <w:t>rely</w:t>
      </w:r>
      <w:r>
        <w:rPr>
          <w:spacing w:val="-7"/>
          <w:sz w:val="24"/>
        </w:rPr>
        <w:t xml:space="preserve"> </w:t>
      </w:r>
      <w:r>
        <w:rPr>
          <w:sz w:val="24"/>
        </w:rPr>
        <w:t>on</w:t>
      </w:r>
      <w:r>
        <w:rPr>
          <w:spacing w:val="-8"/>
          <w:sz w:val="24"/>
        </w:rPr>
        <w:t xml:space="preserve"> </w:t>
      </w:r>
      <w:r>
        <w:rPr>
          <w:sz w:val="24"/>
        </w:rPr>
        <w:t>the</w:t>
      </w:r>
      <w:r>
        <w:rPr>
          <w:spacing w:val="-7"/>
          <w:sz w:val="24"/>
        </w:rPr>
        <w:t xml:space="preserve"> </w:t>
      </w:r>
      <w:r>
        <w:rPr>
          <w:sz w:val="24"/>
        </w:rPr>
        <w:t>domestic</w:t>
      </w:r>
      <w:r>
        <w:rPr>
          <w:spacing w:val="-5"/>
          <w:sz w:val="24"/>
        </w:rPr>
        <w:t xml:space="preserve"> </w:t>
      </w:r>
      <w:r>
        <w:rPr>
          <w:sz w:val="24"/>
        </w:rPr>
        <w:t>sales</w:t>
      </w:r>
      <w:r>
        <w:rPr>
          <w:spacing w:val="-8"/>
          <w:sz w:val="24"/>
        </w:rPr>
        <w:t xml:space="preserve"> </w:t>
      </w:r>
      <w:r>
        <w:rPr>
          <w:sz w:val="24"/>
        </w:rPr>
        <w:t>reported</w:t>
      </w:r>
      <w:r>
        <w:rPr>
          <w:spacing w:val="-8"/>
          <w:sz w:val="24"/>
        </w:rPr>
        <w:t xml:space="preserve"> </w:t>
      </w:r>
      <w:r>
        <w:rPr>
          <w:sz w:val="24"/>
        </w:rPr>
        <w:t>by</w:t>
      </w:r>
      <w:r>
        <w:rPr>
          <w:spacing w:val="-7"/>
          <w:sz w:val="24"/>
        </w:rPr>
        <w:t xml:space="preserve"> </w:t>
      </w:r>
      <w:r>
        <w:rPr>
          <w:sz w:val="24"/>
        </w:rPr>
        <w:t>the</w:t>
      </w:r>
      <w:r>
        <w:rPr>
          <w:spacing w:val="-7"/>
          <w:sz w:val="24"/>
        </w:rPr>
        <w:t xml:space="preserve"> </w:t>
      </w:r>
      <w:r>
        <w:rPr>
          <w:sz w:val="24"/>
        </w:rPr>
        <w:t>sampled companies relevant to the calculation of each company's normal value. MOFCOM</w:t>
      </w:r>
      <w:r>
        <w:rPr>
          <w:spacing w:val="-11"/>
          <w:sz w:val="24"/>
        </w:rPr>
        <w:t xml:space="preserve"> </w:t>
      </w:r>
      <w:r>
        <w:rPr>
          <w:sz w:val="24"/>
        </w:rPr>
        <w:t>did</w:t>
      </w:r>
      <w:r>
        <w:rPr>
          <w:spacing w:val="-11"/>
          <w:sz w:val="24"/>
        </w:rPr>
        <w:t xml:space="preserve"> </w:t>
      </w:r>
      <w:r>
        <w:rPr>
          <w:sz w:val="24"/>
        </w:rPr>
        <w:t>not</w:t>
      </w:r>
      <w:r>
        <w:rPr>
          <w:spacing w:val="-11"/>
          <w:sz w:val="24"/>
        </w:rPr>
        <w:t xml:space="preserve"> </w:t>
      </w:r>
      <w:r>
        <w:rPr>
          <w:sz w:val="24"/>
        </w:rPr>
        <w:t>provide</w:t>
      </w:r>
      <w:r>
        <w:rPr>
          <w:spacing w:val="-10"/>
          <w:sz w:val="24"/>
        </w:rPr>
        <w:t xml:space="preserve"> </w:t>
      </w:r>
      <w:r>
        <w:rPr>
          <w:sz w:val="24"/>
        </w:rPr>
        <w:t>adequate</w:t>
      </w:r>
      <w:r>
        <w:rPr>
          <w:spacing w:val="-10"/>
          <w:sz w:val="24"/>
        </w:rPr>
        <w:t xml:space="preserve"> </w:t>
      </w:r>
      <w:r>
        <w:rPr>
          <w:sz w:val="24"/>
        </w:rPr>
        <w:t>justification</w:t>
      </w:r>
      <w:r>
        <w:rPr>
          <w:spacing w:val="-11"/>
          <w:sz w:val="24"/>
        </w:rPr>
        <w:t xml:space="preserve"> </w:t>
      </w:r>
      <w:r>
        <w:rPr>
          <w:sz w:val="24"/>
        </w:rPr>
        <w:t>for</w:t>
      </w:r>
      <w:r>
        <w:rPr>
          <w:spacing w:val="-11"/>
          <w:sz w:val="24"/>
        </w:rPr>
        <w:t xml:space="preserve"> </w:t>
      </w:r>
      <w:r>
        <w:rPr>
          <w:sz w:val="24"/>
        </w:rPr>
        <w:t>its</w:t>
      </w:r>
      <w:r>
        <w:rPr>
          <w:spacing w:val="-11"/>
          <w:sz w:val="24"/>
        </w:rPr>
        <w:t xml:space="preserve"> </w:t>
      </w:r>
      <w:r>
        <w:rPr>
          <w:sz w:val="24"/>
        </w:rPr>
        <w:t>rejection</w:t>
      </w:r>
      <w:r>
        <w:rPr>
          <w:spacing w:val="-12"/>
          <w:sz w:val="24"/>
        </w:rPr>
        <w:t xml:space="preserve"> </w:t>
      </w:r>
      <w:r>
        <w:rPr>
          <w:sz w:val="24"/>
        </w:rPr>
        <w:t>of</w:t>
      </w:r>
      <w:r>
        <w:rPr>
          <w:spacing w:val="-11"/>
          <w:sz w:val="24"/>
        </w:rPr>
        <w:t xml:space="preserve"> </w:t>
      </w:r>
      <w:r>
        <w:rPr>
          <w:sz w:val="24"/>
        </w:rPr>
        <w:t>this</w:t>
      </w:r>
      <w:r>
        <w:rPr>
          <w:spacing w:val="-11"/>
          <w:sz w:val="24"/>
        </w:rPr>
        <w:t xml:space="preserve"> </w:t>
      </w:r>
      <w:r>
        <w:rPr>
          <w:sz w:val="24"/>
        </w:rPr>
        <w:t>data, including,</w:t>
      </w:r>
      <w:r>
        <w:rPr>
          <w:spacing w:val="68"/>
          <w:sz w:val="24"/>
        </w:rPr>
        <w:t xml:space="preserve"> </w:t>
      </w:r>
      <w:r>
        <w:rPr>
          <w:i/>
          <w:sz w:val="24"/>
        </w:rPr>
        <w:t>inter</w:t>
      </w:r>
      <w:r>
        <w:rPr>
          <w:i/>
          <w:spacing w:val="68"/>
          <w:sz w:val="24"/>
        </w:rPr>
        <w:t xml:space="preserve"> </w:t>
      </w:r>
      <w:r>
        <w:rPr>
          <w:i/>
          <w:sz w:val="24"/>
        </w:rPr>
        <w:t>alia</w:t>
      </w:r>
      <w:r>
        <w:rPr>
          <w:sz w:val="24"/>
        </w:rPr>
        <w:t>,</w:t>
      </w:r>
      <w:r>
        <w:rPr>
          <w:spacing w:val="67"/>
          <w:sz w:val="24"/>
        </w:rPr>
        <w:t xml:space="preserve"> </w:t>
      </w:r>
      <w:r>
        <w:rPr>
          <w:sz w:val="24"/>
        </w:rPr>
        <w:t>by</w:t>
      </w:r>
      <w:r>
        <w:rPr>
          <w:spacing w:val="67"/>
          <w:sz w:val="24"/>
        </w:rPr>
        <w:t xml:space="preserve"> </w:t>
      </w:r>
      <w:r>
        <w:rPr>
          <w:sz w:val="24"/>
        </w:rPr>
        <w:t>failing</w:t>
      </w:r>
      <w:r>
        <w:rPr>
          <w:spacing w:val="67"/>
          <w:sz w:val="24"/>
        </w:rPr>
        <w:t xml:space="preserve"> </w:t>
      </w:r>
      <w:r>
        <w:rPr>
          <w:sz w:val="24"/>
        </w:rPr>
        <w:t>to</w:t>
      </w:r>
      <w:r>
        <w:rPr>
          <w:spacing w:val="66"/>
          <w:sz w:val="24"/>
        </w:rPr>
        <w:t xml:space="preserve"> </w:t>
      </w:r>
      <w:r>
        <w:rPr>
          <w:sz w:val="24"/>
        </w:rPr>
        <w:t>consider</w:t>
      </w:r>
      <w:r>
        <w:rPr>
          <w:spacing w:val="65"/>
          <w:sz w:val="24"/>
        </w:rPr>
        <w:t xml:space="preserve"> </w:t>
      </w:r>
      <w:r>
        <w:rPr>
          <w:sz w:val="24"/>
        </w:rPr>
        <w:t>whether</w:t>
      </w:r>
      <w:r>
        <w:rPr>
          <w:spacing w:val="67"/>
          <w:sz w:val="24"/>
        </w:rPr>
        <w:t xml:space="preserve"> </w:t>
      </w:r>
      <w:r>
        <w:rPr>
          <w:sz w:val="24"/>
        </w:rPr>
        <w:t>the</w:t>
      </w:r>
      <w:r>
        <w:rPr>
          <w:spacing w:val="67"/>
          <w:sz w:val="24"/>
        </w:rPr>
        <w:t xml:space="preserve"> </w:t>
      </w:r>
      <w:r>
        <w:rPr>
          <w:sz w:val="24"/>
        </w:rPr>
        <w:t>rejected</w:t>
      </w:r>
      <w:r>
        <w:rPr>
          <w:spacing w:val="65"/>
          <w:sz w:val="24"/>
        </w:rPr>
        <w:t xml:space="preserve"> </w:t>
      </w:r>
      <w:r>
        <w:rPr>
          <w:sz w:val="24"/>
        </w:rPr>
        <w:t>sales</w:t>
      </w:r>
    </w:p>
    <w:p w14:paraId="51DE7BD2" w14:textId="77777777" w:rsidR="0010369C" w:rsidRDefault="0010369C">
      <w:pPr>
        <w:spacing w:line="357" w:lineRule="auto"/>
        <w:jc w:val="both"/>
        <w:rPr>
          <w:sz w:val="24"/>
        </w:rPr>
        <w:sectPr w:rsidR="0010369C">
          <w:headerReference w:type="default" r:id="rId38"/>
          <w:footerReference w:type="default" r:id="rId39"/>
          <w:pgSz w:w="11910" w:h="16840"/>
          <w:pgMar w:top="880" w:right="1220" w:bottom="980" w:left="1180" w:header="569" w:footer="788" w:gutter="0"/>
          <w:pgNumType w:start="33"/>
          <w:cols w:space="720"/>
        </w:sectPr>
      </w:pPr>
    </w:p>
    <w:p w14:paraId="51DE7BD3" w14:textId="77777777" w:rsidR="0010369C" w:rsidRDefault="008E43AE">
      <w:pPr>
        <w:tabs>
          <w:tab w:val="left" w:pos="6426"/>
        </w:tabs>
        <w:ind w:left="238"/>
        <w:jc w:val="both"/>
        <w:rPr>
          <w:sz w:val="20"/>
        </w:rPr>
      </w:pPr>
      <w:r>
        <w:rPr>
          <w:i/>
          <w:sz w:val="20"/>
        </w:rPr>
        <w:lastRenderedPageBreak/>
        <w:t>China</w:t>
      </w:r>
      <w:r>
        <w:rPr>
          <w:i/>
          <w:spacing w:val="-5"/>
          <w:sz w:val="20"/>
        </w:rPr>
        <w:t xml:space="preserve"> </w:t>
      </w:r>
      <w:r>
        <w:rPr>
          <w:i/>
          <w:sz w:val="20"/>
        </w:rPr>
        <w:t>–</w:t>
      </w:r>
      <w:r>
        <w:rPr>
          <w:i/>
          <w:spacing w:val="-5"/>
          <w:sz w:val="20"/>
        </w:rPr>
        <w:t xml:space="preserve"> </w:t>
      </w:r>
      <w:r>
        <w:rPr>
          <w:i/>
          <w:sz w:val="20"/>
        </w:rPr>
        <w:t>Anti‐Dumping</w:t>
      </w:r>
      <w:r>
        <w:rPr>
          <w:i/>
          <w:spacing w:val="-4"/>
          <w:sz w:val="20"/>
        </w:rPr>
        <w:t xml:space="preserve"> </w:t>
      </w:r>
      <w:r>
        <w:rPr>
          <w:i/>
          <w:sz w:val="20"/>
        </w:rPr>
        <w:t>and</w:t>
      </w:r>
      <w:r>
        <w:rPr>
          <w:i/>
          <w:spacing w:val="-5"/>
          <w:sz w:val="20"/>
        </w:rPr>
        <w:t xml:space="preserve"> </w:t>
      </w:r>
      <w:r>
        <w:rPr>
          <w:i/>
          <w:sz w:val="20"/>
        </w:rPr>
        <w:t>Countervailing</w:t>
      </w:r>
      <w:r>
        <w:rPr>
          <w:i/>
          <w:spacing w:val="-5"/>
          <w:sz w:val="20"/>
        </w:rPr>
        <w:t xml:space="preserve"> </w:t>
      </w:r>
      <w:r>
        <w:rPr>
          <w:i/>
          <w:sz w:val="20"/>
        </w:rPr>
        <w:t>Duty</w:t>
      </w:r>
      <w:r>
        <w:rPr>
          <w:i/>
          <w:spacing w:val="-4"/>
          <w:sz w:val="20"/>
        </w:rPr>
        <w:t xml:space="preserve"> </w:t>
      </w:r>
      <w:r>
        <w:rPr>
          <w:i/>
          <w:spacing w:val="-2"/>
          <w:sz w:val="20"/>
        </w:rPr>
        <w:t>Measures</w:t>
      </w:r>
      <w:r>
        <w:rPr>
          <w:i/>
          <w:sz w:val="20"/>
        </w:rPr>
        <w:tab/>
      </w:r>
      <w:r>
        <w:rPr>
          <w:sz w:val="20"/>
        </w:rPr>
        <w:t>Australia's</w:t>
      </w:r>
      <w:r>
        <w:rPr>
          <w:spacing w:val="-6"/>
          <w:sz w:val="20"/>
        </w:rPr>
        <w:t xml:space="preserve"> </w:t>
      </w:r>
      <w:r>
        <w:rPr>
          <w:sz w:val="20"/>
        </w:rPr>
        <w:t>First</w:t>
      </w:r>
      <w:r>
        <w:rPr>
          <w:spacing w:val="-2"/>
          <w:sz w:val="20"/>
        </w:rPr>
        <w:t xml:space="preserve"> </w:t>
      </w:r>
      <w:r>
        <w:rPr>
          <w:sz w:val="20"/>
        </w:rPr>
        <w:t>Written</w:t>
      </w:r>
      <w:r>
        <w:rPr>
          <w:spacing w:val="-2"/>
          <w:sz w:val="20"/>
        </w:rPr>
        <w:t xml:space="preserve"> Submission</w:t>
      </w:r>
    </w:p>
    <w:p w14:paraId="51DE7BD4" w14:textId="77777777" w:rsidR="0010369C" w:rsidRDefault="008E43AE">
      <w:pPr>
        <w:tabs>
          <w:tab w:val="left" w:pos="8228"/>
        </w:tabs>
        <w:spacing w:before="1"/>
        <w:ind w:left="239"/>
        <w:jc w:val="both"/>
        <w:rPr>
          <w:sz w:val="20"/>
        </w:rPr>
      </w:pPr>
      <w:r>
        <w:rPr>
          <w:i/>
          <w:sz w:val="20"/>
        </w:rPr>
        <w:t>on</w:t>
      </w:r>
      <w:r>
        <w:rPr>
          <w:i/>
          <w:spacing w:val="-1"/>
          <w:sz w:val="20"/>
        </w:rPr>
        <w:t xml:space="preserve"> </w:t>
      </w:r>
      <w:r>
        <w:rPr>
          <w:i/>
          <w:sz w:val="20"/>
        </w:rPr>
        <w:t>Wine</w:t>
      </w:r>
      <w:r>
        <w:rPr>
          <w:i/>
          <w:spacing w:val="-1"/>
          <w:sz w:val="20"/>
        </w:rPr>
        <w:t xml:space="preserve"> </w:t>
      </w:r>
      <w:r>
        <w:rPr>
          <w:i/>
          <w:sz w:val="20"/>
        </w:rPr>
        <w:t>from</w:t>
      </w:r>
      <w:r>
        <w:rPr>
          <w:i/>
          <w:spacing w:val="-3"/>
          <w:sz w:val="20"/>
        </w:rPr>
        <w:t xml:space="preserve"> </w:t>
      </w:r>
      <w:r>
        <w:rPr>
          <w:i/>
          <w:sz w:val="20"/>
        </w:rPr>
        <w:t>Australia</w:t>
      </w:r>
      <w:r>
        <w:rPr>
          <w:i/>
          <w:spacing w:val="-1"/>
          <w:sz w:val="20"/>
        </w:rPr>
        <w:t xml:space="preserve"> </w:t>
      </w:r>
      <w:r>
        <w:rPr>
          <w:spacing w:val="-2"/>
          <w:sz w:val="20"/>
        </w:rPr>
        <w:t>(DS602)</w:t>
      </w:r>
      <w:r>
        <w:rPr>
          <w:sz w:val="20"/>
        </w:rPr>
        <w:tab/>
        <w:t>29</w:t>
      </w:r>
      <w:r>
        <w:rPr>
          <w:spacing w:val="-1"/>
          <w:sz w:val="20"/>
        </w:rPr>
        <w:t xml:space="preserve"> </w:t>
      </w:r>
      <w:r>
        <w:rPr>
          <w:sz w:val="20"/>
        </w:rPr>
        <w:t>April</w:t>
      </w:r>
      <w:r>
        <w:rPr>
          <w:spacing w:val="-2"/>
          <w:sz w:val="20"/>
        </w:rPr>
        <w:t xml:space="preserve"> </w:t>
      </w:r>
      <w:r>
        <w:rPr>
          <w:spacing w:val="-4"/>
          <w:sz w:val="20"/>
        </w:rPr>
        <w:t>2022</w:t>
      </w:r>
    </w:p>
    <w:p w14:paraId="51DE7BD5" w14:textId="77777777" w:rsidR="0010369C" w:rsidRDefault="008E43AE">
      <w:pPr>
        <w:pStyle w:val="BodyText"/>
        <w:spacing w:before="34" w:line="360" w:lineRule="auto"/>
        <w:ind w:left="1940" w:right="192"/>
        <w:jc w:val="both"/>
      </w:pPr>
      <w:r>
        <w:t>occurred in the ordinary course of trade pursuant to Articles 2.1 and 2.2 of the Anti‐Dumping Agreement.</w:t>
      </w:r>
    </w:p>
    <w:p w14:paraId="51DE7BD6" w14:textId="77777777" w:rsidR="0010369C" w:rsidRDefault="008E43AE">
      <w:pPr>
        <w:pStyle w:val="ListParagraph"/>
        <w:numPr>
          <w:ilvl w:val="0"/>
          <w:numId w:val="77"/>
        </w:numPr>
        <w:tabs>
          <w:tab w:val="left" w:pos="1939"/>
          <w:tab w:val="left" w:pos="1940"/>
        </w:tabs>
        <w:spacing w:line="360" w:lineRule="auto"/>
        <w:ind w:right="192"/>
        <w:rPr>
          <w:sz w:val="24"/>
        </w:rPr>
      </w:pPr>
      <w:r>
        <w:rPr>
          <w:i/>
          <w:sz w:val="24"/>
        </w:rPr>
        <w:t>Second</w:t>
      </w:r>
      <w:r>
        <w:rPr>
          <w:sz w:val="24"/>
        </w:rPr>
        <w:t>, MOFCOM had no proper basis to use facts available. It had the "necessary information" on the record to determine normal value for the sampled c</w:t>
      </w:r>
      <w:r>
        <w:rPr>
          <w:sz w:val="24"/>
        </w:rPr>
        <w:t>ompanies in accordance with Article 2 of the Anti‐Dumping Agreement, but rejected it without adequate cause. Further, MOFCOM: failed to take into account information which was verifiable, appropriately submitted, and timely; failed to provide reasons as to</w:t>
      </w:r>
      <w:r>
        <w:rPr>
          <w:sz w:val="24"/>
        </w:rPr>
        <w:t xml:space="preserve"> why submitted information was rejected; failed to inform the sampled Australian companies forthwith that their information was not accepted; failed to provide</w:t>
      </w:r>
      <w:r>
        <w:rPr>
          <w:spacing w:val="-8"/>
          <w:sz w:val="24"/>
        </w:rPr>
        <w:t xml:space="preserve"> </w:t>
      </w:r>
      <w:r>
        <w:rPr>
          <w:sz w:val="24"/>
        </w:rPr>
        <w:t>these</w:t>
      </w:r>
      <w:r>
        <w:rPr>
          <w:spacing w:val="-9"/>
          <w:sz w:val="24"/>
        </w:rPr>
        <w:t xml:space="preserve"> </w:t>
      </w:r>
      <w:r>
        <w:rPr>
          <w:sz w:val="24"/>
        </w:rPr>
        <w:t>interested</w:t>
      </w:r>
      <w:r>
        <w:rPr>
          <w:spacing w:val="-10"/>
          <w:sz w:val="24"/>
        </w:rPr>
        <w:t xml:space="preserve"> </w:t>
      </w:r>
      <w:r>
        <w:rPr>
          <w:sz w:val="24"/>
        </w:rPr>
        <w:t>parties</w:t>
      </w:r>
      <w:r>
        <w:rPr>
          <w:spacing w:val="-9"/>
          <w:sz w:val="24"/>
        </w:rPr>
        <w:t xml:space="preserve"> </w:t>
      </w:r>
      <w:r>
        <w:rPr>
          <w:sz w:val="24"/>
        </w:rPr>
        <w:t>an</w:t>
      </w:r>
      <w:r>
        <w:rPr>
          <w:spacing w:val="-10"/>
          <w:sz w:val="24"/>
        </w:rPr>
        <w:t xml:space="preserve"> </w:t>
      </w:r>
      <w:r>
        <w:rPr>
          <w:sz w:val="24"/>
        </w:rPr>
        <w:t>opportunity</w:t>
      </w:r>
      <w:r>
        <w:rPr>
          <w:spacing w:val="-8"/>
          <w:sz w:val="24"/>
        </w:rPr>
        <w:t xml:space="preserve"> </w:t>
      </w:r>
      <w:r>
        <w:rPr>
          <w:sz w:val="24"/>
        </w:rPr>
        <w:t>for</w:t>
      </w:r>
      <w:r>
        <w:rPr>
          <w:spacing w:val="-9"/>
          <w:sz w:val="24"/>
        </w:rPr>
        <w:t xml:space="preserve"> </w:t>
      </w:r>
      <w:r>
        <w:rPr>
          <w:sz w:val="24"/>
        </w:rPr>
        <w:t>further</w:t>
      </w:r>
      <w:r>
        <w:rPr>
          <w:spacing w:val="-9"/>
          <w:sz w:val="24"/>
        </w:rPr>
        <w:t xml:space="preserve"> </w:t>
      </w:r>
      <w:r>
        <w:rPr>
          <w:sz w:val="24"/>
        </w:rPr>
        <w:t>explanation;</w:t>
      </w:r>
      <w:r>
        <w:rPr>
          <w:spacing w:val="-10"/>
          <w:sz w:val="24"/>
        </w:rPr>
        <w:t xml:space="preserve"> </w:t>
      </w:r>
      <w:r>
        <w:rPr>
          <w:sz w:val="24"/>
        </w:rPr>
        <w:t>and ultimately determined dumpi</w:t>
      </w:r>
      <w:r>
        <w:rPr>
          <w:sz w:val="24"/>
        </w:rPr>
        <w:t>ng margins that had no logical relationship with the facts on the record.</w:t>
      </w:r>
    </w:p>
    <w:p w14:paraId="51DE7BD7" w14:textId="77777777" w:rsidR="0010369C" w:rsidRDefault="008E43AE">
      <w:pPr>
        <w:pStyle w:val="ListParagraph"/>
        <w:numPr>
          <w:ilvl w:val="0"/>
          <w:numId w:val="77"/>
        </w:numPr>
        <w:tabs>
          <w:tab w:val="left" w:pos="1939"/>
          <w:tab w:val="left" w:pos="1940"/>
        </w:tabs>
        <w:spacing w:line="357" w:lineRule="auto"/>
        <w:ind w:left="1940" w:right="193"/>
        <w:rPr>
          <w:sz w:val="24"/>
        </w:rPr>
      </w:pPr>
      <w:r>
        <w:rPr>
          <w:i/>
          <w:sz w:val="24"/>
        </w:rPr>
        <w:t>Third</w:t>
      </w:r>
      <w:r>
        <w:rPr>
          <w:sz w:val="24"/>
        </w:rPr>
        <w:t>, even if MOFCOM had f been entitled to resort to facts available, MOFCOM failed to select the "best information available" as a reasonable replacement for the allegedly deficie</w:t>
      </w:r>
      <w:r>
        <w:rPr>
          <w:sz w:val="24"/>
        </w:rPr>
        <w:t>nt information, and failed to exercise special circumspection in its selection of the facts available.</w:t>
      </w:r>
    </w:p>
    <w:p w14:paraId="51DE7BD8" w14:textId="77777777" w:rsidR="0010369C" w:rsidRDefault="008E43AE">
      <w:pPr>
        <w:pStyle w:val="ListParagraph"/>
        <w:numPr>
          <w:ilvl w:val="0"/>
          <w:numId w:val="77"/>
        </w:numPr>
        <w:tabs>
          <w:tab w:val="left" w:pos="1939"/>
          <w:tab w:val="left" w:pos="1940"/>
        </w:tabs>
        <w:spacing w:before="132" w:line="360" w:lineRule="auto"/>
        <w:ind w:right="194"/>
        <w:rPr>
          <w:sz w:val="24"/>
        </w:rPr>
      </w:pPr>
      <w:r>
        <w:rPr>
          <w:i/>
          <w:sz w:val="24"/>
        </w:rPr>
        <w:t>Fourth</w:t>
      </w:r>
      <w:r>
        <w:rPr>
          <w:sz w:val="24"/>
        </w:rPr>
        <w:t>, both as a result of MOFCOM's improper use and selection of facts available and errors in its calculation of normal value, China failed to determi</w:t>
      </w:r>
      <w:r>
        <w:rPr>
          <w:sz w:val="24"/>
        </w:rPr>
        <w:t>ne normal value in accordance with Article 2 of the Anti‐Dumping Agreement. MOFCOM: failed to base its calculation of normal value on all relevant</w:t>
      </w:r>
      <w:r>
        <w:rPr>
          <w:spacing w:val="-11"/>
          <w:sz w:val="24"/>
        </w:rPr>
        <w:t xml:space="preserve"> </w:t>
      </w:r>
      <w:r>
        <w:rPr>
          <w:sz w:val="24"/>
        </w:rPr>
        <w:t>domestic</w:t>
      </w:r>
      <w:r>
        <w:rPr>
          <w:spacing w:val="-10"/>
          <w:sz w:val="24"/>
        </w:rPr>
        <w:t xml:space="preserve"> </w:t>
      </w:r>
      <w:r>
        <w:rPr>
          <w:sz w:val="24"/>
        </w:rPr>
        <w:t>sales</w:t>
      </w:r>
      <w:r>
        <w:rPr>
          <w:spacing w:val="-11"/>
          <w:sz w:val="24"/>
        </w:rPr>
        <w:t xml:space="preserve"> </w:t>
      </w:r>
      <w:r>
        <w:rPr>
          <w:sz w:val="24"/>
        </w:rPr>
        <w:t>reported</w:t>
      </w:r>
      <w:r>
        <w:rPr>
          <w:spacing w:val="-12"/>
          <w:sz w:val="24"/>
        </w:rPr>
        <w:t xml:space="preserve"> </w:t>
      </w:r>
      <w:r>
        <w:rPr>
          <w:sz w:val="24"/>
        </w:rPr>
        <w:t>by</w:t>
      </w:r>
      <w:r>
        <w:rPr>
          <w:spacing w:val="-10"/>
          <w:sz w:val="24"/>
        </w:rPr>
        <w:t xml:space="preserve"> </w:t>
      </w:r>
      <w:r>
        <w:rPr>
          <w:sz w:val="24"/>
        </w:rPr>
        <w:t>the</w:t>
      </w:r>
      <w:r>
        <w:rPr>
          <w:spacing w:val="-10"/>
          <w:sz w:val="24"/>
        </w:rPr>
        <w:t xml:space="preserve"> </w:t>
      </w:r>
      <w:r>
        <w:rPr>
          <w:sz w:val="24"/>
        </w:rPr>
        <w:t>sampled</w:t>
      </w:r>
      <w:r>
        <w:rPr>
          <w:spacing w:val="-11"/>
          <w:sz w:val="24"/>
        </w:rPr>
        <w:t xml:space="preserve"> </w:t>
      </w:r>
      <w:r>
        <w:rPr>
          <w:sz w:val="24"/>
        </w:rPr>
        <w:t>companies;</w:t>
      </w:r>
      <w:r>
        <w:rPr>
          <w:spacing w:val="-11"/>
          <w:sz w:val="24"/>
        </w:rPr>
        <w:t xml:space="preserve"> </w:t>
      </w:r>
      <w:r>
        <w:rPr>
          <w:sz w:val="24"/>
        </w:rPr>
        <w:t>misapplied</w:t>
      </w:r>
      <w:r>
        <w:rPr>
          <w:spacing w:val="-11"/>
          <w:sz w:val="24"/>
        </w:rPr>
        <w:t xml:space="preserve"> </w:t>
      </w:r>
      <w:r>
        <w:rPr>
          <w:sz w:val="24"/>
        </w:rPr>
        <w:t>the below‐cost test in Article 2.2; failed to ap</w:t>
      </w:r>
      <w:r>
        <w:rPr>
          <w:sz w:val="24"/>
        </w:rPr>
        <w:t>ply appropriate adjustments to account for level of trade and product mix (i.e. physical characteristics, quality, consumer preferences, price) differences; improperly had recourse to constructed normal value; and then misapplied the constructed normal val</w:t>
      </w:r>
      <w:r>
        <w:rPr>
          <w:sz w:val="24"/>
        </w:rPr>
        <w:t>ue methodology.</w:t>
      </w:r>
    </w:p>
    <w:p w14:paraId="51DE7BD9" w14:textId="77777777" w:rsidR="0010369C" w:rsidRDefault="008E43AE">
      <w:pPr>
        <w:pStyle w:val="ListParagraph"/>
        <w:numPr>
          <w:ilvl w:val="0"/>
          <w:numId w:val="77"/>
        </w:numPr>
        <w:tabs>
          <w:tab w:val="left" w:pos="1939"/>
          <w:tab w:val="left" w:pos="1940"/>
        </w:tabs>
        <w:spacing w:before="118" w:line="357" w:lineRule="auto"/>
        <w:ind w:left="1940" w:right="192"/>
        <w:rPr>
          <w:sz w:val="24"/>
        </w:rPr>
      </w:pPr>
      <w:r>
        <w:rPr>
          <w:i/>
          <w:sz w:val="24"/>
        </w:rPr>
        <w:t>Fifth</w:t>
      </w:r>
      <w:r>
        <w:rPr>
          <w:sz w:val="24"/>
        </w:rPr>
        <w:t>, MOFCOM determined export prices in a manner that ignored level of trade and product mix differences, while not alone violating the Anti‐ Dumping</w:t>
      </w:r>
      <w:r>
        <w:rPr>
          <w:spacing w:val="40"/>
          <w:sz w:val="24"/>
        </w:rPr>
        <w:t xml:space="preserve">  </w:t>
      </w:r>
      <w:r>
        <w:rPr>
          <w:sz w:val="24"/>
        </w:rPr>
        <w:t>Agreement,</w:t>
      </w:r>
      <w:r>
        <w:rPr>
          <w:spacing w:val="40"/>
          <w:sz w:val="24"/>
        </w:rPr>
        <w:t xml:space="preserve">  </w:t>
      </w:r>
      <w:r>
        <w:rPr>
          <w:sz w:val="24"/>
        </w:rPr>
        <w:t>it</w:t>
      </w:r>
      <w:r>
        <w:rPr>
          <w:spacing w:val="40"/>
          <w:sz w:val="24"/>
        </w:rPr>
        <w:t xml:space="preserve">  </w:t>
      </w:r>
      <w:r>
        <w:rPr>
          <w:sz w:val="24"/>
        </w:rPr>
        <w:t>required</w:t>
      </w:r>
      <w:r>
        <w:rPr>
          <w:spacing w:val="40"/>
          <w:sz w:val="24"/>
        </w:rPr>
        <w:t xml:space="preserve">  </w:t>
      </w:r>
      <w:r>
        <w:rPr>
          <w:sz w:val="24"/>
        </w:rPr>
        <w:t>MOFCOM</w:t>
      </w:r>
      <w:r>
        <w:rPr>
          <w:spacing w:val="40"/>
          <w:sz w:val="24"/>
        </w:rPr>
        <w:t xml:space="preserve">  </w:t>
      </w:r>
      <w:r>
        <w:rPr>
          <w:sz w:val="24"/>
        </w:rPr>
        <w:t>to</w:t>
      </w:r>
      <w:r>
        <w:rPr>
          <w:spacing w:val="40"/>
          <w:sz w:val="24"/>
        </w:rPr>
        <w:t xml:space="preserve">  </w:t>
      </w:r>
      <w:r>
        <w:rPr>
          <w:sz w:val="24"/>
        </w:rPr>
        <w:t>make</w:t>
      </w:r>
      <w:r>
        <w:rPr>
          <w:spacing w:val="40"/>
          <w:sz w:val="24"/>
        </w:rPr>
        <w:t xml:space="preserve">  </w:t>
      </w:r>
      <w:r>
        <w:rPr>
          <w:sz w:val="24"/>
        </w:rPr>
        <w:t>appropriate</w:t>
      </w:r>
    </w:p>
    <w:p w14:paraId="51DE7BDA" w14:textId="77777777" w:rsidR="0010369C" w:rsidRDefault="0010369C">
      <w:pPr>
        <w:spacing w:line="357" w:lineRule="auto"/>
        <w:jc w:val="both"/>
        <w:rPr>
          <w:sz w:val="24"/>
        </w:rPr>
        <w:sectPr w:rsidR="0010369C">
          <w:pgSz w:w="11910" w:h="16840"/>
          <w:pgMar w:top="880" w:right="1220" w:bottom="980" w:left="1180" w:header="569" w:footer="788" w:gutter="0"/>
          <w:cols w:space="720"/>
        </w:sectPr>
      </w:pPr>
    </w:p>
    <w:p w14:paraId="51DE7BDB" w14:textId="77777777" w:rsidR="0010369C" w:rsidRDefault="008E43AE">
      <w:pPr>
        <w:tabs>
          <w:tab w:val="left" w:pos="6426"/>
        </w:tabs>
        <w:ind w:left="238"/>
        <w:jc w:val="both"/>
        <w:rPr>
          <w:sz w:val="20"/>
        </w:rPr>
      </w:pPr>
      <w:r>
        <w:rPr>
          <w:i/>
          <w:sz w:val="20"/>
        </w:rPr>
        <w:lastRenderedPageBreak/>
        <w:t>China</w:t>
      </w:r>
      <w:r>
        <w:rPr>
          <w:i/>
          <w:spacing w:val="-5"/>
          <w:sz w:val="20"/>
        </w:rPr>
        <w:t xml:space="preserve"> </w:t>
      </w:r>
      <w:r>
        <w:rPr>
          <w:i/>
          <w:sz w:val="20"/>
        </w:rPr>
        <w:t>–</w:t>
      </w:r>
      <w:r>
        <w:rPr>
          <w:i/>
          <w:spacing w:val="-5"/>
          <w:sz w:val="20"/>
        </w:rPr>
        <w:t xml:space="preserve"> </w:t>
      </w:r>
      <w:r>
        <w:rPr>
          <w:i/>
          <w:sz w:val="20"/>
        </w:rPr>
        <w:t>Anti‐</w:t>
      </w:r>
      <w:r>
        <w:rPr>
          <w:i/>
          <w:sz w:val="20"/>
        </w:rPr>
        <w:t>Dumping</w:t>
      </w:r>
      <w:r>
        <w:rPr>
          <w:i/>
          <w:spacing w:val="-4"/>
          <w:sz w:val="20"/>
        </w:rPr>
        <w:t xml:space="preserve"> </w:t>
      </w:r>
      <w:r>
        <w:rPr>
          <w:i/>
          <w:sz w:val="20"/>
        </w:rPr>
        <w:t>and</w:t>
      </w:r>
      <w:r>
        <w:rPr>
          <w:i/>
          <w:spacing w:val="-5"/>
          <w:sz w:val="20"/>
        </w:rPr>
        <w:t xml:space="preserve"> </w:t>
      </w:r>
      <w:r>
        <w:rPr>
          <w:i/>
          <w:sz w:val="20"/>
        </w:rPr>
        <w:t>Countervailing</w:t>
      </w:r>
      <w:r>
        <w:rPr>
          <w:i/>
          <w:spacing w:val="-5"/>
          <w:sz w:val="20"/>
        </w:rPr>
        <w:t xml:space="preserve"> </w:t>
      </w:r>
      <w:r>
        <w:rPr>
          <w:i/>
          <w:sz w:val="20"/>
        </w:rPr>
        <w:t>Duty</w:t>
      </w:r>
      <w:r>
        <w:rPr>
          <w:i/>
          <w:spacing w:val="-4"/>
          <w:sz w:val="20"/>
        </w:rPr>
        <w:t xml:space="preserve"> </w:t>
      </w:r>
      <w:r>
        <w:rPr>
          <w:i/>
          <w:spacing w:val="-2"/>
          <w:sz w:val="20"/>
        </w:rPr>
        <w:t>Measures</w:t>
      </w:r>
      <w:r>
        <w:rPr>
          <w:i/>
          <w:sz w:val="20"/>
        </w:rPr>
        <w:tab/>
      </w:r>
      <w:r>
        <w:rPr>
          <w:sz w:val="20"/>
        </w:rPr>
        <w:t>Australia's</w:t>
      </w:r>
      <w:r>
        <w:rPr>
          <w:spacing w:val="-7"/>
          <w:sz w:val="20"/>
        </w:rPr>
        <w:t xml:space="preserve"> </w:t>
      </w:r>
      <w:r>
        <w:rPr>
          <w:sz w:val="20"/>
        </w:rPr>
        <w:t>First</w:t>
      </w:r>
      <w:r>
        <w:rPr>
          <w:spacing w:val="-2"/>
          <w:sz w:val="20"/>
        </w:rPr>
        <w:t xml:space="preserve"> </w:t>
      </w:r>
      <w:r>
        <w:rPr>
          <w:sz w:val="20"/>
        </w:rPr>
        <w:t>Written</w:t>
      </w:r>
      <w:r>
        <w:rPr>
          <w:spacing w:val="-2"/>
          <w:sz w:val="20"/>
        </w:rPr>
        <w:t xml:space="preserve"> Submission</w:t>
      </w:r>
    </w:p>
    <w:p w14:paraId="51DE7BDC" w14:textId="77777777" w:rsidR="0010369C" w:rsidRDefault="008E43AE">
      <w:pPr>
        <w:tabs>
          <w:tab w:val="left" w:pos="8228"/>
        </w:tabs>
        <w:spacing w:before="1"/>
        <w:ind w:left="239"/>
        <w:jc w:val="both"/>
        <w:rPr>
          <w:sz w:val="20"/>
        </w:rPr>
      </w:pPr>
      <w:r>
        <w:rPr>
          <w:i/>
          <w:sz w:val="20"/>
        </w:rPr>
        <w:t>on</w:t>
      </w:r>
      <w:r>
        <w:rPr>
          <w:i/>
          <w:spacing w:val="-1"/>
          <w:sz w:val="20"/>
        </w:rPr>
        <w:t xml:space="preserve"> </w:t>
      </w:r>
      <w:r>
        <w:rPr>
          <w:i/>
          <w:sz w:val="20"/>
        </w:rPr>
        <w:t>Wine</w:t>
      </w:r>
      <w:r>
        <w:rPr>
          <w:i/>
          <w:spacing w:val="-1"/>
          <w:sz w:val="20"/>
        </w:rPr>
        <w:t xml:space="preserve"> </w:t>
      </w:r>
      <w:r>
        <w:rPr>
          <w:i/>
          <w:sz w:val="20"/>
        </w:rPr>
        <w:t>from</w:t>
      </w:r>
      <w:r>
        <w:rPr>
          <w:i/>
          <w:spacing w:val="-3"/>
          <w:sz w:val="20"/>
        </w:rPr>
        <w:t xml:space="preserve"> </w:t>
      </w:r>
      <w:r>
        <w:rPr>
          <w:i/>
          <w:sz w:val="20"/>
        </w:rPr>
        <w:t>Australia</w:t>
      </w:r>
      <w:r>
        <w:rPr>
          <w:i/>
          <w:spacing w:val="-1"/>
          <w:sz w:val="20"/>
        </w:rPr>
        <w:t xml:space="preserve"> </w:t>
      </w:r>
      <w:r>
        <w:rPr>
          <w:spacing w:val="-2"/>
          <w:sz w:val="20"/>
        </w:rPr>
        <w:t>(DS602)</w:t>
      </w:r>
      <w:r>
        <w:rPr>
          <w:sz w:val="20"/>
        </w:rPr>
        <w:tab/>
        <w:t>29</w:t>
      </w:r>
      <w:r>
        <w:rPr>
          <w:spacing w:val="-1"/>
          <w:sz w:val="20"/>
        </w:rPr>
        <w:t xml:space="preserve"> </w:t>
      </w:r>
      <w:r>
        <w:rPr>
          <w:sz w:val="20"/>
        </w:rPr>
        <w:t>April</w:t>
      </w:r>
      <w:r>
        <w:rPr>
          <w:spacing w:val="-2"/>
          <w:sz w:val="20"/>
        </w:rPr>
        <w:t xml:space="preserve"> </w:t>
      </w:r>
      <w:r>
        <w:rPr>
          <w:spacing w:val="-4"/>
          <w:sz w:val="20"/>
        </w:rPr>
        <w:t>2022</w:t>
      </w:r>
    </w:p>
    <w:p w14:paraId="51DE7BDD" w14:textId="77777777" w:rsidR="0010369C" w:rsidRDefault="008E43AE">
      <w:pPr>
        <w:pStyle w:val="BodyText"/>
        <w:spacing w:before="34" w:line="360" w:lineRule="auto"/>
        <w:ind w:left="1939" w:right="194"/>
        <w:jc w:val="both"/>
      </w:pPr>
      <w:r>
        <w:t xml:space="preserve">adjustments to ensure a fair comparison could be conducted with normal </w:t>
      </w:r>
      <w:r>
        <w:rPr>
          <w:spacing w:val="-2"/>
        </w:rPr>
        <w:t>value.</w:t>
      </w:r>
    </w:p>
    <w:p w14:paraId="51DE7BDE" w14:textId="77777777" w:rsidR="0010369C" w:rsidRDefault="008E43AE">
      <w:pPr>
        <w:pStyle w:val="ListParagraph"/>
        <w:numPr>
          <w:ilvl w:val="0"/>
          <w:numId w:val="77"/>
        </w:numPr>
        <w:tabs>
          <w:tab w:val="left" w:pos="1939"/>
          <w:tab w:val="left" w:pos="1940"/>
        </w:tabs>
        <w:spacing w:line="357" w:lineRule="auto"/>
        <w:ind w:right="193"/>
        <w:rPr>
          <w:sz w:val="24"/>
        </w:rPr>
      </w:pPr>
      <w:r>
        <w:rPr>
          <w:i/>
          <w:sz w:val="24"/>
        </w:rPr>
        <w:t>Sixth</w:t>
      </w:r>
      <w:r>
        <w:rPr>
          <w:sz w:val="24"/>
        </w:rPr>
        <w:t>,</w:t>
      </w:r>
      <w:r>
        <w:rPr>
          <w:spacing w:val="-5"/>
          <w:sz w:val="24"/>
        </w:rPr>
        <w:t xml:space="preserve"> </w:t>
      </w:r>
      <w:r>
        <w:rPr>
          <w:sz w:val="24"/>
        </w:rPr>
        <w:t>MOFCOM</w:t>
      </w:r>
      <w:r>
        <w:rPr>
          <w:spacing w:val="-4"/>
          <w:sz w:val="24"/>
        </w:rPr>
        <w:t xml:space="preserve"> </w:t>
      </w:r>
      <w:r>
        <w:rPr>
          <w:sz w:val="24"/>
        </w:rPr>
        <w:t>failed</w:t>
      </w:r>
      <w:r>
        <w:rPr>
          <w:spacing w:val="-5"/>
          <w:sz w:val="24"/>
        </w:rPr>
        <w:t xml:space="preserve"> </w:t>
      </w:r>
      <w:r>
        <w:rPr>
          <w:sz w:val="24"/>
        </w:rPr>
        <w:t>to</w:t>
      </w:r>
      <w:r>
        <w:rPr>
          <w:spacing w:val="-4"/>
          <w:sz w:val="24"/>
        </w:rPr>
        <w:t xml:space="preserve"> </w:t>
      </w:r>
      <w:r>
        <w:rPr>
          <w:sz w:val="24"/>
        </w:rPr>
        <w:t>make</w:t>
      </w:r>
      <w:r>
        <w:rPr>
          <w:spacing w:val="-4"/>
          <w:sz w:val="24"/>
        </w:rPr>
        <w:t xml:space="preserve"> </w:t>
      </w:r>
      <w:r>
        <w:rPr>
          <w:sz w:val="24"/>
        </w:rPr>
        <w:t>a</w:t>
      </w:r>
      <w:r>
        <w:rPr>
          <w:spacing w:val="-5"/>
          <w:sz w:val="24"/>
        </w:rPr>
        <w:t xml:space="preserve"> </w:t>
      </w:r>
      <w:r>
        <w:rPr>
          <w:sz w:val="24"/>
        </w:rPr>
        <w:t>fair</w:t>
      </w:r>
      <w:r>
        <w:rPr>
          <w:spacing w:val="-4"/>
          <w:sz w:val="24"/>
        </w:rPr>
        <w:t xml:space="preserve"> </w:t>
      </w:r>
      <w:r>
        <w:rPr>
          <w:sz w:val="24"/>
        </w:rPr>
        <w:t>comparison</w:t>
      </w:r>
      <w:r>
        <w:rPr>
          <w:spacing w:val="-6"/>
          <w:sz w:val="24"/>
        </w:rPr>
        <w:t xml:space="preserve"> </w:t>
      </w:r>
      <w:r>
        <w:rPr>
          <w:sz w:val="24"/>
        </w:rPr>
        <w:t>between</w:t>
      </w:r>
      <w:r>
        <w:rPr>
          <w:spacing w:val="-4"/>
          <w:sz w:val="24"/>
        </w:rPr>
        <w:t xml:space="preserve"> </w:t>
      </w:r>
      <w:r>
        <w:rPr>
          <w:sz w:val="24"/>
        </w:rPr>
        <w:t>the</w:t>
      </w:r>
      <w:r>
        <w:rPr>
          <w:spacing w:val="-4"/>
          <w:sz w:val="24"/>
        </w:rPr>
        <w:t xml:space="preserve"> </w:t>
      </w:r>
      <w:r>
        <w:rPr>
          <w:sz w:val="24"/>
        </w:rPr>
        <w:t>normal</w:t>
      </w:r>
      <w:r>
        <w:rPr>
          <w:spacing w:val="-4"/>
          <w:sz w:val="24"/>
        </w:rPr>
        <w:t xml:space="preserve"> </w:t>
      </w:r>
      <w:r>
        <w:rPr>
          <w:sz w:val="24"/>
        </w:rPr>
        <w:t>value and the export price, including because it failed to make due allowance for all factors affecting price comparability and failed to indicate to interested parties the information necessary to ensure a fair comparison.</w:t>
      </w:r>
    </w:p>
    <w:p w14:paraId="51DE7BDF" w14:textId="77777777" w:rsidR="0010369C" w:rsidRDefault="008E43AE">
      <w:pPr>
        <w:pStyle w:val="Heading4"/>
        <w:numPr>
          <w:ilvl w:val="2"/>
          <w:numId w:val="80"/>
        </w:numPr>
        <w:tabs>
          <w:tab w:val="left" w:pos="2649"/>
          <w:tab w:val="left" w:pos="2650"/>
        </w:tabs>
        <w:spacing w:before="133"/>
        <w:ind w:hanging="852"/>
        <w:jc w:val="both"/>
      </w:pPr>
      <w:bookmarkStart w:id="3" w:name="_TOC_250024"/>
      <w:r>
        <w:t>MOFCOM's</w:t>
      </w:r>
      <w:r>
        <w:rPr>
          <w:spacing w:val="-11"/>
        </w:rPr>
        <w:t xml:space="preserve"> </w:t>
      </w:r>
      <w:r>
        <w:t>determination</w:t>
      </w:r>
      <w:r>
        <w:rPr>
          <w:spacing w:val="-10"/>
        </w:rPr>
        <w:t xml:space="preserve"> </w:t>
      </w:r>
      <w:r>
        <w:t>of</w:t>
      </w:r>
      <w:r>
        <w:rPr>
          <w:spacing w:val="-10"/>
        </w:rPr>
        <w:t xml:space="preserve"> </w:t>
      </w:r>
      <w:r>
        <w:t>the</w:t>
      </w:r>
      <w:r>
        <w:rPr>
          <w:spacing w:val="-8"/>
        </w:rPr>
        <w:t xml:space="preserve"> </w:t>
      </w:r>
      <w:r>
        <w:t>domestic</w:t>
      </w:r>
      <w:r>
        <w:rPr>
          <w:spacing w:val="-10"/>
        </w:rPr>
        <w:t xml:space="preserve"> </w:t>
      </w:r>
      <w:bookmarkEnd w:id="3"/>
      <w:r>
        <w:rPr>
          <w:spacing w:val="-2"/>
        </w:rPr>
        <w:t>industry</w:t>
      </w:r>
    </w:p>
    <w:p w14:paraId="51DE7BE0" w14:textId="77777777" w:rsidR="0010369C" w:rsidRDefault="0010369C">
      <w:pPr>
        <w:pStyle w:val="BodyText"/>
        <w:spacing w:before="9"/>
        <w:rPr>
          <w:b/>
          <w:sz w:val="20"/>
        </w:rPr>
      </w:pPr>
    </w:p>
    <w:p w14:paraId="51DE7BE1" w14:textId="77777777" w:rsidR="0010369C" w:rsidRDefault="008E43AE">
      <w:pPr>
        <w:pStyle w:val="BodyText"/>
        <w:spacing w:before="51" w:line="360" w:lineRule="auto"/>
        <w:ind w:left="237" w:right="195" w:firstLine="851"/>
        <w:jc w:val="both"/>
      </w:pPr>
      <w:r>
        <w:rPr>
          <w:noProof/>
        </w:rPr>
        <w:drawing>
          <wp:anchor distT="0" distB="0" distL="0" distR="0" simplePos="0" relativeHeight="250708480" behindDoc="1" locked="0" layoutInCell="1" allowOverlap="1" wp14:anchorId="51DE9D1F" wp14:editId="51DE9D20">
            <wp:simplePos x="0" y="0"/>
            <wp:positionH relativeFrom="page">
              <wp:posOffset>902208</wp:posOffset>
            </wp:positionH>
            <wp:positionV relativeFrom="paragraph">
              <wp:posOffset>80722</wp:posOffset>
            </wp:positionV>
            <wp:extent cx="106679" cy="103631"/>
            <wp:effectExtent l="0" t="0" r="0" b="0"/>
            <wp:wrapNone/>
            <wp:docPr id="1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2.png"/>
                    <pic:cNvPicPr/>
                  </pic:nvPicPr>
                  <pic:blipFill>
                    <a:blip r:embed="rId40" cstate="print"/>
                    <a:stretch>
                      <a:fillRect/>
                    </a:stretch>
                  </pic:blipFill>
                  <pic:spPr>
                    <a:xfrm>
                      <a:off x="0" y="0"/>
                      <a:ext cx="106679" cy="103631"/>
                    </a:xfrm>
                    <a:prstGeom prst="rect">
                      <a:avLst/>
                    </a:prstGeom>
                  </pic:spPr>
                </pic:pic>
              </a:graphicData>
            </a:graphic>
          </wp:anchor>
        </w:drawing>
      </w:r>
      <w:r>
        <w:t>In section III, in relation to MOFCOM's determination of the domestic industry, Australia will demonstrate that China acted inconsistently with its WTO obligations under Article 4.1 of the Anti‐Dumping Agreement the following respects:</w:t>
      </w:r>
    </w:p>
    <w:p w14:paraId="51DE7BE2" w14:textId="77777777" w:rsidR="0010369C" w:rsidRDefault="008E43AE">
      <w:pPr>
        <w:pStyle w:val="ListParagraph"/>
        <w:numPr>
          <w:ilvl w:val="0"/>
          <w:numId w:val="77"/>
        </w:numPr>
        <w:tabs>
          <w:tab w:val="left" w:pos="1939"/>
          <w:tab w:val="left" w:pos="1940"/>
        </w:tabs>
        <w:spacing w:before="161" w:line="357" w:lineRule="auto"/>
        <w:ind w:right="193"/>
        <w:rPr>
          <w:sz w:val="24"/>
        </w:rPr>
      </w:pPr>
      <w:r>
        <w:rPr>
          <w:sz w:val="24"/>
        </w:rPr>
        <w:t>MOFCOM</w:t>
      </w:r>
      <w:r>
        <w:rPr>
          <w:spacing w:val="-7"/>
          <w:sz w:val="24"/>
        </w:rPr>
        <w:t xml:space="preserve"> </w:t>
      </w:r>
      <w:r>
        <w:rPr>
          <w:sz w:val="24"/>
        </w:rPr>
        <w:t>failed</w:t>
      </w:r>
      <w:r>
        <w:rPr>
          <w:spacing w:val="-7"/>
          <w:sz w:val="24"/>
        </w:rPr>
        <w:t xml:space="preserve"> </w:t>
      </w:r>
      <w:r>
        <w:rPr>
          <w:sz w:val="24"/>
        </w:rPr>
        <w:t>to</w:t>
      </w:r>
      <w:r>
        <w:rPr>
          <w:spacing w:val="-7"/>
          <w:sz w:val="24"/>
        </w:rPr>
        <w:t xml:space="preserve"> </w:t>
      </w:r>
      <w:r>
        <w:rPr>
          <w:sz w:val="24"/>
        </w:rPr>
        <w:t>establish</w:t>
      </w:r>
      <w:r>
        <w:rPr>
          <w:spacing w:val="-7"/>
          <w:sz w:val="24"/>
        </w:rPr>
        <w:t xml:space="preserve"> </w:t>
      </w:r>
      <w:r>
        <w:rPr>
          <w:sz w:val="24"/>
        </w:rPr>
        <w:t>that</w:t>
      </w:r>
      <w:r>
        <w:rPr>
          <w:spacing w:val="-7"/>
          <w:sz w:val="24"/>
        </w:rPr>
        <w:t xml:space="preserve"> </w:t>
      </w:r>
      <w:r>
        <w:rPr>
          <w:sz w:val="24"/>
        </w:rPr>
        <w:t>the</w:t>
      </w:r>
      <w:r>
        <w:rPr>
          <w:spacing w:val="-7"/>
          <w:sz w:val="24"/>
        </w:rPr>
        <w:t xml:space="preserve"> </w:t>
      </w:r>
      <w:r>
        <w:rPr>
          <w:sz w:val="24"/>
        </w:rPr>
        <w:t>"domestic</w:t>
      </w:r>
      <w:r>
        <w:rPr>
          <w:spacing w:val="-7"/>
          <w:sz w:val="24"/>
        </w:rPr>
        <w:t xml:space="preserve"> </w:t>
      </w:r>
      <w:r>
        <w:rPr>
          <w:sz w:val="24"/>
        </w:rPr>
        <w:t>industry"</w:t>
      </w:r>
      <w:r>
        <w:rPr>
          <w:spacing w:val="-7"/>
          <w:sz w:val="24"/>
        </w:rPr>
        <w:t xml:space="preserve"> </w:t>
      </w:r>
      <w:r>
        <w:rPr>
          <w:sz w:val="24"/>
        </w:rPr>
        <w:t>it</w:t>
      </w:r>
      <w:r>
        <w:rPr>
          <w:spacing w:val="-7"/>
          <w:sz w:val="24"/>
        </w:rPr>
        <w:t xml:space="preserve"> </w:t>
      </w:r>
      <w:r>
        <w:rPr>
          <w:sz w:val="24"/>
        </w:rPr>
        <w:t>defined</w:t>
      </w:r>
      <w:r>
        <w:rPr>
          <w:spacing w:val="-7"/>
          <w:sz w:val="24"/>
        </w:rPr>
        <w:t xml:space="preserve"> </w:t>
      </w:r>
      <w:r>
        <w:rPr>
          <w:sz w:val="24"/>
        </w:rPr>
        <w:t>covered "a major proportion of the total domestic production" of the like product. This failure vitiated MOFCOM's subsequent injury and causation analyses.</w:t>
      </w:r>
    </w:p>
    <w:p w14:paraId="51DE7BE3" w14:textId="77777777" w:rsidR="0010369C" w:rsidRDefault="008E43AE">
      <w:pPr>
        <w:pStyle w:val="Heading4"/>
        <w:numPr>
          <w:ilvl w:val="2"/>
          <w:numId w:val="80"/>
        </w:numPr>
        <w:tabs>
          <w:tab w:val="left" w:pos="2649"/>
          <w:tab w:val="left" w:pos="2650"/>
        </w:tabs>
        <w:spacing w:before="128"/>
        <w:ind w:hanging="852"/>
        <w:jc w:val="both"/>
      </w:pPr>
      <w:bookmarkStart w:id="4" w:name="_TOC_250023"/>
      <w:r>
        <w:t>MOFCOM's</w:t>
      </w:r>
      <w:r>
        <w:rPr>
          <w:spacing w:val="-12"/>
        </w:rPr>
        <w:t xml:space="preserve"> </w:t>
      </w:r>
      <w:r>
        <w:t>determinations</w:t>
      </w:r>
      <w:r>
        <w:rPr>
          <w:spacing w:val="-10"/>
        </w:rPr>
        <w:t xml:space="preserve"> </w:t>
      </w:r>
      <w:r>
        <w:t>of</w:t>
      </w:r>
      <w:r>
        <w:rPr>
          <w:spacing w:val="-11"/>
        </w:rPr>
        <w:t xml:space="preserve"> </w:t>
      </w:r>
      <w:r>
        <w:t>causat</w:t>
      </w:r>
      <w:r>
        <w:t>ion</w:t>
      </w:r>
      <w:r>
        <w:rPr>
          <w:spacing w:val="-9"/>
        </w:rPr>
        <w:t xml:space="preserve"> </w:t>
      </w:r>
      <w:r>
        <w:t>and</w:t>
      </w:r>
      <w:r>
        <w:rPr>
          <w:spacing w:val="-11"/>
        </w:rPr>
        <w:t xml:space="preserve"> </w:t>
      </w:r>
      <w:bookmarkEnd w:id="4"/>
      <w:r>
        <w:rPr>
          <w:spacing w:val="-2"/>
        </w:rPr>
        <w:t>injury</w:t>
      </w:r>
    </w:p>
    <w:p w14:paraId="51DE7BE4" w14:textId="77777777" w:rsidR="0010369C" w:rsidRDefault="0010369C">
      <w:pPr>
        <w:pStyle w:val="BodyText"/>
        <w:spacing w:before="10"/>
        <w:rPr>
          <w:b/>
          <w:sz w:val="20"/>
        </w:rPr>
      </w:pPr>
    </w:p>
    <w:p w14:paraId="51DE7BE5" w14:textId="77777777" w:rsidR="0010369C" w:rsidRDefault="008E43AE">
      <w:pPr>
        <w:pStyle w:val="BodyText"/>
        <w:spacing w:before="52" w:line="360" w:lineRule="auto"/>
        <w:ind w:left="237" w:right="194" w:firstLine="851"/>
        <w:jc w:val="both"/>
      </w:pPr>
      <w:r>
        <w:rPr>
          <w:noProof/>
        </w:rPr>
        <w:drawing>
          <wp:anchor distT="0" distB="0" distL="0" distR="0" simplePos="0" relativeHeight="250709504" behindDoc="1" locked="0" layoutInCell="1" allowOverlap="1" wp14:anchorId="51DE9D21" wp14:editId="51DE9D22">
            <wp:simplePos x="0" y="0"/>
            <wp:positionH relativeFrom="page">
              <wp:posOffset>908303</wp:posOffset>
            </wp:positionH>
            <wp:positionV relativeFrom="paragraph">
              <wp:posOffset>80595</wp:posOffset>
            </wp:positionV>
            <wp:extent cx="176784" cy="103631"/>
            <wp:effectExtent l="0" t="0" r="0" b="0"/>
            <wp:wrapNone/>
            <wp:docPr id="1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3.png"/>
                    <pic:cNvPicPr/>
                  </pic:nvPicPr>
                  <pic:blipFill>
                    <a:blip r:embed="rId41" cstate="print"/>
                    <a:stretch>
                      <a:fillRect/>
                    </a:stretch>
                  </pic:blipFill>
                  <pic:spPr>
                    <a:xfrm>
                      <a:off x="0" y="0"/>
                      <a:ext cx="176784" cy="103631"/>
                    </a:xfrm>
                    <a:prstGeom prst="rect">
                      <a:avLst/>
                    </a:prstGeom>
                  </pic:spPr>
                </pic:pic>
              </a:graphicData>
            </a:graphic>
          </wp:anchor>
        </w:drawing>
      </w:r>
      <w:r>
        <w:t>In section IV, in relation to MOFCOM's determination that the allegedly dumped products</w:t>
      </w:r>
      <w:r>
        <w:rPr>
          <w:spacing w:val="-14"/>
        </w:rPr>
        <w:t xml:space="preserve"> </w:t>
      </w:r>
      <w:r>
        <w:t>caused</w:t>
      </w:r>
      <w:r>
        <w:rPr>
          <w:spacing w:val="-14"/>
        </w:rPr>
        <w:t xml:space="preserve"> </w:t>
      </w:r>
      <w:r>
        <w:t>injury</w:t>
      </w:r>
      <w:r>
        <w:rPr>
          <w:spacing w:val="-13"/>
        </w:rPr>
        <w:t xml:space="preserve"> </w:t>
      </w:r>
      <w:r>
        <w:t>to</w:t>
      </w:r>
      <w:r>
        <w:rPr>
          <w:spacing w:val="-14"/>
        </w:rPr>
        <w:t xml:space="preserve"> </w:t>
      </w:r>
      <w:r>
        <w:t>the</w:t>
      </w:r>
      <w:r>
        <w:rPr>
          <w:spacing w:val="-13"/>
        </w:rPr>
        <w:t xml:space="preserve"> </w:t>
      </w:r>
      <w:r>
        <w:t>Chinese</w:t>
      </w:r>
      <w:r>
        <w:rPr>
          <w:spacing w:val="-14"/>
        </w:rPr>
        <w:t xml:space="preserve"> </w:t>
      </w:r>
      <w:r>
        <w:t>domestic</w:t>
      </w:r>
      <w:r>
        <w:rPr>
          <w:spacing w:val="-13"/>
        </w:rPr>
        <w:t xml:space="preserve"> </w:t>
      </w:r>
      <w:r>
        <w:t>industry,</w:t>
      </w:r>
      <w:r>
        <w:rPr>
          <w:spacing w:val="-14"/>
        </w:rPr>
        <w:t xml:space="preserve"> </w:t>
      </w:r>
      <w:r>
        <w:t>Australia</w:t>
      </w:r>
      <w:r>
        <w:rPr>
          <w:spacing w:val="-14"/>
        </w:rPr>
        <w:t xml:space="preserve"> </w:t>
      </w:r>
      <w:r>
        <w:t>will</w:t>
      </w:r>
      <w:r>
        <w:rPr>
          <w:spacing w:val="-13"/>
        </w:rPr>
        <w:t xml:space="preserve"> </w:t>
      </w:r>
      <w:r>
        <w:t>demonstrate</w:t>
      </w:r>
      <w:r>
        <w:rPr>
          <w:spacing w:val="-14"/>
        </w:rPr>
        <w:t xml:space="preserve"> </w:t>
      </w:r>
      <w:r>
        <w:t>that</w:t>
      </w:r>
      <w:r>
        <w:rPr>
          <w:spacing w:val="-13"/>
        </w:rPr>
        <w:t xml:space="preserve"> </w:t>
      </w:r>
      <w:r>
        <w:t>China acted inconsistently with its WTO obligations under Articles 3.1,</w:t>
      </w:r>
      <w:r>
        <w:t xml:space="preserve"> 3.2, 3.4 and 3.5 of the Anti‐ Dumping Agreement the following respects:</w:t>
      </w:r>
    </w:p>
    <w:p w14:paraId="51DE7BE6" w14:textId="77777777" w:rsidR="0010369C" w:rsidRDefault="008E43AE">
      <w:pPr>
        <w:pStyle w:val="ListParagraph"/>
        <w:numPr>
          <w:ilvl w:val="0"/>
          <w:numId w:val="77"/>
        </w:numPr>
        <w:tabs>
          <w:tab w:val="left" w:pos="1940"/>
          <w:tab w:val="left" w:pos="1941"/>
        </w:tabs>
        <w:spacing w:before="160" w:line="360" w:lineRule="auto"/>
        <w:ind w:left="1937" w:right="193" w:hanging="849"/>
        <w:rPr>
          <w:sz w:val="24"/>
        </w:rPr>
      </w:pPr>
      <w:r>
        <w:rPr>
          <w:i/>
          <w:sz w:val="24"/>
        </w:rPr>
        <w:t>First</w:t>
      </w:r>
      <w:r>
        <w:rPr>
          <w:sz w:val="24"/>
        </w:rPr>
        <w:t>, in relation to MOFCOM's findings that the allegedly dumped imports of Australian bottled wine caused significant price suppression in China's domestic market for like products, MOFCOM: (i) did not conduct an objective examination based on positive eviden</w:t>
      </w:r>
      <w:r>
        <w:rPr>
          <w:sz w:val="24"/>
        </w:rPr>
        <w:t>ce because it failed to adequately disclose its methodology for calculating the import price of Australian products, failed to conduct a counterfactual analysis in the context of making a price suppression finding, failed to consider evidence relating to p</w:t>
      </w:r>
      <w:r>
        <w:rPr>
          <w:sz w:val="24"/>
        </w:rPr>
        <w:t>rice undercutting or depression; (ii) failed to ensure price comparability between Australian imports and domestic like products because</w:t>
      </w:r>
      <w:r>
        <w:rPr>
          <w:spacing w:val="-9"/>
          <w:sz w:val="24"/>
        </w:rPr>
        <w:t xml:space="preserve"> </w:t>
      </w:r>
      <w:r>
        <w:rPr>
          <w:sz w:val="24"/>
        </w:rPr>
        <w:t>it</w:t>
      </w:r>
      <w:r>
        <w:rPr>
          <w:spacing w:val="-10"/>
          <w:sz w:val="24"/>
        </w:rPr>
        <w:t xml:space="preserve"> </w:t>
      </w:r>
      <w:r>
        <w:rPr>
          <w:sz w:val="24"/>
        </w:rPr>
        <w:t>failed</w:t>
      </w:r>
      <w:r>
        <w:rPr>
          <w:spacing w:val="-10"/>
          <w:sz w:val="24"/>
        </w:rPr>
        <w:t xml:space="preserve"> </w:t>
      </w:r>
      <w:r>
        <w:rPr>
          <w:sz w:val="24"/>
        </w:rPr>
        <w:t>to</w:t>
      </w:r>
      <w:r>
        <w:rPr>
          <w:spacing w:val="-9"/>
          <w:sz w:val="24"/>
        </w:rPr>
        <w:t xml:space="preserve"> </w:t>
      </w:r>
      <w:r>
        <w:rPr>
          <w:sz w:val="24"/>
        </w:rPr>
        <w:t>account</w:t>
      </w:r>
      <w:r>
        <w:rPr>
          <w:spacing w:val="-10"/>
          <w:sz w:val="24"/>
        </w:rPr>
        <w:t xml:space="preserve"> </w:t>
      </w:r>
      <w:r>
        <w:rPr>
          <w:sz w:val="24"/>
        </w:rPr>
        <w:t>for</w:t>
      </w:r>
      <w:r>
        <w:rPr>
          <w:spacing w:val="-9"/>
          <w:sz w:val="24"/>
        </w:rPr>
        <w:t xml:space="preserve"> </w:t>
      </w:r>
      <w:r>
        <w:rPr>
          <w:sz w:val="24"/>
        </w:rPr>
        <w:t>differences</w:t>
      </w:r>
      <w:r>
        <w:rPr>
          <w:spacing w:val="-10"/>
          <w:sz w:val="24"/>
        </w:rPr>
        <w:t xml:space="preserve"> </w:t>
      </w:r>
      <w:r>
        <w:rPr>
          <w:sz w:val="24"/>
        </w:rPr>
        <w:t>in</w:t>
      </w:r>
      <w:r>
        <w:rPr>
          <w:spacing w:val="-10"/>
          <w:sz w:val="24"/>
        </w:rPr>
        <w:t xml:space="preserve"> </w:t>
      </w:r>
      <w:r>
        <w:rPr>
          <w:sz w:val="24"/>
        </w:rPr>
        <w:t>product</w:t>
      </w:r>
      <w:r>
        <w:rPr>
          <w:spacing w:val="-9"/>
          <w:sz w:val="24"/>
        </w:rPr>
        <w:t xml:space="preserve"> </w:t>
      </w:r>
      <w:r>
        <w:rPr>
          <w:sz w:val="24"/>
        </w:rPr>
        <w:t>mix,</w:t>
      </w:r>
      <w:r>
        <w:rPr>
          <w:spacing w:val="-10"/>
          <w:sz w:val="24"/>
        </w:rPr>
        <w:t xml:space="preserve"> </w:t>
      </w:r>
      <w:r>
        <w:rPr>
          <w:sz w:val="24"/>
        </w:rPr>
        <w:t>level</w:t>
      </w:r>
      <w:r>
        <w:rPr>
          <w:spacing w:val="-9"/>
          <w:sz w:val="24"/>
        </w:rPr>
        <w:t xml:space="preserve"> </w:t>
      </w:r>
      <w:r>
        <w:rPr>
          <w:sz w:val="24"/>
        </w:rPr>
        <w:t>of</w:t>
      </w:r>
      <w:r>
        <w:rPr>
          <w:spacing w:val="-10"/>
          <w:sz w:val="24"/>
        </w:rPr>
        <w:t xml:space="preserve"> </w:t>
      </w:r>
      <w:r>
        <w:rPr>
          <w:sz w:val="24"/>
        </w:rPr>
        <w:t>trade</w:t>
      </w:r>
      <w:r>
        <w:rPr>
          <w:spacing w:val="-11"/>
          <w:sz w:val="24"/>
        </w:rPr>
        <w:t xml:space="preserve"> </w:t>
      </w:r>
      <w:r>
        <w:rPr>
          <w:sz w:val="24"/>
        </w:rPr>
        <w:t>and conditions</w:t>
      </w:r>
      <w:r>
        <w:rPr>
          <w:spacing w:val="-14"/>
          <w:sz w:val="24"/>
        </w:rPr>
        <w:t xml:space="preserve"> </w:t>
      </w:r>
      <w:r>
        <w:rPr>
          <w:sz w:val="24"/>
        </w:rPr>
        <w:t>of</w:t>
      </w:r>
      <w:r>
        <w:rPr>
          <w:spacing w:val="-14"/>
          <w:sz w:val="24"/>
        </w:rPr>
        <w:t xml:space="preserve"> </w:t>
      </w:r>
      <w:r>
        <w:rPr>
          <w:sz w:val="24"/>
        </w:rPr>
        <w:t>sale,</w:t>
      </w:r>
      <w:r>
        <w:rPr>
          <w:spacing w:val="-13"/>
          <w:sz w:val="24"/>
        </w:rPr>
        <w:t xml:space="preserve"> </w:t>
      </w:r>
      <w:r>
        <w:rPr>
          <w:sz w:val="24"/>
        </w:rPr>
        <w:t>between</w:t>
      </w:r>
      <w:r>
        <w:rPr>
          <w:spacing w:val="-14"/>
          <w:sz w:val="24"/>
        </w:rPr>
        <w:t xml:space="preserve"> </w:t>
      </w:r>
      <w:r>
        <w:rPr>
          <w:sz w:val="24"/>
        </w:rPr>
        <w:t>subject</w:t>
      </w:r>
      <w:r>
        <w:rPr>
          <w:spacing w:val="-13"/>
          <w:sz w:val="24"/>
        </w:rPr>
        <w:t xml:space="preserve"> </w:t>
      </w:r>
      <w:r>
        <w:rPr>
          <w:sz w:val="24"/>
        </w:rPr>
        <w:t>imports</w:t>
      </w:r>
      <w:r>
        <w:rPr>
          <w:spacing w:val="-14"/>
          <w:sz w:val="24"/>
        </w:rPr>
        <w:t xml:space="preserve"> </w:t>
      </w:r>
      <w:r>
        <w:rPr>
          <w:sz w:val="24"/>
        </w:rPr>
        <w:t>and</w:t>
      </w:r>
      <w:r>
        <w:rPr>
          <w:spacing w:val="-13"/>
          <w:sz w:val="24"/>
        </w:rPr>
        <w:t xml:space="preserve"> </w:t>
      </w:r>
      <w:r>
        <w:rPr>
          <w:sz w:val="24"/>
        </w:rPr>
        <w:t>domestic</w:t>
      </w:r>
      <w:r>
        <w:rPr>
          <w:spacing w:val="-12"/>
          <w:sz w:val="24"/>
        </w:rPr>
        <w:t xml:space="preserve"> </w:t>
      </w:r>
      <w:r>
        <w:rPr>
          <w:sz w:val="24"/>
        </w:rPr>
        <w:t>like</w:t>
      </w:r>
      <w:r>
        <w:rPr>
          <w:spacing w:val="-13"/>
          <w:sz w:val="24"/>
        </w:rPr>
        <w:t xml:space="preserve"> </w:t>
      </w:r>
      <w:r>
        <w:rPr>
          <w:sz w:val="24"/>
        </w:rPr>
        <w:t>products;</w:t>
      </w:r>
      <w:r>
        <w:rPr>
          <w:spacing w:val="-13"/>
          <w:sz w:val="24"/>
        </w:rPr>
        <w:t xml:space="preserve"> </w:t>
      </w:r>
      <w:r>
        <w:rPr>
          <w:spacing w:val="-5"/>
          <w:sz w:val="24"/>
        </w:rPr>
        <w:t>and</w:t>
      </w:r>
    </w:p>
    <w:p w14:paraId="51DE7BE7" w14:textId="77777777" w:rsidR="0010369C" w:rsidRDefault="0010369C">
      <w:pPr>
        <w:spacing w:line="360" w:lineRule="auto"/>
        <w:jc w:val="both"/>
        <w:rPr>
          <w:sz w:val="24"/>
        </w:rPr>
        <w:sectPr w:rsidR="0010369C">
          <w:pgSz w:w="11910" w:h="16840"/>
          <w:pgMar w:top="880" w:right="1220" w:bottom="980" w:left="1180" w:header="569" w:footer="788" w:gutter="0"/>
          <w:cols w:space="720"/>
        </w:sectPr>
      </w:pPr>
    </w:p>
    <w:p w14:paraId="51DE7BE8" w14:textId="77777777" w:rsidR="0010369C" w:rsidRDefault="008E43AE">
      <w:pPr>
        <w:tabs>
          <w:tab w:val="left" w:pos="6426"/>
        </w:tabs>
        <w:ind w:left="238"/>
        <w:jc w:val="both"/>
        <w:rPr>
          <w:sz w:val="20"/>
        </w:rPr>
      </w:pPr>
      <w:r>
        <w:rPr>
          <w:i/>
          <w:sz w:val="20"/>
        </w:rPr>
        <w:lastRenderedPageBreak/>
        <w:t>China</w:t>
      </w:r>
      <w:r>
        <w:rPr>
          <w:i/>
          <w:spacing w:val="-5"/>
          <w:sz w:val="20"/>
        </w:rPr>
        <w:t xml:space="preserve"> </w:t>
      </w:r>
      <w:r>
        <w:rPr>
          <w:i/>
          <w:sz w:val="20"/>
        </w:rPr>
        <w:t>–</w:t>
      </w:r>
      <w:r>
        <w:rPr>
          <w:i/>
          <w:spacing w:val="-5"/>
          <w:sz w:val="20"/>
        </w:rPr>
        <w:t xml:space="preserve"> </w:t>
      </w:r>
      <w:r>
        <w:rPr>
          <w:i/>
          <w:sz w:val="20"/>
        </w:rPr>
        <w:t>Anti‐Dumping</w:t>
      </w:r>
      <w:r>
        <w:rPr>
          <w:i/>
          <w:spacing w:val="-4"/>
          <w:sz w:val="20"/>
        </w:rPr>
        <w:t xml:space="preserve"> </w:t>
      </w:r>
      <w:r>
        <w:rPr>
          <w:i/>
          <w:sz w:val="20"/>
        </w:rPr>
        <w:t>and</w:t>
      </w:r>
      <w:r>
        <w:rPr>
          <w:i/>
          <w:spacing w:val="-5"/>
          <w:sz w:val="20"/>
        </w:rPr>
        <w:t xml:space="preserve"> </w:t>
      </w:r>
      <w:r>
        <w:rPr>
          <w:i/>
          <w:sz w:val="20"/>
        </w:rPr>
        <w:t>Countervailing</w:t>
      </w:r>
      <w:r>
        <w:rPr>
          <w:i/>
          <w:spacing w:val="-5"/>
          <w:sz w:val="20"/>
        </w:rPr>
        <w:t xml:space="preserve"> </w:t>
      </w:r>
      <w:r>
        <w:rPr>
          <w:i/>
          <w:sz w:val="20"/>
        </w:rPr>
        <w:t>Duty</w:t>
      </w:r>
      <w:r>
        <w:rPr>
          <w:i/>
          <w:spacing w:val="-4"/>
          <w:sz w:val="20"/>
        </w:rPr>
        <w:t xml:space="preserve"> </w:t>
      </w:r>
      <w:r>
        <w:rPr>
          <w:i/>
          <w:spacing w:val="-2"/>
          <w:sz w:val="20"/>
        </w:rPr>
        <w:t>Measures</w:t>
      </w:r>
      <w:r>
        <w:rPr>
          <w:i/>
          <w:sz w:val="20"/>
        </w:rPr>
        <w:tab/>
      </w:r>
      <w:r>
        <w:rPr>
          <w:sz w:val="20"/>
        </w:rPr>
        <w:t>Australia's</w:t>
      </w:r>
      <w:r>
        <w:rPr>
          <w:spacing w:val="-7"/>
          <w:sz w:val="20"/>
        </w:rPr>
        <w:t xml:space="preserve"> </w:t>
      </w:r>
      <w:r>
        <w:rPr>
          <w:sz w:val="20"/>
        </w:rPr>
        <w:t>First</w:t>
      </w:r>
      <w:r>
        <w:rPr>
          <w:spacing w:val="-2"/>
          <w:sz w:val="20"/>
        </w:rPr>
        <w:t xml:space="preserve"> </w:t>
      </w:r>
      <w:r>
        <w:rPr>
          <w:sz w:val="20"/>
        </w:rPr>
        <w:t>Written</w:t>
      </w:r>
      <w:r>
        <w:rPr>
          <w:spacing w:val="-2"/>
          <w:sz w:val="20"/>
        </w:rPr>
        <w:t xml:space="preserve"> Submission</w:t>
      </w:r>
    </w:p>
    <w:p w14:paraId="51DE7BE9" w14:textId="77777777" w:rsidR="0010369C" w:rsidRDefault="008E43AE">
      <w:pPr>
        <w:tabs>
          <w:tab w:val="left" w:pos="8228"/>
        </w:tabs>
        <w:spacing w:before="1"/>
        <w:ind w:left="239"/>
        <w:jc w:val="both"/>
        <w:rPr>
          <w:sz w:val="20"/>
        </w:rPr>
      </w:pPr>
      <w:r>
        <w:rPr>
          <w:i/>
          <w:sz w:val="20"/>
        </w:rPr>
        <w:t>on</w:t>
      </w:r>
      <w:r>
        <w:rPr>
          <w:i/>
          <w:spacing w:val="-1"/>
          <w:sz w:val="20"/>
        </w:rPr>
        <w:t xml:space="preserve"> </w:t>
      </w:r>
      <w:r>
        <w:rPr>
          <w:i/>
          <w:sz w:val="20"/>
        </w:rPr>
        <w:t>Wine</w:t>
      </w:r>
      <w:r>
        <w:rPr>
          <w:i/>
          <w:spacing w:val="-1"/>
          <w:sz w:val="20"/>
        </w:rPr>
        <w:t xml:space="preserve"> </w:t>
      </w:r>
      <w:r>
        <w:rPr>
          <w:i/>
          <w:sz w:val="20"/>
        </w:rPr>
        <w:t>from</w:t>
      </w:r>
      <w:r>
        <w:rPr>
          <w:i/>
          <w:spacing w:val="-3"/>
          <w:sz w:val="20"/>
        </w:rPr>
        <w:t xml:space="preserve"> </w:t>
      </w:r>
      <w:r>
        <w:rPr>
          <w:i/>
          <w:sz w:val="20"/>
        </w:rPr>
        <w:t>Australia</w:t>
      </w:r>
      <w:r>
        <w:rPr>
          <w:i/>
          <w:spacing w:val="-1"/>
          <w:sz w:val="20"/>
        </w:rPr>
        <w:t xml:space="preserve"> </w:t>
      </w:r>
      <w:r>
        <w:rPr>
          <w:spacing w:val="-2"/>
          <w:sz w:val="20"/>
        </w:rPr>
        <w:t>(DS602)</w:t>
      </w:r>
      <w:r>
        <w:rPr>
          <w:sz w:val="20"/>
        </w:rPr>
        <w:tab/>
        <w:t>29</w:t>
      </w:r>
      <w:r>
        <w:rPr>
          <w:spacing w:val="-1"/>
          <w:sz w:val="20"/>
        </w:rPr>
        <w:t xml:space="preserve"> </w:t>
      </w:r>
      <w:r>
        <w:rPr>
          <w:sz w:val="20"/>
        </w:rPr>
        <w:t>April</w:t>
      </w:r>
      <w:r>
        <w:rPr>
          <w:spacing w:val="-2"/>
          <w:sz w:val="20"/>
        </w:rPr>
        <w:t xml:space="preserve"> </w:t>
      </w:r>
      <w:r>
        <w:rPr>
          <w:spacing w:val="-4"/>
          <w:sz w:val="20"/>
        </w:rPr>
        <w:t>2022</w:t>
      </w:r>
    </w:p>
    <w:p w14:paraId="51DE7BEA" w14:textId="77777777" w:rsidR="0010369C" w:rsidRDefault="008E43AE">
      <w:pPr>
        <w:pStyle w:val="BodyText"/>
        <w:spacing w:before="34" w:line="360" w:lineRule="auto"/>
        <w:ind w:left="1939" w:right="193"/>
        <w:jc w:val="both"/>
      </w:pPr>
      <w:r>
        <w:t>(iii) failed to adequately examine whether subject imports had explanatory force for the alleged suppression of the prices of domestic like products.</w:t>
      </w:r>
    </w:p>
    <w:p w14:paraId="51DE7BEB" w14:textId="77777777" w:rsidR="0010369C" w:rsidRDefault="008E43AE">
      <w:pPr>
        <w:pStyle w:val="ListParagraph"/>
        <w:numPr>
          <w:ilvl w:val="0"/>
          <w:numId w:val="77"/>
        </w:numPr>
        <w:tabs>
          <w:tab w:val="left" w:pos="1939"/>
          <w:tab w:val="left" w:pos="1940"/>
        </w:tabs>
        <w:spacing w:line="360" w:lineRule="auto"/>
        <w:ind w:left="1937" w:right="193" w:hanging="850"/>
        <w:rPr>
          <w:sz w:val="24"/>
        </w:rPr>
      </w:pPr>
      <w:r>
        <w:rPr>
          <w:i/>
          <w:sz w:val="24"/>
        </w:rPr>
        <w:t>Second</w:t>
      </w:r>
      <w:r>
        <w:rPr>
          <w:sz w:val="24"/>
        </w:rPr>
        <w:t>,</w:t>
      </w:r>
      <w:r>
        <w:rPr>
          <w:spacing w:val="-6"/>
          <w:sz w:val="24"/>
        </w:rPr>
        <w:t xml:space="preserve"> </w:t>
      </w:r>
      <w:r>
        <w:rPr>
          <w:sz w:val="24"/>
        </w:rPr>
        <w:t>MOFCOM</w:t>
      </w:r>
      <w:r>
        <w:rPr>
          <w:spacing w:val="-6"/>
          <w:sz w:val="24"/>
        </w:rPr>
        <w:t xml:space="preserve"> </w:t>
      </w:r>
      <w:r>
        <w:rPr>
          <w:sz w:val="24"/>
        </w:rPr>
        <w:t>failed</w:t>
      </w:r>
      <w:r>
        <w:rPr>
          <w:spacing w:val="-7"/>
          <w:sz w:val="24"/>
        </w:rPr>
        <w:t xml:space="preserve"> </w:t>
      </w:r>
      <w:r>
        <w:rPr>
          <w:sz w:val="24"/>
        </w:rPr>
        <w:t>to</w:t>
      </w:r>
      <w:r>
        <w:rPr>
          <w:spacing w:val="-6"/>
          <w:sz w:val="24"/>
        </w:rPr>
        <w:t xml:space="preserve"> </w:t>
      </w:r>
      <w:r>
        <w:rPr>
          <w:sz w:val="24"/>
        </w:rPr>
        <w:t>evaluate</w:t>
      </w:r>
      <w:r>
        <w:rPr>
          <w:spacing w:val="-7"/>
          <w:sz w:val="24"/>
        </w:rPr>
        <w:t xml:space="preserve"> </w:t>
      </w:r>
      <w:r>
        <w:rPr>
          <w:sz w:val="24"/>
        </w:rPr>
        <w:t>all</w:t>
      </w:r>
      <w:r>
        <w:rPr>
          <w:spacing w:val="-6"/>
          <w:sz w:val="24"/>
        </w:rPr>
        <w:t xml:space="preserve"> </w:t>
      </w:r>
      <w:r>
        <w:rPr>
          <w:sz w:val="24"/>
        </w:rPr>
        <w:t>the</w:t>
      </w:r>
      <w:r>
        <w:rPr>
          <w:spacing w:val="-5"/>
          <w:sz w:val="24"/>
        </w:rPr>
        <w:t xml:space="preserve"> </w:t>
      </w:r>
      <w:r>
        <w:rPr>
          <w:sz w:val="24"/>
        </w:rPr>
        <w:t>economic</w:t>
      </w:r>
      <w:r>
        <w:rPr>
          <w:spacing w:val="-5"/>
          <w:sz w:val="24"/>
        </w:rPr>
        <w:t xml:space="preserve"> </w:t>
      </w:r>
      <w:r>
        <w:rPr>
          <w:sz w:val="24"/>
        </w:rPr>
        <w:t>factors</w:t>
      </w:r>
      <w:r>
        <w:rPr>
          <w:spacing w:val="-6"/>
          <w:sz w:val="24"/>
        </w:rPr>
        <w:t xml:space="preserve"> </w:t>
      </w:r>
      <w:r>
        <w:rPr>
          <w:sz w:val="24"/>
        </w:rPr>
        <w:t>bearing</w:t>
      </w:r>
      <w:r>
        <w:rPr>
          <w:spacing w:val="-6"/>
          <w:sz w:val="24"/>
        </w:rPr>
        <w:t xml:space="preserve"> </w:t>
      </w:r>
      <w:r>
        <w:rPr>
          <w:sz w:val="24"/>
        </w:rPr>
        <w:t>on</w:t>
      </w:r>
      <w:r>
        <w:rPr>
          <w:spacing w:val="-6"/>
          <w:sz w:val="24"/>
        </w:rPr>
        <w:t xml:space="preserve"> </w:t>
      </w:r>
      <w:r>
        <w:rPr>
          <w:sz w:val="24"/>
        </w:rPr>
        <w:t>the state of the Chinese bottled win</w:t>
      </w:r>
      <w:r>
        <w:rPr>
          <w:sz w:val="24"/>
        </w:rPr>
        <w:t>e industry. MOFCOM: conducted its evaluation as no more than a mechanical exercise that did not properly examine the alleged explanatory force that Australian imports had on domestic</w:t>
      </w:r>
      <w:r>
        <w:rPr>
          <w:spacing w:val="-13"/>
          <w:sz w:val="24"/>
        </w:rPr>
        <w:t xml:space="preserve"> </w:t>
      </w:r>
      <w:r>
        <w:rPr>
          <w:sz w:val="24"/>
        </w:rPr>
        <w:t>industry;</w:t>
      </w:r>
      <w:r>
        <w:rPr>
          <w:spacing w:val="-13"/>
          <w:sz w:val="24"/>
        </w:rPr>
        <w:t xml:space="preserve"> </w:t>
      </w:r>
      <w:r>
        <w:rPr>
          <w:sz w:val="24"/>
        </w:rPr>
        <w:t>failed</w:t>
      </w:r>
      <w:r>
        <w:rPr>
          <w:spacing w:val="-14"/>
          <w:sz w:val="24"/>
        </w:rPr>
        <w:t xml:space="preserve"> </w:t>
      </w:r>
      <w:r>
        <w:rPr>
          <w:sz w:val="24"/>
        </w:rPr>
        <w:t>to</w:t>
      </w:r>
      <w:r>
        <w:rPr>
          <w:spacing w:val="-13"/>
          <w:sz w:val="24"/>
        </w:rPr>
        <w:t xml:space="preserve"> </w:t>
      </w:r>
      <w:r>
        <w:rPr>
          <w:sz w:val="24"/>
        </w:rPr>
        <w:t>examine</w:t>
      </w:r>
      <w:r>
        <w:rPr>
          <w:spacing w:val="-14"/>
          <w:sz w:val="24"/>
        </w:rPr>
        <w:t xml:space="preserve"> </w:t>
      </w:r>
      <w:r>
        <w:rPr>
          <w:sz w:val="24"/>
        </w:rPr>
        <w:t>"factors</w:t>
      </w:r>
      <w:r>
        <w:rPr>
          <w:spacing w:val="-13"/>
          <w:sz w:val="24"/>
        </w:rPr>
        <w:t xml:space="preserve"> </w:t>
      </w:r>
      <w:r>
        <w:rPr>
          <w:sz w:val="24"/>
        </w:rPr>
        <w:t>affecting</w:t>
      </w:r>
      <w:r>
        <w:rPr>
          <w:spacing w:val="-14"/>
          <w:sz w:val="24"/>
        </w:rPr>
        <w:t xml:space="preserve"> </w:t>
      </w:r>
      <w:r>
        <w:rPr>
          <w:sz w:val="24"/>
        </w:rPr>
        <w:t>domestic</w:t>
      </w:r>
      <w:r>
        <w:rPr>
          <w:spacing w:val="-12"/>
          <w:sz w:val="24"/>
        </w:rPr>
        <w:t xml:space="preserve"> </w:t>
      </w:r>
      <w:r>
        <w:rPr>
          <w:sz w:val="24"/>
        </w:rPr>
        <w:t>prices";</w:t>
      </w:r>
      <w:r>
        <w:rPr>
          <w:spacing w:val="-13"/>
          <w:sz w:val="24"/>
        </w:rPr>
        <w:t xml:space="preserve"> </w:t>
      </w:r>
      <w:r>
        <w:rPr>
          <w:sz w:val="24"/>
        </w:rPr>
        <w:t>and made</w:t>
      </w:r>
      <w:r>
        <w:rPr>
          <w:sz w:val="24"/>
        </w:rPr>
        <w:t xml:space="preserve"> errors in its evaluation of that data.</w:t>
      </w:r>
    </w:p>
    <w:p w14:paraId="51DE7BEC" w14:textId="77777777" w:rsidR="0010369C" w:rsidRDefault="008E43AE">
      <w:pPr>
        <w:pStyle w:val="ListParagraph"/>
        <w:numPr>
          <w:ilvl w:val="0"/>
          <w:numId w:val="77"/>
        </w:numPr>
        <w:tabs>
          <w:tab w:val="left" w:pos="1939"/>
          <w:tab w:val="left" w:pos="1940"/>
        </w:tabs>
        <w:spacing w:line="360" w:lineRule="auto"/>
        <w:ind w:left="1938" w:right="192" w:hanging="850"/>
        <w:rPr>
          <w:sz w:val="24"/>
        </w:rPr>
      </w:pPr>
      <w:r>
        <w:rPr>
          <w:i/>
          <w:sz w:val="24"/>
        </w:rPr>
        <w:t>Third</w:t>
      </w:r>
      <w:r>
        <w:rPr>
          <w:sz w:val="24"/>
        </w:rPr>
        <w:t>, MOFCOM's causation analysis was vitiated by the errors outlined above. Further, MOFCOM failed to conduct a proper analysis to demonstrate the existence of a "genuine and substantial relationship of cause and e</w:t>
      </w:r>
      <w:r>
        <w:rPr>
          <w:sz w:val="24"/>
        </w:rPr>
        <w:t>ffect" between subject imports of Australian bottled wine and injury to the Chinese bottled wine industry and failed to conduct non‐ attribution analyses in relation to other "known" factors.</w:t>
      </w:r>
    </w:p>
    <w:p w14:paraId="51DE7BED" w14:textId="77777777" w:rsidR="0010369C" w:rsidRDefault="008E43AE">
      <w:pPr>
        <w:pStyle w:val="Heading4"/>
        <w:numPr>
          <w:ilvl w:val="2"/>
          <w:numId w:val="80"/>
        </w:numPr>
        <w:tabs>
          <w:tab w:val="left" w:pos="2647"/>
          <w:tab w:val="left" w:pos="2648"/>
        </w:tabs>
        <w:spacing w:before="120"/>
        <w:ind w:left="2647"/>
        <w:jc w:val="both"/>
      </w:pPr>
      <w:bookmarkStart w:id="5" w:name="_TOC_250022"/>
      <w:r>
        <w:t>MOFCOM's</w:t>
      </w:r>
      <w:r>
        <w:rPr>
          <w:spacing w:val="-14"/>
        </w:rPr>
        <w:t xml:space="preserve"> </w:t>
      </w:r>
      <w:r>
        <w:t>imposition</w:t>
      </w:r>
      <w:r>
        <w:rPr>
          <w:spacing w:val="-13"/>
        </w:rPr>
        <w:t xml:space="preserve"> </w:t>
      </w:r>
      <w:r>
        <w:t>of</w:t>
      </w:r>
      <w:r>
        <w:rPr>
          <w:spacing w:val="-12"/>
        </w:rPr>
        <w:t xml:space="preserve"> </w:t>
      </w:r>
      <w:r>
        <w:t>anti‐dumping</w:t>
      </w:r>
      <w:r>
        <w:rPr>
          <w:spacing w:val="-12"/>
        </w:rPr>
        <w:t xml:space="preserve"> </w:t>
      </w:r>
      <w:bookmarkEnd w:id="5"/>
      <w:r>
        <w:rPr>
          <w:spacing w:val="-2"/>
        </w:rPr>
        <w:t>duties</w:t>
      </w:r>
    </w:p>
    <w:p w14:paraId="51DE7BEE" w14:textId="77777777" w:rsidR="0010369C" w:rsidRDefault="0010369C">
      <w:pPr>
        <w:pStyle w:val="BodyText"/>
        <w:spacing w:before="9"/>
        <w:rPr>
          <w:b/>
          <w:sz w:val="20"/>
        </w:rPr>
      </w:pPr>
    </w:p>
    <w:p w14:paraId="51DE7BEF" w14:textId="77777777" w:rsidR="0010369C" w:rsidRDefault="008E43AE">
      <w:pPr>
        <w:pStyle w:val="BodyText"/>
        <w:spacing w:before="52" w:line="360" w:lineRule="auto"/>
        <w:ind w:left="237" w:right="194" w:firstLine="851"/>
        <w:jc w:val="both"/>
      </w:pPr>
      <w:r>
        <w:rPr>
          <w:noProof/>
        </w:rPr>
        <w:drawing>
          <wp:anchor distT="0" distB="0" distL="0" distR="0" simplePos="0" relativeHeight="250710528" behindDoc="1" locked="0" layoutInCell="1" allowOverlap="1" wp14:anchorId="51DE9D23" wp14:editId="51DE9D24">
            <wp:simplePos x="0" y="0"/>
            <wp:positionH relativeFrom="page">
              <wp:posOffset>908303</wp:posOffset>
            </wp:positionH>
            <wp:positionV relativeFrom="paragraph">
              <wp:posOffset>81187</wp:posOffset>
            </wp:positionV>
            <wp:extent cx="176784" cy="100753"/>
            <wp:effectExtent l="0" t="0" r="0" b="0"/>
            <wp:wrapNone/>
            <wp:docPr id="2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4.png"/>
                    <pic:cNvPicPr/>
                  </pic:nvPicPr>
                  <pic:blipFill>
                    <a:blip r:embed="rId42" cstate="print"/>
                    <a:stretch>
                      <a:fillRect/>
                    </a:stretch>
                  </pic:blipFill>
                  <pic:spPr>
                    <a:xfrm>
                      <a:off x="0" y="0"/>
                      <a:ext cx="176784" cy="100753"/>
                    </a:xfrm>
                    <a:prstGeom prst="rect">
                      <a:avLst/>
                    </a:prstGeom>
                  </pic:spPr>
                </pic:pic>
              </a:graphicData>
            </a:graphic>
          </wp:anchor>
        </w:drawing>
      </w:r>
      <w:r>
        <w:t>In</w:t>
      </w:r>
      <w:r>
        <w:rPr>
          <w:spacing w:val="-14"/>
        </w:rPr>
        <w:t xml:space="preserve"> </w:t>
      </w:r>
      <w:r>
        <w:t>section</w:t>
      </w:r>
      <w:r>
        <w:rPr>
          <w:spacing w:val="-14"/>
        </w:rPr>
        <w:t xml:space="preserve"> </w:t>
      </w:r>
      <w:r>
        <w:t>V,</w:t>
      </w:r>
      <w:r>
        <w:rPr>
          <w:spacing w:val="-13"/>
        </w:rPr>
        <w:t xml:space="preserve"> </w:t>
      </w:r>
      <w:r>
        <w:t>in</w:t>
      </w:r>
      <w:r>
        <w:rPr>
          <w:spacing w:val="-14"/>
        </w:rPr>
        <w:t xml:space="preserve"> </w:t>
      </w:r>
      <w:r>
        <w:t>relation</w:t>
      </w:r>
      <w:r>
        <w:rPr>
          <w:spacing w:val="-13"/>
        </w:rPr>
        <w:t xml:space="preserve"> </w:t>
      </w:r>
      <w:r>
        <w:t>to</w:t>
      </w:r>
      <w:r>
        <w:rPr>
          <w:spacing w:val="-14"/>
        </w:rPr>
        <w:t xml:space="preserve"> </w:t>
      </w:r>
      <w:r>
        <w:t>MOFCOM's</w:t>
      </w:r>
      <w:r>
        <w:rPr>
          <w:spacing w:val="-13"/>
        </w:rPr>
        <w:t xml:space="preserve"> </w:t>
      </w:r>
      <w:r>
        <w:t>imposition</w:t>
      </w:r>
      <w:r>
        <w:rPr>
          <w:spacing w:val="-14"/>
        </w:rPr>
        <w:t xml:space="preserve"> </w:t>
      </w:r>
      <w:r>
        <w:t>of</w:t>
      </w:r>
      <w:r>
        <w:rPr>
          <w:spacing w:val="-14"/>
        </w:rPr>
        <w:t xml:space="preserve"> </w:t>
      </w:r>
      <w:r>
        <w:t>duties,</w:t>
      </w:r>
      <w:r>
        <w:rPr>
          <w:spacing w:val="-13"/>
        </w:rPr>
        <w:t xml:space="preserve"> </w:t>
      </w:r>
      <w:r>
        <w:t>Australia</w:t>
      </w:r>
      <w:r>
        <w:rPr>
          <w:spacing w:val="-14"/>
        </w:rPr>
        <w:t xml:space="preserve"> </w:t>
      </w:r>
      <w:r>
        <w:t>will</w:t>
      </w:r>
      <w:r>
        <w:rPr>
          <w:spacing w:val="-13"/>
        </w:rPr>
        <w:t xml:space="preserve"> </w:t>
      </w:r>
      <w:r>
        <w:t>demonstrate that China acted inconsistently with its WTO obligations under Articles 1, 9.1, 9.2 and 9.3 of the Anti‐Dumping Agreement, and Articles VI:2 of the GATT 1994 in the following respects:</w:t>
      </w:r>
    </w:p>
    <w:p w14:paraId="51DE7BF0" w14:textId="77777777" w:rsidR="0010369C" w:rsidRDefault="008E43AE">
      <w:pPr>
        <w:pStyle w:val="ListParagraph"/>
        <w:numPr>
          <w:ilvl w:val="0"/>
          <w:numId w:val="77"/>
        </w:numPr>
        <w:tabs>
          <w:tab w:val="left" w:pos="1939"/>
          <w:tab w:val="left" w:pos="1940"/>
        </w:tabs>
        <w:spacing w:before="160" w:line="357" w:lineRule="auto"/>
        <w:ind w:right="192"/>
        <w:rPr>
          <w:sz w:val="24"/>
        </w:rPr>
      </w:pPr>
      <w:r>
        <w:rPr>
          <w:sz w:val="24"/>
        </w:rPr>
        <w:t>C</w:t>
      </w:r>
      <w:r>
        <w:rPr>
          <w:sz w:val="24"/>
        </w:rPr>
        <w:t>hina improperly imposed anti‐dumping duties where all requirements for their imposition had not been fulfilled; did not impose anti‐dumping duties in appropriate amounts and imposed anti‐dumping duties in excess of the margin of dumping that could have bee</w:t>
      </w:r>
      <w:r>
        <w:rPr>
          <w:sz w:val="24"/>
        </w:rPr>
        <w:t>n established under Article 2 of the Anti‐Dumping Agreement (if any).</w:t>
      </w:r>
    </w:p>
    <w:p w14:paraId="51DE7BF1" w14:textId="77777777" w:rsidR="0010369C" w:rsidRDefault="008E43AE">
      <w:pPr>
        <w:pStyle w:val="Heading4"/>
        <w:numPr>
          <w:ilvl w:val="2"/>
          <w:numId w:val="80"/>
        </w:numPr>
        <w:tabs>
          <w:tab w:val="left" w:pos="2648"/>
          <w:tab w:val="left" w:pos="2649"/>
        </w:tabs>
        <w:spacing w:before="135"/>
        <w:ind w:left="2648" w:hanging="852"/>
        <w:jc w:val="both"/>
      </w:pPr>
      <w:bookmarkStart w:id="6" w:name="_TOC_250021"/>
      <w:r>
        <w:t>MOFCOM's</w:t>
      </w:r>
      <w:r>
        <w:rPr>
          <w:spacing w:val="-9"/>
        </w:rPr>
        <w:t xml:space="preserve"> </w:t>
      </w:r>
      <w:r>
        <w:t>initiation</w:t>
      </w:r>
      <w:r>
        <w:rPr>
          <w:spacing w:val="-9"/>
        </w:rPr>
        <w:t xml:space="preserve"> </w:t>
      </w:r>
      <w:r>
        <w:t>of</w:t>
      </w:r>
      <w:r>
        <w:rPr>
          <w:spacing w:val="-7"/>
        </w:rPr>
        <w:t xml:space="preserve"> </w:t>
      </w:r>
      <w:r>
        <w:t>the</w:t>
      </w:r>
      <w:r>
        <w:rPr>
          <w:spacing w:val="-7"/>
        </w:rPr>
        <w:t xml:space="preserve"> </w:t>
      </w:r>
      <w:bookmarkEnd w:id="6"/>
      <w:r>
        <w:rPr>
          <w:spacing w:val="-2"/>
        </w:rPr>
        <w:t>investigation</w:t>
      </w:r>
    </w:p>
    <w:p w14:paraId="51DE7BF2" w14:textId="77777777" w:rsidR="0010369C" w:rsidRDefault="0010369C">
      <w:pPr>
        <w:pStyle w:val="BodyText"/>
        <w:spacing w:before="10"/>
        <w:rPr>
          <w:b/>
          <w:sz w:val="20"/>
        </w:rPr>
      </w:pPr>
    </w:p>
    <w:p w14:paraId="51DE7BF3" w14:textId="77777777" w:rsidR="0010369C" w:rsidRDefault="008E43AE">
      <w:pPr>
        <w:pStyle w:val="BodyText"/>
        <w:spacing w:before="52" w:line="360" w:lineRule="auto"/>
        <w:ind w:left="237" w:firstLine="851"/>
      </w:pPr>
      <w:r>
        <w:rPr>
          <w:noProof/>
        </w:rPr>
        <w:drawing>
          <wp:anchor distT="0" distB="0" distL="0" distR="0" simplePos="0" relativeHeight="250711552" behindDoc="1" locked="0" layoutInCell="1" allowOverlap="1" wp14:anchorId="51DE9D25" wp14:editId="51DE9D26">
            <wp:simplePos x="0" y="0"/>
            <wp:positionH relativeFrom="page">
              <wp:posOffset>908303</wp:posOffset>
            </wp:positionH>
            <wp:positionV relativeFrom="paragraph">
              <wp:posOffset>76785</wp:posOffset>
            </wp:positionV>
            <wp:extent cx="176784" cy="106679"/>
            <wp:effectExtent l="0" t="0" r="0" b="0"/>
            <wp:wrapNone/>
            <wp:docPr id="23"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5.png"/>
                    <pic:cNvPicPr/>
                  </pic:nvPicPr>
                  <pic:blipFill>
                    <a:blip r:embed="rId43" cstate="print"/>
                    <a:stretch>
                      <a:fillRect/>
                    </a:stretch>
                  </pic:blipFill>
                  <pic:spPr>
                    <a:xfrm>
                      <a:off x="0" y="0"/>
                      <a:ext cx="176784" cy="106679"/>
                    </a:xfrm>
                    <a:prstGeom prst="rect">
                      <a:avLst/>
                    </a:prstGeom>
                  </pic:spPr>
                </pic:pic>
              </a:graphicData>
            </a:graphic>
          </wp:anchor>
        </w:drawing>
      </w:r>
      <w:r>
        <w:t>In section VI, in relation to MOFCOM's initiation of the investigation, Australia will demonstrate</w:t>
      </w:r>
      <w:r>
        <w:rPr>
          <w:spacing w:val="-4"/>
        </w:rPr>
        <w:t xml:space="preserve"> </w:t>
      </w:r>
      <w:r>
        <w:t>that</w:t>
      </w:r>
      <w:r>
        <w:rPr>
          <w:spacing w:val="-5"/>
        </w:rPr>
        <w:t xml:space="preserve"> </w:t>
      </w:r>
      <w:r>
        <w:t>China</w:t>
      </w:r>
      <w:r>
        <w:rPr>
          <w:spacing w:val="-5"/>
        </w:rPr>
        <w:t xml:space="preserve"> </w:t>
      </w:r>
      <w:r>
        <w:t>acted</w:t>
      </w:r>
      <w:r>
        <w:rPr>
          <w:spacing w:val="-5"/>
        </w:rPr>
        <w:t xml:space="preserve"> </w:t>
      </w:r>
      <w:r>
        <w:t>inconsistently</w:t>
      </w:r>
      <w:r>
        <w:rPr>
          <w:spacing w:val="-3"/>
        </w:rPr>
        <w:t xml:space="preserve"> </w:t>
      </w:r>
      <w:r>
        <w:t>with</w:t>
      </w:r>
      <w:r>
        <w:rPr>
          <w:spacing w:val="-5"/>
        </w:rPr>
        <w:t xml:space="preserve"> </w:t>
      </w:r>
      <w:r>
        <w:t>its</w:t>
      </w:r>
      <w:r>
        <w:rPr>
          <w:spacing w:val="-5"/>
        </w:rPr>
        <w:t xml:space="preserve"> </w:t>
      </w:r>
      <w:r>
        <w:t>WTO</w:t>
      </w:r>
      <w:r>
        <w:rPr>
          <w:spacing w:val="-6"/>
        </w:rPr>
        <w:t xml:space="preserve"> </w:t>
      </w:r>
      <w:r>
        <w:t>obligations</w:t>
      </w:r>
      <w:r>
        <w:rPr>
          <w:spacing w:val="-4"/>
        </w:rPr>
        <w:t xml:space="preserve"> </w:t>
      </w:r>
      <w:r>
        <w:t>under</w:t>
      </w:r>
      <w:r>
        <w:rPr>
          <w:spacing w:val="-4"/>
        </w:rPr>
        <w:t xml:space="preserve"> </w:t>
      </w:r>
      <w:r>
        <w:t>Articles</w:t>
      </w:r>
      <w:r>
        <w:rPr>
          <w:spacing w:val="-5"/>
        </w:rPr>
        <w:t xml:space="preserve"> </w:t>
      </w:r>
      <w:r>
        <w:t>5.2,</w:t>
      </w:r>
      <w:r>
        <w:rPr>
          <w:spacing w:val="-5"/>
        </w:rPr>
        <w:t xml:space="preserve"> </w:t>
      </w:r>
      <w:r>
        <w:rPr>
          <w:spacing w:val="-4"/>
        </w:rPr>
        <w:t>5.3,</w:t>
      </w:r>
    </w:p>
    <w:p w14:paraId="51DE7BF4" w14:textId="77777777" w:rsidR="0010369C" w:rsidRDefault="008E43AE">
      <w:pPr>
        <w:pStyle w:val="ListParagraph"/>
        <w:numPr>
          <w:ilvl w:val="1"/>
          <w:numId w:val="76"/>
        </w:numPr>
        <w:tabs>
          <w:tab w:val="left" w:pos="596"/>
        </w:tabs>
        <w:spacing w:before="1"/>
        <w:ind w:hanging="359"/>
        <w:rPr>
          <w:sz w:val="24"/>
        </w:rPr>
      </w:pPr>
      <w:r>
        <w:rPr>
          <w:sz w:val="24"/>
        </w:rPr>
        <w:t>and</w:t>
      </w:r>
      <w:r>
        <w:rPr>
          <w:spacing w:val="-8"/>
          <w:sz w:val="24"/>
        </w:rPr>
        <w:t xml:space="preserve"> </w:t>
      </w:r>
      <w:r>
        <w:rPr>
          <w:sz w:val="24"/>
        </w:rPr>
        <w:t>5.8</w:t>
      </w:r>
      <w:r>
        <w:rPr>
          <w:spacing w:val="-6"/>
          <w:sz w:val="24"/>
        </w:rPr>
        <w:t xml:space="preserve"> </w:t>
      </w:r>
      <w:r>
        <w:rPr>
          <w:sz w:val="24"/>
        </w:rPr>
        <w:t>of</w:t>
      </w:r>
      <w:r>
        <w:rPr>
          <w:spacing w:val="-8"/>
          <w:sz w:val="24"/>
        </w:rPr>
        <w:t xml:space="preserve"> </w:t>
      </w:r>
      <w:r>
        <w:rPr>
          <w:sz w:val="24"/>
        </w:rPr>
        <w:t>the</w:t>
      </w:r>
      <w:r>
        <w:rPr>
          <w:spacing w:val="-6"/>
          <w:sz w:val="24"/>
        </w:rPr>
        <w:t xml:space="preserve"> </w:t>
      </w:r>
      <w:r>
        <w:rPr>
          <w:sz w:val="24"/>
        </w:rPr>
        <w:t>Anti‐Dumping</w:t>
      </w:r>
      <w:r>
        <w:rPr>
          <w:spacing w:val="-7"/>
          <w:sz w:val="24"/>
        </w:rPr>
        <w:t xml:space="preserve"> </w:t>
      </w:r>
      <w:r>
        <w:rPr>
          <w:sz w:val="24"/>
        </w:rPr>
        <w:t>Agreement</w:t>
      </w:r>
      <w:r>
        <w:rPr>
          <w:spacing w:val="-7"/>
          <w:sz w:val="24"/>
        </w:rPr>
        <w:t xml:space="preserve"> </w:t>
      </w:r>
      <w:r>
        <w:rPr>
          <w:sz w:val="24"/>
        </w:rPr>
        <w:t>in</w:t>
      </w:r>
      <w:r>
        <w:rPr>
          <w:spacing w:val="-7"/>
          <w:sz w:val="24"/>
        </w:rPr>
        <w:t xml:space="preserve"> </w:t>
      </w:r>
      <w:r>
        <w:rPr>
          <w:sz w:val="24"/>
        </w:rPr>
        <w:t>the</w:t>
      </w:r>
      <w:r>
        <w:rPr>
          <w:spacing w:val="-7"/>
          <w:sz w:val="24"/>
        </w:rPr>
        <w:t xml:space="preserve"> </w:t>
      </w:r>
      <w:r>
        <w:rPr>
          <w:sz w:val="24"/>
        </w:rPr>
        <w:t>following</w:t>
      </w:r>
      <w:r>
        <w:rPr>
          <w:spacing w:val="-6"/>
          <w:sz w:val="24"/>
        </w:rPr>
        <w:t xml:space="preserve"> </w:t>
      </w:r>
      <w:r>
        <w:rPr>
          <w:spacing w:val="-2"/>
          <w:sz w:val="24"/>
        </w:rPr>
        <w:t>respects:</w:t>
      </w:r>
    </w:p>
    <w:p w14:paraId="51DE7BF5" w14:textId="77777777" w:rsidR="0010369C" w:rsidRDefault="0010369C">
      <w:pPr>
        <w:pStyle w:val="BodyText"/>
        <w:spacing w:before="1"/>
        <w:rPr>
          <w:sz w:val="25"/>
        </w:rPr>
      </w:pPr>
    </w:p>
    <w:p w14:paraId="51DE7BF6" w14:textId="77777777" w:rsidR="0010369C" w:rsidRDefault="008E43AE">
      <w:pPr>
        <w:pStyle w:val="ListParagraph"/>
        <w:numPr>
          <w:ilvl w:val="2"/>
          <w:numId w:val="76"/>
        </w:numPr>
        <w:tabs>
          <w:tab w:val="left" w:pos="1939"/>
          <w:tab w:val="left" w:pos="1940"/>
        </w:tabs>
        <w:spacing w:before="0" w:line="352" w:lineRule="auto"/>
        <w:ind w:right="193"/>
        <w:jc w:val="left"/>
        <w:rPr>
          <w:sz w:val="24"/>
        </w:rPr>
      </w:pPr>
      <w:r>
        <w:rPr>
          <w:i/>
          <w:sz w:val="24"/>
        </w:rPr>
        <w:t>First</w:t>
      </w:r>
      <w:r>
        <w:rPr>
          <w:sz w:val="24"/>
        </w:rPr>
        <w:t>, MOFCOM improperly</w:t>
      </w:r>
      <w:r>
        <w:rPr>
          <w:spacing w:val="26"/>
          <w:sz w:val="24"/>
        </w:rPr>
        <w:t xml:space="preserve"> </w:t>
      </w:r>
      <w:r>
        <w:rPr>
          <w:sz w:val="24"/>
        </w:rPr>
        <w:t>initiated the investigation following receipt of the application by CADA which failed to provide a list of known producers</w:t>
      </w:r>
    </w:p>
    <w:p w14:paraId="51DE7BF7" w14:textId="77777777" w:rsidR="0010369C" w:rsidRDefault="0010369C">
      <w:pPr>
        <w:spacing w:line="352" w:lineRule="auto"/>
        <w:rPr>
          <w:sz w:val="24"/>
        </w:rPr>
        <w:sectPr w:rsidR="0010369C">
          <w:pgSz w:w="11910" w:h="16840"/>
          <w:pgMar w:top="880" w:right="1220" w:bottom="980" w:left="1180" w:header="569" w:footer="788" w:gutter="0"/>
          <w:cols w:space="720"/>
        </w:sectPr>
      </w:pPr>
    </w:p>
    <w:p w14:paraId="51DE7BF8" w14:textId="77777777" w:rsidR="0010369C" w:rsidRDefault="008E43AE">
      <w:pPr>
        <w:tabs>
          <w:tab w:val="left" w:pos="6426"/>
        </w:tabs>
        <w:ind w:left="238"/>
        <w:jc w:val="both"/>
        <w:rPr>
          <w:sz w:val="20"/>
        </w:rPr>
      </w:pPr>
      <w:r>
        <w:rPr>
          <w:i/>
          <w:sz w:val="20"/>
        </w:rPr>
        <w:lastRenderedPageBreak/>
        <w:t>China</w:t>
      </w:r>
      <w:r>
        <w:rPr>
          <w:i/>
          <w:spacing w:val="-5"/>
          <w:sz w:val="20"/>
        </w:rPr>
        <w:t xml:space="preserve"> </w:t>
      </w:r>
      <w:r>
        <w:rPr>
          <w:i/>
          <w:sz w:val="20"/>
        </w:rPr>
        <w:t>–</w:t>
      </w:r>
      <w:r>
        <w:rPr>
          <w:i/>
          <w:spacing w:val="-5"/>
          <w:sz w:val="20"/>
        </w:rPr>
        <w:t xml:space="preserve"> </w:t>
      </w:r>
      <w:r>
        <w:rPr>
          <w:i/>
          <w:sz w:val="20"/>
        </w:rPr>
        <w:t>Anti‐Dumping</w:t>
      </w:r>
      <w:r>
        <w:rPr>
          <w:i/>
          <w:spacing w:val="-4"/>
          <w:sz w:val="20"/>
        </w:rPr>
        <w:t xml:space="preserve"> </w:t>
      </w:r>
      <w:r>
        <w:rPr>
          <w:i/>
          <w:sz w:val="20"/>
        </w:rPr>
        <w:t>and</w:t>
      </w:r>
      <w:r>
        <w:rPr>
          <w:i/>
          <w:spacing w:val="-5"/>
          <w:sz w:val="20"/>
        </w:rPr>
        <w:t xml:space="preserve"> </w:t>
      </w:r>
      <w:r>
        <w:rPr>
          <w:i/>
          <w:sz w:val="20"/>
        </w:rPr>
        <w:t>Countervailing</w:t>
      </w:r>
      <w:r>
        <w:rPr>
          <w:i/>
          <w:spacing w:val="-5"/>
          <w:sz w:val="20"/>
        </w:rPr>
        <w:t xml:space="preserve"> </w:t>
      </w:r>
      <w:r>
        <w:rPr>
          <w:i/>
          <w:sz w:val="20"/>
        </w:rPr>
        <w:t>Duty</w:t>
      </w:r>
      <w:r>
        <w:rPr>
          <w:i/>
          <w:spacing w:val="-4"/>
          <w:sz w:val="20"/>
        </w:rPr>
        <w:t xml:space="preserve"> </w:t>
      </w:r>
      <w:r>
        <w:rPr>
          <w:i/>
          <w:spacing w:val="-2"/>
          <w:sz w:val="20"/>
        </w:rPr>
        <w:t>Measures</w:t>
      </w:r>
      <w:r>
        <w:rPr>
          <w:i/>
          <w:sz w:val="20"/>
        </w:rPr>
        <w:tab/>
      </w:r>
      <w:r>
        <w:rPr>
          <w:sz w:val="20"/>
        </w:rPr>
        <w:t>Australia's</w:t>
      </w:r>
      <w:r>
        <w:rPr>
          <w:spacing w:val="-7"/>
          <w:sz w:val="20"/>
        </w:rPr>
        <w:t xml:space="preserve"> </w:t>
      </w:r>
      <w:r>
        <w:rPr>
          <w:sz w:val="20"/>
        </w:rPr>
        <w:t>First</w:t>
      </w:r>
      <w:r>
        <w:rPr>
          <w:spacing w:val="-2"/>
          <w:sz w:val="20"/>
        </w:rPr>
        <w:t xml:space="preserve"> </w:t>
      </w:r>
      <w:r>
        <w:rPr>
          <w:sz w:val="20"/>
        </w:rPr>
        <w:t>Written</w:t>
      </w:r>
      <w:r>
        <w:rPr>
          <w:spacing w:val="-2"/>
          <w:sz w:val="20"/>
        </w:rPr>
        <w:t xml:space="preserve"> Submission</w:t>
      </w:r>
    </w:p>
    <w:p w14:paraId="51DE7BF9" w14:textId="77777777" w:rsidR="0010369C" w:rsidRDefault="008E43AE">
      <w:pPr>
        <w:tabs>
          <w:tab w:val="left" w:pos="8228"/>
        </w:tabs>
        <w:spacing w:before="1"/>
        <w:ind w:left="239"/>
        <w:jc w:val="both"/>
        <w:rPr>
          <w:sz w:val="20"/>
        </w:rPr>
      </w:pPr>
      <w:r>
        <w:rPr>
          <w:i/>
          <w:sz w:val="20"/>
        </w:rPr>
        <w:t>on</w:t>
      </w:r>
      <w:r>
        <w:rPr>
          <w:i/>
          <w:spacing w:val="-1"/>
          <w:sz w:val="20"/>
        </w:rPr>
        <w:t xml:space="preserve"> </w:t>
      </w:r>
      <w:r>
        <w:rPr>
          <w:i/>
          <w:sz w:val="20"/>
        </w:rPr>
        <w:t>Wine</w:t>
      </w:r>
      <w:r>
        <w:rPr>
          <w:i/>
          <w:spacing w:val="-1"/>
          <w:sz w:val="20"/>
        </w:rPr>
        <w:t xml:space="preserve"> </w:t>
      </w:r>
      <w:r>
        <w:rPr>
          <w:i/>
          <w:sz w:val="20"/>
        </w:rPr>
        <w:t>from</w:t>
      </w:r>
      <w:r>
        <w:rPr>
          <w:i/>
          <w:spacing w:val="-3"/>
          <w:sz w:val="20"/>
        </w:rPr>
        <w:t xml:space="preserve"> </w:t>
      </w:r>
      <w:r>
        <w:rPr>
          <w:i/>
          <w:sz w:val="20"/>
        </w:rPr>
        <w:t>Australia</w:t>
      </w:r>
      <w:r>
        <w:rPr>
          <w:i/>
          <w:spacing w:val="-1"/>
          <w:sz w:val="20"/>
        </w:rPr>
        <w:t xml:space="preserve"> </w:t>
      </w:r>
      <w:r>
        <w:rPr>
          <w:spacing w:val="-2"/>
          <w:sz w:val="20"/>
        </w:rPr>
        <w:t>(DS602)</w:t>
      </w:r>
      <w:r>
        <w:rPr>
          <w:sz w:val="20"/>
        </w:rPr>
        <w:tab/>
        <w:t>29</w:t>
      </w:r>
      <w:r>
        <w:rPr>
          <w:spacing w:val="-1"/>
          <w:sz w:val="20"/>
        </w:rPr>
        <w:t xml:space="preserve"> </w:t>
      </w:r>
      <w:r>
        <w:rPr>
          <w:sz w:val="20"/>
        </w:rPr>
        <w:t>April</w:t>
      </w:r>
      <w:r>
        <w:rPr>
          <w:spacing w:val="-2"/>
          <w:sz w:val="20"/>
        </w:rPr>
        <w:t xml:space="preserve"> </w:t>
      </w:r>
      <w:r>
        <w:rPr>
          <w:spacing w:val="-4"/>
          <w:sz w:val="20"/>
        </w:rPr>
        <w:t>2022</w:t>
      </w:r>
    </w:p>
    <w:p w14:paraId="51DE7BFA" w14:textId="77777777" w:rsidR="0010369C" w:rsidRDefault="008E43AE">
      <w:pPr>
        <w:pStyle w:val="BodyText"/>
        <w:spacing w:before="34" w:line="360" w:lineRule="auto"/>
        <w:ind w:left="1938" w:right="193" w:firstLine="1"/>
        <w:jc w:val="both"/>
      </w:pPr>
      <w:r>
        <w:t>and did not properly "identify the industry on behalf of which the applications were made". MOFCOM also failed to examine the degree of support, or opposition to the application.</w:t>
      </w:r>
    </w:p>
    <w:p w14:paraId="51DE7BFB" w14:textId="77777777" w:rsidR="0010369C" w:rsidRDefault="008E43AE">
      <w:pPr>
        <w:pStyle w:val="ListParagraph"/>
        <w:numPr>
          <w:ilvl w:val="2"/>
          <w:numId w:val="76"/>
        </w:numPr>
        <w:tabs>
          <w:tab w:val="left" w:pos="1938"/>
          <w:tab w:val="left" w:pos="1939"/>
        </w:tabs>
        <w:spacing w:line="357" w:lineRule="auto"/>
        <w:ind w:left="1938" w:right="193"/>
        <w:rPr>
          <w:sz w:val="24"/>
        </w:rPr>
      </w:pPr>
      <w:r>
        <w:rPr>
          <w:i/>
          <w:sz w:val="24"/>
        </w:rPr>
        <w:t>Second</w:t>
      </w:r>
      <w:r>
        <w:rPr>
          <w:sz w:val="24"/>
        </w:rPr>
        <w:t xml:space="preserve">, MOFCOM improperly initiated the investigation on the basis of information provided by CADA that was not of the "quantity" and "quality" to meet the threshold of "sufficient evidence to justify the initiation of an </w:t>
      </w:r>
      <w:r>
        <w:rPr>
          <w:spacing w:val="-2"/>
          <w:sz w:val="24"/>
        </w:rPr>
        <w:t>investigation".</w:t>
      </w:r>
    </w:p>
    <w:p w14:paraId="51DE7BFC" w14:textId="77777777" w:rsidR="0010369C" w:rsidRDefault="008E43AE">
      <w:pPr>
        <w:pStyle w:val="Heading4"/>
        <w:numPr>
          <w:ilvl w:val="2"/>
          <w:numId w:val="80"/>
        </w:numPr>
        <w:tabs>
          <w:tab w:val="left" w:pos="2648"/>
          <w:tab w:val="left" w:pos="2649"/>
        </w:tabs>
        <w:spacing w:before="133"/>
        <w:ind w:left="2648" w:hanging="852"/>
        <w:jc w:val="both"/>
      </w:pPr>
      <w:bookmarkStart w:id="7" w:name="_TOC_250020"/>
      <w:r>
        <w:t>MOFCOM's</w:t>
      </w:r>
      <w:r>
        <w:rPr>
          <w:spacing w:val="-10"/>
        </w:rPr>
        <w:t xml:space="preserve"> </w:t>
      </w:r>
      <w:r>
        <w:t>conduct</w:t>
      </w:r>
      <w:r>
        <w:rPr>
          <w:spacing w:val="-9"/>
        </w:rPr>
        <w:t xml:space="preserve"> </w:t>
      </w:r>
      <w:r>
        <w:t>of</w:t>
      </w:r>
      <w:r>
        <w:rPr>
          <w:spacing w:val="-8"/>
        </w:rPr>
        <w:t xml:space="preserve"> </w:t>
      </w:r>
      <w:r>
        <w:t>the</w:t>
      </w:r>
      <w:r>
        <w:rPr>
          <w:spacing w:val="-8"/>
        </w:rPr>
        <w:t xml:space="preserve"> </w:t>
      </w:r>
      <w:bookmarkEnd w:id="7"/>
      <w:r>
        <w:rPr>
          <w:spacing w:val="-2"/>
        </w:rPr>
        <w:t>investigation</w:t>
      </w:r>
    </w:p>
    <w:p w14:paraId="51DE7BFD" w14:textId="77777777" w:rsidR="0010369C" w:rsidRDefault="0010369C">
      <w:pPr>
        <w:pStyle w:val="BodyText"/>
        <w:spacing w:before="8"/>
        <w:rPr>
          <w:b/>
          <w:sz w:val="20"/>
        </w:rPr>
      </w:pPr>
    </w:p>
    <w:p w14:paraId="51DE7BFE" w14:textId="77777777" w:rsidR="0010369C" w:rsidRDefault="008E43AE">
      <w:pPr>
        <w:pStyle w:val="BodyText"/>
        <w:spacing w:before="52" w:line="360" w:lineRule="auto"/>
        <w:ind w:left="237" w:right="194" w:firstLine="851"/>
        <w:jc w:val="both"/>
      </w:pPr>
      <w:r>
        <w:rPr>
          <w:noProof/>
        </w:rPr>
        <w:drawing>
          <wp:anchor distT="0" distB="0" distL="0" distR="0" simplePos="0" relativeHeight="250712576" behindDoc="1" locked="0" layoutInCell="1" allowOverlap="1" wp14:anchorId="51DE9D27" wp14:editId="51DE9D28">
            <wp:simplePos x="0" y="0"/>
            <wp:positionH relativeFrom="page">
              <wp:posOffset>908303</wp:posOffset>
            </wp:positionH>
            <wp:positionV relativeFrom="paragraph">
              <wp:posOffset>76785</wp:posOffset>
            </wp:positionV>
            <wp:extent cx="176784" cy="106679"/>
            <wp:effectExtent l="0" t="0" r="0" b="0"/>
            <wp:wrapNone/>
            <wp:docPr id="2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6.png"/>
                    <pic:cNvPicPr/>
                  </pic:nvPicPr>
                  <pic:blipFill>
                    <a:blip r:embed="rId44" cstate="print"/>
                    <a:stretch>
                      <a:fillRect/>
                    </a:stretch>
                  </pic:blipFill>
                  <pic:spPr>
                    <a:xfrm>
                      <a:off x="0" y="0"/>
                      <a:ext cx="176784" cy="106679"/>
                    </a:xfrm>
                    <a:prstGeom prst="rect">
                      <a:avLst/>
                    </a:prstGeom>
                  </pic:spPr>
                </pic:pic>
              </a:graphicData>
            </a:graphic>
          </wp:anchor>
        </w:drawing>
      </w:r>
      <w:r>
        <w:t>In section VII, in relation to MOFCOM's conduct of the investigation, Australia will demonstrate that China acted inconsistently with its WTO obligations under Articles 6.1, 6.2, 6.4, 6.5, 6.6, 6.9, 6.10, 12.1 and 12.2 of the Anti‐Dumping A</w:t>
      </w:r>
      <w:r>
        <w:t xml:space="preserve">greement, in the following </w:t>
      </w:r>
      <w:r>
        <w:rPr>
          <w:spacing w:val="-2"/>
        </w:rPr>
        <w:t>respects:</w:t>
      </w:r>
    </w:p>
    <w:p w14:paraId="51DE7BFF" w14:textId="77777777" w:rsidR="0010369C" w:rsidRDefault="008E43AE">
      <w:pPr>
        <w:pStyle w:val="ListParagraph"/>
        <w:numPr>
          <w:ilvl w:val="2"/>
          <w:numId w:val="76"/>
        </w:numPr>
        <w:tabs>
          <w:tab w:val="left" w:pos="1939"/>
          <w:tab w:val="left" w:pos="1940"/>
        </w:tabs>
        <w:spacing w:before="161" w:line="360" w:lineRule="auto"/>
        <w:ind w:left="1937" w:right="193" w:hanging="850"/>
        <w:rPr>
          <w:sz w:val="24"/>
        </w:rPr>
      </w:pPr>
      <w:r>
        <w:rPr>
          <w:sz w:val="24"/>
        </w:rPr>
        <w:t>MOFCOM failed to observe the framework of procedural and due process obligations</w:t>
      </w:r>
      <w:r>
        <w:rPr>
          <w:spacing w:val="-10"/>
          <w:sz w:val="24"/>
        </w:rPr>
        <w:t xml:space="preserve"> </w:t>
      </w:r>
      <w:r>
        <w:rPr>
          <w:sz w:val="24"/>
        </w:rPr>
        <w:t>set</w:t>
      </w:r>
      <w:r>
        <w:rPr>
          <w:spacing w:val="-10"/>
          <w:sz w:val="24"/>
        </w:rPr>
        <w:t xml:space="preserve"> </w:t>
      </w:r>
      <w:r>
        <w:rPr>
          <w:sz w:val="24"/>
        </w:rPr>
        <w:t>out</w:t>
      </w:r>
      <w:r>
        <w:rPr>
          <w:spacing w:val="-10"/>
          <w:sz w:val="24"/>
        </w:rPr>
        <w:t xml:space="preserve"> </w:t>
      </w:r>
      <w:r>
        <w:rPr>
          <w:sz w:val="24"/>
        </w:rPr>
        <w:t>in</w:t>
      </w:r>
      <w:r>
        <w:rPr>
          <w:spacing w:val="-10"/>
          <w:sz w:val="24"/>
        </w:rPr>
        <w:t xml:space="preserve"> </w:t>
      </w:r>
      <w:r>
        <w:rPr>
          <w:sz w:val="24"/>
        </w:rPr>
        <w:t>the</w:t>
      </w:r>
      <w:r>
        <w:rPr>
          <w:spacing w:val="-10"/>
          <w:sz w:val="24"/>
        </w:rPr>
        <w:t xml:space="preserve"> </w:t>
      </w:r>
      <w:r>
        <w:rPr>
          <w:sz w:val="24"/>
        </w:rPr>
        <w:t>Anti‐Dumping</w:t>
      </w:r>
      <w:r>
        <w:rPr>
          <w:spacing w:val="-10"/>
          <w:sz w:val="24"/>
        </w:rPr>
        <w:t xml:space="preserve"> </w:t>
      </w:r>
      <w:r>
        <w:rPr>
          <w:sz w:val="24"/>
        </w:rPr>
        <w:t>Agreement.</w:t>
      </w:r>
      <w:r>
        <w:rPr>
          <w:spacing w:val="-10"/>
          <w:sz w:val="24"/>
        </w:rPr>
        <w:t xml:space="preserve"> </w:t>
      </w:r>
      <w:r>
        <w:rPr>
          <w:sz w:val="24"/>
        </w:rPr>
        <w:t>In</w:t>
      </w:r>
      <w:r>
        <w:rPr>
          <w:spacing w:val="-10"/>
          <w:sz w:val="24"/>
        </w:rPr>
        <w:t xml:space="preserve"> </w:t>
      </w:r>
      <w:r>
        <w:rPr>
          <w:sz w:val="24"/>
        </w:rPr>
        <w:t>particular,</w:t>
      </w:r>
      <w:r>
        <w:rPr>
          <w:spacing w:val="-10"/>
          <w:sz w:val="24"/>
        </w:rPr>
        <w:t xml:space="preserve"> </w:t>
      </w:r>
      <w:r>
        <w:rPr>
          <w:sz w:val="24"/>
        </w:rPr>
        <w:t>MOFCOM: failed to grant</w:t>
      </w:r>
      <w:r>
        <w:rPr>
          <w:spacing w:val="-1"/>
          <w:sz w:val="24"/>
        </w:rPr>
        <w:t xml:space="preserve"> </w:t>
      </w:r>
      <w:r>
        <w:rPr>
          <w:sz w:val="24"/>
        </w:rPr>
        <w:t>extensions</w:t>
      </w:r>
      <w:r>
        <w:rPr>
          <w:spacing w:val="-1"/>
          <w:sz w:val="24"/>
        </w:rPr>
        <w:t xml:space="preserve"> </w:t>
      </w:r>
      <w:r>
        <w:rPr>
          <w:sz w:val="24"/>
        </w:rPr>
        <w:t>where cause was</w:t>
      </w:r>
      <w:r>
        <w:rPr>
          <w:spacing w:val="-1"/>
          <w:sz w:val="24"/>
        </w:rPr>
        <w:t xml:space="preserve"> </w:t>
      </w:r>
      <w:r>
        <w:rPr>
          <w:sz w:val="24"/>
        </w:rPr>
        <w:t>shown</w:t>
      </w:r>
      <w:r>
        <w:rPr>
          <w:spacing w:val="-1"/>
          <w:sz w:val="24"/>
        </w:rPr>
        <w:t xml:space="preserve"> </w:t>
      </w:r>
      <w:r>
        <w:rPr>
          <w:sz w:val="24"/>
        </w:rPr>
        <w:t>and it was practicable to d</w:t>
      </w:r>
      <w:r>
        <w:rPr>
          <w:sz w:val="24"/>
        </w:rPr>
        <w:t>o so; failed to give interested parties ample opportunities to present relevant</w:t>
      </w:r>
      <w:r>
        <w:rPr>
          <w:spacing w:val="-14"/>
          <w:sz w:val="24"/>
        </w:rPr>
        <w:t xml:space="preserve"> </w:t>
      </w:r>
      <w:r>
        <w:rPr>
          <w:sz w:val="24"/>
        </w:rPr>
        <w:t>evidence;</w:t>
      </w:r>
      <w:r>
        <w:rPr>
          <w:spacing w:val="-14"/>
          <w:sz w:val="24"/>
        </w:rPr>
        <w:t xml:space="preserve"> </w:t>
      </w:r>
      <w:r>
        <w:rPr>
          <w:sz w:val="24"/>
        </w:rPr>
        <w:t>failed</w:t>
      </w:r>
      <w:r>
        <w:rPr>
          <w:spacing w:val="-13"/>
          <w:sz w:val="24"/>
        </w:rPr>
        <w:t xml:space="preserve"> </w:t>
      </w:r>
      <w:r>
        <w:rPr>
          <w:sz w:val="24"/>
        </w:rPr>
        <w:t>to</w:t>
      </w:r>
      <w:r>
        <w:rPr>
          <w:spacing w:val="-14"/>
          <w:sz w:val="24"/>
        </w:rPr>
        <w:t xml:space="preserve"> </w:t>
      </w:r>
      <w:r>
        <w:rPr>
          <w:sz w:val="24"/>
        </w:rPr>
        <w:t>disclose</w:t>
      </w:r>
      <w:r>
        <w:rPr>
          <w:spacing w:val="-13"/>
          <w:sz w:val="24"/>
        </w:rPr>
        <w:t xml:space="preserve"> </w:t>
      </w:r>
      <w:r>
        <w:rPr>
          <w:sz w:val="24"/>
        </w:rPr>
        <w:t>information</w:t>
      </w:r>
      <w:r>
        <w:rPr>
          <w:spacing w:val="-14"/>
          <w:sz w:val="24"/>
        </w:rPr>
        <w:t xml:space="preserve"> </w:t>
      </w:r>
      <w:r>
        <w:rPr>
          <w:sz w:val="24"/>
        </w:rPr>
        <w:t>it</w:t>
      </w:r>
      <w:r>
        <w:rPr>
          <w:spacing w:val="-13"/>
          <w:sz w:val="24"/>
        </w:rPr>
        <w:t xml:space="preserve"> </w:t>
      </w:r>
      <w:r>
        <w:rPr>
          <w:sz w:val="24"/>
        </w:rPr>
        <w:t>collected</w:t>
      </w:r>
      <w:r>
        <w:rPr>
          <w:spacing w:val="-14"/>
          <w:sz w:val="24"/>
        </w:rPr>
        <w:t xml:space="preserve"> </w:t>
      </w:r>
      <w:r>
        <w:rPr>
          <w:sz w:val="24"/>
        </w:rPr>
        <w:t>and</w:t>
      </w:r>
      <w:r>
        <w:rPr>
          <w:spacing w:val="-14"/>
          <w:sz w:val="24"/>
        </w:rPr>
        <w:t xml:space="preserve"> </w:t>
      </w:r>
      <w:r>
        <w:rPr>
          <w:sz w:val="24"/>
        </w:rPr>
        <w:t>relied</w:t>
      </w:r>
      <w:r>
        <w:rPr>
          <w:spacing w:val="-13"/>
          <w:sz w:val="24"/>
        </w:rPr>
        <w:t xml:space="preserve"> </w:t>
      </w:r>
      <w:r>
        <w:rPr>
          <w:sz w:val="24"/>
        </w:rPr>
        <w:t>upon; failed to undertake an objective assessment of claims of confidentiality before</w:t>
      </w:r>
      <w:r>
        <w:rPr>
          <w:spacing w:val="-7"/>
          <w:sz w:val="24"/>
        </w:rPr>
        <w:t xml:space="preserve"> </w:t>
      </w:r>
      <w:r>
        <w:rPr>
          <w:sz w:val="24"/>
        </w:rPr>
        <w:t>upholding</w:t>
      </w:r>
      <w:r>
        <w:rPr>
          <w:spacing w:val="-8"/>
          <w:sz w:val="24"/>
        </w:rPr>
        <w:t xml:space="preserve"> </w:t>
      </w:r>
      <w:r>
        <w:rPr>
          <w:sz w:val="24"/>
        </w:rPr>
        <w:t>them;</w:t>
      </w:r>
      <w:r>
        <w:rPr>
          <w:spacing w:val="-9"/>
          <w:sz w:val="24"/>
        </w:rPr>
        <w:t xml:space="preserve"> </w:t>
      </w:r>
      <w:r>
        <w:rPr>
          <w:sz w:val="24"/>
        </w:rPr>
        <w:t>failed</w:t>
      </w:r>
      <w:r>
        <w:rPr>
          <w:spacing w:val="-8"/>
          <w:sz w:val="24"/>
        </w:rPr>
        <w:t xml:space="preserve"> </w:t>
      </w:r>
      <w:r>
        <w:rPr>
          <w:sz w:val="24"/>
        </w:rPr>
        <w:t>to</w:t>
      </w:r>
      <w:r>
        <w:rPr>
          <w:spacing w:val="-8"/>
          <w:sz w:val="24"/>
        </w:rPr>
        <w:t xml:space="preserve"> </w:t>
      </w:r>
      <w:r>
        <w:rPr>
          <w:sz w:val="24"/>
        </w:rPr>
        <w:t>satisfy</w:t>
      </w:r>
      <w:r>
        <w:rPr>
          <w:spacing w:val="-8"/>
          <w:sz w:val="24"/>
        </w:rPr>
        <w:t xml:space="preserve"> </w:t>
      </w:r>
      <w:r>
        <w:rPr>
          <w:sz w:val="24"/>
        </w:rPr>
        <w:t>itself</w:t>
      </w:r>
      <w:r>
        <w:rPr>
          <w:spacing w:val="-8"/>
          <w:sz w:val="24"/>
        </w:rPr>
        <w:t xml:space="preserve"> </w:t>
      </w:r>
      <w:r>
        <w:rPr>
          <w:sz w:val="24"/>
        </w:rPr>
        <w:t>as</w:t>
      </w:r>
      <w:r>
        <w:rPr>
          <w:spacing w:val="-9"/>
          <w:sz w:val="24"/>
        </w:rPr>
        <w:t xml:space="preserve"> </w:t>
      </w:r>
      <w:r>
        <w:rPr>
          <w:sz w:val="24"/>
        </w:rPr>
        <w:t>to</w:t>
      </w:r>
      <w:r>
        <w:rPr>
          <w:spacing w:val="-8"/>
          <w:sz w:val="24"/>
        </w:rPr>
        <w:t xml:space="preserve"> </w:t>
      </w:r>
      <w:r>
        <w:rPr>
          <w:sz w:val="24"/>
        </w:rPr>
        <w:t>the</w:t>
      </w:r>
      <w:r>
        <w:rPr>
          <w:spacing w:val="-8"/>
          <w:sz w:val="24"/>
        </w:rPr>
        <w:t xml:space="preserve"> </w:t>
      </w:r>
      <w:r>
        <w:rPr>
          <w:sz w:val="24"/>
        </w:rPr>
        <w:t>accuracy</w:t>
      </w:r>
      <w:r>
        <w:rPr>
          <w:spacing w:val="-8"/>
          <w:sz w:val="24"/>
        </w:rPr>
        <w:t xml:space="preserve"> </w:t>
      </w:r>
      <w:r>
        <w:rPr>
          <w:sz w:val="24"/>
        </w:rPr>
        <w:t>of</w:t>
      </w:r>
      <w:r>
        <w:rPr>
          <w:spacing w:val="-10"/>
          <w:sz w:val="24"/>
        </w:rPr>
        <w:t xml:space="preserve"> </w:t>
      </w:r>
      <w:r>
        <w:rPr>
          <w:sz w:val="24"/>
        </w:rPr>
        <w:t>extensive evidence submitted by interested parties; based its findings on an investigation of a sample of t</w:t>
      </w:r>
      <w:r>
        <w:rPr>
          <w:sz w:val="24"/>
        </w:rPr>
        <w:t>hree companies that was neither statistically valid</w:t>
      </w:r>
      <w:r>
        <w:rPr>
          <w:spacing w:val="-12"/>
          <w:sz w:val="24"/>
        </w:rPr>
        <w:t xml:space="preserve"> </w:t>
      </w:r>
      <w:r>
        <w:rPr>
          <w:sz w:val="24"/>
        </w:rPr>
        <w:t>nor</w:t>
      </w:r>
      <w:r>
        <w:rPr>
          <w:spacing w:val="-11"/>
          <w:sz w:val="24"/>
        </w:rPr>
        <w:t xml:space="preserve"> </w:t>
      </w:r>
      <w:r>
        <w:rPr>
          <w:sz w:val="24"/>
        </w:rPr>
        <w:t>the</w:t>
      </w:r>
      <w:r>
        <w:rPr>
          <w:spacing w:val="-10"/>
          <w:sz w:val="24"/>
        </w:rPr>
        <w:t xml:space="preserve"> </w:t>
      </w:r>
      <w:r>
        <w:rPr>
          <w:sz w:val="24"/>
        </w:rPr>
        <w:t>largest</w:t>
      </w:r>
      <w:r>
        <w:rPr>
          <w:spacing w:val="-10"/>
          <w:sz w:val="24"/>
        </w:rPr>
        <w:t xml:space="preserve"> </w:t>
      </w:r>
      <w:r>
        <w:rPr>
          <w:sz w:val="24"/>
        </w:rPr>
        <w:t>percentage</w:t>
      </w:r>
      <w:r>
        <w:rPr>
          <w:spacing w:val="-9"/>
          <w:sz w:val="24"/>
        </w:rPr>
        <w:t xml:space="preserve"> </w:t>
      </w:r>
      <w:r>
        <w:rPr>
          <w:sz w:val="24"/>
        </w:rPr>
        <w:t>of</w:t>
      </w:r>
      <w:r>
        <w:rPr>
          <w:spacing w:val="-11"/>
          <w:sz w:val="24"/>
        </w:rPr>
        <w:t xml:space="preserve"> </w:t>
      </w:r>
      <w:r>
        <w:rPr>
          <w:sz w:val="24"/>
        </w:rPr>
        <w:t>the</w:t>
      </w:r>
      <w:r>
        <w:rPr>
          <w:spacing w:val="-10"/>
          <w:sz w:val="24"/>
        </w:rPr>
        <w:t xml:space="preserve"> </w:t>
      </w:r>
      <w:r>
        <w:rPr>
          <w:sz w:val="24"/>
        </w:rPr>
        <w:t>volume</w:t>
      </w:r>
      <w:r>
        <w:rPr>
          <w:spacing w:val="-11"/>
          <w:sz w:val="24"/>
        </w:rPr>
        <w:t xml:space="preserve"> </w:t>
      </w:r>
      <w:r>
        <w:rPr>
          <w:sz w:val="24"/>
        </w:rPr>
        <w:t>of</w:t>
      </w:r>
      <w:r>
        <w:rPr>
          <w:spacing w:val="-11"/>
          <w:sz w:val="24"/>
        </w:rPr>
        <w:t xml:space="preserve"> </w:t>
      </w:r>
      <w:r>
        <w:rPr>
          <w:sz w:val="24"/>
        </w:rPr>
        <w:t>exports</w:t>
      </w:r>
      <w:r>
        <w:rPr>
          <w:spacing w:val="-12"/>
          <w:sz w:val="24"/>
        </w:rPr>
        <w:t xml:space="preserve"> </w:t>
      </w:r>
      <w:r>
        <w:rPr>
          <w:sz w:val="24"/>
        </w:rPr>
        <w:t>from</w:t>
      </w:r>
      <w:r>
        <w:rPr>
          <w:spacing w:val="-10"/>
          <w:sz w:val="24"/>
        </w:rPr>
        <w:t xml:space="preserve"> </w:t>
      </w:r>
      <w:r>
        <w:rPr>
          <w:sz w:val="24"/>
        </w:rPr>
        <w:t>Australia</w:t>
      </w:r>
      <w:r>
        <w:rPr>
          <w:spacing w:val="-12"/>
          <w:sz w:val="24"/>
        </w:rPr>
        <w:t xml:space="preserve"> </w:t>
      </w:r>
      <w:r>
        <w:rPr>
          <w:sz w:val="24"/>
        </w:rPr>
        <w:t>that could reasonably be investigated; failed to respond to submissions by interested parties; and failed to make adequate disclosures of</w:t>
      </w:r>
      <w:r>
        <w:rPr>
          <w:sz w:val="24"/>
        </w:rPr>
        <w:t xml:space="preserve"> the essential facts or provide adequate reasons for its determinations with the consequence that interested parties were unable to discern why MOFCOM acted in the way it did.</w:t>
      </w:r>
    </w:p>
    <w:p w14:paraId="51DE7C00" w14:textId="77777777" w:rsidR="0010369C" w:rsidRDefault="008E43AE">
      <w:pPr>
        <w:pStyle w:val="ListParagraph"/>
        <w:numPr>
          <w:ilvl w:val="1"/>
          <w:numId w:val="80"/>
        </w:numPr>
        <w:tabs>
          <w:tab w:val="left" w:pos="1940"/>
          <w:tab w:val="left" w:pos="1941"/>
        </w:tabs>
        <w:spacing w:before="119"/>
        <w:ind w:left="1940" w:hanging="852"/>
        <w:rPr>
          <w:b/>
          <w:sz w:val="28"/>
        </w:rPr>
      </w:pPr>
      <w:r>
        <w:rPr>
          <w:b/>
          <w:w w:val="95"/>
          <w:sz w:val="28"/>
        </w:rPr>
        <w:t>P</w:t>
      </w:r>
      <w:r>
        <w:rPr>
          <w:b/>
          <w:w w:val="95"/>
        </w:rPr>
        <w:t>ROCEDURAL</w:t>
      </w:r>
      <w:r>
        <w:rPr>
          <w:b/>
          <w:spacing w:val="50"/>
        </w:rPr>
        <w:t xml:space="preserve"> </w:t>
      </w:r>
      <w:r>
        <w:rPr>
          <w:b/>
          <w:spacing w:val="-2"/>
        </w:rPr>
        <w:t>OVERVIEW</w:t>
      </w:r>
    </w:p>
    <w:p w14:paraId="51DE7C01" w14:textId="77777777" w:rsidR="0010369C" w:rsidRDefault="0010369C">
      <w:pPr>
        <w:pStyle w:val="BodyText"/>
        <w:spacing w:before="11"/>
        <w:rPr>
          <w:b/>
          <w:sz w:val="22"/>
        </w:rPr>
      </w:pPr>
    </w:p>
    <w:p w14:paraId="51DE7C02" w14:textId="77777777" w:rsidR="0010369C" w:rsidRDefault="008E43AE">
      <w:pPr>
        <w:pStyle w:val="BodyText"/>
        <w:spacing w:before="51" w:line="360" w:lineRule="auto"/>
        <w:ind w:left="238" w:firstLine="851"/>
      </w:pPr>
      <w:r>
        <w:rPr>
          <w:noProof/>
        </w:rPr>
        <w:drawing>
          <wp:anchor distT="0" distB="0" distL="0" distR="0" simplePos="0" relativeHeight="250713600" behindDoc="1" locked="0" layoutInCell="1" allowOverlap="1" wp14:anchorId="51DE9D29" wp14:editId="51DE9D2A">
            <wp:simplePos x="0" y="0"/>
            <wp:positionH relativeFrom="page">
              <wp:posOffset>908303</wp:posOffset>
            </wp:positionH>
            <wp:positionV relativeFrom="paragraph">
              <wp:posOffset>76912</wp:posOffset>
            </wp:positionV>
            <wp:extent cx="176784" cy="106679"/>
            <wp:effectExtent l="0" t="0" r="0" b="0"/>
            <wp:wrapNone/>
            <wp:docPr id="27"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7.png"/>
                    <pic:cNvPicPr/>
                  </pic:nvPicPr>
                  <pic:blipFill>
                    <a:blip r:embed="rId45" cstate="print"/>
                    <a:stretch>
                      <a:fillRect/>
                    </a:stretch>
                  </pic:blipFill>
                  <pic:spPr>
                    <a:xfrm>
                      <a:off x="0" y="0"/>
                      <a:ext cx="176784" cy="106679"/>
                    </a:xfrm>
                    <a:prstGeom prst="rect">
                      <a:avLst/>
                    </a:prstGeom>
                  </pic:spPr>
                </pic:pic>
              </a:graphicData>
            </a:graphic>
          </wp:anchor>
        </w:drawing>
      </w:r>
      <w:r>
        <w:t>On</w:t>
      </w:r>
      <w:r>
        <w:rPr>
          <w:spacing w:val="-6"/>
        </w:rPr>
        <w:t xml:space="preserve"> </w:t>
      </w:r>
      <w:r>
        <w:t>22</w:t>
      </w:r>
      <w:r>
        <w:rPr>
          <w:spacing w:val="-7"/>
        </w:rPr>
        <w:t xml:space="preserve"> </w:t>
      </w:r>
      <w:r>
        <w:t>June</w:t>
      </w:r>
      <w:r>
        <w:rPr>
          <w:spacing w:val="-6"/>
        </w:rPr>
        <w:t xml:space="preserve"> </w:t>
      </w:r>
      <w:r>
        <w:t>2021,</w:t>
      </w:r>
      <w:r>
        <w:rPr>
          <w:spacing w:val="-6"/>
        </w:rPr>
        <w:t xml:space="preserve"> </w:t>
      </w:r>
      <w:r>
        <w:t>Australia</w:t>
      </w:r>
      <w:r>
        <w:rPr>
          <w:spacing w:val="-6"/>
        </w:rPr>
        <w:t xml:space="preserve"> </w:t>
      </w:r>
      <w:r>
        <w:t>requested</w:t>
      </w:r>
      <w:r>
        <w:rPr>
          <w:spacing w:val="-7"/>
        </w:rPr>
        <w:t xml:space="preserve"> </w:t>
      </w:r>
      <w:r>
        <w:t>consultations</w:t>
      </w:r>
      <w:r>
        <w:rPr>
          <w:spacing w:val="-7"/>
        </w:rPr>
        <w:t xml:space="preserve"> </w:t>
      </w:r>
      <w:r>
        <w:t>with</w:t>
      </w:r>
      <w:r>
        <w:rPr>
          <w:spacing w:val="-6"/>
        </w:rPr>
        <w:t xml:space="preserve"> </w:t>
      </w:r>
      <w:r>
        <w:t>China</w:t>
      </w:r>
      <w:r>
        <w:rPr>
          <w:spacing w:val="-6"/>
        </w:rPr>
        <w:t xml:space="preserve"> </w:t>
      </w:r>
      <w:r>
        <w:t>pursuant</w:t>
      </w:r>
      <w:r>
        <w:rPr>
          <w:spacing w:val="-5"/>
        </w:rPr>
        <w:t xml:space="preserve"> </w:t>
      </w:r>
      <w:r>
        <w:t>to</w:t>
      </w:r>
      <w:r>
        <w:rPr>
          <w:spacing w:val="-6"/>
        </w:rPr>
        <w:t xml:space="preserve"> </w:t>
      </w:r>
      <w:r>
        <w:t>Articles</w:t>
      </w:r>
      <w:r>
        <w:rPr>
          <w:spacing w:val="-7"/>
        </w:rPr>
        <w:t xml:space="preserve"> </w:t>
      </w:r>
      <w:r>
        <w:t>1 and</w:t>
      </w:r>
      <w:r>
        <w:rPr>
          <w:spacing w:val="-3"/>
        </w:rPr>
        <w:t xml:space="preserve"> </w:t>
      </w:r>
      <w:r>
        <w:t>4</w:t>
      </w:r>
      <w:r>
        <w:rPr>
          <w:spacing w:val="-3"/>
        </w:rPr>
        <w:t xml:space="preserve"> </w:t>
      </w:r>
      <w:r>
        <w:t>of</w:t>
      </w:r>
      <w:r>
        <w:rPr>
          <w:spacing w:val="-3"/>
        </w:rPr>
        <w:t xml:space="preserve"> </w:t>
      </w:r>
      <w:r>
        <w:t>the</w:t>
      </w:r>
      <w:r>
        <w:rPr>
          <w:spacing w:val="-2"/>
        </w:rPr>
        <w:t xml:space="preserve"> </w:t>
      </w:r>
      <w:r>
        <w:t>DSU,</w:t>
      </w:r>
      <w:r>
        <w:rPr>
          <w:spacing w:val="-2"/>
        </w:rPr>
        <w:t xml:space="preserve"> </w:t>
      </w:r>
      <w:r>
        <w:t>Article</w:t>
      </w:r>
      <w:r>
        <w:rPr>
          <w:spacing w:val="-4"/>
        </w:rPr>
        <w:t xml:space="preserve"> </w:t>
      </w:r>
      <w:r>
        <w:t>XXII:1</w:t>
      </w:r>
      <w:r>
        <w:rPr>
          <w:spacing w:val="-3"/>
        </w:rPr>
        <w:t xml:space="preserve"> </w:t>
      </w:r>
      <w:r>
        <w:t>of</w:t>
      </w:r>
      <w:r>
        <w:rPr>
          <w:spacing w:val="-3"/>
        </w:rPr>
        <w:t xml:space="preserve"> </w:t>
      </w:r>
      <w:r>
        <w:t>the</w:t>
      </w:r>
      <w:r>
        <w:rPr>
          <w:spacing w:val="-2"/>
        </w:rPr>
        <w:t xml:space="preserve"> </w:t>
      </w:r>
      <w:r>
        <w:t>GATT</w:t>
      </w:r>
      <w:r>
        <w:rPr>
          <w:spacing w:val="-2"/>
        </w:rPr>
        <w:t xml:space="preserve"> </w:t>
      </w:r>
      <w:r>
        <w:t>1994,</w:t>
      </w:r>
      <w:r>
        <w:rPr>
          <w:spacing w:val="-3"/>
        </w:rPr>
        <w:t xml:space="preserve"> </w:t>
      </w:r>
      <w:r>
        <w:t>Articles</w:t>
      </w:r>
      <w:r>
        <w:rPr>
          <w:spacing w:val="-4"/>
        </w:rPr>
        <w:t xml:space="preserve"> </w:t>
      </w:r>
      <w:r>
        <w:t>17.2</w:t>
      </w:r>
      <w:r>
        <w:rPr>
          <w:spacing w:val="-3"/>
        </w:rPr>
        <w:t xml:space="preserve"> </w:t>
      </w:r>
      <w:r>
        <w:t>and</w:t>
      </w:r>
      <w:r>
        <w:rPr>
          <w:spacing w:val="-3"/>
        </w:rPr>
        <w:t xml:space="preserve"> </w:t>
      </w:r>
      <w:r>
        <w:t>17.3</w:t>
      </w:r>
      <w:r>
        <w:rPr>
          <w:spacing w:val="-3"/>
        </w:rPr>
        <w:t xml:space="preserve"> </w:t>
      </w:r>
      <w:r>
        <w:t>of</w:t>
      </w:r>
      <w:r>
        <w:rPr>
          <w:spacing w:val="-3"/>
        </w:rPr>
        <w:t xml:space="preserve"> </w:t>
      </w:r>
      <w:r>
        <w:t>the</w:t>
      </w:r>
      <w:r>
        <w:rPr>
          <w:spacing w:val="-2"/>
        </w:rPr>
        <w:t xml:space="preserve"> Anti‐Dumping</w:t>
      </w:r>
    </w:p>
    <w:p w14:paraId="51DE7C03" w14:textId="77777777" w:rsidR="0010369C" w:rsidRDefault="0010369C">
      <w:pPr>
        <w:spacing w:line="360" w:lineRule="auto"/>
        <w:sectPr w:rsidR="0010369C">
          <w:pgSz w:w="11910" w:h="16840"/>
          <w:pgMar w:top="880" w:right="1220" w:bottom="980" w:left="1180" w:header="569" w:footer="788" w:gutter="0"/>
          <w:cols w:space="720"/>
        </w:sectPr>
      </w:pPr>
    </w:p>
    <w:p w14:paraId="51DE7C04" w14:textId="77777777" w:rsidR="0010369C" w:rsidRDefault="008E43AE">
      <w:pPr>
        <w:tabs>
          <w:tab w:val="left" w:pos="6426"/>
        </w:tabs>
        <w:ind w:left="238"/>
        <w:jc w:val="both"/>
        <w:rPr>
          <w:sz w:val="20"/>
        </w:rPr>
      </w:pPr>
      <w:r>
        <w:rPr>
          <w:i/>
          <w:sz w:val="20"/>
        </w:rPr>
        <w:lastRenderedPageBreak/>
        <w:t>China</w:t>
      </w:r>
      <w:r>
        <w:rPr>
          <w:i/>
          <w:spacing w:val="-5"/>
          <w:sz w:val="20"/>
        </w:rPr>
        <w:t xml:space="preserve"> </w:t>
      </w:r>
      <w:r>
        <w:rPr>
          <w:i/>
          <w:sz w:val="20"/>
        </w:rPr>
        <w:t>–</w:t>
      </w:r>
      <w:r>
        <w:rPr>
          <w:i/>
          <w:spacing w:val="-5"/>
          <w:sz w:val="20"/>
        </w:rPr>
        <w:t xml:space="preserve"> </w:t>
      </w:r>
      <w:r>
        <w:rPr>
          <w:i/>
          <w:sz w:val="20"/>
        </w:rPr>
        <w:t>Anti‐Dumping</w:t>
      </w:r>
      <w:r>
        <w:rPr>
          <w:i/>
          <w:spacing w:val="-4"/>
          <w:sz w:val="20"/>
        </w:rPr>
        <w:t xml:space="preserve"> </w:t>
      </w:r>
      <w:r>
        <w:rPr>
          <w:i/>
          <w:sz w:val="20"/>
        </w:rPr>
        <w:t>and</w:t>
      </w:r>
      <w:r>
        <w:rPr>
          <w:i/>
          <w:spacing w:val="-5"/>
          <w:sz w:val="20"/>
        </w:rPr>
        <w:t xml:space="preserve"> </w:t>
      </w:r>
      <w:r>
        <w:rPr>
          <w:i/>
          <w:sz w:val="20"/>
        </w:rPr>
        <w:t>Countervailing</w:t>
      </w:r>
      <w:r>
        <w:rPr>
          <w:i/>
          <w:spacing w:val="-5"/>
          <w:sz w:val="20"/>
        </w:rPr>
        <w:t xml:space="preserve"> </w:t>
      </w:r>
      <w:r>
        <w:rPr>
          <w:i/>
          <w:sz w:val="20"/>
        </w:rPr>
        <w:t>Duty</w:t>
      </w:r>
      <w:r>
        <w:rPr>
          <w:i/>
          <w:spacing w:val="-4"/>
          <w:sz w:val="20"/>
        </w:rPr>
        <w:t xml:space="preserve"> </w:t>
      </w:r>
      <w:r>
        <w:rPr>
          <w:i/>
          <w:spacing w:val="-2"/>
          <w:sz w:val="20"/>
        </w:rPr>
        <w:t>Measures</w:t>
      </w:r>
      <w:r>
        <w:rPr>
          <w:i/>
          <w:sz w:val="20"/>
        </w:rPr>
        <w:tab/>
      </w:r>
      <w:r>
        <w:rPr>
          <w:sz w:val="20"/>
        </w:rPr>
        <w:t>Australia's</w:t>
      </w:r>
      <w:r>
        <w:rPr>
          <w:spacing w:val="-7"/>
          <w:sz w:val="20"/>
        </w:rPr>
        <w:t xml:space="preserve"> </w:t>
      </w:r>
      <w:r>
        <w:rPr>
          <w:sz w:val="20"/>
        </w:rPr>
        <w:t>First</w:t>
      </w:r>
      <w:r>
        <w:rPr>
          <w:spacing w:val="-2"/>
          <w:sz w:val="20"/>
        </w:rPr>
        <w:t xml:space="preserve"> </w:t>
      </w:r>
      <w:r>
        <w:rPr>
          <w:sz w:val="20"/>
        </w:rPr>
        <w:t>Written</w:t>
      </w:r>
      <w:r>
        <w:rPr>
          <w:spacing w:val="-2"/>
          <w:sz w:val="20"/>
        </w:rPr>
        <w:t xml:space="preserve"> Submission</w:t>
      </w:r>
    </w:p>
    <w:p w14:paraId="51DE7C05" w14:textId="77777777" w:rsidR="0010369C" w:rsidRDefault="008E43AE">
      <w:pPr>
        <w:tabs>
          <w:tab w:val="left" w:pos="8228"/>
        </w:tabs>
        <w:spacing w:before="1"/>
        <w:ind w:left="239"/>
        <w:jc w:val="both"/>
        <w:rPr>
          <w:sz w:val="20"/>
        </w:rPr>
      </w:pPr>
      <w:r>
        <w:rPr>
          <w:i/>
          <w:sz w:val="20"/>
        </w:rPr>
        <w:t>on</w:t>
      </w:r>
      <w:r>
        <w:rPr>
          <w:i/>
          <w:spacing w:val="-1"/>
          <w:sz w:val="20"/>
        </w:rPr>
        <w:t xml:space="preserve"> </w:t>
      </w:r>
      <w:r>
        <w:rPr>
          <w:i/>
          <w:sz w:val="20"/>
        </w:rPr>
        <w:t>Wine</w:t>
      </w:r>
      <w:r>
        <w:rPr>
          <w:i/>
          <w:spacing w:val="-1"/>
          <w:sz w:val="20"/>
        </w:rPr>
        <w:t xml:space="preserve"> </w:t>
      </w:r>
      <w:r>
        <w:rPr>
          <w:i/>
          <w:sz w:val="20"/>
        </w:rPr>
        <w:t>from</w:t>
      </w:r>
      <w:r>
        <w:rPr>
          <w:i/>
          <w:spacing w:val="-3"/>
          <w:sz w:val="20"/>
        </w:rPr>
        <w:t xml:space="preserve"> </w:t>
      </w:r>
      <w:r>
        <w:rPr>
          <w:i/>
          <w:sz w:val="20"/>
        </w:rPr>
        <w:t>Australia</w:t>
      </w:r>
      <w:r>
        <w:rPr>
          <w:i/>
          <w:spacing w:val="-1"/>
          <w:sz w:val="20"/>
        </w:rPr>
        <w:t xml:space="preserve"> </w:t>
      </w:r>
      <w:r>
        <w:rPr>
          <w:spacing w:val="-2"/>
          <w:sz w:val="20"/>
        </w:rPr>
        <w:t>(DS602)</w:t>
      </w:r>
      <w:r>
        <w:rPr>
          <w:sz w:val="20"/>
        </w:rPr>
        <w:tab/>
        <w:t>29</w:t>
      </w:r>
      <w:r>
        <w:rPr>
          <w:spacing w:val="-1"/>
          <w:sz w:val="20"/>
        </w:rPr>
        <w:t xml:space="preserve"> </w:t>
      </w:r>
      <w:r>
        <w:rPr>
          <w:sz w:val="20"/>
        </w:rPr>
        <w:t>April</w:t>
      </w:r>
      <w:r>
        <w:rPr>
          <w:spacing w:val="-2"/>
          <w:sz w:val="20"/>
        </w:rPr>
        <w:t xml:space="preserve"> </w:t>
      </w:r>
      <w:r>
        <w:rPr>
          <w:spacing w:val="-4"/>
          <w:sz w:val="20"/>
        </w:rPr>
        <w:t>2022</w:t>
      </w:r>
    </w:p>
    <w:p w14:paraId="51DE7C06" w14:textId="77777777" w:rsidR="0010369C" w:rsidRDefault="008E43AE">
      <w:pPr>
        <w:pStyle w:val="BodyText"/>
        <w:spacing w:before="34" w:line="360" w:lineRule="auto"/>
        <w:ind w:left="237" w:right="193"/>
        <w:jc w:val="both"/>
      </w:pPr>
      <w:r>
        <w:t>Agreement, and Article 30 of the SCM Agreement, with respect to China's anti‐dumping and countervailing duty measures on bottled wine in containers of 2 litres or less imported from Australia. Pursuant to this request, Australia and China held consultation</w:t>
      </w:r>
      <w:r>
        <w:t>s on 9 August 2021. Unfortunately, those consultations failed to resolve the dispute.</w:t>
      </w:r>
    </w:p>
    <w:p w14:paraId="51DE7C07" w14:textId="77777777" w:rsidR="0010369C" w:rsidRDefault="0010369C">
      <w:pPr>
        <w:pStyle w:val="BodyText"/>
        <w:spacing w:before="11"/>
        <w:rPr>
          <w:sz w:val="8"/>
        </w:rPr>
      </w:pPr>
    </w:p>
    <w:p w14:paraId="51DE7C08" w14:textId="77777777" w:rsidR="0010369C" w:rsidRDefault="008E43AE">
      <w:pPr>
        <w:pStyle w:val="BodyText"/>
        <w:spacing w:before="51" w:line="360" w:lineRule="auto"/>
        <w:ind w:left="237" w:right="194" w:firstLine="851"/>
        <w:jc w:val="both"/>
      </w:pPr>
      <w:r>
        <w:rPr>
          <w:noProof/>
        </w:rPr>
        <w:drawing>
          <wp:anchor distT="0" distB="0" distL="0" distR="0" simplePos="0" relativeHeight="250714624" behindDoc="1" locked="0" layoutInCell="1" allowOverlap="1" wp14:anchorId="51DE9D2B" wp14:editId="51DE9D2C">
            <wp:simplePos x="0" y="0"/>
            <wp:positionH relativeFrom="page">
              <wp:posOffset>908303</wp:posOffset>
            </wp:positionH>
            <wp:positionV relativeFrom="paragraph">
              <wp:posOffset>81314</wp:posOffset>
            </wp:positionV>
            <wp:extent cx="176784" cy="100753"/>
            <wp:effectExtent l="0" t="0" r="0" b="0"/>
            <wp:wrapNone/>
            <wp:docPr id="29"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8.png"/>
                    <pic:cNvPicPr/>
                  </pic:nvPicPr>
                  <pic:blipFill>
                    <a:blip r:embed="rId46" cstate="print"/>
                    <a:stretch>
                      <a:fillRect/>
                    </a:stretch>
                  </pic:blipFill>
                  <pic:spPr>
                    <a:xfrm>
                      <a:off x="0" y="0"/>
                      <a:ext cx="176784" cy="100753"/>
                    </a:xfrm>
                    <a:prstGeom prst="rect">
                      <a:avLst/>
                    </a:prstGeom>
                  </pic:spPr>
                </pic:pic>
              </a:graphicData>
            </a:graphic>
          </wp:anchor>
        </w:drawing>
      </w:r>
      <w:r>
        <w:t>On</w:t>
      </w:r>
      <w:r>
        <w:rPr>
          <w:spacing w:val="-10"/>
        </w:rPr>
        <w:t xml:space="preserve"> </w:t>
      </w:r>
      <w:r>
        <w:t>16</w:t>
      </w:r>
      <w:r>
        <w:rPr>
          <w:spacing w:val="-11"/>
        </w:rPr>
        <w:t xml:space="preserve"> </w:t>
      </w:r>
      <w:r>
        <w:t>September</w:t>
      </w:r>
      <w:r>
        <w:rPr>
          <w:spacing w:val="-9"/>
        </w:rPr>
        <w:t xml:space="preserve"> </w:t>
      </w:r>
      <w:r>
        <w:t>2021,</w:t>
      </w:r>
      <w:r>
        <w:rPr>
          <w:spacing w:val="-10"/>
        </w:rPr>
        <w:t xml:space="preserve"> </w:t>
      </w:r>
      <w:r>
        <w:t>Australia</w:t>
      </w:r>
      <w:r>
        <w:rPr>
          <w:spacing w:val="-10"/>
        </w:rPr>
        <w:t xml:space="preserve"> </w:t>
      </w:r>
      <w:r>
        <w:t>requested</w:t>
      </w:r>
      <w:r>
        <w:rPr>
          <w:spacing w:val="-11"/>
        </w:rPr>
        <w:t xml:space="preserve"> </w:t>
      </w:r>
      <w:r>
        <w:t>the</w:t>
      </w:r>
      <w:r>
        <w:rPr>
          <w:spacing w:val="-10"/>
        </w:rPr>
        <w:t xml:space="preserve"> </w:t>
      </w:r>
      <w:r>
        <w:t>establishment</w:t>
      </w:r>
      <w:r>
        <w:rPr>
          <w:spacing w:val="-11"/>
        </w:rPr>
        <w:t xml:space="preserve"> </w:t>
      </w:r>
      <w:r>
        <w:t>of</w:t>
      </w:r>
      <w:r>
        <w:rPr>
          <w:spacing w:val="-10"/>
        </w:rPr>
        <w:t xml:space="preserve"> </w:t>
      </w:r>
      <w:r>
        <w:t>a</w:t>
      </w:r>
      <w:r>
        <w:rPr>
          <w:spacing w:val="-10"/>
        </w:rPr>
        <w:t xml:space="preserve"> </w:t>
      </w:r>
      <w:r>
        <w:t>panel</w:t>
      </w:r>
      <w:r>
        <w:rPr>
          <w:spacing w:val="-11"/>
        </w:rPr>
        <w:t xml:space="preserve"> </w:t>
      </w:r>
      <w:r>
        <w:t>pursuant</w:t>
      </w:r>
      <w:r>
        <w:rPr>
          <w:spacing w:val="-9"/>
        </w:rPr>
        <w:t xml:space="preserve"> </w:t>
      </w:r>
      <w:r>
        <w:t xml:space="preserve">to Articles 4.7 and 6 DSU, Article 17.4 of the Anti‐Dumping Agreement and Article XXIII </w:t>
      </w:r>
      <w:r>
        <w:t>of the GATT</w:t>
      </w:r>
      <w:r>
        <w:rPr>
          <w:spacing w:val="-1"/>
        </w:rPr>
        <w:t xml:space="preserve"> </w:t>
      </w:r>
      <w:r>
        <w:t>1994.</w:t>
      </w:r>
      <w:r>
        <w:rPr>
          <w:spacing w:val="-1"/>
        </w:rPr>
        <w:t xml:space="preserve"> </w:t>
      </w:r>
      <w:r>
        <w:t>At</w:t>
      </w:r>
      <w:r>
        <w:rPr>
          <w:spacing w:val="-2"/>
        </w:rPr>
        <w:t xml:space="preserve"> </w:t>
      </w:r>
      <w:r>
        <w:t>its</w:t>
      </w:r>
      <w:r>
        <w:rPr>
          <w:spacing w:val="-2"/>
        </w:rPr>
        <w:t xml:space="preserve"> </w:t>
      </w:r>
      <w:r>
        <w:t>meeting</w:t>
      </w:r>
      <w:r>
        <w:rPr>
          <w:spacing w:val="-2"/>
        </w:rPr>
        <w:t xml:space="preserve"> </w:t>
      </w:r>
      <w:r>
        <w:t>on</w:t>
      </w:r>
      <w:r>
        <w:rPr>
          <w:spacing w:val="-2"/>
        </w:rPr>
        <w:t xml:space="preserve"> </w:t>
      </w:r>
      <w:r>
        <w:t>27</w:t>
      </w:r>
      <w:r>
        <w:rPr>
          <w:spacing w:val="-2"/>
        </w:rPr>
        <w:t xml:space="preserve"> </w:t>
      </w:r>
      <w:r>
        <w:t>September 2021,</w:t>
      </w:r>
      <w:r>
        <w:rPr>
          <w:spacing w:val="-2"/>
        </w:rPr>
        <w:t xml:space="preserve"> </w:t>
      </w:r>
      <w:r>
        <w:t>the</w:t>
      </w:r>
      <w:r>
        <w:rPr>
          <w:spacing w:val="-1"/>
        </w:rPr>
        <w:t xml:space="preserve"> </w:t>
      </w:r>
      <w:r>
        <w:t>DSB</w:t>
      </w:r>
      <w:r>
        <w:rPr>
          <w:spacing w:val="-1"/>
        </w:rPr>
        <w:t xml:space="preserve"> </w:t>
      </w:r>
      <w:r>
        <w:t>deferred</w:t>
      </w:r>
      <w:r>
        <w:rPr>
          <w:spacing w:val="-1"/>
        </w:rPr>
        <w:t xml:space="preserve"> </w:t>
      </w:r>
      <w:r>
        <w:t>the</w:t>
      </w:r>
      <w:r>
        <w:rPr>
          <w:spacing w:val="-1"/>
        </w:rPr>
        <w:t xml:space="preserve"> </w:t>
      </w:r>
      <w:r>
        <w:t>establishment</w:t>
      </w:r>
      <w:r>
        <w:rPr>
          <w:spacing w:val="-3"/>
        </w:rPr>
        <w:t xml:space="preserve"> </w:t>
      </w:r>
      <w:r>
        <w:t>of</w:t>
      </w:r>
      <w:r>
        <w:rPr>
          <w:spacing w:val="-2"/>
        </w:rPr>
        <w:t xml:space="preserve"> </w:t>
      </w:r>
      <w:r>
        <w:t xml:space="preserve">the </w:t>
      </w:r>
      <w:r>
        <w:rPr>
          <w:spacing w:val="-2"/>
        </w:rPr>
        <w:t>Panel.</w:t>
      </w:r>
    </w:p>
    <w:p w14:paraId="51DE7C09" w14:textId="77777777" w:rsidR="0010369C" w:rsidRDefault="0010369C">
      <w:pPr>
        <w:pStyle w:val="BodyText"/>
        <w:spacing w:before="11"/>
        <w:rPr>
          <w:sz w:val="8"/>
        </w:rPr>
      </w:pPr>
    </w:p>
    <w:p w14:paraId="51DE7C0A" w14:textId="77777777" w:rsidR="0010369C" w:rsidRDefault="008E43AE">
      <w:pPr>
        <w:pStyle w:val="BodyText"/>
        <w:spacing w:before="52" w:line="360" w:lineRule="auto"/>
        <w:ind w:left="238" w:right="192" w:firstLine="851"/>
        <w:jc w:val="both"/>
      </w:pPr>
      <w:r>
        <w:rPr>
          <w:noProof/>
        </w:rPr>
        <w:drawing>
          <wp:anchor distT="0" distB="0" distL="0" distR="0" simplePos="0" relativeHeight="250715648" behindDoc="1" locked="0" layoutInCell="1" allowOverlap="1" wp14:anchorId="51DE9D2D" wp14:editId="51DE9D2E">
            <wp:simplePos x="0" y="0"/>
            <wp:positionH relativeFrom="page">
              <wp:posOffset>908303</wp:posOffset>
            </wp:positionH>
            <wp:positionV relativeFrom="paragraph">
              <wp:posOffset>80595</wp:posOffset>
            </wp:positionV>
            <wp:extent cx="176784" cy="103631"/>
            <wp:effectExtent l="0" t="0" r="0" b="0"/>
            <wp:wrapNone/>
            <wp:docPr id="31"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9.png"/>
                    <pic:cNvPicPr/>
                  </pic:nvPicPr>
                  <pic:blipFill>
                    <a:blip r:embed="rId47" cstate="print"/>
                    <a:stretch>
                      <a:fillRect/>
                    </a:stretch>
                  </pic:blipFill>
                  <pic:spPr>
                    <a:xfrm>
                      <a:off x="0" y="0"/>
                      <a:ext cx="176784" cy="103631"/>
                    </a:xfrm>
                    <a:prstGeom prst="rect">
                      <a:avLst/>
                    </a:prstGeom>
                  </pic:spPr>
                </pic:pic>
              </a:graphicData>
            </a:graphic>
          </wp:anchor>
        </w:drawing>
      </w:r>
      <w:r>
        <w:t>Australia</w:t>
      </w:r>
      <w:r>
        <w:rPr>
          <w:spacing w:val="-14"/>
        </w:rPr>
        <w:t xml:space="preserve"> </w:t>
      </w:r>
      <w:r>
        <w:t>renewed</w:t>
      </w:r>
      <w:r>
        <w:rPr>
          <w:spacing w:val="-13"/>
        </w:rPr>
        <w:t xml:space="preserve"> </w:t>
      </w:r>
      <w:r>
        <w:t>its</w:t>
      </w:r>
      <w:r>
        <w:rPr>
          <w:spacing w:val="-13"/>
        </w:rPr>
        <w:t xml:space="preserve"> </w:t>
      </w:r>
      <w:r>
        <w:t>request</w:t>
      </w:r>
      <w:r>
        <w:rPr>
          <w:spacing w:val="-13"/>
        </w:rPr>
        <w:t xml:space="preserve"> </w:t>
      </w:r>
      <w:r>
        <w:t>for</w:t>
      </w:r>
      <w:r>
        <w:rPr>
          <w:spacing w:val="-12"/>
        </w:rPr>
        <w:t xml:space="preserve"> </w:t>
      </w:r>
      <w:r>
        <w:t>the</w:t>
      </w:r>
      <w:r>
        <w:rPr>
          <w:spacing w:val="-12"/>
        </w:rPr>
        <w:t xml:space="preserve"> </w:t>
      </w:r>
      <w:r>
        <w:t>establishment</w:t>
      </w:r>
      <w:r>
        <w:rPr>
          <w:spacing w:val="-14"/>
        </w:rPr>
        <w:t xml:space="preserve"> </w:t>
      </w:r>
      <w:r>
        <w:t>of</w:t>
      </w:r>
      <w:r>
        <w:rPr>
          <w:spacing w:val="-13"/>
        </w:rPr>
        <w:t xml:space="preserve"> </w:t>
      </w:r>
      <w:r>
        <w:t>a</w:t>
      </w:r>
      <w:r>
        <w:rPr>
          <w:spacing w:val="-12"/>
        </w:rPr>
        <w:t xml:space="preserve"> </w:t>
      </w:r>
      <w:r>
        <w:t>panel</w:t>
      </w:r>
      <w:r>
        <w:rPr>
          <w:spacing w:val="-12"/>
        </w:rPr>
        <w:t xml:space="preserve"> </w:t>
      </w:r>
      <w:r>
        <w:t>at</w:t>
      </w:r>
      <w:r>
        <w:rPr>
          <w:spacing w:val="-13"/>
        </w:rPr>
        <w:t xml:space="preserve"> </w:t>
      </w:r>
      <w:r>
        <w:t>the</w:t>
      </w:r>
      <w:r>
        <w:rPr>
          <w:spacing w:val="-12"/>
        </w:rPr>
        <w:t xml:space="preserve"> </w:t>
      </w:r>
      <w:r>
        <w:t>26</w:t>
      </w:r>
      <w:r>
        <w:rPr>
          <w:spacing w:val="-12"/>
        </w:rPr>
        <w:t xml:space="preserve"> </w:t>
      </w:r>
      <w:r>
        <w:t>October</w:t>
      </w:r>
      <w:r>
        <w:rPr>
          <w:spacing w:val="-12"/>
        </w:rPr>
        <w:t xml:space="preserve"> </w:t>
      </w:r>
      <w:r>
        <w:t xml:space="preserve">2021 meeting of the DSB. At that meeting, a panel was established with the following terms of </w:t>
      </w:r>
      <w:r>
        <w:rPr>
          <w:spacing w:val="-2"/>
        </w:rPr>
        <w:t>reference:</w:t>
      </w:r>
    </w:p>
    <w:p w14:paraId="51DE7C0B" w14:textId="77777777" w:rsidR="0010369C" w:rsidRDefault="0010369C">
      <w:pPr>
        <w:pStyle w:val="BodyText"/>
        <w:spacing w:before="10"/>
        <w:rPr>
          <w:sz w:val="8"/>
        </w:rPr>
      </w:pPr>
    </w:p>
    <w:p w14:paraId="51DE7C0C" w14:textId="77777777" w:rsidR="0010369C" w:rsidRDefault="008E43AE">
      <w:pPr>
        <w:pStyle w:val="BodyText"/>
        <w:spacing w:before="52" w:line="360" w:lineRule="auto"/>
        <w:ind w:left="237" w:right="192" w:firstLine="852"/>
        <w:jc w:val="both"/>
      </w:pPr>
      <w:r>
        <w:rPr>
          <w:noProof/>
        </w:rPr>
        <w:drawing>
          <wp:anchor distT="0" distB="0" distL="0" distR="0" simplePos="0" relativeHeight="250716672" behindDoc="1" locked="0" layoutInCell="1" allowOverlap="1" wp14:anchorId="51DE9D2F" wp14:editId="51DE9D30">
            <wp:simplePos x="0" y="0"/>
            <wp:positionH relativeFrom="page">
              <wp:posOffset>908303</wp:posOffset>
            </wp:positionH>
            <wp:positionV relativeFrom="paragraph">
              <wp:posOffset>77547</wp:posOffset>
            </wp:positionV>
            <wp:extent cx="176784" cy="106679"/>
            <wp:effectExtent l="0" t="0" r="0" b="0"/>
            <wp:wrapNone/>
            <wp:docPr id="33"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0.png"/>
                    <pic:cNvPicPr/>
                  </pic:nvPicPr>
                  <pic:blipFill>
                    <a:blip r:embed="rId48" cstate="print"/>
                    <a:stretch>
                      <a:fillRect/>
                    </a:stretch>
                  </pic:blipFill>
                  <pic:spPr>
                    <a:xfrm>
                      <a:off x="0" y="0"/>
                      <a:ext cx="176784" cy="106679"/>
                    </a:xfrm>
                    <a:prstGeom prst="rect">
                      <a:avLst/>
                    </a:prstGeom>
                  </pic:spPr>
                </pic:pic>
              </a:graphicData>
            </a:graphic>
          </wp:anchor>
        </w:drawing>
      </w:r>
      <w:r>
        <w:t xml:space="preserve">To examine, in the light of the relevant provisions of the covered agreements cited by the parties to the dispute, the matter referred to the DSB by </w:t>
      </w:r>
      <w:r>
        <w:t>Australia in document WT/DS602/2</w:t>
      </w:r>
      <w:r>
        <w:rPr>
          <w:spacing w:val="-8"/>
        </w:rPr>
        <w:t xml:space="preserve"> </w:t>
      </w:r>
      <w:r>
        <w:t>and</w:t>
      </w:r>
      <w:r>
        <w:rPr>
          <w:spacing w:val="-8"/>
        </w:rPr>
        <w:t xml:space="preserve"> </w:t>
      </w:r>
      <w:r>
        <w:t>to</w:t>
      </w:r>
      <w:r>
        <w:rPr>
          <w:spacing w:val="-7"/>
        </w:rPr>
        <w:t xml:space="preserve"> </w:t>
      </w:r>
      <w:r>
        <w:t>make</w:t>
      </w:r>
      <w:r>
        <w:rPr>
          <w:spacing w:val="-7"/>
        </w:rPr>
        <w:t xml:space="preserve"> </w:t>
      </w:r>
      <w:r>
        <w:t>such</w:t>
      </w:r>
      <w:r>
        <w:rPr>
          <w:spacing w:val="-8"/>
        </w:rPr>
        <w:t xml:space="preserve"> </w:t>
      </w:r>
      <w:r>
        <w:t>findings</w:t>
      </w:r>
      <w:r>
        <w:rPr>
          <w:spacing w:val="-8"/>
        </w:rPr>
        <w:t xml:space="preserve"> </w:t>
      </w:r>
      <w:r>
        <w:t>as</w:t>
      </w:r>
      <w:r>
        <w:rPr>
          <w:spacing w:val="-8"/>
        </w:rPr>
        <w:t xml:space="preserve"> </w:t>
      </w:r>
      <w:r>
        <w:t>will</w:t>
      </w:r>
      <w:r>
        <w:rPr>
          <w:spacing w:val="-7"/>
        </w:rPr>
        <w:t xml:space="preserve"> </w:t>
      </w:r>
      <w:r>
        <w:t>assist</w:t>
      </w:r>
      <w:r>
        <w:rPr>
          <w:spacing w:val="-7"/>
        </w:rPr>
        <w:t xml:space="preserve"> </w:t>
      </w:r>
      <w:r>
        <w:t>the</w:t>
      </w:r>
      <w:r>
        <w:rPr>
          <w:spacing w:val="-7"/>
        </w:rPr>
        <w:t xml:space="preserve"> </w:t>
      </w:r>
      <w:r>
        <w:t>DSB</w:t>
      </w:r>
      <w:r>
        <w:rPr>
          <w:spacing w:val="-7"/>
        </w:rPr>
        <w:t xml:space="preserve"> </w:t>
      </w:r>
      <w:r>
        <w:t>in</w:t>
      </w:r>
      <w:r>
        <w:rPr>
          <w:spacing w:val="-8"/>
        </w:rPr>
        <w:t xml:space="preserve"> </w:t>
      </w:r>
      <w:r>
        <w:t>making</w:t>
      </w:r>
      <w:r>
        <w:rPr>
          <w:spacing w:val="-8"/>
        </w:rPr>
        <w:t xml:space="preserve"> </w:t>
      </w:r>
      <w:r>
        <w:t>the</w:t>
      </w:r>
      <w:r>
        <w:rPr>
          <w:spacing w:val="-7"/>
        </w:rPr>
        <w:t xml:space="preserve"> </w:t>
      </w:r>
      <w:r>
        <w:t>recommendations or in giving the rulings provided for in those agreements.</w:t>
      </w:r>
    </w:p>
    <w:p w14:paraId="51DE7C0D" w14:textId="77777777" w:rsidR="0010369C" w:rsidRDefault="008E43AE">
      <w:pPr>
        <w:pStyle w:val="ListParagraph"/>
        <w:numPr>
          <w:ilvl w:val="1"/>
          <w:numId w:val="80"/>
        </w:numPr>
        <w:tabs>
          <w:tab w:val="left" w:pos="1939"/>
          <w:tab w:val="left" w:pos="1940"/>
        </w:tabs>
        <w:spacing w:before="160"/>
        <w:rPr>
          <w:b/>
          <w:sz w:val="28"/>
        </w:rPr>
      </w:pPr>
      <w:r>
        <w:rPr>
          <w:b/>
          <w:sz w:val="28"/>
        </w:rPr>
        <w:t>S</w:t>
      </w:r>
      <w:r>
        <w:rPr>
          <w:b/>
        </w:rPr>
        <w:t>TANDARD</w:t>
      </w:r>
      <w:r>
        <w:rPr>
          <w:b/>
          <w:spacing w:val="-7"/>
        </w:rPr>
        <w:t xml:space="preserve"> </w:t>
      </w:r>
      <w:r>
        <w:rPr>
          <w:b/>
        </w:rPr>
        <w:t>OF</w:t>
      </w:r>
      <w:r>
        <w:rPr>
          <w:b/>
          <w:spacing w:val="-8"/>
        </w:rPr>
        <w:t xml:space="preserve"> </w:t>
      </w:r>
      <w:r>
        <w:rPr>
          <w:b/>
          <w:spacing w:val="-2"/>
        </w:rPr>
        <w:t>REVIEW</w:t>
      </w:r>
    </w:p>
    <w:p w14:paraId="51DE7C0E" w14:textId="77777777" w:rsidR="0010369C" w:rsidRDefault="0010369C">
      <w:pPr>
        <w:pStyle w:val="BodyText"/>
        <w:spacing w:before="11"/>
        <w:rPr>
          <w:b/>
          <w:sz w:val="22"/>
        </w:rPr>
      </w:pPr>
    </w:p>
    <w:p w14:paraId="51DE7C0F" w14:textId="77777777" w:rsidR="0010369C" w:rsidRDefault="008E43AE">
      <w:pPr>
        <w:pStyle w:val="BodyText"/>
        <w:spacing w:before="52" w:line="360" w:lineRule="auto"/>
        <w:ind w:left="238" w:right="194" w:firstLine="850"/>
        <w:jc w:val="both"/>
      </w:pPr>
      <w:r>
        <w:rPr>
          <w:noProof/>
        </w:rPr>
        <w:drawing>
          <wp:anchor distT="0" distB="0" distL="0" distR="0" simplePos="0" relativeHeight="250717696" behindDoc="1" locked="0" layoutInCell="1" allowOverlap="1" wp14:anchorId="51DE9D31" wp14:editId="51DE9D32">
            <wp:simplePos x="0" y="0"/>
            <wp:positionH relativeFrom="page">
              <wp:posOffset>908303</wp:posOffset>
            </wp:positionH>
            <wp:positionV relativeFrom="paragraph">
              <wp:posOffset>81357</wp:posOffset>
            </wp:positionV>
            <wp:extent cx="176784" cy="103631"/>
            <wp:effectExtent l="0" t="0" r="0" b="0"/>
            <wp:wrapNone/>
            <wp:docPr id="35"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1.png"/>
                    <pic:cNvPicPr/>
                  </pic:nvPicPr>
                  <pic:blipFill>
                    <a:blip r:embed="rId49" cstate="print"/>
                    <a:stretch>
                      <a:fillRect/>
                    </a:stretch>
                  </pic:blipFill>
                  <pic:spPr>
                    <a:xfrm>
                      <a:off x="0" y="0"/>
                      <a:ext cx="176784" cy="103631"/>
                    </a:xfrm>
                    <a:prstGeom prst="rect">
                      <a:avLst/>
                    </a:prstGeom>
                  </pic:spPr>
                </pic:pic>
              </a:graphicData>
            </a:graphic>
          </wp:anchor>
        </w:drawing>
      </w:r>
      <w:r>
        <w:t>Article 11 of the DSU sets out the generally applicable standard for a Panel's assessment</w:t>
      </w:r>
      <w:r>
        <w:rPr>
          <w:spacing w:val="-12"/>
        </w:rPr>
        <w:t xml:space="preserve"> </w:t>
      </w:r>
      <w:r>
        <w:t>of</w:t>
      </w:r>
      <w:r>
        <w:rPr>
          <w:spacing w:val="-12"/>
        </w:rPr>
        <w:t xml:space="preserve"> </w:t>
      </w:r>
      <w:r>
        <w:t>a</w:t>
      </w:r>
      <w:r>
        <w:rPr>
          <w:spacing w:val="-12"/>
        </w:rPr>
        <w:t xml:space="preserve"> </w:t>
      </w:r>
      <w:r>
        <w:t>matter</w:t>
      </w:r>
      <w:r>
        <w:rPr>
          <w:spacing w:val="-13"/>
        </w:rPr>
        <w:t xml:space="preserve"> </w:t>
      </w:r>
      <w:r>
        <w:t>before</w:t>
      </w:r>
      <w:r>
        <w:rPr>
          <w:spacing w:val="-10"/>
        </w:rPr>
        <w:t xml:space="preserve"> </w:t>
      </w:r>
      <w:r>
        <w:t>it.</w:t>
      </w:r>
      <w:r>
        <w:rPr>
          <w:spacing w:val="-12"/>
        </w:rPr>
        <w:t xml:space="preserve"> </w:t>
      </w:r>
      <w:r>
        <w:t>Appendix</w:t>
      </w:r>
      <w:r>
        <w:rPr>
          <w:spacing w:val="-12"/>
        </w:rPr>
        <w:t xml:space="preserve"> </w:t>
      </w:r>
      <w:r>
        <w:t>2</w:t>
      </w:r>
      <w:r>
        <w:rPr>
          <w:spacing w:val="-13"/>
        </w:rPr>
        <w:t xml:space="preserve"> </w:t>
      </w:r>
      <w:r>
        <w:t>of</w:t>
      </w:r>
      <w:r>
        <w:rPr>
          <w:spacing w:val="-12"/>
        </w:rPr>
        <w:t xml:space="preserve"> </w:t>
      </w:r>
      <w:r>
        <w:t>the</w:t>
      </w:r>
      <w:r>
        <w:rPr>
          <w:spacing w:val="-12"/>
        </w:rPr>
        <w:t xml:space="preserve"> </w:t>
      </w:r>
      <w:r>
        <w:t>DSU</w:t>
      </w:r>
      <w:r>
        <w:rPr>
          <w:spacing w:val="-13"/>
        </w:rPr>
        <w:t xml:space="preserve"> </w:t>
      </w:r>
      <w:r>
        <w:t>lists</w:t>
      </w:r>
      <w:r>
        <w:rPr>
          <w:spacing w:val="-11"/>
        </w:rPr>
        <w:t xml:space="preserve"> </w:t>
      </w:r>
      <w:r>
        <w:t>Articles</w:t>
      </w:r>
      <w:r>
        <w:rPr>
          <w:spacing w:val="-13"/>
        </w:rPr>
        <w:t xml:space="preserve"> </w:t>
      </w:r>
      <w:r>
        <w:t>17.5</w:t>
      </w:r>
      <w:r>
        <w:rPr>
          <w:spacing w:val="-13"/>
        </w:rPr>
        <w:t xml:space="preserve"> </w:t>
      </w:r>
      <w:r>
        <w:t>and</w:t>
      </w:r>
      <w:r>
        <w:rPr>
          <w:spacing w:val="-12"/>
        </w:rPr>
        <w:t xml:space="preserve"> </w:t>
      </w:r>
      <w:r>
        <w:t>17.6</w:t>
      </w:r>
      <w:r>
        <w:rPr>
          <w:spacing w:val="-12"/>
        </w:rPr>
        <w:t xml:space="preserve"> </w:t>
      </w:r>
      <w:r>
        <w:t>of</w:t>
      </w:r>
      <w:r>
        <w:rPr>
          <w:spacing w:val="-11"/>
        </w:rPr>
        <w:t xml:space="preserve"> </w:t>
      </w:r>
      <w:r>
        <w:t>the</w:t>
      </w:r>
      <w:r>
        <w:rPr>
          <w:spacing w:val="-12"/>
        </w:rPr>
        <w:t xml:space="preserve"> </w:t>
      </w:r>
      <w:r>
        <w:t xml:space="preserve">Anti‐ Dumping Agreement as special or additional rules and </w:t>
      </w:r>
      <w:hyperlink w:anchor="_bookmark1" w:history="1">
        <w:r>
          <w:t>procedures.</w:t>
        </w:r>
        <w:r>
          <w:rPr>
            <w:vertAlign w:val="superscript"/>
          </w:rPr>
          <w:t>2</w:t>
        </w:r>
      </w:hyperlink>
    </w:p>
    <w:p w14:paraId="51DE7C10" w14:textId="77777777" w:rsidR="0010369C" w:rsidRDefault="0010369C">
      <w:pPr>
        <w:pStyle w:val="BodyText"/>
        <w:spacing w:before="10"/>
        <w:rPr>
          <w:sz w:val="8"/>
        </w:rPr>
      </w:pPr>
    </w:p>
    <w:p w14:paraId="51DE7C11" w14:textId="77777777" w:rsidR="0010369C" w:rsidRDefault="008E43AE">
      <w:pPr>
        <w:pStyle w:val="BodyText"/>
        <w:spacing w:before="52" w:line="360" w:lineRule="auto"/>
        <w:ind w:left="236" w:right="193" w:firstLine="852"/>
        <w:jc w:val="both"/>
      </w:pPr>
      <w:r>
        <w:rPr>
          <w:noProof/>
        </w:rPr>
        <w:drawing>
          <wp:anchor distT="0" distB="0" distL="0" distR="0" simplePos="0" relativeHeight="250718720" behindDoc="1" locked="0" layoutInCell="1" allowOverlap="1" wp14:anchorId="51DE9D33" wp14:editId="51DE9D34">
            <wp:simplePos x="0" y="0"/>
            <wp:positionH relativeFrom="page">
              <wp:posOffset>908303</wp:posOffset>
            </wp:positionH>
            <wp:positionV relativeFrom="paragraph">
              <wp:posOffset>81357</wp:posOffset>
            </wp:positionV>
            <wp:extent cx="176784" cy="103631"/>
            <wp:effectExtent l="0" t="0" r="0" b="0"/>
            <wp:wrapNone/>
            <wp:docPr id="37"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2.png"/>
                    <pic:cNvPicPr/>
                  </pic:nvPicPr>
                  <pic:blipFill>
                    <a:blip r:embed="rId50" cstate="print"/>
                    <a:stretch>
                      <a:fillRect/>
                    </a:stretch>
                  </pic:blipFill>
                  <pic:spPr>
                    <a:xfrm>
                      <a:off x="0" y="0"/>
                      <a:ext cx="176784" cy="103631"/>
                    </a:xfrm>
                    <a:prstGeom prst="rect">
                      <a:avLst/>
                    </a:prstGeom>
                  </pic:spPr>
                </pic:pic>
              </a:graphicData>
            </a:graphic>
          </wp:anchor>
        </w:drawing>
      </w:r>
      <w:r>
        <w:t xml:space="preserve">The standard established under Article 11 imposes an obligation on panels to make an "objective assessment of the matter", which encompasses both the panel's factual and legal assessments. A panel's role is not to conduct a </w:t>
      </w:r>
      <w:r>
        <w:rPr>
          <w:i/>
        </w:rPr>
        <w:t xml:space="preserve">de novo </w:t>
      </w:r>
      <w:r>
        <w:t>review or substitute its</w:t>
      </w:r>
      <w:r>
        <w:t xml:space="preserve"> conclusions for that of the investigating authority. However, as the Appellate Body in </w:t>
      </w:r>
      <w:r>
        <w:rPr>
          <w:i/>
        </w:rPr>
        <w:t xml:space="preserve">US ‐ Lamb </w:t>
      </w:r>
      <w:r>
        <w:t>emphasised,</w:t>
      </w:r>
    </w:p>
    <w:p w14:paraId="51DE7C12" w14:textId="77777777" w:rsidR="0010369C" w:rsidRDefault="008E43AE">
      <w:pPr>
        <w:spacing w:before="161" w:line="276" w:lineRule="auto"/>
        <w:ind w:left="1089" w:right="193" w:hanging="1"/>
        <w:jc w:val="both"/>
      </w:pPr>
      <w:r>
        <w:t xml:space="preserve">[T]his does </w:t>
      </w:r>
      <w:r>
        <w:rPr>
          <w:i/>
        </w:rPr>
        <w:t xml:space="preserve">not </w:t>
      </w:r>
      <w:r>
        <w:t xml:space="preserve">mean that panels must simply </w:t>
      </w:r>
      <w:r>
        <w:rPr>
          <w:i/>
        </w:rPr>
        <w:t xml:space="preserve">accept </w:t>
      </w:r>
      <w:r>
        <w:t>the conclusions of the competent authorities. … Panels must, therefore, review whether the com</w:t>
      </w:r>
      <w:r>
        <w:t>petent authorities' explanation fully addresses the nature, and, especially, the complexities, of the data, and responds</w:t>
      </w:r>
      <w:r>
        <w:rPr>
          <w:spacing w:val="-9"/>
        </w:rPr>
        <w:t xml:space="preserve"> </w:t>
      </w:r>
      <w:r>
        <w:t>to</w:t>
      </w:r>
      <w:r>
        <w:rPr>
          <w:spacing w:val="-8"/>
        </w:rPr>
        <w:t xml:space="preserve"> </w:t>
      </w:r>
      <w:r>
        <w:t>other</w:t>
      </w:r>
      <w:r>
        <w:rPr>
          <w:spacing w:val="-7"/>
        </w:rPr>
        <w:t xml:space="preserve"> </w:t>
      </w:r>
      <w:r>
        <w:t>plausible</w:t>
      </w:r>
      <w:r>
        <w:rPr>
          <w:spacing w:val="-7"/>
        </w:rPr>
        <w:t xml:space="preserve"> </w:t>
      </w:r>
      <w:r>
        <w:t>interpretations</w:t>
      </w:r>
      <w:r>
        <w:rPr>
          <w:spacing w:val="-7"/>
        </w:rPr>
        <w:t xml:space="preserve"> </w:t>
      </w:r>
      <w:r>
        <w:t>of</w:t>
      </w:r>
      <w:r>
        <w:rPr>
          <w:spacing w:val="-9"/>
        </w:rPr>
        <w:t xml:space="preserve"> </w:t>
      </w:r>
      <w:r>
        <w:t>that</w:t>
      </w:r>
      <w:r>
        <w:rPr>
          <w:spacing w:val="-8"/>
        </w:rPr>
        <w:t xml:space="preserve"> </w:t>
      </w:r>
      <w:r>
        <w:t>data.</w:t>
      </w:r>
      <w:r>
        <w:rPr>
          <w:spacing w:val="-9"/>
        </w:rPr>
        <w:t xml:space="preserve"> </w:t>
      </w:r>
      <w:r>
        <w:t>A</w:t>
      </w:r>
      <w:r>
        <w:rPr>
          <w:spacing w:val="-7"/>
        </w:rPr>
        <w:t xml:space="preserve"> </w:t>
      </w:r>
      <w:r>
        <w:t>panel</w:t>
      </w:r>
      <w:r>
        <w:rPr>
          <w:spacing w:val="-7"/>
        </w:rPr>
        <w:t xml:space="preserve"> </w:t>
      </w:r>
      <w:r>
        <w:t>must</w:t>
      </w:r>
      <w:r>
        <w:rPr>
          <w:spacing w:val="-9"/>
        </w:rPr>
        <w:t xml:space="preserve"> </w:t>
      </w:r>
      <w:r>
        <w:t>find,</w:t>
      </w:r>
      <w:r>
        <w:rPr>
          <w:spacing w:val="-7"/>
        </w:rPr>
        <w:t xml:space="preserve"> </w:t>
      </w:r>
      <w:r>
        <w:t>in</w:t>
      </w:r>
      <w:r>
        <w:rPr>
          <w:spacing w:val="-8"/>
        </w:rPr>
        <w:t xml:space="preserve"> </w:t>
      </w:r>
      <w:r>
        <w:t>particular,</w:t>
      </w:r>
      <w:r>
        <w:rPr>
          <w:spacing w:val="-6"/>
        </w:rPr>
        <w:t xml:space="preserve"> </w:t>
      </w:r>
      <w:r>
        <w:t>that an</w:t>
      </w:r>
      <w:r>
        <w:rPr>
          <w:spacing w:val="12"/>
        </w:rPr>
        <w:t xml:space="preserve"> </w:t>
      </w:r>
      <w:r>
        <w:t>explanation</w:t>
      </w:r>
      <w:r>
        <w:rPr>
          <w:spacing w:val="14"/>
        </w:rPr>
        <w:t xml:space="preserve"> </w:t>
      </w:r>
      <w:r>
        <w:t>is</w:t>
      </w:r>
      <w:r>
        <w:rPr>
          <w:spacing w:val="14"/>
        </w:rPr>
        <w:t xml:space="preserve"> </w:t>
      </w:r>
      <w:r>
        <w:t>not</w:t>
      </w:r>
      <w:r>
        <w:rPr>
          <w:spacing w:val="13"/>
        </w:rPr>
        <w:t xml:space="preserve"> </w:t>
      </w:r>
      <w:r>
        <w:t>reasoned,</w:t>
      </w:r>
      <w:r>
        <w:rPr>
          <w:spacing w:val="13"/>
        </w:rPr>
        <w:t xml:space="preserve"> </w:t>
      </w:r>
      <w:r>
        <w:t>or</w:t>
      </w:r>
      <w:r>
        <w:rPr>
          <w:spacing w:val="14"/>
        </w:rPr>
        <w:t xml:space="preserve"> </w:t>
      </w:r>
      <w:r>
        <w:t>is</w:t>
      </w:r>
      <w:r>
        <w:rPr>
          <w:spacing w:val="14"/>
        </w:rPr>
        <w:t xml:space="preserve"> </w:t>
      </w:r>
      <w:r>
        <w:t>not</w:t>
      </w:r>
      <w:r>
        <w:rPr>
          <w:spacing w:val="12"/>
        </w:rPr>
        <w:t xml:space="preserve"> </w:t>
      </w:r>
      <w:r>
        <w:t>adequate,</w:t>
      </w:r>
      <w:r>
        <w:rPr>
          <w:spacing w:val="15"/>
        </w:rPr>
        <w:t xml:space="preserve"> </w:t>
      </w:r>
      <w:r>
        <w:t>if</w:t>
      </w:r>
      <w:r>
        <w:rPr>
          <w:spacing w:val="14"/>
        </w:rPr>
        <w:t xml:space="preserve"> </w:t>
      </w:r>
      <w:r>
        <w:t>some</w:t>
      </w:r>
      <w:r>
        <w:rPr>
          <w:spacing w:val="14"/>
        </w:rPr>
        <w:t xml:space="preserve"> </w:t>
      </w:r>
      <w:r>
        <w:t>alternative</w:t>
      </w:r>
      <w:r>
        <w:rPr>
          <w:spacing w:val="12"/>
        </w:rPr>
        <w:t xml:space="preserve"> </w:t>
      </w:r>
      <w:r>
        <w:t>explanation</w:t>
      </w:r>
      <w:r>
        <w:rPr>
          <w:spacing w:val="12"/>
        </w:rPr>
        <w:t xml:space="preserve"> </w:t>
      </w:r>
      <w:r>
        <w:t>of</w:t>
      </w:r>
      <w:r>
        <w:rPr>
          <w:spacing w:val="13"/>
        </w:rPr>
        <w:t xml:space="preserve"> </w:t>
      </w:r>
      <w:r>
        <w:rPr>
          <w:spacing w:val="-5"/>
        </w:rPr>
        <w:t>the</w:t>
      </w:r>
    </w:p>
    <w:p w14:paraId="51DE7C13" w14:textId="77777777" w:rsidR="0010369C" w:rsidRDefault="008E43AE">
      <w:pPr>
        <w:pStyle w:val="BodyText"/>
        <w:spacing w:before="6"/>
        <w:rPr>
          <w:sz w:val="28"/>
        </w:rPr>
      </w:pPr>
      <w:r>
        <w:pict w14:anchorId="51DE9D35">
          <v:rect id="docshape62" o:spid="_x0000_s3196" style="position:absolute;margin-left:70.9pt;margin-top:18.65pt;width:2in;height:.8pt;z-index:-251260416;mso-wrap-distance-left:0;mso-wrap-distance-right:0;mso-position-horizontal-relative:page" fillcolor="black" stroked="f">
            <w10:wrap type="topAndBottom" anchorx="page"/>
          </v:rect>
        </w:pict>
      </w:r>
    </w:p>
    <w:p w14:paraId="51DE7C14" w14:textId="77777777" w:rsidR="0010369C" w:rsidRDefault="008E43AE">
      <w:pPr>
        <w:spacing w:before="109"/>
        <w:ind w:left="238"/>
        <w:rPr>
          <w:sz w:val="18"/>
        </w:rPr>
      </w:pPr>
      <w:bookmarkStart w:id="8" w:name="_bookmark1"/>
      <w:bookmarkEnd w:id="8"/>
      <w:r>
        <w:rPr>
          <w:sz w:val="18"/>
          <w:vertAlign w:val="superscript"/>
        </w:rPr>
        <w:t>2</w:t>
      </w:r>
      <w:r>
        <w:rPr>
          <w:spacing w:val="-5"/>
          <w:sz w:val="18"/>
        </w:rPr>
        <w:t xml:space="preserve"> </w:t>
      </w:r>
      <w:r>
        <w:rPr>
          <w:sz w:val="18"/>
        </w:rPr>
        <w:t>Appendix</w:t>
      </w:r>
      <w:r>
        <w:rPr>
          <w:spacing w:val="-6"/>
          <w:sz w:val="18"/>
        </w:rPr>
        <w:t xml:space="preserve"> </w:t>
      </w:r>
      <w:r>
        <w:rPr>
          <w:sz w:val="18"/>
        </w:rPr>
        <w:t>2,</w:t>
      </w:r>
      <w:r>
        <w:rPr>
          <w:spacing w:val="-6"/>
          <w:sz w:val="18"/>
        </w:rPr>
        <w:t xml:space="preserve"> </w:t>
      </w:r>
      <w:r>
        <w:rPr>
          <w:sz w:val="18"/>
        </w:rPr>
        <w:t>DSU.</w:t>
      </w:r>
      <w:r>
        <w:rPr>
          <w:spacing w:val="-5"/>
          <w:sz w:val="18"/>
        </w:rPr>
        <w:t xml:space="preserve"> </w:t>
      </w:r>
      <w:r>
        <w:rPr>
          <w:sz w:val="18"/>
        </w:rPr>
        <w:t>They</w:t>
      </w:r>
      <w:r>
        <w:rPr>
          <w:spacing w:val="-5"/>
          <w:sz w:val="18"/>
        </w:rPr>
        <w:t xml:space="preserve"> </w:t>
      </w:r>
      <w:r>
        <w:rPr>
          <w:sz w:val="18"/>
        </w:rPr>
        <w:t>are</w:t>
      </w:r>
      <w:r>
        <w:rPr>
          <w:spacing w:val="-5"/>
          <w:sz w:val="18"/>
        </w:rPr>
        <w:t xml:space="preserve"> </w:t>
      </w:r>
      <w:r>
        <w:rPr>
          <w:sz w:val="18"/>
        </w:rPr>
        <w:t>applied</w:t>
      </w:r>
      <w:r>
        <w:rPr>
          <w:spacing w:val="-5"/>
          <w:sz w:val="18"/>
        </w:rPr>
        <w:t xml:space="preserve"> </w:t>
      </w:r>
      <w:r>
        <w:rPr>
          <w:sz w:val="18"/>
        </w:rPr>
        <w:t>pursuant</w:t>
      </w:r>
      <w:r>
        <w:rPr>
          <w:spacing w:val="-5"/>
          <w:sz w:val="18"/>
        </w:rPr>
        <w:t xml:space="preserve"> </w:t>
      </w:r>
      <w:r>
        <w:rPr>
          <w:sz w:val="18"/>
        </w:rPr>
        <w:t>to</w:t>
      </w:r>
      <w:r>
        <w:rPr>
          <w:spacing w:val="-6"/>
          <w:sz w:val="18"/>
        </w:rPr>
        <w:t xml:space="preserve"> </w:t>
      </w:r>
      <w:r>
        <w:rPr>
          <w:sz w:val="18"/>
        </w:rPr>
        <w:t>Article</w:t>
      </w:r>
      <w:r>
        <w:rPr>
          <w:spacing w:val="-5"/>
          <w:sz w:val="18"/>
        </w:rPr>
        <w:t xml:space="preserve"> </w:t>
      </w:r>
      <w:r>
        <w:rPr>
          <w:sz w:val="18"/>
        </w:rPr>
        <w:t>1(2)</w:t>
      </w:r>
      <w:r>
        <w:rPr>
          <w:spacing w:val="-5"/>
          <w:sz w:val="18"/>
        </w:rPr>
        <w:t xml:space="preserve"> </w:t>
      </w:r>
      <w:r>
        <w:rPr>
          <w:sz w:val="18"/>
        </w:rPr>
        <w:t>of</w:t>
      </w:r>
      <w:r>
        <w:rPr>
          <w:spacing w:val="-5"/>
          <w:sz w:val="18"/>
        </w:rPr>
        <w:t xml:space="preserve"> </w:t>
      </w:r>
      <w:r>
        <w:rPr>
          <w:sz w:val="18"/>
        </w:rPr>
        <w:t>the</w:t>
      </w:r>
      <w:r>
        <w:rPr>
          <w:spacing w:val="-5"/>
          <w:sz w:val="18"/>
        </w:rPr>
        <w:t xml:space="preserve"> </w:t>
      </w:r>
      <w:r>
        <w:rPr>
          <w:spacing w:val="-4"/>
          <w:sz w:val="18"/>
        </w:rPr>
        <w:t>DSU.</w:t>
      </w:r>
    </w:p>
    <w:p w14:paraId="51DE7C15" w14:textId="77777777" w:rsidR="0010369C" w:rsidRDefault="0010369C">
      <w:pPr>
        <w:rPr>
          <w:sz w:val="18"/>
        </w:rPr>
        <w:sectPr w:rsidR="0010369C">
          <w:pgSz w:w="11910" w:h="16840"/>
          <w:pgMar w:top="880" w:right="1220" w:bottom="980" w:left="1180" w:header="569" w:footer="788" w:gutter="0"/>
          <w:cols w:space="720"/>
        </w:sectPr>
      </w:pPr>
    </w:p>
    <w:p w14:paraId="51DE7C16" w14:textId="77777777" w:rsidR="0010369C" w:rsidRDefault="008E43AE">
      <w:pPr>
        <w:tabs>
          <w:tab w:val="left" w:pos="6426"/>
        </w:tabs>
        <w:ind w:left="238"/>
        <w:rPr>
          <w:sz w:val="20"/>
        </w:rPr>
      </w:pPr>
      <w:r>
        <w:rPr>
          <w:i/>
          <w:sz w:val="20"/>
        </w:rPr>
        <w:lastRenderedPageBreak/>
        <w:t>China</w:t>
      </w:r>
      <w:r>
        <w:rPr>
          <w:i/>
          <w:spacing w:val="-5"/>
          <w:sz w:val="20"/>
        </w:rPr>
        <w:t xml:space="preserve"> </w:t>
      </w:r>
      <w:r>
        <w:rPr>
          <w:i/>
          <w:sz w:val="20"/>
        </w:rPr>
        <w:t>–</w:t>
      </w:r>
      <w:r>
        <w:rPr>
          <w:i/>
          <w:spacing w:val="-5"/>
          <w:sz w:val="20"/>
        </w:rPr>
        <w:t xml:space="preserve"> </w:t>
      </w:r>
      <w:r>
        <w:rPr>
          <w:i/>
          <w:sz w:val="20"/>
        </w:rPr>
        <w:t>Anti‐Dumping</w:t>
      </w:r>
      <w:r>
        <w:rPr>
          <w:i/>
          <w:spacing w:val="-4"/>
          <w:sz w:val="20"/>
        </w:rPr>
        <w:t xml:space="preserve"> </w:t>
      </w:r>
      <w:r>
        <w:rPr>
          <w:i/>
          <w:sz w:val="20"/>
        </w:rPr>
        <w:t>and</w:t>
      </w:r>
      <w:r>
        <w:rPr>
          <w:i/>
          <w:spacing w:val="-5"/>
          <w:sz w:val="20"/>
        </w:rPr>
        <w:t xml:space="preserve"> </w:t>
      </w:r>
      <w:r>
        <w:rPr>
          <w:i/>
          <w:sz w:val="20"/>
        </w:rPr>
        <w:t>Countervailing</w:t>
      </w:r>
      <w:r>
        <w:rPr>
          <w:i/>
          <w:spacing w:val="-5"/>
          <w:sz w:val="20"/>
        </w:rPr>
        <w:t xml:space="preserve"> </w:t>
      </w:r>
      <w:r>
        <w:rPr>
          <w:i/>
          <w:sz w:val="20"/>
        </w:rPr>
        <w:t>Duty</w:t>
      </w:r>
      <w:r>
        <w:rPr>
          <w:i/>
          <w:spacing w:val="-4"/>
          <w:sz w:val="20"/>
        </w:rPr>
        <w:t xml:space="preserve"> </w:t>
      </w:r>
      <w:r>
        <w:rPr>
          <w:i/>
          <w:spacing w:val="-2"/>
          <w:sz w:val="20"/>
        </w:rPr>
        <w:t>Measures</w:t>
      </w:r>
      <w:r>
        <w:rPr>
          <w:i/>
          <w:sz w:val="20"/>
        </w:rPr>
        <w:tab/>
      </w:r>
      <w:r>
        <w:rPr>
          <w:sz w:val="20"/>
        </w:rPr>
        <w:t>Australia's</w:t>
      </w:r>
      <w:r>
        <w:rPr>
          <w:spacing w:val="-7"/>
          <w:sz w:val="20"/>
        </w:rPr>
        <w:t xml:space="preserve"> </w:t>
      </w:r>
      <w:r>
        <w:rPr>
          <w:sz w:val="20"/>
        </w:rPr>
        <w:t>First</w:t>
      </w:r>
      <w:r>
        <w:rPr>
          <w:spacing w:val="-2"/>
          <w:sz w:val="20"/>
        </w:rPr>
        <w:t xml:space="preserve"> </w:t>
      </w:r>
      <w:r>
        <w:rPr>
          <w:sz w:val="20"/>
        </w:rPr>
        <w:t>Written</w:t>
      </w:r>
      <w:r>
        <w:rPr>
          <w:spacing w:val="-2"/>
          <w:sz w:val="20"/>
        </w:rPr>
        <w:t xml:space="preserve"> Submission</w:t>
      </w:r>
    </w:p>
    <w:p w14:paraId="51DE7C17" w14:textId="77777777" w:rsidR="0010369C" w:rsidRDefault="008E43AE">
      <w:pPr>
        <w:tabs>
          <w:tab w:val="left" w:pos="8228"/>
        </w:tabs>
        <w:spacing w:before="1"/>
        <w:ind w:left="239"/>
        <w:rPr>
          <w:sz w:val="20"/>
        </w:rPr>
      </w:pPr>
      <w:r>
        <w:rPr>
          <w:i/>
          <w:sz w:val="20"/>
        </w:rPr>
        <w:t>on</w:t>
      </w:r>
      <w:r>
        <w:rPr>
          <w:i/>
          <w:spacing w:val="-1"/>
          <w:sz w:val="20"/>
        </w:rPr>
        <w:t xml:space="preserve"> </w:t>
      </w:r>
      <w:r>
        <w:rPr>
          <w:i/>
          <w:sz w:val="20"/>
        </w:rPr>
        <w:t>Wine</w:t>
      </w:r>
      <w:r>
        <w:rPr>
          <w:i/>
          <w:spacing w:val="-1"/>
          <w:sz w:val="20"/>
        </w:rPr>
        <w:t xml:space="preserve"> </w:t>
      </w:r>
      <w:r>
        <w:rPr>
          <w:i/>
          <w:sz w:val="20"/>
        </w:rPr>
        <w:t>from</w:t>
      </w:r>
      <w:r>
        <w:rPr>
          <w:i/>
          <w:spacing w:val="-3"/>
          <w:sz w:val="20"/>
        </w:rPr>
        <w:t xml:space="preserve"> </w:t>
      </w:r>
      <w:r>
        <w:rPr>
          <w:i/>
          <w:sz w:val="20"/>
        </w:rPr>
        <w:t>Australia</w:t>
      </w:r>
      <w:r>
        <w:rPr>
          <w:i/>
          <w:spacing w:val="-1"/>
          <w:sz w:val="20"/>
        </w:rPr>
        <w:t xml:space="preserve"> </w:t>
      </w:r>
      <w:r>
        <w:rPr>
          <w:spacing w:val="-2"/>
          <w:sz w:val="20"/>
        </w:rPr>
        <w:t>(DS602)</w:t>
      </w:r>
      <w:r>
        <w:rPr>
          <w:sz w:val="20"/>
        </w:rPr>
        <w:tab/>
        <w:t>29</w:t>
      </w:r>
      <w:r>
        <w:rPr>
          <w:spacing w:val="-1"/>
          <w:sz w:val="20"/>
        </w:rPr>
        <w:t xml:space="preserve"> </w:t>
      </w:r>
      <w:r>
        <w:rPr>
          <w:sz w:val="20"/>
        </w:rPr>
        <w:t>April</w:t>
      </w:r>
      <w:r>
        <w:rPr>
          <w:spacing w:val="-2"/>
          <w:sz w:val="20"/>
        </w:rPr>
        <w:t xml:space="preserve"> </w:t>
      </w:r>
      <w:r>
        <w:rPr>
          <w:spacing w:val="-4"/>
          <w:sz w:val="20"/>
        </w:rPr>
        <w:t>2022</w:t>
      </w:r>
    </w:p>
    <w:p w14:paraId="51DE7C18" w14:textId="77777777" w:rsidR="0010369C" w:rsidRDefault="008E43AE">
      <w:pPr>
        <w:spacing w:before="35" w:line="276" w:lineRule="auto"/>
        <w:ind w:left="1089" w:right="164" w:hanging="1"/>
      </w:pPr>
      <w:r>
        <w:t xml:space="preserve">facts is plausible, and if the competent authorities' explanation does not seem adequate in the light of that alternative </w:t>
      </w:r>
      <w:hyperlink w:anchor="_bookmark2" w:history="1">
        <w:r>
          <w:t>explanation.</w:t>
        </w:r>
        <w:r>
          <w:rPr>
            <w:vertAlign w:val="superscript"/>
          </w:rPr>
          <w:t>3</w:t>
        </w:r>
      </w:hyperlink>
    </w:p>
    <w:p w14:paraId="51DE7C19" w14:textId="77777777" w:rsidR="0010369C" w:rsidRDefault="0010369C">
      <w:pPr>
        <w:pStyle w:val="BodyText"/>
        <w:spacing w:before="4"/>
        <w:rPr>
          <w:sz w:val="15"/>
        </w:rPr>
      </w:pPr>
    </w:p>
    <w:p w14:paraId="51DE7C1A" w14:textId="77777777" w:rsidR="0010369C" w:rsidRDefault="008E43AE">
      <w:pPr>
        <w:pStyle w:val="BodyText"/>
        <w:spacing w:before="51" w:line="360" w:lineRule="auto"/>
        <w:ind w:left="237" w:right="193" w:firstLine="851"/>
        <w:jc w:val="both"/>
      </w:pPr>
      <w:r>
        <w:rPr>
          <w:noProof/>
        </w:rPr>
        <w:drawing>
          <wp:anchor distT="0" distB="0" distL="0" distR="0" simplePos="0" relativeHeight="250719744" behindDoc="1" locked="0" layoutInCell="1" allowOverlap="1" wp14:anchorId="51DE9D36" wp14:editId="51DE9D37">
            <wp:simplePos x="0" y="0"/>
            <wp:positionH relativeFrom="page">
              <wp:posOffset>905255</wp:posOffset>
            </wp:positionH>
            <wp:positionV relativeFrom="paragraph">
              <wp:posOffset>81314</wp:posOffset>
            </wp:positionV>
            <wp:extent cx="179831" cy="100753"/>
            <wp:effectExtent l="0" t="0" r="0" b="0"/>
            <wp:wrapNone/>
            <wp:docPr id="39"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3.png"/>
                    <pic:cNvPicPr/>
                  </pic:nvPicPr>
                  <pic:blipFill>
                    <a:blip r:embed="rId51" cstate="print"/>
                    <a:stretch>
                      <a:fillRect/>
                    </a:stretch>
                  </pic:blipFill>
                  <pic:spPr>
                    <a:xfrm>
                      <a:off x="0" y="0"/>
                      <a:ext cx="179831" cy="100753"/>
                    </a:xfrm>
                    <a:prstGeom prst="rect">
                      <a:avLst/>
                    </a:prstGeom>
                  </pic:spPr>
                </pic:pic>
              </a:graphicData>
            </a:graphic>
          </wp:anchor>
        </w:drawing>
      </w:r>
      <w:r>
        <w:t>The Panel in the current matter is required to examine whether MOFCOM's conclusions are "reasoned and adequate" with regard to the evidence in its "totality".</w:t>
      </w:r>
      <w:r>
        <w:rPr>
          <w:vertAlign w:val="superscript"/>
        </w:rPr>
        <w:t>4</w:t>
      </w:r>
      <w:r>
        <w:t xml:space="preserve"> The Appellate</w:t>
      </w:r>
      <w:r>
        <w:rPr>
          <w:spacing w:val="-13"/>
        </w:rPr>
        <w:t xml:space="preserve"> </w:t>
      </w:r>
      <w:r>
        <w:t>Body</w:t>
      </w:r>
      <w:r>
        <w:rPr>
          <w:spacing w:val="-12"/>
        </w:rPr>
        <w:t xml:space="preserve"> </w:t>
      </w:r>
      <w:r>
        <w:t>has</w:t>
      </w:r>
      <w:r>
        <w:rPr>
          <w:spacing w:val="-13"/>
        </w:rPr>
        <w:t xml:space="preserve"> </w:t>
      </w:r>
      <w:r>
        <w:t>described</w:t>
      </w:r>
      <w:r>
        <w:rPr>
          <w:spacing w:val="-13"/>
        </w:rPr>
        <w:t xml:space="preserve"> </w:t>
      </w:r>
      <w:r>
        <w:t>the</w:t>
      </w:r>
      <w:r>
        <w:rPr>
          <w:spacing w:val="-13"/>
        </w:rPr>
        <w:t xml:space="preserve"> </w:t>
      </w:r>
      <w:r>
        <w:t>requirements</w:t>
      </w:r>
      <w:r>
        <w:rPr>
          <w:spacing w:val="-14"/>
        </w:rPr>
        <w:t xml:space="preserve"> </w:t>
      </w:r>
      <w:r>
        <w:t>of</w:t>
      </w:r>
      <w:r>
        <w:rPr>
          <w:spacing w:val="-13"/>
        </w:rPr>
        <w:t xml:space="preserve"> </w:t>
      </w:r>
      <w:r>
        <w:t>this</w:t>
      </w:r>
      <w:r>
        <w:rPr>
          <w:spacing w:val="-14"/>
        </w:rPr>
        <w:t xml:space="preserve"> </w:t>
      </w:r>
      <w:r>
        <w:t>examination</w:t>
      </w:r>
      <w:r>
        <w:rPr>
          <w:spacing w:val="-13"/>
        </w:rPr>
        <w:t xml:space="preserve"> </w:t>
      </w:r>
      <w:r>
        <w:t>as</w:t>
      </w:r>
      <w:r>
        <w:rPr>
          <w:spacing w:val="-14"/>
        </w:rPr>
        <w:t xml:space="preserve"> </w:t>
      </w:r>
      <w:r>
        <w:t>"critical</w:t>
      </w:r>
      <w:r>
        <w:rPr>
          <w:spacing w:val="-13"/>
        </w:rPr>
        <w:t xml:space="preserve"> </w:t>
      </w:r>
      <w:r>
        <w:t>and</w:t>
      </w:r>
      <w:r>
        <w:rPr>
          <w:spacing w:val="-14"/>
        </w:rPr>
        <w:t xml:space="preserve"> </w:t>
      </w:r>
      <w:r>
        <w:t>searching</w:t>
      </w:r>
      <w:r>
        <w:t>", and noted that while it will inevitably require a case‐by‐case assessment:</w:t>
      </w:r>
    </w:p>
    <w:p w14:paraId="51DE7C1B" w14:textId="77777777" w:rsidR="0010369C" w:rsidRDefault="008E43AE">
      <w:pPr>
        <w:spacing w:before="162" w:line="276" w:lineRule="auto"/>
        <w:ind w:left="1088" w:right="194"/>
        <w:jc w:val="both"/>
      </w:pPr>
      <w:r>
        <w:t>The panel's scrutiny should test whether the reasoning of the authority is coherent and internally consistent. The panel must undertake an in‐depth examination of whether the exp</w:t>
      </w:r>
      <w:r>
        <w:t>lanations</w:t>
      </w:r>
      <w:r>
        <w:rPr>
          <w:spacing w:val="-7"/>
        </w:rPr>
        <w:t xml:space="preserve"> </w:t>
      </w:r>
      <w:r>
        <w:t>given</w:t>
      </w:r>
      <w:r>
        <w:rPr>
          <w:spacing w:val="-8"/>
        </w:rPr>
        <w:t xml:space="preserve"> </w:t>
      </w:r>
      <w:r>
        <w:t>disclose</w:t>
      </w:r>
      <w:r>
        <w:rPr>
          <w:spacing w:val="-7"/>
        </w:rPr>
        <w:t xml:space="preserve"> </w:t>
      </w:r>
      <w:r>
        <w:t>how</w:t>
      </w:r>
      <w:r>
        <w:rPr>
          <w:spacing w:val="-7"/>
        </w:rPr>
        <w:t xml:space="preserve"> </w:t>
      </w:r>
      <w:r>
        <w:t>the</w:t>
      </w:r>
      <w:r>
        <w:rPr>
          <w:spacing w:val="-8"/>
        </w:rPr>
        <w:t xml:space="preserve"> </w:t>
      </w:r>
      <w:r>
        <w:t>investigating</w:t>
      </w:r>
      <w:r>
        <w:rPr>
          <w:spacing w:val="-7"/>
        </w:rPr>
        <w:t xml:space="preserve"> </w:t>
      </w:r>
      <w:r>
        <w:t>authority</w:t>
      </w:r>
      <w:r>
        <w:rPr>
          <w:spacing w:val="-8"/>
        </w:rPr>
        <w:t xml:space="preserve"> </w:t>
      </w:r>
      <w:r>
        <w:t>treated</w:t>
      </w:r>
      <w:r>
        <w:rPr>
          <w:spacing w:val="-8"/>
        </w:rPr>
        <w:t xml:space="preserve"> </w:t>
      </w:r>
      <w:r>
        <w:t>the</w:t>
      </w:r>
      <w:r>
        <w:rPr>
          <w:spacing w:val="-6"/>
        </w:rPr>
        <w:t xml:space="preserve"> </w:t>
      </w:r>
      <w:r>
        <w:t>facts</w:t>
      </w:r>
      <w:r>
        <w:rPr>
          <w:spacing w:val="-7"/>
        </w:rPr>
        <w:t xml:space="preserve"> </w:t>
      </w:r>
      <w:r>
        <w:t>and</w:t>
      </w:r>
      <w:r>
        <w:rPr>
          <w:spacing w:val="-8"/>
        </w:rPr>
        <w:t xml:space="preserve"> </w:t>
      </w:r>
      <w:r>
        <w:t>evidence</w:t>
      </w:r>
      <w:r>
        <w:rPr>
          <w:spacing w:val="-8"/>
        </w:rPr>
        <w:t xml:space="preserve"> </w:t>
      </w:r>
      <w:r>
        <w:t>in the</w:t>
      </w:r>
      <w:r>
        <w:rPr>
          <w:spacing w:val="-13"/>
        </w:rPr>
        <w:t xml:space="preserve"> </w:t>
      </w:r>
      <w:r>
        <w:t>record</w:t>
      </w:r>
      <w:r>
        <w:rPr>
          <w:spacing w:val="-12"/>
        </w:rPr>
        <w:t xml:space="preserve"> </w:t>
      </w:r>
      <w:r>
        <w:t>and</w:t>
      </w:r>
      <w:r>
        <w:rPr>
          <w:spacing w:val="-13"/>
        </w:rPr>
        <w:t xml:space="preserve"> </w:t>
      </w:r>
      <w:r>
        <w:t>whether</w:t>
      </w:r>
      <w:r>
        <w:rPr>
          <w:spacing w:val="-12"/>
        </w:rPr>
        <w:t xml:space="preserve"> </w:t>
      </w:r>
      <w:r>
        <w:t>there</w:t>
      </w:r>
      <w:r>
        <w:rPr>
          <w:spacing w:val="-13"/>
        </w:rPr>
        <w:t xml:space="preserve"> </w:t>
      </w:r>
      <w:r>
        <w:t>was</w:t>
      </w:r>
      <w:r>
        <w:rPr>
          <w:spacing w:val="-12"/>
        </w:rPr>
        <w:t xml:space="preserve"> </w:t>
      </w:r>
      <w:r>
        <w:t>positive</w:t>
      </w:r>
      <w:r>
        <w:rPr>
          <w:spacing w:val="-12"/>
        </w:rPr>
        <w:t xml:space="preserve"> </w:t>
      </w:r>
      <w:r>
        <w:t>evidence</w:t>
      </w:r>
      <w:r>
        <w:rPr>
          <w:spacing w:val="-13"/>
        </w:rPr>
        <w:t xml:space="preserve"> </w:t>
      </w:r>
      <w:r>
        <w:t>before</w:t>
      </w:r>
      <w:r>
        <w:rPr>
          <w:spacing w:val="-11"/>
        </w:rPr>
        <w:t xml:space="preserve"> </w:t>
      </w:r>
      <w:r>
        <w:t>it</w:t>
      </w:r>
      <w:r>
        <w:rPr>
          <w:spacing w:val="-13"/>
        </w:rPr>
        <w:t xml:space="preserve"> </w:t>
      </w:r>
      <w:r>
        <w:t>to</w:t>
      </w:r>
      <w:r>
        <w:rPr>
          <w:spacing w:val="-12"/>
        </w:rPr>
        <w:t xml:space="preserve"> </w:t>
      </w:r>
      <w:r>
        <w:t>support</w:t>
      </w:r>
      <w:r>
        <w:rPr>
          <w:spacing w:val="-12"/>
        </w:rPr>
        <w:t xml:space="preserve"> </w:t>
      </w:r>
      <w:r>
        <w:t>the</w:t>
      </w:r>
      <w:r>
        <w:rPr>
          <w:spacing w:val="-13"/>
        </w:rPr>
        <w:t xml:space="preserve"> </w:t>
      </w:r>
      <w:r>
        <w:t>inferences</w:t>
      </w:r>
      <w:r>
        <w:rPr>
          <w:spacing w:val="-11"/>
        </w:rPr>
        <w:t xml:space="preserve"> </w:t>
      </w:r>
      <w:r>
        <w:t>made and conclusions reached by it. The panel must examine whether the explanations provided demonstrate that</w:t>
      </w:r>
      <w:r>
        <w:rPr>
          <w:spacing w:val="-2"/>
        </w:rPr>
        <w:t xml:space="preserve"> </w:t>
      </w:r>
      <w:r>
        <w:t>the</w:t>
      </w:r>
      <w:r>
        <w:rPr>
          <w:spacing w:val="-2"/>
        </w:rPr>
        <w:t xml:space="preserve"> </w:t>
      </w:r>
      <w:r>
        <w:t>investigating</w:t>
      </w:r>
      <w:r>
        <w:rPr>
          <w:spacing w:val="-2"/>
        </w:rPr>
        <w:t xml:space="preserve"> </w:t>
      </w:r>
      <w:r>
        <w:t>authority</w:t>
      </w:r>
      <w:r>
        <w:rPr>
          <w:spacing w:val="-2"/>
        </w:rPr>
        <w:t xml:space="preserve"> </w:t>
      </w:r>
      <w:r>
        <w:t>took</w:t>
      </w:r>
      <w:r>
        <w:rPr>
          <w:spacing w:val="-2"/>
        </w:rPr>
        <w:t xml:space="preserve"> </w:t>
      </w:r>
      <w:r>
        <w:t>proper</w:t>
      </w:r>
      <w:r>
        <w:rPr>
          <w:spacing w:val="-2"/>
        </w:rPr>
        <w:t xml:space="preserve"> </w:t>
      </w:r>
      <w:r>
        <w:t>account</w:t>
      </w:r>
      <w:r>
        <w:rPr>
          <w:spacing w:val="-2"/>
        </w:rPr>
        <w:t xml:space="preserve"> </w:t>
      </w:r>
      <w:r>
        <w:t>of</w:t>
      </w:r>
      <w:r>
        <w:rPr>
          <w:spacing w:val="-3"/>
        </w:rPr>
        <w:t xml:space="preserve"> </w:t>
      </w:r>
      <w:r>
        <w:t>the</w:t>
      </w:r>
      <w:r>
        <w:rPr>
          <w:spacing w:val="-2"/>
        </w:rPr>
        <w:t xml:space="preserve"> </w:t>
      </w:r>
      <w:r>
        <w:t>complexities</w:t>
      </w:r>
      <w:r>
        <w:rPr>
          <w:spacing w:val="-2"/>
        </w:rPr>
        <w:t xml:space="preserve"> </w:t>
      </w:r>
      <w:r>
        <w:t>of</w:t>
      </w:r>
      <w:r>
        <w:rPr>
          <w:spacing w:val="-3"/>
        </w:rPr>
        <w:t xml:space="preserve"> </w:t>
      </w:r>
      <w:r>
        <w:t>the data before it, and that it explained why it rejected or discounted alt</w:t>
      </w:r>
      <w:r>
        <w:t>ernative explanations and interpretations of the record evidence.</w:t>
      </w:r>
      <w:r>
        <w:rPr>
          <w:vertAlign w:val="superscript"/>
        </w:rPr>
        <w:t>5</w:t>
      </w:r>
    </w:p>
    <w:p w14:paraId="51DE7C1C" w14:textId="77777777" w:rsidR="0010369C" w:rsidRDefault="0010369C">
      <w:pPr>
        <w:pStyle w:val="BodyText"/>
        <w:spacing w:before="3"/>
        <w:rPr>
          <w:sz w:val="15"/>
        </w:rPr>
      </w:pPr>
    </w:p>
    <w:p w14:paraId="51DE7C1D" w14:textId="77777777" w:rsidR="0010369C" w:rsidRDefault="008E43AE">
      <w:pPr>
        <w:pStyle w:val="BodyText"/>
        <w:spacing w:before="52" w:line="360" w:lineRule="auto"/>
        <w:ind w:left="238" w:right="193" w:firstLine="850"/>
        <w:jc w:val="both"/>
      </w:pPr>
      <w:r>
        <w:rPr>
          <w:noProof/>
        </w:rPr>
        <w:drawing>
          <wp:anchor distT="0" distB="0" distL="0" distR="0" simplePos="0" relativeHeight="250720768" behindDoc="1" locked="0" layoutInCell="1" allowOverlap="1" wp14:anchorId="51DE9D38" wp14:editId="51DE9D39">
            <wp:simplePos x="0" y="0"/>
            <wp:positionH relativeFrom="page">
              <wp:posOffset>905255</wp:posOffset>
            </wp:positionH>
            <wp:positionV relativeFrom="paragraph">
              <wp:posOffset>81187</wp:posOffset>
            </wp:positionV>
            <wp:extent cx="179831" cy="100753"/>
            <wp:effectExtent l="0" t="0" r="0" b="0"/>
            <wp:wrapNone/>
            <wp:docPr id="41"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4.png"/>
                    <pic:cNvPicPr/>
                  </pic:nvPicPr>
                  <pic:blipFill>
                    <a:blip r:embed="rId52" cstate="print"/>
                    <a:stretch>
                      <a:fillRect/>
                    </a:stretch>
                  </pic:blipFill>
                  <pic:spPr>
                    <a:xfrm>
                      <a:off x="0" y="0"/>
                      <a:ext cx="179831" cy="100753"/>
                    </a:xfrm>
                    <a:prstGeom prst="rect">
                      <a:avLst/>
                    </a:prstGeom>
                  </pic:spPr>
                </pic:pic>
              </a:graphicData>
            </a:graphic>
          </wp:anchor>
        </w:drawing>
      </w:r>
      <w:r>
        <w:t>The Appellate Body has recognised</w:t>
      </w:r>
      <w:r>
        <w:rPr>
          <w:spacing w:val="-1"/>
        </w:rPr>
        <w:t xml:space="preserve"> </w:t>
      </w:r>
      <w:r>
        <w:t>that the nature of anti‐dumping investigations is that investigating authorities will gather, and then " inevitably be called upon to reconcile … divergent information and data". However, as the Appellate Body went on to say:</w:t>
      </w:r>
    </w:p>
    <w:p w14:paraId="51DE7C1E" w14:textId="77777777" w:rsidR="0010369C" w:rsidRDefault="008E43AE">
      <w:pPr>
        <w:spacing w:before="161" w:line="276" w:lineRule="auto"/>
        <w:ind w:left="1089" w:right="193"/>
        <w:jc w:val="both"/>
      </w:pPr>
      <w:r>
        <w:t>[T]he</w:t>
      </w:r>
      <w:r>
        <w:rPr>
          <w:spacing w:val="-2"/>
        </w:rPr>
        <w:t xml:space="preserve"> </w:t>
      </w:r>
      <w:r>
        <w:t>evidentiary</w:t>
      </w:r>
      <w:r>
        <w:rPr>
          <w:spacing w:val="-3"/>
        </w:rPr>
        <w:t xml:space="preserve"> </w:t>
      </w:r>
      <w:r>
        <w:t>path</w:t>
      </w:r>
      <w:r>
        <w:rPr>
          <w:spacing w:val="-2"/>
        </w:rPr>
        <w:t xml:space="preserve"> </w:t>
      </w:r>
      <w:r>
        <w:t>that</w:t>
      </w:r>
      <w:r>
        <w:rPr>
          <w:spacing w:val="-2"/>
        </w:rPr>
        <w:t xml:space="preserve"> </w:t>
      </w:r>
      <w:r>
        <w:t>le</w:t>
      </w:r>
      <w:r>
        <w:t>d to</w:t>
      </w:r>
      <w:r>
        <w:rPr>
          <w:spacing w:val="-1"/>
        </w:rPr>
        <w:t xml:space="preserve"> </w:t>
      </w:r>
      <w:r>
        <w:t>the</w:t>
      </w:r>
      <w:r>
        <w:rPr>
          <w:spacing w:val="-2"/>
        </w:rPr>
        <w:t xml:space="preserve"> </w:t>
      </w:r>
      <w:r>
        <w:t>inferences</w:t>
      </w:r>
      <w:r>
        <w:rPr>
          <w:spacing w:val="-1"/>
        </w:rPr>
        <w:t xml:space="preserve"> </w:t>
      </w:r>
      <w:r>
        <w:t>and</w:t>
      </w:r>
      <w:r>
        <w:rPr>
          <w:spacing w:val="-1"/>
        </w:rPr>
        <w:t xml:space="preserve"> </w:t>
      </w:r>
      <w:r>
        <w:t>overall</w:t>
      </w:r>
      <w:r>
        <w:rPr>
          <w:spacing w:val="-2"/>
        </w:rPr>
        <w:t xml:space="preserve"> </w:t>
      </w:r>
      <w:r>
        <w:t>conclusions</w:t>
      </w:r>
      <w:r>
        <w:rPr>
          <w:spacing w:val="-2"/>
        </w:rPr>
        <w:t xml:space="preserve"> </w:t>
      </w:r>
      <w:r>
        <w:t>of</w:t>
      </w:r>
      <w:r>
        <w:rPr>
          <w:spacing w:val="-1"/>
        </w:rPr>
        <w:t xml:space="preserve"> </w:t>
      </w:r>
      <w:r>
        <w:t>the investigating authority</w:t>
      </w:r>
      <w:r>
        <w:rPr>
          <w:spacing w:val="-5"/>
        </w:rPr>
        <w:t xml:space="preserve"> </w:t>
      </w:r>
      <w:r>
        <w:t>must</w:t>
      </w:r>
      <w:r>
        <w:rPr>
          <w:spacing w:val="-6"/>
        </w:rPr>
        <w:t xml:space="preserve"> </w:t>
      </w:r>
      <w:r>
        <w:t>be</w:t>
      </w:r>
      <w:r>
        <w:rPr>
          <w:spacing w:val="-5"/>
        </w:rPr>
        <w:t xml:space="preserve"> </w:t>
      </w:r>
      <w:r>
        <w:t>clearly</w:t>
      </w:r>
      <w:r>
        <w:rPr>
          <w:spacing w:val="-5"/>
        </w:rPr>
        <w:t xml:space="preserve"> </w:t>
      </w:r>
      <w:r>
        <w:t>discernible</w:t>
      </w:r>
      <w:r>
        <w:rPr>
          <w:spacing w:val="-3"/>
        </w:rPr>
        <w:t xml:space="preserve"> </w:t>
      </w:r>
      <w:r>
        <w:t>in</w:t>
      </w:r>
      <w:r>
        <w:rPr>
          <w:spacing w:val="-5"/>
        </w:rPr>
        <w:t xml:space="preserve"> </w:t>
      </w:r>
      <w:r>
        <w:t>the</w:t>
      </w:r>
      <w:r>
        <w:rPr>
          <w:spacing w:val="-6"/>
        </w:rPr>
        <w:t xml:space="preserve"> </w:t>
      </w:r>
      <w:r>
        <w:t>reasoning</w:t>
      </w:r>
      <w:r>
        <w:rPr>
          <w:spacing w:val="-5"/>
        </w:rPr>
        <w:t xml:space="preserve"> </w:t>
      </w:r>
      <w:r>
        <w:t>and</w:t>
      </w:r>
      <w:r>
        <w:rPr>
          <w:spacing w:val="-6"/>
        </w:rPr>
        <w:t xml:space="preserve"> </w:t>
      </w:r>
      <w:r>
        <w:t>explanations</w:t>
      </w:r>
      <w:r>
        <w:rPr>
          <w:spacing w:val="-6"/>
        </w:rPr>
        <w:t xml:space="preserve"> </w:t>
      </w:r>
      <w:r>
        <w:t>found</w:t>
      </w:r>
      <w:r>
        <w:rPr>
          <w:spacing w:val="-5"/>
        </w:rPr>
        <w:t xml:space="preserve"> </w:t>
      </w:r>
      <w:r>
        <w:t>in</w:t>
      </w:r>
      <w:r>
        <w:rPr>
          <w:spacing w:val="-5"/>
        </w:rPr>
        <w:t xml:space="preserve"> </w:t>
      </w:r>
      <w:r>
        <w:t>its</w:t>
      </w:r>
      <w:r>
        <w:rPr>
          <w:spacing w:val="-5"/>
        </w:rPr>
        <w:t xml:space="preserve"> </w:t>
      </w:r>
      <w:r>
        <w:t>report.</w:t>
      </w:r>
      <w:r>
        <w:rPr>
          <w:spacing w:val="-5"/>
        </w:rPr>
        <w:t xml:space="preserve"> </w:t>
      </w:r>
      <w:r>
        <w:t xml:space="preserve">… In particular, the panel must also examine whether the investigating authority's reasoning takes sufficient account of conflicting evidence and responds to competing plausible explanations of that evidence. This task may also require a panel to consider </w:t>
      </w:r>
      <w:r>
        <w:t>whether, in analyzing the record before it, the investigating authority evaluated all of the relevant evidence</w:t>
      </w:r>
      <w:r>
        <w:rPr>
          <w:spacing w:val="-7"/>
        </w:rPr>
        <w:t xml:space="preserve"> </w:t>
      </w:r>
      <w:r>
        <w:t>in</w:t>
      </w:r>
      <w:r>
        <w:rPr>
          <w:spacing w:val="-4"/>
        </w:rPr>
        <w:t xml:space="preserve"> </w:t>
      </w:r>
      <w:r>
        <w:t>an</w:t>
      </w:r>
      <w:r>
        <w:rPr>
          <w:spacing w:val="-6"/>
        </w:rPr>
        <w:t xml:space="preserve"> </w:t>
      </w:r>
      <w:r>
        <w:t>objective</w:t>
      </w:r>
      <w:r>
        <w:rPr>
          <w:spacing w:val="-4"/>
        </w:rPr>
        <w:t xml:space="preserve"> </w:t>
      </w:r>
      <w:r>
        <w:t>and</w:t>
      </w:r>
      <w:r>
        <w:rPr>
          <w:spacing w:val="-4"/>
        </w:rPr>
        <w:t xml:space="preserve"> </w:t>
      </w:r>
      <w:r>
        <w:t>unbiased</w:t>
      </w:r>
      <w:r>
        <w:rPr>
          <w:spacing w:val="-2"/>
        </w:rPr>
        <w:t xml:space="preserve"> </w:t>
      </w:r>
      <w:r>
        <w:t>manner,</w:t>
      </w:r>
      <w:r>
        <w:rPr>
          <w:spacing w:val="-4"/>
        </w:rPr>
        <w:t xml:space="preserve"> </w:t>
      </w:r>
      <w:r>
        <w:t>so</w:t>
      </w:r>
      <w:r>
        <w:rPr>
          <w:spacing w:val="-5"/>
        </w:rPr>
        <w:t xml:space="preserve"> </w:t>
      </w:r>
      <w:r>
        <w:t>as</w:t>
      </w:r>
      <w:r>
        <w:rPr>
          <w:spacing w:val="-5"/>
        </w:rPr>
        <w:t xml:space="preserve"> </w:t>
      </w:r>
      <w:r>
        <w:t>to</w:t>
      </w:r>
      <w:r>
        <w:rPr>
          <w:spacing w:val="-5"/>
        </w:rPr>
        <w:t xml:space="preserve"> </w:t>
      </w:r>
      <w:r>
        <w:t>reach</w:t>
      </w:r>
      <w:r>
        <w:rPr>
          <w:spacing w:val="-5"/>
        </w:rPr>
        <w:t xml:space="preserve"> </w:t>
      </w:r>
      <w:r>
        <w:t>its</w:t>
      </w:r>
      <w:r>
        <w:rPr>
          <w:spacing w:val="-2"/>
        </w:rPr>
        <w:t xml:space="preserve"> </w:t>
      </w:r>
      <w:r>
        <w:t>findings</w:t>
      </w:r>
      <w:r>
        <w:rPr>
          <w:spacing w:val="-3"/>
        </w:rPr>
        <w:t xml:space="preserve"> </w:t>
      </w:r>
      <w:r>
        <w:t>"without</w:t>
      </w:r>
      <w:r>
        <w:rPr>
          <w:spacing w:val="-5"/>
        </w:rPr>
        <w:t xml:space="preserve"> </w:t>
      </w:r>
      <w:r>
        <w:t>favouring the interests of any interested party, or group of interested</w:t>
      </w:r>
      <w:r>
        <w:t xml:space="preserve"> parties, in the investigation".</w:t>
      </w:r>
      <w:r>
        <w:rPr>
          <w:vertAlign w:val="superscript"/>
        </w:rPr>
        <w:t>6</w:t>
      </w:r>
    </w:p>
    <w:p w14:paraId="51DE7C1F" w14:textId="77777777" w:rsidR="0010369C" w:rsidRDefault="0010369C">
      <w:pPr>
        <w:pStyle w:val="BodyText"/>
        <w:spacing w:before="4"/>
        <w:rPr>
          <w:sz w:val="15"/>
        </w:rPr>
      </w:pPr>
    </w:p>
    <w:p w14:paraId="51DE7C20" w14:textId="77777777" w:rsidR="0010369C" w:rsidRDefault="008E43AE">
      <w:pPr>
        <w:pStyle w:val="BodyText"/>
        <w:spacing w:before="52" w:line="360" w:lineRule="auto"/>
        <w:ind w:left="237" w:right="194" w:firstLine="851"/>
        <w:jc w:val="both"/>
      </w:pPr>
      <w:r>
        <w:rPr>
          <w:noProof/>
        </w:rPr>
        <w:drawing>
          <wp:anchor distT="0" distB="0" distL="0" distR="0" simplePos="0" relativeHeight="250721792" behindDoc="1" locked="0" layoutInCell="1" allowOverlap="1" wp14:anchorId="51DE9D3A" wp14:editId="51DE9D3B">
            <wp:simplePos x="0" y="0"/>
            <wp:positionH relativeFrom="page">
              <wp:posOffset>905255</wp:posOffset>
            </wp:positionH>
            <wp:positionV relativeFrom="paragraph">
              <wp:posOffset>81949</wp:posOffset>
            </wp:positionV>
            <wp:extent cx="179831" cy="100753"/>
            <wp:effectExtent l="0" t="0" r="0" b="0"/>
            <wp:wrapNone/>
            <wp:docPr id="43"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5.png"/>
                    <pic:cNvPicPr/>
                  </pic:nvPicPr>
                  <pic:blipFill>
                    <a:blip r:embed="rId53" cstate="print"/>
                    <a:stretch>
                      <a:fillRect/>
                    </a:stretch>
                  </pic:blipFill>
                  <pic:spPr>
                    <a:xfrm>
                      <a:off x="0" y="0"/>
                      <a:ext cx="179831" cy="100753"/>
                    </a:xfrm>
                    <a:prstGeom prst="rect">
                      <a:avLst/>
                    </a:prstGeom>
                  </pic:spPr>
                </pic:pic>
              </a:graphicData>
            </a:graphic>
          </wp:anchor>
        </w:drawing>
      </w:r>
      <w:r>
        <w:t>Turning to the special procedures under Articles 17.5 and 17.6 of the Anti‐Dumping Agreement, Article 17.5(ii) provides that the panel is to examine the matter based upon the facts that were</w:t>
      </w:r>
      <w:r>
        <w:rPr>
          <w:spacing w:val="-1"/>
        </w:rPr>
        <w:t xml:space="preserve"> </w:t>
      </w:r>
      <w:r>
        <w:t>made</w:t>
      </w:r>
      <w:r>
        <w:rPr>
          <w:spacing w:val="-1"/>
        </w:rPr>
        <w:t xml:space="preserve"> </w:t>
      </w:r>
      <w:r>
        <w:t>available to the investi</w:t>
      </w:r>
      <w:r>
        <w:t>gating authority</w:t>
      </w:r>
      <w:r>
        <w:rPr>
          <w:spacing w:val="-1"/>
        </w:rPr>
        <w:t xml:space="preserve"> </w:t>
      </w:r>
      <w:r>
        <w:t>of the</w:t>
      </w:r>
      <w:r>
        <w:rPr>
          <w:spacing w:val="-1"/>
        </w:rPr>
        <w:t xml:space="preserve"> </w:t>
      </w:r>
      <w:r>
        <w:t>importing Member when it</w:t>
      </w:r>
      <w:r>
        <w:rPr>
          <w:spacing w:val="-6"/>
        </w:rPr>
        <w:t xml:space="preserve"> </w:t>
      </w:r>
      <w:r>
        <w:t>made</w:t>
      </w:r>
      <w:r>
        <w:rPr>
          <w:spacing w:val="-5"/>
        </w:rPr>
        <w:t xml:space="preserve"> </w:t>
      </w:r>
      <w:r>
        <w:t>its</w:t>
      </w:r>
      <w:r>
        <w:rPr>
          <w:spacing w:val="-6"/>
        </w:rPr>
        <w:t xml:space="preserve"> </w:t>
      </w:r>
      <w:r>
        <w:t>determination.</w:t>
      </w:r>
      <w:r>
        <w:rPr>
          <w:spacing w:val="-6"/>
        </w:rPr>
        <w:t xml:space="preserve"> </w:t>
      </w:r>
      <w:r>
        <w:t>Article</w:t>
      </w:r>
      <w:r>
        <w:rPr>
          <w:spacing w:val="-6"/>
        </w:rPr>
        <w:t xml:space="preserve"> </w:t>
      </w:r>
      <w:r>
        <w:t>17.6</w:t>
      </w:r>
      <w:r>
        <w:rPr>
          <w:spacing w:val="-7"/>
        </w:rPr>
        <w:t xml:space="preserve"> </w:t>
      </w:r>
      <w:r>
        <w:t>of</w:t>
      </w:r>
      <w:r>
        <w:rPr>
          <w:spacing w:val="-6"/>
        </w:rPr>
        <w:t xml:space="preserve"> </w:t>
      </w:r>
      <w:r>
        <w:t>the</w:t>
      </w:r>
      <w:r>
        <w:rPr>
          <w:spacing w:val="-5"/>
        </w:rPr>
        <w:t xml:space="preserve"> </w:t>
      </w:r>
      <w:r>
        <w:t>Anti‐Dumping</w:t>
      </w:r>
      <w:r>
        <w:rPr>
          <w:spacing w:val="-6"/>
        </w:rPr>
        <w:t xml:space="preserve"> </w:t>
      </w:r>
      <w:r>
        <w:t>Agreement</w:t>
      </w:r>
      <w:r>
        <w:rPr>
          <w:spacing w:val="-7"/>
        </w:rPr>
        <w:t xml:space="preserve"> </w:t>
      </w:r>
      <w:r>
        <w:t>provides</w:t>
      </w:r>
      <w:r>
        <w:rPr>
          <w:spacing w:val="-6"/>
        </w:rPr>
        <w:t xml:space="preserve"> </w:t>
      </w:r>
      <w:r>
        <w:t>the</w:t>
      </w:r>
      <w:r>
        <w:rPr>
          <w:spacing w:val="-5"/>
        </w:rPr>
        <w:t xml:space="preserve"> </w:t>
      </w:r>
      <w:r>
        <w:t>standard of review that panels must apply in respect of those facts.</w:t>
      </w:r>
    </w:p>
    <w:p w14:paraId="51DE7C21" w14:textId="77777777" w:rsidR="0010369C" w:rsidRDefault="0010369C">
      <w:pPr>
        <w:pStyle w:val="BodyText"/>
        <w:rPr>
          <w:sz w:val="20"/>
        </w:rPr>
      </w:pPr>
    </w:p>
    <w:p w14:paraId="51DE7C22" w14:textId="77777777" w:rsidR="0010369C" w:rsidRDefault="008E43AE">
      <w:pPr>
        <w:pStyle w:val="BodyText"/>
        <w:spacing w:before="4"/>
        <w:rPr>
          <w:sz w:val="16"/>
        </w:rPr>
      </w:pPr>
      <w:r>
        <w:pict w14:anchorId="51DE9D3C">
          <v:rect id="docshape63" o:spid="_x0000_s3195" style="position:absolute;margin-left:70.9pt;margin-top:11.2pt;width:2in;height:.8pt;z-index:-251259392;mso-wrap-distance-left:0;mso-wrap-distance-right:0;mso-position-horizontal-relative:page" fillcolor="black" stroked="f">
            <w10:wrap type="topAndBottom" anchorx="page"/>
          </v:rect>
        </w:pict>
      </w:r>
    </w:p>
    <w:p w14:paraId="51DE7C23" w14:textId="77777777" w:rsidR="0010369C" w:rsidRDefault="008E43AE">
      <w:pPr>
        <w:spacing w:before="109"/>
        <w:ind w:left="238"/>
        <w:rPr>
          <w:i/>
          <w:sz w:val="18"/>
        </w:rPr>
      </w:pPr>
      <w:bookmarkStart w:id="9" w:name="_bookmark2"/>
      <w:bookmarkEnd w:id="9"/>
      <w:r>
        <w:rPr>
          <w:sz w:val="18"/>
          <w:vertAlign w:val="superscript"/>
        </w:rPr>
        <w:t>3</w:t>
      </w:r>
      <w:r>
        <w:rPr>
          <w:spacing w:val="1"/>
          <w:sz w:val="18"/>
        </w:rPr>
        <w:t xml:space="preserve"> </w:t>
      </w:r>
      <w:r>
        <w:rPr>
          <w:sz w:val="18"/>
        </w:rPr>
        <w:t>Appellate</w:t>
      </w:r>
      <w:r>
        <w:rPr>
          <w:spacing w:val="1"/>
          <w:sz w:val="18"/>
        </w:rPr>
        <w:t xml:space="preserve"> </w:t>
      </w:r>
      <w:r>
        <w:rPr>
          <w:sz w:val="18"/>
        </w:rPr>
        <w:t>Body</w:t>
      </w:r>
      <w:r>
        <w:rPr>
          <w:spacing w:val="1"/>
          <w:sz w:val="18"/>
        </w:rPr>
        <w:t xml:space="preserve"> </w:t>
      </w:r>
      <w:r>
        <w:rPr>
          <w:sz w:val="18"/>
        </w:rPr>
        <w:t>Report,</w:t>
      </w:r>
      <w:r>
        <w:rPr>
          <w:spacing w:val="1"/>
          <w:sz w:val="18"/>
        </w:rPr>
        <w:t xml:space="preserve"> </w:t>
      </w:r>
      <w:r>
        <w:rPr>
          <w:i/>
          <w:sz w:val="18"/>
        </w:rPr>
        <w:t>US</w:t>
      </w:r>
      <w:r>
        <w:rPr>
          <w:i/>
          <w:spacing w:val="2"/>
          <w:sz w:val="18"/>
        </w:rPr>
        <w:t xml:space="preserve"> </w:t>
      </w:r>
      <w:r>
        <w:rPr>
          <w:i/>
          <w:sz w:val="18"/>
        </w:rPr>
        <w:t>–</w:t>
      </w:r>
      <w:r>
        <w:rPr>
          <w:i/>
          <w:spacing w:val="1"/>
          <w:sz w:val="18"/>
        </w:rPr>
        <w:t xml:space="preserve"> </w:t>
      </w:r>
      <w:r>
        <w:rPr>
          <w:i/>
          <w:sz w:val="18"/>
        </w:rPr>
        <w:t>Lamb</w:t>
      </w:r>
      <w:r>
        <w:rPr>
          <w:sz w:val="18"/>
        </w:rPr>
        <w:t>,</w:t>
      </w:r>
      <w:r>
        <w:rPr>
          <w:spacing w:val="1"/>
          <w:sz w:val="18"/>
        </w:rPr>
        <w:t xml:space="preserve"> </w:t>
      </w:r>
      <w:r>
        <w:rPr>
          <w:sz w:val="18"/>
        </w:rPr>
        <w:t>para.</w:t>
      </w:r>
      <w:r>
        <w:rPr>
          <w:spacing w:val="2"/>
          <w:sz w:val="18"/>
        </w:rPr>
        <w:t xml:space="preserve"> </w:t>
      </w:r>
      <w:r>
        <w:rPr>
          <w:sz w:val="18"/>
        </w:rPr>
        <w:t>106.</w:t>
      </w:r>
      <w:r>
        <w:rPr>
          <w:spacing w:val="1"/>
          <w:sz w:val="18"/>
        </w:rPr>
        <w:t xml:space="preserve"> </w:t>
      </w:r>
      <w:r>
        <w:rPr>
          <w:sz w:val="18"/>
        </w:rPr>
        <w:t>See</w:t>
      </w:r>
      <w:r>
        <w:rPr>
          <w:spacing w:val="2"/>
          <w:sz w:val="18"/>
        </w:rPr>
        <w:t xml:space="preserve"> </w:t>
      </w:r>
      <w:r>
        <w:rPr>
          <w:sz w:val="18"/>
        </w:rPr>
        <w:t>also</w:t>
      </w:r>
      <w:r>
        <w:rPr>
          <w:spacing w:val="1"/>
          <w:sz w:val="18"/>
        </w:rPr>
        <w:t xml:space="preserve"> </w:t>
      </w:r>
      <w:r>
        <w:rPr>
          <w:i/>
          <w:sz w:val="18"/>
        </w:rPr>
        <w:t>US –</w:t>
      </w:r>
      <w:r>
        <w:rPr>
          <w:i/>
          <w:spacing w:val="2"/>
          <w:sz w:val="18"/>
        </w:rPr>
        <w:t xml:space="preserve"> </w:t>
      </w:r>
      <w:r>
        <w:rPr>
          <w:i/>
          <w:sz w:val="18"/>
        </w:rPr>
        <w:t>Cotton</w:t>
      </w:r>
      <w:r>
        <w:rPr>
          <w:i/>
          <w:spacing w:val="2"/>
          <w:sz w:val="18"/>
        </w:rPr>
        <w:t xml:space="preserve"> </w:t>
      </w:r>
      <w:r>
        <w:rPr>
          <w:i/>
          <w:sz w:val="18"/>
        </w:rPr>
        <w:t>Yarn, para.</w:t>
      </w:r>
      <w:r>
        <w:rPr>
          <w:i/>
          <w:spacing w:val="2"/>
          <w:sz w:val="18"/>
        </w:rPr>
        <w:t xml:space="preserve"> </w:t>
      </w:r>
      <w:r>
        <w:rPr>
          <w:i/>
          <w:sz w:val="18"/>
        </w:rPr>
        <w:t>69</w:t>
      </w:r>
      <w:r>
        <w:rPr>
          <w:i/>
          <w:spacing w:val="2"/>
          <w:sz w:val="18"/>
        </w:rPr>
        <w:t xml:space="preserve"> </w:t>
      </w:r>
      <w:r>
        <w:rPr>
          <w:i/>
          <w:sz w:val="18"/>
        </w:rPr>
        <w:t>n.</w:t>
      </w:r>
      <w:r>
        <w:rPr>
          <w:i/>
          <w:spacing w:val="1"/>
          <w:sz w:val="18"/>
        </w:rPr>
        <w:t xml:space="preserve"> </w:t>
      </w:r>
      <w:r>
        <w:rPr>
          <w:i/>
          <w:sz w:val="18"/>
        </w:rPr>
        <w:t>42;</w:t>
      </w:r>
      <w:r>
        <w:rPr>
          <w:i/>
          <w:spacing w:val="1"/>
          <w:sz w:val="18"/>
        </w:rPr>
        <w:t xml:space="preserve"> </w:t>
      </w:r>
      <w:r>
        <w:rPr>
          <w:i/>
          <w:sz w:val="18"/>
        </w:rPr>
        <w:t>US</w:t>
      </w:r>
      <w:r>
        <w:rPr>
          <w:i/>
          <w:spacing w:val="2"/>
          <w:sz w:val="18"/>
        </w:rPr>
        <w:t xml:space="preserve"> </w:t>
      </w:r>
      <w:r>
        <w:rPr>
          <w:i/>
          <w:sz w:val="18"/>
        </w:rPr>
        <w:t>– Softwood</w:t>
      </w:r>
      <w:r>
        <w:rPr>
          <w:i/>
          <w:spacing w:val="2"/>
          <w:sz w:val="18"/>
        </w:rPr>
        <w:t xml:space="preserve"> </w:t>
      </w:r>
      <w:r>
        <w:rPr>
          <w:i/>
          <w:sz w:val="18"/>
        </w:rPr>
        <w:t>Lumber</w:t>
      </w:r>
      <w:r>
        <w:rPr>
          <w:i/>
          <w:spacing w:val="1"/>
          <w:sz w:val="18"/>
        </w:rPr>
        <w:t xml:space="preserve"> </w:t>
      </w:r>
      <w:r>
        <w:rPr>
          <w:i/>
          <w:sz w:val="18"/>
        </w:rPr>
        <w:t>VI</w:t>
      </w:r>
      <w:r>
        <w:rPr>
          <w:i/>
          <w:spacing w:val="1"/>
          <w:sz w:val="18"/>
        </w:rPr>
        <w:t xml:space="preserve"> </w:t>
      </w:r>
      <w:r>
        <w:rPr>
          <w:i/>
          <w:spacing w:val="-2"/>
          <w:sz w:val="18"/>
        </w:rPr>
        <w:t>(Article</w:t>
      </w:r>
    </w:p>
    <w:p w14:paraId="51DE7C24" w14:textId="77777777" w:rsidR="0010369C" w:rsidRDefault="008E43AE">
      <w:pPr>
        <w:ind w:left="237"/>
        <w:rPr>
          <w:sz w:val="18"/>
        </w:rPr>
      </w:pPr>
      <w:r>
        <w:rPr>
          <w:i/>
          <w:sz w:val="18"/>
        </w:rPr>
        <w:t>21.5</w:t>
      </w:r>
      <w:r>
        <w:rPr>
          <w:i/>
          <w:spacing w:val="-7"/>
          <w:sz w:val="18"/>
        </w:rPr>
        <w:t xml:space="preserve"> </w:t>
      </w:r>
      <w:r>
        <w:rPr>
          <w:i/>
          <w:sz w:val="18"/>
        </w:rPr>
        <w:t>–</w:t>
      </w:r>
      <w:r>
        <w:rPr>
          <w:i/>
          <w:spacing w:val="-6"/>
          <w:sz w:val="18"/>
        </w:rPr>
        <w:t xml:space="preserve"> </w:t>
      </w:r>
      <w:r>
        <w:rPr>
          <w:i/>
          <w:sz w:val="18"/>
        </w:rPr>
        <w:t>Canada),</w:t>
      </w:r>
      <w:r>
        <w:rPr>
          <w:i/>
          <w:spacing w:val="-7"/>
          <w:sz w:val="18"/>
        </w:rPr>
        <w:t xml:space="preserve"> </w:t>
      </w:r>
      <w:r>
        <w:rPr>
          <w:i/>
          <w:sz w:val="18"/>
        </w:rPr>
        <w:t>paras.</w:t>
      </w:r>
      <w:r>
        <w:rPr>
          <w:i/>
          <w:spacing w:val="-6"/>
          <w:sz w:val="18"/>
        </w:rPr>
        <w:t xml:space="preserve"> </w:t>
      </w:r>
      <w:r>
        <w:rPr>
          <w:i/>
          <w:sz w:val="18"/>
        </w:rPr>
        <w:t>52</w:t>
      </w:r>
      <w:r>
        <w:rPr>
          <w:i/>
          <w:spacing w:val="-7"/>
          <w:sz w:val="18"/>
        </w:rPr>
        <w:t xml:space="preserve"> </w:t>
      </w:r>
      <w:r>
        <w:rPr>
          <w:i/>
          <w:sz w:val="18"/>
        </w:rPr>
        <w:t>and</w:t>
      </w:r>
      <w:r>
        <w:rPr>
          <w:i/>
          <w:spacing w:val="-7"/>
          <w:sz w:val="18"/>
        </w:rPr>
        <w:t xml:space="preserve"> </w:t>
      </w:r>
      <w:r>
        <w:rPr>
          <w:i/>
          <w:sz w:val="18"/>
        </w:rPr>
        <w:t>99;</w:t>
      </w:r>
      <w:r>
        <w:rPr>
          <w:i/>
          <w:spacing w:val="-8"/>
          <w:sz w:val="18"/>
        </w:rPr>
        <w:t xml:space="preserve"> </w:t>
      </w:r>
      <w:r>
        <w:rPr>
          <w:sz w:val="18"/>
        </w:rPr>
        <w:t>and</w:t>
      </w:r>
      <w:r>
        <w:rPr>
          <w:spacing w:val="-6"/>
          <w:sz w:val="18"/>
        </w:rPr>
        <w:t xml:space="preserve"> </w:t>
      </w:r>
      <w:r>
        <w:rPr>
          <w:i/>
          <w:sz w:val="18"/>
        </w:rPr>
        <w:t>US</w:t>
      </w:r>
      <w:r>
        <w:rPr>
          <w:i/>
          <w:spacing w:val="-7"/>
          <w:sz w:val="18"/>
        </w:rPr>
        <w:t xml:space="preserve"> </w:t>
      </w:r>
      <w:r>
        <w:rPr>
          <w:i/>
          <w:sz w:val="18"/>
        </w:rPr>
        <w:t>–</w:t>
      </w:r>
      <w:r>
        <w:rPr>
          <w:i/>
          <w:spacing w:val="-6"/>
          <w:sz w:val="18"/>
        </w:rPr>
        <w:t xml:space="preserve"> </w:t>
      </w:r>
      <w:r>
        <w:rPr>
          <w:i/>
          <w:sz w:val="18"/>
        </w:rPr>
        <w:t>Countervailing</w:t>
      </w:r>
      <w:r>
        <w:rPr>
          <w:i/>
          <w:spacing w:val="-7"/>
          <w:sz w:val="18"/>
        </w:rPr>
        <w:t xml:space="preserve"> </w:t>
      </w:r>
      <w:r>
        <w:rPr>
          <w:i/>
          <w:sz w:val="18"/>
        </w:rPr>
        <w:t>Duty</w:t>
      </w:r>
      <w:r>
        <w:rPr>
          <w:i/>
          <w:spacing w:val="-6"/>
          <w:sz w:val="18"/>
        </w:rPr>
        <w:t xml:space="preserve"> </w:t>
      </w:r>
      <w:r>
        <w:rPr>
          <w:i/>
          <w:sz w:val="18"/>
        </w:rPr>
        <w:t>Investigations</w:t>
      </w:r>
      <w:r>
        <w:rPr>
          <w:i/>
          <w:spacing w:val="-7"/>
          <w:sz w:val="18"/>
        </w:rPr>
        <w:t xml:space="preserve"> </w:t>
      </w:r>
      <w:r>
        <w:rPr>
          <w:i/>
          <w:sz w:val="18"/>
        </w:rPr>
        <w:t>on</w:t>
      </w:r>
      <w:r>
        <w:rPr>
          <w:i/>
          <w:spacing w:val="-6"/>
          <w:sz w:val="18"/>
        </w:rPr>
        <w:t xml:space="preserve"> </w:t>
      </w:r>
      <w:r>
        <w:rPr>
          <w:i/>
          <w:sz w:val="18"/>
        </w:rPr>
        <w:t>DRAMS</w:t>
      </w:r>
      <w:r>
        <w:rPr>
          <w:sz w:val="18"/>
        </w:rPr>
        <w:t>,</w:t>
      </w:r>
      <w:r>
        <w:rPr>
          <w:spacing w:val="-7"/>
          <w:sz w:val="18"/>
        </w:rPr>
        <w:t xml:space="preserve"> </w:t>
      </w:r>
      <w:r>
        <w:rPr>
          <w:sz w:val="18"/>
        </w:rPr>
        <w:t>para.</w:t>
      </w:r>
      <w:r>
        <w:rPr>
          <w:spacing w:val="-7"/>
          <w:sz w:val="18"/>
        </w:rPr>
        <w:t xml:space="preserve"> </w:t>
      </w:r>
      <w:r>
        <w:rPr>
          <w:spacing w:val="-4"/>
          <w:sz w:val="18"/>
        </w:rPr>
        <w:t>187.</w:t>
      </w:r>
    </w:p>
    <w:p w14:paraId="51DE7C25" w14:textId="77777777" w:rsidR="0010369C" w:rsidRDefault="008E43AE">
      <w:pPr>
        <w:ind w:left="239" w:hanging="2"/>
        <w:rPr>
          <w:sz w:val="18"/>
        </w:rPr>
      </w:pPr>
      <w:r>
        <w:rPr>
          <w:sz w:val="18"/>
          <w:vertAlign w:val="superscript"/>
        </w:rPr>
        <w:t>4</w:t>
      </w:r>
      <w:r>
        <w:rPr>
          <w:sz w:val="18"/>
        </w:rPr>
        <w:t xml:space="preserve"> Appellate Body Report, </w:t>
      </w:r>
      <w:r>
        <w:rPr>
          <w:i/>
          <w:sz w:val="18"/>
        </w:rPr>
        <w:t>US – Softwood Lumber VI (Article 21.5 – Canada)</w:t>
      </w:r>
      <w:r>
        <w:rPr>
          <w:sz w:val="18"/>
        </w:rPr>
        <w:t>, paras. 52 and 93‐94. See also Appellate Body</w:t>
      </w:r>
      <w:r>
        <w:rPr>
          <w:spacing w:val="80"/>
          <w:w w:val="150"/>
          <w:sz w:val="18"/>
        </w:rPr>
        <w:t xml:space="preserve"> </w:t>
      </w:r>
      <w:r>
        <w:rPr>
          <w:sz w:val="18"/>
        </w:rPr>
        <w:t xml:space="preserve">Report, </w:t>
      </w:r>
      <w:r>
        <w:rPr>
          <w:i/>
          <w:sz w:val="18"/>
        </w:rPr>
        <w:t>US – Countervailing Duty Investigation on DRAMS</w:t>
      </w:r>
      <w:r>
        <w:rPr>
          <w:sz w:val="18"/>
        </w:rPr>
        <w:t>, para. 188.</w:t>
      </w:r>
    </w:p>
    <w:p w14:paraId="51DE7C26" w14:textId="77777777" w:rsidR="0010369C" w:rsidRDefault="008E43AE">
      <w:pPr>
        <w:spacing w:before="1"/>
        <w:ind w:left="238"/>
        <w:rPr>
          <w:sz w:val="18"/>
        </w:rPr>
      </w:pPr>
      <w:r>
        <w:rPr>
          <w:sz w:val="18"/>
          <w:vertAlign w:val="superscript"/>
        </w:rPr>
        <w:t>5</w:t>
      </w:r>
      <w:r>
        <w:rPr>
          <w:spacing w:val="-6"/>
          <w:sz w:val="18"/>
        </w:rPr>
        <w:t xml:space="preserve"> </w:t>
      </w:r>
      <w:r>
        <w:rPr>
          <w:sz w:val="18"/>
        </w:rPr>
        <w:t>Appellate</w:t>
      </w:r>
      <w:r>
        <w:rPr>
          <w:spacing w:val="-5"/>
          <w:sz w:val="18"/>
        </w:rPr>
        <w:t xml:space="preserve"> </w:t>
      </w:r>
      <w:r>
        <w:rPr>
          <w:sz w:val="18"/>
        </w:rPr>
        <w:t>B</w:t>
      </w:r>
      <w:r>
        <w:rPr>
          <w:sz w:val="18"/>
        </w:rPr>
        <w:t>ody</w:t>
      </w:r>
      <w:r>
        <w:rPr>
          <w:spacing w:val="-6"/>
          <w:sz w:val="18"/>
        </w:rPr>
        <w:t xml:space="preserve"> </w:t>
      </w:r>
      <w:r>
        <w:rPr>
          <w:sz w:val="18"/>
        </w:rPr>
        <w:t>Report,</w:t>
      </w:r>
      <w:r>
        <w:rPr>
          <w:spacing w:val="-5"/>
          <w:sz w:val="18"/>
        </w:rPr>
        <w:t xml:space="preserve"> </w:t>
      </w:r>
      <w:r>
        <w:rPr>
          <w:i/>
          <w:sz w:val="18"/>
        </w:rPr>
        <w:t>US</w:t>
      </w:r>
      <w:r>
        <w:rPr>
          <w:i/>
          <w:spacing w:val="-5"/>
          <w:sz w:val="18"/>
        </w:rPr>
        <w:t xml:space="preserve"> </w:t>
      </w:r>
      <w:r>
        <w:rPr>
          <w:i/>
          <w:sz w:val="18"/>
        </w:rPr>
        <w:t>–</w:t>
      </w:r>
      <w:r>
        <w:rPr>
          <w:i/>
          <w:spacing w:val="-6"/>
          <w:sz w:val="18"/>
        </w:rPr>
        <w:t xml:space="preserve"> </w:t>
      </w:r>
      <w:r>
        <w:rPr>
          <w:i/>
          <w:sz w:val="18"/>
        </w:rPr>
        <w:t>Softwood</w:t>
      </w:r>
      <w:r>
        <w:rPr>
          <w:i/>
          <w:spacing w:val="-5"/>
          <w:sz w:val="18"/>
        </w:rPr>
        <w:t xml:space="preserve"> </w:t>
      </w:r>
      <w:r>
        <w:rPr>
          <w:i/>
          <w:sz w:val="18"/>
        </w:rPr>
        <w:t>Lumber</w:t>
      </w:r>
      <w:r>
        <w:rPr>
          <w:i/>
          <w:spacing w:val="-6"/>
          <w:sz w:val="18"/>
        </w:rPr>
        <w:t xml:space="preserve"> </w:t>
      </w:r>
      <w:r>
        <w:rPr>
          <w:i/>
          <w:sz w:val="18"/>
        </w:rPr>
        <w:t>VI</w:t>
      </w:r>
      <w:r>
        <w:rPr>
          <w:i/>
          <w:spacing w:val="-5"/>
          <w:sz w:val="18"/>
        </w:rPr>
        <w:t xml:space="preserve"> </w:t>
      </w:r>
      <w:r>
        <w:rPr>
          <w:i/>
          <w:sz w:val="18"/>
        </w:rPr>
        <w:t>(Article</w:t>
      </w:r>
      <w:r>
        <w:rPr>
          <w:i/>
          <w:spacing w:val="-5"/>
          <w:sz w:val="18"/>
        </w:rPr>
        <w:t xml:space="preserve"> </w:t>
      </w:r>
      <w:r>
        <w:rPr>
          <w:i/>
          <w:sz w:val="18"/>
        </w:rPr>
        <w:t>21.5</w:t>
      </w:r>
      <w:r>
        <w:rPr>
          <w:i/>
          <w:spacing w:val="-5"/>
          <w:sz w:val="18"/>
        </w:rPr>
        <w:t xml:space="preserve"> </w:t>
      </w:r>
      <w:r>
        <w:rPr>
          <w:i/>
          <w:sz w:val="18"/>
        </w:rPr>
        <w:t>–</w:t>
      </w:r>
      <w:r>
        <w:rPr>
          <w:i/>
          <w:spacing w:val="-5"/>
          <w:sz w:val="18"/>
        </w:rPr>
        <w:t xml:space="preserve"> </w:t>
      </w:r>
      <w:r>
        <w:rPr>
          <w:i/>
          <w:sz w:val="18"/>
        </w:rPr>
        <w:t>Canada)</w:t>
      </w:r>
      <w:r>
        <w:rPr>
          <w:sz w:val="18"/>
        </w:rPr>
        <w:t>,</w:t>
      </w:r>
      <w:r>
        <w:rPr>
          <w:spacing w:val="-6"/>
          <w:sz w:val="18"/>
        </w:rPr>
        <w:t xml:space="preserve"> </w:t>
      </w:r>
      <w:r>
        <w:rPr>
          <w:sz w:val="18"/>
        </w:rPr>
        <w:t>para.</w:t>
      </w:r>
      <w:r>
        <w:rPr>
          <w:spacing w:val="-5"/>
          <w:sz w:val="18"/>
        </w:rPr>
        <w:t xml:space="preserve"> 93.</w:t>
      </w:r>
    </w:p>
    <w:p w14:paraId="51DE7C27" w14:textId="77777777" w:rsidR="0010369C" w:rsidRDefault="008E43AE">
      <w:pPr>
        <w:ind w:left="238"/>
        <w:rPr>
          <w:sz w:val="18"/>
        </w:rPr>
      </w:pPr>
      <w:r>
        <w:rPr>
          <w:sz w:val="18"/>
          <w:vertAlign w:val="superscript"/>
        </w:rPr>
        <w:t>6</w:t>
      </w:r>
      <w:r>
        <w:rPr>
          <w:sz w:val="18"/>
        </w:rPr>
        <w:t xml:space="preserve"> Appellate Body</w:t>
      </w:r>
      <w:r>
        <w:rPr>
          <w:spacing w:val="-2"/>
          <w:sz w:val="18"/>
        </w:rPr>
        <w:t xml:space="preserve"> </w:t>
      </w:r>
      <w:r>
        <w:rPr>
          <w:sz w:val="18"/>
        </w:rPr>
        <w:t xml:space="preserve">Report, </w:t>
      </w:r>
      <w:r>
        <w:rPr>
          <w:i/>
          <w:sz w:val="18"/>
        </w:rPr>
        <w:t>US – Softwood Lumber VI (Article 21.5 –</w:t>
      </w:r>
      <w:r>
        <w:rPr>
          <w:i/>
          <w:spacing w:val="-1"/>
          <w:sz w:val="18"/>
        </w:rPr>
        <w:t xml:space="preserve"> </w:t>
      </w:r>
      <w:r>
        <w:rPr>
          <w:i/>
          <w:sz w:val="18"/>
        </w:rPr>
        <w:t>Canada)</w:t>
      </w:r>
      <w:r>
        <w:rPr>
          <w:sz w:val="18"/>
        </w:rPr>
        <w:t>, para. 97 (citing Appellate Body</w:t>
      </w:r>
      <w:r>
        <w:rPr>
          <w:spacing w:val="-1"/>
          <w:sz w:val="18"/>
        </w:rPr>
        <w:t xml:space="preserve"> </w:t>
      </w:r>
      <w:r>
        <w:rPr>
          <w:sz w:val="18"/>
        </w:rPr>
        <w:t>Report,</w:t>
      </w:r>
      <w:r>
        <w:rPr>
          <w:spacing w:val="-1"/>
          <w:sz w:val="18"/>
        </w:rPr>
        <w:t xml:space="preserve"> </w:t>
      </w:r>
      <w:r>
        <w:rPr>
          <w:i/>
          <w:sz w:val="18"/>
        </w:rPr>
        <w:t>US – Hot‐ Rolled Steel</w:t>
      </w:r>
      <w:r>
        <w:rPr>
          <w:sz w:val="18"/>
        </w:rPr>
        <w:t>, para. 193).</w:t>
      </w:r>
    </w:p>
    <w:p w14:paraId="51DE7C28" w14:textId="77777777" w:rsidR="0010369C" w:rsidRDefault="0010369C">
      <w:pPr>
        <w:rPr>
          <w:sz w:val="18"/>
        </w:rPr>
        <w:sectPr w:rsidR="0010369C">
          <w:pgSz w:w="11910" w:h="16840"/>
          <w:pgMar w:top="880" w:right="1220" w:bottom="980" w:left="1180" w:header="569" w:footer="788" w:gutter="0"/>
          <w:cols w:space="720"/>
        </w:sectPr>
      </w:pPr>
    </w:p>
    <w:p w14:paraId="51DE7C29" w14:textId="77777777" w:rsidR="0010369C" w:rsidRDefault="008E43AE">
      <w:pPr>
        <w:tabs>
          <w:tab w:val="left" w:pos="6426"/>
        </w:tabs>
        <w:ind w:left="238"/>
        <w:jc w:val="both"/>
        <w:rPr>
          <w:sz w:val="20"/>
        </w:rPr>
      </w:pPr>
      <w:r>
        <w:rPr>
          <w:i/>
          <w:sz w:val="20"/>
        </w:rPr>
        <w:lastRenderedPageBreak/>
        <w:t>China</w:t>
      </w:r>
      <w:r>
        <w:rPr>
          <w:i/>
          <w:spacing w:val="-5"/>
          <w:sz w:val="20"/>
        </w:rPr>
        <w:t xml:space="preserve"> </w:t>
      </w:r>
      <w:r>
        <w:rPr>
          <w:i/>
          <w:sz w:val="20"/>
        </w:rPr>
        <w:t>–</w:t>
      </w:r>
      <w:r>
        <w:rPr>
          <w:i/>
          <w:spacing w:val="-5"/>
          <w:sz w:val="20"/>
        </w:rPr>
        <w:t xml:space="preserve"> </w:t>
      </w:r>
      <w:r>
        <w:rPr>
          <w:i/>
          <w:sz w:val="20"/>
        </w:rPr>
        <w:t>Anti‐Dumping</w:t>
      </w:r>
      <w:r>
        <w:rPr>
          <w:i/>
          <w:spacing w:val="-4"/>
          <w:sz w:val="20"/>
        </w:rPr>
        <w:t xml:space="preserve"> </w:t>
      </w:r>
      <w:r>
        <w:rPr>
          <w:i/>
          <w:sz w:val="20"/>
        </w:rPr>
        <w:t>and</w:t>
      </w:r>
      <w:r>
        <w:rPr>
          <w:i/>
          <w:spacing w:val="-5"/>
          <w:sz w:val="20"/>
        </w:rPr>
        <w:t xml:space="preserve"> </w:t>
      </w:r>
      <w:r>
        <w:rPr>
          <w:i/>
          <w:sz w:val="20"/>
        </w:rPr>
        <w:t>Countervailing</w:t>
      </w:r>
      <w:r>
        <w:rPr>
          <w:i/>
          <w:spacing w:val="-5"/>
          <w:sz w:val="20"/>
        </w:rPr>
        <w:t xml:space="preserve"> </w:t>
      </w:r>
      <w:r>
        <w:rPr>
          <w:i/>
          <w:sz w:val="20"/>
        </w:rPr>
        <w:t>Duty</w:t>
      </w:r>
      <w:r>
        <w:rPr>
          <w:i/>
          <w:spacing w:val="-4"/>
          <w:sz w:val="20"/>
        </w:rPr>
        <w:t xml:space="preserve"> </w:t>
      </w:r>
      <w:r>
        <w:rPr>
          <w:i/>
          <w:spacing w:val="-2"/>
          <w:sz w:val="20"/>
        </w:rPr>
        <w:t>Measures</w:t>
      </w:r>
      <w:r>
        <w:rPr>
          <w:i/>
          <w:sz w:val="20"/>
        </w:rPr>
        <w:tab/>
      </w:r>
      <w:r>
        <w:rPr>
          <w:sz w:val="20"/>
        </w:rPr>
        <w:t>Australia's</w:t>
      </w:r>
      <w:r>
        <w:rPr>
          <w:spacing w:val="-7"/>
          <w:sz w:val="20"/>
        </w:rPr>
        <w:t xml:space="preserve"> </w:t>
      </w:r>
      <w:r>
        <w:rPr>
          <w:sz w:val="20"/>
        </w:rPr>
        <w:t>First</w:t>
      </w:r>
      <w:r>
        <w:rPr>
          <w:spacing w:val="-2"/>
          <w:sz w:val="20"/>
        </w:rPr>
        <w:t xml:space="preserve"> </w:t>
      </w:r>
      <w:r>
        <w:rPr>
          <w:sz w:val="20"/>
        </w:rPr>
        <w:t>Written</w:t>
      </w:r>
      <w:r>
        <w:rPr>
          <w:spacing w:val="-2"/>
          <w:sz w:val="20"/>
        </w:rPr>
        <w:t xml:space="preserve"> Submission</w:t>
      </w:r>
    </w:p>
    <w:p w14:paraId="51DE7C2A" w14:textId="77777777" w:rsidR="0010369C" w:rsidRDefault="008E43AE">
      <w:pPr>
        <w:tabs>
          <w:tab w:val="left" w:pos="8228"/>
        </w:tabs>
        <w:spacing w:before="1"/>
        <w:ind w:left="239"/>
        <w:jc w:val="both"/>
        <w:rPr>
          <w:sz w:val="20"/>
        </w:rPr>
      </w:pPr>
      <w:r>
        <w:rPr>
          <w:i/>
          <w:sz w:val="20"/>
        </w:rPr>
        <w:t>on</w:t>
      </w:r>
      <w:r>
        <w:rPr>
          <w:i/>
          <w:spacing w:val="-1"/>
          <w:sz w:val="20"/>
        </w:rPr>
        <w:t xml:space="preserve"> </w:t>
      </w:r>
      <w:r>
        <w:rPr>
          <w:i/>
          <w:sz w:val="20"/>
        </w:rPr>
        <w:t>Wine</w:t>
      </w:r>
      <w:r>
        <w:rPr>
          <w:i/>
          <w:spacing w:val="-1"/>
          <w:sz w:val="20"/>
        </w:rPr>
        <w:t xml:space="preserve"> </w:t>
      </w:r>
      <w:r>
        <w:rPr>
          <w:i/>
          <w:sz w:val="20"/>
        </w:rPr>
        <w:t>from</w:t>
      </w:r>
      <w:r>
        <w:rPr>
          <w:i/>
          <w:spacing w:val="-3"/>
          <w:sz w:val="20"/>
        </w:rPr>
        <w:t xml:space="preserve"> </w:t>
      </w:r>
      <w:r>
        <w:rPr>
          <w:i/>
          <w:sz w:val="20"/>
        </w:rPr>
        <w:t>Australia</w:t>
      </w:r>
      <w:r>
        <w:rPr>
          <w:i/>
          <w:spacing w:val="-1"/>
          <w:sz w:val="20"/>
        </w:rPr>
        <w:t xml:space="preserve"> </w:t>
      </w:r>
      <w:r>
        <w:rPr>
          <w:spacing w:val="-2"/>
          <w:sz w:val="20"/>
        </w:rPr>
        <w:t>(DS602)</w:t>
      </w:r>
      <w:r>
        <w:rPr>
          <w:sz w:val="20"/>
        </w:rPr>
        <w:tab/>
        <w:t>29</w:t>
      </w:r>
      <w:r>
        <w:rPr>
          <w:spacing w:val="-1"/>
          <w:sz w:val="20"/>
        </w:rPr>
        <w:t xml:space="preserve"> </w:t>
      </w:r>
      <w:r>
        <w:rPr>
          <w:sz w:val="20"/>
        </w:rPr>
        <w:t>April</w:t>
      </w:r>
      <w:r>
        <w:rPr>
          <w:spacing w:val="-2"/>
          <w:sz w:val="20"/>
        </w:rPr>
        <w:t xml:space="preserve"> </w:t>
      </w:r>
      <w:r>
        <w:rPr>
          <w:spacing w:val="-4"/>
          <w:sz w:val="20"/>
        </w:rPr>
        <w:t>2022</w:t>
      </w:r>
    </w:p>
    <w:p w14:paraId="51DE7C2B" w14:textId="77777777" w:rsidR="0010369C" w:rsidRDefault="008E43AE">
      <w:pPr>
        <w:pStyle w:val="BodyText"/>
        <w:spacing w:before="34" w:line="360" w:lineRule="auto"/>
        <w:ind w:left="238" w:right="193" w:firstLine="851"/>
        <w:jc w:val="both"/>
      </w:pPr>
      <w:r>
        <w:rPr>
          <w:noProof/>
        </w:rPr>
        <w:drawing>
          <wp:anchor distT="0" distB="0" distL="0" distR="0" simplePos="0" relativeHeight="250722816" behindDoc="1" locked="0" layoutInCell="1" allowOverlap="1" wp14:anchorId="51DE9D3D" wp14:editId="51DE9D3E">
            <wp:simplePos x="0" y="0"/>
            <wp:positionH relativeFrom="page">
              <wp:posOffset>905255</wp:posOffset>
            </wp:positionH>
            <wp:positionV relativeFrom="paragraph">
              <wp:posOffset>69165</wp:posOffset>
            </wp:positionV>
            <wp:extent cx="179831" cy="103631"/>
            <wp:effectExtent l="0" t="0" r="0" b="0"/>
            <wp:wrapNone/>
            <wp:docPr id="45"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6.png"/>
                    <pic:cNvPicPr/>
                  </pic:nvPicPr>
                  <pic:blipFill>
                    <a:blip r:embed="rId54" cstate="print"/>
                    <a:stretch>
                      <a:fillRect/>
                    </a:stretch>
                  </pic:blipFill>
                  <pic:spPr>
                    <a:xfrm>
                      <a:off x="0" y="0"/>
                      <a:ext cx="179831" cy="103631"/>
                    </a:xfrm>
                    <a:prstGeom prst="rect">
                      <a:avLst/>
                    </a:prstGeom>
                  </pic:spPr>
                </pic:pic>
              </a:graphicData>
            </a:graphic>
          </wp:anchor>
        </w:drawing>
      </w:r>
      <w:r>
        <w:t xml:space="preserve">In sum, the fundamental question before the panel, is whether an objective and impartial investigating authority, in light of the evidence that was before it and the explanations provided, could have reached the conclusions that MOFCOM did in this matter. </w:t>
      </w:r>
      <w:r>
        <w:t>As Australia will demonstrate in the course of this submission, the answer to this question must be "no, it could not".</w:t>
      </w:r>
    </w:p>
    <w:p w14:paraId="51DE7C2C" w14:textId="77777777" w:rsidR="0010369C" w:rsidRDefault="008E43AE">
      <w:pPr>
        <w:pStyle w:val="Heading3"/>
        <w:numPr>
          <w:ilvl w:val="0"/>
          <w:numId w:val="75"/>
        </w:numPr>
        <w:tabs>
          <w:tab w:val="left" w:pos="1089"/>
          <w:tab w:val="left" w:pos="1090"/>
        </w:tabs>
        <w:ind w:hanging="852"/>
        <w:jc w:val="left"/>
      </w:pPr>
      <w:bookmarkStart w:id="10" w:name="_TOC_250019"/>
      <w:r>
        <w:t>AUSTRALIA'S</w:t>
      </w:r>
      <w:r>
        <w:rPr>
          <w:spacing w:val="-12"/>
        </w:rPr>
        <w:t xml:space="preserve"> </w:t>
      </w:r>
      <w:r>
        <w:t>CLAIMS</w:t>
      </w:r>
      <w:r>
        <w:rPr>
          <w:spacing w:val="-11"/>
        </w:rPr>
        <w:t xml:space="preserve"> </w:t>
      </w:r>
      <w:r>
        <w:t>CONCERNING</w:t>
      </w:r>
      <w:r>
        <w:rPr>
          <w:spacing w:val="-11"/>
        </w:rPr>
        <w:t xml:space="preserve"> </w:t>
      </w:r>
      <w:r>
        <w:t>THE</w:t>
      </w:r>
      <w:r>
        <w:rPr>
          <w:spacing w:val="-12"/>
        </w:rPr>
        <w:t xml:space="preserve"> </w:t>
      </w:r>
      <w:r>
        <w:t>DUMPING</w:t>
      </w:r>
      <w:r>
        <w:rPr>
          <w:spacing w:val="-11"/>
        </w:rPr>
        <w:t xml:space="preserve"> </w:t>
      </w:r>
      <w:bookmarkEnd w:id="10"/>
      <w:r>
        <w:rPr>
          <w:spacing w:val="-2"/>
        </w:rPr>
        <w:t>DETERMINATION</w:t>
      </w:r>
    </w:p>
    <w:p w14:paraId="51DE7C2D" w14:textId="77777777" w:rsidR="0010369C" w:rsidRDefault="0010369C">
      <w:pPr>
        <w:pStyle w:val="BodyText"/>
        <w:spacing w:before="11"/>
        <w:rPr>
          <w:b/>
          <w:sz w:val="22"/>
        </w:rPr>
      </w:pPr>
    </w:p>
    <w:p w14:paraId="51DE7C2E" w14:textId="77777777" w:rsidR="0010369C" w:rsidRDefault="008E43AE">
      <w:pPr>
        <w:pStyle w:val="BodyText"/>
        <w:spacing w:before="52" w:line="360" w:lineRule="auto"/>
        <w:ind w:left="237" w:right="193" w:firstLine="852"/>
        <w:jc w:val="both"/>
      </w:pPr>
      <w:r>
        <w:rPr>
          <w:noProof/>
        </w:rPr>
        <w:drawing>
          <wp:anchor distT="0" distB="0" distL="0" distR="0" simplePos="0" relativeHeight="250723840" behindDoc="1" locked="0" layoutInCell="1" allowOverlap="1" wp14:anchorId="51DE9D3F" wp14:editId="51DE9D40">
            <wp:simplePos x="0" y="0"/>
            <wp:positionH relativeFrom="page">
              <wp:posOffset>905255</wp:posOffset>
            </wp:positionH>
            <wp:positionV relativeFrom="paragraph">
              <wp:posOffset>76785</wp:posOffset>
            </wp:positionV>
            <wp:extent cx="179831" cy="106679"/>
            <wp:effectExtent l="0" t="0" r="0" b="0"/>
            <wp:wrapNone/>
            <wp:docPr id="47"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7.png"/>
                    <pic:cNvPicPr/>
                  </pic:nvPicPr>
                  <pic:blipFill>
                    <a:blip r:embed="rId55" cstate="print"/>
                    <a:stretch>
                      <a:fillRect/>
                    </a:stretch>
                  </pic:blipFill>
                  <pic:spPr>
                    <a:xfrm>
                      <a:off x="0" y="0"/>
                      <a:ext cx="179831" cy="106679"/>
                    </a:xfrm>
                    <a:prstGeom prst="rect">
                      <a:avLst/>
                    </a:prstGeom>
                  </pic:spPr>
                </pic:pic>
              </a:graphicData>
            </a:graphic>
          </wp:anchor>
        </w:drawing>
      </w:r>
      <w:r>
        <w:t>This section of the submissions addresses MOFCOM's determination of dumping. A</w:t>
      </w:r>
      <w:r>
        <w:t>ustralia</w:t>
      </w:r>
      <w:r>
        <w:rPr>
          <w:spacing w:val="-3"/>
        </w:rPr>
        <w:t xml:space="preserve"> </w:t>
      </w:r>
      <w:r>
        <w:t>will</w:t>
      </w:r>
      <w:r>
        <w:rPr>
          <w:spacing w:val="-2"/>
        </w:rPr>
        <w:t xml:space="preserve"> </w:t>
      </w:r>
      <w:r>
        <w:t>first</w:t>
      </w:r>
      <w:r>
        <w:rPr>
          <w:spacing w:val="-2"/>
        </w:rPr>
        <w:t xml:space="preserve"> </w:t>
      </w:r>
      <w:r>
        <w:t>provide</w:t>
      </w:r>
      <w:r>
        <w:rPr>
          <w:spacing w:val="-2"/>
        </w:rPr>
        <w:t xml:space="preserve"> </w:t>
      </w:r>
      <w:r>
        <w:t>an</w:t>
      </w:r>
      <w:r>
        <w:rPr>
          <w:spacing w:val="-3"/>
        </w:rPr>
        <w:t xml:space="preserve"> </w:t>
      </w:r>
      <w:r>
        <w:t>overview</w:t>
      </w:r>
      <w:r>
        <w:rPr>
          <w:spacing w:val="-2"/>
        </w:rPr>
        <w:t xml:space="preserve"> </w:t>
      </w:r>
      <w:r>
        <w:t>of</w:t>
      </w:r>
      <w:r>
        <w:rPr>
          <w:spacing w:val="-3"/>
        </w:rPr>
        <w:t xml:space="preserve"> </w:t>
      </w:r>
      <w:r>
        <w:t>MOFCOM's</w:t>
      </w:r>
      <w:r>
        <w:rPr>
          <w:spacing w:val="-3"/>
        </w:rPr>
        <w:t xml:space="preserve"> </w:t>
      </w:r>
      <w:r>
        <w:t>determination</w:t>
      </w:r>
      <w:r>
        <w:rPr>
          <w:spacing w:val="-2"/>
        </w:rPr>
        <w:t xml:space="preserve"> </w:t>
      </w:r>
      <w:r>
        <w:t>of</w:t>
      </w:r>
      <w:r>
        <w:rPr>
          <w:spacing w:val="-4"/>
        </w:rPr>
        <w:t xml:space="preserve"> </w:t>
      </w:r>
      <w:r>
        <w:t>dumping</w:t>
      </w:r>
      <w:r>
        <w:rPr>
          <w:spacing w:val="-2"/>
        </w:rPr>
        <w:t xml:space="preserve"> </w:t>
      </w:r>
      <w:r>
        <w:t>(Part</w:t>
      </w:r>
      <w:r>
        <w:rPr>
          <w:spacing w:val="-2"/>
        </w:rPr>
        <w:t xml:space="preserve"> </w:t>
      </w:r>
      <w:r>
        <w:t>A),</w:t>
      </w:r>
      <w:r>
        <w:rPr>
          <w:spacing w:val="-3"/>
        </w:rPr>
        <w:t xml:space="preserve"> </w:t>
      </w:r>
      <w:r>
        <w:t>and then summarise the key legal principles (Part B). It then addresses two important points of context relevant to all three sampled companies: the extensive cooperatio</w:t>
      </w:r>
      <w:r>
        <w:t>n the sampled companies provided (Part C), and the influence that product mix and level of trade characteristics had on domestic and export sales of Australian bottled wine (Part D).</w:t>
      </w:r>
    </w:p>
    <w:p w14:paraId="51DE7C2F" w14:textId="77777777" w:rsidR="0010369C" w:rsidRDefault="0010369C">
      <w:pPr>
        <w:pStyle w:val="BodyText"/>
        <w:spacing w:before="10"/>
        <w:rPr>
          <w:sz w:val="8"/>
        </w:rPr>
      </w:pPr>
    </w:p>
    <w:p w14:paraId="51DE7C30" w14:textId="77777777" w:rsidR="0010369C" w:rsidRDefault="008E43AE">
      <w:pPr>
        <w:pStyle w:val="BodyText"/>
        <w:spacing w:before="51" w:line="360" w:lineRule="auto"/>
        <w:ind w:left="237" w:right="193" w:firstLine="851"/>
        <w:jc w:val="both"/>
      </w:pPr>
      <w:r>
        <w:rPr>
          <w:noProof/>
        </w:rPr>
        <w:drawing>
          <wp:anchor distT="0" distB="0" distL="0" distR="0" simplePos="0" relativeHeight="250724864" behindDoc="1" locked="0" layoutInCell="1" allowOverlap="1" wp14:anchorId="51DE9D41" wp14:editId="51DE9D42">
            <wp:simplePos x="0" y="0"/>
            <wp:positionH relativeFrom="page">
              <wp:posOffset>905255</wp:posOffset>
            </wp:positionH>
            <wp:positionV relativeFrom="paragraph">
              <wp:posOffset>80722</wp:posOffset>
            </wp:positionV>
            <wp:extent cx="179831" cy="103631"/>
            <wp:effectExtent l="0" t="0" r="0" b="0"/>
            <wp:wrapNone/>
            <wp:docPr id="49"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8.png"/>
                    <pic:cNvPicPr/>
                  </pic:nvPicPr>
                  <pic:blipFill>
                    <a:blip r:embed="rId56" cstate="print"/>
                    <a:stretch>
                      <a:fillRect/>
                    </a:stretch>
                  </pic:blipFill>
                  <pic:spPr>
                    <a:xfrm>
                      <a:off x="0" y="0"/>
                      <a:ext cx="179831" cy="103631"/>
                    </a:xfrm>
                    <a:prstGeom prst="rect">
                      <a:avLst/>
                    </a:prstGeom>
                  </pic:spPr>
                </pic:pic>
              </a:graphicData>
            </a:graphic>
          </wp:anchor>
        </w:drawing>
      </w:r>
      <w:r>
        <w:t>Australia</w:t>
      </w:r>
      <w:r>
        <w:rPr>
          <w:spacing w:val="-1"/>
        </w:rPr>
        <w:t xml:space="preserve"> </w:t>
      </w:r>
      <w:r>
        <w:t>will then</w:t>
      </w:r>
      <w:r>
        <w:rPr>
          <w:spacing w:val="-1"/>
        </w:rPr>
        <w:t xml:space="preserve"> </w:t>
      </w:r>
      <w:r>
        <w:t>make submissions with respect</w:t>
      </w:r>
      <w:r>
        <w:rPr>
          <w:spacing w:val="-1"/>
        </w:rPr>
        <w:t xml:space="preserve"> </w:t>
      </w:r>
      <w:r>
        <w:t xml:space="preserve">to MOFCOM's specific </w:t>
      </w:r>
      <w:r>
        <w:t>findings on each</w:t>
      </w:r>
      <w:r>
        <w:rPr>
          <w:spacing w:val="-1"/>
        </w:rPr>
        <w:t xml:space="preserve"> </w:t>
      </w:r>
      <w:r>
        <w:t>of the</w:t>
      </w:r>
      <w:r>
        <w:rPr>
          <w:spacing w:val="-1"/>
        </w:rPr>
        <w:t xml:space="preserve"> </w:t>
      </w:r>
      <w:r>
        <w:t>sampled companies</w:t>
      </w:r>
      <w:r>
        <w:rPr>
          <w:spacing w:val="-1"/>
        </w:rPr>
        <w:t xml:space="preserve"> </w:t>
      </w:r>
      <w:r>
        <w:t>(Parts</w:t>
      </w:r>
      <w:r>
        <w:rPr>
          <w:spacing w:val="-1"/>
        </w:rPr>
        <w:t xml:space="preserve"> </w:t>
      </w:r>
      <w:r>
        <w:t>E, F and G), before turning to the findings made about the</w:t>
      </w:r>
      <w:r>
        <w:rPr>
          <w:spacing w:val="-1"/>
        </w:rPr>
        <w:t xml:space="preserve"> </w:t>
      </w:r>
      <w:r>
        <w:t>non‐sampled</w:t>
      </w:r>
      <w:r>
        <w:rPr>
          <w:spacing w:val="-1"/>
        </w:rPr>
        <w:t xml:space="preserve"> </w:t>
      </w:r>
      <w:r>
        <w:t>companies</w:t>
      </w:r>
      <w:r>
        <w:rPr>
          <w:spacing w:val="-2"/>
        </w:rPr>
        <w:t xml:space="preserve"> </w:t>
      </w:r>
      <w:r>
        <w:t>(Parts</w:t>
      </w:r>
      <w:r>
        <w:rPr>
          <w:spacing w:val="-1"/>
        </w:rPr>
        <w:t xml:space="preserve"> </w:t>
      </w:r>
      <w:r>
        <w:t>H</w:t>
      </w:r>
      <w:r>
        <w:rPr>
          <w:spacing w:val="-1"/>
        </w:rPr>
        <w:t xml:space="preserve"> </w:t>
      </w:r>
      <w:r>
        <w:t>and</w:t>
      </w:r>
      <w:r>
        <w:rPr>
          <w:spacing w:val="-2"/>
        </w:rPr>
        <w:t xml:space="preserve"> </w:t>
      </w:r>
      <w:r>
        <w:t>I).</w:t>
      </w:r>
      <w:r>
        <w:rPr>
          <w:spacing w:val="-1"/>
        </w:rPr>
        <w:t xml:space="preserve"> </w:t>
      </w:r>
      <w:r>
        <w:t>The</w:t>
      </w:r>
      <w:r>
        <w:rPr>
          <w:spacing w:val="-1"/>
        </w:rPr>
        <w:t xml:space="preserve"> </w:t>
      </w:r>
      <w:r>
        <w:t>final</w:t>
      </w:r>
      <w:r>
        <w:rPr>
          <w:spacing w:val="-1"/>
        </w:rPr>
        <w:t xml:space="preserve"> </w:t>
      </w:r>
      <w:r>
        <w:t>section</w:t>
      </w:r>
      <w:r>
        <w:rPr>
          <w:spacing w:val="-1"/>
        </w:rPr>
        <w:t xml:space="preserve"> </w:t>
      </w:r>
      <w:r>
        <w:t>addresses</w:t>
      </w:r>
      <w:r>
        <w:rPr>
          <w:spacing w:val="-2"/>
        </w:rPr>
        <w:t xml:space="preserve"> </w:t>
      </w:r>
      <w:r>
        <w:t>MOFCOM's</w:t>
      </w:r>
      <w:r>
        <w:rPr>
          <w:spacing w:val="-3"/>
        </w:rPr>
        <w:t xml:space="preserve"> </w:t>
      </w:r>
      <w:r>
        <w:t>failure</w:t>
      </w:r>
      <w:r>
        <w:rPr>
          <w:spacing w:val="-1"/>
        </w:rPr>
        <w:t xml:space="preserve"> </w:t>
      </w:r>
      <w:r>
        <w:t>to make a fair comparison between normal value and export price (Part J).</w:t>
      </w:r>
    </w:p>
    <w:p w14:paraId="51DE7C31" w14:textId="77777777" w:rsidR="0010369C" w:rsidRDefault="008E43AE">
      <w:pPr>
        <w:pStyle w:val="ListParagraph"/>
        <w:numPr>
          <w:ilvl w:val="1"/>
          <w:numId w:val="75"/>
        </w:numPr>
        <w:tabs>
          <w:tab w:val="left" w:pos="1939"/>
          <w:tab w:val="left" w:pos="1940"/>
        </w:tabs>
        <w:spacing w:before="160" w:line="360" w:lineRule="auto"/>
        <w:ind w:left="1940" w:right="196"/>
        <w:jc w:val="left"/>
        <w:rPr>
          <w:b/>
          <w:sz w:val="28"/>
        </w:rPr>
      </w:pPr>
      <w:r>
        <w:rPr>
          <w:b/>
          <w:sz w:val="28"/>
        </w:rPr>
        <w:t>C</w:t>
      </w:r>
      <w:r>
        <w:rPr>
          <w:b/>
        </w:rPr>
        <w:t xml:space="preserve">HINA ACTED INCONSISTENTLY WITH </w:t>
      </w:r>
      <w:r>
        <w:rPr>
          <w:b/>
          <w:sz w:val="28"/>
        </w:rPr>
        <w:t>A</w:t>
      </w:r>
      <w:r>
        <w:rPr>
          <w:b/>
        </w:rPr>
        <w:t xml:space="preserve">RTICLES </w:t>
      </w:r>
      <w:r>
        <w:rPr>
          <w:b/>
          <w:sz w:val="28"/>
        </w:rPr>
        <w:t>2</w:t>
      </w:r>
      <w:r>
        <w:rPr>
          <w:b/>
          <w:spacing w:val="-4"/>
          <w:sz w:val="28"/>
        </w:rPr>
        <w:t xml:space="preserve"> </w:t>
      </w:r>
      <w:r>
        <w:rPr>
          <w:b/>
        </w:rPr>
        <w:t xml:space="preserve">AND </w:t>
      </w:r>
      <w:r>
        <w:rPr>
          <w:b/>
          <w:sz w:val="28"/>
        </w:rPr>
        <w:t>6.8</w:t>
      </w:r>
      <w:r>
        <w:rPr>
          <w:b/>
          <w:spacing w:val="-4"/>
          <w:sz w:val="28"/>
        </w:rPr>
        <w:t xml:space="preserve"> </w:t>
      </w:r>
      <w:r>
        <w:rPr>
          <w:b/>
        </w:rPr>
        <w:t xml:space="preserve">AND </w:t>
      </w:r>
      <w:r>
        <w:rPr>
          <w:b/>
          <w:sz w:val="28"/>
        </w:rPr>
        <w:t>P</w:t>
      </w:r>
      <w:r>
        <w:rPr>
          <w:b/>
        </w:rPr>
        <w:t xml:space="preserve">ARAGRAPHS </w:t>
      </w:r>
      <w:r>
        <w:rPr>
          <w:b/>
          <w:sz w:val="28"/>
        </w:rPr>
        <w:t>1,</w:t>
      </w:r>
      <w:r>
        <w:rPr>
          <w:b/>
          <w:spacing w:val="-3"/>
          <w:sz w:val="28"/>
        </w:rPr>
        <w:t xml:space="preserve"> </w:t>
      </w:r>
      <w:r>
        <w:rPr>
          <w:b/>
          <w:sz w:val="28"/>
        </w:rPr>
        <w:t>3,</w:t>
      </w:r>
      <w:r>
        <w:rPr>
          <w:b/>
          <w:spacing w:val="-1"/>
          <w:sz w:val="28"/>
        </w:rPr>
        <w:t xml:space="preserve"> </w:t>
      </w:r>
      <w:r>
        <w:rPr>
          <w:b/>
          <w:sz w:val="28"/>
        </w:rPr>
        <w:t>5,</w:t>
      </w:r>
      <w:r>
        <w:rPr>
          <w:b/>
          <w:spacing w:val="-1"/>
          <w:sz w:val="28"/>
        </w:rPr>
        <w:t xml:space="preserve"> </w:t>
      </w:r>
      <w:r>
        <w:rPr>
          <w:b/>
          <w:sz w:val="28"/>
        </w:rPr>
        <w:t>6,</w:t>
      </w:r>
      <w:r>
        <w:rPr>
          <w:b/>
          <w:spacing w:val="-2"/>
          <w:sz w:val="28"/>
        </w:rPr>
        <w:t xml:space="preserve"> </w:t>
      </w:r>
      <w:r>
        <w:rPr>
          <w:b/>
        </w:rPr>
        <w:t xml:space="preserve">AND </w:t>
      </w:r>
      <w:r>
        <w:rPr>
          <w:b/>
          <w:sz w:val="28"/>
        </w:rPr>
        <w:t>7</w:t>
      </w:r>
      <w:r>
        <w:rPr>
          <w:b/>
          <w:spacing w:val="-3"/>
          <w:sz w:val="28"/>
        </w:rPr>
        <w:t xml:space="preserve"> </w:t>
      </w:r>
      <w:r>
        <w:rPr>
          <w:b/>
        </w:rPr>
        <w:t xml:space="preserve">OF </w:t>
      </w:r>
      <w:r>
        <w:rPr>
          <w:b/>
          <w:sz w:val="28"/>
        </w:rPr>
        <w:t>A</w:t>
      </w:r>
      <w:r>
        <w:rPr>
          <w:b/>
        </w:rPr>
        <w:t xml:space="preserve">NNEX </w:t>
      </w:r>
      <w:r>
        <w:rPr>
          <w:b/>
          <w:sz w:val="28"/>
        </w:rPr>
        <w:t>II</w:t>
      </w:r>
      <w:r>
        <w:rPr>
          <w:b/>
          <w:spacing w:val="-3"/>
          <w:sz w:val="28"/>
        </w:rPr>
        <w:t xml:space="preserve"> </w:t>
      </w:r>
      <w:r>
        <w:rPr>
          <w:b/>
        </w:rPr>
        <w:t xml:space="preserve">OF THE </w:t>
      </w:r>
      <w:r>
        <w:rPr>
          <w:b/>
          <w:sz w:val="28"/>
        </w:rPr>
        <w:t>A</w:t>
      </w:r>
      <w:r>
        <w:rPr>
          <w:b/>
        </w:rPr>
        <w:t>NTI</w:t>
      </w:r>
      <w:r>
        <w:rPr>
          <w:b/>
          <w:sz w:val="28"/>
        </w:rPr>
        <w:t>‐D</w:t>
      </w:r>
      <w:r>
        <w:rPr>
          <w:b/>
        </w:rPr>
        <w:t xml:space="preserve">UMPING </w:t>
      </w:r>
      <w:r>
        <w:rPr>
          <w:b/>
          <w:sz w:val="28"/>
        </w:rPr>
        <w:t>A</w:t>
      </w:r>
      <w:r>
        <w:rPr>
          <w:b/>
        </w:rPr>
        <w:t>GREEMENT</w:t>
      </w:r>
    </w:p>
    <w:p w14:paraId="51DE7C32" w14:textId="77777777" w:rsidR="0010369C" w:rsidRDefault="0010369C">
      <w:pPr>
        <w:pStyle w:val="BodyText"/>
        <w:spacing w:before="11"/>
        <w:rPr>
          <w:b/>
          <w:sz w:val="8"/>
        </w:rPr>
      </w:pPr>
    </w:p>
    <w:p w14:paraId="51DE7C33" w14:textId="77777777" w:rsidR="0010369C" w:rsidRDefault="008E43AE">
      <w:pPr>
        <w:pStyle w:val="BodyText"/>
        <w:spacing w:before="52" w:line="360" w:lineRule="auto"/>
        <w:ind w:left="236" w:right="193" w:firstLine="853"/>
        <w:jc w:val="both"/>
      </w:pPr>
      <w:r>
        <w:rPr>
          <w:noProof/>
        </w:rPr>
        <w:drawing>
          <wp:anchor distT="0" distB="0" distL="0" distR="0" simplePos="0" relativeHeight="250725888" behindDoc="1" locked="0" layoutInCell="1" allowOverlap="1" wp14:anchorId="51DE9D43" wp14:editId="51DE9D44">
            <wp:simplePos x="0" y="0"/>
            <wp:positionH relativeFrom="page">
              <wp:posOffset>905255</wp:posOffset>
            </wp:positionH>
            <wp:positionV relativeFrom="paragraph">
              <wp:posOffset>76785</wp:posOffset>
            </wp:positionV>
            <wp:extent cx="179831" cy="106679"/>
            <wp:effectExtent l="0" t="0" r="0" b="0"/>
            <wp:wrapNone/>
            <wp:docPr id="51"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9.png"/>
                    <pic:cNvPicPr/>
                  </pic:nvPicPr>
                  <pic:blipFill>
                    <a:blip r:embed="rId57" cstate="print"/>
                    <a:stretch>
                      <a:fillRect/>
                    </a:stretch>
                  </pic:blipFill>
                  <pic:spPr>
                    <a:xfrm>
                      <a:off x="0" y="0"/>
                      <a:ext cx="179831" cy="106679"/>
                    </a:xfrm>
                    <a:prstGeom prst="rect">
                      <a:avLst/>
                    </a:prstGeom>
                  </pic:spPr>
                </pic:pic>
              </a:graphicData>
            </a:graphic>
          </wp:anchor>
        </w:drawing>
      </w:r>
      <w:r>
        <w:t>MOFCOM's</w:t>
      </w:r>
      <w:r>
        <w:rPr>
          <w:spacing w:val="-9"/>
        </w:rPr>
        <w:t xml:space="preserve"> </w:t>
      </w:r>
      <w:r>
        <w:t>determination</w:t>
      </w:r>
      <w:r>
        <w:rPr>
          <w:spacing w:val="-9"/>
        </w:rPr>
        <w:t xml:space="preserve"> </w:t>
      </w:r>
      <w:r>
        <w:t>of</w:t>
      </w:r>
      <w:r>
        <w:rPr>
          <w:spacing w:val="-10"/>
        </w:rPr>
        <w:t xml:space="preserve"> </w:t>
      </w:r>
      <w:r>
        <w:t>dumping</w:t>
      </w:r>
      <w:r>
        <w:rPr>
          <w:spacing w:val="-9"/>
        </w:rPr>
        <w:t xml:space="preserve"> </w:t>
      </w:r>
      <w:r>
        <w:t>is</w:t>
      </w:r>
      <w:r>
        <w:rPr>
          <w:spacing w:val="-10"/>
        </w:rPr>
        <w:t xml:space="preserve"> </w:t>
      </w:r>
      <w:r>
        <w:t>based</w:t>
      </w:r>
      <w:r>
        <w:rPr>
          <w:spacing w:val="-8"/>
        </w:rPr>
        <w:t xml:space="preserve"> </w:t>
      </w:r>
      <w:r>
        <w:t>upon</w:t>
      </w:r>
      <w:r>
        <w:rPr>
          <w:spacing w:val="-10"/>
        </w:rPr>
        <w:t xml:space="preserve"> </w:t>
      </w:r>
      <w:r>
        <w:t>findings</w:t>
      </w:r>
      <w:r>
        <w:rPr>
          <w:spacing w:val="-10"/>
        </w:rPr>
        <w:t xml:space="preserve"> </w:t>
      </w:r>
      <w:r>
        <w:t>it</w:t>
      </w:r>
      <w:r>
        <w:rPr>
          <w:spacing w:val="-10"/>
        </w:rPr>
        <w:t xml:space="preserve"> </w:t>
      </w:r>
      <w:r>
        <w:t>made</w:t>
      </w:r>
      <w:r>
        <w:rPr>
          <w:spacing w:val="-9"/>
        </w:rPr>
        <w:t xml:space="preserve"> </w:t>
      </w:r>
      <w:r>
        <w:t>in</w:t>
      </w:r>
      <w:r>
        <w:rPr>
          <w:spacing w:val="-9"/>
        </w:rPr>
        <w:t xml:space="preserve"> </w:t>
      </w:r>
      <w:r>
        <w:t>respect</w:t>
      </w:r>
      <w:r>
        <w:rPr>
          <w:spacing w:val="-10"/>
        </w:rPr>
        <w:t xml:space="preserve"> </w:t>
      </w:r>
      <w:r>
        <w:t>of</w:t>
      </w:r>
      <w:r>
        <w:rPr>
          <w:spacing w:val="-10"/>
        </w:rPr>
        <w:t xml:space="preserve"> </w:t>
      </w:r>
      <w:r>
        <w:t>all three sampled companies: Treasury Wines, Casella Wines and Swan Vintage. For each sampled company, MOFCOM impermissibly rejected key parts of the evidence they had submitted, deemed the companies non‐cooperative and resor</w:t>
      </w:r>
      <w:r>
        <w:t>ted to the use of "facts available" under Article 6.8 for the determination of normal values.</w:t>
      </w:r>
    </w:p>
    <w:p w14:paraId="51DE7C34" w14:textId="77777777" w:rsidR="0010369C" w:rsidRDefault="0010369C">
      <w:pPr>
        <w:pStyle w:val="BodyText"/>
        <w:spacing w:before="11"/>
        <w:rPr>
          <w:sz w:val="8"/>
        </w:rPr>
      </w:pPr>
    </w:p>
    <w:p w14:paraId="51DE7C35" w14:textId="77777777" w:rsidR="0010369C" w:rsidRDefault="008E43AE">
      <w:pPr>
        <w:pStyle w:val="BodyText"/>
        <w:spacing w:before="52" w:line="360" w:lineRule="auto"/>
        <w:ind w:left="237" w:right="192" w:firstLine="851"/>
        <w:jc w:val="both"/>
      </w:pPr>
      <w:r>
        <w:rPr>
          <w:noProof/>
        </w:rPr>
        <w:drawing>
          <wp:anchor distT="0" distB="0" distL="0" distR="0" simplePos="0" relativeHeight="250726912" behindDoc="1" locked="0" layoutInCell="1" allowOverlap="1" wp14:anchorId="51DE9D45" wp14:editId="51DE9D46">
            <wp:simplePos x="0" y="0"/>
            <wp:positionH relativeFrom="page">
              <wp:posOffset>905255</wp:posOffset>
            </wp:positionH>
            <wp:positionV relativeFrom="paragraph">
              <wp:posOffset>81949</wp:posOffset>
            </wp:positionV>
            <wp:extent cx="179831" cy="100753"/>
            <wp:effectExtent l="0" t="0" r="0" b="0"/>
            <wp:wrapNone/>
            <wp:docPr id="53"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30.png"/>
                    <pic:cNvPicPr/>
                  </pic:nvPicPr>
                  <pic:blipFill>
                    <a:blip r:embed="rId58" cstate="print"/>
                    <a:stretch>
                      <a:fillRect/>
                    </a:stretch>
                  </pic:blipFill>
                  <pic:spPr>
                    <a:xfrm>
                      <a:off x="0" y="0"/>
                      <a:ext cx="179831" cy="100753"/>
                    </a:xfrm>
                    <a:prstGeom prst="rect">
                      <a:avLst/>
                    </a:prstGeom>
                  </pic:spPr>
                </pic:pic>
              </a:graphicData>
            </a:graphic>
          </wp:anchor>
        </w:drawing>
      </w:r>
      <w:r>
        <w:t>In</w:t>
      </w:r>
      <w:r>
        <w:rPr>
          <w:spacing w:val="-8"/>
        </w:rPr>
        <w:t xml:space="preserve"> </w:t>
      </w:r>
      <w:r>
        <w:t>the</w:t>
      </w:r>
      <w:r>
        <w:rPr>
          <w:spacing w:val="-7"/>
        </w:rPr>
        <w:t xml:space="preserve"> </w:t>
      </w:r>
      <w:r>
        <w:t>case</w:t>
      </w:r>
      <w:r>
        <w:rPr>
          <w:spacing w:val="-7"/>
        </w:rPr>
        <w:t xml:space="preserve"> </w:t>
      </w:r>
      <w:r>
        <w:t>of</w:t>
      </w:r>
      <w:r>
        <w:rPr>
          <w:spacing w:val="-8"/>
        </w:rPr>
        <w:t xml:space="preserve"> </w:t>
      </w:r>
      <w:r>
        <w:t>Treasury</w:t>
      </w:r>
      <w:r>
        <w:rPr>
          <w:spacing w:val="-8"/>
        </w:rPr>
        <w:t xml:space="preserve"> </w:t>
      </w:r>
      <w:r>
        <w:t>Wines,</w:t>
      </w:r>
      <w:r>
        <w:rPr>
          <w:spacing w:val="-8"/>
        </w:rPr>
        <w:t xml:space="preserve"> </w:t>
      </w:r>
      <w:r>
        <w:t>the</w:t>
      </w:r>
      <w:r>
        <w:rPr>
          <w:spacing w:val="-7"/>
        </w:rPr>
        <w:t xml:space="preserve"> </w:t>
      </w:r>
      <w:r>
        <w:t>company's</w:t>
      </w:r>
      <w:r>
        <w:rPr>
          <w:spacing w:val="-8"/>
        </w:rPr>
        <w:t xml:space="preserve"> </w:t>
      </w:r>
      <w:r>
        <w:t>high</w:t>
      </w:r>
      <w:r>
        <w:rPr>
          <w:spacing w:val="-7"/>
        </w:rPr>
        <w:t xml:space="preserve"> </w:t>
      </w:r>
      <w:r>
        <w:t>margin</w:t>
      </w:r>
      <w:r>
        <w:rPr>
          <w:spacing w:val="-8"/>
        </w:rPr>
        <w:t xml:space="preserve"> </w:t>
      </w:r>
      <w:r>
        <w:t>of</w:t>
      </w:r>
      <w:r>
        <w:rPr>
          <w:spacing w:val="-8"/>
        </w:rPr>
        <w:t xml:space="preserve"> </w:t>
      </w:r>
      <w:r>
        <w:t>dumping</w:t>
      </w:r>
      <w:r>
        <w:rPr>
          <w:spacing w:val="-7"/>
        </w:rPr>
        <w:t xml:space="preserve"> </w:t>
      </w:r>
      <w:r>
        <w:t>largely</w:t>
      </w:r>
      <w:r>
        <w:rPr>
          <w:spacing w:val="-7"/>
        </w:rPr>
        <w:t xml:space="preserve"> </w:t>
      </w:r>
      <w:r>
        <w:t>reflects MOFCOM's use of the costs of a single unrepresentative premium Product Control Number (PCN)</w:t>
      </w:r>
      <w:r>
        <w:rPr>
          <w:vertAlign w:val="superscript"/>
        </w:rPr>
        <w:t>7</w:t>
      </w:r>
      <w:r>
        <w:t xml:space="preserve"> to assess the profitability of the entirety of the company's domestic sales and for constructing</w:t>
      </w:r>
      <w:r>
        <w:rPr>
          <w:spacing w:val="-6"/>
        </w:rPr>
        <w:t xml:space="preserve"> </w:t>
      </w:r>
      <w:r>
        <w:t>normal</w:t>
      </w:r>
      <w:r>
        <w:rPr>
          <w:spacing w:val="-3"/>
        </w:rPr>
        <w:t xml:space="preserve"> </w:t>
      </w:r>
      <w:r>
        <w:t>values,</w:t>
      </w:r>
      <w:r>
        <w:rPr>
          <w:spacing w:val="-4"/>
        </w:rPr>
        <w:t xml:space="preserve"> </w:t>
      </w:r>
      <w:r>
        <w:t>without</w:t>
      </w:r>
      <w:r>
        <w:rPr>
          <w:spacing w:val="-4"/>
        </w:rPr>
        <w:t xml:space="preserve"> </w:t>
      </w:r>
      <w:r>
        <w:t>making</w:t>
      </w:r>
      <w:r>
        <w:rPr>
          <w:spacing w:val="-3"/>
        </w:rPr>
        <w:t xml:space="preserve"> </w:t>
      </w:r>
      <w:r>
        <w:t>any</w:t>
      </w:r>
      <w:r>
        <w:rPr>
          <w:spacing w:val="-3"/>
        </w:rPr>
        <w:t xml:space="preserve"> </w:t>
      </w:r>
      <w:r>
        <w:t>adjustments</w:t>
      </w:r>
      <w:r>
        <w:rPr>
          <w:spacing w:val="-4"/>
        </w:rPr>
        <w:t xml:space="preserve"> </w:t>
      </w:r>
      <w:r>
        <w:t>to</w:t>
      </w:r>
      <w:r>
        <w:rPr>
          <w:spacing w:val="-3"/>
        </w:rPr>
        <w:t xml:space="preserve"> </w:t>
      </w:r>
      <w:r>
        <w:t>ensure</w:t>
      </w:r>
      <w:r>
        <w:rPr>
          <w:spacing w:val="-4"/>
        </w:rPr>
        <w:t xml:space="preserve"> </w:t>
      </w:r>
      <w:r>
        <w:t>c</w:t>
      </w:r>
      <w:r>
        <w:t>omparability.</w:t>
      </w:r>
      <w:r>
        <w:rPr>
          <w:spacing w:val="-4"/>
        </w:rPr>
        <w:t xml:space="preserve"> </w:t>
      </w:r>
      <w:r>
        <w:t>In</w:t>
      </w:r>
      <w:r>
        <w:rPr>
          <w:spacing w:val="-3"/>
        </w:rPr>
        <w:t xml:space="preserve"> </w:t>
      </w:r>
      <w:r>
        <w:rPr>
          <w:spacing w:val="-5"/>
        </w:rPr>
        <w:t>the</w:t>
      </w:r>
    </w:p>
    <w:p w14:paraId="51DE7C36" w14:textId="77777777" w:rsidR="0010369C" w:rsidRDefault="0010369C">
      <w:pPr>
        <w:pStyle w:val="BodyText"/>
        <w:rPr>
          <w:sz w:val="20"/>
        </w:rPr>
      </w:pPr>
    </w:p>
    <w:p w14:paraId="51DE7C37" w14:textId="77777777" w:rsidR="0010369C" w:rsidRDefault="008E43AE">
      <w:pPr>
        <w:pStyle w:val="BodyText"/>
        <w:spacing w:before="2"/>
        <w:rPr>
          <w:sz w:val="10"/>
        </w:rPr>
      </w:pPr>
      <w:r>
        <w:pict w14:anchorId="51DE9D47">
          <v:rect id="docshape64" o:spid="_x0000_s3194" style="position:absolute;margin-left:70.9pt;margin-top:7.45pt;width:2in;height:.8pt;z-index:-251258368;mso-wrap-distance-left:0;mso-wrap-distance-right:0;mso-position-horizontal-relative:page" fillcolor="black" stroked="f">
            <w10:wrap type="topAndBottom" anchorx="page"/>
          </v:rect>
        </w:pict>
      </w:r>
    </w:p>
    <w:p w14:paraId="51DE7C38" w14:textId="77777777" w:rsidR="0010369C" w:rsidRDefault="008E43AE">
      <w:pPr>
        <w:spacing w:before="109"/>
        <w:ind w:left="238"/>
        <w:rPr>
          <w:sz w:val="18"/>
        </w:rPr>
      </w:pPr>
      <w:r>
        <w:rPr>
          <w:sz w:val="18"/>
          <w:vertAlign w:val="superscript"/>
        </w:rPr>
        <w:t>7</w:t>
      </w:r>
      <w:r>
        <w:rPr>
          <w:spacing w:val="-3"/>
          <w:sz w:val="18"/>
        </w:rPr>
        <w:t xml:space="preserve"> </w:t>
      </w:r>
      <w:r>
        <w:rPr>
          <w:sz w:val="18"/>
        </w:rPr>
        <w:t>For</w:t>
      </w:r>
      <w:r>
        <w:rPr>
          <w:spacing w:val="-4"/>
          <w:sz w:val="18"/>
        </w:rPr>
        <w:t xml:space="preserve"> </w:t>
      </w:r>
      <w:r>
        <w:rPr>
          <w:sz w:val="18"/>
        </w:rPr>
        <w:t>completeness,</w:t>
      </w:r>
      <w:r>
        <w:rPr>
          <w:spacing w:val="-5"/>
          <w:sz w:val="18"/>
        </w:rPr>
        <w:t xml:space="preserve"> </w:t>
      </w:r>
      <w:r>
        <w:rPr>
          <w:sz w:val="18"/>
        </w:rPr>
        <w:t>Australia</w:t>
      </w:r>
      <w:r>
        <w:rPr>
          <w:spacing w:val="-4"/>
          <w:sz w:val="18"/>
        </w:rPr>
        <w:t xml:space="preserve"> </w:t>
      </w:r>
      <w:r>
        <w:rPr>
          <w:sz w:val="18"/>
        </w:rPr>
        <w:t>understands</w:t>
      </w:r>
      <w:r>
        <w:rPr>
          <w:spacing w:val="-4"/>
          <w:sz w:val="18"/>
        </w:rPr>
        <w:t xml:space="preserve"> </w:t>
      </w:r>
      <w:r>
        <w:rPr>
          <w:sz w:val="18"/>
        </w:rPr>
        <w:t>MOFCOM</w:t>
      </w:r>
      <w:r>
        <w:rPr>
          <w:spacing w:val="-4"/>
          <w:sz w:val="18"/>
        </w:rPr>
        <w:t xml:space="preserve"> </w:t>
      </w:r>
      <w:r>
        <w:rPr>
          <w:sz w:val="18"/>
        </w:rPr>
        <w:t>used</w:t>
      </w:r>
      <w:r>
        <w:rPr>
          <w:spacing w:val="-3"/>
          <w:sz w:val="18"/>
        </w:rPr>
        <w:t xml:space="preserve"> </w:t>
      </w:r>
      <w:r>
        <w:rPr>
          <w:sz w:val="18"/>
        </w:rPr>
        <w:t>"Product</w:t>
      </w:r>
      <w:r>
        <w:rPr>
          <w:spacing w:val="-4"/>
          <w:sz w:val="18"/>
        </w:rPr>
        <w:t xml:space="preserve"> </w:t>
      </w:r>
      <w:r>
        <w:rPr>
          <w:sz w:val="18"/>
        </w:rPr>
        <w:t>Control</w:t>
      </w:r>
      <w:r>
        <w:rPr>
          <w:spacing w:val="-4"/>
          <w:sz w:val="18"/>
        </w:rPr>
        <w:t xml:space="preserve"> </w:t>
      </w:r>
      <w:r>
        <w:rPr>
          <w:sz w:val="18"/>
        </w:rPr>
        <w:t>Number"</w:t>
      </w:r>
      <w:r>
        <w:rPr>
          <w:spacing w:val="-4"/>
          <w:sz w:val="18"/>
        </w:rPr>
        <w:t xml:space="preserve"> </w:t>
      </w:r>
      <w:r>
        <w:rPr>
          <w:sz w:val="18"/>
        </w:rPr>
        <w:t>interchangeably</w:t>
      </w:r>
      <w:r>
        <w:rPr>
          <w:spacing w:val="-3"/>
          <w:sz w:val="18"/>
        </w:rPr>
        <w:t xml:space="preserve"> </w:t>
      </w:r>
      <w:r>
        <w:rPr>
          <w:sz w:val="18"/>
        </w:rPr>
        <w:t>with</w:t>
      </w:r>
      <w:r>
        <w:rPr>
          <w:spacing w:val="-3"/>
          <w:sz w:val="18"/>
        </w:rPr>
        <w:t xml:space="preserve"> </w:t>
      </w:r>
      <w:r>
        <w:rPr>
          <w:sz w:val="18"/>
        </w:rPr>
        <w:t>"Product</w:t>
      </w:r>
      <w:r>
        <w:rPr>
          <w:spacing w:val="-4"/>
          <w:sz w:val="18"/>
        </w:rPr>
        <w:t xml:space="preserve"> </w:t>
      </w:r>
      <w:r>
        <w:rPr>
          <w:sz w:val="18"/>
        </w:rPr>
        <w:t>Control Code" and "Product Model Number".</w:t>
      </w:r>
    </w:p>
    <w:p w14:paraId="51DE7C39" w14:textId="77777777" w:rsidR="0010369C" w:rsidRDefault="0010369C">
      <w:pPr>
        <w:rPr>
          <w:sz w:val="18"/>
        </w:rPr>
        <w:sectPr w:rsidR="0010369C">
          <w:pgSz w:w="11910" w:h="16840"/>
          <w:pgMar w:top="880" w:right="1220" w:bottom="980" w:left="1180" w:header="569" w:footer="788" w:gutter="0"/>
          <w:cols w:space="720"/>
        </w:sectPr>
      </w:pPr>
    </w:p>
    <w:p w14:paraId="51DE7C3A" w14:textId="77777777" w:rsidR="0010369C" w:rsidRDefault="008E43AE">
      <w:pPr>
        <w:tabs>
          <w:tab w:val="left" w:pos="6425"/>
        </w:tabs>
        <w:ind w:left="238"/>
        <w:jc w:val="both"/>
        <w:rPr>
          <w:sz w:val="20"/>
        </w:rPr>
      </w:pPr>
      <w:r>
        <w:rPr>
          <w:i/>
          <w:sz w:val="20"/>
        </w:rPr>
        <w:lastRenderedPageBreak/>
        <w:t>China</w:t>
      </w:r>
      <w:r>
        <w:rPr>
          <w:i/>
          <w:spacing w:val="-5"/>
          <w:sz w:val="20"/>
        </w:rPr>
        <w:t xml:space="preserve"> </w:t>
      </w:r>
      <w:r>
        <w:rPr>
          <w:i/>
          <w:sz w:val="20"/>
        </w:rPr>
        <w:t>–</w:t>
      </w:r>
      <w:r>
        <w:rPr>
          <w:i/>
          <w:spacing w:val="-5"/>
          <w:sz w:val="20"/>
        </w:rPr>
        <w:t xml:space="preserve"> </w:t>
      </w:r>
      <w:r>
        <w:rPr>
          <w:i/>
          <w:sz w:val="20"/>
        </w:rPr>
        <w:t>Anti‐Dumping</w:t>
      </w:r>
      <w:r>
        <w:rPr>
          <w:i/>
          <w:spacing w:val="-4"/>
          <w:sz w:val="20"/>
        </w:rPr>
        <w:t xml:space="preserve"> </w:t>
      </w:r>
      <w:r>
        <w:rPr>
          <w:i/>
          <w:sz w:val="20"/>
        </w:rPr>
        <w:t>and</w:t>
      </w:r>
      <w:r>
        <w:rPr>
          <w:i/>
          <w:spacing w:val="-5"/>
          <w:sz w:val="20"/>
        </w:rPr>
        <w:t xml:space="preserve"> </w:t>
      </w:r>
      <w:r>
        <w:rPr>
          <w:i/>
          <w:sz w:val="20"/>
        </w:rPr>
        <w:t>Countervailing</w:t>
      </w:r>
      <w:r>
        <w:rPr>
          <w:i/>
          <w:spacing w:val="-5"/>
          <w:sz w:val="20"/>
        </w:rPr>
        <w:t xml:space="preserve"> </w:t>
      </w:r>
      <w:r>
        <w:rPr>
          <w:i/>
          <w:sz w:val="20"/>
        </w:rPr>
        <w:t>Duty</w:t>
      </w:r>
      <w:r>
        <w:rPr>
          <w:i/>
          <w:spacing w:val="-4"/>
          <w:sz w:val="20"/>
        </w:rPr>
        <w:t xml:space="preserve"> </w:t>
      </w:r>
      <w:r>
        <w:rPr>
          <w:i/>
          <w:spacing w:val="-2"/>
          <w:sz w:val="20"/>
        </w:rPr>
        <w:t>Measures</w:t>
      </w:r>
      <w:r>
        <w:rPr>
          <w:i/>
          <w:sz w:val="20"/>
        </w:rPr>
        <w:tab/>
      </w:r>
      <w:r>
        <w:rPr>
          <w:sz w:val="20"/>
        </w:rPr>
        <w:t>Australia's</w:t>
      </w:r>
      <w:r>
        <w:rPr>
          <w:spacing w:val="-7"/>
          <w:sz w:val="20"/>
        </w:rPr>
        <w:t xml:space="preserve"> </w:t>
      </w:r>
      <w:r>
        <w:rPr>
          <w:sz w:val="20"/>
        </w:rPr>
        <w:t>First</w:t>
      </w:r>
      <w:r>
        <w:rPr>
          <w:spacing w:val="-2"/>
          <w:sz w:val="20"/>
        </w:rPr>
        <w:t xml:space="preserve"> </w:t>
      </w:r>
      <w:r>
        <w:rPr>
          <w:sz w:val="20"/>
        </w:rPr>
        <w:t>Written</w:t>
      </w:r>
      <w:r>
        <w:rPr>
          <w:spacing w:val="-2"/>
          <w:sz w:val="20"/>
        </w:rPr>
        <w:t xml:space="preserve"> Submission</w:t>
      </w:r>
    </w:p>
    <w:p w14:paraId="51DE7C3B" w14:textId="77777777" w:rsidR="0010369C" w:rsidRDefault="008E43AE">
      <w:pPr>
        <w:tabs>
          <w:tab w:val="left" w:pos="8227"/>
        </w:tabs>
        <w:spacing w:before="1"/>
        <w:ind w:left="239"/>
        <w:jc w:val="both"/>
        <w:rPr>
          <w:sz w:val="20"/>
        </w:rPr>
      </w:pPr>
      <w:r>
        <w:rPr>
          <w:i/>
          <w:sz w:val="20"/>
        </w:rPr>
        <w:t>on</w:t>
      </w:r>
      <w:r>
        <w:rPr>
          <w:i/>
          <w:spacing w:val="-1"/>
          <w:sz w:val="20"/>
        </w:rPr>
        <w:t xml:space="preserve"> </w:t>
      </w:r>
      <w:r>
        <w:rPr>
          <w:i/>
          <w:sz w:val="20"/>
        </w:rPr>
        <w:t>Wine</w:t>
      </w:r>
      <w:r>
        <w:rPr>
          <w:i/>
          <w:spacing w:val="-1"/>
          <w:sz w:val="20"/>
        </w:rPr>
        <w:t xml:space="preserve"> </w:t>
      </w:r>
      <w:r>
        <w:rPr>
          <w:i/>
          <w:sz w:val="20"/>
        </w:rPr>
        <w:t>from</w:t>
      </w:r>
      <w:r>
        <w:rPr>
          <w:i/>
          <w:spacing w:val="-3"/>
          <w:sz w:val="20"/>
        </w:rPr>
        <w:t xml:space="preserve"> </w:t>
      </w:r>
      <w:r>
        <w:rPr>
          <w:i/>
          <w:sz w:val="20"/>
        </w:rPr>
        <w:t>Australia</w:t>
      </w:r>
      <w:r>
        <w:rPr>
          <w:i/>
          <w:spacing w:val="-1"/>
          <w:sz w:val="20"/>
        </w:rPr>
        <w:t xml:space="preserve"> </w:t>
      </w:r>
      <w:r>
        <w:rPr>
          <w:spacing w:val="-2"/>
          <w:sz w:val="20"/>
        </w:rPr>
        <w:t>(DS602)</w:t>
      </w:r>
      <w:r>
        <w:rPr>
          <w:sz w:val="20"/>
        </w:rPr>
        <w:tab/>
        <w:t>29</w:t>
      </w:r>
      <w:r>
        <w:rPr>
          <w:spacing w:val="-1"/>
          <w:sz w:val="20"/>
        </w:rPr>
        <w:t xml:space="preserve"> </w:t>
      </w:r>
      <w:r>
        <w:rPr>
          <w:sz w:val="20"/>
        </w:rPr>
        <w:t>April</w:t>
      </w:r>
      <w:r>
        <w:rPr>
          <w:spacing w:val="-2"/>
          <w:sz w:val="20"/>
        </w:rPr>
        <w:t xml:space="preserve"> </w:t>
      </w:r>
      <w:r>
        <w:rPr>
          <w:spacing w:val="-4"/>
          <w:sz w:val="20"/>
        </w:rPr>
        <w:t>2022</w:t>
      </w:r>
    </w:p>
    <w:p w14:paraId="51DE7C3C" w14:textId="77777777" w:rsidR="0010369C" w:rsidRDefault="008E43AE">
      <w:pPr>
        <w:pStyle w:val="BodyText"/>
        <w:spacing w:before="34" w:line="360" w:lineRule="auto"/>
        <w:ind w:left="237" w:right="192"/>
        <w:jc w:val="both"/>
      </w:pPr>
      <w:r>
        <w:t>case of Casella Wines and Swan Vintage, the high margins of dumping largely reflect the impermissible rejection of the companies' actual data and the use of the heavily filtered domestic sales of Treasury Wines as the "best information available".</w:t>
      </w:r>
    </w:p>
    <w:p w14:paraId="51DE7C3D" w14:textId="77777777" w:rsidR="0010369C" w:rsidRDefault="008E43AE">
      <w:pPr>
        <w:pStyle w:val="BodyText"/>
        <w:spacing w:before="160" w:line="360" w:lineRule="auto"/>
        <w:ind w:left="237" w:right="194" w:firstLine="851"/>
        <w:jc w:val="both"/>
      </w:pPr>
      <w:r>
        <w:rPr>
          <w:noProof/>
        </w:rPr>
        <w:drawing>
          <wp:anchor distT="0" distB="0" distL="0" distR="0" simplePos="0" relativeHeight="250727936" behindDoc="1" locked="0" layoutInCell="1" allowOverlap="1" wp14:anchorId="51DE9D48" wp14:editId="51DE9D49">
            <wp:simplePos x="0" y="0"/>
            <wp:positionH relativeFrom="page">
              <wp:posOffset>905255</wp:posOffset>
            </wp:positionH>
            <wp:positionV relativeFrom="paragraph">
              <wp:posOffset>149175</wp:posOffset>
            </wp:positionV>
            <wp:extent cx="179831" cy="103631"/>
            <wp:effectExtent l="0" t="0" r="0" b="0"/>
            <wp:wrapNone/>
            <wp:docPr id="55"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1.png"/>
                    <pic:cNvPicPr/>
                  </pic:nvPicPr>
                  <pic:blipFill>
                    <a:blip r:embed="rId59" cstate="print"/>
                    <a:stretch>
                      <a:fillRect/>
                    </a:stretch>
                  </pic:blipFill>
                  <pic:spPr>
                    <a:xfrm>
                      <a:off x="0" y="0"/>
                      <a:ext cx="179831" cy="103631"/>
                    </a:xfrm>
                    <a:prstGeom prst="rect">
                      <a:avLst/>
                    </a:prstGeom>
                  </pic:spPr>
                </pic:pic>
              </a:graphicData>
            </a:graphic>
          </wp:anchor>
        </w:drawing>
      </w:r>
      <w:r>
        <w:t>MOFCOM</w:t>
      </w:r>
      <w:r>
        <w:rPr>
          <w:spacing w:val="-14"/>
        </w:rPr>
        <w:t xml:space="preserve"> </w:t>
      </w:r>
      <w:r>
        <w:t>derived</w:t>
      </w:r>
      <w:r>
        <w:rPr>
          <w:spacing w:val="-14"/>
        </w:rPr>
        <w:t xml:space="preserve"> </w:t>
      </w:r>
      <w:r>
        <w:t>a</w:t>
      </w:r>
      <w:r>
        <w:rPr>
          <w:spacing w:val="-13"/>
        </w:rPr>
        <w:t xml:space="preserve"> </w:t>
      </w:r>
      <w:r>
        <w:t>margin</w:t>
      </w:r>
      <w:r>
        <w:rPr>
          <w:spacing w:val="-14"/>
        </w:rPr>
        <w:t xml:space="preserve"> </w:t>
      </w:r>
      <w:r>
        <w:t>of</w:t>
      </w:r>
      <w:r>
        <w:rPr>
          <w:spacing w:val="-13"/>
        </w:rPr>
        <w:t xml:space="preserve"> </w:t>
      </w:r>
      <w:r>
        <w:t>dumping</w:t>
      </w:r>
      <w:r>
        <w:rPr>
          <w:spacing w:val="-14"/>
        </w:rPr>
        <w:t xml:space="preserve"> </w:t>
      </w:r>
      <w:r>
        <w:t>for</w:t>
      </w:r>
      <w:r>
        <w:rPr>
          <w:spacing w:val="-13"/>
        </w:rPr>
        <w:t xml:space="preserve"> </w:t>
      </w:r>
      <w:r>
        <w:t>"other</w:t>
      </w:r>
      <w:r>
        <w:rPr>
          <w:spacing w:val="-14"/>
        </w:rPr>
        <w:t xml:space="preserve"> </w:t>
      </w:r>
      <w:r>
        <w:t>named</w:t>
      </w:r>
      <w:r>
        <w:rPr>
          <w:spacing w:val="-14"/>
        </w:rPr>
        <w:t xml:space="preserve"> </w:t>
      </w:r>
      <w:r>
        <w:t>Australian</w:t>
      </w:r>
      <w:r>
        <w:rPr>
          <w:spacing w:val="-13"/>
        </w:rPr>
        <w:t xml:space="preserve"> </w:t>
      </w:r>
      <w:r>
        <w:t>exporters"</w:t>
      </w:r>
      <w:r>
        <w:rPr>
          <w:vertAlign w:val="superscript"/>
        </w:rPr>
        <w:t>8</w:t>
      </w:r>
      <w:r>
        <w:rPr>
          <w:spacing w:val="-14"/>
        </w:rPr>
        <w:t xml:space="preserve"> </w:t>
      </w:r>
      <w:r>
        <w:t>from a</w:t>
      </w:r>
      <w:r>
        <w:rPr>
          <w:spacing w:val="-3"/>
        </w:rPr>
        <w:t xml:space="preserve"> </w:t>
      </w:r>
      <w:r>
        <w:t>weighted</w:t>
      </w:r>
      <w:r>
        <w:rPr>
          <w:spacing w:val="-4"/>
        </w:rPr>
        <w:t xml:space="preserve"> </w:t>
      </w:r>
      <w:r>
        <w:t>average</w:t>
      </w:r>
      <w:r>
        <w:rPr>
          <w:spacing w:val="-3"/>
        </w:rPr>
        <w:t xml:space="preserve"> </w:t>
      </w:r>
      <w:r>
        <w:t>of</w:t>
      </w:r>
      <w:r>
        <w:rPr>
          <w:spacing w:val="-3"/>
        </w:rPr>
        <w:t xml:space="preserve"> </w:t>
      </w:r>
      <w:r>
        <w:t>the</w:t>
      </w:r>
      <w:r>
        <w:rPr>
          <w:spacing w:val="-2"/>
        </w:rPr>
        <w:t xml:space="preserve"> </w:t>
      </w:r>
      <w:r>
        <w:t>margins</w:t>
      </w:r>
      <w:r>
        <w:rPr>
          <w:spacing w:val="-3"/>
        </w:rPr>
        <w:t xml:space="preserve"> </w:t>
      </w:r>
      <w:r>
        <w:t>determined</w:t>
      </w:r>
      <w:r>
        <w:rPr>
          <w:spacing w:val="-4"/>
        </w:rPr>
        <w:t xml:space="preserve"> </w:t>
      </w:r>
      <w:r>
        <w:t>from</w:t>
      </w:r>
      <w:r>
        <w:rPr>
          <w:spacing w:val="-2"/>
        </w:rPr>
        <w:t xml:space="preserve"> </w:t>
      </w:r>
      <w:r>
        <w:t>the</w:t>
      </w:r>
      <w:r>
        <w:rPr>
          <w:spacing w:val="-2"/>
        </w:rPr>
        <w:t xml:space="preserve"> </w:t>
      </w:r>
      <w:r>
        <w:t>sampled</w:t>
      </w:r>
      <w:r>
        <w:rPr>
          <w:spacing w:val="-3"/>
        </w:rPr>
        <w:t xml:space="preserve"> </w:t>
      </w:r>
      <w:r>
        <w:t>companies.</w:t>
      </w:r>
      <w:r>
        <w:rPr>
          <w:spacing w:val="-2"/>
        </w:rPr>
        <w:t xml:space="preserve"> </w:t>
      </w:r>
      <w:r>
        <w:t>It</w:t>
      </w:r>
      <w:r>
        <w:rPr>
          <w:spacing w:val="-3"/>
        </w:rPr>
        <w:t xml:space="preserve"> </w:t>
      </w:r>
      <w:r>
        <w:t>also</w:t>
      </w:r>
      <w:r>
        <w:rPr>
          <w:spacing w:val="-3"/>
        </w:rPr>
        <w:t xml:space="preserve"> </w:t>
      </w:r>
      <w:r>
        <w:t>imposed a margin on "all other"</w:t>
      </w:r>
      <w:r>
        <w:rPr>
          <w:vertAlign w:val="superscript"/>
        </w:rPr>
        <w:t>9</w:t>
      </w:r>
      <w:r>
        <w:t xml:space="preserve"> companies derived in an unexplained way from data received from the s</w:t>
      </w:r>
      <w:r>
        <w:t>ampled companies. In this way, errors made in respect of the sampled companies were carried forward to other named Australian exporters and all other companies.</w:t>
      </w:r>
    </w:p>
    <w:p w14:paraId="51DE7C3E" w14:textId="77777777" w:rsidR="0010369C" w:rsidRDefault="008E43AE">
      <w:pPr>
        <w:pStyle w:val="Heading4"/>
        <w:numPr>
          <w:ilvl w:val="2"/>
          <w:numId w:val="75"/>
        </w:numPr>
        <w:tabs>
          <w:tab w:val="left" w:pos="2647"/>
          <w:tab w:val="left" w:pos="2648"/>
        </w:tabs>
        <w:ind w:left="2647"/>
        <w:jc w:val="both"/>
      </w:pPr>
      <w:bookmarkStart w:id="11" w:name="_TOC_250018"/>
      <w:r>
        <w:rPr>
          <w:w w:val="95"/>
        </w:rPr>
        <w:t>Anti‐Dumping</w:t>
      </w:r>
      <w:r>
        <w:rPr>
          <w:spacing w:val="49"/>
        </w:rPr>
        <w:t xml:space="preserve"> </w:t>
      </w:r>
      <w:bookmarkEnd w:id="11"/>
      <w:r>
        <w:rPr>
          <w:spacing w:val="-2"/>
        </w:rPr>
        <w:t>Questionnaire</w:t>
      </w:r>
    </w:p>
    <w:p w14:paraId="51DE7C3F" w14:textId="77777777" w:rsidR="0010369C" w:rsidRDefault="0010369C">
      <w:pPr>
        <w:pStyle w:val="BodyText"/>
        <w:spacing w:before="10"/>
        <w:rPr>
          <w:b/>
          <w:sz w:val="20"/>
        </w:rPr>
      </w:pPr>
    </w:p>
    <w:p w14:paraId="51DE7C40" w14:textId="77777777" w:rsidR="0010369C" w:rsidRDefault="008E43AE">
      <w:pPr>
        <w:pStyle w:val="BodyText"/>
        <w:spacing w:before="52" w:line="360" w:lineRule="auto"/>
        <w:ind w:left="237" w:right="193" w:firstLine="851"/>
        <w:jc w:val="both"/>
      </w:pPr>
      <w:r>
        <w:rPr>
          <w:noProof/>
        </w:rPr>
        <w:drawing>
          <wp:anchor distT="0" distB="0" distL="0" distR="0" simplePos="0" relativeHeight="250728960" behindDoc="1" locked="0" layoutInCell="1" allowOverlap="1" wp14:anchorId="51DE9D4A" wp14:editId="51DE9D4B">
            <wp:simplePos x="0" y="0"/>
            <wp:positionH relativeFrom="page">
              <wp:posOffset>905255</wp:posOffset>
            </wp:positionH>
            <wp:positionV relativeFrom="paragraph">
              <wp:posOffset>80595</wp:posOffset>
            </wp:positionV>
            <wp:extent cx="179831" cy="103631"/>
            <wp:effectExtent l="0" t="0" r="0" b="0"/>
            <wp:wrapNone/>
            <wp:docPr id="57"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2.png"/>
                    <pic:cNvPicPr/>
                  </pic:nvPicPr>
                  <pic:blipFill>
                    <a:blip r:embed="rId60" cstate="print"/>
                    <a:stretch>
                      <a:fillRect/>
                    </a:stretch>
                  </pic:blipFill>
                  <pic:spPr>
                    <a:xfrm>
                      <a:off x="0" y="0"/>
                      <a:ext cx="179831" cy="103631"/>
                    </a:xfrm>
                    <a:prstGeom prst="rect">
                      <a:avLst/>
                    </a:prstGeom>
                  </pic:spPr>
                </pic:pic>
              </a:graphicData>
            </a:graphic>
          </wp:anchor>
        </w:drawing>
      </w:r>
      <w:r>
        <w:t>MOFCOM's primary mechanism for seeking data from the sampled compa</w:t>
      </w:r>
      <w:r>
        <w:t>nies was the</w:t>
      </w:r>
      <w:r>
        <w:rPr>
          <w:spacing w:val="-7"/>
        </w:rPr>
        <w:t xml:space="preserve"> </w:t>
      </w:r>
      <w:r>
        <w:t>Anti‐Dumping</w:t>
      </w:r>
      <w:r>
        <w:rPr>
          <w:spacing w:val="-7"/>
        </w:rPr>
        <w:t xml:space="preserve"> </w:t>
      </w:r>
      <w:r>
        <w:t>Questionnaire</w:t>
      </w:r>
      <w:r>
        <w:rPr>
          <w:spacing w:val="-8"/>
        </w:rPr>
        <w:t xml:space="preserve"> </w:t>
      </w:r>
      <w:r>
        <w:t>issued</w:t>
      </w:r>
      <w:r>
        <w:rPr>
          <w:spacing w:val="-7"/>
        </w:rPr>
        <w:t xml:space="preserve"> </w:t>
      </w:r>
      <w:r>
        <w:t>on</w:t>
      </w:r>
      <w:r>
        <w:rPr>
          <w:spacing w:val="-8"/>
        </w:rPr>
        <w:t xml:space="preserve"> </w:t>
      </w:r>
      <w:r>
        <w:t>10</w:t>
      </w:r>
      <w:r>
        <w:rPr>
          <w:spacing w:val="-7"/>
        </w:rPr>
        <w:t xml:space="preserve"> </w:t>
      </w:r>
      <w:r>
        <w:t>October</w:t>
      </w:r>
      <w:r>
        <w:rPr>
          <w:spacing w:val="-7"/>
        </w:rPr>
        <w:t xml:space="preserve"> </w:t>
      </w:r>
      <w:r>
        <w:t>2020</w:t>
      </w:r>
      <w:r>
        <w:rPr>
          <w:spacing w:val="-6"/>
        </w:rPr>
        <w:t xml:space="preserve"> </w:t>
      </w:r>
      <w:r>
        <w:t>to</w:t>
      </w:r>
      <w:r>
        <w:rPr>
          <w:spacing w:val="-7"/>
        </w:rPr>
        <w:t xml:space="preserve"> </w:t>
      </w:r>
      <w:r>
        <w:t>the</w:t>
      </w:r>
      <w:r>
        <w:rPr>
          <w:spacing w:val="-7"/>
        </w:rPr>
        <w:t xml:space="preserve"> </w:t>
      </w:r>
      <w:r>
        <w:t>three</w:t>
      </w:r>
      <w:r>
        <w:rPr>
          <w:spacing w:val="-8"/>
        </w:rPr>
        <w:t xml:space="preserve"> </w:t>
      </w:r>
      <w:r>
        <w:t>sampled</w:t>
      </w:r>
      <w:r>
        <w:rPr>
          <w:spacing w:val="-7"/>
        </w:rPr>
        <w:t xml:space="preserve"> </w:t>
      </w:r>
      <w:r>
        <w:t>companies. It</w:t>
      </w:r>
      <w:r>
        <w:rPr>
          <w:spacing w:val="-5"/>
        </w:rPr>
        <w:t xml:space="preserve"> </w:t>
      </w:r>
      <w:r>
        <w:t>comprised</w:t>
      </w:r>
      <w:r>
        <w:rPr>
          <w:spacing w:val="-6"/>
        </w:rPr>
        <w:t xml:space="preserve"> </w:t>
      </w:r>
      <w:r>
        <w:t>approximately</w:t>
      </w:r>
      <w:r>
        <w:rPr>
          <w:spacing w:val="-5"/>
        </w:rPr>
        <w:t xml:space="preserve"> </w:t>
      </w:r>
      <w:r>
        <w:t>308</w:t>
      </w:r>
      <w:r>
        <w:rPr>
          <w:spacing w:val="-5"/>
        </w:rPr>
        <w:t xml:space="preserve"> </w:t>
      </w:r>
      <w:r>
        <w:t>questions</w:t>
      </w:r>
      <w:r>
        <w:rPr>
          <w:spacing w:val="-4"/>
        </w:rPr>
        <w:t xml:space="preserve"> </w:t>
      </w:r>
      <w:r>
        <w:t>and</w:t>
      </w:r>
      <w:r>
        <w:rPr>
          <w:spacing w:val="-5"/>
        </w:rPr>
        <w:t xml:space="preserve"> </w:t>
      </w:r>
      <w:r>
        <w:t>sub‐questions,</w:t>
      </w:r>
      <w:r>
        <w:rPr>
          <w:vertAlign w:val="superscript"/>
        </w:rPr>
        <w:t>10</w:t>
      </w:r>
      <w:r>
        <w:rPr>
          <w:spacing w:val="-5"/>
        </w:rPr>
        <w:t xml:space="preserve"> </w:t>
      </w:r>
      <w:r>
        <w:t>seeking</w:t>
      </w:r>
      <w:r>
        <w:rPr>
          <w:spacing w:val="-5"/>
        </w:rPr>
        <w:t xml:space="preserve"> </w:t>
      </w:r>
      <w:r>
        <w:t>an</w:t>
      </w:r>
      <w:r>
        <w:rPr>
          <w:spacing w:val="-5"/>
        </w:rPr>
        <w:t xml:space="preserve"> </w:t>
      </w:r>
      <w:r>
        <w:t>enormous</w:t>
      </w:r>
      <w:r>
        <w:rPr>
          <w:spacing w:val="-5"/>
        </w:rPr>
        <w:t xml:space="preserve"> </w:t>
      </w:r>
      <w:r>
        <w:t>volume of granular technical data. MOFCOM provided only 37</w:t>
      </w:r>
      <w:r>
        <w:rPr>
          <w:spacing w:val="-3"/>
        </w:rPr>
        <w:t xml:space="preserve"> </w:t>
      </w:r>
      <w:r>
        <w:t xml:space="preserve">days for the companies to respond – the minimum period allowed under the Anti‐Dumping </w:t>
      </w:r>
      <w:hyperlink r:id="rId61">
        <w:r>
          <w:t>Agreement.</w:t>
        </w:r>
        <w:r>
          <w:rPr>
            <w:vertAlign w:val="superscript"/>
          </w:rPr>
          <w:t>11</w:t>
        </w:r>
      </w:hyperlink>
      <w:r>
        <w:t xml:space="preserve"> MOFCOM refused all requests for extensions of time with n</w:t>
      </w:r>
      <w:r>
        <w:t>o consideration or explanation that an extension was not</w:t>
      </w:r>
      <w:r>
        <w:rPr>
          <w:spacing w:val="-11"/>
        </w:rPr>
        <w:t xml:space="preserve"> </w:t>
      </w:r>
      <w:r>
        <w:t>practicable,</w:t>
      </w:r>
      <w:r>
        <w:rPr>
          <w:spacing w:val="-10"/>
        </w:rPr>
        <w:t xml:space="preserve"> </w:t>
      </w:r>
      <w:r>
        <w:t>even</w:t>
      </w:r>
      <w:r>
        <w:rPr>
          <w:spacing w:val="-11"/>
        </w:rPr>
        <w:t xml:space="preserve"> </w:t>
      </w:r>
      <w:r>
        <w:t>though</w:t>
      </w:r>
      <w:r>
        <w:rPr>
          <w:spacing w:val="-11"/>
        </w:rPr>
        <w:t xml:space="preserve"> </w:t>
      </w:r>
      <w:r>
        <w:t>the</w:t>
      </w:r>
      <w:r>
        <w:rPr>
          <w:spacing w:val="-10"/>
        </w:rPr>
        <w:t xml:space="preserve"> </w:t>
      </w:r>
      <w:r>
        <w:t>Anti‐Dumping</w:t>
      </w:r>
      <w:r>
        <w:rPr>
          <w:spacing w:val="-11"/>
        </w:rPr>
        <w:t xml:space="preserve"> </w:t>
      </w:r>
      <w:r>
        <w:t>Final</w:t>
      </w:r>
      <w:r>
        <w:rPr>
          <w:spacing w:val="-10"/>
        </w:rPr>
        <w:t xml:space="preserve"> </w:t>
      </w:r>
      <w:r>
        <w:t>Disclosure</w:t>
      </w:r>
      <w:r>
        <w:rPr>
          <w:spacing w:val="-10"/>
        </w:rPr>
        <w:t xml:space="preserve"> </w:t>
      </w:r>
      <w:r>
        <w:t>on</w:t>
      </w:r>
      <w:r>
        <w:rPr>
          <w:spacing w:val="-12"/>
        </w:rPr>
        <w:t xml:space="preserve"> </w:t>
      </w:r>
      <w:r>
        <w:t>12</w:t>
      </w:r>
      <w:r>
        <w:rPr>
          <w:spacing w:val="-4"/>
        </w:rPr>
        <w:t xml:space="preserve"> </w:t>
      </w:r>
      <w:r>
        <w:t>March</w:t>
      </w:r>
      <w:r>
        <w:rPr>
          <w:spacing w:val="-4"/>
        </w:rPr>
        <w:t xml:space="preserve"> </w:t>
      </w:r>
      <w:r>
        <w:t>2022</w:t>
      </w:r>
      <w:r>
        <w:rPr>
          <w:spacing w:val="-11"/>
        </w:rPr>
        <w:t xml:space="preserve"> </w:t>
      </w:r>
      <w:r>
        <w:t>was</w:t>
      </w:r>
      <w:r>
        <w:rPr>
          <w:spacing w:val="-11"/>
        </w:rPr>
        <w:t xml:space="preserve"> </w:t>
      </w:r>
      <w:r>
        <w:t>almost four months</w:t>
      </w:r>
      <w:r>
        <w:rPr>
          <w:spacing w:val="-1"/>
        </w:rPr>
        <w:t xml:space="preserve"> </w:t>
      </w:r>
      <w:r>
        <w:t>after the due date for the Anti‐Dumping Questionnaire</w:t>
      </w:r>
      <w:r>
        <w:rPr>
          <w:spacing w:val="-1"/>
        </w:rPr>
        <w:t xml:space="preserve"> </w:t>
      </w:r>
      <w:r>
        <w:t>responses.</w:t>
      </w:r>
      <w:r>
        <w:rPr>
          <w:spacing w:val="-1"/>
        </w:rPr>
        <w:t xml:space="preserve"> </w:t>
      </w:r>
      <w:r>
        <w:t>The</w:t>
      </w:r>
      <w:r>
        <w:rPr>
          <w:spacing w:val="-1"/>
        </w:rPr>
        <w:t xml:space="preserve"> </w:t>
      </w:r>
      <w:r>
        <w:t>denial of such</w:t>
      </w:r>
      <w:r>
        <w:rPr>
          <w:spacing w:val="-3"/>
        </w:rPr>
        <w:t xml:space="preserve"> </w:t>
      </w:r>
      <w:r>
        <w:t>an</w:t>
      </w:r>
      <w:r>
        <w:rPr>
          <w:spacing w:val="-3"/>
        </w:rPr>
        <w:t xml:space="preserve"> </w:t>
      </w:r>
      <w:r>
        <w:t>extension</w:t>
      </w:r>
      <w:r>
        <w:rPr>
          <w:spacing w:val="-4"/>
        </w:rPr>
        <w:t xml:space="preserve"> </w:t>
      </w:r>
      <w:r>
        <w:t>and</w:t>
      </w:r>
      <w:r>
        <w:rPr>
          <w:spacing w:val="-3"/>
        </w:rPr>
        <w:t xml:space="preserve"> </w:t>
      </w:r>
      <w:r>
        <w:t>MOFCOM's</w:t>
      </w:r>
      <w:r>
        <w:rPr>
          <w:spacing w:val="-3"/>
        </w:rPr>
        <w:t xml:space="preserve"> </w:t>
      </w:r>
      <w:r>
        <w:t>failure</w:t>
      </w:r>
      <w:r>
        <w:rPr>
          <w:spacing w:val="-2"/>
        </w:rPr>
        <w:t xml:space="preserve"> </w:t>
      </w:r>
      <w:r>
        <w:t>to</w:t>
      </w:r>
      <w:r>
        <w:rPr>
          <w:spacing w:val="-2"/>
        </w:rPr>
        <w:t xml:space="preserve"> </w:t>
      </w:r>
      <w:r>
        <w:t>enter</w:t>
      </w:r>
      <w:r>
        <w:rPr>
          <w:spacing w:val="-3"/>
        </w:rPr>
        <w:t xml:space="preserve"> </w:t>
      </w:r>
      <w:r>
        <w:t>into</w:t>
      </w:r>
      <w:r>
        <w:rPr>
          <w:spacing w:val="-2"/>
        </w:rPr>
        <w:t xml:space="preserve"> </w:t>
      </w:r>
      <w:r>
        <w:t>a</w:t>
      </w:r>
      <w:r>
        <w:rPr>
          <w:spacing w:val="-3"/>
        </w:rPr>
        <w:t xml:space="preserve"> </w:t>
      </w:r>
      <w:r>
        <w:t>dialogue</w:t>
      </w:r>
      <w:r>
        <w:rPr>
          <w:spacing w:val="-2"/>
        </w:rPr>
        <w:t xml:space="preserve"> </w:t>
      </w:r>
      <w:r>
        <w:t>with</w:t>
      </w:r>
      <w:r>
        <w:rPr>
          <w:spacing w:val="-3"/>
        </w:rPr>
        <w:t xml:space="preserve"> </w:t>
      </w:r>
      <w:r>
        <w:t>the</w:t>
      </w:r>
      <w:r>
        <w:rPr>
          <w:spacing w:val="-2"/>
        </w:rPr>
        <w:t xml:space="preserve"> </w:t>
      </w:r>
      <w:r>
        <w:t>companies</w:t>
      </w:r>
      <w:r>
        <w:rPr>
          <w:spacing w:val="-3"/>
        </w:rPr>
        <w:t xml:space="preserve"> </w:t>
      </w:r>
      <w:r>
        <w:t>denied interested parties the full opportunity for the defence of their interests.</w:t>
      </w:r>
    </w:p>
    <w:p w14:paraId="51DE7C41" w14:textId="77777777" w:rsidR="0010369C" w:rsidRDefault="008E43AE">
      <w:pPr>
        <w:pStyle w:val="Heading4"/>
        <w:numPr>
          <w:ilvl w:val="2"/>
          <w:numId w:val="75"/>
        </w:numPr>
        <w:tabs>
          <w:tab w:val="left" w:pos="2648"/>
          <w:tab w:val="left" w:pos="2649"/>
        </w:tabs>
        <w:spacing w:before="160"/>
        <w:jc w:val="both"/>
      </w:pPr>
      <w:bookmarkStart w:id="12" w:name="_TOC_250017"/>
      <w:r>
        <w:rPr>
          <w:spacing w:val="-2"/>
        </w:rPr>
        <w:t>Anti‐Dumping</w:t>
      </w:r>
      <w:r>
        <w:rPr>
          <w:spacing w:val="7"/>
        </w:rPr>
        <w:t xml:space="preserve"> </w:t>
      </w:r>
      <w:r>
        <w:rPr>
          <w:spacing w:val="-2"/>
        </w:rPr>
        <w:t>Preliminary</w:t>
      </w:r>
      <w:r>
        <w:rPr>
          <w:spacing w:val="7"/>
        </w:rPr>
        <w:t xml:space="preserve"> </w:t>
      </w:r>
      <w:bookmarkEnd w:id="12"/>
      <w:r>
        <w:rPr>
          <w:spacing w:val="-2"/>
        </w:rPr>
        <w:t>Determination</w:t>
      </w:r>
    </w:p>
    <w:p w14:paraId="51DE7C42" w14:textId="77777777" w:rsidR="0010369C" w:rsidRDefault="0010369C">
      <w:pPr>
        <w:pStyle w:val="BodyText"/>
        <w:spacing w:before="10"/>
        <w:rPr>
          <w:b/>
          <w:sz w:val="20"/>
        </w:rPr>
      </w:pPr>
    </w:p>
    <w:p w14:paraId="51DE7C43" w14:textId="77777777" w:rsidR="0010369C" w:rsidRDefault="008E43AE">
      <w:pPr>
        <w:pStyle w:val="BodyText"/>
        <w:spacing w:before="52" w:line="360" w:lineRule="auto"/>
        <w:ind w:left="237" w:right="193" w:firstLine="851"/>
        <w:jc w:val="both"/>
      </w:pPr>
      <w:r>
        <w:rPr>
          <w:noProof/>
        </w:rPr>
        <w:drawing>
          <wp:anchor distT="0" distB="0" distL="0" distR="0" simplePos="0" relativeHeight="250729984" behindDoc="1" locked="0" layoutInCell="1" allowOverlap="1" wp14:anchorId="51DE9D4C" wp14:editId="51DE9D4D">
            <wp:simplePos x="0" y="0"/>
            <wp:positionH relativeFrom="page">
              <wp:posOffset>905255</wp:posOffset>
            </wp:positionH>
            <wp:positionV relativeFrom="paragraph">
              <wp:posOffset>81357</wp:posOffset>
            </wp:positionV>
            <wp:extent cx="179831" cy="103631"/>
            <wp:effectExtent l="0" t="0" r="0" b="0"/>
            <wp:wrapNone/>
            <wp:docPr id="59"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3.png"/>
                    <pic:cNvPicPr/>
                  </pic:nvPicPr>
                  <pic:blipFill>
                    <a:blip r:embed="rId62" cstate="print"/>
                    <a:stretch>
                      <a:fillRect/>
                    </a:stretch>
                  </pic:blipFill>
                  <pic:spPr>
                    <a:xfrm>
                      <a:off x="0" y="0"/>
                      <a:ext cx="179831" cy="103631"/>
                    </a:xfrm>
                    <a:prstGeom prst="rect">
                      <a:avLst/>
                    </a:prstGeom>
                  </pic:spPr>
                </pic:pic>
              </a:graphicData>
            </a:graphic>
          </wp:anchor>
        </w:drawing>
      </w:r>
      <w:r>
        <w:t>The</w:t>
      </w:r>
      <w:r>
        <w:rPr>
          <w:spacing w:val="-12"/>
        </w:rPr>
        <w:t xml:space="preserve"> </w:t>
      </w:r>
      <w:r>
        <w:t>Anti‐Dumping</w:t>
      </w:r>
      <w:r>
        <w:rPr>
          <w:spacing w:val="-12"/>
        </w:rPr>
        <w:t xml:space="preserve"> </w:t>
      </w:r>
      <w:r>
        <w:t>Preliminary</w:t>
      </w:r>
      <w:r>
        <w:rPr>
          <w:spacing w:val="-13"/>
        </w:rPr>
        <w:t xml:space="preserve"> </w:t>
      </w:r>
      <w:r>
        <w:t>Determination</w:t>
      </w:r>
      <w:r>
        <w:rPr>
          <w:spacing w:val="-14"/>
        </w:rPr>
        <w:t xml:space="preserve"> </w:t>
      </w:r>
      <w:r>
        <w:t>was</w:t>
      </w:r>
      <w:r>
        <w:rPr>
          <w:spacing w:val="-13"/>
        </w:rPr>
        <w:t xml:space="preserve"> </w:t>
      </w:r>
      <w:r>
        <w:t>issued</w:t>
      </w:r>
      <w:r>
        <w:rPr>
          <w:spacing w:val="-12"/>
        </w:rPr>
        <w:t xml:space="preserve"> </w:t>
      </w:r>
      <w:r>
        <w:t>on</w:t>
      </w:r>
      <w:r>
        <w:rPr>
          <w:spacing w:val="-11"/>
        </w:rPr>
        <w:t xml:space="preserve"> </w:t>
      </w:r>
      <w:r>
        <w:t>27</w:t>
      </w:r>
      <w:r>
        <w:rPr>
          <w:spacing w:val="-4"/>
        </w:rPr>
        <w:t xml:space="preserve"> </w:t>
      </w:r>
      <w:r>
        <w:t>November</w:t>
      </w:r>
      <w:r>
        <w:rPr>
          <w:spacing w:val="-4"/>
        </w:rPr>
        <w:t xml:space="preserve"> </w:t>
      </w:r>
      <w:r>
        <w:t>2020,</w:t>
      </w:r>
      <w:r>
        <w:rPr>
          <w:spacing w:val="-12"/>
        </w:rPr>
        <w:t xml:space="preserve"> </w:t>
      </w:r>
      <w:r>
        <w:rPr>
          <w:u w:val="single"/>
        </w:rPr>
        <w:t>only</w:t>
      </w:r>
      <w:r>
        <w:t xml:space="preserve"> </w:t>
      </w:r>
      <w:r>
        <w:rPr>
          <w:u w:val="single"/>
        </w:rPr>
        <w:t>11</w:t>
      </w:r>
      <w:r>
        <w:rPr>
          <w:spacing w:val="-3"/>
          <w:u w:val="single"/>
        </w:rPr>
        <w:t xml:space="preserve"> </w:t>
      </w:r>
      <w:r>
        <w:rPr>
          <w:u w:val="single"/>
        </w:rPr>
        <w:t>days</w:t>
      </w:r>
      <w:r>
        <w:t xml:space="preserve"> after the Anti‐Dumping Questionnaire responses were due. This manifestly did not provide MOFCOM with sufficient time to take into account the extensive information in the Anti‐Dumping</w:t>
      </w:r>
      <w:r>
        <w:rPr>
          <w:spacing w:val="-2"/>
        </w:rPr>
        <w:t xml:space="preserve"> </w:t>
      </w:r>
      <w:r>
        <w:t>Questionnaire</w:t>
      </w:r>
      <w:r>
        <w:rPr>
          <w:spacing w:val="-2"/>
        </w:rPr>
        <w:t xml:space="preserve"> </w:t>
      </w:r>
      <w:r>
        <w:t>responses</w:t>
      </w:r>
      <w:r>
        <w:rPr>
          <w:spacing w:val="-3"/>
        </w:rPr>
        <w:t xml:space="preserve"> </w:t>
      </w:r>
      <w:r>
        <w:t>in</w:t>
      </w:r>
      <w:r>
        <w:rPr>
          <w:spacing w:val="-3"/>
        </w:rPr>
        <w:t xml:space="preserve"> </w:t>
      </w:r>
      <w:r>
        <w:t>making</w:t>
      </w:r>
      <w:r>
        <w:rPr>
          <w:spacing w:val="-3"/>
        </w:rPr>
        <w:t xml:space="preserve"> </w:t>
      </w:r>
      <w:r>
        <w:t>the</w:t>
      </w:r>
      <w:r>
        <w:rPr>
          <w:spacing w:val="-2"/>
        </w:rPr>
        <w:t xml:space="preserve"> </w:t>
      </w:r>
      <w:r>
        <w:t>preliminary</w:t>
      </w:r>
      <w:r>
        <w:rPr>
          <w:spacing w:val="-2"/>
        </w:rPr>
        <w:t xml:space="preserve"> </w:t>
      </w:r>
      <w:r>
        <w:t>determination,</w:t>
      </w:r>
      <w:r>
        <w:rPr>
          <w:spacing w:val="-3"/>
        </w:rPr>
        <w:t xml:space="preserve"> </w:t>
      </w:r>
      <w:r>
        <w:rPr>
          <w:i/>
        </w:rPr>
        <w:t>prima</w:t>
      </w:r>
      <w:r>
        <w:rPr>
          <w:i/>
          <w:spacing w:val="-2"/>
        </w:rPr>
        <w:t xml:space="preserve"> </w:t>
      </w:r>
      <w:r>
        <w:rPr>
          <w:i/>
        </w:rPr>
        <w:t xml:space="preserve">facie </w:t>
      </w:r>
      <w:r>
        <w:t>undermining its reliability. The Final Determination largely adopted the approaches taken in the Preliminary Determination, carrying forward its deficiencies.</w:t>
      </w:r>
    </w:p>
    <w:p w14:paraId="51DE7C44" w14:textId="77777777" w:rsidR="0010369C" w:rsidRDefault="0010369C">
      <w:pPr>
        <w:pStyle w:val="BodyText"/>
        <w:rPr>
          <w:sz w:val="20"/>
        </w:rPr>
      </w:pPr>
    </w:p>
    <w:p w14:paraId="51DE7C45" w14:textId="77777777" w:rsidR="0010369C" w:rsidRDefault="008E43AE">
      <w:pPr>
        <w:pStyle w:val="BodyText"/>
        <w:spacing w:before="3"/>
        <w:rPr>
          <w:sz w:val="23"/>
        </w:rPr>
      </w:pPr>
      <w:r>
        <w:pict w14:anchorId="51DE9D4E">
          <v:rect id="docshape65" o:spid="_x0000_s3193" style="position:absolute;margin-left:70.9pt;margin-top:15.4pt;width:2in;height:.8pt;z-index:-251257344;mso-wrap-distance-left:0;mso-wrap-distance-right:0;mso-position-horizontal-relative:page" fillcolor="black" stroked="f">
            <w10:wrap type="topAndBottom" anchorx="page"/>
          </v:rect>
        </w:pict>
      </w:r>
    </w:p>
    <w:p w14:paraId="51DE7C46" w14:textId="77777777" w:rsidR="0010369C" w:rsidRDefault="008E43AE">
      <w:pPr>
        <w:spacing w:before="109"/>
        <w:ind w:left="238" w:hanging="1"/>
        <w:rPr>
          <w:sz w:val="18"/>
        </w:rPr>
      </w:pPr>
      <w:r>
        <w:rPr>
          <w:sz w:val="18"/>
          <w:vertAlign w:val="superscript"/>
        </w:rPr>
        <w:t>8</w:t>
      </w:r>
      <w:r>
        <w:rPr>
          <w:spacing w:val="59"/>
          <w:sz w:val="18"/>
        </w:rPr>
        <w:t xml:space="preserve"> </w:t>
      </w:r>
      <w:r>
        <w:rPr>
          <w:sz w:val="18"/>
        </w:rPr>
        <w:t>MOFCOM</w:t>
      </w:r>
      <w:r>
        <w:rPr>
          <w:spacing w:val="40"/>
          <w:sz w:val="18"/>
        </w:rPr>
        <w:t xml:space="preserve"> </w:t>
      </w:r>
      <w:r>
        <w:rPr>
          <w:sz w:val="18"/>
        </w:rPr>
        <w:t>titled</w:t>
      </w:r>
      <w:r>
        <w:rPr>
          <w:spacing w:val="59"/>
          <w:sz w:val="18"/>
        </w:rPr>
        <w:t xml:space="preserve"> </w:t>
      </w:r>
      <w:r>
        <w:rPr>
          <w:sz w:val="18"/>
        </w:rPr>
        <w:t>this</w:t>
      </w:r>
      <w:r>
        <w:rPr>
          <w:spacing w:val="59"/>
          <w:sz w:val="18"/>
        </w:rPr>
        <w:t xml:space="preserve"> </w:t>
      </w:r>
      <w:r>
        <w:rPr>
          <w:sz w:val="18"/>
        </w:rPr>
        <w:t>category</w:t>
      </w:r>
      <w:r>
        <w:rPr>
          <w:spacing w:val="40"/>
          <w:sz w:val="18"/>
        </w:rPr>
        <w:t xml:space="preserve"> </w:t>
      </w:r>
      <w:r>
        <w:rPr>
          <w:sz w:val="18"/>
        </w:rPr>
        <w:t>"Other</w:t>
      </w:r>
      <w:r>
        <w:rPr>
          <w:spacing w:val="40"/>
          <w:sz w:val="18"/>
        </w:rPr>
        <w:t xml:space="preserve"> </w:t>
      </w:r>
      <w:r>
        <w:rPr>
          <w:sz w:val="18"/>
        </w:rPr>
        <w:t>Coopera</w:t>
      </w:r>
      <w:r>
        <w:rPr>
          <w:sz w:val="18"/>
        </w:rPr>
        <w:t>tive</w:t>
      </w:r>
      <w:r>
        <w:rPr>
          <w:spacing w:val="59"/>
          <w:sz w:val="18"/>
        </w:rPr>
        <w:t xml:space="preserve"> </w:t>
      </w:r>
      <w:r>
        <w:rPr>
          <w:sz w:val="18"/>
        </w:rPr>
        <w:t>in</w:t>
      </w:r>
      <w:r>
        <w:rPr>
          <w:spacing w:val="59"/>
          <w:sz w:val="18"/>
        </w:rPr>
        <w:t xml:space="preserve"> </w:t>
      </w:r>
      <w:r>
        <w:rPr>
          <w:sz w:val="18"/>
        </w:rPr>
        <w:t>the</w:t>
      </w:r>
      <w:r>
        <w:rPr>
          <w:spacing w:val="40"/>
          <w:sz w:val="18"/>
        </w:rPr>
        <w:t xml:space="preserve"> </w:t>
      </w:r>
      <w:r>
        <w:rPr>
          <w:sz w:val="18"/>
        </w:rPr>
        <w:t>Investigation"</w:t>
      </w:r>
      <w:r>
        <w:rPr>
          <w:spacing w:val="40"/>
          <w:sz w:val="18"/>
        </w:rPr>
        <w:t xml:space="preserve"> </w:t>
      </w:r>
      <w:r>
        <w:rPr>
          <w:sz w:val="18"/>
        </w:rPr>
        <w:t>in</w:t>
      </w:r>
      <w:r>
        <w:rPr>
          <w:spacing w:val="40"/>
          <w:sz w:val="18"/>
        </w:rPr>
        <w:t xml:space="preserve"> </w:t>
      </w:r>
      <w:r>
        <w:rPr>
          <w:sz w:val="18"/>
        </w:rPr>
        <w:t>Annex</w:t>
      </w:r>
      <w:r>
        <w:rPr>
          <w:spacing w:val="40"/>
          <w:sz w:val="18"/>
        </w:rPr>
        <w:t xml:space="preserve"> </w:t>
      </w:r>
      <w:r>
        <w:rPr>
          <w:sz w:val="18"/>
        </w:rPr>
        <w:t>1.II</w:t>
      </w:r>
      <w:r>
        <w:rPr>
          <w:spacing w:val="40"/>
          <w:sz w:val="18"/>
        </w:rPr>
        <w:t xml:space="preserve"> </w:t>
      </w:r>
      <w:r>
        <w:rPr>
          <w:sz w:val="18"/>
        </w:rPr>
        <w:t>of</w:t>
      </w:r>
      <w:r>
        <w:rPr>
          <w:spacing w:val="40"/>
          <w:sz w:val="18"/>
        </w:rPr>
        <w:t xml:space="preserve"> </w:t>
      </w:r>
      <w:r>
        <w:rPr>
          <w:sz w:val="18"/>
        </w:rPr>
        <w:t>the</w:t>
      </w:r>
      <w:r>
        <w:rPr>
          <w:spacing w:val="59"/>
          <w:sz w:val="18"/>
        </w:rPr>
        <w:t xml:space="preserve"> </w:t>
      </w:r>
      <w:r>
        <w:rPr>
          <w:sz w:val="18"/>
        </w:rPr>
        <w:t>Anti‐Dumping</w:t>
      </w:r>
      <w:r>
        <w:rPr>
          <w:spacing w:val="59"/>
          <w:sz w:val="18"/>
        </w:rPr>
        <w:t xml:space="preserve"> </w:t>
      </w:r>
      <w:r>
        <w:rPr>
          <w:sz w:val="18"/>
        </w:rPr>
        <w:t>Final Determination (Exhibit AUS‐2).</w:t>
      </w:r>
    </w:p>
    <w:p w14:paraId="51DE7C47" w14:textId="77777777" w:rsidR="0010369C" w:rsidRDefault="008E43AE">
      <w:pPr>
        <w:spacing w:before="1"/>
        <w:ind w:left="238"/>
        <w:rPr>
          <w:sz w:val="18"/>
        </w:rPr>
      </w:pPr>
      <w:r>
        <w:rPr>
          <w:sz w:val="18"/>
          <w:vertAlign w:val="superscript"/>
        </w:rPr>
        <w:t>9</w:t>
      </w:r>
      <w:r>
        <w:rPr>
          <w:spacing w:val="-8"/>
          <w:sz w:val="18"/>
        </w:rPr>
        <w:t xml:space="preserve"> </w:t>
      </w:r>
      <w:r>
        <w:rPr>
          <w:sz w:val="18"/>
        </w:rPr>
        <w:t>MOFCOM</w:t>
      </w:r>
      <w:r>
        <w:rPr>
          <w:spacing w:val="-7"/>
          <w:sz w:val="18"/>
        </w:rPr>
        <w:t xml:space="preserve"> </w:t>
      </w:r>
      <w:r>
        <w:rPr>
          <w:sz w:val="18"/>
        </w:rPr>
        <w:t>titled</w:t>
      </w:r>
      <w:r>
        <w:rPr>
          <w:spacing w:val="-6"/>
          <w:sz w:val="18"/>
        </w:rPr>
        <w:t xml:space="preserve"> </w:t>
      </w:r>
      <w:r>
        <w:rPr>
          <w:sz w:val="18"/>
        </w:rPr>
        <w:t>this</w:t>
      </w:r>
      <w:r>
        <w:rPr>
          <w:spacing w:val="-8"/>
          <w:sz w:val="18"/>
        </w:rPr>
        <w:t xml:space="preserve"> </w:t>
      </w:r>
      <w:r>
        <w:rPr>
          <w:sz w:val="18"/>
        </w:rPr>
        <w:t>category</w:t>
      </w:r>
      <w:r>
        <w:rPr>
          <w:spacing w:val="-7"/>
          <w:sz w:val="18"/>
        </w:rPr>
        <w:t xml:space="preserve"> </w:t>
      </w:r>
      <w:r>
        <w:rPr>
          <w:sz w:val="18"/>
        </w:rPr>
        <w:t>"All</w:t>
      </w:r>
      <w:r>
        <w:rPr>
          <w:spacing w:val="-8"/>
          <w:sz w:val="18"/>
        </w:rPr>
        <w:t xml:space="preserve"> </w:t>
      </w:r>
      <w:r>
        <w:rPr>
          <w:sz w:val="18"/>
        </w:rPr>
        <w:t>Others"</w:t>
      </w:r>
      <w:r>
        <w:rPr>
          <w:spacing w:val="-7"/>
          <w:sz w:val="18"/>
        </w:rPr>
        <w:t xml:space="preserve"> </w:t>
      </w:r>
      <w:r>
        <w:rPr>
          <w:sz w:val="18"/>
        </w:rPr>
        <w:t>in</w:t>
      </w:r>
      <w:r>
        <w:rPr>
          <w:spacing w:val="-7"/>
          <w:sz w:val="18"/>
        </w:rPr>
        <w:t xml:space="preserve"> </w:t>
      </w:r>
      <w:r>
        <w:rPr>
          <w:sz w:val="18"/>
        </w:rPr>
        <w:t>Annex</w:t>
      </w:r>
      <w:r>
        <w:rPr>
          <w:spacing w:val="-8"/>
          <w:sz w:val="18"/>
        </w:rPr>
        <w:t xml:space="preserve"> </w:t>
      </w:r>
      <w:r>
        <w:rPr>
          <w:sz w:val="18"/>
        </w:rPr>
        <w:t>1.III</w:t>
      </w:r>
      <w:r>
        <w:rPr>
          <w:spacing w:val="-8"/>
          <w:sz w:val="18"/>
        </w:rPr>
        <w:t xml:space="preserve"> </w:t>
      </w:r>
      <w:r>
        <w:rPr>
          <w:sz w:val="18"/>
        </w:rPr>
        <w:t>of</w:t>
      </w:r>
      <w:r>
        <w:rPr>
          <w:spacing w:val="-8"/>
          <w:sz w:val="18"/>
        </w:rPr>
        <w:t xml:space="preserve"> </w:t>
      </w:r>
      <w:r>
        <w:rPr>
          <w:sz w:val="18"/>
        </w:rPr>
        <w:t>the</w:t>
      </w:r>
      <w:r>
        <w:rPr>
          <w:spacing w:val="-7"/>
          <w:sz w:val="18"/>
        </w:rPr>
        <w:t xml:space="preserve"> </w:t>
      </w:r>
      <w:r>
        <w:rPr>
          <w:sz w:val="18"/>
        </w:rPr>
        <w:t>Anti‐Dumping</w:t>
      </w:r>
      <w:r>
        <w:rPr>
          <w:spacing w:val="-7"/>
          <w:sz w:val="18"/>
        </w:rPr>
        <w:t xml:space="preserve"> </w:t>
      </w:r>
      <w:r>
        <w:rPr>
          <w:sz w:val="18"/>
        </w:rPr>
        <w:t>Final</w:t>
      </w:r>
      <w:r>
        <w:rPr>
          <w:spacing w:val="-8"/>
          <w:sz w:val="18"/>
        </w:rPr>
        <w:t xml:space="preserve"> </w:t>
      </w:r>
      <w:r>
        <w:rPr>
          <w:sz w:val="18"/>
        </w:rPr>
        <w:t>Determination</w:t>
      </w:r>
      <w:r>
        <w:rPr>
          <w:spacing w:val="-7"/>
          <w:sz w:val="18"/>
        </w:rPr>
        <w:t xml:space="preserve"> </w:t>
      </w:r>
      <w:r>
        <w:rPr>
          <w:sz w:val="18"/>
        </w:rPr>
        <w:t>(Exhibit</w:t>
      </w:r>
      <w:r>
        <w:rPr>
          <w:spacing w:val="-7"/>
          <w:sz w:val="18"/>
        </w:rPr>
        <w:t xml:space="preserve"> </w:t>
      </w:r>
      <w:r>
        <w:rPr>
          <w:spacing w:val="-2"/>
          <w:sz w:val="18"/>
        </w:rPr>
        <w:t>AUS‐2).</w:t>
      </w:r>
    </w:p>
    <w:p w14:paraId="51DE7C48" w14:textId="77777777" w:rsidR="0010369C" w:rsidRDefault="008E43AE">
      <w:pPr>
        <w:ind w:left="238"/>
        <w:rPr>
          <w:sz w:val="18"/>
        </w:rPr>
      </w:pPr>
      <w:r>
        <w:rPr>
          <w:sz w:val="18"/>
          <w:vertAlign w:val="superscript"/>
        </w:rPr>
        <w:t>10</w:t>
      </w:r>
      <w:r>
        <w:rPr>
          <w:spacing w:val="-10"/>
          <w:sz w:val="18"/>
        </w:rPr>
        <w:t xml:space="preserve"> </w:t>
      </w:r>
      <w:r>
        <w:rPr>
          <w:sz w:val="18"/>
        </w:rPr>
        <w:t>See</w:t>
      </w:r>
      <w:r>
        <w:rPr>
          <w:spacing w:val="-10"/>
          <w:sz w:val="18"/>
        </w:rPr>
        <w:t xml:space="preserve"> </w:t>
      </w:r>
      <w:r>
        <w:rPr>
          <w:sz w:val="18"/>
        </w:rPr>
        <w:t>Anti‐Dumping</w:t>
      </w:r>
      <w:r>
        <w:rPr>
          <w:spacing w:val="-10"/>
          <w:sz w:val="18"/>
        </w:rPr>
        <w:t xml:space="preserve"> </w:t>
      </w:r>
      <w:r>
        <w:rPr>
          <w:sz w:val="18"/>
        </w:rPr>
        <w:t>Questionnaire</w:t>
      </w:r>
      <w:r>
        <w:rPr>
          <w:spacing w:val="-10"/>
          <w:sz w:val="18"/>
        </w:rPr>
        <w:t xml:space="preserve"> </w:t>
      </w:r>
      <w:r>
        <w:rPr>
          <w:sz w:val="18"/>
        </w:rPr>
        <w:t>(Exhibit</w:t>
      </w:r>
      <w:r>
        <w:rPr>
          <w:spacing w:val="-10"/>
          <w:sz w:val="18"/>
        </w:rPr>
        <w:t xml:space="preserve"> </w:t>
      </w:r>
      <w:r>
        <w:rPr>
          <w:spacing w:val="-2"/>
          <w:sz w:val="18"/>
        </w:rPr>
        <w:t>AUS‐3).</w:t>
      </w:r>
    </w:p>
    <w:p w14:paraId="51DE7C49" w14:textId="77777777" w:rsidR="0010369C" w:rsidRDefault="008E43AE">
      <w:pPr>
        <w:ind w:left="238"/>
        <w:rPr>
          <w:sz w:val="18"/>
        </w:rPr>
      </w:pPr>
      <w:r>
        <w:rPr>
          <w:sz w:val="18"/>
          <w:vertAlign w:val="superscript"/>
        </w:rPr>
        <w:t>11</w:t>
      </w:r>
      <w:r>
        <w:rPr>
          <w:spacing w:val="-7"/>
          <w:sz w:val="18"/>
        </w:rPr>
        <w:t xml:space="preserve"> </w:t>
      </w:r>
      <w:r>
        <w:rPr>
          <w:sz w:val="18"/>
        </w:rPr>
        <w:t>Anti‐Dumping</w:t>
      </w:r>
      <w:r>
        <w:rPr>
          <w:spacing w:val="-7"/>
          <w:sz w:val="18"/>
        </w:rPr>
        <w:t xml:space="preserve"> </w:t>
      </w:r>
      <w:r>
        <w:rPr>
          <w:sz w:val="18"/>
        </w:rPr>
        <w:t>Agreement,</w:t>
      </w:r>
      <w:r>
        <w:rPr>
          <w:spacing w:val="-8"/>
          <w:sz w:val="18"/>
        </w:rPr>
        <w:t xml:space="preserve"> </w:t>
      </w:r>
      <w:r>
        <w:rPr>
          <w:sz w:val="18"/>
        </w:rPr>
        <w:t>Article</w:t>
      </w:r>
      <w:r>
        <w:rPr>
          <w:spacing w:val="-7"/>
          <w:sz w:val="18"/>
        </w:rPr>
        <w:t xml:space="preserve"> </w:t>
      </w:r>
      <w:r>
        <w:rPr>
          <w:sz w:val="18"/>
        </w:rPr>
        <w:t>6.1.1</w:t>
      </w:r>
      <w:r>
        <w:rPr>
          <w:spacing w:val="-7"/>
          <w:sz w:val="18"/>
        </w:rPr>
        <w:t xml:space="preserve"> </w:t>
      </w:r>
      <w:r>
        <w:rPr>
          <w:sz w:val="18"/>
        </w:rPr>
        <w:t>and</w:t>
      </w:r>
      <w:r>
        <w:rPr>
          <w:spacing w:val="-8"/>
          <w:sz w:val="18"/>
        </w:rPr>
        <w:t xml:space="preserve"> </w:t>
      </w:r>
      <w:r>
        <w:rPr>
          <w:sz w:val="18"/>
        </w:rPr>
        <w:t>footnote</w:t>
      </w:r>
      <w:r>
        <w:rPr>
          <w:spacing w:val="-6"/>
          <w:sz w:val="18"/>
        </w:rPr>
        <w:t xml:space="preserve"> </w:t>
      </w:r>
      <w:r>
        <w:rPr>
          <w:spacing w:val="-5"/>
          <w:sz w:val="18"/>
        </w:rPr>
        <w:t>15.</w:t>
      </w:r>
    </w:p>
    <w:p w14:paraId="51DE7C4A" w14:textId="77777777" w:rsidR="0010369C" w:rsidRDefault="0010369C">
      <w:pPr>
        <w:rPr>
          <w:sz w:val="18"/>
        </w:rPr>
        <w:sectPr w:rsidR="0010369C">
          <w:pgSz w:w="11910" w:h="16840"/>
          <w:pgMar w:top="880" w:right="1220" w:bottom="980" w:left="1180" w:header="569" w:footer="788" w:gutter="0"/>
          <w:cols w:space="720"/>
        </w:sectPr>
      </w:pPr>
    </w:p>
    <w:p w14:paraId="51DE7C4B" w14:textId="77777777" w:rsidR="0010369C" w:rsidRDefault="008E43AE">
      <w:pPr>
        <w:tabs>
          <w:tab w:val="left" w:pos="6425"/>
        </w:tabs>
        <w:ind w:left="238"/>
        <w:rPr>
          <w:sz w:val="20"/>
        </w:rPr>
      </w:pPr>
      <w:r>
        <w:rPr>
          <w:i/>
          <w:sz w:val="20"/>
        </w:rPr>
        <w:lastRenderedPageBreak/>
        <w:t>China</w:t>
      </w:r>
      <w:r>
        <w:rPr>
          <w:i/>
          <w:spacing w:val="-5"/>
          <w:sz w:val="20"/>
        </w:rPr>
        <w:t xml:space="preserve"> </w:t>
      </w:r>
      <w:r>
        <w:rPr>
          <w:i/>
          <w:sz w:val="20"/>
        </w:rPr>
        <w:t>–</w:t>
      </w:r>
      <w:r>
        <w:rPr>
          <w:i/>
          <w:spacing w:val="-5"/>
          <w:sz w:val="20"/>
        </w:rPr>
        <w:t xml:space="preserve"> </w:t>
      </w:r>
      <w:r>
        <w:rPr>
          <w:i/>
          <w:sz w:val="20"/>
        </w:rPr>
        <w:t>Anti‐Dumping</w:t>
      </w:r>
      <w:r>
        <w:rPr>
          <w:i/>
          <w:spacing w:val="-4"/>
          <w:sz w:val="20"/>
        </w:rPr>
        <w:t xml:space="preserve"> </w:t>
      </w:r>
      <w:r>
        <w:rPr>
          <w:i/>
          <w:sz w:val="20"/>
        </w:rPr>
        <w:t>and</w:t>
      </w:r>
      <w:r>
        <w:rPr>
          <w:i/>
          <w:spacing w:val="-5"/>
          <w:sz w:val="20"/>
        </w:rPr>
        <w:t xml:space="preserve"> </w:t>
      </w:r>
      <w:r>
        <w:rPr>
          <w:i/>
          <w:sz w:val="20"/>
        </w:rPr>
        <w:t>Countervailing</w:t>
      </w:r>
      <w:r>
        <w:rPr>
          <w:i/>
          <w:spacing w:val="-5"/>
          <w:sz w:val="20"/>
        </w:rPr>
        <w:t xml:space="preserve"> </w:t>
      </w:r>
      <w:r>
        <w:rPr>
          <w:i/>
          <w:sz w:val="20"/>
        </w:rPr>
        <w:t>Duty</w:t>
      </w:r>
      <w:r>
        <w:rPr>
          <w:i/>
          <w:spacing w:val="-4"/>
          <w:sz w:val="20"/>
        </w:rPr>
        <w:t xml:space="preserve"> </w:t>
      </w:r>
      <w:r>
        <w:rPr>
          <w:i/>
          <w:spacing w:val="-2"/>
          <w:sz w:val="20"/>
        </w:rPr>
        <w:t>Measures</w:t>
      </w:r>
      <w:r>
        <w:rPr>
          <w:i/>
          <w:sz w:val="20"/>
        </w:rPr>
        <w:tab/>
      </w:r>
      <w:r>
        <w:rPr>
          <w:sz w:val="20"/>
        </w:rPr>
        <w:t>Australia's</w:t>
      </w:r>
      <w:r>
        <w:rPr>
          <w:spacing w:val="-7"/>
          <w:sz w:val="20"/>
        </w:rPr>
        <w:t xml:space="preserve"> </w:t>
      </w:r>
      <w:r>
        <w:rPr>
          <w:sz w:val="20"/>
        </w:rPr>
        <w:t>First</w:t>
      </w:r>
      <w:r>
        <w:rPr>
          <w:spacing w:val="-2"/>
          <w:sz w:val="20"/>
        </w:rPr>
        <w:t xml:space="preserve"> </w:t>
      </w:r>
      <w:r>
        <w:rPr>
          <w:sz w:val="20"/>
        </w:rPr>
        <w:t>Written</w:t>
      </w:r>
      <w:r>
        <w:rPr>
          <w:spacing w:val="-2"/>
          <w:sz w:val="20"/>
        </w:rPr>
        <w:t xml:space="preserve"> Submission</w:t>
      </w:r>
    </w:p>
    <w:p w14:paraId="51DE7C4C" w14:textId="77777777" w:rsidR="0010369C" w:rsidRDefault="008E43AE">
      <w:pPr>
        <w:tabs>
          <w:tab w:val="left" w:pos="8227"/>
        </w:tabs>
        <w:spacing w:before="1"/>
        <w:ind w:left="239"/>
        <w:rPr>
          <w:sz w:val="20"/>
        </w:rPr>
      </w:pPr>
      <w:r>
        <w:rPr>
          <w:i/>
          <w:sz w:val="20"/>
        </w:rPr>
        <w:t>on</w:t>
      </w:r>
      <w:r>
        <w:rPr>
          <w:i/>
          <w:spacing w:val="-1"/>
          <w:sz w:val="20"/>
        </w:rPr>
        <w:t xml:space="preserve"> </w:t>
      </w:r>
      <w:r>
        <w:rPr>
          <w:i/>
          <w:sz w:val="20"/>
        </w:rPr>
        <w:t>Wine</w:t>
      </w:r>
      <w:r>
        <w:rPr>
          <w:i/>
          <w:spacing w:val="-1"/>
          <w:sz w:val="20"/>
        </w:rPr>
        <w:t xml:space="preserve"> </w:t>
      </w:r>
      <w:r>
        <w:rPr>
          <w:i/>
          <w:sz w:val="20"/>
        </w:rPr>
        <w:t>from</w:t>
      </w:r>
      <w:r>
        <w:rPr>
          <w:i/>
          <w:spacing w:val="-3"/>
          <w:sz w:val="20"/>
        </w:rPr>
        <w:t xml:space="preserve"> </w:t>
      </w:r>
      <w:r>
        <w:rPr>
          <w:i/>
          <w:sz w:val="20"/>
        </w:rPr>
        <w:t>Australia</w:t>
      </w:r>
      <w:r>
        <w:rPr>
          <w:i/>
          <w:spacing w:val="-1"/>
          <w:sz w:val="20"/>
        </w:rPr>
        <w:t xml:space="preserve"> </w:t>
      </w:r>
      <w:r>
        <w:rPr>
          <w:spacing w:val="-2"/>
          <w:sz w:val="20"/>
        </w:rPr>
        <w:t>(DS602)</w:t>
      </w:r>
      <w:r>
        <w:rPr>
          <w:sz w:val="20"/>
        </w:rPr>
        <w:tab/>
        <w:t>29</w:t>
      </w:r>
      <w:r>
        <w:rPr>
          <w:spacing w:val="-1"/>
          <w:sz w:val="20"/>
        </w:rPr>
        <w:t xml:space="preserve"> </w:t>
      </w:r>
      <w:r>
        <w:rPr>
          <w:sz w:val="20"/>
        </w:rPr>
        <w:t>April</w:t>
      </w:r>
      <w:r>
        <w:rPr>
          <w:spacing w:val="-2"/>
          <w:sz w:val="20"/>
        </w:rPr>
        <w:t xml:space="preserve"> </w:t>
      </w:r>
      <w:r>
        <w:rPr>
          <w:spacing w:val="-4"/>
          <w:sz w:val="20"/>
        </w:rPr>
        <w:t>2022</w:t>
      </w:r>
    </w:p>
    <w:p w14:paraId="51DE7C4D" w14:textId="77777777" w:rsidR="0010369C" w:rsidRDefault="008E43AE">
      <w:pPr>
        <w:pStyle w:val="Heading4"/>
        <w:numPr>
          <w:ilvl w:val="2"/>
          <w:numId w:val="75"/>
        </w:numPr>
        <w:tabs>
          <w:tab w:val="left" w:pos="2649"/>
          <w:tab w:val="left" w:pos="2650"/>
        </w:tabs>
        <w:spacing w:before="35"/>
        <w:ind w:left="2649" w:hanging="852"/>
      </w:pPr>
      <w:bookmarkStart w:id="13" w:name="_TOC_250016"/>
      <w:r>
        <w:t>Comments</w:t>
      </w:r>
      <w:r>
        <w:rPr>
          <w:spacing w:val="-14"/>
        </w:rPr>
        <w:t xml:space="preserve"> </w:t>
      </w:r>
      <w:r>
        <w:t>on</w:t>
      </w:r>
      <w:r>
        <w:rPr>
          <w:spacing w:val="-14"/>
        </w:rPr>
        <w:t xml:space="preserve"> </w:t>
      </w:r>
      <w:r>
        <w:t>the</w:t>
      </w:r>
      <w:r>
        <w:rPr>
          <w:spacing w:val="-13"/>
        </w:rPr>
        <w:t xml:space="preserve"> </w:t>
      </w:r>
      <w:r>
        <w:t>Anti‐Dumping</w:t>
      </w:r>
      <w:r>
        <w:rPr>
          <w:spacing w:val="-13"/>
        </w:rPr>
        <w:t xml:space="preserve"> </w:t>
      </w:r>
      <w:r>
        <w:t>Preliminary</w:t>
      </w:r>
      <w:r>
        <w:rPr>
          <w:spacing w:val="-13"/>
        </w:rPr>
        <w:t xml:space="preserve"> </w:t>
      </w:r>
      <w:bookmarkEnd w:id="13"/>
      <w:r>
        <w:rPr>
          <w:spacing w:val="-2"/>
        </w:rPr>
        <w:t>Determination</w:t>
      </w:r>
    </w:p>
    <w:p w14:paraId="51DE7C4E" w14:textId="77777777" w:rsidR="0010369C" w:rsidRDefault="0010369C">
      <w:pPr>
        <w:pStyle w:val="BodyText"/>
        <w:spacing w:before="9"/>
        <w:rPr>
          <w:b/>
          <w:sz w:val="20"/>
        </w:rPr>
      </w:pPr>
    </w:p>
    <w:p w14:paraId="51DE7C4F" w14:textId="77777777" w:rsidR="0010369C" w:rsidRDefault="008E43AE">
      <w:pPr>
        <w:pStyle w:val="BodyText"/>
        <w:spacing w:before="52" w:line="360" w:lineRule="auto"/>
        <w:ind w:left="237" w:right="193" w:firstLine="851"/>
        <w:jc w:val="both"/>
      </w:pPr>
      <w:r>
        <w:rPr>
          <w:noProof/>
        </w:rPr>
        <w:drawing>
          <wp:anchor distT="0" distB="0" distL="0" distR="0" simplePos="0" relativeHeight="250731008" behindDoc="1" locked="0" layoutInCell="1" allowOverlap="1" wp14:anchorId="51DE9D4F" wp14:editId="51DE9D50">
            <wp:simplePos x="0" y="0"/>
            <wp:positionH relativeFrom="page">
              <wp:posOffset>905255</wp:posOffset>
            </wp:positionH>
            <wp:positionV relativeFrom="paragraph">
              <wp:posOffset>81357</wp:posOffset>
            </wp:positionV>
            <wp:extent cx="179831" cy="103631"/>
            <wp:effectExtent l="0" t="0" r="0" b="0"/>
            <wp:wrapNone/>
            <wp:docPr id="61"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4.png"/>
                    <pic:cNvPicPr/>
                  </pic:nvPicPr>
                  <pic:blipFill>
                    <a:blip r:embed="rId63" cstate="print"/>
                    <a:stretch>
                      <a:fillRect/>
                    </a:stretch>
                  </pic:blipFill>
                  <pic:spPr>
                    <a:xfrm>
                      <a:off x="0" y="0"/>
                      <a:ext cx="179831" cy="103631"/>
                    </a:xfrm>
                    <a:prstGeom prst="rect">
                      <a:avLst/>
                    </a:prstGeom>
                  </pic:spPr>
                </pic:pic>
              </a:graphicData>
            </a:graphic>
          </wp:anchor>
        </w:drawing>
      </w:r>
      <w:r>
        <w:t>MOFCOM provided interested parties 10</w:t>
      </w:r>
      <w:r>
        <w:rPr>
          <w:spacing w:val="-3"/>
        </w:rPr>
        <w:t xml:space="preserve"> </w:t>
      </w:r>
      <w:r>
        <w:t>days to submit written comments on the Preliminary Determination. Detailed comments were submitted by the sampled companies, the Government of Australia and othe</w:t>
      </w:r>
      <w:r>
        <w:t>r interested parties. Among other things, the sampled companies responded to the alleged deficiencies in their Anti‐Dumping Questionnaire responses including by submitting additional information in response to the allegations</w:t>
      </w:r>
    </w:p>
    <w:p w14:paraId="51DE7C50" w14:textId="77777777" w:rsidR="0010369C" w:rsidRDefault="008E43AE">
      <w:pPr>
        <w:pStyle w:val="Heading4"/>
        <w:numPr>
          <w:ilvl w:val="2"/>
          <w:numId w:val="75"/>
        </w:numPr>
        <w:tabs>
          <w:tab w:val="left" w:pos="2648"/>
          <w:tab w:val="left" w:pos="2650"/>
        </w:tabs>
        <w:spacing w:before="162"/>
        <w:ind w:left="2649" w:hanging="852"/>
        <w:jc w:val="both"/>
      </w:pPr>
      <w:bookmarkStart w:id="14" w:name="_TOC_250015"/>
      <w:r>
        <w:rPr>
          <w:w w:val="95"/>
        </w:rPr>
        <w:t>Supplementary</w:t>
      </w:r>
      <w:r>
        <w:rPr>
          <w:spacing w:val="60"/>
        </w:rPr>
        <w:t xml:space="preserve"> </w:t>
      </w:r>
      <w:bookmarkEnd w:id="14"/>
      <w:r>
        <w:rPr>
          <w:spacing w:val="-2"/>
          <w:w w:val="95"/>
        </w:rPr>
        <w:t>Questionnaire</w:t>
      </w:r>
    </w:p>
    <w:p w14:paraId="51DE7C51" w14:textId="77777777" w:rsidR="0010369C" w:rsidRDefault="0010369C">
      <w:pPr>
        <w:pStyle w:val="BodyText"/>
        <w:spacing w:before="9"/>
        <w:rPr>
          <w:b/>
          <w:sz w:val="20"/>
        </w:rPr>
      </w:pPr>
    </w:p>
    <w:p w14:paraId="51DE7C52" w14:textId="77777777" w:rsidR="0010369C" w:rsidRDefault="008E43AE">
      <w:pPr>
        <w:pStyle w:val="BodyText"/>
        <w:spacing w:before="51" w:line="360" w:lineRule="auto"/>
        <w:ind w:left="237" w:right="193" w:firstLine="851"/>
        <w:jc w:val="both"/>
      </w:pPr>
      <w:r>
        <w:rPr>
          <w:noProof/>
        </w:rPr>
        <w:drawing>
          <wp:anchor distT="0" distB="0" distL="0" distR="0" simplePos="0" relativeHeight="250732032" behindDoc="1" locked="0" layoutInCell="1" allowOverlap="1" wp14:anchorId="51DE9D51" wp14:editId="51DE9D52">
            <wp:simplePos x="0" y="0"/>
            <wp:positionH relativeFrom="page">
              <wp:posOffset>905255</wp:posOffset>
            </wp:positionH>
            <wp:positionV relativeFrom="paragraph">
              <wp:posOffset>80722</wp:posOffset>
            </wp:positionV>
            <wp:extent cx="179831" cy="103631"/>
            <wp:effectExtent l="0" t="0" r="0" b="0"/>
            <wp:wrapNone/>
            <wp:docPr id="63"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5.png"/>
                    <pic:cNvPicPr/>
                  </pic:nvPicPr>
                  <pic:blipFill>
                    <a:blip r:embed="rId64" cstate="print"/>
                    <a:stretch>
                      <a:fillRect/>
                    </a:stretch>
                  </pic:blipFill>
                  <pic:spPr>
                    <a:xfrm>
                      <a:off x="0" y="0"/>
                      <a:ext cx="179831" cy="103631"/>
                    </a:xfrm>
                    <a:prstGeom prst="rect">
                      <a:avLst/>
                    </a:prstGeom>
                  </pic:spPr>
                </pic:pic>
              </a:graphicData>
            </a:graphic>
          </wp:anchor>
        </w:drawing>
      </w:r>
      <w:r>
        <w:t>A</w:t>
      </w:r>
      <w:r>
        <w:rPr>
          <w:spacing w:val="60"/>
        </w:rPr>
        <w:t xml:space="preserve">  </w:t>
      </w:r>
      <w:r>
        <w:t>Supplementary</w:t>
      </w:r>
      <w:r>
        <w:rPr>
          <w:spacing w:val="61"/>
        </w:rPr>
        <w:t xml:space="preserve">  </w:t>
      </w:r>
      <w:r>
        <w:t>Questionnaire</w:t>
      </w:r>
      <w:r>
        <w:rPr>
          <w:spacing w:val="59"/>
        </w:rPr>
        <w:t xml:space="preserve">  </w:t>
      </w:r>
      <w:r>
        <w:t>was</w:t>
      </w:r>
      <w:r>
        <w:rPr>
          <w:spacing w:val="60"/>
        </w:rPr>
        <w:t xml:space="preserve">  </w:t>
      </w:r>
      <w:r>
        <w:t>issued</w:t>
      </w:r>
      <w:r>
        <w:rPr>
          <w:spacing w:val="60"/>
        </w:rPr>
        <w:t xml:space="preserve">  </w:t>
      </w:r>
      <w:r>
        <w:t>to</w:t>
      </w:r>
      <w:r>
        <w:rPr>
          <w:spacing w:val="60"/>
        </w:rPr>
        <w:t xml:space="preserve">  </w:t>
      </w:r>
      <w:r>
        <w:t>sampled</w:t>
      </w:r>
      <w:r>
        <w:rPr>
          <w:spacing w:val="60"/>
        </w:rPr>
        <w:t xml:space="preserve">  </w:t>
      </w:r>
      <w:r>
        <w:t>companies</w:t>
      </w:r>
      <w:r>
        <w:rPr>
          <w:spacing w:val="60"/>
        </w:rPr>
        <w:t xml:space="preserve">  </w:t>
      </w:r>
      <w:r>
        <w:t>on 1</w:t>
      </w:r>
      <w:r>
        <w:rPr>
          <w:spacing w:val="-3"/>
        </w:rPr>
        <w:t xml:space="preserve"> </w:t>
      </w:r>
      <w:r>
        <w:t>February</w:t>
      </w:r>
      <w:r>
        <w:rPr>
          <w:spacing w:val="-1"/>
        </w:rPr>
        <w:t xml:space="preserve"> </w:t>
      </w:r>
      <w:r>
        <w:t>2021. MOFCOM allowed the sampled companies only four days to respond, with a</w:t>
      </w:r>
      <w:r>
        <w:rPr>
          <w:spacing w:val="40"/>
        </w:rPr>
        <w:t xml:space="preserve"> </w:t>
      </w:r>
      <w:r>
        <w:t>deadline</w:t>
      </w:r>
      <w:r>
        <w:rPr>
          <w:spacing w:val="40"/>
        </w:rPr>
        <w:t xml:space="preserve"> </w:t>
      </w:r>
      <w:r>
        <w:t>of</w:t>
      </w:r>
      <w:r>
        <w:rPr>
          <w:spacing w:val="40"/>
        </w:rPr>
        <w:t xml:space="preserve"> </w:t>
      </w:r>
      <w:r>
        <w:t>5</w:t>
      </w:r>
      <w:r>
        <w:rPr>
          <w:spacing w:val="-2"/>
        </w:rPr>
        <w:t xml:space="preserve"> </w:t>
      </w:r>
      <w:r>
        <w:t>February 2021.</w:t>
      </w:r>
      <w:r>
        <w:rPr>
          <w:spacing w:val="40"/>
        </w:rPr>
        <w:t xml:space="preserve"> </w:t>
      </w:r>
      <w:r>
        <w:t>While</w:t>
      </w:r>
      <w:r>
        <w:rPr>
          <w:spacing w:val="40"/>
        </w:rPr>
        <w:t xml:space="preserve"> </w:t>
      </w:r>
      <w:r>
        <w:t>Swan</w:t>
      </w:r>
      <w:r>
        <w:rPr>
          <w:spacing w:val="40"/>
        </w:rPr>
        <w:t xml:space="preserve"> </w:t>
      </w:r>
      <w:r>
        <w:t>Vintage</w:t>
      </w:r>
      <w:r>
        <w:rPr>
          <w:spacing w:val="40"/>
        </w:rPr>
        <w:t xml:space="preserve"> </w:t>
      </w:r>
      <w:r>
        <w:t>was</w:t>
      </w:r>
      <w:r>
        <w:rPr>
          <w:spacing w:val="40"/>
        </w:rPr>
        <w:t xml:space="preserve"> </w:t>
      </w:r>
      <w:r>
        <w:t>granted</w:t>
      </w:r>
      <w:r>
        <w:rPr>
          <w:spacing w:val="40"/>
        </w:rPr>
        <w:t xml:space="preserve"> </w:t>
      </w:r>
      <w:r>
        <w:t>a</w:t>
      </w:r>
      <w:r>
        <w:rPr>
          <w:spacing w:val="40"/>
        </w:rPr>
        <w:t xml:space="preserve"> </w:t>
      </w:r>
      <w:r>
        <w:t>four‐day</w:t>
      </w:r>
      <w:r>
        <w:rPr>
          <w:spacing w:val="40"/>
        </w:rPr>
        <w:t xml:space="preserve"> </w:t>
      </w:r>
      <w:r>
        <w:t>extension</w:t>
      </w:r>
      <w:r>
        <w:rPr>
          <w:spacing w:val="40"/>
        </w:rPr>
        <w:t xml:space="preserve"> </w:t>
      </w:r>
      <w:r>
        <w:t>to 9</w:t>
      </w:r>
      <w:r>
        <w:rPr>
          <w:spacing w:val="-3"/>
        </w:rPr>
        <w:t xml:space="preserve"> </w:t>
      </w:r>
      <w:r>
        <w:t>February</w:t>
      </w:r>
      <w:r>
        <w:rPr>
          <w:spacing w:val="-1"/>
        </w:rPr>
        <w:t xml:space="preserve"> </w:t>
      </w:r>
      <w:r>
        <w:t>2021, the imposition of such short time periods to submit responses once again denied interested parties the full opportunity for the defence of their interests.</w:t>
      </w:r>
    </w:p>
    <w:p w14:paraId="51DE7C53" w14:textId="77777777" w:rsidR="0010369C" w:rsidRDefault="0010369C">
      <w:pPr>
        <w:pStyle w:val="BodyText"/>
        <w:rPr>
          <w:sz w:val="9"/>
        </w:rPr>
      </w:pPr>
    </w:p>
    <w:p w14:paraId="51DE7C54" w14:textId="77777777" w:rsidR="0010369C" w:rsidRDefault="008E43AE">
      <w:pPr>
        <w:pStyle w:val="BodyText"/>
        <w:spacing w:before="51" w:line="360" w:lineRule="auto"/>
        <w:ind w:left="237" w:right="194" w:firstLine="852"/>
        <w:jc w:val="both"/>
      </w:pPr>
      <w:r>
        <w:rPr>
          <w:noProof/>
        </w:rPr>
        <w:drawing>
          <wp:anchor distT="0" distB="0" distL="0" distR="0" simplePos="0" relativeHeight="250733056" behindDoc="1" locked="0" layoutInCell="1" allowOverlap="1" wp14:anchorId="51DE9D53" wp14:editId="51DE9D54">
            <wp:simplePos x="0" y="0"/>
            <wp:positionH relativeFrom="page">
              <wp:posOffset>905255</wp:posOffset>
            </wp:positionH>
            <wp:positionV relativeFrom="paragraph">
              <wp:posOffset>79960</wp:posOffset>
            </wp:positionV>
            <wp:extent cx="179831" cy="103631"/>
            <wp:effectExtent l="0" t="0" r="0" b="0"/>
            <wp:wrapNone/>
            <wp:docPr id="65"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6.png"/>
                    <pic:cNvPicPr/>
                  </pic:nvPicPr>
                  <pic:blipFill>
                    <a:blip r:embed="rId65" cstate="print"/>
                    <a:stretch>
                      <a:fillRect/>
                    </a:stretch>
                  </pic:blipFill>
                  <pic:spPr>
                    <a:xfrm>
                      <a:off x="0" y="0"/>
                      <a:ext cx="179831" cy="103631"/>
                    </a:xfrm>
                    <a:prstGeom prst="rect">
                      <a:avLst/>
                    </a:prstGeom>
                  </pic:spPr>
                </pic:pic>
              </a:graphicData>
            </a:graphic>
          </wp:anchor>
        </w:drawing>
      </w:r>
      <w:r>
        <w:t>Each sampled company provided extensive and detailed responses to th</w:t>
      </w:r>
      <w:r>
        <w:t>e Anti‐Dumping Questionnaire and Supplementary Questionnaire. This included a significant volume of granular transaction level data that included all necessary information to enable MOFCOM to ascertain the normal value of the product under investigation.</w:t>
      </w:r>
    </w:p>
    <w:p w14:paraId="51DE7C55" w14:textId="77777777" w:rsidR="0010369C" w:rsidRDefault="008E43AE">
      <w:pPr>
        <w:pStyle w:val="Heading4"/>
        <w:numPr>
          <w:ilvl w:val="2"/>
          <w:numId w:val="75"/>
        </w:numPr>
        <w:tabs>
          <w:tab w:val="left" w:pos="2647"/>
          <w:tab w:val="left" w:pos="2648"/>
        </w:tabs>
        <w:ind w:left="2647" w:hanging="852"/>
        <w:jc w:val="both"/>
      </w:pPr>
      <w:bookmarkStart w:id="15" w:name="_TOC_250014"/>
      <w:r>
        <w:t>A</w:t>
      </w:r>
      <w:r>
        <w:t>nti‐Dumping</w:t>
      </w:r>
      <w:r>
        <w:rPr>
          <w:spacing w:val="-13"/>
        </w:rPr>
        <w:t xml:space="preserve"> </w:t>
      </w:r>
      <w:r>
        <w:t>Final</w:t>
      </w:r>
      <w:r>
        <w:rPr>
          <w:spacing w:val="-13"/>
        </w:rPr>
        <w:t xml:space="preserve"> </w:t>
      </w:r>
      <w:bookmarkEnd w:id="15"/>
      <w:r>
        <w:rPr>
          <w:spacing w:val="-2"/>
        </w:rPr>
        <w:t>Disclosure</w:t>
      </w:r>
    </w:p>
    <w:p w14:paraId="51DE7C56" w14:textId="77777777" w:rsidR="0010369C" w:rsidRDefault="0010369C">
      <w:pPr>
        <w:pStyle w:val="BodyText"/>
        <w:spacing w:before="9"/>
        <w:rPr>
          <w:b/>
          <w:sz w:val="20"/>
        </w:rPr>
      </w:pPr>
    </w:p>
    <w:p w14:paraId="51DE7C57" w14:textId="77777777" w:rsidR="0010369C" w:rsidRDefault="008E43AE">
      <w:pPr>
        <w:pStyle w:val="BodyText"/>
        <w:spacing w:before="52" w:line="360" w:lineRule="auto"/>
        <w:ind w:left="236" w:right="193" w:firstLine="852"/>
        <w:jc w:val="both"/>
      </w:pPr>
      <w:r>
        <w:rPr>
          <w:noProof/>
        </w:rPr>
        <w:drawing>
          <wp:anchor distT="0" distB="0" distL="0" distR="0" simplePos="0" relativeHeight="250734080" behindDoc="1" locked="0" layoutInCell="1" allowOverlap="1" wp14:anchorId="51DE9D55" wp14:editId="51DE9D56">
            <wp:simplePos x="0" y="0"/>
            <wp:positionH relativeFrom="page">
              <wp:posOffset>905255</wp:posOffset>
            </wp:positionH>
            <wp:positionV relativeFrom="paragraph">
              <wp:posOffset>76786</wp:posOffset>
            </wp:positionV>
            <wp:extent cx="179831" cy="106679"/>
            <wp:effectExtent l="0" t="0" r="0" b="0"/>
            <wp:wrapNone/>
            <wp:docPr id="67"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7.png"/>
                    <pic:cNvPicPr/>
                  </pic:nvPicPr>
                  <pic:blipFill>
                    <a:blip r:embed="rId66" cstate="print"/>
                    <a:stretch>
                      <a:fillRect/>
                    </a:stretch>
                  </pic:blipFill>
                  <pic:spPr>
                    <a:xfrm>
                      <a:off x="0" y="0"/>
                      <a:ext cx="179831" cy="106679"/>
                    </a:xfrm>
                    <a:prstGeom prst="rect">
                      <a:avLst/>
                    </a:prstGeom>
                  </pic:spPr>
                </pic:pic>
              </a:graphicData>
            </a:graphic>
          </wp:anchor>
        </w:drawing>
      </w:r>
      <w:r>
        <w:t>An incomplete Anti‐Dumping Final Disclosure was issued on 12</w:t>
      </w:r>
      <w:r>
        <w:rPr>
          <w:spacing w:val="-3"/>
        </w:rPr>
        <w:t xml:space="preserve"> </w:t>
      </w:r>
      <w:r>
        <w:t>March</w:t>
      </w:r>
      <w:r>
        <w:rPr>
          <w:spacing w:val="-3"/>
        </w:rPr>
        <w:t xml:space="preserve"> </w:t>
      </w:r>
      <w:r>
        <w:t>2021. Only upon request by the Australian Government did MOFCOM release further elements of the Final Disclosure on 17</w:t>
      </w:r>
      <w:r>
        <w:rPr>
          <w:spacing w:val="-1"/>
        </w:rPr>
        <w:t xml:space="preserve"> </w:t>
      </w:r>
      <w:r>
        <w:t>March</w:t>
      </w:r>
      <w:r>
        <w:rPr>
          <w:spacing w:val="-2"/>
        </w:rPr>
        <w:t xml:space="preserve"> </w:t>
      </w:r>
      <w:r>
        <w:t xml:space="preserve">2022. MOFCOM's disclosure of the </w:t>
      </w:r>
      <w:r>
        <w:t>methodology it had employed was entirely inadequate, leaving the parties to speculate on the "facts available" MOFCOM had in fact chosen to rely upon in lieu of the actual data submitted. Even to the extent MOFCOM did set out its approach in the Final Disc</w:t>
      </w:r>
      <w:r>
        <w:t>losure, it allowed the interested parties only 10</w:t>
      </w:r>
      <w:r>
        <w:rPr>
          <w:spacing w:val="-1"/>
        </w:rPr>
        <w:t xml:space="preserve"> </w:t>
      </w:r>
      <w:r>
        <w:t>business days to respond. The provision of further elements in the Final Disclosure on 17</w:t>
      </w:r>
      <w:r>
        <w:rPr>
          <w:spacing w:val="-2"/>
        </w:rPr>
        <w:t xml:space="preserve"> </w:t>
      </w:r>
      <w:r>
        <w:t>March</w:t>
      </w:r>
      <w:r>
        <w:rPr>
          <w:spacing w:val="-2"/>
        </w:rPr>
        <w:t xml:space="preserve"> </w:t>
      </w:r>
      <w:r>
        <w:t xml:space="preserve">2022 further reduced this period, which was insufficient for the interested parties to defend their interests </w:t>
      </w:r>
      <w:r>
        <w:t xml:space="preserve">given the need to reverse engineer much of MOFCOM's reasoning in order to try to understand the basis for the </w:t>
      </w:r>
      <w:hyperlink r:id="rId67">
        <w:r>
          <w:t>decision.</w:t>
        </w:r>
        <w:r>
          <w:rPr>
            <w:vertAlign w:val="superscript"/>
          </w:rPr>
          <w:t>12</w:t>
        </w:r>
      </w:hyperlink>
    </w:p>
    <w:p w14:paraId="51DE7C58" w14:textId="77777777" w:rsidR="0010369C" w:rsidRDefault="0010369C">
      <w:pPr>
        <w:pStyle w:val="BodyText"/>
        <w:rPr>
          <w:sz w:val="20"/>
        </w:rPr>
      </w:pPr>
    </w:p>
    <w:p w14:paraId="51DE7C59" w14:textId="77777777" w:rsidR="0010369C" w:rsidRDefault="0010369C">
      <w:pPr>
        <w:pStyle w:val="BodyText"/>
        <w:rPr>
          <w:sz w:val="20"/>
        </w:rPr>
      </w:pPr>
    </w:p>
    <w:p w14:paraId="51DE7C5A" w14:textId="77777777" w:rsidR="0010369C" w:rsidRDefault="008E43AE">
      <w:pPr>
        <w:pStyle w:val="BodyText"/>
        <w:spacing w:before="3"/>
        <w:rPr>
          <w:sz w:val="26"/>
        </w:rPr>
      </w:pPr>
      <w:r>
        <w:pict w14:anchorId="51DE9D57">
          <v:rect id="docshape66" o:spid="_x0000_s3192" style="position:absolute;margin-left:70.9pt;margin-top:17.25pt;width:2in;height:.8pt;z-index:-251256320;mso-wrap-distance-left:0;mso-wrap-distance-right:0;mso-position-horizontal-relative:page" fillcolor="black" stroked="f">
            <w10:wrap type="topAndBottom" anchorx="page"/>
          </v:rect>
        </w:pict>
      </w:r>
    </w:p>
    <w:p w14:paraId="51DE7C5B" w14:textId="77777777" w:rsidR="0010369C" w:rsidRDefault="008E43AE">
      <w:pPr>
        <w:spacing w:before="109"/>
        <w:ind w:left="238"/>
        <w:rPr>
          <w:sz w:val="18"/>
        </w:rPr>
      </w:pPr>
      <w:r>
        <w:rPr>
          <w:sz w:val="18"/>
          <w:vertAlign w:val="superscript"/>
        </w:rPr>
        <w:t>12</w:t>
      </w:r>
      <w:r>
        <w:rPr>
          <w:spacing w:val="-6"/>
          <w:sz w:val="18"/>
        </w:rPr>
        <w:t xml:space="preserve"> </w:t>
      </w:r>
      <w:r>
        <w:rPr>
          <w:sz w:val="18"/>
        </w:rPr>
        <w:t>See</w:t>
      </w:r>
      <w:r>
        <w:rPr>
          <w:spacing w:val="-5"/>
          <w:sz w:val="18"/>
        </w:rPr>
        <w:t xml:space="preserve"> </w:t>
      </w:r>
      <w:r>
        <w:rPr>
          <w:sz w:val="18"/>
        </w:rPr>
        <w:t>below,</w:t>
      </w:r>
      <w:r>
        <w:rPr>
          <w:spacing w:val="-5"/>
          <w:sz w:val="18"/>
        </w:rPr>
        <w:t xml:space="preserve"> </w:t>
      </w:r>
      <w:r>
        <w:rPr>
          <w:sz w:val="18"/>
        </w:rPr>
        <w:t>section</w:t>
      </w:r>
      <w:r>
        <w:rPr>
          <w:spacing w:val="-5"/>
          <w:sz w:val="18"/>
        </w:rPr>
        <w:t xml:space="preserve"> </w:t>
      </w:r>
      <w:r>
        <w:rPr>
          <w:spacing w:val="-4"/>
          <w:sz w:val="18"/>
        </w:rPr>
        <w:t>VII.</w:t>
      </w:r>
    </w:p>
    <w:p w14:paraId="51DE7C5C" w14:textId="77777777" w:rsidR="0010369C" w:rsidRDefault="0010369C">
      <w:pPr>
        <w:rPr>
          <w:sz w:val="18"/>
        </w:rPr>
        <w:sectPr w:rsidR="0010369C">
          <w:pgSz w:w="11910" w:h="16840"/>
          <w:pgMar w:top="880" w:right="1220" w:bottom="980" w:left="1180" w:header="569" w:footer="788" w:gutter="0"/>
          <w:cols w:space="720"/>
        </w:sectPr>
      </w:pPr>
    </w:p>
    <w:p w14:paraId="51DE7C5D" w14:textId="77777777" w:rsidR="0010369C" w:rsidRDefault="008E43AE">
      <w:pPr>
        <w:tabs>
          <w:tab w:val="left" w:pos="6425"/>
        </w:tabs>
        <w:ind w:left="238"/>
        <w:rPr>
          <w:sz w:val="20"/>
        </w:rPr>
      </w:pPr>
      <w:r>
        <w:rPr>
          <w:i/>
          <w:sz w:val="20"/>
        </w:rPr>
        <w:lastRenderedPageBreak/>
        <w:t>China</w:t>
      </w:r>
      <w:r>
        <w:rPr>
          <w:i/>
          <w:spacing w:val="-5"/>
          <w:sz w:val="20"/>
        </w:rPr>
        <w:t xml:space="preserve"> </w:t>
      </w:r>
      <w:r>
        <w:rPr>
          <w:i/>
          <w:sz w:val="20"/>
        </w:rPr>
        <w:t>–</w:t>
      </w:r>
      <w:r>
        <w:rPr>
          <w:i/>
          <w:spacing w:val="-5"/>
          <w:sz w:val="20"/>
        </w:rPr>
        <w:t xml:space="preserve"> </w:t>
      </w:r>
      <w:r>
        <w:rPr>
          <w:i/>
          <w:sz w:val="20"/>
        </w:rPr>
        <w:t>Anti‐Dumping</w:t>
      </w:r>
      <w:r>
        <w:rPr>
          <w:i/>
          <w:spacing w:val="-4"/>
          <w:sz w:val="20"/>
        </w:rPr>
        <w:t xml:space="preserve"> </w:t>
      </w:r>
      <w:r>
        <w:rPr>
          <w:i/>
          <w:sz w:val="20"/>
        </w:rPr>
        <w:t>and</w:t>
      </w:r>
      <w:r>
        <w:rPr>
          <w:i/>
          <w:spacing w:val="-5"/>
          <w:sz w:val="20"/>
        </w:rPr>
        <w:t xml:space="preserve"> </w:t>
      </w:r>
      <w:r>
        <w:rPr>
          <w:i/>
          <w:sz w:val="20"/>
        </w:rPr>
        <w:t>Countervailing</w:t>
      </w:r>
      <w:r>
        <w:rPr>
          <w:i/>
          <w:spacing w:val="-5"/>
          <w:sz w:val="20"/>
        </w:rPr>
        <w:t xml:space="preserve"> </w:t>
      </w:r>
      <w:r>
        <w:rPr>
          <w:i/>
          <w:sz w:val="20"/>
        </w:rPr>
        <w:t>Duty</w:t>
      </w:r>
      <w:r>
        <w:rPr>
          <w:i/>
          <w:spacing w:val="-4"/>
          <w:sz w:val="20"/>
        </w:rPr>
        <w:t xml:space="preserve"> </w:t>
      </w:r>
      <w:r>
        <w:rPr>
          <w:i/>
          <w:spacing w:val="-2"/>
          <w:sz w:val="20"/>
        </w:rPr>
        <w:t>Measures</w:t>
      </w:r>
      <w:r>
        <w:rPr>
          <w:i/>
          <w:sz w:val="20"/>
        </w:rPr>
        <w:tab/>
      </w:r>
      <w:r>
        <w:rPr>
          <w:sz w:val="20"/>
        </w:rPr>
        <w:t>Australia's</w:t>
      </w:r>
      <w:r>
        <w:rPr>
          <w:spacing w:val="-7"/>
          <w:sz w:val="20"/>
        </w:rPr>
        <w:t xml:space="preserve"> </w:t>
      </w:r>
      <w:r>
        <w:rPr>
          <w:sz w:val="20"/>
        </w:rPr>
        <w:t>First</w:t>
      </w:r>
      <w:r>
        <w:rPr>
          <w:spacing w:val="-2"/>
          <w:sz w:val="20"/>
        </w:rPr>
        <w:t xml:space="preserve"> </w:t>
      </w:r>
      <w:r>
        <w:rPr>
          <w:sz w:val="20"/>
        </w:rPr>
        <w:t>Written</w:t>
      </w:r>
      <w:r>
        <w:rPr>
          <w:spacing w:val="-2"/>
          <w:sz w:val="20"/>
        </w:rPr>
        <w:t xml:space="preserve"> Submission</w:t>
      </w:r>
    </w:p>
    <w:p w14:paraId="51DE7C5E" w14:textId="77777777" w:rsidR="0010369C" w:rsidRDefault="008E43AE">
      <w:pPr>
        <w:tabs>
          <w:tab w:val="left" w:pos="8227"/>
        </w:tabs>
        <w:spacing w:before="1"/>
        <w:ind w:left="239"/>
        <w:rPr>
          <w:sz w:val="20"/>
        </w:rPr>
      </w:pPr>
      <w:r>
        <w:rPr>
          <w:i/>
          <w:sz w:val="20"/>
        </w:rPr>
        <w:t>on</w:t>
      </w:r>
      <w:r>
        <w:rPr>
          <w:i/>
          <w:spacing w:val="-1"/>
          <w:sz w:val="20"/>
        </w:rPr>
        <w:t xml:space="preserve"> </w:t>
      </w:r>
      <w:r>
        <w:rPr>
          <w:i/>
          <w:sz w:val="20"/>
        </w:rPr>
        <w:t>Wine</w:t>
      </w:r>
      <w:r>
        <w:rPr>
          <w:i/>
          <w:spacing w:val="-1"/>
          <w:sz w:val="20"/>
        </w:rPr>
        <w:t xml:space="preserve"> </w:t>
      </w:r>
      <w:r>
        <w:rPr>
          <w:i/>
          <w:sz w:val="20"/>
        </w:rPr>
        <w:t>from</w:t>
      </w:r>
      <w:r>
        <w:rPr>
          <w:i/>
          <w:spacing w:val="-3"/>
          <w:sz w:val="20"/>
        </w:rPr>
        <w:t xml:space="preserve"> </w:t>
      </w:r>
      <w:r>
        <w:rPr>
          <w:i/>
          <w:sz w:val="20"/>
        </w:rPr>
        <w:t>Australia</w:t>
      </w:r>
      <w:r>
        <w:rPr>
          <w:i/>
          <w:spacing w:val="-1"/>
          <w:sz w:val="20"/>
        </w:rPr>
        <w:t xml:space="preserve"> </w:t>
      </w:r>
      <w:r>
        <w:rPr>
          <w:spacing w:val="-2"/>
          <w:sz w:val="20"/>
        </w:rPr>
        <w:t>(DS602)</w:t>
      </w:r>
      <w:r>
        <w:rPr>
          <w:sz w:val="20"/>
        </w:rPr>
        <w:tab/>
        <w:t>29</w:t>
      </w:r>
      <w:r>
        <w:rPr>
          <w:spacing w:val="-1"/>
          <w:sz w:val="20"/>
        </w:rPr>
        <w:t xml:space="preserve"> </w:t>
      </w:r>
      <w:r>
        <w:rPr>
          <w:sz w:val="20"/>
        </w:rPr>
        <w:t>April</w:t>
      </w:r>
      <w:r>
        <w:rPr>
          <w:spacing w:val="-2"/>
          <w:sz w:val="20"/>
        </w:rPr>
        <w:t xml:space="preserve"> </w:t>
      </w:r>
      <w:r>
        <w:rPr>
          <w:spacing w:val="-4"/>
          <w:sz w:val="20"/>
        </w:rPr>
        <w:t>2022</w:t>
      </w:r>
    </w:p>
    <w:p w14:paraId="51DE7C5F" w14:textId="77777777" w:rsidR="0010369C" w:rsidRDefault="008E43AE">
      <w:pPr>
        <w:pStyle w:val="Heading4"/>
        <w:numPr>
          <w:ilvl w:val="2"/>
          <w:numId w:val="75"/>
        </w:numPr>
        <w:tabs>
          <w:tab w:val="left" w:pos="2649"/>
          <w:tab w:val="left" w:pos="2650"/>
        </w:tabs>
        <w:spacing w:before="35"/>
        <w:ind w:left="2649" w:hanging="852"/>
      </w:pPr>
      <w:bookmarkStart w:id="16" w:name="_TOC_250013"/>
      <w:r>
        <w:t>Anti‐Dumping</w:t>
      </w:r>
      <w:r>
        <w:rPr>
          <w:spacing w:val="-13"/>
        </w:rPr>
        <w:t xml:space="preserve"> </w:t>
      </w:r>
      <w:r>
        <w:t>Final</w:t>
      </w:r>
      <w:r>
        <w:rPr>
          <w:spacing w:val="-13"/>
        </w:rPr>
        <w:t xml:space="preserve"> </w:t>
      </w:r>
      <w:bookmarkEnd w:id="16"/>
      <w:r>
        <w:rPr>
          <w:spacing w:val="-2"/>
        </w:rPr>
        <w:t>Determination</w:t>
      </w:r>
    </w:p>
    <w:p w14:paraId="51DE7C60" w14:textId="77777777" w:rsidR="0010369C" w:rsidRDefault="0010369C">
      <w:pPr>
        <w:pStyle w:val="BodyText"/>
        <w:spacing w:before="9"/>
        <w:rPr>
          <w:b/>
          <w:sz w:val="20"/>
        </w:rPr>
      </w:pPr>
    </w:p>
    <w:p w14:paraId="51DE7C61" w14:textId="77777777" w:rsidR="0010369C" w:rsidRDefault="008E43AE">
      <w:pPr>
        <w:pStyle w:val="BodyText"/>
        <w:spacing w:before="52" w:line="360" w:lineRule="auto"/>
        <w:ind w:left="237" w:right="192" w:firstLine="851"/>
        <w:jc w:val="both"/>
      </w:pPr>
      <w:r>
        <w:rPr>
          <w:noProof/>
        </w:rPr>
        <w:drawing>
          <wp:anchor distT="0" distB="0" distL="0" distR="0" simplePos="0" relativeHeight="250735104" behindDoc="1" locked="0" layoutInCell="1" allowOverlap="1" wp14:anchorId="51DE9D58" wp14:editId="51DE9D59">
            <wp:simplePos x="0" y="0"/>
            <wp:positionH relativeFrom="page">
              <wp:posOffset>905255</wp:posOffset>
            </wp:positionH>
            <wp:positionV relativeFrom="paragraph">
              <wp:posOffset>81357</wp:posOffset>
            </wp:positionV>
            <wp:extent cx="179831" cy="103631"/>
            <wp:effectExtent l="0" t="0" r="0" b="0"/>
            <wp:wrapNone/>
            <wp:docPr id="69"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8.png"/>
                    <pic:cNvPicPr/>
                  </pic:nvPicPr>
                  <pic:blipFill>
                    <a:blip r:embed="rId68" cstate="print"/>
                    <a:stretch>
                      <a:fillRect/>
                    </a:stretch>
                  </pic:blipFill>
                  <pic:spPr>
                    <a:xfrm>
                      <a:off x="0" y="0"/>
                      <a:ext cx="179831" cy="103631"/>
                    </a:xfrm>
                    <a:prstGeom prst="rect">
                      <a:avLst/>
                    </a:prstGeom>
                  </pic:spPr>
                </pic:pic>
              </a:graphicData>
            </a:graphic>
          </wp:anchor>
        </w:drawing>
      </w:r>
      <w:r>
        <w:t>The Final Determination was issued on 26</w:t>
      </w:r>
      <w:r>
        <w:rPr>
          <w:spacing w:val="-2"/>
        </w:rPr>
        <w:t xml:space="preserve"> </w:t>
      </w:r>
      <w:r>
        <w:t>March</w:t>
      </w:r>
      <w:r>
        <w:rPr>
          <w:spacing w:val="-2"/>
        </w:rPr>
        <w:t xml:space="preserve"> </w:t>
      </w:r>
      <w:r>
        <w:t>2021, only four days after the deadline for the interested parties to respond to the Final Disclosure. As in the case of the Preliminary Determination, this manifestly did not provide MOFCOM with sufficient time to take into account the comments of the int</w:t>
      </w:r>
      <w:r>
        <w:t>erested parties on the Final Disclosure. Combined with the adoption of the unreliable conclusions from the Preliminary Determination, this failure further undermined the reliability of the Final Determination.</w:t>
      </w:r>
    </w:p>
    <w:p w14:paraId="51DE7C62" w14:textId="77777777" w:rsidR="0010369C" w:rsidRDefault="0010369C">
      <w:pPr>
        <w:pStyle w:val="BodyText"/>
        <w:spacing w:before="11"/>
        <w:rPr>
          <w:sz w:val="8"/>
        </w:rPr>
      </w:pPr>
    </w:p>
    <w:p w14:paraId="51DE7C63" w14:textId="77777777" w:rsidR="0010369C" w:rsidRDefault="008E43AE">
      <w:pPr>
        <w:pStyle w:val="BodyText"/>
        <w:spacing w:before="52" w:line="360" w:lineRule="auto"/>
        <w:ind w:left="238" w:right="193" w:firstLine="851"/>
        <w:jc w:val="both"/>
      </w:pPr>
      <w:r>
        <w:rPr>
          <w:noProof/>
        </w:rPr>
        <w:drawing>
          <wp:anchor distT="0" distB="0" distL="0" distR="0" simplePos="0" relativeHeight="250736128" behindDoc="1" locked="0" layoutInCell="1" allowOverlap="1" wp14:anchorId="51DE9D5A" wp14:editId="51DE9D5B">
            <wp:simplePos x="0" y="0"/>
            <wp:positionH relativeFrom="page">
              <wp:posOffset>905255</wp:posOffset>
            </wp:positionH>
            <wp:positionV relativeFrom="paragraph">
              <wp:posOffset>81949</wp:posOffset>
            </wp:positionV>
            <wp:extent cx="179831" cy="100753"/>
            <wp:effectExtent l="0" t="0" r="0" b="0"/>
            <wp:wrapNone/>
            <wp:docPr id="71"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9.png"/>
                    <pic:cNvPicPr/>
                  </pic:nvPicPr>
                  <pic:blipFill>
                    <a:blip r:embed="rId69" cstate="print"/>
                    <a:stretch>
                      <a:fillRect/>
                    </a:stretch>
                  </pic:blipFill>
                  <pic:spPr>
                    <a:xfrm>
                      <a:off x="0" y="0"/>
                      <a:ext cx="179831" cy="100753"/>
                    </a:xfrm>
                    <a:prstGeom prst="rect">
                      <a:avLst/>
                    </a:prstGeom>
                  </pic:spPr>
                </pic:pic>
              </a:graphicData>
            </a:graphic>
          </wp:anchor>
        </w:drawing>
      </w:r>
      <w:r>
        <w:t>For each of the sampled companies, MOFCOM pu</w:t>
      </w:r>
      <w:r>
        <w:t>rported to find deficiencies in the responses provided, apparently of such significance that it concluded it was necessary to disregard much of the extensive primary evidence submitted, and instead rely upon the purported "best information available".</w:t>
      </w:r>
    </w:p>
    <w:p w14:paraId="51DE7C64" w14:textId="77777777" w:rsidR="0010369C" w:rsidRDefault="0010369C">
      <w:pPr>
        <w:pStyle w:val="BodyText"/>
        <w:spacing w:before="10"/>
        <w:rPr>
          <w:sz w:val="8"/>
        </w:rPr>
      </w:pPr>
    </w:p>
    <w:p w14:paraId="51DE7C65" w14:textId="77777777" w:rsidR="0010369C" w:rsidRDefault="008E43AE">
      <w:pPr>
        <w:pStyle w:val="BodyText"/>
        <w:spacing w:before="52" w:line="360" w:lineRule="auto"/>
        <w:ind w:left="238" w:right="192" w:firstLine="851"/>
        <w:jc w:val="both"/>
      </w:pPr>
      <w:r>
        <w:rPr>
          <w:noProof/>
        </w:rPr>
        <w:drawing>
          <wp:anchor distT="0" distB="0" distL="0" distR="0" simplePos="0" relativeHeight="250737152" behindDoc="1" locked="0" layoutInCell="1" allowOverlap="1" wp14:anchorId="51DE9D5C" wp14:editId="51DE9D5D">
            <wp:simplePos x="0" y="0"/>
            <wp:positionH relativeFrom="page">
              <wp:posOffset>905255</wp:posOffset>
            </wp:positionH>
            <wp:positionV relativeFrom="paragraph">
              <wp:posOffset>80595</wp:posOffset>
            </wp:positionV>
            <wp:extent cx="179831" cy="103631"/>
            <wp:effectExtent l="0" t="0" r="0" b="0"/>
            <wp:wrapNone/>
            <wp:docPr id="73"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40.png"/>
                    <pic:cNvPicPr/>
                  </pic:nvPicPr>
                  <pic:blipFill>
                    <a:blip r:embed="rId70" cstate="print"/>
                    <a:stretch>
                      <a:fillRect/>
                    </a:stretch>
                  </pic:blipFill>
                  <pic:spPr>
                    <a:xfrm>
                      <a:off x="0" y="0"/>
                      <a:ext cx="179831" cy="103631"/>
                    </a:xfrm>
                    <a:prstGeom prst="rect">
                      <a:avLst/>
                    </a:prstGeom>
                  </pic:spPr>
                </pic:pic>
              </a:graphicData>
            </a:graphic>
          </wp:anchor>
        </w:drawing>
      </w:r>
      <w:r>
        <w:t>No</w:t>
      </w:r>
      <w:r>
        <w:t xml:space="preserve"> recognition was given, nor allowance made, by MOFCOM for the fact that it had sought, and received, an extraordinary amount of relevant information from the sampled companies</w:t>
      </w:r>
      <w:r>
        <w:rPr>
          <w:spacing w:val="-7"/>
        </w:rPr>
        <w:t xml:space="preserve"> </w:t>
      </w:r>
      <w:r>
        <w:t>within</w:t>
      </w:r>
      <w:r>
        <w:rPr>
          <w:spacing w:val="-5"/>
        </w:rPr>
        <w:t xml:space="preserve"> </w:t>
      </w:r>
      <w:r>
        <w:t>a</w:t>
      </w:r>
      <w:r>
        <w:rPr>
          <w:spacing w:val="-5"/>
        </w:rPr>
        <w:t xml:space="preserve"> </w:t>
      </w:r>
      <w:r>
        <w:t>short</w:t>
      </w:r>
      <w:r>
        <w:rPr>
          <w:spacing w:val="-5"/>
        </w:rPr>
        <w:t xml:space="preserve"> </w:t>
      </w:r>
      <w:r>
        <w:t>period</w:t>
      </w:r>
      <w:r>
        <w:rPr>
          <w:spacing w:val="-5"/>
        </w:rPr>
        <w:t xml:space="preserve"> </w:t>
      </w:r>
      <w:r>
        <w:t>of</w:t>
      </w:r>
      <w:r>
        <w:rPr>
          <w:spacing w:val="-6"/>
        </w:rPr>
        <w:t xml:space="preserve"> </w:t>
      </w:r>
      <w:r>
        <w:t>time.</w:t>
      </w:r>
      <w:r>
        <w:rPr>
          <w:spacing w:val="-5"/>
        </w:rPr>
        <w:t xml:space="preserve"> </w:t>
      </w:r>
      <w:r>
        <w:t>When</w:t>
      </w:r>
      <w:r>
        <w:rPr>
          <w:spacing w:val="-7"/>
        </w:rPr>
        <w:t xml:space="preserve"> </w:t>
      </w:r>
      <w:r>
        <w:t>MOFCOM</w:t>
      </w:r>
      <w:r>
        <w:rPr>
          <w:spacing w:val="-5"/>
        </w:rPr>
        <w:t xml:space="preserve"> </w:t>
      </w:r>
      <w:r>
        <w:t>identified</w:t>
      </w:r>
      <w:r>
        <w:rPr>
          <w:spacing w:val="-4"/>
        </w:rPr>
        <w:t xml:space="preserve"> </w:t>
      </w:r>
      <w:r>
        <w:t>purported</w:t>
      </w:r>
      <w:r>
        <w:rPr>
          <w:spacing w:val="-5"/>
        </w:rPr>
        <w:t xml:space="preserve"> </w:t>
      </w:r>
      <w:r>
        <w:t>deficiencies</w:t>
      </w:r>
      <w:r>
        <w:rPr>
          <w:spacing w:val="-6"/>
        </w:rPr>
        <w:t xml:space="preserve"> </w:t>
      </w:r>
      <w:r>
        <w:t xml:space="preserve">in </w:t>
      </w:r>
      <w:r>
        <w:t xml:space="preserve">the information received, the sampled companies responded with cogent explanations as to where the requested information had in fact been provided, why the identified information was not provided, why it was not "necessary information" and how it could be </w:t>
      </w:r>
      <w:r>
        <w:t>replaced by other information on the record. Notwithstanding the passage of 119</w:t>
      </w:r>
      <w:r>
        <w:rPr>
          <w:spacing w:val="-2"/>
        </w:rPr>
        <w:t xml:space="preserve"> </w:t>
      </w:r>
      <w:r>
        <w:t>days since the Preliminary</w:t>
      </w:r>
      <w:r>
        <w:rPr>
          <w:spacing w:val="-14"/>
        </w:rPr>
        <w:t xml:space="preserve"> </w:t>
      </w:r>
      <w:r>
        <w:t>Determination</w:t>
      </w:r>
      <w:r>
        <w:rPr>
          <w:spacing w:val="-14"/>
        </w:rPr>
        <w:t xml:space="preserve"> </w:t>
      </w:r>
      <w:r>
        <w:t>during</w:t>
      </w:r>
      <w:r>
        <w:rPr>
          <w:spacing w:val="-13"/>
        </w:rPr>
        <w:t xml:space="preserve"> </w:t>
      </w:r>
      <w:r>
        <w:t>which</w:t>
      </w:r>
      <w:r>
        <w:rPr>
          <w:spacing w:val="-14"/>
        </w:rPr>
        <w:t xml:space="preserve"> </w:t>
      </w:r>
      <w:r>
        <w:t>MOFCOM</w:t>
      </w:r>
      <w:r>
        <w:rPr>
          <w:spacing w:val="-13"/>
        </w:rPr>
        <w:t xml:space="preserve"> </w:t>
      </w:r>
      <w:r>
        <w:t>could</w:t>
      </w:r>
      <w:r>
        <w:rPr>
          <w:spacing w:val="-14"/>
        </w:rPr>
        <w:t xml:space="preserve"> </w:t>
      </w:r>
      <w:r>
        <w:t>have</w:t>
      </w:r>
      <w:r>
        <w:rPr>
          <w:spacing w:val="-13"/>
        </w:rPr>
        <w:t xml:space="preserve"> </w:t>
      </w:r>
      <w:r>
        <w:t>considered</w:t>
      </w:r>
      <w:r>
        <w:rPr>
          <w:spacing w:val="-14"/>
        </w:rPr>
        <w:t xml:space="preserve"> </w:t>
      </w:r>
      <w:r>
        <w:t>the</w:t>
      </w:r>
      <w:r>
        <w:rPr>
          <w:spacing w:val="-14"/>
        </w:rPr>
        <w:t xml:space="preserve"> </w:t>
      </w:r>
      <w:r>
        <w:t>information</w:t>
      </w:r>
      <w:r>
        <w:rPr>
          <w:spacing w:val="-13"/>
        </w:rPr>
        <w:t xml:space="preserve"> </w:t>
      </w:r>
      <w:r>
        <w:t>and explanations of the interested parties, MOFCOM ignored these responses.</w:t>
      </w:r>
    </w:p>
    <w:p w14:paraId="51DE7C66" w14:textId="77777777" w:rsidR="0010369C" w:rsidRDefault="0010369C">
      <w:pPr>
        <w:pStyle w:val="BodyText"/>
        <w:spacing w:before="10"/>
        <w:rPr>
          <w:sz w:val="8"/>
        </w:rPr>
      </w:pPr>
    </w:p>
    <w:p w14:paraId="51DE7C67" w14:textId="77777777" w:rsidR="0010369C" w:rsidRDefault="008E43AE">
      <w:pPr>
        <w:pStyle w:val="BodyText"/>
        <w:spacing w:before="52" w:line="360" w:lineRule="auto"/>
        <w:ind w:left="238" w:firstLine="851"/>
      </w:pPr>
      <w:r>
        <w:rPr>
          <w:noProof/>
        </w:rPr>
        <w:drawing>
          <wp:anchor distT="0" distB="0" distL="0" distR="0" simplePos="0" relativeHeight="250738176" behindDoc="1" locked="0" layoutInCell="1" allowOverlap="1" wp14:anchorId="51DE9D5E" wp14:editId="51DE9D5F">
            <wp:simplePos x="0" y="0"/>
            <wp:positionH relativeFrom="page">
              <wp:posOffset>905255</wp:posOffset>
            </wp:positionH>
            <wp:positionV relativeFrom="paragraph">
              <wp:posOffset>76785</wp:posOffset>
            </wp:positionV>
            <wp:extent cx="179831" cy="106679"/>
            <wp:effectExtent l="0" t="0" r="0" b="0"/>
            <wp:wrapNone/>
            <wp:docPr id="75"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41.png"/>
                    <pic:cNvPicPr/>
                  </pic:nvPicPr>
                  <pic:blipFill>
                    <a:blip r:embed="rId71" cstate="print"/>
                    <a:stretch>
                      <a:fillRect/>
                    </a:stretch>
                  </pic:blipFill>
                  <pic:spPr>
                    <a:xfrm>
                      <a:off x="0" y="0"/>
                      <a:ext cx="179831" cy="106679"/>
                    </a:xfrm>
                    <a:prstGeom prst="rect">
                      <a:avLst/>
                    </a:prstGeom>
                  </pic:spPr>
                </pic:pic>
              </a:graphicData>
            </a:graphic>
          </wp:anchor>
        </w:drawing>
      </w:r>
      <w:r>
        <w:t>Throughout</w:t>
      </w:r>
      <w:r>
        <w:rPr>
          <w:spacing w:val="31"/>
        </w:rPr>
        <w:t xml:space="preserve"> </w:t>
      </w:r>
      <w:r>
        <w:t>the</w:t>
      </w:r>
      <w:r>
        <w:rPr>
          <w:spacing w:val="30"/>
        </w:rPr>
        <w:t xml:space="preserve"> </w:t>
      </w:r>
      <w:r>
        <w:t>investigation,</w:t>
      </w:r>
      <w:r>
        <w:rPr>
          <w:spacing w:val="31"/>
        </w:rPr>
        <w:t xml:space="preserve"> </w:t>
      </w:r>
      <w:r>
        <w:t>the</w:t>
      </w:r>
      <w:r>
        <w:rPr>
          <w:spacing w:val="29"/>
        </w:rPr>
        <w:t xml:space="preserve"> </w:t>
      </w:r>
      <w:r>
        <w:t>foregoing</w:t>
      </w:r>
      <w:r>
        <w:rPr>
          <w:spacing w:val="30"/>
        </w:rPr>
        <w:t xml:space="preserve"> </w:t>
      </w:r>
      <w:r>
        <w:t>demonstrates</w:t>
      </w:r>
      <w:r>
        <w:rPr>
          <w:spacing w:val="31"/>
        </w:rPr>
        <w:t xml:space="preserve"> </w:t>
      </w:r>
      <w:r>
        <w:t>that</w:t>
      </w:r>
      <w:r>
        <w:rPr>
          <w:spacing w:val="30"/>
        </w:rPr>
        <w:t xml:space="preserve"> </w:t>
      </w:r>
      <w:r>
        <w:t>MOFCOM</w:t>
      </w:r>
      <w:r>
        <w:rPr>
          <w:spacing w:val="30"/>
        </w:rPr>
        <w:t xml:space="preserve"> </w:t>
      </w:r>
      <w:r>
        <w:t>did</w:t>
      </w:r>
      <w:r>
        <w:rPr>
          <w:spacing w:val="30"/>
        </w:rPr>
        <w:t xml:space="preserve"> </w:t>
      </w:r>
      <w:r>
        <w:t xml:space="preserve">not conduct itself in the unbiased and objective manner expected of investigating </w:t>
      </w:r>
      <w:hyperlink r:id="rId72">
        <w:r>
          <w:t>authorities.</w:t>
        </w:r>
        <w:r>
          <w:rPr>
            <w:vertAlign w:val="superscript"/>
          </w:rPr>
          <w:t>13</w:t>
        </w:r>
      </w:hyperlink>
    </w:p>
    <w:p w14:paraId="51DE7C68" w14:textId="77777777" w:rsidR="0010369C" w:rsidRDefault="008E43AE">
      <w:pPr>
        <w:pStyle w:val="Heading4"/>
        <w:numPr>
          <w:ilvl w:val="2"/>
          <w:numId w:val="75"/>
        </w:numPr>
        <w:tabs>
          <w:tab w:val="left" w:pos="2649"/>
          <w:tab w:val="left" w:pos="2650"/>
        </w:tabs>
        <w:spacing w:before="162"/>
        <w:ind w:left="2649" w:hanging="852"/>
      </w:pPr>
      <w:bookmarkStart w:id="17" w:name="_TOC_250012"/>
      <w:r>
        <w:t>MOFCOM's</w:t>
      </w:r>
      <w:r>
        <w:rPr>
          <w:spacing w:val="-11"/>
        </w:rPr>
        <w:t xml:space="preserve"> </w:t>
      </w:r>
      <w:r>
        <w:t>approach</w:t>
      </w:r>
      <w:r>
        <w:rPr>
          <w:spacing w:val="-11"/>
        </w:rPr>
        <w:t xml:space="preserve"> </w:t>
      </w:r>
      <w:r>
        <w:t>to</w:t>
      </w:r>
      <w:r>
        <w:rPr>
          <w:spacing w:val="-10"/>
        </w:rPr>
        <w:t xml:space="preserve"> </w:t>
      </w:r>
      <w:r>
        <w:t>determining</w:t>
      </w:r>
      <w:r>
        <w:rPr>
          <w:spacing w:val="-11"/>
        </w:rPr>
        <w:t xml:space="preserve"> </w:t>
      </w:r>
      <w:bookmarkEnd w:id="17"/>
      <w:r>
        <w:rPr>
          <w:spacing w:val="-2"/>
        </w:rPr>
        <w:t>dumping</w:t>
      </w:r>
    </w:p>
    <w:p w14:paraId="51DE7C69" w14:textId="77777777" w:rsidR="0010369C" w:rsidRDefault="0010369C">
      <w:pPr>
        <w:pStyle w:val="BodyText"/>
        <w:spacing w:before="10"/>
        <w:rPr>
          <w:b/>
          <w:sz w:val="20"/>
        </w:rPr>
      </w:pPr>
    </w:p>
    <w:p w14:paraId="51DE7C6A" w14:textId="77777777" w:rsidR="0010369C" w:rsidRDefault="008E43AE">
      <w:pPr>
        <w:pStyle w:val="BodyText"/>
        <w:spacing w:before="51" w:line="360" w:lineRule="auto"/>
        <w:ind w:left="238" w:right="193" w:firstLine="851"/>
        <w:jc w:val="both"/>
      </w:pPr>
      <w:r>
        <w:rPr>
          <w:noProof/>
        </w:rPr>
        <w:drawing>
          <wp:anchor distT="0" distB="0" distL="0" distR="0" simplePos="0" relativeHeight="250739200" behindDoc="1" locked="0" layoutInCell="1" allowOverlap="1" wp14:anchorId="51DE9D60" wp14:editId="51DE9D61">
            <wp:simplePos x="0" y="0"/>
            <wp:positionH relativeFrom="page">
              <wp:posOffset>905255</wp:posOffset>
            </wp:positionH>
            <wp:positionV relativeFrom="paragraph">
              <wp:posOffset>80722</wp:posOffset>
            </wp:positionV>
            <wp:extent cx="179831" cy="103631"/>
            <wp:effectExtent l="0" t="0" r="0" b="0"/>
            <wp:wrapNone/>
            <wp:docPr id="77"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42.png"/>
                    <pic:cNvPicPr/>
                  </pic:nvPicPr>
                  <pic:blipFill>
                    <a:blip r:embed="rId73" cstate="print"/>
                    <a:stretch>
                      <a:fillRect/>
                    </a:stretch>
                  </pic:blipFill>
                  <pic:spPr>
                    <a:xfrm>
                      <a:off x="0" y="0"/>
                      <a:ext cx="179831" cy="103631"/>
                    </a:xfrm>
                    <a:prstGeom prst="rect">
                      <a:avLst/>
                    </a:prstGeom>
                  </pic:spPr>
                </pic:pic>
              </a:graphicData>
            </a:graphic>
          </wp:anchor>
        </w:drawing>
      </w:r>
      <w:r>
        <w:t xml:space="preserve">As far as Australia can discern from MOFCOM's Final Disclosure and Final Determination, the high margins of dumping primarily reflect improperly inflated normal </w:t>
      </w:r>
      <w:r>
        <w:rPr>
          <w:w w:val="95"/>
        </w:rPr>
        <w:t>values</w:t>
      </w:r>
      <w:r>
        <w:rPr>
          <w:spacing w:val="5"/>
        </w:rPr>
        <w:t xml:space="preserve"> </w:t>
      </w:r>
      <w:r>
        <w:rPr>
          <w:w w:val="95"/>
        </w:rPr>
        <w:t>and</w:t>
      </w:r>
      <w:r>
        <w:rPr>
          <w:spacing w:val="7"/>
        </w:rPr>
        <w:t xml:space="preserve"> </w:t>
      </w:r>
      <w:r>
        <w:rPr>
          <w:w w:val="95"/>
        </w:rPr>
        <w:t>a</w:t>
      </w:r>
      <w:r>
        <w:rPr>
          <w:spacing w:val="11"/>
        </w:rPr>
        <w:t xml:space="preserve"> </w:t>
      </w:r>
      <w:r>
        <w:rPr>
          <w:w w:val="95"/>
        </w:rPr>
        <w:t>failure</w:t>
      </w:r>
      <w:r>
        <w:rPr>
          <w:spacing w:val="8"/>
        </w:rPr>
        <w:t xml:space="preserve"> </w:t>
      </w:r>
      <w:r>
        <w:rPr>
          <w:w w:val="95"/>
        </w:rPr>
        <w:t>to</w:t>
      </w:r>
      <w:r>
        <w:rPr>
          <w:spacing w:val="9"/>
        </w:rPr>
        <w:t xml:space="preserve"> </w:t>
      </w:r>
      <w:r>
        <w:rPr>
          <w:w w:val="95"/>
        </w:rPr>
        <w:t>make</w:t>
      </w:r>
      <w:r>
        <w:rPr>
          <w:spacing w:val="9"/>
        </w:rPr>
        <w:t xml:space="preserve"> </w:t>
      </w:r>
      <w:r>
        <w:rPr>
          <w:w w:val="95"/>
        </w:rPr>
        <w:t>a</w:t>
      </w:r>
      <w:r>
        <w:rPr>
          <w:spacing w:val="7"/>
        </w:rPr>
        <w:t xml:space="preserve"> </w:t>
      </w:r>
      <w:r>
        <w:rPr>
          <w:w w:val="95"/>
        </w:rPr>
        <w:t>fair</w:t>
      </w:r>
      <w:r>
        <w:rPr>
          <w:spacing w:val="9"/>
        </w:rPr>
        <w:t xml:space="preserve"> </w:t>
      </w:r>
      <w:r>
        <w:rPr>
          <w:w w:val="95"/>
        </w:rPr>
        <w:t>comparison</w:t>
      </w:r>
      <w:r>
        <w:rPr>
          <w:spacing w:val="7"/>
        </w:rPr>
        <w:t xml:space="preserve"> </w:t>
      </w:r>
      <w:r>
        <w:rPr>
          <w:w w:val="95"/>
        </w:rPr>
        <w:t>between</w:t>
      </w:r>
      <w:r>
        <w:rPr>
          <w:spacing w:val="7"/>
        </w:rPr>
        <w:t xml:space="preserve"> </w:t>
      </w:r>
      <w:r>
        <w:rPr>
          <w:w w:val="95"/>
        </w:rPr>
        <w:t>those</w:t>
      </w:r>
      <w:r>
        <w:rPr>
          <w:spacing w:val="7"/>
        </w:rPr>
        <w:t xml:space="preserve"> </w:t>
      </w:r>
      <w:r>
        <w:rPr>
          <w:w w:val="95"/>
        </w:rPr>
        <w:t>normal</w:t>
      </w:r>
      <w:r>
        <w:rPr>
          <w:spacing w:val="9"/>
        </w:rPr>
        <w:t xml:space="preserve"> </w:t>
      </w:r>
      <w:r>
        <w:rPr>
          <w:w w:val="95"/>
        </w:rPr>
        <w:t>value</w:t>
      </w:r>
      <w:r>
        <w:rPr>
          <w:w w:val="95"/>
        </w:rPr>
        <w:t>s</w:t>
      </w:r>
      <w:r>
        <w:rPr>
          <w:spacing w:val="6"/>
        </w:rPr>
        <w:t xml:space="preserve"> </w:t>
      </w:r>
      <w:r>
        <w:rPr>
          <w:w w:val="95"/>
        </w:rPr>
        <w:t>and</w:t>
      </w:r>
      <w:r>
        <w:rPr>
          <w:spacing w:val="7"/>
        </w:rPr>
        <w:t xml:space="preserve"> </w:t>
      </w:r>
      <w:r>
        <w:rPr>
          <w:w w:val="95"/>
        </w:rPr>
        <w:t>export</w:t>
      </w:r>
      <w:r>
        <w:rPr>
          <w:spacing w:val="7"/>
        </w:rPr>
        <w:t xml:space="preserve"> </w:t>
      </w:r>
      <w:r>
        <w:rPr>
          <w:spacing w:val="-2"/>
          <w:w w:val="95"/>
        </w:rPr>
        <w:t>prices.</w:t>
      </w:r>
    </w:p>
    <w:p w14:paraId="51DE7C6B" w14:textId="77777777" w:rsidR="0010369C" w:rsidRDefault="0010369C">
      <w:pPr>
        <w:spacing w:line="360" w:lineRule="auto"/>
        <w:jc w:val="both"/>
        <w:sectPr w:rsidR="0010369C">
          <w:headerReference w:type="default" r:id="rId74"/>
          <w:footerReference w:type="default" r:id="rId75"/>
          <w:pgSz w:w="11910" w:h="16840"/>
          <w:pgMar w:top="880" w:right="1220" w:bottom="1760" w:left="1180" w:header="569" w:footer="1564" w:gutter="0"/>
          <w:cols w:space="720"/>
        </w:sectPr>
      </w:pPr>
    </w:p>
    <w:p w14:paraId="51DE7C6C" w14:textId="77777777" w:rsidR="0010369C" w:rsidRDefault="008E43AE">
      <w:pPr>
        <w:spacing w:before="89"/>
        <w:ind w:left="10"/>
        <w:jc w:val="center"/>
        <w:rPr>
          <w:sz w:val="21"/>
        </w:rPr>
      </w:pPr>
      <w:r>
        <w:lastRenderedPageBreak/>
        <w:pict w14:anchorId="51DE9D62">
          <v:group id="docshapegroup72" o:spid="_x0000_s3184" style="position:absolute;left:0;text-align:left;margin-left:0;margin-top:0;width:594.85pt;height:841.1pt;z-index:-251429376;mso-position-horizontal-relative:page;mso-position-vertical-relative:page" coordsize="11897,16822">
            <v:shape id="docshape73" o:spid="_x0000_s3191" type="#_x0000_t75" style="position:absolute;width:11897;height:16822">
              <v:imagedata r:id="rId76" o:title=""/>
            </v:shape>
            <v:line id="_x0000_s3190" style="position:absolute" from="1287,890" to="10521,890" strokecolor="#070707" strokeweight=".31114mm"/>
            <v:line id="_x0000_s3189" style="position:absolute" from="1287,570" to="10515,570" strokecolor="#2f2f2f" strokeweight=".41486mm"/>
            <v:shape id="docshape74" o:spid="_x0000_s3188" type="#_x0000_t75" style="position:absolute;left:3080;top:3456;width:7394;height:1681">
              <v:imagedata r:id="rId77" o:title=""/>
            </v:shape>
            <v:shape id="docshape75" o:spid="_x0000_s3187" type="#_x0000_t75" style="position:absolute;left:7494;top:5354;width:2980;height:341">
              <v:imagedata r:id="rId78" o:title=""/>
            </v:shape>
            <v:shape id="docshape76" o:spid="_x0000_s3186" type="#_x0000_t75" style="position:absolute;left:3080;top:7235;width:7394;height:800">
              <v:imagedata r:id="rId79" o:title=""/>
            </v:shape>
            <v:shape id="docshape77" o:spid="_x0000_s3185" type="#_x0000_t75" style="position:absolute;left:1381;top:13030;width:9111;height:2416">
              <v:imagedata r:id="rId80" o:title=""/>
            </v:shape>
            <w10:wrap anchorx="page" anchory="page"/>
          </v:group>
        </w:pict>
      </w:r>
      <w:r>
        <w:rPr>
          <w:color w:val="080808"/>
          <w:w w:val="105"/>
          <w:sz w:val="21"/>
        </w:rPr>
        <w:t>Business</w:t>
      </w:r>
      <w:r>
        <w:rPr>
          <w:color w:val="080808"/>
          <w:spacing w:val="-13"/>
          <w:w w:val="105"/>
          <w:sz w:val="21"/>
        </w:rPr>
        <w:t xml:space="preserve"> </w:t>
      </w:r>
      <w:r>
        <w:rPr>
          <w:color w:val="080808"/>
          <w:w w:val="105"/>
          <w:sz w:val="21"/>
        </w:rPr>
        <w:t>Confidential</w:t>
      </w:r>
      <w:r>
        <w:rPr>
          <w:color w:val="080808"/>
          <w:spacing w:val="-8"/>
          <w:w w:val="105"/>
          <w:sz w:val="21"/>
        </w:rPr>
        <w:t xml:space="preserve"> </w:t>
      </w:r>
      <w:r>
        <w:rPr>
          <w:color w:val="080808"/>
          <w:w w:val="105"/>
          <w:sz w:val="21"/>
        </w:rPr>
        <w:t>Information</w:t>
      </w:r>
      <w:r>
        <w:rPr>
          <w:color w:val="080808"/>
          <w:spacing w:val="-12"/>
          <w:w w:val="105"/>
          <w:sz w:val="21"/>
        </w:rPr>
        <w:t xml:space="preserve"> </w:t>
      </w:r>
      <w:r>
        <w:rPr>
          <w:color w:val="080808"/>
          <w:w w:val="105"/>
          <w:sz w:val="21"/>
        </w:rPr>
        <w:t>-</w:t>
      </w:r>
      <w:r>
        <w:rPr>
          <w:color w:val="080808"/>
          <w:spacing w:val="-9"/>
          <w:w w:val="105"/>
          <w:sz w:val="21"/>
        </w:rPr>
        <w:t xml:space="preserve"> </w:t>
      </w:r>
      <w:r>
        <w:rPr>
          <w:color w:val="080808"/>
          <w:spacing w:val="-2"/>
          <w:w w:val="105"/>
          <w:sz w:val="21"/>
        </w:rPr>
        <w:t>REDACTED</w:t>
      </w:r>
    </w:p>
    <w:p w14:paraId="51DE7C6D" w14:textId="77777777" w:rsidR="0010369C" w:rsidRDefault="008E43AE">
      <w:pPr>
        <w:tabs>
          <w:tab w:val="left" w:pos="6172"/>
        </w:tabs>
        <w:spacing w:before="14" w:line="252" w:lineRule="exact"/>
        <w:ind w:left="2"/>
        <w:jc w:val="center"/>
        <w:rPr>
          <w:sz w:val="21"/>
        </w:rPr>
      </w:pPr>
      <w:r>
        <w:rPr>
          <w:rFonts w:ascii="Arial"/>
          <w:i/>
          <w:color w:val="080808"/>
          <w:sz w:val="18"/>
        </w:rPr>
        <w:t>China</w:t>
      </w:r>
      <w:r>
        <w:rPr>
          <w:rFonts w:ascii="Arial"/>
          <w:i/>
          <w:color w:val="080808"/>
          <w:spacing w:val="13"/>
          <w:sz w:val="18"/>
        </w:rPr>
        <w:t xml:space="preserve"> </w:t>
      </w:r>
      <w:r>
        <w:rPr>
          <w:rFonts w:ascii="Arial"/>
          <w:i/>
          <w:color w:val="080808"/>
          <w:sz w:val="18"/>
        </w:rPr>
        <w:t>-Anti-Dumping</w:t>
      </w:r>
      <w:r>
        <w:rPr>
          <w:rFonts w:ascii="Arial"/>
          <w:i/>
          <w:color w:val="080808"/>
          <w:spacing w:val="12"/>
          <w:sz w:val="18"/>
        </w:rPr>
        <w:t xml:space="preserve"> </w:t>
      </w:r>
      <w:r>
        <w:rPr>
          <w:rFonts w:ascii="Arial"/>
          <w:i/>
          <w:color w:val="080808"/>
          <w:sz w:val="18"/>
        </w:rPr>
        <w:t>and</w:t>
      </w:r>
      <w:r>
        <w:rPr>
          <w:rFonts w:ascii="Arial"/>
          <w:i/>
          <w:color w:val="080808"/>
          <w:spacing w:val="26"/>
          <w:sz w:val="18"/>
        </w:rPr>
        <w:t xml:space="preserve"> </w:t>
      </w:r>
      <w:r>
        <w:rPr>
          <w:rFonts w:ascii="Arial"/>
          <w:i/>
          <w:color w:val="080808"/>
          <w:sz w:val="18"/>
        </w:rPr>
        <w:t>Countervailing</w:t>
      </w:r>
      <w:r>
        <w:rPr>
          <w:rFonts w:ascii="Arial"/>
          <w:i/>
          <w:color w:val="080808"/>
          <w:spacing w:val="32"/>
          <w:sz w:val="18"/>
        </w:rPr>
        <w:t xml:space="preserve"> </w:t>
      </w:r>
      <w:r>
        <w:rPr>
          <w:rFonts w:ascii="Arial"/>
          <w:i/>
          <w:color w:val="080808"/>
          <w:sz w:val="18"/>
        </w:rPr>
        <w:t>Duty</w:t>
      </w:r>
      <w:r>
        <w:rPr>
          <w:rFonts w:ascii="Arial"/>
          <w:i/>
          <w:color w:val="080808"/>
          <w:spacing w:val="7"/>
          <w:sz w:val="18"/>
        </w:rPr>
        <w:t xml:space="preserve"> </w:t>
      </w:r>
      <w:r>
        <w:rPr>
          <w:rFonts w:ascii="Arial"/>
          <w:i/>
          <w:color w:val="080808"/>
          <w:spacing w:val="-2"/>
          <w:sz w:val="18"/>
        </w:rPr>
        <w:t>Measures</w:t>
      </w:r>
      <w:r>
        <w:rPr>
          <w:rFonts w:ascii="Arial"/>
          <w:i/>
          <w:color w:val="080808"/>
          <w:sz w:val="18"/>
        </w:rPr>
        <w:tab/>
      </w:r>
      <w:r>
        <w:rPr>
          <w:color w:val="080808"/>
          <w:w w:val="95"/>
          <w:sz w:val="21"/>
        </w:rPr>
        <w:t>Australia's</w:t>
      </w:r>
      <w:r>
        <w:rPr>
          <w:color w:val="080808"/>
          <w:spacing w:val="6"/>
          <w:sz w:val="21"/>
        </w:rPr>
        <w:t xml:space="preserve"> </w:t>
      </w:r>
      <w:r>
        <w:rPr>
          <w:color w:val="080808"/>
          <w:w w:val="95"/>
          <w:sz w:val="21"/>
        </w:rPr>
        <w:t>F</w:t>
      </w:r>
      <w:r>
        <w:rPr>
          <w:color w:val="0F0F0F"/>
          <w:w w:val="95"/>
          <w:sz w:val="21"/>
        </w:rPr>
        <w:t>i</w:t>
      </w:r>
      <w:r>
        <w:rPr>
          <w:color w:val="080808"/>
          <w:w w:val="95"/>
          <w:sz w:val="21"/>
        </w:rPr>
        <w:t>rst</w:t>
      </w:r>
      <w:r>
        <w:rPr>
          <w:color w:val="080808"/>
          <w:spacing w:val="-7"/>
          <w:w w:val="95"/>
          <w:sz w:val="21"/>
        </w:rPr>
        <w:t xml:space="preserve"> </w:t>
      </w:r>
      <w:r>
        <w:rPr>
          <w:color w:val="080808"/>
          <w:w w:val="95"/>
          <w:sz w:val="21"/>
        </w:rPr>
        <w:t>Written</w:t>
      </w:r>
      <w:r>
        <w:rPr>
          <w:color w:val="080808"/>
          <w:spacing w:val="-8"/>
          <w:w w:val="95"/>
          <w:sz w:val="21"/>
        </w:rPr>
        <w:t xml:space="preserve"> </w:t>
      </w:r>
      <w:r>
        <w:rPr>
          <w:color w:val="080808"/>
          <w:spacing w:val="-2"/>
          <w:w w:val="95"/>
          <w:sz w:val="21"/>
        </w:rPr>
        <w:t>Submission</w:t>
      </w:r>
    </w:p>
    <w:p w14:paraId="51DE7C6E" w14:textId="77777777" w:rsidR="0010369C" w:rsidRDefault="008E43AE">
      <w:pPr>
        <w:tabs>
          <w:tab w:val="left" w:pos="7989"/>
        </w:tabs>
        <w:spacing w:line="252" w:lineRule="exact"/>
        <w:ind w:left="17"/>
        <w:jc w:val="center"/>
        <w:rPr>
          <w:sz w:val="21"/>
        </w:rPr>
      </w:pPr>
      <w:r>
        <w:rPr>
          <w:rFonts w:ascii="Arial"/>
          <w:i/>
          <w:color w:val="080808"/>
          <w:sz w:val="18"/>
        </w:rPr>
        <w:t>on</w:t>
      </w:r>
      <w:r>
        <w:rPr>
          <w:rFonts w:ascii="Arial"/>
          <w:i/>
          <w:color w:val="080808"/>
          <w:spacing w:val="28"/>
          <w:sz w:val="18"/>
        </w:rPr>
        <w:t xml:space="preserve"> </w:t>
      </w:r>
      <w:r>
        <w:rPr>
          <w:rFonts w:ascii="Arial"/>
          <w:i/>
          <w:color w:val="080808"/>
          <w:sz w:val="18"/>
        </w:rPr>
        <w:t>Wine</w:t>
      </w:r>
      <w:r>
        <w:rPr>
          <w:rFonts w:ascii="Arial"/>
          <w:i/>
          <w:color w:val="080808"/>
          <w:spacing w:val="-17"/>
          <w:sz w:val="18"/>
        </w:rPr>
        <w:t xml:space="preserve"> </w:t>
      </w:r>
      <w:r>
        <w:rPr>
          <w:rFonts w:ascii="Arial"/>
          <w:i/>
          <w:color w:val="080808"/>
          <w:sz w:val="18"/>
        </w:rPr>
        <w:t>from</w:t>
      </w:r>
      <w:r>
        <w:rPr>
          <w:rFonts w:ascii="Arial"/>
          <w:i/>
          <w:color w:val="080808"/>
          <w:spacing w:val="2"/>
          <w:sz w:val="18"/>
        </w:rPr>
        <w:t xml:space="preserve"> </w:t>
      </w:r>
      <w:r>
        <w:rPr>
          <w:rFonts w:ascii="Arial"/>
          <w:i/>
          <w:color w:val="080808"/>
          <w:sz w:val="18"/>
        </w:rPr>
        <w:t>Australia</w:t>
      </w:r>
      <w:r>
        <w:rPr>
          <w:rFonts w:ascii="Arial"/>
          <w:i/>
          <w:color w:val="080808"/>
          <w:spacing w:val="24"/>
          <w:sz w:val="18"/>
        </w:rPr>
        <w:t xml:space="preserve"> </w:t>
      </w:r>
      <w:r>
        <w:rPr>
          <w:color w:val="080808"/>
          <w:spacing w:val="-2"/>
          <w:sz w:val="21"/>
        </w:rPr>
        <w:t>(0S602)</w:t>
      </w:r>
      <w:r>
        <w:rPr>
          <w:color w:val="080808"/>
          <w:sz w:val="21"/>
        </w:rPr>
        <w:tab/>
      </w:r>
      <w:r>
        <w:rPr>
          <w:color w:val="080808"/>
          <w:w w:val="95"/>
          <w:sz w:val="21"/>
        </w:rPr>
        <w:t>29</w:t>
      </w:r>
      <w:r>
        <w:rPr>
          <w:color w:val="080808"/>
          <w:spacing w:val="-7"/>
          <w:w w:val="95"/>
          <w:sz w:val="21"/>
        </w:rPr>
        <w:t xml:space="preserve"> </w:t>
      </w:r>
      <w:r>
        <w:rPr>
          <w:color w:val="080808"/>
          <w:w w:val="95"/>
          <w:sz w:val="21"/>
        </w:rPr>
        <w:t>April</w:t>
      </w:r>
      <w:r>
        <w:rPr>
          <w:color w:val="080808"/>
          <w:spacing w:val="3"/>
          <w:sz w:val="21"/>
        </w:rPr>
        <w:t xml:space="preserve"> </w:t>
      </w:r>
      <w:r>
        <w:rPr>
          <w:color w:val="080808"/>
          <w:spacing w:val="-4"/>
          <w:w w:val="95"/>
          <w:sz w:val="21"/>
        </w:rPr>
        <w:t>2022</w:t>
      </w:r>
    </w:p>
    <w:p w14:paraId="51DE7C6F" w14:textId="77777777" w:rsidR="0010369C" w:rsidRDefault="008E43AE">
      <w:pPr>
        <w:pStyle w:val="ListParagraph"/>
        <w:numPr>
          <w:ilvl w:val="0"/>
          <w:numId w:val="74"/>
        </w:numPr>
        <w:tabs>
          <w:tab w:val="left" w:pos="985"/>
          <w:tab w:val="left" w:pos="986"/>
        </w:tabs>
        <w:spacing w:before="35" w:line="362" w:lineRule="auto"/>
        <w:ind w:right="192" w:hanging="16"/>
        <w:rPr>
          <w:sz w:val="24"/>
        </w:rPr>
      </w:pPr>
      <w:r>
        <w:rPr>
          <w:color w:val="070707"/>
          <w:sz w:val="24"/>
        </w:rPr>
        <w:t>For</w:t>
      </w:r>
      <w:r>
        <w:rPr>
          <w:color w:val="070707"/>
          <w:spacing w:val="-10"/>
          <w:sz w:val="24"/>
        </w:rPr>
        <w:t xml:space="preserve"> </w:t>
      </w:r>
      <w:r>
        <w:rPr>
          <w:color w:val="070707"/>
          <w:sz w:val="24"/>
        </w:rPr>
        <w:t>Treasury</w:t>
      </w:r>
      <w:r>
        <w:rPr>
          <w:color w:val="070707"/>
          <w:spacing w:val="-2"/>
          <w:sz w:val="24"/>
        </w:rPr>
        <w:t xml:space="preserve"> </w:t>
      </w:r>
      <w:r>
        <w:rPr>
          <w:color w:val="070707"/>
          <w:sz w:val="24"/>
        </w:rPr>
        <w:t>Wines, MOFCOM's</w:t>
      </w:r>
      <w:r>
        <w:rPr>
          <w:color w:val="070707"/>
          <w:spacing w:val="-9"/>
          <w:sz w:val="24"/>
        </w:rPr>
        <w:t xml:space="preserve"> </w:t>
      </w:r>
      <w:r>
        <w:rPr>
          <w:color w:val="070707"/>
          <w:sz w:val="24"/>
        </w:rPr>
        <w:t>inflated</w:t>
      </w:r>
      <w:r>
        <w:rPr>
          <w:color w:val="070707"/>
          <w:spacing w:val="-6"/>
          <w:sz w:val="24"/>
        </w:rPr>
        <w:t xml:space="preserve"> </w:t>
      </w:r>
      <w:r>
        <w:rPr>
          <w:color w:val="070707"/>
          <w:sz w:val="24"/>
        </w:rPr>
        <w:t>normal</w:t>
      </w:r>
      <w:r>
        <w:rPr>
          <w:color w:val="070707"/>
          <w:spacing w:val="-7"/>
          <w:sz w:val="24"/>
        </w:rPr>
        <w:t xml:space="preserve"> </w:t>
      </w:r>
      <w:r>
        <w:rPr>
          <w:color w:val="070707"/>
          <w:sz w:val="24"/>
        </w:rPr>
        <w:t>value</w:t>
      </w:r>
      <w:r>
        <w:rPr>
          <w:color w:val="070707"/>
          <w:spacing w:val="-3"/>
          <w:sz w:val="24"/>
        </w:rPr>
        <w:t xml:space="preserve"> </w:t>
      </w:r>
      <w:r>
        <w:rPr>
          <w:color w:val="070707"/>
          <w:sz w:val="24"/>
        </w:rPr>
        <w:t>determination</w:t>
      </w:r>
      <w:r>
        <w:rPr>
          <w:color w:val="070707"/>
          <w:spacing w:val="-3"/>
          <w:sz w:val="24"/>
        </w:rPr>
        <w:t xml:space="preserve"> </w:t>
      </w:r>
      <w:r>
        <w:rPr>
          <w:color w:val="070707"/>
          <w:sz w:val="24"/>
        </w:rPr>
        <w:t>was</w:t>
      </w:r>
      <w:r>
        <w:rPr>
          <w:color w:val="070707"/>
          <w:spacing w:val="-8"/>
          <w:sz w:val="24"/>
        </w:rPr>
        <w:t xml:space="preserve"> </w:t>
      </w:r>
      <w:r>
        <w:rPr>
          <w:color w:val="070707"/>
          <w:sz w:val="24"/>
        </w:rPr>
        <w:t>grounded principally on the following errors:</w:t>
      </w:r>
    </w:p>
    <w:p w14:paraId="51DE7C70" w14:textId="77777777" w:rsidR="0010369C" w:rsidRDefault="008E43AE">
      <w:pPr>
        <w:pStyle w:val="ListParagraph"/>
        <w:numPr>
          <w:ilvl w:val="1"/>
          <w:numId w:val="74"/>
        </w:numPr>
        <w:tabs>
          <w:tab w:val="left" w:pos="1840"/>
          <w:tab w:val="left" w:pos="1841"/>
        </w:tabs>
        <w:spacing w:before="143" w:line="362" w:lineRule="auto"/>
        <w:ind w:right="118" w:hanging="834"/>
        <w:jc w:val="left"/>
        <w:rPr>
          <w:color w:val="070707"/>
          <w:sz w:val="24"/>
        </w:rPr>
      </w:pPr>
      <w:r>
        <w:rPr>
          <w:color w:val="070707"/>
          <w:sz w:val="24"/>
        </w:rPr>
        <w:t>(i)</w:t>
      </w:r>
      <w:r>
        <w:rPr>
          <w:color w:val="070707"/>
          <w:spacing w:val="-4"/>
          <w:sz w:val="24"/>
        </w:rPr>
        <w:t xml:space="preserve"> </w:t>
      </w:r>
      <w:r>
        <w:rPr>
          <w:color w:val="070707"/>
          <w:sz w:val="24"/>
        </w:rPr>
        <w:t>MOFCOM</w:t>
      </w:r>
      <w:r>
        <w:rPr>
          <w:color w:val="070707"/>
          <w:spacing w:val="-12"/>
          <w:sz w:val="24"/>
        </w:rPr>
        <w:t xml:space="preserve"> </w:t>
      </w:r>
      <w:r>
        <w:rPr>
          <w:color w:val="070707"/>
          <w:sz w:val="24"/>
        </w:rPr>
        <w:t>rejected</w:t>
      </w:r>
      <w:r>
        <w:rPr>
          <w:color w:val="070707"/>
          <w:spacing w:val="-15"/>
          <w:sz w:val="24"/>
        </w:rPr>
        <w:t xml:space="preserve"> </w:t>
      </w:r>
      <w:r>
        <w:rPr>
          <w:color w:val="070707"/>
          <w:sz w:val="24"/>
        </w:rPr>
        <w:t>related</w:t>
      </w:r>
      <w:r>
        <w:rPr>
          <w:color w:val="070707"/>
          <w:spacing w:val="-11"/>
          <w:sz w:val="24"/>
        </w:rPr>
        <w:t xml:space="preserve"> </w:t>
      </w:r>
      <w:r>
        <w:rPr>
          <w:color w:val="070707"/>
          <w:sz w:val="24"/>
        </w:rPr>
        <w:t>party</w:t>
      </w:r>
      <w:r>
        <w:rPr>
          <w:color w:val="070707"/>
          <w:spacing w:val="-12"/>
          <w:sz w:val="24"/>
        </w:rPr>
        <w:t xml:space="preserve"> </w:t>
      </w:r>
      <w:r>
        <w:rPr>
          <w:color w:val="070707"/>
          <w:sz w:val="24"/>
        </w:rPr>
        <w:t>sales</w:t>
      </w:r>
      <w:r>
        <w:rPr>
          <w:color w:val="070707"/>
          <w:spacing w:val="-12"/>
          <w:sz w:val="24"/>
        </w:rPr>
        <w:t xml:space="preserve"> </w:t>
      </w:r>
      <w:r>
        <w:rPr>
          <w:color w:val="070707"/>
          <w:sz w:val="24"/>
        </w:rPr>
        <w:t>without</w:t>
      </w:r>
      <w:r>
        <w:rPr>
          <w:color w:val="070707"/>
          <w:spacing w:val="-16"/>
          <w:sz w:val="24"/>
        </w:rPr>
        <w:t xml:space="preserve"> </w:t>
      </w:r>
      <w:r>
        <w:rPr>
          <w:color w:val="070707"/>
          <w:sz w:val="24"/>
        </w:rPr>
        <w:t>giving</w:t>
      </w:r>
      <w:r>
        <w:rPr>
          <w:color w:val="070707"/>
          <w:spacing w:val="-14"/>
          <w:sz w:val="24"/>
        </w:rPr>
        <w:t xml:space="preserve"> </w:t>
      </w:r>
      <w:r>
        <w:rPr>
          <w:color w:val="070707"/>
          <w:sz w:val="24"/>
        </w:rPr>
        <w:t>due</w:t>
      </w:r>
      <w:r>
        <w:rPr>
          <w:color w:val="070707"/>
          <w:spacing w:val="-10"/>
          <w:sz w:val="24"/>
        </w:rPr>
        <w:t xml:space="preserve"> </w:t>
      </w:r>
      <w:r>
        <w:rPr>
          <w:color w:val="070707"/>
          <w:sz w:val="24"/>
        </w:rPr>
        <w:t>cons</w:t>
      </w:r>
      <w:r>
        <w:rPr>
          <w:color w:val="0F0F0F"/>
          <w:sz w:val="24"/>
        </w:rPr>
        <w:t>i</w:t>
      </w:r>
      <w:r>
        <w:rPr>
          <w:color w:val="070707"/>
          <w:sz w:val="24"/>
        </w:rPr>
        <w:t>deration</w:t>
      </w:r>
      <w:r>
        <w:rPr>
          <w:color w:val="070707"/>
          <w:spacing w:val="-14"/>
          <w:sz w:val="24"/>
        </w:rPr>
        <w:t xml:space="preserve"> </w:t>
      </w:r>
      <w:r>
        <w:rPr>
          <w:color w:val="070707"/>
          <w:sz w:val="24"/>
        </w:rPr>
        <w:t>to whether</w:t>
      </w:r>
      <w:r>
        <w:rPr>
          <w:color w:val="070707"/>
          <w:spacing w:val="-5"/>
          <w:sz w:val="24"/>
        </w:rPr>
        <w:t xml:space="preserve"> </w:t>
      </w:r>
      <w:r>
        <w:rPr>
          <w:color w:val="070707"/>
          <w:sz w:val="24"/>
        </w:rPr>
        <w:t>these transactions occurred in the ordinary course of trade;</w:t>
      </w:r>
    </w:p>
    <w:p w14:paraId="51DE7C71" w14:textId="77777777" w:rsidR="0010369C" w:rsidRDefault="008E43AE">
      <w:pPr>
        <w:pStyle w:val="ListParagraph"/>
        <w:numPr>
          <w:ilvl w:val="1"/>
          <w:numId w:val="74"/>
        </w:numPr>
        <w:tabs>
          <w:tab w:val="left" w:pos="1840"/>
          <w:tab w:val="left" w:pos="1842"/>
        </w:tabs>
        <w:spacing w:before="105"/>
        <w:ind w:left="1841" w:hanging="854"/>
        <w:jc w:val="left"/>
        <w:rPr>
          <w:color w:val="060606"/>
          <w:sz w:val="24"/>
        </w:rPr>
      </w:pPr>
      <w:r>
        <w:rPr>
          <w:color w:val="060606"/>
          <w:sz w:val="24"/>
        </w:rPr>
        <w:t>(ii)</w:t>
      </w:r>
      <w:r>
        <w:rPr>
          <w:color w:val="060606"/>
          <w:spacing w:val="14"/>
          <w:sz w:val="24"/>
        </w:rPr>
        <w:t xml:space="preserve"> </w:t>
      </w:r>
      <w:r>
        <w:rPr>
          <w:color w:val="060606"/>
          <w:sz w:val="24"/>
        </w:rPr>
        <w:t>MOFCOM</w:t>
      </w:r>
      <w:r>
        <w:rPr>
          <w:color w:val="060606"/>
          <w:spacing w:val="-1"/>
          <w:sz w:val="24"/>
        </w:rPr>
        <w:t xml:space="preserve"> </w:t>
      </w:r>
      <w:r>
        <w:rPr>
          <w:color w:val="060606"/>
          <w:sz w:val="24"/>
        </w:rPr>
        <w:t>incorrectly</w:t>
      </w:r>
      <w:r>
        <w:rPr>
          <w:color w:val="060606"/>
          <w:spacing w:val="-5"/>
          <w:sz w:val="24"/>
        </w:rPr>
        <w:t xml:space="preserve"> </w:t>
      </w:r>
      <w:r>
        <w:rPr>
          <w:color w:val="060606"/>
          <w:sz w:val="24"/>
        </w:rPr>
        <w:t>used</w:t>
      </w:r>
      <w:r>
        <w:rPr>
          <w:color w:val="060606"/>
          <w:spacing w:val="8"/>
          <w:sz w:val="24"/>
        </w:rPr>
        <w:t xml:space="preserve"> </w:t>
      </w:r>
      <w:r>
        <w:rPr>
          <w:color w:val="060606"/>
          <w:spacing w:val="-10"/>
          <w:sz w:val="24"/>
        </w:rPr>
        <w:t>[</w:t>
      </w:r>
    </w:p>
    <w:p w14:paraId="51DE7C72" w14:textId="77777777" w:rsidR="0010369C" w:rsidRDefault="0010369C">
      <w:pPr>
        <w:pStyle w:val="BodyText"/>
        <w:rPr>
          <w:sz w:val="32"/>
        </w:rPr>
      </w:pPr>
    </w:p>
    <w:p w14:paraId="51DE7C73" w14:textId="77777777" w:rsidR="0010369C" w:rsidRDefault="0010369C">
      <w:pPr>
        <w:pStyle w:val="BodyText"/>
        <w:rPr>
          <w:sz w:val="32"/>
        </w:rPr>
      </w:pPr>
    </w:p>
    <w:p w14:paraId="51DE7C74" w14:textId="77777777" w:rsidR="0010369C" w:rsidRDefault="0010369C">
      <w:pPr>
        <w:pStyle w:val="BodyText"/>
        <w:rPr>
          <w:sz w:val="32"/>
        </w:rPr>
      </w:pPr>
    </w:p>
    <w:p w14:paraId="51DE7C75" w14:textId="77777777" w:rsidR="0010369C" w:rsidRDefault="008E43AE">
      <w:pPr>
        <w:pStyle w:val="ListParagraph"/>
        <w:numPr>
          <w:ilvl w:val="0"/>
          <w:numId w:val="73"/>
        </w:numPr>
        <w:tabs>
          <w:tab w:val="left" w:pos="1840"/>
          <w:tab w:val="left" w:pos="1841"/>
        </w:tabs>
        <w:spacing w:before="203"/>
        <w:jc w:val="left"/>
        <w:rPr>
          <w:sz w:val="24"/>
        </w:rPr>
      </w:pPr>
      <w:r>
        <w:rPr>
          <w:color w:val="070707"/>
          <w:w w:val="95"/>
          <w:sz w:val="24"/>
        </w:rPr>
        <w:t>(iii)</w:t>
      </w:r>
      <w:r>
        <w:rPr>
          <w:color w:val="070707"/>
          <w:spacing w:val="17"/>
          <w:sz w:val="24"/>
        </w:rPr>
        <w:t xml:space="preserve"> </w:t>
      </w:r>
      <w:r>
        <w:rPr>
          <w:color w:val="070707"/>
          <w:w w:val="95"/>
          <w:sz w:val="24"/>
        </w:rPr>
        <w:t>MOFCOM</w:t>
      </w:r>
      <w:r>
        <w:rPr>
          <w:color w:val="070707"/>
          <w:spacing w:val="6"/>
          <w:sz w:val="24"/>
        </w:rPr>
        <w:t xml:space="preserve"> </w:t>
      </w:r>
      <w:r>
        <w:rPr>
          <w:color w:val="070707"/>
          <w:w w:val="95"/>
          <w:sz w:val="24"/>
        </w:rPr>
        <w:t>failed</w:t>
      </w:r>
      <w:r>
        <w:rPr>
          <w:color w:val="070707"/>
          <w:spacing w:val="4"/>
          <w:sz w:val="24"/>
        </w:rPr>
        <w:t xml:space="preserve"> </w:t>
      </w:r>
      <w:r>
        <w:rPr>
          <w:color w:val="070707"/>
          <w:w w:val="95"/>
          <w:sz w:val="24"/>
        </w:rPr>
        <w:t>to</w:t>
      </w:r>
      <w:r>
        <w:rPr>
          <w:color w:val="070707"/>
          <w:spacing w:val="7"/>
          <w:sz w:val="24"/>
        </w:rPr>
        <w:t xml:space="preserve"> </w:t>
      </w:r>
      <w:r>
        <w:rPr>
          <w:color w:val="070707"/>
          <w:w w:val="95"/>
          <w:sz w:val="24"/>
        </w:rPr>
        <w:t>consider</w:t>
      </w:r>
      <w:r>
        <w:rPr>
          <w:color w:val="070707"/>
          <w:spacing w:val="5"/>
          <w:sz w:val="24"/>
        </w:rPr>
        <w:t xml:space="preserve"> </w:t>
      </w:r>
      <w:r>
        <w:rPr>
          <w:color w:val="070707"/>
          <w:w w:val="95"/>
          <w:sz w:val="24"/>
        </w:rPr>
        <w:t>whether</w:t>
      </w:r>
      <w:r>
        <w:rPr>
          <w:color w:val="070707"/>
          <w:spacing w:val="9"/>
          <w:sz w:val="24"/>
        </w:rPr>
        <w:t xml:space="preserve"> </w:t>
      </w:r>
      <w:r>
        <w:rPr>
          <w:color w:val="070707"/>
          <w:w w:val="95"/>
          <w:sz w:val="24"/>
        </w:rPr>
        <w:t>the</w:t>
      </w:r>
      <w:r>
        <w:rPr>
          <w:color w:val="070707"/>
          <w:spacing w:val="30"/>
          <w:sz w:val="24"/>
        </w:rPr>
        <w:t xml:space="preserve"> </w:t>
      </w:r>
      <w:r>
        <w:rPr>
          <w:color w:val="070707"/>
          <w:spacing w:val="-10"/>
          <w:w w:val="95"/>
          <w:sz w:val="24"/>
        </w:rPr>
        <w:t>[</w:t>
      </w:r>
    </w:p>
    <w:p w14:paraId="51DE7C76" w14:textId="77777777" w:rsidR="0010369C" w:rsidRDefault="008E43AE">
      <w:pPr>
        <w:pStyle w:val="BodyText"/>
        <w:spacing w:before="134" w:line="360" w:lineRule="auto"/>
        <w:ind w:left="1838" w:right="89" w:hanging="6"/>
      </w:pPr>
      <w:r>
        <w:rPr>
          <w:color w:val="070707"/>
        </w:rPr>
        <w:t>that were rejected due to occurring "below cost" allowed for the recovery of costs within a reasonable period of time; and</w:t>
      </w:r>
    </w:p>
    <w:p w14:paraId="51DE7C77" w14:textId="77777777" w:rsidR="0010369C" w:rsidRDefault="008E43AE">
      <w:pPr>
        <w:pStyle w:val="ListParagraph"/>
        <w:numPr>
          <w:ilvl w:val="0"/>
          <w:numId w:val="72"/>
        </w:numPr>
        <w:tabs>
          <w:tab w:val="left" w:pos="1846"/>
          <w:tab w:val="left" w:pos="1848"/>
        </w:tabs>
        <w:spacing w:before="109"/>
        <w:ind w:hanging="860"/>
        <w:jc w:val="left"/>
        <w:rPr>
          <w:sz w:val="24"/>
        </w:rPr>
      </w:pPr>
      <w:r>
        <w:rPr>
          <w:color w:val="070707"/>
          <w:sz w:val="24"/>
        </w:rPr>
        <w:t>(iv)</w:t>
      </w:r>
      <w:r>
        <w:rPr>
          <w:color w:val="070707"/>
          <w:spacing w:val="23"/>
          <w:sz w:val="24"/>
        </w:rPr>
        <w:t xml:space="preserve"> </w:t>
      </w:r>
      <w:r>
        <w:rPr>
          <w:color w:val="070707"/>
          <w:sz w:val="24"/>
        </w:rPr>
        <w:t>MOFCOM</w:t>
      </w:r>
      <w:r>
        <w:rPr>
          <w:color w:val="070707"/>
          <w:spacing w:val="6"/>
          <w:sz w:val="24"/>
        </w:rPr>
        <w:t xml:space="preserve"> </w:t>
      </w:r>
      <w:r>
        <w:rPr>
          <w:color w:val="111111"/>
          <w:sz w:val="24"/>
        </w:rPr>
        <w:t>i</w:t>
      </w:r>
      <w:r>
        <w:rPr>
          <w:color w:val="070707"/>
          <w:sz w:val="24"/>
        </w:rPr>
        <w:t>ncorrectly</w:t>
      </w:r>
      <w:r>
        <w:rPr>
          <w:color w:val="070707"/>
          <w:spacing w:val="14"/>
          <w:sz w:val="24"/>
        </w:rPr>
        <w:t xml:space="preserve"> </w:t>
      </w:r>
      <w:r>
        <w:rPr>
          <w:color w:val="070707"/>
          <w:sz w:val="24"/>
        </w:rPr>
        <w:t>calculated</w:t>
      </w:r>
      <w:r>
        <w:rPr>
          <w:color w:val="070707"/>
          <w:spacing w:val="-3"/>
          <w:sz w:val="24"/>
        </w:rPr>
        <w:t xml:space="preserve"> </w:t>
      </w:r>
      <w:r>
        <w:rPr>
          <w:color w:val="070707"/>
          <w:sz w:val="24"/>
        </w:rPr>
        <w:t>constructed</w:t>
      </w:r>
      <w:r>
        <w:rPr>
          <w:color w:val="070707"/>
          <w:spacing w:val="3"/>
          <w:sz w:val="24"/>
        </w:rPr>
        <w:t xml:space="preserve"> </w:t>
      </w:r>
      <w:r>
        <w:rPr>
          <w:color w:val="070707"/>
          <w:sz w:val="24"/>
        </w:rPr>
        <w:t>normal</w:t>
      </w:r>
      <w:r>
        <w:rPr>
          <w:color w:val="070707"/>
          <w:spacing w:val="7"/>
          <w:sz w:val="24"/>
        </w:rPr>
        <w:t xml:space="preserve"> </w:t>
      </w:r>
      <w:r>
        <w:rPr>
          <w:color w:val="070707"/>
          <w:sz w:val="24"/>
        </w:rPr>
        <w:t>value</w:t>
      </w:r>
      <w:r>
        <w:rPr>
          <w:color w:val="070707"/>
          <w:spacing w:val="14"/>
          <w:sz w:val="24"/>
        </w:rPr>
        <w:t xml:space="preserve"> </w:t>
      </w:r>
      <w:r>
        <w:rPr>
          <w:color w:val="070707"/>
          <w:sz w:val="24"/>
        </w:rPr>
        <w:t>by</w:t>
      </w:r>
      <w:r>
        <w:rPr>
          <w:color w:val="070707"/>
          <w:spacing w:val="6"/>
          <w:sz w:val="24"/>
        </w:rPr>
        <w:t xml:space="preserve"> </w:t>
      </w:r>
      <w:r>
        <w:rPr>
          <w:color w:val="070707"/>
          <w:spacing w:val="-2"/>
          <w:sz w:val="24"/>
        </w:rPr>
        <w:t>selecting</w:t>
      </w:r>
    </w:p>
    <w:p w14:paraId="51DE7C78" w14:textId="77777777" w:rsidR="0010369C" w:rsidRDefault="0010369C">
      <w:pPr>
        <w:pStyle w:val="BodyText"/>
        <w:rPr>
          <w:sz w:val="20"/>
        </w:rPr>
      </w:pPr>
    </w:p>
    <w:p w14:paraId="51DE7C79" w14:textId="77777777" w:rsidR="0010369C" w:rsidRDefault="0010369C">
      <w:pPr>
        <w:pStyle w:val="BodyText"/>
        <w:rPr>
          <w:sz w:val="20"/>
        </w:rPr>
      </w:pPr>
    </w:p>
    <w:p w14:paraId="51DE7C7A" w14:textId="77777777" w:rsidR="0010369C" w:rsidRDefault="0010369C">
      <w:pPr>
        <w:pStyle w:val="BodyText"/>
        <w:rPr>
          <w:sz w:val="20"/>
        </w:rPr>
      </w:pPr>
    </w:p>
    <w:p w14:paraId="51DE7C7B" w14:textId="77777777" w:rsidR="0010369C" w:rsidRDefault="0010369C">
      <w:pPr>
        <w:pStyle w:val="BodyText"/>
        <w:spacing w:before="3"/>
        <w:rPr>
          <w:sz w:val="25"/>
        </w:rPr>
      </w:pPr>
    </w:p>
    <w:p w14:paraId="51DE7C7C" w14:textId="77777777" w:rsidR="0010369C" w:rsidRDefault="008E43AE">
      <w:pPr>
        <w:pStyle w:val="ListParagraph"/>
        <w:numPr>
          <w:ilvl w:val="0"/>
          <w:numId w:val="74"/>
        </w:numPr>
        <w:tabs>
          <w:tab w:val="left" w:pos="986"/>
        </w:tabs>
        <w:spacing w:before="103" w:line="360" w:lineRule="auto"/>
        <w:ind w:left="131" w:right="124" w:hanging="13"/>
        <w:jc w:val="both"/>
        <w:rPr>
          <w:sz w:val="24"/>
        </w:rPr>
      </w:pPr>
      <w:r>
        <w:rPr>
          <w:color w:val="070707"/>
          <w:sz w:val="24"/>
        </w:rPr>
        <w:t>For Casella Wines, MOFCOM's inflated normal value determination was principally grounded in the following errors:</w:t>
      </w:r>
    </w:p>
    <w:p w14:paraId="51DE7C7D" w14:textId="77777777" w:rsidR="0010369C" w:rsidRDefault="008E43AE">
      <w:pPr>
        <w:pStyle w:val="ListParagraph"/>
        <w:numPr>
          <w:ilvl w:val="1"/>
          <w:numId w:val="74"/>
        </w:numPr>
        <w:tabs>
          <w:tab w:val="left" w:pos="1847"/>
          <w:tab w:val="left" w:pos="1848"/>
        </w:tabs>
        <w:spacing w:before="152"/>
        <w:ind w:left="1847" w:hanging="859"/>
        <w:jc w:val="left"/>
        <w:rPr>
          <w:color w:val="070707"/>
          <w:sz w:val="24"/>
        </w:rPr>
      </w:pPr>
      <w:r>
        <w:rPr>
          <w:color w:val="070707"/>
          <w:sz w:val="24"/>
        </w:rPr>
        <w:t>(i)</w:t>
      </w:r>
      <w:r>
        <w:rPr>
          <w:color w:val="070707"/>
          <w:spacing w:val="-2"/>
          <w:sz w:val="24"/>
        </w:rPr>
        <w:t xml:space="preserve"> </w:t>
      </w:r>
      <w:r>
        <w:rPr>
          <w:color w:val="070707"/>
          <w:sz w:val="24"/>
        </w:rPr>
        <w:t>MOFCOM</w:t>
      </w:r>
      <w:r>
        <w:rPr>
          <w:color w:val="070707"/>
          <w:spacing w:val="-13"/>
          <w:sz w:val="24"/>
        </w:rPr>
        <w:t xml:space="preserve"> </w:t>
      </w:r>
      <w:r>
        <w:rPr>
          <w:color w:val="070707"/>
          <w:sz w:val="24"/>
        </w:rPr>
        <w:t>incorrectly</w:t>
      </w:r>
      <w:r>
        <w:rPr>
          <w:color w:val="070707"/>
          <w:spacing w:val="-14"/>
          <w:sz w:val="24"/>
        </w:rPr>
        <w:t xml:space="preserve"> </w:t>
      </w:r>
      <w:r>
        <w:rPr>
          <w:color w:val="070707"/>
          <w:sz w:val="24"/>
        </w:rPr>
        <w:t>rejected</w:t>
      </w:r>
      <w:r>
        <w:rPr>
          <w:color w:val="070707"/>
          <w:spacing w:val="-7"/>
          <w:sz w:val="24"/>
        </w:rPr>
        <w:t xml:space="preserve"> </w:t>
      </w:r>
      <w:r>
        <w:rPr>
          <w:color w:val="070707"/>
          <w:sz w:val="24"/>
        </w:rPr>
        <w:t>Casella</w:t>
      </w:r>
      <w:r>
        <w:rPr>
          <w:color w:val="070707"/>
          <w:spacing w:val="-3"/>
          <w:sz w:val="24"/>
        </w:rPr>
        <w:t xml:space="preserve"> </w:t>
      </w:r>
      <w:r>
        <w:rPr>
          <w:color w:val="070707"/>
          <w:sz w:val="24"/>
        </w:rPr>
        <w:t>Wines'</w:t>
      </w:r>
      <w:r>
        <w:rPr>
          <w:color w:val="070707"/>
          <w:spacing w:val="-8"/>
          <w:sz w:val="24"/>
        </w:rPr>
        <w:t xml:space="preserve"> </w:t>
      </w:r>
      <w:r>
        <w:rPr>
          <w:color w:val="070707"/>
          <w:sz w:val="24"/>
        </w:rPr>
        <w:t>domestic</w:t>
      </w:r>
      <w:r>
        <w:rPr>
          <w:color w:val="070707"/>
          <w:spacing w:val="-8"/>
          <w:sz w:val="24"/>
        </w:rPr>
        <w:t xml:space="preserve"> </w:t>
      </w:r>
      <w:r>
        <w:rPr>
          <w:color w:val="070707"/>
          <w:sz w:val="24"/>
        </w:rPr>
        <w:t>sales</w:t>
      </w:r>
      <w:r>
        <w:rPr>
          <w:color w:val="070707"/>
          <w:spacing w:val="-14"/>
          <w:sz w:val="24"/>
        </w:rPr>
        <w:t xml:space="preserve"> </w:t>
      </w:r>
      <w:r>
        <w:rPr>
          <w:color w:val="070707"/>
          <w:sz w:val="24"/>
        </w:rPr>
        <w:t>prices;</w:t>
      </w:r>
      <w:r>
        <w:rPr>
          <w:color w:val="070707"/>
          <w:spacing w:val="1"/>
          <w:sz w:val="24"/>
        </w:rPr>
        <w:t xml:space="preserve"> </w:t>
      </w:r>
      <w:r>
        <w:rPr>
          <w:color w:val="070707"/>
          <w:spacing w:val="-5"/>
          <w:sz w:val="24"/>
        </w:rPr>
        <w:t>and</w:t>
      </w:r>
    </w:p>
    <w:p w14:paraId="51DE7C7E" w14:textId="77777777" w:rsidR="0010369C" w:rsidRDefault="008E43AE">
      <w:pPr>
        <w:pStyle w:val="ListParagraph"/>
        <w:numPr>
          <w:ilvl w:val="1"/>
          <w:numId w:val="74"/>
        </w:numPr>
        <w:tabs>
          <w:tab w:val="left" w:pos="1847"/>
          <w:tab w:val="left" w:pos="1848"/>
        </w:tabs>
        <w:spacing w:before="257" w:line="360" w:lineRule="auto"/>
        <w:ind w:left="1831" w:right="115" w:hanging="843"/>
        <w:rPr>
          <w:color w:val="070707"/>
          <w:sz w:val="24"/>
        </w:rPr>
      </w:pPr>
      <w:r>
        <w:rPr>
          <w:color w:val="070707"/>
          <w:sz w:val="24"/>
        </w:rPr>
        <w:t>(ii) MOFCOM erroneously replaced Casella Wines' reported domestic sa</w:t>
      </w:r>
      <w:r>
        <w:rPr>
          <w:color w:val="070707"/>
          <w:sz w:val="24"/>
        </w:rPr>
        <w:t>les data with that of "other respondents". While MOFCOM did not identify these "other respondents", given Swan Vintage's domestic sales data was rejected, this could only mean Treasury Wines' data.</w:t>
      </w:r>
    </w:p>
    <w:p w14:paraId="51DE7C7F" w14:textId="77777777" w:rsidR="0010369C" w:rsidRDefault="008E43AE">
      <w:pPr>
        <w:pStyle w:val="ListParagraph"/>
        <w:numPr>
          <w:ilvl w:val="0"/>
          <w:numId w:val="74"/>
        </w:numPr>
        <w:tabs>
          <w:tab w:val="left" w:pos="987"/>
        </w:tabs>
        <w:spacing w:line="360" w:lineRule="auto"/>
        <w:ind w:left="132" w:right="118" w:hanging="12"/>
        <w:jc w:val="both"/>
        <w:rPr>
          <w:sz w:val="24"/>
        </w:rPr>
      </w:pPr>
      <w:r>
        <w:rPr>
          <w:color w:val="070707"/>
          <w:sz w:val="24"/>
        </w:rPr>
        <w:t>For Swan Vintage, MOFCOM's inflated normal value determination was incorrectly grounded in its rejections of Swan Vintage's domestic prices, production costs and expenses</w:t>
      </w:r>
    </w:p>
    <w:p w14:paraId="51DE7C80" w14:textId="77777777" w:rsidR="0010369C" w:rsidRDefault="0010369C">
      <w:pPr>
        <w:pStyle w:val="BodyText"/>
        <w:rPr>
          <w:sz w:val="20"/>
        </w:rPr>
      </w:pPr>
    </w:p>
    <w:p w14:paraId="51DE7C81" w14:textId="77777777" w:rsidR="0010369C" w:rsidRDefault="0010369C">
      <w:pPr>
        <w:pStyle w:val="BodyText"/>
        <w:rPr>
          <w:sz w:val="20"/>
        </w:rPr>
      </w:pPr>
    </w:p>
    <w:p w14:paraId="51DE7C82" w14:textId="77777777" w:rsidR="0010369C" w:rsidRDefault="0010369C">
      <w:pPr>
        <w:pStyle w:val="BodyText"/>
        <w:rPr>
          <w:sz w:val="20"/>
        </w:rPr>
      </w:pPr>
    </w:p>
    <w:p w14:paraId="51DE7C83" w14:textId="77777777" w:rsidR="0010369C" w:rsidRDefault="0010369C">
      <w:pPr>
        <w:pStyle w:val="BodyText"/>
        <w:rPr>
          <w:sz w:val="20"/>
        </w:rPr>
      </w:pPr>
    </w:p>
    <w:p w14:paraId="51DE7C84" w14:textId="77777777" w:rsidR="0010369C" w:rsidRDefault="0010369C">
      <w:pPr>
        <w:pStyle w:val="BodyText"/>
        <w:rPr>
          <w:sz w:val="20"/>
        </w:rPr>
      </w:pPr>
    </w:p>
    <w:p w14:paraId="51DE7C85" w14:textId="77777777" w:rsidR="0010369C" w:rsidRDefault="0010369C">
      <w:pPr>
        <w:pStyle w:val="BodyText"/>
        <w:rPr>
          <w:sz w:val="20"/>
        </w:rPr>
      </w:pPr>
    </w:p>
    <w:p w14:paraId="51DE7C86" w14:textId="77777777" w:rsidR="0010369C" w:rsidRDefault="0010369C">
      <w:pPr>
        <w:pStyle w:val="BodyText"/>
        <w:rPr>
          <w:sz w:val="20"/>
        </w:rPr>
      </w:pPr>
    </w:p>
    <w:p w14:paraId="51DE7C87" w14:textId="77777777" w:rsidR="0010369C" w:rsidRDefault="0010369C">
      <w:pPr>
        <w:pStyle w:val="BodyText"/>
        <w:rPr>
          <w:sz w:val="20"/>
        </w:rPr>
      </w:pPr>
    </w:p>
    <w:p w14:paraId="51DE7C88" w14:textId="77777777" w:rsidR="0010369C" w:rsidRDefault="0010369C">
      <w:pPr>
        <w:pStyle w:val="BodyText"/>
        <w:rPr>
          <w:sz w:val="20"/>
        </w:rPr>
      </w:pPr>
    </w:p>
    <w:p w14:paraId="51DE7C89" w14:textId="77777777" w:rsidR="0010369C" w:rsidRDefault="0010369C">
      <w:pPr>
        <w:pStyle w:val="BodyText"/>
        <w:rPr>
          <w:sz w:val="20"/>
        </w:rPr>
      </w:pPr>
    </w:p>
    <w:p w14:paraId="51DE7C8A" w14:textId="77777777" w:rsidR="0010369C" w:rsidRDefault="0010369C">
      <w:pPr>
        <w:pStyle w:val="BodyText"/>
        <w:rPr>
          <w:sz w:val="20"/>
        </w:rPr>
      </w:pPr>
    </w:p>
    <w:p w14:paraId="51DE7C8B" w14:textId="77777777" w:rsidR="0010369C" w:rsidRDefault="0010369C">
      <w:pPr>
        <w:pStyle w:val="BodyText"/>
        <w:spacing w:before="10"/>
        <w:rPr>
          <w:sz w:val="29"/>
        </w:rPr>
      </w:pPr>
    </w:p>
    <w:p w14:paraId="51DE7C8C" w14:textId="77777777" w:rsidR="0010369C" w:rsidRDefault="008E43AE">
      <w:pPr>
        <w:spacing w:before="116"/>
        <w:ind w:right="127"/>
        <w:jc w:val="right"/>
        <w:rPr>
          <w:b/>
        </w:rPr>
      </w:pPr>
      <w:r>
        <w:rPr>
          <w:b/>
          <w:color w:val="080808"/>
          <w:spacing w:val="-5"/>
        </w:rPr>
        <w:t>44</w:t>
      </w:r>
    </w:p>
    <w:p w14:paraId="51DE7C8D" w14:textId="77777777" w:rsidR="0010369C" w:rsidRDefault="0010369C">
      <w:pPr>
        <w:jc w:val="right"/>
        <w:sectPr w:rsidR="0010369C">
          <w:headerReference w:type="default" r:id="rId81"/>
          <w:footerReference w:type="default" r:id="rId82"/>
          <w:pgSz w:w="11900" w:h="16830"/>
          <w:pgMar w:top="520" w:right="1300" w:bottom="280" w:left="1280" w:header="0" w:footer="0" w:gutter="0"/>
          <w:cols w:space="720"/>
        </w:sectPr>
      </w:pPr>
    </w:p>
    <w:p w14:paraId="51DE7C8E" w14:textId="77777777" w:rsidR="0010369C" w:rsidRDefault="008E43AE">
      <w:pPr>
        <w:tabs>
          <w:tab w:val="left" w:pos="6426"/>
        </w:tabs>
        <w:ind w:left="238"/>
        <w:jc w:val="both"/>
        <w:rPr>
          <w:sz w:val="20"/>
        </w:rPr>
      </w:pPr>
      <w:r>
        <w:rPr>
          <w:i/>
          <w:sz w:val="20"/>
        </w:rPr>
        <w:lastRenderedPageBreak/>
        <w:t>China</w:t>
      </w:r>
      <w:r>
        <w:rPr>
          <w:i/>
          <w:spacing w:val="-5"/>
          <w:sz w:val="20"/>
        </w:rPr>
        <w:t xml:space="preserve"> </w:t>
      </w:r>
      <w:r>
        <w:rPr>
          <w:i/>
          <w:sz w:val="20"/>
        </w:rPr>
        <w:t>–</w:t>
      </w:r>
      <w:r>
        <w:rPr>
          <w:i/>
          <w:spacing w:val="-5"/>
          <w:sz w:val="20"/>
        </w:rPr>
        <w:t xml:space="preserve"> </w:t>
      </w:r>
      <w:r>
        <w:rPr>
          <w:i/>
          <w:sz w:val="20"/>
        </w:rPr>
        <w:t>Anti‐Dumping</w:t>
      </w:r>
      <w:r>
        <w:rPr>
          <w:i/>
          <w:spacing w:val="-4"/>
          <w:sz w:val="20"/>
        </w:rPr>
        <w:t xml:space="preserve"> </w:t>
      </w:r>
      <w:r>
        <w:rPr>
          <w:i/>
          <w:sz w:val="20"/>
        </w:rPr>
        <w:t>and</w:t>
      </w:r>
      <w:r>
        <w:rPr>
          <w:i/>
          <w:spacing w:val="-5"/>
          <w:sz w:val="20"/>
        </w:rPr>
        <w:t xml:space="preserve"> </w:t>
      </w:r>
      <w:r>
        <w:rPr>
          <w:i/>
          <w:sz w:val="20"/>
        </w:rPr>
        <w:t>Countervailing</w:t>
      </w:r>
      <w:r>
        <w:rPr>
          <w:i/>
          <w:spacing w:val="-5"/>
          <w:sz w:val="20"/>
        </w:rPr>
        <w:t xml:space="preserve"> </w:t>
      </w:r>
      <w:r>
        <w:rPr>
          <w:i/>
          <w:sz w:val="20"/>
        </w:rPr>
        <w:t>Duty</w:t>
      </w:r>
      <w:r>
        <w:rPr>
          <w:i/>
          <w:spacing w:val="-4"/>
          <w:sz w:val="20"/>
        </w:rPr>
        <w:t xml:space="preserve"> </w:t>
      </w:r>
      <w:r>
        <w:rPr>
          <w:i/>
          <w:spacing w:val="-2"/>
          <w:sz w:val="20"/>
        </w:rPr>
        <w:t>Measures</w:t>
      </w:r>
      <w:r>
        <w:rPr>
          <w:i/>
          <w:sz w:val="20"/>
        </w:rPr>
        <w:tab/>
      </w:r>
      <w:r>
        <w:rPr>
          <w:sz w:val="20"/>
        </w:rPr>
        <w:t>Australia's</w:t>
      </w:r>
      <w:r>
        <w:rPr>
          <w:spacing w:val="-7"/>
          <w:sz w:val="20"/>
        </w:rPr>
        <w:t xml:space="preserve"> </w:t>
      </w:r>
      <w:r>
        <w:rPr>
          <w:sz w:val="20"/>
        </w:rPr>
        <w:t>First</w:t>
      </w:r>
      <w:r>
        <w:rPr>
          <w:spacing w:val="-2"/>
          <w:sz w:val="20"/>
        </w:rPr>
        <w:t xml:space="preserve"> </w:t>
      </w:r>
      <w:r>
        <w:rPr>
          <w:sz w:val="20"/>
        </w:rPr>
        <w:t>Written</w:t>
      </w:r>
      <w:r>
        <w:rPr>
          <w:spacing w:val="-2"/>
          <w:sz w:val="20"/>
        </w:rPr>
        <w:t xml:space="preserve"> Submission</w:t>
      </w:r>
    </w:p>
    <w:p w14:paraId="51DE7C8F" w14:textId="77777777" w:rsidR="0010369C" w:rsidRDefault="008E43AE">
      <w:pPr>
        <w:tabs>
          <w:tab w:val="left" w:pos="8228"/>
        </w:tabs>
        <w:spacing w:before="1"/>
        <w:ind w:left="239"/>
        <w:jc w:val="both"/>
        <w:rPr>
          <w:sz w:val="20"/>
        </w:rPr>
      </w:pPr>
      <w:r>
        <w:rPr>
          <w:i/>
          <w:sz w:val="20"/>
        </w:rPr>
        <w:t>on</w:t>
      </w:r>
      <w:r>
        <w:rPr>
          <w:i/>
          <w:spacing w:val="-1"/>
          <w:sz w:val="20"/>
        </w:rPr>
        <w:t xml:space="preserve"> </w:t>
      </w:r>
      <w:r>
        <w:rPr>
          <w:i/>
          <w:sz w:val="20"/>
        </w:rPr>
        <w:t>Wine</w:t>
      </w:r>
      <w:r>
        <w:rPr>
          <w:i/>
          <w:spacing w:val="-1"/>
          <w:sz w:val="20"/>
        </w:rPr>
        <w:t xml:space="preserve"> </w:t>
      </w:r>
      <w:r>
        <w:rPr>
          <w:i/>
          <w:sz w:val="20"/>
        </w:rPr>
        <w:t>from</w:t>
      </w:r>
      <w:r>
        <w:rPr>
          <w:i/>
          <w:spacing w:val="-3"/>
          <w:sz w:val="20"/>
        </w:rPr>
        <w:t xml:space="preserve"> </w:t>
      </w:r>
      <w:r>
        <w:rPr>
          <w:i/>
          <w:sz w:val="20"/>
        </w:rPr>
        <w:t>Australia</w:t>
      </w:r>
      <w:r>
        <w:rPr>
          <w:i/>
          <w:spacing w:val="-1"/>
          <w:sz w:val="20"/>
        </w:rPr>
        <w:t xml:space="preserve"> </w:t>
      </w:r>
      <w:r>
        <w:rPr>
          <w:spacing w:val="-2"/>
          <w:sz w:val="20"/>
        </w:rPr>
        <w:t>(DS602)</w:t>
      </w:r>
      <w:r>
        <w:rPr>
          <w:sz w:val="20"/>
        </w:rPr>
        <w:tab/>
        <w:t>29</w:t>
      </w:r>
      <w:r>
        <w:rPr>
          <w:spacing w:val="-1"/>
          <w:sz w:val="20"/>
        </w:rPr>
        <w:t xml:space="preserve"> </w:t>
      </w:r>
      <w:r>
        <w:rPr>
          <w:sz w:val="20"/>
        </w:rPr>
        <w:t>April</w:t>
      </w:r>
      <w:r>
        <w:rPr>
          <w:spacing w:val="-2"/>
          <w:sz w:val="20"/>
        </w:rPr>
        <w:t xml:space="preserve"> </w:t>
      </w:r>
      <w:r>
        <w:rPr>
          <w:spacing w:val="-4"/>
          <w:sz w:val="20"/>
        </w:rPr>
        <w:t>2022</w:t>
      </w:r>
    </w:p>
    <w:p w14:paraId="51DE7C90" w14:textId="77777777" w:rsidR="0010369C" w:rsidRDefault="008E43AE">
      <w:pPr>
        <w:pStyle w:val="BodyText"/>
        <w:spacing w:before="34" w:line="360" w:lineRule="auto"/>
        <w:ind w:left="237" w:right="613"/>
        <w:jc w:val="both"/>
      </w:pPr>
      <w:r>
        <w:t>and</w:t>
      </w:r>
      <w:r>
        <w:rPr>
          <w:spacing w:val="-12"/>
        </w:rPr>
        <w:t xml:space="preserve"> </w:t>
      </w:r>
      <w:r>
        <w:t>replacement</w:t>
      </w:r>
      <w:r>
        <w:rPr>
          <w:spacing w:val="-13"/>
        </w:rPr>
        <w:t xml:space="preserve"> </w:t>
      </w:r>
      <w:r>
        <w:t>of</w:t>
      </w:r>
      <w:r>
        <w:rPr>
          <w:spacing w:val="-12"/>
        </w:rPr>
        <w:t xml:space="preserve"> </w:t>
      </w:r>
      <w:r>
        <w:t>this</w:t>
      </w:r>
      <w:r>
        <w:rPr>
          <w:spacing w:val="-13"/>
        </w:rPr>
        <w:t xml:space="preserve"> </w:t>
      </w:r>
      <w:r>
        <w:t>information</w:t>
      </w:r>
      <w:r>
        <w:rPr>
          <w:spacing w:val="-11"/>
        </w:rPr>
        <w:t xml:space="preserve"> </w:t>
      </w:r>
      <w:r>
        <w:t>with</w:t>
      </w:r>
      <w:r>
        <w:rPr>
          <w:spacing w:val="-12"/>
        </w:rPr>
        <w:t xml:space="preserve"> </w:t>
      </w:r>
      <w:r>
        <w:t>"the</w:t>
      </w:r>
      <w:r>
        <w:rPr>
          <w:spacing w:val="-12"/>
        </w:rPr>
        <w:t xml:space="preserve"> </w:t>
      </w:r>
      <w:r>
        <w:t>weighted</w:t>
      </w:r>
      <w:r>
        <w:rPr>
          <w:spacing w:val="-13"/>
        </w:rPr>
        <w:t xml:space="preserve"> </w:t>
      </w:r>
      <w:r>
        <w:t>average</w:t>
      </w:r>
      <w:r>
        <w:rPr>
          <w:spacing w:val="-12"/>
        </w:rPr>
        <w:t xml:space="preserve"> </w:t>
      </w:r>
      <w:r>
        <w:t>price</w:t>
      </w:r>
      <w:r>
        <w:rPr>
          <w:spacing w:val="-13"/>
        </w:rPr>
        <w:t xml:space="preserve"> </w:t>
      </w:r>
      <w:r>
        <w:t>of</w:t>
      </w:r>
      <w:r>
        <w:rPr>
          <w:spacing w:val="-12"/>
        </w:rPr>
        <w:t xml:space="preserve"> </w:t>
      </w:r>
      <w:r>
        <w:t>domestic</w:t>
      </w:r>
      <w:r>
        <w:rPr>
          <w:spacing w:val="-10"/>
        </w:rPr>
        <w:t xml:space="preserve"> </w:t>
      </w:r>
      <w:r>
        <w:t>sales</w:t>
      </w:r>
      <w:r>
        <w:rPr>
          <w:spacing w:val="-12"/>
        </w:rPr>
        <w:t xml:space="preserve"> </w:t>
      </w:r>
      <w:r>
        <w:t>of</w:t>
      </w:r>
      <w:r>
        <w:rPr>
          <w:spacing w:val="-12"/>
        </w:rPr>
        <w:t xml:space="preserve"> </w:t>
      </w:r>
      <w:r>
        <w:t>the product</w:t>
      </w:r>
      <w:r>
        <w:rPr>
          <w:spacing w:val="-3"/>
        </w:rPr>
        <w:t xml:space="preserve"> </w:t>
      </w:r>
      <w:r>
        <w:t>under</w:t>
      </w:r>
      <w:r>
        <w:rPr>
          <w:spacing w:val="-4"/>
        </w:rPr>
        <w:t xml:space="preserve"> </w:t>
      </w:r>
      <w:r>
        <w:t>investigation</w:t>
      </w:r>
      <w:r>
        <w:rPr>
          <w:spacing w:val="-3"/>
        </w:rPr>
        <w:t xml:space="preserve"> </w:t>
      </w:r>
      <w:r>
        <w:t>given</w:t>
      </w:r>
      <w:r>
        <w:rPr>
          <w:spacing w:val="-4"/>
        </w:rPr>
        <w:t xml:space="preserve"> </w:t>
      </w:r>
      <w:r>
        <w:t>by</w:t>
      </w:r>
      <w:r>
        <w:rPr>
          <w:spacing w:val="-4"/>
        </w:rPr>
        <w:t xml:space="preserve"> </w:t>
      </w:r>
      <w:r>
        <w:t>other</w:t>
      </w:r>
      <w:r>
        <w:rPr>
          <w:spacing w:val="-4"/>
        </w:rPr>
        <w:t xml:space="preserve"> </w:t>
      </w:r>
      <w:r>
        <w:t>respondents".</w:t>
      </w:r>
      <w:r>
        <w:rPr>
          <w:spacing w:val="-4"/>
        </w:rPr>
        <w:t xml:space="preserve"> </w:t>
      </w:r>
      <w:r>
        <w:t>Given</w:t>
      </w:r>
      <w:r>
        <w:rPr>
          <w:spacing w:val="-4"/>
        </w:rPr>
        <w:t xml:space="preserve"> </w:t>
      </w:r>
      <w:r>
        <w:t>that</w:t>
      </w:r>
      <w:r>
        <w:rPr>
          <w:spacing w:val="-4"/>
        </w:rPr>
        <w:t xml:space="preserve"> </w:t>
      </w:r>
      <w:r>
        <w:t>Casella</w:t>
      </w:r>
      <w:r>
        <w:rPr>
          <w:spacing w:val="-3"/>
        </w:rPr>
        <w:t xml:space="preserve"> </w:t>
      </w:r>
      <w:r>
        <w:t>Wines'</w:t>
      </w:r>
      <w:r>
        <w:rPr>
          <w:spacing w:val="-4"/>
        </w:rPr>
        <w:t xml:space="preserve"> </w:t>
      </w:r>
      <w:r>
        <w:t>domestic sales data was rejected, this could only mean Treasury Wines' data.</w:t>
      </w:r>
    </w:p>
    <w:p w14:paraId="51DE7C91" w14:textId="77777777" w:rsidR="0010369C" w:rsidRDefault="0010369C">
      <w:pPr>
        <w:pStyle w:val="BodyText"/>
        <w:spacing w:before="11"/>
        <w:rPr>
          <w:sz w:val="8"/>
        </w:rPr>
      </w:pPr>
    </w:p>
    <w:p w14:paraId="51DE7C92" w14:textId="77777777" w:rsidR="0010369C" w:rsidRDefault="008E43AE">
      <w:pPr>
        <w:pStyle w:val="BodyText"/>
        <w:spacing w:before="52" w:line="360" w:lineRule="auto"/>
        <w:ind w:left="236" w:right="614" w:firstLine="852"/>
        <w:jc w:val="both"/>
      </w:pPr>
      <w:r>
        <w:rPr>
          <w:noProof/>
        </w:rPr>
        <w:drawing>
          <wp:anchor distT="0" distB="0" distL="0" distR="0" simplePos="0" relativeHeight="250740224" behindDoc="1" locked="0" layoutInCell="1" allowOverlap="1" wp14:anchorId="51DE9D63" wp14:editId="51DE9D64">
            <wp:simplePos x="0" y="0"/>
            <wp:positionH relativeFrom="page">
              <wp:posOffset>899160</wp:posOffset>
            </wp:positionH>
            <wp:positionV relativeFrom="paragraph">
              <wp:posOffset>80595</wp:posOffset>
            </wp:positionV>
            <wp:extent cx="185928" cy="103631"/>
            <wp:effectExtent l="0" t="0" r="0" b="0"/>
            <wp:wrapNone/>
            <wp:docPr id="79"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48.png"/>
                    <pic:cNvPicPr/>
                  </pic:nvPicPr>
                  <pic:blipFill>
                    <a:blip r:embed="rId83" cstate="print"/>
                    <a:stretch>
                      <a:fillRect/>
                    </a:stretch>
                  </pic:blipFill>
                  <pic:spPr>
                    <a:xfrm>
                      <a:off x="0" y="0"/>
                      <a:ext cx="185928" cy="103631"/>
                    </a:xfrm>
                    <a:prstGeom prst="rect">
                      <a:avLst/>
                    </a:prstGeom>
                  </pic:spPr>
                </pic:pic>
              </a:graphicData>
            </a:graphic>
          </wp:anchor>
        </w:drawing>
      </w:r>
      <w:r>
        <w:t>These errors led to inflated margins of dumping which were further inflated by MOFCOM</w:t>
      </w:r>
      <w:r>
        <w:rPr>
          <w:spacing w:val="-11"/>
        </w:rPr>
        <w:t xml:space="preserve"> </w:t>
      </w:r>
      <w:r>
        <w:t>not</w:t>
      </w:r>
      <w:r>
        <w:rPr>
          <w:spacing w:val="-11"/>
        </w:rPr>
        <w:t xml:space="preserve"> </w:t>
      </w:r>
      <w:r>
        <w:t>making</w:t>
      </w:r>
      <w:r>
        <w:rPr>
          <w:spacing w:val="-11"/>
        </w:rPr>
        <w:t xml:space="preserve"> </w:t>
      </w:r>
      <w:r>
        <w:t>a</w:t>
      </w:r>
      <w:r>
        <w:rPr>
          <w:spacing w:val="-11"/>
        </w:rPr>
        <w:t xml:space="preserve"> </w:t>
      </w:r>
      <w:r>
        <w:t>fair</w:t>
      </w:r>
      <w:r>
        <w:rPr>
          <w:spacing w:val="-11"/>
        </w:rPr>
        <w:t xml:space="preserve"> </w:t>
      </w:r>
      <w:r>
        <w:t>comparison</w:t>
      </w:r>
      <w:r>
        <w:rPr>
          <w:spacing w:val="-11"/>
        </w:rPr>
        <w:t xml:space="preserve"> </w:t>
      </w:r>
      <w:r>
        <w:t>between</w:t>
      </w:r>
      <w:r>
        <w:rPr>
          <w:spacing w:val="-11"/>
        </w:rPr>
        <w:t xml:space="preserve"> </w:t>
      </w:r>
      <w:r>
        <w:t>these</w:t>
      </w:r>
      <w:r>
        <w:rPr>
          <w:spacing w:val="-11"/>
        </w:rPr>
        <w:t xml:space="preserve"> </w:t>
      </w:r>
      <w:r>
        <w:t>normal</w:t>
      </w:r>
      <w:r>
        <w:rPr>
          <w:spacing w:val="-11"/>
        </w:rPr>
        <w:t xml:space="preserve"> </w:t>
      </w:r>
      <w:r>
        <w:t>values</w:t>
      </w:r>
      <w:r>
        <w:rPr>
          <w:spacing w:val="-12"/>
        </w:rPr>
        <w:t xml:space="preserve"> </w:t>
      </w:r>
      <w:r>
        <w:t>and</w:t>
      </w:r>
      <w:r>
        <w:rPr>
          <w:spacing w:val="-11"/>
        </w:rPr>
        <w:t xml:space="preserve"> </w:t>
      </w:r>
      <w:r>
        <w:t>export</w:t>
      </w:r>
      <w:r>
        <w:rPr>
          <w:spacing w:val="-12"/>
        </w:rPr>
        <w:t xml:space="preserve"> </w:t>
      </w:r>
      <w:r>
        <w:t>prices</w:t>
      </w:r>
      <w:r>
        <w:rPr>
          <w:spacing w:val="-11"/>
        </w:rPr>
        <w:t xml:space="preserve"> </w:t>
      </w:r>
      <w:r>
        <w:t>at</w:t>
      </w:r>
      <w:r>
        <w:rPr>
          <w:spacing w:val="-11"/>
        </w:rPr>
        <w:t xml:space="preserve"> </w:t>
      </w:r>
      <w:r>
        <w:t>the same level of trade and by failing to make due allowance for differences affecting compa</w:t>
      </w:r>
      <w:r>
        <w:t>rability, including differences related to product mix and levels of trade.</w:t>
      </w:r>
    </w:p>
    <w:p w14:paraId="51DE7C93" w14:textId="77777777" w:rsidR="0010369C" w:rsidRDefault="0010369C">
      <w:pPr>
        <w:pStyle w:val="BodyText"/>
        <w:spacing w:before="10"/>
        <w:rPr>
          <w:sz w:val="8"/>
        </w:rPr>
      </w:pPr>
    </w:p>
    <w:p w14:paraId="51DE7C94" w14:textId="77777777" w:rsidR="0010369C" w:rsidRDefault="008E43AE">
      <w:pPr>
        <w:pStyle w:val="BodyText"/>
        <w:spacing w:before="52" w:line="360" w:lineRule="auto"/>
        <w:ind w:left="238" w:right="613" w:firstLine="851"/>
        <w:jc w:val="both"/>
      </w:pPr>
      <w:r>
        <w:rPr>
          <w:noProof/>
        </w:rPr>
        <w:drawing>
          <wp:anchor distT="0" distB="0" distL="0" distR="0" simplePos="0" relativeHeight="250741248" behindDoc="1" locked="0" layoutInCell="1" allowOverlap="1" wp14:anchorId="51DE9D65" wp14:editId="51DE9D66">
            <wp:simplePos x="0" y="0"/>
            <wp:positionH relativeFrom="page">
              <wp:posOffset>899160</wp:posOffset>
            </wp:positionH>
            <wp:positionV relativeFrom="paragraph">
              <wp:posOffset>81949</wp:posOffset>
            </wp:positionV>
            <wp:extent cx="185928" cy="100753"/>
            <wp:effectExtent l="0" t="0" r="0" b="0"/>
            <wp:wrapNone/>
            <wp:docPr id="81"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49.png"/>
                    <pic:cNvPicPr/>
                  </pic:nvPicPr>
                  <pic:blipFill>
                    <a:blip r:embed="rId84" cstate="print"/>
                    <a:stretch>
                      <a:fillRect/>
                    </a:stretch>
                  </pic:blipFill>
                  <pic:spPr>
                    <a:xfrm>
                      <a:off x="0" y="0"/>
                      <a:ext cx="185928" cy="100753"/>
                    </a:xfrm>
                    <a:prstGeom prst="rect">
                      <a:avLst/>
                    </a:prstGeom>
                  </pic:spPr>
                </pic:pic>
              </a:graphicData>
            </a:graphic>
          </wp:anchor>
        </w:drawing>
      </w:r>
      <w:r>
        <w:t>MOFCOM</w:t>
      </w:r>
      <w:r>
        <w:rPr>
          <w:spacing w:val="-12"/>
        </w:rPr>
        <w:t xml:space="preserve"> </w:t>
      </w:r>
      <w:r>
        <w:t>then</w:t>
      </w:r>
      <w:r>
        <w:rPr>
          <w:spacing w:val="-13"/>
        </w:rPr>
        <w:t xml:space="preserve"> </w:t>
      </w:r>
      <w:r>
        <w:t>relied</w:t>
      </w:r>
      <w:r>
        <w:rPr>
          <w:spacing w:val="-13"/>
        </w:rPr>
        <w:t xml:space="preserve"> </w:t>
      </w:r>
      <w:r>
        <w:t>upon</w:t>
      </w:r>
      <w:r>
        <w:rPr>
          <w:spacing w:val="-12"/>
        </w:rPr>
        <w:t xml:space="preserve"> </w:t>
      </w:r>
      <w:r>
        <w:t>the</w:t>
      </w:r>
      <w:r>
        <w:rPr>
          <w:spacing w:val="-12"/>
        </w:rPr>
        <w:t xml:space="preserve"> </w:t>
      </w:r>
      <w:r>
        <w:t>findings</w:t>
      </w:r>
      <w:r>
        <w:rPr>
          <w:spacing w:val="-12"/>
        </w:rPr>
        <w:t xml:space="preserve"> </w:t>
      </w:r>
      <w:r>
        <w:t>it</w:t>
      </w:r>
      <w:r>
        <w:rPr>
          <w:spacing w:val="-12"/>
        </w:rPr>
        <w:t xml:space="preserve"> </w:t>
      </w:r>
      <w:r>
        <w:t>had</w:t>
      </w:r>
      <w:r>
        <w:rPr>
          <w:spacing w:val="-12"/>
        </w:rPr>
        <w:t xml:space="preserve"> </w:t>
      </w:r>
      <w:r>
        <w:t>made</w:t>
      </w:r>
      <w:r>
        <w:rPr>
          <w:spacing w:val="-12"/>
        </w:rPr>
        <w:t xml:space="preserve"> </w:t>
      </w:r>
      <w:r>
        <w:t>in</w:t>
      </w:r>
      <w:r>
        <w:rPr>
          <w:spacing w:val="-12"/>
        </w:rPr>
        <w:t xml:space="preserve"> </w:t>
      </w:r>
      <w:r>
        <w:t>respect</w:t>
      </w:r>
      <w:r>
        <w:rPr>
          <w:spacing w:val="-13"/>
        </w:rPr>
        <w:t xml:space="preserve"> </w:t>
      </w:r>
      <w:r>
        <w:t>of</w:t>
      </w:r>
      <w:r>
        <w:rPr>
          <w:spacing w:val="-12"/>
        </w:rPr>
        <w:t xml:space="preserve"> </w:t>
      </w:r>
      <w:r>
        <w:t>each</w:t>
      </w:r>
      <w:r>
        <w:rPr>
          <w:spacing w:val="-13"/>
        </w:rPr>
        <w:t xml:space="preserve"> </w:t>
      </w:r>
      <w:r>
        <w:t>of</w:t>
      </w:r>
      <w:r>
        <w:rPr>
          <w:spacing w:val="-14"/>
        </w:rPr>
        <w:t xml:space="preserve"> </w:t>
      </w:r>
      <w:r>
        <w:t>the</w:t>
      </w:r>
      <w:r>
        <w:rPr>
          <w:spacing w:val="-12"/>
        </w:rPr>
        <w:t xml:space="preserve"> </w:t>
      </w:r>
      <w:r>
        <w:t>sampled companies to:</w:t>
      </w:r>
    </w:p>
    <w:p w14:paraId="51DE7C95" w14:textId="77777777" w:rsidR="0010369C" w:rsidRDefault="008E43AE">
      <w:pPr>
        <w:pStyle w:val="ListParagraph"/>
        <w:numPr>
          <w:ilvl w:val="0"/>
          <w:numId w:val="71"/>
        </w:numPr>
        <w:tabs>
          <w:tab w:val="left" w:pos="1810"/>
        </w:tabs>
        <w:spacing w:before="161" w:line="357" w:lineRule="auto"/>
        <w:ind w:right="614" w:hanging="360"/>
        <w:rPr>
          <w:sz w:val="24"/>
        </w:rPr>
      </w:pPr>
      <w:r>
        <w:rPr>
          <w:sz w:val="24"/>
        </w:rPr>
        <w:t xml:space="preserve">impose a dumping margin on other named Australian exporters based on a "weighted average" of the margin calculated for each of the sampled </w:t>
      </w:r>
      <w:r>
        <w:rPr>
          <w:spacing w:val="-2"/>
          <w:sz w:val="24"/>
        </w:rPr>
        <w:t>companies;</w:t>
      </w:r>
      <w:r>
        <w:rPr>
          <w:spacing w:val="-2"/>
          <w:sz w:val="24"/>
          <w:vertAlign w:val="superscript"/>
        </w:rPr>
        <w:t>16</w:t>
      </w:r>
    </w:p>
    <w:p w14:paraId="51DE7C96" w14:textId="77777777" w:rsidR="0010369C" w:rsidRDefault="008E43AE">
      <w:pPr>
        <w:pStyle w:val="ListParagraph"/>
        <w:numPr>
          <w:ilvl w:val="0"/>
          <w:numId w:val="71"/>
        </w:numPr>
        <w:tabs>
          <w:tab w:val="left" w:pos="1810"/>
        </w:tabs>
        <w:spacing w:before="7" w:line="357" w:lineRule="auto"/>
        <w:ind w:left="1807" w:right="614" w:hanging="359"/>
        <w:rPr>
          <w:sz w:val="24"/>
        </w:rPr>
      </w:pPr>
      <w:r>
        <w:rPr>
          <w:sz w:val="24"/>
        </w:rPr>
        <w:t>impose a dumping margin on all other Australian producers based on facts available, which, as far as Aus</w:t>
      </w:r>
      <w:r>
        <w:rPr>
          <w:sz w:val="24"/>
        </w:rPr>
        <w:t>tralia can discern, involved making unspecified use</w:t>
      </w:r>
      <w:r>
        <w:rPr>
          <w:spacing w:val="-11"/>
          <w:sz w:val="24"/>
        </w:rPr>
        <w:t xml:space="preserve"> </w:t>
      </w:r>
      <w:r>
        <w:rPr>
          <w:sz w:val="24"/>
        </w:rPr>
        <w:t>of</w:t>
      </w:r>
      <w:r>
        <w:rPr>
          <w:spacing w:val="-12"/>
          <w:sz w:val="24"/>
        </w:rPr>
        <w:t xml:space="preserve"> </w:t>
      </w:r>
      <w:r>
        <w:rPr>
          <w:sz w:val="24"/>
        </w:rPr>
        <w:t>the</w:t>
      </w:r>
      <w:r>
        <w:rPr>
          <w:spacing w:val="-11"/>
          <w:sz w:val="24"/>
        </w:rPr>
        <w:t xml:space="preserve"> </w:t>
      </w:r>
      <w:r>
        <w:rPr>
          <w:sz w:val="24"/>
        </w:rPr>
        <w:t>data</w:t>
      </w:r>
      <w:r>
        <w:rPr>
          <w:spacing w:val="-12"/>
          <w:sz w:val="24"/>
        </w:rPr>
        <w:t xml:space="preserve"> </w:t>
      </w:r>
      <w:r>
        <w:rPr>
          <w:sz w:val="24"/>
        </w:rPr>
        <w:t>submitted</w:t>
      </w:r>
      <w:r>
        <w:rPr>
          <w:spacing w:val="-12"/>
          <w:sz w:val="24"/>
        </w:rPr>
        <w:t xml:space="preserve"> </w:t>
      </w:r>
      <w:r>
        <w:rPr>
          <w:sz w:val="24"/>
        </w:rPr>
        <w:t>by</w:t>
      </w:r>
      <w:r>
        <w:rPr>
          <w:spacing w:val="-12"/>
          <w:sz w:val="24"/>
        </w:rPr>
        <w:t xml:space="preserve"> </w:t>
      </w:r>
      <w:r>
        <w:rPr>
          <w:sz w:val="24"/>
        </w:rPr>
        <w:t>the</w:t>
      </w:r>
      <w:r>
        <w:rPr>
          <w:spacing w:val="-11"/>
          <w:sz w:val="24"/>
        </w:rPr>
        <w:t xml:space="preserve"> </w:t>
      </w:r>
      <w:r>
        <w:rPr>
          <w:sz w:val="24"/>
        </w:rPr>
        <w:t>sampled</w:t>
      </w:r>
      <w:r>
        <w:rPr>
          <w:spacing w:val="-12"/>
          <w:sz w:val="24"/>
        </w:rPr>
        <w:t xml:space="preserve"> </w:t>
      </w:r>
      <w:r>
        <w:rPr>
          <w:sz w:val="24"/>
        </w:rPr>
        <w:t>companies</w:t>
      </w:r>
      <w:r>
        <w:rPr>
          <w:spacing w:val="-13"/>
          <w:sz w:val="24"/>
        </w:rPr>
        <w:t xml:space="preserve"> </w:t>
      </w:r>
      <w:r>
        <w:rPr>
          <w:sz w:val="24"/>
        </w:rPr>
        <w:t>to</w:t>
      </w:r>
      <w:r>
        <w:rPr>
          <w:spacing w:val="-12"/>
          <w:sz w:val="24"/>
        </w:rPr>
        <w:t xml:space="preserve"> </w:t>
      </w:r>
      <w:r>
        <w:rPr>
          <w:sz w:val="24"/>
        </w:rPr>
        <w:t>determine</w:t>
      </w:r>
      <w:r>
        <w:rPr>
          <w:spacing w:val="-12"/>
          <w:sz w:val="24"/>
        </w:rPr>
        <w:t xml:space="preserve"> </w:t>
      </w:r>
      <w:r>
        <w:rPr>
          <w:sz w:val="24"/>
        </w:rPr>
        <w:t>a</w:t>
      </w:r>
      <w:r>
        <w:rPr>
          <w:spacing w:val="-12"/>
          <w:sz w:val="24"/>
        </w:rPr>
        <w:t xml:space="preserve"> </w:t>
      </w:r>
      <w:r>
        <w:rPr>
          <w:sz w:val="24"/>
        </w:rPr>
        <w:t xml:space="preserve">dumping margin significantly higher than that imposed on any of the individual </w:t>
      </w:r>
      <w:r>
        <w:rPr>
          <w:spacing w:val="-2"/>
          <w:sz w:val="24"/>
        </w:rPr>
        <w:t>producers.</w:t>
      </w:r>
    </w:p>
    <w:p w14:paraId="51DE7C97" w14:textId="77777777" w:rsidR="0010369C" w:rsidRDefault="008E43AE">
      <w:pPr>
        <w:pStyle w:val="BodyText"/>
        <w:spacing w:before="135" w:line="360" w:lineRule="auto"/>
        <w:ind w:left="237" w:right="614" w:firstLine="851"/>
        <w:jc w:val="both"/>
      </w:pPr>
      <w:r>
        <w:rPr>
          <w:noProof/>
        </w:rPr>
        <w:drawing>
          <wp:anchor distT="0" distB="0" distL="0" distR="0" simplePos="0" relativeHeight="250742272" behindDoc="1" locked="0" layoutInCell="1" allowOverlap="1" wp14:anchorId="51DE9D67" wp14:editId="51DE9D68">
            <wp:simplePos x="0" y="0"/>
            <wp:positionH relativeFrom="page">
              <wp:posOffset>899160</wp:posOffset>
            </wp:positionH>
            <wp:positionV relativeFrom="paragraph">
              <wp:posOffset>131014</wp:posOffset>
            </wp:positionV>
            <wp:extent cx="185928" cy="106679"/>
            <wp:effectExtent l="0" t="0" r="0" b="0"/>
            <wp:wrapNone/>
            <wp:docPr id="83"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50.png"/>
                    <pic:cNvPicPr/>
                  </pic:nvPicPr>
                  <pic:blipFill>
                    <a:blip r:embed="rId85" cstate="print"/>
                    <a:stretch>
                      <a:fillRect/>
                    </a:stretch>
                  </pic:blipFill>
                  <pic:spPr>
                    <a:xfrm>
                      <a:off x="0" y="0"/>
                      <a:ext cx="185928" cy="106679"/>
                    </a:xfrm>
                    <a:prstGeom prst="rect">
                      <a:avLst/>
                    </a:prstGeom>
                  </pic:spPr>
                </pic:pic>
              </a:graphicData>
            </a:graphic>
          </wp:anchor>
        </w:drawing>
      </w:r>
      <w:r>
        <w:t>Given that each successive dumping determination is</w:t>
      </w:r>
      <w:r>
        <w:t xml:space="preserve"> based in part on a preceding determination, if the Panel finds one determination by MOFCOM in this chain to be inconsistent with China's obligations, the other successive determinations will be, </w:t>
      </w:r>
      <w:r>
        <w:rPr>
          <w:i/>
        </w:rPr>
        <w:t>ipso facto</w:t>
      </w:r>
      <w:r>
        <w:t xml:space="preserve">, </w:t>
      </w:r>
      <w:r>
        <w:rPr>
          <w:spacing w:val="-2"/>
        </w:rPr>
        <w:t>inconsistent.</w:t>
      </w:r>
    </w:p>
    <w:p w14:paraId="51DE7C98" w14:textId="77777777" w:rsidR="0010369C" w:rsidRDefault="008E43AE">
      <w:pPr>
        <w:pStyle w:val="ListParagraph"/>
        <w:numPr>
          <w:ilvl w:val="1"/>
          <w:numId w:val="75"/>
        </w:numPr>
        <w:tabs>
          <w:tab w:val="left" w:pos="1940"/>
          <w:tab w:val="left" w:pos="1941"/>
        </w:tabs>
        <w:spacing w:before="160"/>
        <w:ind w:left="1940" w:hanging="852"/>
        <w:jc w:val="left"/>
        <w:rPr>
          <w:b/>
          <w:sz w:val="28"/>
        </w:rPr>
      </w:pPr>
      <w:r>
        <w:rPr>
          <w:b/>
          <w:sz w:val="28"/>
        </w:rPr>
        <w:t>L</w:t>
      </w:r>
      <w:r>
        <w:rPr>
          <w:b/>
        </w:rPr>
        <w:t>EGAL</w:t>
      </w:r>
      <w:r>
        <w:rPr>
          <w:b/>
          <w:spacing w:val="-8"/>
        </w:rPr>
        <w:t xml:space="preserve"> </w:t>
      </w:r>
      <w:r>
        <w:rPr>
          <w:b/>
          <w:spacing w:val="-2"/>
        </w:rPr>
        <w:t>FRAMEWORK</w:t>
      </w:r>
    </w:p>
    <w:p w14:paraId="51DE7C99" w14:textId="77777777" w:rsidR="0010369C" w:rsidRDefault="0010369C">
      <w:pPr>
        <w:pStyle w:val="BodyText"/>
        <w:spacing w:before="9"/>
        <w:rPr>
          <w:b/>
          <w:sz w:val="22"/>
        </w:rPr>
      </w:pPr>
    </w:p>
    <w:p w14:paraId="51DE7C9A" w14:textId="77777777" w:rsidR="0010369C" w:rsidRDefault="008E43AE">
      <w:pPr>
        <w:pStyle w:val="BodyText"/>
        <w:spacing w:before="52" w:line="360" w:lineRule="auto"/>
        <w:ind w:left="237" w:right="614" w:firstLine="851"/>
        <w:jc w:val="both"/>
      </w:pPr>
      <w:r>
        <w:rPr>
          <w:noProof/>
        </w:rPr>
        <w:drawing>
          <wp:anchor distT="0" distB="0" distL="0" distR="0" simplePos="0" relativeHeight="250743296" behindDoc="1" locked="0" layoutInCell="1" allowOverlap="1" wp14:anchorId="51DE9D69" wp14:editId="51DE9D6A">
            <wp:simplePos x="0" y="0"/>
            <wp:positionH relativeFrom="page">
              <wp:posOffset>899160</wp:posOffset>
            </wp:positionH>
            <wp:positionV relativeFrom="paragraph">
              <wp:posOffset>76785</wp:posOffset>
            </wp:positionV>
            <wp:extent cx="185928" cy="106679"/>
            <wp:effectExtent l="0" t="0" r="0" b="0"/>
            <wp:wrapNone/>
            <wp:docPr id="85"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51.png"/>
                    <pic:cNvPicPr/>
                  </pic:nvPicPr>
                  <pic:blipFill>
                    <a:blip r:embed="rId86" cstate="print"/>
                    <a:stretch>
                      <a:fillRect/>
                    </a:stretch>
                  </pic:blipFill>
                  <pic:spPr>
                    <a:xfrm>
                      <a:off x="0" y="0"/>
                      <a:ext cx="185928" cy="106679"/>
                    </a:xfrm>
                    <a:prstGeom prst="rect">
                      <a:avLst/>
                    </a:prstGeom>
                  </pic:spPr>
                </pic:pic>
              </a:graphicData>
            </a:graphic>
          </wp:anchor>
        </w:drawing>
      </w:r>
      <w:r>
        <w:t>This section sets out the applicable law. This law is subsequently applied to MOFCOM's determinations for each of the three sampled wine companies, for "other Australian producers cooperating in the investigation" and for "all others".</w:t>
      </w:r>
    </w:p>
    <w:p w14:paraId="51DE7C9B" w14:textId="77777777" w:rsidR="0010369C" w:rsidRDefault="0010369C">
      <w:pPr>
        <w:pStyle w:val="BodyText"/>
        <w:rPr>
          <w:sz w:val="20"/>
        </w:rPr>
      </w:pPr>
    </w:p>
    <w:p w14:paraId="51DE7C9C" w14:textId="77777777" w:rsidR="0010369C" w:rsidRDefault="0010369C">
      <w:pPr>
        <w:pStyle w:val="BodyText"/>
        <w:rPr>
          <w:sz w:val="20"/>
        </w:rPr>
      </w:pPr>
    </w:p>
    <w:p w14:paraId="51DE7C9D" w14:textId="77777777" w:rsidR="0010369C" w:rsidRDefault="0010369C">
      <w:pPr>
        <w:pStyle w:val="BodyText"/>
        <w:rPr>
          <w:sz w:val="20"/>
        </w:rPr>
      </w:pPr>
    </w:p>
    <w:p w14:paraId="51DE7C9E" w14:textId="77777777" w:rsidR="0010369C" w:rsidRDefault="0010369C">
      <w:pPr>
        <w:pStyle w:val="BodyText"/>
        <w:rPr>
          <w:sz w:val="20"/>
        </w:rPr>
      </w:pPr>
    </w:p>
    <w:p w14:paraId="51DE7C9F" w14:textId="77777777" w:rsidR="0010369C" w:rsidRDefault="0010369C">
      <w:pPr>
        <w:pStyle w:val="BodyText"/>
        <w:rPr>
          <w:sz w:val="20"/>
        </w:rPr>
      </w:pPr>
    </w:p>
    <w:p w14:paraId="51DE7CA0" w14:textId="77777777" w:rsidR="0010369C" w:rsidRDefault="0010369C">
      <w:pPr>
        <w:pStyle w:val="BodyText"/>
        <w:rPr>
          <w:sz w:val="20"/>
        </w:rPr>
      </w:pPr>
    </w:p>
    <w:p w14:paraId="51DE7CA1" w14:textId="77777777" w:rsidR="0010369C" w:rsidRDefault="008E43AE">
      <w:pPr>
        <w:pStyle w:val="BodyText"/>
        <w:spacing w:before="6"/>
        <w:rPr>
          <w:sz w:val="13"/>
        </w:rPr>
      </w:pPr>
      <w:r>
        <w:pict w14:anchorId="51DE9D6B">
          <v:rect id="docshape81" o:spid="_x0000_s3183" style="position:absolute;margin-left:70.9pt;margin-top:9.45pt;width:2in;height:.8pt;z-index:-251255296;mso-wrap-distance-left:0;mso-wrap-distance-right:0;mso-position-horizontal-relative:page" fillcolor="black" stroked="f">
            <w10:wrap type="topAndBottom" anchorx="page"/>
          </v:rect>
        </w:pict>
      </w:r>
    </w:p>
    <w:p w14:paraId="51DE7CA2" w14:textId="77777777" w:rsidR="0010369C" w:rsidRDefault="008E43AE">
      <w:pPr>
        <w:spacing w:before="109"/>
        <w:ind w:left="238"/>
        <w:rPr>
          <w:sz w:val="18"/>
        </w:rPr>
      </w:pPr>
      <w:r>
        <w:rPr>
          <w:sz w:val="18"/>
          <w:vertAlign w:val="superscript"/>
        </w:rPr>
        <w:t>16</w:t>
      </w:r>
      <w:r>
        <w:rPr>
          <w:spacing w:val="-9"/>
          <w:sz w:val="18"/>
        </w:rPr>
        <w:t xml:space="preserve"> </w:t>
      </w:r>
      <w:r>
        <w:rPr>
          <w:sz w:val="18"/>
        </w:rPr>
        <w:t>Anti‐Dumping</w:t>
      </w:r>
      <w:r>
        <w:rPr>
          <w:spacing w:val="-9"/>
          <w:sz w:val="18"/>
        </w:rPr>
        <w:t xml:space="preserve"> </w:t>
      </w:r>
      <w:r>
        <w:rPr>
          <w:sz w:val="18"/>
        </w:rPr>
        <w:t>Final</w:t>
      </w:r>
      <w:r>
        <w:rPr>
          <w:spacing w:val="-9"/>
          <w:sz w:val="18"/>
        </w:rPr>
        <w:t xml:space="preserve"> </w:t>
      </w:r>
      <w:r>
        <w:rPr>
          <w:sz w:val="18"/>
        </w:rPr>
        <w:t>Determination</w:t>
      </w:r>
      <w:r>
        <w:rPr>
          <w:spacing w:val="-8"/>
          <w:sz w:val="18"/>
        </w:rPr>
        <w:t xml:space="preserve"> </w:t>
      </w:r>
      <w:r>
        <w:rPr>
          <w:sz w:val="18"/>
        </w:rPr>
        <w:t>(Exhibit</w:t>
      </w:r>
      <w:r>
        <w:rPr>
          <w:spacing w:val="-9"/>
          <w:sz w:val="18"/>
        </w:rPr>
        <w:t xml:space="preserve"> </w:t>
      </w:r>
      <w:r>
        <w:rPr>
          <w:sz w:val="18"/>
        </w:rPr>
        <w:t>AUS‐2),</w:t>
      </w:r>
      <w:r>
        <w:rPr>
          <w:spacing w:val="-10"/>
          <w:sz w:val="18"/>
        </w:rPr>
        <w:t xml:space="preserve"> </w:t>
      </w:r>
      <w:r>
        <w:rPr>
          <w:sz w:val="18"/>
        </w:rPr>
        <w:t>pp.</w:t>
      </w:r>
      <w:r>
        <w:rPr>
          <w:spacing w:val="-8"/>
          <w:sz w:val="18"/>
        </w:rPr>
        <w:t xml:space="preserve"> </w:t>
      </w:r>
      <w:r>
        <w:rPr>
          <w:spacing w:val="-2"/>
          <w:sz w:val="18"/>
        </w:rPr>
        <w:t>99‐100.</w:t>
      </w:r>
    </w:p>
    <w:p w14:paraId="51DE7CA3" w14:textId="77777777" w:rsidR="0010369C" w:rsidRDefault="0010369C">
      <w:pPr>
        <w:rPr>
          <w:sz w:val="18"/>
        </w:rPr>
        <w:sectPr w:rsidR="0010369C">
          <w:headerReference w:type="default" r:id="rId87"/>
          <w:footerReference w:type="default" r:id="rId88"/>
          <w:pgSz w:w="11910" w:h="16840"/>
          <w:pgMar w:top="880" w:right="800" w:bottom="980" w:left="1180" w:header="569" w:footer="788" w:gutter="0"/>
          <w:pgNumType w:start="45"/>
          <w:cols w:space="720"/>
        </w:sectPr>
      </w:pPr>
    </w:p>
    <w:p w14:paraId="51DE7CA4" w14:textId="77777777" w:rsidR="0010369C" w:rsidRDefault="008E43AE">
      <w:pPr>
        <w:tabs>
          <w:tab w:val="left" w:pos="6426"/>
        </w:tabs>
        <w:ind w:left="238"/>
        <w:rPr>
          <w:sz w:val="20"/>
        </w:rPr>
      </w:pPr>
      <w:r>
        <w:rPr>
          <w:i/>
          <w:sz w:val="20"/>
        </w:rPr>
        <w:lastRenderedPageBreak/>
        <w:t>China</w:t>
      </w:r>
      <w:r>
        <w:rPr>
          <w:i/>
          <w:spacing w:val="-5"/>
          <w:sz w:val="20"/>
        </w:rPr>
        <w:t xml:space="preserve"> </w:t>
      </w:r>
      <w:r>
        <w:rPr>
          <w:i/>
          <w:sz w:val="20"/>
        </w:rPr>
        <w:t>–</w:t>
      </w:r>
      <w:r>
        <w:rPr>
          <w:i/>
          <w:spacing w:val="-5"/>
          <w:sz w:val="20"/>
        </w:rPr>
        <w:t xml:space="preserve"> </w:t>
      </w:r>
      <w:r>
        <w:rPr>
          <w:i/>
          <w:sz w:val="20"/>
        </w:rPr>
        <w:t>Anti‐Dumping</w:t>
      </w:r>
      <w:r>
        <w:rPr>
          <w:i/>
          <w:spacing w:val="-4"/>
          <w:sz w:val="20"/>
        </w:rPr>
        <w:t xml:space="preserve"> </w:t>
      </w:r>
      <w:r>
        <w:rPr>
          <w:i/>
          <w:sz w:val="20"/>
        </w:rPr>
        <w:t>and</w:t>
      </w:r>
      <w:r>
        <w:rPr>
          <w:i/>
          <w:spacing w:val="-5"/>
          <w:sz w:val="20"/>
        </w:rPr>
        <w:t xml:space="preserve"> </w:t>
      </w:r>
      <w:r>
        <w:rPr>
          <w:i/>
          <w:sz w:val="20"/>
        </w:rPr>
        <w:t>Countervailing</w:t>
      </w:r>
      <w:r>
        <w:rPr>
          <w:i/>
          <w:spacing w:val="-5"/>
          <w:sz w:val="20"/>
        </w:rPr>
        <w:t xml:space="preserve"> </w:t>
      </w:r>
      <w:r>
        <w:rPr>
          <w:i/>
          <w:sz w:val="20"/>
        </w:rPr>
        <w:t>Duty</w:t>
      </w:r>
      <w:r>
        <w:rPr>
          <w:i/>
          <w:spacing w:val="-4"/>
          <w:sz w:val="20"/>
        </w:rPr>
        <w:t xml:space="preserve"> </w:t>
      </w:r>
      <w:r>
        <w:rPr>
          <w:i/>
          <w:spacing w:val="-2"/>
          <w:sz w:val="20"/>
        </w:rPr>
        <w:t>Measures</w:t>
      </w:r>
      <w:r>
        <w:rPr>
          <w:i/>
          <w:sz w:val="20"/>
        </w:rPr>
        <w:tab/>
      </w:r>
      <w:r>
        <w:rPr>
          <w:sz w:val="20"/>
        </w:rPr>
        <w:t>Australia's</w:t>
      </w:r>
      <w:r>
        <w:rPr>
          <w:spacing w:val="-7"/>
          <w:sz w:val="20"/>
        </w:rPr>
        <w:t xml:space="preserve"> </w:t>
      </w:r>
      <w:r>
        <w:rPr>
          <w:sz w:val="20"/>
        </w:rPr>
        <w:t>First</w:t>
      </w:r>
      <w:r>
        <w:rPr>
          <w:spacing w:val="-2"/>
          <w:sz w:val="20"/>
        </w:rPr>
        <w:t xml:space="preserve"> </w:t>
      </w:r>
      <w:r>
        <w:rPr>
          <w:sz w:val="20"/>
        </w:rPr>
        <w:t>Written</w:t>
      </w:r>
      <w:r>
        <w:rPr>
          <w:spacing w:val="-2"/>
          <w:sz w:val="20"/>
        </w:rPr>
        <w:t xml:space="preserve"> Submission</w:t>
      </w:r>
    </w:p>
    <w:p w14:paraId="51DE7CA5" w14:textId="77777777" w:rsidR="0010369C" w:rsidRDefault="008E43AE">
      <w:pPr>
        <w:tabs>
          <w:tab w:val="left" w:pos="8228"/>
        </w:tabs>
        <w:spacing w:before="1"/>
        <w:ind w:left="239"/>
        <w:rPr>
          <w:sz w:val="20"/>
        </w:rPr>
      </w:pPr>
      <w:r>
        <w:rPr>
          <w:i/>
          <w:sz w:val="20"/>
        </w:rPr>
        <w:t>on</w:t>
      </w:r>
      <w:r>
        <w:rPr>
          <w:i/>
          <w:spacing w:val="-1"/>
          <w:sz w:val="20"/>
        </w:rPr>
        <w:t xml:space="preserve"> </w:t>
      </w:r>
      <w:r>
        <w:rPr>
          <w:i/>
          <w:sz w:val="20"/>
        </w:rPr>
        <w:t>Wine</w:t>
      </w:r>
      <w:r>
        <w:rPr>
          <w:i/>
          <w:spacing w:val="-1"/>
          <w:sz w:val="20"/>
        </w:rPr>
        <w:t xml:space="preserve"> </w:t>
      </w:r>
      <w:r>
        <w:rPr>
          <w:i/>
          <w:sz w:val="20"/>
        </w:rPr>
        <w:t>from</w:t>
      </w:r>
      <w:r>
        <w:rPr>
          <w:i/>
          <w:spacing w:val="-3"/>
          <w:sz w:val="20"/>
        </w:rPr>
        <w:t xml:space="preserve"> </w:t>
      </w:r>
      <w:r>
        <w:rPr>
          <w:i/>
          <w:sz w:val="20"/>
        </w:rPr>
        <w:t>Australia</w:t>
      </w:r>
      <w:r>
        <w:rPr>
          <w:i/>
          <w:spacing w:val="-1"/>
          <w:sz w:val="20"/>
        </w:rPr>
        <w:t xml:space="preserve"> </w:t>
      </w:r>
      <w:r>
        <w:rPr>
          <w:spacing w:val="-2"/>
          <w:sz w:val="20"/>
        </w:rPr>
        <w:t>(DS602)</w:t>
      </w:r>
      <w:r>
        <w:rPr>
          <w:sz w:val="20"/>
        </w:rPr>
        <w:tab/>
        <w:t>29</w:t>
      </w:r>
      <w:r>
        <w:rPr>
          <w:spacing w:val="-1"/>
          <w:sz w:val="20"/>
        </w:rPr>
        <w:t xml:space="preserve"> </w:t>
      </w:r>
      <w:r>
        <w:rPr>
          <w:sz w:val="20"/>
        </w:rPr>
        <w:t>April</w:t>
      </w:r>
      <w:r>
        <w:rPr>
          <w:spacing w:val="-2"/>
          <w:sz w:val="20"/>
        </w:rPr>
        <w:t xml:space="preserve"> </w:t>
      </w:r>
      <w:r>
        <w:rPr>
          <w:spacing w:val="-4"/>
          <w:sz w:val="20"/>
        </w:rPr>
        <w:t>2022</w:t>
      </w:r>
    </w:p>
    <w:p w14:paraId="51DE7CA6" w14:textId="77777777" w:rsidR="0010369C" w:rsidRDefault="008E43AE">
      <w:pPr>
        <w:pStyle w:val="Heading4"/>
        <w:numPr>
          <w:ilvl w:val="2"/>
          <w:numId w:val="75"/>
        </w:numPr>
        <w:tabs>
          <w:tab w:val="left" w:pos="2790"/>
          <w:tab w:val="left" w:pos="2791"/>
        </w:tabs>
        <w:spacing w:before="34"/>
        <w:ind w:left="2790"/>
      </w:pPr>
      <w:bookmarkStart w:id="18" w:name="_TOC_250011"/>
      <w:r>
        <w:t>Article</w:t>
      </w:r>
      <w:r>
        <w:rPr>
          <w:spacing w:val="-7"/>
        </w:rPr>
        <w:t xml:space="preserve"> </w:t>
      </w:r>
      <w:r>
        <w:t>6.8</w:t>
      </w:r>
      <w:r>
        <w:rPr>
          <w:spacing w:val="-7"/>
        </w:rPr>
        <w:t xml:space="preserve"> </w:t>
      </w:r>
      <w:r>
        <w:t>and</w:t>
      </w:r>
      <w:r>
        <w:rPr>
          <w:spacing w:val="-8"/>
        </w:rPr>
        <w:t xml:space="preserve"> </w:t>
      </w:r>
      <w:r>
        <w:t>Annex</w:t>
      </w:r>
      <w:r>
        <w:rPr>
          <w:spacing w:val="-7"/>
        </w:rPr>
        <w:t xml:space="preserve"> </w:t>
      </w:r>
      <w:bookmarkEnd w:id="18"/>
      <w:r>
        <w:rPr>
          <w:spacing w:val="-5"/>
        </w:rPr>
        <w:t>II</w:t>
      </w:r>
    </w:p>
    <w:p w14:paraId="51DE7CA7" w14:textId="77777777" w:rsidR="0010369C" w:rsidRDefault="0010369C">
      <w:pPr>
        <w:pStyle w:val="BodyText"/>
        <w:spacing w:before="5"/>
        <w:rPr>
          <w:b/>
          <w:sz w:val="27"/>
        </w:rPr>
      </w:pPr>
    </w:p>
    <w:p w14:paraId="51DE7CA8" w14:textId="77777777" w:rsidR="0010369C" w:rsidRDefault="008E43AE">
      <w:pPr>
        <w:pStyle w:val="BodyText"/>
        <w:spacing w:before="52" w:line="360" w:lineRule="auto"/>
        <w:ind w:left="238" w:right="613" w:firstLine="850"/>
        <w:jc w:val="both"/>
      </w:pPr>
      <w:r>
        <w:rPr>
          <w:noProof/>
        </w:rPr>
        <w:drawing>
          <wp:anchor distT="0" distB="0" distL="0" distR="0" simplePos="0" relativeHeight="250744320" behindDoc="1" locked="0" layoutInCell="1" allowOverlap="1" wp14:anchorId="51DE9D6C" wp14:editId="51DE9D6D">
            <wp:simplePos x="0" y="0"/>
            <wp:positionH relativeFrom="page">
              <wp:posOffset>899160</wp:posOffset>
            </wp:positionH>
            <wp:positionV relativeFrom="paragraph">
              <wp:posOffset>81949</wp:posOffset>
            </wp:positionV>
            <wp:extent cx="185928" cy="100753"/>
            <wp:effectExtent l="0" t="0" r="0" b="0"/>
            <wp:wrapNone/>
            <wp:docPr id="87"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52.png"/>
                    <pic:cNvPicPr/>
                  </pic:nvPicPr>
                  <pic:blipFill>
                    <a:blip r:embed="rId89" cstate="print"/>
                    <a:stretch>
                      <a:fillRect/>
                    </a:stretch>
                  </pic:blipFill>
                  <pic:spPr>
                    <a:xfrm>
                      <a:off x="0" y="0"/>
                      <a:ext cx="185928" cy="100753"/>
                    </a:xfrm>
                    <a:prstGeom prst="rect">
                      <a:avLst/>
                    </a:prstGeom>
                  </pic:spPr>
                </pic:pic>
              </a:graphicData>
            </a:graphic>
          </wp:anchor>
        </w:drawing>
      </w:r>
      <w:r>
        <w:t xml:space="preserve">The first sentence of Article 6.8 identifies the circumstances where an investigating authority may overcome a lack of information in the responses of interested parties by using facts which are otherwise available to the investigating </w:t>
      </w:r>
      <w:hyperlink r:id="rId90">
        <w:r>
          <w:t>authority.</w:t>
        </w:r>
        <w:r>
          <w:rPr>
            <w:vertAlign w:val="superscript"/>
          </w:rPr>
          <w:t>17</w:t>
        </w:r>
        <w:r>
          <w:t xml:space="preserve"> </w:t>
        </w:r>
      </w:hyperlink>
      <w:r>
        <w:t>It provides that:</w:t>
      </w:r>
    </w:p>
    <w:p w14:paraId="51DE7CA9" w14:textId="77777777" w:rsidR="0010369C" w:rsidRDefault="008E43AE">
      <w:pPr>
        <w:spacing w:before="161"/>
        <w:ind w:left="1088" w:right="613"/>
        <w:jc w:val="both"/>
        <w:rPr>
          <w:sz w:val="24"/>
        </w:rPr>
      </w:pPr>
      <w:r>
        <w:t>In cases in which any interested party refuses access to, or otherwise does not provide, necessary</w:t>
      </w:r>
      <w:r>
        <w:rPr>
          <w:spacing w:val="-2"/>
        </w:rPr>
        <w:t xml:space="preserve"> </w:t>
      </w:r>
      <w:r>
        <w:t>information</w:t>
      </w:r>
      <w:r>
        <w:rPr>
          <w:spacing w:val="-3"/>
        </w:rPr>
        <w:t xml:space="preserve"> </w:t>
      </w:r>
      <w:r>
        <w:t>within</w:t>
      </w:r>
      <w:r>
        <w:rPr>
          <w:spacing w:val="-3"/>
        </w:rPr>
        <w:t xml:space="preserve"> </w:t>
      </w:r>
      <w:r>
        <w:t>a</w:t>
      </w:r>
      <w:r>
        <w:rPr>
          <w:spacing w:val="-1"/>
        </w:rPr>
        <w:t xml:space="preserve"> </w:t>
      </w:r>
      <w:r>
        <w:t>reasonable</w:t>
      </w:r>
      <w:r>
        <w:rPr>
          <w:spacing w:val="-2"/>
        </w:rPr>
        <w:t xml:space="preserve"> </w:t>
      </w:r>
      <w:r>
        <w:t>period</w:t>
      </w:r>
      <w:r>
        <w:rPr>
          <w:spacing w:val="-2"/>
        </w:rPr>
        <w:t xml:space="preserve"> </w:t>
      </w:r>
      <w:r>
        <w:t>or</w:t>
      </w:r>
      <w:r>
        <w:rPr>
          <w:spacing w:val="-1"/>
        </w:rPr>
        <w:t xml:space="preserve"> </w:t>
      </w:r>
      <w:r>
        <w:t>significantly</w:t>
      </w:r>
      <w:r>
        <w:rPr>
          <w:spacing w:val="-2"/>
        </w:rPr>
        <w:t xml:space="preserve"> </w:t>
      </w:r>
      <w:r>
        <w:t>impedes</w:t>
      </w:r>
      <w:r>
        <w:rPr>
          <w:spacing w:val="-2"/>
        </w:rPr>
        <w:t xml:space="preserve"> </w:t>
      </w:r>
      <w:r>
        <w:t>the</w:t>
      </w:r>
      <w:r>
        <w:rPr>
          <w:spacing w:val="-2"/>
        </w:rPr>
        <w:t xml:space="preserve"> </w:t>
      </w:r>
      <w:r>
        <w:t xml:space="preserve">investigation, preliminary and final determinations, affirmative or negative, may be made on the basis of the facts available. The provisions of Annex II shall be observed in the application of this </w:t>
      </w:r>
      <w:r>
        <w:rPr>
          <w:spacing w:val="-2"/>
        </w:rPr>
        <w:t>paragraph</w:t>
      </w:r>
      <w:r>
        <w:rPr>
          <w:spacing w:val="-2"/>
          <w:sz w:val="24"/>
        </w:rPr>
        <w:t>.</w:t>
      </w:r>
    </w:p>
    <w:p w14:paraId="51DE7CAA" w14:textId="77777777" w:rsidR="0010369C" w:rsidRDefault="008E43AE">
      <w:pPr>
        <w:pStyle w:val="BodyText"/>
        <w:spacing w:before="158" w:line="362" w:lineRule="auto"/>
        <w:ind w:left="237" w:right="614" w:firstLine="851"/>
        <w:jc w:val="both"/>
      </w:pPr>
      <w:r>
        <w:rPr>
          <w:noProof/>
        </w:rPr>
        <w:drawing>
          <wp:anchor distT="0" distB="0" distL="0" distR="0" simplePos="0" relativeHeight="250745344" behindDoc="1" locked="0" layoutInCell="1" allowOverlap="1" wp14:anchorId="51DE9D6E" wp14:editId="51DE9D6F">
            <wp:simplePos x="0" y="0"/>
            <wp:positionH relativeFrom="page">
              <wp:posOffset>899160</wp:posOffset>
            </wp:positionH>
            <wp:positionV relativeFrom="paragraph">
              <wp:posOffset>149259</wp:posOffset>
            </wp:positionV>
            <wp:extent cx="185928" cy="100753"/>
            <wp:effectExtent l="0" t="0" r="0" b="0"/>
            <wp:wrapNone/>
            <wp:docPr id="89"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53.png"/>
                    <pic:cNvPicPr/>
                  </pic:nvPicPr>
                  <pic:blipFill>
                    <a:blip r:embed="rId91" cstate="print"/>
                    <a:stretch>
                      <a:fillRect/>
                    </a:stretch>
                  </pic:blipFill>
                  <pic:spPr>
                    <a:xfrm>
                      <a:off x="0" y="0"/>
                      <a:ext cx="185928" cy="100753"/>
                    </a:xfrm>
                    <a:prstGeom prst="rect">
                      <a:avLst/>
                    </a:prstGeom>
                  </pic:spPr>
                </pic:pic>
              </a:graphicData>
            </a:graphic>
          </wp:anchor>
        </w:drawing>
      </w:r>
      <w:r>
        <w:t>If none of these circumstances are satisfied,</w:t>
      </w:r>
      <w:r>
        <w:t xml:space="preserve"> an investigating authority cannot use facts available, and must use the information submitted by the interested </w:t>
      </w:r>
      <w:hyperlink r:id="rId92">
        <w:r>
          <w:t>parties.</w:t>
        </w:r>
        <w:r>
          <w:rPr>
            <w:vertAlign w:val="superscript"/>
          </w:rPr>
          <w:t>18</w:t>
        </w:r>
      </w:hyperlink>
    </w:p>
    <w:p w14:paraId="51DE7CAB" w14:textId="77777777" w:rsidR="0010369C" w:rsidRDefault="0010369C">
      <w:pPr>
        <w:pStyle w:val="BodyText"/>
        <w:spacing w:before="5"/>
        <w:rPr>
          <w:sz w:val="8"/>
        </w:rPr>
      </w:pPr>
    </w:p>
    <w:p w14:paraId="51DE7CAC" w14:textId="77777777" w:rsidR="0010369C" w:rsidRDefault="008E43AE">
      <w:pPr>
        <w:pStyle w:val="BodyText"/>
        <w:spacing w:before="52" w:line="360" w:lineRule="auto"/>
        <w:ind w:left="237" w:right="613" w:firstLine="851"/>
        <w:jc w:val="both"/>
      </w:pPr>
      <w:r>
        <w:rPr>
          <w:noProof/>
        </w:rPr>
        <w:drawing>
          <wp:anchor distT="0" distB="0" distL="0" distR="0" simplePos="0" relativeHeight="250746368" behindDoc="1" locked="0" layoutInCell="1" allowOverlap="1" wp14:anchorId="51DE9D70" wp14:editId="51DE9D71">
            <wp:simplePos x="0" y="0"/>
            <wp:positionH relativeFrom="page">
              <wp:posOffset>899160</wp:posOffset>
            </wp:positionH>
            <wp:positionV relativeFrom="paragraph">
              <wp:posOffset>80595</wp:posOffset>
            </wp:positionV>
            <wp:extent cx="185928" cy="103631"/>
            <wp:effectExtent l="0" t="0" r="0" b="0"/>
            <wp:wrapNone/>
            <wp:docPr id="91"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54.png"/>
                    <pic:cNvPicPr/>
                  </pic:nvPicPr>
                  <pic:blipFill>
                    <a:blip r:embed="rId93" cstate="print"/>
                    <a:stretch>
                      <a:fillRect/>
                    </a:stretch>
                  </pic:blipFill>
                  <pic:spPr>
                    <a:xfrm>
                      <a:off x="0" y="0"/>
                      <a:ext cx="185928" cy="103631"/>
                    </a:xfrm>
                    <a:prstGeom prst="rect">
                      <a:avLst/>
                    </a:prstGeom>
                  </pic:spPr>
                </pic:pic>
              </a:graphicData>
            </a:graphic>
          </wp:anchor>
        </w:drawing>
      </w:r>
      <w:r>
        <w:t>The second sentence of Article 6.8 provides that the provisions of Annex II are mandatory</w:t>
      </w:r>
      <w:r>
        <w:rPr>
          <w:spacing w:val="-14"/>
        </w:rPr>
        <w:t xml:space="preserve"> </w:t>
      </w:r>
      <w:r>
        <w:t>i</w:t>
      </w:r>
      <w:r>
        <w:t>n</w:t>
      </w:r>
      <w:r>
        <w:rPr>
          <w:spacing w:val="-14"/>
        </w:rPr>
        <w:t xml:space="preserve"> </w:t>
      </w:r>
      <w:r>
        <w:t>the</w:t>
      </w:r>
      <w:r>
        <w:rPr>
          <w:spacing w:val="-12"/>
        </w:rPr>
        <w:t xml:space="preserve"> </w:t>
      </w:r>
      <w:r>
        <w:t>application</w:t>
      </w:r>
      <w:r>
        <w:rPr>
          <w:spacing w:val="-14"/>
        </w:rPr>
        <w:t xml:space="preserve"> </w:t>
      </w:r>
      <w:r>
        <w:t>of</w:t>
      </w:r>
      <w:r>
        <w:rPr>
          <w:spacing w:val="-14"/>
        </w:rPr>
        <w:t xml:space="preserve"> </w:t>
      </w:r>
      <w:r>
        <w:t>the</w:t>
      </w:r>
      <w:r>
        <w:rPr>
          <w:spacing w:val="-13"/>
        </w:rPr>
        <w:t xml:space="preserve"> </w:t>
      </w:r>
      <w:hyperlink r:id="rId94">
        <w:r>
          <w:t>Article.</w:t>
        </w:r>
        <w:r>
          <w:rPr>
            <w:vertAlign w:val="superscript"/>
          </w:rPr>
          <w:t>19</w:t>
        </w:r>
      </w:hyperlink>
      <w:r>
        <w:rPr>
          <w:spacing w:val="28"/>
        </w:rPr>
        <w:t xml:space="preserve"> </w:t>
      </w:r>
      <w:r>
        <w:t>Annex</w:t>
      </w:r>
      <w:r>
        <w:rPr>
          <w:spacing w:val="-13"/>
        </w:rPr>
        <w:t xml:space="preserve"> </w:t>
      </w:r>
      <w:r>
        <w:t>II</w:t>
      </w:r>
      <w:r>
        <w:rPr>
          <w:spacing w:val="-14"/>
        </w:rPr>
        <w:t xml:space="preserve"> </w:t>
      </w:r>
      <w:r>
        <w:t>sets</w:t>
      </w:r>
      <w:r>
        <w:rPr>
          <w:spacing w:val="-14"/>
        </w:rPr>
        <w:t xml:space="preserve"> </w:t>
      </w:r>
      <w:r>
        <w:t>out</w:t>
      </w:r>
      <w:r>
        <w:rPr>
          <w:spacing w:val="-13"/>
        </w:rPr>
        <w:t xml:space="preserve"> </w:t>
      </w:r>
      <w:r>
        <w:t>parameters</w:t>
      </w:r>
      <w:r>
        <w:rPr>
          <w:spacing w:val="-14"/>
        </w:rPr>
        <w:t xml:space="preserve"> </w:t>
      </w:r>
      <w:r>
        <w:t>which</w:t>
      </w:r>
      <w:r>
        <w:rPr>
          <w:spacing w:val="-13"/>
        </w:rPr>
        <w:t xml:space="preserve"> </w:t>
      </w:r>
      <w:r>
        <w:t>address</w:t>
      </w:r>
      <w:r>
        <w:rPr>
          <w:spacing w:val="-14"/>
        </w:rPr>
        <w:t xml:space="preserve"> </w:t>
      </w:r>
      <w:r>
        <w:t xml:space="preserve">both when facts available can be used, and what information can be used as facts </w:t>
      </w:r>
      <w:hyperlink r:id="rId95">
        <w:r>
          <w:t>available.</w:t>
        </w:r>
        <w:r>
          <w:rPr>
            <w:vertAlign w:val="superscript"/>
          </w:rPr>
          <w:t>20</w:t>
        </w:r>
        <w:r>
          <w:t xml:space="preserve"> </w:t>
        </w:r>
      </w:hyperlink>
      <w:r>
        <w:t xml:space="preserve">It </w:t>
      </w:r>
      <w:r>
        <w:t xml:space="preserve">specifies that information provided by interested parties, even if not ideal in all respects, should, to the extent possible, be used by investigating </w:t>
      </w:r>
      <w:hyperlink r:id="rId96">
        <w:r>
          <w:t>authorities.</w:t>
        </w:r>
        <w:r>
          <w:rPr>
            <w:vertAlign w:val="superscript"/>
          </w:rPr>
          <w:t>21</w:t>
        </w:r>
      </w:hyperlink>
      <w:r>
        <w:t xml:space="preserve"> This is because the Anti‐Dumping Agreement expresses a "clear preference" for investigating authorities to use "first‐hand information".</w:t>
      </w:r>
      <w:r>
        <w:rPr>
          <w:vertAlign w:val="superscript"/>
        </w:rPr>
        <w:t>22</w:t>
      </w:r>
      <w:r>
        <w:t xml:space="preserve"> Provisions regulating the selection of facts available when "first‐ hand information" is not available ensure the "r</w:t>
      </w:r>
      <w:r>
        <w:t xml:space="preserve">eliability" of information used by the investigating authority, and that information from "unreliable sources" is </w:t>
      </w:r>
      <w:hyperlink r:id="rId97">
        <w:r>
          <w:t>avoided.</w:t>
        </w:r>
        <w:r>
          <w:rPr>
            <w:vertAlign w:val="superscript"/>
          </w:rPr>
          <w:t>23</w:t>
        </w:r>
      </w:hyperlink>
    </w:p>
    <w:p w14:paraId="51DE7CAD" w14:textId="77777777" w:rsidR="0010369C" w:rsidRDefault="0010369C">
      <w:pPr>
        <w:pStyle w:val="BodyText"/>
        <w:spacing w:before="10"/>
        <w:rPr>
          <w:sz w:val="8"/>
        </w:rPr>
      </w:pPr>
    </w:p>
    <w:p w14:paraId="51DE7CAE" w14:textId="77777777" w:rsidR="0010369C" w:rsidRDefault="008E43AE">
      <w:pPr>
        <w:pStyle w:val="BodyText"/>
        <w:spacing w:before="52" w:line="360" w:lineRule="auto"/>
        <w:ind w:left="237" w:right="613" w:firstLine="851"/>
        <w:jc w:val="both"/>
      </w:pPr>
      <w:r>
        <w:rPr>
          <w:noProof/>
        </w:rPr>
        <w:drawing>
          <wp:anchor distT="0" distB="0" distL="0" distR="0" simplePos="0" relativeHeight="250747392" behindDoc="1" locked="0" layoutInCell="1" allowOverlap="1" wp14:anchorId="51DE9D72" wp14:editId="51DE9D73">
            <wp:simplePos x="0" y="0"/>
            <wp:positionH relativeFrom="page">
              <wp:posOffset>902208</wp:posOffset>
            </wp:positionH>
            <wp:positionV relativeFrom="paragraph">
              <wp:posOffset>76785</wp:posOffset>
            </wp:positionV>
            <wp:extent cx="182879" cy="106679"/>
            <wp:effectExtent l="0" t="0" r="0" b="0"/>
            <wp:wrapNone/>
            <wp:docPr id="93"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55.png"/>
                    <pic:cNvPicPr/>
                  </pic:nvPicPr>
                  <pic:blipFill>
                    <a:blip r:embed="rId98" cstate="print"/>
                    <a:stretch>
                      <a:fillRect/>
                    </a:stretch>
                  </pic:blipFill>
                  <pic:spPr>
                    <a:xfrm>
                      <a:off x="0" y="0"/>
                      <a:ext cx="182879" cy="106679"/>
                    </a:xfrm>
                    <a:prstGeom prst="rect">
                      <a:avLst/>
                    </a:prstGeom>
                  </pic:spPr>
                </pic:pic>
              </a:graphicData>
            </a:graphic>
          </wp:anchor>
        </w:drawing>
      </w:r>
      <w:r>
        <w:t>Even in circumstances where the criteria set out in Article 6.8 to resort to facts availab</w:t>
      </w:r>
      <w:r>
        <w:t xml:space="preserve">le are met, an investigating authority does not have an unlimited discretion when selecting facts to replace missing </w:t>
      </w:r>
      <w:hyperlink r:id="rId99">
        <w:r>
          <w:t>information.</w:t>
        </w:r>
        <w:r>
          <w:rPr>
            <w:vertAlign w:val="superscript"/>
          </w:rPr>
          <w:t>24</w:t>
        </w:r>
      </w:hyperlink>
      <w:r>
        <w:t xml:space="preserve"> The Anti‐Dumping Agreement permits recourse</w:t>
      </w:r>
      <w:r>
        <w:rPr>
          <w:spacing w:val="16"/>
        </w:rPr>
        <w:t xml:space="preserve"> </w:t>
      </w:r>
      <w:r>
        <w:t>to facts available</w:t>
      </w:r>
      <w:r>
        <w:rPr>
          <w:spacing w:val="16"/>
        </w:rPr>
        <w:t xml:space="preserve"> </w:t>
      </w:r>
      <w:r>
        <w:t>solely</w:t>
      </w:r>
      <w:r>
        <w:rPr>
          <w:spacing w:val="17"/>
        </w:rPr>
        <w:t xml:space="preserve"> </w:t>
      </w:r>
      <w:r>
        <w:t>for the</w:t>
      </w:r>
      <w:r>
        <w:rPr>
          <w:spacing w:val="16"/>
        </w:rPr>
        <w:t xml:space="preserve"> </w:t>
      </w:r>
      <w:r>
        <w:t>pur</w:t>
      </w:r>
      <w:r>
        <w:t>pose</w:t>
      </w:r>
      <w:r>
        <w:rPr>
          <w:spacing w:val="17"/>
        </w:rPr>
        <w:t xml:space="preserve"> </w:t>
      </w:r>
      <w:r>
        <w:t>of replacing necessary</w:t>
      </w:r>
      <w:r>
        <w:rPr>
          <w:spacing w:val="18"/>
        </w:rPr>
        <w:t xml:space="preserve"> </w:t>
      </w:r>
      <w:r>
        <w:t>information</w:t>
      </w:r>
      <w:r>
        <w:rPr>
          <w:spacing w:val="17"/>
        </w:rPr>
        <w:t xml:space="preserve"> </w:t>
      </w:r>
      <w:r>
        <w:t>that is</w:t>
      </w:r>
    </w:p>
    <w:p w14:paraId="51DE7CAF" w14:textId="77777777" w:rsidR="0010369C" w:rsidRDefault="0010369C">
      <w:pPr>
        <w:pStyle w:val="BodyText"/>
        <w:rPr>
          <w:sz w:val="20"/>
        </w:rPr>
      </w:pPr>
    </w:p>
    <w:p w14:paraId="51DE7CB0" w14:textId="77777777" w:rsidR="0010369C" w:rsidRDefault="0010369C">
      <w:pPr>
        <w:pStyle w:val="BodyText"/>
        <w:rPr>
          <w:sz w:val="20"/>
        </w:rPr>
      </w:pPr>
    </w:p>
    <w:p w14:paraId="51DE7CB1" w14:textId="77777777" w:rsidR="0010369C" w:rsidRDefault="0010369C">
      <w:pPr>
        <w:pStyle w:val="BodyText"/>
        <w:rPr>
          <w:sz w:val="20"/>
        </w:rPr>
      </w:pPr>
    </w:p>
    <w:p w14:paraId="51DE7CB2" w14:textId="77777777" w:rsidR="0010369C" w:rsidRDefault="0010369C">
      <w:pPr>
        <w:pStyle w:val="BodyText"/>
        <w:rPr>
          <w:sz w:val="20"/>
        </w:rPr>
      </w:pPr>
    </w:p>
    <w:p w14:paraId="51DE7CB3" w14:textId="77777777" w:rsidR="0010369C" w:rsidRDefault="0010369C">
      <w:pPr>
        <w:pStyle w:val="BodyText"/>
        <w:rPr>
          <w:sz w:val="20"/>
        </w:rPr>
      </w:pPr>
    </w:p>
    <w:p w14:paraId="51DE7CB4" w14:textId="77777777" w:rsidR="0010369C" w:rsidRDefault="008E43AE">
      <w:pPr>
        <w:pStyle w:val="BodyText"/>
        <w:spacing w:before="10"/>
        <w:rPr>
          <w:sz w:val="22"/>
        </w:rPr>
      </w:pPr>
      <w:r>
        <w:pict w14:anchorId="51DE9D74">
          <v:rect id="docshape82" o:spid="_x0000_s3182" style="position:absolute;margin-left:70.9pt;margin-top:15.15pt;width:2in;height:.8pt;z-index:-251254272;mso-wrap-distance-left:0;mso-wrap-distance-right:0;mso-position-horizontal-relative:page" fillcolor="black" stroked="f">
            <w10:wrap type="topAndBottom" anchorx="page"/>
          </v:rect>
        </w:pict>
      </w:r>
    </w:p>
    <w:p w14:paraId="51DE7CB5" w14:textId="77777777" w:rsidR="0010369C" w:rsidRDefault="008E43AE">
      <w:pPr>
        <w:spacing w:before="109"/>
        <w:ind w:left="238"/>
        <w:rPr>
          <w:sz w:val="18"/>
        </w:rPr>
      </w:pPr>
      <w:r>
        <w:rPr>
          <w:sz w:val="18"/>
          <w:vertAlign w:val="superscript"/>
        </w:rPr>
        <w:lastRenderedPageBreak/>
        <w:t>17</w:t>
      </w:r>
      <w:r>
        <w:rPr>
          <w:spacing w:val="-6"/>
          <w:sz w:val="18"/>
        </w:rPr>
        <w:t xml:space="preserve"> </w:t>
      </w:r>
      <w:r>
        <w:rPr>
          <w:sz w:val="18"/>
        </w:rPr>
        <w:t>See</w:t>
      </w:r>
      <w:r>
        <w:rPr>
          <w:spacing w:val="-5"/>
          <w:sz w:val="18"/>
        </w:rPr>
        <w:t xml:space="preserve"> </w:t>
      </w:r>
      <w:r>
        <w:rPr>
          <w:sz w:val="18"/>
        </w:rPr>
        <w:t>Appellate</w:t>
      </w:r>
      <w:r>
        <w:rPr>
          <w:spacing w:val="-6"/>
          <w:sz w:val="18"/>
        </w:rPr>
        <w:t xml:space="preserve"> </w:t>
      </w:r>
      <w:r>
        <w:rPr>
          <w:sz w:val="18"/>
        </w:rPr>
        <w:t>Body</w:t>
      </w:r>
      <w:r>
        <w:rPr>
          <w:spacing w:val="-5"/>
          <w:sz w:val="18"/>
        </w:rPr>
        <w:t xml:space="preserve"> </w:t>
      </w:r>
      <w:r>
        <w:rPr>
          <w:sz w:val="18"/>
        </w:rPr>
        <w:t>Report,</w:t>
      </w:r>
      <w:r>
        <w:rPr>
          <w:spacing w:val="-5"/>
          <w:sz w:val="18"/>
        </w:rPr>
        <w:t xml:space="preserve"> </w:t>
      </w:r>
      <w:r>
        <w:rPr>
          <w:i/>
          <w:sz w:val="18"/>
        </w:rPr>
        <w:t>US</w:t>
      </w:r>
      <w:r>
        <w:rPr>
          <w:i/>
          <w:spacing w:val="-6"/>
          <w:sz w:val="18"/>
        </w:rPr>
        <w:t xml:space="preserve"> </w:t>
      </w:r>
      <w:r>
        <w:rPr>
          <w:i/>
          <w:sz w:val="18"/>
        </w:rPr>
        <w:t>–</w:t>
      </w:r>
      <w:r>
        <w:rPr>
          <w:i/>
          <w:spacing w:val="-5"/>
          <w:sz w:val="18"/>
        </w:rPr>
        <w:t xml:space="preserve"> </w:t>
      </w:r>
      <w:r>
        <w:rPr>
          <w:i/>
          <w:sz w:val="18"/>
        </w:rPr>
        <w:t>Hot</w:t>
      </w:r>
      <w:r>
        <w:rPr>
          <w:i/>
          <w:spacing w:val="-6"/>
          <w:sz w:val="18"/>
        </w:rPr>
        <w:t xml:space="preserve"> </w:t>
      </w:r>
      <w:r>
        <w:rPr>
          <w:i/>
          <w:sz w:val="18"/>
        </w:rPr>
        <w:t>Rolled</w:t>
      </w:r>
      <w:r>
        <w:rPr>
          <w:i/>
          <w:spacing w:val="-6"/>
          <w:sz w:val="18"/>
        </w:rPr>
        <w:t xml:space="preserve"> </w:t>
      </w:r>
      <w:r>
        <w:rPr>
          <w:i/>
          <w:sz w:val="18"/>
        </w:rPr>
        <w:t>Steel</w:t>
      </w:r>
      <w:r>
        <w:rPr>
          <w:sz w:val="18"/>
        </w:rPr>
        <w:t>,</w:t>
      </w:r>
      <w:r>
        <w:rPr>
          <w:spacing w:val="-6"/>
          <w:sz w:val="18"/>
        </w:rPr>
        <w:t xml:space="preserve"> </w:t>
      </w:r>
      <w:r>
        <w:rPr>
          <w:sz w:val="18"/>
        </w:rPr>
        <w:t>para.</w:t>
      </w:r>
      <w:r>
        <w:rPr>
          <w:spacing w:val="-5"/>
          <w:sz w:val="18"/>
        </w:rPr>
        <w:t xml:space="preserve"> 77.</w:t>
      </w:r>
    </w:p>
    <w:p w14:paraId="51DE7CB6" w14:textId="77777777" w:rsidR="0010369C" w:rsidRDefault="008E43AE">
      <w:pPr>
        <w:ind w:left="238"/>
        <w:rPr>
          <w:sz w:val="18"/>
        </w:rPr>
      </w:pPr>
      <w:r>
        <w:rPr>
          <w:sz w:val="18"/>
          <w:vertAlign w:val="superscript"/>
        </w:rPr>
        <w:t>18</w:t>
      </w:r>
      <w:r>
        <w:rPr>
          <w:spacing w:val="-5"/>
          <w:sz w:val="18"/>
        </w:rPr>
        <w:t xml:space="preserve"> </w:t>
      </w:r>
      <w:r>
        <w:rPr>
          <w:sz w:val="18"/>
        </w:rPr>
        <w:t>Appellate</w:t>
      </w:r>
      <w:r>
        <w:rPr>
          <w:spacing w:val="-5"/>
          <w:sz w:val="18"/>
        </w:rPr>
        <w:t xml:space="preserve"> </w:t>
      </w:r>
      <w:r>
        <w:rPr>
          <w:sz w:val="18"/>
        </w:rPr>
        <w:t>Body</w:t>
      </w:r>
      <w:r>
        <w:rPr>
          <w:spacing w:val="-7"/>
          <w:sz w:val="18"/>
        </w:rPr>
        <w:t xml:space="preserve"> </w:t>
      </w:r>
      <w:r>
        <w:rPr>
          <w:sz w:val="18"/>
        </w:rPr>
        <w:t>Report,</w:t>
      </w:r>
      <w:r>
        <w:rPr>
          <w:spacing w:val="-5"/>
          <w:sz w:val="18"/>
        </w:rPr>
        <w:t xml:space="preserve"> </w:t>
      </w:r>
      <w:r>
        <w:rPr>
          <w:i/>
          <w:sz w:val="18"/>
        </w:rPr>
        <w:t>US</w:t>
      </w:r>
      <w:r>
        <w:rPr>
          <w:i/>
          <w:spacing w:val="-4"/>
          <w:sz w:val="18"/>
        </w:rPr>
        <w:t xml:space="preserve"> </w:t>
      </w:r>
      <w:r>
        <w:rPr>
          <w:i/>
          <w:sz w:val="18"/>
        </w:rPr>
        <w:t>–</w:t>
      </w:r>
      <w:r>
        <w:rPr>
          <w:i/>
          <w:spacing w:val="-5"/>
          <w:sz w:val="18"/>
        </w:rPr>
        <w:t xml:space="preserve"> </w:t>
      </w:r>
      <w:r>
        <w:rPr>
          <w:i/>
          <w:sz w:val="18"/>
        </w:rPr>
        <w:t>Hot</w:t>
      </w:r>
      <w:r>
        <w:rPr>
          <w:i/>
          <w:spacing w:val="-4"/>
          <w:sz w:val="18"/>
        </w:rPr>
        <w:t xml:space="preserve"> </w:t>
      </w:r>
      <w:r>
        <w:rPr>
          <w:i/>
          <w:sz w:val="18"/>
        </w:rPr>
        <w:t>Rolled</w:t>
      </w:r>
      <w:r>
        <w:rPr>
          <w:i/>
          <w:spacing w:val="-5"/>
          <w:sz w:val="18"/>
        </w:rPr>
        <w:t xml:space="preserve"> </w:t>
      </w:r>
      <w:r>
        <w:rPr>
          <w:i/>
          <w:sz w:val="18"/>
        </w:rPr>
        <w:t>Steel</w:t>
      </w:r>
      <w:r>
        <w:rPr>
          <w:sz w:val="18"/>
        </w:rPr>
        <w:t>,</w:t>
      </w:r>
      <w:r>
        <w:rPr>
          <w:spacing w:val="-6"/>
          <w:sz w:val="18"/>
        </w:rPr>
        <w:t xml:space="preserve"> </w:t>
      </w:r>
      <w:r>
        <w:rPr>
          <w:sz w:val="18"/>
        </w:rPr>
        <w:t>para.</w:t>
      </w:r>
      <w:r>
        <w:rPr>
          <w:spacing w:val="-5"/>
          <w:sz w:val="18"/>
        </w:rPr>
        <w:t xml:space="preserve"> 77.</w:t>
      </w:r>
    </w:p>
    <w:p w14:paraId="51DE7CB7" w14:textId="77777777" w:rsidR="0010369C" w:rsidRDefault="008E43AE">
      <w:pPr>
        <w:ind w:left="238"/>
        <w:rPr>
          <w:sz w:val="18"/>
        </w:rPr>
      </w:pPr>
      <w:r>
        <w:rPr>
          <w:sz w:val="18"/>
          <w:vertAlign w:val="superscript"/>
        </w:rPr>
        <w:t>19</w:t>
      </w:r>
      <w:r>
        <w:rPr>
          <w:spacing w:val="-5"/>
          <w:sz w:val="18"/>
        </w:rPr>
        <w:t xml:space="preserve"> </w:t>
      </w:r>
      <w:r>
        <w:rPr>
          <w:sz w:val="18"/>
        </w:rPr>
        <w:t>Panel</w:t>
      </w:r>
      <w:r>
        <w:rPr>
          <w:spacing w:val="-5"/>
          <w:sz w:val="18"/>
        </w:rPr>
        <w:t xml:space="preserve"> </w:t>
      </w:r>
      <w:r>
        <w:rPr>
          <w:sz w:val="18"/>
        </w:rPr>
        <w:t>Report,</w:t>
      </w:r>
      <w:r>
        <w:rPr>
          <w:spacing w:val="-4"/>
          <w:sz w:val="18"/>
        </w:rPr>
        <w:t xml:space="preserve"> </w:t>
      </w:r>
      <w:r>
        <w:rPr>
          <w:i/>
          <w:sz w:val="18"/>
        </w:rPr>
        <w:t>US</w:t>
      </w:r>
      <w:r>
        <w:rPr>
          <w:i/>
          <w:spacing w:val="-4"/>
          <w:sz w:val="18"/>
        </w:rPr>
        <w:t xml:space="preserve"> </w:t>
      </w:r>
      <w:r>
        <w:rPr>
          <w:i/>
          <w:sz w:val="18"/>
        </w:rPr>
        <w:t>–</w:t>
      </w:r>
      <w:r>
        <w:rPr>
          <w:i/>
          <w:spacing w:val="-4"/>
          <w:sz w:val="18"/>
        </w:rPr>
        <w:t xml:space="preserve"> </w:t>
      </w:r>
      <w:r>
        <w:rPr>
          <w:i/>
          <w:sz w:val="18"/>
        </w:rPr>
        <w:t>Steel</w:t>
      </w:r>
      <w:r>
        <w:rPr>
          <w:i/>
          <w:spacing w:val="-6"/>
          <w:sz w:val="18"/>
        </w:rPr>
        <w:t xml:space="preserve"> </w:t>
      </w:r>
      <w:r>
        <w:rPr>
          <w:i/>
          <w:sz w:val="18"/>
        </w:rPr>
        <w:t>Plate</w:t>
      </w:r>
      <w:r>
        <w:rPr>
          <w:sz w:val="18"/>
        </w:rPr>
        <w:t>,</w:t>
      </w:r>
      <w:r>
        <w:rPr>
          <w:spacing w:val="-5"/>
          <w:sz w:val="18"/>
        </w:rPr>
        <w:t xml:space="preserve"> </w:t>
      </w:r>
      <w:r>
        <w:rPr>
          <w:sz w:val="18"/>
        </w:rPr>
        <w:t>para.</w:t>
      </w:r>
      <w:r>
        <w:rPr>
          <w:spacing w:val="-5"/>
          <w:sz w:val="18"/>
        </w:rPr>
        <w:t xml:space="preserve"> </w:t>
      </w:r>
      <w:r>
        <w:rPr>
          <w:spacing w:val="-2"/>
          <w:sz w:val="18"/>
        </w:rPr>
        <w:t>7.56.</w:t>
      </w:r>
    </w:p>
    <w:p w14:paraId="51DE7CB8" w14:textId="77777777" w:rsidR="0010369C" w:rsidRDefault="008E43AE">
      <w:pPr>
        <w:ind w:left="238"/>
        <w:rPr>
          <w:sz w:val="18"/>
        </w:rPr>
      </w:pPr>
      <w:r>
        <w:rPr>
          <w:sz w:val="18"/>
          <w:vertAlign w:val="superscript"/>
        </w:rPr>
        <w:t>20</w:t>
      </w:r>
      <w:r>
        <w:rPr>
          <w:spacing w:val="-6"/>
          <w:sz w:val="18"/>
        </w:rPr>
        <w:t xml:space="preserve"> </w:t>
      </w:r>
      <w:r>
        <w:rPr>
          <w:sz w:val="18"/>
        </w:rPr>
        <w:t>Panel</w:t>
      </w:r>
      <w:r>
        <w:rPr>
          <w:spacing w:val="-6"/>
          <w:sz w:val="18"/>
        </w:rPr>
        <w:t xml:space="preserve"> </w:t>
      </w:r>
      <w:r>
        <w:rPr>
          <w:sz w:val="18"/>
        </w:rPr>
        <w:t>Report,</w:t>
      </w:r>
      <w:r>
        <w:rPr>
          <w:spacing w:val="-5"/>
          <w:sz w:val="18"/>
        </w:rPr>
        <w:t xml:space="preserve"> </w:t>
      </w:r>
      <w:r>
        <w:rPr>
          <w:i/>
          <w:sz w:val="18"/>
        </w:rPr>
        <w:t>Egypt</w:t>
      </w:r>
      <w:r>
        <w:rPr>
          <w:i/>
          <w:spacing w:val="-5"/>
          <w:sz w:val="18"/>
        </w:rPr>
        <w:t xml:space="preserve"> </w:t>
      </w:r>
      <w:r>
        <w:rPr>
          <w:i/>
          <w:sz w:val="18"/>
        </w:rPr>
        <w:t>–</w:t>
      </w:r>
      <w:r>
        <w:rPr>
          <w:i/>
          <w:spacing w:val="-6"/>
          <w:sz w:val="18"/>
        </w:rPr>
        <w:t xml:space="preserve"> </w:t>
      </w:r>
      <w:r>
        <w:rPr>
          <w:i/>
          <w:sz w:val="18"/>
        </w:rPr>
        <w:t>Steel</w:t>
      </w:r>
      <w:r>
        <w:rPr>
          <w:i/>
          <w:spacing w:val="-6"/>
          <w:sz w:val="18"/>
        </w:rPr>
        <w:t xml:space="preserve"> </w:t>
      </w:r>
      <w:r>
        <w:rPr>
          <w:i/>
          <w:sz w:val="18"/>
        </w:rPr>
        <w:t>Rebar</w:t>
      </w:r>
      <w:r>
        <w:rPr>
          <w:sz w:val="18"/>
        </w:rPr>
        <w:t>,</w:t>
      </w:r>
      <w:r>
        <w:rPr>
          <w:spacing w:val="-6"/>
          <w:sz w:val="18"/>
        </w:rPr>
        <w:t xml:space="preserve"> </w:t>
      </w:r>
      <w:r>
        <w:rPr>
          <w:sz w:val="18"/>
        </w:rPr>
        <w:t>para.</w:t>
      </w:r>
      <w:r>
        <w:rPr>
          <w:spacing w:val="-5"/>
          <w:sz w:val="18"/>
        </w:rPr>
        <w:t xml:space="preserve"> </w:t>
      </w:r>
      <w:r>
        <w:rPr>
          <w:spacing w:val="-2"/>
          <w:sz w:val="18"/>
        </w:rPr>
        <w:t>7.152.</w:t>
      </w:r>
    </w:p>
    <w:p w14:paraId="51DE7CB9" w14:textId="77777777" w:rsidR="0010369C" w:rsidRDefault="008E43AE">
      <w:pPr>
        <w:spacing w:before="1"/>
        <w:ind w:left="238" w:right="4497"/>
        <w:jc w:val="both"/>
        <w:rPr>
          <w:sz w:val="18"/>
        </w:rPr>
      </w:pPr>
      <w:r>
        <w:rPr>
          <w:sz w:val="18"/>
          <w:vertAlign w:val="superscript"/>
        </w:rPr>
        <w:t>21</w:t>
      </w:r>
      <w:r>
        <w:rPr>
          <w:spacing w:val="-3"/>
          <w:sz w:val="18"/>
        </w:rPr>
        <w:t xml:space="preserve"> </w:t>
      </w:r>
      <w:r>
        <w:rPr>
          <w:sz w:val="18"/>
        </w:rPr>
        <w:t>Panel</w:t>
      </w:r>
      <w:r>
        <w:rPr>
          <w:spacing w:val="-4"/>
          <w:sz w:val="18"/>
        </w:rPr>
        <w:t xml:space="preserve"> </w:t>
      </w:r>
      <w:r>
        <w:rPr>
          <w:sz w:val="18"/>
        </w:rPr>
        <w:t>Report,</w:t>
      </w:r>
      <w:r>
        <w:rPr>
          <w:spacing w:val="-3"/>
          <w:sz w:val="18"/>
        </w:rPr>
        <w:t xml:space="preserve"> </w:t>
      </w:r>
      <w:r>
        <w:rPr>
          <w:i/>
          <w:sz w:val="18"/>
        </w:rPr>
        <w:t>Mexico</w:t>
      </w:r>
      <w:r>
        <w:rPr>
          <w:i/>
          <w:spacing w:val="-3"/>
          <w:sz w:val="18"/>
        </w:rPr>
        <w:t xml:space="preserve"> </w:t>
      </w:r>
      <w:r>
        <w:rPr>
          <w:i/>
          <w:sz w:val="18"/>
        </w:rPr>
        <w:t>–</w:t>
      </w:r>
      <w:r>
        <w:rPr>
          <w:i/>
          <w:spacing w:val="-3"/>
          <w:sz w:val="18"/>
        </w:rPr>
        <w:t xml:space="preserve"> </w:t>
      </w:r>
      <w:r>
        <w:rPr>
          <w:i/>
          <w:sz w:val="18"/>
        </w:rPr>
        <w:t>Anti‐Dumping</w:t>
      </w:r>
      <w:r>
        <w:rPr>
          <w:i/>
          <w:spacing w:val="-3"/>
          <w:sz w:val="18"/>
        </w:rPr>
        <w:t xml:space="preserve"> </w:t>
      </w:r>
      <w:r>
        <w:rPr>
          <w:i/>
          <w:sz w:val="18"/>
        </w:rPr>
        <w:t>Measures</w:t>
      </w:r>
      <w:r>
        <w:rPr>
          <w:i/>
          <w:spacing w:val="-3"/>
          <w:sz w:val="18"/>
        </w:rPr>
        <w:t xml:space="preserve"> </w:t>
      </w:r>
      <w:r>
        <w:rPr>
          <w:i/>
          <w:sz w:val="18"/>
        </w:rPr>
        <w:t>on</w:t>
      </w:r>
      <w:r>
        <w:rPr>
          <w:i/>
          <w:spacing w:val="-3"/>
          <w:sz w:val="18"/>
        </w:rPr>
        <w:t xml:space="preserve"> </w:t>
      </w:r>
      <w:r>
        <w:rPr>
          <w:i/>
          <w:sz w:val="18"/>
        </w:rPr>
        <w:t>Rice</w:t>
      </w:r>
      <w:r>
        <w:rPr>
          <w:sz w:val="18"/>
        </w:rPr>
        <w:t>,</w:t>
      </w:r>
      <w:r>
        <w:rPr>
          <w:spacing w:val="-4"/>
          <w:sz w:val="18"/>
        </w:rPr>
        <w:t xml:space="preserve"> </w:t>
      </w:r>
      <w:r>
        <w:rPr>
          <w:sz w:val="18"/>
        </w:rPr>
        <w:t>para.</w:t>
      </w:r>
      <w:r>
        <w:rPr>
          <w:spacing w:val="-3"/>
          <w:sz w:val="18"/>
        </w:rPr>
        <w:t xml:space="preserve"> </w:t>
      </w:r>
      <w:r>
        <w:rPr>
          <w:sz w:val="18"/>
        </w:rPr>
        <w:t xml:space="preserve">7.238. </w:t>
      </w:r>
      <w:r>
        <w:rPr>
          <w:sz w:val="18"/>
          <w:vertAlign w:val="superscript"/>
        </w:rPr>
        <w:t>22</w:t>
      </w:r>
      <w:r>
        <w:rPr>
          <w:spacing w:val="-3"/>
          <w:sz w:val="18"/>
        </w:rPr>
        <w:t xml:space="preserve"> </w:t>
      </w:r>
      <w:r>
        <w:rPr>
          <w:sz w:val="18"/>
        </w:rPr>
        <w:t>Panel</w:t>
      </w:r>
      <w:r>
        <w:rPr>
          <w:spacing w:val="-4"/>
          <w:sz w:val="18"/>
        </w:rPr>
        <w:t xml:space="preserve"> </w:t>
      </w:r>
      <w:r>
        <w:rPr>
          <w:sz w:val="18"/>
        </w:rPr>
        <w:t>Report,</w:t>
      </w:r>
      <w:r>
        <w:rPr>
          <w:spacing w:val="-3"/>
          <w:sz w:val="18"/>
        </w:rPr>
        <w:t xml:space="preserve"> </w:t>
      </w:r>
      <w:r>
        <w:rPr>
          <w:i/>
          <w:sz w:val="18"/>
        </w:rPr>
        <w:t>Mexico</w:t>
      </w:r>
      <w:r>
        <w:rPr>
          <w:i/>
          <w:spacing w:val="-3"/>
          <w:sz w:val="18"/>
        </w:rPr>
        <w:t xml:space="preserve"> </w:t>
      </w:r>
      <w:r>
        <w:rPr>
          <w:i/>
          <w:sz w:val="18"/>
        </w:rPr>
        <w:t>–</w:t>
      </w:r>
      <w:r>
        <w:rPr>
          <w:i/>
          <w:spacing w:val="-3"/>
          <w:sz w:val="18"/>
        </w:rPr>
        <w:t xml:space="preserve"> </w:t>
      </w:r>
      <w:r>
        <w:rPr>
          <w:i/>
          <w:sz w:val="18"/>
        </w:rPr>
        <w:t>Anti‐Dumping</w:t>
      </w:r>
      <w:r>
        <w:rPr>
          <w:i/>
          <w:spacing w:val="-3"/>
          <w:sz w:val="18"/>
        </w:rPr>
        <w:t xml:space="preserve"> </w:t>
      </w:r>
      <w:r>
        <w:rPr>
          <w:i/>
          <w:sz w:val="18"/>
        </w:rPr>
        <w:t>Measures</w:t>
      </w:r>
      <w:r>
        <w:rPr>
          <w:i/>
          <w:spacing w:val="-3"/>
          <w:sz w:val="18"/>
        </w:rPr>
        <w:t xml:space="preserve"> </w:t>
      </w:r>
      <w:r>
        <w:rPr>
          <w:i/>
          <w:sz w:val="18"/>
        </w:rPr>
        <w:t>on</w:t>
      </w:r>
      <w:r>
        <w:rPr>
          <w:i/>
          <w:spacing w:val="-3"/>
          <w:sz w:val="18"/>
        </w:rPr>
        <w:t xml:space="preserve"> </w:t>
      </w:r>
      <w:r>
        <w:rPr>
          <w:i/>
          <w:sz w:val="18"/>
        </w:rPr>
        <w:t>Rice</w:t>
      </w:r>
      <w:r>
        <w:rPr>
          <w:sz w:val="18"/>
        </w:rPr>
        <w:t>,</w:t>
      </w:r>
      <w:r>
        <w:rPr>
          <w:spacing w:val="-4"/>
          <w:sz w:val="18"/>
        </w:rPr>
        <w:t xml:space="preserve"> </w:t>
      </w:r>
      <w:r>
        <w:rPr>
          <w:sz w:val="18"/>
        </w:rPr>
        <w:t>para.</w:t>
      </w:r>
      <w:r>
        <w:rPr>
          <w:spacing w:val="-3"/>
          <w:sz w:val="18"/>
        </w:rPr>
        <w:t xml:space="preserve"> </w:t>
      </w:r>
      <w:r>
        <w:rPr>
          <w:sz w:val="18"/>
        </w:rPr>
        <w:t xml:space="preserve">7.238. </w:t>
      </w:r>
      <w:r>
        <w:rPr>
          <w:sz w:val="18"/>
          <w:vertAlign w:val="superscript"/>
        </w:rPr>
        <w:t>23</w:t>
      </w:r>
      <w:r>
        <w:rPr>
          <w:sz w:val="18"/>
        </w:rPr>
        <w:t xml:space="preserve"> Panel Report, </w:t>
      </w:r>
      <w:r>
        <w:rPr>
          <w:i/>
          <w:sz w:val="18"/>
        </w:rPr>
        <w:t>Egypt – Steel Rebar</w:t>
      </w:r>
      <w:r>
        <w:rPr>
          <w:sz w:val="18"/>
        </w:rPr>
        <w:t>, para. 7.154.</w:t>
      </w:r>
    </w:p>
    <w:p w14:paraId="51DE7CBA" w14:textId="77777777" w:rsidR="0010369C" w:rsidRDefault="008E43AE">
      <w:pPr>
        <w:spacing w:line="219" w:lineRule="exact"/>
        <w:ind w:left="238"/>
        <w:jc w:val="both"/>
        <w:rPr>
          <w:sz w:val="18"/>
        </w:rPr>
      </w:pPr>
      <w:r>
        <w:rPr>
          <w:sz w:val="18"/>
          <w:vertAlign w:val="superscript"/>
        </w:rPr>
        <w:t>24</w:t>
      </w:r>
      <w:r>
        <w:rPr>
          <w:spacing w:val="-7"/>
          <w:sz w:val="18"/>
        </w:rPr>
        <w:t xml:space="preserve"> </w:t>
      </w:r>
      <w:r>
        <w:rPr>
          <w:sz w:val="18"/>
        </w:rPr>
        <w:t>Appellate</w:t>
      </w:r>
      <w:r>
        <w:rPr>
          <w:spacing w:val="-6"/>
          <w:sz w:val="18"/>
        </w:rPr>
        <w:t xml:space="preserve"> </w:t>
      </w:r>
      <w:r>
        <w:rPr>
          <w:sz w:val="18"/>
        </w:rPr>
        <w:t>Body</w:t>
      </w:r>
      <w:r>
        <w:rPr>
          <w:spacing w:val="-8"/>
          <w:sz w:val="18"/>
        </w:rPr>
        <w:t xml:space="preserve"> </w:t>
      </w:r>
      <w:r>
        <w:rPr>
          <w:sz w:val="18"/>
        </w:rPr>
        <w:t>Report,</w:t>
      </w:r>
      <w:r>
        <w:rPr>
          <w:spacing w:val="-7"/>
          <w:sz w:val="18"/>
        </w:rPr>
        <w:t xml:space="preserve"> </w:t>
      </w:r>
      <w:r>
        <w:rPr>
          <w:i/>
          <w:sz w:val="18"/>
        </w:rPr>
        <w:t>Mexico</w:t>
      </w:r>
      <w:r>
        <w:rPr>
          <w:i/>
          <w:spacing w:val="-6"/>
          <w:sz w:val="18"/>
        </w:rPr>
        <w:t xml:space="preserve"> </w:t>
      </w:r>
      <w:r>
        <w:rPr>
          <w:sz w:val="18"/>
        </w:rPr>
        <w:t>–</w:t>
      </w:r>
      <w:r>
        <w:rPr>
          <w:spacing w:val="-7"/>
          <w:sz w:val="18"/>
        </w:rPr>
        <w:t xml:space="preserve"> </w:t>
      </w:r>
      <w:r>
        <w:rPr>
          <w:i/>
          <w:sz w:val="18"/>
        </w:rPr>
        <w:t>Anti‐Dumping</w:t>
      </w:r>
      <w:r>
        <w:rPr>
          <w:i/>
          <w:spacing w:val="-5"/>
          <w:sz w:val="18"/>
        </w:rPr>
        <w:t xml:space="preserve"> </w:t>
      </w:r>
      <w:r>
        <w:rPr>
          <w:i/>
          <w:sz w:val="18"/>
        </w:rPr>
        <w:t>Measures</w:t>
      </w:r>
      <w:r>
        <w:rPr>
          <w:i/>
          <w:spacing w:val="-7"/>
          <w:sz w:val="18"/>
        </w:rPr>
        <w:t xml:space="preserve"> </w:t>
      </w:r>
      <w:r>
        <w:rPr>
          <w:i/>
          <w:sz w:val="18"/>
        </w:rPr>
        <w:t>on</w:t>
      </w:r>
      <w:r>
        <w:rPr>
          <w:i/>
          <w:spacing w:val="-7"/>
          <w:sz w:val="18"/>
        </w:rPr>
        <w:t xml:space="preserve"> </w:t>
      </w:r>
      <w:r>
        <w:rPr>
          <w:i/>
          <w:sz w:val="18"/>
        </w:rPr>
        <w:t>Rice</w:t>
      </w:r>
      <w:r>
        <w:rPr>
          <w:sz w:val="18"/>
        </w:rPr>
        <w:t>,</w:t>
      </w:r>
      <w:r>
        <w:rPr>
          <w:spacing w:val="-7"/>
          <w:sz w:val="18"/>
        </w:rPr>
        <w:t xml:space="preserve"> </w:t>
      </w:r>
      <w:r>
        <w:rPr>
          <w:sz w:val="18"/>
        </w:rPr>
        <w:t>para.</w:t>
      </w:r>
      <w:r>
        <w:rPr>
          <w:spacing w:val="-6"/>
          <w:sz w:val="18"/>
        </w:rPr>
        <w:t xml:space="preserve"> </w:t>
      </w:r>
      <w:r>
        <w:rPr>
          <w:spacing w:val="-4"/>
          <w:sz w:val="18"/>
        </w:rPr>
        <w:t>289.</w:t>
      </w:r>
    </w:p>
    <w:p w14:paraId="51DE7CBB" w14:textId="77777777" w:rsidR="0010369C" w:rsidRDefault="0010369C">
      <w:pPr>
        <w:spacing w:line="219" w:lineRule="exact"/>
        <w:jc w:val="both"/>
        <w:rPr>
          <w:sz w:val="18"/>
        </w:rPr>
        <w:sectPr w:rsidR="0010369C">
          <w:pgSz w:w="11910" w:h="16840"/>
          <w:pgMar w:top="880" w:right="800" w:bottom="980" w:left="1180" w:header="569" w:footer="788" w:gutter="0"/>
          <w:cols w:space="720"/>
        </w:sectPr>
      </w:pPr>
    </w:p>
    <w:p w14:paraId="51DE7CBC" w14:textId="77777777" w:rsidR="0010369C" w:rsidRDefault="008E43AE">
      <w:pPr>
        <w:tabs>
          <w:tab w:val="left" w:pos="6426"/>
        </w:tabs>
        <w:ind w:left="238"/>
        <w:jc w:val="both"/>
        <w:rPr>
          <w:sz w:val="20"/>
        </w:rPr>
      </w:pPr>
      <w:r>
        <w:rPr>
          <w:i/>
          <w:sz w:val="20"/>
        </w:rPr>
        <w:lastRenderedPageBreak/>
        <w:t>China</w:t>
      </w:r>
      <w:r>
        <w:rPr>
          <w:i/>
          <w:spacing w:val="-5"/>
          <w:sz w:val="20"/>
        </w:rPr>
        <w:t xml:space="preserve"> </w:t>
      </w:r>
      <w:r>
        <w:rPr>
          <w:i/>
          <w:sz w:val="20"/>
        </w:rPr>
        <w:t>–</w:t>
      </w:r>
      <w:r>
        <w:rPr>
          <w:i/>
          <w:spacing w:val="-5"/>
          <w:sz w:val="20"/>
        </w:rPr>
        <w:t xml:space="preserve"> </w:t>
      </w:r>
      <w:r>
        <w:rPr>
          <w:i/>
          <w:sz w:val="20"/>
        </w:rPr>
        <w:t>Anti‐Dumping</w:t>
      </w:r>
      <w:r>
        <w:rPr>
          <w:i/>
          <w:spacing w:val="-4"/>
          <w:sz w:val="20"/>
        </w:rPr>
        <w:t xml:space="preserve"> </w:t>
      </w:r>
      <w:r>
        <w:rPr>
          <w:i/>
          <w:sz w:val="20"/>
        </w:rPr>
        <w:t>and</w:t>
      </w:r>
      <w:r>
        <w:rPr>
          <w:i/>
          <w:spacing w:val="-5"/>
          <w:sz w:val="20"/>
        </w:rPr>
        <w:t xml:space="preserve"> </w:t>
      </w:r>
      <w:r>
        <w:rPr>
          <w:i/>
          <w:sz w:val="20"/>
        </w:rPr>
        <w:t>Countervailing</w:t>
      </w:r>
      <w:r>
        <w:rPr>
          <w:i/>
          <w:spacing w:val="-5"/>
          <w:sz w:val="20"/>
        </w:rPr>
        <w:t xml:space="preserve"> </w:t>
      </w:r>
      <w:r>
        <w:rPr>
          <w:i/>
          <w:sz w:val="20"/>
        </w:rPr>
        <w:t>Duty</w:t>
      </w:r>
      <w:r>
        <w:rPr>
          <w:i/>
          <w:spacing w:val="-4"/>
          <w:sz w:val="20"/>
        </w:rPr>
        <w:t xml:space="preserve"> </w:t>
      </w:r>
      <w:r>
        <w:rPr>
          <w:i/>
          <w:spacing w:val="-2"/>
          <w:sz w:val="20"/>
        </w:rPr>
        <w:t>Measures</w:t>
      </w:r>
      <w:r>
        <w:rPr>
          <w:i/>
          <w:sz w:val="20"/>
        </w:rPr>
        <w:tab/>
      </w:r>
      <w:r>
        <w:rPr>
          <w:sz w:val="20"/>
        </w:rPr>
        <w:t>Australia's</w:t>
      </w:r>
      <w:r>
        <w:rPr>
          <w:spacing w:val="-7"/>
          <w:sz w:val="20"/>
        </w:rPr>
        <w:t xml:space="preserve"> </w:t>
      </w:r>
      <w:r>
        <w:rPr>
          <w:sz w:val="20"/>
        </w:rPr>
        <w:t>First</w:t>
      </w:r>
      <w:r>
        <w:rPr>
          <w:spacing w:val="-2"/>
          <w:sz w:val="20"/>
        </w:rPr>
        <w:t xml:space="preserve"> </w:t>
      </w:r>
      <w:r>
        <w:rPr>
          <w:sz w:val="20"/>
        </w:rPr>
        <w:t>Written</w:t>
      </w:r>
      <w:r>
        <w:rPr>
          <w:spacing w:val="-2"/>
          <w:sz w:val="20"/>
        </w:rPr>
        <w:t xml:space="preserve"> Submission</w:t>
      </w:r>
    </w:p>
    <w:p w14:paraId="51DE7CBD" w14:textId="77777777" w:rsidR="0010369C" w:rsidRDefault="008E43AE">
      <w:pPr>
        <w:tabs>
          <w:tab w:val="left" w:pos="8228"/>
        </w:tabs>
        <w:spacing w:before="1"/>
        <w:ind w:left="239"/>
        <w:jc w:val="both"/>
        <w:rPr>
          <w:sz w:val="20"/>
        </w:rPr>
      </w:pPr>
      <w:r>
        <w:rPr>
          <w:i/>
          <w:sz w:val="20"/>
        </w:rPr>
        <w:t>on</w:t>
      </w:r>
      <w:r>
        <w:rPr>
          <w:i/>
          <w:spacing w:val="-1"/>
          <w:sz w:val="20"/>
        </w:rPr>
        <w:t xml:space="preserve"> </w:t>
      </w:r>
      <w:r>
        <w:rPr>
          <w:i/>
          <w:sz w:val="20"/>
        </w:rPr>
        <w:t>Wine</w:t>
      </w:r>
      <w:r>
        <w:rPr>
          <w:i/>
          <w:spacing w:val="-1"/>
          <w:sz w:val="20"/>
        </w:rPr>
        <w:t xml:space="preserve"> </w:t>
      </w:r>
      <w:r>
        <w:rPr>
          <w:i/>
          <w:sz w:val="20"/>
        </w:rPr>
        <w:t>from</w:t>
      </w:r>
      <w:r>
        <w:rPr>
          <w:i/>
          <w:spacing w:val="-3"/>
          <w:sz w:val="20"/>
        </w:rPr>
        <w:t xml:space="preserve"> </w:t>
      </w:r>
      <w:r>
        <w:rPr>
          <w:i/>
          <w:sz w:val="20"/>
        </w:rPr>
        <w:t>Australia</w:t>
      </w:r>
      <w:r>
        <w:rPr>
          <w:i/>
          <w:spacing w:val="-1"/>
          <w:sz w:val="20"/>
        </w:rPr>
        <w:t xml:space="preserve"> </w:t>
      </w:r>
      <w:r>
        <w:rPr>
          <w:spacing w:val="-2"/>
          <w:sz w:val="20"/>
        </w:rPr>
        <w:t>(DS602)</w:t>
      </w:r>
      <w:r>
        <w:rPr>
          <w:sz w:val="20"/>
        </w:rPr>
        <w:tab/>
        <w:t>29</w:t>
      </w:r>
      <w:r>
        <w:rPr>
          <w:spacing w:val="-1"/>
          <w:sz w:val="20"/>
        </w:rPr>
        <w:t xml:space="preserve"> </w:t>
      </w:r>
      <w:r>
        <w:rPr>
          <w:sz w:val="20"/>
        </w:rPr>
        <w:t>April</w:t>
      </w:r>
      <w:r>
        <w:rPr>
          <w:spacing w:val="-2"/>
          <w:sz w:val="20"/>
        </w:rPr>
        <w:t xml:space="preserve"> </w:t>
      </w:r>
      <w:r>
        <w:rPr>
          <w:spacing w:val="-4"/>
          <w:sz w:val="20"/>
        </w:rPr>
        <w:t>2022</w:t>
      </w:r>
    </w:p>
    <w:p w14:paraId="51DE7CBE" w14:textId="77777777" w:rsidR="0010369C" w:rsidRDefault="008E43AE">
      <w:pPr>
        <w:pStyle w:val="BodyText"/>
        <w:spacing w:before="34" w:line="360" w:lineRule="auto"/>
        <w:ind w:left="238" w:right="614" w:hanging="1"/>
        <w:jc w:val="both"/>
      </w:pPr>
      <w:r>
        <w:t>missing</w:t>
      </w:r>
      <w:r>
        <w:rPr>
          <w:spacing w:val="-14"/>
        </w:rPr>
        <w:t xml:space="preserve"> </w:t>
      </w:r>
      <w:r>
        <w:t>from</w:t>
      </w:r>
      <w:r>
        <w:rPr>
          <w:spacing w:val="-14"/>
        </w:rPr>
        <w:t xml:space="preserve"> </w:t>
      </w:r>
      <w:r>
        <w:t>the</w:t>
      </w:r>
      <w:r>
        <w:rPr>
          <w:spacing w:val="-13"/>
        </w:rPr>
        <w:t xml:space="preserve"> </w:t>
      </w:r>
      <w:r>
        <w:t>record.</w:t>
      </w:r>
      <w:r>
        <w:rPr>
          <w:vertAlign w:val="superscript"/>
        </w:rPr>
        <w:t>25</w:t>
      </w:r>
      <w:r>
        <w:rPr>
          <w:spacing w:val="-14"/>
        </w:rPr>
        <w:t xml:space="preserve"> </w:t>
      </w:r>
      <w:r>
        <w:t>The</w:t>
      </w:r>
      <w:r>
        <w:rPr>
          <w:spacing w:val="-13"/>
        </w:rPr>
        <w:t xml:space="preserve"> </w:t>
      </w:r>
      <w:r>
        <w:t>Appellate</w:t>
      </w:r>
      <w:r>
        <w:rPr>
          <w:spacing w:val="-14"/>
        </w:rPr>
        <w:t xml:space="preserve"> </w:t>
      </w:r>
      <w:r>
        <w:t>Body</w:t>
      </w:r>
      <w:r>
        <w:rPr>
          <w:spacing w:val="-13"/>
        </w:rPr>
        <w:t xml:space="preserve"> </w:t>
      </w:r>
      <w:r>
        <w:t>explained</w:t>
      </w:r>
      <w:r>
        <w:rPr>
          <w:spacing w:val="-12"/>
        </w:rPr>
        <w:t xml:space="preserve"> </w:t>
      </w:r>
      <w:r>
        <w:t>that</w:t>
      </w:r>
      <w:r>
        <w:rPr>
          <w:spacing w:val="-11"/>
        </w:rPr>
        <w:t xml:space="preserve"> </w:t>
      </w:r>
      <w:r>
        <w:t>the</w:t>
      </w:r>
      <w:r>
        <w:rPr>
          <w:spacing w:val="-12"/>
        </w:rPr>
        <w:t xml:space="preserve"> </w:t>
      </w:r>
      <w:r>
        <w:t>selection</w:t>
      </w:r>
      <w:r>
        <w:rPr>
          <w:spacing w:val="-12"/>
        </w:rPr>
        <w:t xml:space="preserve"> </w:t>
      </w:r>
      <w:r>
        <w:t>of</w:t>
      </w:r>
      <w:r>
        <w:rPr>
          <w:spacing w:val="-12"/>
        </w:rPr>
        <w:t xml:space="preserve"> </w:t>
      </w:r>
      <w:r>
        <w:t>facts</w:t>
      </w:r>
      <w:r>
        <w:rPr>
          <w:spacing w:val="-12"/>
        </w:rPr>
        <w:t xml:space="preserve"> </w:t>
      </w:r>
      <w:r>
        <w:t>is</w:t>
      </w:r>
      <w:r>
        <w:rPr>
          <w:spacing w:val="-10"/>
        </w:rPr>
        <w:t xml:space="preserve"> </w:t>
      </w:r>
      <w:r>
        <w:t>a</w:t>
      </w:r>
      <w:r>
        <w:rPr>
          <w:spacing w:val="-12"/>
        </w:rPr>
        <w:t xml:space="preserve"> </w:t>
      </w:r>
      <w:r>
        <w:t>process that an investigating authority must undertake:</w:t>
      </w:r>
      <w:r>
        <w:rPr>
          <w:vertAlign w:val="superscript"/>
        </w:rPr>
        <w:t>26</w:t>
      </w:r>
    </w:p>
    <w:p w14:paraId="51DE7CBF" w14:textId="77777777" w:rsidR="0010369C" w:rsidRDefault="008E43AE">
      <w:pPr>
        <w:spacing w:before="160"/>
        <w:ind w:left="1088" w:right="613"/>
        <w:jc w:val="both"/>
      </w:pPr>
      <w:r>
        <w:t>Ascertaining</w:t>
      </w:r>
      <w:r>
        <w:rPr>
          <w:spacing w:val="-4"/>
        </w:rPr>
        <w:t xml:space="preserve"> </w:t>
      </w:r>
      <w:r>
        <w:t>which</w:t>
      </w:r>
      <w:r>
        <w:rPr>
          <w:spacing w:val="-2"/>
        </w:rPr>
        <w:t xml:space="preserve"> </w:t>
      </w:r>
      <w:r>
        <w:t>"facts</w:t>
      </w:r>
      <w:r>
        <w:rPr>
          <w:spacing w:val="-1"/>
        </w:rPr>
        <w:t xml:space="preserve"> </w:t>
      </w:r>
      <w:r>
        <w:t>available"</w:t>
      </w:r>
      <w:r>
        <w:rPr>
          <w:spacing w:val="-3"/>
        </w:rPr>
        <w:t xml:space="preserve"> </w:t>
      </w:r>
      <w:r>
        <w:t>reasonably</w:t>
      </w:r>
      <w:r>
        <w:rPr>
          <w:spacing w:val="-2"/>
        </w:rPr>
        <w:t xml:space="preserve"> </w:t>
      </w:r>
      <w:r>
        <w:t>replace</w:t>
      </w:r>
      <w:r>
        <w:rPr>
          <w:spacing w:val="-2"/>
        </w:rPr>
        <w:t xml:space="preserve"> </w:t>
      </w:r>
      <w:r>
        <w:t>the</w:t>
      </w:r>
      <w:r>
        <w:rPr>
          <w:spacing w:val="-2"/>
        </w:rPr>
        <w:t xml:space="preserve"> </w:t>
      </w:r>
      <w:r>
        <w:t>missing</w:t>
      </w:r>
      <w:r>
        <w:rPr>
          <w:spacing w:val="-4"/>
        </w:rPr>
        <w:t xml:space="preserve"> </w:t>
      </w:r>
      <w:r>
        <w:t>"necessary</w:t>
      </w:r>
      <w:r>
        <w:rPr>
          <w:spacing w:val="-3"/>
        </w:rPr>
        <w:t xml:space="preserve"> </w:t>
      </w:r>
      <w:r>
        <w:t>information" calls</w:t>
      </w:r>
      <w:r>
        <w:rPr>
          <w:spacing w:val="-12"/>
        </w:rPr>
        <w:t xml:space="preserve"> </w:t>
      </w:r>
      <w:r>
        <w:t>for</w:t>
      </w:r>
      <w:r>
        <w:rPr>
          <w:spacing w:val="-12"/>
        </w:rPr>
        <w:t xml:space="preserve"> </w:t>
      </w:r>
      <w:r>
        <w:t>a</w:t>
      </w:r>
      <w:r>
        <w:rPr>
          <w:spacing w:val="-11"/>
        </w:rPr>
        <w:t xml:space="preserve"> </w:t>
      </w:r>
      <w:r>
        <w:t>process</w:t>
      </w:r>
      <w:r>
        <w:rPr>
          <w:spacing w:val="-12"/>
        </w:rPr>
        <w:t xml:space="preserve"> </w:t>
      </w:r>
      <w:r>
        <w:t>of</w:t>
      </w:r>
      <w:r>
        <w:rPr>
          <w:spacing w:val="-13"/>
        </w:rPr>
        <w:t xml:space="preserve"> </w:t>
      </w:r>
      <w:r>
        <w:t>reasoning</w:t>
      </w:r>
      <w:r>
        <w:rPr>
          <w:spacing w:val="-11"/>
        </w:rPr>
        <w:t xml:space="preserve"> </w:t>
      </w:r>
      <w:r>
        <w:t>and</w:t>
      </w:r>
      <w:r>
        <w:rPr>
          <w:spacing w:val="-12"/>
        </w:rPr>
        <w:t xml:space="preserve"> </w:t>
      </w:r>
      <w:r>
        <w:t>evaluation</w:t>
      </w:r>
      <w:r>
        <w:rPr>
          <w:spacing w:val="-13"/>
        </w:rPr>
        <w:t xml:space="preserve"> </w:t>
      </w:r>
      <w:r>
        <w:t>of</w:t>
      </w:r>
      <w:r>
        <w:rPr>
          <w:spacing w:val="-10"/>
        </w:rPr>
        <w:t xml:space="preserve"> </w:t>
      </w:r>
      <w:r>
        <w:t>all</w:t>
      </w:r>
      <w:r>
        <w:rPr>
          <w:spacing w:val="-11"/>
        </w:rPr>
        <w:t xml:space="preserve"> </w:t>
      </w:r>
      <w:r>
        <w:t>substant</w:t>
      </w:r>
      <w:r>
        <w:t>iated</w:t>
      </w:r>
      <w:r>
        <w:rPr>
          <w:spacing w:val="-10"/>
        </w:rPr>
        <w:t xml:space="preserve"> </w:t>
      </w:r>
      <w:r>
        <w:t>facts</w:t>
      </w:r>
      <w:r>
        <w:rPr>
          <w:spacing w:val="-12"/>
        </w:rPr>
        <w:t xml:space="preserve"> </w:t>
      </w:r>
      <w:r>
        <w:t>on</w:t>
      </w:r>
      <w:r>
        <w:rPr>
          <w:spacing w:val="-12"/>
        </w:rPr>
        <w:t xml:space="preserve"> </w:t>
      </w:r>
      <w:r>
        <w:t>the</w:t>
      </w:r>
      <w:r>
        <w:rPr>
          <w:spacing w:val="-11"/>
        </w:rPr>
        <w:t xml:space="preserve"> </w:t>
      </w:r>
      <w:r>
        <w:t>record.</w:t>
      </w:r>
      <w:r>
        <w:rPr>
          <w:spacing w:val="-12"/>
        </w:rPr>
        <w:t xml:space="preserve"> </w:t>
      </w:r>
      <w:r>
        <w:t>In</w:t>
      </w:r>
      <w:r>
        <w:rPr>
          <w:spacing w:val="-12"/>
        </w:rPr>
        <w:t xml:space="preserve"> </w:t>
      </w:r>
      <w:r>
        <w:t>such a</w:t>
      </w:r>
      <w:r>
        <w:rPr>
          <w:spacing w:val="-1"/>
        </w:rPr>
        <w:t xml:space="preserve"> </w:t>
      </w:r>
      <w:r>
        <w:t>process,</w:t>
      </w:r>
      <w:r>
        <w:rPr>
          <w:spacing w:val="-1"/>
        </w:rPr>
        <w:t xml:space="preserve"> </w:t>
      </w:r>
      <w:r>
        <w:t>no</w:t>
      </w:r>
      <w:r>
        <w:rPr>
          <w:spacing w:val="-1"/>
        </w:rPr>
        <w:t xml:space="preserve"> </w:t>
      </w:r>
      <w:r>
        <w:t>substantiated</w:t>
      </w:r>
      <w:r>
        <w:rPr>
          <w:spacing w:val="-2"/>
        </w:rPr>
        <w:t xml:space="preserve"> </w:t>
      </w:r>
      <w:r>
        <w:t>facts</w:t>
      </w:r>
      <w:r>
        <w:rPr>
          <w:spacing w:val="-1"/>
        </w:rPr>
        <w:t xml:space="preserve"> </w:t>
      </w:r>
      <w:r>
        <w:t>on the record</w:t>
      </w:r>
      <w:r>
        <w:rPr>
          <w:spacing w:val="-2"/>
        </w:rPr>
        <w:t xml:space="preserve"> </w:t>
      </w:r>
      <w:r>
        <w:t>can</w:t>
      </w:r>
      <w:r>
        <w:rPr>
          <w:spacing w:val="-1"/>
        </w:rPr>
        <w:t xml:space="preserve"> </w:t>
      </w:r>
      <w:r>
        <w:t>be</w:t>
      </w:r>
      <w:r>
        <w:rPr>
          <w:spacing w:val="-2"/>
        </w:rPr>
        <w:t xml:space="preserve"> </w:t>
      </w:r>
      <w:r>
        <w:t>a</w:t>
      </w:r>
      <w:r>
        <w:rPr>
          <w:spacing w:val="-1"/>
        </w:rPr>
        <w:t xml:space="preserve"> </w:t>
      </w:r>
      <w:r>
        <w:t>priori</w:t>
      </w:r>
      <w:r>
        <w:rPr>
          <w:spacing w:val="-1"/>
        </w:rPr>
        <w:t xml:space="preserve"> </w:t>
      </w:r>
      <w:r>
        <w:t>excluded</w:t>
      </w:r>
      <w:r>
        <w:rPr>
          <w:spacing w:val="-1"/>
        </w:rPr>
        <w:t xml:space="preserve"> </w:t>
      </w:r>
      <w:r>
        <w:t>from</w:t>
      </w:r>
      <w:r>
        <w:rPr>
          <w:spacing w:val="-1"/>
        </w:rPr>
        <w:t xml:space="preserve"> </w:t>
      </w:r>
      <w:r>
        <w:t>consideration. […] Determinations under Article 6.8, however, must be based on "facts" that reasonably replace</w:t>
      </w:r>
      <w:r>
        <w:rPr>
          <w:spacing w:val="-7"/>
        </w:rPr>
        <w:t xml:space="preserve"> </w:t>
      </w:r>
      <w:r>
        <w:t>the</w:t>
      </w:r>
      <w:r>
        <w:rPr>
          <w:spacing w:val="-5"/>
        </w:rPr>
        <w:t xml:space="preserve"> </w:t>
      </w:r>
      <w:r>
        <w:t>missing</w:t>
      </w:r>
      <w:r>
        <w:rPr>
          <w:spacing w:val="-6"/>
        </w:rPr>
        <w:t xml:space="preserve"> </w:t>
      </w:r>
      <w:r>
        <w:t>"necessary</w:t>
      </w:r>
      <w:r>
        <w:rPr>
          <w:spacing w:val="-8"/>
        </w:rPr>
        <w:t xml:space="preserve"> </w:t>
      </w:r>
      <w:r>
        <w:t>information"</w:t>
      </w:r>
      <w:r>
        <w:rPr>
          <w:spacing w:val="-5"/>
        </w:rPr>
        <w:t xml:space="preserve"> </w:t>
      </w:r>
      <w:r>
        <w:t>in</w:t>
      </w:r>
      <w:r>
        <w:rPr>
          <w:spacing w:val="-6"/>
        </w:rPr>
        <w:t xml:space="preserve"> </w:t>
      </w:r>
      <w:r>
        <w:t>order</w:t>
      </w:r>
      <w:r>
        <w:rPr>
          <w:spacing w:val="-7"/>
        </w:rPr>
        <w:t xml:space="preserve"> </w:t>
      </w:r>
      <w:r>
        <w:t>to</w:t>
      </w:r>
      <w:r>
        <w:rPr>
          <w:spacing w:val="-5"/>
        </w:rPr>
        <w:t xml:space="preserve"> </w:t>
      </w:r>
      <w:r>
        <w:t>arrive</w:t>
      </w:r>
      <w:r>
        <w:rPr>
          <w:spacing w:val="-7"/>
        </w:rPr>
        <w:t xml:space="preserve"> </w:t>
      </w:r>
      <w:r>
        <w:t>at</w:t>
      </w:r>
      <w:r>
        <w:rPr>
          <w:spacing w:val="-7"/>
        </w:rPr>
        <w:t xml:space="preserve"> </w:t>
      </w:r>
      <w:r>
        <w:t>an</w:t>
      </w:r>
      <w:r>
        <w:rPr>
          <w:spacing w:val="-6"/>
        </w:rPr>
        <w:t xml:space="preserve"> </w:t>
      </w:r>
      <w:r>
        <w:t>accurate</w:t>
      </w:r>
      <w:r>
        <w:rPr>
          <w:spacing w:val="-4"/>
        </w:rPr>
        <w:t xml:space="preserve"> </w:t>
      </w:r>
      <w:r>
        <w:rPr>
          <w:spacing w:val="-2"/>
        </w:rPr>
        <w:t>determination.</w:t>
      </w:r>
    </w:p>
    <w:p w14:paraId="51DE7CC0" w14:textId="77777777" w:rsidR="0010369C" w:rsidRDefault="008E43AE">
      <w:pPr>
        <w:pStyle w:val="BodyText"/>
        <w:spacing w:before="160" w:line="360" w:lineRule="auto"/>
        <w:ind w:left="236" w:right="613" w:firstLine="852"/>
        <w:jc w:val="both"/>
      </w:pPr>
      <w:r>
        <w:rPr>
          <w:noProof/>
        </w:rPr>
        <w:drawing>
          <wp:anchor distT="0" distB="0" distL="0" distR="0" simplePos="0" relativeHeight="250748416" behindDoc="1" locked="0" layoutInCell="1" allowOverlap="1" wp14:anchorId="51DE9D75" wp14:editId="51DE9D76">
            <wp:simplePos x="0" y="0"/>
            <wp:positionH relativeFrom="page">
              <wp:posOffset>902208</wp:posOffset>
            </wp:positionH>
            <wp:positionV relativeFrom="paragraph">
              <wp:posOffset>150529</wp:posOffset>
            </wp:positionV>
            <wp:extent cx="182879" cy="100753"/>
            <wp:effectExtent l="0" t="0" r="0" b="0"/>
            <wp:wrapNone/>
            <wp:docPr id="95"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56.png"/>
                    <pic:cNvPicPr/>
                  </pic:nvPicPr>
                  <pic:blipFill>
                    <a:blip r:embed="rId100" cstate="print"/>
                    <a:stretch>
                      <a:fillRect/>
                    </a:stretch>
                  </pic:blipFill>
                  <pic:spPr>
                    <a:xfrm>
                      <a:off x="0" y="0"/>
                      <a:ext cx="182879" cy="100753"/>
                    </a:xfrm>
                    <a:prstGeom prst="rect">
                      <a:avLst/>
                    </a:prstGeom>
                  </pic:spPr>
                </pic:pic>
              </a:graphicData>
            </a:graphic>
          </wp:anchor>
        </w:drawing>
      </w:r>
      <w:r>
        <w:t>The use of facts available must be a genuine attempt by the</w:t>
      </w:r>
      <w:r>
        <w:t xml:space="preserve"> investigating authority to</w:t>
      </w:r>
      <w:r>
        <w:rPr>
          <w:spacing w:val="-1"/>
        </w:rPr>
        <w:t xml:space="preserve"> </w:t>
      </w:r>
      <w:r>
        <w:t>identify appropriate</w:t>
      </w:r>
      <w:r>
        <w:rPr>
          <w:spacing w:val="-1"/>
        </w:rPr>
        <w:t xml:space="preserve"> </w:t>
      </w:r>
      <w:r>
        <w:t>and</w:t>
      </w:r>
      <w:r>
        <w:rPr>
          <w:spacing w:val="-2"/>
        </w:rPr>
        <w:t xml:space="preserve"> </w:t>
      </w:r>
      <w:r>
        <w:t>reliable</w:t>
      </w:r>
      <w:r>
        <w:rPr>
          <w:spacing w:val="-2"/>
        </w:rPr>
        <w:t xml:space="preserve"> </w:t>
      </w:r>
      <w:r>
        <w:t>alternative</w:t>
      </w:r>
      <w:r>
        <w:rPr>
          <w:spacing w:val="-1"/>
        </w:rPr>
        <w:t xml:space="preserve"> </w:t>
      </w:r>
      <w:r>
        <w:t>facts</w:t>
      </w:r>
      <w:r>
        <w:rPr>
          <w:spacing w:val="-2"/>
        </w:rPr>
        <w:t xml:space="preserve"> </w:t>
      </w:r>
      <w:r>
        <w:t>to</w:t>
      </w:r>
      <w:r>
        <w:rPr>
          <w:spacing w:val="-1"/>
        </w:rPr>
        <w:t xml:space="preserve"> </w:t>
      </w:r>
      <w:r>
        <w:t>make</w:t>
      </w:r>
      <w:r>
        <w:rPr>
          <w:spacing w:val="-2"/>
        </w:rPr>
        <w:t xml:space="preserve"> </w:t>
      </w:r>
      <w:r>
        <w:t>its</w:t>
      </w:r>
      <w:r>
        <w:rPr>
          <w:spacing w:val="-2"/>
        </w:rPr>
        <w:t xml:space="preserve"> </w:t>
      </w:r>
      <w:r>
        <w:t>determination. The</w:t>
      </w:r>
      <w:r>
        <w:rPr>
          <w:spacing w:val="-1"/>
        </w:rPr>
        <w:t xml:space="preserve"> </w:t>
      </w:r>
      <w:r>
        <w:t xml:space="preserve">selection of facts available by an investigating authority cannot be used by investigating authorities as a form of </w:t>
      </w:r>
      <w:hyperlink r:id="rId101">
        <w:r>
          <w:t>punishment.</w:t>
        </w:r>
        <w:r>
          <w:rPr>
            <w:vertAlign w:val="superscript"/>
          </w:rPr>
          <w:t>27</w:t>
        </w:r>
      </w:hyperlink>
      <w:r>
        <w:t xml:space="preserve"> Investigating authorities must base their determinations on facts available</w:t>
      </w:r>
      <w:r>
        <w:rPr>
          <w:spacing w:val="-7"/>
        </w:rPr>
        <w:t xml:space="preserve"> </w:t>
      </w:r>
      <w:r>
        <w:t>that</w:t>
      </w:r>
      <w:r>
        <w:rPr>
          <w:spacing w:val="-7"/>
        </w:rPr>
        <w:t xml:space="preserve"> </w:t>
      </w:r>
      <w:r>
        <w:t>"reasonably</w:t>
      </w:r>
      <w:r>
        <w:rPr>
          <w:spacing w:val="-7"/>
        </w:rPr>
        <w:t xml:space="preserve"> </w:t>
      </w:r>
      <w:r>
        <w:t>replace"</w:t>
      </w:r>
      <w:r>
        <w:rPr>
          <w:spacing w:val="-10"/>
        </w:rPr>
        <w:t xml:space="preserve"> </w:t>
      </w:r>
      <w:r>
        <w:t>the</w:t>
      </w:r>
      <w:r>
        <w:rPr>
          <w:spacing w:val="-7"/>
        </w:rPr>
        <w:t xml:space="preserve"> </w:t>
      </w:r>
      <w:r>
        <w:t>missing</w:t>
      </w:r>
      <w:r>
        <w:rPr>
          <w:spacing w:val="-8"/>
        </w:rPr>
        <w:t xml:space="preserve"> </w:t>
      </w:r>
      <w:r>
        <w:t>"necessary"</w:t>
      </w:r>
      <w:r>
        <w:rPr>
          <w:spacing w:val="-8"/>
        </w:rPr>
        <w:t xml:space="preserve"> </w:t>
      </w:r>
      <w:r>
        <w:t>information,</w:t>
      </w:r>
      <w:r>
        <w:rPr>
          <w:spacing w:val="-7"/>
        </w:rPr>
        <w:t xml:space="preserve"> </w:t>
      </w:r>
      <w:r>
        <w:t>in</w:t>
      </w:r>
      <w:r>
        <w:rPr>
          <w:spacing w:val="-8"/>
        </w:rPr>
        <w:t xml:space="preserve"> </w:t>
      </w:r>
      <w:r>
        <w:t>that</w:t>
      </w:r>
      <w:r>
        <w:rPr>
          <w:spacing w:val="-8"/>
        </w:rPr>
        <w:t xml:space="preserve"> </w:t>
      </w:r>
      <w:r>
        <w:t>"'there</w:t>
      </w:r>
      <w:r>
        <w:rPr>
          <w:spacing w:val="-7"/>
        </w:rPr>
        <w:t xml:space="preserve"> </w:t>
      </w:r>
      <w:r>
        <w:t>has</w:t>
      </w:r>
      <w:r>
        <w:rPr>
          <w:spacing w:val="-8"/>
        </w:rPr>
        <w:t xml:space="preserve"> </w:t>
      </w:r>
      <w:r>
        <w:t>to be a connection between the 'necessary information' that is missing and the particular 'facts available' on which a determination … is based".</w:t>
      </w:r>
      <w:r>
        <w:rPr>
          <w:vertAlign w:val="superscript"/>
        </w:rPr>
        <w:t>28</w:t>
      </w:r>
    </w:p>
    <w:p w14:paraId="51DE7CC1" w14:textId="77777777" w:rsidR="0010369C" w:rsidRDefault="008E43AE">
      <w:pPr>
        <w:pStyle w:val="ListParagraph"/>
        <w:numPr>
          <w:ilvl w:val="3"/>
          <w:numId w:val="75"/>
        </w:numPr>
        <w:tabs>
          <w:tab w:val="left" w:pos="3642"/>
          <w:tab w:val="left" w:pos="3643"/>
        </w:tabs>
        <w:spacing w:before="162"/>
        <w:ind w:hanging="853"/>
        <w:jc w:val="both"/>
        <w:rPr>
          <w:sz w:val="24"/>
        </w:rPr>
      </w:pPr>
      <w:r>
        <w:rPr>
          <w:sz w:val="24"/>
          <w:u w:val="single"/>
        </w:rPr>
        <w:t>"Necessary</w:t>
      </w:r>
      <w:r>
        <w:rPr>
          <w:spacing w:val="-12"/>
          <w:sz w:val="24"/>
          <w:u w:val="single"/>
        </w:rPr>
        <w:t xml:space="preserve"> </w:t>
      </w:r>
      <w:r>
        <w:rPr>
          <w:spacing w:val="-2"/>
          <w:sz w:val="24"/>
          <w:u w:val="single"/>
        </w:rPr>
        <w:t>Information"</w:t>
      </w:r>
    </w:p>
    <w:p w14:paraId="51DE7CC2" w14:textId="77777777" w:rsidR="0010369C" w:rsidRDefault="0010369C">
      <w:pPr>
        <w:pStyle w:val="BodyText"/>
        <w:spacing w:before="8"/>
        <w:rPr>
          <w:sz w:val="20"/>
        </w:rPr>
      </w:pPr>
    </w:p>
    <w:p w14:paraId="51DE7CC3" w14:textId="77777777" w:rsidR="0010369C" w:rsidRDefault="008E43AE">
      <w:pPr>
        <w:pStyle w:val="BodyText"/>
        <w:spacing w:before="52" w:line="360" w:lineRule="auto"/>
        <w:ind w:left="237" w:right="614" w:firstLine="851"/>
        <w:jc w:val="both"/>
      </w:pPr>
      <w:r>
        <w:rPr>
          <w:noProof/>
        </w:rPr>
        <w:drawing>
          <wp:anchor distT="0" distB="0" distL="0" distR="0" simplePos="0" relativeHeight="250749440" behindDoc="1" locked="0" layoutInCell="1" allowOverlap="1" wp14:anchorId="51DE9D77" wp14:editId="51DE9D78">
            <wp:simplePos x="0" y="0"/>
            <wp:positionH relativeFrom="page">
              <wp:posOffset>902208</wp:posOffset>
            </wp:positionH>
            <wp:positionV relativeFrom="paragraph">
              <wp:posOffset>81949</wp:posOffset>
            </wp:positionV>
            <wp:extent cx="182879" cy="100753"/>
            <wp:effectExtent l="0" t="0" r="0" b="0"/>
            <wp:wrapNone/>
            <wp:docPr id="97" name="imag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57.png"/>
                    <pic:cNvPicPr/>
                  </pic:nvPicPr>
                  <pic:blipFill>
                    <a:blip r:embed="rId102" cstate="print"/>
                    <a:stretch>
                      <a:fillRect/>
                    </a:stretch>
                  </pic:blipFill>
                  <pic:spPr>
                    <a:xfrm>
                      <a:off x="0" y="0"/>
                      <a:ext cx="182879" cy="100753"/>
                    </a:xfrm>
                    <a:prstGeom prst="rect">
                      <a:avLst/>
                    </a:prstGeom>
                  </pic:spPr>
                </pic:pic>
              </a:graphicData>
            </a:graphic>
          </wp:anchor>
        </w:drawing>
      </w:r>
      <w:r>
        <w:t>There is no explicit guidance in the text of the Anti‐Dumping Agreement as to what constitutes "necessary information". The ordinary meaning of "information" is "[k]nowledge communicated concerning some particular fact, subject, or event".</w:t>
      </w:r>
      <w:r>
        <w:rPr>
          <w:vertAlign w:val="superscript"/>
        </w:rPr>
        <w:t>29</w:t>
      </w:r>
      <w:r>
        <w:t xml:space="preserve"> "Necessary" is</w:t>
      </w:r>
      <w:r>
        <w:t xml:space="preserve"> defined as</w:t>
      </w:r>
      <w:r>
        <w:rPr>
          <w:spacing w:val="-14"/>
        </w:rPr>
        <w:t xml:space="preserve"> </w:t>
      </w:r>
      <w:r>
        <w:t>"[i]ndispensable,</w:t>
      </w:r>
      <w:r>
        <w:rPr>
          <w:spacing w:val="-9"/>
        </w:rPr>
        <w:t xml:space="preserve"> </w:t>
      </w:r>
      <w:r>
        <w:t>vital,</w:t>
      </w:r>
      <w:r>
        <w:rPr>
          <w:spacing w:val="-8"/>
        </w:rPr>
        <w:t xml:space="preserve"> </w:t>
      </w:r>
      <w:r>
        <w:t>essential;</w:t>
      </w:r>
      <w:r>
        <w:rPr>
          <w:spacing w:val="-8"/>
        </w:rPr>
        <w:t xml:space="preserve"> </w:t>
      </w:r>
      <w:r>
        <w:t>requisite".</w:t>
      </w:r>
      <w:r>
        <w:rPr>
          <w:vertAlign w:val="superscript"/>
        </w:rPr>
        <w:t>30</w:t>
      </w:r>
      <w:r>
        <w:rPr>
          <w:spacing w:val="-14"/>
        </w:rPr>
        <w:t xml:space="preserve"> </w:t>
      </w:r>
      <w:r>
        <w:t>On</w:t>
      </w:r>
      <w:r>
        <w:rPr>
          <w:spacing w:val="-5"/>
        </w:rPr>
        <w:t xml:space="preserve"> </w:t>
      </w:r>
      <w:r>
        <w:t>this</w:t>
      </w:r>
      <w:r>
        <w:rPr>
          <w:spacing w:val="-7"/>
        </w:rPr>
        <w:t xml:space="preserve"> </w:t>
      </w:r>
      <w:r>
        <w:t>basis,</w:t>
      </w:r>
      <w:r>
        <w:rPr>
          <w:spacing w:val="-6"/>
        </w:rPr>
        <w:t xml:space="preserve"> </w:t>
      </w:r>
      <w:r>
        <w:t>Article</w:t>
      </w:r>
      <w:r>
        <w:rPr>
          <w:spacing w:val="-6"/>
        </w:rPr>
        <w:t xml:space="preserve"> </w:t>
      </w:r>
      <w:r>
        <w:t>6.8</w:t>
      </w:r>
      <w:r>
        <w:rPr>
          <w:spacing w:val="-7"/>
        </w:rPr>
        <w:t xml:space="preserve"> </w:t>
      </w:r>
      <w:r>
        <w:t>pertains</w:t>
      </w:r>
      <w:r>
        <w:rPr>
          <w:spacing w:val="-6"/>
        </w:rPr>
        <w:t xml:space="preserve"> </w:t>
      </w:r>
      <w:r>
        <w:t>only</w:t>
      </w:r>
      <w:r>
        <w:rPr>
          <w:spacing w:val="-5"/>
        </w:rPr>
        <w:t xml:space="preserve"> </w:t>
      </w:r>
      <w:r>
        <w:t>to</w:t>
      </w:r>
      <w:r>
        <w:rPr>
          <w:spacing w:val="-7"/>
        </w:rPr>
        <w:t xml:space="preserve"> </w:t>
      </w:r>
      <w:r>
        <w:t>facts which are indispensable, vital or essential.</w:t>
      </w:r>
    </w:p>
    <w:p w14:paraId="51DE7CC4" w14:textId="77777777" w:rsidR="0010369C" w:rsidRDefault="0010369C">
      <w:pPr>
        <w:pStyle w:val="BodyText"/>
        <w:spacing w:before="10"/>
        <w:rPr>
          <w:sz w:val="8"/>
        </w:rPr>
      </w:pPr>
    </w:p>
    <w:p w14:paraId="51DE7CC5" w14:textId="77777777" w:rsidR="0010369C" w:rsidRDefault="008E43AE">
      <w:pPr>
        <w:pStyle w:val="BodyText"/>
        <w:spacing w:before="52" w:line="360" w:lineRule="auto"/>
        <w:ind w:left="237" w:right="613" w:firstLine="851"/>
        <w:jc w:val="both"/>
      </w:pPr>
      <w:r>
        <w:rPr>
          <w:noProof/>
        </w:rPr>
        <w:drawing>
          <wp:anchor distT="0" distB="0" distL="0" distR="0" simplePos="0" relativeHeight="250750464" behindDoc="1" locked="0" layoutInCell="1" allowOverlap="1" wp14:anchorId="51DE9D79" wp14:editId="51DE9D7A">
            <wp:simplePos x="0" y="0"/>
            <wp:positionH relativeFrom="page">
              <wp:posOffset>902208</wp:posOffset>
            </wp:positionH>
            <wp:positionV relativeFrom="paragraph">
              <wp:posOffset>81950</wp:posOffset>
            </wp:positionV>
            <wp:extent cx="182879" cy="100753"/>
            <wp:effectExtent l="0" t="0" r="0" b="0"/>
            <wp:wrapNone/>
            <wp:docPr id="99"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58.png"/>
                    <pic:cNvPicPr/>
                  </pic:nvPicPr>
                  <pic:blipFill>
                    <a:blip r:embed="rId103" cstate="print"/>
                    <a:stretch>
                      <a:fillRect/>
                    </a:stretch>
                  </pic:blipFill>
                  <pic:spPr>
                    <a:xfrm>
                      <a:off x="0" y="0"/>
                      <a:ext cx="182879" cy="100753"/>
                    </a:xfrm>
                    <a:prstGeom prst="rect">
                      <a:avLst/>
                    </a:prstGeom>
                  </pic:spPr>
                </pic:pic>
              </a:graphicData>
            </a:graphic>
          </wp:anchor>
        </w:drawing>
      </w:r>
      <w:r>
        <w:t xml:space="preserve">This interpretation is consistent with the approach of the Panel in </w:t>
      </w:r>
      <w:r>
        <w:rPr>
          <w:i/>
        </w:rPr>
        <w:t>US – Steel Plate</w:t>
      </w:r>
      <w:r>
        <w:t>, where it ex</w:t>
      </w:r>
      <w:r>
        <w:t>plained that it is only when "essential knowledge or facts, which cannot be done without"</w:t>
      </w:r>
      <w:r>
        <w:rPr>
          <w:spacing w:val="-7"/>
        </w:rPr>
        <w:t xml:space="preserve"> </w:t>
      </w:r>
      <w:r>
        <w:t>are</w:t>
      </w:r>
      <w:r>
        <w:rPr>
          <w:spacing w:val="-6"/>
        </w:rPr>
        <w:t xml:space="preserve"> </w:t>
      </w:r>
      <w:r>
        <w:t>missing</w:t>
      </w:r>
      <w:r>
        <w:rPr>
          <w:spacing w:val="-7"/>
        </w:rPr>
        <w:t xml:space="preserve"> </w:t>
      </w:r>
      <w:r>
        <w:t>that</w:t>
      </w:r>
      <w:r>
        <w:rPr>
          <w:spacing w:val="-6"/>
        </w:rPr>
        <w:t xml:space="preserve"> </w:t>
      </w:r>
      <w:r>
        <w:t>an</w:t>
      </w:r>
      <w:r>
        <w:rPr>
          <w:spacing w:val="-7"/>
        </w:rPr>
        <w:t xml:space="preserve"> </w:t>
      </w:r>
      <w:r>
        <w:t>investigating</w:t>
      </w:r>
      <w:r>
        <w:rPr>
          <w:spacing w:val="-5"/>
        </w:rPr>
        <w:t xml:space="preserve"> </w:t>
      </w:r>
      <w:r>
        <w:t>authority</w:t>
      </w:r>
      <w:r>
        <w:rPr>
          <w:spacing w:val="-6"/>
        </w:rPr>
        <w:t xml:space="preserve"> </w:t>
      </w:r>
      <w:r>
        <w:t>may</w:t>
      </w:r>
      <w:r>
        <w:rPr>
          <w:spacing w:val="-6"/>
        </w:rPr>
        <w:t xml:space="preserve"> </w:t>
      </w:r>
      <w:r>
        <w:t>make</w:t>
      </w:r>
      <w:r>
        <w:rPr>
          <w:spacing w:val="-6"/>
        </w:rPr>
        <w:t xml:space="preserve"> </w:t>
      </w:r>
      <w:r>
        <w:t>determinations</w:t>
      </w:r>
      <w:r>
        <w:rPr>
          <w:spacing w:val="-5"/>
        </w:rPr>
        <w:t xml:space="preserve"> </w:t>
      </w:r>
      <w:r>
        <w:t>on</w:t>
      </w:r>
      <w:r>
        <w:rPr>
          <w:spacing w:val="-6"/>
        </w:rPr>
        <w:t xml:space="preserve"> </w:t>
      </w:r>
      <w:r>
        <w:t>the</w:t>
      </w:r>
      <w:r>
        <w:rPr>
          <w:spacing w:val="-6"/>
        </w:rPr>
        <w:t xml:space="preserve"> </w:t>
      </w:r>
      <w:r>
        <w:t>basis</w:t>
      </w:r>
      <w:r>
        <w:rPr>
          <w:spacing w:val="-6"/>
        </w:rPr>
        <w:t xml:space="preserve"> </w:t>
      </w:r>
      <w:r>
        <w:t>of facts</w:t>
      </w:r>
      <w:r>
        <w:rPr>
          <w:spacing w:val="-1"/>
        </w:rPr>
        <w:t xml:space="preserve"> </w:t>
      </w:r>
      <w:hyperlink r:id="rId104">
        <w:r>
          <w:t>available.</w:t>
        </w:r>
        <w:r>
          <w:rPr>
            <w:vertAlign w:val="superscript"/>
          </w:rPr>
          <w:t>31</w:t>
        </w:r>
        <w:r>
          <w:rPr>
            <w:spacing w:val="-14"/>
          </w:rPr>
          <w:t xml:space="preserve"> </w:t>
        </w:r>
      </w:hyperlink>
      <w:r>
        <w:t>Similarly, other panels have considered that "necessary information" is that which is "required to complete a determination".</w:t>
      </w:r>
      <w:r>
        <w:rPr>
          <w:vertAlign w:val="superscript"/>
        </w:rPr>
        <w:t>32</w:t>
      </w:r>
    </w:p>
    <w:p w14:paraId="51DE7CC6" w14:textId="77777777" w:rsidR="0010369C" w:rsidRDefault="0010369C">
      <w:pPr>
        <w:pStyle w:val="BodyText"/>
        <w:rPr>
          <w:sz w:val="20"/>
        </w:rPr>
      </w:pPr>
    </w:p>
    <w:p w14:paraId="51DE7CC7" w14:textId="77777777" w:rsidR="0010369C" w:rsidRDefault="008E43AE">
      <w:pPr>
        <w:pStyle w:val="BodyText"/>
        <w:spacing w:before="5"/>
        <w:rPr>
          <w:sz w:val="21"/>
        </w:rPr>
      </w:pPr>
      <w:r>
        <w:pict w14:anchorId="51DE9D7B">
          <v:rect id="docshape83" o:spid="_x0000_s3181" style="position:absolute;margin-left:70.9pt;margin-top:14.3pt;width:2in;height:.8pt;z-index:-251253248;mso-wrap-distance-left:0;mso-wrap-distance-right:0;mso-position-horizontal-relative:page" fillcolor="black" stroked="f">
            <w10:wrap type="topAndBottom" anchorx="page"/>
          </v:rect>
        </w:pict>
      </w:r>
    </w:p>
    <w:p w14:paraId="51DE7CC8" w14:textId="77777777" w:rsidR="0010369C" w:rsidRDefault="008E43AE">
      <w:pPr>
        <w:spacing w:before="109"/>
        <w:ind w:left="238"/>
        <w:rPr>
          <w:sz w:val="18"/>
        </w:rPr>
      </w:pPr>
      <w:r>
        <w:rPr>
          <w:sz w:val="18"/>
          <w:vertAlign w:val="superscript"/>
        </w:rPr>
        <w:t>25</w:t>
      </w:r>
      <w:r>
        <w:rPr>
          <w:spacing w:val="-8"/>
          <w:sz w:val="18"/>
        </w:rPr>
        <w:t xml:space="preserve"> </w:t>
      </w:r>
      <w:r>
        <w:rPr>
          <w:sz w:val="18"/>
        </w:rPr>
        <w:t>Panel</w:t>
      </w:r>
      <w:r>
        <w:rPr>
          <w:spacing w:val="-8"/>
          <w:sz w:val="18"/>
        </w:rPr>
        <w:t xml:space="preserve"> </w:t>
      </w:r>
      <w:r>
        <w:rPr>
          <w:sz w:val="18"/>
        </w:rPr>
        <w:t>Report,</w:t>
      </w:r>
      <w:r>
        <w:rPr>
          <w:spacing w:val="-7"/>
          <w:sz w:val="18"/>
        </w:rPr>
        <w:t xml:space="preserve"> </w:t>
      </w:r>
      <w:r>
        <w:rPr>
          <w:i/>
          <w:sz w:val="18"/>
        </w:rPr>
        <w:t>US</w:t>
      </w:r>
      <w:r>
        <w:rPr>
          <w:i/>
          <w:spacing w:val="-8"/>
          <w:sz w:val="18"/>
        </w:rPr>
        <w:t xml:space="preserve"> </w:t>
      </w:r>
      <w:r>
        <w:rPr>
          <w:i/>
          <w:sz w:val="18"/>
        </w:rPr>
        <w:t>–</w:t>
      </w:r>
      <w:r>
        <w:rPr>
          <w:i/>
          <w:spacing w:val="-7"/>
          <w:sz w:val="18"/>
        </w:rPr>
        <w:t xml:space="preserve"> </w:t>
      </w:r>
      <w:r>
        <w:rPr>
          <w:i/>
          <w:sz w:val="18"/>
        </w:rPr>
        <w:t>Anti‐Dumping</w:t>
      </w:r>
      <w:r>
        <w:rPr>
          <w:i/>
          <w:spacing w:val="-8"/>
          <w:sz w:val="18"/>
        </w:rPr>
        <w:t xml:space="preserve"> </w:t>
      </w:r>
      <w:r>
        <w:rPr>
          <w:i/>
          <w:sz w:val="18"/>
        </w:rPr>
        <w:t>and</w:t>
      </w:r>
      <w:r>
        <w:rPr>
          <w:i/>
          <w:spacing w:val="-8"/>
          <w:sz w:val="18"/>
        </w:rPr>
        <w:t xml:space="preserve"> </w:t>
      </w:r>
      <w:r>
        <w:rPr>
          <w:i/>
          <w:sz w:val="18"/>
        </w:rPr>
        <w:t>Countervailing</w:t>
      </w:r>
      <w:r>
        <w:rPr>
          <w:i/>
          <w:spacing w:val="-7"/>
          <w:sz w:val="18"/>
        </w:rPr>
        <w:t xml:space="preserve"> </w:t>
      </w:r>
      <w:r>
        <w:rPr>
          <w:i/>
          <w:sz w:val="18"/>
        </w:rPr>
        <w:t>Duties</w:t>
      </w:r>
      <w:r>
        <w:rPr>
          <w:i/>
          <w:spacing w:val="-8"/>
          <w:sz w:val="18"/>
        </w:rPr>
        <w:t xml:space="preserve"> </w:t>
      </w:r>
      <w:r>
        <w:rPr>
          <w:i/>
          <w:sz w:val="18"/>
        </w:rPr>
        <w:t>(Korea)</w:t>
      </w:r>
      <w:r>
        <w:rPr>
          <w:sz w:val="18"/>
        </w:rPr>
        <w:t>,</w:t>
      </w:r>
      <w:r>
        <w:rPr>
          <w:spacing w:val="-8"/>
          <w:sz w:val="18"/>
        </w:rPr>
        <w:t xml:space="preserve"> </w:t>
      </w:r>
      <w:r>
        <w:rPr>
          <w:sz w:val="18"/>
        </w:rPr>
        <w:t>par</w:t>
      </w:r>
      <w:r>
        <w:rPr>
          <w:sz w:val="18"/>
        </w:rPr>
        <w:t>a.</w:t>
      </w:r>
      <w:r>
        <w:rPr>
          <w:spacing w:val="-8"/>
          <w:sz w:val="18"/>
        </w:rPr>
        <w:t xml:space="preserve"> </w:t>
      </w:r>
      <w:r>
        <w:rPr>
          <w:spacing w:val="-2"/>
          <w:sz w:val="18"/>
        </w:rPr>
        <w:t>7.28.</w:t>
      </w:r>
    </w:p>
    <w:p w14:paraId="51DE7CC9" w14:textId="77777777" w:rsidR="0010369C" w:rsidRDefault="008E43AE">
      <w:pPr>
        <w:ind w:left="238"/>
        <w:rPr>
          <w:sz w:val="18"/>
        </w:rPr>
      </w:pPr>
      <w:r>
        <w:rPr>
          <w:sz w:val="18"/>
          <w:vertAlign w:val="superscript"/>
        </w:rPr>
        <w:t>26</w:t>
      </w:r>
      <w:r>
        <w:rPr>
          <w:spacing w:val="-9"/>
          <w:sz w:val="18"/>
        </w:rPr>
        <w:t xml:space="preserve"> </w:t>
      </w:r>
      <w:r>
        <w:rPr>
          <w:sz w:val="18"/>
        </w:rPr>
        <w:t>Appellate</w:t>
      </w:r>
      <w:r>
        <w:rPr>
          <w:spacing w:val="-8"/>
          <w:sz w:val="18"/>
        </w:rPr>
        <w:t xml:space="preserve"> </w:t>
      </w:r>
      <w:r>
        <w:rPr>
          <w:sz w:val="18"/>
        </w:rPr>
        <w:t>Body</w:t>
      </w:r>
      <w:r>
        <w:rPr>
          <w:spacing w:val="-10"/>
          <w:sz w:val="18"/>
        </w:rPr>
        <w:t xml:space="preserve"> </w:t>
      </w:r>
      <w:r>
        <w:rPr>
          <w:sz w:val="18"/>
        </w:rPr>
        <w:t>Report,</w:t>
      </w:r>
      <w:r>
        <w:rPr>
          <w:spacing w:val="-8"/>
          <w:sz w:val="18"/>
        </w:rPr>
        <w:t xml:space="preserve"> </w:t>
      </w:r>
      <w:r>
        <w:rPr>
          <w:i/>
          <w:sz w:val="18"/>
        </w:rPr>
        <w:t>US</w:t>
      </w:r>
      <w:r>
        <w:rPr>
          <w:i/>
          <w:spacing w:val="-8"/>
          <w:sz w:val="18"/>
        </w:rPr>
        <w:t xml:space="preserve"> </w:t>
      </w:r>
      <w:r>
        <w:rPr>
          <w:i/>
          <w:sz w:val="18"/>
        </w:rPr>
        <w:t>–</w:t>
      </w:r>
      <w:r>
        <w:rPr>
          <w:i/>
          <w:spacing w:val="-8"/>
          <w:sz w:val="18"/>
        </w:rPr>
        <w:t xml:space="preserve"> </w:t>
      </w:r>
      <w:r>
        <w:rPr>
          <w:i/>
          <w:sz w:val="18"/>
        </w:rPr>
        <w:t>Anti‐Dumping</w:t>
      </w:r>
      <w:r>
        <w:rPr>
          <w:i/>
          <w:spacing w:val="-9"/>
          <w:sz w:val="18"/>
        </w:rPr>
        <w:t xml:space="preserve"> </w:t>
      </w:r>
      <w:r>
        <w:rPr>
          <w:i/>
          <w:sz w:val="18"/>
        </w:rPr>
        <w:t>Methodologies</w:t>
      </w:r>
      <w:r>
        <w:rPr>
          <w:i/>
          <w:spacing w:val="-8"/>
          <w:sz w:val="18"/>
        </w:rPr>
        <w:t xml:space="preserve"> </w:t>
      </w:r>
      <w:r>
        <w:rPr>
          <w:i/>
          <w:sz w:val="18"/>
        </w:rPr>
        <w:t>(China)</w:t>
      </w:r>
      <w:r>
        <w:rPr>
          <w:sz w:val="18"/>
        </w:rPr>
        <w:t>,</w:t>
      </w:r>
      <w:r>
        <w:rPr>
          <w:spacing w:val="-9"/>
          <w:sz w:val="18"/>
        </w:rPr>
        <w:t xml:space="preserve"> </w:t>
      </w:r>
      <w:r>
        <w:rPr>
          <w:sz w:val="18"/>
        </w:rPr>
        <w:t>para.</w:t>
      </w:r>
      <w:r>
        <w:rPr>
          <w:spacing w:val="-8"/>
          <w:sz w:val="18"/>
        </w:rPr>
        <w:t xml:space="preserve"> </w:t>
      </w:r>
      <w:r>
        <w:rPr>
          <w:sz w:val="18"/>
        </w:rPr>
        <w:t>5.172.</w:t>
      </w:r>
      <w:r>
        <w:rPr>
          <w:spacing w:val="-8"/>
          <w:sz w:val="18"/>
        </w:rPr>
        <w:t xml:space="preserve"> </w:t>
      </w:r>
      <w:r>
        <w:rPr>
          <w:sz w:val="18"/>
        </w:rPr>
        <w:t>(footnotes</w:t>
      </w:r>
      <w:r>
        <w:rPr>
          <w:spacing w:val="-9"/>
          <w:sz w:val="18"/>
        </w:rPr>
        <w:t xml:space="preserve"> </w:t>
      </w:r>
      <w:r>
        <w:rPr>
          <w:spacing w:val="-2"/>
          <w:sz w:val="18"/>
        </w:rPr>
        <w:t>omitted).</w:t>
      </w:r>
    </w:p>
    <w:p w14:paraId="51DE7CCA" w14:textId="77777777" w:rsidR="0010369C" w:rsidRDefault="008E43AE">
      <w:pPr>
        <w:ind w:left="238"/>
        <w:rPr>
          <w:sz w:val="18"/>
        </w:rPr>
      </w:pPr>
      <w:r>
        <w:rPr>
          <w:sz w:val="18"/>
          <w:vertAlign w:val="superscript"/>
        </w:rPr>
        <w:t>27</w:t>
      </w:r>
      <w:r>
        <w:rPr>
          <w:spacing w:val="-8"/>
          <w:sz w:val="18"/>
        </w:rPr>
        <w:t xml:space="preserve"> </w:t>
      </w:r>
      <w:r>
        <w:rPr>
          <w:sz w:val="18"/>
        </w:rPr>
        <w:t>Panel</w:t>
      </w:r>
      <w:r>
        <w:rPr>
          <w:spacing w:val="-8"/>
          <w:sz w:val="18"/>
        </w:rPr>
        <w:t xml:space="preserve"> </w:t>
      </w:r>
      <w:r>
        <w:rPr>
          <w:sz w:val="18"/>
        </w:rPr>
        <w:t>Report,</w:t>
      </w:r>
      <w:r>
        <w:rPr>
          <w:spacing w:val="-7"/>
          <w:sz w:val="18"/>
        </w:rPr>
        <w:t xml:space="preserve"> </w:t>
      </w:r>
      <w:r>
        <w:rPr>
          <w:i/>
          <w:sz w:val="18"/>
        </w:rPr>
        <w:t>US</w:t>
      </w:r>
      <w:r>
        <w:rPr>
          <w:i/>
          <w:spacing w:val="-8"/>
          <w:sz w:val="18"/>
        </w:rPr>
        <w:t xml:space="preserve"> </w:t>
      </w:r>
      <w:r>
        <w:rPr>
          <w:i/>
          <w:sz w:val="18"/>
        </w:rPr>
        <w:t>–</w:t>
      </w:r>
      <w:r>
        <w:rPr>
          <w:i/>
          <w:spacing w:val="-7"/>
          <w:sz w:val="18"/>
        </w:rPr>
        <w:t xml:space="preserve"> </w:t>
      </w:r>
      <w:r>
        <w:rPr>
          <w:i/>
          <w:sz w:val="18"/>
        </w:rPr>
        <w:t>Anti‐Dumping</w:t>
      </w:r>
      <w:r>
        <w:rPr>
          <w:i/>
          <w:spacing w:val="-8"/>
          <w:sz w:val="18"/>
        </w:rPr>
        <w:t xml:space="preserve"> </w:t>
      </w:r>
      <w:r>
        <w:rPr>
          <w:i/>
          <w:sz w:val="18"/>
        </w:rPr>
        <w:t>and</w:t>
      </w:r>
      <w:r>
        <w:rPr>
          <w:i/>
          <w:spacing w:val="-8"/>
          <w:sz w:val="18"/>
        </w:rPr>
        <w:t xml:space="preserve"> </w:t>
      </w:r>
      <w:r>
        <w:rPr>
          <w:i/>
          <w:sz w:val="18"/>
        </w:rPr>
        <w:t>Countervailing</w:t>
      </w:r>
      <w:r>
        <w:rPr>
          <w:i/>
          <w:spacing w:val="-7"/>
          <w:sz w:val="18"/>
        </w:rPr>
        <w:t xml:space="preserve"> </w:t>
      </w:r>
      <w:r>
        <w:rPr>
          <w:i/>
          <w:sz w:val="18"/>
        </w:rPr>
        <w:t>Duties</w:t>
      </w:r>
      <w:r>
        <w:rPr>
          <w:i/>
          <w:spacing w:val="-8"/>
          <w:sz w:val="18"/>
        </w:rPr>
        <w:t xml:space="preserve"> </w:t>
      </w:r>
      <w:r>
        <w:rPr>
          <w:i/>
          <w:sz w:val="18"/>
        </w:rPr>
        <w:t>(Korea),</w:t>
      </w:r>
      <w:r>
        <w:rPr>
          <w:i/>
          <w:spacing w:val="-8"/>
          <w:sz w:val="18"/>
        </w:rPr>
        <w:t xml:space="preserve"> </w:t>
      </w:r>
      <w:r>
        <w:rPr>
          <w:sz w:val="18"/>
        </w:rPr>
        <w:t>para.</w:t>
      </w:r>
      <w:r>
        <w:rPr>
          <w:spacing w:val="-8"/>
          <w:sz w:val="18"/>
        </w:rPr>
        <w:t xml:space="preserve"> </w:t>
      </w:r>
      <w:r>
        <w:rPr>
          <w:spacing w:val="-2"/>
          <w:sz w:val="18"/>
        </w:rPr>
        <w:t>7.28.</w:t>
      </w:r>
    </w:p>
    <w:p w14:paraId="51DE7CCB" w14:textId="77777777" w:rsidR="0010369C" w:rsidRDefault="008E43AE">
      <w:pPr>
        <w:ind w:left="238"/>
        <w:rPr>
          <w:sz w:val="18"/>
        </w:rPr>
      </w:pPr>
      <w:r>
        <w:rPr>
          <w:sz w:val="18"/>
          <w:vertAlign w:val="superscript"/>
        </w:rPr>
        <w:t>28</w:t>
      </w:r>
      <w:r>
        <w:rPr>
          <w:spacing w:val="-7"/>
          <w:sz w:val="18"/>
        </w:rPr>
        <w:t xml:space="preserve"> </w:t>
      </w:r>
      <w:r>
        <w:rPr>
          <w:sz w:val="18"/>
        </w:rPr>
        <w:t>Ibid.</w:t>
      </w:r>
      <w:r>
        <w:rPr>
          <w:spacing w:val="-6"/>
          <w:sz w:val="18"/>
        </w:rPr>
        <w:t xml:space="preserve"> </w:t>
      </w:r>
      <w:r>
        <w:rPr>
          <w:sz w:val="18"/>
        </w:rPr>
        <w:t>citing</w:t>
      </w:r>
      <w:r>
        <w:rPr>
          <w:spacing w:val="-6"/>
          <w:sz w:val="18"/>
        </w:rPr>
        <w:t xml:space="preserve"> </w:t>
      </w:r>
      <w:r>
        <w:rPr>
          <w:sz w:val="18"/>
        </w:rPr>
        <w:t>Appellate</w:t>
      </w:r>
      <w:r>
        <w:rPr>
          <w:spacing w:val="-6"/>
          <w:sz w:val="18"/>
        </w:rPr>
        <w:t xml:space="preserve"> </w:t>
      </w:r>
      <w:r>
        <w:rPr>
          <w:sz w:val="18"/>
        </w:rPr>
        <w:t>Body</w:t>
      </w:r>
      <w:r>
        <w:rPr>
          <w:spacing w:val="-6"/>
          <w:sz w:val="18"/>
        </w:rPr>
        <w:t xml:space="preserve"> </w:t>
      </w:r>
      <w:r>
        <w:rPr>
          <w:sz w:val="18"/>
        </w:rPr>
        <w:t>Report,</w:t>
      </w:r>
      <w:r>
        <w:rPr>
          <w:spacing w:val="-6"/>
          <w:sz w:val="18"/>
        </w:rPr>
        <w:t xml:space="preserve"> </w:t>
      </w:r>
      <w:r>
        <w:rPr>
          <w:i/>
          <w:sz w:val="18"/>
        </w:rPr>
        <w:t>US</w:t>
      </w:r>
      <w:r>
        <w:rPr>
          <w:i/>
          <w:spacing w:val="-6"/>
          <w:sz w:val="18"/>
        </w:rPr>
        <w:t xml:space="preserve"> </w:t>
      </w:r>
      <w:r>
        <w:rPr>
          <w:i/>
          <w:sz w:val="18"/>
        </w:rPr>
        <w:t>–</w:t>
      </w:r>
      <w:r>
        <w:rPr>
          <w:i/>
          <w:spacing w:val="-6"/>
          <w:sz w:val="18"/>
        </w:rPr>
        <w:t xml:space="preserve"> </w:t>
      </w:r>
      <w:r>
        <w:rPr>
          <w:i/>
          <w:sz w:val="18"/>
        </w:rPr>
        <w:t>Carbon</w:t>
      </w:r>
      <w:r>
        <w:rPr>
          <w:i/>
          <w:spacing w:val="-6"/>
          <w:sz w:val="18"/>
        </w:rPr>
        <w:t xml:space="preserve"> </w:t>
      </w:r>
      <w:r>
        <w:rPr>
          <w:i/>
          <w:sz w:val="18"/>
        </w:rPr>
        <w:t>Steel</w:t>
      </w:r>
      <w:r>
        <w:rPr>
          <w:i/>
          <w:spacing w:val="-7"/>
          <w:sz w:val="18"/>
        </w:rPr>
        <w:t xml:space="preserve"> </w:t>
      </w:r>
      <w:r>
        <w:rPr>
          <w:i/>
          <w:sz w:val="18"/>
        </w:rPr>
        <w:t>(India)</w:t>
      </w:r>
      <w:r>
        <w:rPr>
          <w:sz w:val="18"/>
        </w:rPr>
        <w:t>,</w:t>
      </w:r>
      <w:r>
        <w:rPr>
          <w:spacing w:val="-7"/>
          <w:sz w:val="18"/>
        </w:rPr>
        <w:t xml:space="preserve"> </w:t>
      </w:r>
      <w:r>
        <w:rPr>
          <w:sz w:val="18"/>
        </w:rPr>
        <w:t>para.</w:t>
      </w:r>
      <w:r>
        <w:rPr>
          <w:spacing w:val="-7"/>
          <w:sz w:val="18"/>
        </w:rPr>
        <w:t xml:space="preserve"> </w:t>
      </w:r>
      <w:r>
        <w:rPr>
          <w:spacing w:val="-2"/>
          <w:sz w:val="18"/>
        </w:rPr>
        <w:t>4.416.</w:t>
      </w:r>
    </w:p>
    <w:p w14:paraId="51DE7CCC" w14:textId="77777777" w:rsidR="0010369C" w:rsidRDefault="008E43AE">
      <w:pPr>
        <w:ind w:left="238" w:right="614" w:hanging="1"/>
        <w:rPr>
          <w:sz w:val="18"/>
        </w:rPr>
      </w:pPr>
      <w:r>
        <w:rPr>
          <w:sz w:val="18"/>
          <w:vertAlign w:val="superscript"/>
        </w:rPr>
        <w:t>29</w:t>
      </w:r>
      <w:r>
        <w:rPr>
          <w:spacing w:val="-3"/>
          <w:sz w:val="18"/>
        </w:rPr>
        <w:t xml:space="preserve"> </w:t>
      </w:r>
      <w:r>
        <w:rPr>
          <w:sz w:val="18"/>
        </w:rPr>
        <w:t>Oxford</w:t>
      </w:r>
      <w:r>
        <w:rPr>
          <w:spacing w:val="-3"/>
          <w:sz w:val="18"/>
        </w:rPr>
        <w:t xml:space="preserve"> </w:t>
      </w:r>
      <w:r>
        <w:rPr>
          <w:sz w:val="18"/>
        </w:rPr>
        <w:t>English</w:t>
      </w:r>
      <w:r>
        <w:rPr>
          <w:spacing w:val="-3"/>
          <w:sz w:val="18"/>
        </w:rPr>
        <w:t xml:space="preserve"> </w:t>
      </w:r>
      <w:r>
        <w:rPr>
          <w:sz w:val="18"/>
        </w:rPr>
        <w:t>Dictionary</w:t>
      </w:r>
      <w:r>
        <w:rPr>
          <w:spacing w:val="-2"/>
          <w:sz w:val="18"/>
        </w:rPr>
        <w:t xml:space="preserve"> </w:t>
      </w:r>
      <w:r>
        <w:rPr>
          <w:sz w:val="18"/>
        </w:rPr>
        <w:t>online,</w:t>
      </w:r>
      <w:r>
        <w:rPr>
          <w:spacing w:val="-3"/>
          <w:sz w:val="18"/>
        </w:rPr>
        <w:t xml:space="preserve"> </w:t>
      </w:r>
      <w:r>
        <w:rPr>
          <w:sz w:val="18"/>
        </w:rPr>
        <w:t>definition</w:t>
      </w:r>
      <w:r>
        <w:rPr>
          <w:spacing w:val="-3"/>
          <w:sz w:val="18"/>
        </w:rPr>
        <w:t xml:space="preserve"> </w:t>
      </w:r>
      <w:r>
        <w:rPr>
          <w:sz w:val="18"/>
        </w:rPr>
        <w:t>of</w:t>
      </w:r>
      <w:r>
        <w:rPr>
          <w:spacing w:val="-3"/>
          <w:sz w:val="18"/>
        </w:rPr>
        <w:t xml:space="preserve"> </w:t>
      </w:r>
      <w:r>
        <w:rPr>
          <w:sz w:val="18"/>
        </w:rPr>
        <w:t>"information",</w:t>
      </w:r>
      <w:r>
        <w:rPr>
          <w:spacing w:val="-4"/>
          <w:sz w:val="18"/>
        </w:rPr>
        <w:t xml:space="preserve"> </w:t>
      </w:r>
      <w:hyperlink r:id="rId105">
        <w:r>
          <w:rPr>
            <w:sz w:val="18"/>
          </w:rPr>
          <w:t>https://www.oed.com/view/Entry/95568</w:t>
        </w:r>
        <w:r>
          <w:rPr>
            <w:spacing w:val="-2"/>
            <w:sz w:val="18"/>
          </w:rPr>
          <w:t xml:space="preserve"> </w:t>
        </w:r>
      </w:hyperlink>
      <w:r>
        <w:rPr>
          <w:sz w:val="18"/>
        </w:rPr>
        <w:t>(accessed</w:t>
      </w:r>
      <w:r>
        <w:rPr>
          <w:spacing w:val="-4"/>
          <w:sz w:val="18"/>
        </w:rPr>
        <w:t xml:space="preserve"> </w:t>
      </w:r>
      <w:r>
        <w:rPr>
          <w:sz w:val="18"/>
        </w:rPr>
        <w:t>28</w:t>
      </w:r>
      <w:r>
        <w:rPr>
          <w:spacing w:val="-3"/>
          <w:sz w:val="18"/>
        </w:rPr>
        <w:t xml:space="preserve"> </w:t>
      </w:r>
      <w:r>
        <w:rPr>
          <w:sz w:val="18"/>
        </w:rPr>
        <w:t xml:space="preserve">April </w:t>
      </w:r>
      <w:r>
        <w:rPr>
          <w:spacing w:val="-2"/>
          <w:sz w:val="18"/>
        </w:rPr>
        <w:t>2022).</w:t>
      </w:r>
    </w:p>
    <w:p w14:paraId="51DE7CCD" w14:textId="77777777" w:rsidR="0010369C" w:rsidRDefault="008E43AE">
      <w:pPr>
        <w:ind w:left="238" w:right="611" w:hanging="1"/>
        <w:rPr>
          <w:sz w:val="18"/>
        </w:rPr>
      </w:pPr>
      <w:r>
        <w:rPr>
          <w:sz w:val="18"/>
          <w:vertAlign w:val="superscript"/>
        </w:rPr>
        <w:t>30</w:t>
      </w:r>
      <w:r>
        <w:rPr>
          <w:spacing w:val="-3"/>
          <w:sz w:val="18"/>
        </w:rPr>
        <w:t xml:space="preserve"> </w:t>
      </w:r>
      <w:r>
        <w:rPr>
          <w:sz w:val="18"/>
        </w:rPr>
        <w:t>Oxford</w:t>
      </w:r>
      <w:r>
        <w:rPr>
          <w:spacing w:val="-3"/>
          <w:sz w:val="18"/>
        </w:rPr>
        <w:t xml:space="preserve"> </w:t>
      </w:r>
      <w:r>
        <w:rPr>
          <w:sz w:val="18"/>
        </w:rPr>
        <w:t>English</w:t>
      </w:r>
      <w:r>
        <w:rPr>
          <w:spacing w:val="-3"/>
          <w:sz w:val="18"/>
        </w:rPr>
        <w:t xml:space="preserve"> </w:t>
      </w:r>
      <w:r>
        <w:rPr>
          <w:sz w:val="18"/>
        </w:rPr>
        <w:t>Dictionary</w:t>
      </w:r>
      <w:r>
        <w:rPr>
          <w:spacing w:val="-2"/>
          <w:sz w:val="18"/>
        </w:rPr>
        <w:t xml:space="preserve"> </w:t>
      </w:r>
      <w:r>
        <w:rPr>
          <w:sz w:val="18"/>
        </w:rPr>
        <w:t>online,</w:t>
      </w:r>
      <w:r>
        <w:rPr>
          <w:spacing w:val="-3"/>
          <w:sz w:val="18"/>
        </w:rPr>
        <w:t xml:space="preserve"> </w:t>
      </w:r>
      <w:r>
        <w:rPr>
          <w:sz w:val="18"/>
        </w:rPr>
        <w:t>definition</w:t>
      </w:r>
      <w:r>
        <w:rPr>
          <w:spacing w:val="-3"/>
          <w:sz w:val="18"/>
        </w:rPr>
        <w:t xml:space="preserve"> </w:t>
      </w:r>
      <w:r>
        <w:rPr>
          <w:sz w:val="18"/>
        </w:rPr>
        <w:t>o</w:t>
      </w:r>
      <w:r>
        <w:rPr>
          <w:sz w:val="18"/>
        </w:rPr>
        <w:t>f</w:t>
      </w:r>
      <w:r>
        <w:rPr>
          <w:spacing w:val="-3"/>
          <w:sz w:val="18"/>
        </w:rPr>
        <w:t xml:space="preserve"> </w:t>
      </w:r>
      <w:r>
        <w:rPr>
          <w:sz w:val="18"/>
        </w:rPr>
        <w:t>"necessary",</w:t>
      </w:r>
      <w:r>
        <w:rPr>
          <w:spacing w:val="-4"/>
          <w:sz w:val="18"/>
        </w:rPr>
        <w:t xml:space="preserve"> </w:t>
      </w:r>
      <w:hyperlink r:id="rId106">
        <w:r>
          <w:rPr>
            <w:sz w:val="18"/>
          </w:rPr>
          <w:t>https://www.oed.com/view/Entry/125629</w:t>
        </w:r>
        <w:r>
          <w:rPr>
            <w:spacing w:val="-2"/>
            <w:sz w:val="18"/>
          </w:rPr>
          <w:t xml:space="preserve"> </w:t>
        </w:r>
      </w:hyperlink>
      <w:r>
        <w:rPr>
          <w:sz w:val="18"/>
        </w:rPr>
        <w:t>(accessed</w:t>
      </w:r>
      <w:r>
        <w:rPr>
          <w:spacing w:val="-4"/>
          <w:sz w:val="18"/>
        </w:rPr>
        <w:t xml:space="preserve"> </w:t>
      </w:r>
      <w:r>
        <w:rPr>
          <w:sz w:val="18"/>
        </w:rPr>
        <w:t>28</w:t>
      </w:r>
      <w:r>
        <w:rPr>
          <w:spacing w:val="-3"/>
          <w:sz w:val="18"/>
        </w:rPr>
        <w:t xml:space="preserve"> </w:t>
      </w:r>
      <w:r>
        <w:rPr>
          <w:sz w:val="18"/>
        </w:rPr>
        <w:t xml:space="preserve">April </w:t>
      </w:r>
      <w:r>
        <w:rPr>
          <w:spacing w:val="-2"/>
          <w:sz w:val="18"/>
        </w:rPr>
        <w:t>2022).</w:t>
      </w:r>
    </w:p>
    <w:p w14:paraId="51DE7CCE" w14:textId="77777777" w:rsidR="0010369C" w:rsidRDefault="008E43AE">
      <w:pPr>
        <w:ind w:left="238"/>
        <w:rPr>
          <w:sz w:val="18"/>
        </w:rPr>
      </w:pPr>
      <w:r>
        <w:rPr>
          <w:sz w:val="18"/>
          <w:vertAlign w:val="superscript"/>
        </w:rPr>
        <w:t>31</w:t>
      </w:r>
      <w:r>
        <w:rPr>
          <w:spacing w:val="-5"/>
          <w:sz w:val="18"/>
        </w:rPr>
        <w:t xml:space="preserve"> </w:t>
      </w:r>
      <w:r>
        <w:rPr>
          <w:sz w:val="18"/>
        </w:rPr>
        <w:t>Panel</w:t>
      </w:r>
      <w:r>
        <w:rPr>
          <w:spacing w:val="-5"/>
          <w:sz w:val="18"/>
        </w:rPr>
        <w:t xml:space="preserve"> </w:t>
      </w:r>
      <w:r>
        <w:rPr>
          <w:sz w:val="18"/>
        </w:rPr>
        <w:t>Report,</w:t>
      </w:r>
      <w:r>
        <w:rPr>
          <w:spacing w:val="-4"/>
          <w:sz w:val="18"/>
        </w:rPr>
        <w:t xml:space="preserve"> </w:t>
      </w:r>
      <w:r>
        <w:rPr>
          <w:i/>
          <w:sz w:val="18"/>
        </w:rPr>
        <w:t>US</w:t>
      </w:r>
      <w:r>
        <w:rPr>
          <w:i/>
          <w:spacing w:val="-4"/>
          <w:sz w:val="18"/>
        </w:rPr>
        <w:t xml:space="preserve"> </w:t>
      </w:r>
      <w:r>
        <w:rPr>
          <w:i/>
          <w:sz w:val="18"/>
        </w:rPr>
        <w:t>–</w:t>
      </w:r>
      <w:r>
        <w:rPr>
          <w:i/>
          <w:spacing w:val="-4"/>
          <w:sz w:val="18"/>
        </w:rPr>
        <w:t xml:space="preserve"> </w:t>
      </w:r>
      <w:r>
        <w:rPr>
          <w:i/>
          <w:sz w:val="18"/>
        </w:rPr>
        <w:t>Steel</w:t>
      </w:r>
      <w:r>
        <w:rPr>
          <w:i/>
          <w:spacing w:val="-6"/>
          <w:sz w:val="18"/>
        </w:rPr>
        <w:t xml:space="preserve"> </w:t>
      </w:r>
      <w:r>
        <w:rPr>
          <w:i/>
          <w:sz w:val="18"/>
        </w:rPr>
        <w:t>Plate</w:t>
      </w:r>
      <w:r>
        <w:rPr>
          <w:sz w:val="18"/>
        </w:rPr>
        <w:t>,</w:t>
      </w:r>
      <w:r>
        <w:rPr>
          <w:spacing w:val="-5"/>
          <w:sz w:val="18"/>
        </w:rPr>
        <w:t xml:space="preserve"> </w:t>
      </w:r>
      <w:r>
        <w:rPr>
          <w:sz w:val="18"/>
        </w:rPr>
        <w:t>para.</w:t>
      </w:r>
      <w:r>
        <w:rPr>
          <w:spacing w:val="-5"/>
          <w:sz w:val="18"/>
        </w:rPr>
        <w:t xml:space="preserve"> </w:t>
      </w:r>
      <w:r>
        <w:rPr>
          <w:spacing w:val="-2"/>
          <w:sz w:val="18"/>
        </w:rPr>
        <w:t>7.53.</w:t>
      </w:r>
    </w:p>
    <w:p w14:paraId="51DE7CCF" w14:textId="77777777" w:rsidR="0010369C" w:rsidRDefault="008E43AE">
      <w:pPr>
        <w:ind w:left="237" w:right="611" w:firstLine="1"/>
        <w:rPr>
          <w:sz w:val="18"/>
        </w:rPr>
      </w:pPr>
      <w:r>
        <w:rPr>
          <w:sz w:val="18"/>
          <w:vertAlign w:val="superscript"/>
        </w:rPr>
        <w:t>32</w:t>
      </w:r>
      <w:r>
        <w:rPr>
          <w:spacing w:val="-1"/>
          <w:sz w:val="18"/>
        </w:rPr>
        <w:t xml:space="preserve"> </w:t>
      </w:r>
      <w:r>
        <w:rPr>
          <w:sz w:val="18"/>
        </w:rPr>
        <w:t>Panel</w:t>
      </w:r>
      <w:r>
        <w:rPr>
          <w:spacing w:val="-2"/>
          <w:sz w:val="18"/>
        </w:rPr>
        <w:t xml:space="preserve"> </w:t>
      </w:r>
      <w:r>
        <w:rPr>
          <w:sz w:val="18"/>
        </w:rPr>
        <w:t>Report,</w:t>
      </w:r>
      <w:r>
        <w:rPr>
          <w:spacing w:val="-1"/>
          <w:sz w:val="18"/>
        </w:rPr>
        <w:t xml:space="preserve"> </w:t>
      </w:r>
      <w:r>
        <w:rPr>
          <w:i/>
          <w:sz w:val="18"/>
        </w:rPr>
        <w:t>US</w:t>
      </w:r>
      <w:r>
        <w:rPr>
          <w:i/>
          <w:spacing w:val="-1"/>
          <w:sz w:val="18"/>
        </w:rPr>
        <w:t xml:space="preserve"> </w:t>
      </w:r>
      <w:r>
        <w:rPr>
          <w:i/>
          <w:sz w:val="18"/>
        </w:rPr>
        <w:t>–</w:t>
      </w:r>
      <w:r>
        <w:rPr>
          <w:i/>
          <w:spacing w:val="-2"/>
          <w:sz w:val="18"/>
        </w:rPr>
        <w:t xml:space="preserve"> </w:t>
      </w:r>
      <w:r>
        <w:rPr>
          <w:i/>
          <w:sz w:val="18"/>
        </w:rPr>
        <w:t>Anti‐Dumping</w:t>
      </w:r>
      <w:r>
        <w:rPr>
          <w:i/>
          <w:spacing w:val="-1"/>
          <w:sz w:val="18"/>
        </w:rPr>
        <w:t xml:space="preserve"> </w:t>
      </w:r>
      <w:r>
        <w:rPr>
          <w:i/>
          <w:sz w:val="18"/>
        </w:rPr>
        <w:t>and</w:t>
      </w:r>
      <w:r>
        <w:rPr>
          <w:i/>
          <w:spacing w:val="-1"/>
          <w:sz w:val="18"/>
        </w:rPr>
        <w:t xml:space="preserve"> </w:t>
      </w:r>
      <w:r>
        <w:rPr>
          <w:i/>
          <w:sz w:val="18"/>
        </w:rPr>
        <w:t>Countervailing</w:t>
      </w:r>
      <w:r>
        <w:rPr>
          <w:i/>
          <w:spacing w:val="-1"/>
          <w:sz w:val="18"/>
        </w:rPr>
        <w:t xml:space="preserve"> </w:t>
      </w:r>
      <w:r>
        <w:rPr>
          <w:i/>
          <w:sz w:val="18"/>
        </w:rPr>
        <w:t>Duties</w:t>
      </w:r>
      <w:r>
        <w:rPr>
          <w:i/>
          <w:spacing w:val="-2"/>
          <w:sz w:val="18"/>
        </w:rPr>
        <w:t xml:space="preserve"> </w:t>
      </w:r>
      <w:r>
        <w:rPr>
          <w:i/>
          <w:sz w:val="18"/>
        </w:rPr>
        <w:t>(Korea)</w:t>
      </w:r>
      <w:r>
        <w:rPr>
          <w:sz w:val="18"/>
        </w:rPr>
        <w:t>,</w:t>
      </w:r>
      <w:r>
        <w:rPr>
          <w:spacing w:val="-2"/>
          <w:sz w:val="18"/>
        </w:rPr>
        <w:t xml:space="preserve"> </w:t>
      </w:r>
      <w:r>
        <w:rPr>
          <w:sz w:val="18"/>
        </w:rPr>
        <w:t>para.</w:t>
      </w:r>
      <w:r>
        <w:rPr>
          <w:spacing w:val="-2"/>
          <w:sz w:val="18"/>
        </w:rPr>
        <w:t xml:space="preserve"> </w:t>
      </w:r>
      <w:r>
        <w:rPr>
          <w:sz w:val="18"/>
        </w:rPr>
        <w:t>7.28;</w:t>
      </w:r>
      <w:r>
        <w:rPr>
          <w:spacing w:val="-1"/>
          <w:sz w:val="18"/>
        </w:rPr>
        <w:t xml:space="preserve"> </w:t>
      </w:r>
      <w:r>
        <w:rPr>
          <w:sz w:val="18"/>
        </w:rPr>
        <w:t>citing</w:t>
      </w:r>
      <w:r>
        <w:rPr>
          <w:spacing w:val="-1"/>
          <w:sz w:val="18"/>
        </w:rPr>
        <w:t xml:space="preserve"> </w:t>
      </w:r>
      <w:r>
        <w:rPr>
          <w:sz w:val="18"/>
        </w:rPr>
        <w:t>Appellate</w:t>
      </w:r>
      <w:r>
        <w:rPr>
          <w:spacing w:val="-1"/>
          <w:sz w:val="18"/>
        </w:rPr>
        <w:t xml:space="preserve"> </w:t>
      </w:r>
      <w:r>
        <w:rPr>
          <w:sz w:val="18"/>
        </w:rPr>
        <w:t>Body</w:t>
      </w:r>
      <w:r>
        <w:rPr>
          <w:spacing w:val="-1"/>
          <w:sz w:val="18"/>
        </w:rPr>
        <w:t xml:space="preserve"> </w:t>
      </w:r>
      <w:r>
        <w:rPr>
          <w:sz w:val="18"/>
        </w:rPr>
        <w:t>Report,</w:t>
      </w:r>
      <w:r>
        <w:rPr>
          <w:spacing w:val="-1"/>
          <w:sz w:val="18"/>
        </w:rPr>
        <w:t xml:space="preserve"> </w:t>
      </w:r>
      <w:r>
        <w:rPr>
          <w:i/>
          <w:sz w:val="18"/>
        </w:rPr>
        <w:t>US</w:t>
      </w:r>
      <w:r>
        <w:rPr>
          <w:i/>
          <w:spacing w:val="-1"/>
          <w:sz w:val="18"/>
        </w:rPr>
        <w:t xml:space="preserve"> </w:t>
      </w:r>
      <w:r>
        <w:rPr>
          <w:i/>
          <w:sz w:val="18"/>
        </w:rPr>
        <w:t>–</w:t>
      </w:r>
      <w:r>
        <w:rPr>
          <w:i/>
          <w:spacing w:val="-2"/>
          <w:sz w:val="18"/>
        </w:rPr>
        <w:t xml:space="preserve"> </w:t>
      </w:r>
      <w:r>
        <w:rPr>
          <w:i/>
          <w:sz w:val="18"/>
        </w:rPr>
        <w:t>Carbon Steel (India)</w:t>
      </w:r>
      <w:r>
        <w:rPr>
          <w:sz w:val="18"/>
        </w:rPr>
        <w:t>, para. 4.416.</w:t>
      </w:r>
    </w:p>
    <w:p w14:paraId="51DE7CD0" w14:textId="77777777" w:rsidR="0010369C" w:rsidRDefault="0010369C">
      <w:pPr>
        <w:rPr>
          <w:sz w:val="18"/>
        </w:rPr>
        <w:sectPr w:rsidR="0010369C">
          <w:pgSz w:w="11910" w:h="16840"/>
          <w:pgMar w:top="880" w:right="800" w:bottom="980" w:left="1180" w:header="569" w:footer="788" w:gutter="0"/>
          <w:cols w:space="720"/>
        </w:sectPr>
      </w:pPr>
    </w:p>
    <w:p w14:paraId="51DE7CD1" w14:textId="77777777" w:rsidR="0010369C" w:rsidRDefault="008E43AE">
      <w:pPr>
        <w:tabs>
          <w:tab w:val="left" w:pos="6426"/>
        </w:tabs>
        <w:ind w:left="238"/>
        <w:rPr>
          <w:sz w:val="20"/>
        </w:rPr>
      </w:pPr>
      <w:r>
        <w:rPr>
          <w:i/>
          <w:sz w:val="20"/>
        </w:rPr>
        <w:lastRenderedPageBreak/>
        <w:t>China</w:t>
      </w:r>
      <w:r>
        <w:rPr>
          <w:i/>
          <w:spacing w:val="-5"/>
          <w:sz w:val="20"/>
        </w:rPr>
        <w:t xml:space="preserve"> </w:t>
      </w:r>
      <w:r>
        <w:rPr>
          <w:i/>
          <w:sz w:val="20"/>
        </w:rPr>
        <w:t>–</w:t>
      </w:r>
      <w:r>
        <w:rPr>
          <w:i/>
          <w:spacing w:val="-5"/>
          <w:sz w:val="20"/>
        </w:rPr>
        <w:t xml:space="preserve"> </w:t>
      </w:r>
      <w:r>
        <w:rPr>
          <w:i/>
          <w:sz w:val="20"/>
        </w:rPr>
        <w:t>Anti‐Dumping</w:t>
      </w:r>
      <w:r>
        <w:rPr>
          <w:i/>
          <w:spacing w:val="-4"/>
          <w:sz w:val="20"/>
        </w:rPr>
        <w:t xml:space="preserve"> </w:t>
      </w:r>
      <w:r>
        <w:rPr>
          <w:i/>
          <w:sz w:val="20"/>
        </w:rPr>
        <w:t>and</w:t>
      </w:r>
      <w:r>
        <w:rPr>
          <w:i/>
          <w:spacing w:val="-5"/>
          <w:sz w:val="20"/>
        </w:rPr>
        <w:t xml:space="preserve"> </w:t>
      </w:r>
      <w:r>
        <w:rPr>
          <w:i/>
          <w:sz w:val="20"/>
        </w:rPr>
        <w:t>Countervailing</w:t>
      </w:r>
      <w:r>
        <w:rPr>
          <w:i/>
          <w:spacing w:val="-5"/>
          <w:sz w:val="20"/>
        </w:rPr>
        <w:t xml:space="preserve"> </w:t>
      </w:r>
      <w:r>
        <w:rPr>
          <w:i/>
          <w:sz w:val="20"/>
        </w:rPr>
        <w:t>Duty</w:t>
      </w:r>
      <w:r>
        <w:rPr>
          <w:i/>
          <w:spacing w:val="-4"/>
          <w:sz w:val="20"/>
        </w:rPr>
        <w:t xml:space="preserve"> </w:t>
      </w:r>
      <w:r>
        <w:rPr>
          <w:i/>
          <w:spacing w:val="-2"/>
          <w:sz w:val="20"/>
        </w:rPr>
        <w:t>Measures</w:t>
      </w:r>
      <w:r>
        <w:rPr>
          <w:i/>
          <w:sz w:val="20"/>
        </w:rPr>
        <w:tab/>
      </w:r>
      <w:r>
        <w:rPr>
          <w:sz w:val="20"/>
        </w:rPr>
        <w:t>Australia's</w:t>
      </w:r>
      <w:r>
        <w:rPr>
          <w:spacing w:val="-7"/>
          <w:sz w:val="20"/>
        </w:rPr>
        <w:t xml:space="preserve"> </w:t>
      </w:r>
      <w:r>
        <w:rPr>
          <w:sz w:val="20"/>
        </w:rPr>
        <w:t>First</w:t>
      </w:r>
      <w:r>
        <w:rPr>
          <w:spacing w:val="-2"/>
          <w:sz w:val="20"/>
        </w:rPr>
        <w:t xml:space="preserve"> </w:t>
      </w:r>
      <w:r>
        <w:rPr>
          <w:sz w:val="20"/>
        </w:rPr>
        <w:t>Written</w:t>
      </w:r>
      <w:r>
        <w:rPr>
          <w:spacing w:val="-2"/>
          <w:sz w:val="20"/>
        </w:rPr>
        <w:t xml:space="preserve"> Submission</w:t>
      </w:r>
    </w:p>
    <w:p w14:paraId="51DE7CD2" w14:textId="77777777" w:rsidR="0010369C" w:rsidRDefault="008E43AE">
      <w:pPr>
        <w:tabs>
          <w:tab w:val="left" w:pos="8228"/>
        </w:tabs>
        <w:spacing w:before="1"/>
        <w:ind w:left="239"/>
        <w:rPr>
          <w:sz w:val="20"/>
        </w:rPr>
      </w:pPr>
      <w:r>
        <w:rPr>
          <w:i/>
          <w:sz w:val="20"/>
        </w:rPr>
        <w:t>on</w:t>
      </w:r>
      <w:r>
        <w:rPr>
          <w:i/>
          <w:spacing w:val="-1"/>
          <w:sz w:val="20"/>
        </w:rPr>
        <w:t xml:space="preserve"> </w:t>
      </w:r>
      <w:r>
        <w:rPr>
          <w:i/>
          <w:sz w:val="20"/>
        </w:rPr>
        <w:t>Wine</w:t>
      </w:r>
      <w:r>
        <w:rPr>
          <w:i/>
          <w:spacing w:val="-1"/>
          <w:sz w:val="20"/>
        </w:rPr>
        <w:t xml:space="preserve"> </w:t>
      </w:r>
      <w:r>
        <w:rPr>
          <w:i/>
          <w:sz w:val="20"/>
        </w:rPr>
        <w:t>from</w:t>
      </w:r>
      <w:r>
        <w:rPr>
          <w:i/>
          <w:spacing w:val="-3"/>
          <w:sz w:val="20"/>
        </w:rPr>
        <w:t xml:space="preserve"> </w:t>
      </w:r>
      <w:r>
        <w:rPr>
          <w:i/>
          <w:sz w:val="20"/>
        </w:rPr>
        <w:t>Australia</w:t>
      </w:r>
      <w:r>
        <w:rPr>
          <w:i/>
          <w:spacing w:val="-1"/>
          <w:sz w:val="20"/>
        </w:rPr>
        <w:t xml:space="preserve"> </w:t>
      </w:r>
      <w:r>
        <w:rPr>
          <w:spacing w:val="-2"/>
          <w:sz w:val="20"/>
        </w:rPr>
        <w:t>(DS602)</w:t>
      </w:r>
      <w:r>
        <w:rPr>
          <w:sz w:val="20"/>
        </w:rPr>
        <w:tab/>
        <w:t>29</w:t>
      </w:r>
      <w:r>
        <w:rPr>
          <w:spacing w:val="-1"/>
          <w:sz w:val="20"/>
        </w:rPr>
        <w:t xml:space="preserve"> </w:t>
      </w:r>
      <w:r>
        <w:rPr>
          <w:sz w:val="20"/>
        </w:rPr>
        <w:t>April</w:t>
      </w:r>
      <w:r>
        <w:rPr>
          <w:spacing w:val="-2"/>
          <w:sz w:val="20"/>
        </w:rPr>
        <w:t xml:space="preserve"> </w:t>
      </w:r>
      <w:r>
        <w:rPr>
          <w:spacing w:val="-4"/>
          <w:sz w:val="20"/>
        </w:rPr>
        <w:t>2022</w:t>
      </w:r>
    </w:p>
    <w:p w14:paraId="51DE7CD3" w14:textId="77777777" w:rsidR="0010369C" w:rsidRDefault="008E43AE">
      <w:pPr>
        <w:pStyle w:val="BodyText"/>
        <w:spacing w:before="34" w:line="360" w:lineRule="auto"/>
        <w:ind w:left="236" w:right="613" w:firstLine="852"/>
        <w:jc w:val="both"/>
      </w:pPr>
      <w:r>
        <w:rPr>
          <w:noProof/>
        </w:rPr>
        <w:drawing>
          <wp:anchor distT="0" distB="0" distL="0" distR="0" simplePos="0" relativeHeight="250751488" behindDoc="1" locked="0" layoutInCell="1" allowOverlap="1" wp14:anchorId="51DE9D7C" wp14:editId="51DE9D7D">
            <wp:simplePos x="0" y="0"/>
            <wp:positionH relativeFrom="page">
              <wp:posOffset>902208</wp:posOffset>
            </wp:positionH>
            <wp:positionV relativeFrom="paragraph">
              <wp:posOffset>72043</wp:posOffset>
            </wp:positionV>
            <wp:extent cx="182879" cy="100753"/>
            <wp:effectExtent l="0" t="0" r="0" b="0"/>
            <wp:wrapNone/>
            <wp:docPr id="101"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59.png"/>
                    <pic:cNvPicPr/>
                  </pic:nvPicPr>
                  <pic:blipFill>
                    <a:blip r:embed="rId107" cstate="print"/>
                    <a:stretch>
                      <a:fillRect/>
                    </a:stretch>
                  </pic:blipFill>
                  <pic:spPr>
                    <a:xfrm>
                      <a:off x="0" y="0"/>
                      <a:ext cx="182879" cy="100753"/>
                    </a:xfrm>
                    <a:prstGeom prst="rect">
                      <a:avLst/>
                    </a:prstGeom>
                  </pic:spPr>
                </pic:pic>
              </a:graphicData>
            </a:graphic>
          </wp:anchor>
        </w:drawing>
      </w:r>
      <w:r>
        <w:t>Necessary information has been distinguished from information that is merely "required" or "requested".</w:t>
      </w:r>
      <w:r>
        <w:rPr>
          <w:vertAlign w:val="superscript"/>
        </w:rPr>
        <w:t>33</w:t>
      </w:r>
      <w:r>
        <w:t xml:space="preserve"> The characterisation of information as "indispensable" or "essential" is clearly intended to hold it to a high standard. That standard plainly does no</w:t>
      </w:r>
      <w:r>
        <w:t>t encompass all information that may be requested by an investigating authority. While investigating authorities enjoy a level of discretion as to what constitutes "necessary information",</w:t>
      </w:r>
      <w:r>
        <w:rPr>
          <w:spacing w:val="-11"/>
        </w:rPr>
        <w:t xml:space="preserve"> </w:t>
      </w:r>
      <w:r>
        <w:t>the</w:t>
      </w:r>
      <w:r>
        <w:rPr>
          <w:spacing w:val="-12"/>
        </w:rPr>
        <w:t xml:space="preserve"> </w:t>
      </w:r>
      <w:r>
        <w:t>fact</w:t>
      </w:r>
      <w:r>
        <w:rPr>
          <w:spacing w:val="-12"/>
        </w:rPr>
        <w:t xml:space="preserve"> </w:t>
      </w:r>
      <w:r>
        <w:t>that</w:t>
      </w:r>
      <w:r>
        <w:rPr>
          <w:spacing w:val="-12"/>
        </w:rPr>
        <w:t xml:space="preserve"> </w:t>
      </w:r>
      <w:r>
        <w:t>information</w:t>
      </w:r>
      <w:r>
        <w:rPr>
          <w:spacing w:val="-11"/>
        </w:rPr>
        <w:t xml:space="preserve"> </w:t>
      </w:r>
      <w:r>
        <w:t>has</w:t>
      </w:r>
      <w:r>
        <w:rPr>
          <w:spacing w:val="-12"/>
        </w:rPr>
        <w:t xml:space="preserve"> </w:t>
      </w:r>
      <w:r>
        <w:t>been</w:t>
      </w:r>
      <w:r>
        <w:rPr>
          <w:spacing w:val="-12"/>
        </w:rPr>
        <w:t xml:space="preserve"> </w:t>
      </w:r>
      <w:r>
        <w:t>requested</w:t>
      </w:r>
      <w:r>
        <w:rPr>
          <w:spacing w:val="-13"/>
        </w:rPr>
        <w:t xml:space="preserve"> </w:t>
      </w:r>
      <w:r>
        <w:t>from</w:t>
      </w:r>
      <w:r>
        <w:rPr>
          <w:spacing w:val="-12"/>
        </w:rPr>
        <w:t xml:space="preserve"> </w:t>
      </w:r>
      <w:r>
        <w:t>an</w:t>
      </w:r>
      <w:r>
        <w:rPr>
          <w:spacing w:val="-13"/>
        </w:rPr>
        <w:t xml:space="preserve"> </w:t>
      </w:r>
      <w:r>
        <w:t>interested</w:t>
      </w:r>
      <w:r>
        <w:rPr>
          <w:spacing w:val="-12"/>
        </w:rPr>
        <w:t xml:space="preserve"> </w:t>
      </w:r>
      <w:r>
        <w:t>par</w:t>
      </w:r>
      <w:r>
        <w:t>ty</w:t>
      </w:r>
      <w:r>
        <w:rPr>
          <w:spacing w:val="-13"/>
        </w:rPr>
        <w:t xml:space="preserve"> </w:t>
      </w:r>
      <w:r>
        <w:t>does</w:t>
      </w:r>
      <w:r>
        <w:rPr>
          <w:spacing w:val="-12"/>
        </w:rPr>
        <w:t xml:space="preserve"> </w:t>
      </w:r>
      <w:r>
        <w:t>not, without more, render it necessary within the meaning of Article</w:t>
      </w:r>
      <w:r>
        <w:rPr>
          <w:spacing w:val="-2"/>
        </w:rPr>
        <w:t xml:space="preserve"> </w:t>
      </w:r>
      <w:r>
        <w:t>6.8.</w:t>
      </w:r>
      <w:r>
        <w:rPr>
          <w:vertAlign w:val="superscript"/>
        </w:rPr>
        <w:t>34</w:t>
      </w:r>
      <w:r>
        <w:t xml:space="preserve"> The investigating authority must assess whether certain information constitutes "necessary information" on a case‐by‐case basis "in light of the specific circumstances of each investigation, not in the abstract".</w:t>
      </w:r>
      <w:r>
        <w:rPr>
          <w:vertAlign w:val="superscript"/>
        </w:rPr>
        <w:t>35</w:t>
      </w:r>
      <w:r>
        <w:t xml:space="preserve"> In making that assessment, the investiga</w:t>
      </w:r>
      <w:r>
        <w:t>ting authority may take into account whether the absence of some requested information casts doubt over the reliability or usability of the provided information.</w:t>
      </w:r>
    </w:p>
    <w:p w14:paraId="51DE7CD4" w14:textId="77777777" w:rsidR="0010369C" w:rsidRDefault="0010369C">
      <w:pPr>
        <w:pStyle w:val="BodyText"/>
        <w:spacing w:before="11"/>
        <w:rPr>
          <w:sz w:val="8"/>
        </w:rPr>
      </w:pPr>
    </w:p>
    <w:p w14:paraId="51DE7CD5" w14:textId="77777777" w:rsidR="0010369C" w:rsidRDefault="008E43AE">
      <w:pPr>
        <w:pStyle w:val="BodyText"/>
        <w:spacing w:before="52" w:line="360" w:lineRule="auto"/>
        <w:ind w:left="237" w:right="613" w:firstLine="852"/>
        <w:jc w:val="both"/>
      </w:pPr>
      <w:r>
        <w:rPr>
          <w:noProof/>
        </w:rPr>
        <w:drawing>
          <wp:anchor distT="0" distB="0" distL="0" distR="0" simplePos="0" relativeHeight="250752512" behindDoc="1" locked="0" layoutInCell="1" allowOverlap="1" wp14:anchorId="51DE9D7E" wp14:editId="51DE9D7F">
            <wp:simplePos x="0" y="0"/>
            <wp:positionH relativeFrom="page">
              <wp:posOffset>902208</wp:posOffset>
            </wp:positionH>
            <wp:positionV relativeFrom="paragraph">
              <wp:posOffset>83474</wp:posOffset>
            </wp:positionV>
            <wp:extent cx="182879" cy="100753"/>
            <wp:effectExtent l="0" t="0" r="0" b="0"/>
            <wp:wrapNone/>
            <wp:docPr id="103" name="image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60.png"/>
                    <pic:cNvPicPr/>
                  </pic:nvPicPr>
                  <pic:blipFill>
                    <a:blip r:embed="rId108" cstate="print"/>
                    <a:stretch>
                      <a:fillRect/>
                    </a:stretch>
                  </pic:blipFill>
                  <pic:spPr>
                    <a:xfrm>
                      <a:off x="0" y="0"/>
                      <a:ext cx="182879" cy="100753"/>
                    </a:xfrm>
                    <a:prstGeom prst="rect">
                      <a:avLst/>
                    </a:prstGeom>
                  </pic:spPr>
                </pic:pic>
              </a:graphicData>
            </a:graphic>
          </wp:anchor>
        </w:drawing>
      </w:r>
      <w:r>
        <w:t>The Appellate Body has explained that an investigating authority is not "unconstrained"</w:t>
      </w:r>
      <w:r>
        <w:rPr>
          <w:spacing w:val="-14"/>
        </w:rPr>
        <w:t xml:space="preserve"> </w:t>
      </w:r>
      <w:r>
        <w:t>in</w:t>
      </w:r>
      <w:r>
        <w:rPr>
          <w:spacing w:val="-14"/>
        </w:rPr>
        <w:t xml:space="preserve"> </w:t>
      </w:r>
      <w:r>
        <w:t>i</w:t>
      </w:r>
      <w:r>
        <w:t>ts</w:t>
      </w:r>
      <w:r>
        <w:rPr>
          <w:spacing w:val="-8"/>
        </w:rPr>
        <w:t xml:space="preserve"> </w:t>
      </w:r>
      <w:r>
        <w:t>identification</w:t>
      </w:r>
      <w:r>
        <w:rPr>
          <w:spacing w:val="-11"/>
        </w:rPr>
        <w:t xml:space="preserve"> </w:t>
      </w:r>
      <w:r>
        <w:t>of</w:t>
      </w:r>
      <w:r>
        <w:rPr>
          <w:spacing w:val="-9"/>
        </w:rPr>
        <w:t xml:space="preserve"> </w:t>
      </w:r>
      <w:r>
        <w:t>"necessary</w:t>
      </w:r>
      <w:r>
        <w:rPr>
          <w:spacing w:val="-9"/>
        </w:rPr>
        <w:t xml:space="preserve"> </w:t>
      </w:r>
      <w:r>
        <w:t>information".</w:t>
      </w:r>
      <w:r>
        <w:rPr>
          <w:vertAlign w:val="superscript"/>
        </w:rPr>
        <w:t>36</w:t>
      </w:r>
      <w:r>
        <w:rPr>
          <w:spacing w:val="-14"/>
        </w:rPr>
        <w:t xml:space="preserve"> </w:t>
      </w:r>
      <w:r>
        <w:t>An</w:t>
      </w:r>
      <w:r>
        <w:rPr>
          <w:spacing w:val="-8"/>
        </w:rPr>
        <w:t xml:space="preserve"> </w:t>
      </w:r>
      <w:r>
        <w:t>investigating</w:t>
      </w:r>
      <w:r>
        <w:rPr>
          <w:spacing w:val="-7"/>
        </w:rPr>
        <w:t xml:space="preserve"> </w:t>
      </w:r>
      <w:r>
        <w:t>authority</w:t>
      </w:r>
      <w:r>
        <w:rPr>
          <w:spacing w:val="-9"/>
        </w:rPr>
        <w:t xml:space="preserve"> </w:t>
      </w:r>
      <w:r>
        <w:t>is required to make a "reasonable assessment based on evidence and cannot simply infer, without</w:t>
      </w:r>
      <w:r>
        <w:rPr>
          <w:spacing w:val="-14"/>
        </w:rPr>
        <w:t xml:space="preserve"> </w:t>
      </w:r>
      <w:r>
        <w:t>further</w:t>
      </w:r>
      <w:r>
        <w:rPr>
          <w:spacing w:val="-5"/>
        </w:rPr>
        <w:t xml:space="preserve"> </w:t>
      </w:r>
      <w:r>
        <w:t>clarification,</w:t>
      </w:r>
      <w:r>
        <w:rPr>
          <w:spacing w:val="-5"/>
        </w:rPr>
        <w:t xml:space="preserve"> </w:t>
      </w:r>
      <w:r>
        <w:t>that</w:t>
      </w:r>
      <w:r>
        <w:rPr>
          <w:spacing w:val="-6"/>
        </w:rPr>
        <w:t xml:space="preserve"> </w:t>
      </w:r>
      <w:r>
        <w:t>any</w:t>
      </w:r>
      <w:r>
        <w:rPr>
          <w:spacing w:val="-7"/>
        </w:rPr>
        <w:t xml:space="preserve"> </w:t>
      </w:r>
      <w:r>
        <w:t>missing</w:t>
      </w:r>
      <w:r>
        <w:rPr>
          <w:spacing w:val="-6"/>
        </w:rPr>
        <w:t xml:space="preserve"> </w:t>
      </w:r>
      <w:r>
        <w:t>information</w:t>
      </w:r>
      <w:r>
        <w:rPr>
          <w:spacing w:val="-5"/>
        </w:rPr>
        <w:t xml:space="preserve"> </w:t>
      </w:r>
      <w:r>
        <w:t>is</w:t>
      </w:r>
      <w:r>
        <w:rPr>
          <w:spacing w:val="-6"/>
        </w:rPr>
        <w:t xml:space="preserve"> </w:t>
      </w:r>
      <w:r>
        <w:t>"necessary"".</w:t>
      </w:r>
      <w:r>
        <w:rPr>
          <w:vertAlign w:val="superscript"/>
        </w:rPr>
        <w:t>37</w:t>
      </w:r>
      <w:r>
        <w:rPr>
          <w:spacing w:val="-14"/>
        </w:rPr>
        <w:t xml:space="preserve"> </w:t>
      </w:r>
      <w:r>
        <w:t>An</w:t>
      </w:r>
      <w:r>
        <w:rPr>
          <w:spacing w:val="-5"/>
        </w:rPr>
        <w:t xml:space="preserve"> </w:t>
      </w:r>
      <w:r>
        <w:t>assessment</w:t>
      </w:r>
      <w:r>
        <w:rPr>
          <w:spacing w:val="-6"/>
        </w:rPr>
        <w:t xml:space="preserve"> </w:t>
      </w:r>
      <w:r>
        <w:t>of what constitutes "necessary information" must be conducted with reference to the information</w:t>
      </w:r>
      <w:r>
        <w:rPr>
          <w:spacing w:val="-13"/>
        </w:rPr>
        <w:t xml:space="preserve"> </w:t>
      </w:r>
      <w:r>
        <w:t>that</w:t>
      </w:r>
      <w:r>
        <w:rPr>
          <w:spacing w:val="-12"/>
        </w:rPr>
        <w:t xml:space="preserve"> </w:t>
      </w:r>
      <w:r>
        <w:t>is</w:t>
      </w:r>
      <w:r>
        <w:rPr>
          <w:spacing w:val="-13"/>
        </w:rPr>
        <w:t xml:space="preserve"> </w:t>
      </w:r>
      <w:r>
        <w:t>necessary</w:t>
      </w:r>
      <w:r>
        <w:rPr>
          <w:spacing w:val="-12"/>
        </w:rPr>
        <w:t xml:space="preserve"> </w:t>
      </w:r>
      <w:r>
        <w:t>to</w:t>
      </w:r>
      <w:r>
        <w:rPr>
          <w:spacing w:val="-12"/>
        </w:rPr>
        <w:t xml:space="preserve"> </w:t>
      </w:r>
      <w:r>
        <w:t>determine</w:t>
      </w:r>
      <w:r>
        <w:rPr>
          <w:spacing w:val="-12"/>
        </w:rPr>
        <w:t xml:space="preserve"> </w:t>
      </w:r>
      <w:r>
        <w:t>dumping</w:t>
      </w:r>
      <w:r>
        <w:rPr>
          <w:spacing w:val="-12"/>
        </w:rPr>
        <w:t xml:space="preserve"> </w:t>
      </w:r>
      <w:r>
        <w:t>pursuant</w:t>
      </w:r>
      <w:r>
        <w:rPr>
          <w:spacing w:val="-11"/>
        </w:rPr>
        <w:t xml:space="preserve"> </w:t>
      </w:r>
      <w:r>
        <w:t>to</w:t>
      </w:r>
      <w:r>
        <w:rPr>
          <w:spacing w:val="-12"/>
        </w:rPr>
        <w:t xml:space="preserve"> </w:t>
      </w:r>
      <w:r>
        <w:t>Article</w:t>
      </w:r>
      <w:r>
        <w:rPr>
          <w:spacing w:val="-12"/>
        </w:rPr>
        <w:t xml:space="preserve"> </w:t>
      </w:r>
      <w:r>
        <w:t>2</w:t>
      </w:r>
      <w:r>
        <w:rPr>
          <w:spacing w:val="-13"/>
        </w:rPr>
        <w:t xml:space="preserve"> </w:t>
      </w:r>
      <w:r>
        <w:t>of</w:t>
      </w:r>
      <w:r>
        <w:rPr>
          <w:spacing w:val="-12"/>
        </w:rPr>
        <w:t xml:space="preserve"> </w:t>
      </w:r>
      <w:r>
        <w:t>the</w:t>
      </w:r>
      <w:r>
        <w:rPr>
          <w:spacing w:val="-12"/>
        </w:rPr>
        <w:t xml:space="preserve"> </w:t>
      </w:r>
      <w:r>
        <w:t>Anti‐Dumping Agreement. Specifically, in the current context, this includes information that is necessary to ascertain the normal value under Articles 2.1 and 2.2.</w:t>
      </w:r>
    </w:p>
    <w:p w14:paraId="51DE7CD6" w14:textId="77777777" w:rsidR="0010369C" w:rsidRDefault="008E43AE">
      <w:pPr>
        <w:pStyle w:val="ListParagraph"/>
        <w:numPr>
          <w:ilvl w:val="3"/>
          <w:numId w:val="75"/>
        </w:numPr>
        <w:tabs>
          <w:tab w:val="left" w:pos="3641"/>
          <w:tab w:val="left" w:pos="3642"/>
        </w:tabs>
        <w:spacing w:before="161"/>
        <w:ind w:left="3641" w:hanging="853"/>
        <w:jc w:val="both"/>
        <w:rPr>
          <w:sz w:val="24"/>
        </w:rPr>
      </w:pPr>
      <w:r>
        <w:rPr>
          <w:sz w:val="24"/>
          <w:u w:val="single"/>
        </w:rPr>
        <w:t>Annex</w:t>
      </w:r>
      <w:r>
        <w:rPr>
          <w:spacing w:val="-6"/>
          <w:sz w:val="24"/>
          <w:u w:val="single"/>
        </w:rPr>
        <w:t xml:space="preserve"> </w:t>
      </w:r>
      <w:r>
        <w:rPr>
          <w:sz w:val="24"/>
          <w:u w:val="single"/>
        </w:rPr>
        <w:t>II</w:t>
      </w:r>
      <w:r>
        <w:rPr>
          <w:spacing w:val="-5"/>
          <w:sz w:val="24"/>
          <w:u w:val="single"/>
        </w:rPr>
        <w:t xml:space="preserve"> </w:t>
      </w:r>
      <w:r>
        <w:rPr>
          <w:spacing w:val="-2"/>
          <w:sz w:val="24"/>
          <w:u w:val="single"/>
        </w:rPr>
        <w:t>obligations</w:t>
      </w:r>
    </w:p>
    <w:p w14:paraId="51DE7CD7" w14:textId="77777777" w:rsidR="0010369C" w:rsidRDefault="0010369C">
      <w:pPr>
        <w:pStyle w:val="BodyText"/>
        <w:rPr>
          <w:sz w:val="25"/>
        </w:rPr>
      </w:pPr>
    </w:p>
    <w:p w14:paraId="51DE7CD8" w14:textId="77777777" w:rsidR="0010369C" w:rsidRDefault="008E43AE">
      <w:pPr>
        <w:pStyle w:val="ListParagraph"/>
        <w:numPr>
          <w:ilvl w:val="4"/>
          <w:numId w:val="75"/>
        </w:numPr>
        <w:tabs>
          <w:tab w:val="left" w:pos="4493"/>
          <w:tab w:val="left" w:pos="4494"/>
        </w:tabs>
        <w:spacing w:before="1"/>
        <w:ind w:hanging="852"/>
        <w:rPr>
          <w:i/>
          <w:sz w:val="24"/>
        </w:rPr>
      </w:pPr>
      <w:r>
        <w:rPr>
          <w:i/>
          <w:sz w:val="24"/>
        </w:rPr>
        <w:t>Paragraph</w:t>
      </w:r>
      <w:r>
        <w:rPr>
          <w:i/>
          <w:spacing w:val="-13"/>
          <w:sz w:val="24"/>
        </w:rPr>
        <w:t xml:space="preserve"> </w:t>
      </w:r>
      <w:r>
        <w:rPr>
          <w:i/>
          <w:spacing w:val="-10"/>
          <w:sz w:val="24"/>
        </w:rPr>
        <w:t>1</w:t>
      </w:r>
    </w:p>
    <w:p w14:paraId="51DE7CD9" w14:textId="77777777" w:rsidR="0010369C" w:rsidRDefault="0010369C">
      <w:pPr>
        <w:pStyle w:val="BodyText"/>
        <w:spacing w:before="11"/>
        <w:rPr>
          <w:i/>
          <w:sz w:val="20"/>
        </w:rPr>
      </w:pPr>
    </w:p>
    <w:p w14:paraId="51DE7CDA" w14:textId="77777777" w:rsidR="0010369C" w:rsidRDefault="008E43AE">
      <w:pPr>
        <w:pStyle w:val="BodyText"/>
        <w:spacing w:before="52"/>
        <w:ind w:left="1089"/>
        <w:jc w:val="both"/>
      </w:pPr>
      <w:r>
        <w:rPr>
          <w:noProof/>
        </w:rPr>
        <w:drawing>
          <wp:anchor distT="0" distB="0" distL="0" distR="0" simplePos="0" relativeHeight="250604032" behindDoc="0" locked="0" layoutInCell="1" allowOverlap="1" wp14:anchorId="51DE9D80" wp14:editId="51DE9D81">
            <wp:simplePos x="0" y="0"/>
            <wp:positionH relativeFrom="page">
              <wp:posOffset>902208</wp:posOffset>
            </wp:positionH>
            <wp:positionV relativeFrom="paragraph">
              <wp:posOffset>81357</wp:posOffset>
            </wp:positionV>
            <wp:extent cx="182879" cy="103631"/>
            <wp:effectExtent l="0" t="0" r="0" b="0"/>
            <wp:wrapNone/>
            <wp:docPr id="105" name="image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61.png"/>
                    <pic:cNvPicPr/>
                  </pic:nvPicPr>
                  <pic:blipFill>
                    <a:blip r:embed="rId109" cstate="print"/>
                    <a:stretch>
                      <a:fillRect/>
                    </a:stretch>
                  </pic:blipFill>
                  <pic:spPr>
                    <a:xfrm>
                      <a:off x="0" y="0"/>
                      <a:ext cx="182879" cy="103631"/>
                    </a:xfrm>
                    <a:prstGeom prst="rect">
                      <a:avLst/>
                    </a:prstGeom>
                  </pic:spPr>
                </pic:pic>
              </a:graphicData>
            </a:graphic>
          </wp:anchor>
        </w:drawing>
      </w:r>
      <w:r>
        <w:t>Paragraph</w:t>
      </w:r>
      <w:r>
        <w:rPr>
          <w:spacing w:val="-7"/>
        </w:rPr>
        <w:t xml:space="preserve"> </w:t>
      </w:r>
      <w:r>
        <w:t>1</w:t>
      </w:r>
      <w:r>
        <w:rPr>
          <w:spacing w:val="-6"/>
        </w:rPr>
        <w:t xml:space="preserve"> </w:t>
      </w:r>
      <w:r>
        <w:t>of</w:t>
      </w:r>
      <w:r>
        <w:rPr>
          <w:spacing w:val="-6"/>
        </w:rPr>
        <w:t xml:space="preserve"> </w:t>
      </w:r>
      <w:r>
        <w:t>Annex</w:t>
      </w:r>
      <w:r>
        <w:rPr>
          <w:spacing w:val="-6"/>
        </w:rPr>
        <w:t xml:space="preserve"> </w:t>
      </w:r>
      <w:r>
        <w:t>II</w:t>
      </w:r>
      <w:r>
        <w:rPr>
          <w:spacing w:val="-6"/>
        </w:rPr>
        <w:t xml:space="preserve"> </w:t>
      </w:r>
      <w:r>
        <w:t>provides</w:t>
      </w:r>
      <w:r>
        <w:rPr>
          <w:spacing w:val="-6"/>
        </w:rPr>
        <w:t xml:space="preserve"> </w:t>
      </w:r>
      <w:r>
        <w:rPr>
          <w:spacing w:val="-2"/>
        </w:rPr>
        <w:t>that:</w:t>
      </w:r>
    </w:p>
    <w:p w14:paraId="51DE7CDB" w14:textId="77777777" w:rsidR="0010369C" w:rsidRDefault="0010369C">
      <w:pPr>
        <w:pStyle w:val="BodyText"/>
        <w:rPr>
          <w:sz w:val="25"/>
        </w:rPr>
      </w:pPr>
    </w:p>
    <w:p w14:paraId="51DE7CDC" w14:textId="77777777" w:rsidR="0010369C" w:rsidRDefault="008E43AE">
      <w:pPr>
        <w:ind w:left="1089" w:right="615"/>
        <w:jc w:val="both"/>
      </w:pPr>
      <w:r>
        <w:t>As soon as possi</w:t>
      </w:r>
      <w:r>
        <w:t>ble after the initiation of the investigation, the investigating authorities should</w:t>
      </w:r>
      <w:r>
        <w:rPr>
          <w:spacing w:val="-3"/>
        </w:rPr>
        <w:t xml:space="preserve"> </w:t>
      </w:r>
      <w:r>
        <w:t>specify</w:t>
      </w:r>
      <w:r>
        <w:rPr>
          <w:spacing w:val="-3"/>
        </w:rPr>
        <w:t xml:space="preserve"> </w:t>
      </w:r>
      <w:r>
        <w:t>in</w:t>
      </w:r>
      <w:r>
        <w:rPr>
          <w:spacing w:val="-3"/>
        </w:rPr>
        <w:t xml:space="preserve"> </w:t>
      </w:r>
      <w:r>
        <w:t>detail</w:t>
      </w:r>
      <w:r>
        <w:rPr>
          <w:spacing w:val="-1"/>
        </w:rPr>
        <w:t xml:space="preserve"> </w:t>
      </w:r>
      <w:r>
        <w:t>the</w:t>
      </w:r>
      <w:r>
        <w:rPr>
          <w:spacing w:val="-2"/>
        </w:rPr>
        <w:t xml:space="preserve"> </w:t>
      </w:r>
      <w:r>
        <w:t>information</w:t>
      </w:r>
      <w:r>
        <w:rPr>
          <w:spacing w:val="-1"/>
        </w:rPr>
        <w:t xml:space="preserve"> </w:t>
      </w:r>
      <w:r>
        <w:t>required</w:t>
      </w:r>
      <w:r>
        <w:rPr>
          <w:spacing w:val="-2"/>
        </w:rPr>
        <w:t xml:space="preserve"> </w:t>
      </w:r>
      <w:r>
        <w:t>from</w:t>
      </w:r>
      <w:r>
        <w:rPr>
          <w:spacing w:val="-3"/>
        </w:rPr>
        <w:t xml:space="preserve"> </w:t>
      </w:r>
      <w:r>
        <w:t>any</w:t>
      </w:r>
      <w:r>
        <w:rPr>
          <w:spacing w:val="-3"/>
        </w:rPr>
        <w:t xml:space="preserve"> </w:t>
      </w:r>
      <w:r>
        <w:t>interested</w:t>
      </w:r>
      <w:r>
        <w:rPr>
          <w:spacing w:val="-2"/>
        </w:rPr>
        <w:t xml:space="preserve"> </w:t>
      </w:r>
      <w:r>
        <w:t>party,</w:t>
      </w:r>
      <w:r>
        <w:rPr>
          <w:spacing w:val="-2"/>
        </w:rPr>
        <w:t xml:space="preserve"> </w:t>
      </w:r>
      <w:r>
        <w:t>and</w:t>
      </w:r>
      <w:r>
        <w:rPr>
          <w:spacing w:val="-3"/>
        </w:rPr>
        <w:t xml:space="preserve"> </w:t>
      </w:r>
      <w:r>
        <w:t>the</w:t>
      </w:r>
      <w:r>
        <w:rPr>
          <w:spacing w:val="-3"/>
        </w:rPr>
        <w:t xml:space="preserve"> </w:t>
      </w:r>
      <w:r>
        <w:t>manner in which that information should be structured by the interested party in its response. The authorities</w:t>
      </w:r>
      <w:r>
        <w:rPr>
          <w:spacing w:val="26"/>
        </w:rPr>
        <w:t xml:space="preserve"> </w:t>
      </w:r>
      <w:r>
        <w:t>should</w:t>
      </w:r>
      <w:r>
        <w:rPr>
          <w:spacing w:val="25"/>
        </w:rPr>
        <w:t xml:space="preserve"> </w:t>
      </w:r>
      <w:r>
        <w:t>also</w:t>
      </w:r>
      <w:r>
        <w:rPr>
          <w:spacing w:val="25"/>
        </w:rPr>
        <w:t xml:space="preserve"> </w:t>
      </w:r>
      <w:r>
        <w:t>ensure</w:t>
      </w:r>
      <w:r>
        <w:rPr>
          <w:spacing w:val="25"/>
        </w:rPr>
        <w:t xml:space="preserve"> </w:t>
      </w:r>
      <w:r>
        <w:t>that</w:t>
      </w:r>
      <w:r>
        <w:rPr>
          <w:spacing w:val="24"/>
        </w:rPr>
        <w:t xml:space="preserve"> </w:t>
      </w:r>
      <w:r>
        <w:t>the</w:t>
      </w:r>
      <w:r>
        <w:rPr>
          <w:spacing w:val="25"/>
        </w:rPr>
        <w:t xml:space="preserve"> </w:t>
      </w:r>
      <w:r>
        <w:t>party</w:t>
      </w:r>
      <w:r>
        <w:rPr>
          <w:spacing w:val="26"/>
        </w:rPr>
        <w:t xml:space="preserve"> </w:t>
      </w:r>
      <w:r>
        <w:t>is</w:t>
      </w:r>
      <w:r>
        <w:rPr>
          <w:spacing w:val="26"/>
        </w:rPr>
        <w:t xml:space="preserve"> </w:t>
      </w:r>
      <w:r>
        <w:t>aware</w:t>
      </w:r>
      <w:r>
        <w:rPr>
          <w:spacing w:val="25"/>
        </w:rPr>
        <w:t xml:space="preserve"> </w:t>
      </w:r>
      <w:r>
        <w:t>that</w:t>
      </w:r>
      <w:r>
        <w:rPr>
          <w:spacing w:val="25"/>
        </w:rPr>
        <w:t xml:space="preserve"> </w:t>
      </w:r>
      <w:r>
        <w:t>if</w:t>
      </w:r>
      <w:r>
        <w:rPr>
          <w:spacing w:val="25"/>
        </w:rPr>
        <w:t xml:space="preserve"> </w:t>
      </w:r>
      <w:r>
        <w:t>information</w:t>
      </w:r>
      <w:r>
        <w:rPr>
          <w:spacing w:val="26"/>
        </w:rPr>
        <w:t xml:space="preserve"> </w:t>
      </w:r>
      <w:r>
        <w:t>is</w:t>
      </w:r>
      <w:r>
        <w:rPr>
          <w:spacing w:val="27"/>
        </w:rPr>
        <w:t xml:space="preserve"> </w:t>
      </w:r>
      <w:r>
        <w:t>not</w:t>
      </w:r>
      <w:r>
        <w:rPr>
          <w:spacing w:val="25"/>
        </w:rPr>
        <w:t xml:space="preserve"> </w:t>
      </w:r>
      <w:r>
        <w:t>supplied</w:t>
      </w:r>
    </w:p>
    <w:p w14:paraId="51DE7CDD" w14:textId="77777777" w:rsidR="0010369C" w:rsidRDefault="008E43AE">
      <w:pPr>
        <w:pStyle w:val="BodyText"/>
        <w:spacing w:before="3"/>
        <w:rPr>
          <w:sz w:val="27"/>
        </w:rPr>
      </w:pPr>
      <w:r>
        <w:pict w14:anchorId="51DE9D82">
          <v:rect id="docshape84" o:spid="_x0000_s3180" style="position:absolute;margin-left:70.9pt;margin-top:17.85pt;width:2in;height:.8pt;z-index:-251252224;mso-wrap-distance-left:0;mso-wrap-distance-right:0;mso-position-horizontal-relative:page" fillcolor="black" stroked="f">
            <w10:wrap type="topAndBottom" anchorx="page"/>
          </v:rect>
        </w:pict>
      </w:r>
    </w:p>
    <w:p w14:paraId="51DE7CDE" w14:textId="77777777" w:rsidR="0010369C" w:rsidRDefault="008E43AE">
      <w:pPr>
        <w:spacing w:before="109"/>
        <w:ind w:left="238"/>
        <w:rPr>
          <w:sz w:val="18"/>
        </w:rPr>
      </w:pPr>
      <w:r>
        <w:rPr>
          <w:sz w:val="18"/>
          <w:vertAlign w:val="superscript"/>
        </w:rPr>
        <w:t>33</w:t>
      </w:r>
      <w:r>
        <w:rPr>
          <w:spacing w:val="-6"/>
          <w:sz w:val="18"/>
        </w:rPr>
        <w:t xml:space="preserve"> </w:t>
      </w:r>
      <w:r>
        <w:rPr>
          <w:sz w:val="18"/>
        </w:rPr>
        <w:t>Panel</w:t>
      </w:r>
      <w:r>
        <w:rPr>
          <w:spacing w:val="-6"/>
          <w:sz w:val="18"/>
        </w:rPr>
        <w:t xml:space="preserve"> </w:t>
      </w:r>
      <w:r>
        <w:rPr>
          <w:sz w:val="18"/>
        </w:rPr>
        <w:t>Report,</w:t>
      </w:r>
      <w:r>
        <w:rPr>
          <w:spacing w:val="-5"/>
          <w:sz w:val="18"/>
        </w:rPr>
        <w:t xml:space="preserve"> </w:t>
      </w:r>
      <w:r>
        <w:rPr>
          <w:i/>
          <w:sz w:val="18"/>
        </w:rPr>
        <w:t>Egypt</w:t>
      </w:r>
      <w:r>
        <w:rPr>
          <w:i/>
          <w:spacing w:val="-5"/>
          <w:sz w:val="18"/>
        </w:rPr>
        <w:t xml:space="preserve"> </w:t>
      </w:r>
      <w:r>
        <w:rPr>
          <w:i/>
          <w:sz w:val="18"/>
        </w:rPr>
        <w:t>–</w:t>
      </w:r>
      <w:r>
        <w:rPr>
          <w:i/>
          <w:spacing w:val="-6"/>
          <w:sz w:val="18"/>
        </w:rPr>
        <w:t xml:space="preserve"> </w:t>
      </w:r>
      <w:r>
        <w:rPr>
          <w:i/>
          <w:sz w:val="18"/>
        </w:rPr>
        <w:t>Steel</w:t>
      </w:r>
      <w:r>
        <w:rPr>
          <w:i/>
          <w:spacing w:val="-6"/>
          <w:sz w:val="18"/>
        </w:rPr>
        <w:t xml:space="preserve"> </w:t>
      </w:r>
      <w:r>
        <w:rPr>
          <w:i/>
          <w:sz w:val="18"/>
        </w:rPr>
        <w:t>Rebar</w:t>
      </w:r>
      <w:r>
        <w:rPr>
          <w:sz w:val="18"/>
        </w:rPr>
        <w:t>,</w:t>
      </w:r>
      <w:r>
        <w:rPr>
          <w:spacing w:val="-6"/>
          <w:sz w:val="18"/>
        </w:rPr>
        <w:t xml:space="preserve"> </w:t>
      </w:r>
      <w:r>
        <w:rPr>
          <w:sz w:val="18"/>
        </w:rPr>
        <w:t>para.</w:t>
      </w:r>
      <w:r>
        <w:rPr>
          <w:spacing w:val="-5"/>
          <w:sz w:val="18"/>
        </w:rPr>
        <w:t xml:space="preserve"> </w:t>
      </w:r>
      <w:r>
        <w:rPr>
          <w:spacing w:val="-2"/>
          <w:sz w:val="18"/>
        </w:rPr>
        <w:t>7.151.</w:t>
      </w:r>
    </w:p>
    <w:p w14:paraId="51DE7CDF" w14:textId="77777777" w:rsidR="0010369C" w:rsidRDefault="008E43AE">
      <w:pPr>
        <w:ind w:left="237" w:right="614"/>
        <w:rPr>
          <w:sz w:val="18"/>
        </w:rPr>
      </w:pPr>
      <w:r>
        <w:rPr>
          <w:sz w:val="18"/>
          <w:vertAlign w:val="superscript"/>
        </w:rPr>
        <w:t>34</w:t>
      </w:r>
      <w:r>
        <w:rPr>
          <w:spacing w:val="-3"/>
          <w:sz w:val="18"/>
        </w:rPr>
        <w:t xml:space="preserve"> </w:t>
      </w:r>
      <w:r>
        <w:rPr>
          <w:sz w:val="18"/>
        </w:rPr>
        <w:t>The</w:t>
      </w:r>
      <w:r>
        <w:rPr>
          <w:spacing w:val="-4"/>
          <w:sz w:val="18"/>
        </w:rPr>
        <w:t xml:space="preserve"> </w:t>
      </w:r>
      <w:r>
        <w:rPr>
          <w:sz w:val="18"/>
        </w:rPr>
        <w:t>Panel</w:t>
      </w:r>
      <w:r>
        <w:rPr>
          <w:spacing w:val="-4"/>
          <w:sz w:val="18"/>
        </w:rPr>
        <w:t xml:space="preserve"> </w:t>
      </w:r>
      <w:r>
        <w:rPr>
          <w:sz w:val="18"/>
        </w:rPr>
        <w:t>in</w:t>
      </w:r>
      <w:r>
        <w:rPr>
          <w:spacing w:val="-3"/>
          <w:sz w:val="18"/>
        </w:rPr>
        <w:t xml:space="preserve"> </w:t>
      </w:r>
      <w:r>
        <w:rPr>
          <w:i/>
          <w:sz w:val="18"/>
        </w:rPr>
        <w:t>Egypt</w:t>
      </w:r>
      <w:r>
        <w:rPr>
          <w:i/>
          <w:spacing w:val="-3"/>
          <w:sz w:val="18"/>
        </w:rPr>
        <w:t xml:space="preserve"> </w:t>
      </w:r>
      <w:r>
        <w:rPr>
          <w:i/>
          <w:sz w:val="18"/>
        </w:rPr>
        <w:t>–</w:t>
      </w:r>
      <w:r>
        <w:rPr>
          <w:i/>
          <w:spacing w:val="-3"/>
          <w:sz w:val="18"/>
        </w:rPr>
        <w:t xml:space="preserve"> </w:t>
      </w:r>
      <w:r>
        <w:rPr>
          <w:i/>
          <w:sz w:val="18"/>
        </w:rPr>
        <w:t>Steel</w:t>
      </w:r>
      <w:r>
        <w:rPr>
          <w:i/>
          <w:spacing w:val="-4"/>
          <w:sz w:val="18"/>
        </w:rPr>
        <w:t xml:space="preserve"> </w:t>
      </w:r>
      <w:r>
        <w:rPr>
          <w:i/>
          <w:sz w:val="18"/>
        </w:rPr>
        <w:t>Rebar</w:t>
      </w:r>
      <w:r>
        <w:rPr>
          <w:i/>
          <w:spacing w:val="-4"/>
          <w:sz w:val="18"/>
        </w:rPr>
        <w:t xml:space="preserve"> </w:t>
      </w:r>
      <w:r>
        <w:rPr>
          <w:sz w:val="18"/>
        </w:rPr>
        <w:t>drew</w:t>
      </w:r>
      <w:r>
        <w:rPr>
          <w:spacing w:val="-4"/>
          <w:sz w:val="18"/>
        </w:rPr>
        <w:t xml:space="preserve"> </w:t>
      </w:r>
      <w:r>
        <w:rPr>
          <w:sz w:val="18"/>
        </w:rPr>
        <w:t>a</w:t>
      </w:r>
      <w:r>
        <w:rPr>
          <w:spacing w:val="-3"/>
          <w:sz w:val="18"/>
        </w:rPr>
        <w:t xml:space="preserve"> </w:t>
      </w:r>
      <w:r>
        <w:rPr>
          <w:sz w:val="18"/>
        </w:rPr>
        <w:t>distinction</w:t>
      </w:r>
      <w:r>
        <w:rPr>
          <w:spacing w:val="-3"/>
          <w:sz w:val="18"/>
        </w:rPr>
        <w:t xml:space="preserve"> </w:t>
      </w:r>
      <w:r>
        <w:rPr>
          <w:sz w:val="18"/>
        </w:rPr>
        <w:t>between</w:t>
      </w:r>
      <w:r>
        <w:rPr>
          <w:spacing w:val="-4"/>
          <w:sz w:val="18"/>
        </w:rPr>
        <w:t xml:space="preserve"> </w:t>
      </w:r>
      <w:r>
        <w:rPr>
          <w:sz w:val="18"/>
        </w:rPr>
        <w:t>"necessary</w:t>
      </w:r>
      <w:r>
        <w:rPr>
          <w:spacing w:val="-4"/>
          <w:sz w:val="18"/>
        </w:rPr>
        <w:t xml:space="preserve"> </w:t>
      </w:r>
      <w:r>
        <w:rPr>
          <w:sz w:val="18"/>
        </w:rPr>
        <w:t>information"</w:t>
      </w:r>
      <w:r>
        <w:rPr>
          <w:spacing w:val="-3"/>
          <w:sz w:val="18"/>
        </w:rPr>
        <w:t xml:space="preserve"> </w:t>
      </w:r>
      <w:r>
        <w:rPr>
          <w:sz w:val="18"/>
        </w:rPr>
        <w:t>and</w:t>
      </w:r>
      <w:r>
        <w:rPr>
          <w:spacing w:val="-3"/>
          <w:sz w:val="18"/>
        </w:rPr>
        <w:t xml:space="preserve"> </w:t>
      </w:r>
      <w:r>
        <w:rPr>
          <w:sz w:val="18"/>
        </w:rPr>
        <w:t>information</w:t>
      </w:r>
      <w:r>
        <w:rPr>
          <w:spacing w:val="-2"/>
          <w:sz w:val="18"/>
        </w:rPr>
        <w:t xml:space="preserve"> </w:t>
      </w:r>
      <w:r>
        <w:rPr>
          <w:sz w:val="18"/>
        </w:rPr>
        <w:t>that</w:t>
      </w:r>
      <w:r>
        <w:rPr>
          <w:spacing w:val="-4"/>
          <w:sz w:val="18"/>
        </w:rPr>
        <w:t xml:space="preserve"> </w:t>
      </w:r>
      <w:r>
        <w:rPr>
          <w:sz w:val="18"/>
        </w:rPr>
        <w:t>is</w:t>
      </w:r>
      <w:r>
        <w:rPr>
          <w:spacing w:val="-3"/>
          <w:sz w:val="18"/>
        </w:rPr>
        <w:t xml:space="preserve"> </w:t>
      </w:r>
      <w:r>
        <w:rPr>
          <w:sz w:val="18"/>
        </w:rPr>
        <w:t>"required"</w:t>
      </w:r>
      <w:r>
        <w:rPr>
          <w:spacing w:val="-4"/>
          <w:sz w:val="18"/>
        </w:rPr>
        <w:t xml:space="preserve"> </w:t>
      </w:r>
      <w:r>
        <w:rPr>
          <w:sz w:val="18"/>
        </w:rPr>
        <w:t xml:space="preserve">or "requested". (Panel Report, </w:t>
      </w:r>
      <w:r>
        <w:rPr>
          <w:i/>
          <w:sz w:val="18"/>
        </w:rPr>
        <w:t xml:space="preserve">Egypt – Steel Rebar, </w:t>
      </w:r>
      <w:r>
        <w:rPr>
          <w:sz w:val="18"/>
        </w:rPr>
        <w:t>para. 7.151).</w:t>
      </w:r>
    </w:p>
    <w:p w14:paraId="51DE7CE0" w14:textId="77777777" w:rsidR="0010369C" w:rsidRDefault="008E43AE">
      <w:pPr>
        <w:spacing w:before="1"/>
        <w:ind w:left="238"/>
        <w:rPr>
          <w:sz w:val="18"/>
        </w:rPr>
      </w:pPr>
      <w:r>
        <w:rPr>
          <w:sz w:val="18"/>
          <w:vertAlign w:val="superscript"/>
        </w:rPr>
        <w:t>35</w:t>
      </w:r>
      <w:r>
        <w:rPr>
          <w:spacing w:val="-6"/>
          <w:sz w:val="18"/>
        </w:rPr>
        <w:t xml:space="preserve"> </w:t>
      </w:r>
      <w:r>
        <w:rPr>
          <w:sz w:val="18"/>
        </w:rPr>
        <w:t>Panel</w:t>
      </w:r>
      <w:r>
        <w:rPr>
          <w:spacing w:val="-6"/>
          <w:sz w:val="18"/>
        </w:rPr>
        <w:t xml:space="preserve"> </w:t>
      </w:r>
      <w:r>
        <w:rPr>
          <w:sz w:val="18"/>
        </w:rPr>
        <w:t>Report,</w:t>
      </w:r>
      <w:r>
        <w:rPr>
          <w:spacing w:val="-5"/>
          <w:sz w:val="18"/>
        </w:rPr>
        <w:t xml:space="preserve"> </w:t>
      </w:r>
      <w:r>
        <w:rPr>
          <w:i/>
          <w:sz w:val="18"/>
        </w:rPr>
        <w:t>Korea</w:t>
      </w:r>
      <w:r>
        <w:rPr>
          <w:i/>
          <w:spacing w:val="-6"/>
          <w:sz w:val="18"/>
        </w:rPr>
        <w:t xml:space="preserve"> </w:t>
      </w:r>
      <w:r>
        <w:rPr>
          <w:i/>
          <w:sz w:val="18"/>
        </w:rPr>
        <w:t>–</w:t>
      </w:r>
      <w:r>
        <w:rPr>
          <w:i/>
          <w:spacing w:val="-5"/>
          <w:sz w:val="18"/>
        </w:rPr>
        <w:t xml:space="preserve"> </w:t>
      </w:r>
      <w:r>
        <w:rPr>
          <w:i/>
          <w:sz w:val="18"/>
        </w:rPr>
        <w:t>Certain</w:t>
      </w:r>
      <w:r>
        <w:rPr>
          <w:i/>
          <w:spacing w:val="-6"/>
          <w:sz w:val="18"/>
        </w:rPr>
        <w:t xml:space="preserve"> </w:t>
      </w:r>
      <w:r>
        <w:rPr>
          <w:i/>
          <w:sz w:val="18"/>
        </w:rPr>
        <w:t>Paper</w:t>
      </w:r>
      <w:r>
        <w:rPr>
          <w:sz w:val="18"/>
        </w:rPr>
        <w:t>,</w:t>
      </w:r>
      <w:r>
        <w:rPr>
          <w:spacing w:val="-6"/>
          <w:sz w:val="18"/>
        </w:rPr>
        <w:t xml:space="preserve"> </w:t>
      </w:r>
      <w:r>
        <w:rPr>
          <w:sz w:val="18"/>
        </w:rPr>
        <w:t>para.</w:t>
      </w:r>
      <w:r>
        <w:rPr>
          <w:spacing w:val="-5"/>
          <w:sz w:val="18"/>
        </w:rPr>
        <w:t xml:space="preserve"> </w:t>
      </w:r>
      <w:r>
        <w:rPr>
          <w:spacing w:val="-2"/>
          <w:sz w:val="18"/>
        </w:rPr>
        <w:t>7.43.</w:t>
      </w:r>
    </w:p>
    <w:p w14:paraId="51DE7CE1" w14:textId="77777777" w:rsidR="0010369C" w:rsidRDefault="008E43AE">
      <w:pPr>
        <w:ind w:left="237"/>
        <w:rPr>
          <w:sz w:val="18"/>
        </w:rPr>
      </w:pPr>
      <w:r>
        <w:rPr>
          <w:sz w:val="18"/>
          <w:vertAlign w:val="superscript"/>
        </w:rPr>
        <w:t>36</w:t>
      </w:r>
      <w:r>
        <w:rPr>
          <w:sz w:val="18"/>
        </w:rPr>
        <w:t xml:space="preserve"> Appellate Body Repor</w:t>
      </w:r>
      <w:r>
        <w:rPr>
          <w:sz w:val="18"/>
        </w:rPr>
        <w:t xml:space="preserve">t, </w:t>
      </w:r>
      <w:r>
        <w:rPr>
          <w:i/>
          <w:sz w:val="18"/>
        </w:rPr>
        <w:t>US – Supercalendered Paper</w:t>
      </w:r>
      <w:r>
        <w:rPr>
          <w:sz w:val="18"/>
        </w:rPr>
        <w:t>, para. 5.81. The Appellate Body made this observation in light of the comparable provision of the SCM Agreement, Article 12.7.</w:t>
      </w:r>
    </w:p>
    <w:p w14:paraId="51DE7CE2" w14:textId="77777777" w:rsidR="0010369C" w:rsidRDefault="008E43AE">
      <w:pPr>
        <w:spacing w:line="219" w:lineRule="exact"/>
        <w:ind w:left="238"/>
        <w:rPr>
          <w:sz w:val="18"/>
        </w:rPr>
      </w:pPr>
      <w:r>
        <w:rPr>
          <w:sz w:val="18"/>
          <w:vertAlign w:val="superscript"/>
        </w:rPr>
        <w:t>37</w:t>
      </w:r>
      <w:r>
        <w:rPr>
          <w:spacing w:val="-8"/>
          <w:sz w:val="18"/>
        </w:rPr>
        <w:t xml:space="preserve"> </w:t>
      </w:r>
      <w:r>
        <w:rPr>
          <w:sz w:val="18"/>
        </w:rPr>
        <w:t>Appellate</w:t>
      </w:r>
      <w:r>
        <w:rPr>
          <w:spacing w:val="-8"/>
          <w:sz w:val="18"/>
        </w:rPr>
        <w:t xml:space="preserve"> </w:t>
      </w:r>
      <w:r>
        <w:rPr>
          <w:sz w:val="18"/>
        </w:rPr>
        <w:t>Body</w:t>
      </w:r>
      <w:r>
        <w:rPr>
          <w:spacing w:val="-9"/>
          <w:sz w:val="18"/>
        </w:rPr>
        <w:t xml:space="preserve"> </w:t>
      </w:r>
      <w:r>
        <w:rPr>
          <w:sz w:val="18"/>
        </w:rPr>
        <w:t>Report,</w:t>
      </w:r>
      <w:r>
        <w:rPr>
          <w:spacing w:val="-7"/>
          <w:sz w:val="18"/>
        </w:rPr>
        <w:t xml:space="preserve"> </w:t>
      </w:r>
      <w:r>
        <w:rPr>
          <w:i/>
          <w:sz w:val="18"/>
        </w:rPr>
        <w:t>US</w:t>
      </w:r>
      <w:r>
        <w:rPr>
          <w:i/>
          <w:spacing w:val="-8"/>
          <w:sz w:val="18"/>
        </w:rPr>
        <w:t xml:space="preserve"> </w:t>
      </w:r>
      <w:r>
        <w:rPr>
          <w:i/>
          <w:sz w:val="18"/>
        </w:rPr>
        <w:t>–</w:t>
      </w:r>
      <w:r>
        <w:rPr>
          <w:i/>
          <w:spacing w:val="-7"/>
          <w:sz w:val="18"/>
        </w:rPr>
        <w:t xml:space="preserve"> </w:t>
      </w:r>
      <w:r>
        <w:rPr>
          <w:i/>
          <w:sz w:val="18"/>
        </w:rPr>
        <w:t>Supercalendered</w:t>
      </w:r>
      <w:r>
        <w:rPr>
          <w:i/>
          <w:spacing w:val="-8"/>
          <w:sz w:val="18"/>
        </w:rPr>
        <w:t xml:space="preserve"> </w:t>
      </w:r>
      <w:r>
        <w:rPr>
          <w:i/>
          <w:sz w:val="18"/>
        </w:rPr>
        <w:t>Paper</w:t>
      </w:r>
      <w:r>
        <w:rPr>
          <w:sz w:val="18"/>
        </w:rPr>
        <w:t>,</w:t>
      </w:r>
      <w:r>
        <w:rPr>
          <w:spacing w:val="-8"/>
          <w:sz w:val="18"/>
        </w:rPr>
        <w:t xml:space="preserve"> </w:t>
      </w:r>
      <w:r>
        <w:rPr>
          <w:sz w:val="18"/>
        </w:rPr>
        <w:t>para.</w:t>
      </w:r>
      <w:r>
        <w:rPr>
          <w:spacing w:val="-8"/>
          <w:sz w:val="18"/>
        </w:rPr>
        <w:t xml:space="preserve"> </w:t>
      </w:r>
      <w:r>
        <w:rPr>
          <w:sz w:val="18"/>
        </w:rPr>
        <w:t>5.81.</w:t>
      </w:r>
      <w:r>
        <w:rPr>
          <w:spacing w:val="-7"/>
          <w:sz w:val="18"/>
        </w:rPr>
        <w:t xml:space="preserve"> </w:t>
      </w:r>
      <w:r>
        <w:rPr>
          <w:sz w:val="18"/>
        </w:rPr>
        <w:t>(Footnotes</w:t>
      </w:r>
      <w:r>
        <w:rPr>
          <w:spacing w:val="-8"/>
          <w:sz w:val="18"/>
        </w:rPr>
        <w:t xml:space="preserve"> </w:t>
      </w:r>
      <w:r>
        <w:rPr>
          <w:spacing w:val="-2"/>
          <w:sz w:val="18"/>
        </w:rPr>
        <w:t>omitted.)</w:t>
      </w:r>
    </w:p>
    <w:p w14:paraId="51DE7CE3" w14:textId="77777777" w:rsidR="0010369C" w:rsidRDefault="0010369C">
      <w:pPr>
        <w:spacing w:line="219" w:lineRule="exact"/>
        <w:rPr>
          <w:sz w:val="18"/>
        </w:rPr>
        <w:sectPr w:rsidR="0010369C">
          <w:pgSz w:w="11910" w:h="16840"/>
          <w:pgMar w:top="880" w:right="800" w:bottom="980" w:left="1180" w:header="569" w:footer="788" w:gutter="0"/>
          <w:cols w:space="720"/>
        </w:sectPr>
      </w:pPr>
    </w:p>
    <w:p w14:paraId="51DE7CE4" w14:textId="77777777" w:rsidR="0010369C" w:rsidRDefault="008E43AE">
      <w:pPr>
        <w:tabs>
          <w:tab w:val="left" w:pos="6425"/>
        </w:tabs>
        <w:ind w:left="238"/>
        <w:jc w:val="both"/>
        <w:rPr>
          <w:sz w:val="20"/>
        </w:rPr>
      </w:pPr>
      <w:r>
        <w:rPr>
          <w:i/>
          <w:sz w:val="20"/>
        </w:rPr>
        <w:lastRenderedPageBreak/>
        <w:t>China</w:t>
      </w:r>
      <w:r>
        <w:rPr>
          <w:i/>
          <w:spacing w:val="-5"/>
          <w:sz w:val="20"/>
        </w:rPr>
        <w:t xml:space="preserve"> </w:t>
      </w:r>
      <w:r>
        <w:rPr>
          <w:i/>
          <w:sz w:val="20"/>
        </w:rPr>
        <w:t>–</w:t>
      </w:r>
      <w:r>
        <w:rPr>
          <w:i/>
          <w:spacing w:val="-5"/>
          <w:sz w:val="20"/>
        </w:rPr>
        <w:t xml:space="preserve"> </w:t>
      </w:r>
      <w:r>
        <w:rPr>
          <w:i/>
          <w:sz w:val="20"/>
        </w:rPr>
        <w:t>Anti‐Dumping</w:t>
      </w:r>
      <w:r>
        <w:rPr>
          <w:i/>
          <w:spacing w:val="-4"/>
          <w:sz w:val="20"/>
        </w:rPr>
        <w:t xml:space="preserve"> </w:t>
      </w:r>
      <w:r>
        <w:rPr>
          <w:i/>
          <w:sz w:val="20"/>
        </w:rPr>
        <w:t>and</w:t>
      </w:r>
      <w:r>
        <w:rPr>
          <w:i/>
          <w:spacing w:val="-5"/>
          <w:sz w:val="20"/>
        </w:rPr>
        <w:t xml:space="preserve"> </w:t>
      </w:r>
      <w:r>
        <w:rPr>
          <w:i/>
          <w:sz w:val="20"/>
        </w:rPr>
        <w:t>Countervailing</w:t>
      </w:r>
      <w:r>
        <w:rPr>
          <w:i/>
          <w:spacing w:val="-5"/>
          <w:sz w:val="20"/>
        </w:rPr>
        <w:t xml:space="preserve"> </w:t>
      </w:r>
      <w:r>
        <w:rPr>
          <w:i/>
          <w:sz w:val="20"/>
        </w:rPr>
        <w:t>Duty</w:t>
      </w:r>
      <w:r>
        <w:rPr>
          <w:i/>
          <w:spacing w:val="-4"/>
          <w:sz w:val="20"/>
        </w:rPr>
        <w:t xml:space="preserve"> </w:t>
      </w:r>
      <w:r>
        <w:rPr>
          <w:i/>
          <w:spacing w:val="-2"/>
          <w:sz w:val="20"/>
        </w:rPr>
        <w:t>Measures</w:t>
      </w:r>
      <w:r>
        <w:rPr>
          <w:i/>
          <w:sz w:val="20"/>
        </w:rPr>
        <w:tab/>
      </w:r>
      <w:r>
        <w:rPr>
          <w:sz w:val="20"/>
        </w:rPr>
        <w:t>Australia's</w:t>
      </w:r>
      <w:r>
        <w:rPr>
          <w:spacing w:val="-7"/>
          <w:sz w:val="20"/>
        </w:rPr>
        <w:t xml:space="preserve"> </w:t>
      </w:r>
      <w:r>
        <w:rPr>
          <w:sz w:val="20"/>
        </w:rPr>
        <w:t>First</w:t>
      </w:r>
      <w:r>
        <w:rPr>
          <w:spacing w:val="-2"/>
          <w:sz w:val="20"/>
        </w:rPr>
        <w:t xml:space="preserve"> </w:t>
      </w:r>
      <w:r>
        <w:rPr>
          <w:sz w:val="20"/>
        </w:rPr>
        <w:t>Written</w:t>
      </w:r>
      <w:r>
        <w:rPr>
          <w:spacing w:val="-2"/>
          <w:sz w:val="20"/>
        </w:rPr>
        <w:t xml:space="preserve"> Submission</w:t>
      </w:r>
    </w:p>
    <w:p w14:paraId="51DE7CE5" w14:textId="77777777" w:rsidR="0010369C" w:rsidRDefault="008E43AE">
      <w:pPr>
        <w:tabs>
          <w:tab w:val="left" w:pos="8227"/>
        </w:tabs>
        <w:spacing w:before="1"/>
        <w:ind w:left="239"/>
        <w:jc w:val="both"/>
        <w:rPr>
          <w:sz w:val="20"/>
        </w:rPr>
      </w:pPr>
      <w:r>
        <w:rPr>
          <w:i/>
          <w:sz w:val="20"/>
        </w:rPr>
        <w:t>on</w:t>
      </w:r>
      <w:r>
        <w:rPr>
          <w:i/>
          <w:spacing w:val="-1"/>
          <w:sz w:val="20"/>
        </w:rPr>
        <w:t xml:space="preserve"> </w:t>
      </w:r>
      <w:r>
        <w:rPr>
          <w:i/>
          <w:sz w:val="20"/>
        </w:rPr>
        <w:t>Wine</w:t>
      </w:r>
      <w:r>
        <w:rPr>
          <w:i/>
          <w:spacing w:val="-1"/>
          <w:sz w:val="20"/>
        </w:rPr>
        <w:t xml:space="preserve"> </w:t>
      </w:r>
      <w:r>
        <w:rPr>
          <w:i/>
          <w:sz w:val="20"/>
        </w:rPr>
        <w:t>from</w:t>
      </w:r>
      <w:r>
        <w:rPr>
          <w:i/>
          <w:spacing w:val="-3"/>
          <w:sz w:val="20"/>
        </w:rPr>
        <w:t xml:space="preserve"> </w:t>
      </w:r>
      <w:r>
        <w:rPr>
          <w:i/>
          <w:sz w:val="20"/>
        </w:rPr>
        <w:t>Australia</w:t>
      </w:r>
      <w:r>
        <w:rPr>
          <w:i/>
          <w:spacing w:val="-1"/>
          <w:sz w:val="20"/>
        </w:rPr>
        <w:t xml:space="preserve"> </w:t>
      </w:r>
      <w:r>
        <w:rPr>
          <w:spacing w:val="-2"/>
          <w:sz w:val="20"/>
        </w:rPr>
        <w:t>(DS602)</w:t>
      </w:r>
      <w:r>
        <w:rPr>
          <w:sz w:val="20"/>
        </w:rPr>
        <w:tab/>
        <w:t>29</w:t>
      </w:r>
      <w:r>
        <w:rPr>
          <w:spacing w:val="-1"/>
          <w:sz w:val="20"/>
        </w:rPr>
        <w:t xml:space="preserve"> </w:t>
      </w:r>
      <w:r>
        <w:rPr>
          <w:sz w:val="20"/>
        </w:rPr>
        <w:t>April</w:t>
      </w:r>
      <w:r>
        <w:rPr>
          <w:spacing w:val="-2"/>
          <w:sz w:val="20"/>
        </w:rPr>
        <w:t xml:space="preserve"> </w:t>
      </w:r>
      <w:r>
        <w:rPr>
          <w:spacing w:val="-4"/>
          <w:sz w:val="20"/>
        </w:rPr>
        <w:t>2022</w:t>
      </w:r>
    </w:p>
    <w:p w14:paraId="51DE7CE6" w14:textId="77777777" w:rsidR="0010369C" w:rsidRDefault="008E43AE">
      <w:pPr>
        <w:spacing w:before="34"/>
        <w:ind w:left="1089" w:right="614"/>
        <w:jc w:val="both"/>
      </w:pPr>
      <w:r>
        <w:t>within</w:t>
      </w:r>
      <w:r>
        <w:rPr>
          <w:spacing w:val="-5"/>
        </w:rPr>
        <w:t xml:space="preserve"> </w:t>
      </w:r>
      <w:r>
        <w:t>a</w:t>
      </w:r>
      <w:r>
        <w:rPr>
          <w:spacing w:val="-4"/>
        </w:rPr>
        <w:t xml:space="preserve"> </w:t>
      </w:r>
      <w:r>
        <w:t>reasonable</w:t>
      </w:r>
      <w:r>
        <w:rPr>
          <w:spacing w:val="-5"/>
        </w:rPr>
        <w:t xml:space="preserve"> </w:t>
      </w:r>
      <w:r>
        <w:t>time,</w:t>
      </w:r>
      <w:r>
        <w:rPr>
          <w:spacing w:val="-2"/>
        </w:rPr>
        <w:t xml:space="preserve"> </w:t>
      </w:r>
      <w:r>
        <w:t>the</w:t>
      </w:r>
      <w:r>
        <w:rPr>
          <w:spacing w:val="-4"/>
        </w:rPr>
        <w:t xml:space="preserve"> </w:t>
      </w:r>
      <w:r>
        <w:t>authorities</w:t>
      </w:r>
      <w:r>
        <w:rPr>
          <w:spacing w:val="-5"/>
        </w:rPr>
        <w:t xml:space="preserve"> </w:t>
      </w:r>
      <w:r>
        <w:t>will</w:t>
      </w:r>
      <w:r>
        <w:rPr>
          <w:spacing w:val="-4"/>
        </w:rPr>
        <w:t xml:space="preserve"> </w:t>
      </w:r>
      <w:r>
        <w:t>be</w:t>
      </w:r>
      <w:r>
        <w:rPr>
          <w:spacing w:val="-4"/>
        </w:rPr>
        <w:t xml:space="preserve"> </w:t>
      </w:r>
      <w:r>
        <w:t>free</w:t>
      </w:r>
      <w:r>
        <w:rPr>
          <w:spacing w:val="-6"/>
        </w:rPr>
        <w:t xml:space="preserve"> </w:t>
      </w:r>
      <w:r>
        <w:t>to</w:t>
      </w:r>
      <w:r>
        <w:rPr>
          <w:spacing w:val="-4"/>
        </w:rPr>
        <w:t xml:space="preserve"> </w:t>
      </w:r>
      <w:r>
        <w:t>make</w:t>
      </w:r>
      <w:r>
        <w:rPr>
          <w:spacing w:val="-4"/>
        </w:rPr>
        <w:t xml:space="preserve"> </w:t>
      </w:r>
      <w:r>
        <w:t>determinations</w:t>
      </w:r>
      <w:r>
        <w:rPr>
          <w:spacing w:val="-3"/>
        </w:rPr>
        <w:t xml:space="preserve"> </w:t>
      </w:r>
      <w:r>
        <w:t>on</w:t>
      </w:r>
      <w:r>
        <w:rPr>
          <w:spacing w:val="-6"/>
        </w:rPr>
        <w:t xml:space="preserve"> </w:t>
      </w:r>
      <w:r>
        <w:t>the</w:t>
      </w:r>
      <w:r>
        <w:rPr>
          <w:spacing w:val="-4"/>
        </w:rPr>
        <w:t xml:space="preserve"> </w:t>
      </w:r>
      <w:r>
        <w:t>basis</w:t>
      </w:r>
      <w:r>
        <w:rPr>
          <w:spacing w:val="-3"/>
        </w:rPr>
        <w:t xml:space="preserve"> </w:t>
      </w:r>
      <w:r>
        <w:t>of the facts available, including those contained in the application for the initiation of the investigation by the domestic industry.</w:t>
      </w:r>
    </w:p>
    <w:p w14:paraId="51DE7CE7" w14:textId="77777777" w:rsidR="0010369C" w:rsidRDefault="008E43AE">
      <w:pPr>
        <w:pStyle w:val="BodyText"/>
        <w:spacing w:before="159" w:line="360" w:lineRule="auto"/>
        <w:ind w:left="236" w:right="613" w:firstLine="852"/>
        <w:jc w:val="both"/>
      </w:pPr>
      <w:r>
        <w:rPr>
          <w:noProof/>
        </w:rPr>
        <w:drawing>
          <wp:anchor distT="0" distB="0" distL="0" distR="0" simplePos="0" relativeHeight="250753536" behindDoc="1" locked="0" layoutInCell="1" allowOverlap="1" wp14:anchorId="51DE9D83" wp14:editId="51DE9D84">
            <wp:simplePos x="0" y="0"/>
            <wp:positionH relativeFrom="page">
              <wp:posOffset>902208</wp:posOffset>
            </wp:positionH>
            <wp:positionV relativeFrom="paragraph">
              <wp:posOffset>151418</wp:posOffset>
            </wp:positionV>
            <wp:extent cx="182879" cy="100753"/>
            <wp:effectExtent l="0" t="0" r="0" b="0"/>
            <wp:wrapNone/>
            <wp:docPr id="107" name="imag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62.png"/>
                    <pic:cNvPicPr/>
                  </pic:nvPicPr>
                  <pic:blipFill>
                    <a:blip r:embed="rId110" cstate="print"/>
                    <a:stretch>
                      <a:fillRect/>
                    </a:stretch>
                  </pic:blipFill>
                  <pic:spPr>
                    <a:xfrm>
                      <a:off x="0" y="0"/>
                      <a:ext cx="182879" cy="100753"/>
                    </a:xfrm>
                    <a:prstGeom prst="rect">
                      <a:avLst/>
                    </a:prstGeom>
                  </pic:spPr>
                </pic:pic>
              </a:graphicData>
            </a:graphic>
          </wp:anchor>
        </w:drawing>
      </w:r>
      <w:r>
        <w:t>Paragraph 1 sets out two obligations on investigating authorities before determinations may be made on the basis of fact</w:t>
      </w:r>
      <w:r>
        <w:t>s available. First, an investigating authority must</w:t>
      </w:r>
      <w:r>
        <w:rPr>
          <w:spacing w:val="-6"/>
        </w:rPr>
        <w:t xml:space="preserve"> </w:t>
      </w:r>
      <w:r>
        <w:t>inform</w:t>
      </w:r>
      <w:r>
        <w:rPr>
          <w:spacing w:val="-6"/>
        </w:rPr>
        <w:t xml:space="preserve"> </w:t>
      </w:r>
      <w:r>
        <w:t>any</w:t>
      </w:r>
      <w:r>
        <w:rPr>
          <w:spacing w:val="-6"/>
        </w:rPr>
        <w:t xml:space="preserve"> </w:t>
      </w:r>
      <w:r>
        <w:t>interested</w:t>
      </w:r>
      <w:r>
        <w:rPr>
          <w:spacing w:val="-5"/>
        </w:rPr>
        <w:t xml:space="preserve"> </w:t>
      </w:r>
      <w:r>
        <w:t>party</w:t>
      </w:r>
      <w:r>
        <w:rPr>
          <w:spacing w:val="-5"/>
        </w:rPr>
        <w:t xml:space="preserve"> </w:t>
      </w:r>
      <w:r>
        <w:t>of</w:t>
      </w:r>
      <w:r>
        <w:rPr>
          <w:spacing w:val="-6"/>
        </w:rPr>
        <w:t xml:space="preserve"> </w:t>
      </w:r>
      <w:r>
        <w:t>the</w:t>
      </w:r>
      <w:r>
        <w:rPr>
          <w:spacing w:val="-6"/>
        </w:rPr>
        <w:t xml:space="preserve"> </w:t>
      </w:r>
      <w:r>
        <w:t>information</w:t>
      </w:r>
      <w:r>
        <w:rPr>
          <w:spacing w:val="-5"/>
        </w:rPr>
        <w:t xml:space="preserve"> </w:t>
      </w:r>
      <w:r>
        <w:t>that</w:t>
      </w:r>
      <w:r>
        <w:rPr>
          <w:spacing w:val="-6"/>
        </w:rPr>
        <w:t xml:space="preserve"> </w:t>
      </w:r>
      <w:r>
        <w:t>must</w:t>
      </w:r>
      <w:r>
        <w:rPr>
          <w:spacing w:val="-7"/>
        </w:rPr>
        <w:t xml:space="preserve"> </w:t>
      </w:r>
      <w:r>
        <w:t>be</w:t>
      </w:r>
      <w:r>
        <w:rPr>
          <w:spacing w:val="-6"/>
        </w:rPr>
        <w:t xml:space="preserve"> </w:t>
      </w:r>
      <w:r>
        <w:t>supplied</w:t>
      </w:r>
      <w:r>
        <w:rPr>
          <w:spacing w:val="-6"/>
        </w:rPr>
        <w:t xml:space="preserve"> </w:t>
      </w:r>
      <w:r>
        <w:t>and</w:t>
      </w:r>
      <w:r>
        <w:rPr>
          <w:spacing w:val="-6"/>
        </w:rPr>
        <w:t xml:space="preserve"> </w:t>
      </w:r>
      <w:r>
        <w:t>the</w:t>
      </w:r>
      <w:r>
        <w:rPr>
          <w:spacing w:val="-6"/>
        </w:rPr>
        <w:t xml:space="preserve"> </w:t>
      </w:r>
      <w:r>
        <w:t>manner</w:t>
      </w:r>
      <w:r>
        <w:rPr>
          <w:spacing w:val="-6"/>
        </w:rPr>
        <w:t xml:space="preserve"> </w:t>
      </w:r>
      <w:r>
        <w:t>in which</w:t>
      </w:r>
      <w:r>
        <w:rPr>
          <w:spacing w:val="-9"/>
        </w:rPr>
        <w:t xml:space="preserve"> </w:t>
      </w:r>
      <w:r>
        <w:t>it</w:t>
      </w:r>
      <w:r>
        <w:rPr>
          <w:spacing w:val="-9"/>
        </w:rPr>
        <w:t xml:space="preserve"> </w:t>
      </w:r>
      <w:r>
        <w:t>should</w:t>
      </w:r>
      <w:r>
        <w:rPr>
          <w:spacing w:val="-9"/>
        </w:rPr>
        <w:t xml:space="preserve"> </w:t>
      </w:r>
      <w:r>
        <w:t>be</w:t>
      </w:r>
      <w:r>
        <w:rPr>
          <w:spacing w:val="-8"/>
        </w:rPr>
        <w:t xml:space="preserve"> </w:t>
      </w:r>
      <w:r>
        <w:t>structured.</w:t>
      </w:r>
      <w:r>
        <w:rPr>
          <w:spacing w:val="-8"/>
        </w:rPr>
        <w:t xml:space="preserve"> </w:t>
      </w:r>
      <w:r>
        <w:t>Second,</w:t>
      </w:r>
      <w:r>
        <w:rPr>
          <w:spacing w:val="-8"/>
        </w:rPr>
        <w:t xml:space="preserve"> </w:t>
      </w:r>
      <w:r>
        <w:t>an</w:t>
      </w:r>
      <w:r>
        <w:rPr>
          <w:spacing w:val="-9"/>
        </w:rPr>
        <w:t xml:space="preserve"> </w:t>
      </w:r>
      <w:r>
        <w:t>investigating</w:t>
      </w:r>
      <w:r>
        <w:rPr>
          <w:spacing w:val="-7"/>
        </w:rPr>
        <w:t xml:space="preserve"> </w:t>
      </w:r>
      <w:r>
        <w:t>authority</w:t>
      </w:r>
      <w:r>
        <w:rPr>
          <w:spacing w:val="-8"/>
        </w:rPr>
        <w:t xml:space="preserve"> </w:t>
      </w:r>
      <w:r>
        <w:t>must</w:t>
      </w:r>
      <w:r>
        <w:rPr>
          <w:spacing w:val="-8"/>
        </w:rPr>
        <w:t xml:space="preserve"> </w:t>
      </w:r>
      <w:r>
        <w:t>ensure</w:t>
      </w:r>
      <w:r>
        <w:rPr>
          <w:spacing w:val="-9"/>
        </w:rPr>
        <w:t xml:space="preserve"> </w:t>
      </w:r>
      <w:r>
        <w:t>a</w:t>
      </w:r>
      <w:r>
        <w:rPr>
          <w:spacing w:val="-9"/>
        </w:rPr>
        <w:t xml:space="preserve"> </w:t>
      </w:r>
      <w:r>
        <w:t>party</w:t>
      </w:r>
      <w:r>
        <w:rPr>
          <w:spacing w:val="-9"/>
        </w:rPr>
        <w:t xml:space="preserve"> </w:t>
      </w:r>
      <w:r>
        <w:t>is</w:t>
      </w:r>
      <w:r>
        <w:rPr>
          <w:spacing w:val="-9"/>
        </w:rPr>
        <w:t xml:space="preserve"> </w:t>
      </w:r>
      <w:r>
        <w:t>aware of</w:t>
      </w:r>
      <w:r>
        <w:rPr>
          <w:spacing w:val="-11"/>
        </w:rPr>
        <w:t xml:space="preserve"> </w:t>
      </w:r>
      <w:r>
        <w:t>the</w:t>
      </w:r>
      <w:r>
        <w:rPr>
          <w:spacing w:val="-11"/>
        </w:rPr>
        <w:t xml:space="preserve"> </w:t>
      </w:r>
      <w:r>
        <w:t>consequences</w:t>
      </w:r>
      <w:r>
        <w:rPr>
          <w:spacing w:val="-13"/>
        </w:rPr>
        <w:t xml:space="preserve"> </w:t>
      </w:r>
      <w:r>
        <w:t>of</w:t>
      </w:r>
      <w:r>
        <w:rPr>
          <w:spacing w:val="-12"/>
        </w:rPr>
        <w:t xml:space="preserve"> </w:t>
      </w:r>
      <w:r>
        <w:t>not</w:t>
      </w:r>
      <w:r>
        <w:rPr>
          <w:spacing w:val="-11"/>
        </w:rPr>
        <w:t xml:space="preserve"> </w:t>
      </w:r>
      <w:r>
        <w:t>submitting</w:t>
      </w:r>
      <w:r>
        <w:rPr>
          <w:spacing w:val="-11"/>
        </w:rPr>
        <w:t xml:space="preserve"> </w:t>
      </w:r>
      <w:r>
        <w:t>the</w:t>
      </w:r>
      <w:r>
        <w:rPr>
          <w:spacing w:val="-10"/>
        </w:rPr>
        <w:t xml:space="preserve"> </w:t>
      </w:r>
      <w:r>
        <w:t>requested</w:t>
      </w:r>
      <w:r>
        <w:rPr>
          <w:spacing w:val="-11"/>
        </w:rPr>
        <w:t xml:space="preserve"> </w:t>
      </w:r>
      <w:r>
        <w:t>information,</w:t>
      </w:r>
      <w:r>
        <w:rPr>
          <w:spacing w:val="-10"/>
        </w:rPr>
        <w:t xml:space="preserve"> </w:t>
      </w:r>
      <w:r>
        <w:t>in</w:t>
      </w:r>
      <w:r>
        <w:rPr>
          <w:spacing w:val="-11"/>
        </w:rPr>
        <w:t xml:space="preserve"> </w:t>
      </w:r>
      <w:r>
        <w:t>particular,</w:t>
      </w:r>
      <w:r>
        <w:rPr>
          <w:spacing w:val="-10"/>
        </w:rPr>
        <w:t xml:space="preserve"> </w:t>
      </w:r>
      <w:r>
        <w:t>the</w:t>
      </w:r>
      <w:r>
        <w:rPr>
          <w:spacing w:val="-10"/>
        </w:rPr>
        <w:t xml:space="preserve"> </w:t>
      </w:r>
      <w:r>
        <w:t>possibility that</w:t>
      </w:r>
      <w:r>
        <w:rPr>
          <w:spacing w:val="-7"/>
        </w:rPr>
        <w:t xml:space="preserve"> </w:t>
      </w:r>
      <w:r>
        <w:t>"facts</w:t>
      </w:r>
      <w:r>
        <w:rPr>
          <w:spacing w:val="-8"/>
        </w:rPr>
        <w:t xml:space="preserve"> </w:t>
      </w:r>
      <w:r>
        <w:t>available",</w:t>
      </w:r>
      <w:r>
        <w:rPr>
          <w:spacing w:val="-7"/>
        </w:rPr>
        <w:t xml:space="preserve"> </w:t>
      </w:r>
      <w:r>
        <w:t>including</w:t>
      </w:r>
      <w:r>
        <w:rPr>
          <w:spacing w:val="-6"/>
        </w:rPr>
        <w:t xml:space="preserve"> </w:t>
      </w:r>
      <w:r>
        <w:t>those</w:t>
      </w:r>
      <w:r>
        <w:rPr>
          <w:spacing w:val="-7"/>
        </w:rPr>
        <w:t xml:space="preserve"> </w:t>
      </w:r>
      <w:r>
        <w:t>presented</w:t>
      </w:r>
      <w:r>
        <w:rPr>
          <w:spacing w:val="-9"/>
        </w:rPr>
        <w:t xml:space="preserve"> </w:t>
      </w:r>
      <w:r>
        <w:t>in</w:t>
      </w:r>
      <w:r>
        <w:rPr>
          <w:spacing w:val="-7"/>
        </w:rPr>
        <w:t xml:space="preserve"> </w:t>
      </w:r>
      <w:r>
        <w:t>a</w:t>
      </w:r>
      <w:r>
        <w:rPr>
          <w:spacing w:val="-7"/>
        </w:rPr>
        <w:t xml:space="preserve"> </w:t>
      </w:r>
      <w:r>
        <w:t>domestic</w:t>
      </w:r>
      <w:r>
        <w:rPr>
          <w:spacing w:val="-5"/>
        </w:rPr>
        <w:t xml:space="preserve"> </w:t>
      </w:r>
      <w:r>
        <w:t>industry's</w:t>
      </w:r>
      <w:r>
        <w:rPr>
          <w:spacing w:val="-8"/>
        </w:rPr>
        <w:t xml:space="preserve"> </w:t>
      </w:r>
      <w:r>
        <w:t>application,</w:t>
      </w:r>
      <w:r>
        <w:rPr>
          <w:spacing w:val="-8"/>
        </w:rPr>
        <w:t xml:space="preserve"> </w:t>
      </w:r>
      <w:r>
        <w:t>could</w:t>
      </w:r>
      <w:r>
        <w:rPr>
          <w:spacing w:val="-8"/>
        </w:rPr>
        <w:t xml:space="preserve"> </w:t>
      </w:r>
      <w:r>
        <w:t xml:space="preserve">be </w:t>
      </w:r>
      <w:hyperlink r:id="rId111">
        <w:r>
          <w:t>applied.</w:t>
        </w:r>
        <w:r>
          <w:rPr>
            <w:vertAlign w:val="superscript"/>
          </w:rPr>
          <w:t>38</w:t>
        </w:r>
        <w:r>
          <w:rPr>
            <w:spacing w:val="-9"/>
          </w:rPr>
          <w:t xml:space="preserve"> </w:t>
        </w:r>
      </w:hyperlink>
      <w:r>
        <w:t>There</w:t>
      </w:r>
      <w:r>
        <w:rPr>
          <w:spacing w:val="-8"/>
        </w:rPr>
        <w:t xml:space="preserve"> </w:t>
      </w:r>
      <w:r>
        <w:t>is</w:t>
      </w:r>
      <w:r>
        <w:rPr>
          <w:spacing w:val="-9"/>
        </w:rPr>
        <w:t xml:space="preserve"> </w:t>
      </w:r>
      <w:r>
        <w:t>a</w:t>
      </w:r>
      <w:r>
        <w:rPr>
          <w:spacing w:val="-9"/>
        </w:rPr>
        <w:t xml:space="preserve"> </w:t>
      </w:r>
      <w:r>
        <w:t>connection</w:t>
      </w:r>
      <w:r>
        <w:rPr>
          <w:spacing w:val="-9"/>
        </w:rPr>
        <w:t xml:space="preserve"> </w:t>
      </w:r>
      <w:r>
        <w:t>between</w:t>
      </w:r>
      <w:r>
        <w:rPr>
          <w:spacing w:val="-8"/>
        </w:rPr>
        <w:t xml:space="preserve"> </w:t>
      </w:r>
      <w:r>
        <w:t>the</w:t>
      </w:r>
      <w:r>
        <w:rPr>
          <w:spacing w:val="-8"/>
        </w:rPr>
        <w:t xml:space="preserve"> </w:t>
      </w:r>
      <w:r>
        <w:t>awareness</w:t>
      </w:r>
      <w:r>
        <w:rPr>
          <w:spacing w:val="-9"/>
        </w:rPr>
        <w:t xml:space="preserve"> </w:t>
      </w:r>
      <w:r>
        <w:t>of</w:t>
      </w:r>
      <w:r>
        <w:rPr>
          <w:spacing w:val="-9"/>
        </w:rPr>
        <w:t xml:space="preserve"> </w:t>
      </w:r>
      <w:r>
        <w:t>an</w:t>
      </w:r>
      <w:r>
        <w:rPr>
          <w:spacing w:val="-9"/>
        </w:rPr>
        <w:t xml:space="preserve"> </w:t>
      </w:r>
      <w:r>
        <w:t>interested</w:t>
      </w:r>
      <w:r>
        <w:rPr>
          <w:spacing w:val="-9"/>
        </w:rPr>
        <w:t xml:space="preserve"> </w:t>
      </w:r>
      <w:r>
        <w:t>party,</w:t>
      </w:r>
      <w:r>
        <w:rPr>
          <w:spacing w:val="-9"/>
        </w:rPr>
        <w:t xml:space="preserve"> </w:t>
      </w:r>
      <w:r>
        <w:t>and</w:t>
      </w:r>
      <w:r>
        <w:rPr>
          <w:spacing w:val="-9"/>
        </w:rPr>
        <w:t xml:space="preserve"> </w:t>
      </w:r>
      <w:r>
        <w:t>the</w:t>
      </w:r>
      <w:r>
        <w:rPr>
          <w:spacing w:val="-8"/>
        </w:rPr>
        <w:t xml:space="preserve"> </w:t>
      </w:r>
      <w:r>
        <w:t xml:space="preserve">ability of an investigating authority to resort to facts </w:t>
      </w:r>
      <w:hyperlink r:id="rId112">
        <w:r>
          <w:t>available.</w:t>
        </w:r>
        <w:r>
          <w:rPr>
            <w:vertAlign w:val="superscript"/>
          </w:rPr>
          <w:t>39</w:t>
        </w:r>
      </w:hyperlink>
    </w:p>
    <w:p w14:paraId="51DE7CE8" w14:textId="77777777" w:rsidR="0010369C" w:rsidRDefault="0010369C">
      <w:pPr>
        <w:pStyle w:val="BodyText"/>
        <w:spacing w:before="11"/>
        <w:rPr>
          <w:sz w:val="8"/>
        </w:rPr>
      </w:pPr>
    </w:p>
    <w:p w14:paraId="51DE7CE9" w14:textId="77777777" w:rsidR="0010369C" w:rsidRDefault="008E43AE">
      <w:pPr>
        <w:pStyle w:val="BodyText"/>
        <w:spacing w:before="52" w:line="360" w:lineRule="auto"/>
        <w:ind w:left="237" w:right="614" w:firstLine="851"/>
        <w:jc w:val="both"/>
      </w:pPr>
      <w:r>
        <w:rPr>
          <w:noProof/>
        </w:rPr>
        <w:drawing>
          <wp:anchor distT="0" distB="0" distL="0" distR="0" simplePos="0" relativeHeight="250754560" behindDoc="1" locked="0" layoutInCell="1" allowOverlap="1" wp14:anchorId="51DE9D85" wp14:editId="51DE9D86">
            <wp:simplePos x="0" y="0"/>
            <wp:positionH relativeFrom="page">
              <wp:posOffset>902208</wp:posOffset>
            </wp:positionH>
            <wp:positionV relativeFrom="paragraph">
              <wp:posOffset>81357</wp:posOffset>
            </wp:positionV>
            <wp:extent cx="182879" cy="103631"/>
            <wp:effectExtent l="0" t="0" r="0" b="0"/>
            <wp:wrapNone/>
            <wp:docPr id="109" name="image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63.png"/>
                    <pic:cNvPicPr/>
                  </pic:nvPicPr>
                  <pic:blipFill>
                    <a:blip r:embed="rId113" cstate="print"/>
                    <a:stretch>
                      <a:fillRect/>
                    </a:stretch>
                  </pic:blipFill>
                  <pic:spPr>
                    <a:xfrm>
                      <a:off x="0" y="0"/>
                      <a:ext cx="182879" cy="103631"/>
                    </a:xfrm>
                    <a:prstGeom prst="rect">
                      <a:avLst/>
                    </a:prstGeom>
                  </pic:spPr>
                </pic:pic>
              </a:graphicData>
            </a:graphic>
          </wp:anchor>
        </w:drawing>
      </w:r>
      <w:r>
        <w:t xml:space="preserve">It is beyond doubt that the obligations contained in paragraph 1 are borne by </w:t>
      </w:r>
      <w:r>
        <w:t>the investigating authority. The Anti‐Dumping Agreement is silent as to how an investigating authority is to fulfil the notice requirements in paragraph 1 of Annex II, and there is no clear established threshold in WTO jurisprudence for making interested p</w:t>
      </w:r>
      <w:r>
        <w:t>arties aware of the consequences</w:t>
      </w:r>
      <w:r>
        <w:rPr>
          <w:spacing w:val="-6"/>
        </w:rPr>
        <w:t xml:space="preserve"> </w:t>
      </w:r>
      <w:r>
        <w:t>of</w:t>
      </w:r>
      <w:r>
        <w:rPr>
          <w:spacing w:val="-5"/>
        </w:rPr>
        <w:t xml:space="preserve"> </w:t>
      </w:r>
      <w:r>
        <w:t>not</w:t>
      </w:r>
      <w:r>
        <w:rPr>
          <w:spacing w:val="-5"/>
        </w:rPr>
        <w:t xml:space="preserve"> </w:t>
      </w:r>
      <w:r>
        <w:t>supplying</w:t>
      </w:r>
      <w:r>
        <w:rPr>
          <w:spacing w:val="-5"/>
        </w:rPr>
        <w:t xml:space="preserve"> </w:t>
      </w:r>
      <w:r>
        <w:t>necessary</w:t>
      </w:r>
      <w:r>
        <w:rPr>
          <w:spacing w:val="-4"/>
        </w:rPr>
        <w:t xml:space="preserve"> </w:t>
      </w:r>
      <w:hyperlink r:id="rId114">
        <w:r>
          <w:t>information.</w:t>
        </w:r>
        <w:r>
          <w:rPr>
            <w:vertAlign w:val="superscript"/>
          </w:rPr>
          <w:t>40</w:t>
        </w:r>
      </w:hyperlink>
      <w:r>
        <w:rPr>
          <w:spacing w:val="28"/>
        </w:rPr>
        <w:t xml:space="preserve"> </w:t>
      </w:r>
      <w:r>
        <w:t>However,</w:t>
      </w:r>
      <w:r>
        <w:rPr>
          <w:spacing w:val="-5"/>
        </w:rPr>
        <w:t xml:space="preserve"> </w:t>
      </w:r>
      <w:r>
        <w:t>this</w:t>
      </w:r>
      <w:r>
        <w:rPr>
          <w:spacing w:val="-5"/>
        </w:rPr>
        <w:t xml:space="preserve"> </w:t>
      </w:r>
      <w:r>
        <w:t>does</w:t>
      </w:r>
      <w:r>
        <w:rPr>
          <w:spacing w:val="-5"/>
        </w:rPr>
        <w:t xml:space="preserve"> </w:t>
      </w:r>
      <w:r>
        <w:t>not</w:t>
      </w:r>
      <w:r>
        <w:rPr>
          <w:spacing w:val="-5"/>
        </w:rPr>
        <w:t xml:space="preserve"> </w:t>
      </w:r>
      <w:r>
        <w:t>detract</w:t>
      </w:r>
      <w:r>
        <w:rPr>
          <w:spacing w:val="-5"/>
        </w:rPr>
        <w:t xml:space="preserve"> </w:t>
      </w:r>
      <w:r>
        <w:t xml:space="preserve">from the obligations contained in that provision, which have been clarified by WTO jurisprudence. In terms </w:t>
      </w:r>
      <w:r>
        <w:t>of content, the scope of the information requested in the notice of initiation must correspond to that of the information used in the determination. That is, an interested party cannot</w:t>
      </w:r>
      <w:r>
        <w:rPr>
          <w:spacing w:val="-3"/>
        </w:rPr>
        <w:t xml:space="preserve"> </w:t>
      </w:r>
      <w:r>
        <w:t>be</w:t>
      </w:r>
      <w:r>
        <w:rPr>
          <w:spacing w:val="-3"/>
        </w:rPr>
        <w:t xml:space="preserve"> </w:t>
      </w:r>
      <w:r>
        <w:t>deemed</w:t>
      </w:r>
      <w:r>
        <w:rPr>
          <w:spacing w:val="-3"/>
        </w:rPr>
        <w:t xml:space="preserve"> </w:t>
      </w:r>
      <w:r>
        <w:t>to</w:t>
      </w:r>
      <w:r>
        <w:rPr>
          <w:spacing w:val="-3"/>
        </w:rPr>
        <w:t xml:space="preserve"> </w:t>
      </w:r>
      <w:r>
        <w:t>have</w:t>
      </w:r>
      <w:r>
        <w:rPr>
          <w:spacing w:val="-3"/>
        </w:rPr>
        <w:t xml:space="preserve"> </w:t>
      </w:r>
      <w:r>
        <w:t>failed</w:t>
      </w:r>
      <w:r>
        <w:rPr>
          <w:spacing w:val="-3"/>
        </w:rPr>
        <w:t xml:space="preserve"> </w:t>
      </w:r>
      <w:r>
        <w:t>to</w:t>
      </w:r>
      <w:r>
        <w:rPr>
          <w:spacing w:val="-3"/>
        </w:rPr>
        <w:t xml:space="preserve"> </w:t>
      </w:r>
      <w:r>
        <w:t>provide</w:t>
      </w:r>
      <w:r>
        <w:rPr>
          <w:spacing w:val="-3"/>
        </w:rPr>
        <w:t xml:space="preserve"> </w:t>
      </w:r>
      <w:r>
        <w:t>the</w:t>
      </w:r>
      <w:r>
        <w:rPr>
          <w:spacing w:val="-3"/>
        </w:rPr>
        <w:t xml:space="preserve"> </w:t>
      </w:r>
      <w:r>
        <w:t>necessary</w:t>
      </w:r>
      <w:r>
        <w:rPr>
          <w:spacing w:val="-1"/>
        </w:rPr>
        <w:t xml:space="preserve"> </w:t>
      </w:r>
      <w:r>
        <w:t>information</w:t>
      </w:r>
      <w:r>
        <w:rPr>
          <w:spacing w:val="-4"/>
        </w:rPr>
        <w:t xml:space="preserve"> </w:t>
      </w:r>
      <w:r>
        <w:t>(justifying</w:t>
      </w:r>
      <w:r>
        <w:rPr>
          <w:spacing w:val="-3"/>
        </w:rPr>
        <w:t xml:space="preserve"> </w:t>
      </w:r>
      <w:r>
        <w:t>recourse</w:t>
      </w:r>
      <w:r>
        <w:rPr>
          <w:spacing w:val="-3"/>
        </w:rPr>
        <w:t xml:space="preserve"> </w:t>
      </w:r>
      <w:r>
        <w:t xml:space="preserve">to the use of "facts available") if it has not been made aware that it is </w:t>
      </w:r>
      <w:hyperlink r:id="rId115">
        <w:r>
          <w:t>required.</w:t>
        </w:r>
        <w:r>
          <w:rPr>
            <w:vertAlign w:val="superscript"/>
          </w:rPr>
          <w:t>41</w:t>
        </w:r>
      </w:hyperlink>
    </w:p>
    <w:p w14:paraId="51DE7CEA" w14:textId="77777777" w:rsidR="0010369C" w:rsidRDefault="0010369C">
      <w:pPr>
        <w:pStyle w:val="BodyText"/>
        <w:spacing w:before="11"/>
        <w:rPr>
          <w:sz w:val="8"/>
        </w:rPr>
      </w:pPr>
    </w:p>
    <w:p w14:paraId="51DE7CEB" w14:textId="77777777" w:rsidR="0010369C" w:rsidRDefault="008E43AE">
      <w:pPr>
        <w:pStyle w:val="BodyText"/>
        <w:spacing w:before="52" w:line="360" w:lineRule="auto"/>
        <w:ind w:left="237" w:right="614" w:firstLine="851"/>
        <w:jc w:val="both"/>
      </w:pPr>
      <w:r>
        <w:rPr>
          <w:noProof/>
        </w:rPr>
        <w:drawing>
          <wp:anchor distT="0" distB="0" distL="0" distR="0" simplePos="0" relativeHeight="250755584" behindDoc="1" locked="0" layoutInCell="1" allowOverlap="1" wp14:anchorId="51DE9D87" wp14:editId="51DE9D88">
            <wp:simplePos x="0" y="0"/>
            <wp:positionH relativeFrom="page">
              <wp:posOffset>902208</wp:posOffset>
            </wp:positionH>
            <wp:positionV relativeFrom="paragraph">
              <wp:posOffset>81357</wp:posOffset>
            </wp:positionV>
            <wp:extent cx="182879" cy="103631"/>
            <wp:effectExtent l="0" t="0" r="0" b="0"/>
            <wp:wrapNone/>
            <wp:docPr id="111" name="imag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64.png"/>
                    <pic:cNvPicPr/>
                  </pic:nvPicPr>
                  <pic:blipFill>
                    <a:blip r:embed="rId116" cstate="print"/>
                    <a:stretch>
                      <a:fillRect/>
                    </a:stretch>
                  </pic:blipFill>
                  <pic:spPr>
                    <a:xfrm>
                      <a:off x="0" y="0"/>
                      <a:ext cx="182879" cy="103631"/>
                    </a:xfrm>
                    <a:prstGeom prst="rect">
                      <a:avLst/>
                    </a:prstGeom>
                  </pic:spPr>
                </pic:pic>
              </a:graphicData>
            </a:graphic>
          </wp:anchor>
        </w:drawing>
      </w:r>
      <w:r>
        <w:t>In respect of the timing of the notice, paragraph 1 of Annex II requires "[a]s soon as possible after the initiation of the investigation" that the investigating authorities specify in detail the information required from interested parties. In general, th</w:t>
      </w:r>
      <w:r>
        <w:t>e first sentence of paragraph</w:t>
      </w:r>
      <w:r>
        <w:rPr>
          <w:spacing w:val="-14"/>
        </w:rPr>
        <w:t xml:space="preserve"> </w:t>
      </w:r>
      <w:r>
        <w:t>1</w:t>
      </w:r>
      <w:r>
        <w:rPr>
          <w:spacing w:val="-14"/>
        </w:rPr>
        <w:t xml:space="preserve"> </w:t>
      </w:r>
      <w:r>
        <w:t>of</w:t>
      </w:r>
      <w:r>
        <w:rPr>
          <w:spacing w:val="-13"/>
        </w:rPr>
        <w:t xml:space="preserve"> </w:t>
      </w:r>
      <w:r>
        <w:t>Annex</w:t>
      </w:r>
      <w:r>
        <w:rPr>
          <w:spacing w:val="-14"/>
        </w:rPr>
        <w:t xml:space="preserve"> </w:t>
      </w:r>
      <w:r>
        <w:t>II</w:t>
      </w:r>
      <w:r>
        <w:rPr>
          <w:spacing w:val="-13"/>
        </w:rPr>
        <w:t xml:space="preserve"> </w:t>
      </w:r>
      <w:r>
        <w:t>has</w:t>
      </w:r>
      <w:r>
        <w:rPr>
          <w:spacing w:val="-14"/>
        </w:rPr>
        <w:t xml:space="preserve"> </w:t>
      </w:r>
      <w:r>
        <w:t>been</w:t>
      </w:r>
      <w:r>
        <w:rPr>
          <w:spacing w:val="-13"/>
        </w:rPr>
        <w:t xml:space="preserve"> </w:t>
      </w:r>
      <w:r>
        <w:t>interpreted</w:t>
      </w:r>
      <w:r>
        <w:rPr>
          <w:spacing w:val="-14"/>
        </w:rPr>
        <w:t xml:space="preserve"> </w:t>
      </w:r>
      <w:r>
        <w:t>to</w:t>
      </w:r>
      <w:r>
        <w:rPr>
          <w:spacing w:val="-14"/>
        </w:rPr>
        <w:t xml:space="preserve"> </w:t>
      </w:r>
      <w:r>
        <w:t>mean</w:t>
      </w:r>
      <w:r>
        <w:rPr>
          <w:spacing w:val="-13"/>
        </w:rPr>
        <w:t xml:space="preserve"> </w:t>
      </w:r>
      <w:r>
        <w:t>that</w:t>
      </w:r>
      <w:r>
        <w:rPr>
          <w:spacing w:val="-14"/>
        </w:rPr>
        <w:t xml:space="preserve"> </w:t>
      </w:r>
      <w:r>
        <w:t>any</w:t>
      </w:r>
      <w:r>
        <w:rPr>
          <w:spacing w:val="-13"/>
        </w:rPr>
        <w:t xml:space="preserve"> </w:t>
      </w:r>
      <w:r>
        <w:t>request</w:t>
      </w:r>
      <w:r>
        <w:rPr>
          <w:spacing w:val="-14"/>
        </w:rPr>
        <w:t xml:space="preserve"> </w:t>
      </w:r>
      <w:r>
        <w:t>for</w:t>
      </w:r>
      <w:r>
        <w:rPr>
          <w:spacing w:val="-13"/>
        </w:rPr>
        <w:t xml:space="preserve"> </w:t>
      </w:r>
      <w:r>
        <w:t>specific</w:t>
      </w:r>
      <w:r>
        <w:rPr>
          <w:spacing w:val="-14"/>
        </w:rPr>
        <w:t xml:space="preserve"> </w:t>
      </w:r>
      <w:r>
        <w:t xml:space="preserve">information </w:t>
      </w:r>
      <w:r>
        <w:rPr>
          <w:spacing w:val="-2"/>
        </w:rPr>
        <w:t>should</w:t>
      </w:r>
      <w:r>
        <w:rPr>
          <w:spacing w:val="-4"/>
        </w:rPr>
        <w:t xml:space="preserve"> </w:t>
      </w:r>
      <w:r>
        <w:rPr>
          <w:spacing w:val="-2"/>
        </w:rPr>
        <w:t>be communicated</w:t>
      </w:r>
      <w:r>
        <w:rPr>
          <w:spacing w:val="-4"/>
        </w:rPr>
        <w:t xml:space="preserve"> </w:t>
      </w:r>
      <w:r>
        <w:rPr>
          <w:spacing w:val="-2"/>
        </w:rPr>
        <w:t>to interested</w:t>
      </w:r>
      <w:r>
        <w:rPr>
          <w:spacing w:val="-3"/>
        </w:rPr>
        <w:t xml:space="preserve"> </w:t>
      </w:r>
      <w:r>
        <w:rPr>
          <w:spacing w:val="-2"/>
        </w:rPr>
        <w:t>parties</w:t>
      </w:r>
      <w:r>
        <w:rPr>
          <w:spacing w:val="-3"/>
        </w:rPr>
        <w:t xml:space="preserve"> </w:t>
      </w:r>
      <w:r>
        <w:rPr>
          <w:spacing w:val="-2"/>
        </w:rPr>
        <w:t>"as</w:t>
      </w:r>
      <w:r>
        <w:rPr>
          <w:spacing w:val="-4"/>
        </w:rPr>
        <w:t xml:space="preserve"> </w:t>
      </w:r>
      <w:r>
        <w:rPr>
          <w:spacing w:val="-2"/>
        </w:rPr>
        <w:t>soon</w:t>
      </w:r>
      <w:r>
        <w:rPr>
          <w:spacing w:val="-3"/>
        </w:rPr>
        <w:t xml:space="preserve"> </w:t>
      </w:r>
      <w:r>
        <w:rPr>
          <w:spacing w:val="-2"/>
        </w:rPr>
        <w:t>as</w:t>
      </w:r>
      <w:r>
        <w:rPr>
          <w:spacing w:val="-4"/>
        </w:rPr>
        <w:t xml:space="preserve"> </w:t>
      </w:r>
      <w:r>
        <w:rPr>
          <w:spacing w:val="-2"/>
        </w:rPr>
        <w:t>possible"</w:t>
      </w:r>
      <w:r>
        <w:rPr>
          <w:spacing w:val="-4"/>
        </w:rPr>
        <w:t xml:space="preserve"> </w:t>
      </w:r>
      <w:r>
        <w:rPr>
          <w:spacing w:val="-2"/>
        </w:rPr>
        <w:t>and</w:t>
      </w:r>
      <w:r>
        <w:rPr>
          <w:spacing w:val="-3"/>
        </w:rPr>
        <w:t xml:space="preserve"> </w:t>
      </w:r>
      <w:r>
        <w:rPr>
          <w:spacing w:val="-2"/>
        </w:rPr>
        <w:t>does</w:t>
      </w:r>
      <w:r>
        <w:rPr>
          <w:spacing w:val="-4"/>
        </w:rPr>
        <w:t xml:space="preserve"> </w:t>
      </w:r>
      <w:r>
        <w:rPr>
          <w:spacing w:val="-2"/>
        </w:rPr>
        <w:t>not</w:t>
      </w:r>
      <w:r>
        <w:rPr>
          <w:spacing w:val="-3"/>
        </w:rPr>
        <w:t xml:space="preserve"> </w:t>
      </w:r>
      <w:r>
        <w:rPr>
          <w:spacing w:val="-2"/>
        </w:rPr>
        <w:t>require</w:t>
      </w:r>
      <w:r>
        <w:rPr>
          <w:spacing w:val="-3"/>
        </w:rPr>
        <w:t xml:space="preserve"> </w:t>
      </w:r>
      <w:r>
        <w:rPr>
          <w:spacing w:val="-4"/>
        </w:rPr>
        <w:t>that</w:t>
      </w:r>
    </w:p>
    <w:p w14:paraId="51DE7CEC" w14:textId="77777777" w:rsidR="0010369C" w:rsidRDefault="0010369C">
      <w:pPr>
        <w:pStyle w:val="BodyText"/>
        <w:rPr>
          <w:sz w:val="20"/>
        </w:rPr>
      </w:pPr>
    </w:p>
    <w:p w14:paraId="51DE7CED" w14:textId="77777777" w:rsidR="0010369C" w:rsidRDefault="008E43AE">
      <w:pPr>
        <w:pStyle w:val="BodyText"/>
        <w:spacing w:before="6"/>
        <w:rPr>
          <w:sz w:val="19"/>
        </w:rPr>
      </w:pPr>
      <w:r>
        <w:pict w14:anchorId="51DE9D89">
          <v:rect id="docshape85" o:spid="_x0000_s3179" style="position:absolute;margin-left:70.9pt;margin-top:13.15pt;width:2in;height:.8pt;z-index:-251251200;mso-wrap-distance-left:0;mso-wrap-distance-right:0;mso-position-horizontal-relative:page" fillcolor="black" stroked="f">
            <w10:wrap type="topAndBottom" anchorx="page"/>
          </v:rect>
        </w:pict>
      </w:r>
    </w:p>
    <w:p w14:paraId="51DE7CEE" w14:textId="77777777" w:rsidR="0010369C" w:rsidRDefault="008E43AE">
      <w:pPr>
        <w:spacing w:before="109"/>
        <w:ind w:left="238" w:right="614" w:hanging="1"/>
        <w:jc w:val="both"/>
        <w:rPr>
          <w:sz w:val="18"/>
        </w:rPr>
      </w:pPr>
      <w:r>
        <w:rPr>
          <w:sz w:val="18"/>
          <w:vertAlign w:val="superscript"/>
        </w:rPr>
        <w:t>38</w:t>
      </w:r>
      <w:r>
        <w:rPr>
          <w:spacing w:val="-2"/>
          <w:sz w:val="18"/>
        </w:rPr>
        <w:t xml:space="preserve"> </w:t>
      </w:r>
      <w:r>
        <w:rPr>
          <w:sz w:val="18"/>
        </w:rPr>
        <w:t>Panel</w:t>
      </w:r>
      <w:r>
        <w:rPr>
          <w:spacing w:val="-3"/>
          <w:sz w:val="18"/>
        </w:rPr>
        <w:t xml:space="preserve"> </w:t>
      </w:r>
      <w:r>
        <w:rPr>
          <w:sz w:val="18"/>
        </w:rPr>
        <w:t>Report,</w:t>
      </w:r>
      <w:r>
        <w:rPr>
          <w:spacing w:val="-2"/>
          <w:sz w:val="18"/>
        </w:rPr>
        <w:t xml:space="preserve"> </w:t>
      </w:r>
      <w:r>
        <w:rPr>
          <w:i/>
          <w:sz w:val="18"/>
        </w:rPr>
        <w:t>EC</w:t>
      </w:r>
      <w:r>
        <w:rPr>
          <w:i/>
          <w:spacing w:val="-3"/>
          <w:sz w:val="18"/>
        </w:rPr>
        <w:t xml:space="preserve"> </w:t>
      </w:r>
      <w:r>
        <w:rPr>
          <w:i/>
          <w:sz w:val="18"/>
        </w:rPr>
        <w:t>–</w:t>
      </w:r>
      <w:r>
        <w:rPr>
          <w:i/>
          <w:spacing w:val="-2"/>
          <w:sz w:val="18"/>
        </w:rPr>
        <w:t xml:space="preserve"> </w:t>
      </w:r>
      <w:r>
        <w:rPr>
          <w:i/>
          <w:sz w:val="18"/>
        </w:rPr>
        <w:t>Salmon</w:t>
      </w:r>
      <w:r>
        <w:rPr>
          <w:i/>
          <w:spacing w:val="-3"/>
          <w:sz w:val="18"/>
        </w:rPr>
        <w:t xml:space="preserve"> </w:t>
      </w:r>
      <w:r>
        <w:rPr>
          <w:i/>
          <w:sz w:val="18"/>
        </w:rPr>
        <w:t>(Norway)</w:t>
      </w:r>
      <w:r>
        <w:rPr>
          <w:sz w:val="18"/>
        </w:rPr>
        <w:t>,</w:t>
      </w:r>
      <w:r>
        <w:rPr>
          <w:spacing w:val="-3"/>
          <w:sz w:val="18"/>
        </w:rPr>
        <w:t xml:space="preserve"> </w:t>
      </w:r>
      <w:r>
        <w:rPr>
          <w:sz w:val="18"/>
        </w:rPr>
        <w:t>para.</w:t>
      </w:r>
      <w:r>
        <w:rPr>
          <w:spacing w:val="-2"/>
          <w:sz w:val="18"/>
        </w:rPr>
        <w:t xml:space="preserve"> </w:t>
      </w:r>
      <w:r>
        <w:rPr>
          <w:sz w:val="18"/>
        </w:rPr>
        <w:t>7.453,</w:t>
      </w:r>
      <w:r>
        <w:rPr>
          <w:spacing w:val="-3"/>
          <w:sz w:val="18"/>
        </w:rPr>
        <w:t xml:space="preserve"> </w:t>
      </w:r>
      <w:r>
        <w:rPr>
          <w:sz w:val="18"/>
        </w:rPr>
        <w:t>citing</w:t>
      </w:r>
      <w:r>
        <w:rPr>
          <w:spacing w:val="-2"/>
          <w:sz w:val="18"/>
        </w:rPr>
        <w:t xml:space="preserve"> </w:t>
      </w:r>
      <w:r>
        <w:rPr>
          <w:sz w:val="18"/>
        </w:rPr>
        <w:t>Appellate</w:t>
      </w:r>
      <w:r>
        <w:rPr>
          <w:spacing w:val="-2"/>
          <w:sz w:val="18"/>
        </w:rPr>
        <w:t xml:space="preserve"> </w:t>
      </w:r>
      <w:r>
        <w:rPr>
          <w:sz w:val="18"/>
        </w:rPr>
        <w:t>Body</w:t>
      </w:r>
      <w:r>
        <w:rPr>
          <w:spacing w:val="-2"/>
          <w:sz w:val="18"/>
        </w:rPr>
        <w:t xml:space="preserve"> </w:t>
      </w:r>
      <w:r>
        <w:rPr>
          <w:sz w:val="18"/>
        </w:rPr>
        <w:t>Report,</w:t>
      </w:r>
      <w:r>
        <w:rPr>
          <w:spacing w:val="-1"/>
          <w:sz w:val="18"/>
        </w:rPr>
        <w:t xml:space="preserve"> </w:t>
      </w:r>
      <w:r>
        <w:rPr>
          <w:i/>
          <w:sz w:val="18"/>
        </w:rPr>
        <w:t>Mexico</w:t>
      </w:r>
      <w:r>
        <w:rPr>
          <w:i/>
          <w:spacing w:val="-2"/>
          <w:sz w:val="18"/>
        </w:rPr>
        <w:t xml:space="preserve"> </w:t>
      </w:r>
      <w:r>
        <w:rPr>
          <w:i/>
          <w:sz w:val="18"/>
        </w:rPr>
        <w:t>–</w:t>
      </w:r>
      <w:r>
        <w:rPr>
          <w:i/>
          <w:spacing w:val="-2"/>
          <w:sz w:val="18"/>
        </w:rPr>
        <w:t xml:space="preserve"> </w:t>
      </w:r>
      <w:r>
        <w:rPr>
          <w:i/>
          <w:sz w:val="18"/>
        </w:rPr>
        <w:t>Anti‐Dumping</w:t>
      </w:r>
      <w:r>
        <w:rPr>
          <w:i/>
          <w:spacing w:val="-2"/>
          <w:sz w:val="18"/>
        </w:rPr>
        <w:t xml:space="preserve"> </w:t>
      </w:r>
      <w:r>
        <w:rPr>
          <w:i/>
          <w:sz w:val="18"/>
        </w:rPr>
        <w:t>Measures</w:t>
      </w:r>
      <w:r>
        <w:rPr>
          <w:i/>
          <w:spacing w:val="-3"/>
          <w:sz w:val="18"/>
        </w:rPr>
        <w:t xml:space="preserve"> </w:t>
      </w:r>
      <w:r>
        <w:rPr>
          <w:i/>
          <w:sz w:val="18"/>
        </w:rPr>
        <w:t>on</w:t>
      </w:r>
      <w:r>
        <w:rPr>
          <w:i/>
          <w:spacing w:val="-2"/>
          <w:sz w:val="18"/>
        </w:rPr>
        <w:t xml:space="preserve"> </w:t>
      </w:r>
      <w:r>
        <w:rPr>
          <w:i/>
          <w:sz w:val="18"/>
        </w:rPr>
        <w:t>Rice</w:t>
      </w:r>
      <w:r>
        <w:rPr>
          <w:sz w:val="18"/>
        </w:rPr>
        <w:t>, para. 259.</w:t>
      </w:r>
    </w:p>
    <w:p w14:paraId="51DE7CEF" w14:textId="77777777" w:rsidR="0010369C" w:rsidRDefault="008E43AE">
      <w:pPr>
        <w:spacing w:line="219" w:lineRule="exact"/>
        <w:ind w:left="238"/>
        <w:jc w:val="both"/>
        <w:rPr>
          <w:sz w:val="18"/>
        </w:rPr>
      </w:pPr>
      <w:r>
        <w:rPr>
          <w:sz w:val="18"/>
          <w:vertAlign w:val="superscript"/>
        </w:rPr>
        <w:t>39</w:t>
      </w:r>
      <w:r>
        <w:rPr>
          <w:spacing w:val="-7"/>
          <w:sz w:val="18"/>
        </w:rPr>
        <w:t xml:space="preserve"> </w:t>
      </w:r>
      <w:r>
        <w:rPr>
          <w:sz w:val="18"/>
        </w:rPr>
        <w:t>See</w:t>
      </w:r>
      <w:r>
        <w:rPr>
          <w:spacing w:val="-6"/>
          <w:sz w:val="18"/>
        </w:rPr>
        <w:t xml:space="preserve"> </w:t>
      </w:r>
      <w:r>
        <w:rPr>
          <w:sz w:val="18"/>
        </w:rPr>
        <w:t>Appellate</w:t>
      </w:r>
      <w:r>
        <w:rPr>
          <w:spacing w:val="-6"/>
          <w:sz w:val="18"/>
        </w:rPr>
        <w:t xml:space="preserve"> </w:t>
      </w:r>
      <w:r>
        <w:rPr>
          <w:sz w:val="18"/>
        </w:rPr>
        <w:t>Body</w:t>
      </w:r>
      <w:r>
        <w:rPr>
          <w:spacing w:val="-6"/>
          <w:sz w:val="18"/>
        </w:rPr>
        <w:t xml:space="preserve"> </w:t>
      </w:r>
      <w:r>
        <w:rPr>
          <w:sz w:val="18"/>
        </w:rPr>
        <w:t>Report,</w:t>
      </w:r>
      <w:r>
        <w:rPr>
          <w:spacing w:val="-6"/>
          <w:sz w:val="18"/>
        </w:rPr>
        <w:t xml:space="preserve"> </w:t>
      </w:r>
      <w:r>
        <w:rPr>
          <w:i/>
          <w:sz w:val="18"/>
        </w:rPr>
        <w:t>US</w:t>
      </w:r>
      <w:r>
        <w:rPr>
          <w:i/>
          <w:spacing w:val="-6"/>
          <w:sz w:val="18"/>
        </w:rPr>
        <w:t xml:space="preserve"> </w:t>
      </w:r>
      <w:r>
        <w:rPr>
          <w:i/>
          <w:sz w:val="18"/>
        </w:rPr>
        <w:t>–</w:t>
      </w:r>
      <w:r>
        <w:rPr>
          <w:i/>
          <w:spacing w:val="-6"/>
          <w:sz w:val="18"/>
        </w:rPr>
        <w:t xml:space="preserve"> </w:t>
      </w:r>
      <w:r>
        <w:rPr>
          <w:i/>
          <w:sz w:val="18"/>
        </w:rPr>
        <w:t>Carbon</w:t>
      </w:r>
      <w:r>
        <w:rPr>
          <w:i/>
          <w:spacing w:val="-6"/>
          <w:sz w:val="18"/>
        </w:rPr>
        <w:t xml:space="preserve"> </w:t>
      </w:r>
      <w:r>
        <w:rPr>
          <w:i/>
          <w:sz w:val="18"/>
        </w:rPr>
        <w:t>Steel</w:t>
      </w:r>
      <w:r>
        <w:rPr>
          <w:i/>
          <w:spacing w:val="-7"/>
          <w:sz w:val="18"/>
        </w:rPr>
        <w:t xml:space="preserve"> </w:t>
      </w:r>
      <w:r>
        <w:rPr>
          <w:i/>
          <w:sz w:val="18"/>
        </w:rPr>
        <w:t>(India)</w:t>
      </w:r>
      <w:r>
        <w:rPr>
          <w:sz w:val="18"/>
        </w:rPr>
        <w:t>,</w:t>
      </w:r>
      <w:r>
        <w:rPr>
          <w:spacing w:val="-7"/>
          <w:sz w:val="18"/>
        </w:rPr>
        <w:t xml:space="preserve"> </w:t>
      </w:r>
      <w:r>
        <w:rPr>
          <w:sz w:val="18"/>
        </w:rPr>
        <w:t>para.</w:t>
      </w:r>
      <w:r>
        <w:rPr>
          <w:spacing w:val="-6"/>
          <w:sz w:val="18"/>
        </w:rPr>
        <w:t xml:space="preserve"> </w:t>
      </w:r>
      <w:r>
        <w:rPr>
          <w:spacing w:val="-2"/>
          <w:sz w:val="18"/>
        </w:rPr>
        <w:t>4.426.</w:t>
      </w:r>
    </w:p>
    <w:p w14:paraId="51DE7CF0" w14:textId="77777777" w:rsidR="0010369C" w:rsidRDefault="008E43AE">
      <w:pPr>
        <w:ind w:left="239" w:right="611" w:hanging="1"/>
        <w:jc w:val="both"/>
        <w:rPr>
          <w:sz w:val="18"/>
        </w:rPr>
      </w:pPr>
      <w:r>
        <w:rPr>
          <w:sz w:val="18"/>
          <w:vertAlign w:val="superscript"/>
        </w:rPr>
        <w:t>40</w:t>
      </w:r>
      <w:r>
        <w:rPr>
          <w:spacing w:val="-1"/>
          <w:sz w:val="18"/>
        </w:rPr>
        <w:t xml:space="preserve"> </w:t>
      </w:r>
      <w:r>
        <w:rPr>
          <w:sz w:val="18"/>
        </w:rPr>
        <w:t>In</w:t>
      </w:r>
      <w:r>
        <w:rPr>
          <w:spacing w:val="-1"/>
          <w:sz w:val="18"/>
        </w:rPr>
        <w:t xml:space="preserve"> </w:t>
      </w:r>
      <w:r>
        <w:rPr>
          <w:i/>
          <w:sz w:val="18"/>
        </w:rPr>
        <w:t>China</w:t>
      </w:r>
      <w:r>
        <w:rPr>
          <w:i/>
          <w:spacing w:val="-1"/>
          <w:sz w:val="18"/>
        </w:rPr>
        <w:t xml:space="preserve"> </w:t>
      </w:r>
      <w:r>
        <w:rPr>
          <w:i/>
          <w:sz w:val="18"/>
        </w:rPr>
        <w:t>–</w:t>
      </w:r>
      <w:r>
        <w:rPr>
          <w:i/>
          <w:spacing w:val="-1"/>
          <w:sz w:val="18"/>
        </w:rPr>
        <w:t xml:space="preserve"> </w:t>
      </w:r>
      <w:r>
        <w:rPr>
          <w:i/>
          <w:sz w:val="18"/>
        </w:rPr>
        <w:t>GOES</w:t>
      </w:r>
      <w:r>
        <w:rPr>
          <w:sz w:val="18"/>
        </w:rPr>
        <w:t>,</w:t>
      </w:r>
      <w:r>
        <w:rPr>
          <w:spacing w:val="-2"/>
          <w:sz w:val="18"/>
        </w:rPr>
        <w:t xml:space="preserve"> </w:t>
      </w:r>
      <w:r>
        <w:rPr>
          <w:sz w:val="18"/>
        </w:rPr>
        <w:t>the</w:t>
      </w:r>
      <w:r>
        <w:rPr>
          <w:spacing w:val="-1"/>
          <w:sz w:val="18"/>
        </w:rPr>
        <w:t xml:space="preserve"> </w:t>
      </w:r>
      <w:r>
        <w:rPr>
          <w:sz w:val="18"/>
        </w:rPr>
        <w:t>Panel</w:t>
      </w:r>
      <w:r>
        <w:rPr>
          <w:spacing w:val="-2"/>
          <w:sz w:val="18"/>
        </w:rPr>
        <w:t xml:space="preserve"> </w:t>
      </w:r>
      <w:r>
        <w:rPr>
          <w:sz w:val="18"/>
        </w:rPr>
        <w:t>stated</w:t>
      </w:r>
      <w:r>
        <w:rPr>
          <w:spacing w:val="-1"/>
          <w:sz w:val="18"/>
        </w:rPr>
        <w:t xml:space="preserve"> </w:t>
      </w:r>
      <w:r>
        <w:rPr>
          <w:sz w:val="18"/>
        </w:rPr>
        <w:t>that</w:t>
      </w:r>
      <w:r>
        <w:rPr>
          <w:spacing w:val="-2"/>
          <w:sz w:val="18"/>
        </w:rPr>
        <w:t xml:space="preserve"> </w:t>
      </w:r>
      <w:r>
        <w:rPr>
          <w:sz w:val="18"/>
        </w:rPr>
        <w:t>posting a</w:t>
      </w:r>
      <w:r>
        <w:rPr>
          <w:spacing w:val="-2"/>
          <w:sz w:val="18"/>
        </w:rPr>
        <w:t xml:space="preserve"> </w:t>
      </w:r>
      <w:r>
        <w:rPr>
          <w:sz w:val="18"/>
        </w:rPr>
        <w:t>notice on</w:t>
      </w:r>
      <w:r>
        <w:rPr>
          <w:spacing w:val="-1"/>
          <w:sz w:val="18"/>
        </w:rPr>
        <w:t xml:space="preserve"> </w:t>
      </w:r>
      <w:r>
        <w:rPr>
          <w:sz w:val="18"/>
        </w:rPr>
        <w:t>the</w:t>
      </w:r>
      <w:r>
        <w:rPr>
          <w:spacing w:val="-1"/>
          <w:sz w:val="18"/>
        </w:rPr>
        <w:t xml:space="preserve"> </w:t>
      </w:r>
      <w:r>
        <w:rPr>
          <w:sz w:val="18"/>
        </w:rPr>
        <w:t>internet</w:t>
      </w:r>
      <w:r>
        <w:rPr>
          <w:spacing w:val="-2"/>
          <w:sz w:val="18"/>
        </w:rPr>
        <w:t xml:space="preserve"> </w:t>
      </w:r>
      <w:r>
        <w:rPr>
          <w:sz w:val="18"/>
        </w:rPr>
        <w:t>or</w:t>
      </w:r>
      <w:r>
        <w:rPr>
          <w:spacing w:val="-2"/>
          <w:sz w:val="18"/>
        </w:rPr>
        <w:t xml:space="preserve"> </w:t>
      </w:r>
      <w:r>
        <w:rPr>
          <w:sz w:val="18"/>
        </w:rPr>
        <w:t>in</w:t>
      </w:r>
      <w:r>
        <w:rPr>
          <w:spacing w:val="-1"/>
          <w:sz w:val="18"/>
        </w:rPr>
        <w:t xml:space="preserve"> </w:t>
      </w:r>
      <w:r>
        <w:rPr>
          <w:sz w:val="18"/>
        </w:rPr>
        <w:t>a</w:t>
      </w:r>
      <w:r>
        <w:rPr>
          <w:spacing w:val="-1"/>
          <w:sz w:val="18"/>
        </w:rPr>
        <w:t xml:space="preserve"> </w:t>
      </w:r>
      <w:r>
        <w:rPr>
          <w:sz w:val="18"/>
        </w:rPr>
        <w:t>public</w:t>
      </w:r>
      <w:r>
        <w:rPr>
          <w:spacing w:val="-1"/>
          <w:sz w:val="18"/>
        </w:rPr>
        <w:t xml:space="preserve"> </w:t>
      </w:r>
      <w:r>
        <w:rPr>
          <w:sz w:val="18"/>
        </w:rPr>
        <w:t>place</w:t>
      </w:r>
      <w:r>
        <w:rPr>
          <w:spacing w:val="-1"/>
          <w:sz w:val="18"/>
        </w:rPr>
        <w:t xml:space="preserve"> </w:t>
      </w:r>
      <w:r>
        <w:rPr>
          <w:sz w:val="18"/>
        </w:rPr>
        <w:t>might</w:t>
      </w:r>
      <w:r>
        <w:rPr>
          <w:spacing w:val="-2"/>
          <w:sz w:val="18"/>
        </w:rPr>
        <w:t xml:space="preserve"> </w:t>
      </w:r>
      <w:r>
        <w:rPr>
          <w:sz w:val="18"/>
        </w:rPr>
        <w:t>not</w:t>
      </w:r>
      <w:r>
        <w:rPr>
          <w:spacing w:val="-2"/>
          <w:sz w:val="18"/>
        </w:rPr>
        <w:t xml:space="preserve"> </w:t>
      </w:r>
      <w:r>
        <w:rPr>
          <w:sz w:val="18"/>
        </w:rPr>
        <w:t>suffice. However,</w:t>
      </w:r>
      <w:r>
        <w:rPr>
          <w:spacing w:val="-2"/>
          <w:sz w:val="18"/>
        </w:rPr>
        <w:t xml:space="preserve"> </w:t>
      </w:r>
      <w:r>
        <w:rPr>
          <w:sz w:val="18"/>
        </w:rPr>
        <w:t>the Panel was not required to resolve this issue in the case as the notice of initiation relied on by China as providing requisite notification did not specify in detail the information required of the interested pa</w:t>
      </w:r>
      <w:r>
        <w:rPr>
          <w:sz w:val="18"/>
        </w:rPr>
        <w:t xml:space="preserve">rties for the purposes of the anti‐dumping investigation. Panel Report, </w:t>
      </w:r>
      <w:r>
        <w:rPr>
          <w:i/>
          <w:sz w:val="18"/>
        </w:rPr>
        <w:t>China – GOES</w:t>
      </w:r>
      <w:r>
        <w:rPr>
          <w:sz w:val="18"/>
        </w:rPr>
        <w:t>, para. 7.386.</w:t>
      </w:r>
    </w:p>
    <w:p w14:paraId="51DE7CF1" w14:textId="77777777" w:rsidR="0010369C" w:rsidRDefault="008E43AE">
      <w:pPr>
        <w:spacing w:before="1"/>
        <w:ind w:left="238"/>
        <w:jc w:val="both"/>
        <w:rPr>
          <w:i/>
          <w:sz w:val="18"/>
        </w:rPr>
      </w:pPr>
      <w:r>
        <w:rPr>
          <w:sz w:val="18"/>
          <w:vertAlign w:val="superscript"/>
        </w:rPr>
        <w:lastRenderedPageBreak/>
        <w:t>41</w:t>
      </w:r>
      <w:r>
        <w:rPr>
          <w:spacing w:val="7"/>
          <w:sz w:val="18"/>
        </w:rPr>
        <w:t xml:space="preserve"> </w:t>
      </w:r>
      <w:r>
        <w:rPr>
          <w:sz w:val="18"/>
        </w:rPr>
        <w:t>Panel</w:t>
      </w:r>
      <w:r>
        <w:rPr>
          <w:spacing w:val="7"/>
          <w:sz w:val="18"/>
        </w:rPr>
        <w:t xml:space="preserve"> </w:t>
      </w:r>
      <w:r>
        <w:rPr>
          <w:sz w:val="18"/>
        </w:rPr>
        <w:t>Report,</w:t>
      </w:r>
      <w:r>
        <w:rPr>
          <w:spacing w:val="8"/>
          <w:sz w:val="18"/>
        </w:rPr>
        <w:t xml:space="preserve"> </w:t>
      </w:r>
      <w:r>
        <w:rPr>
          <w:i/>
          <w:sz w:val="18"/>
        </w:rPr>
        <w:t>Argentina</w:t>
      </w:r>
      <w:r>
        <w:rPr>
          <w:i/>
          <w:spacing w:val="8"/>
          <w:sz w:val="18"/>
        </w:rPr>
        <w:t xml:space="preserve"> </w:t>
      </w:r>
      <w:r>
        <w:rPr>
          <w:i/>
          <w:sz w:val="18"/>
        </w:rPr>
        <w:t>–</w:t>
      </w:r>
      <w:r>
        <w:rPr>
          <w:i/>
          <w:spacing w:val="8"/>
          <w:sz w:val="18"/>
        </w:rPr>
        <w:t xml:space="preserve"> </w:t>
      </w:r>
      <w:r>
        <w:rPr>
          <w:i/>
          <w:sz w:val="18"/>
        </w:rPr>
        <w:t>Ceramic</w:t>
      </w:r>
      <w:r>
        <w:rPr>
          <w:i/>
          <w:spacing w:val="8"/>
          <w:sz w:val="18"/>
        </w:rPr>
        <w:t xml:space="preserve"> </w:t>
      </w:r>
      <w:r>
        <w:rPr>
          <w:i/>
          <w:sz w:val="18"/>
        </w:rPr>
        <w:t>Tiles</w:t>
      </w:r>
      <w:r>
        <w:rPr>
          <w:sz w:val="18"/>
        </w:rPr>
        <w:t>,</w:t>
      </w:r>
      <w:r>
        <w:rPr>
          <w:spacing w:val="7"/>
          <w:sz w:val="18"/>
        </w:rPr>
        <w:t xml:space="preserve"> </w:t>
      </w:r>
      <w:r>
        <w:rPr>
          <w:sz w:val="18"/>
        </w:rPr>
        <w:t>paras.</w:t>
      </w:r>
      <w:r>
        <w:rPr>
          <w:spacing w:val="8"/>
          <w:sz w:val="18"/>
        </w:rPr>
        <w:t xml:space="preserve"> </w:t>
      </w:r>
      <w:r>
        <w:rPr>
          <w:sz w:val="18"/>
        </w:rPr>
        <w:t>6.54.</w:t>
      </w:r>
      <w:r>
        <w:rPr>
          <w:spacing w:val="8"/>
          <w:sz w:val="18"/>
        </w:rPr>
        <w:t xml:space="preserve"> </w:t>
      </w:r>
      <w:r>
        <w:rPr>
          <w:sz w:val="18"/>
        </w:rPr>
        <w:t>Cf</w:t>
      </w:r>
      <w:r>
        <w:rPr>
          <w:spacing w:val="8"/>
          <w:sz w:val="18"/>
        </w:rPr>
        <w:t xml:space="preserve"> </w:t>
      </w:r>
      <w:r>
        <w:rPr>
          <w:sz w:val="18"/>
        </w:rPr>
        <w:t>Panel</w:t>
      </w:r>
      <w:r>
        <w:rPr>
          <w:spacing w:val="7"/>
          <w:sz w:val="18"/>
        </w:rPr>
        <w:t xml:space="preserve"> </w:t>
      </w:r>
      <w:r>
        <w:rPr>
          <w:sz w:val="18"/>
        </w:rPr>
        <w:t>Reports,</w:t>
      </w:r>
      <w:r>
        <w:rPr>
          <w:spacing w:val="8"/>
          <w:sz w:val="18"/>
        </w:rPr>
        <w:t xml:space="preserve"> </w:t>
      </w:r>
      <w:r>
        <w:rPr>
          <w:i/>
          <w:sz w:val="18"/>
        </w:rPr>
        <w:t>China</w:t>
      </w:r>
      <w:r>
        <w:rPr>
          <w:i/>
          <w:spacing w:val="7"/>
          <w:sz w:val="18"/>
        </w:rPr>
        <w:t xml:space="preserve"> </w:t>
      </w:r>
      <w:r>
        <w:rPr>
          <w:i/>
          <w:sz w:val="18"/>
        </w:rPr>
        <w:t>–</w:t>
      </w:r>
      <w:r>
        <w:rPr>
          <w:i/>
          <w:spacing w:val="9"/>
          <w:sz w:val="18"/>
        </w:rPr>
        <w:t xml:space="preserve"> </w:t>
      </w:r>
      <w:r>
        <w:rPr>
          <w:i/>
          <w:sz w:val="18"/>
        </w:rPr>
        <w:t>HP‐SSST</w:t>
      </w:r>
      <w:r>
        <w:rPr>
          <w:i/>
          <w:spacing w:val="8"/>
          <w:sz w:val="18"/>
        </w:rPr>
        <w:t xml:space="preserve"> </w:t>
      </w:r>
      <w:r>
        <w:rPr>
          <w:i/>
          <w:sz w:val="18"/>
        </w:rPr>
        <w:t>(Japan)</w:t>
      </w:r>
      <w:r>
        <w:rPr>
          <w:i/>
          <w:spacing w:val="8"/>
          <w:sz w:val="18"/>
        </w:rPr>
        <w:t xml:space="preserve"> </w:t>
      </w:r>
      <w:r>
        <w:rPr>
          <w:i/>
          <w:sz w:val="18"/>
        </w:rPr>
        <w:t>/</w:t>
      </w:r>
      <w:r>
        <w:rPr>
          <w:i/>
          <w:spacing w:val="8"/>
          <w:sz w:val="18"/>
        </w:rPr>
        <w:t xml:space="preserve"> </w:t>
      </w:r>
      <w:r>
        <w:rPr>
          <w:i/>
          <w:sz w:val="18"/>
        </w:rPr>
        <w:t>China</w:t>
      </w:r>
      <w:r>
        <w:rPr>
          <w:i/>
          <w:spacing w:val="9"/>
          <w:sz w:val="18"/>
        </w:rPr>
        <w:t xml:space="preserve"> </w:t>
      </w:r>
      <w:r>
        <w:rPr>
          <w:i/>
          <w:sz w:val="18"/>
        </w:rPr>
        <w:t>–</w:t>
      </w:r>
      <w:r>
        <w:rPr>
          <w:i/>
          <w:spacing w:val="8"/>
          <w:sz w:val="18"/>
        </w:rPr>
        <w:t xml:space="preserve"> </w:t>
      </w:r>
      <w:r>
        <w:rPr>
          <w:i/>
          <w:sz w:val="18"/>
        </w:rPr>
        <w:t>HP‐SSST</w:t>
      </w:r>
      <w:r>
        <w:rPr>
          <w:i/>
          <w:spacing w:val="7"/>
          <w:sz w:val="18"/>
        </w:rPr>
        <w:t xml:space="preserve"> </w:t>
      </w:r>
      <w:r>
        <w:rPr>
          <w:i/>
          <w:spacing w:val="-2"/>
          <w:sz w:val="18"/>
        </w:rPr>
        <w:t>(EU),</w:t>
      </w:r>
    </w:p>
    <w:p w14:paraId="51DE7CF2" w14:textId="77777777" w:rsidR="0010369C" w:rsidRDefault="008E43AE">
      <w:pPr>
        <w:ind w:left="238"/>
        <w:jc w:val="both"/>
        <w:rPr>
          <w:sz w:val="18"/>
        </w:rPr>
      </w:pPr>
      <w:r>
        <w:rPr>
          <w:sz w:val="18"/>
        </w:rPr>
        <w:t>paras.</w:t>
      </w:r>
      <w:r>
        <w:rPr>
          <w:spacing w:val="-5"/>
          <w:sz w:val="18"/>
        </w:rPr>
        <w:t xml:space="preserve"> </w:t>
      </w:r>
      <w:r>
        <w:rPr>
          <w:spacing w:val="-2"/>
          <w:sz w:val="18"/>
        </w:rPr>
        <w:t>7.218‐7.219.</w:t>
      </w:r>
    </w:p>
    <w:p w14:paraId="51DE7CF3" w14:textId="77777777" w:rsidR="0010369C" w:rsidRDefault="0010369C">
      <w:pPr>
        <w:jc w:val="both"/>
        <w:rPr>
          <w:sz w:val="18"/>
        </w:rPr>
        <w:sectPr w:rsidR="0010369C">
          <w:pgSz w:w="11910" w:h="16840"/>
          <w:pgMar w:top="880" w:right="800" w:bottom="980" w:left="1180" w:header="569" w:footer="788" w:gutter="0"/>
          <w:cols w:space="720"/>
        </w:sectPr>
      </w:pPr>
    </w:p>
    <w:p w14:paraId="51DE7CF4" w14:textId="77777777" w:rsidR="0010369C" w:rsidRDefault="008E43AE">
      <w:pPr>
        <w:tabs>
          <w:tab w:val="left" w:pos="6426"/>
        </w:tabs>
        <w:ind w:left="238"/>
        <w:rPr>
          <w:sz w:val="20"/>
        </w:rPr>
      </w:pPr>
      <w:r>
        <w:rPr>
          <w:i/>
          <w:sz w:val="20"/>
        </w:rPr>
        <w:lastRenderedPageBreak/>
        <w:t>China</w:t>
      </w:r>
      <w:r>
        <w:rPr>
          <w:i/>
          <w:spacing w:val="-5"/>
          <w:sz w:val="20"/>
        </w:rPr>
        <w:t xml:space="preserve"> </w:t>
      </w:r>
      <w:r>
        <w:rPr>
          <w:i/>
          <w:sz w:val="20"/>
        </w:rPr>
        <w:t>–</w:t>
      </w:r>
      <w:r>
        <w:rPr>
          <w:i/>
          <w:spacing w:val="-5"/>
          <w:sz w:val="20"/>
        </w:rPr>
        <w:t xml:space="preserve"> </w:t>
      </w:r>
      <w:r>
        <w:rPr>
          <w:i/>
          <w:sz w:val="20"/>
        </w:rPr>
        <w:t>Anti‐Dumping</w:t>
      </w:r>
      <w:r>
        <w:rPr>
          <w:i/>
          <w:spacing w:val="-4"/>
          <w:sz w:val="20"/>
        </w:rPr>
        <w:t xml:space="preserve"> </w:t>
      </w:r>
      <w:r>
        <w:rPr>
          <w:i/>
          <w:sz w:val="20"/>
        </w:rPr>
        <w:t>and</w:t>
      </w:r>
      <w:r>
        <w:rPr>
          <w:i/>
          <w:spacing w:val="-5"/>
          <w:sz w:val="20"/>
        </w:rPr>
        <w:t xml:space="preserve"> </w:t>
      </w:r>
      <w:r>
        <w:rPr>
          <w:i/>
          <w:sz w:val="20"/>
        </w:rPr>
        <w:t>Countervailing</w:t>
      </w:r>
      <w:r>
        <w:rPr>
          <w:i/>
          <w:spacing w:val="-5"/>
          <w:sz w:val="20"/>
        </w:rPr>
        <w:t xml:space="preserve"> </w:t>
      </w:r>
      <w:r>
        <w:rPr>
          <w:i/>
          <w:sz w:val="20"/>
        </w:rPr>
        <w:t>Duty</w:t>
      </w:r>
      <w:r>
        <w:rPr>
          <w:i/>
          <w:spacing w:val="-4"/>
          <w:sz w:val="20"/>
        </w:rPr>
        <w:t xml:space="preserve"> </w:t>
      </w:r>
      <w:r>
        <w:rPr>
          <w:i/>
          <w:spacing w:val="-2"/>
          <w:sz w:val="20"/>
        </w:rPr>
        <w:t>Measures</w:t>
      </w:r>
      <w:r>
        <w:rPr>
          <w:i/>
          <w:sz w:val="20"/>
        </w:rPr>
        <w:tab/>
      </w:r>
      <w:r>
        <w:rPr>
          <w:sz w:val="20"/>
        </w:rPr>
        <w:t>Australia's</w:t>
      </w:r>
      <w:r>
        <w:rPr>
          <w:spacing w:val="-7"/>
          <w:sz w:val="20"/>
        </w:rPr>
        <w:t xml:space="preserve"> </w:t>
      </w:r>
      <w:r>
        <w:rPr>
          <w:sz w:val="20"/>
        </w:rPr>
        <w:t>First</w:t>
      </w:r>
      <w:r>
        <w:rPr>
          <w:spacing w:val="-2"/>
          <w:sz w:val="20"/>
        </w:rPr>
        <w:t xml:space="preserve"> </w:t>
      </w:r>
      <w:r>
        <w:rPr>
          <w:sz w:val="20"/>
        </w:rPr>
        <w:t>Written</w:t>
      </w:r>
      <w:r>
        <w:rPr>
          <w:spacing w:val="-2"/>
          <w:sz w:val="20"/>
        </w:rPr>
        <w:t xml:space="preserve"> Submission</w:t>
      </w:r>
    </w:p>
    <w:p w14:paraId="51DE7CF5" w14:textId="77777777" w:rsidR="0010369C" w:rsidRDefault="008E43AE">
      <w:pPr>
        <w:tabs>
          <w:tab w:val="left" w:pos="8228"/>
        </w:tabs>
        <w:spacing w:before="1"/>
        <w:ind w:left="239"/>
        <w:rPr>
          <w:sz w:val="20"/>
        </w:rPr>
      </w:pPr>
      <w:r>
        <w:rPr>
          <w:i/>
          <w:sz w:val="20"/>
        </w:rPr>
        <w:t>on</w:t>
      </w:r>
      <w:r>
        <w:rPr>
          <w:i/>
          <w:spacing w:val="-1"/>
          <w:sz w:val="20"/>
        </w:rPr>
        <w:t xml:space="preserve"> </w:t>
      </w:r>
      <w:r>
        <w:rPr>
          <w:i/>
          <w:sz w:val="20"/>
        </w:rPr>
        <w:t>Wine</w:t>
      </w:r>
      <w:r>
        <w:rPr>
          <w:i/>
          <w:spacing w:val="-1"/>
          <w:sz w:val="20"/>
        </w:rPr>
        <w:t xml:space="preserve"> </w:t>
      </w:r>
      <w:r>
        <w:rPr>
          <w:i/>
          <w:sz w:val="20"/>
        </w:rPr>
        <w:t>from</w:t>
      </w:r>
      <w:r>
        <w:rPr>
          <w:i/>
          <w:spacing w:val="-3"/>
          <w:sz w:val="20"/>
        </w:rPr>
        <w:t xml:space="preserve"> </w:t>
      </w:r>
      <w:r>
        <w:rPr>
          <w:i/>
          <w:sz w:val="20"/>
        </w:rPr>
        <w:t>Australia</w:t>
      </w:r>
      <w:r>
        <w:rPr>
          <w:i/>
          <w:spacing w:val="-1"/>
          <w:sz w:val="20"/>
        </w:rPr>
        <w:t xml:space="preserve"> </w:t>
      </w:r>
      <w:r>
        <w:rPr>
          <w:spacing w:val="-2"/>
          <w:sz w:val="20"/>
        </w:rPr>
        <w:t>(DS602)</w:t>
      </w:r>
      <w:r>
        <w:rPr>
          <w:sz w:val="20"/>
        </w:rPr>
        <w:tab/>
        <w:t>29</w:t>
      </w:r>
      <w:r>
        <w:rPr>
          <w:spacing w:val="-1"/>
          <w:sz w:val="20"/>
        </w:rPr>
        <w:t xml:space="preserve"> </w:t>
      </w:r>
      <w:r>
        <w:rPr>
          <w:sz w:val="20"/>
        </w:rPr>
        <w:t>April</w:t>
      </w:r>
      <w:r>
        <w:rPr>
          <w:spacing w:val="-2"/>
          <w:sz w:val="20"/>
        </w:rPr>
        <w:t xml:space="preserve"> </w:t>
      </w:r>
      <w:r>
        <w:rPr>
          <w:spacing w:val="-4"/>
          <w:sz w:val="20"/>
        </w:rPr>
        <w:t>2022</w:t>
      </w:r>
    </w:p>
    <w:p w14:paraId="51DE7CF6" w14:textId="77777777" w:rsidR="0010369C" w:rsidRDefault="008E43AE">
      <w:pPr>
        <w:pStyle w:val="BodyText"/>
        <w:spacing w:before="34" w:line="360" w:lineRule="auto"/>
        <w:ind w:left="238" w:right="614"/>
      </w:pPr>
      <w:r>
        <w:t>the</w:t>
      </w:r>
      <w:r>
        <w:rPr>
          <w:spacing w:val="39"/>
        </w:rPr>
        <w:t xml:space="preserve"> </w:t>
      </w:r>
      <w:r>
        <w:t>only</w:t>
      </w:r>
      <w:r>
        <w:rPr>
          <w:spacing w:val="39"/>
        </w:rPr>
        <w:t xml:space="preserve"> </w:t>
      </w:r>
      <w:r>
        <w:t>time</w:t>
      </w:r>
      <w:r>
        <w:rPr>
          <w:spacing w:val="39"/>
        </w:rPr>
        <w:t xml:space="preserve"> </w:t>
      </w:r>
      <w:r>
        <w:t>information</w:t>
      </w:r>
      <w:r>
        <w:rPr>
          <w:spacing w:val="39"/>
        </w:rPr>
        <w:t xml:space="preserve"> </w:t>
      </w:r>
      <w:r>
        <w:t>may</w:t>
      </w:r>
      <w:r>
        <w:rPr>
          <w:spacing w:val="39"/>
        </w:rPr>
        <w:t xml:space="preserve"> </w:t>
      </w:r>
      <w:r>
        <w:t>be</w:t>
      </w:r>
      <w:r>
        <w:rPr>
          <w:spacing w:val="39"/>
        </w:rPr>
        <w:t xml:space="preserve"> </w:t>
      </w:r>
      <w:r>
        <w:t>requested</w:t>
      </w:r>
      <w:r>
        <w:rPr>
          <w:spacing w:val="37"/>
        </w:rPr>
        <w:t xml:space="preserve"> </w:t>
      </w:r>
      <w:r>
        <w:t>is</w:t>
      </w:r>
      <w:r>
        <w:rPr>
          <w:spacing w:val="39"/>
        </w:rPr>
        <w:t xml:space="preserve"> </w:t>
      </w:r>
      <w:r>
        <w:t>immediately</w:t>
      </w:r>
      <w:r>
        <w:rPr>
          <w:spacing w:val="39"/>
        </w:rPr>
        <w:t xml:space="preserve"> </w:t>
      </w:r>
      <w:r>
        <w:t>after</w:t>
      </w:r>
      <w:r>
        <w:rPr>
          <w:spacing w:val="39"/>
        </w:rPr>
        <w:t xml:space="preserve"> </w:t>
      </w:r>
      <w:r>
        <w:t>initiation</w:t>
      </w:r>
      <w:r>
        <w:rPr>
          <w:spacing w:val="39"/>
        </w:rPr>
        <w:t xml:space="preserve"> </w:t>
      </w:r>
      <w:r>
        <w:t>provided</w:t>
      </w:r>
      <w:r>
        <w:rPr>
          <w:spacing w:val="39"/>
        </w:rPr>
        <w:t xml:space="preserve"> </w:t>
      </w:r>
      <w:r>
        <w:t>the request is made as soon as possible".</w:t>
      </w:r>
      <w:r>
        <w:rPr>
          <w:vertAlign w:val="superscript"/>
        </w:rPr>
        <w:t>42</w:t>
      </w:r>
    </w:p>
    <w:p w14:paraId="51DE7CF7" w14:textId="77777777" w:rsidR="0010369C" w:rsidRDefault="008E43AE">
      <w:pPr>
        <w:pStyle w:val="ListParagraph"/>
        <w:numPr>
          <w:ilvl w:val="4"/>
          <w:numId w:val="75"/>
        </w:numPr>
        <w:tabs>
          <w:tab w:val="left" w:pos="4493"/>
          <w:tab w:val="left" w:pos="4494"/>
        </w:tabs>
        <w:spacing w:before="161"/>
        <w:ind w:hanging="852"/>
        <w:rPr>
          <w:i/>
          <w:sz w:val="24"/>
        </w:rPr>
      </w:pPr>
      <w:r>
        <w:rPr>
          <w:i/>
          <w:sz w:val="24"/>
        </w:rPr>
        <w:t>Paragraphs</w:t>
      </w:r>
      <w:r>
        <w:rPr>
          <w:i/>
          <w:spacing w:val="-8"/>
          <w:sz w:val="24"/>
        </w:rPr>
        <w:t xml:space="preserve"> </w:t>
      </w:r>
      <w:r>
        <w:rPr>
          <w:i/>
          <w:sz w:val="24"/>
        </w:rPr>
        <w:t>3</w:t>
      </w:r>
      <w:r>
        <w:rPr>
          <w:i/>
          <w:spacing w:val="-7"/>
          <w:sz w:val="24"/>
        </w:rPr>
        <w:t xml:space="preserve"> </w:t>
      </w:r>
      <w:r>
        <w:rPr>
          <w:i/>
          <w:sz w:val="24"/>
        </w:rPr>
        <w:t>and</w:t>
      </w:r>
      <w:r>
        <w:rPr>
          <w:i/>
          <w:spacing w:val="-6"/>
          <w:sz w:val="24"/>
        </w:rPr>
        <w:t xml:space="preserve"> </w:t>
      </w:r>
      <w:r>
        <w:rPr>
          <w:i/>
          <w:spacing w:val="-10"/>
          <w:sz w:val="24"/>
        </w:rPr>
        <w:t>5</w:t>
      </w:r>
    </w:p>
    <w:p w14:paraId="51DE7CF8" w14:textId="77777777" w:rsidR="0010369C" w:rsidRDefault="0010369C">
      <w:pPr>
        <w:pStyle w:val="BodyText"/>
        <w:spacing w:before="11"/>
        <w:rPr>
          <w:i/>
          <w:sz w:val="20"/>
        </w:rPr>
      </w:pPr>
    </w:p>
    <w:p w14:paraId="51DE7CF9" w14:textId="77777777" w:rsidR="0010369C" w:rsidRDefault="008E43AE">
      <w:pPr>
        <w:pStyle w:val="BodyText"/>
        <w:spacing w:before="51"/>
        <w:ind w:left="1089"/>
        <w:jc w:val="both"/>
      </w:pPr>
      <w:r>
        <w:rPr>
          <w:noProof/>
        </w:rPr>
        <w:drawing>
          <wp:anchor distT="0" distB="0" distL="0" distR="0" simplePos="0" relativeHeight="250605056" behindDoc="0" locked="0" layoutInCell="1" allowOverlap="1" wp14:anchorId="51DE9D8A" wp14:editId="51DE9D8B">
            <wp:simplePos x="0" y="0"/>
            <wp:positionH relativeFrom="page">
              <wp:posOffset>905255</wp:posOffset>
            </wp:positionH>
            <wp:positionV relativeFrom="paragraph">
              <wp:posOffset>81314</wp:posOffset>
            </wp:positionV>
            <wp:extent cx="179831" cy="100753"/>
            <wp:effectExtent l="0" t="0" r="0" b="0"/>
            <wp:wrapNone/>
            <wp:docPr id="113"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65.png"/>
                    <pic:cNvPicPr/>
                  </pic:nvPicPr>
                  <pic:blipFill>
                    <a:blip r:embed="rId117" cstate="print"/>
                    <a:stretch>
                      <a:fillRect/>
                    </a:stretch>
                  </pic:blipFill>
                  <pic:spPr>
                    <a:xfrm>
                      <a:off x="0" y="0"/>
                      <a:ext cx="179831" cy="100753"/>
                    </a:xfrm>
                    <a:prstGeom prst="rect">
                      <a:avLst/>
                    </a:prstGeom>
                  </pic:spPr>
                </pic:pic>
              </a:graphicData>
            </a:graphic>
          </wp:anchor>
        </w:drawing>
      </w:r>
      <w:r>
        <w:t>Paragraph</w:t>
      </w:r>
      <w:r>
        <w:rPr>
          <w:spacing w:val="-7"/>
        </w:rPr>
        <w:t xml:space="preserve"> </w:t>
      </w:r>
      <w:r>
        <w:t>3</w:t>
      </w:r>
      <w:r>
        <w:rPr>
          <w:spacing w:val="-6"/>
        </w:rPr>
        <w:t xml:space="preserve"> </w:t>
      </w:r>
      <w:r>
        <w:t>of</w:t>
      </w:r>
      <w:r>
        <w:rPr>
          <w:spacing w:val="-6"/>
        </w:rPr>
        <w:t xml:space="preserve"> </w:t>
      </w:r>
      <w:r>
        <w:t>Annex</w:t>
      </w:r>
      <w:r>
        <w:rPr>
          <w:spacing w:val="-6"/>
        </w:rPr>
        <w:t xml:space="preserve"> </w:t>
      </w:r>
      <w:r>
        <w:t>II</w:t>
      </w:r>
      <w:r>
        <w:rPr>
          <w:spacing w:val="-6"/>
        </w:rPr>
        <w:t xml:space="preserve"> </w:t>
      </w:r>
      <w:r>
        <w:t>provides</w:t>
      </w:r>
      <w:r>
        <w:rPr>
          <w:spacing w:val="-6"/>
        </w:rPr>
        <w:t xml:space="preserve"> </w:t>
      </w:r>
      <w:r>
        <w:rPr>
          <w:spacing w:val="-2"/>
        </w:rPr>
        <w:t>that:</w:t>
      </w:r>
    </w:p>
    <w:p w14:paraId="51DE7CFA" w14:textId="77777777" w:rsidR="0010369C" w:rsidRDefault="0010369C">
      <w:pPr>
        <w:pStyle w:val="BodyText"/>
        <w:spacing w:before="1"/>
        <w:rPr>
          <w:sz w:val="25"/>
        </w:rPr>
      </w:pPr>
    </w:p>
    <w:p w14:paraId="51DE7CFB" w14:textId="77777777" w:rsidR="0010369C" w:rsidRDefault="008E43AE">
      <w:pPr>
        <w:ind w:left="1087" w:right="614" w:firstLine="1"/>
        <w:jc w:val="both"/>
      </w:pPr>
      <w:r>
        <w:t>All</w:t>
      </w:r>
      <w:r>
        <w:rPr>
          <w:spacing w:val="-3"/>
        </w:rPr>
        <w:t xml:space="preserve"> </w:t>
      </w:r>
      <w:r>
        <w:t>information</w:t>
      </w:r>
      <w:r>
        <w:rPr>
          <w:spacing w:val="-2"/>
        </w:rPr>
        <w:t xml:space="preserve"> </w:t>
      </w:r>
      <w:r>
        <w:t>which</w:t>
      </w:r>
      <w:r>
        <w:rPr>
          <w:spacing w:val="-2"/>
        </w:rPr>
        <w:t xml:space="preserve"> </w:t>
      </w:r>
      <w:r>
        <w:t>is</w:t>
      </w:r>
      <w:r>
        <w:rPr>
          <w:spacing w:val="-2"/>
        </w:rPr>
        <w:t xml:space="preserve"> </w:t>
      </w:r>
      <w:r>
        <w:t>verifiable,</w:t>
      </w:r>
      <w:r>
        <w:rPr>
          <w:spacing w:val="-3"/>
        </w:rPr>
        <w:t xml:space="preserve"> </w:t>
      </w:r>
      <w:r>
        <w:t>which</w:t>
      </w:r>
      <w:r>
        <w:rPr>
          <w:spacing w:val="-2"/>
        </w:rPr>
        <w:t xml:space="preserve"> </w:t>
      </w:r>
      <w:r>
        <w:t>is</w:t>
      </w:r>
      <w:r>
        <w:rPr>
          <w:spacing w:val="-2"/>
        </w:rPr>
        <w:t xml:space="preserve"> </w:t>
      </w:r>
      <w:r>
        <w:t>appropriately</w:t>
      </w:r>
      <w:r>
        <w:rPr>
          <w:spacing w:val="-3"/>
        </w:rPr>
        <w:t xml:space="preserve"> </w:t>
      </w:r>
      <w:r>
        <w:t>submitted</w:t>
      </w:r>
      <w:r>
        <w:rPr>
          <w:spacing w:val="-2"/>
        </w:rPr>
        <w:t xml:space="preserve"> </w:t>
      </w:r>
      <w:r>
        <w:t>so</w:t>
      </w:r>
      <w:r>
        <w:rPr>
          <w:spacing w:val="-2"/>
        </w:rPr>
        <w:t xml:space="preserve"> </w:t>
      </w:r>
      <w:r>
        <w:t>that</w:t>
      </w:r>
      <w:r>
        <w:rPr>
          <w:spacing w:val="-3"/>
        </w:rPr>
        <w:t xml:space="preserve"> </w:t>
      </w:r>
      <w:r>
        <w:t>it</w:t>
      </w:r>
      <w:r>
        <w:rPr>
          <w:spacing w:val="-2"/>
        </w:rPr>
        <w:t xml:space="preserve"> </w:t>
      </w:r>
      <w:r>
        <w:t>can</w:t>
      </w:r>
      <w:r>
        <w:rPr>
          <w:spacing w:val="-2"/>
        </w:rPr>
        <w:t xml:space="preserve"> </w:t>
      </w:r>
      <w:r>
        <w:t>be</w:t>
      </w:r>
      <w:r>
        <w:rPr>
          <w:spacing w:val="-2"/>
        </w:rPr>
        <w:t xml:space="preserve"> </w:t>
      </w:r>
      <w:r>
        <w:t>used</w:t>
      </w:r>
      <w:r>
        <w:rPr>
          <w:spacing w:val="-2"/>
        </w:rPr>
        <w:t xml:space="preserve"> </w:t>
      </w:r>
      <w:r>
        <w:t>in the</w:t>
      </w:r>
      <w:r>
        <w:rPr>
          <w:spacing w:val="-9"/>
        </w:rPr>
        <w:t xml:space="preserve"> </w:t>
      </w:r>
      <w:r>
        <w:t>investigation</w:t>
      </w:r>
      <w:r>
        <w:rPr>
          <w:spacing w:val="-8"/>
        </w:rPr>
        <w:t xml:space="preserve"> </w:t>
      </w:r>
      <w:r>
        <w:t>without</w:t>
      </w:r>
      <w:r>
        <w:rPr>
          <w:spacing w:val="-9"/>
        </w:rPr>
        <w:t xml:space="preserve"> </w:t>
      </w:r>
      <w:r>
        <w:t>undue</w:t>
      </w:r>
      <w:r>
        <w:rPr>
          <w:spacing w:val="-7"/>
        </w:rPr>
        <w:t xml:space="preserve"> </w:t>
      </w:r>
      <w:r>
        <w:t>difficulties,</w:t>
      </w:r>
      <w:r>
        <w:rPr>
          <w:spacing w:val="-8"/>
        </w:rPr>
        <w:t xml:space="preserve"> </w:t>
      </w:r>
      <w:r>
        <w:t>which</w:t>
      </w:r>
      <w:r>
        <w:rPr>
          <w:spacing w:val="-8"/>
        </w:rPr>
        <w:t xml:space="preserve"> </w:t>
      </w:r>
      <w:r>
        <w:t>is</w:t>
      </w:r>
      <w:r>
        <w:rPr>
          <w:spacing w:val="-8"/>
        </w:rPr>
        <w:t xml:space="preserve"> </w:t>
      </w:r>
      <w:r>
        <w:t>supplied</w:t>
      </w:r>
      <w:r>
        <w:rPr>
          <w:spacing w:val="-9"/>
        </w:rPr>
        <w:t xml:space="preserve"> </w:t>
      </w:r>
      <w:r>
        <w:t>in</w:t>
      </w:r>
      <w:r>
        <w:rPr>
          <w:spacing w:val="-8"/>
        </w:rPr>
        <w:t xml:space="preserve"> </w:t>
      </w:r>
      <w:r>
        <w:t>a</w:t>
      </w:r>
      <w:r>
        <w:rPr>
          <w:spacing w:val="-8"/>
        </w:rPr>
        <w:t xml:space="preserve"> </w:t>
      </w:r>
      <w:r>
        <w:t>timely</w:t>
      </w:r>
      <w:r>
        <w:rPr>
          <w:spacing w:val="-9"/>
        </w:rPr>
        <w:t xml:space="preserve"> </w:t>
      </w:r>
      <w:r>
        <w:t>fashion,</w:t>
      </w:r>
      <w:r>
        <w:rPr>
          <w:spacing w:val="-7"/>
        </w:rPr>
        <w:t xml:space="preserve"> </w:t>
      </w:r>
      <w:r>
        <w:t>and,</w:t>
      </w:r>
      <w:r>
        <w:rPr>
          <w:spacing w:val="-8"/>
        </w:rPr>
        <w:t xml:space="preserve"> </w:t>
      </w:r>
      <w:r>
        <w:t>where applicable, which is supplied in a medium or computer language requested by the authorities,</w:t>
      </w:r>
      <w:r>
        <w:rPr>
          <w:spacing w:val="-8"/>
        </w:rPr>
        <w:t xml:space="preserve"> </w:t>
      </w:r>
      <w:r>
        <w:t>should</w:t>
      </w:r>
      <w:r>
        <w:rPr>
          <w:spacing w:val="-7"/>
        </w:rPr>
        <w:t xml:space="preserve"> </w:t>
      </w:r>
      <w:r>
        <w:t>be</w:t>
      </w:r>
      <w:r>
        <w:rPr>
          <w:spacing w:val="-6"/>
        </w:rPr>
        <w:t xml:space="preserve"> </w:t>
      </w:r>
      <w:r>
        <w:t>taken</w:t>
      </w:r>
      <w:r>
        <w:rPr>
          <w:spacing w:val="-8"/>
        </w:rPr>
        <w:t xml:space="preserve"> </w:t>
      </w:r>
      <w:r>
        <w:t>into</w:t>
      </w:r>
      <w:r>
        <w:rPr>
          <w:spacing w:val="-6"/>
        </w:rPr>
        <w:t xml:space="preserve"> </w:t>
      </w:r>
      <w:r>
        <w:t>account</w:t>
      </w:r>
      <w:r>
        <w:rPr>
          <w:spacing w:val="-8"/>
        </w:rPr>
        <w:t xml:space="preserve"> </w:t>
      </w:r>
      <w:r>
        <w:t>when</w:t>
      </w:r>
      <w:r>
        <w:rPr>
          <w:spacing w:val="-7"/>
        </w:rPr>
        <w:t xml:space="preserve"> </w:t>
      </w:r>
      <w:r>
        <w:t>determinations</w:t>
      </w:r>
      <w:r>
        <w:rPr>
          <w:spacing w:val="-6"/>
        </w:rPr>
        <w:t xml:space="preserve"> </w:t>
      </w:r>
      <w:r>
        <w:t>are</w:t>
      </w:r>
      <w:r>
        <w:rPr>
          <w:spacing w:val="-6"/>
        </w:rPr>
        <w:t xml:space="preserve"> </w:t>
      </w:r>
      <w:r>
        <w:t>made.</w:t>
      </w:r>
      <w:r>
        <w:rPr>
          <w:spacing w:val="-8"/>
        </w:rPr>
        <w:t xml:space="preserve"> </w:t>
      </w:r>
      <w:r>
        <w:t>If</w:t>
      </w:r>
      <w:r>
        <w:rPr>
          <w:spacing w:val="-7"/>
        </w:rPr>
        <w:t xml:space="preserve"> </w:t>
      </w:r>
      <w:r>
        <w:t>a</w:t>
      </w:r>
      <w:r>
        <w:rPr>
          <w:spacing w:val="-7"/>
        </w:rPr>
        <w:t xml:space="preserve"> </w:t>
      </w:r>
      <w:r>
        <w:t>party</w:t>
      </w:r>
      <w:r>
        <w:rPr>
          <w:spacing w:val="-7"/>
        </w:rPr>
        <w:t xml:space="preserve"> </w:t>
      </w:r>
      <w:r>
        <w:t>does</w:t>
      </w:r>
      <w:r>
        <w:rPr>
          <w:spacing w:val="-7"/>
        </w:rPr>
        <w:t xml:space="preserve"> </w:t>
      </w:r>
      <w:r>
        <w:t>not respond in the preferred medium or computer language but the authorities find that the circumstances set out in paragraph 2 have been satisfied, the failure to respond in the preferred medium or computer language should not be considered to significant</w:t>
      </w:r>
      <w:r>
        <w:t>ly impede the investigation.</w:t>
      </w:r>
    </w:p>
    <w:p w14:paraId="51DE7CFC" w14:textId="77777777" w:rsidR="0010369C" w:rsidRDefault="0010369C">
      <w:pPr>
        <w:pStyle w:val="BodyText"/>
        <w:spacing w:before="5"/>
        <w:rPr>
          <w:sz w:val="15"/>
        </w:rPr>
      </w:pPr>
    </w:p>
    <w:p w14:paraId="51DE7CFD" w14:textId="77777777" w:rsidR="0010369C" w:rsidRDefault="008E43AE">
      <w:pPr>
        <w:pStyle w:val="BodyText"/>
        <w:spacing w:before="52" w:line="360" w:lineRule="auto"/>
        <w:ind w:left="237" w:right="613" w:firstLine="852"/>
        <w:jc w:val="both"/>
      </w:pPr>
      <w:r>
        <w:rPr>
          <w:noProof/>
        </w:rPr>
        <w:drawing>
          <wp:anchor distT="0" distB="0" distL="0" distR="0" simplePos="0" relativeHeight="250756608" behindDoc="1" locked="0" layoutInCell="1" allowOverlap="1" wp14:anchorId="51DE9D8C" wp14:editId="51DE9D8D">
            <wp:simplePos x="0" y="0"/>
            <wp:positionH relativeFrom="page">
              <wp:posOffset>905255</wp:posOffset>
            </wp:positionH>
            <wp:positionV relativeFrom="paragraph">
              <wp:posOffset>81357</wp:posOffset>
            </wp:positionV>
            <wp:extent cx="179831" cy="103631"/>
            <wp:effectExtent l="0" t="0" r="0" b="0"/>
            <wp:wrapNone/>
            <wp:docPr id="115" name="image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66.png"/>
                    <pic:cNvPicPr/>
                  </pic:nvPicPr>
                  <pic:blipFill>
                    <a:blip r:embed="rId118" cstate="print"/>
                    <a:stretch>
                      <a:fillRect/>
                    </a:stretch>
                  </pic:blipFill>
                  <pic:spPr>
                    <a:xfrm>
                      <a:off x="0" y="0"/>
                      <a:ext cx="179831" cy="103631"/>
                    </a:xfrm>
                    <a:prstGeom prst="rect">
                      <a:avLst/>
                    </a:prstGeom>
                  </pic:spPr>
                </pic:pic>
              </a:graphicData>
            </a:graphic>
          </wp:anchor>
        </w:drawing>
      </w:r>
      <w:r>
        <w:t>Paragraph</w:t>
      </w:r>
      <w:r>
        <w:rPr>
          <w:spacing w:val="-5"/>
        </w:rPr>
        <w:t xml:space="preserve"> </w:t>
      </w:r>
      <w:r>
        <w:t>3</w:t>
      </w:r>
      <w:r>
        <w:rPr>
          <w:spacing w:val="-4"/>
        </w:rPr>
        <w:t xml:space="preserve"> </w:t>
      </w:r>
      <w:r>
        <w:t>of</w:t>
      </w:r>
      <w:r>
        <w:rPr>
          <w:spacing w:val="-4"/>
        </w:rPr>
        <w:t xml:space="preserve"> </w:t>
      </w:r>
      <w:r>
        <w:t>Annex</w:t>
      </w:r>
      <w:r>
        <w:rPr>
          <w:spacing w:val="-4"/>
        </w:rPr>
        <w:t xml:space="preserve"> </w:t>
      </w:r>
      <w:r>
        <w:t>II</w:t>
      </w:r>
      <w:r>
        <w:rPr>
          <w:spacing w:val="-2"/>
        </w:rPr>
        <w:t xml:space="preserve"> </w:t>
      </w:r>
      <w:r>
        <w:t>sets</w:t>
      </w:r>
      <w:r>
        <w:rPr>
          <w:spacing w:val="-4"/>
        </w:rPr>
        <w:t xml:space="preserve"> </w:t>
      </w:r>
      <w:r>
        <w:t>out</w:t>
      </w:r>
      <w:r>
        <w:rPr>
          <w:spacing w:val="-4"/>
        </w:rPr>
        <w:t xml:space="preserve"> </w:t>
      </w:r>
      <w:r>
        <w:t>certain</w:t>
      </w:r>
      <w:r>
        <w:rPr>
          <w:spacing w:val="-4"/>
        </w:rPr>
        <w:t xml:space="preserve"> </w:t>
      </w:r>
      <w:r>
        <w:t>criteria</w:t>
      </w:r>
      <w:r>
        <w:rPr>
          <w:spacing w:val="-4"/>
        </w:rPr>
        <w:t xml:space="preserve"> </w:t>
      </w:r>
      <w:r>
        <w:t>concerning</w:t>
      </w:r>
      <w:r>
        <w:rPr>
          <w:spacing w:val="-4"/>
        </w:rPr>
        <w:t xml:space="preserve"> </w:t>
      </w:r>
      <w:r>
        <w:t>information</w:t>
      </w:r>
      <w:r>
        <w:rPr>
          <w:spacing w:val="-3"/>
        </w:rPr>
        <w:t xml:space="preserve"> </w:t>
      </w:r>
      <w:r>
        <w:t>which,</w:t>
      </w:r>
      <w:r>
        <w:rPr>
          <w:spacing w:val="-4"/>
        </w:rPr>
        <w:t xml:space="preserve"> </w:t>
      </w:r>
      <w:r>
        <w:t>when satisfied, oblige an investigating authority to take that information into account when determinations are made. Conversely, paragraph 3 als</w:t>
      </w:r>
      <w:r>
        <w:t>o governs when an investigating authority may reject information submitted to it.</w:t>
      </w:r>
      <w:r>
        <w:rPr>
          <w:vertAlign w:val="superscript"/>
        </w:rPr>
        <w:t>43</w:t>
      </w:r>
    </w:p>
    <w:p w14:paraId="51DE7CFE" w14:textId="77777777" w:rsidR="0010369C" w:rsidRDefault="008E43AE">
      <w:pPr>
        <w:pStyle w:val="BodyText"/>
        <w:spacing w:before="161"/>
        <w:ind w:left="1089"/>
        <w:jc w:val="both"/>
      </w:pPr>
      <w:r>
        <w:rPr>
          <w:noProof/>
        </w:rPr>
        <w:drawing>
          <wp:anchor distT="0" distB="0" distL="0" distR="0" simplePos="0" relativeHeight="250606080" behindDoc="0" locked="0" layoutInCell="1" allowOverlap="1" wp14:anchorId="51DE9D8E" wp14:editId="51DE9D8F">
            <wp:simplePos x="0" y="0"/>
            <wp:positionH relativeFrom="page">
              <wp:posOffset>905255</wp:posOffset>
            </wp:positionH>
            <wp:positionV relativeFrom="paragraph">
              <wp:posOffset>151165</wp:posOffset>
            </wp:positionV>
            <wp:extent cx="179831" cy="100753"/>
            <wp:effectExtent l="0" t="0" r="0" b="0"/>
            <wp:wrapNone/>
            <wp:docPr id="117" name="image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67.png"/>
                    <pic:cNvPicPr/>
                  </pic:nvPicPr>
                  <pic:blipFill>
                    <a:blip r:embed="rId119" cstate="print"/>
                    <a:stretch>
                      <a:fillRect/>
                    </a:stretch>
                  </pic:blipFill>
                  <pic:spPr>
                    <a:xfrm>
                      <a:off x="0" y="0"/>
                      <a:ext cx="179831" cy="100753"/>
                    </a:xfrm>
                    <a:prstGeom prst="rect">
                      <a:avLst/>
                    </a:prstGeom>
                  </pic:spPr>
                </pic:pic>
              </a:graphicData>
            </a:graphic>
          </wp:anchor>
        </w:drawing>
      </w:r>
      <w:r>
        <w:t>Paragraph</w:t>
      </w:r>
      <w:r>
        <w:rPr>
          <w:spacing w:val="-8"/>
        </w:rPr>
        <w:t xml:space="preserve"> </w:t>
      </w:r>
      <w:r>
        <w:t>5</w:t>
      </w:r>
      <w:r>
        <w:rPr>
          <w:spacing w:val="-7"/>
        </w:rPr>
        <w:t xml:space="preserve"> </w:t>
      </w:r>
      <w:r>
        <w:t>of</w:t>
      </w:r>
      <w:r>
        <w:rPr>
          <w:spacing w:val="-7"/>
        </w:rPr>
        <w:t xml:space="preserve"> </w:t>
      </w:r>
      <w:r>
        <w:t>Annex</w:t>
      </w:r>
      <w:r>
        <w:rPr>
          <w:spacing w:val="-7"/>
        </w:rPr>
        <w:t xml:space="preserve"> </w:t>
      </w:r>
      <w:r>
        <w:t>II</w:t>
      </w:r>
      <w:r>
        <w:rPr>
          <w:spacing w:val="-7"/>
        </w:rPr>
        <w:t xml:space="preserve"> </w:t>
      </w:r>
      <w:r>
        <w:t>is</w:t>
      </w:r>
      <w:r>
        <w:rPr>
          <w:spacing w:val="-6"/>
        </w:rPr>
        <w:t xml:space="preserve"> </w:t>
      </w:r>
      <w:r>
        <w:t>a</w:t>
      </w:r>
      <w:r>
        <w:rPr>
          <w:spacing w:val="-7"/>
        </w:rPr>
        <w:t xml:space="preserve"> </w:t>
      </w:r>
      <w:r>
        <w:t>"complement"</w:t>
      </w:r>
      <w:r>
        <w:rPr>
          <w:spacing w:val="-7"/>
        </w:rPr>
        <w:t xml:space="preserve"> </w:t>
      </w:r>
      <w:r>
        <w:t>to</w:t>
      </w:r>
      <w:r>
        <w:rPr>
          <w:spacing w:val="-6"/>
        </w:rPr>
        <w:t xml:space="preserve"> </w:t>
      </w:r>
      <w:r>
        <w:t>paragraph</w:t>
      </w:r>
      <w:r>
        <w:rPr>
          <w:spacing w:val="-6"/>
        </w:rPr>
        <w:t xml:space="preserve"> </w:t>
      </w:r>
      <w:r>
        <w:t>3,</w:t>
      </w:r>
      <w:r>
        <w:rPr>
          <w:vertAlign w:val="superscript"/>
        </w:rPr>
        <w:t>44</w:t>
      </w:r>
      <w:r>
        <w:rPr>
          <w:spacing w:val="-7"/>
        </w:rPr>
        <w:t xml:space="preserve"> </w:t>
      </w:r>
      <w:r>
        <w:t>and</w:t>
      </w:r>
      <w:r>
        <w:rPr>
          <w:spacing w:val="-7"/>
        </w:rPr>
        <w:t xml:space="preserve"> </w:t>
      </w:r>
      <w:r>
        <w:t>provides</w:t>
      </w:r>
      <w:r>
        <w:rPr>
          <w:spacing w:val="-7"/>
        </w:rPr>
        <w:t xml:space="preserve"> </w:t>
      </w:r>
      <w:r>
        <w:rPr>
          <w:spacing w:val="-2"/>
        </w:rPr>
        <w:t>that:</w:t>
      </w:r>
    </w:p>
    <w:p w14:paraId="51DE7CFF" w14:textId="77777777" w:rsidR="0010369C" w:rsidRDefault="0010369C">
      <w:pPr>
        <w:pStyle w:val="BodyText"/>
        <w:spacing w:before="1"/>
        <w:rPr>
          <w:sz w:val="25"/>
        </w:rPr>
      </w:pPr>
    </w:p>
    <w:p w14:paraId="51DE7D00" w14:textId="77777777" w:rsidR="0010369C" w:rsidRDefault="008E43AE">
      <w:pPr>
        <w:spacing w:line="276" w:lineRule="auto"/>
        <w:ind w:left="1089" w:right="613" w:hanging="1"/>
        <w:jc w:val="both"/>
      </w:pPr>
      <w:r>
        <w:t>Even</w:t>
      </w:r>
      <w:r>
        <w:rPr>
          <w:spacing w:val="-6"/>
        </w:rPr>
        <w:t xml:space="preserve"> </w:t>
      </w:r>
      <w:r>
        <w:t>though</w:t>
      </w:r>
      <w:r>
        <w:rPr>
          <w:spacing w:val="-6"/>
        </w:rPr>
        <w:t xml:space="preserve"> </w:t>
      </w:r>
      <w:r>
        <w:t>the</w:t>
      </w:r>
      <w:r>
        <w:rPr>
          <w:spacing w:val="-7"/>
        </w:rPr>
        <w:t xml:space="preserve"> </w:t>
      </w:r>
      <w:r>
        <w:t>information</w:t>
      </w:r>
      <w:r>
        <w:rPr>
          <w:spacing w:val="-6"/>
        </w:rPr>
        <w:t xml:space="preserve"> </w:t>
      </w:r>
      <w:r>
        <w:t>provided</w:t>
      </w:r>
      <w:r>
        <w:rPr>
          <w:spacing w:val="-5"/>
        </w:rPr>
        <w:t xml:space="preserve"> </w:t>
      </w:r>
      <w:r>
        <w:t>may</w:t>
      </w:r>
      <w:r>
        <w:rPr>
          <w:spacing w:val="-6"/>
        </w:rPr>
        <w:t xml:space="preserve"> </w:t>
      </w:r>
      <w:r>
        <w:t>not</w:t>
      </w:r>
      <w:r>
        <w:rPr>
          <w:spacing w:val="-6"/>
        </w:rPr>
        <w:t xml:space="preserve"> </w:t>
      </w:r>
      <w:r>
        <w:t>be</w:t>
      </w:r>
      <w:r>
        <w:rPr>
          <w:spacing w:val="-7"/>
        </w:rPr>
        <w:t xml:space="preserve"> </w:t>
      </w:r>
      <w:r>
        <w:t>ideal</w:t>
      </w:r>
      <w:r>
        <w:rPr>
          <w:spacing w:val="-6"/>
        </w:rPr>
        <w:t xml:space="preserve"> </w:t>
      </w:r>
      <w:r>
        <w:t>in</w:t>
      </w:r>
      <w:r>
        <w:rPr>
          <w:spacing w:val="-7"/>
        </w:rPr>
        <w:t xml:space="preserve"> </w:t>
      </w:r>
      <w:r>
        <w:t>all</w:t>
      </w:r>
      <w:r>
        <w:rPr>
          <w:spacing w:val="-5"/>
        </w:rPr>
        <w:t xml:space="preserve"> </w:t>
      </w:r>
      <w:r>
        <w:t>respects,</w:t>
      </w:r>
      <w:r>
        <w:rPr>
          <w:spacing w:val="-7"/>
        </w:rPr>
        <w:t xml:space="preserve"> </w:t>
      </w:r>
      <w:r>
        <w:t>this</w:t>
      </w:r>
      <w:r>
        <w:rPr>
          <w:spacing w:val="-6"/>
        </w:rPr>
        <w:t xml:space="preserve"> </w:t>
      </w:r>
      <w:r>
        <w:t>should</w:t>
      </w:r>
      <w:r>
        <w:rPr>
          <w:spacing w:val="-6"/>
        </w:rPr>
        <w:t xml:space="preserve"> </w:t>
      </w:r>
      <w:r>
        <w:t>not</w:t>
      </w:r>
      <w:r>
        <w:rPr>
          <w:spacing w:val="-7"/>
        </w:rPr>
        <w:t xml:space="preserve"> </w:t>
      </w:r>
      <w:r>
        <w:t>justify the</w:t>
      </w:r>
      <w:r>
        <w:rPr>
          <w:spacing w:val="-8"/>
        </w:rPr>
        <w:t xml:space="preserve"> </w:t>
      </w:r>
      <w:r>
        <w:t>authorities</w:t>
      </w:r>
      <w:r>
        <w:rPr>
          <w:spacing w:val="-8"/>
        </w:rPr>
        <w:t xml:space="preserve"> </w:t>
      </w:r>
      <w:r>
        <w:t>from</w:t>
      </w:r>
      <w:r>
        <w:rPr>
          <w:spacing w:val="-8"/>
        </w:rPr>
        <w:t xml:space="preserve"> </w:t>
      </w:r>
      <w:r>
        <w:t>disregarding</w:t>
      </w:r>
      <w:r>
        <w:rPr>
          <w:spacing w:val="-8"/>
        </w:rPr>
        <w:t xml:space="preserve"> </w:t>
      </w:r>
      <w:r>
        <w:t>it,</w:t>
      </w:r>
      <w:r>
        <w:rPr>
          <w:spacing w:val="-8"/>
        </w:rPr>
        <w:t xml:space="preserve"> </w:t>
      </w:r>
      <w:r>
        <w:t>provided</w:t>
      </w:r>
      <w:r>
        <w:rPr>
          <w:spacing w:val="-8"/>
        </w:rPr>
        <w:t xml:space="preserve"> </w:t>
      </w:r>
      <w:r>
        <w:t>the</w:t>
      </w:r>
      <w:r>
        <w:rPr>
          <w:spacing w:val="-8"/>
        </w:rPr>
        <w:t xml:space="preserve"> </w:t>
      </w:r>
      <w:r>
        <w:t>interested</w:t>
      </w:r>
      <w:r>
        <w:rPr>
          <w:spacing w:val="-7"/>
        </w:rPr>
        <w:t xml:space="preserve"> </w:t>
      </w:r>
      <w:r>
        <w:t>party</w:t>
      </w:r>
      <w:r>
        <w:rPr>
          <w:spacing w:val="-9"/>
        </w:rPr>
        <w:t xml:space="preserve"> </w:t>
      </w:r>
      <w:r>
        <w:t>has</w:t>
      </w:r>
      <w:r>
        <w:rPr>
          <w:spacing w:val="-8"/>
        </w:rPr>
        <w:t xml:space="preserve"> </w:t>
      </w:r>
      <w:r>
        <w:t>acted</w:t>
      </w:r>
      <w:r>
        <w:rPr>
          <w:spacing w:val="-8"/>
        </w:rPr>
        <w:t xml:space="preserve"> </w:t>
      </w:r>
      <w:r>
        <w:t>to</w:t>
      </w:r>
      <w:r>
        <w:rPr>
          <w:spacing w:val="-8"/>
        </w:rPr>
        <w:t xml:space="preserve"> </w:t>
      </w:r>
      <w:r>
        <w:t>the</w:t>
      </w:r>
      <w:r>
        <w:rPr>
          <w:spacing w:val="-8"/>
        </w:rPr>
        <w:t xml:space="preserve"> </w:t>
      </w:r>
      <w:r>
        <w:t>best</w:t>
      </w:r>
      <w:r>
        <w:rPr>
          <w:spacing w:val="-8"/>
        </w:rPr>
        <w:t xml:space="preserve"> </w:t>
      </w:r>
      <w:r>
        <w:t>of</w:t>
      </w:r>
      <w:r>
        <w:rPr>
          <w:spacing w:val="-8"/>
        </w:rPr>
        <w:t xml:space="preserve"> </w:t>
      </w:r>
      <w:r>
        <w:t xml:space="preserve">its </w:t>
      </w:r>
      <w:r>
        <w:rPr>
          <w:spacing w:val="-2"/>
        </w:rPr>
        <w:t>ability.</w:t>
      </w:r>
    </w:p>
    <w:p w14:paraId="51DE7D01" w14:textId="77777777" w:rsidR="0010369C" w:rsidRDefault="0010369C">
      <w:pPr>
        <w:pStyle w:val="BodyText"/>
        <w:spacing w:before="4"/>
        <w:rPr>
          <w:sz w:val="15"/>
        </w:rPr>
      </w:pPr>
    </w:p>
    <w:p w14:paraId="51DE7D02" w14:textId="77777777" w:rsidR="0010369C" w:rsidRDefault="008E43AE">
      <w:pPr>
        <w:pStyle w:val="BodyText"/>
        <w:spacing w:before="52" w:line="360" w:lineRule="auto"/>
        <w:ind w:left="237" w:right="616" w:firstLine="851"/>
        <w:jc w:val="both"/>
      </w:pPr>
      <w:r>
        <w:rPr>
          <w:noProof/>
        </w:rPr>
        <w:drawing>
          <wp:anchor distT="0" distB="0" distL="0" distR="0" simplePos="0" relativeHeight="250757632" behindDoc="1" locked="0" layoutInCell="1" allowOverlap="1" wp14:anchorId="51DE9D90" wp14:editId="51DE9D91">
            <wp:simplePos x="0" y="0"/>
            <wp:positionH relativeFrom="page">
              <wp:posOffset>905255</wp:posOffset>
            </wp:positionH>
            <wp:positionV relativeFrom="paragraph">
              <wp:posOffset>76786</wp:posOffset>
            </wp:positionV>
            <wp:extent cx="179831" cy="106679"/>
            <wp:effectExtent l="0" t="0" r="0" b="0"/>
            <wp:wrapNone/>
            <wp:docPr id="119"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68.png"/>
                    <pic:cNvPicPr/>
                  </pic:nvPicPr>
                  <pic:blipFill>
                    <a:blip r:embed="rId120" cstate="print"/>
                    <a:stretch>
                      <a:fillRect/>
                    </a:stretch>
                  </pic:blipFill>
                  <pic:spPr>
                    <a:xfrm>
                      <a:off x="0" y="0"/>
                      <a:ext cx="179831" cy="106679"/>
                    </a:xfrm>
                    <a:prstGeom prst="rect">
                      <a:avLst/>
                    </a:prstGeom>
                  </pic:spPr>
                </pic:pic>
              </a:graphicData>
            </a:graphic>
          </wp:anchor>
        </w:drawing>
      </w:r>
      <w:r>
        <w:t xml:space="preserve">Therefore, information that satisfies the criteria of paragraph 3 but which "may not be ideal in all respects" nevertheless should be taken </w:t>
      </w:r>
      <w:r>
        <w:t>into account by an investigating authority provided the interested party has "acted to the best of its ability".</w:t>
      </w:r>
    </w:p>
    <w:p w14:paraId="51DE7D03" w14:textId="77777777" w:rsidR="0010369C" w:rsidRDefault="0010369C">
      <w:pPr>
        <w:pStyle w:val="BodyText"/>
        <w:spacing w:before="11"/>
        <w:rPr>
          <w:sz w:val="8"/>
        </w:rPr>
      </w:pPr>
    </w:p>
    <w:p w14:paraId="51DE7D04" w14:textId="77777777" w:rsidR="0010369C" w:rsidRDefault="008E43AE">
      <w:pPr>
        <w:pStyle w:val="BodyText"/>
        <w:spacing w:before="51" w:line="360" w:lineRule="auto"/>
        <w:ind w:left="236" w:right="613" w:firstLine="852"/>
        <w:jc w:val="both"/>
      </w:pPr>
      <w:r>
        <w:rPr>
          <w:noProof/>
        </w:rPr>
        <w:drawing>
          <wp:anchor distT="0" distB="0" distL="0" distR="0" simplePos="0" relativeHeight="250758656" behindDoc="1" locked="0" layoutInCell="1" allowOverlap="1" wp14:anchorId="51DE9D92" wp14:editId="51DE9D93">
            <wp:simplePos x="0" y="0"/>
            <wp:positionH relativeFrom="page">
              <wp:posOffset>905255</wp:posOffset>
            </wp:positionH>
            <wp:positionV relativeFrom="paragraph">
              <wp:posOffset>76150</wp:posOffset>
            </wp:positionV>
            <wp:extent cx="179831" cy="106679"/>
            <wp:effectExtent l="0" t="0" r="0" b="0"/>
            <wp:wrapNone/>
            <wp:docPr id="121"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69.png"/>
                    <pic:cNvPicPr/>
                  </pic:nvPicPr>
                  <pic:blipFill>
                    <a:blip r:embed="rId121" cstate="print"/>
                    <a:stretch>
                      <a:fillRect/>
                    </a:stretch>
                  </pic:blipFill>
                  <pic:spPr>
                    <a:xfrm>
                      <a:off x="0" y="0"/>
                      <a:ext cx="179831" cy="106679"/>
                    </a:xfrm>
                    <a:prstGeom prst="rect">
                      <a:avLst/>
                    </a:prstGeom>
                  </pic:spPr>
                </pic:pic>
              </a:graphicData>
            </a:graphic>
          </wp:anchor>
        </w:drawing>
      </w:r>
      <w:r>
        <w:t>According</w:t>
      </w:r>
      <w:r>
        <w:rPr>
          <w:spacing w:val="-14"/>
        </w:rPr>
        <w:t xml:space="preserve"> </w:t>
      </w:r>
      <w:r>
        <w:t>to</w:t>
      </w:r>
      <w:r>
        <w:rPr>
          <w:spacing w:val="-14"/>
        </w:rPr>
        <w:t xml:space="preserve"> </w:t>
      </w:r>
      <w:r>
        <w:t>paragraph</w:t>
      </w:r>
      <w:r>
        <w:rPr>
          <w:spacing w:val="-13"/>
        </w:rPr>
        <w:t xml:space="preserve"> </w:t>
      </w:r>
      <w:r>
        <w:t>3,</w:t>
      </w:r>
      <w:r>
        <w:rPr>
          <w:spacing w:val="-14"/>
        </w:rPr>
        <w:t xml:space="preserve"> </w:t>
      </w:r>
      <w:r>
        <w:t>information</w:t>
      </w:r>
      <w:r>
        <w:rPr>
          <w:spacing w:val="-13"/>
        </w:rPr>
        <w:t xml:space="preserve"> </w:t>
      </w:r>
      <w:r>
        <w:t>which</w:t>
      </w:r>
      <w:r>
        <w:rPr>
          <w:spacing w:val="-14"/>
        </w:rPr>
        <w:t xml:space="preserve"> </w:t>
      </w:r>
      <w:r>
        <w:t>is</w:t>
      </w:r>
      <w:r>
        <w:rPr>
          <w:spacing w:val="-13"/>
        </w:rPr>
        <w:t xml:space="preserve"> </w:t>
      </w:r>
      <w:r>
        <w:t>"verifiable",</w:t>
      </w:r>
      <w:r>
        <w:rPr>
          <w:spacing w:val="-14"/>
        </w:rPr>
        <w:t xml:space="preserve"> </w:t>
      </w:r>
      <w:r>
        <w:t>"appropriately</w:t>
      </w:r>
      <w:r>
        <w:rPr>
          <w:spacing w:val="-14"/>
        </w:rPr>
        <w:t xml:space="preserve"> </w:t>
      </w:r>
      <w:r>
        <w:t>submitted so that it can be used … without</w:t>
      </w:r>
      <w:r>
        <w:rPr>
          <w:spacing w:val="-1"/>
        </w:rPr>
        <w:t xml:space="preserve"> </w:t>
      </w:r>
      <w:r>
        <w:t>undue difficulties", "supplied</w:t>
      </w:r>
      <w:r>
        <w:rPr>
          <w:spacing w:val="-1"/>
        </w:rPr>
        <w:t xml:space="preserve"> </w:t>
      </w:r>
      <w:r>
        <w:t>in a timely fashion" and where applicable,</w:t>
      </w:r>
      <w:r>
        <w:rPr>
          <w:spacing w:val="-10"/>
        </w:rPr>
        <w:t xml:space="preserve"> </w:t>
      </w:r>
      <w:r>
        <w:t>"supplied</w:t>
      </w:r>
      <w:r>
        <w:rPr>
          <w:spacing w:val="-10"/>
        </w:rPr>
        <w:t xml:space="preserve"> </w:t>
      </w:r>
      <w:r>
        <w:t>in</w:t>
      </w:r>
      <w:r>
        <w:rPr>
          <w:spacing w:val="-10"/>
        </w:rPr>
        <w:t xml:space="preserve"> </w:t>
      </w:r>
      <w:r>
        <w:t>a</w:t>
      </w:r>
      <w:r>
        <w:rPr>
          <w:spacing w:val="-9"/>
        </w:rPr>
        <w:t xml:space="preserve"> </w:t>
      </w:r>
      <w:r>
        <w:t>medium</w:t>
      </w:r>
      <w:r>
        <w:rPr>
          <w:spacing w:val="-10"/>
        </w:rPr>
        <w:t xml:space="preserve"> </w:t>
      </w:r>
      <w:r>
        <w:t>or</w:t>
      </w:r>
      <w:r>
        <w:rPr>
          <w:spacing w:val="-10"/>
        </w:rPr>
        <w:t xml:space="preserve"> </w:t>
      </w:r>
      <w:r>
        <w:t>computer</w:t>
      </w:r>
      <w:r>
        <w:rPr>
          <w:spacing w:val="-10"/>
        </w:rPr>
        <w:t xml:space="preserve"> </w:t>
      </w:r>
      <w:r>
        <w:t>language</w:t>
      </w:r>
      <w:r>
        <w:rPr>
          <w:spacing w:val="-8"/>
        </w:rPr>
        <w:t xml:space="preserve"> </w:t>
      </w:r>
      <w:r>
        <w:t>requested</w:t>
      </w:r>
      <w:r>
        <w:rPr>
          <w:spacing w:val="-11"/>
        </w:rPr>
        <w:t xml:space="preserve"> </w:t>
      </w:r>
      <w:r>
        <w:t>by</w:t>
      </w:r>
      <w:r>
        <w:rPr>
          <w:spacing w:val="-9"/>
        </w:rPr>
        <w:t xml:space="preserve"> </w:t>
      </w:r>
      <w:r>
        <w:t>the</w:t>
      </w:r>
      <w:r>
        <w:rPr>
          <w:spacing w:val="-9"/>
        </w:rPr>
        <w:t xml:space="preserve"> </w:t>
      </w:r>
      <w:r>
        <w:t>authorities"</w:t>
      </w:r>
      <w:r>
        <w:rPr>
          <w:spacing w:val="-11"/>
        </w:rPr>
        <w:t xml:space="preserve"> </w:t>
      </w:r>
      <w:r>
        <w:t>should be</w:t>
      </w:r>
      <w:r>
        <w:rPr>
          <w:spacing w:val="-12"/>
        </w:rPr>
        <w:t xml:space="preserve"> </w:t>
      </w:r>
      <w:r>
        <w:t>taken</w:t>
      </w:r>
      <w:r>
        <w:rPr>
          <w:spacing w:val="-12"/>
        </w:rPr>
        <w:t xml:space="preserve"> </w:t>
      </w:r>
      <w:r>
        <w:t>into</w:t>
      </w:r>
      <w:r>
        <w:rPr>
          <w:spacing w:val="-11"/>
        </w:rPr>
        <w:t xml:space="preserve"> </w:t>
      </w:r>
      <w:r>
        <w:t>account.</w:t>
      </w:r>
      <w:r>
        <w:rPr>
          <w:spacing w:val="-12"/>
        </w:rPr>
        <w:t xml:space="preserve"> </w:t>
      </w:r>
      <w:r>
        <w:t>Australia</w:t>
      </w:r>
      <w:r>
        <w:rPr>
          <w:spacing w:val="-13"/>
        </w:rPr>
        <w:t xml:space="preserve"> </w:t>
      </w:r>
      <w:r>
        <w:t>will</w:t>
      </w:r>
      <w:r>
        <w:rPr>
          <w:spacing w:val="-12"/>
        </w:rPr>
        <w:t xml:space="preserve"> </w:t>
      </w:r>
      <w:r>
        <w:t>briefly</w:t>
      </w:r>
      <w:r>
        <w:rPr>
          <w:spacing w:val="-11"/>
        </w:rPr>
        <w:t xml:space="preserve"> </w:t>
      </w:r>
      <w:r>
        <w:t>consider</w:t>
      </w:r>
      <w:r>
        <w:rPr>
          <w:spacing w:val="-11"/>
        </w:rPr>
        <w:t xml:space="preserve"> </w:t>
      </w:r>
      <w:r>
        <w:t>the</w:t>
      </w:r>
      <w:r>
        <w:rPr>
          <w:spacing w:val="-12"/>
        </w:rPr>
        <w:t xml:space="preserve"> </w:t>
      </w:r>
      <w:r>
        <w:t>ordinary</w:t>
      </w:r>
      <w:r>
        <w:rPr>
          <w:spacing w:val="-12"/>
        </w:rPr>
        <w:t xml:space="preserve"> </w:t>
      </w:r>
      <w:r>
        <w:t>meaning,</w:t>
      </w:r>
      <w:r>
        <w:rPr>
          <w:spacing w:val="-12"/>
        </w:rPr>
        <w:t xml:space="preserve"> </w:t>
      </w:r>
      <w:r>
        <w:t>and</w:t>
      </w:r>
      <w:r>
        <w:rPr>
          <w:spacing w:val="-12"/>
        </w:rPr>
        <w:t xml:space="preserve"> </w:t>
      </w:r>
      <w:r>
        <w:t>jurisprudential interpretation, of each of these criteria.</w:t>
      </w:r>
    </w:p>
    <w:p w14:paraId="51DE7D05" w14:textId="77777777" w:rsidR="0010369C" w:rsidRDefault="0010369C">
      <w:pPr>
        <w:pStyle w:val="BodyText"/>
        <w:spacing w:before="11"/>
        <w:rPr>
          <w:sz w:val="8"/>
        </w:rPr>
      </w:pPr>
    </w:p>
    <w:p w14:paraId="51DE7D06" w14:textId="77777777" w:rsidR="0010369C" w:rsidRDefault="008E43AE">
      <w:pPr>
        <w:pStyle w:val="BodyText"/>
        <w:spacing w:before="51" w:line="360" w:lineRule="auto"/>
        <w:ind w:left="237" w:firstLine="851"/>
      </w:pPr>
      <w:r>
        <w:rPr>
          <w:noProof/>
        </w:rPr>
        <w:drawing>
          <wp:anchor distT="0" distB="0" distL="0" distR="0" simplePos="0" relativeHeight="250759680" behindDoc="1" locked="0" layoutInCell="1" allowOverlap="1" wp14:anchorId="51DE9D94" wp14:editId="51DE9D95">
            <wp:simplePos x="0" y="0"/>
            <wp:positionH relativeFrom="page">
              <wp:posOffset>905255</wp:posOffset>
            </wp:positionH>
            <wp:positionV relativeFrom="paragraph">
              <wp:posOffset>76150</wp:posOffset>
            </wp:positionV>
            <wp:extent cx="179831" cy="106679"/>
            <wp:effectExtent l="0" t="0" r="0" b="0"/>
            <wp:wrapNone/>
            <wp:docPr id="123" name="image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70.png"/>
                    <pic:cNvPicPr/>
                  </pic:nvPicPr>
                  <pic:blipFill>
                    <a:blip r:embed="rId122" cstate="print"/>
                    <a:stretch>
                      <a:fillRect/>
                    </a:stretch>
                  </pic:blipFill>
                  <pic:spPr>
                    <a:xfrm>
                      <a:off x="0" y="0"/>
                      <a:ext cx="179831" cy="106679"/>
                    </a:xfrm>
                    <a:prstGeom prst="rect">
                      <a:avLst/>
                    </a:prstGeom>
                  </pic:spPr>
                </pic:pic>
              </a:graphicData>
            </a:graphic>
          </wp:anchor>
        </w:drawing>
      </w:r>
      <w:r>
        <w:t>The ordinary</w:t>
      </w:r>
      <w:r>
        <w:rPr>
          <w:spacing w:val="24"/>
        </w:rPr>
        <w:t xml:space="preserve"> </w:t>
      </w:r>
      <w:r>
        <w:t>meaning of "verifiable", in the</w:t>
      </w:r>
      <w:r>
        <w:rPr>
          <w:spacing w:val="23"/>
        </w:rPr>
        <w:t xml:space="preserve"> </w:t>
      </w:r>
      <w:r>
        <w:t>context of paragraph</w:t>
      </w:r>
      <w:r>
        <w:rPr>
          <w:spacing w:val="23"/>
        </w:rPr>
        <w:t xml:space="preserve"> </w:t>
      </w:r>
      <w:r>
        <w:t>3 of Annex</w:t>
      </w:r>
      <w:r>
        <w:rPr>
          <w:spacing w:val="23"/>
        </w:rPr>
        <w:t xml:space="preserve"> </w:t>
      </w:r>
      <w:r>
        <w:t>II, is</w:t>
      </w:r>
      <w:r>
        <w:rPr>
          <w:spacing w:val="40"/>
        </w:rPr>
        <w:t xml:space="preserve"> </w:t>
      </w:r>
      <w:r>
        <w:t>information</w:t>
      </w:r>
      <w:r>
        <w:rPr>
          <w:spacing w:val="40"/>
        </w:rPr>
        <w:t xml:space="preserve"> </w:t>
      </w:r>
      <w:r>
        <w:t>that</w:t>
      </w:r>
      <w:r>
        <w:rPr>
          <w:spacing w:val="41"/>
        </w:rPr>
        <w:t xml:space="preserve"> </w:t>
      </w:r>
      <w:r>
        <w:t>"can</w:t>
      </w:r>
      <w:r>
        <w:rPr>
          <w:spacing w:val="40"/>
        </w:rPr>
        <w:t xml:space="preserve"> </w:t>
      </w:r>
      <w:r>
        <w:t>be</w:t>
      </w:r>
      <w:r>
        <w:rPr>
          <w:spacing w:val="42"/>
        </w:rPr>
        <w:t xml:space="preserve"> </w:t>
      </w:r>
      <w:r>
        <w:t>verified</w:t>
      </w:r>
      <w:r>
        <w:rPr>
          <w:spacing w:val="39"/>
        </w:rPr>
        <w:t xml:space="preserve"> </w:t>
      </w:r>
      <w:r>
        <w:t>or</w:t>
      </w:r>
      <w:r>
        <w:rPr>
          <w:spacing w:val="41"/>
        </w:rPr>
        <w:t xml:space="preserve"> </w:t>
      </w:r>
      <w:r>
        <w:t>proved</w:t>
      </w:r>
      <w:r>
        <w:rPr>
          <w:spacing w:val="41"/>
        </w:rPr>
        <w:t xml:space="preserve"> </w:t>
      </w:r>
      <w:r>
        <w:t>to</w:t>
      </w:r>
      <w:r>
        <w:rPr>
          <w:spacing w:val="42"/>
        </w:rPr>
        <w:t xml:space="preserve"> </w:t>
      </w:r>
      <w:r>
        <w:t>be</w:t>
      </w:r>
      <w:r>
        <w:rPr>
          <w:spacing w:val="41"/>
        </w:rPr>
        <w:t xml:space="preserve"> </w:t>
      </w:r>
      <w:r>
        <w:t>true,</w:t>
      </w:r>
      <w:r>
        <w:rPr>
          <w:spacing w:val="40"/>
        </w:rPr>
        <w:t xml:space="preserve"> </w:t>
      </w:r>
      <w:r>
        <w:t>authentic,</w:t>
      </w:r>
      <w:r>
        <w:rPr>
          <w:spacing w:val="41"/>
        </w:rPr>
        <w:t xml:space="preserve"> </w:t>
      </w:r>
      <w:r>
        <w:t>accurate,</w:t>
      </w:r>
      <w:r>
        <w:rPr>
          <w:spacing w:val="40"/>
        </w:rPr>
        <w:t xml:space="preserve"> </w:t>
      </w:r>
      <w:r>
        <w:t>or</w:t>
      </w:r>
      <w:r>
        <w:rPr>
          <w:spacing w:val="40"/>
        </w:rPr>
        <w:t xml:space="preserve"> </w:t>
      </w:r>
      <w:r>
        <w:t>real;</w:t>
      </w:r>
      <w:r>
        <w:rPr>
          <w:spacing w:val="41"/>
        </w:rPr>
        <w:t xml:space="preserve"> </w:t>
      </w:r>
      <w:r>
        <w:rPr>
          <w:spacing w:val="-4"/>
        </w:rPr>
        <w:t>[is]</w:t>
      </w:r>
    </w:p>
    <w:p w14:paraId="51DE7D07" w14:textId="77777777" w:rsidR="0010369C" w:rsidRDefault="008E43AE">
      <w:pPr>
        <w:pStyle w:val="BodyText"/>
        <w:rPr>
          <w:sz w:val="14"/>
        </w:rPr>
      </w:pPr>
      <w:r>
        <w:pict w14:anchorId="51DE9D96">
          <v:rect id="docshape86" o:spid="_x0000_s3178" style="position:absolute;margin-left:70.9pt;margin-top:9.75pt;width:2in;height:.8pt;z-index:-251250176;mso-wrap-distance-left:0;mso-wrap-distance-right:0;mso-position-horizontal-relative:page" fillcolor="black" stroked="f">
            <w10:wrap type="topAndBottom" anchorx="page"/>
          </v:rect>
        </w:pict>
      </w:r>
    </w:p>
    <w:p w14:paraId="51DE7D08" w14:textId="77777777" w:rsidR="0010369C" w:rsidRDefault="008E43AE">
      <w:pPr>
        <w:spacing w:before="109"/>
        <w:ind w:left="238"/>
        <w:rPr>
          <w:sz w:val="18"/>
        </w:rPr>
      </w:pPr>
      <w:r>
        <w:rPr>
          <w:sz w:val="18"/>
          <w:vertAlign w:val="superscript"/>
        </w:rPr>
        <w:t>42</w:t>
      </w:r>
      <w:r>
        <w:rPr>
          <w:spacing w:val="-6"/>
          <w:sz w:val="18"/>
        </w:rPr>
        <w:t xml:space="preserve"> </w:t>
      </w:r>
      <w:r>
        <w:rPr>
          <w:sz w:val="18"/>
        </w:rPr>
        <w:t>Panel</w:t>
      </w:r>
      <w:r>
        <w:rPr>
          <w:spacing w:val="-6"/>
          <w:sz w:val="18"/>
        </w:rPr>
        <w:t xml:space="preserve"> </w:t>
      </w:r>
      <w:r>
        <w:rPr>
          <w:sz w:val="18"/>
        </w:rPr>
        <w:t>Report,</w:t>
      </w:r>
      <w:r>
        <w:rPr>
          <w:spacing w:val="-6"/>
          <w:sz w:val="18"/>
        </w:rPr>
        <w:t xml:space="preserve"> </w:t>
      </w:r>
      <w:r>
        <w:rPr>
          <w:i/>
          <w:sz w:val="18"/>
        </w:rPr>
        <w:t>Guatemala</w:t>
      </w:r>
      <w:r>
        <w:rPr>
          <w:i/>
          <w:spacing w:val="-6"/>
          <w:sz w:val="18"/>
        </w:rPr>
        <w:t xml:space="preserve"> </w:t>
      </w:r>
      <w:r>
        <w:rPr>
          <w:i/>
          <w:sz w:val="18"/>
        </w:rPr>
        <w:t>–</w:t>
      </w:r>
      <w:r>
        <w:rPr>
          <w:i/>
          <w:spacing w:val="-6"/>
          <w:sz w:val="18"/>
        </w:rPr>
        <w:t xml:space="preserve"> </w:t>
      </w:r>
      <w:r>
        <w:rPr>
          <w:i/>
          <w:sz w:val="18"/>
        </w:rPr>
        <w:t>Cement</w:t>
      </w:r>
      <w:r>
        <w:rPr>
          <w:i/>
          <w:spacing w:val="-5"/>
          <w:sz w:val="18"/>
        </w:rPr>
        <w:t xml:space="preserve"> </w:t>
      </w:r>
      <w:r>
        <w:rPr>
          <w:i/>
          <w:sz w:val="18"/>
        </w:rPr>
        <w:t>II</w:t>
      </w:r>
      <w:r>
        <w:rPr>
          <w:sz w:val="18"/>
        </w:rPr>
        <w:t>,</w:t>
      </w:r>
      <w:r>
        <w:rPr>
          <w:spacing w:val="-6"/>
          <w:sz w:val="18"/>
        </w:rPr>
        <w:t xml:space="preserve"> </w:t>
      </w:r>
      <w:r>
        <w:rPr>
          <w:sz w:val="18"/>
        </w:rPr>
        <w:t>para.</w:t>
      </w:r>
      <w:r>
        <w:rPr>
          <w:spacing w:val="-6"/>
          <w:sz w:val="18"/>
        </w:rPr>
        <w:t xml:space="preserve"> </w:t>
      </w:r>
      <w:r>
        <w:rPr>
          <w:spacing w:val="-2"/>
          <w:sz w:val="18"/>
        </w:rPr>
        <w:t>8.177.</w:t>
      </w:r>
    </w:p>
    <w:p w14:paraId="51DE7D09" w14:textId="77777777" w:rsidR="0010369C" w:rsidRDefault="008E43AE">
      <w:pPr>
        <w:ind w:left="238"/>
        <w:rPr>
          <w:sz w:val="18"/>
        </w:rPr>
      </w:pPr>
      <w:r>
        <w:rPr>
          <w:sz w:val="18"/>
          <w:vertAlign w:val="superscript"/>
        </w:rPr>
        <w:t>43</w:t>
      </w:r>
      <w:r>
        <w:rPr>
          <w:spacing w:val="-5"/>
          <w:sz w:val="18"/>
        </w:rPr>
        <w:t xml:space="preserve"> </w:t>
      </w:r>
      <w:r>
        <w:rPr>
          <w:sz w:val="18"/>
        </w:rPr>
        <w:t>Appellate</w:t>
      </w:r>
      <w:r>
        <w:rPr>
          <w:spacing w:val="-5"/>
          <w:sz w:val="18"/>
        </w:rPr>
        <w:t xml:space="preserve"> </w:t>
      </w:r>
      <w:r>
        <w:rPr>
          <w:sz w:val="18"/>
        </w:rPr>
        <w:t>Body</w:t>
      </w:r>
      <w:r>
        <w:rPr>
          <w:spacing w:val="-7"/>
          <w:sz w:val="18"/>
        </w:rPr>
        <w:t xml:space="preserve"> </w:t>
      </w:r>
      <w:r>
        <w:rPr>
          <w:sz w:val="18"/>
        </w:rPr>
        <w:t>Report,</w:t>
      </w:r>
      <w:r>
        <w:rPr>
          <w:spacing w:val="-5"/>
          <w:sz w:val="18"/>
        </w:rPr>
        <w:t xml:space="preserve"> </w:t>
      </w:r>
      <w:r>
        <w:rPr>
          <w:i/>
          <w:sz w:val="18"/>
        </w:rPr>
        <w:t>US</w:t>
      </w:r>
      <w:r>
        <w:rPr>
          <w:i/>
          <w:spacing w:val="-4"/>
          <w:sz w:val="18"/>
        </w:rPr>
        <w:t xml:space="preserve"> </w:t>
      </w:r>
      <w:r>
        <w:rPr>
          <w:i/>
          <w:sz w:val="18"/>
        </w:rPr>
        <w:t>–</w:t>
      </w:r>
      <w:r>
        <w:rPr>
          <w:i/>
          <w:spacing w:val="-5"/>
          <w:sz w:val="18"/>
        </w:rPr>
        <w:t xml:space="preserve"> </w:t>
      </w:r>
      <w:r>
        <w:rPr>
          <w:i/>
          <w:sz w:val="18"/>
        </w:rPr>
        <w:t>Hot</w:t>
      </w:r>
      <w:r>
        <w:rPr>
          <w:i/>
          <w:spacing w:val="-4"/>
          <w:sz w:val="18"/>
        </w:rPr>
        <w:t xml:space="preserve"> </w:t>
      </w:r>
      <w:r>
        <w:rPr>
          <w:i/>
          <w:sz w:val="18"/>
        </w:rPr>
        <w:t>Rolled</w:t>
      </w:r>
      <w:r>
        <w:rPr>
          <w:i/>
          <w:spacing w:val="-5"/>
          <w:sz w:val="18"/>
        </w:rPr>
        <w:t xml:space="preserve"> </w:t>
      </w:r>
      <w:r>
        <w:rPr>
          <w:i/>
          <w:sz w:val="18"/>
        </w:rPr>
        <w:t>Steel</w:t>
      </w:r>
      <w:r>
        <w:rPr>
          <w:sz w:val="18"/>
        </w:rPr>
        <w:t>,</w:t>
      </w:r>
      <w:r>
        <w:rPr>
          <w:spacing w:val="-6"/>
          <w:sz w:val="18"/>
        </w:rPr>
        <w:t xml:space="preserve"> </w:t>
      </w:r>
      <w:r>
        <w:rPr>
          <w:sz w:val="18"/>
        </w:rPr>
        <w:t>para.</w:t>
      </w:r>
      <w:r>
        <w:rPr>
          <w:spacing w:val="-5"/>
          <w:sz w:val="18"/>
        </w:rPr>
        <w:t xml:space="preserve"> 80.</w:t>
      </w:r>
    </w:p>
    <w:p w14:paraId="51DE7D0A" w14:textId="77777777" w:rsidR="0010369C" w:rsidRDefault="008E43AE">
      <w:pPr>
        <w:ind w:left="238"/>
        <w:rPr>
          <w:sz w:val="18"/>
        </w:rPr>
      </w:pPr>
      <w:r>
        <w:rPr>
          <w:sz w:val="18"/>
          <w:vertAlign w:val="superscript"/>
        </w:rPr>
        <w:t>44</w:t>
      </w:r>
      <w:r>
        <w:rPr>
          <w:spacing w:val="-6"/>
          <w:sz w:val="18"/>
        </w:rPr>
        <w:t xml:space="preserve"> </w:t>
      </w:r>
      <w:r>
        <w:rPr>
          <w:sz w:val="18"/>
        </w:rPr>
        <w:t>Panel</w:t>
      </w:r>
      <w:r>
        <w:rPr>
          <w:spacing w:val="-6"/>
          <w:sz w:val="18"/>
        </w:rPr>
        <w:t xml:space="preserve"> </w:t>
      </w:r>
      <w:r>
        <w:rPr>
          <w:sz w:val="18"/>
        </w:rPr>
        <w:t>Report,</w:t>
      </w:r>
      <w:r>
        <w:rPr>
          <w:spacing w:val="-5"/>
          <w:sz w:val="18"/>
        </w:rPr>
        <w:t xml:space="preserve"> </w:t>
      </w:r>
      <w:r>
        <w:rPr>
          <w:i/>
          <w:sz w:val="18"/>
        </w:rPr>
        <w:t>Egypt</w:t>
      </w:r>
      <w:r>
        <w:rPr>
          <w:i/>
          <w:spacing w:val="-5"/>
          <w:sz w:val="18"/>
        </w:rPr>
        <w:t xml:space="preserve"> </w:t>
      </w:r>
      <w:r>
        <w:rPr>
          <w:i/>
          <w:sz w:val="18"/>
        </w:rPr>
        <w:t>–</w:t>
      </w:r>
      <w:r>
        <w:rPr>
          <w:i/>
          <w:spacing w:val="-6"/>
          <w:sz w:val="18"/>
        </w:rPr>
        <w:t xml:space="preserve"> </w:t>
      </w:r>
      <w:r>
        <w:rPr>
          <w:i/>
          <w:sz w:val="18"/>
        </w:rPr>
        <w:t>Steel</w:t>
      </w:r>
      <w:r>
        <w:rPr>
          <w:i/>
          <w:spacing w:val="-6"/>
          <w:sz w:val="18"/>
        </w:rPr>
        <w:t xml:space="preserve"> </w:t>
      </w:r>
      <w:r>
        <w:rPr>
          <w:i/>
          <w:sz w:val="18"/>
        </w:rPr>
        <w:t>Rebar</w:t>
      </w:r>
      <w:r>
        <w:rPr>
          <w:sz w:val="18"/>
        </w:rPr>
        <w:t>,</w:t>
      </w:r>
      <w:r>
        <w:rPr>
          <w:spacing w:val="-6"/>
          <w:sz w:val="18"/>
        </w:rPr>
        <w:t xml:space="preserve"> </w:t>
      </w:r>
      <w:r>
        <w:rPr>
          <w:sz w:val="18"/>
        </w:rPr>
        <w:t>para.</w:t>
      </w:r>
      <w:r>
        <w:rPr>
          <w:spacing w:val="-5"/>
          <w:sz w:val="18"/>
        </w:rPr>
        <w:t xml:space="preserve"> </w:t>
      </w:r>
      <w:r>
        <w:rPr>
          <w:spacing w:val="-2"/>
          <w:sz w:val="18"/>
        </w:rPr>
        <w:t>7.161.</w:t>
      </w:r>
    </w:p>
    <w:p w14:paraId="51DE7D0B" w14:textId="77777777" w:rsidR="0010369C" w:rsidRDefault="0010369C">
      <w:pPr>
        <w:rPr>
          <w:sz w:val="18"/>
        </w:rPr>
        <w:sectPr w:rsidR="0010369C">
          <w:pgSz w:w="11910" w:h="16840"/>
          <w:pgMar w:top="880" w:right="800" w:bottom="980" w:left="1180" w:header="569" w:footer="788" w:gutter="0"/>
          <w:cols w:space="720"/>
        </w:sectPr>
      </w:pPr>
    </w:p>
    <w:p w14:paraId="51DE7D0C" w14:textId="77777777" w:rsidR="0010369C" w:rsidRDefault="008E43AE">
      <w:pPr>
        <w:tabs>
          <w:tab w:val="left" w:pos="6426"/>
        </w:tabs>
        <w:ind w:left="238"/>
        <w:jc w:val="both"/>
        <w:rPr>
          <w:sz w:val="20"/>
        </w:rPr>
      </w:pPr>
      <w:r>
        <w:rPr>
          <w:i/>
          <w:sz w:val="20"/>
        </w:rPr>
        <w:lastRenderedPageBreak/>
        <w:t>China</w:t>
      </w:r>
      <w:r>
        <w:rPr>
          <w:i/>
          <w:spacing w:val="-5"/>
          <w:sz w:val="20"/>
        </w:rPr>
        <w:t xml:space="preserve"> </w:t>
      </w:r>
      <w:r>
        <w:rPr>
          <w:i/>
          <w:sz w:val="20"/>
        </w:rPr>
        <w:t>–</w:t>
      </w:r>
      <w:r>
        <w:rPr>
          <w:i/>
          <w:spacing w:val="-5"/>
          <w:sz w:val="20"/>
        </w:rPr>
        <w:t xml:space="preserve"> </w:t>
      </w:r>
      <w:r>
        <w:rPr>
          <w:i/>
          <w:sz w:val="20"/>
        </w:rPr>
        <w:t>Anti‐Dumping</w:t>
      </w:r>
      <w:r>
        <w:rPr>
          <w:i/>
          <w:spacing w:val="-4"/>
          <w:sz w:val="20"/>
        </w:rPr>
        <w:t xml:space="preserve"> </w:t>
      </w:r>
      <w:r>
        <w:rPr>
          <w:i/>
          <w:sz w:val="20"/>
        </w:rPr>
        <w:t>and</w:t>
      </w:r>
      <w:r>
        <w:rPr>
          <w:i/>
          <w:spacing w:val="-5"/>
          <w:sz w:val="20"/>
        </w:rPr>
        <w:t xml:space="preserve"> </w:t>
      </w:r>
      <w:r>
        <w:rPr>
          <w:i/>
          <w:sz w:val="20"/>
        </w:rPr>
        <w:t>Countervailing</w:t>
      </w:r>
      <w:r>
        <w:rPr>
          <w:i/>
          <w:spacing w:val="-5"/>
          <w:sz w:val="20"/>
        </w:rPr>
        <w:t xml:space="preserve"> </w:t>
      </w:r>
      <w:r>
        <w:rPr>
          <w:i/>
          <w:sz w:val="20"/>
        </w:rPr>
        <w:t>Duty</w:t>
      </w:r>
      <w:r>
        <w:rPr>
          <w:i/>
          <w:spacing w:val="-4"/>
          <w:sz w:val="20"/>
        </w:rPr>
        <w:t xml:space="preserve"> </w:t>
      </w:r>
      <w:r>
        <w:rPr>
          <w:i/>
          <w:spacing w:val="-2"/>
          <w:sz w:val="20"/>
        </w:rPr>
        <w:t>Measures</w:t>
      </w:r>
      <w:r>
        <w:rPr>
          <w:i/>
          <w:sz w:val="20"/>
        </w:rPr>
        <w:tab/>
      </w:r>
      <w:r>
        <w:rPr>
          <w:sz w:val="20"/>
        </w:rPr>
        <w:t>Australia's</w:t>
      </w:r>
      <w:r>
        <w:rPr>
          <w:spacing w:val="-7"/>
          <w:sz w:val="20"/>
        </w:rPr>
        <w:t xml:space="preserve"> </w:t>
      </w:r>
      <w:r>
        <w:rPr>
          <w:sz w:val="20"/>
        </w:rPr>
        <w:t>First</w:t>
      </w:r>
      <w:r>
        <w:rPr>
          <w:spacing w:val="-2"/>
          <w:sz w:val="20"/>
        </w:rPr>
        <w:t xml:space="preserve"> </w:t>
      </w:r>
      <w:r>
        <w:rPr>
          <w:sz w:val="20"/>
        </w:rPr>
        <w:t>Written</w:t>
      </w:r>
      <w:r>
        <w:rPr>
          <w:spacing w:val="-2"/>
          <w:sz w:val="20"/>
        </w:rPr>
        <w:t xml:space="preserve"> Submission</w:t>
      </w:r>
    </w:p>
    <w:p w14:paraId="51DE7D0D" w14:textId="77777777" w:rsidR="0010369C" w:rsidRDefault="008E43AE">
      <w:pPr>
        <w:tabs>
          <w:tab w:val="left" w:pos="8228"/>
        </w:tabs>
        <w:spacing w:before="1"/>
        <w:ind w:left="239"/>
        <w:jc w:val="both"/>
        <w:rPr>
          <w:sz w:val="20"/>
        </w:rPr>
      </w:pPr>
      <w:r>
        <w:rPr>
          <w:i/>
          <w:sz w:val="20"/>
        </w:rPr>
        <w:t>on</w:t>
      </w:r>
      <w:r>
        <w:rPr>
          <w:i/>
          <w:spacing w:val="-1"/>
          <w:sz w:val="20"/>
        </w:rPr>
        <w:t xml:space="preserve"> </w:t>
      </w:r>
      <w:r>
        <w:rPr>
          <w:i/>
          <w:sz w:val="20"/>
        </w:rPr>
        <w:t>Wine</w:t>
      </w:r>
      <w:r>
        <w:rPr>
          <w:i/>
          <w:spacing w:val="-1"/>
          <w:sz w:val="20"/>
        </w:rPr>
        <w:t xml:space="preserve"> </w:t>
      </w:r>
      <w:r>
        <w:rPr>
          <w:i/>
          <w:sz w:val="20"/>
        </w:rPr>
        <w:t>from</w:t>
      </w:r>
      <w:r>
        <w:rPr>
          <w:i/>
          <w:spacing w:val="-3"/>
          <w:sz w:val="20"/>
        </w:rPr>
        <w:t xml:space="preserve"> </w:t>
      </w:r>
      <w:r>
        <w:rPr>
          <w:i/>
          <w:sz w:val="20"/>
        </w:rPr>
        <w:t>Australia</w:t>
      </w:r>
      <w:r>
        <w:rPr>
          <w:i/>
          <w:spacing w:val="-1"/>
          <w:sz w:val="20"/>
        </w:rPr>
        <w:t xml:space="preserve"> </w:t>
      </w:r>
      <w:r>
        <w:rPr>
          <w:spacing w:val="-2"/>
          <w:sz w:val="20"/>
        </w:rPr>
        <w:t>(DS602)</w:t>
      </w:r>
      <w:r>
        <w:rPr>
          <w:sz w:val="20"/>
        </w:rPr>
        <w:tab/>
        <w:t>29</w:t>
      </w:r>
      <w:r>
        <w:rPr>
          <w:spacing w:val="-1"/>
          <w:sz w:val="20"/>
        </w:rPr>
        <w:t xml:space="preserve"> </w:t>
      </w:r>
      <w:r>
        <w:rPr>
          <w:sz w:val="20"/>
        </w:rPr>
        <w:t>April</w:t>
      </w:r>
      <w:r>
        <w:rPr>
          <w:spacing w:val="-2"/>
          <w:sz w:val="20"/>
        </w:rPr>
        <w:t xml:space="preserve"> </w:t>
      </w:r>
      <w:r>
        <w:rPr>
          <w:spacing w:val="-4"/>
          <w:sz w:val="20"/>
        </w:rPr>
        <w:t>2022</w:t>
      </w:r>
    </w:p>
    <w:p w14:paraId="51DE7D0E" w14:textId="77777777" w:rsidR="0010369C" w:rsidRDefault="008E43AE">
      <w:pPr>
        <w:pStyle w:val="BodyText"/>
        <w:spacing w:before="34" w:line="360" w:lineRule="auto"/>
        <w:ind w:left="238" w:right="614"/>
        <w:jc w:val="both"/>
      </w:pPr>
      <w:r>
        <w:t>capable, admitting, or susceptible of verification".</w:t>
      </w:r>
      <w:r>
        <w:rPr>
          <w:vertAlign w:val="superscript"/>
        </w:rPr>
        <w:t>45</w:t>
      </w:r>
      <w:r>
        <w:t xml:space="preserve"> Notably, paragraph 3 does not mandate that an investigating authority undertake on the spot verification, but only that the information is susceptible of </w:t>
      </w:r>
      <w:hyperlink r:id="rId123">
        <w:r>
          <w:t>verification.</w:t>
        </w:r>
        <w:r>
          <w:rPr>
            <w:vertAlign w:val="superscript"/>
          </w:rPr>
          <w:t>46</w:t>
        </w:r>
      </w:hyperlink>
    </w:p>
    <w:p w14:paraId="51DE7D0F" w14:textId="77777777" w:rsidR="0010369C" w:rsidRDefault="0010369C">
      <w:pPr>
        <w:pStyle w:val="BodyText"/>
        <w:spacing w:before="11"/>
        <w:rPr>
          <w:sz w:val="8"/>
        </w:rPr>
      </w:pPr>
    </w:p>
    <w:p w14:paraId="51DE7D10" w14:textId="77777777" w:rsidR="0010369C" w:rsidRDefault="008E43AE">
      <w:pPr>
        <w:pStyle w:val="BodyText"/>
        <w:spacing w:before="52" w:line="360" w:lineRule="auto"/>
        <w:ind w:left="237" w:right="613" w:firstLine="852"/>
        <w:jc w:val="both"/>
      </w:pPr>
      <w:r>
        <w:rPr>
          <w:noProof/>
        </w:rPr>
        <w:drawing>
          <wp:anchor distT="0" distB="0" distL="0" distR="0" simplePos="0" relativeHeight="250760704" behindDoc="1" locked="0" layoutInCell="1" allowOverlap="1" wp14:anchorId="51DE9D97" wp14:editId="51DE9D98">
            <wp:simplePos x="0" y="0"/>
            <wp:positionH relativeFrom="page">
              <wp:posOffset>905255</wp:posOffset>
            </wp:positionH>
            <wp:positionV relativeFrom="paragraph">
              <wp:posOffset>80595</wp:posOffset>
            </wp:positionV>
            <wp:extent cx="179831" cy="103631"/>
            <wp:effectExtent l="0" t="0" r="0" b="0"/>
            <wp:wrapNone/>
            <wp:docPr id="125" name="image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71.png"/>
                    <pic:cNvPicPr/>
                  </pic:nvPicPr>
                  <pic:blipFill>
                    <a:blip r:embed="rId124" cstate="print"/>
                    <a:stretch>
                      <a:fillRect/>
                    </a:stretch>
                  </pic:blipFill>
                  <pic:spPr>
                    <a:xfrm>
                      <a:off x="0" y="0"/>
                      <a:ext cx="179831" cy="103631"/>
                    </a:xfrm>
                    <a:prstGeom prst="rect">
                      <a:avLst/>
                    </a:prstGeom>
                  </pic:spPr>
                </pic:pic>
              </a:graphicData>
            </a:graphic>
          </wp:anchor>
        </w:drawing>
      </w:r>
      <w:r>
        <w:t xml:space="preserve">In </w:t>
      </w:r>
      <w:r>
        <w:rPr>
          <w:i/>
        </w:rPr>
        <w:t>US – Steel Plate</w:t>
      </w:r>
      <w:r>
        <w:t>, the Panel conclude</w:t>
      </w:r>
      <w:r>
        <w:t>d that information is "verifiable" when "the accuracy and reliability of the information can be assessed by an objective process of examination"</w:t>
      </w:r>
      <w:r>
        <w:rPr>
          <w:spacing w:val="-5"/>
        </w:rPr>
        <w:t xml:space="preserve"> </w:t>
      </w:r>
      <w:r>
        <w:t>and</w:t>
      </w:r>
      <w:r>
        <w:rPr>
          <w:spacing w:val="-4"/>
        </w:rPr>
        <w:t xml:space="preserve"> </w:t>
      </w:r>
      <w:r>
        <w:t>that</w:t>
      </w:r>
      <w:r>
        <w:rPr>
          <w:spacing w:val="-4"/>
        </w:rPr>
        <w:t xml:space="preserve"> </w:t>
      </w:r>
      <w:r>
        <w:t>this</w:t>
      </w:r>
      <w:r>
        <w:rPr>
          <w:spacing w:val="-4"/>
        </w:rPr>
        <w:t xml:space="preserve"> </w:t>
      </w:r>
      <w:r>
        <w:t>process</w:t>
      </w:r>
      <w:r>
        <w:rPr>
          <w:spacing w:val="-5"/>
        </w:rPr>
        <w:t xml:space="preserve"> </w:t>
      </w:r>
      <w:r>
        <w:t>does</w:t>
      </w:r>
      <w:r>
        <w:rPr>
          <w:spacing w:val="-4"/>
        </w:rPr>
        <w:t xml:space="preserve"> </w:t>
      </w:r>
      <w:r>
        <w:t>not</w:t>
      </w:r>
      <w:r>
        <w:rPr>
          <w:spacing w:val="-5"/>
        </w:rPr>
        <w:t xml:space="preserve"> </w:t>
      </w:r>
      <w:r>
        <w:t>necessarily</w:t>
      </w:r>
      <w:r>
        <w:rPr>
          <w:spacing w:val="-1"/>
        </w:rPr>
        <w:t xml:space="preserve"> </w:t>
      </w:r>
      <w:r>
        <w:t>require</w:t>
      </w:r>
      <w:r>
        <w:rPr>
          <w:spacing w:val="-3"/>
        </w:rPr>
        <w:t xml:space="preserve"> </w:t>
      </w:r>
      <w:r>
        <w:t>an</w:t>
      </w:r>
      <w:r>
        <w:rPr>
          <w:spacing w:val="-5"/>
        </w:rPr>
        <w:t xml:space="preserve"> </w:t>
      </w:r>
      <w:r>
        <w:t>on‐the‐spot</w:t>
      </w:r>
      <w:r>
        <w:rPr>
          <w:spacing w:val="-4"/>
        </w:rPr>
        <w:t xml:space="preserve"> </w:t>
      </w:r>
      <w:hyperlink r:id="rId125">
        <w:r>
          <w:t>v</w:t>
        </w:r>
        <w:r>
          <w:t>erification.</w:t>
        </w:r>
        <w:r>
          <w:rPr>
            <w:vertAlign w:val="superscript"/>
          </w:rPr>
          <w:t>47</w:t>
        </w:r>
      </w:hyperlink>
      <w:r>
        <w:t xml:space="preserve"> The Panel in </w:t>
      </w:r>
      <w:r>
        <w:rPr>
          <w:i/>
        </w:rPr>
        <w:t xml:space="preserve">EC –Salmon (Norway) </w:t>
      </w:r>
      <w:r>
        <w:t>agreed and considered that whether information is "verifiable" "must be a conclusion reached on the basis of a case‐by‐case assessment of the particular facts at issue, including not only the nature of the in</w:t>
      </w:r>
      <w:r>
        <w:t>formation submitted but also the steps, if any, taken by the investigating authority to assess the accuracy and reliability of the</w:t>
      </w:r>
      <w:r>
        <w:rPr>
          <w:spacing w:val="-13"/>
        </w:rPr>
        <w:t xml:space="preserve"> </w:t>
      </w:r>
      <w:r>
        <w:t>information".</w:t>
      </w:r>
      <w:r>
        <w:rPr>
          <w:vertAlign w:val="superscript"/>
        </w:rPr>
        <w:t>48</w:t>
      </w:r>
      <w:r>
        <w:rPr>
          <w:spacing w:val="-13"/>
        </w:rPr>
        <w:t xml:space="preserve"> </w:t>
      </w:r>
      <w:r>
        <w:t>The</w:t>
      </w:r>
      <w:r>
        <w:rPr>
          <w:spacing w:val="-5"/>
        </w:rPr>
        <w:t xml:space="preserve"> </w:t>
      </w:r>
      <w:r>
        <w:t>fact</w:t>
      </w:r>
      <w:r>
        <w:rPr>
          <w:spacing w:val="-6"/>
        </w:rPr>
        <w:t xml:space="preserve"> </w:t>
      </w:r>
      <w:r>
        <w:t>that</w:t>
      </w:r>
      <w:r>
        <w:rPr>
          <w:spacing w:val="-6"/>
        </w:rPr>
        <w:t xml:space="preserve"> </w:t>
      </w:r>
      <w:r>
        <w:t>information</w:t>
      </w:r>
      <w:r>
        <w:rPr>
          <w:spacing w:val="-5"/>
        </w:rPr>
        <w:t xml:space="preserve"> </w:t>
      </w:r>
      <w:r>
        <w:t>submitted</w:t>
      </w:r>
      <w:r>
        <w:rPr>
          <w:spacing w:val="-6"/>
        </w:rPr>
        <w:t xml:space="preserve"> </w:t>
      </w:r>
      <w:r>
        <w:t>to</w:t>
      </w:r>
      <w:r>
        <w:rPr>
          <w:spacing w:val="-6"/>
        </w:rPr>
        <w:t xml:space="preserve"> </w:t>
      </w:r>
      <w:r>
        <w:t>an</w:t>
      </w:r>
      <w:r>
        <w:rPr>
          <w:spacing w:val="-6"/>
        </w:rPr>
        <w:t xml:space="preserve"> </w:t>
      </w:r>
      <w:r>
        <w:t>investigating</w:t>
      </w:r>
      <w:r>
        <w:rPr>
          <w:spacing w:val="-5"/>
        </w:rPr>
        <w:t xml:space="preserve"> </w:t>
      </w:r>
      <w:r>
        <w:t>authority</w:t>
      </w:r>
      <w:r>
        <w:rPr>
          <w:spacing w:val="-5"/>
        </w:rPr>
        <w:t xml:space="preserve"> </w:t>
      </w:r>
      <w:r>
        <w:t>contains "minor</w:t>
      </w:r>
      <w:r>
        <w:rPr>
          <w:spacing w:val="-8"/>
        </w:rPr>
        <w:t xml:space="preserve"> </w:t>
      </w:r>
      <w:r>
        <w:t>flaws"</w:t>
      </w:r>
      <w:r>
        <w:rPr>
          <w:spacing w:val="-7"/>
        </w:rPr>
        <w:t xml:space="preserve"> </w:t>
      </w:r>
      <w:r>
        <w:t>cannot</w:t>
      </w:r>
      <w:r>
        <w:rPr>
          <w:spacing w:val="-8"/>
        </w:rPr>
        <w:t xml:space="preserve"> </w:t>
      </w:r>
      <w:r>
        <w:t>be</w:t>
      </w:r>
      <w:r>
        <w:rPr>
          <w:spacing w:val="-8"/>
        </w:rPr>
        <w:t xml:space="preserve"> </w:t>
      </w:r>
      <w:r>
        <w:t>considered</w:t>
      </w:r>
      <w:r>
        <w:rPr>
          <w:spacing w:val="-10"/>
        </w:rPr>
        <w:t xml:space="preserve"> </w:t>
      </w:r>
      <w:r>
        <w:t>unverifiable</w:t>
      </w:r>
      <w:r>
        <w:rPr>
          <w:spacing w:val="-7"/>
        </w:rPr>
        <w:t xml:space="preserve"> </w:t>
      </w:r>
      <w:r>
        <w:t>solely</w:t>
      </w:r>
      <w:r>
        <w:rPr>
          <w:spacing w:val="-8"/>
        </w:rPr>
        <w:t xml:space="preserve"> </w:t>
      </w:r>
      <w:r>
        <w:t>on</w:t>
      </w:r>
      <w:r>
        <w:rPr>
          <w:spacing w:val="-8"/>
        </w:rPr>
        <w:t xml:space="preserve"> </w:t>
      </w:r>
      <w:r>
        <w:t>this</w:t>
      </w:r>
      <w:r>
        <w:rPr>
          <w:spacing w:val="-7"/>
        </w:rPr>
        <w:t xml:space="preserve"> </w:t>
      </w:r>
      <w:r>
        <w:t>basis,</w:t>
      </w:r>
      <w:r>
        <w:rPr>
          <w:spacing w:val="-7"/>
        </w:rPr>
        <w:t xml:space="preserve"> </w:t>
      </w:r>
      <w:r>
        <w:t>"so</w:t>
      </w:r>
      <w:r>
        <w:rPr>
          <w:spacing w:val="-7"/>
        </w:rPr>
        <w:t xml:space="preserve"> </w:t>
      </w:r>
      <w:r>
        <w:t>long</w:t>
      </w:r>
      <w:r>
        <w:rPr>
          <w:spacing w:val="-7"/>
        </w:rPr>
        <w:t xml:space="preserve"> </w:t>
      </w:r>
      <w:r>
        <w:t>as</w:t>
      </w:r>
      <w:r>
        <w:rPr>
          <w:spacing w:val="-8"/>
        </w:rPr>
        <w:t xml:space="preserve"> </w:t>
      </w:r>
      <w:r>
        <w:t>the</w:t>
      </w:r>
      <w:r>
        <w:rPr>
          <w:spacing w:val="-7"/>
        </w:rPr>
        <w:t xml:space="preserve"> </w:t>
      </w:r>
      <w:r>
        <w:t>submitter has acted to the best of its ability".</w:t>
      </w:r>
      <w:r>
        <w:rPr>
          <w:vertAlign w:val="superscript"/>
        </w:rPr>
        <w:t>49</w:t>
      </w:r>
    </w:p>
    <w:p w14:paraId="51DE7D11" w14:textId="77777777" w:rsidR="0010369C" w:rsidRDefault="0010369C">
      <w:pPr>
        <w:pStyle w:val="BodyText"/>
        <w:spacing w:before="10"/>
        <w:rPr>
          <w:sz w:val="8"/>
        </w:rPr>
      </w:pPr>
    </w:p>
    <w:p w14:paraId="51DE7D12" w14:textId="77777777" w:rsidR="0010369C" w:rsidRDefault="008E43AE">
      <w:pPr>
        <w:pStyle w:val="BodyText"/>
        <w:spacing w:before="51" w:line="360" w:lineRule="auto"/>
        <w:ind w:left="237" w:right="613" w:firstLine="851"/>
        <w:jc w:val="both"/>
      </w:pPr>
      <w:r>
        <w:rPr>
          <w:noProof/>
        </w:rPr>
        <w:drawing>
          <wp:anchor distT="0" distB="0" distL="0" distR="0" simplePos="0" relativeHeight="250761728" behindDoc="1" locked="0" layoutInCell="1" allowOverlap="1" wp14:anchorId="51DE9D99" wp14:editId="51DE9D9A">
            <wp:simplePos x="0" y="0"/>
            <wp:positionH relativeFrom="page">
              <wp:posOffset>905255</wp:posOffset>
            </wp:positionH>
            <wp:positionV relativeFrom="paragraph">
              <wp:posOffset>80722</wp:posOffset>
            </wp:positionV>
            <wp:extent cx="179831" cy="103631"/>
            <wp:effectExtent l="0" t="0" r="0" b="0"/>
            <wp:wrapNone/>
            <wp:docPr id="127" name="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72.png"/>
                    <pic:cNvPicPr/>
                  </pic:nvPicPr>
                  <pic:blipFill>
                    <a:blip r:embed="rId126" cstate="print"/>
                    <a:stretch>
                      <a:fillRect/>
                    </a:stretch>
                  </pic:blipFill>
                  <pic:spPr>
                    <a:xfrm>
                      <a:off x="0" y="0"/>
                      <a:ext cx="179831" cy="103631"/>
                    </a:xfrm>
                    <a:prstGeom prst="rect">
                      <a:avLst/>
                    </a:prstGeom>
                  </pic:spPr>
                </pic:pic>
              </a:graphicData>
            </a:graphic>
          </wp:anchor>
        </w:drawing>
      </w:r>
      <w:r>
        <w:t>For</w:t>
      </w:r>
      <w:r>
        <w:rPr>
          <w:spacing w:val="-5"/>
        </w:rPr>
        <w:t xml:space="preserve"> </w:t>
      </w:r>
      <w:r>
        <w:t>example,</w:t>
      </w:r>
      <w:r>
        <w:rPr>
          <w:spacing w:val="-6"/>
        </w:rPr>
        <w:t xml:space="preserve"> </w:t>
      </w:r>
      <w:r>
        <w:t>the</w:t>
      </w:r>
      <w:r>
        <w:rPr>
          <w:spacing w:val="-5"/>
        </w:rPr>
        <w:t xml:space="preserve"> </w:t>
      </w:r>
      <w:r>
        <w:t>Panel</w:t>
      </w:r>
      <w:r>
        <w:rPr>
          <w:spacing w:val="-6"/>
        </w:rPr>
        <w:t xml:space="preserve"> </w:t>
      </w:r>
      <w:r>
        <w:t>in</w:t>
      </w:r>
      <w:r>
        <w:rPr>
          <w:spacing w:val="-6"/>
        </w:rPr>
        <w:t xml:space="preserve"> </w:t>
      </w:r>
      <w:r>
        <w:rPr>
          <w:i/>
        </w:rPr>
        <w:t>Mexico</w:t>
      </w:r>
      <w:r>
        <w:rPr>
          <w:i/>
          <w:spacing w:val="-7"/>
        </w:rPr>
        <w:t xml:space="preserve"> </w:t>
      </w:r>
      <w:r>
        <w:rPr>
          <w:i/>
        </w:rPr>
        <w:t>–</w:t>
      </w:r>
      <w:r>
        <w:rPr>
          <w:i/>
          <w:spacing w:val="-6"/>
        </w:rPr>
        <w:t xml:space="preserve"> </w:t>
      </w:r>
      <w:r>
        <w:rPr>
          <w:i/>
        </w:rPr>
        <w:t>Steel</w:t>
      </w:r>
      <w:r>
        <w:rPr>
          <w:i/>
          <w:spacing w:val="-6"/>
        </w:rPr>
        <w:t xml:space="preserve"> </w:t>
      </w:r>
      <w:r>
        <w:rPr>
          <w:i/>
        </w:rPr>
        <w:t>Pipes</w:t>
      </w:r>
      <w:r>
        <w:rPr>
          <w:i/>
          <w:spacing w:val="-6"/>
        </w:rPr>
        <w:t xml:space="preserve"> </w:t>
      </w:r>
      <w:r>
        <w:rPr>
          <w:i/>
        </w:rPr>
        <w:t>and</w:t>
      </w:r>
      <w:r>
        <w:rPr>
          <w:i/>
          <w:spacing w:val="-6"/>
        </w:rPr>
        <w:t xml:space="preserve"> </w:t>
      </w:r>
      <w:r>
        <w:rPr>
          <w:i/>
        </w:rPr>
        <w:t>Tubes</w:t>
      </w:r>
      <w:r>
        <w:rPr>
          <w:i/>
          <w:spacing w:val="-6"/>
        </w:rPr>
        <w:t xml:space="preserve"> </w:t>
      </w:r>
      <w:r>
        <w:t>considered</w:t>
      </w:r>
      <w:r>
        <w:rPr>
          <w:spacing w:val="-6"/>
        </w:rPr>
        <w:t xml:space="preserve"> </w:t>
      </w:r>
      <w:r>
        <w:t>whether,</w:t>
      </w:r>
      <w:r>
        <w:rPr>
          <w:spacing w:val="-7"/>
        </w:rPr>
        <w:t xml:space="preserve"> </w:t>
      </w:r>
      <w:r>
        <w:t>based on the evidence, an "unbiased and objective investigating authority could have reached the conclusion that the nature and number of problems encountered at verification were so significant</w:t>
      </w:r>
      <w:r>
        <w:rPr>
          <w:spacing w:val="-9"/>
        </w:rPr>
        <w:t xml:space="preserve"> </w:t>
      </w:r>
      <w:r>
        <w:t>that</w:t>
      </w:r>
      <w:r>
        <w:rPr>
          <w:spacing w:val="-10"/>
        </w:rPr>
        <w:t xml:space="preserve"> </w:t>
      </w:r>
      <w:r>
        <w:t>none</w:t>
      </w:r>
      <w:r>
        <w:rPr>
          <w:spacing w:val="-9"/>
        </w:rPr>
        <w:t xml:space="preserve"> </w:t>
      </w:r>
      <w:r>
        <w:t>of</w:t>
      </w:r>
      <w:r>
        <w:rPr>
          <w:spacing w:val="-10"/>
        </w:rPr>
        <w:t xml:space="preserve"> </w:t>
      </w:r>
      <w:r>
        <w:t>Tubac's</w:t>
      </w:r>
      <w:r>
        <w:rPr>
          <w:spacing w:val="-10"/>
        </w:rPr>
        <w:t xml:space="preserve"> </w:t>
      </w:r>
      <w:r>
        <w:t>data</w:t>
      </w:r>
      <w:r>
        <w:rPr>
          <w:spacing w:val="-9"/>
        </w:rPr>
        <w:t xml:space="preserve"> </w:t>
      </w:r>
      <w:r>
        <w:t>[the</w:t>
      </w:r>
      <w:r>
        <w:rPr>
          <w:spacing w:val="-10"/>
        </w:rPr>
        <w:t xml:space="preserve"> </w:t>
      </w:r>
      <w:r>
        <w:t>only</w:t>
      </w:r>
      <w:r>
        <w:rPr>
          <w:spacing w:val="-9"/>
        </w:rPr>
        <w:t xml:space="preserve"> </w:t>
      </w:r>
      <w:r>
        <w:t>identified</w:t>
      </w:r>
      <w:r>
        <w:rPr>
          <w:spacing w:val="-9"/>
        </w:rPr>
        <w:t xml:space="preserve"> </w:t>
      </w:r>
      <w:r>
        <w:t>exporter]…</w:t>
      </w:r>
      <w:r>
        <w:rPr>
          <w:spacing w:val="-10"/>
        </w:rPr>
        <w:t xml:space="preserve"> </w:t>
      </w:r>
      <w:r>
        <w:t>could</w:t>
      </w:r>
      <w:r>
        <w:rPr>
          <w:spacing w:val="-10"/>
        </w:rPr>
        <w:t xml:space="preserve"> </w:t>
      </w:r>
      <w:r>
        <w:t>be</w:t>
      </w:r>
      <w:r>
        <w:rPr>
          <w:spacing w:val="-9"/>
        </w:rPr>
        <w:t xml:space="preserve"> </w:t>
      </w:r>
      <w:r>
        <w:t>used".</w:t>
      </w:r>
      <w:r>
        <w:rPr>
          <w:vertAlign w:val="superscript"/>
        </w:rPr>
        <w:t>50</w:t>
      </w:r>
      <w:r>
        <w:rPr>
          <w:spacing w:val="-9"/>
        </w:rPr>
        <w:t xml:space="preserve"> </w:t>
      </w:r>
      <w:r>
        <w:t>Further, in</w:t>
      </w:r>
      <w:r>
        <w:rPr>
          <w:spacing w:val="-3"/>
        </w:rPr>
        <w:t xml:space="preserve"> </w:t>
      </w:r>
      <w:r>
        <w:rPr>
          <w:i/>
        </w:rPr>
        <w:t>Egypt</w:t>
      </w:r>
      <w:r>
        <w:rPr>
          <w:i/>
          <w:spacing w:val="-2"/>
        </w:rPr>
        <w:t xml:space="preserve"> </w:t>
      </w:r>
      <w:r>
        <w:rPr>
          <w:i/>
        </w:rPr>
        <w:t>–</w:t>
      </w:r>
      <w:r>
        <w:rPr>
          <w:i/>
          <w:spacing w:val="-2"/>
        </w:rPr>
        <w:t xml:space="preserve"> </w:t>
      </w:r>
      <w:r>
        <w:rPr>
          <w:i/>
        </w:rPr>
        <w:t>Steel</w:t>
      </w:r>
      <w:r>
        <w:rPr>
          <w:i/>
          <w:spacing w:val="-3"/>
        </w:rPr>
        <w:t xml:space="preserve"> </w:t>
      </w:r>
      <w:r>
        <w:rPr>
          <w:i/>
        </w:rPr>
        <w:t>Rebar</w:t>
      </w:r>
      <w:r>
        <w:t>,</w:t>
      </w:r>
      <w:r>
        <w:rPr>
          <w:spacing w:val="-3"/>
        </w:rPr>
        <w:t xml:space="preserve"> </w:t>
      </w:r>
      <w:r>
        <w:t>the</w:t>
      </w:r>
      <w:r>
        <w:rPr>
          <w:spacing w:val="-2"/>
        </w:rPr>
        <w:t xml:space="preserve"> </w:t>
      </w:r>
      <w:r>
        <w:t>Panel</w:t>
      </w:r>
      <w:r>
        <w:rPr>
          <w:spacing w:val="-3"/>
        </w:rPr>
        <w:t xml:space="preserve"> </w:t>
      </w:r>
      <w:r>
        <w:t>considered</w:t>
      </w:r>
      <w:r>
        <w:rPr>
          <w:spacing w:val="-2"/>
        </w:rPr>
        <w:t xml:space="preserve"> </w:t>
      </w:r>
      <w:r>
        <w:t>that,</w:t>
      </w:r>
      <w:r>
        <w:rPr>
          <w:spacing w:val="-3"/>
        </w:rPr>
        <w:t xml:space="preserve"> </w:t>
      </w:r>
      <w:r>
        <w:t>pursuant</w:t>
      </w:r>
      <w:r>
        <w:rPr>
          <w:spacing w:val="-2"/>
        </w:rPr>
        <w:t xml:space="preserve"> </w:t>
      </w:r>
      <w:r>
        <w:t>to</w:t>
      </w:r>
      <w:r>
        <w:rPr>
          <w:spacing w:val="-2"/>
        </w:rPr>
        <w:t xml:space="preserve"> </w:t>
      </w:r>
      <w:r>
        <w:t>paragraphs</w:t>
      </w:r>
      <w:r>
        <w:rPr>
          <w:spacing w:val="-1"/>
        </w:rPr>
        <w:t xml:space="preserve"> </w:t>
      </w:r>
      <w:r>
        <w:t>3</w:t>
      </w:r>
      <w:r>
        <w:rPr>
          <w:spacing w:val="-3"/>
        </w:rPr>
        <w:t xml:space="preserve"> </w:t>
      </w:r>
      <w:r>
        <w:t>and</w:t>
      </w:r>
      <w:r>
        <w:rPr>
          <w:spacing w:val="-3"/>
        </w:rPr>
        <w:t xml:space="preserve"> </w:t>
      </w:r>
      <w:r>
        <w:t>5</w:t>
      </w:r>
      <w:r>
        <w:rPr>
          <w:spacing w:val="-3"/>
        </w:rPr>
        <w:t xml:space="preserve"> </w:t>
      </w:r>
      <w:r>
        <w:t>of</w:t>
      </w:r>
      <w:r>
        <w:rPr>
          <w:spacing w:val="-2"/>
        </w:rPr>
        <w:t xml:space="preserve"> </w:t>
      </w:r>
      <w:r>
        <w:t>Annex</w:t>
      </w:r>
      <w:r>
        <w:rPr>
          <w:spacing w:val="-3"/>
        </w:rPr>
        <w:t xml:space="preserve"> </w:t>
      </w:r>
      <w:r>
        <w:t>II, if read together:</w:t>
      </w:r>
      <w:r>
        <w:rPr>
          <w:vertAlign w:val="superscript"/>
        </w:rPr>
        <w:t>51</w:t>
      </w:r>
    </w:p>
    <w:p w14:paraId="51DE7D13" w14:textId="77777777" w:rsidR="0010369C" w:rsidRDefault="008E43AE">
      <w:pPr>
        <w:spacing w:before="162" w:line="276" w:lineRule="auto"/>
        <w:ind w:left="1089" w:right="613" w:hanging="1"/>
        <w:jc w:val="both"/>
      </w:pPr>
      <w:r>
        <w:t>[I]nformation that is of a very high quality, although not perfect, must not be considered unverifiable</w:t>
      </w:r>
      <w:r>
        <w:rPr>
          <w:spacing w:val="-1"/>
        </w:rPr>
        <w:t xml:space="preserve"> </w:t>
      </w:r>
      <w:r>
        <w:t>solely</w:t>
      </w:r>
      <w:r>
        <w:rPr>
          <w:spacing w:val="-1"/>
        </w:rPr>
        <w:t xml:space="preserve"> </w:t>
      </w:r>
      <w:r>
        <w:t>bec</w:t>
      </w:r>
      <w:r>
        <w:t>ause of</w:t>
      </w:r>
      <w:r>
        <w:rPr>
          <w:spacing w:val="-1"/>
        </w:rPr>
        <w:t xml:space="preserve"> </w:t>
      </w:r>
      <w:r>
        <w:t>its</w:t>
      </w:r>
      <w:r>
        <w:rPr>
          <w:spacing w:val="-1"/>
        </w:rPr>
        <w:t xml:space="preserve"> </w:t>
      </w:r>
      <w:r>
        <w:t>minor</w:t>
      </w:r>
      <w:r>
        <w:rPr>
          <w:spacing w:val="-1"/>
        </w:rPr>
        <w:t xml:space="preserve"> </w:t>
      </w:r>
      <w:r>
        <w:t>flaws,</w:t>
      </w:r>
      <w:r>
        <w:rPr>
          <w:spacing w:val="-1"/>
        </w:rPr>
        <w:t xml:space="preserve"> </w:t>
      </w:r>
      <w:r>
        <w:t>so</w:t>
      </w:r>
      <w:r>
        <w:rPr>
          <w:spacing w:val="-1"/>
        </w:rPr>
        <w:t xml:space="preserve"> </w:t>
      </w:r>
      <w:r>
        <w:t>long</w:t>
      </w:r>
      <w:r>
        <w:rPr>
          <w:spacing w:val="-1"/>
        </w:rPr>
        <w:t xml:space="preserve"> </w:t>
      </w:r>
      <w:r>
        <w:t>as</w:t>
      </w:r>
      <w:r>
        <w:rPr>
          <w:spacing w:val="-1"/>
        </w:rPr>
        <w:t xml:space="preserve"> </w:t>
      </w:r>
      <w:r>
        <w:t>the</w:t>
      </w:r>
      <w:r>
        <w:rPr>
          <w:spacing w:val="-1"/>
        </w:rPr>
        <w:t xml:space="preserve"> </w:t>
      </w:r>
      <w:r>
        <w:t>submitter</w:t>
      </w:r>
      <w:r>
        <w:rPr>
          <w:spacing w:val="-1"/>
        </w:rPr>
        <w:t xml:space="preserve"> </w:t>
      </w:r>
      <w:r>
        <w:t>has</w:t>
      </w:r>
      <w:r>
        <w:rPr>
          <w:spacing w:val="-1"/>
        </w:rPr>
        <w:t xml:space="preserve"> </w:t>
      </w:r>
      <w:r>
        <w:t>acted to</w:t>
      </w:r>
      <w:r>
        <w:rPr>
          <w:spacing w:val="-1"/>
        </w:rPr>
        <w:t xml:space="preserve"> </w:t>
      </w:r>
      <w:r>
        <w:t>the</w:t>
      </w:r>
      <w:r>
        <w:rPr>
          <w:spacing w:val="-1"/>
        </w:rPr>
        <w:t xml:space="preserve"> </w:t>
      </w:r>
      <w:r>
        <w:t>best of its ability. That is, so long as the level of good faith cooperation by the interested party is high, slightly imperfect information should not be dismissed as unverifiable.</w:t>
      </w:r>
    </w:p>
    <w:p w14:paraId="51DE7D14" w14:textId="77777777" w:rsidR="0010369C" w:rsidRDefault="0010369C">
      <w:pPr>
        <w:pStyle w:val="BodyText"/>
        <w:rPr>
          <w:sz w:val="20"/>
        </w:rPr>
      </w:pPr>
    </w:p>
    <w:p w14:paraId="51DE7D15" w14:textId="77777777" w:rsidR="0010369C" w:rsidRDefault="0010369C">
      <w:pPr>
        <w:pStyle w:val="BodyText"/>
        <w:rPr>
          <w:sz w:val="20"/>
        </w:rPr>
      </w:pPr>
    </w:p>
    <w:p w14:paraId="51DE7D16" w14:textId="77777777" w:rsidR="0010369C" w:rsidRDefault="0010369C">
      <w:pPr>
        <w:pStyle w:val="BodyText"/>
        <w:rPr>
          <w:sz w:val="20"/>
        </w:rPr>
      </w:pPr>
    </w:p>
    <w:p w14:paraId="51DE7D17" w14:textId="77777777" w:rsidR="0010369C" w:rsidRDefault="0010369C">
      <w:pPr>
        <w:pStyle w:val="BodyText"/>
        <w:rPr>
          <w:sz w:val="20"/>
        </w:rPr>
      </w:pPr>
    </w:p>
    <w:p w14:paraId="51DE7D18" w14:textId="77777777" w:rsidR="0010369C" w:rsidRDefault="0010369C">
      <w:pPr>
        <w:pStyle w:val="BodyText"/>
        <w:rPr>
          <w:sz w:val="20"/>
        </w:rPr>
      </w:pPr>
    </w:p>
    <w:p w14:paraId="51DE7D19" w14:textId="77777777" w:rsidR="0010369C" w:rsidRDefault="008E43AE">
      <w:pPr>
        <w:pStyle w:val="BodyText"/>
        <w:spacing w:before="3"/>
        <w:rPr>
          <w:sz w:val="12"/>
        </w:rPr>
      </w:pPr>
      <w:r>
        <w:pict w14:anchorId="51DE9D9B">
          <v:rect id="docshape87" o:spid="_x0000_s3177" style="position:absolute;margin-left:70.9pt;margin-top:8.7pt;width:2in;height:.8pt;z-index:-251249152;mso-wrap-distance-left:0;mso-wrap-distance-right:0;mso-position-horizontal-relative:page" fillcolor="black" stroked="f">
            <w10:wrap type="topAndBottom" anchorx="page"/>
          </v:rect>
        </w:pict>
      </w:r>
    </w:p>
    <w:p w14:paraId="51DE7D1A" w14:textId="77777777" w:rsidR="0010369C" w:rsidRDefault="008E43AE">
      <w:pPr>
        <w:spacing w:before="109"/>
        <w:ind w:left="238" w:right="759" w:hanging="1"/>
        <w:jc w:val="both"/>
        <w:rPr>
          <w:sz w:val="18"/>
        </w:rPr>
      </w:pPr>
      <w:r>
        <w:rPr>
          <w:sz w:val="18"/>
          <w:vertAlign w:val="superscript"/>
        </w:rPr>
        <w:t>45</w:t>
      </w:r>
      <w:r>
        <w:rPr>
          <w:spacing w:val="-3"/>
          <w:sz w:val="18"/>
        </w:rPr>
        <w:t xml:space="preserve"> </w:t>
      </w:r>
      <w:r>
        <w:rPr>
          <w:sz w:val="18"/>
        </w:rPr>
        <w:t>Oxford</w:t>
      </w:r>
      <w:r>
        <w:rPr>
          <w:spacing w:val="-3"/>
          <w:sz w:val="18"/>
        </w:rPr>
        <w:t xml:space="preserve"> </w:t>
      </w:r>
      <w:r>
        <w:rPr>
          <w:sz w:val="18"/>
        </w:rPr>
        <w:t>English</w:t>
      </w:r>
      <w:r>
        <w:rPr>
          <w:spacing w:val="-3"/>
          <w:sz w:val="18"/>
        </w:rPr>
        <w:t xml:space="preserve"> </w:t>
      </w:r>
      <w:r>
        <w:rPr>
          <w:sz w:val="18"/>
        </w:rPr>
        <w:t>Dictionary</w:t>
      </w:r>
      <w:r>
        <w:rPr>
          <w:spacing w:val="-3"/>
          <w:sz w:val="18"/>
        </w:rPr>
        <w:t xml:space="preserve"> </w:t>
      </w:r>
      <w:r>
        <w:rPr>
          <w:sz w:val="18"/>
        </w:rPr>
        <w:t>online,</w:t>
      </w:r>
      <w:r>
        <w:rPr>
          <w:spacing w:val="-3"/>
          <w:sz w:val="18"/>
        </w:rPr>
        <w:t xml:space="preserve"> </w:t>
      </w:r>
      <w:r>
        <w:rPr>
          <w:sz w:val="18"/>
        </w:rPr>
        <w:t>definition</w:t>
      </w:r>
      <w:r>
        <w:rPr>
          <w:spacing w:val="-3"/>
          <w:sz w:val="18"/>
        </w:rPr>
        <w:t xml:space="preserve"> </w:t>
      </w:r>
      <w:r>
        <w:rPr>
          <w:sz w:val="18"/>
        </w:rPr>
        <w:t>of</w:t>
      </w:r>
      <w:r>
        <w:rPr>
          <w:spacing w:val="-3"/>
          <w:sz w:val="18"/>
        </w:rPr>
        <w:t xml:space="preserve"> </w:t>
      </w:r>
      <w:r>
        <w:rPr>
          <w:sz w:val="18"/>
        </w:rPr>
        <w:t>"verifiable",</w:t>
      </w:r>
      <w:r>
        <w:rPr>
          <w:spacing w:val="-3"/>
          <w:sz w:val="18"/>
        </w:rPr>
        <w:t xml:space="preserve"> </w:t>
      </w:r>
      <w:hyperlink r:id="rId127">
        <w:r>
          <w:rPr>
            <w:sz w:val="18"/>
          </w:rPr>
          <w:t>https://www.oed.com/view/Entry/222501</w:t>
        </w:r>
        <w:r>
          <w:rPr>
            <w:spacing w:val="-2"/>
            <w:sz w:val="18"/>
          </w:rPr>
          <w:t xml:space="preserve"> </w:t>
        </w:r>
      </w:hyperlink>
      <w:r>
        <w:rPr>
          <w:sz w:val="18"/>
        </w:rPr>
        <w:t>(accessed</w:t>
      </w:r>
      <w:r>
        <w:rPr>
          <w:spacing w:val="-4"/>
          <w:sz w:val="18"/>
        </w:rPr>
        <w:t xml:space="preserve"> </w:t>
      </w:r>
      <w:r>
        <w:rPr>
          <w:sz w:val="18"/>
        </w:rPr>
        <w:t>28</w:t>
      </w:r>
      <w:r>
        <w:rPr>
          <w:spacing w:val="-3"/>
          <w:sz w:val="18"/>
        </w:rPr>
        <w:t xml:space="preserve"> </w:t>
      </w:r>
      <w:r>
        <w:rPr>
          <w:sz w:val="18"/>
        </w:rPr>
        <w:t xml:space="preserve">April </w:t>
      </w:r>
      <w:r>
        <w:rPr>
          <w:spacing w:val="-2"/>
          <w:sz w:val="18"/>
        </w:rPr>
        <w:t>2022).</w:t>
      </w:r>
    </w:p>
    <w:p w14:paraId="51DE7D1B" w14:textId="77777777" w:rsidR="0010369C" w:rsidRDefault="008E43AE">
      <w:pPr>
        <w:ind w:left="237" w:right="614"/>
        <w:jc w:val="both"/>
        <w:rPr>
          <w:sz w:val="18"/>
        </w:rPr>
      </w:pPr>
      <w:r>
        <w:rPr>
          <w:sz w:val="18"/>
          <w:vertAlign w:val="superscript"/>
        </w:rPr>
        <w:t>46</w:t>
      </w:r>
      <w:r>
        <w:rPr>
          <w:sz w:val="18"/>
        </w:rPr>
        <w:t>Panel</w:t>
      </w:r>
      <w:r>
        <w:rPr>
          <w:spacing w:val="-1"/>
          <w:sz w:val="18"/>
        </w:rPr>
        <w:t xml:space="preserve"> </w:t>
      </w:r>
      <w:r>
        <w:rPr>
          <w:sz w:val="18"/>
        </w:rPr>
        <w:t xml:space="preserve">Report, </w:t>
      </w:r>
      <w:r>
        <w:rPr>
          <w:i/>
          <w:sz w:val="18"/>
        </w:rPr>
        <w:t>US – Steel</w:t>
      </w:r>
      <w:r>
        <w:rPr>
          <w:i/>
          <w:spacing w:val="-1"/>
          <w:sz w:val="18"/>
        </w:rPr>
        <w:t xml:space="preserve"> </w:t>
      </w:r>
      <w:r>
        <w:rPr>
          <w:i/>
          <w:sz w:val="18"/>
        </w:rPr>
        <w:t>Plate</w:t>
      </w:r>
      <w:r>
        <w:rPr>
          <w:sz w:val="18"/>
        </w:rPr>
        <w:t>, para. 7.71 and</w:t>
      </w:r>
      <w:r>
        <w:rPr>
          <w:spacing w:val="-1"/>
          <w:sz w:val="18"/>
        </w:rPr>
        <w:t xml:space="preserve"> </w:t>
      </w:r>
      <w:r>
        <w:rPr>
          <w:sz w:val="18"/>
        </w:rPr>
        <w:t>footnote 67; see</w:t>
      </w:r>
      <w:r>
        <w:rPr>
          <w:spacing w:val="-1"/>
          <w:sz w:val="18"/>
        </w:rPr>
        <w:t xml:space="preserve"> </w:t>
      </w:r>
      <w:r>
        <w:rPr>
          <w:sz w:val="18"/>
        </w:rPr>
        <w:t>als</w:t>
      </w:r>
      <w:r>
        <w:rPr>
          <w:sz w:val="18"/>
        </w:rPr>
        <w:t>o Panel</w:t>
      </w:r>
      <w:r>
        <w:rPr>
          <w:spacing w:val="-1"/>
          <w:sz w:val="18"/>
        </w:rPr>
        <w:t xml:space="preserve"> </w:t>
      </w:r>
      <w:r>
        <w:rPr>
          <w:sz w:val="18"/>
        </w:rPr>
        <w:t xml:space="preserve">Report, </w:t>
      </w:r>
      <w:r>
        <w:rPr>
          <w:i/>
          <w:sz w:val="18"/>
        </w:rPr>
        <w:t>Guatemala – Cement II</w:t>
      </w:r>
      <w:r>
        <w:rPr>
          <w:sz w:val="18"/>
        </w:rPr>
        <w:t>, para. 8.252. The Panel</w:t>
      </w:r>
      <w:r>
        <w:rPr>
          <w:spacing w:val="-7"/>
          <w:sz w:val="18"/>
        </w:rPr>
        <w:t xml:space="preserve"> </w:t>
      </w:r>
      <w:r>
        <w:rPr>
          <w:sz w:val="18"/>
        </w:rPr>
        <w:t>found</w:t>
      </w:r>
      <w:r>
        <w:rPr>
          <w:spacing w:val="-5"/>
          <w:sz w:val="18"/>
        </w:rPr>
        <w:t xml:space="preserve"> </w:t>
      </w:r>
      <w:r>
        <w:rPr>
          <w:sz w:val="18"/>
        </w:rPr>
        <w:t>that</w:t>
      </w:r>
      <w:r>
        <w:rPr>
          <w:spacing w:val="-8"/>
          <w:sz w:val="18"/>
        </w:rPr>
        <w:t xml:space="preserve"> </w:t>
      </w:r>
      <w:r>
        <w:rPr>
          <w:sz w:val="18"/>
        </w:rPr>
        <w:t>the</w:t>
      </w:r>
      <w:r>
        <w:rPr>
          <w:spacing w:val="-5"/>
          <w:sz w:val="18"/>
        </w:rPr>
        <w:t xml:space="preserve"> </w:t>
      </w:r>
      <w:r>
        <w:rPr>
          <w:sz w:val="18"/>
        </w:rPr>
        <w:t>fact</w:t>
      </w:r>
      <w:r>
        <w:rPr>
          <w:spacing w:val="-6"/>
          <w:sz w:val="18"/>
        </w:rPr>
        <w:t xml:space="preserve"> </w:t>
      </w:r>
      <w:r>
        <w:rPr>
          <w:sz w:val="18"/>
        </w:rPr>
        <w:t>that</w:t>
      </w:r>
      <w:r>
        <w:rPr>
          <w:spacing w:val="-6"/>
          <w:sz w:val="18"/>
        </w:rPr>
        <w:t xml:space="preserve"> </w:t>
      </w:r>
      <w:r>
        <w:rPr>
          <w:sz w:val="18"/>
        </w:rPr>
        <w:t>information</w:t>
      </w:r>
      <w:r>
        <w:rPr>
          <w:spacing w:val="-5"/>
          <w:sz w:val="18"/>
        </w:rPr>
        <w:t xml:space="preserve"> </w:t>
      </w:r>
      <w:r>
        <w:rPr>
          <w:sz w:val="18"/>
        </w:rPr>
        <w:t>submitted</w:t>
      </w:r>
      <w:r>
        <w:rPr>
          <w:spacing w:val="-6"/>
          <w:sz w:val="18"/>
        </w:rPr>
        <w:t xml:space="preserve"> </w:t>
      </w:r>
      <w:r>
        <w:rPr>
          <w:sz w:val="18"/>
        </w:rPr>
        <w:t>by</w:t>
      </w:r>
      <w:r>
        <w:rPr>
          <w:spacing w:val="-6"/>
          <w:sz w:val="18"/>
        </w:rPr>
        <w:t xml:space="preserve"> </w:t>
      </w:r>
      <w:r>
        <w:rPr>
          <w:sz w:val="18"/>
        </w:rPr>
        <w:t>the</w:t>
      </w:r>
      <w:r>
        <w:rPr>
          <w:spacing w:val="-7"/>
          <w:sz w:val="18"/>
        </w:rPr>
        <w:t xml:space="preserve"> </w:t>
      </w:r>
      <w:r>
        <w:rPr>
          <w:sz w:val="18"/>
        </w:rPr>
        <w:t>exporter,</w:t>
      </w:r>
      <w:r>
        <w:rPr>
          <w:spacing w:val="-7"/>
          <w:sz w:val="18"/>
        </w:rPr>
        <w:t xml:space="preserve"> </w:t>
      </w:r>
      <w:r>
        <w:rPr>
          <w:sz w:val="18"/>
        </w:rPr>
        <w:t>Cruz</w:t>
      </w:r>
      <w:r>
        <w:rPr>
          <w:spacing w:val="-6"/>
          <w:sz w:val="18"/>
        </w:rPr>
        <w:t xml:space="preserve"> </w:t>
      </w:r>
      <w:r>
        <w:rPr>
          <w:sz w:val="18"/>
        </w:rPr>
        <w:t>Azul,</w:t>
      </w:r>
      <w:r>
        <w:rPr>
          <w:spacing w:val="-7"/>
          <w:sz w:val="18"/>
        </w:rPr>
        <w:t xml:space="preserve"> </w:t>
      </w:r>
      <w:r>
        <w:rPr>
          <w:sz w:val="18"/>
        </w:rPr>
        <w:t>was</w:t>
      </w:r>
      <w:r>
        <w:rPr>
          <w:spacing w:val="-6"/>
          <w:sz w:val="18"/>
        </w:rPr>
        <w:t xml:space="preserve"> </w:t>
      </w:r>
      <w:r>
        <w:rPr>
          <w:sz w:val="18"/>
        </w:rPr>
        <w:t>not</w:t>
      </w:r>
      <w:r>
        <w:rPr>
          <w:spacing w:val="-6"/>
          <w:sz w:val="18"/>
        </w:rPr>
        <w:t xml:space="preserve"> </w:t>
      </w:r>
      <w:r>
        <w:rPr>
          <w:sz w:val="18"/>
        </w:rPr>
        <w:t>actually</w:t>
      </w:r>
      <w:r>
        <w:rPr>
          <w:spacing w:val="-5"/>
          <w:sz w:val="18"/>
        </w:rPr>
        <w:t xml:space="preserve"> </w:t>
      </w:r>
      <w:r>
        <w:rPr>
          <w:sz w:val="18"/>
        </w:rPr>
        <w:t>verified</w:t>
      </w:r>
      <w:r>
        <w:rPr>
          <w:spacing w:val="-6"/>
          <w:sz w:val="18"/>
        </w:rPr>
        <w:t xml:space="preserve"> </w:t>
      </w:r>
      <w:r>
        <w:rPr>
          <w:sz w:val="18"/>
        </w:rPr>
        <w:t>by</w:t>
      </w:r>
      <w:r>
        <w:rPr>
          <w:spacing w:val="-6"/>
          <w:sz w:val="18"/>
        </w:rPr>
        <w:t xml:space="preserve"> </w:t>
      </w:r>
      <w:r>
        <w:rPr>
          <w:sz w:val="18"/>
        </w:rPr>
        <w:t>the</w:t>
      </w:r>
      <w:r>
        <w:rPr>
          <w:spacing w:val="-5"/>
          <w:sz w:val="18"/>
        </w:rPr>
        <w:t xml:space="preserve"> </w:t>
      </w:r>
      <w:r>
        <w:rPr>
          <w:sz w:val="18"/>
        </w:rPr>
        <w:t>investigating authority did not change the Panel's assessment that it was verifiable.</w:t>
      </w:r>
    </w:p>
    <w:p w14:paraId="51DE7D1C" w14:textId="77777777" w:rsidR="0010369C" w:rsidRDefault="008E43AE">
      <w:pPr>
        <w:spacing w:line="219" w:lineRule="exact"/>
        <w:ind w:left="238"/>
        <w:jc w:val="both"/>
        <w:rPr>
          <w:sz w:val="18"/>
        </w:rPr>
      </w:pPr>
      <w:r>
        <w:rPr>
          <w:sz w:val="18"/>
          <w:vertAlign w:val="superscript"/>
        </w:rPr>
        <w:t>47</w:t>
      </w:r>
      <w:r>
        <w:rPr>
          <w:spacing w:val="-5"/>
          <w:sz w:val="18"/>
        </w:rPr>
        <w:t xml:space="preserve"> </w:t>
      </w:r>
      <w:r>
        <w:rPr>
          <w:sz w:val="18"/>
        </w:rPr>
        <w:t>Panel</w:t>
      </w:r>
      <w:r>
        <w:rPr>
          <w:spacing w:val="-6"/>
          <w:sz w:val="18"/>
        </w:rPr>
        <w:t xml:space="preserve"> </w:t>
      </w:r>
      <w:r>
        <w:rPr>
          <w:sz w:val="18"/>
        </w:rPr>
        <w:t>Report,</w:t>
      </w:r>
      <w:r>
        <w:rPr>
          <w:spacing w:val="-5"/>
          <w:sz w:val="18"/>
        </w:rPr>
        <w:t xml:space="preserve"> </w:t>
      </w:r>
      <w:r>
        <w:rPr>
          <w:i/>
          <w:sz w:val="18"/>
        </w:rPr>
        <w:t>US</w:t>
      </w:r>
      <w:r>
        <w:rPr>
          <w:i/>
          <w:spacing w:val="-5"/>
          <w:sz w:val="18"/>
        </w:rPr>
        <w:t xml:space="preserve"> </w:t>
      </w:r>
      <w:r>
        <w:rPr>
          <w:i/>
          <w:sz w:val="18"/>
        </w:rPr>
        <w:t>–</w:t>
      </w:r>
      <w:r>
        <w:rPr>
          <w:i/>
          <w:spacing w:val="-5"/>
          <w:sz w:val="18"/>
        </w:rPr>
        <w:t xml:space="preserve"> </w:t>
      </w:r>
      <w:r>
        <w:rPr>
          <w:i/>
          <w:sz w:val="18"/>
        </w:rPr>
        <w:t>Steel</w:t>
      </w:r>
      <w:r>
        <w:rPr>
          <w:i/>
          <w:spacing w:val="-6"/>
          <w:sz w:val="18"/>
        </w:rPr>
        <w:t xml:space="preserve"> </w:t>
      </w:r>
      <w:r>
        <w:rPr>
          <w:i/>
          <w:sz w:val="18"/>
        </w:rPr>
        <w:t>Plate</w:t>
      </w:r>
      <w:r>
        <w:rPr>
          <w:sz w:val="18"/>
        </w:rPr>
        <w:t>,</w:t>
      </w:r>
      <w:r>
        <w:rPr>
          <w:spacing w:val="-6"/>
          <w:sz w:val="18"/>
        </w:rPr>
        <w:t xml:space="preserve"> </w:t>
      </w:r>
      <w:r>
        <w:rPr>
          <w:sz w:val="18"/>
        </w:rPr>
        <w:t>para.</w:t>
      </w:r>
      <w:r>
        <w:rPr>
          <w:spacing w:val="-5"/>
          <w:sz w:val="18"/>
        </w:rPr>
        <w:t xml:space="preserve"> </w:t>
      </w:r>
      <w:r>
        <w:rPr>
          <w:sz w:val="18"/>
        </w:rPr>
        <w:t>7.71</w:t>
      </w:r>
      <w:r>
        <w:rPr>
          <w:spacing w:val="-5"/>
          <w:sz w:val="18"/>
        </w:rPr>
        <w:t xml:space="preserve"> </w:t>
      </w:r>
      <w:r>
        <w:rPr>
          <w:sz w:val="18"/>
        </w:rPr>
        <w:t>and</w:t>
      </w:r>
      <w:r>
        <w:rPr>
          <w:spacing w:val="-5"/>
          <w:sz w:val="18"/>
        </w:rPr>
        <w:t xml:space="preserve"> </w:t>
      </w:r>
      <w:r>
        <w:rPr>
          <w:sz w:val="18"/>
        </w:rPr>
        <w:t>footnote</w:t>
      </w:r>
      <w:r>
        <w:rPr>
          <w:spacing w:val="-4"/>
          <w:sz w:val="18"/>
        </w:rPr>
        <w:t xml:space="preserve"> </w:t>
      </w:r>
      <w:r>
        <w:rPr>
          <w:spacing w:val="-5"/>
          <w:sz w:val="18"/>
        </w:rPr>
        <w:t>67.</w:t>
      </w:r>
    </w:p>
    <w:p w14:paraId="51DE7D1D" w14:textId="77777777" w:rsidR="0010369C" w:rsidRDefault="008E43AE">
      <w:pPr>
        <w:ind w:left="238"/>
        <w:jc w:val="both"/>
        <w:rPr>
          <w:sz w:val="18"/>
        </w:rPr>
      </w:pPr>
      <w:r>
        <w:rPr>
          <w:sz w:val="18"/>
          <w:vertAlign w:val="superscript"/>
        </w:rPr>
        <w:t>48</w:t>
      </w:r>
      <w:r>
        <w:rPr>
          <w:spacing w:val="-5"/>
          <w:sz w:val="18"/>
        </w:rPr>
        <w:t xml:space="preserve"> </w:t>
      </w:r>
      <w:r>
        <w:rPr>
          <w:sz w:val="18"/>
        </w:rPr>
        <w:t>Panel</w:t>
      </w:r>
      <w:r>
        <w:rPr>
          <w:spacing w:val="-6"/>
          <w:sz w:val="18"/>
        </w:rPr>
        <w:t xml:space="preserve"> </w:t>
      </w:r>
      <w:r>
        <w:rPr>
          <w:sz w:val="18"/>
        </w:rPr>
        <w:t>Report,</w:t>
      </w:r>
      <w:r>
        <w:rPr>
          <w:spacing w:val="-5"/>
          <w:sz w:val="18"/>
        </w:rPr>
        <w:t xml:space="preserve"> </w:t>
      </w:r>
      <w:r>
        <w:rPr>
          <w:i/>
          <w:sz w:val="18"/>
        </w:rPr>
        <w:t>EC</w:t>
      </w:r>
      <w:r>
        <w:rPr>
          <w:i/>
          <w:spacing w:val="-5"/>
          <w:sz w:val="18"/>
        </w:rPr>
        <w:t xml:space="preserve"> </w:t>
      </w:r>
      <w:r>
        <w:rPr>
          <w:i/>
          <w:sz w:val="18"/>
        </w:rPr>
        <w:t>–</w:t>
      </w:r>
      <w:r>
        <w:rPr>
          <w:i/>
          <w:spacing w:val="-5"/>
          <w:sz w:val="18"/>
        </w:rPr>
        <w:t xml:space="preserve"> </w:t>
      </w:r>
      <w:r>
        <w:rPr>
          <w:i/>
          <w:sz w:val="18"/>
        </w:rPr>
        <w:t>Salmon</w:t>
      </w:r>
      <w:r>
        <w:rPr>
          <w:i/>
          <w:spacing w:val="-6"/>
          <w:sz w:val="18"/>
        </w:rPr>
        <w:t xml:space="preserve"> </w:t>
      </w:r>
      <w:r>
        <w:rPr>
          <w:i/>
          <w:sz w:val="18"/>
        </w:rPr>
        <w:t>(Norway),</w:t>
      </w:r>
      <w:r>
        <w:rPr>
          <w:i/>
          <w:spacing w:val="-6"/>
          <w:sz w:val="18"/>
        </w:rPr>
        <w:t xml:space="preserve"> </w:t>
      </w:r>
      <w:r>
        <w:rPr>
          <w:sz w:val="18"/>
        </w:rPr>
        <w:t>para.</w:t>
      </w:r>
      <w:r>
        <w:rPr>
          <w:spacing w:val="-4"/>
          <w:sz w:val="18"/>
        </w:rPr>
        <w:t xml:space="preserve"> </w:t>
      </w:r>
      <w:r>
        <w:rPr>
          <w:spacing w:val="-2"/>
          <w:sz w:val="18"/>
        </w:rPr>
        <w:t>7.360.</w:t>
      </w:r>
    </w:p>
    <w:p w14:paraId="51DE7D1E" w14:textId="77777777" w:rsidR="0010369C" w:rsidRDefault="008E43AE">
      <w:pPr>
        <w:spacing w:before="1"/>
        <w:ind w:left="238"/>
        <w:jc w:val="both"/>
        <w:rPr>
          <w:sz w:val="18"/>
        </w:rPr>
      </w:pPr>
      <w:r>
        <w:rPr>
          <w:sz w:val="18"/>
          <w:vertAlign w:val="superscript"/>
        </w:rPr>
        <w:t>49</w:t>
      </w:r>
      <w:r>
        <w:rPr>
          <w:spacing w:val="-5"/>
          <w:sz w:val="18"/>
        </w:rPr>
        <w:t xml:space="preserve"> </w:t>
      </w:r>
      <w:r>
        <w:rPr>
          <w:sz w:val="18"/>
        </w:rPr>
        <w:t>Panel</w:t>
      </w:r>
      <w:r>
        <w:rPr>
          <w:spacing w:val="-6"/>
          <w:sz w:val="18"/>
        </w:rPr>
        <w:t xml:space="preserve"> </w:t>
      </w:r>
      <w:r>
        <w:rPr>
          <w:sz w:val="18"/>
        </w:rPr>
        <w:t>Report,</w:t>
      </w:r>
      <w:r>
        <w:rPr>
          <w:spacing w:val="-5"/>
          <w:sz w:val="18"/>
        </w:rPr>
        <w:t xml:space="preserve"> </w:t>
      </w:r>
      <w:r>
        <w:rPr>
          <w:i/>
          <w:sz w:val="18"/>
        </w:rPr>
        <w:t>Egypt</w:t>
      </w:r>
      <w:r>
        <w:rPr>
          <w:i/>
          <w:spacing w:val="-4"/>
          <w:sz w:val="18"/>
        </w:rPr>
        <w:t xml:space="preserve"> </w:t>
      </w:r>
      <w:r>
        <w:rPr>
          <w:i/>
          <w:sz w:val="18"/>
        </w:rPr>
        <w:t>–</w:t>
      </w:r>
      <w:r>
        <w:rPr>
          <w:i/>
          <w:spacing w:val="-5"/>
          <w:sz w:val="18"/>
        </w:rPr>
        <w:t xml:space="preserve"> </w:t>
      </w:r>
      <w:r>
        <w:rPr>
          <w:i/>
          <w:sz w:val="18"/>
        </w:rPr>
        <w:t>Steel</w:t>
      </w:r>
      <w:r>
        <w:rPr>
          <w:i/>
          <w:spacing w:val="-6"/>
          <w:sz w:val="18"/>
        </w:rPr>
        <w:t xml:space="preserve"> </w:t>
      </w:r>
      <w:r>
        <w:rPr>
          <w:i/>
          <w:sz w:val="18"/>
        </w:rPr>
        <w:t>Rebar</w:t>
      </w:r>
      <w:r>
        <w:rPr>
          <w:sz w:val="18"/>
        </w:rPr>
        <w:t>,</w:t>
      </w:r>
      <w:r>
        <w:rPr>
          <w:spacing w:val="-5"/>
          <w:sz w:val="18"/>
        </w:rPr>
        <w:t xml:space="preserve"> </w:t>
      </w:r>
      <w:r>
        <w:rPr>
          <w:sz w:val="18"/>
        </w:rPr>
        <w:t>para.</w:t>
      </w:r>
      <w:r>
        <w:rPr>
          <w:spacing w:val="-5"/>
          <w:sz w:val="18"/>
        </w:rPr>
        <w:t xml:space="preserve"> </w:t>
      </w:r>
      <w:r>
        <w:rPr>
          <w:sz w:val="18"/>
        </w:rPr>
        <w:t>7.161;</w:t>
      </w:r>
      <w:r>
        <w:rPr>
          <w:spacing w:val="-6"/>
          <w:sz w:val="18"/>
        </w:rPr>
        <w:t xml:space="preserve"> </w:t>
      </w:r>
      <w:r>
        <w:rPr>
          <w:sz w:val="18"/>
        </w:rPr>
        <w:t>see</w:t>
      </w:r>
      <w:r>
        <w:rPr>
          <w:spacing w:val="-5"/>
          <w:sz w:val="18"/>
        </w:rPr>
        <w:t xml:space="preserve"> </w:t>
      </w:r>
      <w:r>
        <w:rPr>
          <w:sz w:val="18"/>
        </w:rPr>
        <w:t>also</w:t>
      </w:r>
      <w:r>
        <w:rPr>
          <w:spacing w:val="-5"/>
          <w:sz w:val="18"/>
        </w:rPr>
        <w:t xml:space="preserve"> </w:t>
      </w:r>
      <w:r>
        <w:rPr>
          <w:sz w:val="18"/>
        </w:rPr>
        <w:t>Panel</w:t>
      </w:r>
      <w:r>
        <w:rPr>
          <w:spacing w:val="-6"/>
          <w:sz w:val="18"/>
        </w:rPr>
        <w:t xml:space="preserve"> </w:t>
      </w:r>
      <w:r>
        <w:rPr>
          <w:sz w:val="18"/>
        </w:rPr>
        <w:t>Report,</w:t>
      </w:r>
      <w:r>
        <w:rPr>
          <w:spacing w:val="-6"/>
          <w:sz w:val="18"/>
        </w:rPr>
        <w:t xml:space="preserve"> </w:t>
      </w:r>
      <w:r>
        <w:rPr>
          <w:i/>
          <w:sz w:val="18"/>
        </w:rPr>
        <w:t>US</w:t>
      </w:r>
      <w:r>
        <w:rPr>
          <w:i/>
          <w:spacing w:val="-4"/>
          <w:sz w:val="18"/>
        </w:rPr>
        <w:t xml:space="preserve"> </w:t>
      </w:r>
      <w:r>
        <w:rPr>
          <w:i/>
          <w:sz w:val="18"/>
        </w:rPr>
        <w:t>–</w:t>
      </w:r>
      <w:r>
        <w:rPr>
          <w:i/>
          <w:spacing w:val="-5"/>
          <w:sz w:val="18"/>
        </w:rPr>
        <w:t xml:space="preserve"> </w:t>
      </w:r>
      <w:r>
        <w:rPr>
          <w:i/>
          <w:sz w:val="18"/>
        </w:rPr>
        <w:t>Steel</w:t>
      </w:r>
      <w:r>
        <w:rPr>
          <w:i/>
          <w:spacing w:val="-6"/>
          <w:sz w:val="18"/>
        </w:rPr>
        <w:t xml:space="preserve"> </w:t>
      </w:r>
      <w:r>
        <w:rPr>
          <w:i/>
          <w:sz w:val="18"/>
        </w:rPr>
        <w:t>Plate</w:t>
      </w:r>
      <w:r>
        <w:rPr>
          <w:sz w:val="18"/>
        </w:rPr>
        <w:t>,</w:t>
      </w:r>
      <w:r>
        <w:rPr>
          <w:spacing w:val="-5"/>
          <w:sz w:val="18"/>
        </w:rPr>
        <w:t xml:space="preserve"> </w:t>
      </w:r>
      <w:r>
        <w:rPr>
          <w:sz w:val="18"/>
        </w:rPr>
        <w:t>para.</w:t>
      </w:r>
      <w:r>
        <w:rPr>
          <w:spacing w:val="-5"/>
          <w:sz w:val="18"/>
        </w:rPr>
        <w:t xml:space="preserve"> </w:t>
      </w:r>
      <w:r>
        <w:rPr>
          <w:spacing w:val="-2"/>
          <w:sz w:val="18"/>
        </w:rPr>
        <w:t>7.65.</w:t>
      </w:r>
    </w:p>
    <w:p w14:paraId="51DE7D1F" w14:textId="77777777" w:rsidR="0010369C" w:rsidRDefault="008E43AE">
      <w:pPr>
        <w:ind w:left="237" w:right="615"/>
        <w:jc w:val="both"/>
        <w:rPr>
          <w:sz w:val="18"/>
        </w:rPr>
      </w:pPr>
      <w:r>
        <w:rPr>
          <w:sz w:val="18"/>
          <w:vertAlign w:val="superscript"/>
        </w:rPr>
        <w:t>50</w:t>
      </w:r>
      <w:r>
        <w:rPr>
          <w:spacing w:val="26"/>
          <w:sz w:val="18"/>
        </w:rPr>
        <w:t xml:space="preserve"> </w:t>
      </w:r>
      <w:r>
        <w:rPr>
          <w:sz w:val="18"/>
        </w:rPr>
        <w:t>Panel</w:t>
      </w:r>
      <w:r>
        <w:rPr>
          <w:spacing w:val="-8"/>
          <w:sz w:val="18"/>
        </w:rPr>
        <w:t xml:space="preserve"> </w:t>
      </w:r>
      <w:r>
        <w:rPr>
          <w:sz w:val="18"/>
        </w:rPr>
        <w:t>Report,</w:t>
      </w:r>
      <w:r>
        <w:rPr>
          <w:spacing w:val="-8"/>
          <w:sz w:val="18"/>
        </w:rPr>
        <w:t xml:space="preserve"> </w:t>
      </w:r>
      <w:r>
        <w:rPr>
          <w:i/>
          <w:sz w:val="18"/>
        </w:rPr>
        <w:t>Mexico</w:t>
      </w:r>
      <w:r>
        <w:rPr>
          <w:i/>
          <w:spacing w:val="-7"/>
          <w:sz w:val="18"/>
        </w:rPr>
        <w:t xml:space="preserve"> </w:t>
      </w:r>
      <w:r>
        <w:rPr>
          <w:i/>
          <w:sz w:val="18"/>
        </w:rPr>
        <w:t>–</w:t>
      </w:r>
      <w:r>
        <w:rPr>
          <w:i/>
          <w:spacing w:val="-7"/>
          <w:sz w:val="18"/>
        </w:rPr>
        <w:t xml:space="preserve"> </w:t>
      </w:r>
      <w:r>
        <w:rPr>
          <w:i/>
          <w:sz w:val="18"/>
        </w:rPr>
        <w:t>Steel</w:t>
      </w:r>
      <w:r>
        <w:rPr>
          <w:i/>
          <w:spacing w:val="-9"/>
          <w:sz w:val="18"/>
        </w:rPr>
        <w:t xml:space="preserve"> </w:t>
      </w:r>
      <w:r>
        <w:rPr>
          <w:i/>
          <w:sz w:val="18"/>
        </w:rPr>
        <w:t>Pipes</w:t>
      </w:r>
      <w:r>
        <w:rPr>
          <w:i/>
          <w:spacing w:val="-8"/>
          <w:sz w:val="18"/>
        </w:rPr>
        <w:t xml:space="preserve"> </w:t>
      </w:r>
      <w:r>
        <w:rPr>
          <w:i/>
          <w:sz w:val="18"/>
        </w:rPr>
        <w:t>and</w:t>
      </w:r>
      <w:r>
        <w:rPr>
          <w:i/>
          <w:spacing w:val="-7"/>
          <w:sz w:val="18"/>
        </w:rPr>
        <w:t xml:space="preserve"> </w:t>
      </w:r>
      <w:r>
        <w:rPr>
          <w:i/>
          <w:sz w:val="18"/>
        </w:rPr>
        <w:t>Tubes</w:t>
      </w:r>
      <w:r>
        <w:rPr>
          <w:sz w:val="18"/>
        </w:rPr>
        <w:t>,</w:t>
      </w:r>
      <w:r>
        <w:rPr>
          <w:spacing w:val="-8"/>
          <w:sz w:val="18"/>
        </w:rPr>
        <w:t xml:space="preserve"> </w:t>
      </w:r>
      <w:r>
        <w:rPr>
          <w:sz w:val="18"/>
        </w:rPr>
        <w:t>para.</w:t>
      </w:r>
      <w:r>
        <w:rPr>
          <w:spacing w:val="-7"/>
          <w:sz w:val="18"/>
        </w:rPr>
        <w:t xml:space="preserve"> </w:t>
      </w:r>
      <w:r>
        <w:rPr>
          <w:sz w:val="18"/>
        </w:rPr>
        <w:t>7.111.</w:t>
      </w:r>
      <w:r>
        <w:rPr>
          <w:spacing w:val="-8"/>
          <w:sz w:val="18"/>
        </w:rPr>
        <w:t xml:space="preserve"> </w:t>
      </w:r>
      <w:r>
        <w:rPr>
          <w:sz w:val="18"/>
        </w:rPr>
        <w:t>Note</w:t>
      </w:r>
      <w:r>
        <w:rPr>
          <w:spacing w:val="-8"/>
          <w:sz w:val="18"/>
        </w:rPr>
        <w:t xml:space="preserve"> </w:t>
      </w:r>
      <w:r>
        <w:rPr>
          <w:sz w:val="18"/>
        </w:rPr>
        <w:t>that</w:t>
      </w:r>
      <w:r>
        <w:rPr>
          <w:spacing w:val="-8"/>
          <w:sz w:val="18"/>
        </w:rPr>
        <w:t xml:space="preserve"> </w:t>
      </w:r>
      <w:r>
        <w:rPr>
          <w:sz w:val="18"/>
        </w:rPr>
        <w:t>ultimately,</w:t>
      </w:r>
      <w:r>
        <w:rPr>
          <w:spacing w:val="-7"/>
          <w:sz w:val="18"/>
        </w:rPr>
        <w:t xml:space="preserve"> </w:t>
      </w:r>
      <w:r>
        <w:rPr>
          <w:sz w:val="18"/>
        </w:rPr>
        <w:t>the</w:t>
      </w:r>
      <w:r>
        <w:rPr>
          <w:spacing w:val="-8"/>
          <w:sz w:val="18"/>
        </w:rPr>
        <w:t xml:space="preserve"> </w:t>
      </w:r>
      <w:r>
        <w:rPr>
          <w:sz w:val="18"/>
        </w:rPr>
        <w:t>Panel</w:t>
      </w:r>
      <w:r>
        <w:rPr>
          <w:spacing w:val="-8"/>
          <w:sz w:val="18"/>
        </w:rPr>
        <w:t xml:space="preserve"> </w:t>
      </w:r>
      <w:r>
        <w:rPr>
          <w:sz w:val="18"/>
        </w:rPr>
        <w:t>was</w:t>
      </w:r>
      <w:r>
        <w:rPr>
          <w:spacing w:val="-7"/>
          <w:sz w:val="18"/>
        </w:rPr>
        <w:t xml:space="preserve"> </w:t>
      </w:r>
      <w:r>
        <w:rPr>
          <w:sz w:val="18"/>
        </w:rPr>
        <w:t>not</w:t>
      </w:r>
      <w:r>
        <w:rPr>
          <w:spacing w:val="-7"/>
          <w:sz w:val="18"/>
        </w:rPr>
        <w:t xml:space="preserve"> </w:t>
      </w:r>
      <w:r>
        <w:rPr>
          <w:sz w:val="18"/>
        </w:rPr>
        <w:t>convinced</w:t>
      </w:r>
      <w:r>
        <w:rPr>
          <w:spacing w:val="-7"/>
          <w:sz w:val="18"/>
        </w:rPr>
        <w:t xml:space="preserve"> </w:t>
      </w:r>
      <w:r>
        <w:rPr>
          <w:sz w:val="18"/>
        </w:rPr>
        <w:t>that</w:t>
      </w:r>
      <w:r>
        <w:rPr>
          <w:spacing w:val="-9"/>
          <w:sz w:val="18"/>
        </w:rPr>
        <w:t xml:space="preserve"> </w:t>
      </w:r>
      <w:r>
        <w:rPr>
          <w:sz w:val="18"/>
        </w:rPr>
        <w:t>Mexico's investigating authority had complied with its substantive obligations under Article 6.8 and Annex II.</w:t>
      </w:r>
    </w:p>
    <w:p w14:paraId="51DE7D20" w14:textId="77777777" w:rsidR="0010369C" w:rsidRDefault="008E43AE">
      <w:pPr>
        <w:spacing w:line="219" w:lineRule="exact"/>
        <w:ind w:left="238"/>
        <w:jc w:val="both"/>
        <w:rPr>
          <w:sz w:val="18"/>
        </w:rPr>
      </w:pPr>
      <w:r>
        <w:rPr>
          <w:sz w:val="18"/>
          <w:vertAlign w:val="superscript"/>
        </w:rPr>
        <w:t>51</w:t>
      </w:r>
      <w:r>
        <w:rPr>
          <w:spacing w:val="-6"/>
          <w:sz w:val="18"/>
        </w:rPr>
        <w:t xml:space="preserve"> </w:t>
      </w:r>
      <w:r>
        <w:rPr>
          <w:sz w:val="18"/>
        </w:rPr>
        <w:t>Panel</w:t>
      </w:r>
      <w:r>
        <w:rPr>
          <w:spacing w:val="-6"/>
          <w:sz w:val="18"/>
        </w:rPr>
        <w:t xml:space="preserve"> </w:t>
      </w:r>
      <w:r>
        <w:rPr>
          <w:sz w:val="18"/>
        </w:rPr>
        <w:t>Report,</w:t>
      </w:r>
      <w:r>
        <w:rPr>
          <w:spacing w:val="-6"/>
          <w:sz w:val="18"/>
        </w:rPr>
        <w:t xml:space="preserve"> </w:t>
      </w:r>
      <w:r>
        <w:rPr>
          <w:i/>
          <w:sz w:val="18"/>
        </w:rPr>
        <w:t>Egypt</w:t>
      </w:r>
      <w:r>
        <w:rPr>
          <w:i/>
          <w:spacing w:val="-5"/>
          <w:sz w:val="18"/>
        </w:rPr>
        <w:t xml:space="preserve"> </w:t>
      </w:r>
      <w:r>
        <w:rPr>
          <w:i/>
          <w:sz w:val="18"/>
        </w:rPr>
        <w:t>–</w:t>
      </w:r>
      <w:r>
        <w:rPr>
          <w:i/>
          <w:spacing w:val="-6"/>
          <w:sz w:val="18"/>
        </w:rPr>
        <w:t xml:space="preserve"> </w:t>
      </w:r>
      <w:r>
        <w:rPr>
          <w:i/>
          <w:sz w:val="18"/>
        </w:rPr>
        <w:t>Steel</w:t>
      </w:r>
      <w:r>
        <w:rPr>
          <w:i/>
          <w:spacing w:val="-6"/>
          <w:sz w:val="18"/>
        </w:rPr>
        <w:t xml:space="preserve"> </w:t>
      </w:r>
      <w:r>
        <w:rPr>
          <w:i/>
          <w:sz w:val="18"/>
        </w:rPr>
        <w:t>Rebar</w:t>
      </w:r>
      <w:r>
        <w:rPr>
          <w:sz w:val="18"/>
        </w:rPr>
        <w:t>,</w:t>
      </w:r>
      <w:r>
        <w:rPr>
          <w:spacing w:val="-7"/>
          <w:sz w:val="18"/>
        </w:rPr>
        <w:t xml:space="preserve"> </w:t>
      </w:r>
      <w:r>
        <w:rPr>
          <w:spacing w:val="-2"/>
          <w:sz w:val="18"/>
        </w:rPr>
        <w:t>7.161.</w:t>
      </w:r>
    </w:p>
    <w:p w14:paraId="51DE7D21" w14:textId="77777777" w:rsidR="0010369C" w:rsidRDefault="0010369C">
      <w:pPr>
        <w:spacing w:line="219" w:lineRule="exact"/>
        <w:jc w:val="both"/>
        <w:rPr>
          <w:sz w:val="18"/>
        </w:rPr>
        <w:sectPr w:rsidR="0010369C">
          <w:pgSz w:w="11910" w:h="16840"/>
          <w:pgMar w:top="880" w:right="800" w:bottom="980" w:left="1180" w:header="569" w:footer="788" w:gutter="0"/>
          <w:cols w:space="720"/>
        </w:sectPr>
      </w:pPr>
    </w:p>
    <w:p w14:paraId="51DE7D22" w14:textId="77777777" w:rsidR="0010369C" w:rsidRDefault="008E43AE">
      <w:pPr>
        <w:tabs>
          <w:tab w:val="left" w:pos="6426"/>
        </w:tabs>
        <w:ind w:left="238"/>
        <w:rPr>
          <w:sz w:val="20"/>
        </w:rPr>
      </w:pPr>
      <w:r>
        <w:rPr>
          <w:i/>
          <w:sz w:val="20"/>
        </w:rPr>
        <w:lastRenderedPageBreak/>
        <w:t>China</w:t>
      </w:r>
      <w:r>
        <w:rPr>
          <w:i/>
          <w:spacing w:val="-5"/>
          <w:sz w:val="20"/>
        </w:rPr>
        <w:t xml:space="preserve"> </w:t>
      </w:r>
      <w:r>
        <w:rPr>
          <w:i/>
          <w:sz w:val="20"/>
        </w:rPr>
        <w:t>–</w:t>
      </w:r>
      <w:r>
        <w:rPr>
          <w:i/>
          <w:spacing w:val="-5"/>
          <w:sz w:val="20"/>
        </w:rPr>
        <w:t xml:space="preserve"> </w:t>
      </w:r>
      <w:r>
        <w:rPr>
          <w:i/>
          <w:sz w:val="20"/>
        </w:rPr>
        <w:t>Anti‐Dumping</w:t>
      </w:r>
      <w:r>
        <w:rPr>
          <w:i/>
          <w:spacing w:val="-4"/>
          <w:sz w:val="20"/>
        </w:rPr>
        <w:t xml:space="preserve"> </w:t>
      </w:r>
      <w:r>
        <w:rPr>
          <w:i/>
          <w:sz w:val="20"/>
        </w:rPr>
        <w:t>and</w:t>
      </w:r>
      <w:r>
        <w:rPr>
          <w:i/>
          <w:spacing w:val="-5"/>
          <w:sz w:val="20"/>
        </w:rPr>
        <w:t xml:space="preserve"> </w:t>
      </w:r>
      <w:r>
        <w:rPr>
          <w:i/>
          <w:sz w:val="20"/>
        </w:rPr>
        <w:t>Countervailing</w:t>
      </w:r>
      <w:r>
        <w:rPr>
          <w:i/>
          <w:spacing w:val="-5"/>
          <w:sz w:val="20"/>
        </w:rPr>
        <w:t xml:space="preserve"> </w:t>
      </w:r>
      <w:r>
        <w:rPr>
          <w:i/>
          <w:sz w:val="20"/>
        </w:rPr>
        <w:t>Duty</w:t>
      </w:r>
      <w:r>
        <w:rPr>
          <w:i/>
          <w:spacing w:val="-4"/>
          <w:sz w:val="20"/>
        </w:rPr>
        <w:t xml:space="preserve"> </w:t>
      </w:r>
      <w:r>
        <w:rPr>
          <w:i/>
          <w:spacing w:val="-2"/>
          <w:sz w:val="20"/>
        </w:rPr>
        <w:t>Measures</w:t>
      </w:r>
      <w:r>
        <w:rPr>
          <w:i/>
          <w:sz w:val="20"/>
        </w:rPr>
        <w:tab/>
      </w:r>
      <w:r>
        <w:rPr>
          <w:sz w:val="20"/>
        </w:rPr>
        <w:t>Australia's</w:t>
      </w:r>
      <w:r>
        <w:rPr>
          <w:spacing w:val="-7"/>
          <w:sz w:val="20"/>
        </w:rPr>
        <w:t xml:space="preserve"> </w:t>
      </w:r>
      <w:r>
        <w:rPr>
          <w:sz w:val="20"/>
        </w:rPr>
        <w:t>First</w:t>
      </w:r>
      <w:r>
        <w:rPr>
          <w:spacing w:val="-2"/>
          <w:sz w:val="20"/>
        </w:rPr>
        <w:t xml:space="preserve"> </w:t>
      </w:r>
      <w:r>
        <w:rPr>
          <w:sz w:val="20"/>
        </w:rPr>
        <w:t>Written</w:t>
      </w:r>
      <w:r>
        <w:rPr>
          <w:spacing w:val="-2"/>
          <w:sz w:val="20"/>
        </w:rPr>
        <w:t xml:space="preserve"> Submission</w:t>
      </w:r>
    </w:p>
    <w:p w14:paraId="51DE7D23" w14:textId="77777777" w:rsidR="0010369C" w:rsidRDefault="008E43AE">
      <w:pPr>
        <w:tabs>
          <w:tab w:val="left" w:pos="8228"/>
        </w:tabs>
        <w:spacing w:before="1"/>
        <w:ind w:left="239"/>
        <w:rPr>
          <w:sz w:val="20"/>
        </w:rPr>
      </w:pPr>
      <w:r>
        <w:rPr>
          <w:i/>
          <w:sz w:val="20"/>
        </w:rPr>
        <w:t>on</w:t>
      </w:r>
      <w:r>
        <w:rPr>
          <w:i/>
          <w:spacing w:val="-1"/>
          <w:sz w:val="20"/>
        </w:rPr>
        <w:t xml:space="preserve"> </w:t>
      </w:r>
      <w:r>
        <w:rPr>
          <w:i/>
          <w:sz w:val="20"/>
        </w:rPr>
        <w:t>Wine</w:t>
      </w:r>
      <w:r>
        <w:rPr>
          <w:i/>
          <w:spacing w:val="-1"/>
          <w:sz w:val="20"/>
        </w:rPr>
        <w:t xml:space="preserve"> </w:t>
      </w:r>
      <w:r>
        <w:rPr>
          <w:i/>
          <w:sz w:val="20"/>
        </w:rPr>
        <w:t>from</w:t>
      </w:r>
      <w:r>
        <w:rPr>
          <w:i/>
          <w:spacing w:val="-3"/>
          <w:sz w:val="20"/>
        </w:rPr>
        <w:t xml:space="preserve"> </w:t>
      </w:r>
      <w:r>
        <w:rPr>
          <w:i/>
          <w:sz w:val="20"/>
        </w:rPr>
        <w:t>Australia</w:t>
      </w:r>
      <w:r>
        <w:rPr>
          <w:i/>
          <w:spacing w:val="-1"/>
          <w:sz w:val="20"/>
        </w:rPr>
        <w:t xml:space="preserve"> </w:t>
      </w:r>
      <w:r>
        <w:rPr>
          <w:spacing w:val="-2"/>
          <w:sz w:val="20"/>
        </w:rPr>
        <w:t>(DS602)</w:t>
      </w:r>
      <w:r>
        <w:rPr>
          <w:sz w:val="20"/>
        </w:rPr>
        <w:tab/>
        <w:t>29</w:t>
      </w:r>
      <w:r>
        <w:rPr>
          <w:spacing w:val="-1"/>
          <w:sz w:val="20"/>
        </w:rPr>
        <w:t xml:space="preserve"> </w:t>
      </w:r>
      <w:r>
        <w:rPr>
          <w:sz w:val="20"/>
        </w:rPr>
        <w:t>April</w:t>
      </w:r>
      <w:r>
        <w:rPr>
          <w:spacing w:val="-2"/>
          <w:sz w:val="20"/>
        </w:rPr>
        <w:t xml:space="preserve"> </w:t>
      </w:r>
      <w:r>
        <w:rPr>
          <w:spacing w:val="-4"/>
          <w:sz w:val="20"/>
        </w:rPr>
        <w:t>2022</w:t>
      </w:r>
    </w:p>
    <w:p w14:paraId="51DE7D24" w14:textId="77777777" w:rsidR="0010369C" w:rsidRDefault="008E43AE">
      <w:pPr>
        <w:pStyle w:val="BodyText"/>
        <w:spacing w:before="34" w:line="360" w:lineRule="auto"/>
        <w:ind w:left="236" w:right="612" w:firstLine="852"/>
        <w:jc w:val="both"/>
      </w:pPr>
      <w:r>
        <w:rPr>
          <w:noProof/>
        </w:rPr>
        <w:drawing>
          <wp:anchor distT="0" distB="0" distL="0" distR="0" simplePos="0" relativeHeight="250762752" behindDoc="1" locked="0" layoutInCell="1" allowOverlap="1" wp14:anchorId="51DE9D9C" wp14:editId="51DE9D9D">
            <wp:simplePos x="0" y="0"/>
            <wp:positionH relativeFrom="page">
              <wp:posOffset>905255</wp:posOffset>
            </wp:positionH>
            <wp:positionV relativeFrom="paragraph">
              <wp:posOffset>69165</wp:posOffset>
            </wp:positionV>
            <wp:extent cx="179831" cy="103631"/>
            <wp:effectExtent l="0" t="0" r="0" b="0"/>
            <wp:wrapNone/>
            <wp:docPr id="129" name="image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73.png"/>
                    <pic:cNvPicPr/>
                  </pic:nvPicPr>
                  <pic:blipFill>
                    <a:blip r:embed="rId128" cstate="print"/>
                    <a:stretch>
                      <a:fillRect/>
                    </a:stretch>
                  </pic:blipFill>
                  <pic:spPr>
                    <a:xfrm>
                      <a:off x="0" y="0"/>
                      <a:ext cx="179831" cy="103631"/>
                    </a:xfrm>
                    <a:prstGeom prst="rect">
                      <a:avLst/>
                    </a:prstGeom>
                  </pic:spPr>
                </pic:pic>
              </a:graphicData>
            </a:graphic>
          </wp:anchor>
        </w:drawing>
      </w:r>
      <w:r>
        <w:t>As for information which is "appropriately submitted", the ordinary meaning of "appropriately", in the context of paragraph 3, is "[i]n a manner properly suited; fittingly".</w:t>
      </w:r>
      <w:r>
        <w:rPr>
          <w:vertAlign w:val="superscript"/>
        </w:rPr>
        <w:t>52</w:t>
      </w:r>
      <w:r>
        <w:t xml:space="preserve"> Therefore, in order for information to meet this criteria in paragraph 3, it mus</w:t>
      </w:r>
      <w:r>
        <w:t xml:space="preserve">t be properly suited or fitting for use in the investigation such that it can be used without "undue difficulties". Whether using appropriately submitted information would give rise to "undue difficulties" has been held to be a highly fact specific issue, </w:t>
      </w:r>
      <w:r>
        <w:t xml:space="preserve">thus requiring the investigating authority to explain the basis of a conclusion that information that is verifiable and timely submitted cannot be used in the investigation without undue </w:t>
      </w:r>
      <w:hyperlink r:id="rId129">
        <w:r>
          <w:t>difficulties.</w:t>
        </w:r>
        <w:r>
          <w:rPr>
            <w:vertAlign w:val="superscript"/>
          </w:rPr>
          <w:t>53</w:t>
        </w:r>
      </w:hyperlink>
      <w:r>
        <w:t xml:space="preserve"> The ordin</w:t>
      </w:r>
      <w:r>
        <w:t>ary meaning of "undue" is "[g]oing beyond what is appropriate, warranted, or natural; excessive".</w:t>
      </w:r>
      <w:r>
        <w:rPr>
          <w:vertAlign w:val="superscript"/>
        </w:rPr>
        <w:t>54</w:t>
      </w:r>
      <w:r>
        <w:rPr>
          <w:spacing w:val="-14"/>
        </w:rPr>
        <w:t xml:space="preserve"> </w:t>
      </w:r>
      <w:r>
        <w:t>It is clear that paragraph 3 is not concerned with just any difficulties, but rather those that are excessive.</w:t>
      </w:r>
    </w:p>
    <w:p w14:paraId="51DE7D25" w14:textId="77777777" w:rsidR="0010369C" w:rsidRDefault="0010369C">
      <w:pPr>
        <w:pStyle w:val="BodyText"/>
        <w:spacing w:before="10"/>
        <w:rPr>
          <w:sz w:val="8"/>
        </w:rPr>
      </w:pPr>
    </w:p>
    <w:p w14:paraId="51DE7D26" w14:textId="77777777" w:rsidR="0010369C" w:rsidRDefault="008E43AE">
      <w:pPr>
        <w:pStyle w:val="BodyText"/>
        <w:spacing w:before="52" w:line="360" w:lineRule="auto"/>
        <w:ind w:left="237" w:right="614" w:firstLine="851"/>
        <w:jc w:val="both"/>
      </w:pPr>
      <w:r>
        <w:rPr>
          <w:noProof/>
        </w:rPr>
        <w:drawing>
          <wp:anchor distT="0" distB="0" distL="0" distR="0" simplePos="0" relativeHeight="250763776" behindDoc="1" locked="0" layoutInCell="1" allowOverlap="1" wp14:anchorId="51DE9D9E" wp14:editId="51DE9D9F">
            <wp:simplePos x="0" y="0"/>
            <wp:positionH relativeFrom="page">
              <wp:posOffset>905255</wp:posOffset>
            </wp:positionH>
            <wp:positionV relativeFrom="paragraph">
              <wp:posOffset>76785</wp:posOffset>
            </wp:positionV>
            <wp:extent cx="179831" cy="106679"/>
            <wp:effectExtent l="0" t="0" r="0" b="0"/>
            <wp:wrapNone/>
            <wp:docPr id="131" name="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74.png"/>
                    <pic:cNvPicPr/>
                  </pic:nvPicPr>
                  <pic:blipFill>
                    <a:blip r:embed="rId130" cstate="print"/>
                    <a:stretch>
                      <a:fillRect/>
                    </a:stretch>
                  </pic:blipFill>
                  <pic:spPr>
                    <a:xfrm>
                      <a:off x="0" y="0"/>
                      <a:ext cx="179831" cy="106679"/>
                    </a:xfrm>
                    <a:prstGeom prst="rect">
                      <a:avLst/>
                    </a:prstGeom>
                  </pic:spPr>
                </pic:pic>
              </a:graphicData>
            </a:graphic>
          </wp:anchor>
        </w:drawing>
      </w:r>
      <w:r>
        <w:t>Next,</w:t>
      </w:r>
      <w:r>
        <w:rPr>
          <w:spacing w:val="-10"/>
        </w:rPr>
        <w:t xml:space="preserve"> </w:t>
      </w:r>
      <w:r>
        <w:t>paragraph</w:t>
      </w:r>
      <w:r>
        <w:rPr>
          <w:spacing w:val="-9"/>
        </w:rPr>
        <w:t xml:space="preserve"> </w:t>
      </w:r>
      <w:r>
        <w:t>3</w:t>
      </w:r>
      <w:r>
        <w:rPr>
          <w:spacing w:val="-10"/>
        </w:rPr>
        <w:t xml:space="preserve"> </w:t>
      </w:r>
      <w:r>
        <w:t>is</w:t>
      </w:r>
      <w:r>
        <w:rPr>
          <w:spacing w:val="-10"/>
        </w:rPr>
        <w:t xml:space="preserve"> </w:t>
      </w:r>
      <w:r>
        <w:t>concerned</w:t>
      </w:r>
      <w:r>
        <w:rPr>
          <w:spacing w:val="-10"/>
        </w:rPr>
        <w:t xml:space="preserve"> </w:t>
      </w:r>
      <w:r>
        <w:t>with</w:t>
      </w:r>
      <w:r>
        <w:rPr>
          <w:spacing w:val="-10"/>
        </w:rPr>
        <w:t xml:space="preserve"> </w:t>
      </w:r>
      <w:r>
        <w:t>informa</w:t>
      </w:r>
      <w:r>
        <w:t>tion</w:t>
      </w:r>
      <w:r>
        <w:rPr>
          <w:spacing w:val="-9"/>
        </w:rPr>
        <w:t xml:space="preserve"> </w:t>
      </w:r>
      <w:r>
        <w:t>submitted</w:t>
      </w:r>
      <w:r>
        <w:rPr>
          <w:spacing w:val="-10"/>
        </w:rPr>
        <w:t xml:space="preserve"> </w:t>
      </w:r>
      <w:r>
        <w:t>in</w:t>
      </w:r>
      <w:r>
        <w:rPr>
          <w:spacing w:val="-10"/>
        </w:rPr>
        <w:t xml:space="preserve"> </w:t>
      </w:r>
      <w:r>
        <w:t>a</w:t>
      </w:r>
      <w:r>
        <w:rPr>
          <w:spacing w:val="-10"/>
        </w:rPr>
        <w:t xml:space="preserve"> </w:t>
      </w:r>
      <w:r>
        <w:t>"timely</w:t>
      </w:r>
      <w:r>
        <w:rPr>
          <w:spacing w:val="-10"/>
        </w:rPr>
        <w:t xml:space="preserve"> </w:t>
      </w:r>
      <w:r>
        <w:t>fashion".</w:t>
      </w:r>
      <w:r>
        <w:rPr>
          <w:spacing w:val="-9"/>
        </w:rPr>
        <w:t xml:space="preserve"> </w:t>
      </w:r>
      <w:r>
        <w:t>The ordinary</w:t>
      </w:r>
      <w:r>
        <w:rPr>
          <w:spacing w:val="-8"/>
        </w:rPr>
        <w:t xml:space="preserve"> </w:t>
      </w:r>
      <w:r>
        <w:t>meaning</w:t>
      </w:r>
      <w:r>
        <w:rPr>
          <w:spacing w:val="-10"/>
        </w:rPr>
        <w:t xml:space="preserve"> </w:t>
      </w:r>
      <w:r>
        <w:t>of</w:t>
      </w:r>
      <w:r>
        <w:rPr>
          <w:spacing w:val="-10"/>
        </w:rPr>
        <w:t xml:space="preserve"> </w:t>
      </w:r>
      <w:r>
        <w:t>"timely"</w:t>
      </w:r>
      <w:r>
        <w:rPr>
          <w:spacing w:val="-11"/>
        </w:rPr>
        <w:t xml:space="preserve"> </w:t>
      </w:r>
      <w:r>
        <w:t>is</w:t>
      </w:r>
      <w:r>
        <w:rPr>
          <w:spacing w:val="-10"/>
        </w:rPr>
        <w:t xml:space="preserve"> </w:t>
      </w:r>
      <w:r>
        <w:t>"[o]ccurring,</w:t>
      </w:r>
      <w:r>
        <w:rPr>
          <w:spacing w:val="-10"/>
        </w:rPr>
        <w:t xml:space="preserve"> </w:t>
      </w:r>
      <w:r>
        <w:t>done,</w:t>
      </w:r>
      <w:r>
        <w:rPr>
          <w:spacing w:val="-9"/>
        </w:rPr>
        <w:t xml:space="preserve"> </w:t>
      </w:r>
      <w:r>
        <w:t>or</w:t>
      </w:r>
      <w:r>
        <w:rPr>
          <w:spacing w:val="-10"/>
        </w:rPr>
        <w:t xml:space="preserve"> </w:t>
      </w:r>
      <w:r>
        <w:t>made</w:t>
      </w:r>
      <w:r>
        <w:rPr>
          <w:spacing w:val="-10"/>
        </w:rPr>
        <w:t xml:space="preserve"> </w:t>
      </w:r>
      <w:r>
        <w:t>at</w:t>
      </w:r>
      <w:r>
        <w:rPr>
          <w:spacing w:val="-10"/>
        </w:rPr>
        <w:t xml:space="preserve"> </w:t>
      </w:r>
      <w:r>
        <w:t>a</w:t>
      </w:r>
      <w:r>
        <w:rPr>
          <w:spacing w:val="-10"/>
        </w:rPr>
        <w:t xml:space="preserve"> </w:t>
      </w:r>
      <w:r>
        <w:t>fitting,</w:t>
      </w:r>
      <w:r>
        <w:rPr>
          <w:spacing w:val="-10"/>
        </w:rPr>
        <w:t xml:space="preserve"> </w:t>
      </w:r>
      <w:r>
        <w:t>suitable,</w:t>
      </w:r>
      <w:r>
        <w:rPr>
          <w:spacing w:val="-9"/>
        </w:rPr>
        <w:t xml:space="preserve"> </w:t>
      </w:r>
      <w:r>
        <w:t>or</w:t>
      </w:r>
      <w:r>
        <w:rPr>
          <w:spacing w:val="-10"/>
        </w:rPr>
        <w:t xml:space="preserve"> </w:t>
      </w:r>
      <w:r>
        <w:t>favourable time".</w:t>
      </w:r>
      <w:r>
        <w:rPr>
          <w:vertAlign w:val="superscript"/>
        </w:rPr>
        <w:t>55</w:t>
      </w:r>
      <w:r>
        <w:rPr>
          <w:spacing w:val="-3"/>
        </w:rPr>
        <w:t xml:space="preserve"> </w:t>
      </w:r>
      <w:r>
        <w:t>The</w:t>
      </w:r>
      <w:r>
        <w:rPr>
          <w:spacing w:val="-2"/>
        </w:rPr>
        <w:t xml:space="preserve"> </w:t>
      </w:r>
      <w:r>
        <w:t>Appellate</w:t>
      </w:r>
      <w:r>
        <w:rPr>
          <w:spacing w:val="-3"/>
        </w:rPr>
        <w:t xml:space="preserve"> </w:t>
      </w:r>
      <w:r>
        <w:t>Body</w:t>
      </w:r>
      <w:r>
        <w:rPr>
          <w:spacing w:val="-2"/>
        </w:rPr>
        <w:t xml:space="preserve"> </w:t>
      </w:r>
      <w:r>
        <w:t>in</w:t>
      </w:r>
      <w:r>
        <w:rPr>
          <w:spacing w:val="-3"/>
        </w:rPr>
        <w:t xml:space="preserve"> </w:t>
      </w:r>
      <w:r>
        <w:rPr>
          <w:i/>
        </w:rPr>
        <w:t>US</w:t>
      </w:r>
      <w:r>
        <w:rPr>
          <w:i/>
          <w:spacing w:val="-3"/>
        </w:rPr>
        <w:t xml:space="preserve"> </w:t>
      </w:r>
      <w:r>
        <w:rPr>
          <w:i/>
        </w:rPr>
        <w:t>–</w:t>
      </w:r>
      <w:r>
        <w:rPr>
          <w:i/>
          <w:spacing w:val="-1"/>
        </w:rPr>
        <w:t xml:space="preserve"> </w:t>
      </w:r>
      <w:r>
        <w:rPr>
          <w:i/>
        </w:rPr>
        <w:t>Hot‐Rolled</w:t>
      </w:r>
      <w:r>
        <w:rPr>
          <w:i/>
          <w:spacing w:val="-3"/>
        </w:rPr>
        <w:t xml:space="preserve"> </w:t>
      </w:r>
      <w:r>
        <w:rPr>
          <w:i/>
        </w:rPr>
        <w:t>Steel</w:t>
      </w:r>
      <w:r>
        <w:rPr>
          <w:i/>
          <w:spacing w:val="-3"/>
        </w:rPr>
        <w:t xml:space="preserve"> </w:t>
      </w:r>
      <w:r>
        <w:t>interpreted</w:t>
      </w:r>
      <w:r>
        <w:rPr>
          <w:spacing w:val="-2"/>
        </w:rPr>
        <w:t xml:space="preserve"> </w:t>
      </w:r>
      <w:r>
        <w:t>timeliness</w:t>
      </w:r>
      <w:r>
        <w:rPr>
          <w:spacing w:val="-3"/>
        </w:rPr>
        <w:t xml:space="preserve"> </w:t>
      </w:r>
      <w:r>
        <w:t>"as</w:t>
      </w:r>
      <w:r>
        <w:rPr>
          <w:spacing w:val="-2"/>
        </w:rPr>
        <w:t xml:space="preserve"> </w:t>
      </w:r>
      <w:r>
        <w:t>a</w:t>
      </w:r>
      <w:r>
        <w:rPr>
          <w:spacing w:val="-3"/>
        </w:rPr>
        <w:t xml:space="preserve"> </w:t>
      </w:r>
      <w:r>
        <w:t>reference</w:t>
      </w:r>
      <w:r>
        <w:rPr>
          <w:spacing w:val="-3"/>
        </w:rPr>
        <w:t xml:space="preserve"> </w:t>
      </w:r>
      <w:r>
        <w:t>to a 'reasonable period' or a 'reasonable time'".</w:t>
      </w:r>
      <w:r>
        <w:rPr>
          <w:vertAlign w:val="superscript"/>
        </w:rPr>
        <w:t>56</w:t>
      </w:r>
      <w:r>
        <w:t xml:space="preserve"> When determining whether information was submitted</w:t>
      </w:r>
      <w:r>
        <w:rPr>
          <w:spacing w:val="-10"/>
        </w:rPr>
        <w:t xml:space="preserve"> </w:t>
      </w:r>
      <w:r>
        <w:t>within</w:t>
      </w:r>
      <w:r>
        <w:rPr>
          <w:spacing w:val="-10"/>
        </w:rPr>
        <w:t xml:space="preserve"> </w:t>
      </w:r>
      <w:r>
        <w:t>a</w:t>
      </w:r>
      <w:r>
        <w:rPr>
          <w:spacing w:val="-10"/>
        </w:rPr>
        <w:t xml:space="preserve"> </w:t>
      </w:r>
      <w:r>
        <w:t>"reasonable</w:t>
      </w:r>
      <w:r>
        <w:rPr>
          <w:spacing w:val="-9"/>
        </w:rPr>
        <w:t xml:space="preserve"> </w:t>
      </w:r>
      <w:r>
        <w:t>period",</w:t>
      </w:r>
      <w:r>
        <w:rPr>
          <w:spacing w:val="-9"/>
        </w:rPr>
        <w:t xml:space="preserve"> </w:t>
      </w:r>
      <w:r>
        <w:t>an</w:t>
      </w:r>
      <w:r>
        <w:rPr>
          <w:spacing w:val="-10"/>
        </w:rPr>
        <w:t xml:space="preserve"> </w:t>
      </w:r>
      <w:r>
        <w:t>investigating</w:t>
      </w:r>
      <w:r>
        <w:rPr>
          <w:spacing w:val="-8"/>
        </w:rPr>
        <w:t xml:space="preserve"> </w:t>
      </w:r>
      <w:r>
        <w:t>authority</w:t>
      </w:r>
      <w:r>
        <w:rPr>
          <w:spacing w:val="-9"/>
        </w:rPr>
        <w:t xml:space="preserve"> </w:t>
      </w:r>
      <w:r>
        <w:t>must</w:t>
      </w:r>
      <w:r>
        <w:rPr>
          <w:spacing w:val="-10"/>
        </w:rPr>
        <w:t xml:space="preserve"> </w:t>
      </w:r>
      <w:r>
        <w:t>take</w:t>
      </w:r>
      <w:r>
        <w:rPr>
          <w:spacing w:val="-9"/>
        </w:rPr>
        <w:t xml:space="preserve"> </w:t>
      </w:r>
      <w:r>
        <w:t>into</w:t>
      </w:r>
      <w:r>
        <w:rPr>
          <w:spacing w:val="-9"/>
        </w:rPr>
        <w:t xml:space="preserve"> </w:t>
      </w:r>
      <w:r>
        <w:t>account</w:t>
      </w:r>
      <w:r>
        <w:rPr>
          <w:spacing w:val="-9"/>
        </w:rPr>
        <w:t xml:space="preserve"> </w:t>
      </w:r>
      <w:r>
        <w:t>the particular circumstances</w:t>
      </w:r>
      <w:r>
        <w:rPr>
          <w:spacing w:val="-1"/>
        </w:rPr>
        <w:t xml:space="preserve"> </w:t>
      </w:r>
      <w:r>
        <w:t xml:space="preserve">of each case, including factors such as the </w:t>
      </w:r>
      <w:r>
        <w:t>number of days by which the submission missed the applicable time limit, and the verifiability of the information and the</w:t>
      </w:r>
      <w:r>
        <w:rPr>
          <w:spacing w:val="-2"/>
        </w:rPr>
        <w:t xml:space="preserve"> </w:t>
      </w:r>
      <w:r>
        <w:t>ease</w:t>
      </w:r>
      <w:r>
        <w:rPr>
          <w:spacing w:val="-2"/>
        </w:rPr>
        <w:t xml:space="preserve"> </w:t>
      </w:r>
      <w:r>
        <w:t>by</w:t>
      </w:r>
      <w:r>
        <w:rPr>
          <w:spacing w:val="-3"/>
        </w:rPr>
        <w:t xml:space="preserve"> </w:t>
      </w:r>
      <w:r>
        <w:t>which</w:t>
      </w:r>
      <w:r>
        <w:rPr>
          <w:spacing w:val="-3"/>
        </w:rPr>
        <w:t xml:space="preserve"> </w:t>
      </w:r>
      <w:r>
        <w:t>it</w:t>
      </w:r>
      <w:r>
        <w:rPr>
          <w:spacing w:val="-3"/>
        </w:rPr>
        <w:t xml:space="preserve"> </w:t>
      </w:r>
      <w:r>
        <w:t>can</w:t>
      </w:r>
      <w:r>
        <w:rPr>
          <w:spacing w:val="-4"/>
        </w:rPr>
        <w:t xml:space="preserve"> </w:t>
      </w:r>
      <w:r>
        <w:t>be</w:t>
      </w:r>
      <w:r>
        <w:rPr>
          <w:spacing w:val="-2"/>
        </w:rPr>
        <w:t xml:space="preserve"> </w:t>
      </w:r>
      <w:r>
        <w:t>used</w:t>
      </w:r>
      <w:r>
        <w:rPr>
          <w:spacing w:val="-3"/>
        </w:rPr>
        <w:t xml:space="preserve"> </w:t>
      </w:r>
      <w:r>
        <w:t>by</w:t>
      </w:r>
      <w:r>
        <w:rPr>
          <w:spacing w:val="-2"/>
        </w:rPr>
        <w:t xml:space="preserve"> </w:t>
      </w:r>
      <w:r>
        <w:t>the</w:t>
      </w:r>
      <w:r>
        <w:rPr>
          <w:spacing w:val="-2"/>
        </w:rPr>
        <w:t xml:space="preserve"> </w:t>
      </w:r>
      <w:r>
        <w:t>investigating</w:t>
      </w:r>
      <w:r>
        <w:rPr>
          <w:spacing w:val="-1"/>
        </w:rPr>
        <w:t xml:space="preserve"> </w:t>
      </w:r>
      <w:hyperlink r:id="rId131">
        <w:r>
          <w:t>authority.</w:t>
        </w:r>
        <w:r>
          <w:rPr>
            <w:vertAlign w:val="superscript"/>
          </w:rPr>
          <w:t>57</w:t>
        </w:r>
        <w:r>
          <w:rPr>
            <w:spacing w:val="-3"/>
          </w:rPr>
          <w:t xml:space="preserve"> </w:t>
        </w:r>
      </w:hyperlink>
      <w:r>
        <w:t>An</w:t>
      </w:r>
      <w:r>
        <w:rPr>
          <w:spacing w:val="-3"/>
        </w:rPr>
        <w:t xml:space="preserve"> </w:t>
      </w:r>
      <w:r>
        <w:t>investigating</w:t>
      </w:r>
      <w:r>
        <w:rPr>
          <w:spacing w:val="-1"/>
        </w:rPr>
        <w:t xml:space="preserve"> </w:t>
      </w:r>
      <w:r>
        <w:t>authority</w:t>
      </w:r>
      <w:r>
        <w:rPr>
          <w:spacing w:val="-3"/>
        </w:rPr>
        <w:t xml:space="preserve"> </w:t>
      </w:r>
      <w:r>
        <w:t>is not entitled to reject information for the sole reason that it was submitted after a deadline, without considering whether the information was submitted in a "timely fashion".</w:t>
      </w:r>
      <w:r>
        <w:rPr>
          <w:vertAlign w:val="superscript"/>
        </w:rPr>
        <w:t>58</w:t>
      </w:r>
    </w:p>
    <w:p w14:paraId="51DE7D27" w14:textId="77777777" w:rsidR="0010369C" w:rsidRDefault="0010369C">
      <w:pPr>
        <w:pStyle w:val="BodyText"/>
        <w:spacing w:before="11"/>
        <w:rPr>
          <w:sz w:val="8"/>
        </w:rPr>
      </w:pPr>
    </w:p>
    <w:p w14:paraId="51DE7D28" w14:textId="77777777" w:rsidR="0010369C" w:rsidRDefault="008E43AE">
      <w:pPr>
        <w:pStyle w:val="BodyText"/>
        <w:spacing w:before="52" w:line="360" w:lineRule="auto"/>
        <w:ind w:left="237" w:firstLine="851"/>
      </w:pPr>
      <w:r>
        <w:rPr>
          <w:noProof/>
        </w:rPr>
        <w:drawing>
          <wp:anchor distT="0" distB="0" distL="0" distR="0" simplePos="0" relativeHeight="250764800" behindDoc="1" locked="0" layoutInCell="1" allowOverlap="1" wp14:anchorId="51DE9DA0" wp14:editId="51DE9DA1">
            <wp:simplePos x="0" y="0"/>
            <wp:positionH relativeFrom="page">
              <wp:posOffset>902208</wp:posOffset>
            </wp:positionH>
            <wp:positionV relativeFrom="paragraph">
              <wp:posOffset>76785</wp:posOffset>
            </wp:positionV>
            <wp:extent cx="182879" cy="106679"/>
            <wp:effectExtent l="0" t="0" r="0" b="0"/>
            <wp:wrapNone/>
            <wp:docPr id="133" name="image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75.png"/>
                    <pic:cNvPicPr/>
                  </pic:nvPicPr>
                  <pic:blipFill>
                    <a:blip r:embed="rId132" cstate="print"/>
                    <a:stretch>
                      <a:fillRect/>
                    </a:stretch>
                  </pic:blipFill>
                  <pic:spPr>
                    <a:xfrm>
                      <a:off x="0" y="0"/>
                      <a:ext cx="182879" cy="106679"/>
                    </a:xfrm>
                    <a:prstGeom prst="rect">
                      <a:avLst/>
                    </a:prstGeom>
                  </pic:spPr>
                </pic:pic>
              </a:graphicData>
            </a:graphic>
          </wp:anchor>
        </w:drawing>
      </w:r>
      <w:r>
        <w:t>Finally,</w:t>
      </w:r>
      <w:r>
        <w:rPr>
          <w:spacing w:val="37"/>
        </w:rPr>
        <w:t xml:space="preserve"> </w:t>
      </w:r>
      <w:r>
        <w:t>paragraph</w:t>
      </w:r>
      <w:r>
        <w:rPr>
          <w:spacing w:val="37"/>
        </w:rPr>
        <w:t xml:space="preserve"> </w:t>
      </w:r>
      <w:r>
        <w:t>3</w:t>
      </w:r>
      <w:r>
        <w:rPr>
          <w:spacing w:val="36"/>
        </w:rPr>
        <w:t xml:space="preserve"> </w:t>
      </w:r>
      <w:r>
        <w:t>of</w:t>
      </w:r>
      <w:r>
        <w:rPr>
          <w:spacing w:val="37"/>
        </w:rPr>
        <w:t xml:space="preserve"> </w:t>
      </w:r>
      <w:r>
        <w:t>Annex</w:t>
      </w:r>
      <w:r>
        <w:rPr>
          <w:spacing w:val="37"/>
        </w:rPr>
        <w:t xml:space="preserve"> </w:t>
      </w:r>
      <w:r>
        <w:t>II</w:t>
      </w:r>
      <w:r>
        <w:rPr>
          <w:spacing w:val="36"/>
        </w:rPr>
        <w:t xml:space="preserve"> </w:t>
      </w:r>
      <w:r>
        <w:t>provides</w:t>
      </w:r>
      <w:r>
        <w:rPr>
          <w:spacing w:val="37"/>
        </w:rPr>
        <w:t xml:space="preserve"> </w:t>
      </w:r>
      <w:r>
        <w:t>that</w:t>
      </w:r>
      <w:r>
        <w:rPr>
          <w:spacing w:val="37"/>
        </w:rPr>
        <w:t xml:space="preserve"> </w:t>
      </w:r>
      <w:r>
        <w:t>information</w:t>
      </w:r>
      <w:r>
        <w:rPr>
          <w:spacing w:val="36"/>
        </w:rPr>
        <w:t xml:space="preserve"> </w:t>
      </w:r>
      <w:r>
        <w:t>whic</w:t>
      </w:r>
      <w:r>
        <w:t>h</w:t>
      </w:r>
      <w:r>
        <w:rPr>
          <w:spacing w:val="36"/>
        </w:rPr>
        <w:t xml:space="preserve"> </w:t>
      </w:r>
      <w:r>
        <w:t>is</w:t>
      </w:r>
      <w:r>
        <w:rPr>
          <w:spacing w:val="36"/>
        </w:rPr>
        <w:t xml:space="preserve"> </w:t>
      </w:r>
      <w:r>
        <w:t>supplied</w:t>
      </w:r>
      <w:r>
        <w:rPr>
          <w:spacing w:val="37"/>
        </w:rPr>
        <w:t xml:space="preserve"> </w:t>
      </w:r>
      <w:r>
        <w:t>in</w:t>
      </w:r>
      <w:r>
        <w:rPr>
          <w:spacing w:val="37"/>
        </w:rPr>
        <w:t xml:space="preserve"> </w:t>
      </w:r>
      <w:r>
        <w:t>a medium</w:t>
      </w:r>
      <w:r>
        <w:rPr>
          <w:spacing w:val="13"/>
        </w:rPr>
        <w:t xml:space="preserve"> </w:t>
      </w:r>
      <w:r>
        <w:t>or</w:t>
      </w:r>
      <w:r>
        <w:rPr>
          <w:spacing w:val="13"/>
        </w:rPr>
        <w:t xml:space="preserve"> </w:t>
      </w:r>
      <w:r>
        <w:t>computer</w:t>
      </w:r>
      <w:r>
        <w:rPr>
          <w:spacing w:val="14"/>
        </w:rPr>
        <w:t xml:space="preserve"> </w:t>
      </w:r>
      <w:r>
        <w:t>language</w:t>
      </w:r>
      <w:r>
        <w:rPr>
          <w:spacing w:val="17"/>
        </w:rPr>
        <w:t xml:space="preserve"> </w:t>
      </w:r>
      <w:r>
        <w:t>requested</w:t>
      </w:r>
      <w:r>
        <w:rPr>
          <w:spacing w:val="14"/>
        </w:rPr>
        <w:t xml:space="preserve"> </w:t>
      </w:r>
      <w:r>
        <w:t>by</w:t>
      </w:r>
      <w:r>
        <w:rPr>
          <w:spacing w:val="15"/>
        </w:rPr>
        <w:t xml:space="preserve"> </w:t>
      </w:r>
      <w:r>
        <w:t>the</w:t>
      </w:r>
      <w:r>
        <w:rPr>
          <w:spacing w:val="15"/>
        </w:rPr>
        <w:t xml:space="preserve"> </w:t>
      </w:r>
      <w:r>
        <w:t>authorities</w:t>
      </w:r>
      <w:r>
        <w:rPr>
          <w:spacing w:val="14"/>
        </w:rPr>
        <w:t xml:space="preserve"> </w:t>
      </w:r>
      <w:r>
        <w:t>should</w:t>
      </w:r>
      <w:r>
        <w:rPr>
          <w:spacing w:val="15"/>
        </w:rPr>
        <w:t xml:space="preserve"> </w:t>
      </w:r>
      <w:r>
        <w:t>be</w:t>
      </w:r>
      <w:r>
        <w:rPr>
          <w:spacing w:val="15"/>
        </w:rPr>
        <w:t xml:space="preserve"> </w:t>
      </w:r>
      <w:r>
        <w:t>taken</w:t>
      </w:r>
      <w:r>
        <w:rPr>
          <w:spacing w:val="13"/>
        </w:rPr>
        <w:t xml:space="preserve"> </w:t>
      </w:r>
      <w:r>
        <w:t>into</w:t>
      </w:r>
      <w:r>
        <w:rPr>
          <w:spacing w:val="14"/>
        </w:rPr>
        <w:t xml:space="preserve"> </w:t>
      </w:r>
      <w:r>
        <w:rPr>
          <w:spacing w:val="-2"/>
        </w:rPr>
        <w:t>account.</w:t>
      </w:r>
    </w:p>
    <w:p w14:paraId="51DE7D29" w14:textId="77777777" w:rsidR="0010369C" w:rsidRDefault="008E43AE">
      <w:pPr>
        <w:pStyle w:val="BodyText"/>
        <w:spacing w:before="7"/>
        <w:rPr>
          <w:sz w:val="28"/>
        </w:rPr>
      </w:pPr>
      <w:r>
        <w:pict w14:anchorId="51DE9DA2">
          <v:rect id="docshape88" o:spid="_x0000_s3176" style="position:absolute;margin-left:70.9pt;margin-top:18.65pt;width:2in;height:.8pt;z-index:-251248128;mso-wrap-distance-left:0;mso-wrap-distance-right:0;mso-position-horizontal-relative:page" fillcolor="black" stroked="f">
            <w10:wrap type="topAndBottom" anchorx="page"/>
          </v:rect>
        </w:pict>
      </w:r>
    </w:p>
    <w:p w14:paraId="51DE7D2A" w14:textId="77777777" w:rsidR="0010369C" w:rsidRDefault="008E43AE">
      <w:pPr>
        <w:spacing w:before="110"/>
        <w:ind w:left="238" w:right="614" w:hanging="1"/>
        <w:rPr>
          <w:sz w:val="18"/>
        </w:rPr>
      </w:pPr>
      <w:r>
        <w:rPr>
          <w:sz w:val="18"/>
          <w:vertAlign w:val="superscript"/>
        </w:rPr>
        <w:t>52</w:t>
      </w:r>
      <w:r>
        <w:rPr>
          <w:spacing w:val="-3"/>
          <w:sz w:val="18"/>
        </w:rPr>
        <w:t xml:space="preserve"> </w:t>
      </w:r>
      <w:r>
        <w:rPr>
          <w:sz w:val="18"/>
        </w:rPr>
        <w:t>Oxford</w:t>
      </w:r>
      <w:r>
        <w:rPr>
          <w:spacing w:val="-3"/>
          <w:sz w:val="18"/>
        </w:rPr>
        <w:t xml:space="preserve"> </w:t>
      </w:r>
      <w:r>
        <w:rPr>
          <w:sz w:val="18"/>
        </w:rPr>
        <w:t>English</w:t>
      </w:r>
      <w:r>
        <w:rPr>
          <w:spacing w:val="-3"/>
          <w:sz w:val="18"/>
        </w:rPr>
        <w:t xml:space="preserve"> </w:t>
      </w:r>
      <w:r>
        <w:rPr>
          <w:sz w:val="18"/>
        </w:rPr>
        <w:t>Dictionary</w:t>
      </w:r>
      <w:r>
        <w:rPr>
          <w:spacing w:val="-3"/>
          <w:sz w:val="18"/>
        </w:rPr>
        <w:t xml:space="preserve"> </w:t>
      </w:r>
      <w:r>
        <w:rPr>
          <w:sz w:val="18"/>
        </w:rPr>
        <w:t>online,</w:t>
      </w:r>
      <w:r>
        <w:rPr>
          <w:spacing w:val="-3"/>
          <w:sz w:val="18"/>
        </w:rPr>
        <w:t xml:space="preserve"> </w:t>
      </w:r>
      <w:r>
        <w:rPr>
          <w:sz w:val="18"/>
        </w:rPr>
        <w:t>definition</w:t>
      </w:r>
      <w:r>
        <w:rPr>
          <w:spacing w:val="-3"/>
          <w:sz w:val="18"/>
        </w:rPr>
        <w:t xml:space="preserve"> </w:t>
      </w:r>
      <w:r>
        <w:rPr>
          <w:sz w:val="18"/>
        </w:rPr>
        <w:t>of</w:t>
      </w:r>
      <w:r>
        <w:rPr>
          <w:spacing w:val="-3"/>
          <w:sz w:val="18"/>
        </w:rPr>
        <w:t xml:space="preserve"> </w:t>
      </w:r>
      <w:r>
        <w:rPr>
          <w:sz w:val="18"/>
        </w:rPr>
        <w:t>"appropriately",</w:t>
      </w:r>
      <w:r>
        <w:rPr>
          <w:spacing w:val="-3"/>
          <w:sz w:val="18"/>
        </w:rPr>
        <w:t xml:space="preserve"> </w:t>
      </w:r>
      <w:hyperlink r:id="rId133">
        <w:r>
          <w:rPr>
            <w:sz w:val="18"/>
          </w:rPr>
          <w:t>https://www.oed.com/view/Entry/9873</w:t>
        </w:r>
        <w:r>
          <w:rPr>
            <w:spacing w:val="-2"/>
            <w:sz w:val="18"/>
          </w:rPr>
          <w:t xml:space="preserve"> </w:t>
        </w:r>
      </w:hyperlink>
      <w:r>
        <w:rPr>
          <w:sz w:val="18"/>
        </w:rPr>
        <w:t>(accessed</w:t>
      </w:r>
      <w:r>
        <w:rPr>
          <w:spacing w:val="-3"/>
          <w:sz w:val="18"/>
        </w:rPr>
        <w:t xml:space="preserve"> </w:t>
      </w:r>
      <w:r>
        <w:rPr>
          <w:sz w:val="18"/>
        </w:rPr>
        <w:t>28</w:t>
      </w:r>
      <w:r>
        <w:rPr>
          <w:spacing w:val="-3"/>
          <w:sz w:val="18"/>
        </w:rPr>
        <w:t xml:space="preserve"> </w:t>
      </w:r>
      <w:r>
        <w:rPr>
          <w:sz w:val="18"/>
        </w:rPr>
        <w:t xml:space="preserve">April 2022); see also Panel Report, </w:t>
      </w:r>
      <w:r>
        <w:rPr>
          <w:i/>
          <w:sz w:val="18"/>
        </w:rPr>
        <w:t>US – Steel Plate</w:t>
      </w:r>
      <w:r>
        <w:rPr>
          <w:sz w:val="18"/>
        </w:rPr>
        <w:t>, para. 7.72 where the Panel concluded the meaning of "appropriately" in similar terms as "suitable fo</w:t>
      </w:r>
      <w:r>
        <w:rPr>
          <w:sz w:val="18"/>
        </w:rPr>
        <w:t>r, proper and fitting".</w:t>
      </w:r>
    </w:p>
    <w:p w14:paraId="51DE7D2B" w14:textId="77777777" w:rsidR="0010369C" w:rsidRDefault="008E43AE">
      <w:pPr>
        <w:spacing w:line="219" w:lineRule="exact"/>
        <w:ind w:left="238"/>
        <w:rPr>
          <w:i/>
          <w:sz w:val="18"/>
        </w:rPr>
      </w:pPr>
      <w:r>
        <w:rPr>
          <w:sz w:val="18"/>
          <w:vertAlign w:val="superscript"/>
        </w:rPr>
        <w:t>53</w:t>
      </w:r>
      <w:r>
        <w:rPr>
          <w:spacing w:val="-5"/>
          <w:sz w:val="18"/>
        </w:rPr>
        <w:t xml:space="preserve"> </w:t>
      </w:r>
      <w:r>
        <w:rPr>
          <w:sz w:val="18"/>
        </w:rPr>
        <w:t>Panel</w:t>
      </w:r>
      <w:r>
        <w:rPr>
          <w:spacing w:val="-6"/>
          <w:sz w:val="18"/>
        </w:rPr>
        <w:t xml:space="preserve"> </w:t>
      </w:r>
      <w:r>
        <w:rPr>
          <w:sz w:val="18"/>
        </w:rPr>
        <w:t>Report,</w:t>
      </w:r>
      <w:r>
        <w:rPr>
          <w:spacing w:val="-4"/>
          <w:sz w:val="18"/>
        </w:rPr>
        <w:t xml:space="preserve"> </w:t>
      </w:r>
      <w:r>
        <w:rPr>
          <w:i/>
          <w:sz w:val="18"/>
        </w:rPr>
        <w:t>US</w:t>
      </w:r>
      <w:r>
        <w:rPr>
          <w:i/>
          <w:spacing w:val="-5"/>
          <w:sz w:val="18"/>
        </w:rPr>
        <w:t xml:space="preserve"> </w:t>
      </w:r>
      <w:r>
        <w:rPr>
          <w:i/>
          <w:sz w:val="18"/>
        </w:rPr>
        <w:t>–</w:t>
      </w:r>
      <w:r>
        <w:rPr>
          <w:i/>
          <w:spacing w:val="-5"/>
          <w:sz w:val="18"/>
        </w:rPr>
        <w:t xml:space="preserve"> </w:t>
      </w:r>
      <w:r>
        <w:rPr>
          <w:i/>
          <w:sz w:val="18"/>
        </w:rPr>
        <w:t>Steel</w:t>
      </w:r>
      <w:r>
        <w:rPr>
          <w:i/>
          <w:spacing w:val="-6"/>
          <w:sz w:val="18"/>
        </w:rPr>
        <w:t xml:space="preserve"> </w:t>
      </w:r>
      <w:r>
        <w:rPr>
          <w:i/>
          <w:sz w:val="18"/>
        </w:rPr>
        <w:t>Plate</w:t>
      </w:r>
      <w:r>
        <w:rPr>
          <w:sz w:val="18"/>
        </w:rPr>
        <w:t>,</w:t>
      </w:r>
      <w:r>
        <w:rPr>
          <w:spacing w:val="-5"/>
          <w:sz w:val="18"/>
        </w:rPr>
        <w:t xml:space="preserve"> </w:t>
      </w:r>
      <w:r>
        <w:rPr>
          <w:sz w:val="18"/>
        </w:rPr>
        <w:t>paras.</w:t>
      </w:r>
      <w:r>
        <w:rPr>
          <w:spacing w:val="-5"/>
          <w:sz w:val="18"/>
        </w:rPr>
        <w:t xml:space="preserve"> </w:t>
      </w:r>
      <w:r>
        <w:rPr>
          <w:sz w:val="18"/>
        </w:rPr>
        <w:t>7.72</w:t>
      </w:r>
      <w:r>
        <w:rPr>
          <w:spacing w:val="-5"/>
          <w:sz w:val="18"/>
        </w:rPr>
        <w:t xml:space="preserve"> </w:t>
      </w:r>
      <w:r>
        <w:rPr>
          <w:sz w:val="18"/>
        </w:rPr>
        <w:t>and</w:t>
      </w:r>
      <w:r>
        <w:rPr>
          <w:spacing w:val="-4"/>
          <w:sz w:val="18"/>
        </w:rPr>
        <w:t xml:space="preserve"> </w:t>
      </w:r>
      <w:r>
        <w:rPr>
          <w:sz w:val="18"/>
        </w:rPr>
        <w:t>7.74.</w:t>
      </w:r>
      <w:r>
        <w:rPr>
          <w:spacing w:val="-5"/>
          <w:sz w:val="18"/>
        </w:rPr>
        <w:t xml:space="preserve"> </w:t>
      </w:r>
      <w:r>
        <w:rPr>
          <w:sz w:val="18"/>
        </w:rPr>
        <w:t>See</w:t>
      </w:r>
      <w:r>
        <w:rPr>
          <w:spacing w:val="-5"/>
          <w:sz w:val="18"/>
        </w:rPr>
        <w:t xml:space="preserve"> </w:t>
      </w:r>
      <w:r>
        <w:rPr>
          <w:sz w:val="18"/>
        </w:rPr>
        <w:t>also</w:t>
      </w:r>
      <w:r>
        <w:rPr>
          <w:spacing w:val="-6"/>
          <w:sz w:val="18"/>
        </w:rPr>
        <w:t xml:space="preserve"> </w:t>
      </w:r>
      <w:r>
        <w:rPr>
          <w:sz w:val="18"/>
        </w:rPr>
        <w:t>Panel</w:t>
      </w:r>
      <w:r>
        <w:rPr>
          <w:spacing w:val="-6"/>
          <w:sz w:val="18"/>
        </w:rPr>
        <w:t xml:space="preserve"> </w:t>
      </w:r>
      <w:r>
        <w:rPr>
          <w:sz w:val="18"/>
        </w:rPr>
        <w:t>Report,</w:t>
      </w:r>
      <w:r>
        <w:rPr>
          <w:spacing w:val="-4"/>
          <w:sz w:val="18"/>
        </w:rPr>
        <w:t xml:space="preserve"> </w:t>
      </w:r>
      <w:r>
        <w:rPr>
          <w:i/>
          <w:sz w:val="18"/>
        </w:rPr>
        <w:t>China</w:t>
      </w:r>
      <w:r>
        <w:rPr>
          <w:i/>
          <w:spacing w:val="-4"/>
          <w:sz w:val="18"/>
        </w:rPr>
        <w:t xml:space="preserve"> </w:t>
      </w:r>
      <w:r>
        <w:rPr>
          <w:i/>
          <w:sz w:val="18"/>
        </w:rPr>
        <w:t>–</w:t>
      </w:r>
      <w:r>
        <w:rPr>
          <w:i/>
          <w:spacing w:val="-5"/>
          <w:sz w:val="18"/>
        </w:rPr>
        <w:t xml:space="preserve"> </w:t>
      </w:r>
      <w:r>
        <w:rPr>
          <w:i/>
          <w:sz w:val="18"/>
        </w:rPr>
        <w:t>Broiler</w:t>
      </w:r>
      <w:r>
        <w:rPr>
          <w:i/>
          <w:spacing w:val="-5"/>
          <w:sz w:val="18"/>
        </w:rPr>
        <w:t xml:space="preserve"> </w:t>
      </w:r>
      <w:r>
        <w:rPr>
          <w:i/>
          <w:sz w:val="18"/>
        </w:rPr>
        <w:t>Products</w:t>
      </w:r>
      <w:r>
        <w:rPr>
          <w:i/>
          <w:spacing w:val="-6"/>
          <w:sz w:val="18"/>
        </w:rPr>
        <w:t xml:space="preserve"> </w:t>
      </w:r>
      <w:r>
        <w:rPr>
          <w:i/>
          <w:sz w:val="18"/>
        </w:rPr>
        <w:t>(Article</w:t>
      </w:r>
      <w:r>
        <w:rPr>
          <w:i/>
          <w:spacing w:val="-4"/>
          <w:sz w:val="18"/>
        </w:rPr>
        <w:t xml:space="preserve"> </w:t>
      </w:r>
      <w:r>
        <w:rPr>
          <w:i/>
          <w:sz w:val="18"/>
        </w:rPr>
        <w:t>21.5</w:t>
      </w:r>
      <w:r>
        <w:rPr>
          <w:i/>
          <w:spacing w:val="-5"/>
          <w:sz w:val="18"/>
        </w:rPr>
        <w:t xml:space="preserve"> </w:t>
      </w:r>
      <w:r>
        <w:rPr>
          <w:i/>
          <w:sz w:val="18"/>
        </w:rPr>
        <w:t>–</w:t>
      </w:r>
      <w:r>
        <w:rPr>
          <w:i/>
          <w:spacing w:val="-4"/>
          <w:sz w:val="18"/>
        </w:rPr>
        <w:t xml:space="preserve"> US),</w:t>
      </w:r>
    </w:p>
    <w:p w14:paraId="51DE7D2C" w14:textId="77777777" w:rsidR="0010369C" w:rsidRDefault="008E43AE">
      <w:pPr>
        <w:ind w:left="238"/>
        <w:jc w:val="both"/>
        <w:rPr>
          <w:sz w:val="18"/>
        </w:rPr>
      </w:pPr>
      <w:r>
        <w:rPr>
          <w:sz w:val="18"/>
        </w:rPr>
        <w:t>paras.</w:t>
      </w:r>
      <w:r>
        <w:rPr>
          <w:spacing w:val="-5"/>
          <w:sz w:val="18"/>
        </w:rPr>
        <w:t xml:space="preserve"> </w:t>
      </w:r>
      <w:r>
        <w:rPr>
          <w:spacing w:val="-2"/>
          <w:sz w:val="18"/>
        </w:rPr>
        <w:t>7.342.</w:t>
      </w:r>
    </w:p>
    <w:p w14:paraId="51DE7D2D" w14:textId="77777777" w:rsidR="0010369C" w:rsidRDefault="008E43AE">
      <w:pPr>
        <w:ind w:left="238" w:right="974" w:hanging="1"/>
        <w:jc w:val="both"/>
        <w:rPr>
          <w:sz w:val="18"/>
        </w:rPr>
      </w:pPr>
      <w:r>
        <w:rPr>
          <w:sz w:val="18"/>
          <w:vertAlign w:val="superscript"/>
        </w:rPr>
        <w:t>54</w:t>
      </w:r>
      <w:r>
        <w:rPr>
          <w:spacing w:val="-3"/>
          <w:sz w:val="18"/>
        </w:rPr>
        <w:t xml:space="preserve"> </w:t>
      </w:r>
      <w:r>
        <w:rPr>
          <w:sz w:val="18"/>
        </w:rPr>
        <w:t>Oxford</w:t>
      </w:r>
      <w:r>
        <w:rPr>
          <w:spacing w:val="-3"/>
          <w:sz w:val="18"/>
        </w:rPr>
        <w:t xml:space="preserve"> </w:t>
      </w:r>
      <w:r>
        <w:rPr>
          <w:sz w:val="18"/>
        </w:rPr>
        <w:t>English</w:t>
      </w:r>
      <w:r>
        <w:rPr>
          <w:spacing w:val="-3"/>
          <w:sz w:val="18"/>
        </w:rPr>
        <w:t xml:space="preserve"> </w:t>
      </w:r>
      <w:r>
        <w:rPr>
          <w:sz w:val="18"/>
        </w:rPr>
        <w:t>Dictionary</w:t>
      </w:r>
      <w:r>
        <w:rPr>
          <w:spacing w:val="-2"/>
          <w:sz w:val="18"/>
        </w:rPr>
        <w:t xml:space="preserve"> </w:t>
      </w:r>
      <w:r>
        <w:rPr>
          <w:sz w:val="18"/>
        </w:rPr>
        <w:t>online,</w:t>
      </w:r>
      <w:r>
        <w:rPr>
          <w:spacing w:val="-3"/>
          <w:sz w:val="18"/>
        </w:rPr>
        <w:t xml:space="preserve"> </w:t>
      </w:r>
      <w:r>
        <w:rPr>
          <w:sz w:val="18"/>
        </w:rPr>
        <w:t>definition</w:t>
      </w:r>
      <w:r>
        <w:rPr>
          <w:spacing w:val="-3"/>
          <w:sz w:val="18"/>
        </w:rPr>
        <w:t xml:space="preserve"> </w:t>
      </w:r>
      <w:r>
        <w:rPr>
          <w:sz w:val="18"/>
        </w:rPr>
        <w:t>of</w:t>
      </w:r>
      <w:r>
        <w:rPr>
          <w:spacing w:val="-3"/>
          <w:sz w:val="18"/>
        </w:rPr>
        <w:t xml:space="preserve"> </w:t>
      </w:r>
      <w:r>
        <w:rPr>
          <w:sz w:val="18"/>
        </w:rPr>
        <w:t>"undue",</w:t>
      </w:r>
      <w:r>
        <w:rPr>
          <w:spacing w:val="-4"/>
          <w:sz w:val="18"/>
        </w:rPr>
        <w:t xml:space="preserve"> </w:t>
      </w:r>
      <w:hyperlink r:id="rId134">
        <w:r>
          <w:rPr>
            <w:sz w:val="18"/>
          </w:rPr>
          <w:t>https://www.oed.com/view/Entry/212679</w:t>
        </w:r>
        <w:r>
          <w:rPr>
            <w:spacing w:val="-4"/>
            <w:sz w:val="18"/>
          </w:rPr>
          <w:t xml:space="preserve"> </w:t>
        </w:r>
      </w:hyperlink>
      <w:r>
        <w:rPr>
          <w:sz w:val="18"/>
        </w:rPr>
        <w:t>(accessed</w:t>
      </w:r>
      <w:r>
        <w:rPr>
          <w:spacing w:val="-4"/>
          <w:sz w:val="18"/>
        </w:rPr>
        <w:t xml:space="preserve"> </w:t>
      </w:r>
      <w:r>
        <w:rPr>
          <w:sz w:val="18"/>
        </w:rPr>
        <w:t>28</w:t>
      </w:r>
      <w:r>
        <w:rPr>
          <w:spacing w:val="-5"/>
          <w:sz w:val="18"/>
        </w:rPr>
        <w:t xml:space="preserve"> </w:t>
      </w:r>
      <w:r>
        <w:rPr>
          <w:sz w:val="18"/>
        </w:rPr>
        <w:t xml:space="preserve">April 2022); see also Panel Report, </w:t>
      </w:r>
      <w:r>
        <w:rPr>
          <w:i/>
          <w:sz w:val="18"/>
        </w:rPr>
        <w:t>US – Steel Plate</w:t>
      </w:r>
      <w:r>
        <w:rPr>
          <w:sz w:val="18"/>
        </w:rPr>
        <w:t>, para. 7.72 where the Panel concluded the meaning of "undue" in similar terms as "going beyond wh</w:t>
      </w:r>
      <w:r>
        <w:rPr>
          <w:sz w:val="18"/>
        </w:rPr>
        <w:t>at is warranted or natural, excessive, disproportionate".</w:t>
      </w:r>
    </w:p>
    <w:p w14:paraId="51DE7D2E" w14:textId="77777777" w:rsidR="0010369C" w:rsidRDefault="008E43AE">
      <w:pPr>
        <w:ind w:left="238" w:right="984" w:hanging="1"/>
        <w:jc w:val="both"/>
        <w:rPr>
          <w:sz w:val="18"/>
        </w:rPr>
      </w:pPr>
      <w:r>
        <w:rPr>
          <w:sz w:val="18"/>
          <w:vertAlign w:val="superscript"/>
        </w:rPr>
        <w:t>55</w:t>
      </w:r>
      <w:r>
        <w:rPr>
          <w:spacing w:val="-3"/>
          <w:sz w:val="18"/>
        </w:rPr>
        <w:t xml:space="preserve"> </w:t>
      </w:r>
      <w:r>
        <w:rPr>
          <w:sz w:val="18"/>
        </w:rPr>
        <w:t>Oxford</w:t>
      </w:r>
      <w:r>
        <w:rPr>
          <w:spacing w:val="-3"/>
          <w:sz w:val="18"/>
        </w:rPr>
        <w:t xml:space="preserve"> </w:t>
      </w:r>
      <w:r>
        <w:rPr>
          <w:sz w:val="18"/>
        </w:rPr>
        <w:t>English</w:t>
      </w:r>
      <w:r>
        <w:rPr>
          <w:spacing w:val="-3"/>
          <w:sz w:val="18"/>
        </w:rPr>
        <w:t xml:space="preserve"> </w:t>
      </w:r>
      <w:r>
        <w:rPr>
          <w:sz w:val="18"/>
        </w:rPr>
        <w:t>Dictionary</w:t>
      </w:r>
      <w:r>
        <w:rPr>
          <w:spacing w:val="-2"/>
          <w:sz w:val="18"/>
        </w:rPr>
        <w:t xml:space="preserve"> </w:t>
      </w:r>
      <w:r>
        <w:rPr>
          <w:sz w:val="18"/>
        </w:rPr>
        <w:t>online,</w:t>
      </w:r>
      <w:r>
        <w:rPr>
          <w:spacing w:val="-3"/>
          <w:sz w:val="18"/>
        </w:rPr>
        <w:t xml:space="preserve"> </w:t>
      </w:r>
      <w:r>
        <w:rPr>
          <w:sz w:val="18"/>
        </w:rPr>
        <w:t>definition</w:t>
      </w:r>
      <w:r>
        <w:rPr>
          <w:spacing w:val="-3"/>
          <w:sz w:val="18"/>
        </w:rPr>
        <w:t xml:space="preserve"> </w:t>
      </w:r>
      <w:r>
        <w:rPr>
          <w:sz w:val="18"/>
        </w:rPr>
        <w:t>of</w:t>
      </w:r>
      <w:r>
        <w:rPr>
          <w:spacing w:val="-3"/>
          <w:sz w:val="18"/>
        </w:rPr>
        <w:t xml:space="preserve"> </w:t>
      </w:r>
      <w:r>
        <w:rPr>
          <w:sz w:val="18"/>
        </w:rPr>
        <w:t>"timely",</w:t>
      </w:r>
      <w:r>
        <w:rPr>
          <w:spacing w:val="-4"/>
          <w:sz w:val="18"/>
        </w:rPr>
        <w:t xml:space="preserve"> </w:t>
      </w:r>
      <w:hyperlink r:id="rId135">
        <w:r>
          <w:rPr>
            <w:sz w:val="18"/>
          </w:rPr>
          <w:t>https://www.oed.com/view/Entry/202120</w:t>
        </w:r>
        <w:r>
          <w:rPr>
            <w:spacing w:val="-4"/>
            <w:sz w:val="18"/>
          </w:rPr>
          <w:t xml:space="preserve"> </w:t>
        </w:r>
      </w:hyperlink>
      <w:r>
        <w:rPr>
          <w:sz w:val="18"/>
        </w:rPr>
        <w:t>(accessed</w:t>
      </w:r>
      <w:r>
        <w:rPr>
          <w:spacing w:val="-4"/>
          <w:sz w:val="18"/>
        </w:rPr>
        <w:t xml:space="preserve"> </w:t>
      </w:r>
      <w:r>
        <w:rPr>
          <w:sz w:val="18"/>
        </w:rPr>
        <w:t>28</w:t>
      </w:r>
      <w:r>
        <w:rPr>
          <w:spacing w:val="-5"/>
          <w:sz w:val="18"/>
        </w:rPr>
        <w:t xml:space="preserve"> </w:t>
      </w:r>
      <w:r>
        <w:rPr>
          <w:sz w:val="18"/>
        </w:rPr>
        <w:t xml:space="preserve">April </w:t>
      </w:r>
      <w:r>
        <w:rPr>
          <w:spacing w:val="-2"/>
          <w:sz w:val="18"/>
        </w:rPr>
        <w:t>2022).</w:t>
      </w:r>
    </w:p>
    <w:p w14:paraId="51DE7D2F" w14:textId="77777777" w:rsidR="0010369C" w:rsidRDefault="008E43AE">
      <w:pPr>
        <w:spacing w:before="1"/>
        <w:ind w:left="238"/>
        <w:jc w:val="both"/>
        <w:rPr>
          <w:sz w:val="18"/>
        </w:rPr>
      </w:pPr>
      <w:r>
        <w:rPr>
          <w:sz w:val="18"/>
          <w:vertAlign w:val="superscript"/>
        </w:rPr>
        <w:t>56</w:t>
      </w:r>
      <w:r>
        <w:rPr>
          <w:spacing w:val="-5"/>
          <w:sz w:val="18"/>
        </w:rPr>
        <w:t xml:space="preserve"> </w:t>
      </w:r>
      <w:r>
        <w:rPr>
          <w:sz w:val="18"/>
        </w:rPr>
        <w:t>Appellate</w:t>
      </w:r>
      <w:r>
        <w:rPr>
          <w:spacing w:val="-5"/>
          <w:sz w:val="18"/>
        </w:rPr>
        <w:t xml:space="preserve"> </w:t>
      </w:r>
      <w:r>
        <w:rPr>
          <w:sz w:val="18"/>
        </w:rPr>
        <w:t>Body</w:t>
      </w:r>
      <w:r>
        <w:rPr>
          <w:spacing w:val="-7"/>
          <w:sz w:val="18"/>
        </w:rPr>
        <w:t xml:space="preserve"> </w:t>
      </w:r>
      <w:r>
        <w:rPr>
          <w:sz w:val="18"/>
        </w:rPr>
        <w:t>Report,</w:t>
      </w:r>
      <w:r>
        <w:rPr>
          <w:spacing w:val="-5"/>
          <w:sz w:val="18"/>
        </w:rPr>
        <w:t xml:space="preserve"> </w:t>
      </w:r>
      <w:r>
        <w:rPr>
          <w:i/>
          <w:sz w:val="18"/>
        </w:rPr>
        <w:t>US</w:t>
      </w:r>
      <w:r>
        <w:rPr>
          <w:i/>
          <w:spacing w:val="-5"/>
          <w:sz w:val="18"/>
        </w:rPr>
        <w:t xml:space="preserve"> </w:t>
      </w:r>
      <w:r>
        <w:rPr>
          <w:i/>
          <w:sz w:val="18"/>
        </w:rPr>
        <w:t>–</w:t>
      </w:r>
      <w:r>
        <w:rPr>
          <w:i/>
          <w:spacing w:val="-5"/>
          <w:sz w:val="18"/>
        </w:rPr>
        <w:t xml:space="preserve"> </w:t>
      </w:r>
      <w:r>
        <w:rPr>
          <w:i/>
          <w:sz w:val="18"/>
        </w:rPr>
        <w:t>Hot‐Rolled</w:t>
      </w:r>
      <w:r>
        <w:rPr>
          <w:i/>
          <w:spacing w:val="-5"/>
          <w:sz w:val="18"/>
        </w:rPr>
        <w:t xml:space="preserve"> </w:t>
      </w:r>
      <w:r>
        <w:rPr>
          <w:i/>
          <w:sz w:val="18"/>
        </w:rPr>
        <w:t>Steel</w:t>
      </w:r>
      <w:r>
        <w:rPr>
          <w:sz w:val="18"/>
        </w:rPr>
        <w:t>,</w:t>
      </w:r>
      <w:r>
        <w:rPr>
          <w:spacing w:val="-6"/>
          <w:sz w:val="18"/>
        </w:rPr>
        <w:t xml:space="preserve"> </w:t>
      </w:r>
      <w:r>
        <w:rPr>
          <w:sz w:val="18"/>
        </w:rPr>
        <w:t>paras.</w:t>
      </w:r>
      <w:r>
        <w:rPr>
          <w:spacing w:val="-5"/>
          <w:sz w:val="18"/>
        </w:rPr>
        <w:t xml:space="preserve"> </w:t>
      </w:r>
      <w:r>
        <w:rPr>
          <w:sz w:val="18"/>
        </w:rPr>
        <w:t>81‐83.</w:t>
      </w:r>
      <w:r>
        <w:rPr>
          <w:spacing w:val="-5"/>
          <w:sz w:val="18"/>
        </w:rPr>
        <w:t xml:space="preserve"> </w:t>
      </w:r>
      <w:r>
        <w:rPr>
          <w:sz w:val="18"/>
        </w:rPr>
        <w:t>See</w:t>
      </w:r>
      <w:r>
        <w:rPr>
          <w:spacing w:val="-6"/>
          <w:sz w:val="18"/>
        </w:rPr>
        <w:t xml:space="preserve"> </w:t>
      </w:r>
      <w:r>
        <w:rPr>
          <w:sz w:val="18"/>
        </w:rPr>
        <w:t>also</w:t>
      </w:r>
      <w:r>
        <w:rPr>
          <w:spacing w:val="-5"/>
          <w:sz w:val="18"/>
        </w:rPr>
        <w:t xml:space="preserve"> </w:t>
      </w:r>
      <w:r>
        <w:rPr>
          <w:sz w:val="18"/>
        </w:rPr>
        <w:t>Panel</w:t>
      </w:r>
      <w:r>
        <w:rPr>
          <w:spacing w:val="-5"/>
          <w:sz w:val="18"/>
        </w:rPr>
        <w:t xml:space="preserve"> </w:t>
      </w:r>
      <w:r>
        <w:rPr>
          <w:sz w:val="18"/>
        </w:rPr>
        <w:t>Report,</w:t>
      </w:r>
      <w:r>
        <w:rPr>
          <w:spacing w:val="-5"/>
          <w:sz w:val="18"/>
        </w:rPr>
        <w:t xml:space="preserve"> </w:t>
      </w:r>
      <w:r>
        <w:rPr>
          <w:i/>
          <w:sz w:val="18"/>
        </w:rPr>
        <w:t>US</w:t>
      </w:r>
      <w:r>
        <w:rPr>
          <w:i/>
          <w:spacing w:val="-5"/>
          <w:sz w:val="18"/>
        </w:rPr>
        <w:t xml:space="preserve"> </w:t>
      </w:r>
      <w:r>
        <w:rPr>
          <w:i/>
          <w:sz w:val="18"/>
        </w:rPr>
        <w:t>–</w:t>
      </w:r>
      <w:r>
        <w:rPr>
          <w:i/>
          <w:spacing w:val="-5"/>
          <w:sz w:val="18"/>
        </w:rPr>
        <w:t xml:space="preserve"> </w:t>
      </w:r>
      <w:r>
        <w:rPr>
          <w:i/>
          <w:sz w:val="18"/>
        </w:rPr>
        <w:t>Steel</w:t>
      </w:r>
      <w:r>
        <w:rPr>
          <w:i/>
          <w:spacing w:val="-6"/>
          <w:sz w:val="18"/>
        </w:rPr>
        <w:t xml:space="preserve"> </w:t>
      </w:r>
      <w:r>
        <w:rPr>
          <w:i/>
          <w:sz w:val="18"/>
        </w:rPr>
        <w:t>Plate</w:t>
      </w:r>
      <w:r>
        <w:rPr>
          <w:sz w:val="18"/>
        </w:rPr>
        <w:t>,</w:t>
      </w:r>
      <w:r>
        <w:rPr>
          <w:spacing w:val="-6"/>
          <w:sz w:val="18"/>
        </w:rPr>
        <w:t xml:space="preserve"> </w:t>
      </w:r>
      <w:r>
        <w:rPr>
          <w:sz w:val="18"/>
        </w:rPr>
        <w:t>para.</w:t>
      </w:r>
      <w:r>
        <w:rPr>
          <w:spacing w:val="-5"/>
          <w:sz w:val="18"/>
        </w:rPr>
        <w:t xml:space="preserve"> </w:t>
      </w:r>
      <w:r>
        <w:rPr>
          <w:spacing w:val="-2"/>
          <w:sz w:val="18"/>
        </w:rPr>
        <w:t>7.76.</w:t>
      </w:r>
    </w:p>
    <w:p w14:paraId="51DE7D30" w14:textId="77777777" w:rsidR="0010369C" w:rsidRDefault="008E43AE">
      <w:pPr>
        <w:ind w:left="238"/>
        <w:jc w:val="both"/>
        <w:rPr>
          <w:sz w:val="18"/>
        </w:rPr>
      </w:pPr>
      <w:r>
        <w:rPr>
          <w:sz w:val="18"/>
          <w:vertAlign w:val="superscript"/>
        </w:rPr>
        <w:lastRenderedPageBreak/>
        <w:t>57</w:t>
      </w:r>
      <w:r>
        <w:rPr>
          <w:spacing w:val="-6"/>
          <w:sz w:val="18"/>
        </w:rPr>
        <w:t xml:space="preserve"> </w:t>
      </w:r>
      <w:r>
        <w:rPr>
          <w:sz w:val="18"/>
        </w:rPr>
        <w:t>Appellate</w:t>
      </w:r>
      <w:r>
        <w:rPr>
          <w:spacing w:val="-5"/>
          <w:sz w:val="18"/>
        </w:rPr>
        <w:t xml:space="preserve"> </w:t>
      </w:r>
      <w:r>
        <w:rPr>
          <w:sz w:val="18"/>
        </w:rPr>
        <w:t>Body</w:t>
      </w:r>
      <w:r>
        <w:rPr>
          <w:spacing w:val="-7"/>
          <w:sz w:val="18"/>
        </w:rPr>
        <w:t xml:space="preserve"> </w:t>
      </w:r>
      <w:r>
        <w:rPr>
          <w:sz w:val="18"/>
        </w:rPr>
        <w:t>Report,</w:t>
      </w:r>
      <w:r>
        <w:rPr>
          <w:spacing w:val="-6"/>
          <w:sz w:val="18"/>
        </w:rPr>
        <w:t xml:space="preserve"> </w:t>
      </w:r>
      <w:r>
        <w:rPr>
          <w:i/>
          <w:sz w:val="18"/>
        </w:rPr>
        <w:t>US</w:t>
      </w:r>
      <w:r>
        <w:rPr>
          <w:i/>
          <w:spacing w:val="-5"/>
          <w:sz w:val="18"/>
        </w:rPr>
        <w:t xml:space="preserve"> </w:t>
      </w:r>
      <w:r>
        <w:rPr>
          <w:i/>
          <w:sz w:val="18"/>
        </w:rPr>
        <w:t>–</w:t>
      </w:r>
      <w:r>
        <w:rPr>
          <w:i/>
          <w:spacing w:val="-5"/>
          <w:sz w:val="18"/>
        </w:rPr>
        <w:t xml:space="preserve"> </w:t>
      </w:r>
      <w:r>
        <w:rPr>
          <w:i/>
          <w:sz w:val="18"/>
        </w:rPr>
        <w:t>Hot‐Rolled</w:t>
      </w:r>
      <w:r>
        <w:rPr>
          <w:i/>
          <w:spacing w:val="-6"/>
          <w:sz w:val="18"/>
        </w:rPr>
        <w:t xml:space="preserve"> </w:t>
      </w:r>
      <w:r>
        <w:rPr>
          <w:i/>
          <w:sz w:val="18"/>
        </w:rPr>
        <w:t>Steel</w:t>
      </w:r>
      <w:r>
        <w:rPr>
          <w:sz w:val="18"/>
        </w:rPr>
        <w:t>,</w:t>
      </w:r>
      <w:r>
        <w:rPr>
          <w:spacing w:val="-6"/>
          <w:sz w:val="18"/>
        </w:rPr>
        <w:t xml:space="preserve"> </w:t>
      </w:r>
      <w:r>
        <w:rPr>
          <w:sz w:val="18"/>
        </w:rPr>
        <w:t>para.</w:t>
      </w:r>
      <w:r>
        <w:rPr>
          <w:spacing w:val="-5"/>
          <w:sz w:val="18"/>
        </w:rPr>
        <w:t xml:space="preserve"> 85.</w:t>
      </w:r>
    </w:p>
    <w:p w14:paraId="51DE7D31" w14:textId="77777777" w:rsidR="0010369C" w:rsidRDefault="008E43AE">
      <w:pPr>
        <w:ind w:left="238" w:right="613" w:hanging="1"/>
        <w:jc w:val="both"/>
        <w:rPr>
          <w:sz w:val="18"/>
        </w:rPr>
      </w:pPr>
      <w:r>
        <w:rPr>
          <w:sz w:val="18"/>
          <w:vertAlign w:val="superscript"/>
        </w:rPr>
        <w:t>58</w:t>
      </w:r>
      <w:r>
        <w:rPr>
          <w:sz w:val="18"/>
        </w:rPr>
        <w:t xml:space="preserve"> See Appellate Body Report, </w:t>
      </w:r>
      <w:r>
        <w:rPr>
          <w:i/>
          <w:sz w:val="18"/>
        </w:rPr>
        <w:t>US – Hot‐Rolled Steel</w:t>
      </w:r>
      <w:r>
        <w:rPr>
          <w:sz w:val="18"/>
        </w:rPr>
        <w:t>, para. 89 noting the panel deals with relevant factors when an investigating authority is considering whether information is submitted within a reasonable period of time.</w:t>
      </w:r>
    </w:p>
    <w:p w14:paraId="51DE7D32" w14:textId="77777777" w:rsidR="0010369C" w:rsidRDefault="0010369C">
      <w:pPr>
        <w:jc w:val="both"/>
        <w:rPr>
          <w:sz w:val="18"/>
        </w:rPr>
        <w:sectPr w:rsidR="0010369C">
          <w:pgSz w:w="11910" w:h="16840"/>
          <w:pgMar w:top="880" w:right="800" w:bottom="980" w:left="1180" w:header="569" w:footer="788" w:gutter="0"/>
          <w:cols w:space="720"/>
        </w:sectPr>
      </w:pPr>
    </w:p>
    <w:p w14:paraId="51DE7D33" w14:textId="77777777" w:rsidR="0010369C" w:rsidRDefault="008E43AE">
      <w:pPr>
        <w:tabs>
          <w:tab w:val="left" w:pos="6426"/>
        </w:tabs>
        <w:ind w:left="238"/>
        <w:rPr>
          <w:sz w:val="20"/>
        </w:rPr>
      </w:pPr>
      <w:r>
        <w:rPr>
          <w:i/>
          <w:sz w:val="20"/>
        </w:rPr>
        <w:lastRenderedPageBreak/>
        <w:t>China</w:t>
      </w:r>
      <w:r>
        <w:rPr>
          <w:i/>
          <w:spacing w:val="-5"/>
          <w:sz w:val="20"/>
        </w:rPr>
        <w:t xml:space="preserve"> </w:t>
      </w:r>
      <w:r>
        <w:rPr>
          <w:i/>
          <w:sz w:val="20"/>
        </w:rPr>
        <w:t>–</w:t>
      </w:r>
      <w:r>
        <w:rPr>
          <w:i/>
          <w:spacing w:val="-5"/>
          <w:sz w:val="20"/>
        </w:rPr>
        <w:t xml:space="preserve"> </w:t>
      </w:r>
      <w:r>
        <w:rPr>
          <w:i/>
          <w:sz w:val="20"/>
        </w:rPr>
        <w:t>Anti‐Dumping</w:t>
      </w:r>
      <w:r>
        <w:rPr>
          <w:i/>
          <w:spacing w:val="-4"/>
          <w:sz w:val="20"/>
        </w:rPr>
        <w:t xml:space="preserve"> </w:t>
      </w:r>
      <w:r>
        <w:rPr>
          <w:i/>
          <w:sz w:val="20"/>
        </w:rPr>
        <w:t>and</w:t>
      </w:r>
      <w:r>
        <w:rPr>
          <w:i/>
          <w:spacing w:val="-5"/>
          <w:sz w:val="20"/>
        </w:rPr>
        <w:t xml:space="preserve"> </w:t>
      </w:r>
      <w:r>
        <w:rPr>
          <w:i/>
          <w:sz w:val="20"/>
        </w:rPr>
        <w:t>Countervailing</w:t>
      </w:r>
      <w:r>
        <w:rPr>
          <w:i/>
          <w:spacing w:val="-5"/>
          <w:sz w:val="20"/>
        </w:rPr>
        <w:t xml:space="preserve"> </w:t>
      </w:r>
      <w:r>
        <w:rPr>
          <w:i/>
          <w:sz w:val="20"/>
        </w:rPr>
        <w:t>Duty</w:t>
      </w:r>
      <w:r>
        <w:rPr>
          <w:i/>
          <w:spacing w:val="-4"/>
          <w:sz w:val="20"/>
        </w:rPr>
        <w:t xml:space="preserve"> </w:t>
      </w:r>
      <w:r>
        <w:rPr>
          <w:i/>
          <w:spacing w:val="-2"/>
          <w:sz w:val="20"/>
        </w:rPr>
        <w:t>Measures</w:t>
      </w:r>
      <w:r>
        <w:rPr>
          <w:i/>
          <w:sz w:val="20"/>
        </w:rPr>
        <w:tab/>
      </w:r>
      <w:r>
        <w:rPr>
          <w:sz w:val="20"/>
        </w:rPr>
        <w:t>Australia's</w:t>
      </w:r>
      <w:r>
        <w:rPr>
          <w:spacing w:val="-7"/>
          <w:sz w:val="20"/>
        </w:rPr>
        <w:t xml:space="preserve"> </w:t>
      </w:r>
      <w:r>
        <w:rPr>
          <w:sz w:val="20"/>
        </w:rPr>
        <w:t>First</w:t>
      </w:r>
      <w:r>
        <w:rPr>
          <w:spacing w:val="-2"/>
          <w:sz w:val="20"/>
        </w:rPr>
        <w:t xml:space="preserve"> </w:t>
      </w:r>
      <w:r>
        <w:rPr>
          <w:sz w:val="20"/>
        </w:rPr>
        <w:t>Written</w:t>
      </w:r>
      <w:r>
        <w:rPr>
          <w:spacing w:val="-2"/>
          <w:sz w:val="20"/>
        </w:rPr>
        <w:t xml:space="preserve"> Submission</w:t>
      </w:r>
    </w:p>
    <w:p w14:paraId="51DE7D34" w14:textId="77777777" w:rsidR="0010369C" w:rsidRDefault="008E43AE">
      <w:pPr>
        <w:tabs>
          <w:tab w:val="left" w:pos="8228"/>
        </w:tabs>
        <w:spacing w:before="1"/>
        <w:ind w:left="239"/>
        <w:rPr>
          <w:sz w:val="20"/>
        </w:rPr>
      </w:pPr>
      <w:r>
        <w:rPr>
          <w:i/>
          <w:sz w:val="20"/>
        </w:rPr>
        <w:t>on</w:t>
      </w:r>
      <w:r>
        <w:rPr>
          <w:i/>
          <w:spacing w:val="-1"/>
          <w:sz w:val="20"/>
        </w:rPr>
        <w:t xml:space="preserve"> </w:t>
      </w:r>
      <w:r>
        <w:rPr>
          <w:i/>
          <w:sz w:val="20"/>
        </w:rPr>
        <w:t>Wine</w:t>
      </w:r>
      <w:r>
        <w:rPr>
          <w:i/>
          <w:spacing w:val="-1"/>
          <w:sz w:val="20"/>
        </w:rPr>
        <w:t xml:space="preserve"> </w:t>
      </w:r>
      <w:r>
        <w:rPr>
          <w:i/>
          <w:sz w:val="20"/>
        </w:rPr>
        <w:t>from</w:t>
      </w:r>
      <w:r>
        <w:rPr>
          <w:i/>
          <w:spacing w:val="-3"/>
          <w:sz w:val="20"/>
        </w:rPr>
        <w:t xml:space="preserve"> </w:t>
      </w:r>
      <w:r>
        <w:rPr>
          <w:i/>
          <w:sz w:val="20"/>
        </w:rPr>
        <w:t>Australia</w:t>
      </w:r>
      <w:r>
        <w:rPr>
          <w:i/>
          <w:spacing w:val="-1"/>
          <w:sz w:val="20"/>
        </w:rPr>
        <w:t xml:space="preserve"> </w:t>
      </w:r>
      <w:r>
        <w:rPr>
          <w:spacing w:val="-2"/>
          <w:sz w:val="20"/>
        </w:rPr>
        <w:t>(DS602)</w:t>
      </w:r>
      <w:r>
        <w:rPr>
          <w:sz w:val="20"/>
        </w:rPr>
        <w:tab/>
        <w:t>29</w:t>
      </w:r>
      <w:r>
        <w:rPr>
          <w:spacing w:val="-1"/>
          <w:sz w:val="20"/>
        </w:rPr>
        <w:t xml:space="preserve"> </w:t>
      </w:r>
      <w:r>
        <w:rPr>
          <w:sz w:val="20"/>
        </w:rPr>
        <w:t>April</w:t>
      </w:r>
      <w:r>
        <w:rPr>
          <w:spacing w:val="-2"/>
          <w:sz w:val="20"/>
        </w:rPr>
        <w:t xml:space="preserve"> </w:t>
      </w:r>
      <w:r>
        <w:rPr>
          <w:spacing w:val="-4"/>
          <w:sz w:val="20"/>
        </w:rPr>
        <w:t>2022</w:t>
      </w:r>
    </w:p>
    <w:p w14:paraId="51DE7D35" w14:textId="77777777" w:rsidR="0010369C" w:rsidRDefault="008E43AE">
      <w:pPr>
        <w:pStyle w:val="BodyText"/>
        <w:spacing w:before="34" w:line="360" w:lineRule="auto"/>
        <w:ind w:left="238" w:right="611"/>
      </w:pPr>
      <w:r>
        <w:t>The</w:t>
      </w:r>
      <w:r>
        <w:rPr>
          <w:spacing w:val="-10"/>
        </w:rPr>
        <w:t xml:space="preserve"> </w:t>
      </w:r>
      <w:r>
        <w:t>operation</w:t>
      </w:r>
      <w:r>
        <w:rPr>
          <w:spacing w:val="-11"/>
        </w:rPr>
        <w:t xml:space="preserve"> </w:t>
      </w:r>
      <w:r>
        <w:t>of</w:t>
      </w:r>
      <w:r>
        <w:rPr>
          <w:spacing w:val="-11"/>
        </w:rPr>
        <w:t xml:space="preserve"> </w:t>
      </w:r>
      <w:r>
        <w:t>this</w:t>
      </w:r>
      <w:r>
        <w:rPr>
          <w:spacing w:val="-11"/>
        </w:rPr>
        <w:t xml:space="preserve"> </w:t>
      </w:r>
      <w:r>
        <w:t>requirement</w:t>
      </w:r>
      <w:r>
        <w:rPr>
          <w:spacing w:val="-11"/>
        </w:rPr>
        <w:t xml:space="preserve"> </w:t>
      </w:r>
      <w:r>
        <w:t>is</w:t>
      </w:r>
      <w:r>
        <w:rPr>
          <w:spacing w:val="-11"/>
        </w:rPr>
        <w:t xml:space="preserve"> </w:t>
      </w:r>
      <w:r>
        <w:t>straightforward</w:t>
      </w:r>
      <w:r>
        <w:rPr>
          <w:spacing w:val="-10"/>
        </w:rPr>
        <w:t xml:space="preserve"> </w:t>
      </w:r>
      <w:r>
        <w:t>and</w:t>
      </w:r>
      <w:r>
        <w:rPr>
          <w:spacing w:val="-11"/>
        </w:rPr>
        <w:t xml:space="preserve"> </w:t>
      </w:r>
      <w:r>
        <w:t>provides</w:t>
      </w:r>
      <w:r>
        <w:rPr>
          <w:spacing w:val="-11"/>
        </w:rPr>
        <w:t xml:space="preserve"> </w:t>
      </w:r>
      <w:r>
        <w:t>that</w:t>
      </w:r>
      <w:r>
        <w:rPr>
          <w:spacing w:val="-11"/>
        </w:rPr>
        <w:t xml:space="preserve"> </w:t>
      </w:r>
      <w:r>
        <w:t>information</w:t>
      </w:r>
      <w:r>
        <w:rPr>
          <w:spacing w:val="-10"/>
        </w:rPr>
        <w:t xml:space="preserve"> </w:t>
      </w:r>
      <w:r>
        <w:t>submitted in the requested format should be taken into account.</w:t>
      </w:r>
    </w:p>
    <w:p w14:paraId="51DE7D36" w14:textId="77777777" w:rsidR="0010369C" w:rsidRDefault="0010369C">
      <w:pPr>
        <w:pStyle w:val="BodyText"/>
        <w:spacing w:before="10"/>
        <w:rPr>
          <w:sz w:val="8"/>
        </w:rPr>
      </w:pPr>
    </w:p>
    <w:p w14:paraId="51DE7D37" w14:textId="77777777" w:rsidR="0010369C" w:rsidRDefault="008E43AE">
      <w:pPr>
        <w:pStyle w:val="BodyText"/>
        <w:spacing w:before="52" w:line="360" w:lineRule="auto"/>
        <w:ind w:left="237" w:right="614" w:firstLine="852"/>
        <w:jc w:val="both"/>
      </w:pPr>
      <w:r>
        <w:rPr>
          <w:noProof/>
        </w:rPr>
        <w:drawing>
          <wp:anchor distT="0" distB="0" distL="0" distR="0" simplePos="0" relativeHeight="250765824" behindDoc="1" locked="0" layoutInCell="1" allowOverlap="1" wp14:anchorId="51DE9DA3" wp14:editId="51DE9DA4">
            <wp:simplePos x="0" y="0"/>
            <wp:positionH relativeFrom="page">
              <wp:posOffset>902208</wp:posOffset>
            </wp:positionH>
            <wp:positionV relativeFrom="paragraph">
              <wp:posOffset>82711</wp:posOffset>
            </wp:positionV>
            <wp:extent cx="182879" cy="100753"/>
            <wp:effectExtent l="0" t="0" r="0" b="0"/>
            <wp:wrapNone/>
            <wp:docPr id="135" name="image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76.png"/>
                    <pic:cNvPicPr/>
                  </pic:nvPicPr>
                  <pic:blipFill>
                    <a:blip r:embed="rId136" cstate="print"/>
                    <a:stretch>
                      <a:fillRect/>
                    </a:stretch>
                  </pic:blipFill>
                  <pic:spPr>
                    <a:xfrm>
                      <a:off x="0" y="0"/>
                      <a:ext cx="182879" cy="100753"/>
                    </a:xfrm>
                    <a:prstGeom prst="rect">
                      <a:avLst/>
                    </a:prstGeom>
                  </pic:spPr>
                </pic:pic>
              </a:graphicData>
            </a:graphic>
          </wp:anchor>
        </w:drawing>
      </w:r>
      <w:r>
        <w:t>To the extent that an investigating authority is dissatisfied with information submitted to it, it must examine the information provided in light of the criteria set out in paragraph 3</w:t>
      </w:r>
      <w:r>
        <w:rPr>
          <w:spacing w:val="-1"/>
        </w:rPr>
        <w:t xml:space="preserve"> </w:t>
      </w:r>
      <w:r>
        <w:t>of An</w:t>
      </w:r>
      <w:r>
        <w:t>nex II,</w:t>
      </w:r>
      <w:r>
        <w:rPr>
          <w:vertAlign w:val="superscript"/>
        </w:rPr>
        <w:t>59</w:t>
      </w:r>
      <w:r>
        <w:t xml:space="preserve"> and the determination to be made.</w:t>
      </w:r>
      <w:r>
        <w:rPr>
          <w:vertAlign w:val="superscript"/>
        </w:rPr>
        <w:t>60</w:t>
      </w:r>
      <w:r>
        <w:t xml:space="preserve"> However, examination</w:t>
      </w:r>
      <w:r>
        <w:rPr>
          <w:spacing w:val="-2"/>
        </w:rPr>
        <w:t xml:space="preserve"> </w:t>
      </w:r>
      <w:r>
        <w:t>in the absence</w:t>
      </w:r>
      <w:r>
        <w:rPr>
          <w:spacing w:val="-1"/>
        </w:rPr>
        <w:t xml:space="preserve"> </w:t>
      </w:r>
      <w:r>
        <w:t>of</w:t>
      </w:r>
      <w:r>
        <w:rPr>
          <w:spacing w:val="-2"/>
        </w:rPr>
        <w:t xml:space="preserve"> </w:t>
      </w:r>
      <w:r>
        <w:t>explanation</w:t>
      </w:r>
      <w:r>
        <w:rPr>
          <w:spacing w:val="-2"/>
        </w:rPr>
        <w:t xml:space="preserve"> </w:t>
      </w:r>
      <w:r>
        <w:t>is</w:t>
      </w:r>
      <w:r>
        <w:rPr>
          <w:spacing w:val="-1"/>
        </w:rPr>
        <w:t xml:space="preserve"> </w:t>
      </w:r>
      <w:r>
        <w:t>not sufficient. An</w:t>
      </w:r>
      <w:r>
        <w:rPr>
          <w:spacing w:val="-1"/>
        </w:rPr>
        <w:t xml:space="preserve"> </w:t>
      </w:r>
      <w:r>
        <w:t>investigating authority</w:t>
      </w:r>
      <w:r>
        <w:rPr>
          <w:spacing w:val="-1"/>
        </w:rPr>
        <w:t xml:space="preserve"> </w:t>
      </w:r>
      <w:r>
        <w:t>must also explain</w:t>
      </w:r>
      <w:r>
        <w:rPr>
          <w:spacing w:val="-2"/>
        </w:rPr>
        <w:t xml:space="preserve"> </w:t>
      </w:r>
      <w:r>
        <w:t>how the information which is being rejected does not meet the criteria in paragraph 3.</w:t>
      </w:r>
      <w:r>
        <w:rPr>
          <w:vertAlign w:val="superscript"/>
        </w:rPr>
        <w:t>61</w:t>
      </w:r>
      <w:r>
        <w:t xml:space="preserve"> The Pa</w:t>
      </w:r>
      <w:r>
        <w:t xml:space="preserve">nel in </w:t>
      </w:r>
      <w:r>
        <w:rPr>
          <w:i/>
        </w:rPr>
        <w:t xml:space="preserve">China – Broiler Products </w:t>
      </w:r>
      <w:r>
        <w:t>explained that:</w:t>
      </w:r>
    </w:p>
    <w:p w14:paraId="51DE7D38" w14:textId="77777777" w:rsidR="0010369C" w:rsidRDefault="008E43AE">
      <w:pPr>
        <w:spacing w:before="161" w:line="276" w:lineRule="auto"/>
        <w:ind w:left="1088" w:right="614"/>
        <w:jc w:val="both"/>
      </w:pPr>
      <w:r>
        <w:t>Because</w:t>
      </w:r>
      <w:r>
        <w:rPr>
          <w:spacing w:val="-8"/>
        </w:rPr>
        <w:t xml:space="preserve"> </w:t>
      </w:r>
      <w:r>
        <w:rPr>
          <w:i/>
        </w:rPr>
        <w:t>every</w:t>
      </w:r>
      <w:r>
        <w:rPr>
          <w:i/>
          <w:spacing w:val="-9"/>
        </w:rPr>
        <w:t xml:space="preserve"> </w:t>
      </w:r>
      <w:r>
        <w:rPr>
          <w:i/>
        </w:rPr>
        <w:t>element</w:t>
      </w:r>
      <w:r>
        <w:rPr>
          <w:i/>
          <w:spacing w:val="-10"/>
        </w:rPr>
        <w:t xml:space="preserve"> </w:t>
      </w:r>
      <w:r>
        <w:t>of</w:t>
      </w:r>
      <w:r>
        <w:rPr>
          <w:spacing w:val="-7"/>
        </w:rPr>
        <w:t xml:space="preserve"> </w:t>
      </w:r>
      <w:r>
        <w:t>information</w:t>
      </w:r>
      <w:r>
        <w:rPr>
          <w:spacing w:val="-9"/>
        </w:rPr>
        <w:t xml:space="preserve"> </w:t>
      </w:r>
      <w:r>
        <w:t>that</w:t>
      </w:r>
      <w:r>
        <w:rPr>
          <w:spacing w:val="-9"/>
        </w:rPr>
        <w:t xml:space="preserve"> </w:t>
      </w:r>
      <w:r>
        <w:t>satisfies</w:t>
      </w:r>
      <w:r>
        <w:rPr>
          <w:spacing w:val="-7"/>
        </w:rPr>
        <w:t xml:space="preserve"> </w:t>
      </w:r>
      <w:r>
        <w:t>the</w:t>
      </w:r>
      <w:r>
        <w:rPr>
          <w:spacing w:val="-8"/>
        </w:rPr>
        <w:t xml:space="preserve"> </w:t>
      </w:r>
      <w:r>
        <w:t>criteria</w:t>
      </w:r>
      <w:r>
        <w:rPr>
          <w:spacing w:val="-9"/>
        </w:rPr>
        <w:t xml:space="preserve"> </w:t>
      </w:r>
      <w:r>
        <w:t>of</w:t>
      </w:r>
      <w:r>
        <w:rPr>
          <w:spacing w:val="-6"/>
        </w:rPr>
        <w:t xml:space="preserve"> </w:t>
      </w:r>
      <w:r>
        <w:t>paragraph</w:t>
      </w:r>
      <w:r>
        <w:rPr>
          <w:spacing w:val="-9"/>
        </w:rPr>
        <w:t xml:space="preserve"> </w:t>
      </w:r>
      <w:r>
        <w:t>3</w:t>
      </w:r>
      <w:r>
        <w:rPr>
          <w:spacing w:val="-8"/>
        </w:rPr>
        <w:t xml:space="preserve"> </w:t>
      </w:r>
      <w:r>
        <w:t>must</w:t>
      </w:r>
      <w:r>
        <w:rPr>
          <w:spacing w:val="-9"/>
        </w:rPr>
        <w:t xml:space="preserve"> </w:t>
      </w:r>
      <w:r>
        <w:t>be</w:t>
      </w:r>
      <w:r>
        <w:rPr>
          <w:spacing w:val="-8"/>
        </w:rPr>
        <w:t xml:space="preserve"> </w:t>
      </w:r>
      <w:r>
        <w:t>taken into</w:t>
      </w:r>
      <w:r>
        <w:rPr>
          <w:spacing w:val="-11"/>
        </w:rPr>
        <w:t xml:space="preserve"> </w:t>
      </w:r>
      <w:r>
        <w:t>account,</w:t>
      </w:r>
      <w:r>
        <w:rPr>
          <w:spacing w:val="-9"/>
        </w:rPr>
        <w:t xml:space="preserve"> </w:t>
      </w:r>
      <w:r>
        <w:t>an</w:t>
      </w:r>
      <w:r>
        <w:rPr>
          <w:spacing w:val="-13"/>
        </w:rPr>
        <w:t xml:space="preserve"> </w:t>
      </w:r>
      <w:r>
        <w:t>investigating</w:t>
      </w:r>
      <w:r>
        <w:rPr>
          <w:spacing w:val="-9"/>
        </w:rPr>
        <w:t xml:space="preserve"> </w:t>
      </w:r>
      <w:r>
        <w:t>authority</w:t>
      </w:r>
      <w:r>
        <w:rPr>
          <w:spacing w:val="-11"/>
        </w:rPr>
        <w:t xml:space="preserve"> </w:t>
      </w:r>
      <w:r>
        <w:t>is</w:t>
      </w:r>
      <w:r>
        <w:rPr>
          <w:spacing w:val="-12"/>
        </w:rPr>
        <w:t xml:space="preserve"> </w:t>
      </w:r>
      <w:r>
        <w:t>not</w:t>
      </w:r>
      <w:r>
        <w:rPr>
          <w:spacing w:val="-11"/>
        </w:rPr>
        <w:t xml:space="preserve"> </w:t>
      </w:r>
      <w:r>
        <w:t>entitled</w:t>
      </w:r>
      <w:r>
        <w:rPr>
          <w:spacing w:val="-11"/>
        </w:rPr>
        <w:t xml:space="preserve"> </w:t>
      </w:r>
      <w:r>
        <w:t>to</w:t>
      </w:r>
      <w:r>
        <w:rPr>
          <w:spacing w:val="-12"/>
        </w:rPr>
        <w:t xml:space="preserve"> </w:t>
      </w:r>
      <w:r>
        <w:t>reject</w:t>
      </w:r>
      <w:r>
        <w:rPr>
          <w:spacing w:val="-11"/>
        </w:rPr>
        <w:t xml:space="preserve"> </w:t>
      </w:r>
      <w:r>
        <w:t>all</w:t>
      </w:r>
      <w:r>
        <w:rPr>
          <w:spacing w:val="-11"/>
        </w:rPr>
        <w:t xml:space="preserve"> </w:t>
      </w:r>
      <w:r>
        <w:t>information</w:t>
      </w:r>
      <w:r>
        <w:rPr>
          <w:spacing w:val="-12"/>
        </w:rPr>
        <w:t xml:space="preserve"> </w:t>
      </w:r>
      <w:r>
        <w:t>submitted</w:t>
      </w:r>
      <w:r>
        <w:rPr>
          <w:spacing w:val="-11"/>
        </w:rPr>
        <w:t xml:space="preserve"> </w:t>
      </w:r>
      <w:r>
        <w:t>and apply facts available, when only individual elements of that information fail to satisfy the criteria of paragraph 3. An investigating authority must, at a minimum, explain in what way the information that it is rejecting does not meet the requirements</w:t>
      </w:r>
      <w:r>
        <w:t xml:space="preserve"> of paragraph 3.</w:t>
      </w:r>
      <w:r>
        <w:rPr>
          <w:vertAlign w:val="superscript"/>
        </w:rPr>
        <w:t>62</w:t>
      </w:r>
    </w:p>
    <w:p w14:paraId="51DE7D39" w14:textId="77777777" w:rsidR="0010369C" w:rsidRDefault="0010369C">
      <w:pPr>
        <w:pStyle w:val="BodyText"/>
        <w:spacing w:before="5"/>
        <w:rPr>
          <w:sz w:val="15"/>
        </w:rPr>
      </w:pPr>
    </w:p>
    <w:p w14:paraId="51DE7D3A" w14:textId="77777777" w:rsidR="0010369C" w:rsidRDefault="008E43AE">
      <w:pPr>
        <w:pStyle w:val="BodyText"/>
        <w:spacing w:before="51" w:line="360" w:lineRule="auto"/>
        <w:ind w:left="237" w:right="612" w:firstLine="851"/>
        <w:jc w:val="both"/>
      </w:pPr>
      <w:r>
        <w:rPr>
          <w:noProof/>
        </w:rPr>
        <w:drawing>
          <wp:anchor distT="0" distB="0" distL="0" distR="0" simplePos="0" relativeHeight="250766848" behindDoc="1" locked="0" layoutInCell="1" allowOverlap="1" wp14:anchorId="51DE9DA5" wp14:editId="51DE9DA6">
            <wp:simplePos x="0" y="0"/>
            <wp:positionH relativeFrom="page">
              <wp:posOffset>902208</wp:posOffset>
            </wp:positionH>
            <wp:positionV relativeFrom="paragraph">
              <wp:posOffset>80552</wp:posOffset>
            </wp:positionV>
            <wp:extent cx="182879" cy="100753"/>
            <wp:effectExtent l="0" t="0" r="0" b="0"/>
            <wp:wrapNone/>
            <wp:docPr id="137"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77.png"/>
                    <pic:cNvPicPr/>
                  </pic:nvPicPr>
                  <pic:blipFill>
                    <a:blip r:embed="rId137" cstate="print"/>
                    <a:stretch>
                      <a:fillRect/>
                    </a:stretch>
                  </pic:blipFill>
                  <pic:spPr>
                    <a:xfrm>
                      <a:off x="0" y="0"/>
                      <a:ext cx="182879" cy="100753"/>
                    </a:xfrm>
                    <a:prstGeom prst="rect">
                      <a:avLst/>
                    </a:prstGeom>
                  </pic:spPr>
                </pic:pic>
              </a:graphicData>
            </a:graphic>
          </wp:anchor>
        </w:drawing>
      </w:r>
      <w:r>
        <w:t xml:space="preserve">Further, there is no "unlimited right" for investigating authorities to reject all information on the basis that some information was not provided by an interested </w:t>
      </w:r>
      <w:hyperlink r:id="rId138">
        <w:r>
          <w:t>party.</w:t>
        </w:r>
        <w:r>
          <w:rPr>
            <w:vertAlign w:val="superscript"/>
          </w:rPr>
          <w:t>63</w:t>
        </w:r>
      </w:hyperlink>
      <w:r>
        <w:t xml:space="preserve"> Before</w:t>
      </w:r>
      <w:r>
        <w:rPr>
          <w:spacing w:val="-11"/>
        </w:rPr>
        <w:t xml:space="preserve"> </w:t>
      </w:r>
      <w:r>
        <w:t>rejecting</w:t>
      </w:r>
      <w:r>
        <w:rPr>
          <w:spacing w:val="-12"/>
        </w:rPr>
        <w:t xml:space="preserve"> </w:t>
      </w:r>
      <w:r>
        <w:t>informat</w:t>
      </w:r>
      <w:r>
        <w:t>ion</w:t>
      </w:r>
      <w:r>
        <w:rPr>
          <w:spacing w:val="-12"/>
        </w:rPr>
        <w:t xml:space="preserve"> </w:t>
      </w:r>
      <w:r>
        <w:t>submitted</w:t>
      </w:r>
      <w:r>
        <w:rPr>
          <w:spacing w:val="-12"/>
        </w:rPr>
        <w:t xml:space="preserve"> </w:t>
      </w:r>
      <w:r>
        <w:t>on</w:t>
      </w:r>
      <w:r>
        <w:rPr>
          <w:spacing w:val="-12"/>
        </w:rPr>
        <w:t xml:space="preserve"> </w:t>
      </w:r>
      <w:r>
        <w:t>the</w:t>
      </w:r>
      <w:r>
        <w:rPr>
          <w:spacing w:val="-12"/>
        </w:rPr>
        <w:t xml:space="preserve"> </w:t>
      </w:r>
      <w:r>
        <w:t>basis</w:t>
      </w:r>
      <w:r>
        <w:rPr>
          <w:spacing w:val="-12"/>
        </w:rPr>
        <w:t xml:space="preserve"> </w:t>
      </w:r>
      <w:r>
        <w:t>that</w:t>
      </w:r>
      <w:r>
        <w:rPr>
          <w:spacing w:val="-12"/>
        </w:rPr>
        <w:t xml:space="preserve"> </w:t>
      </w:r>
      <w:r>
        <w:t>other</w:t>
      </w:r>
      <w:r>
        <w:rPr>
          <w:spacing w:val="-12"/>
        </w:rPr>
        <w:t xml:space="preserve"> </w:t>
      </w:r>
      <w:r>
        <w:t>requested</w:t>
      </w:r>
      <w:r>
        <w:rPr>
          <w:spacing w:val="-13"/>
        </w:rPr>
        <w:t xml:space="preserve"> </w:t>
      </w:r>
      <w:r>
        <w:t>information</w:t>
      </w:r>
      <w:r>
        <w:rPr>
          <w:spacing w:val="-13"/>
        </w:rPr>
        <w:t xml:space="preserve"> </w:t>
      </w:r>
      <w:r>
        <w:t>was</w:t>
      </w:r>
      <w:r>
        <w:rPr>
          <w:spacing w:val="-13"/>
        </w:rPr>
        <w:t xml:space="preserve"> </w:t>
      </w:r>
      <w:r>
        <w:t>not provided,</w:t>
      </w:r>
      <w:r>
        <w:rPr>
          <w:spacing w:val="-10"/>
        </w:rPr>
        <w:t xml:space="preserve"> </w:t>
      </w:r>
      <w:r>
        <w:t>an</w:t>
      </w:r>
      <w:r>
        <w:rPr>
          <w:spacing w:val="-13"/>
        </w:rPr>
        <w:t xml:space="preserve"> </w:t>
      </w:r>
      <w:r>
        <w:t>investigating</w:t>
      </w:r>
      <w:r>
        <w:rPr>
          <w:spacing w:val="-10"/>
        </w:rPr>
        <w:t xml:space="preserve"> </w:t>
      </w:r>
      <w:r>
        <w:t>authority</w:t>
      </w:r>
      <w:r>
        <w:rPr>
          <w:spacing w:val="-12"/>
        </w:rPr>
        <w:t xml:space="preserve"> </w:t>
      </w:r>
      <w:r>
        <w:t>must</w:t>
      </w:r>
      <w:r>
        <w:rPr>
          <w:spacing w:val="-11"/>
        </w:rPr>
        <w:t xml:space="preserve"> </w:t>
      </w:r>
      <w:r>
        <w:t>first</w:t>
      </w:r>
      <w:r>
        <w:rPr>
          <w:spacing w:val="-11"/>
        </w:rPr>
        <w:t xml:space="preserve"> </w:t>
      </w:r>
      <w:r>
        <w:t>assess</w:t>
      </w:r>
      <w:r>
        <w:rPr>
          <w:spacing w:val="-11"/>
        </w:rPr>
        <w:t xml:space="preserve"> </w:t>
      </w:r>
      <w:r>
        <w:t>whether</w:t>
      </w:r>
      <w:r>
        <w:rPr>
          <w:spacing w:val="-11"/>
        </w:rPr>
        <w:t xml:space="preserve"> </w:t>
      </w:r>
      <w:r>
        <w:t>the</w:t>
      </w:r>
      <w:r>
        <w:rPr>
          <w:spacing w:val="-10"/>
        </w:rPr>
        <w:t xml:space="preserve"> </w:t>
      </w:r>
      <w:r>
        <w:t>absence</w:t>
      </w:r>
      <w:r>
        <w:rPr>
          <w:spacing w:val="-11"/>
        </w:rPr>
        <w:t xml:space="preserve"> </w:t>
      </w:r>
      <w:r>
        <w:t>of</w:t>
      </w:r>
      <w:r>
        <w:rPr>
          <w:spacing w:val="-11"/>
        </w:rPr>
        <w:t xml:space="preserve"> </w:t>
      </w:r>
      <w:r>
        <w:t>that</w:t>
      </w:r>
      <w:r>
        <w:rPr>
          <w:spacing w:val="-11"/>
        </w:rPr>
        <w:t xml:space="preserve"> </w:t>
      </w:r>
      <w:r>
        <w:t>information casts doubt over the reliability or usability of the information submitted. The investigating authority must then explain how the information not provided was necessary for the verification of, or use (without undue delay) of, the information s</w:t>
      </w:r>
      <w:r>
        <w:t>ubmitted.</w:t>
      </w:r>
    </w:p>
    <w:p w14:paraId="51DE7D3B" w14:textId="77777777" w:rsidR="0010369C" w:rsidRDefault="0010369C">
      <w:pPr>
        <w:pStyle w:val="BodyText"/>
        <w:spacing w:before="11"/>
        <w:rPr>
          <w:sz w:val="8"/>
        </w:rPr>
      </w:pPr>
    </w:p>
    <w:p w14:paraId="51DE7D3C" w14:textId="77777777" w:rsidR="0010369C" w:rsidRDefault="008E43AE">
      <w:pPr>
        <w:pStyle w:val="BodyText"/>
        <w:spacing w:before="52" w:line="360" w:lineRule="auto"/>
        <w:ind w:left="236" w:right="614" w:firstLine="853"/>
        <w:jc w:val="both"/>
      </w:pPr>
      <w:r>
        <w:rPr>
          <w:noProof/>
        </w:rPr>
        <w:drawing>
          <wp:anchor distT="0" distB="0" distL="0" distR="0" simplePos="0" relativeHeight="250767872" behindDoc="1" locked="0" layoutInCell="1" allowOverlap="1" wp14:anchorId="51DE9DA7" wp14:editId="51DE9DA8">
            <wp:simplePos x="0" y="0"/>
            <wp:positionH relativeFrom="page">
              <wp:posOffset>902208</wp:posOffset>
            </wp:positionH>
            <wp:positionV relativeFrom="paragraph">
              <wp:posOffset>80595</wp:posOffset>
            </wp:positionV>
            <wp:extent cx="182879" cy="103631"/>
            <wp:effectExtent l="0" t="0" r="0" b="0"/>
            <wp:wrapNone/>
            <wp:docPr id="139" name="image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78.png"/>
                    <pic:cNvPicPr/>
                  </pic:nvPicPr>
                  <pic:blipFill>
                    <a:blip r:embed="rId139" cstate="print"/>
                    <a:stretch>
                      <a:fillRect/>
                    </a:stretch>
                  </pic:blipFill>
                  <pic:spPr>
                    <a:xfrm>
                      <a:off x="0" y="0"/>
                      <a:ext cx="182879" cy="103631"/>
                    </a:xfrm>
                    <a:prstGeom prst="rect">
                      <a:avLst/>
                    </a:prstGeom>
                  </pic:spPr>
                </pic:pic>
              </a:graphicData>
            </a:graphic>
          </wp:anchor>
        </w:drawing>
      </w:r>
      <w:r>
        <w:t>Paragraph</w:t>
      </w:r>
      <w:r>
        <w:rPr>
          <w:spacing w:val="-6"/>
        </w:rPr>
        <w:t xml:space="preserve"> </w:t>
      </w:r>
      <w:r>
        <w:t>5</w:t>
      </w:r>
      <w:r>
        <w:rPr>
          <w:spacing w:val="-6"/>
        </w:rPr>
        <w:t xml:space="preserve"> </w:t>
      </w:r>
      <w:r>
        <w:t>of</w:t>
      </w:r>
      <w:r>
        <w:rPr>
          <w:spacing w:val="-5"/>
        </w:rPr>
        <w:t xml:space="preserve"> </w:t>
      </w:r>
      <w:r>
        <w:t>Annex</w:t>
      </w:r>
      <w:r>
        <w:rPr>
          <w:spacing w:val="-5"/>
        </w:rPr>
        <w:t xml:space="preserve"> </w:t>
      </w:r>
      <w:r>
        <w:t>II</w:t>
      </w:r>
      <w:r>
        <w:rPr>
          <w:spacing w:val="-6"/>
        </w:rPr>
        <w:t xml:space="preserve"> </w:t>
      </w:r>
      <w:r>
        <w:t>highlights</w:t>
      </w:r>
      <w:r>
        <w:rPr>
          <w:spacing w:val="-5"/>
        </w:rPr>
        <w:t xml:space="preserve"> </w:t>
      </w:r>
      <w:r>
        <w:t>that</w:t>
      </w:r>
      <w:r>
        <w:rPr>
          <w:spacing w:val="-5"/>
        </w:rPr>
        <w:t xml:space="preserve"> </w:t>
      </w:r>
      <w:r>
        <w:t>information</w:t>
      </w:r>
      <w:r>
        <w:rPr>
          <w:spacing w:val="-4"/>
        </w:rPr>
        <w:t xml:space="preserve"> </w:t>
      </w:r>
      <w:r>
        <w:t>that</w:t>
      </w:r>
      <w:r>
        <w:rPr>
          <w:spacing w:val="-5"/>
        </w:rPr>
        <w:t xml:space="preserve"> </w:t>
      </w:r>
      <w:r>
        <w:t>satisfies</w:t>
      </w:r>
      <w:r>
        <w:rPr>
          <w:spacing w:val="-5"/>
        </w:rPr>
        <w:t xml:space="preserve"> </w:t>
      </w:r>
      <w:r>
        <w:t>the</w:t>
      </w:r>
      <w:r>
        <w:rPr>
          <w:spacing w:val="-5"/>
        </w:rPr>
        <w:t xml:space="preserve"> </w:t>
      </w:r>
      <w:r>
        <w:t>requirements</w:t>
      </w:r>
      <w:r>
        <w:rPr>
          <w:spacing w:val="-6"/>
        </w:rPr>
        <w:t xml:space="preserve"> </w:t>
      </w:r>
      <w:r>
        <w:t>of paragraph</w:t>
      </w:r>
      <w:r>
        <w:rPr>
          <w:spacing w:val="-5"/>
        </w:rPr>
        <w:t xml:space="preserve"> </w:t>
      </w:r>
      <w:r>
        <w:t>3, but which</w:t>
      </w:r>
      <w:r>
        <w:rPr>
          <w:spacing w:val="-1"/>
        </w:rPr>
        <w:t xml:space="preserve"> </w:t>
      </w:r>
      <w:r>
        <w:t>is</w:t>
      </w:r>
      <w:r>
        <w:rPr>
          <w:spacing w:val="-1"/>
        </w:rPr>
        <w:t xml:space="preserve"> </w:t>
      </w:r>
      <w:r>
        <w:t xml:space="preserve">not perfect, must not be </w:t>
      </w:r>
      <w:hyperlink r:id="rId140">
        <w:r>
          <w:t>disregarded.</w:t>
        </w:r>
        <w:r>
          <w:rPr>
            <w:vertAlign w:val="superscript"/>
          </w:rPr>
          <w:t>64</w:t>
        </w:r>
        <w:r>
          <w:rPr>
            <w:spacing w:val="-14"/>
          </w:rPr>
          <w:t xml:space="preserve"> </w:t>
        </w:r>
      </w:hyperlink>
      <w:r>
        <w:t>However, this</w:t>
      </w:r>
      <w:r>
        <w:rPr>
          <w:spacing w:val="-1"/>
        </w:rPr>
        <w:t xml:space="preserve"> </w:t>
      </w:r>
      <w:r>
        <w:t>is</w:t>
      </w:r>
      <w:r>
        <w:rPr>
          <w:spacing w:val="-1"/>
        </w:rPr>
        <w:t xml:space="preserve"> </w:t>
      </w:r>
      <w:r>
        <w:t>contingent on an interested party acting to the "best of its abilities". The ordinary meaning of "best", in the</w:t>
      </w:r>
      <w:r>
        <w:rPr>
          <w:spacing w:val="-1"/>
        </w:rPr>
        <w:t xml:space="preserve"> </w:t>
      </w:r>
      <w:r>
        <w:t>context</w:t>
      </w:r>
      <w:r>
        <w:rPr>
          <w:spacing w:val="-2"/>
        </w:rPr>
        <w:t xml:space="preserve"> </w:t>
      </w:r>
      <w:r>
        <w:t>of</w:t>
      </w:r>
      <w:r>
        <w:rPr>
          <w:spacing w:val="-2"/>
        </w:rPr>
        <w:t xml:space="preserve"> </w:t>
      </w:r>
      <w:r>
        <w:t>paragraph</w:t>
      </w:r>
      <w:r>
        <w:rPr>
          <w:spacing w:val="-1"/>
        </w:rPr>
        <w:t xml:space="preserve"> </w:t>
      </w:r>
      <w:r>
        <w:t>5,</w:t>
      </w:r>
      <w:r>
        <w:rPr>
          <w:spacing w:val="-2"/>
        </w:rPr>
        <w:t xml:space="preserve"> </w:t>
      </w:r>
      <w:r>
        <w:t>is</w:t>
      </w:r>
      <w:r>
        <w:rPr>
          <w:spacing w:val="-1"/>
        </w:rPr>
        <w:t xml:space="preserve"> </w:t>
      </w:r>
      <w:r>
        <w:t>"[d]esignating</w:t>
      </w:r>
      <w:r>
        <w:rPr>
          <w:spacing w:val="-2"/>
        </w:rPr>
        <w:t xml:space="preserve"> </w:t>
      </w:r>
      <w:r>
        <w:t>an</w:t>
      </w:r>
      <w:r>
        <w:rPr>
          <w:spacing w:val="-1"/>
        </w:rPr>
        <w:t xml:space="preserve"> </w:t>
      </w:r>
      <w:r>
        <w:t>effort,</w:t>
      </w:r>
      <w:r>
        <w:rPr>
          <w:spacing w:val="-2"/>
        </w:rPr>
        <w:t xml:space="preserve"> </w:t>
      </w:r>
      <w:r>
        <w:t>action,</w:t>
      </w:r>
      <w:r>
        <w:rPr>
          <w:spacing w:val="-1"/>
        </w:rPr>
        <w:t xml:space="preserve"> </w:t>
      </w:r>
      <w:r>
        <w:t>etc.,</w:t>
      </w:r>
      <w:r>
        <w:rPr>
          <w:spacing w:val="-2"/>
        </w:rPr>
        <w:t xml:space="preserve"> </w:t>
      </w:r>
      <w:r>
        <w:t>which</w:t>
      </w:r>
      <w:r>
        <w:rPr>
          <w:spacing w:val="-2"/>
        </w:rPr>
        <w:t xml:space="preserve"> </w:t>
      </w:r>
      <w:r>
        <w:t>surpasses all</w:t>
      </w:r>
      <w:r>
        <w:rPr>
          <w:spacing w:val="-2"/>
        </w:rPr>
        <w:t xml:space="preserve"> </w:t>
      </w:r>
      <w:r>
        <w:t>others in commitment or dedication; that involves the mos</w:t>
      </w:r>
      <w:r>
        <w:t>t work, or one's highest level of application".</w:t>
      </w:r>
      <w:r>
        <w:rPr>
          <w:vertAlign w:val="superscript"/>
        </w:rPr>
        <w:t>65</w:t>
      </w:r>
      <w:r>
        <w:rPr>
          <w:spacing w:val="75"/>
        </w:rPr>
        <w:t xml:space="preserve"> </w:t>
      </w:r>
      <w:r>
        <w:t>Whether</w:t>
      </w:r>
      <w:r>
        <w:rPr>
          <w:spacing w:val="75"/>
        </w:rPr>
        <w:t xml:space="preserve"> </w:t>
      </w:r>
      <w:r>
        <w:t>an</w:t>
      </w:r>
      <w:r>
        <w:rPr>
          <w:spacing w:val="76"/>
        </w:rPr>
        <w:t xml:space="preserve"> </w:t>
      </w:r>
      <w:r>
        <w:t>action</w:t>
      </w:r>
      <w:r>
        <w:rPr>
          <w:spacing w:val="76"/>
        </w:rPr>
        <w:t xml:space="preserve"> </w:t>
      </w:r>
      <w:r>
        <w:t>"involves</w:t>
      </w:r>
      <w:r>
        <w:rPr>
          <w:spacing w:val="75"/>
        </w:rPr>
        <w:t xml:space="preserve"> </w:t>
      </w:r>
      <w:r>
        <w:t>the</w:t>
      </w:r>
      <w:r>
        <w:rPr>
          <w:spacing w:val="77"/>
        </w:rPr>
        <w:t xml:space="preserve"> </w:t>
      </w:r>
      <w:r>
        <w:t>most</w:t>
      </w:r>
      <w:r>
        <w:rPr>
          <w:spacing w:val="76"/>
        </w:rPr>
        <w:t xml:space="preserve"> </w:t>
      </w:r>
      <w:r>
        <w:t>work"</w:t>
      </w:r>
      <w:r>
        <w:rPr>
          <w:spacing w:val="75"/>
        </w:rPr>
        <w:t xml:space="preserve"> </w:t>
      </w:r>
      <w:r>
        <w:t>or</w:t>
      </w:r>
      <w:r>
        <w:rPr>
          <w:spacing w:val="77"/>
        </w:rPr>
        <w:t xml:space="preserve"> </w:t>
      </w:r>
      <w:r>
        <w:t>the</w:t>
      </w:r>
      <w:r>
        <w:rPr>
          <w:spacing w:val="75"/>
        </w:rPr>
        <w:t xml:space="preserve"> </w:t>
      </w:r>
      <w:r>
        <w:t>"highest</w:t>
      </w:r>
      <w:r>
        <w:rPr>
          <w:spacing w:val="77"/>
        </w:rPr>
        <w:t xml:space="preserve"> </w:t>
      </w:r>
      <w:r>
        <w:t>level</w:t>
      </w:r>
      <w:r>
        <w:rPr>
          <w:spacing w:val="76"/>
        </w:rPr>
        <w:t xml:space="preserve"> </w:t>
      </w:r>
      <w:r>
        <w:rPr>
          <w:spacing w:val="-5"/>
        </w:rPr>
        <w:t>of</w:t>
      </w:r>
    </w:p>
    <w:p w14:paraId="51DE7D3D" w14:textId="77777777" w:rsidR="0010369C" w:rsidRDefault="0010369C">
      <w:pPr>
        <w:pStyle w:val="BodyText"/>
        <w:rPr>
          <w:sz w:val="20"/>
        </w:rPr>
      </w:pPr>
    </w:p>
    <w:p w14:paraId="51DE7D3E" w14:textId="77777777" w:rsidR="0010369C" w:rsidRDefault="008E43AE">
      <w:pPr>
        <w:pStyle w:val="BodyText"/>
        <w:spacing w:before="4"/>
        <w:rPr>
          <w:sz w:val="11"/>
        </w:rPr>
      </w:pPr>
      <w:r>
        <w:pict w14:anchorId="51DE9DA9">
          <v:rect id="docshape89" o:spid="_x0000_s3175" style="position:absolute;margin-left:70.9pt;margin-top:8.15pt;width:2in;height:.8pt;z-index:-251247104;mso-wrap-distance-left:0;mso-wrap-distance-right:0;mso-position-horizontal-relative:page" fillcolor="black" stroked="f">
            <w10:wrap type="topAndBottom" anchorx="page"/>
          </v:rect>
        </w:pict>
      </w:r>
    </w:p>
    <w:p w14:paraId="51DE7D3F" w14:textId="77777777" w:rsidR="0010369C" w:rsidRDefault="008E43AE">
      <w:pPr>
        <w:spacing w:before="109"/>
        <w:ind w:left="238" w:hanging="1"/>
        <w:rPr>
          <w:sz w:val="18"/>
        </w:rPr>
      </w:pPr>
      <w:r>
        <w:rPr>
          <w:sz w:val="18"/>
          <w:vertAlign w:val="superscript"/>
        </w:rPr>
        <w:t>59</w:t>
      </w:r>
      <w:r>
        <w:rPr>
          <w:spacing w:val="-6"/>
          <w:sz w:val="18"/>
        </w:rPr>
        <w:t xml:space="preserve"> </w:t>
      </w:r>
      <w:r>
        <w:rPr>
          <w:sz w:val="18"/>
        </w:rPr>
        <w:t>Panel</w:t>
      </w:r>
      <w:r>
        <w:rPr>
          <w:spacing w:val="-6"/>
          <w:sz w:val="18"/>
        </w:rPr>
        <w:t xml:space="preserve"> </w:t>
      </w:r>
      <w:r>
        <w:rPr>
          <w:sz w:val="18"/>
        </w:rPr>
        <w:t>Report,</w:t>
      </w:r>
      <w:r>
        <w:rPr>
          <w:spacing w:val="-6"/>
          <w:sz w:val="18"/>
        </w:rPr>
        <w:t xml:space="preserve"> </w:t>
      </w:r>
      <w:r>
        <w:rPr>
          <w:i/>
          <w:sz w:val="18"/>
        </w:rPr>
        <w:t>US</w:t>
      </w:r>
      <w:r>
        <w:rPr>
          <w:i/>
          <w:spacing w:val="-6"/>
          <w:sz w:val="18"/>
        </w:rPr>
        <w:t xml:space="preserve"> </w:t>
      </w:r>
      <w:r>
        <w:rPr>
          <w:i/>
          <w:sz w:val="18"/>
        </w:rPr>
        <w:t>–</w:t>
      </w:r>
      <w:r>
        <w:rPr>
          <w:i/>
          <w:spacing w:val="-6"/>
          <w:sz w:val="18"/>
        </w:rPr>
        <w:t xml:space="preserve"> </w:t>
      </w:r>
      <w:r>
        <w:rPr>
          <w:i/>
          <w:sz w:val="18"/>
        </w:rPr>
        <w:t>Steel</w:t>
      </w:r>
      <w:r>
        <w:rPr>
          <w:i/>
          <w:spacing w:val="-6"/>
          <w:sz w:val="18"/>
        </w:rPr>
        <w:t xml:space="preserve"> </w:t>
      </w:r>
      <w:r>
        <w:rPr>
          <w:i/>
          <w:sz w:val="18"/>
        </w:rPr>
        <w:t>Plate</w:t>
      </w:r>
      <w:r>
        <w:rPr>
          <w:sz w:val="18"/>
        </w:rPr>
        <w:t>,</w:t>
      </w:r>
      <w:r>
        <w:rPr>
          <w:spacing w:val="-6"/>
          <w:sz w:val="18"/>
        </w:rPr>
        <w:t xml:space="preserve"> </w:t>
      </w:r>
      <w:r>
        <w:rPr>
          <w:sz w:val="18"/>
        </w:rPr>
        <w:t>para.</w:t>
      </w:r>
      <w:r>
        <w:rPr>
          <w:spacing w:val="-6"/>
          <w:sz w:val="18"/>
        </w:rPr>
        <w:t xml:space="preserve"> </w:t>
      </w:r>
      <w:r>
        <w:rPr>
          <w:sz w:val="18"/>
        </w:rPr>
        <w:t>7.58.</w:t>
      </w:r>
      <w:r>
        <w:rPr>
          <w:spacing w:val="-6"/>
          <w:sz w:val="18"/>
        </w:rPr>
        <w:t xml:space="preserve"> </w:t>
      </w:r>
      <w:r>
        <w:rPr>
          <w:sz w:val="18"/>
        </w:rPr>
        <w:t>The</w:t>
      </w:r>
      <w:r>
        <w:rPr>
          <w:spacing w:val="-6"/>
          <w:sz w:val="18"/>
        </w:rPr>
        <w:t xml:space="preserve"> </w:t>
      </w:r>
      <w:r>
        <w:rPr>
          <w:sz w:val="18"/>
        </w:rPr>
        <w:t>Panel</w:t>
      </w:r>
      <w:r>
        <w:rPr>
          <w:spacing w:val="-6"/>
          <w:sz w:val="18"/>
        </w:rPr>
        <w:t xml:space="preserve"> </w:t>
      </w:r>
      <w:r>
        <w:rPr>
          <w:sz w:val="18"/>
        </w:rPr>
        <w:t>explained</w:t>
      </w:r>
      <w:r>
        <w:rPr>
          <w:spacing w:val="-6"/>
          <w:sz w:val="18"/>
        </w:rPr>
        <w:t xml:space="preserve"> </w:t>
      </w:r>
      <w:r>
        <w:rPr>
          <w:sz w:val="18"/>
        </w:rPr>
        <w:t>that</w:t>
      </w:r>
      <w:r>
        <w:rPr>
          <w:spacing w:val="-6"/>
          <w:sz w:val="18"/>
        </w:rPr>
        <w:t xml:space="preserve"> </w:t>
      </w:r>
      <w:r>
        <w:rPr>
          <w:sz w:val="18"/>
        </w:rPr>
        <w:t>this</w:t>
      </w:r>
      <w:r>
        <w:rPr>
          <w:spacing w:val="-5"/>
          <w:sz w:val="18"/>
        </w:rPr>
        <w:t xml:space="preserve"> </w:t>
      </w:r>
      <w:r>
        <w:rPr>
          <w:sz w:val="18"/>
        </w:rPr>
        <w:t>does</w:t>
      </w:r>
      <w:r>
        <w:rPr>
          <w:spacing w:val="-6"/>
          <w:sz w:val="18"/>
        </w:rPr>
        <w:t xml:space="preserve"> </w:t>
      </w:r>
      <w:r>
        <w:rPr>
          <w:sz w:val="18"/>
        </w:rPr>
        <w:t>not</w:t>
      </w:r>
      <w:r>
        <w:rPr>
          <w:spacing w:val="-7"/>
          <w:sz w:val="18"/>
        </w:rPr>
        <w:t xml:space="preserve"> </w:t>
      </w:r>
      <w:r>
        <w:rPr>
          <w:sz w:val="18"/>
        </w:rPr>
        <w:t>mean</w:t>
      </w:r>
      <w:r>
        <w:rPr>
          <w:spacing w:val="-6"/>
          <w:sz w:val="18"/>
        </w:rPr>
        <w:t xml:space="preserve"> </w:t>
      </w:r>
      <w:r>
        <w:rPr>
          <w:sz w:val="18"/>
        </w:rPr>
        <w:t>that</w:t>
      </w:r>
      <w:r>
        <w:rPr>
          <w:spacing w:val="-6"/>
          <w:sz w:val="18"/>
        </w:rPr>
        <w:t xml:space="preserve"> </w:t>
      </w:r>
      <w:r>
        <w:rPr>
          <w:sz w:val="18"/>
        </w:rPr>
        <w:t>an</w:t>
      </w:r>
      <w:r>
        <w:rPr>
          <w:spacing w:val="-6"/>
          <w:sz w:val="18"/>
        </w:rPr>
        <w:t xml:space="preserve"> </w:t>
      </w:r>
      <w:r>
        <w:rPr>
          <w:sz w:val="18"/>
        </w:rPr>
        <w:t>investigating</w:t>
      </w:r>
      <w:r>
        <w:rPr>
          <w:spacing w:val="-4"/>
          <w:sz w:val="18"/>
        </w:rPr>
        <w:t xml:space="preserve"> </w:t>
      </w:r>
      <w:r>
        <w:rPr>
          <w:sz w:val="18"/>
        </w:rPr>
        <w:t>authority</w:t>
      </w:r>
      <w:r>
        <w:rPr>
          <w:spacing w:val="-6"/>
          <w:sz w:val="18"/>
        </w:rPr>
        <w:t xml:space="preserve"> </w:t>
      </w:r>
      <w:r>
        <w:rPr>
          <w:sz w:val="18"/>
        </w:rPr>
        <w:t>must scrutinise each piece of information submitted to establish whether it satisfied the criteria of paragraph 3.</w:t>
      </w:r>
    </w:p>
    <w:p w14:paraId="51DE7D40" w14:textId="77777777" w:rsidR="0010369C" w:rsidRDefault="008E43AE">
      <w:pPr>
        <w:ind w:left="237" w:right="614"/>
        <w:rPr>
          <w:sz w:val="18"/>
        </w:rPr>
      </w:pPr>
      <w:r>
        <w:rPr>
          <w:sz w:val="18"/>
          <w:vertAlign w:val="superscript"/>
        </w:rPr>
        <w:t>60</w:t>
      </w:r>
      <w:r>
        <w:rPr>
          <w:spacing w:val="22"/>
          <w:sz w:val="18"/>
        </w:rPr>
        <w:t xml:space="preserve"> </w:t>
      </w:r>
      <w:r>
        <w:rPr>
          <w:sz w:val="18"/>
        </w:rPr>
        <w:t>Australia</w:t>
      </w:r>
      <w:r>
        <w:rPr>
          <w:spacing w:val="22"/>
          <w:sz w:val="18"/>
        </w:rPr>
        <w:t xml:space="preserve"> </w:t>
      </w:r>
      <w:r>
        <w:rPr>
          <w:sz w:val="18"/>
        </w:rPr>
        <w:t>recalls</w:t>
      </w:r>
      <w:r>
        <w:rPr>
          <w:spacing w:val="22"/>
          <w:sz w:val="18"/>
        </w:rPr>
        <w:t xml:space="preserve"> </w:t>
      </w:r>
      <w:r>
        <w:rPr>
          <w:sz w:val="18"/>
        </w:rPr>
        <w:t>that</w:t>
      </w:r>
      <w:r>
        <w:rPr>
          <w:spacing w:val="21"/>
          <w:sz w:val="18"/>
        </w:rPr>
        <w:t xml:space="preserve"> </w:t>
      </w:r>
      <w:r>
        <w:rPr>
          <w:sz w:val="18"/>
        </w:rPr>
        <w:t>what</w:t>
      </w:r>
      <w:r>
        <w:rPr>
          <w:spacing w:val="21"/>
          <w:sz w:val="18"/>
        </w:rPr>
        <w:t xml:space="preserve"> </w:t>
      </w:r>
      <w:r>
        <w:rPr>
          <w:sz w:val="18"/>
        </w:rPr>
        <w:t>constitutes</w:t>
      </w:r>
      <w:r>
        <w:rPr>
          <w:spacing w:val="22"/>
          <w:sz w:val="18"/>
        </w:rPr>
        <w:t xml:space="preserve"> </w:t>
      </w:r>
      <w:r>
        <w:rPr>
          <w:sz w:val="18"/>
        </w:rPr>
        <w:t>"necessary</w:t>
      </w:r>
      <w:r>
        <w:rPr>
          <w:spacing w:val="22"/>
          <w:sz w:val="18"/>
        </w:rPr>
        <w:t xml:space="preserve"> </w:t>
      </w:r>
      <w:r>
        <w:rPr>
          <w:sz w:val="18"/>
        </w:rPr>
        <w:t>information"</w:t>
      </w:r>
      <w:r>
        <w:rPr>
          <w:spacing w:val="23"/>
          <w:sz w:val="18"/>
        </w:rPr>
        <w:t xml:space="preserve"> </w:t>
      </w:r>
      <w:r>
        <w:rPr>
          <w:sz w:val="18"/>
        </w:rPr>
        <w:t>must</w:t>
      </w:r>
      <w:r>
        <w:rPr>
          <w:spacing w:val="21"/>
          <w:sz w:val="18"/>
        </w:rPr>
        <w:t xml:space="preserve"> </w:t>
      </w:r>
      <w:r>
        <w:rPr>
          <w:sz w:val="18"/>
        </w:rPr>
        <w:t>be</w:t>
      </w:r>
      <w:r>
        <w:rPr>
          <w:spacing w:val="22"/>
          <w:sz w:val="18"/>
        </w:rPr>
        <w:t xml:space="preserve"> </w:t>
      </w:r>
      <w:r>
        <w:rPr>
          <w:sz w:val="18"/>
        </w:rPr>
        <w:t>considered</w:t>
      </w:r>
      <w:r>
        <w:rPr>
          <w:spacing w:val="22"/>
          <w:sz w:val="18"/>
        </w:rPr>
        <w:t xml:space="preserve"> </w:t>
      </w:r>
      <w:r>
        <w:rPr>
          <w:sz w:val="18"/>
        </w:rPr>
        <w:t>with</w:t>
      </w:r>
      <w:r>
        <w:rPr>
          <w:spacing w:val="22"/>
          <w:sz w:val="18"/>
        </w:rPr>
        <w:t xml:space="preserve"> </w:t>
      </w:r>
      <w:r>
        <w:rPr>
          <w:sz w:val="18"/>
        </w:rPr>
        <w:t>reference</w:t>
      </w:r>
      <w:r>
        <w:rPr>
          <w:spacing w:val="22"/>
          <w:sz w:val="18"/>
        </w:rPr>
        <w:t xml:space="preserve"> </w:t>
      </w:r>
      <w:r>
        <w:rPr>
          <w:sz w:val="18"/>
        </w:rPr>
        <w:t>to</w:t>
      </w:r>
      <w:r>
        <w:rPr>
          <w:spacing w:val="22"/>
          <w:sz w:val="18"/>
        </w:rPr>
        <w:t xml:space="preserve"> </w:t>
      </w:r>
      <w:r>
        <w:rPr>
          <w:sz w:val="18"/>
        </w:rPr>
        <w:t>the</w:t>
      </w:r>
      <w:r>
        <w:rPr>
          <w:spacing w:val="22"/>
          <w:sz w:val="18"/>
        </w:rPr>
        <w:t xml:space="preserve"> </w:t>
      </w:r>
      <w:r>
        <w:rPr>
          <w:sz w:val="18"/>
        </w:rPr>
        <w:t>substantive provisions of the Ant</w:t>
      </w:r>
      <w:r>
        <w:rPr>
          <w:sz w:val="18"/>
        </w:rPr>
        <w:t>i‐Dumping Agreement to which the determination at issue relates. See above, section II.B(b)(i).</w:t>
      </w:r>
    </w:p>
    <w:p w14:paraId="51DE7D41" w14:textId="77777777" w:rsidR="0010369C" w:rsidRDefault="008E43AE">
      <w:pPr>
        <w:spacing w:line="219" w:lineRule="exact"/>
        <w:ind w:left="238"/>
        <w:rPr>
          <w:sz w:val="18"/>
        </w:rPr>
      </w:pPr>
      <w:r>
        <w:rPr>
          <w:sz w:val="18"/>
          <w:vertAlign w:val="superscript"/>
        </w:rPr>
        <w:t>61</w:t>
      </w:r>
      <w:r>
        <w:rPr>
          <w:spacing w:val="-5"/>
          <w:sz w:val="18"/>
        </w:rPr>
        <w:t xml:space="preserve"> </w:t>
      </w:r>
      <w:r>
        <w:rPr>
          <w:sz w:val="18"/>
        </w:rPr>
        <w:t>Panel</w:t>
      </w:r>
      <w:r>
        <w:rPr>
          <w:spacing w:val="-6"/>
          <w:sz w:val="18"/>
        </w:rPr>
        <w:t xml:space="preserve"> </w:t>
      </w:r>
      <w:r>
        <w:rPr>
          <w:sz w:val="18"/>
        </w:rPr>
        <w:t>Report,</w:t>
      </w:r>
      <w:r>
        <w:rPr>
          <w:spacing w:val="-5"/>
          <w:sz w:val="18"/>
        </w:rPr>
        <w:t xml:space="preserve"> </w:t>
      </w:r>
      <w:r>
        <w:rPr>
          <w:i/>
          <w:sz w:val="18"/>
        </w:rPr>
        <w:t>China</w:t>
      </w:r>
      <w:r>
        <w:rPr>
          <w:i/>
          <w:spacing w:val="-5"/>
          <w:sz w:val="18"/>
        </w:rPr>
        <w:t xml:space="preserve"> </w:t>
      </w:r>
      <w:r>
        <w:rPr>
          <w:i/>
          <w:sz w:val="18"/>
        </w:rPr>
        <w:t>–</w:t>
      </w:r>
      <w:r>
        <w:rPr>
          <w:i/>
          <w:spacing w:val="-5"/>
          <w:sz w:val="18"/>
        </w:rPr>
        <w:t xml:space="preserve"> </w:t>
      </w:r>
      <w:r>
        <w:rPr>
          <w:i/>
          <w:sz w:val="18"/>
        </w:rPr>
        <w:t>Broiler</w:t>
      </w:r>
      <w:r>
        <w:rPr>
          <w:i/>
          <w:spacing w:val="-6"/>
          <w:sz w:val="18"/>
        </w:rPr>
        <w:t xml:space="preserve"> </w:t>
      </w:r>
      <w:r>
        <w:rPr>
          <w:i/>
          <w:sz w:val="18"/>
        </w:rPr>
        <w:t>Products</w:t>
      </w:r>
      <w:r>
        <w:rPr>
          <w:i/>
          <w:spacing w:val="-6"/>
          <w:sz w:val="18"/>
        </w:rPr>
        <w:t xml:space="preserve"> </w:t>
      </w:r>
      <w:r>
        <w:rPr>
          <w:i/>
          <w:sz w:val="18"/>
        </w:rPr>
        <w:t>(Article</w:t>
      </w:r>
      <w:r>
        <w:rPr>
          <w:i/>
          <w:spacing w:val="-5"/>
          <w:sz w:val="18"/>
        </w:rPr>
        <w:t xml:space="preserve"> </w:t>
      </w:r>
      <w:r>
        <w:rPr>
          <w:i/>
          <w:sz w:val="18"/>
        </w:rPr>
        <w:t>21.5</w:t>
      </w:r>
      <w:r>
        <w:rPr>
          <w:i/>
          <w:spacing w:val="-4"/>
          <w:sz w:val="18"/>
        </w:rPr>
        <w:t xml:space="preserve"> </w:t>
      </w:r>
      <w:r>
        <w:rPr>
          <w:i/>
          <w:sz w:val="18"/>
        </w:rPr>
        <w:t>‐</w:t>
      </w:r>
      <w:r>
        <w:rPr>
          <w:i/>
          <w:spacing w:val="-5"/>
          <w:sz w:val="18"/>
        </w:rPr>
        <w:t xml:space="preserve"> </w:t>
      </w:r>
      <w:r>
        <w:rPr>
          <w:i/>
          <w:sz w:val="18"/>
        </w:rPr>
        <w:t>US)</w:t>
      </w:r>
      <w:r>
        <w:rPr>
          <w:sz w:val="18"/>
        </w:rPr>
        <w:t>,</w:t>
      </w:r>
      <w:r>
        <w:rPr>
          <w:spacing w:val="-6"/>
          <w:sz w:val="18"/>
        </w:rPr>
        <w:t xml:space="preserve"> </w:t>
      </w:r>
      <w:r>
        <w:rPr>
          <w:sz w:val="18"/>
        </w:rPr>
        <w:t>para.</w:t>
      </w:r>
      <w:r>
        <w:rPr>
          <w:spacing w:val="-5"/>
          <w:sz w:val="18"/>
        </w:rPr>
        <w:t xml:space="preserve"> </w:t>
      </w:r>
      <w:r>
        <w:rPr>
          <w:spacing w:val="-2"/>
          <w:sz w:val="18"/>
        </w:rPr>
        <w:t>7.343.</w:t>
      </w:r>
    </w:p>
    <w:p w14:paraId="51DE7D42" w14:textId="77777777" w:rsidR="0010369C" w:rsidRDefault="008E43AE">
      <w:pPr>
        <w:spacing w:before="1"/>
        <w:ind w:left="238"/>
        <w:rPr>
          <w:sz w:val="18"/>
        </w:rPr>
      </w:pPr>
      <w:r>
        <w:rPr>
          <w:sz w:val="18"/>
          <w:vertAlign w:val="superscript"/>
        </w:rPr>
        <w:t>62</w:t>
      </w:r>
      <w:r>
        <w:rPr>
          <w:spacing w:val="-6"/>
          <w:sz w:val="18"/>
        </w:rPr>
        <w:t xml:space="preserve"> </w:t>
      </w:r>
      <w:r>
        <w:rPr>
          <w:sz w:val="18"/>
        </w:rPr>
        <w:t>Panel</w:t>
      </w:r>
      <w:r>
        <w:rPr>
          <w:spacing w:val="-7"/>
          <w:sz w:val="18"/>
        </w:rPr>
        <w:t xml:space="preserve"> </w:t>
      </w:r>
      <w:r>
        <w:rPr>
          <w:sz w:val="18"/>
        </w:rPr>
        <w:t>Report,</w:t>
      </w:r>
      <w:r>
        <w:rPr>
          <w:spacing w:val="-6"/>
          <w:sz w:val="18"/>
        </w:rPr>
        <w:t xml:space="preserve"> </w:t>
      </w:r>
      <w:r>
        <w:rPr>
          <w:i/>
          <w:sz w:val="18"/>
        </w:rPr>
        <w:t>China</w:t>
      </w:r>
      <w:r>
        <w:rPr>
          <w:i/>
          <w:spacing w:val="-6"/>
          <w:sz w:val="18"/>
        </w:rPr>
        <w:t xml:space="preserve"> </w:t>
      </w:r>
      <w:r>
        <w:rPr>
          <w:i/>
          <w:sz w:val="18"/>
        </w:rPr>
        <w:t>–</w:t>
      </w:r>
      <w:r>
        <w:rPr>
          <w:i/>
          <w:spacing w:val="-5"/>
          <w:sz w:val="18"/>
        </w:rPr>
        <w:t xml:space="preserve"> </w:t>
      </w:r>
      <w:r>
        <w:rPr>
          <w:i/>
          <w:sz w:val="18"/>
        </w:rPr>
        <w:t>Broiler</w:t>
      </w:r>
      <w:r>
        <w:rPr>
          <w:i/>
          <w:spacing w:val="-7"/>
          <w:sz w:val="18"/>
        </w:rPr>
        <w:t xml:space="preserve"> </w:t>
      </w:r>
      <w:r>
        <w:rPr>
          <w:i/>
          <w:sz w:val="18"/>
        </w:rPr>
        <w:t>Products</w:t>
      </w:r>
      <w:r>
        <w:rPr>
          <w:i/>
          <w:spacing w:val="-7"/>
          <w:sz w:val="18"/>
        </w:rPr>
        <w:t xml:space="preserve"> </w:t>
      </w:r>
      <w:r>
        <w:rPr>
          <w:i/>
          <w:sz w:val="18"/>
        </w:rPr>
        <w:t>(Article</w:t>
      </w:r>
      <w:r>
        <w:rPr>
          <w:i/>
          <w:spacing w:val="-6"/>
          <w:sz w:val="18"/>
        </w:rPr>
        <w:t xml:space="preserve"> </w:t>
      </w:r>
      <w:r>
        <w:rPr>
          <w:i/>
          <w:sz w:val="18"/>
        </w:rPr>
        <w:t>21.5</w:t>
      </w:r>
      <w:r>
        <w:rPr>
          <w:i/>
          <w:spacing w:val="-5"/>
          <w:sz w:val="18"/>
        </w:rPr>
        <w:t xml:space="preserve"> </w:t>
      </w:r>
      <w:r>
        <w:rPr>
          <w:i/>
          <w:sz w:val="18"/>
        </w:rPr>
        <w:t>‐</w:t>
      </w:r>
      <w:r>
        <w:rPr>
          <w:i/>
          <w:spacing w:val="-6"/>
          <w:sz w:val="18"/>
        </w:rPr>
        <w:t xml:space="preserve"> </w:t>
      </w:r>
      <w:r>
        <w:rPr>
          <w:i/>
          <w:sz w:val="18"/>
        </w:rPr>
        <w:t>US)</w:t>
      </w:r>
      <w:r>
        <w:rPr>
          <w:sz w:val="18"/>
        </w:rPr>
        <w:t>,</w:t>
      </w:r>
      <w:r>
        <w:rPr>
          <w:spacing w:val="-7"/>
          <w:sz w:val="18"/>
        </w:rPr>
        <w:t xml:space="preserve"> </w:t>
      </w:r>
      <w:r>
        <w:rPr>
          <w:sz w:val="18"/>
        </w:rPr>
        <w:t>para.</w:t>
      </w:r>
      <w:r>
        <w:rPr>
          <w:spacing w:val="-6"/>
          <w:sz w:val="18"/>
        </w:rPr>
        <w:t xml:space="preserve"> </w:t>
      </w:r>
      <w:r>
        <w:rPr>
          <w:sz w:val="18"/>
        </w:rPr>
        <w:t>7.343</w:t>
      </w:r>
      <w:r>
        <w:rPr>
          <w:spacing w:val="-5"/>
          <w:sz w:val="18"/>
        </w:rPr>
        <w:t xml:space="preserve"> </w:t>
      </w:r>
      <w:r>
        <w:rPr>
          <w:sz w:val="18"/>
        </w:rPr>
        <w:t>(emphasis</w:t>
      </w:r>
      <w:r>
        <w:rPr>
          <w:spacing w:val="-7"/>
          <w:sz w:val="18"/>
        </w:rPr>
        <w:t xml:space="preserve"> </w:t>
      </w:r>
      <w:r>
        <w:rPr>
          <w:sz w:val="18"/>
        </w:rPr>
        <w:t>original,</w:t>
      </w:r>
      <w:r>
        <w:rPr>
          <w:spacing w:val="-6"/>
          <w:sz w:val="18"/>
        </w:rPr>
        <w:t xml:space="preserve"> </w:t>
      </w:r>
      <w:r>
        <w:rPr>
          <w:sz w:val="18"/>
        </w:rPr>
        <w:t>footnotes</w:t>
      </w:r>
      <w:r>
        <w:rPr>
          <w:spacing w:val="-6"/>
          <w:sz w:val="18"/>
        </w:rPr>
        <w:t xml:space="preserve"> </w:t>
      </w:r>
      <w:r>
        <w:rPr>
          <w:spacing w:val="-2"/>
          <w:sz w:val="18"/>
        </w:rPr>
        <w:t>omitted).</w:t>
      </w:r>
    </w:p>
    <w:p w14:paraId="51DE7D43" w14:textId="77777777" w:rsidR="0010369C" w:rsidRDefault="008E43AE">
      <w:pPr>
        <w:ind w:left="238"/>
        <w:rPr>
          <w:sz w:val="18"/>
        </w:rPr>
      </w:pPr>
      <w:r>
        <w:rPr>
          <w:sz w:val="18"/>
          <w:vertAlign w:val="superscript"/>
        </w:rPr>
        <w:t>63</w:t>
      </w:r>
      <w:r>
        <w:rPr>
          <w:spacing w:val="-5"/>
          <w:sz w:val="18"/>
        </w:rPr>
        <w:t xml:space="preserve"> </w:t>
      </w:r>
      <w:r>
        <w:rPr>
          <w:sz w:val="18"/>
        </w:rPr>
        <w:t>Panel</w:t>
      </w:r>
      <w:r>
        <w:rPr>
          <w:spacing w:val="-5"/>
          <w:sz w:val="18"/>
        </w:rPr>
        <w:t xml:space="preserve"> </w:t>
      </w:r>
      <w:r>
        <w:rPr>
          <w:sz w:val="18"/>
        </w:rPr>
        <w:t>Report,</w:t>
      </w:r>
      <w:r>
        <w:rPr>
          <w:spacing w:val="-4"/>
          <w:sz w:val="18"/>
        </w:rPr>
        <w:t xml:space="preserve"> </w:t>
      </w:r>
      <w:r>
        <w:rPr>
          <w:i/>
          <w:sz w:val="18"/>
        </w:rPr>
        <w:t>US</w:t>
      </w:r>
      <w:r>
        <w:rPr>
          <w:i/>
          <w:spacing w:val="-4"/>
          <w:sz w:val="18"/>
        </w:rPr>
        <w:t xml:space="preserve"> </w:t>
      </w:r>
      <w:r>
        <w:rPr>
          <w:i/>
          <w:sz w:val="18"/>
        </w:rPr>
        <w:t>–</w:t>
      </w:r>
      <w:r>
        <w:rPr>
          <w:i/>
          <w:spacing w:val="-4"/>
          <w:sz w:val="18"/>
        </w:rPr>
        <w:t xml:space="preserve"> </w:t>
      </w:r>
      <w:r>
        <w:rPr>
          <w:i/>
          <w:sz w:val="18"/>
        </w:rPr>
        <w:t>Steel</w:t>
      </w:r>
      <w:r>
        <w:rPr>
          <w:i/>
          <w:spacing w:val="-6"/>
          <w:sz w:val="18"/>
        </w:rPr>
        <w:t xml:space="preserve"> </w:t>
      </w:r>
      <w:r>
        <w:rPr>
          <w:i/>
          <w:sz w:val="18"/>
        </w:rPr>
        <w:t>Plate</w:t>
      </w:r>
      <w:r>
        <w:rPr>
          <w:sz w:val="18"/>
        </w:rPr>
        <w:t>,</w:t>
      </w:r>
      <w:r>
        <w:rPr>
          <w:spacing w:val="-5"/>
          <w:sz w:val="18"/>
        </w:rPr>
        <w:t xml:space="preserve"> </w:t>
      </w:r>
      <w:r>
        <w:rPr>
          <w:sz w:val="18"/>
        </w:rPr>
        <w:t>para.</w:t>
      </w:r>
      <w:r>
        <w:rPr>
          <w:spacing w:val="-5"/>
          <w:sz w:val="18"/>
        </w:rPr>
        <w:t xml:space="preserve"> </w:t>
      </w:r>
      <w:r>
        <w:rPr>
          <w:spacing w:val="-2"/>
          <w:sz w:val="18"/>
        </w:rPr>
        <w:t>7.57.</w:t>
      </w:r>
    </w:p>
    <w:p w14:paraId="51DE7D44" w14:textId="77777777" w:rsidR="0010369C" w:rsidRDefault="008E43AE">
      <w:pPr>
        <w:ind w:left="238"/>
        <w:rPr>
          <w:sz w:val="18"/>
        </w:rPr>
      </w:pPr>
      <w:r>
        <w:rPr>
          <w:sz w:val="18"/>
          <w:vertAlign w:val="superscript"/>
        </w:rPr>
        <w:lastRenderedPageBreak/>
        <w:t>64</w:t>
      </w:r>
      <w:r>
        <w:rPr>
          <w:spacing w:val="-5"/>
          <w:sz w:val="18"/>
        </w:rPr>
        <w:t xml:space="preserve"> </w:t>
      </w:r>
      <w:r>
        <w:rPr>
          <w:sz w:val="18"/>
        </w:rPr>
        <w:t>Panel</w:t>
      </w:r>
      <w:r>
        <w:rPr>
          <w:spacing w:val="-5"/>
          <w:sz w:val="18"/>
        </w:rPr>
        <w:t xml:space="preserve"> </w:t>
      </w:r>
      <w:r>
        <w:rPr>
          <w:sz w:val="18"/>
        </w:rPr>
        <w:t>Report,</w:t>
      </w:r>
      <w:r>
        <w:rPr>
          <w:spacing w:val="-4"/>
          <w:sz w:val="18"/>
        </w:rPr>
        <w:t xml:space="preserve"> </w:t>
      </w:r>
      <w:r>
        <w:rPr>
          <w:i/>
          <w:sz w:val="18"/>
        </w:rPr>
        <w:t>US</w:t>
      </w:r>
      <w:r>
        <w:rPr>
          <w:i/>
          <w:spacing w:val="-4"/>
          <w:sz w:val="18"/>
        </w:rPr>
        <w:t xml:space="preserve"> </w:t>
      </w:r>
      <w:r>
        <w:rPr>
          <w:i/>
          <w:sz w:val="18"/>
        </w:rPr>
        <w:t>–</w:t>
      </w:r>
      <w:r>
        <w:rPr>
          <w:i/>
          <w:spacing w:val="-4"/>
          <w:sz w:val="18"/>
        </w:rPr>
        <w:t xml:space="preserve"> </w:t>
      </w:r>
      <w:r>
        <w:rPr>
          <w:i/>
          <w:sz w:val="18"/>
        </w:rPr>
        <w:t>Steel</w:t>
      </w:r>
      <w:r>
        <w:rPr>
          <w:i/>
          <w:spacing w:val="-6"/>
          <w:sz w:val="18"/>
        </w:rPr>
        <w:t xml:space="preserve"> </w:t>
      </w:r>
      <w:r>
        <w:rPr>
          <w:i/>
          <w:sz w:val="18"/>
        </w:rPr>
        <w:t>Plate</w:t>
      </w:r>
      <w:r>
        <w:rPr>
          <w:sz w:val="18"/>
        </w:rPr>
        <w:t>,</w:t>
      </w:r>
      <w:r>
        <w:rPr>
          <w:spacing w:val="-5"/>
          <w:sz w:val="18"/>
        </w:rPr>
        <w:t xml:space="preserve"> </w:t>
      </w:r>
      <w:r>
        <w:rPr>
          <w:sz w:val="18"/>
        </w:rPr>
        <w:t>para.</w:t>
      </w:r>
      <w:r>
        <w:rPr>
          <w:spacing w:val="-5"/>
          <w:sz w:val="18"/>
        </w:rPr>
        <w:t xml:space="preserve"> </w:t>
      </w:r>
      <w:r>
        <w:rPr>
          <w:spacing w:val="-2"/>
          <w:sz w:val="18"/>
        </w:rPr>
        <w:t>7.65.</w:t>
      </w:r>
    </w:p>
    <w:p w14:paraId="51DE7D45" w14:textId="77777777" w:rsidR="0010369C" w:rsidRDefault="008E43AE">
      <w:pPr>
        <w:ind w:left="238"/>
        <w:rPr>
          <w:sz w:val="18"/>
        </w:rPr>
      </w:pPr>
      <w:r>
        <w:rPr>
          <w:spacing w:val="-2"/>
          <w:sz w:val="18"/>
          <w:vertAlign w:val="superscript"/>
        </w:rPr>
        <w:t>65</w:t>
      </w:r>
      <w:r>
        <w:rPr>
          <w:spacing w:val="4"/>
          <w:sz w:val="18"/>
        </w:rPr>
        <w:t xml:space="preserve"> </w:t>
      </w:r>
      <w:r>
        <w:rPr>
          <w:spacing w:val="-2"/>
          <w:sz w:val="18"/>
        </w:rPr>
        <w:t>Oxford</w:t>
      </w:r>
      <w:r>
        <w:rPr>
          <w:spacing w:val="5"/>
          <w:sz w:val="18"/>
        </w:rPr>
        <w:t xml:space="preserve"> </w:t>
      </w:r>
      <w:r>
        <w:rPr>
          <w:spacing w:val="-2"/>
          <w:sz w:val="18"/>
        </w:rPr>
        <w:t>English</w:t>
      </w:r>
      <w:r>
        <w:rPr>
          <w:spacing w:val="5"/>
          <w:sz w:val="18"/>
        </w:rPr>
        <w:t xml:space="preserve"> </w:t>
      </w:r>
      <w:r>
        <w:rPr>
          <w:spacing w:val="-2"/>
          <w:sz w:val="18"/>
        </w:rPr>
        <w:t>Dictionary</w:t>
      </w:r>
      <w:r>
        <w:rPr>
          <w:spacing w:val="6"/>
          <w:sz w:val="18"/>
        </w:rPr>
        <w:t xml:space="preserve"> </w:t>
      </w:r>
      <w:r>
        <w:rPr>
          <w:spacing w:val="-2"/>
          <w:sz w:val="18"/>
        </w:rPr>
        <w:t>online,</w:t>
      </w:r>
      <w:r>
        <w:rPr>
          <w:spacing w:val="4"/>
          <w:sz w:val="18"/>
        </w:rPr>
        <w:t xml:space="preserve"> </w:t>
      </w:r>
      <w:r>
        <w:rPr>
          <w:spacing w:val="-2"/>
          <w:sz w:val="18"/>
        </w:rPr>
        <w:t>definition</w:t>
      </w:r>
      <w:r>
        <w:rPr>
          <w:spacing w:val="5"/>
          <w:sz w:val="18"/>
        </w:rPr>
        <w:t xml:space="preserve"> </w:t>
      </w:r>
      <w:r>
        <w:rPr>
          <w:spacing w:val="-2"/>
          <w:sz w:val="18"/>
        </w:rPr>
        <w:t>of</w:t>
      </w:r>
      <w:r>
        <w:rPr>
          <w:spacing w:val="5"/>
          <w:sz w:val="18"/>
        </w:rPr>
        <w:t xml:space="preserve"> </w:t>
      </w:r>
      <w:r>
        <w:rPr>
          <w:spacing w:val="-2"/>
          <w:sz w:val="18"/>
        </w:rPr>
        <w:t>"best",</w:t>
      </w:r>
      <w:r>
        <w:rPr>
          <w:spacing w:val="3"/>
          <w:sz w:val="18"/>
        </w:rPr>
        <w:t xml:space="preserve"> </w:t>
      </w:r>
      <w:hyperlink r:id="rId141">
        <w:r>
          <w:rPr>
            <w:spacing w:val="-2"/>
            <w:sz w:val="18"/>
          </w:rPr>
          <w:t>https://www.oed.com/view/Entry/18180</w:t>
        </w:r>
        <w:r>
          <w:rPr>
            <w:spacing w:val="7"/>
            <w:sz w:val="18"/>
          </w:rPr>
          <w:t xml:space="preserve"> </w:t>
        </w:r>
      </w:hyperlink>
      <w:r>
        <w:rPr>
          <w:spacing w:val="-2"/>
          <w:sz w:val="18"/>
        </w:rPr>
        <w:t>(accessed</w:t>
      </w:r>
      <w:r>
        <w:rPr>
          <w:spacing w:val="5"/>
          <w:sz w:val="18"/>
        </w:rPr>
        <w:t xml:space="preserve"> </w:t>
      </w:r>
      <w:r>
        <w:rPr>
          <w:spacing w:val="-2"/>
          <w:sz w:val="18"/>
        </w:rPr>
        <w:t>28</w:t>
      </w:r>
      <w:r>
        <w:rPr>
          <w:spacing w:val="5"/>
          <w:sz w:val="18"/>
        </w:rPr>
        <w:t xml:space="preserve"> </w:t>
      </w:r>
      <w:r>
        <w:rPr>
          <w:spacing w:val="-2"/>
          <w:sz w:val="18"/>
        </w:rPr>
        <w:t>April</w:t>
      </w:r>
      <w:r>
        <w:rPr>
          <w:spacing w:val="3"/>
          <w:sz w:val="18"/>
        </w:rPr>
        <w:t xml:space="preserve"> </w:t>
      </w:r>
      <w:r>
        <w:rPr>
          <w:spacing w:val="-2"/>
          <w:sz w:val="18"/>
        </w:rPr>
        <w:t>2022).</w:t>
      </w:r>
    </w:p>
    <w:p w14:paraId="51DE7D46" w14:textId="77777777" w:rsidR="0010369C" w:rsidRDefault="0010369C">
      <w:pPr>
        <w:rPr>
          <w:sz w:val="18"/>
        </w:rPr>
        <w:sectPr w:rsidR="0010369C">
          <w:pgSz w:w="11910" w:h="16840"/>
          <w:pgMar w:top="880" w:right="800" w:bottom="980" w:left="1180" w:header="569" w:footer="788" w:gutter="0"/>
          <w:cols w:space="720"/>
        </w:sectPr>
      </w:pPr>
    </w:p>
    <w:p w14:paraId="51DE7D47" w14:textId="77777777" w:rsidR="0010369C" w:rsidRDefault="008E43AE">
      <w:pPr>
        <w:tabs>
          <w:tab w:val="left" w:pos="6426"/>
        </w:tabs>
        <w:ind w:left="238"/>
        <w:jc w:val="both"/>
        <w:rPr>
          <w:sz w:val="20"/>
        </w:rPr>
      </w:pPr>
      <w:r>
        <w:rPr>
          <w:i/>
          <w:sz w:val="20"/>
        </w:rPr>
        <w:lastRenderedPageBreak/>
        <w:t>China</w:t>
      </w:r>
      <w:r>
        <w:rPr>
          <w:i/>
          <w:spacing w:val="-5"/>
          <w:sz w:val="20"/>
        </w:rPr>
        <w:t xml:space="preserve"> </w:t>
      </w:r>
      <w:r>
        <w:rPr>
          <w:i/>
          <w:sz w:val="20"/>
        </w:rPr>
        <w:t>–</w:t>
      </w:r>
      <w:r>
        <w:rPr>
          <w:i/>
          <w:spacing w:val="-5"/>
          <w:sz w:val="20"/>
        </w:rPr>
        <w:t xml:space="preserve"> </w:t>
      </w:r>
      <w:r>
        <w:rPr>
          <w:i/>
          <w:sz w:val="20"/>
        </w:rPr>
        <w:t>Anti‐Dumping</w:t>
      </w:r>
      <w:r>
        <w:rPr>
          <w:i/>
          <w:spacing w:val="-4"/>
          <w:sz w:val="20"/>
        </w:rPr>
        <w:t xml:space="preserve"> </w:t>
      </w:r>
      <w:r>
        <w:rPr>
          <w:i/>
          <w:sz w:val="20"/>
        </w:rPr>
        <w:t>and</w:t>
      </w:r>
      <w:r>
        <w:rPr>
          <w:i/>
          <w:spacing w:val="-5"/>
          <w:sz w:val="20"/>
        </w:rPr>
        <w:t xml:space="preserve"> </w:t>
      </w:r>
      <w:r>
        <w:rPr>
          <w:i/>
          <w:sz w:val="20"/>
        </w:rPr>
        <w:t>Countervailing</w:t>
      </w:r>
      <w:r>
        <w:rPr>
          <w:i/>
          <w:spacing w:val="-5"/>
          <w:sz w:val="20"/>
        </w:rPr>
        <w:t xml:space="preserve"> </w:t>
      </w:r>
      <w:r>
        <w:rPr>
          <w:i/>
          <w:sz w:val="20"/>
        </w:rPr>
        <w:t>Duty</w:t>
      </w:r>
      <w:r>
        <w:rPr>
          <w:i/>
          <w:spacing w:val="-4"/>
          <w:sz w:val="20"/>
        </w:rPr>
        <w:t xml:space="preserve"> </w:t>
      </w:r>
      <w:r>
        <w:rPr>
          <w:i/>
          <w:spacing w:val="-2"/>
          <w:sz w:val="20"/>
        </w:rPr>
        <w:t>Measures</w:t>
      </w:r>
      <w:r>
        <w:rPr>
          <w:i/>
          <w:sz w:val="20"/>
        </w:rPr>
        <w:tab/>
      </w:r>
      <w:r>
        <w:rPr>
          <w:sz w:val="20"/>
        </w:rPr>
        <w:t>Australia's</w:t>
      </w:r>
      <w:r>
        <w:rPr>
          <w:spacing w:val="-7"/>
          <w:sz w:val="20"/>
        </w:rPr>
        <w:t xml:space="preserve"> </w:t>
      </w:r>
      <w:r>
        <w:rPr>
          <w:sz w:val="20"/>
        </w:rPr>
        <w:t>First</w:t>
      </w:r>
      <w:r>
        <w:rPr>
          <w:spacing w:val="-2"/>
          <w:sz w:val="20"/>
        </w:rPr>
        <w:t xml:space="preserve"> </w:t>
      </w:r>
      <w:r>
        <w:rPr>
          <w:sz w:val="20"/>
        </w:rPr>
        <w:t>Written</w:t>
      </w:r>
      <w:r>
        <w:rPr>
          <w:spacing w:val="-2"/>
          <w:sz w:val="20"/>
        </w:rPr>
        <w:t xml:space="preserve"> Submission</w:t>
      </w:r>
    </w:p>
    <w:p w14:paraId="51DE7D48" w14:textId="77777777" w:rsidR="0010369C" w:rsidRDefault="008E43AE">
      <w:pPr>
        <w:tabs>
          <w:tab w:val="left" w:pos="8228"/>
        </w:tabs>
        <w:spacing w:before="1"/>
        <w:ind w:left="239"/>
        <w:jc w:val="both"/>
        <w:rPr>
          <w:sz w:val="20"/>
        </w:rPr>
      </w:pPr>
      <w:r>
        <w:rPr>
          <w:i/>
          <w:sz w:val="20"/>
        </w:rPr>
        <w:t>on</w:t>
      </w:r>
      <w:r>
        <w:rPr>
          <w:i/>
          <w:spacing w:val="-1"/>
          <w:sz w:val="20"/>
        </w:rPr>
        <w:t xml:space="preserve"> </w:t>
      </w:r>
      <w:r>
        <w:rPr>
          <w:i/>
          <w:sz w:val="20"/>
        </w:rPr>
        <w:t>Wine</w:t>
      </w:r>
      <w:r>
        <w:rPr>
          <w:i/>
          <w:spacing w:val="-1"/>
          <w:sz w:val="20"/>
        </w:rPr>
        <w:t xml:space="preserve"> </w:t>
      </w:r>
      <w:r>
        <w:rPr>
          <w:i/>
          <w:sz w:val="20"/>
        </w:rPr>
        <w:t>from</w:t>
      </w:r>
      <w:r>
        <w:rPr>
          <w:i/>
          <w:spacing w:val="-3"/>
          <w:sz w:val="20"/>
        </w:rPr>
        <w:t xml:space="preserve"> </w:t>
      </w:r>
      <w:r>
        <w:rPr>
          <w:i/>
          <w:sz w:val="20"/>
        </w:rPr>
        <w:t>Australia</w:t>
      </w:r>
      <w:r>
        <w:rPr>
          <w:i/>
          <w:spacing w:val="-1"/>
          <w:sz w:val="20"/>
        </w:rPr>
        <w:t xml:space="preserve"> </w:t>
      </w:r>
      <w:r>
        <w:rPr>
          <w:spacing w:val="-2"/>
          <w:sz w:val="20"/>
        </w:rPr>
        <w:t>(DS602)</w:t>
      </w:r>
      <w:r>
        <w:rPr>
          <w:sz w:val="20"/>
        </w:rPr>
        <w:tab/>
        <w:t>29</w:t>
      </w:r>
      <w:r>
        <w:rPr>
          <w:spacing w:val="-1"/>
          <w:sz w:val="20"/>
        </w:rPr>
        <w:t xml:space="preserve"> </w:t>
      </w:r>
      <w:r>
        <w:rPr>
          <w:sz w:val="20"/>
        </w:rPr>
        <w:t>April</w:t>
      </w:r>
      <w:r>
        <w:rPr>
          <w:spacing w:val="-2"/>
          <w:sz w:val="20"/>
        </w:rPr>
        <w:t xml:space="preserve"> </w:t>
      </w:r>
      <w:r>
        <w:rPr>
          <w:spacing w:val="-4"/>
          <w:sz w:val="20"/>
        </w:rPr>
        <w:t>2022</w:t>
      </w:r>
    </w:p>
    <w:p w14:paraId="51DE7D49" w14:textId="77777777" w:rsidR="0010369C" w:rsidRDefault="008E43AE">
      <w:pPr>
        <w:pStyle w:val="BodyText"/>
        <w:spacing w:before="34" w:line="360" w:lineRule="auto"/>
        <w:ind w:left="237" w:right="614"/>
        <w:jc w:val="both"/>
      </w:pPr>
      <w:r>
        <w:t>application"</w:t>
      </w:r>
      <w:r>
        <w:rPr>
          <w:spacing w:val="-14"/>
        </w:rPr>
        <w:t xml:space="preserve"> </w:t>
      </w:r>
      <w:r>
        <w:t>is</w:t>
      </w:r>
      <w:r>
        <w:rPr>
          <w:spacing w:val="-14"/>
        </w:rPr>
        <w:t xml:space="preserve"> </w:t>
      </w:r>
      <w:r>
        <w:t>necessarily</w:t>
      </w:r>
      <w:r>
        <w:rPr>
          <w:spacing w:val="-13"/>
        </w:rPr>
        <w:t xml:space="preserve"> </w:t>
      </w:r>
      <w:r>
        <w:t>dependent</w:t>
      </w:r>
      <w:r>
        <w:rPr>
          <w:spacing w:val="-14"/>
        </w:rPr>
        <w:t xml:space="preserve"> </w:t>
      </w:r>
      <w:r>
        <w:t>upon</w:t>
      </w:r>
      <w:r>
        <w:rPr>
          <w:spacing w:val="-13"/>
        </w:rPr>
        <w:t xml:space="preserve"> </w:t>
      </w:r>
      <w:r>
        <w:t>the</w:t>
      </w:r>
      <w:r>
        <w:rPr>
          <w:spacing w:val="-14"/>
        </w:rPr>
        <w:t xml:space="preserve"> </w:t>
      </w:r>
      <w:r>
        <w:t>particular</w:t>
      </w:r>
      <w:r>
        <w:rPr>
          <w:spacing w:val="-13"/>
        </w:rPr>
        <w:t xml:space="preserve"> </w:t>
      </w:r>
      <w:r>
        <w:t>action.</w:t>
      </w:r>
      <w:r>
        <w:rPr>
          <w:spacing w:val="-14"/>
        </w:rPr>
        <w:t xml:space="preserve"> </w:t>
      </w:r>
      <w:r>
        <w:t>An</w:t>
      </w:r>
      <w:r>
        <w:rPr>
          <w:spacing w:val="-14"/>
        </w:rPr>
        <w:t xml:space="preserve"> </w:t>
      </w:r>
      <w:r>
        <w:t>action</w:t>
      </w:r>
      <w:r>
        <w:rPr>
          <w:spacing w:val="-13"/>
        </w:rPr>
        <w:t xml:space="preserve"> </w:t>
      </w:r>
      <w:r>
        <w:t>that</w:t>
      </w:r>
      <w:r>
        <w:rPr>
          <w:spacing w:val="-14"/>
        </w:rPr>
        <w:t xml:space="preserve"> </w:t>
      </w:r>
      <w:r>
        <w:t>is</w:t>
      </w:r>
      <w:r>
        <w:rPr>
          <w:spacing w:val="-13"/>
        </w:rPr>
        <w:t xml:space="preserve"> </w:t>
      </w:r>
      <w:r>
        <w:t>burdensome will require greater work than one that is not. Therefore, whether an interested party has acted to the "best of its abilities" i</w:t>
      </w:r>
      <w:r>
        <w:t>s dependent on the circumstances in which the interested party is acting.</w:t>
      </w:r>
    </w:p>
    <w:p w14:paraId="51DE7D4A" w14:textId="77777777" w:rsidR="0010369C" w:rsidRDefault="0010369C">
      <w:pPr>
        <w:pStyle w:val="BodyText"/>
        <w:spacing w:before="11"/>
        <w:rPr>
          <w:sz w:val="8"/>
        </w:rPr>
      </w:pPr>
    </w:p>
    <w:p w14:paraId="51DE7D4B" w14:textId="77777777" w:rsidR="0010369C" w:rsidRDefault="008E43AE">
      <w:pPr>
        <w:pStyle w:val="BodyText"/>
        <w:spacing w:before="51" w:line="360" w:lineRule="auto"/>
        <w:ind w:left="236" w:right="613" w:firstLine="852"/>
        <w:jc w:val="both"/>
      </w:pPr>
      <w:r>
        <w:rPr>
          <w:noProof/>
        </w:rPr>
        <w:drawing>
          <wp:anchor distT="0" distB="0" distL="0" distR="0" simplePos="0" relativeHeight="250768896" behindDoc="1" locked="0" layoutInCell="1" allowOverlap="1" wp14:anchorId="51DE9DAA" wp14:editId="51DE9DAB">
            <wp:simplePos x="0" y="0"/>
            <wp:positionH relativeFrom="page">
              <wp:posOffset>902208</wp:posOffset>
            </wp:positionH>
            <wp:positionV relativeFrom="paragraph">
              <wp:posOffset>81314</wp:posOffset>
            </wp:positionV>
            <wp:extent cx="182879" cy="100753"/>
            <wp:effectExtent l="0" t="0" r="0" b="0"/>
            <wp:wrapNone/>
            <wp:docPr id="141" name="image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79.png"/>
                    <pic:cNvPicPr/>
                  </pic:nvPicPr>
                  <pic:blipFill>
                    <a:blip r:embed="rId142" cstate="print"/>
                    <a:stretch>
                      <a:fillRect/>
                    </a:stretch>
                  </pic:blipFill>
                  <pic:spPr>
                    <a:xfrm>
                      <a:off x="0" y="0"/>
                      <a:ext cx="182879" cy="100753"/>
                    </a:xfrm>
                    <a:prstGeom prst="rect">
                      <a:avLst/>
                    </a:prstGeom>
                  </pic:spPr>
                </pic:pic>
              </a:graphicData>
            </a:graphic>
          </wp:anchor>
        </w:drawing>
      </w:r>
      <w:r>
        <w:t>This interpretation is consistent with the findings of the Appellate Body, when it explained</w:t>
      </w:r>
      <w:r>
        <w:rPr>
          <w:spacing w:val="-1"/>
        </w:rPr>
        <w:t xml:space="preserve"> </w:t>
      </w:r>
      <w:r>
        <w:t>in</w:t>
      </w:r>
      <w:r>
        <w:rPr>
          <w:spacing w:val="-2"/>
        </w:rPr>
        <w:t xml:space="preserve"> </w:t>
      </w:r>
      <w:r>
        <w:rPr>
          <w:i/>
        </w:rPr>
        <w:t>US</w:t>
      </w:r>
      <w:r>
        <w:rPr>
          <w:i/>
          <w:spacing w:val="-1"/>
        </w:rPr>
        <w:t xml:space="preserve"> </w:t>
      </w:r>
      <w:r>
        <w:rPr>
          <w:i/>
        </w:rPr>
        <w:t xml:space="preserve">– Hot‐Rolled Steel </w:t>
      </w:r>
      <w:r>
        <w:t>that investigating authorities are entitled</w:t>
      </w:r>
      <w:r>
        <w:rPr>
          <w:spacing w:val="-2"/>
        </w:rPr>
        <w:t xml:space="preserve"> </w:t>
      </w:r>
      <w:r>
        <w:t>to</w:t>
      </w:r>
      <w:r>
        <w:rPr>
          <w:spacing w:val="-1"/>
        </w:rPr>
        <w:t xml:space="preserve"> </w:t>
      </w:r>
      <w:r>
        <w:t>expect</w:t>
      </w:r>
      <w:r>
        <w:rPr>
          <w:spacing w:val="-1"/>
        </w:rPr>
        <w:t xml:space="preserve"> </w:t>
      </w:r>
      <w:r>
        <w:t>a "very significant</w:t>
      </w:r>
      <w:r>
        <w:rPr>
          <w:spacing w:val="-5"/>
        </w:rPr>
        <w:t xml:space="preserve"> </w:t>
      </w:r>
      <w:r>
        <w:t>degree</w:t>
      </w:r>
      <w:r>
        <w:rPr>
          <w:spacing w:val="-4"/>
        </w:rPr>
        <w:t xml:space="preserve"> </w:t>
      </w:r>
      <w:r>
        <w:t>of</w:t>
      </w:r>
      <w:r>
        <w:rPr>
          <w:spacing w:val="-5"/>
        </w:rPr>
        <w:t xml:space="preserve"> </w:t>
      </w:r>
      <w:r>
        <w:t>effort</w:t>
      </w:r>
      <w:r>
        <w:rPr>
          <w:spacing w:val="-5"/>
        </w:rPr>
        <w:t xml:space="preserve"> </w:t>
      </w:r>
      <w:r>
        <w:t>…</w:t>
      </w:r>
      <w:r>
        <w:rPr>
          <w:spacing w:val="-5"/>
        </w:rPr>
        <w:t xml:space="preserve"> </w:t>
      </w:r>
      <w:r>
        <w:t>from</w:t>
      </w:r>
      <w:r>
        <w:rPr>
          <w:spacing w:val="-4"/>
        </w:rPr>
        <w:t xml:space="preserve"> </w:t>
      </w:r>
      <w:r>
        <w:t>investigated</w:t>
      </w:r>
      <w:r>
        <w:rPr>
          <w:spacing w:val="-4"/>
        </w:rPr>
        <w:t xml:space="preserve"> </w:t>
      </w:r>
      <w:r>
        <w:t>exporters",</w:t>
      </w:r>
      <w:r>
        <w:rPr>
          <w:spacing w:val="-7"/>
        </w:rPr>
        <w:t xml:space="preserve"> </w:t>
      </w:r>
      <w:r>
        <w:t>but</w:t>
      </w:r>
      <w:r>
        <w:rPr>
          <w:spacing w:val="-5"/>
        </w:rPr>
        <w:t xml:space="preserve"> </w:t>
      </w:r>
      <w:r>
        <w:t>they</w:t>
      </w:r>
      <w:r>
        <w:rPr>
          <w:spacing w:val="-5"/>
        </w:rPr>
        <w:t xml:space="preserve"> </w:t>
      </w:r>
      <w:r>
        <w:t>are</w:t>
      </w:r>
      <w:r>
        <w:rPr>
          <w:spacing w:val="-6"/>
        </w:rPr>
        <w:t xml:space="preserve"> </w:t>
      </w:r>
      <w:r>
        <w:t>"not</w:t>
      </w:r>
      <w:r>
        <w:rPr>
          <w:spacing w:val="-6"/>
        </w:rPr>
        <w:t xml:space="preserve"> </w:t>
      </w:r>
      <w:r>
        <w:t>entitled</w:t>
      </w:r>
      <w:r>
        <w:rPr>
          <w:spacing w:val="-5"/>
        </w:rPr>
        <w:t xml:space="preserve"> </w:t>
      </w:r>
      <w:r>
        <w:t>to</w:t>
      </w:r>
      <w:r>
        <w:rPr>
          <w:spacing w:val="-5"/>
        </w:rPr>
        <w:t xml:space="preserve"> </w:t>
      </w:r>
      <w:r>
        <w:t xml:space="preserve">insist upon </w:t>
      </w:r>
      <w:r>
        <w:rPr>
          <w:i/>
        </w:rPr>
        <w:t xml:space="preserve">absolute </w:t>
      </w:r>
      <w:r>
        <w:t xml:space="preserve">standards or impose </w:t>
      </w:r>
      <w:r>
        <w:rPr>
          <w:i/>
        </w:rPr>
        <w:t xml:space="preserve">unreasonable </w:t>
      </w:r>
      <w:r>
        <w:t>burdens upon those exporters".</w:t>
      </w:r>
      <w:r>
        <w:rPr>
          <w:vertAlign w:val="superscript"/>
        </w:rPr>
        <w:t>66</w:t>
      </w:r>
      <w:r>
        <w:t xml:space="preserve"> The threshold in</w:t>
      </w:r>
      <w:r>
        <w:t xml:space="preserve"> paragraph 5, whether an interested party has acted "to the best of its ability", is a measure of the "nature and quality" of the interested party's </w:t>
      </w:r>
      <w:hyperlink r:id="rId143">
        <w:r>
          <w:t>participation.</w:t>
        </w:r>
        <w:r>
          <w:rPr>
            <w:vertAlign w:val="superscript"/>
          </w:rPr>
          <w:t>67</w:t>
        </w:r>
        <w:r>
          <w:t xml:space="preserve"> </w:t>
        </w:r>
      </w:hyperlink>
      <w:r>
        <w:t xml:space="preserve">Whether an interested party has acted to the </w:t>
      </w:r>
      <w:r>
        <w:t xml:space="preserve">best of its ability cannot be judged against an absolute </w:t>
      </w:r>
      <w:r>
        <w:rPr>
          <w:spacing w:val="-2"/>
        </w:rPr>
        <w:t>standard.</w:t>
      </w:r>
    </w:p>
    <w:p w14:paraId="51DE7D4C" w14:textId="77777777" w:rsidR="0010369C" w:rsidRDefault="0010369C">
      <w:pPr>
        <w:pStyle w:val="BodyText"/>
        <w:spacing w:before="11"/>
        <w:rPr>
          <w:sz w:val="8"/>
        </w:rPr>
      </w:pPr>
    </w:p>
    <w:p w14:paraId="51DE7D4D" w14:textId="77777777" w:rsidR="0010369C" w:rsidRDefault="008E43AE">
      <w:pPr>
        <w:pStyle w:val="BodyText"/>
        <w:spacing w:before="52" w:line="360" w:lineRule="auto"/>
        <w:ind w:left="236" w:right="613" w:firstLine="852"/>
        <w:jc w:val="both"/>
      </w:pPr>
      <w:r>
        <w:rPr>
          <w:noProof/>
        </w:rPr>
        <w:drawing>
          <wp:anchor distT="0" distB="0" distL="0" distR="0" simplePos="0" relativeHeight="250769920" behindDoc="1" locked="0" layoutInCell="1" allowOverlap="1" wp14:anchorId="51DE9DAC" wp14:editId="51DE9DAD">
            <wp:simplePos x="0" y="0"/>
            <wp:positionH relativeFrom="page">
              <wp:posOffset>902208</wp:posOffset>
            </wp:positionH>
            <wp:positionV relativeFrom="paragraph">
              <wp:posOffset>82711</wp:posOffset>
            </wp:positionV>
            <wp:extent cx="182879" cy="100753"/>
            <wp:effectExtent l="0" t="0" r="0" b="0"/>
            <wp:wrapNone/>
            <wp:docPr id="143" name="image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80.png"/>
                    <pic:cNvPicPr/>
                  </pic:nvPicPr>
                  <pic:blipFill>
                    <a:blip r:embed="rId144" cstate="print"/>
                    <a:stretch>
                      <a:fillRect/>
                    </a:stretch>
                  </pic:blipFill>
                  <pic:spPr>
                    <a:xfrm>
                      <a:off x="0" y="0"/>
                      <a:ext cx="182879" cy="100753"/>
                    </a:xfrm>
                    <a:prstGeom prst="rect">
                      <a:avLst/>
                    </a:prstGeom>
                  </pic:spPr>
                </pic:pic>
              </a:graphicData>
            </a:graphic>
          </wp:anchor>
        </w:drawing>
      </w:r>
      <w:r>
        <w:t xml:space="preserve">Ultimately, investigating authorities must cooperate with interested parties, and "actively make efforts to use information submitted if the interested party has acted to the best of its </w:t>
      </w:r>
      <w:r>
        <w:t>ability".</w:t>
      </w:r>
      <w:r>
        <w:rPr>
          <w:vertAlign w:val="superscript"/>
        </w:rPr>
        <w:t>68</w:t>
      </w:r>
      <w:r>
        <w:t xml:space="preserve"> In this respect, it is clear that there is a preference under the Anti‐Dumping Agreement for "first‐hand" information. It is only in limited circumstances where</w:t>
      </w:r>
      <w:r>
        <w:rPr>
          <w:spacing w:val="-14"/>
        </w:rPr>
        <w:t xml:space="preserve"> </w:t>
      </w:r>
      <w:r>
        <w:t>an</w:t>
      </w:r>
      <w:r>
        <w:rPr>
          <w:spacing w:val="-14"/>
        </w:rPr>
        <w:t xml:space="preserve"> </w:t>
      </w:r>
      <w:r>
        <w:t>investigating</w:t>
      </w:r>
      <w:r>
        <w:rPr>
          <w:spacing w:val="-11"/>
        </w:rPr>
        <w:t xml:space="preserve"> </w:t>
      </w:r>
      <w:r>
        <w:t>authority</w:t>
      </w:r>
      <w:r>
        <w:rPr>
          <w:spacing w:val="-13"/>
        </w:rPr>
        <w:t xml:space="preserve"> </w:t>
      </w:r>
      <w:r>
        <w:t>may</w:t>
      </w:r>
      <w:r>
        <w:rPr>
          <w:spacing w:val="-13"/>
        </w:rPr>
        <w:t xml:space="preserve"> </w:t>
      </w:r>
      <w:r>
        <w:t>"base</w:t>
      </w:r>
      <w:r>
        <w:rPr>
          <w:spacing w:val="-13"/>
        </w:rPr>
        <w:t xml:space="preserve"> </w:t>
      </w:r>
      <w:r>
        <w:t>its</w:t>
      </w:r>
      <w:r>
        <w:rPr>
          <w:spacing w:val="-12"/>
        </w:rPr>
        <w:t xml:space="preserve"> </w:t>
      </w:r>
      <w:r>
        <w:t>determination</w:t>
      </w:r>
      <w:r>
        <w:rPr>
          <w:spacing w:val="-12"/>
        </w:rPr>
        <w:t xml:space="preserve"> </w:t>
      </w:r>
      <w:r>
        <w:t>on</w:t>
      </w:r>
      <w:r>
        <w:rPr>
          <w:spacing w:val="-14"/>
        </w:rPr>
        <w:t xml:space="preserve"> </w:t>
      </w:r>
      <w:r>
        <w:t>facts,</w:t>
      </w:r>
      <w:r>
        <w:rPr>
          <w:spacing w:val="-13"/>
        </w:rPr>
        <w:t xml:space="preserve"> </w:t>
      </w:r>
      <w:r>
        <w:t>albeit</w:t>
      </w:r>
      <w:r>
        <w:rPr>
          <w:spacing w:val="-13"/>
        </w:rPr>
        <w:t xml:space="preserve"> </w:t>
      </w:r>
      <w:r>
        <w:t>perhaps</w:t>
      </w:r>
      <w:r>
        <w:rPr>
          <w:spacing w:val="-13"/>
        </w:rPr>
        <w:t xml:space="preserve"> </w:t>
      </w:r>
      <w:r>
        <w:t>'second‐ best' facts".</w:t>
      </w:r>
      <w:r>
        <w:rPr>
          <w:vertAlign w:val="superscript"/>
        </w:rPr>
        <w:t>69</w:t>
      </w:r>
      <w:r>
        <w:t xml:space="preserve"> This interpretation is consistent with the object and purpose of Article</w:t>
      </w:r>
      <w:r>
        <w:rPr>
          <w:spacing w:val="-2"/>
        </w:rPr>
        <w:t xml:space="preserve"> </w:t>
      </w:r>
      <w:r>
        <w:t>6.8 (which incorporates Annex II) and the Anti‐Dumping Agreement as a whole, which seeks to "ensure objective decision‐making based on facts".</w:t>
      </w:r>
      <w:r>
        <w:rPr>
          <w:vertAlign w:val="superscript"/>
        </w:rPr>
        <w:t>70</w:t>
      </w:r>
    </w:p>
    <w:p w14:paraId="51DE7D4E" w14:textId="77777777" w:rsidR="0010369C" w:rsidRDefault="008E43AE">
      <w:pPr>
        <w:pStyle w:val="ListParagraph"/>
        <w:numPr>
          <w:ilvl w:val="4"/>
          <w:numId w:val="75"/>
        </w:numPr>
        <w:tabs>
          <w:tab w:val="left" w:pos="4493"/>
          <w:tab w:val="left" w:pos="4494"/>
        </w:tabs>
        <w:spacing w:before="161"/>
        <w:ind w:hanging="852"/>
        <w:jc w:val="both"/>
        <w:rPr>
          <w:sz w:val="24"/>
        </w:rPr>
      </w:pPr>
      <w:r>
        <w:rPr>
          <w:i/>
          <w:sz w:val="24"/>
        </w:rPr>
        <w:t>Parag</w:t>
      </w:r>
      <w:r>
        <w:rPr>
          <w:i/>
          <w:sz w:val="24"/>
        </w:rPr>
        <w:t>raph</w:t>
      </w:r>
      <w:r>
        <w:rPr>
          <w:i/>
          <w:spacing w:val="-13"/>
          <w:sz w:val="24"/>
        </w:rPr>
        <w:t xml:space="preserve"> </w:t>
      </w:r>
      <w:r>
        <w:rPr>
          <w:spacing w:val="-10"/>
          <w:sz w:val="24"/>
        </w:rPr>
        <w:t>6</w:t>
      </w:r>
    </w:p>
    <w:p w14:paraId="51DE7D4F" w14:textId="77777777" w:rsidR="0010369C" w:rsidRDefault="0010369C">
      <w:pPr>
        <w:pStyle w:val="BodyText"/>
        <w:spacing w:before="10"/>
        <w:rPr>
          <w:sz w:val="20"/>
        </w:rPr>
      </w:pPr>
    </w:p>
    <w:p w14:paraId="51DE7D50" w14:textId="77777777" w:rsidR="0010369C" w:rsidRDefault="008E43AE">
      <w:pPr>
        <w:pStyle w:val="BodyText"/>
        <w:spacing w:before="52"/>
        <w:ind w:left="1089"/>
        <w:jc w:val="both"/>
      </w:pPr>
      <w:r>
        <w:rPr>
          <w:noProof/>
        </w:rPr>
        <w:drawing>
          <wp:anchor distT="0" distB="0" distL="0" distR="0" simplePos="0" relativeHeight="250607104" behindDoc="0" locked="0" layoutInCell="1" allowOverlap="1" wp14:anchorId="51DE9DAE" wp14:editId="51DE9DAF">
            <wp:simplePos x="0" y="0"/>
            <wp:positionH relativeFrom="page">
              <wp:posOffset>902208</wp:posOffset>
            </wp:positionH>
            <wp:positionV relativeFrom="paragraph">
              <wp:posOffset>80596</wp:posOffset>
            </wp:positionV>
            <wp:extent cx="182879" cy="103631"/>
            <wp:effectExtent l="0" t="0" r="0" b="0"/>
            <wp:wrapNone/>
            <wp:docPr id="145"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81.png"/>
                    <pic:cNvPicPr/>
                  </pic:nvPicPr>
                  <pic:blipFill>
                    <a:blip r:embed="rId145" cstate="print"/>
                    <a:stretch>
                      <a:fillRect/>
                    </a:stretch>
                  </pic:blipFill>
                  <pic:spPr>
                    <a:xfrm>
                      <a:off x="0" y="0"/>
                      <a:ext cx="182879" cy="103631"/>
                    </a:xfrm>
                    <a:prstGeom prst="rect">
                      <a:avLst/>
                    </a:prstGeom>
                  </pic:spPr>
                </pic:pic>
              </a:graphicData>
            </a:graphic>
          </wp:anchor>
        </w:drawing>
      </w:r>
      <w:r>
        <w:t>Paragraph</w:t>
      </w:r>
      <w:r>
        <w:rPr>
          <w:spacing w:val="-7"/>
        </w:rPr>
        <w:t xml:space="preserve"> </w:t>
      </w:r>
      <w:r>
        <w:t>6</w:t>
      </w:r>
      <w:r>
        <w:rPr>
          <w:spacing w:val="-6"/>
        </w:rPr>
        <w:t xml:space="preserve"> </w:t>
      </w:r>
      <w:r>
        <w:t>of</w:t>
      </w:r>
      <w:r>
        <w:rPr>
          <w:spacing w:val="-6"/>
        </w:rPr>
        <w:t xml:space="preserve"> </w:t>
      </w:r>
      <w:r>
        <w:t>Annex</w:t>
      </w:r>
      <w:r>
        <w:rPr>
          <w:spacing w:val="-6"/>
        </w:rPr>
        <w:t xml:space="preserve"> </w:t>
      </w:r>
      <w:r>
        <w:t>II</w:t>
      </w:r>
      <w:r>
        <w:rPr>
          <w:spacing w:val="-6"/>
        </w:rPr>
        <w:t xml:space="preserve"> </w:t>
      </w:r>
      <w:r>
        <w:t>provides</w:t>
      </w:r>
      <w:r>
        <w:rPr>
          <w:spacing w:val="-6"/>
        </w:rPr>
        <w:t xml:space="preserve"> </w:t>
      </w:r>
      <w:r>
        <w:rPr>
          <w:spacing w:val="-2"/>
        </w:rPr>
        <w:t>that:</w:t>
      </w:r>
    </w:p>
    <w:p w14:paraId="51DE7D51" w14:textId="77777777" w:rsidR="0010369C" w:rsidRDefault="0010369C">
      <w:pPr>
        <w:pStyle w:val="BodyText"/>
        <w:spacing w:before="1"/>
        <w:rPr>
          <w:sz w:val="25"/>
        </w:rPr>
      </w:pPr>
    </w:p>
    <w:p w14:paraId="51DE7D52" w14:textId="77777777" w:rsidR="0010369C" w:rsidRDefault="008E43AE">
      <w:pPr>
        <w:ind w:left="1089" w:right="613"/>
        <w:jc w:val="both"/>
      </w:pPr>
      <w:r>
        <w:t>If</w:t>
      </w:r>
      <w:r>
        <w:rPr>
          <w:spacing w:val="-6"/>
        </w:rPr>
        <w:t xml:space="preserve"> </w:t>
      </w:r>
      <w:r>
        <w:t>evidence</w:t>
      </w:r>
      <w:r>
        <w:rPr>
          <w:spacing w:val="-5"/>
        </w:rPr>
        <w:t xml:space="preserve"> </w:t>
      </w:r>
      <w:r>
        <w:t>or</w:t>
      </w:r>
      <w:r>
        <w:rPr>
          <w:spacing w:val="-6"/>
        </w:rPr>
        <w:t xml:space="preserve"> </w:t>
      </w:r>
      <w:r>
        <w:t>information</w:t>
      </w:r>
      <w:r>
        <w:rPr>
          <w:spacing w:val="-5"/>
        </w:rPr>
        <w:t xml:space="preserve"> </w:t>
      </w:r>
      <w:r>
        <w:t>is</w:t>
      </w:r>
      <w:r>
        <w:rPr>
          <w:spacing w:val="-6"/>
        </w:rPr>
        <w:t xml:space="preserve"> </w:t>
      </w:r>
      <w:r>
        <w:t>not</w:t>
      </w:r>
      <w:r>
        <w:rPr>
          <w:spacing w:val="-6"/>
        </w:rPr>
        <w:t xml:space="preserve"> </w:t>
      </w:r>
      <w:r>
        <w:t>accepted,</w:t>
      </w:r>
      <w:r>
        <w:rPr>
          <w:spacing w:val="-6"/>
        </w:rPr>
        <w:t xml:space="preserve"> </w:t>
      </w:r>
      <w:r>
        <w:t>the</w:t>
      </w:r>
      <w:r>
        <w:rPr>
          <w:spacing w:val="-5"/>
        </w:rPr>
        <w:t xml:space="preserve"> </w:t>
      </w:r>
      <w:r>
        <w:t>supplying</w:t>
      </w:r>
      <w:r>
        <w:rPr>
          <w:spacing w:val="-5"/>
        </w:rPr>
        <w:t xml:space="preserve"> </w:t>
      </w:r>
      <w:r>
        <w:t>party</w:t>
      </w:r>
      <w:r>
        <w:rPr>
          <w:spacing w:val="-5"/>
        </w:rPr>
        <w:t xml:space="preserve"> </w:t>
      </w:r>
      <w:r>
        <w:t>should</w:t>
      </w:r>
      <w:r>
        <w:rPr>
          <w:spacing w:val="-5"/>
        </w:rPr>
        <w:t xml:space="preserve"> </w:t>
      </w:r>
      <w:r>
        <w:t>be</w:t>
      </w:r>
      <w:r>
        <w:rPr>
          <w:spacing w:val="-5"/>
        </w:rPr>
        <w:t xml:space="preserve"> </w:t>
      </w:r>
      <w:r>
        <w:t>informed</w:t>
      </w:r>
      <w:r>
        <w:rPr>
          <w:spacing w:val="-6"/>
        </w:rPr>
        <w:t xml:space="preserve"> </w:t>
      </w:r>
      <w:r>
        <w:t>forthwith of the reasons therefor, and should have an opportunity to provide further explanations within a reasonable period</w:t>
      </w:r>
      <w:r>
        <w:t xml:space="preserve">, due account being taken of the time‐limits of the investigation. If the explanations are considered by the authorities as not being satisfactory, the reasons for the rejection of such evidence or information should be given in any published </w:t>
      </w:r>
      <w:r>
        <w:rPr>
          <w:spacing w:val="-2"/>
        </w:rPr>
        <w:t>determination.</w:t>
      </w:r>
    </w:p>
    <w:p w14:paraId="51DE7D53" w14:textId="77777777" w:rsidR="0010369C" w:rsidRDefault="0010369C">
      <w:pPr>
        <w:pStyle w:val="BodyText"/>
        <w:rPr>
          <w:sz w:val="20"/>
        </w:rPr>
      </w:pPr>
    </w:p>
    <w:p w14:paraId="51DE7D54" w14:textId="77777777" w:rsidR="0010369C" w:rsidRDefault="008E43AE">
      <w:pPr>
        <w:pStyle w:val="BodyText"/>
        <w:spacing w:before="3"/>
        <w:rPr>
          <w:sz w:val="17"/>
        </w:rPr>
      </w:pPr>
      <w:r>
        <w:pict w14:anchorId="51DE9DB0">
          <v:rect id="docshape90" o:spid="_x0000_s3174" style="position:absolute;margin-left:70.9pt;margin-top:11.75pt;width:2in;height:.8pt;z-index:-251246080;mso-wrap-distance-left:0;mso-wrap-distance-right:0;mso-position-horizontal-relative:page" fillcolor="black" stroked="f">
            <w10:wrap type="topAndBottom" anchorx="page"/>
          </v:rect>
        </w:pict>
      </w:r>
    </w:p>
    <w:p w14:paraId="51DE7D55" w14:textId="77777777" w:rsidR="0010369C" w:rsidRDefault="008E43AE">
      <w:pPr>
        <w:spacing w:before="109"/>
        <w:ind w:left="238"/>
        <w:rPr>
          <w:sz w:val="18"/>
        </w:rPr>
      </w:pPr>
      <w:r>
        <w:rPr>
          <w:sz w:val="18"/>
          <w:vertAlign w:val="superscript"/>
        </w:rPr>
        <w:t>66</w:t>
      </w:r>
      <w:r>
        <w:rPr>
          <w:spacing w:val="-6"/>
          <w:sz w:val="18"/>
        </w:rPr>
        <w:t xml:space="preserve"> </w:t>
      </w:r>
      <w:r>
        <w:rPr>
          <w:sz w:val="18"/>
        </w:rPr>
        <w:t>Appellate</w:t>
      </w:r>
      <w:r>
        <w:rPr>
          <w:spacing w:val="-5"/>
          <w:sz w:val="18"/>
        </w:rPr>
        <w:t xml:space="preserve"> </w:t>
      </w:r>
      <w:r>
        <w:rPr>
          <w:sz w:val="18"/>
        </w:rPr>
        <w:t>Body</w:t>
      </w:r>
      <w:r>
        <w:rPr>
          <w:spacing w:val="-7"/>
          <w:sz w:val="18"/>
        </w:rPr>
        <w:t xml:space="preserve"> </w:t>
      </w:r>
      <w:r>
        <w:rPr>
          <w:sz w:val="18"/>
        </w:rPr>
        <w:t>Report,</w:t>
      </w:r>
      <w:r>
        <w:rPr>
          <w:spacing w:val="-5"/>
          <w:sz w:val="18"/>
        </w:rPr>
        <w:t xml:space="preserve"> </w:t>
      </w:r>
      <w:r>
        <w:rPr>
          <w:i/>
          <w:sz w:val="18"/>
        </w:rPr>
        <w:t>US</w:t>
      </w:r>
      <w:r>
        <w:rPr>
          <w:i/>
          <w:spacing w:val="-5"/>
          <w:sz w:val="18"/>
        </w:rPr>
        <w:t xml:space="preserve"> </w:t>
      </w:r>
      <w:r>
        <w:rPr>
          <w:i/>
          <w:sz w:val="18"/>
        </w:rPr>
        <w:t>–</w:t>
      </w:r>
      <w:r>
        <w:rPr>
          <w:i/>
          <w:spacing w:val="-5"/>
          <w:sz w:val="18"/>
        </w:rPr>
        <w:t xml:space="preserve"> </w:t>
      </w:r>
      <w:r>
        <w:rPr>
          <w:i/>
          <w:sz w:val="18"/>
        </w:rPr>
        <w:t>Hot</w:t>
      </w:r>
      <w:r>
        <w:rPr>
          <w:i/>
          <w:spacing w:val="-4"/>
          <w:sz w:val="18"/>
        </w:rPr>
        <w:t xml:space="preserve"> </w:t>
      </w:r>
      <w:r>
        <w:rPr>
          <w:i/>
          <w:sz w:val="18"/>
        </w:rPr>
        <w:t>Rolled</w:t>
      </w:r>
      <w:r>
        <w:rPr>
          <w:i/>
          <w:spacing w:val="-5"/>
          <w:sz w:val="18"/>
        </w:rPr>
        <w:t xml:space="preserve"> </w:t>
      </w:r>
      <w:r>
        <w:rPr>
          <w:i/>
          <w:sz w:val="18"/>
        </w:rPr>
        <w:t>Steel</w:t>
      </w:r>
      <w:r>
        <w:rPr>
          <w:sz w:val="18"/>
        </w:rPr>
        <w:t>,</w:t>
      </w:r>
      <w:r>
        <w:rPr>
          <w:spacing w:val="-6"/>
          <w:sz w:val="18"/>
        </w:rPr>
        <w:t xml:space="preserve"> </w:t>
      </w:r>
      <w:r>
        <w:rPr>
          <w:sz w:val="18"/>
        </w:rPr>
        <w:t>para.</w:t>
      </w:r>
      <w:r>
        <w:rPr>
          <w:spacing w:val="-5"/>
          <w:sz w:val="18"/>
        </w:rPr>
        <w:t xml:space="preserve"> </w:t>
      </w:r>
      <w:r>
        <w:rPr>
          <w:sz w:val="18"/>
        </w:rPr>
        <w:t>102</w:t>
      </w:r>
      <w:r>
        <w:rPr>
          <w:spacing w:val="-6"/>
          <w:sz w:val="18"/>
        </w:rPr>
        <w:t xml:space="preserve"> </w:t>
      </w:r>
      <w:r>
        <w:rPr>
          <w:sz w:val="18"/>
        </w:rPr>
        <w:t>(emphasis</w:t>
      </w:r>
      <w:r>
        <w:rPr>
          <w:spacing w:val="-4"/>
          <w:sz w:val="18"/>
        </w:rPr>
        <w:t xml:space="preserve"> </w:t>
      </w:r>
      <w:r>
        <w:rPr>
          <w:spacing w:val="-2"/>
          <w:sz w:val="18"/>
        </w:rPr>
        <w:t>original)</w:t>
      </w:r>
    </w:p>
    <w:p w14:paraId="51DE7D56" w14:textId="77777777" w:rsidR="0010369C" w:rsidRDefault="008E43AE">
      <w:pPr>
        <w:ind w:left="238"/>
        <w:rPr>
          <w:sz w:val="18"/>
        </w:rPr>
      </w:pPr>
      <w:r>
        <w:rPr>
          <w:sz w:val="18"/>
          <w:vertAlign w:val="superscript"/>
        </w:rPr>
        <w:t>67</w:t>
      </w:r>
      <w:r>
        <w:rPr>
          <w:spacing w:val="-6"/>
          <w:sz w:val="18"/>
        </w:rPr>
        <w:t xml:space="preserve"> </w:t>
      </w:r>
      <w:r>
        <w:rPr>
          <w:sz w:val="18"/>
        </w:rPr>
        <w:t>Panel</w:t>
      </w:r>
      <w:r>
        <w:rPr>
          <w:spacing w:val="-6"/>
          <w:sz w:val="18"/>
        </w:rPr>
        <w:t xml:space="preserve"> </w:t>
      </w:r>
      <w:r>
        <w:rPr>
          <w:sz w:val="18"/>
        </w:rPr>
        <w:t>Report,</w:t>
      </w:r>
      <w:r>
        <w:rPr>
          <w:spacing w:val="-5"/>
          <w:sz w:val="18"/>
        </w:rPr>
        <w:t xml:space="preserve"> </w:t>
      </w:r>
      <w:r>
        <w:rPr>
          <w:i/>
          <w:sz w:val="18"/>
        </w:rPr>
        <w:t>Egypt</w:t>
      </w:r>
      <w:r>
        <w:rPr>
          <w:i/>
          <w:spacing w:val="-5"/>
          <w:sz w:val="18"/>
        </w:rPr>
        <w:t xml:space="preserve"> </w:t>
      </w:r>
      <w:r>
        <w:rPr>
          <w:i/>
          <w:sz w:val="18"/>
        </w:rPr>
        <w:t>–</w:t>
      </w:r>
      <w:r>
        <w:rPr>
          <w:i/>
          <w:spacing w:val="-6"/>
          <w:sz w:val="18"/>
        </w:rPr>
        <w:t xml:space="preserve"> </w:t>
      </w:r>
      <w:r>
        <w:rPr>
          <w:i/>
          <w:sz w:val="18"/>
        </w:rPr>
        <w:t>Steel</w:t>
      </w:r>
      <w:r>
        <w:rPr>
          <w:i/>
          <w:spacing w:val="-6"/>
          <w:sz w:val="18"/>
        </w:rPr>
        <w:t xml:space="preserve"> </w:t>
      </w:r>
      <w:r>
        <w:rPr>
          <w:i/>
          <w:sz w:val="18"/>
        </w:rPr>
        <w:t>Rebar</w:t>
      </w:r>
      <w:r>
        <w:rPr>
          <w:sz w:val="18"/>
        </w:rPr>
        <w:t>,</w:t>
      </w:r>
      <w:r>
        <w:rPr>
          <w:spacing w:val="-6"/>
          <w:sz w:val="18"/>
        </w:rPr>
        <w:t xml:space="preserve"> </w:t>
      </w:r>
      <w:r>
        <w:rPr>
          <w:sz w:val="18"/>
        </w:rPr>
        <w:t>para.</w:t>
      </w:r>
      <w:r>
        <w:rPr>
          <w:spacing w:val="-5"/>
          <w:sz w:val="18"/>
        </w:rPr>
        <w:t xml:space="preserve"> </w:t>
      </w:r>
      <w:r>
        <w:rPr>
          <w:spacing w:val="-2"/>
          <w:sz w:val="18"/>
        </w:rPr>
        <w:t>7.159.</w:t>
      </w:r>
    </w:p>
    <w:p w14:paraId="51DE7D57" w14:textId="77777777" w:rsidR="0010369C" w:rsidRDefault="008E43AE">
      <w:pPr>
        <w:spacing w:before="1"/>
        <w:ind w:left="238"/>
        <w:rPr>
          <w:sz w:val="18"/>
        </w:rPr>
      </w:pPr>
      <w:r>
        <w:rPr>
          <w:sz w:val="18"/>
          <w:vertAlign w:val="superscript"/>
        </w:rPr>
        <w:t>68</w:t>
      </w:r>
      <w:r>
        <w:rPr>
          <w:spacing w:val="-5"/>
          <w:sz w:val="18"/>
        </w:rPr>
        <w:t xml:space="preserve"> </w:t>
      </w:r>
      <w:r>
        <w:rPr>
          <w:sz w:val="18"/>
        </w:rPr>
        <w:t>Panel</w:t>
      </w:r>
      <w:r>
        <w:rPr>
          <w:spacing w:val="-5"/>
          <w:sz w:val="18"/>
        </w:rPr>
        <w:t xml:space="preserve"> </w:t>
      </w:r>
      <w:r>
        <w:rPr>
          <w:sz w:val="18"/>
        </w:rPr>
        <w:t>Report,</w:t>
      </w:r>
      <w:r>
        <w:rPr>
          <w:spacing w:val="-4"/>
          <w:sz w:val="18"/>
        </w:rPr>
        <w:t xml:space="preserve"> </w:t>
      </w:r>
      <w:r>
        <w:rPr>
          <w:i/>
          <w:sz w:val="18"/>
        </w:rPr>
        <w:t>US</w:t>
      </w:r>
      <w:r>
        <w:rPr>
          <w:i/>
          <w:spacing w:val="-4"/>
          <w:sz w:val="18"/>
        </w:rPr>
        <w:t xml:space="preserve"> </w:t>
      </w:r>
      <w:r>
        <w:rPr>
          <w:i/>
          <w:sz w:val="18"/>
        </w:rPr>
        <w:t>–</w:t>
      </w:r>
      <w:r>
        <w:rPr>
          <w:i/>
          <w:spacing w:val="-4"/>
          <w:sz w:val="18"/>
        </w:rPr>
        <w:t xml:space="preserve"> </w:t>
      </w:r>
      <w:r>
        <w:rPr>
          <w:i/>
          <w:sz w:val="18"/>
        </w:rPr>
        <w:t>Steel</w:t>
      </w:r>
      <w:r>
        <w:rPr>
          <w:i/>
          <w:spacing w:val="-6"/>
          <w:sz w:val="18"/>
        </w:rPr>
        <w:t xml:space="preserve"> </w:t>
      </w:r>
      <w:r>
        <w:rPr>
          <w:i/>
          <w:sz w:val="18"/>
        </w:rPr>
        <w:t>Plate</w:t>
      </w:r>
      <w:r>
        <w:rPr>
          <w:sz w:val="18"/>
        </w:rPr>
        <w:t>,</w:t>
      </w:r>
      <w:r>
        <w:rPr>
          <w:spacing w:val="-5"/>
          <w:sz w:val="18"/>
        </w:rPr>
        <w:t xml:space="preserve"> </w:t>
      </w:r>
      <w:r>
        <w:rPr>
          <w:sz w:val="18"/>
        </w:rPr>
        <w:t>para.</w:t>
      </w:r>
      <w:r>
        <w:rPr>
          <w:spacing w:val="-5"/>
          <w:sz w:val="18"/>
        </w:rPr>
        <w:t xml:space="preserve"> </w:t>
      </w:r>
      <w:r>
        <w:rPr>
          <w:spacing w:val="-2"/>
          <w:sz w:val="18"/>
        </w:rPr>
        <w:t>7.65.</w:t>
      </w:r>
    </w:p>
    <w:p w14:paraId="51DE7D58" w14:textId="77777777" w:rsidR="0010369C" w:rsidRDefault="008E43AE">
      <w:pPr>
        <w:ind w:left="239" w:right="614" w:hanging="1"/>
        <w:rPr>
          <w:sz w:val="18"/>
        </w:rPr>
      </w:pPr>
      <w:r>
        <w:rPr>
          <w:sz w:val="18"/>
          <w:vertAlign w:val="superscript"/>
        </w:rPr>
        <w:t>69</w:t>
      </w:r>
      <w:r>
        <w:rPr>
          <w:spacing w:val="21"/>
          <w:sz w:val="18"/>
        </w:rPr>
        <w:t xml:space="preserve"> </w:t>
      </w:r>
      <w:r>
        <w:rPr>
          <w:sz w:val="18"/>
        </w:rPr>
        <w:t>Panel</w:t>
      </w:r>
      <w:r>
        <w:rPr>
          <w:spacing w:val="20"/>
          <w:sz w:val="18"/>
        </w:rPr>
        <w:t xml:space="preserve"> </w:t>
      </w:r>
      <w:r>
        <w:rPr>
          <w:sz w:val="18"/>
        </w:rPr>
        <w:t>Report,</w:t>
      </w:r>
      <w:r>
        <w:rPr>
          <w:spacing w:val="21"/>
          <w:sz w:val="18"/>
        </w:rPr>
        <w:t xml:space="preserve"> </w:t>
      </w:r>
      <w:r>
        <w:rPr>
          <w:i/>
          <w:sz w:val="18"/>
        </w:rPr>
        <w:t>US</w:t>
      </w:r>
      <w:r>
        <w:rPr>
          <w:i/>
          <w:spacing w:val="21"/>
          <w:sz w:val="18"/>
        </w:rPr>
        <w:t xml:space="preserve"> </w:t>
      </w:r>
      <w:r>
        <w:rPr>
          <w:i/>
          <w:sz w:val="18"/>
        </w:rPr>
        <w:t>–</w:t>
      </w:r>
      <w:r>
        <w:rPr>
          <w:i/>
          <w:spacing w:val="21"/>
          <w:sz w:val="18"/>
        </w:rPr>
        <w:t xml:space="preserve"> </w:t>
      </w:r>
      <w:r>
        <w:rPr>
          <w:i/>
          <w:sz w:val="18"/>
        </w:rPr>
        <w:t>Anti‐Dumping</w:t>
      </w:r>
      <w:r>
        <w:rPr>
          <w:i/>
          <w:spacing w:val="21"/>
          <w:sz w:val="18"/>
        </w:rPr>
        <w:t xml:space="preserve"> </w:t>
      </w:r>
      <w:r>
        <w:rPr>
          <w:i/>
          <w:sz w:val="18"/>
        </w:rPr>
        <w:t>Methodologies</w:t>
      </w:r>
      <w:r>
        <w:rPr>
          <w:i/>
          <w:spacing w:val="20"/>
          <w:sz w:val="18"/>
        </w:rPr>
        <w:t xml:space="preserve"> </w:t>
      </w:r>
      <w:r>
        <w:rPr>
          <w:i/>
          <w:sz w:val="18"/>
        </w:rPr>
        <w:t>(China)</w:t>
      </w:r>
      <w:r>
        <w:rPr>
          <w:sz w:val="18"/>
        </w:rPr>
        <w:t>,</w:t>
      </w:r>
      <w:r>
        <w:rPr>
          <w:spacing w:val="20"/>
          <w:sz w:val="18"/>
        </w:rPr>
        <w:t xml:space="preserve"> </w:t>
      </w:r>
      <w:r>
        <w:rPr>
          <w:sz w:val="18"/>
        </w:rPr>
        <w:t>para.</w:t>
      </w:r>
      <w:r>
        <w:rPr>
          <w:spacing w:val="21"/>
          <w:sz w:val="18"/>
        </w:rPr>
        <w:t xml:space="preserve"> </w:t>
      </w:r>
      <w:r>
        <w:rPr>
          <w:sz w:val="18"/>
        </w:rPr>
        <w:t>7.391.</w:t>
      </w:r>
      <w:r>
        <w:rPr>
          <w:spacing w:val="21"/>
          <w:sz w:val="18"/>
        </w:rPr>
        <w:t xml:space="preserve"> </w:t>
      </w:r>
      <w:r>
        <w:rPr>
          <w:sz w:val="18"/>
        </w:rPr>
        <w:t>See</w:t>
      </w:r>
      <w:r>
        <w:rPr>
          <w:spacing w:val="21"/>
          <w:sz w:val="18"/>
        </w:rPr>
        <w:t xml:space="preserve"> </w:t>
      </w:r>
      <w:r>
        <w:rPr>
          <w:sz w:val="18"/>
        </w:rPr>
        <w:t>also,</w:t>
      </w:r>
      <w:r>
        <w:rPr>
          <w:spacing w:val="20"/>
          <w:sz w:val="18"/>
        </w:rPr>
        <w:t xml:space="preserve"> </w:t>
      </w:r>
      <w:r>
        <w:rPr>
          <w:sz w:val="18"/>
        </w:rPr>
        <w:t>Panel</w:t>
      </w:r>
      <w:r>
        <w:rPr>
          <w:spacing w:val="20"/>
          <w:sz w:val="18"/>
        </w:rPr>
        <w:t xml:space="preserve"> </w:t>
      </w:r>
      <w:r>
        <w:rPr>
          <w:sz w:val="18"/>
        </w:rPr>
        <w:t>Report,</w:t>
      </w:r>
      <w:r>
        <w:rPr>
          <w:spacing w:val="22"/>
          <w:sz w:val="18"/>
        </w:rPr>
        <w:t xml:space="preserve"> </w:t>
      </w:r>
      <w:r>
        <w:rPr>
          <w:i/>
          <w:sz w:val="18"/>
        </w:rPr>
        <w:t>Mexico</w:t>
      </w:r>
      <w:r>
        <w:rPr>
          <w:i/>
          <w:spacing w:val="21"/>
          <w:sz w:val="18"/>
        </w:rPr>
        <w:t xml:space="preserve"> </w:t>
      </w:r>
      <w:r>
        <w:rPr>
          <w:i/>
          <w:sz w:val="18"/>
        </w:rPr>
        <w:t>–</w:t>
      </w:r>
      <w:r>
        <w:rPr>
          <w:i/>
          <w:spacing w:val="21"/>
          <w:sz w:val="18"/>
        </w:rPr>
        <w:t xml:space="preserve"> </w:t>
      </w:r>
      <w:r>
        <w:rPr>
          <w:i/>
          <w:sz w:val="18"/>
        </w:rPr>
        <w:t>Anti‐Dumping Measures on Rice</w:t>
      </w:r>
      <w:r>
        <w:rPr>
          <w:sz w:val="18"/>
        </w:rPr>
        <w:t>, para. 7.238.</w:t>
      </w:r>
    </w:p>
    <w:p w14:paraId="51DE7D59" w14:textId="77777777" w:rsidR="0010369C" w:rsidRDefault="008E43AE">
      <w:pPr>
        <w:spacing w:line="219" w:lineRule="exact"/>
        <w:ind w:left="238"/>
        <w:rPr>
          <w:sz w:val="18"/>
        </w:rPr>
      </w:pPr>
      <w:r>
        <w:rPr>
          <w:sz w:val="18"/>
          <w:vertAlign w:val="superscript"/>
        </w:rPr>
        <w:t>70</w:t>
      </w:r>
      <w:r>
        <w:rPr>
          <w:spacing w:val="-9"/>
          <w:sz w:val="18"/>
        </w:rPr>
        <w:t xml:space="preserve"> </w:t>
      </w:r>
      <w:r>
        <w:rPr>
          <w:sz w:val="18"/>
        </w:rPr>
        <w:t>Panel</w:t>
      </w:r>
      <w:r>
        <w:rPr>
          <w:spacing w:val="-9"/>
          <w:sz w:val="18"/>
        </w:rPr>
        <w:t xml:space="preserve"> </w:t>
      </w:r>
      <w:r>
        <w:rPr>
          <w:sz w:val="18"/>
        </w:rPr>
        <w:t>Report,</w:t>
      </w:r>
      <w:r>
        <w:rPr>
          <w:spacing w:val="-9"/>
          <w:sz w:val="18"/>
        </w:rPr>
        <w:t xml:space="preserve"> </w:t>
      </w:r>
      <w:r>
        <w:rPr>
          <w:i/>
          <w:sz w:val="18"/>
        </w:rPr>
        <w:t>US</w:t>
      </w:r>
      <w:r>
        <w:rPr>
          <w:i/>
          <w:spacing w:val="-8"/>
          <w:sz w:val="18"/>
        </w:rPr>
        <w:t xml:space="preserve"> </w:t>
      </w:r>
      <w:r>
        <w:rPr>
          <w:i/>
          <w:sz w:val="18"/>
        </w:rPr>
        <w:t>–</w:t>
      </w:r>
      <w:r>
        <w:rPr>
          <w:i/>
          <w:spacing w:val="-9"/>
          <w:sz w:val="18"/>
        </w:rPr>
        <w:t xml:space="preserve"> </w:t>
      </w:r>
      <w:r>
        <w:rPr>
          <w:i/>
          <w:sz w:val="18"/>
        </w:rPr>
        <w:t>Anti‐Dumping</w:t>
      </w:r>
      <w:r>
        <w:rPr>
          <w:i/>
          <w:spacing w:val="-8"/>
          <w:sz w:val="18"/>
        </w:rPr>
        <w:t xml:space="preserve"> </w:t>
      </w:r>
      <w:r>
        <w:rPr>
          <w:i/>
          <w:sz w:val="18"/>
        </w:rPr>
        <w:t>Methodologies</w:t>
      </w:r>
      <w:r>
        <w:rPr>
          <w:i/>
          <w:spacing w:val="-9"/>
          <w:sz w:val="18"/>
        </w:rPr>
        <w:t xml:space="preserve"> </w:t>
      </w:r>
      <w:r>
        <w:rPr>
          <w:i/>
          <w:sz w:val="18"/>
        </w:rPr>
        <w:t>(China)</w:t>
      </w:r>
      <w:r>
        <w:rPr>
          <w:sz w:val="18"/>
        </w:rPr>
        <w:t>,</w:t>
      </w:r>
      <w:r>
        <w:rPr>
          <w:spacing w:val="-9"/>
          <w:sz w:val="18"/>
        </w:rPr>
        <w:t xml:space="preserve"> </w:t>
      </w:r>
      <w:r>
        <w:rPr>
          <w:sz w:val="18"/>
        </w:rPr>
        <w:t>para.</w:t>
      </w:r>
      <w:r>
        <w:rPr>
          <w:spacing w:val="-9"/>
          <w:sz w:val="18"/>
        </w:rPr>
        <w:t xml:space="preserve"> </w:t>
      </w:r>
      <w:r>
        <w:rPr>
          <w:spacing w:val="-2"/>
          <w:sz w:val="18"/>
        </w:rPr>
        <w:t>7.391.</w:t>
      </w:r>
    </w:p>
    <w:p w14:paraId="51DE7D5A" w14:textId="77777777" w:rsidR="0010369C" w:rsidRDefault="0010369C">
      <w:pPr>
        <w:spacing w:line="219" w:lineRule="exact"/>
        <w:rPr>
          <w:sz w:val="18"/>
        </w:rPr>
        <w:sectPr w:rsidR="0010369C">
          <w:pgSz w:w="11910" w:h="16840"/>
          <w:pgMar w:top="880" w:right="800" w:bottom="980" w:left="1180" w:header="569" w:footer="788" w:gutter="0"/>
          <w:cols w:space="720"/>
        </w:sectPr>
      </w:pPr>
    </w:p>
    <w:p w14:paraId="51DE7D5B" w14:textId="77777777" w:rsidR="0010369C" w:rsidRDefault="008E43AE">
      <w:pPr>
        <w:tabs>
          <w:tab w:val="left" w:pos="6426"/>
        </w:tabs>
        <w:ind w:left="238"/>
        <w:rPr>
          <w:sz w:val="20"/>
        </w:rPr>
      </w:pPr>
      <w:r>
        <w:rPr>
          <w:i/>
          <w:sz w:val="20"/>
        </w:rPr>
        <w:lastRenderedPageBreak/>
        <w:t>China</w:t>
      </w:r>
      <w:r>
        <w:rPr>
          <w:i/>
          <w:spacing w:val="-5"/>
          <w:sz w:val="20"/>
        </w:rPr>
        <w:t xml:space="preserve"> </w:t>
      </w:r>
      <w:r>
        <w:rPr>
          <w:i/>
          <w:sz w:val="20"/>
        </w:rPr>
        <w:t>–</w:t>
      </w:r>
      <w:r>
        <w:rPr>
          <w:i/>
          <w:spacing w:val="-5"/>
          <w:sz w:val="20"/>
        </w:rPr>
        <w:t xml:space="preserve"> </w:t>
      </w:r>
      <w:r>
        <w:rPr>
          <w:i/>
          <w:sz w:val="20"/>
        </w:rPr>
        <w:t>Anti‐Dumping</w:t>
      </w:r>
      <w:r>
        <w:rPr>
          <w:i/>
          <w:spacing w:val="-4"/>
          <w:sz w:val="20"/>
        </w:rPr>
        <w:t xml:space="preserve"> </w:t>
      </w:r>
      <w:r>
        <w:rPr>
          <w:i/>
          <w:sz w:val="20"/>
        </w:rPr>
        <w:t>and</w:t>
      </w:r>
      <w:r>
        <w:rPr>
          <w:i/>
          <w:spacing w:val="-5"/>
          <w:sz w:val="20"/>
        </w:rPr>
        <w:t xml:space="preserve"> </w:t>
      </w:r>
      <w:r>
        <w:rPr>
          <w:i/>
          <w:sz w:val="20"/>
        </w:rPr>
        <w:t>Countervailing</w:t>
      </w:r>
      <w:r>
        <w:rPr>
          <w:i/>
          <w:spacing w:val="-5"/>
          <w:sz w:val="20"/>
        </w:rPr>
        <w:t xml:space="preserve"> </w:t>
      </w:r>
      <w:r>
        <w:rPr>
          <w:i/>
          <w:sz w:val="20"/>
        </w:rPr>
        <w:t>Duty</w:t>
      </w:r>
      <w:r>
        <w:rPr>
          <w:i/>
          <w:spacing w:val="-4"/>
          <w:sz w:val="20"/>
        </w:rPr>
        <w:t xml:space="preserve"> </w:t>
      </w:r>
      <w:r>
        <w:rPr>
          <w:i/>
          <w:spacing w:val="-2"/>
          <w:sz w:val="20"/>
        </w:rPr>
        <w:t>Measures</w:t>
      </w:r>
      <w:r>
        <w:rPr>
          <w:i/>
          <w:sz w:val="20"/>
        </w:rPr>
        <w:tab/>
      </w:r>
      <w:r>
        <w:rPr>
          <w:sz w:val="20"/>
        </w:rPr>
        <w:t>Australia's</w:t>
      </w:r>
      <w:r>
        <w:rPr>
          <w:spacing w:val="-7"/>
          <w:sz w:val="20"/>
        </w:rPr>
        <w:t xml:space="preserve"> </w:t>
      </w:r>
      <w:r>
        <w:rPr>
          <w:sz w:val="20"/>
        </w:rPr>
        <w:t>First</w:t>
      </w:r>
      <w:r>
        <w:rPr>
          <w:spacing w:val="-2"/>
          <w:sz w:val="20"/>
        </w:rPr>
        <w:t xml:space="preserve"> </w:t>
      </w:r>
      <w:r>
        <w:rPr>
          <w:sz w:val="20"/>
        </w:rPr>
        <w:t>Written</w:t>
      </w:r>
      <w:r>
        <w:rPr>
          <w:spacing w:val="-2"/>
          <w:sz w:val="20"/>
        </w:rPr>
        <w:t xml:space="preserve"> Submission</w:t>
      </w:r>
    </w:p>
    <w:p w14:paraId="51DE7D5C" w14:textId="77777777" w:rsidR="0010369C" w:rsidRDefault="008E43AE">
      <w:pPr>
        <w:tabs>
          <w:tab w:val="left" w:pos="8228"/>
        </w:tabs>
        <w:spacing w:before="1"/>
        <w:ind w:left="239"/>
        <w:rPr>
          <w:sz w:val="20"/>
        </w:rPr>
      </w:pPr>
      <w:r>
        <w:rPr>
          <w:i/>
          <w:sz w:val="20"/>
        </w:rPr>
        <w:t>on</w:t>
      </w:r>
      <w:r>
        <w:rPr>
          <w:i/>
          <w:spacing w:val="-1"/>
          <w:sz w:val="20"/>
        </w:rPr>
        <w:t xml:space="preserve"> </w:t>
      </w:r>
      <w:r>
        <w:rPr>
          <w:i/>
          <w:sz w:val="20"/>
        </w:rPr>
        <w:t>Wine</w:t>
      </w:r>
      <w:r>
        <w:rPr>
          <w:i/>
          <w:spacing w:val="-1"/>
          <w:sz w:val="20"/>
        </w:rPr>
        <w:t xml:space="preserve"> </w:t>
      </w:r>
      <w:r>
        <w:rPr>
          <w:i/>
          <w:sz w:val="20"/>
        </w:rPr>
        <w:t>from</w:t>
      </w:r>
      <w:r>
        <w:rPr>
          <w:i/>
          <w:spacing w:val="-3"/>
          <w:sz w:val="20"/>
        </w:rPr>
        <w:t xml:space="preserve"> </w:t>
      </w:r>
      <w:r>
        <w:rPr>
          <w:i/>
          <w:sz w:val="20"/>
        </w:rPr>
        <w:t>Australia</w:t>
      </w:r>
      <w:r>
        <w:rPr>
          <w:i/>
          <w:spacing w:val="-1"/>
          <w:sz w:val="20"/>
        </w:rPr>
        <w:t xml:space="preserve"> </w:t>
      </w:r>
      <w:r>
        <w:rPr>
          <w:spacing w:val="-2"/>
          <w:sz w:val="20"/>
        </w:rPr>
        <w:t>(DS602)</w:t>
      </w:r>
      <w:r>
        <w:rPr>
          <w:sz w:val="20"/>
        </w:rPr>
        <w:tab/>
        <w:t>29</w:t>
      </w:r>
      <w:r>
        <w:rPr>
          <w:spacing w:val="-1"/>
          <w:sz w:val="20"/>
        </w:rPr>
        <w:t xml:space="preserve"> </w:t>
      </w:r>
      <w:r>
        <w:rPr>
          <w:sz w:val="20"/>
        </w:rPr>
        <w:t>April</w:t>
      </w:r>
      <w:r>
        <w:rPr>
          <w:spacing w:val="-2"/>
          <w:sz w:val="20"/>
        </w:rPr>
        <w:t xml:space="preserve"> </w:t>
      </w:r>
      <w:r>
        <w:rPr>
          <w:spacing w:val="-4"/>
          <w:sz w:val="20"/>
        </w:rPr>
        <w:t>2022</w:t>
      </w:r>
    </w:p>
    <w:p w14:paraId="51DE7D5D" w14:textId="77777777" w:rsidR="0010369C" w:rsidRDefault="008E43AE">
      <w:pPr>
        <w:pStyle w:val="BodyText"/>
        <w:spacing w:before="34" w:line="360" w:lineRule="auto"/>
        <w:ind w:left="236" w:right="613" w:firstLine="852"/>
        <w:jc w:val="both"/>
      </w:pPr>
      <w:r>
        <w:rPr>
          <w:noProof/>
        </w:rPr>
        <w:drawing>
          <wp:anchor distT="0" distB="0" distL="0" distR="0" simplePos="0" relativeHeight="250770944" behindDoc="1" locked="0" layoutInCell="1" allowOverlap="1" wp14:anchorId="51DE9DB1" wp14:editId="51DE9DB2">
            <wp:simplePos x="0" y="0"/>
            <wp:positionH relativeFrom="page">
              <wp:posOffset>902208</wp:posOffset>
            </wp:positionH>
            <wp:positionV relativeFrom="paragraph">
              <wp:posOffset>72043</wp:posOffset>
            </wp:positionV>
            <wp:extent cx="182879" cy="100753"/>
            <wp:effectExtent l="0" t="0" r="0" b="0"/>
            <wp:wrapNone/>
            <wp:docPr id="147" name="image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82.png"/>
                    <pic:cNvPicPr/>
                  </pic:nvPicPr>
                  <pic:blipFill>
                    <a:blip r:embed="rId146" cstate="print"/>
                    <a:stretch>
                      <a:fillRect/>
                    </a:stretch>
                  </pic:blipFill>
                  <pic:spPr>
                    <a:xfrm>
                      <a:off x="0" y="0"/>
                      <a:ext cx="182879" cy="100753"/>
                    </a:xfrm>
                    <a:prstGeom prst="rect">
                      <a:avLst/>
                    </a:prstGeom>
                  </pic:spPr>
                </pic:pic>
              </a:graphicData>
            </a:graphic>
          </wp:anchor>
        </w:drawing>
      </w:r>
      <w:r>
        <w:t>The</w:t>
      </w:r>
      <w:r>
        <w:rPr>
          <w:spacing w:val="-9"/>
        </w:rPr>
        <w:t xml:space="preserve"> </w:t>
      </w:r>
      <w:r>
        <w:t>scope</w:t>
      </w:r>
      <w:r>
        <w:rPr>
          <w:spacing w:val="-10"/>
        </w:rPr>
        <w:t xml:space="preserve"> </w:t>
      </w:r>
      <w:r>
        <w:t>of</w:t>
      </w:r>
      <w:r>
        <w:rPr>
          <w:spacing w:val="-11"/>
        </w:rPr>
        <w:t xml:space="preserve"> </w:t>
      </w:r>
      <w:r>
        <w:t>the</w:t>
      </w:r>
      <w:r>
        <w:rPr>
          <w:spacing w:val="-9"/>
        </w:rPr>
        <w:t xml:space="preserve"> </w:t>
      </w:r>
      <w:r>
        <w:t>obligations</w:t>
      </w:r>
      <w:r>
        <w:rPr>
          <w:spacing w:val="-9"/>
        </w:rPr>
        <w:t xml:space="preserve"> </w:t>
      </w:r>
      <w:r>
        <w:t>in</w:t>
      </w:r>
      <w:r>
        <w:rPr>
          <w:spacing w:val="-10"/>
        </w:rPr>
        <w:t xml:space="preserve"> </w:t>
      </w:r>
      <w:r>
        <w:t>paragraph</w:t>
      </w:r>
      <w:r>
        <w:rPr>
          <w:spacing w:val="-10"/>
        </w:rPr>
        <w:t xml:space="preserve"> </w:t>
      </w:r>
      <w:r>
        <w:t>6</w:t>
      </w:r>
      <w:r>
        <w:rPr>
          <w:spacing w:val="-10"/>
        </w:rPr>
        <w:t xml:space="preserve"> </w:t>
      </w:r>
      <w:r>
        <w:t>are</w:t>
      </w:r>
      <w:r>
        <w:rPr>
          <w:spacing w:val="-9"/>
        </w:rPr>
        <w:t xml:space="preserve"> </w:t>
      </w:r>
      <w:r>
        <w:t>well</w:t>
      </w:r>
      <w:r>
        <w:rPr>
          <w:spacing w:val="-10"/>
        </w:rPr>
        <w:t xml:space="preserve"> </w:t>
      </w:r>
      <w:hyperlink r:id="rId147">
        <w:r>
          <w:t>settled.</w:t>
        </w:r>
        <w:r>
          <w:rPr>
            <w:vertAlign w:val="superscript"/>
          </w:rPr>
          <w:t>71</w:t>
        </w:r>
        <w:r>
          <w:rPr>
            <w:spacing w:val="-10"/>
          </w:rPr>
          <w:t xml:space="preserve"> </w:t>
        </w:r>
      </w:hyperlink>
      <w:r>
        <w:t>Paragraph</w:t>
      </w:r>
      <w:r>
        <w:rPr>
          <w:spacing w:val="-11"/>
        </w:rPr>
        <w:t xml:space="preserve"> </w:t>
      </w:r>
      <w:r>
        <w:t>6</w:t>
      </w:r>
      <w:r>
        <w:rPr>
          <w:spacing w:val="-10"/>
        </w:rPr>
        <w:t xml:space="preserve"> </w:t>
      </w:r>
      <w:r>
        <w:t>of</w:t>
      </w:r>
      <w:r>
        <w:rPr>
          <w:spacing w:val="-10"/>
        </w:rPr>
        <w:t xml:space="preserve"> </w:t>
      </w:r>
      <w:r>
        <w:t>Annex</w:t>
      </w:r>
      <w:r>
        <w:rPr>
          <w:spacing w:val="-3"/>
        </w:rPr>
        <w:t xml:space="preserve"> </w:t>
      </w:r>
      <w:r>
        <w:t xml:space="preserve">II is one of many important protections of due process obligations owed to interested parties participating in an </w:t>
      </w:r>
      <w:hyperlink r:id="rId148">
        <w:r>
          <w:t>investigation.</w:t>
        </w:r>
        <w:r>
          <w:rPr>
            <w:vertAlign w:val="superscript"/>
          </w:rPr>
          <w:t>72</w:t>
        </w:r>
        <w:r>
          <w:t xml:space="preserve"> </w:t>
        </w:r>
      </w:hyperlink>
      <w:r>
        <w:t>Investigating authorities have an obligation to inform an interested party "fort</w:t>
      </w:r>
      <w:r>
        <w:t>hwith" if information submitted by them is not accepted. The ordinary meaning of "forthwith", in the context of paragraph 6, is "[i]mmediately, at once, without delay or interval".</w:t>
      </w:r>
      <w:r>
        <w:rPr>
          <w:vertAlign w:val="superscript"/>
        </w:rPr>
        <w:t>73</w:t>
      </w:r>
      <w:r>
        <w:t xml:space="preserve"> The ordinary meaning of "reason" is "an account or explanation of, or ans</w:t>
      </w:r>
      <w:r>
        <w:t>wer</w:t>
      </w:r>
      <w:r>
        <w:rPr>
          <w:spacing w:val="-6"/>
        </w:rPr>
        <w:t xml:space="preserve"> </w:t>
      </w:r>
      <w:r>
        <w:t>to,</w:t>
      </w:r>
      <w:r>
        <w:rPr>
          <w:spacing w:val="-6"/>
        </w:rPr>
        <w:t xml:space="preserve"> </w:t>
      </w:r>
      <w:r>
        <w:t>something".</w:t>
      </w:r>
      <w:r>
        <w:rPr>
          <w:vertAlign w:val="superscript"/>
        </w:rPr>
        <w:t>74</w:t>
      </w:r>
      <w:r>
        <w:rPr>
          <w:spacing w:val="-7"/>
        </w:rPr>
        <w:t xml:space="preserve"> </w:t>
      </w:r>
      <w:r>
        <w:t>Therefore</w:t>
      </w:r>
      <w:r>
        <w:rPr>
          <w:spacing w:val="-6"/>
        </w:rPr>
        <w:t xml:space="preserve"> </w:t>
      </w:r>
      <w:r>
        <w:t>paragraph</w:t>
      </w:r>
      <w:r>
        <w:rPr>
          <w:spacing w:val="-6"/>
        </w:rPr>
        <w:t xml:space="preserve"> </w:t>
      </w:r>
      <w:r>
        <w:t>6</w:t>
      </w:r>
      <w:r>
        <w:rPr>
          <w:spacing w:val="-7"/>
        </w:rPr>
        <w:t xml:space="preserve"> </w:t>
      </w:r>
      <w:r>
        <w:t>requires</w:t>
      </w:r>
      <w:r>
        <w:rPr>
          <w:spacing w:val="-7"/>
        </w:rPr>
        <w:t xml:space="preserve"> </w:t>
      </w:r>
      <w:r>
        <w:t>an</w:t>
      </w:r>
      <w:r>
        <w:rPr>
          <w:spacing w:val="-7"/>
        </w:rPr>
        <w:t xml:space="preserve"> </w:t>
      </w:r>
      <w:r>
        <w:t>investigating</w:t>
      </w:r>
      <w:r>
        <w:rPr>
          <w:spacing w:val="-5"/>
        </w:rPr>
        <w:t xml:space="preserve"> </w:t>
      </w:r>
      <w:r>
        <w:t>authority</w:t>
      </w:r>
      <w:r>
        <w:rPr>
          <w:spacing w:val="-6"/>
        </w:rPr>
        <w:t xml:space="preserve"> </w:t>
      </w:r>
      <w:r>
        <w:t>to</w:t>
      </w:r>
      <w:r>
        <w:rPr>
          <w:spacing w:val="-7"/>
        </w:rPr>
        <w:t xml:space="preserve"> </w:t>
      </w:r>
      <w:r>
        <w:t>give</w:t>
      </w:r>
      <w:r>
        <w:rPr>
          <w:spacing w:val="-4"/>
        </w:rPr>
        <w:t xml:space="preserve"> </w:t>
      </w:r>
      <w:r>
        <w:t>an account or explanation of why information was not accepted immediately after the decision to reject it was made.</w:t>
      </w:r>
    </w:p>
    <w:p w14:paraId="51DE7D5E" w14:textId="77777777" w:rsidR="0010369C" w:rsidRDefault="0010369C">
      <w:pPr>
        <w:pStyle w:val="BodyText"/>
        <w:spacing w:before="11"/>
        <w:rPr>
          <w:sz w:val="8"/>
        </w:rPr>
      </w:pPr>
    </w:p>
    <w:p w14:paraId="51DE7D5F" w14:textId="77777777" w:rsidR="0010369C" w:rsidRDefault="008E43AE">
      <w:pPr>
        <w:pStyle w:val="BodyText"/>
        <w:spacing w:before="51" w:line="360" w:lineRule="auto"/>
        <w:ind w:left="236" w:right="613" w:firstLine="853"/>
        <w:jc w:val="both"/>
      </w:pPr>
      <w:r>
        <w:rPr>
          <w:noProof/>
        </w:rPr>
        <w:drawing>
          <wp:anchor distT="0" distB="0" distL="0" distR="0" simplePos="0" relativeHeight="250771968" behindDoc="1" locked="0" layoutInCell="1" allowOverlap="1" wp14:anchorId="51DE9DB3" wp14:editId="51DE9DB4">
            <wp:simplePos x="0" y="0"/>
            <wp:positionH relativeFrom="page">
              <wp:posOffset>902208</wp:posOffset>
            </wp:positionH>
            <wp:positionV relativeFrom="paragraph">
              <wp:posOffset>76150</wp:posOffset>
            </wp:positionV>
            <wp:extent cx="182879" cy="106679"/>
            <wp:effectExtent l="0" t="0" r="0" b="0"/>
            <wp:wrapNone/>
            <wp:docPr id="149" name="image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83.png"/>
                    <pic:cNvPicPr/>
                  </pic:nvPicPr>
                  <pic:blipFill>
                    <a:blip r:embed="rId149" cstate="print"/>
                    <a:stretch>
                      <a:fillRect/>
                    </a:stretch>
                  </pic:blipFill>
                  <pic:spPr>
                    <a:xfrm>
                      <a:off x="0" y="0"/>
                      <a:ext cx="182879" cy="106679"/>
                    </a:xfrm>
                    <a:prstGeom prst="rect">
                      <a:avLst/>
                    </a:prstGeom>
                  </pic:spPr>
                </pic:pic>
              </a:graphicData>
            </a:graphic>
          </wp:anchor>
        </w:drawing>
      </w:r>
      <w:r>
        <w:t>An investigating authority must then afford intere</w:t>
      </w:r>
      <w:r>
        <w:t xml:space="preserve">sted parties an opportunity to provide further explanations as to why the information should be taken into </w:t>
      </w:r>
      <w:hyperlink r:id="rId150">
        <w:r>
          <w:t>account.</w:t>
        </w:r>
        <w:r>
          <w:rPr>
            <w:vertAlign w:val="superscript"/>
          </w:rPr>
          <w:t>75</w:t>
        </w:r>
        <w:r>
          <w:t xml:space="preserve"> </w:t>
        </w:r>
      </w:hyperlink>
      <w:r>
        <w:t>An investigating</w:t>
      </w:r>
      <w:r>
        <w:rPr>
          <w:spacing w:val="-1"/>
        </w:rPr>
        <w:t xml:space="preserve"> </w:t>
      </w:r>
      <w:r>
        <w:t>authority</w:t>
      </w:r>
      <w:r>
        <w:rPr>
          <w:spacing w:val="-3"/>
        </w:rPr>
        <w:t xml:space="preserve"> </w:t>
      </w:r>
      <w:r>
        <w:t>must</w:t>
      </w:r>
      <w:r>
        <w:rPr>
          <w:spacing w:val="-3"/>
        </w:rPr>
        <w:t xml:space="preserve"> </w:t>
      </w:r>
      <w:r>
        <w:t>provide</w:t>
      </w:r>
      <w:r>
        <w:rPr>
          <w:spacing w:val="-2"/>
        </w:rPr>
        <w:t xml:space="preserve"> </w:t>
      </w:r>
      <w:r>
        <w:t>reasons</w:t>
      </w:r>
      <w:r>
        <w:rPr>
          <w:spacing w:val="-4"/>
        </w:rPr>
        <w:t xml:space="preserve"> </w:t>
      </w:r>
      <w:r>
        <w:t>if</w:t>
      </w:r>
      <w:r>
        <w:rPr>
          <w:spacing w:val="-3"/>
        </w:rPr>
        <w:t xml:space="preserve"> </w:t>
      </w:r>
      <w:r>
        <w:t>it</w:t>
      </w:r>
      <w:r>
        <w:rPr>
          <w:spacing w:val="-3"/>
        </w:rPr>
        <w:t xml:space="preserve"> </w:t>
      </w:r>
      <w:r>
        <w:t>rejects</w:t>
      </w:r>
      <w:r>
        <w:rPr>
          <w:spacing w:val="-4"/>
        </w:rPr>
        <w:t xml:space="preserve"> </w:t>
      </w:r>
      <w:r>
        <w:t>the</w:t>
      </w:r>
      <w:r>
        <w:rPr>
          <w:spacing w:val="-3"/>
        </w:rPr>
        <w:t xml:space="preserve"> </w:t>
      </w:r>
      <w:r>
        <w:t>information</w:t>
      </w:r>
      <w:r>
        <w:rPr>
          <w:spacing w:val="-2"/>
        </w:rPr>
        <w:t xml:space="preserve"> </w:t>
      </w:r>
      <w:r>
        <w:t>notwithstanding</w:t>
      </w:r>
      <w:r>
        <w:rPr>
          <w:spacing w:val="-1"/>
        </w:rPr>
        <w:t xml:space="preserve"> </w:t>
      </w:r>
      <w:r>
        <w:t xml:space="preserve">the explanations. It is not sufficient for an investigating authority to simply provide a "general statement" of the possibility that a determination may be made on the basis of facts </w:t>
      </w:r>
      <w:hyperlink r:id="rId151">
        <w:r>
          <w:t>available.</w:t>
        </w:r>
        <w:r>
          <w:rPr>
            <w:vertAlign w:val="superscript"/>
          </w:rPr>
          <w:t>76</w:t>
        </w:r>
      </w:hyperlink>
      <w:r>
        <w:t xml:space="preserve"> In</w:t>
      </w:r>
      <w:r>
        <w:t xml:space="preserve"> order to satisfy paragraph 6, an investigating authority must provide an "affirmative and direct notification" to the interested party concerned that submitted information has been rejected, and the reasons for the </w:t>
      </w:r>
      <w:hyperlink r:id="rId152">
        <w:r>
          <w:t>rejection.</w:t>
        </w:r>
        <w:r>
          <w:rPr>
            <w:vertAlign w:val="superscript"/>
          </w:rPr>
          <w:t>77</w:t>
        </w:r>
      </w:hyperlink>
    </w:p>
    <w:p w14:paraId="51DE7D60" w14:textId="77777777" w:rsidR="0010369C" w:rsidRDefault="0010369C">
      <w:pPr>
        <w:pStyle w:val="BodyText"/>
        <w:spacing w:before="11"/>
        <w:rPr>
          <w:sz w:val="8"/>
        </w:rPr>
      </w:pPr>
    </w:p>
    <w:p w14:paraId="51DE7D61" w14:textId="77777777" w:rsidR="0010369C" w:rsidRDefault="008E43AE">
      <w:pPr>
        <w:pStyle w:val="BodyText"/>
        <w:spacing w:before="52" w:line="360" w:lineRule="auto"/>
        <w:ind w:left="237" w:right="613" w:firstLine="851"/>
        <w:jc w:val="both"/>
      </w:pPr>
      <w:r>
        <w:rPr>
          <w:noProof/>
        </w:rPr>
        <w:drawing>
          <wp:anchor distT="0" distB="0" distL="0" distR="0" simplePos="0" relativeHeight="250772992" behindDoc="1" locked="0" layoutInCell="1" allowOverlap="1" wp14:anchorId="51DE9DB5" wp14:editId="51DE9DB6">
            <wp:simplePos x="0" y="0"/>
            <wp:positionH relativeFrom="page">
              <wp:posOffset>902208</wp:posOffset>
            </wp:positionH>
            <wp:positionV relativeFrom="paragraph">
              <wp:posOffset>80595</wp:posOffset>
            </wp:positionV>
            <wp:extent cx="182879" cy="103631"/>
            <wp:effectExtent l="0" t="0" r="0" b="0"/>
            <wp:wrapNone/>
            <wp:docPr id="151" name="image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84.png"/>
                    <pic:cNvPicPr/>
                  </pic:nvPicPr>
                  <pic:blipFill>
                    <a:blip r:embed="rId153" cstate="print"/>
                    <a:stretch>
                      <a:fillRect/>
                    </a:stretch>
                  </pic:blipFill>
                  <pic:spPr>
                    <a:xfrm>
                      <a:off x="0" y="0"/>
                      <a:ext cx="182879" cy="103631"/>
                    </a:xfrm>
                    <a:prstGeom prst="rect">
                      <a:avLst/>
                    </a:prstGeom>
                  </pic:spPr>
                </pic:pic>
              </a:graphicData>
            </a:graphic>
          </wp:anchor>
        </w:drawing>
      </w:r>
      <w:r>
        <w:t xml:space="preserve">The Panel in </w:t>
      </w:r>
      <w:r>
        <w:rPr>
          <w:i/>
        </w:rPr>
        <w:t xml:space="preserve">Egypt – Steel Rebar </w:t>
      </w:r>
      <w:r>
        <w:t>clarified that there is no temporal limitation on the requirements</w:t>
      </w:r>
      <w:r>
        <w:rPr>
          <w:spacing w:val="-14"/>
        </w:rPr>
        <w:t xml:space="preserve"> </w:t>
      </w:r>
      <w:r>
        <w:t>set</w:t>
      </w:r>
      <w:r>
        <w:rPr>
          <w:spacing w:val="-14"/>
        </w:rPr>
        <w:t xml:space="preserve"> </w:t>
      </w:r>
      <w:r>
        <w:t>out</w:t>
      </w:r>
      <w:r>
        <w:rPr>
          <w:spacing w:val="-13"/>
        </w:rPr>
        <w:t xml:space="preserve"> </w:t>
      </w:r>
      <w:r>
        <w:t>in</w:t>
      </w:r>
      <w:r>
        <w:rPr>
          <w:spacing w:val="-14"/>
        </w:rPr>
        <w:t xml:space="preserve"> </w:t>
      </w:r>
      <w:r>
        <w:t>paragraph</w:t>
      </w:r>
      <w:r>
        <w:rPr>
          <w:spacing w:val="-13"/>
        </w:rPr>
        <w:t xml:space="preserve"> </w:t>
      </w:r>
      <w:r>
        <w:t>6,</w:t>
      </w:r>
      <w:r>
        <w:rPr>
          <w:spacing w:val="-14"/>
        </w:rPr>
        <w:t xml:space="preserve"> </w:t>
      </w:r>
      <w:r>
        <w:t>and</w:t>
      </w:r>
      <w:r>
        <w:rPr>
          <w:spacing w:val="-13"/>
        </w:rPr>
        <w:t xml:space="preserve"> </w:t>
      </w:r>
      <w:r>
        <w:t>they</w:t>
      </w:r>
      <w:r>
        <w:rPr>
          <w:spacing w:val="-14"/>
        </w:rPr>
        <w:t xml:space="preserve"> </w:t>
      </w:r>
      <w:r>
        <w:t>apply</w:t>
      </w:r>
      <w:r>
        <w:rPr>
          <w:spacing w:val="-14"/>
        </w:rPr>
        <w:t xml:space="preserve"> </w:t>
      </w:r>
      <w:r>
        <w:t>to</w:t>
      </w:r>
      <w:r>
        <w:rPr>
          <w:spacing w:val="-13"/>
        </w:rPr>
        <w:t xml:space="preserve"> </w:t>
      </w:r>
      <w:r>
        <w:t>information</w:t>
      </w:r>
      <w:r>
        <w:rPr>
          <w:spacing w:val="-14"/>
        </w:rPr>
        <w:t xml:space="preserve"> </w:t>
      </w:r>
      <w:r>
        <w:t>requests</w:t>
      </w:r>
      <w:r>
        <w:rPr>
          <w:spacing w:val="-13"/>
        </w:rPr>
        <w:t xml:space="preserve"> </w:t>
      </w:r>
      <w:r>
        <w:t>made</w:t>
      </w:r>
      <w:r>
        <w:rPr>
          <w:spacing w:val="-14"/>
        </w:rPr>
        <w:t xml:space="preserve"> </w:t>
      </w:r>
      <w:r>
        <w:t>throughout the</w:t>
      </w:r>
      <w:r>
        <w:rPr>
          <w:spacing w:val="-9"/>
        </w:rPr>
        <w:t xml:space="preserve"> </w:t>
      </w:r>
      <w:r>
        <w:t>course</w:t>
      </w:r>
      <w:r>
        <w:rPr>
          <w:spacing w:val="-10"/>
        </w:rPr>
        <w:t xml:space="preserve"> </w:t>
      </w:r>
      <w:r>
        <w:t>of</w:t>
      </w:r>
      <w:r>
        <w:rPr>
          <w:spacing w:val="-10"/>
        </w:rPr>
        <w:t xml:space="preserve"> </w:t>
      </w:r>
      <w:r>
        <w:t>an</w:t>
      </w:r>
      <w:r>
        <w:rPr>
          <w:spacing w:val="-10"/>
        </w:rPr>
        <w:t xml:space="preserve"> </w:t>
      </w:r>
      <w:hyperlink r:id="rId154">
        <w:r>
          <w:t>investigation.</w:t>
        </w:r>
        <w:r>
          <w:rPr>
            <w:vertAlign w:val="superscript"/>
          </w:rPr>
          <w:t>78</w:t>
        </w:r>
      </w:hyperlink>
      <w:r>
        <w:rPr>
          <w:spacing w:val="34"/>
        </w:rPr>
        <w:t xml:space="preserve"> </w:t>
      </w:r>
      <w:r>
        <w:t>However,</w:t>
      </w:r>
      <w:r>
        <w:rPr>
          <w:spacing w:val="-10"/>
        </w:rPr>
        <w:t xml:space="preserve"> </w:t>
      </w:r>
      <w:r>
        <w:t>that</w:t>
      </w:r>
      <w:r>
        <w:rPr>
          <w:spacing w:val="-10"/>
        </w:rPr>
        <w:t xml:space="preserve"> </w:t>
      </w:r>
      <w:r>
        <w:t>Panel</w:t>
      </w:r>
      <w:r>
        <w:rPr>
          <w:spacing w:val="-10"/>
        </w:rPr>
        <w:t xml:space="preserve"> </w:t>
      </w:r>
      <w:r>
        <w:t>also</w:t>
      </w:r>
      <w:r>
        <w:rPr>
          <w:spacing w:val="-10"/>
        </w:rPr>
        <w:t xml:space="preserve"> </w:t>
      </w:r>
      <w:r>
        <w:t>clarified</w:t>
      </w:r>
      <w:r>
        <w:rPr>
          <w:spacing w:val="-10"/>
        </w:rPr>
        <w:t xml:space="preserve"> </w:t>
      </w:r>
      <w:r>
        <w:t>that</w:t>
      </w:r>
      <w:r>
        <w:rPr>
          <w:spacing w:val="-10"/>
        </w:rPr>
        <w:t xml:space="preserve"> </w:t>
      </w:r>
      <w:r>
        <w:t>the</w:t>
      </w:r>
      <w:r>
        <w:rPr>
          <w:spacing w:val="-10"/>
        </w:rPr>
        <w:t xml:space="preserve"> </w:t>
      </w:r>
      <w:r>
        <w:t>requirements</w:t>
      </w:r>
      <w:r>
        <w:rPr>
          <w:spacing w:val="-11"/>
        </w:rPr>
        <w:t xml:space="preserve"> </w:t>
      </w:r>
      <w:r>
        <w:t xml:space="preserve">only pertain to "necessary" information in the sense of Article 6.8 and not any information </w:t>
      </w:r>
      <w:hyperlink r:id="rId155">
        <w:r>
          <w:rPr>
            <w:spacing w:val="-2"/>
          </w:rPr>
          <w:t>submitted.</w:t>
        </w:r>
        <w:r>
          <w:rPr>
            <w:spacing w:val="-2"/>
            <w:vertAlign w:val="superscript"/>
          </w:rPr>
          <w:t>79</w:t>
        </w:r>
      </w:hyperlink>
    </w:p>
    <w:p w14:paraId="51DE7D62" w14:textId="77777777" w:rsidR="0010369C" w:rsidRDefault="0010369C">
      <w:pPr>
        <w:pStyle w:val="BodyText"/>
        <w:rPr>
          <w:sz w:val="20"/>
        </w:rPr>
      </w:pPr>
    </w:p>
    <w:p w14:paraId="51DE7D63" w14:textId="77777777" w:rsidR="0010369C" w:rsidRDefault="008E43AE">
      <w:pPr>
        <w:pStyle w:val="BodyText"/>
        <w:spacing w:before="7"/>
        <w:rPr>
          <w:sz w:val="26"/>
        </w:rPr>
      </w:pPr>
      <w:r>
        <w:pict w14:anchorId="51DE9DB7">
          <v:rect id="docshape91" o:spid="_x0000_s3173" style="position:absolute;margin-left:70.9pt;margin-top:17.45pt;width:2in;height:.8pt;z-index:-251245056;mso-wrap-distance-left:0;mso-wrap-distance-right:0;mso-position-horizontal-relative:page" fillcolor="black" stroked="f">
            <w10:wrap type="topAndBottom" anchorx="page"/>
          </v:rect>
        </w:pict>
      </w:r>
    </w:p>
    <w:p w14:paraId="51DE7D64" w14:textId="77777777" w:rsidR="0010369C" w:rsidRDefault="008E43AE">
      <w:pPr>
        <w:spacing w:before="109"/>
        <w:ind w:left="238"/>
        <w:rPr>
          <w:sz w:val="18"/>
        </w:rPr>
      </w:pPr>
      <w:r>
        <w:rPr>
          <w:sz w:val="18"/>
          <w:vertAlign w:val="superscript"/>
        </w:rPr>
        <w:t>71</w:t>
      </w:r>
      <w:r>
        <w:rPr>
          <w:spacing w:val="-5"/>
          <w:sz w:val="18"/>
        </w:rPr>
        <w:t xml:space="preserve"> </w:t>
      </w:r>
      <w:r>
        <w:rPr>
          <w:sz w:val="18"/>
        </w:rPr>
        <w:t>Panel</w:t>
      </w:r>
      <w:r>
        <w:rPr>
          <w:spacing w:val="-6"/>
          <w:sz w:val="18"/>
        </w:rPr>
        <w:t xml:space="preserve"> </w:t>
      </w:r>
      <w:r>
        <w:rPr>
          <w:sz w:val="18"/>
        </w:rPr>
        <w:t>Report,</w:t>
      </w:r>
      <w:r>
        <w:rPr>
          <w:spacing w:val="-5"/>
          <w:sz w:val="18"/>
        </w:rPr>
        <w:t xml:space="preserve"> </w:t>
      </w:r>
      <w:r>
        <w:rPr>
          <w:i/>
          <w:sz w:val="18"/>
        </w:rPr>
        <w:t>Mexico</w:t>
      </w:r>
      <w:r>
        <w:rPr>
          <w:i/>
          <w:spacing w:val="-5"/>
          <w:sz w:val="18"/>
        </w:rPr>
        <w:t xml:space="preserve"> </w:t>
      </w:r>
      <w:r>
        <w:rPr>
          <w:i/>
          <w:sz w:val="18"/>
        </w:rPr>
        <w:t>–</w:t>
      </w:r>
      <w:r>
        <w:rPr>
          <w:i/>
          <w:spacing w:val="-5"/>
          <w:sz w:val="18"/>
        </w:rPr>
        <w:t xml:space="preserve"> </w:t>
      </w:r>
      <w:r>
        <w:rPr>
          <w:i/>
          <w:sz w:val="18"/>
        </w:rPr>
        <w:t>Steel</w:t>
      </w:r>
      <w:r>
        <w:rPr>
          <w:i/>
          <w:spacing w:val="-6"/>
          <w:sz w:val="18"/>
        </w:rPr>
        <w:t xml:space="preserve"> </w:t>
      </w:r>
      <w:r>
        <w:rPr>
          <w:i/>
          <w:sz w:val="18"/>
        </w:rPr>
        <w:t>Pipes</w:t>
      </w:r>
      <w:r>
        <w:rPr>
          <w:i/>
          <w:spacing w:val="-6"/>
          <w:sz w:val="18"/>
        </w:rPr>
        <w:t xml:space="preserve"> </w:t>
      </w:r>
      <w:r>
        <w:rPr>
          <w:i/>
          <w:sz w:val="18"/>
        </w:rPr>
        <w:t>and</w:t>
      </w:r>
      <w:r>
        <w:rPr>
          <w:i/>
          <w:spacing w:val="-5"/>
          <w:sz w:val="18"/>
        </w:rPr>
        <w:t xml:space="preserve"> </w:t>
      </w:r>
      <w:r>
        <w:rPr>
          <w:i/>
          <w:sz w:val="18"/>
        </w:rPr>
        <w:t>Tubes</w:t>
      </w:r>
      <w:r>
        <w:rPr>
          <w:sz w:val="18"/>
        </w:rPr>
        <w:t>,</w:t>
      </w:r>
      <w:r>
        <w:rPr>
          <w:spacing w:val="-6"/>
          <w:sz w:val="18"/>
        </w:rPr>
        <w:t xml:space="preserve"> </w:t>
      </w:r>
      <w:r>
        <w:rPr>
          <w:sz w:val="18"/>
        </w:rPr>
        <w:t>para.</w:t>
      </w:r>
      <w:r>
        <w:rPr>
          <w:spacing w:val="-5"/>
          <w:sz w:val="18"/>
        </w:rPr>
        <w:t xml:space="preserve"> </w:t>
      </w:r>
      <w:r>
        <w:rPr>
          <w:spacing w:val="-2"/>
          <w:sz w:val="18"/>
        </w:rPr>
        <w:t>7.186.</w:t>
      </w:r>
    </w:p>
    <w:p w14:paraId="51DE7D65" w14:textId="77777777" w:rsidR="0010369C" w:rsidRDefault="008E43AE">
      <w:pPr>
        <w:spacing w:before="1"/>
        <w:ind w:left="238" w:right="614" w:hanging="1"/>
        <w:rPr>
          <w:sz w:val="18"/>
        </w:rPr>
      </w:pPr>
      <w:r>
        <w:rPr>
          <w:sz w:val="18"/>
          <w:vertAlign w:val="superscript"/>
        </w:rPr>
        <w:t>72</w:t>
      </w:r>
      <w:r>
        <w:rPr>
          <w:spacing w:val="-2"/>
          <w:sz w:val="18"/>
        </w:rPr>
        <w:t xml:space="preserve"> </w:t>
      </w:r>
      <w:r>
        <w:rPr>
          <w:sz w:val="18"/>
        </w:rPr>
        <w:t>For</w:t>
      </w:r>
      <w:r>
        <w:rPr>
          <w:spacing w:val="-2"/>
          <w:sz w:val="18"/>
        </w:rPr>
        <w:t xml:space="preserve"> </w:t>
      </w:r>
      <w:r>
        <w:rPr>
          <w:sz w:val="18"/>
        </w:rPr>
        <w:t>example,</w:t>
      </w:r>
      <w:r>
        <w:rPr>
          <w:spacing w:val="-3"/>
          <w:sz w:val="18"/>
        </w:rPr>
        <w:t xml:space="preserve"> </w:t>
      </w:r>
      <w:r>
        <w:rPr>
          <w:sz w:val="18"/>
        </w:rPr>
        <w:t>Article</w:t>
      </w:r>
      <w:r>
        <w:rPr>
          <w:spacing w:val="-2"/>
          <w:sz w:val="18"/>
        </w:rPr>
        <w:t xml:space="preserve"> </w:t>
      </w:r>
      <w:r>
        <w:rPr>
          <w:sz w:val="18"/>
        </w:rPr>
        <w:t>6</w:t>
      </w:r>
      <w:r>
        <w:rPr>
          <w:spacing w:val="-2"/>
          <w:sz w:val="18"/>
        </w:rPr>
        <w:t xml:space="preserve"> </w:t>
      </w:r>
      <w:r>
        <w:rPr>
          <w:sz w:val="18"/>
        </w:rPr>
        <w:t>of</w:t>
      </w:r>
      <w:r>
        <w:rPr>
          <w:spacing w:val="-2"/>
          <w:sz w:val="18"/>
        </w:rPr>
        <w:t xml:space="preserve"> </w:t>
      </w:r>
      <w:r>
        <w:rPr>
          <w:sz w:val="18"/>
        </w:rPr>
        <w:t>the</w:t>
      </w:r>
      <w:r>
        <w:rPr>
          <w:spacing w:val="-2"/>
          <w:sz w:val="18"/>
        </w:rPr>
        <w:t xml:space="preserve"> </w:t>
      </w:r>
      <w:r>
        <w:rPr>
          <w:sz w:val="18"/>
        </w:rPr>
        <w:t>Anti‐Dumping</w:t>
      </w:r>
      <w:r>
        <w:rPr>
          <w:spacing w:val="-2"/>
          <w:sz w:val="18"/>
        </w:rPr>
        <w:t xml:space="preserve"> </w:t>
      </w:r>
      <w:r>
        <w:rPr>
          <w:sz w:val="18"/>
        </w:rPr>
        <w:t>Agreement</w:t>
      </w:r>
      <w:r>
        <w:rPr>
          <w:spacing w:val="-3"/>
          <w:sz w:val="18"/>
        </w:rPr>
        <w:t xml:space="preserve"> </w:t>
      </w:r>
      <w:r>
        <w:rPr>
          <w:sz w:val="18"/>
        </w:rPr>
        <w:t>safeguards</w:t>
      </w:r>
      <w:r>
        <w:rPr>
          <w:spacing w:val="-2"/>
          <w:sz w:val="18"/>
        </w:rPr>
        <w:t xml:space="preserve"> </w:t>
      </w:r>
      <w:r>
        <w:rPr>
          <w:sz w:val="18"/>
        </w:rPr>
        <w:t>other</w:t>
      </w:r>
      <w:r>
        <w:rPr>
          <w:spacing w:val="-2"/>
          <w:sz w:val="18"/>
        </w:rPr>
        <w:t xml:space="preserve"> </w:t>
      </w:r>
      <w:r>
        <w:rPr>
          <w:sz w:val="18"/>
        </w:rPr>
        <w:t>important</w:t>
      </w:r>
      <w:r>
        <w:rPr>
          <w:spacing w:val="-2"/>
          <w:sz w:val="18"/>
        </w:rPr>
        <w:t xml:space="preserve"> </w:t>
      </w:r>
      <w:r>
        <w:rPr>
          <w:sz w:val="18"/>
        </w:rPr>
        <w:t>due</w:t>
      </w:r>
      <w:r>
        <w:rPr>
          <w:spacing w:val="-2"/>
          <w:sz w:val="18"/>
        </w:rPr>
        <w:t xml:space="preserve"> </w:t>
      </w:r>
      <w:r>
        <w:rPr>
          <w:sz w:val="18"/>
        </w:rPr>
        <w:t>process</w:t>
      </w:r>
      <w:r>
        <w:rPr>
          <w:spacing w:val="-4"/>
          <w:sz w:val="18"/>
        </w:rPr>
        <w:t xml:space="preserve"> </w:t>
      </w:r>
      <w:r>
        <w:rPr>
          <w:sz w:val="18"/>
        </w:rPr>
        <w:t>obligations.</w:t>
      </w:r>
      <w:r>
        <w:rPr>
          <w:spacing w:val="-2"/>
          <w:sz w:val="18"/>
        </w:rPr>
        <w:t xml:space="preserve"> </w:t>
      </w:r>
      <w:r>
        <w:rPr>
          <w:sz w:val="18"/>
        </w:rPr>
        <w:t>In</w:t>
      </w:r>
      <w:r>
        <w:rPr>
          <w:spacing w:val="-2"/>
          <w:sz w:val="18"/>
        </w:rPr>
        <w:t xml:space="preserve"> </w:t>
      </w:r>
      <w:r>
        <w:rPr>
          <w:sz w:val="18"/>
        </w:rPr>
        <w:t>particular, Article 6 mandates particular disclosure obligations. Article 6.5.1 sets out that parties must have access to a summary of confidential information. See Panel Report,</w:t>
      </w:r>
      <w:r>
        <w:rPr>
          <w:sz w:val="18"/>
        </w:rPr>
        <w:t xml:space="preserve"> </w:t>
      </w:r>
      <w:r>
        <w:rPr>
          <w:i/>
          <w:sz w:val="18"/>
        </w:rPr>
        <w:t>China – GOES</w:t>
      </w:r>
      <w:r>
        <w:rPr>
          <w:sz w:val="18"/>
        </w:rPr>
        <w:t>, para. 7.205.</w:t>
      </w:r>
    </w:p>
    <w:p w14:paraId="51DE7D66" w14:textId="77777777" w:rsidR="0010369C" w:rsidRDefault="008E43AE">
      <w:pPr>
        <w:ind w:left="238" w:right="614" w:hanging="1"/>
        <w:rPr>
          <w:sz w:val="18"/>
        </w:rPr>
      </w:pPr>
      <w:r>
        <w:rPr>
          <w:sz w:val="18"/>
          <w:vertAlign w:val="superscript"/>
        </w:rPr>
        <w:t>73</w:t>
      </w:r>
      <w:r>
        <w:rPr>
          <w:spacing w:val="-3"/>
          <w:sz w:val="18"/>
        </w:rPr>
        <w:t xml:space="preserve"> </w:t>
      </w:r>
      <w:r>
        <w:rPr>
          <w:sz w:val="18"/>
        </w:rPr>
        <w:t>Oxford</w:t>
      </w:r>
      <w:r>
        <w:rPr>
          <w:spacing w:val="-3"/>
          <w:sz w:val="18"/>
        </w:rPr>
        <w:t xml:space="preserve"> </w:t>
      </w:r>
      <w:r>
        <w:rPr>
          <w:sz w:val="18"/>
        </w:rPr>
        <w:t>English</w:t>
      </w:r>
      <w:r>
        <w:rPr>
          <w:spacing w:val="-3"/>
          <w:sz w:val="18"/>
        </w:rPr>
        <w:t xml:space="preserve"> </w:t>
      </w:r>
      <w:r>
        <w:rPr>
          <w:sz w:val="18"/>
        </w:rPr>
        <w:t>Dictionary</w:t>
      </w:r>
      <w:r>
        <w:rPr>
          <w:spacing w:val="-2"/>
          <w:sz w:val="18"/>
        </w:rPr>
        <w:t xml:space="preserve"> </w:t>
      </w:r>
      <w:r>
        <w:rPr>
          <w:sz w:val="18"/>
        </w:rPr>
        <w:t>online,</w:t>
      </w:r>
      <w:r>
        <w:rPr>
          <w:spacing w:val="-3"/>
          <w:sz w:val="18"/>
        </w:rPr>
        <w:t xml:space="preserve"> </w:t>
      </w:r>
      <w:r>
        <w:rPr>
          <w:sz w:val="18"/>
        </w:rPr>
        <w:t>definition</w:t>
      </w:r>
      <w:r>
        <w:rPr>
          <w:spacing w:val="-3"/>
          <w:sz w:val="18"/>
        </w:rPr>
        <w:t xml:space="preserve"> </w:t>
      </w:r>
      <w:r>
        <w:rPr>
          <w:sz w:val="18"/>
        </w:rPr>
        <w:t>of</w:t>
      </w:r>
      <w:r>
        <w:rPr>
          <w:spacing w:val="-3"/>
          <w:sz w:val="18"/>
        </w:rPr>
        <w:t xml:space="preserve"> </w:t>
      </w:r>
      <w:r>
        <w:rPr>
          <w:sz w:val="18"/>
        </w:rPr>
        <w:t>"forthwith",</w:t>
      </w:r>
      <w:r>
        <w:rPr>
          <w:spacing w:val="-4"/>
          <w:sz w:val="18"/>
        </w:rPr>
        <w:t xml:space="preserve"> </w:t>
      </w:r>
      <w:hyperlink r:id="rId156">
        <w:r>
          <w:rPr>
            <w:sz w:val="18"/>
          </w:rPr>
          <w:t>https://www.oed.com/view/Entry/73702</w:t>
        </w:r>
        <w:r>
          <w:rPr>
            <w:spacing w:val="-4"/>
            <w:sz w:val="18"/>
          </w:rPr>
          <w:t xml:space="preserve"> </w:t>
        </w:r>
      </w:hyperlink>
      <w:r>
        <w:rPr>
          <w:sz w:val="18"/>
        </w:rPr>
        <w:t>(accessed</w:t>
      </w:r>
      <w:r>
        <w:rPr>
          <w:spacing w:val="-6"/>
          <w:sz w:val="18"/>
        </w:rPr>
        <w:t xml:space="preserve"> </w:t>
      </w:r>
      <w:r>
        <w:rPr>
          <w:sz w:val="18"/>
        </w:rPr>
        <w:t>28</w:t>
      </w:r>
      <w:r>
        <w:rPr>
          <w:spacing w:val="-3"/>
          <w:sz w:val="18"/>
        </w:rPr>
        <w:t xml:space="preserve"> </w:t>
      </w:r>
      <w:r>
        <w:rPr>
          <w:sz w:val="18"/>
        </w:rPr>
        <w:t xml:space="preserve">April 2022). See also, Panel Report, </w:t>
      </w:r>
      <w:r>
        <w:rPr>
          <w:i/>
          <w:sz w:val="18"/>
        </w:rPr>
        <w:t>Korea – Certain Paper</w:t>
      </w:r>
      <w:r>
        <w:rPr>
          <w:sz w:val="18"/>
        </w:rPr>
        <w:t>, para. 7.75.</w:t>
      </w:r>
    </w:p>
    <w:p w14:paraId="51DE7D67" w14:textId="77777777" w:rsidR="0010369C" w:rsidRDefault="008E43AE">
      <w:pPr>
        <w:ind w:left="238" w:right="614" w:hanging="1"/>
        <w:rPr>
          <w:sz w:val="18"/>
        </w:rPr>
      </w:pPr>
      <w:r>
        <w:rPr>
          <w:sz w:val="18"/>
          <w:vertAlign w:val="superscript"/>
        </w:rPr>
        <w:t>74</w:t>
      </w:r>
      <w:r>
        <w:rPr>
          <w:spacing w:val="-3"/>
          <w:sz w:val="18"/>
        </w:rPr>
        <w:t xml:space="preserve"> </w:t>
      </w:r>
      <w:r>
        <w:rPr>
          <w:sz w:val="18"/>
        </w:rPr>
        <w:t>Oxford</w:t>
      </w:r>
      <w:r>
        <w:rPr>
          <w:spacing w:val="-3"/>
          <w:sz w:val="18"/>
        </w:rPr>
        <w:t xml:space="preserve"> </w:t>
      </w:r>
      <w:r>
        <w:rPr>
          <w:sz w:val="18"/>
        </w:rPr>
        <w:t>English</w:t>
      </w:r>
      <w:r>
        <w:rPr>
          <w:spacing w:val="-3"/>
          <w:sz w:val="18"/>
        </w:rPr>
        <w:t xml:space="preserve"> </w:t>
      </w:r>
      <w:r>
        <w:rPr>
          <w:sz w:val="18"/>
        </w:rPr>
        <w:t>Dictionary</w:t>
      </w:r>
      <w:r>
        <w:rPr>
          <w:spacing w:val="-2"/>
          <w:sz w:val="18"/>
        </w:rPr>
        <w:t xml:space="preserve"> </w:t>
      </w:r>
      <w:r>
        <w:rPr>
          <w:sz w:val="18"/>
        </w:rPr>
        <w:t>online,</w:t>
      </w:r>
      <w:r>
        <w:rPr>
          <w:spacing w:val="-3"/>
          <w:sz w:val="18"/>
        </w:rPr>
        <w:t xml:space="preserve"> </w:t>
      </w:r>
      <w:r>
        <w:rPr>
          <w:sz w:val="18"/>
        </w:rPr>
        <w:t>definition</w:t>
      </w:r>
      <w:r>
        <w:rPr>
          <w:spacing w:val="-3"/>
          <w:sz w:val="18"/>
        </w:rPr>
        <w:t xml:space="preserve"> </w:t>
      </w:r>
      <w:r>
        <w:rPr>
          <w:sz w:val="18"/>
        </w:rPr>
        <w:t>of</w:t>
      </w:r>
      <w:r>
        <w:rPr>
          <w:spacing w:val="-3"/>
          <w:sz w:val="18"/>
        </w:rPr>
        <w:t xml:space="preserve"> </w:t>
      </w:r>
      <w:r>
        <w:rPr>
          <w:sz w:val="18"/>
        </w:rPr>
        <w:t>"reason",</w:t>
      </w:r>
      <w:r>
        <w:rPr>
          <w:spacing w:val="-4"/>
          <w:sz w:val="18"/>
        </w:rPr>
        <w:t xml:space="preserve"> </w:t>
      </w:r>
      <w:hyperlink r:id="rId157">
        <w:r>
          <w:rPr>
            <w:sz w:val="18"/>
          </w:rPr>
          <w:t>https://www.oed.com/view/Entry/159068</w:t>
        </w:r>
        <w:r>
          <w:rPr>
            <w:spacing w:val="-1"/>
            <w:sz w:val="18"/>
          </w:rPr>
          <w:t xml:space="preserve"> </w:t>
        </w:r>
      </w:hyperlink>
      <w:r>
        <w:rPr>
          <w:sz w:val="18"/>
        </w:rPr>
        <w:t>(accessed</w:t>
      </w:r>
      <w:r>
        <w:rPr>
          <w:spacing w:val="-4"/>
          <w:sz w:val="18"/>
        </w:rPr>
        <w:t xml:space="preserve"> </w:t>
      </w:r>
      <w:r>
        <w:rPr>
          <w:sz w:val="18"/>
        </w:rPr>
        <w:t>28</w:t>
      </w:r>
      <w:r>
        <w:rPr>
          <w:spacing w:val="-5"/>
          <w:sz w:val="18"/>
        </w:rPr>
        <w:t xml:space="preserve"> </w:t>
      </w:r>
      <w:r>
        <w:rPr>
          <w:sz w:val="18"/>
        </w:rPr>
        <w:t xml:space="preserve">April </w:t>
      </w:r>
      <w:r>
        <w:rPr>
          <w:spacing w:val="-2"/>
          <w:sz w:val="18"/>
        </w:rPr>
        <w:t>2022).</w:t>
      </w:r>
    </w:p>
    <w:p w14:paraId="51DE7D68" w14:textId="77777777" w:rsidR="0010369C" w:rsidRDefault="008E43AE">
      <w:pPr>
        <w:ind w:left="238" w:right="611"/>
        <w:rPr>
          <w:sz w:val="18"/>
        </w:rPr>
      </w:pPr>
      <w:r>
        <w:rPr>
          <w:sz w:val="18"/>
        </w:rPr>
        <w:t xml:space="preserve">See also, Panel Report, </w:t>
      </w:r>
      <w:r>
        <w:rPr>
          <w:i/>
          <w:sz w:val="18"/>
        </w:rPr>
        <w:t>Argentina – Poultry Anti‐Dumping Duties</w:t>
      </w:r>
      <w:r>
        <w:rPr>
          <w:sz w:val="18"/>
        </w:rPr>
        <w:t>, para. 7.225. In differentiating "facts" and "reasons", the Panel found that a "reason" is a "motive, cause or justification".</w:t>
      </w:r>
    </w:p>
    <w:p w14:paraId="51DE7D69" w14:textId="77777777" w:rsidR="0010369C" w:rsidRDefault="008E43AE">
      <w:pPr>
        <w:spacing w:line="219" w:lineRule="exact"/>
        <w:ind w:left="238"/>
        <w:rPr>
          <w:sz w:val="18"/>
        </w:rPr>
      </w:pPr>
      <w:r>
        <w:rPr>
          <w:sz w:val="18"/>
          <w:vertAlign w:val="superscript"/>
        </w:rPr>
        <w:t>75</w:t>
      </w:r>
      <w:r>
        <w:rPr>
          <w:spacing w:val="-6"/>
          <w:sz w:val="18"/>
        </w:rPr>
        <w:t xml:space="preserve"> </w:t>
      </w:r>
      <w:r>
        <w:rPr>
          <w:sz w:val="18"/>
        </w:rPr>
        <w:t>Panel</w:t>
      </w:r>
      <w:r>
        <w:rPr>
          <w:spacing w:val="-6"/>
          <w:sz w:val="18"/>
        </w:rPr>
        <w:t xml:space="preserve"> </w:t>
      </w:r>
      <w:r>
        <w:rPr>
          <w:sz w:val="18"/>
        </w:rPr>
        <w:t>Report,</w:t>
      </w:r>
      <w:r>
        <w:rPr>
          <w:spacing w:val="-5"/>
          <w:sz w:val="18"/>
        </w:rPr>
        <w:t xml:space="preserve"> </w:t>
      </w:r>
      <w:r>
        <w:rPr>
          <w:i/>
          <w:sz w:val="18"/>
        </w:rPr>
        <w:t>Korea</w:t>
      </w:r>
      <w:r>
        <w:rPr>
          <w:i/>
          <w:spacing w:val="-6"/>
          <w:sz w:val="18"/>
        </w:rPr>
        <w:t xml:space="preserve"> </w:t>
      </w:r>
      <w:r>
        <w:rPr>
          <w:i/>
          <w:sz w:val="18"/>
        </w:rPr>
        <w:t>–</w:t>
      </w:r>
      <w:r>
        <w:rPr>
          <w:i/>
          <w:spacing w:val="-5"/>
          <w:sz w:val="18"/>
        </w:rPr>
        <w:t xml:space="preserve"> </w:t>
      </w:r>
      <w:r>
        <w:rPr>
          <w:i/>
          <w:sz w:val="18"/>
        </w:rPr>
        <w:t>Certain</w:t>
      </w:r>
      <w:r>
        <w:rPr>
          <w:i/>
          <w:spacing w:val="-6"/>
          <w:sz w:val="18"/>
        </w:rPr>
        <w:t xml:space="preserve"> </w:t>
      </w:r>
      <w:r>
        <w:rPr>
          <w:i/>
          <w:sz w:val="18"/>
        </w:rPr>
        <w:t>Paper</w:t>
      </w:r>
      <w:r>
        <w:rPr>
          <w:sz w:val="18"/>
        </w:rPr>
        <w:t>,</w:t>
      </w:r>
      <w:r>
        <w:rPr>
          <w:spacing w:val="-6"/>
          <w:sz w:val="18"/>
        </w:rPr>
        <w:t xml:space="preserve"> </w:t>
      </w:r>
      <w:r>
        <w:rPr>
          <w:sz w:val="18"/>
        </w:rPr>
        <w:t>para.</w:t>
      </w:r>
      <w:r>
        <w:rPr>
          <w:spacing w:val="-5"/>
          <w:sz w:val="18"/>
        </w:rPr>
        <w:t xml:space="preserve"> </w:t>
      </w:r>
      <w:r>
        <w:rPr>
          <w:spacing w:val="-2"/>
          <w:sz w:val="18"/>
        </w:rPr>
        <w:t>7.85.</w:t>
      </w:r>
    </w:p>
    <w:p w14:paraId="51DE7D6A" w14:textId="77777777" w:rsidR="0010369C" w:rsidRDefault="008E43AE">
      <w:pPr>
        <w:ind w:left="238" w:right="5267"/>
        <w:jc w:val="both"/>
        <w:rPr>
          <w:sz w:val="18"/>
        </w:rPr>
      </w:pPr>
      <w:r>
        <w:rPr>
          <w:sz w:val="18"/>
          <w:vertAlign w:val="superscript"/>
        </w:rPr>
        <w:lastRenderedPageBreak/>
        <w:t>76</w:t>
      </w:r>
      <w:r>
        <w:rPr>
          <w:spacing w:val="-3"/>
          <w:sz w:val="18"/>
        </w:rPr>
        <w:t xml:space="preserve"> </w:t>
      </w:r>
      <w:r>
        <w:rPr>
          <w:sz w:val="18"/>
        </w:rPr>
        <w:t>Panel</w:t>
      </w:r>
      <w:r>
        <w:rPr>
          <w:spacing w:val="-4"/>
          <w:sz w:val="18"/>
        </w:rPr>
        <w:t xml:space="preserve"> </w:t>
      </w:r>
      <w:r>
        <w:rPr>
          <w:sz w:val="18"/>
        </w:rPr>
        <w:t>Report,</w:t>
      </w:r>
      <w:r>
        <w:rPr>
          <w:spacing w:val="-3"/>
          <w:sz w:val="18"/>
        </w:rPr>
        <w:t xml:space="preserve"> </w:t>
      </w:r>
      <w:r>
        <w:rPr>
          <w:i/>
          <w:sz w:val="18"/>
        </w:rPr>
        <w:t>Mexico</w:t>
      </w:r>
      <w:r>
        <w:rPr>
          <w:i/>
          <w:spacing w:val="-3"/>
          <w:sz w:val="18"/>
        </w:rPr>
        <w:t xml:space="preserve"> </w:t>
      </w:r>
      <w:r>
        <w:rPr>
          <w:i/>
          <w:sz w:val="18"/>
        </w:rPr>
        <w:t>–</w:t>
      </w:r>
      <w:r>
        <w:rPr>
          <w:i/>
          <w:spacing w:val="-3"/>
          <w:sz w:val="18"/>
        </w:rPr>
        <w:t xml:space="preserve"> </w:t>
      </w:r>
      <w:r>
        <w:rPr>
          <w:i/>
          <w:sz w:val="18"/>
        </w:rPr>
        <w:t>Steel</w:t>
      </w:r>
      <w:r>
        <w:rPr>
          <w:i/>
          <w:spacing w:val="-4"/>
          <w:sz w:val="18"/>
        </w:rPr>
        <w:t xml:space="preserve"> </w:t>
      </w:r>
      <w:r>
        <w:rPr>
          <w:i/>
          <w:sz w:val="18"/>
        </w:rPr>
        <w:t>Pipes</w:t>
      </w:r>
      <w:r>
        <w:rPr>
          <w:i/>
          <w:spacing w:val="-4"/>
          <w:sz w:val="18"/>
        </w:rPr>
        <w:t xml:space="preserve"> </w:t>
      </w:r>
      <w:r>
        <w:rPr>
          <w:i/>
          <w:sz w:val="18"/>
        </w:rPr>
        <w:t>and</w:t>
      </w:r>
      <w:r>
        <w:rPr>
          <w:i/>
          <w:spacing w:val="-4"/>
          <w:sz w:val="18"/>
        </w:rPr>
        <w:t xml:space="preserve"> </w:t>
      </w:r>
      <w:r>
        <w:rPr>
          <w:i/>
          <w:sz w:val="18"/>
        </w:rPr>
        <w:t>Tubes</w:t>
      </w:r>
      <w:r>
        <w:rPr>
          <w:sz w:val="18"/>
        </w:rPr>
        <w:t>,</w:t>
      </w:r>
      <w:r>
        <w:rPr>
          <w:spacing w:val="-4"/>
          <w:sz w:val="18"/>
        </w:rPr>
        <w:t xml:space="preserve"> </w:t>
      </w:r>
      <w:r>
        <w:rPr>
          <w:sz w:val="18"/>
        </w:rPr>
        <w:t>para.</w:t>
      </w:r>
      <w:r>
        <w:rPr>
          <w:spacing w:val="-3"/>
          <w:sz w:val="18"/>
        </w:rPr>
        <w:t xml:space="preserve"> </w:t>
      </w:r>
      <w:r>
        <w:rPr>
          <w:sz w:val="18"/>
        </w:rPr>
        <w:t xml:space="preserve">7.188. </w:t>
      </w:r>
      <w:r>
        <w:rPr>
          <w:sz w:val="18"/>
          <w:vertAlign w:val="superscript"/>
        </w:rPr>
        <w:t>77</w:t>
      </w:r>
      <w:r>
        <w:rPr>
          <w:spacing w:val="-3"/>
          <w:sz w:val="18"/>
        </w:rPr>
        <w:t xml:space="preserve"> </w:t>
      </w:r>
      <w:r>
        <w:rPr>
          <w:sz w:val="18"/>
        </w:rPr>
        <w:t>Panel</w:t>
      </w:r>
      <w:r>
        <w:rPr>
          <w:spacing w:val="-4"/>
          <w:sz w:val="18"/>
        </w:rPr>
        <w:t xml:space="preserve"> </w:t>
      </w:r>
      <w:r>
        <w:rPr>
          <w:sz w:val="18"/>
        </w:rPr>
        <w:t>Report,</w:t>
      </w:r>
      <w:r>
        <w:rPr>
          <w:spacing w:val="-3"/>
          <w:sz w:val="18"/>
        </w:rPr>
        <w:t xml:space="preserve"> </w:t>
      </w:r>
      <w:r>
        <w:rPr>
          <w:i/>
          <w:sz w:val="18"/>
        </w:rPr>
        <w:t>Mexico</w:t>
      </w:r>
      <w:r>
        <w:rPr>
          <w:i/>
          <w:spacing w:val="-3"/>
          <w:sz w:val="18"/>
        </w:rPr>
        <w:t xml:space="preserve"> </w:t>
      </w:r>
      <w:r>
        <w:rPr>
          <w:i/>
          <w:sz w:val="18"/>
        </w:rPr>
        <w:t>–</w:t>
      </w:r>
      <w:r>
        <w:rPr>
          <w:i/>
          <w:spacing w:val="-3"/>
          <w:sz w:val="18"/>
        </w:rPr>
        <w:t xml:space="preserve"> </w:t>
      </w:r>
      <w:r>
        <w:rPr>
          <w:i/>
          <w:sz w:val="18"/>
        </w:rPr>
        <w:t>Steel</w:t>
      </w:r>
      <w:r>
        <w:rPr>
          <w:i/>
          <w:spacing w:val="-4"/>
          <w:sz w:val="18"/>
        </w:rPr>
        <w:t xml:space="preserve"> </w:t>
      </w:r>
      <w:r>
        <w:rPr>
          <w:i/>
          <w:sz w:val="18"/>
        </w:rPr>
        <w:t>Pipes</w:t>
      </w:r>
      <w:r>
        <w:rPr>
          <w:i/>
          <w:spacing w:val="-4"/>
          <w:sz w:val="18"/>
        </w:rPr>
        <w:t xml:space="preserve"> </w:t>
      </w:r>
      <w:r>
        <w:rPr>
          <w:i/>
          <w:sz w:val="18"/>
        </w:rPr>
        <w:t>and</w:t>
      </w:r>
      <w:r>
        <w:rPr>
          <w:i/>
          <w:spacing w:val="-4"/>
          <w:sz w:val="18"/>
        </w:rPr>
        <w:t xml:space="preserve"> </w:t>
      </w:r>
      <w:r>
        <w:rPr>
          <w:i/>
          <w:sz w:val="18"/>
        </w:rPr>
        <w:t>Tubes</w:t>
      </w:r>
      <w:r>
        <w:rPr>
          <w:sz w:val="18"/>
        </w:rPr>
        <w:t>,</w:t>
      </w:r>
      <w:r>
        <w:rPr>
          <w:spacing w:val="-4"/>
          <w:sz w:val="18"/>
        </w:rPr>
        <w:t xml:space="preserve"> </w:t>
      </w:r>
      <w:r>
        <w:rPr>
          <w:sz w:val="18"/>
        </w:rPr>
        <w:t>para.</w:t>
      </w:r>
      <w:r>
        <w:rPr>
          <w:spacing w:val="-3"/>
          <w:sz w:val="18"/>
        </w:rPr>
        <w:t xml:space="preserve"> </w:t>
      </w:r>
      <w:r>
        <w:rPr>
          <w:sz w:val="18"/>
        </w:rPr>
        <w:t xml:space="preserve">7.188. </w:t>
      </w:r>
      <w:r>
        <w:rPr>
          <w:sz w:val="18"/>
          <w:vertAlign w:val="superscript"/>
        </w:rPr>
        <w:t>78</w:t>
      </w:r>
      <w:r>
        <w:rPr>
          <w:sz w:val="18"/>
        </w:rPr>
        <w:t xml:space="preserve"> Panel Report, </w:t>
      </w:r>
      <w:r>
        <w:rPr>
          <w:i/>
          <w:sz w:val="18"/>
        </w:rPr>
        <w:t>Egypt – Steel Rebar</w:t>
      </w:r>
      <w:r>
        <w:rPr>
          <w:sz w:val="18"/>
        </w:rPr>
        <w:t>, para. 7.262.</w:t>
      </w:r>
    </w:p>
    <w:p w14:paraId="51DE7D6B" w14:textId="77777777" w:rsidR="0010369C" w:rsidRDefault="008E43AE">
      <w:pPr>
        <w:spacing w:line="219" w:lineRule="exact"/>
        <w:ind w:left="238"/>
        <w:jc w:val="both"/>
        <w:rPr>
          <w:sz w:val="18"/>
        </w:rPr>
      </w:pPr>
      <w:r>
        <w:rPr>
          <w:sz w:val="18"/>
          <w:vertAlign w:val="superscript"/>
        </w:rPr>
        <w:t>79</w:t>
      </w:r>
      <w:r>
        <w:rPr>
          <w:spacing w:val="-6"/>
          <w:sz w:val="18"/>
        </w:rPr>
        <w:t xml:space="preserve"> </w:t>
      </w:r>
      <w:r>
        <w:rPr>
          <w:sz w:val="18"/>
        </w:rPr>
        <w:t>Panel</w:t>
      </w:r>
      <w:r>
        <w:rPr>
          <w:spacing w:val="-7"/>
          <w:sz w:val="18"/>
        </w:rPr>
        <w:t xml:space="preserve"> </w:t>
      </w:r>
      <w:r>
        <w:rPr>
          <w:sz w:val="18"/>
        </w:rPr>
        <w:t>Report,</w:t>
      </w:r>
      <w:r>
        <w:rPr>
          <w:spacing w:val="-5"/>
          <w:sz w:val="18"/>
        </w:rPr>
        <w:t xml:space="preserve"> </w:t>
      </w:r>
      <w:r>
        <w:rPr>
          <w:i/>
          <w:sz w:val="18"/>
        </w:rPr>
        <w:t>Egypt</w:t>
      </w:r>
      <w:r>
        <w:rPr>
          <w:i/>
          <w:spacing w:val="-6"/>
          <w:sz w:val="18"/>
        </w:rPr>
        <w:t xml:space="preserve"> </w:t>
      </w:r>
      <w:r>
        <w:rPr>
          <w:i/>
          <w:sz w:val="18"/>
        </w:rPr>
        <w:t>–</w:t>
      </w:r>
      <w:r>
        <w:rPr>
          <w:i/>
          <w:spacing w:val="-6"/>
          <w:sz w:val="18"/>
        </w:rPr>
        <w:t xml:space="preserve"> </w:t>
      </w:r>
      <w:r>
        <w:rPr>
          <w:i/>
          <w:sz w:val="18"/>
        </w:rPr>
        <w:t>Steel</w:t>
      </w:r>
      <w:r>
        <w:rPr>
          <w:i/>
          <w:spacing w:val="-6"/>
          <w:sz w:val="18"/>
        </w:rPr>
        <w:t xml:space="preserve"> </w:t>
      </w:r>
      <w:r>
        <w:rPr>
          <w:i/>
          <w:sz w:val="18"/>
        </w:rPr>
        <w:t>Rebar</w:t>
      </w:r>
      <w:r>
        <w:rPr>
          <w:sz w:val="18"/>
        </w:rPr>
        <w:t>,</w:t>
      </w:r>
      <w:r>
        <w:rPr>
          <w:spacing w:val="-7"/>
          <w:sz w:val="18"/>
        </w:rPr>
        <w:t xml:space="preserve"> </w:t>
      </w:r>
      <w:r>
        <w:rPr>
          <w:sz w:val="18"/>
        </w:rPr>
        <w:t>para.</w:t>
      </w:r>
      <w:r>
        <w:rPr>
          <w:spacing w:val="-6"/>
          <w:sz w:val="18"/>
        </w:rPr>
        <w:t xml:space="preserve"> </w:t>
      </w:r>
      <w:r>
        <w:rPr>
          <w:sz w:val="18"/>
        </w:rPr>
        <w:t>7.262,</w:t>
      </w:r>
      <w:r>
        <w:rPr>
          <w:spacing w:val="-6"/>
          <w:sz w:val="18"/>
        </w:rPr>
        <w:t xml:space="preserve"> </w:t>
      </w:r>
      <w:r>
        <w:rPr>
          <w:sz w:val="18"/>
        </w:rPr>
        <w:t>see</w:t>
      </w:r>
      <w:r>
        <w:rPr>
          <w:spacing w:val="-6"/>
          <w:sz w:val="18"/>
        </w:rPr>
        <w:t xml:space="preserve"> </w:t>
      </w:r>
      <w:r>
        <w:rPr>
          <w:sz w:val="18"/>
        </w:rPr>
        <w:t>footnote</w:t>
      </w:r>
      <w:r>
        <w:rPr>
          <w:spacing w:val="-5"/>
          <w:sz w:val="18"/>
        </w:rPr>
        <w:t xml:space="preserve"> </w:t>
      </w:r>
      <w:r>
        <w:rPr>
          <w:spacing w:val="-4"/>
          <w:sz w:val="18"/>
        </w:rPr>
        <w:t>230.</w:t>
      </w:r>
    </w:p>
    <w:p w14:paraId="51DE7D6C" w14:textId="77777777" w:rsidR="0010369C" w:rsidRDefault="0010369C">
      <w:pPr>
        <w:spacing w:line="219" w:lineRule="exact"/>
        <w:jc w:val="both"/>
        <w:rPr>
          <w:sz w:val="18"/>
        </w:rPr>
        <w:sectPr w:rsidR="0010369C">
          <w:pgSz w:w="11910" w:h="16840"/>
          <w:pgMar w:top="880" w:right="800" w:bottom="980" w:left="1180" w:header="569" w:footer="788" w:gutter="0"/>
          <w:cols w:space="720"/>
        </w:sectPr>
      </w:pPr>
    </w:p>
    <w:p w14:paraId="51DE7D6D" w14:textId="77777777" w:rsidR="0010369C" w:rsidRDefault="008E43AE">
      <w:pPr>
        <w:tabs>
          <w:tab w:val="left" w:pos="6426"/>
        </w:tabs>
        <w:ind w:left="238"/>
        <w:rPr>
          <w:sz w:val="20"/>
        </w:rPr>
      </w:pPr>
      <w:r>
        <w:rPr>
          <w:i/>
          <w:sz w:val="20"/>
        </w:rPr>
        <w:lastRenderedPageBreak/>
        <w:t>China</w:t>
      </w:r>
      <w:r>
        <w:rPr>
          <w:i/>
          <w:spacing w:val="-5"/>
          <w:sz w:val="20"/>
        </w:rPr>
        <w:t xml:space="preserve"> </w:t>
      </w:r>
      <w:r>
        <w:rPr>
          <w:i/>
          <w:sz w:val="20"/>
        </w:rPr>
        <w:t>–</w:t>
      </w:r>
      <w:r>
        <w:rPr>
          <w:i/>
          <w:spacing w:val="-5"/>
          <w:sz w:val="20"/>
        </w:rPr>
        <w:t xml:space="preserve"> </w:t>
      </w:r>
      <w:r>
        <w:rPr>
          <w:i/>
          <w:sz w:val="20"/>
        </w:rPr>
        <w:t>Anti‐Dumping</w:t>
      </w:r>
      <w:r>
        <w:rPr>
          <w:i/>
          <w:spacing w:val="-4"/>
          <w:sz w:val="20"/>
        </w:rPr>
        <w:t xml:space="preserve"> </w:t>
      </w:r>
      <w:r>
        <w:rPr>
          <w:i/>
          <w:sz w:val="20"/>
        </w:rPr>
        <w:t>and</w:t>
      </w:r>
      <w:r>
        <w:rPr>
          <w:i/>
          <w:spacing w:val="-5"/>
          <w:sz w:val="20"/>
        </w:rPr>
        <w:t xml:space="preserve"> </w:t>
      </w:r>
      <w:r>
        <w:rPr>
          <w:i/>
          <w:sz w:val="20"/>
        </w:rPr>
        <w:t>Countervailing</w:t>
      </w:r>
      <w:r>
        <w:rPr>
          <w:i/>
          <w:spacing w:val="-5"/>
          <w:sz w:val="20"/>
        </w:rPr>
        <w:t xml:space="preserve"> </w:t>
      </w:r>
      <w:r>
        <w:rPr>
          <w:i/>
          <w:sz w:val="20"/>
        </w:rPr>
        <w:t>Duty</w:t>
      </w:r>
      <w:r>
        <w:rPr>
          <w:i/>
          <w:spacing w:val="-4"/>
          <w:sz w:val="20"/>
        </w:rPr>
        <w:t xml:space="preserve"> </w:t>
      </w:r>
      <w:r>
        <w:rPr>
          <w:i/>
          <w:spacing w:val="-2"/>
          <w:sz w:val="20"/>
        </w:rPr>
        <w:t>Measures</w:t>
      </w:r>
      <w:r>
        <w:rPr>
          <w:i/>
          <w:sz w:val="20"/>
        </w:rPr>
        <w:tab/>
      </w:r>
      <w:r>
        <w:rPr>
          <w:sz w:val="20"/>
        </w:rPr>
        <w:t>Australia's</w:t>
      </w:r>
      <w:r>
        <w:rPr>
          <w:spacing w:val="-7"/>
          <w:sz w:val="20"/>
        </w:rPr>
        <w:t xml:space="preserve"> </w:t>
      </w:r>
      <w:r>
        <w:rPr>
          <w:sz w:val="20"/>
        </w:rPr>
        <w:t>First</w:t>
      </w:r>
      <w:r>
        <w:rPr>
          <w:spacing w:val="-2"/>
          <w:sz w:val="20"/>
        </w:rPr>
        <w:t xml:space="preserve"> </w:t>
      </w:r>
      <w:r>
        <w:rPr>
          <w:sz w:val="20"/>
        </w:rPr>
        <w:t>Written</w:t>
      </w:r>
      <w:r>
        <w:rPr>
          <w:spacing w:val="-2"/>
          <w:sz w:val="20"/>
        </w:rPr>
        <w:t xml:space="preserve"> Submission</w:t>
      </w:r>
    </w:p>
    <w:p w14:paraId="51DE7D6E" w14:textId="77777777" w:rsidR="0010369C" w:rsidRDefault="008E43AE">
      <w:pPr>
        <w:tabs>
          <w:tab w:val="left" w:pos="8228"/>
        </w:tabs>
        <w:spacing w:before="1"/>
        <w:ind w:left="239"/>
        <w:rPr>
          <w:sz w:val="20"/>
        </w:rPr>
      </w:pPr>
      <w:r>
        <w:rPr>
          <w:i/>
          <w:sz w:val="20"/>
        </w:rPr>
        <w:t>on</w:t>
      </w:r>
      <w:r>
        <w:rPr>
          <w:i/>
          <w:spacing w:val="-1"/>
          <w:sz w:val="20"/>
        </w:rPr>
        <w:t xml:space="preserve"> </w:t>
      </w:r>
      <w:r>
        <w:rPr>
          <w:i/>
          <w:sz w:val="20"/>
        </w:rPr>
        <w:t>Wine</w:t>
      </w:r>
      <w:r>
        <w:rPr>
          <w:i/>
          <w:spacing w:val="-1"/>
          <w:sz w:val="20"/>
        </w:rPr>
        <w:t xml:space="preserve"> </w:t>
      </w:r>
      <w:r>
        <w:rPr>
          <w:i/>
          <w:sz w:val="20"/>
        </w:rPr>
        <w:t>from</w:t>
      </w:r>
      <w:r>
        <w:rPr>
          <w:i/>
          <w:spacing w:val="-3"/>
          <w:sz w:val="20"/>
        </w:rPr>
        <w:t xml:space="preserve"> </w:t>
      </w:r>
      <w:r>
        <w:rPr>
          <w:i/>
          <w:sz w:val="20"/>
        </w:rPr>
        <w:t>Australia</w:t>
      </w:r>
      <w:r>
        <w:rPr>
          <w:i/>
          <w:spacing w:val="-1"/>
          <w:sz w:val="20"/>
        </w:rPr>
        <w:t xml:space="preserve"> </w:t>
      </w:r>
      <w:r>
        <w:rPr>
          <w:spacing w:val="-2"/>
          <w:sz w:val="20"/>
        </w:rPr>
        <w:t>(DS602)</w:t>
      </w:r>
      <w:r>
        <w:rPr>
          <w:sz w:val="20"/>
        </w:rPr>
        <w:tab/>
        <w:t>29</w:t>
      </w:r>
      <w:r>
        <w:rPr>
          <w:spacing w:val="-1"/>
          <w:sz w:val="20"/>
        </w:rPr>
        <w:t xml:space="preserve"> </w:t>
      </w:r>
      <w:r>
        <w:rPr>
          <w:sz w:val="20"/>
        </w:rPr>
        <w:t>April</w:t>
      </w:r>
      <w:r>
        <w:rPr>
          <w:spacing w:val="-2"/>
          <w:sz w:val="20"/>
        </w:rPr>
        <w:t xml:space="preserve"> </w:t>
      </w:r>
      <w:r>
        <w:rPr>
          <w:spacing w:val="-4"/>
          <w:sz w:val="20"/>
        </w:rPr>
        <w:t>2022</w:t>
      </w:r>
    </w:p>
    <w:p w14:paraId="51DE7D6F" w14:textId="77777777" w:rsidR="0010369C" w:rsidRDefault="008E43AE">
      <w:pPr>
        <w:pStyle w:val="ListParagraph"/>
        <w:numPr>
          <w:ilvl w:val="4"/>
          <w:numId w:val="75"/>
        </w:numPr>
        <w:tabs>
          <w:tab w:val="left" w:pos="4493"/>
          <w:tab w:val="left" w:pos="4494"/>
        </w:tabs>
        <w:spacing w:before="35"/>
        <w:ind w:hanging="852"/>
        <w:rPr>
          <w:sz w:val="24"/>
        </w:rPr>
      </w:pPr>
      <w:r>
        <w:rPr>
          <w:i/>
          <w:sz w:val="24"/>
        </w:rPr>
        <w:t>Paragraph</w:t>
      </w:r>
      <w:r>
        <w:rPr>
          <w:i/>
          <w:spacing w:val="-13"/>
          <w:sz w:val="24"/>
        </w:rPr>
        <w:t xml:space="preserve"> </w:t>
      </w:r>
      <w:r>
        <w:rPr>
          <w:spacing w:val="-10"/>
          <w:sz w:val="24"/>
        </w:rPr>
        <w:t>7</w:t>
      </w:r>
    </w:p>
    <w:p w14:paraId="51DE7D70" w14:textId="77777777" w:rsidR="0010369C" w:rsidRDefault="0010369C">
      <w:pPr>
        <w:pStyle w:val="BodyText"/>
        <w:spacing w:before="11"/>
        <w:rPr>
          <w:sz w:val="20"/>
        </w:rPr>
      </w:pPr>
    </w:p>
    <w:p w14:paraId="51DE7D71" w14:textId="77777777" w:rsidR="0010369C" w:rsidRDefault="008E43AE">
      <w:pPr>
        <w:pStyle w:val="BodyText"/>
        <w:spacing w:before="51"/>
        <w:ind w:left="1089"/>
        <w:jc w:val="both"/>
      </w:pPr>
      <w:r>
        <w:rPr>
          <w:noProof/>
        </w:rPr>
        <w:drawing>
          <wp:anchor distT="0" distB="0" distL="0" distR="0" simplePos="0" relativeHeight="250608128" behindDoc="0" locked="0" layoutInCell="1" allowOverlap="1" wp14:anchorId="51DE9DB8" wp14:editId="51DE9DB9">
            <wp:simplePos x="0" y="0"/>
            <wp:positionH relativeFrom="page">
              <wp:posOffset>902208</wp:posOffset>
            </wp:positionH>
            <wp:positionV relativeFrom="paragraph">
              <wp:posOffset>79960</wp:posOffset>
            </wp:positionV>
            <wp:extent cx="182879" cy="103631"/>
            <wp:effectExtent l="0" t="0" r="0" b="0"/>
            <wp:wrapNone/>
            <wp:docPr id="153" name="image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85.png"/>
                    <pic:cNvPicPr/>
                  </pic:nvPicPr>
                  <pic:blipFill>
                    <a:blip r:embed="rId158" cstate="print"/>
                    <a:stretch>
                      <a:fillRect/>
                    </a:stretch>
                  </pic:blipFill>
                  <pic:spPr>
                    <a:xfrm>
                      <a:off x="0" y="0"/>
                      <a:ext cx="182879" cy="103631"/>
                    </a:xfrm>
                    <a:prstGeom prst="rect">
                      <a:avLst/>
                    </a:prstGeom>
                  </pic:spPr>
                </pic:pic>
              </a:graphicData>
            </a:graphic>
          </wp:anchor>
        </w:drawing>
      </w:r>
      <w:r>
        <w:t>Paragraph</w:t>
      </w:r>
      <w:r>
        <w:rPr>
          <w:spacing w:val="-7"/>
        </w:rPr>
        <w:t xml:space="preserve"> </w:t>
      </w:r>
      <w:r>
        <w:t>7</w:t>
      </w:r>
      <w:r>
        <w:rPr>
          <w:spacing w:val="-6"/>
        </w:rPr>
        <w:t xml:space="preserve"> </w:t>
      </w:r>
      <w:r>
        <w:t>of</w:t>
      </w:r>
      <w:r>
        <w:rPr>
          <w:spacing w:val="-6"/>
        </w:rPr>
        <w:t xml:space="preserve"> </w:t>
      </w:r>
      <w:r>
        <w:t>Annex</w:t>
      </w:r>
      <w:r>
        <w:rPr>
          <w:spacing w:val="-6"/>
        </w:rPr>
        <w:t xml:space="preserve"> </w:t>
      </w:r>
      <w:r>
        <w:t>II</w:t>
      </w:r>
      <w:r>
        <w:rPr>
          <w:spacing w:val="-6"/>
        </w:rPr>
        <w:t xml:space="preserve"> </w:t>
      </w:r>
      <w:r>
        <w:t>provides</w:t>
      </w:r>
      <w:r>
        <w:rPr>
          <w:spacing w:val="-6"/>
        </w:rPr>
        <w:t xml:space="preserve"> </w:t>
      </w:r>
      <w:r>
        <w:rPr>
          <w:spacing w:val="-2"/>
        </w:rPr>
        <w:t>that:</w:t>
      </w:r>
    </w:p>
    <w:p w14:paraId="51DE7D72" w14:textId="77777777" w:rsidR="0010369C" w:rsidRDefault="0010369C">
      <w:pPr>
        <w:pStyle w:val="BodyText"/>
        <w:spacing w:before="2"/>
        <w:rPr>
          <w:sz w:val="25"/>
        </w:rPr>
      </w:pPr>
    </w:p>
    <w:p w14:paraId="51DE7D73" w14:textId="77777777" w:rsidR="0010369C" w:rsidRDefault="008E43AE">
      <w:pPr>
        <w:ind w:left="1088" w:right="612"/>
        <w:jc w:val="both"/>
      </w:pPr>
      <w:r>
        <w:t>If the authorities have to base their findings, including those with respect to normal value, on information from a secondary source, including the information supplied in the application for the initiation of the investigation, they should do so with spec</w:t>
      </w:r>
      <w:r>
        <w:t>ial circumspection. In such cases, the authorities should, where practicable, check the information from other independent sources at their disposal, such as published price lists, official</w:t>
      </w:r>
      <w:r>
        <w:rPr>
          <w:spacing w:val="-4"/>
        </w:rPr>
        <w:t xml:space="preserve"> </w:t>
      </w:r>
      <w:r>
        <w:t>import</w:t>
      </w:r>
      <w:r>
        <w:rPr>
          <w:spacing w:val="-4"/>
        </w:rPr>
        <w:t xml:space="preserve"> </w:t>
      </w:r>
      <w:r>
        <w:t>statistics</w:t>
      </w:r>
      <w:r>
        <w:rPr>
          <w:spacing w:val="-4"/>
        </w:rPr>
        <w:t xml:space="preserve"> </w:t>
      </w:r>
      <w:r>
        <w:t>and</w:t>
      </w:r>
      <w:r>
        <w:rPr>
          <w:spacing w:val="-4"/>
        </w:rPr>
        <w:t xml:space="preserve"> </w:t>
      </w:r>
      <w:r>
        <w:t>customs</w:t>
      </w:r>
      <w:r>
        <w:rPr>
          <w:spacing w:val="-4"/>
        </w:rPr>
        <w:t xml:space="preserve"> </w:t>
      </w:r>
      <w:r>
        <w:t>returns,</w:t>
      </w:r>
      <w:r>
        <w:rPr>
          <w:spacing w:val="-5"/>
        </w:rPr>
        <w:t xml:space="preserve"> </w:t>
      </w:r>
      <w:r>
        <w:t>and</w:t>
      </w:r>
      <w:r>
        <w:rPr>
          <w:spacing w:val="-4"/>
        </w:rPr>
        <w:t xml:space="preserve"> </w:t>
      </w:r>
      <w:r>
        <w:t>from</w:t>
      </w:r>
      <w:r>
        <w:rPr>
          <w:spacing w:val="-4"/>
        </w:rPr>
        <w:t xml:space="preserve"> </w:t>
      </w:r>
      <w:r>
        <w:t>the</w:t>
      </w:r>
      <w:r>
        <w:rPr>
          <w:spacing w:val="-4"/>
        </w:rPr>
        <w:t xml:space="preserve"> </w:t>
      </w:r>
      <w:r>
        <w:t>information</w:t>
      </w:r>
      <w:r>
        <w:rPr>
          <w:spacing w:val="-4"/>
        </w:rPr>
        <w:t xml:space="preserve"> </w:t>
      </w:r>
      <w:r>
        <w:t>ob</w:t>
      </w:r>
      <w:r>
        <w:t>tained</w:t>
      </w:r>
      <w:r>
        <w:rPr>
          <w:spacing w:val="-5"/>
        </w:rPr>
        <w:t xml:space="preserve"> </w:t>
      </w:r>
      <w:r>
        <w:t>from</w:t>
      </w:r>
      <w:r>
        <w:rPr>
          <w:spacing w:val="-4"/>
        </w:rPr>
        <w:t xml:space="preserve"> </w:t>
      </w:r>
      <w:r>
        <w:t>other interested parties during the investigation. It is clear, however, that if an interested party does</w:t>
      </w:r>
      <w:r>
        <w:rPr>
          <w:spacing w:val="-10"/>
        </w:rPr>
        <w:t xml:space="preserve"> </w:t>
      </w:r>
      <w:r>
        <w:t>not</w:t>
      </w:r>
      <w:r>
        <w:rPr>
          <w:spacing w:val="-11"/>
        </w:rPr>
        <w:t xml:space="preserve"> </w:t>
      </w:r>
      <w:r>
        <w:t>cooperate</w:t>
      </w:r>
      <w:r>
        <w:rPr>
          <w:spacing w:val="-12"/>
        </w:rPr>
        <w:t xml:space="preserve"> </w:t>
      </w:r>
      <w:r>
        <w:t>and</w:t>
      </w:r>
      <w:r>
        <w:rPr>
          <w:spacing w:val="-12"/>
        </w:rPr>
        <w:t xml:space="preserve"> </w:t>
      </w:r>
      <w:r>
        <w:t>thus</w:t>
      </w:r>
      <w:r>
        <w:rPr>
          <w:spacing w:val="-11"/>
        </w:rPr>
        <w:t xml:space="preserve"> </w:t>
      </w:r>
      <w:r>
        <w:t>relevant</w:t>
      </w:r>
      <w:r>
        <w:rPr>
          <w:spacing w:val="-12"/>
        </w:rPr>
        <w:t xml:space="preserve"> </w:t>
      </w:r>
      <w:r>
        <w:t>information</w:t>
      </w:r>
      <w:r>
        <w:rPr>
          <w:spacing w:val="-10"/>
        </w:rPr>
        <w:t xml:space="preserve"> </w:t>
      </w:r>
      <w:r>
        <w:t>is</w:t>
      </w:r>
      <w:r>
        <w:rPr>
          <w:spacing w:val="-11"/>
        </w:rPr>
        <w:t xml:space="preserve"> </w:t>
      </w:r>
      <w:r>
        <w:t>being</w:t>
      </w:r>
      <w:r>
        <w:rPr>
          <w:spacing w:val="-11"/>
        </w:rPr>
        <w:t xml:space="preserve"> </w:t>
      </w:r>
      <w:r>
        <w:t>withheld</w:t>
      </w:r>
      <w:r>
        <w:rPr>
          <w:spacing w:val="-12"/>
        </w:rPr>
        <w:t xml:space="preserve"> </w:t>
      </w:r>
      <w:r>
        <w:t>from</w:t>
      </w:r>
      <w:r>
        <w:rPr>
          <w:spacing w:val="-12"/>
        </w:rPr>
        <w:t xml:space="preserve"> </w:t>
      </w:r>
      <w:r>
        <w:t>the</w:t>
      </w:r>
      <w:r>
        <w:rPr>
          <w:spacing w:val="-11"/>
        </w:rPr>
        <w:t xml:space="preserve"> </w:t>
      </w:r>
      <w:r>
        <w:t>authorities,</w:t>
      </w:r>
      <w:r>
        <w:rPr>
          <w:spacing w:val="-11"/>
        </w:rPr>
        <w:t xml:space="preserve"> </w:t>
      </w:r>
      <w:r>
        <w:t xml:space="preserve">this situation could lead to a result which is less favourable to the party than if the party did </w:t>
      </w:r>
      <w:r>
        <w:rPr>
          <w:spacing w:val="-2"/>
        </w:rPr>
        <w:t>cooperate.</w:t>
      </w:r>
    </w:p>
    <w:p w14:paraId="51DE7D74" w14:textId="77777777" w:rsidR="0010369C" w:rsidRDefault="0010369C">
      <w:pPr>
        <w:pStyle w:val="BodyText"/>
        <w:spacing w:before="4"/>
        <w:rPr>
          <w:sz w:val="15"/>
        </w:rPr>
      </w:pPr>
    </w:p>
    <w:p w14:paraId="51DE7D75" w14:textId="77777777" w:rsidR="0010369C" w:rsidRDefault="008E43AE">
      <w:pPr>
        <w:pStyle w:val="BodyText"/>
        <w:spacing w:before="52" w:line="360" w:lineRule="auto"/>
        <w:ind w:left="236" w:right="614" w:firstLine="852"/>
        <w:jc w:val="both"/>
      </w:pPr>
      <w:r>
        <w:rPr>
          <w:noProof/>
        </w:rPr>
        <w:drawing>
          <wp:anchor distT="0" distB="0" distL="0" distR="0" simplePos="0" relativeHeight="250774016" behindDoc="1" locked="0" layoutInCell="1" allowOverlap="1" wp14:anchorId="51DE9DBA" wp14:editId="51DE9DBB">
            <wp:simplePos x="0" y="0"/>
            <wp:positionH relativeFrom="page">
              <wp:posOffset>902208</wp:posOffset>
            </wp:positionH>
            <wp:positionV relativeFrom="paragraph">
              <wp:posOffset>76785</wp:posOffset>
            </wp:positionV>
            <wp:extent cx="182879" cy="106679"/>
            <wp:effectExtent l="0" t="0" r="0" b="0"/>
            <wp:wrapNone/>
            <wp:docPr id="155" name="image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86.png"/>
                    <pic:cNvPicPr/>
                  </pic:nvPicPr>
                  <pic:blipFill>
                    <a:blip r:embed="rId159" cstate="print"/>
                    <a:stretch>
                      <a:fillRect/>
                    </a:stretch>
                  </pic:blipFill>
                  <pic:spPr>
                    <a:xfrm>
                      <a:off x="0" y="0"/>
                      <a:ext cx="182879" cy="106679"/>
                    </a:xfrm>
                    <a:prstGeom prst="rect">
                      <a:avLst/>
                    </a:prstGeom>
                  </pic:spPr>
                </pic:pic>
              </a:graphicData>
            </a:graphic>
          </wp:anchor>
        </w:drawing>
      </w:r>
      <w:r>
        <w:t>Paragraph 7 of Annex II requires that when an investigating authority bases its findings</w:t>
      </w:r>
      <w:r>
        <w:rPr>
          <w:spacing w:val="-1"/>
        </w:rPr>
        <w:t xml:space="preserve"> </w:t>
      </w:r>
      <w:r>
        <w:t>on "information</w:t>
      </w:r>
      <w:r>
        <w:rPr>
          <w:spacing w:val="-1"/>
        </w:rPr>
        <w:t xml:space="preserve"> </w:t>
      </w:r>
      <w:r>
        <w:t>from</w:t>
      </w:r>
      <w:r>
        <w:rPr>
          <w:spacing w:val="-1"/>
        </w:rPr>
        <w:t xml:space="preserve"> </w:t>
      </w:r>
      <w:r>
        <w:t>a</w:t>
      </w:r>
      <w:r>
        <w:rPr>
          <w:spacing w:val="-1"/>
        </w:rPr>
        <w:t xml:space="preserve"> </w:t>
      </w:r>
      <w:r>
        <w:t>secondary</w:t>
      </w:r>
      <w:r>
        <w:rPr>
          <w:spacing w:val="-1"/>
        </w:rPr>
        <w:t xml:space="preserve"> </w:t>
      </w:r>
      <w:r>
        <w:t>source",</w:t>
      </w:r>
      <w:r>
        <w:rPr>
          <w:spacing w:val="-1"/>
        </w:rPr>
        <w:t xml:space="preserve"> </w:t>
      </w:r>
      <w:r>
        <w:t>it</w:t>
      </w:r>
      <w:r>
        <w:rPr>
          <w:spacing w:val="-1"/>
        </w:rPr>
        <w:t xml:space="preserve"> </w:t>
      </w:r>
      <w:r>
        <w:t>must</w:t>
      </w:r>
      <w:r>
        <w:rPr>
          <w:spacing w:val="-1"/>
        </w:rPr>
        <w:t xml:space="preserve"> </w:t>
      </w:r>
      <w:r>
        <w:t>exerci</w:t>
      </w:r>
      <w:r>
        <w:t>se</w:t>
      </w:r>
      <w:r>
        <w:rPr>
          <w:spacing w:val="-1"/>
        </w:rPr>
        <w:t xml:space="preserve"> </w:t>
      </w:r>
      <w:r>
        <w:t>"special</w:t>
      </w:r>
      <w:r>
        <w:rPr>
          <w:spacing w:val="-2"/>
        </w:rPr>
        <w:t xml:space="preserve"> </w:t>
      </w:r>
      <w:r>
        <w:t>circumspection" and "check the information from other independent sources".</w:t>
      </w:r>
    </w:p>
    <w:p w14:paraId="51DE7D76" w14:textId="77777777" w:rsidR="0010369C" w:rsidRDefault="0010369C">
      <w:pPr>
        <w:pStyle w:val="BodyText"/>
        <w:spacing w:before="11"/>
        <w:rPr>
          <w:sz w:val="8"/>
        </w:rPr>
      </w:pPr>
    </w:p>
    <w:p w14:paraId="51DE7D77" w14:textId="77777777" w:rsidR="0010369C" w:rsidRDefault="008E43AE">
      <w:pPr>
        <w:pStyle w:val="BodyText"/>
        <w:spacing w:before="51" w:line="360" w:lineRule="auto"/>
        <w:ind w:left="236" w:right="613" w:firstLine="852"/>
        <w:jc w:val="both"/>
      </w:pPr>
      <w:r>
        <w:rPr>
          <w:noProof/>
        </w:rPr>
        <w:drawing>
          <wp:anchor distT="0" distB="0" distL="0" distR="0" simplePos="0" relativeHeight="250775040" behindDoc="1" locked="0" layoutInCell="1" allowOverlap="1" wp14:anchorId="51DE9DBC" wp14:editId="51DE9DBD">
            <wp:simplePos x="0" y="0"/>
            <wp:positionH relativeFrom="page">
              <wp:posOffset>902208</wp:posOffset>
            </wp:positionH>
            <wp:positionV relativeFrom="paragraph">
              <wp:posOffset>76150</wp:posOffset>
            </wp:positionV>
            <wp:extent cx="182879" cy="106679"/>
            <wp:effectExtent l="0" t="0" r="0" b="0"/>
            <wp:wrapNone/>
            <wp:docPr id="157" name="image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87.png"/>
                    <pic:cNvPicPr/>
                  </pic:nvPicPr>
                  <pic:blipFill>
                    <a:blip r:embed="rId160" cstate="print"/>
                    <a:stretch>
                      <a:fillRect/>
                    </a:stretch>
                  </pic:blipFill>
                  <pic:spPr>
                    <a:xfrm>
                      <a:off x="0" y="0"/>
                      <a:ext cx="182879" cy="106679"/>
                    </a:xfrm>
                    <a:prstGeom prst="rect">
                      <a:avLst/>
                    </a:prstGeom>
                  </pic:spPr>
                </pic:pic>
              </a:graphicData>
            </a:graphic>
          </wp:anchor>
        </w:drawing>
      </w:r>
      <w:r>
        <w:t>"Secondary source" and "independent source" are not defined terms in the Anti‐ Dumping Agreement. The ordinary meaning of "source", in the context of paragraph 7 of A</w:t>
      </w:r>
      <w:r>
        <w:t>nnex</w:t>
      </w:r>
      <w:r>
        <w:rPr>
          <w:spacing w:val="-6"/>
        </w:rPr>
        <w:t xml:space="preserve"> </w:t>
      </w:r>
      <w:r>
        <w:t>II,</w:t>
      </w:r>
      <w:r>
        <w:rPr>
          <w:spacing w:val="-6"/>
        </w:rPr>
        <w:t xml:space="preserve"> </w:t>
      </w:r>
      <w:r>
        <w:t>is</w:t>
      </w:r>
      <w:r>
        <w:rPr>
          <w:spacing w:val="-7"/>
        </w:rPr>
        <w:t xml:space="preserve"> </w:t>
      </w:r>
      <w:r>
        <w:t>defined</w:t>
      </w:r>
      <w:r>
        <w:rPr>
          <w:spacing w:val="-6"/>
        </w:rPr>
        <w:t xml:space="preserve"> </w:t>
      </w:r>
      <w:r>
        <w:t>as</w:t>
      </w:r>
      <w:r>
        <w:rPr>
          <w:spacing w:val="-7"/>
        </w:rPr>
        <w:t xml:space="preserve"> </w:t>
      </w:r>
      <w:r>
        <w:t>"[a]</w:t>
      </w:r>
      <w:r>
        <w:rPr>
          <w:spacing w:val="-7"/>
        </w:rPr>
        <w:t xml:space="preserve"> </w:t>
      </w:r>
      <w:r>
        <w:t>work,</w:t>
      </w:r>
      <w:r>
        <w:rPr>
          <w:spacing w:val="-6"/>
        </w:rPr>
        <w:t xml:space="preserve"> </w:t>
      </w:r>
      <w:r>
        <w:t>etc.,</w:t>
      </w:r>
      <w:r>
        <w:rPr>
          <w:spacing w:val="-6"/>
        </w:rPr>
        <w:t xml:space="preserve"> </w:t>
      </w:r>
      <w:r>
        <w:t>supplying</w:t>
      </w:r>
      <w:r>
        <w:rPr>
          <w:spacing w:val="-6"/>
        </w:rPr>
        <w:t xml:space="preserve"> </w:t>
      </w:r>
      <w:r>
        <w:t>information</w:t>
      </w:r>
      <w:r>
        <w:rPr>
          <w:spacing w:val="-5"/>
        </w:rPr>
        <w:t xml:space="preserve"> </w:t>
      </w:r>
      <w:r>
        <w:t>or</w:t>
      </w:r>
      <w:r>
        <w:rPr>
          <w:spacing w:val="-6"/>
        </w:rPr>
        <w:t xml:space="preserve"> </w:t>
      </w:r>
      <w:r>
        <w:t>evidence</w:t>
      </w:r>
      <w:r>
        <w:rPr>
          <w:spacing w:val="-6"/>
        </w:rPr>
        <w:t xml:space="preserve"> </w:t>
      </w:r>
      <w:r>
        <w:t>(esp.</w:t>
      </w:r>
      <w:r>
        <w:rPr>
          <w:spacing w:val="-5"/>
        </w:rPr>
        <w:t xml:space="preserve"> </w:t>
      </w:r>
      <w:r>
        <w:t>of</w:t>
      </w:r>
      <w:r>
        <w:rPr>
          <w:spacing w:val="-6"/>
        </w:rPr>
        <w:t xml:space="preserve"> </w:t>
      </w:r>
      <w:r>
        <w:t>an</w:t>
      </w:r>
      <w:r>
        <w:rPr>
          <w:spacing w:val="-7"/>
        </w:rPr>
        <w:t xml:space="preserve"> </w:t>
      </w:r>
      <w:r>
        <w:t>original</w:t>
      </w:r>
      <w:r>
        <w:rPr>
          <w:spacing w:val="-6"/>
        </w:rPr>
        <w:t xml:space="preserve"> </w:t>
      </w:r>
      <w:r>
        <w:t>or primary character) as to some fact, event, or series of these. Also, a person supplying information, an informant, a spokesman".</w:t>
      </w:r>
      <w:r>
        <w:rPr>
          <w:vertAlign w:val="superscript"/>
        </w:rPr>
        <w:t>80</w:t>
      </w:r>
      <w:r>
        <w:rPr>
          <w:spacing w:val="-7"/>
        </w:rPr>
        <w:t xml:space="preserve"> </w:t>
      </w:r>
      <w:r>
        <w:t>As such, "source" includes a work or individual supplying information or evidence.</w:t>
      </w:r>
    </w:p>
    <w:p w14:paraId="51DE7D78" w14:textId="77777777" w:rsidR="0010369C" w:rsidRDefault="0010369C">
      <w:pPr>
        <w:pStyle w:val="BodyText"/>
        <w:spacing w:before="10"/>
        <w:rPr>
          <w:sz w:val="8"/>
        </w:rPr>
      </w:pPr>
    </w:p>
    <w:p w14:paraId="51DE7D79" w14:textId="77777777" w:rsidR="0010369C" w:rsidRDefault="008E43AE">
      <w:pPr>
        <w:pStyle w:val="BodyText"/>
        <w:spacing w:before="52" w:line="360" w:lineRule="auto"/>
        <w:ind w:left="236" w:right="613" w:firstLine="852"/>
        <w:jc w:val="both"/>
      </w:pPr>
      <w:r>
        <w:rPr>
          <w:noProof/>
        </w:rPr>
        <w:drawing>
          <wp:anchor distT="0" distB="0" distL="0" distR="0" simplePos="0" relativeHeight="250776064" behindDoc="1" locked="0" layoutInCell="1" allowOverlap="1" wp14:anchorId="51DE9DBE" wp14:editId="51DE9DBF">
            <wp:simplePos x="0" y="0"/>
            <wp:positionH relativeFrom="page">
              <wp:posOffset>902208</wp:posOffset>
            </wp:positionH>
            <wp:positionV relativeFrom="paragraph">
              <wp:posOffset>81358</wp:posOffset>
            </wp:positionV>
            <wp:extent cx="182879" cy="103631"/>
            <wp:effectExtent l="0" t="0" r="0" b="0"/>
            <wp:wrapNone/>
            <wp:docPr id="159" name="image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88.png"/>
                    <pic:cNvPicPr/>
                  </pic:nvPicPr>
                  <pic:blipFill>
                    <a:blip r:embed="rId161" cstate="print"/>
                    <a:stretch>
                      <a:fillRect/>
                    </a:stretch>
                  </pic:blipFill>
                  <pic:spPr>
                    <a:xfrm>
                      <a:off x="0" y="0"/>
                      <a:ext cx="182879" cy="103631"/>
                    </a:xfrm>
                    <a:prstGeom prst="rect">
                      <a:avLst/>
                    </a:prstGeom>
                  </pic:spPr>
                </pic:pic>
              </a:graphicData>
            </a:graphic>
          </wp:anchor>
        </w:drawing>
      </w:r>
      <w:r>
        <w:t>"Secondary", in the context of paragr</w:t>
      </w:r>
      <w:r>
        <w:t>aph 7, is defined as "[b]elonging to the second order in a series related by successive derivation, causation, or dependence; derived from, based</w:t>
      </w:r>
      <w:r>
        <w:rPr>
          <w:spacing w:val="-10"/>
        </w:rPr>
        <w:t xml:space="preserve"> </w:t>
      </w:r>
      <w:r>
        <w:t>on,</w:t>
      </w:r>
      <w:r>
        <w:rPr>
          <w:spacing w:val="-10"/>
        </w:rPr>
        <w:t xml:space="preserve"> </w:t>
      </w:r>
      <w:r>
        <w:t>or</w:t>
      </w:r>
      <w:r>
        <w:rPr>
          <w:spacing w:val="-11"/>
        </w:rPr>
        <w:t xml:space="preserve"> </w:t>
      </w:r>
      <w:r>
        <w:t>dependent</w:t>
      </w:r>
      <w:r>
        <w:rPr>
          <w:spacing w:val="-10"/>
        </w:rPr>
        <w:t xml:space="preserve"> </w:t>
      </w:r>
      <w:r>
        <w:t>on</w:t>
      </w:r>
      <w:r>
        <w:rPr>
          <w:spacing w:val="-10"/>
        </w:rPr>
        <w:t xml:space="preserve"> </w:t>
      </w:r>
      <w:r>
        <w:t>something</w:t>
      </w:r>
      <w:r>
        <w:rPr>
          <w:spacing w:val="-10"/>
        </w:rPr>
        <w:t xml:space="preserve"> </w:t>
      </w:r>
      <w:r>
        <w:t>else</w:t>
      </w:r>
      <w:r>
        <w:rPr>
          <w:spacing w:val="-9"/>
        </w:rPr>
        <w:t xml:space="preserve"> </w:t>
      </w:r>
      <w:r>
        <w:t>which</w:t>
      </w:r>
      <w:r>
        <w:rPr>
          <w:spacing w:val="-10"/>
        </w:rPr>
        <w:t xml:space="preserve"> </w:t>
      </w:r>
      <w:r>
        <w:t>is</w:t>
      </w:r>
      <w:r>
        <w:rPr>
          <w:spacing w:val="-10"/>
        </w:rPr>
        <w:t xml:space="preserve"> </w:t>
      </w:r>
      <w:r>
        <w:t>primary".</w:t>
      </w:r>
      <w:r>
        <w:rPr>
          <w:vertAlign w:val="superscript"/>
        </w:rPr>
        <w:t>81</w:t>
      </w:r>
      <w:r>
        <w:rPr>
          <w:spacing w:val="35"/>
        </w:rPr>
        <w:t xml:space="preserve"> </w:t>
      </w:r>
      <w:r>
        <w:t>"Independent",</w:t>
      </w:r>
      <w:r>
        <w:rPr>
          <w:spacing w:val="-10"/>
        </w:rPr>
        <w:t xml:space="preserve"> </w:t>
      </w:r>
      <w:r>
        <w:t>in</w:t>
      </w:r>
      <w:r>
        <w:rPr>
          <w:spacing w:val="-10"/>
        </w:rPr>
        <w:t xml:space="preserve"> </w:t>
      </w:r>
      <w:r>
        <w:t>the</w:t>
      </w:r>
      <w:r>
        <w:rPr>
          <w:spacing w:val="-9"/>
        </w:rPr>
        <w:t xml:space="preserve"> </w:t>
      </w:r>
      <w:r>
        <w:t>context of paragraph 7, is defin</w:t>
      </w:r>
      <w:r>
        <w:t xml:space="preserve">ed as "[n]ot depending upon the authority of another" or "[n]ot depending on something else for its existence, validity, efficiency, operation, or some other </w:t>
      </w:r>
      <w:r>
        <w:rPr>
          <w:spacing w:val="-2"/>
        </w:rPr>
        <w:t>attribute".</w:t>
      </w:r>
      <w:r>
        <w:rPr>
          <w:spacing w:val="-2"/>
          <w:vertAlign w:val="superscript"/>
        </w:rPr>
        <w:t>82</w:t>
      </w:r>
    </w:p>
    <w:p w14:paraId="51DE7D7A" w14:textId="77777777" w:rsidR="0010369C" w:rsidRDefault="0010369C">
      <w:pPr>
        <w:pStyle w:val="BodyText"/>
        <w:rPr>
          <w:sz w:val="20"/>
        </w:rPr>
      </w:pPr>
    </w:p>
    <w:p w14:paraId="51DE7D7B" w14:textId="77777777" w:rsidR="0010369C" w:rsidRDefault="0010369C">
      <w:pPr>
        <w:pStyle w:val="BodyText"/>
        <w:rPr>
          <w:sz w:val="20"/>
        </w:rPr>
      </w:pPr>
    </w:p>
    <w:p w14:paraId="51DE7D7C" w14:textId="77777777" w:rsidR="0010369C" w:rsidRDefault="0010369C">
      <w:pPr>
        <w:pStyle w:val="BodyText"/>
        <w:rPr>
          <w:sz w:val="20"/>
        </w:rPr>
      </w:pPr>
    </w:p>
    <w:p w14:paraId="51DE7D7D" w14:textId="77777777" w:rsidR="0010369C" w:rsidRDefault="0010369C">
      <w:pPr>
        <w:pStyle w:val="BodyText"/>
        <w:rPr>
          <w:sz w:val="20"/>
        </w:rPr>
      </w:pPr>
    </w:p>
    <w:p w14:paraId="51DE7D7E" w14:textId="77777777" w:rsidR="0010369C" w:rsidRDefault="0010369C">
      <w:pPr>
        <w:pStyle w:val="BodyText"/>
        <w:rPr>
          <w:sz w:val="20"/>
        </w:rPr>
      </w:pPr>
    </w:p>
    <w:p w14:paraId="51DE7D7F" w14:textId="77777777" w:rsidR="0010369C" w:rsidRDefault="008E43AE">
      <w:pPr>
        <w:pStyle w:val="BodyText"/>
        <w:spacing w:before="9"/>
        <w:rPr>
          <w:sz w:val="22"/>
        </w:rPr>
      </w:pPr>
      <w:r>
        <w:pict w14:anchorId="51DE9DC0">
          <v:rect id="docshape92" o:spid="_x0000_s3172" style="position:absolute;margin-left:70.9pt;margin-top:15.1pt;width:2in;height:.8pt;z-index:-251244032;mso-wrap-distance-left:0;mso-wrap-distance-right:0;mso-position-horizontal-relative:page" fillcolor="black" stroked="f">
            <w10:wrap type="topAndBottom" anchorx="page"/>
          </v:rect>
        </w:pict>
      </w:r>
    </w:p>
    <w:p w14:paraId="51DE7D80" w14:textId="77777777" w:rsidR="0010369C" w:rsidRDefault="008E43AE">
      <w:pPr>
        <w:spacing w:before="109"/>
        <w:ind w:left="238" w:right="614" w:hanging="1"/>
        <w:rPr>
          <w:sz w:val="18"/>
        </w:rPr>
      </w:pPr>
      <w:r>
        <w:rPr>
          <w:sz w:val="18"/>
          <w:vertAlign w:val="superscript"/>
        </w:rPr>
        <w:t>80</w:t>
      </w:r>
      <w:r>
        <w:rPr>
          <w:spacing w:val="-3"/>
          <w:sz w:val="18"/>
        </w:rPr>
        <w:t xml:space="preserve"> </w:t>
      </w:r>
      <w:r>
        <w:rPr>
          <w:sz w:val="18"/>
        </w:rPr>
        <w:t>Oxford</w:t>
      </w:r>
      <w:r>
        <w:rPr>
          <w:spacing w:val="-3"/>
          <w:sz w:val="18"/>
        </w:rPr>
        <w:t xml:space="preserve"> </w:t>
      </w:r>
      <w:r>
        <w:rPr>
          <w:sz w:val="18"/>
        </w:rPr>
        <w:t>English</w:t>
      </w:r>
      <w:r>
        <w:rPr>
          <w:spacing w:val="-3"/>
          <w:sz w:val="18"/>
        </w:rPr>
        <w:t xml:space="preserve"> </w:t>
      </w:r>
      <w:r>
        <w:rPr>
          <w:sz w:val="18"/>
        </w:rPr>
        <w:t>Dictionary</w:t>
      </w:r>
      <w:r>
        <w:rPr>
          <w:spacing w:val="-2"/>
          <w:sz w:val="18"/>
        </w:rPr>
        <w:t xml:space="preserve"> </w:t>
      </w:r>
      <w:r>
        <w:rPr>
          <w:sz w:val="18"/>
        </w:rPr>
        <w:t>online,</w:t>
      </w:r>
      <w:r>
        <w:rPr>
          <w:spacing w:val="-3"/>
          <w:sz w:val="18"/>
        </w:rPr>
        <w:t xml:space="preserve"> </w:t>
      </w:r>
      <w:r>
        <w:rPr>
          <w:sz w:val="18"/>
        </w:rPr>
        <w:t>definition</w:t>
      </w:r>
      <w:r>
        <w:rPr>
          <w:spacing w:val="-3"/>
          <w:sz w:val="18"/>
        </w:rPr>
        <w:t xml:space="preserve"> </w:t>
      </w:r>
      <w:r>
        <w:rPr>
          <w:sz w:val="18"/>
        </w:rPr>
        <w:t>of</w:t>
      </w:r>
      <w:r>
        <w:rPr>
          <w:spacing w:val="-3"/>
          <w:sz w:val="18"/>
        </w:rPr>
        <w:t xml:space="preserve"> </w:t>
      </w:r>
      <w:r>
        <w:rPr>
          <w:sz w:val="18"/>
        </w:rPr>
        <w:t>"source",</w:t>
      </w:r>
      <w:r>
        <w:rPr>
          <w:spacing w:val="-4"/>
          <w:sz w:val="18"/>
        </w:rPr>
        <w:t xml:space="preserve"> </w:t>
      </w:r>
      <w:hyperlink r:id="rId162">
        <w:r>
          <w:rPr>
            <w:sz w:val="18"/>
          </w:rPr>
          <w:t>https://www.oed.com/view/Entry/185182</w:t>
        </w:r>
        <w:r>
          <w:rPr>
            <w:spacing w:val="-1"/>
            <w:sz w:val="18"/>
          </w:rPr>
          <w:t xml:space="preserve"> </w:t>
        </w:r>
      </w:hyperlink>
      <w:r>
        <w:rPr>
          <w:sz w:val="18"/>
        </w:rPr>
        <w:t>(accessed</w:t>
      </w:r>
      <w:r>
        <w:rPr>
          <w:spacing w:val="-4"/>
          <w:sz w:val="18"/>
        </w:rPr>
        <w:t xml:space="preserve"> </w:t>
      </w:r>
      <w:r>
        <w:rPr>
          <w:sz w:val="18"/>
        </w:rPr>
        <w:t>28</w:t>
      </w:r>
      <w:r>
        <w:rPr>
          <w:spacing w:val="-5"/>
          <w:sz w:val="18"/>
        </w:rPr>
        <w:t xml:space="preserve"> </w:t>
      </w:r>
      <w:r>
        <w:rPr>
          <w:sz w:val="18"/>
        </w:rPr>
        <w:t xml:space="preserve">April </w:t>
      </w:r>
      <w:r>
        <w:rPr>
          <w:spacing w:val="-2"/>
          <w:sz w:val="18"/>
        </w:rPr>
        <w:t>2022).</w:t>
      </w:r>
    </w:p>
    <w:p w14:paraId="51DE7D81" w14:textId="77777777" w:rsidR="0010369C" w:rsidRDefault="008E43AE">
      <w:pPr>
        <w:spacing w:before="1"/>
        <w:ind w:left="238" w:right="611" w:hanging="1"/>
        <w:rPr>
          <w:sz w:val="18"/>
        </w:rPr>
      </w:pPr>
      <w:r>
        <w:rPr>
          <w:sz w:val="18"/>
          <w:vertAlign w:val="superscript"/>
        </w:rPr>
        <w:t>81</w:t>
      </w:r>
      <w:r>
        <w:rPr>
          <w:spacing w:val="-3"/>
          <w:sz w:val="18"/>
        </w:rPr>
        <w:t xml:space="preserve"> </w:t>
      </w:r>
      <w:r>
        <w:rPr>
          <w:sz w:val="18"/>
        </w:rPr>
        <w:t>Oxford</w:t>
      </w:r>
      <w:r>
        <w:rPr>
          <w:spacing w:val="-3"/>
          <w:sz w:val="18"/>
        </w:rPr>
        <w:t xml:space="preserve"> </w:t>
      </w:r>
      <w:r>
        <w:rPr>
          <w:sz w:val="18"/>
        </w:rPr>
        <w:t>English</w:t>
      </w:r>
      <w:r>
        <w:rPr>
          <w:spacing w:val="-3"/>
          <w:sz w:val="18"/>
        </w:rPr>
        <w:t xml:space="preserve"> </w:t>
      </w:r>
      <w:r>
        <w:rPr>
          <w:sz w:val="18"/>
        </w:rPr>
        <w:t>Dictionary</w:t>
      </w:r>
      <w:r>
        <w:rPr>
          <w:spacing w:val="-2"/>
          <w:sz w:val="18"/>
        </w:rPr>
        <w:t xml:space="preserve"> </w:t>
      </w:r>
      <w:r>
        <w:rPr>
          <w:sz w:val="18"/>
        </w:rPr>
        <w:t>online,</w:t>
      </w:r>
      <w:r>
        <w:rPr>
          <w:spacing w:val="-3"/>
          <w:sz w:val="18"/>
        </w:rPr>
        <w:t xml:space="preserve"> </w:t>
      </w:r>
      <w:r>
        <w:rPr>
          <w:sz w:val="18"/>
        </w:rPr>
        <w:t>definition</w:t>
      </w:r>
      <w:r>
        <w:rPr>
          <w:spacing w:val="-3"/>
          <w:sz w:val="18"/>
        </w:rPr>
        <w:t xml:space="preserve"> </w:t>
      </w:r>
      <w:r>
        <w:rPr>
          <w:sz w:val="18"/>
        </w:rPr>
        <w:t>of</w:t>
      </w:r>
      <w:r>
        <w:rPr>
          <w:spacing w:val="-3"/>
          <w:sz w:val="18"/>
        </w:rPr>
        <w:t xml:space="preserve"> </w:t>
      </w:r>
      <w:r>
        <w:rPr>
          <w:sz w:val="18"/>
        </w:rPr>
        <w:t>"secondary",</w:t>
      </w:r>
      <w:r>
        <w:rPr>
          <w:spacing w:val="-4"/>
          <w:sz w:val="18"/>
        </w:rPr>
        <w:t xml:space="preserve"> </w:t>
      </w:r>
      <w:hyperlink r:id="rId163">
        <w:r>
          <w:rPr>
            <w:sz w:val="18"/>
          </w:rPr>
          <w:t>https://www.oed.</w:t>
        </w:r>
        <w:r>
          <w:rPr>
            <w:sz w:val="18"/>
          </w:rPr>
          <w:t>com/view/Entry/174507</w:t>
        </w:r>
        <w:r>
          <w:rPr>
            <w:spacing w:val="-1"/>
            <w:sz w:val="18"/>
          </w:rPr>
          <w:t xml:space="preserve"> </w:t>
        </w:r>
      </w:hyperlink>
      <w:r>
        <w:rPr>
          <w:sz w:val="18"/>
        </w:rPr>
        <w:t>(accessed</w:t>
      </w:r>
      <w:r>
        <w:rPr>
          <w:spacing w:val="-4"/>
          <w:sz w:val="18"/>
        </w:rPr>
        <w:t xml:space="preserve"> </w:t>
      </w:r>
      <w:r>
        <w:rPr>
          <w:sz w:val="18"/>
        </w:rPr>
        <w:t>28</w:t>
      </w:r>
      <w:r>
        <w:rPr>
          <w:spacing w:val="-3"/>
          <w:sz w:val="18"/>
        </w:rPr>
        <w:t xml:space="preserve"> </w:t>
      </w:r>
      <w:r>
        <w:rPr>
          <w:sz w:val="18"/>
        </w:rPr>
        <w:t xml:space="preserve">April </w:t>
      </w:r>
      <w:r>
        <w:rPr>
          <w:spacing w:val="-2"/>
          <w:sz w:val="18"/>
        </w:rPr>
        <w:t>2022).</w:t>
      </w:r>
    </w:p>
    <w:p w14:paraId="51DE7D82" w14:textId="77777777" w:rsidR="0010369C" w:rsidRDefault="008E43AE">
      <w:pPr>
        <w:ind w:left="238" w:right="726" w:hanging="1"/>
        <w:rPr>
          <w:sz w:val="18"/>
        </w:rPr>
      </w:pPr>
      <w:r>
        <w:rPr>
          <w:sz w:val="18"/>
          <w:vertAlign w:val="superscript"/>
        </w:rPr>
        <w:t>82</w:t>
      </w:r>
      <w:r>
        <w:rPr>
          <w:spacing w:val="-3"/>
          <w:sz w:val="18"/>
        </w:rPr>
        <w:t xml:space="preserve"> </w:t>
      </w:r>
      <w:r>
        <w:rPr>
          <w:sz w:val="18"/>
        </w:rPr>
        <w:t>Oxford</w:t>
      </w:r>
      <w:r>
        <w:rPr>
          <w:spacing w:val="-3"/>
          <w:sz w:val="18"/>
        </w:rPr>
        <w:t xml:space="preserve"> </w:t>
      </w:r>
      <w:r>
        <w:rPr>
          <w:sz w:val="18"/>
        </w:rPr>
        <w:t>English</w:t>
      </w:r>
      <w:r>
        <w:rPr>
          <w:spacing w:val="-3"/>
          <w:sz w:val="18"/>
        </w:rPr>
        <w:t xml:space="preserve"> </w:t>
      </w:r>
      <w:r>
        <w:rPr>
          <w:sz w:val="18"/>
        </w:rPr>
        <w:t>Dictionary</w:t>
      </w:r>
      <w:r>
        <w:rPr>
          <w:spacing w:val="-3"/>
          <w:sz w:val="18"/>
        </w:rPr>
        <w:t xml:space="preserve"> </w:t>
      </w:r>
      <w:r>
        <w:rPr>
          <w:sz w:val="18"/>
        </w:rPr>
        <w:t>online,</w:t>
      </w:r>
      <w:r>
        <w:rPr>
          <w:spacing w:val="-3"/>
          <w:sz w:val="18"/>
        </w:rPr>
        <w:t xml:space="preserve"> </w:t>
      </w:r>
      <w:r>
        <w:rPr>
          <w:sz w:val="18"/>
        </w:rPr>
        <w:t>definition</w:t>
      </w:r>
      <w:r>
        <w:rPr>
          <w:spacing w:val="-3"/>
          <w:sz w:val="18"/>
        </w:rPr>
        <w:t xml:space="preserve"> </w:t>
      </w:r>
      <w:r>
        <w:rPr>
          <w:sz w:val="18"/>
        </w:rPr>
        <w:t>of</w:t>
      </w:r>
      <w:r>
        <w:rPr>
          <w:spacing w:val="-3"/>
          <w:sz w:val="18"/>
        </w:rPr>
        <w:t xml:space="preserve"> </w:t>
      </w:r>
      <w:r>
        <w:rPr>
          <w:sz w:val="18"/>
        </w:rPr>
        <w:t>"independent",</w:t>
      </w:r>
      <w:r>
        <w:rPr>
          <w:spacing w:val="-3"/>
          <w:sz w:val="18"/>
        </w:rPr>
        <w:t xml:space="preserve"> </w:t>
      </w:r>
      <w:hyperlink r:id="rId164">
        <w:r>
          <w:rPr>
            <w:sz w:val="18"/>
          </w:rPr>
          <w:t>https://www.oed.com/view/Entry/94325</w:t>
        </w:r>
        <w:r>
          <w:rPr>
            <w:spacing w:val="-3"/>
            <w:sz w:val="18"/>
          </w:rPr>
          <w:t xml:space="preserve"> </w:t>
        </w:r>
      </w:hyperlink>
      <w:r>
        <w:rPr>
          <w:sz w:val="18"/>
        </w:rPr>
        <w:t>(accessed</w:t>
      </w:r>
      <w:r>
        <w:rPr>
          <w:spacing w:val="-3"/>
          <w:sz w:val="18"/>
        </w:rPr>
        <w:t xml:space="preserve"> </w:t>
      </w:r>
      <w:r>
        <w:rPr>
          <w:sz w:val="18"/>
        </w:rPr>
        <w:t>28 April</w:t>
      </w:r>
      <w:r>
        <w:rPr>
          <w:spacing w:val="-2"/>
          <w:sz w:val="18"/>
        </w:rPr>
        <w:t xml:space="preserve"> </w:t>
      </w:r>
      <w:r>
        <w:rPr>
          <w:sz w:val="18"/>
        </w:rPr>
        <w:t>2022).</w:t>
      </w:r>
    </w:p>
    <w:p w14:paraId="51DE7D83" w14:textId="77777777" w:rsidR="0010369C" w:rsidRDefault="0010369C">
      <w:pPr>
        <w:rPr>
          <w:sz w:val="18"/>
        </w:rPr>
        <w:sectPr w:rsidR="0010369C">
          <w:pgSz w:w="11910" w:h="16840"/>
          <w:pgMar w:top="880" w:right="800" w:bottom="980" w:left="1180" w:header="569" w:footer="788" w:gutter="0"/>
          <w:cols w:space="720"/>
        </w:sectPr>
      </w:pPr>
    </w:p>
    <w:p w14:paraId="51DE7D84" w14:textId="77777777" w:rsidR="0010369C" w:rsidRDefault="008E43AE">
      <w:pPr>
        <w:tabs>
          <w:tab w:val="left" w:pos="6426"/>
        </w:tabs>
        <w:ind w:left="238"/>
        <w:rPr>
          <w:sz w:val="20"/>
        </w:rPr>
      </w:pPr>
      <w:r>
        <w:rPr>
          <w:i/>
          <w:sz w:val="20"/>
        </w:rPr>
        <w:lastRenderedPageBreak/>
        <w:t>China</w:t>
      </w:r>
      <w:r>
        <w:rPr>
          <w:i/>
          <w:spacing w:val="-5"/>
          <w:sz w:val="20"/>
        </w:rPr>
        <w:t xml:space="preserve"> </w:t>
      </w:r>
      <w:r>
        <w:rPr>
          <w:i/>
          <w:sz w:val="20"/>
        </w:rPr>
        <w:t>–</w:t>
      </w:r>
      <w:r>
        <w:rPr>
          <w:i/>
          <w:spacing w:val="-5"/>
          <w:sz w:val="20"/>
        </w:rPr>
        <w:t xml:space="preserve"> </w:t>
      </w:r>
      <w:r>
        <w:rPr>
          <w:i/>
          <w:sz w:val="20"/>
        </w:rPr>
        <w:t>Anti‐Dumping</w:t>
      </w:r>
      <w:r>
        <w:rPr>
          <w:i/>
          <w:spacing w:val="-4"/>
          <w:sz w:val="20"/>
        </w:rPr>
        <w:t xml:space="preserve"> </w:t>
      </w:r>
      <w:r>
        <w:rPr>
          <w:i/>
          <w:sz w:val="20"/>
        </w:rPr>
        <w:t>and</w:t>
      </w:r>
      <w:r>
        <w:rPr>
          <w:i/>
          <w:spacing w:val="-5"/>
          <w:sz w:val="20"/>
        </w:rPr>
        <w:t xml:space="preserve"> </w:t>
      </w:r>
      <w:r>
        <w:rPr>
          <w:i/>
          <w:sz w:val="20"/>
        </w:rPr>
        <w:t>Countervailing</w:t>
      </w:r>
      <w:r>
        <w:rPr>
          <w:i/>
          <w:spacing w:val="-5"/>
          <w:sz w:val="20"/>
        </w:rPr>
        <w:t xml:space="preserve"> </w:t>
      </w:r>
      <w:r>
        <w:rPr>
          <w:i/>
          <w:sz w:val="20"/>
        </w:rPr>
        <w:t>Duty</w:t>
      </w:r>
      <w:r>
        <w:rPr>
          <w:i/>
          <w:spacing w:val="-4"/>
          <w:sz w:val="20"/>
        </w:rPr>
        <w:t xml:space="preserve"> </w:t>
      </w:r>
      <w:r>
        <w:rPr>
          <w:i/>
          <w:spacing w:val="-2"/>
          <w:sz w:val="20"/>
        </w:rPr>
        <w:t>Measures</w:t>
      </w:r>
      <w:r>
        <w:rPr>
          <w:i/>
          <w:sz w:val="20"/>
        </w:rPr>
        <w:tab/>
      </w:r>
      <w:r>
        <w:rPr>
          <w:sz w:val="20"/>
        </w:rPr>
        <w:t>Australia's</w:t>
      </w:r>
      <w:r>
        <w:rPr>
          <w:spacing w:val="-7"/>
          <w:sz w:val="20"/>
        </w:rPr>
        <w:t xml:space="preserve"> </w:t>
      </w:r>
      <w:r>
        <w:rPr>
          <w:sz w:val="20"/>
        </w:rPr>
        <w:t>First</w:t>
      </w:r>
      <w:r>
        <w:rPr>
          <w:spacing w:val="-2"/>
          <w:sz w:val="20"/>
        </w:rPr>
        <w:t xml:space="preserve"> </w:t>
      </w:r>
      <w:r>
        <w:rPr>
          <w:sz w:val="20"/>
        </w:rPr>
        <w:t>Written</w:t>
      </w:r>
      <w:r>
        <w:rPr>
          <w:spacing w:val="-2"/>
          <w:sz w:val="20"/>
        </w:rPr>
        <w:t xml:space="preserve"> Submission</w:t>
      </w:r>
    </w:p>
    <w:p w14:paraId="51DE7D85" w14:textId="77777777" w:rsidR="0010369C" w:rsidRDefault="008E43AE">
      <w:pPr>
        <w:tabs>
          <w:tab w:val="left" w:pos="8228"/>
        </w:tabs>
        <w:spacing w:before="1"/>
        <w:ind w:left="239"/>
        <w:rPr>
          <w:sz w:val="20"/>
        </w:rPr>
      </w:pPr>
      <w:r>
        <w:rPr>
          <w:i/>
          <w:sz w:val="20"/>
        </w:rPr>
        <w:t>on</w:t>
      </w:r>
      <w:r>
        <w:rPr>
          <w:i/>
          <w:spacing w:val="-1"/>
          <w:sz w:val="20"/>
        </w:rPr>
        <w:t xml:space="preserve"> </w:t>
      </w:r>
      <w:r>
        <w:rPr>
          <w:i/>
          <w:sz w:val="20"/>
        </w:rPr>
        <w:t>Wine</w:t>
      </w:r>
      <w:r>
        <w:rPr>
          <w:i/>
          <w:spacing w:val="-1"/>
          <w:sz w:val="20"/>
        </w:rPr>
        <w:t xml:space="preserve"> </w:t>
      </w:r>
      <w:r>
        <w:rPr>
          <w:i/>
          <w:sz w:val="20"/>
        </w:rPr>
        <w:t>from</w:t>
      </w:r>
      <w:r>
        <w:rPr>
          <w:i/>
          <w:spacing w:val="-3"/>
          <w:sz w:val="20"/>
        </w:rPr>
        <w:t xml:space="preserve"> </w:t>
      </w:r>
      <w:r>
        <w:rPr>
          <w:i/>
          <w:sz w:val="20"/>
        </w:rPr>
        <w:t>Australia</w:t>
      </w:r>
      <w:r>
        <w:rPr>
          <w:i/>
          <w:spacing w:val="-1"/>
          <w:sz w:val="20"/>
        </w:rPr>
        <w:t xml:space="preserve"> </w:t>
      </w:r>
      <w:r>
        <w:rPr>
          <w:spacing w:val="-2"/>
          <w:sz w:val="20"/>
        </w:rPr>
        <w:t>(DS602)</w:t>
      </w:r>
      <w:r>
        <w:rPr>
          <w:sz w:val="20"/>
        </w:rPr>
        <w:tab/>
        <w:t>29</w:t>
      </w:r>
      <w:r>
        <w:rPr>
          <w:spacing w:val="-1"/>
          <w:sz w:val="20"/>
        </w:rPr>
        <w:t xml:space="preserve"> </w:t>
      </w:r>
      <w:r>
        <w:rPr>
          <w:sz w:val="20"/>
        </w:rPr>
        <w:t>April</w:t>
      </w:r>
      <w:r>
        <w:rPr>
          <w:spacing w:val="-2"/>
          <w:sz w:val="20"/>
        </w:rPr>
        <w:t xml:space="preserve"> </w:t>
      </w:r>
      <w:r>
        <w:rPr>
          <w:spacing w:val="-4"/>
          <w:sz w:val="20"/>
        </w:rPr>
        <w:t>2022</w:t>
      </w:r>
    </w:p>
    <w:p w14:paraId="51DE7D86" w14:textId="77777777" w:rsidR="0010369C" w:rsidRDefault="008E43AE">
      <w:pPr>
        <w:pStyle w:val="BodyText"/>
        <w:spacing w:before="34" w:line="360" w:lineRule="auto"/>
        <w:ind w:left="237" w:right="613" w:firstLine="851"/>
        <w:jc w:val="both"/>
      </w:pPr>
      <w:r>
        <w:rPr>
          <w:noProof/>
        </w:rPr>
        <w:drawing>
          <wp:anchor distT="0" distB="0" distL="0" distR="0" simplePos="0" relativeHeight="250777088" behindDoc="1" locked="0" layoutInCell="1" allowOverlap="1" wp14:anchorId="51DE9DC1" wp14:editId="51DE9DC2">
            <wp:simplePos x="0" y="0"/>
            <wp:positionH relativeFrom="page">
              <wp:posOffset>902208</wp:posOffset>
            </wp:positionH>
            <wp:positionV relativeFrom="paragraph">
              <wp:posOffset>69165</wp:posOffset>
            </wp:positionV>
            <wp:extent cx="182879" cy="103631"/>
            <wp:effectExtent l="0" t="0" r="0" b="0"/>
            <wp:wrapNone/>
            <wp:docPr id="161" name="image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89.png"/>
                    <pic:cNvPicPr/>
                  </pic:nvPicPr>
                  <pic:blipFill>
                    <a:blip r:embed="rId165" cstate="print"/>
                    <a:stretch>
                      <a:fillRect/>
                    </a:stretch>
                  </pic:blipFill>
                  <pic:spPr>
                    <a:xfrm>
                      <a:off x="0" y="0"/>
                      <a:ext cx="182879" cy="103631"/>
                    </a:xfrm>
                    <a:prstGeom prst="rect">
                      <a:avLst/>
                    </a:prstGeom>
                  </pic:spPr>
                </pic:pic>
              </a:graphicData>
            </a:graphic>
          </wp:anchor>
        </w:drawing>
      </w:r>
      <w:r>
        <w:t>The broader context of Article</w:t>
      </w:r>
      <w:r>
        <w:rPr>
          <w:spacing w:val="-2"/>
        </w:rPr>
        <w:t xml:space="preserve"> </w:t>
      </w:r>
      <w:r>
        <w:t>6.8 and Annex</w:t>
      </w:r>
      <w:r>
        <w:rPr>
          <w:spacing w:val="-2"/>
        </w:rPr>
        <w:t xml:space="preserve"> </w:t>
      </w:r>
      <w:r>
        <w:t>II makes clear that there is a "clear preference</w:t>
      </w:r>
      <w:r>
        <w:rPr>
          <w:spacing w:val="-14"/>
        </w:rPr>
        <w:t xml:space="preserve"> </w:t>
      </w:r>
      <w:r>
        <w:t>for</w:t>
      </w:r>
      <w:r>
        <w:rPr>
          <w:spacing w:val="-14"/>
        </w:rPr>
        <w:t xml:space="preserve"> </w:t>
      </w:r>
      <w:r>
        <w:rPr>
          <w:i/>
        </w:rPr>
        <w:t>first‐hand</w:t>
      </w:r>
      <w:r>
        <w:rPr>
          <w:i/>
          <w:spacing w:val="-13"/>
        </w:rPr>
        <w:t xml:space="preserve"> </w:t>
      </w:r>
      <w:r>
        <w:rPr>
          <w:i/>
        </w:rPr>
        <w:t>informatio</w:t>
      </w:r>
      <w:r>
        <w:rPr>
          <w:i/>
        </w:rPr>
        <w:t>n</w:t>
      </w:r>
      <w:r>
        <w:t>"</w:t>
      </w:r>
      <w:r>
        <w:rPr>
          <w:spacing w:val="-14"/>
        </w:rPr>
        <w:t xml:space="preserve"> </w:t>
      </w:r>
      <w:r>
        <w:t>to</w:t>
      </w:r>
      <w:r>
        <w:rPr>
          <w:spacing w:val="-10"/>
        </w:rPr>
        <w:t xml:space="preserve"> </w:t>
      </w:r>
      <w:r>
        <w:t>be</w:t>
      </w:r>
      <w:r>
        <w:rPr>
          <w:spacing w:val="-11"/>
        </w:rPr>
        <w:t xml:space="preserve"> </w:t>
      </w:r>
      <w:r>
        <w:t>used</w:t>
      </w:r>
      <w:r>
        <w:rPr>
          <w:spacing w:val="-9"/>
        </w:rPr>
        <w:t xml:space="preserve"> </w:t>
      </w:r>
      <w:r>
        <w:t>by</w:t>
      </w:r>
      <w:r>
        <w:rPr>
          <w:spacing w:val="-11"/>
        </w:rPr>
        <w:t xml:space="preserve"> </w:t>
      </w:r>
      <w:r>
        <w:t>investigating</w:t>
      </w:r>
      <w:r>
        <w:rPr>
          <w:spacing w:val="-10"/>
        </w:rPr>
        <w:t xml:space="preserve"> </w:t>
      </w:r>
      <w:r>
        <w:t>authorities.</w:t>
      </w:r>
      <w:r>
        <w:rPr>
          <w:vertAlign w:val="superscript"/>
        </w:rPr>
        <w:t>83</w:t>
      </w:r>
      <w:r>
        <w:rPr>
          <w:spacing w:val="-14"/>
        </w:rPr>
        <w:t xml:space="preserve"> </w:t>
      </w:r>
      <w:r>
        <w:t>It</w:t>
      </w:r>
      <w:r>
        <w:rPr>
          <w:spacing w:val="-11"/>
        </w:rPr>
        <w:t xml:space="preserve"> </w:t>
      </w:r>
      <w:r>
        <w:t>is</w:t>
      </w:r>
      <w:r>
        <w:rPr>
          <w:spacing w:val="-10"/>
        </w:rPr>
        <w:t xml:space="preserve"> </w:t>
      </w:r>
      <w:r>
        <w:t>only</w:t>
      </w:r>
      <w:r>
        <w:rPr>
          <w:spacing w:val="-10"/>
        </w:rPr>
        <w:t xml:space="preserve"> </w:t>
      </w:r>
      <w:r>
        <w:t>when this information is missing that an investigating authority may have recourse to secondary/ other</w:t>
      </w:r>
      <w:r>
        <w:rPr>
          <w:spacing w:val="-6"/>
        </w:rPr>
        <w:t xml:space="preserve"> </w:t>
      </w:r>
      <w:r>
        <w:t>sources</w:t>
      </w:r>
      <w:r>
        <w:rPr>
          <w:spacing w:val="-7"/>
        </w:rPr>
        <w:t xml:space="preserve"> </w:t>
      </w:r>
      <w:r>
        <w:t>of</w:t>
      </w:r>
      <w:r>
        <w:rPr>
          <w:spacing w:val="-6"/>
        </w:rPr>
        <w:t xml:space="preserve"> </w:t>
      </w:r>
      <w:r>
        <w:t>necessary/</w:t>
      </w:r>
      <w:r>
        <w:rPr>
          <w:spacing w:val="-6"/>
        </w:rPr>
        <w:t xml:space="preserve"> </w:t>
      </w:r>
      <w:r>
        <w:t>missing</w:t>
      </w:r>
      <w:r>
        <w:rPr>
          <w:spacing w:val="-8"/>
        </w:rPr>
        <w:t xml:space="preserve"> </w:t>
      </w:r>
      <w:r>
        <w:t>information</w:t>
      </w:r>
      <w:r>
        <w:rPr>
          <w:spacing w:val="-7"/>
        </w:rPr>
        <w:t xml:space="preserve"> </w:t>
      </w:r>
      <w:r>
        <w:t>and</w:t>
      </w:r>
      <w:r>
        <w:rPr>
          <w:spacing w:val="-6"/>
        </w:rPr>
        <w:t xml:space="preserve"> </w:t>
      </w:r>
      <w:r>
        <w:t>the</w:t>
      </w:r>
      <w:r>
        <w:rPr>
          <w:spacing w:val="-6"/>
        </w:rPr>
        <w:t xml:space="preserve"> </w:t>
      </w:r>
      <w:r>
        <w:t>disciplines</w:t>
      </w:r>
      <w:r>
        <w:rPr>
          <w:spacing w:val="-6"/>
        </w:rPr>
        <w:t xml:space="preserve"> </w:t>
      </w:r>
      <w:r>
        <w:t>in</w:t>
      </w:r>
      <w:r>
        <w:rPr>
          <w:spacing w:val="-6"/>
        </w:rPr>
        <w:t xml:space="preserve"> </w:t>
      </w:r>
      <w:r>
        <w:t>paragraph</w:t>
      </w:r>
      <w:r>
        <w:rPr>
          <w:spacing w:val="-6"/>
        </w:rPr>
        <w:t xml:space="preserve"> </w:t>
      </w:r>
      <w:r>
        <w:t>7</w:t>
      </w:r>
      <w:r>
        <w:rPr>
          <w:spacing w:val="-7"/>
        </w:rPr>
        <w:t xml:space="preserve"> </w:t>
      </w:r>
      <w:r>
        <w:t>of</w:t>
      </w:r>
      <w:r>
        <w:rPr>
          <w:spacing w:val="-8"/>
        </w:rPr>
        <w:t xml:space="preserve"> </w:t>
      </w:r>
      <w:r>
        <w:t>Annex</w:t>
      </w:r>
      <w:r>
        <w:rPr>
          <w:spacing w:val="-6"/>
        </w:rPr>
        <w:t xml:space="preserve"> </w:t>
      </w:r>
      <w:r>
        <w:t xml:space="preserve">II are </w:t>
      </w:r>
      <w:hyperlink r:id="rId166">
        <w:r>
          <w:t>relevant.</w:t>
        </w:r>
        <w:r>
          <w:rPr>
            <w:vertAlign w:val="superscript"/>
          </w:rPr>
          <w:t>84</w:t>
        </w:r>
      </w:hyperlink>
    </w:p>
    <w:p w14:paraId="51DE7D87" w14:textId="77777777" w:rsidR="0010369C" w:rsidRDefault="0010369C">
      <w:pPr>
        <w:pStyle w:val="BodyText"/>
        <w:spacing w:before="11"/>
        <w:rPr>
          <w:sz w:val="8"/>
        </w:rPr>
      </w:pPr>
    </w:p>
    <w:p w14:paraId="51DE7D88" w14:textId="77777777" w:rsidR="0010369C" w:rsidRDefault="008E43AE">
      <w:pPr>
        <w:pStyle w:val="BodyText"/>
        <w:spacing w:before="51" w:line="360" w:lineRule="auto"/>
        <w:ind w:left="235" w:right="613" w:firstLine="853"/>
        <w:jc w:val="both"/>
      </w:pPr>
      <w:r>
        <w:rPr>
          <w:noProof/>
        </w:rPr>
        <w:drawing>
          <wp:anchor distT="0" distB="0" distL="0" distR="0" simplePos="0" relativeHeight="250778112" behindDoc="1" locked="0" layoutInCell="1" allowOverlap="1" wp14:anchorId="51DE9DC3" wp14:editId="51DE9DC4">
            <wp:simplePos x="0" y="0"/>
            <wp:positionH relativeFrom="page">
              <wp:posOffset>902208</wp:posOffset>
            </wp:positionH>
            <wp:positionV relativeFrom="paragraph">
              <wp:posOffset>79960</wp:posOffset>
            </wp:positionV>
            <wp:extent cx="182879" cy="103631"/>
            <wp:effectExtent l="0" t="0" r="0" b="0"/>
            <wp:wrapNone/>
            <wp:docPr id="163" name="image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90.png"/>
                    <pic:cNvPicPr/>
                  </pic:nvPicPr>
                  <pic:blipFill>
                    <a:blip r:embed="rId167" cstate="print"/>
                    <a:stretch>
                      <a:fillRect/>
                    </a:stretch>
                  </pic:blipFill>
                  <pic:spPr>
                    <a:xfrm>
                      <a:off x="0" y="0"/>
                      <a:ext cx="182879" cy="103631"/>
                    </a:xfrm>
                    <a:prstGeom prst="rect">
                      <a:avLst/>
                    </a:prstGeom>
                  </pic:spPr>
                </pic:pic>
              </a:graphicData>
            </a:graphic>
          </wp:anchor>
        </w:drawing>
      </w:r>
      <w:r>
        <w:t>An inv</w:t>
      </w:r>
      <w:r>
        <w:t>estigating authority must use information from a secondary source with "special circumspection". The ordinary meaning of "circumspection" is "vigilant and cautious observation of circumstances or events; […] circumspect action or conduct; attention to circ</w:t>
      </w:r>
      <w:r>
        <w:t>umstances that may affect an action or decision; caution, care, heedfulness, circumspectness".</w:t>
      </w:r>
      <w:r>
        <w:rPr>
          <w:vertAlign w:val="superscript"/>
        </w:rPr>
        <w:t>85</w:t>
      </w:r>
      <w:r>
        <w:t xml:space="preserve"> "Special", in the context of paragraph 7, is defined as "[e]xceptional in quality or degree; unusual; out of the ordinary; […] Additional to the usual or ordin</w:t>
      </w:r>
      <w:r>
        <w:t>ary".</w:t>
      </w:r>
      <w:r>
        <w:rPr>
          <w:vertAlign w:val="superscript"/>
        </w:rPr>
        <w:t>86</w:t>
      </w:r>
      <w:r>
        <w:t xml:space="preserve"> As such, "special circumspection" can be defined as caution that is exceptional in quality; additional to the ordinary. It is clear from the ordinary meaning of "special circumspection" that</w:t>
      </w:r>
      <w:r>
        <w:rPr>
          <w:spacing w:val="-14"/>
        </w:rPr>
        <w:t xml:space="preserve"> </w:t>
      </w:r>
      <w:r>
        <w:t>when</w:t>
      </w:r>
      <w:r>
        <w:rPr>
          <w:spacing w:val="-14"/>
        </w:rPr>
        <w:t xml:space="preserve"> </w:t>
      </w:r>
      <w:r>
        <w:t>using</w:t>
      </w:r>
      <w:r>
        <w:rPr>
          <w:spacing w:val="-13"/>
        </w:rPr>
        <w:t xml:space="preserve"> </w:t>
      </w:r>
      <w:r>
        <w:t>information</w:t>
      </w:r>
      <w:r>
        <w:rPr>
          <w:spacing w:val="-14"/>
        </w:rPr>
        <w:t xml:space="preserve"> </w:t>
      </w:r>
      <w:r>
        <w:t>from</w:t>
      </w:r>
      <w:r>
        <w:rPr>
          <w:spacing w:val="-13"/>
        </w:rPr>
        <w:t xml:space="preserve"> </w:t>
      </w:r>
      <w:r>
        <w:t>a</w:t>
      </w:r>
      <w:r>
        <w:rPr>
          <w:spacing w:val="-14"/>
        </w:rPr>
        <w:t xml:space="preserve"> </w:t>
      </w:r>
      <w:r>
        <w:t>secondary</w:t>
      </w:r>
      <w:r>
        <w:rPr>
          <w:spacing w:val="-13"/>
        </w:rPr>
        <w:t xml:space="preserve"> </w:t>
      </w:r>
      <w:r>
        <w:t>source,</w:t>
      </w:r>
      <w:r>
        <w:rPr>
          <w:spacing w:val="-14"/>
        </w:rPr>
        <w:t xml:space="preserve"> </w:t>
      </w:r>
      <w:r>
        <w:t>an</w:t>
      </w:r>
      <w:r>
        <w:rPr>
          <w:spacing w:val="-14"/>
        </w:rPr>
        <w:t xml:space="preserve"> </w:t>
      </w:r>
      <w:r>
        <w:t>invest</w:t>
      </w:r>
      <w:r>
        <w:t>igating</w:t>
      </w:r>
      <w:r>
        <w:rPr>
          <w:spacing w:val="-13"/>
        </w:rPr>
        <w:t xml:space="preserve"> </w:t>
      </w:r>
      <w:r>
        <w:t>authority</w:t>
      </w:r>
      <w:r>
        <w:rPr>
          <w:spacing w:val="-14"/>
        </w:rPr>
        <w:t xml:space="preserve"> </w:t>
      </w:r>
      <w:r>
        <w:t>must</w:t>
      </w:r>
      <w:r>
        <w:rPr>
          <w:spacing w:val="-13"/>
        </w:rPr>
        <w:t xml:space="preserve"> </w:t>
      </w:r>
      <w:r>
        <w:t>act</w:t>
      </w:r>
      <w:r>
        <w:rPr>
          <w:spacing w:val="-14"/>
        </w:rPr>
        <w:t xml:space="preserve"> </w:t>
      </w:r>
      <w:r>
        <w:t xml:space="preserve">with exceptional </w:t>
      </w:r>
      <w:hyperlink r:id="rId168">
        <w:r>
          <w:t>caution.</w:t>
        </w:r>
        <w:r>
          <w:rPr>
            <w:vertAlign w:val="superscript"/>
          </w:rPr>
          <w:t>87</w:t>
        </w:r>
      </w:hyperlink>
    </w:p>
    <w:p w14:paraId="51DE7D89" w14:textId="77777777" w:rsidR="0010369C" w:rsidRDefault="0010369C">
      <w:pPr>
        <w:pStyle w:val="BodyText"/>
        <w:spacing w:before="10"/>
        <w:rPr>
          <w:sz w:val="8"/>
        </w:rPr>
      </w:pPr>
    </w:p>
    <w:p w14:paraId="51DE7D8A" w14:textId="77777777" w:rsidR="0010369C" w:rsidRDefault="008E43AE">
      <w:pPr>
        <w:pStyle w:val="BodyText"/>
        <w:spacing w:before="52" w:line="360" w:lineRule="auto"/>
        <w:ind w:left="237" w:right="613" w:firstLine="851"/>
        <w:jc w:val="both"/>
      </w:pPr>
      <w:r>
        <w:rPr>
          <w:noProof/>
        </w:rPr>
        <w:drawing>
          <wp:anchor distT="0" distB="0" distL="0" distR="0" simplePos="0" relativeHeight="250779136" behindDoc="1" locked="0" layoutInCell="1" allowOverlap="1" wp14:anchorId="51DE9DC5" wp14:editId="51DE9DC6">
            <wp:simplePos x="0" y="0"/>
            <wp:positionH relativeFrom="page">
              <wp:posOffset>902208</wp:posOffset>
            </wp:positionH>
            <wp:positionV relativeFrom="paragraph">
              <wp:posOffset>81357</wp:posOffset>
            </wp:positionV>
            <wp:extent cx="182879" cy="103631"/>
            <wp:effectExtent l="0" t="0" r="0" b="0"/>
            <wp:wrapNone/>
            <wp:docPr id="165" name="image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91.png"/>
                    <pic:cNvPicPr/>
                  </pic:nvPicPr>
                  <pic:blipFill>
                    <a:blip r:embed="rId169" cstate="print"/>
                    <a:stretch>
                      <a:fillRect/>
                    </a:stretch>
                  </pic:blipFill>
                  <pic:spPr>
                    <a:xfrm>
                      <a:off x="0" y="0"/>
                      <a:ext cx="182879" cy="103631"/>
                    </a:xfrm>
                    <a:prstGeom prst="rect">
                      <a:avLst/>
                    </a:prstGeom>
                  </pic:spPr>
                </pic:pic>
              </a:graphicData>
            </a:graphic>
          </wp:anchor>
        </w:drawing>
      </w:r>
      <w:r>
        <w:t>Paragraph</w:t>
      </w:r>
      <w:r>
        <w:rPr>
          <w:spacing w:val="-6"/>
        </w:rPr>
        <w:t xml:space="preserve"> </w:t>
      </w:r>
      <w:r>
        <w:t>7</w:t>
      </w:r>
      <w:r>
        <w:rPr>
          <w:spacing w:val="-6"/>
        </w:rPr>
        <w:t xml:space="preserve"> </w:t>
      </w:r>
      <w:r>
        <w:t>of</w:t>
      </w:r>
      <w:r>
        <w:rPr>
          <w:spacing w:val="-5"/>
        </w:rPr>
        <w:t xml:space="preserve"> </w:t>
      </w:r>
      <w:r>
        <w:t>Annex</w:t>
      </w:r>
      <w:r>
        <w:rPr>
          <w:spacing w:val="-5"/>
        </w:rPr>
        <w:t xml:space="preserve"> </w:t>
      </w:r>
      <w:r>
        <w:t>II</w:t>
      </w:r>
      <w:r>
        <w:rPr>
          <w:spacing w:val="-6"/>
        </w:rPr>
        <w:t xml:space="preserve"> </w:t>
      </w:r>
      <w:r>
        <w:t>provides</w:t>
      </w:r>
      <w:r>
        <w:rPr>
          <w:spacing w:val="-5"/>
        </w:rPr>
        <w:t xml:space="preserve"> </w:t>
      </w:r>
      <w:r>
        <w:t>that</w:t>
      </w:r>
      <w:r>
        <w:rPr>
          <w:spacing w:val="-6"/>
        </w:rPr>
        <w:t xml:space="preserve"> </w:t>
      </w:r>
      <w:r>
        <w:t>an</w:t>
      </w:r>
      <w:r>
        <w:rPr>
          <w:spacing w:val="-5"/>
        </w:rPr>
        <w:t xml:space="preserve"> </w:t>
      </w:r>
      <w:r>
        <w:t>investigating</w:t>
      </w:r>
      <w:r>
        <w:rPr>
          <w:spacing w:val="-4"/>
        </w:rPr>
        <w:t xml:space="preserve"> </w:t>
      </w:r>
      <w:r>
        <w:t>authority</w:t>
      </w:r>
      <w:r>
        <w:rPr>
          <w:spacing w:val="-4"/>
        </w:rPr>
        <w:t xml:space="preserve"> </w:t>
      </w:r>
      <w:r>
        <w:t>must</w:t>
      </w:r>
      <w:r>
        <w:rPr>
          <w:spacing w:val="-5"/>
        </w:rPr>
        <w:t xml:space="preserve"> </w:t>
      </w:r>
      <w:r>
        <w:t>also</w:t>
      </w:r>
      <w:r>
        <w:rPr>
          <w:spacing w:val="-4"/>
        </w:rPr>
        <w:t xml:space="preserve"> </w:t>
      </w:r>
      <w:r>
        <w:t>"check</w:t>
      </w:r>
      <w:r>
        <w:rPr>
          <w:spacing w:val="-5"/>
        </w:rPr>
        <w:t xml:space="preserve"> </w:t>
      </w:r>
      <w:r>
        <w:t>the information from other independent sources". In this context, the obligation to "check" is triggered only when information from a secondary source is used. The ordinary meaning of "check",</w:t>
      </w:r>
      <w:r>
        <w:rPr>
          <w:spacing w:val="-12"/>
        </w:rPr>
        <w:t xml:space="preserve"> </w:t>
      </w:r>
      <w:r>
        <w:t>in</w:t>
      </w:r>
      <w:r>
        <w:rPr>
          <w:spacing w:val="-12"/>
        </w:rPr>
        <w:t xml:space="preserve"> </w:t>
      </w:r>
      <w:r>
        <w:t>the</w:t>
      </w:r>
      <w:r>
        <w:rPr>
          <w:spacing w:val="-12"/>
        </w:rPr>
        <w:t xml:space="preserve"> </w:t>
      </w:r>
      <w:r>
        <w:t>context</w:t>
      </w:r>
      <w:r>
        <w:rPr>
          <w:spacing w:val="-12"/>
        </w:rPr>
        <w:t xml:space="preserve"> </w:t>
      </w:r>
      <w:r>
        <w:t>of</w:t>
      </w:r>
      <w:r>
        <w:rPr>
          <w:spacing w:val="-12"/>
        </w:rPr>
        <w:t xml:space="preserve"> </w:t>
      </w:r>
      <w:r>
        <w:t>paragraph</w:t>
      </w:r>
      <w:r>
        <w:rPr>
          <w:spacing w:val="-12"/>
        </w:rPr>
        <w:t xml:space="preserve"> </w:t>
      </w:r>
      <w:r>
        <w:t>7,</w:t>
      </w:r>
      <w:r>
        <w:rPr>
          <w:spacing w:val="-12"/>
        </w:rPr>
        <w:t xml:space="preserve"> </w:t>
      </w:r>
      <w:r>
        <w:t>is</w:t>
      </w:r>
      <w:r>
        <w:rPr>
          <w:spacing w:val="-13"/>
        </w:rPr>
        <w:t xml:space="preserve"> </w:t>
      </w:r>
      <w:r>
        <w:t>"[t]o</w:t>
      </w:r>
      <w:r>
        <w:rPr>
          <w:spacing w:val="-12"/>
        </w:rPr>
        <w:t xml:space="preserve"> </w:t>
      </w:r>
      <w:r>
        <w:t>agree</w:t>
      </w:r>
      <w:r>
        <w:rPr>
          <w:spacing w:val="-12"/>
        </w:rPr>
        <w:t xml:space="preserve"> </w:t>
      </w:r>
      <w:r>
        <w:t>upon</w:t>
      </w:r>
      <w:r>
        <w:rPr>
          <w:spacing w:val="-12"/>
        </w:rPr>
        <w:t xml:space="preserve"> </w:t>
      </w:r>
      <w:r>
        <w:t>comparison".</w:t>
      </w:r>
      <w:r>
        <w:rPr>
          <w:vertAlign w:val="superscript"/>
        </w:rPr>
        <w:t>88</w:t>
      </w:r>
      <w:r>
        <w:rPr>
          <w:spacing w:val="-13"/>
        </w:rPr>
        <w:t xml:space="preserve"> </w:t>
      </w:r>
      <w:r>
        <w:t>To</w:t>
      </w:r>
      <w:r>
        <w:rPr>
          <w:spacing w:val="-12"/>
        </w:rPr>
        <w:t xml:space="preserve"> </w:t>
      </w:r>
      <w:r>
        <w:t>find</w:t>
      </w:r>
      <w:r>
        <w:rPr>
          <w:spacing w:val="-12"/>
        </w:rPr>
        <w:t xml:space="preserve"> </w:t>
      </w:r>
      <w:r>
        <w:t>"agreement" in</w:t>
      </w:r>
      <w:r>
        <w:rPr>
          <w:spacing w:val="-12"/>
        </w:rPr>
        <w:t xml:space="preserve"> </w:t>
      </w:r>
      <w:r>
        <w:t>the</w:t>
      </w:r>
      <w:r>
        <w:rPr>
          <w:spacing w:val="-12"/>
        </w:rPr>
        <w:t xml:space="preserve"> </w:t>
      </w:r>
      <w:r>
        <w:t>comparison</w:t>
      </w:r>
      <w:r>
        <w:rPr>
          <w:spacing w:val="-12"/>
        </w:rPr>
        <w:t xml:space="preserve"> </w:t>
      </w:r>
      <w:r>
        <w:t>of</w:t>
      </w:r>
      <w:r>
        <w:rPr>
          <w:spacing w:val="-14"/>
        </w:rPr>
        <w:t xml:space="preserve"> </w:t>
      </w:r>
      <w:r>
        <w:t>two</w:t>
      </w:r>
      <w:r>
        <w:rPr>
          <w:spacing w:val="-12"/>
        </w:rPr>
        <w:t xml:space="preserve"> </w:t>
      </w:r>
      <w:r>
        <w:t>data</w:t>
      </w:r>
      <w:r>
        <w:rPr>
          <w:spacing w:val="-12"/>
        </w:rPr>
        <w:t xml:space="preserve"> </w:t>
      </w:r>
      <w:r>
        <w:t>sources</w:t>
      </w:r>
      <w:r>
        <w:rPr>
          <w:spacing w:val="-12"/>
        </w:rPr>
        <w:t xml:space="preserve"> </w:t>
      </w:r>
      <w:r>
        <w:t>is</w:t>
      </w:r>
      <w:r>
        <w:rPr>
          <w:spacing w:val="-13"/>
        </w:rPr>
        <w:t xml:space="preserve"> </w:t>
      </w:r>
      <w:r>
        <w:t>to</w:t>
      </w:r>
      <w:r>
        <w:rPr>
          <w:spacing w:val="-12"/>
        </w:rPr>
        <w:t xml:space="preserve"> </w:t>
      </w:r>
      <w:r>
        <w:t>reconcile</w:t>
      </w:r>
      <w:r>
        <w:rPr>
          <w:spacing w:val="-13"/>
        </w:rPr>
        <w:t xml:space="preserve"> </w:t>
      </w:r>
      <w:r>
        <w:t>them,</w:t>
      </w:r>
      <w:r>
        <w:rPr>
          <w:spacing w:val="-13"/>
        </w:rPr>
        <w:t xml:space="preserve"> </w:t>
      </w:r>
      <w:r>
        <w:t>corroborate,</w:t>
      </w:r>
      <w:r>
        <w:rPr>
          <w:spacing w:val="-14"/>
        </w:rPr>
        <w:t xml:space="preserve"> </w:t>
      </w:r>
      <w:r>
        <w:t>or</w:t>
      </w:r>
      <w:r>
        <w:rPr>
          <w:spacing w:val="-12"/>
        </w:rPr>
        <w:t xml:space="preserve"> </w:t>
      </w:r>
      <w:r>
        <w:t>verify</w:t>
      </w:r>
      <w:r>
        <w:rPr>
          <w:spacing w:val="-11"/>
        </w:rPr>
        <w:t xml:space="preserve"> </w:t>
      </w:r>
      <w:r>
        <w:t>the</w:t>
      </w:r>
      <w:r>
        <w:rPr>
          <w:spacing w:val="-14"/>
        </w:rPr>
        <w:t xml:space="preserve"> </w:t>
      </w:r>
      <w:r>
        <w:t>contents of</w:t>
      </w:r>
      <w:r>
        <w:rPr>
          <w:spacing w:val="-4"/>
        </w:rPr>
        <w:t xml:space="preserve"> </w:t>
      </w:r>
      <w:r>
        <w:t>one</w:t>
      </w:r>
      <w:r>
        <w:rPr>
          <w:spacing w:val="-3"/>
        </w:rPr>
        <w:t xml:space="preserve"> </w:t>
      </w:r>
      <w:r>
        <w:t>source</w:t>
      </w:r>
      <w:r>
        <w:rPr>
          <w:spacing w:val="-3"/>
        </w:rPr>
        <w:t xml:space="preserve"> </w:t>
      </w:r>
      <w:r>
        <w:t>against</w:t>
      </w:r>
      <w:r>
        <w:rPr>
          <w:spacing w:val="-4"/>
        </w:rPr>
        <w:t xml:space="preserve"> </w:t>
      </w:r>
      <w:r>
        <w:t>the</w:t>
      </w:r>
      <w:r>
        <w:rPr>
          <w:spacing w:val="-3"/>
        </w:rPr>
        <w:t xml:space="preserve"> </w:t>
      </w:r>
      <w:r>
        <w:t>other.</w:t>
      </w:r>
      <w:r>
        <w:rPr>
          <w:spacing w:val="-4"/>
        </w:rPr>
        <w:t xml:space="preserve"> </w:t>
      </w:r>
      <w:r>
        <w:t>Paragraph</w:t>
      </w:r>
      <w:r>
        <w:rPr>
          <w:spacing w:val="-5"/>
        </w:rPr>
        <w:t xml:space="preserve"> </w:t>
      </w:r>
      <w:r>
        <w:t>7</w:t>
      </w:r>
      <w:r>
        <w:rPr>
          <w:spacing w:val="-4"/>
        </w:rPr>
        <w:t xml:space="preserve"> </w:t>
      </w:r>
      <w:r>
        <w:t>sets</w:t>
      </w:r>
      <w:r>
        <w:rPr>
          <w:spacing w:val="-3"/>
        </w:rPr>
        <w:t xml:space="preserve"> </w:t>
      </w:r>
      <w:r>
        <w:t>out</w:t>
      </w:r>
      <w:r>
        <w:rPr>
          <w:spacing w:val="-4"/>
        </w:rPr>
        <w:t xml:space="preserve"> </w:t>
      </w:r>
      <w:r>
        <w:t>an</w:t>
      </w:r>
      <w:r>
        <w:rPr>
          <w:spacing w:val="-4"/>
        </w:rPr>
        <w:t xml:space="preserve"> </w:t>
      </w:r>
      <w:r>
        <w:t>illustrative</w:t>
      </w:r>
      <w:r>
        <w:rPr>
          <w:spacing w:val="-2"/>
        </w:rPr>
        <w:t xml:space="preserve"> </w:t>
      </w:r>
      <w:r>
        <w:t>list</w:t>
      </w:r>
      <w:r>
        <w:rPr>
          <w:spacing w:val="-5"/>
        </w:rPr>
        <w:t xml:space="preserve"> </w:t>
      </w:r>
      <w:r>
        <w:t>of</w:t>
      </w:r>
      <w:r>
        <w:rPr>
          <w:spacing w:val="-4"/>
        </w:rPr>
        <w:t xml:space="preserve"> </w:t>
      </w:r>
      <w:r>
        <w:t>sources</w:t>
      </w:r>
      <w:r>
        <w:rPr>
          <w:spacing w:val="-4"/>
        </w:rPr>
        <w:t xml:space="preserve"> </w:t>
      </w:r>
      <w:r>
        <w:t>that</w:t>
      </w:r>
      <w:r>
        <w:rPr>
          <w:spacing w:val="-4"/>
        </w:rPr>
        <w:t xml:space="preserve"> </w:t>
      </w:r>
      <w:r>
        <w:t>can</w:t>
      </w:r>
      <w:r>
        <w:rPr>
          <w:spacing w:val="-4"/>
        </w:rPr>
        <w:t xml:space="preserve"> </w:t>
      </w:r>
      <w:r>
        <w:t>be</w:t>
      </w:r>
    </w:p>
    <w:p w14:paraId="51DE7D8B" w14:textId="77777777" w:rsidR="0010369C" w:rsidRDefault="0010369C">
      <w:pPr>
        <w:pStyle w:val="BodyText"/>
        <w:rPr>
          <w:sz w:val="20"/>
        </w:rPr>
      </w:pPr>
    </w:p>
    <w:p w14:paraId="51DE7D8C" w14:textId="77777777" w:rsidR="0010369C" w:rsidRDefault="0010369C">
      <w:pPr>
        <w:pStyle w:val="BodyText"/>
        <w:rPr>
          <w:sz w:val="20"/>
        </w:rPr>
      </w:pPr>
    </w:p>
    <w:p w14:paraId="51DE7D8D" w14:textId="77777777" w:rsidR="0010369C" w:rsidRDefault="008E43AE">
      <w:pPr>
        <w:pStyle w:val="BodyText"/>
        <w:spacing w:before="8"/>
      </w:pPr>
      <w:r>
        <w:pict w14:anchorId="51DE9DC7">
          <v:rect id="docshape93" o:spid="_x0000_s3171" style="position:absolute;margin-left:70.9pt;margin-top:16.3pt;width:2in;height:.8pt;z-index:-251243008;mso-wrap-distance-left:0;mso-wrap-distance-right:0;mso-position-horizontal-relative:page" fillcolor="black" stroked="f">
            <w10:wrap type="topAndBottom" anchorx="page"/>
          </v:rect>
        </w:pict>
      </w:r>
    </w:p>
    <w:p w14:paraId="51DE7D8E" w14:textId="77777777" w:rsidR="0010369C" w:rsidRDefault="008E43AE">
      <w:pPr>
        <w:spacing w:before="109"/>
        <w:ind w:left="238" w:right="612"/>
        <w:jc w:val="both"/>
        <w:rPr>
          <w:sz w:val="18"/>
        </w:rPr>
      </w:pPr>
      <w:r>
        <w:rPr>
          <w:sz w:val="18"/>
          <w:vertAlign w:val="superscript"/>
        </w:rPr>
        <w:t>83</w:t>
      </w:r>
      <w:r>
        <w:rPr>
          <w:sz w:val="18"/>
        </w:rPr>
        <w:t xml:space="preserve"> The Panel in </w:t>
      </w:r>
      <w:r>
        <w:rPr>
          <w:i/>
          <w:sz w:val="18"/>
        </w:rPr>
        <w:t xml:space="preserve">Mexico – Anti‐Dumping Measures on Rice </w:t>
      </w:r>
      <w:r>
        <w:rPr>
          <w:sz w:val="18"/>
        </w:rPr>
        <w:t xml:space="preserve">explained that the Anti‐Dumping Agreement "expresses a clear preference for </w:t>
      </w:r>
      <w:r>
        <w:rPr>
          <w:i/>
          <w:sz w:val="18"/>
        </w:rPr>
        <w:t xml:space="preserve">first‐hand information </w:t>
      </w:r>
      <w:r>
        <w:rPr>
          <w:sz w:val="18"/>
        </w:rPr>
        <w:t>but does not allow any party to hold the authority hostage by not providing the necessary</w:t>
      </w:r>
      <w:r>
        <w:rPr>
          <w:spacing w:val="-3"/>
          <w:sz w:val="18"/>
        </w:rPr>
        <w:t xml:space="preserve"> </w:t>
      </w:r>
      <w:r>
        <w:rPr>
          <w:sz w:val="18"/>
        </w:rPr>
        <w:t>information,</w:t>
      </w:r>
      <w:r>
        <w:rPr>
          <w:spacing w:val="-4"/>
          <w:sz w:val="18"/>
        </w:rPr>
        <w:t xml:space="preserve"> </w:t>
      </w:r>
      <w:r>
        <w:rPr>
          <w:sz w:val="18"/>
        </w:rPr>
        <w:t>and</w:t>
      </w:r>
      <w:r>
        <w:rPr>
          <w:spacing w:val="-3"/>
          <w:sz w:val="18"/>
        </w:rPr>
        <w:t xml:space="preserve"> </w:t>
      </w:r>
      <w:r>
        <w:rPr>
          <w:sz w:val="18"/>
        </w:rPr>
        <w:t>thus</w:t>
      </w:r>
      <w:r>
        <w:rPr>
          <w:spacing w:val="-3"/>
          <w:sz w:val="18"/>
        </w:rPr>
        <w:t xml:space="preserve"> </w:t>
      </w:r>
      <w:r>
        <w:rPr>
          <w:sz w:val="18"/>
        </w:rPr>
        <w:t>provides</w:t>
      </w:r>
      <w:r>
        <w:rPr>
          <w:spacing w:val="-3"/>
          <w:sz w:val="18"/>
        </w:rPr>
        <w:t xml:space="preserve"> </w:t>
      </w:r>
      <w:r>
        <w:rPr>
          <w:sz w:val="18"/>
        </w:rPr>
        <w:t>that</w:t>
      </w:r>
      <w:r>
        <w:rPr>
          <w:spacing w:val="-4"/>
          <w:sz w:val="18"/>
        </w:rPr>
        <w:t xml:space="preserve"> </w:t>
      </w:r>
      <w:r>
        <w:rPr>
          <w:sz w:val="18"/>
        </w:rPr>
        <w:t>second‐best</w:t>
      </w:r>
      <w:r>
        <w:rPr>
          <w:spacing w:val="-4"/>
          <w:sz w:val="18"/>
        </w:rPr>
        <w:t xml:space="preserve"> </w:t>
      </w:r>
      <w:r>
        <w:rPr>
          <w:sz w:val="18"/>
        </w:rPr>
        <w:t>information</w:t>
      </w:r>
      <w:r>
        <w:rPr>
          <w:spacing w:val="-2"/>
          <w:sz w:val="18"/>
        </w:rPr>
        <w:t xml:space="preserve"> </w:t>
      </w:r>
      <w:r>
        <w:rPr>
          <w:sz w:val="18"/>
        </w:rPr>
        <w:t>from</w:t>
      </w:r>
      <w:r>
        <w:rPr>
          <w:spacing w:val="-3"/>
          <w:sz w:val="18"/>
        </w:rPr>
        <w:t xml:space="preserve"> </w:t>
      </w:r>
      <w:r>
        <w:rPr>
          <w:sz w:val="18"/>
        </w:rPr>
        <w:t>secondary</w:t>
      </w:r>
      <w:r>
        <w:rPr>
          <w:spacing w:val="-3"/>
          <w:sz w:val="18"/>
        </w:rPr>
        <w:t xml:space="preserve"> </w:t>
      </w:r>
      <w:r>
        <w:rPr>
          <w:sz w:val="18"/>
        </w:rPr>
        <w:t>sources</w:t>
      </w:r>
      <w:r>
        <w:rPr>
          <w:spacing w:val="-3"/>
          <w:sz w:val="18"/>
        </w:rPr>
        <w:t xml:space="preserve"> </w:t>
      </w:r>
      <w:r>
        <w:rPr>
          <w:sz w:val="18"/>
        </w:rPr>
        <w:t>may</w:t>
      </w:r>
      <w:r>
        <w:rPr>
          <w:spacing w:val="-4"/>
          <w:sz w:val="18"/>
        </w:rPr>
        <w:t xml:space="preserve"> </w:t>
      </w:r>
      <w:r>
        <w:rPr>
          <w:sz w:val="18"/>
        </w:rPr>
        <w:t>be</w:t>
      </w:r>
      <w:r>
        <w:rPr>
          <w:spacing w:val="-3"/>
          <w:sz w:val="18"/>
        </w:rPr>
        <w:t xml:space="preserve"> </w:t>
      </w:r>
      <w:r>
        <w:rPr>
          <w:sz w:val="18"/>
        </w:rPr>
        <w:t>used</w:t>
      </w:r>
      <w:r>
        <w:rPr>
          <w:spacing w:val="-3"/>
          <w:sz w:val="18"/>
        </w:rPr>
        <w:t xml:space="preserve"> </w:t>
      </w:r>
      <w:r>
        <w:rPr>
          <w:sz w:val="18"/>
        </w:rPr>
        <w:t>in</w:t>
      </w:r>
      <w:r>
        <w:rPr>
          <w:spacing w:val="-3"/>
          <w:sz w:val="18"/>
        </w:rPr>
        <w:t xml:space="preserve"> </w:t>
      </w:r>
      <w:r>
        <w:rPr>
          <w:sz w:val="18"/>
        </w:rPr>
        <w:t>certain</w:t>
      </w:r>
      <w:r>
        <w:rPr>
          <w:spacing w:val="-4"/>
          <w:sz w:val="18"/>
        </w:rPr>
        <w:t xml:space="preserve"> </w:t>
      </w:r>
      <w:r>
        <w:rPr>
          <w:sz w:val="18"/>
        </w:rPr>
        <w:t xml:space="preserve">well‐ defined circumstances". Panel Report, </w:t>
      </w:r>
      <w:r>
        <w:rPr>
          <w:i/>
          <w:sz w:val="18"/>
        </w:rPr>
        <w:t>Mexico – Anti‐Dumping Measures on Rice</w:t>
      </w:r>
      <w:r>
        <w:rPr>
          <w:sz w:val="18"/>
        </w:rPr>
        <w:t>, para. 7.238. (emphasis original)</w:t>
      </w:r>
    </w:p>
    <w:p w14:paraId="51DE7D8F" w14:textId="77777777" w:rsidR="0010369C" w:rsidRDefault="008E43AE">
      <w:pPr>
        <w:spacing w:before="1"/>
        <w:ind w:left="239" w:right="611" w:hanging="1"/>
        <w:rPr>
          <w:sz w:val="18"/>
        </w:rPr>
      </w:pPr>
      <w:r>
        <w:rPr>
          <w:sz w:val="18"/>
          <w:vertAlign w:val="superscript"/>
        </w:rPr>
        <w:t>84</w:t>
      </w:r>
      <w:r>
        <w:rPr>
          <w:sz w:val="18"/>
        </w:rPr>
        <w:t xml:space="preserve"> See e.g. Appellate Body Report, </w:t>
      </w:r>
      <w:r>
        <w:rPr>
          <w:i/>
          <w:sz w:val="18"/>
        </w:rPr>
        <w:t>US – Anti‐Dumping Me</w:t>
      </w:r>
      <w:r>
        <w:rPr>
          <w:i/>
          <w:sz w:val="18"/>
        </w:rPr>
        <w:t>thodologies (China)</w:t>
      </w:r>
      <w:r>
        <w:rPr>
          <w:sz w:val="18"/>
        </w:rPr>
        <w:t>, para. 5.172 where it explained that an investigating</w:t>
      </w:r>
      <w:r>
        <w:rPr>
          <w:spacing w:val="-2"/>
          <w:sz w:val="18"/>
        </w:rPr>
        <w:t xml:space="preserve"> </w:t>
      </w:r>
      <w:r>
        <w:rPr>
          <w:sz w:val="18"/>
        </w:rPr>
        <w:t>authority</w:t>
      </w:r>
      <w:r>
        <w:rPr>
          <w:spacing w:val="-3"/>
          <w:sz w:val="18"/>
        </w:rPr>
        <w:t xml:space="preserve"> </w:t>
      </w:r>
      <w:r>
        <w:rPr>
          <w:sz w:val="18"/>
        </w:rPr>
        <w:t>must</w:t>
      </w:r>
      <w:r>
        <w:rPr>
          <w:spacing w:val="-4"/>
          <w:sz w:val="18"/>
        </w:rPr>
        <w:t xml:space="preserve"> </w:t>
      </w:r>
      <w:r>
        <w:rPr>
          <w:sz w:val="18"/>
        </w:rPr>
        <w:t>"use</w:t>
      </w:r>
      <w:r>
        <w:rPr>
          <w:spacing w:val="-4"/>
          <w:sz w:val="18"/>
        </w:rPr>
        <w:t xml:space="preserve"> </w:t>
      </w:r>
      <w:r>
        <w:rPr>
          <w:sz w:val="18"/>
        </w:rPr>
        <w:t>those</w:t>
      </w:r>
      <w:r>
        <w:rPr>
          <w:spacing w:val="-3"/>
          <w:sz w:val="18"/>
        </w:rPr>
        <w:t xml:space="preserve"> </w:t>
      </w:r>
      <w:r>
        <w:rPr>
          <w:sz w:val="18"/>
        </w:rPr>
        <w:t>facts</w:t>
      </w:r>
      <w:r>
        <w:rPr>
          <w:spacing w:val="-3"/>
          <w:sz w:val="18"/>
        </w:rPr>
        <w:t xml:space="preserve"> </w:t>
      </w:r>
      <w:r>
        <w:rPr>
          <w:sz w:val="18"/>
        </w:rPr>
        <w:t>available</w:t>
      </w:r>
      <w:r>
        <w:rPr>
          <w:spacing w:val="-3"/>
          <w:sz w:val="18"/>
        </w:rPr>
        <w:t xml:space="preserve"> </w:t>
      </w:r>
      <w:r>
        <w:rPr>
          <w:sz w:val="18"/>
        </w:rPr>
        <w:t>that</w:t>
      </w:r>
      <w:r>
        <w:rPr>
          <w:spacing w:val="-4"/>
          <w:sz w:val="18"/>
        </w:rPr>
        <w:t xml:space="preserve"> </w:t>
      </w:r>
      <w:r>
        <w:rPr>
          <w:sz w:val="18"/>
        </w:rPr>
        <w:t>reasonably</w:t>
      </w:r>
      <w:r>
        <w:rPr>
          <w:spacing w:val="-3"/>
          <w:sz w:val="18"/>
        </w:rPr>
        <w:t xml:space="preserve"> </w:t>
      </w:r>
      <w:r>
        <w:rPr>
          <w:sz w:val="18"/>
        </w:rPr>
        <w:t>replace</w:t>
      </w:r>
      <w:r>
        <w:rPr>
          <w:spacing w:val="-3"/>
          <w:sz w:val="18"/>
        </w:rPr>
        <w:t xml:space="preserve"> </w:t>
      </w:r>
      <w:r>
        <w:rPr>
          <w:sz w:val="18"/>
        </w:rPr>
        <w:t>the</w:t>
      </w:r>
      <w:r>
        <w:rPr>
          <w:spacing w:val="-4"/>
          <w:sz w:val="18"/>
        </w:rPr>
        <w:t xml:space="preserve"> </w:t>
      </w:r>
      <w:r>
        <w:rPr>
          <w:sz w:val="18"/>
        </w:rPr>
        <w:t>necessary</w:t>
      </w:r>
      <w:r>
        <w:rPr>
          <w:spacing w:val="-2"/>
          <w:sz w:val="18"/>
        </w:rPr>
        <w:t xml:space="preserve"> </w:t>
      </w:r>
      <w:r>
        <w:rPr>
          <w:sz w:val="18"/>
        </w:rPr>
        <w:t>information</w:t>
      </w:r>
      <w:r>
        <w:rPr>
          <w:spacing w:val="-3"/>
          <w:sz w:val="18"/>
        </w:rPr>
        <w:t xml:space="preserve"> </w:t>
      </w:r>
      <w:r>
        <w:rPr>
          <w:sz w:val="18"/>
        </w:rPr>
        <w:t>that</w:t>
      </w:r>
      <w:r>
        <w:rPr>
          <w:spacing w:val="-4"/>
          <w:sz w:val="18"/>
        </w:rPr>
        <w:t xml:space="preserve"> </w:t>
      </w:r>
      <w:r>
        <w:rPr>
          <w:sz w:val="18"/>
        </w:rPr>
        <w:t>an</w:t>
      </w:r>
      <w:r>
        <w:rPr>
          <w:spacing w:val="-3"/>
          <w:sz w:val="18"/>
        </w:rPr>
        <w:t xml:space="preserve"> </w:t>
      </w:r>
      <w:r>
        <w:rPr>
          <w:sz w:val="18"/>
        </w:rPr>
        <w:t>interested party failed to provide with a view to arriving at an accurate determin</w:t>
      </w:r>
      <w:r>
        <w:rPr>
          <w:sz w:val="18"/>
        </w:rPr>
        <w:t>ation".</w:t>
      </w:r>
    </w:p>
    <w:p w14:paraId="51DE7D90" w14:textId="77777777" w:rsidR="0010369C" w:rsidRDefault="008E43AE">
      <w:pPr>
        <w:ind w:left="238" w:right="614" w:hanging="1"/>
        <w:rPr>
          <w:sz w:val="18"/>
        </w:rPr>
      </w:pPr>
      <w:r>
        <w:rPr>
          <w:sz w:val="18"/>
          <w:vertAlign w:val="superscript"/>
        </w:rPr>
        <w:t>85</w:t>
      </w:r>
      <w:r>
        <w:rPr>
          <w:spacing w:val="-3"/>
          <w:sz w:val="18"/>
        </w:rPr>
        <w:t xml:space="preserve"> </w:t>
      </w:r>
      <w:r>
        <w:rPr>
          <w:sz w:val="18"/>
        </w:rPr>
        <w:t>Oxford</w:t>
      </w:r>
      <w:r>
        <w:rPr>
          <w:spacing w:val="-3"/>
          <w:sz w:val="18"/>
        </w:rPr>
        <w:t xml:space="preserve"> </w:t>
      </w:r>
      <w:r>
        <w:rPr>
          <w:sz w:val="18"/>
        </w:rPr>
        <w:t>English</w:t>
      </w:r>
      <w:r>
        <w:rPr>
          <w:spacing w:val="-3"/>
          <w:sz w:val="18"/>
        </w:rPr>
        <w:t xml:space="preserve"> </w:t>
      </w:r>
      <w:r>
        <w:rPr>
          <w:sz w:val="18"/>
        </w:rPr>
        <w:t>Dictionary</w:t>
      </w:r>
      <w:r>
        <w:rPr>
          <w:spacing w:val="-3"/>
          <w:sz w:val="18"/>
        </w:rPr>
        <w:t xml:space="preserve"> </w:t>
      </w:r>
      <w:r>
        <w:rPr>
          <w:sz w:val="18"/>
        </w:rPr>
        <w:t>online,</w:t>
      </w:r>
      <w:r>
        <w:rPr>
          <w:spacing w:val="-3"/>
          <w:sz w:val="18"/>
        </w:rPr>
        <w:t xml:space="preserve"> </w:t>
      </w:r>
      <w:r>
        <w:rPr>
          <w:sz w:val="18"/>
        </w:rPr>
        <w:t>definition</w:t>
      </w:r>
      <w:r>
        <w:rPr>
          <w:spacing w:val="-3"/>
          <w:sz w:val="18"/>
        </w:rPr>
        <w:t xml:space="preserve"> </w:t>
      </w:r>
      <w:r>
        <w:rPr>
          <w:sz w:val="18"/>
        </w:rPr>
        <w:t>of</w:t>
      </w:r>
      <w:r>
        <w:rPr>
          <w:spacing w:val="-3"/>
          <w:sz w:val="18"/>
        </w:rPr>
        <w:t xml:space="preserve"> </w:t>
      </w:r>
      <w:r>
        <w:rPr>
          <w:sz w:val="18"/>
        </w:rPr>
        <w:t>"circumspection",</w:t>
      </w:r>
      <w:r>
        <w:rPr>
          <w:spacing w:val="-4"/>
          <w:sz w:val="18"/>
        </w:rPr>
        <w:t xml:space="preserve"> </w:t>
      </w:r>
      <w:hyperlink r:id="rId170">
        <w:r>
          <w:rPr>
            <w:sz w:val="18"/>
          </w:rPr>
          <w:t>https://www.oed.com/view/Entry/33369</w:t>
        </w:r>
        <w:r>
          <w:rPr>
            <w:spacing w:val="-2"/>
            <w:sz w:val="18"/>
          </w:rPr>
          <w:t xml:space="preserve"> </w:t>
        </w:r>
      </w:hyperlink>
      <w:r>
        <w:rPr>
          <w:sz w:val="18"/>
        </w:rPr>
        <w:t>(accessed</w:t>
      </w:r>
      <w:r>
        <w:rPr>
          <w:spacing w:val="-3"/>
          <w:sz w:val="18"/>
        </w:rPr>
        <w:t xml:space="preserve"> </w:t>
      </w:r>
      <w:r>
        <w:rPr>
          <w:sz w:val="18"/>
        </w:rPr>
        <w:t>28 April</w:t>
      </w:r>
      <w:r>
        <w:rPr>
          <w:spacing w:val="-2"/>
          <w:sz w:val="18"/>
        </w:rPr>
        <w:t xml:space="preserve"> </w:t>
      </w:r>
      <w:r>
        <w:rPr>
          <w:sz w:val="18"/>
        </w:rPr>
        <w:t>2022).</w:t>
      </w:r>
    </w:p>
    <w:p w14:paraId="51DE7D91" w14:textId="77777777" w:rsidR="0010369C" w:rsidRDefault="008E43AE">
      <w:pPr>
        <w:ind w:left="238" w:right="614" w:hanging="1"/>
        <w:rPr>
          <w:sz w:val="18"/>
        </w:rPr>
      </w:pPr>
      <w:r>
        <w:rPr>
          <w:sz w:val="18"/>
          <w:vertAlign w:val="superscript"/>
        </w:rPr>
        <w:t>86</w:t>
      </w:r>
      <w:r>
        <w:rPr>
          <w:spacing w:val="-3"/>
          <w:sz w:val="18"/>
        </w:rPr>
        <w:t xml:space="preserve"> </w:t>
      </w:r>
      <w:r>
        <w:rPr>
          <w:sz w:val="18"/>
        </w:rPr>
        <w:t>Oxford</w:t>
      </w:r>
      <w:r>
        <w:rPr>
          <w:spacing w:val="-3"/>
          <w:sz w:val="18"/>
        </w:rPr>
        <w:t xml:space="preserve"> </w:t>
      </w:r>
      <w:r>
        <w:rPr>
          <w:sz w:val="18"/>
        </w:rPr>
        <w:t>English</w:t>
      </w:r>
      <w:r>
        <w:rPr>
          <w:spacing w:val="-3"/>
          <w:sz w:val="18"/>
        </w:rPr>
        <w:t xml:space="preserve"> </w:t>
      </w:r>
      <w:r>
        <w:rPr>
          <w:sz w:val="18"/>
        </w:rPr>
        <w:t>Dictionary</w:t>
      </w:r>
      <w:r>
        <w:rPr>
          <w:spacing w:val="-2"/>
          <w:sz w:val="18"/>
        </w:rPr>
        <w:t xml:space="preserve"> </w:t>
      </w:r>
      <w:r>
        <w:rPr>
          <w:sz w:val="18"/>
        </w:rPr>
        <w:t>online,</w:t>
      </w:r>
      <w:r>
        <w:rPr>
          <w:spacing w:val="-3"/>
          <w:sz w:val="18"/>
        </w:rPr>
        <w:t xml:space="preserve"> </w:t>
      </w:r>
      <w:r>
        <w:rPr>
          <w:sz w:val="18"/>
        </w:rPr>
        <w:t>definition</w:t>
      </w:r>
      <w:r>
        <w:rPr>
          <w:spacing w:val="-3"/>
          <w:sz w:val="18"/>
        </w:rPr>
        <w:t xml:space="preserve"> </w:t>
      </w:r>
      <w:r>
        <w:rPr>
          <w:sz w:val="18"/>
        </w:rPr>
        <w:t>of</w:t>
      </w:r>
      <w:r>
        <w:rPr>
          <w:spacing w:val="-3"/>
          <w:sz w:val="18"/>
        </w:rPr>
        <w:t xml:space="preserve"> </w:t>
      </w:r>
      <w:r>
        <w:rPr>
          <w:sz w:val="18"/>
        </w:rPr>
        <w:t>"special",</w:t>
      </w:r>
      <w:r>
        <w:rPr>
          <w:spacing w:val="-4"/>
          <w:sz w:val="18"/>
        </w:rPr>
        <w:t xml:space="preserve"> </w:t>
      </w:r>
      <w:hyperlink r:id="rId171">
        <w:r>
          <w:rPr>
            <w:sz w:val="18"/>
          </w:rPr>
          <w:t>https://www.oed.com/view/Entry/185972</w:t>
        </w:r>
        <w:r>
          <w:rPr>
            <w:spacing w:val="-1"/>
            <w:sz w:val="18"/>
          </w:rPr>
          <w:t xml:space="preserve"> </w:t>
        </w:r>
      </w:hyperlink>
      <w:r>
        <w:rPr>
          <w:sz w:val="18"/>
        </w:rPr>
        <w:t>(accessed</w:t>
      </w:r>
      <w:r>
        <w:rPr>
          <w:spacing w:val="-4"/>
          <w:sz w:val="18"/>
        </w:rPr>
        <w:t xml:space="preserve"> </w:t>
      </w:r>
      <w:r>
        <w:rPr>
          <w:sz w:val="18"/>
        </w:rPr>
        <w:t>28</w:t>
      </w:r>
      <w:r>
        <w:rPr>
          <w:spacing w:val="-5"/>
          <w:sz w:val="18"/>
        </w:rPr>
        <w:t xml:space="preserve"> </w:t>
      </w:r>
      <w:r>
        <w:rPr>
          <w:sz w:val="18"/>
        </w:rPr>
        <w:t xml:space="preserve">April </w:t>
      </w:r>
      <w:r>
        <w:rPr>
          <w:spacing w:val="-2"/>
          <w:sz w:val="18"/>
        </w:rPr>
        <w:t>2022).</w:t>
      </w:r>
    </w:p>
    <w:p w14:paraId="51DE7D92" w14:textId="77777777" w:rsidR="0010369C" w:rsidRDefault="008E43AE">
      <w:pPr>
        <w:ind w:left="239" w:right="726" w:hanging="2"/>
        <w:rPr>
          <w:sz w:val="18"/>
        </w:rPr>
      </w:pPr>
      <w:r>
        <w:rPr>
          <w:sz w:val="18"/>
          <w:vertAlign w:val="superscript"/>
        </w:rPr>
        <w:t>87</w:t>
      </w:r>
      <w:r>
        <w:rPr>
          <w:sz w:val="18"/>
        </w:rPr>
        <w:t xml:space="preserve"> This is consistent with the interpretation by the Panel in </w:t>
      </w:r>
      <w:r>
        <w:rPr>
          <w:i/>
          <w:sz w:val="18"/>
        </w:rPr>
        <w:t xml:space="preserve">Korea – Certain Paper (Article 21.5 ‐ Indonesia) </w:t>
      </w:r>
      <w:r>
        <w:rPr>
          <w:sz w:val="18"/>
        </w:rPr>
        <w:t>where it expl</w:t>
      </w:r>
      <w:r>
        <w:rPr>
          <w:sz w:val="18"/>
        </w:rPr>
        <w:t>ained</w:t>
      </w:r>
      <w:r>
        <w:rPr>
          <w:spacing w:val="-3"/>
          <w:sz w:val="18"/>
        </w:rPr>
        <w:t xml:space="preserve"> </w:t>
      </w:r>
      <w:r>
        <w:rPr>
          <w:sz w:val="18"/>
        </w:rPr>
        <w:t>that,</w:t>
      </w:r>
      <w:r>
        <w:rPr>
          <w:spacing w:val="-3"/>
          <w:sz w:val="18"/>
        </w:rPr>
        <w:t xml:space="preserve"> </w:t>
      </w:r>
      <w:r>
        <w:rPr>
          <w:sz w:val="18"/>
        </w:rPr>
        <w:t>"[w]e</w:t>
      </w:r>
      <w:r>
        <w:rPr>
          <w:spacing w:val="-2"/>
          <w:sz w:val="18"/>
        </w:rPr>
        <w:t xml:space="preserve"> </w:t>
      </w:r>
      <w:r>
        <w:rPr>
          <w:sz w:val="18"/>
        </w:rPr>
        <w:t>note</w:t>
      </w:r>
      <w:r>
        <w:rPr>
          <w:spacing w:val="-2"/>
          <w:sz w:val="18"/>
        </w:rPr>
        <w:t xml:space="preserve"> </w:t>
      </w:r>
      <w:r>
        <w:rPr>
          <w:sz w:val="18"/>
        </w:rPr>
        <w:t>that</w:t>
      </w:r>
      <w:r>
        <w:rPr>
          <w:spacing w:val="-3"/>
          <w:sz w:val="18"/>
        </w:rPr>
        <w:t xml:space="preserve"> </w:t>
      </w:r>
      <w:r>
        <w:rPr>
          <w:sz w:val="18"/>
        </w:rPr>
        <w:t>paragraph</w:t>
      </w:r>
      <w:r>
        <w:rPr>
          <w:spacing w:val="-2"/>
          <w:sz w:val="18"/>
        </w:rPr>
        <w:t xml:space="preserve"> </w:t>
      </w:r>
      <w:r>
        <w:rPr>
          <w:sz w:val="18"/>
        </w:rPr>
        <w:t>7</w:t>
      </w:r>
      <w:r>
        <w:rPr>
          <w:spacing w:val="-2"/>
          <w:sz w:val="18"/>
        </w:rPr>
        <w:t xml:space="preserve"> </w:t>
      </w:r>
      <w:r>
        <w:rPr>
          <w:sz w:val="18"/>
        </w:rPr>
        <w:t>generally</w:t>
      </w:r>
      <w:r>
        <w:rPr>
          <w:spacing w:val="-2"/>
          <w:sz w:val="18"/>
        </w:rPr>
        <w:t xml:space="preserve"> </w:t>
      </w:r>
      <w:r>
        <w:rPr>
          <w:sz w:val="18"/>
        </w:rPr>
        <w:t>requires</w:t>
      </w:r>
      <w:r>
        <w:rPr>
          <w:spacing w:val="-2"/>
          <w:sz w:val="18"/>
        </w:rPr>
        <w:t xml:space="preserve"> </w:t>
      </w:r>
      <w:r>
        <w:rPr>
          <w:sz w:val="18"/>
        </w:rPr>
        <w:t>the</w:t>
      </w:r>
      <w:r>
        <w:rPr>
          <w:spacing w:val="-2"/>
          <w:sz w:val="18"/>
        </w:rPr>
        <w:t xml:space="preserve"> </w:t>
      </w:r>
      <w:r>
        <w:rPr>
          <w:sz w:val="18"/>
        </w:rPr>
        <w:t>investigating</w:t>
      </w:r>
      <w:r>
        <w:rPr>
          <w:spacing w:val="-1"/>
          <w:sz w:val="18"/>
        </w:rPr>
        <w:t xml:space="preserve"> </w:t>
      </w:r>
      <w:r>
        <w:rPr>
          <w:sz w:val="18"/>
        </w:rPr>
        <w:t>authorities</w:t>
      </w:r>
      <w:r>
        <w:rPr>
          <w:spacing w:val="-2"/>
          <w:sz w:val="18"/>
        </w:rPr>
        <w:t xml:space="preserve"> </w:t>
      </w:r>
      <w:r>
        <w:rPr>
          <w:sz w:val="18"/>
        </w:rPr>
        <w:t>to</w:t>
      </w:r>
      <w:r>
        <w:rPr>
          <w:spacing w:val="-2"/>
          <w:sz w:val="18"/>
        </w:rPr>
        <w:t xml:space="preserve"> </w:t>
      </w:r>
      <w:r>
        <w:rPr>
          <w:sz w:val="18"/>
        </w:rPr>
        <w:t>exercise</w:t>
      </w:r>
      <w:r>
        <w:rPr>
          <w:spacing w:val="-2"/>
          <w:sz w:val="18"/>
        </w:rPr>
        <w:t xml:space="preserve"> </w:t>
      </w:r>
      <w:r>
        <w:rPr>
          <w:sz w:val="18"/>
        </w:rPr>
        <w:t>caution</w:t>
      </w:r>
      <w:r>
        <w:rPr>
          <w:spacing w:val="-2"/>
          <w:sz w:val="18"/>
        </w:rPr>
        <w:t xml:space="preserve"> </w:t>
      </w:r>
      <w:r>
        <w:rPr>
          <w:sz w:val="18"/>
        </w:rPr>
        <w:t>in</w:t>
      </w:r>
      <w:r>
        <w:rPr>
          <w:spacing w:val="-2"/>
          <w:sz w:val="18"/>
        </w:rPr>
        <w:t xml:space="preserve"> </w:t>
      </w:r>
      <w:r>
        <w:rPr>
          <w:sz w:val="18"/>
        </w:rPr>
        <w:t xml:space="preserve">their selection of facts available". Panel Report, </w:t>
      </w:r>
      <w:r>
        <w:rPr>
          <w:i/>
          <w:sz w:val="18"/>
        </w:rPr>
        <w:t>Korea – Certain Paper (Article 21.5 – Indonesia)</w:t>
      </w:r>
      <w:r>
        <w:rPr>
          <w:sz w:val="18"/>
        </w:rPr>
        <w:t>, para. 6.26.</w:t>
      </w:r>
    </w:p>
    <w:p w14:paraId="51DE7D93" w14:textId="77777777" w:rsidR="0010369C" w:rsidRDefault="008E43AE">
      <w:pPr>
        <w:ind w:left="238" w:right="726" w:hanging="1"/>
        <w:rPr>
          <w:sz w:val="18"/>
        </w:rPr>
      </w:pPr>
      <w:r>
        <w:rPr>
          <w:sz w:val="18"/>
          <w:vertAlign w:val="superscript"/>
        </w:rPr>
        <w:t>88</w:t>
      </w:r>
      <w:r>
        <w:rPr>
          <w:spacing w:val="-3"/>
          <w:sz w:val="18"/>
        </w:rPr>
        <w:t xml:space="preserve"> </w:t>
      </w:r>
      <w:r>
        <w:rPr>
          <w:sz w:val="18"/>
        </w:rPr>
        <w:t>Oxford</w:t>
      </w:r>
      <w:r>
        <w:rPr>
          <w:spacing w:val="-3"/>
          <w:sz w:val="18"/>
        </w:rPr>
        <w:t xml:space="preserve"> </w:t>
      </w:r>
      <w:r>
        <w:rPr>
          <w:sz w:val="18"/>
        </w:rPr>
        <w:t>English</w:t>
      </w:r>
      <w:r>
        <w:rPr>
          <w:spacing w:val="-3"/>
          <w:sz w:val="18"/>
        </w:rPr>
        <w:t xml:space="preserve"> </w:t>
      </w:r>
      <w:r>
        <w:rPr>
          <w:sz w:val="18"/>
        </w:rPr>
        <w:t>Dictionary</w:t>
      </w:r>
      <w:r>
        <w:rPr>
          <w:spacing w:val="-2"/>
          <w:sz w:val="18"/>
        </w:rPr>
        <w:t xml:space="preserve"> </w:t>
      </w:r>
      <w:r>
        <w:rPr>
          <w:sz w:val="18"/>
        </w:rPr>
        <w:t>online,</w:t>
      </w:r>
      <w:r>
        <w:rPr>
          <w:spacing w:val="-3"/>
          <w:sz w:val="18"/>
        </w:rPr>
        <w:t xml:space="preserve"> </w:t>
      </w:r>
      <w:r>
        <w:rPr>
          <w:sz w:val="18"/>
        </w:rPr>
        <w:t>definition</w:t>
      </w:r>
      <w:r>
        <w:rPr>
          <w:spacing w:val="-3"/>
          <w:sz w:val="18"/>
        </w:rPr>
        <w:t xml:space="preserve"> </w:t>
      </w:r>
      <w:r>
        <w:rPr>
          <w:sz w:val="18"/>
        </w:rPr>
        <w:t>of</w:t>
      </w:r>
      <w:r>
        <w:rPr>
          <w:spacing w:val="-3"/>
          <w:sz w:val="18"/>
        </w:rPr>
        <w:t xml:space="preserve"> </w:t>
      </w:r>
      <w:r>
        <w:rPr>
          <w:sz w:val="18"/>
        </w:rPr>
        <w:t>"check",</w:t>
      </w:r>
      <w:r>
        <w:rPr>
          <w:spacing w:val="-4"/>
          <w:sz w:val="18"/>
        </w:rPr>
        <w:t xml:space="preserve"> </w:t>
      </w:r>
      <w:hyperlink r:id="rId172">
        <w:r>
          <w:rPr>
            <w:sz w:val="18"/>
          </w:rPr>
          <w:t>https://www.oed.com/view/Entry/31082</w:t>
        </w:r>
        <w:r>
          <w:rPr>
            <w:spacing w:val="-4"/>
            <w:sz w:val="18"/>
          </w:rPr>
          <w:t xml:space="preserve"> </w:t>
        </w:r>
      </w:hyperlink>
      <w:r>
        <w:rPr>
          <w:sz w:val="18"/>
        </w:rPr>
        <w:t>(accessed</w:t>
      </w:r>
      <w:r>
        <w:rPr>
          <w:spacing w:val="-4"/>
          <w:sz w:val="18"/>
        </w:rPr>
        <w:t xml:space="preserve"> </w:t>
      </w:r>
      <w:r>
        <w:rPr>
          <w:sz w:val="18"/>
        </w:rPr>
        <w:t>28</w:t>
      </w:r>
      <w:r>
        <w:rPr>
          <w:spacing w:val="-3"/>
          <w:sz w:val="18"/>
        </w:rPr>
        <w:t xml:space="preserve"> </w:t>
      </w:r>
      <w:r>
        <w:rPr>
          <w:sz w:val="18"/>
        </w:rPr>
        <w:t xml:space="preserve">April </w:t>
      </w:r>
      <w:r>
        <w:rPr>
          <w:spacing w:val="-2"/>
          <w:sz w:val="18"/>
        </w:rPr>
        <w:t>2022).</w:t>
      </w:r>
    </w:p>
    <w:p w14:paraId="51DE7D94" w14:textId="77777777" w:rsidR="0010369C" w:rsidRDefault="0010369C">
      <w:pPr>
        <w:rPr>
          <w:sz w:val="18"/>
        </w:rPr>
        <w:sectPr w:rsidR="0010369C">
          <w:pgSz w:w="11910" w:h="16840"/>
          <w:pgMar w:top="880" w:right="800" w:bottom="980" w:left="1180" w:header="569" w:footer="788" w:gutter="0"/>
          <w:cols w:space="720"/>
        </w:sectPr>
      </w:pPr>
    </w:p>
    <w:p w14:paraId="51DE7D95" w14:textId="77777777" w:rsidR="0010369C" w:rsidRDefault="008E43AE">
      <w:pPr>
        <w:tabs>
          <w:tab w:val="left" w:pos="6426"/>
        </w:tabs>
        <w:ind w:left="238"/>
        <w:jc w:val="both"/>
        <w:rPr>
          <w:sz w:val="20"/>
        </w:rPr>
      </w:pPr>
      <w:r>
        <w:rPr>
          <w:i/>
          <w:sz w:val="20"/>
        </w:rPr>
        <w:lastRenderedPageBreak/>
        <w:t>China</w:t>
      </w:r>
      <w:r>
        <w:rPr>
          <w:i/>
          <w:spacing w:val="-5"/>
          <w:sz w:val="20"/>
        </w:rPr>
        <w:t xml:space="preserve"> </w:t>
      </w:r>
      <w:r>
        <w:rPr>
          <w:i/>
          <w:sz w:val="20"/>
        </w:rPr>
        <w:t>–</w:t>
      </w:r>
      <w:r>
        <w:rPr>
          <w:i/>
          <w:spacing w:val="-5"/>
          <w:sz w:val="20"/>
        </w:rPr>
        <w:t xml:space="preserve"> </w:t>
      </w:r>
      <w:r>
        <w:rPr>
          <w:i/>
          <w:sz w:val="20"/>
        </w:rPr>
        <w:t>Anti‐Dumping</w:t>
      </w:r>
      <w:r>
        <w:rPr>
          <w:i/>
          <w:spacing w:val="-4"/>
          <w:sz w:val="20"/>
        </w:rPr>
        <w:t xml:space="preserve"> </w:t>
      </w:r>
      <w:r>
        <w:rPr>
          <w:i/>
          <w:sz w:val="20"/>
        </w:rPr>
        <w:t>and</w:t>
      </w:r>
      <w:r>
        <w:rPr>
          <w:i/>
          <w:spacing w:val="-5"/>
          <w:sz w:val="20"/>
        </w:rPr>
        <w:t xml:space="preserve"> </w:t>
      </w:r>
      <w:r>
        <w:rPr>
          <w:i/>
          <w:sz w:val="20"/>
        </w:rPr>
        <w:t>Countervailing</w:t>
      </w:r>
      <w:r>
        <w:rPr>
          <w:i/>
          <w:spacing w:val="-5"/>
          <w:sz w:val="20"/>
        </w:rPr>
        <w:t xml:space="preserve"> </w:t>
      </w:r>
      <w:r>
        <w:rPr>
          <w:i/>
          <w:sz w:val="20"/>
        </w:rPr>
        <w:t>Duty</w:t>
      </w:r>
      <w:r>
        <w:rPr>
          <w:i/>
          <w:spacing w:val="-4"/>
          <w:sz w:val="20"/>
        </w:rPr>
        <w:t xml:space="preserve"> </w:t>
      </w:r>
      <w:r>
        <w:rPr>
          <w:i/>
          <w:spacing w:val="-2"/>
          <w:sz w:val="20"/>
        </w:rPr>
        <w:t>Measures</w:t>
      </w:r>
      <w:r>
        <w:rPr>
          <w:i/>
          <w:sz w:val="20"/>
        </w:rPr>
        <w:tab/>
      </w:r>
      <w:r>
        <w:rPr>
          <w:sz w:val="20"/>
        </w:rPr>
        <w:t>Australia's</w:t>
      </w:r>
      <w:r>
        <w:rPr>
          <w:spacing w:val="-7"/>
          <w:sz w:val="20"/>
        </w:rPr>
        <w:t xml:space="preserve"> </w:t>
      </w:r>
      <w:r>
        <w:rPr>
          <w:sz w:val="20"/>
        </w:rPr>
        <w:t>First</w:t>
      </w:r>
      <w:r>
        <w:rPr>
          <w:spacing w:val="-2"/>
          <w:sz w:val="20"/>
        </w:rPr>
        <w:t xml:space="preserve"> </w:t>
      </w:r>
      <w:r>
        <w:rPr>
          <w:sz w:val="20"/>
        </w:rPr>
        <w:t>Writt</w:t>
      </w:r>
      <w:r>
        <w:rPr>
          <w:sz w:val="20"/>
        </w:rPr>
        <w:t>en</w:t>
      </w:r>
      <w:r>
        <w:rPr>
          <w:spacing w:val="-2"/>
          <w:sz w:val="20"/>
        </w:rPr>
        <w:t xml:space="preserve"> Submission</w:t>
      </w:r>
    </w:p>
    <w:p w14:paraId="51DE7D96" w14:textId="77777777" w:rsidR="0010369C" w:rsidRDefault="008E43AE">
      <w:pPr>
        <w:tabs>
          <w:tab w:val="left" w:pos="8228"/>
        </w:tabs>
        <w:spacing w:before="1"/>
        <w:ind w:left="239"/>
        <w:jc w:val="both"/>
        <w:rPr>
          <w:sz w:val="20"/>
        </w:rPr>
      </w:pPr>
      <w:r>
        <w:rPr>
          <w:i/>
          <w:sz w:val="20"/>
        </w:rPr>
        <w:t>on</w:t>
      </w:r>
      <w:r>
        <w:rPr>
          <w:i/>
          <w:spacing w:val="-1"/>
          <w:sz w:val="20"/>
        </w:rPr>
        <w:t xml:space="preserve"> </w:t>
      </w:r>
      <w:r>
        <w:rPr>
          <w:i/>
          <w:sz w:val="20"/>
        </w:rPr>
        <w:t>Wine</w:t>
      </w:r>
      <w:r>
        <w:rPr>
          <w:i/>
          <w:spacing w:val="-1"/>
          <w:sz w:val="20"/>
        </w:rPr>
        <w:t xml:space="preserve"> </w:t>
      </w:r>
      <w:r>
        <w:rPr>
          <w:i/>
          <w:sz w:val="20"/>
        </w:rPr>
        <w:t>from</w:t>
      </w:r>
      <w:r>
        <w:rPr>
          <w:i/>
          <w:spacing w:val="-3"/>
          <w:sz w:val="20"/>
        </w:rPr>
        <w:t xml:space="preserve"> </w:t>
      </w:r>
      <w:r>
        <w:rPr>
          <w:i/>
          <w:sz w:val="20"/>
        </w:rPr>
        <w:t>Australia</w:t>
      </w:r>
      <w:r>
        <w:rPr>
          <w:i/>
          <w:spacing w:val="-1"/>
          <w:sz w:val="20"/>
        </w:rPr>
        <w:t xml:space="preserve"> </w:t>
      </w:r>
      <w:r>
        <w:rPr>
          <w:spacing w:val="-2"/>
          <w:sz w:val="20"/>
        </w:rPr>
        <w:t>(DS602)</w:t>
      </w:r>
      <w:r>
        <w:rPr>
          <w:sz w:val="20"/>
        </w:rPr>
        <w:tab/>
        <w:t>29</w:t>
      </w:r>
      <w:r>
        <w:rPr>
          <w:spacing w:val="-1"/>
          <w:sz w:val="20"/>
        </w:rPr>
        <w:t xml:space="preserve"> </w:t>
      </w:r>
      <w:r>
        <w:rPr>
          <w:sz w:val="20"/>
        </w:rPr>
        <w:t>April</w:t>
      </w:r>
      <w:r>
        <w:rPr>
          <w:spacing w:val="-2"/>
          <w:sz w:val="20"/>
        </w:rPr>
        <w:t xml:space="preserve"> </w:t>
      </w:r>
      <w:r>
        <w:rPr>
          <w:spacing w:val="-4"/>
          <w:sz w:val="20"/>
        </w:rPr>
        <w:t>2022</w:t>
      </w:r>
    </w:p>
    <w:p w14:paraId="51DE7D97" w14:textId="77777777" w:rsidR="0010369C" w:rsidRDefault="008E43AE">
      <w:pPr>
        <w:pStyle w:val="BodyText"/>
        <w:spacing w:before="34" w:line="360" w:lineRule="auto"/>
        <w:ind w:left="238" w:right="616"/>
        <w:jc w:val="both"/>
      </w:pPr>
      <w:r>
        <w:t>used</w:t>
      </w:r>
      <w:r>
        <w:rPr>
          <w:spacing w:val="-8"/>
        </w:rPr>
        <w:t xml:space="preserve"> </w:t>
      </w:r>
      <w:r>
        <w:t>in</w:t>
      </w:r>
      <w:r>
        <w:rPr>
          <w:spacing w:val="-8"/>
        </w:rPr>
        <w:t xml:space="preserve"> </w:t>
      </w:r>
      <w:r>
        <w:t>this</w:t>
      </w:r>
      <w:r>
        <w:rPr>
          <w:spacing w:val="-8"/>
        </w:rPr>
        <w:t xml:space="preserve"> </w:t>
      </w:r>
      <w:r>
        <w:t>process.</w:t>
      </w:r>
      <w:r>
        <w:rPr>
          <w:spacing w:val="-6"/>
        </w:rPr>
        <w:t xml:space="preserve"> </w:t>
      </w:r>
      <w:r>
        <w:t>The</w:t>
      </w:r>
      <w:r>
        <w:rPr>
          <w:spacing w:val="-8"/>
        </w:rPr>
        <w:t xml:space="preserve"> </w:t>
      </w:r>
      <w:r>
        <w:t>Appellate</w:t>
      </w:r>
      <w:r>
        <w:rPr>
          <w:spacing w:val="-9"/>
        </w:rPr>
        <w:t xml:space="preserve"> </w:t>
      </w:r>
      <w:r>
        <w:t>Body</w:t>
      </w:r>
      <w:r>
        <w:rPr>
          <w:spacing w:val="-7"/>
        </w:rPr>
        <w:t xml:space="preserve"> </w:t>
      </w:r>
      <w:r>
        <w:t>has</w:t>
      </w:r>
      <w:r>
        <w:rPr>
          <w:spacing w:val="-8"/>
        </w:rPr>
        <w:t xml:space="preserve"> </w:t>
      </w:r>
      <w:r>
        <w:t>explained</w:t>
      </w:r>
      <w:r>
        <w:rPr>
          <w:spacing w:val="-8"/>
        </w:rPr>
        <w:t xml:space="preserve"> </w:t>
      </w:r>
      <w:r>
        <w:t>that</w:t>
      </w:r>
      <w:r>
        <w:rPr>
          <w:spacing w:val="-8"/>
        </w:rPr>
        <w:t xml:space="preserve"> </w:t>
      </w:r>
      <w:r>
        <w:t>this</w:t>
      </w:r>
      <w:r>
        <w:rPr>
          <w:spacing w:val="-8"/>
        </w:rPr>
        <w:t xml:space="preserve"> </w:t>
      </w:r>
      <w:r>
        <w:t>process</w:t>
      </w:r>
      <w:r>
        <w:rPr>
          <w:spacing w:val="-7"/>
        </w:rPr>
        <w:t xml:space="preserve"> </w:t>
      </w:r>
      <w:r>
        <w:t>requires</w:t>
      </w:r>
      <w:r>
        <w:rPr>
          <w:spacing w:val="-8"/>
        </w:rPr>
        <w:t xml:space="preserve"> </w:t>
      </w:r>
      <w:r>
        <w:t>investigating authorities to:</w:t>
      </w:r>
      <w:r>
        <w:rPr>
          <w:vertAlign w:val="superscript"/>
        </w:rPr>
        <w:t>89</w:t>
      </w:r>
    </w:p>
    <w:p w14:paraId="51DE7D98" w14:textId="77777777" w:rsidR="0010369C" w:rsidRDefault="008E43AE">
      <w:pPr>
        <w:spacing w:before="160" w:line="276" w:lineRule="auto"/>
        <w:ind w:left="1090" w:right="613" w:hanging="1"/>
        <w:jc w:val="both"/>
      </w:pPr>
      <w:r>
        <w:t>[A]scertain for itself the reliability and accuracy of such information by checking it, where practicable, against information contained in other independent sources at its disposal, including material</w:t>
      </w:r>
      <w:r>
        <w:rPr>
          <w:spacing w:val="-2"/>
        </w:rPr>
        <w:t xml:space="preserve"> </w:t>
      </w:r>
      <w:r>
        <w:t>submitted by</w:t>
      </w:r>
      <w:r>
        <w:rPr>
          <w:spacing w:val="-1"/>
        </w:rPr>
        <w:t xml:space="preserve"> </w:t>
      </w:r>
      <w:r>
        <w:t>interested</w:t>
      </w:r>
      <w:r>
        <w:rPr>
          <w:spacing w:val="-1"/>
        </w:rPr>
        <w:t xml:space="preserve"> </w:t>
      </w:r>
      <w:r>
        <w:t>parties. Such an</w:t>
      </w:r>
      <w:r>
        <w:rPr>
          <w:spacing w:val="-1"/>
        </w:rPr>
        <w:t xml:space="preserve"> </w:t>
      </w:r>
      <w:r>
        <w:t>active</w:t>
      </w:r>
      <w:r>
        <w:rPr>
          <w:spacing w:val="-1"/>
        </w:rPr>
        <w:t xml:space="preserve"> </w:t>
      </w:r>
      <w:r>
        <w:t>approa</w:t>
      </w:r>
      <w:r>
        <w:t>ch is compelled</w:t>
      </w:r>
      <w:r>
        <w:rPr>
          <w:spacing w:val="-1"/>
        </w:rPr>
        <w:t xml:space="preserve"> </w:t>
      </w:r>
      <w:r>
        <w:t>by the</w:t>
      </w:r>
      <w:r>
        <w:rPr>
          <w:spacing w:val="-7"/>
        </w:rPr>
        <w:t xml:space="preserve"> </w:t>
      </w:r>
      <w:r>
        <w:t>obligation</w:t>
      </w:r>
      <w:r>
        <w:rPr>
          <w:spacing w:val="-6"/>
        </w:rPr>
        <w:t xml:space="preserve"> </w:t>
      </w:r>
      <w:r>
        <w:t>to</w:t>
      </w:r>
      <w:r>
        <w:rPr>
          <w:spacing w:val="-4"/>
        </w:rPr>
        <w:t xml:space="preserve"> </w:t>
      </w:r>
      <w:r>
        <w:t>treat</w:t>
      </w:r>
      <w:r>
        <w:rPr>
          <w:spacing w:val="-6"/>
        </w:rPr>
        <w:t xml:space="preserve"> </w:t>
      </w:r>
      <w:r>
        <w:t>data</w:t>
      </w:r>
      <w:r>
        <w:rPr>
          <w:spacing w:val="-7"/>
        </w:rPr>
        <w:t xml:space="preserve"> </w:t>
      </w:r>
      <w:r>
        <w:t>obtained</w:t>
      </w:r>
      <w:r>
        <w:rPr>
          <w:spacing w:val="-4"/>
        </w:rPr>
        <w:t xml:space="preserve"> </w:t>
      </w:r>
      <w:r>
        <w:t>from</w:t>
      </w:r>
      <w:r>
        <w:rPr>
          <w:spacing w:val="-7"/>
        </w:rPr>
        <w:t xml:space="preserve"> </w:t>
      </w:r>
      <w:r>
        <w:t>secondary</w:t>
      </w:r>
      <w:r>
        <w:rPr>
          <w:spacing w:val="-6"/>
        </w:rPr>
        <w:t xml:space="preserve"> </w:t>
      </w:r>
      <w:r>
        <w:t>sources</w:t>
      </w:r>
      <w:r>
        <w:rPr>
          <w:spacing w:val="-6"/>
        </w:rPr>
        <w:t xml:space="preserve"> </w:t>
      </w:r>
      <w:r>
        <w:t>"with</w:t>
      </w:r>
      <w:r>
        <w:rPr>
          <w:spacing w:val="-6"/>
        </w:rPr>
        <w:t xml:space="preserve"> </w:t>
      </w:r>
      <w:r>
        <w:t>special</w:t>
      </w:r>
      <w:r>
        <w:rPr>
          <w:spacing w:val="-6"/>
        </w:rPr>
        <w:t xml:space="preserve"> </w:t>
      </w:r>
      <w:r>
        <w:rPr>
          <w:spacing w:val="-2"/>
        </w:rPr>
        <w:t>circumspection".</w:t>
      </w:r>
    </w:p>
    <w:p w14:paraId="51DE7D99" w14:textId="77777777" w:rsidR="0010369C" w:rsidRDefault="0010369C">
      <w:pPr>
        <w:pStyle w:val="BodyText"/>
        <w:spacing w:before="5"/>
        <w:rPr>
          <w:sz w:val="15"/>
        </w:rPr>
      </w:pPr>
    </w:p>
    <w:p w14:paraId="51DE7D9A" w14:textId="77777777" w:rsidR="0010369C" w:rsidRDefault="008E43AE">
      <w:pPr>
        <w:pStyle w:val="BodyText"/>
        <w:spacing w:before="52" w:line="360" w:lineRule="auto"/>
        <w:ind w:left="237" w:right="614" w:firstLine="852"/>
        <w:jc w:val="both"/>
      </w:pPr>
      <w:r>
        <w:rPr>
          <w:noProof/>
        </w:rPr>
        <w:drawing>
          <wp:anchor distT="0" distB="0" distL="0" distR="0" simplePos="0" relativeHeight="250780160" behindDoc="1" locked="0" layoutInCell="1" allowOverlap="1" wp14:anchorId="51DE9DC8" wp14:editId="51DE9DC9">
            <wp:simplePos x="0" y="0"/>
            <wp:positionH relativeFrom="page">
              <wp:posOffset>902208</wp:posOffset>
            </wp:positionH>
            <wp:positionV relativeFrom="paragraph">
              <wp:posOffset>81357</wp:posOffset>
            </wp:positionV>
            <wp:extent cx="182879" cy="103631"/>
            <wp:effectExtent l="0" t="0" r="0" b="0"/>
            <wp:wrapNone/>
            <wp:docPr id="167" name="image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92.png"/>
                    <pic:cNvPicPr/>
                  </pic:nvPicPr>
                  <pic:blipFill>
                    <a:blip r:embed="rId173" cstate="print"/>
                    <a:stretch>
                      <a:fillRect/>
                    </a:stretch>
                  </pic:blipFill>
                  <pic:spPr>
                    <a:xfrm>
                      <a:off x="0" y="0"/>
                      <a:ext cx="182879" cy="103631"/>
                    </a:xfrm>
                    <a:prstGeom prst="rect">
                      <a:avLst/>
                    </a:prstGeom>
                  </pic:spPr>
                </pic:pic>
              </a:graphicData>
            </a:graphic>
          </wp:anchor>
        </w:drawing>
      </w:r>
      <w:r>
        <w:t>Ultimately, Paragraph 7 of Annex II requires investigating authorities to undertake a comparative evaluation and assessment of all the availabl</w:t>
      </w:r>
      <w:r>
        <w:t>e evidence when selecting facts available,</w:t>
      </w:r>
      <w:r>
        <w:rPr>
          <w:spacing w:val="-10"/>
        </w:rPr>
        <w:t xml:space="preserve"> </w:t>
      </w:r>
      <w:r>
        <w:t>which</w:t>
      </w:r>
      <w:r>
        <w:rPr>
          <w:spacing w:val="-10"/>
        </w:rPr>
        <w:t xml:space="preserve"> </w:t>
      </w:r>
      <w:r>
        <w:t>"necessarily</w:t>
      </w:r>
      <w:r>
        <w:rPr>
          <w:spacing w:val="-12"/>
        </w:rPr>
        <w:t xml:space="preserve"> </w:t>
      </w:r>
      <w:r>
        <w:t>involves</w:t>
      </w:r>
      <w:r>
        <w:rPr>
          <w:spacing w:val="-9"/>
        </w:rPr>
        <w:t xml:space="preserve"> </w:t>
      </w:r>
      <w:r>
        <w:t>consideration</w:t>
      </w:r>
      <w:r>
        <w:rPr>
          <w:spacing w:val="-10"/>
        </w:rPr>
        <w:t xml:space="preserve"> </w:t>
      </w:r>
      <w:r>
        <w:t>and</w:t>
      </w:r>
      <w:r>
        <w:rPr>
          <w:spacing w:val="-10"/>
        </w:rPr>
        <w:t xml:space="preserve"> </w:t>
      </w:r>
      <w:r>
        <w:t>comparison</w:t>
      </w:r>
      <w:r>
        <w:rPr>
          <w:spacing w:val="-11"/>
        </w:rPr>
        <w:t xml:space="preserve"> </w:t>
      </w:r>
      <w:r>
        <w:t>of</w:t>
      </w:r>
      <w:r>
        <w:rPr>
          <w:spacing w:val="-10"/>
        </w:rPr>
        <w:t xml:space="preserve"> </w:t>
      </w:r>
      <w:r>
        <w:t>'all</w:t>
      </w:r>
      <w:r>
        <w:rPr>
          <w:spacing w:val="-10"/>
        </w:rPr>
        <w:t xml:space="preserve"> </w:t>
      </w:r>
      <w:r>
        <w:t>substantiated</w:t>
      </w:r>
      <w:r>
        <w:rPr>
          <w:spacing w:val="-10"/>
        </w:rPr>
        <w:t xml:space="preserve"> </w:t>
      </w:r>
      <w:r>
        <w:t>facts on the record,' and must be sufficiently reflected in the investigation's published reports".</w:t>
      </w:r>
      <w:r>
        <w:rPr>
          <w:vertAlign w:val="superscript"/>
        </w:rPr>
        <w:t>90</w:t>
      </w:r>
      <w:r>
        <w:t xml:space="preserve"> In this process, "no substantiated facts on the record can be </w:t>
      </w:r>
      <w:r>
        <w:rPr>
          <w:i/>
        </w:rPr>
        <w:t xml:space="preserve">a priori </w:t>
      </w:r>
      <w:r>
        <w:t>excluded from consideration".</w:t>
      </w:r>
      <w:r>
        <w:rPr>
          <w:vertAlign w:val="superscript"/>
        </w:rPr>
        <w:t>91</w:t>
      </w:r>
      <w:r>
        <w:t xml:space="preserve"> There must be a "logical relationship" between the </w:t>
      </w:r>
      <w:r>
        <w:t xml:space="preserve">replacement facts and the facts on the </w:t>
      </w:r>
      <w:hyperlink r:id="rId174">
        <w:r>
          <w:t>record.</w:t>
        </w:r>
        <w:r>
          <w:rPr>
            <w:vertAlign w:val="superscript"/>
          </w:rPr>
          <w:t>92</w:t>
        </w:r>
      </w:hyperlink>
    </w:p>
    <w:p w14:paraId="51DE7D9B" w14:textId="77777777" w:rsidR="0010369C" w:rsidRDefault="0010369C">
      <w:pPr>
        <w:pStyle w:val="BodyText"/>
        <w:spacing w:before="11"/>
        <w:rPr>
          <w:sz w:val="8"/>
        </w:rPr>
      </w:pPr>
    </w:p>
    <w:p w14:paraId="51DE7D9C" w14:textId="77777777" w:rsidR="0010369C" w:rsidRDefault="008E43AE">
      <w:pPr>
        <w:pStyle w:val="BodyText"/>
        <w:spacing w:before="52" w:line="360" w:lineRule="auto"/>
        <w:ind w:left="237" w:right="612" w:firstLine="851"/>
        <w:jc w:val="both"/>
      </w:pPr>
      <w:r>
        <w:rPr>
          <w:noProof/>
        </w:rPr>
        <w:drawing>
          <wp:anchor distT="0" distB="0" distL="0" distR="0" simplePos="0" relativeHeight="250781184" behindDoc="1" locked="0" layoutInCell="1" allowOverlap="1" wp14:anchorId="51DE9DCA" wp14:editId="51DE9DCB">
            <wp:simplePos x="0" y="0"/>
            <wp:positionH relativeFrom="page">
              <wp:posOffset>902208</wp:posOffset>
            </wp:positionH>
            <wp:positionV relativeFrom="paragraph">
              <wp:posOffset>80595</wp:posOffset>
            </wp:positionV>
            <wp:extent cx="182879" cy="103631"/>
            <wp:effectExtent l="0" t="0" r="0" b="0"/>
            <wp:wrapNone/>
            <wp:docPr id="169" name="image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93.png"/>
                    <pic:cNvPicPr/>
                  </pic:nvPicPr>
                  <pic:blipFill>
                    <a:blip r:embed="rId175" cstate="print"/>
                    <a:stretch>
                      <a:fillRect/>
                    </a:stretch>
                  </pic:blipFill>
                  <pic:spPr>
                    <a:xfrm>
                      <a:off x="0" y="0"/>
                      <a:ext cx="182879" cy="103631"/>
                    </a:xfrm>
                    <a:prstGeom prst="rect">
                      <a:avLst/>
                    </a:prstGeom>
                  </pic:spPr>
                </pic:pic>
              </a:graphicData>
            </a:graphic>
          </wp:anchor>
        </w:drawing>
      </w:r>
      <w:r>
        <w:t>The</w:t>
      </w:r>
      <w:r>
        <w:rPr>
          <w:spacing w:val="-10"/>
        </w:rPr>
        <w:t xml:space="preserve"> </w:t>
      </w:r>
      <w:r>
        <w:t>final</w:t>
      </w:r>
      <w:r>
        <w:rPr>
          <w:spacing w:val="-11"/>
        </w:rPr>
        <w:t xml:space="preserve"> </w:t>
      </w:r>
      <w:r>
        <w:t>sentence</w:t>
      </w:r>
      <w:r>
        <w:rPr>
          <w:spacing w:val="-11"/>
        </w:rPr>
        <w:t xml:space="preserve"> </w:t>
      </w:r>
      <w:r>
        <w:t>of</w:t>
      </w:r>
      <w:r>
        <w:rPr>
          <w:spacing w:val="-11"/>
        </w:rPr>
        <w:t xml:space="preserve"> </w:t>
      </w:r>
      <w:r>
        <w:t>paragraph</w:t>
      </w:r>
      <w:r>
        <w:rPr>
          <w:spacing w:val="-10"/>
        </w:rPr>
        <w:t xml:space="preserve"> </w:t>
      </w:r>
      <w:r>
        <w:t>7</w:t>
      </w:r>
      <w:r>
        <w:rPr>
          <w:spacing w:val="-12"/>
        </w:rPr>
        <w:t xml:space="preserve"> </w:t>
      </w:r>
      <w:r>
        <w:t>of</w:t>
      </w:r>
      <w:r>
        <w:rPr>
          <w:spacing w:val="-10"/>
        </w:rPr>
        <w:t xml:space="preserve"> </w:t>
      </w:r>
      <w:r>
        <w:t>Annex</w:t>
      </w:r>
      <w:r>
        <w:rPr>
          <w:spacing w:val="-11"/>
        </w:rPr>
        <w:t xml:space="preserve"> </w:t>
      </w:r>
      <w:r>
        <w:t>II</w:t>
      </w:r>
      <w:r>
        <w:rPr>
          <w:spacing w:val="-12"/>
        </w:rPr>
        <w:t xml:space="preserve"> </w:t>
      </w:r>
      <w:r>
        <w:t>provides</w:t>
      </w:r>
      <w:r>
        <w:rPr>
          <w:spacing w:val="-11"/>
        </w:rPr>
        <w:t xml:space="preserve"> </w:t>
      </w:r>
      <w:r>
        <w:t>that</w:t>
      </w:r>
      <w:r>
        <w:rPr>
          <w:spacing w:val="-11"/>
        </w:rPr>
        <w:t xml:space="preserve"> </w:t>
      </w:r>
      <w:r>
        <w:t>if</w:t>
      </w:r>
      <w:r>
        <w:rPr>
          <w:spacing w:val="-10"/>
        </w:rPr>
        <w:t xml:space="preserve"> </w:t>
      </w:r>
      <w:r>
        <w:t>an</w:t>
      </w:r>
      <w:r>
        <w:rPr>
          <w:spacing w:val="-11"/>
        </w:rPr>
        <w:t xml:space="preserve"> </w:t>
      </w:r>
      <w:r>
        <w:t>interested</w:t>
      </w:r>
      <w:r>
        <w:rPr>
          <w:spacing w:val="-9"/>
        </w:rPr>
        <w:t xml:space="preserve"> </w:t>
      </w:r>
      <w:r>
        <w:t>party</w:t>
      </w:r>
      <w:r>
        <w:rPr>
          <w:spacing w:val="-10"/>
        </w:rPr>
        <w:t xml:space="preserve"> </w:t>
      </w:r>
      <w:r>
        <w:t>does not cooperate, it could lead to a result which is less favourable than if the p</w:t>
      </w:r>
      <w:r>
        <w:t xml:space="preserve">arty were to cooperate. However, investigating authorities are not entitled to arrive at a less favourable result simply because an interested party failed to furnish information if the interested party otherwise </w:t>
      </w:r>
      <w:hyperlink r:id="rId176">
        <w:r>
          <w:t>c</w:t>
        </w:r>
        <w:r>
          <w:t>ooperated.</w:t>
        </w:r>
        <w:r>
          <w:rPr>
            <w:vertAlign w:val="superscript"/>
          </w:rPr>
          <w:t>93</w:t>
        </w:r>
      </w:hyperlink>
    </w:p>
    <w:p w14:paraId="51DE7D9D" w14:textId="77777777" w:rsidR="0010369C" w:rsidRDefault="008E43AE">
      <w:pPr>
        <w:pStyle w:val="Heading4"/>
        <w:numPr>
          <w:ilvl w:val="2"/>
          <w:numId w:val="75"/>
        </w:numPr>
        <w:tabs>
          <w:tab w:val="left" w:pos="2791"/>
        </w:tabs>
        <w:spacing w:before="160"/>
        <w:ind w:left="2790" w:hanging="361"/>
        <w:jc w:val="both"/>
      </w:pPr>
      <w:bookmarkStart w:id="19" w:name="_TOC_250010"/>
      <w:r>
        <w:t>Articles</w:t>
      </w:r>
      <w:r>
        <w:rPr>
          <w:spacing w:val="-7"/>
        </w:rPr>
        <w:t xml:space="preserve"> </w:t>
      </w:r>
      <w:r>
        <w:t>2.1</w:t>
      </w:r>
      <w:r>
        <w:rPr>
          <w:spacing w:val="-4"/>
        </w:rPr>
        <w:t xml:space="preserve"> </w:t>
      </w:r>
      <w:r>
        <w:t>and</w:t>
      </w:r>
      <w:r>
        <w:rPr>
          <w:spacing w:val="-7"/>
        </w:rPr>
        <w:t xml:space="preserve"> </w:t>
      </w:r>
      <w:bookmarkEnd w:id="19"/>
      <w:r>
        <w:rPr>
          <w:spacing w:val="-5"/>
        </w:rPr>
        <w:t>2.2</w:t>
      </w:r>
    </w:p>
    <w:p w14:paraId="51DE7D9E" w14:textId="77777777" w:rsidR="0010369C" w:rsidRDefault="0010369C">
      <w:pPr>
        <w:pStyle w:val="BodyText"/>
        <w:spacing w:before="10"/>
        <w:rPr>
          <w:b/>
          <w:sz w:val="20"/>
        </w:rPr>
      </w:pPr>
    </w:p>
    <w:p w14:paraId="51DE7D9F" w14:textId="77777777" w:rsidR="0010369C" w:rsidRDefault="008E43AE">
      <w:pPr>
        <w:pStyle w:val="BodyText"/>
        <w:spacing w:before="52" w:line="360" w:lineRule="auto"/>
        <w:ind w:left="238" w:right="613" w:firstLine="850"/>
        <w:jc w:val="both"/>
      </w:pPr>
      <w:r>
        <w:rPr>
          <w:noProof/>
        </w:rPr>
        <w:drawing>
          <wp:anchor distT="0" distB="0" distL="0" distR="0" simplePos="0" relativeHeight="250782208" behindDoc="1" locked="0" layoutInCell="1" allowOverlap="1" wp14:anchorId="51DE9DCC" wp14:editId="51DE9DCD">
            <wp:simplePos x="0" y="0"/>
            <wp:positionH relativeFrom="page">
              <wp:posOffset>902208</wp:posOffset>
            </wp:positionH>
            <wp:positionV relativeFrom="paragraph">
              <wp:posOffset>80595</wp:posOffset>
            </wp:positionV>
            <wp:extent cx="182879" cy="103631"/>
            <wp:effectExtent l="0" t="0" r="0" b="0"/>
            <wp:wrapNone/>
            <wp:docPr id="171" name="image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94.png"/>
                    <pic:cNvPicPr/>
                  </pic:nvPicPr>
                  <pic:blipFill>
                    <a:blip r:embed="rId177" cstate="print"/>
                    <a:stretch>
                      <a:fillRect/>
                    </a:stretch>
                  </pic:blipFill>
                  <pic:spPr>
                    <a:xfrm>
                      <a:off x="0" y="0"/>
                      <a:ext cx="182879" cy="103631"/>
                    </a:xfrm>
                    <a:prstGeom prst="rect">
                      <a:avLst/>
                    </a:prstGeom>
                  </pic:spPr>
                </pic:pic>
              </a:graphicData>
            </a:graphic>
          </wp:anchor>
        </w:drawing>
      </w:r>
      <w:r>
        <w:t>Where</w:t>
      </w:r>
      <w:r>
        <w:rPr>
          <w:spacing w:val="-6"/>
        </w:rPr>
        <w:t xml:space="preserve"> </w:t>
      </w:r>
      <w:r>
        <w:t>MOFCOM</w:t>
      </w:r>
      <w:r>
        <w:rPr>
          <w:spacing w:val="-6"/>
        </w:rPr>
        <w:t xml:space="preserve"> </w:t>
      </w:r>
      <w:r>
        <w:t>improperly</w:t>
      </w:r>
      <w:r>
        <w:rPr>
          <w:spacing w:val="-4"/>
        </w:rPr>
        <w:t xml:space="preserve"> </w:t>
      </w:r>
      <w:r>
        <w:t>resorted</w:t>
      </w:r>
      <w:r>
        <w:rPr>
          <w:spacing w:val="-7"/>
        </w:rPr>
        <w:t xml:space="preserve"> </w:t>
      </w:r>
      <w:r>
        <w:t>to</w:t>
      </w:r>
      <w:r>
        <w:rPr>
          <w:spacing w:val="-6"/>
        </w:rPr>
        <w:t xml:space="preserve"> </w:t>
      </w:r>
      <w:r>
        <w:t>facts</w:t>
      </w:r>
      <w:r>
        <w:rPr>
          <w:spacing w:val="-6"/>
        </w:rPr>
        <w:t xml:space="preserve"> </w:t>
      </w:r>
      <w:r>
        <w:t>available</w:t>
      </w:r>
      <w:r>
        <w:rPr>
          <w:spacing w:val="-6"/>
        </w:rPr>
        <w:t xml:space="preserve"> </w:t>
      </w:r>
      <w:r>
        <w:t>and</w:t>
      </w:r>
      <w:r>
        <w:rPr>
          <w:spacing w:val="-5"/>
        </w:rPr>
        <w:t xml:space="preserve"> </w:t>
      </w:r>
      <w:r>
        <w:t>for</w:t>
      </w:r>
      <w:r>
        <w:rPr>
          <w:spacing w:val="-6"/>
        </w:rPr>
        <w:t xml:space="preserve"> </w:t>
      </w:r>
      <w:r>
        <w:t>those</w:t>
      </w:r>
      <w:r>
        <w:rPr>
          <w:spacing w:val="-6"/>
        </w:rPr>
        <w:t xml:space="preserve"> </w:t>
      </w:r>
      <w:r>
        <w:t>elements</w:t>
      </w:r>
      <w:r>
        <w:rPr>
          <w:spacing w:val="-7"/>
        </w:rPr>
        <w:t xml:space="preserve"> </w:t>
      </w:r>
      <w:r>
        <w:t>of</w:t>
      </w:r>
      <w:r>
        <w:rPr>
          <w:spacing w:val="-6"/>
        </w:rPr>
        <w:t xml:space="preserve"> </w:t>
      </w:r>
      <w:r>
        <w:t>its dumping determinations that did not involve facts available, MOFCOM's determinations are governed by Article 2 of the Anti‐Dumping Agreement.</w:t>
      </w:r>
    </w:p>
    <w:p w14:paraId="51DE7DA0" w14:textId="77777777" w:rsidR="0010369C" w:rsidRDefault="0010369C">
      <w:pPr>
        <w:pStyle w:val="BodyText"/>
        <w:spacing w:before="11"/>
        <w:rPr>
          <w:sz w:val="8"/>
        </w:rPr>
      </w:pPr>
    </w:p>
    <w:p w14:paraId="51DE7DA1" w14:textId="77777777" w:rsidR="0010369C" w:rsidRDefault="008E43AE">
      <w:pPr>
        <w:pStyle w:val="BodyText"/>
        <w:spacing w:before="51" w:line="360" w:lineRule="auto"/>
        <w:ind w:left="237" w:right="613" w:firstLine="852"/>
        <w:jc w:val="both"/>
      </w:pPr>
      <w:r>
        <w:rPr>
          <w:noProof/>
        </w:rPr>
        <w:drawing>
          <wp:anchor distT="0" distB="0" distL="0" distR="0" simplePos="0" relativeHeight="250783232" behindDoc="1" locked="0" layoutInCell="1" allowOverlap="1" wp14:anchorId="51DE9DCE" wp14:editId="51DE9DCF">
            <wp:simplePos x="0" y="0"/>
            <wp:positionH relativeFrom="page">
              <wp:posOffset>902208</wp:posOffset>
            </wp:positionH>
            <wp:positionV relativeFrom="paragraph">
              <wp:posOffset>79960</wp:posOffset>
            </wp:positionV>
            <wp:extent cx="182879" cy="103631"/>
            <wp:effectExtent l="0" t="0" r="0" b="0"/>
            <wp:wrapNone/>
            <wp:docPr id="173" name="image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95.png"/>
                    <pic:cNvPicPr/>
                  </pic:nvPicPr>
                  <pic:blipFill>
                    <a:blip r:embed="rId178" cstate="print"/>
                    <a:stretch>
                      <a:fillRect/>
                    </a:stretch>
                  </pic:blipFill>
                  <pic:spPr>
                    <a:xfrm>
                      <a:off x="0" y="0"/>
                      <a:ext cx="182879" cy="103631"/>
                    </a:xfrm>
                    <a:prstGeom prst="rect">
                      <a:avLst/>
                    </a:prstGeom>
                  </pic:spPr>
                </pic:pic>
              </a:graphicData>
            </a:graphic>
          </wp:anchor>
        </w:drawing>
      </w:r>
      <w:r>
        <w:t>Article 2 of the Anti‐Dumping Agreement covers the determination of dumping. It imposes multiple obligations over the relevant components that are considered by an investigating</w:t>
      </w:r>
      <w:r>
        <w:rPr>
          <w:spacing w:val="-6"/>
        </w:rPr>
        <w:t xml:space="preserve"> </w:t>
      </w:r>
      <w:r>
        <w:t>authority</w:t>
      </w:r>
      <w:r>
        <w:rPr>
          <w:spacing w:val="-9"/>
        </w:rPr>
        <w:t xml:space="preserve"> </w:t>
      </w:r>
      <w:r>
        <w:t>when</w:t>
      </w:r>
      <w:r>
        <w:rPr>
          <w:spacing w:val="-8"/>
        </w:rPr>
        <w:t xml:space="preserve"> </w:t>
      </w:r>
      <w:r>
        <w:t>determining</w:t>
      </w:r>
      <w:r>
        <w:rPr>
          <w:spacing w:val="-7"/>
        </w:rPr>
        <w:t xml:space="preserve"> </w:t>
      </w:r>
      <w:r>
        <w:t>the</w:t>
      </w:r>
      <w:r>
        <w:rPr>
          <w:spacing w:val="-7"/>
        </w:rPr>
        <w:t xml:space="preserve"> </w:t>
      </w:r>
      <w:r>
        <w:t>existence</w:t>
      </w:r>
      <w:r>
        <w:rPr>
          <w:spacing w:val="-7"/>
        </w:rPr>
        <w:t xml:space="preserve"> </w:t>
      </w:r>
      <w:r>
        <w:t>of</w:t>
      </w:r>
      <w:r>
        <w:rPr>
          <w:spacing w:val="-7"/>
        </w:rPr>
        <w:t xml:space="preserve"> </w:t>
      </w:r>
      <w:r>
        <w:t>dumping</w:t>
      </w:r>
      <w:r>
        <w:rPr>
          <w:spacing w:val="-7"/>
        </w:rPr>
        <w:t xml:space="preserve"> </w:t>
      </w:r>
      <w:r>
        <w:t>and</w:t>
      </w:r>
      <w:r>
        <w:rPr>
          <w:spacing w:val="-7"/>
        </w:rPr>
        <w:t xml:space="preserve"> </w:t>
      </w:r>
      <w:r>
        <w:t>the</w:t>
      </w:r>
      <w:r>
        <w:rPr>
          <w:spacing w:val="-7"/>
        </w:rPr>
        <w:t xml:space="preserve"> </w:t>
      </w:r>
      <w:r>
        <w:t>calculation</w:t>
      </w:r>
      <w:r>
        <w:rPr>
          <w:spacing w:val="-6"/>
        </w:rPr>
        <w:t xml:space="preserve"> </w:t>
      </w:r>
      <w:r>
        <w:t>of</w:t>
      </w:r>
      <w:r>
        <w:rPr>
          <w:spacing w:val="-7"/>
        </w:rPr>
        <w:t xml:space="preserve"> </w:t>
      </w:r>
      <w:r>
        <w:t>the</w:t>
      </w:r>
      <w:r>
        <w:t xml:space="preserve"> dumping </w:t>
      </w:r>
      <w:hyperlink r:id="rId179">
        <w:r>
          <w:t>margins.</w:t>
        </w:r>
        <w:r>
          <w:rPr>
            <w:vertAlign w:val="superscript"/>
          </w:rPr>
          <w:t>94</w:t>
        </w:r>
      </w:hyperlink>
    </w:p>
    <w:p w14:paraId="51DE7DA2" w14:textId="77777777" w:rsidR="0010369C" w:rsidRDefault="0010369C">
      <w:pPr>
        <w:pStyle w:val="BodyText"/>
        <w:rPr>
          <w:sz w:val="20"/>
        </w:rPr>
      </w:pPr>
    </w:p>
    <w:p w14:paraId="51DE7DA3" w14:textId="77777777" w:rsidR="0010369C" w:rsidRDefault="008E43AE">
      <w:pPr>
        <w:pStyle w:val="BodyText"/>
        <w:spacing w:before="5"/>
        <w:rPr>
          <w:sz w:val="10"/>
        </w:rPr>
      </w:pPr>
      <w:r>
        <w:pict w14:anchorId="51DE9DD0">
          <v:rect id="docshape94" o:spid="_x0000_s3170" style="position:absolute;margin-left:70.9pt;margin-top:7.6pt;width:2in;height:.8pt;z-index:-251241984;mso-wrap-distance-left:0;mso-wrap-distance-right:0;mso-position-horizontal-relative:page" fillcolor="black" stroked="f">
            <w10:wrap type="topAndBottom" anchorx="page"/>
          </v:rect>
        </w:pict>
      </w:r>
    </w:p>
    <w:p w14:paraId="51DE7DA4" w14:textId="77777777" w:rsidR="0010369C" w:rsidRDefault="008E43AE">
      <w:pPr>
        <w:spacing w:before="109"/>
        <w:ind w:left="238"/>
        <w:rPr>
          <w:sz w:val="18"/>
        </w:rPr>
      </w:pPr>
      <w:r>
        <w:rPr>
          <w:sz w:val="18"/>
          <w:vertAlign w:val="superscript"/>
        </w:rPr>
        <w:t>89</w:t>
      </w:r>
      <w:r>
        <w:rPr>
          <w:spacing w:val="-7"/>
          <w:sz w:val="18"/>
        </w:rPr>
        <w:t xml:space="preserve"> </w:t>
      </w:r>
      <w:r>
        <w:rPr>
          <w:sz w:val="18"/>
        </w:rPr>
        <w:t>Appellate</w:t>
      </w:r>
      <w:r>
        <w:rPr>
          <w:spacing w:val="-6"/>
          <w:sz w:val="18"/>
        </w:rPr>
        <w:t xml:space="preserve"> </w:t>
      </w:r>
      <w:r>
        <w:rPr>
          <w:sz w:val="18"/>
        </w:rPr>
        <w:t>Body</w:t>
      </w:r>
      <w:r>
        <w:rPr>
          <w:spacing w:val="-8"/>
          <w:sz w:val="18"/>
        </w:rPr>
        <w:t xml:space="preserve"> </w:t>
      </w:r>
      <w:r>
        <w:rPr>
          <w:sz w:val="18"/>
        </w:rPr>
        <w:t>Report,</w:t>
      </w:r>
      <w:r>
        <w:rPr>
          <w:spacing w:val="-7"/>
          <w:sz w:val="18"/>
        </w:rPr>
        <w:t xml:space="preserve"> </w:t>
      </w:r>
      <w:r>
        <w:rPr>
          <w:i/>
          <w:sz w:val="18"/>
        </w:rPr>
        <w:t>Mexico</w:t>
      </w:r>
      <w:r>
        <w:rPr>
          <w:i/>
          <w:spacing w:val="-6"/>
          <w:sz w:val="18"/>
        </w:rPr>
        <w:t xml:space="preserve"> </w:t>
      </w:r>
      <w:r>
        <w:rPr>
          <w:i/>
          <w:sz w:val="18"/>
        </w:rPr>
        <w:t>–</w:t>
      </w:r>
      <w:r>
        <w:rPr>
          <w:i/>
          <w:spacing w:val="-7"/>
          <w:sz w:val="18"/>
        </w:rPr>
        <w:t xml:space="preserve"> </w:t>
      </w:r>
      <w:r>
        <w:rPr>
          <w:i/>
          <w:sz w:val="18"/>
        </w:rPr>
        <w:t>Anti‐Dumping</w:t>
      </w:r>
      <w:r>
        <w:rPr>
          <w:i/>
          <w:spacing w:val="-5"/>
          <w:sz w:val="18"/>
        </w:rPr>
        <w:t xml:space="preserve"> </w:t>
      </w:r>
      <w:r>
        <w:rPr>
          <w:i/>
          <w:sz w:val="18"/>
        </w:rPr>
        <w:t>Measures</w:t>
      </w:r>
      <w:r>
        <w:rPr>
          <w:i/>
          <w:spacing w:val="-7"/>
          <w:sz w:val="18"/>
        </w:rPr>
        <w:t xml:space="preserve"> </w:t>
      </w:r>
      <w:r>
        <w:rPr>
          <w:i/>
          <w:sz w:val="18"/>
        </w:rPr>
        <w:t>on</w:t>
      </w:r>
      <w:r>
        <w:rPr>
          <w:i/>
          <w:spacing w:val="-7"/>
          <w:sz w:val="18"/>
        </w:rPr>
        <w:t xml:space="preserve"> </w:t>
      </w:r>
      <w:r>
        <w:rPr>
          <w:i/>
          <w:sz w:val="18"/>
        </w:rPr>
        <w:t>Rice</w:t>
      </w:r>
      <w:r>
        <w:rPr>
          <w:sz w:val="18"/>
        </w:rPr>
        <w:t>,</w:t>
      </w:r>
      <w:r>
        <w:rPr>
          <w:spacing w:val="-7"/>
          <w:sz w:val="18"/>
        </w:rPr>
        <w:t xml:space="preserve"> </w:t>
      </w:r>
      <w:r>
        <w:rPr>
          <w:sz w:val="18"/>
        </w:rPr>
        <w:t>para.</w:t>
      </w:r>
      <w:r>
        <w:rPr>
          <w:spacing w:val="-6"/>
          <w:sz w:val="18"/>
        </w:rPr>
        <w:t xml:space="preserve"> </w:t>
      </w:r>
      <w:r>
        <w:rPr>
          <w:spacing w:val="-4"/>
          <w:sz w:val="18"/>
        </w:rPr>
        <w:t>289.</w:t>
      </w:r>
    </w:p>
    <w:p w14:paraId="51DE7DA5" w14:textId="77777777" w:rsidR="0010369C" w:rsidRDefault="008E43AE">
      <w:pPr>
        <w:ind w:left="238" w:right="611"/>
        <w:rPr>
          <w:sz w:val="18"/>
        </w:rPr>
      </w:pPr>
      <w:r>
        <w:rPr>
          <w:sz w:val="18"/>
          <w:vertAlign w:val="superscript"/>
        </w:rPr>
        <w:t>90</w:t>
      </w:r>
      <w:r>
        <w:rPr>
          <w:spacing w:val="-7"/>
          <w:sz w:val="18"/>
        </w:rPr>
        <w:t xml:space="preserve"> </w:t>
      </w:r>
      <w:r>
        <w:rPr>
          <w:sz w:val="18"/>
        </w:rPr>
        <w:t>Panel</w:t>
      </w:r>
      <w:r>
        <w:rPr>
          <w:spacing w:val="-8"/>
          <w:sz w:val="18"/>
        </w:rPr>
        <w:t xml:space="preserve"> </w:t>
      </w:r>
      <w:r>
        <w:rPr>
          <w:sz w:val="18"/>
        </w:rPr>
        <w:t>Report,</w:t>
      </w:r>
      <w:r>
        <w:rPr>
          <w:spacing w:val="-7"/>
          <w:sz w:val="18"/>
        </w:rPr>
        <w:t xml:space="preserve"> </w:t>
      </w:r>
      <w:r>
        <w:rPr>
          <w:i/>
          <w:sz w:val="18"/>
        </w:rPr>
        <w:t>Canada</w:t>
      </w:r>
      <w:r>
        <w:rPr>
          <w:i/>
          <w:spacing w:val="-7"/>
          <w:sz w:val="18"/>
        </w:rPr>
        <w:t xml:space="preserve"> </w:t>
      </w:r>
      <w:r>
        <w:rPr>
          <w:i/>
          <w:sz w:val="18"/>
        </w:rPr>
        <w:t>–</w:t>
      </w:r>
      <w:r>
        <w:rPr>
          <w:i/>
          <w:spacing w:val="-7"/>
          <w:sz w:val="18"/>
        </w:rPr>
        <w:t xml:space="preserve"> </w:t>
      </w:r>
      <w:r>
        <w:rPr>
          <w:i/>
          <w:sz w:val="18"/>
        </w:rPr>
        <w:t>Welded</w:t>
      </w:r>
      <w:r>
        <w:rPr>
          <w:i/>
          <w:spacing w:val="-9"/>
          <w:sz w:val="18"/>
        </w:rPr>
        <w:t xml:space="preserve"> </w:t>
      </w:r>
      <w:r>
        <w:rPr>
          <w:i/>
          <w:sz w:val="18"/>
        </w:rPr>
        <w:t>Pipe</w:t>
      </w:r>
      <w:r>
        <w:rPr>
          <w:sz w:val="18"/>
        </w:rPr>
        <w:t>,</w:t>
      </w:r>
      <w:r>
        <w:rPr>
          <w:spacing w:val="-8"/>
          <w:sz w:val="18"/>
        </w:rPr>
        <w:t xml:space="preserve"> </w:t>
      </w:r>
      <w:r>
        <w:rPr>
          <w:sz w:val="18"/>
        </w:rPr>
        <w:t>para.</w:t>
      </w:r>
      <w:r>
        <w:rPr>
          <w:spacing w:val="-7"/>
          <w:sz w:val="18"/>
        </w:rPr>
        <w:t xml:space="preserve"> </w:t>
      </w:r>
      <w:r>
        <w:rPr>
          <w:sz w:val="18"/>
        </w:rPr>
        <w:t>7.133,</w:t>
      </w:r>
      <w:r>
        <w:rPr>
          <w:spacing w:val="-8"/>
          <w:sz w:val="18"/>
        </w:rPr>
        <w:t xml:space="preserve"> </w:t>
      </w:r>
      <w:r>
        <w:rPr>
          <w:sz w:val="18"/>
        </w:rPr>
        <w:t>referencing</w:t>
      </w:r>
      <w:r>
        <w:rPr>
          <w:spacing w:val="-7"/>
          <w:sz w:val="18"/>
        </w:rPr>
        <w:t xml:space="preserve"> </w:t>
      </w:r>
      <w:r>
        <w:rPr>
          <w:sz w:val="18"/>
        </w:rPr>
        <w:t>the</w:t>
      </w:r>
      <w:r>
        <w:rPr>
          <w:spacing w:val="-8"/>
          <w:sz w:val="18"/>
        </w:rPr>
        <w:t xml:space="preserve"> </w:t>
      </w:r>
      <w:r>
        <w:rPr>
          <w:sz w:val="18"/>
        </w:rPr>
        <w:t>principles</w:t>
      </w:r>
      <w:r>
        <w:rPr>
          <w:spacing w:val="-6"/>
          <w:sz w:val="18"/>
        </w:rPr>
        <w:t xml:space="preserve"> </w:t>
      </w:r>
      <w:r>
        <w:rPr>
          <w:sz w:val="18"/>
        </w:rPr>
        <w:t>set</w:t>
      </w:r>
      <w:r>
        <w:rPr>
          <w:spacing w:val="-7"/>
          <w:sz w:val="18"/>
        </w:rPr>
        <w:t xml:space="preserve"> </w:t>
      </w:r>
      <w:r>
        <w:rPr>
          <w:sz w:val="18"/>
        </w:rPr>
        <w:t>out</w:t>
      </w:r>
      <w:r>
        <w:rPr>
          <w:spacing w:val="-7"/>
          <w:sz w:val="18"/>
        </w:rPr>
        <w:t xml:space="preserve"> </w:t>
      </w:r>
      <w:r>
        <w:rPr>
          <w:sz w:val="18"/>
        </w:rPr>
        <w:t>in</w:t>
      </w:r>
      <w:r>
        <w:rPr>
          <w:spacing w:val="-7"/>
          <w:sz w:val="18"/>
        </w:rPr>
        <w:t xml:space="preserve"> </w:t>
      </w:r>
      <w:r>
        <w:rPr>
          <w:sz w:val="18"/>
        </w:rPr>
        <w:t>Appellate</w:t>
      </w:r>
      <w:r>
        <w:rPr>
          <w:spacing w:val="-8"/>
          <w:sz w:val="18"/>
        </w:rPr>
        <w:t xml:space="preserve"> </w:t>
      </w:r>
      <w:r>
        <w:rPr>
          <w:sz w:val="18"/>
        </w:rPr>
        <w:t>Body</w:t>
      </w:r>
      <w:r>
        <w:rPr>
          <w:spacing w:val="-7"/>
          <w:sz w:val="18"/>
        </w:rPr>
        <w:t xml:space="preserve"> </w:t>
      </w:r>
      <w:r>
        <w:rPr>
          <w:sz w:val="18"/>
        </w:rPr>
        <w:t>Reports,</w:t>
      </w:r>
      <w:r>
        <w:rPr>
          <w:spacing w:val="-7"/>
          <w:sz w:val="18"/>
        </w:rPr>
        <w:t xml:space="preserve"> </w:t>
      </w:r>
      <w:r>
        <w:rPr>
          <w:i/>
          <w:sz w:val="18"/>
        </w:rPr>
        <w:t>US</w:t>
      </w:r>
      <w:r>
        <w:rPr>
          <w:i/>
          <w:spacing w:val="-7"/>
          <w:sz w:val="18"/>
        </w:rPr>
        <w:t xml:space="preserve"> </w:t>
      </w:r>
      <w:r>
        <w:rPr>
          <w:i/>
          <w:sz w:val="18"/>
        </w:rPr>
        <w:t>–</w:t>
      </w:r>
      <w:r>
        <w:rPr>
          <w:i/>
          <w:spacing w:val="-8"/>
          <w:sz w:val="18"/>
        </w:rPr>
        <w:t xml:space="preserve"> </w:t>
      </w:r>
      <w:r>
        <w:rPr>
          <w:i/>
          <w:sz w:val="18"/>
        </w:rPr>
        <w:t xml:space="preserve">Carbon Steel (India), </w:t>
      </w:r>
      <w:r>
        <w:rPr>
          <w:sz w:val="18"/>
        </w:rPr>
        <w:t xml:space="preserve">paras. 4.421 and 4.424; and </w:t>
      </w:r>
      <w:r>
        <w:rPr>
          <w:i/>
          <w:sz w:val="18"/>
        </w:rPr>
        <w:t xml:space="preserve">US – Countervailing Measures (China), </w:t>
      </w:r>
      <w:r>
        <w:rPr>
          <w:sz w:val="18"/>
        </w:rPr>
        <w:t>para. 4.179.</w:t>
      </w:r>
    </w:p>
    <w:p w14:paraId="51DE7DA6" w14:textId="77777777" w:rsidR="0010369C" w:rsidRDefault="008E43AE">
      <w:pPr>
        <w:spacing w:before="1"/>
        <w:ind w:left="238"/>
        <w:rPr>
          <w:sz w:val="18"/>
        </w:rPr>
      </w:pPr>
      <w:r>
        <w:rPr>
          <w:sz w:val="18"/>
          <w:vertAlign w:val="superscript"/>
        </w:rPr>
        <w:t>91</w:t>
      </w:r>
      <w:r>
        <w:rPr>
          <w:spacing w:val="-8"/>
          <w:sz w:val="18"/>
        </w:rPr>
        <w:t xml:space="preserve"> </w:t>
      </w:r>
      <w:r>
        <w:rPr>
          <w:sz w:val="18"/>
        </w:rPr>
        <w:t>Appellate</w:t>
      </w:r>
      <w:r>
        <w:rPr>
          <w:spacing w:val="-8"/>
          <w:sz w:val="18"/>
        </w:rPr>
        <w:t xml:space="preserve"> </w:t>
      </w:r>
      <w:r>
        <w:rPr>
          <w:sz w:val="18"/>
        </w:rPr>
        <w:t>Body</w:t>
      </w:r>
      <w:r>
        <w:rPr>
          <w:spacing w:val="-9"/>
          <w:sz w:val="18"/>
        </w:rPr>
        <w:t xml:space="preserve"> </w:t>
      </w:r>
      <w:r>
        <w:rPr>
          <w:sz w:val="18"/>
        </w:rPr>
        <w:t>Report,</w:t>
      </w:r>
      <w:r>
        <w:rPr>
          <w:spacing w:val="-8"/>
          <w:sz w:val="18"/>
        </w:rPr>
        <w:t xml:space="preserve"> </w:t>
      </w:r>
      <w:r>
        <w:rPr>
          <w:i/>
          <w:sz w:val="18"/>
        </w:rPr>
        <w:t>US</w:t>
      </w:r>
      <w:r>
        <w:rPr>
          <w:i/>
          <w:spacing w:val="-8"/>
          <w:sz w:val="18"/>
        </w:rPr>
        <w:t xml:space="preserve"> </w:t>
      </w:r>
      <w:r>
        <w:rPr>
          <w:i/>
          <w:sz w:val="18"/>
        </w:rPr>
        <w:t>–</w:t>
      </w:r>
      <w:r>
        <w:rPr>
          <w:i/>
          <w:spacing w:val="-8"/>
          <w:sz w:val="18"/>
        </w:rPr>
        <w:t xml:space="preserve"> </w:t>
      </w:r>
      <w:r>
        <w:rPr>
          <w:i/>
          <w:sz w:val="18"/>
        </w:rPr>
        <w:t>Anti‐Dumping</w:t>
      </w:r>
      <w:r>
        <w:rPr>
          <w:i/>
          <w:spacing w:val="-7"/>
          <w:sz w:val="18"/>
        </w:rPr>
        <w:t xml:space="preserve"> </w:t>
      </w:r>
      <w:r>
        <w:rPr>
          <w:i/>
          <w:sz w:val="18"/>
        </w:rPr>
        <w:t>Methodologies</w:t>
      </w:r>
      <w:r>
        <w:rPr>
          <w:i/>
          <w:spacing w:val="-8"/>
          <w:sz w:val="18"/>
        </w:rPr>
        <w:t xml:space="preserve"> </w:t>
      </w:r>
      <w:r>
        <w:rPr>
          <w:i/>
          <w:sz w:val="18"/>
        </w:rPr>
        <w:t>(China)</w:t>
      </w:r>
      <w:r>
        <w:rPr>
          <w:sz w:val="18"/>
        </w:rPr>
        <w:t>,</w:t>
      </w:r>
      <w:r>
        <w:rPr>
          <w:spacing w:val="-9"/>
          <w:sz w:val="18"/>
        </w:rPr>
        <w:t xml:space="preserve"> </w:t>
      </w:r>
      <w:r>
        <w:rPr>
          <w:sz w:val="18"/>
        </w:rPr>
        <w:t>para.</w:t>
      </w:r>
      <w:r>
        <w:rPr>
          <w:spacing w:val="-7"/>
          <w:sz w:val="18"/>
        </w:rPr>
        <w:t xml:space="preserve"> </w:t>
      </w:r>
      <w:r>
        <w:rPr>
          <w:spacing w:val="-2"/>
          <w:sz w:val="18"/>
        </w:rPr>
        <w:t>5.172.</w:t>
      </w:r>
    </w:p>
    <w:p w14:paraId="51DE7DA7" w14:textId="77777777" w:rsidR="0010369C" w:rsidRDefault="008E43AE">
      <w:pPr>
        <w:ind w:left="238" w:right="5486"/>
        <w:jc w:val="both"/>
        <w:rPr>
          <w:sz w:val="18"/>
        </w:rPr>
      </w:pPr>
      <w:r>
        <w:rPr>
          <w:sz w:val="18"/>
          <w:vertAlign w:val="superscript"/>
        </w:rPr>
        <w:t>92</w:t>
      </w:r>
      <w:r>
        <w:rPr>
          <w:spacing w:val="-4"/>
          <w:sz w:val="18"/>
        </w:rPr>
        <w:t xml:space="preserve"> </w:t>
      </w:r>
      <w:r>
        <w:rPr>
          <w:sz w:val="18"/>
        </w:rPr>
        <w:t>See</w:t>
      </w:r>
      <w:r>
        <w:rPr>
          <w:spacing w:val="-5"/>
          <w:sz w:val="18"/>
        </w:rPr>
        <w:t xml:space="preserve"> </w:t>
      </w:r>
      <w:r>
        <w:rPr>
          <w:sz w:val="18"/>
        </w:rPr>
        <w:t>Panel</w:t>
      </w:r>
      <w:r>
        <w:rPr>
          <w:spacing w:val="-5"/>
          <w:sz w:val="18"/>
        </w:rPr>
        <w:t xml:space="preserve"> </w:t>
      </w:r>
      <w:r>
        <w:rPr>
          <w:sz w:val="18"/>
        </w:rPr>
        <w:t>Report,</w:t>
      </w:r>
      <w:r>
        <w:rPr>
          <w:spacing w:val="-4"/>
          <w:sz w:val="18"/>
        </w:rPr>
        <w:t xml:space="preserve"> </w:t>
      </w:r>
      <w:r>
        <w:rPr>
          <w:i/>
          <w:sz w:val="18"/>
        </w:rPr>
        <w:t>China</w:t>
      </w:r>
      <w:r>
        <w:rPr>
          <w:i/>
          <w:spacing w:val="-4"/>
          <w:sz w:val="18"/>
        </w:rPr>
        <w:t xml:space="preserve"> </w:t>
      </w:r>
      <w:r>
        <w:rPr>
          <w:i/>
          <w:sz w:val="18"/>
        </w:rPr>
        <w:t>–</w:t>
      </w:r>
      <w:r>
        <w:rPr>
          <w:i/>
          <w:spacing w:val="-4"/>
          <w:sz w:val="18"/>
        </w:rPr>
        <w:t xml:space="preserve"> </w:t>
      </w:r>
      <w:r>
        <w:rPr>
          <w:i/>
          <w:sz w:val="18"/>
        </w:rPr>
        <w:t>Broiler</w:t>
      </w:r>
      <w:r>
        <w:rPr>
          <w:i/>
          <w:spacing w:val="-3"/>
          <w:sz w:val="18"/>
        </w:rPr>
        <w:t xml:space="preserve"> </w:t>
      </w:r>
      <w:r>
        <w:rPr>
          <w:i/>
          <w:sz w:val="18"/>
        </w:rPr>
        <w:t>Products</w:t>
      </w:r>
      <w:r>
        <w:rPr>
          <w:sz w:val="18"/>
        </w:rPr>
        <w:t>,</w:t>
      </w:r>
      <w:r>
        <w:rPr>
          <w:spacing w:val="-5"/>
          <w:sz w:val="18"/>
        </w:rPr>
        <w:t xml:space="preserve"> </w:t>
      </w:r>
      <w:r>
        <w:rPr>
          <w:sz w:val="18"/>
        </w:rPr>
        <w:t>para.</w:t>
      </w:r>
      <w:r>
        <w:rPr>
          <w:spacing w:val="-3"/>
          <w:sz w:val="18"/>
        </w:rPr>
        <w:t xml:space="preserve"> </w:t>
      </w:r>
      <w:r>
        <w:rPr>
          <w:sz w:val="18"/>
        </w:rPr>
        <w:t xml:space="preserve">7.312. </w:t>
      </w:r>
      <w:r>
        <w:rPr>
          <w:sz w:val="18"/>
          <w:vertAlign w:val="superscript"/>
        </w:rPr>
        <w:t>93</w:t>
      </w:r>
      <w:r>
        <w:rPr>
          <w:sz w:val="18"/>
        </w:rPr>
        <w:t xml:space="preserve"> Appellate Body</w:t>
      </w:r>
      <w:r>
        <w:rPr>
          <w:spacing w:val="-2"/>
          <w:sz w:val="18"/>
        </w:rPr>
        <w:t xml:space="preserve"> </w:t>
      </w:r>
      <w:r>
        <w:rPr>
          <w:sz w:val="18"/>
        </w:rPr>
        <w:t xml:space="preserve">Report, </w:t>
      </w:r>
      <w:r>
        <w:rPr>
          <w:i/>
          <w:sz w:val="18"/>
        </w:rPr>
        <w:t>US – Hot‐Rolled Steel</w:t>
      </w:r>
      <w:r>
        <w:rPr>
          <w:sz w:val="18"/>
        </w:rPr>
        <w:t>,</w:t>
      </w:r>
      <w:r>
        <w:rPr>
          <w:spacing w:val="-1"/>
          <w:sz w:val="18"/>
        </w:rPr>
        <w:t xml:space="preserve"> </w:t>
      </w:r>
      <w:r>
        <w:rPr>
          <w:sz w:val="18"/>
        </w:rPr>
        <w:t xml:space="preserve">para. 99. </w:t>
      </w:r>
      <w:r>
        <w:rPr>
          <w:sz w:val="18"/>
          <w:vertAlign w:val="superscript"/>
        </w:rPr>
        <w:t>94</w:t>
      </w:r>
      <w:r>
        <w:rPr>
          <w:sz w:val="18"/>
        </w:rPr>
        <w:t xml:space="preserve"> Panel Report, </w:t>
      </w:r>
      <w:r>
        <w:rPr>
          <w:i/>
          <w:sz w:val="18"/>
        </w:rPr>
        <w:t>Thailand – H‐Beams</w:t>
      </w:r>
      <w:r>
        <w:rPr>
          <w:sz w:val="18"/>
        </w:rPr>
        <w:t>, para. 7.35.</w:t>
      </w:r>
    </w:p>
    <w:p w14:paraId="51DE7DA8" w14:textId="77777777" w:rsidR="0010369C" w:rsidRDefault="0010369C">
      <w:pPr>
        <w:jc w:val="both"/>
        <w:rPr>
          <w:sz w:val="18"/>
        </w:rPr>
        <w:sectPr w:rsidR="0010369C">
          <w:pgSz w:w="11910" w:h="16840"/>
          <w:pgMar w:top="880" w:right="800" w:bottom="980" w:left="1180" w:header="569" w:footer="788" w:gutter="0"/>
          <w:cols w:space="720"/>
        </w:sectPr>
      </w:pPr>
    </w:p>
    <w:p w14:paraId="51DE7DA9" w14:textId="77777777" w:rsidR="0010369C" w:rsidRDefault="008E43AE">
      <w:pPr>
        <w:tabs>
          <w:tab w:val="left" w:pos="6426"/>
        </w:tabs>
        <w:ind w:left="238"/>
        <w:rPr>
          <w:sz w:val="20"/>
        </w:rPr>
      </w:pPr>
      <w:r>
        <w:rPr>
          <w:i/>
          <w:sz w:val="20"/>
        </w:rPr>
        <w:lastRenderedPageBreak/>
        <w:t>China</w:t>
      </w:r>
      <w:r>
        <w:rPr>
          <w:i/>
          <w:spacing w:val="-5"/>
          <w:sz w:val="20"/>
        </w:rPr>
        <w:t xml:space="preserve"> </w:t>
      </w:r>
      <w:r>
        <w:rPr>
          <w:i/>
          <w:sz w:val="20"/>
        </w:rPr>
        <w:t>–</w:t>
      </w:r>
      <w:r>
        <w:rPr>
          <w:i/>
          <w:spacing w:val="-5"/>
          <w:sz w:val="20"/>
        </w:rPr>
        <w:t xml:space="preserve"> </w:t>
      </w:r>
      <w:r>
        <w:rPr>
          <w:i/>
          <w:sz w:val="20"/>
        </w:rPr>
        <w:t>Anti‐Dumping</w:t>
      </w:r>
      <w:r>
        <w:rPr>
          <w:i/>
          <w:spacing w:val="-4"/>
          <w:sz w:val="20"/>
        </w:rPr>
        <w:t xml:space="preserve"> </w:t>
      </w:r>
      <w:r>
        <w:rPr>
          <w:i/>
          <w:sz w:val="20"/>
        </w:rPr>
        <w:t>and</w:t>
      </w:r>
      <w:r>
        <w:rPr>
          <w:i/>
          <w:spacing w:val="-5"/>
          <w:sz w:val="20"/>
        </w:rPr>
        <w:t xml:space="preserve"> </w:t>
      </w:r>
      <w:r>
        <w:rPr>
          <w:i/>
          <w:sz w:val="20"/>
        </w:rPr>
        <w:t>Countervailing</w:t>
      </w:r>
      <w:r>
        <w:rPr>
          <w:i/>
          <w:spacing w:val="-5"/>
          <w:sz w:val="20"/>
        </w:rPr>
        <w:t xml:space="preserve"> </w:t>
      </w:r>
      <w:r>
        <w:rPr>
          <w:i/>
          <w:sz w:val="20"/>
        </w:rPr>
        <w:t>Duty</w:t>
      </w:r>
      <w:r>
        <w:rPr>
          <w:i/>
          <w:spacing w:val="-4"/>
          <w:sz w:val="20"/>
        </w:rPr>
        <w:t xml:space="preserve"> </w:t>
      </w:r>
      <w:r>
        <w:rPr>
          <w:i/>
          <w:spacing w:val="-2"/>
          <w:sz w:val="20"/>
        </w:rPr>
        <w:t>Measures</w:t>
      </w:r>
      <w:r>
        <w:rPr>
          <w:i/>
          <w:sz w:val="20"/>
        </w:rPr>
        <w:tab/>
      </w:r>
      <w:r>
        <w:rPr>
          <w:sz w:val="20"/>
        </w:rPr>
        <w:t>Australia's</w:t>
      </w:r>
      <w:r>
        <w:rPr>
          <w:spacing w:val="-7"/>
          <w:sz w:val="20"/>
        </w:rPr>
        <w:t xml:space="preserve"> </w:t>
      </w:r>
      <w:r>
        <w:rPr>
          <w:sz w:val="20"/>
        </w:rPr>
        <w:t>First</w:t>
      </w:r>
      <w:r>
        <w:rPr>
          <w:spacing w:val="-2"/>
          <w:sz w:val="20"/>
        </w:rPr>
        <w:t xml:space="preserve"> </w:t>
      </w:r>
      <w:r>
        <w:rPr>
          <w:sz w:val="20"/>
        </w:rPr>
        <w:t>Written</w:t>
      </w:r>
      <w:r>
        <w:rPr>
          <w:spacing w:val="-2"/>
          <w:sz w:val="20"/>
        </w:rPr>
        <w:t xml:space="preserve"> Submission</w:t>
      </w:r>
    </w:p>
    <w:p w14:paraId="51DE7DAA" w14:textId="77777777" w:rsidR="0010369C" w:rsidRDefault="008E43AE">
      <w:pPr>
        <w:tabs>
          <w:tab w:val="left" w:pos="8228"/>
        </w:tabs>
        <w:spacing w:before="1"/>
        <w:ind w:left="239"/>
        <w:rPr>
          <w:sz w:val="20"/>
        </w:rPr>
      </w:pPr>
      <w:r>
        <w:rPr>
          <w:i/>
          <w:sz w:val="20"/>
        </w:rPr>
        <w:t>on</w:t>
      </w:r>
      <w:r>
        <w:rPr>
          <w:i/>
          <w:spacing w:val="-1"/>
          <w:sz w:val="20"/>
        </w:rPr>
        <w:t xml:space="preserve"> </w:t>
      </w:r>
      <w:r>
        <w:rPr>
          <w:i/>
          <w:sz w:val="20"/>
        </w:rPr>
        <w:t>Wine</w:t>
      </w:r>
      <w:r>
        <w:rPr>
          <w:i/>
          <w:spacing w:val="-1"/>
          <w:sz w:val="20"/>
        </w:rPr>
        <w:t xml:space="preserve"> </w:t>
      </w:r>
      <w:r>
        <w:rPr>
          <w:i/>
          <w:sz w:val="20"/>
        </w:rPr>
        <w:t>from</w:t>
      </w:r>
      <w:r>
        <w:rPr>
          <w:i/>
          <w:spacing w:val="-3"/>
          <w:sz w:val="20"/>
        </w:rPr>
        <w:t xml:space="preserve"> </w:t>
      </w:r>
      <w:r>
        <w:rPr>
          <w:i/>
          <w:sz w:val="20"/>
        </w:rPr>
        <w:t>Australia</w:t>
      </w:r>
      <w:r>
        <w:rPr>
          <w:i/>
          <w:spacing w:val="-1"/>
          <w:sz w:val="20"/>
        </w:rPr>
        <w:t xml:space="preserve"> </w:t>
      </w:r>
      <w:r>
        <w:rPr>
          <w:spacing w:val="-2"/>
          <w:sz w:val="20"/>
        </w:rPr>
        <w:t>(DS602)</w:t>
      </w:r>
      <w:r>
        <w:rPr>
          <w:sz w:val="20"/>
        </w:rPr>
        <w:tab/>
        <w:t>29</w:t>
      </w:r>
      <w:r>
        <w:rPr>
          <w:spacing w:val="-1"/>
          <w:sz w:val="20"/>
        </w:rPr>
        <w:t xml:space="preserve"> </w:t>
      </w:r>
      <w:r>
        <w:rPr>
          <w:sz w:val="20"/>
        </w:rPr>
        <w:t>April</w:t>
      </w:r>
      <w:r>
        <w:rPr>
          <w:spacing w:val="-2"/>
          <w:sz w:val="20"/>
        </w:rPr>
        <w:t xml:space="preserve"> </w:t>
      </w:r>
      <w:r>
        <w:rPr>
          <w:spacing w:val="-4"/>
          <w:sz w:val="20"/>
        </w:rPr>
        <w:t>2022</w:t>
      </w:r>
    </w:p>
    <w:p w14:paraId="51DE7DAB" w14:textId="77777777" w:rsidR="0010369C" w:rsidRDefault="008E43AE">
      <w:pPr>
        <w:pStyle w:val="ListParagraph"/>
        <w:numPr>
          <w:ilvl w:val="3"/>
          <w:numId w:val="75"/>
        </w:numPr>
        <w:tabs>
          <w:tab w:val="left" w:pos="3642"/>
          <w:tab w:val="left" w:pos="3643"/>
        </w:tabs>
        <w:spacing w:before="35"/>
        <w:ind w:hanging="853"/>
        <w:rPr>
          <w:sz w:val="24"/>
        </w:rPr>
      </w:pPr>
      <w:r>
        <w:rPr>
          <w:sz w:val="24"/>
          <w:u w:val="single"/>
        </w:rPr>
        <w:t>Article</w:t>
      </w:r>
      <w:r>
        <w:rPr>
          <w:spacing w:val="-7"/>
          <w:sz w:val="24"/>
          <w:u w:val="single"/>
        </w:rPr>
        <w:t xml:space="preserve"> </w:t>
      </w:r>
      <w:r>
        <w:rPr>
          <w:sz w:val="24"/>
          <w:u w:val="single"/>
        </w:rPr>
        <w:t>2.1</w:t>
      </w:r>
      <w:r>
        <w:rPr>
          <w:spacing w:val="-7"/>
          <w:sz w:val="24"/>
          <w:u w:val="single"/>
        </w:rPr>
        <w:t xml:space="preserve"> </w:t>
      </w:r>
      <w:r>
        <w:rPr>
          <w:sz w:val="24"/>
          <w:u w:val="single"/>
        </w:rPr>
        <w:t>Definition</w:t>
      </w:r>
      <w:r>
        <w:rPr>
          <w:spacing w:val="-6"/>
          <w:sz w:val="24"/>
          <w:u w:val="single"/>
        </w:rPr>
        <w:t xml:space="preserve"> </w:t>
      </w:r>
      <w:r>
        <w:rPr>
          <w:sz w:val="24"/>
          <w:u w:val="single"/>
        </w:rPr>
        <w:t>of</w:t>
      </w:r>
      <w:r>
        <w:rPr>
          <w:spacing w:val="-8"/>
          <w:sz w:val="24"/>
          <w:u w:val="single"/>
        </w:rPr>
        <w:t xml:space="preserve"> </w:t>
      </w:r>
      <w:r>
        <w:rPr>
          <w:spacing w:val="-2"/>
          <w:sz w:val="24"/>
          <w:u w:val="single"/>
        </w:rPr>
        <w:t>Dumping</w:t>
      </w:r>
    </w:p>
    <w:p w14:paraId="51DE7DAC" w14:textId="77777777" w:rsidR="0010369C" w:rsidRDefault="0010369C">
      <w:pPr>
        <w:pStyle w:val="BodyText"/>
        <w:spacing w:before="9"/>
        <w:rPr>
          <w:sz w:val="20"/>
        </w:rPr>
      </w:pPr>
    </w:p>
    <w:p w14:paraId="51DE7DAD" w14:textId="77777777" w:rsidR="0010369C" w:rsidRDefault="008E43AE">
      <w:pPr>
        <w:pStyle w:val="BodyText"/>
        <w:spacing w:before="52" w:line="360" w:lineRule="auto"/>
        <w:ind w:left="237" w:right="613" w:firstLine="851"/>
        <w:jc w:val="both"/>
      </w:pPr>
      <w:r>
        <w:rPr>
          <w:noProof/>
        </w:rPr>
        <w:drawing>
          <wp:anchor distT="0" distB="0" distL="0" distR="0" simplePos="0" relativeHeight="250784256" behindDoc="1" locked="0" layoutInCell="1" allowOverlap="1" wp14:anchorId="51DE9DD1" wp14:editId="51DE9DD2">
            <wp:simplePos x="0" y="0"/>
            <wp:positionH relativeFrom="page">
              <wp:posOffset>902208</wp:posOffset>
            </wp:positionH>
            <wp:positionV relativeFrom="paragraph">
              <wp:posOffset>81357</wp:posOffset>
            </wp:positionV>
            <wp:extent cx="182879" cy="103631"/>
            <wp:effectExtent l="0" t="0" r="0" b="0"/>
            <wp:wrapNone/>
            <wp:docPr id="175" name="image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96.png"/>
                    <pic:cNvPicPr/>
                  </pic:nvPicPr>
                  <pic:blipFill>
                    <a:blip r:embed="rId180" cstate="print"/>
                    <a:stretch>
                      <a:fillRect/>
                    </a:stretch>
                  </pic:blipFill>
                  <pic:spPr>
                    <a:xfrm>
                      <a:off x="0" y="0"/>
                      <a:ext cx="182879" cy="103631"/>
                    </a:xfrm>
                    <a:prstGeom prst="rect">
                      <a:avLst/>
                    </a:prstGeom>
                  </pic:spPr>
                </pic:pic>
              </a:graphicData>
            </a:graphic>
          </wp:anchor>
        </w:drawing>
      </w:r>
      <w:r>
        <w:t>Article 2.1</w:t>
      </w:r>
      <w:r>
        <w:rPr>
          <w:spacing w:val="-1"/>
        </w:rPr>
        <w:t xml:space="preserve"> </w:t>
      </w:r>
      <w:r>
        <w:t>is a definitional provision that is</w:t>
      </w:r>
      <w:r>
        <w:rPr>
          <w:spacing w:val="-1"/>
        </w:rPr>
        <w:t xml:space="preserve"> </w:t>
      </w:r>
      <w:r>
        <w:t>central</w:t>
      </w:r>
      <w:r>
        <w:rPr>
          <w:spacing w:val="-1"/>
        </w:rPr>
        <w:t xml:space="preserve"> </w:t>
      </w:r>
      <w:r>
        <w:t>to the interpretation</w:t>
      </w:r>
      <w:r>
        <w:rPr>
          <w:spacing w:val="-1"/>
        </w:rPr>
        <w:t xml:space="preserve"> </w:t>
      </w:r>
      <w:r>
        <w:t>of the other provisions</w:t>
      </w:r>
      <w:r>
        <w:rPr>
          <w:spacing w:val="-4"/>
        </w:rPr>
        <w:t xml:space="preserve"> </w:t>
      </w:r>
      <w:r>
        <w:t>in</w:t>
      </w:r>
      <w:r>
        <w:rPr>
          <w:spacing w:val="-6"/>
        </w:rPr>
        <w:t xml:space="preserve"> </w:t>
      </w:r>
      <w:r>
        <w:t>the</w:t>
      </w:r>
      <w:r>
        <w:rPr>
          <w:spacing w:val="-4"/>
        </w:rPr>
        <w:t xml:space="preserve"> </w:t>
      </w:r>
      <w:r>
        <w:t>Anti‐Dumping</w:t>
      </w:r>
      <w:r>
        <w:rPr>
          <w:spacing w:val="-5"/>
        </w:rPr>
        <w:t xml:space="preserve"> </w:t>
      </w:r>
      <w:r>
        <w:t>Agreement</w:t>
      </w:r>
      <w:r>
        <w:rPr>
          <w:spacing w:val="-7"/>
        </w:rPr>
        <w:t xml:space="preserve"> </w:t>
      </w:r>
      <w:r>
        <w:t>relating</w:t>
      </w:r>
      <w:r>
        <w:rPr>
          <w:spacing w:val="-5"/>
        </w:rPr>
        <w:t xml:space="preserve"> </w:t>
      </w:r>
      <w:r>
        <w:t>to,</w:t>
      </w:r>
      <w:r>
        <w:rPr>
          <w:spacing w:val="-5"/>
        </w:rPr>
        <w:t xml:space="preserve"> </w:t>
      </w:r>
      <w:r>
        <w:rPr>
          <w:i/>
        </w:rPr>
        <w:t>inter</w:t>
      </w:r>
      <w:r>
        <w:rPr>
          <w:i/>
          <w:spacing w:val="-6"/>
        </w:rPr>
        <w:t xml:space="preserve"> </w:t>
      </w:r>
      <w:r>
        <w:rPr>
          <w:i/>
        </w:rPr>
        <w:t>alia</w:t>
      </w:r>
      <w:r>
        <w:t>,</w:t>
      </w:r>
      <w:r>
        <w:rPr>
          <w:spacing w:val="-5"/>
        </w:rPr>
        <w:t xml:space="preserve"> </w:t>
      </w:r>
      <w:r>
        <w:t>the</w:t>
      </w:r>
      <w:r>
        <w:rPr>
          <w:spacing w:val="-6"/>
        </w:rPr>
        <w:t xml:space="preserve"> </w:t>
      </w:r>
      <w:r>
        <w:t>calculation</w:t>
      </w:r>
      <w:r>
        <w:rPr>
          <w:spacing w:val="-6"/>
        </w:rPr>
        <w:t xml:space="preserve"> </w:t>
      </w:r>
      <w:r>
        <w:t>of</w:t>
      </w:r>
      <w:r>
        <w:rPr>
          <w:spacing w:val="-5"/>
        </w:rPr>
        <w:t xml:space="preserve"> </w:t>
      </w:r>
      <w:r>
        <w:t>margins</w:t>
      </w:r>
      <w:r>
        <w:rPr>
          <w:spacing w:val="-6"/>
        </w:rPr>
        <w:t xml:space="preserve"> </w:t>
      </w:r>
      <w:r>
        <w:t>of dumping,</w:t>
      </w:r>
      <w:r>
        <w:rPr>
          <w:spacing w:val="-7"/>
        </w:rPr>
        <w:t xml:space="preserve"> </w:t>
      </w:r>
      <w:r>
        <w:t>volume</w:t>
      </w:r>
      <w:r>
        <w:rPr>
          <w:spacing w:val="-8"/>
        </w:rPr>
        <w:t xml:space="preserve"> </w:t>
      </w:r>
      <w:r>
        <w:t>of</w:t>
      </w:r>
      <w:r>
        <w:rPr>
          <w:spacing w:val="-8"/>
        </w:rPr>
        <w:t xml:space="preserve"> </w:t>
      </w:r>
      <w:r>
        <w:t>dumped</w:t>
      </w:r>
      <w:r>
        <w:rPr>
          <w:spacing w:val="-7"/>
        </w:rPr>
        <w:t xml:space="preserve"> </w:t>
      </w:r>
      <w:r>
        <w:t>imports,</w:t>
      </w:r>
      <w:r>
        <w:rPr>
          <w:spacing w:val="-6"/>
        </w:rPr>
        <w:t xml:space="preserve"> </w:t>
      </w:r>
      <w:r>
        <w:t>and</w:t>
      </w:r>
      <w:r>
        <w:rPr>
          <w:spacing w:val="-8"/>
        </w:rPr>
        <w:t xml:space="preserve"> </w:t>
      </w:r>
      <w:r>
        <w:t>levy</w:t>
      </w:r>
      <w:r>
        <w:rPr>
          <w:spacing w:val="-6"/>
        </w:rPr>
        <w:t xml:space="preserve"> </w:t>
      </w:r>
      <w:r>
        <w:t>of</w:t>
      </w:r>
      <w:r>
        <w:rPr>
          <w:spacing w:val="-8"/>
        </w:rPr>
        <w:t xml:space="preserve"> </w:t>
      </w:r>
      <w:r>
        <w:t>anti‐dumping</w:t>
      </w:r>
      <w:r>
        <w:rPr>
          <w:spacing w:val="-7"/>
        </w:rPr>
        <w:t xml:space="preserve"> </w:t>
      </w:r>
      <w:r>
        <w:t>duties</w:t>
      </w:r>
      <w:r>
        <w:rPr>
          <w:spacing w:val="-7"/>
        </w:rPr>
        <w:t xml:space="preserve"> </w:t>
      </w:r>
      <w:r>
        <w:t>to</w:t>
      </w:r>
      <w:r>
        <w:rPr>
          <w:spacing w:val="-7"/>
        </w:rPr>
        <w:t xml:space="preserve"> </w:t>
      </w:r>
      <w:r>
        <w:t>counteract</w:t>
      </w:r>
      <w:r>
        <w:rPr>
          <w:spacing w:val="-8"/>
        </w:rPr>
        <w:t xml:space="preserve"> </w:t>
      </w:r>
      <w:r>
        <w:t xml:space="preserve">injurious </w:t>
      </w:r>
      <w:hyperlink r:id="rId181">
        <w:r>
          <w:t>dumping.</w:t>
        </w:r>
        <w:r>
          <w:rPr>
            <w:vertAlign w:val="superscript"/>
          </w:rPr>
          <w:t>95</w:t>
        </w:r>
        <w:r>
          <w:t xml:space="preserve"> </w:t>
        </w:r>
      </w:hyperlink>
      <w:r>
        <w:t>It provides that:</w:t>
      </w:r>
    </w:p>
    <w:p w14:paraId="51DE7DAE" w14:textId="77777777" w:rsidR="0010369C" w:rsidRDefault="008E43AE">
      <w:pPr>
        <w:spacing w:before="161"/>
        <w:ind w:left="1088" w:right="614"/>
        <w:jc w:val="both"/>
      </w:pPr>
      <w:r>
        <w:t>For the purpose of this Agreement, a product is to be considered as being dumped, i.e. introduced</w:t>
      </w:r>
      <w:r>
        <w:rPr>
          <w:spacing w:val="-2"/>
        </w:rPr>
        <w:t xml:space="preserve"> </w:t>
      </w:r>
      <w:r>
        <w:t>into</w:t>
      </w:r>
      <w:r>
        <w:rPr>
          <w:spacing w:val="-2"/>
        </w:rPr>
        <w:t xml:space="preserve"> </w:t>
      </w:r>
      <w:r>
        <w:t>the</w:t>
      </w:r>
      <w:r>
        <w:rPr>
          <w:spacing w:val="-2"/>
        </w:rPr>
        <w:t xml:space="preserve"> </w:t>
      </w:r>
      <w:r>
        <w:t>commerce</w:t>
      </w:r>
      <w:r>
        <w:rPr>
          <w:spacing w:val="-3"/>
        </w:rPr>
        <w:t xml:space="preserve"> </w:t>
      </w:r>
      <w:r>
        <w:t>of</w:t>
      </w:r>
      <w:r>
        <w:rPr>
          <w:spacing w:val="-3"/>
        </w:rPr>
        <w:t xml:space="preserve"> </w:t>
      </w:r>
      <w:r>
        <w:t>another</w:t>
      </w:r>
      <w:r>
        <w:rPr>
          <w:spacing w:val="-3"/>
        </w:rPr>
        <w:t xml:space="preserve"> </w:t>
      </w:r>
      <w:r>
        <w:t>country</w:t>
      </w:r>
      <w:r>
        <w:rPr>
          <w:spacing w:val="-3"/>
        </w:rPr>
        <w:t xml:space="preserve"> </w:t>
      </w:r>
      <w:r>
        <w:t>at</w:t>
      </w:r>
      <w:r>
        <w:rPr>
          <w:spacing w:val="-2"/>
        </w:rPr>
        <w:t xml:space="preserve"> </w:t>
      </w:r>
      <w:r>
        <w:t>less</w:t>
      </w:r>
      <w:r>
        <w:rPr>
          <w:spacing w:val="-3"/>
        </w:rPr>
        <w:t xml:space="preserve"> </w:t>
      </w:r>
      <w:r>
        <w:t>than</w:t>
      </w:r>
      <w:r>
        <w:rPr>
          <w:spacing w:val="-4"/>
        </w:rPr>
        <w:t xml:space="preserve"> </w:t>
      </w:r>
      <w:r>
        <w:t>its</w:t>
      </w:r>
      <w:r>
        <w:rPr>
          <w:spacing w:val="-2"/>
        </w:rPr>
        <w:t xml:space="preserve"> </w:t>
      </w:r>
      <w:r>
        <w:t>normal</w:t>
      </w:r>
      <w:r>
        <w:rPr>
          <w:spacing w:val="-2"/>
        </w:rPr>
        <w:t xml:space="preserve"> </w:t>
      </w:r>
      <w:r>
        <w:t>value,</w:t>
      </w:r>
      <w:r>
        <w:rPr>
          <w:spacing w:val="-3"/>
        </w:rPr>
        <w:t xml:space="preserve"> </w:t>
      </w:r>
      <w:r>
        <w:t>if</w:t>
      </w:r>
      <w:r>
        <w:rPr>
          <w:spacing w:val="-3"/>
        </w:rPr>
        <w:t xml:space="preserve"> </w:t>
      </w:r>
      <w:r>
        <w:t>the</w:t>
      </w:r>
      <w:r>
        <w:rPr>
          <w:spacing w:val="-3"/>
        </w:rPr>
        <w:t xml:space="preserve"> </w:t>
      </w:r>
      <w:r>
        <w:t>export price</w:t>
      </w:r>
      <w:r>
        <w:rPr>
          <w:spacing w:val="-7"/>
        </w:rPr>
        <w:t xml:space="preserve"> </w:t>
      </w:r>
      <w:r>
        <w:t>of</w:t>
      </w:r>
      <w:r>
        <w:rPr>
          <w:spacing w:val="-8"/>
        </w:rPr>
        <w:t xml:space="preserve"> </w:t>
      </w:r>
      <w:r>
        <w:t>the</w:t>
      </w:r>
      <w:r>
        <w:rPr>
          <w:spacing w:val="-7"/>
        </w:rPr>
        <w:t xml:space="preserve"> </w:t>
      </w:r>
      <w:r>
        <w:t>product</w:t>
      </w:r>
      <w:r>
        <w:rPr>
          <w:spacing w:val="-8"/>
        </w:rPr>
        <w:t xml:space="preserve"> </w:t>
      </w:r>
      <w:r>
        <w:t>exported</w:t>
      </w:r>
      <w:r>
        <w:rPr>
          <w:spacing w:val="-10"/>
        </w:rPr>
        <w:t xml:space="preserve"> </w:t>
      </w:r>
      <w:r>
        <w:t>from</w:t>
      </w:r>
      <w:r>
        <w:rPr>
          <w:spacing w:val="-8"/>
        </w:rPr>
        <w:t xml:space="preserve"> </w:t>
      </w:r>
      <w:r>
        <w:t>one</w:t>
      </w:r>
      <w:r>
        <w:rPr>
          <w:spacing w:val="-7"/>
        </w:rPr>
        <w:t xml:space="preserve"> </w:t>
      </w:r>
      <w:r>
        <w:t>country</w:t>
      </w:r>
      <w:r>
        <w:rPr>
          <w:spacing w:val="-8"/>
        </w:rPr>
        <w:t xml:space="preserve"> </w:t>
      </w:r>
      <w:r>
        <w:t>to</w:t>
      </w:r>
      <w:r>
        <w:rPr>
          <w:spacing w:val="-8"/>
        </w:rPr>
        <w:t xml:space="preserve"> </w:t>
      </w:r>
      <w:r>
        <w:t>another</w:t>
      </w:r>
      <w:r>
        <w:rPr>
          <w:spacing w:val="-7"/>
        </w:rPr>
        <w:t xml:space="preserve"> </w:t>
      </w:r>
      <w:r>
        <w:t>is</w:t>
      </w:r>
      <w:r>
        <w:rPr>
          <w:spacing w:val="-8"/>
        </w:rPr>
        <w:t xml:space="preserve"> </w:t>
      </w:r>
      <w:r>
        <w:t>less</w:t>
      </w:r>
      <w:r>
        <w:rPr>
          <w:spacing w:val="-8"/>
        </w:rPr>
        <w:t xml:space="preserve"> </w:t>
      </w:r>
      <w:r>
        <w:t>than</w:t>
      </w:r>
      <w:r>
        <w:rPr>
          <w:spacing w:val="-9"/>
        </w:rPr>
        <w:t xml:space="preserve"> </w:t>
      </w:r>
      <w:r>
        <w:t>the</w:t>
      </w:r>
      <w:r>
        <w:rPr>
          <w:spacing w:val="-8"/>
        </w:rPr>
        <w:t xml:space="preserve"> </w:t>
      </w:r>
      <w:r>
        <w:t>comparable</w:t>
      </w:r>
      <w:r>
        <w:rPr>
          <w:spacing w:val="-8"/>
        </w:rPr>
        <w:t xml:space="preserve"> </w:t>
      </w:r>
      <w:r>
        <w:t>price, in the ordinary course of trade, for the like product when destined for consumption in the exporting country.</w:t>
      </w:r>
    </w:p>
    <w:p w14:paraId="51DE7DAF" w14:textId="77777777" w:rsidR="0010369C" w:rsidRDefault="008E43AE">
      <w:pPr>
        <w:pStyle w:val="BodyText"/>
        <w:spacing w:before="160" w:line="360" w:lineRule="auto"/>
        <w:ind w:left="236" w:right="613" w:firstLine="852"/>
        <w:jc w:val="both"/>
      </w:pPr>
      <w:r>
        <w:rPr>
          <w:noProof/>
        </w:rPr>
        <w:drawing>
          <wp:anchor distT="0" distB="0" distL="0" distR="0" simplePos="0" relativeHeight="250785280" behindDoc="1" locked="0" layoutInCell="1" allowOverlap="1" wp14:anchorId="51DE9DD3" wp14:editId="51DE9DD4">
            <wp:simplePos x="0" y="0"/>
            <wp:positionH relativeFrom="page">
              <wp:posOffset>902208</wp:posOffset>
            </wp:positionH>
            <wp:positionV relativeFrom="paragraph">
              <wp:posOffset>150529</wp:posOffset>
            </wp:positionV>
            <wp:extent cx="182879" cy="100753"/>
            <wp:effectExtent l="0" t="0" r="0" b="0"/>
            <wp:wrapNone/>
            <wp:docPr id="177" name="image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97.png"/>
                    <pic:cNvPicPr/>
                  </pic:nvPicPr>
                  <pic:blipFill>
                    <a:blip r:embed="rId182" cstate="print"/>
                    <a:stretch>
                      <a:fillRect/>
                    </a:stretch>
                  </pic:blipFill>
                  <pic:spPr>
                    <a:xfrm>
                      <a:off x="0" y="0"/>
                      <a:ext cx="182879" cy="100753"/>
                    </a:xfrm>
                    <a:prstGeom prst="rect">
                      <a:avLst/>
                    </a:prstGeom>
                  </pic:spPr>
                </pic:pic>
              </a:graphicData>
            </a:graphic>
          </wp:anchor>
        </w:drawing>
      </w:r>
      <w:r>
        <w:t>This provision defines dumping in relation to the export price being introduced into the commerce of another country at les</w:t>
      </w:r>
      <w:r>
        <w:t>s than its normal value. It specifies that the normal value</w:t>
      </w:r>
      <w:r>
        <w:rPr>
          <w:spacing w:val="-14"/>
        </w:rPr>
        <w:t xml:space="preserve"> </w:t>
      </w:r>
      <w:r>
        <w:t>of</w:t>
      </w:r>
      <w:r>
        <w:rPr>
          <w:spacing w:val="-14"/>
        </w:rPr>
        <w:t xml:space="preserve"> </w:t>
      </w:r>
      <w:r>
        <w:t>a</w:t>
      </w:r>
      <w:r>
        <w:rPr>
          <w:spacing w:val="-13"/>
        </w:rPr>
        <w:t xml:space="preserve"> </w:t>
      </w:r>
      <w:r>
        <w:t>product</w:t>
      </w:r>
      <w:r>
        <w:rPr>
          <w:spacing w:val="-14"/>
        </w:rPr>
        <w:t xml:space="preserve"> </w:t>
      </w:r>
      <w:r>
        <w:t>is</w:t>
      </w:r>
      <w:r>
        <w:rPr>
          <w:spacing w:val="-13"/>
        </w:rPr>
        <w:t xml:space="preserve"> </w:t>
      </w:r>
      <w:r>
        <w:t>the</w:t>
      </w:r>
      <w:r>
        <w:rPr>
          <w:spacing w:val="-14"/>
        </w:rPr>
        <w:t xml:space="preserve"> </w:t>
      </w:r>
      <w:r>
        <w:t>"comparable</w:t>
      </w:r>
      <w:r>
        <w:rPr>
          <w:spacing w:val="-13"/>
        </w:rPr>
        <w:t xml:space="preserve"> </w:t>
      </w:r>
      <w:r>
        <w:t>price,</w:t>
      </w:r>
      <w:r>
        <w:rPr>
          <w:spacing w:val="-14"/>
        </w:rPr>
        <w:t xml:space="preserve"> </w:t>
      </w:r>
      <w:r>
        <w:t>in</w:t>
      </w:r>
      <w:r>
        <w:rPr>
          <w:spacing w:val="-14"/>
        </w:rPr>
        <w:t xml:space="preserve"> </w:t>
      </w:r>
      <w:r>
        <w:t>the</w:t>
      </w:r>
      <w:r>
        <w:rPr>
          <w:spacing w:val="-13"/>
        </w:rPr>
        <w:t xml:space="preserve"> </w:t>
      </w:r>
      <w:r>
        <w:t>ordinary</w:t>
      </w:r>
      <w:r>
        <w:rPr>
          <w:spacing w:val="-14"/>
        </w:rPr>
        <w:t xml:space="preserve"> </w:t>
      </w:r>
      <w:r>
        <w:t>course</w:t>
      </w:r>
      <w:r>
        <w:rPr>
          <w:spacing w:val="-13"/>
        </w:rPr>
        <w:t xml:space="preserve"> </w:t>
      </w:r>
      <w:r>
        <w:t>of</w:t>
      </w:r>
      <w:r>
        <w:rPr>
          <w:spacing w:val="-14"/>
        </w:rPr>
        <w:t xml:space="preserve"> </w:t>
      </w:r>
      <w:r>
        <w:t>trade,</w:t>
      </w:r>
      <w:r>
        <w:rPr>
          <w:spacing w:val="-13"/>
        </w:rPr>
        <w:t xml:space="preserve"> </w:t>
      </w:r>
      <w:r>
        <w:t>for</w:t>
      </w:r>
      <w:r>
        <w:rPr>
          <w:spacing w:val="-14"/>
        </w:rPr>
        <w:t xml:space="preserve"> </w:t>
      </w:r>
      <w:r>
        <w:t>the</w:t>
      </w:r>
      <w:r>
        <w:rPr>
          <w:spacing w:val="-14"/>
        </w:rPr>
        <w:t xml:space="preserve"> </w:t>
      </w:r>
      <w:r>
        <w:t>like</w:t>
      </w:r>
      <w:r>
        <w:rPr>
          <w:spacing w:val="-13"/>
        </w:rPr>
        <w:t xml:space="preserve"> </w:t>
      </w:r>
      <w:r>
        <w:t>product when</w:t>
      </w:r>
      <w:r>
        <w:rPr>
          <w:spacing w:val="-6"/>
        </w:rPr>
        <w:t xml:space="preserve"> </w:t>
      </w:r>
      <w:r>
        <w:t>destined</w:t>
      </w:r>
      <w:r>
        <w:rPr>
          <w:spacing w:val="-5"/>
        </w:rPr>
        <w:t xml:space="preserve"> </w:t>
      </w:r>
      <w:r>
        <w:t>for</w:t>
      </w:r>
      <w:r>
        <w:rPr>
          <w:spacing w:val="-5"/>
        </w:rPr>
        <w:t xml:space="preserve"> </w:t>
      </w:r>
      <w:r>
        <w:t>consumption</w:t>
      </w:r>
      <w:r>
        <w:rPr>
          <w:spacing w:val="-6"/>
        </w:rPr>
        <w:t xml:space="preserve"> </w:t>
      </w:r>
      <w:r>
        <w:t>in</w:t>
      </w:r>
      <w:r>
        <w:rPr>
          <w:spacing w:val="-5"/>
        </w:rPr>
        <w:t xml:space="preserve"> </w:t>
      </w:r>
      <w:r>
        <w:t>the</w:t>
      </w:r>
      <w:r>
        <w:rPr>
          <w:spacing w:val="-5"/>
        </w:rPr>
        <w:t xml:space="preserve"> </w:t>
      </w:r>
      <w:r>
        <w:t>exporting</w:t>
      </w:r>
      <w:r>
        <w:rPr>
          <w:spacing w:val="-6"/>
        </w:rPr>
        <w:t xml:space="preserve"> </w:t>
      </w:r>
      <w:r>
        <w:t>country".</w:t>
      </w:r>
      <w:r>
        <w:rPr>
          <w:spacing w:val="-5"/>
        </w:rPr>
        <w:t xml:space="preserve"> </w:t>
      </w:r>
      <w:r>
        <w:t>That</w:t>
      </w:r>
      <w:r>
        <w:rPr>
          <w:spacing w:val="-5"/>
        </w:rPr>
        <w:t xml:space="preserve"> </w:t>
      </w:r>
      <w:r>
        <w:t>is,</w:t>
      </w:r>
      <w:r>
        <w:rPr>
          <w:spacing w:val="-5"/>
        </w:rPr>
        <w:t xml:space="preserve"> </w:t>
      </w:r>
      <w:r>
        <w:t>it</w:t>
      </w:r>
      <w:r>
        <w:rPr>
          <w:spacing w:val="-5"/>
        </w:rPr>
        <w:t xml:space="preserve"> </w:t>
      </w:r>
      <w:r>
        <w:t>is</w:t>
      </w:r>
      <w:r>
        <w:rPr>
          <w:spacing w:val="-6"/>
        </w:rPr>
        <w:t xml:space="preserve"> </w:t>
      </w:r>
      <w:r>
        <w:t>defined</w:t>
      </w:r>
      <w:r>
        <w:rPr>
          <w:spacing w:val="-5"/>
        </w:rPr>
        <w:t xml:space="preserve"> </w:t>
      </w:r>
      <w:r>
        <w:t>in</w:t>
      </w:r>
      <w:r>
        <w:rPr>
          <w:spacing w:val="-5"/>
        </w:rPr>
        <w:t xml:space="preserve"> </w:t>
      </w:r>
      <w:r>
        <w:t>terms</w:t>
      </w:r>
      <w:r>
        <w:rPr>
          <w:spacing w:val="-6"/>
        </w:rPr>
        <w:t xml:space="preserve"> </w:t>
      </w:r>
      <w:r>
        <w:t>of</w:t>
      </w:r>
      <w:r>
        <w:rPr>
          <w:spacing w:val="-5"/>
        </w:rPr>
        <w:t xml:space="preserve"> </w:t>
      </w:r>
      <w:r>
        <w:t xml:space="preserve">the domestic sales transactions in the exporting </w:t>
      </w:r>
      <w:hyperlink r:id="rId183">
        <w:r>
          <w:t>country.</w:t>
        </w:r>
        <w:r>
          <w:rPr>
            <w:vertAlign w:val="superscript"/>
          </w:rPr>
          <w:t>96</w:t>
        </w:r>
      </w:hyperlink>
      <w:r>
        <w:t xml:space="preserve"> Article 2.2 elaborates upon the meaning and determination of normal value.</w:t>
      </w:r>
    </w:p>
    <w:p w14:paraId="51DE7DB0" w14:textId="77777777" w:rsidR="0010369C" w:rsidRDefault="0010369C">
      <w:pPr>
        <w:pStyle w:val="BodyText"/>
        <w:spacing w:before="10"/>
        <w:rPr>
          <w:sz w:val="8"/>
        </w:rPr>
      </w:pPr>
    </w:p>
    <w:p w14:paraId="51DE7DB1" w14:textId="77777777" w:rsidR="0010369C" w:rsidRDefault="008E43AE">
      <w:pPr>
        <w:pStyle w:val="BodyText"/>
        <w:spacing w:before="51" w:line="360" w:lineRule="auto"/>
        <w:ind w:left="236" w:right="614" w:firstLine="852"/>
        <w:jc w:val="both"/>
      </w:pPr>
      <w:r>
        <w:rPr>
          <w:noProof/>
        </w:rPr>
        <w:drawing>
          <wp:anchor distT="0" distB="0" distL="0" distR="0" simplePos="0" relativeHeight="250786304" behindDoc="1" locked="0" layoutInCell="1" allowOverlap="1" wp14:anchorId="51DE9DD5" wp14:editId="51DE9DD6">
            <wp:simplePos x="0" y="0"/>
            <wp:positionH relativeFrom="page">
              <wp:posOffset>902208</wp:posOffset>
            </wp:positionH>
            <wp:positionV relativeFrom="paragraph">
              <wp:posOffset>79960</wp:posOffset>
            </wp:positionV>
            <wp:extent cx="182879" cy="103631"/>
            <wp:effectExtent l="0" t="0" r="0" b="0"/>
            <wp:wrapNone/>
            <wp:docPr id="179" name="image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98.png"/>
                    <pic:cNvPicPr/>
                  </pic:nvPicPr>
                  <pic:blipFill>
                    <a:blip r:embed="rId184" cstate="print"/>
                    <a:stretch>
                      <a:fillRect/>
                    </a:stretch>
                  </pic:blipFill>
                  <pic:spPr>
                    <a:xfrm>
                      <a:off x="0" y="0"/>
                      <a:ext cx="182879" cy="103631"/>
                    </a:xfrm>
                    <a:prstGeom prst="rect">
                      <a:avLst/>
                    </a:prstGeom>
                  </pic:spPr>
                </pic:pic>
              </a:graphicData>
            </a:graphic>
          </wp:anchor>
        </w:drawing>
      </w:r>
      <w:r>
        <w:t xml:space="preserve">With respect to the export price, an investigating authority is required to use </w:t>
      </w:r>
      <w:r>
        <w:t xml:space="preserve">actual export prices in the determination of dumping under Article 2 of the Anti‐Dumping Agreement. This has been confirmed by the Appellate Body, observing that "the "export prices" and "normal value" to which Article 2.4.2 refers are real values, unless </w:t>
      </w:r>
      <w:r>
        <w:t>conditions allowing an investigating authority to use other values are met".</w:t>
      </w:r>
      <w:r>
        <w:rPr>
          <w:vertAlign w:val="superscript"/>
        </w:rPr>
        <w:t>97</w:t>
      </w:r>
    </w:p>
    <w:p w14:paraId="51DE7DB2" w14:textId="77777777" w:rsidR="0010369C" w:rsidRDefault="0010369C">
      <w:pPr>
        <w:pStyle w:val="BodyText"/>
        <w:spacing w:before="12"/>
        <w:rPr>
          <w:sz w:val="8"/>
        </w:rPr>
      </w:pPr>
    </w:p>
    <w:p w14:paraId="51DE7DB3" w14:textId="77777777" w:rsidR="0010369C" w:rsidRDefault="008E43AE">
      <w:pPr>
        <w:pStyle w:val="BodyText"/>
        <w:spacing w:before="51" w:line="360" w:lineRule="auto"/>
        <w:ind w:left="237" w:right="614" w:firstLine="851"/>
        <w:jc w:val="both"/>
      </w:pPr>
      <w:r>
        <w:rPr>
          <w:noProof/>
        </w:rPr>
        <w:drawing>
          <wp:anchor distT="0" distB="0" distL="0" distR="0" simplePos="0" relativeHeight="250787328" behindDoc="1" locked="0" layoutInCell="1" allowOverlap="1" wp14:anchorId="51DE9DD7" wp14:editId="51DE9DD8">
            <wp:simplePos x="0" y="0"/>
            <wp:positionH relativeFrom="page">
              <wp:posOffset>902208</wp:posOffset>
            </wp:positionH>
            <wp:positionV relativeFrom="paragraph">
              <wp:posOffset>76150</wp:posOffset>
            </wp:positionV>
            <wp:extent cx="182879" cy="106679"/>
            <wp:effectExtent l="0" t="0" r="0" b="0"/>
            <wp:wrapNone/>
            <wp:docPr id="181" name="image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99.png"/>
                    <pic:cNvPicPr/>
                  </pic:nvPicPr>
                  <pic:blipFill>
                    <a:blip r:embed="rId185" cstate="print"/>
                    <a:stretch>
                      <a:fillRect/>
                    </a:stretch>
                  </pic:blipFill>
                  <pic:spPr>
                    <a:xfrm>
                      <a:off x="0" y="0"/>
                      <a:ext cx="182879" cy="106679"/>
                    </a:xfrm>
                    <a:prstGeom prst="rect">
                      <a:avLst/>
                    </a:prstGeom>
                  </pic:spPr>
                </pic:pic>
              </a:graphicData>
            </a:graphic>
          </wp:anchor>
        </w:drawing>
      </w:r>
      <w:r>
        <w:t>Reading the term "export price" in Article 2.1 in its broader context, including the requirement</w:t>
      </w:r>
      <w:r>
        <w:rPr>
          <w:spacing w:val="-5"/>
        </w:rPr>
        <w:t xml:space="preserve"> </w:t>
      </w:r>
      <w:r>
        <w:t>in</w:t>
      </w:r>
      <w:r>
        <w:rPr>
          <w:spacing w:val="-4"/>
        </w:rPr>
        <w:t xml:space="preserve"> </w:t>
      </w:r>
      <w:r>
        <w:t>Article</w:t>
      </w:r>
      <w:r>
        <w:rPr>
          <w:spacing w:val="-4"/>
        </w:rPr>
        <w:t xml:space="preserve"> </w:t>
      </w:r>
      <w:r>
        <w:t>6.10</w:t>
      </w:r>
      <w:r>
        <w:rPr>
          <w:spacing w:val="-4"/>
        </w:rPr>
        <w:t xml:space="preserve"> </w:t>
      </w:r>
      <w:r>
        <w:t>to</w:t>
      </w:r>
      <w:r>
        <w:rPr>
          <w:spacing w:val="-3"/>
        </w:rPr>
        <w:t xml:space="preserve"> </w:t>
      </w:r>
      <w:r>
        <w:t>determine</w:t>
      </w:r>
      <w:r>
        <w:rPr>
          <w:spacing w:val="-2"/>
        </w:rPr>
        <w:t xml:space="preserve"> </w:t>
      </w:r>
      <w:r>
        <w:t>individual</w:t>
      </w:r>
      <w:r>
        <w:rPr>
          <w:spacing w:val="-3"/>
        </w:rPr>
        <w:t xml:space="preserve"> </w:t>
      </w:r>
      <w:r>
        <w:t>dumping</w:t>
      </w:r>
      <w:r>
        <w:rPr>
          <w:spacing w:val="-3"/>
        </w:rPr>
        <w:t xml:space="preserve"> </w:t>
      </w:r>
      <w:r>
        <w:t>margins,</w:t>
      </w:r>
      <w:r>
        <w:rPr>
          <w:vertAlign w:val="superscript"/>
        </w:rPr>
        <w:t>98</w:t>
      </w:r>
      <w:r>
        <w:rPr>
          <w:spacing w:val="-4"/>
        </w:rPr>
        <w:t xml:space="preserve"> </w:t>
      </w:r>
      <w:r>
        <w:t>"export</w:t>
      </w:r>
      <w:r>
        <w:rPr>
          <w:spacing w:val="-4"/>
        </w:rPr>
        <w:t xml:space="preserve"> </w:t>
      </w:r>
      <w:r>
        <w:t>price"</w:t>
      </w:r>
      <w:r>
        <w:rPr>
          <w:spacing w:val="-5"/>
        </w:rPr>
        <w:t xml:space="preserve"> </w:t>
      </w:r>
      <w:r>
        <w:t>mean</w:t>
      </w:r>
      <w:r>
        <w:t>s the export price for a particular exporter.</w:t>
      </w:r>
    </w:p>
    <w:p w14:paraId="51DE7DB4" w14:textId="77777777" w:rsidR="0010369C" w:rsidRDefault="0010369C">
      <w:pPr>
        <w:pStyle w:val="BodyText"/>
        <w:rPr>
          <w:sz w:val="20"/>
        </w:rPr>
      </w:pPr>
    </w:p>
    <w:p w14:paraId="51DE7DB5" w14:textId="77777777" w:rsidR="0010369C" w:rsidRDefault="0010369C">
      <w:pPr>
        <w:pStyle w:val="BodyText"/>
        <w:rPr>
          <w:sz w:val="20"/>
        </w:rPr>
      </w:pPr>
    </w:p>
    <w:p w14:paraId="51DE7DB6" w14:textId="77777777" w:rsidR="0010369C" w:rsidRDefault="0010369C">
      <w:pPr>
        <w:pStyle w:val="BodyText"/>
        <w:rPr>
          <w:sz w:val="20"/>
        </w:rPr>
      </w:pPr>
    </w:p>
    <w:p w14:paraId="51DE7DB7" w14:textId="77777777" w:rsidR="0010369C" w:rsidRDefault="008E43AE">
      <w:pPr>
        <w:pStyle w:val="BodyText"/>
        <w:spacing w:before="4"/>
        <w:rPr>
          <w:sz w:val="17"/>
        </w:rPr>
      </w:pPr>
      <w:r>
        <w:pict w14:anchorId="51DE9DD9">
          <v:rect id="docshape95" o:spid="_x0000_s3169" style="position:absolute;margin-left:70.9pt;margin-top:11.8pt;width:2in;height:.8pt;z-index:-251240960;mso-wrap-distance-left:0;mso-wrap-distance-right:0;mso-position-horizontal-relative:page" fillcolor="black" stroked="f">
            <w10:wrap type="topAndBottom" anchorx="page"/>
          </v:rect>
        </w:pict>
      </w:r>
    </w:p>
    <w:p w14:paraId="51DE7DB8" w14:textId="77777777" w:rsidR="0010369C" w:rsidRDefault="008E43AE">
      <w:pPr>
        <w:spacing w:before="109"/>
        <w:ind w:left="236" w:right="614" w:firstLine="1"/>
        <w:jc w:val="both"/>
        <w:rPr>
          <w:sz w:val="18"/>
        </w:rPr>
      </w:pPr>
      <w:r>
        <w:rPr>
          <w:sz w:val="18"/>
          <w:vertAlign w:val="superscript"/>
        </w:rPr>
        <w:t>95</w:t>
      </w:r>
      <w:r>
        <w:rPr>
          <w:sz w:val="18"/>
        </w:rPr>
        <w:t xml:space="preserve"> Appellate</w:t>
      </w:r>
      <w:r>
        <w:rPr>
          <w:spacing w:val="-1"/>
          <w:sz w:val="18"/>
        </w:rPr>
        <w:t xml:space="preserve"> </w:t>
      </w:r>
      <w:r>
        <w:rPr>
          <w:sz w:val="18"/>
        </w:rPr>
        <w:t>Body</w:t>
      </w:r>
      <w:r>
        <w:rPr>
          <w:spacing w:val="-1"/>
          <w:sz w:val="18"/>
        </w:rPr>
        <w:t xml:space="preserve"> </w:t>
      </w:r>
      <w:r>
        <w:rPr>
          <w:sz w:val="18"/>
        </w:rPr>
        <w:t xml:space="preserve">Report, </w:t>
      </w:r>
      <w:r>
        <w:rPr>
          <w:i/>
          <w:sz w:val="18"/>
        </w:rPr>
        <w:t>US –Zeroing (Japan)</w:t>
      </w:r>
      <w:r>
        <w:rPr>
          <w:sz w:val="18"/>
        </w:rPr>
        <w:t>, para. 140. Article 2.1 describes the</w:t>
      </w:r>
      <w:r>
        <w:rPr>
          <w:spacing w:val="-1"/>
          <w:sz w:val="18"/>
        </w:rPr>
        <w:t xml:space="preserve"> </w:t>
      </w:r>
      <w:r>
        <w:rPr>
          <w:sz w:val="18"/>
        </w:rPr>
        <w:t>circumstances in</w:t>
      </w:r>
      <w:r>
        <w:rPr>
          <w:spacing w:val="-1"/>
          <w:sz w:val="18"/>
        </w:rPr>
        <w:t xml:space="preserve"> </w:t>
      </w:r>
      <w:r>
        <w:rPr>
          <w:sz w:val="18"/>
        </w:rPr>
        <w:t>which a product is to be considered</w:t>
      </w:r>
      <w:r>
        <w:rPr>
          <w:spacing w:val="-10"/>
          <w:sz w:val="18"/>
        </w:rPr>
        <w:t xml:space="preserve"> </w:t>
      </w:r>
      <w:r>
        <w:rPr>
          <w:sz w:val="18"/>
        </w:rPr>
        <w:t>as</w:t>
      </w:r>
      <w:r>
        <w:rPr>
          <w:spacing w:val="-9"/>
          <w:sz w:val="18"/>
        </w:rPr>
        <w:t xml:space="preserve"> </w:t>
      </w:r>
      <w:r>
        <w:rPr>
          <w:sz w:val="18"/>
        </w:rPr>
        <w:t>being</w:t>
      </w:r>
      <w:r>
        <w:rPr>
          <w:spacing w:val="-9"/>
          <w:sz w:val="18"/>
        </w:rPr>
        <w:t xml:space="preserve"> </w:t>
      </w:r>
      <w:r>
        <w:rPr>
          <w:sz w:val="18"/>
        </w:rPr>
        <w:t>dumped</w:t>
      </w:r>
      <w:r>
        <w:rPr>
          <w:spacing w:val="-9"/>
          <w:sz w:val="18"/>
        </w:rPr>
        <w:t xml:space="preserve"> </w:t>
      </w:r>
      <w:r>
        <w:rPr>
          <w:sz w:val="18"/>
        </w:rPr>
        <w:t>for</w:t>
      </w:r>
      <w:r>
        <w:rPr>
          <w:spacing w:val="-10"/>
          <w:sz w:val="18"/>
        </w:rPr>
        <w:t xml:space="preserve"> </w:t>
      </w:r>
      <w:r>
        <w:rPr>
          <w:sz w:val="18"/>
        </w:rPr>
        <w:t>the</w:t>
      </w:r>
      <w:r>
        <w:rPr>
          <w:spacing w:val="-9"/>
          <w:sz w:val="18"/>
        </w:rPr>
        <w:t xml:space="preserve"> </w:t>
      </w:r>
      <w:r>
        <w:rPr>
          <w:sz w:val="18"/>
        </w:rPr>
        <w:t>purposes</w:t>
      </w:r>
      <w:r>
        <w:rPr>
          <w:spacing w:val="-9"/>
          <w:sz w:val="18"/>
        </w:rPr>
        <w:t xml:space="preserve"> </w:t>
      </w:r>
      <w:r>
        <w:rPr>
          <w:sz w:val="18"/>
        </w:rPr>
        <w:t>of</w:t>
      </w:r>
      <w:r>
        <w:rPr>
          <w:spacing w:val="-9"/>
          <w:sz w:val="18"/>
        </w:rPr>
        <w:t xml:space="preserve"> </w:t>
      </w:r>
      <w:r>
        <w:rPr>
          <w:sz w:val="18"/>
        </w:rPr>
        <w:t>the</w:t>
      </w:r>
      <w:r>
        <w:rPr>
          <w:spacing w:val="-9"/>
          <w:sz w:val="18"/>
        </w:rPr>
        <w:t xml:space="preserve"> </w:t>
      </w:r>
      <w:r>
        <w:rPr>
          <w:sz w:val="18"/>
        </w:rPr>
        <w:t>entire</w:t>
      </w:r>
      <w:r>
        <w:rPr>
          <w:spacing w:val="-9"/>
          <w:sz w:val="18"/>
        </w:rPr>
        <w:t xml:space="preserve"> </w:t>
      </w:r>
      <w:r>
        <w:rPr>
          <w:sz w:val="18"/>
        </w:rPr>
        <w:t>Anti‐Dumping</w:t>
      </w:r>
      <w:r>
        <w:rPr>
          <w:spacing w:val="-9"/>
          <w:sz w:val="18"/>
        </w:rPr>
        <w:t xml:space="preserve"> </w:t>
      </w:r>
      <w:r>
        <w:rPr>
          <w:sz w:val="18"/>
        </w:rPr>
        <w:t>Agreement</w:t>
      </w:r>
      <w:r>
        <w:rPr>
          <w:spacing w:val="-10"/>
          <w:sz w:val="18"/>
        </w:rPr>
        <w:t xml:space="preserve"> </w:t>
      </w:r>
      <w:r>
        <w:rPr>
          <w:sz w:val="18"/>
        </w:rPr>
        <w:t>(Appellate</w:t>
      </w:r>
      <w:r>
        <w:rPr>
          <w:spacing w:val="-9"/>
          <w:sz w:val="18"/>
        </w:rPr>
        <w:t xml:space="preserve"> </w:t>
      </w:r>
      <w:r>
        <w:rPr>
          <w:sz w:val="18"/>
        </w:rPr>
        <w:t>Body</w:t>
      </w:r>
      <w:r>
        <w:rPr>
          <w:spacing w:val="-9"/>
          <w:sz w:val="18"/>
        </w:rPr>
        <w:t xml:space="preserve"> </w:t>
      </w:r>
      <w:r>
        <w:rPr>
          <w:sz w:val="18"/>
        </w:rPr>
        <w:t>Report,</w:t>
      </w:r>
      <w:r>
        <w:rPr>
          <w:spacing w:val="-8"/>
          <w:sz w:val="18"/>
        </w:rPr>
        <w:t xml:space="preserve"> </w:t>
      </w:r>
      <w:r>
        <w:rPr>
          <w:i/>
          <w:sz w:val="18"/>
        </w:rPr>
        <w:t>US</w:t>
      </w:r>
      <w:r>
        <w:rPr>
          <w:i/>
          <w:spacing w:val="-9"/>
          <w:sz w:val="18"/>
        </w:rPr>
        <w:t xml:space="preserve"> </w:t>
      </w:r>
      <w:r>
        <w:rPr>
          <w:i/>
          <w:sz w:val="18"/>
        </w:rPr>
        <w:t>–</w:t>
      </w:r>
      <w:r>
        <w:rPr>
          <w:i/>
          <w:spacing w:val="-8"/>
          <w:sz w:val="18"/>
        </w:rPr>
        <w:t xml:space="preserve"> </w:t>
      </w:r>
      <w:r>
        <w:rPr>
          <w:i/>
          <w:sz w:val="18"/>
        </w:rPr>
        <w:t>Corrosion‐ Resistant</w:t>
      </w:r>
      <w:r>
        <w:rPr>
          <w:i/>
          <w:spacing w:val="-4"/>
          <w:sz w:val="18"/>
        </w:rPr>
        <w:t xml:space="preserve"> </w:t>
      </w:r>
      <w:r>
        <w:rPr>
          <w:i/>
          <w:sz w:val="18"/>
        </w:rPr>
        <w:t>Steel</w:t>
      </w:r>
      <w:r>
        <w:rPr>
          <w:i/>
          <w:spacing w:val="-4"/>
          <w:sz w:val="18"/>
        </w:rPr>
        <w:t xml:space="preserve"> </w:t>
      </w:r>
      <w:r>
        <w:rPr>
          <w:i/>
          <w:sz w:val="18"/>
        </w:rPr>
        <w:t>Sunset</w:t>
      </w:r>
      <w:r>
        <w:rPr>
          <w:i/>
          <w:spacing w:val="-4"/>
          <w:sz w:val="18"/>
        </w:rPr>
        <w:t xml:space="preserve"> </w:t>
      </w:r>
      <w:r>
        <w:rPr>
          <w:i/>
          <w:sz w:val="18"/>
        </w:rPr>
        <w:t>Review</w:t>
      </w:r>
      <w:r>
        <w:rPr>
          <w:sz w:val="18"/>
        </w:rPr>
        <w:t>,</w:t>
      </w:r>
      <w:r>
        <w:rPr>
          <w:spacing w:val="-4"/>
          <w:sz w:val="18"/>
        </w:rPr>
        <w:t xml:space="preserve"> </w:t>
      </w:r>
      <w:r>
        <w:rPr>
          <w:sz w:val="18"/>
        </w:rPr>
        <w:t>paras.</w:t>
      </w:r>
      <w:r>
        <w:rPr>
          <w:spacing w:val="-4"/>
          <w:sz w:val="18"/>
        </w:rPr>
        <w:t xml:space="preserve"> </w:t>
      </w:r>
      <w:r>
        <w:rPr>
          <w:sz w:val="18"/>
        </w:rPr>
        <w:t>109</w:t>
      </w:r>
      <w:r>
        <w:rPr>
          <w:spacing w:val="-4"/>
          <w:sz w:val="18"/>
        </w:rPr>
        <w:t xml:space="preserve"> </w:t>
      </w:r>
      <w:r>
        <w:rPr>
          <w:sz w:val="18"/>
        </w:rPr>
        <w:t>and</w:t>
      </w:r>
      <w:r>
        <w:rPr>
          <w:spacing w:val="-3"/>
          <w:sz w:val="18"/>
        </w:rPr>
        <w:t xml:space="preserve"> </w:t>
      </w:r>
      <w:r>
        <w:rPr>
          <w:sz w:val="18"/>
        </w:rPr>
        <w:t>126).</w:t>
      </w:r>
      <w:r>
        <w:rPr>
          <w:spacing w:val="-3"/>
          <w:sz w:val="18"/>
        </w:rPr>
        <w:t xml:space="preserve"> </w:t>
      </w:r>
      <w:r>
        <w:rPr>
          <w:sz w:val="18"/>
        </w:rPr>
        <w:t>If</w:t>
      </w:r>
      <w:r>
        <w:rPr>
          <w:spacing w:val="-3"/>
          <w:sz w:val="18"/>
        </w:rPr>
        <w:t xml:space="preserve"> </w:t>
      </w:r>
      <w:r>
        <w:rPr>
          <w:sz w:val="18"/>
        </w:rPr>
        <w:t>an</w:t>
      </w:r>
      <w:r>
        <w:rPr>
          <w:spacing w:val="-3"/>
          <w:sz w:val="18"/>
        </w:rPr>
        <w:t xml:space="preserve"> </w:t>
      </w:r>
      <w:r>
        <w:rPr>
          <w:sz w:val="18"/>
        </w:rPr>
        <w:t>investigating</w:t>
      </w:r>
      <w:r>
        <w:rPr>
          <w:spacing w:val="-2"/>
          <w:sz w:val="18"/>
        </w:rPr>
        <w:t xml:space="preserve"> </w:t>
      </w:r>
      <w:r>
        <w:rPr>
          <w:sz w:val="18"/>
        </w:rPr>
        <w:t>authority</w:t>
      </w:r>
      <w:r>
        <w:rPr>
          <w:spacing w:val="-3"/>
          <w:sz w:val="18"/>
        </w:rPr>
        <w:t xml:space="preserve"> </w:t>
      </w:r>
      <w:r>
        <w:rPr>
          <w:sz w:val="18"/>
        </w:rPr>
        <w:t>does</w:t>
      </w:r>
      <w:r>
        <w:rPr>
          <w:spacing w:val="-3"/>
          <w:sz w:val="18"/>
        </w:rPr>
        <w:t xml:space="preserve"> </w:t>
      </w:r>
      <w:r>
        <w:rPr>
          <w:sz w:val="18"/>
        </w:rPr>
        <w:t>not</w:t>
      </w:r>
      <w:r>
        <w:rPr>
          <w:spacing w:val="-4"/>
          <w:sz w:val="18"/>
        </w:rPr>
        <w:t xml:space="preserve"> </w:t>
      </w:r>
      <w:r>
        <w:rPr>
          <w:sz w:val="18"/>
        </w:rPr>
        <w:t>conduct</w:t>
      </w:r>
      <w:r>
        <w:rPr>
          <w:spacing w:val="-4"/>
          <w:sz w:val="18"/>
        </w:rPr>
        <w:t xml:space="preserve"> </w:t>
      </w:r>
      <w:r>
        <w:rPr>
          <w:sz w:val="18"/>
        </w:rPr>
        <w:t>its</w:t>
      </w:r>
      <w:r>
        <w:rPr>
          <w:spacing w:val="-3"/>
          <w:sz w:val="18"/>
        </w:rPr>
        <w:t xml:space="preserve"> </w:t>
      </w:r>
      <w:r>
        <w:rPr>
          <w:sz w:val="18"/>
        </w:rPr>
        <w:t>dumping</w:t>
      </w:r>
      <w:r>
        <w:rPr>
          <w:spacing w:val="-3"/>
          <w:sz w:val="18"/>
        </w:rPr>
        <w:t xml:space="preserve"> </w:t>
      </w:r>
      <w:r>
        <w:rPr>
          <w:sz w:val="18"/>
        </w:rPr>
        <w:t>determination in a manner consistent with that definition, all elements of the dumping determination will be flawed, including the calculation of margins of dumping, volume of dumped imports, and levy of anti‐dumping duties.</w:t>
      </w:r>
    </w:p>
    <w:p w14:paraId="51DE7DB9" w14:textId="77777777" w:rsidR="0010369C" w:rsidRDefault="008E43AE">
      <w:pPr>
        <w:spacing w:line="219" w:lineRule="exact"/>
        <w:ind w:left="238"/>
        <w:jc w:val="both"/>
        <w:rPr>
          <w:sz w:val="18"/>
        </w:rPr>
      </w:pPr>
      <w:r>
        <w:rPr>
          <w:sz w:val="18"/>
          <w:vertAlign w:val="superscript"/>
        </w:rPr>
        <w:t>96</w:t>
      </w:r>
      <w:r>
        <w:rPr>
          <w:spacing w:val="-9"/>
          <w:sz w:val="18"/>
        </w:rPr>
        <w:t xml:space="preserve"> </w:t>
      </w:r>
      <w:r>
        <w:rPr>
          <w:sz w:val="18"/>
        </w:rPr>
        <w:t>Panel</w:t>
      </w:r>
      <w:r>
        <w:rPr>
          <w:spacing w:val="-8"/>
          <w:sz w:val="18"/>
        </w:rPr>
        <w:t xml:space="preserve"> </w:t>
      </w:r>
      <w:r>
        <w:rPr>
          <w:sz w:val="18"/>
        </w:rPr>
        <w:t>Report,</w:t>
      </w:r>
      <w:r>
        <w:rPr>
          <w:spacing w:val="-9"/>
          <w:sz w:val="18"/>
        </w:rPr>
        <w:t xml:space="preserve"> </w:t>
      </w:r>
      <w:r>
        <w:rPr>
          <w:i/>
          <w:sz w:val="18"/>
        </w:rPr>
        <w:t>Argentina</w:t>
      </w:r>
      <w:r>
        <w:rPr>
          <w:i/>
          <w:spacing w:val="-8"/>
          <w:sz w:val="18"/>
        </w:rPr>
        <w:t xml:space="preserve"> </w:t>
      </w:r>
      <w:r>
        <w:rPr>
          <w:i/>
          <w:sz w:val="18"/>
        </w:rPr>
        <w:t>–</w:t>
      </w:r>
      <w:r>
        <w:rPr>
          <w:i/>
          <w:spacing w:val="-8"/>
          <w:sz w:val="18"/>
        </w:rPr>
        <w:t xml:space="preserve"> </w:t>
      </w:r>
      <w:r>
        <w:rPr>
          <w:i/>
          <w:sz w:val="18"/>
        </w:rPr>
        <w:t>Po</w:t>
      </w:r>
      <w:r>
        <w:rPr>
          <w:i/>
          <w:sz w:val="18"/>
        </w:rPr>
        <w:t>ultry</w:t>
      </w:r>
      <w:r>
        <w:rPr>
          <w:i/>
          <w:spacing w:val="-9"/>
          <w:sz w:val="18"/>
        </w:rPr>
        <w:t xml:space="preserve"> </w:t>
      </w:r>
      <w:r>
        <w:rPr>
          <w:i/>
          <w:sz w:val="18"/>
        </w:rPr>
        <w:t>Anti‐Dumping</w:t>
      </w:r>
      <w:r>
        <w:rPr>
          <w:i/>
          <w:spacing w:val="-8"/>
          <w:sz w:val="18"/>
        </w:rPr>
        <w:t xml:space="preserve"> </w:t>
      </w:r>
      <w:r>
        <w:rPr>
          <w:i/>
          <w:sz w:val="18"/>
        </w:rPr>
        <w:t>Duties</w:t>
      </w:r>
      <w:r>
        <w:rPr>
          <w:sz w:val="18"/>
        </w:rPr>
        <w:t>,</w:t>
      </w:r>
      <w:r>
        <w:rPr>
          <w:spacing w:val="-8"/>
          <w:sz w:val="18"/>
        </w:rPr>
        <w:t xml:space="preserve"> </w:t>
      </w:r>
      <w:r>
        <w:rPr>
          <w:sz w:val="18"/>
        </w:rPr>
        <w:t>para.</w:t>
      </w:r>
      <w:r>
        <w:rPr>
          <w:spacing w:val="-9"/>
          <w:sz w:val="18"/>
        </w:rPr>
        <w:t xml:space="preserve"> </w:t>
      </w:r>
      <w:r>
        <w:rPr>
          <w:spacing w:val="-2"/>
          <w:sz w:val="18"/>
        </w:rPr>
        <w:t>7.272.</w:t>
      </w:r>
    </w:p>
    <w:p w14:paraId="51DE7DBA" w14:textId="77777777" w:rsidR="0010369C" w:rsidRDefault="008E43AE">
      <w:pPr>
        <w:ind w:left="237" w:right="613"/>
        <w:jc w:val="both"/>
        <w:rPr>
          <w:sz w:val="18"/>
        </w:rPr>
      </w:pPr>
      <w:r>
        <w:rPr>
          <w:sz w:val="18"/>
          <w:vertAlign w:val="superscript"/>
        </w:rPr>
        <w:t>97</w:t>
      </w:r>
      <w:r>
        <w:rPr>
          <w:sz w:val="18"/>
        </w:rPr>
        <w:t xml:space="preserve"> Appellate Body Report, </w:t>
      </w:r>
      <w:r>
        <w:rPr>
          <w:i/>
          <w:sz w:val="18"/>
        </w:rPr>
        <w:t xml:space="preserve">US – Softwood Lumber V (Article 21.5 – Canada), </w:t>
      </w:r>
      <w:r>
        <w:rPr>
          <w:sz w:val="18"/>
        </w:rPr>
        <w:t>para. 88 and footnote 143. Article 2.2 allows investigating</w:t>
      </w:r>
      <w:r>
        <w:rPr>
          <w:spacing w:val="-11"/>
          <w:sz w:val="18"/>
        </w:rPr>
        <w:t xml:space="preserve"> </w:t>
      </w:r>
      <w:r>
        <w:rPr>
          <w:sz w:val="18"/>
        </w:rPr>
        <w:t>authorities,</w:t>
      </w:r>
      <w:r>
        <w:rPr>
          <w:spacing w:val="-10"/>
          <w:sz w:val="18"/>
        </w:rPr>
        <w:t xml:space="preserve"> </w:t>
      </w:r>
      <w:r>
        <w:rPr>
          <w:sz w:val="18"/>
        </w:rPr>
        <w:t>under</w:t>
      </w:r>
      <w:r>
        <w:rPr>
          <w:spacing w:val="-10"/>
          <w:sz w:val="18"/>
        </w:rPr>
        <w:t xml:space="preserve"> </w:t>
      </w:r>
      <w:r>
        <w:rPr>
          <w:sz w:val="18"/>
        </w:rPr>
        <w:t>certain</w:t>
      </w:r>
      <w:r>
        <w:rPr>
          <w:spacing w:val="-10"/>
          <w:sz w:val="18"/>
        </w:rPr>
        <w:t xml:space="preserve"> </w:t>
      </w:r>
      <w:r>
        <w:rPr>
          <w:sz w:val="18"/>
        </w:rPr>
        <w:t>conditions,</w:t>
      </w:r>
      <w:r>
        <w:rPr>
          <w:spacing w:val="-10"/>
          <w:sz w:val="18"/>
        </w:rPr>
        <w:t xml:space="preserve"> </w:t>
      </w:r>
      <w:r>
        <w:rPr>
          <w:sz w:val="18"/>
        </w:rPr>
        <w:t>to</w:t>
      </w:r>
      <w:r>
        <w:rPr>
          <w:spacing w:val="-11"/>
          <w:sz w:val="18"/>
        </w:rPr>
        <w:t xml:space="preserve"> </w:t>
      </w:r>
      <w:r>
        <w:rPr>
          <w:sz w:val="18"/>
        </w:rPr>
        <w:t>use</w:t>
      </w:r>
      <w:r>
        <w:rPr>
          <w:spacing w:val="-10"/>
          <w:sz w:val="18"/>
        </w:rPr>
        <w:t xml:space="preserve"> </w:t>
      </w:r>
      <w:r>
        <w:rPr>
          <w:sz w:val="18"/>
        </w:rPr>
        <w:t>constructed</w:t>
      </w:r>
      <w:r>
        <w:rPr>
          <w:spacing w:val="-10"/>
          <w:sz w:val="18"/>
        </w:rPr>
        <w:t xml:space="preserve"> </w:t>
      </w:r>
      <w:r>
        <w:rPr>
          <w:sz w:val="18"/>
        </w:rPr>
        <w:t>normal</w:t>
      </w:r>
      <w:r>
        <w:rPr>
          <w:spacing w:val="-10"/>
          <w:sz w:val="18"/>
        </w:rPr>
        <w:t xml:space="preserve"> </w:t>
      </w:r>
      <w:r>
        <w:rPr>
          <w:sz w:val="18"/>
        </w:rPr>
        <w:t>value.</w:t>
      </w:r>
      <w:r>
        <w:rPr>
          <w:spacing w:val="-10"/>
          <w:sz w:val="18"/>
        </w:rPr>
        <w:t xml:space="preserve"> </w:t>
      </w:r>
      <w:r>
        <w:rPr>
          <w:sz w:val="18"/>
        </w:rPr>
        <w:t>Article</w:t>
      </w:r>
      <w:r>
        <w:rPr>
          <w:spacing w:val="-10"/>
          <w:sz w:val="18"/>
        </w:rPr>
        <w:t xml:space="preserve"> </w:t>
      </w:r>
      <w:r>
        <w:rPr>
          <w:sz w:val="18"/>
        </w:rPr>
        <w:t>2.</w:t>
      </w:r>
      <w:r>
        <w:rPr>
          <w:sz w:val="18"/>
        </w:rPr>
        <w:t>3</w:t>
      </w:r>
      <w:r>
        <w:rPr>
          <w:spacing w:val="-11"/>
          <w:sz w:val="18"/>
        </w:rPr>
        <w:t xml:space="preserve"> </w:t>
      </w:r>
      <w:r>
        <w:rPr>
          <w:sz w:val="18"/>
        </w:rPr>
        <w:t>permits</w:t>
      </w:r>
      <w:r>
        <w:rPr>
          <w:spacing w:val="-10"/>
          <w:sz w:val="18"/>
        </w:rPr>
        <w:t xml:space="preserve"> </w:t>
      </w:r>
      <w:r>
        <w:rPr>
          <w:sz w:val="18"/>
        </w:rPr>
        <w:t>the</w:t>
      </w:r>
      <w:r>
        <w:rPr>
          <w:spacing w:val="-10"/>
          <w:sz w:val="18"/>
        </w:rPr>
        <w:t xml:space="preserve"> </w:t>
      </w:r>
      <w:r>
        <w:rPr>
          <w:sz w:val="18"/>
        </w:rPr>
        <w:t>use</w:t>
      </w:r>
      <w:r>
        <w:rPr>
          <w:spacing w:val="-10"/>
          <w:sz w:val="18"/>
        </w:rPr>
        <w:t xml:space="preserve"> </w:t>
      </w:r>
      <w:r>
        <w:rPr>
          <w:sz w:val="18"/>
        </w:rPr>
        <w:t>of</w:t>
      </w:r>
      <w:r>
        <w:rPr>
          <w:spacing w:val="-10"/>
          <w:sz w:val="18"/>
        </w:rPr>
        <w:t xml:space="preserve"> </w:t>
      </w:r>
      <w:r>
        <w:rPr>
          <w:sz w:val="18"/>
        </w:rPr>
        <w:t>constructed export prices under certain conditions.</w:t>
      </w:r>
    </w:p>
    <w:p w14:paraId="51DE7DBB" w14:textId="77777777" w:rsidR="0010369C" w:rsidRDefault="008E43AE">
      <w:pPr>
        <w:spacing w:before="1"/>
        <w:ind w:left="237" w:right="615"/>
        <w:jc w:val="both"/>
        <w:rPr>
          <w:sz w:val="18"/>
        </w:rPr>
      </w:pPr>
      <w:r>
        <w:rPr>
          <w:sz w:val="18"/>
          <w:vertAlign w:val="superscript"/>
        </w:rPr>
        <w:t>98</w:t>
      </w:r>
      <w:r>
        <w:rPr>
          <w:sz w:val="18"/>
        </w:rPr>
        <w:t xml:space="preserve"> Article 6.10 of the Anti‐Dumping Agreement provides, in relevant part, "[t]he authorities shall, as a rule, determine an individual margin of dumping for each known exporter concerned of the produce under investigation".</w:t>
      </w:r>
    </w:p>
    <w:p w14:paraId="51DE7DBC" w14:textId="77777777" w:rsidR="0010369C" w:rsidRDefault="0010369C">
      <w:pPr>
        <w:jc w:val="both"/>
        <w:rPr>
          <w:sz w:val="18"/>
        </w:rPr>
        <w:sectPr w:rsidR="0010369C">
          <w:pgSz w:w="11910" w:h="16840"/>
          <w:pgMar w:top="880" w:right="800" w:bottom="980" w:left="1180" w:header="569" w:footer="788" w:gutter="0"/>
          <w:cols w:space="720"/>
        </w:sectPr>
      </w:pPr>
    </w:p>
    <w:tbl>
      <w:tblPr>
        <w:tblW w:w="0" w:type="auto"/>
        <w:tblInd w:w="132" w:type="dxa"/>
        <w:tblLayout w:type="fixed"/>
        <w:tblCellMar>
          <w:left w:w="0" w:type="dxa"/>
          <w:right w:w="0" w:type="dxa"/>
        </w:tblCellMar>
        <w:tblLook w:val="01E0" w:firstRow="1" w:lastRow="1" w:firstColumn="1" w:lastColumn="1" w:noHBand="0" w:noVBand="0"/>
      </w:tblPr>
      <w:tblGrid>
        <w:gridCol w:w="5416"/>
        <w:gridCol w:w="3802"/>
      </w:tblGrid>
      <w:tr w:rsidR="0010369C" w14:paraId="51DE7DC1" w14:textId="77777777">
        <w:trPr>
          <w:trHeight w:val="578"/>
        </w:trPr>
        <w:tc>
          <w:tcPr>
            <w:tcW w:w="5416" w:type="dxa"/>
            <w:tcBorders>
              <w:top w:val="single" w:sz="4" w:space="0" w:color="000000"/>
              <w:left w:val="single" w:sz="4" w:space="0" w:color="000000"/>
            </w:tcBorders>
          </w:tcPr>
          <w:p w14:paraId="51DE7DBD" w14:textId="77777777" w:rsidR="0010369C" w:rsidRDefault="008E43AE">
            <w:pPr>
              <w:pStyle w:val="TableParagraph"/>
              <w:spacing w:before="19"/>
              <w:ind w:left="2575" w:right="-87"/>
            </w:pPr>
            <w:r>
              <w:lastRenderedPageBreak/>
              <w:t>Business</w:t>
            </w:r>
            <w:r>
              <w:rPr>
                <w:spacing w:val="-11"/>
              </w:rPr>
              <w:t xml:space="preserve"> </w:t>
            </w:r>
            <w:r>
              <w:t>Confide</w:t>
            </w:r>
            <w:r>
              <w:t>ntial</w:t>
            </w:r>
            <w:r>
              <w:rPr>
                <w:spacing w:val="-9"/>
              </w:rPr>
              <w:t xml:space="preserve"> </w:t>
            </w:r>
            <w:r>
              <w:rPr>
                <w:spacing w:val="-2"/>
              </w:rPr>
              <w:t>Informatio</w:t>
            </w:r>
          </w:p>
          <w:p w14:paraId="51DE7DBE" w14:textId="77777777" w:rsidR="0010369C" w:rsidRDefault="008E43AE">
            <w:pPr>
              <w:pStyle w:val="TableParagraph"/>
              <w:spacing w:before="28" w:line="243" w:lineRule="exact"/>
              <w:ind w:left="113"/>
              <w:rPr>
                <w:i/>
                <w:sz w:val="20"/>
              </w:rPr>
            </w:pPr>
            <w:r>
              <w:rPr>
                <w:i/>
                <w:sz w:val="20"/>
              </w:rPr>
              <w:t>China</w:t>
            </w:r>
            <w:r>
              <w:rPr>
                <w:i/>
                <w:spacing w:val="-5"/>
                <w:sz w:val="20"/>
              </w:rPr>
              <w:t xml:space="preserve"> </w:t>
            </w:r>
            <w:r>
              <w:rPr>
                <w:i/>
                <w:sz w:val="20"/>
              </w:rPr>
              <w:t>–</w:t>
            </w:r>
            <w:r>
              <w:rPr>
                <w:i/>
                <w:spacing w:val="-5"/>
                <w:sz w:val="20"/>
              </w:rPr>
              <w:t xml:space="preserve"> </w:t>
            </w:r>
            <w:r>
              <w:rPr>
                <w:i/>
                <w:sz w:val="20"/>
              </w:rPr>
              <w:t>Anti‐Dumping</w:t>
            </w:r>
            <w:r>
              <w:rPr>
                <w:i/>
                <w:spacing w:val="-4"/>
                <w:sz w:val="20"/>
              </w:rPr>
              <w:t xml:space="preserve"> </w:t>
            </w:r>
            <w:r>
              <w:rPr>
                <w:i/>
                <w:sz w:val="20"/>
              </w:rPr>
              <w:t>and</w:t>
            </w:r>
            <w:r>
              <w:rPr>
                <w:i/>
                <w:spacing w:val="-5"/>
                <w:sz w:val="20"/>
              </w:rPr>
              <w:t xml:space="preserve"> </w:t>
            </w:r>
            <w:r>
              <w:rPr>
                <w:i/>
                <w:sz w:val="20"/>
              </w:rPr>
              <w:t>Countervailing</w:t>
            </w:r>
            <w:r>
              <w:rPr>
                <w:i/>
                <w:spacing w:val="-5"/>
                <w:sz w:val="20"/>
              </w:rPr>
              <w:t xml:space="preserve"> </w:t>
            </w:r>
            <w:r>
              <w:rPr>
                <w:i/>
                <w:sz w:val="20"/>
              </w:rPr>
              <w:t>Duty</w:t>
            </w:r>
            <w:r>
              <w:rPr>
                <w:i/>
                <w:spacing w:val="-4"/>
                <w:sz w:val="20"/>
              </w:rPr>
              <w:t xml:space="preserve"> </w:t>
            </w:r>
            <w:r>
              <w:rPr>
                <w:i/>
                <w:spacing w:val="-2"/>
                <w:sz w:val="20"/>
              </w:rPr>
              <w:t>Measures</w:t>
            </w:r>
          </w:p>
        </w:tc>
        <w:tc>
          <w:tcPr>
            <w:tcW w:w="3802" w:type="dxa"/>
            <w:tcBorders>
              <w:top w:val="single" w:sz="4" w:space="0" w:color="000000"/>
              <w:right w:val="single" w:sz="4" w:space="0" w:color="000000"/>
            </w:tcBorders>
          </w:tcPr>
          <w:p w14:paraId="51DE7DBF" w14:textId="77777777" w:rsidR="0010369C" w:rsidRDefault="008E43AE">
            <w:pPr>
              <w:pStyle w:val="TableParagraph"/>
              <w:spacing w:before="19"/>
              <w:ind w:left="66"/>
            </w:pPr>
            <w:r>
              <w:t>n</w:t>
            </w:r>
            <w:r>
              <w:rPr>
                <w:spacing w:val="-2"/>
              </w:rPr>
              <w:t xml:space="preserve"> </w:t>
            </w:r>
            <w:r>
              <w:t>‐</w:t>
            </w:r>
            <w:r>
              <w:rPr>
                <w:spacing w:val="-1"/>
              </w:rPr>
              <w:t xml:space="preserve"> </w:t>
            </w:r>
            <w:r>
              <w:rPr>
                <w:spacing w:val="-2"/>
              </w:rPr>
              <w:t>REDACTED</w:t>
            </w:r>
          </w:p>
          <w:p w14:paraId="51DE7DC0" w14:textId="77777777" w:rsidR="0010369C" w:rsidRDefault="008E43AE">
            <w:pPr>
              <w:pStyle w:val="TableParagraph"/>
              <w:spacing w:before="28" w:line="243" w:lineRule="exact"/>
              <w:ind w:left="885"/>
              <w:rPr>
                <w:sz w:val="20"/>
              </w:rPr>
            </w:pPr>
            <w:r>
              <w:rPr>
                <w:sz w:val="20"/>
              </w:rPr>
              <w:t>Australia's</w:t>
            </w:r>
            <w:r>
              <w:rPr>
                <w:spacing w:val="-5"/>
                <w:sz w:val="20"/>
              </w:rPr>
              <w:t xml:space="preserve"> </w:t>
            </w:r>
            <w:r>
              <w:rPr>
                <w:sz w:val="20"/>
              </w:rPr>
              <w:t>First</w:t>
            </w:r>
            <w:r>
              <w:rPr>
                <w:spacing w:val="-2"/>
                <w:sz w:val="20"/>
              </w:rPr>
              <w:t xml:space="preserve"> </w:t>
            </w:r>
            <w:r>
              <w:rPr>
                <w:sz w:val="20"/>
              </w:rPr>
              <w:t>Written</w:t>
            </w:r>
            <w:r>
              <w:rPr>
                <w:spacing w:val="-2"/>
                <w:sz w:val="20"/>
              </w:rPr>
              <w:t xml:space="preserve"> Submission</w:t>
            </w:r>
          </w:p>
        </w:tc>
      </w:tr>
      <w:tr w:rsidR="0010369C" w14:paraId="51DE7DC4" w14:textId="77777777">
        <w:trPr>
          <w:trHeight w:val="265"/>
        </w:trPr>
        <w:tc>
          <w:tcPr>
            <w:tcW w:w="5416" w:type="dxa"/>
          </w:tcPr>
          <w:p w14:paraId="51DE7DC2" w14:textId="77777777" w:rsidR="0010369C" w:rsidRDefault="008E43AE">
            <w:pPr>
              <w:pStyle w:val="TableParagraph"/>
              <w:spacing w:line="226" w:lineRule="exact"/>
              <w:ind w:left="119"/>
              <w:rPr>
                <w:sz w:val="20"/>
              </w:rPr>
            </w:pPr>
            <w:r>
              <w:rPr>
                <w:i/>
                <w:sz w:val="20"/>
              </w:rPr>
              <w:t>on</w:t>
            </w:r>
            <w:r>
              <w:rPr>
                <w:i/>
                <w:spacing w:val="-1"/>
                <w:sz w:val="20"/>
              </w:rPr>
              <w:t xml:space="preserve"> </w:t>
            </w:r>
            <w:r>
              <w:rPr>
                <w:i/>
                <w:sz w:val="20"/>
              </w:rPr>
              <w:t>Wine</w:t>
            </w:r>
            <w:r>
              <w:rPr>
                <w:i/>
                <w:spacing w:val="-1"/>
                <w:sz w:val="20"/>
              </w:rPr>
              <w:t xml:space="preserve"> </w:t>
            </w:r>
            <w:r>
              <w:rPr>
                <w:i/>
                <w:sz w:val="20"/>
              </w:rPr>
              <w:t>from</w:t>
            </w:r>
            <w:r>
              <w:rPr>
                <w:i/>
                <w:spacing w:val="-3"/>
                <w:sz w:val="20"/>
              </w:rPr>
              <w:t xml:space="preserve"> </w:t>
            </w:r>
            <w:r>
              <w:rPr>
                <w:i/>
                <w:sz w:val="20"/>
              </w:rPr>
              <w:t>Australia</w:t>
            </w:r>
            <w:r>
              <w:rPr>
                <w:i/>
                <w:spacing w:val="-1"/>
                <w:sz w:val="20"/>
              </w:rPr>
              <w:t xml:space="preserve"> </w:t>
            </w:r>
            <w:r>
              <w:rPr>
                <w:spacing w:val="-2"/>
                <w:sz w:val="20"/>
              </w:rPr>
              <w:t>(DS602)</w:t>
            </w:r>
          </w:p>
        </w:tc>
        <w:tc>
          <w:tcPr>
            <w:tcW w:w="3802" w:type="dxa"/>
          </w:tcPr>
          <w:p w14:paraId="51DE7DC3" w14:textId="77777777" w:rsidR="0010369C" w:rsidRDefault="008E43AE">
            <w:pPr>
              <w:pStyle w:val="TableParagraph"/>
              <w:spacing w:line="226" w:lineRule="exact"/>
              <w:ind w:right="24"/>
              <w:jc w:val="right"/>
              <w:rPr>
                <w:sz w:val="20"/>
              </w:rPr>
            </w:pPr>
            <w:r>
              <w:rPr>
                <w:sz w:val="20"/>
              </w:rPr>
              <w:t>29</w:t>
            </w:r>
            <w:r>
              <w:rPr>
                <w:spacing w:val="-1"/>
                <w:sz w:val="20"/>
              </w:rPr>
              <w:t xml:space="preserve"> </w:t>
            </w:r>
            <w:r>
              <w:rPr>
                <w:sz w:val="20"/>
              </w:rPr>
              <w:t>April</w:t>
            </w:r>
            <w:r>
              <w:rPr>
                <w:spacing w:val="-2"/>
                <w:sz w:val="20"/>
              </w:rPr>
              <w:t xml:space="preserve"> </w:t>
            </w:r>
            <w:r>
              <w:rPr>
                <w:spacing w:val="-4"/>
                <w:sz w:val="20"/>
              </w:rPr>
              <w:t>2022</w:t>
            </w:r>
          </w:p>
        </w:tc>
      </w:tr>
      <w:tr w:rsidR="0010369C" w14:paraId="51DE7DC7" w14:textId="77777777">
        <w:trPr>
          <w:trHeight w:val="283"/>
        </w:trPr>
        <w:tc>
          <w:tcPr>
            <w:tcW w:w="5416" w:type="dxa"/>
          </w:tcPr>
          <w:p w14:paraId="51DE7DC5" w14:textId="77777777" w:rsidR="0010369C" w:rsidRDefault="008E43AE">
            <w:pPr>
              <w:pStyle w:val="TableParagraph"/>
              <w:spacing w:line="263" w:lineRule="exact"/>
              <w:ind w:left="969"/>
              <w:rPr>
                <w:sz w:val="24"/>
              </w:rPr>
            </w:pPr>
            <w:r>
              <w:rPr>
                <w:sz w:val="24"/>
              </w:rPr>
              <w:t>Australia's</w:t>
            </w:r>
            <w:r>
              <w:rPr>
                <w:spacing w:val="54"/>
                <w:sz w:val="24"/>
              </w:rPr>
              <w:t xml:space="preserve"> </w:t>
            </w:r>
            <w:r>
              <w:rPr>
                <w:sz w:val="24"/>
              </w:rPr>
              <w:t>interpretation</w:t>
            </w:r>
            <w:r>
              <w:rPr>
                <w:spacing w:val="55"/>
                <w:sz w:val="24"/>
              </w:rPr>
              <w:t xml:space="preserve"> </w:t>
            </w:r>
            <w:r>
              <w:rPr>
                <w:sz w:val="24"/>
              </w:rPr>
              <w:t>of</w:t>
            </w:r>
            <w:r>
              <w:rPr>
                <w:spacing w:val="55"/>
                <w:sz w:val="24"/>
              </w:rPr>
              <w:t xml:space="preserve"> </w:t>
            </w:r>
            <w:r>
              <w:rPr>
                <w:sz w:val="24"/>
              </w:rPr>
              <w:t>"export</w:t>
            </w:r>
            <w:r>
              <w:rPr>
                <w:spacing w:val="55"/>
                <w:sz w:val="24"/>
              </w:rPr>
              <w:t xml:space="preserve"> </w:t>
            </w:r>
            <w:r>
              <w:rPr>
                <w:spacing w:val="-2"/>
                <w:sz w:val="24"/>
              </w:rPr>
              <w:t>price"</w:t>
            </w:r>
          </w:p>
        </w:tc>
        <w:tc>
          <w:tcPr>
            <w:tcW w:w="3802" w:type="dxa"/>
          </w:tcPr>
          <w:p w14:paraId="51DE7DC6" w14:textId="77777777" w:rsidR="0010369C" w:rsidRDefault="008E43AE">
            <w:pPr>
              <w:pStyle w:val="TableParagraph"/>
              <w:spacing w:line="263" w:lineRule="exact"/>
              <w:ind w:right="27"/>
              <w:jc w:val="right"/>
              <w:rPr>
                <w:sz w:val="24"/>
              </w:rPr>
            </w:pPr>
            <w:r>
              <w:rPr>
                <w:sz w:val="24"/>
              </w:rPr>
              <w:t>–</w:t>
            </w:r>
            <w:r>
              <w:rPr>
                <w:spacing w:val="62"/>
                <w:sz w:val="24"/>
              </w:rPr>
              <w:t xml:space="preserve"> </w:t>
            </w:r>
            <w:r>
              <w:rPr>
                <w:sz w:val="24"/>
              </w:rPr>
              <w:t>i.e.</w:t>
            </w:r>
            <w:r>
              <w:rPr>
                <w:spacing w:val="62"/>
                <w:sz w:val="24"/>
              </w:rPr>
              <w:t xml:space="preserve"> </w:t>
            </w:r>
            <w:r>
              <w:rPr>
                <w:sz w:val="24"/>
              </w:rPr>
              <w:t>the</w:t>
            </w:r>
            <w:r>
              <w:rPr>
                <w:spacing w:val="62"/>
                <w:sz w:val="24"/>
              </w:rPr>
              <w:t xml:space="preserve"> </w:t>
            </w:r>
            <w:r>
              <w:rPr>
                <w:sz w:val="24"/>
              </w:rPr>
              <w:t>actual</w:t>
            </w:r>
            <w:r>
              <w:rPr>
                <w:spacing w:val="61"/>
                <w:sz w:val="24"/>
              </w:rPr>
              <w:t xml:space="preserve"> </w:t>
            </w:r>
            <w:r>
              <w:rPr>
                <w:sz w:val="24"/>
              </w:rPr>
              <w:t>export</w:t>
            </w:r>
            <w:r>
              <w:rPr>
                <w:spacing w:val="59"/>
                <w:sz w:val="24"/>
              </w:rPr>
              <w:t xml:space="preserve"> </w:t>
            </w:r>
            <w:r>
              <w:rPr>
                <w:sz w:val="24"/>
              </w:rPr>
              <w:t>price</w:t>
            </w:r>
            <w:r>
              <w:rPr>
                <w:spacing w:val="62"/>
                <w:sz w:val="24"/>
              </w:rPr>
              <w:t xml:space="preserve"> </w:t>
            </w:r>
            <w:r>
              <w:rPr>
                <w:sz w:val="24"/>
              </w:rPr>
              <w:t>for</w:t>
            </w:r>
            <w:r>
              <w:rPr>
                <w:spacing w:val="62"/>
                <w:sz w:val="24"/>
              </w:rPr>
              <w:t xml:space="preserve"> </w:t>
            </w:r>
            <w:r>
              <w:rPr>
                <w:spacing w:val="-10"/>
                <w:sz w:val="24"/>
              </w:rPr>
              <w:t>a</w:t>
            </w:r>
          </w:p>
        </w:tc>
      </w:tr>
    </w:tbl>
    <w:p w14:paraId="51DE7DC8" w14:textId="77777777" w:rsidR="0010369C" w:rsidRDefault="0010369C">
      <w:pPr>
        <w:pStyle w:val="BodyText"/>
        <w:spacing w:before="11"/>
        <w:rPr>
          <w:sz w:val="8"/>
        </w:rPr>
      </w:pPr>
    </w:p>
    <w:p w14:paraId="51DE7DC9" w14:textId="77777777" w:rsidR="0010369C" w:rsidRDefault="008E43AE">
      <w:pPr>
        <w:pStyle w:val="BodyText"/>
        <w:spacing w:before="52" w:line="360" w:lineRule="auto"/>
        <w:ind w:left="236" w:right="614" w:firstLine="1"/>
        <w:jc w:val="both"/>
      </w:pPr>
      <w:r>
        <w:pict w14:anchorId="51DE9DDA">
          <v:rect id="docshape97" o:spid="_x0000_s3168" style="position:absolute;left:0;text-align:left;margin-left:65pt;margin-top:-46.05pt;width:461.4pt;height:.5pt;z-index:-251428352;mso-position-horizontal-relative:page" fillcolor="black" stroked="f">
            <w10:wrap anchorx="page"/>
          </v:rect>
        </w:pict>
      </w:r>
      <w:r>
        <w:rPr>
          <w:noProof/>
        </w:rPr>
        <w:drawing>
          <wp:anchor distT="0" distB="0" distL="0" distR="0" simplePos="0" relativeHeight="250788352" behindDoc="1" locked="0" layoutInCell="1" allowOverlap="1" wp14:anchorId="51DE9DDB" wp14:editId="51DE9DDC">
            <wp:simplePos x="0" y="0"/>
            <wp:positionH relativeFrom="page">
              <wp:posOffset>902208</wp:posOffset>
            </wp:positionH>
            <wp:positionV relativeFrom="paragraph">
              <wp:posOffset>-198297</wp:posOffset>
            </wp:positionV>
            <wp:extent cx="182879" cy="103631"/>
            <wp:effectExtent l="0" t="0" r="0" b="0"/>
            <wp:wrapNone/>
            <wp:docPr id="183" name="image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100.png"/>
                    <pic:cNvPicPr/>
                  </pic:nvPicPr>
                  <pic:blipFill>
                    <a:blip r:embed="rId186" cstate="print"/>
                    <a:stretch>
                      <a:fillRect/>
                    </a:stretch>
                  </pic:blipFill>
                  <pic:spPr>
                    <a:xfrm>
                      <a:off x="0" y="0"/>
                      <a:ext cx="182879" cy="103631"/>
                    </a:xfrm>
                    <a:prstGeom prst="rect">
                      <a:avLst/>
                    </a:prstGeom>
                  </pic:spPr>
                </pic:pic>
              </a:graphicData>
            </a:graphic>
          </wp:anchor>
        </w:drawing>
      </w:r>
      <w:r>
        <w:t>particular</w:t>
      </w:r>
      <w:r>
        <w:rPr>
          <w:spacing w:val="-7"/>
        </w:rPr>
        <w:t xml:space="preserve"> </w:t>
      </w:r>
      <w:r>
        <w:t>exporter</w:t>
      </w:r>
      <w:r>
        <w:rPr>
          <w:spacing w:val="-7"/>
        </w:rPr>
        <w:t xml:space="preserve"> </w:t>
      </w:r>
      <w:r>
        <w:t>–</w:t>
      </w:r>
      <w:r>
        <w:rPr>
          <w:spacing w:val="-7"/>
        </w:rPr>
        <w:t xml:space="preserve"> </w:t>
      </w:r>
      <w:r>
        <w:t>is</w:t>
      </w:r>
      <w:r>
        <w:rPr>
          <w:spacing w:val="-8"/>
        </w:rPr>
        <w:t xml:space="preserve"> </w:t>
      </w:r>
      <w:r>
        <w:t>supported</w:t>
      </w:r>
      <w:r>
        <w:rPr>
          <w:spacing w:val="-7"/>
        </w:rPr>
        <w:t xml:space="preserve"> </w:t>
      </w:r>
      <w:r>
        <w:t>by</w:t>
      </w:r>
      <w:r>
        <w:rPr>
          <w:spacing w:val="-8"/>
        </w:rPr>
        <w:t xml:space="preserve"> </w:t>
      </w:r>
      <w:r>
        <w:t>an</w:t>
      </w:r>
      <w:r>
        <w:rPr>
          <w:spacing w:val="-8"/>
        </w:rPr>
        <w:t xml:space="preserve"> </w:t>
      </w:r>
      <w:r>
        <w:t>examination</w:t>
      </w:r>
      <w:r>
        <w:rPr>
          <w:spacing w:val="-7"/>
        </w:rPr>
        <w:t xml:space="preserve"> </w:t>
      </w:r>
      <w:r>
        <w:t>of</w:t>
      </w:r>
      <w:r>
        <w:rPr>
          <w:spacing w:val="-8"/>
        </w:rPr>
        <w:t xml:space="preserve"> </w:t>
      </w:r>
      <w:r>
        <w:t>the</w:t>
      </w:r>
      <w:r>
        <w:rPr>
          <w:spacing w:val="-7"/>
        </w:rPr>
        <w:t xml:space="preserve"> </w:t>
      </w:r>
      <w:r>
        <w:t>context</w:t>
      </w:r>
      <w:r>
        <w:rPr>
          <w:spacing w:val="-8"/>
        </w:rPr>
        <w:t xml:space="preserve"> </w:t>
      </w:r>
      <w:r>
        <w:t>of</w:t>
      </w:r>
      <w:r>
        <w:rPr>
          <w:spacing w:val="-8"/>
        </w:rPr>
        <w:t xml:space="preserve"> </w:t>
      </w:r>
      <w:r>
        <w:t>the</w:t>
      </w:r>
      <w:r>
        <w:rPr>
          <w:spacing w:val="-7"/>
        </w:rPr>
        <w:t xml:space="preserve"> </w:t>
      </w:r>
      <w:r>
        <w:t>term</w:t>
      </w:r>
      <w:r>
        <w:rPr>
          <w:spacing w:val="-7"/>
        </w:rPr>
        <w:t xml:space="preserve"> </w:t>
      </w:r>
      <w:r>
        <w:t>"export</w:t>
      </w:r>
      <w:r>
        <w:rPr>
          <w:spacing w:val="-8"/>
        </w:rPr>
        <w:t xml:space="preserve"> </w:t>
      </w:r>
      <w:r>
        <w:t>price" within the Anti‐Dumping Agreement, and the object and purpose of the Anti‐Dumping Agreement. In particular, the Appellate Body has identified of a number of "fun</w:t>
      </w:r>
      <w:r>
        <w:t>damental disciplines that apply under the Anti‐Dumping Agreement and the GATT 1994 to all anti‐dumping proceedings".</w:t>
      </w:r>
      <w:r>
        <w:rPr>
          <w:vertAlign w:val="superscript"/>
        </w:rPr>
        <w:t>99</w:t>
      </w:r>
      <w:r>
        <w:t xml:space="preserve"> These fundamental disciplines include that:</w:t>
      </w:r>
      <w:r>
        <w:rPr>
          <w:vertAlign w:val="superscript"/>
        </w:rPr>
        <w:t>100</w:t>
      </w:r>
    </w:p>
    <w:p w14:paraId="51DE7DCA" w14:textId="77777777" w:rsidR="0010369C" w:rsidRDefault="008E43AE">
      <w:pPr>
        <w:spacing w:before="161"/>
        <w:ind w:left="1088" w:right="611"/>
        <w:jc w:val="both"/>
      </w:pPr>
      <w:r>
        <w:t>[T]he</w:t>
      </w:r>
      <w:r>
        <w:rPr>
          <w:spacing w:val="-4"/>
        </w:rPr>
        <w:t xml:space="preserve"> </w:t>
      </w:r>
      <w:r>
        <w:t>Anti‐Dumping</w:t>
      </w:r>
      <w:r>
        <w:rPr>
          <w:spacing w:val="-4"/>
        </w:rPr>
        <w:t xml:space="preserve"> </w:t>
      </w:r>
      <w:r>
        <w:t>Agreement</w:t>
      </w:r>
      <w:r>
        <w:rPr>
          <w:spacing w:val="-4"/>
        </w:rPr>
        <w:t xml:space="preserve"> </w:t>
      </w:r>
      <w:r>
        <w:t>prescribes</w:t>
      </w:r>
      <w:r>
        <w:rPr>
          <w:spacing w:val="-4"/>
        </w:rPr>
        <w:t xml:space="preserve"> </w:t>
      </w:r>
      <w:r>
        <w:t>that</w:t>
      </w:r>
      <w:r>
        <w:rPr>
          <w:spacing w:val="-4"/>
        </w:rPr>
        <w:t xml:space="preserve"> </w:t>
      </w:r>
      <w:r>
        <w:t>dumping</w:t>
      </w:r>
      <w:r>
        <w:rPr>
          <w:spacing w:val="-4"/>
        </w:rPr>
        <w:t xml:space="preserve"> </w:t>
      </w:r>
      <w:r>
        <w:t>determinations</w:t>
      </w:r>
      <w:r>
        <w:rPr>
          <w:spacing w:val="-4"/>
        </w:rPr>
        <w:t xml:space="preserve"> </w:t>
      </w:r>
      <w:r>
        <w:t>be</w:t>
      </w:r>
      <w:r>
        <w:rPr>
          <w:spacing w:val="-4"/>
        </w:rPr>
        <w:t xml:space="preserve"> </w:t>
      </w:r>
      <w:r>
        <w:t>made</w:t>
      </w:r>
      <w:r>
        <w:rPr>
          <w:spacing w:val="-5"/>
        </w:rPr>
        <w:t xml:space="preserve"> </w:t>
      </w:r>
      <w:r>
        <w:t>in</w:t>
      </w:r>
      <w:r>
        <w:rPr>
          <w:spacing w:val="-5"/>
        </w:rPr>
        <w:t xml:space="preserve"> </w:t>
      </w:r>
      <w:r>
        <w:t xml:space="preserve">respect of each exporter or foreign producer examined. This is because dumping is the result of the pricing behaviour of individual exporters or foreign producers. Margins of dumping are established accordingly for each exporter or foreign producer on the </w:t>
      </w:r>
      <w:r>
        <w:t>basis of a comparison between normal value and export prices, both of which relate to the pricing behaviour of that exporter or foreign producer. In order to assess properly the pricing behaviour of an individual exporter or foreign producer, and to determ</w:t>
      </w:r>
      <w:r>
        <w:t>ine whether the exporter or foreign producer is in</w:t>
      </w:r>
      <w:r>
        <w:rPr>
          <w:spacing w:val="-1"/>
        </w:rPr>
        <w:t xml:space="preserve"> </w:t>
      </w:r>
      <w:r>
        <w:t>fact</w:t>
      </w:r>
      <w:r>
        <w:rPr>
          <w:spacing w:val="-1"/>
        </w:rPr>
        <w:t xml:space="preserve"> </w:t>
      </w:r>
      <w:r>
        <w:t>dumping the</w:t>
      </w:r>
      <w:r>
        <w:rPr>
          <w:spacing w:val="-1"/>
        </w:rPr>
        <w:t xml:space="preserve"> </w:t>
      </w:r>
      <w:r>
        <w:t>product under investigation</w:t>
      </w:r>
      <w:r>
        <w:rPr>
          <w:spacing w:val="-1"/>
        </w:rPr>
        <w:t xml:space="preserve"> </w:t>
      </w:r>
      <w:r>
        <w:t>and, if so,</w:t>
      </w:r>
      <w:r>
        <w:rPr>
          <w:spacing w:val="-1"/>
        </w:rPr>
        <w:t xml:space="preserve"> </w:t>
      </w:r>
      <w:r>
        <w:t>by</w:t>
      </w:r>
      <w:r>
        <w:rPr>
          <w:spacing w:val="-2"/>
        </w:rPr>
        <w:t xml:space="preserve"> </w:t>
      </w:r>
      <w:r>
        <w:t>which margin,</w:t>
      </w:r>
      <w:r>
        <w:rPr>
          <w:spacing w:val="-1"/>
        </w:rPr>
        <w:t xml:space="preserve"> </w:t>
      </w:r>
      <w:r>
        <w:t>it</w:t>
      </w:r>
      <w:r>
        <w:rPr>
          <w:spacing w:val="-1"/>
        </w:rPr>
        <w:t xml:space="preserve"> </w:t>
      </w:r>
      <w:r>
        <w:t>is obviously necessary to take into account the prices of all the export transactions of that exporter or foreign producer.</w:t>
      </w:r>
    </w:p>
    <w:p w14:paraId="51DE7DCB" w14:textId="77777777" w:rsidR="0010369C" w:rsidRDefault="008E43AE">
      <w:pPr>
        <w:pStyle w:val="BodyText"/>
        <w:spacing w:before="160" w:line="360" w:lineRule="auto"/>
        <w:ind w:left="236" w:right="613" w:firstLine="852"/>
        <w:jc w:val="both"/>
      </w:pPr>
      <w:r>
        <w:rPr>
          <w:noProof/>
        </w:rPr>
        <w:drawing>
          <wp:anchor distT="0" distB="0" distL="0" distR="0" simplePos="0" relativeHeight="250789376" behindDoc="1" locked="0" layoutInCell="1" allowOverlap="1" wp14:anchorId="51DE9DDD" wp14:editId="51DE9DDE">
            <wp:simplePos x="0" y="0"/>
            <wp:positionH relativeFrom="page">
              <wp:posOffset>902208</wp:posOffset>
            </wp:positionH>
            <wp:positionV relativeFrom="paragraph">
              <wp:posOffset>150529</wp:posOffset>
            </wp:positionV>
            <wp:extent cx="182879" cy="100753"/>
            <wp:effectExtent l="0" t="0" r="0" b="0"/>
            <wp:wrapNone/>
            <wp:docPr id="185" name="image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101.png"/>
                    <pic:cNvPicPr/>
                  </pic:nvPicPr>
                  <pic:blipFill>
                    <a:blip r:embed="rId187" cstate="print"/>
                    <a:stretch>
                      <a:fillRect/>
                    </a:stretch>
                  </pic:blipFill>
                  <pic:spPr>
                    <a:xfrm>
                      <a:off x="0" y="0"/>
                      <a:ext cx="182879" cy="100753"/>
                    </a:xfrm>
                    <a:prstGeom prst="rect">
                      <a:avLst/>
                    </a:prstGeom>
                  </pic:spPr>
                </pic:pic>
              </a:graphicData>
            </a:graphic>
          </wp:anchor>
        </w:drawing>
      </w:r>
      <w:r>
        <w:t>Thi</w:t>
      </w:r>
      <w:r>
        <w:t>s interpretation of export price is supported by other provisions of the Anti‐ Dumping</w:t>
      </w:r>
      <w:r>
        <w:rPr>
          <w:spacing w:val="-1"/>
        </w:rPr>
        <w:t xml:space="preserve"> </w:t>
      </w:r>
      <w:r>
        <w:t>Agreement</w:t>
      </w:r>
      <w:r>
        <w:rPr>
          <w:spacing w:val="-2"/>
        </w:rPr>
        <w:t xml:space="preserve"> </w:t>
      </w:r>
      <w:r>
        <w:t>which</w:t>
      </w:r>
      <w:r>
        <w:rPr>
          <w:spacing w:val="-2"/>
        </w:rPr>
        <w:t xml:space="preserve"> </w:t>
      </w:r>
      <w:r>
        <w:t>make</w:t>
      </w:r>
      <w:r>
        <w:rPr>
          <w:spacing w:val="-1"/>
        </w:rPr>
        <w:t xml:space="preserve"> </w:t>
      </w:r>
      <w:r>
        <w:t>it</w:t>
      </w:r>
      <w:r>
        <w:rPr>
          <w:spacing w:val="-1"/>
        </w:rPr>
        <w:t xml:space="preserve"> </w:t>
      </w:r>
      <w:r>
        <w:t>clear</w:t>
      </w:r>
      <w:r>
        <w:rPr>
          <w:spacing w:val="-1"/>
        </w:rPr>
        <w:t xml:space="preserve"> </w:t>
      </w:r>
      <w:r>
        <w:t>that</w:t>
      </w:r>
      <w:r>
        <w:rPr>
          <w:spacing w:val="-2"/>
        </w:rPr>
        <w:t xml:space="preserve"> </w:t>
      </w:r>
      <w:r>
        <w:t>"dumping"</w:t>
      </w:r>
      <w:r>
        <w:rPr>
          <w:spacing w:val="-2"/>
        </w:rPr>
        <w:t xml:space="preserve"> </w:t>
      </w:r>
      <w:r>
        <w:t>and</w:t>
      </w:r>
      <w:r>
        <w:rPr>
          <w:spacing w:val="-2"/>
        </w:rPr>
        <w:t xml:space="preserve"> </w:t>
      </w:r>
      <w:r>
        <w:t>"margins</w:t>
      </w:r>
      <w:r>
        <w:rPr>
          <w:spacing w:val="-1"/>
        </w:rPr>
        <w:t xml:space="preserve"> </w:t>
      </w:r>
      <w:r>
        <w:t>of</w:t>
      </w:r>
      <w:r>
        <w:rPr>
          <w:spacing w:val="-2"/>
        </w:rPr>
        <w:t xml:space="preserve"> </w:t>
      </w:r>
      <w:r>
        <w:t>dumping"</w:t>
      </w:r>
      <w:r>
        <w:rPr>
          <w:spacing w:val="-1"/>
        </w:rPr>
        <w:t xml:space="preserve"> </w:t>
      </w:r>
      <w:r>
        <w:t>relate</w:t>
      </w:r>
      <w:r>
        <w:rPr>
          <w:spacing w:val="-1"/>
        </w:rPr>
        <w:t xml:space="preserve"> </w:t>
      </w:r>
      <w:r>
        <w:t xml:space="preserve">to the exporter or foreign producer. Article 6.10 requires, "as a rule", that investigating </w:t>
      </w:r>
      <w:r>
        <w:t xml:space="preserve">authorities determine "an individual margin of dumping for each known exporter or </w:t>
      </w:r>
      <w:r>
        <w:rPr>
          <w:spacing w:val="-2"/>
        </w:rPr>
        <w:t>producer".</w:t>
      </w:r>
      <w:r>
        <w:rPr>
          <w:spacing w:val="-2"/>
          <w:vertAlign w:val="superscript"/>
        </w:rPr>
        <w:t>101</w:t>
      </w:r>
    </w:p>
    <w:p w14:paraId="51DE7DCC" w14:textId="77777777" w:rsidR="0010369C" w:rsidRDefault="008E43AE">
      <w:pPr>
        <w:pStyle w:val="ListParagraph"/>
        <w:numPr>
          <w:ilvl w:val="3"/>
          <w:numId w:val="75"/>
        </w:numPr>
        <w:tabs>
          <w:tab w:val="left" w:pos="3642"/>
          <w:tab w:val="left" w:pos="3643"/>
        </w:tabs>
        <w:spacing w:before="160" w:line="489" w:lineRule="auto"/>
        <w:ind w:left="1089" w:right="4160" w:firstLine="1701"/>
        <w:jc w:val="both"/>
        <w:rPr>
          <w:sz w:val="24"/>
        </w:rPr>
      </w:pPr>
      <w:r>
        <w:rPr>
          <w:noProof/>
        </w:rPr>
        <w:drawing>
          <wp:anchor distT="0" distB="0" distL="0" distR="0" simplePos="0" relativeHeight="250609152" behindDoc="0" locked="0" layoutInCell="1" allowOverlap="1" wp14:anchorId="51DE9DDF" wp14:editId="51DE9DE0">
            <wp:simplePos x="0" y="0"/>
            <wp:positionH relativeFrom="page">
              <wp:posOffset>902208</wp:posOffset>
            </wp:positionH>
            <wp:positionV relativeFrom="paragraph">
              <wp:posOffset>530768</wp:posOffset>
            </wp:positionV>
            <wp:extent cx="182879" cy="100753"/>
            <wp:effectExtent l="0" t="0" r="0" b="0"/>
            <wp:wrapNone/>
            <wp:docPr id="187" name="image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102.png"/>
                    <pic:cNvPicPr/>
                  </pic:nvPicPr>
                  <pic:blipFill>
                    <a:blip r:embed="rId188" cstate="print"/>
                    <a:stretch>
                      <a:fillRect/>
                    </a:stretch>
                  </pic:blipFill>
                  <pic:spPr>
                    <a:xfrm>
                      <a:off x="0" y="0"/>
                      <a:ext cx="182879" cy="100753"/>
                    </a:xfrm>
                    <a:prstGeom prst="rect">
                      <a:avLst/>
                    </a:prstGeom>
                  </pic:spPr>
                </pic:pic>
              </a:graphicData>
            </a:graphic>
          </wp:anchor>
        </w:drawing>
      </w:r>
      <w:r>
        <w:rPr>
          <w:sz w:val="24"/>
          <w:u w:val="single"/>
        </w:rPr>
        <w:t>Article</w:t>
      </w:r>
      <w:r>
        <w:rPr>
          <w:spacing w:val="-14"/>
          <w:sz w:val="24"/>
          <w:u w:val="single"/>
        </w:rPr>
        <w:t xml:space="preserve"> </w:t>
      </w:r>
      <w:r>
        <w:rPr>
          <w:sz w:val="24"/>
          <w:u w:val="single"/>
        </w:rPr>
        <w:t>2.2</w:t>
      </w:r>
      <w:r>
        <w:rPr>
          <w:spacing w:val="-14"/>
          <w:sz w:val="24"/>
          <w:u w:val="single"/>
        </w:rPr>
        <w:t xml:space="preserve"> </w:t>
      </w:r>
      <w:r>
        <w:rPr>
          <w:sz w:val="24"/>
          <w:u w:val="single"/>
        </w:rPr>
        <w:t>obligations</w:t>
      </w:r>
      <w:r>
        <w:rPr>
          <w:sz w:val="24"/>
        </w:rPr>
        <w:t xml:space="preserve"> Article 2.2 provides:</w:t>
      </w:r>
    </w:p>
    <w:p w14:paraId="51DE7DCD" w14:textId="77777777" w:rsidR="0010369C" w:rsidRDefault="008E43AE">
      <w:pPr>
        <w:spacing w:before="4" w:line="276" w:lineRule="auto"/>
        <w:ind w:left="1088" w:right="613"/>
        <w:jc w:val="both"/>
      </w:pPr>
      <w:r>
        <w:t xml:space="preserve">When there are no sales of the like product in the ordinary course of trade in the domestic market of the exporting country or when, because of the particular market situation or the low volume of the sales in the domestic market of the exporting country, </w:t>
      </w:r>
      <w:r>
        <w:t>such sales do not permit</w:t>
      </w:r>
      <w:r>
        <w:rPr>
          <w:spacing w:val="-11"/>
        </w:rPr>
        <w:t xml:space="preserve"> </w:t>
      </w:r>
      <w:r>
        <w:t>a</w:t>
      </w:r>
      <w:r>
        <w:rPr>
          <w:spacing w:val="-10"/>
        </w:rPr>
        <w:t xml:space="preserve"> </w:t>
      </w:r>
      <w:r>
        <w:t>proper</w:t>
      </w:r>
      <w:r>
        <w:rPr>
          <w:spacing w:val="-11"/>
        </w:rPr>
        <w:t xml:space="preserve"> </w:t>
      </w:r>
      <w:r>
        <w:t>comparison,</w:t>
      </w:r>
      <w:r>
        <w:rPr>
          <w:spacing w:val="-11"/>
        </w:rPr>
        <w:t xml:space="preserve"> </w:t>
      </w:r>
      <w:r>
        <w:t>the</w:t>
      </w:r>
      <w:r>
        <w:rPr>
          <w:spacing w:val="-10"/>
        </w:rPr>
        <w:t xml:space="preserve"> </w:t>
      </w:r>
      <w:r>
        <w:t>margin</w:t>
      </w:r>
      <w:r>
        <w:rPr>
          <w:spacing w:val="-10"/>
        </w:rPr>
        <w:t xml:space="preserve"> </w:t>
      </w:r>
      <w:r>
        <w:t>of</w:t>
      </w:r>
      <w:r>
        <w:rPr>
          <w:spacing w:val="-11"/>
        </w:rPr>
        <w:t xml:space="preserve"> </w:t>
      </w:r>
      <w:r>
        <w:t>dumping</w:t>
      </w:r>
      <w:r>
        <w:rPr>
          <w:spacing w:val="-11"/>
        </w:rPr>
        <w:t xml:space="preserve"> </w:t>
      </w:r>
      <w:r>
        <w:t>shall</w:t>
      </w:r>
      <w:r>
        <w:rPr>
          <w:spacing w:val="-11"/>
        </w:rPr>
        <w:t xml:space="preserve"> </w:t>
      </w:r>
      <w:r>
        <w:t>be</w:t>
      </w:r>
      <w:r>
        <w:rPr>
          <w:spacing w:val="-11"/>
        </w:rPr>
        <w:t xml:space="preserve"> </w:t>
      </w:r>
      <w:r>
        <w:t>determined</w:t>
      </w:r>
      <w:r>
        <w:rPr>
          <w:spacing w:val="-10"/>
        </w:rPr>
        <w:t xml:space="preserve"> </w:t>
      </w:r>
      <w:r>
        <w:t>by</w:t>
      </w:r>
      <w:r>
        <w:rPr>
          <w:spacing w:val="-11"/>
        </w:rPr>
        <w:t xml:space="preserve"> </w:t>
      </w:r>
      <w:r>
        <w:t>comparison</w:t>
      </w:r>
      <w:r>
        <w:rPr>
          <w:spacing w:val="-12"/>
        </w:rPr>
        <w:t xml:space="preserve"> </w:t>
      </w:r>
      <w:r>
        <w:t>with a comparable price of the like product when exported to an appropriate third country, provided that this price is representative, or with the cost of</w:t>
      </w:r>
      <w:r>
        <w:t xml:space="preserve"> production in the country of origin</w:t>
      </w:r>
      <w:r>
        <w:rPr>
          <w:spacing w:val="-1"/>
        </w:rPr>
        <w:t xml:space="preserve"> </w:t>
      </w:r>
      <w:r>
        <w:t>plus</w:t>
      </w:r>
      <w:r>
        <w:rPr>
          <w:spacing w:val="-1"/>
        </w:rPr>
        <w:t xml:space="preserve"> </w:t>
      </w:r>
      <w:r>
        <w:t>a</w:t>
      </w:r>
      <w:r>
        <w:rPr>
          <w:spacing w:val="-1"/>
        </w:rPr>
        <w:t xml:space="preserve"> </w:t>
      </w:r>
      <w:r>
        <w:t>reasonable</w:t>
      </w:r>
      <w:r>
        <w:rPr>
          <w:spacing w:val="-2"/>
        </w:rPr>
        <w:t xml:space="preserve"> </w:t>
      </w:r>
      <w:r>
        <w:t>amount</w:t>
      </w:r>
      <w:r>
        <w:rPr>
          <w:spacing w:val="-2"/>
        </w:rPr>
        <w:t xml:space="preserve"> </w:t>
      </w:r>
      <w:r>
        <w:t>for</w:t>
      </w:r>
      <w:r>
        <w:rPr>
          <w:spacing w:val="-1"/>
        </w:rPr>
        <w:t xml:space="preserve"> </w:t>
      </w:r>
      <w:r>
        <w:t>administrative, selling</w:t>
      </w:r>
      <w:r>
        <w:rPr>
          <w:spacing w:val="-2"/>
        </w:rPr>
        <w:t xml:space="preserve"> </w:t>
      </w:r>
      <w:r>
        <w:t>and general</w:t>
      </w:r>
      <w:r>
        <w:rPr>
          <w:spacing w:val="-1"/>
        </w:rPr>
        <w:t xml:space="preserve"> </w:t>
      </w:r>
      <w:r>
        <w:t>costs</w:t>
      </w:r>
      <w:r>
        <w:rPr>
          <w:spacing w:val="-1"/>
        </w:rPr>
        <w:t xml:space="preserve"> </w:t>
      </w:r>
      <w:r>
        <w:t>and</w:t>
      </w:r>
      <w:r>
        <w:rPr>
          <w:spacing w:val="-2"/>
        </w:rPr>
        <w:t xml:space="preserve"> </w:t>
      </w:r>
      <w:r>
        <w:t>for</w:t>
      </w:r>
      <w:r>
        <w:rPr>
          <w:spacing w:val="-1"/>
        </w:rPr>
        <w:t xml:space="preserve"> </w:t>
      </w:r>
      <w:r>
        <w:t>profits. (footnote omitted)</w:t>
      </w:r>
    </w:p>
    <w:p w14:paraId="51DE7DCE" w14:textId="77777777" w:rsidR="0010369C" w:rsidRDefault="0010369C">
      <w:pPr>
        <w:pStyle w:val="BodyText"/>
        <w:spacing w:before="7"/>
        <w:rPr>
          <w:sz w:val="19"/>
        </w:rPr>
      </w:pPr>
    </w:p>
    <w:p w14:paraId="51DE7DCF" w14:textId="77777777" w:rsidR="0010369C" w:rsidRDefault="008E43AE">
      <w:pPr>
        <w:pStyle w:val="BodyText"/>
        <w:spacing w:line="360" w:lineRule="auto"/>
        <w:ind w:left="238" w:right="614" w:firstLine="851"/>
        <w:jc w:val="both"/>
      </w:pPr>
      <w:r>
        <w:rPr>
          <w:noProof/>
        </w:rPr>
        <w:drawing>
          <wp:anchor distT="0" distB="0" distL="0" distR="0" simplePos="0" relativeHeight="250790400" behindDoc="1" locked="0" layoutInCell="1" allowOverlap="1" wp14:anchorId="51DE9DE1" wp14:editId="51DE9DE2">
            <wp:simplePos x="0" y="0"/>
            <wp:positionH relativeFrom="page">
              <wp:posOffset>902208</wp:posOffset>
            </wp:positionH>
            <wp:positionV relativeFrom="paragraph">
              <wp:posOffset>47576</wp:posOffset>
            </wp:positionV>
            <wp:extent cx="182879" cy="103631"/>
            <wp:effectExtent l="0" t="0" r="0" b="0"/>
            <wp:wrapNone/>
            <wp:docPr id="189" name="image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103.png"/>
                    <pic:cNvPicPr/>
                  </pic:nvPicPr>
                  <pic:blipFill>
                    <a:blip r:embed="rId189" cstate="print"/>
                    <a:stretch>
                      <a:fillRect/>
                    </a:stretch>
                  </pic:blipFill>
                  <pic:spPr>
                    <a:xfrm>
                      <a:off x="0" y="0"/>
                      <a:ext cx="182879" cy="103631"/>
                    </a:xfrm>
                    <a:prstGeom prst="rect">
                      <a:avLst/>
                    </a:prstGeom>
                  </pic:spPr>
                </pic:pic>
              </a:graphicData>
            </a:graphic>
          </wp:anchor>
        </w:drawing>
      </w:r>
      <w:r>
        <w:t>Thus,</w:t>
      </w:r>
      <w:r>
        <w:rPr>
          <w:spacing w:val="-6"/>
        </w:rPr>
        <w:t xml:space="preserve"> </w:t>
      </w:r>
      <w:r>
        <w:t>Article</w:t>
      </w:r>
      <w:r>
        <w:rPr>
          <w:spacing w:val="-7"/>
        </w:rPr>
        <w:t xml:space="preserve"> </w:t>
      </w:r>
      <w:r>
        <w:t>2.2</w:t>
      </w:r>
      <w:r>
        <w:rPr>
          <w:spacing w:val="-7"/>
        </w:rPr>
        <w:t xml:space="preserve"> </w:t>
      </w:r>
      <w:r>
        <w:t>sets</w:t>
      </w:r>
      <w:r>
        <w:rPr>
          <w:spacing w:val="-6"/>
        </w:rPr>
        <w:t xml:space="preserve"> </w:t>
      </w:r>
      <w:r>
        <w:t>out</w:t>
      </w:r>
      <w:r>
        <w:rPr>
          <w:spacing w:val="-7"/>
        </w:rPr>
        <w:t xml:space="preserve"> </w:t>
      </w:r>
      <w:r>
        <w:t>three</w:t>
      </w:r>
      <w:r>
        <w:rPr>
          <w:spacing w:val="-6"/>
        </w:rPr>
        <w:t xml:space="preserve"> </w:t>
      </w:r>
      <w:r>
        <w:t>specific</w:t>
      </w:r>
      <w:r>
        <w:rPr>
          <w:spacing w:val="-5"/>
        </w:rPr>
        <w:t xml:space="preserve"> </w:t>
      </w:r>
      <w:r>
        <w:t>circumstances</w:t>
      </w:r>
      <w:r>
        <w:rPr>
          <w:spacing w:val="-6"/>
        </w:rPr>
        <w:t xml:space="preserve"> </w:t>
      </w:r>
      <w:r>
        <w:t>in</w:t>
      </w:r>
      <w:r>
        <w:rPr>
          <w:spacing w:val="-6"/>
        </w:rPr>
        <w:t xml:space="preserve"> </w:t>
      </w:r>
      <w:r>
        <w:t>which</w:t>
      </w:r>
      <w:r>
        <w:rPr>
          <w:spacing w:val="-9"/>
        </w:rPr>
        <w:t xml:space="preserve"> </w:t>
      </w:r>
      <w:r>
        <w:t>it</w:t>
      </w:r>
      <w:r>
        <w:rPr>
          <w:spacing w:val="-6"/>
        </w:rPr>
        <w:t xml:space="preserve"> </w:t>
      </w:r>
      <w:r>
        <w:t>is</w:t>
      </w:r>
      <w:r>
        <w:rPr>
          <w:spacing w:val="-7"/>
        </w:rPr>
        <w:t xml:space="preserve"> </w:t>
      </w:r>
      <w:r>
        <w:t>permissible</w:t>
      </w:r>
      <w:r>
        <w:rPr>
          <w:spacing w:val="-5"/>
        </w:rPr>
        <w:t xml:space="preserve"> </w:t>
      </w:r>
      <w:r>
        <w:t>for</w:t>
      </w:r>
      <w:r>
        <w:rPr>
          <w:spacing w:val="-7"/>
        </w:rPr>
        <w:t xml:space="preserve"> </w:t>
      </w:r>
      <w:r>
        <w:t>an investigating authority to determine the normal value on a basis other than domestic sales.</w:t>
      </w:r>
    </w:p>
    <w:p w14:paraId="51DE7DD0" w14:textId="77777777" w:rsidR="0010369C" w:rsidRDefault="0010369C">
      <w:pPr>
        <w:pStyle w:val="BodyText"/>
        <w:rPr>
          <w:sz w:val="20"/>
        </w:rPr>
      </w:pPr>
    </w:p>
    <w:p w14:paraId="51DE7DD1" w14:textId="77777777" w:rsidR="0010369C" w:rsidRDefault="008E43AE">
      <w:pPr>
        <w:pStyle w:val="BodyText"/>
        <w:spacing w:before="3"/>
        <w:rPr>
          <w:sz w:val="13"/>
        </w:rPr>
      </w:pPr>
      <w:r>
        <w:pict w14:anchorId="51DE9DE3">
          <v:rect id="docshape98" o:spid="_x0000_s3167" style="position:absolute;margin-left:70.9pt;margin-top:9.35pt;width:2in;height:.8pt;z-index:-251239936;mso-wrap-distance-left:0;mso-wrap-distance-right:0;mso-position-horizontal-relative:page" fillcolor="black" stroked="f">
            <w10:wrap type="topAndBottom" anchorx="page"/>
          </v:rect>
        </w:pict>
      </w:r>
    </w:p>
    <w:p w14:paraId="51DE7DD2" w14:textId="77777777" w:rsidR="0010369C" w:rsidRDefault="008E43AE">
      <w:pPr>
        <w:spacing w:before="109"/>
        <w:ind w:left="238" w:right="5239"/>
        <w:rPr>
          <w:sz w:val="18"/>
        </w:rPr>
      </w:pPr>
      <w:r>
        <w:rPr>
          <w:sz w:val="18"/>
          <w:vertAlign w:val="superscript"/>
        </w:rPr>
        <w:t>99</w:t>
      </w:r>
      <w:r>
        <w:rPr>
          <w:sz w:val="18"/>
        </w:rPr>
        <w:t xml:space="preserve"> Appellate Body Report, </w:t>
      </w:r>
      <w:r>
        <w:rPr>
          <w:i/>
          <w:sz w:val="18"/>
        </w:rPr>
        <w:t>US — Zeroing (Japan)</w:t>
      </w:r>
      <w:r>
        <w:rPr>
          <w:sz w:val="18"/>
        </w:rPr>
        <w:t xml:space="preserve">, para. 107. </w:t>
      </w:r>
      <w:r>
        <w:rPr>
          <w:sz w:val="18"/>
          <w:vertAlign w:val="superscript"/>
        </w:rPr>
        <w:t>100</w:t>
      </w:r>
      <w:r>
        <w:rPr>
          <w:sz w:val="18"/>
        </w:rPr>
        <w:t xml:space="preserve"> Appellate Body Report, </w:t>
      </w:r>
      <w:r>
        <w:rPr>
          <w:i/>
          <w:sz w:val="18"/>
        </w:rPr>
        <w:t>US — Zeroing (Japan)</w:t>
      </w:r>
      <w:r>
        <w:rPr>
          <w:sz w:val="18"/>
        </w:rPr>
        <w:t xml:space="preserve">, para. 111. </w:t>
      </w:r>
      <w:r>
        <w:rPr>
          <w:sz w:val="18"/>
          <w:vertAlign w:val="superscript"/>
        </w:rPr>
        <w:t>101</w:t>
      </w:r>
      <w:r>
        <w:rPr>
          <w:spacing w:val="-4"/>
          <w:sz w:val="18"/>
        </w:rPr>
        <w:t xml:space="preserve"> </w:t>
      </w:r>
      <w:r>
        <w:rPr>
          <w:sz w:val="18"/>
        </w:rPr>
        <w:t>Appellate</w:t>
      </w:r>
      <w:r>
        <w:rPr>
          <w:spacing w:val="-4"/>
          <w:sz w:val="18"/>
        </w:rPr>
        <w:t xml:space="preserve"> </w:t>
      </w:r>
      <w:r>
        <w:rPr>
          <w:sz w:val="18"/>
        </w:rPr>
        <w:t>Body</w:t>
      </w:r>
      <w:r>
        <w:rPr>
          <w:spacing w:val="-5"/>
          <w:sz w:val="18"/>
        </w:rPr>
        <w:t xml:space="preserve"> </w:t>
      </w:r>
      <w:r>
        <w:rPr>
          <w:sz w:val="18"/>
        </w:rPr>
        <w:t>Report,</w:t>
      </w:r>
      <w:r>
        <w:rPr>
          <w:spacing w:val="-4"/>
          <w:sz w:val="18"/>
        </w:rPr>
        <w:t xml:space="preserve"> </w:t>
      </w:r>
      <w:r>
        <w:rPr>
          <w:i/>
          <w:sz w:val="18"/>
        </w:rPr>
        <w:t>US</w:t>
      </w:r>
      <w:r>
        <w:rPr>
          <w:i/>
          <w:spacing w:val="-4"/>
          <w:sz w:val="18"/>
        </w:rPr>
        <w:t xml:space="preserve"> </w:t>
      </w:r>
      <w:r>
        <w:rPr>
          <w:i/>
          <w:sz w:val="18"/>
        </w:rPr>
        <w:t>—</w:t>
      </w:r>
      <w:r>
        <w:rPr>
          <w:i/>
          <w:spacing w:val="-4"/>
          <w:sz w:val="18"/>
        </w:rPr>
        <w:t xml:space="preserve"> </w:t>
      </w:r>
      <w:r>
        <w:rPr>
          <w:i/>
          <w:sz w:val="18"/>
        </w:rPr>
        <w:t>Zeroing</w:t>
      </w:r>
      <w:r>
        <w:rPr>
          <w:i/>
          <w:spacing w:val="-4"/>
          <w:sz w:val="18"/>
        </w:rPr>
        <w:t xml:space="preserve"> </w:t>
      </w:r>
      <w:r>
        <w:rPr>
          <w:i/>
          <w:sz w:val="18"/>
        </w:rPr>
        <w:t>(Japan)</w:t>
      </w:r>
      <w:r>
        <w:rPr>
          <w:sz w:val="18"/>
        </w:rPr>
        <w:t>,</w:t>
      </w:r>
      <w:r>
        <w:rPr>
          <w:spacing w:val="-4"/>
          <w:sz w:val="18"/>
        </w:rPr>
        <w:t xml:space="preserve"> </w:t>
      </w:r>
      <w:r>
        <w:rPr>
          <w:sz w:val="18"/>
        </w:rPr>
        <w:t>paras.</w:t>
      </w:r>
      <w:r>
        <w:rPr>
          <w:spacing w:val="-4"/>
          <w:sz w:val="18"/>
        </w:rPr>
        <w:t xml:space="preserve"> </w:t>
      </w:r>
      <w:r>
        <w:rPr>
          <w:sz w:val="18"/>
        </w:rPr>
        <w:t>112.</w:t>
      </w:r>
    </w:p>
    <w:p w14:paraId="51DE7DD3" w14:textId="77777777" w:rsidR="0010369C" w:rsidRDefault="0010369C">
      <w:pPr>
        <w:rPr>
          <w:sz w:val="18"/>
        </w:rPr>
        <w:sectPr w:rsidR="0010369C">
          <w:headerReference w:type="default" r:id="rId190"/>
          <w:footerReference w:type="default" r:id="rId191"/>
          <w:pgSz w:w="11910" w:h="16840"/>
          <w:pgMar w:top="560" w:right="800" w:bottom="980" w:left="1180" w:header="0" w:footer="788" w:gutter="0"/>
          <w:cols w:space="720"/>
        </w:sectPr>
      </w:pPr>
    </w:p>
    <w:p w14:paraId="51DE7DD4" w14:textId="77777777" w:rsidR="0010369C" w:rsidRDefault="008E43AE">
      <w:pPr>
        <w:tabs>
          <w:tab w:val="left" w:pos="6426"/>
        </w:tabs>
        <w:ind w:left="238"/>
        <w:jc w:val="both"/>
        <w:rPr>
          <w:sz w:val="20"/>
        </w:rPr>
      </w:pPr>
      <w:r>
        <w:rPr>
          <w:i/>
          <w:sz w:val="20"/>
        </w:rPr>
        <w:lastRenderedPageBreak/>
        <w:t>China</w:t>
      </w:r>
      <w:r>
        <w:rPr>
          <w:i/>
          <w:spacing w:val="-5"/>
          <w:sz w:val="20"/>
        </w:rPr>
        <w:t xml:space="preserve"> </w:t>
      </w:r>
      <w:r>
        <w:rPr>
          <w:i/>
          <w:sz w:val="20"/>
        </w:rPr>
        <w:t>–</w:t>
      </w:r>
      <w:r>
        <w:rPr>
          <w:i/>
          <w:spacing w:val="-5"/>
          <w:sz w:val="20"/>
        </w:rPr>
        <w:t xml:space="preserve"> </w:t>
      </w:r>
      <w:r>
        <w:rPr>
          <w:i/>
          <w:sz w:val="20"/>
        </w:rPr>
        <w:t>Anti‐Dumping</w:t>
      </w:r>
      <w:r>
        <w:rPr>
          <w:i/>
          <w:spacing w:val="-4"/>
          <w:sz w:val="20"/>
        </w:rPr>
        <w:t xml:space="preserve"> </w:t>
      </w:r>
      <w:r>
        <w:rPr>
          <w:i/>
          <w:sz w:val="20"/>
        </w:rPr>
        <w:t>and</w:t>
      </w:r>
      <w:r>
        <w:rPr>
          <w:i/>
          <w:spacing w:val="-5"/>
          <w:sz w:val="20"/>
        </w:rPr>
        <w:t xml:space="preserve"> </w:t>
      </w:r>
      <w:r>
        <w:rPr>
          <w:i/>
          <w:sz w:val="20"/>
        </w:rPr>
        <w:t>Countervailing</w:t>
      </w:r>
      <w:r>
        <w:rPr>
          <w:i/>
          <w:spacing w:val="-5"/>
          <w:sz w:val="20"/>
        </w:rPr>
        <w:t xml:space="preserve"> </w:t>
      </w:r>
      <w:r>
        <w:rPr>
          <w:i/>
          <w:sz w:val="20"/>
        </w:rPr>
        <w:t>Duty</w:t>
      </w:r>
      <w:r>
        <w:rPr>
          <w:i/>
          <w:spacing w:val="-4"/>
          <w:sz w:val="20"/>
        </w:rPr>
        <w:t xml:space="preserve"> </w:t>
      </w:r>
      <w:r>
        <w:rPr>
          <w:i/>
          <w:spacing w:val="-2"/>
          <w:sz w:val="20"/>
        </w:rPr>
        <w:t>Measures</w:t>
      </w:r>
      <w:r>
        <w:rPr>
          <w:i/>
          <w:sz w:val="20"/>
        </w:rPr>
        <w:tab/>
      </w:r>
      <w:r>
        <w:rPr>
          <w:sz w:val="20"/>
        </w:rPr>
        <w:t>Australia's</w:t>
      </w:r>
      <w:r>
        <w:rPr>
          <w:spacing w:val="-7"/>
          <w:sz w:val="20"/>
        </w:rPr>
        <w:t xml:space="preserve"> </w:t>
      </w:r>
      <w:r>
        <w:rPr>
          <w:sz w:val="20"/>
        </w:rPr>
        <w:t>First</w:t>
      </w:r>
      <w:r>
        <w:rPr>
          <w:spacing w:val="-2"/>
          <w:sz w:val="20"/>
        </w:rPr>
        <w:t xml:space="preserve"> </w:t>
      </w:r>
      <w:r>
        <w:rPr>
          <w:sz w:val="20"/>
        </w:rPr>
        <w:t>Written</w:t>
      </w:r>
      <w:r>
        <w:rPr>
          <w:spacing w:val="-2"/>
          <w:sz w:val="20"/>
        </w:rPr>
        <w:t xml:space="preserve"> Submission</w:t>
      </w:r>
    </w:p>
    <w:p w14:paraId="51DE7DD5" w14:textId="77777777" w:rsidR="0010369C" w:rsidRDefault="008E43AE">
      <w:pPr>
        <w:tabs>
          <w:tab w:val="left" w:pos="8228"/>
        </w:tabs>
        <w:spacing w:before="1"/>
        <w:ind w:left="239"/>
        <w:jc w:val="both"/>
        <w:rPr>
          <w:sz w:val="20"/>
        </w:rPr>
      </w:pPr>
      <w:r>
        <w:rPr>
          <w:i/>
          <w:sz w:val="20"/>
        </w:rPr>
        <w:t>on</w:t>
      </w:r>
      <w:r>
        <w:rPr>
          <w:i/>
          <w:spacing w:val="-1"/>
          <w:sz w:val="20"/>
        </w:rPr>
        <w:t xml:space="preserve"> </w:t>
      </w:r>
      <w:r>
        <w:rPr>
          <w:i/>
          <w:sz w:val="20"/>
        </w:rPr>
        <w:t>Wine</w:t>
      </w:r>
      <w:r>
        <w:rPr>
          <w:i/>
          <w:spacing w:val="-1"/>
          <w:sz w:val="20"/>
        </w:rPr>
        <w:t xml:space="preserve"> </w:t>
      </w:r>
      <w:r>
        <w:rPr>
          <w:i/>
          <w:sz w:val="20"/>
        </w:rPr>
        <w:t>from</w:t>
      </w:r>
      <w:r>
        <w:rPr>
          <w:i/>
          <w:spacing w:val="-3"/>
          <w:sz w:val="20"/>
        </w:rPr>
        <w:t xml:space="preserve"> </w:t>
      </w:r>
      <w:r>
        <w:rPr>
          <w:i/>
          <w:sz w:val="20"/>
        </w:rPr>
        <w:t>Australia</w:t>
      </w:r>
      <w:r>
        <w:rPr>
          <w:i/>
          <w:spacing w:val="-1"/>
          <w:sz w:val="20"/>
        </w:rPr>
        <w:t xml:space="preserve"> </w:t>
      </w:r>
      <w:r>
        <w:rPr>
          <w:spacing w:val="-2"/>
          <w:sz w:val="20"/>
        </w:rPr>
        <w:t>(DS602)</w:t>
      </w:r>
      <w:r>
        <w:rPr>
          <w:sz w:val="20"/>
        </w:rPr>
        <w:tab/>
        <w:t>29</w:t>
      </w:r>
      <w:r>
        <w:rPr>
          <w:spacing w:val="-1"/>
          <w:sz w:val="20"/>
        </w:rPr>
        <w:t xml:space="preserve"> </w:t>
      </w:r>
      <w:r>
        <w:rPr>
          <w:sz w:val="20"/>
        </w:rPr>
        <w:t>April</w:t>
      </w:r>
      <w:r>
        <w:rPr>
          <w:spacing w:val="-2"/>
          <w:sz w:val="20"/>
        </w:rPr>
        <w:t xml:space="preserve"> </w:t>
      </w:r>
      <w:r>
        <w:rPr>
          <w:spacing w:val="-4"/>
          <w:sz w:val="20"/>
        </w:rPr>
        <w:t>2022</w:t>
      </w:r>
    </w:p>
    <w:p w14:paraId="51DE7DD6" w14:textId="77777777" w:rsidR="0010369C" w:rsidRDefault="008E43AE">
      <w:pPr>
        <w:pStyle w:val="BodyText"/>
        <w:spacing w:before="34" w:line="360" w:lineRule="auto"/>
        <w:ind w:left="237" w:right="612" w:firstLine="851"/>
        <w:jc w:val="both"/>
      </w:pPr>
      <w:r>
        <w:rPr>
          <w:noProof/>
        </w:rPr>
        <w:drawing>
          <wp:anchor distT="0" distB="0" distL="0" distR="0" simplePos="0" relativeHeight="250791424" behindDoc="1" locked="0" layoutInCell="1" allowOverlap="1" wp14:anchorId="51DE9DE4" wp14:editId="51DE9DE5">
            <wp:simplePos x="0" y="0"/>
            <wp:positionH relativeFrom="page">
              <wp:posOffset>902208</wp:posOffset>
            </wp:positionH>
            <wp:positionV relativeFrom="paragraph">
              <wp:posOffset>69165</wp:posOffset>
            </wp:positionV>
            <wp:extent cx="182879" cy="103631"/>
            <wp:effectExtent l="0" t="0" r="0" b="0"/>
            <wp:wrapNone/>
            <wp:docPr id="191" name="image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104.png"/>
                    <pic:cNvPicPr/>
                  </pic:nvPicPr>
                  <pic:blipFill>
                    <a:blip r:embed="rId192" cstate="print"/>
                    <a:stretch>
                      <a:fillRect/>
                    </a:stretch>
                  </pic:blipFill>
                  <pic:spPr>
                    <a:xfrm>
                      <a:off x="0" y="0"/>
                      <a:ext cx="182879" cy="103631"/>
                    </a:xfrm>
                    <a:prstGeom prst="rect">
                      <a:avLst/>
                    </a:prstGeom>
                  </pic:spPr>
                </pic:pic>
              </a:graphicData>
            </a:graphic>
          </wp:anchor>
        </w:drawing>
      </w:r>
      <w:r>
        <w:t>Read</w:t>
      </w:r>
      <w:r>
        <w:rPr>
          <w:spacing w:val="-7"/>
        </w:rPr>
        <w:t xml:space="preserve"> </w:t>
      </w:r>
      <w:r>
        <w:t>together,</w:t>
      </w:r>
      <w:r>
        <w:rPr>
          <w:spacing w:val="-8"/>
        </w:rPr>
        <w:t xml:space="preserve"> </w:t>
      </w:r>
      <w:r>
        <w:t>Articles</w:t>
      </w:r>
      <w:r>
        <w:rPr>
          <w:spacing w:val="-8"/>
        </w:rPr>
        <w:t xml:space="preserve"> </w:t>
      </w:r>
      <w:r>
        <w:t>2.1</w:t>
      </w:r>
      <w:r>
        <w:rPr>
          <w:spacing w:val="-8"/>
        </w:rPr>
        <w:t xml:space="preserve"> </w:t>
      </w:r>
      <w:r>
        <w:t>and</w:t>
      </w:r>
      <w:r>
        <w:rPr>
          <w:spacing w:val="-8"/>
        </w:rPr>
        <w:t xml:space="preserve"> </w:t>
      </w:r>
      <w:r>
        <w:t>2.2</w:t>
      </w:r>
      <w:r>
        <w:rPr>
          <w:spacing w:val="-8"/>
        </w:rPr>
        <w:t xml:space="preserve"> </w:t>
      </w:r>
      <w:r>
        <w:t>have</w:t>
      </w:r>
      <w:r>
        <w:rPr>
          <w:spacing w:val="-6"/>
        </w:rPr>
        <w:t xml:space="preserve"> </w:t>
      </w:r>
      <w:r>
        <w:t>been</w:t>
      </w:r>
      <w:r>
        <w:rPr>
          <w:spacing w:val="-7"/>
        </w:rPr>
        <w:t xml:space="preserve"> </w:t>
      </w:r>
      <w:r>
        <w:t>understood</w:t>
      </w:r>
      <w:r>
        <w:rPr>
          <w:spacing w:val="-7"/>
        </w:rPr>
        <w:t xml:space="preserve"> </w:t>
      </w:r>
      <w:r>
        <w:t>to</w:t>
      </w:r>
      <w:r>
        <w:rPr>
          <w:spacing w:val="-8"/>
        </w:rPr>
        <w:t xml:space="preserve"> </w:t>
      </w:r>
      <w:r>
        <w:t>mean</w:t>
      </w:r>
      <w:r>
        <w:rPr>
          <w:spacing w:val="-8"/>
        </w:rPr>
        <w:t xml:space="preserve"> </w:t>
      </w:r>
      <w:r>
        <w:t>that</w:t>
      </w:r>
      <w:r>
        <w:rPr>
          <w:spacing w:val="-8"/>
        </w:rPr>
        <w:t xml:space="preserve"> </w:t>
      </w:r>
      <w:r>
        <w:t>normal</w:t>
      </w:r>
      <w:r>
        <w:rPr>
          <w:spacing w:val="-8"/>
        </w:rPr>
        <w:t xml:space="preserve"> </w:t>
      </w:r>
      <w:r>
        <w:t xml:space="preserve">value must be determined on the basis of domestic sales, except where one of the circumstances provided for in Article 2.2 exist. Specifically, (i) where there are no sales in the exporting country of the like product in the ordinary course of trade; (ii) </w:t>
      </w:r>
      <w:r>
        <w:t>where sales in the exporting country do not "permit a proper comparison" because of a "particular market situation"; or</w:t>
      </w:r>
    </w:p>
    <w:p w14:paraId="51DE7DD7" w14:textId="77777777" w:rsidR="0010369C" w:rsidRDefault="008E43AE">
      <w:pPr>
        <w:pStyle w:val="ListParagraph"/>
        <w:numPr>
          <w:ilvl w:val="0"/>
          <w:numId w:val="70"/>
        </w:numPr>
        <w:tabs>
          <w:tab w:val="left" w:pos="591"/>
        </w:tabs>
        <w:spacing w:before="0" w:line="360" w:lineRule="auto"/>
        <w:ind w:right="616" w:firstLine="0"/>
        <w:jc w:val="both"/>
        <w:rPr>
          <w:sz w:val="24"/>
        </w:rPr>
      </w:pPr>
      <w:r>
        <w:rPr>
          <w:sz w:val="24"/>
        </w:rPr>
        <w:t>where</w:t>
      </w:r>
      <w:r>
        <w:rPr>
          <w:spacing w:val="-14"/>
          <w:sz w:val="24"/>
        </w:rPr>
        <w:t xml:space="preserve"> </w:t>
      </w:r>
      <w:r>
        <w:rPr>
          <w:sz w:val="24"/>
        </w:rPr>
        <w:t>sales</w:t>
      </w:r>
      <w:r>
        <w:rPr>
          <w:spacing w:val="-14"/>
          <w:sz w:val="24"/>
        </w:rPr>
        <w:t xml:space="preserve"> </w:t>
      </w:r>
      <w:r>
        <w:rPr>
          <w:sz w:val="24"/>
        </w:rPr>
        <w:t>in</w:t>
      </w:r>
      <w:r>
        <w:rPr>
          <w:spacing w:val="-13"/>
          <w:sz w:val="24"/>
        </w:rPr>
        <w:t xml:space="preserve"> </w:t>
      </w:r>
      <w:r>
        <w:rPr>
          <w:sz w:val="24"/>
        </w:rPr>
        <w:t>the</w:t>
      </w:r>
      <w:r>
        <w:rPr>
          <w:spacing w:val="-14"/>
          <w:sz w:val="24"/>
        </w:rPr>
        <w:t xml:space="preserve"> </w:t>
      </w:r>
      <w:r>
        <w:rPr>
          <w:sz w:val="24"/>
        </w:rPr>
        <w:t>exporting</w:t>
      </w:r>
      <w:r>
        <w:rPr>
          <w:spacing w:val="-13"/>
          <w:sz w:val="24"/>
        </w:rPr>
        <w:t xml:space="preserve"> </w:t>
      </w:r>
      <w:r>
        <w:rPr>
          <w:sz w:val="24"/>
        </w:rPr>
        <w:t>country</w:t>
      </w:r>
      <w:r>
        <w:rPr>
          <w:spacing w:val="-14"/>
          <w:sz w:val="24"/>
        </w:rPr>
        <w:t xml:space="preserve"> </w:t>
      </w:r>
      <w:r>
        <w:rPr>
          <w:sz w:val="24"/>
        </w:rPr>
        <w:t>do</w:t>
      </w:r>
      <w:r>
        <w:rPr>
          <w:spacing w:val="-13"/>
          <w:sz w:val="24"/>
        </w:rPr>
        <w:t xml:space="preserve"> </w:t>
      </w:r>
      <w:r>
        <w:rPr>
          <w:sz w:val="24"/>
        </w:rPr>
        <w:t>not</w:t>
      </w:r>
      <w:r>
        <w:rPr>
          <w:spacing w:val="-14"/>
          <w:sz w:val="24"/>
        </w:rPr>
        <w:t xml:space="preserve"> </w:t>
      </w:r>
      <w:r>
        <w:rPr>
          <w:sz w:val="24"/>
        </w:rPr>
        <w:t>"permit</w:t>
      </w:r>
      <w:r>
        <w:rPr>
          <w:spacing w:val="-14"/>
          <w:sz w:val="24"/>
        </w:rPr>
        <w:t xml:space="preserve"> </w:t>
      </w:r>
      <w:r>
        <w:rPr>
          <w:sz w:val="24"/>
        </w:rPr>
        <w:t>a</w:t>
      </w:r>
      <w:r>
        <w:rPr>
          <w:spacing w:val="-13"/>
          <w:sz w:val="24"/>
        </w:rPr>
        <w:t xml:space="preserve"> </w:t>
      </w:r>
      <w:r>
        <w:rPr>
          <w:sz w:val="24"/>
        </w:rPr>
        <w:t>proper</w:t>
      </w:r>
      <w:r>
        <w:rPr>
          <w:spacing w:val="-14"/>
          <w:sz w:val="24"/>
        </w:rPr>
        <w:t xml:space="preserve"> </w:t>
      </w:r>
      <w:r>
        <w:rPr>
          <w:sz w:val="24"/>
        </w:rPr>
        <w:t>comparison"</w:t>
      </w:r>
      <w:r>
        <w:rPr>
          <w:spacing w:val="-13"/>
          <w:sz w:val="24"/>
        </w:rPr>
        <w:t xml:space="preserve"> </w:t>
      </w:r>
      <w:r>
        <w:rPr>
          <w:sz w:val="24"/>
        </w:rPr>
        <w:t>because</w:t>
      </w:r>
      <w:r>
        <w:rPr>
          <w:spacing w:val="-14"/>
          <w:sz w:val="24"/>
        </w:rPr>
        <w:t xml:space="preserve"> </w:t>
      </w:r>
      <w:r>
        <w:rPr>
          <w:sz w:val="24"/>
        </w:rPr>
        <w:t>of</w:t>
      </w:r>
      <w:r>
        <w:rPr>
          <w:spacing w:val="-13"/>
          <w:sz w:val="24"/>
        </w:rPr>
        <w:t xml:space="preserve"> </w:t>
      </w:r>
      <w:r>
        <w:rPr>
          <w:sz w:val="24"/>
        </w:rPr>
        <w:t xml:space="preserve">their low volume. As the Panel in </w:t>
      </w:r>
      <w:r>
        <w:rPr>
          <w:i/>
          <w:sz w:val="24"/>
        </w:rPr>
        <w:t>US – Oil Country T</w:t>
      </w:r>
      <w:r>
        <w:rPr>
          <w:i/>
          <w:sz w:val="24"/>
        </w:rPr>
        <w:t xml:space="preserve">ubular Goods Sunset Reviews (Article 21.5 – Argentina) </w:t>
      </w:r>
      <w:r>
        <w:rPr>
          <w:sz w:val="24"/>
        </w:rPr>
        <w:t>explained:</w:t>
      </w:r>
      <w:r>
        <w:rPr>
          <w:sz w:val="24"/>
          <w:vertAlign w:val="superscript"/>
        </w:rPr>
        <w:t>102</w:t>
      </w:r>
    </w:p>
    <w:p w14:paraId="51DE7DD8" w14:textId="77777777" w:rsidR="0010369C" w:rsidRDefault="008E43AE">
      <w:pPr>
        <w:spacing w:before="161" w:line="276" w:lineRule="auto"/>
        <w:ind w:left="1089" w:right="613"/>
        <w:jc w:val="both"/>
      </w:pPr>
      <w:r>
        <w:t>As</w:t>
      </w:r>
      <w:r>
        <w:rPr>
          <w:spacing w:val="-9"/>
        </w:rPr>
        <w:t xml:space="preserve"> </w:t>
      </w:r>
      <w:r>
        <w:t>Article</w:t>
      </w:r>
      <w:r>
        <w:rPr>
          <w:spacing w:val="-10"/>
        </w:rPr>
        <w:t xml:space="preserve"> </w:t>
      </w:r>
      <w:r>
        <w:t>2.1</w:t>
      </w:r>
      <w:r>
        <w:rPr>
          <w:spacing w:val="-8"/>
        </w:rPr>
        <w:t xml:space="preserve"> </w:t>
      </w:r>
      <w:r>
        <w:t>makes</w:t>
      </w:r>
      <w:r>
        <w:rPr>
          <w:spacing w:val="-9"/>
        </w:rPr>
        <w:t xml:space="preserve"> </w:t>
      </w:r>
      <w:r>
        <w:t>clear,</w:t>
      </w:r>
      <w:r>
        <w:rPr>
          <w:spacing w:val="-9"/>
        </w:rPr>
        <w:t xml:space="preserve"> </w:t>
      </w:r>
      <w:r>
        <w:t>the</w:t>
      </w:r>
      <w:r>
        <w:rPr>
          <w:spacing w:val="-9"/>
        </w:rPr>
        <w:t xml:space="preserve"> </w:t>
      </w:r>
      <w:r>
        <w:t>starting</w:t>
      </w:r>
      <w:r>
        <w:rPr>
          <w:spacing w:val="-10"/>
        </w:rPr>
        <w:t xml:space="preserve"> </w:t>
      </w:r>
      <w:r>
        <w:t>point</w:t>
      </w:r>
      <w:r>
        <w:rPr>
          <w:spacing w:val="-9"/>
        </w:rPr>
        <w:t xml:space="preserve"> </w:t>
      </w:r>
      <w:r>
        <w:t>for</w:t>
      </w:r>
      <w:r>
        <w:rPr>
          <w:spacing w:val="-9"/>
        </w:rPr>
        <w:t xml:space="preserve"> </w:t>
      </w:r>
      <w:r>
        <w:t>normal</w:t>
      </w:r>
      <w:r>
        <w:rPr>
          <w:spacing w:val="-9"/>
        </w:rPr>
        <w:t xml:space="preserve"> </w:t>
      </w:r>
      <w:r>
        <w:t>value</w:t>
      </w:r>
      <w:r>
        <w:rPr>
          <w:spacing w:val="-9"/>
        </w:rPr>
        <w:t xml:space="preserve"> </w:t>
      </w:r>
      <w:r>
        <w:t>is</w:t>
      </w:r>
      <w:r>
        <w:rPr>
          <w:spacing w:val="-8"/>
        </w:rPr>
        <w:t xml:space="preserve"> </w:t>
      </w:r>
      <w:r>
        <w:t>"the</w:t>
      </w:r>
      <w:r>
        <w:rPr>
          <w:spacing w:val="-9"/>
        </w:rPr>
        <w:t xml:space="preserve"> </w:t>
      </w:r>
      <w:r>
        <w:t>comparable</w:t>
      </w:r>
      <w:r>
        <w:rPr>
          <w:spacing w:val="-8"/>
        </w:rPr>
        <w:t xml:space="preserve"> </w:t>
      </w:r>
      <w:r>
        <w:t>price,</w:t>
      </w:r>
      <w:r>
        <w:rPr>
          <w:spacing w:val="-8"/>
        </w:rPr>
        <w:t xml:space="preserve"> </w:t>
      </w:r>
      <w:r>
        <w:t>in</w:t>
      </w:r>
      <w:r>
        <w:rPr>
          <w:spacing w:val="-8"/>
        </w:rPr>
        <w:t xml:space="preserve"> </w:t>
      </w:r>
      <w:r>
        <w:t>the ordinary course of trade" for the like product when destined for consumption in the export</w:t>
      </w:r>
      <w:r>
        <w:t>ing country. Thus, the concept of dumping is, in the first instance, a comparison of home market and export prices. Only in the circumstances set forth in Article 2.2 may an investigating authority</w:t>
      </w:r>
      <w:r>
        <w:rPr>
          <w:spacing w:val="-1"/>
        </w:rPr>
        <w:t xml:space="preserve"> </w:t>
      </w:r>
      <w:r>
        <w:t>look</w:t>
      </w:r>
      <w:r>
        <w:rPr>
          <w:spacing w:val="-2"/>
        </w:rPr>
        <w:t xml:space="preserve"> </w:t>
      </w:r>
      <w:r>
        <w:t>to</w:t>
      </w:r>
      <w:r>
        <w:rPr>
          <w:spacing w:val="-2"/>
        </w:rPr>
        <w:t xml:space="preserve"> </w:t>
      </w:r>
      <w:r>
        <w:t>alternative</w:t>
      </w:r>
      <w:r>
        <w:rPr>
          <w:spacing w:val="-3"/>
        </w:rPr>
        <w:t xml:space="preserve"> </w:t>
      </w:r>
      <w:r>
        <w:t>bases</w:t>
      </w:r>
      <w:r>
        <w:rPr>
          <w:spacing w:val="-1"/>
        </w:rPr>
        <w:t xml:space="preserve"> </w:t>
      </w:r>
      <w:r>
        <w:t>to</w:t>
      </w:r>
      <w:r>
        <w:rPr>
          <w:spacing w:val="-1"/>
        </w:rPr>
        <w:t xml:space="preserve"> </w:t>
      </w:r>
      <w:r>
        <w:t>home</w:t>
      </w:r>
      <w:r>
        <w:rPr>
          <w:spacing w:val="-1"/>
        </w:rPr>
        <w:t xml:space="preserve"> </w:t>
      </w:r>
      <w:r>
        <w:t>market</w:t>
      </w:r>
      <w:r>
        <w:rPr>
          <w:spacing w:val="-1"/>
        </w:rPr>
        <w:t xml:space="preserve"> </w:t>
      </w:r>
      <w:r>
        <w:t>prices,</w:t>
      </w:r>
      <w:r>
        <w:rPr>
          <w:spacing w:val="-2"/>
        </w:rPr>
        <w:t xml:space="preserve"> </w:t>
      </w:r>
      <w:r>
        <w:t>such</w:t>
      </w:r>
      <w:r>
        <w:rPr>
          <w:spacing w:val="-1"/>
        </w:rPr>
        <w:t xml:space="preserve"> </w:t>
      </w:r>
      <w:r>
        <w:t>as</w:t>
      </w:r>
      <w:r>
        <w:rPr>
          <w:spacing w:val="-2"/>
        </w:rPr>
        <w:t xml:space="preserve"> </w:t>
      </w:r>
      <w:r>
        <w:t>costs,</w:t>
      </w:r>
      <w:r>
        <w:rPr>
          <w:spacing w:val="-3"/>
        </w:rPr>
        <w:t xml:space="preserve"> </w:t>
      </w:r>
      <w:r>
        <w:t>when determining normal value.</w:t>
      </w:r>
    </w:p>
    <w:p w14:paraId="51DE7DD9" w14:textId="77777777" w:rsidR="0010369C" w:rsidRDefault="0010369C">
      <w:pPr>
        <w:pStyle w:val="BodyText"/>
        <w:spacing w:before="4"/>
        <w:rPr>
          <w:sz w:val="15"/>
        </w:rPr>
      </w:pPr>
    </w:p>
    <w:p w14:paraId="51DE7DDA" w14:textId="77777777" w:rsidR="0010369C" w:rsidRDefault="008E43AE">
      <w:pPr>
        <w:pStyle w:val="BodyText"/>
        <w:spacing w:before="52" w:line="360" w:lineRule="auto"/>
        <w:ind w:left="237" w:right="613" w:firstLine="852"/>
        <w:jc w:val="both"/>
      </w:pPr>
      <w:r>
        <w:rPr>
          <w:noProof/>
        </w:rPr>
        <w:drawing>
          <wp:anchor distT="0" distB="0" distL="0" distR="0" simplePos="0" relativeHeight="250792448" behindDoc="1" locked="0" layoutInCell="1" allowOverlap="1" wp14:anchorId="51DE9DE6" wp14:editId="51DE9DE7">
            <wp:simplePos x="0" y="0"/>
            <wp:positionH relativeFrom="page">
              <wp:posOffset>908303</wp:posOffset>
            </wp:positionH>
            <wp:positionV relativeFrom="paragraph">
              <wp:posOffset>81357</wp:posOffset>
            </wp:positionV>
            <wp:extent cx="256031" cy="103631"/>
            <wp:effectExtent l="0" t="0" r="0" b="0"/>
            <wp:wrapNone/>
            <wp:docPr id="193" name="image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105.png"/>
                    <pic:cNvPicPr/>
                  </pic:nvPicPr>
                  <pic:blipFill>
                    <a:blip r:embed="rId193" cstate="print"/>
                    <a:stretch>
                      <a:fillRect/>
                    </a:stretch>
                  </pic:blipFill>
                  <pic:spPr>
                    <a:xfrm>
                      <a:off x="0" y="0"/>
                      <a:ext cx="256031" cy="103631"/>
                    </a:xfrm>
                    <a:prstGeom prst="rect">
                      <a:avLst/>
                    </a:prstGeom>
                  </pic:spPr>
                </pic:pic>
              </a:graphicData>
            </a:graphic>
          </wp:anchor>
        </w:drawing>
      </w:r>
      <w:r>
        <w:t>Article 2.1 requires investigating authorities to exclude sales not made "in the ordinary</w:t>
      </w:r>
      <w:r>
        <w:rPr>
          <w:spacing w:val="-3"/>
        </w:rPr>
        <w:t xml:space="preserve"> </w:t>
      </w:r>
      <w:r>
        <w:t>course</w:t>
      </w:r>
      <w:r>
        <w:rPr>
          <w:spacing w:val="-4"/>
        </w:rPr>
        <w:t xml:space="preserve"> </w:t>
      </w:r>
      <w:r>
        <w:t>of</w:t>
      </w:r>
      <w:r>
        <w:rPr>
          <w:spacing w:val="-5"/>
        </w:rPr>
        <w:t xml:space="preserve"> </w:t>
      </w:r>
      <w:r>
        <w:t>trade"</w:t>
      </w:r>
      <w:r>
        <w:rPr>
          <w:spacing w:val="-6"/>
        </w:rPr>
        <w:t xml:space="preserve"> </w:t>
      </w:r>
      <w:r>
        <w:t>from</w:t>
      </w:r>
      <w:r>
        <w:rPr>
          <w:spacing w:val="-5"/>
        </w:rPr>
        <w:t xml:space="preserve"> </w:t>
      </w:r>
      <w:r>
        <w:t>the</w:t>
      </w:r>
      <w:r>
        <w:rPr>
          <w:spacing w:val="-4"/>
        </w:rPr>
        <w:t xml:space="preserve"> </w:t>
      </w:r>
      <w:r>
        <w:t>calculation</w:t>
      </w:r>
      <w:r>
        <w:rPr>
          <w:spacing w:val="-5"/>
        </w:rPr>
        <w:t xml:space="preserve"> </w:t>
      </w:r>
      <w:r>
        <w:t>of</w:t>
      </w:r>
      <w:r>
        <w:rPr>
          <w:spacing w:val="-5"/>
        </w:rPr>
        <w:t xml:space="preserve"> </w:t>
      </w:r>
      <w:r>
        <w:t>normal</w:t>
      </w:r>
      <w:r>
        <w:rPr>
          <w:spacing w:val="-5"/>
        </w:rPr>
        <w:t xml:space="preserve"> </w:t>
      </w:r>
      <w:r>
        <w:t>value</w:t>
      </w:r>
      <w:r>
        <w:rPr>
          <w:spacing w:val="-5"/>
        </w:rPr>
        <w:t xml:space="preserve"> </w:t>
      </w:r>
      <w:r>
        <w:t>to</w:t>
      </w:r>
      <w:r>
        <w:rPr>
          <w:spacing w:val="-5"/>
        </w:rPr>
        <w:t xml:space="preserve"> </w:t>
      </w:r>
      <w:r>
        <w:t>ensure</w:t>
      </w:r>
      <w:r>
        <w:rPr>
          <w:spacing w:val="-5"/>
        </w:rPr>
        <w:t xml:space="preserve"> </w:t>
      </w:r>
      <w:r>
        <w:t>that</w:t>
      </w:r>
      <w:r>
        <w:rPr>
          <w:spacing w:val="-5"/>
        </w:rPr>
        <w:t xml:space="preserve"> </w:t>
      </w:r>
      <w:r>
        <w:t>normal</w:t>
      </w:r>
      <w:r>
        <w:rPr>
          <w:spacing w:val="-5"/>
        </w:rPr>
        <w:t xml:space="preserve"> </w:t>
      </w:r>
      <w:r>
        <w:t>value</w:t>
      </w:r>
      <w:r>
        <w:rPr>
          <w:spacing w:val="-5"/>
        </w:rPr>
        <w:t xml:space="preserve"> </w:t>
      </w:r>
      <w:r>
        <w:t>is, indeed, the</w:t>
      </w:r>
      <w:r>
        <w:rPr>
          <w:spacing w:val="-1"/>
        </w:rPr>
        <w:t xml:space="preserve"> </w:t>
      </w:r>
      <w:r>
        <w:t>"normal"</w:t>
      </w:r>
      <w:r>
        <w:rPr>
          <w:spacing w:val="-1"/>
        </w:rPr>
        <w:t xml:space="preserve"> </w:t>
      </w:r>
      <w:r>
        <w:t>price of the like p</w:t>
      </w:r>
      <w:r>
        <w:t>roduct in</w:t>
      </w:r>
      <w:r>
        <w:rPr>
          <w:spacing w:val="-2"/>
        </w:rPr>
        <w:t xml:space="preserve"> </w:t>
      </w:r>
      <w:r>
        <w:t>the home</w:t>
      </w:r>
      <w:r>
        <w:rPr>
          <w:spacing w:val="-1"/>
        </w:rPr>
        <w:t xml:space="preserve"> </w:t>
      </w:r>
      <w:r>
        <w:t>market</w:t>
      </w:r>
      <w:r>
        <w:rPr>
          <w:spacing w:val="-2"/>
        </w:rPr>
        <w:t xml:space="preserve"> </w:t>
      </w:r>
      <w:r>
        <w:t>of the exporter.</w:t>
      </w:r>
      <w:r>
        <w:rPr>
          <w:spacing w:val="-1"/>
        </w:rPr>
        <w:t xml:space="preserve"> </w:t>
      </w:r>
      <w:r>
        <w:t>While the Appellate</w:t>
      </w:r>
      <w:r>
        <w:rPr>
          <w:spacing w:val="-4"/>
        </w:rPr>
        <w:t xml:space="preserve"> </w:t>
      </w:r>
      <w:r>
        <w:t>Body</w:t>
      </w:r>
      <w:r>
        <w:rPr>
          <w:spacing w:val="-4"/>
        </w:rPr>
        <w:t xml:space="preserve"> </w:t>
      </w:r>
      <w:r>
        <w:t>has</w:t>
      </w:r>
      <w:r>
        <w:rPr>
          <w:spacing w:val="-5"/>
        </w:rPr>
        <w:t xml:space="preserve"> </w:t>
      </w:r>
      <w:r>
        <w:t>noted</w:t>
      </w:r>
      <w:r>
        <w:rPr>
          <w:spacing w:val="-5"/>
        </w:rPr>
        <w:t xml:space="preserve"> </w:t>
      </w:r>
      <w:r>
        <w:t>that</w:t>
      </w:r>
      <w:r>
        <w:rPr>
          <w:spacing w:val="-5"/>
        </w:rPr>
        <w:t xml:space="preserve"> </w:t>
      </w:r>
      <w:r>
        <w:t>the</w:t>
      </w:r>
      <w:r>
        <w:rPr>
          <w:spacing w:val="-4"/>
        </w:rPr>
        <w:t xml:space="preserve"> </w:t>
      </w:r>
      <w:r>
        <w:t>Anti‐Dumping</w:t>
      </w:r>
      <w:r>
        <w:rPr>
          <w:spacing w:val="-5"/>
        </w:rPr>
        <w:t xml:space="preserve"> </w:t>
      </w:r>
      <w:r>
        <w:t>Agreement</w:t>
      </w:r>
      <w:r>
        <w:rPr>
          <w:spacing w:val="-6"/>
        </w:rPr>
        <w:t xml:space="preserve"> </w:t>
      </w:r>
      <w:r>
        <w:t>does</w:t>
      </w:r>
      <w:r>
        <w:rPr>
          <w:spacing w:val="-5"/>
        </w:rPr>
        <w:t xml:space="preserve"> </w:t>
      </w:r>
      <w:r>
        <w:t>not</w:t>
      </w:r>
      <w:r>
        <w:rPr>
          <w:spacing w:val="-5"/>
        </w:rPr>
        <w:t xml:space="preserve"> </w:t>
      </w:r>
      <w:r>
        <w:t>define</w:t>
      </w:r>
      <w:r>
        <w:rPr>
          <w:spacing w:val="-4"/>
        </w:rPr>
        <w:t xml:space="preserve"> </w:t>
      </w:r>
      <w:r>
        <w:t>the</w:t>
      </w:r>
      <w:r>
        <w:rPr>
          <w:spacing w:val="-4"/>
        </w:rPr>
        <w:t xml:space="preserve"> </w:t>
      </w:r>
      <w:r>
        <w:t>term</w:t>
      </w:r>
      <w:r>
        <w:rPr>
          <w:spacing w:val="-5"/>
        </w:rPr>
        <w:t xml:space="preserve"> </w:t>
      </w:r>
      <w:r>
        <w:t>"in</w:t>
      </w:r>
      <w:r>
        <w:rPr>
          <w:spacing w:val="-5"/>
        </w:rPr>
        <w:t xml:space="preserve"> </w:t>
      </w:r>
      <w:r>
        <w:t>the ordinary course of trade",</w:t>
      </w:r>
      <w:r>
        <w:rPr>
          <w:vertAlign w:val="superscript"/>
        </w:rPr>
        <w:t>103</w:t>
      </w:r>
      <w:r>
        <w:t xml:space="preserve"> it has also indicated it could "envisage many reasons for which transactions might not be "in the ordinary course of trade"."</w:t>
      </w:r>
      <w:r>
        <w:rPr>
          <w:vertAlign w:val="superscript"/>
        </w:rPr>
        <w:t>104</w:t>
      </w:r>
    </w:p>
    <w:p w14:paraId="51DE7DDB" w14:textId="77777777" w:rsidR="0010369C" w:rsidRDefault="0010369C">
      <w:pPr>
        <w:pStyle w:val="BodyText"/>
        <w:spacing w:before="10"/>
        <w:rPr>
          <w:sz w:val="8"/>
        </w:rPr>
      </w:pPr>
    </w:p>
    <w:p w14:paraId="51DE7DDC" w14:textId="77777777" w:rsidR="0010369C" w:rsidRDefault="008E43AE">
      <w:pPr>
        <w:pStyle w:val="BodyText"/>
        <w:spacing w:before="52" w:line="360" w:lineRule="auto"/>
        <w:ind w:left="236" w:right="614" w:firstLine="852"/>
        <w:jc w:val="both"/>
      </w:pPr>
      <w:r>
        <w:rPr>
          <w:noProof/>
        </w:rPr>
        <w:drawing>
          <wp:anchor distT="0" distB="0" distL="0" distR="0" simplePos="0" relativeHeight="250793472" behindDoc="1" locked="0" layoutInCell="1" allowOverlap="1" wp14:anchorId="51DE9DE8" wp14:editId="51DE9DE9">
            <wp:simplePos x="0" y="0"/>
            <wp:positionH relativeFrom="page">
              <wp:posOffset>908303</wp:posOffset>
            </wp:positionH>
            <wp:positionV relativeFrom="paragraph">
              <wp:posOffset>76786</wp:posOffset>
            </wp:positionV>
            <wp:extent cx="256031" cy="106679"/>
            <wp:effectExtent l="0" t="0" r="0" b="0"/>
            <wp:wrapNone/>
            <wp:docPr id="195" name="image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106.png"/>
                    <pic:cNvPicPr/>
                  </pic:nvPicPr>
                  <pic:blipFill>
                    <a:blip r:embed="rId194" cstate="print"/>
                    <a:stretch>
                      <a:fillRect/>
                    </a:stretch>
                  </pic:blipFill>
                  <pic:spPr>
                    <a:xfrm>
                      <a:off x="0" y="0"/>
                      <a:ext cx="256031" cy="106679"/>
                    </a:xfrm>
                    <a:prstGeom prst="rect">
                      <a:avLst/>
                    </a:prstGeom>
                  </pic:spPr>
                </pic:pic>
              </a:graphicData>
            </a:graphic>
          </wp:anchor>
        </w:drawing>
      </w:r>
      <w:r>
        <w:t xml:space="preserve">Implicit in the Appellate Body's reasoning in </w:t>
      </w:r>
      <w:r>
        <w:rPr>
          <w:i/>
        </w:rPr>
        <w:t xml:space="preserve">US – Hot Rolled Steel </w:t>
      </w:r>
      <w:r>
        <w:t>is that sales between economically independent parties, transacted at market prices, would usually be considered as sales made in the ordinary course of trade. However, the Appellate Body also recognised that there could be situations where a sales transac</w:t>
      </w:r>
      <w:r>
        <w:t>tion between independent parties might not be "in the ordinary course of trade", such as "a liquidation sale by an enterprise to an independent buyer, which may not reflect "normal" commercial principles".</w:t>
      </w:r>
      <w:r>
        <w:rPr>
          <w:vertAlign w:val="superscript"/>
        </w:rPr>
        <w:t>105</w:t>
      </w:r>
      <w:r>
        <w:t xml:space="preserve"> The Appellate Body also provided support for th</w:t>
      </w:r>
      <w:r>
        <w:t>e exclusion of like products where</w:t>
      </w:r>
      <w:r>
        <w:rPr>
          <w:spacing w:val="5"/>
        </w:rPr>
        <w:t xml:space="preserve"> </w:t>
      </w:r>
      <w:r>
        <w:t>the</w:t>
      </w:r>
      <w:r>
        <w:rPr>
          <w:spacing w:val="7"/>
        </w:rPr>
        <w:t xml:space="preserve"> </w:t>
      </w:r>
      <w:r>
        <w:t>sales</w:t>
      </w:r>
      <w:r>
        <w:rPr>
          <w:spacing w:val="6"/>
        </w:rPr>
        <w:t xml:space="preserve"> </w:t>
      </w:r>
      <w:r>
        <w:t>are</w:t>
      </w:r>
      <w:r>
        <w:rPr>
          <w:spacing w:val="7"/>
        </w:rPr>
        <w:t xml:space="preserve"> </w:t>
      </w:r>
      <w:r>
        <w:t>made</w:t>
      </w:r>
      <w:r>
        <w:rPr>
          <w:spacing w:val="7"/>
        </w:rPr>
        <w:t xml:space="preserve"> </w:t>
      </w:r>
      <w:r>
        <w:t>to</w:t>
      </w:r>
      <w:r>
        <w:rPr>
          <w:spacing w:val="7"/>
        </w:rPr>
        <w:t xml:space="preserve"> </w:t>
      </w:r>
      <w:r>
        <w:t>affiliated</w:t>
      </w:r>
      <w:r>
        <w:rPr>
          <w:spacing w:val="6"/>
        </w:rPr>
        <w:t xml:space="preserve"> </w:t>
      </w:r>
      <w:r>
        <w:t>parties</w:t>
      </w:r>
      <w:r>
        <w:rPr>
          <w:spacing w:val="7"/>
        </w:rPr>
        <w:t xml:space="preserve"> </w:t>
      </w:r>
      <w:r>
        <w:t>and</w:t>
      </w:r>
      <w:r>
        <w:rPr>
          <w:spacing w:val="7"/>
        </w:rPr>
        <w:t xml:space="preserve"> </w:t>
      </w:r>
      <w:r>
        <w:t>are</w:t>
      </w:r>
      <w:r>
        <w:rPr>
          <w:spacing w:val="7"/>
        </w:rPr>
        <w:t xml:space="preserve"> </w:t>
      </w:r>
      <w:r>
        <w:t>not</w:t>
      </w:r>
      <w:r>
        <w:rPr>
          <w:spacing w:val="7"/>
        </w:rPr>
        <w:t xml:space="preserve"> </w:t>
      </w:r>
      <w:r>
        <w:t>at</w:t>
      </w:r>
      <w:r>
        <w:rPr>
          <w:spacing w:val="6"/>
        </w:rPr>
        <w:t xml:space="preserve"> </w:t>
      </w:r>
      <w:r>
        <w:t>"arm's</w:t>
      </w:r>
      <w:r>
        <w:rPr>
          <w:spacing w:val="6"/>
        </w:rPr>
        <w:t xml:space="preserve"> </w:t>
      </w:r>
      <w:r>
        <w:t>length".</w:t>
      </w:r>
      <w:r>
        <w:rPr>
          <w:vertAlign w:val="superscript"/>
        </w:rPr>
        <w:t>106</w:t>
      </w:r>
      <w:r>
        <w:rPr>
          <w:spacing w:val="6"/>
        </w:rPr>
        <w:t xml:space="preserve"> </w:t>
      </w:r>
      <w:r>
        <w:t>This</w:t>
      </w:r>
      <w:r>
        <w:rPr>
          <w:spacing w:val="8"/>
        </w:rPr>
        <w:t xml:space="preserve"> </w:t>
      </w:r>
      <w:r>
        <w:rPr>
          <w:spacing w:val="-2"/>
        </w:rPr>
        <w:t>enables</w:t>
      </w:r>
    </w:p>
    <w:p w14:paraId="51DE7DDD" w14:textId="77777777" w:rsidR="0010369C" w:rsidRDefault="0010369C">
      <w:pPr>
        <w:pStyle w:val="BodyText"/>
        <w:rPr>
          <w:sz w:val="20"/>
        </w:rPr>
      </w:pPr>
    </w:p>
    <w:p w14:paraId="51DE7DDE" w14:textId="77777777" w:rsidR="0010369C" w:rsidRDefault="008E43AE">
      <w:pPr>
        <w:pStyle w:val="BodyText"/>
        <w:spacing w:before="2"/>
        <w:rPr>
          <w:sz w:val="17"/>
        </w:rPr>
      </w:pPr>
      <w:r>
        <w:pict w14:anchorId="51DE9DEA">
          <v:rect id="docshape102" o:spid="_x0000_s3166" style="position:absolute;margin-left:70.9pt;margin-top:11.7pt;width:2in;height:.8pt;z-index:-251238912;mso-wrap-distance-left:0;mso-wrap-distance-right:0;mso-position-horizontal-relative:page" fillcolor="black" stroked="f">
            <w10:wrap type="topAndBottom" anchorx="page"/>
          </v:rect>
        </w:pict>
      </w:r>
    </w:p>
    <w:p w14:paraId="51DE7DDF" w14:textId="77777777" w:rsidR="0010369C" w:rsidRDefault="008E43AE">
      <w:pPr>
        <w:spacing w:before="109"/>
        <w:ind w:left="238" w:right="614"/>
        <w:rPr>
          <w:sz w:val="18"/>
        </w:rPr>
      </w:pPr>
      <w:r>
        <w:rPr>
          <w:sz w:val="18"/>
          <w:vertAlign w:val="superscript"/>
        </w:rPr>
        <w:t>102</w:t>
      </w:r>
      <w:r>
        <w:rPr>
          <w:sz w:val="18"/>
        </w:rPr>
        <w:t xml:space="preserve"> Panel Report, </w:t>
      </w:r>
      <w:r>
        <w:rPr>
          <w:i/>
          <w:sz w:val="18"/>
        </w:rPr>
        <w:t xml:space="preserve">US – Oil Country Tubular Goods Sunset Reviews (Article 21.5 – Argentina), </w:t>
      </w:r>
      <w:r>
        <w:rPr>
          <w:sz w:val="18"/>
        </w:rPr>
        <w:t>para. 7.76. See also Appellate</w:t>
      </w:r>
      <w:r>
        <w:rPr>
          <w:spacing w:val="40"/>
          <w:sz w:val="18"/>
        </w:rPr>
        <w:t xml:space="preserve"> </w:t>
      </w:r>
      <w:r>
        <w:rPr>
          <w:sz w:val="18"/>
        </w:rPr>
        <w:t xml:space="preserve">Body Report, </w:t>
      </w:r>
      <w:r>
        <w:rPr>
          <w:i/>
          <w:sz w:val="18"/>
        </w:rPr>
        <w:t>Ukraine – Ammonium Nitrate (Russia)</w:t>
      </w:r>
      <w:r>
        <w:rPr>
          <w:sz w:val="18"/>
        </w:rPr>
        <w:t>, para. 6.83.</w:t>
      </w:r>
    </w:p>
    <w:p w14:paraId="51DE7DE0" w14:textId="77777777" w:rsidR="0010369C" w:rsidRDefault="008E43AE">
      <w:pPr>
        <w:spacing w:before="1"/>
        <w:ind w:left="238"/>
        <w:rPr>
          <w:sz w:val="18"/>
        </w:rPr>
      </w:pPr>
      <w:r>
        <w:rPr>
          <w:sz w:val="18"/>
          <w:vertAlign w:val="superscript"/>
        </w:rPr>
        <w:t>103</w:t>
      </w:r>
      <w:r>
        <w:rPr>
          <w:spacing w:val="-6"/>
          <w:sz w:val="18"/>
        </w:rPr>
        <w:t xml:space="preserve"> </w:t>
      </w:r>
      <w:r>
        <w:rPr>
          <w:sz w:val="18"/>
        </w:rPr>
        <w:t>Appellate</w:t>
      </w:r>
      <w:r>
        <w:rPr>
          <w:spacing w:val="-5"/>
          <w:sz w:val="18"/>
        </w:rPr>
        <w:t xml:space="preserve"> </w:t>
      </w:r>
      <w:r>
        <w:rPr>
          <w:sz w:val="18"/>
        </w:rPr>
        <w:t>Body</w:t>
      </w:r>
      <w:r>
        <w:rPr>
          <w:spacing w:val="-7"/>
          <w:sz w:val="18"/>
        </w:rPr>
        <w:t xml:space="preserve"> </w:t>
      </w:r>
      <w:r>
        <w:rPr>
          <w:sz w:val="18"/>
        </w:rPr>
        <w:t>Report,</w:t>
      </w:r>
      <w:r>
        <w:rPr>
          <w:spacing w:val="-6"/>
          <w:sz w:val="18"/>
        </w:rPr>
        <w:t xml:space="preserve"> </w:t>
      </w:r>
      <w:r>
        <w:rPr>
          <w:i/>
          <w:sz w:val="18"/>
        </w:rPr>
        <w:t>US</w:t>
      </w:r>
      <w:r>
        <w:rPr>
          <w:i/>
          <w:spacing w:val="-5"/>
          <w:sz w:val="18"/>
        </w:rPr>
        <w:t xml:space="preserve"> </w:t>
      </w:r>
      <w:r>
        <w:rPr>
          <w:i/>
          <w:sz w:val="18"/>
        </w:rPr>
        <w:t>–</w:t>
      </w:r>
      <w:r>
        <w:rPr>
          <w:i/>
          <w:spacing w:val="-6"/>
          <w:sz w:val="18"/>
        </w:rPr>
        <w:t xml:space="preserve"> </w:t>
      </w:r>
      <w:r>
        <w:rPr>
          <w:i/>
          <w:sz w:val="18"/>
        </w:rPr>
        <w:t>Hot‐Rolled</w:t>
      </w:r>
      <w:r>
        <w:rPr>
          <w:i/>
          <w:spacing w:val="-5"/>
          <w:sz w:val="18"/>
        </w:rPr>
        <w:t xml:space="preserve"> </w:t>
      </w:r>
      <w:r>
        <w:rPr>
          <w:i/>
          <w:sz w:val="18"/>
        </w:rPr>
        <w:t>Steel</w:t>
      </w:r>
      <w:r>
        <w:rPr>
          <w:sz w:val="18"/>
        </w:rPr>
        <w:t>,</w:t>
      </w:r>
      <w:r>
        <w:rPr>
          <w:spacing w:val="-6"/>
          <w:sz w:val="18"/>
        </w:rPr>
        <w:t xml:space="preserve"> </w:t>
      </w:r>
      <w:r>
        <w:rPr>
          <w:sz w:val="18"/>
        </w:rPr>
        <w:t>para.</w:t>
      </w:r>
      <w:r>
        <w:rPr>
          <w:spacing w:val="-6"/>
          <w:sz w:val="18"/>
        </w:rPr>
        <w:t xml:space="preserve"> </w:t>
      </w:r>
      <w:r>
        <w:rPr>
          <w:spacing w:val="-4"/>
          <w:sz w:val="18"/>
        </w:rPr>
        <w:t>139.</w:t>
      </w:r>
    </w:p>
    <w:p w14:paraId="51DE7DE1" w14:textId="77777777" w:rsidR="0010369C" w:rsidRDefault="008E43AE">
      <w:pPr>
        <w:ind w:left="238"/>
        <w:rPr>
          <w:sz w:val="18"/>
        </w:rPr>
      </w:pPr>
      <w:r>
        <w:rPr>
          <w:sz w:val="18"/>
          <w:vertAlign w:val="superscript"/>
        </w:rPr>
        <w:t>104</w:t>
      </w:r>
      <w:r>
        <w:rPr>
          <w:spacing w:val="-6"/>
          <w:sz w:val="18"/>
        </w:rPr>
        <w:t xml:space="preserve"> </w:t>
      </w:r>
      <w:r>
        <w:rPr>
          <w:sz w:val="18"/>
        </w:rPr>
        <w:t>Appellate</w:t>
      </w:r>
      <w:r>
        <w:rPr>
          <w:spacing w:val="-5"/>
          <w:sz w:val="18"/>
        </w:rPr>
        <w:t xml:space="preserve"> </w:t>
      </w:r>
      <w:r>
        <w:rPr>
          <w:sz w:val="18"/>
        </w:rPr>
        <w:t>Body</w:t>
      </w:r>
      <w:r>
        <w:rPr>
          <w:spacing w:val="-7"/>
          <w:sz w:val="18"/>
        </w:rPr>
        <w:t xml:space="preserve"> </w:t>
      </w:r>
      <w:r>
        <w:rPr>
          <w:sz w:val="18"/>
        </w:rPr>
        <w:t>Report,</w:t>
      </w:r>
      <w:r>
        <w:rPr>
          <w:spacing w:val="-6"/>
          <w:sz w:val="18"/>
        </w:rPr>
        <w:t xml:space="preserve"> </w:t>
      </w:r>
      <w:r>
        <w:rPr>
          <w:i/>
          <w:sz w:val="18"/>
        </w:rPr>
        <w:t>US</w:t>
      </w:r>
      <w:r>
        <w:rPr>
          <w:i/>
          <w:spacing w:val="-5"/>
          <w:sz w:val="18"/>
        </w:rPr>
        <w:t xml:space="preserve"> </w:t>
      </w:r>
      <w:r>
        <w:rPr>
          <w:i/>
          <w:sz w:val="18"/>
        </w:rPr>
        <w:t>–</w:t>
      </w:r>
      <w:r>
        <w:rPr>
          <w:i/>
          <w:spacing w:val="-6"/>
          <w:sz w:val="18"/>
        </w:rPr>
        <w:t xml:space="preserve"> </w:t>
      </w:r>
      <w:r>
        <w:rPr>
          <w:i/>
          <w:sz w:val="18"/>
        </w:rPr>
        <w:t>Hot‐Rolled</w:t>
      </w:r>
      <w:r>
        <w:rPr>
          <w:i/>
          <w:spacing w:val="-5"/>
          <w:sz w:val="18"/>
        </w:rPr>
        <w:t xml:space="preserve"> </w:t>
      </w:r>
      <w:r>
        <w:rPr>
          <w:i/>
          <w:sz w:val="18"/>
        </w:rPr>
        <w:t>Steel</w:t>
      </w:r>
      <w:r>
        <w:rPr>
          <w:sz w:val="18"/>
        </w:rPr>
        <w:t>,</w:t>
      </w:r>
      <w:r>
        <w:rPr>
          <w:spacing w:val="-6"/>
          <w:sz w:val="18"/>
        </w:rPr>
        <w:t xml:space="preserve"> </w:t>
      </w:r>
      <w:r>
        <w:rPr>
          <w:sz w:val="18"/>
        </w:rPr>
        <w:t>para.</w:t>
      </w:r>
      <w:r>
        <w:rPr>
          <w:spacing w:val="-6"/>
          <w:sz w:val="18"/>
        </w:rPr>
        <w:t xml:space="preserve"> </w:t>
      </w:r>
      <w:r>
        <w:rPr>
          <w:spacing w:val="-4"/>
          <w:sz w:val="18"/>
        </w:rPr>
        <w:t>141.</w:t>
      </w:r>
    </w:p>
    <w:p w14:paraId="51DE7DE2" w14:textId="77777777" w:rsidR="0010369C" w:rsidRDefault="008E43AE">
      <w:pPr>
        <w:ind w:left="238"/>
        <w:rPr>
          <w:sz w:val="18"/>
        </w:rPr>
      </w:pPr>
      <w:r>
        <w:rPr>
          <w:sz w:val="18"/>
          <w:vertAlign w:val="superscript"/>
        </w:rPr>
        <w:t>105</w:t>
      </w:r>
      <w:r>
        <w:rPr>
          <w:spacing w:val="-6"/>
          <w:sz w:val="18"/>
        </w:rPr>
        <w:t xml:space="preserve"> </w:t>
      </w:r>
      <w:r>
        <w:rPr>
          <w:sz w:val="18"/>
        </w:rPr>
        <w:t>Appellate</w:t>
      </w:r>
      <w:r>
        <w:rPr>
          <w:spacing w:val="-6"/>
          <w:sz w:val="18"/>
        </w:rPr>
        <w:t xml:space="preserve"> </w:t>
      </w:r>
      <w:r>
        <w:rPr>
          <w:sz w:val="18"/>
        </w:rPr>
        <w:t>Body</w:t>
      </w:r>
      <w:r>
        <w:rPr>
          <w:spacing w:val="-7"/>
          <w:sz w:val="18"/>
        </w:rPr>
        <w:t xml:space="preserve"> </w:t>
      </w:r>
      <w:r>
        <w:rPr>
          <w:sz w:val="18"/>
        </w:rPr>
        <w:t>Report,</w:t>
      </w:r>
      <w:r>
        <w:rPr>
          <w:spacing w:val="-6"/>
          <w:sz w:val="18"/>
        </w:rPr>
        <w:t xml:space="preserve"> </w:t>
      </w:r>
      <w:r>
        <w:rPr>
          <w:i/>
          <w:sz w:val="18"/>
        </w:rPr>
        <w:t>US</w:t>
      </w:r>
      <w:r>
        <w:rPr>
          <w:i/>
          <w:spacing w:val="-6"/>
          <w:sz w:val="18"/>
        </w:rPr>
        <w:t xml:space="preserve"> </w:t>
      </w:r>
      <w:r>
        <w:rPr>
          <w:i/>
          <w:sz w:val="18"/>
        </w:rPr>
        <w:t>–</w:t>
      </w:r>
      <w:r>
        <w:rPr>
          <w:i/>
          <w:spacing w:val="-5"/>
          <w:sz w:val="18"/>
        </w:rPr>
        <w:t xml:space="preserve"> </w:t>
      </w:r>
      <w:r>
        <w:rPr>
          <w:i/>
          <w:sz w:val="18"/>
        </w:rPr>
        <w:t>Hot‐Rolle</w:t>
      </w:r>
      <w:r>
        <w:rPr>
          <w:i/>
          <w:sz w:val="18"/>
        </w:rPr>
        <w:t>d</w:t>
      </w:r>
      <w:r>
        <w:rPr>
          <w:i/>
          <w:spacing w:val="-6"/>
          <w:sz w:val="18"/>
        </w:rPr>
        <w:t xml:space="preserve"> </w:t>
      </w:r>
      <w:r>
        <w:rPr>
          <w:i/>
          <w:sz w:val="18"/>
        </w:rPr>
        <w:t>Steel</w:t>
      </w:r>
      <w:r>
        <w:rPr>
          <w:sz w:val="18"/>
        </w:rPr>
        <w:t>,</w:t>
      </w:r>
      <w:r>
        <w:rPr>
          <w:spacing w:val="-7"/>
          <w:sz w:val="18"/>
        </w:rPr>
        <w:t xml:space="preserve"> </w:t>
      </w:r>
      <w:r>
        <w:rPr>
          <w:sz w:val="18"/>
        </w:rPr>
        <w:t>para.</w:t>
      </w:r>
      <w:r>
        <w:rPr>
          <w:spacing w:val="-5"/>
          <w:sz w:val="18"/>
        </w:rPr>
        <w:t xml:space="preserve"> </w:t>
      </w:r>
      <w:r>
        <w:rPr>
          <w:sz w:val="18"/>
        </w:rPr>
        <w:t>143</w:t>
      </w:r>
      <w:r>
        <w:rPr>
          <w:spacing w:val="-6"/>
          <w:sz w:val="18"/>
        </w:rPr>
        <w:t xml:space="preserve"> </w:t>
      </w:r>
      <w:r>
        <w:rPr>
          <w:sz w:val="18"/>
        </w:rPr>
        <w:t>and</w:t>
      </w:r>
      <w:r>
        <w:rPr>
          <w:spacing w:val="-6"/>
          <w:sz w:val="18"/>
        </w:rPr>
        <w:t xml:space="preserve"> </w:t>
      </w:r>
      <w:r>
        <w:rPr>
          <w:sz w:val="18"/>
        </w:rPr>
        <w:t>footnote</w:t>
      </w:r>
      <w:r>
        <w:rPr>
          <w:spacing w:val="-5"/>
          <w:sz w:val="18"/>
        </w:rPr>
        <w:t xml:space="preserve"> </w:t>
      </w:r>
      <w:r>
        <w:rPr>
          <w:spacing w:val="-4"/>
          <w:sz w:val="18"/>
        </w:rPr>
        <w:t>106.</w:t>
      </w:r>
    </w:p>
    <w:p w14:paraId="51DE7DE3" w14:textId="77777777" w:rsidR="0010369C" w:rsidRDefault="008E43AE">
      <w:pPr>
        <w:ind w:left="238"/>
        <w:rPr>
          <w:sz w:val="18"/>
        </w:rPr>
      </w:pPr>
      <w:r>
        <w:rPr>
          <w:sz w:val="18"/>
          <w:vertAlign w:val="superscript"/>
        </w:rPr>
        <w:t>106</w:t>
      </w:r>
      <w:r>
        <w:rPr>
          <w:spacing w:val="-5"/>
          <w:sz w:val="18"/>
        </w:rPr>
        <w:t xml:space="preserve"> </w:t>
      </w:r>
      <w:r>
        <w:rPr>
          <w:sz w:val="18"/>
        </w:rPr>
        <w:t>Appellate</w:t>
      </w:r>
      <w:r>
        <w:rPr>
          <w:spacing w:val="-5"/>
          <w:sz w:val="18"/>
        </w:rPr>
        <w:t xml:space="preserve"> </w:t>
      </w:r>
      <w:r>
        <w:rPr>
          <w:sz w:val="18"/>
        </w:rPr>
        <w:t>Body</w:t>
      </w:r>
      <w:r>
        <w:rPr>
          <w:spacing w:val="-7"/>
          <w:sz w:val="18"/>
        </w:rPr>
        <w:t xml:space="preserve"> </w:t>
      </w:r>
      <w:r>
        <w:rPr>
          <w:sz w:val="18"/>
        </w:rPr>
        <w:t>Report,</w:t>
      </w:r>
      <w:r>
        <w:rPr>
          <w:spacing w:val="-5"/>
          <w:sz w:val="18"/>
        </w:rPr>
        <w:t xml:space="preserve"> </w:t>
      </w:r>
      <w:r>
        <w:rPr>
          <w:i/>
          <w:sz w:val="18"/>
        </w:rPr>
        <w:t>US</w:t>
      </w:r>
      <w:r>
        <w:rPr>
          <w:i/>
          <w:spacing w:val="-5"/>
          <w:sz w:val="18"/>
        </w:rPr>
        <w:t xml:space="preserve"> </w:t>
      </w:r>
      <w:r>
        <w:rPr>
          <w:i/>
          <w:sz w:val="18"/>
        </w:rPr>
        <w:t>–</w:t>
      </w:r>
      <w:r>
        <w:rPr>
          <w:i/>
          <w:spacing w:val="-5"/>
          <w:sz w:val="18"/>
        </w:rPr>
        <w:t xml:space="preserve"> </w:t>
      </w:r>
      <w:r>
        <w:rPr>
          <w:i/>
          <w:sz w:val="18"/>
        </w:rPr>
        <w:t>Hot</w:t>
      </w:r>
      <w:r>
        <w:rPr>
          <w:i/>
          <w:spacing w:val="-4"/>
          <w:sz w:val="18"/>
        </w:rPr>
        <w:t xml:space="preserve"> </w:t>
      </w:r>
      <w:r>
        <w:rPr>
          <w:i/>
          <w:sz w:val="18"/>
        </w:rPr>
        <w:t>Rolled</w:t>
      </w:r>
      <w:r>
        <w:rPr>
          <w:i/>
          <w:spacing w:val="-5"/>
          <w:sz w:val="18"/>
        </w:rPr>
        <w:t xml:space="preserve"> </w:t>
      </w:r>
      <w:r>
        <w:rPr>
          <w:i/>
          <w:sz w:val="18"/>
        </w:rPr>
        <w:t>Steel</w:t>
      </w:r>
      <w:r>
        <w:rPr>
          <w:sz w:val="18"/>
        </w:rPr>
        <w:t>,</w:t>
      </w:r>
      <w:r>
        <w:rPr>
          <w:spacing w:val="-6"/>
          <w:sz w:val="18"/>
        </w:rPr>
        <w:t xml:space="preserve"> </w:t>
      </w:r>
      <w:r>
        <w:rPr>
          <w:sz w:val="18"/>
        </w:rPr>
        <w:t>paras.</w:t>
      </w:r>
      <w:r>
        <w:rPr>
          <w:spacing w:val="-5"/>
          <w:sz w:val="18"/>
        </w:rPr>
        <w:t xml:space="preserve"> </w:t>
      </w:r>
      <w:r>
        <w:rPr>
          <w:spacing w:val="-2"/>
          <w:sz w:val="18"/>
        </w:rPr>
        <w:t>165‐168.</w:t>
      </w:r>
    </w:p>
    <w:p w14:paraId="51DE7DE4" w14:textId="77777777" w:rsidR="0010369C" w:rsidRDefault="0010369C">
      <w:pPr>
        <w:rPr>
          <w:sz w:val="18"/>
        </w:rPr>
        <w:sectPr w:rsidR="0010369C">
          <w:headerReference w:type="default" r:id="rId195"/>
          <w:footerReference w:type="default" r:id="rId196"/>
          <w:pgSz w:w="11910" w:h="16840"/>
          <w:pgMar w:top="880" w:right="800" w:bottom="980" w:left="1180" w:header="569" w:footer="788" w:gutter="0"/>
          <w:cols w:space="720"/>
        </w:sectPr>
      </w:pPr>
    </w:p>
    <w:p w14:paraId="51DE7DE5" w14:textId="77777777" w:rsidR="0010369C" w:rsidRDefault="008E43AE">
      <w:pPr>
        <w:tabs>
          <w:tab w:val="left" w:pos="6426"/>
        </w:tabs>
        <w:ind w:left="238"/>
        <w:jc w:val="both"/>
        <w:rPr>
          <w:sz w:val="20"/>
        </w:rPr>
      </w:pPr>
      <w:r>
        <w:rPr>
          <w:i/>
          <w:sz w:val="20"/>
        </w:rPr>
        <w:lastRenderedPageBreak/>
        <w:t>China</w:t>
      </w:r>
      <w:r>
        <w:rPr>
          <w:i/>
          <w:spacing w:val="-5"/>
          <w:sz w:val="20"/>
        </w:rPr>
        <w:t xml:space="preserve"> </w:t>
      </w:r>
      <w:r>
        <w:rPr>
          <w:i/>
          <w:sz w:val="20"/>
        </w:rPr>
        <w:t>–</w:t>
      </w:r>
      <w:r>
        <w:rPr>
          <w:i/>
          <w:spacing w:val="-5"/>
          <w:sz w:val="20"/>
        </w:rPr>
        <w:t xml:space="preserve"> </w:t>
      </w:r>
      <w:r>
        <w:rPr>
          <w:i/>
          <w:sz w:val="20"/>
        </w:rPr>
        <w:t>Anti‐Dumping</w:t>
      </w:r>
      <w:r>
        <w:rPr>
          <w:i/>
          <w:spacing w:val="-4"/>
          <w:sz w:val="20"/>
        </w:rPr>
        <w:t xml:space="preserve"> </w:t>
      </w:r>
      <w:r>
        <w:rPr>
          <w:i/>
          <w:sz w:val="20"/>
        </w:rPr>
        <w:t>and</w:t>
      </w:r>
      <w:r>
        <w:rPr>
          <w:i/>
          <w:spacing w:val="-5"/>
          <w:sz w:val="20"/>
        </w:rPr>
        <w:t xml:space="preserve"> </w:t>
      </w:r>
      <w:r>
        <w:rPr>
          <w:i/>
          <w:sz w:val="20"/>
        </w:rPr>
        <w:t>Countervailing</w:t>
      </w:r>
      <w:r>
        <w:rPr>
          <w:i/>
          <w:spacing w:val="-5"/>
          <w:sz w:val="20"/>
        </w:rPr>
        <w:t xml:space="preserve"> </w:t>
      </w:r>
      <w:r>
        <w:rPr>
          <w:i/>
          <w:sz w:val="20"/>
        </w:rPr>
        <w:t>Duty</w:t>
      </w:r>
      <w:r>
        <w:rPr>
          <w:i/>
          <w:spacing w:val="-4"/>
          <w:sz w:val="20"/>
        </w:rPr>
        <w:t xml:space="preserve"> </w:t>
      </w:r>
      <w:r>
        <w:rPr>
          <w:i/>
          <w:spacing w:val="-2"/>
          <w:sz w:val="20"/>
        </w:rPr>
        <w:t>Measures</w:t>
      </w:r>
      <w:r>
        <w:rPr>
          <w:i/>
          <w:sz w:val="20"/>
        </w:rPr>
        <w:tab/>
      </w:r>
      <w:r>
        <w:rPr>
          <w:sz w:val="20"/>
        </w:rPr>
        <w:t>Australia's</w:t>
      </w:r>
      <w:r>
        <w:rPr>
          <w:spacing w:val="-7"/>
          <w:sz w:val="20"/>
        </w:rPr>
        <w:t xml:space="preserve"> </w:t>
      </w:r>
      <w:r>
        <w:rPr>
          <w:sz w:val="20"/>
        </w:rPr>
        <w:t>First</w:t>
      </w:r>
      <w:r>
        <w:rPr>
          <w:spacing w:val="-2"/>
          <w:sz w:val="20"/>
        </w:rPr>
        <w:t xml:space="preserve"> </w:t>
      </w:r>
      <w:r>
        <w:rPr>
          <w:sz w:val="20"/>
        </w:rPr>
        <w:t>Written</w:t>
      </w:r>
      <w:r>
        <w:rPr>
          <w:spacing w:val="-2"/>
          <w:sz w:val="20"/>
        </w:rPr>
        <w:t xml:space="preserve"> Submission</w:t>
      </w:r>
    </w:p>
    <w:p w14:paraId="51DE7DE6" w14:textId="77777777" w:rsidR="0010369C" w:rsidRDefault="008E43AE">
      <w:pPr>
        <w:tabs>
          <w:tab w:val="left" w:pos="8228"/>
        </w:tabs>
        <w:spacing w:before="1"/>
        <w:ind w:left="239"/>
        <w:jc w:val="both"/>
        <w:rPr>
          <w:sz w:val="20"/>
        </w:rPr>
      </w:pPr>
      <w:r>
        <w:rPr>
          <w:i/>
          <w:sz w:val="20"/>
        </w:rPr>
        <w:t>on</w:t>
      </w:r>
      <w:r>
        <w:rPr>
          <w:i/>
          <w:spacing w:val="-1"/>
          <w:sz w:val="20"/>
        </w:rPr>
        <w:t xml:space="preserve"> </w:t>
      </w:r>
      <w:r>
        <w:rPr>
          <w:i/>
          <w:sz w:val="20"/>
        </w:rPr>
        <w:t>Wine</w:t>
      </w:r>
      <w:r>
        <w:rPr>
          <w:i/>
          <w:spacing w:val="-1"/>
          <w:sz w:val="20"/>
        </w:rPr>
        <w:t xml:space="preserve"> </w:t>
      </w:r>
      <w:r>
        <w:rPr>
          <w:i/>
          <w:sz w:val="20"/>
        </w:rPr>
        <w:t>from</w:t>
      </w:r>
      <w:r>
        <w:rPr>
          <w:i/>
          <w:spacing w:val="-3"/>
          <w:sz w:val="20"/>
        </w:rPr>
        <w:t xml:space="preserve"> </w:t>
      </w:r>
      <w:r>
        <w:rPr>
          <w:i/>
          <w:sz w:val="20"/>
        </w:rPr>
        <w:t>Australia</w:t>
      </w:r>
      <w:r>
        <w:rPr>
          <w:i/>
          <w:spacing w:val="-1"/>
          <w:sz w:val="20"/>
        </w:rPr>
        <w:t xml:space="preserve"> </w:t>
      </w:r>
      <w:r>
        <w:rPr>
          <w:spacing w:val="-2"/>
          <w:sz w:val="20"/>
        </w:rPr>
        <w:t>(DS602)</w:t>
      </w:r>
      <w:r>
        <w:rPr>
          <w:sz w:val="20"/>
        </w:rPr>
        <w:tab/>
        <w:t>29</w:t>
      </w:r>
      <w:r>
        <w:rPr>
          <w:spacing w:val="-1"/>
          <w:sz w:val="20"/>
        </w:rPr>
        <w:t xml:space="preserve"> </w:t>
      </w:r>
      <w:r>
        <w:rPr>
          <w:sz w:val="20"/>
        </w:rPr>
        <w:t>April</w:t>
      </w:r>
      <w:r>
        <w:rPr>
          <w:spacing w:val="-2"/>
          <w:sz w:val="20"/>
        </w:rPr>
        <w:t xml:space="preserve"> </w:t>
      </w:r>
      <w:r>
        <w:rPr>
          <w:spacing w:val="-4"/>
          <w:sz w:val="20"/>
        </w:rPr>
        <w:t>2022</w:t>
      </w:r>
    </w:p>
    <w:p w14:paraId="51DE7DE7" w14:textId="77777777" w:rsidR="0010369C" w:rsidRDefault="008E43AE">
      <w:pPr>
        <w:pStyle w:val="BodyText"/>
        <w:spacing w:before="34" w:line="360" w:lineRule="auto"/>
        <w:ind w:left="238" w:right="612"/>
        <w:jc w:val="both"/>
      </w:pPr>
      <w:r>
        <w:t>normal</w:t>
      </w:r>
      <w:r>
        <w:rPr>
          <w:spacing w:val="-9"/>
        </w:rPr>
        <w:t xml:space="preserve"> </w:t>
      </w:r>
      <w:r>
        <w:t>value</w:t>
      </w:r>
      <w:r>
        <w:rPr>
          <w:spacing w:val="-10"/>
        </w:rPr>
        <w:t xml:space="preserve"> </w:t>
      </w:r>
      <w:r>
        <w:t>to</w:t>
      </w:r>
      <w:r>
        <w:rPr>
          <w:spacing w:val="-9"/>
        </w:rPr>
        <w:t xml:space="preserve"> </w:t>
      </w:r>
      <w:r>
        <w:t>be</w:t>
      </w:r>
      <w:r>
        <w:rPr>
          <w:spacing w:val="-9"/>
        </w:rPr>
        <w:t xml:space="preserve"> </w:t>
      </w:r>
      <w:r>
        <w:t>calculated</w:t>
      </w:r>
      <w:r>
        <w:rPr>
          <w:spacing w:val="-10"/>
        </w:rPr>
        <w:t xml:space="preserve"> </w:t>
      </w:r>
      <w:r>
        <w:t>on</w:t>
      </w:r>
      <w:r>
        <w:rPr>
          <w:spacing w:val="-10"/>
        </w:rPr>
        <w:t xml:space="preserve"> </w:t>
      </w:r>
      <w:r>
        <w:t>the</w:t>
      </w:r>
      <w:r>
        <w:rPr>
          <w:spacing w:val="-9"/>
        </w:rPr>
        <w:t xml:space="preserve"> </w:t>
      </w:r>
      <w:r>
        <w:t>basis</w:t>
      </w:r>
      <w:r>
        <w:rPr>
          <w:spacing w:val="-10"/>
        </w:rPr>
        <w:t xml:space="preserve"> </w:t>
      </w:r>
      <w:r>
        <w:t>of</w:t>
      </w:r>
      <w:r>
        <w:rPr>
          <w:spacing w:val="-10"/>
        </w:rPr>
        <w:t xml:space="preserve"> </w:t>
      </w:r>
      <w:r>
        <w:t>other</w:t>
      </w:r>
      <w:r>
        <w:rPr>
          <w:spacing w:val="-9"/>
        </w:rPr>
        <w:t xml:space="preserve"> </w:t>
      </w:r>
      <w:r>
        <w:t>relevant</w:t>
      </w:r>
      <w:r>
        <w:rPr>
          <w:spacing w:val="-10"/>
        </w:rPr>
        <w:t xml:space="preserve"> </w:t>
      </w:r>
      <w:r>
        <w:t>sales,</w:t>
      </w:r>
      <w:r>
        <w:rPr>
          <w:spacing w:val="-9"/>
        </w:rPr>
        <w:t xml:space="preserve"> </w:t>
      </w:r>
      <w:r>
        <w:t>including</w:t>
      </w:r>
      <w:r>
        <w:rPr>
          <w:spacing w:val="-9"/>
        </w:rPr>
        <w:t xml:space="preserve"> </w:t>
      </w:r>
      <w:r>
        <w:t>downstream</w:t>
      </w:r>
      <w:r>
        <w:rPr>
          <w:spacing w:val="-9"/>
        </w:rPr>
        <w:t xml:space="preserve"> </w:t>
      </w:r>
      <w:r>
        <w:t>sales prices</w:t>
      </w:r>
      <w:r>
        <w:rPr>
          <w:spacing w:val="-6"/>
        </w:rPr>
        <w:t xml:space="preserve"> </w:t>
      </w:r>
      <w:r>
        <w:t>with</w:t>
      </w:r>
      <w:r>
        <w:rPr>
          <w:spacing w:val="-6"/>
        </w:rPr>
        <w:t xml:space="preserve"> </w:t>
      </w:r>
      <w:r>
        <w:t>the</w:t>
      </w:r>
      <w:r>
        <w:rPr>
          <w:spacing w:val="-6"/>
        </w:rPr>
        <w:t xml:space="preserve"> </w:t>
      </w:r>
      <w:r>
        <w:t>first</w:t>
      </w:r>
      <w:r>
        <w:rPr>
          <w:spacing w:val="-6"/>
        </w:rPr>
        <w:t xml:space="preserve"> </w:t>
      </w:r>
      <w:r>
        <w:t>independent</w:t>
      </w:r>
      <w:r>
        <w:rPr>
          <w:spacing w:val="-5"/>
        </w:rPr>
        <w:t xml:space="preserve"> </w:t>
      </w:r>
      <w:r>
        <w:t>customer</w:t>
      </w:r>
      <w:r>
        <w:rPr>
          <w:spacing w:val="-6"/>
        </w:rPr>
        <w:t xml:space="preserve"> </w:t>
      </w:r>
      <w:r>
        <w:t>under</w:t>
      </w:r>
      <w:r>
        <w:rPr>
          <w:spacing w:val="-6"/>
        </w:rPr>
        <w:t xml:space="preserve"> </w:t>
      </w:r>
      <w:r>
        <w:t>Article</w:t>
      </w:r>
      <w:r>
        <w:rPr>
          <w:spacing w:val="-6"/>
        </w:rPr>
        <w:t xml:space="preserve"> </w:t>
      </w:r>
      <w:r>
        <w:t>2.1</w:t>
      </w:r>
      <w:r>
        <w:rPr>
          <w:spacing w:val="-7"/>
        </w:rPr>
        <w:t xml:space="preserve"> </w:t>
      </w:r>
      <w:r>
        <w:t>of</w:t>
      </w:r>
      <w:r>
        <w:rPr>
          <w:spacing w:val="-6"/>
        </w:rPr>
        <w:t xml:space="preserve"> </w:t>
      </w:r>
      <w:r>
        <w:t>the</w:t>
      </w:r>
      <w:r>
        <w:rPr>
          <w:spacing w:val="-6"/>
        </w:rPr>
        <w:t xml:space="preserve"> </w:t>
      </w:r>
      <w:r>
        <w:t>Anti‐Dumping</w:t>
      </w:r>
      <w:r>
        <w:rPr>
          <w:spacing w:val="-6"/>
        </w:rPr>
        <w:t xml:space="preserve"> </w:t>
      </w:r>
      <w:r>
        <w:t>Agreement. However,</w:t>
      </w:r>
      <w:r>
        <w:rPr>
          <w:spacing w:val="-3"/>
        </w:rPr>
        <w:t xml:space="preserve"> </w:t>
      </w:r>
      <w:r>
        <w:t>the</w:t>
      </w:r>
      <w:r>
        <w:rPr>
          <w:spacing w:val="-2"/>
        </w:rPr>
        <w:t xml:space="preserve"> </w:t>
      </w:r>
      <w:r>
        <w:t>Appellate</w:t>
      </w:r>
      <w:r>
        <w:rPr>
          <w:spacing w:val="-4"/>
        </w:rPr>
        <w:t xml:space="preserve"> </w:t>
      </w:r>
      <w:r>
        <w:t>Body's</w:t>
      </w:r>
      <w:r>
        <w:rPr>
          <w:spacing w:val="-3"/>
        </w:rPr>
        <w:t xml:space="preserve"> </w:t>
      </w:r>
      <w:r>
        <w:t>reasoning</w:t>
      </w:r>
      <w:r>
        <w:rPr>
          <w:spacing w:val="-2"/>
        </w:rPr>
        <w:t xml:space="preserve"> </w:t>
      </w:r>
      <w:r>
        <w:t>was</w:t>
      </w:r>
      <w:r>
        <w:rPr>
          <w:spacing w:val="-3"/>
        </w:rPr>
        <w:t xml:space="preserve"> </w:t>
      </w:r>
      <w:r>
        <w:t>directed</w:t>
      </w:r>
      <w:r>
        <w:rPr>
          <w:spacing w:val="-3"/>
        </w:rPr>
        <w:t xml:space="preserve"> </w:t>
      </w:r>
      <w:r>
        <w:t>at</w:t>
      </w:r>
      <w:r>
        <w:rPr>
          <w:spacing w:val="-3"/>
        </w:rPr>
        <w:t xml:space="preserve"> </w:t>
      </w:r>
      <w:r>
        <w:t>Article</w:t>
      </w:r>
      <w:r>
        <w:rPr>
          <w:spacing w:val="-3"/>
        </w:rPr>
        <w:t xml:space="preserve"> </w:t>
      </w:r>
      <w:r>
        <w:t>2.1</w:t>
      </w:r>
      <w:r>
        <w:rPr>
          <w:spacing w:val="-3"/>
        </w:rPr>
        <w:t xml:space="preserve"> </w:t>
      </w:r>
      <w:r>
        <w:t>and,</w:t>
      </w:r>
      <w:r>
        <w:rPr>
          <w:spacing w:val="-3"/>
        </w:rPr>
        <w:t xml:space="preserve"> </w:t>
      </w:r>
      <w:r>
        <w:t>therefore,</w:t>
      </w:r>
      <w:r>
        <w:rPr>
          <w:spacing w:val="-3"/>
        </w:rPr>
        <w:t xml:space="preserve"> </w:t>
      </w:r>
      <w:r>
        <w:t>it</w:t>
      </w:r>
      <w:r>
        <w:rPr>
          <w:spacing w:val="-3"/>
        </w:rPr>
        <w:t xml:space="preserve"> </w:t>
      </w:r>
      <w:r>
        <w:t>did</w:t>
      </w:r>
      <w:r>
        <w:rPr>
          <w:spacing w:val="-3"/>
        </w:rPr>
        <w:t xml:space="preserve"> </w:t>
      </w:r>
      <w:r>
        <w:t>not consider constructed normal value under Article 2.2.</w:t>
      </w:r>
      <w:r>
        <w:rPr>
          <w:vertAlign w:val="superscript"/>
        </w:rPr>
        <w:t>107</w:t>
      </w:r>
    </w:p>
    <w:p w14:paraId="51DE7DE8" w14:textId="77777777" w:rsidR="0010369C" w:rsidRDefault="0010369C">
      <w:pPr>
        <w:pStyle w:val="BodyText"/>
        <w:spacing w:before="11"/>
        <w:rPr>
          <w:sz w:val="8"/>
        </w:rPr>
      </w:pPr>
    </w:p>
    <w:p w14:paraId="51DE7DE9" w14:textId="77777777" w:rsidR="0010369C" w:rsidRDefault="008E43AE">
      <w:pPr>
        <w:pStyle w:val="BodyText"/>
        <w:spacing w:before="51" w:line="360" w:lineRule="auto"/>
        <w:ind w:left="236" w:right="612" w:firstLine="852"/>
        <w:jc w:val="both"/>
      </w:pPr>
      <w:r>
        <w:rPr>
          <w:noProof/>
        </w:rPr>
        <w:drawing>
          <wp:anchor distT="0" distB="0" distL="0" distR="0" simplePos="0" relativeHeight="250794496" behindDoc="1" locked="0" layoutInCell="1" allowOverlap="1" wp14:anchorId="51DE9DEB" wp14:editId="51DE9DEC">
            <wp:simplePos x="0" y="0"/>
            <wp:positionH relativeFrom="page">
              <wp:posOffset>908303</wp:posOffset>
            </wp:positionH>
            <wp:positionV relativeFrom="paragraph">
              <wp:posOffset>81314</wp:posOffset>
            </wp:positionV>
            <wp:extent cx="256031" cy="100753"/>
            <wp:effectExtent l="0" t="0" r="0" b="0"/>
            <wp:wrapNone/>
            <wp:docPr id="197" name="image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107.png"/>
                    <pic:cNvPicPr/>
                  </pic:nvPicPr>
                  <pic:blipFill>
                    <a:blip r:embed="rId197" cstate="print"/>
                    <a:stretch>
                      <a:fillRect/>
                    </a:stretch>
                  </pic:blipFill>
                  <pic:spPr>
                    <a:xfrm>
                      <a:off x="0" y="0"/>
                      <a:ext cx="256031" cy="100753"/>
                    </a:xfrm>
                    <a:prstGeom prst="rect">
                      <a:avLst/>
                    </a:prstGeom>
                  </pic:spPr>
                </pic:pic>
              </a:graphicData>
            </a:graphic>
          </wp:anchor>
        </w:drawing>
      </w:r>
      <w:r>
        <w:t>In</w:t>
      </w:r>
      <w:r>
        <w:rPr>
          <w:spacing w:val="-10"/>
        </w:rPr>
        <w:t xml:space="preserve"> </w:t>
      </w:r>
      <w:r>
        <w:t>determining</w:t>
      </w:r>
      <w:r>
        <w:rPr>
          <w:spacing w:val="-9"/>
        </w:rPr>
        <w:t xml:space="preserve"> </w:t>
      </w:r>
      <w:r>
        <w:t>whether</w:t>
      </w:r>
      <w:r>
        <w:rPr>
          <w:spacing w:val="-11"/>
        </w:rPr>
        <w:t xml:space="preserve"> </w:t>
      </w:r>
      <w:r>
        <w:t>sales</w:t>
      </w:r>
      <w:r>
        <w:rPr>
          <w:spacing w:val="-10"/>
        </w:rPr>
        <w:t xml:space="preserve"> </w:t>
      </w:r>
      <w:r>
        <w:t>do</w:t>
      </w:r>
      <w:r>
        <w:rPr>
          <w:spacing w:val="-9"/>
        </w:rPr>
        <w:t xml:space="preserve"> </w:t>
      </w:r>
      <w:r>
        <w:t>not</w:t>
      </w:r>
      <w:r>
        <w:rPr>
          <w:spacing w:val="-11"/>
        </w:rPr>
        <w:t xml:space="preserve"> </w:t>
      </w:r>
      <w:r>
        <w:t>permit</w:t>
      </w:r>
      <w:r>
        <w:rPr>
          <w:spacing w:val="-9"/>
        </w:rPr>
        <w:t xml:space="preserve"> </w:t>
      </w:r>
      <w:r>
        <w:t>a</w:t>
      </w:r>
      <w:r>
        <w:rPr>
          <w:spacing w:val="-11"/>
        </w:rPr>
        <w:t xml:space="preserve"> </w:t>
      </w:r>
      <w:r>
        <w:t>proper</w:t>
      </w:r>
      <w:r>
        <w:rPr>
          <w:spacing w:val="-10"/>
        </w:rPr>
        <w:t xml:space="preserve"> </w:t>
      </w:r>
      <w:r>
        <w:t>comparison</w:t>
      </w:r>
      <w:r>
        <w:rPr>
          <w:spacing w:val="-10"/>
        </w:rPr>
        <w:t xml:space="preserve"> </w:t>
      </w:r>
      <w:r>
        <w:t>on</w:t>
      </w:r>
      <w:r>
        <w:rPr>
          <w:spacing w:val="-10"/>
        </w:rPr>
        <w:t xml:space="preserve"> </w:t>
      </w:r>
      <w:r>
        <w:t>the</w:t>
      </w:r>
      <w:r>
        <w:rPr>
          <w:spacing w:val="-10"/>
        </w:rPr>
        <w:t xml:space="preserve"> </w:t>
      </w:r>
      <w:r>
        <w:t>basis</w:t>
      </w:r>
      <w:r>
        <w:rPr>
          <w:spacing w:val="-10"/>
        </w:rPr>
        <w:t xml:space="preserve"> </w:t>
      </w:r>
      <w:r>
        <w:t>of</w:t>
      </w:r>
      <w:r>
        <w:rPr>
          <w:spacing w:val="-10"/>
        </w:rPr>
        <w:t xml:space="preserve"> </w:t>
      </w:r>
      <w:r>
        <w:t>"low volume", Footnote 2 to Article 2.2 provides that sales of a like product "will normally be considered a sufficient quantity for the determination of the normal value if such sales constitute 5% or more of the sales of the product under consideration t</w:t>
      </w:r>
      <w:r>
        <w:t>o the importing Member,</w:t>
      </w:r>
      <w:r>
        <w:rPr>
          <w:spacing w:val="-5"/>
        </w:rPr>
        <w:t xml:space="preserve"> </w:t>
      </w:r>
      <w:r>
        <w:t>provided</w:t>
      </w:r>
      <w:r>
        <w:rPr>
          <w:spacing w:val="-5"/>
        </w:rPr>
        <w:t xml:space="preserve"> </w:t>
      </w:r>
      <w:r>
        <w:t>that</w:t>
      </w:r>
      <w:r>
        <w:rPr>
          <w:spacing w:val="-5"/>
        </w:rPr>
        <w:t xml:space="preserve"> </w:t>
      </w:r>
      <w:r>
        <w:t>a</w:t>
      </w:r>
      <w:r>
        <w:rPr>
          <w:spacing w:val="-5"/>
        </w:rPr>
        <w:t xml:space="preserve"> </w:t>
      </w:r>
      <w:r>
        <w:t>lower</w:t>
      </w:r>
      <w:r>
        <w:rPr>
          <w:spacing w:val="-4"/>
        </w:rPr>
        <w:t xml:space="preserve"> </w:t>
      </w:r>
      <w:r>
        <w:t>ratio</w:t>
      </w:r>
      <w:r>
        <w:rPr>
          <w:spacing w:val="-5"/>
        </w:rPr>
        <w:t xml:space="preserve"> </w:t>
      </w:r>
      <w:r>
        <w:t>should</w:t>
      </w:r>
      <w:r>
        <w:rPr>
          <w:spacing w:val="-5"/>
        </w:rPr>
        <w:t xml:space="preserve"> </w:t>
      </w:r>
      <w:r>
        <w:t>be</w:t>
      </w:r>
      <w:r>
        <w:rPr>
          <w:spacing w:val="-5"/>
        </w:rPr>
        <w:t xml:space="preserve"> </w:t>
      </w:r>
      <w:r>
        <w:t>acceptable</w:t>
      </w:r>
      <w:r>
        <w:rPr>
          <w:spacing w:val="-6"/>
        </w:rPr>
        <w:t xml:space="preserve"> </w:t>
      </w:r>
      <w:r>
        <w:t>where</w:t>
      </w:r>
      <w:r>
        <w:rPr>
          <w:spacing w:val="-5"/>
        </w:rPr>
        <w:t xml:space="preserve"> </w:t>
      </w:r>
      <w:r>
        <w:t>the</w:t>
      </w:r>
      <w:r>
        <w:rPr>
          <w:spacing w:val="-6"/>
        </w:rPr>
        <w:t xml:space="preserve"> </w:t>
      </w:r>
      <w:r>
        <w:t>evidence</w:t>
      </w:r>
      <w:r>
        <w:rPr>
          <w:spacing w:val="-5"/>
        </w:rPr>
        <w:t xml:space="preserve"> </w:t>
      </w:r>
      <w:r>
        <w:t>demonstrates that domestic sales at such a lower ratio are nonetheless of sufficient magnitude to provide for a proper comparison".</w:t>
      </w:r>
    </w:p>
    <w:p w14:paraId="51DE7DEA" w14:textId="77777777" w:rsidR="0010369C" w:rsidRDefault="0010369C">
      <w:pPr>
        <w:pStyle w:val="BodyText"/>
        <w:spacing w:before="11"/>
        <w:rPr>
          <w:sz w:val="8"/>
        </w:rPr>
      </w:pPr>
    </w:p>
    <w:p w14:paraId="51DE7DEB" w14:textId="77777777" w:rsidR="0010369C" w:rsidRDefault="008E43AE">
      <w:pPr>
        <w:pStyle w:val="BodyText"/>
        <w:spacing w:before="52" w:line="360" w:lineRule="auto"/>
        <w:ind w:left="236" w:right="613" w:firstLine="852"/>
        <w:jc w:val="both"/>
      </w:pPr>
      <w:r>
        <w:rPr>
          <w:noProof/>
        </w:rPr>
        <w:drawing>
          <wp:anchor distT="0" distB="0" distL="0" distR="0" simplePos="0" relativeHeight="250795520" behindDoc="1" locked="0" layoutInCell="1" allowOverlap="1" wp14:anchorId="51DE9DED" wp14:editId="51DE9DEE">
            <wp:simplePos x="0" y="0"/>
            <wp:positionH relativeFrom="page">
              <wp:posOffset>908303</wp:posOffset>
            </wp:positionH>
            <wp:positionV relativeFrom="paragraph">
              <wp:posOffset>81357</wp:posOffset>
            </wp:positionV>
            <wp:extent cx="256031" cy="103631"/>
            <wp:effectExtent l="0" t="0" r="0" b="0"/>
            <wp:wrapNone/>
            <wp:docPr id="199" name="image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108.png"/>
                    <pic:cNvPicPr/>
                  </pic:nvPicPr>
                  <pic:blipFill>
                    <a:blip r:embed="rId198" cstate="print"/>
                    <a:stretch>
                      <a:fillRect/>
                    </a:stretch>
                  </pic:blipFill>
                  <pic:spPr>
                    <a:xfrm>
                      <a:off x="0" y="0"/>
                      <a:ext cx="256031" cy="103631"/>
                    </a:xfrm>
                    <a:prstGeom prst="rect">
                      <a:avLst/>
                    </a:prstGeom>
                  </pic:spPr>
                </pic:pic>
              </a:graphicData>
            </a:graphic>
          </wp:anchor>
        </w:drawing>
      </w:r>
      <w:r>
        <w:t>Article</w:t>
      </w:r>
      <w:r>
        <w:rPr>
          <w:spacing w:val="-6"/>
        </w:rPr>
        <w:t xml:space="preserve"> </w:t>
      </w:r>
      <w:r>
        <w:t>2.2.1</w:t>
      </w:r>
      <w:r>
        <w:rPr>
          <w:spacing w:val="-8"/>
        </w:rPr>
        <w:t xml:space="preserve"> </w:t>
      </w:r>
      <w:r>
        <w:t>provides</w:t>
      </w:r>
      <w:r>
        <w:rPr>
          <w:spacing w:val="-6"/>
        </w:rPr>
        <w:t xml:space="preserve"> </w:t>
      </w:r>
      <w:r>
        <w:t>that</w:t>
      </w:r>
      <w:r>
        <w:rPr>
          <w:spacing w:val="-6"/>
        </w:rPr>
        <w:t xml:space="preserve"> </w:t>
      </w:r>
      <w:r>
        <w:t>sa</w:t>
      </w:r>
      <w:r>
        <w:t>les</w:t>
      </w:r>
      <w:r>
        <w:rPr>
          <w:spacing w:val="-6"/>
        </w:rPr>
        <w:t xml:space="preserve"> </w:t>
      </w:r>
      <w:r>
        <w:t>of</w:t>
      </w:r>
      <w:r>
        <w:rPr>
          <w:spacing w:val="-8"/>
        </w:rPr>
        <w:t xml:space="preserve"> </w:t>
      </w:r>
      <w:r>
        <w:t>the</w:t>
      </w:r>
      <w:r>
        <w:rPr>
          <w:spacing w:val="-6"/>
        </w:rPr>
        <w:t xml:space="preserve"> </w:t>
      </w:r>
      <w:r>
        <w:t>like</w:t>
      </w:r>
      <w:r>
        <w:rPr>
          <w:spacing w:val="-5"/>
        </w:rPr>
        <w:t xml:space="preserve"> </w:t>
      </w:r>
      <w:r>
        <w:t>product</w:t>
      </w:r>
      <w:r>
        <w:rPr>
          <w:spacing w:val="-6"/>
        </w:rPr>
        <w:t xml:space="preserve"> </w:t>
      </w:r>
      <w:r>
        <w:t>will</w:t>
      </w:r>
      <w:r>
        <w:rPr>
          <w:spacing w:val="-6"/>
        </w:rPr>
        <w:t xml:space="preserve"> </w:t>
      </w:r>
      <w:r>
        <w:t>not</w:t>
      </w:r>
      <w:r>
        <w:rPr>
          <w:spacing w:val="-6"/>
        </w:rPr>
        <w:t xml:space="preserve"> </w:t>
      </w:r>
      <w:r>
        <w:t>be</w:t>
      </w:r>
      <w:r>
        <w:rPr>
          <w:spacing w:val="-6"/>
        </w:rPr>
        <w:t xml:space="preserve"> </w:t>
      </w:r>
      <w:r>
        <w:t>"in</w:t>
      </w:r>
      <w:r>
        <w:rPr>
          <w:spacing w:val="-7"/>
        </w:rPr>
        <w:t xml:space="preserve"> </w:t>
      </w:r>
      <w:r>
        <w:t>the</w:t>
      </w:r>
      <w:r>
        <w:rPr>
          <w:spacing w:val="-7"/>
        </w:rPr>
        <w:t xml:space="preserve"> </w:t>
      </w:r>
      <w:r>
        <w:t>ordinary</w:t>
      </w:r>
      <w:r>
        <w:rPr>
          <w:spacing w:val="-6"/>
        </w:rPr>
        <w:t xml:space="preserve"> </w:t>
      </w:r>
      <w:r>
        <w:t>course of</w:t>
      </w:r>
      <w:r>
        <w:rPr>
          <w:spacing w:val="-2"/>
        </w:rPr>
        <w:t xml:space="preserve"> </w:t>
      </w:r>
      <w:r>
        <w:t>trade"</w:t>
      </w:r>
      <w:r>
        <w:rPr>
          <w:spacing w:val="-2"/>
        </w:rPr>
        <w:t xml:space="preserve"> </w:t>
      </w:r>
      <w:r>
        <w:t>by</w:t>
      </w:r>
      <w:r>
        <w:rPr>
          <w:spacing w:val="-2"/>
        </w:rPr>
        <w:t xml:space="preserve"> </w:t>
      </w:r>
      <w:r>
        <w:t>reason</w:t>
      </w:r>
      <w:r>
        <w:rPr>
          <w:spacing w:val="-4"/>
        </w:rPr>
        <w:t xml:space="preserve"> </w:t>
      </w:r>
      <w:r>
        <w:t>of</w:t>
      </w:r>
      <w:r>
        <w:rPr>
          <w:spacing w:val="-2"/>
        </w:rPr>
        <w:t xml:space="preserve"> </w:t>
      </w:r>
      <w:r>
        <w:t>price</w:t>
      </w:r>
      <w:r>
        <w:rPr>
          <w:spacing w:val="-1"/>
        </w:rPr>
        <w:t xml:space="preserve"> </w:t>
      </w:r>
      <w:r>
        <w:t>and</w:t>
      </w:r>
      <w:r>
        <w:rPr>
          <w:spacing w:val="-2"/>
        </w:rPr>
        <w:t xml:space="preserve"> </w:t>
      </w:r>
      <w:r>
        <w:t>may</w:t>
      </w:r>
      <w:r>
        <w:rPr>
          <w:spacing w:val="-2"/>
        </w:rPr>
        <w:t xml:space="preserve"> </w:t>
      </w:r>
      <w:r>
        <w:t>be</w:t>
      </w:r>
      <w:r>
        <w:rPr>
          <w:spacing w:val="-1"/>
        </w:rPr>
        <w:t xml:space="preserve"> </w:t>
      </w:r>
      <w:r>
        <w:t>disregarded</w:t>
      </w:r>
      <w:r>
        <w:rPr>
          <w:spacing w:val="-1"/>
        </w:rPr>
        <w:t xml:space="preserve"> </w:t>
      </w:r>
      <w:r>
        <w:t>in</w:t>
      </w:r>
      <w:r>
        <w:rPr>
          <w:spacing w:val="-2"/>
        </w:rPr>
        <w:t xml:space="preserve"> </w:t>
      </w:r>
      <w:r>
        <w:t>determining</w:t>
      </w:r>
      <w:r>
        <w:rPr>
          <w:spacing w:val="-1"/>
        </w:rPr>
        <w:t xml:space="preserve"> </w:t>
      </w:r>
      <w:r>
        <w:t>normal</w:t>
      </w:r>
      <w:r>
        <w:rPr>
          <w:spacing w:val="-1"/>
        </w:rPr>
        <w:t xml:space="preserve"> </w:t>
      </w:r>
      <w:r>
        <w:t>value</w:t>
      </w:r>
      <w:r>
        <w:rPr>
          <w:spacing w:val="-1"/>
        </w:rPr>
        <w:t xml:space="preserve"> </w:t>
      </w:r>
      <w:r>
        <w:t>only</w:t>
      </w:r>
      <w:r>
        <w:rPr>
          <w:spacing w:val="-1"/>
        </w:rPr>
        <w:t xml:space="preserve"> </w:t>
      </w:r>
      <w:r>
        <w:t>if</w:t>
      </w:r>
      <w:r>
        <w:rPr>
          <w:spacing w:val="-2"/>
        </w:rPr>
        <w:t xml:space="preserve"> </w:t>
      </w:r>
      <w:r>
        <w:t>such sales are made within</w:t>
      </w:r>
      <w:r>
        <w:rPr>
          <w:spacing w:val="-1"/>
        </w:rPr>
        <w:t xml:space="preserve"> </w:t>
      </w:r>
      <w:r>
        <w:t>an extended</w:t>
      </w:r>
      <w:r>
        <w:rPr>
          <w:spacing w:val="-1"/>
        </w:rPr>
        <w:t xml:space="preserve"> </w:t>
      </w:r>
      <w:r>
        <w:t>period of time, in substantial quantities, and are at prices which do not provide for the recovery of all costs within a reasonable period of time. Below‐ cost</w:t>
      </w:r>
      <w:r>
        <w:rPr>
          <w:spacing w:val="-6"/>
        </w:rPr>
        <w:t xml:space="preserve"> </w:t>
      </w:r>
      <w:r>
        <w:t>sales</w:t>
      </w:r>
      <w:r>
        <w:rPr>
          <w:spacing w:val="-7"/>
        </w:rPr>
        <w:t xml:space="preserve"> </w:t>
      </w:r>
      <w:r>
        <w:t>will</w:t>
      </w:r>
      <w:r>
        <w:rPr>
          <w:spacing w:val="-6"/>
        </w:rPr>
        <w:t xml:space="preserve"> </w:t>
      </w:r>
      <w:r>
        <w:t>have</w:t>
      </w:r>
      <w:r>
        <w:rPr>
          <w:spacing w:val="-5"/>
        </w:rPr>
        <w:t xml:space="preserve"> </w:t>
      </w:r>
      <w:r>
        <w:t>been</w:t>
      </w:r>
      <w:r>
        <w:rPr>
          <w:spacing w:val="-5"/>
        </w:rPr>
        <w:t xml:space="preserve"> </w:t>
      </w:r>
      <w:r>
        <w:t>made</w:t>
      </w:r>
      <w:r>
        <w:rPr>
          <w:spacing w:val="-6"/>
        </w:rPr>
        <w:t xml:space="preserve"> </w:t>
      </w:r>
      <w:r>
        <w:t>in</w:t>
      </w:r>
      <w:r>
        <w:rPr>
          <w:spacing w:val="-7"/>
        </w:rPr>
        <w:t xml:space="preserve"> </w:t>
      </w:r>
      <w:r>
        <w:t>"substantial</w:t>
      </w:r>
      <w:r>
        <w:rPr>
          <w:spacing w:val="-7"/>
        </w:rPr>
        <w:t xml:space="preserve"> </w:t>
      </w:r>
      <w:r>
        <w:t>quantities"</w:t>
      </w:r>
      <w:r>
        <w:rPr>
          <w:spacing w:val="-6"/>
        </w:rPr>
        <w:t xml:space="preserve"> </w:t>
      </w:r>
      <w:r>
        <w:t>where</w:t>
      </w:r>
      <w:r>
        <w:rPr>
          <w:spacing w:val="-6"/>
        </w:rPr>
        <w:t xml:space="preserve"> </w:t>
      </w:r>
      <w:r>
        <w:t>the</w:t>
      </w:r>
      <w:r>
        <w:rPr>
          <w:spacing w:val="-6"/>
        </w:rPr>
        <w:t xml:space="preserve"> </w:t>
      </w:r>
      <w:r>
        <w:t>volume</w:t>
      </w:r>
      <w:r>
        <w:rPr>
          <w:spacing w:val="-7"/>
        </w:rPr>
        <w:t xml:space="preserve"> </w:t>
      </w:r>
      <w:r>
        <w:t>of</w:t>
      </w:r>
      <w:r>
        <w:rPr>
          <w:spacing w:val="-7"/>
        </w:rPr>
        <w:t xml:space="preserve"> </w:t>
      </w:r>
      <w:r>
        <w:t>sales</w:t>
      </w:r>
      <w:r>
        <w:rPr>
          <w:spacing w:val="-7"/>
        </w:rPr>
        <w:t xml:space="preserve"> </w:t>
      </w:r>
      <w:r>
        <w:t>is</w:t>
      </w:r>
      <w:r>
        <w:rPr>
          <w:spacing w:val="-7"/>
        </w:rPr>
        <w:t xml:space="preserve"> </w:t>
      </w:r>
      <w:r>
        <w:t>20%</w:t>
      </w:r>
      <w:r>
        <w:rPr>
          <w:spacing w:val="-6"/>
        </w:rPr>
        <w:t xml:space="preserve"> </w:t>
      </w:r>
      <w:r>
        <w:t>or greate</w:t>
      </w:r>
      <w:r>
        <w:t>r of the volume sold in transactions under consideration for the determination of normal value.</w:t>
      </w:r>
      <w:r>
        <w:rPr>
          <w:vertAlign w:val="superscript"/>
        </w:rPr>
        <w:t>108</w:t>
      </w:r>
      <w:r>
        <w:t xml:space="preserve"> When determining whether the sales price is above or below the "ordinary course" price, regard should be had to the terms and conditions of the transaction a</w:t>
      </w:r>
      <w:r>
        <w:t>nd any other</w:t>
      </w:r>
      <w:r>
        <w:rPr>
          <w:spacing w:val="-1"/>
        </w:rPr>
        <w:t xml:space="preserve"> </w:t>
      </w:r>
      <w:r>
        <w:t>factors</w:t>
      </w:r>
      <w:r>
        <w:rPr>
          <w:spacing w:val="-2"/>
        </w:rPr>
        <w:t xml:space="preserve"> </w:t>
      </w:r>
      <w:r>
        <w:t>which</w:t>
      </w:r>
      <w:r>
        <w:rPr>
          <w:spacing w:val="-2"/>
        </w:rPr>
        <w:t xml:space="preserve"> </w:t>
      </w:r>
      <w:r>
        <w:t>may</w:t>
      </w:r>
      <w:r>
        <w:rPr>
          <w:spacing w:val="-2"/>
        </w:rPr>
        <w:t xml:space="preserve"> </w:t>
      </w:r>
      <w:r>
        <w:t>influence that</w:t>
      </w:r>
      <w:r>
        <w:rPr>
          <w:spacing w:val="-1"/>
        </w:rPr>
        <w:t xml:space="preserve"> </w:t>
      </w:r>
      <w:r>
        <w:t>price,</w:t>
      </w:r>
      <w:r>
        <w:rPr>
          <w:spacing w:val="-1"/>
        </w:rPr>
        <w:t xml:space="preserve"> </w:t>
      </w:r>
      <w:r>
        <w:t>such</w:t>
      </w:r>
      <w:r>
        <w:rPr>
          <w:spacing w:val="-1"/>
        </w:rPr>
        <w:t xml:space="preserve"> </w:t>
      </w:r>
      <w:r>
        <w:t>as</w:t>
      </w:r>
      <w:r>
        <w:rPr>
          <w:spacing w:val="-2"/>
        </w:rPr>
        <w:t xml:space="preserve"> </w:t>
      </w:r>
      <w:r>
        <w:t>the</w:t>
      </w:r>
      <w:r>
        <w:rPr>
          <w:spacing w:val="-1"/>
        </w:rPr>
        <w:t xml:space="preserve"> </w:t>
      </w:r>
      <w:r>
        <w:t>volume</w:t>
      </w:r>
      <w:r>
        <w:rPr>
          <w:spacing w:val="-2"/>
        </w:rPr>
        <w:t xml:space="preserve"> </w:t>
      </w:r>
      <w:r>
        <w:t>of</w:t>
      </w:r>
      <w:r>
        <w:rPr>
          <w:spacing w:val="-2"/>
        </w:rPr>
        <w:t xml:space="preserve"> </w:t>
      </w:r>
      <w:r>
        <w:t>the</w:t>
      </w:r>
      <w:r>
        <w:rPr>
          <w:spacing w:val="-1"/>
        </w:rPr>
        <w:t xml:space="preserve"> </w:t>
      </w:r>
      <w:r>
        <w:t>sales</w:t>
      </w:r>
      <w:r>
        <w:rPr>
          <w:spacing w:val="-2"/>
        </w:rPr>
        <w:t xml:space="preserve"> </w:t>
      </w:r>
      <w:r>
        <w:t>transaction</w:t>
      </w:r>
      <w:r>
        <w:rPr>
          <w:spacing w:val="-2"/>
        </w:rPr>
        <w:t xml:space="preserve"> </w:t>
      </w:r>
      <w:r>
        <w:t>and additional liabilities on the seller, including transport or insurance.</w:t>
      </w:r>
      <w:r>
        <w:rPr>
          <w:vertAlign w:val="superscript"/>
        </w:rPr>
        <w:t>109</w:t>
      </w:r>
    </w:p>
    <w:p w14:paraId="51DE7DEC" w14:textId="77777777" w:rsidR="0010369C" w:rsidRDefault="008E43AE">
      <w:pPr>
        <w:spacing w:before="161"/>
        <w:ind w:left="1089"/>
        <w:jc w:val="both"/>
        <w:rPr>
          <w:sz w:val="24"/>
        </w:rPr>
      </w:pPr>
      <w:r>
        <w:rPr>
          <w:noProof/>
        </w:rPr>
        <w:drawing>
          <wp:anchor distT="0" distB="0" distL="0" distR="0" simplePos="0" relativeHeight="250610176" behindDoc="0" locked="0" layoutInCell="1" allowOverlap="1" wp14:anchorId="51DE9DEF" wp14:editId="51DE9DF0">
            <wp:simplePos x="0" y="0"/>
            <wp:positionH relativeFrom="page">
              <wp:posOffset>908303</wp:posOffset>
            </wp:positionH>
            <wp:positionV relativeFrom="paragraph">
              <wp:posOffset>150572</wp:posOffset>
            </wp:positionV>
            <wp:extent cx="256031" cy="103631"/>
            <wp:effectExtent l="0" t="0" r="0" b="0"/>
            <wp:wrapNone/>
            <wp:docPr id="201" name="image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109.png"/>
                    <pic:cNvPicPr/>
                  </pic:nvPicPr>
                  <pic:blipFill>
                    <a:blip r:embed="rId199" cstate="print"/>
                    <a:stretch>
                      <a:fillRect/>
                    </a:stretch>
                  </pic:blipFill>
                  <pic:spPr>
                    <a:xfrm>
                      <a:off x="0" y="0"/>
                      <a:ext cx="256031" cy="103631"/>
                    </a:xfrm>
                    <a:prstGeom prst="rect">
                      <a:avLst/>
                    </a:prstGeom>
                  </pic:spPr>
                </pic:pic>
              </a:graphicData>
            </a:graphic>
          </wp:anchor>
        </w:drawing>
      </w:r>
      <w:r>
        <w:rPr>
          <w:sz w:val="24"/>
        </w:rPr>
        <w:t>The</w:t>
      </w:r>
      <w:r>
        <w:rPr>
          <w:spacing w:val="-8"/>
          <w:sz w:val="24"/>
        </w:rPr>
        <w:t xml:space="preserve"> </w:t>
      </w:r>
      <w:r>
        <w:rPr>
          <w:sz w:val="24"/>
        </w:rPr>
        <w:t>Appellate</w:t>
      </w:r>
      <w:r>
        <w:rPr>
          <w:spacing w:val="-9"/>
          <w:sz w:val="24"/>
        </w:rPr>
        <w:t xml:space="preserve"> </w:t>
      </w:r>
      <w:r>
        <w:rPr>
          <w:sz w:val="24"/>
        </w:rPr>
        <w:t>Body</w:t>
      </w:r>
      <w:r>
        <w:rPr>
          <w:spacing w:val="-8"/>
          <w:sz w:val="24"/>
        </w:rPr>
        <w:t xml:space="preserve"> </w:t>
      </w:r>
      <w:r>
        <w:rPr>
          <w:sz w:val="24"/>
        </w:rPr>
        <w:t>in</w:t>
      </w:r>
      <w:r>
        <w:rPr>
          <w:spacing w:val="-8"/>
          <w:sz w:val="24"/>
        </w:rPr>
        <w:t xml:space="preserve"> </w:t>
      </w:r>
      <w:r>
        <w:rPr>
          <w:i/>
          <w:sz w:val="24"/>
        </w:rPr>
        <w:t>US</w:t>
      </w:r>
      <w:r>
        <w:rPr>
          <w:i/>
          <w:spacing w:val="-9"/>
          <w:sz w:val="24"/>
        </w:rPr>
        <w:t xml:space="preserve"> </w:t>
      </w:r>
      <w:r>
        <w:rPr>
          <w:i/>
          <w:sz w:val="24"/>
        </w:rPr>
        <w:t>Hot‐Rolled</w:t>
      </w:r>
      <w:r>
        <w:rPr>
          <w:i/>
          <w:spacing w:val="-9"/>
          <w:sz w:val="24"/>
        </w:rPr>
        <w:t xml:space="preserve"> </w:t>
      </w:r>
      <w:r>
        <w:rPr>
          <w:i/>
          <w:sz w:val="24"/>
        </w:rPr>
        <w:t>Steel</w:t>
      </w:r>
      <w:r>
        <w:rPr>
          <w:i/>
          <w:spacing w:val="-9"/>
          <w:sz w:val="24"/>
        </w:rPr>
        <w:t xml:space="preserve"> </w:t>
      </w:r>
      <w:r>
        <w:rPr>
          <w:sz w:val="24"/>
        </w:rPr>
        <w:t>further</w:t>
      </w:r>
      <w:r>
        <w:rPr>
          <w:spacing w:val="-8"/>
          <w:sz w:val="24"/>
        </w:rPr>
        <w:t xml:space="preserve"> </w:t>
      </w:r>
      <w:r>
        <w:rPr>
          <w:spacing w:val="-2"/>
          <w:sz w:val="24"/>
        </w:rPr>
        <w:t>elaborated:</w:t>
      </w:r>
      <w:r>
        <w:rPr>
          <w:spacing w:val="-2"/>
          <w:sz w:val="24"/>
          <w:vertAlign w:val="superscript"/>
        </w:rPr>
        <w:t>110</w:t>
      </w:r>
    </w:p>
    <w:p w14:paraId="51DE7DED" w14:textId="77777777" w:rsidR="0010369C" w:rsidRDefault="0010369C">
      <w:pPr>
        <w:pStyle w:val="BodyText"/>
        <w:rPr>
          <w:sz w:val="25"/>
        </w:rPr>
      </w:pPr>
    </w:p>
    <w:p w14:paraId="51DE7DEE" w14:textId="77777777" w:rsidR="0010369C" w:rsidRDefault="008E43AE">
      <w:pPr>
        <w:ind w:left="1088" w:right="613"/>
        <w:jc w:val="both"/>
      </w:pPr>
      <w:r>
        <w:t>We note that Article 2.2.1 of the Anti‐Dumping Agreement itself provides for a method for determining whether sales below cost are "in the ordinary course of trade". However, that provision does not purport to exhaust the range of methods for determining w</w:t>
      </w:r>
      <w:r>
        <w:t>hether sales are</w:t>
      </w:r>
      <w:r>
        <w:rPr>
          <w:spacing w:val="-13"/>
        </w:rPr>
        <w:t xml:space="preserve"> </w:t>
      </w:r>
      <w:r>
        <w:t>"in</w:t>
      </w:r>
      <w:r>
        <w:rPr>
          <w:spacing w:val="-11"/>
        </w:rPr>
        <w:t xml:space="preserve"> </w:t>
      </w:r>
      <w:r>
        <w:t>the</w:t>
      </w:r>
      <w:r>
        <w:rPr>
          <w:spacing w:val="-13"/>
        </w:rPr>
        <w:t xml:space="preserve"> </w:t>
      </w:r>
      <w:r>
        <w:t>ordinary</w:t>
      </w:r>
      <w:r>
        <w:rPr>
          <w:spacing w:val="-11"/>
        </w:rPr>
        <w:t xml:space="preserve"> </w:t>
      </w:r>
      <w:r>
        <w:t>course</w:t>
      </w:r>
      <w:r>
        <w:rPr>
          <w:spacing w:val="-12"/>
        </w:rPr>
        <w:t xml:space="preserve"> </w:t>
      </w:r>
      <w:r>
        <w:t>of</w:t>
      </w:r>
      <w:r>
        <w:rPr>
          <w:spacing w:val="-13"/>
        </w:rPr>
        <w:t xml:space="preserve"> </w:t>
      </w:r>
      <w:r>
        <w:t>trade",</w:t>
      </w:r>
      <w:r>
        <w:rPr>
          <w:spacing w:val="-11"/>
        </w:rPr>
        <w:t xml:space="preserve"> </w:t>
      </w:r>
      <w:r>
        <w:t>nor</w:t>
      </w:r>
      <w:r>
        <w:rPr>
          <w:spacing w:val="-12"/>
        </w:rPr>
        <w:t xml:space="preserve"> </w:t>
      </w:r>
      <w:r>
        <w:t>even</w:t>
      </w:r>
      <w:r>
        <w:rPr>
          <w:spacing w:val="-12"/>
        </w:rPr>
        <w:t xml:space="preserve"> </w:t>
      </w:r>
      <w:r>
        <w:t>the</w:t>
      </w:r>
      <w:r>
        <w:rPr>
          <w:spacing w:val="-12"/>
        </w:rPr>
        <w:t xml:space="preserve"> </w:t>
      </w:r>
      <w:r>
        <w:t>range</w:t>
      </w:r>
      <w:r>
        <w:rPr>
          <w:spacing w:val="-13"/>
        </w:rPr>
        <w:t xml:space="preserve"> </w:t>
      </w:r>
      <w:r>
        <w:t>of</w:t>
      </w:r>
      <w:r>
        <w:rPr>
          <w:spacing w:val="-12"/>
        </w:rPr>
        <w:t xml:space="preserve"> </w:t>
      </w:r>
      <w:r>
        <w:t>possible</w:t>
      </w:r>
      <w:r>
        <w:rPr>
          <w:spacing w:val="-11"/>
        </w:rPr>
        <w:t xml:space="preserve"> </w:t>
      </w:r>
      <w:r>
        <w:t>methods</w:t>
      </w:r>
      <w:r>
        <w:rPr>
          <w:spacing w:val="-12"/>
        </w:rPr>
        <w:t xml:space="preserve"> </w:t>
      </w:r>
      <w:r>
        <w:t>for</w:t>
      </w:r>
      <w:r>
        <w:rPr>
          <w:spacing w:val="-11"/>
        </w:rPr>
        <w:t xml:space="preserve"> </w:t>
      </w:r>
      <w:r>
        <w:t>determining whether low‐priced sales are "in the ordinary course of trade". Article 2.2.1 sets forth a method for determining whether sales between any two parti</w:t>
      </w:r>
      <w:r>
        <w:t>es are "in the ordinary course of trade"; it does not address the more specific issue of transactions between affiliated parties.</w:t>
      </w:r>
      <w:r>
        <w:rPr>
          <w:spacing w:val="-8"/>
        </w:rPr>
        <w:t xml:space="preserve"> </w:t>
      </w:r>
      <w:r>
        <w:t>In</w:t>
      </w:r>
      <w:r>
        <w:rPr>
          <w:spacing w:val="-8"/>
        </w:rPr>
        <w:t xml:space="preserve"> </w:t>
      </w:r>
      <w:r>
        <w:t>transactions</w:t>
      </w:r>
      <w:r>
        <w:rPr>
          <w:spacing w:val="-7"/>
        </w:rPr>
        <w:t xml:space="preserve"> </w:t>
      </w:r>
      <w:r>
        <w:t>between</w:t>
      </w:r>
      <w:r>
        <w:rPr>
          <w:spacing w:val="-8"/>
        </w:rPr>
        <w:t xml:space="preserve"> </w:t>
      </w:r>
      <w:r>
        <w:t>such</w:t>
      </w:r>
      <w:r>
        <w:rPr>
          <w:spacing w:val="-8"/>
        </w:rPr>
        <w:t xml:space="preserve"> </w:t>
      </w:r>
      <w:r>
        <w:t>parties,</w:t>
      </w:r>
      <w:r>
        <w:rPr>
          <w:spacing w:val="-9"/>
        </w:rPr>
        <w:t xml:space="preserve"> </w:t>
      </w:r>
      <w:r>
        <w:t>the</w:t>
      </w:r>
      <w:r>
        <w:rPr>
          <w:spacing w:val="-9"/>
        </w:rPr>
        <w:t xml:space="preserve"> </w:t>
      </w:r>
      <w:r>
        <w:t>affiliation</w:t>
      </w:r>
      <w:r>
        <w:rPr>
          <w:spacing w:val="-9"/>
        </w:rPr>
        <w:t xml:space="preserve"> </w:t>
      </w:r>
      <w:r>
        <w:t>itself</w:t>
      </w:r>
      <w:r>
        <w:rPr>
          <w:spacing w:val="-7"/>
        </w:rPr>
        <w:t xml:space="preserve"> </w:t>
      </w:r>
      <w:r>
        <w:t>may</w:t>
      </w:r>
      <w:r>
        <w:rPr>
          <w:spacing w:val="-9"/>
        </w:rPr>
        <w:t xml:space="preserve"> </w:t>
      </w:r>
      <w:r>
        <w:t>signal</w:t>
      </w:r>
      <w:r>
        <w:rPr>
          <w:spacing w:val="-8"/>
        </w:rPr>
        <w:t xml:space="preserve"> </w:t>
      </w:r>
      <w:r>
        <w:t>that</w:t>
      </w:r>
      <w:r>
        <w:rPr>
          <w:spacing w:val="-7"/>
        </w:rPr>
        <w:t xml:space="preserve"> </w:t>
      </w:r>
      <w:r>
        <w:t>sales</w:t>
      </w:r>
      <w:r>
        <w:rPr>
          <w:spacing w:val="-8"/>
        </w:rPr>
        <w:t xml:space="preserve"> </w:t>
      </w:r>
      <w:r>
        <w:t>above cost, but below the usual</w:t>
      </w:r>
      <w:r>
        <w:rPr>
          <w:spacing w:val="13"/>
        </w:rPr>
        <w:t xml:space="preserve"> </w:t>
      </w:r>
      <w:r>
        <w:t>market price, might not be in the ordinary</w:t>
      </w:r>
      <w:r>
        <w:rPr>
          <w:spacing w:val="13"/>
        </w:rPr>
        <w:t xml:space="preserve"> </w:t>
      </w:r>
      <w:r>
        <w:t>course of trade. Such</w:t>
      </w:r>
    </w:p>
    <w:p w14:paraId="51DE7DEF" w14:textId="77777777" w:rsidR="0010369C" w:rsidRDefault="008E43AE">
      <w:pPr>
        <w:pStyle w:val="BodyText"/>
        <w:spacing w:before="5"/>
        <w:rPr>
          <w:sz w:val="20"/>
        </w:rPr>
      </w:pPr>
      <w:r>
        <w:pict w14:anchorId="51DE9DF1">
          <v:rect id="docshape103" o:spid="_x0000_s3165" style="position:absolute;margin-left:70.9pt;margin-top:13.65pt;width:2in;height:.8pt;z-index:-251237888;mso-wrap-distance-left:0;mso-wrap-distance-right:0;mso-position-horizontal-relative:page" fillcolor="black" stroked="f">
            <w10:wrap type="topAndBottom" anchorx="page"/>
          </v:rect>
        </w:pict>
      </w:r>
    </w:p>
    <w:p w14:paraId="51DE7DF0" w14:textId="77777777" w:rsidR="0010369C" w:rsidRDefault="008E43AE">
      <w:pPr>
        <w:spacing w:before="110"/>
        <w:ind w:left="238"/>
        <w:rPr>
          <w:sz w:val="18"/>
        </w:rPr>
      </w:pPr>
      <w:r>
        <w:rPr>
          <w:sz w:val="18"/>
          <w:vertAlign w:val="superscript"/>
        </w:rPr>
        <w:t>107</w:t>
      </w:r>
      <w:r>
        <w:rPr>
          <w:spacing w:val="-5"/>
          <w:sz w:val="18"/>
        </w:rPr>
        <w:t xml:space="preserve"> </w:t>
      </w:r>
      <w:r>
        <w:rPr>
          <w:sz w:val="18"/>
        </w:rPr>
        <w:t>Appellate</w:t>
      </w:r>
      <w:r>
        <w:rPr>
          <w:spacing w:val="-5"/>
          <w:sz w:val="18"/>
        </w:rPr>
        <w:t xml:space="preserve"> </w:t>
      </w:r>
      <w:r>
        <w:rPr>
          <w:sz w:val="18"/>
        </w:rPr>
        <w:t>Body</w:t>
      </w:r>
      <w:r>
        <w:rPr>
          <w:spacing w:val="-7"/>
          <w:sz w:val="18"/>
        </w:rPr>
        <w:t xml:space="preserve"> </w:t>
      </w:r>
      <w:r>
        <w:rPr>
          <w:sz w:val="18"/>
        </w:rPr>
        <w:t>Report,</w:t>
      </w:r>
      <w:r>
        <w:rPr>
          <w:spacing w:val="-5"/>
          <w:sz w:val="18"/>
        </w:rPr>
        <w:t xml:space="preserve"> </w:t>
      </w:r>
      <w:r>
        <w:rPr>
          <w:i/>
          <w:sz w:val="18"/>
        </w:rPr>
        <w:t>US</w:t>
      </w:r>
      <w:r>
        <w:rPr>
          <w:i/>
          <w:spacing w:val="-5"/>
          <w:sz w:val="18"/>
        </w:rPr>
        <w:t xml:space="preserve"> </w:t>
      </w:r>
      <w:r>
        <w:rPr>
          <w:i/>
          <w:sz w:val="18"/>
        </w:rPr>
        <w:t>–</w:t>
      </w:r>
      <w:r>
        <w:rPr>
          <w:i/>
          <w:spacing w:val="-5"/>
          <w:sz w:val="18"/>
        </w:rPr>
        <w:t xml:space="preserve"> </w:t>
      </w:r>
      <w:r>
        <w:rPr>
          <w:i/>
          <w:sz w:val="18"/>
        </w:rPr>
        <w:t>Hot</w:t>
      </w:r>
      <w:r>
        <w:rPr>
          <w:i/>
          <w:spacing w:val="-4"/>
          <w:sz w:val="18"/>
        </w:rPr>
        <w:t xml:space="preserve"> </w:t>
      </w:r>
      <w:r>
        <w:rPr>
          <w:i/>
          <w:sz w:val="18"/>
        </w:rPr>
        <w:t>Rolled</w:t>
      </w:r>
      <w:r>
        <w:rPr>
          <w:i/>
          <w:spacing w:val="-5"/>
          <w:sz w:val="18"/>
        </w:rPr>
        <w:t xml:space="preserve"> </w:t>
      </w:r>
      <w:r>
        <w:rPr>
          <w:i/>
          <w:sz w:val="18"/>
        </w:rPr>
        <w:t>Steel</w:t>
      </w:r>
      <w:r>
        <w:rPr>
          <w:sz w:val="18"/>
        </w:rPr>
        <w:t>,</w:t>
      </w:r>
      <w:r>
        <w:rPr>
          <w:spacing w:val="-6"/>
          <w:sz w:val="18"/>
        </w:rPr>
        <w:t xml:space="preserve"> </w:t>
      </w:r>
      <w:r>
        <w:rPr>
          <w:sz w:val="18"/>
        </w:rPr>
        <w:t>paras.</w:t>
      </w:r>
      <w:r>
        <w:rPr>
          <w:spacing w:val="-5"/>
          <w:sz w:val="18"/>
        </w:rPr>
        <w:t xml:space="preserve"> </w:t>
      </w:r>
      <w:r>
        <w:rPr>
          <w:spacing w:val="-4"/>
          <w:sz w:val="18"/>
        </w:rPr>
        <w:t>166.</w:t>
      </w:r>
    </w:p>
    <w:p w14:paraId="51DE7DF1" w14:textId="77777777" w:rsidR="0010369C" w:rsidRDefault="008E43AE">
      <w:pPr>
        <w:ind w:left="238"/>
        <w:rPr>
          <w:sz w:val="18"/>
        </w:rPr>
      </w:pPr>
      <w:r>
        <w:rPr>
          <w:sz w:val="18"/>
          <w:vertAlign w:val="superscript"/>
        </w:rPr>
        <w:t>108</w:t>
      </w:r>
      <w:r>
        <w:rPr>
          <w:spacing w:val="-7"/>
          <w:sz w:val="18"/>
        </w:rPr>
        <w:t xml:space="preserve"> </w:t>
      </w:r>
      <w:r>
        <w:rPr>
          <w:sz w:val="18"/>
        </w:rPr>
        <w:t>Footnote</w:t>
      </w:r>
      <w:r>
        <w:rPr>
          <w:spacing w:val="-5"/>
          <w:sz w:val="18"/>
        </w:rPr>
        <w:t xml:space="preserve"> </w:t>
      </w:r>
      <w:r>
        <w:rPr>
          <w:sz w:val="18"/>
        </w:rPr>
        <w:t>5</w:t>
      </w:r>
      <w:r>
        <w:rPr>
          <w:spacing w:val="-7"/>
          <w:sz w:val="18"/>
        </w:rPr>
        <w:t xml:space="preserve"> </w:t>
      </w:r>
      <w:r>
        <w:rPr>
          <w:sz w:val="18"/>
        </w:rPr>
        <w:t>of</w:t>
      </w:r>
      <w:r>
        <w:rPr>
          <w:spacing w:val="-6"/>
          <w:sz w:val="18"/>
        </w:rPr>
        <w:t xml:space="preserve"> </w:t>
      </w:r>
      <w:r>
        <w:rPr>
          <w:sz w:val="18"/>
        </w:rPr>
        <w:t>the</w:t>
      </w:r>
      <w:r>
        <w:rPr>
          <w:spacing w:val="-7"/>
          <w:sz w:val="18"/>
        </w:rPr>
        <w:t xml:space="preserve"> </w:t>
      </w:r>
      <w:r>
        <w:rPr>
          <w:sz w:val="18"/>
        </w:rPr>
        <w:t>Anti‐Dumping</w:t>
      </w:r>
      <w:r>
        <w:rPr>
          <w:spacing w:val="-6"/>
          <w:sz w:val="18"/>
        </w:rPr>
        <w:t xml:space="preserve"> </w:t>
      </w:r>
      <w:r>
        <w:rPr>
          <w:spacing w:val="-2"/>
          <w:sz w:val="18"/>
        </w:rPr>
        <w:t>Agreement.</w:t>
      </w:r>
    </w:p>
    <w:p w14:paraId="51DE7DF2" w14:textId="77777777" w:rsidR="0010369C" w:rsidRDefault="008E43AE">
      <w:pPr>
        <w:ind w:left="238"/>
        <w:rPr>
          <w:sz w:val="18"/>
        </w:rPr>
      </w:pPr>
      <w:r>
        <w:rPr>
          <w:sz w:val="18"/>
          <w:vertAlign w:val="superscript"/>
        </w:rPr>
        <w:t>109</w:t>
      </w:r>
      <w:r>
        <w:rPr>
          <w:spacing w:val="-5"/>
          <w:sz w:val="18"/>
        </w:rPr>
        <w:t xml:space="preserve"> </w:t>
      </w:r>
      <w:r>
        <w:rPr>
          <w:sz w:val="18"/>
        </w:rPr>
        <w:t>Appellate</w:t>
      </w:r>
      <w:r>
        <w:rPr>
          <w:spacing w:val="-5"/>
          <w:sz w:val="18"/>
        </w:rPr>
        <w:t xml:space="preserve"> </w:t>
      </w:r>
      <w:r>
        <w:rPr>
          <w:sz w:val="18"/>
        </w:rPr>
        <w:t>Body</w:t>
      </w:r>
      <w:r>
        <w:rPr>
          <w:spacing w:val="-7"/>
          <w:sz w:val="18"/>
        </w:rPr>
        <w:t xml:space="preserve"> </w:t>
      </w:r>
      <w:r>
        <w:rPr>
          <w:sz w:val="18"/>
        </w:rPr>
        <w:t>Report,</w:t>
      </w:r>
      <w:r>
        <w:rPr>
          <w:spacing w:val="-5"/>
          <w:sz w:val="18"/>
        </w:rPr>
        <w:t xml:space="preserve"> </w:t>
      </w:r>
      <w:r>
        <w:rPr>
          <w:i/>
          <w:sz w:val="18"/>
        </w:rPr>
        <w:t>US</w:t>
      </w:r>
      <w:r>
        <w:rPr>
          <w:i/>
          <w:spacing w:val="-5"/>
          <w:sz w:val="18"/>
        </w:rPr>
        <w:t xml:space="preserve"> </w:t>
      </w:r>
      <w:r>
        <w:rPr>
          <w:i/>
          <w:sz w:val="18"/>
        </w:rPr>
        <w:t>–</w:t>
      </w:r>
      <w:r>
        <w:rPr>
          <w:i/>
          <w:spacing w:val="-5"/>
          <w:sz w:val="18"/>
        </w:rPr>
        <w:t xml:space="preserve"> </w:t>
      </w:r>
      <w:r>
        <w:rPr>
          <w:i/>
          <w:sz w:val="18"/>
        </w:rPr>
        <w:t>Hot</w:t>
      </w:r>
      <w:r>
        <w:rPr>
          <w:i/>
          <w:spacing w:val="-4"/>
          <w:sz w:val="18"/>
        </w:rPr>
        <w:t xml:space="preserve"> </w:t>
      </w:r>
      <w:r>
        <w:rPr>
          <w:i/>
          <w:sz w:val="18"/>
        </w:rPr>
        <w:t>Rolled</w:t>
      </w:r>
      <w:r>
        <w:rPr>
          <w:i/>
          <w:spacing w:val="-5"/>
          <w:sz w:val="18"/>
        </w:rPr>
        <w:t xml:space="preserve"> </w:t>
      </w:r>
      <w:r>
        <w:rPr>
          <w:i/>
          <w:sz w:val="18"/>
        </w:rPr>
        <w:t>Steel</w:t>
      </w:r>
      <w:r>
        <w:rPr>
          <w:sz w:val="18"/>
        </w:rPr>
        <w:t>,</w:t>
      </w:r>
      <w:r>
        <w:rPr>
          <w:spacing w:val="-5"/>
          <w:sz w:val="18"/>
        </w:rPr>
        <w:t xml:space="preserve"> </w:t>
      </w:r>
      <w:r>
        <w:rPr>
          <w:sz w:val="18"/>
        </w:rPr>
        <w:t>para.</w:t>
      </w:r>
      <w:r>
        <w:rPr>
          <w:spacing w:val="-5"/>
          <w:sz w:val="18"/>
        </w:rPr>
        <w:t xml:space="preserve"> </w:t>
      </w:r>
      <w:r>
        <w:rPr>
          <w:spacing w:val="-4"/>
          <w:sz w:val="18"/>
        </w:rPr>
        <w:t>142.</w:t>
      </w:r>
    </w:p>
    <w:p w14:paraId="51DE7DF3" w14:textId="77777777" w:rsidR="0010369C" w:rsidRDefault="008E43AE">
      <w:pPr>
        <w:ind w:left="238"/>
        <w:rPr>
          <w:sz w:val="18"/>
        </w:rPr>
      </w:pPr>
      <w:r>
        <w:rPr>
          <w:sz w:val="18"/>
          <w:vertAlign w:val="superscript"/>
        </w:rPr>
        <w:t>110</w:t>
      </w:r>
      <w:r>
        <w:rPr>
          <w:spacing w:val="-6"/>
          <w:sz w:val="18"/>
        </w:rPr>
        <w:t xml:space="preserve"> </w:t>
      </w:r>
      <w:r>
        <w:rPr>
          <w:sz w:val="18"/>
        </w:rPr>
        <w:t>Appellate</w:t>
      </w:r>
      <w:r>
        <w:rPr>
          <w:spacing w:val="-5"/>
          <w:sz w:val="18"/>
        </w:rPr>
        <w:t xml:space="preserve"> </w:t>
      </w:r>
      <w:r>
        <w:rPr>
          <w:sz w:val="18"/>
        </w:rPr>
        <w:t>Body</w:t>
      </w:r>
      <w:r>
        <w:rPr>
          <w:spacing w:val="-7"/>
          <w:sz w:val="18"/>
        </w:rPr>
        <w:t xml:space="preserve"> </w:t>
      </w:r>
      <w:r>
        <w:rPr>
          <w:sz w:val="18"/>
        </w:rPr>
        <w:t>Report,</w:t>
      </w:r>
      <w:r>
        <w:rPr>
          <w:spacing w:val="-5"/>
          <w:sz w:val="18"/>
        </w:rPr>
        <w:t xml:space="preserve"> </w:t>
      </w:r>
      <w:r>
        <w:rPr>
          <w:i/>
          <w:sz w:val="18"/>
        </w:rPr>
        <w:t>US</w:t>
      </w:r>
      <w:r>
        <w:rPr>
          <w:i/>
          <w:spacing w:val="-5"/>
          <w:sz w:val="18"/>
        </w:rPr>
        <w:t xml:space="preserve"> </w:t>
      </w:r>
      <w:r>
        <w:rPr>
          <w:i/>
          <w:sz w:val="18"/>
        </w:rPr>
        <w:t>–</w:t>
      </w:r>
      <w:r>
        <w:rPr>
          <w:i/>
          <w:spacing w:val="-6"/>
          <w:sz w:val="18"/>
        </w:rPr>
        <w:t xml:space="preserve"> </w:t>
      </w:r>
      <w:r>
        <w:rPr>
          <w:i/>
          <w:sz w:val="18"/>
        </w:rPr>
        <w:t>Hot</w:t>
      </w:r>
      <w:r>
        <w:rPr>
          <w:i/>
          <w:spacing w:val="-4"/>
          <w:sz w:val="18"/>
        </w:rPr>
        <w:t xml:space="preserve"> </w:t>
      </w:r>
      <w:r>
        <w:rPr>
          <w:i/>
          <w:sz w:val="18"/>
        </w:rPr>
        <w:t>Rolled</w:t>
      </w:r>
      <w:r>
        <w:rPr>
          <w:i/>
          <w:spacing w:val="-5"/>
          <w:sz w:val="18"/>
        </w:rPr>
        <w:t xml:space="preserve"> </w:t>
      </w:r>
      <w:r>
        <w:rPr>
          <w:i/>
          <w:sz w:val="18"/>
        </w:rPr>
        <w:t>Steel</w:t>
      </w:r>
      <w:r>
        <w:rPr>
          <w:sz w:val="18"/>
        </w:rPr>
        <w:t>,</w:t>
      </w:r>
      <w:r>
        <w:rPr>
          <w:spacing w:val="-6"/>
          <w:sz w:val="18"/>
        </w:rPr>
        <w:t xml:space="preserve"> </w:t>
      </w:r>
      <w:r>
        <w:rPr>
          <w:sz w:val="18"/>
        </w:rPr>
        <w:t>para.</w:t>
      </w:r>
      <w:r>
        <w:rPr>
          <w:spacing w:val="-5"/>
          <w:sz w:val="18"/>
        </w:rPr>
        <w:t xml:space="preserve"> </w:t>
      </w:r>
      <w:r>
        <w:rPr>
          <w:sz w:val="18"/>
        </w:rPr>
        <w:t>147.</w:t>
      </w:r>
      <w:r>
        <w:rPr>
          <w:spacing w:val="-6"/>
          <w:sz w:val="18"/>
        </w:rPr>
        <w:t xml:space="preserve"> </w:t>
      </w:r>
      <w:r>
        <w:rPr>
          <w:sz w:val="18"/>
        </w:rPr>
        <w:t>(emphasis</w:t>
      </w:r>
      <w:r>
        <w:rPr>
          <w:spacing w:val="-5"/>
          <w:sz w:val="18"/>
        </w:rPr>
        <w:t xml:space="preserve"> </w:t>
      </w:r>
      <w:r>
        <w:rPr>
          <w:spacing w:val="-2"/>
          <w:sz w:val="18"/>
        </w:rPr>
        <w:t>removed)</w:t>
      </w:r>
    </w:p>
    <w:p w14:paraId="51DE7DF4" w14:textId="77777777" w:rsidR="0010369C" w:rsidRDefault="0010369C">
      <w:pPr>
        <w:rPr>
          <w:sz w:val="18"/>
        </w:rPr>
        <w:sectPr w:rsidR="0010369C">
          <w:pgSz w:w="11910" w:h="16840"/>
          <w:pgMar w:top="880" w:right="800" w:bottom="980" w:left="1180" w:header="569" w:footer="788" w:gutter="0"/>
          <w:cols w:space="720"/>
        </w:sectPr>
      </w:pPr>
    </w:p>
    <w:p w14:paraId="51DE7DF5" w14:textId="77777777" w:rsidR="0010369C" w:rsidRDefault="008E43AE">
      <w:pPr>
        <w:tabs>
          <w:tab w:val="left" w:pos="6426"/>
        </w:tabs>
        <w:ind w:left="238"/>
        <w:rPr>
          <w:sz w:val="20"/>
        </w:rPr>
      </w:pPr>
      <w:r>
        <w:rPr>
          <w:i/>
          <w:sz w:val="20"/>
        </w:rPr>
        <w:lastRenderedPageBreak/>
        <w:t>China</w:t>
      </w:r>
      <w:r>
        <w:rPr>
          <w:i/>
          <w:spacing w:val="-5"/>
          <w:sz w:val="20"/>
        </w:rPr>
        <w:t xml:space="preserve"> </w:t>
      </w:r>
      <w:r>
        <w:rPr>
          <w:i/>
          <w:sz w:val="20"/>
        </w:rPr>
        <w:t>–</w:t>
      </w:r>
      <w:r>
        <w:rPr>
          <w:i/>
          <w:spacing w:val="-5"/>
          <w:sz w:val="20"/>
        </w:rPr>
        <w:t xml:space="preserve"> </w:t>
      </w:r>
      <w:r>
        <w:rPr>
          <w:i/>
          <w:sz w:val="20"/>
        </w:rPr>
        <w:t>Anti‐Dumping</w:t>
      </w:r>
      <w:r>
        <w:rPr>
          <w:i/>
          <w:spacing w:val="-4"/>
          <w:sz w:val="20"/>
        </w:rPr>
        <w:t xml:space="preserve"> </w:t>
      </w:r>
      <w:r>
        <w:rPr>
          <w:i/>
          <w:sz w:val="20"/>
        </w:rPr>
        <w:t>and</w:t>
      </w:r>
      <w:r>
        <w:rPr>
          <w:i/>
          <w:spacing w:val="-5"/>
          <w:sz w:val="20"/>
        </w:rPr>
        <w:t xml:space="preserve"> </w:t>
      </w:r>
      <w:r>
        <w:rPr>
          <w:i/>
          <w:sz w:val="20"/>
        </w:rPr>
        <w:t>Countervailing</w:t>
      </w:r>
      <w:r>
        <w:rPr>
          <w:i/>
          <w:spacing w:val="-5"/>
          <w:sz w:val="20"/>
        </w:rPr>
        <w:t xml:space="preserve"> </w:t>
      </w:r>
      <w:r>
        <w:rPr>
          <w:i/>
          <w:sz w:val="20"/>
        </w:rPr>
        <w:t>Duty</w:t>
      </w:r>
      <w:r>
        <w:rPr>
          <w:i/>
          <w:spacing w:val="-4"/>
          <w:sz w:val="20"/>
        </w:rPr>
        <w:t xml:space="preserve"> </w:t>
      </w:r>
      <w:r>
        <w:rPr>
          <w:i/>
          <w:spacing w:val="-2"/>
          <w:sz w:val="20"/>
        </w:rPr>
        <w:t>Measures</w:t>
      </w:r>
      <w:r>
        <w:rPr>
          <w:i/>
          <w:sz w:val="20"/>
        </w:rPr>
        <w:tab/>
      </w:r>
      <w:r>
        <w:rPr>
          <w:sz w:val="20"/>
        </w:rPr>
        <w:t>Australia's</w:t>
      </w:r>
      <w:r>
        <w:rPr>
          <w:spacing w:val="-7"/>
          <w:sz w:val="20"/>
        </w:rPr>
        <w:t xml:space="preserve"> </w:t>
      </w:r>
      <w:r>
        <w:rPr>
          <w:sz w:val="20"/>
        </w:rPr>
        <w:t>First</w:t>
      </w:r>
      <w:r>
        <w:rPr>
          <w:spacing w:val="-2"/>
          <w:sz w:val="20"/>
        </w:rPr>
        <w:t xml:space="preserve"> </w:t>
      </w:r>
      <w:r>
        <w:rPr>
          <w:sz w:val="20"/>
        </w:rPr>
        <w:t>Written</w:t>
      </w:r>
      <w:r>
        <w:rPr>
          <w:spacing w:val="-2"/>
          <w:sz w:val="20"/>
        </w:rPr>
        <w:t xml:space="preserve"> Submission</w:t>
      </w:r>
    </w:p>
    <w:p w14:paraId="51DE7DF6" w14:textId="77777777" w:rsidR="0010369C" w:rsidRDefault="008E43AE">
      <w:pPr>
        <w:tabs>
          <w:tab w:val="left" w:pos="8228"/>
        </w:tabs>
        <w:spacing w:before="1"/>
        <w:ind w:left="239"/>
        <w:rPr>
          <w:sz w:val="20"/>
        </w:rPr>
      </w:pPr>
      <w:r>
        <w:rPr>
          <w:i/>
          <w:sz w:val="20"/>
        </w:rPr>
        <w:t>on</w:t>
      </w:r>
      <w:r>
        <w:rPr>
          <w:i/>
          <w:spacing w:val="-1"/>
          <w:sz w:val="20"/>
        </w:rPr>
        <w:t xml:space="preserve"> </w:t>
      </w:r>
      <w:r>
        <w:rPr>
          <w:i/>
          <w:sz w:val="20"/>
        </w:rPr>
        <w:t>Wine</w:t>
      </w:r>
      <w:r>
        <w:rPr>
          <w:i/>
          <w:spacing w:val="-1"/>
          <w:sz w:val="20"/>
        </w:rPr>
        <w:t xml:space="preserve"> </w:t>
      </w:r>
      <w:r>
        <w:rPr>
          <w:i/>
          <w:sz w:val="20"/>
        </w:rPr>
        <w:t>from</w:t>
      </w:r>
      <w:r>
        <w:rPr>
          <w:i/>
          <w:spacing w:val="-3"/>
          <w:sz w:val="20"/>
        </w:rPr>
        <w:t xml:space="preserve"> </w:t>
      </w:r>
      <w:r>
        <w:rPr>
          <w:i/>
          <w:sz w:val="20"/>
        </w:rPr>
        <w:t>Australia</w:t>
      </w:r>
      <w:r>
        <w:rPr>
          <w:i/>
          <w:spacing w:val="-1"/>
          <w:sz w:val="20"/>
        </w:rPr>
        <w:t xml:space="preserve"> </w:t>
      </w:r>
      <w:r>
        <w:rPr>
          <w:spacing w:val="-2"/>
          <w:sz w:val="20"/>
        </w:rPr>
        <w:t>(DS602)</w:t>
      </w:r>
      <w:r>
        <w:rPr>
          <w:sz w:val="20"/>
        </w:rPr>
        <w:tab/>
        <w:t>29</w:t>
      </w:r>
      <w:r>
        <w:rPr>
          <w:spacing w:val="-1"/>
          <w:sz w:val="20"/>
        </w:rPr>
        <w:t xml:space="preserve"> </w:t>
      </w:r>
      <w:r>
        <w:rPr>
          <w:sz w:val="20"/>
        </w:rPr>
        <w:t>April</w:t>
      </w:r>
      <w:r>
        <w:rPr>
          <w:spacing w:val="-2"/>
          <w:sz w:val="20"/>
        </w:rPr>
        <w:t xml:space="preserve"> </w:t>
      </w:r>
      <w:r>
        <w:rPr>
          <w:spacing w:val="-4"/>
          <w:sz w:val="20"/>
        </w:rPr>
        <w:t>2022</w:t>
      </w:r>
    </w:p>
    <w:p w14:paraId="51DE7DF7" w14:textId="77777777" w:rsidR="0010369C" w:rsidRDefault="008E43AE">
      <w:pPr>
        <w:spacing w:before="34"/>
        <w:ind w:left="1089" w:right="614" w:hanging="1"/>
      </w:pPr>
      <w:r>
        <w:t>transactions</w:t>
      </w:r>
      <w:r>
        <w:rPr>
          <w:spacing w:val="79"/>
        </w:rPr>
        <w:t xml:space="preserve"> </w:t>
      </w:r>
      <w:r>
        <w:t>may,</w:t>
      </w:r>
      <w:r>
        <w:rPr>
          <w:spacing w:val="79"/>
        </w:rPr>
        <w:t xml:space="preserve"> </w:t>
      </w:r>
      <w:r>
        <w:t>therefore,</w:t>
      </w:r>
      <w:r>
        <w:rPr>
          <w:spacing w:val="78"/>
        </w:rPr>
        <w:t xml:space="preserve"> </w:t>
      </w:r>
      <w:r>
        <w:t>be</w:t>
      </w:r>
      <w:r>
        <w:rPr>
          <w:spacing w:val="78"/>
        </w:rPr>
        <w:t xml:space="preserve"> </w:t>
      </w:r>
      <w:r>
        <w:t>the</w:t>
      </w:r>
      <w:r>
        <w:rPr>
          <w:spacing w:val="78"/>
        </w:rPr>
        <w:t xml:space="preserve"> </w:t>
      </w:r>
      <w:r>
        <w:t>subject</w:t>
      </w:r>
      <w:r>
        <w:rPr>
          <w:spacing w:val="78"/>
        </w:rPr>
        <w:t xml:space="preserve"> </w:t>
      </w:r>
      <w:r>
        <w:t>of</w:t>
      </w:r>
      <w:r>
        <w:rPr>
          <w:spacing w:val="80"/>
        </w:rPr>
        <w:t xml:space="preserve"> </w:t>
      </w:r>
      <w:r>
        <w:t>special</w:t>
      </w:r>
      <w:r>
        <w:rPr>
          <w:spacing w:val="79"/>
        </w:rPr>
        <w:t xml:space="preserve"> </w:t>
      </w:r>
      <w:r>
        <w:t>scrutiny</w:t>
      </w:r>
      <w:r>
        <w:rPr>
          <w:spacing w:val="79"/>
        </w:rPr>
        <w:t xml:space="preserve"> </w:t>
      </w:r>
      <w:r>
        <w:t>by</w:t>
      </w:r>
      <w:r>
        <w:rPr>
          <w:spacing w:val="79"/>
        </w:rPr>
        <w:t xml:space="preserve"> </w:t>
      </w:r>
      <w:r>
        <w:t>the</w:t>
      </w:r>
      <w:r>
        <w:rPr>
          <w:spacing w:val="78"/>
        </w:rPr>
        <w:t xml:space="preserve"> </w:t>
      </w:r>
      <w:r>
        <w:t xml:space="preserve">investigating </w:t>
      </w:r>
      <w:r>
        <w:rPr>
          <w:spacing w:val="-2"/>
        </w:rPr>
        <w:t>authorities.</w:t>
      </w:r>
    </w:p>
    <w:p w14:paraId="51DE7DF8" w14:textId="77777777" w:rsidR="0010369C" w:rsidRDefault="0010369C">
      <w:pPr>
        <w:pStyle w:val="BodyText"/>
        <w:spacing w:before="5"/>
        <w:rPr>
          <w:sz w:val="15"/>
        </w:rPr>
      </w:pPr>
    </w:p>
    <w:p w14:paraId="51DE7DF9" w14:textId="77777777" w:rsidR="0010369C" w:rsidRDefault="008E43AE">
      <w:pPr>
        <w:pStyle w:val="BodyText"/>
        <w:spacing w:before="51"/>
        <w:ind w:left="1089"/>
        <w:jc w:val="both"/>
      </w:pPr>
      <w:r>
        <w:rPr>
          <w:noProof/>
        </w:rPr>
        <w:drawing>
          <wp:anchor distT="0" distB="0" distL="0" distR="0" simplePos="0" relativeHeight="250611200" behindDoc="0" locked="0" layoutInCell="1" allowOverlap="1" wp14:anchorId="51DE9DF2" wp14:editId="51DE9DF3">
            <wp:simplePos x="0" y="0"/>
            <wp:positionH relativeFrom="page">
              <wp:posOffset>908303</wp:posOffset>
            </wp:positionH>
            <wp:positionV relativeFrom="paragraph">
              <wp:posOffset>80722</wp:posOffset>
            </wp:positionV>
            <wp:extent cx="256031" cy="103631"/>
            <wp:effectExtent l="0" t="0" r="0" b="0"/>
            <wp:wrapNone/>
            <wp:docPr id="203" name="image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110.png"/>
                    <pic:cNvPicPr/>
                  </pic:nvPicPr>
                  <pic:blipFill>
                    <a:blip r:embed="rId200" cstate="print"/>
                    <a:stretch>
                      <a:fillRect/>
                    </a:stretch>
                  </pic:blipFill>
                  <pic:spPr>
                    <a:xfrm>
                      <a:off x="0" y="0"/>
                      <a:ext cx="256031" cy="103631"/>
                    </a:xfrm>
                    <a:prstGeom prst="rect">
                      <a:avLst/>
                    </a:prstGeom>
                  </pic:spPr>
                </pic:pic>
              </a:graphicData>
            </a:graphic>
          </wp:anchor>
        </w:drawing>
      </w:r>
      <w:r>
        <w:t>The</w:t>
      </w:r>
      <w:r>
        <w:rPr>
          <w:spacing w:val="11"/>
        </w:rPr>
        <w:t xml:space="preserve"> </w:t>
      </w:r>
      <w:r>
        <w:t>established</w:t>
      </w:r>
      <w:r>
        <w:rPr>
          <w:spacing w:val="10"/>
        </w:rPr>
        <w:t xml:space="preserve"> </w:t>
      </w:r>
      <w:r>
        <w:t>two‐step</w:t>
      </w:r>
      <w:r>
        <w:rPr>
          <w:spacing w:val="12"/>
        </w:rPr>
        <w:t xml:space="preserve"> </w:t>
      </w:r>
      <w:r>
        <w:t>methodology</w:t>
      </w:r>
      <w:r>
        <w:rPr>
          <w:spacing w:val="11"/>
        </w:rPr>
        <w:t xml:space="preserve"> </w:t>
      </w:r>
      <w:r>
        <w:t>to</w:t>
      </w:r>
      <w:r>
        <w:rPr>
          <w:spacing w:val="12"/>
        </w:rPr>
        <w:t xml:space="preserve"> </w:t>
      </w:r>
      <w:r>
        <w:t>Article</w:t>
      </w:r>
      <w:r>
        <w:rPr>
          <w:spacing w:val="11"/>
        </w:rPr>
        <w:t xml:space="preserve"> </w:t>
      </w:r>
      <w:r>
        <w:t>2.2.1</w:t>
      </w:r>
      <w:r>
        <w:rPr>
          <w:spacing w:val="11"/>
        </w:rPr>
        <w:t xml:space="preserve"> </w:t>
      </w:r>
      <w:r>
        <w:t>is</w:t>
      </w:r>
      <w:r>
        <w:rPr>
          <w:spacing w:val="10"/>
        </w:rPr>
        <w:t xml:space="preserve"> </w:t>
      </w:r>
      <w:r>
        <w:t>discussed</w:t>
      </w:r>
      <w:r>
        <w:rPr>
          <w:spacing w:val="12"/>
        </w:rPr>
        <w:t xml:space="preserve"> </w:t>
      </w:r>
      <w:r>
        <w:t>by</w:t>
      </w:r>
      <w:r>
        <w:rPr>
          <w:spacing w:val="11"/>
        </w:rPr>
        <w:t xml:space="preserve"> </w:t>
      </w:r>
      <w:r>
        <w:t>the</w:t>
      </w:r>
      <w:r>
        <w:rPr>
          <w:spacing w:val="11"/>
        </w:rPr>
        <w:t xml:space="preserve"> </w:t>
      </w:r>
      <w:r>
        <w:t>Panel</w:t>
      </w:r>
      <w:r>
        <w:rPr>
          <w:spacing w:val="11"/>
        </w:rPr>
        <w:t xml:space="preserve"> </w:t>
      </w:r>
      <w:r>
        <w:rPr>
          <w:spacing w:val="-5"/>
        </w:rPr>
        <w:t>in</w:t>
      </w:r>
    </w:p>
    <w:p w14:paraId="51DE7DFA" w14:textId="77777777" w:rsidR="0010369C" w:rsidRDefault="008E43AE">
      <w:pPr>
        <w:spacing w:before="148"/>
        <w:ind w:left="238"/>
        <w:rPr>
          <w:sz w:val="24"/>
        </w:rPr>
      </w:pPr>
      <w:r>
        <w:rPr>
          <w:i/>
          <w:sz w:val="24"/>
        </w:rPr>
        <w:t>EC</w:t>
      </w:r>
      <w:r>
        <w:rPr>
          <w:i/>
          <w:spacing w:val="-4"/>
          <w:sz w:val="24"/>
        </w:rPr>
        <w:t xml:space="preserve"> </w:t>
      </w:r>
      <w:r>
        <w:rPr>
          <w:i/>
          <w:sz w:val="24"/>
        </w:rPr>
        <w:t>‐</w:t>
      </w:r>
      <w:r>
        <w:rPr>
          <w:i/>
          <w:spacing w:val="-4"/>
          <w:sz w:val="24"/>
        </w:rPr>
        <w:t xml:space="preserve"> </w:t>
      </w:r>
      <w:r>
        <w:rPr>
          <w:i/>
          <w:sz w:val="24"/>
        </w:rPr>
        <w:t>Salmon</w:t>
      </w:r>
      <w:r>
        <w:rPr>
          <w:i/>
          <w:spacing w:val="-5"/>
          <w:sz w:val="24"/>
        </w:rPr>
        <w:t xml:space="preserve"> </w:t>
      </w:r>
      <w:r>
        <w:rPr>
          <w:i/>
          <w:spacing w:val="-2"/>
          <w:sz w:val="24"/>
        </w:rPr>
        <w:t>(Norway)</w:t>
      </w:r>
      <w:r>
        <w:rPr>
          <w:spacing w:val="-2"/>
          <w:sz w:val="24"/>
        </w:rPr>
        <w:t>:</w:t>
      </w:r>
      <w:r>
        <w:rPr>
          <w:spacing w:val="-2"/>
          <w:sz w:val="24"/>
          <w:vertAlign w:val="superscript"/>
        </w:rPr>
        <w:t>111</w:t>
      </w:r>
    </w:p>
    <w:p w14:paraId="51DE7DFB" w14:textId="77777777" w:rsidR="0010369C" w:rsidRDefault="0010369C">
      <w:pPr>
        <w:pStyle w:val="BodyText"/>
        <w:spacing w:before="1"/>
        <w:rPr>
          <w:sz w:val="25"/>
        </w:rPr>
      </w:pPr>
    </w:p>
    <w:p w14:paraId="51DE7DFC" w14:textId="77777777" w:rsidR="0010369C" w:rsidRDefault="008E43AE">
      <w:pPr>
        <w:spacing w:before="1" w:line="276" w:lineRule="auto"/>
        <w:ind w:left="1089" w:right="611"/>
        <w:jc w:val="both"/>
      </w:pPr>
      <w:r>
        <w:t>On</w:t>
      </w:r>
      <w:r>
        <w:rPr>
          <w:spacing w:val="-2"/>
        </w:rPr>
        <w:t xml:space="preserve"> </w:t>
      </w:r>
      <w:r>
        <w:t>its</w:t>
      </w:r>
      <w:r>
        <w:rPr>
          <w:spacing w:val="-1"/>
        </w:rPr>
        <w:t xml:space="preserve"> </w:t>
      </w:r>
      <w:r>
        <w:t>face,</w:t>
      </w:r>
      <w:r>
        <w:rPr>
          <w:spacing w:val="-1"/>
        </w:rPr>
        <w:t xml:space="preserve"> </w:t>
      </w:r>
      <w:r>
        <w:t>the</w:t>
      </w:r>
      <w:r>
        <w:rPr>
          <w:spacing w:val="-2"/>
        </w:rPr>
        <w:t xml:space="preserve"> </w:t>
      </w:r>
      <w:r>
        <w:t>methodology</w:t>
      </w:r>
      <w:r>
        <w:rPr>
          <w:spacing w:val="-2"/>
        </w:rPr>
        <w:t xml:space="preserve"> </w:t>
      </w:r>
      <w:r>
        <w:t>set</w:t>
      </w:r>
      <w:r>
        <w:rPr>
          <w:spacing w:val="-2"/>
        </w:rPr>
        <w:t xml:space="preserve"> </w:t>
      </w:r>
      <w:r>
        <w:t>out</w:t>
      </w:r>
      <w:r>
        <w:rPr>
          <w:spacing w:val="-2"/>
        </w:rPr>
        <w:t xml:space="preserve"> </w:t>
      </w:r>
      <w:r>
        <w:t>in</w:t>
      </w:r>
      <w:r>
        <w:rPr>
          <w:spacing w:val="-1"/>
        </w:rPr>
        <w:t xml:space="preserve"> </w:t>
      </w:r>
      <w:r>
        <w:t>the</w:t>
      </w:r>
      <w:r>
        <w:rPr>
          <w:spacing w:val="-2"/>
        </w:rPr>
        <w:t xml:space="preserve"> </w:t>
      </w:r>
      <w:r>
        <w:t>first</w:t>
      </w:r>
      <w:r>
        <w:rPr>
          <w:spacing w:val="-2"/>
        </w:rPr>
        <w:t xml:space="preserve"> </w:t>
      </w:r>
      <w:r>
        <w:t>sentence</w:t>
      </w:r>
      <w:r>
        <w:rPr>
          <w:spacing w:val="-1"/>
        </w:rPr>
        <w:t xml:space="preserve"> </w:t>
      </w:r>
      <w:r>
        <w:t>of</w:t>
      </w:r>
      <w:r>
        <w:rPr>
          <w:spacing w:val="-2"/>
        </w:rPr>
        <w:t xml:space="preserve"> </w:t>
      </w:r>
      <w:r>
        <w:t>Article</w:t>
      </w:r>
      <w:r>
        <w:rPr>
          <w:spacing w:val="-2"/>
        </w:rPr>
        <w:t xml:space="preserve"> </w:t>
      </w:r>
      <w:r>
        <w:t>2.2.1</w:t>
      </w:r>
      <w:r>
        <w:rPr>
          <w:spacing w:val="-2"/>
        </w:rPr>
        <w:t xml:space="preserve"> </w:t>
      </w:r>
      <w:r>
        <w:t>involves two</w:t>
      </w:r>
      <w:r>
        <w:rPr>
          <w:spacing w:val="-1"/>
        </w:rPr>
        <w:t xml:space="preserve"> </w:t>
      </w:r>
      <w:r>
        <w:t>steps: First,</w:t>
      </w:r>
      <w:r>
        <w:rPr>
          <w:spacing w:val="-2"/>
        </w:rPr>
        <w:t xml:space="preserve"> </w:t>
      </w:r>
      <w:r>
        <w:t>the</w:t>
      </w:r>
      <w:r>
        <w:rPr>
          <w:spacing w:val="-3"/>
        </w:rPr>
        <w:t xml:space="preserve"> </w:t>
      </w:r>
      <w:r>
        <w:t>below‐cost</w:t>
      </w:r>
      <w:r>
        <w:rPr>
          <w:spacing w:val="-4"/>
        </w:rPr>
        <w:t xml:space="preserve"> </w:t>
      </w:r>
      <w:r>
        <w:t>sales</w:t>
      </w:r>
      <w:r>
        <w:rPr>
          <w:spacing w:val="-3"/>
        </w:rPr>
        <w:t xml:space="preserve"> </w:t>
      </w:r>
      <w:r>
        <w:t>that</w:t>
      </w:r>
      <w:r>
        <w:rPr>
          <w:spacing w:val="-4"/>
        </w:rPr>
        <w:t xml:space="preserve"> </w:t>
      </w:r>
      <w:r>
        <w:t>may</w:t>
      </w:r>
      <w:r>
        <w:rPr>
          <w:spacing w:val="-2"/>
        </w:rPr>
        <w:t xml:space="preserve"> </w:t>
      </w:r>
      <w:r>
        <w:t>potentially</w:t>
      </w:r>
      <w:r>
        <w:rPr>
          <w:spacing w:val="-2"/>
        </w:rPr>
        <w:t xml:space="preserve"> </w:t>
      </w:r>
      <w:r>
        <w:t>be</w:t>
      </w:r>
      <w:r>
        <w:rPr>
          <w:spacing w:val="-2"/>
        </w:rPr>
        <w:t xml:space="preserve"> </w:t>
      </w:r>
      <w:r>
        <w:t>treated</w:t>
      </w:r>
      <w:r>
        <w:rPr>
          <w:spacing w:val="-3"/>
        </w:rPr>
        <w:t xml:space="preserve"> </w:t>
      </w:r>
      <w:r>
        <w:t>as</w:t>
      </w:r>
      <w:r>
        <w:rPr>
          <w:spacing w:val="-2"/>
        </w:rPr>
        <w:t xml:space="preserve"> </w:t>
      </w:r>
      <w:r>
        <w:t>not</w:t>
      </w:r>
      <w:r>
        <w:rPr>
          <w:spacing w:val="-2"/>
        </w:rPr>
        <w:t xml:space="preserve"> </w:t>
      </w:r>
      <w:r>
        <w:t>being</w:t>
      </w:r>
      <w:r>
        <w:rPr>
          <w:spacing w:val="-2"/>
        </w:rPr>
        <w:t xml:space="preserve"> </w:t>
      </w:r>
      <w:r>
        <w:t>made</w:t>
      </w:r>
      <w:r>
        <w:rPr>
          <w:spacing w:val="-3"/>
        </w:rPr>
        <w:t xml:space="preserve"> </w:t>
      </w:r>
      <w:r>
        <w:t>in</w:t>
      </w:r>
      <w:r>
        <w:rPr>
          <w:spacing w:val="-3"/>
        </w:rPr>
        <w:t xml:space="preserve"> </w:t>
      </w:r>
      <w:r>
        <w:t>the</w:t>
      </w:r>
      <w:r>
        <w:rPr>
          <w:spacing w:val="-3"/>
        </w:rPr>
        <w:t xml:space="preserve"> </w:t>
      </w:r>
      <w:r>
        <w:t>ordinary course</w:t>
      </w:r>
      <w:r>
        <w:rPr>
          <w:spacing w:val="-9"/>
        </w:rPr>
        <w:t xml:space="preserve"> </w:t>
      </w:r>
      <w:r>
        <w:t>of</w:t>
      </w:r>
      <w:r>
        <w:rPr>
          <w:spacing w:val="-8"/>
        </w:rPr>
        <w:t xml:space="preserve"> </w:t>
      </w:r>
      <w:r>
        <w:t>trade</w:t>
      </w:r>
      <w:r>
        <w:rPr>
          <w:spacing w:val="-9"/>
        </w:rPr>
        <w:t xml:space="preserve"> </w:t>
      </w:r>
      <w:r>
        <w:t>by</w:t>
      </w:r>
      <w:r>
        <w:rPr>
          <w:spacing w:val="-7"/>
        </w:rPr>
        <w:t xml:space="preserve"> </w:t>
      </w:r>
      <w:r>
        <w:t>reason</w:t>
      </w:r>
      <w:r>
        <w:rPr>
          <w:spacing w:val="-9"/>
        </w:rPr>
        <w:t xml:space="preserve"> </w:t>
      </w:r>
      <w:r>
        <w:t>of</w:t>
      </w:r>
      <w:r>
        <w:rPr>
          <w:spacing w:val="-9"/>
        </w:rPr>
        <w:t xml:space="preserve"> </w:t>
      </w:r>
      <w:r>
        <w:t>price</w:t>
      </w:r>
      <w:r>
        <w:rPr>
          <w:spacing w:val="-7"/>
        </w:rPr>
        <w:t xml:space="preserve"> </w:t>
      </w:r>
      <w:r>
        <w:t>must</w:t>
      </w:r>
      <w:r>
        <w:rPr>
          <w:spacing w:val="-8"/>
        </w:rPr>
        <w:t xml:space="preserve"> </w:t>
      </w:r>
      <w:r>
        <w:t>be</w:t>
      </w:r>
      <w:r>
        <w:rPr>
          <w:spacing w:val="-9"/>
        </w:rPr>
        <w:t xml:space="preserve"> </w:t>
      </w:r>
      <w:r>
        <w:t>ascertained.</w:t>
      </w:r>
      <w:r>
        <w:rPr>
          <w:spacing w:val="-8"/>
        </w:rPr>
        <w:t xml:space="preserve"> </w:t>
      </w:r>
      <w:r>
        <w:t>This</w:t>
      </w:r>
      <w:r>
        <w:rPr>
          <w:spacing w:val="-8"/>
        </w:rPr>
        <w:t xml:space="preserve"> </w:t>
      </w:r>
      <w:r>
        <w:t>initial</w:t>
      </w:r>
      <w:r>
        <w:rPr>
          <w:spacing w:val="-6"/>
        </w:rPr>
        <w:t xml:space="preserve"> </w:t>
      </w:r>
      <w:r>
        <w:t>step</w:t>
      </w:r>
      <w:r>
        <w:rPr>
          <w:spacing w:val="-9"/>
        </w:rPr>
        <w:t xml:space="preserve"> </w:t>
      </w:r>
      <w:r>
        <w:t>requires</w:t>
      </w:r>
      <w:r>
        <w:rPr>
          <w:spacing w:val="-8"/>
        </w:rPr>
        <w:t xml:space="preserve"> </w:t>
      </w:r>
      <w:r>
        <w:t>investigating authorities to identify sales made at prices below "per unit (fixed and variable) costs of production plus administrative, selling and general costs". Article 2.2.1 does not prescribe any</w:t>
      </w:r>
      <w:r>
        <w:rPr>
          <w:spacing w:val="-6"/>
        </w:rPr>
        <w:t xml:space="preserve"> </w:t>
      </w:r>
      <w:r>
        <w:t>particular</w:t>
      </w:r>
      <w:r>
        <w:rPr>
          <w:spacing w:val="-6"/>
        </w:rPr>
        <w:t xml:space="preserve"> </w:t>
      </w:r>
      <w:r>
        <w:t>time</w:t>
      </w:r>
      <w:r>
        <w:rPr>
          <w:spacing w:val="-5"/>
        </w:rPr>
        <w:t xml:space="preserve"> </w:t>
      </w:r>
      <w:r>
        <w:t>period</w:t>
      </w:r>
      <w:r>
        <w:rPr>
          <w:spacing w:val="-4"/>
        </w:rPr>
        <w:t xml:space="preserve"> </w:t>
      </w:r>
      <w:r>
        <w:t>for</w:t>
      </w:r>
      <w:r>
        <w:rPr>
          <w:spacing w:val="-6"/>
        </w:rPr>
        <w:t xml:space="preserve"> </w:t>
      </w:r>
      <w:r>
        <w:t>the</w:t>
      </w:r>
      <w:r>
        <w:rPr>
          <w:spacing w:val="-5"/>
        </w:rPr>
        <w:t xml:space="preserve"> </w:t>
      </w:r>
      <w:r>
        <w:t>purpose</w:t>
      </w:r>
      <w:r>
        <w:rPr>
          <w:spacing w:val="-6"/>
        </w:rPr>
        <w:t xml:space="preserve"> </w:t>
      </w:r>
      <w:r>
        <w:t>of</w:t>
      </w:r>
      <w:r>
        <w:rPr>
          <w:spacing w:val="-5"/>
        </w:rPr>
        <w:t xml:space="preserve"> </w:t>
      </w:r>
      <w:r>
        <w:t>measuring</w:t>
      </w:r>
      <w:r>
        <w:rPr>
          <w:spacing w:val="-6"/>
        </w:rPr>
        <w:t xml:space="preserve"> </w:t>
      </w:r>
      <w:r>
        <w:t>th</w:t>
      </w:r>
      <w:r>
        <w:t>e</w:t>
      </w:r>
      <w:r>
        <w:rPr>
          <w:spacing w:val="-5"/>
        </w:rPr>
        <w:t xml:space="preserve"> </w:t>
      </w:r>
      <w:r>
        <w:t>per</w:t>
      </w:r>
      <w:r>
        <w:rPr>
          <w:spacing w:val="-5"/>
        </w:rPr>
        <w:t xml:space="preserve"> </w:t>
      </w:r>
      <w:r>
        <w:t>unit</w:t>
      </w:r>
      <w:r>
        <w:rPr>
          <w:spacing w:val="-6"/>
        </w:rPr>
        <w:t xml:space="preserve"> </w:t>
      </w:r>
      <w:r>
        <w:t>costs</w:t>
      </w:r>
      <w:r>
        <w:rPr>
          <w:spacing w:val="-5"/>
        </w:rPr>
        <w:t xml:space="preserve"> </w:t>
      </w:r>
      <w:r>
        <w:t>that</w:t>
      </w:r>
      <w:r>
        <w:rPr>
          <w:spacing w:val="-5"/>
        </w:rPr>
        <w:t xml:space="preserve"> </w:t>
      </w:r>
      <w:r>
        <w:t>must</w:t>
      </w:r>
      <w:r>
        <w:rPr>
          <w:spacing w:val="-6"/>
        </w:rPr>
        <w:t xml:space="preserve"> </w:t>
      </w:r>
      <w:r>
        <w:t>be</w:t>
      </w:r>
      <w:r>
        <w:rPr>
          <w:spacing w:val="-5"/>
        </w:rPr>
        <w:t xml:space="preserve"> </w:t>
      </w:r>
      <w:r>
        <w:t>used in this assessment, suggesting that investigating authorities have a degree of discretion to calculate such costs over different periods of time, which might be, for example, the day of sale or the period of investigation</w:t>
      </w:r>
      <w:r>
        <w:t>. We understand that this is also the view of the parties.</w:t>
      </w:r>
    </w:p>
    <w:p w14:paraId="51DE7DFD" w14:textId="77777777" w:rsidR="0010369C" w:rsidRDefault="0010369C">
      <w:pPr>
        <w:pStyle w:val="BodyText"/>
        <w:spacing w:before="7"/>
        <w:rPr>
          <w:sz w:val="19"/>
        </w:rPr>
      </w:pPr>
    </w:p>
    <w:p w14:paraId="51DE7DFE" w14:textId="77777777" w:rsidR="0010369C" w:rsidRDefault="008E43AE">
      <w:pPr>
        <w:spacing w:line="276" w:lineRule="auto"/>
        <w:ind w:left="1089" w:right="612"/>
        <w:jc w:val="both"/>
      </w:pPr>
      <w:r>
        <w:t>Secondly, the investigating authority must "determine" whether "such" below‐cost sales display three specific characteristics, i.e., whether the below‐cost sales identified under the first step ar</w:t>
      </w:r>
      <w:r>
        <w:t xml:space="preserve">e made: (i) "within an extended period of time"; (ii) "in substantial quantities"; and (iii) "at prices which do not provide for the recovery of all costs within a reasonable period of time". It is only below‐cost sales that are found to exhibit all three </w:t>
      </w:r>
      <w:r>
        <w:t>of these characteristics that may be treated as not being made in the ordinary course of trade by reason of price.</w:t>
      </w:r>
    </w:p>
    <w:p w14:paraId="51DE7DFF" w14:textId="77777777" w:rsidR="0010369C" w:rsidRDefault="0010369C">
      <w:pPr>
        <w:pStyle w:val="BodyText"/>
        <w:spacing w:before="5"/>
        <w:rPr>
          <w:sz w:val="15"/>
        </w:rPr>
      </w:pPr>
    </w:p>
    <w:p w14:paraId="51DE7E00" w14:textId="77777777" w:rsidR="0010369C" w:rsidRDefault="008E43AE">
      <w:pPr>
        <w:pStyle w:val="BodyText"/>
        <w:spacing w:before="52" w:line="360" w:lineRule="auto"/>
        <w:ind w:left="236" w:right="613" w:firstLine="852"/>
        <w:jc w:val="both"/>
      </w:pPr>
      <w:r>
        <w:rPr>
          <w:noProof/>
        </w:rPr>
        <w:drawing>
          <wp:anchor distT="0" distB="0" distL="0" distR="0" simplePos="0" relativeHeight="250796544" behindDoc="1" locked="0" layoutInCell="1" allowOverlap="1" wp14:anchorId="51DE9DF4" wp14:editId="51DE9DF5">
            <wp:simplePos x="0" y="0"/>
            <wp:positionH relativeFrom="page">
              <wp:posOffset>908303</wp:posOffset>
            </wp:positionH>
            <wp:positionV relativeFrom="paragraph">
              <wp:posOffset>81357</wp:posOffset>
            </wp:positionV>
            <wp:extent cx="256031" cy="103631"/>
            <wp:effectExtent l="0" t="0" r="0" b="0"/>
            <wp:wrapNone/>
            <wp:docPr id="205" name="image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111.png"/>
                    <pic:cNvPicPr/>
                  </pic:nvPicPr>
                  <pic:blipFill>
                    <a:blip r:embed="rId201" cstate="print"/>
                    <a:stretch>
                      <a:fillRect/>
                    </a:stretch>
                  </pic:blipFill>
                  <pic:spPr>
                    <a:xfrm>
                      <a:off x="0" y="0"/>
                      <a:ext cx="256031" cy="103631"/>
                    </a:xfrm>
                    <a:prstGeom prst="rect">
                      <a:avLst/>
                    </a:prstGeom>
                  </pic:spPr>
                </pic:pic>
              </a:graphicData>
            </a:graphic>
          </wp:anchor>
        </w:drawing>
      </w:r>
      <w:r>
        <w:t>Where one of the circumstances in Article 2.2 is established, the Investigating Authority is permitted to have recourse to an alternate basis for determining normal value, namely third‐country sales</w:t>
      </w:r>
      <w:r>
        <w:rPr>
          <w:vertAlign w:val="superscript"/>
        </w:rPr>
        <w:t>112</w:t>
      </w:r>
      <w:r>
        <w:t xml:space="preserve"> or constructed normal value. Constructed normal value </w:t>
      </w:r>
      <w:r>
        <w:t>is the cost</w:t>
      </w:r>
      <w:r>
        <w:rPr>
          <w:spacing w:val="-11"/>
        </w:rPr>
        <w:t xml:space="preserve"> </w:t>
      </w:r>
      <w:r>
        <w:t>of</w:t>
      </w:r>
      <w:r>
        <w:rPr>
          <w:spacing w:val="-11"/>
        </w:rPr>
        <w:t xml:space="preserve"> </w:t>
      </w:r>
      <w:r>
        <w:t>production</w:t>
      </w:r>
      <w:r>
        <w:rPr>
          <w:spacing w:val="-11"/>
        </w:rPr>
        <w:t xml:space="preserve"> </w:t>
      </w:r>
      <w:r>
        <w:t>in</w:t>
      </w:r>
      <w:r>
        <w:rPr>
          <w:spacing w:val="-11"/>
        </w:rPr>
        <w:t xml:space="preserve"> </w:t>
      </w:r>
      <w:r>
        <w:t>the</w:t>
      </w:r>
      <w:r>
        <w:rPr>
          <w:spacing w:val="-12"/>
        </w:rPr>
        <w:t xml:space="preserve"> </w:t>
      </w:r>
      <w:r>
        <w:t>country</w:t>
      </w:r>
      <w:r>
        <w:rPr>
          <w:spacing w:val="-12"/>
        </w:rPr>
        <w:t xml:space="preserve"> </w:t>
      </w:r>
      <w:r>
        <w:t>of</w:t>
      </w:r>
      <w:r>
        <w:rPr>
          <w:spacing w:val="-11"/>
        </w:rPr>
        <w:t xml:space="preserve"> </w:t>
      </w:r>
      <w:r>
        <w:t>origin</w:t>
      </w:r>
      <w:r>
        <w:rPr>
          <w:spacing w:val="-11"/>
        </w:rPr>
        <w:t xml:space="preserve"> </w:t>
      </w:r>
      <w:r>
        <w:t>plus</w:t>
      </w:r>
      <w:r>
        <w:rPr>
          <w:spacing w:val="-11"/>
        </w:rPr>
        <w:t xml:space="preserve"> </w:t>
      </w:r>
      <w:r>
        <w:t>a</w:t>
      </w:r>
      <w:r>
        <w:rPr>
          <w:spacing w:val="-11"/>
        </w:rPr>
        <w:t xml:space="preserve"> </w:t>
      </w:r>
      <w:r>
        <w:t>reasonable</w:t>
      </w:r>
      <w:r>
        <w:rPr>
          <w:spacing w:val="-11"/>
        </w:rPr>
        <w:t xml:space="preserve"> </w:t>
      </w:r>
      <w:r>
        <w:t>amount</w:t>
      </w:r>
      <w:r>
        <w:rPr>
          <w:spacing w:val="-11"/>
        </w:rPr>
        <w:t xml:space="preserve"> </w:t>
      </w:r>
      <w:r>
        <w:t>for</w:t>
      </w:r>
      <w:r>
        <w:rPr>
          <w:spacing w:val="-11"/>
        </w:rPr>
        <w:t xml:space="preserve"> </w:t>
      </w:r>
      <w:r>
        <w:t>administrative,</w:t>
      </w:r>
      <w:r>
        <w:rPr>
          <w:spacing w:val="-11"/>
        </w:rPr>
        <w:t xml:space="preserve"> </w:t>
      </w:r>
      <w:r>
        <w:t>selling and general costs and for profits. Costs must normally be based on the exporters' records relating</w:t>
      </w:r>
      <w:r>
        <w:rPr>
          <w:spacing w:val="-11"/>
        </w:rPr>
        <w:t xml:space="preserve"> </w:t>
      </w:r>
      <w:r>
        <w:t>to</w:t>
      </w:r>
      <w:r>
        <w:rPr>
          <w:spacing w:val="-9"/>
        </w:rPr>
        <w:t xml:space="preserve"> </w:t>
      </w:r>
      <w:r>
        <w:t>the</w:t>
      </w:r>
      <w:r>
        <w:rPr>
          <w:spacing w:val="-9"/>
        </w:rPr>
        <w:t xml:space="preserve"> </w:t>
      </w:r>
      <w:r>
        <w:t>cost</w:t>
      </w:r>
      <w:r>
        <w:rPr>
          <w:spacing w:val="-10"/>
        </w:rPr>
        <w:t xml:space="preserve"> </w:t>
      </w:r>
      <w:r>
        <w:t>of</w:t>
      </w:r>
      <w:r>
        <w:rPr>
          <w:spacing w:val="-10"/>
        </w:rPr>
        <w:t xml:space="preserve"> </w:t>
      </w:r>
      <w:r>
        <w:t>production,</w:t>
      </w:r>
      <w:r>
        <w:rPr>
          <w:spacing w:val="-9"/>
        </w:rPr>
        <w:t xml:space="preserve"> </w:t>
      </w:r>
      <w:r>
        <w:t>subject</w:t>
      </w:r>
      <w:r>
        <w:rPr>
          <w:spacing w:val="-10"/>
        </w:rPr>
        <w:t xml:space="preserve"> </w:t>
      </w:r>
      <w:r>
        <w:t>to</w:t>
      </w:r>
      <w:r>
        <w:rPr>
          <w:spacing w:val="-11"/>
        </w:rPr>
        <w:t xml:space="preserve"> </w:t>
      </w:r>
      <w:r>
        <w:t>certain</w:t>
      </w:r>
      <w:r>
        <w:rPr>
          <w:spacing w:val="-10"/>
        </w:rPr>
        <w:t xml:space="preserve"> </w:t>
      </w:r>
      <w:r>
        <w:t>require</w:t>
      </w:r>
      <w:r>
        <w:t>ments</w:t>
      </w:r>
      <w:r>
        <w:rPr>
          <w:spacing w:val="-11"/>
        </w:rPr>
        <w:t xml:space="preserve"> </w:t>
      </w:r>
      <w:r>
        <w:t>in</w:t>
      </w:r>
      <w:r>
        <w:rPr>
          <w:spacing w:val="-10"/>
        </w:rPr>
        <w:t xml:space="preserve"> </w:t>
      </w:r>
      <w:r>
        <w:t>Article</w:t>
      </w:r>
      <w:r>
        <w:rPr>
          <w:spacing w:val="-10"/>
        </w:rPr>
        <w:t xml:space="preserve"> </w:t>
      </w:r>
      <w:r>
        <w:t>2.2.1.1</w:t>
      </w:r>
      <w:r>
        <w:rPr>
          <w:spacing w:val="-11"/>
        </w:rPr>
        <w:t xml:space="preserve"> </w:t>
      </w:r>
      <w:r>
        <w:t>being</w:t>
      </w:r>
      <w:r>
        <w:rPr>
          <w:spacing w:val="-10"/>
        </w:rPr>
        <w:t xml:space="preserve"> </w:t>
      </w:r>
      <w:r>
        <w:t>met, and on actual data pertaining to production and sales in the ordinary course of trade of the like</w:t>
      </w:r>
      <w:r>
        <w:rPr>
          <w:spacing w:val="-11"/>
        </w:rPr>
        <w:t xml:space="preserve"> </w:t>
      </w:r>
      <w:r>
        <w:t>product</w:t>
      </w:r>
      <w:r>
        <w:rPr>
          <w:spacing w:val="-13"/>
        </w:rPr>
        <w:t xml:space="preserve"> </w:t>
      </w:r>
      <w:r>
        <w:t>by</w:t>
      </w:r>
      <w:r>
        <w:rPr>
          <w:spacing w:val="-12"/>
        </w:rPr>
        <w:t xml:space="preserve"> </w:t>
      </w:r>
      <w:r>
        <w:t>the</w:t>
      </w:r>
      <w:r>
        <w:rPr>
          <w:spacing w:val="-11"/>
        </w:rPr>
        <w:t xml:space="preserve"> </w:t>
      </w:r>
      <w:r>
        <w:t>exporter</w:t>
      </w:r>
      <w:r>
        <w:rPr>
          <w:spacing w:val="-13"/>
        </w:rPr>
        <w:t xml:space="preserve"> </w:t>
      </w:r>
      <w:r>
        <w:t>or</w:t>
      </w:r>
      <w:r>
        <w:rPr>
          <w:spacing w:val="-12"/>
        </w:rPr>
        <w:t xml:space="preserve"> </w:t>
      </w:r>
      <w:r>
        <w:t>producer</w:t>
      </w:r>
      <w:r>
        <w:rPr>
          <w:spacing w:val="-11"/>
        </w:rPr>
        <w:t xml:space="preserve"> </w:t>
      </w:r>
      <w:r>
        <w:t>under</w:t>
      </w:r>
      <w:r>
        <w:rPr>
          <w:spacing w:val="-12"/>
        </w:rPr>
        <w:t xml:space="preserve"> </w:t>
      </w:r>
      <w:r>
        <w:t>investigation,</w:t>
      </w:r>
      <w:r>
        <w:rPr>
          <w:spacing w:val="-13"/>
        </w:rPr>
        <w:t xml:space="preserve"> </w:t>
      </w:r>
      <w:r>
        <w:t>in</w:t>
      </w:r>
      <w:r>
        <w:rPr>
          <w:spacing w:val="-12"/>
        </w:rPr>
        <w:t xml:space="preserve"> </w:t>
      </w:r>
      <w:r>
        <w:t>accordance</w:t>
      </w:r>
      <w:r>
        <w:rPr>
          <w:spacing w:val="-11"/>
        </w:rPr>
        <w:t xml:space="preserve"> </w:t>
      </w:r>
      <w:r>
        <w:t>with</w:t>
      </w:r>
      <w:r>
        <w:rPr>
          <w:spacing w:val="-13"/>
        </w:rPr>
        <w:t xml:space="preserve"> </w:t>
      </w:r>
      <w:r>
        <w:t>Article</w:t>
      </w:r>
      <w:r>
        <w:rPr>
          <w:spacing w:val="-12"/>
        </w:rPr>
        <w:t xml:space="preserve"> </w:t>
      </w:r>
      <w:r>
        <w:rPr>
          <w:spacing w:val="-2"/>
        </w:rPr>
        <w:t>2.2.2.</w:t>
      </w:r>
    </w:p>
    <w:p w14:paraId="51DE7E01" w14:textId="77777777" w:rsidR="0010369C" w:rsidRDefault="0010369C">
      <w:pPr>
        <w:pStyle w:val="BodyText"/>
        <w:spacing w:before="12"/>
        <w:rPr>
          <w:sz w:val="8"/>
        </w:rPr>
      </w:pPr>
    </w:p>
    <w:p w14:paraId="51DE7E02" w14:textId="77777777" w:rsidR="0010369C" w:rsidRDefault="008E43AE">
      <w:pPr>
        <w:pStyle w:val="BodyText"/>
        <w:spacing w:before="51"/>
        <w:ind w:left="1089"/>
        <w:jc w:val="both"/>
      </w:pPr>
      <w:r>
        <w:rPr>
          <w:noProof/>
        </w:rPr>
        <w:drawing>
          <wp:anchor distT="0" distB="0" distL="0" distR="0" simplePos="0" relativeHeight="250612224" behindDoc="0" locked="0" layoutInCell="1" allowOverlap="1" wp14:anchorId="51DE9DF6" wp14:editId="51DE9DF7">
            <wp:simplePos x="0" y="0"/>
            <wp:positionH relativeFrom="page">
              <wp:posOffset>908303</wp:posOffset>
            </wp:positionH>
            <wp:positionV relativeFrom="paragraph">
              <wp:posOffset>80722</wp:posOffset>
            </wp:positionV>
            <wp:extent cx="256031" cy="103632"/>
            <wp:effectExtent l="0" t="0" r="0" b="0"/>
            <wp:wrapNone/>
            <wp:docPr id="207" name="image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112.png"/>
                    <pic:cNvPicPr/>
                  </pic:nvPicPr>
                  <pic:blipFill>
                    <a:blip r:embed="rId202" cstate="print"/>
                    <a:stretch>
                      <a:fillRect/>
                    </a:stretch>
                  </pic:blipFill>
                  <pic:spPr>
                    <a:xfrm>
                      <a:off x="0" y="0"/>
                      <a:ext cx="256031" cy="103632"/>
                    </a:xfrm>
                    <a:prstGeom prst="rect">
                      <a:avLst/>
                    </a:prstGeom>
                  </pic:spPr>
                </pic:pic>
              </a:graphicData>
            </a:graphic>
          </wp:anchor>
        </w:drawing>
      </w:r>
      <w:r>
        <w:t>Article</w:t>
      </w:r>
      <w:r>
        <w:rPr>
          <w:spacing w:val="-9"/>
        </w:rPr>
        <w:t xml:space="preserve"> </w:t>
      </w:r>
      <w:r>
        <w:t>2.2.1.1</w:t>
      </w:r>
      <w:r>
        <w:rPr>
          <w:spacing w:val="-9"/>
        </w:rPr>
        <w:t xml:space="preserve"> </w:t>
      </w:r>
      <w:r>
        <w:t>specifies</w:t>
      </w:r>
      <w:r>
        <w:rPr>
          <w:spacing w:val="-9"/>
        </w:rPr>
        <w:t xml:space="preserve"> </w:t>
      </w:r>
      <w:r>
        <w:rPr>
          <w:spacing w:val="-2"/>
        </w:rPr>
        <w:t>that:</w:t>
      </w:r>
    </w:p>
    <w:p w14:paraId="51DE7E03" w14:textId="77777777" w:rsidR="0010369C" w:rsidRDefault="0010369C">
      <w:pPr>
        <w:pStyle w:val="BodyText"/>
        <w:spacing w:before="1"/>
        <w:rPr>
          <w:sz w:val="25"/>
        </w:rPr>
      </w:pPr>
    </w:p>
    <w:p w14:paraId="51DE7E04" w14:textId="77777777" w:rsidR="0010369C" w:rsidRDefault="008E43AE">
      <w:pPr>
        <w:ind w:left="1089" w:right="613" w:hanging="1"/>
        <w:jc w:val="both"/>
      </w:pPr>
      <w:r>
        <w:t>For the purpose of paragraph 2, costs shall normally be calculated on the basis of records kept by the exporter or producer under investigation, provided that such records are in accordance with the generally accepted accounting principles</w:t>
      </w:r>
      <w:r>
        <w:t xml:space="preserve"> of the exporting country and reasonably reflect the costs associated with the production and sale of the product under </w:t>
      </w:r>
      <w:r>
        <w:rPr>
          <w:spacing w:val="-2"/>
        </w:rPr>
        <w:t>consideration.</w:t>
      </w:r>
    </w:p>
    <w:p w14:paraId="51DE7E05" w14:textId="77777777" w:rsidR="0010369C" w:rsidRDefault="008E43AE">
      <w:pPr>
        <w:pStyle w:val="BodyText"/>
        <w:spacing w:before="9"/>
        <w:rPr>
          <w:sz w:val="27"/>
        </w:rPr>
      </w:pPr>
      <w:r>
        <w:pict w14:anchorId="51DE9DF8">
          <v:rect id="docshape104" o:spid="_x0000_s3164" style="position:absolute;margin-left:70.9pt;margin-top:18.15pt;width:2in;height:.8pt;z-index:-251236864;mso-wrap-distance-left:0;mso-wrap-distance-right:0;mso-position-horizontal-relative:page" fillcolor="black" stroked="f">
            <w10:wrap type="topAndBottom" anchorx="page"/>
          </v:rect>
        </w:pict>
      </w:r>
    </w:p>
    <w:p w14:paraId="51DE7E06" w14:textId="77777777" w:rsidR="0010369C" w:rsidRDefault="008E43AE">
      <w:pPr>
        <w:spacing w:before="109"/>
        <w:ind w:left="238"/>
        <w:rPr>
          <w:sz w:val="18"/>
        </w:rPr>
      </w:pPr>
      <w:r>
        <w:rPr>
          <w:sz w:val="18"/>
          <w:vertAlign w:val="superscript"/>
        </w:rPr>
        <w:t>111</w:t>
      </w:r>
      <w:r>
        <w:rPr>
          <w:spacing w:val="-7"/>
          <w:sz w:val="18"/>
        </w:rPr>
        <w:t xml:space="preserve"> </w:t>
      </w:r>
      <w:r>
        <w:rPr>
          <w:sz w:val="18"/>
        </w:rPr>
        <w:t>Panel</w:t>
      </w:r>
      <w:r>
        <w:rPr>
          <w:spacing w:val="-8"/>
          <w:sz w:val="18"/>
        </w:rPr>
        <w:t xml:space="preserve"> </w:t>
      </w:r>
      <w:r>
        <w:rPr>
          <w:sz w:val="18"/>
        </w:rPr>
        <w:t>Report,</w:t>
      </w:r>
      <w:r>
        <w:rPr>
          <w:spacing w:val="-6"/>
          <w:sz w:val="18"/>
        </w:rPr>
        <w:t xml:space="preserve"> </w:t>
      </w:r>
      <w:r>
        <w:rPr>
          <w:i/>
          <w:sz w:val="18"/>
        </w:rPr>
        <w:t>EC</w:t>
      </w:r>
      <w:r>
        <w:rPr>
          <w:i/>
          <w:spacing w:val="-8"/>
          <w:sz w:val="18"/>
        </w:rPr>
        <w:t xml:space="preserve"> </w:t>
      </w:r>
      <w:r>
        <w:rPr>
          <w:i/>
          <w:sz w:val="18"/>
        </w:rPr>
        <w:t>–</w:t>
      </w:r>
      <w:r>
        <w:rPr>
          <w:i/>
          <w:spacing w:val="-6"/>
          <w:sz w:val="18"/>
        </w:rPr>
        <w:t xml:space="preserve"> </w:t>
      </w:r>
      <w:r>
        <w:rPr>
          <w:i/>
          <w:sz w:val="18"/>
        </w:rPr>
        <w:t>Salmon</w:t>
      </w:r>
      <w:r>
        <w:rPr>
          <w:i/>
          <w:spacing w:val="-8"/>
          <w:sz w:val="18"/>
        </w:rPr>
        <w:t xml:space="preserve"> </w:t>
      </w:r>
      <w:r>
        <w:rPr>
          <w:i/>
          <w:sz w:val="18"/>
        </w:rPr>
        <w:t>(Norway)</w:t>
      </w:r>
      <w:r>
        <w:rPr>
          <w:sz w:val="18"/>
        </w:rPr>
        <w:t>,</w:t>
      </w:r>
      <w:r>
        <w:rPr>
          <w:spacing w:val="-7"/>
          <w:sz w:val="18"/>
        </w:rPr>
        <w:t xml:space="preserve"> </w:t>
      </w:r>
      <w:r>
        <w:rPr>
          <w:sz w:val="18"/>
        </w:rPr>
        <w:t>paras.</w:t>
      </w:r>
      <w:r>
        <w:rPr>
          <w:spacing w:val="-7"/>
          <w:sz w:val="18"/>
        </w:rPr>
        <w:t xml:space="preserve"> </w:t>
      </w:r>
      <w:r>
        <w:rPr>
          <w:sz w:val="18"/>
        </w:rPr>
        <w:t>7.232‐7.233.</w:t>
      </w:r>
      <w:r>
        <w:rPr>
          <w:spacing w:val="-6"/>
          <w:sz w:val="18"/>
        </w:rPr>
        <w:t xml:space="preserve"> </w:t>
      </w:r>
      <w:r>
        <w:rPr>
          <w:sz w:val="18"/>
        </w:rPr>
        <w:t>(footnote</w:t>
      </w:r>
      <w:r>
        <w:rPr>
          <w:spacing w:val="-6"/>
          <w:sz w:val="18"/>
        </w:rPr>
        <w:t xml:space="preserve"> </w:t>
      </w:r>
      <w:r>
        <w:rPr>
          <w:spacing w:val="-2"/>
          <w:sz w:val="18"/>
        </w:rPr>
        <w:t>removed)</w:t>
      </w:r>
    </w:p>
    <w:p w14:paraId="51DE7E07" w14:textId="77777777" w:rsidR="0010369C" w:rsidRDefault="008E43AE">
      <w:pPr>
        <w:ind w:left="237" w:firstLine="1"/>
        <w:rPr>
          <w:sz w:val="18"/>
        </w:rPr>
      </w:pPr>
      <w:r>
        <w:rPr>
          <w:sz w:val="18"/>
          <w:vertAlign w:val="superscript"/>
        </w:rPr>
        <w:t>112</w:t>
      </w:r>
      <w:r>
        <w:rPr>
          <w:spacing w:val="-4"/>
          <w:sz w:val="18"/>
        </w:rPr>
        <w:t xml:space="preserve"> </w:t>
      </w:r>
      <w:r>
        <w:rPr>
          <w:sz w:val="18"/>
        </w:rPr>
        <w:t>Article</w:t>
      </w:r>
      <w:r>
        <w:rPr>
          <w:spacing w:val="-5"/>
          <w:sz w:val="18"/>
        </w:rPr>
        <w:t xml:space="preserve"> </w:t>
      </w:r>
      <w:r>
        <w:rPr>
          <w:sz w:val="18"/>
        </w:rPr>
        <w:t>2.2</w:t>
      </w:r>
      <w:r>
        <w:rPr>
          <w:spacing w:val="-5"/>
          <w:sz w:val="18"/>
        </w:rPr>
        <w:t xml:space="preserve"> </w:t>
      </w:r>
      <w:r>
        <w:rPr>
          <w:sz w:val="18"/>
        </w:rPr>
        <w:t>of</w:t>
      </w:r>
      <w:r>
        <w:rPr>
          <w:spacing w:val="-4"/>
          <w:sz w:val="18"/>
        </w:rPr>
        <w:t xml:space="preserve"> </w:t>
      </w:r>
      <w:r>
        <w:rPr>
          <w:sz w:val="18"/>
        </w:rPr>
        <w:t>the</w:t>
      </w:r>
      <w:r>
        <w:rPr>
          <w:spacing w:val="-4"/>
          <w:sz w:val="18"/>
        </w:rPr>
        <w:t xml:space="preserve"> </w:t>
      </w:r>
      <w:r>
        <w:rPr>
          <w:sz w:val="18"/>
        </w:rPr>
        <w:t>Anti‐Dumping</w:t>
      </w:r>
      <w:r>
        <w:rPr>
          <w:spacing w:val="-5"/>
          <w:sz w:val="18"/>
        </w:rPr>
        <w:t xml:space="preserve"> </w:t>
      </w:r>
      <w:r>
        <w:rPr>
          <w:sz w:val="18"/>
        </w:rPr>
        <w:t>Agreement</w:t>
      </w:r>
      <w:r>
        <w:rPr>
          <w:spacing w:val="-6"/>
          <w:sz w:val="18"/>
        </w:rPr>
        <w:t xml:space="preserve"> </w:t>
      </w:r>
      <w:r>
        <w:rPr>
          <w:sz w:val="18"/>
        </w:rPr>
        <w:t>provides</w:t>
      </w:r>
      <w:r>
        <w:rPr>
          <w:spacing w:val="-4"/>
          <w:sz w:val="18"/>
        </w:rPr>
        <w:t xml:space="preserve"> </w:t>
      </w:r>
      <w:r>
        <w:rPr>
          <w:sz w:val="18"/>
        </w:rPr>
        <w:t>this</w:t>
      </w:r>
      <w:r>
        <w:rPr>
          <w:spacing w:val="-4"/>
          <w:sz w:val="18"/>
        </w:rPr>
        <w:t xml:space="preserve"> </w:t>
      </w:r>
      <w:r>
        <w:rPr>
          <w:sz w:val="18"/>
        </w:rPr>
        <w:t>is</w:t>
      </w:r>
      <w:r>
        <w:rPr>
          <w:spacing w:val="-4"/>
          <w:sz w:val="18"/>
        </w:rPr>
        <w:t xml:space="preserve"> </w:t>
      </w:r>
      <w:r>
        <w:rPr>
          <w:sz w:val="18"/>
        </w:rPr>
        <w:t>the</w:t>
      </w:r>
      <w:r>
        <w:rPr>
          <w:spacing w:val="-4"/>
          <w:sz w:val="18"/>
        </w:rPr>
        <w:t xml:space="preserve"> </w:t>
      </w:r>
      <w:r>
        <w:rPr>
          <w:sz w:val="18"/>
        </w:rPr>
        <w:t>"comparable</w:t>
      </w:r>
      <w:r>
        <w:rPr>
          <w:spacing w:val="-4"/>
          <w:sz w:val="18"/>
        </w:rPr>
        <w:t xml:space="preserve"> </w:t>
      </w:r>
      <w:r>
        <w:rPr>
          <w:sz w:val="18"/>
        </w:rPr>
        <w:t>price</w:t>
      </w:r>
      <w:r>
        <w:rPr>
          <w:spacing w:val="-4"/>
          <w:sz w:val="18"/>
        </w:rPr>
        <w:t xml:space="preserve"> </w:t>
      </w:r>
      <w:r>
        <w:rPr>
          <w:sz w:val="18"/>
        </w:rPr>
        <w:t>of</w:t>
      </w:r>
      <w:r>
        <w:rPr>
          <w:spacing w:val="-4"/>
          <w:sz w:val="18"/>
        </w:rPr>
        <w:t xml:space="preserve"> </w:t>
      </w:r>
      <w:r>
        <w:rPr>
          <w:sz w:val="18"/>
        </w:rPr>
        <w:t>the</w:t>
      </w:r>
      <w:r>
        <w:rPr>
          <w:spacing w:val="-6"/>
          <w:sz w:val="18"/>
        </w:rPr>
        <w:t xml:space="preserve"> </w:t>
      </w:r>
      <w:r>
        <w:rPr>
          <w:sz w:val="18"/>
        </w:rPr>
        <w:t>like</w:t>
      </w:r>
      <w:r>
        <w:rPr>
          <w:spacing w:val="-4"/>
          <w:sz w:val="18"/>
        </w:rPr>
        <w:t xml:space="preserve"> </w:t>
      </w:r>
      <w:r>
        <w:rPr>
          <w:sz w:val="18"/>
        </w:rPr>
        <w:t>product</w:t>
      </w:r>
      <w:r>
        <w:rPr>
          <w:spacing w:val="-5"/>
          <w:sz w:val="18"/>
        </w:rPr>
        <w:t xml:space="preserve"> </w:t>
      </w:r>
      <w:r>
        <w:rPr>
          <w:sz w:val="18"/>
        </w:rPr>
        <w:t>when</w:t>
      </w:r>
      <w:r>
        <w:rPr>
          <w:spacing w:val="-5"/>
          <w:sz w:val="18"/>
        </w:rPr>
        <w:t xml:space="preserve"> </w:t>
      </w:r>
      <w:r>
        <w:rPr>
          <w:sz w:val="18"/>
        </w:rPr>
        <w:t>exported</w:t>
      </w:r>
      <w:r>
        <w:rPr>
          <w:spacing w:val="-5"/>
          <w:sz w:val="18"/>
        </w:rPr>
        <w:t xml:space="preserve"> </w:t>
      </w:r>
      <w:r>
        <w:rPr>
          <w:sz w:val="18"/>
        </w:rPr>
        <w:t>to</w:t>
      </w:r>
      <w:r>
        <w:rPr>
          <w:spacing w:val="-6"/>
          <w:sz w:val="18"/>
        </w:rPr>
        <w:t xml:space="preserve"> </w:t>
      </w:r>
      <w:r>
        <w:rPr>
          <w:sz w:val="18"/>
        </w:rPr>
        <w:t xml:space="preserve">an appropriate third country, provided the price is representative". See also Panel Report, </w:t>
      </w:r>
      <w:r>
        <w:rPr>
          <w:i/>
          <w:sz w:val="18"/>
        </w:rPr>
        <w:t>A4 Copy Paper</w:t>
      </w:r>
      <w:r>
        <w:rPr>
          <w:sz w:val="18"/>
        </w:rPr>
        <w:t>, para. 7.68.</w:t>
      </w:r>
    </w:p>
    <w:p w14:paraId="51DE7E08" w14:textId="77777777" w:rsidR="0010369C" w:rsidRDefault="0010369C">
      <w:pPr>
        <w:rPr>
          <w:sz w:val="18"/>
        </w:rPr>
        <w:sectPr w:rsidR="0010369C">
          <w:pgSz w:w="11910" w:h="16840"/>
          <w:pgMar w:top="880" w:right="800" w:bottom="980" w:left="1180" w:header="569" w:footer="788" w:gutter="0"/>
          <w:cols w:space="720"/>
        </w:sectPr>
      </w:pPr>
    </w:p>
    <w:p w14:paraId="51DE7E09" w14:textId="77777777" w:rsidR="0010369C" w:rsidRDefault="008E43AE">
      <w:pPr>
        <w:tabs>
          <w:tab w:val="left" w:pos="6426"/>
        </w:tabs>
        <w:ind w:left="238"/>
        <w:rPr>
          <w:sz w:val="20"/>
        </w:rPr>
      </w:pPr>
      <w:r>
        <w:rPr>
          <w:i/>
          <w:sz w:val="20"/>
        </w:rPr>
        <w:lastRenderedPageBreak/>
        <w:t>China</w:t>
      </w:r>
      <w:r>
        <w:rPr>
          <w:i/>
          <w:spacing w:val="-5"/>
          <w:sz w:val="20"/>
        </w:rPr>
        <w:t xml:space="preserve"> </w:t>
      </w:r>
      <w:r>
        <w:rPr>
          <w:i/>
          <w:sz w:val="20"/>
        </w:rPr>
        <w:t>–</w:t>
      </w:r>
      <w:r>
        <w:rPr>
          <w:i/>
          <w:spacing w:val="-5"/>
          <w:sz w:val="20"/>
        </w:rPr>
        <w:t xml:space="preserve"> </w:t>
      </w:r>
      <w:r>
        <w:rPr>
          <w:i/>
          <w:sz w:val="20"/>
        </w:rPr>
        <w:t>Anti‐Dumping</w:t>
      </w:r>
      <w:r>
        <w:rPr>
          <w:i/>
          <w:spacing w:val="-4"/>
          <w:sz w:val="20"/>
        </w:rPr>
        <w:t xml:space="preserve"> </w:t>
      </w:r>
      <w:r>
        <w:rPr>
          <w:i/>
          <w:sz w:val="20"/>
        </w:rPr>
        <w:t>and</w:t>
      </w:r>
      <w:r>
        <w:rPr>
          <w:i/>
          <w:spacing w:val="-5"/>
          <w:sz w:val="20"/>
        </w:rPr>
        <w:t xml:space="preserve"> </w:t>
      </w:r>
      <w:r>
        <w:rPr>
          <w:i/>
          <w:sz w:val="20"/>
        </w:rPr>
        <w:t>Countervailing</w:t>
      </w:r>
      <w:r>
        <w:rPr>
          <w:i/>
          <w:spacing w:val="-5"/>
          <w:sz w:val="20"/>
        </w:rPr>
        <w:t xml:space="preserve"> </w:t>
      </w:r>
      <w:r>
        <w:rPr>
          <w:i/>
          <w:sz w:val="20"/>
        </w:rPr>
        <w:t>Duty</w:t>
      </w:r>
      <w:r>
        <w:rPr>
          <w:i/>
          <w:spacing w:val="-4"/>
          <w:sz w:val="20"/>
        </w:rPr>
        <w:t xml:space="preserve"> </w:t>
      </w:r>
      <w:r>
        <w:rPr>
          <w:i/>
          <w:spacing w:val="-2"/>
          <w:sz w:val="20"/>
        </w:rPr>
        <w:t>Measures</w:t>
      </w:r>
      <w:r>
        <w:rPr>
          <w:i/>
          <w:sz w:val="20"/>
        </w:rPr>
        <w:tab/>
      </w:r>
      <w:r>
        <w:rPr>
          <w:sz w:val="20"/>
        </w:rPr>
        <w:t>Australia's</w:t>
      </w:r>
      <w:r>
        <w:rPr>
          <w:spacing w:val="-7"/>
          <w:sz w:val="20"/>
        </w:rPr>
        <w:t xml:space="preserve"> </w:t>
      </w:r>
      <w:r>
        <w:rPr>
          <w:sz w:val="20"/>
        </w:rPr>
        <w:t>First</w:t>
      </w:r>
      <w:r>
        <w:rPr>
          <w:spacing w:val="-2"/>
          <w:sz w:val="20"/>
        </w:rPr>
        <w:t xml:space="preserve"> </w:t>
      </w:r>
      <w:r>
        <w:rPr>
          <w:sz w:val="20"/>
        </w:rPr>
        <w:t>Written</w:t>
      </w:r>
      <w:r>
        <w:rPr>
          <w:spacing w:val="-2"/>
          <w:sz w:val="20"/>
        </w:rPr>
        <w:t xml:space="preserve"> Submission</w:t>
      </w:r>
    </w:p>
    <w:p w14:paraId="51DE7E0A" w14:textId="77777777" w:rsidR="0010369C" w:rsidRDefault="008E43AE">
      <w:pPr>
        <w:tabs>
          <w:tab w:val="left" w:pos="8228"/>
        </w:tabs>
        <w:spacing w:before="1"/>
        <w:ind w:left="239"/>
        <w:rPr>
          <w:sz w:val="20"/>
        </w:rPr>
      </w:pPr>
      <w:r>
        <w:rPr>
          <w:i/>
          <w:sz w:val="20"/>
        </w:rPr>
        <w:t>on</w:t>
      </w:r>
      <w:r>
        <w:rPr>
          <w:i/>
          <w:spacing w:val="-1"/>
          <w:sz w:val="20"/>
        </w:rPr>
        <w:t xml:space="preserve"> </w:t>
      </w:r>
      <w:r>
        <w:rPr>
          <w:i/>
          <w:sz w:val="20"/>
        </w:rPr>
        <w:t>Wine</w:t>
      </w:r>
      <w:r>
        <w:rPr>
          <w:i/>
          <w:spacing w:val="-1"/>
          <w:sz w:val="20"/>
        </w:rPr>
        <w:t xml:space="preserve"> </w:t>
      </w:r>
      <w:r>
        <w:rPr>
          <w:i/>
          <w:sz w:val="20"/>
        </w:rPr>
        <w:t>from</w:t>
      </w:r>
      <w:r>
        <w:rPr>
          <w:i/>
          <w:spacing w:val="-3"/>
          <w:sz w:val="20"/>
        </w:rPr>
        <w:t xml:space="preserve"> </w:t>
      </w:r>
      <w:r>
        <w:rPr>
          <w:i/>
          <w:sz w:val="20"/>
        </w:rPr>
        <w:t>Australia</w:t>
      </w:r>
      <w:r>
        <w:rPr>
          <w:i/>
          <w:spacing w:val="-1"/>
          <w:sz w:val="20"/>
        </w:rPr>
        <w:t xml:space="preserve"> </w:t>
      </w:r>
      <w:r>
        <w:rPr>
          <w:spacing w:val="-2"/>
          <w:sz w:val="20"/>
        </w:rPr>
        <w:t>(DS602)</w:t>
      </w:r>
      <w:r>
        <w:rPr>
          <w:sz w:val="20"/>
        </w:rPr>
        <w:tab/>
        <w:t>29</w:t>
      </w:r>
      <w:r>
        <w:rPr>
          <w:spacing w:val="-1"/>
          <w:sz w:val="20"/>
        </w:rPr>
        <w:t xml:space="preserve"> </w:t>
      </w:r>
      <w:r>
        <w:rPr>
          <w:sz w:val="20"/>
        </w:rPr>
        <w:t>April</w:t>
      </w:r>
      <w:r>
        <w:rPr>
          <w:spacing w:val="-2"/>
          <w:sz w:val="20"/>
        </w:rPr>
        <w:t xml:space="preserve"> </w:t>
      </w:r>
      <w:r>
        <w:rPr>
          <w:spacing w:val="-4"/>
          <w:sz w:val="20"/>
        </w:rPr>
        <w:t>2022</w:t>
      </w:r>
    </w:p>
    <w:p w14:paraId="51DE7E0B" w14:textId="77777777" w:rsidR="0010369C" w:rsidRDefault="008E43AE">
      <w:pPr>
        <w:pStyle w:val="ListParagraph"/>
        <w:numPr>
          <w:ilvl w:val="1"/>
          <w:numId w:val="75"/>
        </w:numPr>
        <w:tabs>
          <w:tab w:val="left" w:pos="1939"/>
          <w:tab w:val="left" w:pos="1940"/>
        </w:tabs>
        <w:spacing w:before="35"/>
        <w:ind w:left="1939"/>
        <w:jc w:val="left"/>
        <w:rPr>
          <w:b/>
          <w:sz w:val="28"/>
        </w:rPr>
      </w:pPr>
      <w:r>
        <w:rPr>
          <w:b/>
          <w:sz w:val="28"/>
        </w:rPr>
        <w:t>T</w:t>
      </w:r>
      <w:r>
        <w:rPr>
          <w:b/>
        </w:rPr>
        <w:t>HE</w:t>
      </w:r>
      <w:r>
        <w:rPr>
          <w:b/>
          <w:spacing w:val="-9"/>
        </w:rPr>
        <w:t xml:space="preserve"> </w:t>
      </w:r>
      <w:r>
        <w:rPr>
          <w:b/>
        </w:rPr>
        <w:t>SAMPLED</w:t>
      </w:r>
      <w:r>
        <w:rPr>
          <w:b/>
          <w:spacing w:val="-9"/>
        </w:rPr>
        <w:t xml:space="preserve"> </w:t>
      </w:r>
      <w:r>
        <w:rPr>
          <w:b/>
        </w:rPr>
        <w:t>COMPANIES</w:t>
      </w:r>
      <w:r>
        <w:rPr>
          <w:b/>
          <w:spacing w:val="-7"/>
        </w:rPr>
        <w:t xml:space="preserve"> </w:t>
      </w:r>
      <w:r>
        <w:rPr>
          <w:b/>
        </w:rPr>
        <w:t>FULLY</w:t>
      </w:r>
      <w:r>
        <w:rPr>
          <w:b/>
          <w:spacing w:val="-8"/>
        </w:rPr>
        <w:t xml:space="preserve"> </w:t>
      </w:r>
      <w:r>
        <w:rPr>
          <w:b/>
        </w:rPr>
        <w:t>COOPERATED</w:t>
      </w:r>
      <w:r>
        <w:rPr>
          <w:b/>
          <w:spacing w:val="-9"/>
        </w:rPr>
        <w:t xml:space="preserve"> </w:t>
      </w:r>
      <w:r>
        <w:rPr>
          <w:b/>
        </w:rPr>
        <w:t>IN</w:t>
      </w:r>
      <w:r>
        <w:rPr>
          <w:b/>
          <w:spacing w:val="-6"/>
        </w:rPr>
        <w:t xml:space="preserve"> </w:t>
      </w:r>
      <w:r>
        <w:rPr>
          <w:b/>
        </w:rPr>
        <w:t>THE</w:t>
      </w:r>
      <w:r>
        <w:rPr>
          <w:b/>
          <w:spacing w:val="-8"/>
        </w:rPr>
        <w:t xml:space="preserve"> </w:t>
      </w:r>
      <w:r>
        <w:rPr>
          <w:b/>
          <w:spacing w:val="-2"/>
        </w:rPr>
        <w:t>INVESTIGATION</w:t>
      </w:r>
    </w:p>
    <w:p w14:paraId="51DE7E0C" w14:textId="77777777" w:rsidR="0010369C" w:rsidRDefault="0010369C">
      <w:pPr>
        <w:pStyle w:val="BodyText"/>
        <w:spacing w:before="9"/>
        <w:rPr>
          <w:b/>
          <w:sz w:val="22"/>
        </w:rPr>
      </w:pPr>
    </w:p>
    <w:p w14:paraId="51DE7E0D" w14:textId="77777777" w:rsidR="0010369C" w:rsidRDefault="008E43AE">
      <w:pPr>
        <w:pStyle w:val="BodyText"/>
        <w:spacing w:before="52" w:line="360" w:lineRule="auto"/>
        <w:ind w:left="237" w:right="613" w:firstLine="852"/>
        <w:jc w:val="both"/>
      </w:pPr>
      <w:r>
        <w:rPr>
          <w:noProof/>
        </w:rPr>
        <w:drawing>
          <wp:anchor distT="0" distB="0" distL="0" distR="0" simplePos="0" relativeHeight="250797568" behindDoc="1" locked="0" layoutInCell="1" allowOverlap="1" wp14:anchorId="51DE9DF9" wp14:editId="51DE9DFA">
            <wp:simplePos x="0" y="0"/>
            <wp:positionH relativeFrom="page">
              <wp:posOffset>908303</wp:posOffset>
            </wp:positionH>
            <wp:positionV relativeFrom="paragraph">
              <wp:posOffset>80595</wp:posOffset>
            </wp:positionV>
            <wp:extent cx="256031" cy="103631"/>
            <wp:effectExtent l="0" t="0" r="0" b="0"/>
            <wp:wrapNone/>
            <wp:docPr id="209" name="image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113.png"/>
                    <pic:cNvPicPr/>
                  </pic:nvPicPr>
                  <pic:blipFill>
                    <a:blip r:embed="rId203" cstate="print"/>
                    <a:stretch>
                      <a:fillRect/>
                    </a:stretch>
                  </pic:blipFill>
                  <pic:spPr>
                    <a:xfrm>
                      <a:off x="0" y="0"/>
                      <a:ext cx="256031" cy="103631"/>
                    </a:xfrm>
                    <a:prstGeom prst="rect">
                      <a:avLst/>
                    </a:prstGeom>
                  </pic:spPr>
                </pic:pic>
              </a:graphicData>
            </a:graphic>
          </wp:anchor>
        </w:drawing>
      </w:r>
      <w:r>
        <w:t>Australia submits that information submitted by the sampled companies was verifiable, appropriately submitted, could be used without undue difficulties, and was supplied</w:t>
      </w:r>
      <w:r>
        <w:rPr>
          <w:spacing w:val="-4"/>
        </w:rPr>
        <w:t xml:space="preserve"> </w:t>
      </w:r>
      <w:r>
        <w:t>in</w:t>
      </w:r>
      <w:r>
        <w:rPr>
          <w:spacing w:val="-4"/>
        </w:rPr>
        <w:t xml:space="preserve"> </w:t>
      </w:r>
      <w:r>
        <w:t>a</w:t>
      </w:r>
      <w:r>
        <w:rPr>
          <w:spacing w:val="-4"/>
        </w:rPr>
        <w:t xml:space="preserve"> </w:t>
      </w:r>
      <w:r>
        <w:t>timely</w:t>
      </w:r>
      <w:r>
        <w:rPr>
          <w:spacing w:val="-3"/>
        </w:rPr>
        <w:t xml:space="preserve"> </w:t>
      </w:r>
      <w:r>
        <w:t>fashion.</w:t>
      </w:r>
      <w:r>
        <w:rPr>
          <w:spacing w:val="-3"/>
        </w:rPr>
        <w:t xml:space="preserve"> </w:t>
      </w:r>
      <w:r>
        <w:t>Regardless</w:t>
      </w:r>
      <w:r>
        <w:rPr>
          <w:spacing w:val="-4"/>
        </w:rPr>
        <w:t xml:space="preserve"> </w:t>
      </w:r>
      <w:r>
        <w:t>of</w:t>
      </w:r>
      <w:r>
        <w:rPr>
          <w:spacing w:val="-4"/>
        </w:rPr>
        <w:t xml:space="preserve"> </w:t>
      </w:r>
      <w:r>
        <w:t>whether</w:t>
      </w:r>
      <w:r>
        <w:rPr>
          <w:spacing w:val="-4"/>
        </w:rPr>
        <w:t xml:space="preserve"> </w:t>
      </w:r>
      <w:r>
        <w:t>the</w:t>
      </w:r>
      <w:r>
        <w:rPr>
          <w:spacing w:val="-3"/>
        </w:rPr>
        <w:t xml:space="preserve"> </w:t>
      </w:r>
      <w:r>
        <w:t>information</w:t>
      </w:r>
      <w:r>
        <w:rPr>
          <w:spacing w:val="-3"/>
        </w:rPr>
        <w:t xml:space="preserve"> </w:t>
      </w:r>
      <w:r>
        <w:t>submitted</w:t>
      </w:r>
      <w:r>
        <w:rPr>
          <w:spacing w:val="-3"/>
        </w:rPr>
        <w:t xml:space="preserve"> </w:t>
      </w:r>
      <w:r>
        <w:t>was</w:t>
      </w:r>
      <w:r>
        <w:rPr>
          <w:spacing w:val="-4"/>
        </w:rPr>
        <w:t xml:space="preserve"> </w:t>
      </w:r>
      <w:r>
        <w:t>ideal</w:t>
      </w:r>
      <w:r>
        <w:rPr>
          <w:spacing w:val="-3"/>
        </w:rPr>
        <w:t xml:space="preserve"> </w:t>
      </w:r>
      <w:r>
        <w:t>in</w:t>
      </w:r>
      <w:r>
        <w:rPr>
          <w:spacing w:val="-4"/>
        </w:rPr>
        <w:t xml:space="preserve"> </w:t>
      </w:r>
      <w:r>
        <w:t xml:space="preserve">all </w:t>
      </w:r>
      <w:r>
        <w:t>respects</w:t>
      </w:r>
      <w:r>
        <w:rPr>
          <w:spacing w:val="-8"/>
        </w:rPr>
        <w:t xml:space="preserve"> </w:t>
      </w:r>
      <w:r>
        <w:t>from</w:t>
      </w:r>
      <w:r>
        <w:rPr>
          <w:spacing w:val="-7"/>
        </w:rPr>
        <w:t xml:space="preserve"> </w:t>
      </w:r>
      <w:r>
        <w:t>MOFCOM's</w:t>
      </w:r>
      <w:r>
        <w:rPr>
          <w:spacing w:val="-8"/>
        </w:rPr>
        <w:t xml:space="preserve"> </w:t>
      </w:r>
      <w:r>
        <w:t>perspective,</w:t>
      </w:r>
      <w:r>
        <w:rPr>
          <w:spacing w:val="-7"/>
        </w:rPr>
        <w:t xml:space="preserve"> </w:t>
      </w:r>
      <w:r>
        <w:t>it</w:t>
      </w:r>
      <w:r>
        <w:rPr>
          <w:spacing w:val="-7"/>
        </w:rPr>
        <w:t xml:space="preserve"> </w:t>
      </w:r>
      <w:r>
        <w:t>reflected</w:t>
      </w:r>
      <w:r>
        <w:rPr>
          <w:spacing w:val="-8"/>
        </w:rPr>
        <w:t xml:space="preserve"> </w:t>
      </w:r>
      <w:r>
        <w:t>the</w:t>
      </w:r>
      <w:r>
        <w:rPr>
          <w:spacing w:val="-7"/>
        </w:rPr>
        <w:t xml:space="preserve"> </w:t>
      </w:r>
      <w:r>
        <w:t>best</w:t>
      </w:r>
      <w:r>
        <w:rPr>
          <w:spacing w:val="-7"/>
        </w:rPr>
        <w:t xml:space="preserve"> </w:t>
      </w:r>
      <w:r>
        <w:t>efforts</w:t>
      </w:r>
      <w:r>
        <w:rPr>
          <w:spacing w:val="-8"/>
        </w:rPr>
        <w:t xml:space="preserve"> </w:t>
      </w:r>
      <w:r>
        <w:t>of</w:t>
      </w:r>
      <w:r>
        <w:rPr>
          <w:spacing w:val="-8"/>
        </w:rPr>
        <w:t xml:space="preserve"> </w:t>
      </w:r>
      <w:r>
        <w:t>the</w:t>
      </w:r>
      <w:r>
        <w:rPr>
          <w:spacing w:val="-7"/>
        </w:rPr>
        <w:t xml:space="preserve"> </w:t>
      </w:r>
      <w:r>
        <w:t>sampled</w:t>
      </w:r>
      <w:r>
        <w:rPr>
          <w:spacing w:val="-8"/>
        </w:rPr>
        <w:t xml:space="preserve"> </w:t>
      </w:r>
      <w:r>
        <w:t>companies.</w:t>
      </w:r>
    </w:p>
    <w:p w14:paraId="51DE7E0E" w14:textId="77777777" w:rsidR="0010369C" w:rsidRDefault="0010369C">
      <w:pPr>
        <w:pStyle w:val="BodyText"/>
        <w:spacing w:before="10"/>
        <w:rPr>
          <w:sz w:val="8"/>
        </w:rPr>
      </w:pPr>
    </w:p>
    <w:p w14:paraId="51DE7E0F" w14:textId="77777777" w:rsidR="0010369C" w:rsidRDefault="008E43AE">
      <w:pPr>
        <w:pStyle w:val="BodyText"/>
        <w:spacing w:before="52" w:line="360" w:lineRule="auto"/>
        <w:ind w:left="237" w:right="612" w:firstLine="851"/>
        <w:jc w:val="both"/>
      </w:pPr>
      <w:r>
        <w:rPr>
          <w:noProof/>
        </w:rPr>
        <w:drawing>
          <wp:anchor distT="0" distB="0" distL="0" distR="0" simplePos="0" relativeHeight="250798592" behindDoc="1" locked="0" layoutInCell="1" allowOverlap="1" wp14:anchorId="51DE9DFB" wp14:editId="51DE9DFC">
            <wp:simplePos x="0" y="0"/>
            <wp:positionH relativeFrom="page">
              <wp:posOffset>908303</wp:posOffset>
            </wp:positionH>
            <wp:positionV relativeFrom="paragraph">
              <wp:posOffset>81949</wp:posOffset>
            </wp:positionV>
            <wp:extent cx="256031" cy="100753"/>
            <wp:effectExtent l="0" t="0" r="0" b="0"/>
            <wp:wrapNone/>
            <wp:docPr id="211" name="image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114.png"/>
                    <pic:cNvPicPr/>
                  </pic:nvPicPr>
                  <pic:blipFill>
                    <a:blip r:embed="rId204" cstate="print"/>
                    <a:stretch>
                      <a:fillRect/>
                    </a:stretch>
                  </pic:blipFill>
                  <pic:spPr>
                    <a:xfrm>
                      <a:off x="0" y="0"/>
                      <a:ext cx="256031" cy="100753"/>
                    </a:xfrm>
                    <a:prstGeom prst="rect">
                      <a:avLst/>
                    </a:prstGeom>
                  </pic:spPr>
                </pic:pic>
              </a:graphicData>
            </a:graphic>
          </wp:anchor>
        </w:drawing>
      </w:r>
      <w:r>
        <w:t>MOFCOM</w:t>
      </w:r>
      <w:r>
        <w:rPr>
          <w:spacing w:val="-1"/>
        </w:rPr>
        <w:t xml:space="preserve"> </w:t>
      </w:r>
      <w:r>
        <w:t>was</w:t>
      </w:r>
      <w:r>
        <w:rPr>
          <w:spacing w:val="-2"/>
        </w:rPr>
        <w:t xml:space="preserve"> </w:t>
      </w:r>
      <w:r>
        <w:t>entitled</w:t>
      </w:r>
      <w:r>
        <w:rPr>
          <w:spacing w:val="-3"/>
        </w:rPr>
        <w:t xml:space="preserve"> </w:t>
      </w:r>
      <w:r>
        <w:t>to</w:t>
      </w:r>
      <w:r>
        <w:rPr>
          <w:spacing w:val="-1"/>
        </w:rPr>
        <w:t xml:space="preserve"> </w:t>
      </w:r>
      <w:r>
        <w:t>expect</w:t>
      </w:r>
      <w:r>
        <w:rPr>
          <w:spacing w:val="-3"/>
        </w:rPr>
        <w:t xml:space="preserve"> </w:t>
      </w:r>
      <w:r>
        <w:t>a</w:t>
      </w:r>
      <w:r>
        <w:rPr>
          <w:spacing w:val="-2"/>
        </w:rPr>
        <w:t xml:space="preserve"> </w:t>
      </w:r>
      <w:r>
        <w:t>"very</w:t>
      </w:r>
      <w:r>
        <w:rPr>
          <w:spacing w:val="-2"/>
        </w:rPr>
        <w:t xml:space="preserve"> </w:t>
      </w:r>
      <w:r>
        <w:t>significant</w:t>
      </w:r>
      <w:r>
        <w:rPr>
          <w:spacing w:val="-1"/>
        </w:rPr>
        <w:t xml:space="preserve"> </w:t>
      </w:r>
      <w:r>
        <w:t>degree</w:t>
      </w:r>
      <w:r>
        <w:rPr>
          <w:spacing w:val="-1"/>
        </w:rPr>
        <w:t xml:space="preserve"> </w:t>
      </w:r>
      <w:r>
        <w:t>of</w:t>
      </w:r>
      <w:r>
        <w:rPr>
          <w:spacing w:val="-2"/>
        </w:rPr>
        <w:t xml:space="preserve"> </w:t>
      </w:r>
      <w:r>
        <w:t>effort</w:t>
      </w:r>
      <w:r>
        <w:rPr>
          <w:spacing w:val="-2"/>
        </w:rPr>
        <w:t xml:space="preserve"> </w:t>
      </w:r>
      <w:r>
        <w:t>–</w:t>
      </w:r>
      <w:r>
        <w:rPr>
          <w:spacing w:val="-1"/>
        </w:rPr>
        <w:t xml:space="preserve"> </w:t>
      </w:r>
      <w:r>
        <w:t>to</w:t>
      </w:r>
      <w:r>
        <w:rPr>
          <w:spacing w:val="-1"/>
        </w:rPr>
        <w:t xml:space="preserve"> </w:t>
      </w:r>
      <w:r>
        <w:t>the</w:t>
      </w:r>
      <w:r>
        <w:rPr>
          <w:spacing w:val="-1"/>
        </w:rPr>
        <w:t xml:space="preserve"> </w:t>
      </w:r>
      <w:r>
        <w:t>"best</w:t>
      </w:r>
      <w:r>
        <w:rPr>
          <w:spacing w:val="-1"/>
        </w:rPr>
        <w:t xml:space="preserve"> </w:t>
      </w:r>
      <w:r>
        <w:t>of their abilities" – from investigated exporters," and equally, the sampled companies were entitled to expect that MOFCOM would not impose "</w:t>
      </w:r>
      <w:r>
        <w:rPr>
          <w:i/>
        </w:rPr>
        <w:t xml:space="preserve">unreasonable </w:t>
      </w:r>
      <w:r>
        <w:t>burdens".</w:t>
      </w:r>
      <w:r>
        <w:rPr>
          <w:vertAlign w:val="superscript"/>
        </w:rPr>
        <w:t>113</w:t>
      </w:r>
      <w:r>
        <w:t xml:space="preserve"> The nature and quality of the effort from the sampled companies must be assessed in light</w:t>
      </w:r>
      <w:r>
        <w:t xml:space="preserve"> of the burdensome</w:t>
      </w:r>
      <w:r>
        <w:rPr>
          <w:spacing w:val="-2"/>
        </w:rPr>
        <w:t xml:space="preserve"> </w:t>
      </w:r>
      <w:r>
        <w:t>requests</w:t>
      </w:r>
      <w:r>
        <w:rPr>
          <w:spacing w:val="-4"/>
        </w:rPr>
        <w:t xml:space="preserve"> </w:t>
      </w:r>
      <w:r>
        <w:t>made</w:t>
      </w:r>
      <w:r>
        <w:rPr>
          <w:spacing w:val="-3"/>
        </w:rPr>
        <w:t xml:space="preserve"> </w:t>
      </w:r>
      <w:r>
        <w:t>by</w:t>
      </w:r>
      <w:r>
        <w:rPr>
          <w:spacing w:val="-3"/>
        </w:rPr>
        <w:t xml:space="preserve"> </w:t>
      </w:r>
      <w:r>
        <w:t>MOFCOM,</w:t>
      </w:r>
      <w:r>
        <w:rPr>
          <w:spacing w:val="-3"/>
        </w:rPr>
        <w:t xml:space="preserve"> </w:t>
      </w:r>
      <w:r>
        <w:t>the</w:t>
      </w:r>
      <w:r>
        <w:rPr>
          <w:spacing w:val="-3"/>
        </w:rPr>
        <w:t xml:space="preserve"> </w:t>
      </w:r>
      <w:r>
        <w:t>information</w:t>
      </w:r>
      <w:r>
        <w:rPr>
          <w:spacing w:val="-4"/>
        </w:rPr>
        <w:t xml:space="preserve"> </w:t>
      </w:r>
      <w:r>
        <w:t>that</w:t>
      </w:r>
      <w:r>
        <w:rPr>
          <w:spacing w:val="-4"/>
        </w:rPr>
        <w:t xml:space="preserve"> </w:t>
      </w:r>
      <w:r>
        <w:t>was</w:t>
      </w:r>
      <w:r>
        <w:rPr>
          <w:spacing w:val="-4"/>
        </w:rPr>
        <w:t xml:space="preserve"> </w:t>
      </w:r>
      <w:r>
        <w:t>provided</w:t>
      </w:r>
      <w:r>
        <w:rPr>
          <w:spacing w:val="-3"/>
        </w:rPr>
        <w:t xml:space="preserve"> </w:t>
      </w:r>
      <w:r>
        <w:t>by</w:t>
      </w:r>
      <w:r>
        <w:rPr>
          <w:spacing w:val="-3"/>
        </w:rPr>
        <w:t xml:space="preserve"> </w:t>
      </w:r>
      <w:r>
        <w:t>the</w:t>
      </w:r>
      <w:r>
        <w:rPr>
          <w:spacing w:val="-3"/>
        </w:rPr>
        <w:t xml:space="preserve"> </w:t>
      </w:r>
      <w:r>
        <w:t xml:space="preserve">sampled companies within the specified deadlines, and the supplementary information and explanations subsequently provided where MOFCOM raised concerns about the original </w:t>
      </w:r>
      <w:r>
        <w:rPr>
          <w:spacing w:val="-2"/>
        </w:rPr>
        <w:t>submissions.</w:t>
      </w:r>
    </w:p>
    <w:p w14:paraId="51DE7E10" w14:textId="77777777" w:rsidR="0010369C" w:rsidRDefault="0010369C">
      <w:pPr>
        <w:pStyle w:val="BodyText"/>
        <w:spacing w:before="11"/>
        <w:rPr>
          <w:sz w:val="8"/>
        </w:rPr>
      </w:pPr>
    </w:p>
    <w:p w14:paraId="51DE7E11" w14:textId="77777777" w:rsidR="0010369C" w:rsidRDefault="008E43AE">
      <w:pPr>
        <w:pStyle w:val="BodyText"/>
        <w:spacing w:before="51" w:line="360" w:lineRule="auto"/>
        <w:ind w:left="238" w:right="613" w:firstLine="850"/>
        <w:jc w:val="both"/>
      </w:pPr>
      <w:r>
        <w:rPr>
          <w:noProof/>
        </w:rPr>
        <w:drawing>
          <wp:anchor distT="0" distB="0" distL="0" distR="0" simplePos="0" relativeHeight="250799616" behindDoc="1" locked="0" layoutInCell="1" allowOverlap="1" wp14:anchorId="51DE9DFD" wp14:editId="51DE9DFE">
            <wp:simplePos x="0" y="0"/>
            <wp:positionH relativeFrom="page">
              <wp:posOffset>908303</wp:posOffset>
            </wp:positionH>
            <wp:positionV relativeFrom="paragraph">
              <wp:posOffset>76150</wp:posOffset>
            </wp:positionV>
            <wp:extent cx="256031" cy="106679"/>
            <wp:effectExtent l="0" t="0" r="0" b="0"/>
            <wp:wrapNone/>
            <wp:docPr id="213" name="image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image115.png"/>
                    <pic:cNvPicPr/>
                  </pic:nvPicPr>
                  <pic:blipFill>
                    <a:blip r:embed="rId205" cstate="print"/>
                    <a:stretch>
                      <a:fillRect/>
                    </a:stretch>
                  </pic:blipFill>
                  <pic:spPr>
                    <a:xfrm>
                      <a:off x="0" y="0"/>
                      <a:ext cx="256031" cy="106679"/>
                    </a:xfrm>
                    <a:prstGeom prst="rect">
                      <a:avLst/>
                    </a:prstGeom>
                  </pic:spPr>
                </pic:pic>
              </a:graphicData>
            </a:graphic>
          </wp:anchor>
        </w:drawing>
      </w:r>
      <w:r>
        <w:t xml:space="preserve">Australia submits that the following points of context should inform the Panel's assessment of MOFCOM's assessment of the adequacy of the responses from the sampled </w:t>
      </w:r>
      <w:r>
        <w:rPr>
          <w:spacing w:val="-2"/>
        </w:rPr>
        <w:t>companies:</w:t>
      </w:r>
    </w:p>
    <w:p w14:paraId="51DE7E12" w14:textId="77777777" w:rsidR="0010369C" w:rsidRDefault="008E43AE">
      <w:pPr>
        <w:pStyle w:val="ListParagraph"/>
        <w:numPr>
          <w:ilvl w:val="1"/>
          <w:numId w:val="70"/>
        </w:numPr>
        <w:tabs>
          <w:tab w:val="left" w:pos="1940"/>
          <w:tab w:val="left" w:pos="1941"/>
        </w:tabs>
        <w:spacing w:before="161" w:line="357" w:lineRule="auto"/>
        <w:ind w:right="611"/>
        <w:rPr>
          <w:sz w:val="24"/>
        </w:rPr>
      </w:pPr>
      <w:r>
        <w:rPr>
          <w:sz w:val="24"/>
        </w:rPr>
        <w:t>The Anti‐Dumping Questionnaire issued by MOFCOM was extensive, comprising</w:t>
      </w:r>
      <w:r>
        <w:rPr>
          <w:spacing w:val="-3"/>
          <w:sz w:val="24"/>
        </w:rPr>
        <w:t xml:space="preserve"> </w:t>
      </w:r>
      <w:r>
        <w:rPr>
          <w:sz w:val="24"/>
        </w:rPr>
        <w:t>more</w:t>
      </w:r>
      <w:r>
        <w:rPr>
          <w:spacing w:val="-2"/>
          <w:sz w:val="24"/>
        </w:rPr>
        <w:t xml:space="preserve"> </w:t>
      </w:r>
      <w:r>
        <w:rPr>
          <w:sz w:val="24"/>
        </w:rPr>
        <w:t>t</w:t>
      </w:r>
      <w:r>
        <w:rPr>
          <w:sz w:val="24"/>
        </w:rPr>
        <w:t>han</w:t>
      </w:r>
      <w:r>
        <w:rPr>
          <w:spacing w:val="-4"/>
          <w:sz w:val="24"/>
        </w:rPr>
        <w:t xml:space="preserve"> </w:t>
      </w:r>
      <w:r>
        <w:rPr>
          <w:sz w:val="24"/>
        </w:rPr>
        <w:t>300</w:t>
      </w:r>
      <w:r>
        <w:rPr>
          <w:spacing w:val="-4"/>
          <w:sz w:val="24"/>
        </w:rPr>
        <w:t xml:space="preserve"> </w:t>
      </w:r>
      <w:r>
        <w:rPr>
          <w:sz w:val="24"/>
        </w:rPr>
        <w:t>questions</w:t>
      </w:r>
      <w:r>
        <w:rPr>
          <w:spacing w:val="-3"/>
          <w:sz w:val="24"/>
        </w:rPr>
        <w:t xml:space="preserve"> </w:t>
      </w:r>
      <w:r>
        <w:rPr>
          <w:sz w:val="24"/>
        </w:rPr>
        <w:t>and</w:t>
      </w:r>
      <w:r>
        <w:rPr>
          <w:spacing w:val="-4"/>
          <w:sz w:val="24"/>
        </w:rPr>
        <w:t xml:space="preserve"> </w:t>
      </w:r>
      <w:r>
        <w:rPr>
          <w:sz w:val="24"/>
        </w:rPr>
        <w:t>sub‐questions</w:t>
      </w:r>
      <w:r>
        <w:rPr>
          <w:spacing w:val="-4"/>
          <w:sz w:val="24"/>
        </w:rPr>
        <w:t xml:space="preserve"> </w:t>
      </w:r>
      <w:r>
        <w:rPr>
          <w:sz w:val="24"/>
        </w:rPr>
        <w:t>requesting</w:t>
      </w:r>
      <w:r>
        <w:rPr>
          <w:spacing w:val="-4"/>
          <w:sz w:val="24"/>
        </w:rPr>
        <w:t xml:space="preserve"> </w:t>
      </w:r>
      <w:r>
        <w:rPr>
          <w:sz w:val="24"/>
        </w:rPr>
        <w:t>detailed data and information, to be answered within 37 days.</w:t>
      </w:r>
      <w:r>
        <w:rPr>
          <w:sz w:val="24"/>
          <w:vertAlign w:val="superscript"/>
        </w:rPr>
        <w:t>114</w:t>
      </w:r>
    </w:p>
    <w:p w14:paraId="51DE7E13" w14:textId="77777777" w:rsidR="0010369C" w:rsidRDefault="008E43AE">
      <w:pPr>
        <w:pStyle w:val="ListParagraph"/>
        <w:numPr>
          <w:ilvl w:val="1"/>
          <w:numId w:val="70"/>
        </w:numPr>
        <w:tabs>
          <w:tab w:val="left" w:pos="1939"/>
          <w:tab w:val="left" w:pos="1941"/>
        </w:tabs>
        <w:spacing w:before="129" w:line="357" w:lineRule="auto"/>
        <w:ind w:right="613"/>
        <w:rPr>
          <w:sz w:val="24"/>
        </w:rPr>
      </w:pPr>
      <w:r>
        <w:rPr>
          <w:sz w:val="24"/>
        </w:rPr>
        <w:t>The sampled companies provided detailed responses to the Anti‐Dumping Questionnaire</w:t>
      </w:r>
      <w:r>
        <w:rPr>
          <w:spacing w:val="-11"/>
          <w:sz w:val="24"/>
        </w:rPr>
        <w:t xml:space="preserve"> </w:t>
      </w:r>
      <w:r>
        <w:rPr>
          <w:sz w:val="24"/>
        </w:rPr>
        <w:t>and</w:t>
      </w:r>
      <w:r>
        <w:rPr>
          <w:spacing w:val="-11"/>
          <w:sz w:val="24"/>
        </w:rPr>
        <w:t xml:space="preserve"> </w:t>
      </w:r>
      <w:r>
        <w:rPr>
          <w:sz w:val="24"/>
        </w:rPr>
        <w:t>the</w:t>
      </w:r>
      <w:r>
        <w:rPr>
          <w:spacing w:val="-10"/>
          <w:sz w:val="24"/>
        </w:rPr>
        <w:t xml:space="preserve"> </w:t>
      </w:r>
      <w:r>
        <w:rPr>
          <w:sz w:val="24"/>
        </w:rPr>
        <w:t>Supplementary</w:t>
      </w:r>
      <w:r>
        <w:rPr>
          <w:spacing w:val="-9"/>
          <w:sz w:val="24"/>
        </w:rPr>
        <w:t xml:space="preserve"> </w:t>
      </w:r>
      <w:r>
        <w:rPr>
          <w:sz w:val="24"/>
        </w:rPr>
        <w:t>Questionnaire</w:t>
      </w:r>
      <w:r>
        <w:rPr>
          <w:spacing w:val="-10"/>
          <w:sz w:val="24"/>
        </w:rPr>
        <w:t xml:space="preserve"> </w:t>
      </w:r>
      <w:r>
        <w:rPr>
          <w:sz w:val="24"/>
        </w:rPr>
        <w:t>(including</w:t>
      </w:r>
      <w:r>
        <w:rPr>
          <w:spacing w:val="-10"/>
          <w:sz w:val="24"/>
        </w:rPr>
        <w:t xml:space="preserve"> </w:t>
      </w:r>
      <w:r>
        <w:rPr>
          <w:sz w:val="24"/>
        </w:rPr>
        <w:t>a</w:t>
      </w:r>
      <w:r>
        <w:rPr>
          <w:spacing w:val="-10"/>
          <w:sz w:val="24"/>
        </w:rPr>
        <w:t xml:space="preserve"> </w:t>
      </w:r>
      <w:r>
        <w:rPr>
          <w:sz w:val="24"/>
        </w:rPr>
        <w:t>significant</w:t>
      </w:r>
      <w:r>
        <w:rPr>
          <w:sz w:val="24"/>
        </w:rPr>
        <w:t xml:space="preserve"> volume of granular transaction level data) and expressly indicated their willingness to engage further with MOFCOM if required.</w:t>
      </w:r>
    </w:p>
    <w:p w14:paraId="51DE7E14" w14:textId="77777777" w:rsidR="0010369C" w:rsidRDefault="0010369C">
      <w:pPr>
        <w:pStyle w:val="BodyText"/>
        <w:rPr>
          <w:sz w:val="20"/>
        </w:rPr>
      </w:pPr>
    </w:p>
    <w:p w14:paraId="51DE7E15" w14:textId="77777777" w:rsidR="0010369C" w:rsidRDefault="0010369C">
      <w:pPr>
        <w:pStyle w:val="BodyText"/>
        <w:rPr>
          <w:sz w:val="20"/>
        </w:rPr>
      </w:pPr>
    </w:p>
    <w:p w14:paraId="51DE7E16" w14:textId="77777777" w:rsidR="0010369C" w:rsidRDefault="0010369C">
      <w:pPr>
        <w:pStyle w:val="BodyText"/>
        <w:rPr>
          <w:sz w:val="20"/>
        </w:rPr>
      </w:pPr>
    </w:p>
    <w:p w14:paraId="51DE7E17" w14:textId="77777777" w:rsidR="0010369C" w:rsidRDefault="008E43AE">
      <w:pPr>
        <w:pStyle w:val="BodyText"/>
        <w:spacing w:before="5"/>
        <w:rPr>
          <w:sz w:val="15"/>
        </w:rPr>
      </w:pPr>
      <w:r>
        <w:pict w14:anchorId="51DE9DFF">
          <v:rect id="docshape105" o:spid="_x0000_s3163" style="position:absolute;margin-left:70.9pt;margin-top:10.6pt;width:2in;height:.8pt;z-index:-251235840;mso-wrap-distance-left:0;mso-wrap-distance-right:0;mso-position-horizontal-relative:page" fillcolor="black" stroked="f">
            <w10:wrap type="topAndBottom" anchorx="page"/>
          </v:rect>
        </w:pict>
      </w:r>
    </w:p>
    <w:p w14:paraId="51DE7E18" w14:textId="77777777" w:rsidR="0010369C" w:rsidRDefault="008E43AE">
      <w:pPr>
        <w:spacing w:before="109"/>
        <w:ind w:left="237" w:right="611" w:firstLine="1"/>
        <w:jc w:val="both"/>
        <w:rPr>
          <w:sz w:val="18"/>
        </w:rPr>
      </w:pPr>
      <w:r>
        <w:rPr>
          <w:sz w:val="18"/>
          <w:vertAlign w:val="superscript"/>
        </w:rPr>
        <w:t>113</w:t>
      </w:r>
      <w:r>
        <w:rPr>
          <w:sz w:val="18"/>
        </w:rPr>
        <w:t xml:space="preserve"> Appellate Body Report, </w:t>
      </w:r>
      <w:r>
        <w:rPr>
          <w:i/>
          <w:sz w:val="18"/>
        </w:rPr>
        <w:t>US – Hot Rolled Steel</w:t>
      </w:r>
      <w:r>
        <w:rPr>
          <w:sz w:val="18"/>
        </w:rPr>
        <w:t>, para. 102 (emphasis original). In addition, the sampled companies were e</w:t>
      </w:r>
      <w:r>
        <w:rPr>
          <w:sz w:val="18"/>
        </w:rPr>
        <w:t>ntitled</w:t>
      </w:r>
      <w:r>
        <w:rPr>
          <w:spacing w:val="-9"/>
          <w:sz w:val="18"/>
        </w:rPr>
        <w:t xml:space="preserve"> </w:t>
      </w:r>
      <w:r>
        <w:rPr>
          <w:sz w:val="18"/>
        </w:rPr>
        <w:t>to</w:t>
      </w:r>
      <w:r>
        <w:rPr>
          <w:spacing w:val="-9"/>
          <w:sz w:val="18"/>
        </w:rPr>
        <w:t xml:space="preserve"> </w:t>
      </w:r>
      <w:r>
        <w:rPr>
          <w:sz w:val="18"/>
        </w:rPr>
        <w:t>expect</w:t>
      </w:r>
      <w:r>
        <w:rPr>
          <w:spacing w:val="-9"/>
          <w:sz w:val="18"/>
        </w:rPr>
        <w:t xml:space="preserve"> </w:t>
      </w:r>
      <w:r>
        <w:rPr>
          <w:sz w:val="18"/>
        </w:rPr>
        <w:t>that</w:t>
      </w:r>
      <w:r>
        <w:rPr>
          <w:spacing w:val="-9"/>
          <w:sz w:val="18"/>
        </w:rPr>
        <w:t xml:space="preserve"> </w:t>
      </w:r>
      <w:r>
        <w:rPr>
          <w:sz w:val="18"/>
        </w:rPr>
        <w:t>MOFCOM</w:t>
      </w:r>
      <w:r>
        <w:rPr>
          <w:spacing w:val="-7"/>
          <w:sz w:val="18"/>
        </w:rPr>
        <w:t xml:space="preserve"> </w:t>
      </w:r>
      <w:r>
        <w:rPr>
          <w:sz w:val="18"/>
        </w:rPr>
        <w:t>would</w:t>
      </w:r>
      <w:r>
        <w:rPr>
          <w:spacing w:val="-8"/>
          <w:sz w:val="18"/>
        </w:rPr>
        <w:t xml:space="preserve"> </w:t>
      </w:r>
      <w:r>
        <w:rPr>
          <w:sz w:val="18"/>
        </w:rPr>
        <w:t>"conduct</w:t>
      </w:r>
      <w:r>
        <w:rPr>
          <w:spacing w:val="-8"/>
          <w:sz w:val="18"/>
        </w:rPr>
        <w:t xml:space="preserve"> </w:t>
      </w:r>
      <w:r>
        <w:rPr>
          <w:sz w:val="18"/>
        </w:rPr>
        <w:t>a</w:t>
      </w:r>
      <w:r>
        <w:rPr>
          <w:spacing w:val="-8"/>
          <w:sz w:val="18"/>
        </w:rPr>
        <w:t xml:space="preserve"> </w:t>
      </w:r>
      <w:r>
        <w:rPr>
          <w:sz w:val="18"/>
        </w:rPr>
        <w:t>sufficiently</w:t>
      </w:r>
      <w:r>
        <w:rPr>
          <w:spacing w:val="-7"/>
          <w:sz w:val="18"/>
        </w:rPr>
        <w:t xml:space="preserve"> </w:t>
      </w:r>
      <w:r>
        <w:rPr>
          <w:sz w:val="18"/>
        </w:rPr>
        <w:t>diligent</w:t>
      </w:r>
      <w:r>
        <w:rPr>
          <w:spacing w:val="-8"/>
          <w:sz w:val="18"/>
        </w:rPr>
        <w:t xml:space="preserve"> </w:t>
      </w:r>
      <w:r>
        <w:rPr>
          <w:sz w:val="18"/>
        </w:rPr>
        <w:t>"investigation"</w:t>
      </w:r>
      <w:r>
        <w:rPr>
          <w:spacing w:val="-9"/>
          <w:sz w:val="18"/>
        </w:rPr>
        <w:t xml:space="preserve"> </w:t>
      </w:r>
      <w:r>
        <w:rPr>
          <w:sz w:val="18"/>
        </w:rPr>
        <w:t>into,</w:t>
      </w:r>
      <w:r>
        <w:rPr>
          <w:spacing w:val="-9"/>
          <w:sz w:val="18"/>
        </w:rPr>
        <w:t xml:space="preserve"> </w:t>
      </w:r>
      <w:r>
        <w:rPr>
          <w:sz w:val="18"/>
        </w:rPr>
        <w:t>and</w:t>
      </w:r>
      <w:r>
        <w:rPr>
          <w:spacing w:val="-8"/>
          <w:sz w:val="18"/>
        </w:rPr>
        <w:t xml:space="preserve"> </w:t>
      </w:r>
      <w:r>
        <w:rPr>
          <w:sz w:val="18"/>
        </w:rPr>
        <w:t>solicitation</w:t>
      </w:r>
      <w:r>
        <w:rPr>
          <w:spacing w:val="-8"/>
          <w:sz w:val="18"/>
        </w:rPr>
        <w:t xml:space="preserve"> </w:t>
      </w:r>
      <w:r>
        <w:rPr>
          <w:sz w:val="18"/>
        </w:rPr>
        <w:t>of,</w:t>
      </w:r>
      <w:r>
        <w:rPr>
          <w:spacing w:val="-9"/>
          <w:sz w:val="18"/>
        </w:rPr>
        <w:t xml:space="preserve"> </w:t>
      </w:r>
      <w:r>
        <w:rPr>
          <w:sz w:val="18"/>
        </w:rPr>
        <w:t>relevant</w:t>
      </w:r>
      <w:r>
        <w:rPr>
          <w:spacing w:val="-9"/>
          <w:sz w:val="18"/>
        </w:rPr>
        <w:t xml:space="preserve"> </w:t>
      </w:r>
      <w:r>
        <w:rPr>
          <w:sz w:val="18"/>
        </w:rPr>
        <w:t xml:space="preserve">facts" Appellate Body Report, </w:t>
      </w:r>
      <w:r>
        <w:rPr>
          <w:i/>
          <w:sz w:val="18"/>
        </w:rPr>
        <w:t>US – Carbon Steel (India)</w:t>
      </w:r>
      <w:r>
        <w:rPr>
          <w:sz w:val="18"/>
        </w:rPr>
        <w:t xml:space="preserve">, para. 4.152, quoting Appellate Body Report, </w:t>
      </w:r>
      <w:r>
        <w:rPr>
          <w:i/>
          <w:sz w:val="18"/>
        </w:rPr>
        <w:t>US – Anti‐Dumping and Countervailing</w:t>
      </w:r>
      <w:r>
        <w:rPr>
          <w:i/>
          <w:spacing w:val="-2"/>
          <w:sz w:val="18"/>
        </w:rPr>
        <w:t xml:space="preserve"> </w:t>
      </w:r>
      <w:r>
        <w:rPr>
          <w:i/>
          <w:sz w:val="18"/>
        </w:rPr>
        <w:t>Duties</w:t>
      </w:r>
      <w:r>
        <w:rPr>
          <w:i/>
          <w:spacing w:val="-4"/>
          <w:sz w:val="18"/>
        </w:rPr>
        <w:t xml:space="preserve"> </w:t>
      </w:r>
      <w:r>
        <w:rPr>
          <w:i/>
          <w:sz w:val="18"/>
        </w:rPr>
        <w:t>(China)</w:t>
      </w:r>
      <w:r>
        <w:rPr>
          <w:sz w:val="18"/>
        </w:rPr>
        <w:t>,</w:t>
      </w:r>
      <w:r>
        <w:rPr>
          <w:spacing w:val="-4"/>
          <w:sz w:val="18"/>
        </w:rPr>
        <w:t xml:space="preserve"> </w:t>
      </w:r>
      <w:r>
        <w:rPr>
          <w:sz w:val="18"/>
        </w:rPr>
        <w:t>para.</w:t>
      </w:r>
      <w:r>
        <w:rPr>
          <w:spacing w:val="-4"/>
          <w:sz w:val="18"/>
        </w:rPr>
        <w:t xml:space="preserve"> </w:t>
      </w:r>
      <w:r>
        <w:rPr>
          <w:sz w:val="18"/>
        </w:rPr>
        <w:t>602),</w:t>
      </w:r>
      <w:r>
        <w:rPr>
          <w:spacing w:val="-4"/>
          <w:sz w:val="18"/>
        </w:rPr>
        <w:t xml:space="preserve"> </w:t>
      </w:r>
      <w:r>
        <w:rPr>
          <w:sz w:val="18"/>
        </w:rPr>
        <w:t>including</w:t>
      </w:r>
      <w:r>
        <w:rPr>
          <w:spacing w:val="-3"/>
          <w:sz w:val="18"/>
        </w:rPr>
        <w:t xml:space="preserve"> </w:t>
      </w:r>
      <w:r>
        <w:rPr>
          <w:sz w:val="18"/>
        </w:rPr>
        <w:t>by</w:t>
      </w:r>
      <w:r>
        <w:rPr>
          <w:spacing w:val="-4"/>
          <w:sz w:val="18"/>
        </w:rPr>
        <w:t xml:space="preserve"> </w:t>
      </w:r>
      <w:r>
        <w:rPr>
          <w:sz w:val="18"/>
        </w:rPr>
        <w:t>"actively</w:t>
      </w:r>
      <w:r>
        <w:rPr>
          <w:spacing w:val="-4"/>
          <w:sz w:val="18"/>
        </w:rPr>
        <w:t xml:space="preserve"> </w:t>
      </w:r>
      <w:r>
        <w:rPr>
          <w:sz w:val="18"/>
        </w:rPr>
        <w:t>seek[ing]</w:t>
      </w:r>
      <w:r>
        <w:rPr>
          <w:spacing w:val="-4"/>
          <w:sz w:val="18"/>
        </w:rPr>
        <w:t xml:space="preserve"> </w:t>
      </w:r>
      <w:r>
        <w:rPr>
          <w:sz w:val="18"/>
        </w:rPr>
        <w:t>out</w:t>
      </w:r>
      <w:r>
        <w:rPr>
          <w:spacing w:val="-4"/>
          <w:sz w:val="18"/>
        </w:rPr>
        <w:t xml:space="preserve"> </w:t>
      </w:r>
      <w:r>
        <w:rPr>
          <w:sz w:val="18"/>
        </w:rPr>
        <w:t>pertinent</w:t>
      </w:r>
      <w:r>
        <w:rPr>
          <w:spacing w:val="-4"/>
          <w:sz w:val="18"/>
        </w:rPr>
        <w:t xml:space="preserve"> </w:t>
      </w:r>
      <w:r>
        <w:rPr>
          <w:sz w:val="18"/>
        </w:rPr>
        <w:t>information"</w:t>
      </w:r>
      <w:r>
        <w:rPr>
          <w:spacing w:val="-4"/>
          <w:sz w:val="18"/>
        </w:rPr>
        <w:t xml:space="preserve"> </w:t>
      </w:r>
      <w:r>
        <w:rPr>
          <w:sz w:val="18"/>
        </w:rPr>
        <w:t>(Appellate</w:t>
      </w:r>
      <w:r>
        <w:rPr>
          <w:spacing w:val="-4"/>
          <w:sz w:val="18"/>
        </w:rPr>
        <w:t xml:space="preserve"> </w:t>
      </w:r>
      <w:r>
        <w:rPr>
          <w:sz w:val="18"/>
        </w:rPr>
        <w:t>Body</w:t>
      </w:r>
      <w:r>
        <w:rPr>
          <w:spacing w:val="-4"/>
          <w:sz w:val="18"/>
        </w:rPr>
        <w:t xml:space="preserve"> </w:t>
      </w:r>
      <w:r>
        <w:rPr>
          <w:sz w:val="18"/>
        </w:rPr>
        <w:t xml:space="preserve">Report, </w:t>
      </w:r>
      <w:r>
        <w:rPr>
          <w:i/>
          <w:sz w:val="18"/>
        </w:rPr>
        <w:t>EU – PET (Pakistan)</w:t>
      </w:r>
      <w:r>
        <w:rPr>
          <w:sz w:val="18"/>
        </w:rPr>
        <w:t>, para. 5.130, quoting Appellate Body Repo</w:t>
      </w:r>
      <w:r>
        <w:rPr>
          <w:sz w:val="18"/>
        </w:rPr>
        <w:t xml:space="preserve">rt, </w:t>
      </w:r>
      <w:r>
        <w:rPr>
          <w:i/>
          <w:sz w:val="18"/>
        </w:rPr>
        <w:t>US – Washing Machines</w:t>
      </w:r>
      <w:r>
        <w:rPr>
          <w:sz w:val="18"/>
        </w:rPr>
        <w:t xml:space="preserve">, para. 5.268, in turn quoting Appellate Body Report, </w:t>
      </w:r>
      <w:r>
        <w:rPr>
          <w:i/>
          <w:sz w:val="18"/>
        </w:rPr>
        <w:t>US – Wheat Gluten</w:t>
      </w:r>
      <w:r>
        <w:rPr>
          <w:sz w:val="18"/>
        </w:rPr>
        <w:t xml:space="preserve">, paras. 53 and 55; referring to Appellate Body Reports, </w:t>
      </w:r>
      <w:r>
        <w:rPr>
          <w:i/>
          <w:sz w:val="18"/>
        </w:rPr>
        <w:t>US ‒ Corrosion‐Resistant Steel Sunset Review</w:t>
      </w:r>
      <w:r>
        <w:rPr>
          <w:sz w:val="18"/>
        </w:rPr>
        <w:t xml:space="preserve">, para. 199; </w:t>
      </w:r>
      <w:r>
        <w:rPr>
          <w:i/>
          <w:sz w:val="18"/>
        </w:rPr>
        <w:t>US – Anti‐Dumping and Countervailing Duties (C</w:t>
      </w:r>
      <w:r>
        <w:rPr>
          <w:i/>
          <w:sz w:val="18"/>
        </w:rPr>
        <w:t>hina)</w:t>
      </w:r>
      <w:r>
        <w:rPr>
          <w:sz w:val="18"/>
        </w:rPr>
        <w:t xml:space="preserve">, para. 344; and Panel Report, </w:t>
      </w:r>
      <w:r>
        <w:rPr>
          <w:i/>
          <w:sz w:val="18"/>
        </w:rPr>
        <w:t>China – Broiler Products</w:t>
      </w:r>
      <w:r>
        <w:rPr>
          <w:sz w:val="18"/>
        </w:rPr>
        <w:t>, para. 7.261.</w:t>
      </w:r>
    </w:p>
    <w:p w14:paraId="51DE7E19" w14:textId="77777777" w:rsidR="0010369C" w:rsidRDefault="008E43AE">
      <w:pPr>
        <w:ind w:left="238"/>
        <w:jc w:val="both"/>
        <w:rPr>
          <w:sz w:val="18"/>
        </w:rPr>
      </w:pPr>
      <w:r>
        <w:rPr>
          <w:sz w:val="18"/>
          <w:vertAlign w:val="superscript"/>
        </w:rPr>
        <w:t>114</w:t>
      </w:r>
      <w:r>
        <w:rPr>
          <w:spacing w:val="-11"/>
          <w:sz w:val="18"/>
        </w:rPr>
        <w:t xml:space="preserve"> </w:t>
      </w:r>
      <w:r>
        <w:rPr>
          <w:sz w:val="18"/>
        </w:rPr>
        <w:t>See</w:t>
      </w:r>
      <w:r>
        <w:rPr>
          <w:spacing w:val="-10"/>
          <w:sz w:val="18"/>
        </w:rPr>
        <w:t xml:space="preserve"> </w:t>
      </w:r>
      <w:r>
        <w:rPr>
          <w:sz w:val="18"/>
        </w:rPr>
        <w:t>Anti‐Dumping</w:t>
      </w:r>
      <w:r>
        <w:rPr>
          <w:spacing w:val="-10"/>
          <w:sz w:val="18"/>
        </w:rPr>
        <w:t xml:space="preserve"> </w:t>
      </w:r>
      <w:r>
        <w:rPr>
          <w:sz w:val="18"/>
        </w:rPr>
        <w:t>Questionnaire</w:t>
      </w:r>
      <w:r>
        <w:rPr>
          <w:spacing w:val="-10"/>
          <w:sz w:val="18"/>
        </w:rPr>
        <w:t xml:space="preserve"> </w:t>
      </w:r>
      <w:r>
        <w:rPr>
          <w:sz w:val="18"/>
        </w:rPr>
        <w:t>(Exhibit</w:t>
      </w:r>
      <w:r>
        <w:rPr>
          <w:spacing w:val="-10"/>
          <w:sz w:val="18"/>
        </w:rPr>
        <w:t xml:space="preserve"> </w:t>
      </w:r>
      <w:r>
        <w:rPr>
          <w:spacing w:val="-2"/>
          <w:sz w:val="18"/>
        </w:rPr>
        <w:t>AUS‐3).</w:t>
      </w:r>
    </w:p>
    <w:p w14:paraId="51DE7E1A" w14:textId="77777777" w:rsidR="0010369C" w:rsidRDefault="0010369C">
      <w:pPr>
        <w:jc w:val="both"/>
        <w:rPr>
          <w:sz w:val="18"/>
        </w:rPr>
        <w:sectPr w:rsidR="0010369C">
          <w:pgSz w:w="11910" w:h="16840"/>
          <w:pgMar w:top="880" w:right="800" w:bottom="980" w:left="1180" w:header="569" w:footer="788" w:gutter="0"/>
          <w:cols w:space="720"/>
        </w:sectPr>
      </w:pPr>
    </w:p>
    <w:p w14:paraId="51DE7E1B" w14:textId="77777777" w:rsidR="0010369C" w:rsidRDefault="008E43AE">
      <w:pPr>
        <w:tabs>
          <w:tab w:val="left" w:pos="6426"/>
        </w:tabs>
        <w:ind w:left="238"/>
        <w:rPr>
          <w:sz w:val="20"/>
        </w:rPr>
      </w:pPr>
      <w:r>
        <w:rPr>
          <w:i/>
          <w:sz w:val="20"/>
        </w:rPr>
        <w:lastRenderedPageBreak/>
        <w:t>China</w:t>
      </w:r>
      <w:r>
        <w:rPr>
          <w:i/>
          <w:spacing w:val="-5"/>
          <w:sz w:val="20"/>
        </w:rPr>
        <w:t xml:space="preserve"> </w:t>
      </w:r>
      <w:r>
        <w:rPr>
          <w:i/>
          <w:sz w:val="20"/>
        </w:rPr>
        <w:t>–</w:t>
      </w:r>
      <w:r>
        <w:rPr>
          <w:i/>
          <w:spacing w:val="-5"/>
          <w:sz w:val="20"/>
        </w:rPr>
        <w:t xml:space="preserve"> </w:t>
      </w:r>
      <w:r>
        <w:rPr>
          <w:i/>
          <w:sz w:val="20"/>
        </w:rPr>
        <w:t>Anti‐Dumping</w:t>
      </w:r>
      <w:r>
        <w:rPr>
          <w:i/>
          <w:spacing w:val="-4"/>
          <w:sz w:val="20"/>
        </w:rPr>
        <w:t xml:space="preserve"> </w:t>
      </w:r>
      <w:r>
        <w:rPr>
          <w:i/>
          <w:sz w:val="20"/>
        </w:rPr>
        <w:t>and</w:t>
      </w:r>
      <w:r>
        <w:rPr>
          <w:i/>
          <w:spacing w:val="-5"/>
          <w:sz w:val="20"/>
        </w:rPr>
        <w:t xml:space="preserve"> </w:t>
      </w:r>
      <w:r>
        <w:rPr>
          <w:i/>
          <w:sz w:val="20"/>
        </w:rPr>
        <w:t>Countervailing</w:t>
      </w:r>
      <w:r>
        <w:rPr>
          <w:i/>
          <w:spacing w:val="-5"/>
          <w:sz w:val="20"/>
        </w:rPr>
        <w:t xml:space="preserve"> </w:t>
      </w:r>
      <w:r>
        <w:rPr>
          <w:i/>
          <w:sz w:val="20"/>
        </w:rPr>
        <w:t>Duty</w:t>
      </w:r>
      <w:r>
        <w:rPr>
          <w:i/>
          <w:spacing w:val="-4"/>
          <w:sz w:val="20"/>
        </w:rPr>
        <w:t xml:space="preserve"> </w:t>
      </w:r>
      <w:r>
        <w:rPr>
          <w:i/>
          <w:spacing w:val="-2"/>
          <w:sz w:val="20"/>
        </w:rPr>
        <w:t>Measures</w:t>
      </w:r>
      <w:r>
        <w:rPr>
          <w:i/>
          <w:sz w:val="20"/>
        </w:rPr>
        <w:tab/>
      </w:r>
      <w:r>
        <w:rPr>
          <w:sz w:val="20"/>
        </w:rPr>
        <w:t>Australia's</w:t>
      </w:r>
      <w:r>
        <w:rPr>
          <w:spacing w:val="-7"/>
          <w:sz w:val="20"/>
        </w:rPr>
        <w:t xml:space="preserve"> </w:t>
      </w:r>
      <w:r>
        <w:rPr>
          <w:sz w:val="20"/>
        </w:rPr>
        <w:t>First</w:t>
      </w:r>
      <w:r>
        <w:rPr>
          <w:spacing w:val="-2"/>
          <w:sz w:val="20"/>
        </w:rPr>
        <w:t xml:space="preserve"> </w:t>
      </w:r>
      <w:r>
        <w:rPr>
          <w:sz w:val="20"/>
        </w:rPr>
        <w:t>Written</w:t>
      </w:r>
      <w:r>
        <w:rPr>
          <w:spacing w:val="-2"/>
          <w:sz w:val="20"/>
        </w:rPr>
        <w:t xml:space="preserve"> Submission</w:t>
      </w:r>
    </w:p>
    <w:p w14:paraId="51DE7E1C" w14:textId="77777777" w:rsidR="0010369C" w:rsidRDefault="008E43AE">
      <w:pPr>
        <w:tabs>
          <w:tab w:val="left" w:pos="8228"/>
        </w:tabs>
        <w:spacing w:before="1"/>
        <w:ind w:left="239"/>
        <w:rPr>
          <w:sz w:val="20"/>
        </w:rPr>
      </w:pPr>
      <w:r>
        <w:rPr>
          <w:i/>
          <w:sz w:val="20"/>
        </w:rPr>
        <w:t>on</w:t>
      </w:r>
      <w:r>
        <w:rPr>
          <w:i/>
          <w:spacing w:val="-1"/>
          <w:sz w:val="20"/>
        </w:rPr>
        <w:t xml:space="preserve"> </w:t>
      </w:r>
      <w:r>
        <w:rPr>
          <w:i/>
          <w:sz w:val="20"/>
        </w:rPr>
        <w:t>Wine</w:t>
      </w:r>
      <w:r>
        <w:rPr>
          <w:i/>
          <w:spacing w:val="-1"/>
          <w:sz w:val="20"/>
        </w:rPr>
        <w:t xml:space="preserve"> </w:t>
      </w:r>
      <w:r>
        <w:rPr>
          <w:i/>
          <w:sz w:val="20"/>
        </w:rPr>
        <w:t>from</w:t>
      </w:r>
      <w:r>
        <w:rPr>
          <w:i/>
          <w:spacing w:val="-3"/>
          <w:sz w:val="20"/>
        </w:rPr>
        <w:t xml:space="preserve"> </w:t>
      </w:r>
      <w:r>
        <w:rPr>
          <w:i/>
          <w:sz w:val="20"/>
        </w:rPr>
        <w:t>Australia</w:t>
      </w:r>
      <w:r>
        <w:rPr>
          <w:i/>
          <w:spacing w:val="-1"/>
          <w:sz w:val="20"/>
        </w:rPr>
        <w:t xml:space="preserve"> </w:t>
      </w:r>
      <w:r>
        <w:rPr>
          <w:spacing w:val="-2"/>
          <w:sz w:val="20"/>
        </w:rPr>
        <w:t>(DS602)</w:t>
      </w:r>
      <w:r>
        <w:rPr>
          <w:sz w:val="20"/>
        </w:rPr>
        <w:tab/>
        <w:t>29</w:t>
      </w:r>
      <w:r>
        <w:rPr>
          <w:spacing w:val="-1"/>
          <w:sz w:val="20"/>
        </w:rPr>
        <w:t xml:space="preserve"> </w:t>
      </w:r>
      <w:r>
        <w:rPr>
          <w:sz w:val="20"/>
        </w:rPr>
        <w:t>April</w:t>
      </w:r>
      <w:r>
        <w:rPr>
          <w:spacing w:val="-2"/>
          <w:sz w:val="20"/>
        </w:rPr>
        <w:t xml:space="preserve"> </w:t>
      </w:r>
      <w:r>
        <w:rPr>
          <w:spacing w:val="-4"/>
          <w:sz w:val="20"/>
        </w:rPr>
        <w:t>2022</w:t>
      </w:r>
    </w:p>
    <w:p w14:paraId="51DE7E1D" w14:textId="77777777" w:rsidR="0010369C" w:rsidRDefault="008E43AE">
      <w:pPr>
        <w:pStyle w:val="ListParagraph"/>
        <w:numPr>
          <w:ilvl w:val="1"/>
          <w:numId w:val="70"/>
        </w:numPr>
        <w:tabs>
          <w:tab w:val="left" w:pos="1940"/>
          <w:tab w:val="left" w:pos="1941"/>
        </w:tabs>
        <w:spacing w:before="35" w:line="360" w:lineRule="auto"/>
        <w:ind w:right="613"/>
        <w:rPr>
          <w:sz w:val="24"/>
        </w:rPr>
      </w:pPr>
      <w:r>
        <w:rPr>
          <w:sz w:val="24"/>
        </w:rPr>
        <w:t>The Anti‐Dumping Questionnaire responses the sampled companies provided to MOFCOM had to be translated from Chinese into English, the working language of the Australian based companies, and then the English language response</w:t>
      </w:r>
      <w:r>
        <w:rPr>
          <w:sz w:val="24"/>
        </w:rPr>
        <w:t xml:space="preserve">s translated to Chinese. This had the practical effect of substantially decreasing the time available for the sampled companies to prepare their substantive responses because of the need to allow time for </w:t>
      </w:r>
      <w:r>
        <w:rPr>
          <w:spacing w:val="-2"/>
          <w:sz w:val="24"/>
        </w:rPr>
        <w:t>translations.</w:t>
      </w:r>
    </w:p>
    <w:p w14:paraId="51DE7E1E" w14:textId="77777777" w:rsidR="0010369C" w:rsidRDefault="008E43AE">
      <w:pPr>
        <w:pStyle w:val="ListParagraph"/>
        <w:numPr>
          <w:ilvl w:val="1"/>
          <w:numId w:val="70"/>
        </w:numPr>
        <w:tabs>
          <w:tab w:val="left" w:pos="1939"/>
          <w:tab w:val="left" w:pos="1940"/>
        </w:tabs>
        <w:spacing w:before="119" w:line="355" w:lineRule="auto"/>
        <w:ind w:right="613"/>
        <w:rPr>
          <w:sz w:val="24"/>
        </w:rPr>
      </w:pPr>
      <w:r>
        <w:rPr>
          <w:sz w:val="24"/>
        </w:rPr>
        <w:t>The</w:t>
      </w:r>
      <w:r>
        <w:rPr>
          <w:spacing w:val="-7"/>
          <w:sz w:val="24"/>
        </w:rPr>
        <w:t xml:space="preserve"> </w:t>
      </w:r>
      <w:r>
        <w:rPr>
          <w:sz w:val="24"/>
        </w:rPr>
        <w:t>sampled</w:t>
      </w:r>
      <w:r>
        <w:rPr>
          <w:spacing w:val="-7"/>
          <w:sz w:val="24"/>
        </w:rPr>
        <w:t xml:space="preserve"> </w:t>
      </w:r>
      <w:r>
        <w:rPr>
          <w:sz w:val="24"/>
        </w:rPr>
        <w:t>companies</w:t>
      </w:r>
      <w:r>
        <w:rPr>
          <w:spacing w:val="-8"/>
          <w:sz w:val="24"/>
        </w:rPr>
        <w:t xml:space="preserve"> </w:t>
      </w:r>
      <w:r>
        <w:rPr>
          <w:sz w:val="24"/>
        </w:rPr>
        <w:t>sought,</w:t>
      </w:r>
      <w:r>
        <w:rPr>
          <w:spacing w:val="-7"/>
          <w:sz w:val="24"/>
        </w:rPr>
        <w:t xml:space="preserve"> </w:t>
      </w:r>
      <w:r>
        <w:rPr>
          <w:sz w:val="24"/>
        </w:rPr>
        <w:t>but</w:t>
      </w:r>
      <w:r>
        <w:rPr>
          <w:spacing w:val="-7"/>
          <w:sz w:val="24"/>
        </w:rPr>
        <w:t xml:space="preserve"> </w:t>
      </w:r>
      <w:r>
        <w:rPr>
          <w:sz w:val="24"/>
        </w:rPr>
        <w:t>were</w:t>
      </w:r>
      <w:r>
        <w:rPr>
          <w:spacing w:val="-7"/>
          <w:sz w:val="24"/>
        </w:rPr>
        <w:t xml:space="preserve"> </w:t>
      </w:r>
      <w:r>
        <w:rPr>
          <w:sz w:val="24"/>
        </w:rPr>
        <w:t>refused,</w:t>
      </w:r>
      <w:r>
        <w:rPr>
          <w:spacing w:val="-7"/>
          <w:sz w:val="24"/>
        </w:rPr>
        <w:t xml:space="preserve"> </w:t>
      </w:r>
      <w:r>
        <w:rPr>
          <w:sz w:val="24"/>
        </w:rPr>
        <w:t>short</w:t>
      </w:r>
      <w:r>
        <w:rPr>
          <w:spacing w:val="-7"/>
          <w:sz w:val="24"/>
        </w:rPr>
        <w:t xml:space="preserve"> </w:t>
      </w:r>
      <w:r>
        <w:rPr>
          <w:sz w:val="24"/>
        </w:rPr>
        <w:t>extensions</w:t>
      </w:r>
      <w:r>
        <w:rPr>
          <w:spacing w:val="-8"/>
          <w:sz w:val="24"/>
        </w:rPr>
        <w:t xml:space="preserve"> </w:t>
      </w:r>
      <w:r>
        <w:rPr>
          <w:sz w:val="24"/>
        </w:rPr>
        <w:t>of</w:t>
      </w:r>
      <w:r>
        <w:rPr>
          <w:spacing w:val="-7"/>
          <w:sz w:val="24"/>
        </w:rPr>
        <w:t xml:space="preserve"> </w:t>
      </w:r>
      <w:r>
        <w:rPr>
          <w:sz w:val="24"/>
        </w:rPr>
        <w:t>time, despite having demonstrated good cause for the extension.</w:t>
      </w:r>
    </w:p>
    <w:p w14:paraId="51DE7E1F" w14:textId="77777777" w:rsidR="0010369C" w:rsidRDefault="008E43AE">
      <w:pPr>
        <w:pStyle w:val="ListParagraph"/>
        <w:numPr>
          <w:ilvl w:val="1"/>
          <w:numId w:val="70"/>
        </w:numPr>
        <w:tabs>
          <w:tab w:val="left" w:pos="1939"/>
          <w:tab w:val="left" w:pos="1940"/>
        </w:tabs>
        <w:spacing w:before="131" w:line="357" w:lineRule="auto"/>
        <w:ind w:right="611"/>
        <w:rPr>
          <w:sz w:val="24"/>
        </w:rPr>
      </w:pPr>
      <w:r>
        <w:rPr>
          <w:sz w:val="24"/>
        </w:rPr>
        <w:t xml:space="preserve">MOFCOM insisted on the provision of certain information by the sampled companies </w:t>
      </w:r>
      <w:r>
        <w:rPr>
          <w:i/>
          <w:sz w:val="24"/>
        </w:rPr>
        <w:t xml:space="preserve">even after </w:t>
      </w:r>
      <w:r>
        <w:rPr>
          <w:sz w:val="24"/>
        </w:rPr>
        <w:t>the companies had explained that the requested information did not</w:t>
      </w:r>
      <w:r>
        <w:rPr>
          <w:sz w:val="24"/>
        </w:rPr>
        <w:t xml:space="preserve"> exist.</w:t>
      </w:r>
    </w:p>
    <w:p w14:paraId="51DE7E20" w14:textId="77777777" w:rsidR="0010369C" w:rsidRDefault="008E43AE">
      <w:pPr>
        <w:pStyle w:val="ListParagraph"/>
        <w:numPr>
          <w:ilvl w:val="1"/>
          <w:numId w:val="70"/>
        </w:numPr>
        <w:tabs>
          <w:tab w:val="left" w:pos="1940"/>
          <w:tab w:val="left" w:pos="1941"/>
        </w:tabs>
        <w:spacing w:before="128" w:line="360" w:lineRule="auto"/>
        <w:ind w:left="1938" w:right="613" w:hanging="850"/>
        <w:rPr>
          <w:sz w:val="24"/>
        </w:rPr>
      </w:pPr>
      <w:r>
        <w:rPr>
          <w:sz w:val="24"/>
        </w:rPr>
        <w:t>In many instances, the sampled companies only became aware that MOFCOM required certain data that it had not requested in the Anti‐ Dumping Questionnaire, and that MOFCOM would make adverse findings against</w:t>
      </w:r>
      <w:r>
        <w:rPr>
          <w:spacing w:val="-10"/>
          <w:sz w:val="24"/>
        </w:rPr>
        <w:t xml:space="preserve"> </w:t>
      </w:r>
      <w:r>
        <w:rPr>
          <w:sz w:val="24"/>
        </w:rPr>
        <w:t>the</w:t>
      </w:r>
      <w:r>
        <w:rPr>
          <w:spacing w:val="-9"/>
          <w:sz w:val="24"/>
        </w:rPr>
        <w:t xml:space="preserve"> </w:t>
      </w:r>
      <w:r>
        <w:rPr>
          <w:sz w:val="24"/>
        </w:rPr>
        <w:t>sampled</w:t>
      </w:r>
      <w:r>
        <w:rPr>
          <w:spacing w:val="-10"/>
          <w:sz w:val="24"/>
        </w:rPr>
        <w:t xml:space="preserve"> </w:t>
      </w:r>
      <w:r>
        <w:rPr>
          <w:sz w:val="24"/>
        </w:rPr>
        <w:t>companies</w:t>
      </w:r>
      <w:r>
        <w:rPr>
          <w:spacing w:val="-10"/>
          <w:sz w:val="24"/>
        </w:rPr>
        <w:t xml:space="preserve"> </w:t>
      </w:r>
      <w:r>
        <w:rPr>
          <w:sz w:val="24"/>
        </w:rPr>
        <w:t>because</w:t>
      </w:r>
      <w:r>
        <w:rPr>
          <w:spacing w:val="-9"/>
          <w:sz w:val="24"/>
        </w:rPr>
        <w:t xml:space="preserve"> </w:t>
      </w:r>
      <w:r>
        <w:rPr>
          <w:sz w:val="24"/>
        </w:rPr>
        <w:t>of</w:t>
      </w:r>
      <w:r>
        <w:rPr>
          <w:spacing w:val="-10"/>
          <w:sz w:val="24"/>
        </w:rPr>
        <w:t xml:space="preserve"> </w:t>
      </w:r>
      <w:r>
        <w:rPr>
          <w:sz w:val="24"/>
        </w:rPr>
        <w:t>the</w:t>
      </w:r>
      <w:r>
        <w:rPr>
          <w:spacing w:val="-9"/>
          <w:sz w:val="24"/>
        </w:rPr>
        <w:t xml:space="preserve"> </w:t>
      </w:r>
      <w:r>
        <w:rPr>
          <w:sz w:val="24"/>
        </w:rPr>
        <w:t>abse</w:t>
      </w:r>
      <w:r>
        <w:rPr>
          <w:sz w:val="24"/>
        </w:rPr>
        <w:t>nce</w:t>
      </w:r>
      <w:r>
        <w:rPr>
          <w:spacing w:val="-9"/>
          <w:sz w:val="24"/>
        </w:rPr>
        <w:t xml:space="preserve"> </w:t>
      </w:r>
      <w:r>
        <w:rPr>
          <w:sz w:val="24"/>
        </w:rPr>
        <w:t>of</w:t>
      </w:r>
      <w:r>
        <w:rPr>
          <w:spacing w:val="-10"/>
          <w:sz w:val="24"/>
        </w:rPr>
        <w:t xml:space="preserve"> </w:t>
      </w:r>
      <w:r>
        <w:rPr>
          <w:sz w:val="24"/>
        </w:rPr>
        <w:t>that</w:t>
      </w:r>
      <w:r>
        <w:rPr>
          <w:spacing w:val="-10"/>
          <w:sz w:val="24"/>
        </w:rPr>
        <w:t xml:space="preserve"> </w:t>
      </w:r>
      <w:r>
        <w:rPr>
          <w:sz w:val="24"/>
        </w:rPr>
        <w:t>unrequested data,</w:t>
      </w:r>
      <w:r>
        <w:rPr>
          <w:spacing w:val="80"/>
          <w:w w:val="150"/>
          <w:sz w:val="24"/>
        </w:rPr>
        <w:t xml:space="preserve"> </w:t>
      </w:r>
      <w:r>
        <w:rPr>
          <w:sz w:val="24"/>
        </w:rPr>
        <w:t>when</w:t>
      </w:r>
      <w:r>
        <w:rPr>
          <w:spacing w:val="80"/>
          <w:w w:val="150"/>
          <w:sz w:val="24"/>
        </w:rPr>
        <w:t xml:space="preserve"> </w:t>
      </w:r>
      <w:r>
        <w:rPr>
          <w:sz w:val="24"/>
        </w:rPr>
        <w:t>MOFCOM</w:t>
      </w:r>
      <w:r>
        <w:rPr>
          <w:spacing w:val="80"/>
          <w:w w:val="150"/>
          <w:sz w:val="24"/>
        </w:rPr>
        <w:t xml:space="preserve"> </w:t>
      </w:r>
      <w:r>
        <w:rPr>
          <w:sz w:val="24"/>
        </w:rPr>
        <w:t>published</w:t>
      </w:r>
      <w:r>
        <w:rPr>
          <w:spacing w:val="80"/>
          <w:w w:val="150"/>
          <w:sz w:val="24"/>
        </w:rPr>
        <w:t xml:space="preserve"> </w:t>
      </w:r>
      <w:r>
        <w:rPr>
          <w:sz w:val="24"/>
        </w:rPr>
        <w:t>its</w:t>
      </w:r>
      <w:r>
        <w:rPr>
          <w:spacing w:val="80"/>
          <w:w w:val="150"/>
          <w:sz w:val="24"/>
        </w:rPr>
        <w:t xml:space="preserve"> </w:t>
      </w:r>
      <w:r>
        <w:rPr>
          <w:sz w:val="24"/>
        </w:rPr>
        <w:t>Preliminary</w:t>
      </w:r>
      <w:r>
        <w:rPr>
          <w:spacing w:val="80"/>
          <w:w w:val="150"/>
          <w:sz w:val="24"/>
        </w:rPr>
        <w:t xml:space="preserve"> </w:t>
      </w:r>
      <w:r>
        <w:rPr>
          <w:sz w:val="24"/>
        </w:rPr>
        <w:t>Determination</w:t>
      </w:r>
      <w:r>
        <w:rPr>
          <w:spacing w:val="80"/>
          <w:w w:val="150"/>
          <w:sz w:val="24"/>
        </w:rPr>
        <w:t xml:space="preserve"> </w:t>
      </w:r>
      <w:r>
        <w:rPr>
          <w:sz w:val="24"/>
        </w:rPr>
        <w:t>on</w:t>
      </w:r>
      <w:r>
        <w:rPr>
          <w:spacing w:val="40"/>
          <w:sz w:val="24"/>
        </w:rPr>
        <w:t xml:space="preserve"> </w:t>
      </w:r>
      <w:r>
        <w:rPr>
          <w:sz w:val="24"/>
        </w:rPr>
        <w:t>27</w:t>
      </w:r>
      <w:r>
        <w:rPr>
          <w:spacing w:val="-3"/>
          <w:sz w:val="24"/>
        </w:rPr>
        <w:t xml:space="preserve"> </w:t>
      </w:r>
      <w:r>
        <w:rPr>
          <w:sz w:val="24"/>
        </w:rPr>
        <w:t>November</w:t>
      </w:r>
      <w:r>
        <w:rPr>
          <w:spacing w:val="-3"/>
          <w:sz w:val="24"/>
        </w:rPr>
        <w:t xml:space="preserve"> </w:t>
      </w:r>
      <w:r>
        <w:rPr>
          <w:sz w:val="24"/>
        </w:rPr>
        <w:t>2020, 11</w:t>
      </w:r>
      <w:r>
        <w:rPr>
          <w:spacing w:val="-2"/>
          <w:sz w:val="24"/>
        </w:rPr>
        <w:t xml:space="preserve"> </w:t>
      </w:r>
      <w:r>
        <w:rPr>
          <w:sz w:val="24"/>
        </w:rPr>
        <w:t xml:space="preserve">days </w:t>
      </w:r>
      <w:r>
        <w:rPr>
          <w:i/>
          <w:sz w:val="24"/>
        </w:rPr>
        <w:t xml:space="preserve">following </w:t>
      </w:r>
      <w:r>
        <w:rPr>
          <w:sz w:val="24"/>
        </w:rPr>
        <w:t>the deadline for Anti‐Dumping Questionnaire responses. The companies voluntarily submitted additional responses addressing these concer</w:t>
      </w:r>
      <w:r>
        <w:rPr>
          <w:sz w:val="24"/>
        </w:rPr>
        <w:t>ns, which MOFCOM disregarded.</w:t>
      </w:r>
    </w:p>
    <w:p w14:paraId="51DE7E21" w14:textId="77777777" w:rsidR="0010369C" w:rsidRDefault="008E43AE">
      <w:pPr>
        <w:pStyle w:val="BodyText"/>
        <w:spacing w:before="119" w:line="360" w:lineRule="auto"/>
        <w:ind w:left="236" w:right="613" w:firstLine="852"/>
        <w:jc w:val="both"/>
      </w:pPr>
      <w:r>
        <w:rPr>
          <w:noProof/>
        </w:rPr>
        <w:drawing>
          <wp:anchor distT="0" distB="0" distL="0" distR="0" simplePos="0" relativeHeight="250800640" behindDoc="1" locked="0" layoutInCell="1" allowOverlap="1" wp14:anchorId="51DE9E00" wp14:editId="51DE9E01">
            <wp:simplePos x="0" y="0"/>
            <wp:positionH relativeFrom="page">
              <wp:posOffset>908303</wp:posOffset>
            </wp:positionH>
            <wp:positionV relativeFrom="paragraph">
              <wp:posOffset>124495</wp:posOffset>
            </wp:positionV>
            <wp:extent cx="256031" cy="100753"/>
            <wp:effectExtent l="0" t="0" r="0" b="0"/>
            <wp:wrapNone/>
            <wp:docPr id="215" name="image1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116.png"/>
                    <pic:cNvPicPr/>
                  </pic:nvPicPr>
                  <pic:blipFill>
                    <a:blip r:embed="rId206" cstate="print"/>
                    <a:stretch>
                      <a:fillRect/>
                    </a:stretch>
                  </pic:blipFill>
                  <pic:spPr>
                    <a:xfrm>
                      <a:off x="0" y="0"/>
                      <a:ext cx="256031" cy="100753"/>
                    </a:xfrm>
                    <a:prstGeom prst="rect">
                      <a:avLst/>
                    </a:prstGeom>
                  </pic:spPr>
                </pic:pic>
              </a:graphicData>
            </a:graphic>
          </wp:anchor>
        </w:drawing>
      </w:r>
      <w:r>
        <w:t>MOFCOM's decision to resort</w:t>
      </w:r>
      <w:r>
        <w:rPr>
          <w:spacing w:val="-1"/>
        </w:rPr>
        <w:t xml:space="preserve"> </w:t>
      </w:r>
      <w:r>
        <w:t>to the</w:t>
      </w:r>
      <w:r>
        <w:rPr>
          <w:spacing w:val="-1"/>
        </w:rPr>
        <w:t xml:space="preserve"> </w:t>
      </w:r>
      <w:r>
        <w:t>use of facts</w:t>
      </w:r>
      <w:r>
        <w:rPr>
          <w:spacing w:val="-2"/>
        </w:rPr>
        <w:t xml:space="preserve"> </w:t>
      </w:r>
      <w:r>
        <w:t>available was</w:t>
      </w:r>
      <w:r>
        <w:rPr>
          <w:spacing w:val="-1"/>
        </w:rPr>
        <w:t xml:space="preserve"> </w:t>
      </w:r>
      <w:r>
        <w:t>based primarily on its findings of alleged deficiencies in information contained in Forms 6‐1‐2, 6‐1‐2, 6‐3 and 6‐4 submitted by each of the sampled companies. Australia submits that, for the reasons explained</w:t>
      </w:r>
      <w:r>
        <w:rPr>
          <w:spacing w:val="-8"/>
        </w:rPr>
        <w:t xml:space="preserve"> </w:t>
      </w:r>
      <w:r>
        <w:t>in</w:t>
      </w:r>
      <w:r>
        <w:rPr>
          <w:spacing w:val="-7"/>
        </w:rPr>
        <w:t xml:space="preserve"> </w:t>
      </w:r>
      <w:r>
        <w:t>detail</w:t>
      </w:r>
      <w:r>
        <w:rPr>
          <w:spacing w:val="-7"/>
        </w:rPr>
        <w:t xml:space="preserve"> </w:t>
      </w:r>
      <w:r>
        <w:t>below,</w:t>
      </w:r>
      <w:r>
        <w:rPr>
          <w:spacing w:val="-6"/>
        </w:rPr>
        <w:t xml:space="preserve"> </w:t>
      </w:r>
      <w:r>
        <w:t>these</w:t>
      </w:r>
      <w:r>
        <w:rPr>
          <w:spacing w:val="-7"/>
        </w:rPr>
        <w:t xml:space="preserve"> </w:t>
      </w:r>
      <w:r>
        <w:t>findings</w:t>
      </w:r>
      <w:r>
        <w:rPr>
          <w:spacing w:val="-8"/>
        </w:rPr>
        <w:t xml:space="preserve"> </w:t>
      </w:r>
      <w:r>
        <w:t>were</w:t>
      </w:r>
      <w:r>
        <w:rPr>
          <w:spacing w:val="-7"/>
        </w:rPr>
        <w:t xml:space="preserve"> </w:t>
      </w:r>
      <w:r>
        <w:t>inconsist</w:t>
      </w:r>
      <w:r>
        <w:t>ent</w:t>
      </w:r>
      <w:r>
        <w:rPr>
          <w:spacing w:val="-6"/>
        </w:rPr>
        <w:t xml:space="preserve"> </w:t>
      </w:r>
      <w:r>
        <w:t>with</w:t>
      </w:r>
      <w:r>
        <w:rPr>
          <w:spacing w:val="-8"/>
        </w:rPr>
        <w:t xml:space="preserve"> </w:t>
      </w:r>
      <w:r>
        <w:t>Article</w:t>
      </w:r>
      <w:r>
        <w:rPr>
          <w:spacing w:val="-7"/>
        </w:rPr>
        <w:t xml:space="preserve"> </w:t>
      </w:r>
      <w:r>
        <w:t>6.8</w:t>
      </w:r>
      <w:r>
        <w:rPr>
          <w:spacing w:val="-8"/>
        </w:rPr>
        <w:t xml:space="preserve"> </w:t>
      </w:r>
      <w:r>
        <w:t>and</w:t>
      </w:r>
      <w:r>
        <w:rPr>
          <w:spacing w:val="-8"/>
        </w:rPr>
        <w:t xml:space="preserve"> </w:t>
      </w:r>
      <w:r>
        <w:t>Annex</w:t>
      </w:r>
      <w:r>
        <w:rPr>
          <w:spacing w:val="-7"/>
        </w:rPr>
        <w:t xml:space="preserve"> </w:t>
      </w:r>
      <w:r>
        <w:t>II</w:t>
      </w:r>
      <w:r>
        <w:rPr>
          <w:spacing w:val="-7"/>
        </w:rPr>
        <w:t xml:space="preserve"> </w:t>
      </w:r>
      <w:r>
        <w:t>of</w:t>
      </w:r>
      <w:r>
        <w:rPr>
          <w:spacing w:val="-8"/>
        </w:rPr>
        <w:t xml:space="preserve"> </w:t>
      </w:r>
      <w:r>
        <w:t>the Anti‐Dumping Agreement.</w:t>
      </w:r>
    </w:p>
    <w:p w14:paraId="51DE7E22" w14:textId="77777777" w:rsidR="0010369C" w:rsidRDefault="0010369C">
      <w:pPr>
        <w:spacing w:line="360" w:lineRule="auto"/>
        <w:jc w:val="both"/>
        <w:sectPr w:rsidR="0010369C">
          <w:pgSz w:w="11910" w:h="16840"/>
          <w:pgMar w:top="880" w:right="800" w:bottom="980" w:left="1180" w:header="569" w:footer="788" w:gutter="0"/>
          <w:cols w:space="720"/>
        </w:sectPr>
      </w:pPr>
    </w:p>
    <w:p w14:paraId="51DE7E23" w14:textId="77777777" w:rsidR="0010369C" w:rsidRDefault="0010369C">
      <w:pPr>
        <w:pStyle w:val="BodyText"/>
        <w:spacing w:before="2"/>
        <w:rPr>
          <w:sz w:val="15"/>
        </w:rPr>
      </w:pPr>
    </w:p>
    <w:p w14:paraId="51DE7E24" w14:textId="77777777" w:rsidR="0010369C" w:rsidRDefault="008E43AE">
      <w:pPr>
        <w:tabs>
          <w:tab w:val="left" w:pos="8228"/>
        </w:tabs>
        <w:spacing w:before="60"/>
        <w:ind w:left="239"/>
        <w:rPr>
          <w:sz w:val="20"/>
        </w:rPr>
      </w:pPr>
      <w:r>
        <w:rPr>
          <w:i/>
          <w:sz w:val="20"/>
        </w:rPr>
        <w:t>on</w:t>
      </w:r>
      <w:r>
        <w:rPr>
          <w:i/>
          <w:spacing w:val="-1"/>
          <w:sz w:val="20"/>
        </w:rPr>
        <w:t xml:space="preserve"> </w:t>
      </w:r>
      <w:r>
        <w:rPr>
          <w:i/>
          <w:sz w:val="20"/>
        </w:rPr>
        <w:t>Wine</w:t>
      </w:r>
      <w:r>
        <w:rPr>
          <w:i/>
          <w:spacing w:val="-1"/>
          <w:sz w:val="20"/>
        </w:rPr>
        <w:t xml:space="preserve"> </w:t>
      </w:r>
      <w:r>
        <w:rPr>
          <w:i/>
          <w:sz w:val="20"/>
        </w:rPr>
        <w:t>from</w:t>
      </w:r>
      <w:r>
        <w:rPr>
          <w:i/>
          <w:spacing w:val="-3"/>
          <w:sz w:val="20"/>
        </w:rPr>
        <w:t xml:space="preserve"> </w:t>
      </w:r>
      <w:r>
        <w:rPr>
          <w:i/>
          <w:sz w:val="20"/>
        </w:rPr>
        <w:t>Australia</w:t>
      </w:r>
      <w:r>
        <w:rPr>
          <w:i/>
          <w:spacing w:val="-1"/>
          <w:sz w:val="20"/>
        </w:rPr>
        <w:t xml:space="preserve"> </w:t>
      </w:r>
      <w:r>
        <w:rPr>
          <w:spacing w:val="-2"/>
          <w:sz w:val="20"/>
        </w:rPr>
        <w:t>(DS602)</w:t>
      </w:r>
      <w:r>
        <w:rPr>
          <w:sz w:val="20"/>
        </w:rPr>
        <w:tab/>
        <w:t>29</w:t>
      </w:r>
      <w:r>
        <w:rPr>
          <w:spacing w:val="-1"/>
          <w:sz w:val="20"/>
        </w:rPr>
        <w:t xml:space="preserve"> </w:t>
      </w:r>
      <w:r>
        <w:rPr>
          <w:sz w:val="20"/>
        </w:rPr>
        <w:t>April</w:t>
      </w:r>
      <w:r>
        <w:rPr>
          <w:spacing w:val="-2"/>
          <w:sz w:val="20"/>
        </w:rPr>
        <w:t xml:space="preserve"> </w:t>
      </w:r>
      <w:r>
        <w:rPr>
          <w:spacing w:val="-4"/>
          <w:sz w:val="20"/>
        </w:rPr>
        <w:t>2022</w:t>
      </w:r>
    </w:p>
    <w:p w14:paraId="51DE7E25" w14:textId="77777777" w:rsidR="0010369C" w:rsidRDefault="008E43AE">
      <w:pPr>
        <w:pStyle w:val="ListParagraph"/>
        <w:numPr>
          <w:ilvl w:val="1"/>
          <w:numId w:val="75"/>
        </w:numPr>
        <w:tabs>
          <w:tab w:val="left" w:pos="1939"/>
          <w:tab w:val="left" w:pos="1940"/>
        </w:tabs>
        <w:spacing w:before="35"/>
        <w:ind w:left="1939"/>
        <w:jc w:val="left"/>
        <w:rPr>
          <w:b/>
          <w:sz w:val="28"/>
        </w:rPr>
      </w:pPr>
      <w:r>
        <w:rPr>
          <w:b/>
          <w:sz w:val="28"/>
        </w:rPr>
        <w:t>C</w:t>
      </w:r>
      <w:r>
        <w:rPr>
          <w:b/>
        </w:rPr>
        <w:t>HARACTERISTICS</w:t>
      </w:r>
      <w:r>
        <w:rPr>
          <w:b/>
          <w:spacing w:val="19"/>
        </w:rPr>
        <w:t xml:space="preserve"> </w:t>
      </w:r>
      <w:r>
        <w:rPr>
          <w:b/>
        </w:rPr>
        <w:t>AFFECTING</w:t>
      </w:r>
      <w:r>
        <w:rPr>
          <w:b/>
          <w:spacing w:val="19"/>
        </w:rPr>
        <w:t xml:space="preserve"> </w:t>
      </w:r>
      <w:r>
        <w:rPr>
          <w:b/>
        </w:rPr>
        <w:t>DOMESTIC</w:t>
      </w:r>
      <w:r>
        <w:rPr>
          <w:b/>
          <w:spacing w:val="20"/>
        </w:rPr>
        <w:t xml:space="preserve"> </w:t>
      </w:r>
      <w:r>
        <w:rPr>
          <w:b/>
        </w:rPr>
        <w:t>AND</w:t>
      </w:r>
      <w:r>
        <w:rPr>
          <w:b/>
          <w:spacing w:val="19"/>
        </w:rPr>
        <w:t xml:space="preserve"> </w:t>
      </w:r>
      <w:r>
        <w:rPr>
          <w:b/>
        </w:rPr>
        <w:t>EXPORT</w:t>
      </w:r>
      <w:r>
        <w:rPr>
          <w:b/>
          <w:spacing w:val="19"/>
        </w:rPr>
        <w:t xml:space="preserve"> </w:t>
      </w:r>
      <w:r>
        <w:rPr>
          <w:b/>
        </w:rPr>
        <w:t>SALES</w:t>
      </w:r>
      <w:r>
        <w:rPr>
          <w:b/>
          <w:spacing w:val="20"/>
        </w:rPr>
        <w:t xml:space="preserve"> </w:t>
      </w:r>
      <w:r>
        <w:rPr>
          <w:b/>
        </w:rPr>
        <w:t>OF</w:t>
      </w:r>
      <w:r>
        <w:rPr>
          <w:b/>
          <w:spacing w:val="19"/>
        </w:rPr>
        <w:t xml:space="preserve"> </w:t>
      </w:r>
      <w:r>
        <w:rPr>
          <w:b/>
          <w:spacing w:val="-2"/>
          <w:sz w:val="28"/>
        </w:rPr>
        <w:t>A</w:t>
      </w:r>
      <w:r>
        <w:rPr>
          <w:b/>
          <w:spacing w:val="-2"/>
        </w:rPr>
        <w:t>USTRALIAN</w:t>
      </w:r>
    </w:p>
    <w:p w14:paraId="51DE7E26" w14:textId="77777777" w:rsidR="0010369C" w:rsidRDefault="008E43AE">
      <w:pPr>
        <w:spacing w:before="227"/>
        <w:ind w:left="1939"/>
        <w:rPr>
          <w:b/>
        </w:rPr>
      </w:pPr>
      <w:r>
        <w:rPr>
          <w:b/>
        </w:rPr>
        <w:t>BOTTLED</w:t>
      </w:r>
      <w:r>
        <w:rPr>
          <w:b/>
          <w:spacing w:val="-11"/>
        </w:rPr>
        <w:t xml:space="preserve"> </w:t>
      </w:r>
      <w:r>
        <w:rPr>
          <w:b/>
          <w:spacing w:val="-4"/>
        </w:rPr>
        <w:t>WINE</w:t>
      </w:r>
    </w:p>
    <w:p w14:paraId="51DE7E27" w14:textId="77777777" w:rsidR="0010369C" w:rsidRDefault="0010369C">
      <w:pPr>
        <w:pStyle w:val="BodyText"/>
        <w:spacing w:before="6"/>
        <w:rPr>
          <w:b/>
          <w:sz w:val="28"/>
        </w:rPr>
      </w:pPr>
    </w:p>
    <w:p w14:paraId="51DE7E28" w14:textId="77777777" w:rsidR="0010369C" w:rsidRDefault="008E43AE">
      <w:pPr>
        <w:pStyle w:val="Heading4"/>
        <w:numPr>
          <w:ilvl w:val="2"/>
          <w:numId w:val="75"/>
        </w:numPr>
        <w:tabs>
          <w:tab w:val="left" w:pos="2649"/>
          <w:tab w:val="left" w:pos="2650"/>
        </w:tabs>
        <w:spacing w:before="0"/>
        <w:ind w:left="2649" w:hanging="852"/>
      </w:pPr>
      <w:r>
        <w:rPr>
          <w:spacing w:val="-2"/>
        </w:rPr>
        <w:t>Overview</w:t>
      </w:r>
    </w:p>
    <w:p w14:paraId="51DE7E29" w14:textId="77777777" w:rsidR="0010369C" w:rsidRDefault="0010369C">
      <w:pPr>
        <w:pStyle w:val="BodyText"/>
        <w:spacing w:before="2"/>
        <w:rPr>
          <w:b/>
          <w:sz w:val="19"/>
        </w:rPr>
      </w:pPr>
    </w:p>
    <w:p w14:paraId="51DE7E2A" w14:textId="77777777" w:rsidR="0010369C" w:rsidRDefault="008E43AE">
      <w:pPr>
        <w:pStyle w:val="BodyText"/>
        <w:spacing w:before="72" w:line="360" w:lineRule="auto"/>
        <w:ind w:left="237" w:right="613" w:firstLine="851"/>
        <w:jc w:val="both"/>
      </w:pPr>
      <w:r>
        <w:rPr>
          <w:noProof/>
        </w:rPr>
        <w:drawing>
          <wp:anchor distT="0" distB="0" distL="0" distR="0" simplePos="0" relativeHeight="250801664" behindDoc="1" locked="0" layoutInCell="1" allowOverlap="1" wp14:anchorId="51DE9E02" wp14:editId="51DE9E03">
            <wp:simplePos x="0" y="0"/>
            <wp:positionH relativeFrom="page">
              <wp:posOffset>908303</wp:posOffset>
            </wp:positionH>
            <wp:positionV relativeFrom="paragraph">
              <wp:posOffset>93888</wp:posOffset>
            </wp:positionV>
            <wp:extent cx="256031" cy="100753"/>
            <wp:effectExtent l="0" t="0" r="0" b="0"/>
            <wp:wrapNone/>
            <wp:docPr id="217" name="image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image117.png"/>
                    <pic:cNvPicPr/>
                  </pic:nvPicPr>
                  <pic:blipFill>
                    <a:blip r:embed="rId207" cstate="print"/>
                    <a:stretch>
                      <a:fillRect/>
                    </a:stretch>
                  </pic:blipFill>
                  <pic:spPr>
                    <a:xfrm>
                      <a:off x="0" y="0"/>
                      <a:ext cx="256031" cy="100753"/>
                    </a:xfrm>
                    <a:prstGeom prst="rect">
                      <a:avLst/>
                    </a:prstGeom>
                  </pic:spPr>
                </pic:pic>
              </a:graphicData>
            </a:graphic>
          </wp:anchor>
        </w:drawing>
      </w:r>
      <w:r>
        <w:t>As</w:t>
      </w:r>
      <w:r>
        <w:rPr>
          <w:spacing w:val="-14"/>
        </w:rPr>
        <w:t xml:space="preserve"> </w:t>
      </w:r>
      <w:r>
        <w:t>Australia</w:t>
      </w:r>
      <w:r>
        <w:rPr>
          <w:spacing w:val="-14"/>
        </w:rPr>
        <w:t xml:space="preserve"> </w:t>
      </w:r>
      <w:r>
        <w:t>foreshadowed</w:t>
      </w:r>
      <w:r>
        <w:rPr>
          <w:spacing w:val="-13"/>
        </w:rPr>
        <w:t xml:space="preserve"> </w:t>
      </w:r>
      <w:r>
        <w:t>above,</w:t>
      </w:r>
      <w:r>
        <w:rPr>
          <w:vertAlign w:val="superscript"/>
        </w:rPr>
        <w:t>115</w:t>
      </w:r>
      <w:r>
        <w:rPr>
          <w:spacing w:val="-14"/>
        </w:rPr>
        <w:t xml:space="preserve"> </w:t>
      </w:r>
      <w:r>
        <w:t>Australian</w:t>
      </w:r>
      <w:r>
        <w:rPr>
          <w:spacing w:val="-13"/>
        </w:rPr>
        <w:t xml:space="preserve"> </w:t>
      </w:r>
      <w:r>
        <w:t>bottled</w:t>
      </w:r>
      <w:r>
        <w:rPr>
          <w:spacing w:val="-13"/>
        </w:rPr>
        <w:t xml:space="preserve"> </w:t>
      </w:r>
      <w:r>
        <w:t>wine</w:t>
      </w:r>
      <w:r>
        <w:rPr>
          <w:spacing w:val="-14"/>
        </w:rPr>
        <w:t xml:space="preserve"> </w:t>
      </w:r>
      <w:r>
        <w:t>is</w:t>
      </w:r>
      <w:r>
        <w:rPr>
          <w:spacing w:val="-13"/>
        </w:rPr>
        <w:t xml:space="preserve"> </w:t>
      </w:r>
      <w:r>
        <w:t>a</w:t>
      </w:r>
      <w:r>
        <w:rPr>
          <w:spacing w:val="-13"/>
        </w:rPr>
        <w:t xml:space="preserve"> </w:t>
      </w:r>
      <w:r>
        <w:t>highly</w:t>
      </w:r>
      <w:r>
        <w:rPr>
          <w:spacing w:val="-12"/>
        </w:rPr>
        <w:t xml:space="preserve"> </w:t>
      </w:r>
      <w:r>
        <w:t>differentiated consumer product that cannot be considered a commodity. Australian wine producers and exporters</w:t>
      </w:r>
      <w:r>
        <w:rPr>
          <w:spacing w:val="-6"/>
        </w:rPr>
        <w:t xml:space="preserve"> </w:t>
      </w:r>
      <w:r>
        <w:t>sell</w:t>
      </w:r>
      <w:r>
        <w:rPr>
          <w:spacing w:val="-5"/>
        </w:rPr>
        <w:t xml:space="preserve"> </w:t>
      </w:r>
      <w:r>
        <w:t>wine</w:t>
      </w:r>
      <w:r>
        <w:rPr>
          <w:spacing w:val="-5"/>
        </w:rPr>
        <w:t xml:space="preserve"> </w:t>
      </w:r>
      <w:r>
        <w:t>across</w:t>
      </w:r>
      <w:r>
        <w:rPr>
          <w:spacing w:val="-5"/>
        </w:rPr>
        <w:t xml:space="preserve"> </w:t>
      </w:r>
      <w:r>
        <w:t>multiple</w:t>
      </w:r>
      <w:r>
        <w:rPr>
          <w:spacing w:val="-5"/>
        </w:rPr>
        <w:t xml:space="preserve"> </w:t>
      </w:r>
      <w:r>
        <w:t>quality</w:t>
      </w:r>
      <w:r>
        <w:rPr>
          <w:spacing w:val="-4"/>
        </w:rPr>
        <w:t xml:space="preserve"> </w:t>
      </w:r>
      <w:r>
        <w:t>grades</w:t>
      </w:r>
      <w:r>
        <w:rPr>
          <w:spacing w:val="-5"/>
        </w:rPr>
        <w:t xml:space="preserve"> </w:t>
      </w:r>
      <w:r>
        <w:t>and</w:t>
      </w:r>
      <w:r>
        <w:rPr>
          <w:spacing w:val="-5"/>
        </w:rPr>
        <w:t xml:space="preserve"> </w:t>
      </w:r>
      <w:r>
        <w:t>at</w:t>
      </w:r>
      <w:r>
        <w:rPr>
          <w:spacing w:val="-4"/>
        </w:rPr>
        <w:t xml:space="preserve"> </w:t>
      </w:r>
      <w:r>
        <w:t>different</w:t>
      </w:r>
      <w:r>
        <w:rPr>
          <w:spacing w:val="-4"/>
        </w:rPr>
        <w:t xml:space="preserve"> </w:t>
      </w:r>
      <w:r>
        <w:t>levels</w:t>
      </w:r>
      <w:r>
        <w:rPr>
          <w:spacing w:val="-5"/>
        </w:rPr>
        <w:t xml:space="preserve"> </w:t>
      </w:r>
      <w:r>
        <w:t>of</w:t>
      </w:r>
      <w:r>
        <w:rPr>
          <w:spacing w:val="-5"/>
        </w:rPr>
        <w:t xml:space="preserve"> </w:t>
      </w:r>
      <w:r>
        <w:t>trade</w:t>
      </w:r>
      <w:r>
        <w:rPr>
          <w:spacing w:val="-5"/>
        </w:rPr>
        <w:t xml:space="preserve"> </w:t>
      </w:r>
      <w:r>
        <w:t>in</w:t>
      </w:r>
      <w:r>
        <w:rPr>
          <w:spacing w:val="-5"/>
        </w:rPr>
        <w:t xml:space="preserve"> </w:t>
      </w:r>
      <w:r>
        <w:t>Australian and overseas markets. It is important Australia sets out these characteristics in detail as it provides essential context to the fundamental flaws in MOFCOM's dumping determination.</w:t>
      </w:r>
    </w:p>
    <w:p w14:paraId="51DE7E2B" w14:textId="77777777" w:rsidR="0010369C" w:rsidRDefault="0010369C">
      <w:pPr>
        <w:pStyle w:val="BodyText"/>
        <w:spacing w:before="10"/>
        <w:rPr>
          <w:sz w:val="8"/>
        </w:rPr>
      </w:pPr>
    </w:p>
    <w:p w14:paraId="51DE7E2C" w14:textId="77777777" w:rsidR="0010369C" w:rsidRDefault="008E43AE">
      <w:pPr>
        <w:pStyle w:val="BodyText"/>
        <w:spacing w:before="52" w:line="360" w:lineRule="auto"/>
        <w:ind w:left="237" w:right="613" w:firstLine="851"/>
        <w:jc w:val="both"/>
      </w:pPr>
      <w:r>
        <w:rPr>
          <w:noProof/>
        </w:rPr>
        <w:drawing>
          <wp:anchor distT="0" distB="0" distL="0" distR="0" simplePos="0" relativeHeight="250802688" behindDoc="1" locked="0" layoutInCell="1" allowOverlap="1" wp14:anchorId="51DE9E04" wp14:editId="51DE9E05">
            <wp:simplePos x="0" y="0"/>
            <wp:positionH relativeFrom="page">
              <wp:posOffset>908303</wp:posOffset>
            </wp:positionH>
            <wp:positionV relativeFrom="paragraph">
              <wp:posOffset>81358</wp:posOffset>
            </wp:positionV>
            <wp:extent cx="256031" cy="103631"/>
            <wp:effectExtent l="0" t="0" r="0" b="0"/>
            <wp:wrapNone/>
            <wp:docPr id="219" name="image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image118.png"/>
                    <pic:cNvPicPr/>
                  </pic:nvPicPr>
                  <pic:blipFill>
                    <a:blip r:embed="rId208" cstate="print"/>
                    <a:stretch>
                      <a:fillRect/>
                    </a:stretch>
                  </pic:blipFill>
                  <pic:spPr>
                    <a:xfrm>
                      <a:off x="0" y="0"/>
                      <a:ext cx="256031" cy="103631"/>
                    </a:xfrm>
                    <a:prstGeom prst="rect">
                      <a:avLst/>
                    </a:prstGeom>
                  </pic:spPr>
                </pic:pic>
              </a:graphicData>
            </a:graphic>
          </wp:anchor>
        </w:drawing>
      </w:r>
      <w:r>
        <w:t>Australia will establish that there was sufficient evidence b</w:t>
      </w:r>
      <w:r>
        <w:t xml:space="preserve">efore MOFCOM as to the significant influence of two primary characteristics on domestic and export wine sales – a highly varied product mix and sales made at different levels of trade. These characteristics affected all three sampled companies, and it was </w:t>
      </w:r>
      <w:r>
        <w:t>incumbent on MOFCOM to make the requisite adjustments to ensure the conduct of a fair comparison between normal value and export</w:t>
      </w:r>
      <w:r>
        <w:rPr>
          <w:spacing w:val="-14"/>
        </w:rPr>
        <w:t xml:space="preserve"> </w:t>
      </w:r>
      <w:r>
        <w:t>price</w:t>
      </w:r>
      <w:r>
        <w:rPr>
          <w:spacing w:val="-14"/>
        </w:rPr>
        <w:t xml:space="preserve"> </w:t>
      </w:r>
      <w:r>
        <w:t>under</w:t>
      </w:r>
      <w:r>
        <w:rPr>
          <w:spacing w:val="-13"/>
        </w:rPr>
        <w:t xml:space="preserve"> </w:t>
      </w:r>
      <w:r>
        <w:t>Article</w:t>
      </w:r>
      <w:r>
        <w:rPr>
          <w:spacing w:val="-14"/>
        </w:rPr>
        <w:t xml:space="preserve"> </w:t>
      </w:r>
      <w:r>
        <w:t>2.4.</w:t>
      </w:r>
      <w:r>
        <w:rPr>
          <w:spacing w:val="-13"/>
        </w:rPr>
        <w:t xml:space="preserve"> </w:t>
      </w:r>
      <w:r>
        <w:t>Australia</w:t>
      </w:r>
      <w:r>
        <w:rPr>
          <w:spacing w:val="-14"/>
        </w:rPr>
        <w:t xml:space="preserve"> </w:t>
      </w:r>
      <w:r>
        <w:t>notes</w:t>
      </w:r>
      <w:r>
        <w:rPr>
          <w:spacing w:val="-13"/>
        </w:rPr>
        <w:t xml:space="preserve"> </w:t>
      </w:r>
      <w:r>
        <w:t>the</w:t>
      </w:r>
      <w:r>
        <w:rPr>
          <w:spacing w:val="-14"/>
        </w:rPr>
        <w:t xml:space="preserve"> </w:t>
      </w:r>
      <w:r>
        <w:t>references</w:t>
      </w:r>
      <w:r>
        <w:rPr>
          <w:spacing w:val="-14"/>
        </w:rPr>
        <w:t xml:space="preserve"> </w:t>
      </w:r>
      <w:r>
        <w:t>to</w:t>
      </w:r>
      <w:r>
        <w:rPr>
          <w:spacing w:val="-13"/>
        </w:rPr>
        <w:t xml:space="preserve"> </w:t>
      </w:r>
      <w:r>
        <w:t>"price</w:t>
      </w:r>
      <w:r>
        <w:rPr>
          <w:spacing w:val="-14"/>
        </w:rPr>
        <w:t xml:space="preserve"> </w:t>
      </w:r>
      <w:r>
        <w:t>comparability"</w:t>
      </w:r>
      <w:r>
        <w:rPr>
          <w:spacing w:val="-13"/>
        </w:rPr>
        <w:t xml:space="preserve"> </w:t>
      </w:r>
      <w:r>
        <w:t>between domestic</w:t>
      </w:r>
      <w:r>
        <w:rPr>
          <w:spacing w:val="-3"/>
        </w:rPr>
        <w:t xml:space="preserve"> </w:t>
      </w:r>
      <w:r>
        <w:t>prices,</w:t>
      </w:r>
      <w:r>
        <w:rPr>
          <w:spacing w:val="-4"/>
        </w:rPr>
        <w:t xml:space="preserve"> </w:t>
      </w:r>
      <w:r>
        <w:t>normal</w:t>
      </w:r>
      <w:r>
        <w:rPr>
          <w:spacing w:val="-6"/>
        </w:rPr>
        <w:t xml:space="preserve"> </w:t>
      </w:r>
      <w:r>
        <w:t>values,</w:t>
      </w:r>
      <w:r>
        <w:rPr>
          <w:spacing w:val="-6"/>
        </w:rPr>
        <w:t xml:space="preserve"> </w:t>
      </w:r>
      <w:r>
        <w:t>and</w:t>
      </w:r>
      <w:r>
        <w:rPr>
          <w:spacing w:val="-4"/>
        </w:rPr>
        <w:t xml:space="preserve"> </w:t>
      </w:r>
      <w:r>
        <w:t>ex</w:t>
      </w:r>
      <w:r>
        <w:t>port</w:t>
      </w:r>
      <w:r>
        <w:rPr>
          <w:spacing w:val="-6"/>
        </w:rPr>
        <w:t xml:space="preserve"> </w:t>
      </w:r>
      <w:r>
        <w:t>prices</w:t>
      </w:r>
      <w:r>
        <w:rPr>
          <w:spacing w:val="-4"/>
        </w:rPr>
        <w:t xml:space="preserve"> </w:t>
      </w:r>
      <w:r>
        <w:t>in</w:t>
      </w:r>
      <w:r>
        <w:rPr>
          <w:spacing w:val="-4"/>
        </w:rPr>
        <w:t xml:space="preserve"> </w:t>
      </w:r>
      <w:r>
        <w:t>Articles</w:t>
      </w:r>
      <w:r>
        <w:rPr>
          <w:spacing w:val="-6"/>
        </w:rPr>
        <w:t xml:space="preserve"> </w:t>
      </w:r>
      <w:r>
        <w:t>2.1,</w:t>
      </w:r>
      <w:r>
        <w:rPr>
          <w:spacing w:val="-5"/>
        </w:rPr>
        <w:t xml:space="preserve"> </w:t>
      </w:r>
      <w:r>
        <w:t>2.2,</w:t>
      </w:r>
      <w:r>
        <w:rPr>
          <w:spacing w:val="-4"/>
        </w:rPr>
        <w:t xml:space="preserve"> </w:t>
      </w:r>
      <w:r>
        <w:t>2.4</w:t>
      </w:r>
      <w:r>
        <w:rPr>
          <w:spacing w:val="-4"/>
        </w:rPr>
        <w:t xml:space="preserve"> </w:t>
      </w:r>
      <w:r>
        <w:t>and</w:t>
      </w:r>
      <w:r>
        <w:rPr>
          <w:spacing w:val="-5"/>
        </w:rPr>
        <w:t xml:space="preserve"> </w:t>
      </w:r>
      <w:r>
        <w:t>2.5</w:t>
      </w:r>
      <w:r>
        <w:rPr>
          <w:spacing w:val="-5"/>
        </w:rPr>
        <w:t xml:space="preserve"> </w:t>
      </w:r>
      <w:r>
        <w:t>highlight</w:t>
      </w:r>
      <w:r>
        <w:rPr>
          <w:spacing w:val="-4"/>
        </w:rPr>
        <w:t xml:space="preserve"> </w:t>
      </w:r>
      <w:r>
        <w:t>the importance of this concept in the determination of dumping.</w:t>
      </w:r>
    </w:p>
    <w:p w14:paraId="51DE7E2D" w14:textId="77777777" w:rsidR="0010369C" w:rsidRDefault="008E43AE">
      <w:pPr>
        <w:pStyle w:val="Heading4"/>
        <w:numPr>
          <w:ilvl w:val="2"/>
          <w:numId w:val="75"/>
        </w:numPr>
        <w:tabs>
          <w:tab w:val="left" w:pos="2647"/>
          <w:tab w:val="left" w:pos="2648"/>
        </w:tabs>
        <w:ind w:left="2647" w:hanging="852"/>
        <w:jc w:val="both"/>
      </w:pPr>
      <w:bookmarkStart w:id="20" w:name="_TOC_250009"/>
      <w:r>
        <w:t>Domestic</w:t>
      </w:r>
      <w:r>
        <w:rPr>
          <w:spacing w:val="-9"/>
        </w:rPr>
        <w:t xml:space="preserve"> </w:t>
      </w:r>
      <w:r>
        <w:t>sales</w:t>
      </w:r>
      <w:r>
        <w:rPr>
          <w:spacing w:val="-8"/>
        </w:rPr>
        <w:t xml:space="preserve"> </w:t>
      </w:r>
      <w:r>
        <w:t>of</w:t>
      </w:r>
      <w:r>
        <w:rPr>
          <w:spacing w:val="-10"/>
        </w:rPr>
        <w:t xml:space="preserve"> </w:t>
      </w:r>
      <w:r>
        <w:t>Australian</w:t>
      </w:r>
      <w:r>
        <w:rPr>
          <w:spacing w:val="-11"/>
        </w:rPr>
        <w:t xml:space="preserve"> </w:t>
      </w:r>
      <w:r>
        <w:t>bottled</w:t>
      </w:r>
      <w:r>
        <w:rPr>
          <w:spacing w:val="-10"/>
        </w:rPr>
        <w:t xml:space="preserve"> </w:t>
      </w:r>
      <w:bookmarkEnd w:id="20"/>
      <w:r>
        <w:rPr>
          <w:spacing w:val="-4"/>
        </w:rPr>
        <w:t>wine</w:t>
      </w:r>
    </w:p>
    <w:p w14:paraId="51DE7E2E" w14:textId="77777777" w:rsidR="0010369C" w:rsidRDefault="0010369C">
      <w:pPr>
        <w:pStyle w:val="BodyText"/>
        <w:spacing w:before="10"/>
        <w:rPr>
          <w:b/>
          <w:sz w:val="20"/>
        </w:rPr>
      </w:pPr>
    </w:p>
    <w:p w14:paraId="51DE7E2F" w14:textId="77777777" w:rsidR="0010369C" w:rsidRDefault="008E43AE">
      <w:pPr>
        <w:pStyle w:val="BodyText"/>
        <w:spacing w:before="51" w:line="360" w:lineRule="auto"/>
        <w:ind w:left="237" w:right="612" w:firstLine="851"/>
        <w:jc w:val="both"/>
      </w:pPr>
      <w:r>
        <w:rPr>
          <w:noProof/>
        </w:rPr>
        <w:drawing>
          <wp:anchor distT="0" distB="0" distL="0" distR="0" simplePos="0" relativeHeight="250803712" behindDoc="1" locked="0" layoutInCell="1" allowOverlap="1" wp14:anchorId="51DE9E06" wp14:editId="51DE9E07">
            <wp:simplePos x="0" y="0"/>
            <wp:positionH relativeFrom="page">
              <wp:posOffset>908303</wp:posOffset>
            </wp:positionH>
            <wp:positionV relativeFrom="paragraph">
              <wp:posOffset>81314</wp:posOffset>
            </wp:positionV>
            <wp:extent cx="256031" cy="100753"/>
            <wp:effectExtent l="0" t="0" r="0" b="0"/>
            <wp:wrapNone/>
            <wp:docPr id="221" name="image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image119.png"/>
                    <pic:cNvPicPr/>
                  </pic:nvPicPr>
                  <pic:blipFill>
                    <a:blip r:embed="rId209" cstate="print"/>
                    <a:stretch>
                      <a:fillRect/>
                    </a:stretch>
                  </pic:blipFill>
                  <pic:spPr>
                    <a:xfrm>
                      <a:off x="0" y="0"/>
                      <a:ext cx="256031" cy="100753"/>
                    </a:xfrm>
                    <a:prstGeom prst="rect">
                      <a:avLst/>
                    </a:prstGeom>
                  </pic:spPr>
                </pic:pic>
              </a:graphicData>
            </a:graphic>
          </wp:anchor>
        </w:drawing>
      </w:r>
      <w:r>
        <w:t>Australia submits the domestic sales selected by MOFCOM for the three sampled companies had significant differences affecting price comparability. Specifically, the sales were affected by differences in physical characteristics, consumer preferences and le</w:t>
      </w:r>
      <w:r>
        <w:t>vel of trade</w:t>
      </w:r>
      <w:r>
        <w:rPr>
          <w:spacing w:val="-1"/>
        </w:rPr>
        <w:t xml:space="preserve"> </w:t>
      </w:r>
      <w:r>
        <w:t>issues.</w:t>
      </w:r>
      <w:r>
        <w:rPr>
          <w:spacing w:val="-1"/>
        </w:rPr>
        <w:t xml:space="preserve"> </w:t>
      </w:r>
      <w:r>
        <w:t>While</w:t>
      </w:r>
      <w:r>
        <w:rPr>
          <w:spacing w:val="-1"/>
        </w:rPr>
        <w:t xml:space="preserve"> </w:t>
      </w:r>
      <w:r>
        <w:t>the</w:t>
      </w:r>
      <w:r>
        <w:rPr>
          <w:spacing w:val="-1"/>
        </w:rPr>
        <w:t xml:space="preserve"> </w:t>
      </w:r>
      <w:r>
        <w:t>selection</w:t>
      </w:r>
      <w:r>
        <w:rPr>
          <w:spacing w:val="-1"/>
        </w:rPr>
        <w:t xml:space="preserve"> </w:t>
      </w:r>
      <w:r>
        <w:t>of</w:t>
      </w:r>
      <w:r>
        <w:rPr>
          <w:spacing w:val="-2"/>
        </w:rPr>
        <w:t xml:space="preserve"> </w:t>
      </w:r>
      <w:r>
        <w:t>such</w:t>
      </w:r>
      <w:r>
        <w:rPr>
          <w:spacing w:val="-2"/>
        </w:rPr>
        <w:t xml:space="preserve"> </w:t>
      </w:r>
      <w:r>
        <w:t>domestic sales</w:t>
      </w:r>
      <w:r>
        <w:rPr>
          <w:spacing w:val="-2"/>
        </w:rPr>
        <w:t xml:space="preserve"> </w:t>
      </w:r>
      <w:r>
        <w:t>was</w:t>
      </w:r>
      <w:r>
        <w:rPr>
          <w:spacing w:val="-1"/>
        </w:rPr>
        <w:t xml:space="preserve"> </w:t>
      </w:r>
      <w:r>
        <w:t>not,</w:t>
      </w:r>
      <w:r>
        <w:rPr>
          <w:spacing w:val="-1"/>
        </w:rPr>
        <w:t xml:space="preserve"> </w:t>
      </w:r>
      <w:r>
        <w:rPr>
          <w:i/>
        </w:rPr>
        <w:t>ipso</w:t>
      </w:r>
      <w:r>
        <w:rPr>
          <w:i/>
          <w:spacing w:val="-1"/>
        </w:rPr>
        <w:t xml:space="preserve"> </w:t>
      </w:r>
      <w:r>
        <w:rPr>
          <w:i/>
        </w:rPr>
        <w:t>facto</w:t>
      </w:r>
      <w:r>
        <w:t>,</w:t>
      </w:r>
      <w:r>
        <w:rPr>
          <w:spacing w:val="-1"/>
        </w:rPr>
        <w:t xml:space="preserve"> </w:t>
      </w:r>
      <w:r>
        <w:t>a</w:t>
      </w:r>
      <w:r>
        <w:rPr>
          <w:spacing w:val="-1"/>
        </w:rPr>
        <w:t xml:space="preserve"> </w:t>
      </w:r>
      <w:r>
        <w:t>violation</w:t>
      </w:r>
      <w:r>
        <w:rPr>
          <w:spacing w:val="-2"/>
        </w:rPr>
        <w:t xml:space="preserve"> </w:t>
      </w:r>
      <w:r>
        <w:t>of</w:t>
      </w:r>
      <w:r>
        <w:rPr>
          <w:spacing w:val="-1"/>
        </w:rPr>
        <w:t xml:space="preserve"> </w:t>
      </w:r>
      <w:r>
        <w:t>the Anti‐Dumping Agreement, Australia will demonstrate in the section on fair comparison,</w:t>
      </w:r>
      <w:r>
        <w:rPr>
          <w:vertAlign w:val="superscript"/>
        </w:rPr>
        <w:t>116</w:t>
      </w:r>
      <w:r>
        <w:t xml:space="preserve"> these factors were not accounted for through adjustments to nor</w:t>
      </w:r>
      <w:r>
        <w:t>mal value to ensure its comparability with export price sales.</w:t>
      </w:r>
    </w:p>
    <w:p w14:paraId="51DE7E30" w14:textId="77777777" w:rsidR="0010369C" w:rsidRDefault="0010369C">
      <w:pPr>
        <w:pStyle w:val="BodyText"/>
        <w:rPr>
          <w:sz w:val="20"/>
        </w:rPr>
      </w:pPr>
    </w:p>
    <w:p w14:paraId="51DE7E31" w14:textId="77777777" w:rsidR="0010369C" w:rsidRDefault="0010369C">
      <w:pPr>
        <w:pStyle w:val="BodyText"/>
        <w:rPr>
          <w:sz w:val="20"/>
        </w:rPr>
      </w:pPr>
    </w:p>
    <w:p w14:paraId="51DE7E32" w14:textId="77777777" w:rsidR="0010369C" w:rsidRDefault="0010369C">
      <w:pPr>
        <w:pStyle w:val="BodyText"/>
        <w:rPr>
          <w:sz w:val="20"/>
        </w:rPr>
      </w:pPr>
    </w:p>
    <w:p w14:paraId="51DE7E33" w14:textId="77777777" w:rsidR="0010369C" w:rsidRDefault="0010369C">
      <w:pPr>
        <w:pStyle w:val="BodyText"/>
        <w:rPr>
          <w:sz w:val="20"/>
        </w:rPr>
      </w:pPr>
    </w:p>
    <w:p w14:paraId="51DE7E34" w14:textId="77777777" w:rsidR="0010369C" w:rsidRDefault="0010369C">
      <w:pPr>
        <w:pStyle w:val="BodyText"/>
        <w:rPr>
          <w:sz w:val="20"/>
        </w:rPr>
      </w:pPr>
    </w:p>
    <w:p w14:paraId="51DE7E35" w14:textId="77777777" w:rsidR="0010369C" w:rsidRDefault="0010369C">
      <w:pPr>
        <w:pStyle w:val="BodyText"/>
        <w:rPr>
          <w:sz w:val="20"/>
        </w:rPr>
      </w:pPr>
    </w:p>
    <w:p w14:paraId="51DE7E36" w14:textId="77777777" w:rsidR="0010369C" w:rsidRDefault="0010369C">
      <w:pPr>
        <w:pStyle w:val="BodyText"/>
        <w:rPr>
          <w:sz w:val="20"/>
        </w:rPr>
      </w:pPr>
    </w:p>
    <w:p w14:paraId="51DE7E37" w14:textId="77777777" w:rsidR="0010369C" w:rsidRDefault="008E43AE">
      <w:pPr>
        <w:pStyle w:val="BodyText"/>
        <w:spacing w:before="5"/>
        <w:rPr>
          <w:sz w:val="17"/>
        </w:rPr>
      </w:pPr>
      <w:r>
        <w:pict w14:anchorId="51DE9E08">
          <v:rect id="docshape111" o:spid="_x0000_s3162" style="position:absolute;margin-left:70.9pt;margin-top:11.85pt;width:2in;height:.8pt;z-index:-251234816;mso-wrap-distance-left:0;mso-wrap-distance-right:0;mso-position-horizontal-relative:page" fillcolor="black" stroked="f">
            <w10:wrap type="topAndBottom" anchorx="page"/>
          </v:rect>
        </w:pict>
      </w:r>
    </w:p>
    <w:p w14:paraId="51DE7E38" w14:textId="77777777" w:rsidR="0010369C" w:rsidRDefault="008E43AE">
      <w:pPr>
        <w:spacing w:before="109"/>
        <w:ind w:left="238"/>
        <w:rPr>
          <w:sz w:val="18"/>
        </w:rPr>
      </w:pPr>
      <w:r>
        <w:rPr>
          <w:sz w:val="18"/>
          <w:vertAlign w:val="superscript"/>
        </w:rPr>
        <w:t>115</w:t>
      </w:r>
      <w:r>
        <w:rPr>
          <w:spacing w:val="-6"/>
          <w:sz w:val="18"/>
        </w:rPr>
        <w:t xml:space="preserve"> </w:t>
      </w:r>
      <w:r>
        <w:rPr>
          <w:sz w:val="18"/>
        </w:rPr>
        <w:t>See</w:t>
      </w:r>
      <w:r>
        <w:rPr>
          <w:spacing w:val="-5"/>
          <w:sz w:val="18"/>
        </w:rPr>
        <w:t xml:space="preserve"> </w:t>
      </w:r>
      <w:r>
        <w:rPr>
          <w:sz w:val="18"/>
        </w:rPr>
        <w:t>above,</w:t>
      </w:r>
      <w:r>
        <w:rPr>
          <w:spacing w:val="-6"/>
          <w:sz w:val="18"/>
        </w:rPr>
        <w:t xml:space="preserve"> </w:t>
      </w:r>
      <w:r>
        <w:rPr>
          <w:sz w:val="18"/>
        </w:rPr>
        <w:t>section</w:t>
      </w:r>
      <w:r>
        <w:rPr>
          <w:spacing w:val="-5"/>
          <w:sz w:val="18"/>
        </w:rPr>
        <w:t xml:space="preserve"> </w:t>
      </w:r>
      <w:r>
        <w:rPr>
          <w:spacing w:val="-2"/>
          <w:sz w:val="18"/>
        </w:rPr>
        <w:t>I.A.1.</w:t>
      </w:r>
    </w:p>
    <w:p w14:paraId="51DE7E39" w14:textId="77777777" w:rsidR="0010369C" w:rsidRDefault="008E43AE">
      <w:pPr>
        <w:ind w:left="238"/>
        <w:rPr>
          <w:sz w:val="18"/>
        </w:rPr>
      </w:pPr>
      <w:r>
        <w:rPr>
          <w:sz w:val="18"/>
          <w:vertAlign w:val="superscript"/>
        </w:rPr>
        <w:t>116</w:t>
      </w:r>
      <w:r>
        <w:rPr>
          <w:spacing w:val="-6"/>
          <w:sz w:val="18"/>
        </w:rPr>
        <w:t xml:space="preserve"> </w:t>
      </w:r>
      <w:r>
        <w:rPr>
          <w:sz w:val="18"/>
        </w:rPr>
        <w:t>See</w:t>
      </w:r>
      <w:r>
        <w:rPr>
          <w:spacing w:val="-5"/>
          <w:sz w:val="18"/>
        </w:rPr>
        <w:t xml:space="preserve"> </w:t>
      </w:r>
      <w:r>
        <w:rPr>
          <w:sz w:val="18"/>
        </w:rPr>
        <w:t>below,</w:t>
      </w:r>
      <w:r>
        <w:rPr>
          <w:spacing w:val="-5"/>
          <w:sz w:val="18"/>
        </w:rPr>
        <w:t xml:space="preserve"> </w:t>
      </w:r>
      <w:r>
        <w:rPr>
          <w:sz w:val="18"/>
        </w:rPr>
        <w:t>section</w:t>
      </w:r>
      <w:r>
        <w:rPr>
          <w:spacing w:val="-5"/>
          <w:sz w:val="18"/>
        </w:rPr>
        <w:t xml:space="preserve"> </w:t>
      </w:r>
      <w:r>
        <w:rPr>
          <w:spacing w:val="-2"/>
          <w:sz w:val="18"/>
        </w:rPr>
        <w:t>II.J.</w:t>
      </w:r>
    </w:p>
    <w:p w14:paraId="51DE7E3A" w14:textId="77777777" w:rsidR="0010369C" w:rsidRDefault="0010369C">
      <w:pPr>
        <w:rPr>
          <w:sz w:val="18"/>
        </w:rPr>
        <w:sectPr w:rsidR="0010369C">
          <w:headerReference w:type="default" r:id="rId210"/>
          <w:footerReference w:type="default" r:id="rId211"/>
          <w:pgSz w:w="11910" w:h="16840"/>
          <w:pgMar w:top="880" w:right="800" w:bottom="980" w:left="1180" w:header="569" w:footer="788" w:gutter="0"/>
          <w:cols w:space="720"/>
        </w:sectPr>
      </w:pPr>
    </w:p>
    <w:p w14:paraId="51DE7E3B" w14:textId="77777777" w:rsidR="0010369C" w:rsidRDefault="0010369C">
      <w:pPr>
        <w:pStyle w:val="BodyText"/>
        <w:spacing w:before="4"/>
        <w:rPr>
          <w:sz w:val="23"/>
        </w:rPr>
      </w:pPr>
    </w:p>
    <w:tbl>
      <w:tblPr>
        <w:tblW w:w="0" w:type="auto"/>
        <w:tblInd w:w="196" w:type="dxa"/>
        <w:tblLayout w:type="fixed"/>
        <w:tblCellMar>
          <w:left w:w="0" w:type="dxa"/>
          <w:right w:w="0" w:type="dxa"/>
        </w:tblCellMar>
        <w:tblLook w:val="01E0" w:firstRow="1" w:lastRow="1" w:firstColumn="1" w:lastColumn="1" w:noHBand="0" w:noVBand="0"/>
      </w:tblPr>
      <w:tblGrid>
        <w:gridCol w:w="3158"/>
        <w:gridCol w:w="6013"/>
      </w:tblGrid>
      <w:tr w:rsidR="0010369C" w14:paraId="51DE7E3E" w14:textId="77777777">
        <w:trPr>
          <w:trHeight w:val="243"/>
        </w:trPr>
        <w:tc>
          <w:tcPr>
            <w:tcW w:w="3158" w:type="dxa"/>
          </w:tcPr>
          <w:p w14:paraId="51DE7E3C" w14:textId="77777777" w:rsidR="0010369C" w:rsidRDefault="008E43AE">
            <w:pPr>
              <w:pStyle w:val="TableParagraph"/>
              <w:spacing w:line="204" w:lineRule="exact"/>
              <w:ind w:left="50"/>
              <w:rPr>
                <w:sz w:val="20"/>
              </w:rPr>
            </w:pPr>
            <w:r>
              <w:rPr>
                <w:i/>
                <w:sz w:val="20"/>
              </w:rPr>
              <w:t>on</w:t>
            </w:r>
            <w:r>
              <w:rPr>
                <w:i/>
                <w:spacing w:val="-1"/>
                <w:sz w:val="20"/>
              </w:rPr>
              <w:t xml:space="preserve"> </w:t>
            </w:r>
            <w:r>
              <w:rPr>
                <w:i/>
                <w:sz w:val="20"/>
              </w:rPr>
              <w:t>Wine</w:t>
            </w:r>
            <w:r>
              <w:rPr>
                <w:i/>
                <w:spacing w:val="-1"/>
                <w:sz w:val="20"/>
              </w:rPr>
              <w:t xml:space="preserve"> </w:t>
            </w:r>
            <w:r>
              <w:rPr>
                <w:i/>
                <w:sz w:val="20"/>
              </w:rPr>
              <w:t>from</w:t>
            </w:r>
            <w:r>
              <w:rPr>
                <w:i/>
                <w:spacing w:val="-3"/>
                <w:sz w:val="20"/>
              </w:rPr>
              <w:t xml:space="preserve"> </w:t>
            </w:r>
            <w:r>
              <w:rPr>
                <w:i/>
                <w:sz w:val="20"/>
              </w:rPr>
              <w:t>Australia</w:t>
            </w:r>
            <w:r>
              <w:rPr>
                <w:i/>
                <w:spacing w:val="-1"/>
                <w:sz w:val="20"/>
              </w:rPr>
              <w:t xml:space="preserve"> </w:t>
            </w:r>
            <w:r>
              <w:rPr>
                <w:spacing w:val="-2"/>
                <w:sz w:val="20"/>
              </w:rPr>
              <w:t>(DS602)</w:t>
            </w:r>
          </w:p>
        </w:tc>
        <w:tc>
          <w:tcPr>
            <w:tcW w:w="6013" w:type="dxa"/>
          </w:tcPr>
          <w:p w14:paraId="51DE7E3D" w14:textId="77777777" w:rsidR="0010369C" w:rsidRDefault="008E43AE">
            <w:pPr>
              <w:pStyle w:val="TableParagraph"/>
              <w:spacing w:line="204" w:lineRule="exact"/>
              <w:ind w:right="47"/>
              <w:jc w:val="right"/>
              <w:rPr>
                <w:sz w:val="20"/>
              </w:rPr>
            </w:pPr>
            <w:r>
              <w:rPr>
                <w:sz w:val="20"/>
              </w:rPr>
              <w:t>29</w:t>
            </w:r>
            <w:r>
              <w:rPr>
                <w:spacing w:val="-1"/>
                <w:sz w:val="20"/>
              </w:rPr>
              <w:t xml:space="preserve"> </w:t>
            </w:r>
            <w:r>
              <w:rPr>
                <w:sz w:val="20"/>
              </w:rPr>
              <w:t>April</w:t>
            </w:r>
            <w:r>
              <w:rPr>
                <w:spacing w:val="-2"/>
                <w:sz w:val="20"/>
              </w:rPr>
              <w:t xml:space="preserve"> </w:t>
            </w:r>
            <w:r>
              <w:rPr>
                <w:spacing w:val="-4"/>
                <w:sz w:val="20"/>
              </w:rPr>
              <w:t>2022</w:t>
            </w:r>
          </w:p>
        </w:tc>
      </w:tr>
      <w:tr w:rsidR="0010369C" w14:paraId="51DE7E41" w14:textId="77777777">
        <w:trPr>
          <w:trHeight w:val="383"/>
        </w:trPr>
        <w:tc>
          <w:tcPr>
            <w:tcW w:w="3158" w:type="dxa"/>
          </w:tcPr>
          <w:p w14:paraId="51DE7E3F" w14:textId="77777777" w:rsidR="0010369C" w:rsidRDefault="008E43AE">
            <w:pPr>
              <w:pStyle w:val="TableParagraph"/>
              <w:spacing w:line="288" w:lineRule="exact"/>
              <w:ind w:right="293"/>
              <w:jc w:val="right"/>
              <w:rPr>
                <w:sz w:val="24"/>
              </w:rPr>
            </w:pPr>
            <w:r>
              <w:rPr>
                <w:spacing w:val="-5"/>
                <w:sz w:val="24"/>
                <w:u w:val="single"/>
              </w:rPr>
              <w:t>(a)</w:t>
            </w:r>
          </w:p>
        </w:tc>
        <w:tc>
          <w:tcPr>
            <w:tcW w:w="6013" w:type="dxa"/>
          </w:tcPr>
          <w:p w14:paraId="51DE7E40" w14:textId="77777777" w:rsidR="0010369C" w:rsidRDefault="008E43AE">
            <w:pPr>
              <w:pStyle w:val="TableParagraph"/>
              <w:spacing w:line="288" w:lineRule="exact"/>
              <w:ind w:right="52"/>
              <w:jc w:val="right"/>
              <w:rPr>
                <w:sz w:val="24"/>
              </w:rPr>
            </w:pPr>
            <w:r>
              <w:rPr>
                <w:sz w:val="24"/>
                <w:u w:val="single"/>
              </w:rPr>
              <w:t>Product</w:t>
            </w:r>
            <w:r>
              <w:rPr>
                <w:spacing w:val="59"/>
                <w:sz w:val="24"/>
                <w:u w:val="single"/>
              </w:rPr>
              <w:t xml:space="preserve"> </w:t>
            </w:r>
            <w:r>
              <w:rPr>
                <w:sz w:val="24"/>
                <w:u w:val="single"/>
              </w:rPr>
              <w:t>mix</w:t>
            </w:r>
            <w:r>
              <w:rPr>
                <w:spacing w:val="61"/>
                <w:sz w:val="24"/>
                <w:u w:val="single"/>
              </w:rPr>
              <w:t xml:space="preserve"> </w:t>
            </w:r>
            <w:r>
              <w:rPr>
                <w:sz w:val="24"/>
                <w:u w:val="single"/>
              </w:rPr>
              <w:t>(physical</w:t>
            </w:r>
            <w:r>
              <w:rPr>
                <w:spacing w:val="59"/>
                <w:sz w:val="24"/>
                <w:u w:val="single"/>
              </w:rPr>
              <w:t xml:space="preserve"> </w:t>
            </w:r>
            <w:r>
              <w:rPr>
                <w:sz w:val="24"/>
                <w:u w:val="single"/>
              </w:rPr>
              <w:t>characteristics,</w:t>
            </w:r>
            <w:r>
              <w:rPr>
                <w:spacing w:val="60"/>
                <w:sz w:val="24"/>
                <w:u w:val="single"/>
              </w:rPr>
              <w:t xml:space="preserve"> </w:t>
            </w:r>
            <w:r>
              <w:rPr>
                <w:sz w:val="24"/>
                <w:u w:val="single"/>
              </w:rPr>
              <w:t>quality,</w:t>
            </w:r>
            <w:r>
              <w:rPr>
                <w:spacing w:val="60"/>
                <w:sz w:val="24"/>
                <w:u w:val="single"/>
              </w:rPr>
              <w:t xml:space="preserve"> </w:t>
            </w:r>
            <w:r>
              <w:rPr>
                <w:spacing w:val="-2"/>
                <w:sz w:val="24"/>
                <w:u w:val="single"/>
              </w:rPr>
              <w:t>quantity,</w:t>
            </w:r>
          </w:p>
        </w:tc>
      </w:tr>
      <w:tr w:rsidR="0010369C" w14:paraId="51DE7E44" w14:textId="77777777">
        <w:trPr>
          <w:trHeight w:val="340"/>
        </w:trPr>
        <w:tc>
          <w:tcPr>
            <w:tcW w:w="3158" w:type="dxa"/>
          </w:tcPr>
          <w:p w14:paraId="51DE7E42" w14:textId="77777777" w:rsidR="0010369C" w:rsidRDefault="0010369C">
            <w:pPr>
              <w:pStyle w:val="TableParagraph"/>
              <w:rPr>
                <w:rFonts w:ascii="Times New Roman"/>
                <w:sz w:val="20"/>
              </w:rPr>
            </w:pPr>
          </w:p>
        </w:tc>
        <w:tc>
          <w:tcPr>
            <w:tcW w:w="6013" w:type="dxa"/>
          </w:tcPr>
          <w:p w14:paraId="51DE7E43" w14:textId="77777777" w:rsidR="0010369C" w:rsidRDefault="008E43AE">
            <w:pPr>
              <w:pStyle w:val="TableParagraph"/>
              <w:spacing w:before="51" w:line="269" w:lineRule="exact"/>
              <w:ind w:left="295"/>
              <w:rPr>
                <w:sz w:val="24"/>
              </w:rPr>
            </w:pPr>
            <w:r>
              <w:rPr>
                <w:spacing w:val="-2"/>
                <w:sz w:val="24"/>
                <w:u w:val="single"/>
              </w:rPr>
              <w:t>consumer</w:t>
            </w:r>
            <w:r>
              <w:rPr>
                <w:spacing w:val="4"/>
                <w:sz w:val="24"/>
                <w:u w:val="single"/>
              </w:rPr>
              <w:t xml:space="preserve"> </w:t>
            </w:r>
            <w:r>
              <w:rPr>
                <w:spacing w:val="-2"/>
                <w:sz w:val="24"/>
                <w:u w:val="single"/>
              </w:rPr>
              <w:t>preferences,</w:t>
            </w:r>
            <w:r>
              <w:rPr>
                <w:spacing w:val="4"/>
                <w:sz w:val="24"/>
                <w:u w:val="single"/>
              </w:rPr>
              <w:t xml:space="preserve"> </w:t>
            </w:r>
            <w:r>
              <w:rPr>
                <w:spacing w:val="-2"/>
                <w:sz w:val="24"/>
                <w:u w:val="single"/>
              </w:rPr>
              <w:t>price)</w:t>
            </w:r>
          </w:p>
        </w:tc>
      </w:tr>
    </w:tbl>
    <w:p w14:paraId="51DE7E45" w14:textId="77777777" w:rsidR="0010369C" w:rsidRDefault="0010369C">
      <w:pPr>
        <w:pStyle w:val="BodyText"/>
        <w:spacing w:before="7"/>
        <w:rPr>
          <w:sz w:val="25"/>
        </w:rPr>
      </w:pPr>
    </w:p>
    <w:tbl>
      <w:tblPr>
        <w:tblW w:w="0" w:type="auto"/>
        <w:tblInd w:w="225" w:type="dxa"/>
        <w:tblLayout w:type="fixed"/>
        <w:tblCellMar>
          <w:left w:w="0" w:type="dxa"/>
          <w:right w:w="0" w:type="dxa"/>
        </w:tblCellMar>
        <w:tblLook w:val="01E0" w:firstRow="1" w:lastRow="1" w:firstColumn="1" w:lastColumn="1" w:noHBand="0" w:noVBand="0"/>
      </w:tblPr>
      <w:tblGrid>
        <w:gridCol w:w="997"/>
        <w:gridCol w:w="4551"/>
        <w:gridCol w:w="3581"/>
      </w:tblGrid>
      <w:tr w:rsidR="0010369C" w14:paraId="51DE7E48" w14:textId="77777777">
        <w:trPr>
          <w:trHeight w:val="320"/>
        </w:trPr>
        <w:tc>
          <w:tcPr>
            <w:tcW w:w="997" w:type="dxa"/>
            <w:tcBorders>
              <w:bottom w:val="single" w:sz="48" w:space="0" w:color="FFFFFF"/>
            </w:tcBorders>
          </w:tcPr>
          <w:p w14:paraId="51DE7E46" w14:textId="77777777" w:rsidR="0010369C" w:rsidRDefault="008E43AE">
            <w:pPr>
              <w:pStyle w:val="TableParagraph"/>
              <w:spacing w:line="291" w:lineRule="exact"/>
              <w:ind w:right="-29"/>
              <w:jc w:val="right"/>
              <w:rPr>
                <w:sz w:val="24"/>
              </w:rPr>
            </w:pPr>
            <w:r>
              <w:rPr>
                <w:spacing w:val="-5"/>
                <w:sz w:val="24"/>
              </w:rPr>
              <w:t>[[</w:t>
            </w:r>
          </w:p>
        </w:tc>
        <w:tc>
          <w:tcPr>
            <w:tcW w:w="8132" w:type="dxa"/>
            <w:gridSpan w:val="2"/>
            <w:tcBorders>
              <w:bottom w:val="single" w:sz="48" w:space="0" w:color="FFFFFF"/>
            </w:tcBorders>
            <w:shd w:val="clear" w:color="auto" w:fill="000000"/>
          </w:tcPr>
          <w:p w14:paraId="51DE7E47" w14:textId="77777777" w:rsidR="0010369C" w:rsidRDefault="0010369C">
            <w:pPr>
              <w:pStyle w:val="TableParagraph"/>
              <w:rPr>
                <w:rFonts w:ascii="Times New Roman"/>
                <w:sz w:val="20"/>
              </w:rPr>
            </w:pPr>
          </w:p>
        </w:tc>
      </w:tr>
      <w:tr w:rsidR="0010369C" w14:paraId="51DE7E4A" w14:textId="77777777">
        <w:trPr>
          <w:trHeight w:val="319"/>
        </w:trPr>
        <w:tc>
          <w:tcPr>
            <w:tcW w:w="9129" w:type="dxa"/>
            <w:gridSpan w:val="3"/>
            <w:tcBorders>
              <w:top w:val="single" w:sz="48" w:space="0" w:color="FFFFFF"/>
              <w:bottom w:val="single" w:sz="48" w:space="0" w:color="FFFFFF"/>
            </w:tcBorders>
            <w:shd w:val="clear" w:color="auto" w:fill="000000"/>
          </w:tcPr>
          <w:p w14:paraId="51DE7E49" w14:textId="77777777" w:rsidR="0010369C" w:rsidRDefault="0010369C">
            <w:pPr>
              <w:pStyle w:val="TableParagraph"/>
              <w:rPr>
                <w:rFonts w:ascii="Times New Roman"/>
                <w:sz w:val="20"/>
              </w:rPr>
            </w:pPr>
          </w:p>
        </w:tc>
      </w:tr>
      <w:tr w:rsidR="0010369C" w14:paraId="51DE7E4C" w14:textId="77777777">
        <w:trPr>
          <w:trHeight w:val="319"/>
        </w:trPr>
        <w:tc>
          <w:tcPr>
            <w:tcW w:w="9129" w:type="dxa"/>
            <w:gridSpan w:val="3"/>
            <w:tcBorders>
              <w:top w:val="single" w:sz="48" w:space="0" w:color="FFFFFF"/>
              <w:bottom w:val="single" w:sz="48" w:space="0" w:color="FFFFFF"/>
            </w:tcBorders>
            <w:shd w:val="clear" w:color="auto" w:fill="000000"/>
          </w:tcPr>
          <w:p w14:paraId="51DE7E4B" w14:textId="77777777" w:rsidR="0010369C" w:rsidRDefault="0010369C">
            <w:pPr>
              <w:pStyle w:val="TableParagraph"/>
              <w:rPr>
                <w:rFonts w:ascii="Times New Roman"/>
                <w:sz w:val="20"/>
              </w:rPr>
            </w:pPr>
          </w:p>
        </w:tc>
      </w:tr>
      <w:tr w:rsidR="0010369C" w14:paraId="51DE7E4E" w14:textId="77777777">
        <w:trPr>
          <w:trHeight w:val="319"/>
        </w:trPr>
        <w:tc>
          <w:tcPr>
            <w:tcW w:w="9129" w:type="dxa"/>
            <w:gridSpan w:val="3"/>
            <w:tcBorders>
              <w:top w:val="single" w:sz="48" w:space="0" w:color="FFFFFF"/>
              <w:bottom w:val="single" w:sz="48" w:space="0" w:color="FFFFFF"/>
            </w:tcBorders>
            <w:shd w:val="clear" w:color="auto" w:fill="000000"/>
          </w:tcPr>
          <w:p w14:paraId="51DE7E4D" w14:textId="77777777" w:rsidR="0010369C" w:rsidRDefault="0010369C">
            <w:pPr>
              <w:pStyle w:val="TableParagraph"/>
              <w:rPr>
                <w:rFonts w:ascii="Times New Roman"/>
                <w:sz w:val="20"/>
              </w:rPr>
            </w:pPr>
          </w:p>
        </w:tc>
      </w:tr>
      <w:tr w:rsidR="0010369C" w14:paraId="51DE7E50" w14:textId="77777777">
        <w:trPr>
          <w:trHeight w:val="319"/>
        </w:trPr>
        <w:tc>
          <w:tcPr>
            <w:tcW w:w="9129" w:type="dxa"/>
            <w:gridSpan w:val="3"/>
            <w:tcBorders>
              <w:top w:val="single" w:sz="48" w:space="0" w:color="FFFFFF"/>
              <w:bottom w:val="single" w:sz="48" w:space="0" w:color="FFFFFF"/>
            </w:tcBorders>
            <w:shd w:val="clear" w:color="auto" w:fill="000000"/>
          </w:tcPr>
          <w:p w14:paraId="51DE7E4F" w14:textId="77777777" w:rsidR="0010369C" w:rsidRDefault="0010369C">
            <w:pPr>
              <w:pStyle w:val="TableParagraph"/>
              <w:rPr>
                <w:rFonts w:ascii="Times New Roman"/>
                <w:sz w:val="20"/>
              </w:rPr>
            </w:pPr>
          </w:p>
        </w:tc>
      </w:tr>
      <w:tr w:rsidR="0010369C" w14:paraId="51DE7E52" w14:textId="77777777">
        <w:trPr>
          <w:trHeight w:val="319"/>
        </w:trPr>
        <w:tc>
          <w:tcPr>
            <w:tcW w:w="9129" w:type="dxa"/>
            <w:gridSpan w:val="3"/>
            <w:tcBorders>
              <w:top w:val="single" w:sz="48" w:space="0" w:color="FFFFFF"/>
              <w:bottom w:val="single" w:sz="48" w:space="0" w:color="FFFFFF"/>
            </w:tcBorders>
            <w:shd w:val="clear" w:color="auto" w:fill="000000"/>
          </w:tcPr>
          <w:p w14:paraId="51DE7E51" w14:textId="77777777" w:rsidR="0010369C" w:rsidRDefault="0010369C">
            <w:pPr>
              <w:pStyle w:val="TableParagraph"/>
              <w:rPr>
                <w:rFonts w:ascii="Times New Roman"/>
                <w:sz w:val="20"/>
              </w:rPr>
            </w:pPr>
          </w:p>
        </w:tc>
      </w:tr>
      <w:tr w:rsidR="0010369C" w14:paraId="51DE7E54" w14:textId="77777777">
        <w:trPr>
          <w:trHeight w:val="320"/>
        </w:trPr>
        <w:tc>
          <w:tcPr>
            <w:tcW w:w="9129" w:type="dxa"/>
            <w:gridSpan w:val="3"/>
            <w:tcBorders>
              <w:top w:val="single" w:sz="48" w:space="0" w:color="FFFFFF"/>
              <w:bottom w:val="single" w:sz="48" w:space="0" w:color="FFFFFF"/>
            </w:tcBorders>
            <w:shd w:val="clear" w:color="auto" w:fill="000000"/>
          </w:tcPr>
          <w:p w14:paraId="51DE7E53" w14:textId="77777777" w:rsidR="0010369C" w:rsidRDefault="0010369C">
            <w:pPr>
              <w:pStyle w:val="TableParagraph"/>
              <w:rPr>
                <w:rFonts w:ascii="Times New Roman"/>
                <w:sz w:val="20"/>
              </w:rPr>
            </w:pPr>
          </w:p>
        </w:tc>
      </w:tr>
      <w:tr w:rsidR="0010369C" w14:paraId="51DE7E57" w14:textId="77777777">
        <w:trPr>
          <w:trHeight w:val="320"/>
        </w:trPr>
        <w:tc>
          <w:tcPr>
            <w:tcW w:w="5548" w:type="dxa"/>
            <w:gridSpan w:val="2"/>
            <w:tcBorders>
              <w:top w:val="single" w:sz="48" w:space="0" w:color="FFFFFF"/>
            </w:tcBorders>
            <w:shd w:val="clear" w:color="auto" w:fill="000000"/>
          </w:tcPr>
          <w:p w14:paraId="51DE7E55" w14:textId="77777777" w:rsidR="0010369C" w:rsidRDefault="0010369C">
            <w:pPr>
              <w:pStyle w:val="TableParagraph"/>
              <w:rPr>
                <w:rFonts w:ascii="Times New Roman"/>
                <w:sz w:val="20"/>
              </w:rPr>
            </w:pPr>
          </w:p>
        </w:tc>
        <w:tc>
          <w:tcPr>
            <w:tcW w:w="3581" w:type="dxa"/>
            <w:tcBorders>
              <w:top w:val="single" w:sz="48" w:space="0" w:color="FFFFFF"/>
            </w:tcBorders>
          </w:tcPr>
          <w:p w14:paraId="51DE7E56" w14:textId="77777777" w:rsidR="0010369C" w:rsidRDefault="008E43AE">
            <w:pPr>
              <w:pStyle w:val="TableParagraph"/>
              <w:spacing w:line="290" w:lineRule="exact"/>
              <w:ind w:left="22"/>
              <w:rPr>
                <w:sz w:val="24"/>
              </w:rPr>
            </w:pPr>
            <w:r>
              <w:rPr>
                <w:spacing w:val="-5"/>
                <w:sz w:val="24"/>
              </w:rPr>
              <w:t>]]</w:t>
            </w:r>
          </w:p>
        </w:tc>
      </w:tr>
    </w:tbl>
    <w:p w14:paraId="51DE7E58" w14:textId="77777777" w:rsidR="0010369C" w:rsidRDefault="0010369C">
      <w:pPr>
        <w:pStyle w:val="BodyText"/>
        <w:spacing w:before="7"/>
        <w:rPr>
          <w:sz w:val="18"/>
        </w:rPr>
      </w:pPr>
    </w:p>
    <w:p w14:paraId="51DE7E59" w14:textId="77777777" w:rsidR="0010369C" w:rsidRDefault="008E43AE">
      <w:pPr>
        <w:spacing w:before="51"/>
        <w:ind w:left="1143"/>
        <w:rPr>
          <w:sz w:val="24"/>
        </w:rPr>
      </w:pPr>
      <w:r>
        <w:rPr>
          <w:noProof/>
        </w:rPr>
        <w:drawing>
          <wp:anchor distT="0" distB="0" distL="0" distR="0" simplePos="0" relativeHeight="250613248" behindDoc="0" locked="0" layoutInCell="1" allowOverlap="1" wp14:anchorId="51DE9E09" wp14:editId="51DE9E0A">
            <wp:simplePos x="0" y="0"/>
            <wp:positionH relativeFrom="page">
              <wp:posOffset>908303</wp:posOffset>
            </wp:positionH>
            <wp:positionV relativeFrom="paragraph">
              <wp:posOffset>79960</wp:posOffset>
            </wp:positionV>
            <wp:extent cx="256031" cy="103631"/>
            <wp:effectExtent l="0" t="0" r="0" b="0"/>
            <wp:wrapNone/>
            <wp:docPr id="223" name="image1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mage120.png"/>
                    <pic:cNvPicPr/>
                  </pic:nvPicPr>
                  <pic:blipFill>
                    <a:blip r:embed="rId212" cstate="print"/>
                    <a:stretch>
                      <a:fillRect/>
                    </a:stretch>
                  </pic:blipFill>
                  <pic:spPr>
                    <a:xfrm>
                      <a:off x="0" y="0"/>
                      <a:ext cx="256031" cy="103631"/>
                    </a:xfrm>
                    <a:prstGeom prst="rect">
                      <a:avLst/>
                    </a:prstGeom>
                  </pic:spPr>
                </pic:pic>
              </a:graphicData>
            </a:graphic>
          </wp:anchor>
        </w:drawing>
      </w:r>
      <w:r>
        <w:pict w14:anchorId="51DE9E0B">
          <v:rect id="docshape112" o:spid="_x0000_s3161" style="position:absolute;left:0;text-align:left;margin-left:122.5pt;margin-top:2.65pt;width:400.95pt;height:16.05pt;z-index:251692544;mso-position-horizontal-relative:page;mso-position-vertical-relative:text" fillcolor="black" stroked="f">
            <w10:wrap anchorx="page"/>
          </v:rect>
        </w:pict>
      </w:r>
      <w:r>
        <w:rPr>
          <w:spacing w:val="-5"/>
          <w:sz w:val="24"/>
        </w:rPr>
        <w:t>[[</w:t>
      </w:r>
    </w:p>
    <w:p w14:paraId="51DE7E5A" w14:textId="77777777" w:rsidR="0010369C" w:rsidRDefault="008E43AE">
      <w:pPr>
        <w:pStyle w:val="BodyText"/>
        <w:spacing w:before="4"/>
        <w:rPr>
          <w:sz w:val="10"/>
        </w:rPr>
      </w:pPr>
      <w:r>
        <w:pict w14:anchorId="51DE9E0C">
          <v:rect id="docshape113" o:spid="_x0000_s3160" style="position:absolute;margin-left:69.9pt;margin-top:7.5pt;width:453.45pt;height:16.05pt;z-index:-251233792;mso-wrap-distance-left:0;mso-wrap-distance-right:0;mso-position-horizontal-relative:page" fillcolor="black" stroked="f">
            <w10:wrap type="topAndBottom" anchorx="page"/>
          </v:rect>
        </w:pict>
      </w:r>
      <w:r>
        <w:pict w14:anchorId="51DE9E0D">
          <v:rect id="docshape114" o:spid="_x0000_s3159" style="position:absolute;margin-left:69.9pt;margin-top:29.5pt;width:453.4pt;height:16.05pt;z-index:-251232768;mso-wrap-distance-left:0;mso-wrap-distance-right:0;mso-position-horizontal-relative:page" fillcolor="black" stroked="f">
            <w10:wrap type="topAndBottom" anchorx="page"/>
          </v:rect>
        </w:pict>
      </w:r>
      <w:r>
        <w:pict w14:anchorId="51DE9E0E">
          <v:rect id="docshape115" o:spid="_x0000_s3158" style="position:absolute;margin-left:69.95pt;margin-top:51.45pt;width:453.45pt;height:16.05pt;z-index:-251231744;mso-wrap-distance-left:0;mso-wrap-distance-right:0;mso-position-horizontal-relative:page" fillcolor="black" stroked="f">
            <w10:wrap type="topAndBottom" anchorx="page"/>
          </v:rect>
        </w:pict>
      </w:r>
      <w:r>
        <w:pict w14:anchorId="51DE9E0F">
          <v:shape id="docshape116" o:spid="_x0000_s3157" style="position:absolute;margin-left:69.9pt;margin-top:73.4pt;width:453.55pt;height:16.1pt;z-index:-251230720;mso-wrap-distance-left:0;mso-wrap-distance-right:0;mso-position-horizontal-relative:page" coordorigin="1398,1468" coordsize="9071,322" o:spt="100" adj="0,,0" path="m10226,1468r-8828,l1398,1789r8828,l10226,1468xm10469,1470r-242,l10227,1684r242,l10469,1470xe" fillcolor="black" stroked="f">
            <v:stroke joinstyle="round"/>
            <v:formulas/>
            <v:path arrowok="t" o:connecttype="segments"/>
            <w10:wrap type="topAndBottom" anchorx="page"/>
          </v:shape>
        </w:pict>
      </w:r>
      <w:r>
        <w:pict w14:anchorId="51DE9E10">
          <v:rect id="docshape117" o:spid="_x0000_s3156" style="position:absolute;margin-left:69.9pt;margin-top:95.35pt;width:453.55pt;height:16.05pt;z-index:-251229696;mso-wrap-distance-left:0;mso-wrap-distance-right:0;mso-position-horizontal-relative:page" fillcolor="black" stroked="f">
            <w10:wrap type="topAndBottom" anchorx="page"/>
          </v:rect>
        </w:pict>
      </w:r>
    </w:p>
    <w:p w14:paraId="51DE7E5B" w14:textId="77777777" w:rsidR="0010369C" w:rsidRDefault="0010369C">
      <w:pPr>
        <w:pStyle w:val="BodyText"/>
        <w:spacing w:before="8"/>
        <w:rPr>
          <w:sz w:val="7"/>
        </w:rPr>
      </w:pPr>
    </w:p>
    <w:p w14:paraId="51DE7E5C" w14:textId="77777777" w:rsidR="0010369C" w:rsidRDefault="0010369C">
      <w:pPr>
        <w:pStyle w:val="BodyText"/>
        <w:spacing w:before="8"/>
        <w:rPr>
          <w:sz w:val="7"/>
        </w:rPr>
      </w:pPr>
    </w:p>
    <w:p w14:paraId="51DE7E5D" w14:textId="77777777" w:rsidR="0010369C" w:rsidRDefault="0010369C">
      <w:pPr>
        <w:pStyle w:val="BodyText"/>
        <w:spacing w:before="8"/>
        <w:rPr>
          <w:sz w:val="7"/>
        </w:rPr>
      </w:pPr>
    </w:p>
    <w:p w14:paraId="51DE7E5E" w14:textId="77777777" w:rsidR="0010369C" w:rsidRDefault="0010369C">
      <w:pPr>
        <w:pStyle w:val="BodyText"/>
        <w:spacing w:before="8"/>
        <w:rPr>
          <w:sz w:val="7"/>
        </w:rPr>
      </w:pPr>
    </w:p>
    <w:p w14:paraId="51DE7E5F" w14:textId="77777777" w:rsidR="0010369C" w:rsidRDefault="008E43AE">
      <w:pPr>
        <w:spacing w:before="118"/>
        <w:ind w:left="3658" w:right="2319"/>
        <w:jc w:val="center"/>
        <w:rPr>
          <w:sz w:val="24"/>
        </w:rPr>
      </w:pPr>
      <w:r>
        <w:rPr>
          <w:spacing w:val="-5"/>
          <w:sz w:val="24"/>
        </w:rPr>
        <w:t>]]</w:t>
      </w:r>
    </w:p>
    <w:p w14:paraId="51DE7E60" w14:textId="77777777" w:rsidR="0010369C" w:rsidRDefault="0010369C">
      <w:pPr>
        <w:pStyle w:val="BodyText"/>
        <w:spacing w:before="1"/>
        <w:rPr>
          <w:sz w:val="25"/>
        </w:rPr>
      </w:pPr>
    </w:p>
    <w:tbl>
      <w:tblPr>
        <w:tblW w:w="0" w:type="auto"/>
        <w:tblInd w:w="225" w:type="dxa"/>
        <w:tblLayout w:type="fixed"/>
        <w:tblCellMar>
          <w:left w:w="0" w:type="dxa"/>
          <w:right w:w="0" w:type="dxa"/>
        </w:tblCellMar>
        <w:tblLook w:val="01E0" w:firstRow="1" w:lastRow="1" w:firstColumn="1" w:lastColumn="1" w:noHBand="0" w:noVBand="0"/>
      </w:tblPr>
      <w:tblGrid>
        <w:gridCol w:w="997"/>
        <w:gridCol w:w="5223"/>
        <w:gridCol w:w="2909"/>
      </w:tblGrid>
      <w:tr w:rsidR="0010369C" w14:paraId="51DE7E63" w14:textId="77777777">
        <w:trPr>
          <w:trHeight w:val="320"/>
        </w:trPr>
        <w:tc>
          <w:tcPr>
            <w:tcW w:w="997" w:type="dxa"/>
            <w:tcBorders>
              <w:bottom w:val="single" w:sz="48" w:space="0" w:color="FFFFFF"/>
            </w:tcBorders>
          </w:tcPr>
          <w:p w14:paraId="51DE7E61" w14:textId="77777777" w:rsidR="0010369C" w:rsidRDefault="008E43AE">
            <w:pPr>
              <w:pStyle w:val="TableParagraph"/>
              <w:spacing w:line="291" w:lineRule="exact"/>
              <w:ind w:right="-29"/>
              <w:jc w:val="right"/>
              <w:rPr>
                <w:sz w:val="24"/>
              </w:rPr>
            </w:pPr>
            <w:r>
              <w:rPr>
                <w:spacing w:val="-5"/>
                <w:sz w:val="24"/>
              </w:rPr>
              <w:t>[[</w:t>
            </w:r>
          </w:p>
        </w:tc>
        <w:tc>
          <w:tcPr>
            <w:tcW w:w="8132" w:type="dxa"/>
            <w:gridSpan w:val="2"/>
            <w:tcBorders>
              <w:bottom w:val="single" w:sz="48" w:space="0" w:color="FFFFFF"/>
            </w:tcBorders>
            <w:shd w:val="clear" w:color="auto" w:fill="000000"/>
          </w:tcPr>
          <w:p w14:paraId="51DE7E62" w14:textId="77777777" w:rsidR="0010369C" w:rsidRDefault="0010369C">
            <w:pPr>
              <w:pStyle w:val="TableParagraph"/>
              <w:rPr>
                <w:rFonts w:ascii="Times New Roman"/>
                <w:sz w:val="20"/>
              </w:rPr>
            </w:pPr>
          </w:p>
        </w:tc>
      </w:tr>
      <w:tr w:rsidR="0010369C" w14:paraId="51DE7E65" w14:textId="77777777">
        <w:trPr>
          <w:trHeight w:val="319"/>
        </w:trPr>
        <w:tc>
          <w:tcPr>
            <w:tcW w:w="9129" w:type="dxa"/>
            <w:gridSpan w:val="3"/>
            <w:tcBorders>
              <w:top w:val="single" w:sz="48" w:space="0" w:color="FFFFFF"/>
              <w:bottom w:val="single" w:sz="48" w:space="0" w:color="FFFFFF"/>
            </w:tcBorders>
            <w:shd w:val="clear" w:color="auto" w:fill="000000"/>
          </w:tcPr>
          <w:p w14:paraId="51DE7E64" w14:textId="77777777" w:rsidR="0010369C" w:rsidRDefault="0010369C">
            <w:pPr>
              <w:pStyle w:val="TableParagraph"/>
              <w:rPr>
                <w:rFonts w:ascii="Times New Roman"/>
                <w:sz w:val="20"/>
              </w:rPr>
            </w:pPr>
          </w:p>
        </w:tc>
      </w:tr>
      <w:tr w:rsidR="0010369C" w14:paraId="51DE7E67" w14:textId="77777777">
        <w:trPr>
          <w:trHeight w:val="319"/>
        </w:trPr>
        <w:tc>
          <w:tcPr>
            <w:tcW w:w="9129" w:type="dxa"/>
            <w:gridSpan w:val="3"/>
            <w:tcBorders>
              <w:top w:val="single" w:sz="48" w:space="0" w:color="FFFFFF"/>
              <w:bottom w:val="single" w:sz="48" w:space="0" w:color="FFFFFF"/>
            </w:tcBorders>
            <w:shd w:val="clear" w:color="auto" w:fill="000000"/>
          </w:tcPr>
          <w:p w14:paraId="51DE7E66" w14:textId="77777777" w:rsidR="0010369C" w:rsidRDefault="0010369C">
            <w:pPr>
              <w:pStyle w:val="TableParagraph"/>
              <w:rPr>
                <w:rFonts w:ascii="Times New Roman"/>
                <w:sz w:val="20"/>
              </w:rPr>
            </w:pPr>
          </w:p>
        </w:tc>
      </w:tr>
      <w:tr w:rsidR="0010369C" w14:paraId="51DE7E69" w14:textId="77777777">
        <w:trPr>
          <w:trHeight w:val="319"/>
        </w:trPr>
        <w:tc>
          <w:tcPr>
            <w:tcW w:w="9129" w:type="dxa"/>
            <w:gridSpan w:val="3"/>
            <w:tcBorders>
              <w:top w:val="single" w:sz="48" w:space="0" w:color="FFFFFF"/>
              <w:bottom w:val="single" w:sz="48" w:space="0" w:color="FFFFFF"/>
            </w:tcBorders>
            <w:shd w:val="clear" w:color="auto" w:fill="000000"/>
          </w:tcPr>
          <w:p w14:paraId="51DE7E68" w14:textId="77777777" w:rsidR="0010369C" w:rsidRDefault="0010369C">
            <w:pPr>
              <w:pStyle w:val="TableParagraph"/>
              <w:rPr>
                <w:rFonts w:ascii="Times New Roman"/>
                <w:sz w:val="20"/>
              </w:rPr>
            </w:pPr>
          </w:p>
        </w:tc>
      </w:tr>
      <w:tr w:rsidR="0010369C" w14:paraId="51DE7E6B" w14:textId="77777777">
        <w:trPr>
          <w:trHeight w:val="319"/>
        </w:trPr>
        <w:tc>
          <w:tcPr>
            <w:tcW w:w="9129" w:type="dxa"/>
            <w:gridSpan w:val="3"/>
            <w:tcBorders>
              <w:top w:val="single" w:sz="48" w:space="0" w:color="FFFFFF"/>
              <w:bottom w:val="single" w:sz="48" w:space="0" w:color="FFFFFF"/>
            </w:tcBorders>
            <w:shd w:val="clear" w:color="auto" w:fill="000000"/>
          </w:tcPr>
          <w:p w14:paraId="51DE7E6A" w14:textId="77777777" w:rsidR="0010369C" w:rsidRDefault="0010369C">
            <w:pPr>
              <w:pStyle w:val="TableParagraph"/>
              <w:rPr>
                <w:rFonts w:ascii="Times New Roman"/>
                <w:sz w:val="20"/>
              </w:rPr>
            </w:pPr>
          </w:p>
        </w:tc>
      </w:tr>
      <w:tr w:rsidR="0010369C" w14:paraId="51DE7E6D" w14:textId="77777777">
        <w:trPr>
          <w:trHeight w:val="319"/>
        </w:trPr>
        <w:tc>
          <w:tcPr>
            <w:tcW w:w="9129" w:type="dxa"/>
            <w:gridSpan w:val="3"/>
            <w:tcBorders>
              <w:top w:val="single" w:sz="48" w:space="0" w:color="FFFFFF"/>
              <w:bottom w:val="single" w:sz="48" w:space="0" w:color="FFFFFF"/>
            </w:tcBorders>
            <w:shd w:val="clear" w:color="auto" w:fill="000000"/>
          </w:tcPr>
          <w:p w14:paraId="51DE7E6C" w14:textId="77777777" w:rsidR="0010369C" w:rsidRDefault="0010369C">
            <w:pPr>
              <w:pStyle w:val="TableParagraph"/>
              <w:rPr>
                <w:rFonts w:ascii="Times New Roman"/>
                <w:sz w:val="20"/>
              </w:rPr>
            </w:pPr>
          </w:p>
        </w:tc>
      </w:tr>
      <w:tr w:rsidR="0010369C" w14:paraId="51DE7E6F" w14:textId="77777777">
        <w:trPr>
          <w:trHeight w:val="319"/>
        </w:trPr>
        <w:tc>
          <w:tcPr>
            <w:tcW w:w="9129" w:type="dxa"/>
            <w:gridSpan w:val="3"/>
            <w:tcBorders>
              <w:top w:val="single" w:sz="48" w:space="0" w:color="FFFFFF"/>
              <w:bottom w:val="single" w:sz="48" w:space="0" w:color="FFFFFF"/>
            </w:tcBorders>
            <w:shd w:val="clear" w:color="auto" w:fill="000000"/>
          </w:tcPr>
          <w:p w14:paraId="51DE7E6E" w14:textId="77777777" w:rsidR="0010369C" w:rsidRDefault="0010369C">
            <w:pPr>
              <w:pStyle w:val="TableParagraph"/>
              <w:rPr>
                <w:rFonts w:ascii="Times New Roman"/>
                <w:sz w:val="20"/>
              </w:rPr>
            </w:pPr>
          </w:p>
        </w:tc>
      </w:tr>
      <w:tr w:rsidR="0010369C" w14:paraId="51DE7E71" w14:textId="77777777">
        <w:trPr>
          <w:trHeight w:val="319"/>
        </w:trPr>
        <w:tc>
          <w:tcPr>
            <w:tcW w:w="9129" w:type="dxa"/>
            <w:gridSpan w:val="3"/>
            <w:tcBorders>
              <w:top w:val="single" w:sz="48" w:space="0" w:color="FFFFFF"/>
              <w:bottom w:val="single" w:sz="48" w:space="0" w:color="FFFFFF"/>
            </w:tcBorders>
            <w:shd w:val="clear" w:color="auto" w:fill="000000"/>
          </w:tcPr>
          <w:p w14:paraId="51DE7E70" w14:textId="77777777" w:rsidR="0010369C" w:rsidRDefault="0010369C">
            <w:pPr>
              <w:pStyle w:val="TableParagraph"/>
              <w:rPr>
                <w:rFonts w:ascii="Times New Roman"/>
                <w:sz w:val="20"/>
              </w:rPr>
            </w:pPr>
          </w:p>
        </w:tc>
      </w:tr>
      <w:tr w:rsidR="0010369C" w14:paraId="51DE7E74" w14:textId="77777777">
        <w:trPr>
          <w:trHeight w:val="320"/>
        </w:trPr>
        <w:tc>
          <w:tcPr>
            <w:tcW w:w="6220" w:type="dxa"/>
            <w:gridSpan w:val="2"/>
            <w:tcBorders>
              <w:top w:val="single" w:sz="48" w:space="0" w:color="FFFFFF"/>
            </w:tcBorders>
            <w:shd w:val="clear" w:color="auto" w:fill="000000"/>
          </w:tcPr>
          <w:p w14:paraId="51DE7E72" w14:textId="77777777" w:rsidR="0010369C" w:rsidRDefault="0010369C">
            <w:pPr>
              <w:pStyle w:val="TableParagraph"/>
              <w:rPr>
                <w:rFonts w:ascii="Times New Roman"/>
                <w:sz w:val="20"/>
              </w:rPr>
            </w:pPr>
          </w:p>
        </w:tc>
        <w:tc>
          <w:tcPr>
            <w:tcW w:w="2909" w:type="dxa"/>
            <w:tcBorders>
              <w:top w:val="single" w:sz="48" w:space="0" w:color="FFFFFF"/>
            </w:tcBorders>
          </w:tcPr>
          <w:p w14:paraId="51DE7E73" w14:textId="77777777" w:rsidR="0010369C" w:rsidRDefault="008E43AE">
            <w:pPr>
              <w:pStyle w:val="TableParagraph"/>
              <w:spacing w:line="290" w:lineRule="exact"/>
              <w:ind w:left="20"/>
              <w:rPr>
                <w:sz w:val="24"/>
              </w:rPr>
            </w:pPr>
            <w:r>
              <w:rPr>
                <w:spacing w:val="-5"/>
                <w:sz w:val="24"/>
              </w:rPr>
              <w:t>]]</w:t>
            </w:r>
          </w:p>
        </w:tc>
      </w:tr>
    </w:tbl>
    <w:p w14:paraId="51DE7E75" w14:textId="77777777" w:rsidR="0010369C" w:rsidRDefault="0010369C">
      <w:pPr>
        <w:pStyle w:val="BodyText"/>
        <w:spacing w:before="8"/>
        <w:rPr>
          <w:sz w:val="18"/>
        </w:rPr>
      </w:pPr>
    </w:p>
    <w:p w14:paraId="51DE7E76" w14:textId="77777777" w:rsidR="0010369C" w:rsidRDefault="008E43AE">
      <w:pPr>
        <w:spacing w:before="51"/>
        <w:ind w:left="1089"/>
        <w:rPr>
          <w:sz w:val="24"/>
        </w:rPr>
      </w:pPr>
      <w:r>
        <w:rPr>
          <w:noProof/>
        </w:rPr>
        <w:drawing>
          <wp:anchor distT="0" distB="0" distL="0" distR="0" simplePos="0" relativeHeight="250614272" behindDoc="0" locked="0" layoutInCell="1" allowOverlap="1" wp14:anchorId="51DE9E11" wp14:editId="51DE9E12">
            <wp:simplePos x="0" y="0"/>
            <wp:positionH relativeFrom="page">
              <wp:posOffset>908303</wp:posOffset>
            </wp:positionH>
            <wp:positionV relativeFrom="paragraph">
              <wp:posOffset>81314</wp:posOffset>
            </wp:positionV>
            <wp:extent cx="256031" cy="100753"/>
            <wp:effectExtent l="0" t="0" r="0" b="0"/>
            <wp:wrapNone/>
            <wp:docPr id="225" name="image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image121.png"/>
                    <pic:cNvPicPr/>
                  </pic:nvPicPr>
                  <pic:blipFill>
                    <a:blip r:embed="rId213" cstate="print"/>
                    <a:stretch>
                      <a:fillRect/>
                    </a:stretch>
                  </pic:blipFill>
                  <pic:spPr>
                    <a:xfrm>
                      <a:off x="0" y="0"/>
                      <a:ext cx="256031" cy="100753"/>
                    </a:xfrm>
                    <a:prstGeom prst="rect">
                      <a:avLst/>
                    </a:prstGeom>
                  </pic:spPr>
                </pic:pic>
              </a:graphicData>
            </a:graphic>
          </wp:anchor>
        </w:drawing>
      </w:r>
      <w:r>
        <w:pict w14:anchorId="51DE9E13">
          <v:rect id="docshape118" o:spid="_x0000_s3155" style="position:absolute;left:0;text-align:left;margin-left:119.8pt;margin-top:2.65pt;width:403.6pt;height:16.05pt;z-index:251694592;mso-position-horizontal-relative:page;mso-position-vertical-relative:text" fillcolor="black" stroked="f">
            <w10:wrap anchorx="page"/>
          </v:rect>
        </w:pict>
      </w:r>
      <w:r>
        <w:rPr>
          <w:spacing w:val="-5"/>
          <w:sz w:val="24"/>
        </w:rPr>
        <w:t>[[</w:t>
      </w:r>
    </w:p>
    <w:p w14:paraId="51DE7E77" w14:textId="77777777" w:rsidR="0010369C" w:rsidRDefault="008E43AE">
      <w:pPr>
        <w:pStyle w:val="BodyText"/>
        <w:spacing w:before="4"/>
        <w:rPr>
          <w:sz w:val="10"/>
        </w:rPr>
      </w:pPr>
      <w:r>
        <w:pict w14:anchorId="51DE9E14">
          <v:rect id="docshape119" o:spid="_x0000_s3154" style="position:absolute;margin-left:69.9pt;margin-top:7.55pt;width:453.55pt;height:16.05pt;z-index:-251228672;mso-wrap-distance-left:0;mso-wrap-distance-right:0;mso-position-horizontal-relative:page" fillcolor="black" stroked="f">
            <w10:wrap type="topAndBottom" anchorx="page"/>
          </v:rect>
        </w:pict>
      </w:r>
      <w:r>
        <w:pict w14:anchorId="51DE9E15">
          <v:rect id="docshape120" o:spid="_x0000_s3153" style="position:absolute;margin-left:70.9pt;margin-top:43.1pt;width:2in;height:.8pt;z-index:-251227648;mso-wrap-distance-left:0;mso-wrap-distance-right:0;mso-position-horizontal-relative:page" fillcolor="black" stroked="f">
            <w10:wrap type="topAndBottom" anchorx="page"/>
          </v:rect>
        </w:pict>
      </w:r>
    </w:p>
    <w:p w14:paraId="51DE7E78" w14:textId="77777777" w:rsidR="0010369C" w:rsidRDefault="0010369C">
      <w:pPr>
        <w:pStyle w:val="BodyText"/>
        <w:spacing w:before="11"/>
        <w:rPr>
          <w:sz w:val="29"/>
        </w:rPr>
      </w:pPr>
    </w:p>
    <w:p w14:paraId="51DE7E79" w14:textId="77777777" w:rsidR="0010369C" w:rsidRDefault="0010369C">
      <w:pPr>
        <w:pStyle w:val="BodyText"/>
        <w:spacing w:before="8"/>
        <w:rPr>
          <w:sz w:val="5"/>
        </w:rPr>
      </w:pPr>
    </w:p>
    <w:p w14:paraId="51DE7E7A" w14:textId="77777777" w:rsidR="0010369C" w:rsidRDefault="0010369C">
      <w:pPr>
        <w:rPr>
          <w:sz w:val="5"/>
        </w:rPr>
        <w:sectPr w:rsidR="0010369C">
          <w:pgSz w:w="11910" w:h="16840"/>
          <w:pgMar w:top="880" w:right="800" w:bottom="980" w:left="1180" w:header="569" w:footer="788" w:gutter="0"/>
          <w:cols w:space="720"/>
        </w:sectPr>
      </w:pPr>
    </w:p>
    <w:p w14:paraId="51DE7E7B" w14:textId="77777777" w:rsidR="0010369C" w:rsidRDefault="008E43AE">
      <w:pPr>
        <w:spacing w:before="74" w:line="158" w:lineRule="auto"/>
        <w:ind w:left="238"/>
        <w:rPr>
          <w:sz w:val="18"/>
        </w:rPr>
      </w:pPr>
      <w:r>
        <w:rPr>
          <w:noProof/>
        </w:rPr>
        <w:drawing>
          <wp:anchor distT="0" distB="0" distL="0" distR="0" simplePos="0" relativeHeight="250804736" behindDoc="1" locked="0" layoutInCell="1" allowOverlap="1" wp14:anchorId="51DE9E16" wp14:editId="51DE9E17">
            <wp:simplePos x="0" y="0"/>
            <wp:positionH relativeFrom="page">
              <wp:posOffset>908303</wp:posOffset>
            </wp:positionH>
            <wp:positionV relativeFrom="page">
              <wp:posOffset>1609174</wp:posOffset>
            </wp:positionV>
            <wp:extent cx="255117" cy="100393"/>
            <wp:effectExtent l="0" t="0" r="0" b="0"/>
            <wp:wrapNone/>
            <wp:docPr id="227" name="image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image122.png"/>
                    <pic:cNvPicPr/>
                  </pic:nvPicPr>
                  <pic:blipFill>
                    <a:blip r:embed="rId214" cstate="print"/>
                    <a:stretch>
                      <a:fillRect/>
                    </a:stretch>
                  </pic:blipFill>
                  <pic:spPr>
                    <a:xfrm>
                      <a:off x="0" y="0"/>
                      <a:ext cx="255117" cy="100393"/>
                    </a:xfrm>
                    <a:prstGeom prst="rect">
                      <a:avLst/>
                    </a:prstGeom>
                  </pic:spPr>
                </pic:pic>
              </a:graphicData>
            </a:graphic>
          </wp:anchor>
        </w:drawing>
      </w:r>
      <w:r>
        <w:rPr>
          <w:noProof/>
        </w:rPr>
        <w:drawing>
          <wp:anchor distT="0" distB="0" distL="0" distR="0" simplePos="0" relativeHeight="250805760" behindDoc="1" locked="0" layoutInCell="1" allowOverlap="1" wp14:anchorId="51DE9E18" wp14:editId="51DE9E19">
            <wp:simplePos x="0" y="0"/>
            <wp:positionH relativeFrom="page">
              <wp:posOffset>908303</wp:posOffset>
            </wp:positionH>
            <wp:positionV relativeFrom="page">
              <wp:posOffset>5998294</wp:posOffset>
            </wp:positionV>
            <wp:extent cx="255117" cy="100393"/>
            <wp:effectExtent l="0" t="0" r="0" b="0"/>
            <wp:wrapNone/>
            <wp:docPr id="229" name="image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image123.png"/>
                    <pic:cNvPicPr/>
                  </pic:nvPicPr>
                  <pic:blipFill>
                    <a:blip r:embed="rId215" cstate="print"/>
                    <a:stretch>
                      <a:fillRect/>
                    </a:stretch>
                  </pic:blipFill>
                  <pic:spPr>
                    <a:xfrm>
                      <a:off x="0" y="0"/>
                      <a:ext cx="255117" cy="100393"/>
                    </a:xfrm>
                    <a:prstGeom prst="rect">
                      <a:avLst/>
                    </a:prstGeom>
                  </pic:spPr>
                </pic:pic>
              </a:graphicData>
            </a:graphic>
          </wp:anchor>
        </w:drawing>
      </w:r>
      <w:r>
        <w:pict w14:anchorId="51DE9E1A">
          <v:shape id="docshape121" o:spid="_x0000_s3152" style="position:absolute;left:0;text-align:left;margin-left:69.9pt;margin-top:438.65pt;width:266.1pt;height:16.1pt;z-index:251693568;mso-position-horizontal-relative:page;mso-position-vertical-relative:page" coordorigin="1398,8773" coordsize="5322,322" o:spt="100" adj="0,,0" path="m2712,8773r-1314,l1398,9094r1314,l2712,8773xm2955,8775r-241,l2714,8988r241,l2955,8775xm6720,8773r-3711,l3009,9094r3711,l6720,8773xe" fillcolor="black" stroked="f">
            <v:stroke joinstyle="round"/>
            <v:formulas/>
            <v:path arrowok="t" o:connecttype="segments"/>
            <w10:wrap anchorx="page" anchory="page"/>
          </v:shape>
        </w:pict>
      </w:r>
      <w:r>
        <w:pict w14:anchorId="51DE9E1B">
          <v:shape id="docshape122" o:spid="_x0000_s3151" style="position:absolute;left:0;text-align:left;margin-left:86.65pt;margin-top:2.35pt;width:261.5pt;height:34.05pt;z-index:251695616;mso-position-horizontal-relative:page;mso-position-vertical-relative:text" coordorigin="1733,47" coordsize="5230,681" path="m6962,47r-5229,l1733,266r,22l1733,486r,21l1733,727r5229,l6962,507r,-21l6962,288r,-22l6962,47xe" fillcolor="black" stroked="f">
            <v:path arrowok="t"/>
            <w10:wrap anchorx="page"/>
          </v:shape>
        </w:pict>
      </w:r>
      <w:r>
        <w:rPr>
          <w:sz w:val="12"/>
        </w:rPr>
        <w:t>117</w:t>
      </w:r>
      <w:r>
        <w:rPr>
          <w:spacing w:val="11"/>
          <w:sz w:val="12"/>
        </w:rPr>
        <w:t xml:space="preserve"> </w:t>
      </w:r>
      <w:r>
        <w:rPr>
          <w:color w:val="5E5E5E"/>
          <w:spacing w:val="-10"/>
          <w:position w:val="-5"/>
          <w:sz w:val="18"/>
        </w:rPr>
        <w:t>[</w:t>
      </w:r>
    </w:p>
    <w:p w14:paraId="51DE7E7C" w14:textId="77777777" w:rsidR="0010369C" w:rsidRDefault="008E43AE">
      <w:pPr>
        <w:spacing w:before="69" w:line="158" w:lineRule="auto"/>
        <w:ind w:left="238"/>
        <w:rPr>
          <w:sz w:val="18"/>
        </w:rPr>
      </w:pPr>
      <w:r>
        <w:rPr>
          <w:color w:val="5E5E5E"/>
          <w:sz w:val="12"/>
        </w:rPr>
        <w:t>118</w:t>
      </w:r>
      <w:r>
        <w:rPr>
          <w:color w:val="5E5E5E"/>
          <w:spacing w:val="11"/>
          <w:sz w:val="12"/>
        </w:rPr>
        <w:t xml:space="preserve"> </w:t>
      </w:r>
      <w:r>
        <w:rPr>
          <w:color w:val="5E5E5E"/>
          <w:spacing w:val="-10"/>
          <w:position w:val="-5"/>
          <w:sz w:val="18"/>
        </w:rPr>
        <w:t>[</w:t>
      </w:r>
    </w:p>
    <w:p w14:paraId="51DE7E7D" w14:textId="77777777" w:rsidR="0010369C" w:rsidRDefault="008E43AE">
      <w:pPr>
        <w:spacing w:before="33"/>
        <w:ind w:left="238"/>
        <w:rPr>
          <w:sz w:val="18"/>
        </w:rPr>
      </w:pPr>
      <w:r>
        <w:rPr>
          <w:color w:val="5E5E5E"/>
          <w:sz w:val="12"/>
        </w:rPr>
        <w:t>119</w:t>
      </w:r>
      <w:r>
        <w:rPr>
          <w:color w:val="5E5E5E"/>
          <w:spacing w:val="11"/>
          <w:sz w:val="12"/>
        </w:rPr>
        <w:t xml:space="preserve"> </w:t>
      </w:r>
      <w:r>
        <w:rPr>
          <w:color w:val="5E5E5E"/>
          <w:spacing w:val="-10"/>
          <w:position w:val="-5"/>
          <w:sz w:val="18"/>
        </w:rPr>
        <w:t>[</w:t>
      </w:r>
    </w:p>
    <w:p w14:paraId="51DE7E7E" w14:textId="77777777" w:rsidR="0010369C" w:rsidRDefault="008E43AE">
      <w:pPr>
        <w:spacing w:before="40"/>
        <w:ind w:left="238"/>
        <w:rPr>
          <w:sz w:val="18"/>
        </w:rPr>
      </w:pPr>
      <w:r>
        <w:br w:type="column"/>
      </w:r>
      <w:r>
        <w:rPr>
          <w:color w:val="5E5E5E"/>
          <w:sz w:val="18"/>
        </w:rPr>
        <w:t>(AUS‐5</w:t>
      </w:r>
      <w:r>
        <w:rPr>
          <w:color w:val="5E5E5E"/>
          <w:spacing w:val="-11"/>
          <w:sz w:val="18"/>
        </w:rPr>
        <w:t xml:space="preserve"> </w:t>
      </w:r>
      <w:r>
        <w:rPr>
          <w:color w:val="5E5E5E"/>
          <w:spacing w:val="-2"/>
          <w:sz w:val="18"/>
        </w:rPr>
        <w:t>(BCI)),</w:t>
      </w:r>
    </w:p>
    <w:p w14:paraId="51DE7E7F" w14:textId="77777777" w:rsidR="0010369C" w:rsidRDefault="008E43AE">
      <w:pPr>
        <w:ind w:left="238"/>
        <w:rPr>
          <w:sz w:val="18"/>
        </w:rPr>
      </w:pPr>
      <w:r>
        <w:pict w14:anchorId="51DE9E1C">
          <v:shape id="docshape123" o:spid="_x0000_s3150" style="position:absolute;left:0;text-align:left;margin-left:401.8pt;margin-top:-10.65pt;width:26.6pt;height:34.05pt;z-index:251696640;mso-position-horizontal-relative:page" coordorigin="8036,-213" coordsize="532,681" path="m8567,-213r-531,l8036,7r,21l8036,226r,22l8036,467r531,l8567,248r,-22l8567,28r,-21l8567,-213xe" fillcolor="black" stroked="f">
            <v:path arrowok="t"/>
            <w10:wrap anchorx="page"/>
          </v:shape>
        </w:pict>
      </w:r>
      <w:r>
        <w:rPr>
          <w:color w:val="5E5E5E"/>
          <w:sz w:val="18"/>
        </w:rPr>
        <w:t>(AUS‐5</w:t>
      </w:r>
      <w:r>
        <w:rPr>
          <w:color w:val="5E5E5E"/>
          <w:spacing w:val="-11"/>
          <w:sz w:val="18"/>
        </w:rPr>
        <w:t xml:space="preserve"> </w:t>
      </w:r>
      <w:r>
        <w:rPr>
          <w:color w:val="5E5E5E"/>
          <w:spacing w:val="-2"/>
          <w:sz w:val="18"/>
        </w:rPr>
        <w:t>(BCI)),</w:t>
      </w:r>
    </w:p>
    <w:p w14:paraId="51DE7E80" w14:textId="77777777" w:rsidR="0010369C" w:rsidRDefault="008E43AE">
      <w:pPr>
        <w:ind w:left="238"/>
        <w:rPr>
          <w:sz w:val="18"/>
        </w:rPr>
      </w:pPr>
      <w:r>
        <w:rPr>
          <w:color w:val="5E5E5E"/>
          <w:sz w:val="18"/>
        </w:rPr>
        <w:t>(AUS‐5</w:t>
      </w:r>
      <w:r>
        <w:rPr>
          <w:color w:val="5E5E5E"/>
          <w:spacing w:val="-11"/>
          <w:sz w:val="18"/>
        </w:rPr>
        <w:t xml:space="preserve"> </w:t>
      </w:r>
      <w:r>
        <w:rPr>
          <w:color w:val="5E5E5E"/>
          <w:spacing w:val="-2"/>
          <w:sz w:val="18"/>
        </w:rPr>
        <w:t>(BCI)),</w:t>
      </w:r>
    </w:p>
    <w:p w14:paraId="51DE7E81" w14:textId="77777777" w:rsidR="0010369C" w:rsidRDefault="008E43AE">
      <w:pPr>
        <w:spacing w:before="40"/>
        <w:ind w:left="238"/>
        <w:rPr>
          <w:sz w:val="18"/>
        </w:rPr>
      </w:pPr>
      <w:r>
        <w:br w:type="column"/>
      </w:r>
      <w:r>
        <w:rPr>
          <w:color w:val="5E5E5E"/>
          <w:spacing w:val="-5"/>
          <w:sz w:val="18"/>
        </w:rPr>
        <w:t>.]]</w:t>
      </w:r>
    </w:p>
    <w:p w14:paraId="51DE7E82" w14:textId="77777777" w:rsidR="0010369C" w:rsidRDefault="008E43AE">
      <w:pPr>
        <w:ind w:left="238"/>
        <w:rPr>
          <w:sz w:val="18"/>
        </w:rPr>
      </w:pPr>
      <w:r>
        <w:rPr>
          <w:color w:val="5E5E5E"/>
          <w:spacing w:val="-5"/>
          <w:sz w:val="18"/>
        </w:rPr>
        <w:t>.]]</w:t>
      </w:r>
    </w:p>
    <w:p w14:paraId="51DE7E83" w14:textId="77777777" w:rsidR="0010369C" w:rsidRDefault="008E43AE">
      <w:pPr>
        <w:ind w:left="238"/>
        <w:rPr>
          <w:sz w:val="18"/>
        </w:rPr>
      </w:pPr>
      <w:r>
        <w:rPr>
          <w:color w:val="5E5E5E"/>
          <w:spacing w:val="-5"/>
          <w:sz w:val="18"/>
        </w:rPr>
        <w:t>.]]</w:t>
      </w:r>
    </w:p>
    <w:p w14:paraId="51DE7E84" w14:textId="77777777" w:rsidR="0010369C" w:rsidRDefault="0010369C">
      <w:pPr>
        <w:rPr>
          <w:sz w:val="18"/>
        </w:rPr>
        <w:sectPr w:rsidR="0010369C">
          <w:type w:val="continuous"/>
          <w:pgSz w:w="11910" w:h="16840"/>
          <w:pgMar w:top="1460" w:right="800" w:bottom="280" w:left="1180" w:header="569" w:footer="788" w:gutter="0"/>
          <w:cols w:num="3" w:space="720" w:equalWidth="0">
            <w:col w:w="559" w:space="5047"/>
            <w:col w:w="1271" w:space="292"/>
            <w:col w:w="2761"/>
          </w:cols>
        </w:sectPr>
      </w:pPr>
    </w:p>
    <w:p w14:paraId="51DE7E85" w14:textId="77777777" w:rsidR="0010369C" w:rsidRDefault="008E43AE">
      <w:pPr>
        <w:pStyle w:val="BodyText"/>
        <w:spacing w:before="2"/>
        <w:rPr>
          <w:sz w:val="15"/>
        </w:rPr>
      </w:pPr>
      <w:r>
        <w:rPr>
          <w:noProof/>
        </w:rPr>
        <w:lastRenderedPageBreak/>
        <w:drawing>
          <wp:anchor distT="0" distB="0" distL="0" distR="0" simplePos="0" relativeHeight="250808832" behindDoc="1" locked="0" layoutInCell="1" allowOverlap="1" wp14:anchorId="51DE9E1D" wp14:editId="51DE9E1E">
            <wp:simplePos x="0" y="0"/>
            <wp:positionH relativeFrom="page">
              <wp:posOffset>908303</wp:posOffset>
            </wp:positionH>
            <wp:positionV relativeFrom="page">
              <wp:posOffset>2724742</wp:posOffset>
            </wp:positionV>
            <wp:extent cx="255117" cy="100393"/>
            <wp:effectExtent l="0" t="0" r="0" b="0"/>
            <wp:wrapNone/>
            <wp:docPr id="231" name="image1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image124.png"/>
                    <pic:cNvPicPr/>
                  </pic:nvPicPr>
                  <pic:blipFill>
                    <a:blip r:embed="rId216" cstate="print"/>
                    <a:stretch>
                      <a:fillRect/>
                    </a:stretch>
                  </pic:blipFill>
                  <pic:spPr>
                    <a:xfrm>
                      <a:off x="0" y="0"/>
                      <a:ext cx="255117" cy="100393"/>
                    </a:xfrm>
                    <a:prstGeom prst="rect">
                      <a:avLst/>
                    </a:prstGeom>
                  </pic:spPr>
                </pic:pic>
              </a:graphicData>
            </a:graphic>
          </wp:anchor>
        </w:drawing>
      </w:r>
    </w:p>
    <w:p w14:paraId="51DE7E86" w14:textId="77777777" w:rsidR="0010369C" w:rsidRDefault="008E43AE">
      <w:pPr>
        <w:tabs>
          <w:tab w:val="left" w:pos="8228"/>
        </w:tabs>
        <w:spacing w:before="60"/>
        <w:ind w:left="239"/>
        <w:rPr>
          <w:sz w:val="20"/>
        </w:rPr>
      </w:pPr>
      <w:r>
        <w:pict w14:anchorId="51DE9E1F">
          <v:rect id="docshape124" o:spid="_x0000_s3149" style="position:absolute;left:0;text-align:left;margin-left:69.9pt;margin-top:17.05pt;width:453.4pt;height:16.05pt;z-index:-251226624;mso-wrap-distance-left:0;mso-wrap-distance-right:0;mso-position-horizontal-relative:page" fillcolor="black" stroked="f">
            <w10:wrap type="topAndBottom" anchorx="page"/>
          </v:rect>
        </w:pict>
      </w:r>
      <w:r>
        <w:pict w14:anchorId="51DE9E20">
          <v:shape id="docshape125" o:spid="_x0000_s3148" style="position:absolute;left:0;text-align:left;margin-left:69.9pt;margin-top:39pt;width:453.55pt;height:16.1pt;z-index:-251225600;mso-wrap-distance-left:0;mso-wrap-distance-right:0;mso-position-horizontal-relative:page" coordorigin="1398,780" coordsize="9071,322" o:spt="100" adj="0,,0" path="m10225,780r-8827,l1398,1101r8827,l10225,780xm10469,782r-242,l10227,996r242,l10469,782xe" fillcolor="black" stroked="f">
            <v:stroke joinstyle="round"/>
            <v:formulas/>
            <v:path arrowok="t" o:connecttype="segments"/>
            <w10:wrap type="topAndBottom" anchorx="page"/>
          </v:shape>
        </w:pict>
      </w:r>
      <w:r>
        <w:pict w14:anchorId="51DE9E21">
          <v:shape id="docshape126" o:spid="_x0000_s3147" style="position:absolute;left:0;text-align:left;margin-left:69.9pt;margin-top:60.95pt;width:453.55pt;height:16.1pt;z-index:-251224576;mso-wrap-distance-left:0;mso-wrap-distance-right:0;mso-position-horizontal-relative:page" coordorigin="1398,1219" coordsize="9071,322" o:spt="100" adj="0,,0" path="m10226,1219r-8828,l1398,1541r8828,l10226,1219xm10469,1221r-242,l10227,1435r242,l10469,1221xe" fillcolor="black" stroked="f">
            <v:stroke joinstyle="round"/>
            <v:formulas/>
            <v:path arrowok="t" o:connecttype="segments"/>
            <w10:wrap type="topAndBottom" anchorx="page"/>
          </v:shape>
        </w:pict>
      </w:r>
      <w:r>
        <w:pict w14:anchorId="51DE9E22">
          <v:rect id="docshape127" o:spid="_x0000_s3146" style="position:absolute;left:0;text-align:left;margin-left:69.9pt;margin-top:82.9pt;width:453.5pt;height:16.05pt;z-index:-251223552;mso-wrap-distance-left:0;mso-wrap-distance-right:0;mso-position-horizontal-relative:page" fillcolor="black" stroked="f">
            <w10:wrap type="topAndBottom" anchorx="page"/>
          </v:rect>
        </w:pict>
      </w:r>
      <w:r>
        <w:pict w14:anchorId="51DE9E23">
          <v:rect id="docshape128" o:spid="_x0000_s3145" style="position:absolute;left:0;text-align:left;margin-left:69.9pt;margin-top:104.95pt;width:453.45pt;height:16.05pt;z-index:-251222528;mso-wrap-distance-left:0;mso-wrap-distance-right:0;mso-position-horizontal-relative:page" fillcolor="black" stroked="f">
            <w10:wrap type="topAndBottom" anchorx="page"/>
          </v:rect>
        </w:pict>
      </w:r>
      <w:r>
        <w:pict w14:anchorId="51DE9E24">
          <v:rect id="docshape129" o:spid="_x0000_s3144" style="position:absolute;left:0;text-align:left;margin-left:69.95pt;margin-top:126.95pt;width:437.35pt;height:16.05pt;z-index:-251221504;mso-wrap-distance-left:0;mso-wrap-distance-right:0;mso-position-horizontal-relative:page" fillcolor="black" stroked="f">
            <w10:wrap type="topAndBottom" anchorx="page"/>
          </v:rect>
        </w:pict>
      </w:r>
      <w:r>
        <w:rPr>
          <w:i/>
          <w:sz w:val="20"/>
        </w:rPr>
        <w:t>on</w:t>
      </w:r>
      <w:r>
        <w:rPr>
          <w:i/>
          <w:spacing w:val="-1"/>
          <w:sz w:val="20"/>
        </w:rPr>
        <w:t xml:space="preserve"> </w:t>
      </w:r>
      <w:r>
        <w:rPr>
          <w:i/>
          <w:sz w:val="20"/>
        </w:rPr>
        <w:t>Wine</w:t>
      </w:r>
      <w:r>
        <w:rPr>
          <w:i/>
          <w:spacing w:val="-1"/>
          <w:sz w:val="20"/>
        </w:rPr>
        <w:t xml:space="preserve"> </w:t>
      </w:r>
      <w:r>
        <w:rPr>
          <w:i/>
          <w:sz w:val="20"/>
        </w:rPr>
        <w:t>from</w:t>
      </w:r>
      <w:r>
        <w:rPr>
          <w:i/>
          <w:spacing w:val="-3"/>
          <w:sz w:val="20"/>
        </w:rPr>
        <w:t xml:space="preserve"> </w:t>
      </w:r>
      <w:r>
        <w:rPr>
          <w:i/>
          <w:sz w:val="20"/>
        </w:rPr>
        <w:t>Australia</w:t>
      </w:r>
      <w:r>
        <w:rPr>
          <w:i/>
          <w:spacing w:val="-1"/>
          <w:sz w:val="20"/>
        </w:rPr>
        <w:t xml:space="preserve"> </w:t>
      </w:r>
      <w:r>
        <w:rPr>
          <w:spacing w:val="-2"/>
          <w:sz w:val="20"/>
        </w:rPr>
        <w:t>(DS602)</w:t>
      </w:r>
      <w:r>
        <w:rPr>
          <w:sz w:val="20"/>
        </w:rPr>
        <w:tab/>
        <w:t>29</w:t>
      </w:r>
      <w:r>
        <w:rPr>
          <w:spacing w:val="-1"/>
          <w:sz w:val="20"/>
        </w:rPr>
        <w:t xml:space="preserve"> </w:t>
      </w:r>
      <w:r>
        <w:rPr>
          <w:sz w:val="20"/>
        </w:rPr>
        <w:t>April</w:t>
      </w:r>
      <w:r>
        <w:rPr>
          <w:spacing w:val="-2"/>
          <w:sz w:val="20"/>
        </w:rPr>
        <w:t xml:space="preserve"> </w:t>
      </w:r>
      <w:r>
        <w:rPr>
          <w:spacing w:val="-4"/>
          <w:sz w:val="20"/>
        </w:rPr>
        <w:t>2022</w:t>
      </w:r>
    </w:p>
    <w:p w14:paraId="51DE7E87" w14:textId="77777777" w:rsidR="0010369C" w:rsidRDefault="0010369C">
      <w:pPr>
        <w:pStyle w:val="BodyText"/>
        <w:spacing w:before="8"/>
        <w:rPr>
          <w:sz w:val="7"/>
        </w:rPr>
      </w:pPr>
    </w:p>
    <w:p w14:paraId="51DE7E88" w14:textId="77777777" w:rsidR="0010369C" w:rsidRDefault="0010369C">
      <w:pPr>
        <w:pStyle w:val="BodyText"/>
        <w:spacing w:before="8"/>
        <w:rPr>
          <w:sz w:val="7"/>
        </w:rPr>
      </w:pPr>
    </w:p>
    <w:p w14:paraId="51DE7E89" w14:textId="77777777" w:rsidR="0010369C" w:rsidRDefault="0010369C">
      <w:pPr>
        <w:pStyle w:val="BodyText"/>
        <w:spacing w:before="8"/>
        <w:rPr>
          <w:sz w:val="7"/>
        </w:rPr>
      </w:pPr>
    </w:p>
    <w:p w14:paraId="51DE7E8A" w14:textId="77777777" w:rsidR="0010369C" w:rsidRDefault="0010369C">
      <w:pPr>
        <w:pStyle w:val="BodyText"/>
        <w:spacing w:before="9"/>
        <w:rPr>
          <w:sz w:val="7"/>
        </w:rPr>
      </w:pPr>
    </w:p>
    <w:p w14:paraId="51DE7E8B" w14:textId="77777777" w:rsidR="0010369C" w:rsidRDefault="0010369C">
      <w:pPr>
        <w:pStyle w:val="BodyText"/>
        <w:spacing w:before="9"/>
        <w:rPr>
          <w:sz w:val="7"/>
        </w:rPr>
      </w:pPr>
    </w:p>
    <w:p w14:paraId="51DE7E8C" w14:textId="77777777" w:rsidR="0010369C" w:rsidRDefault="0010369C">
      <w:pPr>
        <w:pStyle w:val="BodyText"/>
        <w:spacing w:before="7"/>
        <w:rPr>
          <w:sz w:val="22"/>
        </w:rPr>
      </w:pPr>
    </w:p>
    <w:tbl>
      <w:tblPr>
        <w:tblW w:w="0" w:type="auto"/>
        <w:tblInd w:w="225" w:type="dxa"/>
        <w:tblLayout w:type="fixed"/>
        <w:tblCellMar>
          <w:left w:w="0" w:type="dxa"/>
          <w:right w:w="0" w:type="dxa"/>
        </w:tblCellMar>
        <w:tblLook w:val="01E0" w:firstRow="1" w:lastRow="1" w:firstColumn="1" w:lastColumn="1" w:noHBand="0" w:noVBand="0"/>
      </w:tblPr>
      <w:tblGrid>
        <w:gridCol w:w="997"/>
        <w:gridCol w:w="6279"/>
        <w:gridCol w:w="1852"/>
      </w:tblGrid>
      <w:tr w:rsidR="0010369C" w14:paraId="51DE7E8F" w14:textId="77777777">
        <w:trPr>
          <w:trHeight w:val="320"/>
        </w:trPr>
        <w:tc>
          <w:tcPr>
            <w:tcW w:w="997" w:type="dxa"/>
            <w:tcBorders>
              <w:bottom w:val="single" w:sz="48" w:space="0" w:color="FFFFFF"/>
            </w:tcBorders>
          </w:tcPr>
          <w:p w14:paraId="51DE7E8D" w14:textId="77777777" w:rsidR="0010369C" w:rsidRDefault="008E43AE">
            <w:pPr>
              <w:pStyle w:val="TableParagraph"/>
              <w:spacing w:line="291" w:lineRule="exact"/>
              <w:ind w:right="-29"/>
              <w:jc w:val="right"/>
              <w:rPr>
                <w:sz w:val="24"/>
              </w:rPr>
            </w:pPr>
            <w:r>
              <w:rPr>
                <w:spacing w:val="-5"/>
                <w:sz w:val="24"/>
              </w:rPr>
              <w:t>[[</w:t>
            </w:r>
          </w:p>
        </w:tc>
        <w:tc>
          <w:tcPr>
            <w:tcW w:w="8131" w:type="dxa"/>
            <w:gridSpan w:val="2"/>
            <w:tcBorders>
              <w:bottom w:val="single" w:sz="48" w:space="0" w:color="FFFFFF"/>
            </w:tcBorders>
            <w:shd w:val="clear" w:color="auto" w:fill="000000"/>
          </w:tcPr>
          <w:p w14:paraId="51DE7E8E" w14:textId="77777777" w:rsidR="0010369C" w:rsidRDefault="0010369C">
            <w:pPr>
              <w:pStyle w:val="TableParagraph"/>
              <w:rPr>
                <w:rFonts w:ascii="Times New Roman"/>
              </w:rPr>
            </w:pPr>
          </w:p>
        </w:tc>
      </w:tr>
      <w:tr w:rsidR="0010369C" w14:paraId="51DE7E91" w14:textId="77777777">
        <w:trPr>
          <w:trHeight w:val="319"/>
        </w:trPr>
        <w:tc>
          <w:tcPr>
            <w:tcW w:w="9128" w:type="dxa"/>
            <w:gridSpan w:val="3"/>
            <w:tcBorders>
              <w:top w:val="single" w:sz="48" w:space="0" w:color="FFFFFF"/>
              <w:bottom w:val="single" w:sz="48" w:space="0" w:color="FFFFFF"/>
            </w:tcBorders>
            <w:shd w:val="clear" w:color="auto" w:fill="000000"/>
          </w:tcPr>
          <w:p w14:paraId="51DE7E90" w14:textId="77777777" w:rsidR="0010369C" w:rsidRDefault="0010369C">
            <w:pPr>
              <w:pStyle w:val="TableParagraph"/>
              <w:rPr>
                <w:rFonts w:ascii="Times New Roman"/>
              </w:rPr>
            </w:pPr>
          </w:p>
        </w:tc>
      </w:tr>
      <w:tr w:rsidR="0010369C" w14:paraId="51DE7E93" w14:textId="77777777">
        <w:trPr>
          <w:trHeight w:val="319"/>
        </w:trPr>
        <w:tc>
          <w:tcPr>
            <w:tcW w:w="9128" w:type="dxa"/>
            <w:gridSpan w:val="3"/>
            <w:tcBorders>
              <w:top w:val="single" w:sz="48" w:space="0" w:color="FFFFFF"/>
              <w:bottom w:val="single" w:sz="48" w:space="0" w:color="FFFFFF"/>
            </w:tcBorders>
            <w:shd w:val="clear" w:color="auto" w:fill="000000"/>
          </w:tcPr>
          <w:p w14:paraId="51DE7E92" w14:textId="77777777" w:rsidR="0010369C" w:rsidRDefault="0010369C">
            <w:pPr>
              <w:pStyle w:val="TableParagraph"/>
              <w:rPr>
                <w:rFonts w:ascii="Times New Roman"/>
              </w:rPr>
            </w:pPr>
          </w:p>
        </w:tc>
      </w:tr>
      <w:tr w:rsidR="0010369C" w14:paraId="51DE7E95" w14:textId="77777777">
        <w:trPr>
          <w:trHeight w:val="319"/>
        </w:trPr>
        <w:tc>
          <w:tcPr>
            <w:tcW w:w="9128" w:type="dxa"/>
            <w:gridSpan w:val="3"/>
            <w:tcBorders>
              <w:top w:val="single" w:sz="48" w:space="0" w:color="FFFFFF"/>
              <w:bottom w:val="single" w:sz="48" w:space="0" w:color="FFFFFF"/>
            </w:tcBorders>
            <w:shd w:val="clear" w:color="auto" w:fill="000000"/>
          </w:tcPr>
          <w:p w14:paraId="51DE7E94" w14:textId="77777777" w:rsidR="0010369C" w:rsidRDefault="0010369C">
            <w:pPr>
              <w:pStyle w:val="TableParagraph"/>
              <w:rPr>
                <w:rFonts w:ascii="Times New Roman"/>
              </w:rPr>
            </w:pPr>
          </w:p>
        </w:tc>
      </w:tr>
      <w:tr w:rsidR="0010369C" w14:paraId="51DE7E97" w14:textId="77777777">
        <w:trPr>
          <w:trHeight w:val="319"/>
        </w:trPr>
        <w:tc>
          <w:tcPr>
            <w:tcW w:w="9128" w:type="dxa"/>
            <w:gridSpan w:val="3"/>
            <w:tcBorders>
              <w:top w:val="single" w:sz="48" w:space="0" w:color="FFFFFF"/>
              <w:bottom w:val="single" w:sz="48" w:space="0" w:color="FFFFFF"/>
            </w:tcBorders>
            <w:shd w:val="clear" w:color="auto" w:fill="000000"/>
          </w:tcPr>
          <w:p w14:paraId="51DE7E96" w14:textId="77777777" w:rsidR="0010369C" w:rsidRDefault="0010369C">
            <w:pPr>
              <w:pStyle w:val="TableParagraph"/>
              <w:rPr>
                <w:rFonts w:ascii="Times New Roman"/>
              </w:rPr>
            </w:pPr>
          </w:p>
        </w:tc>
      </w:tr>
      <w:tr w:rsidR="0010369C" w14:paraId="51DE7E99" w14:textId="77777777">
        <w:trPr>
          <w:trHeight w:val="320"/>
        </w:trPr>
        <w:tc>
          <w:tcPr>
            <w:tcW w:w="9128" w:type="dxa"/>
            <w:gridSpan w:val="3"/>
            <w:tcBorders>
              <w:top w:val="single" w:sz="48" w:space="0" w:color="FFFFFF"/>
              <w:bottom w:val="single" w:sz="48" w:space="0" w:color="FFFFFF"/>
            </w:tcBorders>
            <w:shd w:val="clear" w:color="auto" w:fill="000000"/>
          </w:tcPr>
          <w:p w14:paraId="51DE7E98" w14:textId="77777777" w:rsidR="0010369C" w:rsidRDefault="0010369C">
            <w:pPr>
              <w:pStyle w:val="TableParagraph"/>
              <w:rPr>
                <w:rFonts w:ascii="Times New Roman"/>
              </w:rPr>
            </w:pPr>
          </w:p>
        </w:tc>
      </w:tr>
      <w:tr w:rsidR="0010369C" w14:paraId="51DE7E9C" w14:textId="77777777">
        <w:trPr>
          <w:trHeight w:val="321"/>
        </w:trPr>
        <w:tc>
          <w:tcPr>
            <w:tcW w:w="7276" w:type="dxa"/>
            <w:gridSpan w:val="2"/>
            <w:tcBorders>
              <w:top w:val="single" w:sz="48" w:space="0" w:color="FFFFFF"/>
            </w:tcBorders>
            <w:shd w:val="clear" w:color="auto" w:fill="000000"/>
          </w:tcPr>
          <w:p w14:paraId="51DE7E9A" w14:textId="77777777" w:rsidR="0010369C" w:rsidRDefault="0010369C">
            <w:pPr>
              <w:pStyle w:val="TableParagraph"/>
              <w:rPr>
                <w:rFonts w:ascii="Times New Roman"/>
              </w:rPr>
            </w:pPr>
          </w:p>
        </w:tc>
        <w:tc>
          <w:tcPr>
            <w:tcW w:w="1852" w:type="dxa"/>
            <w:tcBorders>
              <w:top w:val="single" w:sz="48" w:space="0" w:color="FFFFFF"/>
            </w:tcBorders>
          </w:tcPr>
          <w:p w14:paraId="51DE7E9B" w14:textId="77777777" w:rsidR="0010369C" w:rsidRDefault="008E43AE">
            <w:pPr>
              <w:pStyle w:val="TableParagraph"/>
              <w:spacing w:line="291" w:lineRule="exact"/>
              <w:ind w:left="20"/>
              <w:rPr>
                <w:sz w:val="24"/>
              </w:rPr>
            </w:pPr>
            <w:r>
              <w:rPr>
                <w:spacing w:val="-5"/>
                <w:sz w:val="24"/>
              </w:rPr>
              <w:t>]]</w:t>
            </w:r>
          </w:p>
        </w:tc>
      </w:tr>
    </w:tbl>
    <w:p w14:paraId="51DE7E9D" w14:textId="77777777" w:rsidR="0010369C" w:rsidRDefault="0010369C">
      <w:pPr>
        <w:pStyle w:val="BodyText"/>
        <w:spacing w:before="5"/>
        <w:rPr>
          <w:sz w:val="18"/>
        </w:rPr>
      </w:pPr>
    </w:p>
    <w:p w14:paraId="51DE7E9E" w14:textId="77777777" w:rsidR="0010369C" w:rsidRDefault="008E43AE">
      <w:pPr>
        <w:pStyle w:val="BodyText"/>
        <w:spacing w:before="52" w:line="360" w:lineRule="auto"/>
        <w:ind w:left="237" w:right="611" w:firstLine="851"/>
        <w:jc w:val="both"/>
      </w:pPr>
      <w:r>
        <w:rPr>
          <w:noProof/>
        </w:rPr>
        <w:drawing>
          <wp:anchor distT="0" distB="0" distL="0" distR="0" simplePos="0" relativeHeight="250806784" behindDoc="1" locked="0" layoutInCell="1" allowOverlap="1" wp14:anchorId="51DE9E25" wp14:editId="51DE9E26">
            <wp:simplePos x="0" y="0"/>
            <wp:positionH relativeFrom="page">
              <wp:posOffset>908303</wp:posOffset>
            </wp:positionH>
            <wp:positionV relativeFrom="paragraph">
              <wp:posOffset>81357</wp:posOffset>
            </wp:positionV>
            <wp:extent cx="256031" cy="103631"/>
            <wp:effectExtent l="0" t="0" r="0" b="0"/>
            <wp:wrapNone/>
            <wp:docPr id="233" name="image1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image125.png"/>
                    <pic:cNvPicPr/>
                  </pic:nvPicPr>
                  <pic:blipFill>
                    <a:blip r:embed="rId217" cstate="print"/>
                    <a:stretch>
                      <a:fillRect/>
                    </a:stretch>
                  </pic:blipFill>
                  <pic:spPr>
                    <a:xfrm>
                      <a:off x="0" y="0"/>
                      <a:ext cx="256031" cy="103631"/>
                    </a:xfrm>
                    <a:prstGeom prst="rect">
                      <a:avLst/>
                    </a:prstGeom>
                  </pic:spPr>
                </pic:pic>
              </a:graphicData>
            </a:graphic>
          </wp:anchor>
        </w:drawing>
      </w:r>
      <w:r>
        <w:pict w14:anchorId="51DE9E27">
          <v:rect id="docshape130" o:spid="_x0000_s3143" style="position:absolute;left:0;text-align:left;margin-left:119.8pt;margin-top:150.55pt;width:403.5pt;height:16.05pt;z-index:-251427328;mso-position-horizontal-relative:page;mso-position-vertical-relative:text" fillcolor="black" stroked="f">
            <w10:wrap anchorx="page"/>
          </v:rect>
        </w:pict>
      </w:r>
      <w:r>
        <w:t>The examples above demonstrate the domestic sales of bottled wine were affected by product mix factors. This was most pronounced in the quality grade assigned to domestic products and had a significant correlation to the invoice prices of these products.</w:t>
      </w:r>
      <w:r>
        <w:t xml:space="preserve"> It required MOFCOM</w:t>
      </w:r>
      <w:r>
        <w:rPr>
          <w:spacing w:val="-6"/>
        </w:rPr>
        <w:t xml:space="preserve"> </w:t>
      </w:r>
      <w:r>
        <w:t>to</w:t>
      </w:r>
      <w:r>
        <w:rPr>
          <w:spacing w:val="-6"/>
        </w:rPr>
        <w:t xml:space="preserve"> </w:t>
      </w:r>
      <w:r>
        <w:t>make</w:t>
      </w:r>
      <w:r>
        <w:rPr>
          <w:spacing w:val="-6"/>
        </w:rPr>
        <w:t xml:space="preserve"> </w:t>
      </w:r>
      <w:r>
        <w:t>adjustments</w:t>
      </w:r>
      <w:r>
        <w:rPr>
          <w:spacing w:val="-7"/>
        </w:rPr>
        <w:t xml:space="preserve"> </w:t>
      </w:r>
      <w:r>
        <w:t>to</w:t>
      </w:r>
      <w:r>
        <w:rPr>
          <w:spacing w:val="-7"/>
        </w:rPr>
        <w:t xml:space="preserve"> </w:t>
      </w:r>
      <w:r>
        <w:t>ensure</w:t>
      </w:r>
      <w:r>
        <w:rPr>
          <w:spacing w:val="-7"/>
        </w:rPr>
        <w:t xml:space="preserve"> </w:t>
      </w:r>
      <w:r>
        <w:t>any</w:t>
      </w:r>
      <w:r>
        <w:rPr>
          <w:spacing w:val="-6"/>
        </w:rPr>
        <w:t xml:space="preserve"> </w:t>
      </w:r>
      <w:r>
        <w:t>normal</w:t>
      </w:r>
      <w:r>
        <w:rPr>
          <w:spacing w:val="-6"/>
        </w:rPr>
        <w:t xml:space="preserve"> </w:t>
      </w:r>
      <w:r>
        <w:t>value</w:t>
      </w:r>
      <w:r>
        <w:rPr>
          <w:spacing w:val="-7"/>
        </w:rPr>
        <w:t xml:space="preserve"> </w:t>
      </w:r>
      <w:r>
        <w:t>calculated</w:t>
      </w:r>
      <w:r>
        <w:rPr>
          <w:spacing w:val="-7"/>
        </w:rPr>
        <w:t xml:space="preserve"> </w:t>
      </w:r>
      <w:r>
        <w:t>with</w:t>
      </w:r>
      <w:r>
        <w:rPr>
          <w:spacing w:val="-6"/>
        </w:rPr>
        <w:t xml:space="preserve"> </w:t>
      </w:r>
      <w:r>
        <w:t>these</w:t>
      </w:r>
      <w:r>
        <w:rPr>
          <w:spacing w:val="-6"/>
        </w:rPr>
        <w:t xml:space="preserve"> </w:t>
      </w:r>
      <w:r>
        <w:t>sales</w:t>
      </w:r>
      <w:r>
        <w:rPr>
          <w:spacing w:val="-6"/>
        </w:rPr>
        <w:t xml:space="preserve"> </w:t>
      </w:r>
      <w:r>
        <w:t>would enable a proper comparison.</w:t>
      </w:r>
    </w:p>
    <w:p w14:paraId="51DE7E9F" w14:textId="77777777" w:rsidR="0010369C" w:rsidRDefault="0010369C">
      <w:pPr>
        <w:pStyle w:val="BodyText"/>
        <w:spacing w:before="1" w:after="1"/>
        <w:rPr>
          <w:sz w:val="17"/>
        </w:rPr>
      </w:pPr>
    </w:p>
    <w:tbl>
      <w:tblPr>
        <w:tblW w:w="0" w:type="auto"/>
        <w:tblInd w:w="225" w:type="dxa"/>
        <w:tblLayout w:type="fixed"/>
        <w:tblCellMar>
          <w:left w:w="0" w:type="dxa"/>
          <w:right w:w="0" w:type="dxa"/>
        </w:tblCellMar>
        <w:tblLook w:val="01E0" w:firstRow="1" w:lastRow="1" w:firstColumn="1" w:lastColumn="1" w:noHBand="0" w:noVBand="0"/>
      </w:tblPr>
      <w:tblGrid>
        <w:gridCol w:w="3134"/>
        <w:gridCol w:w="5939"/>
      </w:tblGrid>
      <w:tr w:rsidR="0010369C" w14:paraId="51DE7EA2" w14:textId="77777777">
        <w:trPr>
          <w:trHeight w:val="552"/>
        </w:trPr>
        <w:tc>
          <w:tcPr>
            <w:tcW w:w="3134" w:type="dxa"/>
          </w:tcPr>
          <w:p w14:paraId="51DE7EA0" w14:textId="77777777" w:rsidR="0010369C" w:rsidRDefault="008E43AE">
            <w:pPr>
              <w:pStyle w:val="TableParagraph"/>
              <w:spacing w:line="244" w:lineRule="exact"/>
              <w:ind w:right="287"/>
              <w:jc w:val="right"/>
              <w:rPr>
                <w:sz w:val="24"/>
              </w:rPr>
            </w:pPr>
            <w:r>
              <w:rPr>
                <w:spacing w:val="-5"/>
                <w:sz w:val="24"/>
                <w:u w:val="single"/>
              </w:rPr>
              <w:t>(b)</w:t>
            </w:r>
          </w:p>
        </w:tc>
        <w:tc>
          <w:tcPr>
            <w:tcW w:w="5939" w:type="dxa"/>
          </w:tcPr>
          <w:p w14:paraId="51DE7EA1" w14:textId="77777777" w:rsidR="0010369C" w:rsidRDefault="008E43AE">
            <w:pPr>
              <w:pStyle w:val="TableParagraph"/>
              <w:spacing w:line="244" w:lineRule="exact"/>
              <w:ind w:left="290"/>
              <w:rPr>
                <w:sz w:val="24"/>
              </w:rPr>
            </w:pPr>
            <w:r>
              <w:rPr>
                <w:sz w:val="24"/>
                <w:u w:val="single"/>
              </w:rPr>
              <w:t>Level</w:t>
            </w:r>
            <w:r>
              <w:rPr>
                <w:spacing w:val="-4"/>
                <w:sz w:val="24"/>
                <w:u w:val="single"/>
              </w:rPr>
              <w:t xml:space="preserve"> </w:t>
            </w:r>
            <w:r>
              <w:rPr>
                <w:sz w:val="24"/>
                <w:u w:val="single"/>
              </w:rPr>
              <w:t>of</w:t>
            </w:r>
            <w:r>
              <w:rPr>
                <w:spacing w:val="-5"/>
                <w:sz w:val="24"/>
                <w:u w:val="single"/>
              </w:rPr>
              <w:t xml:space="preserve"> </w:t>
            </w:r>
            <w:r>
              <w:rPr>
                <w:spacing w:val="-2"/>
                <w:sz w:val="24"/>
                <w:u w:val="single"/>
              </w:rPr>
              <w:t>Trade</w:t>
            </w:r>
          </w:p>
        </w:tc>
      </w:tr>
      <w:tr w:rsidR="0010369C" w14:paraId="51DE7EA5" w14:textId="77777777">
        <w:trPr>
          <w:trHeight w:val="380"/>
        </w:trPr>
        <w:tc>
          <w:tcPr>
            <w:tcW w:w="3134" w:type="dxa"/>
          </w:tcPr>
          <w:p w14:paraId="51DE7EA3" w14:textId="77777777" w:rsidR="0010369C" w:rsidRDefault="008E43AE">
            <w:pPr>
              <w:pStyle w:val="TableParagraph"/>
              <w:spacing w:line="291" w:lineRule="exact"/>
              <w:ind w:left="870"/>
              <w:rPr>
                <w:sz w:val="24"/>
              </w:rPr>
            </w:pPr>
            <w:r>
              <w:rPr>
                <w:spacing w:val="-5"/>
                <w:sz w:val="24"/>
              </w:rPr>
              <w:t>[[</w:t>
            </w:r>
          </w:p>
        </w:tc>
        <w:tc>
          <w:tcPr>
            <w:tcW w:w="5939" w:type="dxa"/>
            <w:shd w:val="clear" w:color="auto" w:fill="000000"/>
          </w:tcPr>
          <w:p w14:paraId="51DE7EA4" w14:textId="77777777" w:rsidR="0010369C" w:rsidRDefault="0010369C">
            <w:pPr>
              <w:pStyle w:val="TableParagraph"/>
              <w:rPr>
                <w:rFonts w:ascii="Times New Roman"/>
              </w:rPr>
            </w:pPr>
          </w:p>
        </w:tc>
      </w:tr>
      <w:tr w:rsidR="0010369C" w14:paraId="51DE7EA8" w14:textId="77777777">
        <w:trPr>
          <w:trHeight w:val="380"/>
        </w:trPr>
        <w:tc>
          <w:tcPr>
            <w:tcW w:w="3134" w:type="dxa"/>
          </w:tcPr>
          <w:p w14:paraId="51DE7EA6" w14:textId="77777777" w:rsidR="0010369C" w:rsidRDefault="0010369C">
            <w:pPr>
              <w:pStyle w:val="TableParagraph"/>
              <w:rPr>
                <w:rFonts w:ascii="Times New Roman"/>
              </w:rPr>
            </w:pPr>
          </w:p>
        </w:tc>
        <w:tc>
          <w:tcPr>
            <w:tcW w:w="5939" w:type="dxa"/>
          </w:tcPr>
          <w:p w14:paraId="51DE7EA7" w14:textId="77777777" w:rsidR="0010369C" w:rsidRDefault="008E43AE">
            <w:pPr>
              <w:pStyle w:val="TableParagraph"/>
              <w:spacing w:before="56"/>
              <w:ind w:left="2732" w:right="-29"/>
              <w:rPr>
                <w:sz w:val="24"/>
              </w:rPr>
            </w:pPr>
            <w:r>
              <w:rPr>
                <w:sz w:val="24"/>
              </w:rPr>
              <w:t>]]</w:t>
            </w:r>
            <w:r>
              <w:rPr>
                <w:spacing w:val="-10"/>
                <w:sz w:val="24"/>
              </w:rPr>
              <w:t xml:space="preserve"> </w:t>
            </w:r>
            <w:r>
              <w:rPr>
                <w:sz w:val="24"/>
              </w:rPr>
              <w:t>In</w:t>
            </w:r>
            <w:r>
              <w:rPr>
                <w:spacing w:val="-8"/>
                <w:sz w:val="24"/>
              </w:rPr>
              <w:t xml:space="preserve"> </w:t>
            </w:r>
            <w:r>
              <w:rPr>
                <w:sz w:val="24"/>
              </w:rPr>
              <w:t>the</w:t>
            </w:r>
            <w:r>
              <w:rPr>
                <w:spacing w:val="-9"/>
                <w:sz w:val="24"/>
              </w:rPr>
              <w:t xml:space="preserve"> </w:t>
            </w:r>
            <w:r>
              <w:rPr>
                <w:sz w:val="24"/>
              </w:rPr>
              <w:t>ordinary</w:t>
            </w:r>
            <w:r>
              <w:rPr>
                <w:spacing w:val="-7"/>
                <w:sz w:val="24"/>
              </w:rPr>
              <w:t xml:space="preserve"> </w:t>
            </w:r>
            <w:r>
              <w:rPr>
                <w:sz w:val="24"/>
              </w:rPr>
              <w:t>course</w:t>
            </w:r>
            <w:r>
              <w:rPr>
                <w:spacing w:val="-8"/>
                <w:sz w:val="24"/>
              </w:rPr>
              <w:t xml:space="preserve"> </w:t>
            </w:r>
            <w:r>
              <w:rPr>
                <w:sz w:val="24"/>
              </w:rPr>
              <w:t>of</w:t>
            </w:r>
            <w:r>
              <w:rPr>
                <w:spacing w:val="-9"/>
                <w:sz w:val="24"/>
              </w:rPr>
              <w:t xml:space="preserve"> </w:t>
            </w:r>
            <w:r>
              <w:rPr>
                <w:spacing w:val="-2"/>
                <w:sz w:val="24"/>
              </w:rPr>
              <w:t>trade,</w:t>
            </w:r>
          </w:p>
        </w:tc>
      </w:tr>
    </w:tbl>
    <w:p w14:paraId="51DE7EA9" w14:textId="77777777" w:rsidR="0010369C" w:rsidRDefault="008E43AE">
      <w:pPr>
        <w:pStyle w:val="BodyText"/>
        <w:spacing w:before="116" w:line="360" w:lineRule="auto"/>
        <w:ind w:left="237" w:right="612"/>
        <w:jc w:val="both"/>
      </w:pPr>
      <w:r>
        <w:rPr>
          <w:noProof/>
        </w:rPr>
        <w:drawing>
          <wp:anchor distT="0" distB="0" distL="0" distR="0" simplePos="0" relativeHeight="250807808" behindDoc="1" locked="0" layoutInCell="1" allowOverlap="1" wp14:anchorId="51DE9E28" wp14:editId="51DE9E29">
            <wp:simplePos x="0" y="0"/>
            <wp:positionH relativeFrom="page">
              <wp:posOffset>908303</wp:posOffset>
            </wp:positionH>
            <wp:positionV relativeFrom="paragraph">
              <wp:posOffset>-435956</wp:posOffset>
            </wp:positionV>
            <wp:extent cx="255117" cy="100393"/>
            <wp:effectExtent l="0" t="0" r="0" b="0"/>
            <wp:wrapNone/>
            <wp:docPr id="235" name="image1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image126.png"/>
                    <pic:cNvPicPr/>
                  </pic:nvPicPr>
                  <pic:blipFill>
                    <a:blip r:embed="rId218" cstate="print"/>
                    <a:stretch>
                      <a:fillRect/>
                    </a:stretch>
                  </pic:blipFill>
                  <pic:spPr>
                    <a:xfrm>
                      <a:off x="0" y="0"/>
                      <a:ext cx="255117" cy="100393"/>
                    </a:xfrm>
                    <a:prstGeom prst="rect">
                      <a:avLst/>
                    </a:prstGeom>
                  </pic:spPr>
                </pic:pic>
              </a:graphicData>
            </a:graphic>
          </wp:anchor>
        </w:drawing>
      </w:r>
      <w:r>
        <w:pict w14:anchorId="51DE9E2A">
          <v:rect id="docshape131" o:spid="_x0000_s3142" style="position:absolute;left:0;text-align:left;margin-left:69.9pt;margin-top:-16.05pt;width:292.25pt;height:16.05pt;z-index:-251426304;mso-position-horizontal-relative:page;mso-position-vertical-relative:text" fillcolor="black" stroked="f">
            <w10:wrap anchorx="page"/>
          </v:rect>
        </w:pict>
      </w:r>
      <w:r>
        <w:t>prices for direct sales to clients are generally higher than those to wholesalers, distributors and</w:t>
      </w:r>
      <w:r>
        <w:rPr>
          <w:spacing w:val="-5"/>
        </w:rPr>
        <w:t xml:space="preserve"> </w:t>
      </w:r>
      <w:r>
        <w:t>retailers</w:t>
      </w:r>
      <w:r>
        <w:rPr>
          <w:spacing w:val="-7"/>
        </w:rPr>
        <w:t xml:space="preserve"> </w:t>
      </w:r>
      <w:r>
        <w:t>because</w:t>
      </w:r>
      <w:r>
        <w:rPr>
          <w:spacing w:val="-4"/>
        </w:rPr>
        <w:t xml:space="preserve"> </w:t>
      </w:r>
      <w:r>
        <w:t>they</w:t>
      </w:r>
      <w:r>
        <w:rPr>
          <w:spacing w:val="-5"/>
        </w:rPr>
        <w:t xml:space="preserve"> </w:t>
      </w:r>
      <w:r>
        <w:t>are</w:t>
      </w:r>
      <w:r>
        <w:rPr>
          <w:spacing w:val="-5"/>
        </w:rPr>
        <w:t xml:space="preserve"> </w:t>
      </w:r>
      <w:r>
        <w:t>at</w:t>
      </w:r>
      <w:r>
        <w:rPr>
          <w:spacing w:val="-5"/>
        </w:rPr>
        <w:t xml:space="preserve"> </w:t>
      </w:r>
      <w:r>
        <w:t>different</w:t>
      </w:r>
      <w:r>
        <w:rPr>
          <w:spacing w:val="-5"/>
        </w:rPr>
        <w:t xml:space="preserve"> </w:t>
      </w:r>
      <w:r>
        <w:t>levels</w:t>
      </w:r>
      <w:r>
        <w:rPr>
          <w:spacing w:val="-6"/>
        </w:rPr>
        <w:t xml:space="preserve"> </w:t>
      </w:r>
      <w:r>
        <w:t>of</w:t>
      </w:r>
      <w:r>
        <w:rPr>
          <w:spacing w:val="-5"/>
        </w:rPr>
        <w:t xml:space="preserve"> </w:t>
      </w:r>
      <w:r>
        <w:t>trade</w:t>
      </w:r>
      <w:r>
        <w:rPr>
          <w:spacing w:val="-6"/>
        </w:rPr>
        <w:t xml:space="preserve"> </w:t>
      </w:r>
      <w:r>
        <w:t>and</w:t>
      </w:r>
      <w:r>
        <w:rPr>
          <w:spacing w:val="-6"/>
        </w:rPr>
        <w:t xml:space="preserve"> </w:t>
      </w:r>
      <w:r>
        <w:t>represent</w:t>
      </w:r>
      <w:r>
        <w:rPr>
          <w:spacing w:val="-6"/>
        </w:rPr>
        <w:t xml:space="preserve"> </w:t>
      </w:r>
      <w:r>
        <w:t>different</w:t>
      </w:r>
      <w:r>
        <w:rPr>
          <w:spacing w:val="-4"/>
        </w:rPr>
        <w:t xml:space="preserve"> </w:t>
      </w:r>
      <w:r>
        <w:t>segments</w:t>
      </w:r>
      <w:r>
        <w:rPr>
          <w:spacing w:val="-6"/>
        </w:rPr>
        <w:t xml:space="preserve"> </w:t>
      </w:r>
      <w:r>
        <w:t>in the market. Wholesalers and distributors pay producers lower pri</w:t>
      </w:r>
      <w:r>
        <w:t>ces for identical products because</w:t>
      </w:r>
      <w:r>
        <w:rPr>
          <w:spacing w:val="-9"/>
        </w:rPr>
        <w:t xml:space="preserve"> </w:t>
      </w:r>
      <w:r>
        <w:t>they</w:t>
      </w:r>
      <w:r>
        <w:rPr>
          <w:spacing w:val="-9"/>
        </w:rPr>
        <w:t xml:space="preserve"> </w:t>
      </w:r>
      <w:r>
        <w:t>must</w:t>
      </w:r>
      <w:r>
        <w:rPr>
          <w:spacing w:val="-10"/>
        </w:rPr>
        <w:t xml:space="preserve"> </w:t>
      </w:r>
      <w:r>
        <w:t>be</w:t>
      </w:r>
      <w:r>
        <w:rPr>
          <w:spacing w:val="-9"/>
        </w:rPr>
        <w:t xml:space="preserve"> </w:t>
      </w:r>
      <w:r>
        <w:t>able</w:t>
      </w:r>
      <w:r>
        <w:rPr>
          <w:spacing w:val="-9"/>
        </w:rPr>
        <w:t xml:space="preserve"> </w:t>
      </w:r>
      <w:r>
        <w:t>to</w:t>
      </w:r>
      <w:r>
        <w:rPr>
          <w:spacing w:val="-9"/>
        </w:rPr>
        <w:t xml:space="preserve"> </w:t>
      </w:r>
      <w:r>
        <w:t>make</w:t>
      </w:r>
      <w:r>
        <w:rPr>
          <w:spacing w:val="-9"/>
        </w:rPr>
        <w:t xml:space="preserve"> </w:t>
      </w:r>
      <w:r>
        <w:t>a</w:t>
      </w:r>
      <w:r>
        <w:rPr>
          <w:spacing w:val="-10"/>
        </w:rPr>
        <w:t xml:space="preserve"> </w:t>
      </w:r>
      <w:r>
        <w:t>margin</w:t>
      </w:r>
      <w:r>
        <w:rPr>
          <w:spacing w:val="-10"/>
        </w:rPr>
        <w:t xml:space="preserve"> </w:t>
      </w:r>
      <w:r>
        <w:t>to</w:t>
      </w:r>
      <w:r>
        <w:rPr>
          <w:spacing w:val="-11"/>
        </w:rPr>
        <w:t xml:space="preserve"> </w:t>
      </w:r>
      <w:r>
        <w:t>cover</w:t>
      </w:r>
      <w:r>
        <w:rPr>
          <w:spacing w:val="-10"/>
        </w:rPr>
        <w:t xml:space="preserve"> </w:t>
      </w:r>
      <w:r>
        <w:t>their</w:t>
      </w:r>
      <w:r>
        <w:rPr>
          <w:spacing w:val="-10"/>
        </w:rPr>
        <w:t xml:space="preserve"> </w:t>
      </w:r>
      <w:r>
        <w:t>costs</w:t>
      </w:r>
      <w:r>
        <w:rPr>
          <w:spacing w:val="-10"/>
        </w:rPr>
        <w:t xml:space="preserve"> </w:t>
      </w:r>
      <w:r>
        <w:t>and</w:t>
      </w:r>
      <w:r>
        <w:rPr>
          <w:spacing w:val="-10"/>
        </w:rPr>
        <w:t xml:space="preserve"> </w:t>
      </w:r>
      <w:r>
        <w:t>a</w:t>
      </w:r>
      <w:r>
        <w:rPr>
          <w:spacing w:val="-10"/>
        </w:rPr>
        <w:t xml:space="preserve"> </w:t>
      </w:r>
      <w:r>
        <w:t>profit</w:t>
      </w:r>
      <w:r>
        <w:rPr>
          <w:spacing w:val="-9"/>
        </w:rPr>
        <w:t xml:space="preserve"> </w:t>
      </w:r>
      <w:r>
        <w:t>on</w:t>
      </w:r>
      <w:r>
        <w:rPr>
          <w:spacing w:val="-10"/>
        </w:rPr>
        <w:t xml:space="preserve"> </w:t>
      </w:r>
      <w:r>
        <w:t>resale</w:t>
      </w:r>
      <w:r>
        <w:rPr>
          <w:spacing w:val="-10"/>
        </w:rPr>
        <w:t xml:space="preserve"> </w:t>
      </w:r>
      <w:r>
        <w:t>to</w:t>
      </w:r>
      <w:r>
        <w:rPr>
          <w:spacing w:val="-9"/>
        </w:rPr>
        <w:t xml:space="preserve"> </w:t>
      </w:r>
      <w:r>
        <w:t>their clients.</w:t>
      </w:r>
      <w:r>
        <w:rPr>
          <w:spacing w:val="-11"/>
        </w:rPr>
        <w:t xml:space="preserve"> </w:t>
      </w:r>
      <w:r>
        <w:t>For</w:t>
      </w:r>
      <w:r>
        <w:rPr>
          <w:spacing w:val="-11"/>
        </w:rPr>
        <w:t xml:space="preserve"> </w:t>
      </w:r>
      <w:r>
        <w:t>a</w:t>
      </w:r>
      <w:r>
        <w:rPr>
          <w:spacing w:val="-11"/>
        </w:rPr>
        <w:t xml:space="preserve"> </w:t>
      </w:r>
      <w:r>
        <w:t>distributor</w:t>
      </w:r>
      <w:r>
        <w:rPr>
          <w:spacing w:val="-9"/>
        </w:rPr>
        <w:t xml:space="preserve"> </w:t>
      </w:r>
      <w:r>
        <w:t>or</w:t>
      </w:r>
      <w:r>
        <w:rPr>
          <w:spacing w:val="-11"/>
        </w:rPr>
        <w:t xml:space="preserve"> </w:t>
      </w:r>
      <w:r>
        <w:t>wholesaler</w:t>
      </w:r>
      <w:r>
        <w:rPr>
          <w:spacing w:val="-12"/>
        </w:rPr>
        <w:t xml:space="preserve"> </w:t>
      </w:r>
      <w:r>
        <w:t>to</w:t>
      </w:r>
      <w:r>
        <w:rPr>
          <w:spacing w:val="-11"/>
        </w:rPr>
        <w:t xml:space="preserve"> </w:t>
      </w:r>
      <w:r>
        <w:t>break</w:t>
      </w:r>
      <w:r>
        <w:rPr>
          <w:spacing w:val="-11"/>
        </w:rPr>
        <w:t xml:space="preserve"> </w:t>
      </w:r>
      <w:r>
        <w:t>even</w:t>
      </w:r>
      <w:r>
        <w:rPr>
          <w:spacing w:val="-12"/>
        </w:rPr>
        <w:t xml:space="preserve"> </w:t>
      </w:r>
      <w:r>
        <w:t>–</w:t>
      </w:r>
      <w:r>
        <w:rPr>
          <w:spacing w:val="-11"/>
        </w:rPr>
        <w:t xml:space="preserve"> </w:t>
      </w:r>
      <w:r>
        <w:t>let</w:t>
      </w:r>
      <w:r>
        <w:rPr>
          <w:spacing w:val="-11"/>
        </w:rPr>
        <w:t xml:space="preserve"> </w:t>
      </w:r>
      <w:r>
        <w:t>alone</w:t>
      </w:r>
      <w:r>
        <w:rPr>
          <w:spacing w:val="-11"/>
        </w:rPr>
        <w:t xml:space="preserve"> </w:t>
      </w:r>
      <w:r>
        <w:t>realise</w:t>
      </w:r>
      <w:r>
        <w:rPr>
          <w:spacing w:val="-11"/>
        </w:rPr>
        <w:t xml:space="preserve"> </w:t>
      </w:r>
      <w:r>
        <w:t>a</w:t>
      </w:r>
      <w:r>
        <w:rPr>
          <w:spacing w:val="-11"/>
        </w:rPr>
        <w:t xml:space="preserve"> </w:t>
      </w:r>
      <w:r>
        <w:t>profit</w:t>
      </w:r>
      <w:r>
        <w:rPr>
          <w:spacing w:val="-11"/>
        </w:rPr>
        <w:t xml:space="preserve"> </w:t>
      </w:r>
      <w:r>
        <w:t>–</w:t>
      </w:r>
      <w:r>
        <w:rPr>
          <w:spacing w:val="-11"/>
        </w:rPr>
        <w:t xml:space="preserve"> </w:t>
      </w:r>
      <w:r>
        <w:t>from</w:t>
      </w:r>
      <w:r>
        <w:rPr>
          <w:spacing w:val="-10"/>
        </w:rPr>
        <w:t xml:space="preserve"> </w:t>
      </w:r>
      <w:r>
        <w:t>the</w:t>
      </w:r>
      <w:r>
        <w:rPr>
          <w:spacing w:val="-11"/>
        </w:rPr>
        <w:t xml:space="preserve"> </w:t>
      </w:r>
      <w:r>
        <w:t>sale, it</w:t>
      </w:r>
      <w:r>
        <w:rPr>
          <w:spacing w:val="-6"/>
        </w:rPr>
        <w:t xml:space="preserve"> </w:t>
      </w:r>
      <w:r>
        <w:t>would</w:t>
      </w:r>
      <w:r>
        <w:rPr>
          <w:spacing w:val="-7"/>
        </w:rPr>
        <w:t xml:space="preserve"> </w:t>
      </w:r>
      <w:r>
        <w:t>be</w:t>
      </w:r>
      <w:r>
        <w:rPr>
          <w:spacing w:val="-7"/>
        </w:rPr>
        <w:t xml:space="preserve"> </w:t>
      </w:r>
      <w:r>
        <w:t>necessary</w:t>
      </w:r>
      <w:r>
        <w:rPr>
          <w:spacing w:val="-4"/>
        </w:rPr>
        <w:t xml:space="preserve"> </w:t>
      </w:r>
      <w:r>
        <w:t>to</w:t>
      </w:r>
      <w:r>
        <w:rPr>
          <w:spacing w:val="-7"/>
        </w:rPr>
        <w:t xml:space="preserve"> </w:t>
      </w:r>
      <w:r>
        <w:t>purchase</w:t>
      </w:r>
      <w:r>
        <w:rPr>
          <w:spacing w:val="-5"/>
        </w:rPr>
        <w:t xml:space="preserve"> </w:t>
      </w:r>
      <w:r>
        <w:t>the</w:t>
      </w:r>
      <w:r>
        <w:rPr>
          <w:spacing w:val="-6"/>
        </w:rPr>
        <w:t xml:space="preserve"> </w:t>
      </w:r>
      <w:r>
        <w:t>product</w:t>
      </w:r>
      <w:r>
        <w:rPr>
          <w:spacing w:val="-6"/>
        </w:rPr>
        <w:t xml:space="preserve"> </w:t>
      </w:r>
      <w:r>
        <w:t>at</w:t>
      </w:r>
      <w:r>
        <w:rPr>
          <w:spacing w:val="-8"/>
        </w:rPr>
        <w:t xml:space="preserve"> </w:t>
      </w:r>
      <w:r>
        <w:t>a</w:t>
      </w:r>
      <w:r>
        <w:rPr>
          <w:spacing w:val="-6"/>
        </w:rPr>
        <w:t xml:space="preserve"> </w:t>
      </w:r>
      <w:r>
        <w:t>lower</w:t>
      </w:r>
      <w:r>
        <w:rPr>
          <w:spacing w:val="-6"/>
        </w:rPr>
        <w:t xml:space="preserve"> </w:t>
      </w:r>
      <w:r>
        <w:t>price.</w:t>
      </w:r>
      <w:r>
        <w:rPr>
          <w:spacing w:val="-6"/>
        </w:rPr>
        <w:t xml:space="preserve"> </w:t>
      </w:r>
      <w:r>
        <w:t>By</w:t>
      </w:r>
      <w:r>
        <w:rPr>
          <w:spacing w:val="-6"/>
        </w:rPr>
        <w:t xml:space="preserve"> </w:t>
      </w:r>
      <w:r>
        <w:t>contrast,</w:t>
      </w:r>
      <w:r>
        <w:rPr>
          <w:spacing w:val="-5"/>
        </w:rPr>
        <w:t xml:space="preserve"> </w:t>
      </w:r>
      <w:r>
        <w:t>if</w:t>
      </w:r>
      <w:r>
        <w:rPr>
          <w:spacing w:val="-6"/>
        </w:rPr>
        <w:t xml:space="preserve"> </w:t>
      </w:r>
      <w:r>
        <w:t>a</w:t>
      </w:r>
      <w:r>
        <w:rPr>
          <w:spacing w:val="-6"/>
        </w:rPr>
        <w:t xml:space="preserve"> </w:t>
      </w:r>
      <w:r>
        <w:t>producer</w:t>
      </w:r>
      <w:r>
        <w:rPr>
          <w:spacing w:val="-6"/>
        </w:rPr>
        <w:t xml:space="preserve"> </w:t>
      </w:r>
      <w:r>
        <w:t>sells</w:t>
      </w:r>
    </w:p>
    <w:p w14:paraId="51DE7EAA" w14:textId="77777777" w:rsidR="0010369C" w:rsidRDefault="008E43AE">
      <w:pPr>
        <w:pStyle w:val="BodyText"/>
        <w:spacing w:before="6"/>
        <w:rPr>
          <w:sz w:val="20"/>
        </w:rPr>
      </w:pPr>
      <w:r>
        <w:pict w14:anchorId="51DE9E2B">
          <v:rect id="docshape132" o:spid="_x0000_s3141" style="position:absolute;margin-left:70.9pt;margin-top:13.7pt;width:2in;height:.8pt;z-index:-251220480;mso-wrap-distance-left:0;mso-wrap-distance-right:0;mso-position-horizontal-relative:page" fillcolor="black" stroked="f">
            <w10:wrap type="topAndBottom" anchorx="page"/>
          </v:rect>
        </w:pict>
      </w:r>
      <w:r>
        <w:pict w14:anchorId="51DE9E2C">
          <v:group id="docshapegroup133" o:spid="_x0000_s3133" style="position:absolute;margin-left:69.9pt;margin-top:20.3pt;width:453.5pt;height:56.05pt;z-index:-251219456;mso-wrap-distance-left:0;mso-wrap-distance-right:0;mso-position-horizontal-relative:page" coordorigin="1398,406" coordsize="9070,1121">
            <v:shape id="docshape134" o:spid="_x0000_s3140" style="position:absolute;left:1398;top:405;width:9070;height:1121" coordorigin="1398,406" coordsize="9070,1121" o:spt="100" adj="0,,0" path="m8567,1285r-531,l8036,1526r531,l8567,1285xm10468,406r-8743,l1725,626r-327,l1398,846r,21l1398,1087r335,l1733,1307r,l1733,1526r5229,l6962,1307r345,l7307,1087r378,l7685,867r1034,l8719,1087r531,l9250,867r1217,l10467,647r1,l10468,406xe" fillcolor="black" stroked="f">
              <v:stroke joinstyle="round"/>
              <v:formulas/>
              <v:path arrowok="t" o:connecttype="segments"/>
            </v:shape>
            <v:shape id="docshape135" o:spid="_x0000_s3139" type="#_x0000_t202" style="position:absolute;left:1418;top:420;width:347;height:195" filled="f" stroked="f">
              <v:textbox inset="0,0,0,0">
                <w:txbxContent>
                  <w:p w14:paraId="51DEAC18" w14:textId="77777777" w:rsidR="0010369C" w:rsidRDefault="008E43AE">
                    <w:pPr>
                      <w:spacing w:before="28" w:line="124" w:lineRule="auto"/>
                      <w:rPr>
                        <w:sz w:val="18"/>
                      </w:rPr>
                    </w:pPr>
                    <w:r>
                      <w:rPr>
                        <w:color w:val="5E5E5E"/>
                        <w:sz w:val="12"/>
                      </w:rPr>
                      <w:t>120</w:t>
                    </w:r>
                    <w:r>
                      <w:rPr>
                        <w:color w:val="5E5E5E"/>
                        <w:spacing w:val="3"/>
                        <w:sz w:val="12"/>
                      </w:rPr>
                      <w:t xml:space="preserve"> </w:t>
                    </w:r>
                    <w:r>
                      <w:rPr>
                        <w:color w:val="5E5E5E"/>
                        <w:spacing w:val="-5"/>
                        <w:position w:val="-5"/>
                        <w:sz w:val="18"/>
                      </w:rPr>
                      <w:t>[[</w:t>
                    </w:r>
                  </w:p>
                </w:txbxContent>
              </v:textbox>
            </v:shape>
            <v:shape id="docshape136" o:spid="_x0000_s3138" type="#_x0000_t202" style="position:absolute;left:1418;top:1080;width:300;height:415" filled="f" stroked="f">
              <v:textbox inset="0,0,0,0">
                <w:txbxContent>
                  <w:p w14:paraId="51DEAC19" w14:textId="77777777" w:rsidR="0010369C" w:rsidRDefault="008E43AE">
                    <w:pPr>
                      <w:spacing w:before="28" w:line="124" w:lineRule="auto"/>
                      <w:rPr>
                        <w:sz w:val="18"/>
                      </w:rPr>
                    </w:pPr>
                    <w:r>
                      <w:rPr>
                        <w:color w:val="5E5E5E"/>
                        <w:sz w:val="12"/>
                      </w:rPr>
                      <w:t>121</w:t>
                    </w:r>
                    <w:r>
                      <w:rPr>
                        <w:color w:val="5E5E5E"/>
                        <w:spacing w:val="11"/>
                        <w:sz w:val="12"/>
                      </w:rPr>
                      <w:t xml:space="preserve"> </w:t>
                    </w:r>
                    <w:r>
                      <w:rPr>
                        <w:color w:val="5E5E5E"/>
                        <w:spacing w:val="-10"/>
                        <w:position w:val="-5"/>
                        <w:sz w:val="18"/>
                      </w:rPr>
                      <w:t>[</w:t>
                    </w:r>
                  </w:p>
                  <w:p w14:paraId="51DEAC1A" w14:textId="77777777" w:rsidR="0010369C" w:rsidRDefault="008E43AE">
                    <w:pPr>
                      <w:spacing w:before="84" w:line="158" w:lineRule="auto"/>
                      <w:rPr>
                        <w:sz w:val="18"/>
                      </w:rPr>
                    </w:pPr>
                    <w:r>
                      <w:rPr>
                        <w:color w:val="5E5E5E"/>
                        <w:sz w:val="12"/>
                      </w:rPr>
                      <w:t>122</w:t>
                    </w:r>
                    <w:r>
                      <w:rPr>
                        <w:color w:val="5E5E5E"/>
                        <w:spacing w:val="11"/>
                        <w:sz w:val="12"/>
                      </w:rPr>
                      <w:t xml:space="preserve"> </w:t>
                    </w:r>
                    <w:r>
                      <w:rPr>
                        <w:color w:val="5E5E5E"/>
                        <w:spacing w:val="-10"/>
                        <w:position w:val="-5"/>
                        <w:sz w:val="18"/>
                      </w:rPr>
                      <w:t>[</w:t>
                    </w:r>
                  </w:p>
                </w:txbxContent>
              </v:textbox>
            </v:shape>
            <v:shape id="docshape137" o:spid="_x0000_s3137" type="#_x0000_t202" style="position:absolute;left:7368;top:875;width:1351;height:400" filled="f" stroked="f">
              <v:textbox inset="0,0,0,0">
                <w:txbxContent>
                  <w:p w14:paraId="51DEAC1B" w14:textId="77777777" w:rsidR="0010369C" w:rsidRDefault="008E43AE">
                    <w:pPr>
                      <w:spacing w:line="183" w:lineRule="exact"/>
                      <w:ind w:left="391"/>
                      <w:rPr>
                        <w:sz w:val="18"/>
                      </w:rPr>
                    </w:pPr>
                    <w:r>
                      <w:rPr>
                        <w:color w:val="5E5E5E"/>
                        <w:sz w:val="18"/>
                      </w:rPr>
                      <w:t>AUS‐5</w:t>
                    </w:r>
                    <w:r>
                      <w:rPr>
                        <w:color w:val="5E5E5E"/>
                        <w:spacing w:val="-7"/>
                        <w:sz w:val="18"/>
                      </w:rPr>
                      <w:t xml:space="preserve"> </w:t>
                    </w:r>
                    <w:r>
                      <w:rPr>
                        <w:color w:val="5E5E5E"/>
                        <w:spacing w:val="-2"/>
                        <w:sz w:val="18"/>
                      </w:rPr>
                      <w:t>(BCI)),</w:t>
                    </w:r>
                  </w:p>
                  <w:p w14:paraId="51DEAC1C" w14:textId="77777777" w:rsidR="0010369C" w:rsidRDefault="008E43AE">
                    <w:pPr>
                      <w:spacing w:line="216" w:lineRule="exact"/>
                      <w:rPr>
                        <w:sz w:val="18"/>
                      </w:rPr>
                    </w:pPr>
                    <w:r>
                      <w:rPr>
                        <w:color w:val="5E5E5E"/>
                        <w:sz w:val="18"/>
                      </w:rPr>
                      <w:t>(AUS‐7</w:t>
                    </w:r>
                    <w:r>
                      <w:rPr>
                        <w:color w:val="5E5E5E"/>
                        <w:spacing w:val="-7"/>
                        <w:sz w:val="18"/>
                      </w:rPr>
                      <w:t xml:space="preserve"> </w:t>
                    </w:r>
                    <w:r>
                      <w:rPr>
                        <w:color w:val="5E5E5E"/>
                        <w:spacing w:val="-2"/>
                        <w:sz w:val="18"/>
                      </w:rPr>
                      <w:t>(BCI)).]]</w:t>
                    </w:r>
                  </w:p>
                </w:txbxContent>
              </v:textbox>
            </v:shape>
            <v:shape id="docshape138" o:spid="_x0000_s3136" type="#_x0000_t202" style="position:absolute;left:9270;top:875;width:176;height:180" filled="f" stroked="f">
              <v:textbox inset="0,0,0,0">
                <w:txbxContent>
                  <w:p w14:paraId="51DEAC1D" w14:textId="77777777" w:rsidR="0010369C" w:rsidRDefault="008E43AE">
                    <w:pPr>
                      <w:spacing w:line="180" w:lineRule="exact"/>
                      <w:rPr>
                        <w:sz w:val="18"/>
                      </w:rPr>
                    </w:pPr>
                    <w:r>
                      <w:rPr>
                        <w:color w:val="5E5E5E"/>
                        <w:spacing w:val="-5"/>
                        <w:sz w:val="18"/>
                      </w:rPr>
                      <w:t>.]]</w:t>
                    </w:r>
                  </w:p>
                </w:txbxContent>
              </v:textbox>
            </v:shape>
            <v:shape id="docshape139" o:spid="_x0000_s3135" type="#_x0000_t202" style="position:absolute;left:7023;top:1314;width:1012;height:180" filled="f" stroked="f">
              <v:textbox inset="0,0,0,0">
                <w:txbxContent>
                  <w:p w14:paraId="51DEAC1E" w14:textId="77777777" w:rsidR="0010369C" w:rsidRDefault="008E43AE">
                    <w:pPr>
                      <w:spacing w:line="180" w:lineRule="exact"/>
                      <w:rPr>
                        <w:sz w:val="18"/>
                      </w:rPr>
                    </w:pPr>
                    <w:r>
                      <w:rPr>
                        <w:color w:val="5E5E5E"/>
                        <w:sz w:val="18"/>
                      </w:rPr>
                      <w:t>(AUS‐5</w:t>
                    </w:r>
                    <w:r>
                      <w:rPr>
                        <w:color w:val="5E5E5E"/>
                        <w:spacing w:val="-11"/>
                        <w:sz w:val="18"/>
                      </w:rPr>
                      <w:t xml:space="preserve"> </w:t>
                    </w:r>
                    <w:r>
                      <w:rPr>
                        <w:color w:val="5E5E5E"/>
                        <w:spacing w:val="-2"/>
                        <w:sz w:val="18"/>
                      </w:rPr>
                      <w:t>(BCI)),</w:t>
                    </w:r>
                  </w:p>
                </w:txbxContent>
              </v:textbox>
            </v:shape>
            <v:shape id="docshape140" o:spid="_x0000_s3134" type="#_x0000_t202" style="position:absolute;left:8587;top:1314;width:176;height:180" filled="f" stroked="f">
              <v:textbox inset="0,0,0,0">
                <w:txbxContent>
                  <w:p w14:paraId="51DEAC1F" w14:textId="77777777" w:rsidR="0010369C" w:rsidRDefault="008E43AE">
                    <w:pPr>
                      <w:spacing w:line="180" w:lineRule="exact"/>
                      <w:rPr>
                        <w:sz w:val="18"/>
                      </w:rPr>
                    </w:pPr>
                    <w:r>
                      <w:rPr>
                        <w:color w:val="5E5E5E"/>
                        <w:spacing w:val="-5"/>
                        <w:sz w:val="18"/>
                      </w:rPr>
                      <w:t>.]]</w:t>
                    </w:r>
                  </w:p>
                </w:txbxContent>
              </v:textbox>
            </v:shape>
            <w10:wrap type="topAndBottom" anchorx="page"/>
          </v:group>
        </w:pict>
      </w:r>
    </w:p>
    <w:p w14:paraId="51DE7EAB" w14:textId="77777777" w:rsidR="0010369C" w:rsidRDefault="0010369C">
      <w:pPr>
        <w:pStyle w:val="BodyText"/>
        <w:spacing w:before="6"/>
        <w:rPr>
          <w:sz w:val="7"/>
        </w:rPr>
      </w:pPr>
    </w:p>
    <w:p w14:paraId="51DE7EAC" w14:textId="77777777" w:rsidR="0010369C" w:rsidRDefault="0010369C">
      <w:pPr>
        <w:rPr>
          <w:sz w:val="7"/>
        </w:rPr>
        <w:sectPr w:rsidR="0010369C">
          <w:pgSz w:w="11910" w:h="16840"/>
          <w:pgMar w:top="880" w:right="800" w:bottom="980" w:left="1180" w:header="569" w:footer="788" w:gutter="0"/>
          <w:cols w:space="720"/>
        </w:sectPr>
      </w:pPr>
    </w:p>
    <w:p w14:paraId="51DE7EAD" w14:textId="77777777" w:rsidR="0010369C" w:rsidRDefault="008E43AE">
      <w:pPr>
        <w:tabs>
          <w:tab w:val="left" w:pos="6426"/>
        </w:tabs>
        <w:ind w:left="238"/>
        <w:rPr>
          <w:sz w:val="20"/>
        </w:rPr>
      </w:pPr>
      <w:r>
        <w:rPr>
          <w:noProof/>
        </w:rPr>
        <w:lastRenderedPageBreak/>
        <w:drawing>
          <wp:anchor distT="0" distB="0" distL="0" distR="0" simplePos="0" relativeHeight="250809856" behindDoc="1" locked="0" layoutInCell="1" allowOverlap="1" wp14:anchorId="51DE9E2D" wp14:editId="51DE9E2E">
            <wp:simplePos x="0" y="0"/>
            <wp:positionH relativeFrom="page">
              <wp:posOffset>908303</wp:posOffset>
            </wp:positionH>
            <wp:positionV relativeFrom="page">
              <wp:posOffset>5337047</wp:posOffset>
            </wp:positionV>
            <wp:extent cx="256031" cy="103632"/>
            <wp:effectExtent l="0" t="0" r="0" b="0"/>
            <wp:wrapNone/>
            <wp:docPr id="237" name="image1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image127.png"/>
                    <pic:cNvPicPr/>
                  </pic:nvPicPr>
                  <pic:blipFill>
                    <a:blip r:embed="rId219" cstate="print"/>
                    <a:stretch>
                      <a:fillRect/>
                    </a:stretch>
                  </pic:blipFill>
                  <pic:spPr>
                    <a:xfrm>
                      <a:off x="0" y="0"/>
                      <a:ext cx="256031" cy="103632"/>
                    </a:xfrm>
                    <a:prstGeom prst="rect">
                      <a:avLst/>
                    </a:prstGeom>
                  </pic:spPr>
                </pic:pic>
              </a:graphicData>
            </a:graphic>
          </wp:anchor>
        </w:drawing>
      </w:r>
      <w:r>
        <w:rPr>
          <w:i/>
          <w:sz w:val="20"/>
        </w:rPr>
        <w:t>China</w:t>
      </w:r>
      <w:r>
        <w:rPr>
          <w:i/>
          <w:spacing w:val="-5"/>
          <w:sz w:val="20"/>
        </w:rPr>
        <w:t xml:space="preserve"> </w:t>
      </w:r>
      <w:r>
        <w:rPr>
          <w:i/>
          <w:sz w:val="20"/>
        </w:rPr>
        <w:t>–</w:t>
      </w:r>
      <w:r>
        <w:rPr>
          <w:i/>
          <w:spacing w:val="-5"/>
          <w:sz w:val="20"/>
        </w:rPr>
        <w:t xml:space="preserve"> </w:t>
      </w:r>
      <w:r>
        <w:rPr>
          <w:i/>
          <w:sz w:val="20"/>
        </w:rPr>
        <w:t>Anti‐Dumping</w:t>
      </w:r>
      <w:r>
        <w:rPr>
          <w:i/>
          <w:spacing w:val="-4"/>
          <w:sz w:val="20"/>
        </w:rPr>
        <w:t xml:space="preserve"> </w:t>
      </w:r>
      <w:r>
        <w:rPr>
          <w:i/>
          <w:sz w:val="20"/>
        </w:rPr>
        <w:t>and</w:t>
      </w:r>
      <w:r>
        <w:rPr>
          <w:i/>
          <w:spacing w:val="-5"/>
          <w:sz w:val="20"/>
        </w:rPr>
        <w:t xml:space="preserve"> </w:t>
      </w:r>
      <w:r>
        <w:rPr>
          <w:i/>
          <w:sz w:val="20"/>
        </w:rPr>
        <w:t>Countervailing</w:t>
      </w:r>
      <w:r>
        <w:rPr>
          <w:i/>
          <w:spacing w:val="-5"/>
          <w:sz w:val="20"/>
        </w:rPr>
        <w:t xml:space="preserve"> </w:t>
      </w:r>
      <w:r>
        <w:rPr>
          <w:i/>
          <w:sz w:val="20"/>
        </w:rPr>
        <w:t>Duty</w:t>
      </w:r>
      <w:r>
        <w:rPr>
          <w:i/>
          <w:spacing w:val="-4"/>
          <w:sz w:val="20"/>
        </w:rPr>
        <w:t xml:space="preserve"> </w:t>
      </w:r>
      <w:r>
        <w:rPr>
          <w:i/>
          <w:spacing w:val="-2"/>
          <w:sz w:val="20"/>
        </w:rPr>
        <w:t>Measures</w:t>
      </w:r>
      <w:r>
        <w:rPr>
          <w:i/>
          <w:sz w:val="20"/>
        </w:rPr>
        <w:tab/>
      </w:r>
      <w:r>
        <w:rPr>
          <w:sz w:val="20"/>
        </w:rPr>
        <w:t>Australia's</w:t>
      </w:r>
      <w:r>
        <w:rPr>
          <w:spacing w:val="-7"/>
          <w:sz w:val="20"/>
        </w:rPr>
        <w:t xml:space="preserve"> </w:t>
      </w:r>
      <w:r>
        <w:rPr>
          <w:sz w:val="20"/>
        </w:rPr>
        <w:t>First</w:t>
      </w:r>
      <w:r>
        <w:rPr>
          <w:spacing w:val="-2"/>
          <w:sz w:val="20"/>
        </w:rPr>
        <w:t xml:space="preserve"> </w:t>
      </w:r>
      <w:r>
        <w:rPr>
          <w:sz w:val="20"/>
        </w:rPr>
        <w:t>Written</w:t>
      </w:r>
      <w:r>
        <w:rPr>
          <w:spacing w:val="-2"/>
          <w:sz w:val="20"/>
        </w:rPr>
        <w:t xml:space="preserve"> Submission</w:t>
      </w:r>
    </w:p>
    <w:p w14:paraId="51DE7EAE" w14:textId="77777777" w:rsidR="0010369C" w:rsidRDefault="008E43AE">
      <w:pPr>
        <w:tabs>
          <w:tab w:val="left" w:pos="8228"/>
        </w:tabs>
        <w:spacing w:before="1"/>
        <w:ind w:left="239"/>
        <w:rPr>
          <w:sz w:val="20"/>
        </w:rPr>
      </w:pPr>
      <w:r>
        <w:rPr>
          <w:i/>
          <w:sz w:val="20"/>
        </w:rPr>
        <w:t>on</w:t>
      </w:r>
      <w:r>
        <w:rPr>
          <w:i/>
          <w:spacing w:val="-1"/>
          <w:sz w:val="20"/>
        </w:rPr>
        <w:t xml:space="preserve"> </w:t>
      </w:r>
      <w:r>
        <w:rPr>
          <w:i/>
          <w:sz w:val="20"/>
        </w:rPr>
        <w:t>Wine</w:t>
      </w:r>
      <w:r>
        <w:rPr>
          <w:i/>
          <w:spacing w:val="-1"/>
          <w:sz w:val="20"/>
        </w:rPr>
        <w:t xml:space="preserve"> </w:t>
      </w:r>
      <w:r>
        <w:rPr>
          <w:i/>
          <w:sz w:val="20"/>
        </w:rPr>
        <w:t>from</w:t>
      </w:r>
      <w:r>
        <w:rPr>
          <w:i/>
          <w:spacing w:val="-3"/>
          <w:sz w:val="20"/>
        </w:rPr>
        <w:t xml:space="preserve"> </w:t>
      </w:r>
      <w:r>
        <w:rPr>
          <w:i/>
          <w:sz w:val="20"/>
        </w:rPr>
        <w:t>Australia</w:t>
      </w:r>
      <w:r>
        <w:rPr>
          <w:i/>
          <w:spacing w:val="-1"/>
          <w:sz w:val="20"/>
        </w:rPr>
        <w:t xml:space="preserve"> </w:t>
      </w:r>
      <w:r>
        <w:rPr>
          <w:spacing w:val="-2"/>
          <w:sz w:val="20"/>
        </w:rPr>
        <w:t>(DS602)</w:t>
      </w:r>
      <w:r>
        <w:rPr>
          <w:sz w:val="20"/>
        </w:rPr>
        <w:tab/>
        <w:t>29</w:t>
      </w:r>
      <w:r>
        <w:rPr>
          <w:spacing w:val="-1"/>
          <w:sz w:val="20"/>
        </w:rPr>
        <w:t xml:space="preserve"> </w:t>
      </w:r>
      <w:r>
        <w:rPr>
          <w:sz w:val="20"/>
        </w:rPr>
        <w:t>April</w:t>
      </w:r>
      <w:r>
        <w:rPr>
          <w:spacing w:val="-2"/>
          <w:sz w:val="20"/>
        </w:rPr>
        <w:t xml:space="preserve"> </w:t>
      </w:r>
      <w:r>
        <w:rPr>
          <w:spacing w:val="-4"/>
          <w:sz w:val="20"/>
        </w:rPr>
        <w:t>2022</w:t>
      </w:r>
    </w:p>
    <w:p w14:paraId="51DE7EAF" w14:textId="77777777" w:rsidR="0010369C" w:rsidRDefault="008E43AE">
      <w:pPr>
        <w:pStyle w:val="BodyText"/>
        <w:spacing w:before="34" w:line="360" w:lineRule="auto"/>
        <w:ind w:left="238" w:right="614"/>
      </w:pPr>
      <w:r>
        <w:t>directly to consumers, it will commonly constitute the highest possible sales price given the additional price components, including costs, involved in such sale.</w:t>
      </w:r>
    </w:p>
    <w:p w14:paraId="51DE7EB0" w14:textId="77777777" w:rsidR="0010369C" w:rsidRDefault="0010369C">
      <w:pPr>
        <w:pStyle w:val="BodyText"/>
        <w:spacing w:before="10"/>
        <w:rPr>
          <w:sz w:val="8"/>
        </w:rPr>
      </w:pPr>
    </w:p>
    <w:p w14:paraId="51DE7EB1" w14:textId="77777777" w:rsidR="0010369C" w:rsidRDefault="008E43AE">
      <w:pPr>
        <w:spacing w:before="52"/>
        <w:ind w:left="1089"/>
        <w:rPr>
          <w:sz w:val="24"/>
        </w:rPr>
      </w:pPr>
      <w:r>
        <w:rPr>
          <w:noProof/>
        </w:rPr>
        <w:drawing>
          <wp:anchor distT="0" distB="0" distL="0" distR="0" simplePos="0" relativeHeight="250615296" behindDoc="0" locked="0" layoutInCell="1" allowOverlap="1" wp14:anchorId="51DE9E2F" wp14:editId="51DE9E30">
            <wp:simplePos x="0" y="0"/>
            <wp:positionH relativeFrom="page">
              <wp:posOffset>908303</wp:posOffset>
            </wp:positionH>
            <wp:positionV relativeFrom="paragraph">
              <wp:posOffset>76785</wp:posOffset>
            </wp:positionV>
            <wp:extent cx="256031" cy="106679"/>
            <wp:effectExtent l="0" t="0" r="0" b="0"/>
            <wp:wrapNone/>
            <wp:docPr id="239" name="image1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image128.png"/>
                    <pic:cNvPicPr/>
                  </pic:nvPicPr>
                  <pic:blipFill>
                    <a:blip r:embed="rId220" cstate="print"/>
                    <a:stretch>
                      <a:fillRect/>
                    </a:stretch>
                  </pic:blipFill>
                  <pic:spPr>
                    <a:xfrm>
                      <a:off x="0" y="0"/>
                      <a:ext cx="256031" cy="106679"/>
                    </a:xfrm>
                    <a:prstGeom prst="rect">
                      <a:avLst/>
                    </a:prstGeom>
                  </pic:spPr>
                </pic:pic>
              </a:graphicData>
            </a:graphic>
          </wp:anchor>
        </w:drawing>
      </w:r>
      <w:r>
        <w:pict w14:anchorId="51DE9E31">
          <v:rect id="docshape144" o:spid="_x0000_s3132" style="position:absolute;left:0;text-align:left;margin-left:119.8pt;margin-top:2.7pt;width:403.55pt;height:16.05pt;z-index:251697664;mso-position-horizontal-relative:page;mso-position-vertical-relative:text" fillcolor="black" stroked="f">
            <w10:wrap anchorx="page"/>
          </v:rect>
        </w:pict>
      </w:r>
      <w:r>
        <w:pict w14:anchorId="51DE9E32">
          <v:rect id="docshape145" o:spid="_x0000_s3131" style="position:absolute;left:0;text-align:left;margin-left:69.9pt;margin-top:266.45pt;width:44.1pt;height:16.05pt;z-index:251698688;mso-position-horizontal-relative:page;mso-position-vertical-relative:text" fillcolor="black" stroked="f">
            <w10:wrap anchorx="page"/>
          </v:rect>
        </w:pict>
      </w:r>
      <w:r>
        <w:rPr>
          <w:spacing w:val="-5"/>
          <w:sz w:val="24"/>
        </w:rPr>
        <w:t>[[</w:t>
      </w:r>
    </w:p>
    <w:p w14:paraId="51DE7EB2" w14:textId="77777777" w:rsidR="0010369C" w:rsidRDefault="008E43AE">
      <w:pPr>
        <w:pStyle w:val="BodyText"/>
        <w:spacing w:before="3"/>
        <w:rPr>
          <w:sz w:val="10"/>
        </w:rPr>
      </w:pPr>
      <w:r>
        <w:pict w14:anchorId="51DE9E33">
          <v:rect id="docshape146" o:spid="_x0000_s3130" style="position:absolute;margin-left:69.9pt;margin-top:7.5pt;width:453.45pt;height:16.05pt;z-index:-251218432;mso-wrap-distance-left:0;mso-wrap-distance-right:0;mso-position-horizontal-relative:page" fillcolor="black" stroked="f">
            <w10:wrap type="topAndBottom" anchorx="page"/>
          </v:rect>
        </w:pict>
      </w:r>
      <w:r>
        <w:pict w14:anchorId="51DE9E34">
          <v:shape id="docshape147" o:spid="_x0000_s3129" style="position:absolute;margin-left:69.9pt;margin-top:29.45pt;width:453.45pt;height:16.1pt;z-index:-251217408;mso-wrap-distance-left:0;mso-wrap-distance-right:0;mso-position-horizontal-relative:page" coordorigin="1398,589" coordsize="9069,322" o:spt="100" adj="0,,0" path="m2521,589r-1123,l1398,910r1123,l2521,589xm2763,591r-241,l2522,805r241,l2763,591xm10467,589r-7661,l2806,910r7661,l10467,589xe" fillcolor="black" stroked="f">
            <v:stroke joinstyle="round"/>
            <v:formulas/>
            <v:path arrowok="t" o:connecttype="segments"/>
            <w10:wrap type="topAndBottom" anchorx="page"/>
          </v:shape>
        </w:pict>
      </w:r>
      <w:r>
        <w:pict w14:anchorId="51DE9E35">
          <v:shape id="docshape148" o:spid="_x0000_s3128" style="position:absolute;margin-left:69.9pt;margin-top:51.4pt;width:453.45pt;height:16.1pt;z-index:-251216384;mso-wrap-distance-left:0;mso-wrap-distance-right:0;mso-position-horizontal-relative:page" coordorigin="1398,1028" coordsize="9069,322" o:spt="100" adj="0,,0" path="m4422,1030r-242,l4180,1028r-2782,l1398,1350r2782,l4180,1244r242,l4422,1030xm10467,1028r-5991,l4476,1350r5991,l10467,1028xe" fillcolor="black" stroked="f">
            <v:stroke joinstyle="round"/>
            <v:formulas/>
            <v:path arrowok="t" o:connecttype="segments"/>
            <w10:wrap type="topAndBottom" anchorx="page"/>
          </v:shape>
        </w:pict>
      </w:r>
      <w:r>
        <w:pict w14:anchorId="51DE9E36">
          <v:rect id="docshape149" o:spid="_x0000_s3127" style="position:absolute;margin-left:69.9pt;margin-top:73.35pt;width:453.45pt;height:16.05pt;z-index:-251215360;mso-wrap-distance-left:0;mso-wrap-distance-right:0;mso-position-horizontal-relative:page" fillcolor="black" stroked="f">
            <w10:wrap type="topAndBottom" anchorx="page"/>
          </v:rect>
        </w:pict>
      </w:r>
      <w:r>
        <w:pict w14:anchorId="51DE9E37">
          <v:rect id="docshape150" o:spid="_x0000_s3126" style="position:absolute;margin-left:69.9pt;margin-top:95.35pt;width:453.4pt;height:16.05pt;z-index:-251214336;mso-wrap-distance-left:0;mso-wrap-distance-right:0;mso-position-horizontal-relative:page" fillcolor="black" stroked="f">
            <w10:wrap type="topAndBottom" anchorx="page"/>
          </v:rect>
        </w:pict>
      </w:r>
      <w:r>
        <w:pict w14:anchorId="51DE9E38">
          <v:rect id="docshape151" o:spid="_x0000_s3125" style="position:absolute;margin-left:69.9pt;margin-top:117.35pt;width:453.4pt;height:16.05pt;z-index:-251213312;mso-wrap-distance-left:0;mso-wrap-distance-right:0;mso-position-horizontal-relative:page" fillcolor="black" stroked="f">
            <w10:wrap type="topAndBottom" anchorx="page"/>
          </v:rect>
        </w:pict>
      </w:r>
      <w:r>
        <w:pict w14:anchorId="51DE9E39">
          <v:rect id="docshape152" o:spid="_x0000_s3124" style="position:absolute;margin-left:69.9pt;margin-top:139.3pt;width:453.5pt;height:16.05pt;z-index:-251212288;mso-wrap-distance-left:0;mso-wrap-distance-right:0;mso-position-horizontal-relative:page" fillcolor="black" stroked="f">
            <w10:wrap type="topAndBottom" anchorx="page"/>
          </v:rect>
        </w:pict>
      </w:r>
      <w:r>
        <w:pict w14:anchorId="51DE9E3A">
          <v:rect id="docshape153" o:spid="_x0000_s3123" style="position:absolute;margin-left:69.9pt;margin-top:161.25pt;width:453.5pt;height:16.05pt;z-index:-251211264;mso-wrap-distance-left:0;mso-wrap-distance-right:0;mso-position-horizontal-relative:page" fillcolor="black" stroked="f">
            <w10:wrap type="topAndBottom" anchorx="page"/>
          </v:rect>
        </w:pict>
      </w:r>
      <w:r>
        <w:pict w14:anchorId="51DE9E3B">
          <v:shape id="docshape154" o:spid="_x0000_s3122" style="position:absolute;margin-left:69.9pt;margin-top:183.25pt;width:51.05pt;height:16.1pt;z-index:-251210240;mso-wrap-distance-left:0;mso-wrap-distance-right:0;mso-position-horizontal-relative:page" coordorigin="1398,3665" coordsize="1021,322" o:spt="100" adj="0,,0" path="m2177,3665r-779,l1398,3986r779,l2177,3665xm2419,3667r-242,l2177,3880r242,l2419,3667xe" fillcolor="black" stroked="f">
            <v:stroke joinstyle="round"/>
            <v:formulas/>
            <v:path arrowok="t" o:connecttype="segments"/>
            <w10:wrap type="topAndBottom" anchorx="page"/>
          </v:shape>
        </w:pict>
      </w:r>
      <w:r>
        <w:pict w14:anchorId="51DE9E3C">
          <v:rect id="docshape155" o:spid="_x0000_s3121" style="position:absolute;margin-left:125.2pt;margin-top:183.25pt;width:398.15pt;height:16.05pt;z-index:-251209216;mso-wrap-distance-left:0;mso-wrap-distance-right:0;mso-position-horizontal-relative:page" fillcolor="black" stroked="f">
            <w10:wrap type="topAndBottom" anchorx="page"/>
          </v:rect>
        </w:pict>
      </w:r>
      <w:r>
        <w:pict w14:anchorId="51DE9E3D">
          <v:rect id="docshape156" o:spid="_x0000_s3120" style="position:absolute;margin-left:69.9pt;margin-top:205.25pt;width:453.4pt;height:16.05pt;z-index:-251208192;mso-wrap-distance-left:0;mso-wrap-distance-right:0;mso-position-horizontal-relative:page" fillcolor="black" stroked="f">
            <w10:wrap type="topAndBottom" anchorx="page"/>
          </v:rect>
        </w:pict>
      </w:r>
      <w:r>
        <w:pict w14:anchorId="51DE9E3E">
          <v:rect id="docshape157" o:spid="_x0000_s3119" style="position:absolute;margin-left:69.9pt;margin-top:227.2pt;width:453.55pt;height:16.05pt;z-index:-251207168;mso-wrap-distance-left:0;mso-wrap-distance-right:0;mso-position-horizontal-relative:page" fillcolor="black" stroked="f">
            <w10:wrap type="topAndBottom" anchorx="page"/>
          </v:rect>
        </w:pict>
      </w:r>
    </w:p>
    <w:p w14:paraId="51DE7EB3" w14:textId="77777777" w:rsidR="0010369C" w:rsidRDefault="0010369C">
      <w:pPr>
        <w:pStyle w:val="BodyText"/>
        <w:spacing w:before="8"/>
        <w:rPr>
          <w:sz w:val="7"/>
        </w:rPr>
      </w:pPr>
    </w:p>
    <w:p w14:paraId="51DE7EB4" w14:textId="77777777" w:rsidR="0010369C" w:rsidRDefault="0010369C">
      <w:pPr>
        <w:pStyle w:val="BodyText"/>
        <w:spacing w:before="8"/>
        <w:rPr>
          <w:sz w:val="7"/>
        </w:rPr>
      </w:pPr>
    </w:p>
    <w:p w14:paraId="51DE7EB5" w14:textId="77777777" w:rsidR="0010369C" w:rsidRDefault="0010369C">
      <w:pPr>
        <w:pStyle w:val="BodyText"/>
        <w:spacing w:before="8"/>
        <w:rPr>
          <w:sz w:val="7"/>
        </w:rPr>
      </w:pPr>
    </w:p>
    <w:p w14:paraId="51DE7EB6" w14:textId="77777777" w:rsidR="0010369C" w:rsidRDefault="0010369C">
      <w:pPr>
        <w:pStyle w:val="BodyText"/>
        <w:spacing w:before="8"/>
        <w:rPr>
          <w:sz w:val="7"/>
        </w:rPr>
      </w:pPr>
    </w:p>
    <w:p w14:paraId="51DE7EB7" w14:textId="77777777" w:rsidR="0010369C" w:rsidRDefault="0010369C">
      <w:pPr>
        <w:pStyle w:val="BodyText"/>
        <w:spacing w:before="9"/>
        <w:rPr>
          <w:sz w:val="7"/>
        </w:rPr>
      </w:pPr>
    </w:p>
    <w:p w14:paraId="51DE7EB8" w14:textId="77777777" w:rsidR="0010369C" w:rsidRDefault="0010369C">
      <w:pPr>
        <w:pStyle w:val="BodyText"/>
        <w:spacing w:before="8"/>
        <w:rPr>
          <w:sz w:val="7"/>
        </w:rPr>
      </w:pPr>
    </w:p>
    <w:p w14:paraId="51DE7EB9" w14:textId="77777777" w:rsidR="0010369C" w:rsidRDefault="0010369C">
      <w:pPr>
        <w:pStyle w:val="BodyText"/>
        <w:spacing w:before="8"/>
        <w:rPr>
          <w:sz w:val="7"/>
        </w:rPr>
      </w:pPr>
    </w:p>
    <w:p w14:paraId="51DE7EBA" w14:textId="77777777" w:rsidR="0010369C" w:rsidRDefault="0010369C">
      <w:pPr>
        <w:pStyle w:val="BodyText"/>
        <w:spacing w:before="8"/>
        <w:rPr>
          <w:sz w:val="7"/>
        </w:rPr>
      </w:pPr>
    </w:p>
    <w:p w14:paraId="51DE7EBB" w14:textId="77777777" w:rsidR="0010369C" w:rsidRDefault="0010369C">
      <w:pPr>
        <w:pStyle w:val="BodyText"/>
        <w:spacing w:before="9"/>
        <w:rPr>
          <w:sz w:val="7"/>
        </w:rPr>
      </w:pPr>
    </w:p>
    <w:p w14:paraId="51DE7EBC" w14:textId="77777777" w:rsidR="0010369C" w:rsidRDefault="0010369C">
      <w:pPr>
        <w:pStyle w:val="BodyText"/>
        <w:spacing w:before="8"/>
        <w:rPr>
          <w:sz w:val="7"/>
        </w:rPr>
      </w:pPr>
    </w:p>
    <w:p w14:paraId="51DE7EBD" w14:textId="77777777" w:rsidR="0010369C" w:rsidRDefault="008E43AE">
      <w:pPr>
        <w:spacing w:before="116"/>
        <w:ind w:left="1121"/>
        <w:rPr>
          <w:sz w:val="24"/>
        </w:rPr>
      </w:pPr>
      <w:r>
        <w:rPr>
          <w:spacing w:val="-5"/>
          <w:sz w:val="24"/>
        </w:rPr>
        <w:t>]]</w:t>
      </w:r>
    </w:p>
    <w:p w14:paraId="51DE7EBE" w14:textId="77777777" w:rsidR="0010369C" w:rsidRDefault="0010369C">
      <w:pPr>
        <w:pStyle w:val="BodyText"/>
        <w:spacing w:before="2"/>
        <w:rPr>
          <w:sz w:val="25"/>
        </w:rPr>
      </w:pPr>
    </w:p>
    <w:tbl>
      <w:tblPr>
        <w:tblW w:w="0" w:type="auto"/>
        <w:tblInd w:w="225" w:type="dxa"/>
        <w:tblLayout w:type="fixed"/>
        <w:tblCellMar>
          <w:left w:w="0" w:type="dxa"/>
          <w:right w:w="0" w:type="dxa"/>
        </w:tblCellMar>
        <w:tblLook w:val="01E0" w:firstRow="1" w:lastRow="1" w:firstColumn="1" w:lastColumn="1" w:noHBand="0" w:noVBand="0"/>
      </w:tblPr>
      <w:tblGrid>
        <w:gridCol w:w="1045"/>
        <w:gridCol w:w="1541"/>
        <w:gridCol w:w="4260"/>
        <w:gridCol w:w="2283"/>
      </w:tblGrid>
      <w:tr w:rsidR="0010369C" w14:paraId="51DE7EC1" w14:textId="77777777">
        <w:trPr>
          <w:trHeight w:val="320"/>
        </w:trPr>
        <w:tc>
          <w:tcPr>
            <w:tcW w:w="1045" w:type="dxa"/>
            <w:tcBorders>
              <w:bottom w:val="single" w:sz="48" w:space="0" w:color="FFFFFF"/>
            </w:tcBorders>
          </w:tcPr>
          <w:p w14:paraId="51DE7EBF" w14:textId="77777777" w:rsidR="0010369C" w:rsidRDefault="008E43AE">
            <w:pPr>
              <w:pStyle w:val="TableParagraph"/>
              <w:spacing w:line="291" w:lineRule="exact"/>
              <w:ind w:right="25"/>
              <w:jc w:val="right"/>
              <w:rPr>
                <w:sz w:val="24"/>
              </w:rPr>
            </w:pPr>
            <w:r>
              <w:rPr>
                <w:spacing w:val="-5"/>
                <w:sz w:val="24"/>
              </w:rPr>
              <w:t>[[</w:t>
            </w:r>
          </w:p>
        </w:tc>
        <w:tc>
          <w:tcPr>
            <w:tcW w:w="8084" w:type="dxa"/>
            <w:gridSpan w:val="3"/>
            <w:tcBorders>
              <w:bottom w:val="single" w:sz="48" w:space="0" w:color="FFFFFF"/>
            </w:tcBorders>
            <w:shd w:val="clear" w:color="auto" w:fill="000000"/>
          </w:tcPr>
          <w:p w14:paraId="51DE7EC0" w14:textId="77777777" w:rsidR="0010369C" w:rsidRDefault="0010369C">
            <w:pPr>
              <w:pStyle w:val="TableParagraph"/>
              <w:rPr>
                <w:rFonts w:ascii="Times New Roman"/>
                <w:sz w:val="20"/>
              </w:rPr>
            </w:pPr>
          </w:p>
        </w:tc>
      </w:tr>
      <w:tr w:rsidR="0010369C" w14:paraId="51DE7EC3" w14:textId="77777777">
        <w:trPr>
          <w:trHeight w:val="319"/>
        </w:trPr>
        <w:tc>
          <w:tcPr>
            <w:tcW w:w="9129" w:type="dxa"/>
            <w:gridSpan w:val="4"/>
            <w:tcBorders>
              <w:top w:val="single" w:sz="48" w:space="0" w:color="FFFFFF"/>
              <w:bottom w:val="single" w:sz="48" w:space="0" w:color="FFFFFF"/>
            </w:tcBorders>
            <w:shd w:val="clear" w:color="auto" w:fill="000000"/>
          </w:tcPr>
          <w:p w14:paraId="51DE7EC2" w14:textId="77777777" w:rsidR="0010369C" w:rsidRDefault="0010369C">
            <w:pPr>
              <w:pStyle w:val="TableParagraph"/>
              <w:rPr>
                <w:rFonts w:ascii="Times New Roman"/>
                <w:sz w:val="20"/>
              </w:rPr>
            </w:pPr>
          </w:p>
        </w:tc>
      </w:tr>
      <w:tr w:rsidR="0010369C" w14:paraId="51DE7EC5" w14:textId="77777777">
        <w:trPr>
          <w:trHeight w:val="319"/>
        </w:trPr>
        <w:tc>
          <w:tcPr>
            <w:tcW w:w="9129" w:type="dxa"/>
            <w:gridSpan w:val="4"/>
            <w:tcBorders>
              <w:top w:val="single" w:sz="48" w:space="0" w:color="FFFFFF"/>
              <w:bottom w:val="single" w:sz="48" w:space="0" w:color="FFFFFF"/>
            </w:tcBorders>
            <w:shd w:val="clear" w:color="auto" w:fill="000000"/>
          </w:tcPr>
          <w:p w14:paraId="51DE7EC4" w14:textId="77777777" w:rsidR="0010369C" w:rsidRDefault="0010369C">
            <w:pPr>
              <w:pStyle w:val="TableParagraph"/>
              <w:rPr>
                <w:rFonts w:ascii="Times New Roman"/>
                <w:sz w:val="20"/>
              </w:rPr>
            </w:pPr>
          </w:p>
        </w:tc>
      </w:tr>
      <w:tr w:rsidR="0010369C" w14:paraId="51DE7EC8" w14:textId="77777777">
        <w:trPr>
          <w:trHeight w:val="319"/>
        </w:trPr>
        <w:tc>
          <w:tcPr>
            <w:tcW w:w="6846" w:type="dxa"/>
            <w:gridSpan w:val="3"/>
            <w:tcBorders>
              <w:top w:val="single" w:sz="48" w:space="0" w:color="FFFFFF"/>
              <w:bottom w:val="single" w:sz="48" w:space="0" w:color="FFFFFF"/>
              <w:right w:val="single" w:sz="24" w:space="0" w:color="FFFFFF"/>
            </w:tcBorders>
            <w:shd w:val="clear" w:color="auto" w:fill="000000"/>
          </w:tcPr>
          <w:p w14:paraId="51DE7EC6" w14:textId="77777777" w:rsidR="0010369C" w:rsidRDefault="0010369C">
            <w:pPr>
              <w:pStyle w:val="TableParagraph"/>
              <w:rPr>
                <w:rFonts w:ascii="Times New Roman"/>
                <w:sz w:val="20"/>
              </w:rPr>
            </w:pPr>
          </w:p>
        </w:tc>
        <w:tc>
          <w:tcPr>
            <w:tcW w:w="2283" w:type="dxa"/>
            <w:tcBorders>
              <w:top w:val="single" w:sz="48" w:space="0" w:color="FFFFFF"/>
              <w:left w:val="single" w:sz="24" w:space="0" w:color="FFFFFF"/>
              <w:bottom w:val="single" w:sz="48" w:space="0" w:color="FFFFFF"/>
            </w:tcBorders>
            <w:shd w:val="clear" w:color="auto" w:fill="000000"/>
          </w:tcPr>
          <w:p w14:paraId="51DE7EC7" w14:textId="77777777" w:rsidR="0010369C" w:rsidRDefault="0010369C">
            <w:pPr>
              <w:pStyle w:val="TableParagraph"/>
              <w:rPr>
                <w:rFonts w:ascii="Times New Roman"/>
                <w:sz w:val="20"/>
              </w:rPr>
            </w:pPr>
          </w:p>
        </w:tc>
      </w:tr>
      <w:tr w:rsidR="0010369C" w14:paraId="51DE7ECA" w14:textId="77777777">
        <w:trPr>
          <w:trHeight w:val="319"/>
        </w:trPr>
        <w:tc>
          <w:tcPr>
            <w:tcW w:w="9129" w:type="dxa"/>
            <w:gridSpan w:val="4"/>
            <w:tcBorders>
              <w:top w:val="single" w:sz="48" w:space="0" w:color="FFFFFF"/>
              <w:bottom w:val="single" w:sz="48" w:space="0" w:color="FFFFFF"/>
            </w:tcBorders>
            <w:shd w:val="clear" w:color="auto" w:fill="000000"/>
          </w:tcPr>
          <w:p w14:paraId="51DE7EC9" w14:textId="77777777" w:rsidR="0010369C" w:rsidRDefault="0010369C">
            <w:pPr>
              <w:pStyle w:val="TableParagraph"/>
              <w:rPr>
                <w:rFonts w:ascii="Times New Roman"/>
                <w:sz w:val="20"/>
              </w:rPr>
            </w:pPr>
          </w:p>
        </w:tc>
      </w:tr>
      <w:tr w:rsidR="0010369C" w14:paraId="51DE7ECC" w14:textId="77777777">
        <w:trPr>
          <w:trHeight w:val="319"/>
        </w:trPr>
        <w:tc>
          <w:tcPr>
            <w:tcW w:w="9129" w:type="dxa"/>
            <w:gridSpan w:val="4"/>
            <w:tcBorders>
              <w:top w:val="single" w:sz="48" w:space="0" w:color="FFFFFF"/>
              <w:bottom w:val="single" w:sz="48" w:space="0" w:color="FFFFFF"/>
            </w:tcBorders>
            <w:shd w:val="clear" w:color="auto" w:fill="000000"/>
          </w:tcPr>
          <w:p w14:paraId="51DE7ECB" w14:textId="77777777" w:rsidR="0010369C" w:rsidRDefault="0010369C">
            <w:pPr>
              <w:pStyle w:val="TableParagraph"/>
              <w:rPr>
                <w:rFonts w:ascii="Times New Roman"/>
                <w:sz w:val="20"/>
              </w:rPr>
            </w:pPr>
          </w:p>
        </w:tc>
      </w:tr>
      <w:tr w:rsidR="0010369C" w14:paraId="51DE7ECE" w14:textId="77777777">
        <w:trPr>
          <w:trHeight w:val="319"/>
        </w:trPr>
        <w:tc>
          <w:tcPr>
            <w:tcW w:w="9129" w:type="dxa"/>
            <w:gridSpan w:val="4"/>
            <w:tcBorders>
              <w:top w:val="single" w:sz="48" w:space="0" w:color="FFFFFF"/>
              <w:bottom w:val="single" w:sz="48" w:space="0" w:color="FFFFFF"/>
            </w:tcBorders>
            <w:shd w:val="clear" w:color="auto" w:fill="000000"/>
          </w:tcPr>
          <w:p w14:paraId="51DE7ECD" w14:textId="77777777" w:rsidR="0010369C" w:rsidRDefault="0010369C">
            <w:pPr>
              <w:pStyle w:val="TableParagraph"/>
              <w:rPr>
                <w:rFonts w:ascii="Times New Roman"/>
                <w:sz w:val="20"/>
              </w:rPr>
            </w:pPr>
          </w:p>
        </w:tc>
      </w:tr>
      <w:tr w:rsidR="0010369C" w14:paraId="51DE7ED0" w14:textId="77777777">
        <w:trPr>
          <w:trHeight w:val="319"/>
        </w:trPr>
        <w:tc>
          <w:tcPr>
            <w:tcW w:w="9129" w:type="dxa"/>
            <w:gridSpan w:val="4"/>
            <w:tcBorders>
              <w:top w:val="single" w:sz="48" w:space="0" w:color="FFFFFF"/>
              <w:bottom w:val="single" w:sz="48" w:space="0" w:color="FFFFFF"/>
            </w:tcBorders>
            <w:shd w:val="clear" w:color="auto" w:fill="000000"/>
          </w:tcPr>
          <w:p w14:paraId="51DE7ECF" w14:textId="77777777" w:rsidR="0010369C" w:rsidRDefault="0010369C">
            <w:pPr>
              <w:pStyle w:val="TableParagraph"/>
              <w:rPr>
                <w:rFonts w:ascii="Times New Roman"/>
                <w:sz w:val="20"/>
              </w:rPr>
            </w:pPr>
          </w:p>
        </w:tc>
      </w:tr>
      <w:tr w:rsidR="0010369C" w14:paraId="51DE7ED2" w14:textId="77777777">
        <w:trPr>
          <w:trHeight w:val="319"/>
        </w:trPr>
        <w:tc>
          <w:tcPr>
            <w:tcW w:w="9129" w:type="dxa"/>
            <w:gridSpan w:val="4"/>
            <w:tcBorders>
              <w:top w:val="single" w:sz="48" w:space="0" w:color="FFFFFF"/>
              <w:bottom w:val="single" w:sz="48" w:space="0" w:color="FFFFFF"/>
            </w:tcBorders>
            <w:shd w:val="clear" w:color="auto" w:fill="000000"/>
          </w:tcPr>
          <w:p w14:paraId="51DE7ED1" w14:textId="77777777" w:rsidR="0010369C" w:rsidRDefault="0010369C">
            <w:pPr>
              <w:pStyle w:val="TableParagraph"/>
              <w:rPr>
                <w:rFonts w:ascii="Times New Roman"/>
                <w:sz w:val="20"/>
              </w:rPr>
            </w:pPr>
          </w:p>
        </w:tc>
      </w:tr>
      <w:tr w:rsidR="0010369C" w14:paraId="51DE7ED5" w14:textId="77777777">
        <w:trPr>
          <w:trHeight w:val="320"/>
        </w:trPr>
        <w:tc>
          <w:tcPr>
            <w:tcW w:w="2586" w:type="dxa"/>
            <w:gridSpan w:val="2"/>
            <w:tcBorders>
              <w:top w:val="single" w:sz="48" w:space="0" w:color="FFFFFF"/>
            </w:tcBorders>
            <w:shd w:val="clear" w:color="auto" w:fill="000000"/>
          </w:tcPr>
          <w:p w14:paraId="51DE7ED3" w14:textId="77777777" w:rsidR="0010369C" w:rsidRDefault="0010369C">
            <w:pPr>
              <w:pStyle w:val="TableParagraph"/>
              <w:rPr>
                <w:rFonts w:ascii="Times New Roman"/>
                <w:sz w:val="20"/>
              </w:rPr>
            </w:pPr>
          </w:p>
        </w:tc>
        <w:tc>
          <w:tcPr>
            <w:tcW w:w="6543" w:type="dxa"/>
            <w:gridSpan w:val="2"/>
            <w:tcBorders>
              <w:top w:val="single" w:sz="48" w:space="0" w:color="FFFFFF"/>
            </w:tcBorders>
          </w:tcPr>
          <w:p w14:paraId="51DE7ED4" w14:textId="77777777" w:rsidR="0010369C" w:rsidRDefault="008E43AE">
            <w:pPr>
              <w:pStyle w:val="TableParagraph"/>
              <w:spacing w:line="290" w:lineRule="exact"/>
              <w:ind w:left="21"/>
              <w:rPr>
                <w:sz w:val="24"/>
              </w:rPr>
            </w:pPr>
            <w:r>
              <w:rPr>
                <w:spacing w:val="-5"/>
                <w:sz w:val="24"/>
              </w:rPr>
              <w:t>]]</w:t>
            </w:r>
          </w:p>
        </w:tc>
      </w:tr>
    </w:tbl>
    <w:p w14:paraId="51DE7ED6" w14:textId="77777777" w:rsidR="0010369C" w:rsidRDefault="0010369C">
      <w:pPr>
        <w:pStyle w:val="BodyText"/>
        <w:spacing w:before="9"/>
        <w:rPr>
          <w:sz w:val="18"/>
        </w:rPr>
      </w:pPr>
    </w:p>
    <w:p w14:paraId="51DE7ED7" w14:textId="77777777" w:rsidR="0010369C" w:rsidRDefault="008E43AE">
      <w:pPr>
        <w:pStyle w:val="BodyText"/>
        <w:spacing w:before="52" w:line="360" w:lineRule="auto"/>
        <w:ind w:left="238" w:firstLine="850"/>
      </w:pPr>
      <w:r>
        <w:rPr>
          <w:noProof/>
        </w:rPr>
        <w:drawing>
          <wp:anchor distT="0" distB="0" distL="0" distR="0" simplePos="0" relativeHeight="250810880" behindDoc="1" locked="0" layoutInCell="1" allowOverlap="1" wp14:anchorId="51DE9E3F" wp14:editId="51DE9E40">
            <wp:simplePos x="0" y="0"/>
            <wp:positionH relativeFrom="page">
              <wp:posOffset>908303</wp:posOffset>
            </wp:positionH>
            <wp:positionV relativeFrom="paragraph">
              <wp:posOffset>81187</wp:posOffset>
            </wp:positionV>
            <wp:extent cx="256031" cy="100753"/>
            <wp:effectExtent l="0" t="0" r="0" b="0"/>
            <wp:wrapNone/>
            <wp:docPr id="241" name="image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image129.png"/>
                    <pic:cNvPicPr/>
                  </pic:nvPicPr>
                  <pic:blipFill>
                    <a:blip r:embed="rId221" cstate="print"/>
                    <a:stretch>
                      <a:fillRect/>
                    </a:stretch>
                  </pic:blipFill>
                  <pic:spPr>
                    <a:xfrm>
                      <a:off x="0" y="0"/>
                      <a:ext cx="256031" cy="100753"/>
                    </a:xfrm>
                    <a:prstGeom prst="rect">
                      <a:avLst/>
                    </a:prstGeom>
                  </pic:spPr>
                </pic:pic>
              </a:graphicData>
            </a:graphic>
          </wp:anchor>
        </w:drawing>
      </w:r>
      <w:r>
        <w:t>The above analysis makes clear that the domestic sales prices reported by sampled companies</w:t>
      </w:r>
      <w:r>
        <w:rPr>
          <w:spacing w:val="-2"/>
        </w:rPr>
        <w:t xml:space="preserve"> </w:t>
      </w:r>
      <w:r>
        <w:t>were</w:t>
      </w:r>
      <w:r>
        <w:rPr>
          <w:spacing w:val="2"/>
        </w:rPr>
        <w:t xml:space="preserve"> </w:t>
      </w:r>
      <w:r>
        <w:t>affected by</w:t>
      </w:r>
      <w:r>
        <w:rPr>
          <w:spacing w:val="1"/>
        </w:rPr>
        <w:t xml:space="preserve"> </w:t>
      </w:r>
      <w:r>
        <w:t>significant</w:t>
      </w:r>
      <w:r>
        <w:rPr>
          <w:spacing w:val="1"/>
        </w:rPr>
        <w:t xml:space="preserve"> </w:t>
      </w:r>
      <w:r>
        <w:t>level of trade</w:t>
      </w:r>
      <w:r>
        <w:rPr>
          <w:spacing w:val="1"/>
        </w:rPr>
        <w:t xml:space="preserve"> </w:t>
      </w:r>
      <w:r>
        <w:t>differences.</w:t>
      </w:r>
      <w:r>
        <w:rPr>
          <w:spacing w:val="3"/>
        </w:rPr>
        <w:t xml:space="preserve"> </w:t>
      </w:r>
      <w:r>
        <w:t>This</w:t>
      </w:r>
      <w:r>
        <w:rPr>
          <w:spacing w:val="-1"/>
        </w:rPr>
        <w:t xml:space="preserve"> </w:t>
      </w:r>
      <w:r>
        <w:t>meant</w:t>
      </w:r>
      <w:r>
        <w:rPr>
          <w:spacing w:val="1"/>
        </w:rPr>
        <w:t xml:space="preserve"> </w:t>
      </w:r>
      <w:r>
        <w:t xml:space="preserve">MOFCOM </w:t>
      </w:r>
      <w:r>
        <w:rPr>
          <w:spacing w:val="-5"/>
        </w:rPr>
        <w:t>was</w:t>
      </w:r>
    </w:p>
    <w:p w14:paraId="51DE7ED8" w14:textId="77777777" w:rsidR="0010369C" w:rsidRDefault="0010369C">
      <w:pPr>
        <w:pStyle w:val="BodyText"/>
        <w:rPr>
          <w:sz w:val="20"/>
        </w:rPr>
      </w:pPr>
    </w:p>
    <w:p w14:paraId="51DE7ED9" w14:textId="77777777" w:rsidR="0010369C" w:rsidRDefault="008E43AE">
      <w:pPr>
        <w:pStyle w:val="BodyText"/>
        <w:spacing w:before="6"/>
        <w:rPr>
          <w:sz w:val="13"/>
        </w:rPr>
      </w:pPr>
      <w:r>
        <w:pict w14:anchorId="51DE9E41">
          <v:rect id="docshape158" o:spid="_x0000_s3118" style="position:absolute;margin-left:70.9pt;margin-top:9.45pt;width:2in;height:.8pt;z-index:-251206144;mso-wrap-distance-left:0;mso-wrap-distance-right:0;mso-position-horizontal-relative:page" fillcolor="black" stroked="f">
            <w10:wrap type="topAndBottom" anchorx="page"/>
          </v:rect>
        </w:pict>
      </w:r>
      <w:r>
        <w:pict w14:anchorId="51DE9E42">
          <v:group id="docshapegroup159" o:spid="_x0000_s3113" style="position:absolute;margin-left:69.9pt;margin-top:16pt;width:453.55pt;height:56.05pt;z-index:-251205120;mso-wrap-distance-left:0;mso-wrap-distance-right:0;mso-position-horizontal-relative:page" coordorigin="1398,320" coordsize="9071,1121">
            <v:shape id="docshape160" o:spid="_x0000_s3117" style="position:absolute;left:1398;top:320;width:9071;height:1121" coordorigin="1398,320" coordsize="9071,1121" o:spt="100" adj="0,,0" path="m8567,761r-572,l7995,1002r41,l8036,1200r,21l8036,1441r531,l8567,1221r,-21l8567,1002r,-22l8567,761xm10469,320r-8733,l1736,541r-338,l1398,782r335,l1733,980r,22l1733,1200r,21l1733,1441r5271,l7004,1200r-42,l6962,1002r,-22l6962,761r-230,l6732,561r3737,l10469,320xe" fillcolor="black" stroked="f">
              <v:stroke joinstyle="round"/>
              <v:formulas/>
              <v:path arrowok="t" o:connecttype="segments"/>
            </v:shape>
            <v:shape id="docshape161" o:spid="_x0000_s3116" type="#_x0000_t202" style="position:absolute;left:1418;top:335;width:302;height:1075" filled="f" stroked="f">
              <v:textbox inset="0,0,0,0">
                <w:txbxContent>
                  <w:p w14:paraId="51DEAC20" w14:textId="77777777" w:rsidR="0010369C" w:rsidRDefault="008E43AE">
                    <w:pPr>
                      <w:spacing w:before="28" w:line="124" w:lineRule="auto"/>
                      <w:rPr>
                        <w:sz w:val="18"/>
                      </w:rPr>
                    </w:pPr>
                    <w:r>
                      <w:rPr>
                        <w:color w:val="5E5E5E"/>
                        <w:sz w:val="12"/>
                      </w:rPr>
                      <w:t>123</w:t>
                    </w:r>
                    <w:r>
                      <w:rPr>
                        <w:color w:val="5E5E5E"/>
                        <w:spacing w:val="14"/>
                        <w:sz w:val="12"/>
                      </w:rPr>
                      <w:t xml:space="preserve"> </w:t>
                    </w:r>
                    <w:r>
                      <w:rPr>
                        <w:color w:val="5E5E5E"/>
                        <w:spacing w:val="-10"/>
                        <w:position w:val="-5"/>
                        <w:sz w:val="18"/>
                      </w:rPr>
                      <w:t>[</w:t>
                    </w:r>
                  </w:p>
                  <w:p w14:paraId="51DEAC21" w14:textId="77777777" w:rsidR="0010369C" w:rsidRDefault="0010369C">
                    <w:pPr>
                      <w:rPr>
                        <w:sz w:val="25"/>
                      </w:rPr>
                    </w:pPr>
                  </w:p>
                  <w:p w14:paraId="51DEAC22" w14:textId="77777777" w:rsidR="0010369C" w:rsidRDefault="008E43AE">
                    <w:pPr>
                      <w:spacing w:line="158" w:lineRule="auto"/>
                      <w:rPr>
                        <w:sz w:val="18"/>
                      </w:rPr>
                    </w:pPr>
                    <w:r>
                      <w:rPr>
                        <w:color w:val="5E5E5E"/>
                        <w:sz w:val="12"/>
                      </w:rPr>
                      <w:t>124</w:t>
                    </w:r>
                    <w:r>
                      <w:rPr>
                        <w:color w:val="5E5E5E"/>
                        <w:spacing w:val="11"/>
                        <w:sz w:val="12"/>
                      </w:rPr>
                      <w:t xml:space="preserve"> </w:t>
                    </w:r>
                    <w:r>
                      <w:rPr>
                        <w:color w:val="5E5E5E"/>
                        <w:spacing w:val="-10"/>
                        <w:position w:val="-5"/>
                        <w:sz w:val="18"/>
                      </w:rPr>
                      <w:t>[</w:t>
                    </w:r>
                  </w:p>
                  <w:p w14:paraId="51DEAC23" w14:textId="77777777" w:rsidR="0010369C" w:rsidRDefault="008E43AE">
                    <w:pPr>
                      <w:spacing w:before="70" w:line="158" w:lineRule="auto"/>
                      <w:rPr>
                        <w:sz w:val="18"/>
                      </w:rPr>
                    </w:pPr>
                    <w:r>
                      <w:rPr>
                        <w:color w:val="5E5E5E"/>
                        <w:sz w:val="12"/>
                      </w:rPr>
                      <w:t>125</w:t>
                    </w:r>
                    <w:r>
                      <w:rPr>
                        <w:color w:val="5E5E5E"/>
                        <w:spacing w:val="11"/>
                        <w:sz w:val="12"/>
                      </w:rPr>
                      <w:t xml:space="preserve"> </w:t>
                    </w:r>
                    <w:r>
                      <w:rPr>
                        <w:color w:val="5E5E5E"/>
                        <w:spacing w:val="-10"/>
                        <w:position w:val="-5"/>
                        <w:sz w:val="18"/>
                      </w:rPr>
                      <w:t>[</w:t>
                    </w:r>
                  </w:p>
                  <w:p w14:paraId="51DEAC24" w14:textId="77777777" w:rsidR="0010369C" w:rsidRDefault="008E43AE">
                    <w:pPr>
                      <w:spacing w:before="69" w:line="158" w:lineRule="auto"/>
                      <w:rPr>
                        <w:sz w:val="18"/>
                      </w:rPr>
                    </w:pPr>
                    <w:r>
                      <w:rPr>
                        <w:color w:val="5E5E5E"/>
                        <w:sz w:val="12"/>
                      </w:rPr>
                      <w:t>126</w:t>
                    </w:r>
                    <w:r>
                      <w:rPr>
                        <w:color w:val="5E5E5E"/>
                        <w:spacing w:val="11"/>
                        <w:sz w:val="12"/>
                      </w:rPr>
                      <w:t xml:space="preserve"> </w:t>
                    </w:r>
                    <w:r>
                      <w:rPr>
                        <w:color w:val="5E5E5E"/>
                        <w:spacing w:val="-10"/>
                        <w:position w:val="-5"/>
                        <w:sz w:val="18"/>
                      </w:rPr>
                      <w:t>[</w:t>
                    </w:r>
                  </w:p>
                </w:txbxContent>
              </v:textbox>
            </v:shape>
            <v:shape id="docshape162" o:spid="_x0000_s3115" type="#_x0000_t202" style="position:absolute;left:6793;top:570;width:1243;height:839" filled="f" stroked="f">
              <v:textbox inset="0,0,0,0">
                <w:txbxContent>
                  <w:p w14:paraId="51DEAC25" w14:textId="77777777" w:rsidR="0010369C" w:rsidRDefault="008E43AE">
                    <w:pPr>
                      <w:spacing w:line="183" w:lineRule="exact"/>
                      <w:rPr>
                        <w:sz w:val="18"/>
                      </w:rPr>
                    </w:pPr>
                    <w:r>
                      <w:rPr>
                        <w:color w:val="5E5E5E"/>
                        <w:sz w:val="18"/>
                      </w:rPr>
                      <w:t>(AUS‐9</w:t>
                    </w:r>
                    <w:r>
                      <w:rPr>
                        <w:color w:val="5E5E5E"/>
                        <w:spacing w:val="-11"/>
                        <w:sz w:val="18"/>
                      </w:rPr>
                      <w:t xml:space="preserve"> </w:t>
                    </w:r>
                    <w:r>
                      <w:rPr>
                        <w:color w:val="5E5E5E"/>
                        <w:spacing w:val="-2"/>
                        <w:sz w:val="18"/>
                      </w:rPr>
                      <w:t>(BCI)).]]</w:t>
                    </w:r>
                  </w:p>
                  <w:p w14:paraId="51DEAC26" w14:textId="77777777" w:rsidR="0010369C" w:rsidRDefault="008E43AE">
                    <w:pPr>
                      <w:ind w:left="230"/>
                      <w:rPr>
                        <w:sz w:val="18"/>
                      </w:rPr>
                    </w:pPr>
                    <w:r>
                      <w:rPr>
                        <w:color w:val="5E5E5E"/>
                        <w:sz w:val="18"/>
                      </w:rPr>
                      <w:t>(AUS‐5</w:t>
                    </w:r>
                    <w:r>
                      <w:rPr>
                        <w:color w:val="5E5E5E"/>
                        <w:spacing w:val="-11"/>
                        <w:sz w:val="18"/>
                      </w:rPr>
                      <w:t xml:space="preserve"> </w:t>
                    </w:r>
                    <w:r>
                      <w:rPr>
                        <w:color w:val="5E5E5E"/>
                        <w:spacing w:val="-2"/>
                        <w:sz w:val="18"/>
                      </w:rPr>
                      <w:t>(BCI))</w:t>
                    </w:r>
                  </w:p>
                  <w:p w14:paraId="51DEAC27" w14:textId="77777777" w:rsidR="0010369C" w:rsidRDefault="008E43AE">
                    <w:pPr>
                      <w:ind w:left="230"/>
                      <w:rPr>
                        <w:sz w:val="18"/>
                      </w:rPr>
                    </w:pPr>
                    <w:r>
                      <w:rPr>
                        <w:color w:val="5E5E5E"/>
                        <w:sz w:val="18"/>
                      </w:rPr>
                      <w:t>(AUS‐5</w:t>
                    </w:r>
                    <w:r>
                      <w:rPr>
                        <w:color w:val="5E5E5E"/>
                        <w:spacing w:val="-11"/>
                        <w:sz w:val="18"/>
                      </w:rPr>
                      <w:t xml:space="preserve"> </w:t>
                    </w:r>
                    <w:r>
                      <w:rPr>
                        <w:color w:val="5E5E5E"/>
                        <w:spacing w:val="-2"/>
                        <w:sz w:val="18"/>
                      </w:rPr>
                      <w:t>(BCI)),</w:t>
                    </w:r>
                  </w:p>
                  <w:p w14:paraId="51DEAC28" w14:textId="77777777" w:rsidR="0010369C" w:rsidRDefault="008E43AE">
                    <w:pPr>
                      <w:spacing w:line="216" w:lineRule="exact"/>
                      <w:ind w:left="230"/>
                      <w:rPr>
                        <w:sz w:val="18"/>
                      </w:rPr>
                    </w:pPr>
                    <w:r>
                      <w:rPr>
                        <w:color w:val="5E5E5E"/>
                        <w:sz w:val="18"/>
                      </w:rPr>
                      <w:t>(AUS‐5</w:t>
                    </w:r>
                    <w:r>
                      <w:rPr>
                        <w:color w:val="5E5E5E"/>
                        <w:spacing w:val="-11"/>
                        <w:sz w:val="18"/>
                      </w:rPr>
                      <w:t xml:space="preserve"> </w:t>
                    </w:r>
                    <w:r>
                      <w:rPr>
                        <w:color w:val="5E5E5E"/>
                        <w:spacing w:val="-2"/>
                        <w:sz w:val="18"/>
                      </w:rPr>
                      <w:t>(BCI)),</w:t>
                    </w:r>
                  </w:p>
                </w:txbxContent>
              </v:textbox>
            </v:shape>
            <v:shape id="docshape163" o:spid="_x0000_s3114" type="#_x0000_t202" style="position:absolute;left:8587;top:790;width:176;height:620" filled="f" stroked="f">
              <v:textbox inset="0,0,0,0">
                <w:txbxContent>
                  <w:p w14:paraId="51DEAC29" w14:textId="77777777" w:rsidR="0010369C" w:rsidRDefault="008E43AE">
                    <w:pPr>
                      <w:spacing w:line="183" w:lineRule="exact"/>
                      <w:rPr>
                        <w:sz w:val="18"/>
                      </w:rPr>
                    </w:pPr>
                    <w:r>
                      <w:rPr>
                        <w:color w:val="5E5E5E"/>
                        <w:spacing w:val="-5"/>
                        <w:sz w:val="18"/>
                      </w:rPr>
                      <w:t>.]]</w:t>
                    </w:r>
                  </w:p>
                  <w:p w14:paraId="51DEAC2A" w14:textId="77777777" w:rsidR="0010369C" w:rsidRDefault="008E43AE">
                    <w:pPr>
                      <w:rPr>
                        <w:sz w:val="18"/>
                      </w:rPr>
                    </w:pPr>
                    <w:r>
                      <w:rPr>
                        <w:color w:val="5E5E5E"/>
                        <w:spacing w:val="-5"/>
                        <w:sz w:val="18"/>
                      </w:rPr>
                      <w:t>.]]</w:t>
                    </w:r>
                  </w:p>
                  <w:p w14:paraId="51DEAC2B" w14:textId="77777777" w:rsidR="0010369C" w:rsidRDefault="008E43AE">
                    <w:pPr>
                      <w:spacing w:line="216" w:lineRule="exact"/>
                      <w:rPr>
                        <w:sz w:val="18"/>
                      </w:rPr>
                    </w:pPr>
                    <w:r>
                      <w:rPr>
                        <w:color w:val="5E5E5E"/>
                        <w:spacing w:val="-5"/>
                        <w:sz w:val="18"/>
                      </w:rPr>
                      <w:t>.]]</w:t>
                    </w:r>
                  </w:p>
                </w:txbxContent>
              </v:textbox>
            </v:shape>
            <w10:wrap type="topAndBottom" anchorx="page"/>
          </v:group>
        </w:pict>
      </w:r>
    </w:p>
    <w:p w14:paraId="51DE7EDA" w14:textId="77777777" w:rsidR="0010369C" w:rsidRDefault="0010369C">
      <w:pPr>
        <w:pStyle w:val="BodyText"/>
        <w:spacing w:before="6"/>
        <w:rPr>
          <w:sz w:val="7"/>
        </w:rPr>
      </w:pPr>
    </w:p>
    <w:p w14:paraId="51DE7EDB" w14:textId="77777777" w:rsidR="0010369C" w:rsidRDefault="0010369C">
      <w:pPr>
        <w:rPr>
          <w:sz w:val="7"/>
        </w:rPr>
        <w:sectPr w:rsidR="0010369C">
          <w:headerReference w:type="default" r:id="rId222"/>
          <w:footerReference w:type="default" r:id="rId223"/>
          <w:pgSz w:w="11910" w:h="16840"/>
          <w:pgMar w:top="880" w:right="800" w:bottom="980" w:left="1180" w:header="569" w:footer="788" w:gutter="0"/>
          <w:cols w:space="720"/>
        </w:sectPr>
      </w:pPr>
    </w:p>
    <w:p w14:paraId="51DE7EDC" w14:textId="77777777" w:rsidR="0010369C" w:rsidRDefault="008E43AE">
      <w:pPr>
        <w:tabs>
          <w:tab w:val="left" w:pos="6426"/>
        </w:tabs>
        <w:ind w:left="238"/>
        <w:rPr>
          <w:sz w:val="20"/>
        </w:rPr>
      </w:pPr>
      <w:r>
        <w:rPr>
          <w:i/>
          <w:sz w:val="20"/>
        </w:rPr>
        <w:lastRenderedPageBreak/>
        <w:t>China</w:t>
      </w:r>
      <w:r>
        <w:rPr>
          <w:i/>
          <w:spacing w:val="-5"/>
          <w:sz w:val="20"/>
        </w:rPr>
        <w:t xml:space="preserve"> </w:t>
      </w:r>
      <w:r>
        <w:rPr>
          <w:i/>
          <w:sz w:val="20"/>
        </w:rPr>
        <w:t>–</w:t>
      </w:r>
      <w:r>
        <w:rPr>
          <w:i/>
          <w:spacing w:val="-5"/>
          <w:sz w:val="20"/>
        </w:rPr>
        <w:t xml:space="preserve"> </w:t>
      </w:r>
      <w:r>
        <w:rPr>
          <w:i/>
          <w:sz w:val="20"/>
        </w:rPr>
        <w:t>Anti‐Dumping</w:t>
      </w:r>
      <w:r>
        <w:rPr>
          <w:i/>
          <w:spacing w:val="-4"/>
          <w:sz w:val="20"/>
        </w:rPr>
        <w:t xml:space="preserve"> </w:t>
      </w:r>
      <w:r>
        <w:rPr>
          <w:i/>
          <w:sz w:val="20"/>
        </w:rPr>
        <w:t>and</w:t>
      </w:r>
      <w:r>
        <w:rPr>
          <w:i/>
          <w:spacing w:val="-5"/>
          <w:sz w:val="20"/>
        </w:rPr>
        <w:t xml:space="preserve"> </w:t>
      </w:r>
      <w:r>
        <w:rPr>
          <w:i/>
          <w:sz w:val="20"/>
        </w:rPr>
        <w:t>Countervailing</w:t>
      </w:r>
      <w:r>
        <w:rPr>
          <w:i/>
          <w:spacing w:val="-5"/>
          <w:sz w:val="20"/>
        </w:rPr>
        <w:t xml:space="preserve"> </w:t>
      </w:r>
      <w:r>
        <w:rPr>
          <w:i/>
          <w:sz w:val="20"/>
        </w:rPr>
        <w:t>Duty</w:t>
      </w:r>
      <w:r>
        <w:rPr>
          <w:i/>
          <w:spacing w:val="-4"/>
          <w:sz w:val="20"/>
        </w:rPr>
        <w:t xml:space="preserve"> </w:t>
      </w:r>
      <w:r>
        <w:rPr>
          <w:i/>
          <w:spacing w:val="-2"/>
          <w:sz w:val="20"/>
        </w:rPr>
        <w:t>Measures</w:t>
      </w:r>
      <w:r>
        <w:rPr>
          <w:i/>
          <w:sz w:val="20"/>
        </w:rPr>
        <w:tab/>
      </w:r>
      <w:r>
        <w:rPr>
          <w:sz w:val="20"/>
        </w:rPr>
        <w:t>Australia's</w:t>
      </w:r>
      <w:r>
        <w:rPr>
          <w:spacing w:val="-7"/>
          <w:sz w:val="20"/>
        </w:rPr>
        <w:t xml:space="preserve"> </w:t>
      </w:r>
      <w:r>
        <w:rPr>
          <w:sz w:val="20"/>
        </w:rPr>
        <w:t>First</w:t>
      </w:r>
      <w:r>
        <w:rPr>
          <w:spacing w:val="-2"/>
          <w:sz w:val="20"/>
        </w:rPr>
        <w:t xml:space="preserve"> </w:t>
      </w:r>
      <w:r>
        <w:rPr>
          <w:sz w:val="20"/>
        </w:rPr>
        <w:t>Written</w:t>
      </w:r>
      <w:r>
        <w:rPr>
          <w:spacing w:val="-2"/>
          <w:sz w:val="20"/>
        </w:rPr>
        <w:t xml:space="preserve"> Submission</w:t>
      </w:r>
    </w:p>
    <w:p w14:paraId="51DE7EDD" w14:textId="77777777" w:rsidR="0010369C" w:rsidRDefault="008E43AE">
      <w:pPr>
        <w:tabs>
          <w:tab w:val="left" w:pos="8228"/>
        </w:tabs>
        <w:spacing w:before="1"/>
        <w:ind w:left="239"/>
        <w:rPr>
          <w:sz w:val="20"/>
        </w:rPr>
      </w:pPr>
      <w:r>
        <w:rPr>
          <w:i/>
          <w:sz w:val="20"/>
        </w:rPr>
        <w:t>on</w:t>
      </w:r>
      <w:r>
        <w:rPr>
          <w:i/>
          <w:spacing w:val="-1"/>
          <w:sz w:val="20"/>
        </w:rPr>
        <w:t xml:space="preserve"> </w:t>
      </w:r>
      <w:r>
        <w:rPr>
          <w:i/>
          <w:sz w:val="20"/>
        </w:rPr>
        <w:t>Wine</w:t>
      </w:r>
      <w:r>
        <w:rPr>
          <w:i/>
          <w:spacing w:val="-1"/>
          <w:sz w:val="20"/>
        </w:rPr>
        <w:t xml:space="preserve"> </w:t>
      </w:r>
      <w:r>
        <w:rPr>
          <w:i/>
          <w:sz w:val="20"/>
        </w:rPr>
        <w:t>from</w:t>
      </w:r>
      <w:r>
        <w:rPr>
          <w:i/>
          <w:spacing w:val="-3"/>
          <w:sz w:val="20"/>
        </w:rPr>
        <w:t xml:space="preserve"> </w:t>
      </w:r>
      <w:r>
        <w:rPr>
          <w:i/>
          <w:sz w:val="20"/>
        </w:rPr>
        <w:t>Australia</w:t>
      </w:r>
      <w:r>
        <w:rPr>
          <w:i/>
          <w:spacing w:val="-1"/>
          <w:sz w:val="20"/>
        </w:rPr>
        <w:t xml:space="preserve"> </w:t>
      </w:r>
      <w:r>
        <w:rPr>
          <w:spacing w:val="-2"/>
          <w:sz w:val="20"/>
        </w:rPr>
        <w:t>(DS602)</w:t>
      </w:r>
      <w:r>
        <w:rPr>
          <w:sz w:val="20"/>
        </w:rPr>
        <w:tab/>
        <w:t>29</w:t>
      </w:r>
      <w:r>
        <w:rPr>
          <w:spacing w:val="-1"/>
          <w:sz w:val="20"/>
        </w:rPr>
        <w:t xml:space="preserve"> </w:t>
      </w:r>
      <w:r>
        <w:rPr>
          <w:sz w:val="20"/>
        </w:rPr>
        <w:t>April</w:t>
      </w:r>
      <w:r>
        <w:rPr>
          <w:spacing w:val="-2"/>
          <w:sz w:val="20"/>
        </w:rPr>
        <w:t xml:space="preserve"> </w:t>
      </w:r>
      <w:r>
        <w:rPr>
          <w:spacing w:val="-4"/>
          <w:sz w:val="20"/>
        </w:rPr>
        <w:t>2022</w:t>
      </w:r>
    </w:p>
    <w:p w14:paraId="51DE7EDE" w14:textId="77777777" w:rsidR="0010369C" w:rsidRDefault="008E43AE">
      <w:pPr>
        <w:pStyle w:val="BodyText"/>
        <w:spacing w:before="34" w:line="360" w:lineRule="auto"/>
        <w:ind w:left="238" w:right="611"/>
      </w:pPr>
      <w:r>
        <w:t>obligated</w:t>
      </w:r>
      <w:r>
        <w:rPr>
          <w:spacing w:val="-10"/>
        </w:rPr>
        <w:t xml:space="preserve"> </w:t>
      </w:r>
      <w:r>
        <w:t>to</w:t>
      </w:r>
      <w:r>
        <w:rPr>
          <w:spacing w:val="-9"/>
        </w:rPr>
        <w:t xml:space="preserve"> </w:t>
      </w:r>
      <w:r>
        <w:t>adjust</w:t>
      </w:r>
      <w:r>
        <w:rPr>
          <w:spacing w:val="-10"/>
        </w:rPr>
        <w:t xml:space="preserve"> </w:t>
      </w:r>
      <w:r>
        <w:t>for</w:t>
      </w:r>
      <w:r>
        <w:rPr>
          <w:spacing w:val="-9"/>
        </w:rPr>
        <w:t xml:space="preserve"> </w:t>
      </w:r>
      <w:r>
        <w:t>these</w:t>
      </w:r>
      <w:r>
        <w:rPr>
          <w:spacing w:val="-9"/>
        </w:rPr>
        <w:t xml:space="preserve"> </w:t>
      </w:r>
      <w:r>
        <w:t>differences</w:t>
      </w:r>
      <w:r>
        <w:rPr>
          <w:spacing w:val="-10"/>
        </w:rPr>
        <w:t xml:space="preserve"> </w:t>
      </w:r>
      <w:r>
        <w:t>to</w:t>
      </w:r>
      <w:r>
        <w:rPr>
          <w:spacing w:val="-9"/>
        </w:rPr>
        <w:t xml:space="preserve"> </w:t>
      </w:r>
      <w:r>
        <w:t>ensure</w:t>
      </w:r>
      <w:r>
        <w:rPr>
          <w:spacing w:val="-10"/>
        </w:rPr>
        <w:t xml:space="preserve"> </w:t>
      </w:r>
      <w:r>
        <w:t>comparability</w:t>
      </w:r>
      <w:r>
        <w:rPr>
          <w:spacing w:val="-9"/>
        </w:rPr>
        <w:t xml:space="preserve"> </w:t>
      </w:r>
      <w:r>
        <w:t>of</w:t>
      </w:r>
      <w:r>
        <w:rPr>
          <w:spacing w:val="-10"/>
        </w:rPr>
        <w:t xml:space="preserve"> </w:t>
      </w:r>
      <w:r>
        <w:t>the</w:t>
      </w:r>
      <w:r>
        <w:rPr>
          <w:spacing w:val="-9"/>
        </w:rPr>
        <w:t xml:space="preserve"> </w:t>
      </w:r>
      <w:r>
        <w:t>resulting</w:t>
      </w:r>
      <w:r>
        <w:rPr>
          <w:spacing w:val="-11"/>
        </w:rPr>
        <w:t xml:space="preserve"> </w:t>
      </w:r>
      <w:r>
        <w:t>normal</w:t>
      </w:r>
      <w:r>
        <w:rPr>
          <w:spacing w:val="-9"/>
        </w:rPr>
        <w:t xml:space="preserve"> </w:t>
      </w:r>
      <w:r>
        <w:t>value with export price.</w:t>
      </w:r>
    </w:p>
    <w:p w14:paraId="51DE7EDF" w14:textId="77777777" w:rsidR="0010369C" w:rsidRDefault="008E43AE">
      <w:pPr>
        <w:pStyle w:val="Heading4"/>
        <w:numPr>
          <w:ilvl w:val="2"/>
          <w:numId w:val="75"/>
        </w:numPr>
        <w:tabs>
          <w:tab w:val="left" w:pos="2648"/>
          <w:tab w:val="left" w:pos="2649"/>
        </w:tabs>
      </w:pPr>
      <w:bookmarkStart w:id="21" w:name="_TOC_250008"/>
      <w:r>
        <w:t>Export</w:t>
      </w:r>
      <w:r>
        <w:rPr>
          <w:spacing w:val="-9"/>
        </w:rPr>
        <w:t xml:space="preserve"> </w:t>
      </w:r>
      <w:r>
        <w:t>sales</w:t>
      </w:r>
      <w:r>
        <w:rPr>
          <w:spacing w:val="-10"/>
        </w:rPr>
        <w:t xml:space="preserve"> </w:t>
      </w:r>
      <w:r>
        <w:t>of</w:t>
      </w:r>
      <w:r>
        <w:rPr>
          <w:spacing w:val="-8"/>
        </w:rPr>
        <w:t xml:space="preserve"> </w:t>
      </w:r>
      <w:r>
        <w:t>Australian</w:t>
      </w:r>
      <w:r>
        <w:rPr>
          <w:spacing w:val="-9"/>
        </w:rPr>
        <w:t xml:space="preserve"> </w:t>
      </w:r>
      <w:r>
        <w:t>bottled</w:t>
      </w:r>
      <w:r>
        <w:rPr>
          <w:spacing w:val="-10"/>
        </w:rPr>
        <w:t xml:space="preserve"> </w:t>
      </w:r>
      <w:bookmarkEnd w:id="21"/>
      <w:r>
        <w:rPr>
          <w:spacing w:val="-4"/>
        </w:rPr>
        <w:t>wine</w:t>
      </w:r>
    </w:p>
    <w:p w14:paraId="51DE7EE0" w14:textId="77777777" w:rsidR="0010369C" w:rsidRDefault="0010369C">
      <w:pPr>
        <w:pStyle w:val="BodyText"/>
        <w:spacing w:before="10"/>
        <w:rPr>
          <w:b/>
          <w:sz w:val="20"/>
        </w:rPr>
      </w:pPr>
    </w:p>
    <w:p w14:paraId="51DE7EE1" w14:textId="77777777" w:rsidR="0010369C" w:rsidRDefault="008E43AE">
      <w:pPr>
        <w:pStyle w:val="BodyText"/>
        <w:spacing w:before="51" w:line="360" w:lineRule="auto"/>
        <w:ind w:left="236" w:right="613" w:firstLine="852"/>
        <w:jc w:val="both"/>
      </w:pPr>
      <w:r>
        <w:rPr>
          <w:noProof/>
        </w:rPr>
        <w:drawing>
          <wp:anchor distT="0" distB="0" distL="0" distR="0" simplePos="0" relativeHeight="250811904" behindDoc="1" locked="0" layoutInCell="1" allowOverlap="1" wp14:anchorId="51DE9E43" wp14:editId="51DE9E44">
            <wp:simplePos x="0" y="0"/>
            <wp:positionH relativeFrom="page">
              <wp:posOffset>908303</wp:posOffset>
            </wp:positionH>
            <wp:positionV relativeFrom="paragraph">
              <wp:posOffset>76150</wp:posOffset>
            </wp:positionV>
            <wp:extent cx="256031" cy="106679"/>
            <wp:effectExtent l="0" t="0" r="0" b="0"/>
            <wp:wrapNone/>
            <wp:docPr id="243" name="image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image130.png"/>
                    <pic:cNvPicPr/>
                  </pic:nvPicPr>
                  <pic:blipFill>
                    <a:blip r:embed="rId224" cstate="print"/>
                    <a:stretch>
                      <a:fillRect/>
                    </a:stretch>
                  </pic:blipFill>
                  <pic:spPr>
                    <a:xfrm>
                      <a:off x="0" y="0"/>
                      <a:ext cx="256031" cy="106679"/>
                    </a:xfrm>
                    <a:prstGeom prst="rect">
                      <a:avLst/>
                    </a:prstGeom>
                  </pic:spPr>
                </pic:pic>
              </a:graphicData>
            </a:graphic>
          </wp:anchor>
        </w:drawing>
      </w:r>
      <w:r>
        <w:t>Australia submits that export sales of Australian bottled wine were also affected by characteristics affecting price comparability. Consistent with Australia's submissions on domestic sales above, the main characteristics were product mix and level of trad</w:t>
      </w:r>
      <w:r>
        <w:t>e. These factors</w:t>
      </w:r>
      <w:r>
        <w:rPr>
          <w:spacing w:val="-9"/>
        </w:rPr>
        <w:t xml:space="preserve"> </w:t>
      </w:r>
      <w:r>
        <w:t>had</w:t>
      </w:r>
      <w:r>
        <w:rPr>
          <w:spacing w:val="-10"/>
        </w:rPr>
        <w:t xml:space="preserve"> </w:t>
      </w:r>
      <w:r>
        <w:t>a</w:t>
      </w:r>
      <w:r>
        <w:rPr>
          <w:spacing w:val="-9"/>
        </w:rPr>
        <w:t xml:space="preserve"> </w:t>
      </w:r>
      <w:r>
        <w:t>significant</w:t>
      </w:r>
      <w:r>
        <w:rPr>
          <w:spacing w:val="-9"/>
        </w:rPr>
        <w:t xml:space="preserve"> </w:t>
      </w:r>
      <w:r>
        <w:t>influence</w:t>
      </w:r>
      <w:r>
        <w:rPr>
          <w:spacing w:val="-8"/>
        </w:rPr>
        <w:t xml:space="preserve"> </w:t>
      </w:r>
      <w:r>
        <w:t>on</w:t>
      </w:r>
      <w:r>
        <w:rPr>
          <w:spacing w:val="-10"/>
        </w:rPr>
        <w:t xml:space="preserve"> </w:t>
      </w:r>
      <w:r>
        <w:t>the</w:t>
      </w:r>
      <w:r>
        <w:rPr>
          <w:spacing w:val="-8"/>
        </w:rPr>
        <w:t xml:space="preserve"> </w:t>
      </w:r>
      <w:r>
        <w:t>price</w:t>
      </w:r>
      <w:r>
        <w:rPr>
          <w:spacing w:val="-8"/>
        </w:rPr>
        <w:t xml:space="preserve"> </w:t>
      </w:r>
      <w:r>
        <w:t>of</w:t>
      </w:r>
      <w:r>
        <w:rPr>
          <w:spacing w:val="-10"/>
        </w:rPr>
        <w:t xml:space="preserve"> </w:t>
      </w:r>
      <w:r>
        <w:t>export</w:t>
      </w:r>
      <w:r>
        <w:rPr>
          <w:spacing w:val="-9"/>
        </w:rPr>
        <w:t xml:space="preserve"> </w:t>
      </w:r>
      <w:r>
        <w:t>sales</w:t>
      </w:r>
      <w:r>
        <w:rPr>
          <w:spacing w:val="-10"/>
        </w:rPr>
        <w:t xml:space="preserve"> </w:t>
      </w:r>
      <w:r>
        <w:t>and</w:t>
      </w:r>
      <w:r>
        <w:rPr>
          <w:spacing w:val="-9"/>
        </w:rPr>
        <w:t xml:space="preserve"> </w:t>
      </w:r>
      <w:r>
        <w:t>required</w:t>
      </w:r>
      <w:r>
        <w:rPr>
          <w:spacing w:val="-9"/>
        </w:rPr>
        <w:t xml:space="preserve"> </w:t>
      </w:r>
      <w:r>
        <w:t>MOFCOM</w:t>
      </w:r>
      <w:r>
        <w:rPr>
          <w:spacing w:val="-8"/>
        </w:rPr>
        <w:t xml:space="preserve"> </w:t>
      </w:r>
      <w:r>
        <w:t>to</w:t>
      </w:r>
      <w:r>
        <w:rPr>
          <w:spacing w:val="-8"/>
        </w:rPr>
        <w:t xml:space="preserve"> </w:t>
      </w:r>
      <w:r>
        <w:t>make the necessary adjustments to ensure a fair comparison was conducted with normal value. A failure to do</w:t>
      </w:r>
      <w:r>
        <w:rPr>
          <w:spacing w:val="-1"/>
        </w:rPr>
        <w:t xml:space="preserve"> </w:t>
      </w:r>
      <w:r>
        <w:t>so, as</w:t>
      </w:r>
      <w:r>
        <w:rPr>
          <w:spacing w:val="-1"/>
        </w:rPr>
        <w:t xml:space="preserve"> </w:t>
      </w:r>
      <w:r>
        <w:t>established</w:t>
      </w:r>
      <w:r>
        <w:rPr>
          <w:spacing w:val="-2"/>
        </w:rPr>
        <w:t xml:space="preserve"> </w:t>
      </w:r>
      <w:r>
        <w:t>in</w:t>
      </w:r>
      <w:r>
        <w:rPr>
          <w:spacing w:val="-1"/>
        </w:rPr>
        <w:t xml:space="preserve"> </w:t>
      </w:r>
      <w:r>
        <w:t>the section</w:t>
      </w:r>
      <w:r>
        <w:rPr>
          <w:spacing w:val="-1"/>
        </w:rPr>
        <w:t xml:space="preserve"> </w:t>
      </w:r>
      <w:r>
        <w:t>on</w:t>
      </w:r>
      <w:r>
        <w:rPr>
          <w:spacing w:val="-1"/>
        </w:rPr>
        <w:t xml:space="preserve"> </w:t>
      </w:r>
      <w:r>
        <w:t>fair comparison</w:t>
      </w:r>
      <w:r>
        <w:rPr>
          <w:spacing w:val="-1"/>
        </w:rPr>
        <w:t xml:space="preserve"> </w:t>
      </w:r>
      <w:r>
        <w:t>below, resulted</w:t>
      </w:r>
      <w:r>
        <w:rPr>
          <w:spacing w:val="-2"/>
        </w:rPr>
        <w:t xml:space="preserve"> </w:t>
      </w:r>
      <w:r>
        <w:t>in</w:t>
      </w:r>
      <w:r>
        <w:rPr>
          <w:spacing w:val="-1"/>
        </w:rPr>
        <w:t xml:space="preserve"> </w:t>
      </w:r>
      <w:r>
        <w:t>MOFCOM relying upon export transactions that were not comparable to domestic sales in Australia.</w:t>
      </w:r>
    </w:p>
    <w:p w14:paraId="51DE7EE2" w14:textId="77777777" w:rsidR="0010369C" w:rsidRDefault="008E43AE">
      <w:pPr>
        <w:pStyle w:val="ListParagraph"/>
        <w:numPr>
          <w:ilvl w:val="3"/>
          <w:numId w:val="75"/>
        </w:numPr>
        <w:tabs>
          <w:tab w:val="left" w:pos="3641"/>
          <w:tab w:val="left" w:pos="3642"/>
        </w:tabs>
        <w:spacing w:before="161" w:line="360" w:lineRule="auto"/>
        <w:ind w:right="616" w:hanging="854"/>
        <w:jc w:val="both"/>
        <w:rPr>
          <w:sz w:val="24"/>
        </w:rPr>
      </w:pPr>
      <w:r>
        <w:rPr>
          <w:sz w:val="24"/>
          <w:u w:val="single"/>
        </w:rPr>
        <w:t>Product mix (physical characteristics, quality, quantity,</w:t>
      </w:r>
      <w:r>
        <w:rPr>
          <w:sz w:val="24"/>
        </w:rPr>
        <w:t xml:space="preserve"> </w:t>
      </w:r>
      <w:r>
        <w:rPr>
          <w:sz w:val="24"/>
          <w:u w:val="single"/>
        </w:rPr>
        <w:t>consumer preferences, price)</w:t>
      </w:r>
    </w:p>
    <w:p w14:paraId="51DE7EE3" w14:textId="77777777" w:rsidR="0010369C" w:rsidRDefault="0010369C">
      <w:pPr>
        <w:pStyle w:val="BodyText"/>
        <w:spacing w:before="10"/>
        <w:rPr>
          <w:sz w:val="8"/>
        </w:rPr>
      </w:pPr>
    </w:p>
    <w:p w14:paraId="51DE7EE4" w14:textId="77777777" w:rsidR="0010369C" w:rsidRDefault="008E43AE">
      <w:pPr>
        <w:pStyle w:val="BodyText"/>
        <w:spacing w:before="52" w:line="360" w:lineRule="auto"/>
        <w:ind w:left="237" w:right="613" w:firstLine="851"/>
        <w:jc w:val="both"/>
      </w:pPr>
      <w:r>
        <w:rPr>
          <w:noProof/>
        </w:rPr>
        <w:drawing>
          <wp:anchor distT="0" distB="0" distL="0" distR="0" simplePos="0" relativeHeight="250812928" behindDoc="1" locked="0" layoutInCell="1" allowOverlap="1" wp14:anchorId="51DE9E45" wp14:editId="51DE9E46">
            <wp:simplePos x="0" y="0"/>
            <wp:positionH relativeFrom="page">
              <wp:posOffset>908303</wp:posOffset>
            </wp:positionH>
            <wp:positionV relativeFrom="paragraph">
              <wp:posOffset>80595</wp:posOffset>
            </wp:positionV>
            <wp:extent cx="256031" cy="103631"/>
            <wp:effectExtent l="0" t="0" r="0" b="0"/>
            <wp:wrapNone/>
            <wp:docPr id="245" name="image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image131.png"/>
                    <pic:cNvPicPr/>
                  </pic:nvPicPr>
                  <pic:blipFill>
                    <a:blip r:embed="rId225" cstate="print"/>
                    <a:stretch>
                      <a:fillRect/>
                    </a:stretch>
                  </pic:blipFill>
                  <pic:spPr>
                    <a:xfrm>
                      <a:off x="0" y="0"/>
                      <a:ext cx="256031" cy="103631"/>
                    </a:xfrm>
                    <a:prstGeom prst="rect">
                      <a:avLst/>
                    </a:prstGeom>
                  </pic:spPr>
                </pic:pic>
              </a:graphicData>
            </a:graphic>
          </wp:anchor>
        </w:drawing>
      </w:r>
      <w:r>
        <w:t>Australia submits there was suffici</w:t>
      </w:r>
      <w:r>
        <w:t>ent evidence before MOFCOM that Australian bottled</w:t>
      </w:r>
      <w:r>
        <w:rPr>
          <w:spacing w:val="-11"/>
        </w:rPr>
        <w:t xml:space="preserve"> </w:t>
      </w:r>
      <w:r>
        <w:t>wine</w:t>
      </w:r>
      <w:r>
        <w:rPr>
          <w:spacing w:val="-10"/>
        </w:rPr>
        <w:t xml:space="preserve"> </w:t>
      </w:r>
      <w:r>
        <w:t>exported</w:t>
      </w:r>
      <w:r>
        <w:rPr>
          <w:spacing w:val="-12"/>
        </w:rPr>
        <w:t xml:space="preserve"> </w:t>
      </w:r>
      <w:r>
        <w:t>during</w:t>
      </w:r>
      <w:r>
        <w:rPr>
          <w:spacing w:val="-11"/>
        </w:rPr>
        <w:t xml:space="preserve"> </w:t>
      </w:r>
      <w:r>
        <w:t>the</w:t>
      </w:r>
      <w:r>
        <w:rPr>
          <w:spacing w:val="-10"/>
        </w:rPr>
        <w:t xml:space="preserve"> </w:t>
      </w:r>
      <w:r>
        <w:t>period</w:t>
      </w:r>
      <w:r>
        <w:rPr>
          <w:spacing w:val="-12"/>
        </w:rPr>
        <w:t xml:space="preserve"> </w:t>
      </w:r>
      <w:r>
        <w:t>of</w:t>
      </w:r>
      <w:r>
        <w:rPr>
          <w:spacing w:val="-11"/>
        </w:rPr>
        <w:t xml:space="preserve"> </w:t>
      </w:r>
      <w:r>
        <w:t>investigation</w:t>
      </w:r>
      <w:r>
        <w:rPr>
          <w:spacing w:val="-10"/>
        </w:rPr>
        <w:t xml:space="preserve"> </w:t>
      </w:r>
      <w:r>
        <w:t>had</w:t>
      </w:r>
      <w:r>
        <w:rPr>
          <w:spacing w:val="-12"/>
        </w:rPr>
        <w:t xml:space="preserve"> </w:t>
      </w:r>
      <w:r>
        <w:t>differing</w:t>
      </w:r>
      <w:r>
        <w:rPr>
          <w:spacing w:val="-10"/>
        </w:rPr>
        <w:t xml:space="preserve"> </w:t>
      </w:r>
      <w:r>
        <w:t>physical</w:t>
      </w:r>
      <w:r>
        <w:rPr>
          <w:spacing w:val="-12"/>
        </w:rPr>
        <w:t xml:space="preserve"> </w:t>
      </w:r>
      <w:r>
        <w:t>characteristics. These differences resulted in exported products being assigned into different quality grades with a significant infl</w:t>
      </w:r>
      <w:r>
        <w:t>uence on export sales prices. In other words, these export sales were constituted by a highly varied product mix that required MOFCOM to make adjustments to these sales to ensure a proper comparison.</w:t>
      </w:r>
    </w:p>
    <w:p w14:paraId="51DE7EE5" w14:textId="77777777" w:rsidR="0010369C" w:rsidRDefault="0010369C">
      <w:pPr>
        <w:pStyle w:val="BodyText"/>
        <w:spacing w:before="10"/>
        <w:rPr>
          <w:sz w:val="8"/>
        </w:rPr>
      </w:pPr>
    </w:p>
    <w:p w14:paraId="51DE7EE6" w14:textId="77777777" w:rsidR="0010369C" w:rsidRDefault="008E43AE">
      <w:pPr>
        <w:spacing w:before="52"/>
        <w:ind w:left="1089"/>
        <w:rPr>
          <w:sz w:val="24"/>
        </w:rPr>
      </w:pPr>
      <w:r>
        <w:rPr>
          <w:noProof/>
        </w:rPr>
        <w:drawing>
          <wp:anchor distT="0" distB="0" distL="0" distR="0" simplePos="0" relativeHeight="250616320" behindDoc="0" locked="0" layoutInCell="1" allowOverlap="1" wp14:anchorId="51DE9E47" wp14:editId="51DE9E48">
            <wp:simplePos x="0" y="0"/>
            <wp:positionH relativeFrom="page">
              <wp:posOffset>908303</wp:posOffset>
            </wp:positionH>
            <wp:positionV relativeFrom="paragraph">
              <wp:posOffset>81949</wp:posOffset>
            </wp:positionV>
            <wp:extent cx="256031" cy="100753"/>
            <wp:effectExtent l="0" t="0" r="0" b="0"/>
            <wp:wrapNone/>
            <wp:docPr id="247" name="image1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image132.png"/>
                    <pic:cNvPicPr/>
                  </pic:nvPicPr>
                  <pic:blipFill>
                    <a:blip r:embed="rId226" cstate="print"/>
                    <a:stretch>
                      <a:fillRect/>
                    </a:stretch>
                  </pic:blipFill>
                  <pic:spPr>
                    <a:xfrm>
                      <a:off x="0" y="0"/>
                      <a:ext cx="256031" cy="100753"/>
                    </a:xfrm>
                    <a:prstGeom prst="rect">
                      <a:avLst/>
                    </a:prstGeom>
                  </pic:spPr>
                </pic:pic>
              </a:graphicData>
            </a:graphic>
          </wp:anchor>
        </w:drawing>
      </w:r>
      <w:r>
        <w:pict w14:anchorId="51DE9E49">
          <v:rect id="docshape164" o:spid="_x0000_s3112" style="position:absolute;left:0;text-align:left;margin-left:119.8pt;margin-top:2.7pt;width:403.6pt;height:16.05pt;z-index:251699712;mso-position-horizontal-relative:page;mso-position-vertical-relative:text" fillcolor="black" stroked="f">
            <w10:wrap anchorx="page"/>
          </v:rect>
        </w:pict>
      </w:r>
      <w:r>
        <w:rPr>
          <w:spacing w:val="-5"/>
          <w:sz w:val="24"/>
        </w:rPr>
        <w:t>[[</w:t>
      </w:r>
    </w:p>
    <w:p w14:paraId="51DE7EE7" w14:textId="77777777" w:rsidR="0010369C" w:rsidRDefault="008E43AE">
      <w:pPr>
        <w:pStyle w:val="BodyText"/>
        <w:spacing w:before="2"/>
        <w:rPr>
          <w:sz w:val="10"/>
        </w:rPr>
      </w:pPr>
      <w:r>
        <w:pict w14:anchorId="51DE9E4A">
          <v:shape id="docshape165" o:spid="_x0000_s3111" style="position:absolute;margin-left:69.9pt;margin-top:7.45pt;width:453.4pt;height:16.1pt;z-index:-251204096;mso-wrap-distance-left:0;mso-wrap-distance-right:0;mso-position-horizontal-relative:page" coordorigin="1398,149" coordsize="9068,322" o:spt="100" adj="0,,0" path="m4986,151r-242,l4744,149r-3346,l1398,470r3346,l4744,364r242,l4986,151xm10466,149r-5422,l5044,470r5422,l10466,149xe" fillcolor="black" stroked="f">
            <v:stroke joinstyle="round"/>
            <v:formulas/>
            <v:path arrowok="t" o:connecttype="segments"/>
            <w10:wrap type="topAndBottom" anchorx="page"/>
          </v:shape>
        </w:pict>
      </w:r>
      <w:r>
        <w:pict w14:anchorId="51DE9E4B">
          <v:rect id="docshape166" o:spid="_x0000_s3110" style="position:absolute;margin-left:69.9pt;margin-top:29.45pt;width:453.45pt;height:16.05pt;z-index:-251203072;mso-wrap-distance-left:0;mso-wrap-distance-right:0;mso-position-horizontal-relative:page" fillcolor="black" stroked="f">
            <w10:wrap type="topAndBottom" anchorx="page"/>
          </v:rect>
        </w:pict>
      </w:r>
      <w:r>
        <w:pict w14:anchorId="51DE9E4C">
          <v:rect id="docshape167" o:spid="_x0000_s3109" style="position:absolute;margin-left:69.9pt;margin-top:51.4pt;width:453.55pt;height:16.05pt;z-index:-251202048;mso-wrap-distance-left:0;mso-wrap-distance-right:0;mso-position-horizontal-relative:page" fillcolor="black" stroked="f">
            <w10:wrap type="topAndBottom" anchorx="page"/>
          </v:rect>
        </w:pict>
      </w:r>
      <w:r>
        <w:pict w14:anchorId="51DE9E4D">
          <v:rect id="docshape168" o:spid="_x0000_s3108" style="position:absolute;margin-left:69.9pt;margin-top:73.35pt;width:453.5pt;height:16.05pt;z-index:-251201024;mso-wrap-distance-left:0;mso-wrap-distance-right:0;mso-position-horizontal-relative:page" fillcolor="black" stroked="f">
            <w10:wrap type="topAndBottom" anchorx="page"/>
          </v:rect>
        </w:pict>
      </w:r>
    </w:p>
    <w:p w14:paraId="51DE7EE8" w14:textId="77777777" w:rsidR="0010369C" w:rsidRDefault="0010369C">
      <w:pPr>
        <w:pStyle w:val="BodyText"/>
        <w:spacing w:before="9"/>
        <w:rPr>
          <w:sz w:val="7"/>
        </w:rPr>
      </w:pPr>
    </w:p>
    <w:p w14:paraId="51DE7EE9" w14:textId="77777777" w:rsidR="0010369C" w:rsidRDefault="0010369C">
      <w:pPr>
        <w:pStyle w:val="BodyText"/>
        <w:spacing w:before="8"/>
        <w:rPr>
          <w:sz w:val="7"/>
        </w:rPr>
      </w:pPr>
    </w:p>
    <w:p w14:paraId="51DE7EEA" w14:textId="77777777" w:rsidR="0010369C" w:rsidRDefault="0010369C">
      <w:pPr>
        <w:pStyle w:val="BodyText"/>
        <w:spacing w:before="8"/>
        <w:rPr>
          <w:sz w:val="7"/>
        </w:rPr>
      </w:pPr>
    </w:p>
    <w:p w14:paraId="51DE7EEB" w14:textId="77777777" w:rsidR="0010369C" w:rsidRDefault="008E43AE">
      <w:pPr>
        <w:spacing w:before="116"/>
        <w:ind w:left="1190"/>
        <w:rPr>
          <w:sz w:val="24"/>
        </w:rPr>
      </w:pPr>
      <w:r>
        <w:rPr>
          <w:spacing w:val="-5"/>
          <w:sz w:val="24"/>
        </w:rPr>
        <w:t>]]</w:t>
      </w:r>
    </w:p>
    <w:p w14:paraId="51DE7EEC" w14:textId="77777777" w:rsidR="0010369C" w:rsidRDefault="0010369C">
      <w:pPr>
        <w:pStyle w:val="BodyText"/>
        <w:spacing w:before="10"/>
        <w:rPr>
          <w:sz w:val="20"/>
        </w:rPr>
      </w:pPr>
    </w:p>
    <w:p w14:paraId="51DE7EED" w14:textId="77777777" w:rsidR="0010369C" w:rsidRDefault="008E43AE">
      <w:pPr>
        <w:spacing w:before="52"/>
        <w:ind w:left="1089"/>
        <w:rPr>
          <w:sz w:val="24"/>
        </w:rPr>
      </w:pPr>
      <w:r>
        <w:rPr>
          <w:noProof/>
        </w:rPr>
        <w:drawing>
          <wp:anchor distT="0" distB="0" distL="0" distR="0" simplePos="0" relativeHeight="250617344" behindDoc="0" locked="0" layoutInCell="1" allowOverlap="1" wp14:anchorId="51DE9E4E" wp14:editId="51DE9E4F">
            <wp:simplePos x="0" y="0"/>
            <wp:positionH relativeFrom="page">
              <wp:posOffset>908303</wp:posOffset>
            </wp:positionH>
            <wp:positionV relativeFrom="paragraph">
              <wp:posOffset>76785</wp:posOffset>
            </wp:positionV>
            <wp:extent cx="256031" cy="106679"/>
            <wp:effectExtent l="0" t="0" r="0" b="0"/>
            <wp:wrapNone/>
            <wp:docPr id="249" name="image1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image133.png"/>
                    <pic:cNvPicPr/>
                  </pic:nvPicPr>
                  <pic:blipFill>
                    <a:blip r:embed="rId227" cstate="print"/>
                    <a:stretch>
                      <a:fillRect/>
                    </a:stretch>
                  </pic:blipFill>
                  <pic:spPr>
                    <a:xfrm>
                      <a:off x="0" y="0"/>
                      <a:ext cx="256031" cy="106679"/>
                    </a:xfrm>
                    <a:prstGeom prst="rect">
                      <a:avLst/>
                    </a:prstGeom>
                  </pic:spPr>
                </pic:pic>
              </a:graphicData>
            </a:graphic>
          </wp:anchor>
        </w:drawing>
      </w:r>
      <w:r>
        <w:pict w14:anchorId="51DE9E50">
          <v:rect id="docshape169" o:spid="_x0000_s3107" style="position:absolute;left:0;text-align:left;margin-left:69.9pt;margin-top:-27.25pt;width:47.65pt;height:16.05pt;z-index:251700736;mso-position-horizontal-relative:page;mso-position-vertical-relative:text" fillcolor="black" stroked="f">
            <w10:wrap anchorx="page"/>
          </v:rect>
        </w:pict>
      </w:r>
      <w:r>
        <w:pict w14:anchorId="51DE9E51">
          <v:rect id="docshape170" o:spid="_x0000_s3106" style="position:absolute;left:0;text-align:left;margin-left:119.8pt;margin-top:2.7pt;width:403.6pt;height:16.05pt;z-index:251701760;mso-position-horizontal-relative:page;mso-position-vertical-relative:text" fillcolor="black" stroked="f">
            <w10:wrap anchorx="page"/>
          </v:rect>
        </w:pict>
      </w:r>
      <w:r>
        <w:rPr>
          <w:spacing w:val="-5"/>
          <w:sz w:val="24"/>
        </w:rPr>
        <w:t>[[</w:t>
      </w:r>
    </w:p>
    <w:p w14:paraId="51DE7EEE" w14:textId="77777777" w:rsidR="0010369C" w:rsidRDefault="008E43AE">
      <w:pPr>
        <w:pStyle w:val="BodyText"/>
        <w:spacing w:before="2"/>
        <w:rPr>
          <w:sz w:val="10"/>
        </w:rPr>
      </w:pPr>
      <w:r>
        <w:pict w14:anchorId="51DE9E52">
          <v:rect id="docshape171" o:spid="_x0000_s3105" style="position:absolute;margin-left:69.9pt;margin-top:7.45pt;width:453.45pt;height:16.05pt;z-index:-251200000;mso-wrap-distance-left:0;mso-wrap-distance-right:0;mso-position-horizontal-relative:page" fillcolor="black" stroked="f">
            <w10:wrap type="topAndBottom" anchorx="page"/>
          </v:rect>
        </w:pict>
      </w:r>
      <w:r>
        <w:pict w14:anchorId="51DE9E53">
          <v:rect id="docshape172" o:spid="_x0000_s3104" style="position:absolute;margin-left:69.9pt;margin-top:29.4pt;width:453.55pt;height:16.05pt;z-index:-251198976;mso-wrap-distance-left:0;mso-wrap-distance-right:0;mso-position-horizontal-relative:page" fillcolor="black" stroked="f">
            <w10:wrap type="topAndBottom" anchorx="page"/>
          </v:rect>
        </w:pict>
      </w:r>
      <w:r>
        <w:pict w14:anchorId="51DE9E54">
          <v:rect id="docshape173" o:spid="_x0000_s3103" style="position:absolute;margin-left:69.95pt;margin-top:51.35pt;width:453.45pt;height:16.05pt;z-index:-251197952;mso-wrap-distance-left:0;mso-wrap-distance-right:0;mso-position-horizontal-relative:page" fillcolor="black" stroked="f">
            <w10:wrap type="topAndBottom" anchorx="page"/>
          </v:rect>
        </w:pict>
      </w:r>
      <w:r>
        <w:pict w14:anchorId="51DE9E55">
          <v:rect id="docshape174" o:spid="_x0000_s3102" style="position:absolute;margin-left:70.9pt;margin-top:81.95pt;width:2in;height:.8pt;z-index:-251196928;mso-wrap-distance-left:0;mso-wrap-distance-right:0;mso-position-horizontal-relative:page" fillcolor="black" stroked="f">
            <w10:wrap type="topAndBottom" anchorx="page"/>
          </v:rect>
        </w:pict>
      </w:r>
    </w:p>
    <w:p w14:paraId="51DE7EEF" w14:textId="77777777" w:rsidR="0010369C" w:rsidRDefault="0010369C">
      <w:pPr>
        <w:pStyle w:val="BodyText"/>
        <w:spacing w:before="8"/>
        <w:rPr>
          <w:sz w:val="7"/>
        </w:rPr>
      </w:pPr>
    </w:p>
    <w:p w14:paraId="51DE7EF0" w14:textId="77777777" w:rsidR="0010369C" w:rsidRDefault="0010369C">
      <w:pPr>
        <w:pStyle w:val="BodyText"/>
        <w:spacing w:before="8"/>
        <w:rPr>
          <w:sz w:val="7"/>
        </w:rPr>
      </w:pPr>
    </w:p>
    <w:p w14:paraId="51DE7EF1" w14:textId="77777777" w:rsidR="0010369C" w:rsidRDefault="0010369C">
      <w:pPr>
        <w:pStyle w:val="BodyText"/>
        <w:spacing w:before="9"/>
        <w:rPr>
          <w:sz w:val="21"/>
        </w:rPr>
      </w:pPr>
    </w:p>
    <w:p w14:paraId="51DE7EF2" w14:textId="77777777" w:rsidR="0010369C" w:rsidRDefault="0010369C">
      <w:pPr>
        <w:pStyle w:val="BodyText"/>
        <w:spacing w:before="8"/>
        <w:rPr>
          <w:sz w:val="5"/>
        </w:rPr>
      </w:pPr>
    </w:p>
    <w:p w14:paraId="51DE7EF3" w14:textId="77777777" w:rsidR="0010369C" w:rsidRDefault="0010369C">
      <w:pPr>
        <w:rPr>
          <w:sz w:val="5"/>
        </w:rPr>
        <w:sectPr w:rsidR="0010369C">
          <w:pgSz w:w="11910" w:h="16840"/>
          <w:pgMar w:top="880" w:right="800" w:bottom="980" w:left="1180" w:header="569" w:footer="788" w:gutter="0"/>
          <w:cols w:space="720"/>
        </w:sectPr>
      </w:pPr>
    </w:p>
    <w:p w14:paraId="51DE7EF4" w14:textId="77777777" w:rsidR="0010369C" w:rsidRDefault="008E43AE">
      <w:pPr>
        <w:spacing w:before="74" w:line="158" w:lineRule="auto"/>
        <w:ind w:left="238"/>
        <w:rPr>
          <w:sz w:val="18"/>
        </w:rPr>
      </w:pPr>
      <w:r>
        <w:pict w14:anchorId="51DE9E56">
          <v:shape id="docshape175" o:spid="_x0000_s3101" style="position:absolute;left:0;text-align:left;margin-left:86.65pt;margin-top:2.35pt;width:341.75pt;height:23.05pt;z-index:-251425280;mso-position-horizontal-relative:page" coordorigin="1733,47" coordsize="6835,461" path="m8567,266r-473,l8094,47r-6361,l1733,266r,22l1733,507r5229,l6962,288r1074,l8036,507r531,l8567,266xe" fillcolor="black" stroked="f">
            <v:path arrowok="t"/>
            <w10:wrap anchorx="page"/>
          </v:shape>
        </w:pict>
      </w:r>
      <w:r>
        <w:rPr>
          <w:sz w:val="12"/>
        </w:rPr>
        <w:t>127</w:t>
      </w:r>
      <w:r>
        <w:rPr>
          <w:spacing w:val="11"/>
          <w:sz w:val="12"/>
        </w:rPr>
        <w:t xml:space="preserve"> </w:t>
      </w:r>
      <w:r>
        <w:rPr>
          <w:spacing w:val="-10"/>
          <w:position w:val="-5"/>
          <w:sz w:val="18"/>
        </w:rPr>
        <w:t>[</w:t>
      </w:r>
    </w:p>
    <w:p w14:paraId="51DE7EF5" w14:textId="77777777" w:rsidR="0010369C" w:rsidRDefault="008E43AE">
      <w:pPr>
        <w:spacing w:before="33"/>
        <w:ind w:left="238"/>
        <w:rPr>
          <w:sz w:val="18"/>
        </w:rPr>
      </w:pPr>
      <w:r>
        <w:rPr>
          <w:sz w:val="12"/>
        </w:rPr>
        <w:t>128</w:t>
      </w:r>
      <w:r>
        <w:rPr>
          <w:spacing w:val="11"/>
          <w:sz w:val="12"/>
        </w:rPr>
        <w:t xml:space="preserve"> </w:t>
      </w:r>
      <w:r>
        <w:rPr>
          <w:spacing w:val="-10"/>
          <w:position w:val="-5"/>
          <w:sz w:val="18"/>
        </w:rPr>
        <w:t>[</w:t>
      </w:r>
    </w:p>
    <w:p w14:paraId="51DE7EF6" w14:textId="77777777" w:rsidR="0010369C" w:rsidRDefault="008E43AE">
      <w:pPr>
        <w:spacing w:before="3"/>
        <w:rPr>
          <w:sz w:val="21"/>
        </w:rPr>
      </w:pPr>
      <w:r>
        <w:br w:type="column"/>
      </w:r>
    </w:p>
    <w:p w14:paraId="51DE7EF7" w14:textId="77777777" w:rsidR="0010369C" w:rsidRDefault="008E43AE">
      <w:pPr>
        <w:ind w:left="238"/>
        <w:rPr>
          <w:sz w:val="18"/>
        </w:rPr>
      </w:pPr>
      <w:r>
        <w:rPr>
          <w:color w:val="5E5E5E"/>
          <w:sz w:val="18"/>
        </w:rPr>
        <w:t>(AUS‐5</w:t>
      </w:r>
      <w:r>
        <w:rPr>
          <w:color w:val="5E5E5E"/>
          <w:spacing w:val="-11"/>
          <w:sz w:val="18"/>
        </w:rPr>
        <w:t xml:space="preserve"> </w:t>
      </w:r>
      <w:r>
        <w:rPr>
          <w:color w:val="5E5E5E"/>
          <w:spacing w:val="-2"/>
          <w:sz w:val="18"/>
        </w:rPr>
        <w:t>(BCI)),</w:t>
      </w:r>
    </w:p>
    <w:p w14:paraId="51DE7EF8" w14:textId="77777777" w:rsidR="0010369C" w:rsidRDefault="008E43AE">
      <w:pPr>
        <w:spacing w:before="40"/>
        <w:ind w:left="99"/>
        <w:rPr>
          <w:sz w:val="18"/>
        </w:rPr>
      </w:pPr>
      <w:r>
        <w:br w:type="column"/>
      </w:r>
      <w:r>
        <w:rPr>
          <w:color w:val="5E5E5E"/>
          <w:spacing w:val="-2"/>
          <w:sz w:val="18"/>
        </w:rPr>
        <w:t>(AUS‐10</w:t>
      </w:r>
      <w:r>
        <w:rPr>
          <w:color w:val="5E5E5E"/>
          <w:spacing w:val="3"/>
          <w:sz w:val="18"/>
        </w:rPr>
        <w:t xml:space="preserve"> </w:t>
      </w:r>
      <w:r>
        <w:rPr>
          <w:color w:val="5E5E5E"/>
          <w:spacing w:val="-2"/>
          <w:sz w:val="18"/>
        </w:rPr>
        <w:t>(BCI)).</w:t>
      </w:r>
      <w:r>
        <w:rPr>
          <w:spacing w:val="-2"/>
          <w:sz w:val="18"/>
        </w:rPr>
        <w:t>]]</w:t>
      </w:r>
    </w:p>
    <w:p w14:paraId="51DE7EF9" w14:textId="77777777" w:rsidR="0010369C" w:rsidRDefault="008E43AE">
      <w:pPr>
        <w:ind w:left="531"/>
        <w:rPr>
          <w:sz w:val="18"/>
        </w:rPr>
      </w:pPr>
      <w:r>
        <w:rPr>
          <w:color w:val="5E5E5E"/>
          <w:spacing w:val="-5"/>
          <w:sz w:val="18"/>
        </w:rPr>
        <w:t>.</w:t>
      </w:r>
      <w:r>
        <w:rPr>
          <w:spacing w:val="-5"/>
          <w:sz w:val="18"/>
        </w:rPr>
        <w:t>]]</w:t>
      </w:r>
    </w:p>
    <w:p w14:paraId="51DE7EFA" w14:textId="77777777" w:rsidR="0010369C" w:rsidRDefault="0010369C">
      <w:pPr>
        <w:rPr>
          <w:sz w:val="18"/>
        </w:rPr>
        <w:sectPr w:rsidR="0010369C">
          <w:type w:val="continuous"/>
          <w:pgSz w:w="11910" w:h="16840"/>
          <w:pgMar w:top="1460" w:right="800" w:bottom="280" w:left="1180" w:header="569" w:footer="788" w:gutter="0"/>
          <w:cols w:num="3" w:space="720" w:equalWidth="0">
            <w:col w:w="559" w:space="5047"/>
            <w:col w:w="1231" w:space="39"/>
            <w:col w:w="3054"/>
          </w:cols>
        </w:sectPr>
      </w:pPr>
    </w:p>
    <w:p w14:paraId="51DE7EFB" w14:textId="77777777" w:rsidR="0010369C" w:rsidRDefault="008E43AE">
      <w:pPr>
        <w:tabs>
          <w:tab w:val="left" w:pos="6426"/>
        </w:tabs>
        <w:ind w:left="238"/>
        <w:rPr>
          <w:sz w:val="20"/>
        </w:rPr>
      </w:pPr>
      <w:r>
        <w:rPr>
          <w:i/>
          <w:sz w:val="20"/>
        </w:rPr>
        <w:lastRenderedPageBreak/>
        <w:t>China</w:t>
      </w:r>
      <w:r>
        <w:rPr>
          <w:i/>
          <w:spacing w:val="-5"/>
          <w:sz w:val="20"/>
        </w:rPr>
        <w:t xml:space="preserve"> </w:t>
      </w:r>
      <w:r>
        <w:rPr>
          <w:i/>
          <w:sz w:val="20"/>
        </w:rPr>
        <w:t>–</w:t>
      </w:r>
      <w:r>
        <w:rPr>
          <w:i/>
          <w:spacing w:val="-5"/>
          <w:sz w:val="20"/>
        </w:rPr>
        <w:t xml:space="preserve"> </w:t>
      </w:r>
      <w:r>
        <w:rPr>
          <w:i/>
          <w:sz w:val="20"/>
        </w:rPr>
        <w:t>Anti‐Dumping</w:t>
      </w:r>
      <w:r>
        <w:rPr>
          <w:i/>
          <w:spacing w:val="-4"/>
          <w:sz w:val="20"/>
        </w:rPr>
        <w:t xml:space="preserve"> </w:t>
      </w:r>
      <w:r>
        <w:rPr>
          <w:i/>
          <w:sz w:val="20"/>
        </w:rPr>
        <w:t>and</w:t>
      </w:r>
      <w:r>
        <w:rPr>
          <w:i/>
          <w:spacing w:val="-5"/>
          <w:sz w:val="20"/>
        </w:rPr>
        <w:t xml:space="preserve"> </w:t>
      </w:r>
      <w:r>
        <w:rPr>
          <w:i/>
          <w:sz w:val="20"/>
        </w:rPr>
        <w:t>Countervailing</w:t>
      </w:r>
      <w:r>
        <w:rPr>
          <w:i/>
          <w:spacing w:val="-5"/>
          <w:sz w:val="20"/>
        </w:rPr>
        <w:t xml:space="preserve"> </w:t>
      </w:r>
      <w:r>
        <w:rPr>
          <w:i/>
          <w:sz w:val="20"/>
        </w:rPr>
        <w:t>Duty</w:t>
      </w:r>
      <w:r>
        <w:rPr>
          <w:i/>
          <w:spacing w:val="-4"/>
          <w:sz w:val="20"/>
        </w:rPr>
        <w:t xml:space="preserve"> </w:t>
      </w:r>
      <w:r>
        <w:rPr>
          <w:i/>
          <w:spacing w:val="-2"/>
          <w:sz w:val="20"/>
        </w:rPr>
        <w:t>Measures</w:t>
      </w:r>
      <w:r>
        <w:rPr>
          <w:i/>
          <w:sz w:val="20"/>
        </w:rPr>
        <w:tab/>
      </w:r>
      <w:r>
        <w:rPr>
          <w:sz w:val="20"/>
        </w:rPr>
        <w:t>Australia's</w:t>
      </w:r>
      <w:r>
        <w:rPr>
          <w:spacing w:val="-7"/>
          <w:sz w:val="20"/>
        </w:rPr>
        <w:t xml:space="preserve"> </w:t>
      </w:r>
      <w:r>
        <w:rPr>
          <w:sz w:val="20"/>
        </w:rPr>
        <w:t>First</w:t>
      </w:r>
      <w:r>
        <w:rPr>
          <w:spacing w:val="-2"/>
          <w:sz w:val="20"/>
        </w:rPr>
        <w:t xml:space="preserve"> </w:t>
      </w:r>
      <w:r>
        <w:rPr>
          <w:sz w:val="20"/>
        </w:rPr>
        <w:t>Written</w:t>
      </w:r>
      <w:r>
        <w:rPr>
          <w:spacing w:val="-2"/>
          <w:sz w:val="20"/>
        </w:rPr>
        <w:t xml:space="preserve"> Submission</w:t>
      </w:r>
    </w:p>
    <w:p w14:paraId="51DE7EFC" w14:textId="77777777" w:rsidR="0010369C" w:rsidRDefault="008E43AE">
      <w:pPr>
        <w:tabs>
          <w:tab w:val="left" w:pos="8228"/>
        </w:tabs>
        <w:spacing w:before="1"/>
        <w:ind w:left="239"/>
        <w:rPr>
          <w:sz w:val="20"/>
        </w:rPr>
      </w:pPr>
      <w:r>
        <w:pict w14:anchorId="51DE9E57">
          <v:rect id="docshape176" o:spid="_x0000_s3100" style="position:absolute;left:0;text-align:left;margin-left:69.9pt;margin-top:14.1pt;width:453.55pt;height:16.05pt;z-index:-251195904;mso-wrap-distance-left:0;mso-wrap-distance-right:0;mso-position-horizontal-relative:page" fillcolor="black" stroked="f">
            <w10:wrap type="topAndBottom" anchorx="page"/>
          </v:rect>
        </w:pict>
      </w:r>
      <w:r>
        <w:pict w14:anchorId="51DE9E58">
          <v:rect id="docshape177" o:spid="_x0000_s3099" style="position:absolute;left:0;text-align:left;margin-left:69.9pt;margin-top:36.05pt;width:453.55pt;height:16.05pt;z-index:-251194880;mso-wrap-distance-left:0;mso-wrap-distance-right:0;mso-position-horizontal-relative:page" fillcolor="black" stroked="f">
            <w10:wrap type="topAndBottom" anchorx="page"/>
          </v:rect>
        </w:pict>
      </w:r>
      <w:r>
        <w:pict w14:anchorId="51DE9E59">
          <v:rect id="docshape178" o:spid="_x0000_s3098" style="position:absolute;left:0;text-align:left;margin-left:69.9pt;margin-top:58pt;width:453.45pt;height:16.05pt;z-index:-251193856;mso-wrap-distance-left:0;mso-wrap-distance-right:0;mso-position-horizontal-relative:page" fillcolor="black" stroked="f">
            <w10:wrap type="topAndBottom" anchorx="page"/>
          </v:rect>
        </w:pict>
      </w:r>
      <w:r>
        <w:pict w14:anchorId="51DE9E5A">
          <v:rect id="docshape179" o:spid="_x0000_s3097" style="position:absolute;left:0;text-align:left;margin-left:69.9pt;margin-top:80.05pt;width:405.05pt;height:16.05pt;z-index:-251192832;mso-wrap-distance-left:0;mso-wrap-distance-right:0;mso-position-horizontal-relative:page" fillcolor="black" stroked="f">
            <w10:wrap type="topAndBottom" anchorx="page"/>
          </v:rect>
        </w:pict>
      </w:r>
      <w:r>
        <w:rPr>
          <w:i/>
          <w:sz w:val="20"/>
        </w:rPr>
        <w:t>on</w:t>
      </w:r>
      <w:r>
        <w:rPr>
          <w:i/>
          <w:spacing w:val="-1"/>
          <w:sz w:val="20"/>
        </w:rPr>
        <w:t xml:space="preserve"> </w:t>
      </w:r>
      <w:r>
        <w:rPr>
          <w:i/>
          <w:sz w:val="20"/>
        </w:rPr>
        <w:t>Wine</w:t>
      </w:r>
      <w:r>
        <w:rPr>
          <w:i/>
          <w:spacing w:val="-1"/>
          <w:sz w:val="20"/>
        </w:rPr>
        <w:t xml:space="preserve"> </w:t>
      </w:r>
      <w:r>
        <w:rPr>
          <w:i/>
          <w:sz w:val="20"/>
        </w:rPr>
        <w:t>from</w:t>
      </w:r>
      <w:r>
        <w:rPr>
          <w:i/>
          <w:spacing w:val="-3"/>
          <w:sz w:val="20"/>
        </w:rPr>
        <w:t xml:space="preserve"> </w:t>
      </w:r>
      <w:r>
        <w:rPr>
          <w:i/>
          <w:sz w:val="20"/>
        </w:rPr>
        <w:t>Australia</w:t>
      </w:r>
      <w:r>
        <w:rPr>
          <w:i/>
          <w:spacing w:val="-1"/>
          <w:sz w:val="20"/>
        </w:rPr>
        <w:t xml:space="preserve"> </w:t>
      </w:r>
      <w:r>
        <w:rPr>
          <w:spacing w:val="-2"/>
          <w:sz w:val="20"/>
        </w:rPr>
        <w:t>(DS602)</w:t>
      </w:r>
      <w:r>
        <w:rPr>
          <w:sz w:val="20"/>
        </w:rPr>
        <w:tab/>
        <w:t>29</w:t>
      </w:r>
      <w:r>
        <w:rPr>
          <w:spacing w:val="-1"/>
          <w:sz w:val="20"/>
        </w:rPr>
        <w:t xml:space="preserve"> </w:t>
      </w:r>
      <w:r>
        <w:rPr>
          <w:sz w:val="20"/>
        </w:rPr>
        <w:t>April</w:t>
      </w:r>
      <w:r>
        <w:rPr>
          <w:spacing w:val="-2"/>
          <w:sz w:val="20"/>
        </w:rPr>
        <w:t xml:space="preserve"> </w:t>
      </w:r>
      <w:r>
        <w:rPr>
          <w:spacing w:val="-4"/>
          <w:sz w:val="20"/>
        </w:rPr>
        <w:t>2022</w:t>
      </w:r>
    </w:p>
    <w:p w14:paraId="51DE7EFD" w14:textId="77777777" w:rsidR="0010369C" w:rsidRDefault="0010369C">
      <w:pPr>
        <w:pStyle w:val="BodyText"/>
        <w:spacing w:before="8"/>
        <w:rPr>
          <w:sz w:val="7"/>
        </w:rPr>
      </w:pPr>
    </w:p>
    <w:p w14:paraId="51DE7EFE" w14:textId="77777777" w:rsidR="0010369C" w:rsidRDefault="0010369C">
      <w:pPr>
        <w:pStyle w:val="BodyText"/>
        <w:spacing w:before="8"/>
        <w:rPr>
          <w:sz w:val="7"/>
        </w:rPr>
      </w:pPr>
    </w:p>
    <w:p w14:paraId="51DE7EFF" w14:textId="77777777" w:rsidR="0010369C" w:rsidRDefault="0010369C">
      <w:pPr>
        <w:pStyle w:val="BodyText"/>
        <w:spacing w:before="9"/>
        <w:rPr>
          <w:sz w:val="7"/>
        </w:rPr>
      </w:pPr>
    </w:p>
    <w:p w14:paraId="51DE7F00" w14:textId="77777777" w:rsidR="0010369C" w:rsidRDefault="0010369C">
      <w:pPr>
        <w:pStyle w:val="BodyText"/>
        <w:spacing w:before="8" w:after="1"/>
        <w:rPr>
          <w:sz w:val="22"/>
        </w:rPr>
      </w:pPr>
    </w:p>
    <w:tbl>
      <w:tblPr>
        <w:tblW w:w="0" w:type="auto"/>
        <w:tblInd w:w="226" w:type="dxa"/>
        <w:tblLayout w:type="fixed"/>
        <w:tblCellMar>
          <w:left w:w="0" w:type="dxa"/>
          <w:right w:w="0" w:type="dxa"/>
        </w:tblCellMar>
        <w:tblLook w:val="01E0" w:firstRow="1" w:lastRow="1" w:firstColumn="1" w:lastColumn="1" w:noHBand="0" w:noVBand="0"/>
      </w:tblPr>
      <w:tblGrid>
        <w:gridCol w:w="997"/>
        <w:gridCol w:w="342"/>
        <w:gridCol w:w="3543"/>
        <w:gridCol w:w="4247"/>
      </w:tblGrid>
      <w:tr w:rsidR="0010369C" w14:paraId="51DE7F03" w14:textId="77777777">
        <w:trPr>
          <w:trHeight w:val="320"/>
        </w:trPr>
        <w:tc>
          <w:tcPr>
            <w:tcW w:w="997" w:type="dxa"/>
            <w:tcBorders>
              <w:bottom w:val="single" w:sz="48" w:space="0" w:color="FFFFFF"/>
            </w:tcBorders>
          </w:tcPr>
          <w:p w14:paraId="51DE7F01" w14:textId="77777777" w:rsidR="0010369C" w:rsidRDefault="008E43AE">
            <w:pPr>
              <w:pStyle w:val="TableParagraph"/>
              <w:spacing w:line="291" w:lineRule="exact"/>
              <w:ind w:right="-29"/>
              <w:jc w:val="right"/>
              <w:rPr>
                <w:sz w:val="24"/>
              </w:rPr>
            </w:pPr>
            <w:r>
              <w:rPr>
                <w:spacing w:val="-5"/>
                <w:sz w:val="24"/>
              </w:rPr>
              <w:t>[[</w:t>
            </w:r>
          </w:p>
        </w:tc>
        <w:tc>
          <w:tcPr>
            <w:tcW w:w="8132" w:type="dxa"/>
            <w:gridSpan w:val="3"/>
            <w:tcBorders>
              <w:bottom w:val="single" w:sz="48" w:space="0" w:color="FFFFFF"/>
            </w:tcBorders>
            <w:shd w:val="clear" w:color="auto" w:fill="000000"/>
          </w:tcPr>
          <w:p w14:paraId="51DE7F02" w14:textId="77777777" w:rsidR="0010369C" w:rsidRDefault="0010369C">
            <w:pPr>
              <w:pStyle w:val="TableParagraph"/>
              <w:rPr>
                <w:rFonts w:ascii="Times New Roman"/>
              </w:rPr>
            </w:pPr>
          </w:p>
        </w:tc>
      </w:tr>
      <w:tr w:rsidR="0010369C" w14:paraId="51DE7F05" w14:textId="77777777">
        <w:trPr>
          <w:trHeight w:val="319"/>
        </w:trPr>
        <w:tc>
          <w:tcPr>
            <w:tcW w:w="9129" w:type="dxa"/>
            <w:gridSpan w:val="4"/>
            <w:tcBorders>
              <w:top w:val="single" w:sz="48" w:space="0" w:color="FFFFFF"/>
              <w:bottom w:val="single" w:sz="48" w:space="0" w:color="FFFFFF"/>
            </w:tcBorders>
            <w:shd w:val="clear" w:color="auto" w:fill="000000"/>
          </w:tcPr>
          <w:p w14:paraId="51DE7F04" w14:textId="77777777" w:rsidR="0010369C" w:rsidRDefault="0010369C">
            <w:pPr>
              <w:pStyle w:val="TableParagraph"/>
              <w:rPr>
                <w:rFonts w:ascii="Times New Roman"/>
              </w:rPr>
            </w:pPr>
          </w:p>
        </w:tc>
      </w:tr>
      <w:tr w:rsidR="0010369C" w14:paraId="51DE7F08" w14:textId="77777777">
        <w:trPr>
          <w:trHeight w:val="319"/>
        </w:trPr>
        <w:tc>
          <w:tcPr>
            <w:tcW w:w="4882" w:type="dxa"/>
            <w:gridSpan w:val="3"/>
            <w:tcBorders>
              <w:top w:val="single" w:sz="48" w:space="0" w:color="FFFFFF"/>
              <w:bottom w:val="single" w:sz="48" w:space="0" w:color="FFFFFF"/>
              <w:right w:val="single" w:sz="36" w:space="0" w:color="FFFFFF"/>
            </w:tcBorders>
            <w:shd w:val="clear" w:color="auto" w:fill="000000"/>
          </w:tcPr>
          <w:p w14:paraId="51DE7F06" w14:textId="77777777" w:rsidR="0010369C" w:rsidRDefault="0010369C">
            <w:pPr>
              <w:pStyle w:val="TableParagraph"/>
              <w:rPr>
                <w:rFonts w:ascii="Times New Roman"/>
              </w:rPr>
            </w:pPr>
          </w:p>
        </w:tc>
        <w:tc>
          <w:tcPr>
            <w:tcW w:w="4247" w:type="dxa"/>
            <w:tcBorders>
              <w:top w:val="single" w:sz="48" w:space="0" w:color="FFFFFF"/>
              <w:left w:val="single" w:sz="36" w:space="0" w:color="FFFFFF"/>
              <w:bottom w:val="single" w:sz="48" w:space="0" w:color="FFFFFF"/>
            </w:tcBorders>
            <w:shd w:val="clear" w:color="auto" w:fill="000000"/>
          </w:tcPr>
          <w:p w14:paraId="51DE7F07" w14:textId="77777777" w:rsidR="0010369C" w:rsidRDefault="0010369C">
            <w:pPr>
              <w:pStyle w:val="TableParagraph"/>
              <w:rPr>
                <w:rFonts w:ascii="Times New Roman"/>
              </w:rPr>
            </w:pPr>
          </w:p>
        </w:tc>
      </w:tr>
      <w:tr w:rsidR="0010369C" w14:paraId="51DE7F0A" w14:textId="77777777">
        <w:trPr>
          <w:trHeight w:val="319"/>
        </w:trPr>
        <w:tc>
          <w:tcPr>
            <w:tcW w:w="9129" w:type="dxa"/>
            <w:gridSpan w:val="4"/>
            <w:tcBorders>
              <w:top w:val="single" w:sz="48" w:space="0" w:color="FFFFFF"/>
              <w:bottom w:val="single" w:sz="48" w:space="0" w:color="FFFFFF"/>
            </w:tcBorders>
            <w:shd w:val="clear" w:color="auto" w:fill="000000"/>
          </w:tcPr>
          <w:p w14:paraId="51DE7F09" w14:textId="77777777" w:rsidR="0010369C" w:rsidRDefault="0010369C">
            <w:pPr>
              <w:pStyle w:val="TableParagraph"/>
              <w:rPr>
                <w:rFonts w:ascii="Times New Roman"/>
              </w:rPr>
            </w:pPr>
          </w:p>
        </w:tc>
      </w:tr>
      <w:tr w:rsidR="0010369C" w14:paraId="51DE7F0C" w14:textId="77777777">
        <w:trPr>
          <w:trHeight w:val="320"/>
        </w:trPr>
        <w:tc>
          <w:tcPr>
            <w:tcW w:w="9129" w:type="dxa"/>
            <w:gridSpan w:val="4"/>
            <w:tcBorders>
              <w:top w:val="single" w:sz="48" w:space="0" w:color="FFFFFF"/>
              <w:bottom w:val="single" w:sz="48" w:space="0" w:color="FFFFFF"/>
            </w:tcBorders>
            <w:shd w:val="clear" w:color="auto" w:fill="000000"/>
          </w:tcPr>
          <w:p w14:paraId="51DE7F0B" w14:textId="77777777" w:rsidR="0010369C" w:rsidRDefault="0010369C">
            <w:pPr>
              <w:pStyle w:val="TableParagraph"/>
              <w:rPr>
                <w:rFonts w:ascii="Times New Roman"/>
              </w:rPr>
            </w:pPr>
          </w:p>
        </w:tc>
      </w:tr>
      <w:tr w:rsidR="0010369C" w14:paraId="51DE7F0F" w14:textId="77777777">
        <w:trPr>
          <w:trHeight w:val="320"/>
        </w:trPr>
        <w:tc>
          <w:tcPr>
            <w:tcW w:w="1339" w:type="dxa"/>
            <w:gridSpan w:val="2"/>
            <w:tcBorders>
              <w:top w:val="single" w:sz="48" w:space="0" w:color="FFFFFF"/>
            </w:tcBorders>
            <w:shd w:val="clear" w:color="auto" w:fill="000000"/>
          </w:tcPr>
          <w:p w14:paraId="51DE7F0D" w14:textId="77777777" w:rsidR="0010369C" w:rsidRDefault="0010369C">
            <w:pPr>
              <w:pStyle w:val="TableParagraph"/>
              <w:rPr>
                <w:rFonts w:ascii="Times New Roman"/>
              </w:rPr>
            </w:pPr>
          </w:p>
        </w:tc>
        <w:tc>
          <w:tcPr>
            <w:tcW w:w="7790" w:type="dxa"/>
            <w:gridSpan w:val="2"/>
            <w:tcBorders>
              <w:top w:val="single" w:sz="48" w:space="0" w:color="FFFFFF"/>
            </w:tcBorders>
          </w:tcPr>
          <w:p w14:paraId="51DE7F0E" w14:textId="77777777" w:rsidR="0010369C" w:rsidRDefault="008E43AE">
            <w:pPr>
              <w:pStyle w:val="TableParagraph"/>
              <w:spacing w:line="290" w:lineRule="exact"/>
              <w:ind w:left="19"/>
              <w:rPr>
                <w:sz w:val="24"/>
              </w:rPr>
            </w:pPr>
            <w:r>
              <w:rPr>
                <w:spacing w:val="-5"/>
                <w:sz w:val="24"/>
              </w:rPr>
              <w:t>]]</w:t>
            </w:r>
          </w:p>
        </w:tc>
      </w:tr>
    </w:tbl>
    <w:p w14:paraId="51DE7F10" w14:textId="77777777" w:rsidR="0010369C" w:rsidRDefault="0010369C">
      <w:pPr>
        <w:pStyle w:val="BodyText"/>
        <w:spacing w:before="10"/>
        <w:rPr>
          <w:sz w:val="22"/>
        </w:rPr>
      </w:pPr>
    </w:p>
    <w:tbl>
      <w:tblPr>
        <w:tblW w:w="0" w:type="auto"/>
        <w:tblInd w:w="225" w:type="dxa"/>
        <w:tblLayout w:type="fixed"/>
        <w:tblCellMar>
          <w:left w:w="0" w:type="dxa"/>
          <w:right w:w="0" w:type="dxa"/>
        </w:tblCellMar>
        <w:tblLook w:val="01E0" w:firstRow="1" w:lastRow="1" w:firstColumn="1" w:lastColumn="1" w:noHBand="0" w:noVBand="0"/>
      </w:tblPr>
      <w:tblGrid>
        <w:gridCol w:w="997"/>
        <w:gridCol w:w="3503"/>
        <w:gridCol w:w="2480"/>
        <w:gridCol w:w="2149"/>
      </w:tblGrid>
      <w:tr w:rsidR="0010369C" w14:paraId="51DE7F13" w14:textId="77777777">
        <w:trPr>
          <w:trHeight w:val="320"/>
        </w:trPr>
        <w:tc>
          <w:tcPr>
            <w:tcW w:w="997" w:type="dxa"/>
            <w:tcBorders>
              <w:bottom w:val="single" w:sz="48" w:space="0" w:color="FFFFFF"/>
            </w:tcBorders>
          </w:tcPr>
          <w:p w14:paraId="51DE7F11" w14:textId="77777777" w:rsidR="0010369C" w:rsidRDefault="008E43AE">
            <w:pPr>
              <w:pStyle w:val="TableParagraph"/>
              <w:spacing w:line="291" w:lineRule="exact"/>
              <w:ind w:right="-29"/>
              <w:jc w:val="right"/>
              <w:rPr>
                <w:sz w:val="24"/>
              </w:rPr>
            </w:pPr>
            <w:r>
              <w:rPr>
                <w:spacing w:val="-5"/>
                <w:sz w:val="24"/>
              </w:rPr>
              <w:t>[[</w:t>
            </w:r>
          </w:p>
        </w:tc>
        <w:tc>
          <w:tcPr>
            <w:tcW w:w="8132" w:type="dxa"/>
            <w:gridSpan w:val="3"/>
            <w:tcBorders>
              <w:bottom w:val="single" w:sz="48" w:space="0" w:color="FFFFFF"/>
            </w:tcBorders>
            <w:shd w:val="clear" w:color="auto" w:fill="000000"/>
          </w:tcPr>
          <w:p w14:paraId="51DE7F12" w14:textId="77777777" w:rsidR="0010369C" w:rsidRDefault="0010369C">
            <w:pPr>
              <w:pStyle w:val="TableParagraph"/>
              <w:rPr>
                <w:rFonts w:ascii="Times New Roman"/>
              </w:rPr>
            </w:pPr>
          </w:p>
        </w:tc>
      </w:tr>
      <w:tr w:rsidR="0010369C" w14:paraId="51DE7F16" w14:textId="77777777">
        <w:trPr>
          <w:trHeight w:val="319"/>
        </w:trPr>
        <w:tc>
          <w:tcPr>
            <w:tcW w:w="4500" w:type="dxa"/>
            <w:gridSpan w:val="2"/>
            <w:tcBorders>
              <w:top w:val="single" w:sz="48" w:space="0" w:color="FFFFFF"/>
              <w:bottom w:val="single" w:sz="48" w:space="0" w:color="FFFFFF"/>
              <w:right w:val="single" w:sz="24" w:space="0" w:color="FFFFFF"/>
            </w:tcBorders>
            <w:shd w:val="clear" w:color="auto" w:fill="000000"/>
          </w:tcPr>
          <w:p w14:paraId="51DE7F14" w14:textId="77777777" w:rsidR="0010369C" w:rsidRDefault="0010369C">
            <w:pPr>
              <w:pStyle w:val="TableParagraph"/>
              <w:rPr>
                <w:rFonts w:ascii="Times New Roman"/>
              </w:rPr>
            </w:pPr>
          </w:p>
        </w:tc>
        <w:tc>
          <w:tcPr>
            <w:tcW w:w="4629" w:type="dxa"/>
            <w:gridSpan w:val="2"/>
            <w:tcBorders>
              <w:top w:val="single" w:sz="48" w:space="0" w:color="FFFFFF"/>
              <w:left w:val="single" w:sz="24" w:space="0" w:color="FFFFFF"/>
              <w:bottom w:val="single" w:sz="48" w:space="0" w:color="FFFFFF"/>
            </w:tcBorders>
            <w:shd w:val="clear" w:color="auto" w:fill="000000"/>
          </w:tcPr>
          <w:p w14:paraId="51DE7F15" w14:textId="77777777" w:rsidR="0010369C" w:rsidRDefault="0010369C">
            <w:pPr>
              <w:pStyle w:val="TableParagraph"/>
              <w:rPr>
                <w:rFonts w:ascii="Times New Roman"/>
              </w:rPr>
            </w:pPr>
          </w:p>
        </w:tc>
      </w:tr>
      <w:tr w:rsidR="0010369C" w14:paraId="51DE7F18" w14:textId="77777777">
        <w:trPr>
          <w:trHeight w:val="319"/>
        </w:trPr>
        <w:tc>
          <w:tcPr>
            <w:tcW w:w="9129" w:type="dxa"/>
            <w:gridSpan w:val="4"/>
            <w:tcBorders>
              <w:top w:val="single" w:sz="48" w:space="0" w:color="FFFFFF"/>
              <w:bottom w:val="single" w:sz="48" w:space="0" w:color="FFFFFF"/>
            </w:tcBorders>
            <w:shd w:val="clear" w:color="auto" w:fill="000000"/>
          </w:tcPr>
          <w:p w14:paraId="51DE7F17" w14:textId="77777777" w:rsidR="0010369C" w:rsidRDefault="0010369C">
            <w:pPr>
              <w:pStyle w:val="TableParagraph"/>
              <w:rPr>
                <w:rFonts w:ascii="Times New Roman"/>
              </w:rPr>
            </w:pPr>
          </w:p>
        </w:tc>
      </w:tr>
      <w:tr w:rsidR="0010369C" w14:paraId="51DE7F1A" w14:textId="77777777">
        <w:trPr>
          <w:trHeight w:val="319"/>
        </w:trPr>
        <w:tc>
          <w:tcPr>
            <w:tcW w:w="9129" w:type="dxa"/>
            <w:gridSpan w:val="4"/>
            <w:tcBorders>
              <w:top w:val="single" w:sz="48" w:space="0" w:color="FFFFFF"/>
              <w:bottom w:val="single" w:sz="48" w:space="0" w:color="FFFFFF"/>
            </w:tcBorders>
            <w:shd w:val="clear" w:color="auto" w:fill="000000"/>
          </w:tcPr>
          <w:p w14:paraId="51DE7F19" w14:textId="77777777" w:rsidR="0010369C" w:rsidRDefault="0010369C">
            <w:pPr>
              <w:pStyle w:val="TableParagraph"/>
              <w:rPr>
                <w:rFonts w:ascii="Times New Roman"/>
              </w:rPr>
            </w:pPr>
          </w:p>
        </w:tc>
      </w:tr>
      <w:tr w:rsidR="0010369C" w14:paraId="51DE7F1C" w14:textId="77777777">
        <w:trPr>
          <w:trHeight w:val="319"/>
        </w:trPr>
        <w:tc>
          <w:tcPr>
            <w:tcW w:w="9129" w:type="dxa"/>
            <w:gridSpan w:val="4"/>
            <w:tcBorders>
              <w:top w:val="single" w:sz="48" w:space="0" w:color="FFFFFF"/>
              <w:bottom w:val="single" w:sz="48" w:space="0" w:color="FFFFFF"/>
            </w:tcBorders>
            <w:shd w:val="clear" w:color="auto" w:fill="000000"/>
          </w:tcPr>
          <w:p w14:paraId="51DE7F1B" w14:textId="77777777" w:rsidR="0010369C" w:rsidRDefault="0010369C">
            <w:pPr>
              <w:pStyle w:val="TableParagraph"/>
              <w:rPr>
                <w:rFonts w:ascii="Times New Roman"/>
              </w:rPr>
            </w:pPr>
          </w:p>
        </w:tc>
      </w:tr>
      <w:tr w:rsidR="0010369C" w14:paraId="51DE7F1E" w14:textId="77777777">
        <w:trPr>
          <w:trHeight w:val="319"/>
        </w:trPr>
        <w:tc>
          <w:tcPr>
            <w:tcW w:w="9129" w:type="dxa"/>
            <w:gridSpan w:val="4"/>
            <w:tcBorders>
              <w:top w:val="single" w:sz="48" w:space="0" w:color="FFFFFF"/>
              <w:bottom w:val="single" w:sz="48" w:space="0" w:color="FFFFFF"/>
            </w:tcBorders>
            <w:shd w:val="clear" w:color="auto" w:fill="000000"/>
          </w:tcPr>
          <w:p w14:paraId="51DE7F1D" w14:textId="77777777" w:rsidR="0010369C" w:rsidRDefault="0010369C">
            <w:pPr>
              <w:pStyle w:val="TableParagraph"/>
              <w:rPr>
                <w:rFonts w:ascii="Times New Roman"/>
              </w:rPr>
            </w:pPr>
          </w:p>
        </w:tc>
      </w:tr>
      <w:tr w:rsidR="0010369C" w14:paraId="51DE7F20" w14:textId="77777777">
        <w:trPr>
          <w:trHeight w:val="319"/>
        </w:trPr>
        <w:tc>
          <w:tcPr>
            <w:tcW w:w="9129" w:type="dxa"/>
            <w:gridSpan w:val="4"/>
            <w:tcBorders>
              <w:top w:val="single" w:sz="48" w:space="0" w:color="FFFFFF"/>
              <w:bottom w:val="single" w:sz="48" w:space="0" w:color="FFFFFF"/>
            </w:tcBorders>
            <w:shd w:val="clear" w:color="auto" w:fill="000000"/>
          </w:tcPr>
          <w:p w14:paraId="51DE7F1F" w14:textId="77777777" w:rsidR="0010369C" w:rsidRDefault="0010369C">
            <w:pPr>
              <w:pStyle w:val="TableParagraph"/>
              <w:rPr>
                <w:rFonts w:ascii="Times New Roman"/>
              </w:rPr>
            </w:pPr>
          </w:p>
        </w:tc>
      </w:tr>
      <w:tr w:rsidR="0010369C" w14:paraId="51DE7F22" w14:textId="77777777">
        <w:trPr>
          <w:trHeight w:val="319"/>
        </w:trPr>
        <w:tc>
          <w:tcPr>
            <w:tcW w:w="9129" w:type="dxa"/>
            <w:gridSpan w:val="4"/>
            <w:tcBorders>
              <w:top w:val="single" w:sz="48" w:space="0" w:color="FFFFFF"/>
              <w:bottom w:val="single" w:sz="48" w:space="0" w:color="FFFFFF"/>
            </w:tcBorders>
            <w:shd w:val="clear" w:color="auto" w:fill="000000"/>
          </w:tcPr>
          <w:p w14:paraId="51DE7F21" w14:textId="77777777" w:rsidR="0010369C" w:rsidRDefault="0010369C">
            <w:pPr>
              <w:pStyle w:val="TableParagraph"/>
              <w:rPr>
                <w:rFonts w:ascii="Times New Roman"/>
              </w:rPr>
            </w:pPr>
          </w:p>
        </w:tc>
      </w:tr>
      <w:tr w:rsidR="0010369C" w14:paraId="51DE7F24" w14:textId="77777777">
        <w:trPr>
          <w:trHeight w:val="319"/>
        </w:trPr>
        <w:tc>
          <w:tcPr>
            <w:tcW w:w="9129" w:type="dxa"/>
            <w:gridSpan w:val="4"/>
            <w:tcBorders>
              <w:top w:val="single" w:sz="48" w:space="0" w:color="FFFFFF"/>
              <w:bottom w:val="single" w:sz="48" w:space="0" w:color="FFFFFF"/>
            </w:tcBorders>
            <w:shd w:val="clear" w:color="auto" w:fill="000000"/>
          </w:tcPr>
          <w:p w14:paraId="51DE7F23" w14:textId="77777777" w:rsidR="0010369C" w:rsidRDefault="0010369C">
            <w:pPr>
              <w:pStyle w:val="TableParagraph"/>
              <w:rPr>
                <w:rFonts w:ascii="Times New Roman"/>
              </w:rPr>
            </w:pPr>
          </w:p>
        </w:tc>
      </w:tr>
      <w:tr w:rsidR="0010369C" w14:paraId="51DE7F27" w14:textId="77777777">
        <w:trPr>
          <w:trHeight w:val="320"/>
        </w:trPr>
        <w:tc>
          <w:tcPr>
            <w:tcW w:w="6980" w:type="dxa"/>
            <w:gridSpan w:val="3"/>
            <w:tcBorders>
              <w:top w:val="single" w:sz="48" w:space="0" w:color="FFFFFF"/>
            </w:tcBorders>
            <w:shd w:val="clear" w:color="auto" w:fill="000000"/>
          </w:tcPr>
          <w:p w14:paraId="51DE7F25" w14:textId="77777777" w:rsidR="0010369C" w:rsidRDefault="0010369C">
            <w:pPr>
              <w:pStyle w:val="TableParagraph"/>
              <w:rPr>
                <w:rFonts w:ascii="Times New Roman"/>
              </w:rPr>
            </w:pPr>
          </w:p>
        </w:tc>
        <w:tc>
          <w:tcPr>
            <w:tcW w:w="2149" w:type="dxa"/>
            <w:tcBorders>
              <w:top w:val="single" w:sz="48" w:space="0" w:color="FFFFFF"/>
            </w:tcBorders>
          </w:tcPr>
          <w:p w14:paraId="51DE7F26" w14:textId="77777777" w:rsidR="0010369C" w:rsidRDefault="008E43AE">
            <w:pPr>
              <w:pStyle w:val="TableParagraph"/>
              <w:spacing w:line="290" w:lineRule="exact"/>
              <w:ind w:left="20"/>
              <w:rPr>
                <w:sz w:val="24"/>
              </w:rPr>
            </w:pPr>
            <w:r>
              <w:rPr>
                <w:spacing w:val="-5"/>
                <w:sz w:val="24"/>
              </w:rPr>
              <w:t>]]</w:t>
            </w:r>
          </w:p>
        </w:tc>
      </w:tr>
    </w:tbl>
    <w:p w14:paraId="51DE7F28" w14:textId="77777777" w:rsidR="0010369C" w:rsidRDefault="0010369C">
      <w:pPr>
        <w:pStyle w:val="BodyText"/>
        <w:spacing w:before="10"/>
        <w:rPr>
          <w:sz w:val="18"/>
        </w:rPr>
      </w:pPr>
    </w:p>
    <w:p w14:paraId="51DE7F29" w14:textId="77777777" w:rsidR="0010369C" w:rsidRDefault="008E43AE">
      <w:pPr>
        <w:pStyle w:val="ListParagraph"/>
        <w:numPr>
          <w:ilvl w:val="3"/>
          <w:numId w:val="75"/>
        </w:numPr>
        <w:tabs>
          <w:tab w:val="left" w:pos="3642"/>
          <w:tab w:val="left" w:pos="3643"/>
        </w:tabs>
        <w:spacing w:before="52"/>
        <w:ind w:hanging="853"/>
        <w:rPr>
          <w:sz w:val="24"/>
        </w:rPr>
      </w:pPr>
      <w:r>
        <w:rPr>
          <w:sz w:val="24"/>
          <w:u w:val="single"/>
        </w:rPr>
        <w:t>Level</w:t>
      </w:r>
      <w:r>
        <w:rPr>
          <w:spacing w:val="-4"/>
          <w:sz w:val="24"/>
          <w:u w:val="single"/>
        </w:rPr>
        <w:t xml:space="preserve"> </w:t>
      </w:r>
      <w:r>
        <w:rPr>
          <w:sz w:val="24"/>
          <w:u w:val="single"/>
        </w:rPr>
        <w:t>of</w:t>
      </w:r>
      <w:r>
        <w:rPr>
          <w:spacing w:val="-5"/>
          <w:sz w:val="24"/>
          <w:u w:val="single"/>
        </w:rPr>
        <w:t xml:space="preserve"> </w:t>
      </w:r>
      <w:r>
        <w:rPr>
          <w:spacing w:val="-2"/>
          <w:sz w:val="24"/>
          <w:u w:val="single"/>
        </w:rPr>
        <w:t>Trade</w:t>
      </w:r>
    </w:p>
    <w:p w14:paraId="51DE7F2A" w14:textId="77777777" w:rsidR="0010369C" w:rsidRDefault="0010369C">
      <w:pPr>
        <w:pStyle w:val="BodyText"/>
        <w:spacing w:before="9"/>
        <w:rPr>
          <w:sz w:val="20"/>
        </w:rPr>
      </w:pPr>
    </w:p>
    <w:p w14:paraId="51DE7F2B" w14:textId="77777777" w:rsidR="0010369C" w:rsidRDefault="008E43AE">
      <w:pPr>
        <w:pStyle w:val="BodyText"/>
        <w:spacing w:before="52" w:line="360" w:lineRule="auto"/>
        <w:ind w:left="237" w:right="613" w:firstLine="852"/>
        <w:jc w:val="both"/>
      </w:pPr>
      <w:r>
        <w:rPr>
          <w:noProof/>
        </w:rPr>
        <w:drawing>
          <wp:anchor distT="0" distB="0" distL="0" distR="0" simplePos="0" relativeHeight="250816000" behindDoc="1" locked="0" layoutInCell="1" allowOverlap="1" wp14:anchorId="51DE9E5B" wp14:editId="51DE9E5C">
            <wp:simplePos x="0" y="0"/>
            <wp:positionH relativeFrom="page">
              <wp:posOffset>908303</wp:posOffset>
            </wp:positionH>
            <wp:positionV relativeFrom="paragraph">
              <wp:posOffset>81358</wp:posOffset>
            </wp:positionV>
            <wp:extent cx="256031" cy="103631"/>
            <wp:effectExtent l="0" t="0" r="0" b="0"/>
            <wp:wrapNone/>
            <wp:docPr id="251" name="image1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image134.png"/>
                    <pic:cNvPicPr/>
                  </pic:nvPicPr>
                  <pic:blipFill>
                    <a:blip r:embed="rId228" cstate="print"/>
                    <a:stretch>
                      <a:fillRect/>
                    </a:stretch>
                  </pic:blipFill>
                  <pic:spPr>
                    <a:xfrm>
                      <a:off x="0" y="0"/>
                      <a:ext cx="256031" cy="103631"/>
                    </a:xfrm>
                    <a:prstGeom prst="rect">
                      <a:avLst/>
                    </a:prstGeom>
                  </pic:spPr>
                </pic:pic>
              </a:graphicData>
            </a:graphic>
          </wp:anchor>
        </w:drawing>
      </w:r>
      <w:r>
        <w:t>Australia submits the export sales of Australian bottled wine were also affected by level of trade issues. As Australia set out above in domestic sales, prices will fluctuate at different levels of trade due to the differing costs that arise. In the ordina</w:t>
      </w:r>
      <w:r>
        <w:t>ry course of trade, the higher the level, the greater the price that will be charged.</w:t>
      </w:r>
    </w:p>
    <w:p w14:paraId="51DE7F2C" w14:textId="77777777" w:rsidR="0010369C" w:rsidRDefault="0010369C">
      <w:pPr>
        <w:pStyle w:val="BodyText"/>
        <w:spacing w:before="11"/>
        <w:rPr>
          <w:sz w:val="8"/>
        </w:rPr>
      </w:pPr>
    </w:p>
    <w:p w14:paraId="51DE7F2D" w14:textId="77777777" w:rsidR="0010369C" w:rsidRDefault="008E43AE">
      <w:pPr>
        <w:spacing w:before="52"/>
        <w:ind w:left="1089"/>
        <w:rPr>
          <w:sz w:val="24"/>
        </w:rPr>
      </w:pPr>
      <w:r>
        <w:rPr>
          <w:noProof/>
        </w:rPr>
        <w:drawing>
          <wp:anchor distT="0" distB="0" distL="0" distR="0" simplePos="0" relativeHeight="250618368" behindDoc="0" locked="0" layoutInCell="1" allowOverlap="1" wp14:anchorId="51DE9E5D" wp14:editId="51DE9E5E">
            <wp:simplePos x="0" y="0"/>
            <wp:positionH relativeFrom="page">
              <wp:posOffset>908303</wp:posOffset>
            </wp:positionH>
            <wp:positionV relativeFrom="paragraph">
              <wp:posOffset>81949</wp:posOffset>
            </wp:positionV>
            <wp:extent cx="256031" cy="100753"/>
            <wp:effectExtent l="0" t="0" r="0" b="0"/>
            <wp:wrapNone/>
            <wp:docPr id="253" name="image1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image135.png"/>
                    <pic:cNvPicPr/>
                  </pic:nvPicPr>
                  <pic:blipFill>
                    <a:blip r:embed="rId229" cstate="print"/>
                    <a:stretch>
                      <a:fillRect/>
                    </a:stretch>
                  </pic:blipFill>
                  <pic:spPr>
                    <a:xfrm>
                      <a:off x="0" y="0"/>
                      <a:ext cx="256031" cy="100753"/>
                    </a:xfrm>
                    <a:prstGeom prst="rect">
                      <a:avLst/>
                    </a:prstGeom>
                  </pic:spPr>
                </pic:pic>
              </a:graphicData>
            </a:graphic>
          </wp:anchor>
        </w:drawing>
      </w:r>
      <w:r>
        <w:pict w14:anchorId="51DE9E5F">
          <v:rect id="docshape180" o:spid="_x0000_s3096" style="position:absolute;left:0;text-align:left;margin-left:119.8pt;margin-top:2.7pt;width:403.6pt;height:16.05pt;z-index:251702784;mso-position-horizontal-relative:page;mso-position-vertical-relative:text" fillcolor="black" stroked="f">
            <w10:wrap anchorx="page"/>
          </v:rect>
        </w:pict>
      </w:r>
      <w:r>
        <w:rPr>
          <w:spacing w:val="-5"/>
          <w:sz w:val="24"/>
        </w:rPr>
        <w:t>[[</w:t>
      </w:r>
    </w:p>
    <w:p w14:paraId="51DE7F2E" w14:textId="77777777" w:rsidR="0010369C" w:rsidRDefault="008E43AE">
      <w:pPr>
        <w:pStyle w:val="BodyText"/>
        <w:spacing w:before="2"/>
        <w:rPr>
          <w:sz w:val="10"/>
        </w:rPr>
      </w:pPr>
      <w:r>
        <w:pict w14:anchorId="51DE9E60">
          <v:rect id="docshape181" o:spid="_x0000_s3095" style="position:absolute;margin-left:69.9pt;margin-top:7.45pt;width:453.5pt;height:16.05pt;z-index:-251191808;mso-wrap-distance-left:0;mso-wrap-distance-right:0;mso-position-horizontal-relative:page" fillcolor="black" stroked="f">
            <w10:wrap type="topAndBottom" anchorx="page"/>
          </v:rect>
        </w:pict>
      </w:r>
      <w:r>
        <w:pict w14:anchorId="51DE9E61">
          <v:rect id="docshape182" o:spid="_x0000_s3094" style="position:absolute;margin-left:69.95pt;margin-top:29.4pt;width:453.45pt;height:16.05pt;z-index:-251190784;mso-wrap-distance-left:0;mso-wrap-distance-right:0;mso-position-horizontal-relative:page" fillcolor="black" stroked="f">
            <w10:wrap type="topAndBottom" anchorx="page"/>
          </v:rect>
        </w:pict>
      </w:r>
    </w:p>
    <w:p w14:paraId="51DE7F2F" w14:textId="77777777" w:rsidR="0010369C" w:rsidRDefault="0010369C">
      <w:pPr>
        <w:pStyle w:val="BodyText"/>
        <w:spacing w:before="8"/>
        <w:rPr>
          <w:sz w:val="7"/>
        </w:rPr>
      </w:pPr>
    </w:p>
    <w:p w14:paraId="51DE7F30" w14:textId="77777777" w:rsidR="0010369C" w:rsidRDefault="0010369C">
      <w:pPr>
        <w:pStyle w:val="BodyText"/>
        <w:rPr>
          <w:sz w:val="20"/>
        </w:rPr>
      </w:pPr>
    </w:p>
    <w:p w14:paraId="51DE7F31" w14:textId="77777777" w:rsidR="0010369C" w:rsidRDefault="008E43AE">
      <w:pPr>
        <w:pStyle w:val="BodyText"/>
        <w:spacing w:before="10"/>
        <w:rPr>
          <w:sz w:val="14"/>
        </w:rPr>
      </w:pPr>
      <w:r>
        <w:pict w14:anchorId="51DE9E62">
          <v:rect id="docshape183" o:spid="_x0000_s3093" style="position:absolute;margin-left:70.9pt;margin-top:10.3pt;width:2in;height:.8pt;z-index:-251189760;mso-wrap-distance-left:0;mso-wrap-distance-right:0;mso-position-horizontal-relative:page" fillcolor="black" stroked="f">
            <w10:wrap type="topAndBottom" anchorx="page"/>
          </v:rect>
        </w:pict>
      </w:r>
    </w:p>
    <w:p w14:paraId="51DE7F32" w14:textId="77777777" w:rsidR="0010369C" w:rsidRDefault="0010369C">
      <w:pPr>
        <w:pStyle w:val="BodyText"/>
        <w:spacing w:before="8"/>
        <w:rPr>
          <w:sz w:val="5"/>
        </w:rPr>
      </w:pPr>
    </w:p>
    <w:p w14:paraId="51DE7F33" w14:textId="77777777" w:rsidR="0010369C" w:rsidRDefault="0010369C">
      <w:pPr>
        <w:rPr>
          <w:sz w:val="5"/>
        </w:rPr>
        <w:sectPr w:rsidR="0010369C">
          <w:pgSz w:w="11910" w:h="16840"/>
          <w:pgMar w:top="880" w:right="800" w:bottom="980" w:left="1180" w:header="569" w:footer="788" w:gutter="0"/>
          <w:cols w:space="720"/>
        </w:sectPr>
      </w:pPr>
    </w:p>
    <w:p w14:paraId="51DE7F34" w14:textId="77777777" w:rsidR="0010369C" w:rsidRDefault="008E43AE">
      <w:pPr>
        <w:spacing w:before="74" w:line="158" w:lineRule="auto"/>
        <w:ind w:left="238"/>
        <w:rPr>
          <w:sz w:val="18"/>
        </w:rPr>
      </w:pPr>
      <w:r>
        <w:rPr>
          <w:noProof/>
        </w:rPr>
        <w:drawing>
          <wp:anchor distT="0" distB="0" distL="0" distR="0" simplePos="0" relativeHeight="250813952" behindDoc="1" locked="0" layoutInCell="1" allowOverlap="1" wp14:anchorId="51DE9E63" wp14:editId="51DE9E64">
            <wp:simplePos x="0" y="0"/>
            <wp:positionH relativeFrom="page">
              <wp:posOffset>908303</wp:posOffset>
            </wp:positionH>
            <wp:positionV relativeFrom="page">
              <wp:posOffset>2166958</wp:posOffset>
            </wp:positionV>
            <wp:extent cx="255117" cy="100393"/>
            <wp:effectExtent l="0" t="0" r="0" b="0"/>
            <wp:wrapNone/>
            <wp:docPr id="255" name="image1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image136.png"/>
                    <pic:cNvPicPr/>
                  </pic:nvPicPr>
                  <pic:blipFill>
                    <a:blip r:embed="rId230" cstate="print"/>
                    <a:stretch>
                      <a:fillRect/>
                    </a:stretch>
                  </pic:blipFill>
                  <pic:spPr>
                    <a:xfrm>
                      <a:off x="0" y="0"/>
                      <a:ext cx="255117" cy="100393"/>
                    </a:xfrm>
                    <a:prstGeom prst="rect">
                      <a:avLst/>
                    </a:prstGeom>
                  </pic:spPr>
                </pic:pic>
              </a:graphicData>
            </a:graphic>
          </wp:anchor>
        </w:drawing>
      </w:r>
      <w:r>
        <w:rPr>
          <w:noProof/>
        </w:rPr>
        <w:drawing>
          <wp:anchor distT="0" distB="0" distL="0" distR="0" simplePos="0" relativeHeight="250814976" behindDoc="1" locked="0" layoutInCell="1" allowOverlap="1" wp14:anchorId="51DE9E65" wp14:editId="51DE9E66">
            <wp:simplePos x="0" y="0"/>
            <wp:positionH relativeFrom="page">
              <wp:posOffset>908303</wp:posOffset>
            </wp:positionH>
            <wp:positionV relativeFrom="page">
              <wp:posOffset>3941063</wp:posOffset>
            </wp:positionV>
            <wp:extent cx="256031" cy="103631"/>
            <wp:effectExtent l="0" t="0" r="0" b="0"/>
            <wp:wrapNone/>
            <wp:docPr id="257" name="image1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image137.png"/>
                    <pic:cNvPicPr/>
                  </pic:nvPicPr>
                  <pic:blipFill>
                    <a:blip r:embed="rId231" cstate="print"/>
                    <a:stretch>
                      <a:fillRect/>
                    </a:stretch>
                  </pic:blipFill>
                  <pic:spPr>
                    <a:xfrm>
                      <a:off x="0" y="0"/>
                      <a:ext cx="256031" cy="103631"/>
                    </a:xfrm>
                    <a:prstGeom prst="rect">
                      <a:avLst/>
                    </a:prstGeom>
                  </pic:spPr>
                </pic:pic>
              </a:graphicData>
            </a:graphic>
          </wp:anchor>
        </w:drawing>
      </w:r>
      <w:r>
        <w:pict w14:anchorId="51DE9E67">
          <v:shape id="docshape184" o:spid="_x0000_s3092" style="position:absolute;left:0;text-align:left;margin-left:86.65pt;margin-top:2.35pt;width:261.5pt;height:23.05pt;z-index:251703808;mso-position-horizontal-relative:page;mso-position-vertical-relative:text" coordorigin="1733,47" coordsize="5230,461" path="m6962,47r-5229,l1733,266r,22l1733,507r5229,l6962,288r,-22l6962,47xe" fillcolor="black" stroked="f">
            <v:path arrowok="t"/>
            <w10:wrap anchorx="page"/>
          </v:shape>
        </w:pict>
      </w:r>
      <w:r>
        <w:rPr>
          <w:sz w:val="12"/>
        </w:rPr>
        <w:t>129</w:t>
      </w:r>
      <w:r>
        <w:rPr>
          <w:spacing w:val="11"/>
          <w:sz w:val="12"/>
        </w:rPr>
        <w:t xml:space="preserve"> </w:t>
      </w:r>
      <w:r>
        <w:rPr>
          <w:spacing w:val="-10"/>
          <w:position w:val="-5"/>
          <w:sz w:val="18"/>
        </w:rPr>
        <w:t>[</w:t>
      </w:r>
    </w:p>
    <w:p w14:paraId="51DE7F35" w14:textId="77777777" w:rsidR="0010369C" w:rsidRDefault="008E43AE">
      <w:pPr>
        <w:spacing w:before="33"/>
        <w:ind w:left="238"/>
        <w:rPr>
          <w:sz w:val="18"/>
        </w:rPr>
      </w:pPr>
      <w:r>
        <w:rPr>
          <w:sz w:val="12"/>
        </w:rPr>
        <w:t>130</w:t>
      </w:r>
      <w:r>
        <w:rPr>
          <w:spacing w:val="11"/>
          <w:sz w:val="12"/>
        </w:rPr>
        <w:t xml:space="preserve"> </w:t>
      </w:r>
      <w:r>
        <w:rPr>
          <w:spacing w:val="-10"/>
          <w:position w:val="-5"/>
          <w:sz w:val="18"/>
        </w:rPr>
        <w:t>[</w:t>
      </w:r>
    </w:p>
    <w:p w14:paraId="51DE7F36" w14:textId="77777777" w:rsidR="0010369C" w:rsidRDefault="008E43AE">
      <w:pPr>
        <w:spacing w:before="40"/>
        <w:ind w:left="238"/>
        <w:rPr>
          <w:sz w:val="18"/>
        </w:rPr>
      </w:pPr>
      <w:r>
        <w:br w:type="column"/>
      </w:r>
      <w:r>
        <w:rPr>
          <w:color w:val="5E5E5E"/>
          <w:sz w:val="18"/>
        </w:rPr>
        <w:t>(AUS‐5</w:t>
      </w:r>
      <w:r>
        <w:rPr>
          <w:color w:val="5E5E5E"/>
          <w:spacing w:val="-11"/>
          <w:sz w:val="18"/>
        </w:rPr>
        <w:t xml:space="preserve"> </w:t>
      </w:r>
      <w:r>
        <w:rPr>
          <w:color w:val="5E5E5E"/>
          <w:spacing w:val="-2"/>
          <w:sz w:val="18"/>
        </w:rPr>
        <w:t>(BCI)),</w:t>
      </w:r>
    </w:p>
    <w:p w14:paraId="51DE7F37" w14:textId="77777777" w:rsidR="0010369C" w:rsidRDefault="008E43AE">
      <w:pPr>
        <w:ind w:left="238"/>
        <w:rPr>
          <w:sz w:val="18"/>
        </w:rPr>
      </w:pPr>
      <w:r>
        <w:pict w14:anchorId="51DE9E68">
          <v:shape id="docshape185" o:spid="_x0000_s3091" style="position:absolute;left:0;text-align:left;margin-left:399.75pt;margin-top:-10.65pt;width:28.65pt;height:23.05pt;z-index:251704832;mso-position-horizontal-relative:page" coordorigin="7995,-213" coordsize="573,461" path="m8567,-213r-531,l8036,7r-41,l7995,248r572,l8567,28r,-21l8567,-213xe" fillcolor="black" stroked="f">
            <v:path arrowok="t"/>
            <w10:wrap anchorx="page"/>
          </v:shape>
        </w:pict>
      </w:r>
      <w:r>
        <w:rPr>
          <w:color w:val="5E5E5E"/>
          <w:sz w:val="18"/>
        </w:rPr>
        <w:t>(AUS‐5</w:t>
      </w:r>
      <w:r>
        <w:rPr>
          <w:color w:val="5E5E5E"/>
          <w:spacing w:val="-11"/>
          <w:sz w:val="18"/>
        </w:rPr>
        <w:t xml:space="preserve"> </w:t>
      </w:r>
      <w:r>
        <w:rPr>
          <w:color w:val="5E5E5E"/>
          <w:spacing w:val="-2"/>
          <w:sz w:val="18"/>
        </w:rPr>
        <w:t>(BCI))</w:t>
      </w:r>
    </w:p>
    <w:p w14:paraId="51DE7F38" w14:textId="77777777" w:rsidR="0010369C" w:rsidRDefault="008E43AE">
      <w:pPr>
        <w:spacing w:before="40"/>
        <w:ind w:left="238"/>
        <w:rPr>
          <w:sz w:val="18"/>
        </w:rPr>
      </w:pPr>
      <w:r>
        <w:br w:type="column"/>
      </w:r>
      <w:r>
        <w:rPr>
          <w:color w:val="5E5E5E"/>
          <w:spacing w:val="-5"/>
          <w:sz w:val="18"/>
        </w:rPr>
        <w:t>.</w:t>
      </w:r>
      <w:r>
        <w:rPr>
          <w:spacing w:val="-5"/>
          <w:sz w:val="18"/>
        </w:rPr>
        <w:t>]]</w:t>
      </w:r>
    </w:p>
    <w:p w14:paraId="51DE7F39" w14:textId="77777777" w:rsidR="0010369C" w:rsidRDefault="008E43AE">
      <w:pPr>
        <w:ind w:left="238"/>
        <w:rPr>
          <w:sz w:val="18"/>
        </w:rPr>
      </w:pPr>
      <w:r>
        <w:rPr>
          <w:color w:val="5E5E5E"/>
          <w:spacing w:val="-5"/>
          <w:sz w:val="18"/>
        </w:rPr>
        <w:t>.</w:t>
      </w:r>
      <w:r>
        <w:rPr>
          <w:spacing w:val="-5"/>
          <w:sz w:val="18"/>
        </w:rPr>
        <w:t>]]</w:t>
      </w:r>
    </w:p>
    <w:p w14:paraId="51DE7F3A" w14:textId="77777777" w:rsidR="0010369C" w:rsidRDefault="0010369C">
      <w:pPr>
        <w:rPr>
          <w:sz w:val="18"/>
        </w:rPr>
        <w:sectPr w:rsidR="0010369C">
          <w:type w:val="continuous"/>
          <w:pgSz w:w="11910" w:h="16840"/>
          <w:pgMar w:top="1460" w:right="800" w:bottom="280" w:left="1180" w:header="569" w:footer="788" w:gutter="0"/>
          <w:cols w:num="3" w:space="720" w:equalWidth="0">
            <w:col w:w="559" w:space="5047"/>
            <w:col w:w="1271" w:space="292"/>
            <w:col w:w="2761"/>
          </w:cols>
        </w:sectPr>
      </w:pPr>
    </w:p>
    <w:p w14:paraId="51DE7F3B" w14:textId="77777777" w:rsidR="0010369C" w:rsidRDefault="008E43AE">
      <w:pPr>
        <w:tabs>
          <w:tab w:val="left" w:pos="6426"/>
        </w:tabs>
        <w:ind w:left="238"/>
        <w:rPr>
          <w:sz w:val="20"/>
        </w:rPr>
      </w:pPr>
      <w:r>
        <w:rPr>
          <w:i/>
          <w:sz w:val="20"/>
        </w:rPr>
        <w:lastRenderedPageBreak/>
        <w:t>China</w:t>
      </w:r>
      <w:r>
        <w:rPr>
          <w:i/>
          <w:spacing w:val="-5"/>
          <w:sz w:val="20"/>
        </w:rPr>
        <w:t xml:space="preserve"> </w:t>
      </w:r>
      <w:r>
        <w:rPr>
          <w:i/>
          <w:sz w:val="20"/>
        </w:rPr>
        <w:t>–</w:t>
      </w:r>
      <w:r>
        <w:rPr>
          <w:i/>
          <w:spacing w:val="-5"/>
          <w:sz w:val="20"/>
        </w:rPr>
        <w:t xml:space="preserve"> </w:t>
      </w:r>
      <w:r>
        <w:rPr>
          <w:i/>
          <w:sz w:val="20"/>
        </w:rPr>
        <w:t>Anti‐Dumping</w:t>
      </w:r>
      <w:r>
        <w:rPr>
          <w:i/>
          <w:spacing w:val="-4"/>
          <w:sz w:val="20"/>
        </w:rPr>
        <w:t xml:space="preserve"> </w:t>
      </w:r>
      <w:r>
        <w:rPr>
          <w:i/>
          <w:sz w:val="20"/>
        </w:rPr>
        <w:t>and</w:t>
      </w:r>
      <w:r>
        <w:rPr>
          <w:i/>
          <w:spacing w:val="-5"/>
          <w:sz w:val="20"/>
        </w:rPr>
        <w:t xml:space="preserve"> </w:t>
      </w:r>
      <w:r>
        <w:rPr>
          <w:i/>
          <w:sz w:val="20"/>
        </w:rPr>
        <w:t>Countervailing</w:t>
      </w:r>
      <w:r>
        <w:rPr>
          <w:i/>
          <w:spacing w:val="-5"/>
          <w:sz w:val="20"/>
        </w:rPr>
        <w:t xml:space="preserve"> </w:t>
      </w:r>
      <w:r>
        <w:rPr>
          <w:i/>
          <w:sz w:val="20"/>
        </w:rPr>
        <w:t>Duty</w:t>
      </w:r>
      <w:r>
        <w:rPr>
          <w:i/>
          <w:spacing w:val="-4"/>
          <w:sz w:val="20"/>
        </w:rPr>
        <w:t xml:space="preserve"> </w:t>
      </w:r>
      <w:r>
        <w:rPr>
          <w:i/>
          <w:spacing w:val="-2"/>
          <w:sz w:val="20"/>
        </w:rPr>
        <w:t>Measures</w:t>
      </w:r>
      <w:r>
        <w:rPr>
          <w:i/>
          <w:sz w:val="20"/>
        </w:rPr>
        <w:tab/>
      </w:r>
      <w:r>
        <w:rPr>
          <w:sz w:val="20"/>
        </w:rPr>
        <w:t>Australia's</w:t>
      </w:r>
      <w:r>
        <w:rPr>
          <w:spacing w:val="-7"/>
          <w:sz w:val="20"/>
        </w:rPr>
        <w:t xml:space="preserve"> </w:t>
      </w:r>
      <w:r>
        <w:rPr>
          <w:sz w:val="20"/>
        </w:rPr>
        <w:t>First</w:t>
      </w:r>
      <w:r>
        <w:rPr>
          <w:spacing w:val="-2"/>
          <w:sz w:val="20"/>
        </w:rPr>
        <w:t xml:space="preserve"> </w:t>
      </w:r>
      <w:r>
        <w:rPr>
          <w:sz w:val="20"/>
        </w:rPr>
        <w:t>Written</w:t>
      </w:r>
      <w:r>
        <w:rPr>
          <w:spacing w:val="-2"/>
          <w:sz w:val="20"/>
        </w:rPr>
        <w:t xml:space="preserve"> Submission</w:t>
      </w:r>
    </w:p>
    <w:p w14:paraId="51DE7F3C" w14:textId="77777777" w:rsidR="0010369C" w:rsidRDefault="008E43AE">
      <w:pPr>
        <w:tabs>
          <w:tab w:val="left" w:pos="8228"/>
        </w:tabs>
        <w:spacing w:before="1"/>
        <w:ind w:left="239"/>
        <w:rPr>
          <w:sz w:val="20"/>
        </w:rPr>
      </w:pPr>
      <w:r>
        <w:pict w14:anchorId="51DE9E69">
          <v:shape id="docshape186" o:spid="_x0000_s3090" style="position:absolute;left:0;text-align:left;margin-left:69.9pt;margin-top:14.1pt;width:42.7pt;height:16.1pt;z-index:-251188736;mso-wrap-distance-left:0;mso-wrap-distance-right:0;mso-position-horizontal-relative:page" coordorigin="1398,282" coordsize="854,322" path="m2252,284r-241,l2011,282r-613,l1398,603r613,l2011,498r241,l2252,284xe" fillcolor="black" stroked="f">
            <v:path arrowok="t"/>
            <w10:wrap type="topAndBottom" anchorx="page"/>
          </v:shape>
        </w:pict>
      </w:r>
      <w:r>
        <w:pict w14:anchorId="51DE9E6A">
          <v:rect id="docshape187" o:spid="_x0000_s3089" style="position:absolute;left:0;text-align:left;margin-left:117.55pt;margin-top:14.1pt;width:405.75pt;height:16.05pt;z-index:-251187712;mso-wrap-distance-left:0;mso-wrap-distance-right:0;mso-position-horizontal-relative:page" fillcolor="black" stroked="f">
            <w10:wrap type="topAndBottom" anchorx="page"/>
          </v:rect>
        </w:pict>
      </w:r>
      <w:r>
        <w:pict w14:anchorId="51DE9E6B">
          <v:rect id="docshape188" o:spid="_x0000_s3088" style="position:absolute;left:0;text-align:left;margin-left:69.9pt;margin-top:36.05pt;width:453.4pt;height:16.05pt;z-index:-251186688;mso-wrap-distance-left:0;mso-wrap-distance-right:0;mso-position-horizontal-relative:page" fillcolor="black" stroked="f">
            <w10:wrap type="topAndBottom" anchorx="page"/>
          </v:rect>
        </w:pict>
      </w:r>
      <w:r>
        <w:pict w14:anchorId="51DE9E6C">
          <v:rect id="docshape189" o:spid="_x0000_s3087" style="position:absolute;left:0;text-align:left;margin-left:69.9pt;margin-top:58pt;width:453.55pt;height:16.05pt;z-index:-251185664;mso-wrap-distance-left:0;mso-wrap-distance-right:0;mso-position-horizontal-relative:page" fillcolor="black" stroked="f">
            <w10:wrap type="topAndBottom" anchorx="page"/>
          </v:rect>
        </w:pict>
      </w:r>
      <w:r>
        <w:pict w14:anchorId="51DE9E6D">
          <v:rect id="docshape190" o:spid="_x0000_s3086" style="position:absolute;left:0;text-align:left;margin-left:69.95pt;margin-top:79.95pt;width:453.45pt;height:16.05pt;z-index:-251184640;mso-wrap-distance-left:0;mso-wrap-distance-right:0;mso-position-horizontal-relative:page" fillcolor="black" stroked="f">
            <w10:wrap type="topAndBottom" anchorx="page"/>
          </v:rect>
        </w:pict>
      </w:r>
      <w:r>
        <w:pict w14:anchorId="51DE9E6E">
          <v:rect id="docshape191" o:spid="_x0000_s3085" style="position:absolute;left:0;text-align:left;margin-left:69.9pt;margin-top:102pt;width:453.55pt;height:16.05pt;z-index:-251183616;mso-wrap-distance-left:0;mso-wrap-distance-right:0;mso-position-horizontal-relative:page" fillcolor="black" stroked="f">
            <w10:wrap type="topAndBottom" anchorx="page"/>
          </v:rect>
        </w:pict>
      </w:r>
      <w:r>
        <w:pict w14:anchorId="51DE9E6F">
          <v:rect id="docshape192" o:spid="_x0000_s3084" style="position:absolute;left:0;text-align:left;margin-left:69.95pt;margin-top:124pt;width:317.05pt;height:16.05pt;z-index:251705856;mso-position-horizontal-relative:page" fillcolor="black" stroked="f">
            <w10:wrap anchorx="page"/>
          </v:rect>
        </w:pict>
      </w:r>
      <w:r>
        <w:rPr>
          <w:noProof/>
        </w:rPr>
        <w:drawing>
          <wp:anchor distT="0" distB="0" distL="0" distR="0" simplePos="0" relativeHeight="250817024" behindDoc="1" locked="0" layoutInCell="1" allowOverlap="1" wp14:anchorId="51DE9E70" wp14:editId="51DE9E71">
            <wp:simplePos x="0" y="0"/>
            <wp:positionH relativeFrom="page">
              <wp:posOffset>908303</wp:posOffset>
            </wp:positionH>
            <wp:positionV relativeFrom="paragraph">
              <wp:posOffset>2001951</wp:posOffset>
            </wp:positionV>
            <wp:extent cx="255117" cy="100393"/>
            <wp:effectExtent l="0" t="0" r="0" b="0"/>
            <wp:wrapNone/>
            <wp:docPr id="259" name="image1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image138.png"/>
                    <pic:cNvPicPr/>
                  </pic:nvPicPr>
                  <pic:blipFill>
                    <a:blip r:embed="rId232" cstate="print"/>
                    <a:stretch>
                      <a:fillRect/>
                    </a:stretch>
                  </pic:blipFill>
                  <pic:spPr>
                    <a:xfrm>
                      <a:off x="0" y="0"/>
                      <a:ext cx="255117" cy="100393"/>
                    </a:xfrm>
                    <a:prstGeom prst="rect">
                      <a:avLst/>
                    </a:prstGeom>
                  </pic:spPr>
                </pic:pic>
              </a:graphicData>
            </a:graphic>
          </wp:anchor>
        </w:drawing>
      </w:r>
      <w:r>
        <w:rPr>
          <w:i/>
          <w:sz w:val="20"/>
        </w:rPr>
        <w:t>on</w:t>
      </w:r>
      <w:r>
        <w:rPr>
          <w:i/>
          <w:spacing w:val="-1"/>
          <w:sz w:val="20"/>
        </w:rPr>
        <w:t xml:space="preserve"> </w:t>
      </w:r>
      <w:r>
        <w:rPr>
          <w:i/>
          <w:sz w:val="20"/>
        </w:rPr>
        <w:t>Wine</w:t>
      </w:r>
      <w:r>
        <w:rPr>
          <w:i/>
          <w:spacing w:val="-1"/>
          <w:sz w:val="20"/>
        </w:rPr>
        <w:t xml:space="preserve"> </w:t>
      </w:r>
      <w:r>
        <w:rPr>
          <w:i/>
          <w:sz w:val="20"/>
        </w:rPr>
        <w:t>from</w:t>
      </w:r>
      <w:r>
        <w:rPr>
          <w:i/>
          <w:spacing w:val="-3"/>
          <w:sz w:val="20"/>
        </w:rPr>
        <w:t xml:space="preserve"> </w:t>
      </w:r>
      <w:r>
        <w:rPr>
          <w:i/>
          <w:sz w:val="20"/>
        </w:rPr>
        <w:t>Australia</w:t>
      </w:r>
      <w:r>
        <w:rPr>
          <w:i/>
          <w:spacing w:val="-1"/>
          <w:sz w:val="20"/>
        </w:rPr>
        <w:t xml:space="preserve"> </w:t>
      </w:r>
      <w:r>
        <w:rPr>
          <w:spacing w:val="-2"/>
          <w:sz w:val="20"/>
        </w:rPr>
        <w:t>(DS602)</w:t>
      </w:r>
      <w:r>
        <w:rPr>
          <w:sz w:val="20"/>
        </w:rPr>
        <w:tab/>
        <w:t>29</w:t>
      </w:r>
      <w:r>
        <w:rPr>
          <w:spacing w:val="-1"/>
          <w:sz w:val="20"/>
        </w:rPr>
        <w:t xml:space="preserve"> </w:t>
      </w:r>
      <w:r>
        <w:rPr>
          <w:sz w:val="20"/>
        </w:rPr>
        <w:t>April</w:t>
      </w:r>
      <w:r>
        <w:rPr>
          <w:spacing w:val="-2"/>
          <w:sz w:val="20"/>
        </w:rPr>
        <w:t xml:space="preserve"> </w:t>
      </w:r>
      <w:r>
        <w:rPr>
          <w:spacing w:val="-4"/>
          <w:sz w:val="20"/>
        </w:rPr>
        <w:t>2022</w:t>
      </w:r>
    </w:p>
    <w:p w14:paraId="51DE7F3D" w14:textId="77777777" w:rsidR="0010369C" w:rsidRDefault="0010369C">
      <w:pPr>
        <w:pStyle w:val="BodyText"/>
        <w:spacing w:before="8"/>
        <w:rPr>
          <w:sz w:val="7"/>
        </w:rPr>
      </w:pPr>
    </w:p>
    <w:p w14:paraId="51DE7F3E" w14:textId="77777777" w:rsidR="0010369C" w:rsidRDefault="0010369C">
      <w:pPr>
        <w:pStyle w:val="BodyText"/>
        <w:spacing w:before="8"/>
        <w:rPr>
          <w:sz w:val="7"/>
        </w:rPr>
      </w:pPr>
    </w:p>
    <w:p w14:paraId="51DE7F3F" w14:textId="77777777" w:rsidR="0010369C" w:rsidRDefault="0010369C">
      <w:pPr>
        <w:pStyle w:val="BodyText"/>
        <w:spacing w:before="8"/>
        <w:rPr>
          <w:sz w:val="7"/>
        </w:rPr>
      </w:pPr>
    </w:p>
    <w:p w14:paraId="51DE7F40" w14:textId="77777777" w:rsidR="0010369C" w:rsidRDefault="0010369C">
      <w:pPr>
        <w:pStyle w:val="BodyText"/>
        <w:spacing w:before="9"/>
        <w:rPr>
          <w:sz w:val="7"/>
        </w:rPr>
      </w:pPr>
    </w:p>
    <w:p w14:paraId="51DE7F41" w14:textId="77777777" w:rsidR="0010369C" w:rsidRDefault="008E43AE">
      <w:pPr>
        <w:spacing w:before="116"/>
        <w:ind w:left="6580"/>
        <w:rPr>
          <w:sz w:val="24"/>
        </w:rPr>
      </w:pPr>
      <w:r>
        <w:rPr>
          <w:spacing w:val="-5"/>
          <w:sz w:val="24"/>
        </w:rPr>
        <w:t>]]</w:t>
      </w:r>
    </w:p>
    <w:p w14:paraId="51DE7F42" w14:textId="77777777" w:rsidR="0010369C" w:rsidRDefault="0010369C">
      <w:pPr>
        <w:pStyle w:val="BodyText"/>
        <w:spacing w:before="2"/>
        <w:rPr>
          <w:sz w:val="25"/>
        </w:rPr>
      </w:pPr>
    </w:p>
    <w:tbl>
      <w:tblPr>
        <w:tblW w:w="0" w:type="auto"/>
        <w:tblInd w:w="225" w:type="dxa"/>
        <w:tblLayout w:type="fixed"/>
        <w:tblCellMar>
          <w:left w:w="0" w:type="dxa"/>
          <w:right w:w="0" w:type="dxa"/>
        </w:tblCellMar>
        <w:tblLook w:val="01E0" w:firstRow="1" w:lastRow="1" w:firstColumn="1" w:lastColumn="1" w:noHBand="0" w:noVBand="0"/>
      </w:tblPr>
      <w:tblGrid>
        <w:gridCol w:w="997"/>
        <w:gridCol w:w="1348"/>
        <w:gridCol w:w="6784"/>
      </w:tblGrid>
      <w:tr w:rsidR="0010369C" w14:paraId="51DE7F45" w14:textId="77777777">
        <w:trPr>
          <w:trHeight w:val="320"/>
        </w:trPr>
        <w:tc>
          <w:tcPr>
            <w:tcW w:w="997" w:type="dxa"/>
            <w:tcBorders>
              <w:bottom w:val="single" w:sz="48" w:space="0" w:color="FFFFFF"/>
            </w:tcBorders>
          </w:tcPr>
          <w:p w14:paraId="51DE7F43" w14:textId="77777777" w:rsidR="0010369C" w:rsidRDefault="008E43AE">
            <w:pPr>
              <w:pStyle w:val="TableParagraph"/>
              <w:spacing w:line="291" w:lineRule="exact"/>
              <w:ind w:right="-29"/>
              <w:jc w:val="right"/>
              <w:rPr>
                <w:sz w:val="24"/>
              </w:rPr>
            </w:pPr>
            <w:r>
              <w:rPr>
                <w:spacing w:val="-5"/>
                <w:sz w:val="24"/>
              </w:rPr>
              <w:t>[[</w:t>
            </w:r>
          </w:p>
        </w:tc>
        <w:tc>
          <w:tcPr>
            <w:tcW w:w="8132" w:type="dxa"/>
            <w:gridSpan w:val="2"/>
            <w:tcBorders>
              <w:bottom w:val="single" w:sz="48" w:space="0" w:color="FFFFFF"/>
            </w:tcBorders>
            <w:shd w:val="clear" w:color="auto" w:fill="000000"/>
          </w:tcPr>
          <w:p w14:paraId="51DE7F44" w14:textId="77777777" w:rsidR="0010369C" w:rsidRDefault="0010369C">
            <w:pPr>
              <w:pStyle w:val="TableParagraph"/>
              <w:rPr>
                <w:rFonts w:ascii="Times New Roman"/>
              </w:rPr>
            </w:pPr>
          </w:p>
        </w:tc>
      </w:tr>
      <w:tr w:rsidR="0010369C" w14:paraId="51DE7F47" w14:textId="77777777">
        <w:trPr>
          <w:trHeight w:val="319"/>
        </w:trPr>
        <w:tc>
          <w:tcPr>
            <w:tcW w:w="9129" w:type="dxa"/>
            <w:gridSpan w:val="3"/>
            <w:tcBorders>
              <w:top w:val="single" w:sz="48" w:space="0" w:color="FFFFFF"/>
              <w:bottom w:val="single" w:sz="48" w:space="0" w:color="FFFFFF"/>
            </w:tcBorders>
            <w:shd w:val="clear" w:color="auto" w:fill="000000"/>
          </w:tcPr>
          <w:p w14:paraId="51DE7F46" w14:textId="77777777" w:rsidR="0010369C" w:rsidRDefault="0010369C">
            <w:pPr>
              <w:pStyle w:val="TableParagraph"/>
              <w:rPr>
                <w:rFonts w:ascii="Times New Roman"/>
              </w:rPr>
            </w:pPr>
          </w:p>
        </w:tc>
      </w:tr>
      <w:tr w:rsidR="0010369C" w14:paraId="51DE7F49" w14:textId="77777777">
        <w:trPr>
          <w:trHeight w:val="319"/>
        </w:trPr>
        <w:tc>
          <w:tcPr>
            <w:tcW w:w="9129" w:type="dxa"/>
            <w:gridSpan w:val="3"/>
            <w:tcBorders>
              <w:top w:val="single" w:sz="48" w:space="0" w:color="FFFFFF"/>
              <w:bottom w:val="single" w:sz="48" w:space="0" w:color="FFFFFF"/>
            </w:tcBorders>
            <w:shd w:val="clear" w:color="auto" w:fill="000000"/>
          </w:tcPr>
          <w:p w14:paraId="51DE7F48" w14:textId="77777777" w:rsidR="0010369C" w:rsidRDefault="0010369C">
            <w:pPr>
              <w:pStyle w:val="TableParagraph"/>
              <w:rPr>
                <w:rFonts w:ascii="Times New Roman"/>
              </w:rPr>
            </w:pPr>
          </w:p>
        </w:tc>
      </w:tr>
      <w:tr w:rsidR="0010369C" w14:paraId="51DE7F4B" w14:textId="77777777">
        <w:trPr>
          <w:trHeight w:val="319"/>
        </w:trPr>
        <w:tc>
          <w:tcPr>
            <w:tcW w:w="9129" w:type="dxa"/>
            <w:gridSpan w:val="3"/>
            <w:tcBorders>
              <w:top w:val="single" w:sz="48" w:space="0" w:color="FFFFFF"/>
              <w:bottom w:val="single" w:sz="48" w:space="0" w:color="FFFFFF"/>
            </w:tcBorders>
            <w:shd w:val="clear" w:color="auto" w:fill="000000"/>
          </w:tcPr>
          <w:p w14:paraId="51DE7F4A" w14:textId="77777777" w:rsidR="0010369C" w:rsidRDefault="0010369C">
            <w:pPr>
              <w:pStyle w:val="TableParagraph"/>
              <w:rPr>
                <w:rFonts w:ascii="Times New Roman"/>
              </w:rPr>
            </w:pPr>
          </w:p>
        </w:tc>
      </w:tr>
      <w:tr w:rsidR="0010369C" w14:paraId="51DE7F4D" w14:textId="77777777">
        <w:trPr>
          <w:trHeight w:val="319"/>
        </w:trPr>
        <w:tc>
          <w:tcPr>
            <w:tcW w:w="9129" w:type="dxa"/>
            <w:gridSpan w:val="3"/>
            <w:tcBorders>
              <w:top w:val="single" w:sz="48" w:space="0" w:color="FFFFFF"/>
              <w:bottom w:val="single" w:sz="48" w:space="0" w:color="FFFFFF"/>
            </w:tcBorders>
            <w:shd w:val="clear" w:color="auto" w:fill="000000"/>
          </w:tcPr>
          <w:p w14:paraId="51DE7F4C" w14:textId="77777777" w:rsidR="0010369C" w:rsidRDefault="0010369C">
            <w:pPr>
              <w:pStyle w:val="TableParagraph"/>
              <w:rPr>
                <w:rFonts w:ascii="Times New Roman"/>
              </w:rPr>
            </w:pPr>
          </w:p>
        </w:tc>
      </w:tr>
      <w:tr w:rsidR="0010369C" w14:paraId="51DE7F4F" w14:textId="77777777">
        <w:trPr>
          <w:trHeight w:val="319"/>
        </w:trPr>
        <w:tc>
          <w:tcPr>
            <w:tcW w:w="9129" w:type="dxa"/>
            <w:gridSpan w:val="3"/>
            <w:tcBorders>
              <w:top w:val="single" w:sz="48" w:space="0" w:color="FFFFFF"/>
              <w:bottom w:val="single" w:sz="48" w:space="0" w:color="FFFFFF"/>
            </w:tcBorders>
            <w:shd w:val="clear" w:color="auto" w:fill="000000"/>
          </w:tcPr>
          <w:p w14:paraId="51DE7F4E" w14:textId="77777777" w:rsidR="0010369C" w:rsidRDefault="0010369C">
            <w:pPr>
              <w:pStyle w:val="TableParagraph"/>
              <w:rPr>
                <w:rFonts w:ascii="Times New Roman"/>
              </w:rPr>
            </w:pPr>
          </w:p>
        </w:tc>
      </w:tr>
      <w:tr w:rsidR="0010369C" w14:paraId="51DE7F51" w14:textId="77777777">
        <w:trPr>
          <w:trHeight w:val="319"/>
        </w:trPr>
        <w:tc>
          <w:tcPr>
            <w:tcW w:w="9129" w:type="dxa"/>
            <w:gridSpan w:val="3"/>
            <w:tcBorders>
              <w:top w:val="single" w:sz="48" w:space="0" w:color="FFFFFF"/>
              <w:bottom w:val="single" w:sz="48" w:space="0" w:color="FFFFFF"/>
            </w:tcBorders>
            <w:shd w:val="clear" w:color="auto" w:fill="000000"/>
          </w:tcPr>
          <w:p w14:paraId="51DE7F50" w14:textId="77777777" w:rsidR="0010369C" w:rsidRDefault="0010369C">
            <w:pPr>
              <w:pStyle w:val="TableParagraph"/>
              <w:rPr>
                <w:rFonts w:ascii="Times New Roman"/>
              </w:rPr>
            </w:pPr>
          </w:p>
        </w:tc>
      </w:tr>
      <w:tr w:rsidR="0010369C" w14:paraId="51DE7F53" w14:textId="77777777">
        <w:trPr>
          <w:trHeight w:val="319"/>
        </w:trPr>
        <w:tc>
          <w:tcPr>
            <w:tcW w:w="9129" w:type="dxa"/>
            <w:gridSpan w:val="3"/>
            <w:tcBorders>
              <w:top w:val="single" w:sz="48" w:space="0" w:color="FFFFFF"/>
              <w:bottom w:val="single" w:sz="48" w:space="0" w:color="FFFFFF"/>
            </w:tcBorders>
            <w:shd w:val="clear" w:color="auto" w:fill="000000"/>
          </w:tcPr>
          <w:p w14:paraId="51DE7F52" w14:textId="77777777" w:rsidR="0010369C" w:rsidRDefault="0010369C">
            <w:pPr>
              <w:pStyle w:val="TableParagraph"/>
              <w:rPr>
                <w:rFonts w:ascii="Times New Roman"/>
              </w:rPr>
            </w:pPr>
          </w:p>
        </w:tc>
      </w:tr>
      <w:tr w:rsidR="0010369C" w14:paraId="51DE7F55" w14:textId="77777777">
        <w:trPr>
          <w:trHeight w:val="319"/>
        </w:trPr>
        <w:tc>
          <w:tcPr>
            <w:tcW w:w="9129" w:type="dxa"/>
            <w:gridSpan w:val="3"/>
            <w:tcBorders>
              <w:top w:val="single" w:sz="48" w:space="0" w:color="FFFFFF"/>
              <w:bottom w:val="single" w:sz="48" w:space="0" w:color="FFFFFF"/>
            </w:tcBorders>
            <w:shd w:val="clear" w:color="auto" w:fill="000000"/>
          </w:tcPr>
          <w:p w14:paraId="51DE7F54" w14:textId="77777777" w:rsidR="0010369C" w:rsidRDefault="0010369C">
            <w:pPr>
              <w:pStyle w:val="TableParagraph"/>
              <w:rPr>
                <w:rFonts w:ascii="Times New Roman"/>
              </w:rPr>
            </w:pPr>
          </w:p>
        </w:tc>
      </w:tr>
      <w:tr w:rsidR="0010369C" w14:paraId="51DE7F57" w14:textId="77777777">
        <w:trPr>
          <w:trHeight w:val="319"/>
        </w:trPr>
        <w:tc>
          <w:tcPr>
            <w:tcW w:w="9129" w:type="dxa"/>
            <w:gridSpan w:val="3"/>
            <w:tcBorders>
              <w:top w:val="single" w:sz="48" w:space="0" w:color="FFFFFF"/>
              <w:bottom w:val="single" w:sz="48" w:space="0" w:color="FFFFFF"/>
            </w:tcBorders>
            <w:shd w:val="clear" w:color="auto" w:fill="000000"/>
          </w:tcPr>
          <w:p w14:paraId="51DE7F56" w14:textId="77777777" w:rsidR="0010369C" w:rsidRDefault="0010369C">
            <w:pPr>
              <w:pStyle w:val="TableParagraph"/>
              <w:rPr>
                <w:rFonts w:ascii="Times New Roman"/>
              </w:rPr>
            </w:pPr>
          </w:p>
        </w:tc>
      </w:tr>
      <w:tr w:rsidR="0010369C" w14:paraId="51DE7F59" w14:textId="77777777">
        <w:trPr>
          <w:trHeight w:val="319"/>
        </w:trPr>
        <w:tc>
          <w:tcPr>
            <w:tcW w:w="9129" w:type="dxa"/>
            <w:gridSpan w:val="3"/>
            <w:tcBorders>
              <w:top w:val="single" w:sz="48" w:space="0" w:color="FFFFFF"/>
              <w:bottom w:val="single" w:sz="48" w:space="0" w:color="FFFFFF"/>
            </w:tcBorders>
            <w:shd w:val="clear" w:color="auto" w:fill="000000"/>
          </w:tcPr>
          <w:p w14:paraId="51DE7F58" w14:textId="77777777" w:rsidR="0010369C" w:rsidRDefault="0010369C">
            <w:pPr>
              <w:pStyle w:val="TableParagraph"/>
              <w:rPr>
                <w:rFonts w:ascii="Times New Roman"/>
              </w:rPr>
            </w:pPr>
          </w:p>
        </w:tc>
      </w:tr>
      <w:tr w:rsidR="0010369C" w14:paraId="51DE7F5B" w14:textId="77777777">
        <w:trPr>
          <w:trHeight w:val="320"/>
        </w:trPr>
        <w:tc>
          <w:tcPr>
            <w:tcW w:w="9129" w:type="dxa"/>
            <w:gridSpan w:val="3"/>
            <w:tcBorders>
              <w:top w:val="single" w:sz="48" w:space="0" w:color="FFFFFF"/>
              <w:bottom w:val="single" w:sz="48" w:space="0" w:color="FFFFFF"/>
            </w:tcBorders>
            <w:shd w:val="clear" w:color="auto" w:fill="000000"/>
          </w:tcPr>
          <w:p w14:paraId="51DE7F5A" w14:textId="77777777" w:rsidR="0010369C" w:rsidRDefault="0010369C">
            <w:pPr>
              <w:pStyle w:val="TableParagraph"/>
              <w:rPr>
                <w:rFonts w:ascii="Times New Roman"/>
              </w:rPr>
            </w:pPr>
          </w:p>
        </w:tc>
      </w:tr>
      <w:tr w:rsidR="0010369C" w14:paraId="51DE7F5E" w14:textId="77777777">
        <w:trPr>
          <w:trHeight w:val="320"/>
        </w:trPr>
        <w:tc>
          <w:tcPr>
            <w:tcW w:w="2345" w:type="dxa"/>
            <w:gridSpan w:val="2"/>
            <w:tcBorders>
              <w:top w:val="single" w:sz="48" w:space="0" w:color="FFFFFF"/>
            </w:tcBorders>
            <w:shd w:val="clear" w:color="auto" w:fill="000000"/>
          </w:tcPr>
          <w:p w14:paraId="51DE7F5C" w14:textId="77777777" w:rsidR="0010369C" w:rsidRDefault="0010369C">
            <w:pPr>
              <w:pStyle w:val="TableParagraph"/>
              <w:rPr>
                <w:rFonts w:ascii="Times New Roman"/>
              </w:rPr>
            </w:pPr>
          </w:p>
        </w:tc>
        <w:tc>
          <w:tcPr>
            <w:tcW w:w="6784" w:type="dxa"/>
            <w:tcBorders>
              <w:top w:val="single" w:sz="48" w:space="0" w:color="FFFFFF"/>
            </w:tcBorders>
          </w:tcPr>
          <w:p w14:paraId="51DE7F5D" w14:textId="77777777" w:rsidR="0010369C" w:rsidRDefault="008E43AE">
            <w:pPr>
              <w:pStyle w:val="TableParagraph"/>
              <w:spacing w:line="290" w:lineRule="exact"/>
              <w:ind w:left="19"/>
              <w:rPr>
                <w:sz w:val="24"/>
              </w:rPr>
            </w:pPr>
            <w:r>
              <w:rPr>
                <w:spacing w:val="-5"/>
                <w:sz w:val="24"/>
              </w:rPr>
              <w:t>]]</w:t>
            </w:r>
          </w:p>
        </w:tc>
      </w:tr>
    </w:tbl>
    <w:p w14:paraId="51DE7F5F" w14:textId="77777777" w:rsidR="0010369C" w:rsidRDefault="0010369C">
      <w:pPr>
        <w:pStyle w:val="BodyText"/>
        <w:spacing w:before="11"/>
        <w:rPr>
          <w:sz w:val="22"/>
        </w:rPr>
      </w:pPr>
    </w:p>
    <w:p w14:paraId="51DE7F60" w14:textId="77777777" w:rsidR="0010369C" w:rsidRDefault="008E43AE">
      <w:pPr>
        <w:pStyle w:val="BodyText"/>
        <w:spacing w:before="1" w:line="360" w:lineRule="auto"/>
        <w:ind w:left="238" w:right="614" w:firstLine="851"/>
        <w:jc w:val="both"/>
      </w:pPr>
      <w:r>
        <w:rPr>
          <w:noProof/>
        </w:rPr>
        <w:drawing>
          <wp:anchor distT="0" distB="0" distL="0" distR="0" simplePos="0" relativeHeight="250818048" behindDoc="1" locked="0" layoutInCell="1" allowOverlap="1" wp14:anchorId="51DE9E72" wp14:editId="51DE9E73">
            <wp:simplePos x="0" y="0"/>
            <wp:positionH relativeFrom="page">
              <wp:posOffset>908303</wp:posOffset>
            </wp:positionH>
            <wp:positionV relativeFrom="paragraph">
              <wp:posOffset>48211</wp:posOffset>
            </wp:positionV>
            <wp:extent cx="256031" cy="103631"/>
            <wp:effectExtent l="0" t="0" r="0" b="0"/>
            <wp:wrapNone/>
            <wp:docPr id="261" name="image1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image139.png"/>
                    <pic:cNvPicPr/>
                  </pic:nvPicPr>
                  <pic:blipFill>
                    <a:blip r:embed="rId233" cstate="print"/>
                    <a:stretch>
                      <a:fillRect/>
                    </a:stretch>
                  </pic:blipFill>
                  <pic:spPr>
                    <a:xfrm>
                      <a:off x="0" y="0"/>
                      <a:ext cx="256031" cy="103631"/>
                    </a:xfrm>
                    <a:prstGeom prst="rect">
                      <a:avLst/>
                    </a:prstGeom>
                  </pic:spPr>
                </pic:pic>
              </a:graphicData>
            </a:graphic>
          </wp:anchor>
        </w:drawing>
      </w:r>
      <w:r>
        <w:t>For these reasons, the export sales of Australian bottled wine were clearly affected by level of trade issues and require adjustments. As Australia demonstrates below,</w:t>
      </w:r>
      <w:r>
        <w:rPr>
          <w:vertAlign w:val="superscript"/>
        </w:rPr>
        <w:t>132</w:t>
      </w:r>
      <w:r>
        <w:t xml:space="preserve"> MOFCOM failed to make these adjustments.</w:t>
      </w:r>
    </w:p>
    <w:p w14:paraId="51DE7F61" w14:textId="77777777" w:rsidR="0010369C" w:rsidRDefault="008E43AE">
      <w:pPr>
        <w:pStyle w:val="ListParagraph"/>
        <w:numPr>
          <w:ilvl w:val="1"/>
          <w:numId w:val="75"/>
        </w:numPr>
        <w:tabs>
          <w:tab w:val="left" w:pos="1940"/>
          <w:tab w:val="left" w:pos="1941"/>
        </w:tabs>
        <w:spacing w:before="160"/>
        <w:ind w:left="1940" w:hanging="852"/>
        <w:jc w:val="left"/>
        <w:rPr>
          <w:b/>
          <w:sz w:val="28"/>
        </w:rPr>
      </w:pPr>
      <w:r>
        <w:rPr>
          <w:b/>
          <w:sz w:val="28"/>
        </w:rPr>
        <w:t>T</w:t>
      </w:r>
      <w:r>
        <w:rPr>
          <w:b/>
        </w:rPr>
        <w:t>REASURY</w:t>
      </w:r>
      <w:r>
        <w:rPr>
          <w:b/>
          <w:spacing w:val="-9"/>
        </w:rPr>
        <w:t xml:space="preserve"> </w:t>
      </w:r>
      <w:r>
        <w:rPr>
          <w:b/>
          <w:sz w:val="28"/>
        </w:rPr>
        <w:t>W</w:t>
      </w:r>
      <w:r>
        <w:rPr>
          <w:b/>
        </w:rPr>
        <w:t>INE</w:t>
      </w:r>
      <w:r>
        <w:rPr>
          <w:b/>
          <w:spacing w:val="-11"/>
        </w:rPr>
        <w:t xml:space="preserve"> </w:t>
      </w:r>
      <w:r>
        <w:rPr>
          <w:b/>
          <w:sz w:val="28"/>
        </w:rPr>
        <w:t>E</w:t>
      </w:r>
      <w:r>
        <w:rPr>
          <w:b/>
        </w:rPr>
        <w:t>STATES</w:t>
      </w:r>
      <w:r>
        <w:rPr>
          <w:b/>
          <w:spacing w:val="-9"/>
        </w:rPr>
        <w:t xml:space="preserve"> </w:t>
      </w:r>
      <w:r>
        <w:rPr>
          <w:b/>
          <w:sz w:val="28"/>
        </w:rPr>
        <w:t>V</w:t>
      </w:r>
      <w:r>
        <w:rPr>
          <w:b/>
        </w:rPr>
        <w:t>INTNERS</w:t>
      </w:r>
      <w:r>
        <w:rPr>
          <w:b/>
          <w:spacing w:val="-10"/>
        </w:rPr>
        <w:t xml:space="preserve"> </w:t>
      </w:r>
      <w:r>
        <w:rPr>
          <w:b/>
          <w:spacing w:val="-2"/>
          <w:sz w:val="28"/>
        </w:rPr>
        <w:t>L</w:t>
      </w:r>
      <w:r>
        <w:rPr>
          <w:b/>
          <w:spacing w:val="-2"/>
        </w:rPr>
        <w:t>IMITED</w:t>
      </w:r>
    </w:p>
    <w:p w14:paraId="51DE7F62" w14:textId="77777777" w:rsidR="0010369C" w:rsidRDefault="0010369C">
      <w:pPr>
        <w:pStyle w:val="BodyText"/>
        <w:spacing w:before="3"/>
        <w:rPr>
          <w:b/>
          <w:sz w:val="27"/>
        </w:rPr>
      </w:pPr>
    </w:p>
    <w:p w14:paraId="51DE7F63" w14:textId="77777777" w:rsidR="0010369C" w:rsidRDefault="008E43AE">
      <w:pPr>
        <w:pStyle w:val="Heading4"/>
        <w:numPr>
          <w:ilvl w:val="2"/>
          <w:numId w:val="75"/>
        </w:numPr>
        <w:tabs>
          <w:tab w:val="left" w:pos="2649"/>
          <w:tab w:val="left" w:pos="2650"/>
        </w:tabs>
        <w:spacing w:before="0"/>
        <w:ind w:left="2649" w:hanging="852"/>
      </w:pPr>
      <w:bookmarkStart w:id="22" w:name="_TOC_250007"/>
      <w:bookmarkEnd w:id="22"/>
      <w:r>
        <w:rPr>
          <w:spacing w:val="-2"/>
        </w:rPr>
        <w:t>Overview</w:t>
      </w:r>
    </w:p>
    <w:p w14:paraId="51DE7F64" w14:textId="77777777" w:rsidR="0010369C" w:rsidRDefault="0010369C">
      <w:pPr>
        <w:pStyle w:val="BodyText"/>
        <w:spacing w:before="9"/>
        <w:rPr>
          <w:b/>
          <w:sz w:val="20"/>
        </w:rPr>
      </w:pPr>
    </w:p>
    <w:p w14:paraId="51DE7F65" w14:textId="77777777" w:rsidR="0010369C" w:rsidRDefault="008E43AE">
      <w:pPr>
        <w:pStyle w:val="BodyText"/>
        <w:spacing w:before="51" w:line="360" w:lineRule="auto"/>
        <w:ind w:left="238" w:right="614" w:firstLine="851"/>
        <w:jc w:val="both"/>
      </w:pPr>
      <w:r>
        <w:rPr>
          <w:noProof/>
        </w:rPr>
        <w:drawing>
          <wp:anchor distT="0" distB="0" distL="0" distR="0" simplePos="0" relativeHeight="250819072" behindDoc="1" locked="0" layoutInCell="1" allowOverlap="1" wp14:anchorId="51DE9E74" wp14:editId="51DE9E75">
            <wp:simplePos x="0" y="0"/>
            <wp:positionH relativeFrom="page">
              <wp:posOffset>908303</wp:posOffset>
            </wp:positionH>
            <wp:positionV relativeFrom="paragraph">
              <wp:posOffset>79960</wp:posOffset>
            </wp:positionV>
            <wp:extent cx="256031" cy="103631"/>
            <wp:effectExtent l="0" t="0" r="0" b="0"/>
            <wp:wrapNone/>
            <wp:docPr id="263" name="image1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image140.png"/>
                    <pic:cNvPicPr/>
                  </pic:nvPicPr>
                  <pic:blipFill>
                    <a:blip r:embed="rId234" cstate="print"/>
                    <a:stretch>
                      <a:fillRect/>
                    </a:stretch>
                  </pic:blipFill>
                  <pic:spPr>
                    <a:xfrm>
                      <a:off x="0" y="0"/>
                      <a:ext cx="256031" cy="103631"/>
                    </a:xfrm>
                    <a:prstGeom prst="rect">
                      <a:avLst/>
                    </a:prstGeom>
                  </pic:spPr>
                </pic:pic>
              </a:graphicData>
            </a:graphic>
          </wp:anchor>
        </w:drawing>
      </w:r>
      <w:r>
        <w:pict w14:anchorId="51DE9E76">
          <v:rect id="docshape193" o:spid="_x0000_s3083" style="position:absolute;left:0;text-align:left;margin-left:399.75pt;margin-top:110.1pt;width:28.6pt;height:12.05pt;z-index:251707904;mso-position-horizontal-relative:page;mso-position-vertical-relative:text" fillcolor="black" stroked="f">
            <w10:wrap anchorx="page"/>
          </v:rect>
        </w:pict>
      </w:r>
      <w:r>
        <w:t>MOFCOM's</w:t>
      </w:r>
      <w:r>
        <w:rPr>
          <w:spacing w:val="-4"/>
        </w:rPr>
        <w:t xml:space="preserve"> </w:t>
      </w:r>
      <w:r>
        <w:t>dumping</w:t>
      </w:r>
      <w:r>
        <w:rPr>
          <w:spacing w:val="-4"/>
        </w:rPr>
        <w:t xml:space="preserve"> </w:t>
      </w:r>
      <w:r>
        <w:t>determination</w:t>
      </w:r>
      <w:r>
        <w:rPr>
          <w:spacing w:val="-6"/>
        </w:rPr>
        <w:t xml:space="preserve"> </w:t>
      </w:r>
      <w:r>
        <w:t>for</w:t>
      </w:r>
      <w:r>
        <w:rPr>
          <w:spacing w:val="-4"/>
        </w:rPr>
        <w:t xml:space="preserve"> </w:t>
      </w:r>
      <w:r>
        <w:t>Treasury</w:t>
      </w:r>
      <w:r>
        <w:rPr>
          <w:spacing w:val="-6"/>
        </w:rPr>
        <w:t xml:space="preserve"> </w:t>
      </w:r>
      <w:r>
        <w:t>Wines</w:t>
      </w:r>
      <w:r>
        <w:rPr>
          <w:spacing w:val="-5"/>
        </w:rPr>
        <w:t xml:space="preserve"> </w:t>
      </w:r>
      <w:r>
        <w:t>is</w:t>
      </w:r>
      <w:r>
        <w:rPr>
          <w:spacing w:val="-5"/>
        </w:rPr>
        <w:t xml:space="preserve"> </w:t>
      </w:r>
      <w:r>
        <w:t>inconsistent</w:t>
      </w:r>
      <w:r>
        <w:rPr>
          <w:spacing w:val="-3"/>
        </w:rPr>
        <w:t xml:space="preserve"> </w:t>
      </w:r>
      <w:r>
        <w:t>with</w:t>
      </w:r>
      <w:r>
        <w:rPr>
          <w:spacing w:val="-5"/>
        </w:rPr>
        <w:t xml:space="preserve"> </w:t>
      </w:r>
      <w:r>
        <w:t>the</w:t>
      </w:r>
      <w:r>
        <w:rPr>
          <w:spacing w:val="-4"/>
        </w:rPr>
        <w:t xml:space="preserve"> </w:t>
      </w:r>
      <w:r>
        <w:t>Anti‐ Dumping</w:t>
      </w:r>
      <w:r>
        <w:rPr>
          <w:spacing w:val="-4"/>
        </w:rPr>
        <w:t xml:space="preserve"> </w:t>
      </w:r>
      <w:r>
        <w:t>Agreement</w:t>
      </w:r>
      <w:r>
        <w:rPr>
          <w:spacing w:val="-5"/>
        </w:rPr>
        <w:t xml:space="preserve"> </w:t>
      </w:r>
      <w:r>
        <w:t>in</w:t>
      </w:r>
      <w:r>
        <w:rPr>
          <w:spacing w:val="-4"/>
        </w:rPr>
        <w:t xml:space="preserve"> </w:t>
      </w:r>
      <w:r>
        <w:t>respect</w:t>
      </w:r>
      <w:r>
        <w:rPr>
          <w:spacing w:val="-4"/>
        </w:rPr>
        <w:t xml:space="preserve"> </w:t>
      </w:r>
      <w:r>
        <w:t>of</w:t>
      </w:r>
      <w:r>
        <w:rPr>
          <w:spacing w:val="-4"/>
        </w:rPr>
        <w:t xml:space="preserve"> </w:t>
      </w:r>
      <w:r>
        <w:t>its</w:t>
      </w:r>
      <w:r>
        <w:rPr>
          <w:spacing w:val="-5"/>
        </w:rPr>
        <w:t xml:space="preserve"> </w:t>
      </w:r>
      <w:r>
        <w:t>determination</w:t>
      </w:r>
      <w:r>
        <w:rPr>
          <w:spacing w:val="-4"/>
        </w:rPr>
        <w:t xml:space="preserve"> </w:t>
      </w:r>
      <w:r>
        <w:t>of</w:t>
      </w:r>
      <w:r>
        <w:rPr>
          <w:spacing w:val="-4"/>
        </w:rPr>
        <w:t xml:space="preserve"> </w:t>
      </w:r>
      <w:r>
        <w:t>normal</w:t>
      </w:r>
      <w:r>
        <w:rPr>
          <w:spacing w:val="-3"/>
        </w:rPr>
        <w:t xml:space="preserve"> </w:t>
      </w:r>
      <w:r>
        <w:t>value</w:t>
      </w:r>
      <w:r>
        <w:rPr>
          <w:spacing w:val="-4"/>
        </w:rPr>
        <w:t xml:space="preserve"> </w:t>
      </w:r>
      <w:r>
        <w:t>and</w:t>
      </w:r>
      <w:r>
        <w:rPr>
          <w:spacing w:val="-4"/>
        </w:rPr>
        <w:t xml:space="preserve"> </w:t>
      </w:r>
      <w:r>
        <w:t>export</w:t>
      </w:r>
      <w:r>
        <w:rPr>
          <w:spacing w:val="-4"/>
        </w:rPr>
        <w:t xml:space="preserve"> </w:t>
      </w:r>
      <w:r>
        <w:t>price</w:t>
      </w:r>
      <w:r>
        <w:rPr>
          <w:spacing w:val="-3"/>
        </w:rPr>
        <w:t xml:space="preserve"> </w:t>
      </w:r>
      <w:r>
        <w:t>and</w:t>
      </w:r>
      <w:r>
        <w:rPr>
          <w:spacing w:val="-4"/>
        </w:rPr>
        <w:t xml:space="preserve"> </w:t>
      </w:r>
      <w:r>
        <w:t>the comparison between the two.</w:t>
      </w:r>
    </w:p>
    <w:p w14:paraId="51DE7F66" w14:textId="77777777" w:rsidR="0010369C" w:rsidRDefault="0010369C">
      <w:pPr>
        <w:pStyle w:val="BodyText"/>
        <w:rPr>
          <w:sz w:val="20"/>
        </w:rPr>
      </w:pPr>
    </w:p>
    <w:p w14:paraId="51DE7F67" w14:textId="77777777" w:rsidR="0010369C" w:rsidRDefault="0010369C">
      <w:pPr>
        <w:pStyle w:val="BodyText"/>
        <w:rPr>
          <w:sz w:val="20"/>
        </w:rPr>
      </w:pPr>
    </w:p>
    <w:p w14:paraId="51DE7F68" w14:textId="77777777" w:rsidR="0010369C" w:rsidRDefault="008E43AE">
      <w:pPr>
        <w:pStyle w:val="BodyText"/>
        <w:spacing w:before="5"/>
        <w:rPr>
          <w:sz w:val="15"/>
        </w:rPr>
      </w:pPr>
      <w:r>
        <w:pict w14:anchorId="51DE9E77">
          <v:rect id="docshape194" o:spid="_x0000_s3082" style="position:absolute;margin-left:70.9pt;margin-top:10.65pt;width:2in;height:.8pt;z-index:-251182592;mso-wrap-distance-left:0;mso-wrap-distance-right:0;mso-position-horizontal-relative:page" fillcolor="black" stroked="f">
            <w10:wrap type="topAndBottom" anchorx="page"/>
          </v:rect>
        </w:pict>
      </w:r>
    </w:p>
    <w:p w14:paraId="51DE7F69" w14:textId="77777777" w:rsidR="0010369C" w:rsidRDefault="0010369C">
      <w:pPr>
        <w:pStyle w:val="BodyText"/>
        <w:spacing w:before="8"/>
        <w:rPr>
          <w:sz w:val="5"/>
        </w:rPr>
      </w:pPr>
    </w:p>
    <w:p w14:paraId="51DE7F6A" w14:textId="77777777" w:rsidR="0010369C" w:rsidRDefault="0010369C">
      <w:pPr>
        <w:rPr>
          <w:sz w:val="5"/>
        </w:rPr>
        <w:sectPr w:rsidR="0010369C">
          <w:pgSz w:w="11910" w:h="16840"/>
          <w:pgMar w:top="880" w:right="800" w:bottom="980" w:left="1180" w:header="569" w:footer="788" w:gutter="0"/>
          <w:cols w:space="720"/>
        </w:sectPr>
      </w:pPr>
    </w:p>
    <w:p w14:paraId="51DE7F6B" w14:textId="77777777" w:rsidR="0010369C" w:rsidRDefault="008E43AE">
      <w:pPr>
        <w:spacing w:before="37"/>
        <w:ind w:left="238"/>
        <w:rPr>
          <w:sz w:val="18"/>
        </w:rPr>
      </w:pPr>
      <w:r>
        <w:pict w14:anchorId="51DE9E78">
          <v:rect id="docshape195" o:spid="_x0000_s3081" style="position:absolute;left:0;text-align:left;margin-left:86.65pt;margin-top:2.35pt;width:261.45pt;height:12.05pt;z-index:251706880;mso-position-horizontal-relative:page" fillcolor="black" stroked="f">
            <w10:wrap anchorx="page"/>
          </v:rect>
        </w:pict>
      </w:r>
      <w:r>
        <w:rPr>
          <w:sz w:val="12"/>
        </w:rPr>
        <w:t>131</w:t>
      </w:r>
      <w:r>
        <w:rPr>
          <w:spacing w:val="11"/>
          <w:sz w:val="12"/>
        </w:rPr>
        <w:t xml:space="preserve"> </w:t>
      </w:r>
      <w:r>
        <w:rPr>
          <w:spacing w:val="-10"/>
          <w:position w:val="-5"/>
          <w:sz w:val="18"/>
        </w:rPr>
        <w:t>[</w:t>
      </w:r>
    </w:p>
    <w:p w14:paraId="51DE7F6C" w14:textId="77777777" w:rsidR="0010369C" w:rsidRDefault="008E43AE">
      <w:pPr>
        <w:ind w:left="238"/>
        <w:rPr>
          <w:sz w:val="18"/>
        </w:rPr>
      </w:pPr>
      <w:r>
        <w:rPr>
          <w:sz w:val="18"/>
          <w:vertAlign w:val="superscript"/>
        </w:rPr>
        <w:t>132</w:t>
      </w:r>
      <w:r>
        <w:rPr>
          <w:spacing w:val="-6"/>
          <w:sz w:val="18"/>
        </w:rPr>
        <w:t xml:space="preserve"> </w:t>
      </w:r>
      <w:r>
        <w:rPr>
          <w:sz w:val="18"/>
        </w:rPr>
        <w:t>See</w:t>
      </w:r>
      <w:r>
        <w:rPr>
          <w:spacing w:val="-5"/>
          <w:sz w:val="18"/>
        </w:rPr>
        <w:t xml:space="preserve"> </w:t>
      </w:r>
      <w:r>
        <w:rPr>
          <w:sz w:val="18"/>
        </w:rPr>
        <w:t>below,</w:t>
      </w:r>
      <w:r>
        <w:rPr>
          <w:spacing w:val="-5"/>
          <w:sz w:val="18"/>
        </w:rPr>
        <w:t xml:space="preserve"> </w:t>
      </w:r>
      <w:r>
        <w:rPr>
          <w:sz w:val="18"/>
        </w:rPr>
        <w:t>section</w:t>
      </w:r>
      <w:r>
        <w:rPr>
          <w:spacing w:val="-5"/>
          <w:sz w:val="18"/>
        </w:rPr>
        <w:t xml:space="preserve"> </w:t>
      </w:r>
      <w:r>
        <w:rPr>
          <w:spacing w:val="-2"/>
          <w:sz w:val="18"/>
        </w:rPr>
        <w:t>II.J.3.</w:t>
      </w:r>
    </w:p>
    <w:p w14:paraId="51DE7F6D" w14:textId="77777777" w:rsidR="0010369C" w:rsidRDefault="008E43AE">
      <w:pPr>
        <w:spacing w:before="40"/>
        <w:ind w:left="238"/>
        <w:rPr>
          <w:sz w:val="18"/>
        </w:rPr>
      </w:pPr>
      <w:r>
        <w:br w:type="column"/>
      </w:r>
      <w:r>
        <w:rPr>
          <w:color w:val="5E5E5E"/>
          <w:sz w:val="18"/>
        </w:rPr>
        <w:t>(AUS‐5</w:t>
      </w:r>
      <w:r>
        <w:rPr>
          <w:color w:val="5E5E5E"/>
          <w:spacing w:val="-11"/>
          <w:sz w:val="18"/>
        </w:rPr>
        <w:t xml:space="preserve"> </w:t>
      </w:r>
      <w:r>
        <w:rPr>
          <w:color w:val="5E5E5E"/>
          <w:spacing w:val="-2"/>
          <w:sz w:val="18"/>
        </w:rPr>
        <w:t>(BCI))</w:t>
      </w:r>
    </w:p>
    <w:p w14:paraId="51DE7F6E" w14:textId="77777777" w:rsidR="0010369C" w:rsidRDefault="008E43AE">
      <w:pPr>
        <w:spacing w:before="40"/>
        <w:ind w:left="238"/>
        <w:rPr>
          <w:sz w:val="18"/>
        </w:rPr>
      </w:pPr>
      <w:r>
        <w:br w:type="column"/>
      </w:r>
      <w:r>
        <w:rPr>
          <w:color w:val="5E5E5E"/>
          <w:spacing w:val="-5"/>
          <w:sz w:val="18"/>
        </w:rPr>
        <w:t>.</w:t>
      </w:r>
      <w:r>
        <w:rPr>
          <w:spacing w:val="-5"/>
          <w:sz w:val="18"/>
        </w:rPr>
        <w:t>]]</w:t>
      </w:r>
    </w:p>
    <w:p w14:paraId="51DE7F6F" w14:textId="77777777" w:rsidR="0010369C" w:rsidRDefault="0010369C">
      <w:pPr>
        <w:rPr>
          <w:sz w:val="18"/>
        </w:rPr>
        <w:sectPr w:rsidR="0010369C">
          <w:type w:val="continuous"/>
          <w:pgSz w:w="11910" w:h="16840"/>
          <w:pgMar w:top="1460" w:right="800" w:bottom="280" w:left="1180" w:header="569" w:footer="788" w:gutter="0"/>
          <w:cols w:num="3" w:space="720" w:equalWidth="0">
            <w:col w:w="2285" w:space="3320"/>
            <w:col w:w="1225" w:space="339"/>
            <w:col w:w="2761"/>
          </w:cols>
        </w:sectPr>
      </w:pPr>
    </w:p>
    <w:p w14:paraId="51DE7F70" w14:textId="77777777" w:rsidR="0010369C" w:rsidRDefault="008E43AE">
      <w:pPr>
        <w:tabs>
          <w:tab w:val="left" w:pos="6426"/>
        </w:tabs>
        <w:ind w:left="238"/>
        <w:rPr>
          <w:sz w:val="20"/>
        </w:rPr>
      </w:pPr>
      <w:r>
        <w:rPr>
          <w:i/>
          <w:sz w:val="20"/>
        </w:rPr>
        <w:lastRenderedPageBreak/>
        <w:t>China</w:t>
      </w:r>
      <w:r>
        <w:rPr>
          <w:i/>
          <w:spacing w:val="-5"/>
          <w:sz w:val="20"/>
        </w:rPr>
        <w:t xml:space="preserve"> </w:t>
      </w:r>
      <w:r>
        <w:rPr>
          <w:i/>
          <w:sz w:val="20"/>
        </w:rPr>
        <w:t>–</w:t>
      </w:r>
      <w:r>
        <w:rPr>
          <w:i/>
          <w:spacing w:val="-5"/>
          <w:sz w:val="20"/>
        </w:rPr>
        <w:t xml:space="preserve"> </w:t>
      </w:r>
      <w:r>
        <w:rPr>
          <w:i/>
          <w:sz w:val="20"/>
        </w:rPr>
        <w:t>Anti‐Dumping</w:t>
      </w:r>
      <w:r>
        <w:rPr>
          <w:i/>
          <w:spacing w:val="-4"/>
          <w:sz w:val="20"/>
        </w:rPr>
        <w:t xml:space="preserve"> </w:t>
      </w:r>
      <w:r>
        <w:rPr>
          <w:i/>
          <w:sz w:val="20"/>
        </w:rPr>
        <w:t>and</w:t>
      </w:r>
      <w:r>
        <w:rPr>
          <w:i/>
          <w:spacing w:val="-5"/>
          <w:sz w:val="20"/>
        </w:rPr>
        <w:t xml:space="preserve"> </w:t>
      </w:r>
      <w:r>
        <w:rPr>
          <w:i/>
          <w:sz w:val="20"/>
        </w:rPr>
        <w:t>Countervailing</w:t>
      </w:r>
      <w:r>
        <w:rPr>
          <w:i/>
          <w:spacing w:val="-5"/>
          <w:sz w:val="20"/>
        </w:rPr>
        <w:t xml:space="preserve"> </w:t>
      </w:r>
      <w:r>
        <w:rPr>
          <w:i/>
          <w:sz w:val="20"/>
        </w:rPr>
        <w:t>Duty</w:t>
      </w:r>
      <w:r>
        <w:rPr>
          <w:i/>
          <w:spacing w:val="-4"/>
          <w:sz w:val="20"/>
        </w:rPr>
        <w:t xml:space="preserve"> </w:t>
      </w:r>
      <w:r>
        <w:rPr>
          <w:i/>
          <w:spacing w:val="-2"/>
          <w:sz w:val="20"/>
        </w:rPr>
        <w:t>Measures</w:t>
      </w:r>
      <w:r>
        <w:rPr>
          <w:i/>
          <w:sz w:val="20"/>
        </w:rPr>
        <w:tab/>
      </w:r>
      <w:r>
        <w:rPr>
          <w:sz w:val="20"/>
        </w:rPr>
        <w:t>Australia's</w:t>
      </w:r>
      <w:r>
        <w:rPr>
          <w:spacing w:val="-7"/>
          <w:sz w:val="20"/>
        </w:rPr>
        <w:t xml:space="preserve"> </w:t>
      </w:r>
      <w:r>
        <w:rPr>
          <w:sz w:val="20"/>
        </w:rPr>
        <w:t>First</w:t>
      </w:r>
      <w:r>
        <w:rPr>
          <w:spacing w:val="-2"/>
          <w:sz w:val="20"/>
        </w:rPr>
        <w:t xml:space="preserve"> </w:t>
      </w:r>
      <w:r>
        <w:rPr>
          <w:sz w:val="20"/>
        </w:rPr>
        <w:t>Written</w:t>
      </w:r>
      <w:r>
        <w:rPr>
          <w:spacing w:val="-2"/>
          <w:sz w:val="20"/>
        </w:rPr>
        <w:t xml:space="preserve"> Submission</w:t>
      </w:r>
    </w:p>
    <w:p w14:paraId="51DE7F71" w14:textId="77777777" w:rsidR="0010369C" w:rsidRDefault="008E43AE">
      <w:pPr>
        <w:tabs>
          <w:tab w:val="left" w:pos="8228"/>
        </w:tabs>
        <w:spacing w:before="1"/>
        <w:ind w:left="239"/>
        <w:rPr>
          <w:sz w:val="20"/>
        </w:rPr>
      </w:pPr>
      <w:r>
        <w:rPr>
          <w:i/>
          <w:sz w:val="20"/>
        </w:rPr>
        <w:t>on</w:t>
      </w:r>
      <w:r>
        <w:rPr>
          <w:i/>
          <w:spacing w:val="-1"/>
          <w:sz w:val="20"/>
        </w:rPr>
        <w:t xml:space="preserve"> </w:t>
      </w:r>
      <w:r>
        <w:rPr>
          <w:i/>
          <w:sz w:val="20"/>
        </w:rPr>
        <w:t>Wine</w:t>
      </w:r>
      <w:r>
        <w:rPr>
          <w:i/>
          <w:spacing w:val="-1"/>
          <w:sz w:val="20"/>
        </w:rPr>
        <w:t xml:space="preserve"> </w:t>
      </w:r>
      <w:r>
        <w:rPr>
          <w:i/>
          <w:sz w:val="20"/>
        </w:rPr>
        <w:t>from</w:t>
      </w:r>
      <w:r>
        <w:rPr>
          <w:i/>
          <w:spacing w:val="-3"/>
          <w:sz w:val="20"/>
        </w:rPr>
        <w:t xml:space="preserve"> </w:t>
      </w:r>
      <w:r>
        <w:rPr>
          <w:i/>
          <w:sz w:val="20"/>
        </w:rPr>
        <w:t>Australia</w:t>
      </w:r>
      <w:r>
        <w:rPr>
          <w:i/>
          <w:spacing w:val="-1"/>
          <w:sz w:val="20"/>
        </w:rPr>
        <w:t xml:space="preserve"> </w:t>
      </w:r>
      <w:r>
        <w:rPr>
          <w:spacing w:val="-2"/>
          <w:sz w:val="20"/>
        </w:rPr>
        <w:t>(DS602)</w:t>
      </w:r>
      <w:r>
        <w:rPr>
          <w:sz w:val="20"/>
        </w:rPr>
        <w:tab/>
        <w:t>29</w:t>
      </w:r>
      <w:r>
        <w:rPr>
          <w:spacing w:val="-1"/>
          <w:sz w:val="20"/>
        </w:rPr>
        <w:t xml:space="preserve"> </w:t>
      </w:r>
      <w:r>
        <w:rPr>
          <w:sz w:val="20"/>
        </w:rPr>
        <w:t>April</w:t>
      </w:r>
      <w:r>
        <w:rPr>
          <w:spacing w:val="-2"/>
          <w:sz w:val="20"/>
        </w:rPr>
        <w:t xml:space="preserve"> </w:t>
      </w:r>
      <w:r>
        <w:rPr>
          <w:spacing w:val="-4"/>
          <w:sz w:val="20"/>
        </w:rPr>
        <w:t>2022</w:t>
      </w:r>
    </w:p>
    <w:p w14:paraId="51DE7F72" w14:textId="77777777" w:rsidR="0010369C" w:rsidRDefault="008E43AE">
      <w:pPr>
        <w:pStyle w:val="BodyText"/>
        <w:spacing w:before="34" w:line="360" w:lineRule="auto"/>
        <w:ind w:left="237" w:right="613" w:firstLine="851"/>
        <w:jc w:val="both"/>
      </w:pPr>
      <w:r>
        <w:rPr>
          <w:noProof/>
        </w:rPr>
        <w:drawing>
          <wp:anchor distT="0" distB="0" distL="0" distR="0" simplePos="0" relativeHeight="250820096" behindDoc="1" locked="0" layoutInCell="1" allowOverlap="1" wp14:anchorId="51DE9E79" wp14:editId="51DE9E7A">
            <wp:simplePos x="0" y="0"/>
            <wp:positionH relativeFrom="page">
              <wp:posOffset>908303</wp:posOffset>
            </wp:positionH>
            <wp:positionV relativeFrom="paragraph">
              <wp:posOffset>69165</wp:posOffset>
            </wp:positionV>
            <wp:extent cx="256031" cy="103631"/>
            <wp:effectExtent l="0" t="0" r="0" b="0"/>
            <wp:wrapNone/>
            <wp:docPr id="265" name="image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image141.png"/>
                    <pic:cNvPicPr/>
                  </pic:nvPicPr>
                  <pic:blipFill>
                    <a:blip r:embed="rId235" cstate="print"/>
                    <a:stretch>
                      <a:fillRect/>
                    </a:stretch>
                  </pic:blipFill>
                  <pic:spPr>
                    <a:xfrm>
                      <a:off x="0" y="0"/>
                      <a:ext cx="256031" cy="103631"/>
                    </a:xfrm>
                    <a:prstGeom prst="rect">
                      <a:avLst/>
                    </a:prstGeom>
                  </pic:spPr>
                </pic:pic>
              </a:graphicData>
            </a:graphic>
          </wp:anchor>
        </w:drawing>
      </w:r>
      <w:r>
        <w:t>With respect to normal value, MOFCOM's explanation of its methodology for Treasury Wines in the Preliminary and Final Determinations was cast in vague and general language</w:t>
      </w:r>
      <w:r>
        <w:rPr>
          <w:spacing w:val="-11"/>
        </w:rPr>
        <w:t xml:space="preserve"> </w:t>
      </w:r>
      <w:r>
        <w:t>that</w:t>
      </w:r>
      <w:r>
        <w:rPr>
          <w:spacing w:val="-13"/>
        </w:rPr>
        <w:t xml:space="preserve"> </w:t>
      </w:r>
      <w:r>
        <w:t>provided</w:t>
      </w:r>
      <w:r>
        <w:rPr>
          <w:spacing w:val="-13"/>
        </w:rPr>
        <w:t xml:space="preserve"> </w:t>
      </w:r>
      <w:r>
        <w:t>insufficient</w:t>
      </w:r>
      <w:r>
        <w:rPr>
          <w:spacing w:val="-12"/>
        </w:rPr>
        <w:t xml:space="preserve"> </w:t>
      </w:r>
      <w:r>
        <w:t>disclosure</w:t>
      </w:r>
      <w:r>
        <w:rPr>
          <w:spacing w:val="-13"/>
        </w:rPr>
        <w:t xml:space="preserve"> </w:t>
      </w:r>
      <w:r>
        <w:t>of</w:t>
      </w:r>
      <w:r>
        <w:rPr>
          <w:spacing w:val="-13"/>
        </w:rPr>
        <w:t xml:space="preserve"> </w:t>
      </w:r>
      <w:r>
        <w:t>the</w:t>
      </w:r>
      <w:r>
        <w:rPr>
          <w:spacing w:val="-12"/>
        </w:rPr>
        <w:t xml:space="preserve"> </w:t>
      </w:r>
      <w:r>
        <w:t>non‐confidential</w:t>
      </w:r>
      <w:r>
        <w:rPr>
          <w:spacing w:val="-12"/>
        </w:rPr>
        <w:t xml:space="preserve"> </w:t>
      </w:r>
      <w:r>
        <w:t>calculation</w:t>
      </w:r>
      <w:r>
        <w:rPr>
          <w:spacing w:val="-13"/>
        </w:rPr>
        <w:t xml:space="preserve"> </w:t>
      </w:r>
      <w:r>
        <w:t>process.</w:t>
      </w:r>
      <w:r>
        <w:rPr>
          <w:spacing w:val="-12"/>
        </w:rPr>
        <w:t xml:space="preserve"> </w:t>
      </w:r>
      <w:r>
        <w:t>T</w:t>
      </w:r>
      <w:r>
        <w:t xml:space="preserve">his opacity meant that Australia and the interested parties in the investigation were forced to engage in a process of reverse engineering MOFCOM's findings in order to understand the determination that was made. For example, it required, </w:t>
      </w:r>
      <w:r>
        <w:rPr>
          <w:i/>
        </w:rPr>
        <w:t>inter alia</w:t>
      </w:r>
      <w:r>
        <w:t>, the e</w:t>
      </w:r>
      <w:r>
        <w:t>ngagement in "back‐ calculations and inferential reasoning" to ascertain the essential facts,</w:t>
      </w:r>
      <w:r>
        <w:rPr>
          <w:vertAlign w:val="superscript"/>
        </w:rPr>
        <w:t>133</w:t>
      </w:r>
      <w:r>
        <w:t xml:space="preserve"> being the specific domestic sales MOFCOM relied upon to calculate its normal value. The lack of transparency undermined Australia's ability to challenge MOFCOM</w:t>
      </w:r>
      <w:r>
        <w:t>'s findings.</w:t>
      </w:r>
    </w:p>
    <w:p w14:paraId="51DE7F73" w14:textId="77777777" w:rsidR="0010369C" w:rsidRDefault="0010369C">
      <w:pPr>
        <w:pStyle w:val="BodyText"/>
        <w:spacing w:before="11"/>
        <w:rPr>
          <w:sz w:val="8"/>
        </w:rPr>
      </w:pPr>
    </w:p>
    <w:p w14:paraId="51DE7F74" w14:textId="77777777" w:rsidR="0010369C" w:rsidRDefault="008E43AE">
      <w:pPr>
        <w:pStyle w:val="BodyText"/>
        <w:spacing w:before="51" w:line="360" w:lineRule="auto"/>
        <w:ind w:left="236" w:right="612" w:firstLine="852"/>
        <w:jc w:val="both"/>
      </w:pPr>
      <w:r>
        <w:rPr>
          <w:noProof/>
        </w:rPr>
        <w:drawing>
          <wp:anchor distT="0" distB="0" distL="0" distR="0" simplePos="0" relativeHeight="250821120" behindDoc="1" locked="0" layoutInCell="1" allowOverlap="1" wp14:anchorId="51DE9E7B" wp14:editId="51DE9E7C">
            <wp:simplePos x="0" y="0"/>
            <wp:positionH relativeFrom="page">
              <wp:posOffset>908303</wp:posOffset>
            </wp:positionH>
            <wp:positionV relativeFrom="paragraph">
              <wp:posOffset>76150</wp:posOffset>
            </wp:positionV>
            <wp:extent cx="256031" cy="106679"/>
            <wp:effectExtent l="0" t="0" r="0" b="0"/>
            <wp:wrapNone/>
            <wp:docPr id="267" name="image1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image142.png"/>
                    <pic:cNvPicPr/>
                  </pic:nvPicPr>
                  <pic:blipFill>
                    <a:blip r:embed="rId236" cstate="print"/>
                    <a:stretch>
                      <a:fillRect/>
                    </a:stretch>
                  </pic:blipFill>
                  <pic:spPr>
                    <a:xfrm>
                      <a:off x="0" y="0"/>
                      <a:ext cx="256031" cy="106679"/>
                    </a:xfrm>
                    <a:prstGeom prst="rect">
                      <a:avLst/>
                    </a:prstGeom>
                  </pic:spPr>
                </pic:pic>
              </a:graphicData>
            </a:graphic>
          </wp:anchor>
        </w:drawing>
      </w:r>
      <w:r>
        <w:t>MOFCOM resorted to facts available in respect of Treasury Wines' costs associated with the production and sale of wines in a manner that was inconsistent with Article 6.8 and paragraphs 1, 3, 5, 6, and 7 of Annex II of the Anti‐Dumping Agree</w:t>
      </w:r>
      <w:r>
        <w:t>ment. This resulted in erroneous costs being determined by MOFCOM which, in turn, were used in the application of</w:t>
      </w:r>
      <w:r>
        <w:rPr>
          <w:spacing w:val="40"/>
        </w:rPr>
        <w:t xml:space="preserve"> </w:t>
      </w:r>
      <w:r>
        <w:t>the</w:t>
      </w:r>
      <w:r>
        <w:rPr>
          <w:spacing w:val="40"/>
        </w:rPr>
        <w:t xml:space="preserve"> </w:t>
      </w:r>
      <w:r>
        <w:t>below‐cost</w:t>
      </w:r>
      <w:r>
        <w:rPr>
          <w:spacing w:val="40"/>
        </w:rPr>
        <w:t xml:space="preserve"> </w:t>
      </w:r>
      <w:r>
        <w:t>test</w:t>
      </w:r>
      <w:r>
        <w:rPr>
          <w:spacing w:val="40"/>
        </w:rPr>
        <w:t xml:space="preserve"> </w:t>
      </w:r>
      <w:r>
        <w:t>in</w:t>
      </w:r>
      <w:r>
        <w:rPr>
          <w:spacing w:val="40"/>
        </w:rPr>
        <w:t xml:space="preserve"> </w:t>
      </w:r>
      <w:r>
        <w:t>Article</w:t>
      </w:r>
      <w:r>
        <w:rPr>
          <w:spacing w:val="40"/>
        </w:rPr>
        <w:t xml:space="preserve"> </w:t>
      </w:r>
      <w:r>
        <w:t>2.2.1</w:t>
      </w:r>
      <w:r>
        <w:rPr>
          <w:spacing w:val="40"/>
        </w:rPr>
        <w:t xml:space="preserve"> </w:t>
      </w:r>
      <w:r>
        <w:t>and</w:t>
      </w:r>
      <w:r>
        <w:rPr>
          <w:spacing w:val="40"/>
        </w:rPr>
        <w:t xml:space="preserve"> </w:t>
      </w:r>
      <w:r>
        <w:t>in</w:t>
      </w:r>
      <w:r>
        <w:rPr>
          <w:spacing w:val="40"/>
        </w:rPr>
        <w:t xml:space="preserve"> </w:t>
      </w:r>
      <w:r>
        <w:t>the</w:t>
      </w:r>
      <w:r>
        <w:rPr>
          <w:spacing w:val="40"/>
        </w:rPr>
        <w:t xml:space="preserve"> </w:t>
      </w:r>
      <w:r>
        <w:t>construction</w:t>
      </w:r>
      <w:r>
        <w:rPr>
          <w:spacing w:val="40"/>
        </w:rPr>
        <w:t xml:space="preserve"> </w:t>
      </w:r>
      <w:r>
        <w:t>of</w:t>
      </w:r>
      <w:r>
        <w:rPr>
          <w:spacing w:val="40"/>
        </w:rPr>
        <w:t xml:space="preserve"> </w:t>
      </w:r>
      <w:r>
        <w:t>normal</w:t>
      </w:r>
      <w:r>
        <w:rPr>
          <w:spacing w:val="40"/>
        </w:rPr>
        <w:t xml:space="preserve"> </w:t>
      </w:r>
      <w:r>
        <w:t>values</w:t>
      </w:r>
      <w:r>
        <w:rPr>
          <w:spacing w:val="40"/>
        </w:rPr>
        <w:t xml:space="preserve"> </w:t>
      </w:r>
      <w:r>
        <w:t>under Article</w:t>
      </w:r>
      <w:r>
        <w:rPr>
          <w:spacing w:val="-2"/>
        </w:rPr>
        <w:t xml:space="preserve"> </w:t>
      </w:r>
      <w:r>
        <w:t>2.2, creating further inconsistencies with those provisions. The errors were compounded by MOFCOM's failure to ensure that the domestic selling prices used to determine</w:t>
      </w:r>
      <w:r>
        <w:rPr>
          <w:spacing w:val="-1"/>
        </w:rPr>
        <w:t xml:space="preserve"> </w:t>
      </w:r>
      <w:r>
        <w:t>normal</w:t>
      </w:r>
      <w:r>
        <w:rPr>
          <w:spacing w:val="-1"/>
        </w:rPr>
        <w:t xml:space="preserve"> </w:t>
      </w:r>
      <w:r>
        <w:t>value</w:t>
      </w:r>
      <w:r>
        <w:rPr>
          <w:spacing w:val="-1"/>
        </w:rPr>
        <w:t xml:space="preserve"> </w:t>
      </w:r>
      <w:r>
        <w:t>and</w:t>
      </w:r>
      <w:r>
        <w:rPr>
          <w:spacing w:val="-2"/>
        </w:rPr>
        <w:t xml:space="preserve"> </w:t>
      </w:r>
      <w:r>
        <w:t>the</w:t>
      </w:r>
      <w:r>
        <w:rPr>
          <w:spacing w:val="-1"/>
        </w:rPr>
        <w:t xml:space="preserve"> </w:t>
      </w:r>
      <w:r>
        <w:t>constructed</w:t>
      </w:r>
      <w:r>
        <w:rPr>
          <w:spacing w:val="-2"/>
        </w:rPr>
        <w:t xml:space="preserve"> </w:t>
      </w:r>
      <w:r>
        <w:t>normal</w:t>
      </w:r>
      <w:r>
        <w:rPr>
          <w:spacing w:val="-1"/>
        </w:rPr>
        <w:t xml:space="preserve"> </w:t>
      </w:r>
      <w:r>
        <w:t>value</w:t>
      </w:r>
      <w:r>
        <w:rPr>
          <w:spacing w:val="-1"/>
        </w:rPr>
        <w:t xml:space="preserve"> </w:t>
      </w:r>
      <w:r>
        <w:t>were</w:t>
      </w:r>
      <w:r>
        <w:rPr>
          <w:spacing w:val="-2"/>
        </w:rPr>
        <w:t xml:space="preserve"> </w:t>
      </w:r>
      <w:r>
        <w:t>comparable</w:t>
      </w:r>
      <w:r>
        <w:rPr>
          <w:spacing w:val="-1"/>
        </w:rPr>
        <w:t xml:space="preserve"> </w:t>
      </w:r>
      <w:r>
        <w:t>to</w:t>
      </w:r>
      <w:r>
        <w:rPr>
          <w:spacing w:val="-1"/>
        </w:rPr>
        <w:t xml:space="preserve"> </w:t>
      </w:r>
      <w:r>
        <w:t>export</w:t>
      </w:r>
      <w:r>
        <w:rPr>
          <w:spacing w:val="-2"/>
        </w:rPr>
        <w:t xml:space="preserve"> </w:t>
      </w:r>
      <w:r>
        <w:t>prices to China</w:t>
      </w:r>
      <w:r>
        <w:t>, a fundamental requirement under Articles 2.1 and 2.2.</w:t>
      </w:r>
    </w:p>
    <w:p w14:paraId="51DE7F75" w14:textId="77777777" w:rsidR="0010369C" w:rsidRDefault="0010369C">
      <w:pPr>
        <w:pStyle w:val="BodyText"/>
        <w:spacing w:before="11"/>
        <w:rPr>
          <w:sz w:val="8"/>
        </w:rPr>
      </w:pPr>
    </w:p>
    <w:p w14:paraId="51DE7F76" w14:textId="77777777" w:rsidR="0010369C" w:rsidRDefault="008E43AE">
      <w:pPr>
        <w:pStyle w:val="BodyText"/>
        <w:spacing w:before="51" w:line="360" w:lineRule="auto"/>
        <w:ind w:left="238" w:right="614" w:firstLine="851"/>
        <w:rPr>
          <w:sz w:val="16"/>
        </w:rPr>
      </w:pPr>
      <w:r>
        <w:rPr>
          <w:noProof/>
        </w:rPr>
        <w:drawing>
          <wp:anchor distT="0" distB="0" distL="0" distR="0" simplePos="0" relativeHeight="250822144" behindDoc="1" locked="0" layoutInCell="1" allowOverlap="1" wp14:anchorId="51DE9E7D" wp14:editId="51DE9E7E">
            <wp:simplePos x="0" y="0"/>
            <wp:positionH relativeFrom="page">
              <wp:posOffset>908303</wp:posOffset>
            </wp:positionH>
            <wp:positionV relativeFrom="paragraph">
              <wp:posOffset>81314</wp:posOffset>
            </wp:positionV>
            <wp:extent cx="256031" cy="100753"/>
            <wp:effectExtent l="0" t="0" r="0" b="0"/>
            <wp:wrapNone/>
            <wp:docPr id="269" name="image1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image143.png"/>
                    <pic:cNvPicPr/>
                  </pic:nvPicPr>
                  <pic:blipFill>
                    <a:blip r:embed="rId237" cstate="print"/>
                    <a:stretch>
                      <a:fillRect/>
                    </a:stretch>
                  </pic:blipFill>
                  <pic:spPr>
                    <a:xfrm>
                      <a:off x="0" y="0"/>
                      <a:ext cx="256031" cy="100753"/>
                    </a:xfrm>
                    <a:prstGeom prst="rect">
                      <a:avLst/>
                    </a:prstGeom>
                  </pic:spPr>
                </pic:pic>
              </a:graphicData>
            </a:graphic>
          </wp:anchor>
        </w:drawing>
      </w:r>
      <w:r>
        <w:t>The foregoing errors contributed to an inflated dumping margin for Treasury Wines of 175.6%, the highest of the sampled companies</w:t>
      </w:r>
      <w:r>
        <w:rPr>
          <w:sz w:val="16"/>
        </w:rPr>
        <w:t>.</w:t>
      </w:r>
    </w:p>
    <w:p w14:paraId="51DE7F77" w14:textId="77777777" w:rsidR="0010369C" w:rsidRDefault="008E43AE">
      <w:pPr>
        <w:pStyle w:val="Heading4"/>
        <w:numPr>
          <w:ilvl w:val="2"/>
          <w:numId w:val="75"/>
        </w:numPr>
        <w:tabs>
          <w:tab w:val="left" w:pos="2648"/>
          <w:tab w:val="left" w:pos="2649"/>
        </w:tabs>
        <w:spacing w:before="162"/>
        <w:ind w:left="2649"/>
      </w:pPr>
      <w:bookmarkStart w:id="23" w:name="_TOC_250006"/>
      <w:r>
        <w:t>MOFCOM</w:t>
      </w:r>
      <w:r>
        <w:rPr>
          <w:spacing w:val="-9"/>
        </w:rPr>
        <w:t xml:space="preserve"> </w:t>
      </w:r>
      <w:r>
        <w:t>improperly</w:t>
      </w:r>
      <w:r>
        <w:rPr>
          <w:spacing w:val="-9"/>
        </w:rPr>
        <w:t xml:space="preserve"> </w:t>
      </w:r>
      <w:r>
        <w:t>resorted</w:t>
      </w:r>
      <w:r>
        <w:rPr>
          <w:spacing w:val="-8"/>
        </w:rPr>
        <w:t xml:space="preserve"> </w:t>
      </w:r>
      <w:r>
        <w:t>to</w:t>
      </w:r>
      <w:r>
        <w:rPr>
          <w:spacing w:val="-8"/>
        </w:rPr>
        <w:t xml:space="preserve"> </w:t>
      </w:r>
      <w:r>
        <w:t>facts</w:t>
      </w:r>
      <w:r>
        <w:rPr>
          <w:spacing w:val="-9"/>
        </w:rPr>
        <w:t xml:space="preserve"> </w:t>
      </w:r>
      <w:bookmarkEnd w:id="23"/>
      <w:r>
        <w:rPr>
          <w:spacing w:val="-2"/>
        </w:rPr>
        <w:t>available</w:t>
      </w:r>
    </w:p>
    <w:p w14:paraId="51DE7F78" w14:textId="77777777" w:rsidR="0010369C" w:rsidRDefault="0010369C">
      <w:pPr>
        <w:pStyle w:val="BodyText"/>
        <w:spacing w:before="9"/>
        <w:rPr>
          <w:b/>
          <w:sz w:val="20"/>
        </w:rPr>
      </w:pPr>
    </w:p>
    <w:p w14:paraId="51DE7F79" w14:textId="77777777" w:rsidR="0010369C" w:rsidRDefault="008E43AE">
      <w:pPr>
        <w:pStyle w:val="BodyText"/>
        <w:spacing w:before="51" w:line="360" w:lineRule="auto"/>
        <w:ind w:left="237" w:right="613" w:firstLine="851"/>
        <w:jc w:val="both"/>
      </w:pPr>
      <w:r>
        <w:rPr>
          <w:noProof/>
        </w:rPr>
        <w:drawing>
          <wp:anchor distT="0" distB="0" distL="0" distR="0" simplePos="0" relativeHeight="250823168" behindDoc="1" locked="0" layoutInCell="1" allowOverlap="1" wp14:anchorId="51DE9E7F" wp14:editId="51DE9E80">
            <wp:simplePos x="0" y="0"/>
            <wp:positionH relativeFrom="page">
              <wp:posOffset>908303</wp:posOffset>
            </wp:positionH>
            <wp:positionV relativeFrom="paragraph">
              <wp:posOffset>80723</wp:posOffset>
            </wp:positionV>
            <wp:extent cx="256031" cy="103631"/>
            <wp:effectExtent l="0" t="0" r="0" b="0"/>
            <wp:wrapNone/>
            <wp:docPr id="271" name="image1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image144.png"/>
                    <pic:cNvPicPr/>
                  </pic:nvPicPr>
                  <pic:blipFill>
                    <a:blip r:embed="rId238" cstate="print"/>
                    <a:stretch>
                      <a:fillRect/>
                    </a:stretch>
                  </pic:blipFill>
                  <pic:spPr>
                    <a:xfrm>
                      <a:off x="0" y="0"/>
                      <a:ext cx="256031" cy="103631"/>
                    </a:xfrm>
                    <a:prstGeom prst="rect">
                      <a:avLst/>
                    </a:prstGeom>
                  </pic:spPr>
                </pic:pic>
              </a:graphicData>
            </a:graphic>
          </wp:anchor>
        </w:drawing>
      </w:r>
      <w:r>
        <w:t>Given that MOFCOM's improper resort to facts available led to errors in the determination</w:t>
      </w:r>
      <w:r>
        <w:rPr>
          <w:spacing w:val="-3"/>
        </w:rPr>
        <w:t xml:space="preserve"> </w:t>
      </w:r>
      <w:r>
        <w:t>of</w:t>
      </w:r>
      <w:r>
        <w:rPr>
          <w:spacing w:val="-4"/>
        </w:rPr>
        <w:t xml:space="preserve"> </w:t>
      </w:r>
      <w:r>
        <w:t>normal</w:t>
      </w:r>
      <w:r>
        <w:rPr>
          <w:spacing w:val="-3"/>
        </w:rPr>
        <w:t xml:space="preserve"> </w:t>
      </w:r>
      <w:r>
        <w:t>value</w:t>
      </w:r>
      <w:r>
        <w:rPr>
          <w:spacing w:val="-4"/>
        </w:rPr>
        <w:t xml:space="preserve"> </w:t>
      </w:r>
      <w:r>
        <w:t>using</w:t>
      </w:r>
      <w:r>
        <w:rPr>
          <w:spacing w:val="-2"/>
        </w:rPr>
        <w:t xml:space="preserve"> </w:t>
      </w:r>
      <w:r>
        <w:t>both</w:t>
      </w:r>
      <w:r>
        <w:rPr>
          <w:spacing w:val="-4"/>
        </w:rPr>
        <w:t xml:space="preserve"> </w:t>
      </w:r>
      <w:r>
        <w:t>domestic</w:t>
      </w:r>
      <w:r>
        <w:rPr>
          <w:spacing w:val="-3"/>
        </w:rPr>
        <w:t xml:space="preserve"> </w:t>
      </w:r>
      <w:r>
        <w:t>prices</w:t>
      </w:r>
      <w:r>
        <w:rPr>
          <w:spacing w:val="-4"/>
        </w:rPr>
        <w:t xml:space="preserve"> </w:t>
      </w:r>
      <w:r>
        <w:t>and</w:t>
      </w:r>
      <w:r>
        <w:rPr>
          <w:spacing w:val="-4"/>
        </w:rPr>
        <w:t xml:space="preserve"> </w:t>
      </w:r>
      <w:r>
        <w:t>constructed</w:t>
      </w:r>
      <w:r>
        <w:rPr>
          <w:spacing w:val="-4"/>
        </w:rPr>
        <w:t xml:space="preserve"> </w:t>
      </w:r>
      <w:r>
        <w:t>normal</w:t>
      </w:r>
      <w:r>
        <w:rPr>
          <w:spacing w:val="-3"/>
        </w:rPr>
        <w:t xml:space="preserve"> </w:t>
      </w:r>
      <w:r>
        <w:t>value,</w:t>
      </w:r>
      <w:r>
        <w:rPr>
          <w:spacing w:val="-5"/>
        </w:rPr>
        <w:t xml:space="preserve"> </w:t>
      </w:r>
      <w:r>
        <w:t>it</w:t>
      </w:r>
      <w:r>
        <w:rPr>
          <w:spacing w:val="-4"/>
        </w:rPr>
        <w:t xml:space="preserve"> </w:t>
      </w:r>
      <w:r>
        <w:t>is the logical starting point for demonstrating the errors in MOFCOM's determination of dumping for Treasury Wines.</w:t>
      </w:r>
    </w:p>
    <w:p w14:paraId="51DE7F7A" w14:textId="77777777" w:rsidR="0010369C" w:rsidRDefault="0010369C">
      <w:pPr>
        <w:pStyle w:val="BodyText"/>
        <w:rPr>
          <w:sz w:val="9"/>
        </w:rPr>
      </w:pPr>
    </w:p>
    <w:p w14:paraId="51DE7F7B" w14:textId="77777777" w:rsidR="0010369C" w:rsidRDefault="008E43AE">
      <w:pPr>
        <w:pStyle w:val="BodyText"/>
        <w:spacing w:before="52" w:line="360" w:lineRule="auto"/>
        <w:ind w:left="238" w:right="614" w:firstLine="850"/>
        <w:jc w:val="both"/>
      </w:pPr>
      <w:r>
        <w:rPr>
          <w:noProof/>
        </w:rPr>
        <w:drawing>
          <wp:anchor distT="0" distB="0" distL="0" distR="0" simplePos="0" relativeHeight="250824192" behindDoc="1" locked="0" layoutInCell="1" allowOverlap="1" wp14:anchorId="51DE9E81" wp14:editId="51DE9E82">
            <wp:simplePos x="0" y="0"/>
            <wp:positionH relativeFrom="page">
              <wp:posOffset>908303</wp:posOffset>
            </wp:positionH>
            <wp:positionV relativeFrom="paragraph">
              <wp:posOffset>81949</wp:posOffset>
            </wp:positionV>
            <wp:extent cx="256031" cy="100753"/>
            <wp:effectExtent l="0" t="0" r="0" b="0"/>
            <wp:wrapNone/>
            <wp:docPr id="273" name="image1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image145.png"/>
                    <pic:cNvPicPr/>
                  </pic:nvPicPr>
                  <pic:blipFill>
                    <a:blip r:embed="rId239" cstate="print"/>
                    <a:stretch>
                      <a:fillRect/>
                    </a:stretch>
                  </pic:blipFill>
                  <pic:spPr>
                    <a:xfrm>
                      <a:off x="0" y="0"/>
                      <a:ext cx="256031" cy="100753"/>
                    </a:xfrm>
                    <a:prstGeom prst="rect">
                      <a:avLst/>
                    </a:prstGeom>
                  </pic:spPr>
                </pic:pic>
              </a:graphicData>
            </a:graphic>
          </wp:anchor>
        </w:drawing>
      </w:r>
      <w:r>
        <w:t>MOFCOM's</w:t>
      </w:r>
      <w:r>
        <w:rPr>
          <w:spacing w:val="-14"/>
        </w:rPr>
        <w:t xml:space="preserve"> </w:t>
      </w:r>
      <w:r>
        <w:t>resort</w:t>
      </w:r>
      <w:r>
        <w:rPr>
          <w:spacing w:val="-14"/>
        </w:rPr>
        <w:t xml:space="preserve"> </w:t>
      </w:r>
      <w:r>
        <w:t>to</w:t>
      </w:r>
      <w:r>
        <w:rPr>
          <w:spacing w:val="-13"/>
        </w:rPr>
        <w:t xml:space="preserve"> </w:t>
      </w:r>
      <w:r>
        <w:t>facts</w:t>
      </w:r>
      <w:r>
        <w:rPr>
          <w:spacing w:val="-14"/>
        </w:rPr>
        <w:t xml:space="preserve"> </w:t>
      </w:r>
      <w:r>
        <w:t>available</w:t>
      </w:r>
      <w:r>
        <w:rPr>
          <w:spacing w:val="-13"/>
        </w:rPr>
        <w:t xml:space="preserve"> </w:t>
      </w:r>
      <w:r>
        <w:t>is</w:t>
      </w:r>
      <w:r>
        <w:rPr>
          <w:spacing w:val="-14"/>
        </w:rPr>
        <w:t xml:space="preserve"> </w:t>
      </w:r>
      <w:r>
        <w:t>limited</w:t>
      </w:r>
      <w:r>
        <w:rPr>
          <w:spacing w:val="-13"/>
        </w:rPr>
        <w:t xml:space="preserve"> </w:t>
      </w:r>
      <w:r>
        <w:t>to</w:t>
      </w:r>
      <w:r>
        <w:rPr>
          <w:spacing w:val="-14"/>
        </w:rPr>
        <w:t xml:space="preserve"> </w:t>
      </w:r>
      <w:r>
        <w:t>the</w:t>
      </w:r>
      <w:r>
        <w:rPr>
          <w:spacing w:val="-14"/>
        </w:rPr>
        <w:t xml:space="preserve"> </w:t>
      </w:r>
      <w:r>
        <w:t>determination</w:t>
      </w:r>
      <w:r>
        <w:rPr>
          <w:spacing w:val="-13"/>
        </w:rPr>
        <w:t xml:space="preserve"> </w:t>
      </w:r>
      <w:r>
        <w:t>of</w:t>
      </w:r>
      <w:r>
        <w:rPr>
          <w:spacing w:val="-14"/>
        </w:rPr>
        <w:t xml:space="preserve"> </w:t>
      </w:r>
      <w:r>
        <w:t>Treasury</w:t>
      </w:r>
      <w:r>
        <w:rPr>
          <w:spacing w:val="-13"/>
        </w:rPr>
        <w:t xml:space="preserve"> </w:t>
      </w:r>
      <w:r>
        <w:t>Wines' production</w:t>
      </w:r>
      <w:r>
        <w:rPr>
          <w:spacing w:val="-5"/>
        </w:rPr>
        <w:t xml:space="preserve"> </w:t>
      </w:r>
      <w:r>
        <w:t>costs</w:t>
      </w:r>
      <w:r>
        <w:rPr>
          <w:spacing w:val="-5"/>
        </w:rPr>
        <w:t xml:space="preserve"> </w:t>
      </w:r>
      <w:r>
        <w:t>and</w:t>
      </w:r>
      <w:r>
        <w:rPr>
          <w:spacing w:val="-5"/>
        </w:rPr>
        <w:t xml:space="preserve"> </w:t>
      </w:r>
      <w:r>
        <w:t>expenses.</w:t>
      </w:r>
      <w:r>
        <w:rPr>
          <w:vertAlign w:val="superscript"/>
        </w:rPr>
        <w:t>134</w:t>
      </w:r>
      <w:r>
        <w:rPr>
          <w:spacing w:val="-6"/>
        </w:rPr>
        <w:t xml:space="preserve"> </w:t>
      </w:r>
      <w:r>
        <w:t>It</w:t>
      </w:r>
      <w:r>
        <w:rPr>
          <w:spacing w:val="-5"/>
        </w:rPr>
        <w:t xml:space="preserve"> </w:t>
      </w:r>
      <w:r>
        <w:t>found</w:t>
      </w:r>
      <w:r>
        <w:rPr>
          <w:spacing w:val="-5"/>
        </w:rPr>
        <w:t xml:space="preserve"> </w:t>
      </w:r>
      <w:r>
        <w:t>that</w:t>
      </w:r>
      <w:r>
        <w:rPr>
          <w:spacing w:val="-5"/>
        </w:rPr>
        <w:t xml:space="preserve"> </w:t>
      </w:r>
      <w:r>
        <w:t>Trea</w:t>
      </w:r>
      <w:r>
        <w:t>sury</w:t>
      </w:r>
      <w:r>
        <w:rPr>
          <w:spacing w:val="-4"/>
        </w:rPr>
        <w:t xml:space="preserve"> </w:t>
      </w:r>
      <w:r>
        <w:t>Wines</w:t>
      </w:r>
      <w:r>
        <w:rPr>
          <w:spacing w:val="-7"/>
        </w:rPr>
        <w:t xml:space="preserve"> </w:t>
      </w:r>
      <w:r>
        <w:t>"did</w:t>
      </w:r>
      <w:r>
        <w:rPr>
          <w:spacing w:val="-5"/>
        </w:rPr>
        <w:t xml:space="preserve"> </w:t>
      </w:r>
      <w:r>
        <w:t>not</w:t>
      </w:r>
      <w:r>
        <w:rPr>
          <w:spacing w:val="-5"/>
        </w:rPr>
        <w:t xml:space="preserve"> </w:t>
      </w:r>
      <w:r>
        <w:t>try</w:t>
      </w:r>
      <w:r>
        <w:rPr>
          <w:spacing w:val="-4"/>
        </w:rPr>
        <w:t xml:space="preserve"> </w:t>
      </w:r>
      <w:r>
        <w:t>its</w:t>
      </w:r>
      <w:r>
        <w:rPr>
          <w:spacing w:val="-5"/>
        </w:rPr>
        <w:t xml:space="preserve"> </w:t>
      </w:r>
      <w:r>
        <w:t>best</w:t>
      </w:r>
      <w:r>
        <w:rPr>
          <w:spacing w:val="-4"/>
        </w:rPr>
        <w:t xml:space="preserve"> </w:t>
      </w:r>
      <w:r>
        <w:t>and</w:t>
      </w:r>
      <w:r>
        <w:rPr>
          <w:spacing w:val="-5"/>
        </w:rPr>
        <w:t xml:space="preserve"> </w:t>
      </w:r>
      <w:r>
        <w:t>failed to</w:t>
      </w:r>
      <w:r>
        <w:rPr>
          <w:spacing w:val="43"/>
        </w:rPr>
        <w:t xml:space="preserve"> </w:t>
      </w:r>
      <w:r>
        <w:t>be</w:t>
      </w:r>
      <w:r>
        <w:rPr>
          <w:spacing w:val="44"/>
        </w:rPr>
        <w:t xml:space="preserve"> </w:t>
      </w:r>
      <w:r>
        <w:t>fully</w:t>
      </w:r>
      <w:r>
        <w:rPr>
          <w:spacing w:val="44"/>
        </w:rPr>
        <w:t xml:space="preserve"> </w:t>
      </w:r>
      <w:r>
        <w:t>cooperative</w:t>
      </w:r>
      <w:r>
        <w:rPr>
          <w:spacing w:val="43"/>
        </w:rPr>
        <w:t xml:space="preserve"> </w:t>
      </w:r>
      <w:r>
        <w:t>in</w:t>
      </w:r>
      <w:r>
        <w:rPr>
          <w:spacing w:val="43"/>
        </w:rPr>
        <w:t xml:space="preserve"> </w:t>
      </w:r>
      <w:r>
        <w:t>the</w:t>
      </w:r>
      <w:r>
        <w:rPr>
          <w:spacing w:val="44"/>
        </w:rPr>
        <w:t xml:space="preserve"> </w:t>
      </w:r>
      <w:r>
        <w:t>investigation"</w:t>
      </w:r>
      <w:r>
        <w:rPr>
          <w:spacing w:val="45"/>
        </w:rPr>
        <w:t xml:space="preserve"> </w:t>
      </w:r>
      <w:r>
        <w:t>and</w:t>
      </w:r>
      <w:r>
        <w:rPr>
          <w:spacing w:val="42"/>
        </w:rPr>
        <w:t xml:space="preserve"> </w:t>
      </w:r>
      <w:r>
        <w:t>that</w:t>
      </w:r>
      <w:r>
        <w:rPr>
          <w:spacing w:val="43"/>
        </w:rPr>
        <w:t xml:space="preserve"> </w:t>
      </w:r>
      <w:r>
        <w:t>the</w:t>
      </w:r>
      <w:r>
        <w:rPr>
          <w:spacing w:val="44"/>
        </w:rPr>
        <w:t xml:space="preserve"> </w:t>
      </w:r>
      <w:r>
        <w:t>information</w:t>
      </w:r>
      <w:r>
        <w:rPr>
          <w:spacing w:val="44"/>
        </w:rPr>
        <w:t xml:space="preserve"> </w:t>
      </w:r>
      <w:r>
        <w:t>submitted</w:t>
      </w:r>
      <w:r>
        <w:rPr>
          <w:spacing w:val="44"/>
        </w:rPr>
        <w:t xml:space="preserve"> </w:t>
      </w:r>
      <w:r>
        <w:t>by</w:t>
      </w:r>
      <w:r>
        <w:rPr>
          <w:spacing w:val="44"/>
        </w:rPr>
        <w:t xml:space="preserve"> </w:t>
      </w:r>
      <w:r>
        <w:rPr>
          <w:spacing w:val="-5"/>
        </w:rPr>
        <w:t>the</w:t>
      </w:r>
    </w:p>
    <w:p w14:paraId="51DE7F7C" w14:textId="77777777" w:rsidR="0010369C" w:rsidRDefault="008E43AE">
      <w:pPr>
        <w:pStyle w:val="BodyText"/>
        <w:spacing w:before="4"/>
        <w:rPr>
          <w:sz w:val="25"/>
        </w:rPr>
      </w:pPr>
      <w:r>
        <w:pict w14:anchorId="51DE9E83">
          <v:rect id="docshape196" o:spid="_x0000_s3080" style="position:absolute;margin-left:70.9pt;margin-top:16.65pt;width:2in;height:.8pt;z-index:-251181568;mso-wrap-distance-left:0;mso-wrap-distance-right:0;mso-position-horizontal-relative:page" fillcolor="black" stroked="f">
            <w10:wrap type="topAndBottom" anchorx="page"/>
          </v:rect>
        </w:pict>
      </w:r>
    </w:p>
    <w:p w14:paraId="51DE7F7D" w14:textId="77777777" w:rsidR="0010369C" w:rsidRDefault="008E43AE">
      <w:pPr>
        <w:spacing w:before="109"/>
        <w:ind w:left="238"/>
        <w:rPr>
          <w:sz w:val="18"/>
        </w:rPr>
      </w:pPr>
      <w:r>
        <w:rPr>
          <w:sz w:val="18"/>
          <w:vertAlign w:val="superscript"/>
        </w:rPr>
        <w:t>133</w:t>
      </w:r>
      <w:r>
        <w:rPr>
          <w:spacing w:val="-7"/>
          <w:sz w:val="18"/>
        </w:rPr>
        <w:t xml:space="preserve"> </w:t>
      </w:r>
      <w:r>
        <w:rPr>
          <w:sz w:val="18"/>
        </w:rPr>
        <w:t>Panel</w:t>
      </w:r>
      <w:r>
        <w:rPr>
          <w:spacing w:val="-8"/>
          <w:sz w:val="18"/>
        </w:rPr>
        <w:t xml:space="preserve"> </w:t>
      </w:r>
      <w:r>
        <w:rPr>
          <w:sz w:val="18"/>
        </w:rPr>
        <w:t>Report,</w:t>
      </w:r>
      <w:r>
        <w:rPr>
          <w:spacing w:val="-6"/>
          <w:sz w:val="18"/>
        </w:rPr>
        <w:t xml:space="preserve"> </w:t>
      </w:r>
      <w:r>
        <w:rPr>
          <w:i/>
          <w:sz w:val="18"/>
        </w:rPr>
        <w:t>Ukraine</w:t>
      </w:r>
      <w:r>
        <w:rPr>
          <w:i/>
          <w:spacing w:val="-7"/>
          <w:sz w:val="18"/>
        </w:rPr>
        <w:t xml:space="preserve"> </w:t>
      </w:r>
      <w:r>
        <w:rPr>
          <w:i/>
          <w:sz w:val="18"/>
        </w:rPr>
        <w:t>–</w:t>
      </w:r>
      <w:r>
        <w:rPr>
          <w:i/>
          <w:spacing w:val="-7"/>
          <w:sz w:val="18"/>
        </w:rPr>
        <w:t xml:space="preserve"> </w:t>
      </w:r>
      <w:r>
        <w:rPr>
          <w:i/>
          <w:sz w:val="18"/>
        </w:rPr>
        <w:t>Ammonium</w:t>
      </w:r>
      <w:r>
        <w:rPr>
          <w:i/>
          <w:spacing w:val="-6"/>
          <w:sz w:val="18"/>
        </w:rPr>
        <w:t xml:space="preserve"> </w:t>
      </w:r>
      <w:r>
        <w:rPr>
          <w:i/>
          <w:sz w:val="18"/>
        </w:rPr>
        <w:t>Nitrate</w:t>
      </w:r>
      <w:r>
        <w:rPr>
          <w:sz w:val="18"/>
        </w:rPr>
        <w:t>,</w:t>
      </w:r>
      <w:r>
        <w:rPr>
          <w:spacing w:val="-8"/>
          <w:sz w:val="18"/>
        </w:rPr>
        <w:t xml:space="preserve"> </w:t>
      </w:r>
      <w:r>
        <w:rPr>
          <w:sz w:val="18"/>
        </w:rPr>
        <w:t>para.</w:t>
      </w:r>
      <w:r>
        <w:rPr>
          <w:spacing w:val="-6"/>
          <w:sz w:val="18"/>
        </w:rPr>
        <w:t xml:space="preserve"> </w:t>
      </w:r>
      <w:r>
        <w:rPr>
          <w:spacing w:val="-2"/>
          <w:sz w:val="18"/>
        </w:rPr>
        <w:t>7.227.</w:t>
      </w:r>
    </w:p>
    <w:p w14:paraId="51DE7F7E" w14:textId="77777777" w:rsidR="0010369C" w:rsidRDefault="008E43AE">
      <w:pPr>
        <w:ind w:left="238"/>
        <w:rPr>
          <w:sz w:val="18"/>
        </w:rPr>
      </w:pPr>
      <w:r>
        <w:rPr>
          <w:sz w:val="18"/>
          <w:vertAlign w:val="superscript"/>
        </w:rPr>
        <w:t>134</w:t>
      </w:r>
      <w:r>
        <w:rPr>
          <w:spacing w:val="-9"/>
          <w:sz w:val="18"/>
        </w:rPr>
        <w:t xml:space="preserve"> </w:t>
      </w:r>
      <w:r>
        <w:rPr>
          <w:sz w:val="18"/>
        </w:rPr>
        <w:t>Anti‐Dumping</w:t>
      </w:r>
      <w:r>
        <w:rPr>
          <w:spacing w:val="-9"/>
          <w:sz w:val="18"/>
        </w:rPr>
        <w:t xml:space="preserve"> </w:t>
      </w:r>
      <w:r>
        <w:rPr>
          <w:sz w:val="18"/>
        </w:rPr>
        <w:t>Final</w:t>
      </w:r>
      <w:r>
        <w:rPr>
          <w:spacing w:val="-9"/>
          <w:sz w:val="18"/>
        </w:rPr>
        <w:t xml:space="preserve"> </w:t>
      </w:r>
      <w:r>
        <w:rPr>
          <w:sz w:val="18"/>
        </w:rPr>
        <w:t>Determination</w:t>
      </w:r>
      <w:r>
        <w:rPr>
          <w:spacing w:val="-8"/>
          <w:sz w:val="18"/>
        </w:rPr>
        <w:t xml:space="preserve"> </w:t>
      </w:r>
      <w:r>
        <w:rPr>
          <w:sz w:val="18"/>
        </w:rPr>
        <w:t>(Exhibit</w:t>
      </w:r>
      <w:r>
        <w:rPr>
          <w:spacing w:val="-9"/>
          <w:sz w:val="18"/>
        </w:rPr>
        <w:t xml:space="preserve"> </w:t>
      </w:r>
      <w:r>
        <w:rPr>
          <w:sz w:val="18"/>
        </w:rPr>
        <w:t>AUS‐2),</w:t>
      </w:r>
      <w:r>
        <w:rPr>
          <w:spacing w:val="-10"/>
          <w:sz w:val="18"/>
        </w:rPr>
        <w:t xml:space="preserve"> </w:t>
      </w:r>
      <w:r>
        <w:rPr>
          <w:sz w:val="18"/>
        </w:rPr>
        <w:t>pp.</w:t>
      </w:r>
      <w:r>
        <w:rPr>
          <w:spacing w:val="-9"/>
          <w:sz w:val="18"/>
        </w:rPr>
        <w:t xml:space="preserve"> </w:t>
      </w:r>
      <w:r>
        <w:rPr>
          <w:spacing w:val="-2"/>
          <w:sz w:val="18"/>
        </w:rPr>
        <w:t>56‐69.</w:t>
      </w:r>
    </w:p>
    <w:p w14:paraId="51DE7F7F" w14:textId="77777777" w:rsidR="0010369C" w:rsidRDefault="0010369C">
      <w:pPr>
        <w:rPr>
          <w:sz w:val="18"/>
        </w:rPr>
        <w:sectPr w:rsidR="0010369C">
          <w:pgSz w:w="11910" w:h="16840"/>
          <w:pgMar w:top="880" w:right="800" w:bottom="980" w:left="1180" w:header="569" w:footer="788" w:gutter="0"/>
          <w:cols w:space="720"/>
        </w:sectPr>
      </w:pPr>
    </w:p>
    <w:p w14:paraId="51DE7F80" w14:textId="77777777" w:rsidR="0010369C" w:rsidRDefault="008E43AE">
      <w:pPr>
        <w:tabs>
          <w:tab w:val="left" w:pos="6426"/>
        </w:tabs>
        <w:ind w:left="238"/>
        <w:jc w:val="both"/>
        <w:rPr>
          <w:sz w:val="20"/>
        </w:rPr>
      </w:pPr>
      <w:r>
        <w:rPr>
          <w:i/>
          <w:sz w:val="20"/>
        </w:rPr>
        <w:lastRenderedPageBreak/>
        <w:t>China</w:t>
      </w:r>
      <w:r>
        <w:rPr>
          <w:i/>
          <w:spacing w:val="-5"/>
          <w:sz w:val="20"/>
        </w:rPr>
        <w:t xml:space="preserve"> </w:t>
      </w:r>
      <w:r>
        <w:rPr>
          <w:i/>
          <w:sz w:val="20"/>
        </w:rPr>
        <w:t>–</w:t>
      </w:r>
      <w:r>
        <w:rPr>
          <w:i/>
          <w:spacing w:val="-5"/>
          <w:sz w:val="20"/>
        </w:rPr>
        <w:t xml:space="preserve"> </w:t>
      </w:r>
      <w:r>
        <w:rPr>
          <w:i/>
          <w:sz w:val="20"/>
        </w:rPr>
        <w:t>Anti‐Dumping</w:t>
      </w:r>
      <w:r>
        <w:rPr>
          <w:i/>
          <w:spacing w:val="-4"/>
          <w:sz w:val="20"/>
        </w:rPr>
        <w:t xml:space="preserve"> </w:t>
      </w:r>
      <w:r>
        <w:rPr>
          <w:i/>
          <w:sz w:val="20"/>
        </w:rPr>
        <w:t>and</w:t>
      </w:r>
      <w:r>
        <w:rPr>
          <w:i/>
          <w:spacing w:val="-5"/>
          <w:sz w:val="20"/>
        </w:rPr>
        <w:t xml:space="preserve"> </w:t>
      </w:r>
      <w:r>
        <w:rPr>
          <w:i/>
          <w:sz w:val="20"/>
        </w:rPr>
        <w:t>Countervailing</w:t>
      </w:r>
      <w:r>
        <w:rPr>
          <w:i/>
          <w:spacing w:val="-5"/>
          <w:sz w:val="20"/>
        </w:rPr>
        <w:t xml:space="preserve"> </w:t>
      </w:r>
      <w:r>
        <w:rPr>
          <w:i/>
          <w:sz w:val="20"/>
        </w:rPr>
        <w:t>Duty</w:t>
      </w:r>
      <w:r>
        <w:rPr>
          <w:i/>
          <w:spacing w:val="-4"/>
          <w:sz w:val="20"/>
        </w:rPr>
        <w:t xml:space="preserve"> </w:t>
      </w:r>
      <w:r>
        <w:rPr>
          <w:i/>
          <w:spacing w:val="-2"/>
          <w:sz w:val="20"/>
        </w:rPr>
        <w:t>Measures</w:t>
      </w:r>
      <w:r>
        <w:rPr>
          <w:i/>
          <w:sz w:val="20"/>
        </w:rPr>
        <w:tab/>
      </w:r>
      <w:r>
        <w:rPr>
          <w:sz w:val="20"/>
        </w:rPr>
        <w:t>Australia's</w:t>
      </w:r>
      <w:r>
        <w:rPr>
          <w:spacing w:val="-7"/>
          <w:sz w:val="20"/>
        </w:rPr>
        <w:t xml:space="preserve"> </w:t>
      </w:r>
      <w:r>
        <w:rPr>
          <w:sz w:val="20"/>
        </w:rPr>
        <w:t>First</w:t>
      </w:r>
      <w:r>
        <w:rPr>
          <w:spacing w:val="-2"/>
          <w:sz w:val="20"/>
        </w:rPr>
        <w:t xml:space="preserve"> </w:t>
      </w:r>
      <w:r>
        <w:rPr>
          <w:sz w:val="20"/>
        </w:rPr>
        <w:t>Written</w:t>
      </w:r>
      <w:r>
        <w:rPr>
          <w:spacing w:val="-2"/>
          <w:sz w:val="20"/>
        </w:rPr>
        <w:t xml:space="preserve"> Submission</w:t>
      </w:r>
    </w:p>
    <w:p w14:paraId="51DE7F81" w14:textId="77777777" w:rsidR="0010369C" w:rsidRDefault="008E43AE">
      <w:pPr>
        <w:tabs>
          <w:tab w:val="left" w:pos="8228"/>
        </w:tabs>
        <w:spacing w:before="1"/>
        <w:ind w:left="239"/>
        <w:jc w:val="both"/>
        <w:rPr>
          <w:sz w:val="20"/>
        </w:rPr>
      </w:pPr>
      <w:r>
        <w:rPr>
          <w:i/>
          <w:sz w:val="20"/>
        </w:rPr>
        <w:t>on</w:t>
      </w:r>
      <w:r>
        <w:rPr>
          <w:i/>
          <w:spacing w:val="-1"/>
          <w:sz w:val="20"/>
        </w:rPr>
        <w:t xml:space="preserve"> </w:t>
      </w:r>
      <w:r>
        <w:rPr>
          <w:i/>
          <w:sz w:val="20"/>
        </w:rPr>
        <w:t>Wine</w:t>
      </w:r>
      <w:r>
        <w:rPr>
          <w:i/>
          <w:spacing w:val="-1"/>
          <w:sz w:val="20"/>
        </w:rPr>
        <w:t xml:space="preserve"> </w:t>
      </w:r>
      <w:r>
        <w:rPr>
          <w:i/>
          <w:sz w:val="20"/>
        </w:rPr>
        <w:t>from</w:t>
      </w:r>
      <w:r>
        <w:rPr>
          <w:i/>
          <w:spacing w:val="-3"/>
          <w:sz w:val="20"/>
        </w:rPr>
        <w:t xml:space="preserve"> </w:t>
      </w:r>
      <w:r>
        <w:rPr>
          <w:i/>
          <w:sz w:val="20"/>
        </w:rPr>
        <w:t>Australia</w:t>
      </w:r>
      <w:r>
        <w:rPr>
          <w:i/>
          <w:spacing w:val="-1"/>
          <w:sz w:val="20"/>
        </w:rPr>
        <w:t xml:space="preserve"> </w:t>
      </w:r>
      <w:r>
        <w:rPr>
          <w:spacing w:val="-2"/>
          <w:sz w:val="20"/>
        </w:rPr>
        <w:t>(DS602)</w:t>
      </w:r>
      <w:r>
        <w:rPr>
          <w:sz w:val="20"/>
        </w:rPr>
        <w:tab/>
        <w:t>29</w:t>
      </w:r>
      <w:r>
        <w:rPr>
          <w:spacing w:val="-1"/>
          <w:sz w:val="20"/>
        </w:rPr>
        <w:t xml:space="preserve"> </w:t>
      </w:r>
      <w:r>
        <w:rPr>
          <w:sz w:val="20"/>
        </w:rPr>
        <w:t>April</w:t>
      </w:r>
      <w:r>
        <w:rPr>
          <w:spacing w:val="-2"/>
          <w:sz w:val="20"/>
        </w:rPr>
        <w:t xml:space="preserve"> </w:t>
      </w:r>
      <w:r>
        <w:rPr>
          <w:spacing w:val="-4"/>
          <w:sz w:val="20"/>
        </w:rPr>
        <w:t>2022</w:t>
      </w:r>
    </w:p>
    <w:p w14:paraId="51DE7F82" w14:textId="77777777" w:rsidR="0010369C" w:rsidRDefault="008E43AE">
      <w:pPr>
        <w:pStyle w:val="BodyText"/>
        <w:spacing w:before="34" w:line="360" w:lineRule="auto"/>
        <w:ind w:left="236" w:right="614" w:firstLine="1"/>
        <w:jc w:val="both"/>
      </w:pPr>
      <w:r>
        <w:t>company</w:t>
      </w:r>
      <w:r>
        <w:rPr>
          <w:spacing w:val="-1"/>
        </w:rPr>
        <w:t xml:space="preserve"> </w:t>
      </w:r>
      <w:r>
        <w:t>in</w:t>
      </w:r>
      <w:r>
        <w:rPr>
          <w:spacing w:val="-3"/>
        </w:rPr>
        <w:t xml:space="preserve"> </w:t>
      </w:r>
      <w:r>
        <w:t>its</w:t>
      </w:r>
      <w:r>
        <w:rPr>
          <w:spacing w:val="-2"/>
        </w:rPr>
        <w:t xml:space="preserve"> </w:t>
      </w:r>
      <w:r>
        <w:t>responses</w:t>
      </w:r>
      <w:r>
        <w:rPr>
          <w:spacing w:val="-2"/>
        </w:rPr>
        <w:t xml:space="preserve"> </w:t>
      </w:r>
      <w:r>
        <w:t>to</w:t>
      </w:r>
      <w:r>
        <w:rPr>
          <w:spacing w:val="-1"/>
        </w:rPr>
        <w:t xml:space="preserve"> </w:t>
      </w:r>
      <w:r>
        <w:t>Forms</w:t>
      </w:r>
      <w:r>
        <w:rPr>
          <w:spacing w:val="-2"/>
        </w:rPr>
        <w:t xml:space="preserve"> </w:t>
      </w:r>
      <w:r>
        <w:t>6‐1‐1,</w:t>
      </w:r>
      <w:r>
        <w:rPr>
          <w:spacing w:val="-2"/>
        </w:rPr>
        <w:t xml:space="preserve"> </w:t>
      </w:r>
      <w:r>
        <w:t>6‐1‐2, 6‐3,</w:t>
      </w:r>
      <w:r>
        <w:rPr>
          <w:spacing w:val="-2"/>
        </w:rPr>
        <w:t xml:space="preserve"> </w:t>
      </w:r>
      <w:r>
        <w:t>6‐4,</w:t>
      </w:r>
      <w:r>
        <w:rPr>
          <w:spacing w:val="-2"/>
        </w:rPr>
        <w:t xml:space="preserve"> </w:t>
      </w:r>
      <w:r>
        <w:t>6‐5,</w:t>
      </w:r>
      <w:r>
        <w:rPr>
          <w:spacing w:val="-2"/>
        </w:rPr>
        <w:t xml:space="preserve"> </w:t>
      </w:r>
      <w:r>
        <w:t>6‐6,</w:t>
      </w:r>
      <w:r>
        <w:rPr>
          <w:spacing w:val="-2"/>
        </w:rPr>
        <w:t xml:space="preserve"> </w:t>
      </w:r>
      <w:r>
        <w:t>6‐7</w:t>
      </w:r>
      <w:r>
        <w:rPr>
          <w:spacing w:val="-2"/>
        </w:rPr>
        <w:t xml:space="preserve"> </w:t>
      </w:r>
      <w:r>
        <w:t>and</w:t>
      </w:r>
      <w:r>
        <w:rPr>
          <w:spacing w:val="-2"/>
        </w:rPr>
        <w:t xml:space="preserve"> </w:t>
      </w:r>
      <w:r>
        <w:t>6‐8</w:t>
      </w:r>
      <w:r>
        <w:rPr>
          <w:spacing w:val="-2"/>
        </w:rPr>
        <w:t xml:space="preserve"> </w:t>
      </w:r>
      <w:r>
        <w:t>was</w:t>
      </w:r>
      <w:r>
        <w:rPr>
          <w:spacing w:val="-2"/>
        </w:rPr>
        <w:t xml:space="preserve"> </w:t>
      </w:r>
      <w:r>
        <w:t>"necessary information," that was not provided "within a reasonable time", that "could not be verified" and the company "did not give reasonable explanations" for the alleged omissions and deficiencies in the information.</w:t>
      </w:r>
      <w:r>
        <w:rPr>
          <w:vertAlign w:val="superscript"/>
        </w:rPr>
        <w:t>135</w:t>
      </w:r>
      <w:r>
        <w:t xml:space="preserve"> On this basis, MOFCOM determine</w:t>
      </w:r>
      <w:r>
        <w:t xml:space="preserve">d these costs and expenses using facts available which was "the data of some product types reported by the </w:t>
      </w:r>
      <w:r>
        <w:rPr>
          <w:spacing w:val="-2"/>
        </w:rPr>
        <w:t>Company".</w:t>
      </w:r>
      <w:r>
        <w:rPr>
          <w:spacing w:val="-2"/>
          <w:vertAlign w:val="superscript"/>
        </w:rPr>
        <w:t>136</w:t>
      </w:r>
    </w:p>
    <w:p w14:paraId="51DE7F83" w14:textId="77777777" w:rsidR="0010369C" w:rsidRDefault="0010369C">
      <w:pPr>
        <w:pStyle w:val="BodyText"/>
        <w:spacing w:before="10"/>
        <w:rPr>
          <w:sz w:val="8"/>
        </w:rPr>
      </w:pPr>
    </w:p>
    <w:p w14:paraId="51DE7F84" w14:textId="77777777" w:rsidR="0010369C" w:rsidRDefault="008E43AE">
      <w:pPr>
        <w:pStyle w:val="BodyText"/>
        <w:spacing w:before="52" w:line="360" w:lineRule="auto"/>
        <w:ind w:left="238" w:right="613" w:firstLine="851"/>
        <w:jc w:val="both"/>
      </w:pPr>
      <w:r>
        <w:rPr>
          <w:noProof/>
        </w:rPr>
        <w:drawing>
          <wp:anchor distT="0" distB="0" distL="0" distR="0" simplePos="0" relativeHeight="250825216" behindDoc="1" locked="0" layoutInCell="1" allowOverlap="1" wp14:anchorId="51DE9E84" wp14:editId="51DE9E85">
            <wp:simplePos x="0" y="0"/>
            <wp:positionH relativeFrom="page">
              <wp:posOffset>908303</wp:posOffset>
            </wp:positionH>
            <wp:positionV relativeFrom="paragraph">
              <wp:posOffset>81949</wp:posOffset>
            </wp:positionV>
            <wp:extent cx="256031" cy="100753"/>
            <wp:effectExtent l="0" t="0" r="0" b="0"/>
            <wp:wrapNone/>
            <wp:docPr id="275" name="image1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image146.png"/>
                    <pic:cNvPicPr/>
                  </pic:nvPicPr>
                  <pic:blipFill>
                    <a:blip r:embed="rId240" cstate="print"/>
                    <a:stretch>
                      <a:fillRect/>
                    </a:stretch>
                  </pic:blipFill>
                  <pic:spPr>
                    <a:xfrm>
                      <a:off x="0" y="0"/>
                      <a:ext cx="256031" cy="100753"/>
                    </a:xfrm>
                    <a:prstGeom prst="rect">
                      <a:avLst/>
                    </a:prstGeom>
                  </pic:spPr>
                </pic:pic>
              </a:graphicData>
            </a:graphic>
          </wp:anchor>
        </w:drawing>
      </w:r>
      <w:r>
        <w:t>MOFCOM improperly resorted to facts available to calculate aspects of Treasury Wines'</w:t>
      </w:r>
      <w:r>
        <w:rPr>
          <w:spacing w:val="-14"/>
        </w:rPr>
        <w:t xml:space="preserve"> </w:t>
      </w:r>
      <w:r>
        <w:t>normal</w:t>
      </w:r>
      <w:r>
        <w:rPr>
          <w:spacing w:val="-12"/>
        </w:rPr>
        <w:t xml:space="preserve"> </w:t>
      </w:r>
      <w:r>
        <w:t>value.</w:t>
      </w:r>
      <w:r>
        <w:rPr>
          <w:spacing w:val="-14"/>
        </w:rPr>
        <w:t xml:space="preserve"> </w:t>
      </w:r>
      <w:r>
        <w:t>Contrary</w:t>
      </w:r>
      <w:r>
        <w:rPr>
          <w:spacing w:val="-10"/>
        </w:rPr>
        <w:t xml:space="preserve"> </w:t>
      </w:r>
      <w:r>
        <w:t>to</w:t>
      </w:r>
      <w:r>
        <w:rPr>
          <w:spacing w:val="-13"/>
        </w:rPr>
        <w:t xml:space="preserve"> </w:t>
      </w:r>
      <w:r>
        <w:t>MOFCOM's</w:t>
      </w:r>
      <w:r>
        <w:rPr>
          <w:spacing w:val="-14"/>
        </w:rPr>
        <w:t xml:space="preserve"> </w:t>
      </w:r>
      <w:r>
        <w:t>assertions,</w:t>
      </w:r>
      <w:r>
        <w:rPr>
          <w:spacing w:val="-12"/>
        </w:rPr>
        <w:t xml:space="preserve"> </w:t>
      </w:r>
      <w:r>
        <w:t>Treasury</w:t>
      </w:r>
      <w:r>
        <w:rPr>
          <w:spacing w:val="-12"/>
        </w:rPr>
        <w:t xml:space="preserve"> </w:t>
      </w:r>
      <w:r>
        <w:t>Wines</w:t>
      </w:r>
      <w:r>
        <w:rPr>
          <w:spacing w:val="-14"/>
        </w:rPr>
        <w:t xml:space="preserve"> </w:t>
      </w:r>
      <w:r>
        <w:t>was</w:t>
      </w:r>
      <w:r>
        <w:rPr>
          <w:spacing w:val="-13"/>
        </w:rPr>
        <w:t xml:space="preserve"> </w:t>
      </w:r>
      <w:r>
        <w:t>fully</w:t>
      </w:r>
      <w:r>
        <w:rPr>
          <w:spacing w:val="-13"/>
        </w:rPr>
        <w:t xml:space="preserve"> </w:t>
      </w:r>
      <w:r>
        <w:t>cooperative in</w:t>
      </w:r>
      <w:r>
        <w:rPr>
          <w:spacing w:val="-4"/>
        </w:rPr>
        <w:t xml:space="preserve"> </w:t>
      </w:r>
      <w:r>
        <w:t>the</w:t>
      </w:r>
      <w:r>
        <w:rPr>
          <w:spacing w:val="-4"/>
        </w:rPr>
        <w:t xml:space="preserve"> </w:t>
      </w:r>
      <w:r>
        <w:t>investigation</w:t>
      </w:r>
      <w:r>
        <w:rPr>
          <w:spacing w:val="-4"/>
        </w:rPr>
        <w:t xml:space="preserve"> </w:t>
      </w:r>
      <w:r>
        <w:t>and</w:t>
      </w:r>
      <w:r>
        <w:rPr>
          <w:spacing w:val="-5"/>
        </w:rPr>
        <w:t xml:space="preserve"> </w:t>
      </w:r>
      <w:r>
        <w:t>participated</w:t>
      </w:r>
      <w:r>
        <w:rPr>
          <w:spacing w:val="-5"/>
        </w:rPr>
        <w:t xml:space="preserve"> </w:t>
      </w:r>
      <w:r>
        <w:t>to</w:t>
      </w:r>
      <w:r>
        <w:rPr>
          <w:spacing w:val="-4"/>
        </w:rPr>
        <w:t xml:space="preserve"> </w:t>
      </w:r>
      <w:r>
        <w:t>the</w:t>
      </w:r>
      <w:r>
        <w:rPr>
          <w:spacing w:val="-4"/>
        </w:rPr>
        <w:t xml:space="preserve"> </w:t>
      </w:r>
      <w:r>
        <w:t>best</w:t>
      </w:r>
      <w:r>
        <w:rPr>
          <w:spacing w:val="-4"/>
        </w:rPr>
        <w:t xml:space="preserve"> </w:t>
      </w:r>
      <w:r>
        <w:t>of</w:t>
      </w:r>
      <w:r>
        <w:rPr>
          <w:spacing w:val="-4"/>
        </w:rPr>
        <w:t xml:space="preserve"> </w:t>
      </w:r>
      <w:r>
        <w:t>its</w:t>
      </w:r>
      <w:r>
        <w:rPr>
          <w:spacing w:val="-4"/>
        </w:rPr>
        <w:t xml:space="preserve"> </w:t>
      </w:r>
      <w:r>
        <w:t>abilities.</w:t>
      </w:r>
      <w:r>
        <w:rPr>
          <w:vertAlign w:val="superscript"/>
        </w:rPr>
        <w:t>137</w:t>
      </w:r>
      <w:r>
        <w:rPr>
          <w:spacing w:val="-4"/>
        </w:rPr>
        <w:t xml:space="preserve"> </w:t>
      </w:r>
      <w:r>
        <w:t>Moreover,</w:t>
      </w:r>
      <w:r>
        <w:rPr>
          <w:spacing w:val="-4"/>
        </w:rPr>
        <w:t xml:space="preserve"> </w:t>
      </w:r>
      <w:r>
        <w:t>for</w:t>
      </w:r>
      <w:r>
        <w:rPr>
          <w:spacing w:val="-4"/>
        </w:rPr>
        <w:t xml:space="preserve"> </w:t>
      </w:r>
      <w:r>
        <w:t>t</w:t>
      </w:r>
      <w:r>
        <w:t>he</w:t>
      </w:r>
      <w:r>
        <w:rPr>
          <w:spacing w:val="-4"/>
        </w:rPr>
        <w:t xml:space="preserve"> </w:t>
      </w:r>
      <w:r>
        <w:t>identified Forms, all necessary information was provided within a reasonable period of time, was verifiable and, to the extent information was not provided, it was not necessary, and its absence was fully explained.</w:t>
      </w:r>
    </w:p>
    <w:p w14:paraId="51DE7F85" w14:textId="77777777" w:rsidR="0010369C" w:rsidRDefault="0010369C">
      <w:pPr>
        <w:pStyle w:val="BodyText"/>
        <w:spacing w:before="11"/>
        <w:rPr>
          <w:sz w:val="8"/>
        </w:rPr>
      </w:pPr>
    </w:p>
    <w:p w14:paraId="51DE7F86" w14:textId="77777777" w:rsidR="0010369C" w:rsidRDefault="008E43AE">
      <w:pPr>
        <w:pStyle w:val="BodyText"/>
        <w:tabs>
          <w:tab w:val="left" w:pos="1695"/>
          <w:tab w:val="left" w:pos="2917"/>
          <w:tab w:val="left" w:pos="3654"/>
          <w:tab w:val="left" w:pos="5112"/>
          <w:tab w:val="left" w:pos="5791"/>
        </w:tabs>
        <w:spacing w:before="52" w:line="360" w:lineRule="auto"/>
        <w:ind w:left="238" w:right="614" w:firstLine="850"/>
      </w:pPr>
      <w:r>
        <w:rPr>
          <w:noProof/>
        </w:rPr>
        <w:drawing>
          <wp:anchor distT="0" distB="0" distL="0" distR="0" simplePos="0" relativeHeight="250826240" behindDoc="1" locked="0" layoutInCell="1" allowOverlap="1" wp14:anchorId="51DE9E86" wp14:editId="51DE9E87">
            <wp:simplePos x="0" y="0"/>
            <wp:positionH relativeFrom="page">
              <wp:posOffset>908303</wp:posOffset>
            </wp:positionH>
            <wp:positionV relativeFrom="paragraph">
              <wp:posOffset>76785</wp:posOffset>
            </wp:positionV>
            <wp:extent cx="256031" cy="106679"/>
            <wp:effectExtent l="0" t="0" r="0" b="0"/>
            <wp:wrapNone/>
            <wp:docPr id="277" name="image1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image147.png"/>
                    <pic:cNvPicPr/>
                  </pic:nvPicPr>
                  <pic:blipFill>
                    <a:blip r:embed="rId241" cstate="print"/>
                    <a:stretch>
                      <a:fillRect/>
                    </a:stretch>
                  </pic:blipFill>
                  <pic:spPr>
                    <a:xfrm>
                      <a:off x="0" y="0"/>
                      <a:ext cx="256031" cy="106679"/>
                    </a:xfrm>
                    <a:prstGeom prst="rect">
                      <a:avLst/>
                    </a:prstGeom>
                  </pic:spPr>
                </pic:pic>
              </a:graphicData>
            </a:graphic>
          </wp:anchor>
        </w:drawing>
      </w:r>
      <w:r>
        <w:pict w14:anchorId="51DE9E88">
          <v:rect id="docshape197" o:spid="_x0000_s3079" style="position:absolute;left:0;text-align:left;margin-left:354.95pt;margin-top:24.65pt;width:14.25pt;height:16.05pt;z-index:-251424256;mso-position-horizontal-relative:page;mso-position-vertical-relative:text" fillcolor="black" stroked="f">
            <w10:wrap anchorx="page"/>
          </v:rect>
        </w:pict>
      </w:r>
      <w:r>
        <w:pict w14:anchorId="51DE9E89">
          <v:rect id="docshape198" o:spid="_x0000_s3078" style="position:absolute;left:0;text-align:left;margin-left:384.1pt;margin-top:24.65pt;width:18.65pt;height:16.05pt;z-index:-251423232;mso-position-horizontal-relative:page;mso-position-vertical-relative:text" fillcolor="black" stroked="f">
            <w10:wrap anchorx="page"/>
          </v:rect>
        </w:pict>
      </w:r>
      <w:r>
        <w:pict w14:anchorId="51DE9E8A">
          <v:rect id="docshape199" o:spid="_x0000_s3077" style="position:absolute;left:0;text-align:left;margin-left:417.6pt;margin-top:24.65pt;width:31.65pt;height:16.05pt;z-index:-251422208;mso-position-horizontal-relative:page;mso-position-vertical-relative:text" fillcolor="black" stroked="f">
            <w10:wrap anchorx="page"/>
          </v:rect>
        </w:pict>
      </w:r>
      <w:r>
        <w:pict w14:anchorId="51DE9E8B">
          <v:rect id="docshape200" o:spid="_x0000_s3076" style="position:absolute;left:0;text-align:left;margin-left:464.2pt;margin-top:24.65pt;width:20.35pt;height:16.05pt;z-index:-251421184;mso-position-horizontal-relative:page;mso-position-vertical-relative:text" fillcolor="black" stroked="f">
            <w10:wrap anchorx="page"/>
          </v:rect>
        </w:pict>
      </w:r>
      <w:r>
        <w:pict w14:anchorId="51DE9E8C">
          <v:rect id="docshape201" o:spid="_x0000_s3075" style="position:absolute;left:0;text-align:left;margin-left:499.4pt;margin-top:24.65pt;width:24pt;height:16.05pt;z-index:-251420160;mso-position-horizontal-relative:page;mso-position-vertical-relative:text" fillcolor="black" stroked="f">
            <w10:wrap anchorx="page"/>
          </v:rect>
        </w:pict>
      </w:r>
      <w:r>
        <w:t>Furthermore,</w:t>
      </w:r>
      <w:r>
        <w:rPr>
          <w:spacing w:val="-14"/>
        </w:rPr>
        <w:t xml:space="preserve"> </w:t>
      </w:r>
      <w:r>
        <w:t>the</w:t>
      </w:r>
      <w:r>
        <w:rPr>
          <w:spacing w:val="-14"/>
        </w:rPr>
        <w:t xml:space="preserve"> </w:t>
      </w:r>
      <w:r>
        <w:t>replacement</w:t>
      </w:r>
      <w:r>
        <w:rPr>
          <w:spacing w:val="-13"/>
        </w:rPr>
        <w:t xml:space="preserve"> </w:t>
      </w:r>
      <w:r>
        <w:t>i</w:t>
      </w:r>
      <w:r>
        <w:t>nformation</w:t>
      </w:r>
      <w:r>
        <w:rPr>
          <w:spacing w:val="-14"/>
        </w:rPr>
        <w:t xml:space="preserve"> </w:t>
      </w:r>
      <w:r>
        <w:t>relied</w:t>
      </w:r>
      <w:r>
        <w:rPr>
          <w:spacing w:val="-13"/>
        </w:rPr>
        <w:t xml:space="preserve"> </w:t>
      </w:r>
      <w:r>
        <w:t>upon</w:t>
      </w:r>
      <w:r>
        <w:rPr>
          <w:spacing w:val="-14"/>
        </w:rPr>
        <w:t xml:space="preserve"> </w:t>
      </w:r>
      <w:r>
        <w:t>by</w:t>
      </w:r>
      <w:r>
        <w:rPr>
          <w:spacing w:val="-13"/>
        </w:rPr>
        <w:t xml:space="preserve"> </w:t>
      </w:r>
      <w:r>
        <w:t>MOFCOM</w:t>
      </w:r>
      <w:r>
        <w:rPr>
          <w:spacing w:val="-14"/>
        </w:rPr>
        <w:t xml:space="preserve"> </w:t>
      </w:r>
      <w:r>
        <w:t>was</w:t>
      </w:r>
      <w:r>
        <w:rPr>
          <w:spacing w:val="-14"/>
        </w:rPr>
        <w:t xml:space="preserve"> </w:t>
      </w:r>
      <w:r>
        <w:t>not</w:t>
      </w:r>
      <w:r>
        <w:rPr>
          <w:spacing w:val="-13"/>
        </w:rPr>
        <w:t xml:space="preserve"> </w:t>
      </w:r>
      <w:r>
        <w:t>the</w:t>
      </w:r>
      <w:r>
        <w:rPr>
          <w:spacing w:val="-14"/>
        </w:rPr>
        <w:t xml:space="preserve"> </w:t>
      </w:r>
      <w:r>
        <w:t xml:space="preserve">best </w:t>
      </w:r>
      <w:r>
        <w:rPr>
          <w:spacing w:val="-2"/>
        </w:rPr>
        <w:t>information</w:t>
      </w:r>
      <w:r>
        <w:tab/>
      </w:r>
      <w:r>
        <w:rPr>
          <w:spacing w:val="-2"/>
        </w:rPr>
        <w:t>available.</w:t>
      </w:r>
      <w:r>
        <w:tab/>
      </w:r>
      <w:r>
        <w:rPr>
          <w:spacing w:val="-4"/>
        </w:rPr>
        <w:t>That</w:t>
      </w:r>
      <w:r>
        <w:tab/>
      </w:r>
      <w:r>
        <w:rPr>
          <w:spacing w:val="-2"/>
        </w:rPr>
        <w:t>information</w:t>
      </w:r>
      <w:r>
        <w:tab/>
      </w:r>
      <w:r>
        <w:rPr>
          <w:spacing w:val="-4"/>
        </w:rPr>
        <w:t>was</w:t>
      </w:r>
      <w:r>
        <w:tab/>
      </w:r>
      <w:r>
        <w:rPr>
          <w:spacing w:val="-6"/>
        </w:rPr>
        <w:t>[[</w:t>
      </w:r>
    </w:p>
    <w:p w14:paraId="51DE7F87" w14:textId="77777777" w:rsidR="0010369C" w:rsidRDefault="008E43AE">
      <w:pPr>
        <w:pStyle w:val="BodyText"/>
        <w:ind w:left="218"/>
        <w:rPr>
          <w:sz w:val="20"/>
        </w:rPr>
      </w:pPr>
      <w:r>
        <w:rPr>
          <w:sz w:val="20"/>
        </w:rPr>
      </w:r>
      <w:r>
        <w:rPr>
          <w:sz w:val="20"/>
        </w:rPr>
        <w:pict w14:anchorId="51DE9E8E">
          <v:group id="docshapegroup202" o:spid="_x0000_s3073" style="width:453.55pt;height:16.1pt;mso-position-horizontal-relative:char;mso-position-vertical-relative:line" coordsize="9071,322">
            <v:rect id="docshape203" o:spid="_x0000_s3074" style="position:absolute;width:9071;height:322" fillcolor="black" stroked="f"/>
            <w10:anchorlock/>
          </v:group>
        </w:pict>
      </w:r>
    </w:p>
    <w:p w14:paraId="51DE7F88" w14:textId="77777777" w:rsidR="0010369C" w:rsidRDefault="008E43AE">
      <w:pPr>
        <w:pStyle w:val="BodyText"/>
        <w:spacing w:before="11"/>
        <w:rPr>
          <w:sz w:val="4"/>
        </w:rPr>
      </w:pPr>
      <w:r>
        <w:pict w14:anchorId="51DE9E8F">
          <v:rect id="docshape204" o:spid="_x0000_s3072" style="position:absolute;margin-left:69.9pt;margin-top:4.2pt;width:453.55pt;height:16.05pt;z-index:-251180544;mso-wrap-distance-left:0;mso-wrap-distance-right:0;mso-position-horizontal-relative:page" fillcolor="black" stroked="f">
            <w10:wrap type="topAndBottom" anchorx="page"/>
          </v:rect>
        </w:pict>
      </w:r>
      <w:r>
        <w:pict w14:anchorId="51DE9E90">
          <v:rect id="docshape205" o:spid="_x0000_s2047" style="position:absolute;margin-left:69.9pt;margin-top:26.25pt;width:453.45pt;height:16.05pt;z-index:-251179520;mso-wrap-distance-left:0;mso-wrap-distance-right:0;mso-position-horizontal-relative:page" fillcolor="black" stroked="f">
            <w10:wrap type="topAndBottom" anchorx="page"/>
          </v:rect>
        </w:pict>
      </w:r>
      <w:r>
        <w:pict w14:anchorId="51DE9E91">
          <v:rect id="docshape206" o:spid="_x0000_s2046" style="position:absolute;margin-left:69.9pt;margin-top:48.2pt;width:453.5pt;height:16.05pt;z-index:-251178496;mso-wrap-distance-left:0;mso-wrap-distance-right:0;mso-position-horizontal-relative:page" fillcolor="black" stroked="f">
            <w10:wrap type="topAndBottom" anchorx="page"/>
          </v:rect>
        </w:pict>
      </w:r>
      <w:r>
        <w:pict w14:anchorId="51DE9E92">
          <v:rect id="docshape207" o:spid="_x0000_s2045" style="position:absolute;margin-left:69.9pt;margin-top:70.15pt;width:453.5pt;height:16.05pt;z-index:-251177472;mso-wrap-distance-left:0;mso-wrap-distance-right:0;mso-position-horizontal-relative:page" fillcolor="black" stroked="f">
            <w10:wrap type="topAndBottom" anchorx="page"/>
          </v:rect>
        </w:pict>
      </w:r>
      <w:r>
        <w:pict w14:anchorId="51DE9E93">
          <v:rect id="docshape208" o:spid="_x0000_s2044" style="position:absolute;margin-left:69.9pt;margin-top:92.1pt;width:453.4pt;height:16.05pt;z-index:-251176448;mso-wrap-distance-left:0;mso-wrap-distance-right:0;mso-position-horizontal-relative:page" fillcolor="black" stroked="f">
            <w10:wrap type="topAndBottom" anchorx="page"/>
          </v:rect>
        </w:pict>
      </w:r>
      <w:r>
        <w:pict w14:anchorId="51DE9E94">
          <v:rect id="docshape209" o:spid="_x0000_s2043" style="position:absolute;margin-left:69.9pt;margin-top:114.15pt;width:453.55pt;height:16.05pt;z-index:-251175424;mso-wrap-distance-left:0;mso-wrap-distance-right:0;mso-position-horizontal-relative:page" fillcolor="black" stroked="f">
            <w10:wrap type="topAndBottom" anchorx="page"/>
          </v:rect>
        </w:pict>
      </w:r>
    </w:p>
    <w:p w14:paraId="51DE7F89" w14:textId="77777777" w:rsidR="0010369C" w:rsidRDefault="0010369C">
      <w:pPr>
        <w:pStyle w:val="BodyText"/>
        <w:spacing w:before="9"/>
        <w:rPr>
          <w:sz w:val="7"/>
        </w:rPr>
      </w:pPr>
    </w:p>
    <w:p w14:paraId="51DE7F8A" w14:textId="77777777" w:rsidR="0010369C" w:rsidRDefault="0010369C">
      <w:pPr>
        <w:pStyle w:val="BodyText"/>
        <w:spacing w:before="8"/>
        <w:rPr>
          <w:sz w:val="7"/>
        </w:rPr>
      </w:pPr>
    </w:p>
    <w:p w14:paraId="51DE7F8B" w14:textId="77777777" w:rsidR="0010369C" w:rsidRDefault="0010369C">
      <w:pPr>
        <w:pStyle w:val="BodyText"/>
        <w:spacing w:before="8"/>
        <w:rPr>
          <w:sz w:val="7"/>
        </w:rPr>
      </w:pPr>
    </w:p>
    <w:p w14:paraId="51DE7F8C" w14:textId="77777777" w:rsidR="0010369C" w:rsidRDefault="0010369C">
      <w:pPr>
        <w:pStyle w:val="BodyText"/>
        <w:spacing w:before="8"/>
        <w:rPr>
          <w:sz w:val="7"/>
        </w:rPr>
      </w:pPr>
    </w:p>
    <w:p w14:paraId="51DE7F8D" w14:textId="77777777" w:rsidR="0010369C" w:rsidRDefault="0010369C">
      <w:pPr>
        <w:pStyle w:val="BodyText"/>
        <w:spacing w:before="9"/>
        <w:rPr>
          <w:sz w:val="7"/>
        </w:rPr>
      </w:pPr>
    </w:p>
    <w:p w14:paraId="51DE7F8E" w14:textId="77777777" w:rsidR="0010369C" w:rsidRDefault="008E43AE">
      <w:pPr>
        <w:spacing w:before="116"/>
        <w:ind w:left="3065"/>
        <w:rPr>
          <w:sz w:val="24"/>
        </w:rPr>
      </w:pPr>
      <w:r>
        <w:rPr>
          <w:spacing w:val="-5"/>
          <w:sz w:val="24"/>
        </w:rPr>
        <w:t>]]</w:t>
      </w:r>
    </w:p>
    <w:p w14:paraId="51DE7F8F" w14:textId="77777777" w:rsidR="0010369C" w:rsidRDefault="0010369C">
      <w:pPr>
        <w:pStyle w:val="BodyText"/>
        <w:spacing w:before="9"/>
        <w:rPr>
          <w:sz w:val="20"/>
        </w:rPr>
      </w:pPr>
    </w:p>
    <w:p w14:paraId="51DE7F90" w14:textId="77777777" w:rsidR="0010369C" w:rsidRDefault="008E43AE">
      <w:pPr>
        <w:pStyle w:val="BodyText"/>
        <w:spacing w:before="52" w:line="360" w:lineRule="auto"/>
        <w:ind w:left="237" w:right="613" w:firstLine="851"/>
        <w:jc w:val="both"/>
      </w:pPr>
      <w:r>
        <w:pict w14:anchorId="51DE9E95">
          <v:rect id="docshape210" o:spid="_x0000_s2042" style="position:absolute;left:0;text-align:left;margin-left:69.9pt;margin-top:-27.15pt;width:141.3pt;height:16.05pt;z-index:251708928;mso-position-horizontal-relative:page" fillcolor="black" stroked="f">
            <w10:wrap anchorx="page"/>
          </v:rect>
        </w:pict>
      </w:r>
      <w:r>
        <w:rPr>
          <w:noProof/>
        </w:rPr>
        <w:drawing>
          <wp:anchor distT="0" distB="0" distL="0" distR="0" simplePos="0" relativeHeight="250827264" behindDoc="1" locked="0" layoutInCell="1" allowOverlap="1" wp14:anchorId="51DE9E96" wp14:editId="51DE9E97">
            <wp:simplePos x="0" y="0"/>
            <wp:positionH relativeFrom="page">
              <wp:posOffset>908303</wp:posOffset>
            </wp:positionH>
            <wp:positionV relativeFrom="paragraph">
              <wp:posOffset>80595</wp:posOffset>
            </wp:positionV>
            <wp:extent cx="256031" cy="103631"/>
            <wp:effectExtent l="0" t="0" r="0" b="0"/>
            <wp:wrapNone/>
            <wp:docPr id="279" name="image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image148.png"/>
                    <pic:cNvPicPr/>
                  </pic:nvPicPr>
                  <pic:blipFill>
                    <a:blip r:embed="rId242" cstate="print"/>
                    <a:stretch>
                      <a:fillRect/>
                    </a:stretch>
                  </pic:blipFill>
                  <pic:spPr>
                    <a:xfrm>
                      <a:off x="0" y="0"/>
                      <a:ext cx="256031" cy="103631"/>
                    </a:xfrm>
                    <a:prstGeom prst="rect">
                      <a:avLst/>
                    </a:prstGeom>
                  </pic:spPr>
                </pic:pic>
              </a:graphicData>
            </a:graphic>
          </wp:anchor>
        </w:drawing>
      </w:r>
      <w:r>
        <w:t>To demonstrate MOFCOM's errors, it is necessary to examine each of the five data Forms</w:t>
      </w:r>
      <w:r>
        <w:rPr>
          <w:spacing w:val="-1"/>
        </w:rPr>
        <w:t xml:space="preserve"> </w:t>
      </w:r>
      <w:r>
        <w:t>that</w:t>
      </w:r>
      <w:r>
        <w:rPr>
          <w:spacing w:val="-3"/>
        </w:rPr>
        <w:t xml:space="preserve"> </w:t>
      </w:r>
      <w:r>
        <w:t>MOFCOM</w:t>
      </w:r>
      <w:r>
        <w:rPr>
          <w:spacing w:val="-1"/>
        </w:rPr>
        <w:t xml:space="preserve"> </w:t>
      </w:r>
      <w:r>
        <w:t>rejected</w:t>
      </w:r>
      <w:r>
        <w:rPr>
          <w:spacing w:val="-2"/>
        </w:rPr>
        <w:t xml:space="preserve"> </w:t>
      </w:r>
      <w:r>
        <w:t>and</w:t>
      </w:r>
      <w:r>
        <w:rPr>
          <w:spacing w:val="-2"/>
        </w:rPr>
        <w:t xml:space="preserve"> </w:t>
      </w:r>
      <w:r>
        <w:t>to</w:t>
      </w:r>
      <w:r>
        <w:rPr>
          <w:spacing w:val="-1"/>
        </w:rPr>
        <w:t xml:space="preserve"> </w:t>
      </w:r>
      <w:r>
        <w:t>address</w:t>
      </w:r>
      <w:r>
        <w:rPr>
          <w:spacing w:val="-2"/>
        </w:rPr>
        <w:t xml:space="preserve"> </w:t>
      </w:r>
      <w:r>
        <w:t>MOFCOM's</w:t>
      </w:r>
      <w:r>
        <w:rPr>
          <w:spacing w:val="-2"/>
        </w:rPr>
        <w:t xml:space="preserve"> </w:t>
      </w:r>
      <w:r>
        <w:t>assertion</w:t>
      </w:r>
      <w:r>
        <w:rPr>
          <w:spacing w:val="-1"/>
        </w:rPr>
        <w:t xml:space="preserve"> </w:t>
      </w:r>
      <w:r>
        <w:t>that</w:t>
      </w:r>
      <w:r>
        <w:rPr>
          <w:spacing w:val="-3"/>
        </w:rPr>
        <w:t xml:space="preserve"> </w:t>
      </w:r>
      <w:r>
        <w:t>several</w:t>
      </w:r>
      <w:r>
        <w:rPr>
          <w:spacing w:val="-1"/>
        </w:rPr>
        <w:t xml:space="preserve"> </w:t>
      </w:r>
      <w:r>
        <w:t>of</w:t>
      </w:r>
      <w:r>
        <w:rPr>
          <w:spacing w:val="-2"/>
        </w:rPr>
        <w:t xml:space="preserve"> </w:t>
      </w:r>
      <w:r>
        <w:t>the</w:t>
      </w:r>
      <w:r>
        <w:rPr>
          <w:spacing w:val="-1"/>
        </w:rPr>
        <w:t xml:space="preserve"> </w:t>
      </w:r>
      <w:r>
        <w:t>Forms could not be reconciled.</w:t>
      </w:r>
    </w:p>
    <w:p w14:paraId="51DE7F91" w14:textId="77777777" w:rsidR="0010369C" w:rsidRDefault="0010369C">
      <w:pPr>
        <w:pStyle w:val="BodyText"/>
        <w:rPr>
          <w:sz w:val="20"/>
        </w:rPr>
      </w:pPr>
    </w:p>
    <w:p w14:paraId="51DE7F92" w14:textId="77777777" w:rsidR="0010369C" w:rsidRDefault="0010369C">
      <w:pPr>
        <w:pStyle w:val="BodyText"/>
        <w:rPr>
          <w:sz w:val="20"/>
        </w:rPr>
      </w:pPr>
    </w:p>
    <w:p w14:paraId="51DE7F93" w14:textId="77777777" w:rsidR="0010369C" w:rsidRDefault="0010369C">
      <w:pPr>
        <w:pStyle w:val="BodyText"/>
        <w:rPr>
          <w:sz w:val="20"/>
        </w:rPr>
      </w:pPr>
    </w:p>
    <w:p w14:paraId="51DE7F94" w14:textId="77777777" w:rsidR="0010369C" w:rsidRDefault="0010369C">
      <w:pPr>
        <w:pStyle w:val="BodyText"/>
        <w:rPr>
          <w:sz w:val="20"/>
        </w:rPr>
      </w:pPr>
    </w:p>
    <w:p w14:paraId="51DE7F95" w14:textId="77777777" w:rsidR="0010369C" w:rsidRDefault="0010369C">
      <w:pPr>
        <w:pStyle w:val="BodyText"/>
        <w:rPr>
          <w:sz w:val="20"/>
        </w:rPr>
      </w:pPr>
    </w:p>
    <w:p w14:paraId="51DE7F96" w14:textId="77777777" w:rsidR="0010369C" w:rsidRDefault="0010369C">
      <w:pPr>
        <w:pStyle w:val="BodyText"/>
        <w:rPr>
          <w:sz w:val="20"/>
        </w:rPr>
      </w:pPr>
    </w:p>
    <w:p w14:paraId="51DE7F97" w14:textId="77777777" w:rsidR="0010369C" w:rsidRDefault="008E43AE">
      <w:pPr>
        <w:pStyle w:val="BodyText"/>
        <w:spacing w:before="8"/>
        <w:rPr>
          <w:sz w:val="21"/>
        </w:rPr>
      </w:pPr>
      <w:r>
        <w:pict w14:anchorId="51DE9E98">
          <v:rect id="docshape211" o:spid="_x0000_s2041" style="position:absolute;margin-left:70.9pt;margin-top:14.4pt;width:2in;height:.8pt;z-index:-251174400;mso-wrap-distance-left:0;mso-wrap-distance-right:0;mso-position-horizontal-relative:page" fillcolor="black" stroked="f">
            <w10:wrap type="topAndBottom" anchorx="page"/>
          </v:rect>
        </w:pict>
      </w:r>
    </w:p>
    <w:p w14:paraId="51DE7F98" w14:textId="77777777" w:rsidR="0010369C" w:rsidRDefault="008E43AE">
      <w:pPr>
        <w:spacing w:before="109"/>
        <w:ind w:left="238"/>
        <w:rPr>
          <w:sz w:val="18"/>
        </w:rPr>
      </w:pPr>
      <w:r>
        <w:rPr>
          <w:sz w:val="18"/>
          <w:vertAlign w:val="superscript"/>
        </w:rPr>
        <w:t>135</w:t>
      </w:r>
      <w:r>
        <w:rPr>
          <w:spacing w:val="-9"/>
          <w:sz w:val="18"/>
        </w:rPr>
        <w:t xml:space="preserve"> </w:t>
      </w:r>
      <w:r>
        <w:rPr>
          <w:sz w:val="18"/>
        </w:rPr>
        <w:t>Anti‐Dumping</w:t>
      </w:r>
      <w:r>
        <w:rPr>
          <w:spacing w:val="-8"/>
          <w:sz w:val="18"/>
        </w:rPr>
        <w:t xml:space="preserve"> </w:t>
      </w:r>
      <w:r>
        <w:rPr>
          <w:sz w:val="18"/>
        </w:rPr>
        <w:t>Final</w:t>
      </w:r>
      <w:r>
        <w:rPr>
          <w:spacing w:val="-9"/>
          <w:sz w:val="18"/>
        </w:rPr>
        <w:t xml:space="preserve"> </w:t>
      </w:r>
      <w:r>
        <w:rPr>
          <w:sz w:val="18"/>
        </w:rPr>
        <w:t>Determination</w:t>
      </w:r>
      <w:r>
        <w:rPr>
          <w:spacing w:val="-7"/>
          <w:sz w:val="18"/>
        </w:rPr>
        <w:t xml:space="preserve"> </w:t>
      </w:r>
      <w:r>
        <w:rPr>
          <w:sz w:val="18"/>
        </w:rPr>
        <w:t>(Exhibit</w:t>
      </w:r>
      <w:r>
        <w:rPr>
          <w:spacing w:val="-9"/>
          <w:sz w:val="18"/>
        </w:rPr>
        <w:t xml:space="preserve"> </w:t>
      </w:r>
      <w:r>
        <w:rPr>
          <w:sz w:val="18"/>
        </w:rPr>
        <w:t>AUS‐2),</w:t>
      </w:r>
      <w:r>
        <w:rPr>
          <w:spacing w:val="-9"/>
          <w:sz w:val="18"/>
        </w:rPr>
        <w:t xml:space="preserve"> </w:t>
      </w:r>
      <w:r>
        <w:rPr>
          <w:sz w:val="18"/>
        </w:rPr>
        <w:t>pp.</w:t>
      </w:r>
      <w:r>
        <w:rPr>
          <w:spacing w:val="-8"/>
          <w:sz w:val="18"/>
        </w:rPr>
        <w:t xml:space="preserve"> </w:t>
      </w:r>
      <w:r>
        <w:rPr>
          <w:sz w:val="18"/>
        </w:rPr>
        <w:t>59‐66,</w:t>
      </w:r>
      <w:r>
        <w:rPr>
          <w:spacing w:val="-10"/>
          <w:sz w:val="18"/>
        </w:rPr>
        <w:t xml:space="preserve"> </w:t>
      </w:r>
      <w:r>
        <w:rPr>
          <w:spacing w:val="-5"/>
          <w:sz w:val="18"/>
        </w:rPr>
        <w:t>69.</w:t>
      </w:r>
    </w:p>
    <w:p w14:paraId="51DE7F99" w14:textId="77777777" w:rsidR="0010369C" w:rsidRDefault="008E43AE">
      <w:pPr>
        <w:ind w:left="238"/>
        <w:rPr>
          <w:sz w:val="18"/>
        </w:rPr>
      </w:pPr>
      <w:r>
        <w:rPr>
          <w:sz w:val="18"/>
          <w:vertAlign w:val="superscript"/>
        </w:rPr>
        <w:t>136</w:t>
      </w:r>
      <w:r>
        <w:rPr>
          <w:spacing w:val="-9"/>
          <w:sz w:val="18"/>
        </w:rPr>
        <w:t xml:space="preserve"> </w:t>
      </w:r>
      <w:r>
        <w:rPr>
          <w:sz w:val="18"/>
        </w:rPr>
        <w:t>Anti‐Dumping</w:t>
      </w:r>
      <w:r>
        <w:rPr>
          <w:spacing w:val="-8"/>
          <w:sz w:val="18"/>
        </w:rPr>
        <w:t xml:space="preserve"> </w:t>
      </w:r>
      <w:r>
        <w:rPr>
          <w:sz w:val="18"/>
        </w:rPr>
        <w:t>Final</w:t>
      </w:r>
      <w:r>
        <w:rPr>
          <w:spacing w:val="-8"/>
          <w:sz w:val="18"/>
        </w:rPr>
        <w:t xml:space="preserve"> </w:t>
      </w:r>
      <w:r>
        <w:rPr>
          <w:sz w:val="18"/>
        </w:rPr>
        <w:t>Determination</w:t>
      </w:r>
      <w:r>
        <w:rPr>
          <w:spacing w:val="-7"/>
          <w:sz w:val="18"/>
        </w:rPr>
        <w:t xml:space="preserve"> </w:t>
      </w:r>
      <w:r>
        <w:rPr>
          <w:sz w:val="18"/>
        </w:rPr>
        <w:t>(Exhibit</w:t>
      </w:r>
      <w:r>
        <w:rPr>
          <w:spacing w:val="-8"/>
          <w:sz w:val="18"/>
        </w:rPr>
        <w:t xml:space="preserve"> </w:t>
      </w:r>
      <w:r>
        <w:rPr>
          <w:sz w:val="18"/>
        </w:rPr>
        <w:t>AUS‐2),</w:t>
      </w:r>
      <w:r>
        <w:rPr>
          <w:spacing w:val="-9"/>
          <w:sz w:val="18"/>
        </w:rPr>
        <w:t xml:space="preserve"> </w:t>
      </w:r>
      <w:r>
        <w:rPr>
          <w:sz w:val="18"/>
        </w:rPr>
        <w:t>pp.</w:t>
      </w:r>
      <w:r>
        <w:rPr>
          <w:spacing w:val="-8"/>
          <w:sz w:val="18"/>
        </w:rPr>
        <w:t xml:space="preserve"> </w:t>
      </w:r>
      <w:r>
        <w:rPr>
          <w:sz w:val="18"/>
        </w:rPr>
        <w:t>60,</w:t>
      </w:r>
      <w:r>
        <w:rPr>
          <w:spacing w:val="-9"/>
          <w:sz w:val="18"/>
        </w:rPr>
        <w:t xml:space="preserve"> </w:t>
      </w:r>
      <w:r>
        <w:rPr>
          <w:spacing w:val="-5"/>
          <w:sz w:val="18"/>
        </w:rPr>
        <w:t>65.</w:t>
      </w:r>
    </w:p>
    <w:p w14:paraId="51DE7F9A" w14:textId="77777777" w:rsidR="0010369C" w:rsidRDefault="008E43AE">
      <w:pPr>
        <w:ind w:left="238"/>
        <w:rPr>
          <w:sz w:val="18"/>
        </w:rPr>
      </w:pPr>
      <w:r>
        <w:rPr>
          <w:sz w:val="18"/>
          <w:vertAlign w:val="superscript"/>
        </w:rPr>
        <w:t>137</w:t>
      </w:r>
      <w:r>
        <w:rPr>
          <w:spacing w:val="-6"/>
          <w:sz w:val="18"/>
        </w:rPr>
        <w:t xml:space="preserve"> </w:t>
      </w:r>
      <w:r>
        <w:rPr>
          <w:sz w:val="18"/>
        </w:rPr>
        <w:t>See</w:t>
      </w:r>
      <w:r>
        <w:rPr>
          <w:spacing w:val="-5"/>
          <w:sz w:val="18"/>
        </w:rPr>
        <w:t xml:space="preserve"> </w:t>
      </w:r>
      <w:r>
        <w:rPr>
          <w:sz w:val="18"/>
        </w:rPr>
        <w:t>above,</w:t>
      </w:r>
      <w:r>
        <w:rPr>
          <w:spacing w:val="-6"/>
          <w:sz w:val="18"/>
        </w:rPr>
        <w:t xml:space="preserve"> </w:t>
      </w:r>
      <w:r>
        <w:rPr>
          <w:sz w:val="18"/>
        </w:rPr>
        <w:t>section</w:t>
      </w:r>
      <w:r>
        <w:rPr>
          <w:spacing w:val="-5"/>
          <w:sz w:val="18"/>
        </w:rPr>
        <w:t xml:space="preserve"> </w:t>
      </w:r>
      <w:r>
        <w:rPr>
          <w:spacing w:val="-2"/>
          <w:sz w:val="18"/>
        </w:rPr>
        <w:t>II.C.</w:t>
      </w:r>
    </w:p>
    <w:p w14:paraId="51DE7F9B" w14:textId="77777777" w:rsidR="0010369C" w:rsidRDefault="0010369C">
      <w:pPr>
        <w:rPr>
          <w:sz w:val="18"/>
        </w:rPr>
        <w:sectPr w:rsidR="0010369C">
          <w:pgSz w:w="11910" w:h="16840"/>
          <w:pgMar w:top="880" w:right="800" w:bottom="980" w:left="1180" w:header="569" w:footer="788" w:gutter="0"/>
          <w:cols w:space="720"/>
        </w:sectPr>
      </w:pPr>
    </w:p>
    <w:p w14:paraId="51DE7F9C" w14:textId="77777777" w:rsidR="0010369C" w:rsidRDefault="008E43AE">
      <w:pPr>
        <w:tabs>
          <w:tab w:val="left" w:pos="6426"/>
        </w:tabs>
        <w:ind w:left="238"/>
        <w:rPr>
          <w:sz w:val="20"/>
        </w:rPr>
      </w:pPr>
      <w:r>
        <w:rPr>
          <w:i/>
          <w:sz w:val="20"/>
        </w:rPr>
        <w:lastRenderedPageBreak/>
        <w:t>China</w:t>
      </w:r>
      <w:r>
        <w:rPr>
          <w:i/>
          <w:spacing w:val="-5"/>
          <w:sz w:val="20"/>
        </w:rPr>
        <w:t xml:space="preserve"> </w:t>
      </w:r>
      <w:r>
        <w:rPr>
          <w:i/>
          <w:sz w:val="20"/>
        </w:rPr>
        <w:t>–</w:t>
      </w:r>
      <w:r>
        <w:rPr>
          <w:i/>
          <w:spacing w:val="-5"/>
          <w:sz w:val="20"/>
        </w:rPr>
        <w:t xml:space="preserve"> </w:t>
      </w:r>
      <w:r>
        <w:rPr>
          <w:i/>
          <w:sz w:val="20"/>
        </w:rPr>
        <w:t>Anti‐Dumping</w:t>
      </w:r>
      <w:r>
        <w:rPr>
          <w:i/>
          <w:spacing w:val="-4"/>
          <w:sz w:val="20"/>
        </w:rPr>
        <w:t xml:space="preserve"> </w:t>
      </w:r>
      <w:r>
        <w:rPr>
          <w:i/>
          <w:sz w:val="20"/>
        </w:rPr>
        <w:t>and</w:t>
      </w:r>
      <w:r>
        <w:rPr>
          <w:i/>
          <w:spacing w:val="-5"/>
          <w:sz w:val="20"/>
        </w:rPr>
        <w:t xml:space="preserve"> </w:t>
      </w:r>
      <w:r>
        <w:rPr>
          <w:i/>
          <w:sz w:val="20"/>
        </w:rPr>
        <w:t>Countervailing</w:t>
      </w:r>
      <w:r>
        <w:rPr>
          <w:i/>
          <w:spacing w:val="-5"/>
          <w:sz w:val="20"/>
        </w:rPr>
        <w:t xml:space="preserve"> </w:t>
      </w:r>
      <w:r>
        <w:rPr>
          <w:i/>
          <w:sz w:val="20"/>
        </w:rPr>
        <w:t>Duty</w:t>
      </w:r>
      <w:r>
        <w:rPr>
          <w:i/>
          <w:spacing w:val="-4"/>
          <w:sz w:val="20"/>
        </w:rPr>
        <w:t xml:space="preserve"> </w:t>
      </w:r>
      <w:r>
        <w:rPr>
          <w:i/>
          <w:spacing w:val="-2"/>
          <w:sz w:val="20"/>
        </w:rPr>
        <w:t>Measures</w:t>
      </w:r>
      <w:r>
        <w:rPr>
          <w:i/>
          <w:sz w:val="20"/>
        </w:rPr>
        <w:tab/>
      </w:r>
      <w:r>
        <w:rPr>
          <w:sz w:val="20"/>
        </w:rPr>
        <w:t>Australia's</w:t>
      </w:r>
      <w:r>
        <w:rPr>
          <w:spacing w:val="-7"/>
          <w:sz w:val="20"/>
        </w:rPr>
        <w:t xml:space="preserve"> </w:t>
      </w:r>
      <w:r>
        <w:rPr>
          <w:sz w:val="20"/>
        </w:rPr>
        <w:t>First</w:t>
      </w:r>
      <w:r>
        <w:rPr>
          <w:spacing w:val="-2"/>
          <w:sz w:val="20"/>
        </w:rPr>
        <w:t xml:space="preserve"> </w:t>
      </w:r>
      <w:r>
        <w:rPr>
          <w:sz w:val="20"/>
        </w:rPr>
        <w:t>Written</w:t>
      </w:r>
      <w:r>
        <w:rPr>
          <w:spacing w:val="-2"/>
          <w:sz w:val="20"/>
        </w:rPr>
        <w:t xml:space="preserve"> Submission</w:t>
      </w:r>
    </w:p>
    <w:p w14:paraId="51DE7F9D" w14:textId="77777777" w:rsidR="0010369C" w:rsidRDefault="008E43AE">
      <w:pPr>
        <w:tabs>
          <w:tab w:val="left" w:pos="8228"/>
        </w:tabs>
        <w:spacing w:before="1"/>
        <w:ind w:left="239"/>
        <w:rPr>
          <w:sz w:val="20"/>
        </w:rPr>
      </w:pPr>
      <w:r>
        <w:rPr>
          <w:i/>
          <w:sz w:val="20"/>
        </w:rPr>
        <w:t>on</w:t>
      </w:r>
      <w:r>
        <w:rPr>
          <w:i/>
          <w:spacing w:val="-1"/>
          <w:sz w:val="20"/>
        </w:rPr>
        <w:t xml:space="preserve"> </w:t>
      </w:r>
      <w:r>
        <w:rPr>
          <w:i/>
          <w:sz w:val="20"/>
        </w:rPr>
        <w:t>Wine</w:t>
      </w:r>
      <w:r>
        <w:rPr>
          <w:i/>
          <w:spacing w:val="-1"/>
          <w:sz w:val="20"/>
        </w:rPr>
        <w:t xml:space="preserve"> </w:t>
      </w:r>
      <w:r>
        <w:rPr>
          <w:i/>
          <w:sz w:val="20"/>
        </w:rPr>
        <w:t>from</w:t>
      </w:r>
      <w:r>
        <w:rPr>
          <w:i/>
          <w:spacing w:val="-3"/>
          <w:sz w:val="20"/>
        </w:rPr>
        <w:t xml:space="preserve"> </w:t>
      </w:r>
      <w:r>
        <w:rPr>
          <w:i/>
          <w:sz w:val="20"/>
        </w:rPr>
        <w:t>Australia</w:t>
      </w:r>
      <w:r>
        <w:rPr>
          <w:i/>
          <w:spacing w:val="-1"/>
          <w:sz w:val="20"/>
        </w:rPr>
        <w:t xml:space="preserve"> </w:t>
      </w:r>
      <w:r>
        <w:rPr>
          <w:spacing w:val="-2"/>
          <w:sz w:val="20"/>
        </w:rPr>
        <w:t>(DS602)</w:t>
      </w:r>
      <w:r>
        <w:rPr>
          <w:sz w:val="20"/>
        </w:rPr>
        <w:tab/>
        <w:t>29</w:t>
      </w:r>
      <w:r>
        <w:rPr>
          <w:spacing w:val="-1"/>
          <w:sz w:val="20"/>
        </w:rPr>
        <w:t xml:space="preserve"> </w:t>
      </w:r>
      <w:r>
        <w:rPr>
          <w:sz w:val="20"/>
        </w:rPr>
        <w:t>April</w:t>
      </w:r>
      <w:r>
        <w:rPr>
          <w:spacing w:val="-2"/>
          <w:sz w:val="20"/>
        </w:rPr>
        <w:t xml:space="preserve"> </w:t>
      </w:r>
      <w:r>
        <w:rPr>
          <w:spacing w:val="-4"/>
          <w:sz w:val="20"/>
        </w:rPr>
        <w:t>2022</w:t>
      </w:r>
    </w:p>
    <w:p w14:paraId="51DE7F9E" w14:textId="77777777" w:rsidR="0010369C" w:rsidRDefault="008E43AE">
      <w:pPr>
        <w:pStyle w:val="ListParagraph"/>
        <w:numPr>
          <w:ilvl w:val="3"/>
          <w:numId w:val="75"/>
        </w:numPr>
        <w:tabs>
          <w:tab w:val="left" w:pos="3642"/>
          <w:tab w:val="left" w:pos="3643"/>
        </w:tabs>
        <w:spacing w:before="35"/>
        <w:ind w:hanging="853"/>
        <w:rPr>
          <w:sz w:val="24"/>
        </w:rPr>
      </w:pPr>
      <w:r>
        <w:rPr>
          <w:spacing w:val="-2"/>
          <w:sz w:val="24"/>
          <w:u w:val="single"/>
        </w:rPr>
        <w:t>MOFCOM's</w:t>
      </w:r>
      <w:r>
        <w:rPr>
          <w:spacing w:val="-3"/>
          <w:sz w:val="24"/>
          <w:u w:val="single"/>
        </w:rPr>
        <w:t xml:space="preserve"> </w:t>
      </w:r>
      <w:r>
        <w:rPr>
          <w:spacing w:val="-2"/>
          <w:sz w:val="24"/>
          <w:u w:val="single"/>
        </w:rPr>
        <w:t>Determination</w:t>
      </w:r>
    </w:p>
    <w:p w14:paraId="51DE7F9F" w14:textId="77777777" w:rsidR="0010369C" w:rsidRDefault="0010369C">
      <w:pPr>
        <w:pStyle w:val="BodyText"/>
        <w:rPr>
          <w:sz w:val="25"/>
        </w:rPr>
      </w:pPr>
    </w:p>
    <w:p w14:paraId="51DE7FA0" w14:textId="77777777" w:rsidR="0010369C" w:rsidRDefault="008E43AE">
      <w:pPr>
        <w:pStyle w:val="ListParagraph"/>
        <w:numPr>
          <w:ilvl w:val="4"/>
          <w:numId w:val="75"/>
        </w:numPr>
        <w:tabs>
          <w:tab w:val="left" w:pos="4493"/>
          <w:tab w:val="left" w:pos="4494"/>
        </w:tabs>
        <w:spacing w:before="0" w:line="360" w:lineRule="auto"/>
        <w:ind w:right="615"/>
        <w:rPr>
          <w:i/>
          <w:sz w:val="24"/>
        </w:rPr>
      </w:pPr>
      <w:r>
        <w:rPr>
          <w:i/>
          <w:sz w:val="24"/>
        </w:rPr>
        <w:t>Form</w:t>
      </w:r>
      <w:r>
        <w:rPr>
          <w:i/>
          <w:spacing w:val="40"/>
          <w:sz w:val="24"/>
        </w:rPr>
        <w:t xml:space="preserve"> </w:t>
      </w:r>
      <w:r>
        <w:rPr>
          <w:i/>
          <w:sz w:val="24"/>
        </w:rPr>
        <w:t>6‐1‐1</w:t>
      </w:r>
      <w:r>
        <w:rPr>
          <w:i/>
          <w:spacing w:val="80"/>
          <w:sz w:val="24"/>
        </w:rPr>
        <w:t xml:space="preserve"> </w:t>
      </w:r>
      <w:r>
        <w:rPr>
          <w:i/>
          <w:sz w:val="24"/>
        </w:rPr>
        <w:t>Procurement</w:t>
      </w:r>
      <w:r>
        <w:rPr>
          <w:i/>
          <w:spacing w:val="40"/>
          <w:sz w:val="24"/>
        </w:rPr>
        <w:t xml:space="preserve"> </w:t>
      </w:r>
      <w:r>
        <w:rPr>
          <w:i/>
          <w:sz w:val="24"/>
        </w:rPr>
        <w:t>Cost</w:t>
      </w:r>
      <w:r>
        <w:rPr>
          <w:i/>
          <w:spacing w:val="40"/>
          <w:sz w:val="24"/>
        </w:rPr>
        <w:t xml:space="preserve"> </w:t>
      </w:r>
      <w:r>
        <w:rPr>
          <w:i/>
          <w:sz w:val="24"/>
        </w:rPr>
        <w:t>Sheet</w:t>
      </w:r>
      <w:r>
        <w:rPr>
          <w:i/>
          <w:spacing w:val="40"/>
          <w:sz w:val="24"/>
        </w:rPr>
        <w:t xml:space="preserve"> </w:t>
      </w:r>
      <w:r>
        <w:rPr>
          <w:i/>
          <w:sz w:val="24"/>
        </w:rPr>
        <w:t>for</w:t>
      </w:r>
      <w:r>
        <w:rPr>
          <w:i/>
          <w:spacing w:val="80"/>
          <w:sz w:val="24"/>
        </w:rPr>
        <w:t xml:space="preserve"> </w:t>
      </w:r>
      <w:r>
        <w:rPr>
          <w:i/>
          <w:sz w:val="24"/>
        </w:rPr>
        <w:t>Raw</w:t>
      </w:r>
      <w:r>
        <w:rPr>
          <w:i/>
          <w:spacing w:val="40"/>
          <w:sz w:val="24"/>
        </w:rPr>
        <w:t xml:space="preserve"> </w:t>
      </w:r>
      <w:r>
        <w:rPr>
          <w:i/>
          <w:spacing w:val="-2"/>
          <w:sz w:val="24"/>
        </w:rPr>
        <w:t>Materials</w:t>
      </w:r>
    </w:p>
    <w:p w14:paraId="51DE7FA1" w14:textId="77777777" w:rsidR="0010369C" w:rsidRDefault="0010369C">
      <w:pPr>
        <w:pStyle w:val="BodyText"/>
        <w:spacing w:before="11"/>
        <w:rPr>
          <w:i/>
          <w:sz w:val="8"/>
        </w:rPr>
      </w:pPr>
    </w:p>
    <w:p w14:paraId="51DE7FA2" w14:textId="77777777" w:rsidR="0010369C" w:rsidRDefault="008E43AE">
      <w:pPr>
        <w:pStyle w:val="BodyText"/>
        <w:spacing w:before="52" w:line="360" w:lineRule="auto"/>
        <w:ind w:left="238" w:right="613" w:firstLine="851"/>
        <w:jc w:val="both"/>
      </w:pPr>
      <w:r>
        <w:rPr>
          <w:noProof/>
        </w:rPr>
        <w:drawing>
          <wp:anchor distT="0" distB="0" distL="0" distR="0" simplePos="0" relativeHeight="250828288" behindDoc="1" locked="0" layoutInCell="1" allowOverlap="1" wp14:anchorId="51DE9E99" wp14:editId="51DE9E9A">
            <wp:simplePos x="0" y="0"/>
            <wp:positionH relativeFrom="page">
              <wp:posOffset>908303</wp:posOffset>
            </wp:positionH>
            <wp:positionV relativeFrom="paragraph">
              <wp:posOffset>82711</wp:posOffset>
            </wp:positionV>
            <wp:extent cx="256031" cy="100753"/>
            <wp:effectExtent l="0" t="0" r="0" b="0"/>
            <wp:wrapNone/>
            <wp:docPr id="281" name="image1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image149.png"/>
                    <pic:cNvPicPr/>
                  </pic:nvPicPr>
                  <pic:blipFill>
                    <a:blip r:embed="rId243" cstate="print"/>
                    <a:stretch>
                      <a:fillRect/>
                    </a:stretch>
                  </pic:blipFill>
                  <pic:spPr>
                    <a:xfrm>
                      <a:off x="0" y="0"/>
                      <a:ext cx="256031" cy="100753"/>
                    </a:xfrm>
                    <a:prstGeom prst="rect">
                      <a:avLst/>
                    </a:prstGeom>
                  </pic:spPr>
                </pic:pic>
              </a:graphicData>
            </a:graphic>
          </wp:anchor>
        </w:drawing>
      </w:r>
      <w:r>
        <w:t>With respect to Form 6‐1‐1 (Procurement Cost Sheet for Raw Materials), MOFCOM stated in the Final Determination that Treasury Wines:</w:t>
      </w:r>
    </w:p>
    <w:p w14:paraId="51DE7FA3" w14:textId="77777777" w:rsidR="0010369C" w:rsidRDefault="008E43AE">
      <w:pPr>
        <w:pStyle w:val="ListParagraph"/>
        <w:numPr>
          <w:ilvl w:val="1"/>
          <w:numId w:val="70"/>
        </w:numPr>
        <w:tabs>
          <w:tab w:val="left" w:pos="1939"/>
          <w:tab w:val="left" w:pos="1940"/>
        </w:tabs>
        <w:spacing w:before="160" w:line="357" w:lineRule="auto"/>
        <w:ind w:left="1938" w:right="614"/>
        <w:rPr>
          <w:sz w:val="24"/>
        </w:rPr>
      </w:pPr>
      <w:r>
        <w:rPr>
          <w:sz w:val="24"/>
        </w:rPr>
        <w:t xml:space="preserve">"did not fill in the beginning and ending inventories, the consumption and the unit price for each kind of raw material as required by the </w:t>
      </w:r>
      <w:r>
        <w:rPr>
          <w:spacing w:val="-2"/>
          <w:sz w:val="24"/>
        </w:rPr>
        <w:t>questionnaire";</w:t>
      </w:r>
      <w:r>
        <w:rPr>
          <w:spacing w:val="-2"/>
          <w:sz w:val="24"/>
          <w:vertAlign w:val="superscript"/>
        </w:rPr>
        <w:t>138</w:t>
      </w:r>
    </w:p>
    <w:p w14:paraId="51DE7FA4" w14:textId="77777777" w:rsidR="0010369C" w:rsidRDefault="008E43AE">
      <w:pPr>
        <w:pStyle w:val="ListParagraph"/>
        <w:numPr>
          <w:ilvl w:val="1"/>
          <w:numId w:val="70"/>
        </w:numPr>
        <w:tabs>
          <w:tab w:val="left" w:pos="1939"/>
          <w:tab w:val="left" w:pos="1940"/>
        </w:tabs>
        <w:spacing w:before="128" w:line="357" w:lineRule="auto"/>
        <w:ind w:left="1938" w:right="615" w:hanging="850"/>
        <w:rPr>
          <w:sz w:val="24"/>
        </w:rPr>
      </w:pPr>
      <w:r>
        <w:rPr>
          <w:sz w:val="24"/>
        </w:rPr>
        <w:t>"explained that since purchase information in Form 6‐1‐1 was not directly related</w:t>
      </w:r>
      <w:r>
        <w:rPr>
          <w:spacing w:val="-9"/>
          <w:sz w:val="24"/>
        </w:rPr>
        <w:t xml:space="preserve"> </w:t>
      </w:r>
      <w:r>
        <w:rPr>
          <w:sz w:val="24"/>
        </w:rPr>
        <w:t>to</w:t>
      </w:r>
      <w:r>
        <w:rPr>
          <w:spacing w:val="-8"/>
          <w:sz w:val="24"/>
        </w:rPr>
        <w:t xml:space="preserve"> </w:t>
      </w:r>
      <w:r>
        <w:rPr>
          <w:sz w:val="24"/>
        </w:rPr>
        <w:t>the</w:t>
      </w:r>
      <w:r>
        <w:rPr>
          <w:spacing w:val="-8"/>
          <w:sz w:val="24"/>
        </w:rPr>
        <w:t xml:space="preserve"> </w:t>
      </w:r>
      <w:r>
        <w:rPr>
          <w:sz w:val="24"/>
        </w:rPr>
        <w:t>calculati</w:t>
      </w:r>
      <w:r>
        <w:rPr>
          <w:sz w:val="24"/>
        </w:rPr>
        <w:t>on</w:t>
      </w:r>
      <w:r>
        <w:rPr>
          <w:spacing w:val="-8"/>
          <w:sz w:val="24"/>
        </w:rPr>
        <w:t xml:space="preserve"> </w:t>
      </w:r>
      <w:r>
        <w:rPr>
          <w:sz w:val="24"/>
        </w:rPr>
        <w:t>of</w:t>
      </w:r>
      <w:r>
        <w:rPr>
          <w:spacing w:val="-9"/>
          <w:sz w:val="24"/>
        </w:rPr>
        <w:t xml:space="preserve"> </w:t>
      </w:r>
      <w:r>
        <w:rPr>
          <w:sz w:val="24"/>
        </w:rPr>
        <w:t>dumping</w:t>
      </w:r>
      <w:r>
        <w:rPr>
          <w:spacing w:val="-9"/>
          <w:sz w:val="24"/>
        </w:rPr>
        <w:t xml:space="preserve"> </w:t>
      </w:r>
      <w:r>
        <w:rPr>
          <w:sz w:val="24"/>
        </w:rPr>
        <w:t>margin,</w:t>
      </w:r>
      <w:r>
        <w:rPr>
          <w:spacing w:val="-9"/>
          <w:sz w:val="24"/>
        </w:rPr>
        <w:t xml:space="preserve"> </w:t>
      </w:r>
      <w:r>
        <w:rPr>
          <w:sz w:val="24"/>
        </w:rPr>
        <w:t>and</w:t>
      </w:r>
      <w:r>
        <w:rPr>
          <w:spacing w:val="-10"/>
          <w:sz w:val="24"/>
        </w:rPr>
        <w:t xml:space="preserve"> </w:t>
      </w:r>
      <w:r>
        <w:rPr>
          <w:sz w:val="24"/>
        </w:rPr>
        <w:t>the</w:t>
      </w:r>
      <w:r>
        <w:rPr>
          <w:spacing w:val="-8"/>
          <w:sz w:val="24"/>
        </w:rPr>
        <w:t xml:space="preserve"> </w:t>
      </w:r>
      <w:r>
        <w:rPr>
          <w:sz w:val="24"/>
        </w:rPr>
        <w:t>time</w:t>
      </w:r>
      <w:r>
        <w:rPr>
          <w:spacing w:val="-9"/>
          <w:sz w:val="24"/>
        </w:rPr>
        <w:t xml:space="preserve"> </w:t>
      </w:r>
      <w:r>
        <w:rPr>
          <w:sz w:val="24"/>
        </w:rPr>
        <w:t>was</w:t>
      </w:r>
      <w:r>
        <w:rPr>
          <w:spacing w:val="-9"/>
          <w:sz w:val="24"/>
        </w:rPr>
        <w:t xml:space="preserve"> </w:t>
      </w:r>
      <w:r>
        <w:rPr>
          <w:sz w:val="24"/>
        </w:rPr>
        <w:t>very</w:t>
      </w:r>
      <w:r>
        <w:rPr>
          <w:spacing w:val="-8"/>
          <w:sz w:val="24"/>
        </w:rPr>
        <w:t xml:space="preserve"> </w:t>
      </w:r>
      <w:r>
        <w:rPr>
          <w:sz w:val="24"/>
        </w:rPr>
        <w:t xml:space="preserve">limited, so it did not submit relevant information as required by the </w:t>
      </w:r>
      <w:r>
        <w:rPr>
          <w:spacing w:val="-2"/>
          <w:sz w:val="24"/>
        </w:rPr>
        <w:t>questionnaire";</w:t>
      </w:r>
      <w:r>
        <w:rPr>
          <w:spacing w:val="-2"/>
          <w:sz w:val="24"/>
          <w:vertAlign w:val="superscript"/>
        </w:rPr>
        <w:t>139</w:t>
      </w:r>
    </w:p>
    <w:p w14:paraId="51DE7FA5" w14:textId="77777777" w:rsidR="0010369C" w:rsidRDefault="008E43AE">
      <w:pPr>
        <w:pStyle w:val="ListParagraph"/>
        <w:numPr>
          <w:ilvl w:val="1"/>
          <w:numId w:val="70"/>
        </w:numPr>
        <w:tabs>
          <w:tab w:val="left" w:pos="1939"/>
          <w:tab w:val="left" w:pos="1940"/>
        </w:tabs>
        <w:spacing w:before="131" w:line="357" w:lineRule="auto"/>
        <w:ind w:right="612"/>
        <w:rPr>
          <w:sz w:val="24"/>
        </w:rPr>
      </w:pPr>
      <w:r>
        <w:rPr>
          <w:sz w:val="24"/>
        </w:rPr>
        <w:t>"resubmitted Form 6‐1‐1 in its comments but just listed each kind of raw material</w:t>
      </w:r>
      <w:r>
        <w:rPr>
          <w:spacing w:val="-11"/>
          <w:sz w:val="24"/>
        </w:rPr>
        <w:t xml:space="preserve"> </w:t>
      </w:r>
      <w:r>
        <w:rPr>
          <w:sz w:val="24"/>
        </w:rPr>
        <w:t>into</w:t>
      </w:r>
      <w:r>
        <w:rPr>
          <w:spacing w:val="-10"/>
          <w:sz w:val="24"/>
        </w:rPr>
        <w:t xml:space="preserve"> </w:t>
      </w:r>
      <w:r>
        <w:rPr>
          <w:sz w:val="24"/>
        </w:rPr>
        <w:t>individual</w:t>
      </w:r>
      <w:r>
        <w:rPr>
          <w:spacing w:val="-10"/>
          <w:sz w:val="24"/>
        </w:rPr>
        <w:t xml:space="preserve"> </w:t>
      </w:r>
      <w:r>
        <w:rPr>
          <w:sz w:val="24"/>
        </w:rPr>
        <w:t>worksheets</w:t>
      </w:r>
      <w:r>
        <w:rPr>
          <w:spacing w:val="-11"/>
          <w:sz w:val="24"/>
        </w:rPr>
        <w:t xml:space="preserve"> </w:t>
      </w:r>
      <w:r>
        <w:rPr>
          <w:sz w:val="24"/>
        </w:rPr>
        <w:t>and</w:t>
      </w:r>
      <w:r>
        <w:rPr>
          <w:spacing w:val="-11"/>
          <w:sz w:val="24"/>
        </w:rPr>
        <w:t xml:space="preserve"> </w:t>
      </w:r>
      <w:r>
        <w:rPr>
          <w:sz w:val="24"/>
        </w:rPr>
        <w:t>still</w:t>
      </w:r>
      <w:r>
        <w:rPr>
          <w:spacing w:val="-11"/>
          <w:sz w:val="24"/>
        </w:rPr>
        <w:t xml:space="preserve"> </w:t>
      </w:r>
      <w:r>
        <w:rPr>
          <w:sz w:val="24"/>
        </w:rPr>
        <w:t>fail</w:t>
      </w:r>
      <w:r>
        <w:rPr>
          <w:sz w:val="24"/>
        </w:rPr>
        <w:t>ed</w:t>
      </w:r>
      <w:r>
        <w:rPr>
          <w:spacing w:val="-11"/>
          <w:sz w:val="24"/>
        </w:rPr>
        <w:t xml:space="preserve"> </w:t>
      </w:r>
      <w:r>
        <w:rPr>
          <w:sz w:val="24"/>
        </w:rPr>
        <w:t>to</w:t>
      </w:r>
      <w:r>
        <w:rPr>
          <w:spacing w:val="-10"/>
          <w:sz w:val="24"/>
        </w:rPr>
        <w:t xml:space="preserve"> </w:t>
      </w:r>
      <w:r>
        <w:rPr>
          <w:sz w:val="24"/>
        </w:rPr>
        <w:t>fill</w:t>
      </w:r>
      <w:r>
        <w:rPr>
          <w:spacing w:val="-11"/>
          <w:sz w:val="24"/>
        </w:rPr>
        <w:t xml:space="preserve"> </w:t>
      </w:r>
      <w:r>
        <w:rPr>
          <w:sz w:val="24"/>
        </w:rPr>
        <w:t>in</w:t>
      </w:r>
      <w:r>
        <w:rPr>
          <w:spacing w:val="-11"/>
          <w:sz w:val="24"/>
        </w:rPr>
        <w:t xml:space="preserve"> </w:t>
      </w:r>
      <w:r>
        <w:rPr>
          <w:sz w:val="24"/>
        </w:rPr>
        <w:t>the</w:t>
      </w:r>
      <w:r>
        <w:rPr>
          <w:spacing w:val="-10"/>
          <w:sz w:val="24"/>
        </w:rPr>
        <w:t xml:space="preserve"> </w:t>
      </w:r>
      <w:r>
        <w:rPr>
          <w:sz w:val="24"/>
        </w:rPr>
        <w:t>beginning</w:t>
      </w:r>
      <w:r>
        <w:rPr>
          <w:spacing w:val="-10"/>
          <w:sz w:val="24"/>
        </w:rPr>
        <w:t xml:space="preserve"> </w:t>
      </w:r>
      <w:r>
        <w:rPr>
          <w:sz w:val="24"/>
        </w:rPr>
        <w:t>and ending</w:t>
      </w:r>
      <w:r>
        <w:rPr>
          <w:spacing w:val="-4"/>
          <w:sz w:val="24"/>
        </w:rPr>
        <w:t xml:space="preserve"> </w:t>
      </w:r>
      <w:r>
        <w:rPr>
          <w:sz w:val="24"/>
        </w:rPr>
        <w:t>inventories,</w:t>
      </w:r>
      <w:r>
        <w:rPr>
          <w:spacing w:val="-2"/>
          <w:sz w:val="24"/>
        </w:rPr>
        <w:t xml:space="preserve"> </w:t>
      </w:r>
      <w:r>
        <w:rPr>
          <w:sz w:val="24"/>
        </w:rPr>
        <w:t>the</w:t>
      </w:r>
      <w:r>
        <w:rPr>
          <w:spacing w:val="-4"/>
          <w:sz w:val="24"/>
        </w:rPr>
        <w:t xml:space="preserve"> </w:t>
      </w:r>
      <w:r>
        <w:rPr>
          <w:sz w:val="24"/>
        </w:rPr>
        <w:t>consumption</w:t>
      </w:r>
      <w:r>
        <w:rPr>
          <w:spacing w:val="-4"/>
          <w:sz w:val="24"/>
        </w:rPr>
        <w:t xml:space="preserve"> </w:t>
      </w:r>
      <w:r>
        <w:rPr>
          <w:sz w:val="24"/>
        </w:rPr>
        <w:t>and</w:t>
      </w:r>
      <w:r>
        <w:rPr>
          <w:spacing w:val="-4"/>
          <w:sz w:val="24"/>
        </w:rPr>
        <w:t xml:space="preserve"> </w:t>
      </w:r>
      <w:r>
        <w:rPr>
          <w:sz w:val="24"/>
        </w:rPr>
        <w:t>the</w:t>
      </w:r>
      <w:r>
        <w:rPr>
          <w:spacing w:val="-3"/>
          <w:sz w:val="24"/>
        </w:rPr>
        <w:t xml:space="preserve"> </w:t>
      </w:r>
      <w:r>
        <w:rPr>
          <w:sz w:val="24"/>
        </w:rPr>
        <w:t>unit</w:t>
      </w:r>
      <w:r>
        <w:rPr>
          <w:spacing w:val="-3"/>
          <w:sz w:val="24"/>
        </w:rPr>
        <w:t xml:space="preserve"> </w:t>
      </w:r>
      <w:r>
        <w:rPr>
          <w:sz w:val="24"/>
        </w:rPr>
        <w:t>price</w:t>
      </w:r>
      <w:r>
        <w:rPr>
          <w:spacing w:val="-4"/>
          <w:sz w:val="24"/>
        </w:rPr>
        <w:t xml:space="preserve"> </w:t>
      </w:r>
      <w:r>
        <w:rPr>
          <w:sz w:val="24"/>
        </w:rPr>
        <w:t>for</w:t>
      </w:r>
      <w:r>
        <w:rPr>
          <w:spacing w:val="-5"/>
          <w:sz w:val="24"/>
        </w:rPr>
        <w:t xml:space="preserve"> </w:t>
      </w:r>
      <w:r>
        <w:rPr>
          <w:sz w:val="24"/>
        </w:rPr>
        <w:t>each</w:t>
      </w:r>
      <w:r>
        <w:rPr>
          <w:spacing w:val="-4"/>
          <w:sz w:val="24"/>
        </w:rPr>
        <w:t xml:space="preserve"> </w:t>
      </w:r>
      <w:r>
        <w:rPr>
          <w:sz w:val="24"/>
        </w:rPr>
        <w:t>kind</w:t>
      </w:r>
      <w:r>
        <w:rPr>
          <w:spacing w:val="-4"/>
          <w:sz w:val="24"/>
        </w:rPr>
        <w:t xml:space="preserve"> </w:t>
      </w:r>
      <w:r>
        <w:rPr>
          <w:sz w:val="24"/>
        </w:rPr>
        <w:t>of</w:t>
      </w:r>
      <w:r>
        <w:rPr>
          <w:spacing w:val="-4"/>
          <w:sz w:val="24"/>
        </w:rPr>
        <w:t xml:space="preserve"> </w:t>
      </w:r>
      <w:r>
        <w:rPr>
          <w:sz w:val="24"/>
        </w:rPr>
        <w:t>raw material";</w:t>
      </w:r>
      <w:r>
        <w:rPr>
          <w:sz w:val="24"/>
          <w:vertAlign w:val="superscript"/>
        </w:rPr>
        <w:t>140</w:t>
      </w:r>
      <w:r>
        <w:rPr>
          <w:sz w:val="24"/>
        </w:rPr>
        <w:t xml:space="preserve"> and</w:t>
      </w:r>
    </w:p>
    <w:p w14:paraId="51DE7FA6" w14:textId="77777777" w:rsidR="0010369C" w:rsidRDefault="008E43AE">
      <w:pPr>
        <w:pStyle w:val="ListParagraph"/>
        <w:numPr>
          <w:ilvl w:val="1"/>
          <w:numId w:val="70"/>
        </w:numPr>
        <w:tabs>
          <w:tab w:val="left" w:pos="1939"/>
          <w:tab w:val="left" w:pos="1941"/>
        </w:tabs>
        <w:spacing w:before="132" w:line="357" w:lineRule="auto"/>
        <w:ind w:right="611" w:hanging="850"/>
        <w:rPr>
          <w:sz w:val="24"/>
        </w:rPr>
      </w:pPr>
      <w:r>
        <w:rPr>
          <w:sz w:val="24"/>
        </w:rPr>
        <w:t>"explained that since the quantities were listed in different units and each kind of raw material had so many detailed specifications, so it was impossible to get meaningful beginning and ending inventories and consumption in such a short time".</w:t>
      </w:r>
      <w:r>
        <w:rPr>
          <w:sz w:val="24"/>
          <w:vertAlign w:val="superscript"/>
        </w:rPr>
        <w:t>141</w:t>
      </w:r>
    </w:p>
    <w:p w14:paraId="51DE7FA7" w14:textId="77777777" w:rsidR="0010369C" w:rsidRDefault="008E43AE">
      <w:pPr>
        <w:pStyle w:val="BodyText"/>
        <w:spacing w:before="130" w:line="360" w:lineRule="auto"/>
        <w:ind w:left="237" w:right="613" w:firstLine="851"/>
        <w:jc w:val="both"/>
      </w:pPr>
      <w:r>
        <w:rPr>
          <w:noProof/>
        </w:rPr>
        <w:drawing>
          <wp:anchor distT="0" distB="0" distL="0" distR="0" simplePos="0" relativeHeight="250829312" behindDoc="1" locked="0" layoutInCell="1" allowOverlap="1" wp14:anchorId="51DE9E9B" wp14:editId="51DE9E9C">
            <wp:simplePos x="0" y="0"/>
            <wp:positionH relativeFrom="page">
              <wp:posOffset>908303</wp:posOffset>
            </wp:positionH>
            <wp:positionV relativeFrom="paragraph">
              <wp:posOffset>131480</wp:posOffset>
            </wp:positionV>
            <wp:extent cx="256031" cy="100753"/>
            <wp:effectExtent l="0" t="0" r="0" b="0"/>
            <wp:wrapNone/>
            <wp:docPr id="283" name="image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image150.png"/>
                    <pic:cNvPicPr/>
                  </pic:nvPicPr>
                  <pic:blipFill>
                    <a:blip r:embed="rId244" cstate="print"/>
                    <a:stretch>
                      <a:fillRect/>
                    </a:stretch>
                  </pic:blipFill>
                  <pic:spPr>
                    <a:xfrm>
                      <a:off x="0" y="0"/>
                      <a:ext cx="256031" cy="100753"/>
                    </a:xfrm>
                    <a:prstGeom prst="rect">
                      <a:avLst/>
                    </a:prstGeom>
                  </pic:spPr>
                </pic:pic>
              </a:graphicData>
            </a:graphic>
          </wp:anchor>
        </w:drawing>
      </w:r>
      <w:r>
        <w:t>The in</w:t>
      </w:r>
      <w:r>
        <w:t>formation requested in Form 6‐1‐1 relates to the procurement (i.e. purchase) costs</w:t>
      </w:r>
      <w:r>
        <w:rPr>
          <w:spacing w:val="-5"/>
        </w:rPr>
        <w:t xml:space="preserve"> </w:t>
      </w:r>
      <w:r>
        <w:t>of</w:t>
      </w:r>
      <w:r>
        <w:rPr>
          <w:spacing w:val="-6"/>
        </w:rPr>
        <w:t xml:space="preserve"> </w:t>
      </w:r>
      <w:r>
        <w:t>raw</w:t>
      </w:r>
      <w:r>
        <w:rPr>
          <w:spacing w:val="-6"/>
        </w:rPr>
        <w:t xml:space="preserve"> </w:t>
      </w:r>
      <w:r>
        <w:t>materials</w:t>
      </w:r>
      <w:r>
        <w:rPr>
          <w:spacing w:val="-5"/>
        </w:rPr>
        <w:t xml:space="preserve"> </w:t>
      </w:r>
      <w:r>
        <w:t>(i.e.</w:t>
      </w:r>
      <w:r>
        <w:rPr>
          <w:spacing w:val="-4"/>
        </w:rPr>
        <w:t xml:space="preserve"> </w:t>
      </w:r>
      <w:r>
        <w:t>inputs).</w:t>
      </w:r>
      <w:r>
        <w:rPr>
          <w:spacing w:val="-5"/>
        </w:rPr>
        <w:t xml:space="preserve"> </w:t>
      </w:r>
      <w:r>
        <w:t>Treasury</w:t>
      </w:r>
      <w:r>
        <w:rPr>
          <w:spacing w:val="-5"/>
        </w:rPr>
        <w:t xml:space="preserve"> </w:t>
      </w:r>
      <w:r>
        <w:t>Wines</w:t>
      </w:r>
      <w:r>
        <w:rPr>
          <w:spacing w:val="-5"/>
        </w:rPr>
        <w:t xml:space="preserve"> </w:t>
      </w:r>
      <w:r>
        <w:t>provided</w:t>
      </w:r>
      <w:r>
        <w:rPr>
          <w:spacing w:val="-5"/>
        </w:rPr>
        <w:t xml:space="preserve"> </w:t>
      </w:r>
      <w:r>
        <w:t>sufficient</w:t>
      </w:r>
      <w:r>
        <w:rPr>
          <w:spacing w:val="-4"/>
        </w:rPr>
        <w:t xml:space="preserve"> </w:t>
      </w:r>
      <w:r>
        <w:t>information</w:t>
      </w:r>
      <w:r>
        <w:rPr>
          <w:spacing w:val="-5"/>
        </w:rPr>
        <w:t xml:space="preserve"> </w:t>
      </w:r>
      <w:r>
        <w:t>to</w:t>
      </w:r>
      <w:r>
        <w:rPr>
          <w:spacing w:val="-6"/>
        </w:rPr>
        <w:t xml:space="preserve"> </w:t>
      </w:r>
      <w:r>
        <w:t>confirm its actual production costs using its financial reporting system, rendering any mis</w:t>
      </w:r>
      <w:r>
        <w:t>sing information sought in this form unnecessary for determining the cost of production under Article 2 of the Anti‐Dumping Agreement.</w:t>
      </w:r>
    </w:p>
    <w:p w14:paraId="51DE7FA8" w14:textId="77777777" w:rsidR="0010369C" w:rsidRDefault="0010369C">
      <w:pPr>
        <w:pStyle w:val="BodyText"/>
        <w:rPr>
          <w:sz w:val="20"/>
        </w:rPr>
      </w:pPr>
    </w:p>
    <w:p w14:paraId="51DE7FA9" w14:textId="77777777" w:rsidR="0010369C" w:rsidRDefault="0010369C">
      <w:pPr>
        <w:pStyle w:val="BodyText"/>
        <w:rPr>
          <w:sz w:val="20"/>
        </w:rPr>
      </w:pPr>
    </w:p>
    <w:p w14:paraId="51DE7FAA" w14:textId="77777777" w:rsidR="0010369C" w:rsidRDefault="0010369C">
      <w:pPr>
        <w:pStyle w:val="BodyText"/>
        <w:rPr>
          <w:sz w:val="20"/>
        </w:rPr>
      </w:pPr>
    </w:p>
    <w:p w14:paraId="51DE7FAB" w14:textId="77777777" w:rsidR="0010369C" w:rsidRDefault="008E43AE">
      <w:pPr>
        <w:pStyle w:val="BodyText"/>
        <w:rPr>
          <w:sz w:val="20"/>
        </w:rPr>
      </w:pPr>
      <w:r>
        <w:pict w14:anchorId="51DE9E9D">
          <v:rect id="docshape212" o:spid="_x0000_s2040" style="position:absolute;margin-left:70.9pt;margin-top:13.45pt;width:2in;height:.8pt;z-index:-251173376;mso-wrap-distance-left:0;mso-wrap-distance-right:0;mso-position-horizontal-relative:page" fillcolor="black" stroked="f">
            <w10:wrap type="topAndBottom" anchorx="page"/>
          </v:rect>
        </w:pict>
      </w:r>
    </w:p>
    <w:p w14:paraId="51DE7FAC" w14:textId="77777777" w:rsidR="0010369C" w:rsidRDefault="008E43AE">
      <w:pPr>
        <w:spacing w:before="110"/>
        <w:ind w:left="238" w:right="5311"/>
        <w:jc w:val="both"/>
        <w:rPr>
          <w:sz w:val="18"/>
        </w:rPr>
      </w:pPr>
      <w:r>
        <w:rPr>
          <w:sz w:val="18"/>
          <w:vertAlign w:val="superscript"/>
        </w:rPr>
        <w:t>138</w:t>
      </w:r>
      <w:r>
        <w:rPr>
          <w:spacing w:val="-5"/>
          <w:sz w:val="18"/>
        </w:rPr>
        <w:t xml:space="preserve"> </w:t>
      </w:r>
      <w:r>
        <w:rPr>
          <w:sz w:val="18"/>
        </w:rPr>
        <w:t>Anti‐Dumping</w:t>
      </w:r>
      <w:r>
        <w:rPr>
          <w:spacing w:val="-5"/>
          <w:sz w:val="18"/>
        </w:rPr>
        <w:t xml:space="preserve"> </w:t>
      </w:r>
      <w:r>
        <w:rPr>
          <w:sz w:val="18"/>
        </w:rPr>
        <w:t>Final</w:t>
      </w:r>
      <w:r>
        <w:rPr>
          <w:spacing w:val="-5"/>
          <w:sz w:val="18"/>
        </w:rPr>
        <w:t xml:space="preserve"> </w:t>
      </w:r>
      <w:r>
        <w:rPr>
          <w:sz w:val="18"/>
        </w:rPr>
        <w:t>Determination</w:t>
      </w:r>
      <w:r>
        <w:rPr>
          <w:spacing w:val="-4"/>
          <w:sz w:val="18"/>
        </w:rPr>
        <w:t xml:space="preserve"> </w:t>
      </w:r>
      <w:r>
        <w:rPr>
          <w:sz w:val="18"/>
        </w:rPr>
        <w:t>(Exhibit</w:t>
      </w:r>
      <w:r>
        <w:rPr>
          <w:spacing w:val="-5"/>
          <w:sz w:val="18"/>
        </w:rPr>
        <w:t xml:space="preserve"> </w:t>
      </w:r>
      <w:r>
        <w:rPr>
          <w:sz w:val="18"/>
        </w:rPr>
        <w:t>AUS‐2),</w:t>
      </w:r>
      <w:r>
        <w:rPr>
          <w:spacing w:val="-6"/>
          <w:sz w:val="18"/>
        </w:rPr>
        <w:t xml:space="preserve"> </w:t>
      </w:r>
      <w:r>
        <w:rPr>
          <w:sz w:val="18"/>
        </w:rPr>
        <w:t>p.</w:t>
      </w:r>
      <w:r>
        <w:rPr>
          <w:spacing w:val="-5"/>
          <w:sz w:val="18"/>
        </w:rPr>
        <w:t xml:space="preserve"> </w:t>
      </w:r>
      <w:r>
        <w:rPr>
          <w:sz w:val="18"/>
        </w:rPr>
        <w:t xml:space="preserve">59. </w:t>
      </w:r>
      <w:r>
        <w:rPr>
          <w:sz w:val="18"/>
          <w:vertAlign w:val="superscript"/>
        </w:rPr>
        <w:t>139</w:t>
      </w:r>
      <w:r>
        <w:rPr>
          <w:spacing w:val="-5"/>
          <w:sz w:val="18"/>
        </w:rPr>
        <w:t xml:space="preserve"> </w:t>
      </w:r>
      <w:r>
        <w:rPr>
          <w:sz w:val="18"/>
        </w:rPr>
        <w:t>Anti‐Dumping</w:t>
      </w:r>
      <w:r>
        <w:rPr>
          <w:spacing w:val="-5"/>
          <w:sz w:val="18"/>
        </w:rPr>
        <w:t xml:space="preserve"> </w:t>
      </w:r>
      <w:r>
        <w:rPr>
          <w:sz w:val="18"/>
        </w:rPr>
        <w:t>Final</w:t>
      </w:r>
      <w:r>
        <w:rPr>
          <w:spacing w:val="-5"/>
          <w:sz w:val="18"/>
        </w:rPr>
        <w:t xml:space="preserve"> </w:t>
      </w:r>
      <w:r>
        <w:rPr>
          <w:sz w:val="18"/>
        </w:rPr>
        <w:t>Determination</w:t>
      </w:r>
      <w:r>
        <w:rPr>
          <w:spacing w:val="-4"/>
          <w:sz w:val="18"/>
        </w:rPr>
        <w:t xml:space="preserve"> </w:t>
      </w:r>
      <w:r>
        <w:rPr>
          <w:sz w:val="18"/>
        </w:rPr>
        <w:t>(Exhibit</w:t>
      </w:r>
      <w:r>
        <w:rPr>
          <w:spacing w:val="-5"/>
          <w:sz w:val="18"/>
        </w:rPr>
        <w:t xml:space="preserve"> </w:t>
      </w:r>
      <w:r>
        <w:rPr>
          <w:sz w:val="18"/>
        </w:rPr>
        <w:t>AUS‐2),</w:t>
      </w:r>
      <w:r>
        <w:rPr>
          <w:spacing w:val="-6"/>
          <w:sz w:val="18"/>
        </w:rPr>
        <w:t xml:space="preserve"> </w:t>
      </w:r>
      <w:r>
        <w:rPr>
          <w:sz w:val="18"/>
        </w:rPr>
        <w:t>p.</w:t>
      </w:r>
      <w:r>
        <w:rPr>
          <w:spacing w:val="-5"/>
          <w:sz w:val="18"/>
        </w:rPr>
        <w:t xml:space="preserve"> </w:t>
      </w:r>
      <w:r>
        <w:rPr>
          <w:sz w:val="18"/>
        </w:rPr>
        <w:t xml:space="preserve">62. </w:t>
      </w:r>
      <w:r>
        <w:rPr>
          <w:sz w:val="18"/>
          <w:vertAlign w:val="superscript"/>
        </w:rPr>
        <w:t>140</w:t>
      </w:r>
      <w:r>
        <w:rPr>
          <w:spacing w:val="-5"/>
          <w:sz w:val="18"/>
        </w:rPr>
        <w:t xml:space="preserve"> </w:t>
      </w:r>
      <w:r>
        <w:rPr>
          <w:sz w:val="18"/>
        </w:rPr>
        <w:t>Anti‐Dumping</w:t>
      </w:r>
      <w:r>
        <w:rPr>
          <w:spacing w:val="-5"/>
          <w:sz w:val="18"/>
        </w:rPr>
        <w:t xml:space="preserve"> </w:t>
      </w:r>
      <w:r>
        <w:rPr>
          <w:sz w:val="18"/>
        </w:rPr>
        <w:t>Final</w:t>
      </w:r>
      <w:r>
        <w:rPr>
          <w:spacing w:val="-5"/>
          <w:sz w:val="18"/>
        </w:rPr>
        <w:t xml:space="preserve"> </w:t>
      </w:r>
      <w:r>
        <w:rPr>
          <w:sz w:val="18"/>
        </w:rPr>
        <w:t>Determination</w:t>
      </w:r>
      <w:r>
        <w:rPr>
          <w:spacing w:val="-4"/>
          <w:sz w:val="18"/>
        </w:rPr>
        <w:t xml:space="preserve"> </w:t>
      </w:r>
      <w:r>
        <w:rPr>
          <w:sz w:val="18"/>
        </w:rPr>
        <w:t>(Exhibit</w:t>
      </w:r>
      <w:r>
        <w:rPr>
          <w:spacing w:val="-5"/>
          <w:sz w:val="18"/>
        </w:rPr>
        <w:t xml:space="preserve"> </w:t>
      </w:r>
      <w:r>
        <w:rPr>
          <w:sz w:val="18"/>
        </w:rPr>
        <w:t>AUS‐2),</w:t>
      </w:r>
      <w:r>
        <w:rPr>
          <w:spacing w:val="-6"/>
          <w:sz w:val="18"/>
        </w:rPr>
        <w:t xml:space="preserve"> </w:t>
      </w:r>
      <w:r>
        <w:rPr>
          <w:sz w:val="18"/>
        </w:rPr>
        <w:t>p.</w:t>
      </w:r>
      <w:r>
        <w:rPr>
          <w:spacing w:val="-5"/>
          <w:sz w:val="18"/>
        </w:rPr>
        <w:t xml:space="preserve"> </w:t>
      </w:r>
      <w:r>
        <w:rPr>
          <w:sz w:val="18"/>
        </w:rPr>
        <w:t xml:space="preserve">62. </w:t>
      </w:r>
      <w:r>
        <w:rPr>
          <w:sz w:val="18"/>
          <w:vertAlign w:val="superscript"/>
        </w:rPr>
        <w:t>141</w:t>
      </w:r>
      <w:r>
        <w:rPr>
          <w:spacing w:val="-9"/>
          <w:sz w:val="18"/>
        </w:rPr>
        <w:t xml:space="preserve"> </w:t>
      </w:r>
      <w:r>
        <w:rPr>
          <w:sz w:val="18"/>
        </w:rPr>
        <w:t>Anti‐Dumping</w:t>
      </w:r>
      <w:r>
        <w:rPr>
          <w:spacing w:val="-9"/>
          <w:sz w:val="18"/>
        </w:rPr>
        <w:t xml:space="preserve"> </w:t>
      </w:r>
      <w:r>
        <w:rPr>
          <w:sz w:val="18"/>
        </w:rPr>
        <w:t>Final</w:t>
      </w:r>
      <w:r>
        <w:rPr>
          <w:spacing w:val="-9"/>
          <w:sz w:val="18"/>
        </w:rPr>
        <w:t xml:space="preserve"> </w:t>
      </w:r>
      <w:r>
        <w:rPr>
          <w:sz w:val="18"/>
        </w:rPr>
        <w:t>Determination</w:t>
      </w:r>
      <w:r>
        <w:rPr>
          <w:spacing w:val="-8"/>
          <w:sz w:val="18"/>
        </w:rPr>
        <w:t xml:space="preserve"> </w:t>
      </w:r>
      <w:r>
        <w:rPr>
          <w:sz w:val="18"/>
        </w:rPr>
        <w:t>(Exhibit</w:t>
      </w:r>
      <w:r>
        <w:rPr>
          <w:spacing w:val="-9"/>
          <w:sz w:val="18"/>
        </w:rPr>
        <w:t xml:space="preserve"> </w:t>
      </w:r>
      <w:r>
        <w:rPr>
          <w:sz w:val="18"/>
        </w:rPr>
        <w:t>AUS‐2),</w:t>
      </w:r>
      <w:r>
        <w:rPr>
          <w:spacing w:val="-9"/>
          <w:sz w:val="18"/>
        </w:rPr>
        <w:t xml:space="preserve"> </w:t>
      </w:r>
      <w:r>
        <w:rPr>
          <w:sz w:val="18"/>
        </w:rPr>
        <w:t>p.</w:t>
      </w:r>
      <w:r>
        <w:rPr>
          <w:spacing w:val="-9"/>
          <w:sz w:val="18"/>
        </w:rPr>
        <w:t xml:space="preserve"> </w:t>
      </w:r>
      <w:r>
        <w:rPr>
          <w:spacing w:val="-5"/>
          <w:sz w:val="18"/>
        </w:rPr>
        <w:t>62.</w:t>
      </w:r>
    </w:p>
    <w:p w14:paraId="51DE7FAD" w14:textId="77777777" w:rsidR="0010369C" w:rsidRDefault="0010369C">
      <w:pPr>
        <w:jc w:val="both"/>
        <w:rPr>
          <w:sz w:val="18"/>
        </w:rPr>
        <w:sectPr w:rsidR="0010369C">
          <w:pgSz w:w="11910" w:h="16840"/>
          <w:pgMar w:top="880" w:right="800" w:bottom="980" w:left="1180" w:header="569" w:footer="788" w:gutter="0"/>
          <w:cols w:space="720"/>
        </w:sectPr>
      </w:pPr>
    </w:p>
    <w:p w14:paraId="51DE7FAE" w14:textId="77777777" w:rsidR="0010369C" w:rsidRDefault="008E43AE">
      <w:pPr>
        <w:tabs>
          <w:tab w:val="left" w:pos="6187"/>
        </w:tabs>
        <w:ind w:right="615"/>
        <w:jc w:val="right"/>
        <w:rPr>
          <w:sz w:val="20"/>
        </w:rPr>
      </w:pPr>
      <w:r>
        <w:rPr>
          <w:i/>
          <w:sz w:val="20"/>
        </w:rPr>
        <w:lastRenderedPageBreak/>
        <w:t>China</w:t>
      </w:r>
      <w:r>
        <w:rPr>
          <w:i/>
          <w:spacing w:val="-5"/>
          <w:sz w:val="20"/>
        </w:rPr>
        <w:t xml:space="preserve"> </w:t>
      </w:r>
      <w:r>
        <w:rPr>
          <w:i/>
          <w:sz w:val="20"/>
        </w:rPr>
        <w:t>–</w:t>
      </w:r>
      <w:r>
        <w:rPr>
          <w:i/>
          <w:spacing w:val="-5"/>
          <w:sz w:val="20"/>
        </w:rPr>
        <w:t xml:space="preserve"> </w:t>
      </w:r>
      <w:r>
        <w:rPr>
          <w:i/>
          <w:sz w:val="20"/>
        </w:rPr>
        <w:t>Anti‐Dumping</w:t>
      </w:r>
      <w:r>
        <w:rPr>
          <w:i/>
          <w:spacing w:val="-4"/>
          <w:sz w:val="20"/>
        </w:rPr>
        <w:t xml:space="preserve"> </w:t>
      </w:r>
      <w:r>
        <w:rPr>
          <w:i/>
          <w:sz w:val="20"/>
        </w:rPr>
        <w:t>and</w:t>
      </w:r>
      <w:r>
        <w:rPr>
          <w:i/>
          <w:spacing w:val="-5"/>
          <w:sz w:val="20"/>
        </w:rPr>
        <w:t xml:space="preserve"> </w:t>
      </w:r>
      <w:r>
        <w:rPr>
          <w:i/>
          <w:sz w:val="20"/>
        </w:rPr>
        <w:t>Countervailing</w:t>
      </w:r>
      <w:r>
        <w:rPr>
          <w:i/>
          <w:spacing w:val="-5"/>
          <w:sz w:val="20"/>
        </w:rPr>
        <w:t xml:space="preserve"> </w:t>
      </w:r>
      <w:r>
        <w:rPr>
          <w:i/>
          <w:sz w:val="20"/>
        </w:rPr>
        <w:t>Duty</w:t>
      </w:r>
      <w:r>
        <w:rPr>
          <w:i/>
          <w:spacing w:val="-4"/>
          <w:sz w:val="20"/>
        </w:rPr>
        <w:t xml:space="preserve"> </w:t>
      </w:r>
      <w:r>
        <w:rPr>
          <w:i/>
          <w:spacing w:val="-2"/>
          <w:sz w:val="20"/>
        </w:rPr>
        <w:t>Measures</w:t>
      </w:r>
      <w:r>
        <w:rPr>
          <w:i/>
          <w:sz w:val="20"/>
        </w:rPr>
        <w:tab/>
      </w:r>
      <w:r>
        <w:rPr>
          <w:sz w:val="20"/>
        </w:rPr>
        <w:t>Australia's</w:t>
      </w:r>
      <w:r>
        <w:rPr>
          <w:spacing w:val="-7"/>
          <w:sz w:val="20"/>
        </w:rPr>
        <w:t xml:space="preserve"> </w:t>
      </w:r>
      <w:r>
        <w:rPr>
          <w:sz w:val="20"/>
        </w:rPr>
        <w:t>First</w:t>
      </w:r>
      <w:r>
        <w:rPr>
          <w:spacing w:val="-2"/>
          <w:sz w:val="20"/>
        </w:rPr>
        <w:t xml:space="preserve"> </w:t>
      </w:r>
      <w:r>
        <w:rPr>
          <w:sz w:val="20"/>
        </w:rPr>
        <w:t>Written</w:t>
      </w:r>
      <w:r>
        <w:rPr>
          <w:spacing w:val="-2"/>
          <w:sz w:val="20"/>
        </w:rPr>
        <w:t xml:space="preserve"> Submission</w:t>
      </w:r>
    </w:p>
    <w:p w14:paraId="51DE7FAF" w14:textId="77777777" w:rsidR="0010369C" w:rsidRDefault="008E43AE">
      <w:pPr>
        <w:tabs>
          <w:tab w:val="left" w:pos="7988"/>
        </w:tabs>
        <w:spacing w:before="1"/>
        <w:ind w:right="611"/>
        <w:jc w:val="right"/>
        <w:rPr>
          <w:sz w:val="20"/>
        </w:rPr>
      </w:pPr>
      <w:r>
        <w:rPr>
          <w:i/>
          <w:sz w:val="20"/>
        </w:rPr>
        <w:t>on</w:t>
      </w:r>
      <w:r>
        <w:rPr>
          <w:i/>
          <w:spacing w:val="-1"/>
          <w:sz w:val="20"/>
        </w:rPr>
        <w:t xml:space="preserve"> </w:t>
      </w:r>
      <w:r>
        <w:rPr>
          <w:i/>
          <w:sz w:val="20"/>
        </w:rPr>
        <w:t>Wine</w:t>
      </w:r>
      <w:r>
        <w:rPr>
          <w:i/>
          <w:spacing w:val="-1"/>
          <w:sz w:val="20"/>
        </w:rPr>
        <w:t xml:space="preserve"> </w:t>
      </w:r>
      <w:r>
        <w:rPr>
          <w:i/>
          <w:sz w:val="20"/>
        </w:rPr>
        <w:t>from</w:t>
      </w:r>
      <w:r>
        <w:rPr>
          <w:i/>
          <w:spacing w:val="-3"/>
          <w:sz w:val="20"/>
        </w:rPr>
        <w:t xml:space="preserve"> </w:t>
      </w:r>
      <w:r>
        <w:rPr>
          <w:i/>
          <w:sz w:val="20"/>
        </w:rPr>
        <w:t>Australia</w:t>
      </w:r>
      <w:r>
        <w:rPr>
          <w:i/>
          <w:spacing w:val="-1"/>
          <w:sz w:val="20"/>
        </w:rPr>
        <w:t xml:space="preserve"> </w:t>
      </w:r>
      <w:r>
        <w:rPr>
          <w:spacing w:val="-2"/>
          <w:sz w:val="20"/>
        </w:rPr>
        <w:t>(DS602)</w:t>
      </w:r>
      <w:r>
        <w:rPr>
          <w:sz w:val="20"/>
        </w:rPr>
        <w:tab/>
        <w:t>29</w:t>
      </w:r>
      <w:r>
        <w:rPr>
          <w:spacing w:val="-1"/>
          <w:sz w:val="20"/>
        </w:rPr>
        <w:t xml:space="preserve"> </w:t>
      </w:r>
      <w:r>
        <w:rPr>
          <w:sz w:val="20"/>
        </w:rPr>
        <w:t>April</w:t>
      </w:r>
      <w:r>
        <w:rPr>
          <w:spacing w:val="-2"/>
          <w:sz w:val="20"/>
        </w:rPr>
        <w:t xml:space="preserve"> </w:t>
      </w:r>
      <w:r>
        <w:rPr>
          <w:spacing w:val="-4"/>
          <w:sz w:val="20"/>
        </w:rPr>
        <w:t>2022</w:t>
      </w:r>
    </w:p>
    <w:p w14:paraId="51DE7FB0" w14:textId="77777777" w:rsidR="0010369C" w:rsidRDefault="008E43AE">
      <w:pPr>
        <w:pStyle w:val="BodyText"/>
        <w:spacing w:before="34"/>
        <w:ind w:right="613"/>
        <w:jc w:val="right"/>
      </w:pPr>
      <w:r>
        <w:rPr>
          <w:noProof/>
        </w:rPr>
        <w:drawing>
          <wp:anchor distT="0" distB="0" distL="0" distR="0" simplePos="0" relativeHeight="250619392" behindDoc="0" locked="0" layoutInCell="1" allowOverlap="1" wp14:anchorId="51DE9E9E" wp14:editId="51DE9E9F">
            <wp:simplePos x="0" y="0"/>
            <wp:positionH relativeFrom="page">
              <wp:posOffset>908303</wp:posOffset>
            </wp:positionH>
            <wp:positionV relativeFrom="paragraph">
              <wp:posOffset>69165</wp:posOffset>
            </wp:positionV>
            <wp:extent cx="256031" cy="103631"/>
            <wp:effectExtent l="0" t="0" r="0" b="0"/>
            <wp:wrapNone/>
            <wp:docPr id="285" name="image1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image151.png"/>
                    <pic:cNvPicPr/>
                  </pic:nvPicPr>
                  <pic:blipFill>
                    <a:blip r:embed="rId245" cstate="print"/>
                    <a:stretch>
                      <a:fillRect/>
                    </a:stretch>
                  </pic:blipFill>
                  <pic:spPr>
                    <a:xfrm>
                      <a:off x="0" y="0"/>
                      <a:ext cx="256031" cy="103631"/>
                    </a:xfrm>
                    <a:prstGeom prst="rect">
                      <a:avLst/>
                    </a:prstGeom>
                  </pic:spPr>
                </pic:pic>
              </a:graphicData>
            </a:graphic>
          </wp:anchor>
        </w:drawing>
      </w:r>
      <w:r>
        <w:t>This</w:t>
      </w:r>
      <w:r>
        <w:rPr>
          <w:spacing w:val="59"/>
          <w:w w:val="150"/>
        </w:rPr>
        <w:t xml:space="preserve"> </w:t>
      </w:r>
      <w:r>
        <w:t>is</w:t>
      </w:r>
      <w:r>
        <w:rPr>
          <w:spacing w:val="60"/>
          <w:w w:val="150"/>
        </w:rPr>
        <w:t xml:space="preserve"> </w:t>
      </w:r>
      <w:r>
        <w:t>confirmed</w:t>
      </w:r>
      <w:r>
        <w:rPr>
          <w:spacing w:val="59"/>
          <w:w w:val="150"/>
        </w:rPr>
        <w:t xml:space="preserve"> </w:t>
      </w:r>
      <w:r>
        <w:t>in</w:t>
      </w:r>
      <w:r>
        <w:rPr>
          <w:spacing w:val="60"/>
          <w:w w:val="150"/>
        </w:rPr>
        <w:t xml:space="preserve"> </w:t>
      </w:r>
      <w:r>
        <w:t>the</w:t>
      </w:r>
      <w:r>
        <w:rPr>
          <w:spacing w:val="59"/>
          <w:w w:val="150"/>
        </w:rPr>
        <w:t xml:space="preserve"> </w:t>
      </w:r>
      <w:r>
        <w:t>evidence</w:t>
      </w:r>
      <w:r>
        <w:rPr>
          <w:spacing w:val="59"/>
          <w:w w:val="150"/>
        </w:rPr>
        <w:t xml:space="preserve"> </w:t>
      </w:r>
      <w:r>
        <w:t>submitted</w:t>
      </w:r>
      <w:r>
        <w:rPr>
          <w:spacing w:val="59"/>
          <w:w w:val="150"/>
        </w:rPr>
        <w:t xml:space="preserve"> </w:t>
      </w:r>
      <w:r>
        <w:t>by</w:t>
      </w:r>
      <w:r>
        <w:rPr>
          <w:spacing w:val="60"/>
          <w:w w:val="150"/>
        </w:rPr>
        <w:t xml:space="preserve"> </w:t>
      </w:r>
      <w:r>
        <w:t>Treasury</w:t>
      </w:r>
      <w:r>
        <w:rPr>
          <w:spacing w:val="60"/>
          <w:w w:val="150"/>
        </w:rPr>
        <w:t xml:space="preserve"> </w:t>
      </w:r>
      <w:r>
        <w:t>Wines</w:t>
      </w:r>
      <w:r>
        <w:rPr>
          <w:spacing w:val="58"/>
          <w:w w:val="150"/>
        </w:rPr>
        <w:t xml:space="preserve"> </w:t>
      </w:r>
      <w:r>
        <w:t>during</w:t>
      </w:r>
      <w:r>
        <w:rPr>
          <w:spacing w:val="60"/>
          <w:w w:val="150"/>
        </w:rPr>
        <w:t xml:space="preserve"> </w:t>
      </w:r>
      <w:r>
        <w:rPr>
          <w:spacing w:val="-5"/>
        </w:rPr>
        <w:t>the</w:t>
      </w:r>
    </w:p>
    <w:p w14:paraId="51DE7FB1" w14:textId="77777777" w:rsidR="0010369C" w:rsidRDefault="0010369C">
      <w:pPr>
        <w:pStyle w:val="BodyText"/>
        <w:spacing w:before="2"/>
        <w:rPr>
          <w:sz w:val="12"/>
        </w:rPr>
      </w:pPr>
    </w:p>
    <w:tbl>
      <w:tblPr>
        <w:tblW w:w="0" w:type="auto"/>
        <w:tblInd w:w="225" w:type="dxa"/>
        <w:tblLayout w:type="fixed"/>
        <w:tblCellMar>
          <w:left w:w="0" w:type="dxa"/>
          <w:right w:w="0" w:type="dxa"/>
        </w:tblCellMar>
        <w:tblLook w:val="01E0" w:firstRow="1" w:lastRow="1" w:firstColumn="1" w:lastColumn="1" w:noHBand="0" w:noVBand="0"/>
      </w:tblPr>
      <w:tblGrid>
        <w:gridCol w:w="1021"/>
        <w:gridCol w:w="272"/>
        <w:gridCol w:w="210"/>
        <w:gridCol w:w="1064"/>
        <w:gridCol w:w="4270"/>
        <w:gridCol w:w="2292"/>
      </w:tblGrid>
      <w:tr w:rsidR="0010369C" w14:paraId="51DE7FB4" w14:textId="77777777">
        <w:trPr>
          <w:trHeight w:val="320"/>
        </w:trPr>
        <w:tc>
          <w:tcPr>
            <w:tcW w:w="1503" w:type="dxa"/>
            <w:gridSpan w:val="3"/>
            <w:tcBorders>
              <w:bottom w:val="single" w:sz="48" w:space="0" w:color="FFFFFF"/>
            </w:tcBorders>
          </w:tcPr>
          <w:p w14:paraId="51DE7FB2" w14:textId="77777777" w:rsidR="0010369C" w:rsidRDefault="008E43AE">
            <w:pPr>
              <w:pStyle w:val="TableParagraph"/>
              <w:spacing w:line="291" w:lineRule="exact"/>
              <w:ind w:left="19" w:right="-29"/>
              <w:rPr>
                <w:sz w:val="24"/>
              </w:rPr>
            </w:pPr>
            <w:r>
              <w:rPr>
                <w:w w:val="95"/>
                <w:sz w:val="24"/>
              </w:rPr>
              <w:t>investigation.</w:t>
            </w:r>
            <w:r>
              <w:rPr>
                <w:spacing w:val="28"/>
                <w:sz w:val="24"/>
              </w:rPr>
              <w:t xml:space="preserve"> </w:t>
            </w:r>
            <w:r>
              <w:rPr>
                <w:spacing w:val="-5"/>
                <w:sz w:val="24"/>
              </w:rPr>
              <w:t>[[</w:t>
            </w:r>
          </w:p>
        </w:tc>
        <w:tc>
          <w:tcPr>
            <w:tcW w:w="7626" w:type="dxa"/>
            <w:gridSpan w:val="3"/>
            <w:tcBorders>
              <w:bottom w:val="single" w:sz="48" w:space="0" w:color="FFFFFF"/>
            </w:tcBorders>
            <w:shd w:val="clear" w:color="auto" w:fill="000000"/>
          </w:tcPr>
          <w:p w14:paraId="51DE7FB3" w14:textId="77777777" w:rsidR="0010369C" w:rsidRDefault="0010369C">
            <w:pPr>
              <w:pStyle w:val="TableParagraph"/>
              <w:rPr>
                <w:rFonts w:ascii="Times New Roman"/>
                <w:sz w:val="20"/>
              </w:rPr>
            </w:pPr>
          </w:p>
        </w:tc>
      </w:tr>
      <w:tr w:rsidR="0010369C" w14:paraId="51DE7FB6" w14:textId="77777777">
        <w:trPr>
          <w:trHeight w:val="319"/>
        </w:trPr>
        <w:tc>
          <w:tcPr>
            <w:tcW w:w="9129" w:type="dxa"/>
            <w:gridSpan w:val="6"/>
            <w:tcBorders>
              <w:top w:val="single" w:sz="48" w:space="0" w:color="FFFFFF"/>
              <w:bottom w:val="single" w:sz="48" w:space="0" w:color="FFFFFF"/>
            </w:tcBorders>
            <w:shd w:val="clear" w:color="auto" w:fill="000000"/>
          </w:tcPr>
          <w:p w14:paraId="51DE7FB5" w14:textId="77777777" w:rsidR="0010369C" w:rsidRDefault="0010369C">
            <w:pPr>
              <w:pStyle w:val="TableParagraph"/>
              <w:rPr>
                <w:rFonts w:ascii="Times New Roman"/>
                <w:sz w:val="20"/>
              </w:rPr>
            </w:pPr>
          </w:p>
        </w:tc>
      </w:tr>
      <w:tr w:rsidR="0010369C" w14:paraId="51DE7FB8" w14:textId="77777777">
        <w:trPr>
          <w:trHeight w:val="319"/>
        </w:trPr>
        <w:tc>
          <w:tcPr>
            <w:tcW w:w="9129" w:type="dxa"/>
            <w:gridSpan w:val="6"/>
            <w:tcBorders>
              <w:top w:val="single" w:sz="48" w:space="0" w:color="FFFFFF"/>
              <w:bottom w:val="single" w:sz="48" w:space="0" w:color="FFFFFF"/>
            </w:tcBorders>
            <w:shd w:val="clear" w:color="auto" w:fill="000000"/>
          </w:tcPr>
          <w:p w14:paraId="51DE7FB7" w14:textId="77777777" w:rsidR="0010369C" w:rsidRDefault="0010369C">
            <w:pPr>
              <w:pStyle w:val="TableParagraph"/>
              <w:rPr>
                <w:rFonts w:ascii="Times New Roman"/>
                <w:sz w:val="20"/>
              </w:rPr>
            </w:pPr>
          </w:p>
        </w:tc>
      </w:tr>
      <w:tr w:rsidR="0010369C" w14:paraId="51DE7FBC" w14:textId="77777777">
        <w:trPr>
          <w:trHeight w:val="155"/>
        </w:trPr>
        <w:tc>
          <w:tcPr>
            <w:tcW w:w="1021" w:type="dxa"/>
            <w:vMerge w:val="restart"/>
            <w:tcBorders>
              <w:top w:val="single" w:sz="48" w:space="0" w:color="FFFFFF"/>
              <w:bottom w:val="single" w:sz="48" w:space="0" w:color="FFFFFF"/>
            </w:tcBorders>
            <w:shd w:val="clear" w:color="auto" w:fill="000000"/>
          </w:tcPr>
          <w:p w14:paraId="51DE7FB9" w14:textId="77777777" w:rsidR="0010369C" w:rsidRDefault="0010369C">
            <w:pPr>
              <w:pStyle w:val="TableParagraph"/>
              <w:rPr>
                <w:rFonts w:ascii="Times New Roman"/>
                <w:sz w:val="20"/>
              </w:rPr>
            </w:pPr>
          </w:p>
        </w:tc>
        <w:tc>
          <w:tcPr>
            <w:tcW w:w="272" w:type="dxa"/>
            <w:tcBorders>
              <w:top w:val="single" w:sz="48" w:space="0" w:color="FFFFFF"/>
              <w:right w:val="single" w:sz="36" w:space="0" w:color="FFFFFF"/>
            </w:tcBorders>
            <w:shd w:val="clear" w:color="auto" w:fill="000000"/>
          </w:tcPr>
          <w:p w14:paraId="51DE7FBA" w14:textId="77777777" w:rsidR="0010369C" w:rsidRDefault="0010369C">
            <w:pPr>
              <w:pStyle w:val="TableParagraph"/>
              <w:rPr>
                <w:rFonts w:ascii="Times New Roman"/>
                <w:sz w:val="10"/>
              </w:rPr>
            </w:pPr>
          </w:p>
        </w:tc>
        <w:tc>
          <w:tcPr>
            <w:tcW w:w="7836" w:type="dxa"/>
            <w:gridSpan w:val="4"/>
            <w:vMerge w:val="restart"/>
            <w:tcBorders>
              <w:top w:val="single" w:sz="48" w:space="0" w:color="FFFFFF"/>
              <w:left w:val="single" w:sz="36" w:space="0" w:color="FFFFFF"/>
              <w:bottom w:val="single" w:sz="48" w:space="0" w:color="FFFFFF"/>
            </w:tcBorders>
            <w:shd w:val="clear" w:color="auto" w:fill="000000"/>
          </w:tcPr>
          <w:p w14:paraId="51DE7FBB" w14:textId="77777777" w:rsidR="0010369C" w:rsidRDefault="0010369C">
            <w:pPr>
              <w:pStyle w:val="TableParagraph"/>
              <w:rPr>
                <w:rFonts w:ascii="Times New Roman"/>
                <w:sz w:val="20"/>
              </w:rPr>
            </w:pPr>
          </w:p>
        </w:tc>
      </w:tr>
      <w:tr w:rsidR="0010369C" w14:paraId="51DE7FC0" w14:textId="77777777">
        <w:trPr>
          <w:trHeight w:val="44"/>
        </w:trPr>
        <w:tc>
          <w:tcPr>
            <w:tcW w:w="1021" w:type="dxa"/>
            <w:vMerge/>
            <w:tcBorders>
              <w:top w:val="nil"/>
              <w:bottom w:val="single" w:sz="48" w:space="0" w:color="FFFFFF"/>
            </w:tcBorders>
            <w:shd w:val="clear" w:color="auto" w:fill="000000"/>
          </w:tcPr>
          <w:p w14:paraId="51DE7FBD" w14:textId="77777777" w:rsidR="0010369C" w:rsidRDefault="0010369C">
            <w:pPr>
              <w:rPr>
                <w:sz w:val="2"/>
                <w:szCs w:val="2"/>
              </w:rPr>
            </w:pPr>
          </w:p>
        </w:tc>
        <w:tc>
          <w:tcPr>
            <w:tcW w:w="272" w:type="dxa"/>
            <w:tcBorders>
              <w:bottom w:val="single" w:sz="48" w:space="0" w:color="FFFFFF"/>
              <w:right w:val="single" w:sz="36" w:space="0" w:color="FFFFFF"/>
            </w:tcBorders>
          </w:tcPr>
          <w:p w14:paraId="51DE7FBE" w14:textId="77777777" w:rsidR="0010369C" w:rsidRDefault="0010369C">
            <w:pPr>
              <w:pStyle w:val="TableParagraph"/>
              <w:rPr>
                <w:rFonts w:ascii="Times New Roman"/>
                <w:sz w:val="2"/>
              </w:rPr>
            </w:pPr>
          </w:p>
        </w:tc>
        <w:tc>
          <w:tcPr>
            <w:tcW w:w="7836" w:type="dxa"/>
            <w:gridSpan w:val="4"/>
            <w:vMerge/>
            <w:tcBorders>
              <w:top w:val="nil"/>
              <w:left w:val="single" w:sz="36" w:space="0" w:color="FFFFFF"/>
              <w:bottom w:val="single" w:sz="48" w:space="0" w:color="FFFFFF"/>
            </w:tcBorders>
            <w:shd w:val="clear" w:color="auto" w:fill="000000"/>
          </w:tcPr>
          <w:p w14:paraId="51DE7FBF" w14:textId="77777777" w:rsidR="0010369C" w:rsidRDefault="0010369C">
            <w:pPr>
              <w:rPr>
                <w:sz w:val="2"/>
                <w:szCs w:val="2"/>
              </w:rPr>
            </w:pPr>
          </w:p>
        </w:tc>
      </w:tr>
      <w:tr w:rsidR="0010369C" w14:paraId="51DE7FC2" w14:textId="77777777">
        <w:trPr>
          <w:trHeight w:val="319"/>
        </w:trPr>
        <w:tc>
          <w:tcPr>
            <w:tcW w:w="9129" w:type="dxa"/>
            <w:gridSpan w:val="6"/>
            <w:tcBorders>
              <w:top w:val="single" w:sz="48" w:space="0" w:color="FFFFFF"/>
              <w:bottom w:val="single" w:sz="48" w:space="0" w:color="FFFFFF"/>
            </w:tcBorders>
            <w:shd w:val="clear" w:color="auto" w:fill="000000"/>
          </w:tcPr>
          <w:p w14:paraId="51DE7FC1" w14:textId="77777777" w:rsidR="0010369C" w:rsidRDefault="0010369C">
            <w:pPr>
              <w:pStyle w:val="TableParagraph"/>
              <w:rPr>
                <w:rFonts w:ascii="Times New Roman"/>
                <w:sz w:val="20"/>
              </w:rPr>
            </w:pPr>
          </w:p>
        </w:tc>
      </w:tr>
      <w:tr w:rsidR="0010369C" w14:paraId="51DE7FC5" w14:textId="77777777">
        <w:trPr>
          <w:trHeight w:val="319"/>
        </w:trPr>
        <w:tc>
          <w:tcPr>
            <w:tcW w:w="6837" w:type="dxa"/>
            <w:gridSpan w:val="5"/>
            <w:tcBorders>
              <w:top w:val="single" w:sz="48" w:space="0" w:color="FFFFFF"/>
              <w:bottom w:val="single" w:sz="48" w:space="0" w:color="FFFFFF"/>
              <w:right w:val="single" w:sz="36" w:space="0" w:color="FFFFFF"/>
            </w:tcBorders>
            <w:shd w:val="clear" w:color="auto" w:fill="000000"/>
          </w:tcPr>
          <w:p w14:paraId="51DE7FC3" w14:textId="77777777" w:rsidR="0010369C" w:rsidRDefault="0010369C">
            <w:pPr>
              <w:pStyle w:val="TableParagraph"/>
              <w:rPr>
                <w:rFonts w:ascii="Times New Roman"/>
                <w:sz w:val="20"/>
              </w:rPr>
            </w:pPr>
          </w:p>
        </w:tc>
        <w:tc>
          <w:tcPr>
            <w:tcW w:w="2292" w:type="dxa"/>
            <w:tcBorders>
              <w:top w:val="single" w:sz="48" w:space="0" w:color="FFFFFF"/>
              <w:left w:val="single" w:sz="36" w:space="0" w:color="FFFFFF"/>
              <w:bottom w:val="single" w:sz="48" w:space="0" w:color="FFFFFF"/>
            </w:tcBorders>
            <w:shd w:val="clear" w:color="auto" w:fill="000000"/>
          </w:tcPr>
          <w:p w14:paraId="51DE7FC4" w14:textId="77777777" w:rsidR="0010369C" w:rsidRDefault="0010369C">
            <w:pPr>
              <w:pStyle w:val="TableParagraph"/>
              <w:rPr>
                <w:rFonts w:ascii="Times New Roman"/>
                <w:sz w:val="20"/>
              </w:rPr>
            </w:pPr>
          </w:p>
        </w:tc>
      </w:tr>
      <w:tr w:rsidR="0010369C" w14:paraId="51DE7FC7" w14:textId="77777777">
        <w:trPr>
          <w:trHeight w:val="319"/>
        </w:trPr>
        <w:tc>
          <w:tcPr>
            <w:tcW w:w="9129" w:type="dxa"/>
            <w:gridSpan w:val="6"/>
            <w:tcBorders>
              <w:top w:val="single" w:sz="48" w:space="0" w:color="FFFFFF"/>
              <w:bottom w:val="single" w:sz="48" w:space="0" w:color="FFFFFF"/>
            </w:tcBorders>
            <w:shd w:val="clear" w:color="auto" w:fill="000000"/>
          </w:tcPr>
          <w:p w14:paraId="51DE7FC6" w14:textId="77777777" w:rsidR="0010369C" w:rsidRDefault="0010369C">
            <w:pPr>
              <w:pStyle w:val="TableParagraph"/>
              <w:rPr>
                <w:rFonts w:ascii="Times New Roman"/>
                <w:sz w:val="20"/>
              </w:rPr>
            </w:pPr>
          </w:p>
        </w:tc>
      </w:tr>
      <w:tr w:rsidR="0010369C" w14:paraId="51DE7FC9" w14:textId="77777777">
        <w:trPr>
          <w:trHeight w:val="319"/>
        </w:trPr>
        <w:tc>
          <w:tcPr>
            <w:tcW w:w="9129" w:type="dxa"/>
            <w:gridSpan w:val="6"/>
            <w:tcBorders>
              <w:top w:val="single" w:sz="48" w:space="0" w:color="FFFFFF"/>
              <w:bottom w:val="single" w:sz="48" w:space="0" w:color="FFFFFF"/>
            </w:tcBorders>
            <w:shd w:val="clear" w:color="auto" w:fill="000000"/>
          </w:tcPr>
          <w:p w14:paraId="51DE7FC8" w14:textId="77777777" w:rsidR="0010369C" w:rsidRDefault="0010369C">
            <w:pPr>
              <w:pStyle w:val="TableParagraph"/>
              <w:rPr>
                <w:rFonts w:ascii="Times New Roman"/>
                <w:sz w:val="20"/>
              </w:rPr>
            </w:pPr>
          </w:p>
        </w:tc>
      </w:tr>
      <w:tr w:rsidR="0010369C" w14:paraId="51DE7FCC" w14:textId="77777777">
        <w:trPr>
          <w:trHeight w:val="320"/>
        </w:trPr>
        <w:tc>
          <w:tcPr>
            <w:tcW w:w="2567" w:type="dxa"/>
            <w:gridSpan w:val="4"/>
            <w:tcBorders>
              <w:top w:val="single" w:sz="48" w:space="0" w:color="FFFFFF"/>
            </w:tcBorders>
            <w:shd w:val="clear" w:color="auto" w:fill="000000"/>
          </w:tcPr>
          <w:p w14:paraId="51DE7FCA" w14:textId="77777777" w:rsidR="0010369C" w:rsidRDefault="0010369C">
            <w:pPr>
              <w:pStyle w:val="TableParagraph"/>
              <w:rPr>
                <w:rFonts w:ascii="Times New Roman"/>
                <w:sz w:val="20"/>
              </w:rPr>
            </w:pPr>
          </w:p>
        </w:tc>
        <w:tc>
          <w:tcPr>
            <w:tcW w:w="6562" w:type="dxa"/>
            <w:gridSpan w:val="2"/>
            <w:tcBorders>
              <w:top w:val="single" w:sz="48" w:space="0" w:color="FFFFFF"/>
            </w:tcBorders>
          </w:tcPr>
          <w:p w14:paraId="51DE7FCB" w14:textId="77777777" w:rsidR="0010369C" w:rsidRDefault="008E43AE">
            <w:pPr>
              <w:pStyle w:val="TableParagraph"/>
              <w:spacing w:line="290" w:lineRule="exact"/>
              <w:ind w:left="20"/>
              <w:rPr>
                <w:sz w:val="24"/>
              </w:rPr>
            </w:pPr>
            <w:r>
              <w:rPr>
                <w:sz w:val="24"/>
              </w:rPr>
              <w:t>]]</w:t>
            </w:r>
            <w:r>
              <w:rPr>
                <w:spacing w:val="-8"/>
                <w:sz w:val="24"/>
              </w:rPr>
              <w:t xml:space="preserve"> </w:t>
            </w:r>
            <w:r>
              <w:rPr>
                <w:sz w:val="24"/>
              </w:rPr>
              <w:t>Such</w:t>
            </w:r>
            <w:r>
              <w:rPr>
                <w:spacing w:val="-6"/>
                <w:sz w:val="24"/>
              </w:rPr>
              <w:t xml:space="preserve"> </w:t>
            </w:r>
            <w:r>
              <w:rPr>
                <w:sz w:val="24"/>
              </w:rPr>
              <w:t>costs,</w:t>
            </w:r>
            <w:r>
              <w:rPr>
                <w:spacing w:val="-7"/>
                <w:sz w:val="24"/>
              </w:rPr>
              <w:t xml:space="preserve"> </w:t>
            </w:r>
            <w:r>
              <w:rPr>
                <w:sz w:val="24"/>
              </w:rPr>
              <w:t>therefore,</w:t>
            </w:r>
            <w:r>
              <w:rPr>
                <w:spacing w:val="-6"/>
                <w:sz w:val="24"/>
              </w:rPr>
              <w:t xml:space="preserve"> </w:t>
            </w:r>
            <w:r>
              <w:rPr>
                <w:sz w:val="24"/>
              </w:rPr>
              <w:t>are</w:t>
            </w:r>
            <w:r>
              <w:rPr>
                <w:spacing w:val="-7"/>
                <w:sz w:val="24"/>
              </w:rPr>
              <w:t xml:space="preserve"> </w:t>
            </w:r>
            <w:r>
              <w:rPr>
                <w:sz w:val="24"/>
              </w:rPr>
              <w:t>not</w:t>
            </w:r>
            <w:r>
              <w:rPr>
                <w:spacing w:val="-6"/>
                <w:sz w:val="24"/>
              </w:rPr>
              <w:t xml:space="preserve"> </w:t>
            </w:r>
            <w:r>
              <w:rPr>
                <w:sz w:val="24"/>
              </w:rPr>
              <w:t>"necessary"</w:t>
            </w:r>
            <w:r>
              <w:rPr>
                <w:spacing w:val="-8"/>
                <w:sz w:val="24"/>
              </w:rPr>
              <w:t xml:space="preserve"> </w:t>
            </w:r>
            <w:r>
              <w:rPr>
                <w:sz w:val="24"/>
              </w:rPr>
              <w:t>within</w:t>
            </w:r>
            <w:r>
              <w:rPr>
                <w:spacing w:val="-7"/>
                <w:sz w:val="24"/>
              </w:rPr>
              <w:t xml:space="preserve"> </w:t>
            </w:r>
            <w:r>
              <w:rPr>
                <w:sz w:val="24"/>
              </w:rPr>
              <w:t>the</w:t>
            </w:r>
            <w:r>
              <w:rPr>
                <w:spacing w:val="-7"/>
                <w:sz w:val="24"/>
              </w:rPr>
              <w:t xml:space="preserve"> </w:t>
            </w:r>
            <w:r>
              <w:rPr>
                <w:sz w:val="24"/>
              </w:rPr>
              <w:t>meaning</w:t>
            </w:r>
            <w:r>
              <w:rPr>
                <w:spacing w:val="-7"/>
                <w:sz w:val="24"/>
              </w:rPr>
              <w:t xml:space="preserve"> </w:t>
            </w:r>
            <w:r>
              <w:rPr>
                <w:spacing w:val="-5"/>
                <w:sz w:val="24"/>
              </w:rPr>
              <w:t>of</w:t>
            </w:r>
          </w:p>
        </w:tc>
      </w:tr>
    </w:tbl>
    <w:p w14:paraId="51DE7FCD" w14:textId="77777777" w:rsidR="0010369C" w:rsidRDefault="0010369C">
      <w:pPr>
        <w:pStyle w:val="BodyText"/>
        <w:rPr>
          <w:sz w:val="10"/>
        </w:rPr>
      </w:pPr>
    </w:p>
    <w:tbl>
      <w:tblPr>
        <w:tblW w:w="0" w:type="auto"/>
        <w:tblInd w:w="225" w:type="dxa"/>
        <w:tblLayout w:type="fixed"/>
        <w:tblCellMar>
          <w:left w:w="0" w:type="dxa"/>
          <w:right w:w="0" w:type="dxa"/>
        </w:tblCellMar>
        <w:tblLook w:val="01E0" w:firstRow="1" w:lastRow="1" w:firstColumn="1" w:lastColumn="1" w:noHBand="0" w:noVBand="0"/>
      </w:tblPr>
      <w:tblGrid>
        <w:gridCol w:w="1795"/>
        <w:gridCol w:w="4088"/>
        <w:gridCol w:w="3245"/>
      </w:tblGrid>
      <w:tr w:rsidR="0010369C" w14:paraId="51DE7FD0" w14:textId="77777777">
        <w:trPr>
          <w:trHeight w:val="320"/>
        </w:trPr>
        <w:tc>
          <w:tcPr>
            <w:tcW w:w="5883" w:type="dxa"/>
            <w:gridSpan w:val="2"/>
            <w:tcBorders>
              <w:bottom w:val="single" w:sz="48" w:space="0" w:color="FFFFFF"/>
            </w:tcBorders>
          </w:tcPr>
          <w:p w14:paraId="51DE7FCE" w14:textId="77777777" w:rsidR="0010369C" w:rsidRDefault="008E43AE">
            <w:pPr>
              <w:pStyle w:val="TableParagraph"/>
              <w:spacing w:line="291" w:lineRule="exact"/>
              <w:ind w:left="20" w:right="-29"/>
              <w:rPr>
                <w:sz w:val="24"/>
              </w:rPr>
            </w:pPr>
            <w:r>
              <w:rPr>
                <w:sz w:val="24"/>
              </w:rPr>
              <w:t>Article</w:t>
            </w:r>
            <w:r>
              <w:rPr>
                <w:spacing w:val="10"/>
                <w:sz w:val="24"/>
              </w:rPr>
              <w:t xml:space="preserve"> </w:t>
            </w:r>
            <w:r>
              <w:rPr>
                <w:sz w:val="24"/>
              </w:rPr>
              <w:t>6.8</w:t>
            </w:r>
            <w:r>
              <w:rPr>
                <w:spacing w:val="10"/>
                <w:sz w:val="24"/>
              </w:rPr>
              <w:t xml:space="preserve"> </w:t>
            </w:r>
            <w:r>
              <w:rPr>
                <w:sz w:val="24"/>
              </w:rPr>
              <w:t>for</w:t>
            </w:r>
            <w:r>
              <w:rPr>
                <w:spacing w:val="10"/>
                <w:sz w:val="24"/>
              </w:rPr>
              <w:t xml:space="preserve"> </w:t>
            </w:r>
            <w:r>
              <w:rPr>
                <w:sz w:val="24"/>
              </w:rPr>
              <w:t>Treasury</w:t>
            </w:r>
            <w:r>
              <w:rPr>
                <w:spacing w:val="10"/>
                <w:sz w:val="24"/>
              </w:rPr>
              <w:t xml:space="preserve"> </w:t>
            </w:r>
            <w:r>
              <w:rPr>
                <w:sz w:val="24"/>
              </w:rPr>
              <w:t>Wines'</w:t>
            </w:r>
            <w:r>
              <w:rPr>
                <w:spacing w:val="10"/>
                <w:sz w:val="24"/>
              </w:rPr>
              <w:t xml:space="preserve"> </w:t>
            </w:r>
            <w:r>
              <w:rPr>
                <w:sz w:val="24"/>
              </w:rPr>
              <w:t>normal</w:t>
            </w:r>
            <w:r>
              <w:rPr>
                <w:spacing w:val="11"/>
                <w:sz w:val="24"/>
              </w:rPr>
              <w:t xml:space="preserve"> </w:t>
            </w:r>
            <w:r>
              <w:rPr>
                <w:sz w:val="24"/>
              </w:rPr>
              <w:t>value</w:t>
            </w:r>
            <w:r>
              <w:rPr>
                <w:spacing w:val="9"/>
                <w:sz w:val="24"/>
              </w:rPr>
              <w:t xml:space="preserve"> </w:t>
            </w:r>
            <w:r>
              <w:rPr>
                <w:sz w:val="24"/>
              </w:rPr>
              <w:t>calculations.</w:t>
            </w:r>
            <w:r>
              <w:rPr>
                <w:spacing w:val="9"/>
                <w:sz w:val="24"/>
              </w:rPr>
              <w:t xml:space="preserve"> </w:t>
            </w:r>
            <w:r>
              <w:rPr>
                <w:spacing w:val="-5"/>
                <w:sz w:val="24"/>
              </w:rPr>
              <w:t>[[</w:t>
            </w:r>
          </w:p>
        </w:tc>
        <w:tc>
          <w:tcPr>
            <w:tcW w:w="3245" w:type="dxa"/>
            <w:tcBorders>
              <w:bottom w:val="single" w:sz="48" w:space="0" w:color="FFFFFF"/>
            </w:tcBorders>
            <w:shd w:val="clear" w:color="auto" w:fill="000000"/>
          </w:tcPr>
          <w:p w14:paraId="51DE7FCF" w14:textId="77777777" w:rsidR="0010369C" w:rsidRDefault="0010369C">
            <w:pPr>
              <w:pStyle w:val="TableParagraph"/>
              <w:rPr>
                <w:rFonts w:ascii="Times New Roman"/>
                <w:sz w:val="20"/>
              </w:rPr>
            </w:pPr>
          </w:p>
        </w:tc>
      </w:tr>
      <w:tr w:rsidR="0010369C" w14:paraId="51DE7FD2" w14:textId="77777777">
        <w:trPr>
          <w:trHeight w:val="319"/>
        </w:trPr>
        <w:tc>
          <w:tcPr>
            <w:tcW w:w="9128" w:type="dxa"/>
            <w:gridSpan w:val="3"/>
            <w:tcBorders>
              <w:top w:val="single" w:sz="48" w:space="0" w:color="FFFFFF"/>
              <w:bottom w:val="single" w:sz="48" w:space="0" w:color="FFFFFF"/>
            </w:tcBorders>
            <w:shd w:val="clear" w:color="auto" w:fill="000000"/>
          </w:tcPr>
          <w:p w14:paraId="51DE7FD1" w14:textId="77777777" w:rsidR="0010369C" w:rsidRDefault="0010369C">
            <w:pPr>
              <w:pStyle w:val="TableParagraph"/>
              <w:rPr>
                <w:rFonts w:ascii="Times New Roman"/>
                <w:sz w:val="20"/>
              </w:rPr>
            </w:pPr>
          </w:p>
        </w:tc>
      </w:tr>
      <w:tr w:rsidR="0010369C" w14:paraId="51DE7FD4" w14:textId="77777777">
        <w:trPr>
          <w:trHeight w:val="319"/>
        </w:trPr>
        <w:tc>
          <w:tcPr>
            <w:tcW w:w="9128" w:type="dxa"/>
            <w:gridSpan w:val="3"/>
            <w:tcBorders>
              <w:top w:val="single" w:sz="48" w:space="0" w:color="FFFFFF"/>
              <w:bottom w:val="single" w:sz="48" w:space="0" w:color="FFFFFF"/>
            </w:tcBorders>
            <w:shd w:val="clear" w:color="auto" w:fill="000000"/>
          </w:tcPr>
          <w:p w14:paraId="51DE7FD3" w14:textId="77777777" w:rsidR="0010369C" w:rsidRDefault="0010369C">
            <w:pPr>
              <w:pStyle w:val="TableParagraph"/>
              <w:rPr>
                <w:rFonts w:ascii="Times New Roman"/>
                <w:sz w:val="20"/>
              </w:rPr>
            </w:pPr>
          </w:p>
        </w:tc>
      </w:tr>
      <w:tr w:rsidR="0010369C" w14:paraId="51DE7FD6" w14:textId="77777777">
        <w:trPr>
          <w:trHeight w:val="319"/>
        </w:trPr>
        <w:tc>
          <w:tcPr>
            <w:tcW w:w="9128" w:type="dxa"/>
            <w:gridSpan w:val="3"/>
            <w:tcBorders>
              <w:top w:val="single" w:sz="48" w:space="0" w:color="FFFFFF"/>
              <w:bottom w:val="single" w:sz="48" w:space="0" w:color="FFFFFF"/>
            </w:tcBorders>
            <w:shd w:val="clear" w:color="auto" w:fill="000000"/>
          </w:tcPr>
          <w:p w14:paraId="51DE7FD5" w14:textId="77777777" w:rsidR="0010369C" w:rsidRDefault="0010369C">
            <w:pPr>
              <w:pStyle w:val="TableParagraph"/>
              <w:rPr>
                <w:rFonts w:ascii="Times New Roman"/>
                <w:sz w:val="20"/>
              </w:rPr>
            </w:pPr>
          </w:p>
        </w:tc>
      </w:tr>
      <w:tr w:rsidR="0010369C" w14:paraId="51DE7FD8" w14:textId="77777777">
        <w:trPr>
          <w:trHeight w:val="319"/>
        </w:trPr>
        <w:tc>
          <w:tcPr>
            <w:tcW w:w="9128" w:type="dxa"/>
            <w:gridSpan w:val="3"/>
            <w:tcBorders>
              <w:top w:val="single" w:sz="48" w:space="0" w:color="FFFFFF"/>
              <w:bottom w:val="single" w:sz="48" w:space="0" w:color="FFFFFF"/>
            </w:tcBorders>
            <w:shd w:val="clear" w:color="auto" w:fill="000000"/>
          </w:tcPr>
          <w:p w14:paraId="51DE7FD7" w14:textId="77777777" w:rsidR="0010369C" w:rsidRDefault="0010369C">
            <w:pPr>
              <w:pStyle w:val="TableParagraph"/>
              <w:rPr>
                <w:rFonts w:ascii="Times New Roman"/>
                <w:sz w:val="20"/>
              </w:rPr>
            </w:pPr>
          </w:p>
        </w:tc>
      </w:tr>
      <w:tr w:rsidR="0010369C" w14:paraId="51DE7FDA" w14:textId="77777777">
        <w:trPr>
          <w:trHeight w:val="319"/>
        </w:trPr>
        <w:tc>
          <w:tcPr>
            <w:tcW w:w="9128" w:type="dxa"/>
            <w:gridSpan w:val="3"/>
            <w:tcBorders>
              <w:top w:val="single" w:sz="48" w:space="0" w:color="FFFFFF"/>
              <w:bottom w:val="single" w:sz="48" w:space="0" w:color="FFFFFF"/>
            </w:tcBorders>
            <w:shd w:val="clear" w:color="auto" w:fill="000000"/>
          </w:tcPr>
          <w:p w14:paraId="51DE7FD9" w14:textId="77777777" w:rsidR="0010369C" w:rsidRDefault="0010369C">
            <w:pPr>
              <w:pStyle w:val="TableParagraph"/>
              <w:rPr>
                <w:rFonts w:ascii="Times New Roman"/>
                <w:sz w:val="20"/>
              </w:rPr>
            </w:pPr>
          </w:p>
        </w:tc>
      </w:tr>
      <w:tr w:rsidR="0010369C" w14:paraId="51DE7FDC" w14:textId="77777777">
        <w:trPr>
          <w:trHeight w:val="319"/>
        </w:trPr>
        <w:tc>
          <w:tcPr>
            <w:tcW w:w="9128" w:type="dxa"/>
            <w:gridSpan w:val="3"/>
            <w:tcBorders>
              <w:top w:val="single" w:sz="48" w:space="0" w:color="FFFFFF"/>
              <w:bottom w:val="single" w:sz="48" w:space="0" w:color="FFFFFF"/>
            </w:tcBorders>
            <w:shd w:val="clear" w:color="auto" w:fill="000000"/>
          </w:tcPr>
          <w:p w14:paraId="51DE7FDB" w14:textId="77777777" w:rsidR="0010369C" w:rsidRDefault="0010369C">
            <w:pPr>
              <w:pStyle w:val="TableParagraph"/>
              <w:rPr>
                <w:rFonts w:ascii="Times New Roman"/>
                <w:sz w:val="20"/>
              </w:rPr>
            </w:pPr>
          </w:p>
        </w:tc>
      </w:tr>
      <w:tr w:rsidR="0010369C" w14:paraId="51DE7FDF" w14:textId="77777777">
        <w:trPr>
          <w:trHeight w:val="320"/>
        </w:trPr>
        <w:tc>
          <w:tcPr>
            <w:tcW w:w="1795" w:type="dxa"/>
            <w:tcBorders>
              <w:top w:val="single" w:sz="48" w:space="0" w:color="FFFFFF"/>
            </w:tcBorders>
            <w:shd w:val="clear" w:color="auto" w:fill="000000"/>
          </w:tcPr>
          <w:p w14:paraId="51DE7FDD" w14:textId="77777777" w:rsidR="0010369C" w:rsidRDefault="0010369C">
            <w:pPr>
              <w:pStyle w:val="TableParagraph"/>
              <w:rPr>
                <w:rFonts w:ascii="Times New Roman"/>
                <w:sz w:val="20"/>
              </w:rPr>
            </w:pPr>
          </w:p>
        </w:tc>
        <w:tc>
          <w:tcPr>
            <w:tcW w:w="7333" w:type="dxa"/>
            <w:gridSpan w:val="2"/>
            <w:tcBorders>
              <w:top w:val="single" w:sz="48" w:space="0" w:color="FFFFFF"/>
            </w:tcBorders>
          </w:tcPr>
          <w:p w14:paraId="51DE7FDE" w14:textId="77777777" w:rsidR="0010369C" w:rsidRDefault="008E43AE">
            <w:pPr>
              <w:pStyle w:val="TableParagraph"/>
              <w:spacing w:line="290" w:lineRule="exact"/>
              <w:ind w:left="21"/>
              <w:rPr>
                <w:sz w:val="24"/>
              </w:rPr>
            </w:pPr>
            <w:r>
              <w:rPr>
                <w:spacing w:val="-5"/>
                <w:sz w:val="24"/>
              </w:rPr>
              <w:t>]]</w:t>
            </w:r>
          </w:p>
        </w:tc>
      </w:tr>
    </w:tbl>
    <w:p w14:paraId="51DE7FE0" w14:textId="77777777" w:rsidR="0010369C" w:rsidRDefault="0010369C">
      <w:pPr>
        <w:pStyle w:val="BodyText"/>
        <w:spacing w:after="1"/>
        <w:rPr>
          <w:sz w:val="23"/>
        </w:rPr>
      </w:pPr>
    </w:p>
    <w:tbl>
      <w:tblPr>
        <w:tblW w:w="0" w:type="auto"/>
        <w:tblInd w:w="127" w:type="dxa"/>
        <w:tblLayout w:type="fixed"/>
        <w:tblCellMar>
          <w:left w:w="0" w:type="dxa"/>
          <w:right w:w="0" w:type="dxa"/>
        </w:tblCellMar>
        <w:tblLook w:val="01E0" w:firstRow="1" w:lastRow="1" w:firstColumn="1" w:lastColumn="1" w:noHBand="0" w:noVBand="0"/>
      </w:tblPr>
      <w:tblGrid>
        <w:gridCol w:w="5102"/>
        <w:gridCol w:w="1129"/>
        <w:gridCol w:w="2997"/>
      </w:tblGrid>
      <w:tr w:rsidR="0010369C" w14:paraId="51DE7FE3" w14:textId="77777777">
        <w:trPr>
          <w:trHeight w:val="320"/>
        </w:trPr>
        <w:tc>
          <w:tcPr>
            <w:tcW w:w="6231" w:type="dxa"/>
            <w:gridSpan w:val="2"/>
            <w:tcBorders>
              <w:bottom w:val="single" w:sz="48" w:space="0" w:color="FFFFFF"/>
            </w:tcBorders>
          </w:tcPr>
          <w:p w14:paraId="51DE7FE1" w14:textId="77777777" w:rsidR="0010369C" w:rsidRDefault="008E43AE">
            <w:pPr>
              <w:pStyle w:val="TableParagraph"/>
              <w:spacing w:line="291" w:lineRule="exact"/>
              <w:ind w:left="969" w:right="-29"/>
              <w:rPr>
                <w:sz w:val="24"/>
              </w:rPr>
            </w:pPr>
            <w:r>
              <w:rPr>
                <w:w w:val="95"/>
                <w:sz w:val="24"/>
              </w:rPr>
              <w:t>In</w:t>
            </w:r>
            <w:r>
              <w:rPr>
                <w:spacing w:val="13"/>
                <w:sz w:val="24"/>
              </w:rPr>
              <w:t xml:space="preserve"> </w:t>
            </w:r>
            <w:r>
              <w:rPr>
                <w:w w:val="95"/>
                <w:sz w:val="24"/>
              </w:rPr>
              <w:t>addition</w:t>
            </w:r>
            <w:r>
              <w:rPr>
                <w:spacing w:val="11"/>
                <w:sz w:val="24"/>
              </w:rPr>
              <w:t xml:space="preserve"> </w:t>
            </w:r>
            <w:r>
              <w:rPr>
                <w:w w:val="95"/>
                <w:sz w:val="24"/>
              </w:rPr>
              <w:t>to</w:t>
            </w:r>
            <w:r>
              <w:rPr>
                <w:spacing w:val="14"/>
                <w:sz w:val="24"/>
              </w:rPr>
              <w:t xml:space="preserve"> </w:t>
            </w:r>
            <w:r>
              <w:rPr>
                <w:w w:val="95"/>
                <w:sz w:val="24"/>
              </w:rPr>
              <w:t>the</w:t>
            </w:r>
            <w:r>
              <w:rPr>
                <w:spacing w:val="13"/>
                <w:sz w:val="24"/>
              </w:rPr>
              <w:t xml:space="preserve"> </w:t>
            </w:r>
            <w:r>
              <w:rPr>
                <w:w w:val="95"/>
                <w:sz w:val="24"/>
              </w:rPr>
              <w:t>information</w:t>
            </w:r>
            <w:r>
              <w:rPr>
                <w:spacing w:val="15"/>
                <w:sz w:val="24"/>
              </w:rPr>
              <w:t xml:space="preserve"> </w:t>
            </w:r>
            <w:r>
              <w:rPr>
                <w:w w:val="95"/>
                <w:sz w:val="24"/>
              </w:rPr>
              <w:t>not</w:t>
            </w:r>
            <w:r>
              <w:rPr>
                <w:spacing w:val="13"/>
                <w:sz w:val="24"/>
              </w:rPr>
              <w:t xml:space="preserve"> </w:t>
            </w:r>
            <w:r>
              <w:rPr>
                <w:w w:val="95"/>
                <w:sz w:val="24"/>
              </w:rPr>
              <w:t>being</w:t>
            </w:r>
            <w:r>
              <w:rPr>
                <w:spacing w:val="13"/>
                <w:sz w:val="24"/>
              </w:rPr>
              <w:t xml:space="preserve"> </w:t>
            </w:r>
            <w:r>
              <w:rPr>
                <w:w w:val="95"/>
                <w:sz w:val="24"/>
              </w:rPr>
              <w:t>"necessary",</w:t>
            </w:r>
            <w:r>
              <w:rPr>
                <w:spacing w:val="14"/>
                <w:sz w:val="24"/>
              </w:rPr>
              <w:t xml:space="preserve"> </w:t>
            </w:r>
            <w:r>
              <w:rPr>
                <w:spacing w:val="-5"/>
                <w:w w:val="95"/>
                <w:sz w:val="24"/>
              </w:rPr>
              <w:t>[[</w:t>
            </w:r>
          </w:p>
        </w:tc>
        <w:tc>
          <w:tcPr>
            <w:tcW w:w="2997" w:type="dxa"/>
            <w:tcBorders>
              <w:bottom w:val="single" w:sz="48" w:space="0" w:color="FFFFFF"/>
            </w:tcBorders>
            <w:shd w:val="clear" w:color="auto" w:fill="000000"/>
          </w:tcPr>
          <w:p w14:paraId="51DE7FE2" w14:textId="77777777" w:rsidR="0010369C" w:rsidRDefault="0010369C">
            <w:pPr>
              <w:pStyle w:val="TableParagraph"/>
              <w:rPr>
                <w:rFonts w:ascii="Times New Roman"/>
                <w:sz w:val="20"/>
              </w:rPr>
            </w:pPr>
          </w:p>
        </w:tc>
      </w:tr>
      <w:tr w:rsidR="0010369C" w14:paraId="51DE7FE5" w14:textId="77777777">
        <w:trPr>
          <w:trHeight w:val="319"/>
        </w:trPr>
        <w:tc>
          <w:tcPr>
            <w:tcW w:w="9228" w:type="dxa"/>
            <w:gridSpan w:val="3"/>
            <w:tcBorders>
              <w:top w:val="single" w:sz="48" w:space="0" w:color="FFFFFF"/>
              <w:bottom w:val="single" w:sz="48" w:space="0" w:color="FFFFFF"/>
            </w:tcBorders>
            <w:shd w:val="clear" w:color="auto" w:fill="000000"/>
          </w:tcPr>
          <w:p w14:paraId="51DE7FE4" w14:textId="77777777" w:rsidR="0010369C" w:rsidRDefault="0010369C">
            <w:pPr>
              <w:pStyle w:val="TableParagraph"/>
              <w:rPr>
                <w:rFonts w:ascii="Times New Roman"/>
                <w:sz w:val="20"/>
              </w:rPr>
            </w:pPr>
          </w:p>
        </w:tc>
      </w:tr>
      <w:tr w:rsidR="0010369C" w14:paraId="51DE7FE7" w14:textId="77777777">
        <w:trPr>
          <w:trHeight w:val="319"/>
        </w:trPr>
        <w:tc>
          <w:tcPr>
            <w:tcW w:w="9228" w:type="dxa"/>
            <w:gridSpan w:val="3"/>
            <w:tcBorders>
              <w:top w:val="single" w:sz="48" w:space="0" w:color="FFFFFF"/>
              <w:bottom w:val="single" w:sz="48" w:space="0" w:color="FFFFFF"/>
            </w:tcBorders>
            <w:shd w:val="clear" w:color="auto" w:fill="000000"/>
          </w:tcPr>
          <w:p w14:paraId="51DE7FE6" w14:textId="77777777" w:rsidR="0010369C" w:rsidRDefault="0010369C">
            <w:pPr>
              <w:pStyle w:val="TableParagraph"/>
              <w:rPr>
                <w:rFonts w:ascii="Times New Roman"/>
                <w:sz w:val="20"/>
              </w:rPr>
            </w:pPr>
          </w:p>
        </w:tc>
      </w:tr>
      <w:tr w:rsidR="0010369C" w14:paraId="51DE7FE9" w14:textId="77777777">
        <w:trPr>
          <w:trHeight w:val="319"/>
        </w:trPr>
        <w:tc>
          <w:tcPr>
            <w:tcW w:w="9228" w:type="dxa"/>
            <w:gridSpan w:val="3"/>
            <w:tcBorders>
              <w:top w:val="single" w:sz="48" w:space="0" w:color="FFFFFF"/>
              <w:bottom w:val="single" w:sz="48" w:space="0" w:color="FFFFFF"/>
            </w:tcBorders>
            <w:shd w:val="clear" w:color="auto" w:fill="000000"/>
          </w:tcPr>
          <w:p w14:paraId="51DE7FE8" w14:textId="77777777" w:rsidR="0010369C" w:rsidRDefault="0010369C">
            <w:pPr>
              <w:pStyle w:val="TableParagraph"/>
              <w:rPr>
                <w:rFonts w:ascii="Times New Roman"/>
                <w:sz w:val="20"/>
              </w:rPr>
            </w:pPr>
          </w:p>
        </w:tc>
      </w:tr>
      <w:tr w:rsidR="0010369C" w14:paraId="51DE7FEC" w14:textId="77777777">
        <w:trPr>
          <w:trHeight w:val="319"/>
        </w:trPr>
        <w:tc>
          <w:tcPr>
            <w:tcW w:w="5102" w:type="dxa"/>
            <w:tcBorders>
              <w:top w:val="single" w:sz="48" w:space="0" w:color="FFFFFF"/>
              <w:bottom w:val="single" w:sz="48" w:space="0" w:color="FFFFFF"/>
              <w:right w:val="single" w:sz="36" w:space="0" w:color="FFFFFF"/>
            </w:tcBorders>
            <w:shd w:val="clear" w:color="auto" w:fill="000000"/>
          </w:tcPr>
          <w:p w14:paraId="51DE7FEA" w14:textId="77777777" w:rsidR="0010369C" w:rsidRDefault="0010369C">
            <w:pPr>
              <w:pStyle w:val="TableParagraph"/>
              <w:rPr>
                <w:rFonts w:ascii="Times New Roman"/>
                <w:sz w:val="20"/>
              </w:rPr>
            </w:pPr>
          </w:p>
        </w:tc>
        <w:tc>
          <w:tcPr>
            <w:tcW w:w="4126" w:type="dxa"/>
            <w:gridSpan w:val="2"/>
            <w:tcBorders>
              <w:top w:val="single" w:sz="48" w:space="0" w:color="FFFFFF"/>
              <w:left w:val="single" w:sz="36" w:space="0" w:color="FFFFFF"/>
              <w:bottom w:val="single" w:sz="48" w:space="0" w:color="FFFFFF"/>
            </w:tcBorders>
            <w:shd w:val="clear" w:color="auto" w:fill="000000"/>
          </w:tcPr>
          <w:p w14:paraId="51DE7FEB" w14:textId="77777777" w:rsidR="0010369C" w:rsidRDefault="0010369C">
            <w:pPr>
              <w:pStyle w:val="TableParagraph"/>
              <w:rPr>
                <w:rFonts w:ascii="Times New Roman"/>
                <w:sz w:val="20"/>
              </w:rPr>
            </w:pPr>
          </w:p>
        </w:tc>
      </w:tr>
      <w:tr w:rsidR="0010369C" w14:paraId="51DE7FEE" w14:textId="77777777">
        <w:trPr>
          <w:trHeight w:val="319"/>
        </w:trPr>
        <w:tc>
          <w:tcPr>
            <w:tcW w:w="9228" w:type="dxa"/>
            <w:gridSpan w:val="3"/>
            <w:tcBorders>
              <w:top w:val="single" w:sz="48" w:space="0" w:color="FFFFFF"/>
              <w:bottom w:val="single" w:sz="48" w:space="0" w:color="FFFFFF"/>
            </w:tcBorders>
            <w:shd w:val="clear" w:color="auto" w:fill="000000"/>
          </w:tcPr>
          <w:p w14:paraId="51DE7FED" w14:textId="77777777" w:rsidR="0010369C" w:rsidRDefault="0010369C">
            <w:pPr>
              <w:pStyle w:val="TableParagraph"/>
              <w:rPr>
                <w:rFonts w:ascii="Times New Roman"/>
                <w:sz w:val="20"/>
              </w:rPr>
            </w:pPr>
          </w:p>
        </w:tc>
      </w:tr>
      <w:tr w:rsidR="0010369C" w14:paraId="51DE7FF0" w14:textId="77777777">
        <w:trPr>
          <w:trHeight w:val="319"/>
        </w:trPr>
        <w:tc>
          <w:tcPr>
            <w:tcW w:w="9228" w:type="dxa"/>
            <w:gridSpan w:val="3"/>
            <w:tcBorders>
              <w:top w:val="single" w:sz="48" w:space="0" w:color="FFFFFF"/>
              <w:bottom w:val="single" w:sz="48" w:space="0" w:color="FFFFFF"/>
            </w:tcBorders>
            <w:shd w:val="clear" w:color="auto" w:fill="000000"/>
          </w:tcPr>
          <w:p w14:paraId="51DE7FEF" w14:textId="77777777" w:rsidR="0010369C" w:rsidRDefault="0010369C">
            <w:pPr>
              <w:pStyle w:val="TableParagraph"/>
              <w:rPr>
                <w:rFonts w:ascii="Times New Roman"/>
                <w:sz w:val="20"/>
              </w:rPr>
            </w:pPr>
          </w:p>
        </w:tc>
      </w:tr>
      <w:tr w:rsidR="0010369C" w14:paraId="51DE7FF2" w14:textId="77777777">
        <w:trPr>
          <w:trHeight w:val="319"/>
        </w:trPr>
        <w:tc>
          <w:tcPr>
            <w:tcW w:w="9228" w:type="dxa"/>
            <w:gridSpan w:val="3"/>
            <w:tcBorders>
              <w:top w:val="single" w:sz="48" w:space="0" w:color="FFFFFF"/>
              <w:bottom w:val="single" w:sz="48" w:space="0" w:color="FFFFFF"/>
            </w:tcBorders>
            <w:shd w:val="clear" w:color="auto" w:fill="000000"/>
          </w:tcPr>
          <w:p w14:paraId="51DE7FF1" w14:textId="77777777" w:rsidR="0010369C" w:rsidRDefault="0010369C">
            <w:pPr>
              <w:pStyle w:val="TableParagraph"/>
              <w:rPr>
                <w:rFonts w:ascii="Times New Roman"/>
                <w:sz w:val="20"/>
              </w:rPr>
            </w:pPr>
          </w:p>
        </w:tc>
      </w:tr>
      <w:tr w:rsidR="0010369C" w14:paraId="51DE7FF4" w14:textId="77777777">
        <w:trPr>
          <w:trHeight w:val="319"/>
        </w:trPr>
        <w:tc>
          <w:tcPr>
            <w:tcW w:w="9228" w:type="dxa"/>
            <w:gridSpan w:val="3"/>
            <w:tcBorders>
              <w:top w:val="single" w:sz="48" w:space="0" w:color="FFFFFF"/>
              <w:bottom w:val="single" w:sz="48" w:space="0" w:color="FFFFFF"/>
            </w:tcBorders>
            <w:shd w:val="clear" w:color="auto" w:fill="000000"/>
          </w:tcPr>
          <w:p w14:paraId="51DE7FF3" w14:textId="77777777" w:rsidR="0010369C" w:rsidRDefault="0010369C">
            <w:pPr>
              <w:pStyle w:val="TableParagraph"/>
              <w:rPr>
                <w:rFonts w:ascii="Times New Roman"/>
                <w:sz w:val="20"/>
              </w:rPr>
            </w:pPr>
          </w:p>
        </w:tc>
      </w:tr>
      <w:tr w:rsidR="0010369C" w14:paraId="51DE7FF6" w14:textId="77777777">
        <w:trPr>
          <w:trHeight w:val="320"/>
        </w:trPr>
        <w:tc>
          <w:tcPr>
            <w:tcW w:w="9228" w:type="dxa"/>
            <w:gridSpan w:val="3"/>
            <w:tcBorders>
              <w:top w:val="single" w:sz="48" w:space="0" w:color="FFFFFF"/>
            </w:tcBorders>
            <w:shd w:val="clear" w:color="auto" w:fill="000000"/>
          </w:tcPr>
          <w:p w14:paraId="51DE7FF5" w14:textId="77777777" w:rsidR="0010369C" w:rsidRDefault="0010369C">
            <w:pPr>
              <w:pStyle w:val="TableParagraph"/>
              <w:rPr>
                <w:rFonts w:ascii="Times New Roman"/>
                <w:sz w:val="20"/>
              </w:rPr>
            </w:pPr>
          </w:p>
        </w:tc>
      </w:tr>
    </w:tbl>
    <w:p w14:paraId="51DE7FF7" w14:textId="77777777" w:rsidR="0010369C" w:rsidRDefault="0010369C">
      <w:pPr>
        <w:pStyle w:val="BodyText"/>
        <w:rPr>
          <w:sz w:val="20"/>
        </w:rPr>
      </w:pPr>
    </w:p>
    <w:p w14:paraId="51DE7FF8" w14:textId="77777777" w:rsidR="0010369C" w:rsidRDefault="0010369C">
      <w:pPr>
        <w:pStyle w:val="BodyText"/>
        <w:rPr>
          <w:sz w:val="20"/>
        </w:rPr>
      </w:pPr>
    </w:p>
    <w:p w14:paraId="51DE7FF9" w14:textId="77777777" w:rsidR="0010369C" w:rsidRDefault="008E43AE">
      <w:pPr>
        <w:pStyle w:val="BodyText"/>
        <w:spacing w:before="7"/>
        <w:rPr>
          <w:sz w:val="29"/>
        </w:rPr>
      </w:pPr>
      <w:r>
        <w:pict w14:anchorId="51DE9EA0">
          <v:rect id="docshape213" o:spid="_x0000_s2039" style="position:absolute;margin-left:70.9pt;margin-top:19.3pt;width:2in;height:.8pt;z-index:-251172352;mso-wrap-distance-left:0;mso-wrap-distance-right:0;mso-position-horizontal-relative:page" fillcolor="black" stroked="f">
            <w10:wrap type="topAndBottom" anchorx="page"/>
          </v:rect>
        </w:pict>
      </w:r>
    </w:p>
    <w:p w14:paraId="51DE7FFA" w14:textId="77777777" w:rsidR="0010369C" w:rsidRDefault="0010369C">
      <w:pPr>
        <w:pStyle w:val="BodyText"/>
        <w:spacing w:before="8"/>
        <w:rPr>
          <w:sz w:val="5"/>
        </w:rPr>
      </w:pPr>
    </w:p>
    <w:p w14:paraId="51DE7FFB" w14:textId="77777777" w:rsidR="0010369C" w:rsidRDefault="0010369C">
      <w:pPr>
        <w:rPr>
          <w:sz w:val="5"/>
        </w:rPr>
        <w:sectPr w:rsidR="0010369C">
          <w:pgSz w:w="11910" w:h="16840"/>
          <w:pgMar w:top="880" w:right="800" w:bottom="980" w:left="1180" w:header="569" w:footer="788" w:gutter="0"/>
          <w:cols w:space="720"/>
        </w:sectPr>
      </w:pPr>
    </w:p>
    <w:p w14:paraId="51DE7FFC" w14:textId="77777777" w:rsidR="0010369C" w:rsidRDefault="008E43AE">
      <w:pPr>
        <w:spacing w:before="74" w:line="158" w:lineRule="auto"/>
        <w:ind w:left="238"/>
        <w:rPr>
          <w:sz w:val="18"/>
        </w:rPr>
      </w:pPr>
      <w:r>
        <w:rPr>
          <w:noProof/>
        </w:rPr>
        <w:drawing>
          <wp:anchor distT="0" distB="0" distL="0" distR="0" simplePos="0" relativeHeight="250830336" behindDoc="1" locked="0" layoutInCell="1" allowOverlap="1" wp14:anchorId="51DE9EA1" wp14:editId="51DE9EA2">
            <wp:simplePos x="0" y="0"/>
            <wp:positionH relativeFrom="page">
              <wp:posOffset>908303</wp:posOffset>
            </wp:positionH>
            <wp:positionV relativeFrom="page">
              <wp:posOffset>6074494</wp:posOffset>
            </wp:positionV>
            <wp:extent cx="255117" cy="100393"/>
            <wp:effectExtent l="0" t="0" r="0" b="0"/>
            <wp:wrapNone/>
            <wp:docPr id="287" name="image1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image152.png"/>
                    <pic:cNvPicPr/>
                  </pic:nvPicPr>
                  <pic:blipFill>
                    <a:blip r:embed="rId246" cstate="print"/>
                    <a:stretch>
                      <a:fillRect/>
                    </a:stretch>
                  </pic:blipFill>
                  <pic:spPr>
                    <a:xfrm>
                      <a:off x="0" y="0"/>
                      <a:ext cx="255117" cy="100393"/>
                    </a:xfrm>
                    <a:prstGeom prst="rect">
                      <a:avLst/>
                    </a:prstGeom>
                  </pic:spPr>
                </pic:pic>
              </a:graphicData>
            </a:graphic>
          </wp:anchor>
        </w:drawing>
      </w:r>
      <w:r>
        <w:pict w14:anchorId="51DE9EA3">
          <v:shape id="docshape214" o:spid="_x0000_s2038" style="position:absolute;left:0;text-align:left;margin-left:86.65pt;margin-top:2.35pt;width:305.35pt;height:34.05pt;z-index:251709952;mso-position-horizontal-relative:page;mso-position-vertical-relative:text" coordorigin="1733,47" coordsize="6107,681" path="m7840,47r-6107,l1733,266r,22l1733,486r,21l1733,727r6066,l7799,507r,-21l7799,288r41,l7840,47xe" fillcolor="black" stroked="f">
            <v:path arrowok="t"/>
            <w10:wrap anchorx="page"/>
          </v:shape>
        </w:pict>
      </w:r>
      <w:r>
        <w:pict w14:anchorId="51DE9EA4">
          <v:shape id="docshape215" o:spid="_x0000_s2037" style="position:absolute;left:0;text-align:left;margin-left:475.15pt;margin-top:738.4pt;width:18.2pt;height:34.05pt;z-index:251710976;mso-position-horizontal-relative:page;mso-position-vertical-relative:page" coordorigin="9503,14768" coordsize="364,681" path="m9867,14768r-364,l9503,14988r,21l9503,15207r,22l9503,15448r364,l9867,15229r,-22l9867,15009r,-21l9867,14768xe" fillcolor="black" stroked="f">
            <v:path arrowok="t"/>
            <w10:wrap anchorx="page" anchory="page"/>
          </v:shape>
        </w:pict>
      </w:r>
      <w:r>
        <w:rPr>
          <w:color w:val="5E5E5E"/>
          <w:sz w:val="12"/>
        </w:rPr>
        <w:t>142</w:t>
      </w:r>
      <w:r>
        <w:rPr>
          <w:color w:val="5E5E5E"/>
          <w:spacing w:val="11"/>
          <w:sz w:val="12"/>
        </w:rPr>
        <w:t xml:space="preserve"> </w:t>
      </w:r>
      <w:r>
        <w:rPr>
          <w:color w:val="5E5E5E"/>
          <w:spacing w:val="-10"/>
          <w:position w:val="-5"/>
          <w:sz w:val="18"/>
        </w:rPr>
        <w:t>[</w:t>
      </w:r>
    </w:p>
    <w:p w14:paraId="51DE7FFD" w14:textId="77777777" w:rsidR="0010369C" w:rsidRDefault="008E43AE">
      <w:pPr>
        <w:spacing w:before="69" w:line="158" w:lineRule="auto"/>
        <w:ind w:left="238"/>
        <w:rPr>
          <w:sz w:val="18"/>
        </w:rPr>
      </w:pPr>
      <w:r>
        <w:rPr>
          <w:color w:val="5E5E5E"/>
          <w:sz w:val="12"/>
        </w:rPr>
        <w:t>143</w:t>
      </w:r>
      <w:r>
        <w:rPr>
          <w:color w:val="5E5E5E"/>
          <w:spacing w:val="11"/>
          <w:sz w:val="12"/>
        </w:rPr>
        <w:t xml:space="preserve"> </w:t>
      </w:r>
      <w:r>
        <w:rPr>
          <w:color w:val="5E5E5E"/>
          <w:spacing w:val="-10"/>
          <w:position w:val="-5"/>
          <w:sz w:val="18"/>
        </w:rPr>
        <w:t>[</w:t>
      </w:r>
    </w:p>
    <w:p w14:paraId="51DE7FFE" w14:textId="77777777" w:rsidR="0010369C" w:rsidRDefault="008E43AE">
      <w:pPr>
        <w:spacing w:before="33"/>
        <w:ind w:left="238"/>
        <w:rPr>
          <w:sz w:val="18"/>
        </w:rPr>
      </w:pPr>
      <w:r>
        <w:rPr>
          <w:color w:val="5E5E5E"/>
          <w:sz w:val="12"/>
        </w:rPr>
        <w:t>144</w:t>
      </w:r>
      <w:r>
        <w:rPr>
          <w:color w:val="5E5E5E"/>
          <w:spacing w:val="11"/>
          <w:sz w:val="12"/>
        </w:rPr>
        <w:t xml:space="preserve"> </w:t>
      </w:r>
      <w:r>
        <w:rPr>
          <w:color w:val="5E5E5E"/>
          <w:spacing w:val="-10"/>
          <w:position w:val="-5"/>
          <w:sz w:val="18"/>
        </w:rPr>
        <w:t>[</w:t>
      </w:r>
    </w:p>
    <w:p w14:paraId="51DE7FFF" w14:textId="77777777" w:rsidR="0010369C" w:rsidRDefault="008E43AE">
      <w:pPr>
        <w:spacing w:before="40"/>
        <w:ind w:left="238" w:right="38"/>
        <w:jc w:val="both"/>
        <w:rPr>
          <w:sz w:val="18"/>
        </w:rPr>
      </w:pPr>
      <w:r>
        <w:br w:type="column"/>
      </w:r>
      <w:r>
        <w:rPr>
          <w:color w:val="5E5E5E"/>
          <w:sz w:val="18"/>
        </w:rPr>
        <w:t>(Exhibit</w:t>
      </w:r>
      <w:r>
        <w:rPr>
          <w:color w:val="5E5E5E"/>
          <w:spacing w:val="-11"/>
          <w:sz w:val="18"/>
        </w:rPr>
        <w:t xml:space="preserve"> </w:t>
      </w:r>
      <w:r>
        <w:rPr>
          <w:color w:val="5E5E5E"/>
          <w:sz w:val="18"/>
        </w:rPr>
        <w:t>AUS‐11</w:t>
      </w:r>
      <w:r>
        <w:rPr>
          <w:color w:val="5E5E5E"/>
          <w:spacing w:val="-10"/>
          <w:sz w:val="18"/>
        </w:rPr>
        <w:t xml:space="preserve"> </w:t>
      </w:r>
      <w:r>
        <w:rPr>
          <w:color w:val="5E5E5E"/>
          <w:sz w:val="18"/>
        </w:rPr>
        <w:t>(BCI)), (Exhibit</w:t>
      </w:r>
      <w:r>
        <w:rPr>
          <w:color w:val="5E5E5E"/>
          <w:spacing w:val="-11"/>
          <w:sz w:val="18"/>
        </w:rPr>
        <w:t xml:space="preserve"> </w:t>
      </w:r>
      <w:r>
        <w:rPr>
          <w:color w:val="5E5E5E"/>
          <w:sz w:val="18"/>
        </w:rPr>
        <w:t>AUS‐11</w:t>
      </w:r>
      <w:r>
        <w:rPr>
          <w:color w:val="5E5E5E"/>
          <w:spacing w:val="-10"/>
          <w:sz w:val="18"/>
        </w:rPr>
        <w:t xml:space="preserve"> </w:t>
      </w:r>
      <w:r>
        <w:rPr>
          <w:color w:val="5E5E5E"/>
          <w:sz w:val="18"/>
        </w:rPr>
        <w:t>(BCI)), (Exhibit</w:t>
      </w:r>
      <w:r>
        <w:rPr>
          <w:color w:val="5E5E5E"/>
          <w:spacing w:val="-9"/>
          <w:sz w:val="18"/>
        </w:rPr>
        <w:t xml:space="preserve"> </w:t>
      </w:r>
      <w:r>
        <w:rPr>
          <w:color w:val="5E5E5E"/>
          <w:sz w:val="18"/>
        </w:rPr>
        <w:t>AUS‐11</w:t>
      </w:r>
      <w:r>
        <w:rPr>
          <w:color w:val="5E5E5E"/>
          <w:spacing w:val="-9"/>
          <w:sz w:val="18"/>
        </w:rPr>
        <w:t xml:space="preserve"> </w:t>
      </w:r>
      <w:r>
        <w:rPr>
          <w:color w:val="5E5E5E"/>
          <w:spacing w:val="-2"/>
          <w:sz w:val="18"/>
        </w:rPr>
        <w:t>(BCI)),</w:t>
      </w:r>
    </w:p>
    <w:p w14:paraId="51DE8000" w14:textId="77777777" w:rsidR="0010369C" w:rsidRDefault="008E43AE">
      <w:pPr>
        <w:spacing w:before="40"/>
        <w:ind w:left="238"/>
        <w:rPr>
          <w:sz w:val="18"/>
        </w:rPr>
      </w:pPr>
      <w:r>
        <w:br w:type="column"/>
      </w:r>
      <w:r>
        <w:rPr>
          <w:color w:val="5E5E5E"/>
          <w:spacing w:val="-5"/>
          <w:sz w:val="18"/>
        </w:rPr>
        <w:t>.]]</w:t>
      </w:r>
    </w:p>
    <w:p w14:paraId="51DE8001" w14:textId="77777777" w:rsidR="0010369C" w:rsidRDefault="008E43AE">
      <w:pPr>
        <w:ind w:left="238"/>
        <w:rPr>
          <w:sz w:val="18"/>
        </w:rPr>
      </w:pPr>
      <w:r>
        <w:rPr>
          <w:color w:val="5E5E5E"/>
          <w:spacing w:val="-5"/>
          <w:sz w:val="18"/>
        </w:rPr>
        <w:t>.]]</w:t>
      </w:r>
    </w:p>
    <w:p w14:paraId="51DE8002" w14:textId="77777777" w:rsidR="0010369C" w:rsidRDefault="008E43AE">
      <w:pPr>
        <w:ind w:left="238"/>
        <w:rPr>
          <w:sz w:val="18"/>
        </w:rPr>
      </w:pPr>
      <w:r>
        <w:rPr>
          <w:color w:val="5E5E5E"/>
          <w:spacing w:val="-5"/>
          <w:sz w:val="18"/>
        </w:rPr>
        <w:t>.]]</w:t>
      </w:r>
    </w:p>
    <w:p w14:paraId="51DE8003" w14:textId="77777777" w:rsidR="0010369C" w:rsidRDefault="0010369C">
      <w:pPr>
        <w:rPr>
          <w:sz w:val="18"/>
        </w:rPr>
        <w:sectPr w:rsidR="0010369C">
          <w:type w:val="continuous"/>
          <w:pgSz w:w="11910" w:h="16840"/>
          <w:pgMar w:top="1460" w:right="800" w:bottom="280" w:left="1180" w:header="569" w:footer="788" w:gutter="0"/>
          <w:cols w:num="3" w:space="720" w:equalWidth="0">
            <w:col w:w="694" w:space="5748"/>
            <w:col w:w="1902" w:space="125"/>
            <w:col w:w="1461"/>
          </w:cols>
        </w:sectPr>
      </w:pPr>
    </w:p>
    <w:p w14:paraId="51DE8004" w14:textId="77777777" w:rsidR="0010369C" w:rsidRDefault="008E43AE">
      <w:pPr>
        <w:tabs>
          <w:tab w:val="left" w:pos="6426"/>
        </w:tabs>
        <w:ind w:left="238"/>
        <w:rPr>
          <w:sz w:val="20"/>
        </w:rPr>
      </w:pPr>
      <w:r>
        <w:rPr>
          <w:i/>
          <w:sz w:val="20"/>
        </w:rPr>
        <w:lastRenderedPageBreak/>
        <w:t>China</w:t>
      </w:r>
      <w:r>
        <w:rPr>
          <w:i/>
          <w:spacing w:val="-5"/>
          <w:sz w:val="20"/>
        </w:rPr>
        <w:t xml:space="preserve"> </w:t>
      </w:r>
      <w:r>
        <w:rPr>
          <w:i/>
          <w:sz w:val="20"/>
        </w:rPr>
        <w:t>–</w:t>
      </w:r>
      <w:r>
        <w:rPr>
          <w:i/>
          <w:spacing w:val="-5"/>
          <w:sz w:val="20"/>
        </w:rPr>
        <w:t xml:space="preserve"> </w:t>
      </w:r>
      <w:r>
        <w:rPr>
          <w:i/>
          <w:sz w:val="20"/>
        </w:rPr>
        <w:t>Anti‐Dumping</w:t>
      </w:r>
      <w:r>
        <w:rPr>
          <w:i/>
          <w:spacing w:val="-4"/>
          <w:sz w:val="20"/>
        </w:rPr>
        <w:t xml:space="preserve"> </w:t>
      </w:r>
      <w:r>
        <w:rPr>
          <w:i/>
          <w:sz w:val="20"/>
        </w:rPr>
        <w:t>and</w:t>
      </w:r>
      <w:r>
        <w:rPr>
          <w:i/>
          <w:spacing w:val="-5"/>
          <w:sz w:val="20"/>
        </w:rPr>
        <w:t xml:space="preserve"> </w:t>
      </w:r>
      <w:r>
        <w:rPr>
          <w:i/>
          <w:sz w:val="20"/>
        </w:rPr>
        <w:t>Countervailing</w:t>
      </w:r>
      <w:r>
        <w:rPr>
          <w:i/>
          <w:spacing w:val="-5"/>
          <w:sz w:val="20"/>
        </w:rPr>
        <w:t xml:space="preserve"> </w:t>
      </w:r>
      <w:r>
        <w:rPr>
          <w:i/>
          <w:sz w:val="20"/>
        </w:rPr>
        <w:t>Duty</w:t>
      </w:r>
      <w:r>
        <w:rPr>
          <w:i/>
          <w:spacing w:val="-4"/>
          <w:sz w:val="20"/>
        </w:rPr>
        <w:t xml:space="preserve"> </w:t>
      </w:r>
      <w:r>
        <w:rPr>
          <w:i/>
          <w:spacing w:val="-2"/>
          <w:sz w:val="20"/>
        </w:rPr>
        <w:t>Measures</w:t>
      </w:r>
      <w:r>
        <w:rPr>
          <w:i/>
          <w:sz w:val="20"/>
        </w:rPr>
        <w:tab/>
      </w:r>
      <w:r>
        <w:rPr>
          <w:sz w:val="20"/>
        </w:rPr>
        <w:t>Australia's</w:t>
      </w:r>
      <w:r>
        <w:rPr>
          <w:spacing w:val="-7"/>
          <w:sz w:val="20"/>
        </w:rPr>
        <w:t xml:space="preserve"> </w:t>
      </w:r>
      <w:r>
        <w:rPr>
          <w:sz w:val="20"/>
        </w:rPr>
        <w:t>First</w:t>
      </w:r>
      <w:r>
        <w:rPr>
          <w:spacing w:val="-2"/>
          <w:sz w:val="20"/>
        </w:rPr>
        <w:t xml:space="preserve"> </w:t>
      </w:r>
      <w:r>
        <w:rPr>
          <w:sz w:val="20"/>
        </w:rPr>
        <w:t>Written</w:t>
      </w:r>
      <w:r>
        <w:rPr>
          <w:spacing w:val="-2"/>
          <w:sz w:val="20"/>
        </w:rPr>
        <w:t xml:space="preserve"> Submission</w:t>
      </w:r>
    </w:p>
    <w:p w14:paraId="51DE8005" w14:textId="77777777" w:rsidR="0010369C" w:rsidRDefault="008E43AE">
      <w:pPr>
        <w:tabs>
          <w:tab w:val="left" w:pos="8228"/>
        </w:tabs>
        <w:spacing w:before="1"/>
        <w:ind w:left="239"/>
        <w:rPr>
          <w:sz w:val="20"/>
        </w:rPr>
      </w:pPr>
      <w:r>
        <w:pict w14:anchorId="51DE9EA5">
          <v:rect id="docshape216" o:spid="_x0000_s2036" style="position:absolute;left:0;text-align:left;margin-left:69.9pt;margin-top:14.1pt;width:453.5pt;height:16.05pt;z-index:-251171328;mso-wrap-distance-left:0;mso-wrap-distance-right:0;mso-position-horizontal-relative:page" fillcolor="black" stroked="f">
            <w10:wrap type="topAndBottom" anchorx="page"/>
          </v:rect>
        </w:pict>
      </w:r>
      <w:r>
        <w:pict w14:anchorId="51DE9EA6">
          <v:rect id="docshape217" o:spid="_x0000_s2035" style="position:absolute;left:0;text-align:left;margin-left:69.9pt;margin-top:36.1pt;width:61pt;height:16.05pt;z-index:251714048;mso-position-horizontal-relative:page" fillcolor="black" stroked="f">
            <w10:wrap anchorx="page"/>
          </v:rect>
        </w:pict>
      </w:r>
      <w:r>
        <w:rPr>
          <w:i/>
          <w:sz w:val="20"/>
        </w:rPr>
        <w:t>on</w:t>
      </w:r>
      <w:r>
        <w:rPr>
          <w:i/>
          <w:spacing w:val="-1"/>
          <w:sz w:val="20"/>
        </w:rPr>
        <w:t xml:space="preserve"> </w:t>
      </w:r>
      <w:r>
        <w:rPr>
          <w:i/>
          <w:sz w:val="20"/>
        </w:rPr>
        <w:t>Wine</w:t>
      </w:r>
      <w:r>
        <w:rPr>
          <w:i/>
          <w:spacing w:val="-1"/>
          <w:sz w:val="20"/>
        </w:rPr>
        <w:t xml:space="preserve"> </w:t>
      </w:r>
      <w:r>
        <w:rPr>
          <w:i/>
          <w:sz w:val="20"/>
        </w:rPr>
        <w:t>from</w:t>
      </w:r>
      <w:r>
        <w:rPr>
          <w:i/>
          <w:spacing w:val="-3"/>
          <w:sz w:val="20"/>
        </w:rPr>
        <w:t xml:space="preserve"> </w:t>
      </w:r>
      <w:r>
        <w:rPr>
          <w:i/>
          <w:sz w:val="20"/>
        </w:rPr>
        <w:t>Australia</w:t>
      </w:r>
      <w:r>
        <w:rPr>
          <w:i/>
          <w:spacing w:val="-1"/>
          <w:sz w:val="20"/>
        </w:rPr>
        <w:t xml:space="preserve"> </w:t>
      </w:r>
      <w:r>
        <w:rPr>
          <w:spacing w:val="-2"/>
          <w:sz w:val="20"/>
        </w:rPr>
        <w:t>(DS602)</w:t>
      </w:r>
      <w:r>
        <w:rPr>
          <w:sz w:val="20"/>
        </w:rPr>
        <w:tab/>
        <w:t>29</w:t>
      </w:r>
      <w:r>
        <w:rPr>
          <w:spacing w:val="-1"/>
          <w:sz w:val="20"/>
        </w:rPr>
        <w:t xml:space="preserve"> </w:t>
      </w:r>
      <w:r>
        <w:rPr>
          <w:sz w:val="20"/>
        </w:rPr>
        <w:t>April</w:t>
      </w:r>
      <w:r>
        <w:rPr>
          <w:spacing w:val="-2"/>
          <w:sz w:val="20"/>
        </w:rPr>
        <w:t xml:space="preserve"> </w:t>
      </w:r>
      <w:r>
        <w:rPr>
          <w:spacing w:val="-4"/>
          <w:sz w:val="20"/>
        </w:rPr>
        <w:t>2022</w:t>
      </w:r>
    </w:p>
    <w:p w14:paraId="51DE8006" w14:textId="77777777" w:rsidR="0010369C" w:rsidRDefault="008E43AE">
      <w:pPr>
        <w:spacing w:before="116"/>
        <w:ind w:left="1458"/>
        <w:rPr>
          <w:sz w:val="24"/>
        </w:rPr>
      </w:pPr>
      <w:r>
        <w:rPr>
          <w:spacing w:val="-5"/>
          <w:sz w:val="24"/>
        </w:rPr>
        <w:t>]]</w:t>
      </w:r>
    </w:p>
    <w:p w14:paraId="51DE8007" w14:textId="77777777" w:rsidR="0010369C" w:rsidRDefault="0010369C">
      <w:pPr>
        <w:pStyle w:val="BodyText"/>
        <w:spacing w:before="9"/>
        <w:rPr>
          <w:sz w:val="20"/>
        </w:rPr>
      </w:pPr>
    </w:p>
    <w:p w14:paraId="51DE8008" w14:textId="77777777" w:rsidR="0010369C" w:rsidRDefault="008E43AE">
      <w:pPr>
        <w:pStyle w:val="BodyText"/>
        <w:spacing w:before="52" w:after="3" w:line="360" w:lineRule="auto"/>
        <w:ind w:left="238" w:firstLine="850"/>
      </w:pPr>
      <w:r>
        <w:rPr>
          <w:noProof/>
        </w:rPr>
        <w:drawing>
          <wp:anchor distT="0" distB="0" distL="0" distR="0" simplePos="0" relativeHeight="250831360" behindDoc="1" locked="0" layoutInCell="1" allowOverlap="1" wp14:anchorId="51DE9EA7" wp14:editId="51DE9EA8">
            <wp:simplePos x="0" y="0"/>
            <wp:positionH relativeFrom="page">
              <wp:posOffset>908303</wp:posOffset>
            </wp:positionH>
            <wp:positionV relativeFrom="paragraph">
              <wp:posOffset>76785</wp:posOffset>
            </wp:positionV>
            <wp:extent cx="256031" cy="106679"/>
            <wp:effectExtent l="0" t="0" r="0" b="0"/>
            <wp:wrapNone/>
            <wp:docPr id="289" name="image1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image153.png"/>
                    <pic:cNvPicPr/>
                  </pic:nvPicPr>
                  <pic:blipFill>
                    <a:blip r:embed="rId247" cstate="print"/>
                    <a:stretch>
                      <a:fillRect/>
                    </a:stretch>
                  </pic:blipFill>
                  <pic:spPr>
                    <a:xfrm>
                      <a:off x="0" y="0"/>
                      <a:ext cx="256031" cy="106679"/>
                    </a:xfrm>
                    <a:prstGeom prst="rect">
                      <a:avLst/>
                    </a:prstGeom>
                  </pic:spPr>
                </pic:pic>
              </a:graphicData>
            </a:graphic>
          </wp:anchor>
        </w:drawing>
      </w:r>
      <w:r>
        <w:pict w14:anchorId="51DE9EA9">
          <v:rect id="docshape218" o:spid="_x0000_s2034" style="position:absolute;left:0;text-align:left;margin-left:320.25pt;margin-top:24.75pt;width:203.25pt;height:16.05pt;z-index:-251418112;mso-position-horizontal-relative:page;mso-position-vertical-relative:text" fillcolor="black" stroked="f">
            <w10:wrap anchorx="page"/>
          </v:rect>
        </w:pict>
      </w:r>
      <w:r>
        <w:t>Notwithstanding</w:t>
      </w:r>
      <w:r>
        <w:rPr>
          <w:spacing w:val="-13"/>
        </w:rPr>
        <w:t xml:space="preserve"> </w:t>
      </w:r>
      <w:r>
        <w:t>that</w:t>
      </w:r>
      <w:r>
        <w:rPr>
          <w:spacing w:val="-12"/>
        </w:rPr>
        <w:t xml:space="preserve"> </w:t>
      </w:r>
      <w:r>
        <w:t>the</w:t>
      </w:r>
      <w:r>
        <w:rPr>
          <w:spacing w:val="-11"/>
        </w:rPr>
        <w:t xml:space="preserve"> </w:t>
      </w:r>
      <w:r>
        <w:t>information</w:t>
      </w:r>
      <w:r>
        <w:rPr>
          <w:spacing w:val="-11"/>
        </w:rPr>
        <w:t xml:space="preserve"> </w:t>
      </w:r>
      <w:r>
        <w:t>in</w:t>
      </w:r>
      <w:r>
        <w:rPr>
          <w:spacing w:val="-12"/>
        </w:rPr>
        <w:t xml:space="preserve"> </w:t>
      </w:r>
      <w:r>
        <w:t>Form</w:t>
      </w:r>
      <w:r>
        <w:rPr>
          <w:spacing w:val="-11"/>
        </w:rPr>
        <w:t xml:space="preserve"> </w:t>
      </w:r>
      <w:r>
        <w:t>6‐1‐1</w:t>
      </w:r>
      <w:r>
        <w:rPr>
          <w:spacing w:val="-13"/>
        </w:rPr>
        <w:t xml:space="preserve"> </w:t>
      </w:r>
      <w:r>
        <w:t>was</w:t>
      </w:r>
      <w:r>
        <w:rPr>
          <w:spacing w:val="-12"/>
        </w:rPr>
        <w:t xml:space="preserve"> </w:t>
      </w:r>
      <w:r>
        <w:t>not</w:t>
      </w:r>
      <w:r>
        <w:rPr>
          <w:spacing w:val="-11"/>
        </w:rPr>
        <w:t xml:space="preserve"> </w:t>
      </w:r>
      <w:r>
        <w:t>"necessary"</w:t>
      </w:r>
      <w:r>
        <w:rPr>
          <w:spacing w:val="-13"/>
        </w:rPr>
        <w:t xml:space="preserve"> </w:t>
      </w:r>
      <w:r>
        <w:t>and</w:t>
      </w:r>
      <w:r>
        <w:rPr>
          <w:spacing w:val="-12"/>
        </w:rPr>
        <w:t xml:space="preserve"> </w:t>
      </w:r>
      <w:r>
        <w:t>was</w:t>
      </w:r>
      <w:r>
        <w:rPr>
          <w:spacing w:val="-12"/>
        </w:rPr>
        <w:t xml:space="preserve"> </w:t>
      </w:r>
      <w:r>
        <w:t>not recorded</w:t>
      </w:r>
      <w:r>
        <w:rPr>
          <w:spacing w:val="80"/>
        </w:rPr>
        <w:t xml:space="preserve"> </w:t>
      </w:r>
      <w:r>
        <w:t>in</w:t>
      </w:r>
      <w:r>
        <w:rPr>
          <w:spacing w:val="80"/>
        </w:rPr>
        <w:t xml:space="preserve"> </w:t>
      </w:r>
      <w:r>
        <w:t>the</w:t>
      </w:r>
      <w:r>
        <w:rPr>
          <w:spacing w:val="80"/>
        </w:rPr>
        <w:t xml:space="preserve"> </w:t>
      </w:r>
      <w:r>
        <w:t>normal</w:t>
      </w:r>
      <w:r>
        <w:rPr>
          <w:spacing w:val="80"/>
        </w:rPr>
        <w:t xml:space="preserve"> </w:t>
      </w:r>
      <w:r>
        <w:t>course</w:t>
      </w:r>
      <w:r>
        <w:rPr>
          <w:spacing w:val="80"/>
        </w:rPr>
        <w:t xml:space="preserve"> </w:t>
      </w:r>
      <w:r>
        <w:t>of</w:t>
      </w:r>
      <w:r>
        <w:rPr>
          <w:spacing w:val="80"/>
        </w:rPr>
        <w:t xml:space="preserve"> </w:t>
      </w:r>
      <w:r>
        <w:t>business,</w:t>
      </w:r>
      <w:r>
        <w:rPr>
          <w:spacing w:val="80"/>
        </w:rPr>
        <w:t xml:space="preserve"> </w:t>
      </w:r>
      <w:r>
        <w:t>[[</w:t>
      </w:r>
    </w:p>
    <w:p w14:paraId="51DE8009" w14:textId="77777777" w:rsidR="0010369C" w:rsidRDefault="008E43AE">
      <w:pPr>
        <w:pStyle w:val="BodyText"/>
        <w:ind w:left="218"/>
        <w:rPr>
          <w:sz w:val="20"/>
        </w:rPr>
      </w:pPr>
      <w:r>
        <w:rPr>
          <w:sz w:val="20"/>
        </w:rPr>
      </w:r>
      <w:r>
        <w:rPr>
          <w:sz w:val="20"/>
        </w:rPr>
        <w:pict w14:anchorId="51DE9EAB">
          <v:group id="docshapegroup219" o:spid="_x0000_s2032" style="width:453.45pt;height:16.1pt;mso-position-horizontal-relative:char;mso-position-vertical-relative:line" coordsize="9069,322">
            <v:rect id="docshape220" o:spid="_x0000_s2033" style="position:absolute;width:9069;height:322" fillcolor="black" stroked="f"/>
            <w10:anchorlock/>
          </v:group>
        </w:pict>
      </w:r>
    </w:p>
    <w:p w14:paraId="51DE800A" w14:textId="77777777" w:rsidR="0010369C" w:rsidRDefault="008E43AE">
      <w:pPr>
        <w:spacing w:before="82"/>
        <w:ind w:left="9159"/>
        <w:rPr>
          <w:sz w:val="24"/>
        </w:rPr>
      </w:pPr>
      <w:r>
        <w:pict w14:anchorId="51DE9EAC">
          <v:rect id="docshape221" o:spid="_x0000_s2031" style="position:absolute;left:0;text-align:left;margin-left:69.9pt;margin-top:4.2pt;width:446.05pt;height:16.05pt;z-index:251713024;mso-position-horizontal-relative:page" fillcolor="black" stroked="f">
            <w10:wrap anchorx="page"/>
          </v:rect>
        </w:pict>
      </w:r>
      <w:r>
        <w:rPr>
          <w:spacing w:val="-5"/>
          <w:sz w:val="24"/>
        </w:rPr>
        <w:t>]]</w:t>
      </w:r>
    </w:p>
    <w:p w14:paraId="51DE800B" w14:textId="77777777" w:rsidR="0010369C" w:rsidRDefault="008E43AE">
      <w:pPr>
        <w:pStyle w:val="BodyText"/>
        <w:spacing w:before="146" w:line="360" w:lineRule="auto"/>
        <w:ind w:left="238"/>
      </w:pPr>
      <w:r>
        <w:t>demonstrating Treasury Wines' willingness to cooperate in the investigation and respond to MOFCOM's requests.</w:t>
      </w:r>
    </w:p>
    <w:p w14:paraId="51DE800C" w14:textId="77777777" w:rsidR="0010369C" w:rsidRDefault="0010369C">
      <w:pPr>
        <w:pStyle w:val="BodyText"/>
        <w:spacing w:before="11"/>
        <w:rPr>
          <w:sz w:val="8"/>
        </w:rPr>
      </w:pPr>
    </w:p>
    <w:p w14:paraId="51DE800D" w14:textId="77777777" w:rsidR="0010369C" w:rsidRDefault="008E43AE">
      <w:pPr>
        <w:spacing w:before="51"/>
        <w:ind w:left="1089"/>
        <w:rPr>
          <w:sz w:val="24"/>
        </w:rPr>
      </w:pPr>
      <w:r>
        <w:rPr>
          <w:noProof/>
        </w:rPr>
        <w:drawing>
          <wp:anchor distT="0" distB="0" distL="0" distR="0" simplePos="0" relativeHeight="250620416" behindDoc="0" locked="0" layoutInCell="1" allowOverlap="1" wp14:anchorId="51DE9EAD" wp14:editId="51DE9EAE">
            <wp:simplePos x="0" y="0"/>
            <wp:positionH relativeFrom="page">
              <wp:posOffset>908303</wp:posOffset>
            </wp:positionH>
            <wp:positionV relativeFrom="paragraph">
              <wp:posOffset>79960</wp:posOffset>
            </wp:positionV>
            <wp:extent cx="256031" cy="103631"/>
            <wp:effectExtent l="0" t="0" r="0" b="0"/>
            <wp:wrapNone/>
            <wp:docPr id="291" name="image1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image154.png"/>
                    <pic:cNvPicPr/>
                  </pic:nvPicPr>
                  <pic:blipFill>
                    <a:blip r:embed="rId248" cstate="print"/>
                    <a:stretch>
                      <a:fillRect/>
                    </a:stretch>
                  </pic:blipFill>
                  <pic:spPr>
                    <a:xfrm>
                      <a:off x="0" y="0"/>
                      <a:ext cx="256031" cy="103631"/>
                    </a:xfrm>
                    <a:prstGeom prst="rect">
                      <a:avLst/>
                    </a:prstGeom>
                  </pic:spPr>
                </pic:pic>
              </a:graphicData>
            </a:graphic>
          </wp:anchor>
        </w:drawing>
      </w:r>
      <w:r>
        <w:pict w14:anchorId="51DE9EAF">
          <v:rect id="docshape222" o:spid="_x0000_s2030" style="position:absolute;left:0;text-align:left;margin-left:119.8pt;margin-top:2.65pt;width:403.6pt;height:16.05pt;z-index:251712000;mso-position-horizontal-relative:page;mso-position-vertical-relative:text" fillcolor="black" stroked="f">
            <w10:wrap anchorx="page"/>
          </v:rect>
        </w:pict>
      </w:r>
      <w:r>
        <w:pict w14:anchorId="51DE9EB0">
          <v:rect id="docshape223" o:spid="_x0000_s2029" style="position:absolute;left:0;text-align:left;margin-left:69.9pt;margin-top:46.6pt;width:316.95pt;height:16.05pt;z-index:-251419136;mso-position-horizontal-relative:page;mso-position-vertical-relative:text" fillcolor="black" stroked="f">
            <w10:wrap anchorx="page"/>
          </v:rect>
        </w:pict>
      </w:r>
      <w:r>
        <w:rPr>
          <w:spacing w:val="-5"/>
          <w:sz w:val="24"/>
        </w:rPr>
        <w:t>[[</w:t>
      </w:r>
    </w:p>
    <w:p w14:paraId="51DE800E" w14:textId="77777777" w:rsidR="0010369C" w:rsidRDefault="008E43AE">
      <w:pPr>
        <w:pStyle w:val="BodyText"/>
        <w:spacing w:before="3"/>
        <w:rPr>
          <w:sz w:val="10"/>
        </w:rPr>
      </w:pPr>
      <w:r>
        <w:pict w14:anchorId="51DE9EB1">
          <v:rect id="docshape224" o:spid="_x0000_s2028" style="position:absolute;margin-left:69.9pt;margin-top:7.45pt;width:453.5pt;height:16.05pt;z-index:-251170304;mso-wrap-distance-left:0;mso-wrap-distance-right:0;mso-position-horizontal-relative:page" fillcolor="black" stroked="f">
            <w10:wrap type="topAndBottom" anchorx="page"/>
          </v:rect>
        </w:pict>
      </w:r>
    </w:p>
    <w:p w14:paraId="51DE800F" w14:textId="77777777" w:rsidR="0010369C" w:rsidRDefault="008E43AE">
      <w:pPr>
        <w:pStyle w:val="BodyText"/>
        <w:spacing w:before="115" w:line="360" w:lineRule="auto"/>
        <w:ind w:left="236" w:right="613" w:firstLine="6340"/>
        <w:jc w:val="both"/>
      </w:pPr>
      <w:r>
        <w:t>]] MOFCOM rejected the information provided.</w:t>
      </w:r>
      <w:r>
        <w:rPr>
          <w:vertAlign w:val="superscript"/>
        </w:rPr>
        <w:t>148</w:t>
      </w:r>
      <w:r>
        <w:t xml:space="preserve"> MOFCOM also rejected Treasury Wines' claims that it had a limited time</w:t>
      </w:r>
      <w:r>
        <w:rPr>
          <w:spacing w:val="-3"/>
        </w:rPr>
        <w:t xml:space="preserve"> </w:t>
      </w:r>
      <w:r>
        <w:t>to</w:t>
      </w:r>
      <w:r>
        <w:rPr>
          <w:spacing w:val="-3"/>
        </w:rPr>
        <w:t xml:space="preserve"> </w:t>
      </w:r>
      <w:r>
        <w:t>provide</w:t>
      </w:r>
      <w:r>
        <w:rPr>
          <w:spacing w:val="-3"/>
        </w:rPr>
        <w:t xml:space="preserve"> </w:t>
      </w:r>
      <w:r>
        <w:t>the</w:t>
      </w:r>
      <w:r>
        <w:rPr>
          <w:spacing w:val="-3"/>
        </w:rPr>
        <w:t xml:space="preserve"> </w:t>
      </w:r>
      <w:r>
        <w:t>requested</w:t>
      </w:r>
      <w:r>
        <w:rPr>
          <w:spacing w:val="-4"/>
        </w:rPr>
        <w:t xml:space="preserve"> </w:t>
      </w:r>
      <w:r>
        <w:t>material</w:t>
      </w:r>
      <w:r>
        <w:rPr>
          <w:spacing w:val="-4"/>
        </w:rPr>
        <w:t xml:space="preserve"> </w:t>
      </w:r>
      <w:r>
        <w:t>in</w:t>
      </w:r>
      <w:r>
        <w:rPr>
          <w:spacing w:val="-4"/>
        </w:rPr>
        <w:t xml:space="preserve"> </w:t>
      </w:r>
      <w:r>
        <w:t>its</w:t>
      </w:r>
      <w:r>
        <w:rPr>
          <w:spacing w:val="-4"/>
        </w:rPr>
        <w:t xml:space="preserve"> </w:t>
      </w:r>
      <w:r>
        <w:t>initial</w:t>
      </w:r>
      <w:r>
        <w:rPr>
          <w:spacing w:val="-3"/>
        </w:rPr>
        <w:t xml:space="preserve"> </w:t>
      </w:r>
      <w:r>
        <w:t>Anti‐Dumping</w:t>
      </w:r>
      <w:r>
        <w:rPr>
          <w:spacing w:val="-3"/>
        </w:rPr>
        <w:t xml:space="preserve"> </w:t>
      </w:r>
      <w:r>
        <w:t>Questionnaire</w:t>
      </w:r>
      <w:r>
        <w:rPr>
          <w:spacing w:val="-5"/>
        </w:rPr>
        <w:t xml:space="preserve"> </w:t>
      </w:r>
      <w:r>
        <w:t>Response.</w:t>
      </w:r>
      <w:r>
        <w:rPr>
          <w:vertAlign w:val="superscript"/>
        </w:rPr>
        <w:t>149</w:t>
      </w:r>
      <w:r>
        <w:t xml:space="preserve"> MOFCOM</w:t>
      </w:r>
      <w:r>
        <w:rPr>
          <w:spacing w:val="-3"/>
        </w:rPr>
        <w:t xml:space="preserve"> </w:t>
      </w:r>
      <w:r>
        <w:t>provided</w:t>
      </w:r>
      <w:r>
        <w:rPr>
          <w:spacing w:val="-3"/>
        </w:rPr>
        <w:t xml:space="preserve"> </w:t>
      </w:r>
      <w:r>
        <w:t>no</w:t>
      </w:r>
      <w:r>
        <w:rPr>
          <w:spacing w:val="-3"/>
        </w:rPr>
        <w:t xml:space="preserve"> </w:t>
      </w:r>
      <w:r>
        <w:t>explanation</w:t>
      </w:r>
      <w:r>
        <w:rPr>
          <w:spacing w:val="-5"/>
        </w:rPr>
        <w:t xml:space="preserve"> </w:t>
      </w:r>
      <w:r>
        <w:t>in</w:t>
      </w:r>
      <w:r>
        <w:rPr>
          <w:spacing w:val="-4"/>
        </w:rPr>
        <w:t xml:space="preserve"> </w:t>
      </w:r>
      <w:r>
        <w:t>the</w:t>
      </w:r>
      <w:r>
        <w:rPr>
          <w:spacing w:val="-3"/>
        </w:rPr>
        <w:t xml:space="preserve"> </w:t>
      </w:r>
      <w:r>
        <w:t>Final</w:t>
      </w:r>
      <w:r>
        <w:rPr>
          <w:spacing w:val="-3"/>
        </w:rPr>
        <w:t xml:space="preserve"> </w:t>
      </w:r>
      <w:r>
        <w:t>Determination</w:t>
      </w:r>
      <w:r>
        <w:rPr>
          <w:spacing w:val="-3"/>
        </w:rPr>
        <w:t xml:space="preserve"> </w:t>
      </w:r>
      <w:r>
        <w:t>as</w:t>
      </w:r>
      <w:r>
        <w:rPr>
          <w:spacing w:val="-4"/>
        </w:rPr>
        <w:t xml:space="preserve"> </w:t>
      </w:r>
      <w:r>
        <w:t>to</w:t>
      </w:r>
      <w:r>
        <w:rPr>
          <w:spacing w:val="-2"/>
        </w:rPr>
        <w:t xml:space="preserve"> </w:t>
      </w:r>
      <w:r>
        <w:t>why</w:t>
      </w:r>
      <w:r>
        <w:rPr>
          <w:spacing w:val="-3"/>
        </w:rPr>
        <w:t xml:space="preserve"> </w:t>
      </w:r>
      <w:r>
        <w:t>it</w:t>
      </w:r>
      <w:r>
        <w:rPr>
          <w:spacing w:val="-4"/>
        </w:rPr>
        <w:t xml:space="preserve"> </w:t>
      </w:r>
      <w:r>
        <w:t>considered</w:t>
      </w:r>
      <w:r>
        <w:rPr>
          <w:spacing w:val="-6"/>
        </w:rPr>
        <w:t xml:space="preserve"> </w:t>
      </w:r>
      <w:r>
        <w:t>alleged deficiencies</w:t>
      </w:r>
      <w:r>
        <w:rPr>
          <w:spacing w:val="-11"/>
        </w:rPr>
        <w:t xml:space="preserve"> </w:t>
      </w:r>
      <w:r>
        <w:t>to</w:t>
      </w:r>
      <w:r>
        <w:rPr>
          <w:spacing w:val="-8"/>
        </w:rPr>
        <w:t xml:space="preserve"> </w:t>
      </w:r>
      <w:r>
        <w:t>remain</w:t>
      </w:r>
      <w:r>
        <w:rPr>
          <w:spacing w:val="-9"/>
        </w:rPr>
        <w:t xml:space="preserve"> </w:t>
      </w:r>
      <w:r>
        <w:t>after</w:t>
      </w:r>
      <w:r>
        <w:rPr>
          <w:spacing w:val="-9"/>
        </w:rPr>
        <w:t xml:space="preserve"> </w:t>
      </w:r>
      <w:r>
        <w:t>receipt</w:t>
      </w:r>
      <w:r>
        <w:rPr>
          <w:spacing w:val="-11"/>
        </w:rPr>
        <w:t xml:space="preserve"> </w:t>
      </w:r>
      <w:r>
        <w:t>of</w:t>
      </w:r>
      <w:r>
        <w:rPr>
          <w:spacing w:val="-9"/>
        </w:rPr>
        <w:t xml:space="preserve"> </w:t>
      </w:r>
      <w:r>
        <w:t>valid</w:t>
      </w:r>
      <w:r>
        <w:rPr>
          <w:spacing w:val="-9"/>
        </w:rPr>
        <w:t xml:space="preserve"> </w:t>
      </w:r>
      <w:r>
        <w:t>explanations</w:t>
      </w:r>
      <w:r>
        <w:rPr>
          <w:spacing w:val="-10"/>
        </w:rPr>
        <w:t xml:space="preserve"> </w:t>
      </w:r>
      <w:r>
        <w:t>by</w:t>
      </w:r>
      <w:r>
        <w:rPr>
          <w:spacing w:val="-8"/>
        </w:rPr>
        <w:t xml:space="preserve"> </w:t>
      </w:r>
      <w:r>
        <w:t>Treasury</w:t>
      </w:r>
      <w:r>
        <w:rPr>
          <w:spacing w:val="-8"/>
        </w:rPr>
        <w:t xml:space="preserve"> </w:t>
      </w:r>
      <w:r>
        <w:t>Wines</w:t>
      </w:r>
      <w:r>
        <w:rPr>
          <w:spacing w:val="-10"/>
        </w:rPr>
        <w:t xml:space="preserve"> </w:t>
      </w:r>
      <w:r>
        <w:t>in</w:t>
      </w:r>
      <w:r>
        <w:rPr>
          <w:spacing w:val="-9"/>
        </w:rPr>
        <w:t xml:space="preserve"> </w:t>
      </w:r>
      <w:r>
        <w:t>respect</w:t>
      </w:r>
      <w:r>
        <w:rPr>
          <w:spacing w:val="-11"/>
        </w:rPr>
        <w:t xml:space="preserve"> </w:t>
      </w:r>
      <w:r>
        <w:t>of</w:t>
      </w:r>
      <w:r>
        <w:rPr>
          <w:spacing w:val="-9"/>
        </w:rPr>
        <w:t xml:space="preserve"> </w:t>
      </w:r>
      <w:r>
        <w:t>Form 6‐1‐1, and made no mention of rejecting the provision of a revised Form 6‐1‐1 containing information and data supplied to the best of Treasury Wines' ab</w:t>
      </w:r>
      <w:r>
        <w:t>ility.</w:t>
      </w:r>
    </w:p>
    <w:p w14:paraId="51DE8010" w14:textId="77777777" w:rsidR="0010369C" w:rsidRDefault="0010369C">
      <w:pPr>
        <w:pStyle w:val="BodyText"/>
        <w:spacing w:before="11"/>
        <w:rPr>
          <w:sz w:val="8"/>
        </w:rPr>
      </w:pPr>
    </w:p>
    <w:p w14:paraId="51DE8011" w14:textId="77777777" w:rsidR="0010369C" w:rsidRDefault="008E43AE">
      <w:pPr>
        <w:pStyle w:val="BodyText"/>
        <w:spacing w:before="52" w:line="360" w:lineRule="auto"/>
        <w:ind w:left="238" w:right="611" w:firstLine="850"/>
      </w:pPr>
      <w:r>
        <w:rPr>
          <w:noProof/>
        </w:rPr>
        <w:drawing>
          <wp:anchor distT="0" distB="0" distL="0" distR="0" simplePos="0" relativeHeight="250832384" behindDoc="1" locked="0" layoutInCell="1" allowOverlap="1" wp14:anchorId="51DE9EB2" wp14:editId="51DE9EB3">
            <wp:simplePos x="0" y="0"/>
            <wp:positionH relativeFrom="page">
              <wp:posOffset>908303</wp:posOffset>
            </wp:positionH>
            <wp:positionV relativeFrom="paragraph">
              <wp:posOffset>76785</wp:posOffset>
            </wp:positionV>
            <wp:extent cx="256031" cy="106679"/>
            <wp:effectExtent l="0" t="0" r="0" b="0"/>
            <wp:wrapNone/>
            <wp:docPr id="293" name="image1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image155.png"/>
                    <pic:cNvPicPr/>
                  </pic:nvPicPr>
                  <pic:blipFill>
                    <a:blip r:embed="rId249" cstate="print"/>
                    <a:stretch>
                      <a:fillRect/>
                    </a:stretch>
                  </pic:blipFill>
                  <pic:spPr>
                    <a:xfrm>
                      <a:off x="0" y="0"/>
                      <a:ext cx="256031" cy="106679"/>
                    </a:xfrm>
                    <a:prstGeom prst="rect">
                      <a:avLst/>
                    </a:prstGeom>
                  </pic:spPr>
                </pic:pic>
              </a:graphicData>
            </a:graphic>
          </wp:anchor>
        </w:drawing>
      </w:r>
      <w:r>
        <w:t>MOFCOM</w:t>
      </w:r>
      <w:r>
        <w:rPr>
          <w:spacing w:val="40"/>
        </w:rPr>
        <w:t xml:space="preserve"> </w:t>
      </w:r>
      <w:r>
        <w:t>did</w:t>
      </w:r>
      <w:r>
        <w:rPr>
          <w:spacing w:val="40"/>
        </w:rPr>
        <w:t xml:space="preserve"> </w:t>
      </w:r>
      <w:r>
        <w:t>not</w:t>
      </w:r>
      <w:r>
        <w:rPr>
          <w:spacing w:val="40"/>
        </w:rPr>
        <w:t xml:space="preserve"> </w:t>
      </w:r>
      <w:r>
        <w:t>seek</w:t>
      </w:r>
      <w:r>
        <w:rPr>
          <w:spacing w:val="40"/>
        </w:rPr>
        <w:t xml:space="preserve"> </w:t>
      </w:r>
      <w:r>
        <w:t>any</w:t>
      </w:r>
      <w:r>
        <w:rPr>
          <w:spacing w:val="40"/>
        </w:rPr>
        <w:t xml:space="preserve"> </w:t>
      </w:r>
      <w:r>
        <w:t>further</w:t>
      </w:r>
      <w:r>
        <w:rPr>
          <w:spacing w:val="40"/>
        </w:rPr>
        <w:t xml:space="preserve"> </w:t>
      </w:r>
      <w:r>
        <w:t>explanations</w:t>
      </w:r>
      <w:r>
        <w:rPr>
          <w:spacing w:val="40"/>
        </w:rPr>
        <w:t xml:space="preserve"> </w:t>
      </w:r>
      <w:r>
        <w:t>or</w:t>
      </w:r>
      <w:r>
        <w:rPr>
          <w:spacing w:val="40"/>
        </w:rPr>
        <w:t xml:space="preserve"> </w:t>
      </w:r>
      <w:r>
        <w:t>information,</w:t>
      </w:r>
      <w:r>
        <w:rPr>
          <w:spacing w:val="40"/>
        </w:rPr>
        <w:t xml:space="preserve"> </w:t>
      </w:r>
      <w:r>
        <w:t>following</w:t>
      </w:r>
      <w:r>
        <w:rPr>
          <w:spacing w:val="40"/>
        </w:rPr>
        <w:t xml:space="preserve"> </w:t>
      </w:r>
      <w:r>
        <w:t>the</w:t>
      </w:r>
      <w:r>
        <w:rPr>
          <w:spacing w:val="80"/>
        </w:rPr>
        <w:t xml:space="preserve"> </w:t>
      </w:r>
      <w:r>
        <w:t>provision of Treasury Wines' Supplementary Questionnaire response.</w:t>
      </w:r>
    </w:p>
    <w:p w14:paraId="51DE8012" w14:textId="77777777" w:rsidR="0010369C" w:rsidRDefault="0010369C">
      <w:pPr>
        <w:pStyle w:val="BodyText"/>
        <w:spacing w:before="11"/>
        <w:rPr>
          <w:sz w:val="8"/>
        </w:rPr>
      </w:pPr>
    </w:p>
    <w:p w14:paraId="51DE8013" w14:textId="77777777" w:rsidR="0010369C" w:rsidRDefault="008E43AE">
      <w:pPr>
        <w:pStyle w:val="BodyText"/>
        <w:spacing w:before="51" w:line="360" w:lineRule="auto"/>
        <w:ind w:left="237" w:right="613" w:firstLine="851"/>
        <w:jc w:val="both"/>
      </w:pPr>
      <w:r>
        <w:rPr>
          <w:noProof/>
        </w:rPr>
        <w:drawing>
          <wp:anchor distT="0" distB="0" distL="0" distR="0" simplePos="0" relativeHeight="250833408" behindDoc="1" locked="0" layoutInCell="1" allowOverlap="1" wp14:anchorId="51DE9EB4" wp14:editId="51DE9EB5">
            <wp:simplePos x="0" y="0"/>
            <wp:positionH relativeFrom="page">
              <wp:posOffset>908303</wp:posOffset>
            </wp:positionH>
            <wp:positionV relativeFrom="paragraph">
              <wp:posOffset>80722</wp:posOffset>
            </wp:positionV>
            <wp:extent cx="256031" cy="103631"/>
            <wp:effectExtent l="0" t="0" r="0" b="0"/>
            <wp:wrapNone/>
            <wp:docPr id="295" name="image1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image156.png"/>
                    <pic:cNvPicPr/>
                  </pic:nvPicPr>
                  <pic:blipFill>
                    <a:blip r:embed="rId250" cstate="print"/>
                    <a:stretch>
                      <a:fillRect/>
                    </a:stretch>
                  </pic:blipFill>
                  <pic:spPr>
                    <a:xfrm>
                      <a:off x="0" y="0"/>
                      <a:ext cx="256031" cy="103631"/>
                    </a:xfrm>
                    <a:prstGeom prst="rect">
                      <a:avLst/>
                    </a:prstGeom>
                  </pic:spPr>
                </pic:pic>
              </a:graphicData>
            </a:graphic>
          </wp:anchor>
        </w:drawing>
      </w:r>
      <w:r>
        <w:t xml:space="preserve">Assuming, </w:t>
      </w:r>
      <w:r>
        <w:rPr>
          <w:i/>
        </w:rPr>
        <w:t>arguendo</w:t>
      </w:r>
      <w:r>
        <w:t>, that the information contained in Form 6‐1‐1 was "necessary information" within the meaning of Article 6.8, to the extent that MOFCOM was dissatisfied with the information submitted, it was required to examine that information in light of the criteria in</w:t>
      </w:r>
      <w:r>
        <w:t xml:space="preserve"> paragraph 3</w:t>
      </w:r>
      <w:r>
        <w:rPr>
          <w:spacing w:val="-2"/>
        </w:rPr>
        <w:t xml:space="preserve"> </w:t>
      </w:r>
      <w:r>
        <w:t>of Annex II,</w:t>
      </w:r>
      <w:r>
        <w:rPr>
          <w:vertAlign w:val="superscript"/>
        </w:rPr>
        <w:t>150</w:t>
      </w:r>
      <w:r>
        <w:rPr>
          <w:spacing w:val="-1"/>
        </w:rPr>
        <w:t xml:space="preserve"> </w:t>
      </w:r>
      <w:r>
        <w:t>and at a minimum, explain</w:t>
      </w:r>
      <w:r>
        <w:rPr>
          <w:spacing w:val="-1"/>
        </w:rPr>
        <w:t xml:space="preserve"> </w:t>
      </w:r>
      <w:r>
        <w:t>in what</w:t>
      </w:r>
      <w:r>
        <w:rPr>
          <w:spacing w:val="-1"/>
        </w:rPr>
        <w:t xml:space="preserve"> </w:t>
      </w:r>
      <w:r>
        <w:t>way the information it rejected did not meet the requirements.</w:t>
      </w:r>
      <w:r>
        <w:rPr>
          <w:vertAlign w:val="superscript"/>
        </w:rPr>
        <w:t>151</w:t>
      </w:r>
      <w:r>
        <w:t xml:space="preserve"> Moreover, MOFCOM was required to "actively make</w:t>
      </w:r>
      <w:r>
        <w:rPr>
          <w:spacing w:val="29"/>
        </w:rPr>
        <w:t xml:space="preserve"> </w:t>
      </w:r>
      <w:r>
        <w:t>efforts"</w:t>
      </w:r>
      <w:r>
        <w:rPr>
          <w:spacing w:val="28"/>
        </w:rPr>
        <w:t xml:space="preserve"> </w:t>
      </w:r>
      <w:r>
        <w:t>to</w:t>
      </w:r>
      <w:r>
        <w:rPr>
          <w:spacing w:val="29"/>
        </w:rPr>
        <w:t xml:space="preserve"> </w:t>
      </w:r>
      <w:r>
        <w:t>use</w:t>
      </w:r>
      <w:r>
        <w:rPr>
          <w:spacing w:val="29"/>
        </w:rPr>
        <w:t xml:space="preserve"> </w:t>
      </w:r>
      <w:r>
        <w:t>the</w:t>
      </w:r>
      <w:r>
        <w:rPr>
          <w:spacing w:val="29"/>
        </w:rPr>
        <w:t xml:space="preserve"> </w:t>
      </w:r>
      <w:r>
        <w:t>information</w:t>
      </w:r>
      <w:r>
        <w:rPr>
          <w:spacing w:val="29"/>
        </w:rPr>
        <w:t xml:space="preserve"> </w:t>
      </w:r>
      <w:r>
        <w:t>submitted.</w:t>
      </w:r>
      <w:r>
        <w:rPr>
          <w:vertAlign w:val="superscript"/>
        </w:rPr>
        <w:t>152</w:t>
      </w:r>
      <w:r>
        <w:rPr>
          <w:spacing w:val="28"/>
        </w:rPr>
        <w:t xml:space="preserve"> </w:t>
      </w:r>
      <w:r>
        <w:t>Had</w:t>
      </w:r>
      <w:r>
        <w:rPr>
          <w:spacing w:val="28"/>
        </w:rPr>
        <w:t xml:space="preserve"> </w:t>
      </w:r>
      <w:r>
        <w:t>it</w:t>
      </w:r>
      <w:r>
        <w:rPr>
          <w:spacing w:val="28"/>
        </w:rPr>
        <w:t xml:space="preserve"> </w:t>
      </w:r>
      <w:r>
        <w:t>done</w:t>
      </w:r>
      <w:r>
        <w:rPr>
          <w:spacing w:val="29"/>
        </w:rPr>
        <w:t xml:space="preserve"> </w:t>
      </w:r>
      <w:r>
        <w:t>so,</w:t>
      </w:r>
      <w:r>
        <w:rPr>
          <w:spacing w:val="28"/>
        </w:rPr>
        <w:t xml:space="preserve"> </w:t>
      </w:r>
      <w:r>
        <w:t>MOFCOM</w:t>
      </w:r>
      <w:r>
        <w:rPr>
          <w:spacing w:val="29"/>
        </w:rPr>
        <w:t xml:space="preserve"> </w:t>
      </w:r>
      <w:r>
        <w:t>would</w:t>
      </w:r>
      <w:r>
        <w:rPr>
          <w:spacing w:val="28"/>
        </w:rPr>
        <w:t xml:space="preserve"> </w:t>
      </w:r>
      <w:r>
        <w:t>have</w:t>
      </w:r>
    </w:p>
    <w:p w14:paraId="51DE8014" w14:textId="77777777" w:rsidR="0010369C" w:rsidRDefault="008E43AE">
      <w:pPr>
        <w:pStyle w:val="BodyText"/>
        <w:spacing w:before="6"/>
        <w:rPr>
          <w:sz w:val="20"/>
        </w:rPr>
      </w:pPr>
      <w:r>
        <w:pict w14:anchorId="51DE9EB6">
          <v:rect id="docshape225" o:spid="_x0000_s2027" style="position:absolute;margin-left:70.9pt;margin-top:13.75pt;width:2in;height:.8pt;z-index:-251169280;mso-wrap-distance-left:0;mso-wrap-distance-right:0;mso-position-horizontal-relative:page" fillcolor="black" stroked="f">
            <w10:wrap type="topAndBottom" anchorx="page"/>
          </v:rect>
        </w:pict>
      </w:r>
    </w:p>
    <w:p w14:paraId="51DE8015" w14:textId="77777777" w:rsidR="0010369C" w:rsidRDefault="0010369C">
      <w:pPr>
        <w:pStyle w:val="BodyText"/>
        <w:spacing w:before="8"/>
        <w:rPr>
          <w:sz w:val="5"/>
        </w:rPr>
      </w:pPr>
    </w:p>
    <w:p w14:paraId="51DE8016" w14:textId="77777777" w:rsidR="0010369C" w:rsidRDefault="0010369C">
      <w:pPr>
        <w:rPr>
          <w:sz w:val="5"/>
        </w:rPr>
        <w:sectPr w:rsidR="0010369C">
          <w:pgSz w:w="11910" w:h="16840"/>
          <w:pgMar w:top="880" w:right="800" w:bottom="980" w:left="1180" w:header="569" w:footer="788" w:gutter="0"/>
          <w:cols w:space="720"/>
        </w:sectPr>
      </w:pPr>
    </w:p>
    <w:p w14:paraId="51DE8017" w14:textId="77777777" w:rsidR="0010369C" w:rsidRDefault="008E43AE">
      <w:pPr>
        <w:spacing w:before="37"/>
        <w:ind w:left="238"/>
        <w:rPr>
          <w:sz w:val="18"/>
        </w:rPr>
      </w:pPr>
      <w:r>
        <w:pict w14:anchorId="51DE9EB7">
          <v:rect id="docshape226" o:spid="_x0000_s2026" style="position:absolute;left:0;text-align:left;margin-left:87.25pt;margin-top:2.35pt;width:406pt;height:12.05pt;z-index:251715072;mso-position-horizontal-relative:page" fillcolor="black" stroked="f">
            <w10:wrap anchorx="page"/>
          </v:rect>
        </w:pict>
      </w:r>
      <w:r>
        <w:rPr>
          <w:color w:val="5E5E5E"/>
          <w:sz w:val="12"/>
        </w:rPr>
        <w:t>145</w:t>
      </w:r>
      <w:r>
        <w:rPr>
          <w:color w:val="5E5E5E"/>
          <w:spacing w:val="23"/>
          <w:sz w:val="12"/>
        </w:rPr>
        <w:t xml:space="preserve"> </w:t>
      </w:r>
      <w:r>
        <w:rPr>
          <w:color w:val="5E5E5E"/>
          <w:spacing w:val="-10"/>
          <w:position w:val="-5"/>
          <w:sz w:val="18"/>
        </w:rPr>
        <w:t>[</w:t>
      </w:r>
    </w:p>
    <w:p w14:paraId="51DE8018" w14:textId="77777777" w:rsidR="0010369C" w:rsidRDefault="008E43AE">
      <w:pPr>
        <w:spacing w:line="218" w:lineRule="exact"/>
        <w:ind w:left="238"/>
        <w:rPr>
          <w:sz w:val="18"/>
        </w:rPr>
      </w:pPr>
      <w:r>
        <w:pict w14:anchorId="51DE9EB8">
          <v:rect id="docshape227" o:spid="_x0000_s2025" style="position:absolute;left:0;text-align:left;margin-left:86.65pt;margin-top:11.3pt;width:303.25pt;height:12.05pt;z-index:251716096;mso-position-horizontal-relative:page" fillcolor="black" stroked="f">
            <w10:wrap anchorx="page"/>
          </v:rect>
        </w:pict>
      </w:r>
      <w:r>
        <w:rPr>
          <w:color w:val="5E5E5E"/>
          <w:sz w:val="18"/>
        </w:rPr>
        <w:t>AUS‐12</w:t>
      </w:r>
      <w:r>
        <w:rPr>
          <w:color w:val="5E5E5E"/>
          <w:spacing w:val="-7"/>
          <w:sz w:val="18"/>
        </w:rPr>
        <w:t xml:space="preserve"> </w:t>
      </w:r>
      <w:r>
        <w:rPr>
          <w:color w:val="5E5E5E"/>
          <w:spacing w:val="-2"/>
          <w:sz w:val="18"/>
        </w:rPr>
        <w:t>(BCI)).]]</w:t>
      </w:r>
    </w:p>
    <w:p w14:paraId="51DE8019" w14:textId="77777777" w:rsidR="0010369C" w:rsidRDefault="008E43AE">
      <w:pPr>
        <w:spacing w:before="37" w:line="156" w:lineRule="auto"/>
        <w:ind w:left="238"/>
        <w:rPr>
          <w:sz w:val="18"/>
        </w:rPr>
      </w:pPr>
      <w:r>
        <w:rPr>
          <w:color w:val="5E5E5E"/>
          <w:sz w:val="12"/>
        </w:rPr>
        <w:t>146</w:t>
      </w:r>
      <w:r>
        <w:rPr>
          <w:color w:val="5E5E5E"/>
          <w:spacing w:val="11"/>
          <w:sz w:val="12"/>
        </w:rPr>
        <w:t xml:space="preserve"> </w:t>
      </w:r>
      <w:r>
        <w:rPr>
          <w:color w:val="5E5E5E"/>
          <w:spacing w:val="-10"/>
          <w:position w:val="-5"/>
          <w:sz w:val="18"/>
        </w:rPr>
        <w:t>[</w:t>
      </w:r>
    </w:p>
    <w:p w14:paraId="51DE801A" w14:textId="77777777" w:rsidR="0010369C" w:rsidRDefault="008E43AE">
      <w:pPr>
        <w:spacing w:before="36"/>
        <w:ind w:left="238"/>
        <w:rPr>
          <w:sz w:val="18"/>
        </w:rPr>
      </w:pPr>
      <w:r>
        <w:rPr>
          <w:sz w:val="18"/>
          <w:vertAlign w:val="superscript"/>
        </w:rPr>
        <w:t>147</w:t>
      </w:r>
      <w:r>
        <w:rPr>
          <w:spacing w:val="-4"/>
          <w:sz w:val="18"/>
        </w:rPr>
        <w:t xml:space="preserve"> </w:t>
      </w:r>
      <w:r>
        <w:rPr>
          <w:sz w:val="18"/>
        </w:rPr>
        <w:t>See</w:t>
      </w:r>
      <w:r>
        <w:rPr>
          <w:spacing w:val="-4"/>
          <w:sz w:val="18"/>
        </w:rPr>
        <w:t xml:space="preserve"> </w:t>
      </w:r>
      <w:r>
        <w:rPr>
          <w:sz w:val="18"/>
        </w:rPr>
        <w:t>above,</w:t>
      </w:r>
      <w:r>
        <w:rPr>
          <w:spacing w:val="-5"/>
          <w:sz w:val="18"/>
        </w:rPr>
        <w:t xml:space="preserve"> </w:t>
      </w:r>
      <w:r>
        <w:rPr>
          <w:sz w:val="18"/>
        </w:rPr>
        <w:t>paras.</w:t>
      </w:r>
      <w:r>
        <w:rPr>
          <w:spacing w:val="-4"/>
          <w:sz w:val="18"/>
        </w:rPr>
        <w:t xml:space="preserve"> </w:t>
      </w:r>
      <w:r>
        <w:rPr>
          <w:sz w:val="18"/>
        </w:rPr>
        <w:t>146</w:t>
      </w:r>
      <w:r>
        <w:rPr>
          <w:spacing w:val="-4"/>
          <w:sz w:val="18"/>
        </w:rPr>
        <w:t xml:space="preserve"> </w:t>
      </w:r>
      <w:r>
        <w:rPr>
          <w:sz w:val="18"/>
        </w:rPr>
        <w:t>and</w:t>
      </w:r>
      <w:r>
        <w:rPr>
          <w:spacing w:val="-4"/>
          <w:sz w:val="18"/>
        </w:rPr>
        <w:t xml:space="preserve"> 147.</w:t>
      </w:r>
    </w:p>
    <w:p w14:paraId="51DE801B" w14:textId="77777777" w:rsidR="0010369C" w:rsidRDefault="008E43AE">
      <w:pPr>
        <w:ind w:left="238"/>
        <w:rPr>
          <w:sz w:val="18"/>
        </w:rPr>
      </w:pPr>
      <w:r>
        <w:rPr>
          <w:sz w:val="18"/>
          <w:vertAlign w:val="superscript"/>
        </w:rPr>
        <w:t>148</w:t>
      </w:r>
      <w:r>
        <w:rPr>
          <w:spacing w:val="-9"/>
          <w:sz w:val="18"/>
        </w:rPr>
        <w:t xml:space="preserve"> </w:t>
      </w:r>
      <w:r>
        <w:rPr>
          <w:sz w:val="18"/>
        </w:rPr>
        <w:t>Anti‐Dumping</w:t>
      </w:r>
      <w:r>
        <w:rPr>
          <w:spacing w:val="-9"/>
          <w:sz w:val="18"/>
        </w:rPr>
        <w:t xml:space="preserve"> </w:t>
      </w:r>
      <w:r>
        <w:rPr>
          <w:sz w:val="18"/>
        </w:rPr>
        <w:t>Final</w:t>
      </w:r>
      <w:r>
        <w:rPr>
          <w:spacing w:val="-9"/>
          <w:sz w:val="18"/>
        </w:rPr>
        <w:t xml:space="preserve"> </w:t>
      </w:r>
      <w:r>
        <w:rPr>
          <w:sz w:val="18"/>
        </w:rPr>
        <w:t>Determination</w:t>
      </w:r>
      <w:r>
        <w:rPr>
          <w:spacing w:val="-8"/>
          <w:sz w:val="18"/>
        </w:rPr>
        <w:t xml:space="preserve"> </w:t>
      </w:r>
      <w:r>
        <w:rPr>
          <w:sz w:val="18"/>
        </w:rPr>
        <w:t>(Exhibit</w:t>
      </w:r>
      <w:r>
        <w:rPr>
          <w:spacing w:val="-9"/>
          <w:sz w:val="18"/>
        </w:rPr>
        <w:t xml:space="preserve"> </w:t>
      </w:r>
      <w:r>
        <w:rPr>
          <w:sz w:val="18"/>
        </w:rPr>
        <w:t>AUS‐2),</w:t>
      </w:r>
      <w:r>
        <w:rPr>
          <w:spacing w:val="-9"/>
          <w:sz w:val="18"/>
        </w:rPr>
        <w:t xml:space="preserve"> </w:t>
      </w:r>
      <w:r>
        <w:rPr>
          <w:sz w:val="18"/>
        </w:rPr>
        <w:t>p.</w:t>
      </w:r>
      <w:r>
        <w:rPr>
          <w:spacing w:val="-9"/>
          <w:sz w:val="18"/>
        </w:rPr>
        <w:t xml:space="preserve"> </w:t>
      </w:r>
      <w:r>
        <w:rPr>
          <w:spacing w:val="-5"/>
          <w:sz w:val="18"/>
        </w:rPr>
        <w:t>65.</w:t>
      </w:r>
    </w:p>
    <w:p w14:paraId="51DE801C" w14:textId="77777777" w:rsidR="0010369C" w:rsidRDefault="008E43AE">
      <w:pPr>
        <w:spacing w:before="1"/>
        <w:ind w:left="238"/>
        <w:rPr>
          <w:sz w:val="18"/>
        </w:rPr>
      </w:pPr>
      <w:r>
        <w:rPr>
          <w:sz w:val="18"/>
          <w:vertAlign w:val="superscript"/>
        </w:rPr>
        <w:t>149</w:t>
      </w:r>
      <w:r>
        <w:rPr>
          <w:spacing w:val="-9"/>
          <w:sz w:val="18"/>
        </w:rPr>
        <w:t xml:space="preserve"> </w:t>
      </w:r>
      <w:r>
        <w:rPr>
          <w:sz w:val="18"/>
        </w:rPr>
        <w:t>Anti‐Dumping</w:t>
      </w:r>
      <w:r>
        <w:rPr>
          <w:spacing w:val="-9"/>
          <w:sz w:val="18"/>
        </w:rPr>
        <w:t xml:space="preserve"> </w:t>
      </w:r>
      <w:r>
        <w:rPr>
          <w:sz w:val="18"/>
        </w:rPr>
        <w:t>Final</w:t>
      </w:r>
      <w:r>
        <w:rPr>
          <w:spacing w:val="-9"/>
          <w:sz w:val="18"/>
        </w:rPr>
        <w:t xml:space="preserve"> </w:t>
      </w:r>
      <w:r>
        <w:rPr>
          <w:sz w:val="18"/>
        </w:rPr>
        <w:t>Determination</w:t>
      </w:r>
      <w:r>
        <w:rPr>
          <w:spacing w:val="-8"/>
          <w:sz w:val="18"/>
        </w:rPr>
        <w:t xml:space="preserve"> </w:t>
      </w:r>
      <w:r>
        <w:rPr>
          <w:sz w:val="18"/>
        </w:rPr>
        <w:t>(Exhibit</w:t>
      </w:r>
      <w:r>
        <w:rPr>
          <w:spacing w:val="-9"/>
          <w:sz w:val="18"/>
        </w:rPr>
        <w:t xml:space="preserve"> </w:t>
      </w:r>
      <w:r>
        <w:rPr>
          <w:sz w:val="18"/>
        </w:rPr>
        <w:t>AUS‐2),</w:t>
      </w:r>
      <w:r>
        <w:rPr>
          <w:spacing w:val="-10"/>
          <w:sz w:val="18"/>
        </w:rPr>
        <w:t xml:space="preserve"> </w:t>
      </w:r>
      <w:r>
        <w:rPr>
          <w:sz w:val="18"/>
        </w:rPr>
        <w:t>pp.</w:t>
      </w:r>
      <w:r>
        <w:rPr>
          <w:spacing w:val="-9"/>
          <w:sz w:val="18"/>
        </w:rPr>
        <w:t xml:space="preserve"> </w:t>
      </w:r>
      <w:r>
        <w:rPr>
          <w:spacing w:val="-2"/>
          <w:sz w:val="18"/>
        </w:rPr>
        <w:t>63‐64.</w:t>
      </w:r>
    </w:p>
    <w:p w14:paraId="51DE801D" w14:textId="77777777" w:rsidR="0010369C" w:rsidRDefault="008E43AE">
      <w:pPr>
        <w:ind w:left="238"/>
        <w:rPr>
          <w:sz w:val="18"/>
        </w:rPr>
      </w:pPr>
      <w:r>
        <w:rPr>
          <w:sz w:val="18"/>
          <w:vertAlign w:val="superscript"/>
        </w:rPr>
        <w:t>150</w:t>
      </w:r>
      <w:r>
        <w:rPr>
          <w:spacing w:val="-5"/>
          <w:sz w:val="18"/>
        </w:rPr>
        <w:t xml:space="preserve"> </w:t>
      </w:r>
      <w:r>
        <w:rPr>
          <w:sz w:val="18"/>
        </w:rPr>
        <w:t>Panel</w:t>
      </w:r>
      <w:r>
        <w:rPr>
          <w:spacing w:val="-5"/>
          <w:sz w:val="18"/>
        </w:rPr>
        <w:t xml:space="preserve"> </w:t>
      </w:r>
      <w:r>
        <w:rPr>
          <w:sz w:val="18"/>
        </w:rPr>
        <w:t>Report,</w:t>
      </w:r>
      <w:r>
        <w:rPr>
          <w:spacing w:val="-4"/>
          <w:sz w:val="18"/>
        </w:rPr>
        <w:t xml:space="preserve"> </w:t>
      </w:r>
      <w:r>
        <w:rPr>
          <w:i/>
          <w:sz w:val="18"/>
        </w:rPr>
        <w:t>US</w:t>
      </w:r>
      <w:r>
        <w:rPr>
          <w:i/>
          <w:spacing w:val="-4"/>
          <w:sz w:val="18"/>
        </w:rPr>
        <w:t xml:space="preserve"> </w:t>
      </w:r>
      <w:r>
        <w:rPr>
          <w:i/>
          <w:sz w:val="18"/>
        </w:rPr>
        <w:t>–</w:t>
      </w:r>
      <w:r>
        <w:rPr>
          <w:i/>
          <w:spacing w:val="-5"/>
          <w:sz w:val="18"/>
        </w:rPr>
        <w:t xml:space="preserve"> </w:t>
      </w:r>
      <w:r>
        <w:rPr>
          <w:i/>
          <w:sz w:val="18"/>
        </w:rPr>
        <w:t>Steel</w:t>
      </w:r>
      <w:r>
        <w:rPr>
          <w:i/>
          <w:spacing w:val="-6"/>
          <w:sz w:val="18"/>
        </w:rPr>
        <w:t xml:space="preserve"> </w:t>
      </w:r>
      <w:r>
        <w:rPr>
          <w:i/>
          <w:sz w:val="18"/>
        </w:rPr>
        <w:t>Plate</w:t>
      </w:r>
      <w:r>
        <w:rPr>
          <w:sz w:val="18"/>
        </w:rPr>
        <w:t>,</w:t>
      </w:r>
      <w:r>
        <w:rPr>
          <w:spacing w:val="-5"/>
          <w:sz w:val="18"/>
        </w:rPr>
        <w:t xml:space="preserve"> </w:t>
      </w:r>
      <w:r>
        <w:rPr>
          <w:sz w:val="18"/>
        </w:rPr>
        <w:t>para.</w:t>
      </w:r>
      <w:r>
        <w:rPr>
          <w:spacing w:val="-4"/>
          <w:sz w:val="18"/>
        </w:rPr>
        <w:t xml:space="preserve"> </w:t>
      </w:r>
      <w:r>
        <w:rPr>
          <w:spacing w:val="-2"/>
          <w:sz w:val="18"/>
        </w:rPr>
        <w:t>7.58.</w:t>
      </w:r>
    </w:p>
    <w:p w14:paraId="51DE801E" w14:textId="77777777" w:rsidR="0010369C" w:rsidRDefault="008E43AE">
      <w:pPr>
        <w:ind w:left="238"/>
        <w:rPr>
          <w:sz w:val="18"/>
        </w:rPr>
      </w:pPr>
      <w:r>
        <w:rPr>
          <w:sz w:val="18"/>
          <w:vertAlign w:val="superscript"/>
        </w:rPr>
        <w:t>151</w:t>
      </w:r>
      <w:r>
        <w:rPr>
          <w:spacing w:val="-5"/>
          <w:sz w:val="18"/>
        </w:rPr>
        <w:t xml:space="preserve"> </w:t>
      </w:r>
      <w:r>
        <w:rPr>
          <w:sz w:val="18"/>
        </w:rPr>
        <w:t>Panel</w:t>
      </w:r>
      <w:r>
        <w:rPr>
          <w:spacing w:val="-6"/>
          <w:sz w:val="18"/>
        </w:rPr>
        <w:t xml:space="preserve"> </w:t>
      </w:r>
      <w:r>
        <w:rPr>
          <w:sz w:val="18"/>
        </w:rPr>
        <w:t>Report,</w:t>
      </w:r>
      <w:r>
        <w:rPr>
          <w:spacing w:val="-5"/>
          <w:sz w:val="18"/>
        </w:rPr>
        <w:t xml:space="preserve"> </w:t>
      </w:r>
      <w:r>
        <w:rPr>
          <w:i/>
          <w:sz w:val="18"/>
        </w:rPr>
        <w:t>China</w:t>
      </w:r>
      <w:r>
        <w:rPr>
          <w:i/>
          <w:spacing w:val="-5"/>
          <w:sz w:val="18"/>
        </w:rPr>
        <w:t xml:space="preserve"> </w:t>
      </w:r>
      <w:r>
        <w:rPr>
          <w:i/>
          <w:sz w:val="18"/>
        </w:rPr>
        <w:t>–</w:t>
      </w:r>
      <w:r>
        <w:rPr>
          <w:i/>
          <w:spacing w:val="-5"/>
          <w:sz w:val="18"/>
        </w:rPr>
        <w:t xml:space="preserve"> </w:t>
      </w:r>
      <w:r>
        <w:rPr>
          <w:i/>
          <w:sz w:val="18"/>
        </w:rPr>
        <w:t>Broiler</w:t>
      </w:r>
      <w:r>
        <w:rPr>
          <w:i/>
          <w:spacing w:val="-6"/>
          <w:sz w:val="18"/>
        </w:rPr>
        <w:t xml:space="preserve"> </w:t>
      </w:r>
      <w:r>
        <w:rPr>
          <w:i/>
          <w:sz w:val="18"/>
        </w:rPr>
        <w:t>Products</w:t>
      </w:r>
      <w:r>
        <w:rPr>
          <w:i/>
          <w:spacing w:val="-6"/>
          <w:sz w:val="18"/>
        </w:rPr>
        <w:t xml:space="preserve"> </w:t>
      </w:r>
      <w:r>
        <w:rPr>
          <w:i/>
          <w:sz w:val="18"/>
        </w:rPr>
        <w:t>(Article</w:t>
      </w:r>
      <w:r>
        <w:rPr>
          <w:i/>
          <w:spacing w:val="-5"/>
          <w:sz w:val="18"/>
        </w:rPr>
        <w:t xml:space="preserve"> </w:t>
      </w:r>
      <w:r>
        <w:rPr>
          <w:i/>
          <w:sz w:val="18"/>
        </w:rPr>
        <w:t>21.5</w:t>
      </w:r>
      <w:r>
        <w:rPr>
          <w:i/>
          <w:spacing w:val="-5"/>
          <w:sz w:val="18"/>
        </w:rPr>
        <w:t xml:space="preserve"> </w:t>
      </w:r>
      <w:r>
        <w:rPr>
          <w:i/>
          <w:sz w:val="18"/>
        </w:rPr>
        <w:t>‐</w:t>
      </w:r>
      <w:r>
        <w:rPr>
          <w:i/>
          <w:spacing w:val="-5"/>
          <w:sz w:val="18"/>
        </w:rPr>
        <w:t xml:space="preserve"> </w:t>
      </w:r>
      <w:r>
        <w:rPr>
          <w:i/>
          <w:sz w:val="18"/>
        </w:rPr>
        <w:t>US)</w:t>
      </w:r>
      <w:r>
        <w:rPr>
          <w:sz w:val="18"/>
        </w:rPr>
        <w:t>,</w:t>
      </w:r>
      <w:r>
        <w:rPr>
          <w:spacing w:val="-6"/>
          <w:sz w:val="18"/>
        </w:rPr>
        <w:t xml:space="preserve"> </w:t>
      </w:r>
      <w:r>
        <w:rPr>
          <w:sz w:val="18"/>
        </w:rPr>
        <w:t>para.</w:t>
      </w:r>
      <w:r>
        <w:rPr>
          <w:spacing w:val="-5"/>
          <w:sz w:val="18"/>
        </w:rPr>
        <w:t xml:space="preserve"> </w:t>
      </w:r>
      <w:r>
        <w:rPr>
          <w:spacing w:val="-2"/>
          <w:sz w:val="18"/>
        </w:rPr>
        <w:t>7.343.</w:t>
      </w:r>
    </w:p>
    <w:p w14:paraId="51DE801F" w14:textId="77777777" w:rsidR="0010369C" w:rsidRDefault="008E43AE">
      <w:pPr>
        <w:ind w:left="238"/>
        <w:rPr>
          <w:sz w:val="18"/>
        </w:rPr>
      </w:pPr>
      <w:r>
        <w:rPr>
          <w:sz w:val="18"/>
          <w:vertAlign w:val="superscript"/>
        </w:rPr>
        <w:t>152</w:t>
      </w:r>
      <w:r>
        <w:rPr>
          <w:spacing w:val="-5"/>
          <w:sz w:val="18"/>
        </w:rPr>
        <w:t xml:space="preserve"> </w:t>
      </w:r>
      <w:r>
        <w:rPr>
          <w:sz w:val="18"/>
        </w:rPr>
        <w:t>See</w:t>
      </w:r>
      <w:r>
        <w:rPr>
          <w:spacing w:val="-5"/>
          <w:sz w:val="18"/>
        </w:rPr>
        <w:t xml:space="preserve"> </w:t>
      </w:r>
      <w:r>
        <w:rPr>
          <w:sz w:val="18"/>
        </w:rPr>
        <w:t>Panel</w:t>
      </w:r>
      <w:r>
        <w:rPr>
          <w:spacing w:val="-5"/>
          <w:sz w:val="18"/>
        </w:rPr>
        <w:t xml:space="preserve"> </w:t>
      </w:r>
      <w:r>
        <w:rPr>
          <w:sz w:val="18"/>
        </w:rPr>
        <w:t>Report,</w:t>
      </w:r>
      <w:r>
        <w:rPr>
          <w:spacing w:val="-4"/>
          <w:sz w:val="18"/>
        </w:rPr>
        <w:t xml:space="preserve"> </w:t>
      </w:r>
      <w:r>
        <w:rPr>
          <w:i/>
          <w:sz w:val="18"/>
        </w:rPr>
        <w:t>US</w:t>
      </w:r>
      <w:r>
        <w:rPr>
          <w:i/>
          <w:spacing w:val="-4"/>
          <w:sz w:val="18"/>
        </w:rPr>
        <w:t xml:space="preserve"> </w:t>
      </w:r>
      <w:r>
        <w:rPr>
          <w:i/>
          <w:sz w:val="18"/>
        </w:rPr>
        <w:t>–</w:t>
      </w:r>
      <w:r>
        <w:rPr>
          <w:i/>
          <w:spacing w:val="-4"/>
          <w:sz w:val="18"/>
        </w:rPr>
        <w:t xml:space="preserve"> </w:t>
      </w:r>
      <w:r>
        <w:rPr>
          <w:i/>
          <w:sz w:val="18"/>
        </w:rPr>
        <w:t>Steel</w:t>
      </w:r>
      <w:r>
        <w:rPr>
          <w:i/>
          <w:spacing w:val="-5"/>
          <w:sz w:val="18"/>
        </w:rPr>
        <w:t xml:space="preserve"> </w:t>
      </w:r>
      <w:r>
        <w:rPr>
          <w:i/>
          <w:sz w:val="18"/>
        </w:rPr>
        <w:t>Plate</w:t>
      </w:r>
      <w:r>
        <w:rPr>
          <w:sz w:val="18"/>
        </w:rPr>
        <w:t>,</w:t>
      </w:r>
      <w:r>
        <w:rPr>
          <w:spacing w:val="-6"/>
          <w:sz w:val="18"/>
        </w:rPr>
        <w:t xml:space="preserve"> </w:t>
      </w:r>
      <w:r>
        <w:rPr>
          <w:sz w:val="18"/>
        </w:rPr>
        <w:t>para.</w:t>
      </w:r>
      <w:r>
        <w:rPr>
          <w:spacing w:val="-4"/>
          <w:sz w:val="18"/>
        </w:rPr>
        <w:t xml:space="preserve"> </w:t>
      </w:r>
      <w:r>
        <w:rPr>
          <w:spacing w:val="-2"/>
          <w:sz w:val="18"/>
        </w:rPr>
        <w:t>7.65.</w:t>
      </w:r>
    </w:p>
    <w:p w14:paraId="51DE8020" w14:textId="77777777" w:rsidR="0010369C" w:rsidRDefault="008E43AE">
      <w:pPr>
        <w:rPr>
          <w:sz w:val="18"/>
        </w:rPr>
      </w:pPr>
      <w:r>
        <w:br w:type="column"/>
      </w:r>
    </w:p>
    <w:p w14:paraId="51DE8021" w14:textId="77777777" w:rsidR="0010369C" w:rsidRDefault="0010369C">
      <w:pPr>
        <w:pStyle w:val="BodyText"/>
        <w:spacing w:before="3"/>
        <w:rPr>
          <w:sz w:val="21"/>
        </w:rPr>
      </w:pPr>
    </w:p>
    <w:p w14:paraId="51DE8022" w14:textId="77777777" w:rsidR="0010369C" w:rsidRDefault="008E43AE">
      <w:pPr>
        <w:ind w:left="238"/>
        <w:rPr>
          <w:sz w:val="18"/>
        </w:rPr>
      </w:pPr>
      <w:r>
        <w:rPr>
          <w:color w:val="5E5E5E"/>
          <w:sz w:val="18"/>
        </w:rPr>
        <w:t>(Exhibit</w:t>
      </w:r>
      <w:r>
        <w:rPr>
          <w:color w:val="5E5E5E"/>
          <w:spacing w:val="-9"/>
          <w:sz w:val="18"/>
        </w:rPr>
        <w:t xml:space="preserve"> </w:t>
      </w:r>
      <w:r>
        <w:rPr>
          <w:color w:val="5E5E5E"/>
          <w:sz w:val="18"/>
        </w:rPr>
        <w:t>AUS‐11</w:t>
      </w:r>
      <w:r>
        <w:rPr>
          <w:color w:val="5E5E5E"/>
          <w:spacing w:val="-9"/>
          <w:sz w:val="18"/>
        </w:rPr>
        <w:t xml:space="preserve"> </w:t>
      </w:r>
      <w:r>
        <w:rPr>
          <w:color w:val="5E5E5E"/>
          <w:spacing w:val="-2"/>
          <w:sz w:val="18"/>
        </w:rPr>
        <w:t>(BCI)),</w:t>
      </w:r>
    </w:p>
    <w:p w14:paraId="51DE8023" w14:textId="77777777" w:rsidR="0010369C" w:rsidRDefault="008E43AE">
      <w:pPr>
        <w:spacing w:before="40"/>
        <w:ind w:left="287"/>
        <w:rPr>
          <w:sz w:val="18"/>
        </w:rPr>
      </w:pPr>
      <w:r>
        <w:br w:type="column"/>
      </w:r>
      <w:r>
        <w:rPr>
          <w:color w:val="5E5E5E"/>
          <w:spacing w:val="-2"/>
          <w:sz w:val="18"/>
        </w:rPr>
        <w:t>(Exhibit</w:t>
      </w:r>
    </w:p>
    <w:p w14:paraId="51DE8024" w14:textId="77777777" w:rsidR="0010369C" w:rsidRDefault="0010369C">
      <w:pPr>
        <w:pStyle w:val="BodyText"/>
        <w:rPr>
          <w:sz w:val="18"/>
        </w:rPr>
      </w:pPr>
    </w:p>
    <w:p w14:paraId="51DE8025" w14:textId="77777777" w:rsidR="0010369C" w:rsidRDefault="008E43AE">
      <w:pPr>
        <w:ind w:left="238"/>
        <w:rPr>
          <w:sz w:val="18"/>
        </w:rPr>
      </w:pPr>
      <w:r>
        <w:pict w14:anchorId="51DE9EB9">
          <v:rect id="docshape228" o:spid="_x0000_s2024" style="position:absolute;left:0;text-align:left;margin-left:475.15pt;margin-top:.35pt;width:18.2pt;height:12.05pt;z-index:251717120;mso-position-horizontal-relative:page" fillcolor="black" stroked="f">
            <w10:wrap anchorx="page"/>
          </v:rect>
        </w:pict>
      </w:r>
      <w:r>
        <w:rPr>
          <w:color w:val="5E5E5E"/>
          <w:spacing w:val="-5"/>
          <w:sz w:val="18"/>
        </w:rPr>
        <w:t>.]]</w:t>
      </w:r>
    </w:p>
    <w:p w14:paraId="51DE8026" w14:textId="77777777" w:rsidR="0010369C" w:rsidRDefault="0010369C">
      <w:pPr>
        <w:rPr>
          <w:sz w:val="18"/>
        </w:rPr>
        <w:sectPr w:rsidR="0010369C">
          <w:type w:val="continuous"/>
          <w:pgSz w:w="11910" w:h="16840"/>
          <w:pgMar w:top="1460" w:right="800" w:bottom="280" w:left="1180" w:header="569" w:footer="788" w:gutter="0"/>
          <w:cols w:num="3" w:space="720" w:equalWidth="0">
            <w:col w:w="5549" w:space="893"/>
            <w:col w:w="1902" w:space="125"/>
            <w:col w:w="1461"/>
          </w:cols>
        </w:sectPr>
      </w:pPr>
    </w:p>
    <w:p w14:paraId="51DE8027" w14:textId="77777777" w:rsidR="0010369C" w:rsidRDefault="008E43AE">
      <w:pPr>
        <w:tabs>
          <w:tab w:val="left" w:pos="6426"/>
        </w:tabs>
        <w:ind w:left="238"/>
        <w:jc w:val="both"/>
        <w:rPr>
          <w:sz w:val="20"/>
        </w:rPr>
      </w:pPr>
      <w:r>
        <w:rPr>
          <w:i/>
          <w:sz w:val="20"/>
        </w:rPr>
        <w:lastRenderedPageBreak/>
        <w:t>China</w:t>
      </w:r>
      <w:r>
        <w:rPr>
          <w:i/>
          <w:spacing w:val="-5"/>
          <w:sz w:val="20"/>
        </w:rPr>
        <w:t xml:space="preserve"> </w:t>
      </w:r>
      <w:r>
        <w:rPr>
          <w:i/>
          <w:sz w:val="20"/>
        </w:rPr>
        <w:t>–</w:t>
      </w:r>
      <w:r>
        <w:rPr>
          <w:i/>
          <w:spacing w:val="-5"/>
          <w:sz w:val="20"/>
        </w:rPr>
        <w:t xml:space="preserve"> </w:t>
      </w:r>
      <w:r>
        <w:rPr>
          <w:i/>
          <w:sz w:val="20"/>
        </w:rPr>
        <w:t>Anti‐Dumping</w:t>
      </w:r>
      <w:r>
        <w:rPr>
          <w:i/>
          <w:spacing w:val="-4"/>
          <w:sz w:val="20"/>
        </w:rPr>
        <w:t xml:space="preserve"> </w:t>
      </w:r>
      <w:r>
        <w:rPr>
          <w:i/>
          <w:sz w:val="20"/>
        </w:rPr>
        <w:t>and</w:t>
      </w:r>
      <w:r>
        <w:rPr>
          <w:i/>
          <w:spacing w:val="-5"/>
          <w:sz w:val="20"/>
        </w:rPr>
        <w:t xml:space="preserve"> </w:t>
      </w:r>
      <w:r>
        <w:rPr>
          <w:i/>
          <w:sz w:val="20"/>
        </w:rPr>
        <w:t>Countervailing</w:t>
      </w:r>
      <w:r>
        <w:rPr>
          <w:i/>
          <w:spacing w:val="-5"/>
          <w:sz w:val="20"/>
        </w:rPr>
        <w:t xml:space="preserve"> </w:t>
      </w:r>
      <w:r>
        <w:rPr>
          <w:i/>
          <w:sz w:val="20"/>
        </w:rPr>
        <w:t>Duty</w:t>
      </w:r>
      <w:r>
        <w:rPr>
          <w:i/>
          <w:spacing w:val="-4"/>
          <w:sz w:val="20"/>
        </w:rPr>
        <w:t xml:space="preserve"> </w:t>
      </w:r>
      <w:r>
        <w:rPr>
          <w:i/>
          <w:spacing w:val="-2"/>
          <w:sz w:val="20"/>
        </w:rPr>
        <w:t>Measures</w:t>
      </w:r>
      <w:r>
        <w:rPr>
          <w:i/>
          <w:sz w:val="20"/>
        </w:rPr>
        <w:tab/>
      </w:r>
      <w:r>
        <w:rPr>
          <w:sz w:val="20"/>
        </w:rPr>
        <w:t>Australia's</w:t>
      </w:r>
      <w:r>
        <w:rPr>
          <w:spacing w:val="-7"/>
          <w:sz w:val="20"/>
        </w:rPr>
        <w:t xml:space="preserve"> </w:t>
      </w:r>
      <w:r>
        <w:rPr>
          <w:sz w:val="20"/>
        </w:rPr>
        <w:t>First</w:t>
      </w:r>
      <w:r>
        <w:rPr>
          <w:spacing w:val="-2"/>
          <w:sz w:val="20"/>
        </w:rPr>
        <w:t xml:space="preserve"> </w:t>
      </w:r>
      <w:r>
        <w:rPr>
          <w:sz w:val="20"/>
        </w:rPr>
        <w:t>Written</w:t>
      </w:r>
      <w:r>
        <w:rPr>
          <w:spacing w:val="-2"/>
          <w:sz w:val="20"/>
        </w:rPr>
        <w:t xml:space="preserve"> Submission</w:t>
      </w:r>
    </w:p>
    <w:p w14:paraId="51DE8028" w14:textId="77777777" w:rsidR="0010369C" w:rsidRDefault="008E43AE">
      <w:pPr>
        <w:tabs>
          <w:tab w:val="left" w:pos="8228"/>
        </w:tabs>
        <w:spacing w:before="1"/>
        <w:ind w:left="239"/>
        <w:jc w:val="both"/>
        <w:rPr>
          <w:sz w:val="20"/>
        </w:rPr>
      </w:pPr>
      <w:r>
        <w:rPr>
          <w:i/>
          <w:sz w:val="20"/>
        </w:rPr>
        <w:t>on</w:t>
      </w:r>
      <w:r>
        <w:rPr>
          <w:i/>
          <w:spacing w:val="-1"/>
          <w:sz w:val="20"/>
        </w:rPr>
        <w:t xml:space="preserve"> </w:t>
      </w:r>
      <w:r>
        <w:rPr>
          <w:i/>
          <w:sz w:val="20"/>
        </w:rPr>
        <w:t>Wine</w:t>
      </w:r>
      <w:r>
        <w:rPr>
          <w:i/>
          <w:spacing w:val="-1"/>
          <w:sz w:val="20"/>
        </w:rPr>
        <w:t xml:space="preserve"> </w:t>
      </w:r>
      <w:r>
        <w:rPr>
          <w:i/>
          <w:sz w:val="20"/>
        </w:rPr>
        <w:t>from</w:t>
      </w:r>
      <w:r>
        <w:rPr>
          <w:i/>
          <w:spacing w:val="-3"/>
          <w:sz w:val="20"/>
        </w:rPr>
        <w:t xml:space="preserve"> </w:t>
      </w:r>
      <w:r>
        <w:rPr>
          <w:i/>
          <w:sz w:val="20"/>
        </w:rPr>
        <w:t>Australia</w:t>
      </w:r>
      <w:r>
        <w:rPr>
          <w:i/>
          <w:spacing w:val="-1"/>
          <w:sz w:val="20"/>
        </w:rPr>
        <w:t xml:space="preserve"> </w:t>
      </w:r>
      <w:r>
        <w:rPr>
          <w:spacing w:val="-2"/>
          <w:sz w:val="20"/>
        </w:rPr>
        <w:t>(DS602)</w:t>
      </w:r>
      <w:r>
        <w:rPr>
          <w:sz w:val="20"/>
        </w:rPr>
        <w:tab/>
        <w:t>29</w:t>
      </w:r>
      <w:r>
        <w:rPr>
          <w:spacing w:val="-1"/>
          <w:sz w:val="20"/>
        </w:rPr>
        <w:t xml:space="preserve"> </w:t>
      </w:r>
      <w:r>
        <w:rPr>
          <w:sz w:val="20"/>
        </w:rPr>
        <w:t>April</w:t>
      </w:r>
      <w:r>
        <w:rPr>
          <w:spacing w:val="-2"/>
          <w:sz w:val="20"/>
        </w:rPr>
        <w:t xml:space="preserve"> </w:t>
      </w:r>
      <w:r>
        <w:rPr>
          <w:spacing w:val="-4"/>
          <w:sz w:val="20"/>
        </w:rPr>
        <w:t>2022</w:t>
      </w:r>
    </w:p>
    <w:p w14:paraId="51DE8029" w14:textId="77777777" w:rsidR="0010369C" w:rsidRDefault="008E43AE">
      <w:pPr>
        <w:pStyle w:val="BodyText"/>
        <w:spacing w:before="34" w:line="360" w:lineRule="auto"/>
        <w:ind w:left="238" w:right="614"/>
        <w:jc w:val="both"/>
      </w:pPr>
      <w:r>
        <w:t>concluded that the information submitted was, in fact, verifiable, appropriately submitted, timely</w:t>
      </w:r>
      <w:r>
        <w:rPr>
          <w:spacing w:val="-11"/>
        </w:rPr>
        <w:t xml:space="preserve"> </w:t>
      </w:r>
      <w:r>
        <w:t>and</w:t>
      </w:r>
      <w:r>
        <w:rPr>
          <w:spacing w:val="-12"/>
        </w:rPr>
        <w:t xml:space="preserve"> </w:t>
      </w:r>
      <w:r>
        <w:t>in</w:t>
      </w:r>
      <w:r>
        <w:rPr>
          <w:spacing w:val="-12"/>
        </w:rPr>
        <w:t xml:space="preserve"> </w:t>
      </w:r>
      <w:r>
        <w:t>an</w:t>
      </w:r>
      <w:r>
        <w:rPr>
          <w:spacing w:val="-12"/>
        </w:rPr>
        <w:t xml:space="preserve"> </w:t>
      </w:r>
      <w:r>
        <w:t>appropriate</w:t>
      </w:r>
      <w:r>
        <w:rPr>
          <w:spacing w:val="-12"/>
        </w:rPr>
        <w:t xml:space="preserve"> </w:t>
      </w:r>
      <w:r>
        <w:t>medium.</w:t>
      </w:r>
      <w:r>
        <w:rPr>
          <w:spacing w:val="-11"/>
        </w:rPr>
        <w:t xml:space="preserve"> </w:t>
      </w:r>
      <w:r>
        <w:t>An</w:t>
      </w:r>
      <w:r>
        <w:rPr>
          <w:spacing w:val="-12"/>
        </w:rPr>
        <w:t xml:space="preserve"> </w:t>
      </w:r>
      <w:r>
        <w:t>unbiased</w:t>
      </w:r>
      <w:r>
        <w:rPr>
          <w:spacing w:val="-12"/>
        </w:rPr>
        <w:t xml:space="preserve"> </w:t>
      </w:r>
      <w:r>
        <w:t>and</w:t>
      </w:r>
      <w:r>
        <w:rPr>
          <w:spacing w:val="-12"/>
        </w:rPr>
        <w:t xml:space="preserve"> </w:t>
      </w:r>
      <w:r>
        <w:t>objective</w:t>
      </w:r>
      <w:r>
        <w:rPr>
          <w:spacing w:val="-11"/>
        </w:rPr>
        <w:t xml:space="preserve"> </w:t>
      </w:r>
      <w:r>
        <w:t>investigating</w:t>
      </w:r>
      <w:r>
        <w:rPr>
          <w:spacing w:val="-11"/>
        </w:rPr>
        <w:t xml:space="preserve"> </w:t>
      </w:r>
      <w:r>
        <w:t>authority</w:t>
      </w:r>
      <w:r>
        <w:rPr>
          <w:spacing w:val="-11"/>
        </w:rPr>
        <w:t xml:space="preserve"> </w:t>
      </w:r>
      <w:r>
        <w:t>could not have found otherwise.</w:t>
      </w:r>
      <w:r>
        <w:rPr>
          <w:vertAlign w:val="superscript"/>
        </w:rPr>
        <w:t>153</w:t>
      </w:r>
    </w:p>
    <w:p w14:paraId="51DE802A" w14:textId="77777777" w:rsidR="0010369C" w:rsidRDefault="0010369C">
      <w:pPr>
        <w:pStyle w:val="BodyText"/>
        <w:spacing w:before="11"/>
        <w:rPr>
          <w:sz w:val="8"/>
        </w:rPr>
      </w:pPr>
    </w:p>
    <w:p w14:paraId="51DE802B" w14:textId="77777777" w:rsidR="0010369C" w:rsidRDefault="008E43AE">
      <w:pPr>
        <w:pStyle w:val="BodyText"/>
        <w:spacing w:before="52" w:line="360" w:lineRule="auto"/>
        <w:ind w:left="237" w:right="612" w:firstLine="852"/>
        <w:jc w:val="both"/>
      </w:pPr>
      <w:r>
        <w:rPr>
          <w:noProof/>
        </w:rPr>
        <w:drawing>
          <wp:anchor distT="0" distB="0" distL="0" distR="0" simplePos="0" relativeHeight="250834432" behindDoc="1" locked="0" layoutInCell="1" allowOverlap="1" wp14:anchorId="51DE9EBA" wp14:editId="51DE9EBB">
            <wp:simplePos x="0" y="0"/>
            <wp:positionH relativeFrom="page">
              <wp:posOffset>908303</wp:posOffset>
            </wp:positionH>
            <wp:positionV relativeFrom="paragraph">
              <wp:posOffset>80595</wp:posOffset>
            </wp:positionV>
            <wp:extent cx="256031" cy="103631"/>
            <wp:effectExtent l="0" t="0" r="0" b="0"/>
            <wp:wrapNone/>
            <wp:docPr id="297" name="image1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image157.png"/>
                    <pic:cNvPicPr/>
                  </pic:nvPicPr>
                  <pic:blipFill>
                    <a:blip r:embed="rId251" cstate="print"/>
                    <a:stretch>
                      <a:fillRect/>
                    </a:stretch>
                  </pic:blipFill>
                  <pic:spPr>
                    <a:xfrm>
                      <a:off x="0" y="0"/>
                      <a:ext cx="256031" cy="103631"/>
                    </a:xfrm>
                    <a:prstGeom prst="rect">
                      <a:avLst/>
                    </a:prstGeom>
                  </pic:spPr>
                </pic:pic>
              </a:graphicData>
            </a:graphic>
          </wp:anchor>
        </w:drawing>
      </w:r>
      <w:r>
        <w:t xml:space="preserve">Further, there is no "unlimited right" for an investigating authority to reject all information and ascertain the normal value entirely on the basis of facts available if </w:t>
      </w:r>
      <w:r>
        <w:rPr>
          <w:i/>
        </w:rPr>
        <w:t>s</w:t>
      </w:r>
      <w:r>
        <w:rPr>
          <w:i/>
        </w:rPr>
        <w:t xml:space="preserve">ome </w:t>
      </w:r>
      <w:r>
        <w:t>information</w:t>
      </w:r>
      <w:r>
        <w:rPr>
          <w:spacing w:val="-5"/>
        </w:rPr>
        <w:t xml:space="preserve"> </w:t>
      </w:r>
      <w:r>
        <w:t>was</w:t>
      </w:r>
      <w:r>
        <w:rPr>
          <w:spacing w:val="-5"/>
        </w:rPr>
        <w:t xml:space="preserve"> </w:t>
      </w:r>
      <w:r>
        <w:t>not</w:t>
      </w:r>
      <w:r>
        <w:rPr>
          <w:spacing w:val="-5"/>
        </w:rPr>
        <w:t xml:space="preserve"> </w:t>
      </w:r>
      <w:r>
        <w:t>provided,</w:t>
      </w:r>
      <w:r>
        <w:rPr>
          <w:spacing w:val="-4"/>
        </w:rPr>
        <w:t xml:space="preserve"> </w:t>
      </w:r>
      <w:r>
        <w:t>or</w:t>
      </w:r>
      <w:r>
        <w:rPr>
          <w:spacing w:val="-6"/>
        </w:rPr>
        <w:t xml:space="preserve"> </w:t>
      </w:r>
      <w:r>
        <w:t>if</w:t>
      </w:r>
      <w:r>
        <w:rPr>
          <w:spacing w:val="-5"/>
        </w:rPr>
        <w:t xml:space="preserve"> </w:t>
      </w:r>
      <w:r>
        <w:rPr>
          <w:i/>
        </w:rPr>
        <w:t>some</w:t>
      </w:r>
      <w:r>
        <w:rPr>
          <w:i/>
          <w:spacing w:val="-4"/>
        </w:rPr>
        <w:t xml:space="preserve"> </w:t>
      </w:r>
      <w:r>
        <w:t>information</w:t>
      </w:r>
      <w:r>
        <w:rPr>
          <w:spacing w:val="-4"/>
        </w:rPr>
        <w:t xml:space="preserve"> </w:t>
      </w:r>
      <w:r>
        <w:t>did</w:t>
      </w:r>
      <w:r>
        <w:rPr>
          <w:spacing w:val="-5"/>
        </w:rPr>
        <w:t xml:space="preserve"> </w:t>
      </w:r>
      <w:r>
        <w:t>not</w:t>
      </w:r>
      <w:r>
        <w:rPr>
          <w:spacing w:val="-5"/>
        </w:rPr>
        <w:t xml:space="preserve"> </w:t>
      </w:r>
      <w:r>
        <w:t>meet</w:t>
      </w:r>
      <w:r>
        <w:rPr>
          <w:spacing w:val="-6"/>
        </w:rPr>
        <w:t xml:space="preserve"> </w:t>
      </w:r>
      <w:r>
        <w:t>the</w:t>
      </w:r>
      <w:r>
        <w:rPr>
          <w:spacing w:val="-6"/>
        </w:rPr>
        <w:t xml:space="preserve"> </w:t>
      </w:r>
      <w:r>
        <w:t>criteria</w:t>
      </w:r>
      <w:r>
        <w:rPr>
          <w:spacing w:val="-6"/>
        </w:rPr>
        <w:t xml:space="preserve"> </w:t>
      </w:r>
      <w:r>
        <w:t>in</w:t>
      </w:r>
      <w:r>
        <w:rPr>
          <w:spacing w:val="-5"/>
        </w:rPr>
        <w:t xml:space="preserve"> </w:t>
      </w:r>
      <w:r>
        <w:t>paragraph</w:t>
      </w:r>
      <w:r>
        <w:rPr>
          <w:spacing w:val="-4"/>
        </w:rPr>
        <w:t xml:space="preserve"> </w:t>
      </w:r>
      <w:r>
        <w:t>3 of Annex</w:t>
      </w:r>
      <w:r>
        <w:rPr>
          <w:spacing w:val="-2"/>
        </w:rPr>
        <w:t xml:space="preserve"> </w:t>
      </w:r>
      <w:r>
        <w:t>II.</w:t>
      </w:r>
      <w:r>
        <w:rPr>
          <w:vertAlign w:val="superscript"/>
        </w:rPr>
        <w:t>154</w:t>
      </w:r>
      <w:r>
        <w:t xml:space="preserve"> Before rejecting all of the information submitted by Treasury Wines in the revised Form 6‐1‐1 on the basis that the form did not include certa</w:t>
      </w:r>
      <w:r>
        <w:t xml:space="preserve">in information (beginning inventories, consumption and unit prices), MOFCOM was required to assess whether the absence of that particular information meant that the information submitted in the revised Form was not verifiable, or could not be used without </w:t>
      </w:r>
      <w:r>
        <w:t>undue difficulty.</w:t>
      </w:r>
    </w:p>
    <w:p w14:paraId="51DE802C" w14:textId="77777777" w:rsidR="0010369C" w:rsidRDefault="0010369C">
      <w:pPr>
        <w:pStyle w:val="BodyText"/>
        <w:spacing w:before="10"/>
        <w:rPr>
          <w:sz w:val="8"/>
        </w:rPr>
      </w:pPr>
    </w:p>
    <w:p w14:paraId="51DE802D" w14:textId="77777777" w:rsidR="0010369C" w:rsidRDefault="008E43AE">
      <w:pPr>
        <w:pStyle w:val="BodyText"/>
        <w:spacing w:before="52" w:line="360" w:lineRule="auto"/>
        <w:ind w:left="236" w:right="613" w:firstLine="852"/>
        <w:jc w:val="both"/>
      </w:pPr>
      <w:r>
        <w:rPr>
          <w:noProof/>
        </w:rPr>
        <w:drawing>
          <wp:anchor distT="0" distB="0" distL="0" distR="0" simplePos="0" relativeHeight="250835456" behindDoc="1" locked="0" layoutInCell="1" allowOverlap="1" wp14:anchorId="51DE9EBC" wp14:editId="51DE9EBD">
            <wp:simplePos x="0" y="0"/>
            <wp:positionH relativeFrom="page">
              <wp:posOffset>908303</wp:posOffset>
            </wp:positionH>
            <wp:positionV relativeFrom="paragraph">
              <wp:posOffset>81357</wp:posOffset>
            </wp:positionV>
            <wp:extent cx="256031" cy="103631"/>
            <wp:effectExtent l="0" t="0" r="0" b="0"/>
            <wp:wrapNone/>
            <wp:docPr id="299" name="image1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image158.png"/>
                    <pic:cNvPicPr/>
                  </pic:nvPicPr>
                  <pic:blipFill>
                    <a:blip r:embed="rId252" cstate="print"/>
                    <a:stretch>
                      <a:fillRect/>
                    </a:stretch>
                  </pic:blipFill>
                  <pic:spPr>
                    <a:xfrm>
                      <a:off x="0" y="0"/>
                      <a:ext cx="256031" cy="103631"/>
                    </a:xfrm>
                    <a:prstGeom prst="rect">
                      <a:avLst/>
                    </a:prstGeom>
                  </pic:spPr>
                </pic:pic>
              </a:graphicData>
            </a:graphic>
          </wp:anchor>
        </w:drawing>
      </w:r>
      <w:r>
        <w:t>MOFCOM was also obliged by paragraph 5 of Annex II to use the information provided</w:t>
      </w:r>
      <w:r>
        <w:rPr>
          <w:spacing w:val="-2"/>
        </w:rPr>
        <w:t xml:space="preserve"> </w:t>
      </w:r>
      <w:r>
        <w:t>to</w:t>
      </w:r>
      <w:r>
        <w:rPr>
          <w:spacing w:val="-3"/>
        </w:rPr>
        <w:t xml:space="preserve"> </w:t>
      </w:r>
      <w:r>
        <w:t>it,</w:t>
      </w:r>
      <w:r>
        <w:rPr>
          <w:spacing w:val="-2"/>
        </w:rPr>
        <w:t xml:space="preserve"> </w:t>
      </w:r>
      <w:r>
        <w:t>even</w:t>
      </w:r>
      <w:r>
        <w:rPr>
          <w:spacing w:val="-3"/>
        </w:rPr>
        <w:t xml:space="preserve"> </w:t>
      </w:r>
      <w:r>
        <w:t>if</w:t>
      </w:r>
      <w:r>
        <w:rPr>
          <w:spacing w:val="-3"/>
        </w:rPr>
        <w:t xml:space="preserve"> </w:t>
      </w:r>
      <w:r>
        <w:t>not</w:t>
      </w:r>
      <w:r>
        <w:rPr>
          <w:spacing w:val="-2"/>
        </w:rPr>
        <w:t xml:space="preserve"> </w:t>
      </w:r>
      <w:r>
        <w:t>ideal</w:t>
      </w:r>
      <w:r>
        <w:rPr>
          <w:spacing w:val="-2"/>
        </w:rPr>
        <w:t xml:space="preserve"> </w:t>
      </w:r>
      <w:r>
        <w:t>in</w:t>
      </w:r>
      <w:r>
        <w:rPr>
          <w:spacing w:val="-3"/>
        </w:rPr>
        <w:t xml:space="preserve"> </w:t>
      </w:r>
      <w:r>
        <w:t>all</w:t>
      </w:r>
      <w:r>
        <w:rPr>
          <w:spacing w:val="-4"/>
        </w:rPr>
        <w:t xml:space="preserve"> </w:t>
      </w:r>
      <w:r>
        <w:t>respects,</w:t>
      </w:r>
      <w:r>
        <w:rPr>
          <w:spacing w:val="-3"/>
        </w:rPr>
        <w:t xml:space="preserve"> </w:t>
      </w:r>
      <w:r>
        <w:t>provided</w:t>
      </w:r>
      <w:r>
        <w:rPr>
          <w:spacing w:val="-3"/>
        </w:rPr>
        <w:t xml:space="preserve"> </w:t>
      </w:r>
      <w:r>
        <w:t>Treasury</w:t>
      </w:r>
      <w:r>
        <w:rPr>
          <w:spacing w:val="-3"/>
        </w:rPr>
        <w:t xml:space="preserve"> </w:t>
      </w:r>
      <w:r>
        <w:t>Wines</w:t>
      </w:r>
      <w:r>
        <w:rPr>
          <w:spacing w:val="-4"/>
        </w:rPr>
        <w:t xml:space="preserve"> </w:t>
      </w:r>
      <w:r>
        <w:t>had</w:t>
      </w:r>
      <w:r>
        <w:rPr>
          <w:spacing w:val="-3"/>
        </w:rPr>
        <w:t xml:space="preserve"> </w:t>
      </w:r>
      <w:r>
        <w:t>acted</w:t>
      </w:r>
      <w:r>
        <w:rPr>
          <w:spacing w:val="-3"/>
        </w:rPr>
        <w:t xml:space="preserve"> </w:t>
      </w:r>
      <w:r>
        <w:t>to</w:t>
      </w:r>
      <w:r>
        <w:rPr>
          <w:spacing w:val="-3"/>
        </w:rPr>
        <w:t xml:space="preserve"> </w:t>
      </w:r>
      <w:r>
        <w:t>the</w:t>
      </w:r>
      <w:r>
        <w:rPr>
          <w:spacing w:val="-2"/>
        </w:rPr>
        <w:t xml:space="preserve"> </w:t>
      </w:r>
      <w:r>
        <w:t>best of its ability. Treasury Wines acted to the best of its ability in providing all the necessary information to enable MOFCOM to construct normal value, with full (and repeated) explanations</w:t>
      </w:r>
      <w:r>
        <w:rPr>
          <w:spacing w:val="-14"/>
        </w:rPr>
        <w:t xml:space="preserve"> </w:t>
      </w:r>
      <w:r>
        <w:t>of</w:t>
      </w:r>
      <w:r>
        <w:rPr>
          <w:spacing w:val="-14"/>
        </w:rPr>
        <w:t xml:space="preserve"> </w:t>
      </w:r>
      <w:r>
        <w:t>why</w:t>
      </w:r>
      <w:r>
        <w:rPr>
          <w:spacing w:val="-13"/>
        </w:rPr>
        <w:t xml:space="preserve"> </w:t>
      </w:r>
      <w:r>
        <w:t>it</w:t>
      </w:r>
      <w:r>
        <w:rPr>
          <w:spacing w:val="-12"/>
        </w:rPr>
        <w:t xml:space="preserve"> </w:t>
      </w:r>
      <w:r>
        <w:t>was</w:t>
      </w:r>
      <w:r>
        <w:rPr>
          <w:spacing w:val="-14"/>
        </w:rPr>
        <w:t xml:space="preserve"> </w:t>
      </w:r>
      <w:r>
        <w:t>presented</w:t>
      </w:r>
      <w:r>
        <w:rPr>
          <w:spacing w:val="-13"/>
        </w:rPr>
        <w:t xml:space="preserve"> </w:t>
      </w:r>
      <w:r>
        <w:t>in</w:t>
      </w:r>
      <w:r>
        <w:rPr>
          <w:spacing w:val="-14"/>
        </w:rPr>
        <w:t xml:space="preserve"> </w:t>
      </w:r>
      <w:r>
        <w:t>the</w:t>
      </w:r>
      <w:r>
        <w:rPr>
          <w:spacing w:val="-12"/>
        </w:rPr>
        <w:t xml:space="preserve"> </w:t>
      </w:r>
      <w:r>
        <w:t>way</w:t>
      </w:r>
      <w:r>
        <w:rPr>
          <w:spacing w:val="-14"/>
        </w:rPr>
        <w:t xml:space="preserve"> </w:t>
      </w:r>
      <w:r>
        <w:t>chosen.</w:t>
      </w:r>
      <w:r>
        <w:rPr>
          <w:spacing w:val="-13"/>
        </w:rPr>
        <w:t xml:space="preserve"> </w:t>
      </w:r>
      <w:r>
        <w:t>Accordingly,</w:t>
      </w:r>
      <w:r>
        <w:rPr>
          <w:spacing w:val="-14"/>
        </w:rPr>
        <w:t xml:space="preserve"> </w:t>
      </w:r>
      <w:r>
        <w:t>MOFCOM</w:t>
      </w:r>
      <w:r>
        <w:rPr>
          <w:spacing w:val="-13"/>
        </w:rPr>
        <w:t xml:space="preserve"> </w:t>
      </w:r>
      <w:r>
        <w:t>had</w:t>
      </w:r>
      <w:r>
        <w:rPr>
          <w:spacing w:val="-12"/>
        </w:rPr>
        <w:t xml:space="preserve"> </w:t>
      </w:r>
      <w:r>
        <w:t>no</w:t>
      </w:r>
      <w:r>
        <w:rPr>
          <w:spacing w:val="-13"/>
        </w:rPr>
        <w:t xml:space="preserve"> </w:t>
      </w:r>
      <w:r>
        <w:t>proper basis to refuse to make use of it.</w:t>
      </w:r>
    </w:p>
    <w:p w14:paraId="51DE802E" w14:textId="77777777" w:rsidR="0010369C" w:rsidRDefault="0010369C">
      <w:pPr>
        <w:pStyle w:val="BodyText"/>
        <w:spacing w:before="10"/>
        <w:rPr>
          <w:sz w:val="8"/>
        </w:rPr>
      </w:pPr>
    </w:p>
    <w:p w14:paraId="51DE802F" w14:textId="77777777" w:rsidR="0010369C" w:rsidRDefault="008E43AE">
      <w:pPr>
        <w:pStyle w:val="BodyText"/>
        <w:spacing w:before="52" w:line="360" w:lineRule="auto"/>
        <w:ind w:left="236" w:right="612" w:firstLine="852"/>
        <w:jc w:val="both"/>
      </w:pPr>
      <w:r>
        <w:rPr>
          <w:noProof/>
        </w:rPr>
        <w:drawing>
          <wp:anchor distT="0" distB="0" distL="0" distR="0" simplePos="0" relativeHeight="250836480" behindDoc="1" locked="0" layoutInCell="1" allowOverlap="1" wp14:anchorId="51DE9EBE" wp14:editId="51DE9EBF">
            <wp:simplePos x="0" y="0"/>
            <wp:positionH relativeFrom="page">
              <wp:posOffset>908303</wp:posOffset>
            </wp:positionH>
            <wp:positionV relativeFrom="paragraph">
              <wp:posOffset>82711</wp:posOffset>
            </wp:positionV>
            <wp:extent cx="256031" cy="100753"/>
            <wp:effectExtent l="0" t="0" r="0" b="0"/>
            <wp:wrapNone/>
            <wp:docPr id="301" name="image1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image159.png"/>
                    <pic:cNvPicPr/>
                  </pic:nvPicPr>
                  <pic:blipFill>
                    <a:blip r:embed="rId253" cstate="print"/>
                    <a:stretch>
                      <a:fillRect/>
                    </a:stretch>
                  </pic:blipFill>
                  <pic:spPr>
                    <a:xfrm>
                      <a:off x="0" y="0"/>
                      <a:ext cx="256031" cy="100753"/>
                    </a:xfrm>
                    <a:prstGeom prst="rect">
                      <a:avLst/>
                    </a:prstGeom>
                  </pic:spPr>
                </pic:pic>
              </a:graphicData>
            </a:graphic>
          </wp:anchor>
        </w:drawing>
      </w:r>
      <w:r>
        <w:t xml:space="preserve">MOFCOM did not inform Treasury Wines of the reasons for not accepting the additional information submitted in Treasury Wines' response to the Preliminary Determination or the Supplementary Questionnaire, </w:t>
      </w:r>
      <w:r>
        <w:t>did not provide an opportunity to provide further explanations and did not provide reasons for the rejection of information, as required by paragraph</w:t>
      </w:r>
      <w:r>
        <w:rPr>
          <w:spacing w:val="23"/>
        </w:rPr>
        <w:t xml:space="preserve"> </w:t>
      </w:r>
      <w:r>
        <w:t>6 of Annex</w:t>
      </w:r>
      <w:r>
        <w:rPr>
          <w:spacing w:val="23"/>
        </w:rPr>
        <w:t xml:space="preserve"> </w:t>
      </w:r>
      <w:r>
        <w:t>II.</w:t>
      </w:r>
      <w:r>
        <w:rPr>
          <w:spacing w:val="23"/>
        </w:rPr>
        <w:t xml:space="preserve"> </w:t>
      </w:r>
      <w:r>
        <w:t>MOFCOM</w:t>
      </w:r>
      <w:r>
        <w:rPr>
          <w:spacing w:val="24"/>
        </w:rPr>
        <w:t xml:space="preserve"> </w:t>
      </w:r>
      <w:r>
        <w:t>stated in the</w:t>
      </w:r>
      <w:r>
        <w:rPr>
          <w:spacing w:val="23"/>
        </w:rPr>
        <w:t xml:space="preserve"> </w:t>
      </w:r>
      <w:r>
        <w:t>Final</w:t>
      </w:r>
      <w:r>
        <w:rPr>
          <w:spacing w:val="23"/>
        </w:rPr>
        <w:t xml:space="preserve"> </w:t>
      </w:r>
      <w:r>
        <w:t>Disclosure</w:t>
      </w:r>
      <w:r>
        <w:rPr>
          <w:spacing w:val="24"/>
        </w:rPr>
        <w:t xml:space="preserve"> </w:t>
      </w:r>
      <w:r>
        <w:t>published</w:t>
      </w:r>
      <w:r>
        <w:rPr>
          <w:spacing w:val="23"/>
        </w:rPr>
        <w:t xml:space="preserve"> </w:t>
      </w:r>
      <w:r>
        <w:t>on 12</w:t>
      </w:r>
      <w:r>
        <w:rPr>
          <w:spacing w:val="-3"/>
        </w:rPr>
        <w:t xml:space="preserve"> </w:t>
      </w:r>
      <w:r>
        <w:t>March</w:t>
      </w:r>
      <w:r>
        <w:rPr>
          <w:spacing w:val="-3"/>
        </w:rPr>
        <w:t xml:space="preserve"> </w:t>
      </w:r>
      <w:r>
        <w:t>2021</w:t>
      </w:r>
      <w:r>
        <w:rPr>
          <w:spacing w:val="-7"/>
        </w:rPr>
        <w:t xml:space="preserve"> </w:t>
      </w:r>
      <w:r>
        <w:t>(published</w:t>
      </w:r>
      <w:r>
        <w:rPr>
          <w:spacing w:val="-6"/>
        </w:rPr>
        <w:t xml:space="preserve"> </w:t>
      </w:r>
      <w:r>
        <w:t>14</w:t>
      </w:r>
      <w:r>
        <w:rPr>
          <w:spacing w:val="-7"/>
        </w:rPr>
        <w:t xml:space="preserve"> </w:t>
      </w:r>
      <w:r>
        <w:t>calendar</w:t>
      </w:r>
      <w:r>
        <w:rPr>
          <w:spacing w:val="-6"/>
        </w:rPr>
        <w:t xml:space="preserve"> </w:t>
      </w:r>
      <w:r>
        <w:t>day</w:t>
      </w:r>
      <w:r>
        <w:t>s</w:t>
      </w:r>
      <w:r>
        <w:rPr>
          <w:spacing w:val="-6"/>
        </w:rPr>
        <w:t xml:space="preserve"> </w:t>
      </w:r>
      <w:r>
        <w:t>prior</w:t>
      </w:r>
      <w:r>
        <w:rPr>
          <w:spacing w:val="-7"/>
        </w:rPr>
        <w:t xml:space="preserve"> </w:t>
      </w:r>
      <w:r>
        <w:t>to</w:t>
      </w:r>
      <w:r>
        <w:rPr>
          <w:spacing w:val="-6"/>
        </w:rPr>
        <w:t xml:space="preserve"> </w:t>
      </w:r>
      <w:r>
        <w:t>the</w:t>
      </w:r>
      <w:r>
        <w:rPr>
          <w:spacing w:val="-6"/>
        </w:rPr>
        <w:t xml:space="preserve"> </w:t>
      </w:r>
      <w:r>
        <w:t>Final</w:t>
      </w:r>
      <w:r>
        <w:rPr>
          <w:spacing w:val="-6"/>
        </w:rPr>
        <w:t xml:space="preserve"> </w:t>
      </w:r>
      <w:r>
        <w:t>Determination),</w:t>
      </w:r>
      <w:r>
        <w:rPr>
          <w:spacing w:val="-5"/>
        </w:rPr>
        <w:t xml:space="preserve"> </w:t>
      </w:r>
      <w:r>
        <w:t>that</w:t>
      </w:r>
      <w:r>
        <w:rPr>
          <w:spacing w:val="-6"/>
        </w:rPr>
        <w:t xml:space="preserve"> </w:t>
      </w:r>
      <w:r>
        <w:t>it</w:t>
      </w:r>
      <w:r>
        <w:rPr>
          <w:spacing w:val="-6"/>
        </w:rPr>
        <w:t xml:space="preserve"> </w:t>
      </w:r>
      <w:r>
        <w:t>"decided in the Preliminary</w:t>
      </w:r>
      <w:r>
        <w:rPr>
          <w:spacing w:val="-2"/>
        </w:rPr>
        <w:t xml:space="preserve"> </w:t>
      </w:r>
      <w:r>
        <w:t>Ruling to conduct a review</w:t>
      </w:r>
      <w:r>
        <w:rPr>
          <w:spacing w:val="-2"/>
        </w:rPr>
        <w:t xml:space="preserve"> </w:t>
      </w:r>
      <w:r>
        <w:t>and evaluation</w:t>
      </w:r>
      <w:r>
        <w:rPr>
          <w:spacing w:val="-1"/>
        </w:rPr>
        <w:t xml:space="preserve"> </w:t>
      </w:r>
      <w:r>
        <w:t>on the basis of the facts</w:t>
      </w:r>
      <w:r>
        <w:rPr>
          <w:spacing w:val="-1"/>
        </w:rPr>
        <w:t xml:space="preserve"> </w:t>
      </w:r>
      <w:r>
        <w:t xml:space="preserve">already </w:t>
      </w:r>
      <w:r>
        <w:rPr>
          <w:w w:val="95"/>
        </w:rPr>
        <w:t>obtained</w:t>
      </w:r>
      <w:r>
        <w:rPr>
          <w:spacing w:val="13"/>
        </w:rPr>
        <w:t xml:space="preserve"> </w:t>
      </w:r>
      <w:r>
        <w:rPr>
          <w:w w:val="95"/>
        </w:rPr>
        <w:t>and</w:t>
      </w:r>
      <w:r>
        <w:rPr>
          <w:spacing w:val="14"/>
        </w:rPr>
        <w:t xml:space="preserve"> </w:t>
      </w:r>
      <w:r>
        <w:rPr>
          <w:w w:val="95"/>
        </w:rPr>
        <w:t>the</w:t>
      </w:r>
      <w:r>
        <w:rPr>
          <w:spacing w:val="14"/>
        </w:rPr>
        <w:t xml:space="preserve"> </w:t>
      </w:r>
      <w:r>
        <w:rPr>
          <w:w w:val="95"/>
        </w:rPr>
        <w:t>best</w:t>
      </w:r>
      <w:r>
        <w:rPr>
          <w:spacing w:val="13"/>
        </w:rPr>
        <w:t xml:space="preserve"> </w:t>
      </w:r>
      <w:r>
        <w:rPr>
          <w:w w:val="95"/>
        </w:rPr>
        <w:t>information</w:t>
      </w:r>
      <w:r>
        <w:rPr>
          <w:spacing w:val="16"/>
        </w:rPr>
        <w:t xml:space="preserve"> </w:t>
      </w:r>
      <w:r>
        <w:rPr>
          <w:w w:val="95"/>
        </w:rPr>
        <w:t>available"</w:t>
      </w:r>
      <w:r>
        <w:rPr>
          <w:spacing w:val="12"/>
        </w:rPr>
        <w:t xml:space="preserve"> </w:t>
      </w:r>
      <w:r>
        <w:rPr>
          <w:w w:val="95"/>
        </w:rPr>
        <w:t>for</w:t>
      </w:r>
      <w:r>
        <w:rPr>
          <w:spacing w:val="12"/>
        </w:rPr>
        <w:t xml:space="preserve"> </w:t>
      </w:r>
      <w:r>
        <w:rPr>
          <w:w w:val="95"/>
        </w:rPr>
        <w:t>the</w:t>
      </w:r>
      <w:r>
        <w:rPr>
          <w:spacing w:val="14"/>
        </w:rPr>
        <w:t xml:space="preserve"> </w:t>
      </w:r>
      <w:r>
        <w:rPr>
          <w:w w:val="95"/>
        </w:rPr>
        <w:t>purposes</w:t>
      </w:r>
      <w:r>
        <w:rPr>
          <w:spacing w:val="14"/>
        </w:rPr>
        <w:t xml:space="preserve"> </w:t>
      </w:r>
      <w:r>
        <w:rPr>
          <w:w w:val="95"/>
        </w:rPr>
        <w:t>of</w:t>
      </w:r>
      <w:r>
        <w:rPr>
          <w:spacing w:val="13"/>
        </w:rPr>
        <w:t xml:space="preserve"> </w:t>
      </w:r>
      <w:r>
        <w:rPr>
          <w:w w:val="95"/>
        </w:rPr>
        <w:t>determining</w:t>
      </w:r>
      <w:r>
        <w:rPr>
          <w:spacing w:val="16"/>
        </w:rPr>
        <w:t xml:space="preserve"> </w:t>
      </w:r>
      <w:r>
        <w:rPr>
          <w:w w:val="95"/>
        </w:rPr>
        <w:t>normal</w:t>
      </w:r>
      <w:r>
        <w:rPr>
          <w:spacing w:val="12"/>
        </w:rPr>
        <w:t xml:space="preserve"> </w:t>
      </w:r>
      <w:r>
        <w:rPr>
          <w:spacing w:val="-2"/>
          <w:w w:val="95"/>
        </w:rPr>
        <w:t>value.</w:t>
      </w:r>
      <w:r>
        <w:rPr>
          <w:spacing w:val="-2"/>
          <w:w w:val="95"/>
          <w:vertAlign w:val="superscript"/>
        </w:rPr>
        <w:t>155</w:t>
      </w:r>
    </w:p>
    <w:p w14:paraId="51DE8030" w14:textId="77777777" w:rsidR="0010369C" w:rsidRDefault="0010369C">
      <w:pPr>
        <w:pStyle w:val="BodyText"/>
        <w:spacing w:before="10"/>
        <w:rPr>
          <w:sz w:val="8"/>
        </w:rPr>
      </w:pPr>
    </w:p>
    <w:p w14:paraId="51DE8031" w14:textId="77777777" w:rsidR="0010369C" w:rsidRDefault="008E43AE">
      <w:pPr>
        <w:spacing w:before="52" w:line="360" w:lineRule="auto"/>
        <w:ind w:left="237" w:firstLine="851"/>
        <w:rPr>
          <w:sz w:val="24"/>
        </w:rPr>
      </w:pPr>
      <w:r>
        <w:rPr>
          <w:noProof/>
        </w:rPr>
        <w:drawing>
          <wp:anchor distT="0" distB="0" distL="0" distR="0" simplePos="0" relativeHeight="250837504" behindDoc="1" locked="0" layoutInCell="1" allowOverlap="1" wp14:anchorId="51DE9EC0" wp14:editId="51DE9EC1">
            <wp:simplePos x="0" y="0"/>
            <wp:positionH relativeFrom="page">
              <wp:posOffset>908303</wp:posOffset>
            </wp:positionH>
            <wp:positionV relativeFrom="paragraph">
              <wp:posOffset>77547</wp:posOffset>
            </wp:positionV>
            <wp:extent cx="256031" cy="106679"/>
            <wp:effectExtent l="0" t="0" r="0" b="0"/>
            <wp:wrapNone/>
            <wp:docPr id="303" name="image1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image160.png"/>
                    <pic:cNvPicPr/>
                  </pic:nvPicPr>
                  <pic:blipFill>
                    <a:blip r:embed="rId254" cstate="print"/>
                    <a:stretch>
                      <a:fillRect/>
                    </a:stretch>
                  </pic:blipFill>
                  <pic:spPr>
                    <a:xfrm>
                      <a:off x="0" y="0"/>
                      <a:ext cx="256031" cy="106679"/>
                    </a:xfrm>
                    <a:prstGeom prst="rect">
                      <a:avLst/>
                    </a:prstGeom>
                  </pic:spPr>
                </pic:pic>
              </a:graphicData>
            </a:graphic>
          </wp:anchor>
        </w:drawing>
      </w:r>
      <w:r>
        <w:rPr>
          <w:sz w:val="24"/>
        </w:rPr>
        <w:t>In</w:t>
      </w:r>
      <w:r>
        <w:rPr>
          <w:spacing w:val="72"/>
          <w:sz w:val="24"/>
        </w:rPr>
        <w:t xml:space="preserve"> </w:t>
      </w:r>
      <w:r>
        <w:rPr>
          <w:i/>
          <w:sz w:val="24"/>
        </w:rPr>
        <w:t>US</w:t>
      </w:r>
      <w:r>
        <w:rPr>
          <w:i/>
          <w:spacing w:val="72"/>
          <w:sz w:val="24"/>
        </w:rPr>
        <w:t xml:space="preserve"> </w:t>
      </w:r>
      <w:r>
        <w:rPr>
          <w:i/>
          <w:sz w:val="24"/>
        </w:rPr>
        <w:t>–</w:t>
      </w:r>
      <w:r>
        <w:rPr>
          <w:i/>
          <w:spacing w:val="73"/>
          <w:sz w:val="24"/>
        </w:rPr>
        <w:t xml:space="preserve"> </w:t>
      </w:r>
      <w:r>
        <w:rPr>
          <w:i/>
          <w:sz w:val="24"/>
        </w:rPr>
        <w:t>Anti‐Dumping</w:t>
      </w:r>
      <w:r>
        <w:rPr>
          <w:i/>
          <w:spacing w:val="73"/>
          <w:sz w:val="24"/>
        </w:rPr>
        <w:t xml:space="preserve"> </w:t>
      </w:r>
      <w:r>
        <w:rPr>
          <w:i/>
          <w:sz w:val="24"/>
        </w:rPr>
        <w:t>and</w:t>
      </w:r>
      <w:r>
        <w:rPr>
          <w:i/>
          <w:spacing w:val="73"/>
          <w:sz w:val="24"/>
        </w:rPr>
        <w:t xml:space="preserve"> </w:t>
      </w:r>
      <w:r>
        <w:rPr>
          <w:i/>
          <w:sz w:val="24"/>
        </w:rPr>
        <w:t>Countervailing</w:t>
      </w:r>
      <w:r>
        <w:rPr>
          <w:i/>
          <w:spacing w:val="74"/>
          <w:sz w:val="24"/>
        </w:rPr>
        <w:t xml:space="preserve"> </w:t>
      </w:r>
      <w:r>
        <w:rPr>
          <w:i/>
          <w:sz w:val="24"/>
        </w:rPr>
        <w:t>Duties</w:t>
      </w:r>
      <w:r>
        <w:rPr>
          <w:i/>
          <w:spacing w:val="72"/>
          <w:sz w:val="24"/>
        </w:rPr>
        <w:t xml:space="preserve"> </w:t>
      </w:r>
      <w:r>
        <w:rPr>
          <w:i/>
          <w:sz w:val="24"/>
        </w:rPr>
        <w:t>(Korea),</w:t>
      </w:r>
      <w:r>
        <w:rPr>
          <w:i/>
          <w:spacing w:val="71"/>
          <w:sz w:val="24"/>
        </w:rPr>
        <w:t xml:space="preserve"> </w:t>
      </w:r>
      <w:r>
        <w:rPr>
          <w:sz w:val="24"/>
        </w:rPr>
        <w:t>the</w:t>
      </w:r>
      <w:r>
        <w:rPr>
          <w:spacing w:val="73"/>
          <w:sz w:val="24"/>
        </w:rPr>
        <w:t xml:space="preserve"> </w:t>
      </w:r>
      <w:r>
        <w:rPr>
          <w:sz w:val="24"/>
        </w:rPr>
        <w:t>Panel</w:t>
      </w:r>
      <w:r>
        <w:rPr>
          <w:spacing w:val="71"/>
          <w:sz w:val="24"/>
        </w:rPr>
        <w:t xml:space="preserve"> </w:t>
      </w:r>
      <w:r>
        <w:rPr>
          <w:sz w:val="24"/>
        </w:rPr>
        <w:t>held</w:t>
      </w:r>
      <w:r>
        <w:rPr>
          <w:spacing w:val="73"/>
          <w:sz w:val="24"/>
        </w:rPr>
        <w:t xml:space="preserve"> </w:t>
      </w:r>
      <w:r>
        <w:rPr>
          <w:sz w:val="24"/>
        </w:rPr>
        <w:t>that paragraph</w:t>
      </w:r>
      <w:r>
        <w:rPr>
          <w:spacing w:val="-6"/>
          <w:sz w:val="24"/>
        </w:rPr>
        <w:t xml:space="preserve"> </w:t>
      </w:r>
      <w:r>
        <w:rPr>
          <w:sz w:val="24"/>
        </w:rPr>
        <w:t>6</w:t>
      </w:r>
      <w:r>
        <w:rPr>
          <w:spacing w:val="-6"/>
          <w:sz w:val="24"/>
        </w:rPr>
        <w:t xml:space="preserve"> </w:t>
      </w:r>
      <w:r>
        <w:rPr>
          <w:sz w:val="24"/>
        </w:rPr>
        <w:t>of</w:t>
      </w:r>
      <w:r>
        <w:rPr>
          <w:spacing w:val="-5"/>
          <w:sz w:val="24"/>
        </w:rPr>
        <w:t xml:space="preserve"> </w:t>
      </w:r>
      <w:r>
        <w:rPr>
          <w:sz w:val="24"/>
        </w:rPr>
        <w:t>Annex</w:t>
      </w:r>
      <w:r>
        <w:rPr>
          <w:spacing w:val="-5"/>
          <w:sz w:val="24"/>
        </w:rPr>
        <w:t xml:space="preserve"> </w:t>
      </w:r>
      <w:r>
        <w:rPr>
          <w:sz w:val="24"/>
        </w:rPr>
        <w:t>II</w:t>
      </w:r>
      <w:r>
        <w:rPr>
          <w:spacing w:val="-7"/>
          <w:sz w:val="24"/>
        </w:rPr>
        <w:t xml:space="preserve"> </w:t>
      </w:r>
      <w:r>
        <w:rPr>
          <w:sz w:val="24"/>
        </w:rPr>
        <w:t>requires</w:t>
      </w:r>
      <w:r>
        <w:rPr>
          <w:spacing w:val="-6"/>
          <w:sz w:val="24"/>
        </w:rPr>
        <w:t xml:space="preserve"> </w:t>
      </w:r>
      <w:r>
        <w:rPr>
          <w:sz w:val="24"/>
        </w:rPr>
        <w:t>an</w:t>
      </w:r>
      <w:r>
        <w:rPr>
          <w:spacing w:val="-7"/>
          <w:sz w:val="24"/>
        </w:rPr>
        <w:t xml:space="preserve"> </w:t>
      </w:r>
      <w:r>
        <w:rPr>
          <w:sz w:val="24"/>
        </w:rPr>
        <w:t>investigating</w:t>
      </w:r>
      <w:r>
        <w:rPr>
          <w:spacing w:val="-4"/>
          <w:sz w:val="24"/>
        </w:rPr>
        <w:t xml:space="preserve"> </w:t>
      </w:r>
      <w:r>
        <w:rPr>
          <w:sz w:val="24"/>
        </w:rPr>
        <w:t>authority</w:t>
      </w:r>
      <w:r>
        <w:rPr>
          <w:spacing w:val="-5"/>
          <w:sz w:val="24"/>
        </w:rPr>
        <w:t xml:space="preserve"> </w:t>
      </w:r>
      <w:r>
        <w:rPr>
          <w:sz w:val="24"/>
        </w:rPr>
        <w:t>to</w:t>
      </w:r>
      <w:r>
        <w:rPr>
          <w:spacing w:val="-6"/>
          <w:sz w:val="24"/>
        </w:rPr>
        <w:t xml:space="preserve"> </w:t>
      </w:r>
      <w:r>
        <w:rPr>
          <w:sz w:val="24"/>
        </w:rPr>
        <w:t>inform</w:t>
      </w:r>
      <w:r>
        <w:rPr>
          <w:spacing w:val="-6"/>
          <w:sz w:val="24"/>
        </w:rPr>
        <w:t xml:space="preserve"> </w:t>
      </w:r>
      <w:r>
        <w:rPr>
          <w:sz w:val="24"/>
        </w:rPr>
        <w:t>an</w:t>
      </w:r>
      <w:r>
        <w:rPr>
          <w:spacing w:val="-6"/>
          <w:sz w:val="24"/>
        </w:rPr>
        <w:t xml:space="preserve"> </w:t>
      </w:r>
      <w:r>
        <w:rPr>
          <w:sz w:val="24"/>
        </w:rPr>
        <w:t>interested</w:t>
      </w:r>
      <w:r>
        <w:rPr>
          <w:spacing w:val="-5"/>
          <w:sz w:val="24"/>
        </w:rPr>
        <w:t xml:space="preserve"> </w:t>
      </w:r>
      <w:r>
        <w:rPr>
          <w:sz w:val="24"/>
        </w:rPr>
        <w:t>party</w:t>
      </w:r>
      <w:r>
        <w:rPr>
          <w:spacing w:val="-5"/>
          <w:sz w:val="24"/>
        </w:rPr>
        <w:t xml:space="preserve"> why</w:t>
      </w:r>
    </w:p>
    <w:p w14:paraId="51DE8032" w14:textId="77777777" w:rsidR="0010369C" w:rsidRDefault="008E43AE">
      <w:pPr>
        <w:pStyle w:val="BodyText"/>
        <w:spacing w:before="5"/>
        <w:rPr>
          <w:sz w:val="20"/>
        </w:rPr>
      </w:pPr>
      <w:r>
        <w:pict w14:anchorId="51DE9EC2">
          <v:rect id="docshape229" o:spid="_x0000_s2023" style="position:absolute;margin-left:70.9pt;margin-top:13.7pt;width:2in;height:.8pt;z-index:-251168256;mso-wrap-distance-left:0;mso-wrap-distance-right:0;mso-position-horizontal-relative:page" fillcolor="black" stroked="f">
            <w10:wrap type="topAndBottom" anchorx="page"/>
          </v:rect>
        </w:pict>
      </w:r>
    </w:p>
    <w:p w14:paraId="51DE8033" w14:textId="77777777" w:rsidR="0010369C" w:rsidRDefault="008E43AE">
      <w:pPr>
        <w:spacing w:before="109"/>
        <w:ind w:left="237" w:right="612"/>
        <w:jc w:val="both"/>
        <w:rPr>
          <w:sz w:val="18"/>
        </w:rPr>
      </w:pPr>
      <w:r>
        <w:rPr>
          <w:sz w:val="18"/>
          <w:vertAlign w:val="superscript"/>
        </w:rPr>
        <w:t>153</w:t>
      </w:r>
      <w:r>
        <w:rPr>
          <w:sz w:val="18"/>
        </w:rPr>
        <w:t xml:space="preserve"> See above, section I.C above which outlines the standard of review required of an investigating authority to evaluate information submitted by interested parties in an "unbiased and objective manner"; see Panel Report, </w:t>
      </w:r>
      <w:r>
        <w:rPr>
          <w:i/>
          <w:sz w:val="18"/>
        </w:rPr>
        <w:t>Mexico – Steel Pipes and Tubes</w:t>
      </w:r>
      <w:r>
        <w:rPr>
          <w:sz w:val="18"/>
        </w:rPr>
        <w:t>, para</w:t>
      </w:r>
      <w:r>
        <w:rPr>
          <w:sz w:val="18"/>
        </w:rPr>
        <w:t>. 7.5.</w:t>
      </w:r>
    </w:p>
    <w:p w14:paraId="51DE8034" w14:textId="77777777" w:rsidR="0010369C" w:rsidRDefault="008E43AE">
      <w:pPr>
        <w:spacing w:before="1"/>
        <w:ind w:left="238"/>
        <w:jc w:val="both"/>
        <w:rPr>
          <w:sz w:val="18"/>
        </w:rPr>
      </w:pPr>
      <w:r>
        <w:rPr>
          <w:sz w:val="18"/>
          <w:vertAlign w:val="superscript"/>
        </w:rPr>
        <w:t>154</w:t>
      </w:r>
      <w:r>
        <w:rPr>
          <w:spacing w:val="-5"/>
          <w:sz w:val="18"/>
        </w:rPr>
        <w:t xml:space="preserve"> </w:t>
      </w:r>
      <w:r>
        <w:rPr>
          <w:sz w:val="18"/>
        </w:rPr>
        <w:t>Panel</w:t>
      </w:r>
      <w:r>
        <w:rPr>
          <w:spacing w:val="-5"/>
          <w:sz w:val="18"/>
        </w:rPr>
        <w:t xml:space="preserve"> </w:t>
      </w:r>
      <w:r>
        <w:rPr>
          <w:sz w:val="18"/>
        </w:rPr>
        <w:t>Reports,</w:t>
      </w:r>
      <w:r>
        <w:rPr>
          <w:spacing w:val="-5"/>
          <w:sz w:val="18"/>
        </w:rPr>
        <w:t xml:space="preserve"> </w:t>
      </w:r>
      <w:r>
        <w:rPr>
          <w:i/>
          <w:sz w:val="18"/>
        </w:rPr>
        <w:t>US</w:t>
      </w:r>
      <w:r>
        <w:rPr>
          <w:i/>
          <w:spacing w:val="-4"/>
          <w:sz w:val="18"/>
        </w:rPr>
        <w:t xml:space="preserve"> </w:t>
      </w:r>
      <w:r>
        <w:rPr>
          <w:i/>
          <w:sz w:val="18"/>
        </w:rPr>
        <w:t>–</w:t>
      </w:r>
      <w:r>
        <w:rPr>
          <w:i/>
          <w:spacing w:val="-5"/>
          <w:sz w:val="18"/>
        </w:rPr>
        <w:t xml:space="preserve"> </w:t>
      </w:r>
      <w:r>
        <w:rPr>
          <w:i/>
          <w:sz w:val="18"/>
        </w:rPr>
        <w:t>Steel</w:t>
      </w:r>
      <w:r>
        <w:rPr>
          <w:i/>
          <w:spacing w:val="-5"/>
          <w:sz w:val="18"/>
        </w:rPr>
        <w:t xml:space="preserve"> </w:t>
      </w:r>
      <w:r>
        <w:rPr>
          <w:i/>
          <w:sz w:val="18"/>
        </w:rPr>
        <w:t>Plate</w:t>
      </w:r>
      <w:r>
        <w:rPr>
          <w:sz w:val="18"/>
        </w:rPr>
        <w:t>,</w:t>
      </w:r>
      <w:r>
        <w:rPr>
          <w:spacing w:val="-6"/>
          <w:sz w:val="18"/>
        </w:rPr>
        <w:t xml:space="preserve"> </w:t>
      </w:r>
      <w:r>
        <w:rPr>
          <w:sz w:val="18"/>
        </w:rPr>
        <w:t>para.</w:t>
      </w:r>
      <w:r>
        <w:rPr>
          <w:spacing w:val="-5"/>
          <w:sz w:val="18"/>
        </w:rPr>
        <w:t xml:space="preserve"> </w:t>
      </w:r>
      <w:r>
        <w:rPr>
          <w:sz w:val="18"/>
        </w:rPr>
        <w:t>7.57;</w:t>
      </w:r>
      <w:r>
        <w:rPr>
          <w:spacing w:val="-5"/>
          <w:sz w:val="18"/>
        </w:rPr>
        <w:t xml:space="preserve"> </w:t>
      </w:r>
      <w:r>
        <w:rPr>
          <w:i/>
          <w:sz w:val="18"/>
        </w:rPr>
        <w:t>China</w:t>
      </w:r>
      <w:r>
        <w:rPr>
          <w:i/>
          <w:spacing w:val="-5"/>
          <w:sz w:val="18"/>
        </w:rPr>
        <w:t xml:space="preserve"> </w:t>
      </w:r>
      <w:r>
        <w:rPr>
          <w:i/>
          <w:sz w:val="18"/>
        </w:rPr>
        <w:t>–</w:t>
      </w:r>
      <w:r>
        <w:rPr>
          <w:i/>
          <w:spacing w:val="-4"/>
          <w:sz w:val="18"/>
        </w:rPr>
        <w:t xml:space="preserve"> </w:t>
      </w:r>
      <w:r>
        <w:rPr>
          <w:i/>
          <w:sz w:val="18"/>
        </w:rPr>
        <w:t>Broiler</w:t>
      </w:r>
      <w:r>
        <w:rPr>
          <w:i/>
          <w:spacing w:val="-6"/>
          <w:sz w:val="18"/>
        </w:rPr>
        <w:t xml:space="preserve"> </w:t>
      </w:r>
      <w:r>
        <w:rPr>
          <w:i/>
          <w:sz w:val="18"/>
        </w:rPr>
        <w:t>Products</w:t>
      </w:r>
      <w:r>
        <w:rPr>
          <w:i/>
          <w:spacing w:val="-5"/>
          <w:sz w:val="18"/>
        </w:rPr>
        <w:t xml:space="preserve"> </w:t>
      </w:r>
      <w:r>
        <w:rPr>
          <w:i/>
          <w:sz w:val="18"/>
        </w:rPr>
        <w:t>(Article</w:t>
      </w:r>
      <w:r>
        <w:rPr>
          <w:i/>
          <w:spacing w:val="-5"/>
          <w:sz w:val="18"/>
        </w:rPr>
        <w:t xml:space="preserve"> </w:t>
      </w:r>
      <w:r>
        <w:rPr>
          <w:i/>
          <w:sz w:val="18"/>
        </w:rPr>
        <w:t>21.5</w:t>
      </w:r>
      <w:r>
        <w:rPr>
          <w:i/>
          <w:spacing w:val="-4"/>
          <w:sz w:val="18"/>
        </w:rPr>
        <w:t xml:space="preserve"> </w:t>
      </w:r>
      <w:r>
        <w:rPr>
          <w:i/>
          <w:sz w:val="18"/>
        </w:rPr>
        <w:t>‐</w:t>
      </w:r>
      <w:r>
        <w:rPr>
          <w:i/>
          <w:spacing w:val="-4"/>
          <w:sz w:val="18"/>
        </w:rPr>
        <w:t xml:space="preserve"> </w:t>
      </w:r>
      <w:r>
        <w:rPr>
          <w:i/>
          <w:sz w:val="18"/>
        </w:rPr>
        <w:t>US)</w:t>
      </w:r>
      <w:r>
        <w:rPr>
          <w:sz w:val="18"/>
        </w:rPr>
        <w:t>,</w:t>
      </w:r>
      <w:r>
        <w:rPr>
          <w:spacing w:val="-6"/>
          <w:sz w:val="18"/>
        </w:rPr>
        <w:t xml:space="preserve"> </w:t>
      </w:r>
      <w:r>
        <w:rPr>
          <w:sz w:val="18"/>
        </w:rPr>
        <w:t>para.</w:t>
      </w:r>
      <w:r>
        <w:rPr>
          <w:spacing w:val="-4"/>
          <w:sz w:val="18"/>
        </w:rPr>
        <w:t xml:space="preserve"> </w:t>
      </w:r>
      <w:r>
        <w:rPr>
          <w:sz w:val="18"/>
        </w:rPr>
        <w:t>7.</w:t>
      </w:r>
      <w:r>
        <w:rPr>
          <w:spacing w:val="-5"/>
          <w:sz w:val="18"/>
        </w:rPr>
        <w:t xml:space="preserve"> </w:t>
      </w:r>
      <w:r>
        <w:rPr>
          <w:spacing w:val="-4"/>
          <w:sz w:val="18"/>
        </w:rPr>
        <w:t>343.</w:t>
      </w:r>
    </w:p>
    <w:p w14:paraId="51DE8035" w14:textId="77777777" w:rsidR="0010369C" w:rsidRDefault="008E43AE">
      <w:pPr>
        <w:ind w:left="238"/>
        <w:jc w:val="both"/>
        <w:rPr>
          <w:sz w:val="18"/>
        </w:rPr>
      </w:pPr>
      <w:r>
        <w:rPr>
          <w:sz w:val="18"/>
          <w:vertAlign w:val="superscript"/>
        </w:rPr>
        <w:t>155</w:t>
      </w:r>
      <w:r>
        <w:rPr>
          <w:spacing w:val="-8"/>
          <w:sz w:val="18"/>
        </w:rPr>
        <w:t xml:space="preserve"> </w:t>
      </w:r>
      <w:r>
        <w:rPr>
          <w:sz w:val="18"/>
        </w:rPr>
        <w:t>Anti‐Dumping</w:t>
      </w:r>
      <w:r>
        <w:rPr>
          <w:spacing w:val="-8"/>
          <w:sz w:val="18"/>
        </w:rPr>
        <w:t xml:space="preserve"> </w:t>
      </w:r>
      <w:r>
        <w:rPr>
          <w:sz w:val="18"/>
        </w:rPr>
        <w:t>Final</w:t>
      </w:r>
      <w:r>
        <w:rPr>
          <w:spacing w:val="-8"/>
          <w:sz w:val="18"/>
        </w:rPr>
        <w:t xml:space="preserve"> </w:t>
      </w:r>
      <w:r>
        <w:rPr>
          <w:sz w:val="18"/>
        </w:rPr>
        <w:t>Disclosure</w:t>
      </w:r>
      <w:r>
        <w:rPr>
          <w:spacing w:val="-8"/>
          <w:sz w:val="18"/>
        </w:rPr>
        <w:t xml:space="preserve"> </w:t>
      </w:r>
      <w:r>
        <w:rPr>
          <w:sz w:val="18"/>
        </w:rPr>
        <w:t>(Exhibit</w:t>
      </w:r>
      <w:r>
        <w:rPr>
          <w:spacing w:val="-8"/>
          <w:sz w:val="18"/>
        </w:rPr>
        <w:t xml:space="preserve"> </w:t>
      </w:r>
      <w:r>
        <w:rPr>
          <w:sz w:val="18"/>
        </w:rPr>
        <w:t>AUS‐16),</w:t>
      </w:r>
      <w:r>
        <w:rPr>
          <w:spacing w:val="-9"/>
          <w:sz w:val="18"/>
        </w:rPr>
        <w:t xml:space="preserve"> </w:t>
      </w:r>
      <w:r>
        <w:rPr>
          <w:sz w:val="18"/>
        </w:rPr>
        <w:t>pp.</w:t>
      </w:r>
      <w:r>
        <w:rPr>
          <w:spacing w:val="-8"/>
          <w:sz w:val="18"/>
        </w:rPr>
        <w:t xml:space="preserve"> </w:t>
      </w:r>
      <w:r>
        <w:rPr>
          <w:spacing w:val="-2"/>
          <w:sz w:val="18"/>
        </w:rPr>
        <w:t>29‐30.</w:t>
      </w:r>
    </w:p>
    <w:p w14:paraId="51DE8036" w14:textId="77777777" w:rsidR="0010369C" w:rsidRDefault="0010369C">
      <w:pPr>
        <w:jc w:val="both"/>
        <w:rPr>
          <w:sz w:val="18"/>
        </w:rPr>
        <w:sectPr w:rsidR="0010369C">
          <w:pgSz w:w="11910" w:h="16840"/>
          <w:pgMar w:top="880" w:right="800" w:bottom="980" w:left="1180" w:header="569" w:footer="788" w:gutter="0"/>
          <w:cols w:space="720"/>
        </w:sectPr>
      </w:pPr>
    </w:p>
    <w:p w14:paraId="51DE8037" w14:textId="77777777" w:rsidR="0010369C" w:rsidRDefault="008E43AE">
      <w:pPr>
        <w:tabs>
          <w:tab w:val="left" w:pos="6426"/>
        </w:tabs>
        <w:ind w:left="238"/>
        <w:jc w:val="both"/>
        <w:rPr>
          <w:sz w:val="20"/>
        </w:rPr>
      </w:pPr>
      <w:r>
        <w:rPr>
          <w:i/>
          <w:sz w:val="20"/>
        </w:rPr>
        <w:lastRenderedPageBreak/>
        <w:t>China</w:t>
      </w:r>
      <w:r>
        <w:rPr>
          <w:i/>
          <w:spacing w:val="-5"/>
          <w:sz w:val="20"/>
        </w:rPr>
        <w:t xml:space="preserve"> </w:t>
      </w:r>
      <w:r>
        <w:rPr>
          <w:i/>
          <w:sz w:val="20"/>
        </w:rPr>
        <w:t>–</w:t>
      </w:r>
      <w:r>
        <w:rPr>
          <w:i/>
          <w:spacing w:val="-5"/>
          <w:sz w:val="20"/>
        </w:rPr>
        <w:t xml:space="preserve"> </w:t>
      </w:r>
      <w:r>
        <w:rPr>
          <w:i/>
          <w:sz w:val="20"/>
        </w:rPr>
        <w:t>Anti‐Dumping</w:t>
      </w:r>
      <w:r>
        <w:rPr>
          <w:i/>
          <w:spacing w:val="-4"/>
          <w:sz w:val="20"/>
        </w:rPr>
        <w:t xml:space="preserve"> </w:t>
      </w:r>
      <w:r>
        <w:rPr>
          <w:i/>
          <w:sz w:val="20"/>
        </w:rPr>
        <w:t>and</w:t>
      </w:r>
      <w:r>
        <w:rPr>
          <w:i/>
          <w:spacing w:val="-5"/>
          <w:sz w:val="20"/>
        </w:rPr>
        <w:t xml:space="preserve"> </w:t>
      </w:r>
      <w:r>
        <w:rPr>
          <w:i/>
          <w:sz w:val="20"/>
        </w:rPr>
        <w:t>Countervailing</w:t>
      </w:r>
      <w:r>
        <w:rPr>
          <w:i/>
          <w:spacing w:val="-5"/>
          <w:sz w:val="20"/>
        </w:rPr>
        <w:t xml:space="preserve"> </w:t>
      </w:r>
      <w:r>
        <w:rPr>
          <w:i/>
          <w:sz w:val="20"/>
        </w:rPr>
        <w:t>Duty</w:t>
      </w:r>
      <w:r>
        <w:rPr>
          <w:i/>
          <w:spacing w:val="-4"/>
          <w:sz w:val="20"/>
        </w:rPr>
        <w:t xml:space="preserve"> </w:t>
      </w:r>
      <w:r>
        <w:rPr>
          <w:i/>
          <w:spacing w:val="-2"/>
          <w:sz w:val="20"/>
        </w:rPr>
        <w:t>Measures</w:t>
      </w:r>
      <w:r>
        <w:rPr>
          <w:i/>
          <w:sz w:val="20"/>
        </w:rPr>
        <w:tab/>
      </w:r>
      <w:r>
        <w:rPr>
          <w:sz w:val="20"/>
        </w:rPr>
        <w:t>Australia's</w:t>
      </w:r>
      <w:r>
        <w:rPr>
          <w:spacing w:val="-7"/>
          <w:sz w:val="20"/>
        </w:rPr>
        <w:t xml:space="preserve"> </w:t>
      </w:r>
      <w:r>
        <w:rPr>
          <w:sz w:val="20"/>
        </w:rPr>
        <w:t>First</w:t>
      </w:r>
      <w:r>
        <w:rPr>
          <w:spacing w:val="-2"/>
          <w:sz w:val="20"/>
        </w:rPr>
        <w:t xml:space="preserve"> </w:t>
      </w:r>
      <w:r>
        <w:rPr>
          <w:sz w:val="20"/>
        </w:rPr>
        <w:t>Written</w:t>
      </w:r>
      <w:r>
        <w:rPr>
          <w:spacing w:val="-2"/>
          <w:sz w:val="20"/>
        </w:rPr>
        <w:t xml:space="preserve"> Submission</w:t>
      </w:r>
    </w:p>
    <w:p w14:paraId="51DE8038" w14:textId="77777777" w:rsidR="0010369C" w:rsidRDefault="008E43AE">
      <w:pPr>
        <w:tabs>
          <w:tab w:val="left" w:pos="8228"/>
        </w:tabs>
        <w:spacing w:before="1"/>
        <w:ind w:left="239"/>
        <w:jc w:val="both"/>
        <w:rPr>
          <w:sz w:val="20"/>
        </w:rPr>
      </w:pPr>
      <w:r>
        <w:rPr>
          <w:i/>
          <w:sz w:val="20"/>
        </w:rPr>
        <w:t>on</w:t>
      </w:r>
      <w:r>
        <w:rPr>
          <w:i/>
          <w:spacing w:val="-1"/>
          <w:sz w:val="20"/>
        </w:rPr>
        <w:t xml:space="preserve"> </w:t>
      </w:r>
      <w:r>
        <w:rPr>
          <w:i/>
          <w:sz w:val="20"/>
        </w:rPr>
        <w:t>Wine</w:t>
      </w:r>
      <w:r>
        <w:rPr>
          <w:i/>
          <w:spacing w:val="-1"/>
          <w:sz w:val="20"/>
        </w:rPr>
        <w:t xml:space="preserve"> </w:t>
      </w:r>
      <w:r>
        <w:rPr>
          <w:i/>
          <w:sz w:val="20"/>
        </w:rPr>
        <w:t>from</w:t>
      </w:r>
      <w:r>
        <w:rPr>
          <w:i/>
          <w:spacing w:val="-3"/>
          <w:sz w:val="20"/>
        </w:rPr>
        <w:t xml:space="preserve"> </w:t>
      </w:r>
      <w:r>
        <w:rPr>
          <w:i/>
          <w:sz w:val="20"/>
        </w:rPr>
        <w:t>Australia</w:t>
      </w:r>
      <w:r>
        <w:rPr>
          <w:i/>
          <w:spacing w:val="-1"/>
          <w:sz w:val="20"/>
        </w:rPr>
        <w:t xml:space="preserve"> </w:t>
      </w:r>
      <w:r>
        <w:rPr>
          <w:spacing w:val="-2"/>
          <w:sz w:val="20"/>
        </w:rPr>
        <w:t>(DS602)</w:t>
      </w:r>
      <w:r>
        <w:rPr>
          <w:sz w:val="20"/>
        </w:rPr>
        <w:tab/>
        <w:t>29</w:t>
      </w:r>
      <w:r>
        <w:rPr>
          <w:spacing w:val="-1"/>
          <w:sz w:val="20"/>
        </w:rPr>
        <w:t xml:space="preserve"> </w:t>
      </w:r>
      <w:r>
        <w:rPr>
          <w:sz w:val="20"/>
        </w:rPr>
        <w:t>April</w:t>
      </w:r>
      <w:r>
        <w:rPr>
          <w:spacing w:val="-2"/>
          <w:sz w:val="20"/>
        </w:rPr>
        <w:t xml:space="preserve"> </w:t>
      </w:r>
      <w:r>
        <w:rPr>
          <w:spacing w:val="-4"/>
          <w:sz w:val="20"/>
        </w:rPr>
        <w:t>2022</w:t>
      </w:r>
    </w:p>
    <w:p w14:paraId="51DE8039" w14:textId="77777777" w:rsidR="0010369C" w:rsidRDefault="008E43AE">
      <w:pPr>
        <w:pStyle w:val="BodyText"/>
        <w:spacing w:before="34" w:line="360" w:lineRule="auto"/>
        <w:ind w:left="235" w:right="613" w:firstLine="2"/>
        <w:jc w:val="both"/>
      </w:pPr>
      <w:r>
        <w:t>its submitted information, including supplementary information, had not been accepted, thereby providing an interested party with an opportunity to provide further explanations within</w:t>
      </w:r>
      <w:r>
        <w:rPr>
          <w:spacing w:val="-5"/>
        </w:rPr>
        <w:t xml:space="preserve"> </w:t>
      </w:r>
      <w:r>
        <w:t>a</w:t>
      </w:r>
      <w:r>
        <w:rPr>
          <w:spacing w:val="-5"/>
        </w:rPr>
        <w:t xml:space="preserve"> </w:t>
      </w:r>
      <w:r>
        <w:t>reasonable</w:t>
      </w:r>
      <w:r>
        <w:rPr>
          <w:spacing w:val="-4"/>
        </w:rPr>
        <w:t xml:space="preserve"> </w:t>
      </w:r>
      <w:r>
        <w:t>period.</w:t>
      </w:r>
      <w:r>
        <w:rPr>
          <w:vertAlign w:val="superscript"/>
        </w:rPr>
        <w:t>156</w:t>
      </w:r>
      <w:r>
        <w:rPr>
          <w:spacing w:val="-6"/>
        </w:rPr>
        <w:t xml:space="preserve"> </w:t>
      </w:r>
      <w:r>
        <w:t>This</w:t>
      </w:r>
      <w:r>
        <w:rPr>
          <w:spacing w:val="-5"/>
        </w:rPr>
        <w:t xml:space="preserve"> </w:t>
      </w:r>
      <w:r>
        <w:t>is</w:t>
      </w:r>
      <w:r>
        <w:rPr>
          <w:spacing w:val="-5"/>
        </w:rPr>
        <w:t xml:space="preserve"> </w:t>
      </w:r>
      <w:r>
        <w:t>analogous</w:t>
      </w:r>
      <w:r>
        <w:rPr>
          <w:spacing w:val="-5"/>
        </w:rPr>
        <w:t xml:space="preserve"> </w:t>
      </w:r>
      <w:r>
        <w:t>to</w:t>
      </w:r>
      <w:r>
        <w:rPr>
          <w:spacing w:val="-6"/>
        </w:rPr>
        <w:t xml:space="preserve"> </w:t>
      </w:r>
      <w:r>
        <w:t>the</w:t>
      </w:r>
      <w:r>
        <w:rPr>
          <w:spacing w:val="-4"/>
        </w:rPr>
        <w:t xml:space="preserve"> </w:t>
      </w:r>
      <w:r>
        <w:t>current</w:t>
      </w:r>
      <w:r>
        <w:rPr>
          <w:spacing w:val="-7"/>
        </w:rPr>
        <w:t xml:space="preserve"> </w:t>
      </w:r>
      <w:r>
        <w:t>situation</w:t>
      </w:r>
      <w:r>
        <w:rPr>
          <w:spacing w:val="-5"/>
        </w:rPr>
        <w:t xml:space="preserve"> </w:t>
      </w:r>
      <w:r>
        <w:t>befor</w:t>
      </w:r>
      <w:r>
        <w:t>e</w:t>
      </w:r>
      <w:r>
        <w:rPr>
          <w:spacing w:val="-4"/>
        </w:rPr>
        <w:t xml:space="preserve"> </w:t>
      </w:r>
      <w:r>
        <w:t>this</w:t>
      </w:r>
      <w:r>
        <w:rPr>
          <w:spacing w:val="-5"/>
        </w:rPr>
        <w:t xml:space="preserve"> </w:t>
      </w:r>
      <w:r>
        <w:t>Panel.</w:t>
      </w:r>
      <w:r>
        <w:rPr>
          <w:spacing w:val="-5"/>
        </w:rPr>
        <w:t xml:space="preserve"> </w:t>
      </w:r>
      <w:r>
        <w:t>It</w:t>
      </w:r>
      <w:r>
        <w:rPr>
          <w:spacing w:val="-5"/>
        </w:rPr>
        <w:t xml:space="preserve"> </w:t>
      </w:r>
      <w:r>
        <w:t>is clear that information that was alleged as being missing by MOFCOM in the Preliminary Determination,</w:t>
      </w:r>
      <w:r>
        <w:rPr>
          <w:spacing w:val="-10"/>
        </w:rPr>
        <w:t xml:space="preserve"> </w:t>
      </w:r>
      <w:r>
        <w:t>and</w:t>
      </w:r>
      <w:r>
        <w:rPr>
          <w:spacing w:val="-11"/>
        </w:rPr>
        <w:t xml:space="preserve"> </w:t>
      </w:r>
      <w:r>
        <w:t>subsequently</w:t>
      </w:r>
      <w:r>
        <w:rPr>
          <w:spacing w:val="-10"/>
        </w:rPr>
        <w:t xml:space="preserve"> </w:t>
      </w:r>
      <w:r>
        <w:t>updated</w:t>
      </w:r>
      <w:r>
        <w:rPr>
          <w:spacing w:val="-10"/>
        </w:rPr>
        <w:t xml:space="preserve"> </w:t>
      </w:r>
      <w:r>
        <w:t>by</w:t>
      </w:r>
      <w:r>
        <w:rPr>
          <w:spacing w:val="-10"/>
        </w:rPr>
        <w:t xml:space="preserve"> </w:t>
      </w:r>
      <w:r>
        <w:t>Treasury</w:t>
      </w:r>
      <w:r>
        <w:rPr>
          <w:spacing w:val="-10"/>
        </w:rPr>
        <w:t xml:space="preserve"> </w:t>
      </w:r>
      <w:r>
        <w:t>Wines,</w:t>
      </w:r>
      <w:r>
        <w:rPr>
          <w:spacing w:val="-11"/>
        </w:rPr>
        <w:t xml:space="preserve"> </w:t>
      </w:r>
      <w:r>
        <w:t>was</w:t>
      </w:r>
      <w:r>
        <w:rPr>
          <w:spacing w:val="-11"/>
        </w:rPr>
        <w:t xml:space="preserve"> </w:t>
      </w:r>
      <w:r>
        <w:t>ultimately</w:t>
      </w:r>
      <w:r>
        <w:rPr>
          <w:spacing w:val="-9"/>
        </w:rPr>
        <w:t xml:space="preserve"> </w:t>
      </w:r>
      <w:r>
        <w:t>not</w:t>
      </w:r>
      <w:r>
        <w:rPr>
          <w:spacing w:val="-11"/>
        </w:rPr>
        <w:t xml:space="preserve"> </w:t>
      </w:r>
      <w:r>
        <w:t>accepted</w:t>
      </w:r>
      <w:r>
        <w:rPr>
          <w:spacing w:val="-10"/>
        </w:rPr>
        <w:t xml:space="preserve"> </w:t>
      </w:r>
      <w:r>
        <w:t>by MOFCOM in its Final Determination. Given the length of time between receipt of Treasury Wines' Anti‐Dumping Questionnaire Response, its written comments to the Preliminary Determination,</w:t>
      </w:r>
      <w:r>
        <w:rPr>
          <w:spacing w:val="-2"/>
        </w:rPr>
        <w:t xml:space="preserve"> </w:t>
      </w:r>
      <w:r>
        <w:t>its</w:t>
      </w:r>
      <w:r>
        <w:rPr>
          <w:spacing w:val="-3"/>
        </w:rPr>
        <w:t xml:space="preserve"> </w:t>
      </w:r>
      <w:r>
        <w:t>response</w:t>
      </w:r>
      <w:r>
        <w:rPr>
          <w:spacing w:val="-2"/>
        </w:rPr>
        <w:t xml:space="preserve"> </w:t>
      </w:r>
      <w:r>
        <w:t>to</w:t>
      </w:r>
      <w:r>
        <w:rPr>
          <w:spacing w:val="-2"/>
        </w:rPr>
        <w:t xml:space="preserve"> </w:t>
      </w:r>
      <w:r>
        <w:t>the</w:t>
      </w:r>
      <w:r>
        <w:rPr>
          <w:spacing w:val="-2"/>
        </w:rPr>
        <w:t xml:space="preserve"> </w:t>
      </w:r>
      <w:r>
        <w:t>Supplementary</w:t>
      </w:r>
      <w:r>
        <w:rPr>
          <w:spacing w:val="-1"/>
        </w:rPr>
        <w:t xml:space="preserve"> </w:t>
      </w:r>
      <w:r>
        <w:t>Questionnaire</w:t>
      </w:r>
      <w:r>
        <w:rPr>
          <w:spacing w:val="-2"/>
        </w:rPr>
        <w:t xml:space="preserve"> </w:t>
      </w:r>
      <w:r>
        <w:t>and</w:t>
      </w:r>
      <w:r>
        <w:rPr>
          <w:spacing w:val="-3"/>
        </w:rPr>
        <w:t xml:space="preserve"> </w:t>
      </w:r>
      <w:r>
        <w:t>publication</w:t>
      </w:r>
      <w:r>
        <w:rPr>
          <w:spacing w:val="-3"/>
        </w:rPr>
        <w:t xml:space="preserve"> </w:t>
      </w:r>
      <w:r>
        <w:t>of</w:t>
      </w:r>
      <w:r>
        <w:rPr>
          <w:spacing w:val="-4"/>
        </w:rPr>
        <w:t xml:space="preserve"> </w:t>
      </w:r>
      <w:r>
        <w:t>the</w:t>
      </w:r>
      <w:r>
        <w:rPr>
          <w:spacing w:val="-2"/>
        </w:rPr>
        <w:t xml:space="preserve"> </w:t>
      </w:r>
      <w:r>
        <w:t xml:space="preserve">Final Determination, it is clear that MOFCOM failed to notify Treasury Wines </w:t>
      </w:r>
      <w:r>
        <w:rPr>
          <w:i/>
        </w:rPr>
        <w:t xml:space="preserve">immediately </w:t>
      </w:r>
      <w:r>
        <w:t xml:space="preserve">and </w:t>
      </w:r>
      <w:r>
        <w:rPr>
          <w:i/>
        </w:rPr>
        <w:t>without</w:t>
      </w:r>
      <w:r>
        <w:rPr>
          <w:i/>
          <w:spacing w:val="-2"/>
        </w:rPr>
        <w:t xml:space="preserve"> </w:t>
      </w:r>
      <w:r>
        <w:rPr>
          <w:i/>
        </w:rPr>
        <w:t>delay</w:t>
      </w:r>
      <w:r>
        <w:t>.</w:t>
      </w:r>
      <w:r>
        <w:rPr>
          <w:spacing w:val="-1"/>
        </w:rPr>
        <w:t xml:space="preserve"> </w:t>
      </w:r>
      <w:r>
        <w:t>Further,</w:t>
      </w:r>
      <w:r>
        <w:rPr>
          <w:spacing w:val="-2"/>
        </w:rPr>
        <w:t xml:space="preserve"> </w:t>
      </w:r>
      <w:r>
        <w:t>paragraph</w:t>
      </w:r>
      <w:r>
        <w:rPr>
          <w:spacing w:val="-1"/>
        </w:rPr>
        <w:t xml:space="preserve"> </w:t>
      </w:r>
      <w:r>
        <w:t>6</w:t>
      </w:r>
      <w:r>
        <w:rPr>
          <w:spacing w:val="-3"/>
        </w:rPr>
        <w:t xml:space="preserve"> </w:t>
      </w:r>
      <w:r>
        <w:t>of</w:t>
      </w:r>
      <w:r>
        <w:rPr>
          <w:spacing w:val="-2"/>
        </w:rPr>
        <w:t xml:space="preserve"> </w:t>
      </w:r>
      <w:r>
        <w:t>Annex</w:t>
      </w:r>
      <w:r>
        <w:rPr>
          <w:spacing w:val="-1"/>
        </w:rPr>
        <w:t xml:space="preserve"> </w:t>
      </w:r>
      <w:r>
        <w:t>II</w:t>
      </w:r>
      <w:r>
        <w:rPr>
          <w:spacing w:val="-3"/>
        </w:rPr>
        <w:t xml:space="preserve"> </w:t>
      </w:r>
      <w:r>
        <w:t>required</w:t>
      </w:r>
      <w:r>
        <w:rPr>
          <w:spacing w:val="-3"/>
        </w:rPr>
        <w:t xml:space="preserve"> </w:t>
      </w:r>
      <w:r>
        <w:t>MOFCOM</w:t>
      </w:r>
      <w:r>
        <w:rPr>
          <w:spacing w:val="-2"/>
        </w:rPr>
        <w:t xml:space="preserve"> </w:t>
      </w:r>
      <w:r>
        <w:t>to</w:t>
      </w:r>
      <w:r>
        <w:rPr>
          <w:spacing w:val="-1"/>
        </w:rPr>
        <w:t xml:space="preserve"> </w:t>
      </w:r>
      <w:r>
        <w:t>provide</w:t>
      </w:r>
      <w:r>
        <w:rPr>
          <w:spacing w:val="-1"/>
        </w:rPr>
        <w:t xml:space="preserve"> </w:t>
      </w:r>
      <w:r>
        <w:t>an</w:t>
      </w:r>
      <w:r>
        <w:rPr>
          <w:spacing w:val="-3"/>
        </w:rPr>
        <w:t xml:space="preserve"> </w:t>
      </w:r>
      <w:r>
        <w:t>opportunity for Treasury Wines to provide further explanations within a reasonab</w:t>
      </w:r>
      <w:r>
        <w:t>le period, due account being taken of the time limits of the investigation, which remained unclear and not advised. However, MOFCOM never provided Treasury Wines with such an opportunity.</w:t>
      </w:r>
    </w:p>
    <w:p w14:paraId="51DE803A" w14:textId="77777777" w:rsidR="0010369C" w:rsidRDefault="0010369C">
      <w:pPr>
        <w:pStyle w:val="BodyText"/>
        <w:spacing w:before="11"/>
        <w:rPr>
          <w:sz w:val="8"/>
        </w:rPr>
      </w:pPr>
    </w:p>
    <w:p w14:paraId="51DE803B" w14:textId="77777777" w:rsidR="0010369C" w:rsidRDefault="008E43AE">
      <w:pPr>
        <w:pStyle w:val="BodyText"/>
        <w:spacing w:before="52" w:line="360" w:lineRule="auto"/>
        <w:ind w:left="236" w:right="613" w:firstLine="852"/>
        <w:jc w:val="both"/>
      </w:pPr>
      <w:r>
        <w:rPr>
          <w:noProof/>
        </w:rPr>
        <w:drawing>
          <wp:anchor distT="0" distB="0" distL="0" distR="0" simplePos="0" relativeHeight="250838528" behindDoc="1" locked="0" layoutInCell="1" allowOverlap="1" wp14:anchorId="51DE9EC3" wp14:editId="51DE9EC4">
            <wp:simplePos x="0" y="0"/>
            <wp:positionH relativeFrom="page">
              <wp:posOffset>908303</wp:posOffset>
            </wp:positionH>
            <wp:positionV relativeFrom="paragraph">
              <wp:posOffset>81950</wp:posOffset>
            </wp:positionV>
            <wp:extent cx="256031" cy="100753"/>
            <wp:effectExtent l="0" t="0" r="0" b="0"/>
            <wp:wrapNone/>
            <wp:docPr id="305" name="image1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image161.png"/>
                    <pic:cNvPicPr/>
                  </pic:nvPicPr>
                  <pic:blipFill>
                    <a:blip r:embed="rId255" cstate="print"/>
                    <a:stretch>
                      <a:fillRect/>
                    </a:stretch>
                  </pic:blipFill>
                  <pic:spPr>
                    <a:xfrm>
                      <a:off x="0" y="0"/>
                      <a:ext cx="256031" cy="100753"/>
                    </a:xfrm>
                    <a:prstGeom prst="rect">
                      <a:avLst/>
                    </a:prstGeom>
                  </pic:spPr>
                </pic:pic>
              </a:graphicData>
            </a:graphic>
          </wp:anchor>
        </w:drawing>
      </w:r>
      <w:r>
        <w:t>For the foregoing reasons, MOFCOM erred when it relied upon Treasu</w:t>
      </w:r>
      <w:r>
        <w:t>ry Wines' response to Form 6‐1‐1 as a basis to resort to facts available and, therefore, China acted inconsistently</w:t>
      </w:r>
      <w:r>
        <w:rPr>
          <w:spacing w:val="40"/>
        </w:rPr>
        <w:t xml:space="preserve"> </w:t>
      </w:r>
      <w:r>
        <w:t>with</w:t>
      </w:r>
      <w:r>
        <w:rPr>
          <w:spacing w:val="40"/>
        </w:rPr>
        <w:t xml:space="preserve"> </w:t>
      </w:r>
      <w:r>
        <w:t>Article</w:t>
      </w:r>
      <w:r>
        <w:rPr>
          <w:spacing w:val="40"/>
        </w:rPr>
        <w:t xml:space="preserve"> </w:t>
      </w:r>
      <w:r>
        <w:t>6.8</w:t>
      </w:r>
      <w:r>
        <w:rPr>
          <w:spacing w:val="40"/>
        </w:rPr>
        <w:t xml:space="preserve"> </w:t>
      </w:r>
      <w:r>
        <w:t>and</w:t>
      </w:r>
      <w:r>
        <w:rPr>
          <w:spacing w:val="40"/>
        </w:rPr>
        <w:t xml:space="preserve"> </w:t>
      </w:r>
      <w:r>
        <w:t>paragraphs</w:t>
      </w:r>
      <w:r>
        <w:rPr>
          <w:spacing w:val="40"/>
        </w:rPr>
        <w:t xml:space="preserve"> </w:t>
      </w:r>
      <w:r>
        <w:t>3,</w:t>
      </w:r>
      <w:r>
        <w:rPr>
          <w:spacing w:val="40"/>
        </w:rPr>
        <w:t xml:space="preserve"> </w:t>
      </w:r>
      <w:r>
        <w:t>5</w:t>
      </w:r>
      <w:r>
        <w:rPr>
          <w:spacing w:val="40"/>
        </w:rPr>
        <w:t xml:space="preserve"> </w:t>
      </w:r>
      <w:r>
        <w:t>and</w:t>
      </w:r>
      <w:r>
        <w:rPr>
          <w:spacing w:val="40"/>
        </w:rPr>
        <w:t xml:space="preserve"> </w:t>
      </w:r>
      <w:r>
        <w:t>6</w:t>
      </w:r>
      <w:r>
        <w:rPr>
          <w:spacing w:val="40"/>
        </w:rPr>
        <w:t xml:space="preserve"> </w:t>
      </w:r>
      <w:r>
        <w:t>of</w:t>
      </w:r>
      <w:r>
        <w:rPr>
          <w:spacing w:val="40"/>
        </w:rPr>
        <w:t xml:space="preserve"> </w:t>
      </w:r>
      <w:r>
        <w:t>Annex</w:t>
      </w:r>
      <w:r>
        <w:rPr>
          <w:spacing w:val="40"/>
        </w:rPr>
        <w:t xml:space="preserve"> </w:t>
      </w:r>
      <w:r>
        <w:t>II</w:t>
      </w:r>
      <w:r>
        <w:rPr>
          <w:spacing w:val="40"/>
        </w:rPr>
        <w:t xml:space="preserve"> </w:t>
      </w:r>
      <w:r>
        <w:t>of</w:t>
      </w:r>
      <w:r>
        <w:rPr>
          <w:spacing w:val="40"/>
        </w:rPr>
        <w:t xml:space="preserve"> </w:t>
      </w:r>
      <w:r>
        <w:t>the Anti‐Dumping Agreement.</w:t>
      </w:r>
    </w:p>
    <w:p w14:paraId="51DE803C" w14:textId="77777777" w:rsidR="0010369C" w:rsidRDefault="008E43AE">
      <w:pPr>
        <w:pStyle w:val="ListParagraph"/>
        <w:numPr>
          <w:ilvl w:val="4"/>
          <w:numId w:val="75"/>
        </w:numPr>
        <w:tabs>
          <w:tab w:val="left" w:pos="4491"/>
          <w:tab w:val="left" w:pos="4492"/>
        </w:tabs>
        <w:spacing w:before="159" w:line="360" w:lineRule="auto"/>
        <w:ind w:right="613" w:hanging="853"/>
        <w:jc w:val="both"/>
        <w:rPr>
          <w:i/>
          <w:sz w:val="24"/>
        </w:rPr>
      </w:pPr>
      <w:r>
        <w:rPr>
          <w:i/>
          <w:sz w:val="24"/>
        </w:rPr>
        <w:t xml:space="preserve">Form 6‐1‐2 Production Cost Sheet for Raw </w:t>
      </w:r>
      <w:r>
        <w:rPr>
          <w:i/>
          <w:spacing w:val="-2"/>
          <w:sz w:val="24"/>
        </w:rPr>
        <w:t>Materials</w:t>
      </w:r>
    </w:p>
    <w:p w14:paraId="51DE803D" w14:textId="77777777" w:rsidR="0010369C" w:rsidRDefault="0010369C">
      <w:pPr>
        <w:pStyle w:val="BodyText"/>
        <w:spacing w:before="11"/>
        <w:rPr>
          <w:i/>
          <w:sz w:val="8"/>
        </w:rPr>
      </w:pPr>
    </w:p>
    <w:p w14:paraId="51DE803E" w14:textId="77777777" w:rsidR="0010369C" w:rsidRDefault="008E43AE">
      <w:pPr>
        <w:pStyle w:val="BodyText"/>
        <w:spacing w:before="52" w:line="360" w:lineRule="auto"/>
        <w:ind w:left="238" w:right="611" w:firstLine="851"/>
      </w:pPr>
      <w:r>
        <w:rPr>
          <w:noProof/>
        </w:rPr>
        <w:drawing>
          <wp:anchor distT="0" distB="0" distL="0" distR="0" simplePos="0" relativeHeight="250839552" behindDoc="1" locked="0" layoutInCell="1" allowOverlap="1" wp14:anchorId="51DE9EC5" wp14:editId="51DE9EC6">
            <wp:simplePos x="0" y="0"/>
            <wp:positionH relativeFrom="page">
              <wp:posOffset>908303</wp:posOffset>
            </wp:positionH>
            <wp:positionV relativeFrom="paragraph">
              <wp:posOffset>81949</wp:posOffset>
            </wp:positionV>
            <wp:extent cx="256031" cy="100753"/>
            <wp:effectExtent l="0" t="0" r="0" b="0"/>
            <wp:wrapNone/>
            <wp:docPr id="307" name="image1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image162.png"/>
                    <pic:cNvPicPr/>
                  </pic:nvPicPr>
                  <pic:blipFill>
                    <a:blip r:embed="rId256" cstate="print"/>
                    <a:stretch>
                      <a:fillRect/>
                    </a:stretch>
                  </pic:blipFill>
                  <pic:spPr>
                    <a:xfrm>
                      <a:off x="0" y="0"/>
                      <a:ext cx="256031" cy="100753"/>
                    </a:xfrm>
                    <a:prstGeom prst="rect">
                      <a:avLst/>
                    </a:prstGeom>
                  </pic:spPr>
                </pic:pic>
              </a:graphicData>
            </a:graphic>
          </wp:anchor>
        </w:drawing>
      </w:r>
      <w:r>
        <w:t>With respect to</w:t>
      </w:r>
      <w:r>
        <w:rPr>
          <w:spacing w:val="28"/>
        </w:rPr>
        <w:t xml:space="preserve"> </w:t>
      </w:r>
      <w:r>
        <w:t>Form</w:t>
      </w:r>
      <w:r>
        <w:rPr>
          <w:spacing w:val="28"/>
        </w:rPr>
        <w:t xml:space="preserve"> </w:t>
      </w:r>
      <w:r>
        <w:t>6‐1‐2</w:t>
      </w:r>
      <w:r>
        <w:rPr>
          <w:spacing w:val="28"/>
        </w:rPr>
        <w:t xml:space="preserve"> </w:t>
      </w:r>
      <w:r>
        <w:t>(Production Cost</w:t>
      </w:r>
      <w:r>
        <w:rPr>
          <w:spacing w:val="28"/>
        </w:rPr>
        <w:t xml:space="preserve"> </w:t>
      </w:r>
      <w:r>
        <w:t>Sheet for Raw Materials), MOFCOM stated in the Final Determination that Treasury Wines:</w:t>
      </w:r>
    </w:p>
    <w:p w14:paraId="51DE803F" w14:textId="77777777" w:rsidR="0010369C" w:rsidRDefault="008E43AE">
      <w:pPr>
        <w:pStyle w:val="ListParagraph"/>
        <w:numPr>
          <w:ilvl w:val="0"/>
          <w:numId w:val="69"/>
        </w:numPr>
        <w:tabs>
          <w:tab w:val="left" w:pos="1318"/>
          <w:tab w:val="left" w:pos="1319"/>
        </w:tabs>
        <w:spacing w:before="159"/>
        <w:jc w:val="left"/>
        <w:rPr>
          <w:sz w:val="24"/>
        </w:rPr>
      </w:pPr>
      <w:r>
        <w:rPr>
          <w:sz w:val="24"/>
        </w:rPr>
        <w:t>"did</w:t>
      </w:r>
      <w:r>
        <w:rPr>
          <w:spacing w:val="-6"/>
          <w:sz w:val="24"/>
        </w:rPr>
        <w:t xml:space="preserve"> </w:t>
      </w:r>
      <w:r>
        <w:rPr>
          <w:sz w:val="24"/>
        </w:rPr>
        <w:t>not</w:t>
      </w:r>
      <w:r>
        <w:rPr>
          <w:spacing w:val="-5"/>
          <w:sz w:val="24"/>
        </w:rPr>
        <w:t xml:space="preserve"> </w:t>
      </w:r>
      <w:r>
        <w:rPr>
          <w:sz w:val="24"/>
        </w:rPr>
        <w:t>fill</w:t>
      </w:r>
      <w:r>
        <w:rPr>
          <w:spacing w:val="-6"/>
          <w:sz w:val="24"/>
        </w:rPr>
        <w:t xml:space="preserve"> </w:t>
      </w:r>
      <w:r>
        <w:rPr>
          <w:sz w:val="24"/>
        </w:rPr>
        <w:t>in</w:t>
      </w:r>
      <w:r>
        <w:rPr>
          <w:spacing w:val="-6"/>
          <w:sz w:val="24"/>
        </w:rPr>
        <w:t xml:space="preserve"> </w:t>
      </w:r>
      <w:r>
        <w:rPr>
          <w:sz w:val="24"/>
        </w:rPr>
        <w:t>the</w:t>
      </w:r>
      <w:r>
        <w:rPr>
          <w:spacing w:val="-5"/>
          <w:sz w:val="24"/>
        </w:rPr>
        <w:t xml:space="preserve"> </w:t>
      </w:r>
      <w:r>
        <w:rPr>
          <w:sz w:val="24"/>
        </w:rPr>
        <w:t>production</w:t>
      </w:r>
      <w:r>
        <w:rPr>
          <w:spacing w:val="-6"/>
          <w:sz w:val="24"/>
        </w:rPr>
        <w:t xml:space="preserve"> </w:t>
      </w:r>
      <w:r>
        <w:rPr>
          <w:sz w:val="24"/>
        </w:rPr>
        <w:t>cost</w:t>
      </w:r>
      <w:r>
        <w:rPr>
          <w:spacing w:val="-6"/>
          <w:sz w:val="24"/>
        </w:rPr>
        <w:t xml:space="preserve"> </w:t>
      </w:r>
      <w:r>
        <w:rPr>
          <w:sz w:val="24"/>
        </w:rPr>
        <w:t>of</w:t>
      </w:r>
      <w:r>
        <w:rPr>
          <w:spacing w:val="-7"/>
          <w:sz w:val="24"/>
        </w:rPr>
        <w:t xml:space="preserve"> </w:t>
      </w:r>
      <w:r>
        <w:rPr>
          <w:sz w:val="24"/>
        </w:rPr>
        <w:t>its</w:t>
      </w:r>
      <w:r>
        <w:rPr>
          <w:spacing w:val="-6"/>
          <w:sz w:val="24"/>
        </w:rPr>
        <w:t xml:space="preserve"> </w:t>
      </w:r>
      <w:r>
        <w:rPr>
          <w:sz w:val="24"/>
        </w:rPr>
        <w:t>own</w:t>
      </w:r>
      <w:r>
        <w:rPr>
          <w:spacing w:val="-6"/>
          <w:sz w:val="24"/>
        </w:rPr>
        <w:t xml:space="preserve"> </w:t>
      </w:r>
      <w:r>
        <w:rPr>
          <w:sz w:val="24"/>
        </w:rPr>
        <w:t>bulk</w:t>
      </w:r>
      <w:r>
        <w:rPr>
          <w:spacing w:val="-5"/>
          <w:sz w:val="24"/>
        </w:rPr>
        <w:t xml:space="preserve"> </w:t>
      </w:r>
      <w:r>
        <w:rPr>
          <w:sz w:val="24"/>
        </w:rPr>
        <w:t>wine;</w:t>
      </w:r>
      <w:r>
        <w:rPr>
          <w:spacing w:val="-5"/>
          <w:sz w:val="24"/>
        </w:rPr>
        <w:t xml:space="preserve"> </w:t>
      </w:r>
      <w:r>
        <w:rPr>
          <w:sz w:val="24"/>
        </w:rPr>
        <w:t>"</w:t>
      </w:r>
      <w:r>
        <w:rPr>
          <w:sz w:val="24"/>
          <w:vertAlign w:val="superscript"/>
        </w:rPr>
        <w:t>157</w:t>
      </w:r>
      <w:r>
        <w:rPr>
          <w:spacing w:val="-6"/>
          <w:sz w:val="24"/>
        </w:rPr>
        <w:t xml:space="preserve"> </w:t>
      </w:r>
      <w:r>
        <w:rPr>
          <w:spacing w:val="-5"/>
          <w:sz w:val="24"/>
        </w:rPr>
        <w:t>and</w:t>
      </w:r>
    </w:p>
    <w:p w14:paraId="51DE8040" w14:textId="77777777" w:rsidR="0010369C" w:rsidRDefault="0010369C">
      <w:pPr>
        <w:pStyle w:val="BodyText"/>
        <w:spacing w:before="3"/>
        <w:rPr>
          <w:sz w:val="25"/>
        </w:rPr>
      </w:pPr>
    </w:p>
    <w:p w14:paraId="51DE8041" w14:textId="77777777" w:rsidR="0010369C" w:rsidRDefault="008E43AE">
      <w:pPr>
        <w:pStyle w:val="ListParagraph"/>
        <w:numPr>
          <w:ilvl w:val="0"/>
          <w:numId w:val="69"/>
        </w:numPr>
        <w:tabs>
          <w:tab w:val="left" w:pos="1318"/>
          <w:tab w:val="left" w:pos="1319"/>
        </w:tabs>
        <w:spacing w:before="0" w:line="355" w:lineRule="auto"/>
        <w:ind w:right="613"/>
        <w:jc w:val="left"/>
        <w:rPr>
          <w:sz w:val="24"/>
        </w:rPr>
      </w:pPr>
      <w:r>
        <w:rPr>
          <w:sz w:val="24"/>
        </w:rPr>
        <w:t>"just filled in the amount column [of bulk wines] but did not report the quantity, beginning and ending inventories etc., as required. "</w:t>
      </w:r>
      <w:r>
        <w:rPr>
          <w:sz w:val="24"/>
          <w:vertAlign w:val="superscript"/>
        </w:rPr>
        <w:t>158</w:t>
      </w:r>
    </w:p>
    <w:p w14:paraId="51DE8042" w14:textId="77777777" w:rsidR="0010369C" w:rsidRDefault="0010369C">
      <w:pPr>
        <w:pStyle w:val="BodyText"/>
        <w:spacing w:before="9"/>
        <w:rPr>
          <w:sz w:val="9"/>
        </w:rPr>
      </w:pPr>
    </w:p>
    <w:p w14:paraId="51DE8043" w14:textId="77777777" w:rsidR="0010369C" w:rsidRDefault="008E43AE">
      <w:pPr>
        <w:pStyle w:val="BodyText"/>
        <w:spacing w:before="51" w:after="2" w:line="360" w:lineRule="auto"/>
        <w:ind w:left="238" w:right="611" w:firstLine="851"/>
      </w:pPr>
      <w:r>
        <w:rPr>
          <w:noProof/>
        </w:rPr>
        <w:drawing>
          <wp:anchor distT="0" distB="0" distL="0" distR="0" simplePos="0" relativeHeight="250840576" behindDoc="1" locked="0" layoutInCell="1" allowOverlap="1" wp14:anchorId="51DE9EC7" wp14:editId="51DE9EC8">
            <wp:simplePos x="0" y="0"/>
            <wp:positionH relativeFrom="page">
              <wp:posOffset>908303</wp:posOffset>
            </wp:positionH>
            <wp:positionV relativeFrom="paragraph">
              <wp:posOffset>81314</wp:posOffset>
            </wp:positionV>
            <wp:extent cx="256031" cy="100753"/>
            <wp:effectExtent l="0" t="0" r="0" b="0"/>
            <wp:wrapNone/>
            <wp:docPr id="309" name="image1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image163.png"/>
                    <pic:cNvPicPr/>
                  </pic:nvPicPr>
                  <pic:blipFill>
                    <a:blip r:embed="rId257" cstate="print"/>
                    <a:stretch>
                      <a:fillRect/>
                    </a:stretch>
                  </pic:blipFill>
                  <pic:spPr>
                    <a:xfrm>
                      <a:off x="0" y="0"/>
                      <a:ext cx="256031" cy="100753"/>
                    </a:xfrm>
                    <a:prstGeom prst="rect">
                      <a:avLst/>
                    </a:prstGeom>
                  </pic:spPr>
                </pic:pic>
              </a:graphicData>
            </a:graphic>
          </wp:anchor>
        </w:drawing>
      </w:r>
      <w:r>
        <w:pict w14:anchorId="51DE9EC9">
          <v:rect id="docshape230" o:spid="_x0000_s2022" style="position:absolute;left:0;text-align:left;margin-left:363.55pt;margin-top:24.6pt;width:159.9pt;height:16.05pt;z-index:-251417088;mso-position-horizontal-relative:page;mso-position-vertical-relative:text" fillcolor="black" stroked="f">
            <w10:wrap anchorx="page"/>
          </v:rect>
        </w:pict>
      </w:r>
      <w:r>
        <w:t>The</w:t>
      </w:r>
      <w:r>
        <w:rPr>
          <w:spacing w:val="-14"/>
        </w:rPr>
        <w:t xml:space="preserve"> </w:t>
      </w:r>
      <w:r>
        <w:t>information</w:t>
      </w:r>
      <w:r>
        <w:rPr>
          <w:spacing w:val="-14"/>
        </w:rPr>
        <w:t xml:space="preserve"> </w:t>
      </w:r>
      <w:r>
        <w:t>requested</w:t>
      </w:r>
      <w:r>
        <w:rPr>
          <w:spacing w:val="-13"/>
        </w:rPr>
        <w:t xml:space="preserve"> </w:t>
      </w:r>
      <w:r>
        <w:t>by</w:t>
      </w:r>
      <w:r>
        <w:rPr>
          <w:spacing w:val="-14"/>
        </w:rPr>
        <w:t xml:space="preserve"> </w:t>
      </w:r>
      <w:r>
        <w:t>MOFCOM</w:t>
      </w:r>
      <w:r>
        <w:rPr>
          <w:spacing w:val="-13"/>
        </w:rPr>
        <w:t xml:space="preserve"> </w:t>
      </w:r>
      <w:r>
        <w:t>in</w:t>
      </w:r>
      <w:r>
        <w:rPr>
          <w:spacing w:val="-14"/>
        </w:rPr>
        <w:t xml:space="preserve"> </w:t>
      </w:r>
      <w:r>
        <w:t>Form</w:t>
      </w:r>
      <w:r>
        <w:rPr>
          <w:spacing w:val="-13"/>
        </w:rPr>
        <w:t xml:space="preserve"> </w:t>
      </w:r>
      <w:r>
        <w:t>6‐1‐2</w:t>
      </w:r>
      <w:r>
        <w:rPr>
          <w:spacing w:val="-14"/>
        </w:rPr>
        <w:t xml:space="preserve"> </w:t>
      </w:r>
      <w:r>
        <w:t>relates</w:t>
      </w:r>
      <w:r>
        <w:rPr>
          <w:spacing w:val="-14"/>
        </w:rPr>
        <w:t xml:space="preserve"> </w:t>
      </w:r>
      <w:r>
        <w:t>to</w:t>
      </w:r>
      <w:r>
        <w:rPr>
          <w:spacing w:val="-14"/>
        </w:rPr>
        <w:t xml:space="preserve"> </w:t>
      </w:r>
      <w:r>
        <w:t>the</w:t>
      </w:r>
      <w:r>
        <w:rPr>
          <w:spacing w:val="-13"/>
        </w:rPr>
        <w:t xml:space="preserve"> </w:t>
      </w:r>
      <w:r>
        <w:t>production</w:t>
      </w:r>
      <w:r>
        <w:rPr>
          <w:spacing w:val="-13"/>
        </w:rPr>
        <w:t xml:space="preserve"> </w:t>
      </w:r>
      <w:r>
        <w:t>costs of raw materials used in the product under investigation. [[</w:t>
      </w:r>
    </w:p>
    <w:p w14:paraId="51DE8044" w14:textId="77777777" w:rsidR="0010369C" w:rsidRDefault="008E43AE">
      <w:pPr>
        <w:pStyle w:val="BodyText"/>
        <w:ind w:left="218"/>
        <w:rPr>
          <w:sz w:val="20"/>
        </w:rPr>
      </w:pPr>
      <w:r>
        <w:rPr>
          <w:sz w:val="20"/>
        </w:rPr>
      </w:r>
      <w:r>
        <w:rPr>
          <w:sz w:val="20"/>
        </w:rPr>
        <w:pict w14:anchorId="51DE9ECB">
          <v:group id="docshapegroup231" o:spid="_x0000_s2020" style="width:453.45pt;height:16.1pt;mso-position-horizontal-relative:char;mso-position-vertical-relative:line" coordsize="9069,322">
            <v:rect id="docshape232" o:spid="_x0000_s2021" style="position:absolute;width:9069;height:322" fillcolor="black" stroked="f"/>
            <w10:anchorlock/>
          </v:group>
        </w:pict>
      </w:r>
    </w:p>
    <w:p w14:paraId="51DE8045" w14:textId="77777777" w:rsidR="0010369C" w:rsidRDefault="0010369C">
      <w:pPr>
        <w:pStyle w:val="BodyText"/>
        <w:rPr>
          <w:sz w:val="20"/>
        </w:rPr>
      </w:pPr>
    </w:p>
    <w:p w14:paraId="51DE8046" w14:textId="77777777" w:rsidR="0010369C" w:rsidRDefault="008E43AE">
      <w:pPr>
        <w:pStyle w:val="BodyText"/>
        <w:spacing w:before="11"/>
        <w:rPr>
          <w:sz w:val="14"/>
        </w:rPr>
      </w:pPr>
      <w:r>
        <w:pict w14:anchorId="51DE9ECC">
          <v:rect id="docshape233" o:spid="_x0000_s2019" style="position:absolute;margin-left:70.9pt;margin-top:10.35pt;width:2in;height:.8pt;z-index:-251167232;mso-wrap-distance-left:0;mso-wrap-distance-right:0;mso-position-horizontal-relative:page" fillcolor="black" stroked="f">
            <w10:wrap type="topAndBottom" anchorx="page"/>
          </v:rect>
        </w:pict>
      </w:r>
    </w:p>
    <w:p w14:paraId="51DE8047" w14:textId="77777777" w:rsidR="0010369C" w:rsidRDefault="008E43AE">
      <w:pPr>
        <w:spacing w:before="109"/>
        <w:ind w:left="238"/>
        <w:rPr>
          <w:sz w:val="18"/>
        </w:rPr>
      </w:pPr>
      <w:r>
        <w:rPr>
          <w:sz w:val="18"/>
          <w:vertAlign w:val="superscript"/>
        </w:rPr>
        <w:t>156</w:t>
      </w:r>
      <w:r>
        <w:rPr>
          <w:spacing w:val="-8"/>
          <w:sz w:val="18"/>
        </w:rPr>
        <w:t xml:space="preserve"> </w:t>
      </w:r>
      <w:r>
        <w:rPr>
          <w:sz w:val="18"/>
        </w:rPr>
        <w:t>Panel</w:t>
      </w:r>
      <w:r>
        <w:rPr>
          <w:spacing w:val="-8"/>
          <w:sz w:val="18"/>
        </w:rPr>
        <w:t xml:space="preserve"> </w:t>
      </w:r>
      <w:r>
        <w:rPr>
          <w:sz w:val="18"/>
        </w:rPr>
        <w:t>Report,</w:t>
      </w:r>
      <w:r>
        <w:rPr>
          <w:spacing w:val="-8"/>
          <w:sz w:val="18"/>
        </w:rPr>
        <w:t xml:space="preserve"> </w:t>
      </w:r>
      <w:r>
        <w:rPr>
          <w:i/>
          <w:sz w:val="18"/>
        </w:rPr>
        <w:t>US</w:t>
      </w:r>
      <w:r>
        <w:rPr>
          <w:i/>
          <w:spacing w:val="-7"/>
          <w:sz w:val="18"/>
        </w:rPr>
        <w:t xml:space="preserve"> </w:t>
      </w:r>
      <w:r>
        <w:rPr>
          <w:i/>
          <w:sz w:val="18"/>
        </w:rPr>
        <w:t>–</w:t>
      </w:r>
      <w:r>
        <w:rPr>
          <w:i/>
          <w:spacing w:val="-8"/>
          <w:sz w:val="18"/>
        </w:rPr>
        <w:t xml:space="preserve"> </w:t>
      </w:r>
      <w:r>
        <w:rPr>
          <w:i/>
          <w:sz w:val="18"/>
        </w:rPr>
        <w:t>Anti‐Dumping</w:t>
      </w:r>
      <w:r>
        <w:rPr>
          <w:i/>
          <w:spacing w:val="-7"/>
          <w:sz w:val="18"/>
        </w:rPr>
        <w:t xml:space="preserve"> </w:t>
      </w:r>
      <w:r>
        <w:rPr>
          <w:i/>
          <w:sz w:val="18"/>
        </w:rPr>
        <w:t>and</w:t>
      </w:r>
      <w:r>
        <w:rPr>
          <w:i/>
          <w:spacing w:val="-9"/>
          <w:sz w:val="18"/>
        </w:rPr>
        <w:t xml:space="preserve"> </w:t>
      </w:r>
      <w:r>
        <w:rPr>
          <w:i/>
          <w:sz w:val="18"/>
        </w:rPr>
        <w:t>Countervailing</w:t>
      </w:r>
      <w:r>
        <w:rPr>
          <w:i/>
          <w:spacing w:val="-7"/>
          <w:sz w:val="18"/>
        </w:rPr>
        <w:t xml:space="preserve"> </w:t>
      </w:r>
      <w:r>
        <w:rPr>
          <w:i/>
          <w:sz w:val="18"/>
        </w:rPr>
        <w:t>Duties</w:t>
      </w:r>
      <w:r>
        <w:rPr>
          <w:i/>
          <w:spacing w:val="-8"/>
          <w:sz w:val="18"/>
        </w:rPr>
        <w:t xml:space="preserve"> </w:t>
      </w:r>
      <w:r>
        <w:rPr>
          <w:i/>
          <w:sz w:val="18"/>
        </w:rPr>
        <w:t>(Korea),</w:t>
      </w:r>
      <w:r>
        <w:rPr>
          <w:i/>
          <w:spacing w:val="-9"/>
          <w:sz w:val="18"/>
        </w:rPr>
        <w:t xml:space="preserve"> </w:t>
      </w:r>
      <w:r>
        <w:rPr>
          <w:sz w:val="18"/>
        </w:rPr>
        <w:t>paras.</w:t>
      </w:r>
      <w:r>
        <w:rPr>
          <w:spacing w:val="-7"/>
          <w:sz w:val="18"/>
        </w:rPr>
        <w:t xml:space="preserve"> </w:t>
      </w:r>
      <w:r>
        <w:rPr>
          <w:spacing w:val="-2"/>
          <w:sz w:val="18"/>
        </w:rPr>
        <w:t>7.471‐7.472.</w:t>
      </w:r>
    </w:p>
    <w:p w14:paraId="51DE8048" w14:textId="77777777" w:rsidR="0010369C" w:rsidRDefault="008E43AE">
      <w:pPr>
        <w:ind w:left="238"/>
        <w:rPr>
          <w:sz w:val="18"/>
        </w:rPr>
      </w:pPr>
      <w:r>
        <w:rPr>
          <w:sz w:val="18"/>
          <w:vertAlign w:val="superscript"/>
        </w:rPr>
        <w:t>157</w:t>
      </w:r>
      <w:r>
        <w:rPr>
          <w:spacing w:val="-9"/>
          <w:sz w:val="18"/>
        </w:rPr>
        <w:t xml:space="preserve"> </w:t>
      </w:r>
      <w:r>
        <w:rPr>
          <w:sz w:val="18"/>
        </w:rPr>
        <w:t>Anti‐Dumping</w:t>
      </w:r>
      <w:r>
        <w:rPr>
          <w:spacing w:val="-9"/>
          <w:sz w:val="18"/>
        </w:rPr>
        <w:t xml:space="preserve"> </w:t>
      </w:r>
      <w:r>
        <w:rPr>
          <w:sz w:val="18"/>
        </w:rPr>
        <w:t>Final</w:t>
      </w:r>
      <w:r>
        <w:rPr>
          <w:spacing w:val="-9"/>
          <w:sz w:val="18"/>
        </w:rPr>
        <w:t xml:space="preserve"> </w:t>
      </w:r>
      <w:r>
        <w:rPr>
          <w:sz w:val="18"/>
        </w:rPr>
        <w:t>Determination</w:t>
      </w:r>
      <w:r>
        <w:rPr>
          <w:spacing w:val="-8"/>
          <w:sz w:val="18"/>
        </w:rPr>
        <w:t xml:space="preserve"> </w:t>
      </w:r>
      <w:r>
        <w:rPr>
          <w:sz w:val="18"/>
        </w:rPr>
        <w:t>(Exhibit</w:t>
      </w:r>
      <w:r>
        <w:rPr>
          <w:spacing w:val="-9"/>
          <w:sz w:val="18"/>
        </w:rPr>
        <w:t xml:space="preserve"> </w:t>
      </w:r>
      <w:r>
        <w:rPr>
          <w:sz w:val="18"/>
        </w:rPr>
        <w:t>AUS‐2),</w:t>
      </w:r>
      <w:r>
        <w:rPr>
          <w:spacing w:val="-9"/>
          <w:sz w:val="18"/>
        </w:rPr>
        <w:t xml:space="preserve"> </w:t>
      </w:r>
      <w:r>
        <w:rPr>
          <w:sz w:val="18"/>
        </w:rPr>
        <w:t>p.</w:t>
      </w:r>
      <w:r>
        <w:rPr>
          <w:spacing w:val="-9"/>
          <w:sz w:val="18"/>
        </w:rPr>
        <w:t xml:space="preserve"> </w:t>
      </w:r>
      <w:r>
        <w:rPr>
          <w:spacing w:val="-5"/>
          <w:sz w:val="18"/>
        </w:rPr>
        <w:t>59.</w:t>
      </w:r>
    </w:p>
    <w:p w14:paraId="51DE8049" w14:textId="77777777" w:rsidR="0010369C" w:rsidRDefault="008E43AE">
      <w:pPr>
        <w:ind w:left="238"/>
        <w:rPr>
          <w:sz w:val="18"/>
        </w:rPr>
      </w:pPr>
      <w:r>
        <w:rPr>
          <w:sz w:val="18"/>
          <w:vertAlign w:val="superscript"/>
        </w:rPr>
        <w:t>158</w:t>
      </w:r>
      <w:r>
        <w:rPr>
          <w:spacing w:val="-9"/>
          <w:sz w:val="18"/>
        </w:rPr>
        <w:t xml:space="preserve"> </w:t>
      </w:r>
      <w:r>
        <w:rPr>
          <w:sz w:val="18"/>
        </w:rPr>
        <w:t>Anti‐Dumping</w:t>
      </w:r>
      <w:r>
        <w:rPr>
          <w:spacing w:val="-9"/>
          <w:sz w:val="18"/>
        </w:rPr>
        <w:t xml:space="preserve"> </w:t>
      </w:r>
      <w:r>
        <w:rPr>
          <w:sz w:val="18"/>
        </w:rPr>
        <w:t>Final</w:t>
      </w:r>
      <w:r>
        <w:rPr>
          <w:spacing w:val="-9"/>
          <w:sz w:val="18"/>
        </w:rPr>
        <w:t xml:space="preserve"> </w:t>
      </w:r>
      <w:r>
        <w:rPr>
          <w:sz w:val="18"/>
        </w:rPr>
        <w:t>Determination</w:t>
      </w:r>
      <w:r>
        <w:rPr>
          <w:spacing w:val="-8"/>
          <w:sz w:val="18"/>
        </w:rPr>
        <w:t xml:space="preserve"> </w:t>
      </w:r>
      <w:r>
        <w:rPr>
          <w:sz w:val="18"/>
        </w:rPr>
        <w:t>(Exhibit</w:t>
      </w:r>
      <w:r>
        <w:rPr>
          <w:spacing w:val="-9"/>
          <w:sz w:val="18"/>
        </w:rPr>
        <w:t xml:space="preserve"> </w:t>
      </w:r>
      <w:r>
        <w:rPr>
          <w:sz w:val="18"/>
        </w:rPr>
        <w:t>AUS‐2),</w:t>
      </w:r>
      <w:r>
        <w:rPr>
          <w:spacing w:val="-9"/>
          <w:sz w:val="18"/>
        </w:rPr>
        <w:t xml:space="preserve"> </w:t>
      </w:r>
      <w:r>
        <w:rPr>
          <w:sz w:val="18"/>
        </w:rPr>
        <w:t>p.</w:t>
      </w:r>
      <w:r>
        <w:rPr>
          <w:spacing w:val="-9"/>
          <w:sz w:val="18"/>
        </w:rPr>
        <w:t xml:space="preserve"> </w:t>
      </w:r>
      <w:r>
        <w:rPr>
          <w:spacing w:val="-5"/>
          <w:sz w:val="18"/>
        </w:rPr>
        <w:t>62.</w:t>
      </w:r>
    </w:p>
    <w:p w14:paraId="51DE804A" w14:textId="77777777" w:rsidR="0010369C" w:rsidRDefault="0010369C">
      <w:pPr>
        <w:rPr>
          <w:sz w:val="18"/>
        </w:rPr>
        <w:sectPr w:rsidR="0010369C">
          <w:pgSz w:w="11910" w:h="16840"/>
          <w:pgMar w:top="880" w:right="800" w:bottom="980" w:left="1180" w:header="569" w:footer="788" w:gutter="0"/>
          <w:cols w:space="720"/>
        </w:sectPr>
      </w:pPr>
    </w:p>
    <w:p w14:paraId="51DE804B" w14:textId="77777777" w:rsidR="0010369C" w:rsidRDefault="008E43AE">
      <w:pPr>
        <w:tabs>
          <w:tab w:val="left" w:pos="6426"/>
        </w:tabs>
        <w:ind w:left="238"/>
        <w:rPr>
          <w:sz w:val="20"/>
        </w:rPr>
      </w:pPr>
      <w:r>
        <w:rPr>
          <w:i/>
          <w:sz w:val="20"/>
        </w:rPr>
        <w:lastRenderedPageBreak/>
        <w:t>China</w:t>
      </w:r>
      <w:r>
        <w:rPr>
          <w:i/>
          <w:spacing w:val="-5"/>
          <w:sz w:val="20"/>
        </w:rPr>
        <w:t xml:space="preserve"> </w:t>
      </w:r>
      <w:r>
        <w:rPr>
          <w:i/>
          <w:sz w:val="20"/>
        </w:rPr>
        <w:t>–</w:t>
      </w:r>
      <w:r>
        <w:rPr>
          <w:i/>
          <w:spacing w:val="-5"/>
          <w:sz w:val="20"/>
        </w:rPr>
        <w:t xml:space="preserve"> </w:t>
      </w:r>
      <w:r>
        <w:rPr>
          <w:i/>
          <w:sz w:val="20"/>
        </w:rPr>
        <w:t>Anti‐Dumping</w:t>
      </w:r>
      <w:r>
        <w:rPr>
          <w:i/>
          <w:spacing w:val="-4"/>
          <w:sz w:val="20"/>
        </w:rPr>
        <w:t xml:space="preserve"> </w:t>
      </w:r>
      <w:r>
        <w:rPr>
          <w:i/>
          <w:sz w:val="20"/>
        </w:rPr>
        <w:t>and</w:t>
      </w:r>
      <w:r>
        <w:rPr>
          <w:i/>
          <w:spacing w:val="-5"/>
          <w:sz w:val="20"/>
        </w:rPr>
        <w:t xml:space="preserve"> </w:t>
      </w:r>
      <w:r>
        <w:rPr>
          <w:i/>
          <w:sz w:val="20"/>
        </w:rPr>
        <w:t>Countervailing</w:t>
      </w:r>
      <w:r>
        <w:rPr>
          <w:i/>
          <w:spacing w:val="-5"/>
          <w:sz w:val="20"/>
        </w:rPr>
        <w:t xml:space="preserve"> </w:t>
      </w:r>
      <w:r>
        <w:rPr>
          <w:i/>
          <w:sz w:val="20"/>
        </w:rPr>
        <w:t>Duty</w:t>
      </w:r>
      <w:r>
        <w:rPr>
          <w:i/>
          <w:spacing w:val="-4"/>
          <w:sz w:val="20"/>
        </w:rPr>
        <w:t xml:space="preserve"> </w:t>
      </w:r>
      <w:r>
        <w:rPr>
          <w:i/>
          <w:spacing w:val="-2"/>
          <w:sz w:val="20"/>
        </w:rPr>
        <w:t>Measures</w:t>
      </w:r>
      <w:r>
        <w:rPr>
          <w:i/>
          <w:sz w:val="20"/>
        </w:rPr>
        <w:tab/>
      </w:r>
      <w:r>
        <w:rPr>
          <w:sz w:val="20"/>
        </w:rPr>
        <w:t>Australia's</w:t>
      </w:r>
      <w:r>
        <w:rPr>
          <w:spacing w:val="-7"/>
          <w:sz w:val="20"/>
        </w:rPr>
        <w:t xml:space="preserve"> </w:t>
      </w:r>
      <w:r>
        <w:rPr>
          <w:sz w:val="20"/>
        </w:rPr>
        <w:t>First</w:t>
      </w:r>
      <w:r>
        <w:rPr>
          <w:spacing w:val="-2"/>
          <w:sz w:val="20"/>
        </w:rPr>
        <w:t xml:space="preserve"> </w:t>
      </w:r>
      <w:r>
        <w:rPr>
          <w:sz w:val="20"/>
        </w:rPr>
        <w:t>Written</w:t>
      </w:r>
      <w:r>
        <w:rPr>
          <w:spacing w:val="-2"/>
          <w:sz w:val="20"/>
        </w:rPr>
        <w:t xml:space="preserve"> Submission</w:t>
      </w:r>
    </w:p>
    <w:p w14:paraId="51DE804C" w14:textId="77777777" w:rsidR="0010369C" w:rsidRDefault="008E43AE">
      <w:pPr>
        <w:tabs>
          <w:tab w:val="left" w:pos="8228"/>
        </w:tabs>
        <w:spacing w:before="1"/>
        <w:ind w:left="239"/>
        <w:rPr>
          <w:sz w:val="20"/>
        </w:rPr>
      </w:pPr>
      <w:r>
        <w:pict w14:anchorId="51DE9ECD">
          <v:rect id="docshape234" o:spid="_x0000_s2018" style="position:absolute;left:0;text-align:left;margin-left:69.9pt;margin-top:14.1pt;width:453.55pt;height:16.05pt;z-index:-251166208;mso-wrap-distance-left:0;mso-wrap-distance-right:0;mso-position-horizontal-relative:page" fillcolor="black" stroked="f">
            <w10:wrap type="topAndBottom" anchorx="page"/>
          </v:rect>
        </w:pict>
      </w:r>
      <w:r>
        <w:rPr>
          <w:i/>
          <w:sz w:val="20"/>
        </w:rPr>
        <w:t>on</w:t>
      </w:r>
      <w:r>
        <w:rPr>
          <w:i/>
          <w:spacing w:val="-1"/>
          <w:sz w:val="20"/>
        </w:rPr>
        <w:t xml:space="preserve"> </w:t>
      </w:r>
      <w:r>
        <w:rPr>
          <w:i/>
          <w:sz w:val="20"/>
        </w:rPr>
        <w:t>Wine</w:t>
      </w:r>
      <w:r>
        <w:rPr>
          <w:i/>
          <w:spacing w:val="-1"/>
          <w:sz w:val="20"/>
        </w:rPr>
        <w:t xml:space="preserve"> </w:t>
      </w:r>
      <w:r>
        <w:rPr>
          <w:i/>
          <w:sz w:val="20"/>
        </w:rPr>
        <w:t>from</w:t>
      </w:r>
      <w:r>
        <w:rPr>
          <w:i/>
          <w:spacing w:val="-3"/>
          <w:sz w:val="20"/>
        </w:rPr>
        <w:t xml:space="preserve"> </w:t>
      </w:r>
      <w:r>
        <w:rPr>
          <w:i/>
          <w:sz w:val="20"/>
        </w:rPr>
        <w:t>Australia</w:t>
      </w:r>
      <w:r>
        <w:rPr>
          <w:i/>
          <w:spacing w:val="-1"/>
          <w:sz w:val="20"/>
        </w:rPr>
        <w:t xml:space="preserve"> </w:t>
      </w:r>
      <w:r>
        <w:rPr>
          <w:spacing w:val="-2"/>
          <w:sz w:val="20"/>
        </w:rPr>
        <w:t>(DS602)</w:t>
      </w:r>
      <w:r>
        <w:rPr>
          <w:sz w:val="20"/>
        </w:rPr>
        <w:tab/>
        <w:t>29</w:t>
      </w:r>
      <w:r>
        <w:rPr>
          <w:spacing w:val="-1"/>
          <w:sz w:val="20"/>
        </w:rPr>
        <w:t xml:space="preserve"> </w:t>
      </w:r>
      <w:r>
        <w:rPr>
          <w:sz w:val="20"/>
        </w:rPr>
        <w:t>April</w:t>
      </w:r>
      <w:r>
        <w:rPr>
          <w:spacing w:val="-2"/>
          <w:sz w:val="20"/>
        </w:rPr>
        <w:t xml:space="preserve"> </w:t>
      </w:r>
      <w:r>
        <w:rPr>
          <w:spacing w:val="-4"/>
          <w:sz w:val="20"/>
        </w:rPr>
        <w:t>2022</w:t>
      </w:r>
    </w:p>
    <w:p w14:paraId="51DE804D" w14:textId="77777777" w:rsidR="0010369C" w:rsidRDefault="008E43AE">
      <w:pPr>
        <w:spacing w:before="112"/>
        <w:ind w:right="2396"/>
        <w:jc w:val="right"/>
        <w:rPr>
          <w:sz w:val="16"/>
        </w:rPr>
      </w:pPr>
      <w:r>
        <w:rPr>
          <w:spacing w:val="-2"/>
          <w:position w:val="-7"/>
          <w:sz w:val="24"/>
        </w:rPr>
        <w:t>]]</w:t>
      </w:r>
      <w:r>
        <w:rPr>
          <w:color w:val="5E5E5E"/>
          <w:spacing w:val="-2"/>
          <w:sz w:val="16"/>
        </w:rPr>
        <w:t>159</w:t>
      </w:r>
    </w:p>
    <w:p w14:paraId="51DE804E" w14:textId="77777777" w:rsidR="0010369C" w:rsidRDefault="0010369C">
      <w:pPr>
        <w:pStyle w:val="BodyText"/>
        <w:rPr>
          <w:sz w:val="25"/>
        </w:rPr>
      </w:pPr>
    </w:p>
    <w:p w14:paraId="51DE804F" w14:textId="77777777" w:rsidR="0010369C" w:rsidRDefault="008E43AE">
      <w:pPr>
        <w:pStyle w:val="BodyText"/>
        <w:ind w:left="1089"/>
      </w:pPr>
      <w:r>
        <w:rPr>
          <w:noProof/>
        </w:rPr>
        <w:drawing>
          <wp:anchor distT="0" distB="0" distL="0" distR="0" simplePos="0" relativeHeight="250621440" behindDoc="0" locked="0" layoutInCell="1" allowOverlap="1" wp14:anchorId="51DE9ECE" wp14:editId="51DE9ECF">
            <wp:simplePos x="0" y="0"/>
            <wp:positionH relativeFrom="page">
              <wp:posOffset>908303</wp:posOffset>
            </wp:positionH>
            <wp:positionV relativeFrom="paragraph">
              <wp:posOffset>43765</wp:posOffset>
            </wp:positionV>
            <wp:extent cx="256031" cy="106679"/>
            <wp:effectExtent l="0" t="0" r="0" b="0"/>
            <wp:wrapNone/>
            <wp:docPr id="311" name="image1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image164.png"/>
                    <pic:cNvPicPr/>
                  </pic:nvPicPr>
                  <pic:blipFill>
                    <a:blip r:embed="rId258" cstate="print"/>
                    <a:stretch>
                      <a:fillRect/>
                    </a:stretch>
                  </pic:blipFill>
                  <pic:spPr>
                    <a:xfrm>
                      <a:off x="0" y="0"/>
                      <a:ext cx="256031" cy="106679"/>
                    </a:xfrm>
                    <a:prstGeom prst="rect">
                      <a:avLst/>
                    </a:prstGeom>
                  </pic:spPr>
                </pic:pic>
              </a:graphicData>
            </a:graphic>
          </wp:anchor>
        </w:drawing>
      </w:r>
      <w:r>
        <w:pict w14:anchorId="51DE9ED0">
          <v:rect id="docshape235" o:spid="_x0000_s2017" style="position:absolute;left:0;text-align:left;margin-left:480.95pt;margin-top:.1pt;width:42.4pt;height:16.05pt;z-index:251718144;mso-position-horizontal-relative:page;mso-position-vertical-relative:text" fillcolor="black" stroked="f">
            <w10:wrap anchorx="page"/>
          </v:rect>
        </w:pict>
      </w:r>
      <w:r>
        <w:pict w14:anchorId="51DE9ED1">
          <v:rect id="docshape236" o:spid="_x0000_s2016" style="position:absolute;left:0;text-align:left;margin-left:69.9pt;margin-top:-29.75pt;width:344.95pt;height:16.05pt;z-index:251720192;mso-position-horizontal-relative:page;mso-position-vertical-relative:text" fillcolor="black" stroked="f">
            <w10:wrap anchorx="page"/>
          </v:rect>
        </w:pict>
      </w:r>
      <w:r>
        <w:t>Consistent</w:t>
      </w:r>
      <w:r>
        <w:rPr>
          <w:spacing w:val="15"/>
        </w:rPr>
        <w:t xml:space="preserve"> </w:t>
      </w:r>
      <w:r>
        <w:t>with</w:t>
      </w:r>
      <w:r>
        <w:rPr>
          <w:spacing w:val="16"/>
        </w:rPr>
        <w:t xml:space="preserve"> </w:t>
      </w:r>
      <w:r>
        <w:t>Australia's</w:t>
      </w:r>
      <w:r>
        <w:rPr>
          <w:spacing w:val="15"/>
        </w:rPr>
        <w:t xml:space="preserve"> </w:t>
      </w:r>
      <w:r>
        <w:t>submissions</w:t>
      </w:r>
      <w:r>
        <w:rPr>
          <w:spacing w:val="16"/>
        </w:rPr>
        <w:t xml:space="preserve"> </w:t>
      </w:r>
      <w:r>
        <w:t>in</w:t>
      </w:r>
      <w:r>
        <w:rPr>
          <w:spacing w:val="16"/>
        </w:rPr>
        <w:t xml:space="preserve"> </w:t>
      </w:r>
      <w:r>
        <w:t>respect</w:t>
      </w:r>
      <w:r>
        <w:rPr>
          <w:spacing w:val="16"/>
        </w:rPr>
        <w:t xml:space="preserve"> </w:t>
      </w:r>
      <w:r>
        <w:t>of</w:t>
      </w:r>
      <w:r>
        <w:rPr>
          <w:spacing w:val="16"/>
        </w:rPr>
        <w:t xml:space="preserve"> </w:t>
      </w:r>
      <w:r>
        <w:t>Form</w:t>
      </w:r>
      <w:r>
        <w:rPr>
          <w:spacing w:val="15"/>
        </w:rPr>
        <w:t xml:space="preserve"> </w:t>
      </w:r>
      <w:r>
        <w:t>6‐1‐1</w:t>
      </w:r>
      <w:r>
        <w:rPr>
          <w:spacing w:val="16"/>
        </w:rPr>
        <w:t xml:space="preserve"> </w:t>
      </w:r>
      <w:r>
        <w:t>above,</w:t>
      </w:r>
      <w:r>
        <w:rPr>
          <w:spacing w:val="16"/>
        </w:rPr>
        <w:t xml:space="preserve"> </w:t>
      </w:r>
      <w:r>
        <w:rPr>
          <w:spacing w:val="-5"/>
        </w:rPr>
        <w:t>[[</w:t>
      </w:r>
    </w:p>
    <w:p w14:paraId="51DE8050" w14:textId="77777777" w:rsidR="0010369C" w:rsidRDefault="008E43AE">
      <w:pPr>
        <w:pStyle w:val="BodyText"/>
        <w:spacing w:before="4"/>
        <w:rPr>
          <w:sz w:val="10"/>
        </w:rPr>
      </w:pPr>
      <w:r>
        <w:pict w14:anchorId="51DE9ED2">
          <v:rect id="docshape237" o:spid="_x0000_s2015" style="position:absolute;margin-left:69.9pt;margin-top:7.5pt;width:453.45pt;height:16.05pt;z-index:-251165184;mso-wrap-distance-left:0;mso-wrap-distance-right:0;mso-position-horizontal-relative:page" fillcolor="black" stroked="f">
            <w10:wrap type="topAndBottom" anchorx="page"/>
          </v:rect>
        </w:pict>
      </w:r>
      <w:r>
        <w:pict w14:anchorId="51DE9ED3">
          <v:rect id="docshape238" o:spid="_x0000_s2014" style="position:absolute;margin-left:69.9pt;margin-top:29.45pt;width:453.55pt;height:16.05pt;z-index:-251164160;mso-wrap-distance-left:0;mso-wrap-distance-right:0;mso-position-horizontal-relative:page" fillcolor="black" stroked="f">
            <w10:wrap type="topAndBottom" anchorx="page"/>
          </v:rect>
        </w:pict>
      </w:r>
    </w:p>
    <w:p w14:paraId="51DE8051" w14:textId="77777777" w:rsidR="0010369C" w:rsidRDefault="0010369C">
      <w:pPr>
        <w:pStyle w:val="BodyText"/>
        <w:spacing w:before="8"/>
        <w:rPr>
          <w:sz w:val="7"/>
        </w:rPr>
      </w:pPr>
    </w:p>
    <w:p w14:paraId="51DE8052" w14:textId="77777777" w:rsidR="0010369C" w:rsidRDefault="008E43AE">
      <w:pPr>
        <w:spacing w:before="116"/>
        <w:ind w:left="3658" w:right="1294"/>
        <w:jc w:val="center"/>
        <w:rPr>
          <w:sz w:val="24"/>
        </w:rPr>
      </w:pPr>
      <w:r>
        <w:rPr>
          <w:spacing w:val="-5"/>
          <w:sz w:val="24"/>
        </w:rPr>
        <w:t>]]</w:t>
      </w:r>
    </w:p>
    <w:p w14:paraId="51DE8053" w14:textId="77777777" w:rsidR="0010369C" w:rsidRDefault="0010369C">
      <w:pPr>
        <w:pStyle w:val="BodyText"/>
        <w:spacing w:before="1"/>
        <w:rPr>
          <w:sz w:val="25"/>
        </w:rPr>
      </w:pPr>
    </w:p>
    <w:p w14:paraId="51DE8054" w14:textId="77777777" w:rsidR="0010369C" w:rsidRDefault="008E43AE">
      <w:pPr>
        <w:pStyle w:val="BodyText"/>
        <w:ind w:left="1089"/>
      </w:pPr>
      <w:r>
        <w:pict w14:anchorId="51DE9ED4">
          <v:rect id="docshape239" o:spid="_x0000_s2013" style="position:absolute;left:0;text-align:left;margin-left:69.9pt;margin-top:-29.85pt;width:291.7pt;height:16.05pt;z-index:251719168;mso-position-horizontal-relative:page" fillcolor="black" stroked="f">
            <w10:wrap anchorx="page"/>
          </v:rect>
        </w:pict>
      </w:r>
      <w:r>
        <w:rPr>
          <w:noProof/>
        </w:rPr>
        <w:drawing>
          <wp:anchor distT="0" distB="0" distL="0" distR="0" simplePos="0" relativeHeight="250622464" behindDoc="0" locked="0" layoutInCell="1" allowOverlap="1" wp14:anchorId="51DE9ED5" wp14:editId="51DE9ED6">
            <wp:simplePos x="0" y="0"/>
            <wp:positionH relativeFrom="page">
              <wp:posOffset>908303</wp:posOffset>
            </wp:positionH>
            <wp:positionV relativeFrom="paragraph">
              <wp:posOffset>47575</wp:posOffset>
            </wp:positionV>
            <wp:extent cx="256031" cy="103631"/>
            <wp:effectExtent l="0" t="0" r="0" b="0"/>
            <wp:wrapNone/>
            <wp:docPr id="313" name="image1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image165.png"/>
                    <pic:cNvPicPr/>
                  </pic:nvPicPr>
                  <pic:blipFill>
                    <a:blip r:embed="rId259" cstate="print"/>
                    <a:stretch>
                      <a:fillRect/>
                    </a:stretch>
                  </pic:blipFill>
                  <pic:spPr>
                    <a:xfrm>
                      <a:off x="0" y="0"/>
                      <a:ext cx="256031" cy="103631"/>
                    </a:xfrm>
                    <a:prstGeom prst="rect">
                      <a:avLst/>
                    </a:prstGeom>
                  </pic:spPr>
                </pic:pic>
              </a:graphicData>
            </a:graphic>
          </wp:anchor>
        </w:drawing>
      </w:r>
      <w:r>
        <w:t>This</w:t>
      </w:r>
      <w:r>
        <w:rPr>
          <w:spacing w:val="59"/>
          <w:w w:val="150"/>
        </w:rPr>
        <w:t xml:space="preserve"> </w:t>
      </w:r>
      <w:r>
        <w:t>is</w:t>
      </w:r>
      <w:r>
        <w:rPr>
          <w:spacing w:val="60"/>
          <w:w w:val="150"/>
        </w:rPr>
        <w:t xml:space="preserve"> </w:t>
      </w:r>
      <w:r>
        <w:t>confirmed</w:t>
      </w:r>
      <w:r>
        <w:rPr>
          <w:spacing w:val="59"/>
          <w:w w:val="150"/>
        </w:rPr>
        <w:t xml:space="preserve"> </w:t>
      </w:r>
      <w:r>
        <w:t>in</w:t>
      </w:r>
      <w:r>
        <w:rPr>
          <w:spacing w:val="60"/>
          <w:w w:val="150"/>
        </w:rPr>
        <w:t xml:space="preserve"> </w:t>
      </w:r>
      <w:r>
        <w:t>the</w:t>
      </w:r>
      <w:r>
        <w:rPr>
          <w:spacing w:val="59"/>
          <w:w w:val="150"/>
        </w:rPr>
        <w:t xml:space="preserve"> </w:t>
      </w:r>
      <w:r>
        <w:t>evidence</w:t>
      </w:r>
      <w:r>
        <w:rPr>
          <w:spacing w:val="59"/>
          <w:w w:val="150"/>
        </w:rPr>
        <w:t xml:space="preserve"> </w:t>
      </w:r>
      <w:r>
        <w:t>submitted</w:t>
      </w:r>
      <w:r>
        <w:rPr>
          <w:spacing w:val="59"/>
          <w:w w:val="150"/>
        </w:rPr>
        <w:t xml:space="preserve"> </w:t>
      </w:r>
      <w:r>
        <w:t>by</w:t>
      </w:r>
      <w:r>
        <w:rPr>
          <w:spacing w:val="60"/>
          <w:w w:val="150"/>
        </w:rPr>
        <w:t xml:space="preserve"> </w:t>
      </w:r>
      <w:r>
        <w:t>Treasury</w:t>
      </w:r>
      <w:r>
        <w:rPr>
          <w:spacing w:val="60"/>
          <w:w w:val="150"/>
        </w:rPr>
        <w:t xml:space="preserve"> </w:t>
      </w:r>
      <w:r>
        <w:t>Wines</w:t>
      </w:r>
      <w:r>
        <w:rPr>
          <w:spacing w:val="58"/>
          <w:w w:val="150"/>
        </w:rPr>
        <w:t xml:space="preserve"> </w:t>
      </w:r>
      <w:r>
        <w:t>during</w:t>
      </w:r>
      <w:r>
        <w:rPr>
          <w:spacing w:val="60"/>
          <w:w w:val="150"/>
        </w:rPr>
        <w:t xml:space="preserve"> </w:t>
      </w:r>
      <w:r>
        <w:rPr>
          <w:spacing w:val="-5"/>
        </w:rPr>
        <w:t>the</w:t>
      </w:r>
    </w:p>
    <w:p w14:paraId="51DE8055" w14:textId="77777777" w:rsidR="0010369C" w:rsidRDefault="0010369C">
      <w:pPr>
        <w:pStyle w:val="BodyText"/>
        <w:spacing w:before="2"/>
        <w:rPr>
          <w:sz w:val="12"/>
        </w:rPr>
      </w:pPr>
    </w:p>
    <w:tbl>
      <w:tblPr>
        <w:tblW w:w="0" w:type="auto"/>
        <w:tblInd w:w="225" w:type="dxa"/>
        <w:tblLayout w:type="fixed"/>
        <w:tblCellMar>
          <w:left w:w="0" w:type="dxa"/>
          <w:right w:w="0" w:type="dxa"/>
        </w:tblCellMar>
        <w:tblLook w:val="01E0" w:firstRow="1" w:lastRow="1" w:firstColumn="1" w:lastColumn="1" w:noHBand="0" w:noVBand="0"/>
      </w:tblPr>
      <w:tblGrid>
        <w:gridCol w:w="1518"/>
        <w:gridCol w:w="6780"/>
        <w:gridCol w:w="770"/>
      </w:tblGrid>
      <w:tr w:rsidR="0010369C" w14:paraId="51DE8058" w14:textId="77777777">
        <w:trPr>
          <w:trHeight w:val="320"/>
        </w:trPr>
        <w:tc>
          <w:tcPr>
            <w:tcW w:w="1518" w:type="dxa"/>
            <w:tcBorders>
              <w:bottom w:val="single" w:sz="48" w:space="0" w:color="FFFFFF"/>
            </w:tcBorders>
          </w:tcPr>
          <w:p w14:paraId="51DE8056" w14:textId="77777777" w:rsidR="0010369C" w:rsidRDefault="008E43AE">
            <w:pPr>
              <w:pStyle w:val="TableParagraph"/>
              <w:spacing w:line="291" w:lineRule="exact"/>
              <w:ind w:left="19" w:right="-29"/>
              <w:rPr>
                <w:sz w:val="24"/>
              </w:rPr>
            </w:pPr>
            <w:r>
              <w:rPr>
                <w:spacing w:val="-2"/>
                <w:sz w:val="24"/>
              </w:rPr>
              <w:t>investigation.</w:t>
            </w:r>
            <w:r>
              <w:rPr>
                <w:spacing w:val="5"/>
                <w:sz w:val="24"/>
              </w:rPr>
              <w:t xml:space="preserve"> </w:t>
            </w:r>
            <w:r>
              <w:rPr>
                <w:spacing w:val="-5"/>
                <w:sz w:val="24"/>
              </w:rPr>
              <w:t>[[</w:t>
            </w:r>
          </w:p>
        </w:tc>
        <w:tc>
          <w:tcPr>
            <w:tcW w:w="7550" w:type="dxa"/>
            <w:gridSpan w:val="2"/>
            <w:tcBorders>
              <w:bottom w:val="single" w:sz="48" w:space="0" w:color="FFFFFF"/>
            </w:tcBorders>
            <w:shd w:val="clear" w:color="auto" w:fill="000000"/>
          </w:tcPr>
          <w:p w14:paraId="51DE8057" w14:textId="77777777" w:rsidR="0010369C" w:rsidRDefault="0010369C">
            <w:pPr>
              <w:pStyle w:val="TableParagraph"/>
              <w:rPr>
                <w:rFonts w:ascii="Times New Roman"/>
                <w:sz w:val="20"/>
              </w:rPr>
            </w:pPr>
          </w:p>
        </w:tc>
      </w:tr>
      <w:tr w:rsidR="0010369C" w14:paraId="51DE805A" w14:textId="77777777">
        <w:trPr>
          <w:trHeight w:val="319"/>
        </w:trPr>
        <w:tc>
          <w:tcPr>
            <w:tcW w:w="9068" w:type="dxa"/>
            <w:gridSpan w:val="3"/>
            <w:tcBorders>
              <w:top w:val="single" w:sz="48" w:space="0" w:color="FFFFFF"/>
              <w:bottom w:val="single" w:sz="48" w:space="0" w:color="FFFFFF"/>
            </w:tcBorders>
            <w:shd w:val="clear" w:color="auto" w:fill="000000"/>
          </w:tcPr>
          <w:p w14:paraId="51DE8059" w14:textId="77777777" w:rsidR="0010369C" w:rsidRDefault="0010369C">
            <w:pPr>
              <w:pStyle w:val="TableParagraph"/>
              <w:rPr>
                <w:rFonts w:ascii="Times New Roman"/>
                <w:sz w:val="20"/>
              </w:rPr>
            </w:pPr>
          </w:p>
        </w:tc>
      </w:tr>
      <w:tr w:rsidR="0010369C" w14:paraId="51DE805C" w14:textId="77777777">
        <w:trPr>
          <w:trHeight w:val="319"/>
        </w:trPr>
        <w:tc>
          <w:tcPr>
            <w:tcW w:w="9068" w:type="dxa"/>
            <w:gridSpan w:val="3"/>
            <w:tcBorders>
              <w:top w:val="single" w:sz="48" w:space="0" w:color="FFFFFF"/>
              <w:bottom w:val="single" w:sz="48" w:space="0" w:color="FFFFFF"/>
            </w:tcBorders>
            <w:shd w:val="clear" w:color="auto" w:fill="000000"/>
          </w:tcPr>
          <w:p w14:paraId="51DE805B" w14:textId="77777777" w:rsidR="0010369C" w:rsidRDefault="0010369C">
            <w:pPr>
              <w:pStyle w:val="TableParagraph"/>
              <w:rPr>
                <w:rFonts w:ascii="Times New Roman"/>
                <w:sz w:val="20"/>
              </w:rPr>
            </w:pPr>
          </w:p>
        </w:tc>
      </w:tr>
      <w:tr w:rsidR="0010369C" w14:paraId="51DE805E" w14:textId="77777777">
        <w:trPr>
          <w:trHeight w:val="319"/>
        </w:trPr>
        <w:tc>
          <w:tcPr>
            <w:tcW w:w="9068" w:type="dxa"/>
            <w:gridSpan w:val="3"/>
            <w:tcBorders>
              <w:top w:val="single" w:sz="48" w:space="0" w:color="FFFFFF"/>
              <w:bottom w:val="single" w:sz="48" w:space="0" w:color="FFFFFF"/>
            </w:tcBorders>
            <w:shd w:val="clear" w:color="auto" w:fill="000000"/>
          </w:tcPr>
          <w:p w14:paraId="51DE805D" w14:textId="77777777" w:rsidR="0010369C" w:rsidRDefault="0010369C">
            <w:pPr>
              <w:pStyle w:val="TableParagraph"/>
              <w:rPr>
                <w:rFonts w:ascii="Times New Roman"/>
                <w:sz w:val="20"/>
              </w:rPr>
            </w:pPr>
          </w:p>
        </w:tc>
      </w:tr>
      <w:tr w:rsidR="0010369C" w14:paraId="51DE8060" w14:textId="77777777">
        <w:trPr>
          <w:trHeight w:val="319"/>
        </w:trPr>
        <w:tc>
          <w:tcPr>
            <w:tcW w:w="9068" w:type="dxa"/>
            <w:gridSpan w:val="3"/>
            <w:tcBorders>
              <w:top w:val="single" w:sz="48" w:space="0" w:color="FFFFFF"/>
              <w:bottom w:val="single" w:sz="48" w:space="0" w:color="FFFFFF"/>
            </w:tcBorders>
            <w:shd w:val="clear" w:color="auto" w:fill="000000"/>
          </w:tcPr>
          <w:p w14:paraId="51DE805F" w14:textId="77777777" w:rsidR="0010369C" w:rsidRDefault="0010369C">
            <w:pPr>
              <w:pStyle w:val="TableParagraph"/>
              <w:rPr>
                <w:rFonts w:ascii="Times New Roman"/>
                <w:sz w:val="20"/>
              </w:rPr>
            </w:pPr>
          </w:p>
        </w:tc>
      </w:tr>
      <w:tr w:rsidR="0010369C" w14:paraId="51DE8062" w14:textId="77777777">
        <w:trPr>
          <w:trHeight w:val="319"/>
        </w:trPr>
        <w:tc>
          <w:tcPr>
            <w:tcW w:w="9068" w:type="dxa"/>
            <w:gridSpan w:val="3"/>
            <w:tcBorders>
              <w:top w:val="single" w:sz="48" w:space="0" w:color="FFFFFF"/>
              <w:bottom w:val="single" w:sz="48" w:space="0" w:color="FFFFFF"/>
            </w:tcBorders>
            <w:shd w:val="clear" w:color="auto" w:fill="000000"/>
          </w:tcPr>
          <w:p w14:paraId="51DE8061" w14:textId="77777777" w:rsidR="0010369C" w:rsidRDefault="0010369C">
            <w:pPr>
              <w:pStyle w:val="TableParagraph"/>
              <w:rPr>
                <w:rFonts w:ascii="Times New Roman"/>
                <w:sz w:val="20"/>
              </w:rPr>
            </w:pPr>
          </w:p>
        </w:tc>
      </w:tr>
      <w:tr w:rsidR="0010369C" w14:paraId="51DE8064" w14:textId="77777777">
        <w:trPr>
          <w:trHeight w:val="319"/>
        </w:trPr>
        <w:tc>
          <w:tcPr>
            <w:tcW w:w="9068" w:type="dxa"/>
            <w:gridSpan w:val="3"/>
            <w:tcBorders>
              <w:top w:val="single" w:sz="48" w:space="0" w:color="FFFFFF"/>
              <w:bottom w:val="single" w:sz="48" w:space="0" w:color="FFFFFF"/>
            </w:tcBorders>
            <w:shd w:val="clear" w:color="auto" w:fill="000000"/>
          </w:tcPr>
          <w:p w14:paraId="51DE8063" w14:textId="77777777" w:rsidR="0010369C" w:rsidRDefault="0010369C">
            <w:pPr>
              <w:pStyle w:val="TableParagraph"/>
              <w:rPr>
                <w:rFonts w:ascii="Times New Roman"/>
                <w:sz w:val="20"/>
              </w:rPr>
            </w:pPr>
          </w:p>
        </w:tc>
      </w:tr>
      <w:tr w:rsidR="0010369C" w14:paraId="51DE8066" w14:textId="77777777">
        <w:trPr>
          <w:trHeight w:val="319"/>
        </w:trPr>
        <w:tc>
          <w:tcPr>
            <w:tcW w:w="9068" w:type="dxa"/>
            <w:gridSpan w:val="3"/>
            <w:tcBorders>
              <w:top w:val="single" w:sz="48" w:space="0" w:color="FFFFFF"/>
              <w:bottom w:val="single" w:sz="48" w:space="0" w:color="FFFFFF"/>
            </w:tcBorders>
            <w:shd w:val="clear" w:color="auto" w:fill="000000"/>
          </w:tcPr>
          <w:p w14:paraId="51DE8065" w14:textId="77777777" w:rsidR="0010369C" w:rsidRDefault="0010369C">
            <w:pPr>
              <w:pStyle w:val="TableParagraph"/>
              <w:rPr>
                <w:rFonts w:ascii="Times New Roman"/>
                <w:sz w:val="20"/>
              </w:rPr>
            </w:pPr>
          </w:p>
        </w:tc>
      </w:tr>
      <w:tr w:rsidR="0010369C" w14:paraId="51DE8068" w14:textId="77777777">
        <w:trPr>
          <w:trHeight w:val="319"/>
        </w:trPr>
        <w:tc>
          <w:tcPr>
            <w:tcW w:w="9068" w:type="dxa"/>
            <w:gridSpan w:val="3"/>
            <w:tcBorders>
              <w:top w:val="single" w:sz="48" w:space="0" w:color="FFFFFF"/>
              <w:bottom w:val="single" w:sz="48" w:space="0" w:color="FFFFFF"/>
            </w:tcBorders>
            <w:shd w:val="clear" w:color="auto" w:fill="000000"/>
          </w:tcPr>
          <w:p w14:paraId="51DE8067" w14:textId="77777777" w:rsidR="0010369C" w:rsidRDefault="0010369C">
            <w:pPr>
              <w:pStyle w:val="TableParagraph"/>
              <w:rPr>
                <w:rFonts w:ascii="Times New Roman"/>
                <w:sz w:val="20"/>
              </w:rPr>
            </w:pPr>
          </w:p>
        </w:tc>
      </w:tr>
      <w:tr w:rsidR="0010369C" w14:paraId="51DE806A" w14:textId="77777777">
        <w:trPr>
          <w:trHeight w:val="319"/>
        </w:trPr>
        <w:tc>
          <w:tcPr>
            <w:tcW w:w="9068" w:type="dxa"/>
            <w:gridSpan w:val="3"/>
            <w:tcBorders>
              <w:top w:val="single" w:sz="48" w:space="0" w:color="FFFFFF"/>
              <w:bottom w:val="single" w:sz="48" w:space="0" w:color="FFFFFF"/>
            </w:tcBorders>
            <w:shd w:val="clear" w:color="auto" w:fill="000000"/>
          </w:tcPr>
          <w:p w14:paraId="51DE8069" w14:textId="77777777" w:rsidR="0010369C" w:rsidRDefault="0010369C">
            <w:pPr>
              <w:pStyle w:val="TableParagraph"/>
              <w:rPr>
                <w:rFonts w:ascii="Times New Roman"/>
                <w:sz w:val="20"/>
              </w:rPr>
            </w:pPr>
          </w:p>
        </w:tc>
      </w:tr>
      <w:tr w:rsidR="0010369C" w14:paraId="51DE806C" w14:textId="77777777">
        <w:trPr>
          <w:trHeight w:val="319"/>
        </w:trPr>
        <w:tc>
          <w:tcPr>
            <w:tcW w:w="9068" w:type="dxa"/>
            <w:gridSpan w:val="3"/>
            <w:tcBorders>
              <w:top w:val="single" w:sz="48" w:space="0" w:color="FFFFFF"/>
              <w:bottom w:val="single" w:sz="48" w:space="0" w:color="FFFFFF"/>
            </w:tcBorders>
            <w:shd w:val="clear" w:color="auto" w:fill="000000"/>
          </w:tcPr>
          <w:p w14:paraId="51DE806B" w14:textId="77777777" w:rsidR="0010369C" w:rsidRDefault="0010369C">
            <w:pPr>
              <w:pStyle w:val="TableParagraph"/>
              <w:rPr>
                <w:rFonts w:ascii="Times New Roman"/>
                <w:sz w:val="20"/>
              </w:rPr>
            </w:pPr>
          </w:p>
        </w:tc>
      </w:tr>
      <w:tr w:rsidR="0010369C" w14:paraId="51DE806F" w14:textId="77777777">
        <w:trPr>
          <w:trHeight w:val="320"/>
        </w:trPr>
        <w:tc>
          <w:tcPr>
            <w:tcW w:w="8298" w:type="dxa"/>
            <w:gridSpan w:val="2"/>
            <w:tcBorders>
              <w:top w:val="single" w:sz="48" w:space="0" w:color="FFFFFF"/>
            </w:tcBorders>
            <w:shd w:val="clear" w:color="auto" w:fill="000000"/>
          </w:tcPr>
          <w:p w14:paraId="51DE806D" w14:textId="77777777" w:rsidR="0010369C" w:rsidRDefault="0010369C">
            <w:pPr>
              <w:pStyle w:val="TableParagraph"/>
              <w:rPr>
                <w:rFonts w:ascii="Times New Roman"/>
                <w:sz w:val="20"/>
              </w:rPr>
            </w:pPr>
          </w:p>
        </w:tc>
        <w:tc>
          <w:tcPr>
            <w:tcW w:w="770" w:type="dxa"/>
            <w:tcBorders>
              <w:top w:val="single" w:sz="48" w:space="0" w:color="FFFFFF"/>
            </w:tcBorders>
          </w:tcPr>
          <w:p w14:paraId="51DE806E" w14:textId="77777777" w:rsidR="0010369C" w:rsidRDefault="0010369C">
            <w:pPr>
              <w:pStyle w:val="TableParagraph"/>
              <w:rPr>
                <w:rFonts w:ascii="Times New Roman"/>
                <w:sz w:val="20"/>
              </w:rPr>
            </w:pPr>
          </w:p>
        </w:tc>
      </w:tr>
    </w:tbl>
    <w:p w14:paraId="51DE8070" w14:textId="77777777" w:rsidR="0010369C" w:rsidRDefault="008E43AE">
      <w:pPr>
        <w:pStyle w:val="BodyText"/>
        <w:spacing w:before="3"/>
        <w:rPr>
          <w:sz w:val="21"/>
        </w:rPr>
      </w:pPr>
      <w:r>
        <w:rPr>
          <w:noProof/>
        </w:rPr>
        <w:drawing>
          <wp:anchor distT="0" distB="0" distL="0" distR="0" simplePos="0" relativeHeight="250593792" behindDoc="0" locked="0" layoutInCell="1" allowOverlap="1" wp14:anchorId="51DE9ED7" wp14:editId="51DE9ED8">
            <wp:simplePos x="0" y="0"/>
            <wp:positionH relativeFrom="page">
              <wp:posOffset>908303</wp:posOffset>
            </wp:positionH>
            <wp:positionV relativeFrom="paragraph">
              <wp:posOffset>227572</wp:posOffset>
            </wp:positionV>
            <wp:extent cx="255117" cy="100393"/>
            <wp:effectExtent l="0" t="0" r="0" b="0"/>
            <wp:wrapTopAndBottom/>
            <wp:docPr id="315" name="image1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image166.png"/>
                    <pic:cNvPicPr/>
                  </pic:nvPicPr>
                  <pic:blipFill>
                    <a:blip r:embed="rId260" cstate="print"/>
                    <a:stretch>
                      <a:fillRect/>
                    </a:stretch>
                  </pic:blipFill>
                  <pic:spPr>
                    <a:xfrm>
                      <a:off x="0" y="0"/>
                      <a:ext cx="255117" cy="100393"/>
                    </a:xfrm>
                    <a:prstGeom prst="rect">
                      <a:avLst/>
                    </a:prstGeom>
                  </pic:spPr>
                </pic:pic>
              </a:graphicData>
            </a:graphic>
          </wp:anchor>
        </w:drawing>
      </w:r>
      <w:r>
        <w:pict w14:anchorId="51DE9ED9">
          <v:rect id="docshape240" o:spid="_x0000_s2012" style="position:absolute;margin-left:112.45pt;margin-top:14.2pt;width:410.95pt;height:16.05pt;z-index:-251163136;mso-wrap-distance-left:0;mso-wrap-distance-right:0;mso-position-horizontal-relative:page;mso-position-vertical-relative:text" fillcolor="black" stroked="f">
            <w10:wrap type="topAndBottom" anchorx="page"/>
          </v:rect>
        </w:pict>
      </w:r>
      <w:r>
        <w:pict w14:anchorId="51DE9EDA">
          <v:rect id="docshape241" o:spid="_x0000_s2011" style="position:absolute;margin-left:69.9pt;margin-top:36.15pt;width:453.5pt;height:16.05pt;z-index:-251162112;mso-wrap-distance-left:0;mso-wrap-distance-right:0;mso-position-horizontal-relative:page;mso-position-vertical-relative:text" fillcolor="black" stroked="f">
            <w10:wrap type="topAndBottom" anchorx="page"/>
          </v:rect>
        </w:pict>
      </w:r>
    </w:p>
    <w:p w14:paraId="51DE8071" w14:textId="77777777" w:rsidR="0010369C" w:rsidRDefault="0010369C">
      <w:pPr>
        <w:pStyle w:val="BodyText"/>
        <w:spacing w:before="8"/>
        <w:rPr>
          <w:sz w:val="7"/>
        </w:rPr>
      </w:pPr>
    </w:p>
    <w:p w14:paraId="51DE8072" w14:textId="77777777" w:rsidR="0010369C" w:rsidRDefault="008E43AE">
      <w:pPr>
        <w:pStyle w:val="BodyText"/>
        <w:spacing w:before="115"/>
        <w:ind w:left="3163"/>
      </w:pPr>
      <w:r>
        <w:rPr>
          <w:w w:val="95"/>
        </w:rPr>
        <w:t>]]</w:t>
      </w:r>
      <w:r>
        <w:rPr>
          <w:spacing w:val="8"/>
        </w:rPr>
        <w:t xml:space="preserve"> </w:t>
      </w:r>
      <w:r>
        <w:rPr>
          <w:w w:val="95"/>
        </w:rPr>
        <w:t>Such</w:t>
      </w:r>
      <w:r>
        <w:rPr>
          <w:spacing w:val="10"/>
        </w:rPr>
        <w:t xml:space="preserve"> </w:t>
      </w:r>
      <w:r>
        <w:rPr>
          <w:w w:val="95"/>
        </w:rPr>
        <w:t>costs,</w:t>
      </w:r>
      <w:r>
        <w:rPr>
          <w:spacing w:val="10"/>
        </w:rPr>
        <w:t xml:space="preserve"> </w:t>
      </w:r>
      <w:r>
        <w:rPr>
          <w:w w:val="95"/>
        </w:rPr>
        <w:t>therefore,</w:t>
      </w:r>
      <w:r>
        <w:rPr>
          <w:spacing w:val="8"/>
        </w:rPr>
        <w:t xml:space="preserve"> </w:t>
      </w:r>
      <w:r>
        <w:rPr>
          <w:w w:val="95"/>
        </w:rPr>
        <w:t>are</w:t>
      </w:r>
      <w:r>
        <w:rPr>
          <w:spacing w:val="10"/>
        </w:rPr>
        <w:t xml:space="preserve"> </w:t>
      </w:r>
      <w:r>
        <w:rPr>
          <w:w w:val="95"/>
        </w:rPr>
        <w:t>not</w:t>
      </w:r>
      <w:r>
        <w:rPr>
          <w:spacing w:val="10"/>
        </w:rPr>
        <w:t xml:space="preserve"> </w:t>
      </w:r>
      <w:r>
        <w:rPr>
          <w:w w:val="95"/>
        </w:rPr>
        <w:t>"necessary"</w:t>
      </w:r>
      <w:r>
        <w:rPr>
          <w:spacing w:val="7"/>
        </w:rPr>
        <w:t xml:space="preserve"> </w:t>
      </w:r>
      <w:r>
        <w:rPr>
          <w:w w:val="95"/>
        </w:rPr>
        <w:t>for</w:t>
      </w:r>
      <w:r>
        <w:rPr>
          <w:spacing w:val="10"/>
        </w:rPr>
        <w:t xml:space="preserve"> </w:t>
      </w:r>
      <w:r>
        <w:rPr>
          <w:w w:val="95"/>
        </w:rPr>
        <w:t>Treasury</w:t>
      </w:r>
      <w:r>
        <w:rPr>
          <w:spacing w:val="10"/>
        </w:rPr>
        <w:t xml:space="preserve"> </w:t>
      </w:r>
      <w:r>
        <w:rPr>
          <w:spacing w:val="-2"/>
          <w:w w:val="95"/>
        </w:rPr>
        <w:t>Wines'</w:t>
      </w:r>
    </w:p>
    <w:p w14:paraId="51DE8073" w14:textId="77777777" w:rsidR="0010369C" w:rsidRDefault="008E43AE">
      <w:pPr>
        <w:pStyle w:val="BodyText"/>
        <w:spacing w:before="146"/>
        <w:ind w:left="238"/>
      </w:pPr>
      <w:r>
        <w:pict w14:anchorId="51DE9EDB">
          <v:rect id="docshape242" o:spid="_x0000_s2010" style="position:absolute;left:0;text-align:left;margin-left:69.9pt;margin-top:-14.55pt;width:146.25pt;height:16.05pt;z-index:251721216;mso-position-horizontal-relative:page" fillcolor="black" stroked="f">
            <w10:wrap anchorx="page"/>
          </v:rect>
        </w:pict>
      </w:r>
      <w:r>
        <w:pict w14:anchorId="51DE9EDC">
          <v:rect id="docshape243" o:spid="_x0000_s2009" style="position:absolute;left:0;text-align:left;margin-left:209.95pt;margin-top:7.4pt;width:313.5pt;height:16.05pt;z-index:251722240;mso-position-horizontal-relative:page" fillcolor="black" stroked="f">
            <w10:wrap anchorx="page"/>
          </v:rect>
        </w:pict>
      </w:r>
      <w:r>
        <w:t>normal</w:t>
      </w:r>
      <w:r>
        <w:rPr>
          <w:spacing w:val="9"/>
        </w:rPr>
        <w:t xml:space="preserve"> </w:t>
      </w:r>
      <w:r>
        <w:t>value</w:t>
      </w:r>
      <w:r>
        <w:rPr>
          <w:spacing w:val="10"/>
        </w:rPr>
        <w:t xml:space="preserve"> </w:t>
      </w:r>
      <w:r>
        <w:t>calculations.</w:t>
      </w:r>
      <w:r>
        <w:rPr>
          <w:spacing w:val="9"/>
        </w:rPr>
        <w:t xml:space="preserve"> </w:t>
      </w:r>
      <w:r>
        <w:rPr>
          <w:spacing w:val="-5"/>
        </w:rPr>
        <w:t>[[</w:t>
      </w:r>
    </w:p>
    <w:p w14:paraId="51DE8074" w14:textId="77777777" w:rsidR="0010369C" w:rsidRDefault="008E43AE">
      <w:pPr>
        <w:pStyle w:val="BodyText"/>
        <w:spacing w:before="4"/>
        <w:rPr>
          <w:sz w:val="10"/>
        </w:rPr>
      </w:pPr>
      <w:r>
        <w:pict w14:anchorId="51DE9EDD">
          <v:rect id="docshape244" o:spid="_x0000_s2008" style="position:absolute;margin-left:69.9pt;margin-top:7.55pt;width:453.5pt;height:16.05pt;z-index:-251161088;mso-wrap-distance-left:0;mso-wrap-distance-right:0;mso-position-horizontal-relative:page" fillcolor="black" stroked="f">
            <w10:wrap type="topAndBottom" anchorx="page"/>
          </v:rect>
        </w:pict>
      </w:r>
      <w:r>
        <w:pict w14:anchorId="51DE9EDE">
          <v:rect id="docshape245" o:spid="_x0000_s2007" style="position:absolute;margin-left:69.9pt;margin-top:29.5pt;width:453.5pt;height:16.05pt;z-index:-251160064;mso-wrap-distance-left:0;mso-wrap-distance-right:0;mso-position-horizontal-relative:page" fillcolor="black" stroked="f">
            <w10:wrap type="topAndBottom" anchorx="page"/>
          </v:rect>
        </w:pict>
      </w:r>
      <w:r>
        <w:pict w14:anchorId="51DE9EDF">
          <v:rect id="docshape246" o:spid="_x0000_s2006" style="position:absolute;margin-left:69.9pt;margin-top:51.45pt;width:453.55pt;height:16.05pt;z-index:-251159040;mso-wrap-distance-left:0;mso-wrap-distance-right:0;mso-position-horizontal-relative:page" fillcolor="black" stroked="f">
            <w10:wrap type="topAndBottom" anchorx="page"/>
          </v:rect>
        </w:pict>
      </w:r>
      <w:r>
        <w:pict w14:anchorId="51DE9EE0">
          <v:rect id="docshape247" o:spid="_x0000_s2005" style="position:absolute;margin-left:69.9pt;margin-top:73.4pt;width:453.4pt;height:16.05pt;z-index:-251158016;mso-wrap-distance-left:0;mso-wrap-distance-right:0;mso-position-horizontal-relative:page" fillcolor="black" stroked="f">
            <w10:wrap type="topAndBottom" anchorx="page"/>
          </v:rect>
        </w:pict>
      </w:r>
    </w:p>
    <w:p w14:paraId="51DE8075" w14:textId="77777777" w:rsidR="0010369C" w:rsidRDefault="0010369C">
      <w:pPr>
        <w:pStyle w:val="BodyText"/>
        <w:spacing w:before="8"/>
        <w:rPr>
          <w:sz w:val="7"/>
        </w:rPr>
      </w:pPr>
    </w:p>
    <w:p w14:paraId="51DE8076" w14:textId="77777777" w:rsidR="0010369C" w:rsidRDefault="0010369C">
      <w:pPr>
        <w:pStyle w:val="BodyText"/>
        <w:spacing w:before="8"/>
        <w:rPr>
          <w:sz w:val="7"/>
        </w:rPr>
      </w:pPr>
    </w:p>
    <w:p w14:paraId="51DE8077" w14:textId="77777777" w:rsidR="0010369C" w:rsidRDefault="0010369C">
      <w:pPr>
        <w:pStyle w:val="BodyText"/>
        <w:spacing w:before="8"/>
        <w:rPr>
          <w:sz w:val="7"/>
        </w:rPr>
      </w:pPr>
    </w:p>
    <w:p w14:paraId="51DE8078" w14:textId="77777777" w:rsidR="0010369C" w:rsidRDefault="008E43AE">
      <w:pPr>
        <w:spacing w:before="116"/>
        <w:ind w:right="847"/>
        <w:jc w:val="right"/>
        <w:rPr>
          <w:sz w:val="24"/>
        </w:rPr>
      </w:pPr>
      <w:r>
        <w:rPr>
          <w:spacing w:val="-5"/>
          <w:sz w:val="24"/>
        </w:rPr>
        <w:t>]]</w:t>
      </w:r>
    </w:p>
    <w:p w14:paraId="51DE8079" w14:textId="77777777" w:rsidR="0010369C" w:rsidRDefault="0010369C">
      <w:pPr>
        <w:pStyle w:val="BodyText"/>
        <w:rPr>
          <w:sz w:val="20"/>
        </w:rPr>
      </w:pPr>
    </w:p>
    <w:p w14:paraId="51DE807A" w14:textId="77777777" w:rsidR="0010369C" w:rsidRDefault="0010369C">
      <w:pPr>
        <w:pStyle w:val="BodyText"/>
        <w:rPr>
          <w:sz w:val="20"/>
        </w:rPr>
      </w:pPr>
    </w:p>
    <w:p w14:paraId="51DE807B" w14:textId="77777777" w:rsidR="0010369C" w:rsidRDefault="008E43AE">
      <w:pPr>
        <w:pStyle w:val="BodyText"/>
        <w:spacing w:before="7"/>
        <w:rPr>
          <w:sz w:val="23"/>
        </w:rPr>
      </w:pPr>
      <w:r>
        <w:pict w14:anchorId="51DE9EE1">
          <v:rect id="docshape248" o:spid="_x0000_s2004" style="position:absolute;margin-left:70.9pt;margin-top:15.6pt;width:2in;height:.8pt;z-index:-251156992;mso-wrap-distance-left:0;mso-wrap-distance-right:0;mso-position-horizontal-relative:page" fillcolor="black" stroked="f">
            <w10:wrap type="topAndBottom" anchorx="page"/>
          </v:rect>
        </w:pict>
      </w:r>
    </w:p>
    <w:p w14:paraId="51DE807C" w14:textId="77777777" w:rsidR="0010369C" w:rsidRDefault="0010369C">
      <w:pPr>
        <w:pStyle w:val="BodyText"/>
        <w:spacing w:before="8"/>
        <w:rPr>
          <w:sz w:val="5"/>
        </w:rPr>
      </w:pPr>
    </w:p>
    <w:p w14:paraId="51DE807D" w14:textId="77777777" w:rsidR="0010369C" w:rsidRDefault="0010369C">
      <w:pPr>
        <w:rPr>
          <w:sz w:val="5"/>
        </w:rPr>
        <w:sectPr w:rsidR="0010369C">
          <w:pgSz w:w="11910" w:h="16840"/>
          <w:pgMar w:top="880" w:right="800" w:bottom="980" w:left="1180" w:header="569" w:footer="788" w:gutter="0"/>
          <w:cols w:space="720"/>
        </w:sectPr>
      </w:pPr>
    </w:p>
    <w:p w14:paraId="51DE807E" w14:textId="77777777" w:rsidR="0010369C" w:rsidRDefault="008E43AE">
      <w:pPr>
        <w:spacing w:before="74" w:line="158" w:lineRule="auto"/>
        <w:ind w:left="238"/>
        <w:rPr>
          <w:sz w:val="18"/>
        </w:rPr>
      </w:pPr>
      <w:r>
        <w:pict w14:anchorId="51DE9EE2">
          <v:rect id="docshape249" o:spid="_x0000_s2003" style="position:absolute;left:0;text-align:left;margin-left:69.9pt;margin-top:-58.75pt;width:434.5pt;height:16.05pt;z-index:251723264;mso-position-horizontal-relative:page" fillcolor="black" stroked="f">
            <w10:wrap anchorx="page"/>
          </v:rect>
        </w:pict>
      </w:r>
      <w:r>
        <w:pict w14:anchorId="51DE9EE3">
          <v:shape id="docshape250" o:spid="_x0000_s2002" style="position:absolute;left:0;text-align:left;margin-left:86.65pt;margin-top:2.35pt;width:303.3pt;height:23.05pt;z-index:251724288;mso-position-horizontal-relative:page" coordorigin="1733,47" coordsize="6066,461" path="m7799,47r-6066,l1733,266r,22l1733,507r6066,l7799,288r,-22l7799,47xe" fillcolor="black" stroked="f">
            <v:path arrowok="t"/>
            <w10:wrap anchorx="page"/>
          </v:shape>
        </w:pict>
      </w:r>
      <w:r>
        <w:pict w14:anchorId="51DE9EE4">
          <v:group id="docshapegroup251" o:spid="_x0000_s1999" style="position:absolute;left:0;text-align:left;margin-left:475.15pt;margin-top:749.4pt;width:34.7pt;height:23.05pt;z-index:251725312;mso-position-horizontal-relative:page;mso-position-vertical-relative:page" coordorigin="9503,14988" coordsize="694,461">
            <v:shape id="docshape252" o:spid="_x0000_s2001" style="position:absolute;left:9503;top:14987;width:694;height:461" coordorigin="9503,14988" coordsize="694,461" path="m10197,15207r-330,l9867,14988r-364,l9503,15207r,22l9503,15448r694,l10197,15207xe" fillcolor="black" stroked="f">
              <v:path arrowok="t"/>
            </v:shape>
            <v:shape id="docshape253" o:spid="_x0000_s2000" type="#_x0000_t202" style="position:absolute;left:9503;top:14987;width:694;height:461" filled="f" stroked="f">
              <v:textbox inset="0,0,0,0">
                <w:txbxContent>
                  <w:p w14:paraId="51DEAC2C" w14:textId="77777777" w:rsidR="0010369C" w:rsidRDefault="008E43AE">
                    <w:pPr>
                      <w:spacing w:line="213" w:lineRule="exact"/>
                      <w:ind w:left="383"/>
                      <w:rPr>
                        <w:sz w:val="18"/>
                      </w:rPr>
                    </w:pPr>
                    <w:r>
                      <w:rPr>
                        <w:color w:val="5E5E5E"/>
                        <w:spacing w:val="-5"/>
                        <w:sz w:val="18"/>
                      </w:rPr>
                      <w:t>.]]</w:t>
                    </w:r>
                  </w:p>
                </w:txbxContent>
              </v:textbox>
            </v:shape>
            <w10:wrap anchorx="page" anchory="page"/>
          </v:group>
        </w:pict>
      </w:r>
      <w:r>
        <w:rPr>
          <w:color w:val="5E5E5E"/>
          <w:sz w:val="12"/>
        </w:rPr>
        <w:t>159</w:t>
      </w:r>
      <w:r>
        <w:rPr>
          <w:color w:val="5E5E5E"/>
          <w:spacing w:val="11"/>
          <w:sz w:val="12"/>
        </w:rPr>
        <w:t xml:space="preserve"> </w:t>
      </w:r>
      <w:r>
        <w:rPr>
          <w:color w:val="5E5E5E"/>
          <w:spacing w:val="-10"/>
          <w:position w:val="-5"/>
          <w:sz w:val="18"/>
        </w:rPr>
        <w:t>[</w:t>
      </w:r>
    </w:p>
    <w:p w14:paraId="51DE807F" w14:textId="77777777" w:rsidR="0010369C" w:rsidRDefault="008E43AE">
      <w:pPr>
        <w:spacing w:before="33"/>
        <w:ind w:left="238"/>
        <w:rPr>
          <w:sz w:val="18"/>
        </w:rPr>
      </w:pPr>
      <w:r>
        <w:rPr>
          <w:color w:val="5E5E5E"/>
          <w:sz w:val="12"/>
        </w:rPr>
        <w:t>160</w:t>
      </w:r>
      <w:r>
        <w:rPr>
          <w:color w:val="5E5E5E"/>
          <w:spacing w:val="11"/>
          <w:sz w:val="12"/>
        </w:rPr>
        <w:t xml:space="preserve"> </w:t>
      </w:r>
      <w:r>
        <w:rPr>
          <w:color w:val="5E5E5E"/>
          <w:spacing w:val="-10"/>
          <w:position w:val="-5"/>
          <w:sz w:val="18"/>
        </w:rPr>
        <w:t>[</w:t>
      </w:r>
    </w:p>
    <w:p w14:paraId="51DE8080" w14:textId="77777777" w:rsidR="0010369C" w:rsidRDefault="008E43AE">
      <w:pPr>
        <w:spacing w:before="40"/>
        <w:ind w:left="238"/>
        <w:rPr>
          <w:sz w:val="18"/>
        </w:rPr>
      </w:pPr>
      <w:r>
        <w:br w:type="column"/>
      </w:r>
      <w:r>
        <w:rPr>
          <w:color w:val="5E5E5E"/>
          <w:sz w:val="18"/>
        </w:rPr>
        <w:t>(Exhibit</w:t>
      </w:r>
      <w:r>
        <w:rPr>
          <w:color w:val="5E5E5E"/>
          <w:spacing w:val="-11"/>
          <w:sz w:val="18"/>
        </w:rPr>
        <w:t xml:space="preserve"> </w:t>
      </w:r>
      <w:r>
        <w:rPr>
          <w:color w:val="5E5E5E"/>
          <w:sz w:val="18"/>
        </w:rPr>
        <w:t>AUS‐11</w:t>
      </w:r>
      <w:r>
        <w:rPr>
          <w:color w:val="5E5E5E"/>
          <w:spacing w:val="-10"/>
          <w:sz w:val="18"/>
        </w:rPr>
        <w:t xml:space="preserve"> </w:t>
      </w:r>
      <w:r>
        <w:rPr>
          <w:color w:val="5E5E5E"/>
          <w:sz w:val="18"/>
        </w:rPr>
        <w:t>(BCI)), (Exhibit</w:t>
      </w:r>
      <w:r>
        <w:rPr>
          <w:color w:val="5E5E5E"/>
          <w:spacing w:val="-9"/>
          <w:sz w:val="18"/>
        </w:rPr>
        <w:t xml:space="preserve"> </w:t>
      </w:r>
      <w:r>
        <w:rPr>
          <w:color w:val="5E5E5E"/>
          <w:sz w:val="18"/>
        </w:rPr>
        <w:t>AUS‐11</w:t>
      </w:r>
      <w:r>
        <w:rPr>
          <w:color w:val="5E5E5E"/>
          <w:spacing w:val="-9"/>
          <w:sz w:val="18"/>
        </w:rPr>
        <w:t xml:space="preserve"> </w:t>
      </w:r>
      <w:r>
        <w:rPr>
          <w:color w:val="5E5E5E"/>
          <w:spacing w:val="-2"/>
          <w:sz w:val="18"/>
        </w:rPr>
        <w:t>(BCI)),</w:t>
      </w:r>
    </w:p>
    <w:p w14:paraId="51DE8081" w14:textId="77777777" w:rsidR="0010369C" w:rsidRDefault="008E43AE">
      <w:pPr>
        <w:spacing w:before="3"/>
        <w:rPr>
          <w:sz w:val="21"/>
        </w:rPr>
      </w:pPr>
      <w:r>
        <w:br w:type="column"/>
      </w:r>
    </w:p>
    <w:p w14:paraId="51DE8082" w14:textId="77777777" w:rsidR="0010369C" w:rsidRDefault="008E43AE">
      <w:pPr>
        <w:ind w:left="238"/>
        <w:rPr>
          <w:sz w:val="18"/>
        </w:rPr>
      </w:pPr>
      <w:r>
        <w:rPr>
          <w:color w:val="5E5E5E"/>
          <w:spacing w:val="-5"/>
          <w:sz w:val="18"/>
        </w:rPr>
        <w:t>.]]</w:t>
      </w:r>
    </w:p>
    <w:p w14:paraId="51DE8083" w14:textId="77777777" w:rsidR="0010369C" w:rsidRDefault="0010369C">
      <w:pPr>
        <w:rPr>
          <w:sz w:val="18"/>
        </w:rPr>
        <w:sectPr w:rsidR="0010369C">
          <w:type w:val="continuous"/>
          <w:pgSz w:w="11910" w:h="16840"/>
          <w:pgMar w:top="1460" w:right="800" w:bottom="280" w:left="1180" w:header="569" w:footer="788" w:gutter="0"/>
          <w:cols w:num="3" w:space="720" w:equalWidth="0">
            <w:col w:w="559" w:space="5883"/>
            <w:col w:w="1902" w:space="455"/>
            <w:col w:w="1131"/>
          </w:cols>
        </w:sectPr>
      </w:pPr>
    </w:p>
    <w:p w14:paraId="51DE8084" w14:textId="77777777" w:rsidR="0010369C" w:rsidRDefault="008E43AE">
      <w:pPr>
        <w:tabs>
          <w:tab w:val="left" w:pos="6426"/>
        </w:tabs>
        <w:ind w:left="238"/>
        <w:rPr>
          <w:sz w:val="20"/>
        </w:rPr>
      </w:pPr>
      <w:r>
        <w:rPr>
          <w:i/>
          <w:sz w:val="20"/>
        </w:rPr>
        <w:lastRenderedPageBreak/>
        <w:t>China</w:t>
      </w:r>
      <w:r>
        <w:rPr>
          <w:i/>
          <w:spacing w:val="-5"/>
          <w:sz w:val="20"/>
        </w:rPr>
        <w:t xml:space="preserve"> </w:t>
      </w:r>
      <w:r>
        <w:rPr>
          <w:i/>
          <w:sz w:val="20"/>
        </w:rPr>
        <w:t>–</w:t>
      </w:r>
      <w:r>
        <w:rPr>
          <w:i/>
          <w:spacing w:val="-5"/>
          <w:sz w:val="20"/>
        </w:rPr>
        <w:t xml:space="preserve"> </w:t>
      </w:r>
      <w:r>
        <w:rPr>
          <w:i/>
          <w:sz w:val="20"/>
        </w:rPr>
        <w:t>Anti‐Dumping</w:t>
      </w:r>
      <w:r>
        <w:rPr>
          <w:i/>
          <w:spacing w:val="-4"/>
          <w:sz w:val="20"/>
        </w:rPr>
        <w:t xml:space="preserve"> </w:t>
      </w:r>
      <w:r>
        <w:rPr>
          <w:i/>
          <w:sz w:val="20"/>
        </w:rPr>
        <w:t>and</w:t>
      </w:r>
      <w:r>
        <w:rPr>
          <w:i/>
          <w:spacing w:val="-5"/>
          <w:sz w:val="20"/>
        </w:rPr>
        <w:t xml:space="preserve"> </w:t>
      </w:r>
      <w:r>
        <w:rPr>
          <w:i/>
          <w:sz w:val="20"/>
        </w:rPr>
        <w:t>Countervailing</w:t>
      </w:r>
      <w:r>
        <w:rPr>
          <w:i/>
          <w:spacing w:val="-5"/>
          <w:sz w:val="20"/>
        </w:rPr>
        <w:t xml:space="preserve"> </w:t>
      </w:r>
      <w:r>
        <w:rPr>
          <w:i/>
          <w:sz w:val="20"/>
        </w:rPr>
        <w:t>Duty</w:t>
      </w:r>
      <w:r>
        <w:rPr>
          <w:i/>
          <w:spacing w:val="-4"/>
          <w:sz w:val="20"/>
        </w:rPr>
        <w:t xml:space="preserve"> </w:t>
      </w:r>
      <w:r>
        <w:rPr>
          <w:i/>
          <w:spacing w:val="-2"/>
          <w:sz w:val="20"/>
        </w:rPr>
        <w:t>Measures</w:t>
      </w:r>
      <w:r>
        <w:rPr>
          <w:i/>
          <w:sz w:val="20"/>
        </w:rPr>
        <w:tab/>
      </w:r>
      <w:r>
        <w:rPr>
          <w:sz w:val="20"/>
        </w:rPr>
        <w:t>Australia's</w:t>
      </w:r>
      <w:r>
        <w:rPr>
          <w:spacing w:val="-7"/>
          <w:sz w:val="20"/>
        </w:rPr>
        <w:t xml:space="preserve"> </w:t>
      </w:r>
      <w:r>
        <w:rPr>
          <w:sz w:val="20"/>
        </w:rPr>
        <w:t>First</w:t>
      </w:r>
      <w:r>
        <w:rPr>
          <w:spacing w:val="-2"/>
          <w:sz w:val="20"/>
        </w:rPr>
        <w:t xml:space="preserve"> </w:t>
      </w:r>
      <w:r>
        <w:rPr>
          <w:sz w:val="20"/>
        </w:rPr>
        <w:t>Written</w:t>
      </w:r>
      <w:r>
        <w:rPr>
          <w:spacing w:val="-2"/>
          <w:sz w:val="20"/>
        </w:rPr>
        <w:t xml:space="preserve"> Submission</w:t>
      </w:r>
    </w:p>
    <w:p w14:paraId="51DE8085" w14:textId="77777777" w:rsidR="0010369C" w:rsidRDefault="008E43AE">
      <w:pPr>
        <w:tabs>
          <w:tab w:val="left" w:pos="8228"/>
        </w:tabs>
        <w:spacing w:before="1" w:after="37"/>
        <w:ind w:left="239"/>
        <w:rPr>
          <w:sz w:val="20"/>
        </w:rPr>
      </w:pPr>
      <w:r>
        <w:rPr>
          <w:noProof/>
        </w:rPr>
        <w:drawing>
          <wp:anchor distT="0" distB="0" distL="0" distR="0" simplePos="0" relativeHeight="250841600" behindDoc="1" locked="0" layoutInCell="1" allowOverlap="1" wp14:anchorId="51DE9EE5" wp14:editId="51DE9EE6">
            <wp:simplePos x="0" y="0"/>
            <wp:positionH relativeFrom="page">
              <wp:posOffset>908303</wp:posOffset>
            </wp:positionH>
            <wp:positionV relativeFrom="paragraph">
              <wp:posOffset>225137</wp:posOffset>
            </wp:positionV>
            <wp:extent cx="256031" cy="103631"/>
            <wp:effectExtent l="0" t="0" r="0" b="0"/>
            <wp:wrapNone/>
            <wp:docPr id="317" name="image1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image167.png"/>
                    <pic:cNvPicPr/>
                  </pic:nvPicPr>
                  <pic:blipFill>
                    <a:blip r:embed="rId261" cstate="print"/>
                    <a:stretch>
                      <a:fillRect/>
                    </a:stretch>
                  </pic:blipFill>
                  <pic:spPr>
                    <a:xfrm>
                      <a:off x="0" y="0"/>
                      <a:ext cx="256031" cy="103631"/>
                    </a:xfrm>
                    <a:prstGeom prst="rect">
                      <a:avLst/>
                    </a:prstGeom>
                  </pic:spPr>
                </pic:pic>
              </a:graphicData>
            </a:graphic>
          </wp:anchor>
        </w:drawing>
      </w:r>
      <w:r>
        <w:rPr>
          <w:i/>
          <w:sz w:val="20"/>
        </w:rPr>
        <w:t>on</w:t>
      </w:r>
      <w:r>
        <w:rPr>
          <w:i/>
          <w:spacing w:val="-1"/>
          <w:sz w:val="20"/>
        </w:rPr>
        <w:t xml:space="preserve"> </w:t>
      </w:r>
      <w:r>
        <w:rPr>
          <w:i/>
          <w:sz w:val="20"/>
        </w:rPr>
        <w:t>Wine</w:t>
      </w:r>
      <w:r>
        <w:rPr>
          <w:i/>
          <w:spacing w:val="-1"/>
          <w:sz w:val="20"/>
        </w:rPr>
        <w:t xml:space="preserve"> </w:t>
      </w:r>
      <w:r>
        <w:rPr>
          <w:i/>
          <w:sz w:val="20"/>
        </w:rPr>
        <w:t>from</w:t>
      </w:r>
      <w:r>
        <w:rPr>
          <w:i/>
          <w:spacing w:val="-3"/>
          <w:sz w:val="20"/>
        </w:rPr>
        <w:t xml:space="preserve"> </w:t>
      </w:r>
      <w:r>
        <w:rPr>
          <w:i/>
          <w:sz w:val="20"/>
        </w:rPr>
        <w:t>Australia</w:t>
      </w:r>
      <w:r>
        <w:rPr>
          <w:i/>
          <w:spacing w:val="-1"/>
          <w:sz w:val="20"/>
        </w:rPr>
        <w:t xml:space="preserve"> </w:t>
      </w:r>
      <w:r>
        <w:rPr>
          <w:spacing w:val="-2"/>
          <w:sz w:val="20"/>
        </w:rPr>
        <w:t>(DS602)</w:t>
      </w:r>
      <w:r>
        <w:rPr>
          <w:sz w:val="20"/>
        </w:rPr>
        <w:tab/>
        <w:t>29</w:t>
      </w:r>
      <w:r>
        <w:rPr>
          <w:spacing w:val="-1"/>
          <w:sz w:val="20"/>
        </w:rPr>
        <w:t xml:space="preserve"> </w:t>
      </w:r>
      <w:r>
        <w:rPr>
          <w:sz w:val="20"/>
        </w:rPr>
        <w:t>April</w:t>
      </w:r>
      <w:r>
        <w:rPr>
          <w:spacing w:val="-2"/>
          <w:sz w:val="20"/>
        </w:rPr>
        <w:t xml:space="preserve"> </w:t>
      </w:r>
      <w:r>
        <w:rPr>
          <w:spacing w:val="-4"/>
          <w:sz w:val="20"/>
        </w:rPr>
        <w:t>2022</w:t>
      </w:r>
    </w:p>
    <w:tbl>
      <w:tblPr>
        <w:tblW w:w="0" w:type="auto"/>
        <w:tblInd w:w="225" w:type="dxa"/>
        <w:tblLayout w:type="fixed"/>
        <w:tblCellMar>
          <w:left w:w="0" w:type="dxa"/>
          <w:right w:w="0" w:type="dxa"/>
        </w:tblCellMar>
        <w:tblLook w:val="01E0" w:firstRow="1" w:lastRow="1" w:firstColumn="1" w:lastColumn="1" w:noHBand="0" w:noVBand="0"/>
      </w:tblPr>
      <w:tblGrid>
        <w:gridCol w:w="997"/>
        <w:gridCol w:w="318"/>
        <w:gridCol w:w="283"/>
        <w:gridCol w:w="2972"/>
        <w:gridCol w:w="4559"/>
      </w:tblGrid>
      <w:tr w:rsidR="0010369C" w14:paraId="51DE8088" w14:textId="77777777">
        <w:trPr>
          <w:trHeight w:val="320"/>
        </w:trPr>
        <w:tc>
          <w:tcPr>
            <w:tcW w:w="997" w:type="dxa"/>
            <w:tcBorders>
              <w:bottom w:val="single" w:sz="48" w:space="0" w:color="FFFFFF"/>
            </w:tcBorders>
          </w:tcPr>
          <w:p w14:paraId="51DE8086" w14:textId="77777777" w:rsidR="0010369C" w:rsidRDefault="008E43AE">
            <w:pPr>
              <w:pStyle w:val="TableParagraph"/>
              <w:spacing w:line="291" w:lineRule="exact"/>
              <w:ind w:right="-29"/>
              <w:jc w:val="right"/>
              <w:rPr>
                <w:sz w:val="24"/>
              </w:rPr>
            </w:pPr>
            <w:r>
              <w:rPr>
                <w:spacing w:val="-5"/>
                <w:sz w:val="24"/>
              </w:rPr>
              <w:t>[[</w:t>
            </w:r>
          </w:p>
        </w:tc>
        <w:tc>
          <w:tcPr>
            <w:tcW w:w="8132" w:type="dxa"/>
            <w:gridSpan w:val="4"/>
            <w:tcBorders>
              <w:bottom w:val="single" w:sz="48" w:space="0" w:color="FFFFFF"/>
            </w:tcBorders>
            <w:shd w:val="clear" w:color="auto" w:fill="000000"/>
          </w:tcPr>
          <w:p w14:paraId="51DE8087" w14:textId="77777777" w:rsidR="0010369C" w:rsidRDefault="0010369C">
            <w:pPr>
              <w:pStyle w:val="TableParagraph"/>
              <w:rPr>
                <w:rFonts w:ascii="Times New Roman"/>
              </w:rPr>
            </w:pPr>
          </w:p>
        </w:tc>
      </w:tr>
      <w:tr w:rsidR="0010369C" w14:paraId="51DE808A" w14:textId="77777777">
        <w:trPr>
          <w:trHeight w:val="319"/>
        </w:trPr>
        <w:tc>
          <w:tcPr>
            <w:tcW w:w="9129" w:type="dxa"/>
            <w:gridSpan w:val="5"/>
            <w:tcBorders>
              <w:top w:val="single" w:sz="48" w:space="0" w:color="FFFFFF"/>
              <w:bottom w:val="single" w:sz="48" w:space="0" w:color="FFFFFF"/>
            </w:tcBorders>
            <w:shd w:val="clear" w:color="auto" w:fill="000000"/>
          </w:tcPr>
          <w:p w14:paraId="51DE8089" w14:textId="77777777" w:rsidR="0010369C" w:rsidRDefault="0010369C">
            <w:pPr>
              <w:pStyle w:val="TableParagraph"/>
              <w:rPr>
                <w:rFonts w:ascii="Times New Roman"/>
              </w:rPr>
            </w:pPr>
          </w:p>
        </w:tc>
      </w:tr>
      <w:tr w:rsidR="0010369C" w14:paraId="51DE808E" w14:textId="77777777">
        <w:trPr>
          <w:trHeight w:val="154"/>
        </w:trPr>
        <w:tc>
          <w:tcPr>
            <w:tcW w:w="1315" w:type="dxa"/>
            <w:gridSpan w:val="2"/>
            <w:vMerge w:val="restart"/>
            <w:tcBorders>
              <w:top w:val="single" w:sz="48" w:space="0" w:color="FFFFFF"/>
              <w:bottom w:val="single" w:sz="48" w:space="0" w:color="FFFFFF"/>
            </w:tcBorders>
            <w:shd w:val="clear" w:color="auto" w:fill="000000"/>
          </w:tcPr>
          <w:p w14:paraId="51DE808B" w14:textId="77777777" w:rsidR="0010369C" w:rsidRDefault="0010369C">
            <w:pPr>
              <w:pStyle w:val="TableParagraph"/>
              <w:rPr>
                <w:rFonts w:ascii="Times New Roman"/>
              </w:rPr>
            </w:pPr>
          </w:p>
        </w:tc>
        <w:tc>
          <w:tcPr>
            <w:tcW w:w="283" w:type="dxa"/>
            <w:tcBorders>
              <w:top w:val="single" w:sz="48" w:space="0" w:color="FFFFFF"/>
              <w:right w:val="single" w:sz="36" w:space="0" w:color="FFFFFF"/>
            </w:tcBorders>
            <w:shd w:val="clear" w:color="auto" w:fill="000000"/>
          </w:tcPr>
          <w:p w14:paraId="51DE808C" w14:textId="77777777" w:rsidR="0010369C" w:rsidRDefault="0010369C">
            <w:pPr>
              <w:pStyle w:val="TableParagraph"/>
              <w:rPr>
                <w:rFonts w:ascii="Times New Roman"/>
                <w:sz w:val="8"/>
              </w:rPr>
            </w:pPr>
          </w:p>
        </w:tc>
        <w:tc>
          <w:tcPr>
            <w:tcW w:w="7531" w:type="dxa"/>
            <w:gridSpan w:val="2"/>
            <w:vMerge w:val="restart"/>
            <w:tcBorders>
              <w:top w:val="single" w:sz="48" w:space="0" w:color="FFFFFF"/>
              <w:left w:val="single" w:sz="36" w:space="0" w:color="FFFFFF"/>
              <w:bottom w:val="single" w:sz="48" w:space="0" w:color="FFFFFF"/>
            </w:tcBorders>
            <w:shd w:val="clear" w:color="auto" w:fill="000000"/>
          </w:tcPr>
          <w:p w14:paraId="51DE808D" w14:textId="77777777" w:rsidR="0010369C" w:rsidRDefault="0010369C">
            <w:pPr>
              <w:pStyle w:val="TableParagraph"/>
              <w:rPr>
                <w:rFonts w:ascii="Times New Roman"/>
              </w:rPr>
            </w:pPr>
          </w:p>
        </w:tc>
      </w:tr>
      <w:tr w:rsidR="0010369C" w14:paraId="51DE8092" w14:textId="77777777">
        <w:trPr>
          <w:trHeight w:val="44"/>
        </w:trPr>
        <w:tc>
          <w:tcPr>
            <w:tcW w:w="1315" w:type="dxa"/>
            <w:gridSpan w:val="2"/>
            <w:vMerge/>
            <w:tcBorders>
              <w:top w:val="nil"/>
              <w:bottom w:val="single" w:sz="48" w:space="0" w:color="FFFFFF"/>
            </w:tcBorders>
            <w:shd w:val="clear" w:color="auto" w:fill="000000"/>
          </w:tcPr>
          <w:p w14:paraId="51DE808F" w14:textId="77777777" w:rsidR="0010369C" w:rsidRDefault="0010369C">
            <w:pPr>
              <w:rPr>
                <w:sz w:val="2"/>
                <w:szCs w:val="2"/>
              </w:rPr>
            </w:pPr>
          </w:p>
        </w:tc>
        <w:tc>
          <w:tcPr>
            <w:tcW w:w="283" w:type="dxa"/>
            <w:tcBorders>
              <w:bottom w:val="single" w:sz="48" w:space="0" w:color="FFFFFF"/>
              <w:right w:val="single" w:sz="36" w:space="0" w:color="FFFFFF"/>
            </w:tcBorders>
          </w:tcPr>
          <w:p w14:paraId="51DE8090" w14:textId="77777777" w:rsidR="0010369C" w:rsidRDefault="0010369C">
            <w:pPr>
              <w:pStyle w:val="TableParagraph"/>
              <w:rPr>
                <w:rFonts w:ascii="Times New Roman"/>
                <w:sz w:val="2"/>
              </w:rPr>
            </w:pPr>
          </w:p>
        </w:tc>
        <w:tc>
          <w:tcPr>
            <w:tcW w:w="7531" w:type="dxa"/>
            <w:gridSpan w:val="2"/>
            <w:vMerge/>
            <w:tcBorders>
              <w:top w:val="nil"/>
              <w:left w:val="single" w:sz="36" w:space="0" w:color="FFFFFF"/>
              <w:bottom w:val="single" w:sz="48" w:space="0" w:color="FFFFFF"/>
            </w:tcBorders>
            <w:shd w:val="clear" w:color="auto" w:fill="000000"/>
          </w:tcPr>
          <w:p w14:paraId="51DE8091" w14:textId="77777777" w:rsidR="0010369C" w:rsidRDefault="0010369C">
            <w:pPr>
              <w:rPr>
                <w:sz w:val="2"/>
                <w:szCs w:val="2"/>
              </w:rPr>
            </w:pPr>
          </w:p>
        </w:tc>
      </w:tr>
      <w:tr w:rsidR="0010369C" w14:paraId="51DE8094" w14:textId="77777777">
        <w:trPr>
          <w:trHeight w:val="319"/>
        </w:trPr>
        <w:tc>
          <w:tcPr>
            <w:tcW w:w="9129" w:type="dxa"/>
            <w:gridSpan w:val="5"/>
            <w:tcBorders>
              <w:top w:val="single" w:sz="48" w:space="0" w:color="FFFFFF"/>
              <w:bottom w:val="single" w:sz="48" w:space="0" w:color="FFFFFF"/>
            </w:tcBorders>
            <w:shd w:val="clear" w:color="auto" w:fill="000000"/>
          </w:tcPr>
          <w:p w14:paraId="51DE8093" w14:textId="77777777" w:rsidR="0010369C" w:rsidRDefault="0010369C">
            <w:pPr>
              <w:pStyle w:val="TableParagraph"/>
              <w:rPr>
                <w:rFonts w:ascii="Times New Roman"/>
              </w:rPr>
            </w:pPr>
          </w:p>
        </w:tc>
      </w:tr>
      <w:tr w:rsidR="0010369C" w14:paraId="51DE8096" w14:textId="77777777">
        <w:trPr>
          <w:trHeight w:val="319"/>
        </w:trPr>
        <w:tc>
          <w:tcPr>
            <w:tcW w:w="9129" w:type="dxa"/>
            <w:gridSpan w:val="5"/>
            <w:tcBorders>
              <w:top w:val="single" w:sz="48" w:space="0" w:color="FFFFFF"/>
              <w:bottom w:val="single" w:sz="48" w:space="0" w:color="FFFFFF"/>
            </w:tcBorders>
            <w:shd w:val="clear" w:color="auto" w:fill="000000"/>
          </w:tcPr>
          <w:p w14:paraId="51DE8095" w14:textId="77777777" w:rsidR="0010369C" w:rsidRDefault="0010369C">
            <w:pPr>
              <w:pStyle w:val="TableParagraph"/>
              <w:rPr>
                <w:rFonts w:ascii="Times New Roman"/>
              </w:rPr>
            </w:pPr>
          </w:p>
        </w:tc>
      </w:tr>
      <w:tr w:rsidR="0010369C" w14:paraId="51DE8098" w14:textId="77777777">
        <w:trPr>
          <w:trHeight w:val="319"/>
        </w:trPr>
        <w:tc>
          <w:tcPr>
            <w:tcW w:w="9129" w:type="dxa"/>
            <w:gridSpan w:val="5"/>
            <w:tcBorders>
              <w:top w:val="single" w:sz="48" w:space="0" w:color="FFFFFF"/>
              <w:bottom w:val="single" w:sz="48" w:space="0" w:color="FFFFFF"/>
            </w:tcBorders>
            <w:shd w:val="clear" w:color="auto" w:fill="000000"/>
          </w:tcPr>
          <w:p w14:paraId="51DE8097" w14:textId="77777777" w:rsidR="0010369C" w:rsidRDefault="0010369C">
            <w:pPr>
              <w:pStyle w:val="TableParagraph"/>
              <w:rPr>
                <w:rFonts w:ascii="Times New Roman"/>
              </w:rPr>
            </w:pPr>
          </w:p>
        </w:tc>
      </w:tr>
      <w:tr w:rsidR="0010369C" w14:paraId="51DE809B" w14:textId="77777777">
        <w:trPr>
          <w:trHeight w:val="320"/>
        </w:trPr>
        <w:tc>
          <w:tcPr>
            <w:tcW w:w="4570" w:type="dxa"/>
            <w:gridSpan w:val="4"/>
            <w:tcBorders>
              <w:top w:val="single" w:sz="48" w:space="0" w:color="FFFFFF"/>
            </w:tcBorders>
            <w:shd w:val="clear" w:color="auto" w:fill="000000"/>
          </w:tcPr>
          <w:p w14:paraId="51DE8099" w14:textId="77777777" w:rsidR="0010369C" w:rsidRDefault="0010369C">
            <w:pPr>
              <w:pStyle w:val="TableParagraph"/>
              <w:rPr>
                <w:rFonts w:ascii="Times New Roman"/>
              </w:rPr>
            </w:pPr>
          </w:p>
        </w:tc>
        <w:tc>
          <w:tcPr>
            <w:tcW w:w="4559" w:type="dxa"/>
            <w:tcBorders>
              <w:top w:val="single" w:sz="48" w:space="0" w:color="FFFFFF"/>
            </w:tcBorders>
          </w:tcPr>
          <w:p w14:paraId="51DE809A" w14:textId="77777777" w:rsidR="0010369C" w:rsidRDefault="008E43AE">
            <w:pPr>
              <w:pStyle w:val="TableParagraph"/>
              <w:spacing w:before="46" w:line="151" w:lineRule="auto"/>
              <w:ind w:left="20"/>
              <w:rPr>
                <w:sz w:val="16"/>
              </w:rPr>
            </w:pPr>
            <w:r>
              <w:rPr>
                <w:spacing w:val="-2"/>
                <w:position w:val="-7"/>
                <w:sz w:val="24"/>
              </w:rPr>
              <w:t>]]</w:t>
            </w:r>
            <w:r>
              <w:rPr>
                <w:color w:val="5E5E5E"/>
                <w:spacing w:val="-2"/>
                <w:sz w:val="16"/>
              </w:rPr>
              <w:t>163</w:t>
            </w:r>
          </w:p>
        </w:tc>
      </w:tr>
    </w:tbl>
    <w:p w14:paraId="51DE809C" w14:textId="77777777" w:rsidR="0010369C" w:rsidRDefault="0010369C">
      <w:pPr>
        <w:pStyle w:val="BodyText"/>
        <w:spacing w:before="10"/>
        <w:rPr>
          <w:sz w:val="22"/>
        </w:rPr>
      </w:pPr>
    </w:p>
    <w:p w14:paraId="51DE809D" w14:textId="77777777" w:rsidR="0010369C" w:rsidRDefault="008E43AE">
      <w:pPr>
        <w:pStyle w:val="BodyText"/>
        <w:spacing w:after="3" w:line="360" w:lineRule="auto"/>
        <w:ind w:left="236" w:right="614" w:firstLine="853"/>
        <w:jc w:val="both"/>
      </w:pPr>
      <w:r>
        <w:rPr>
          <w:noProof/>
        </w:rPr>
        <w:drawing>
          <wp:anchor distT="0" distB="0" distL="0" distR="0" simplePos="0" relativeHeight="250842624" behindDoc="1" locked="0" layoutInCell="1" allowOverlap="1" wp14:anchorId="51DE9EE7" wp14:editId="51DE9EE8">
            <wp:simplePos x="0" y="0"/>
            <wp:positionH relativeFrom="page">
              <wp:posOffset>908303</wp:posOffset>
            </wp:positionH>
            <wp:positionV relativeFrom="paragraph">
              <wp:posOffset>47575</wp:posOffset>
            </wp:positionV>
            <wp:extent cx="256031" cy="103631"/>
            <wp:effectExtent l="0" t="0" r="0" b="0"/>
            <wp:wrapNone/>
            <wp:docPr id="319" name="image1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image168.png"/>
                    <pic:cNvPicPr/>
                  </pic:nvPicPr>
                  <pic:blipFill>
                    <a:blip r:embed="rId262" cstate="print"/>
                    <a:stretch>
                      <a:fillRect/>
                    </a:stretch>
                  </pic:blipFill>
                  <pic:spPr>
                    <a:xfrm>
                      <a:off x="0" y="0"/>
                      <a:ext cx="256031" cy="103631"/>
                    </a:xfrm>
                    <a:prstGeom prst="rect">
                      <a:avLst/>
                    </a:prstGeom>
                  </pic:spPr>
                </pic:pic>
              </a:graphicData>
            </a:graphic>
          </wp:anchor>
        </w:drawing>
      </w:r>
      <w:r>
        <w:t>MOFCOM rejected Treasury Wines' claims that it had a limited time to provide the requested</w:t>
      </w:r>
      <w:r>
        <w:rPr>
          <w:spacing w:val="-6"/>
        </w:rPr>
        <w:t xml:space="preserve"> </w:t>
      </w:r>
      <w:r>
        <w:t>material</w:t>
      </w:r>
      <w:r>
        <w:rPr>
          <w:spacing w:val="-4"/>
        </w:rPr>
        <w:t xml:space="preserve"> </w:t>
      </w:r>
      <w:r>
        <w:t>in</w:t>
      </w:r>
      <w:r>
        <w:rPr>
          <w:spacing w:val="-4"/>
        </w:rPr>
        <w:t xml:space="preserve"> </w:t>
      </w:r>
      <w:r>
        <w:t>its</w:t>
      </w:r>
      <w:r>
        <w:rPr>
          <w:spacing w:val="-4"/>
        </w:rPr>
        <w:t xml:space="preserve"> </w:t>
      </w:r>
      <w:r>
        <w:t>initial</w:t>
      </w:r>
      <w:r>
        <w:rPr>
          <w:spacing w:val="-3"/>
        </w:rPr>
        <w:t xml:space="preserve"> </w:t>
      </w:r>
      <w:r>
        <w:t>Anti‐Dumping</w:t>
      </w:r>
      <w:r>
        <w:rPr>
          <w:spacing w:val="-4"/>
        </w:rPr>
        <w:t xml:space="preserve"> </w:t>
      </w:r>
      <w:r>
        <w:t>Questionnaire</w:t>
      </w:r>
      <w:r>
        <w:rPr>
          <w:spacing w:val="-6"/>
        </w:rPr>
        <w:t xml:space="preserve"> </w:t>
      </w:r>
      <w:r>
        <w:t>Response.</w:t>
      </w:r>
      <w:r>
        <w:rPr>
          <w:vertAlign w:val="superscript"/>
        </w:rPr>
        <w:t>164</w:t>
      </w:r>
      <w:r>
        <w:rPr>
          <w:spacing w:val="-3"/>
        </w:rPr>
        <w:t xml:space="preserve"> </w:t>
      </w:r>
      <w:r>
        <w:t>MOFCOM</w:t>
      </w:r>
      <w:r>
        <w:rPr>
          <w:spacing w:val="-3"/>
        </w:rPr>
        <w:t xml:space="preserve"> </w:t>
      </w:r>
      <w:r>
        <w:t>provided no explanation in the Final Determination as to why it considered alleged deficiencies to remain after receipt of valid explanations by Treasury Wines in respect of Form 6‐1‐2, and made</w:t>
      </w:r>
      <w:r>
        <w:rPr>
          <w:spacing w:val="-3"/>
        </w:rPr>
        <w:t xml:space="preserve"> </w:t>
      </w:r>
      <w:r>
        <w:t>no</w:t>
      </w:r>
      <w:r>
        <w:rPr>
          <w:spacing w:val="-3"/>
        </w:rPr>
        <w:t xml:space="preserve"> </w:t>
      </w:r>
      <w:r>
        <w:t>mention</w:t>
      </w:r>
      <w:r>
        <w:rPr>
          <w:spacing w:val="-4"/>
        </w:rPr>
        <w:t xml:space="preserve"> </w:t>
      </w:r>
      <w:r>
        <w:t>of</w:t>
      </w:r>
      <w:r>
        <w:rPr>
          <w:spacing w:val="-5"/>
        </w:rPr>
        <w:t xml:space="preserve"> </w:t>
      </w:r>
      <w:r>
        <w:t>rejecting</w:t>
      </w:r>
      <w:r>
        <w:rPr>
          <w:spacing w:val="-4"/>
        </w:rPr>
        <w:t xml:space="preserve"> </w:t>
      </w:r>
      <w:r>
        <w:t>the</w:t>
      </w:r>
      <w:r>
        <w:rPr>
          <w:spacing w:val="-3"/>
        </w:rPr>
        <w:t xml:space="preserve"> </w:t>
      </w:r>
      <w:r>
        <w:t>provision</w:t>
      </w:r>
      <w:r>
        <w:rPr>
          <w:spacing w:val="-3"/>
        </w:rPr>
        <w:t xml:space="preserve"> </w:t>
      </w:r>
      <w:r>
        <w:t>of</w:t>
      </w:r>
      <w:r>
        <w:rPr>
          <w:spacing w:val="-5"/>
        </w:rPr>
        <w:t xml:space="preserve"> </w:t>
      </w:r>
      <w:r>
        <w:t>a</w:t>
      </w:r>
      <w:r>
        <w:rPr>
          <w:spacing w:val="-5"/>
        </w:rPr>
        <w:t xml:space="preserve"> </w:t>
      </w:r>
      <w:r>
        <w:t>revised</w:t>
      </w:r>
      <w:r>
        <w:rPr>
          <w:spacing w:val="-5"/>
        </w:rPr>
        <w:t xml:space="preserve"> </w:t>
      </w:r>
      <w:r>
        <w:t>Form</w:t>
      </w:r>
      <w:r>
        <w:rPr>
          <w:spacing w:val="-3"/>
        </w:rPr>
        <w:t xml:space="preserve"> </w:t>
      </w:r>
      <w:r>
        <w:t>6‐1‐2</w:t>
      </w:r>
      <w:r>
        <w:t>.</w:t>
      </w:r>
      <w:r>
        <w:rPr>
          <w:spacing w:val="-3"/>
        </w:rPr>
        <w:t xml:space="preserve"> </w:t>
      </w:r>
      <w:r>
        <w:t>MOFCOM</w:t>
      </w:r>
      <w:r>
        <w:rPr>
          <w:spacing w:val="-3"/>
        </w:rPr>
        <w:t xml:space="preserve"> </w:t>
      </w:r>
      <w:r>
        <w:t>did</w:t>
      </w:r>
      <w:r>
        <w:rPr>
          <w:spacing w:val="-4"/>
        </w:rPr>
        <w:t xml:space="preserve"> </w:t>
      </w:r>
      <w:r>
        <w:t>request</w:t>
      </w:r>
      <w:r>
        <w:rPr>
          <w:spacing w:val="-4"/>
        </w:rPr>
        <w:t xml:space="preserve"> </w:t>
      </w:r>
      <w:r>
        <w:t>an explanation</w:t>
      </w:r>
      <w:r>
        <w:rPr>
          <w:spacing w:val="-1"/>
        </w:rPr>
        <w:t xml:space="preserve"> </w:t>
      </w:r>
      <w:r>
        <w:t>from Treasury Wines in its Supplementary Questionnaire where it asked "[i]f the raw</w:t>
      </w:r>
      <w:r>
        <w:rPr>
          <w:spacing w:val="-10"/>
        </w:rPr>
        <w:t xml:space="preserve"> </w:t>
      </w:r>
      <w:r>
        <w:t>materials</w:t>
      </w:r>
      <w:r>
        <w:rPr>
          <w:spacing w:val="-9"/>
        </w:rPr>
        <w:t xml:space="preserve"> </w:t>
      </w:r>
      <w:r>
        <w:t>are</w:t>
      </w:r>
      <w:r>
        <w:rPr>
          <w:spacing w:val="-9"/>
        </w:rPr>
        <w:t xml:space="preserve"> </w:t>
      </w:r>
      <w:r>
        <w:t>self‐produced,</w:t>
      </w:r>
      <w:r>
        <w:rPr>
          <w:spacing w:val="-8"/>
        </w:rPr>
        <w:t xml:space="preserve"> </w:t>
      </w:r>
      <w:r>
        <w:t>please</w:t>
      </w:r>
      <w:r>
        <w:rPr>
          <w:spacing w:val="-9"/>
        </w:rPr>
        <w:t xml:space="preserve"> </w:t>
      </w:r>
      <w:r>
        <w:t>explain</w:t>
      </w:r>
      <w:r>
        <w:rPr>
          <w:spacing w:val="-10"/>
        </w:rPr>
        <w:t xml:space="preserve"> </w:t>
      </w:r>
      <w:r>
        <w:t>why</w:t>
      </w:r>
      <w:r>
        <w:rPr>
          <w:spacing w:val="-8"/>
        </w:rPr>
        <w:t xml:space="preserve"> </w:t>
      </w:r>
      <w:r>
        <w:t>your</w:t>
      </w:r>
      <w:r>
        <w:rPr>
          <w:spacing w:val="-9"/>
        </w:rPr>
        <w:t xml:space="preserve"> </w:t>
      </w:r>
      <w:r>
        <w:t>company</w:t>
      </w:r>
      <w:r>
        <w:rPr>
          <w:spacing w:val="-8"/>
        </w:rPr>
        <w:t xml:space="preserve"> </w:t>
      </w:r>
      <w:r>
        <w:t>has</w:t>
      </w:r>
      <w:r>
        <w:rPr>
          <w:spacing w:val="-9"/>
        </w:rPr>
        <w:t xml:space="preserve"> </w:t>
      </w:r>
      <w:r>
        <w:t>not</w:t>
      </w:r>
      <w:r>
        <w:rPr>
          <w:spacing w:val="-9"/>
        </w:rPr>
        <w:t xml:space="preserve"> </w:t>
      </w:r>
      <w:r>
        <w:t>completed</w:t>
      </w:r>
      <w:r>
        <w:rPr>
          <w:spacing w:val="-9"/>
        </w:rPr>
        <w:t xml:space="preserve"> </w:t>
      </w:r>
      <w:r>
        <w:rPr>
          <w:spacing w:val="-2"/>
        </w:rPr>
        <w:t>"Table</w:t>
      </w:r>
    </w:p>
    <w:tbl>
      <w:tblPr>
        <w:tblW w:w="0" w:type="auto"/>
        <w:tblInd w:w="225" w:type="dxa"/>
        <w:tblLayout w:type="fixed"/>
        <w:tblCellMar>
          <w:left w:w="0" w:type="dxa"/>
          <w:right w:w="0" w:type="dxa"/>
        </w:tblCellMar>
        <w:tblLook w:val="01E0" w:firstRow="1" w:lastRow="1" w:firstColumn="1" w:lastColumn="1" w:noHBand="0" w:noVBand="0"/>
      </w:tblPr>
      <w:tblGrid>
        <w:gridCol w:w="3104"/>
        <w:gridCol w:w="1535"/>
        <w:gridCol w:w="286"/>
        <w:gridCol w:w="4204"/>
      </w:tblGrid>
      <w:tr w:rsidR="0010369C" w14:paraId="51DE80A0" w14:textId="77777777">
        <w:trPr>
          <w:trHeight w:val="320"/>
        </w:trPr>
        <w:tc>
          <w:tcPr>
            <w:tcW w:w="4639" w:type="dxa"/>
            <w:gridSpan w:val="2"/>
            <w:tcBorders>
              <w:bottom w:val="single" w:sz="48" w:space="0" w:color="FFFFFF"/>
            </w:tcBorders>
          </w:tcPr>
          <w:p w14:paraId="51DE809E" w14:textId="77777777" w:rsidR="0010369C" w:rsidRDefault="008E43AE">
            <w:pPr>
              <w:pStyle w:val="TableParagraph"/>
              <w:spacing w:line="291" w:lineRule="exact"/>
              <w:ind w:left="19" w:right="-29"/>
              <w:rPr>
                <w:sz w:val="24"/>
              </w:rPr>
            </w:pPr>
            <w:r>
              <w:rPr>
                <w:sz w:val="24"/>
              </w:rPr>
              <w:t>6‐1‐2</w:t>
            </w:r>
            <w:r>
              <w:rPr>
                <w:spacing w:val="10"/>
                <w:sz w:val="24"/>
              </w:rPr>
              <w:t xml:space="preserve"> </w:t>
            </w:r>
            <w:r>
              <w:rPr>
                <w:sz w:val="24"/>
              </w:rPr>
              <w:t>Production</w:t>
            </w:r>
            <w:r>
              <w:rPr>
                <w:spacing w:val="9"/>
                <w:sz w:val="24"/>
              </w:rPr>
              <w:t xml:space="preserve"> </w:t>
            </w:r>
            <w:r>
              <w:rPr>
                <w:sz w:val="24"/>
              </w:rPr>
              <w:t>Costs</w:t>
            </w:r>
            <w:r>
              <w:rPr>
                <w:spacing w:val="10"/>
                <w:sz w:val="24"/>
              </w:rPr>
              <w:t xml:space="preserve"> </w:t>
            </w:r>
            <w:r>
              <w:rPr>
                <w:sz w:val="24"/>
              </w:rPr>
              <w:t>of</w:t>
            </w:r>
            <w:r>
              <w:rPr>
                <w:spacing w:val="12"/>
                <w:sz w:val="24"/>
              </w:rPr>
              <w:t xml:space="preserve"> </w:t>
            </w:r>
            <w:r>
              <w:rPr>
                <w:sz w:val="24"/>
              </w:rPr>
              <w:t>Raw</w:t>
            </w:r>
            <w:r>
              <w:rPr>
                <w:spacing w:val="11"/>
                <w:sz w:val="24"/>
              </w:rPr>
              <w:t xml:space="preserve"> </w:t>
            </w:r>
            <w:r>
              <w:rPr>
                <w:sz w:val="24"/>
              </w:rPr>
              <w:t>Materials".</w:t>
            </w:r>
            <w:r>
              <w:rPr>
                <w:sz w:val="24"/>
                <w:vertAlign w:val="superscript"/>
              </w:rPr>
              <w:t>165</w:t>
            </w:r>
            <w:r>
              <w:rPr>
                <w:spacing w:val="11"/>
                <w:sz w:val="24"/>
              </w:rPr>
              <w:t xml:space="preserve"> </w:t>
            </w:r>
            <w:r>
              <w:rPr>
                <w:spacing w:val="-5"/>
                <w:sz w:val="24"/>
              </w:rPr>
              <w:t>[[</w:t>
            </w:r>
          </w:p>
        </w:tc>
        <w:tc>
          <w:tcPr>
            <w:tcW w:w="4490" w:type="dxa"/>
            <w:gridSpan w:val="2"/>
            <w:tcBorders>
              <w:bottom w:val="single" w:sz="48" w:space="0" w:color="FFFFFF"/>
            </w:tcBorders>
            <w:shd w:val="clear" w:color="auto" w:fill="000000"/>
          </w:tcPr>
          <w:p w14:paraId="51DE809F" w14:textId="77777777" w:rsidR="0010369C" w:rsidRDefault="0010369C">
            <w:pPr>
              <w:pStyle w:val="TableParagraph"/>
              <w:rPr>
                <w:rFonts w:ascii="Times New Roman"/>
              </w:rPr>
            </w:pPr>
          </w:p>
        </w:tc>
      </w:tr>
      <w:tr w:rsidR="0010369C" w14:paraId="51DE80A2" w14:textId="77777777">
        <w:trPr>
          <w:trHeight w:val="319"/>
        </w:trPr>
        <w:tc>
          <w:tcPr>
            <w:tcW w:w="9129" w:type="dxa"/>
            <w:gridSpan w:val="4"/>
            <w:tcBorders>
              <w:top w:val="single" w:sz="48" w:space="0" w:color="FFFFFF"/>
              <w:bottom w:val="single" w:sz="48" w:space="0" w:color="FFFFFF"/>
            </w:tcBorders>
            <w:shd w:val="clear" w:color="auto" w:fill="000000"/>
          </w:tcPr>
          <w:p w14:paraId="51DE80A1" w14:textId="77777777" w:rsidR="0010369C" w:rsidRDefault="0010369C">
            <w:pPr>
              <w:pStyle w:val="TableParagraph"/>
              <w:rPr>
                <w:rFonts w:ascii="Times New Roman"/>
              </w:rPr>
            </w:pPr>
          </w:p>
        </w:tc>
      </w:tr>
      <w:tr w:rsidR="0010369C" w14:paraId="51DE80A5" w14:textId="77777777">
        <w:trPr>
          <w:trHeight w:val="319"/>
        </w:trPr>
        <w:tc>
          <w:tcPr>
            <w:tcW w:w="3104" w:type="dxa"/>
            <w:tcBorders>
              <w:top w:val="single" w:sz="48" w:space="0" w:color="FFFFFF"/>
              <w:bottom w:val="single" w:sz="48" w:space="0" w:color="FFFFFF"/>
              <w:right w:val="single" w:sz="24" w:space="0" w:color="FFFFFF"/>
            </w:tcBorders>
            <w:shd w:val="clear" w:color="auto" w:fill="000000"/>
          </w:tcPr>
          <w:p w14:paraId="51DE80A3" w14:textId="77777777" w:rsidR="0010369C" w:rsidRDefault="0010369C">
            <w:pPr>
              <w:pStyle w:val="TableParagraph"/>
              <w:rPr>
                <w:rFonts w:ascii="Times New Roman"/>
              </w:rPr>
            </w:pPr>
          </w:p>
        </w:tc>
        <w:tc>
          <w:tcPr>
            <w:tcW w:w="6025" w:type="dxa"/>
            <w:gridSpan w:val="3"/>
            <w:tcBorders>
              <w:top w:val="single" w:sz="48" w:space="0" w:color="FFFFFF"/>
              <w:left w:val="single" w:sz="24" w:space="0" w:color="FFFFFF"/>
              <w:bottom w:val="single" w:sz="48" w:space="0" w:color="FFFFFF"/>
            </w:tcBorders>
            <w:shd w:val="clear" w:color="auto" w:fill="000000"/>
          </w:tcPr>
          <w:p w14:paraId="51DE80A4" w14:textId="77777777" w:rsidR="0010369C" w:rsidRDefault="0010369C">
            <w:pPr>
              <w:pStyle w:val="TableParagraph"/>
              <w:rPr>
                <w:rFonts w:ascii="Times New Roman"/>
              </w:rPr>
            </w:pPr>
          </w:p>
        </w:tc>
      </w:tr>
      <w:tr w:rsidR="0010369C" w14:paraId="51DE80A7" w14:textId="77777777">
        <w:trPr>
          <w:trHeight w:val="319"/>
        </w:trPr>
        <w:tc>
          <w:tcPr>
            <w:tcW w:w="9129" w:type="dxa"/>
            <w:gridSpan w:val="4"/>
            <w:tcBorders>
              <w:top w:val="single" w:sz="48" w:space="0" w:color="FFFFFF"/>
              <w:bottom w:val="single" w:sz="48" w:space="0" w:color="FFFFFF"/>
            </w:tcBorders>
            <w:shd w:val="clear" w:color="auto" w:fill="000000"/>
          </w:tcPr>
          <w:p w14:paraId="51DE80A6" w14:textId="77777777" w:rsidR="0010369C" w:rsidRDefault="0010369C">
            <w:pPr>
              <w:pStyle w:val="TableParagraph"/>
              <w:rPr>
                <w:rFonts w:ascii="Times New Roman"/>
              </w:rPr>
            </w:pPr>
          </w:p>
        </w:tc>
      </w:tr>
      <w:tr w:rsidR="0010369C" w14:paraId="51DE80A9" w14:textId="77777777">
        <w:trPr>
          <w:trHeight w:val="319"/>
        </w:trPr>
        <w:tc>
          <w:tcPr>
            <w:tcW w:w="9129" w:type="dxa"/>
            <w:gridSpan w:val="4"/>
            <w:tcBorders>
              <w:top w:val="single" w:sz="48" w:space="0" w:color="FFFFFF"/>
              <w:bottom w:val="single" w:sz="48" w:space="0" w:color="FFFFFF"/>
            </w:tcBorders>
            <w:shd w:val="clear" w:color="auto" w:fill="000000"/>
          </w:tcPr>
          <w:p w14:paraId="51DE80A8" w14:textId="77777777" w:rsidR="0010369C" w:rsidRDefault="0010369C">
            <w:pPr>
              <w:pStyle w:val="TableParagraph"/>
              <w:rPr>
                <w:rFonts w:ascii="Times New Roman"/>
              </w:rPr>
            </w:pPr>
          </w:p>
        </w:tc>
      </w:tr>
      <w:tr w:rsidR="0010369C" w14:paraId="51DE80AC" w14:textId="77777777">
        <w:trPr>
          <w:trHeight w:val="320"/>
        </w:trPr>
        <w:tc>
          <w:tcPr>
            <w:tcW w:w="4925" w:type="dxa"/>
            <w:gridSpan w:val="3"/>
            <w:tcBorders>
              <w:top w:val="single" w:sz="48" w:space="0" w:color="FFFFFF"/>
            </w:tcBorders>
            <w:shd w:val="clear" w:color="auto" w:fill="000000"/>
          </w:tcPr>
          <w:p w14:paraId="51DE80AA" w14:textId="77777777" w:rsidR="0010369C" w:rsidRDefault="0010369C">
            <w:pPr>
              <w:pStyle w:val="TableParagraph"/>
              <w:rPr>
                <w:rFonts w:ascii="Times New Roman"/>
              </w:rPr>
            </w:pPr>
          </w:p>
        </w:tc>
        <w:tc>
          <w:tcPr>
            <w:tcW w:w="4204" w:type="dxa"/>
            <w:tcBorders>
              <w:top w:val="single" w:sz="48" w:space="0" w:color="FFFFFF"/>
            </w:tcBorders>
          </w:tcPr>
          <w:p w14:paraId="51DE80AB" w14:textId="77777777" w:rsidR="0010369C" w:rsidRDefault="008E43AE">
            <w:pPr>
              <w:pStyle w:val="TableParagraph"/>
              <w:spacing w:line="290" w:lineRule="exact"/>
              <w:ind w:left="19"/>
              <w:rPr>
                <w:sz w:val="24"/>
              </w:rPr>
            </w:pPr>
            <w:r>
              <w:rPr>
                <w:spacing w:val="-5"/>
                <w:sz w:val="24"/>
              </w:rPr>
              <w:t>]]</w:t>
            </w:r>
          </w:p>
        </w:tc>
      </w:tr>
    </w:tbl>
    <w:p w14:paraId="51DE80AD" w14:textId="77777777" w:rsidR="0010369C" w:rsidRDefault="0010369C">
      <w:pPr>
        <w:pStyle w:val="BodyText"/>
        <w:spacing w:before="10"/>
        <w:rPr>
          <w:sz w:val="22"/>
        </w:rPr>
      </w:pPr>
    </w:p>
    <w:p w14:paraId="51DE80AE" w14:textId="77777777" w:rsidR="0010369C" w:rsidRDefault="008E43AE">
      <w:pPr>
        <w:pStyle w:val="BodyText"/>
        <w:spacing w:line="360" w:lineRule="auto"/>
        <w:ind w:left="238" w:right="615" w:firstLine="850"/>
        <w:jc w:val="both"/>
      </w:pPr>
      <w:r>
        <w:rPr>
          <w:noProof/>
        </w:rPr>
        <w:drawing>
          <wp:anchor distT="0" distB="0" distL="0" distR="0" simplePos="0" relativeHeight="250843648" behindDoc="1" locked="0" layoutInCell="1" allowOverlap="1" wp14:anchorId="51DE9EE9" wp14:editId="51DE9EEA">
            <wp:simplePos x="0" y="0"/>
            <wp:positionH relativeFrom="page">
              <wp:posOffset>908303</wp:posOffset>
            </wp:positionH>
            <wp:positionV relativeFrom="paragraph">
              <wp:posOffset>48337</wp:posOffset>
            </wp:positionV>
            <wp:extent cx="256031" cy="103631"/>
            <wp:effectExtent l="0" t="0" r="0" b="0"/>
            <wp:wrapNone/>
            <wp:docPr id="321" name="image1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image169.png"/>
                    <pic:cNvPicPr/>
                  </pic:nvPicPr>
                  <pic:blipFill>
                    <a:blip r:embed="rId263" cstate="print"/>
                    <a:stretch>
                      <a:fillRect/>
                    </a:stretch>
                  </pic:blipFill>
                  <pic:spPr>
                    <a:xfrm>
                      <a:off x="0" y="0"/>
                      <a:ext cx="256031" cy="103631"/>
                    </a:xfrm>
                    <a:prstGeom prst="rect">
                      <a:avLst/>
                    </a:prstGeom>
                  </pic:spPr>
                </pic:pic>
              </a:graphicData>
            </a:graphic>
          </wp:anchor>
        </w:drawing>
      </w:r>
      <w:r>
        <w:t>MOFCOM did not seek any further explanations or information, following the provision of Treasury Wines' Supplementary Questionnaire response.</w:t>
      </w:r>
    </w:p>
    <w:p w14:paraId="51DE80AF" w14:textId="77777777" w:rsidR="0010369C" w:rsidRDefault="0010369C">
      <w:pPr>
        <w:pStyle w:val="BodyText"/>
        <w:spacing w:before="10"/>
        <w:rPr>
          <w:sz w:val="8"/>
        </w:rPr>
      </w:pPr>
    </w:p>
    <w:p w14:paraId="51DE80B0" w14:textId="77777777" w:rsidR="0010369C" w:rsidRDefault="008E43AE">
      <w:pPr>
        <w:pStyle w:val="BodyText"/>
        <w:spacing w:before="52" w:line="360" w:lineRule="auto"/>
        <w:ind w:left="238" w:right="613" w:firstLine="851"/>
        <w:jc w:val="both"/>
      </w:pPr>
      <w:r>
        <w:rPr>
          <w:noProof/>
        </w:rPr>
        <w:drawing>
          <wp:anchor distT="0" distB="0" distL="0" distR="0" simplePos="0" relativeHeight="250844672" behindDoc="1" locked="0" layoutInCell="1" allowOverlap="1" wp14:anchorId="51DE9EEB" wp14:editId="51DE9EEC">
            <wp:simplePos x="0" y="0"/>
            <wp:positionH relativeFrom="page">
              <wp:posOffset>908303</wp:posOffset>
            </wp:positionH>
            <wp:positionV relativeFrom="paragraph">
              <wp:posOffset>80595</wp:posOffset>
            </wp:positionV>
            <wp:extent cx="256031" cy="103631"/>
            <wp:effectExtent l="0" t="0" r="0" b="0"/>
            <wp:wrapNone/>
            <wp:docPr id="323" name="image1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image170.png"/>
                    <pic:cNvPicPr/>
                  </pic:nvPicPr>
                  <pic:blipFill>
                    <a:blip r:embed="rId264" cstate="print"/>
                    <a:stretch>
                      <a:fillRect/>
                    </a:stretch>
                  </pic:blipFill>
                  <pic:spPr>
                    <a:xfrm>
                      <a:off x="0" y="0"/>
                      <a:ext cx="256031" cy="103631"/>
                    </a:xfrm>
                    <a:prstGeom prst="rect">
                      <a:avLst/>
                    </a:prstGeom>
                  </pic:spPr>
                </pic:pic>
              </a:graphicData>
            </a:graphic>
          </wp:anchor>
        </w:drawing>
      </w:r>
      <w:r>
        <w:t xml:space="preserve">Assuming, </w:t>
      </w:r>
      <w:r>
        <w:rPr>
          <w:i/>
        </w:rPr>
        <w:t>arguendo</w:t>
      </w:r>
      <w:r>
        <w:t>, that the information contained in Form 6‐1‐2 was "necessary information" within the meaning of Article 6.8, to the extent that MOFCOM was dissatisfied with</w:t>
      </w:r>
      <w:r>
        <w:rPr>
          <w:spacing w:val="9"/>
        </w:rPr>
        <w:t xml:space="preserve"> </w:t>
      </w:r>
      <w:r>
        <w:t>the</w:t>
      </w:r>
      <w:r>
        <w:rPr>
          <w:spacing w:val="11"/>
        </w:rPr>
        <w:t xml:space="preserve"> </w:t>
      </w:r>
      <w:r>
        <w:t>information</w:t>
      </w:r>
      <w:r>
        <w:rPr>
          <w:spacing w:val="11"/>
        </w:rPr>
        <w:t xml:space="preserve"> </w:t>
      </w:r>
      <w:r>
        <w:t>submitted,</w:t>
      </w:r>
      <w:r>
        <w:rPr>
          <w:spacing w:val="11"/>
        </w:rPr>
        <w:t xml:space="preserve"> </w:t>
      </w:r>
      <w:r>
        <w:t>it</w:t>
      </w:r>
      <w:r>
        <w:rPr>
          <w:spacing w:val="10"/>
        </w:rPr>
        <w:t xml:space="preserve"> </w:t>
      </w:r>
      <w:r>
        <w:t>was</w:t>
      </w:r>
      <w:r>
        <w:rPr>
          <w:spacing w:val="10"/>
        </w:rPr>
        <w:t xml:space="preserve"> </w:t>
      </w:r>
      <w:r>
        <w:t>required</w:t>
      </w:r>
      <w:r>
        <w:rPr>
          <w:spacing w:val="9"/>
        </w:rPr>
        <w:t xml:space="preserve"> </w:t>
      </w:r>
      <w:r>
        <w:t>to</w:t>
      </w:r>
      <w:r>
        <w:rPr>
          <w:spacing w:val="11"/>
        </w:rPr>
        <w:t xml:space="preserve"> </w:t>
      </w:r>
      <w:r>
        <w:t>examine</w:t>
      </w:r>
      <w:r>
        <w:rPr>
          <w:spacing w:val="10"/>
        </w:rPr>
        <w:t xml:space="preserve"> </w:t>
      </w:r>
      <w:r>
        <w:t>that</w:t>
      </w:r>
      <w:r>
        <w:rPr>
          <w:spacing w:val="10"/>
        </w:rPr>
        <w:t xml:space="preserve"> </w:t>
      </w:r>
      <w:r>
        <w:t>information</w:t>
      </w:r>
      <w:r>
        <w:rPr>
          <w:spacing w:val="10"/>
        </w:rPr>
        <w:t xml:space="preserve"> </w:t>
      </w:r>
      <w:r>
        <w:t>in</w:t>
      </w:r>
      <w:r>
        <w:rPr>
          <w:spacing w:val="10"/>
        </w:rPr>
        <w:t xml:space="preserve"> </w:t>
      </w:r>
      <w:r>
        <w:t>light</w:t>
      </w:r>
      <w:r>
        <w:rPr>
          <w:spacing w:val="11"/>
        </w:rPr>
        <w:t xml:space="preserve"> </w:t>
      </w:r>
      <w:r>
        <w:t>of</w:t>
      </w:r>
      <w:r>
        <w:rPr>
          <w:spacing w:val="10"/>
        </w:rPr>
        <w:t xml:space="preserve"> </w:t>
      </w:r>
      <w:r>
        <w:rPr>
          <w:spacing w:val="-5"/>
        </w:rPr>
        <w:t>the</w:t>
      </w:r>
    </w:p>
    <w:p w14:paraId="51DE80B1" w14:textId="77777777" w:rsidR="0010369C" w:rsidRDefault="0010369C">
      <w:pPr>
        <w:pStyle w:val="BodyText"/>
        <w:rPr>
          <w:sz w:val="20"/>
        </w:rPr>
      </w:pPr>
    </w:p>
    <w:p w14:paraId="51DE80B2" w14:textId="77777777" w:rsidR="0010369C" w:rsidRDefault="0010369C">
      <w:pPr>
        <w:pStyle w:val="BodyText"/>
        <w:rPr>
          <w:sz w:val="20"/>
        </w:rPr>
      </w:pPr>
    </w:p>
    <w:p w14:paraId="51DE80B3" w14:textId="77777777" w:rsidR="0010369C" w:rsidRDefault="008E43AE">
      <w:pPr>
        <w:pStyle w:val="BodyText"/>
        <w:spacing w:before="7"/>
        <w:rPr>
          <w:sz w:val="11"/>
        </w:rPr>
      </w:pPr>
      <w:r>
        <w:pict w14:anchorId="51DE9EED">
          <v:rect id="docshape254" o:spid="_x0000_s1998" style="position:absolute;margin-left:70.9pt;margin-top:8.25pt;width:2in;height:.8pt;z-index:-251155968;mso-wrap-distance-left:0;mso-wrap-distance-right:0;mso-position-horizontal-relative:page" fillcolor="black" stroked="f">
            <w10:wrap type="topAndBottom" anchorx="page"/>
          </v:rect>
        </w:pict>
      </w:r>
    </w:p>
    <w:p w14:paraId="51DE80B4" w14:textId="77777777" w:rsidR="0010369C" w:rsidRDefault="0010369C">
      <w:pPr>
        <w:pStyle w:val="BodyText"/>
        <w:spacing w:before="8"/>
        <w:rPr>
          <w:sz w:val="5"/>
        </w:rPr>
      </w:pPr>
    </w:p>
    <w:p w14:paraId="51DE80B5" w14:textId="77777777" w:rsidR="0010369C" w:rsidRDefault="0010369C">
      <w:pPr>
        <w:rPr>
          <w:sz w:val="5"/>
        </w:rPr>
        <w:sectPr w:rsidR="0010369C">
          <w:pgSz w:w="11910" w:h="16840"/>
          <w:pgMar w:top="880" w:right="800" w:bottom="980" w:left="1180" w:header="569" w:footer="788" w:gutter="0"/>
          <w:cols w:space="720"/>
        </w:sectPr>
      </w:pPr>
    </w:p>
    <w:p w14:paraId="51DE80B6" w14:textId="77777777" w:rsidR="0010369C" w:rsidRDefault="008E43AE">
      <w:pPr>
        <w:spacing w:before="37"/>
        <w:ind w:left="238"/>
        <w:rPr>
          <w:sz w:val="18"/>
        </w:rPr>
      </w:pPr>
      <w:r>
        <w:pict w14:anchorId="51DE9EEE">
          <v:rect id="docshape255" o:spid="_x0000_s1997" style="position:absolute;left:0;text-align:left;margin-left:87.25pt;margin-top:2.35pt;width:406pt;height:12.05pt;z-index:251726336;mso-position-horizontal-relative:page" fillcolor="black" stroked="f">
            <w10:wrap anchorx="page"/>
          </v:rect>
        </w:pict>
      </w:r>
      <w:r>
        <w:rPr>
          <w:color w:val="5E5E5E"/>
          <w:sz w:val="12"/>
        </w:rPr>
        <w:t>161</w:t>
      </w:r>
      <w:r>
        <w:rPr>
          <w:color w:val="5E5E5E"/>
          <w:spacing w:val="23"/>
          <w:sz w:val="12"/>
        </w:rPr>
        <w:t xml:space="preserve"> </w:t>
      </w:r>
      <w:r>
        <w:rPr>
          <w:color w:val="5E5E5E"/>
          <w:spacing w:val="-10"/>
          <w:position w:val="-5"/>
          <w:sz w:val="18"/>
        </w:rPr>
        <w:t>[</w:t>
      </w:r>
    </w:p>
    <w:p w14:paraId="51DE80B7" w14:textId="77777777" w:rsidR="0010369C" w:rsidRDefault="008E43AE">
      <w:pPr>
        <w:spacing w:line="218" w:lineRule="exact"/>
        <w:ind w:left="238"/>
        <w:rPr>
          <w:sz w:val="18"/>
        </w:rPr>
      </w:pPr>
      <w:r>
        <w:pict w14:anchorId="51DE9EEF">
          <v:shape id="docshape256" o:spid="_x0000_s1996" style="position:absolute;left:0;text-align:left;margin-left:86.65pt;margin-top:11.3pt;width:305.35pt;height:23.05pt;z-index:251727360;mso-position-horizontal-relative:page" coordorigin="1733,226" coordsize="6107,461" path="m7840,226r-6107,l1733,446r,21l1733,687r6066,l7799,467r41,l7840,226xe" fillcolor="black" stroked="f">
            <v:path arrowok="t"/>
            <w10:wrap anchorx="page"/>
          </v:shape>
        </w:pict>
      </w:r>
      <w:r>
        <w:rPr>
          <w:color w:val="5E5E5E"/>
          <w:sz w:val="18"/>
        </w:rPr>
        <w:t>AUS‐13</w:t>
      </w:r>
      <w:r>
        <w:rPr>
          <w:color w:val="5E5E5E"/>
          <w:spacing w:val="-7"/>
          <w:sz w:val="18"/>
        </w:rPr>
        <w:t xml:space="preserve"> </w:t>
      </w:r>
      <w:r>
        <w:rPr>
          <w:color w:val="5E5E5E"/>
          <w:spacing w:val="-2"/>
          <w:sz w:val="18"/>
        </w:rPr>
        <w:t>(BCI)).]]</w:t>
      </w:r>
    </w:p>
    <w:p w14:paraId="51DE80B8" w14:textId="77777777" w:rsidR="0010369C" w:rsidRDefault="008E43AE">
      <w:pPr>
        <w:spacing w:before="37" w:line="156" w:lineRule="auto"/>
        <w:ind w:left="238"/>
        <w:rPr>
          <w:sz w:val="18"/>
        </w:rPr>
      </w:pPr>
      <w:r>
        <w:rPr>
          <w:color w:val="5E5E5E"/>
          <w:sz w:val="12"/>
        </w:rPr>
        <w:t>162</w:t>
      </w:r>
      <w:r>
        <w:rPr>
          <w:color w:val="5E5E5E"/>
          <w:spacing w:val="11"/>
          <w:sz w:val="12"/>
        </w:rPr>
        <w:t xml:space="preserve"> </w:t>
      </w:r>
      <w:r>
        <w:rPr>
          <w:color w:val="5E5E5E"/>
          <w:spacing w:val="-10"/>
          <w:position w:val="-5"/>
          <w:sz w:val="18"/>
        </w:rPr>
        <w:t>[</w:t>
      </w:r>
    </w:p>
    <w:p w14:paraId="51DE80B9" w14:textId="77777777" w:rsidR="0010369C" w:rsidRDefault="008E43AE">
      <w:pPr>
        <w:spacing w:before="33"/>
        <w:ind w:left="238"/>
        <w:rPr>
          <w:sz w:val="18"/>
        </w:rPr>
      </w:pPr>
      <w:r>
        <w:rPr>
          <w:color w:val="5E5E5E"/>
          <w:sz w:val="12"/>
        </w:rPr>
        <w:t>163</w:t>
      </w:r>
      <w:r>
        <w:rPr>
          <w:color w:val="5E5E5E"/>
          <w:spacing w:val="11"/>
          <w:sz w:val="12"/>
        </w:rPr>
        <w:t xml:space="preserve"> </w:t>
      </w:r>
      <w:r>
        <w:rPr>
          <w:color w:val="5E5E5E"/>
          <w:spacing w:val="-10"/>
          <w:position w:val="-5"/>
          <w:sz w:val="18"/>
        </w:rPr>
        <w:t>[</w:t>
      </w:r>
    </w:p>
    <w:p w14:paraId="51DE80BA" w14:textId="77777777" w:rsidR="0010369C" w:rsidRDefault="008E43AE">
      <w:pPr>
        <w:spacing w:before="1"/>
        <w:ind w:left="238"/>
        <w:rPr>
          <w:sz w:val="18"/>
        </w:rPr>
      </w:pPr>
      <w:r>
        <w:rPr>
          <w:sz w:val="18"/>
          <w:vertAlign w:val="superscript"/>
        </w:rPr>
        <w:t>164</w:t>
      </w:r>
      <w:r>
        <w:rPr>
          <w:spacing w:val="-9"/>
          <w:sz w:val="18"/>
        </w:rPr>
        <w:t xml:space="preserve"> </w:t>
      </w:r>
      <w:r>
        <w:rPr>
          <w:sz w:val="18"/>
        </w:rPr>
        <w:t>Anti‐Dumping</w:t>
      </w:r>
      <w:r>
        <w:rPr>
          <w:spacing w:val="-9"/>
          <w:sz w:val="18"/>
        </w:rPr>
        <w:t xml:space="preserve"> </w:t>
      </w:r>
      <w:r>
        <w:rPr>
          <w:sz w:val="18"/>
        </w:rPr>
        <w:t>Final</w:t>
      </w:r>
      <w:r>
        <w:rPr>
          <w:spacing w:val="-9"/>
          <w:sz w:val="18"/>
        </w:rPr>
        <w:t xml:space="preserve"> </w:t>
      </w:r>
      <w:r>
        <w:rPr>
          <w:sz w:val="18"/>
        </w:rPr>
        <w:t>Determination</w:t>
      </w:r>
      <w:r>
        <w:rPr>
          <w:spacing w:val="-8"/>
          <w:sz w:val="18"/>
        </w:rPr>
        <w:t xml:space="preserve"> </w:t>
      </w:r>
      <w:r>
        <w:rPr>
          <w:sz w:val="18"/>
        </w:rPr>
        <w:t>(Exhibit</w:t>
      </w:r>
      <w:r>
        <w:rPr>
          <w:spacing w:val="-9"/>
          <w:sz w:val="18"/>
        </w:rPr>
        <w:t xml:space="preserve"> </w:t>
      </w:r>
      <w:r>
        <w:rPr>
          <w:sz w:val="18"/>
        </w:rPr>
        <w:t>AUS‐2),</w:t>
      </w:r>
      <w:r>
        <w:rPr>
          <w:spacing w:val="-9"/>
          <w:sz w:val="18"/>
        </w:rPr>
        <w:t xml:space="preserve"> </w:t>
      </w:r>
      <w:r>
        <w:rPr>
          <w:sz w:val="18"/>
        </w:rPr>
        <w:t>p.</w:t>
      </w:r>
      <w:r>
        <w:rPr>
          <w:spacing w:val="-9"/>
          <w:sz w:val="18"/>
        </w:rPr>
        <w:t xml:space="preserve"> </w:t>
      </w:r>
      <w:r>
        <w:rPr>
          <w:spacing w:val="-2"/>
          <w:sz w:val="18"/>
        </w:rPr>
        <w:t>63‐64.</w:t>
      </w:r>
    </w:p>
    <w:p w14:paraId="51DE80BB" w14:textId="77777777" w:rsidR="0010369C" w:rsidRDefault="008E43AE">
      <w:pPr>
        <w:rPr>
          <w:sz w:val="18"/>
        </w:rPr>
      </w:pPr>
      <w:r>
        <w:br w:type="column"/>
      </w:r>
    </w:p>
    <w:p w14:paraId="51DE80BC" w14:textId="77777777" w:rsidR="0010369C" w:rsidRDefault="0010369C">
      <w:pPr>
        <w:pStyle w:val="BodyText"/>
        <w:spacing w:before="3"/>
        <w:rPr>
          <w:sz w:val="21"/>
        </w:rPr>
      </w:pPr>
    </w:p>
    <w:p w14:paraId="51DE80BD" w14:textId="77777777" w:rsidR="0010369C" w:rsidRDefault="008E43AE">
      <w:pPr>
        <w:ind w:left="238"/>
        <w:rPr>
          <w:sz w:val="18"/>
        </w:rPr>
      </w:pPr>
      <w:r>
        <w:rPr>
          <w:color w:val="5E5E5E"/>
          <w:sz w:val="18"/>
        </w:rPr>
        <w:t>(Exhibit</w:t>
      </w:r>
      <w:r>
        <w:rPr>
          <w:color w:val="5E5E5E"/>
          <w:spacing w:val="-11"/>
          <w:sz w:val="18"/>
        </w:rPr>
        <w:t xml:space="preserve"> </w:t>
      </w:r>
      <w:r>
        <w:rPr>
          <w:color w:val="5E5E5E"/>
          <w:sz w:val="18"/>
        </w:rPr>
        <w:t>AUS‐11</w:t>
      </w:r>
      <w:r>
        <w:rPr>
          <w:color w:val="5E5E5E"/>
          <w:spacing w:val="-10"/>
          <w:sz w:val="18"/>
        </w:rPr>
        <w:t xml:space="preserve"> </w:t>
      </w:r>
      <w:r>
        <w:rPr>
          <w:color w:val="5E5E5E"/>
          <w:sz w:val="18"/>
        </w:rPr>
        <w:t>(BCI)), (Exhibit</w:t>
      </w:r>
      <w:r>
        <w:rPr>
          <w:color w:val="5E5E5E"/>
          <w:spacing w:val="-9"/>
          <w:sz w:val="18"/>
        </w:rPr>
        <w:t xml:space="preserve"> </w:t>
      </w:r>
      <w:r>
        <w:rPr>
          <w:color w:val="5E5E5E"/>
          <w:sz w:val="18"/>
        </w:rPr>
        <w:t>AUS‐11</w:t>
      </w:r>
      <w:r>
        <w:rPr>
          <w:color w:val="5E5E5E"/>
          <w:spacing w:val="-9"/>
          <w:sz w:val="18"/>
        </w:rPr>
        <w:t xml:space="preserve"> </w:t>
      </w:r>
      <w:r>
        <w:rPr>
          <w:color w:val="5E5E5E"/>
          <w:spacing w:val="-2"/>
          <w:sz w:val="18"/>
        </w:rPr>
        <w:t>(BCI)),</w:t>
      </w:r>
    </w:p>
    <w:p w14:paraId="51DE80BE" w14:textId="77777777" w:rsidR="0010369C" w:rsidRDefault="008E43AE">
      <w:pPr>
        <w:spacing w:before="40"/>
        <w:ind w:left="287"/>
        <w:rPr>
          <w:sz w:val="18"/>
        </w:rPr>
      </w:pPr>
      <w:r>
        <w:br w:type="column"/>
      </w:r>
      <w:r>
        <w:rPr>
          <w:color w:val="5E5E5E"/>
          <w:spacing w:val="-2"/>
          <w:sz w:val="18"/>
        </w:rPr>
        <w:t>(Exhibit</w:t>
      </w:r>
    </w:p>
    <w:p w14:paraId="51DE80BF" w14:textId="77777777" w:rsidR="0010369C" w:rsidRDefault="0010369C">
      <w:pPr>
        <w:pStyle w:val="BodyText"/>
        <w:rPr>
          <w:sz w:val="18"/>
        </w:rPr>
      </w:pPr>
    </w:p>
    <w:p w14:paraId="51DE80C0" w14:textId="77777777" w:rsidR="0010369C" w:rsidRDefault="008E43AE">
      <w:pPr>
        <w:ind w:left="238"/>
        <w:rPr>
          <w:sz w:val="18"/>
        </w:rPr>
      </w:pPr>
      <w:r>
        <w:pict w14:anchorId="51DE9EF0">
          <v:shape id="docshape257" o:spid="_x0000_s1995" style="position:absolute;left:0;text-align:left;margin-left:475.15pt;margin-top:.35pt;width:18.2pt;height:23.05pt;z-index:251728384;mso-position-horizontal-relative:page" coordorigin="9503,7" coordsize="364,461" path="m9867,7r-364,l9503,226r,22l9503,467r364,l9867,248r,-22l9867,7xe" fillcolor="black" stroked="f">
            <v:path arrowok="t"/>
            <w10:wrap anchorx="page"/>
          </v:shape>
        </w:pict>
      </w:r>
      <w:r>
        <w:rPr>
          <w:color w:val="5E5E5E"/>
          <w:spacing w:val="-5"/>
          <w:sz w:val="18"/>
        </w:rPr>
        <w:t>.]]</w:t>
      </w:r>
    </w:p>
    <w:p w14:paraId="51DE80C1" w14:textId="77777777" w:rsidR="0010369C" w:rsidRDefault="008E43AE">
      <w:pPr>
        <w:ind w:left="238"/>
        <w:rPr>
          <w:sz w:val="18"/>
        </w:rPr>
      </w:pPr>
      <w:r>
        <w:rPr>
          <w:color w:val="5E5E5E"/>
          <w:spacing w:val="-5"/>
          <w:sz w:val="18"/>
        </w:rPr>
        <w:t>.]]</w:t>
      </w:r>
    </w:p>
    <w:p w14:paraId="51DE80C2" w14:textId="77777777" w:rsidR="0010369C" w:rsidRDefault="0010369C">
      <w:pPr>
        <w:rPr>
          <w:sz w:val="18"/>
        </w:rPr>
        <w:sectPr w:rsidR="0010369C">
          <w:type w:val="continuous"/>
          <w:pgSz w:w="11910" w:h="16840"/>
          <w:pgMar w:top="1460" w:right="800" w:bottom="280" w:left="1180" w:header="569" w:footer="788" w:gutter="0"/>
          <w:cols w:num="3" w:space="720" w:equalWidth="0">
            <w:col w:w="4891" w:space="1551"/>
            <w:col w:w="1902" w:space="125"/>
            <w:col w:w="1461"/>
          </w:cols>
        </w:sectPr>
      </w:pPr>
    </w:p>
    <w:p w14:paraId="51DE80C3" w14:textId="77777777" w:rsidR="0010369C" w:rsidRDefault="008E43AE">
      <w:pPr>
        <w:ind w:left="238"/>
        <w:rPr>
          <w:sz w:val="18"/>
        </w:rPr>
      </w:pPr>
      <w:r>
        <w:rPr>
          <w:sz w:val="18"/>
          <w:vertAlign w:val="superscript"/>
        </w:rPr>
        <w:t>165</w:t>
      </w:r>
      <w:r>
        <w:rPr>
          <w:spacing w:val="-8"/>
          <w:sz w:val="18"/>
        </w:rPr>
        <w:t xml:space="preserve"> </w:t>
      </w:r>
      <w:r>
        <w:rPr>
          <w:sz w:val="18"/>
        </w:rPr>
        <w:t>Treasury</w:t>
      </w:r>
      <w:r>
        <w:rPr>
          <w:spacing w:val="-7"/>
          <w:sz w:val="18"/>
        </w:rPr>
        <w:t xml:space="preserve"> </w:t>
      </w:r>
      <w:r>
        <w:rPr>
          <w:sz w:val="18"/>
        </w:rPr>
        <w:t>Wines</w:t>
      </w:r>
      <w:r>
        <w:rPr>
          <w:spacing w:val="-9"/>
          <w:sz w:val="18"/>
        </w:rPr>
        <w:t xml:space="preserve"> </w:t>
      </w:r>
      <w:r>
        <w:rPr>
          <w:sz w:val="18"/>
        </w:rPr>
        <w:t>Supplementary</w:t>
      </w:r>
      <w:r>
        <w:rPr>
          <w:spacing w:val="-8"/>
          <w:sz w:val="18"/>
        </w:rPr>
        <w:t xml:space="preserve"> </w:t>
      </w:r>
      <w:r>
        <w:rPr>
          <w:sz w:val="18"/>
        </w:rPr>
        <w:t>Questionnaire</w:t>
      </w:r>
      <w:r>
        <w:rPr>
          <w:spacing w:val="-8"/>
          <w:sz w:val="18"/>
        </w:rPr>
        <w:t xml:space="preserve"> </w:t>
      </w:r>
      <w:r>
        <w:rPr>
          <w:sz w:val="18"/>
        </w:rPr>
        <w:t>Response</w:t>
      </w:r>
      <w:r>
        <w:rPr>
          <w:spacing w:val="-7"/>
          <w:sz w:val="18"/>
        </w:rPr>
        <w:t xml:space="preserve"> </w:t>
      </w:r>
      <w:r>
        <w:rPr>
          <w:sz w:val="18"/>
        </w:rPr>
        <w:t>(Exhibit</w:t>
      </w:r>
      <w:r>
        <w:rPr>
          <w:spacing w:val="-8"/>
          <w:sz w:val="18"/>
        </w:rPr>
        <w:t xml:space="preserve"> </w:t>
      </w:r>
      <w:r>
        <w:rPr>
          <w:sz w:val="18"/>
        </w:rPr>
        <w:t>AUS‐14),</w:t>
      </w:r>
      <w:r>
        <w:rPr>
          <w:spacing w:val="-8"/>
          <w:sz w:val="18"/>
        </w:rPr>
        <w:t xml:space="preserve"> </w:t>
      </w:r>
      <w:r>
        <w:rPr>
          <w:sz w:val="18"/>
        </w:rPr>
        <w:t>pp.</w:t>
      </w:r>
      <w:r>
        <w:rPr>
          <w:spacing w:val="-8"/>
          <w:sz w:val="18"/>
        </w:rPr>
        <w:t xml:space="preserve"> </w:t>
      </w:r>
      <w:r>
        <w:rPr>
          <w:sz w:val="18"/>
        </w:rPr>
        <w:t>3‐4</w:t>
      </w:r>
      <w:r>
        <w:rPr>
          <w:spacing w:val="-7"/>
          <w:sz w:val="18"/>
        </w:rPr>
        <w:t xml:space="preserve"> </w:t>
      </w:r>
      <w:r>
        <w:rPr>
          <w:sz w:val="18"/>
        </w:rPr>
        <w:t>(see</w:t>
      </w:r>
      <w:r>
        <w:rPr>
          <w:spacing w:val="-8"/>
          <w:sz w:val="18"/>
        </w:rPr>
        <w:t xml:space="preserve"> </w:t>
      </w:r>
      <w:r>
        <w:rPr>
          <w:sz w:val="18"/>
        </w:rPr>
        <w:t>question</w:t>
      </w:r>
      <w:r>
        <w:rPr>
          <w:spacing w:val="-8"/>
          <w:sz w:val="18"/>
        </w:rPr>
        <w:t xml:space="preserve"> </w:t>
      </w:r>
      <w:r>
        <w:rPr>
          <w:spacing w:val="-5"/>
          <w:sz w:val="18"/>
        </w:rPr>
        <w:t>2).</w:t>
      </w:r>
    </w:p>
    <w:p w14:paraId="51DE80C4" w14:textId="77777777" w:rsidR="0010369C" w:rsidRDefault="008E43AE">
      <w:pPr>
        <w:tabs>
          <w:tab w:val="left" w:pos="6322"/>
          <w:tab w:val="left" w:pos="8256"/>
        </w:tabs>
        <w:ind w:left="238"/>
        <w:rPr>
          <w:sz w:val="18"/>
        </w:rPr>
      </w:pPr>
      <w:r>
        <w:pict w14:anchorId="51DE9EF1">
          <v:shape id="docshape258" o:spid="_x0000_s1994" style="position:absolute;left:0;text-align:left;margin-left:86.65pt;margin-top:.35pt;width:285.4pt;height:23.05pt;z-index:-251416064;mso-position-horizontal-relative:page" coordorigin="1733,7" coordsize="5708,461" path="m7441,7l1733,7r,219l1733,248r,219l7441,467r,-219l7441,226r,-219xe" fillcolor="black" stroked="f">
            <v:path arrowok="t"/>
            <w10:wrap anchorx="page"/>
          </v:shape>
        </w:pict>
      </w:r>
      <w:r>
        <w:pict w14:anchorId="51DE9EF2">
          <v:shape id="docshape259" o:spid="_x0000_s1993" style="position:absolute;left:0;text-align:left;margin-left:457.25pt;margin-top:.35pt;width:13.65pt;height:23.05pt;z-index:-251415040;mso-position-horizontal-relative:page" coordorigin="9145,7" coordsize="273,461" path="m9417,7r-272,l9145,226r,22l9145,467r272,l9417,248r,-22l9417,7xe" fillcolor="black" stroked="f">
            <v:path arrowok="t"/>
            <w10:wrap anchorx="page"/>
          </v:shape>
        </w:pict>
      </w:r>
      <w:r>
        <w:rPr>
          <w:color w:val="5E5E5E"/>
          <w:sz w:val="18"/>
          <w:vertAlign w:val="superscript"/>
        </w:rPr>
        <w:t>166</w:t>
      </w:r>
      <w:r>
        <w:rPr>
          <w:color w:val="5E5E5E"/>
          <w:spacing w:val="-2"/>
          <w:sz w:val="18"/>
        </w:rPr>
        <w:t xml:space="preserve"> </w:t>
      </w:r>
      <w:r>
        <w:rPr>
          <w:color w:val="5E5E5E"/>
          <w:spacing w:val="-10"/>
          <w:sz w:val="18"/>
        </w:rPr>
        <w:t>[</w:t>
      </w:r>
      <w:r>
        <w:rPr>
          <w:color w:val="5E5E5E"/>
          <w:sz w:val="18"/>
        </w:rPr>
        <w:tab/>
        <w:t>(Exhibit</w:t>
      </w:r>
      <w:r>
        <w:rPr>
          <w:color w:val="5E5E5E"/>
          <w:spacing w:val="-10"/>
          <w:sz w:val="18"/>
        </w:rPr>
        <w:t xml:space="preserve"> </w:t>
      </w:r>
      <w:r>
        <w:rPr>
          <w:color w:val="5E5E5E"/>
          <w:sz w:val="18"/>
        </w:rPr>
        <w:t>AUS‐15</w:t>
      </w:r>
      <w:r>
        <w:rPr>
          <w:color w:val="5E5E5E"/>
          <w:spacing w:val="-9"/>
          <w:sz w:val="18"/>
        </w:rPr>
        <w:t xml:space="preserve"> </w:t>
      </w:r>
      <w:r>
        <w:rPr>
          <w:color w:val="5E5E5E"/>
          <w:spacing w:val="-2"/>
          <w:sz w:val="18"/>
        </w:rPr>
        <w:t>(BCI)),</w:t>
      </w:r>
      <w:r>
        <w:rPr>
          <w:color w:val="5E5E5E"/>
          <w:sz w:val="18"/>
        </w:rPr>
        <w:tab/>
      </w:r>
      <w:r>
        <w:rPr>
          <w:color w:val="5E5E5E"/>
          <w:spacing w:val="-5"/>
          <w:sz w:val="18"/>
        </w:rPr>
        <w:t>.]]</w:t>
      </w:r>
    </w:p>
    <w:p w14:paraId="51DE80C5" w14:textId="77777777" w:rsidR="0010369C" w:rsidRDefault="008E43AE">
      <w:pPr>
        <w:tabs>
          <w:tab w:val="left" w:pos="6322"/>
          <w:tab w:val="left" w:pos="8256"/>
        </w:tabs>
        <w:ind w:left="238"/>
        <w:rPr>
          <w:sz w:val="18"/>
        </w:rPr>
      </w:pPr>
      <w:r>
        <w:rPr>
          <w:color w:val="5E5E5E"/>
          <w:sz w:val="18"/>
          <w:vertAlign w:val="superscript"/>
        </w:rPr>
        <w:t>167</w:t>
      </w:r>
      <w:r>
        <w:rPr>
          <w:color w:val="5E5E5E"/>
          <w:spacing w:val="-2"/>
          <w:sz w:val="18"/>
        </w:rPr>
        <w:t xml:space="preserve"> </w:t>
      </w:r>
      <w:r>
        <w:rPr>
          <w:color w:val="5E5E5E"/>
          <w:spacing w:val="-10"/>
          <w:sz w:val="18"/>
        </w:rPr>
        <w:t>[</w:t>
      </w:r>
      <w:r>
        <w:rPr>
          <w:color w:val="5E5E5E"/>
          <w:sz w:val="18"/>
        </w:rPr>
        <w:tab/>
        <w:t>(Exhibit</w:t>
      </w:r>
      <w:r>
        <w:rPr>
          <w:color w:val="5E5E5E"/>
          <w:spacing w:val="-10"/>
          <w:sz w:val="18"/>
        </w:rPr>
        <w:t xml:space="preserve"> </w:t>
      </w:r>
      <w:r>
        <w:rPr>
          <w:color w:val="5E5E5E"/>
          <w:sz w:val="18"/>
        </w:rPr>
        <w:t>AUS‐15</w:t>
      </w:r>
      <w:r>
        <w:rPr>
          <w:color w:val="5E5E5E"/>
          <w:spacing w:val="-9"/>
          <w:sz w:val="18"/>
        </w:rPr>
        <w:t xml:space="preserve"> </w:t>
      </w:r>
      <w:r>
        <w:rPr>
          <w:color w:val="5E5E5E"/>
          <w:spacing w:val="-2"/>
          <w:sz w:val="18"/>
        </w:rPr>
        <w:t>(BCI)),</w:t>
      </w:r>
      <w:r>
        <w:rPr>
          <w:color w:val="5E5E5E"/>
          <w:sz w:val="18"/>
        </w:rPr>
        <w:tab/>
      </w:r>
      <w:r>
        <w:rPr>
          <w:color w:val="5E5E5E"/>
          <w:spacing w:val="-5"/>
          <w:sz w:val="18"/>
        </w:rPr>
        <w:t>.]]</w:t>
      </w:r>
    </w:p>
    <w:p w14:paraId="51DE80C6" w14:textId="77777777" w:rsidR="0010369C" w:rsidRDefault="0010369C">
      <w:pPr>
        <w:rPr>
          <w:sz w:val="18"/>
        </w:rPr>
        <w:sectPr w:rsidR="0010369C">
          <w:type w:val="continuous"/>
          <w:pgSz w:w="11910" w:h="16840"/>
          <w:pgMar w:top="1460" w:right="800" w:bottom="280" w:left="1180" w:header="569" w:footer="788" w:gutter="0"/>
          <w:cols w:space="720"/>
        </w:sectPr>
      </w:pPr>
    </w:p>
    <w:p w14:paraId="51DE80C7" w14:textId="77777777" w:rsidR="0010369C" w:rsidRDefault="008E43AE">
      <w:pPr>
        <w:tabs>
          <w:tab w:val="left" w:pos="6426"/>
        </w:tabs>
        <w:ind w:left="238"/>
        <w:jc w:val="both"/>
        <w:rPr>
          <w:sz w:val="20"/>
        </w:rPr>
      </w:pPr>
      <w:r>
        <w:rPr>
          <w:i/>
          <w:sz w:val="20"/>
        </w:rPr>
        <w:lastRenderedPageBreak/>
        <w:t>China</w:t>
      </w:r>
      <w:r>
        <w:rPr>
          <w:i/>
          <w:spacing w:val="-5"/>
          <w:sz w:val="20"/>
        </w:rPr>
        <w:t xml:space="preserve"> </w:t>
      </w:r>
      <w:r>
        <w:rPr>
          <w:i/>
          <w:sz w:val="20"/>
        </w:rPr>
        <w:t>–</w:t>
      </w:r>
      <w:r>
        <w:rPr>
          <w:i/>
          <w:spacing w:val="-5"/>
          <w:sz w:val="20"/>
        </w:rPr>
        <w:t xml:space="preserve"> </w:t>
      </w:r>
      <w:r>
        <w:rPr>
          <w:i/>
          <w:sz w:val="20"/>
        </w:rPr>
        <w:t>Anti‐Dumping</w:t>
      </w:r>
      <w:r>
        <w:rPr>
          <w:i/>
          <w:spacing w:val="-4"/>
          <w:sz w:val="20"/>
        </w:rPr>
        <w:t xml:space="preserve"> </w:t>
      </w:r>
      <w:r>
        <w:rPr>
          <w:i/>
          <w:sz w:val="20"/>
        </w:rPr>
        <w:t>and</w:t>
      </w:r>
      <w:r>
        <w:rPr>
          <w:i/>
          <w:spacing w:val="-5"/>
          <w:sz w:val="20"/>
        </w:rPr>
        <w:t xml:space="preserve"> </w:t>
      </w:r>
      <w:r>
        <w:rPr>
          <w:i/>
          <w:sz w:val="20"/>
        </w:rPr>
        <w:t>Countervailing</w:t>
      </w:r>
      <w:r>
        <w:rPr>
          <w:i/>
          <w:spacing w:val="-5"/>
          <w:sz w:val="20"/>
        </w:rPr>
        <w:t xml:space="preserve"> </w:t>
      </w:r>
      <w:r>
        <w:rPr>
          <w:i/>
          <w:sz w:val="20"/>
        </w:rPr>
        <w:t>Duty</w:t>
      </w:r>
      <w:r>
        <w:rPr>
          <w:i/>
          <w:spacing w:val="-4"/>
          <w:sz w:val="20"/>
        </w:rPr>
        <w:t xml:space="preserve"> </w:t>
      </w:r>
      <w:r>
        <w:rPr>
          <w:i/>
          <w:spacing w:val="-2"/>
          <w:sz w:val="20"/>
        </w:rPr>
        <w:t>Measures</w:t>
      </w:r>
      <w:r>
        <w:rPr>
          <w:i/>
          <w:sz w:val="20"/>
        </w:rPr>
        <w:tab/>
      </w:r>
      <w:r>
        <w:rPr>
          <w:sz w:val="20"/>
        </w:rPr>
        <w:t>Australia's</w:t>
      </w:r>
      <w:r>
        <w:rPr>
          <w:spacing w:val="-7"/>
          <w:sz w:val="20"/>
        </w:rPr>
        <w:t xml:space="preserve"> </w:t>
      </w:r>
      <w:r>
        <w:rPr>
          <w:sz w:val="20"/>
        </w:rPr>
        <w:t>First</w:t>
      </w:r>
      <w:r>
        <w:rPr>
          <w:spacing w:val="-2"/>
          <w:sz w:val="20"/>
        </w:rPr>
        <w:t xml:space="preserve"> </w:t>
      </w:r>
      <w:r>
        <w:rPr>
          <w:sz w:val="20"/>
        </w:rPr>
        <w:t>Written</w:t>
      </w:r>
      <w:r>
        <w:rPr>
          <w:spacing w:val="-2"/>
          <w:sz w:val="20"/>
        </w:rPr>
        <w:t xml:space="preserve"> Submission</w:t>
      </w:r>
    </w:p>
    <w:p w14:paraId="51DE80C8" w14:textId="77777777" w:rsidR="0010369C" w:rsidRDefault="008E43AE">
      <w:pPr>
        <w:tabs>
          <w:tab w:val="left" w:pos="8228"/>
        </w:tabs>
        <w:spacing w:before="1"/>
        <w:ind w:left="239"/>
        <w:jc w:val="both"/>
        <w:rPr>
          <w:sz w:val="20"/>
        </w:rPr>
      </w:pPr>
      <w:r>
        <w:rPr>
          <w:i/>
          <w:sz w:val="20"/>
        </w:rPr>
        <w:t>on</w:t>
      </w:r>
      <w:r>
        <w:rPr>
          <w:i/>
          <w:spacing w:val="-1"/>
          <w:sz w:val="20"/>
        </w:rPr>
        <w:t xml:space="preserve"> </w:t>
      </w:r>
      <w:r>
        <w:rPr>
          <w:i/>
          <w:sz w:val="20"/>
        </w:rPr>
        <w:t>Wine</w:t>
      </w:r>
      <w:r>
        <w:rPr>
          <w:i/>
          <w:spacing w:val="-1"/>
          <w:sz w:val="20"/>
        </w:rPr>
        <w:t xml:space="preserve"> </w:t>
      </w:r>
      <w:r>
        <w:rPr>
          <w:i/>
          <w:sz w:val="20"/>
        </w:rPr>
        <w:t>from</w:t>
      </w:r>
      <w:r>
        <w:rPr>
          <w:i/>
          <w:spacing w:val="-3"/>
          <w:sz w:val="20"/>
        </w:rPr>
        <w:t xml:space="preserve"> </w:t>
      </w:r>
      <w:r>
        <w:rPr>
          <w:i/>
          <w:sz w:val="20"/>
        </w:rPr>
        <w:t>Australia</w:t>
      </w:r>
      <w:r>
        <w:rPr>
          <w:i/>
          <w:spacing w:val="-1"/>
          <w:sz w:val="20"/>
        </w:rPr>
        <w:t xml:space="preserve"> </w:t>
      </w:r>
      <w:r>
        <w:rPr>
          <w:spacing w:val="-2"/>
          <w:sz w:val="20"/>
        </w:rPr>
        <w:t>(DS602)</w:t>
      </w:r>
      <w:r>
        <w:rPr>
          <w:sz w:val="20"/>
        </w:rPr>
        <w:tab/>
        <w:t>29</w:t>
      </w:r>
      <w:r>
        <w:rPr>
          <w:spacing w:val="-1"/>
          <w:sz w:val="20"/>
        </w:rPr>
        <w:t xml:space="preserve"> </w:t>
      </w:r>
      <w:r>
        <w:rPr>
          <w:sz w:val="20"/>
        </w:rPr>
        <w:t>April</w:t>
      </w:r>
      <w:r>
        <w:rPr>
          <w:spacing w:val="-2"/>
          <w:sz w:val="20"/>
        </w:rPr>
        <w:t xml:space="preserve"> </w:t>
      </w:r>
      <w:r>
        <w:rPr>
          <w:spacing w:val="-4"/>
          <w:sz w:val="20"/>
        </w:rPr>
        <w:t>2022</w:t>
      </w:r>
    </w:p>
    <w:p w14:paraId="51DE80C9" w14:textId="77777777" w:rsidR="0010369C" w:rsidRDefault="008E43AE">
      <w:pPr>
        <w:pStyle w:val="BodyText"/>
        <w:spacing w:before="34" w:line="360" w:lineRule="auto"/>
        <w:ind w:left="237" w:right="613" w:firstLine="1"/>
        <w:jc w:val="both"/>
      </w:pPr>
      <w:r>
        <w:t>criteria in paragraph 3 of Annex II.</w:t>
      </w:r>
      <w:r>
        <w:rPr>
          <w:vertAlign w:val="superscript"/>
        </w:rPr>
        <w:t>168</w:t>
      </w:r>
      <w:r>
        <w:t xml:space="preserve"> As set out above,</w:t>
      </w:r>
      <w:r>
        <w:rPr>
          <w:vertAlign w:val="superscript"/>
        </w:rPr>
        <w:t>169</w:t>
      </w:r>
      <w:r>
        <w:t xml:space="preserve"> this paragraph at a minimum required MOFCOM to explain in what way the information it rejected did not meet the requirements.</w:t>
      </w:r>
      <w:r>
        <w:rPr>
          <w:vertAlign w:val="superscript"/>
        </w:rPr>
        <w:t>170</w:t>
      </w:r>
      <w:r>
        <w:t xml:space="preserve"> Had it done so, MOFCOM would have concluded that the information submitted was, in fact, verifiable, appropriately submitted, </w:t>
      </w:r>
      <w:r>
        <w:t>timely and in an appropriate medium.</w:t>
      </w:r>
      <w:r>
        <w:rPr>
          <w:spacing w:val="-11"/>
        </w:rPr>
        <w:t xml:space="preserve"> </w:t>
      </w:r>
      <w:r>
        <w:t>There</w:t>
      </w:r>
      <w:r>
        <w:rPr>
          <w:spacing w:val="-9"/>
        </w:rPr>
        <w:t xml:space="preserve"> </w:t>
      </w:r>
      <w:r>
        <w:t>is</w:t>
      </w:r>
      <w:r>
        <w:rPr>
          <w:spacing w:val="-10"/>
        </w:rPr>
        <w:t xml:space="preserve"> </w:t>
      </w:r>
      <w:r>
        <w:t>no</w:t>
      </w:r>
      <w:r>
        <w:rPr>
          <w:spacing w:val="-9"/>
        </w:rPr>
        <w:t xml:space="preserve"> </w:t>
      </w:r>
      <w:r>
        <w:t>"unlimited</w:t>
      </w:r>
      <w:r>
        <w:rPr>
          <w:spacing w:val="-11"/>
        </w:rPr>
        <w:t xml:space="preserve"> </w:t>
      </w:r>
      <w:r>
        <w:t>right"</w:t>
      </w:r>
      <w:r>
        <w:rPr>
          <w:spacing w:val="-11"/>
        </w:rPr>
        <w:t xml:space="preserve"> </w:t>
      </w:r>
      <w:r>
        <w:t>for</w:t>
      </w:r>
      <w:r>
        <w:rPr>
          <w:spacing w:val="-9"/>
        </w:rPr>
        <w:t xml:space="preserve"> </w:t>
      </w:r>
      <w:r>
        <w:t>MOFCOM</w:t>
      </w:r>
      <w:r>
        <w:rPr>
          <w:spacing w:val="-9"/>
        </w:rPr>
        <w:t xml:space="preserve"> </w:t>
      </w:r>
      <w:r>
        <w:t>to</w:t>
      </w:r>
      <w:r>
        <w:rPr>
          <w:spacing w:val="-9"/>
        </w:rPr>
        <w:t xml:space="preserve"> </w:t>
      </w:r>
      <w:r>
        <w:t>reject</w:t>
      </w:r>
      <w:r>
        <w:rPr>
          <w:spacing w:val="-12"/>
        </w:rPr>
        <w:t xml:space="preserve"> </w:t>
      </w:r>
      <w:r>
        <w:t>all</w:t>
      </w:r>
      <w:r>
        <w:rPr>
          <w:spacing w:val="-10"/>
        </w:rPr>
        <w:t xml:space="preserve"> </w:t>
      </w:r>
      <w:r>
        <w:t>information</w:t>
      </w:r>
      <w:r>
        <w:rPr>
          <w:spacing w:val="-9"/>
        </w:rPr>
        <w:t xml:space="preserve"> </w:t>
      </w:r>
      <w:r>
        <w:t>and</w:t>
      </w:r>
      <w:r>
        <w:rPr>
          <w:spacing w:val="-10"/>
        </w:rPr>
        <w:t xml:space="preserve"> </w:t>
      </w:r>
      <w:r>
        <w:t>ascertain</w:t>
      </w:r>
      <w:r>
        <w:rPr>
          <w:spacing w:val="-10"/>
        </w:rPr>
        <w:t xml:space="preserve"> </w:t>
      </w:r>
      <w:r>
        <w:t>the normal value entirely</w:t>
      </w:r>
      <w:r>
        <w:rPr>
          <w:spacing w:val="-1"/>
        </w:rPr>
        <w:t xml:space="preserve"> </w:t>
      </w:r>
      <w:r>
        <w:t xml:space="preserve">on the basis of facts available if </w:t>
      </w:r>
      <w:r>
        <w:rPr>
          <w:i/>
        </w:rPr>
        <w:t>some</w:t>
      </w:r>
      <w:r>
        <w:rPr>
          <w:i/>
          <w:spacing w:val="-1"/>
        </w:rPr>
        <w:t xml:space="preserve"> </w:t>
      </w:r>
      <w:r>
        <w:t>information</w:t>
      </w:r>
      <w:r>
        <w:rPr>
          <w:spacing w:val="-1"/>
        </w:rPr>
        <w:t xml:space="preserve"> </w:t>
      </w:r>
      <w:r>
        <w:t>was</w:t>
      </w:r>
      <w:r>
        <w:rPr>
          <w:spacing w:val="-1"/>
        </w:rPr>
        <w:t xml:space="preserve"> </w:t>
      </w:r>
      <w:r>
        <w:t xml:space="preserve">not provided, or if </w:t>
      </w:r>
      <w:r>
        <w:rPr>
          <w:i/>
        </w:rPr>
        <w:t xml:space="preserve">some </w:t>
      </w:r>
      <w:r>
        <w:t>information did not meet the cr</w:t>
      </w:r>
      <w:r>
        <w:t>iteria in paragraph 3 of Annex</w:t>
      </w:r>
      <w:r>
        <w:rPr>
          <w:spacing w:val="-2"/>
        </w:rPr>
        <w:t xml:space="preserve"> </w:t>
      </w:r>
      <w:r>
        <w:t>II.</w:t>
      </w:r>
      <w:r>
        <w:rPr>
          <w:vertAlign w:val="superscript"/>
        </w:rPr>
        <w:t>171</w:t>
      </w:r>
      <w:r>
        <w:t xml:space="preserve"> Treasury Wines acted to the best of its ability to provide the information to MOFCOM and, even if the information was not ideal in all respects, MOFCOM was not justified in rejecting it as per paragraph 5 of Annex II.</w:t>
      </w:r>
    </w:p>
    <w:p w14:paraId="51DE80CA" w14:textId="77777777" w:rsidR="0010369C" w:rsidRDefault="0010369C">
      <w:pPr>
        <w:pStyle w:val="BodyText"/>
        <w:spacing w:before="10"/>
        <w:rPr>
          <w:sz w:val="8"/>
        </w:rPr>
      </w:pPr>
    </w:p>
    <w:p w14:paraId="51DE80CB" w14:textId="77777777" w:rsidR="0010369C" w:rsidRDefault="008E43AE">
      <w:pPr>
        <w:pStyle w:val="BodyText"/>
        <w:spacing w:before="52" w:line="360" w:lineRule="auto"/>
        <w:ind w:left="236" w:right="614" w:firstLine="852"/>
        <w:jc w:val="both"/>
      </w:pPr>
      <w:r>
        <w:rPr>
          <w:noProof/>
        </w:rPr>
        <w:drawing>
          <wp:anchor distT="0" distB="0" distL="0" distR="0" simplePos="0" relativeHeight="250845696" behindDoc="1" locked="0" layoutInCell="1" allowOverlap="1" wp14:anchorId="51DE9EF3" wp14:editId="51DE9EF4">
            <wp:simplePos x="0" y="0"/>
            <wp:positionH relativeFrom="page">
              <wp:posOffset>908303</wp:posOffset>
            </wp:positionH>
            <wp:positionV relativeFrom="paragraph">
              <wp:posOffset>81357</wp:posOffset>
            </wp:positionV>
            <wp:extent cx="256031" cy="103631"/>
            <wp:effectExtent l="0" t="0" r="0" b="0"/>
            <wp:wrapNone/>
            <wp:docPr id="325" name="image1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image171.png"/>
                    <pic:cNvPicPr/>
                  </pic:nvPicPr>
                  <pic:blipFill>
                    <a:blip r:embed="rId265" cstate="print"/>
                    <a:stretch>
                      <a:fillRect/>
                    </a:stretch>
                  </pic:blipFill>
                  <pic:spPr>
                    <a:xfrm>
                      <a:off x="0" y="0"/>
                      <a:ext cx="256031" cy="103631"/>
                    </a:xfrm>
                    <a:prstGeom prst="rect">
                      <a:avLst/>
                    </a:prstGeom>
                  </pic:spPr>
                </pic:pic>
              </a:graphicData>
            </a:graphic>
          </wp:anchor>
        </w:drawing>
      </w:r>
      <w:r>
        <w:pict w14:anchorId="51DE9EF5">
          <v:rect id="docshape260" o:spid="_x0000_s1992" style="position:absolute;left:0;text-align:left;margin-left:176.05pt;margin-top:90.6pt;width:347.35pt;height:16.05pt;z-index:-251414016;mso-position-horizontal-relative:page;mso-position-vertical-relative:text" fillcolor="black" stroked="f">
            <w10:wrap anchorx="page"/>
          </v:rect>
        </w:pict>
      </w:r>
      <w:r>
        <w:t>MOFCOM otherwise failed to specify in detail the information it required for the purposes of the investigation, as required under paragraph 1 of Annex II. Paragraph 1 of Annex</w:t>
      </w:r>
      <w:r>
        <w:rPr>
          <w:spacing w:val="-2"/>
        </w:rPr>
        <w:t xml:space="preserve"> </w:t>
      </w:r>
      <w:r>
        <w:t>II</w:t>
      </w:r>
      <w:r>
        <w:rPr>
          <w:spacing w:val="-1"/>
        </w:rPr>
        <w:t xml:space="preserve"> </w:t>
      </w:r>
      <w:r>
        <w:t>clearly places</w:t>
      </w:r>
      <w:r>
        <w:rPr>
          <w:spacing w:val="-1"/>
        </w:rPr>
        <w:t xml:space="preserve"> </w:t>
      </w:r>
      <w:r>
        <w:t>the onus on MOFCOM to explain</w:t>
      </w:r>
      <w:r>
        <w:rPr>
          <w:spacing w:val="-1"/>
        </w:rPr>
        <w:t xml:space="preserve"> </w:t>
      </w:r>
      <w:r>
        <w:t>in</w:t>
      </w:r>
      <w:r>
        <w:rPr>
          <w:spacing w:val="-2"/>
        </w:rPr>
        <w:t xml:space="preserve"> </w:t>
      </w:r>
      <w:r>
        <w:t>detail the type of informa</w:t>
      </w:r>
      <w:r>
        <w:t>tion that it</w:t>
      </w:r>
      <w:r>
        <w:rPr>
          <w:spacing w:val="-9"/>
        </w:rPr>
        <w:t xml:space="preserve"> </w:t>
      </w:r>
      <w:r>
        <w:t>is</w:t>
      </w:r>
      <w:r>
        <w:rPr>
          <w:spacing w:val="-9"/>
        </w:rPr>
        <w:t xml:space="preserve"> </w:t>
      </w:r>
      <w:r>
        <w:t>seeking.</w:t>
      </w:r>
      <w:r>
        <w:rPr>
          <w:spacing w:val="-8"/>
        </w:rPr>
        <w:t xml:space="preserve"> </w:t>
      </w:r>
      <w:r>
        <w:t>It</w:t>
      </w:r>
      <w:r>
        <w:rPr>
          <w:spacing w:val="-9"/>
        </w:rPr>
        <w:t xml:space="preserve"> </w:t>
      </w:r>
      <w:r>
        <w:t>is</w:t>
      </w:r>
      <w:r>
        <w:rPr>
          <w:spacing w:val="-9"/>
        </w:rPr>
        <w:t xml:space="preserve"> </w:t>
      </w:r>
      <w:r>
        <w:t>not</w:t>
      </w:r>
      <w:r>
        <w:rPr>
          <w:spacing w:val="-8"/>
        </w:rPr>
        <w:t xml:space="preserve"> </w:t>
      </w:r>
      <w:r>
        <w:t>incumbent</w:t>
      </w:r>
      <w:r>
        <w:rPr>
          <w:spacing w:val="-8"/>
        </w:rPr>
        <w:t xml:space="preserve"> </w:t>
      </w:r>
      <w:r>
        <w:t>upon</w:t>
      </w:r>
      <w:r>
        <w:rPr>
          <w:spacing w:val="-10"/>
        </w:rPr>
        <w:t xml:space="preserve"> </w:t>
      </w:r>
      <w:r>
        <w:t>interested</w:t>
      </w:r>
      <w:r>
        <w:rPr>
          <w:spacing w:val="-8"/>
        </w:rPr>
        <w:t xml:space="preserve"> </w:t>
      </w:r>
      <w:r>
        <w:t>parties</w:t>
      </w:r>
      <w:r>
        <w:rPr>
          <w:spacing w:val="-9"/>
        </w:rPr>
        <w:t xml:space="preserve"> </w:t>
      </w:r>
      <w:r>
        <w:t>to</w:t>
      </w:r>
      <w:r>
        <w:rPr>
          <w:spacing w:val="-8"/>
        </w:rPr>
        <w:t xml:space="preserve"> </w:t>
      </w:r>
      <w:r>
        <w:t>guess</w:t>
      </w:r>
      <w:r>
        <w:rPr>
          <w:spacing w:val="-9"/>
        </w:rPr>
        <w:t xml:space="preserve"> </w:t>
      </w:r>
      <w:r>
        <w:t>what</w:t>
      </w:r>
      <w:r>
        <w:rPr>
          <w:spacing w:val="-9"/>
        </w:rPr>
        <w:t xml:space="preserve"> </w:t>
      </w:r>
      <w:r>
        <w:t>MOFCOM</w:t>
      </w:r>
      <w:r>
        <w:rPr>
          <w:spacing w:val="-8"/>
        </w:rPr>
        <w:t xml:space="preserve"> </w:t>
      </w:r>
      <w:r>
        <w:t>is</w:t>
      </w:r>
      <w:r>
        <w:rPr>
          <w:spacing w:val="-9"/>
        </w:rPr>
        <w:t xml:space="preserve"> </w:t>
      </w:r>
      <w:r>
        <w:t>looking</w:t>
      </w:r>
      <w:r>
        <w:rPr>
          <w:spacing w:val="-8"/>
        </w:rPr>
        <w:t xml:space="preserve"> </w:t>
      </w:r>
      <w:r>
        <w:t>for in its investigation.</w:t>
      </w:r>
      <w:r>
        <w:rPr>
          <w:spacing w:val="40"/>
        </w:rPr>
        <w:t xml:space="preserve"> </w:t>
      </w:r>
      <w:r>
        <w:t>[[</w:t>
      </w:r>
    </w:p>
    <w:p w14:paraId="51DE80CC" w14:textId="77777777" w:rsidR="0010369C" w:rsidRDefault="008E43AE">
      <w:pPr>
        <w:pStyle w:val="BodyText"/>
        <w:spacing w:line="360" w:lineRule="auto"/>
        <w:ind w:left="237" w:right="613" w:firstLine="5013"/>
        <w:jc w:val="both"/>
      </w:pPr>
      <w:r>
        <w:pict w14:anchorId="51DE9EF6">
          <v:rect id="docshape261" o:spid="_x0000_s1991" style="position:absolute;left:0;text-align:left;margin-left:69.9pt;margin-top:.1pt;width:250.7pt;height:16.05pt;z-index:-251412992;mso-position-horizontal-relative:page" fillcolor="black" stroked="f">
            <w10:wrap anchorx="page"/>
          </v:rect>
        </w:pict>
      </w:r>
      <w:r>
        <w:t>]]</w:t>
      </w:r>
      <w:r>
        <w:rPr>
          <w:spacing w:val="-14"/>
        </w:rPr>
        <w:t xml:space="preserve"> </w:t>
      </w:r>
      <w:r>
        <w:t>it</w:t>
      </w:r>
      <w:r>
        <w:rPr>
          <w:spacing w:val="-14"/>
        </w:rPr>
        <w:t xml:space="preserve"> </w:t>
      </w:r>
      <w:r>
        <w:t>should</w:t>
      </w:r>
      <w:r>
        <w:rPr>
          <w:spacing w:val="-13"/>
        </w:rPr>
        <w:t xml:space="preserve"> </w:t>
      </w:r>
      <w:r>
        <w:t>have</w:t>
      </w:r>
      <w:r>
        <w:rPr>
          <w:spacing w:val="-14"/>
        </w:rPr>
        <w:t xml:space="preserve"> </w:t>
      </w:r>
      <w:r>
        <w:t>specified</w:t>
      </w:r>
      <w:r>
        <w:rPr>
          <w:spacing w:val="-13"/>
        </w:rPr>
        <w:t xml:space="preserve"> </w:t>
      </w:r>
      <w:r>
        <w:t>what</w:t>
      </w:r>
      <w:r>
        <w:rPr>
          <w:spacing w:val="-14"/>
        </w:rPr>
        <w:t xml:space="preserve"> </w:t>
      </w:r>
      <w:r>
        <w:t>it</w:t>
      </w:r>
      <w:r>
        <w:rPr>
          <w:spacing w:val="-13"/>
        </w:rPr>
        <w:t xml:space="preserve"> </w:t>
      </w:r>
      <w:r>
        <w:t>required in the relevant forms attached to the Anti‐Dumping Questionnaire, or failing that, in the Supplementary Questionnaire.</w:t>
      </w:r>
    </w:p>
    <w:p w14:paraId="51DE80CD" w14:textId="77777777" w:rsidR="0010369C" w:rsidRDefault="0010369C">
      <w:pPr>
        <w:pStyle w:val="BodyText"/>
        <w:spacing w:before="11"/>
        <w:rPr>
          <w:sz w:val="8"/>
        </w:rPr>
      </w:pPr>
    </w:p>
    <w:p w14:paraId="51DE80CE" w14:textId="77777777" w:rsidR="0010369C" w:rsidRDefault="008E43AE">
      <w:pPr>
        <w:pStyle w:val="BodyText"/>
        <w:spacing w:before="51" w:line="360" w:lineRule="auto"/>
        <w:ind w:left="236" w:right="612" w:firstLine="852"/>
        <w:jc w:val="both"/>
      </w:pPr>
      <w:r>
        <w:rPr>
          <w:noProof/>
        </w:rPr>
        <w:drawing>
          <wp:anchor distT="0" distB="0" distL="0" distR="0" simplePos="0" relativeHeight="250846720" behindDoc="1" locked="0" layoutInCell="1" allowOverlap="1" wp14:anchorId="51DE9EF7" wp14:editId="51DE9EF8">
            <wp:simplePos x="0" y="0"/>
            <wp:positionH relativeFrom="page">
              <wp:posOffset>908303</wp:posOffset>
            </wp:positionH>
            <wp:positionV relativeFrom="paragraph">
              <wp:posOffset>81314</wp:posOffset>
            </wp:positionV>
            <wp:extent cx="256031" cy="100753"/>
            <wp:effectExtent l="0" t="0" r="0" b="0"/>
            <wp:wrapNone/>
            <wp:docPr id="327" name="image1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image172.png"/>
                    <pic:cNvPicPr/>
                  </pic:nvPicPr>
                  <pic:blipFill>
                    <a:blip r:embed="rId266" cstate="print"/>
                    <a:stretch>
                      <a:fillRect/>
                    </a:stretch>
                  </pic:blipFill>
                  <pic:spPr>
                    <a:xfrm>
                      <a:off x="0" y="0"/>
                      <a:ext cx="256031" cy="100753"/>
                    </a:xfrm>
                    <a:prstGeom prst="rect">
                      <a:avLst/>
                    </a:prstGeom>
                  </pic:spPr>
                </pic:pic>
              </a:graphicData>
            </a:graphic>
          </wp:anchor>
        </w:drawing>
      </w:r>
      <w:r>
        <w:t>MOFCOM,</w:t>
      </w:r>
      <w:r>
        <w:rPr>
          <w:spacing w:val="-14"/>
        </w:rPr>
        <w:t xml:space="preserve"> </w:t>
      </w:r>
      <w:r>
        <w:t>once</w:t>
      </w:r>
      <w:r>
        <w:rPr>
          <w:spacing w:val="-14"/>
        </w:rPr>
        <w:t xml:space="preserve"> </w:t>
      </w:r>
      <w:r>
        <w:t>again,</w:t>
      </w:r>
      <w:r>
        <w:rPr>
          <w:spacing w:val="-13"/>
        </w:rPr>
        <w:t xml:space="preserve"> </w:t>
      </w:r>
      <w:r>
        <w:t>did</w:t>
      </w:r>
      <w:r>
        <w:rPr>
          <w:spacing w:val="-14"/>
        </w:rPr>
        <w:t xml:space="preserve"> </w:t>
      </w:r>
      <w:r>
        <w:t>not</w:t>
      </w:r>
      <w:r>
        <w:rPr>
          <w:spacing w:val="-13"/>
        </w:rPr>
        <w:t xml:space="preserve"> </w:t>
      </w:r>
      <w:r>
        <w:t>inform</w:t>
      </w:r>
      <w:r>
        <w:rPr>
          <w:spacing w:val="-14"/>
        </w:rPr>
        <w:t xml:space="preserve"> </w:t>
      </w:r>
      <w:r>
        <w:t>Treasury</w:t>
      </w:r>
      <w:r>
        <w:rPr>
          <w:spacing w:val="-13"/>
        </w:rPr>
        <w:t xml:space="preserve"> </w:t>
      </w:r>
      <w:r>
        <w:t>Wines</w:t>
      </w:r>
      <w:r>
        <w:rPr>
          <w:spacing w:val="-14"/>
        </w:rPr>
        <w:t xml:space="preserve"> </w:t>
      </w:r>
      <w:r>
        <w:t>of</w:t>
      </w:r>
      <w:r>
        <w:rPr>
          <w:spacing w:val="-14"/>
        </w:rPr>
        <w:t xml:space="preserve"> </w:t>
      </w:r>
      <w:r>
        <w:t>the</w:t>
      </w:r>
      <w:r>
        <w:rPr>
          <w:spacing w:val="-13"/>
        </w:rPr>
        <w:t xml:space="preserve"> </w:t>
      </w:r>
      <w:r>
        <w:t>reasons</w:t>
      </w:r>
      <w:r>
        <w:rPr>
          <w:spacing w:val="-14"/>
        </w:rPr>
        <w:t xml:space="preserve"> </w:t>
      </w:r>
      <w:r>
        <w:t>for</w:t>
      </w:r>
      <w:r>
        <w:rPr>
          <w:spacing w:val="-13"/>
        </w:rPr>
        <w:t xml:space="preserve"> </w:t>
      </w:r>
      <w:r>
        <w:t>not</w:t>
      </w:r>
      <w:r>
        <w:rPr>
          <w:spacing w:val="-14"/>
        </w:rPr>
        <w:t xml:space="preserve"> </w:t>
      </w:r>
      <w:r>
        <w:t>accepting the information submitted in Treasury Wines</w:t>
      </w:r>
      <w:r>
        <w:t>' response to the Preliminary Determination or the Supplementary Questionnaire, did not provide an opportunity to provide further explanations and did not provide reasons for the rejection of information, as required by paragraph</w:t>
      </w:r>
      <w:r>
        <w:rPr>
          <w:spacing w:val="-12"/>
        </w:rPr>
        <w:t xml:space="preserve"> </w:t>
      </w:r>
      <w:r>
        <w:t>6</w:t>
      </w:r>
      <w:r>
        <w:rPr>
          <w:spacing w:val="-12"/>
        </w:rPr>
        <w:t xml:space="preserve"> </w:t>
      </w:r>
      <w:r>
        <w:t>of</w:t>
      </w:r>
      <w:r>
        <w:rPr>
          <w:spacing w:val="-12"/>
        </w:rPr>
        <w:t xml:space="preserve"> </w:t>
      </w:r>
      <w:r>
        <w:t>Annex</w:t>
      </w:r>
      <w:r>
        <w:rPr>
          <w:spacing w:val="-12"/>
        </w:rPr>
        <w:t xml:space="preserve"> </w:t>
      </w:r>
      <w:r>
        <w:t>II.</w:t>
      </w:r>
      <w:r>
        <w:rPr>
          <w:spacing w:val="-11"/>
        </w:rPr>
        <w:t xml:space="preserve"> </w:t>
      </w:r>
      <w:r>
        <w:t>MOFCOM</w:t>
      </w:r>
      <w:r>
        <w:rPr>
          <w:spacing w:val="-12"/>
        </w:rPr>
        <w:t xml:space="preserve"> </w:t>
      </w:r>
      <w:r>
        <w:t>stated</w:t>
      </w:r>
      <w:r>
        <w:rPr>
          <w:spacing w:val="-12"/>
        </w:rPr>
        <w:t xml:space="preserve"> </w:t>
      </w:r>
      <w:r>
        <w:t>in</w:t>
      </w:r>
      <w:r>
        <w:rPr>
          <w:spacing w:val="-12"/>
        </w:rPr>
        <w:t xml:space="preserve"> </w:t>
      </w:r>
      <w:r>
        <w:t>the</w:t>
      </w:r>
      <w:r>
        <w:rPr>
          <w:spacing w:val="-12"/>
        </w:rPr>
        <w:t xml:space="preserve"> </w:t>
      </w:r>
      <w:r>
        <w:t>Final</w:t>
      </w:r>
      <w:r>
        <w:rPr>
          <w:spacing w:val="-12"/>
        </w:rPr>
        <w:t xml:space="preserve"> </w:t>
      </w:r>
      <w:r>
        <w:t>Disclosure</w:t>
      </w:r>
      <w:r>
        <w:rPr>
          <w:spacing w:val="-11"/>
        </w:rPr>
        <w:t xml:space="preserve"> </w:t>
      </w:r>
      <w:r>
        <w:t>(published</w:t>
      </w:r>
      <w:r>
        <w:rPr>
          <w:spacing w:val="-12"/>
        </w:rPr>
        <w:t xml:space="preserve"> </w:t>
      </w:r>
      <w:r>
        <w:t>on</w:t>
      </w:r>
      <w:r>
        <w:rPr>
          <w:spacing w:val="-12"/>
        </w:rPr>
        <w:t xml:space="preserve"> </w:t>
      </w:r>
      <w:r>
        <w:t>12</w:t>
      </w:r>
      <w:r>
        <w:rPr>
          <w:spacing w:val="-3"/>
        </w:rPr>
        <w:t xml:space="preserve"> </w:t>
      </w:r>
      <w:r>
        <w:t>March</w:t>
      </w:r>
      <w:r>
        <w:rPr>
          <w:spacing w:val="-3"/>
        </w:rPr>
        <w:t xml:space="preserve"> </w:t>
      </w:r>
      <w:r>
        <w:t>2021, 14 calendar days prior to the Final Determination), that it "decided in the Preliminary Ruling to conduct a review and evaluation on the basis of the facts already obtained and the best inf</w:t>
      </w:r>
      <w:r>
        <w:t>ormation available" for the purposes of determining normal value.</w:t>
      </w:r>
      <w:r>
        <w:rPr>
          <w:vertAlign w:val="superscript"/>
        </w:rPr>
        <w:t>172</w:t>
      </w:r>
    </w:p>
    <w:p w14:paraId="51DE80CF" w14:textId="77777777" w:rsidR="0010369C" w:rsidRDefault="0010369C">
      <w:pPr>
        <w:pStyle w:val="BodyText"/>
        <w:rPr>
          <w:sz w:val="20"/>
        </w:rPr>
      </w:pPr>
    </w:p>
    <w:p w14:paraId="51DE80D0" w14:textId="77777777" w:rsidR="0010369C" w:rsidRDefault="0010369C">
      <w:pPr>
        <w:pStyle w:val="BodyText"/>
        <w:rPr>
          <w:sz w:val="20"/>
        </w:rPr>
      </w:pPr>
    </w:p>
    <w:p w14:paraId="51DE80D1" w14:textId="77777777" w:rsidR="0010369C" w:rsidRDefault="0010369C">
      <w:pPr>
        <w:pStyle w:val="BodyText"/>
        <w:rPr>
          <w:sz w:val="20"/>
        </w:rPr>
      </w:pPr>
    </w:p>
    <w:p w14:paraId="51DE80D2" w14:textId="77777777" w:rsidR="0010369C" w:rsidRDefault="008E43AE">
      <w:pPr>
        <w:pStyle w:val="BodyText"/>
        <w:spacing w:before="8"/>
        <w:rPr>
          <w:sz w:val="22"/>
        </w:rPr>
      </w:pPr>
      <w:r>
        <w:pict w14:anchorId="51DE9EF9">
          <v:rect id="docshape262" o:spid="_x0000_s1990" style="position:absolute;margin-left:70.9pt;margin-top:15.05pt;width:2in;height:.8pt;z-index:-251154944;mso-wrap-distance-left:0;mso-wrap-distance-right:0;mso-position-horizontal-relative:page" fillcolor="black" stroked="f">
            <w10:wrap type="topAndBottom" anchorx="page"/>
          </v:rect>
        </w:pict>
      </w:r>
    </w:p>
    <w:p w14:paraId="51DE80D3" w14:textId="77777777" w:rsidR="0010369C" w:rsidRDefault="008E43AE">
      <w:pPr>
        <w:spacing w:before="109"/>
        <w:ind w:left="238"/>
        <w:rPr>
          <w:sz w:val="18"/>
        </w:rPr>
      </w:pPr>
      <w:r>
        <w:rPr>
          <w:sz w:val="18"/>
          <w:vertAlign w:val="superscript"/>
        </w:rPr>
        <w:t>168</w:t>
      </w:r>
      <w:r>
        <w:rPr>
          <w:spacing w:val="-5"/>
          <w:sz w:val="18"/>
        </w:rPr>
        <w:t xml:space="preserve"> </w:t>
      </w:r>
      <w:r>
        <w:rPr>
          <w:sz w:val="18"/>
        </w:rPr>
        <w:t>Panel</w:t>
      </w:r>
      <w:r>
        <w:rPr>
          <w:spacing w:val="-5"/>
          <w:sz w:val="18"/>
        </w:rPr>
        <w:t xml:space="preserve"> </w:t>
      </w:r>
      <w:r>
        <w:rPr>
          <w:sz w:val="18"/>
        </w:rPr>
        <w:t>Report,</w:t>
      </w:r>
      <w:r>
        <w:rPr>
          <w:spacing w:val="-4"/>
          <w:sz w:val="18"/>
        </w:rPr>
        <w:t xml:space="preserve"> </w:t>
      </w:r>
      <w:r>
        <w:rPr>
          <w:i/>
          <w:sz w:val="18"/>
        </w:rPr>
        <w:t>US</w:t>
      </w:r>
      <w:r>
        <w:rPr>
          <w:i/>
          <w:spacing w:val="-4"/>
          <w:sz w:val="18"/>
        </w:rPr>
        <w:t xml:space="preserve"> </w:t>
      </w:r>
      <w:r>
        <w:rPr>
          <w:i/>
          <w:sz w:val="18"/>
        </w:rPr>
        <w:t>–</w:t>
      </w:r>
      <w:r>
        <w:rPr>
          <w:i/>
          <w:spacing w:val="-5"/>
          <w:sz w:val="18"/>
        </w:rPr>
        <w:t xml:space="preserve"> </w:t>
      </w:r>
      <w:r>
        <w:rPr>
          <w:i/>
          <w:sz w:val="18"/>
        </w:rPr>
        <w:t>Steel</w:t>
      </w:r>
      <w:r>
        <w:rPr>
          <w:i/>
          <w:spacing w:val="-6"/>
          <w:sz w:val="18"/>
        </w:rPr>
        <w:t xml:space="preserve"> </w:t>
      </w:r>
      <w:r>
        <w:rPr>
          <w:i/>
          <w:sz w:val="18"/>
        </w:rPr>
        <w:t>Plate</w:t>
      </w:r>
      <w:r>
        <w:rPr>
          <w:sz w:val="18"/>
        </w:rPr>
        <w:t>,</w:t>
      </w:r>
      <w:r>
        <w:rPr>
          <w:spacing w:val="-5"/>
          <w:sz w:val="18"/>
        </w:rPr>
        <w:t xml:space="preserve"> </w:t>
      </w:r>
      <w:r>
        <w:rPr>
          <w:sz w:val="18"/>
        </w:rPr>
        <w:t>para.</w:t>
      </w:r>
      <w:r>
        <w:rPr>
          <w:spacing w:val="-4"/>
          <w:sz w:val="18"/>
        </w:rPr>
        <w:t xml:space="preserve"> </w:t>
      </w:r>
      <w:r>
        <w:rPr>
          <w:spacing w:val="-2"/>
          <w:sz w:val="18"/>
        </w:rPr>
        <w:t>7.58.</w:t>
      </w:r>
    </w:p>
    <w:p w14:paraId="51DE80D4" w14:textId="77777777" w:rsidR="0010369C" w:rsidRDefault="008E43AE">
      <w:pPr>
        <w:spacing w:before="1"/>
        <w:ind w:left="238"/>
        <w:rPr>
          <w:sz w:val="18"/>
        </w:rPr>
      </w:pPr>
      <w:r>
        <w:rPr>
          <w:sz w:val="18"/>
          <w:vertAlign w:val="superscript"/>
        </w:rPr>
        <w:t>169</w:t>
      </w:r>
      <w:r>
        <w:rPr>
          <w:spacing w:val="-6"/>
          <w:sz w:val="18"/>
        </w:rPr>
        <w:t xml:space="preserve"> </w:t>
      </w:r>
      <w:r>
        <w:rPr>
          <w:sz w:val="18"/>
        </w:rPr>
        <w:t>See</w:t>
      </w:r>
      <w:r>
        <w:rPr>
          <w:spacing w:val="-5"/>
          <w:sz w:val="18"/>
        </w:rPr>
        <w:t xml:space="preserve"> </w:t>
      </w:r>
      <w:r>
        <w:rPr>
          <w:sz w:val="18"/>
        </w:rPr>
        <w:t>above,</w:t>
      </w:r>
      <w:r>
        <w:rPr>
          <w:spacing w:val="-6"/>
          <w:sz w:val="18"/>
        </w:rPr>
        <w:t xml:space="preserve"> </w:t>
      </w:r>
      <w:r>
        <w:rPr>
          <w:sz w:val="18"/>
        </w:rPr>
        <w:t>section</w:t>
      </w:r>
      <w:r>
        <w:rPr>
          <w:spacing w:val="-5"/>
          <w:sz w:val="18"/>
        </w:rPr>
        <w:t xml:space="preserve"> </w:t>
      </w:r>
      <w:r>
        <w:rPr>
          <w:spacing w:val="-2"/>
          <w:sz w:val="18"/>
        </w:rPr>
        <w:t>II.B.1(b)(ii).</w:t>
      </w:r>
    </w:p>
    <w:p w14:paraId="51DE80D5" w14:textId="77777777" w:rsidR="0010369C" w:rsidRDefault="008E43AE">
      <w:pPr>
        <w:ind w:left="238"/>
        <w:rPr>
          <w:sz w:val="18"/>
        </w:rPr>
      </w:pPr>
      <w:r>
        <w:rPr>
          <w:sz w:val="18"/>
          <w:vertAlign w:val="superscript"/>
        </w:rPr>
        <w:t>170</w:t>
      </w:r>
      <w:r>
        <w:rPr>
          <w:spacing w:val="-5"/>
          <w:sz w:val="18"/>
        </w:rPr>
        <w:t xml:space="preserve"> </w:t>
      </w:r>
      <w:r>
        <w:rPr>
          <w:sz w:val="18"/>
        </w:rPr>
        <w:t>Panel</w:t>
      </w:r>
      <w:r>
        <w:rPr>
          <w:spacing w:val="-6"/>
          <w:sz w:val="18"/>
        </w:rPr>
        <w:t xml:space="preserve"> </w:t>
      </w:r>
      <w:r>
        <w:rPr>
          <w:sz w:val="18"/>
        </w:rPr>
        <w:t>Report,</w:t>
      </w:r>
      <w:r>
        <w:rPr>
          <w:spacing w:val="-5"/>
          <w:sz w:val="18"/>
        </w:rPr>
        <w:t xml:space="preserve"> </w:t>
      </w:r>
      <w:r>
        <w:rPr>
          <w:i/>
          <w:sz w:val="18"/>
        </w:rPr>
        <w:t>China</w:t>
      </w:r>
      <w:r>
        <w:rPr>
          <w:i/>
          <w:spacing w:val="-5"/>
          <w:sz w:val="18"/>
        </w:rPr>
        <w:t xml:space="preserve"> </w:t>
      </w:r>
      <w:r>
        <w:rPr>
          <w:i/>
          <w:sz w:val="18"/>
        </w:rPr>
        <w:t>–</w:t>
      </w:r>
      <w:r>
        <w:rPr>
          <w:i/>
          <w:spacing w:val="-5"/>
          <w:sz w:val="18"/>
        </w:rPr>
        <w:t xml:space="preserve"> </w:t>
      </w:r>
      <w:r>
        <w:rPr>
          <w:i/>
          <w:sz w:val="18"/>
        </w:rPr>
        <w:t>Broiler</w:t>
      </w:r>
      <w:r>
        <w:rPr>
          <w:i/>
          <w:spacing w:val="-6"/>
          <w:sz w:val="18"/>
        </w:rPr>
        <w:t xml:space="preserve"> </w:t>
      </w:r>
      <w:r>
        <w:rPr>
          <w:i/>
          <w:sz w:val="18"/>
        </w:rPr>
        <w:t>Products</w:t>
      </w:r>
      <w:r>
        <w:rPr>
          <w:i/>
          <w:spacing w:val="-6"/>
          <w:sz w:val="18"/>
        </w:rPr>
        <w:t xml:space="preserve"> </w:t>
      </w:r>
      <w:r>
        <w:rPr>
          <w:i/>
          <w:sz w:val="18"/>
        </w:rPr>
        <w:t>(Article</w:t>
      </w:r>
      <w:r>
        <w:rPr>
          <w:i/>
          <w:spacing w:val="-5"/>
          <w:sz w:val="18"/>
        </w:rPr>
        <w:t xml:space="preserve"> </w:t>
      </w:r>
      <w:r>
        <w:rPr>
          <w:i/>
          <w:sz w:val="18"/>
        </w:rPr>
        <w:t>21.5</w:t>
      </w:r>
      <w:r>
        <w:rPr>
          <w:i/>
          <w:spacing w:val="-5"/>
          <w:sz w:val="18"/>
        </w:rPr>
        <w:t xml:space="preserve"> </w:t>
      </w:r>
      <w:r>
        <w:rPr>
          <w:i/>
          <w:sz w:val="18"/>
        </w:rPr>
        <w:t>‐</w:t>
      </w:r>
      <w:r>
        <w:rPr>
          <w:i/>
          <w:spacing w:val="-5"/>
          <w:sz w:val="18"/>
        </w:rPr>
        <w:t xml:space="preserve"> </w:t>
      </w:r>
      <w:r>
        <w:rPr>
          <w:i/>
          <w:sz w:val="18"/>
        </w:rPr>
        <w:t>US)</w:t>
      </w:r>
      <w:r>
        <w:rPr>
          <w:sz w:val="18"/>
        </w:rPr>
        <w:t>,</w:t>
      </w:r>
      <w:r>
        <w:rPr>
          <w:spacing w:val="-6"/>
          <w:sz w:val="18"/>
        </w:rPr>
        <w:t xml:space="preserve"> </w:t>
      </w:r>
      <w:r>
        <w:rPr>
          <w:sz w:val="18"/>
        </w:rPr>
        <w:t>para.</w:t>
      </w:r>
      <w:r>
        <w:rPr>
          <w:spacing w:val="-5"/>
          <w:sz w:val="18"/>
        </w:rPr>
        <w:t xml:space="preserve"> </w:t>
      </w:r>
      <w:r>
        <w:rPr>
          <w:spacing w:val="-2"/>
          <w:sz w:val="18"/>
        </w:rPr>
        <w:t>7.343.</w:t>
      </w:r>
    </w:p>
    <w:p w14:paraId="51DE80D6" w14:textId="77777777" w:rsidR="0010369C" w:rsidRDefault="008E43AE">
      <w:pPr>
        <w:ind w:left="238"/>
        <w:rPr>
          <w:sz w:val="18"/>
        </w:rPr>
      </w:pPr>
      <w:r>
        <w:rPr>
          <w:sz w:val="18"/>
          <w:vertAlign w:val="superscript"/>
        </w:rPr>
        <w:t>171</w:t>
      </w:r>
      <w:r>
        <w:rPr>
          <w:spacing w:val="-5"/>
          <w:sz w:val="18"/>
        </w:rPr>
        <w:t xml:space="preserve"> </w:t>
      </w:r>
      <w:r>
        <w:rPr>
          <w:sz w:val="18"/>
        </w:rPr>
        <w:t>Panel</w:t>
      </w:r>
      <w:r>
        <w:rPr>
          <w:spacing w:val="-5"/>
          <w:sz w:val="18"/>
        </w:rPr>
        <w:t xml:space="preserve"> </w:t>
      </w:r>
      <w:r>
        <w:rPr>
          <w:sz w:val="18"/>
        </w:rPr>
        <w:t>Reports,</w:t>
      </w:r>
      <w:r>
        <w:rPr>
          <w:spacing w:val="-5"/>
          <w:sz w:val="18"/>
        </w:rPr>
        <w:t xml:space="preserve"> </w:t>
      </w:r>
      <w:r>
        <w:rPr>
          <w:i/>
          <w:sz w:val="18"/>
        </w:rPr>
        <w:t>US</w:t>
      </w:r>
      <w:r>
        <w:rPr>
          <w:i/>
          <w:spacing w:val="-4"/>
          <w:sz w:val="18"/>
        </w:rPr>
        <w:t xml:space="preserve"> </w:t>
      </w:r>
      <w:r>
        <w:rPr>
          <w:i/>
          <w:sz w:val="18"/>
        </w:rPr>
        <w:t>–</w:t>
      </w:r>
      <w:r>
        <w:rPr>
          <w:i/>
          <w:spacing w:val="-5"/>
          <w:sz w:val="18"/>
        </w:rPr>
        <w:t xml:space="preserve"> </w:t>
      </w:r>
      <w:r>
        <w:rPr>
          <w:i/>
          <w:sz w:val="18"/>
        </w:rPr>
        <w:t>Steel</w:t>
      </w:r>
      <w:r>
        <w:rPr>
          <w:i/>
          <w:spacing w:val="-5"/>
          <w:sz w:val="18"/>
        </w:rPr>
        <w:t xml:space="preserve"> </w:t>
      </w:r>
      <w:r>
        <w:rPr>
          <w:i/>
          <w:sz w:val="18"/>
        </w:rPr>
        <w:t>Plate</w:t>
      </w:r>
      <w:r>
        <w:rPr>
          <w:sz w:val="18"/>
        </w:rPr>
        <w:t>,</w:t>
      </w:r>
      <w:r>
        <w:rPr>
          <w:spacing w:val="-6"/>
          <w:sz w:val="18"/>
        </w:rPr>
        <w:t xml:space="preserve"> </w:t>
      </w:r>
      <w:r>
        <w:rPr>
          <w:sz w:val="18"/>
        </w:rPr>
        <w:t>para.</w:t>
      </w:r>
      <w:r>
        <w:rPr>
          <w:spacing w:val="-5"/>
          <w:sz w:val="18"/>
        </w:rPr>
        <w:t xml:space="preserve"> </w:t>
      </w:r>
      <w:r>
        <w:rPr>
          <w:sz w:val="18"/>
        </w:rPr>
        <w:t>7.57;</w:t>
      </w:r>
      <w:r>
        <w:rPr>
          <w:spacing w:val="-5"/>
          <w:sz w:val="18"/>
        </w:rPr>
        <w:t xml:space="preserve"> </w:t>
      </w:r>
      <w:r>
        <w:rPr>
          <w:i/>
          <w:sz w:val="18"/>
        </w:rPr>
        <w:t>China</w:t>
      </w:r>
      <w:r>
        <w:rPr>
          <w:i/>
          <w:spacing w:val="-5"/>
          <w:sz w:val="18"/>
        </w:rPr>
        <w:t xml:space="preserve"> </w:t>
      </w:r>
      <w:r>
        <w:rPr>
          <w:i/>
          <w:sz w:val="18"/>
        </w:rPr>
        <w:t>–</w:t>
      </w:r>
      <w:r>
        <w:rPr>
          <w:i/>
          <w:spacing w:val="-4"/>
          <w:sz w:val="18"/>
        </w:rPr>
        <w:t xml:space="preserve"> </w:t>
      </w:r>
      <w:r>
        <w:rPr>
          <w:i/>
          <w:sz w:val="18"/>
        </w:rPr>
        <w:t>Broiler</w:t>
      </w:r>
      <w:r>
        <w:rPr>
          <w:i/>
          <w:spacing w:val="-6"/>
          <w:sz w:val="18"/>
        </w:rPr>
        <w:t xml:space="preserve"> </w:t>
      </w:r>
      <w:r>
        <w:rPr>
          <w:i/>
          <w:sz w:val="18"/>
        </w:rPr>
        <w:t>Products</w:t>
      </w:r>
      <w:r>
        <w:rPr>
          <w:i/>
          <w:spacing w:val="-5"/>
          <w:sz w:val="18"/>
        </w:rPr>
        <w:t xml:space="preserve"> </w:t>
      </w:r>
      <w:r>
        <w:rPr>
          <w:i/>
          <w:sz w:val="18"/>
        </w:rPr>
        <w:t>(Article</w:t>
      </w:r>
      <w:r>
        <w:rPr>
          <w:i/>
          <w:spacing w:val="-5"/>
          <w:sz w:val="18"/>
        </w:rPr>
        <w:t xml:space="preserve"> </w:t>
      </w:r>
      <w:r>
        <w:rPr>
          <w:i/>
          <w:sz w:val="18"/>
        </w:rPr>
        <w:t>21.5</w:t>
      </w:r>
      <w:r>
        <w:rPr>
          <w:i/>
          <w:spacing w:val="-4"/>
          <w:sz w:val="18"/>
        </w:rPr>
        <w:t xml:space="preserve"> </w:t>
      </w:r>
      <w:r>
        <w:rPr>
          <w:i/>
          <w:sz w:val="18"/>
        </w:rPr>
        <w:t>‐</w:t>
      </w:r>
      <w:r>
        <w:rPr>
          <w:i/>
          <w:spacing w:val="-4"/>
          <w:sz w:val="18"/>
        </w:rPr>
        <w:t xml:space="preserve"> </w:t>
      </w:r>
      <w:r>
        <w:rPr>
          <w:i/>
          <w:sz w:val="18"/>
        </w:rPr>
        <w:t>US)</w:t>
      </w:r>
      <w:r>
        <w:rPr>
          <w:sz w:val="18"/>
        </w:rPr>
        <w:t>,</w:t>
      </w:r>
      <w:r>
        <w:rPr>
          <w:spacing w:val="-6"/>
          <w:sz w:val="18"/>
        </w:rPr>
        <w:t xml:space="preserve"> </w:t>
      </w:r>
      <w:r>
        <w:rPr>
          <w:sz w:val="18"/>
        </w:rPr>
        <w:t>para.</w:t>
      </w:r>
      <w:r>
        <w:rPr>
          <w:spacing w:val="-4"/>
          <w:sz w:val="18"/>
        </w:rPr>
        <w:t xml:space="preserve"> </w:t>
      </w:r>
      <w:r>
        <w:rPr>
          <w:sz w:val="18"/>
        </w:rPr>
        <w:t>7.</w:t>
      </w:r>
      <w:r>
        <w:rPr>
          <w:spacing w:val="-5"/>
          <w:sz w:val="18"/>
        </w:rPr>
        <w:t xml:space="preserve"> </w:t>
      </w:r>
      <w:r>
        <w:rPr>
          <w:spacing w:val="-4"/>
          <w:sz w:val="18"/>
        </w:rPr>
        <w:t>343.</w:t>
      </w:r>
    </w:p>
    <w:p w14:paraId="51DE80D7" w14:textId="77777777" w:rsidR="0010369C" w:rsidRDefault="008E43AE">
      <w:pPr>
        <w:ind w:left="238"/>
        <w:rPr>
          <w:sz w:val="18"/>
        </w:rPr>
      </w:pPr>
      <w:r>
        <w:rPr>
          <w:sz w:val="18"/>
          <w:vertAlign w:val="superscript"/>
        </w:rPr>
        <w:t>172</w:t>
      </w:r>
      <w:r>
        <w:rPr>
          <w:spacing w:val="-8"/>
          <w:sz w:val="18"/>
        </w:rPr>
        <w:t xml:space="preserve"> </w:t>
      </w:r>
      <w:r>
        <w:rPr>
          <w:sz w:val="18"/>
        </w:rPr>
        <w:t>Anti‐Dumping</w:t>
      </w:r>
      <w:r>
        <w:rPr>
          <w:spacing w:val="-8"/>
          <w:sz w:val="18"/>
        </w:rPr>
        <w:t xml:space="preserve"> </w:t>
      </w:r>
      <w:r>
        <w:rPr>
          <w:sz w:val="18"/>
        </w:rPr>
        <w:t>Final</w:t>
      </w:r>
      <w:r>
        <w:rPr>
          <w:spacing w:val="-8"/>
          <w:sz w:val="18"/>
        </w:rPr>
        <w:t xml:space="preserve"> </w:t>
      </w:r>
      <w:r>
        <w:rPr>
          <w:sz w:val="18"/>
        </w:rPr>
        <w:t>Disclosure</w:t>
      </w:r>
      <w:r>
        <w:rPr>
          <w:spacing w:val="-8"/>
          <w:sz w:val="18"/>
        </w:rPr>
        <w:t xml:space="preserve"> </w:t>
      </w:r>
      <w:r>
        <w:rPr>
          <w:sz w:val="18"/>
        </w:rPr>
        <w:t>(Exhibit</w:t>
      </w:r>
      <w:r>
        <w:rPr>
          <w:spacing w:val="-8"/>
          <w:sz w:val="18"/>
        </w:rPr>
        <w:t xml:space="preserve"> </w:t>
      </w:r>
      <w:r>
        <w:rPr>
          <w:sz w:val="18"/>
        </w:rPr>
        <w:t>AUS‐16)</w:t>
      </w:r>
      <w:r>
        <w:rPr>
          <w:spacing w:val="-7"/>
          <w:sz w:val="18"/>
        </w:rPr>
        <w:t xml:space="preserve"> </w:t>
      </w:r>
      <w:r>
        <w:rPr>
          <w:sz w:val="18"/>
        </w:rPr>
        <w:t>pp.</w:t>
      </w:r>
      <w:r>
        <w:rPr>
          <w:spacing w:val="-8"/>
          <w:sz w:val="18"/>
        </w:rPr>
        <w:t xml:space="preserve"> </w:t>
      </w:r>
      <w:r>
        <w:rPr>
          <w:spacing w:val="-2"/>
          <w:sz w:val="18"/>
        </w:rPr>
        <w:t>29‐30.</w:t>
      </w:r>
    </w:p>
    <w:p w14:paraId="51DE80D8" w14:textId="77777777" w:rsidR="0010369C" w:rsidRDefault="0010369C">
      <w:pPr>
        <w:rPr>
          <w:sz w:val="18"/>
        </w:rPr>
        <w:sectPr w:rsidR="0010369C">
          <w:pgSz w:w="11910" w:h="16840"/>
          <w:pgMar w:top="880" w:right="800" w:bottom="980" w:left="1180" w:header="569" w:footer="788" w:gutter="0"/>
          <w:cols w:space="720"/>
        </w:sectPr>
      </w:pPr>
    </w:p>
    <w:p w14:paraId="51DE80D9" w14:textId="77777777" w:rsidR="0010369C" w:rsidRDefault="008E43AE">
      <w:pPr>
        <w:tabs>
          <w:tab w:val="left" w:pos="6426"/>
        </w:tabs>
        <w:ind w:left="238"/>
        <w:jc w:val="both"/>
        <w:rPr>
          <w:sz w:val="20"/>
        </w:rPr>
      </w:pPr>
      <w:r>
        <w:rPr>
          <w:i/>
          <w:sz w:val="20"/>
        </w:rPr>
        <w:lastRenderedPageBreak/>
        <w:t>China</w:t>
      </w:r>
      <w:r>
        <w:rPr>
          <w:i/>
          <w:spacing w:val="-5"/>
          <w:sz w:val="20"/>
        </w:rPr>
        <w:t xml:space="preserve"> </w:t>
      </w:r>
      <w:r>
        <w:rPr>
          <w:i/>
          <w:sz w:val="20"/>
        </w:rPr>
        <w:t>–</w:t>
      </w:r>
      <w:r>
        <w:rPr>
          <w:i/>
          <w:spacing w:val="-5"/>
          <w:sz w:val="20"/>
        </w:rPr>
        <w:t xml:space="preserve"> </w:t>
      </w:r>
      <w:r>
        <w:rPr>
          <w:i/>
          <w:sz w:val="20"/>
        </w:rPr>
        <w:t>Anti‐Dumping</w:t>
      </w:r>
      <w:r>
        <w:rPr>
          <w:i/>
          <w:spacing w:val="-4"/>
          <w:sz w:val="20"/>
        </w:rPr>
        <w:t xml:space="preserve"> </w:t>
      </w:r>
      <w:r>
        <w:rPr>
          <w:i/>
          <w:sz w:val="20"/>
        </w:rPr>
        <w:t>and</w:t>
      </w:r>
      <w:r>
        <w:rPr>
          <w:i/>
          <w:spacing w:val="-5"/>
          <w:sz w:val="20"/>
        </w:rPr>
        <w:t xml:space="preserve"> </w:t>
      </w:r>
      <w:r>
        <w:rPr>
          <w:i/>
          <w:sz w:val="20"/>
        </w:rPr>
        <w:t>Countervailing</w:t>
      </w:r>
      <w:r>
        <w:rPr>
          <w:i/>
          <w:spacing w:val="-5"/>
          <w:sz w:val="20"/>
        </w:rPr>
        <w:t xml:space="preserve"> </w:t>
      </w:r>
      <w:r>
        <w:rPr>
          <w:i/>
          <w:sz w:val="20"/>
        </w:rPr>
        <w:t>Duty</w:t>
      </w:r>
      <w:r>
        <w:rPr>
          <w:i/>
          <w:spacing w:val="-4"/>
          <w:sz w:val="20"/>
        </w:rPr>
        <w:t xml:space="preserve"> </w:t>
      </w:r>
      <w:r>
        <w:rPr>
          <w:i/>
          <w:spacing w:val="-2"/>
          <w:sz w:val="20"/>
        </w:rPr>
        <w:t>Measures</w:t>
      </w:r>
      <w:r>
        <w:rPr>
          <w:i/>
          <w:sz w:val="20"/>
        </w:rPr>
        <w:tab/>
      </w:r>
      <w:r>
        <w:rPr>
          <w:sz w:val="20"/>
        </w:rPr>
        <w:t>Australia's</w:t>
      </w:r>
      <w:r>
        <w:rPr>
          <w:spacing w:val="-7"/>
          <w:sz w:val="20"/>
        </w:rPr>
        <w:t xml:space="preserve"> </w:t>
      </w:r>
      <w:r>
        <w:rPr>
          <w:sz w:val="20"/>
        </w:rPr>
        <w:t>First</w:t>
      </w:r>
      <w:r>
        <w:rPr>
          <w:spacing w:val="-2"/>
          <w:sz w:val="20"/>
        </w:rPr>
        <w:t xml:space="preserve"> </w:t>
      </w:r>
      <w:r>
        <w:rPr>
          <w:sz w:val="20"/>
        </w:rPr>
        <w:t>Written</w:t>
      </w:r>
      <w:r>
        <w:rPr>
          <w:spacing w:val="-2"/>
          <w:sz w:val="20"/>
        </w:rPr>
        <w:t xml:space="preserve"> Submission</w:t>
      </w:r>
    </w:p>
    <w:p w14:paraId="51DE80DA" w14:textId="77777777" w:rsidR="0010369C" w:rsidRDefault="008E43AE">
      <w:pPr>
        <w:tabs>
          <w:tab w:val="left" w:pos="8228"/>
        </w:tabs>
        <w:spacing w:before="1"/>
        <w:ind w:left="239"/>
        <w:jc w:val="both"/>
        <w:rPr>
          <w:sz w:val="20"/>
        </w:rPr>
      </w:pPr>
      <w:r>
        <w:rPr>
          <w:i/>
          <w:sz w:val="20"/>
        </w:rPr>
        <w:t>on</w:t>
      </w:r>
      <w:r>
        <w:rPr>
          <w:i/>
          <w:spacing w:val="-1"/>
          <w:sz w:val="20"/>
        </w:rPr>
        <w:t xml:space="preserve"> </w:t>
      </w:r>
      <w:r>
        <w:rPr>
          <w:i/>
          <w:sz w:val="20"/>
        </w:rPr>
        <w:t>Wine</w:t>
      </w:r>
      <w:r>
        <w:rPr>
          <w:i/>
          <w:spacing w:val="-1"/>
          <w:sz w:val="20"/>
        </w:rPr>
        <w:t xml:space="preserve"> </w:t>
      </w:r>
      <w:r>
        <w:rPr>
          <w:i/>
          <w:sz w:val="20"/>
        </w:rPr>
        <w:t>from</w:t>
      </w:r>
      <w:r>
        <w:rPr>
          <w:i/>
          <w:spacing w:val="-3"/>
          <w:sz w:val="20"/>
        </w:rPr>
        <w:t xml:space="preserve"> </w:t>
      </w:r>
      <w:r>
        <w:rPr>
          <w:i/>
          <w:sz w:val="20"/>
        </w:rPr>
        <w:t>Australia</w:t>
      </w:r>
      <w:r>
        <w:rPr>
          <w:i/>
          <w:spacing w:val="-1"/>
          <w:sz w:val="20"/>
        </w:rPr>
        <w:t xml:space="preserve"> </w:t>
      </w:r>
      <w:r>
        <w:rPr>
          <w:spacing w:val="-2"/>
          <w:sz w:val="20"/>
        </w:rPr>
        <w:t>(DS602)</w:t>
      </w:r>
      <w:r>
        <w:rPr>
          <w:sz w:val="20"/>
        </w:rPr>
        <w:tab/>
        <w:t>29</w:t>
      </w:r>
      <w:r>
        <w:rPr>
          <w:spacing w:val="-1"/>
          <w:sz w:val="20"/>
        </w:rPr>
        <w:t xml:space="preserve"> </w:t>
      </w:r>
      <w:r>
        <w:rPr>
          <w:sz w:val="20"/>
        </w:rPr>
        <w:t>April</w:t>
      </w:r>
      <w:r>
        <w:rPr>
          <w:spacing w:val="-2"/>
          <w:sz w:val="20"/>
        </w:rPr>
        <w:t xml:space="preserve"> </w:t>
      </w:r>
      <w:r>
        <w:rPr>
          <w:spacing w:val="-4"/>
          <w:sz w:val="20"/>
        </w:rPr>
        <w:t>2022</w:t>
      </w:r>
    </w:p>
    <w:p w14:paraId="51DE80DB" w14:textId="77777777" w:rsidR="0010369C" w:rsidRDefault="008E43AE">
      <w:pPr>
        <w:pStyle w:val="BodyText"/>
        <w:spacing w:before="34" w:line="360" w:lineRule="auto"/>
        <w:ind w:left="236" w:right="612" w:firstLine="852"/>
        <w:jc w:val="both"/>
      </w:pPr>
      <w:r>
        <w:rPr>
          <w:noProof/>
        </w:rPr>
        <w:drawing>
          <wp:anchor distT="0" distB="0" distL="0" distR="0" simplePos="0" relativeHeight="250847744" behindDoc="1" locked="0" layoutInCell="1" allowOverlap="1" wp14:anchorId="51DE9EFA" wp14:editId="51DE9EFB">
            <wp:simplePos x="0" y="0"/>
            <wp:positionH relativeFrom="page">
              <wp:posOffset>908303</wp:posOffset>
            </wp:positionH>
            <wp:positionV relativeFrom="paragraph">
              <wp:posOffset>69165</wp:posOffset>
            </wp:positionV>
            <wp:extent cx="256031" cy="103631"/>
            <wp:effectExtent l="0" t="0" r="0" b="0"/>
            <wp:wrapNone/>
            <wp:docPr id="329" name="image1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image173.png"/>
                    <pic:cNvPicPr/>
                  </pic:nvPicPr>
                  <pic:blipFill>
                    <a:blip r:embed="rId267" cstate="print"/>
                    <a:stretch>
                      <a:fillRect/>
                    </a:stretch>
                  </pic:blipFill>
                  <pic:spPr>
                    <a:xfrm>
                      <a:off x="0" y="0"/>
                      <a:ext cx="256031" cy="103631"/>
                    </a:xfrm>
                    <a:prstGeom prst="rect">
                      <a:avLst/>
                    </a:prstGeom>
                  </pic:spPr>
                </pic:pic>
              </a:graphicData>
            </a:graphic>
          </wp:anchor>
        </w:drawing>
      </w:r>
      <w:r>
        <w:t>Given the length of time between receipt of Treasury Wines' Anti‐Dumping Questionnaire</w:t>
      </w:r>
      <w:r>
        <w:rPr>
          <w:spacing w:val="-6"/>
        </w:rPr>
        <w:t xml:space="preserve"> </w:t>
      </w:r>
      <w:r>
        <w:t>Response,</w:t>
      </w:r>
      <w:r>
        <w:rPr>
          <w:spacing w:val="-6"/>
        </w:rPr>
        <w:t xml:space="preserve"> </w:t>
      </w:r>
      <w:r>
        <w:t>Treasury</w:t>
      </w:r>
      <w:r>
        <w:rPr>
          <w:spacing w:val="-5"/>
        </w:rPr>
        <w:t xml:space="preserve"> </w:t>
      </w:r>
      <w:r>
        <w:t>Wines'</w:t>
      </w:r>
      <w:r>
        <w:rPr>
          <w:spacing w:val="-7"/>
        </w:rPr>
        <w:t xml:space="preserve"> </w:t>
      </w:r>
      <w:r>
        <w:t>response</w:t>
      </w:r>
      <w:r>
        <w:rPr>
          <w:spacing w:val="-6"/>
        </w:rPr>
        <w:t xml:space="preserve"> </w:t>
      </w:r>
      <w:r>
        <w:t>to</w:t>
      </w:r>
      <w:r>
        <w:rPr>
          <w:spacing w:val="-6"/>
        </w:rPr>
        <w:t xml:space="preserve"> </w:t>
      </w:r>
      <w:r>
        <w:t>the</w:t>
      </w:r>
      <w:r>
        <w:rPr>
          <w:spacing w:val="-5"/>
        </w:rPr>
        <w:t xml:space="preserve"> </w:t>
      </w:r>
      <w:r>
        <w:t>Preliminary</w:t>
      </w:r>
      <w:r>
        <w:rPr>
          <w:spacing w:val="-7"/>
        </w:rPr>
        <w:t xml:space="preserve"> </w:t>
      </w:r>
      <w:r>
        <w:t>Determination</w:t>
      </w:r>
      <w:r>
        <w:rPr>
          <w:spacing w:val="-6"/>
        </w:rPr>
        <w:t xml:space="preserve"> </w:t>
      </w:r>
      <w:r>
        <w:t>and</w:t>
      </w:r>
      <w:r>
        <w:rPr>
          <w:spacing w:val="-6"/>
        </w:rPr>
        <w:t xml:space="preserve"> </w:t>
      </w:r>
      <w:r>
        <w:t xml:space="preserve">the Supplementary Questionnaire, and MOFCOM's publication of the Final Determination, it is clear that MOFCOM failed to notify Treasury Wines why its submitted information had not been accepted </w:t>
      </w:r>
      <w:r>
        <w:rPr>
          <w:i/>
        </w:rPr>
        <w:t xml:space="preserve">immediately </w:t>
      </w:r>
      <w:r>
        <w:t xml:space="preserve">and </w:t>
      </w:r>
      <w:r>
        <w:rPr>
          <w:i/>
        </w:rPr>
        <w:t>without delay</w:t>
      </w:r>
      <w:r>
        <w:t>. Further, paragraph 6 of Annex I</w:t>
      </w:r>
      <w:r>
        <w:t>I required MOFCOM</w:t>
      </w:r>
      <w:r>
        <w:rPr>
          <w:spacing w:val="-14"/>
        </w:rPr>
        <w:t xml:space="preserve"> </w:t>
      </w:r>
      <w:r>
        <w:t>to</w:t>
      </w:r>
      <w:r>
        <w:rPr>
          <w:spacing w:val="-14"/>
        </w:rPr>
        <w:t xml:space="preserve"> </w:t>
      </w:r>
      <w:r>
        <w:t>provide</w:t>
      </w:r>
      <w:r>
        <w:rPr>
          <w:spacing w:val="-13"/>
        </w:rPr>
        <w:t xml:space="preserve"> </w:t>
      </w:r>
      <w:r>
        <w:t>an</w:t>
      </w:r>
      <w:r>
        <w:rPr>
          <w:spacing w:val="-14"/>
        </w:rPr>
        <w:t xml:space="preserve"> </w:t>
      </w:r>
      <w:r>
        <w:t>opportunity</w:t>
      </w:r>
      <w:r>
        <w:rPr>
          <w:spacing w:val="-13"/>
        </w:rPr>
        <w:t xml:space="preserve"> </w:t>
      </w:r>
      <w:r>
        <w:t>for</w:t>
      </w:r>
      <w:r>
        <w:rPr>
          <w:spacing w:val="-14"/>
        </w:rPr>
        <w:t xml:space="preserve"> </w:t>
      </w:r>
      <w:r>
        <w:t>Treasury</w:t>
      </w:r>
      <w:r>
        <w:rPr>
          <w:spacing w:val="-13"/>
        </w:rPr>
        <w:t xml:space="preserve"> </w:t>
      </w:r>
      <w:r>
        <w:t>Wines</w:t>
      </w:r>
      <w:r>
        <w:rPr>
          <w:spacing w:val="-14"/>
        </w:rPr>
        <w:t xml:space="preserve"> </w:t>
      </w:r>
      <w:r>
        <w:t>to</w:t>
      </w:r>
      <w:r>
        <w:rPr>
          <w:spacing w:val="-14"/>
        </w:rPr>
        <w:t xml:space="preserve"> </w:t>
      </w:r>
      <w:r>
        <w:t>provide</w:t>
      </w:r>
      <w:r>
        <w:rPr>
          <w:spacing w:val="-13"/>
        </w:rPr>
        <w:t xml:space="preserve"> </w:t>
      </w:r>
      <w:r>
        <w:t>further</w:t>
      </w:r>
      <w:r>
        <w:rPr>
          <w:spacing w:val="-14"/>
        </w:rPr>
        <w:t xml:space="preserve"> </w:t>
      </w:r>
      <w:r>
        <w:t>explanations</w:t>
      </w:r>
      <w:r>
        <w:rPr>
          <w:spacing w:val="-13"/>
        </w:rPr>
        <w:t xml:space="preserve"> </w:t>
      </w:r>
      <w:r>
        <w:t>within a</w:t>
      </w:r>
      <w:r>
        <w:rPr>
          <w:spacing w:val="-10"/>
        </w:rPr>
        <w:t xml:space="preserve"> </w:t>
      </w:r>
      <w:r>
        <w:t>reasonable</w:t>
      </w:r>
      <w:r>
        <w:rPr>
          <w:spacing w:val="-10"/>
        </w:rPr>
        <w:t xml:space="preserve"> </w:t>
      </w:r>
      <w:r>
        <w:t>period,</w:t>
      </w:r>
      <w:r>
        <w:rPr>
          <w:spacing w:val="-9"/>
        </w:rPr>
        <w:t xml:space="preserve"> </w:t>
      </w:r>
      <w:r>
        <w:t>due</w:t>
      </w:r>
      <w:r>
        <w:rPr>
          <w:spacing w:val="-9"/>
        </w:rPr>
        <w:t xml:space="preserve"> </w:t>
      </w:r>
      <w:r>
        <w:t>account</w:t>
      </w:r>
      <w:r>
        <w:rPr>
          <w:spacing w:val="-10"/>
        </w:rPr>
        <w:t xml:space="preserve"> </w:t>
      </w:r>
      <w:r>
        <w:t>being</w:t>
      </w:r>
      <w:r>
        <w:rPr>
          <w:spacing w:val="-10"/>
        </w:rPr>
        <w:t xml:space="preserve"> </w:t>
      </w:r>
      <w:r>
        <w:t>taken</w:t>
      </w:r>
      <w:r>
        <w:rPr>
          <w:spacing w:val="-10"/>
        </w:rPr>
        <w:t xml:space="preserve"> </w:t>
      </w:r>
      <w:r>
        <w:t>of</w:t>
      </w:r>
      <w:r>
        <w:rPr>
          <w:spacing w:val="-10"/>
        </w:rPr>
        <w:t xml:space="preserve"> </w:t>
      </w:r>
      <w:r>
        <w:t>the</w:t>
      </w:r>
      <w:r>
        <w:rPr>
          <w:spacing w:val="-9"/>
        </w:rPr>
        <w:t xml:space="preserve"> </w:t>
      </w:r>
      <w:r>
        <w:t>time</w:t>
      </w:r>
      <w:r>
        <w:rPr>
          <w:spacing w:val="-9"/>
        </w:rPr>
        <w:t xml:space="preserve"> </w:t>
      </w:r>
      <w:r>
        <w:t>limits</w:t>
      </w:r>
      <w:r>
        <w:rPr>
          <w:spacing w:val="-10"/>
        </w:rPr>
        <w:t xml:space="preserve"> </w:t>
      </w:r>
      <w:r>
        <w:t>of</w:t>
      </w:r>
      <w:r>
        <w:rPr>
          <w:spacing w:val="-10"/>
        </w:rPr>
        <w:t xml:space="preserve"> </w:t>
      </w:r>
      <w:r>
        <w:t>the</w:t>
      </w:r>
      <w:r>
        <w:rPr>
          <w:spacing w:val="-9"/>
        </w:rPr>
        <w:t xml:space="preserve"> </w:t>
      </w:r>
      <w:r>
        <w:t>investigation.</w:t>
      </w:r>
      <w:r>
        <w:rPr>
          <w:spacing w:val="-8"/>
        </w:rPr>
        <w:t xml:space="preserve"> </w:t>
      </w:r>
      <w:r>
        <w:t xml:space="preserve">However, the time limits of the investigation remained unclear, and </w:t>
      </w:r>
      <w:r>
        <w:t>MOFCOM never provided an opportunity for Treasury Wines to provide further explanations within a reasonable period.</w:t>
      </w:r>
    </w:p>
    <w:p w14:paraId="51DE80DC" w14:textId="77777777" w:rsidR="0010369C" w:rsidRDefault="0010369C">
      <w:pPr>
        <w:pStyle w:val="BodyText"/>
        <w:spacing w:before="11"/>
        <w:rPr>
          <w:sz w:val="8"/>
        </w:rPr>
      </w:pPr>
    </w:p>
    <w:p w14:paraId="51DE80DD" w14:textId="77777777" w:rsidR="0010369C" w:rsidRDefault="008E43AE">
      <w:pPr>
        <w:pStyle w:val="BodyText"/>
        <w:spacing w:before="51" w:line="360" w:lineRule="auto"/>
        <w:ind w:left="237" w:right="613" w:firstLine="851"/>
        <w:jc w:val="both"/>
      </w:pPr>
      <w:r>
        <w:rPr>
          <w:noProof/>
        </w:rPr>
        <w:drawing>
          <wp:anchor distT="0" distB="0" distL="0" distR="0" simplePos="0" relativeHeight="250848768" behindDoc="1" locked="0" layoutInCell="1" allowOverlap="1" wp14:anchorId="51DE9EFC" wp14:editId="51DE9EFD">
            <wp:simplePos x="0" y="0"/>
            <wp:positionH relativeFrom="page">
              <wp:posOffset>908303</wp:posOffset>
            </wp:positionH>
            <wp:positionV relativeFrom="paragraph">
              <wp:posOffset>76150</wp:posOffset>
            </wp:positionV>
            <wp:extent cx="256031" cy="106679"/>
            <wp:effectExtent l="0" t="0" r="0" b="0"/>
            <wp:wrapNone/>
            <wp:docPr id="331" name="image1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image174.png"/>
                    <pic:cNvPicPr/>
                  </pic:nvPicPr>
                  <pic:blipFill>
                    <a:blip r:embed="rId268" cstate="print"/>
                    <a:stretch>
                      <a:fillRect/>
                    </a:stretch>
                  </pic:blipFill>
                  <pic:spPr>
                    <a:xfrm>
                      <a:off x="0" y="0"/>
                      <a:ext cx="256031" cy="106679"/>
                    </a:xfrm>
                    <a:prstGeom prst="rect">
                      <a:avLst/>
                    </a:prstGeom>
                  </pic:spPr>
                </pic:pic>
              </a:graphicData>
            </a:graphic>
          </wp:anchor>
        </w:drawing>
      </w:r>
      <w:r>
        <w:t>For these reasons, MOFCOM erred</w:t>
      </w:r>
      <w:r>
        <w:rPr>
          <w:spacing w:val="-1"/>
        </w:rPr>
        <w:t xml:space="preserve"> </w:t>
      </w:r>
      <w:r>
        <w:t>when it relied upon Treasury Wines' response to Form 6‐1‐2 as a basis to resort to facts available and, th</w:t>
      </w:r>
      <w:r>
        <w:t>erefore, China acted inconsistently with Article 6.8 and paragraphs 1, 3, 5 and 6 of Annex II of the Anti‐Dumping Agreement.</w:t>
      </w:r>
    </w:p>
    <w:p w14:paraId="51DE80DE" w14:textId="77777777" w:rsidR="0010369C" w:rsidRDefault="008E43AE">
      <w:pPr>
        <w:pStyle w:val="ListParagraph"/>
        <w:numPr>
          <w:ilvl w:val="4"/>
          <w:numId w:val="75"/>
        </w:numPr>
        <w:tabs>
          <w:tab w:val="left" w:pos="4492"/>
          <w:tab w:val="left" w:pos="4493"/>
        </w:tabs>
        <w:spacing w:before="162"/>
        <w:ind w:left="4492" w:hanging="852"/>
        <w:jc w:val="both"/>
        <w:rPr>
          <w:i/>
          <w:sz w:val="24"/>
        </w:rPr>
      </w:pPr>
      <w:r>
        <w:rPr>
          <w:i/>
          <w:sz w:val="24"/>
        </w:rPr>
        <w:t>Form</w:t>
      </w:r>
      <w:r>
        <w:rPr>
          <w:i/>
          <w:spacing w:val="-8"/>
          <w:sz w:val="24"/>
        </w:rPr>
        <w:t xml:space="preserve"> </w:t>
      </w:r>
      <w:r>
        <w:rPr>
          <w:i/>
          <w:sz w:val="24"/>
        </w:rPr>
        <w:t>6‐3</w:t>
      </w:r>
      <w:r>
        <w:rPr>
          <w:i/>
          <w:spacing w:val="-7"/>
          <w:sz w:val="24"/>
        </w:rPr>
        <w:t xml:space="preserve"> </w:t>
      </w:r>
      <w:r>
        <w:rPr>
          <w:i/>
          <w:sz w:val="24"/>
        </w:rPr>
        <w:t>Product</w:t>
      </w:r>
      <w:r>
        <w:rPr>
          <w:i/>
          <w:spacing w:val="-8"/>
          <w:sz w:val="24"/>
        </w:rPr>
        <w:t xml:space="preserve"> </w:t>
      </w:r>
      <w:r>
        <w:rPr>
          <w:i/>
          <w:sz w:val="24"/>
        </w:rPr>
        <w:t>Costs</w:t>
      </w:r>
      <w:r>
        <w:rPr>
          <w:i/>
          <w:spacing w:val="-7"/>
          <w:sz w:val="24"/>
        </w:rPr>
        <w:t xml:space="preserve"> </w:t>
      </w:r>
      <w:r>
        <w:rPr>
          <w:i/>
          <w:sz w:val="24"/>
        </w:rPr>
        <w:t>and</w:t>
      </w:r>
      <w:r>
        <w:rPr>
          <w:i/>
          <w:spacing w:val="-6"/>
          <w:sz w:val="24"/>
        </w:rPr>
        <w:t xml:space="preserve"> </w:t>
      </w:r>
      <w:r>
        <w:rPr>
          <w:i/>
          <w:sz w:val="24"/>
        </w:rPr>
        <w:t>Related</w:t>
      </w:r>
      <w:r>
        <w:rPr>
          <w:i/>
          <w:spacing w:val="-9"/>
          <w:sz w:val="24"/>
        </w:rPr>
        <w:t xml:space="preserve"> </w:t>
      </w:r>
      <w:r>
        <w:rPr>
          <w:i/>
          <w:spacing w:val="-2"/>
          <w:sz w:val="24"/>
        </w:rPr>
        <w:t>Expenses</w:t>
      </w:r>
    </w:p>
    <w:p w14:paraId="51DE80DF" w14:textId="77777777" w:rsidR="0010369C" w:rsidRDefault="0010369C">
      <w:pPr>
        <w:pStyle w:val="BodyText"/>
        <w:spacing w:before="8"/>
        <w:rPr>
          <w:i/>
          <w:sz w:val="20"/>
        </w:rPr>
      </w:pPr>
    </w:p>
    <w:p w14:paraId="51DE80E0" w14:textId="77777777" w:rsidR="0010369C" w:rsidRDefault="008E43AE">
      <w:pPr>
        <w:pStyle w:val="BodyText"/>
        <w:spacing w:before="52" w:line="362" w:lineRule="auto"/>
        <w:ind w:left="238" w:right="614" w:firstLine="851"/>
        <w:jc w:val="both"/>
      </w:pPr>
      <w:r>
        <w:rPr>
          <w:noProof/>
        </w:rPr>
        <w:drawing>
          <wp:anchor distT="0" distB="0" distL="0" distR="0" simplePos="0" relativeHeight="250849792" behindDoc="1" locked="0" layoutInCell="1" allowOverlap="1" wp14:anchorId="51DE9EFE" wp14:editId="51DE9EFF">
            <wp:simplePos x="0" y="0"/>
            <wp:positionH relativeFrom="page">
              <wp:posOffset>908303</wp:posOffset>
            </wp:positionH>
            <wp:positionV relativeFrom="paragraph">
              <wp:posOffset>80595</wp:posOffset>
            </wp:positionV>
            <wp:extent cx="256031" cy="103631"/>
            <wp:effectExtent l="0" t="0" r="0" b="0"/>
            <wp:wrapNone/>
            <wp:docPr id="333" name="image1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image175.png"/>
                    <pic:cNvPicPr/>
                  </pic:nvPicPr>
                  <pic:blipFill>
                    <a:blip r:embed="rId269" cstate="print"/>
                    <a:stretch>
                      <a:fillRect/>
                    </a:stretch>
                  </pic:blipFill>
                  <pic:spPr>
                    <a:xfrm>
                      <a:off x="0" y="0"/>
                      <a:ext cx="256031" cy="103631"/>
                    </a:xfrm>
                    <a:prstGeom prst="rect">
                      <a:avLst/>
                    </a:prstGeom>
                  </pic:spPr>
                </pic:pic>
              </a:graphicData>
            </a:graphic>
          </wp:anchor>
        </w:drawing>
      </w:r>
      <w:r>
        <w:t>With respect to Form 6‐3 (Product Costs and Related Expenses), MOFCOM stated in the Final Determination that:</w:t>
      </w:r>
    </w:p>
    <w:p w14:paraId="51DE80E1" w14:textId="77777777" w:rsidR="0010369C" w:rsidRDefault="008E43AE">
      <w:pPr>
        <w:pStyle w:val="ListParagraph"/>
        <w:numPr>
          <w:ilvl w:val="0"/>
          <w:numId w:val="69"/>
        </w:numPr>
        <w:tabs>
          <w:tab w:val="left" w:pos="1316"/>
        </w:tabs>
        <w:spacing w:before="155" w:line="350" w:lineRule="auto"/>
        <w:ind w:left="1315" w:right="614" w:hanging="358"/>
        <w:rPr>
          <w:sz w:val="16"/>
        </w:rPr>
      </w:pPr>
      <w:r>
        <w:rPr>
          <w:sz w:val="24"/>
        </w:rPr>
        <w:t>Treasury</w:t>
      </w:r>
      <w:r>
        <w:rPr>
          <w:spacing w:val="-5"/>
          <w:sz w:val="24"/>
        </w:rPr>
        <w:t xml:space="preserve"> </w:t>
      </w:r>
      <w:r>
        <w:rPr>
          <w:sz w:val="24"/>
        </w:rPr>
        <w:t>Wines</w:t>
      </w:r>
      <w:r>
        <w:rPr>
          <w:spacing w:val="-7"/>
          <w:sz w:val="24"/>
        </w:rPr>
        <w:t xml:space="preserve"> </w:t>
      </w:r>
      <w:r>
        <w:rPr>
          <w:rFonts w:ascii="Times New Roman" w:hAnsi="Times New Roman"/>
          <w:sz w:val="24"/>
        </w:rPr>
        <w:t>"</w:t>
      </w:r>
      <w:r>
        <w:rPr>
          <w:sz w:val="24"/>
        </w:rPr>
        <w:t>did</w:t>
      </w:r>
      <w:r>
        <w:rPr>
          <w:spacing w:val="-6"/>
          <w:sz w:val="24"/>
        </w:rPr>
        <w:t xml:space="preserve"> </w:t>
      </w:r>
      <w:r>
        <w:rPr>
          <w:sz w:val="24"/>
        </w:rPr>
        <w:t>not</w:t>
      </w:r>
      <w:r>
        <w:rPr>
          <w:spacing w:val="-7"/>
          <w:sz w:val="24"/>
        </w:rPr>
        <w:t xml:space="preserve"> </w:t>
      </w:r>
      <w:r>
        <w:rPr>
          <w:sz w:val="24"/>
        </w:rPr>
        <w:t>fill</w:t>
      </w:r>
      <w:r>
        <w:rPr>
          <w:spacing w:val="-6"/>
          <w:sz w:val="24"/>
        </w:rPr>
        <w:t xml:space="preserve"> </w:t>
      </w:r>
      <w:r>
        <w:rPr>
          <w:sz w:val="24"/>
        </w:rPr>
        <w:t>in</w:t>
      </w:r>
      <w:r>
        <w:rPr>
          <w:spacing w:val="-6"/>
          <w:sz w:val="24"/>
        </w:rPr>
        <w:t xml:space="preserve"> </w:t>
      </w:r>
      <w:r>
        <w:rPr>
          <w:sz w:val="24"/>
        </w:rPr>
        <w:t>the</w:t>
      </w:r>
      <w:r>
        <w:rPr>
          <w:spacing w:val="-7"/>
          <w:sz w:val="24"/>
        </w:rPr>
        <w:t xml:space="preserve"> </w:t>
      </w:r>
      <w:r>
        <w:rPr>
          <w:sz w:val="24"/>
        </w:rPr>
        <w:t>costs</w:t>
      </w:r>
      <w:r>
        <w:rPr>
          <w:spacing w:val="-7"/>
          <w:sz w:val="24"/>
        </w:rPr>
        <w:t xml:space="preserve"> </w:t>
      </w:r>
      <w:r>
        <w:rPr>
          <w:sz w:val="24"/>
        </w:rPr>
        <w:t>and</w:t>
      </w:r>
      <w:r>
        <w:rPr>
          <w:spacing w:val="-6"/>
          <w:sz w:val="24"/>
        </w:rPr>
        <w:t xml:space="preserve"> </w:t>
      </w:r>
      <w:r>
        <w:rPr>
          <w:sz w:val="24"/>
        </w:rPr>
        <w:t>related</w:t>
      </w:r>
      <w:r>
        <w:rPr>
          <w:spacing w:val="-7"/>
          <w:sz w:val="24"/>
        </w:rPr>
        <w:t xml:space="preserve"> </w:t>
      </w:r>
      <w:r>
        <w:rPr>
          <w:sz w:val="24"/>
        </w:rPr>
        <w:t>expenses</w:t>
      </w:r>
      <w:r>
        <w:rPr>
          <w:spacing w:val="-8"/>
          <w:sz w:val="24"/>
        </w:rPr>
        <w:t xml:space="preserve"> </w:t>
      </w:r>
      <w:r>
        <w:rPr>
          <w:sz w:val="24"/>
        </w:rPr>
        <w:t>of</w:t>
      </w:r>
      <w:r>
        <w:rPr>
          <w:spacing w:val="-6"/>
          <w:sz w:val="24"/>
        </w:rPr>
        <w:t xml:space="preserve"> </w:t>
      </w:r>
      <w:r>
        <w:rPr>
          <w:sz w:val="24"/>
        </w:rPr>
        <w:t>all</w:t>
      </w:r>
      <w:r>
        <w:rPr>
          <w:spacing w:val="-6"/>
          <w:sz w:val="24"/>
        </w:rPr>
        <w:t xml:space="preserve"> </w:t>
      </w:r>
      <w:r>
        <w:rPr>
          <w:sz w:val="24"/>
        </w:rPr>
        <w:t>product</w:t>
      </w:r>
      <w:r>
        <w:rPr>
          <w:spacing w:val="-6"/>
          <w:sz w:val="24"/>
        </w:rPr>
        <w:t xml:space="preserve"> </w:t>
      </w:r>
      <w:r>
        <w:rPr>
          <w:sz w:val="24"/>
        </w:rPr>
        <w:t>types;</w:t>
      </w:r>
      <w:r>
        <w:rPr>
          <w:rFonts w:ascii="Times New Roman" w:hAnsi="Times New Roman"/>
          <w:sz w:val="24"/>
        </w:rPr>
        <w:t xml:space="preserve">" </w:t>
      </w:r>
      <w:r>
        <w:rPr>
          <w:position w:val="-7"/>
          <w:sz w:val="24"/>
        </w:rPr>
        <w:t xml:space="preserve">and </w:t>
      </w:r>
      <w:r>
        <w:rPr>
          <w:sz w:val="16"/>
        </w:rPr>
        <w:t>173</w:t>
      </w:r>
    </w:p>
    <w:p w14:paraId="51DE80E2" w14:textId="77777777" w:rsidR="0010369C" w:rsidRDefault="008E43AE">
      <w:pPr>
        <w:pStyle w:val="ListParagraph"/>
        <w:numPr>
          <w:ilvl w:val="0"/>
          <w:numId w:val="69"/>
        </w:numPr>
        <w:tabs>
          <w:tab w:val="left" w:pos="1317"/>
        </w:tabs>
        <w:spacing w:before="139" w:line="357" w:lineRule="auto"/>
        <w:ind w:left="1315" w:right="613" w:hanging="357"/>
        <w:rPr>
          <w:sz w:val="24"/>
        </w:rPr>
      </w:pPr>
      <w:r>
        <w:rPr>
          <w:rFonts w:ascii="Times New Roman" w:hAnsi="Times New Roman"/>
          <w:sz w:val="24"/>
        </w:rPr>
        <w:t>"</w:t>
      </w:r>
      <w:r>
        <w:rPr>
          <w:sz w:val="24"/>
        </w:rPr>
        <w:t>[f]or the product type it filled in… did not fill i</w:t>
      </w:r>
      <w:r>
        <w:rPr>
          <w:sz w:val="24"/>
        </w:rPr>
        <w:t>n the production cost for some months, did not explain the calculation method, the cost apportionment method and the relevant calculation formula of each item, and did not provide the daily cost calculation sheet".</w:t>
      </w:r>
      <w:r>
        <w:rPr>
          <w:sz w:val="24"/>
          <w:vertAlign w:val="superscript"/>
        </w:rPr>
        <w:t>174</w:t>
      </w:r>
    </w:p>
    <w:p w14:paraId="51DE80E3" w14:textId="77777777" w:rsidR="0010369C" w:rsidRDefault="008E43AE">
      <w:pPr>
        <w:pStyle w:val="BodyText"/>
        <w:spacing w:before="131" w:line="360" w:lineRule="auto"/>
        <w:ind w:left="237" w:right="612" w:firstLine="851"/>
        <w:jc w:val="both"/>
      </w:pPr>
      <w:r>
        <w:rPr>
          <w:noProof/>
        </w:rPr>
        <w:drawing>
          <wp:anchor distT="0" distB="0" distL="0" distR="0" simplePos="0" relativeHeight="250850816" behindDoc="1" locked="0" layoutInCell="1" allowOverlap="1" wp14:anchorId="51DE9F00" wp14:editId="51DE9F01">
            <wp:simplePos x="0" y="0"/>
            <wp:positionH relativeFrom="page">
              <wp:posOffset>908303</wp:posOffset>
            </wp:positionH>
            <wp:positionV relativeFrom="paragraph">
              <wp:posOffset>132876</wp:posOffset>
            </wp:positionV>
            <wp:extent cx="256031" cy="100753"/>
            <wp:effectExtent l="0" t="0" r="0" b="0"/>
            <wp:wrapNone/>
            <wp:docPr id="335" name="image1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image176.png"/>
                    <pic:cNvPicPr/>
                  </pic:nvPicPr>
                  <pic:blipFill>
                    <a:blip r:embed="rId270" cstate="print"/>
                    <a:stretch>
                      <a:fillRect/>
                    </a:stretch>
                  </pic:blipFill>
                  <pic:spPr>
                    <a:xfrm>
                      <a:off x="0" y="0"/>
                      <a:ext cx="256031" cy="100753"/>
                    </a:xfrm>
                    <a:prstGeom prst="rect">
                      <a:avLst/>
                    </a:prstGeom>
                  </pic:spPr>
                </pic:pic>
              </a:graphicData>
            </a:graphic>
          </wp:anchor>
        </w:drawing>
      </w:r>
      <w:r>
        <w:t>The</w:t>
      </w:r>
      <w:r>
        <w:rPr>
          <w:spacing w:val="-14"/>
        </w:rPr>
        <w:t xml:space="preserve"> </w:t>
      </w:r>
      <w:r>
        <w:t>information</w:t>
      </w:r>
      <w:r>
        <w:rPr>
          <w:spacing w:val="-14"/>
        </w:rPr>
        <w:t xml:space="preserve"> </w:t>
      </w:r>
      <w:r>
        <w:t>requested</w:t>
      </w:r>
      <w:r>
        <w:rPr>
          <w:spacing w:val="-13"/>
        </w:rPr>
        <w:t xml:space="preserve"> </w:t>
      </w:r>
      <w:r>
        <w:t>in</w:t>
      </w:r>
      <w:r>
        <w:rPr>
          <w:spacing w:val="-14"/>
        </w:rPr>
        <w:t xml:space="preserve"> </w:t>
      </w:r>
      <w:r>
        <w:t>Form</w:t>
      </w:r>
      <w:r>
        <w:rPr>
          <w:spacing w:val="-13"/>
        </w:rPr>
        <w:t xml:space="preserve"> </w:t>
      </w:r>
      <w:r>
        <w:t>6‐3</w:t>
      </w:r>
      <w:r>
        <w:rPr>
          <w:spacing w:val="-14"/>
        </w:rPr>
        <w:t xml:space="preserve"> </w:t>
      </w:r>
      <w:r>
        <w:t>relates</w:t>
      </w:r>
      <w:r>
        <w:rPr>
          <w:spacing w:val="-13"/>
        </w:rPr>
        <w:t xml:space="preserve"> </w:t>
      </w:r>
      <w:r>
        <w:t>to</w:t>
      </w:r>
      <w:r>
        <w:rPr>
          <w:spacing w:val="-14"/>
        </w:rPr>
        <w:t xml:space="preserve"> </w:t>
      </w:r>
      <w:r>
        <w:t>the</w:t>
      </w:r>
      <w:r>
        <w:rPr>
          <w:spacing w:val="-14"/>
        </w:rPr>
        <w:t xml:space="preserve"> </w:t>
      </w:r>
      <w:r>
        <w:t>cost</w:t>
      </w:r>
      <w:r>
        <w:rPr>
          <w:spacing w:val="-13"/>
        </w:rPr>
        <w:t xml:space="preserve"> </w:t>
      </w:r>
      <w:r>
        <w:t>of</w:t>
      </w:r>
      <w:r>
        <w:rPr>
          <w:spacing w:val="-14"/>
        </w:rPr>
        <w:t xml:space="preserve"> </w:t>
      </w:r>
      <w:r>
        <w:t>production</w:t>
      </w:r>
      <w:r>
        <w:rPr>
          <w:spacing w:val="-13"/>
        </w:rPr>
        <w:t xml:space="preserve"> </w:t>
      </w:r>
      <w:r>
        <w:t>and</w:t>
      </w:r>
      <w:r>
        <w:rPr>
          <w:spacing w:val="-14"/>
        </w:rPr>
        <w:t xml:space="preserve"> </w:t>
      </w:r>
      <w:r>
        <w:t>expenses associated</w:t>
      </w:r>
      <w:r>
        <w:rPr>
          <w:spacing w:val="-13"/>
        </w:rPr>
        <w:t xml:space="preserve"> </w:t>
      </w:r>
      <w:r>
        <w:t>with</w:t>
      </w:r>
      <w:r>
        <w:rPr>
          <w:spacing w:val="-12"/>
        </w:rPr>
        <w:t xml:space="preserve"> </w:t>
      </w:r>
      <w:r>
        <w:t>producing</w:t>
      </w:r>
      <w:r>
        <w:rPr>
          <w:spacing w:val="-11"/>
        </w:rPr>
        <w:t xml:space="preserve"> </w:t>
      </w:r>
      <w:r>
        <w:t>the</w:t>
      </w:r>
      <w:r>
        <w:rPr>
          <w:spacing w:val="-11"/>
        </w:rPr>
        <w:t xml:space="preserve"> </w:t>
      </w:r>
      <w:r>
        <w:t>product</w:t>
      </w:r>
      <w:r>
        <w:rPr>
          <w:spacing w:val="-12"/>
        </w:rPr>
        <w:t xml:space="preserve"> </w:t>
      </w:r>
      <w:r>
        <w:t>under</w:t>
      </w:r>
      <w:r>
        <w:rPr>
          <w:spacing w:val="-11"/>
        </w:rPr>
        <w:t xml:space="preserve"> </w:t>
      </w:r>
      <w:r>
        <w:t>investigation.</w:t>
      </w:r>
      <w:r>
        <w:rPr>
          <w:spacing w:val="-11"/>
        </w:rPr>
        <w:t xml:space="preserve"> </w:t>
      </w:r>
      <w:r>
        <w:t>Given</w:t>
      </w:r>
      <w:r>
        <w:rPr>
          <w:spacing w:val="-12"/>
        </w:rPr>
        <w:t xml:space="preserve"> </w:t>
      </w:r>
      <w:r>
        <w:t>this</w:t>
      </w:r>
      <w:r>
        <w:rPr>
          <w:spacing w:val="-12"/>
        </w:rPr>
        <w:t xml:space="preserve"> </w:t>
      </w:r>
      <w:r>
        <w:t>information</w:t>
      </w:r>
      <w:r>
        <w:rPr>
          <w:spacing w:val="-11"/>
        </w:rPr>
        <w:t xml:space="preserve"> </w:t>
      </w:r>
      <w:r>
        <w:t>reflects</w:t>
      </w:r>
      <w:r>
        <w:rPr>
          <w:spacing w:val="-13"/>
        </w:rPr>
        <w:t xml:space="preserve"> </w:t>
      </w:r>
      <w:r>
        <w:t>the actual</w:t>
      </w:r>
      <w:r>
        <w:rPr>
          <w:spacing w:val="-10"/>
        </w:rPr>
        <w:t xml:space="preserve"> </w:t>
      </w:r>
      <w:r>
        <w:t>cost</w:t>
      </w:r>
      <w:r>
        <w:rPr>
          <w:spacing w:val="-10"/>
        </w:rPr>
        <w:t xml:space="preserve"> </w:t>
      </w:r>
      <w:r>
        <w:t>of</w:t>
      </w:r>
      <w:r>
        <w:rPr>
          <w:spacing w:val="-10"/>
        </w:rPr>
        <w:t xml:space="preserve"> </w:t>
      </w:r>
      <w:r>
        <w:t>producing</w:t>
      </w:r>
      <w:r>
        <w:rPr>
          <w:spacing w:val="-9"/>
        </w:rPr>
        <w:t xml:space="preserve"> </w:t>
      </w:r>
      <w:r>
        <w:t>the</w:t>
      </w:r>
      <w:r>
        <w:rPr>
          <w:spacing w:val="-9"/>
        </w:rPr>
        <w:t xml:space="preserve"> </w:t>
      </w:r>
      <w:r>
        <w:t>product</w:t>
      </w:r>
      <w:r>
        <w:rPr>
          <w:spacing w:val="-9"/>
        </w:rPr>
        <w:t xml:space="preserve"> </w:t>
      </w:r>
      <w:r>
        <w:t>under</w:t>
      </w:r>
      <w:r>
        <w:rPr>
          <w:spacing w:val="-9"/>
        </w:rPr>
        <w:t xml:space="preserve"> </w:t>
      </w:r>
      <w:r>
        <w:t>investigation</w:t>
      </w:r>
      <w:r>
        <w:rPr>
          <w:spacing w:val="-9"/>
        </w:rPr>
        <w:t xml:space="preserve"> </w:t>
      </w:r>
      <w:r>
        <w:t>and</w:t>
      </w:r>
      <w:r>
        <w:rPr>
          <w:spacing w:val="-9"/>
        </w:rPr>
        <w:t xml:space="preserve"> </w:t>
      </w:r>
      <w:r>
        <w:t>domestic</w:t>
      </w:r>
      <w:r>
        <w:rPr>
          <w:spacing w:val="-8"/>
        </w:rPr>
        <w:t xml:space="preserve"> </w:t>
      </w:r>
      <w:r>
        <w:t>like</w:t>
      </w:r>
      <w:r>
        <w:rPr>
          <w:spacing w:val="-9"/>
        </w:rPr>
        <w:t xml:space="preserve"> </w:t>
      </w:r>
      <w:r>
        <w:t>products,</w:t>
      </w:r>
      <w:r>
        <w:rPr>
          <w:spacing w:val="-9"/>
        </w:rPr>
        <w:t xml:space="preserve"> </w:t>
      </w:r>
      <w:r>
        <w:t>Australia acknowledges th</w:t>
      </w:r>
      <w:r>
        <w:t>at it is necessary for the purposes of constructing normal value under</w:t>
      </w:r>
      <w:r>
        <w:rPr>
          <w:spacing w:val="40"/>
        </w:rPr>
        <w:t xml:space="preserve"> </w:t>
      </w:r>
      <w:r>
        <w:t>Article</w:t>
      </w:r>
      <w:r>
        <w:rPr>
          <w:spacing w:val="-2"/>
        </w:rPr>
        <w:t xml:space="preserve"> </w:t>
      </w:r>
      <w:r>
        <w:t>2 of the Anti‐Dumping Agreement and would constitute "necessary information" within the meaning of Article 6.8 of the Anti‐Dumping Agreement.</w:t>
      </w:r>
    </w:p>
    <w:p w14:paraId="51DE80E4" w14:textId="77777777" w:rsidR="0010369C" w:rsidRDefault="0010369C">
      <w:pPr>
        <w:pStyle w:val="BodyText"/>
        <w:rPr>
          <w:sz w:val="20"/>
        </w:rPr>
      </w:pPr>
    </w:p>
    <w:p w14:paraId="51DE80E5" w14:textId="77777777" w:rsidR="0010369C" w:rsidRDefault="0010369C">
      <w:pPr>
        <w:pStyle w:val="BodyText"/>
        <w:rPr>
          <w:sz w:val="20"/>
        </w:rPr>
      </w:pPr>
    </w:p>
    <w:p w14:paraId="51DE80E6" w14:textId="77777777" w:rsidR="0010369C" w:rsidRDefault="008E43AE">
      <w:pPr>
        <w:pStyle w:val="BodyText"/>
        <w:spacing w:before="9"/>
        <w:rPr>
          <w:sz w:val="12"/>
        </w:rPr>
      </w:pPr>
      <w:r>
        <w:pict w14:anchorId="51DE9F02">
          <v:rect id="docshape263" o:spid="_x0000_s1989" style="position:absolute;margin-left:70.9pt;margin-top:9pt;width:2in;height:.8pt;z-index:-251153920;mso-wrap-distance-left:0;mso-wrap-distance-right:0;mso-position-horizontal-relative:page" fillcolor="black" stroked="f">
            <w10:wrap type="topAndBottom" anchorx="page"/>
          </v:rect>
        </w:pict>
      </w:r>
    </w:p>
    <w:p w14:paraId="51DE80E7" w14:textId="77777777" w:rsidR="0010369C" w:rsidRDefault="008E43AE">
      <w:pPr>
        <w:spacing w:before="109"/>
        <w:ind w:left="238"/>
        <w:rPr>
          <w:sz w:val="18"/>
        </w:rPr>
      </w:pPr>
      <w:r>
        <w:rPr>
          <w:sz w:val="18"/>
          <w:vertAlign w:val="superscript"/>
        </w:rPr>
        <w:t>173</w:t>
      </w:r>
      <w:r>
        <w:rPr>
          <w:spacing w:val="-9"/>
          <w:sz w:val="18"/>
        </w:rPr>
        <w:t xml:space="preserve"> </w:t>
      </w:r>
      <w:r>
        <w:rPr>
          <w:sz w:val="18"/>
        </w:rPr>
        <w:t>Anti‐Dumping</w:t>
      </w:r>
      <w:r>
        <w:rPr>
          <w:spacing w:val="-9"/>
          <w:sz w:val="18"/>
        </w:rPr>
        <w:t xml:space="preserve"> </w:t>
      </w:r>
      <w:r>
        <w:rPr>
          <w:sz w:val="18"/>
        </w:rPr>
        <w:t>Final</w:t>
      </w:r>
      <w:r>
        <w:rPr>
          <w:spacing w:val="-9"/>
          <w:sz w:val="18"/>
        </w:rPr>
        <w:t xml:space="preserve"> </w:t>
      </w:r>
      <w:r>
        <w:rPr>
          <w:sz w:val="18"/>
        </w:rPr>
        <w:t>Determination</w:t>
      </w:r>
      <w:r>
        <w:rPr>
          <w:spacing w:val="-8"/>
          <w:sz w:val="18"/>
        </w:rPr>
        <w:t xml:space="preserve"> </w:t>
      </w:r>
      <w:r>
        <w:rPr>
          <w:sz w:val="18"/>
        </w:rPr>
        <w:t>(Exhibit</w:t>
      </w:r>
      <w:r>
        <w:rPr>
          <w:spacing w:val="-9"/>
          <w:sz w:val="18"/>
        </w:rPr>
        <w:t xml:space="preserve"> </w:t>
      </w:r>
      <w:r>
        <w:rPr>
          <w:sz w:val="18"/>
        </w:rPr>
        <w:t>AUS‐2),</w:t>
      </w:r>
      <w:r>
        <w:rPr>
          <w:spacing w:val="-9"/>
          <w:sz w:val="18"/>
        </w:rPr>
        <w:t xml:space="preserve"> </w:t>
      </w:r>
      <w:r>
        <w:rPr>
          <w:sz w:val="18"/>
        </w:rPr>
        <w:t>p.</w:t>
      </w:r>
      <w:r>
        <w:rPr>
          <w:spacing w:val="-9"/>
          <w:sz w:val="18"/>
        </w:rPr>
        <w:t xml:space="preserve"> </w:t>
      </w:r>
      <w:r>
        <w:rPr>
          <w:spacing w:val="-5"/>
          <w:sz w:val="18"/>
        </w:rPr>
        <w:t>59.</w:t>
      </w:r>
    </w:p>
    <w:p w14:paraId="51DE80E8" w14:textId="77777777" w:rsidR="0010369C" w:rsidRDefault="008E43AE">
      <w:pPr>
        <w:ind w:left="238"/>
        <w:rPr>
          <w:sz w:val="18"/>
        </w:rPr>
      </w:pPr>
      <w:r>
        <w:rPr>
          <w:sz w:val="18"/>
          <w:vertAlign w:val="superscript"/>
        </w:rPr>
        <w:t>174</w:t>
      </w:r>
      <w:r>
        <w:rPr>
          <w:spacing w:val="-9"/>
          <w:sz w:val="18"/>
        </w:rPr>
        <w:t xml:space="preserve"> </w:t>
      </w:r>
      <w:r>
        <w:rPr>
          <w:sz w:val="18"/>
        </w:rPr>
        <w:t>Anti‐Dumping</w:t>
      </w:r>
      <w:r>
        <w:rPr>
          <w:spacing w:val="-9"/>
          <w:sz w:val="18"/>
        </w:rPr>
        <w:t xml:space="preserve"> </w:t>
      </w:r>
      <w:r>
        <w:rPr>
          <w:sz w:val="18"/>
        </w:rPr>
        <w:t>Final</w:t>
      </w:r>
      <w:r>
        <w:rPr>
          <w:spacing w:val="-9"/>
          <w:sz w:val="18"/>
        </w:rPr>
        <w:t xml:space="preserve"> </w:t>
      </w:r>
      <w:r>
        <w:rPr>
          <w:sz w:val="18"/>
        </w:rPr>
        <w:t>Determination</w:t>
      </w:r>
      <w:r>
        <w:rPr>
          <w:spacing w:val="-8"/>
          <w:sz w:val="18"/>
        </w:rPr>
        <w:t xml:space="preserve"> </w:t>
      </w:r>
      <w:r>
        <w:rPr>
          <w:sz w:val="18"/>
        </w:rPr>
        <w:t>(Exhibit</w:t>
      </w:r>
      <w:r>
        <w:rPr>
          <w:spacing w:val="-9"/>
          <w:sz w:val="18"/>
        </w:rPr>
        <w:t xml:space="preserve"> </w:t>
      </w:r>
      <w:r>
        <w:rPr>
          <w:sz w:val="18"/>
        </w:rPr>
        <w:t>AUS‐2),</w:t>
      </w:r>
      <w:r>
        <w:rPr>
          <w:spacing w:val="-9"/>
          <w:sz w:val="18"/>
        </w:rPr>
        <w:t xml:space="preserve"> </w:t>
      </w:r>
      <w:r>
        <w:rPr>
          <w:sz w:val="18"/>
        </w:rPr>
        <w:t>p.</w:t>
      </w:r>
      <w:r>
        <w:rPr>
          <w:spacing w:val="-9"/>
          <w:sz w:val="18"/>
        </w:rPr>
        <w:t xml:space="preserve"> </w:t>
      </w:r>
      <w:r>
        <w:rPr>
          <w:spacing w:val="-5"/>
          <w:sz w:val="18"/>
        </w:rPr>
        <w:t>59.</w:t>
      </w:r>
    </w:p>
    <w:p w14:paraId="51DE80E9" w14:textId="77777777" w:rsidR="0010369C" w:rsidRDefault="0010369C">
      <w:pPr>
        <w:rPr>
          <w:sz w:val="18"/>
        </w:rPr>
        <w:sectPr w:rsidR="0010369C">
          <w:pgSz w:w="11910" w:h="16840"/>
          <w:pgMar w:top="880" w:right="800" w:bottom="980" w:left="1180" w:header="569" w:footer="788" w:gutter="0"/>
          <w:cols w:space="720"/>
        </w:sectPr>
      </w:pPr>
    </w:p>
    <w:p w14:paraId="51DE80EA" w14:textId="77777777" w:rsidR="0010369C" w:rsidRDefault="008E43AE">
      <w:pPr>
        <w:tabs>
          <w:tab w:val="left" w:pos="6187"/>
        </w:tabs>
        <w:ind w:right="615"/>
        <w:jc w:val="right"/>
        <w:rPr>
          <w:sz w:val="20"/>
        </w:rPr>
      </w:pPr>
      <w:r>
        <w:rPr>
          <w:i/>
          <w:sz w:val="20"/>
        </w:rPr>
        <w:lastRenderedPageBreak/>
        <w:t>China</w:t>
      </w:r>
      <w:r>
        <w:rPr>
          <w:i/>
          <w:spacing w:val="-5"/>
          <w:sz w:val="20"/>
        </w:rPr>
        <w:t xml:space="preserve"> </w:t>
      </w:r>
      <w:r>
        <w:rPr>
          <w:i/>
          <w:sz w:val="20"/>
        </w:rPr>
        <w:t>–</w:t>
      </w:r>
      <w:r>
        <w:rPr>
          <w:i/>
          <w:spacing w:val="-5"/>
          <w:sz w:val="20"/>
        </w:rPr>
        <w:t xml:space="preserve"> </w:t>
      </w:r>
      <w:r>
        <w:rPr>
          <w:i/>
          <w:sz w:val="20"/>
        </w:rPr>
        <w:t>Anti‐Dumping</w:t>
      </w:r>
      <w:r>
        <w:rPr>
          <w:i/>
          <w:spacing w:val="-4"/>
          <w:sz w:val="20"/>
        </w:rPr>
        <w:t xml:space="preserve"> </w:t>
      </w:r>
      <w:r>
        <w:rPr>
          <w:i/>
          <w:sz w:val="20"/>
        </w:rPr>
        <w:t>and</w:t>
      </w:r>
      <w:r>
        <w:rPr>
          <w:i/>
          <w:spacing w:val="-5"/>
          <w:sz w:val="20"/>
        </w:rPr>
        <w:t xml:space="preserve"> </w:t>
      </w:r>
      <w:r>
        <w:rPr>
          <w:i/>
          <w:sz w:val="20"/>
        </w:rPr>
        <w:t>Countervailing</w:t>
      </w:r>
      <w:r>
        <w:rPr>
          <w:i/>
          <w:spacing w:val="-5"/>
          <w:sz w:val="20"/>
        </w:rPr>
        <w:t xml:space="preserve"> </w:t>
      </w:r>
      <w:r>
        <w:rPr>
          <w:i/>
          <w:sz w:val="20"/>
        </w:rPr>
        <w:t>Duty</w:t>
      </w:r>
      <w:r>
        <w:rPr>
          <w:i/>
          <w:spacing w:val="-4"/>
          <w:sz w:val="20"/>
        </w:rPr>
        <w:t xml:space="preserve"> </w:t>
      </w:r>
      <w:r>
        <w:rPr>
          <w:i/>
          <w:spacing w:val="-2"/>
          <w:sz w:val="20"/>
        </w:rPr>
        <w:t>Measures</w:t>
      </w:r>
      <w:r>
        <w:rPr>
          <w:i/>
          <w:sz w:val="20"/>
        </w:rPr>
        <w:tab/>
      </w:r>
      <w:r>
        <w:rPr>
          <w:sz w:val="20"/>
        </w:rPr>
        <w:t>Australia's</w:t>
      </w:r>
      <w:r>
        <w:rPr>
          <w:spacing w:val="-7"/>
          <w:sz w:val="20"/>
        </w:rPr>
        <w:t xml:space="preserve"> </w:t>
      </w:r>
      <w:r>
        <w:rPr>
          <w:sz w:val="20"/>
        </w:rPr>
        <w:t>First</w:t>
      </w:r>
      <w:r>
        <w:rPr>
          <w:spacing w:val="-2"/>
          <w:sz w:val="20"/>
        </w:rPr>
        <w:t xml:space="preserve"> </w:t>
      </w:r>
      <w:r>
        <w:rPr>
          <w:sz w:val="20"/>
        </w:rPr>
        <w:t>Written</w:t>
      </w:r>
      <w:r>
        <w:rPr>
          <w:spacing w:val="-2"/>
          <w:sz w:val="20"/>
        </w:rPr>
        <w:t xml:space="preserve"> Submission</w:t>
      </w:r>
    </w:p>
    <w:p w14:paraId="51DE80EB" w14:textId="77777777" w:rsidR="0010369C" w:rsidRDefault="008E43AE">
      <w:pPr>
        <w:tabs>
          <w:tab w:val="left" w:pos="7988"/>
        </w:tabs>
        <w:spacing w:before="1"/>
        <w:ind w:right="611"/>
        <w:jc w:val="right"/>
        <w:rPr>
          <w:sz w:val="20"/>
        </w:rPr>
      </w:pPr>
      <w:r>
        <w:rPr>
          <w:i/>
          <w:sz w:val="20"/>
        </w:rPr>
        <w:t>on</w:t>
      </w:r>
      <w:r>
        <w:rPr>
          <w:i/>
          <w:spacing w:val="-1"/>
          <w:sz w:val="20"/>
        </w:rPr>
        <w:t xml:space="preserve"> </w:t>
      </w:r>
      <w:r>
        <w:rPr>
          <w:i/>
          <w:sz w:val="20"/>
        </w:rPr>
        <w:t>Wine</w:t>
      </w:r>
      <w:r>
        <w:rPr>
          <w:i/>
          <w:spacing w:val="-1"/>
          <w:sz w:val="20"/>
        </w:rPr>
        <w:t xml:space="preserve"> </w:t>
      </w:r>
      <w:r>
        <w:rPr>
          <w:i/>
          <w:sz w:val="20"/>
        </w:rPr>
        <w:t>from</w:t>
      </w:r>
      <w:r>
        <w:rPr>
          <w:i/>
          <w:spacing w:val="-3"/>
          <w:sz w:val="20"/>
        </w:rPr>
        <w:t xml:space="preserve"> </w:t>
      </w:r>
      <w:r>
        <w:rPr>
          <w:i/>
          <w:sz w:val="20"/>
        </w:rPr>
        <w:t>Australia</w:t>
      </w:r>
      <w:r>
        <w:rPr>
          <w:i/>
          <w:spacing w:val="-1"/>
          <w:sz w:val="20"/>
        </w:rPr>
        <w:t xml:space="preserve"> </w:t>
      </w:r>
      <w:r>
        <w:rPr>
          <w:spacing w:val="-2"/>
          <w:sz w:val="20"/>
        </w:rPr>
        <w:t>(DS602)</w:t>
      </w:r>
      <w:r>
        <w:rPr>
          <w:sz w:val="20"/>
        </w:rPr>
        <w:tab/>
        <w:t>29</w:t>
      </w:r>
      <w:r>
        <w:rPr>
          <w:spacing w:val="-1"/>
          <w:sz w:val="20"/>
        </w:rPr>
        <w:t xml:space="preserve"> </w:t>
      </w:r>
      <w:r>
        <w:rPr>
          <w:sz w:val="20"/>
        </w:rPr>
        <w:t>April</w:t>
      </w:r>
      <w:r>
        <w:rPr>
          <w:spacing w:val="-2"/>
          <w:sz w:val="20"/>
        </w:rPr>
        <w:t xml:space="preserve"> </w:t>
      </w:r>
      <w:r>
        <w:rPr>
          <w:spacing w:val="-4"/>
          <w:sz w:val="20"/>
        </w:rPr>
        <w:t>2022</w:t>
      </w:r>
    </w:p>
    <w:p w14:paraId="51DE80EC" w14:textId="77777777" w:rsidR="0010369C" w:rsidRDefault="008E43AE">
      <w:pPr>
        <w:pStyle w:val="ListParagraph"/>
        <w:numPr>
          <w:ilvl w:val="5"/>
          <w:numId w:val="75"/>
        </w:numPr>
        <w:tabs>
          <w:tab w:val="left" w:pos="847"/>
          <w:tab w:val="left" w:pos="848"/>
        </w:tabs>
        <w:spacing w:before="34"/>
        <w:ind w:left="847" w:right="614" w:hanging="848"/>
        <w:jc w:val="right"/>
        <w:rPr>
          <w:sz w:val="24"/>
        </w:rPr>
      </w:pPr>
      <w:r>
        <w:rPr>
          <w:sz w:val="24"/>
          <w:u w:val="single"/>
        </w:rPr>
        <w:t>All</w:t>
      </w:r>
      <w:r>
        <w:rPr>
          <w:spacing w:val="19"/>
          <w:sz w:val="24"/>
          <w:u w:val="single"/>
        </w:rPr>
        <w:t xml:space="preserve"> </w:t>
      </w:r>
      <w:r>
        <w:rPr>
          <w:sz w:val="24"/>
          <w:u w:val="single"/>
        </w:rPr>
        <w:t>necessary</w:t>
      </w:r>
      <w:r>
        <w:rPr>
          <w:spacing w:val="23"/>
          <w:sz w:val="24"/>
          <w:u w:val="single"/>
        </w:rPr>
        <w:t xml:space="preserve"> </w:t>
      </w:r>
      <w:r>
        <w:rPr>
          <w:sz w:val="24"/>
          <w:u w:val="single"/>
        </w:rPr>
        <w:t>information</w:t>
      </w:r>
      <w:r>
        <w:rPr>
          <w:spacing w:val="21"/>
          <w:sz w:val="24"/>
          <w:u w:val="single"/>
        </w:rPr>
        <w:t xml:space="preserve"> </w:t>
      </w:r>
      <w:r>
        <w:rPr>
          <w:sz w:val="24"/>
          <w:u w:val="single"/>
        </w:rPr>
        <w:t>was</w:t>
      </w:r>
      <w:r>
        <w:rPr>
          <w:spacing w:val="20"/>
          <w:sz w:val="24"/>
          <w:u w:val="single"/>
        </w:rPr>
        <w:t xml:space="preserve"> </w:t>
      </w:r>
      <w:r>
        <w:rPr>
          <w:spacing w:val="-2"/>
          <w:sz w:val="24"/>
          <w:u w:val="single"/>
        </w:rPr>
        <w:t>provided</w:t>
      </w:r>
    </w:p>
    <w:p w14:paraId="51DE80ED" w14:textId="77777777" w:rsidR="0010369C" w:rsidRDefault="008E43AE">
      <w:pPr>
        <w:pStyle w:val="BodyText"/>
        <w:spacing w:before="3"/>
        <w:rPr>
          <w:sz w:val="10"/>
        </w:rPr>
      </w:pPr>
      <w:r>
        <w:pict w14:anchorId="51DE9F03">
          <v:group id="docshapegroup264" o:spid="_x0000_s1986" style="position:absolute;margin-left:326.05pt;margin-top:7.45pt;width:198.4pt;height:16.1pt;z-index:-251152896;mso-wrap-distance-left:0;mso-wrap-distance-right:0;mso-position-horizontal-relative:page" coordorigin="6521,149" coordsize="3968,322">
            <v:shape id="docshape265" o:spid="_x0000_s1988" style="position:absolute;left:6520;top:149;width:3968;height:322" coordorigin="6521,149" coordsize="3968,322" o:spt="100" adj="0,,0" path="m10468,149r-3820,l6648,403r-127,l6521,419r127,l6648,470r3820,l10468,149xm10488,403r,l10488,419r,l10488,403xe" fillcolor="black" stroked="f">
              <v:stroke joinstyle="round"/>
              <v:formulas/>
              <v:path arrowok="t" o:connecttype="segments"/>
            </v:shape>
            <v:shape id="docshape266" o:spid="_x0000_s1987" type="#_x0000_t202" style="position:absolute;left:6520;top:149;width:3968;height:322" filled="f" stroked="f">
              <v:textbox inset="0,0,0,0">
                <w:txbxContent>
                  <w:p w14:paraId="51DEAC2D" w14:textId="77777777" w:rsidR="0010369C" w:rsidRDefault="008E43AE">
                    <w:pPr>
                      <w:spacing w:line="291" w:lineRule="exact"/>
                      <w:ind w:left="-1"/>
                      <w:rPr>
                        <w:sz w:val="24"/>
                      </w:rPr>
                    </w:pPr>
                    <w:r>
                      <w:rPr>
                        <w:spacing w:val="-5"/>
                        <w:sz w:val="24"/>
                      </w:rPr>
                      <w:t>[[</w:t>
                    </w:r>
                  </w:p>
                </w:txbxContent>
              </v:textbox>
            </v:shape>
            <w10:wrap type="topAndBottom" anchorx="page"/>
          </v:group>
        </w:pict>
      </w:r>
    </w:p>
    <w:p w14:paraId="51DE80EE" w14:textId="77777777" w:rsidR="0010369C" w:rsidRDefault="008E43AE">
      <w:pPr>
        <w:spacing w:before="116"/>
        <w:ind w:left="3658" w:right="1286"/>
        <w:jc w:val="center"/>
        <w:rPr>
          <w:sz w:val="24"/>
        </w:rPr>
      </w:pPr>
      <w:r>
        <w:rPr>
          <w:spacing w:val="-5"/>
          <w:sz w:val="24"/>
          <w:u w:val="single"/>
        </w:rPr>
        <w:t>]]</w:t>
      </w:r>
    </w:p>
    <w:p w14:paraId="51DE80EF" w14:textId="77777777" w:rsidR="0010369C" w:rsidRDefault="0010369C">
      <w:pPr>
        <w:pStyle w:val="BodyText"/>
        <w:spacing w:before="10"/>
        <w:rPr>
          <w:sz w:val="20"/>
        </w:rPr>
      </w:pPr>
    </w:p>
    <w:p w14:paraId="51DE80F0" w14:textId="77777777" w:rsidR="0010369C" w:rsidRDefault="008E43AE">
      <w:pPr>
        <w:spacing w:before="52"/>
        <w:ind w:left="1089"/>
        <w:rPr>
          <w:sz w:val="24"/>
        </w:rPr>
      </w:pPr>
      <w:r>
        <w:rPr>
          <w:noProof/>
        </w:rPr>
        <w:drawing>
          <wp:anchor distT="0" distB="0" distL="0" distR="0" simplePos="0" relativeHeight="250623488" behindDoc="0" locked="0" layoutInCell="1" allowOverlap="1" wp14:anchorId="51DE9F04" wp14:editId="51DE9F05">
            <wp:simplePos x="0" y="0"/>
            <wp:positionH relativeFrom="page">
              <wp:posOffset>908303</wp:posOffset>
            </wp:positionH>
            <wp:positionV relativeFrom="paragraph">
              <wp:posOffset>80595</wp:posOffset>
            </wp:positionV>
            <wp:extent cx="256031" cy="103631"/>
            <wp:effectExtent l="0" t="0" r="0" b="0"/>
            <wp:wrapNone/>
            <wp:docPr id="337" name="image1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image177.png"/>
                    <pic:cNvPicPr/>
                  </pic:nvPicPr>
                  <pic:blipFill>
                    <a:blip r:embed="rId271" cstate="print"/>
                    <a:stretch>
                      <a:fillRect/>
                    </a:stretch>
                  </pic:blipFill>
                  <pic:spPr>
                    <a:xfrm>
                      <a:off x="0" y="0"/>
                      <a:ext cx="256031" cy="103631"/>
                    </a:xfrm>
                    <a:prstGeom prst="rect">
                      <a:avLst/>
                    </a:prstGeom>
                  </pic:spPr>
                </pic:pic>
              </a:graphicData>
            </a:graphic>
          </wp:anchor>
        </w:drawing>
      </w:r>
      <w:r>
        <w:pict w14:anchorId="51DE9F06">
          <v:rect id="docshape267" o:spid="_x0000_s1985" style="position:absolute;left:0;text-align:left;margin-left:325.05pt;margin-top:-27.25pt;width:36.7pt;height:16.05pt;z-index:251729408;mso-position-horizontal-relative:page;mso-position-vertical-relative:text" fillcolor="black" stroked="f">
            <w10:wrap anchorx="page"/>
          </v:rect>
        </w:pict>
      </w:r>
      <w:r>
        <w:pict w14:anchorId="51DE9F07">
          <v:rect id="docshape268" o:spid="_x0000_s1984" style="position:absolute;left:0;text-align:left;margin-left:119.8pt;margin-top:2.7pt;width:403.7pt;height:16.05pt;z-index:251730432;mso-position-horizontal-relative:page;mso-position-vertical-relative:text" fillcolor="black" stroked="f">
            <w10:wrap anchorx="page"/>
          </v:rect>
        </w:pict>
      </w:r>
      <w:r>
        <w:rPr>
          <w:spacing w:val="-5"/>
          <w:sz w:val="24"/>
        </w:rPr>
        <w:t>[[</w:t>
      </w:r>
    </w:p>
    <w:p w14:paraId="51DE80F1" w14:textId="77777777" w:rsidR="0010369C" w:rsidRDefault="008E43AE">
      <w:pPr>
        <w:pStyle w:val="BodyText"/>
        <w:spacing w:before="2"/>
        <w:rPr>
          <w:sz w:val="10"/>
        </w:rPr>
      </w:pPr>
      <w:r>
        <w:pict w14:anchorId="51DE9F08">
          <v:rect id="docshape269" o:spid="_x0000_s1983" style="position:absolute;margin-left:69.9pt;margin-top:7.45pt;width:453.4pt;height:16.05pt;z-index:-251151872;mso-wrap-distance-left:0;mso-wrap-distance-right:0;mso-position-horizontal-relative:page" fillcolor="black" stroked="f">
            <w10:wrap type="topAndBottom" anchorx="page"/>
          </v:rect>
        </w:pict>
      </w:r>
      <w:r>
        <w:pict w14:anchorId="51DE9F09">
          <v:shape id="docshape270" o:spid="_x0000_s1982" style="position:absolute;margin-left:69.9pt;margin-top:29.45pt;width:415.45pt;height:16.1pt;z-index:-251150848;mso-wrap-distance-left:0;mso-wrap-distance-right:0;mso-position-horizontal-relative:page" coordorigin="1398,589" coordsize="8309,322" path="m9707,591r-241,l9466,589r-8068,l1398,911r8068,l9466,805r241,l9707,591xe" fillcolor="black" stroked="f">
            <v:path arrowok="t"/>
            <w10:wrap type="topAndBottom" anchorx="page"/>
          </v:shape>
        </w:pict>
      </w:r>
      <w:r>
        <w:pict w14:anchorId="51DE9F0A">
          <v:shape id="docshape271" o:spid="_x0000_s1981" style="position:absolute;margin-left:112.45pt;margin-top:59.55pt;width:410.95pt;height:76.45pt;z-index:-251149824;mso-wrap-distance-left:0;mso-wrap-distance-right:0;mso-position-horizontal-relative:page" coordorigin="2249,1191" coordsize="8219,1529" o:spt="100" adj="0,,0" path="m5906,2426r-3657,l2249,2720r3657,l5906,2426xm10467,2118r-8218,l2249,2412r8218,l10467,2118xm10467,1808r-8218,l2249,2102r8218,l10467,1808xm10467,1191r-8218,l2249,1485r8218,l10467,1191xm10468,1500r-8219,l2249,1794r8219,l10468,1500xe" fillcolor="black" stroked="f">
            <v:stroke joinstyle="round"/>
            <v:formulas/>
            <v:path arrowok="t" o:connecttype="segments"/>
            <w10:wrap type="topAndBottom" anchorx="page"/>
          </v:shape>
        </w:pict>
      </w:r>
      <w:r>
        <w:pict w14:anchorId="51DE9F0B">
          <v:rect id="docshape272" o:spid="_x0000_s1980" style="position:absolute;margin-left:130.45pt;margin-top:149.5pt;width:5.05pt;height:13.45pt;z-index:-251148800;mso-wrap-distance-left:0;mso-wrap-distance-right:0;mso-position-horizontal-relative:page" fillcolor="black" stroked="f">
            <w10:wrap type="topAndBottom" anchorx="page"/>
          </v:rect>
        </w:pict>
      </w:r>
      <w:r>
        <w:pict w14:anchorId="51DE9F0C">
          <v:shape id="docshape273" o:spid="_x0000_s1979" style="position:absolute;margin-left:148.45pt;margin-top:149.25pt;width:374.9pt;height:30.25pt;z-index:-251147776;mso-wrap-distance-left:0;mso-wrap-distance-right:0;mso-position-horizontal-relative:page" coordorigin="2969,2985" coordsize="7498,605" o:spt="100" adj="0,,0" path="m5204,3296r-2235,l2969,3590r2235,l5204,3296xm10467,2985r-7498,l2969,3279r7498,l10467,2985xe" fillcolor="black" stroked="f">
            <v:stroke joinstyle="round"/>
            <v:formulas/>
            <v:path arrowok="t" o:connecttype="segments"/>
            <w10:wrap type="topAndBottom" anchorx="page"/>
          </v:shape>
        </w:pict>
      </w:r>
      <w:r>
        <w:pict w14:anchorId="51DE9F0D">
          <v:rect id="docshape274" o:spid="_x0000_s1978" style="position:absolute;margin-left:130.45pt;margin-top:193pt;width:5.05pt;height:13.45pt;z-index:-251146752;mso-wrap-distance-left:0;mso-wrap-distance-right:0;mso-position-horizontal-relative:page" fillcolor="black" stroked="f">
            <w10:wrap type="topAndBottom" anchorx="page"/>
          </v:rect>
        </w:pict>
      </w:r>
      <w:r>
        <w:pict w14:anchorId="51DE9F0E">
          <v:shape id="docshape275" o:spid="_x0000_s1977" type="#_x0000_t202" style="position:absolute;margin-left:148.45pt;margin-top:192.75pt;width:374.9pt;height:107.45pt;z-index:-251266560;mso-wrap-distance-left:0;mso-wrap-distance-right:0;mso-position-horizontal-relative:page"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4114"/>
                    <w:gridCol w:w="3384"/>
                  </w:tblGrid>
                  <w:tr w:rsidR="0010369C" w14:paraId="51DEAC2F" w14:textId="77777777">
                    <w:trPr>
                      <w:trHeight w:val="291"/>
                    </w:trPr>
                    <w:tc>
                      <w:tcPr>
                        <w:tcW w:w="7498" w:type="dxa"/>
                        <w:gridSpan w:val="2"/>
                        <w:tcBorders>
                          <w:bottom w:val="single" w:sz="8" w:space="0" w:color="FFFFFF"/>
                        </w:tcBorders>
                        <w:shd w:val="clear" w:color="auto" w:fill="000000"/>
                      </w:tcPr>
                      <w:p w14:paraId="51DEAC2E" w14:textId="77777777" w:rsidR="0010369C" w:rsidRDefault="0010369C">
                        <w:pPr>
                          <w:pStyle w:val="TableParagraph"/>
                          <w:rPr>
                            <w:rFonts w:ascii="Times New Roman"/>
                            <w:sz w:val="20"/>
                          </w:rPr>
                        </w:pPr>
                      </w:p>
                    </w:tc>
                  </w:tr>
                  <w:tr w:rsidR="0010369C" w14:paraId="51DEAC31" w14:textId="77777777">
                    <w:trPr>
                      <w:trHeight w:val="291"/>
                    </w:trPr>
                    <w:tc>
                      <w:tcPr>
                        <w:tcW w:w="7498" w:type="dxa"/>
                        <w:gridSpan w:val="2"/>
                        <w:tcBorders>
                          <w:top w:val="single" w:sz="8" w:space="0" w:color="FFFFFF"/>
                          <w:bottom w:val="single" w:sz="6" w:space="0" w:color="FFFFFF"/>
                        </w:tcBorders>
                        <w:shd w:val="clear" w:color="auto" w:fill="000000"/>
                      </w:tcPr>
                      <w:p w14:paraId="51DEAC30" w14:textId="77777777" w:rsidR="0010369C" w:rsidRDefault="0010369C">
                        <w:pPr>
                          <w:pStyle w:val="TableParagraph"/>
                          <w:rPr>
                            <w:rFonts w:ascii="Times New Roman"/>
                            <w:sz w:val="20"/>
                          </w:rPr>
                        </w:pPr>
                      </w:p>
                    </w:tc>
                  </w:tr>
                  <w:tr w:rsidR="0010369C" w14:paraId="51DEAC33" w14:textId="77777777">
                    <w:trPr>
                      <w:trHeight w:val="291"/>
                    </w:trPr>
                    <w:tc>
                      <w:tcPr>
                        <w:tcW w:w="7498" w:type="dxa"/>
                        <w:gridSpan w:val="2"/>
                        <w:tcBorders>
                          <w:top w:val="single" w:sz="6" w:space="0" w:color="FFFFFF"/>
                          <w:bottom w:val="single" w:sz="8" w:space="0" w:color="FFFFFF"/>
                        </w:tcBorders>
                        <w:shd w:val="clear" w:color="auto" w:fill="000000"/>
                      </w:tcPr>
                      <w:p w14:paraId="51DEAC32" w14:textId="77777777" w:rsidR="0010369C" w:rsidRDefault="0010369C">
                        <w:pPr>
                          <w:pStyle w:val="TableParagraph"/>
                          <w:rPr>
                            <w:rFonts w:ascii="Times New Roman"/>
                            <w:sz w:val="20"/>
                          </w:rPr>
                        </w:pPr>
                      </w:p>
                    </w:tc>
                  </w:tr>
                  <w:tr w:rsidR="0010369C" w14:paraId="51DEAC35" w14:textId="77777777">
                    <w:trPr>
                      <w:trHeight w:val="291"/>
                    </w:trPr>
                    <w:tc>
                      <w:tcPr>
                        <w:tcW w:w="7498" w:type="dxa"/>
                        <w:gridSpan w:val="2"/>
                        <w:tcBorders>
                          <w:top w:val="single" w:sz="8" w:space="0" w:color="FFFFFF"/>
                          <w:bottom w:val="single" w:sz="6" w:space="0" w:color="FFFFFF"/>
                        </w:tcBorders>
                        <w:shd w:val="clear" w:color="auto" w:fill="000000"/>
                      </w:tcPr>
                      <w:p w14:paraId="51DEAC34" w14:textId="77777777" w:rsidR="0010369C" w:rsidRDefault="0010369C">
                        <w:pPr>
                          <w:pStyle w:val="TableParagraph"/>
                          <w:rPr>
                            <w:rFonts w:ascii="Times New Roman"/>
                            <w:sz w:val="20"/>
                          </w:rPr>
                        </w:pPr>
                      </w:p>
                    </w:tc>
                  </w:tr>
                  <w:tr w:rsidR="0010369C" w14:paraId="51DEAC37" w14:textId="77777777">
                    <w:trPr>
                      <w:trHeight w:val="293"/>
                    </w:trPr>
                    <w:tc>
                      <w:tcPr>
                        <w:tcW w:w="7498" w:type="dxa"/>
                        <w:gridSpan w:val="2"/>
                        <w:tcBorders>
                          <w:top w:val="single" w:sz="6" w:space="0" w:color="FFFFFF"/>
                          <w:bottom w:val="single" w:sz="6" w:space="0" w:color="FFFFFF"/>
                        </w:tcBorders>
                        <w:shd w:val="clear" w:color="auto" w:fill="000000"/>
                      </w:tcPr>
                      <w:p w14:paraId="51DEAC36" w14:textId="77777777" w:rsidR="0010369C" w:rsidRDefault="0010369C">
                        <w:pPr>
                          <w:pStyle w:val="TableParagraph"/>
                          <w:rPr>
                            <w:rFonts w:ascii="Times New Roman"/>
                            <w:sz w:val="20"/>
                          </w:rPr>
                        </w:pPr>
                      </w:p>
                    </w:tc>
                  </w:tr>
                  <w:tr w:rsidR="0010369C" w14:paraId="51DEAC39" w14:textId="77777777">
                    <w:trPr>
                      <w:trHeight w:val="291"/>
                    </w:trPr>
                    <w:tc>
                      <w:tcPr>
                        <w:tcW w:w="7498" w:type="dxa"/>
                        <w:gridSpan w:val="2"/>
                        <w:tcBorders>
                          <w:top w:val="single" w:sz="6" w:space="0" w:color="FFFFFF"/>
                          <w:bottom w:val="single" w:sz="8" w:space="0" w:color="FFFFFF"/>
                        </w:tcBorders>
                        <w:shd w:val="clear" w:color="auto" w:fill="000000"/>
                      </w:tcPr>
                      <w:p w14:paraId="51DEAC38" w14:textId="77777777" w:rsidR="0010369C" w:rsidRDefault="0010369C">
                        <w:pPr>
                          <w:pStyle w:val="TableParagraph"/>
                          <w:rPr>
                            <w:rFonts w:ascii="Times New Roman"/>
                            <w:sz w:val="20"/>
                          </w:rPr>
                        </w:pPr>
                      </w:p>
                    </w:tc>
                  </w:tr>
                  <w:tr w:rsidR="0010369C" w14:paraId="51DEAC3C" w14:textId="77777777">
                    <w:trPr>
                      <w:trHeight w:val="291"/>
                    </w:trPr>
                    <w:tc>
                      <w:tcPr>
                        <w:tcW w:w="4114" w:type="dxa"/>
                        <w:tcBorders>
                          <w:top w:val="single" w:sz="8" w:space="0" w:color="FFFFFF"/>
                        </w:tcBorders>
                        <w:shd w:val="clear" w:color="auto" w:fill="000000"/>
                      </w:tcPr>
                      <w:p w14:paraId="51DEAC3A" w14:textId="77777777" w:rsidR="0010369C" w:rsidRDefault="0010369C">
                        <w:pPr>
                          <w:pStyle w:val="TableParagraph"/>
                          <w:rPr>
                            <w:rFonts w:ascii="Times New Roman"/>
                            <w:sz w:val="20"/>
                          </w:rPr>
                        </w:pPr>
                      </w:p>
                    </w:tc>
                    <w:tc>
                      <w:tcPr>
                        <w:tcW w:w="3384" w:type="dxa"/>
                        <w:tcBorders>
                          <w:top w:val="single" w:sz="8" w:space="0" w:color="FFFFFF"/>
                        </w:tcBorders>
                      </w:tcPr>
                      <w:p w14:paraId="51DEAC3B" w14:textId="77777777" w:rsidR="0010369C" w:rsidRDefault="008E43AE">
                        <w:pPr>
                          <w:pStyle w:val="TableParagraph"/>
                          <w:spacing w:line="262" w:lineRule="exact"/>
                          <w:ind w:left="20"/>
                        </w:pPr>
                        <w:r>
                          <w:rPr>
                            <w:spacing w:val="-5"/>
                          </w:rPr>
                          <w:t>]]</w:t>
                        </w:r>
                      </w:p>
                    </w:tc>
                  </w:tr>
                </w:tbl>
                <w:p w14:paraId="51DEAC3D" w14:textId="77777777" w:rsidR="0010369C" w:rsidRDefault="0010369C">
                  <w:pPr>
                    <w:pStyle w:val="BodyText"/>
                  </w:pPr>
                </w:p>
              </w:txbxContent>
            </v:textbox>
            <w10:wrap type="topAndBottom" anchorx="page"/>
          </v:shape>
        </w:pict>
      </w:r>
    </w:p>
    <w:p w14:paraId="51DE80F2" w14:textId="77777777" w:rsidR="0010369C" w:rsidRDefault="0010369C">
      <w:pPr>
        <w:pStyle w:val="BodyText"/>
        <w:spacing w:before="9"/>
        <w:rPr>
          <w:sz w:val="7"/>
        </w:rPr>
      </w:pPr>
    </w:p>
    <w:p w14:paraId="51DE80F3" w14:textId="77777777" w:rsidR="0010369C" w:rsidRDefault="0010369C">
      <w:pPr>
        <w:pStyle w:val="BodyText"/>
        <w:rPr>
          <w:sz w:val="21"/>
        </w:rPr>
      </w:pPr>
    </w:p>
    <w:p w14:paraId="51DE80F4" w14:textId="77777777" w:rsidR="0010369C" w:rsidRDefault="0010369C">
      <w:pPr>
        <w:pStyle w:val="BodyText"/>
        <w:spacing w:before="9"/>
        <w:rPr>
          <w:sz w:val="19"/>
        </w:rPr>
      </w:pPr>
    </w:p>
    <w:p w14:paraId="51DE80F5" w14:textId="77777777" w:rsidR="0010369C" w:rsidRDefault="0010369C">
      <w:pPr>
        <w:pStyle w:val="BodyText"/>
        <w:spacing w:before="9"/>
        <w:rPr>
          <w:sz w:val="19"/>
        </w:rPr>
      </w:pPr>
    </w:p>
    <w:p w14:paraId="51DE80F6" w14:textId="77777777" w:rsidR="0010369C" w:rsidRDefault="0010369C">
      <w:pPr>
        <w:pStyle w:val="BodyText"/>
        <w:spacing w:before="2"/>
        <w:rPr>
          <w:sz w:val="16"/>
        </w:rPr>
      </w:pPr>
    </w:p>
    <w:p w14:paraId="51DE80F7" w14:textId="77777777" w:rsidR="0010369C" w:rsidRDefault="008E43AE">
      <w:pPr>
        <w:pStyle w:val="BodyText"/>
        <w:tabs>
          <w:tab w:val="left" w:pos="4039"/>
        </w:tabs>
        <w:spacing w:before="52"/>
        <w:ind w:left="1089"/>
      </w:pPr>
      <w:r>
        <w:rPr>
          <w:noProof/>
        </w:rPr>
        <w:drawing>
          <wp:anchor distT="0" distB="0" distL="0" distR="0" simplePos="0" relativeHeight="250624512" behindDoc="0" locked="0" layoutInCell="1" allowOverlap="1" wp14:anchorId="51DE9F0F" wp14:editId="51DE9F10">
            <wp:simplePos x="0" y="0"/>
            <wp:positionH relativeFrom="page">
              <wp:posOffset>908303</wp:posOffset>
            </wp:positionH>
            <wp:positionV relativeFrom="paragraph">
              <wp:posOffset>81949</wp:posOffset>
            </wp:positionV>
            <wp:extent cx="256031" cy="100753"/>
            <wp:effectExtent l="0" t="0" r="0" b="0"/>
            <wp:wrapNone/>
            <wp:docPr id="339" name="image1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image178.png"/>
                    <pic:cNvPicPr/>
                  </pic:nvPicPr>
                  <pic:blipFill>
                    <a:blip r:embed="rId272" cstate="print"/>
                    <a:stretch>
                      <a:fillRect/>
                    </a:stretch>
                  </pic:blipFill>
                  <pic:spPr>
                    <a:xfrm>
                      <a:off x="0" y="0"/>
                      <a:ext cx="256031" cy="100753"/>
                    </a:xfrm>
                    <a:prstGeom prst="rect">
                      <a:avLst/>
                    </a:prstGeom>
                  </pic:spPr>
                </pic:pic>
              </a:graphicData>
            </a:graphic>
          </wp:anchor>
        </w:drawing>
      </w:r>
      <w:r>
        <w:pict w14:anchorId="51DE9F11">
          <v:rect id="docshape276" o:spid="_x0000_s1976" style="position:absolute;left:0;text-align:left;margin-left:119.8pt;margin-top:2.7pt;width:140.2pt;height:16.05pt;z-index:-251411968;mso-position-horizontal-relative:page;mso-position-vertical-relative:text" fillcolor="black" stroked="f">
            <w10:wrap anchorx="page"/>
          </v:rect>
        </w:pict>
      </w:r>
      <w:r>
        <w:rPr>
          <w:spacing w:val="-5"/>
        </w:rPr>
        <w:t>[[</w:t>
      </w:r>
      <w:r>
        <w:tab/>
        <w:t>]]</w:t>
      </w:r>
      <w:r>
        <w:rPr>
          <w:spacing w:val="7"/>
        </w:rPr>
        <w:t xml:space="preserve"> </w:t>
      </w:r>
      <w:r>
        <w:t>MOFCOM</w:t>
      </w:r>
      <w:r>
        <w:rPr>
          <w:spacing w:val="9"/>
        </w:rPr>
        <w:t xml:space="preserve"> </w:t>
      </w:r>
      <w:r>
        <w:t>asserted</w:t>
      </w:r>
      <w:r>
        <w:rPr>
          <w:spacing w:val="8"/>
        </w:rPr>
        <w:t xml:space="preserve"> </w:t>
      </w:r>
      <w:r>
        <w:t>that</w:t>
      </w:r>
      <w:r>
        <w:rPr>
          <w:spacing w:val="8"/>
        </w:rPr>
        <w:t xml:space="preserve"> </w:t>
      </w:r>
      <w:r>
        <w:t>Treasury</w:t>
      </w:r>
      <w:r>
        <w:rPr>
          <w:spacing w:val="10"/>
        </w:rPr>
        <w:t xml:space="preserve"> </w:t>
      </w:r>
      <w:r>
        <w:t>Wines:</w:t>
      </w:r>
      <w:r>
        <w:rPr>
          <w:spacing w:val="8"/>
        </w:rPr>
        <w:t xml:space="preserve"> </w:t>
      </w:r>
      <w:r>
        <w:t>(i)</w:t>
      </w:r>
      <w:r>
        <w:rPr>
          <w:spacing w:val="9"/>
        </w:rPr>
        <w:t xml:space="preserve"> </w:t>
      </w:r>
      <w:r>
        <w:t>did</w:t>
      </w:r>
      <w:r>
        <w:rPr>
          <w:spacing w:val="9"/>
        </w:rPr>
        <w:t xml:space="preserve"> </w:t>
      </w:r>
      <w:r>
        <w:rPr>
          <w:spacing w:val="-5"/>
        </w:rPr>
        <w:t>not</w:t>
      </w:r>
    </w:p>
    <w:p w14:paraId="51DE80F8" w14:textId="77777777" w:rsidR="0010369C" w:rsidRDefault="008E43AE">
      <w:pPr>
        <w:pStyle w:val="BodyText"/>
        <w:spacing w:before="146" w:line="360" w:lineRule="auto"/>
        <w:ind w:left="237" w:right="614"/>
        <w:jc w:val="both"/>
      </w:pPr>
      <w:r>
        <w:rPr>
          <w:noProof/>
        </w:rPr>
        <w:drawing>
          <wp:anchor distT="0" distB="0" distL="0" distR="0" simplePos="0" relativeHeight="250851840" behindDoc="1" locked="0" layoutInCell="1" allowOverlap="1" wp14:anchorId="51DE9F12" wp14:editId="51DE9F13">
            <wp:simplePos x="0" y="0"/>
            <wp:positionH relativeFrom="page">
              <wp:posOffset>908303</wp:posOffset>
            </wp:positionH>
            <wp:positionV relativeFrom="paragraph">
              <wp:posOffset>1076021</wp:posOffset>
            </wp:positionV>
            <wp:extent cx="255117" cy="106299"/>
            <wp:effectExtent l="0" t="0" r="0" b="0"/>
            <wp:wrapNone/>
            <wp:docPr id="341" name="image1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image179.png"/>
                    <pic:cNvPicPr/>
                  </pic:nvPicPr>
                  <pic:blipFill>
                    <a:blip r:embed="rId273" cstate="print"/>
                    <a:stretch>
                      <a:fillRect/>
                    </a:stretch>
                  </pic:blipFill>
                  <pic:spPr>
                    <a:xfrm>
                      <a:off x="0" y="0"/>
                      <a:ext cx="255117" cy="106299"/>
                    </a:xfrm>
                    <a:prstGeom prst="rect">
                      <a:avLst/>
                    </a:prstGeom>
                  </pic:spPr>
                </pic:pic>
              </a:graphicData>
            </a:graphic>
          </wp:anchor>
        </w:drawing>
      </w:r>
      <w:r>
        <w:t>provide production costs for some months; (ii) did not explain the calculation method, the cost apportionment method and the relevant calculation formula of each item; and (iii) did not provide the daily cost calculation sheet.</w:t>
      </w:r>
      <w:r>
        <w:rPr>
          <w:vertAlign w:val="superscript"/>
        </w:rPr>
        <w:t>177</w:t>
      </w:r>
    </w:p>
    <w:p w14:paraId="51DE80F9" w14:textId="77777777" w:rsidR="0010369C" w:rsidRDefault="0010369C">
      <w:pPr>
        <w:pStyle w:val="BodyText"/>
        <w:spacing w:before="3"/>
        <w:rPr>
          <w:sz w:val="13"/>
        </w:rPr>
      </w:pPr>
    </w:p>
    <w:tbl>
      <w:tblPr>
        <w:tblW w:w="0" w:type="auto"/>
        <w:tblInd w:w="225" w:type="dxa"/>
        <w:tblLayout w:type="fixed"/>
        <w:tblCellMar>
          <w:left w:w="0" w:type="dxa"/>
          <w:right w:w="0" w:type="dxa"/>
        </w:tblCellMar>
        <w:tblLook w:val="01E0" w:firstRow="1" w:lastRow="1" w:firstColumn="1" w:lastColumn="1" w:noHBand="0" w:noVBand="0"/>
      </w:tblPr>
      <w:tblGrid>
        <w:gridCol w:w="997"/>
        <w:gridCol w:w="1001"/>
        <w:gridCol w:w="970"/>
        <w:gridCol w:w="6101"/>
      </w:tblGrid>
      <w:tr w:rsidR="0010369C" w14:paraId="51DE80FC" w14:textId="77777777">
        <w:trPr>
          <w:trHeight w:val="320"/>
        </w:trPr>
        <w:tc>
          <w:tcPr>
            <w:tcW w:w="997" w:type="dxa"/>
            <w:tcBorders>
              <w:bottom w:val="single" w:sz="48" w:space="0" w:color="FFFFFF"/>
            </w:tcBorders>
          </w:tcPr>
          <w:p w14:paraId="51DE80FA" w14:textId="77777777" w:rsidR="0010369C" w:rsidRDefault="008E43AE">
            <w:pPr>
              <w:pStyle w:val="TableParagraph"/>
              <w:spacing w:line="291" w:lineRule="exact"/>
              <w:ind w:right="-29"/>
              <w:jc w:val="right"/>
              <w:rPr>
                <w:sz w:val="24"/>
              </w:rPr>
            </w:pPr>
            <w:r>
              <w:rPr>
                <w:spacing w:val="-5"/>
                <w:sz w:val="24"/>
              </w:rPr>
              <w:t>[[</w:t>
            </w:r>
          </w:p>
        </w:tc>
        <w:tc>
          <w:tcPr>
            <w:tcW w:w="8072" w:type="dxa"/>
            <w:gridSpan w:val="3"/>
            <w:tcBorders>
              <w:bottom w:val="single" w:sz="48" w:space="0" w:color="FFFFFF"/>
            </w:tcBorders>
            <w:shd w:val="clear" w:color="auto" w:fill="000000"/>
          </w:tcPr>
          <w:p w14:paraId="51DE80FB" w14:textId="77777777" w:rsidR="0010369C" w:rsidRDefault="0010369C">
            <w:pPr>
              <w:pStyle w:val="TableParagraph"/>
              <w:rPr>
                <w:rFonts w:ascii="Times New Roman"/>
                <w:sz w:val="20"/>
              </w:rPr>
            </w:pPr>
          </w:p>
        </w:tc>
      </w:tr>
      <w:tr w:rsidR="0010369C" w14:paraId="51DE80FE" w14:textId="77777777">
        <w:trPr>
          <w:trHeight w:val="319"/>
        </w:trPr>
        <w:tc>
          <w:tcPr>
            <w:tcW w:w="9069" w:type="dxa"/>
            <w:gridSpan w:val="4"/>
            <w:tcBorders>
              <w:top w:val="single" w:sz="48" w:space="0" w:color="FFFFFF"/>
              <w:bottom w:val="single" w:sz="48" w:space="0" w:color="FFFFFF"/>
            </w:tcBorders>
            <w:shd w:val="clear" w:color="auto" w:fill="000000"/>
          </w:tcPr>
          <w:p w14:paraId="51DE80FD" w14:textId="77777777" w:rsidR="0010369C" w:rsidRDefault="0010369C">
            <w:pPr>
              <w:pStyle w:val="TableParagraph"/>
              <w:rPr>
                <w:rFonts w:ascii="Times New Roman"/>
                <w:sz w:val="20"/>
              </w:rPr>
            </w:pPr>
          </w:p>
        </w:tc>
      </w:tr>
      <w:tr w:rsidR="0010369C" w14:paraId="51DE8100" w14:textId="77777777">
        <w:trPr>
          <w:trHeight w:val="319"/>
        </w:trPr>
        <w:tc>
          <w:tcPr>
            <w:tcW w:w="9069" w:type="dxa"/>
            <w:gridSpan w:val="4"/>
            <w:tcBorders>
              <w:top w:val="single" w:sz="48" w:space="0" w:color="FFFFFF"/>
              <w:bottom w:val="single" w:sz="48" w:space="0" w:color="FFFFFF"/>
            </w:tcBorders>
            <w:shd w:val="clear" w:color="auto" w:fill="000000"/>
          </w:tcPr>
          <w:p w14:paraId="51DE80FF" w14:textId="77777777" w:rsidR="0010369C" w:rsidRDefault="0010369C">
            <w:pPr>
              <w:pStyle w:val="TableParagraph"/>
              <w:rPr>
                <w:rFonts w:ascii="Times New Roman"/>
                <w:sz w:val="20"/>
              </w:rPr>
            </w:pPr>
          </w:p>
        </w:tc>
      </w:tr>
      <w:tr w:rsidR="0010369C" w14:paraId="51DE8103" w14:textId="77777777">
        <w:trPr>
          <w:trHeight w:val="319"/>
        </w:trPr>
        <w:tc>
          <w:tcPr>
            <w:tcW w:w="1998" w:type="dxa"/>
            <w:gridSpan w:val="2"/>
            <w:tcBorders>
              <w:top w:val="single" w:sz="48" w:space="0" w:color="FFFFFF"/>
              <w:bottom w:val="single" w:sz="48" w:space="0" w:color="FFFFFF"/>
              <w:right w:val="single" w:sz="36" w:space="0" w:color="FFFFFF"/>
            </w:tcBorders>
            <w:shd w:val="clear" w:color="auto" w:fill="000000"/>
          </w:tcPr>
          <w:p w14:paraId="51DE8101" w14:textId="77777777" w:rsidR="0010369C" w:rsidRDefault="0010369C">
            <w:pPr>
              <w:pStyle w:val="TableParagraph"/>
              <w:rPr>
                <w:rFonts w:ascii="Times New Roman"/>
                <w:sz w:val="20"/>
              </w:rPr>
            </w:pPr>
          </w:p>
        </w:tc>
        <w:tc>
          <w:tcPr>
            <w:tcW w:w="7071" w:type="dxa"/>
            <w:gridSpan w:val="2"/>
            <w:tcBorders>
              <w:top w:val="single" w:sz="48" w:space="0" w:color="FFFFFF"/>
              <w:left w:val="single" w:sz="36" w:space="0" w:color="FFFFFF"/>
              <w:bottom w:val="single" w:sz="48" w:space="0" w:color="FFFFFF"/>
            </w:tcBorders>
            <w:shd w:val="clear" w:color="auto" w:fill="000000"/>
          </w:tcPr>
          <w:p w14:paraId="51DE8102" w14:textId="77777777" w:rsidR="0010369C" w:rsidRDefault="0010369C">
            <w:pPr>
              <w:pStyle w:val="TableParagraph"/>
              <w:rPr>
                <w:rFonts w:ascii="Times New Roman"/>
                <w:sz w:val="20"/>
              </w:rPr>
            </w:pPr>
          </w:p>
        </w:tc>
      </w:tr>
      <w:tr w:rsidR="0010369C" w14:paraId="51DE8105" w14:textId="77777777">
        <w:trPr>
          <w:trHeight w:val="319"/>
        </w:trPr>
        <w:tc>
          <w:tcPr>
            <w:tcW w:w="9069" w:type="dxa"/>
            <w:gridSpan w:val="4"/>
            <w:tcBorders>
              <w:top w:val="single" w:sz="48" w:space="0" w:color="FFFFFF"/>
              <w:bottom w:val="single" w:sz="48" w:space="0" w:color="FFFFFF"/>
            </w:tcBorders>
            <w:shd w:val="clear" w:color="auto" w:fill="000000"/>
          </w:tcPr>
          <w:p w14:paraId="51DE8104" w14:textId="77777777" w:rsidR="0010369C" w:rsidRDefault="0010369C">
            <w:pPr>
              <w:pStyle w:val="TableParagraph"/>
              <w:rPr>
                <w:rFonts w:ascii="Times New Roman"/>
                <w:sz w:val="20"/>
              </w:rPr>
            </w:pPr>
          </w:p>
        </w:tc>
      </w:tr>
      <w:tr w:rsidR="0010369C" w14:paraId="51DE8108" w14:textId="77777777">
        <w:trPr>
          <w:trHeight w:val="320"/>
        </w:trPr>
        <w:tc>
          <w:tcPr>
            <w:tcW w:w="2968" w:type="dxa"/>
            <w:gridSpan w:val="3"/>
            <w:tcBorders>
              <w:top w:val="single" w:sz="48" w:space="0" w:color="FFFFFF"/>
              <w:right w:val="single" w:sz="48" w:space="0" w:color="FFFFFF"/>
            </w:tcBorders>
            <w:shd w:val="clear" w:color="auto" w:fill="000000"/>
          </w:tcPr>
          <w:p w14:paraId="51DE8106" w14:textId="77777777" w:rsidR="0010369C" w:rsidRDefault="0010369C">
            <w:pPr>
              <w:pStyle w:val="TableParagraph"/>
              <w:rPr>
                <w:rFonts w:ascii="Times New Roman"/>
                <w:sz w:val="20"/>
              </w:rPr>
            </w:pPr>
          </w:p>
        </w:tc>
        <w:tc>
          <w:tcPr>
            <w:tcW w:w="6101" w:type="dxa"/>
            <w:tcBorders>
              <w:top w:val="single" w:sz="48" w:space="0" w:color="FFFFFF"/>
              <w:left w:val="single" w:sz="48" w:space="0" w:color="FFFFFF"/>
            </w:tcBorders>
            <w:shd w:val="clear" w:color="auto" w:fill="000000"/>
          </w:tcPr>
          <w:p w14:paraId="51DE8107" w14:textId="77777777" w:rsidR="0010369C" w:rsidRDefault="0010369C">
            <w:pPr>
              <w:pStyle w:val="TableParagraph"/>
              <w:rPr>
                <w:rFonts w:ascii="Times New Roman"/>
                <w:sz w:val="20"/>
              </w:rPr>
            </w:pPr>
          </w:p>
        </w:tc>
      </w:tr>
    </w:tbl>
    <w:p w14:paraId="51DE8109" w14:textId="77777777" w:rsidR="0010369C" w:rsidRDefault="008E43AE">
      <w:pPr>
        <w:pStyle w:val="BodyText"/>
        <w:spacing w:before="2"/>
      </w:pPr>
      <w:r>
        <w:pict w14:anchorId="51DE9F14">
          <v:rect id="docshape277" o:spid="_x0000_s1975" style="position:absolute;margin-left:70.9pt;margin-top:15.95pt;width:2in;height:.8pt;z-index:-251145728;mso-wrap-distance-left:0;mso-wrap-distance-right:0;mso-position-horizontal-relative:page;mso-position-vertical-relative:text" fillcolor="black" stroked="f">
            <w10:wrap type="topAndBottom" anchorx="page"/>
          </v:rect>
        </w:pict>
      </w:r>
    </w:p>
    <w:p w14:paraId="51DE810A" w14:textId="77777777" w:rsidR="0010369C" w:rsidRDefault="0010369C">
      <w:pPr>
        <w:pStyle w:val="BodyText"/>
        <w:spacing w:before="8"/>
        <w:rPr>
          <w:sz w:val="5"/>
        </w:rPr>
      </w:pPr>
    </w:p>
    <w:p w14:paraId="51DE810B" w14:textId="77777777" w:rsidR="0010369C" w:rsidRDefault="0010369C">
      <w:pPr>
        <w:rPr>
          <w:sz w:val="5"/>
        </w:rPr>
        <w:sectPr w:rsidR="0010369C">
          <w:pgSz w:w="11910" w:h="16840"/>
          <w:pgMar w:top="880" w:right="800" w:bottom="980" w:left="1180" w:header="569" w:footer="788" w:gutter="0"/>
          <w:cols w:space="720"/>
        </w:sectPr>
      </w:pPr>
    </w:p>
    <w:p w14:paraId="51DE810C" w14:textId="77777777" w:rsidR="0010369C" w:rsidRDefault="008E43AE">
      <w:pPr>
        <w:spacing w:before="74" w:line="158" w:lineRule="auto"/>
        <w:ind w:left="238"/>
        <w:rPr>
          <w:sz w:val="18"/>
        </w:rPr>
      </w:pPr>
      <w:r>
        <w:pict w14:anchorId="51DE9F15">
          <v:shape id="docshape278" o:spid="_x0000_s1974" style="position:absolute;left:0;text-align:left;margin-left:86.65pt;margin-top:2.35pt;width:318.05pt;height:23.1pt;z-index:-251410944;mso-position-horizontal-relative:page" coordorigin="1733,47" coordsize="6361,462" path="m8094,47r-6361,l1733,268r,20l1733,509r6066,l7799,288r295,l8094,47xe" fillcolor="black" stroked="f">
            <v:path arrowok="t"/>
            <w10:wrap anchorx="page"/>
          </v:shape>
        </w:pict>
      </w:r>
      <w:r>
        <w:rPr>
          <w:color w:val="5E5E5E"/>
          <w:sz w:val="12"/>
        </w:rPr>
        <w:t>175</w:t>
      </w:r>
      <w:r>
        <w:rPr>
          <w:color w:val="5E5E5E"/>
          <w:spacing w:val="11"/>
          <w:sz w:val="12"/>
        </w:rPr>
        <w:t xml:space="preserve"> </w:t>
      </w:r>
      <w:r>
        <w:rPr>
          <w:color w:val="5E5E5E"/>
          <w:spacing w:val="-10"/>
          <w:position w:val="-5"/>
          <w:sz w:val="18"/>
        </w:rPr>
        <w:t>[</w:t>
      </w:r>
    </w:p>
    <w:p w14:paraId="51DE810D" w14:textId="77777777" w:rsidR="0010369C" w:rsidRDefault="008E43AE">
      <w:pPr>
        <w:spacing w:before="34"/>
        <w:ind w:left="238"/>
        <w:rPr>
          <w:sz w:val="18"/>
        </w:rPr>
      </w:pPr>
      <w:r>
        <w:rPr>
          <w:color w:val="5E5E5E"/>
          <w:sz w:val="12"/>
        </w:rPr>
        <w:t>176</w:t>
      </w:r>
      <w:r>
        <w:rPr>
          <w:color w:val="5E5E5E"/>
          <w:spacing w:val="11"/>
          <w:sz w:val="12"/>
        </w:rPr>
        <w:t xml:space="preserve"> </w:t>
      </w:r>
      <w:r>
        <w:rPr>
          <w:color w:val="5E5E5E"/>
          <w:spacing w:val="-10"/>
          <w:position w:val="-5"/>
          <w:sz w:val="18"/>
        </w:rPr>
        <w:t>[</w:t>
      </w:r>
    </w:p>
    <w:p w14:paraId="51DE810E" w14:textId="77777777" w:rsidR="0010369C" w:rsidRDefault="008E43AE">
      <w:pPr>
        <w:spacing w:line="218" w:lineRule="exact"/>
        <w:ind w:left="238"/>
        <w:rPr>
          <w:sz w:val="18"/>
        </w:rPr>
      </w:pPr>
      <w:r>
        <w:pict w14:anchorId="51DE9F16">
          <v:shape id="docshape279" o:spid="_x0000_s1973" style="position:absolute;left:0;text-align:left;margin-left:86.65pt;margin-top:11.3pt;width:303.3pt;height:23.05pt;z-index:251731456;mso-position-horizontal-relative:page" coordorigin="1733,226" coordsize="6066,461" path="m7799,226r-6066,l1733,446r,21l1733,687r6066,l7799,467r,-21l7799,226xe" fillcolor="black" stroked="f">
            <v:path arrowok="t"/>
            <w10:wrap anchorx="page"/>
          </v:shape>
        </w:pict>
      </w:r>
      <w:r>
        <w:rPr>
          <w:sz w:val="18"/>
          <w:vertAlign w:val="superscript"/>
        </w:rPr>
        <w:t>177</w:t>
      </w:r>
      <w:r>
        <w:rPr>
          <w:spacing w:val="-9"/>
          <w:sz w:val="18"/>
        </w:rPr>
        <w:t xml:space="preserve"> </w:t>
      </w:r>
      <w:r>
        <w:rPr>
          <w:sz w:val="18"/>
        </w:rPr>
        <w:t>Anti‐Dumping</w:t>
      </w:r>
      <w:r>
        <w:rPr>
          <w:spacing w:val="-9"/>
          <w:sz w:val="18"/>
        </w:rPr>
        <w:t xml:space="preserve"> </w:t>
      </w:r>
      <w:r>
        <w:rPr>
          <w:sz w:val="18"/>
        </w:rPr>
        <w:t>Final</w:t>
      </w:r>
      <w:r>
        <w:rPr>
          <w:spacing w:val="-9"/>
          <w:sz w:val="18"/>
        </w:rPr>
        <w:t xml:space="preserve"> </w:t>
      </w:r>
      <w:r>
        <w:rPr>
          <w:sz w:val="18"/>
        </w:rPr>
        <w:t>Determination</w:t>
      </w:r>
      <w:r>
        <w:rPr>
          <w:spacing w:val="-8"/>
          <w:sz w:val="18"/>
        </w:rPr>
        <w:t xml:space="preserve"> </w:t>
      </w:r>
      <w:r>
        <w:rPr>
          <w:sz w:val="18"/>
        </w:rPr>
        <w:t>(Exhibit</w:t>
      </w:r>
      <w:r>
        <w:rPr>
          <w:spacing w:val="-9"/>
          <w:sz w:val="18"/>
        </w:rPr>
        <w:t xml:space="preserve"> </w:t>
      </w:r>
      <w:r>
        <w:rPr>
          <w:sz w:val="18"/>
        </w:rPr>
        <w:t>AUS‐2),</w:t>
      </w:r>
      <w:r>
        <w:rPr>
          <w:spacing w:val="-9"/>
          <w:sz w:val="18"/>
        </w:rPr>
        <w:t xml:space="preserve"> </w:t>
      </w:r>
      <w:r>
        <w:rPr>
          <w:sz w:val="18"/>
        </w:rPr>
        <w:t>p.</w:t>
      </w:r>
      <w:r>
        <w:rPr>
          <w:spacing w:val="-9"/>
          <w:sz w:val="18"/>
        </w:rPr>
        <w:t xml:space="preserve"> </w:t>
      </w:r>
      <w:r>
        <w:rPr>
          <w:spacing w:val="-5"/>
          <w:sz w:val="18"/>
        </w:rPr>
        <w:t>59.</w:t>
      </w:r>
    </w:p>
    <w:p w14:paraId="51DE810F" w14:textId="77777777" w:rsidR="0010369C" w:rsidRDefault="008E43AE">
      <w:pPr>
        <w:spacing w:before="36" w:line="156" w:lineRule="auto"/>
        <w:ind w:left="238"/>
        <w:rPr>
          <w:sz w:val="18"/>
        </w:rPr>
      </w:pPr>
      <w:r>
        <w:rPr>
          <w:color w:val="5E5E5E"/>
          <w:sz w:val="12"/>
        </w:rPr>
        <w:t>178</w:t>
      </w:r>
      <w:r>
        <w:rPr>
          <w:color w:val="5E5E5E"/>
          <w:spacing w:val="11"/>
          <w:sz w:val="12"/>
        </w:rPr>
        <w:t xml:space="preserve"> </w:t>
      </w:r>
      <w:r>
        <w:rPr>
          <w:color w:val="5E5E5E"/>
          <w:spacing w:val="-10"/>
          <w:position w:val="-5"/>
          <w:sz w:val="18"/>
        </w:rPr>
        <w:t>[</w:t>
      </w:r>
    </w:p>
    <w:p w14:paraId="51DE8110" w14:textId="77777777" w:rsidR="0010369C" w:rsidRDefault="008E43AE">
      <w:pPr>
        <w:spacing w:before="34"/>
        <w:ind w:left="238"/>
        <w:rPr>
          <w:sz w:val="18"/>
        </w:rPr>
      </w:pPr>
      <w:r>
        <w:rPr>
          <w:color w:val="5E5E5E"/>
          <w:sz w:val="12"/>
        </w:rPr>
        <w:t>179</w:t>
      </w:r>
      <w:r>
        <w:rPr>
          <w:color w:val="5E5E5E"/>
          <w:spacing w:val="11"/>
          <w:sz w:val="12"/>
        </w:rPr>
        <w:t xml:space="preserve"> </w:t>
      </w:r>
      <w:r>
        <w:rPr>
          <w:color w:val="5E5E5E"/>
          <w:spacing w:val="-10"/>
          <w:position w:val="-5"/>
          <w:sz w:val="18"/>
        </w:rPr>
        <w:t>[</w:t>
      </w:r>
    </w:p>
    <w:p w14:paraId="51DE8111" w14:textId="77777777" w:rsidR="0010369C" w:rsidRDefault="008E43AE">
      <w:pPr>
        <w:tabs>
          <w:tab w:val="left" w:pos="2265"/>
        </w:tabs>
        <w:spacing w:before="40"/>
        <w:ind w:left="238" w:right="1106" w:firstLine="295"/>
        <w:rPr>
          <w:sz w:val="18"/>
        </w:rPr>
      </w:pPr>
      <w:r>
        <w:br w:type="column"/>
      </w:r>
      <w:r>
        <w:rPr>
          <w:color w:val="5E5E5E"/>
          <w:sz w:val="18"/>
        </w:rPr>
        <w:t>(Exhibit AUS‐17 (BCI)).]] (Exhibit AUS‐11 (BCI))</w:t>
      </w:r>
      <w:r>
        <w:rPr>
          <w:color w:val="5E5E5E"/>
          <w:sz w:val="18"/>
        </w:rPr>
        <w:tab/>
      </w:r>
      <w:r>
        <w:rPr>
          <w:color w:val="5E5E5E"/>
          <w:spacing w:val="-6"/>
          <w:sz w:val="18"/>
        </w:rPr>
        <w:t>]]</w:t>
      </w:r>
    </w:p>
    <w:p w14:paraId="51DE8112" w14:textId="77777777" w:rsidR="0010369C" w:rsidRDefault="0010369C">
      <w:pPr>
        <w:pStyle w:val="BodyText"/>
        <w:spacing w:before="1"/>
        <w:rPr>
          <w:sz w:val="18"/>
        </w:rPr>
      </w:pPr>
    </w:p>
    <w:p w14:paraId="51DE8113" w14:textId="77777777" w:rsidR="0010369C" w:rsidRDefault="008E43AE">
      <w:pPr>
        <w:tabs>
          <w:tab w:val="left" w:pos="2265"/>
        </w:tabs>
        <w:ind w:left="238"/>
        <w:rPr>
          <w:sz w:val="18"/>
        </w:rPr>
      </w:pPr>
      <w:r>
        <w:pict w14:anchorId="51DE9F17">
          <v:rect id="docshape280" o:spid="_x0000_s1972" style="position:absolute;left:0;text-align:left;margin-left:472.9pt;margin-top:-21.6pt;width:20.45pt;height:12.05pt;z-index:-251409920;mso-position-horizontal-relative:page" fillcolor="black" stroked="f">
            <w10:wrap anchorx="page"/>
          </v:rect>
        </w:pict>
      </w:r>
      <w:r>
        <w:pict w14:anchorId="51DE9F18">
          <v:shape id="docshape281" o:spid="_x0000_s1971" style="position:absolute;left:0;text-align:left;margin-left:475.15pt;margin-top:.35pt;width:20.45pt;height:23.05pt;z-index:-251408896;mso-position-horizontal-relative:page" coordorigin="9503,7" coordsize="409,461" path="m9912,226r-45,l9867,7r-364,l9503,226r,22l9503,467r409,l9912,226xe" fillcolor="black" stroked="f">
            <v:path arrowok="t"/>
            <w10:wrap anchorx="page"/>
          </v:shape>
        </w:pict>
      </w:r>
      <w:r>
        <w:rPr>
          <w:color w:val="5E5E5E"/>
          <w:sz w:val="18"/>
        </w:rPr>
        <w:t>(Exhibit</w:t>
      </w:r>
      <w:r>
        <w:rPr>
          <w:color w:val="5E5E5E"/>
          <w:spacing w:val="-9"/>
          <w:sz w:val="18"/>
        </w:rPr>
        <w:t xml:space="preserve"> </w:t>
      </w:r>
      <w:r>
        <w:rPr>
          <w:color w:val="5E5E5E"/>
          <w:sz w:val="18"/>
        </w:rPr>
        <w:t>AUS‐11</w:t>
      </w:r>
      <w:r>
        <w:rPr>
          <w:color w:val="5E5E5E"/>
          <w:spacing w:val="-9"/>
          <w:sz w:val="18"/>
        </w:rPr>
        <w:t xml:space="preserve"> </w:t>
      </w:r>
      <w:r>
        <w:rPr>
          <w:color w:val="5E5E5E"/>
          <w:spacing w:val="-2"/>
          <w:sz w:val="18"/>
        </w:rPr>
        <w:t>(BCI)),</w:t>
      </w:r>
      <w:r>
        <w:rPr>
          <w:color w:val="5E5E5E"/>
          <w:sz w:val="18"/>
        </w:rPr>
        <w:tab/>
      </w:r>
      <w:r>
        <w:rPr>
          <w:color w:val="5E5E5E"/>
          <w:spacing w:val="-5"/>
          <w:sz w:val="18"/>
        </w:rPr>
        <w:t>.]]</w:t>
      </w:r>
    </w:p>
    <w:p w14:paraId="51DE8114" w14:textId="77777777" w:rsidR="0010369C" w:rsidRDefault="008E43AE">
      <w:pPr>
        <w:ind w:left="238"/>
        <w:rPr>
          <w:sz w:val="18"/>
        </w:rPr>
      </w:pPr>
      <w:r>
        <w:rPr>
          <w:color w:val="5E5E5E"/>
          <w:sz w:val="18"/>
        </w:rPr>
        <w:t>(Exhibit</w:t>
      </w:r>
      <w:r>
        <w:rPr>
          <w:color w:val="5E5E5E"/>
          <w:spacing w:val="-9"/>
          <w:sz w:val="18"/>
        </w:rPr>
        <w:t xml:space="preserve"> </w:t>
      </w:r>
      <w:r>
        <w:rPr>
          <w:color w:val="5E5E5E"/>
          <w:sz w:val="18"/>
        </w:rPr>
        <w:t>AUS‐11</w:t>
      </w:r>
      <w:r>
        <w:rPr>
          <w:color w:val="5E5E5E"/>
          <w:spacing w:val="-9"/>
          <w:sz w:val="18"/>
        </w:rPr>
        <w:t xml:space="preserve"> </w:t>
      </w:r>
      <w:r>
        <w:rPr>
          <w:color w:val="5E5E5E"/>
          <w:spacing w:val="-2"/>
          <w:sz w:val="18"/>
        </w:rPr>
        <w:t>(BCI)),</w:t>
      </w:r>
    </w:p>
    <w:p w14:paraId="51DE8115" w14:textId="77777777" w:rsidR="0010369C" w:rsidRDefault="0010369C">
      <w:pPr>
        <w:rPr>
          <w:sz w:val="18"/>
        </w:rPr>
        <w:sectPr w:rsidR="0010369C">
          <w:type w:val="continuous"/>
          <w:pgSz w:w="11910" w:h="16840"/>
          <w:pgMar w:top="1460" w:right="800" w:bottom="280" w:left="1180" w:header="569" w:footer="788" w:gutter="0"/>
          <w:cols w:num="2" w:space="720" w:equalWidth="0">
            <w:col w:w="4653" w:space="1789"/>
            <w:col w:w="3488"/>
          </w:cols>
        </w:sectPr>
      </w:pPr>
    </w:p>
    <w:p w14:paraId="51DE8116" w14:textId="77777777" w:rsidR="0010369C" w:rsidRDefault="008E43AE">
      <w:pPr>
        <w:tabs>
          <w:tab w:val="left" w:pos="6426"/>
        </w:tabs>
        <w:ind w:left="238"/>
        <w:rPr>
          <w:sz w:val="20"/>
        </w:rPr>
      </w:pPr>
      <w:r>
        <w:rPr>
          <w:i/>
          <w:sz w:val="20"/>
        </w:rPr>
        <w:lastRenderedPageBreak/>
        <w:t>China</w:t>
      </w:r>
      <w:r>
        <w:rPr>
          <w:i/>
          <w:spacing w:val="-5"/>
          <w:sz w:val="20"/>
        </w:rPr>
        <w:t xml:space="preserve"> </w:t>
      </w:r>
      <w:r>
        <w:rPr>
          <w:i/>
          <w:sz w:val="20"/>
        </w:rPr>
        <w:t>–</w:t>
      </w:r>
      <w:r>
        <w:rPr>
          <w:i/>
          <w:spacing w:val="-5"/>
          <w:sz w:val="20"/>
        </w:rPr>
        <w:t xml:space="preserve"> </w:t>
      </w:r>
      <w:r>
        <w:rPr>
          <w:i/>
          <w:sz w:val="20"/>
        </w:rPr>
        <w:t>Anti‐Dumping</w:t>
      </w:r>
      <w:r>
        <w:rPr>
          <w:i/>
          <w:spacing w:val="-4"/>
          <w:sz w:val="20"/>
        </w:rPr>
        <w:t xml:space="preserve"> </w:t>
      </w:r>
      <w:r>
        <w:rPr>
          <w:i/>
          <w:sz w:val="20"/>
        </w:rPr>
        <w:t>and</w:t>
      </w:r>
      <w:r>
        <w:rPr>
          <w:i/>
          <w:spacing w:val="-5"/>
          <w:sz w:val="20"/>
        </w:rPr>
        <w:t xml:space="preserve"> </w:t>
      </w:r>
      <w:r>
        <w:rPr>
          <w:i/>
          <w:sz w:val="20"/>
        </w:rPr>
        <w:t>Countervailing</w:t>
      </w:r>
      <w:r>
        <w:rPr>
          <w:i/>
          <w:spacing w:val="-5"/>
          <w:sz w:val="20"/>
        </w:rPr>
        <w:t xml:space="preserve"> </w:t>
      </w:r>
      <w:r>
        <w:rPr>
          <w:i/>
          <w:sz w:val="20"/>
        </w:rPr>
        <w:t>Duty</w:t>
      </w:r>
      <w:r>
        <w:rPr>
          <w:i/>
          <w:spacing w:val="-4"/>
          <w:sz w:val="20"/>
        </w:rPr>
        <w:t xml:space="preserve"> </w:t>
      </w:r>
      <w:r>
        <w:rPr>
          <w:i/>
          <w:spacing w:val="-2"/>
          <w:sz w:val="20"/>
        </w:rPr>
        <w:t>Measures</w:t>
      </w:r>
      <w:r>
        <w:rPr>
          <w:i/>
          <w:sz w:val="20"/>
        </w:rPr>
        <w:tab/>
      </w:r>
      <w:r>
        <w:rPr>
          <w:sz w:val="20"/>
        </w:rPr>
        <w:t>Australia's</w:t>
      </w:r>
      <w:r>
        <w:rPr>
          <w:spacing w:val="-7"/>
          <w:sz w:val="20"/>
        </w:rPr>
        <w:t xml:space="preserve"> </w:t>
      </w:r>
      <w:r>
        <w:rPr>
          <w:sz w:val="20"/>
        </w:rPr>
        <w:t>First</w:t>
      </w:r>
      <w:r>
        <w:rPr>
          <w:spacing w:val="-2"/>
          <w:sz w:val="20"/>
        </w:rPr>
        <w:t xml:space="preserve"> </w:t>
      </w:r>
      <w:r>
        <w:rPr>
          <w:sz w:val="20"/>
        </w:rPr>
        <w:t>Written</w:t>
      </w:r>
      <w:r>
        <w:rPr>
          <w:spacing w:val="-2"/>
          <w:sz w:val="20"/>
        </w:rPr>
        <w:t xml:space="preserve"> Submission</w:t>
      </w:r>
    </w:p>
    <w:p w14:paraId="51DE8117" w14:textId="77777777" w:rsidR="0010369C" w:rsidRDefault="008E43AE">
      <w:pPr>
        <w:tabs>
          <w:tab w:val="left" w:pos="8228"/>
        </w:tabs>
        <w:spacing w:before="1"/>
        <w:ind w:left="239"/>
        <w:rPr>
          <w:sz w:val="20"/>
        </w:rPr>
      </w:pPr>
      <w:r>
        <w:pict w14:anchorId="51DE9F19">
          <v:rect id="docshape282" o:spid="_x0000_s1970" style="position:absolute;left:0;text-align:left;margin-left:69.9pt;margin-top:14.1pt;width:453.45pt;height:16.05pt;z-index:-251144704;mso-wrap-distance-left:0;mso-wrap-distance-right:0;mso-position-horizontal-relative:page" fillcolor="black" stroked="f">
            <w10:wrap type="topAndBottom" anchorx="page"/>
          </v:rect>
        </w:pict>
      </w:r>
      <w:r>
        <w:pict w14:anchorId="51DE9F1A">
          <v:rect id="docshape283" o:spid="_x0000_s1969" style="position:absolute;left:0;text-align:left;margin-left:69.9pt;margin-top:36.05pt;width:275.95pt;height:16.05pt;z-index:-251406848;mso-position-horizontal-relative:page" fillcolor="black" stroked="f">
            <w10:wrap anchorx="page"/>
          </v:rect>
        </w:pict>
      </w:r>
      <w:r>
        <w:rPr>
          <w:i/>
          <w:sz w:val="20"/>
        </w:rPr>
        <w:t>on</w:t>
      </w:r>
      <w:r>
        <w:rPr>
          <w:i/>
          <w:spacing w:val="-1"/>
          <w:sz w:val="20"/>
        </w:rPr>
        <w:t xml:space="preserve"> </w:t>
      </w:r>
      <w:r>
        <w:rPr>
          <w:i/>
          <w:sz w:val="20"/>
        </w:rPr>
        <w:t>Wine</w:t>
      </w:r>
      <w:r>
        <w:rPr>
          <w:i/>
          <w:spacing w:val="-1"/>
          <w:sz w:val="20"/>
        </w:rPr>
        <w:t xml:space="preserve"> </w:t>
      </w:r>
      <w:r>
        <w:rPr>
          <w:i/>
          <w:sz w:val="20"/>
        </w:rPr>
        <w:t>from</w:t>
      </w:r>
      <w:r>
        <w:rPr>
          <w:i/>
          <w:spacing w:val="-3"/>
          <w:sz w:val="20"/>
        </w:rPr>
        <w:t xml:space="preserve"> </w:t>
      </w:r>
      <w:r>
        <w:rPr>
          <w:i/>
          <w:sz w:val="20"/>
        </w:rPr>
        <w:t>Australia</w:t>
      </w:r>
      <w:r>
        <w:rPr>
          <w:i/>
          <w:spacing w:val="-1"/>
          <w:sz w:val="20"/>
        </w:rPr>
        <w:t xml:space="preserve"> </w:t>
      </w:r>
      <w:r>
        <w:rPr>
          <w:spacing w:val="-2"/>
          <w:sz w:val="20"/>
        </w:rPr>
        <w:t>(DS602)</w:t>
      </w:r>
      <w:r>
        <w:rPr>
          <w:sz w:val="20"/>
        </w:rPr>
        <w:tab/>
        <w:t>29</w:t>
      </w:r>
      <w:r>
        <w:rPr>
          <w:spacing w:val="-1"/>
          <w:sz w:val="20"/>
        </w:rPr>
        <w:t xml:space="preserve"> </w:t>
      </w:r>
      <w:r>
        <w:rPr>
          <w:sz w:val="20"/>
        </w:rPr>
        <w:t>April</w:t>
      </w:r>
      <w:r>
        <w:rPr>
          <w:spacing w:val="-2"/>
          <w:sz w:val="20"/>
        </w:rPr>
        <w:t xml:space="preserve"> </w:t>
      </w:r>
      <w:r>
        <w:rPr>
          <w:spacing w:val="-4"/>
          <w:sz w:val="20"/>
        </w:rPr>
        <w:t>2022</w:t>
      </w:r>
    </w:p>
    <w:p w14:paraId="51DE8118" w14:textId="77777777" w:rsidR="0010369C" w:rsidRDefault="008E43AE">
      <w:pPr>
        <w:pStyle w:val="BodyText"/>
        <w:spacing w:before="115" w:line="360" w:lineRule="auto"/>
        <w:ind w:left="238" w:right="611" w:firstLine="5518"/>
      </w:pPr>
      <w:r>
        <w:t>]] Thus, the missing information did not exist and, therefore, could not have been "necessary" information.</w:t>
      </w:r>
    </w:p>
    <w:p w14:paraId="51DE8119" w14:textId="77777777" w:rsidR="0010369C" w:rsidRDefault="0010369C">
      <w:pPr>
        <w:pStyle w:val="BodyText"/>
        <w:spacing w:before="11"/>
        <w:rPr>
          <w:sz w:val="8"/>
        </w:rPr>
      </w:pPr>
    </w:p>
    <w:p w14:paraId="51DE811A" w14:textId="77777777" w:rsidR="0010369C" w:rsidRDefault="008E43AE">
      <w:pPr>
        <w:spacing w:before="52"/>
        <w:ind w:left="1089"/>
        <w:rPr>
          <w:sz w:val="24"/>
        </w:rPr>
      </w:pPr>
      <w:r>
        <w:rPr>
          <w:noProof/>
        </w:rPr>
        <w:drawing>
          <wp:anchor distT="0" distB="0" distL="0" distR="0" simplePos="0" relativeHeight="250625536" behindDoc="0" locked="0" layoutInCell="1" allowOverlap="1" wp14:anchorId="51DE9F1B" wp14:editId="51DE9F1C">
            <wp:simplePos x="0" y="0"/>
            <wp:positionH relativeFrom="page">
              <wp:posOffset>908303</wp:posOffset>
            </wp:positionH>
            <wp:positionV relativeFrom="paragraph">
              <wp:posOffset>77547</wp:posOffset>
            </wp:positionV>
            <wp:extent cx="256031" cy="106679"/>
            <wp:effectExtent l="0" t="0" r="0" b="0"/>
            <wp:wrapNone/>
            <wp:docPr id="343" name="image1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image180.png"/>
                    <pic:cNvPicPr/>
                  </pic:nvPicPr>
                  <pic:blipFill>
                    <a:blip r:embed="rId274" cstate="print"/>
                    <a:stretch>
                      <a:fillRect/>
                    </a:stretch>
                  </pic:blipFill>
                  <pic:spPr>
                    <a:xfrm>
                      <a:off x="0" y="0"/>
                      <a:ext cx="256031" cy="106679"/>
                    </a:xfrm>
                    <a:prstGeom prst="rect">
                      <a:avLst/>
                    </a:prstGeom>
                  </pic:spPr>
                </pic:pic>
              </a:graphicData>
            </a:graphic>
          </wp:anchor>
        </w:drawing>
      </w:r>
      <w:r>
        <w:pict w14:anchorId="51DE9F1D">
          <v:rect id="docshape284" o:spid="_x0000_s1968" style="position:absolute;left:0;text-align:left;margin-left:119.8pt;margin-top:2.7pt;width:403.6pt;height:16.05pt;z-index:251732480;mso-position-horizontal-relative:page;mso-position-vertical-relative:text" fillcolor="black" stroked="f">
            <w10:wrap anchorx="page"/>
          </v:rect>
        </w:pict>
      </w:r>
      <w:r>
        <w:rPr>
          <w:spacing w:val="-5"/>
          <w:sz w:val="24"/>
        </w:rPr>
        <w:t>[[</w:t>
      </w:r>
    </w:p>
    <w:p w14:paraId="51DE811B" w14:textId="77777777" w:rsidR="0010369C" w:rsidRDefault="008E43AE">
      <w:pPr>
        <w:pStyle w:val="BodyText"/>
        <w:spacing w:before="2"/>
        <w:rPr>
          <w:sz w:val="10"/>
        </w:rPr>
      </w:pPr>
      <w:r>
        <w:pict w14:anchorId="51DE9F1E">
          <v:rect id="docshape285" o:spid="_x0000_s1967" style="position:absolute;margin-left:69.9pt;margin-top:7.45pt;width:453.4pt;height:16.05pt;z-index:-251143680;mso-wrap-distance-left:0;mso-wrap-distance-right:0;mso-position-horizontal-relative:page" fillcolor="black" stroked="f">
            <w10:wrap type="topAndBottom" anchorx="page"/>
          </v:rect>
        </w:pict>
      </w:r>
      <w:r>
        <w:pict w14:anchorId="51DE9F1F">
          <v:rect id="docshape286" o:spid="_x0000_s1966" style="position:absolute;margin-left:69.9pt;margin-top:29.4pt;width:453.55pt;height:16.05pt;z-index:-251142656;mso-wrap-distance-left:0;mso-wrap-distance-right:0;mso-position-horizontal-relative:page" fillcolor="black" stroked="f">
            <w10:wrap type="topAndBottom" anchorx="page"/>
          </v:rect>
        </w:pict>
      </w:r>
    </w:p>
    <w:p w14:paraId="51DE811C" w14:textId="77777777" w:rsidR="0010369C" w:rsidRDefault="0010369C">
      <w:pPr>
        <w:pStyle w:val="BodyText"/>
        <w:spacing w:before="8"/>
        <w:rPr>
          <w:sz w:val="7"/>
        </w:rPr>
      </w:pPr>
    </w:p>
    <w:p w14:paraId="51DE811D" w14:textId="77777777" w:rsidR="0010369C" w:rsidRDefault="008E43AE">
      <w:pPr>
        <w:spacing w:before="112"/>
        <w:ind w:right="2687"/>
        <w:jc w:val="right"/>
        <w:rPr>
          <w:sz w:val="16"/>
        </w:rPr>
      </w:pPr>
      <w:r>
        <w:rPr>
          <w:color w:val="5E5E5E"/>
          <w:spacing w:val="-2"/>
          <w:position w:val="-7"/>
          <w:sz w:val="24"/>
        </w:rPr>
        <w:t>.</w:t>
      </w:r>
      <w:r>
        <w:rPr>
          <w:spacing w:val="-2"/>
          <w:position w:val="-7"/>
          <w:sz w:val="24"/>
        </w:rPr>
        <w:t>]]</w:t>
      </w:r>
      <w:r>
        <w:rPr>
          <w:color w:val="5E5E5E"/>
          <w:spacing w:val="-2"/>
          <w:sz w:val="16"/>
        </w:rPr>
        <w:t>181</w:t>
      </w:r>
    </w:p>
    <w:p w14:paraId="51DE811E" w14:textId="77777777" w:rsidR="0010369C" w:rsidRDefault="0010369C">
      <w:pPr>
        <w:pStyle w:val="BodyText"/>
        <w:spacing w:before="11"/>
        <w:rPr>
          <w:sz w:val="20"/>
        </w:rPr>
      </w:pPr>
    </w:p>
    <w:p w14:paraId="51DE811F" w14:textId="77777777" w:rsidR="0010369C" w:rsidRDefault="008E43AE">
      <w:pPr>
        <w:spacing w:before="51"/>
        <w:ind w:left="1089"/>
        <w:rPr>
          <w:sz w:val="24"/>
        </w:rPr>
      </w:pPr>
      <w:r>
        <w:pict w14:anchorId="51DE9F20">
          <v:rect id="docshape287" o:spid="_x0000_s1965" style="position:absolute;left:0;text-align:left;margin-left:69.9pt;margin-top:-27.3pt;width:327.3pt;height:16.05pt;z-index:251733504;mso-position-horizontal-relative:page" fillcolor="black" stroked="f">
            <w10:wrap anchorx="page"/>
          </v:rect>
        </w:pict>
      </w:r>
      <w:r>
        <w:rPr>
          <w:noProof/>
        </w:rPr>
        <w:drawing>
          <wp:anchor distT="0" distB="0" distL="0" distR="0" simplePos="0" relativeHeight="250626560" behindDoc="0" locked="0" layoutInCell="1" allowOverlap="1" wp14:anchorId="51DE9F21" wp14:editId="51DE9F22">
            <wp:simplePos x="0" y="0"/>
            <wp:positionH relativeFrom="page">
              <wp:posOffset>908303</wp:posOffset>
            </wp:positionH>
            <wp:positionV relativeFrom="paragraph">
              <wp:posOffset>81314</wp:posOffset>
            </wp:positionV>
            <wp:extent cx="256031" cy="100753"/>
            <wp:effectExtent l="0" t="0" r="0" b="0"/>
            <wp:wrapNone/>
            <wp:docPr id="345" name="image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image181.png"/>
                    <pic:cNvPicPr/>
                  </pic:nvPicPr>
                  <pic:blipFill>
                    <a:blip r:embed="rId275" cstate="print"/>
                    <a:stretch>
                      <a:fillRect/>
                    </a:stretch>
                  </pic:blipFill>
                  <pic:spPr>
                    <a:xfrm>
                      <a:off x="0" y="0"/>
                      <a:ext cx="256031" cy="100753"/>
                    </a:xfrm>
                    <a:prstGeom prst="rect">
                      <a:avLst/>
                    </a:prstGeom>
                  </pic:spPr>
                </pic:pic>
              </a:graphicData>
            </a:graphic>
          </wp:anchor>
        </w:drawing>
      </w:r>
      <w:r>
        <w:pict w14:anchorId="51DE9F23">
          <v:rect id="docshape288" o:spid="_x0000_s1964" style="position:absolute;left:0;text-align:left;margin-left:119.8pt;margin-top:2.65pt;width:403.6pt;height:16.05pt;z-index:251734528;mso-position-horizontal-relative:page;mso-position-vertical-relative:text" fillcolor="black" stroked="f">
            <w10:wrap anchorx="page"/>
          </v:rect>
        </w:pict>
      </w:r>
      <w:r>
        <w:rPr>
          <w:spacing w:val="-5"/>
          <w:sz w:val="24"/>
        </w:rPr>
        <w:t>[[</w:t>
      </w:r>
    </w:p>
    <w:p w14:paraId="51DE8120" w14:textId="77777777" w:rsidR="0010369C" w:rsidRDefault="008E43AE">
      <w:pPr>
        <w:pStyle w:val="BodyText"/>
        <w:spacing w:before="3"/>
        <w:rPr>
          <w:sz w:val="10"/>
        </w:rPr>
      </w:pPr>
      <w:r>
        <w:pict w14:anchorId="51DE9F24">
          <v:rect id="docshape289" o:spid="_x0000_s1963" style="position:absolute;margin-left:69.9pt;margin-top:7.45pt;width:453.5pt;height:16.05pt;z-index:-251141632;mso-wrap-distance-left:0;mso-wrap-distance-right:0;mso-position-horizontal-relative:page" fillcolor="black" stroked="f">
            <w10:wrap type="topAndBottom" anchorx="page"/>
          </v:rect>
        </w:pict>
      </w:r>
      <w:r>
        <w:pict w14:anchorId="51DE9F25">
          <v:rect id="docshape290" o:spid="_x0000_s1962" style="position:absolute;margin-left:69.9pt;margin-top:29.4pt;width:453.55pt;height:16.05pt;z-index:-251140608;mso-wrap-distance-left:0;mso-wrap-distance-right:0;mso-position-horizontal-relative:page" fillcolor="black" stroked="f">
            <w10:wrap type="topAndBottom" anchorx="page"/>
          </v:rect>
        </w:pict>
      </w:r>
    </w:p>
    <w:p w14:paraId="51DE8121" w14:textId="77777777" w:rsidR="0010369C" w:rsidRDefault="0010369C">
      <w:pPr>
        <w:pStyle w:val="BodyText"/>
        <w:spacing w:before="8"/>
        <w:rPr>
          <w:sz w:val="7"/>
        </w:rPr>
      </w:pPr>
    </w:p>
    <w:p w14:paraId="51DE8122" w14:textId="77777777" w:rsidR="0010369C" w:rsidRDefault="008E43AE">
      <w:pPr>
        <w:pStyle w:val="BodyText"/>
        <w:spacing w:before="115" w:line="360" w:lineRule="auto"/>
        <w:ind w:left="237" w:right="615" w:firstLine="6212"/>
        <w:jc w:val="both"/>
      </w:pPr>
      <w:r>
        <w:t>]] MOFCOM rejected these arguments.</w:t>
      </w:r>
      <w:r>
        <w:rPr>
          <w:vertAlign w:val="superscript"/>
        </w:rPr>
        <w:t>184</w:t>
      </w:r>
      <w:r>
        <w:t xml:space="preserve"> MOFCOM also rejected Treasury Wines' claims that it had a limited time to provide the requested material in its initial Anti‐Dumping Questionnaire Response.</w:t>
      </w:r>
      <w:r>
        <w:rPr>
          <w:vertAlign w:val="superscript"/>
        </w:rPr>
        <w:t>185</w:t>
      </w:r>
    </w:p>
    <w:p w14:paraId="51DE8123" w14:textId="77777777" w:rsidR="0010369C" w:rsidRDefault="0010369C">
      <w:pPr>
        <w:pStyle w:val="BodyText"/>
        <w:spacing w:before="4"/>
        <w:rPr>
          <w:sz w:val="13"/>
        </w:rPr>
      </w:pPr>
    </w:p>
    <w:tbl>
      <w:tblPr>
        <w:tblW w:w="0" w:type="auto"/>
        <w:tblInd w:w="225" w:type="dxa"/>
        <w:tblLayout w:type="fixed"/>
        <w:tblCellMar>
          <w:left w:w="0" w:type="dxa"/>
          <w:right w:w="0" w:type="dxa"/>
        </w:tblCellMar>
        <w:tblLook w:val="01E0" w:firstRow="1" w:lastRow="1" w:firstColumn="1" w:lastColumn="1" w:noHBand="0" w:noVBand="0"/>
      </w:tblPr>
      <w:tblGrid>
        <w:gridCol w:w="997"/>
        <w:gridCol w:w="1569"/>
        <w:gridCol w:w="6562"/>
      </w:tblGrid>
      <w:tr w:rsidR="0010369C" w14:paraId="51DE8126" w14:textId="77777777">
        <w:trPr>
          <w:trHeight w:val="320"/>
        </w:trPr>
        <w:tc>
          <w:tcPr>
            <w:tcW w:w="997" w:type="dxa"/>
            <w:tcBorders>
              <w:bottom w:val="single" w:sz="48" w:space="0" w:color="FFFFFF"/>
            </w:tcBorders>
          </w:tcPr>
          <w:p w14:paraId="51DE8124" w14:textId="77777777" w:rsidR="0010369C" w:rsidRDefault="008E43AE">
            <w:pPr>
              <w:pStyle w:val="TableParagraph"/>
              <w:spacing w:line="291" w:lineRule="exact"/>
              <w:ind w:right="-29"/>
              <w:jc w:val="right"/>
              <w:rPr>
                <w:sz w:val="24"/>
              </w:rPr>
            </w:pPr>
            <w:r>
              <w:rPr>
                <w:spacing w:val="-5"/>
                <w:sz w:val="24"/>
              </w:rPr>
              <w:t>[[</w:t>
            </w:r>
          </w:p>
        </w:tc>
        <w:tc>
          <w:tcPr>
            <w:tcW w:w="8131" w:type="dxa"/>
            <w:gridSpan w:val="2"/>
            <w:tcBorders>
              <w:bottom w:val="single" w:sz="48" w:space="0" w:color="FFFFFF"/>
            </w:tcBorders>
            <w:shd w:val="clear" w:color="auto" w:fill="000000"/>
          </w:tcPr>
          <w:p w14:paraId="51DE8125" w14:textId="77777777" w:rsidR="0010369C" w:rsidRDefault="0010369C">
            <w:pPr>
              <w:pStyle w:val="TableParagraph"/>
              <w:rPr>
                <w:rFonts w:ascii="Times New Roman"/>
                <w:sz w:val="20"/>
              </w:rPr>
            </w:pPr>
          </w:p>
        </w:tc>
      </w:tr>
      <w:tr w:rsidR="0010369C" w14:paraId="51DE8128" w14:textId="77777777">
        <w:trPr>
          <w:trHeight w:val="319"/>
        </w:trPr>
        <w:tc>
          <w:tcPr>
            <w:tcW w:w="9128" w:type="dxa"/>
            <w:gridSpan w:val="3"/>
            <w:tcBorders>
              <w:top w:val="single" w:sz="48" w:space="0" w:color="FFFFFF"/>
              <w:bottom w:val="single" w:sz="48" w:space="0" w:color="FFFFFF"/>
            </w:tcBorders>
            <w:shd w:val="clear" w:color="auto" w:fill="000000"/>
          </w:tcPr>
          <w:p w14:paraId="51DE8127" w14:textId="77777777" w:rsidR="0010369C" w:rsidRDefault="0010369C">
            <w:pPr>
              <w:pStyle w:val="TableParagraph"/>
              <w:rPr>
                <w:rFonts w:ascii="Times New Roman"/>
                <w:sz w:val="20"/>
              </w:rPr>
            </w:pPr>
          </w:p>
        </w:tc>
      </w:tr>
      <w:tr w:rsidR="0010369C" w14:paraId="51DE812A" w14:textId="77777777">
        <w:trPr>
          <w:trHeight w:val="319"/>
        </w:trPr>
        <w:tc>
          <w:tcPr>
            <w:tcW w:w="9128" w:type="dxa"/>
            <w:gridSpan w:val="3"/>
            <w:tcBorders>
              <w:top w:val="single" w:sz="48" w:space="0" w:color="FFFFFF"/>
              <w:bottom w:val="single" w:sz="48" w:space="0" w:color="FFFFFF"/>
            </w:tcBorders>
            <w:shd w:val="clear" w:color="auto" w:fill="000000"/>
          </w:tcPr>
          <w:p w14:paraId="51DE8129" w14:textId="77777777" w:rsidR="0010369C" w:rsidRDefault="0010369C">
            <w:pPr>
              <w:pStyle w:val="TableParagraph"/>
              <w:rPr>
                <w:rFonts w:ascii="Times New Roman"/>
                <w:sz w:val="20"/>
              </w:rPr>
            </w:pPr>
          </w:p>
        </w:tc>
      </w:tr>
      <w:tr w:rsidR="0010369C" w14:paraId="51DE812C" w14:textId="77777777">
        <w:trPr>
          <w:trHeight w:val="319"/>
        </w:trPr>
        <w:tc>
          <w:tcPr>
            <w:tcW w:w="9128" w:type="dxa"/>
            <w:gridSpan w:val="3"/>
            <w:tcBorders>
              <w:top w:val="single" w:sz="48" w:space="0" w:color="FFFFFF"/>
              <w:bottom w:val="single" w:sz="48" w:space="0" w:color="FFFFFF"/>
            </w:tcBorders>
            <w:shd w:val="clear" w:color="auto" w:fill="000000"/>
          </w:tcPr>
          <w:p w14:paraId="51DE812B" w14:textId="77777777" w:rsidR="0010369C" w:rsidRDefault="0010369C">
            <w:pPr>
              <w:pStyle w:val="TableParagraph"/>
              <w:rPr>
                <w:rFonts w:ascii="Times New Roman"/>
                <w:sz w:val="20"/>
              </w:rPr>
            </w:pPr>
          </w:p>
        </w:tc>
      </w:tr>
      <w:tr w:rsidR="0010369C" w14:paraId="51DE812E" w14:textId="77777777">
        <w:trPr>
          <w:trHeight w:val="319"/>
        </w:trPr>
        <w:tc>
          <w:tcPr>
            <w:tcW w:w="9128" w:type="dxa"/>
            <w:gridSpan w:val="3"/>
            <w:tcBorders>
              <w:top w:val="single" w:sz="48" w:space="0" w:color="FFFFFF"/>
              <w:bottom w:val="single" w:sz="48" w:space="0" w:color="FFFFFF"/>
            </w:tcBorders>
            <w:shd w:val="clear" w:color="auto" w:fill="000000"/>
          </w:tcPr>
          <w:p w14:paraId="51DE812D" w14:textId="77777777" w:rsidR="0010369C" w:rsidRDefault="0010369C">
            <w:pPr>
              <w:pStyle w:val="TableParagraph"/>
              <w:rPr>
                <w:rFonts w:ascii="Times New Roman"/>
                <w:sz w:val="20"/>
              </w:rPr>
            </w:pPr>
          </w:p>
        </w:tc>
      </w:tr>
      <w:tr w:rsidR="0010369C" w14:paraId="51DE8130" w14:textId="77777777">
        <w:trPr>
          <w:trHeight w:val="319"/>
        </w:trPr>
        <w:tc>
          <w:tcPr>
            <w:tcW w:w="9128" w:type="dxa"/>
            <w:gridSpan w:val="3"/>
            <w:tcBorders>
              <w:top w:val="single" w:sz="48" w:space="0" w:color="FFFFFF"/>
              <w:bottom w:val="single" w:sz="48" w:space="0" w:color="FFFFFF"/>
            </w:tcBorders>
            <w:shd w:val="clear" w:color="auto" w:fill="000000"/>
          </w:tcPr>
          <w:p w14:paraId="51DE812F" w14:textId="77777777" w:rsidR="0010369C" w:rsidRDefault="0010369C">
            <w:pPr>
              <w:pStyle w:val="TableParagraph"/>
              <w:rPr>
                <w:rFonts w:ascii="Times New Roman"/>
                <w:sz w:val="20"/>
              </w:rPr>
            </w:pPr>
          </w:p>
        </w:tc>
      </w:tr>
      <w:tr w:rsidR="0010369C" w14:paraId="51DE8132" w14:textId="77777777">
        <w:trPr>
          <w:trHeight w:val="320"/>
        </w:trPr>
        <w:tc>
          <w:tcPr>
            <w:tcW w:w="9128" w:type="dxa"/>
            <w:gridSpan w:val="3"/>
            <w:tcBorders>
              <w:top w:val="single" w:sz="48" w:space="0" w:color="FFFFFF"/>
              <w:bottom w:val="single" w:sz="48" w:space="0" w:color="FFFFFF"/>
            </w:tcBorders>
            <w:shd w:val="clear" w:color="auto" w:fill="000000"/>
          </w:tcPr>
          <w:p w14:paraId="51DE8131" w14:textId="77777777" w:rsidR="0010369C" w:rsidRDefault="0010369C">
            <w:pPr>
              <w:pStyle w:val="TableParagraph"/>
              <w:rPr>
                <w:rFonts w:ascii="Times New Roman"/>
                <w:sz w:val="20"/>
              </w:rPr>
            </w:pPr>
          </w:p>
        </w:tc>
      </w:tr>
      <w:tr w:rsidR="0010369C" w14:paraId="51DE8135" w14:textId="77777777">
        <w:trPr>
          <w:trHeight w:val="320"/>
        </w:trPr>
        <w:tc>
          <w:tcPr>
            <w:tcW w:w="2566" w:type="dxa"/>
            <w:gridSpan w:val="2"/>
            <w:tcBorders>
              <w:top w:val="single" w:sz="48" w:space="0" w:color="FFFFFF"/>
            </w:tcBorders>
            <w:shd w:val="clear" w:color="auto" w:fill="000000"/>
          </w:tcPr>
          <w:p w14:paraId="51DE8133" w14:textId="77777777" w:rsidR="0010369C" w:rsidRDefault="0010369C">
            <w:pPr>
              <w:pStyle w:val="TableParagraph"/>
              <w:rPr>
                <w:rFonts w:ascii="Times New Roman"/>
                <w:sz w:val="20"/>
              </w:rPr>
            </w:pPr>
          </w:p>
        </w:tc>
        <w:tc>
          <w:tcPr>
            <w:tcW w:w="6562" w:type="dxa"/>
            <w:tcBorders>
              <w:top w:val="single" w:sz="48" w:space="0" w:color="FFFFFF"/>
            </w:tcBorders>
          </w:tcPr>
          <w:p w14:paraId="51DE8134" w14:textId="77777777" w:rsidR="0010369C" w:rsidRDefault="008E43AE">
            <w:pPr>
              <w:pStyle w:val="TableParagraph"/>
              <w:spacing w:line="290" w:lineRule="exact"/>
              <w:ind w:left="20"/>
              <w:rPr>
                <w:sz w:val="24"/>
              </w:rPr>
            </w:pPr>
            <w:r>
              <w:rPr>
                <w:spacing w:val="-5"/>
                <w:sz w:val="24"/>
              </w:rPr>
              <w:t>]]</w:t>
            </w:r>
          </w:p>
        </w:tc>
      </w:tr>
    </w:tbl>
    <w:p w14:paraId="51DE8136" w14:textId="77777777" w:rsidR="0010369C" w:rsidRDefault="0010369C">
      <w:pPr>
        <w:pStyle w:val="BodyText"/>
        <w:spacing w:before="9"/>
        <w:rPr>
          <w:sz w:val="22"/>
        </w:rPr>
      </w:pPr>
    </w:p>
    <w:p w14:paraId="51DE8137" w14:textId="77777777" w:rsidR="0010369C" w:rsidRDefault="008E43AE">
      <w:pPr>
        <w:ind w:left="1089"/>
        <w:rPr>
          <w:sz w:val="24"/>
        </w:rPr>
      </w:pPr>
      <w:r>
        <w:pict w14:anchorId="51DE9F26">
          <v:rect id="docshape291" o:spid="_x0000_s1961" style="position:absolute;left:0;text-align:left;margin-left:69.9pt;margin-top:-257.6pt;width:310.65pt;height:16.05pt;z-index:-251407872;mso-position-horizontal-relative:page" fillcolor="black" stroked="f">
            <w10:wrap anchorx="page"/>
          </v:rect>
        </w:pict>
      </w:r>
      <w:r>
        <w:rPr>
          <w:noProof/>
        </w:rPr>
        <w:drawing>
          <wp:anchor distT="0" distB="0" distL="0" distR="0" simplePos="0" relativeHeight="250852864" behindDoc="1" locked="0" layoutInCell="1" allowOverlap="1" wp14:anchorId="51DE9F27" wp14:editId="51DE9F28">
            <wp:simplePos x="0" y="0"/>
            <wp:positionH relativeFrom="page">
              <wp:posOffset>908303</wp:posOffset>
            </wp:positionH>
            <wp:positionV relativeFrom="paragraph">
              <wp:posOffset>-2289477</wp:posOffset>
            </wp:positionV>
            <wp:extent cx="255117" cy="106299"/>
            <wp:effectExtent l="0" t="0" r="0" b="0"/>
            <wp:wrapNone/>
            <wp:docPr id="347" name="image1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image182.png"/>
                    <pic:cNvPicPr/>
                  </pic:nvPicPr>
                  <pic:blipFill>
                    <a:blip r:embed="rId276" cstate="print"/>
                    <a:stretch>
                      <a:fillRect/>
                    </a:stretch>
                  </pic:blipFill>
                  <pic:spPr>
                    <a:xfrm>
                      <a:off x="0" y="0"/>
                      <a:ext cx="255117" cy="106299"/>
                    </a:xfrm>
                    <a:prstGeom prst="rect">
                      <a:avLst/>
                    </a:prstGeom>
                  </pic:spPr>
                </pic:pic>
              </a:graphicData>
            </a:graphic>
          </wp:anchor>
        </w:drawing>
      </w:r>
      <w:r>
        <w:rPr>
          <w:noProof/>
        </w:rPr>
        <w:drawing>
          <wp:anchor distT="0" distB="0" distL="0" distR="0" simplePos="0" relativeHeight="250627584" behindDoc="0" locked="0" layoutInCell="1" allowOverlap="1" wp14:anchorId="51DE9F29" wp14:editId="51DE9F2A">
            <wp:simplePos x="0" y="0"/>
            <wp:positionH relativeFrom="page">
              <wp:posOffset>908303</wp:posOffset>
            </wp:positionH>
            <wp:positionV relativeFrom="paragraph">
              <wp:posOffset>48338</wp:posOffset>
            </wp:positionV>
            <wp:extent cx="256031" cy="103631"/>
            <wp:effectExtent l="0" t="0" r="0" b="0"/>
            <wp:wrapNone/>
            <wp:docPr id="349" name="image1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image183.png"/>
                    <pic:cNvPicPr/>
                  </pic:nvPicPr>
                  <pic:blipFill>
                    <a:blip r:embed="rId277" cstate="print"/>
                    <a:stretch>
                      <a:fillRect/>
                    </a:stretch>
                  </pic:blipFill>
                  <pic:spPr>
                    <a:xfrm>
                      <a:off x="0" y="0"/>
                      <a:ext cx="256031" cy="103631"/>
                    </a:xfrm>
                    <a:prstGeom prst="rect">
                      <a:avLst/>
                    </a:prstGeom>
                  </pic:spPr>
                </pic:pic>
              </a:graphicData>
            </a:graphic>
          </wp:anchor>
        </w:drawing>
      </w:r>
      <w:r>
        <w:pict w14:anchorId="51DE9F2B">
          <v:rect id="docshape292" o:spid="_x0000_s1960" style="position:absolute;left:0;text-align:left;margin-left:119.8pt;margin-top:.1pt;width:403.5pt;height:16.05pt;z-index:251735552;mso-position-horizontal-relative:page;mso-position-vertical-relative:text" fillcolor="black" stroked="f">
            <w10:wrap anchorx="page"/>
          </v:rect>
        </w:pict>
      </w:r>
      <w:r>
        <w:rPr>
          <w:spacing w:val="-5"/>
          <w:sz w:val="24"/>
        </w:rPr>
        <w:t>[[</w:t>
      </w:r>
    </w:p>
    <w:p w14:paraId="51DE8138" w14:textId="77777777" w:rsidR="0010369C" w:rsidRDefault="008E43AE">
      <w:pPr>
        <w:pStyle w:val="BodyText"/>
        <w:spacing w:before="5"/>
        <w:rPr>
          <w:sz w:val="10"/>
        </w:rPr>
      </w:pPr>
      <w:r>
        <w:pict w14:anchorId="51DE9F2C">
          <v:rect id="docshape293" o:spid="_x0000_s1959" style="position:absolute;margin-left:69.9pt;margin-top:7.6pt;width:238.75pt;height:16.05pt;z-index:-251139584;mso-wrap-distance-left:0;mso-wrap-distance-right:0;mso-position-horizontal-relative:page" fillcolor="black" stroked="f">
            <w10:wrap type="topAndBottom" anchorx="page"/>
          </v:rect>
        </w:pict>
      </w:r>
    </w:p>
    <w:p w14:paraId="51DE8139" w14:textId="77777777" w:rsidR="0010369C" w:rsidRDefault="0010369C">
      <w:pPr>
        <w:pStyle w:val="BodyText"/>
        <w:rPr>
          <w:sz w:val="20"/>
        </w:rPr>
      </w:pPr>
    </w:p>
    <w:p w14:paraId="51DE813A" w14:textId="77777777" w:rsidR="0010369C" w:rsidRDefault="008E43AE">
      <w:pPr>
        <w:pStyle w:val="BodyText"/>
        <w:spacing w:before="10"/>
        <w:rPr>
          <w:sz w:val="27"/>
        </w:rPr>
      </w:pPr>
      <w:r>
        <w:pict w14:anchorId="51DE9F2D">
          <v:rect id="docshape294" o:spid="_x0000_s1958" style="position:absolute;margin-left:70.9pt;margin-top:18.2pt;width:2in;height:.8pt;z-index:-251138560;mso-wrap-distance-left:0;mso-wrap-distance-right:0;mso-position-horizontal-relative:page" fillcolor="black" stroked="f">
            <w10:wrap type="topAndBottom" anchorx="page"/>
          </v:rect>
        </w:pict>
      </w:r>
      <w:r>
        <w:pict w14:anchorId="51DE9F2E">
          <v:group id="docshapegroup295" o:spid="_x0000_s1952" style="position:absolute;margin-left:69.9pt;margin-top:24.75pt;width:455.5pt;height:88.95pt;z-index:-251137536;mso-wrap-distance-left:0;mso-wrap-distance-right:0;mso-position-horizontal-relative:page" coordorigin="1398,495" coordsize="9110,1779">
            <v:shape id="docshape296" o:spid="_x0000_s1957" style="position:absolute;left:1398;top:495;width:9071;height:1779" coordorigin="1398,495" coordsize="9071,1779" o:spt="100" adj="0,,0" path="m7886,2032r-87,l7799,1813r-3315,l4484,1614r1064,l5548,1395r1028,l6576,1175r1136,l7712,956r79,l7791,736r8,l7799,495r-6066,l1733,715r-4,l1729,934r-331,l1398,1154r,21l1398,1373r,l1398,1614r1,l1399,1834r334,l1733,2054r10,l1743,2273r6143,l7886,2032xm10001,2032r-134,l9867,1813r-364,l9503,2054r126,l9629,2273r372,l10001,2032xm10469,934r,l10469,715r-602,l9867,495r-364,l9503,715r-64,l9439,934r-92,l9347,1154r-1068,l8279,1373r-1075,l7204,1614r3263,l10467,1395r,l10467,1175r2,l10469,934xe" fillcolor="black" stroked="f">
              <v:stroke joinstyle="round"/>
              <v:formulas/>
              <v:path arrowok="t" o:connecttype="segments"/>
            </v:shape>
            <v:shape id="docshape297" o:spid="_x0000_s1956" type="#_x0000_t202" style="position:absolute;left:1418;top:509;width:300;height:415" filled="f" stroked="f">
              <v:textbox inset="0,0,0,0">
                <w:txbxContent>
                  <w:p w14:paraId="51DEAC3E" w14:textId="77777777" w:rsidR="0010369C" w:rsidRDefault="008E43AE">
                    <w:pPr>
                      <w:spacing w:before="28" w:line="124" w:lineRule="auto"/>
                      <w:rPr>
                        <w:sz w:val="18"/>
                      </w:rPr>
                    </w:pPr>
                    <w:r>
                      <w:rPr>
                        <w:color w:val="5E5E5E"/>
                        <w:sz w:val="12"/>
                      </w:rPr>
                      <w:t>180</w:t>
                    </w:r>
                    <w:r>
                      <w:rPr>
                        <w:color w:val="5E5E5E"/>
                        <w:spacing w:val="11"/>
                        <w:sz w:val="12"/>
                      </w:rPr>
                      <w:t xml:space="preserve"> </w:t>
                    </w:r>
                    <w:r>
                      <w:rPr>
                        <w:color w:val="5E5E5E"/>
                        <w:spacing w:val="-10"/>
                        <w:position w:val="-5"/>
                        <w:sz w:val="18"/>
                      </w:rPr>
                      <w:t>[</w:t>
                    </w:r>
                  </w:p>
                  <w:p w14:paraId="51DEAC3F" w14:textId="77777777" w:rsidR="0010369C" w:rsidRDefault="008E43AE">
                    <w:pPr>
                      <w:spacing w:before="84" w:line="158" w:lineRule="auto"/>
                      <w:rPr>
                        <w:sz w:val="18"/>
                      </w:rPr>
                    </w:pPr>
                    <w:r>
                      <w:rPr>
                        <w:color w:val="5E5E5E"/>
                        <w:sz w:val="12"/>
                      </w:rPr>
                      <w:t>181</w:t>
                    </w:r>
                    <w:r>
                      <w:rPr>
                        <w:color w:val="5E5E5E"/>
                        <w:spacing w:val="7"/>
                        <w:sz w:val="12"/>
                      </w:rPr>
                      <w:t xml:space="preserve"> </w:t>
                    </w:r>
                    <w:r>
                      <w:rPr>
                        <w:color w:val="5E5E5E"/>
                        <w:spacing w:val="-10"/>
                        <w:position w:val="-5"/>
                        <w:sz w:val="18"/>
                      </w:rPr>
                      <w:t>[</w:t>
                    </w:r>
                  </w:p>
                </w:txbxContent>
              </v:textbox>
            </v:shape>
            <v:shape id="docshape298" o:spid="_x0000_s1955" type="#_x0000_t202" style="position:absolute;left:4503;top:524;width:5559;height:1718" filled="f" stroked="f">
              <v:textbox inset="0,0,0,0">
                <w:txbxContent>
                  <w:p w14:paraId="51DEAC40" w14:textId="77777777" w:rsidR="0010369C" w:rsidRDefault="008E43AE">
                    <w:pPr>
                      <w:tabs>
                        <w:tab w:val="left" w:pos="5383"/>
                      </w:tabs>
                      <w:spacing w:line="183" w:lineRule="exact"/>
                      <w:ind w:left="3356"/>
                      <w:rPr>
                        <w:sz w:val="18"/>
                      </w:rPr>
                    </w:pPr>
                    <w:r>
                      <w:rPr>
                        <w:color w:val="5E5E5E"/>
                        <w:sz w:val="18"/>
                      </w:rPr>
                      <w:t>(Exhibit</w:t>
                    </w:r>
                    <w:r>
                      <w:rPr>
                        <w:color w:val="5E5E5E"/>
                        <w:spacing w:val="-9"/>
                        <w:sz w:val="18"/>
                      </w:rPr>
                      <w:t xml:space="preserve"> </w:t>
                    </w:r>
                    <w:r>
                      <w:rPr>
                        <w:color w:val="5E5E5E"/>
                        <w:sz w:val="18"/>
                      </w:rPr>
                      <w:t>AUS‐11</w:t>
                    </w:r>
                    <w:r>
                      <w:rPr>
                        <w:color w:val="5E5E5E"/>
                        <w:spacing w:val="-9"/>
                        <w:sz w:val="18"/>
                      </w:rPr>
                      <w:t xml:space="preserve"> </w:t>
                    </w:r>
                    <w:r>
                      <w:rPr>
                        <w:color w:val="5E5E5E"/>
                        <w:spacing w:val="-2"/>
                        <w:sz w:val="18"/>
                      </w:rPr>
                      <w:t>(BCI)),</w:t>
                    </w:r>
                    <w:r>
                      <w:rPr>
                        <w:color w:val="5E5E5E"/>
                        <w:sz w:val="18"/>
                      </w:rPr>
                      <w:tab/>
                    </w:r>
                    <w:r>
                      <w:rPr>
                        <w:color w:val="5E5E5E"/>
                        <w:spacing w:val="-5"/>
                        <w:sz w:val="18"/>
                      </w:rPr>
                      <w:t>.]]</w:t>
                    </w:r>
                  </w:p>
                  <w:p w14:paraId="51DEAC41" w14:textId="77777777" w:rsidR="0010369C" w:rsidRDefault="008E43AE">
                    <w:pPr>
                      <w:ind w:left="3227" w:right="632" w:firstLine="79"/>
                      <w:rPr>
                        <w:sz w:val="18"/>
                      </w:rPr>
                    </w:pPr>
                    <w:r>
                      <w:rPr>
                        <w:color w:val="5E5E5E"/>
                        <w:sz w:val="18"/>
                      </w:rPr>
                      <w:t>(Exhibit</w:t>
                    </w:r>
                    <w:r>
                      <w:rPr>
                        <w:color w:val="5E5E5E"/>
                        <w:spacing w:val="-11"/>
                        <w:sz w:val="18"/>
                      </w:rPr>
                      <w:t xml:space="preserve"> </w:t>
                    </w:r>
                    <w:r>
                      <w:rPr>
                        <w:color w:val="5E5E5E"/>
                        <w:sz w:val="18"/>
                      </w:rPr>
                      <w:t>AUS‐11</w:t>
                    </w:r>
                    <w:r>
                      <w:rPr>
                        <w:color w:val="5E5E5E"/>
                        <w:spacing w:val="-10"/>
                        <w:sz w:val="18"/>
                      </w:rPr>
                      <w:t xml:space="preserve"> </w:t>
                    </w:r>
                    <w:r>
                      <w:rPr>
                        <w:color w:val="5E5E5E"/>
                        <w:sz w:val="18"/>
                      </w:rPr>
                      <w:t>(BCI)), (Exhibit AUS‐19 (BCI));</w:t>
                    </w:r>
                  </w:p>
                  <w:p w14:paraId="51DEAC42" w14:textId="77777777" w:rsidR="0010369C" w:rsidRDefault="008E43AE">
                    <w:pPr>
                      <w:ind w:left="1064" w:right="1290" w:firstLine="1068"/>
                      <w:rPr>
                        <w:sz w:val="18"/>
                      </w:rPr>
                    </w:pPr>
                    <w:r>
                      <w:rPr>
                        <w:color w:val="5E5E5E"/>
                        <w:sz w:val="18"/>
                      </w:rPr>
                      <w:t>(Exhibit</w:t>
                    </w:r>
                    <w:r>
                      <w:rPr>
                        <w:color w:val="5E5E5E"/>
                        <w:spacing w:val="-11"/>
                        <w:sz w:val="18"/>
                      </w:rPr>
                      <w:t xml:space="preserve"> </w:t>
                    </w:r>
                    <w:r>
                      <w:rPr>
                        <w:color w:val="5E5E5E"/>
                        <w:sz w:val="18"/>
                      </w:rPr>
                      <w:t>AUS‐20</w:t>
                    </w:r>
                    <w:r>
                      <w:rPr>
                        <w:color w:val="5E5E5E"/>
                        <w:spacing w:val="-10"/>
                        <w:sz w:val="18"/>
                      </w:rPr>
                      <w:t xml:space="preserve"> </w:t>
                    </w:r>
                    <w:r>
                      <w:rPr>
                        <w:color w:val="5E5E5E"/>
                        <w:sz w:val="18"/>
                      </w:rPr>
                      <w:t>(BCI)); (Exhibit AUS‐21 (BCI));</w:t>
                    </w:r>
                  </w:p>
                  <w:p w14:paraId="51DEAC43" w14:textId="77777777" w:rsidR="0010369C" w:rsidRDefault="008E43AE">
                    <w:pPr>
                      <w:spacing w:line="219" w:lineRule="exact"/>
                      <w:rPr>
                        <w:sz w:val="18"/>
                      </w:rPr>
                    </w:pPr>
                    <w:r>
                      <w:rPr>
                        <w:color w:val="5E5E5E"/>
                        <w:sz w:val="18"/>
                      </w:rPr>
                      <w:t>(Exhibit</w:t>
                    </w:r>
                    <w:r>
                      <w:rPr>
                        <w:color w:val="5E5E5E"/>
                        <w:spacing w:val="-9"/>
                        <w:sz w:val="18"/>
                      </w:rPr>
                      <w:t xml:space="preserve"> </w:t>
                    </w:r>
                    <w:r>
                      <w:rPr>
                        <w:color w:val="5E5E5E"/>
                        <w:sz w:val="18"/>
                      </w:rPr>
                      <w:t>AUS‐22</w:t>
                    </w:r>
                    <w:r>
                      <w:rPr>
                        <w:color w:val="5E5E5E"/>
                        <w:spacing w:val="-9"/>
                        <w:sz w:val="18"/>
                      </w:rPr>
                      <w:t xml:space="preserve"> </w:t>
                    </w:r>
                    <w:r>
                      <w:rPr>
                        <w:color w:val="5E5E5E"/>
                        <w:spacing w:val="-2"/>
                        <w:sz w:val="18"/>
                      </w:rPr>
                      <w:t>(BCI)).]]</w:t>
                    </w:r>
                  </w:p>
                  <w:p w14:paraId="51DEAC44" w14:textId="77777777" w:rsidR="0010369C" w:rsidRDefault="008E43AE">
                    <w:pPr>
                      <w:ind w:left="3453" w:right="48" w:hanging="97"/>
                      <w:rPr>
                        <w:sz w:val="18"/>
                      </w:rPr>
                    </w:pPr>
                    <w:r>
                      <w:rPr>
                        <w:color w:val="5E5E5E"/>
                        <w:sz w:val="18"/>
                      </w:rPr>
                      <w:t>(Exhibit AUS‐11 (BCI)), (Exhibit</w:t>
                    </w:r>
                    <w:r>
                      <w:rPr>
                        <w:color w:val="5E5E5E"/>
                        <w:spacing w:val="-8"/>
                        <w:sz w:val="18"/>
                      </w:rPr>
                      <w:t xml:space="preserve"> </w:t>
                    </w:r>
                    <w:r>
                      <w:rPr>
                        <w:color w:val="5E5E5E"/>
                        <w:sz w:val="18"/>
                      </w:rPr>
                      <w:t>AUS‐11</w:t>
                    </w:r>
                    <w:r>
                      <w:rPr>
                        <w:color w:val="5E5E5E"/>
                        <w:spacing w:val="-8"/>
                        <w:sz w:val="18"/>
                      </w:rPr>
                      <w:t xml:space="preserve"> </w:t>
                    </w:r>
                    <w:r>
                      <w:rPr>
                        <w:color w:val="5E5E5E"/>
                        <w:sz w:val="18"/>
                      </w:rPr>
                      <w:t>(BCI)),</w:t>
                    </w:r>
                  </w:p>
                </w:txbxContent>
              </v:textbox>
            </v:shape>
            <v:shape id="docshape299" o:spid="_x0000_s1954" type="#_x0000_t202" style="position:absolute;left:1418;top:1827;width:365;height:415" filled="f" stroked="f">
              <v:textbox inset="0,0,0,0">
                <w:txbxContent>
                  <w:p w14:paraId="51DEAC45" w14:textId="77777777" w:rsidR="0010369C" w:rsidRDefault="008E43AE">
                    <w:pPr>
                      <w:spacing w:before="28" w:line="124" w:lineRule="auto"/>
                      <w:rPr>
                        <w:sz w:val="18"/>
                      </w:rPr>
                    </w:pPr>
                    <w:r>
                      <w:rPr>
                        <w:color w:val="5E5E5E"/>
                        <w:sz w:val="12"/>
                      </w:rPr>
                      <w:t>182</w:t>
                    </w:r>
                    <w:r>
                      <w:rPr>
                        <w:color w:val="5E5E5E"/>
                        <w:spacing w:val="11"/>
                        <w:sz w:val="12"/>
                      </w:rPr>
                      <w:t xml:space="preserve"> </w:t>
                    </w:r>
                    <w:r>
                      <w:rPr>
                        <w:color w:val="5E5E5E"/>
                        <w:spacing w:val="-10"/>
                        <w:position w:val="-5"/>
                        <w:sz w:val="18"/>
                      </w:rPr>
                      <w:t>[</w:t>
                    </w:r>
                  </w:p>
                  <w:p w14:paraId="51DEAC46" w14:textId="77777777" w:rsidR="0010369C" w:rsidRDefault="008E43AE">
                    <w:pPr>
                      <w:spacing w:before="84" w:line="158" w:lineRule="auto"/>
                      <w:rPr>
                        <w:sz w:val="18"/>
                      </w:rPr>
                    </w:pPr>
                    <w:r>
                      <w:rPr>
                        <w:color w:val="5E5E5E"/>
                        <w:sz w:val="12"/>
                      </w:rPr>
                      <w:t>183</w:t>
                    </w:r>
                    <w:r>
                      <w:rPr>
                        <w:color w:val="5E5E5E"/>
                        <w:spacing w:val="21"/>
                        <w:sz w:val="12"/>
                      </w:rPr>
                      <w:t xml:space="preserve"> </w:t>
                    </w:r>
                    <w:r>
                      <w:rPr>
                        <w:color w:val="5E5E5E"/>
                        <w:spacing w:val="-5"/>
                        <w:position w:val="-5"/>
                        <w:sz w:val="18"/>
                      </w:rPr>
                      <w:t>[[</w:t>
                    </w:r>
                  </w:p>
                </w:txbxContent>
              </v:textbox>
            </v:shape>
            <v:shape id="docshape300" o:spid="_x0000_s1953" type="#_x0000_t202" style="position:absolute;left:9887;top:1842;width:621;height:400" filled="f" stroked="f">
              <v:textbox inset="0,0,0,0">
                <w:txbxContent>
                  <w:p w14:paraId="51DEAC47" w14:textId="77777777" w:rsidR="0010369C" w:rsidRDefault="008E43AE">
                    <w:pPr>
                      <w:spacing w:line="183" w:lineRule="exact"/>
                      <w:rPr>
                        <w:sz w:val="18"/>
                      </w:rPr>
                    </w:pPr>
                    <w:r>
                      <w:rPr>
                        <w:color w:val="5E5E5E"/>
                        <w:spacing w:val="-5"/>
                        <w:sz w:val="18"/>
                      </w:rPr>
                      <w:t>.]]</w:t>
                    </w:r>
                  </w:p>
                  <w:p w14:paraId="51DEAC48" w14:textId="77777777" w:rsidR="0010369C" w:rsidRDefault="008E43AE">
                    <w:pPr>
                      <w:spacing w:line="216" w:lineRule="exact"/>
                      <w:ind w:left="134"/>
                      <w:rPr>
                        <w:sz w:val="18"/>
                      </w:rPr>
                    </w:pPr>
                    <w:r>
                      <w:rPr>
                        <w:color w:val="5E5E5E"/>
                        <w:sz w:val="18"/>
                      </w:rPr>
                      <w:t>.]]</w:t>
                    </w:r>
                    <w:r>
                      <w:rPr>
                        <w:color w:val="5E5E5E"/>
                        <w:spacing w:val="5"/>
                        <w:sz w:val="18"/>
                      </w:rPr>
                      <w:t xml:space="preserve"> </w:t>
                    </w:r>
                    <w:r>
                      <w:rPr>
                        <w:spacing w:val="-5"/>
                        <w:sz w:val="18"/>
                      </w:rPr>
                      <w:t>See</w:t>
                    </w:r>
                  </w:p>
                </w:txbxContent>
              </v:textbox>
            </v:shape>
            <w10:wrap type="topAndBottom" anchorx="page"/>
          </v:group>
        </w:pict>
      </w:r>
    </w:p>
    <w:p w14:paraId="51DE813B" w14:textId="77777777" w:rsidR="0010369C" w:rsidRDefault="0010369C">
      <w:pPr>
        <w:pStyle w:val="BodyText"/>
        <w:spacing w:before="6"/>
        <w:rPr>
          <w:sz w:val="7"/>
        </w:rPr>
      </w:pPr>
    </w:p>
    <w:p w14:paraId="51DE813C" w14:textId="77777777" w:rsidR="0010369C" w:rsidRDefault="008E43AE">
      <w:pPr>
        <w:spacing w:line="193" w:lineRule="exact"/>
        <w:ind w:left="237"/>
        <w:rPr>
          <w:sz w:val="18"/>
        </w:rPr>
      </w:pPr>
      <w:r>
        <w:rPr>
          <w:sz w:val="18"/>
        </w:rPr>
        <w:t>also</w:t>
      </w:r>
      <w:r>
        <w:rPr>
          <w:spacing w:val="-10"/>
          <w:sz w:val="18"/>
        </w:rPr>
        <w:t xml:space="preserve"> </w:t>
      </w:r>
      <w:r>
        <w:rPr>
          <w:sz w:val="18"/>
        </w:rPr>
        <w:t>Anti‐Dumping</w:t>
      </w:r>
      <w:r>
        <w:rPr>
          <w:spacing w:val="-9"/>
          <w:sz w:val="18"/>
        </w:rPr>
        <w:t xml:space="preserve"> </w:t>
      </w:r>
      <w:r>
        <w:rPr>
          <w:sz w:val="18"/>
        </w:rPr>
        <w:t>Final</w:t>
      </w:r>
      <w:r>
        <w:rPr>
          <w:spacing w:val="-9"/>
          <w:sz w:val="18"/>
        </w:rPr>
        <w:t xml:space="preserve"> </w:t>
      </w:r>
      <w:r>
        <w:rPr>
          <w:sz w:val="18"/>
        </w:rPr>
        <w:t>Determination</w:t>
      </w:r>
      <w:r>
        <w:rPr>
          <w:spacing w:val="-9"/>
          <w:sz w:val="18"/>
        </w:rPr>
        <w:t xml:space="preserve"> </w:t>
      </w:r>
      <w:r>
        <w:rPr>
          <w:sz w:val="18"/>
        </w:rPr>
        <w:t>(Exhibit</w:t>
      </w:r>
      <w:r>
        <w:rPr>
          <w:spacing w:val="-9"/>
          <w:sz w:val="18"/>
        </w:rPr>
        <w:t xml:space="preserve"> </w:t>
      </w:r>
      <w:r>
        <w:rPr>
          <w:sz w:val="18"/>
        </w:rPr>
        <w:t>AUS‐2),</w:t>
      </w:r>
      <w:r>
        <w:rPr>
          <w:spacing w:val="-9"/>
          <w:sz w:val="18"/>
        </w:rPr>
        <w:t xml:space="preserve"> </w:t>
      </w:r>
      <w:r>
        <w:rPr>
          <w:sz w:val="18"/>
        </w:rPr>
        <w:t>p.</w:t>
      </w:r>
      <w:r>
        <w:rPr>
          <w:spacing w:val="-9"/>
          <w:sz w:val="18"/>
        </w:rPr>
        <w:t xml:space="preserve"> </w:t>
      </w:r>
      <w:r>
        <w:rPr>
          <w:spacing w:val="-2"/>
          <w:sz w:val="18"/>
        </w:rPr>
        <w:t>63‐64.</w:t>
      </w:r>
    </w:p>
    <w:p w14:paraId="51DE813D" w14:textId="77777777" w:rsidR="0010369C" w:rsidRDefault="008E43AE">
      <w:pPr>
        <w:ind w:left="238"/>
        <w:rPr>
          <w:sz w:val="18"/>
        </w:rPr>
      </w:pPr>
      <w:r>
        <w:rPr>
          <w:sz w:val="18"/>
          <w:vertAlign w:val="superscript"/>
        </w:rPr>
        <w:t>184</w:t>
      </w:r>
      <w:r>
        <w:rPr>
          <w:spacing w:val="-9"/>
          <w:sz w:val="18"/>
        </w:rPr>
        <w:t xml:space="preserve"> </w:t>
      </w:r>
      <w:r>
        <w:rPr>
          <w:sz w:val="18"/>
        </w:rPr>
        <w:t>Anti‐Dumping</w:t>
      </w:r>
      <w:r>
        <w:rPr>
          <w:spacing w:val="-9"/>
          <w:sz w:val="18"/>
        </w:rPr>
        <w:t xml:space="preserve"> </w:t>
      </w:r>
      <w:r>
        <w:rPr>
          <w:sz w:val="18"/>
        </w:rPr>
        <w:t>Final</w:t>
      </w:r>
      <w:r>
        <w:rPr>
          <w:spacing w:val="-9"/>
          <w:sz w:val="18"/>
        </w:rPr>
        <w:t xml:space="preserve"> </w:t>
      </w:r>
      <w:r>
        <w:rPr>
          <w:sz w:val="18"/>
        </w:rPr>
        <w:t>Determination</w:t>
      </w:r>
      <w:r>
        <w:rPr>
          <w:spacing w:val="-8"/>
          <w:sz w:val="18"/>
        </w:rPr>
        <w:t xml:space="preserve"> </w:t>
      </w:r>
      <w:r>
        <w:rPr>
          <w:sz w:val="18"/>
        </w:rPr>
        <w:t>(Exhibit</w:t>
      </w:r>
      <w:r>
        <w:rPr>
          <w:spacing w:val="-9"/>
          <w:sz w:val="18"/>
        </w:rPr>
        <w:t xml:space="preserve"> </w:t>
      </w:r>
      <w:r>
        <w:rPr>
          <w:sz w:val="18"/>
        </w:rPr>
        <w:t>AUS‐2),</w:t>
      </w:r>
      <w:r>
        <w:rPr>
          <w:spacing w:val="-9"/>
          <w:sz w:val="18"/>
        </w:rPr>
        <w:t xml:space="preserve"> </w:t>
      </w:r>
      <w:r>
        <w:rPr>
          <w:sz w:val="18"/>
        </w:rPr>
        <w:t>p.</w:t>
      </w:r>
      <w:r>
        <w:rPr>
          <w:spacing w:val="-9"/>
          <w:sz w:val="18"/>
        </w:rPr>
        <w:t xml:space="preserve"> </w:t>
      </w:r>
      <w:r>
        <w:rPr>
          <w:spacing w:val="-2"/>
          <w:sz w:val="18"/>
        </w:rPr>
        <w:t>63‐64.</w:t>
      </w:r>
    </w:p>
    <w:p w14:paraId="51DE813E" w14:textId="77777777" w:rsidR="0010369C" w:rsidRDefault="008E43AE">
      <w:pPr>
        <w:ind w:left="238"/>
        <w:rPr>
          <w:sz w:val="18"/>
        </w:rPr>
      </w:pPr>
      <w:r>
        <w:rPr>
          <w:sz w:val="18"/>
          <w:vertAlign w:val="superscript"/>
        </w:rPr>
        <w:t>185</w:t>
      </w:r>
      <w:r>
        <w:rPr>
          <w:spacing w:val="-9"/>
          <w:sz w:val="18"/>
        </w:rPr>
        <w:t xml:space="preserve"> </w:t>
      </w:r>
      <w:r>
        <w:rPr>
          <w:sz w:val="18"/>
        </w:rPr>
        <w:t>Anti‐Dumping</w:t>
      </w:r>
      <w:r>
        <w:rPr>
          <w:spacing w:val="-9"/>
          <w:sz w:val="18"/>
        </w:rPr>
        <w:t xml:space="preserve"> </w:t>
      </w:r>
      <w:r>
        <w:rPr>
          <w:sz w:val="18"/>
        </w:rPr>
        <w:t>Final</w:t>
      </w:r>
      <w:r>
        <w:rPr>
          <w:spacing w:val="-9"/>
          <w:sz w:val="18"/>
        </w:rPr>
        <w:t xml:space="preserve"> </w:t>
      </w:r>
      <w:r>
        <w:rPr>
          <w:sz w:val="18"/>
        </w:rPr>
        <w:t>Determination</w:t>
      </w:r>
      <w:r>
        <w:rPr>
          <w:spacing w:val="-8"/>
          <w:sz w:val="18"/>
        </w:rPr>
        <w:t xml:space="preserve"> </w:t>
      </w:r>
      <w:r>
        <w:rPr>
          <w:sz w:val="18"/>
        </w:rPr>
        <w:t>(Exhibit</w:t>
      </w:r>
      <w:r>
        <w:rPr>
          <w:spacing w:val="-9"/>
          <w:sz w:val="18"/>
        </w:rPr>
        <w:t xml:space="preserve"> </w:t>
      </w:r>
      <w:r>
        <w:rPr>
          <w:sz w:val="18"/>
        </w:rPr>
        <w:t>AUS‐2),</w:t>
      </w:r>
      <w:r>
        <w:rPr>
          <w:spacing w:val="-9"/>
          <w:sz w:val="18"/>
        </w:rPr>
        <w:t xml:space="preserve"> </w:t>
      </w:r>
      <w:r>
        <w:rPr>
          <w:sz w:val="18"/>
        </w:rPr>
        <w:t>p.</w:t>
      </w:r>
      <w:r>
        <w:rPr>
          <w:spacing w:val="-9"/>
          <w:sz w:val="18"/>
        </w:rPr>
        <w:t xml:space="preserve"> </w:t>
      </w:r>
      <w:r>
        <w:rPr>
          <w:spacing w:val="-2"/>
          <w:sz w:val="18"/>
        </w:rPr>
        <w:t>63‐64.</w:t>
      </w:r>
    </w:p>
    <w:p w14:paraId="51DE813F" w14:textId="77777777" w:rsidR="0010369C" w:rsidRDefault="008E43AE">
      <w:pPr>
        <w:tabs>
          <w:tab w:val="left" w:pos="6680"/>
          <w:tab w:val="left" w:pos="8706"/>
        </w:tabs>
        <w:ind w:left="238"/>
        <w:rPr>
          <w:sz w:val="18"/>
        </w:rPr>
      </w:pPr>
      <w:r>
        <w:pict w14:anchorId="51DE9F2F">
          <v:rect id="docshape301" o:spid="_x0000_s1951" style="position:absolute;left:0;text-align:left;margin-left:86.65pt;margin-top:.35pt;width:303.25pt;height:12.05pt;z-index:-251405824;mso-position-horizontal-relative:page" fillcolor="black" stroked="f">
            <w10:wrap anchorx="page"/>
          </v:rect>
        </w:pict>
      </w:r>
      <w:r>
        <w:pict w14:anchorId="51DE9F30">
          <v:rect id="docshape302" o:spid="_x0000_s1950" style="position:absolute;left:0;text-align:left;margin-left:475.15pt;margin-top:.35pt;width:18.2pt;height:12.05pt;z-index:-251404800;mso-position-horizontal-relative:page" fillcolor="black" stroked="f">
            <w10:wrap anchorx="page"/>
          </v:rect>
        </w:pict>
      </w:r>
      <w:r>
        <w:rPr>
          <w:color w:val="5E5E5E"/>
          <w:sz w:val="18"/>
          <w:vertAlign w:val="superscript"/>
        </w:rPr>
        <w:t>186</w:t>
      </w:r>
      <w:r>
        <w:rPr>
          <w:color w:val="5E5E5E"/>
          <w:spacing w:val="-2"/>
          <w:sz w:val="18"/>
        </w:rPr>
        <w:t xml:space="preserve"> </w:t>
      </w:r>
      <w:r>
        <w:rPr>
          <w:color w:val="5E5E5E"/>
          <w:spacing w:val="-10"/>
          <w:sz w:val="18"/>
        </w:rPr>
        <w:t>[</w:t>
      </w:r>
      <w:r>
        <w:rPr>
          <w:color w:val="5E5E5E"/>
          <w:sz w:val="18"/>
        </w:rPr>
        <w:tab/>
        <w:t>(Exhibit</w:t>
      </w:r>
      <w:r>
        <w:rPr>
          <w:color w:val="5E5E5E"/>
          <w:spacing w:val="-9"/>
          <w:sz w:val="18"/>
        </w:rPr>
        <w:t xml:space="preserve"> </w:t>
      </w:r>
      <w:r>
        <w:rPr>
          <w:color w:val="5E5E5E"/>
          <w:sz w:val="18"/>
        </w:rPr>
        <w:t>AUS‐11</w:t>
      </w:r>
      <w:r>
        <w:rPr>
          <w:color w:val="5E5E5E"/>
          <w:spacing w:val="-9"/>
          <w:sz w:val="18"/>
        </w:rPr>
        <w:t xml:space="preserve"> </w:t>
      </w:r>
      <w:r>
        <w:rPr>
          <w:color w:val="5E5E5E"/>
          <w:spacing w:val="-2"/>
          <w:sz w:val="18"/>
        </w:rPr>
        <w:t>(BCI)),</w:t>
      </w:r>
      <w:r>
        <w:rPr>
          <w:color w:val="5E5E5E"/>
          <w:sz w:val="18"/>
        </w:rPr>
        <w:tab/>
      </w:r>
      <w:r>
        <w:rPr>
          <w:color w:val="5E5E5E"/>
          <w:spacing w:val="-5"/>
          <w:sz w:val="18"/>
        </w:rPr>
        <w:t>.]]</w:t>
      </w:r>
    </w:p>
    <w:p w14:paraId="51DE8140" w14:textId="77777777" w:rsidR="0010369C" w:rsidRDefault="0010369C">
      <w:pPr>
        <w:rPr>
          <w:sz w:val="18"/>
        </w:rPr>
        <w:sectPr w:rsidR="0010369C">
          <w:pgSz w:w="11910" w:h="16840"/>
          <w:pgMar w:top="880" w:right="800" w:bottom="980" w:left="1180" w:header="569" w:footer="788" w:gutter="0"/>
          <w:cols w:space="720"/>
        </w:sectPr>
      </w:pPr>
    </w:p>
    <w:p w14:paraId="51DE8141" w14:textId="77777777" w:rsidR="0010369C" w:rsidRDefault="008E43AE">
      <w:pPr>
        <w:tabs>
          <w:tab w:val="left" w:pos="6426"/>
        </w:tabs>
        <w:ind w:left="238"/>
        <w:rPr>
          <w:sz w:val="20"/>
        </w:rPr>
      </w:pPr>
      <w:r>
        <w:rPr>
          <w:i/>
          <w:sz w:val="20"/>
        </w:rPr>
        <w:lastRenderedPageBreak/>
        <w:t>China</w:t>
      </w:r>
      <w:r>
        <w:rPr>
          <w:i/>
          <w:spacing w:val="-5"/>
          <w:sz w:val="20"/>
        </w:rPr>
        <w:t xml:space="preserve"> </w:t>
      </w:r>
      <w:r>
        <w:rPr>
          <w:i/>
          <w:sz w:val="20"/>
        </w:rPr>
        <w:t>–</w:t>
      </w:r>
      <w:r>
        <w:rPr>
          <w:i/>
          <w:spacing w:val="-5"/>
          <w:sz w:val="20"/>
        </w:rPr>
        <w:t xml:space="preserve"> </w:t>
      </w:r>
      <w:r>
        <w:rPr>
          <w:i/>
          <w:sz w:val="20"/>
        </w:rPr>
        <w:t>Anti‐Dumping</w:t>
      </w:r>
      <w:r>
        <w:rPr>
          <w:i/>
          <w:spacing w:val="-4"/>
          <w:sz w:val="20"/>
        </w:rPr>
        <w:t xml:space="preserve"> </w:t>
      </w:r>
      <w:r>
        <w:rPr>
          <w:i/>
          <w:sz w:val="20"/>
        </w:rPr>
        <w:t>and</w:t>
      </w:r>
      <w:r>
        <w:rPr>
          <w:i/>
          <w:spacing w:val="-5"/>
          <w:sz w:val="20"/>
        </w:rPr>
        <w:t xml:space="preserve"> </w:t>
      </w:r>
      <w:r>
        <w:rPr>
          <w:i/>
          <w:sz w:val="20"/>
        </w:rPr>
        <w:t>Countervailing</w:t>
      </w:r>
      <w:r>
        <w:rPr>
          <w:i/>
          <w:spacing w:val="-5"/>
          <w:sz w:val="20"/>
        </w:rPr>
        <w:t xml:space="preserve"> </w:t>
      </w:r>
      <w:r>
        <w:rPr>
          <w:i/>
          <w:sz w:val="20"/>
        </w:rPr>
        <w:t>Duty</w:t>
      </w:r>
      <w:r>
        <w:rPr>
          <w:i/>
          <w:spacing w:val="-4"/>
          <w:sz w:val="20"/>
        </w:rPr>
        <w:t xml:space="preserve"> </w:t>
      </w:r>
      <w:r>
        <w:rPr>
          <w:i/>
          <w:spacing w:val="-2"/>
          <w:sz w:val="20"/>
        </w:rPr>
        <w:t>Measures</w:t>
      </w:r>
      <w:r>
        <w:rPr>
          <w:i/>
          <w:sz w:val="20"/>
        </w:rPr>
        <w:tab/>
      </w:r>
      <w:r>
        <w:rPr>
          <w:sz w:val="20"/>
        </w:rPr>
        <w:t>Australia's</w:t>
      </w:r>
      <w:r>
        <w:rPr>
          <w:spacing w:val="-7"/>
          <w:sz w:val="20"/>
        </w:rPr>
        <w:t xml:space="preserve"> </w:t>
      </w:r>
      <w:r>
        <w:rPr>
          <w:sz w:val="20"/>
        </w:rPr>
        <w:t>First</w:t>
      </w:r>
      <w:r>
        <w:rPr>
          <w:spacing w:val="-2"/>
          <w:sz w:val="20"/>
        </w:rPr>
        <w:t xml:space="preserve"> </w:t>
      </w:r>
      <w:r>
        <w:rPr>
          <w:sz w:val="20"/>
        </w:rPr>
        <w:t>Written</w:t>
      </w:r>
      <w:r>
        <w:rPr>
          <w:spacing w:val="-2"/>
          <w:sz w:val="20"/>
        </w:rPr>
        <w:t xml:space="preserve"> Submission</w:t>
      </w:r>
    </w:p>
    <w:p w14:paraId="51DE8142" w14:textId="77777777" w:rsidR="0010369C" w:rsidRDefault="008E43AE">
      <w:pPr>
        <w:tabs>
          <w:tab w:val="left" w:pos="8228"/>
        </w:tabs>
        <w:spacing w:before="1"/>
        <w:ind w:left="239"/>
        <w:rPr>
          <w:sz w:val="20"/>
        </w:rPr>
      </w:pPr>
      <w:r>
        <w:pict w14:anchorId="51DE9F31">
          <v:group id="docshapegroup303" o:spid="_x0000_s1947" style="position:absolute;left:0;text-align:left;margin-left:112.45pt;margin-top:14.25pt;width:410.9pt;height:30.15pt;z-index:-251136512;mso-wrap-distance-left:0;mso-wrap-distance-right:0;mso-position-horizontal-relative:page" coordorigin="2249,285" coordsize="8218,603">
            <v:shape id="docshape304" o:spid="_x0000_s1949" style="position:absolute;left:2249;top:284;width:8218;height:603" coordorigin="2249,285" coordsize="8218,603" o:spt="100" adj="0,,0" path="m7373,593r-5124,l2249,887r5124,l7373,593xm10467,285r-8218,l2249,579r8218,l10467,285xe" fillcolor="black" stroked="f">
              <v:stroke joinstyle="round"/>
              <v:formulas/>
              <v:path arrowok="t" o:connecttype="segments"/>
            </v:shape>
            <v:shape id="docshape305" o:spid="_x0000_s1948" type="#_x0000_t202" style="position:absolute;left:7393;top:633;width:155;height:220" filled="f" stroked="f">
              <v:textbox inset="0,0,0,0">
                <w:txbxContent>
                  <w:p w14:paraId="51DEAC49" w14:textId="77777777" w:rsidR="0010369C" w:rsidRDefault="008E43AE">
                    <w:pPr>
                      <w:spacing w:line="220" w:lineRule="exact"/>
                    </w:pPr>
                    <w:r>
                      <w:rPr>
                        <w:spacing w:val="-5"/>
                      </w:rPr>
                      <w:t>]]</w:t>
                    </w:r>
                  </w:p>
                </w:txbxContent>
              </v:textbox>
            </v:shape>
            <w10:wrap type="topAndBottom" anchorx="page"/>
          </v:group>
        </w:pict>
      </w:r>
      <w:r>
        <w:rPr>
          <w:noProof/>
        </w:rPr>
        <w:drawing>
          <wp:anchor distT="0" distB="0" distL="0" distR="0" simplePos="0" relativeHeight="250853888" behindDoc="1" locked="0" layoutInCell="1" allowOverlap="1" wp14:anchorId="51DE9F32" wp14:editId="51DE9F33">
            <wp:simplePos x="0" y="0"/>
            <wp:positionH relativeFrom="page">
              <wp:posOffset>908303</wp:posOffset>
            </wp:positionH>
            <wp:positionV relativeFrom="paragraph">
              <wp:posOffset>770560</wp:posOffset>
            </wp:positionV>
            <wp:extent cx="255117" cy="100393"/>
            <wp:effectExtent l="0" t="0" r="0" b="0"/>
            <wp:wrapNone/>
            <wp:docPr id="351" name="image1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image184.png"/>
                    <pic:cNvPicPr/>
                  </pic:nvPicPr>
                  <pic:blipFill>
                    <a:blip r:embed="rId278" cstate="print"/>
                    <a:stretch>
                      <a:fillRect/>
                    </a:stretch>
                  </pic:blipFill>
                  <pic:spPr>
                    <a:xfrm>
                      <a:off x="0" y="0"/>
                      <a:ext cx="255117" cy="100393"/>
                    </a:xfrm>
                    <a:prstGeom prst="rect">
                      <a:avLst/>
                    </a:prstGeom>
                  </pic:spPr>
                </pic:pic>
              </a:graphicData>
            </a:graphic>
          </wp:anchor>
        </w:drawing>
      </w:r>
      <w:r>
        <w:rPr>
          <w:i/>
          <w:sz w:val="20"/>
        </w:rPr>
        <w:t>on</w:t>
      </w:r>
      <w:r>
        <w:rPr>
          <w:i/>
          <w:spacing w:val="-1"/>
          <w:sz w:val="20"/>
        </w:rPr>
        <w:t xml:space="preserve"> </w:t>
      </w:r>
      <w:r>
        <w:rPr>
          <w:i/>
          <w:sz w:val="20"/>
        </w:rPr>
        <w:t>Wine</w:t>
      </w:r>
      <w:r>
        <w:rPr>
          <w:i/>
          <w:spacing w:val="-1"/>
          <w:sz w:val="20"/>
        </w:rPr>
        <w:t xml:space="preserve"> </w:t>
      </w:r>
      <w:r>
        <w:rPr>
          <w:i/>
          <w:sz w:val="20"/>
        </w:rPr>
        <w:t>from</w:t>
      </w:r>
      <w:r>
        <w:rPr>
          <w:i/>
          <w:spacing w:val="-3"/>
          <w:sz w:val="20"/>
        </w:rPr>
        <w:t xml:space="preserve"> </w:t>
      </w:r>
      <w:r>
        <w:rPr>
          <w:i/>
          <w:sz w:val="20"/>
        </w:rPr>
        <w:t>Australia</w:t>
      </w:r>
      <w:r>
        <w:rPr>
          <w:i/>
          <w:spacing w:val="-1"/>
          <w:sz w:val="20"/>
        </w:rPr>
        <w:t xml:space="preserve"> </w:t>
      </w:r>
      <w:r>
        <w:rPr>
          <w:spacing w:val="-2"/>
          <w:sz w:val="20"/>
        </w:rPr>
        <w:t>(DS602)</w:t>
      </w:r>
      <w:r>
        <w:rPr>
          <w:sz w:val="20"/>
        </w:rPr>
        <w:tab/>
        <w:t>29</w:t>
      </w:r>
      <w:r>
        <w:rPr>
          <w:spacing w:val="-1"/>
          <w:sz w:val="20"/>
        </w:rPr>
        <w:t xml:space="preserve"> </w:t>
      </w:r>
      <w:r>
        <w:rPr>
          <w:sz w:val="20"/>
        </w:rPr>
        <w:t>April</w:t>
      </w:r>
      <w:r>
        <w:rPr>
          <w:spacing w:val="-2"/>
          <w:sz w:val="20"/>
        </w:rPr>
        <w:t xml:space="preserve"> </w:t>
      </w:r>
      <w:r>
        <w:rPr>
          <w:spacing w:val="-4"/>
          <w:sz w:val="20"/>
        </w:rPr>
        <w:t>2022</w:t>
      </w:r>
    </w:p>
    <w:p w14:paraId="51DE8143" w14:textId="77777777" w:rsidR="0010369C" w:rsidRDefault="0010369C">
      <w:pPr>
        <w:pStyle w:val="BodyText"/>
        <w:spacing w:before="7"/>
        <w:rPr>
          <w:sz w:val="20"/>
        </w:rPr>
      </w:pPr>
    </w:p>
    <w:tbl>
      <w:tblPr>
        <w:tblW w:w="0" w:type="auto"/>
        <w:tblInd w:w="225" w:type="dxa"/>
        <w:tblLayout w:type="fixed"/>
        <w:tblCellMar>
          <w:left w:w="0" w:type="dxa"/>
          <w:right w:w="0" w:type="dxa"/>
        </w:tblCellMar>
        <w:tblLook w:val="01E0" w:firstRow="1" w:lastRow="1" w:firstColumn="1" w:lastColumn="1" w:noHBand="0" w:noVBand="0"/>
      </w:tblPr>
      <w:tblGrid>
        <w:gridCol w:w="997"/>
        <w:gridCol w:w="1569"/>
        <w:gridCol w:w="563"/>
        <w:gridCol w:w="5999"/>
      </w:tblGrid>
      <w:tr w:rsidR="0010369C" w14:paraId="51DE8146" w14:textId="77777777">
        <w:trPr>
          <w:trHeight w:val="320"/>
        </w:trPr>
        <w:tc>
          <w:tcPr>
            <w:tcW w:w="997" w:type="dxa"/>
            <w:tcBorders>
              <w:bottom w:val="single" w:sz="48" w:space="0" w:color="FFFFFF"/>
            </w:tcBorders>
          </w:tcPr>
          <w:p w14:paraId="51DE8144" w14:textId="77777777" w:rsidR="0010369C" w:rsidRDefault="008E43AE">
            <w:pPr>
              <w:pStyle w:val="TableParagraph"/>
              <w:spacing w:line="291" w:lineRule="exact"/>
              <w:ind w:right="-29"/>
              <w:jc w:val="right"/>
              <w:rPr>
                <w:sz w:val="24"/>
              </w:rPr>
            </w:pPr>
            <w:r>
              <w:rPr>
                <w:spacing w:val="-5"/>
                <w:sz w:val="24"/>
              </w:rPr>
              <w:t>[[</w:t>
            </w:r>
          </w:p>
        </w:tc>
        <w:tc>
          <w:tcPr>
            <w:tcW w:w="8131" w:type="dxa"/>
            <w:gridSpan w:val="3"/>
            <w:tcBorders>
              <w:bottom w:val="single" w:sz="48" w:space="0" w:color="FFFFFF"/>
            </w:tcBorders>
            <w:shd w:val="clear" w:color="auto" w:fill="000000"/>
          </w:tcPr>
          <w:p w14:paraId="51DE8145" w14:textId="77777777" w:rsidR="0010369C" w:rsidRDefault="0010369C">
            <w:pPr>
              <w:pStyle w:val="TableParagraph"/>
              <w:rPr>
                <w:rFonts w:ascii="Times New Roman"/>
                <w:sz w:val="20"/>
              </w:rPr>
            </w:pPr>
          </w:p>
        </w:tc>
      </w:tr>
      <w:tr w:rsidR="0010369C" w14:paraId="51DE8148" w14:textId="77777777">
        <w:trPr>
          <w:trHeight w:val="319"/>
        </w:trPr>
        <w:tc>
          <w:tcPr>
            <w:tcW w:w="9128" w:type="dxa"/>
            <w:gridSpan w:val="4"/>
            <w:tcBorders>
              <w:top w:val="single" w:sz="48" w:space="0" w:color="FFFFFF"/>
              <w:bottom w:val="single" w:sz="48" w:space="0" w:color="FFFFFF"/>
            </w:tcBorders>
            <w:shd w:val="clear" w:color="auto" w:fill="000000"/>
          </w:tcPr>
          <w:p w14:paraId="51DE8147" w14:textId="77777777" w:rsidR="0010369C" w:rsidRDefault="0010369C">
            <w:pPr>
              <w:pStyle w:val="TableParagraph"/>
              <w:rPr>
                <w:rFonts w:ascii="Times New Roman"/>
                <w:sz w:val="20"/>
              </w:rPr>
            </w:pPr>
          </w:p>
        </w:tc>
      </w:tr>
      <w:tr w:rsidR="0010369C" w14:paraId="51DE814B" w14:textId="77777777">
        <w:trPr>
          <w:trHeight w:val="319"/>
        </w:trPr>
        <w:tc>
          <w:tcPr>
            <w:tcW w:w="3129" w:type="dxa"/>
            <w:gridSpan w:val="3"/>
            <w:tcBorders>
              <w:top w:val="single" w:sz="48" w:space="0" w:color="FFFFFF"/>
              <w:bottom w:val="single" w:sz="48" w:space="0" w:color="FFFFFF"/>
              <w:right w:val="single" w:sz="24" w:space="0" w:color="FFFFFF"/>
            </w:tcBorders>
            <w:shd w:val="clear" w:color="auto" w:fill="000000"/>
          </w:tcPr>
          <w:p w14:paraId="51DE8149" w14:textId="77777777" w:rsidR="0010369C" w:rsidRDefault="0010369C">
            <w:pPr>
              <w:pStyle w:val="TableParagraph"/>
              <w:rPr>
                <w:rFonts w:ascii="Times New Roman"/>
                <w:sz w:val="20"/>
              </w:rPr>
            </w:pPr>
          </w:p>
        </w:tc>
        <w:tc>
          <w:tcPr>
            <w:tcW w:w="5999" w:type="dxa"/>
            <w:tcBorders>
              <w:top w:val="single" w:sz="48" w:space="0" w:color="FFFFFF"/>
              <w:left w:val="single" w:sz="24" w:space="0" w:color="FFFFFF"/>
              <w:bottom w:val="single" w:sz="48" w:space="0" w:color="FFFFFF"/>
            </w:tcBorders>
            <w:shd w:val="clear" w:color="auto" w:fill="000000"/>
          </w:tcPr>
          <w:p w14:paraId="51DE814A" w14:textId="77777777" w:rsidR="0010369C" w:rsidRDefault="0010369C">
            <w:pPr>
              <w:pStyle w:val="TableParagraph"/>
              <w:rPr>
                <w:rFonts w:ascii="Times New Roman"/>
                <w:sz w:val="20"/>
              </w:rPr>
            </w:pPr>
          </w:p>
        </w:tc>
      </w:tr>
      <w:tr w:rsidR="0010369C" w14:paraId="51DE814D" w14:textId="77777777">
        <w:trPr>
          <w:trHeight w:val="319"/>
        </w:trPr>
        <w:tc>
          <w:tcPr>
            <w:tcW w:w="9128" w:type="dxa"/>
            <w:gridSpan w:val="4"/>
            <w:tcBorders>
              <w:top w:val="single" w:sz="48" w:space="0" w:color="FFFFFF"/>
              <w:bottom w:val="single" w:sz="48" w:space="0" w:color="FFFFFF"/>
            </w:tcBorders>
            <w:shd w:val="clear" w:color="auto" w:fill="000000"/>
          </w:tcPr>
          <w:p w14:paraId="51DE814C" w14:textId="77777777" w:rsidR="0010369C" w:rsidRDefault="0010369C">
            <w:pPr>
              <w:pStyle w:val="TableParagraph"/>
              <w:rPr>
                <w:rFonts w:ascii="Times New Roman"/>
                <w:sz w:val="20"/>
              </w:rPr>
            </w:pPr>
          </w:p>
        </w:tc>
      </w:tr>
      <w:tr w:rsidR="0010369C" w14:paraId="51DE814F" w14:textId="77777777">
        <w:trPr>
          <w:trHeight w:val="319"/>
        </w:trPr>
        <w:tc>
          <w:tcPr>
            <w:tcW w:w="9128" w:type="dxa"/>
            <w:gridSpan w:val="4"/>
            <w:tcBorders>
              <w:top w:val="single" w:sz="48" w:space="0" w:color="FFFFFF"/>
              <w:bottom w:val="single" w:sz="48" w:space="0" w:color="FFFFFF"/>
            </w:tcBorders>
            <w:shd w:val="clear" w:color="auto" w:fill="000000"/>
          </w:tcPr>
          <w:p w14:paraId="51DE814E" w14:textId="77777777" w:rsidR="0010369C" w:rsidRDefault="0010369C">
            <w:pPr>
              <w:pStyle w:val="TableParagraph"/>
              <w:rPr>
                <w:rFonts w:ascii="Times New Roman"/>
                <w:sz w:val="20"/>
              </w:rPr>
            </w:pPr>
          </w:p>
        </w:tc>
      </w:tr>
      <w:tr w:rsidR="0010369C" w14:paraId="51DE8152" w14:textId="77777777">
        <w:trPr>
          <w:trHeight w:val="320"/>
        </w:trPr>
        <w:tc>
          <w:tcPr>
            <w:tcW w:w="2566" w:type="dxa"/>
            <w:gridSpan w:val="2"/>
            <w:tcBorders>
              <w:top w:val="single" w:sz="48" w:space="0" w:color="FFFFFF"/>
            </w:tcBorders>
            <w:shd w:val="clear" w:color="auto" w:fill="000000"/>
          </w:tcPr>
          <w:p w14:paraId="51DE8150" w14:textId="77777777" w:rsidR="0010369C" w:rsidRDefault="0010369C">
            <w:pPr>
              <w:pStyle w:val="TableParagraph"/>
              <w:rPr>
                <w:rFonts w:ascii="Times New Roman"/>
                <w:sz w:val="20"/>
              </w:rPr>
            </w:pPr>
          </w:p>
        </w:tc>
        <w:tc>
          <w:tcPr>
            <w:tcW w:w="6562" w:type="dxa"/>
            <w:gridSpan w:val="2"/>
            <w:tcBorders>
              <w:top w:val="single" w:sz="48" w:space="0" w:color="FFFFFF"/>
            </w:tcBorders>
          </w:tcPr>
          <w:p w14:paraId="51DE8151" w14:textId="77777777" w:rsidR="0010369C" w:rsidRDefault="008E43AE">
            <w:pPr>
              <w:pStyle w:val="TableParagraph"/>
              <w:spacing w:line="290" w:lineRule="exact"/>
              <w:ind w:left="21"/>
              <w:rPr>
                <w:sz w:val="24"/>
              </w:rPr>
            </w:pPr>
            <w:r>
              <w:rPr>
                <w:spacing w:val="-5"/>
                <w:sz w:val="24"/>
              </w:rPr>
              <w:t>]]</w:t>
            </w:r>
          </w:p>
        </w:tc>
      </w:tr>
    </w:tbl>
    <w:p w14:paraId="51DE8153" w14:textId="77777777" w:rsidR="0010369C" w:rsidRDefault="0010369C">
      <w:pPr>
        <w:pStyle w:val="BodyText"/>
        <w:spacing w:before="7"/>
        <w:rPr>
          <w:sz w:val="18"/>
        </w:rPr>
      </w:pPr>
    </w:p>
    <w:p w14:paraId="51DE8154" w14:textId="77777777" w:rsidR="0010369C" w:rsidRDefault="008E43AE">
      <w:pPr>
        <w:spacing w:before="52"/>
        <w:ind w:left="1089"/>
        <w:rPr>
          <w:sz w:val="24"/>
        </w:rPr>
      </w:pPr>
      <w:r>
        <w:rPr>
          <w:noProof/>
        </w:rPr>
        <w:drawing>
          <wp:anchor distT="0" distB="0" distL="0" distR="0" simplePos="0" relativeHeight="250628608" behindDoc="0" locked="0" layoutInCell="1" allowOverlap="1" wp14:anchorId="51DE9F34" wp14:editId="51DE9F35">
            <wp:simplePos x="0" y="0"/>
            <wp:positionH relativeFrom="page">
              <wp:posOffset>908303</wp:posOffset>
            </wp:positionH>
            <wp:positionV relativeFrom="paragraph">
              <wp:posOffset>76785</wp:posOffset>
            </wp:positionV>
            <wp:extent cx="256031" cy="106679"/>
            <wp:effectExtent l="0" t="0" r="0" b="0"/>
            <wp:wrapNone/>
            <wp:docPr id="353" name="image1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image185.png"/>
                    <pic:cNvPicPr/>
                  </pic:nvPicPr>
                  <pic:blipFill>
                    <a:blip r:embed="rId279" cstate="print"/>
                    <a:stretch>
                      <a:fillRect/>
                    </a:stretch>
                  </pic:blipFill>
                  <pic:spPr>
                    <a:xfrm>
                      <a:off x="0" y="0"/>
                      <a:ext cx="256031" cy="106679"/>
                    </a:xfrm>
                    <a:prstGeom prst="rect">
                      <a:avLst/>
                    </a:prstGeom>
                  </pic:spPr>
                </pic:pic>
              </a:graphicData>
            </a:graphic>
          </wp:anchor>
        </w:drawing>
      </w:r>
      <w:r>
        <w:pict w14:anchorId="51DE9F36">
          <v:rect id="docshape306" o:spid="_x0000_s1946" style="position:absolute;left:0;text-align:left;margin-left:119.8pt;margin-top:2.7pt;width:403.65pt;height:16.05pt;z-index:251736576;mso-position-horizontal-relative:page;mso-position-vertical-relative:text" fillcolor="black" stroked="f">
            <w10:wrap anchorx="page"/>
          </v:rect>
        </w:pict>
      </w:r>
      <w:r>
        <w:rPr>
          <w:spacing w:val="-5"/>
          <w:sz w:val="24"/>
        </w:rPr>
        <w:t>[[</w:t>
      </w:r>
    </w:p>
    <w:p w14:paraId="51DE8155" w14:textId="77777777" w:rsidR="0010369C" w:rsidRDefault="008E43AE">
      <w:pPr>
        <w:pStyle w:val="BodyText"/>
        <w:spacing w:before="2"/>
        <w:rPr>
          <w:sz w:val="10"/>
        </w:rPr>
      </w:pPr>
      <w:r>
        <w:pict w14:anchorId="51DE9F37">
          <v:rect id="docshape307" o:spid="_x0000_s1945" style="position:absolute;margin-left:69.9pt;margin-top:7.45pt;width:453.45pt;height:16.05pt;z-index:-251135488;mso-wrap-distance-left:0;mso-wrap-distance-right:0;mso-position-horizontal-relative:page" fillcolor="black" stroked="f">
            <w10:wrap type="topAndBottom" anchorx="page"/>
          </v:rect>
        </w:pict>
      </w:r>
      <w:r>
        <w:pict w14:anchorId="51DE9F38">
          <v:rect id="docshape308" o:spid="_x0000_s1944" style="position:absolute;margin-left:69.9pt;margin-top:29.45pt;width:26.85pt;height:16.05pt;z-index:-251134464;mso-wrap-distance-left:0;mso-wrap-distance-right:0;mso-position-horizontal-relative:page" fillcolor="black" stroked="f">
            <w10:wrap type="topAndBottom" anchorx="page"/>
          </v:rect>
        </w:pict>
      </w:r>
      <w:r>
        <w:pict w14:anchorId="51DE9F39">
          <v:shape id="docshape309" o:spid="_x0000_s1943" style="position:absolute;margin-left:112.45pt;margin-top:59.55pt;width:411.1pt;height:61.05pt;z-index:-251133440;mso-wrap-distance-left:0;mso-wrap-distance-right:0;mso-position-horizontal-relative:page" coordorigin="2249,1191" coordsize="8222,1221" o:spt="100" adj="0,,0" path="m9445,2117r-7196,l2249,2411r7196,l9445,2117xm10468,1191r-8219,l2249,1485r8219,l10468,1191xm10469,1809r-8220,l2249,2103r8220,l10469,1809xm10470,1499r-8221,l2249,1793r8221,l10470,1499xe" fillcolor="black" stroked="f">
            <v:stroke joinstyle="round"/>
            <v:formulas/>
            <v:path arrowok="t" o:connecttype="segments"/>
            <w10:wrap type="topAndBottom" anchorx="page"/>
          </v:shape>
        </w:pict>
      </w:r>
      <w:r>
        <w:pict w14:anchorId="51DE9F3A">
          <v:shape id="docshape310" o:spid="_x0000_s1942" style="position:absolute;margin-left:112.45pt;margin-top:133.3pt;width:411.05pt;height:62.05pt;z-index:-251132416;mso-wrap-distance-left:0;mso-wrap-distance-right:0;mso-position-horizontal-relative:page" coordorigin="2249,2666" coordsize="8221,1241" o:spt="100" adj="0,,0" path="m3981,3612r-1732,l2249,3906r1732,l3981,3612xm10466,2666r-8217,l2249,2960r8217,l10466,2666xm10468,2987r-8219,l2249,3281r8219,l10468,2987xm10470,3303r-8221,l2249,3597r8221,l10470,3303xe" fillcolor="black" stroked="f">
            <v:stroke joinstyle="round"/>
            <v:formulas/>
            <v:path arrowok="t" o:connecttype="segments"/>
            <w10:wrap type="topAndBottom" anchorx="page"/>
          </v:shape>
        </w:pict>
      </w:r>
      <w:r>
        <w:pict w14:anchorId="51DE9F3B">
          <v:group id="docshapegroup311" o:spid="_x0000_s1939" style="position:absolute;margin-left:112.45pt;margin-top:208.05pt;width:412.9pt;height:45.65pt;z-index:-251131392;mso-wrap-distance-left:0;mso-wrap-distance-right:0;mso-position-horizontal-relative:page" coordorigin="2249,4161" coordsize="8258,913">
            <v:shape id="docshape312" o:spid="_x0000_s1941" style="position:absolute;left:2249;top:4160;width:8220;height:913" coordorigin="2249,4161" coordsize="8220,913" o:spt="100" adj="0,,0" path="m10333,4779r-8084,l2249,5073r8084,l10333,4779xm10466,4469r-8217,l2249,4763r8217,l10466,4469xm10468,4161r-8219,l2249,4455r8219,l10468,4161xe" fillcolor="black" stroked="f">
              <v:stroke joinstyle="round"/>
              <v:formulas/>
              <v:path arrowok="t" o:connecttype="segments"/>
            </v:shape>
            <v:shape id="docshape313" o:spid="_x0000_s1940" type="#_x0000_t202" style="position:absolute;left:10352;top:4819;width:155;height:220" filled="f" stroked="f">
              <v:textbox inset="0,0,0,0">
                <w:txbxContent>
                  <w:p w14:paraId="51DEAC4A" w14:textId="77777777" w:rsidR="0010369C" w:rsidRDefault="008E43AE">
                    <w:pPr>
                      <w:spacing w:line="220" w:lineRule="exact"/>
                    </w:pPr>
                    <w:r>
                      <w:rPr>
                        <w:spacing w:val="-5"/>
                      </w:rPr>
                      <w:t>]]</w:t>
                    </w:r>
                  </w:p>
                </w:txbxContent>
              </v:textbox>
            </v:shape>
            <w10:wrap type="topAndBottom" anchorx="page"/>
          </v:group>
        </w:pict>
      </w:r>
    </w:p>
    <w:p w14:paraId="51DE8156" w14:textId="77777777" w:rsidR="0010369C" w:rsidRDefault="0010369C">
      <w:pPr>
        <w:pStyle w:val="BodyText"/>
        <w:spacing w:before="9"/>
        <w:rPr>
          <w:sz w:val="7"/>
        </w:rPr>
      </w:pPr>
    </w:p>
    <w:p w14:paraId="51DE8157" w14:textId="77777777" w:rsidR="0010369C" w:rsidRDefault="0010369C">
      <w:pPr>
        <w:pStyle w:val="BodyText"/>
        <w:rPr>
          <w:sz w:val="21"/>
        </w:rPr>
      </w:pPr>
    </w:p>
    <w:p w14:paraId="51DE8158" w14:textId="77777777" w:rsidR="0010369C" w:rsidRDefault="0010369C">
      <w:pPr>
        <w:pStyle w:val="BodyText"/>
        <w:spacing w:before="10"/>
        <w:rPr>
          <w:sz w:val="18"/>
        </w:rPr>
      </w:pPr>
    </w:p>
    <w:p w14:paraId="51DE8159" w14:textId="77777777" w:rsidR="0010369C" w:rsidRDefault="0010369C">
      <w:pPr>
        <w:pStyle w:val="BodyText"/>
        <w:spacing w:before="10"/>
        <w:rPr>
          <w:sz w:val="18"/>
        </w:rPr>
      </w:pPr>
    </w:p>
    <w:p w14:paraId="51DE815A" w14:textId="77777777" w:rsidR="0010369C" w:rsidRDefault="0010369C">
      <w:pPr>
        <w:pStyle w:val="BodyText"/>
        <w:spacing w:before="2"/>
        <w:rPr>
          <w:sz w:val="16"/>
        </w:rPr>
      </w:pPr>
    </w:p>
    <w:p w14:paraId="51DE815B" w14:textId="77777777" w:rsidR="0010369C" w:rsidRDefault="008E43AE">
      <w:pPr>
        <w:spacing w:before="52"/>
        <w:ind w:left="1089"/>
        <w:rPr>
          <w:sz w:val="24"/>
        </w:rPr>
      </w:pPr>
      <w:r>
        <w:rPr>
          <w:noProof/>
        </w:rPr>
        <w:drawing>
          <wp:anchor distT="0" distB="0" distL="0" distR="0" simplePos="0" relativeHeight="250629632" behindDoc="0" locked="0" layoutInCell="1" allowOverlap="1" wp14:anchorId="51DE9F3C" wp14:editId="51DE9F3D">
            <wp:simplePos x="0" y="0"/>
            <wp:positionH relativeFrom="page">
              <wp:posOffset>908303</wp:posOffset>
            </wp:positionH>
            <wp:positionV relativeFrom="paragraph">
              <wp:posOffset>80596</wp:posOffset>
            </wp:positionV>
            <wp:extent cx="256031" cy="103631"/>
            <wp:effectExtent l="0" t="0" r="0" b="0"/>
            <wp:wrapNone/>
            <wp:docPr id="355" name="image1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image186.png"/>
                    <pic:cNvPicPr/>
                  </pic:nvPicPr>
                  <pic:blipFill>
                    <a:blip r:embed="rId280" cstate="print"/>
                    <a:stretch>
                      <a:fillRect/>
                    </a:stretch>
                  </pic:blipFill>
                  <pic:spPr>
                    <a:xfrm>
                      <a:off x="0" y="0"/>
                      <a:ext cx="256031" cy="103631"/>
                    </a:xfrm>
                    <a:prstGeom prst="rect">
                      <a:avLst/>
                    </a:prstGeom>
                  </pic:spPr>
                </pic:pic>
              </a:graphicData>
            </a:graphic>
          </wp:anchor>
        </w:drawing>
      </w:r>
      <w:r>
        <w:pict w14:anchorId="51DE9F3E">
          <v:rect id="docshape314" o:spid="_x0000_s1938" style="position:absolute;left:0;text-align:left;margin-left:119.8pt;margin-top:2.7pt;width:403.65pt;height:16.05pt;z-index:251737600;mso-position-horizontal-relative:page;mso-position-vertical-relative:text" fillcolor="black" stroked="f">
            <w10:wrap anchorx="page"/>
          </v:rect>
        </w:pict>
      </w:r>
      <w:r>
        <w:rPr>
          <w:spacing w:val="-5"/>
          <w:sz w:val="24"/>
        </w:rPr>
        <w:t>[[</w:t>
      </w:r>
    </w:p>
    <w:p w14:paraId="51DE815C" w14:textId="77777777" w:rsidR="0010369C" w:rsidRDefault="008E43AE">
      <w:pPr>
        <w:pStyle w:val="BodyText"/>
        <w:spacing w:before="2"/>
        <w:rPr>
          <w:sz w:val="10"/>
        </w:rPr>
      </w:pPr>
      <w:r>
        <w:pict w14:anchorId="51DE9F3F">
          <v:rect id="docshape315" o:spid="_x0000_s1937" style="position:absolute;margin-left:69.9pt;margin-top:7.4pt;width:453.55pt;height:16.05pt;z-index:-251130368;mso-wrap-distance-left:0;mso-wrap-distance-right:0;mso-position-horizontal-relative:page" fillcolor="black" stroked="f">
            <w10:wrap type="topAndBottom" anchorx="page"/>
          </v:rect>
        </w:pict>
      </w:r>
    </w:p>
    <w:p w14:paraId="51DE815D" w14:textId="77777777" w:rsidR="0010369C" w:rsidRDefault="008E43AE">
      <w:pPr>
        <w:spacing w:before="116"/>
        <w:ind w:left="3292" w:right="2465"/>
        <w:jc w:val="center"/>
        <w:rPr>
          <w:sz w:val="24"/>
        </w:rPr>
      </w:pPr>
      <w:r>
        <w:rPr>
          <w:spacing w:val="-5"/>
          <w:sz w:val="24"/>
        </w:rPr>
        <w:t>]]</w:t>
      </w:r>
    </w:p>
    <w:p w14:paraId="51DE815E" w14:textId="77777777" w:rsidR="0010369C" w:rsidRDefault="0010369C">
      <w:pPr>
        <w:pStyle w:val="BodyText"/>
        <w:spacing w:before="10"/>
        <w:rPr>
          <w:sz w:val="20"/>
        </w:rPr>
      </w:pPr>
    </w:p>
    <w:p w14:paraId="51DE815F" w14:textId="77777777" w:rsidR="0010369C" w:rsidRDefault="008E43AE">
      <w:pPr>
        <w:pStyle w:val="BodyText"/>
        <w:spacing w:before="52" w:line="360" w:lineRule="auto"/>
        <w:ind w:left="238" w:right="611" w:firstLine="850"/>
      </w:pPr>
      <w:r>
        <w:pict w14:anchorId="51DE9F40">
          <v:rect id="docshape316" o:spid="_x0000_s1936" style="position:absolute;left:0;text-align:left;margin-left:69.9pt;margin-top:-27.25pt;width:253.2pt;height:16.05pt;z-index:251738624;mso-position-horizontal-relative:page" fillcolor="black" stroked="f">
            <w10:wrap anchorx="page"/>
          </v:rect>
        </w:pict>
      </w:r>
      <w:r>
        <w:rPr>
          <w:noProof/>
        </w:rPr>
        <w:drawing>
          <wp:anchor distT="0" distB="0" distL="0" distR="0" simplePos="0" relativeHeight="250854912" behindDoc="1" locked="0" layoutInCell="1" allowOverlap="1" wp14:anchorId="51DE9F41" wp14:editId="51DE9F42">
            <wp:simplePos x="0" y="0"/>
            <wp:positionH relativeFrom="page">
              <wp:posOffset>908303</wp:posOffset>
            </wp:positionH>
            <wp:positionV relativeFrom="paragraph">
              <wp:posOffset>80595</wp:posOffset>
            </wp:positionV>
            <wp:extent cx="256031" cy="103631"/>
            <wp:effectExtent l="0" t="0" r="0" b="0"/>
            <wp:wrapNone/>
            <wp:docPr id="357" name="image1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image187.png"/>
                    <pic:cNvPicPr/>
                  </pic:nvPicPr>
                  <pic:blipFill>
                    <a:blip r:embed="rId281" cstate="print"/>
                    <a:stretch>
                      <a:fillRect/>
                    </a:stretch>
                  </pic:blipFill>
                  <pic:spPr>
                    <a:xfrm>
                      <a:off x="0" y="0"/>
                      <a:ext cx="256031" cy="103631"/>
                    </a:xfrm>
                    <a:prstGeom prst="rect">
                      <a:avLst/>
                    </a:prstGeom>
                  </pic:spPr>
                </pic:pic>
              </a:graphicData>
            </a:graphic>
          </wp:anchor>
        </w:drawing>
      </w:r>
      <w:r>
        <w:t>Thus, the necessary information was provided to apply the below‐cost test and to</w:t>
      </w:r>
      <w:r>
        <w:rPr>
          <w:spacing w:val="40"/>
        </w:rPr>
        <w:t xml:space="preserve"> </w:t>
      </w:r>
      <w:r>
        <w:t>calculate normal values.</w:t>
      </w:r>
    </w:p>
    <w:p w14:paraId="51DE8160" w14:textId="77777777" w:rsidR="0010369C" w:rsidRDefault="0010369C">
      <w:pPr>
        <w:pStyle w:val="BodyText"/>
        <w:rPr>
          <w:sz w:val="20"/>
        </w:rPr>
      </w:pPr>
    </w:p>
    <w:p w14:paraId="51DE8161" w14:textId="77777777" w:rsidR="0010369C" w:rsidRDefault="0010369C">
      <w:pPr>
        <w:pStyle w:val="BodyText"/>
        <w:rPr>
          <w:sz w:val="20"/>
        </w:rPr>
      </w:pPr>
    </w:p>
    <w:p w14:paraId="51DE8162" w14:textId="77777777" w:rsidR="0010369C" w:rsidRDefault="0010369C">
      <w:pPr>
        <w:pStyle w:val="BodyText"/>
        <w:rPr>
          <w:sz w:val="20"/>
        </w:rPr>
      </w:pPr>
    </w:p>
    <w:p w14:paraId="51DE8163" w14:textId="77777777" w:rsidR="0010369C" w:rsidRDefault="0010369C">
      <w:pPr>
        <w:pStyle w:val="BodyText"/>
        <w:rPr>
          <w:sz w:val="20"/>
        </w:rPr>
      </w:pPr>
    </w:p>
    <w:p w14:paraId="51DE8164" w14:textId="77777777" w:rsidR="0010369C" w:rsidRDefault="0010369C">
      <w:pPr>
        <w:pStyle w:val="BodyText"/>
        <w:rPr>
          <w:sz w:val="20"/>
        </w:rPr>
      </w:pPr>
    </w:p>
    <w:p w14:paraId="51DE8165" w14:textId="77777777" w:rsidR="0010369C" w:rsidRDefault="008E43AE">
      <w:pPr>
        <w:pStyle w:val="BodyText"/>
        <w:spacing w:before="5"/>
        <w:rPr>
          <w:sz w:val="10"/>
        </w:rPr>
      </w:pPr>
      <w:r>
        <w:pict w14:anchorId="51DE9F43">
          <v:rect id="docshape317" o:spid="_x0000_s1935" style="position:absolute;margin-left:70.9pt;margin-top:7.55pt;width:2in;height:.8pt;z-index:-251129344;mso-wrap-distance-left:0;mso-wrap-distance-right:0;mso-position-horizontal-relative:page" fillcolor="black" stroked="f">
            <w10:wrap type="topAndBottom" anchorx="page"/>
          </v:rect>
        </w:pict>
      </w:r>
    </w:p>
    <w:p w14:paraId="51DE8166" w14:textId="77777777" w:rsidR="0010369C" w:rsidRDefault="0010369C">
      <w:pPr>
        <w:pStyle w:val="BodyText"/>
        <w:spacing w:before="8"/>
        <w:rPr>
          <w:sz w:val="5"/>
        </w:rPr>
      </w:pPr>
    </w:p>
    <w:p w14:paraId="51DE8167" w14:textId="77777777" w:rsidR="0010369C" w:rsidRDefault="0010369C">
      <w:pPr>
        <w:rPr>
          <w:sz w:val="5"/>
        </w:rPr>
        <w:sectPr w:rsidR="0010369C">
          <w:pgSz w:w="11910" w:h="16840"/>
          <w:pgMar w:top="880" w:right="800" w:bottom="980" w:left="1180" w:header="569" w:footer="788" w:gutter="0"/>
          <w:cols w:space="720"/>
        </w:sectPr>
      </w:pPr>
    </w:p>
    <w:p w14:paraId="51DE8168" w14:textId="77777777" w:rsidR="0010369C" w:rsidRDefault="008E43AE">
      <w:pPr>
        <w:spacing w:before="75" w:line="158" w:lineRule="auto"/>
        <w:ind w:left="238"/>
        <w:rPr>
          <w:sz w:val="18"/>
        </w:rPr>
      </w:pPr>
      <w:r>
        <w:pict w14:anchorId="51DE9F44">
          <v:shape id="docshape318" o:spid="_x0000_s1934" style="position:absolute;left:0;text-align:left;margin-left:86.45pt;margin-top:2.4pt;width:423.45pt;height:34.05pt;z-index:-251403776;mso-position-horizontal-relative:page" coordorigin="1729,48" coordsize="8469,681" path="m10197,267r-330,l9867,48r-364,l9503,267r,22l9503,487r-1704,l7799,289r,-22l7799,48r-6066,l1733,267r,22l1733,487r-4,l1729,728r8153,l9882,508r315,l10197,267xe" fillcolor="black" stroked="f">
            <v:path arrowok="t"/>
            <w10:wrap anchorx="page"/>
          </v:shape>
        </w:pict>
      </w:r>
      <w:r>
        <w:rPr>
          <w:color w:val="5E5E5E"/>
          <w:sz w:val="12"/>
        </w:rPr>
        <w:t>187</w:t>
      </w:r>
      <w:r>
        <w:rPr>
          <w:color w:val="5E5E5E"/>
          <w:spacing w:val="11"/>
          <w:sz w:val="12"/>
        </w:rPr>
        <w:t xml:space="preserve"> </w:t>
      </w:r>
      <w:r>
        <w:rPr>
          <w:color w:val="5E5E5E"/>
          <w:spacing w:val="-10"/>
          <w:position w:val="-5"/>
          <w:sz w:val="18"/>
        </w:rPr>
        <w:t>[</w:t>
      </w:r>
    </w:p>
    <w:p w14:paraId="51DE8169" w14:textId="77777777" w:rsidR="0010369C" w:rsidRDefault="008E43AE">
      <w:pPr>
        <w:spacing w:before="33"/>
        <w:ind w:left="238"/>
        <w:rPr>
          <w:sz w:val="18"/>
        </w:rPr>
      </w:pPr>
      <w:r>
        <w:rPr>
          <w:color w:val="5E5E5E"/>
          <w:sz w:val="12"/>
        </w:rPr>
        <w:t>188</w:t>
      </w:r>
      <w:r>
        <w:rPr>
          <w:color w:val="5E5E5E"/>
          <w:spacing w:val="11"/>
          <w:sz w:val="12"/>
        </w:rPr>
        <w:t xml:space="preserve"> </w:t>
      </w:r>
      <w:r>
        <w:rPr>
          <w:color w:val="5E5E5E"/>
          <w:spacing w:val="-10"/>
          <w:position w:val="-5"/>
          <w:sz w:val="18"/>
        </w:rPr>
        <w:t>[</w:t>
      </w:r>
    </w:p>
    <w:p w14:paraId="51DE816A" w14:textId="77777777" w:rsidR="0010369C" w:rsidRDefault="008E43AE">
      <w:pPr>
        <w:spacing w:before="41"/>
        <w:ind w:left="238"/>
        <w:rPr>
          <w:sz w:val="18"/>
        </w:rPr>
      </w:pPr>
      <w:r>
        <w:br w:type="column"/>
      </w:r>
      <w:r>
        <w:rPr>
          <w:color w:val="5E5E5E"/>
          <w:sz w:val="18"/>
        </w:rPr>
        <w:t>(Exhibit</w:t>
      </w:r>
      <w:r>
        <w:rPr>
          <w:color w:val="5E5E5E"/>
          <w:spacing w:val="-11"/>
          <w:sz w:val="18"/>
        </w:rPr>
        <w:t xml:space="preserve"> </w:t>
      </w:r>
      <w:r>
        <w:rPr>
          <w:color w:val="5E5E5E"/>
          <w:sz w:val="18"/>
        </w:rPr>
        <w:t>AUS‐11</w:t>
      </w:r>
      <w:r>
        <w:rPr>
          <w:color w:val="5E5E5E"/>
          <w:spacing w:val="-10"/>
          <w:sz w:val="18"/>
        </w:rPr>
        <w:t xml:space="preserve"> </w:t>
      </w:r>
      <w:r>
        <w:rPr>
          <w:color w:val="5E5E5E"/>
          <w:sz w:val="18"/>
        </w:rPr>
        <w:t>(BCI)), (Exhibit</w:t>
      </w:r>
      <w:r>
        <w:rPr>
          <w:color w:val="5E5E5E"/>
          <w:spacing w:val="-9"/>
          <w:sz w:val="18"/>
        </w:rPr>
        <w:t xml:space="preserve"> </w:t>
      </w:r>
      <w:r>
        <w:rPr>
          <w:color w:val="5E5E5E"/>
          <w:sz w:val="18"/>
        </w:rPr>
        <w:t>AUS‐11</w:t>
      </w:r>
      <w:r>
        <w:rPr>
          <w:color w:val="5E5E5E"/>
          <w:spacing w:val="-9"/>
          <w:sz w:val="18"/>
        </w:rPr>
        <w:t xml:space="preserve"> </w:t>
      </w:r>
      <w:r>
        <w:rPr>
          <w:color w:val="5E5E5E"/>
          <w:spacing w:val="-2"/>
          <w:sz w:val="18"/>
        </w:rPr>
        <w:t>(BCI)),</w:t>
      </w:r>
    </w:p>
    <w:p w14:paraId="51DE816B" w14:textId="77777777" w:rsidR="0010369C" w:rsidRDefault="008E43AE">
      <w:pPr>
        <w:spacing w:before="41"/>
        <w:ind w:left="238"/>
        <w:rPr>
          <w:sz w:val="18"/>
        </w:rPr>
      </w:pPr>
      <w:r>
        <w:br w:type="column"/>
      </w:r>
      <w:r>
        <w:rPr>
          <w:color w:val="5E5E5E"/>
          <w:spacing w:val="-5"/>
          <w:sz w:val="18"/>
        </w:rPr>
        <w:t>.]]</w:t>
      </w:r>
    </w:p>
    <w:p w14:paraId="51DE816C" w14:textId="77777777" w:rsidR="0010369C" w:rsidRDefault="008E43AE">
      <w:pPr>
        <w:spacing w:before="4"/>
        <w:rPr>
          <w:sz w:val="21"/>
        </w:rPr>
      </w:pPr>
      <w:r>
        <w:br w:type="column"/>
      </w:r>
    </w:p>
    <w:p w14:paraId="51DE816D" w14:textId="77777777" w:rsidR="0010369C" w:rsidRDefault="008E43AE">
      <w:pPr>
        <w:spacing w:before="1"/>
        <w:ind w:left="135"/>
        <w:rPr>
          <w:sz w:val="18"/>
        </w:rPr>
      </w:pPr>
      <w:r>
        <w:rPr>
          <w:color w:val="5E5E5E"/>
          <w:spacing w:val="-5"/>
          <w:sz w:val="18"/>
        </w:rPr>
        <w:t>.]]</w:t>
      </w:r>
    </w:p>
    <w:p w14:paraId="51DE816E" w14:textId="77777777" w:rsidR="0010369C" w:rsidRDefault="0010369C">
      <w:pPr>
        <w:rPr>
          <w:sz w:val="18"/>
        </w:rPr>
        <w:sectPr w:rsidR="0010369C">
          <w:type w:val="continuous"/>
          <w:pgSz w:w="11910" w:h="16840"/>
          <w:pgMar w:top="1460" w:right="800" w:bottom="280" w:left="1180" w:header="569" w:footer="788" w:gutter="0"/>
          <w:cols w:num="4" w:space="720" w:equalWidth="0">
            <w:col w:w="559" w:space="5883"/>
            <w:col w:w="1902" w:space="125"/>
            <w:col w:w="394" w:space="39"/>
            <w:col w:w="1028"/>
          </w:cols>
        </w:sectPr>
      </w:pPr>
    </w:p>
    <w:p w14:paraId="51DE816F" w14:textId="77777777" w:rsidR="0010369C" w:rsidRDefault="008E43AE">
      <w:pPr>
        <w:spacing w:before="36" w:line="153" w:lineRule="auto"/>
        <w:ind w:left="238"/>
        <w:rPr>
          <w:sz w:val="18"/>
        </w:rPr>
      </w:pPr>
      <w:r>
        <w:rPr>
          <w:color w:val="5E5E5E"/>
          <w:sz w:val="12"/>
        </w:rPr>
        <w:t>189</w:t>
      </w:r>
      <w:r>
        <w:rPr>
          <w:color w:val="5E5E5E"/>
          <w:spacing w:val="7"/>
          <w:sz w:val="12"/>
        </w:rPr>
        <w:t xml:space="preserve"> </w:t>
      </w:r>
      <w:r>
        <w:rPr>
          <w:color w:val="5E5E5E"/>
          <w:spacing w:val="-10"/>
          <w:position w:val="-5"/>
          <w:sz w:val="18"/>
        </w:rPr>
        <w:t>[</w:t>
      </w:r>
    </w:p>
    <w:p w14:paraId="51DE8170" w14:textId="77777777" w:rsidR="0010369C" w:rsidRDefault="008E43AE">
      <w:pPr>
        <w:spacing w:before="37"/>
        <w:ind w:left="238"/>
        <w:rPr>
          <w:sz w:val="18"/>
        </w:rPr>
      </w:pPr>
      <w:r>
        <w:rPr>
          <w:color w:val="5E5E5E"/>
          <w:sz w:val="18"/>
        </w:rPr>
        <w:t>AUS‐23</w:t>
      </w:r>
      <w:r>
        <w:rPr>
          <w:color w:val="5E5E5E"/>
          <w:spacing w:val="-7"/>
          <w:sz w:val="18"/>
        </w:rPr>
        <w:t xml:space="preserve"> </w:t>
      </w:r>
      <w:r>
        <w:rPr>
          <w:color w:val="5E5E5E"/>
          <w:spacing w:val="-2"/>
          <w:sz w:val="18"/>
        </w:rPr>
        <w:t>(BCI)).]]</w:t>
      </w:r>
    </w:p>
    <w:p w14:paraId="51DE8171" w14:textId="77777777" w:rsidR="0010369C" w:rsidRDefault="008E43AE">
      <w:pPr>
        <w:spacing w:line="219" w:lineRule="exact"/>
        <w:ind w:left="238"/>
        <w:rPr>
          <w:sz w:val="18"/>
        </w:rPr>
      </w:pPr>
      <w:r>
        <w:br w:type="column"/>
      </w:r>
      <w:r>
        <w:rPr>
          <w:color w:val="5E5E5E"/>
          <w:spacing w:val="-2"/>
          <w:sz w:val="18"/>
        </w:rPr>
        <w:t>(Exhibit</w:t>
      </w:r>
    </w:p>
    <w:p w14:paraId="51DE8172" w14:textId="77777777" w:rsidR="0010369C" w:rsidRDefault="0010369C">
      <w:pPr>
        <w:spacing w:line="219" w:lineRule="exact"/>
        <w:rPr>
          <w:sz w:val="18"/>
        </w:rPr>
        <w:sectPr w:rsidR="0010369C">
          <w:type w:val="continuous"/>
          <w:pgSz w:w="11910" w:h="16840"/>
          <w:pgMar w:top="1460" w:right="800" w:bottom="280" w:left="1180" w:header="569" w:footer="788" w:gutter="0"/>
          <w:cols w:num="2" w:space="720" w:equalWidth="0">
            <w:col w:w="1419" w:space="7101"/>
            <w:col w:w="1410"/>
          </w:cols>
        </w:sectPr>
      </w:pPr>
    </w:p>
    <w:p w14:paraId="51DE8173" w14:textId="77777777" w:rsidR="0010369C" w:rsidRDefault="008E43AE">
      <w:pPr>
        <w:tabs>
          <w:tab w:val="left" w:pos="6426"/>
        </w:tabs>
        <w:ind w:left="238"/>
        <w:jc w:val="both"/>
        <w:rPr>
          <w:sz w:val="20"/>
        </w:rPr>
      </w:pPr>
      <w:r>
        <w:rPr>
          <w:i/>
          <w:sz w:val="20"/>
        </w:rPr>
        <w:lastRenderedPageBreak/>
        <w:t>China</w:t>
      </w:r>
      <w:r>
        <w:rPr>
          <w:i/>
          <w:spacing w:val="-5"/>
          <w:sz w:val="20"/>
        </w:rPr>
        <w:t xml:space="preserve"> </w:t>
      </w:r>
      <w:r>
        <w:rPr>
          <w:i/>
          <w:sz w:val="20"/>
        </w:rPr>
        <w:t>–</w:t>
      </w:r>
      <w:r>
        <w:rPr>
          <w:i/>
          <w:spacing w:val="-5"/>
          <w:sz w:val="20"/>
        </w:rPr>
        <w:t xml:space="preserve"> </w:t>
      </w:r>
      <w:r>
        <w:rPr>
          <w:i/>
          <w:sz w:val="20"/>
        </w:rPr>
        <w:t>Anti‐Dumping</w:t>
      </w:r>
      <w:r>
        <w:rPr>
          <w:i/>
          <w:spacing w:val="-4"/>
          <w:sz w:val="20"/>
        </w:rPr>
        <w:t xml:space="preserve"> </w:t>
      </w:r>
      <w:r>
        <w:rPr>
          <w:i/>
          <w:sz w:val="20"/>
        </w:rPr>
        <w:t>and</w:t>
      </w:r>
      <w:r>
        <w:rPr>
          <w:i/>
          <w:spacing w:val="-5"/>
          <w:sz w:val="20"/>
        </w:rPr>
        <w:t xml:space="preserve"> </w:t>
      </w:r>
      <w:r>
        <w:rPr>
          <w:i/>
          <w:sz w:val="20"/>
        </w:rPr>
        <w:t>Countervailing</w:t>
      </w:r>
      <w:r>
        <w:rPr>
          <w:i/>
          <w:spacing w:val="-5"/>
          <w:sz w:val="20"/>
        </w:rPr>
        <w:t xml:space="preserve"> </w:t>
      </w:r>
      <w:r>
        <w:rPr>
          <w:i/>
          <w:sz w:val="20"/>
        </w:rPr>
        <w:t>Duty</w:t>
      </w:r>
      <w:r>
        <w:rPr>
          <w:i/>
          <w:spacing w:val="-4"/>
          <w:sz w:val="20"/>
        </w:rPr>
        <w:t xml:space="preserve"> </w:t>
      </w:r>
      <w:r>
        <w:rPr>
          <w:i/>
          <w:spacing w:val="-2"/>
          <w:sz w:val="20"/>
        </w:rPr>
        <w:t>Measures</w:t>
      </w:r>
      <w:r>
        <w:rPr>
          <w:i/>
          <w:sz w:val="20"/>
        </w:rPr>
        <w:tab/>
      </w:r>
      <w:r>
        <w:rPr>
          <w:sz w:val="20"/>
        </w:rPr>
        <w:t>Australia's</w:t>
      </w:r>
      <w:r>
        <w:rPr>
          <w:spacing w:val="-7"/>
          <w:sz w:val="20"/>
        </w:rPr>
        <w:t xml:space="preserve"> </w:t>
      </w:r>
      <w:r>
        <w:rPr>
          <w:sz w:val="20"/>
        </w:rPr>
        <w:t>First</w:t>
      </w:r>
      <w:r>
        <w:rPr>
          <w:spacing w:val="-2"/>
          <w:sz w:val="20"/>
        </w:rPr>
        <w:t xml:space="preserve"> </w:t>
      </w:r>
      <w:r>
        <w:rPr>
          <w:sz w:val="20"/>
        </w:rPr>
        <w:t>Written</w:t>
      </w:r>
      <w:r>
        <w:rPr>
          <w:spacing w:val="-2"/>
          <w:sz w:val="20"/>
        </w:rPr>
        <w:t xml:space="preserve"> Submission</w:t>
      </w:r>
    </w:p>
    <w:p w14:paraId="51DE8174" w14:textId="77777777" w:rsidR="0010369C" w:rsidRDefault="008E43AE">
      <w:pPr>
        <w:tabs>
          <w:tab w:val="left" w:pos="8228"/>
        </w:tabs>
        <w:spacing w:before="1"/>
        <w:ind w:left="239"/>
        <w:jc w:val="both"/>
        <w:rPr>
          <w:sz w:val="20"/>
        </w:rPr>
      </w:pPr>
      <w:r>
        <w:rPr>
          <w:i/>
          <w:sz w:val="20"/>
        </w:rPr>
        <w:t>on</w:t>
      </w:r>
      <w:r>
        <w:rPr>
          <w:i/>
          <w:spacing w:val="-1"/>
          <w:sz w:val="20"/>
        </w:rPr>
        <w:t xml:space="preserve"> </w:t>
      </w:r>
      <w:r>
        <w:rPr>
          <w:i/>
          <w:sz w:val="20"/>
        </w:rPr>
        <w:t>Wine</w:t>
      </w:r>
      <w:r>
        <w:rPr>
          <w:i/>
          <w:spacing w:val="-1"/>
          <w:sz w:val="20"/>
        </w:rPr>
        <w:t xml:space="preserve"> </w:t>
      </w:r>
      <w:r>
        <w:rPr>
          <w:i/>
          <w:sz w:val="20"/>
        </w:rPr>
        <w:t>from</w:t>
      </w:r>
      <w:r>
        <w:rPr>
          <w:i/>
          <w:spacing w:val="-3"/>
          <w:sz w:val="20"/>
        </w:rPr>
        <w:t xml:space="preserve"> </w:t>
      </w:r>
      <w:r>
        <w:rPr>
          <w:i/>
          <w:sz w:val="20"/>
        </w:rPr>
        <w:t>Australia</w:t>
      </w:r>
      <w:r>
        <w:rPr>
          <w:i/>
          <w:spacing w:val="-1"/>
          <w:sz w:val="20"/>
        </w:rPr>
        <w:t xml:space="preserve"> </w:t>
      </w:r>
      <w:r>
        <w:rPr>
          <w:spacing w:val="-2"/>
          <w:sz w:val="20"/>
        </w:rPr>
        <w:t>(DS602)</w:t>
      </w:r>
      <w:r>
        <w:rPr>
          <w:sz w:val="20"/>
        </w:rPr>
        <w:tab/>
        <w:t>29</w:t>
      </w:r>
      <w:r>
        <w:rPr>
          <w:spacing w:val="-1"/>
          <w:sz w:val="20"/>
        </w:rPr>
        <w:t xml:space="preserve"> </w:t>
      </w:r>
      <w:r>
        <w:rPr>
          <w:sz w:val="20"/>
        </w:rPr>
        <w:t>April</w:t>
      </w:r>
      <w:r>
        <w:rPr>
          <w:spacing w:val="-2"/>
          <w:sz w:val="20"/>
        </w:rPr>
        <w:t xml:space="preserve"> </w:t>
      </w:r>
      <w:r>
        <w:rPr>
          <w:spacing w:val="-4"/>
          <w:sz w:val="20"/>
        </w:rPr>
        <w:t>2022</w:t>
      </w:r>
    </w:p>
    <w:p w14:paraId="51DE8175" w14:textId="77777777" w:rsidR="0010369C" w:rsidRDefault="008E43AE">
      <w:pPr>
        <w:pStyle w:val="BodyText"/>
        <w:spacing w:before="34" w:line="360" w:lineRule="auto"/>
        <w:ind w:left="236" w:right="615" w:firstLine="852"/>
        <w:jc w:val="both"/>
      </w:pPr>
      <w:r>
        <w:rPr>
          <w:noProof/>
        </w:rPr>
        <w:drawing>
          <wp:anchor distT="0" distB="0" distL="0" distR="0" simplePos="0" relativeHeight="250855936" behindDoc="1" locked="0" layoutInCell="1" allowOverlap="1" wp14:anchorId="51DE9F45" wp14:editId="51DE9F46">
            <wp:simplePos x="0" y="0"/>
            <wp:positionH relativeFrom="page">
              <wp:posOffset>908303</wp:posOffset>
            </wp:positionH>
            <wp:positionV relativeFrom="paragraph">
              <wp:posOffset>69165</wp:posOffset>
            </wp:positionV>
            <wp:extent cx="256031" cy="103631"/>
            <wp:effectExtent l="0" t="0" r="0" b="0"/>
            <wp:wrapNone/>
            <wp:docPr id="359" name="image1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image188.png"/>
                    <pic:cNvPicPr/>
                  </pic:nvPicPr>
                  <pic:blipFill>
                    <a:blip r:embed="rId282" cstate="print"/>
                    <a:stretch>
                      <a:fillRect/>
                    </a:stretch>
                  </pic:blipFill>
                  <pic:spPr>
                    <a:xfrm>
                      <a:off x="0" y="0"/>
                      <a:ext cx="256031" cy="103631"/>
                    </a:xfrm>
                    <a:prstGeom prst="rect">
                      <a:avLst/>
                    </a:prstGeom>
                  </pic:spPr>
                </pic:pic>
              </a:graphicData>
            </a:graphic>
          </wp:anchor>
        </w:drawing>
      </w:r>
      <w:r>
        <w:t>MOFCOM provided no explanation as to why it considered alleged deficiencies to remain after receipt of valid explanations as outlined above by Treasury Wines in respect of Form 6‐3.</w:t>
      </w:r>
    </w:p>
    <w:p w14:paraId="51DE8176" w14:textId="77777777" w:rsidR="0010369C" w:rsidRDefault="0010369C">
      <w:pPr>
        <w:pStyle w:val="BodyText"/>
        <w:spacing w:before="11"/>
        <w:rPr>
          <w:sz w:val="8"/>
        </w:rPr>
      </w:pPr>
    </w:p>
    <w:p w14:paraId="51DE8177" w14:textId="77777777" w:rsidR="0010369C" w:rsidRDefault="008E43AE">
      <w:pPr>
        <w:pStyle w:val="BodyText"/>
        <w:spacing w:before="52" w:line="360" w:lineRule="auto"/>
        <w:ind w:left="237" w:right="613" w:firstLine="851"/>
        <w:jc w:val="both"/>
      </w:pPr>
      <w:r>
        <w:rPr>
          <w:noProof/>
        </w:rPr>
        <w:drawing>
          <wp:anchor distT="0" distB="0" distL="0" distR="0" simplePos="0" relativeHeight="250856960" behindDoc="1" locked="0" layoutInCell="1" allowOverlap="1" wp14:anchorId="51DE9F47" wp14:editId="51DE9F48">
            <wp:simplePos x="0" y="0"/>
            <wp:positionH relativeFrom="page">
              <wp:posOffset>908303</wp:posOffset>
            </wp:positionH>
            <wp:positionV relativeFrom="paragraph">
              <wp:posOffset>80595</wp:posOffset>
            </wp:positionV>
            <wp:extent cx="256031" cy="103631"/>
            <wp:effectExtent l="0" t="0" r="0" b="0"/>
            <wp:wrapNone/>
            <wp:docPr id="361" name="image1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image189.png"/>
                    <pic:cNvPicPr/>
                  </pic:nvPicPr>
                  <pic:blipFill>
                    <a:blip r:embed="rId283" cstate="print"/>
                    <a:stretch>
                      <a:fillRect/>
                    </a:stretch>
                  </pic:blipFill>
                  <pic:spPr>
                    <a:xfrm>
                      <a:off x="0" y="0"/>
                      <a:ext cx="256031" cy="103631"/>
                    </a:xfrm>
                    <a:prstGeom prst="rect">
                      <a:avLst/>
                    </a:prstGeom>
                  </pic:spPr>
                </pic:pic>
              </a:graphicData>
            </a:graphic>
          </wp:anchor>
        </w:drawing>
      </w:r>
      <w:r>
        <w:t>To the extent that MOFCOM was dissatisfied with the information submitte</w:t>
      </w:r>
      <w:r>
        <w:t>d, it was required</w:t>
      </w:r>
      <w:r>
        <w:rPr>
          <w:spacing w:val="-6"/>
        </w:rPr>
        <w:t xml:space="preserve"> </w:t>
      </w:r>
      <w:r>
        <w:t>to examine that information in light of the criteria in paragraph 3</w:t>
      </w:r>
      <w:r>
        <w:rPr>
          <w:spacing w:val="-1"/>
        </w:rPr>
        <w:t xml:space="preserve"> </w:t>
      </w:r>
      <w:r>
        <w:t>of Annex II,</w:t>
      </w:r>
      <w:r>
        <w:rPr>
          <w:vertAlign w:val="superscript"/>
        </w:rPr>
        <w:t>190</w:t>
      </w:r>
      <w:r>
        <w:rPr>
          <w:spacing w:val="-14"/>
        </w:rPr>
        <w:t xml:space="preserve"> </w:t>
      </w:r>
      <w:r>
        <w:t>and at a minimum, explain in what way the information it rejected did not meet the requirements.</w:t>
      </w:r>
      <w:r>
        <w:rPr>
          <w:vertAlign w:val="superscript"/>
        </w:rPr>
        <w:t>191</w:t>
      </w:r>
      <w:r>
        <w:t xml:space="preserve"> Moreover, MOFCOM was required to "actively make effor</w:t>
      </w:r>
      <w:r>
        <w:t>ts" to use the information submitted.</w:t>
      </w:r>
      <w:r>
        <w:rPr>
          <w:vertAlign w:val="superscript"/>
        </w:rPr>
        <w:t>192</w:t>
      </w:r>
      <w:r>
        <w:t xml:space="preserve"> Had it done so, MOFCOM would have concluded that the information submitted was, in fact, verifiable, appropriately submitted, timely and in an appropriate</w:t>
      </w:r>
      <w:r>
        <w:rPr>
          <w:spacing w:val="-7"/>
        </w:rPr>
        <w:t xml:space="preserve"> </w:t>
      </w:r>
      <w:r>
        <w:t>medium.</w:t>
      </w:r>
      <w:r>
        <w:rPr>
          <w:spacing w:val="-7"/>
        </w:rPr>
        <w:t xml:space="preserve"> </w:t>
      </w:r>
      <w:r>
        <w:t>An</w:t>
      </w:r>
      <w:r>
        <w:rPr>
          <w:spacing w:val="-6"/>
        </w:rPr>
        <w:t xml:space="preserve"> </w:t>
      </w:r>
      <w:r>
        <w:t>unbiased</w:t>
      </w:r>
      <w:r>
        <w:rPr>
          <w:spacing w:val="-6"/>
        </w:rPr>
        <w:t xml:space="preserve"> </w:t>
      </w:r>
      <w:r>
        <w:t>and</w:t>
      </w:r>
      <w:r>
        <w:rPr>
          <w:spacing w:val="-6"/>
        </w:rPr>
        <w:t xml:space="preserve"> </w:t>
      </w:r>
      <w:r>
        <w:t>objective</w:t>
      </w:r>
      <w:r>
        <w:rPr>
          <w:spacing w:val="-6"/>
        </w:rPr>
        <w:t xml:space="preserve"> </w:t>
      </w:r>
      <w:r>
        <w:t>investigating</w:t>
      </w:r>
      <w:r>
        <w:rPr>
          <w:spacing w:val="-5"/>
        </w:rPr>
        <w:t xml:space="preserve"> </w:t>
      </w:r>
      <w:r>
        <w:t>authority</w:t>
      </w:r>
      <w:r>
        <w:rPr>
          <w:spacing w:val="-5"/>
        </w:rPr>
        <w:t xml:space="preserve"> </w:t>
      </w:r>
      <w:r>
        <w:t>co</w:t>
      </w:r>
      <w:r>
        <w:t>uld</w:t>
      </w:r>
      <w:r>
        <w:rPr>
          <w:spacing w:val="-6"/>
        </w:rPr>
        <w:t xml:space="preserve"> </w:t>
      </w:r>
      <w:r>
        <w:t>not</w:t>
      </w:r>
      <w:r>
        <w:rPr>
          <w:spacing w:val="-6"/>
        </w:rPr>
        <w:t xml:space="preserve"> </w:t>
      </w:r>
      <w:r>
        <w:t>have</w:t>
      </w:r>
      <w:r>
        <w:rPr>
          <w:spacing w:val="-5"/>
        </w:rPr>
        <w:t xml:space="preserve"> </w:t>
      </w:r>
      <w:r>
        <w:t>found otherwise.</w:t>
      </w:r>
      <w:r>
        <w:rPr>
          <w:vertAlign w:val="superscript"/>
        </w:rPr>
        <w:t>193</w:t>
      </w:r>
      <w:r>
        <w:rPr>
          <w:spacing w:val="4"/>
        </w:rPr>
        <w:t xml:space="preserve"> </w:t>
      </w:r>
      <w:r>
        <w:t>There</w:t>
      </w:r>
      <w:r>
        <w:rPr>
          <w:spacing w:val="-14"/>
        </w:rPr>
        <w:t xml:space="preserve"> </w:t>
      </w:r>
      <w:r>
        <w:t>is</w:t>
      </w:r>
      <w:r>
        <w:rPr>
          <w:spacing w:val="-13"/>
        </w:rPr>
        <w:t xml:space="preserve"> </w:t>
      </w:r>
      <w:r>
        <w:t>no</w:t>
      </w:r>
      <w:r>
        <w:rPr>
          <w:spacing w:val="-14"/>
        </w:rPr>
        <w:t xml:space="preserve"> </w:t>
      </w:r>
      <w:r>
        <w:t>"unlimited</w:t>
      </w:r>
      <w:r>
        <w:rPr>
          <w:spacing w:val="-14"/>
        </w:rPr>
        <w:t xml:space="preserve"> </w:t>
      </w:r>
      <w:r>
        <w:t>right"</w:t>
      </w:r>
      <w:r>
        <w:rPr>
          <w:spacing w:val="-13"/>
        </w:rPr>
        <w:t xml:space="preserve"> </w:t>
      </w:r>
      <w:r>
        <w:t>for</w:t>
      </w:r>
      <w:r>
        <w:rPr>
          <w:spacing w:val="-14"/>
        </w:rPr>
        <w:t xml:space="preserve"> </w:t>
      </w:r>
      <w:r>
        <w:t>MOFCOM</w:t>
      </w:r>
      <w:r>
        <w:rPr>
          <w:spacing w:val="-13"/>
        </w:rPr>
        <w:t xml:space="preserve"> </w:t>
      </w:r>
      <w:r>
        <w:t>to</w:t>
      </w:r>
      <w:r>
        <w:rPr>
          <w:spacing w:val="-14"/>
        </w:rPr>
        <w:t xml:space="preserve"> </w:t>
      </w:r>
      <w:r>
        <w:t>reject</w:t>
      </w:r>
      <w:r>
        <w:rPr>
          <w:spacing w:val="-13"/>
        </w:rPr>
        <w:t xml:space="preserve"> </w:t>
      </w:r>
      <w:r>
        <w:t>all</w:t>
      </w:r>
      <w:r>
        <w:rPr>
          <w:spacing w:val="-14"/>
        </w:rPr>
        <w:t xml:space="preserve"> </w:t>
      </w:r>
      <w:r>
        <w:t>information</w:t>
      </w:r>
      <w:r>
        <w:rPr>
          <w:spacing w:val="-14"/>
        </w:rPr>
        <w:t xml:space="preserve"> </w:t>
      </w:r>
      <w:r>
        <w:t>and</w:t>
      </w:r>
      <w:r>
        <w:rPr>
          <w:spacing w:val="-13"/>
        </w:rPr>
        <w:t xml:space="preserve"> </w:t>
      </w:r>
      <w:r>
        <w:t>ascertain the</w:t>
      </w:r>
      <w:r>
        <w:rPr>
          <w:spacing w:val="-8"/>
        </w:rPr>
        <w:t xml:space="preserve"> </w:t>
      </w:r>
      <w:r>
        <w:t>normal</w:t>
      </w:r>
      <w:r>
        <w:rPr>
          <w:spacing w:val="-10"/>
        </w:rPr>
        <w:t xml:space="preserve"> </w:t>
      </w:r>
      <w:r>
        <w:t>value</w:t>
      </w:r>
      <w:r>
        <w:rPr>
          <w:spacing w:val="-8"/>
        </w:rPr>
        <w:t xml:space="preserve"> </w:t>
      </w:r>
      <w:r>
        <w:t>entirely</w:t>
      </w:r>
      <w:r>
        <w:rPr>
          <w:spacing w:val="-9"/>
        </w:rPr>
        <w:t xml:space="preserve"> </w:t>
      </w:r>
      <w:r>
        <w:t>on</w:t>
      </w:r>
      <w:r>
        <w:rPr>
          <w:spacing w:val="-9"/>
        </w:rPr>
        <w:t xml:space="preserve"> </w:t>
      </w:r>
      <w:r>
        <w:t>the</w:t>
      </w:r>
      <w:r>
        <w:rPr>
          <w:spacing w:val="-8"/>
        </w:rPr>
        <w:t xml:space="preserve"> </w:t>
      </w:r>
      <w:r>
        <w:t>basis</w:t>
      </w:r>
      <w:r>
        <w:rPr>
          <w:spacing w:val="-9"/>
        </w:rPr>
        <w:t xml:space="preserve"> </w:t>
      </w:r>
      <w:r>
        <w:t>of</w:t>
      </w:r>
      <w:r>
        <w:rPr>
          <w:spacing w:val="-9"/>
        </w:rPr>
        <w:t xml:space="preserve"> </w:t>
      </w:r>
      <w:r>
        <w:t>facts</w:t>
      </w:r>
      <w:r>
        <w:rPr>
          <w:spacing w:val="-9"/>
        </w:rPr>
        <w:t xml:space="preserve"> </w:t>
      </w:r>
      <w:r>
        <w:t>available</w:t>
      </w:r>
      <w:r>
        <w:rPr>
          <w:spacing w:val="-8"/>
        </w:rPr>
        <w:t xml:space="preserve"> </w:t>
      </w:r>
      <w:r>
        <w:t>if</w:t>
      </w:r>
      <w:r>
        <w:rPr>
          <w:spacing w:val="-9"/>
        </w:rPr>
        <w:t xml:space="preserve"> </w:t>
      </w:r>
      <w:r>
        <w:t>some</w:t>
      </w:r>
      <w:r>
        <w:rPr>
          <w:spacing w:val="-8"/>
        </w:rPr>
        <w:t xml:space="preserve"> </w:t>
      </w:r>
      <w:r>
        <w:t>information</w:t>
      </w:r>
      <w:r>
        <w:rPr>
          <w:spacing w:val="-8"/>
        </w:rPr>
        <w:t xml:space="preserve"> </w:t>
      </w:r>
      <w:r>
        <w:t>was</w:t>
      </w:r>
      <w:r>
        <w:rPr>
          <w:spacing w:val="-9"/>
        </w:rPr>
        <w:t xml:space="preserve"> </w:t>
      </w:r>
      <w:r>
        <w:t>not</w:t>
      </w:r>
      <w:r>
        <w:rPr>
          <w:spacing w:val="-10"/>
        </w:rPr>
        <w:t xml:space="preserve"> </w:t>
      </w:r>
      <w:r>
        <w:t>provided, or if some information did not meet the criteria in paragraph 3 of Annex II.</w:t>
      </w:r>
      <w:r>
        <w:rPr>
          <w:vertAlign w:val="superscript"/>
        </w:rPr>
        <w:t>194</w:t>
      </w:r>
    </w:p>
    <w:p w14:paraId="51DE8178" w14:textId="77777777" w:rsidR="0010369C" w:rsidRDefault="0010369C">
      <w:pPr>
        <w:pStyle w:val="BodyText"/>
        <w:spacing w:before="10"/>
        <w:rPr>
          <w:sz w:val="8"/>
        </w:rPr>
      </w:pPr>
    </w:p>
    <w:p w14:paraId="51DE8179" w14:textId="77777777" w:rsidR="0010369C" w:rsidRDefault="008E43AE">
      <w:pPr>
        <w:pStyle w:val="BodyText"/>
        <w:spacing w:before="51" w:line="360" w:lineRule="auto"/>
        <w:ind w:left="236" w:right="613" w:firstLine="852"/>
        <w:jc w:val="both"/>
      </w:pPr>
      <w:r>
        <w:rPr>
          <w:noProof/>
        </w:rPr>
        <w:drawing>
          <wp:anchor distT="0" distB="0" distL="0" distR="0" simplePos="0" relativeHeight="250857984" behindDoc="1" locked="0" layoutInCell="1" allowOverlap="1" wp14:anchorId="51DE9F49" wp14:editId="51DE9F4A">
            <wp:simplePos x="0" y="0"/>
            <wp:positionH relativeFrom="page">
              <wp:posOffset>908303</wp:posOffset>
            </wp:positionH>
            <wp:positionV relativeFrom="paragraph">
              <wp:posOffset>80722</wp:posOffset>
            </wp:positionV>
            <wp:extent cx="256031" cy="103631"/>
            <wp:effectExtent l="0" t="0" r="0" b="0"/>
            <wp:wrapNone/>
            <wp:docPr id="363" name="image1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image190.png"/>
                    <pic:cNvPicPr/>
                  </pic:nvPicPr>
                  <pic:blipFill>
                    <a:blip r:embed="rId284" cstate="print"/>
                    <a:stretch>
                      <a:fillRect/>
                    </a:stretch>
                  </pic:blipFill>
                  <pic:spPr>
                    <a:xfrm>
                      <a:off x="0" y="0"/>
                      <a:ext cx="256031" cy="103631"/>
                    </a:xfrm>
                    <a:prstGeom prst="rect">
                      <a:avLst/>
                    </a:prstGeom>
                  </pic:spPr>
                </pic:pic>
              </a:graphicData>
            </a:graphic>
          </wp:anchor>
        </w:drawing>
      </w:r>
      <w:r>
        <w:t>MOFCOM was also obliged by paragraph 5 of Annex II to use the information provided</w:t>
      </w:r>
      <w:r>
        <w:rPr>
          <w:spacing w:val="-2"/>
        </w:rPr>
        <w:t xml:space="preserve"> </w:t>
      </w:r>
      <w:r>
        <w:t>to</w:t>
      </w:r>
      <w:r>
        <w:rPr>
          <w:spacing w:val="-3"/>
        </w:rPr>
        <w:t xml:space="preserve"> </w:t>
      </w:r>
      <w:r>
        <w:t>it,</w:t>
      </w:r>
      <w:r>
        <w:rPr>
          <w:spacing w:val="-2"/>
        </w:rPr>
        <w:t xml:space="preserve"> </w:t>
      </w:r>
      <w:r>
        <w:t>even</w:t>
      </w:r>
      <w:r>
        <w:rPr>
          <w:spacing w:val="-3"/>
        </w:rPr>
        <w:t xml:space="preserve"> </w:t>
      </w:r>
      <w:r>
        <w:t>if</w:t>
      </w:r>
      <w:r>
        <w:rPr>
          <w:spacing w:val="-3"/>
        </w:rPr>
        <w:t xml:space="preserve"> </w:t>
      </w:r>
      <w:r>
        <w:t>not</w:t>
      </w:r>
      <w:r>
        <w:rPr>
          <w:spacing w:val="-2"/>
        </w:rPr>
        <w:t xml:space="preserve"> </w:t>
      </w:r>
      <w:r>
        <w:t>ideal</w:t>
      </w:r>
      <w:r>
        <w:rPr>
          <w:spacing w:val="-2"/>
        </w:rPr>
        <w:t xml:space="preserve"> </w:t>
      </w:r>
      <w:r>
        <w:t>in</w:t>
      </w:r>
      <w:r>
        <w:rPr>
          <w:spacing w:val="-3"/>
        </w:rPr>
        <w:t xml:space="preserve"> </w:t>
      </w:r>
      <w:r>
        <w:t>all</w:t>
      </w:r>
      <w:r>
        <w:rPr>
          <w:spacing w:val="-4"/>
        </w:rPr>
        <w:t xml:space="preserve"> </w:t>
      </w:r>
      <w:r>
        <w:t>respects,</w:t>
      </w:r>
      <w:r>
        <w:rPr>
          <w:spacing w:val="-3"/>
        </w:rPr>
        <w:t xml:space="preserve"> </w:t>
      </w:r>
      <w:r>
        <w:t>provided</w:t>
      </w:r>
      <w:r>
        <w:rPr>
          <w:spacing w:val="-3"/>
        </w:rPr>
        <w:t xml:space="preserve"> </w:t>
      </w:r>
      <w:r>
        <w:t>Treasury</w:t>
      </w:r>
      <w:r>
        <w:rPr>
          <w:spacing w:val="-3"/>
        </w:rPr>
        <w:t xml:space="preserve"> </w:t>
      </w:r>
      <w:r>
        <w:t>Wines</w:t>
      </w:r>
      <w:r>
        <w:rPr>
          <w:spacing w:val="-4"/>
        </w:rPr>
        <w:t xml:space="preserve"> </w:t>
      </w:r>
      <w:r>
        <w:t>had</w:t>
      </w:r>
      <w:r>
        <w:rPr>
          <w:spacing w:val="-3"/>
        </w:rPr>
        <w:t xml:space="preserve"> </w:t>
      </w:r>
      <w:r>
        <w:t>acted</w:t>
      </w:r>
      <w:r>
        <w:rPr>
          <w:spacing w:val="-3"/>
        </w:rPr>
        <w:t xml:space="preserve"> </w:t>
      </w:r>
      <w:r>
        <w:t>to</w:t>
      </w:r>
      <w:r>
        <w:rPr>
          <w:spacing w:val="-3"/>
        </w:rPr>
        <w:t xml:space="preserve"> </w:t>
      </w:r>
      <w:r>
        <w:t>the</w:t>
      </w:r>
      <w:r>
        <w:rPr>
          <w:spacing w:val="-2"/>
        </w:rPr>
        <w:t xml:space="preserve"> </w:t>
      </w:r>
      <w:r>
        <w:t>best of its ability. Treasury Wines acted to the best of its ability in providing all the necessary information to enable MOFCOM to construct normal value, with full (and repeated) explanations</w:t>
      </w:r>
      <w:r>
        <w:rPr>
          <w:spacing w:val="-14"/>
        </w:rPr>
        <w:t xml:space="preserve"> </w:t>
      </w:r>
      <w:r>
        <w:t>of</w:t>
      </w:r>
      <w:r>
        <w:rPr>
          <w:spacing w:val="-14"/>
        </w:rPr>
        <w:t xml:space="preserve"> </w:t>
      </w:r>
      <w:r>
        <w:t>why</w:t>
      </w:r>
      <w:r>
        <w:rPr>
          <w:spacing w:val="-13"/>
        </w:rPr>
        <w:t xml:space="preserve"> </w:t>
      </w:r>
      <w:r>
        <w:t>it</w:t>
      </w:r>
      <w:r>
        <w:rPr>
          <w:spacing w:val="-12"/>
        </w:rPr>
        <w:t xml:space="preserve"> </w:t>
      </w:r>
      <w:r>
        <w:t>was</w:t>
      </w:r>
      <w:r>
        <w:rPr>
          <w:spacing w:val="-14"/>
        </w:rPr>
        <w:t xml:space="preserve"> </w:t>
      </w:r>
      <w:r>
        <w:t>presented</w:t>
      </w:r>
      <w:r>
        <w:rPr>
          <w:spacing w:val="-13"/>
        </w:rPr>
        <w:t xml:space="preserve"> </w:t>
      </w:r>
      <w:r>
        <w:t>in</w:t>
      </w:r>
      <w:r>
        <w:rPr>
          <w:spacing w:val="-14"/>
        </w:rPr>
        <w:t xml:space="preserve"> </w:t>
      </w:r>
      <w:r>
        <w:t>the</w:t>
      </w:r>
      <w:r>
        <w:rPr>
          <w:spacing w:val="-12"/>
        </w:rPr>
        <w:t xml:space="preserve"> </w:t>
      </w:r>
      <w:r>
        <w:t>way</w:t>
      </w:r>
      <w:r>
        <w:rPr>
          <w:spacing w:val="-14"/>
        </w:rPr>
        <w:t xml:space="preserve"> </w:t>
      </w:r>
      <w:r>
        <w:t>chosen.</w:t>
      </w:r>
      <w:r>
        <w:rPr>
          <w:spacing w:val="-13"/>
        </w:rPr>
        <w:t xml:space="preserve"> </w:t>
      </w:r>
      <w:r>
        <w:t>Accordingly,</w:t>
      </w:r>
      <w:r>
        <w:rPr>
          <w:spacing w:val="-14"/>
        </w:rPr>
        <w:t xml:space="preserve"> </w:t>
      </w:r>
      <w:r>
        <w:t>MO</w:t>
      </w:r>
      <w:r>
        <w:t>FCOM</w:t>
      </w:r>
      <w:r>
        <w:rPr>
          <w:spacing w:val="-13"/>
        </w:rPr>
        <w:t xml:space="preserve"> </w:t>
      </w:r>
      <w:r>
        <w:t>had</w:t>
      </w:r>
      <w:r>
        <w:rPr>
          <w:spacing w:val="-12"/>
        </w:rPr>
        <w:t xml:space="preserve"> </w:t>
      </w:r>
      <w:r>
        <w:t>no</w:t>
      </w:r>
      <w:r>
        <w:rPr>
          <w:spacing w:val="-13"/>
        </w:rPr>
        <w:t xml:space="preserve"> </w:t>
      </w:r>
      <w:r>
        <w:t>proper basis to refuse to make use of it.</w:t>
      </w:r>
    </w:p>
    <w:p w14:paraId="51DE817A" w14:textId="77777777" w:rsidR="0010369C" w:rsidRDefault="0010369C">
      <w:pPr>
        <w:pStyle w:val="BodyText"/>
        <w:spacing w:before="12"/>
        <w:rPr>
          <w:sz w:val="8"/>
        </w:rPr>
      </w:pPr>
    </w:p>
    <w:p w14:paraId="51DE817B" w14:textId="77777777" w:rsidR="0010369C" w:rsidRDefault="008E43AE">
      <w:pPr>
        <w:pStyle w:val="BodyText"/>
        <w:spacing w:before="51" w:line="360" w:lineRule="auto"/>
        <w:ind w:left="236" w:right="614" w:firstLine="852"/>
        <w:jc w:val="both"/>
      </w:pPr>
      <w:r>
        <w:rPr>
          <w:noProof/>
        </w:rPr>
        <w:drawing>
          <wp:anchor distT="0" distB="0" distL="0" distR="0" simplePos="0" relativeHeight="250859008" behindDoc="1" locked="0" layoutInCell="1" allowOverlap="1" wp14:anchorId="51DE9F4B" wp14:editId="51DE9F4C">
            <wp:simplePos x="0" y="0"/>
            <wp:positionH relativeFrom="page">
              <wp:posOffset>908303</wp:posOffset>
            </wp:positionH>
            <wp:positionV relativeFrom="paragraph">
              <wp:posOffset>81314</wp:posOffset>
            </wp:positionV>
            <wp:extent cx="256031" cy="100753"/>
            <wp:effectExtent l="0" t="0" r="0" b="0"/>
            <wp:wrapNone/>
            <wp:docPr id="365" name="image1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image191.png"/>
                    <pic:cNvPicPr/>
                  </pic:nvPicPr>
                  <pic:blipFill>
                    <a:blip r:embed="rId285" cstate="print"/>
                    <a:stretch>
                      <a:fillRect/>
                    </a:stretch>
                  </pic:blipFill>
                  <pic:spPr>
                    <a:xfrm>
                      <a:off x="0" y="0"/>
                      <a:ext cx="256031" cy="100753"/>
                    </a:xfrm>
                    <a:prstGeom prst="rect">
                      <a:avLst/>
                    </a:prstGeom>
                  </pic:spPr>
                </pic:pic>
              </a:graphicData>
            </a:graphic>
          </wp:anchor>
        </w:drawing>
      </w:r>
      <w:r>
        <w:t>MOFCOM</w:t>
      </w:r>
      <w:r>
        <w:rPr>
          <w:spacing w:val="-1"/>
        </w:rPr>
        <w:t xml:space="preserve"> </w:t>
      </w:r>
      <w:r>
        <w:t>otherwise failed</w:t>
      </w:r>
      <w:r>
        <w:rPr>
          <w:spacing w:val="-2"/>
        </w:rPr>
        <w:t xml:space="preserve"> </w:t>
      </w:r>
      <w:r>
        <w:t>to</w:t>
      </w:r>
      <w:r>
        <w:rPr>
          <w:spacing w:val="-1"/>
        </w:rPr>
        <w:t xml:space="preserve"> </w:t>
      </w:r>
      <w:r>
        <w:t>specify</w:t>
      </w:r>
      <w:r>
        <w:rPr>
          <w:spacing w:val="-1"/>
        </w:rPr>
        <w:t xml:space="preserve"> </w:t>
      </w:r>
      <w:r>
        <w:t>in</w:t>
      </w:r>
      <w:r>
        <w:rPr>
          <w:spacing w:val="-2"/>
        </w:rPr>
        <w:t xml:space="preserve"> </w:t>
      </w:r>
      <w:r>
        <w:t>detail</w:t>
      </w:r>
      <w:r>
        <w:rPr>
          <w:spacing w:val="-1"/>
        </w:rPr>
        <w:t xml:space="preserve"> </w:t>
      </w:r>
      <w:r>
        <w:t>the</w:t>
      </w:r>
      <w:r>
        <w:rPr>
          <w:spacing w:val="-1"/>
        </w:rPr>
        <w:t xml:space="preserve"> </w:t>
      </w:r>
      <w:r>
        <w:t>information it</w:t>
      </w:r>
      <w:r>
        <w:rPr>
          <w:spacing w:val="-1"/>
        </w:rPr>
        <w:t xml:space="preserve"> </w:t>
      </w:r>
      <w:r>
        <w:t>required</w:t>
      </w:r>
      <w:r>
        <w:rPr>
          <w:spacing w:val="-2"/>
        </w:rPr>
        <w:t xml:space="preserve"> </w:t>
      </w:r>
      <w:r>
        <w:t>in</w:t>
      </w:r>
      <w:r>
        <w:rPr>
          <w:spacing w:val="-2"/>
        </w:rPr>
        <w:t xml:space="preserve"> </w:t>
      </w:r>
      <w:r>
        <w:t>order</w:t>
      </w:r>
      <w:r>
        <w:rPr>
          <w:spacing w:val="-1"/>
        </w:rPr>
        <w:t xml:space="preserve"> </w:t>
      </w:r>
      <w:r>
        <w:t>to verify certain information, as required under paragraph 1 of Annex II. MOFCOM alleged that Form 6‐3 submitted by Tr</w:t>
      </w:r>
      <w:r>
        <w:t>easury Wines as part of its Anti‐Dumping Questionnaire Response did not include a daily cost calculation sheet.</w:t>
      </w:r>
      <w:r>
        <w:rPr>
          <w:vertAlign w:val="superscript"/>
        </w:rPr>
        <w:t>195</w:t>
      </w:r>
      <w:r>
        <w:t xml:space="preserve"> This omission purportedly made it "impossible" for MOFCOM to verify the data.</w:t>
      </w:r>
      <w:r>
        <w:rPr>
          <w:vertAlign w:val="superscript"/>
        </w:rPr>
        <w:t>196</w:t>
      </w:r>
      <w:r>
        <w:rPr>
          <w:spacing w:val="40"/>
        </w:rPr>
        <w:t xml:space="preserve"> </w:t>
      </w:r>
      <w:r>
        <w:t>If MOFCOM needed certain data verified it could have done so</w:t>
      </w:r>
      <w:r>
        <w:t xml:space="preserve"> in relation to Treasury 'Wines' accounting system, but it did not seek to</w:t>
      </w:r>
    </w:p>
    <w:p w14:paraId="51DE817C" w14:textId="77777777" w:rsidR="0010369C" w:rsidRDefault="0010369C">
      <w:pPr>
        <w:pStyle w:val="BodyText"/>
        <w:rPr>
          <w:sz w:val="20"/>
        </w:rPr>
      </w:pPr>
    </w:p>
    <w:p w14:paraId="51DE817D" w14:textId="77777777" w:rsidR="0010369C" w:rsidRDefault="008E43AE">
      <w:pPr>
        <w:pStyle w:val="BodyText"/>
        <w:spacing w:before="7"/>
        <w:rPr>
          <w:sz w:val="13"/>
        </w:rPr>
      </w:pPr>
      <w:r>
        <w:pict w14:anchorId="51DE9F4D">
          <v:rect id="docshape319" o:spid="_x0000_s1933" style="position:absolute;margin-left:70.9pt;margin-top:9.5pt;width:2in;height:.8pt;z-index:-251128320;mso-wrap-distance-left:0;mso-wrap-distance-right:0;mso-position-horizontal-relative:page" fillcolor="black" stroked="f">
            <w10:wrap type="topAndBottom" anchorx="page"/>
          </v:rect>
        </w:pict>
      </w:r>
    </w:p>
    <w:p w14:paraId="51DE817E" w14:textId="77777777" w:rsidR="0010369C" w:rsidRDefault="008E43AE">
      <w:pPr>
        <w:spacing w:before="109"/>
        <w:ind w:left="238"/>
        <w:rPr>
          <w:sz w:val="18"/>
        </w:rPr>
      </w:pPr>
      <w:r>
        <w:rPr>
          <w:sz w:val="18"/>
          <w:vertAlign w:val="superscript"/>
        </w:rPr>
        <w:t>190</w:t>
      </w:r>
      <w:r>
        <w:rPr>
          <w:spacing w:val="-5"/>
          <w:sz w:val="18"/>
        </w:rPr>
        <w:t xml:space="preserve"> </w:t>
      </w:r>
      <w:r>
        <w:rPr>
          <w:sz w:val="18"/>
        </w:rPr>
        <w:t>Panel</w:t>
      </w:r>
      <w:r>
        <w:rPr>
          <w:spacing w:val="-5"/>
          <w:sz w:val="18"/>
        </w:rPr>
        <w:t xml:space="preserve"> </w:t>
      </w:r>
      <w:r>
        <w:rPr>
          <w:sz w:val="18"/>
        </w:rPr>
        <w:t>Report,</w:t>
      </w:r>
      <w:r>
        <w:rPr>
          <w:spacing w:val="-4"/>
          <w:sz w:val="18"/>
        </w:rPr>
        <w:t xml:space="preserve"> </w:t>
      </w:r>
      <w:r>
        <w:rPr>
          <w:i/>
          <w:sz w:val="18"/>
        </w:rPr>
        <w:t>US</w:t>
      </w:r>
      <w:r>
        <w:rPr>
          <w:i/>
          <w:spacing w:val="-4"/>
          <w:sz w:val="18"/>
        </w:rPr>
        <w:t xml:space="preserve"> </w:t>
      </w:r>
      <w:r>
        <w:rPr>
          <w:i/>
          <w:sz w:val="18"/>
        </w:rPr>
        <w:t>–</w:t>
      </w:r>
      <w:r>
        <w:rPr>
          <w:i/>
          <w:spacing w:val="-5"/>
          <w:sz w:val="18"/>
        </w:rPr>
        <w:t xml:space="preserve"> </w:t>
      </w:r>
      <w:r>
        <w:rPr>
          <w:i/>
          <w:sz w:val="18"/>
        </w:rPr>
        <w:t>Steel</w:t>
      </w:r>
      <w:r>
        <w:rPr>
          <w:i/>
          <w:spacing w:val="-6"/>
          <w:sz w:val="18"/>
        </w:rPr>
        <w:t xml:space="preserve"> </w:t>
      </w:r>
      <w:r>
        <w:rPr>
          <w:i/>
          <w:sz w:val="18"/>
        </w:rPr>
        <w:t>Plate</w:t>
      </w:r>
      <w:r>
        <w:rPr>
          <w:sz w:val="18"/>
        </w:rPr>
        <w:t>,</w:t>
      </w:r>
      <w:r>
        <w:rPr>
          <w:spacing w:val="-5"/>
          <w:sz w:val="18"/>
        </w:rPr>
        <w:t xml:space="preserve"> </w:t>
      </w:r>
      <w:r>
        <w:rPr>
          <w:sz w:val="18"/>
        </w:rPr>
        <w:t>para.</w:t>
      </w:r>
      <w:r>
        <w:rPr>
          <w:spacing w:val="-4"/>
          <w:sz w:val="18"/>
        </w:rPr>
        <w:t xml:space="preserve"> </w:t>
      </w:r>
      <w:r>
        <w:rPr>
          <w:spacing w:val="-2"/>
          <w:sz w:val="18"/>
        </w:rPr>
        <w:t>7.58.</w:t>
      </w:r>
    </w:p>
    <w:p w14:paraId="51DE817F" w14:textId="77777777" w:rsidR="0010369C" w:rsidRDefault="008E43AE">
      <w:pPr>
        <w:ind w:left="238"/>
        <w:rPr>
          <w:sz w:val="18"/>
        </w:rPr>
      </w:pPr>
      <w:r>
        <w:rPr>
          <w:sz w:val="18"/>
          <w:vertAlign w:val="superscript"/>
        </w:rPr>
        <w:t>191</w:t>
      </w:r>
      <w:r>
        <w:rPr>
          <w:spacing w:val="-5"/>
          <w:sz w:val="18"/>
        </w:rPr>
        <w:t xml:space="preserve"> </w:t>
      </w:r>
      <w:r>
        <w:rPr>
          <w:sz w:val="18"/>
        </w:rPr>
        <w:t>Panel</w:t>
      </w:r>
      <w:r>
        <w:rPr>
          <w:spacing w:val="-6"/>
          <w:sz w:val="18"/>
        </w:rPr>
        <w:t xml:space="preserve"> </w:t>
      </w:r>
      <w:r>
        <w:rPr>
          <w:sz w:val="18"/>
        </w:rPr>
        <w:t>Report,</w:t>
      </w:r>
      <w:r>
        <w:rPr>
          <w:spacing w:val="-5"/>
          <w:sz w:val="18"/>
        </w:rPr>
        <w:t xml:space="preserve"> </w:t>
      </w:r>
      <w:r>
        <w:rPr>
          <w:i/>
          <w:sz w:val="18"/>
        </w:rPr>
        <w:t>China</w:t>
      </w:r>
      <w:r>
        <w:rPr>
          <w:i/>
          <w:spacing w:val="-5"/>
          <w:sz w:val="18"/>
        </w:rPr>
        <w:t xml:space="preserve"> </w:t>
      </w:r>
      <w:r>
        <w:rPr>
          <w:i/>
          <w:sz w:val="18"/>
        </w:rPr>
        <w:t>–</w:t>
      </w:r>
      <w:r>
        <w:rPr>
          <w:i/>
          <w:spacing w:val="-5"/>
          <w:sz w:val="18"/>
        </w:rPr>
        <w:t xml:space="preserve"> </w:t>
      </w:r>
      <w:r>
        <w:rPr>
          <w:i/>
          <w:sz w:val="18"/>
        </w:rPr>
        <w:t>Broiler</w:t>
      </w:r>
      <w:r>
        <w:rPr>
          <w:i/>
          <w:spacing w:val="-6"/>
          <w:sz w:val="18"/>
        </w:rPr>
        <w:t xml:space="preserve"> </w:t>
      </w:r>
      <w:r>
        <w:rPr>
          <w:i/>
          <w:sz w:val="18"/>
        </w:rPr>
        <w:t>Products</w:t>
      </w:r>
      <w:r>
        <w:rPr>
          <w:i/>
          <w:spacing w:val="-6"/>
          <w:sz w:val="18"/>
        </w:rPr>
        <w:t xml:space="preserve"> </w:t>
      </w:r>
      <w:r>
        <w:rPr>
          <w:i/>
          <w:sz w:val="18"/>
        </w:rPr>
        <w:t>(Article</w:t>
      </w:r>
      <w:r>
        <w:rPr>
          <w:i/>
          <w:spacing w:val="-5"/>
          <w:sz w:val="18"/>
        </w:rPr>
        <w:t xml:space="preserve"> </w:t>
      </w:r>
      <w:r>
        <w:rPr>
          <w:i/>
          <w:sz w:val="18"/>
        </w:rPr>
        <w:t>21.5</w:t>
      </w:r>
      <w:r>
        <w:rPr>
          <w:i/>
          <w:spacing w:val="-5"/>
          <w:sz w:val="18"/>
        </w:rPr>
        <w:t xml:space="preserve"> </w:t>
      </w:r>
      <w:r>
        <w:rPr>
          <w:i/>
          <w:sz w:val="18"/>
        </w:rPr>
        <w:t>‐</w:t>
      </w:r>
      <w:r>
        <w:rPr>
          <w:i/>
          <w:spacing w:val="-5"/>
          <w:sz w:val="18"/>
        </w:rPr>
        <w:t xml:space="preserve"> </w:t>
      </w:r>
      <w:r>
        <w:rPr>
          <w:i/>
          <w:sz w:val="18"/>
        </w:rPr>
        <w:t>US)</w:t>
      </w:r>
      <w:r>
        <w:rPr>
          <w:sz w:val="18"/>
        </w:rPr>
        <w:t>,</w:t>
      </w:r>
      <w:r>
        <w:rPr>
          <w:spacing w:val="-6"/>
          <w:sz w:val="18"/>
        </w:rPr>
        <w:t xml:space="preserve"> </w:t>
      </w:r>
      <w:r>
        <w:rPr>
          <w:sz w:val="18"/>
        </w:rPr>
        <w:t>para.</w:t>
      </w:r>
      <w:r>
        <w:rPr>
          <w:spacing w:val="-5"/>
          <w:sz w:val="18"/>
        </w:rPr>
        <w:t xml:space="preserve"> </w:t>
      </w:r>
      <w:r>
        <w:rPr>
          <w:spacing w:val="-2"/>
          <w:sz w:val="18"/>
        </w:rPr>
        <w:t>7.343.</w:t>
      </w:r>
    </w:p>
    <w:p w14:paraId="51DE8180" w14:textId="77777777" w:rsidR="0010369C" w:rsidRDefault="008E43AE">
      <w:pPr>
        <w:ind w:left="238"/>
        <w:rPr>
          <w:sz w:val="18"/>
        </w:rPr>
      </w:pPr>
      <w:r>
        <w:rPr>
          <w:sz w:val="18"/>
          <w:vertAlign w:val="superscript"/>
        </w:rPr>
        <w:t>192</w:t>
      </w:r>
      <w:r>
        <w:rPr>
          <w:spacing w:val="-5"/>
          <w:sz w:val="18"/>
        </w:rPr>
        <w:t xml:space="preserve"> </w:t>
      </w:r>
      <w:r>
        <w:rPr>
          <w:sz w:val="18"/>
        </w:rPr>
        <w:t>See</w:t>
      </w:r>
      <w:r>
        <w:rPr>
          <w:spacing w:val="-5"/>
          <w:sz w:val="18"/>
        </w:rPr>
        <w:t xml:space="preserve"> </w:t>
      </w:r>
      <w:r>
        <w:rPr>
          <w:sz w:val="18"/>
        </w:rPr>
        <w:t>Panel</w:t>
      </w:r>
      <w:r>
        <w:rPr>
          <w:spacing w:val="-5"/>
          <w:sz w:val="18"/>
        </w:rPr>
        <w:t xml:space="preserve"> </w:t>
      </w:r>
      <w:r>
        <w:rPr>
          <w:sz w:val="18"/>
        </w:rPr>
        <w:t>Report,</w:t>
      </w:r>
      <w:r>
        <w:rPr>
          <w:spacing w:val="-4"/>
          <w:sz w:val="18"/>
        </w:rPr>
        <w:t xml:space="preserve"> </w:t>
      </w:r>
      <w:r>
        <w:rPr>
          <w:i/>
          <w:sz w:val="18"/>
        </w:rPr>
        <w:t>US</w:t>
      </w:r>
      <w:r>
        <w:rPr>
          <w:i/>
          <w:spacing w:val="-4"/>
          <w:sz w:val="18"/>
        </w:rPr>
        <w:t xml:space="preserve"> </w:t>
      </w:r>
      <w:r>
        <w:rPr>
          <w:i/>
          <w:sz w:val="18"/>
        </w:rPr>
        <w:t>–</w:t>
      </w:r>
      <w:r>
        <w:rPr>
          <w:i/>
          <w:spacing w:val="-4"/>
          <w:sz w:val="18"/>
        </w:rPr>
        <w:t xml:space="preserve"> </w:t>
      </w:r>
      <w:r>
        <w:rPr>
          <w:i/>
          <w:sz w:val="18"/>
        </w:rPr>
        <w:t>Steel</w:t>
      </w:r>
      <w:r>
        <w:rPr>
          <w:i/>
          <w:spacing w:val="-5"/>
          <w:sz w:val="18"/>
        </w:rPr>
        <w:t xml:space="preserve"> </w:t>
      </w:r>
      <w:r>
        <w:rPr>
          <w:i/>
          <w:sz w:val="18"/>
        </w:rPr>
        <w:t>Plate</w:t>
      </w:r>
      <w:r>
        <w:rPr>
          <w:sz w:val="18"/>
        </w:rPr>
        <w:t>,</w:t>
      </w:r>
      <w:r>
        <w:rPr>
          <w:spacing w:val="-6"/>
          <w:sz w:val="18"/>
        </w:rPr>
        <w:t xml:space="preserve"> </w:t>
      </w:r>
      <w:r>
        <w:rPr>
          <w:sz w:val="18"/>
        </w:rPr>
        <w:t>para.</w:t>
      </w:r>
      <w:r>
        <w:rPr>
          <w:spacing w:val="-4"/>
          <w:sz w:val="18"/>
        </w:rPr>
        <w:t xml:space="preserve"> </w:t>
      </w:r>
      <w:r>
        <w:rPr>
          <w:spacing w:val="-2"/>
          <w:sz w:val="18"/>
        </w:rPr>
        <w:t>7.65.</w:t>
      </w:r>
    </w:p>
    <w:p w14:paraId="51DE8181" w14:textId="77777777" w:rsidR="0010369C" w:rsidRDefault="008E43AE">
      <w:pPr>
        <w:ind w:left="236" w:right="615" w:firstLine="1"/>
        <w:jc w:val="both"/>
        <w:rPr>
          <w:sz w:val="18"/>
        </w:rPr>
      </w:pPr>
      <w:r>
        <w:rPr>
          <w:sz w:val="18"/>
          <w:vertAlign w:val="superscript"/>
        </w:rPr>
        <w:t>193</w:t>
      </w:r>
      <w:r>
        <w:rPr>
          <w:spacing w:val="-11"/>
          <w:sz w:val="18"/>
        </w:rPr>
        <w:t xml:space="preserve"> </w:t>
      </w:r>
      <w:r>
        <w:rPr>
          <w:sz w:val="18"/>
        </w:rPr>
        <w:t>See</w:t>
      </w:r>
      <w:r>
        <w:rPr>
          <w:spacing w:val="-10"/>
          <w:sz w:val="18"/>
        </w:rPr>
        <w:t xml:space="preserve"> </w:t>
      </w:r>
      <w:r>
        <w:rPr>
          <w:sz w:val="18"/>
        </w:rPr>
        <w:t>above,</w:t>
      </w:r>
      <w:r>
        <w:rPr>
          <w:spacing w:val="-10"/>
          <w:sz w:val="18"/>
        </w:rPr>
        <w:t xml:space="preserve"> </w:t>
      </w:r>
      <w:r>
        <w:rPr>
          <w:sz w:val="18"/>
        </w:rPr>
        <w:t>section</w:t>
      </w:r>
      <w:r>
        <w:rPr>
          <w:spacing w:val="-10"/>
          <w:sz w:val="18"/>
        </w:rPr>
        <w:t xml:space="preserve"> </w:t>
      </w:r>
      <w:r>
        <w:rPr>
          <w:sz w:val="18"/>
        </w:rPr>
        <w:t>I.C,</w:t>
      </w:r>
      <w:r>
        <w:rPr>
          <w:spacing w:val="-10"/>
          <w:sz w:val="18"/>
        </w:rPr>
        <w:t xml:space="preserve"> </w:t>
      </w:r>
      <w:r>
        <w:rPr>
          <w:sz w:val="18"/>
        </w:rPr>
        <w:t>which</w:t>
      </w:r>
      <w:r>
        <w:rPr>
          <w:spacing w:val="-11"/>
          <w:sz w:val="18"/>
        </w:rPr>
        <w:t xml:space="preserve"> </w:t>
      </w:r>
      <w:r>
        <w:rPr>
          <w:sz w:val="18"/>
        </w:rPr>
        <w:t>outlined</w:t>
      </w:r>
      <w:r>
        <w:rPr>
          <w:spacing w:val="-10"/>
          <w:sz w:val="18"/>
        </w:rPr>
        <w:t xml:space="preserve"> </w:t>
      </w:r>
      <w:r>
        <w:rPr>
          <w:sz w:val="18"/>
        </w:rPr>
        <w:t>the</w:t>
      </w:r>
      <w:r>
        <w:rPr>
          <w:spacing w:val="-10"/>
          <w:sz w:val="18"/>
        </w:rPr>
        <w:t xml:space="preserve"> </w:t>
      </w:r>
      <w:r>
        <w:rPr>
          <w:sz w:val="18"/>
        </w:rPr>
        <w:t>standard</w:t>
      </w:r>
      <w:r>
        <w:rPr>
          <w:spacing w:val="-10"/>
          <w:sz w:val="18"/>
        </w:rPr>
        <w:t xml:space="preserve"> </w:t>
      </w:r>
      <w:r>
        <w:rPr>
          <w:sz w:val="18"/>
        </w:rPr>
        <w:t>of</w:t>
      </w:r>
      <w:r>
        <w:rPr>
          <w:spacing w:val="-10"/>
          <w:sz w:val="18"/>
        </w:rPr>
        <w:t xml:space="preserve"> </w:t>
      </w:r>
      <w:r>
        <w:rPr>
          <w:sz w:val="18"/>
        </w:rPr>
        <w:t>review</w:t>
      </w:r>
      <w:r>
        <w:rPr>
          <w:spacing w:val="-10"/>
          <w:sz w:val="18"/>
        </w:rPr>
        <w:t xml:space="preserve"> </w:t>
      </w:r>
      <w:r>
        <w:rPr>
          <w:sz w:val="18"/>
        </w:rPr>
        <w:t>required</w:t>
      </w:r>
      <w:r>
        <w:rPr>
          <w:spacing w:val="-11"/>
          <w:sz w:val="18"/>
        </w:rPr>
        <w:t xml:space="preserve"> </w:t>
      </w:r>
      <w:r>
        <w:rPr>
          <w:sz w:val="18"/>
        </w:rPr>
        <w:t>of</w:t>
      </w:r>
      <w:r>
        <w:rPr>
          <w:spacing w:val="-10"/>
          <w:sz w:val="18"/>
        </w:rPr>
        <w:t xml:space="preserve"> </w:t>
      </w:r>
      <w:r>
        <w:rPr>
          <w:sz w:val="18"/>
        </w:rPr>
        <w:t>an</w:t>
      </w:r>
      <w:r>
        <w:rPr>
          <w:spacing w:val="-10"/>
          <w:sz w:val="18"/>
        </w:rPr>
        <w:t xml:space="preserve"> </w:t>
      </w:r>
      <w:r>
        <w:rPr>
          <w:sz w:val="18"/>
        </w:rPr>
        <w:t>investigating</w:t>
      </w:r>
      <w:r>
        <w:rPr>
          <w:spacing w:val="-10"/>
          <w:sz w:val="18"/>
        </w:rPr>
        <w:t xml:space="preserve"> </w:t>
      </w:r>
      <w:r>
        <w:rPr>
          <w:sz w:val="18"/>
        </w:rPr>
        <w:t>authority</w:t>
      </w:r>
      <w:r>
        <w:rPr>
          <w:spacing w:val="-10"/>
          <w:sz w:val="18"/>
        </w:rPr>
        <w:t xml:space="preserve"> </w:t>
      </w:r>
      <w:r>
        <w:rPr>
          <w:sz w:val="18"/>
        </w:rPr>
        <w:t>to</w:t>
      </w:r>
      <w:r>
        <w:rPr>
          <w:spacing w:val="-10"/>
          <w:sz w:val="18"/>
        </w:rPr>
        <w:t xml:space="preserve"> </w:t>
      </w:r>
      <w:r>
        <w:rPr>
          <w:sz w:val="18"/>
        </w:rPr>
        <w:t>evaluate</w:t>
      </w:r>
      <w:r>
        <w:rPr>
          <w:spacing w:val="-11"/>
          <w:sz w:val="18"/>
        </w:rPr>
        <w:t xml:space="preserve"> </w:t>
      </w:r>
      <w:r>
        <w:rPr>
          <w:sz w:val="18"/>
        </w:rPr>
        <w:t xml:space="preserve">information submitted by interested parties in an 'unbiased and objective manner'; see Panel Report, </w:t>
      </w:r>
      <w:r>
        <w:rPr>
          <w:i/>
          <w:sz w:val="18"/>
        </w:rPr>
        <w:t>Mexico – Steel Pipes and Tubes</w:t>
      </w:r>
      <w:r>
        <w:rPr>
          <w:sz w:val="18"/>
        </w:rPr>
        <w:t>, para. 7.5.</w:t>
      </w:r>
    </w:p>
    <w:p w14:paraId="51DE8182" w14:textId="77777777" w:rsidR="0010369C" w:rsidRDefault="008E43AE">
      <w:pPr>
        <w:spacing w:before="1"/>
        <w:ind w:left="238"/>
        <w:jc w:val="both"/>
        <w:rPr>
          <w:sz w:val="18"/>
        </w:rPr>
      </w:pPr>
      <w:r>
        <w:rPr>
          <w:sz w:val="18"/>
          <w:vertAlign w:val="superscript"/>
        </w:rPr>
        <w:t>194</w:t>
      </w:r>
      <w:r>
        <w:rPr>
          <w:spacing w:val="-5"/>
          <w:sz w:val="18"/>
        </w:rPr>
        <w:t xml:space="preserve"> </w:t>
      </w:r>
      <w:r>
        <w:rPr>
          <w:sz w:val="18"/>
        </w:rPr>
        <w:t>Panel</w:t>
      </w:r>
      <w:r>
        <w:rPr>
          <w:spacing w:val="-5"/>
          <w:sz w:val="18"/>
        </w:rPr>
        <w:t xml:space="preserve"> </w:t>
      </w:r>
      <w:r>
        <w:rPr>
          <w:sz w:val="18"/>
        </w:rPr>
        <w:t>Reports,</w:t>
      </w:r>
      <w:r>
        <w:rPr>
          <w:spacing w:val="-5"/>
          <w:sz w:val="18"/>
        </w:rPr>
        <w:t xml:space="preserve"> </w:t>
      </w:r>
      <w:r>
        <w:rPr>
          <w:i/>
          <w:sz w:val="18"/>
        </w:rPr>
        <w:t>US</w:t>
      </w:r>
      <w:r>
        <w:rPr>
          <w:i/>
          <w:spacing w:val="-4"/>
          <w:sz w:val="18"/>
        </w:rPr>
        <w:t xml:space="preserve"> </w:t>
      </w:r>
      <w:r>
        <w:rPr>
          <w:i/>
          <w:sz w:val="18"/>
        </w:rPr>
        <w:t>–</w:t>
      </w:r>
      <w:r>
        <w:rPr>
          <w:i/>
          <w:spacing w:val="-5"/>
          <w:sz w:val="18"/>
        </w:rPr>
        <w:t xml:space="preserve"> </w:t>
      </w:r>
      <w:r>
        <w:rPr>
          <w:i/>
          <w:sz w:val="18"/>
        </w:rPr>
        <w:t>Steel</w:t>
      </w:r>
      <w:r>
        <w:rPr>
          <w:i/>
          <w:spacing w:val="-5"/>
          <w:sz w:val="18"/>
        </w:rPr>
        <w:t xml:space="preserve"> </w:t>
      </w:r>
      <w:r>
        <w:rPr>
          <w:i/>
          <w:sz w:val="18"/>
        </w:rPr>
        <w:t>Plate</w:t>
      </w:r>
      <w:r>
        <w:rPr>
          <w:sz w:val="18"/>
        </w:rPr>
        <w:t>,</w:t>
      </w:r>
      <w:r>
        <w:rPr>
          <w:spacing w:val="-6"/>
          <w:sz w:val="18"/>
        </w:rPr>
        <w:t xml:space="preserve"> </w:t>
      </w:r>
      <w:r>
        <w:rPr>
          <w:sz w:val="18"/>
        </w:rPr>
        <w:t>para.</w:t>
      </w:r>
      <w:r>
        <w:rPr>
          <w:spacing w:val="-5"/>
          <w:sz w:val="18"/>
        </w:rPr>
        <w:t xml:space="preserve"> </w:t>
      </w:r>
      <w:r>
        <w:rPr>
          <w:sz w:val="18"/>
        </w:rPr>
        <w:t>7.57;</w:t>
      </w:r>
      <w:r>
        <w:rPr>
          <w:spacing w:val="-5"/>
          <w:sz w:val="18"/>
        </w:rPr>
        <w:t xml:space="preserve"> </w:t>
      </w:r>
      <w:r>
        <w:rPr>
          <w:i/>
          <w:sz w:val="18"/>
        </w:rPr>
        <w:t>China</w:t>
      </w:r>
      <w:r>
        <w:rPr>
          <w:i/>
          <w:spacing w:val="-5"/>
          <w:sz w:val="18"/>
        </w:rPr>
        <w:t xml:space="preserve"> </w:t>
      </w:r>
      <w:r>
        <w:rPr>
          <w:i/>
          <w:sz w:val="18"/>
        </w:rPr>
        <w:t>–</w:t>
      </w:r>
      <w:r>
        <w:rPr>
          <w:i/>
          <w:spacing w:val="-4"/>
          <w:sz w:val="18"/>
        </w:rPr>
        <w:t xml:space="preserve"> </w:t>
      </w:r>
      <w:r>
        <w:rPr>
          <w:i/>
          <w:sz w:val="18"/>
        </w:rPr>
        <w:t>Broiler</w:t>
      </w:r>
      <w:r>
        <w:rPr>
          <w:i/>
          <w:spacing w:val="-6"/>
          <w:sz w:val="18"/>
        </w:rPr>
        <w:t xml:space="preserve"> </w:t>
      </w:r>
      <w:r>
        <w:rPr>
          <w:i/>
          <w:sz w:val="18"/>
        </w:rPr>
        <w:t>Products</w:t>
      </w:r>
      <w:r>
        <w:rPr>
          <w:i/>
          <w:spacing w:val="-5"/>
          <w:sz w:val="18"/>
        </w:rPr>
        <w:t xml:space="preserve"> </w:t>
      </w:r>
      <w:r>
        <w:rPr>
          <w:i/>
          <w:sz w:val="18"/>
        </w:rPr>
        <w:t>(Article</w:t>
      </w:r>
      <w:r>
        <w:rPr>
          <w:i/>
          <w:spacing w:val="-5"/>
          <w:sz w:val="18"/>
        </w:rPr>
        <w:t xml:space="preserve"> </w:t>
      </w:r>
      <w:r>
        <w:rPr>
          <w:i/>
          <w:sz w:val="18"/>
        </w:rPr>
        <w:t>21.5</w:t>
      </w:r>
      <w:r>
        <w:rPr>
          <w:i/>
          <w:spacing w:val="-4"/>
          <w:sz w:val="18"/>
        </w:rPr>
        <w:t xml:space="preserve"> </w:t>
      </w:r>
      <w:r>
        <w:rPr>
          <w:i/>
          <w:sz w:val="18"/>
        </w:rPr>
        <w:t>‐</w:t>
      </w:r>
      <w:r>
        <w:rPr>
          <w:i/>
          <w:spacing w:val="-4"/>
          <w:sz w:val="18"/>
        </w:rPr>
        <w:t xml:space="preserve"> </w:t>
      </w:r>
      <w:r>
        <w:rPr>
          <w:i/>
          <w:sz w:val="18"/>
        </w:rPr>
        <w:t>US)</w:t>
      </w:r>
      <w:r>
        <w:rPr>
          <w:sz w:val="18"/>
        </w:rPr>
        <w:t>,</w:t>
      </w:r>
      <w:r>
        <w:rPr>
          <w:spacing w:val="-6"/>
          <w:sz w:val="18"/>
        </w:rPr>
        <w:t xml:space="preserve"> </w:t>
      </w:r>
      <w:r>
        <w:rPr>
          <w:sz w:val="18"/>
        </w:rPr>
        <w:t>para.</w:t>
      </w:r>
      <w:r>
        <w:rPr>
          <w:spacing w:val="-4"/>
          <w:sz w:val="18"/>
        </w:rPr>
        <w:t xml:space="preserve"> </w:t>
      </w:r>
      <w:r>
        <w:rPr>
          <w:sz w:val="18"/>
        </w:rPr>
        <w:t>7.</w:t>
      </w:r>
      <w:r>
        <w:rPr>
          <w:spacing w:val="-5"/>
          <w:sz w:val="18"/>
        </w:rPr>
        <w:t xml:space="preserve"> </w:t>
      </w:r>
      <w:r>
        <w:rPr>
          <w:spacing w:val="-4"/>
          <w:sz w:val="18"/>
        </w:rPr>
        <w:t>343.</w:t>
      </w:r>
    </w:p>
    <w:p w14:paraId="51DE8183" w14:textId="77777777" w:rsidR="0010369C" w:rsidRDefault="008E43AE">
      <w:pPr>
        <w:ind w:left="238"/>
        <w:jc w:val="both"/>
        <w:rPr>
          <w:sz w:val="18"/>
        </w:rPr>
      </w:pPr>
      <w:r>
        <w:rPr>
          <w:sz w:val="18"/>
          <w:vertAlign w:val="superscript"/>
        </w:rPr>
        <w:t>195</w:t>
      </w:r>
      <w:r>
        <w:rPr>
          <w:spacing w:val="-9"/>
          <w:sz w:val="18"/>
        </w:rPr>
        <w:t xml:space="preserve"> </w:t>
      </w:r>
      <w:r>
        <w:rPr>
          <w:sz w:val="18"/>
        </w:rPr>
        <w:t>Anti‐Dumping</w:t>
      </w:r>
      <w:r>
        <w:rPr>
          <w:spacing w:val="-9"/>
          <w:sz w:val="18"/>
        </w:rPr>
        <w:t xml:space="preserve"> </w:t>
      </w:r>
      <w:r>
        <w:rPr>
          <w:sz w:val="18"/>
        </w:rPr>
        <w:t>Final</w:t>
      </w:r>
      <w:r>
        <w:rPr>
          <w:spacing w:val="-9"/>
          <w:sz w:val="18"/>
        </w:rPr>
        <w:t xml:space="preserve"> </w:t>
      </w:r>
      <w:r>
        <w:rPr>
          <w:sz w:val="18"/>
        </w:rPr>
        <w:t>Determination</w:t>
      </w:r>
      <w:r>
        <w:rPr>
          <w:spacing w:val="-8"/>
          <w:sz w:val="18"/>
        </w:rPr>
        <w:t xml:space="preserve"> </w:t>
      </w:r>
      <w:r>
        <w:rPr>
          <w:sz w:val="18"/>
        </w:rPr>
        <w:t>(Exhibit</w:t>
      </w:r>
      <w:r>
        <w:rPr>
          <w:spacing w:val="-9"/>
          <w:sz w:val="18"/>
        </w:rPr>
        <w:t xml:space="preserve"> </w:t>
      </w:r>
      <w:r>
        <w:rPr>
          <w:sz w:val="18"/>
        </w:rPr>
        <w:t>AUS‐2),</w:t>
      </w:r>
      <w:r>
        <w:rPr>
          <w:spacing w:val="-9"/>
          <w:sz w:val="18"/>
        </w:rPr>
        <w:t xml:space="preserve"> </w:t>
      </w:r>
      <w:r>
        <w:rPr>
          <w:sz w:val="18"/>
        </w:rPr>
        <w:t>p.</w:t>
      </w:r>
      <w:r>
        <w:rPr>
          <w:spacing w:val="-9"/>
          <w:sz w:val="18"/>
        </w:rPr>
        <w:t xml:space="preserve"> </w:t>
      </w:r>
      <w:r>
        <w:rPr>
          <w:spacing w:val="-5"/>
          <w:sz w:val="18"/>
        </w:rPr>
        <w:t>59.</w:t>
      </w:r>
    </w:p>
    <w:p w14:paraId="51DE8184" w14:textId="77777777" w:rsidR="0010369C" w:rsidRDefault="008E43AE">
      <w:pPr>
        <w:ind w:left="238"/>
        <w:jc w:val="both"/>
        <w:rPr>
          <w:sz w:val="18"/>
        </w:rPr>
      </w:pPr>
      <w:r>
        <w:rPr>
          <w:sz w:val="18"/>
          <w:vertAlign w:val="superscript"/>
        </w:rPr>
        <w:t>196</w:t>
      </w:r>
      <w:r>
        <w:rPr>
          <w:spacing w:val="-9"/>
          <w:sz w:val="18"/>
        </w:rPr>
        <w:t xml:space="preserve"> </w:t>
      </w:r>
      <w:r>
        <w:rPr>
          <w:sz w:val="18"/>
        </w:rPr>
        <w:t>Anti‐Dumping</w:t>
      </w:r>
      <w:r>
        <w:rPr>
          <w:spacing w:val="-9"/>
          <w:sz w:val="18"/>
        </w:rPr>
        <w:t xml:space="preserve"> </w:t>
      </w:r>
      <w:r>
        <w:rPr>
          <w:sz w:val="18"/>
        </w:rPr>
        <w:t>Final</w:t>
      </w:r>
      <w:r>
        <w:rPr>
          <w:spacing w:val="-9"/>
          <w:sz w:val="18"/>
        </w:rPr>
        <w:t xml:space="preserve"> </w:t>
      </w:r>
      <w:r>
        <w:rPr>
          <w:sz w:val="18"/>
        </w:rPr>
        <w:t>Determination</w:t>
      </w:r>
      <w:r>
        <w:rPr>
          <w:spacing w:val="-8"/>
          <w:sz w:val="18"/>
        </w:rPr>
        <w:t xml:space="preserve"> </w:t>
      </w:r>
      <w:r>
        <w:rPr>
          <w:sz w:val="18"/>
        </w:rPr>
        <w:t>(Exhibit</w:t>
      </w:r>
      <w:r>
        <w:rPr>
          <w:spacing w:val="-9"/>
          <w:sz w:val="18"/>
        </w:rPr>
        <w:t xml:space="preserve"> </w:t>
      </w:r>
      <w:r>
        <w:rPr>
          <w:sz w:val="18"/>
        </w:rPr>
        <w:t>AUS‐2),</w:t>
      </w:r>
      <w:r>
        <w:rPr>
          <w:spacing w:val="-9"/>
          <w:sz w:val="18"/>
        </w:rPr>
        <w:t xml:space="preserve"> </w:t>
      </w:r>
      <w:r>
        <w:rPr>
          <w:sz w:val="18"/>
        </w:rPr>
        <w:t>p.</w:t>
      </w:r>
      <w:r>
        <w:rPr>
          <w:spacing w:val="-9"/>
          <w:sz w:val="18"/>
        </w:rPr>
        <w:t xml:space="preserve"> </w:t>
      </w:r>
      <w:r>
        <w:rPr>
          <w:spacing w:val="-5"/>
          <w:sz w:val="18"/>
        </w:rPr>
        <w:t>59.</w:t>
      </w:r>
    </w:p>
    <w:p w14:paraId="51DE8185" w14:textId="77777777" w:rsidR="0010369C" w:rsidRDefault="0010369C">
      <w:pPr>
        <w:jc w:val="both"/>
        <w:rPr>
          <w:sz w:val="18"/>
        </w:rPr>
        <w:sectPr w:rsidR="0010369C">
          <w:pgSz w:w="11910" w:h="16840"/>
          <w:pgMar w:top="880" w:right="800" w:bottom="980" w:left="1180" w:header="569" w:footer="788" w:gutter="0"/>
          <w:cols w:space="720"/>
        </w:sectPr>
      </w:pPr>
    </w:p>
    <w:p w14:paraId="51DE8186" w14:textId="77777777" w:rsidR="0010369C" w:rsidRDefault="008E43AE">
      <w:pPr>
        <w:tabs>
          <w:tab w:val="left" w:pos="6426"/>
        </w:tabs>
        <w:ind w:left="238"/>
        <w:jc w:val="both"/>
        <w:rPr>
          <w:sz w:val="20"/>
        </w:rPr>
      </w:pPr>
      <w:r>
        <w:rPr>
          <w:i/>
          <w:sz w:val="20"/>
        </w:rPr>
        <w:lastRenderedPageBreak/>
        <w:t>China</w:t>
      </w:r>
      <w:r>
        <w:rPr>
          <w:i/>
          <w:spacing w:val="-5"/>
          <w:sz w:val="20"/>
        </w:rPr>
        <w:t xml:space="preserve"> </w:t>
      </w:r>
      <w:r>
        <w:rPr>
          <w:i/>
          <w:sz w:val="20"/>
        </w:rPr>
        <w:t>–</w:t>
      </w:r>
      <w:r>
        <w:rPr>
          <w:i/>
          <w:spacing w:val="-5"/>
          <w:sz w:val="20"/>
        </w:rPr>
        <w:t xml:space="preserve"> </w:t>
      </w:r>
      <w:r>
        <w:rPr>
          <w:i/>
          <w:sz w:val="20"/>
        </w:rPr>
        <w:t>Anti‐Dumping</w:t>
      </w:r>
      <w:r>
        <w:rPr>
          <w:i/>
          <w:spacing w:val="-4"/>
          <w:sz w:val="20"/>
        </w:rPr>
        <w:t xml:space="preserve"> </w:t>
      </w:r>
      <w:r>
        <w:rPr>
          <w:i/>
          <w:sz w:val="20"/>
        </w:rPr>
        <w:t>and</w:t>
      </w:r>
      <w:r>
        <w:rPr>
          <w:i/>
          <w:spacing w:val="-5"/>
          <w:sz w:val="20"/>
        </w:rPr>
        <w:t xml:space="preserve"> </w:t>
      </w:r>
      <w:r>
        <w:rPr>
          <w:i/>
          <w:sz w:val="20"/>
        </w:rPr>
        <w:t>Countervailing</w:t>
      </w:r>
      <w:r>
        <w:rPr>
          <w:i/>
          <w:spacing w:val="-5"/>
          <w:sz w:val="20"/>
        </w:rPr>
        <w:t xml:space="preserve"> </w:t>
      </w:r>
      <w:r>
        <w:rPr>
          <w:i/>
          <w:sz w:val="20"/>
        </w:rPr>
        <w:t>Duty</w:t>
      </w:r>
      <w:r>
        <w:rPr>
          <w:i/>
          <w:spacing w:val="-4"/>
          <w:sz w:val="20"/>
        </w:rPr>
        <w:t xml:space="preserve"> </w:t>
      </w:r>
      <w:r>
        <w:rPr>
          <w:i/>
          <w:spacing w:val="-2"/>
          <w:sz w:val="20"/>
        </w:rPr>
        <w:t>Measures</w:t>
      </w:r>
      <w:r>
        <w:rPr>
          <w:i/>
          <w:sz w:val="20"/>
        </w:rPr>
        <w:tab/>
      </w:r>
      <w:r>
        <w:rPr>
          <w:sz w:val="20"/>
        </w:rPr>
        <w:t>Australia's</w:t>
      </w:r>
      <w:r>
        <w:rPr>
          <w:spacing w:val="-7"/>
          <w:sz w:val="20"/>
        </w:rPr>
        <w:t xml:space="preserve"> </w:t>
      </w:r>
      <w:r>
        <w:rPr>
          <w:sz w:val="20"/>
        </w:rPr>
        <w:t>First</w:t>
      </w:r>
      <w:r>
        <w:rPr>
          <w:spacing w:val="-2"/>
          <w:sz w:val="20"/>
        </w:rPr>
        <w:t xml:space="preserve"> </w:t>
      </w:r>
      <w:r>
        <w:rPr>
          <w:sz w:val="20"/>
        </w:rPr>
        <w:t>Written</w:t>
      </w:r>
      <w:r>
        <w:rPr>
          <w:spacing w:val="-2"/>
          <w:sz w:val="20"/>
        </w:rPr>
        <w:t xml:space="preserve"> Submission</w:t>
      </w:r>
    </w:p>
    <w:p w14:paraId="51DE8187" w14:textId="77777777" w:rsidR="0010369C" w:rsidRDefault="008E43AE">
      <w:pPr>
        <w:tabs>
          <w:tab w:val="left" w:pos="8228"/>
        </w:tabs>
        <w:spacing w:before="1"/>
        <w:ind w:left="239"/>
        <w:jc w:val="both"/>
        <w:rPr>
          <w:sz w:val="20"/>
        </w:rPr>
      </w:pPr>
      <w:r>
        <w:rPr>
          <w:i/>
          <w:sz w:val="20"/>
        </w:rPr>
        <w:t>on</w:t>
      </w:r>
      <w:r>
        <w:rPr>
          <w:i/>
          <w:spacing w:val="-1"/>
          <w:sz w:val="20"/>
        </w:rPr>
        <w:t xml:space="preserve"> </w:t>
      </w:r>
      <w:r>
        <w:rPr>
          <w:i/>
          <w:sz w:val="20"/>
        </w:rPr>
        <w:t>Wine</w:t>
      </w:r>
      <w:r>
        <w:rPr>
          <w:i/>
          <w:spacing w:val="-1"/>
          <w:sz w:val="20"/>
        </w:rPr>
        <w:t xml:space="preserve"> </w:t>
      </w:r>
      <w:r>
        <w:rPr>
          <w:i/>
          <w:sz w:val="20"/>
        </w:rPr>
        <w:t>from</w:t>
      </w:r>
      <w:r>
        <w:rPr>
          <w:i/>
          <w:spacing w:val="-3"/>
          <w:sz w:val="20"/>
        </w:rPr>
        <w:t xml:space="preserve"> </w:t>
      </w:r>
      <w:r>
        <w:rPr>
          <w:i/>
          <w:sz w:val="20"/>
        </w:rPr>
        <w:t>Australia</w:t>
      </w:r>
      <w:r>
        <w:rPr>
          <w:i/>
          <w:spacing w:val="-1"/>
          <w:sz w:val="20"/>
        </w:rPr>
        <w:t xml:space="preserve"> </w:t>
      </w:r>
      <w:r>
        <w:rPr>
          <w:spacing w:val="-2"/>
          <w:sz w:val="20"/>
        </w:rPr>
        <w:t>(DS602)</w:t>
      </w:r>
      <w:r>
        <w:rPr>
          <w:sz w:val="20"/>
        </w:rPr>
        <w:tab/>
        <w:t>29</w:t>
      </w:r>
      <w:r>
        <w:rPr>
          <w:spacing w:val="-1"/>
          <w:sz w:val="20"/>
        </w:rPr>
        <w:t xml:space="preserve"> </w:t>
      </w:r>
      <w:r>
        <w:rPr>
          <w:sz w:val="20"/>
        </w:rPr>
        <w:t>April</w:t>
      </w:r>
      <w:r>
        <w:rPr>
          <w:spacing w:val="-2"/>
          <w:sz w:val="20"/>
        </w:rPr>
        <w:t xml:space="preserve"> </w:t>
      </w:r>
      <w:r>
        <w:rPr>
          <w:spacing w:val="-4"/>
          <w:sz w:val="20"/>
        </w:rPr>
        <w:t>2022</w:t>
      </w:r>
    </w:p>
    <w:p w14:paraId="51DE8188" w14:textId="77777777" w:rsidR="0010369C" w:rsidRDefault="008E43AE">
      <w:pPr>
        <w:pStyle w:val="BodyText"/>
        <w:spacing w:before="34" w:line="360" w:lineRule="auto"/>
        <w:ind w:left="237" w:right="611"/>
        <w:jc w:val="both"/>
      </w:pPr>
      <w:r>
        <w:t>do so.</w:t>
      </w:r>
      <w:r>
        <w:rPr>
          <w:spacing w:val="-1"/>
        </w:rPr>
        <w:t xml:space="preserve"> </w:t>
      </w:r>
      <w:r>
        <w:t>Even</w:t>
      </w:r>
      <w:r>
        <w:rPr>
          <w:spacing w:val="-2"/>
        </w:rPr>
        <w:t xml:space="preserve"> </w:t>
      </w:r>
      <w:r>
        <w:t>if the forms</w:t>
      </w:r>
      <w:r>
        <w:rPr>
          <w:spacing w:val="-2"/>
        </w:rPr>
        <w:t xml:space="preserve"> </w:t>
      </w:r>
      <w:r>
        <w:t>were necessary (they</w:t>
      </w:r>
      <w:r>
        <w:rPr>
          <w:spacing w:val="-1"/>
        </w:rPr>
        <w:t xml:space="preserve"> </w:t>
      </w:r>
      <w:r>
        <w:t>are not), MOFCOM should have specified what it required</w:t>
      </w:r>
      <w:r>
        <w:rPr>
          <w:spacing w:val="-1"/>
        </w:rPr>
        <w:t xml:space="preserve"> </w:t>
      </w:r>
      <w:r>
        <w:t>in the relevant forms attached</w:t>
      </w:r>
      <w:r>
        <w:rPr>
          <w:spacing w:val="-1"/>
        </w:rPr>
        <w:t xml:space="preserve"> </w:t>
      </w:r>
      <w:r>
        <w:t>to the Anti‐Dumping Questionnaire for verification purposes, rather than attempting to compare the da</w:t>
      </w:r>
      <w:r>
        <w:t>ta provided in different datasets submitted by the sampled companies for different purposes.</w:t>
      </w:r>
    </w:p>
    <w:p w14:paraId="51DE8189" w14:textId="77777777" w:rsidR="0010369C" w:rsidRDefault="0010369C">
      <w:pPr>
        <w:pStyle w:val="BodyText"/>
        <w:spacing w:before="11"/>
        <w:rPr>
          <w:sz w:val="8"/>
        </w:rPr>
      </w:pPr>
    </w:p>
    <w:p w14:paraId="51DE818A" w14:textId="77777777" w:rsidR="0010369C" w:rsidRDefault="008E43AE">
      <w:pPr>
        <w:pStyle w:val="BodyText"/>
        <w:spacing w:before="51" w:line="360" w:lineRule="auto"/>
        <w:ind w:left="236" w:right="612" w:firstLine="852"/>
        <w:jc w:val="both"/>
      </w:pPr>
      <w:r>
        <w:rPr>
          <w:noProof/>
        </w:rPr>
        <w:drawing>
          <wp:anchor distT="0" distB="0" distL="0" distR="0" simplePos="0" relativeHeight="250860032" behindDoc="1" locked="0" layoutInCell="1" allowOverlap="1" wp14:anchorId="51DE9F4E" wp14:editId="51DE9F4F">
            <wp:simplePos x="0" y="0"/>
            <wp:positionH relativeFrom="page">
              <wp:posOffset>908303</wp:posOffset>
            </wp:positionH>
            <wp:positionV relativeFrom="paragraph">
              <wp:posOffset>81314</wp:posOffset>
            </wp:positionV>
            <wp:extent cx="256031" cy="100753"/>
            <wp:effectExtent l="0" t="0" r="0" b="0"/>
            <wp:wrapNone/>
            <wp:docPr id="367" name="image1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image192.png"/>
                    <pic:cNvPicPr/>
                  </pic:nvPicPr>
                  <pic:blipFill>
                    <a:blip r:embed="rId286" cstate="print"/>
                    <a:stretch>
                      <a:fillRect/>
                    </a:stretch>
                  </pic:blipFill>
                  <pic:spPr>
                    <a:xfrm>
                      <a:off x="0" y="0"/>
                      <a:ext cx="256031" cy="100753"/>
                    </a:xfrm>
                    <a:prstGeom prst="rect">
                      <a:avLst/>
                    </a:prstGeom>
                  </pic:spPr>
                </pic:pic>
              </a:graphicData>
            </a:graphic>
          </wp:anchor>
        </w:drawing>
      </w:r>
      <w:r>
        <w:t xml:space="preserve">MOFCOM did not inform Treasury Wines of the reasons for not accepting the information submitted in Treasury Wines' response to the Preliminary Determination and </w:t>
      </w:r>
      <w:r>
        <w:t>Supplementary</w:t>
      </w:r>
      <w:r>
        <w:rPr>
          <w:spacing w:val="-12"/>
        </w:rPr>
        <w:t xml:space="preserve"> </w:t>
      </w:r>
      <w:r>
        <w:t>Questionnaire,</w:t>
      </w:r>
      <w:r>
        <w:rPr>
          <w:spacing w:val="-13"/>
        </w:rPr>
        <w:t xml:space="preserve"> </w:t>
      </w:r>
      <w:r>
        <w:t>did</w:t>
      </w:r>
      <w:r>
        <w:rPr>
          <w:spacing w:val="-12"/>
        </w:rPr>
        <w:t xml:space="preserve"> </w:t>
      </w:r>
      <w:r>
        <w:t>not</w:t>
      </w:r>
      <w:r>
        <w:rPr>
          <w:spacing w:val="-12"/>
        </w:rPr>
        <w:t xml:space="preserve"> </w:t>
      </w:r>
      <w:r>
        <w:t>provide</w:t>
      </w:r>
      <w:r>
        <w:rPr>
          <w:spacing w:val="-11"/>
        </w:rPr>
        <w:t xml:space="preserve"> </w:t>
      </w:r>
      <w:r>
        <w:t>an</w:t>
      </w:r>
      <w:r>
        <w:rPr>
          <w:spacing w:val="-12"/>
        </w:rPr>
        <w:t xml:space="preserve"> </w:t>
      </w:r>
      <w:r>
        <w:t>opportunity</w:t>
      </w:r>
      <w:r>
        <w:rPr>
          <w:spacing w:val="-11"/>
        </w:rPr>
        <w:t xml:space="preserve"> </w:t>
      </w:r>
      <w:r>
        <w:t>to</w:t>
      </w:r>
      <w:r>
        <w:rPr>
          <w:spacing w:val="-12"/>
        </w:rPr>
        <w:t xml:space="preserve"> </w:t>
      </w:r>
      <w:r>
        <w:t>provide</w:t>
      </w:r>
      <w:r>
        <w:rPr>
          <w:spacing w:val="-11"/>
        </w:rPr>
        <w:t xml:space="preserve"> </w:t>
      </w:r>
      <w:r>
        <w:t>further</w:t>
      </w:r>
      <w:r>
        <w:rPr>
          <w:spacing w:val="-12"/>
        </w:rPr>
        <w:t xml:space="preserve"> </w:t>
      </w:r>
      <w:r>
        <w:t>explanations and did not provide reasons for the rejection of information, as required by paragraph 6 of Annex II. MOFCOM stated in the Final Disclosure (published on 12</w:t>
      </w:r>
      <w:r>
        <w:rPr>
          <w:spacing w:val="-3"/>
        </w:rPr>
        <w:t xml:space="preserve"> </w:t>
      </w:r>
      <w:r>
        <w:t>March</w:t>
      </w:r>
      <w:r>
        <w:rPr>
          <w:spacing w:val="-3"/>
        </w:rPr>
        <w:t xml:space="preserve"> </w:t>
      </w:r>
      <w:r>
        <w:t>2</w:t>
      </w:r>
      <w:r>
        <w:t>021, 14 calendar days</w:t>
      </w:r>
      <w:r>
        <w:rPr>
          <w:spacing w:val="-1"/>
        </w:rPr>
        <w:t xml:space="preserve"> </w:t>
      </w:r>
      <w:r>
        <w:t>prior to the Final</w:t>
      </w:r>
      <w:r>
        <w:rPr>
          <w:spacing w:val="-1"/>
        </w:rPr>
        <w:t xml:space="preserve"> </w:t>
      </w:r>
      <w:r>
        <w:t>Determination), that it "decided</w:t>
      </w:r>
      <w:r>
        <w:rPr>
          <w:spacing w:val="-1"/>
        </w:rPr>
        <w:t xml:space="preserve"> </w:t>
      </w:r>
      <w:r>
        <w:t>in the Preliminary</w:t>
      </w:r>
      <w:r>
        <w:rPr>
          <w:spacing w:val="-1"/>
        </w:rPr>
        <w:t xml:space="preserve"> </w:t>
      </w:r>
      <w:r>
        <w:t>Ruling</w:t>
      </w:r>
      <w:r>
        <w:rPr>
          <w:spacing w:val="-1"/>
        </w:rPr>
        <w:t xml:space="preserve"> </w:t>
      </w:r>
      <w:r>
        <w:t>to</w:t>
      </w:r>
      <w:r>
        <w:rPr>
          <w:spacing w:val="-1"/>
        </w:rPr>
        <w:t xml:space="preserve"> </w:t>
      </w:r>
      <w:r>
        <w:t>conduct</w:t>
      </w:r>
      <w:r>
        <w:rPr>
          <w:spacing w:val="-1"/>
        </w:rPr>
        <w:t xml:space="preserve"> </w:t>
      </w:r>
      <w:r>
        <w:t>a review and evaluation on the basis of the facts already obtained and the best information available" for the purposes of determining normal val</w:t>
      </w:r>
      <w:r>
        <w:t>ue.</w:t>
      </w:r>
      <w:r>
        <w:rPr>
          <w:vertAlign w:val="superscript"/>
        </w:rPr>
        <w:t>197</w:t>
      </w:r>
    </w:p>
    <w:p w14:paraId="51DE818B" w14:textId="77777777" w:rsidR="0010369C" w:rsidRDefault="0010369C">
      <w:pPr>
        <w:pStyle w:val="BodyText"/>
        <w:spacing w:before="11"/>
        <w:rPr>
          <w:sz w:val="8"/>
        </w:rPr>
      </w:pPr>
    </w:p>
    <w:p w14:paraId="51DE818C" w14:textId="77777777" w:rsidR="0010369C" w:rsidRDefault="008E43AE">
      <w:pPr>
        <w:pStyle w:val="BodyText"/>
        <w:spacing w:before="52" w:line="360" w:lineRule="auto"/>
        <w:ind w:left="236" w:right="613" w:firstLine="852"/>
        <w:jc w:val="both"/>
      </w:pPr>
      <w:r>
        <w:rPr>
          <w:noProof/>
        </w:rPr>
        <w:drawing>
          <wp:anchor distT="0" distB="0" distL="0" distR="0" simplePos="0" relativeHeight="250861056" behindDoc="1" locked="0" layoutInCell="1" allowOverlap="1" wp14:anchorId="51DE9F50" wp14:editId="51DE9F51">
            <wp:simplePos x="0" y="0"/>
            <wp:positionH relativeFrom="page">
              <wp:posOffset>908303</wp:posOffset>
            </wp:positionH>
            <wp:positionV relativeFrom="paragraph">
              <wp:posOffset>76785</wp:posOffset>
            </wp:positionV>
            <wp:extent cx="256031" cy="106679"/>
            <wp:effectExtent l="0" t="0" r="0" b="0"/>
            <wp:wrapNone/>
            <wp:docPr id="369" name="image1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image193.png"/>
                    <pic:cNvPicPr/>
                  </pic:nvPicPr>
                  <pic:blipFill>
                    <a:blip r:embed="rId287" cstate="print"/>
                    <a:stretch>
                      <a:fillRect/>
                    </a:stretch>
                  </pic:blipFill>
                  <pic:spPr>
                    <a:xfrm>
                      <a:off x="0" y="0"/>
                      <a:ext cx="256031" cy="106679"/>
                    </a:xfrm>
                    <a:prstGeom prst="rect">
                      <a:avLst/>
                    </a:prstGeom>
                  </pic:spPr>
                </pic:pic>
              </a:graphicData>
            </a:graphic>
          </wp:anchor>
        </w:drawing>
      </w:r>
      <w:r>
        <w:t xml:space="preserve">In </w:t>
      </w:r>
      <w:r>
        <w:rPr>
          <w:i/>
        </w:rPr>
        <w:t xml:space="preserve">US – Anti‐Dumping and Countervailing Duties (Korea), </w:t>
      </w:r>
      <w:r>
        <w:t>the Panel held that paragraph 6</w:t>
      </w:r>
      <w:r>
        <w:rPr>
          <w:spacing w:val="-1"/>
        </w:rPr>
        <w:t xml:space="preserve"> </w:t>
      </w:r>
      <w:r>
        <w:t>of Annex II</w:t>
      </w:r>
      <w:r>
        <w:rPr>
          <w:spacing w:val="-2"/>
        </w:rPr>
        <w:t xml:space="preserve"> </w:t>
      </w:r>
      <w:r>
        <w:t>requires</w:t>
      </w:r>
      <w:r>
        <w:rPr>
          <w:spacing w:val="-1"/>
        </w:rPr>
        <w:t xml:space="preserve"> </w:t>
      </w:r>
      <w:r>
        <w:t>an</w:t>
      </w:r>
      <w:r>
        <w:rPr>
          <w:spacing w:val="-1"/>
        </w:rPr>
        <w:t xml:space="preserve"> </w:t>
      </w:r>
      <w:r>
        <w:t>investigating authority to</w:t>
      </w:r>
      <w:r>
        <w:rPr>
          <w:spacing w:val="-1"/>
        </w:rPr>
        <w:t xml:space="preserve"> </w:t>
      </w:r>
      <w:r>
        <w:t>inform an</w:t>
      </w:r>
      <w:r>
        <w:rPr>
          <w:spacing w:val="-1"/>
        </w:rPr>
        <w:t xml:space="preserve"> </w:t>
      </w:r>
      <w:r>
        <w:t>interested party why its submitted information, including supplementary information, had not been accepted, thereby providing an interested party with an opportunity to provide further explanations within</w:t>
      </w:r>
      <w:r>
        <w:rPr>
          <w:spacing w:val="-11"/>
        </w:rPr>
        <w:t xml:space="preserve"> </w:t>
      </w:r>
      <w:r>
        <w:t>a</w:t>
      </w:r>
      <w:r>
        <w:rPr>
          <w:spacing w:val="-4"/>
        </w:rPr>
        <w:t xml:space="preserve"> </w:t>
      </w:r>
      <w:r>
        <w:t>reasonable</w:t>
      </w:r>
      <w:r>
        <w:rPr>
          <w:spacing w:val="-3"/>
        </w:rPr>
        <w:t xml:space="preserve"> </w:t>
      </w:r>
      <w:r>
        <w:t>period.</w:t>
      </w:r>
      <w:r>
        <w:rPr>
          <w:vertAlign w:val="superscript"/>
        </w:rPr>
        <w:t>198</w:t>
      </w:r>
      <w:r>
        <w:rPr>
          <w:spacing w:val="-14"/>
        </w:rPr>
        <w:t xml:space="preserve"> </w:t>
      </w:r>
      <w:r>
        <w:t>This</w:t>
      </w:r>
      <w:r>
        <w:rPr>
          <w:spacing w:val="-4"/>
        </w:rPr>
        <w:t xml:space="preserve"> </w:t>
      </w:r>
      <w:r>
        <w:t>is</w:t>
      </w:r>
      <w:r>
        <w:rPr>
          <w:spacing w:val="-4"/>
        </w:rPr>
        <w:t xml:space="preserve"> </w:t>
      </w:r>
      <w:r>
        <w:t>analogous</w:t>
      </w:r>
      <w:r>
        <w:rPr>
          <w:spacing w:val="-4"/>
        </w:rPr>
        <w:t xml:space="preserve"> </w:t>
      </w:r>
      <w:r>
        <w:t>to</w:t>
      </w:r>
      <w:r>
        <w:rPr>
          <w:spacing w:val="-5"/>
        </w:rPr>
        <w:t xml:space="preserve"> </w:t>
      </w:r>
      <w:r>
        <w:t>the</w:t>
      </w:r>
      <w:r>
        <w:rPr>
          <w:spacing w:val="-3"/>
        </w:rPr>
        <w:t xml:space="preserve"> </w:t>
      </w:r>
      <w:r>
        <w:t>cu</w:t>
      </w:r>
      <w:r>
        <w:t>rrent</w:t>
      </w:r>
      <w:r>
        <w:rPr>
          <w:spacing w:val="-6"/>
        </w:rPr>
        <w:t xml:space="preserve"> </w:t>
      </w:r>
      <w:r>
        <w:t>situation</w:t>
      </w:r>
      <w:r>
        <w:rPr>
          <w:spacing w:val="-4"/>
        </w:rPr>
        <w:t xml:space="preserve"> </w:t>
      </w:r>
      <w:r>
        <w:t>before</w:t>
      </w:r>
      <w:r>
        <w:rPr>
          <w:spacing w:val="-3"/>
        </w:rPr>
        <w:t xml:space="preserve"> </w:t>
      </w:r>
      <w:r>
        <w:t>this</w:t>
      </w:r>
      <w:r>
        <w:rPr>
          <w:spacing w:val="-4"/>
        </w:rPr>
        <w:t xml:space="preserve"> </w:t>
      </w:r>
      <w:r>
        <w:t>panel.</w:t>
      </w:r>
      <w:r>
        <w:rPr>
          <w:spacing w:val="-3"/>
        </w:rPr>
        <w:t xml:space="preserve"> </w:t>
      </w:r>
      <w:r>
        <w:t>It</w:t>
      </w:r>
      <w:r>
        <w:rPr>
          <w:spacing w:val="-4"/>
        </w:rPr>
        <w:t xml:space="preserve"> </w:t>
      </w:r>
      <w:r>
        <w:t>is clear that information that was alleged as being deficient by MOFCOM in the Preliminary Determination in relation to Form 6‐3, and subsequently provided by Treasury Wines in response</w:t>
      </w:r>
      <w:r>
        <w:rPr>
          <w:spacing w:val="-9"/>
        </w:rPr>
        <w:t xml:space="preserve"> </w:t>
      </w:r>
      <w:r>
        <w:t>to</w:t>
      </w:r>
      <w:r>
        <w:rPr>
          <w:spacing w:val="-9"/>
        </w:rPr>
        <w:t xml:space="preserve"> </w:t>
      </w:r>
      <w:r>
        <w:t>the</w:t>
      </w:r>
      <w:r>
        <w:rPr>
          <w:spacing w:val="-9"/>
        </w:rPr>
        <w:t xml:space="preserve"> </w:t>
      </w:r>
      <w:r>
        <w:t>Preliminary</w:t>
      </w:r>
      <w:r>
        <w:rPr>
          <w:spacing w:val="-10"/>
        </w:rPr>
        <w:t xml:space="preserve"> </w:t>
      </w:r>
      <w:r>
        <w:t>Determination</w:t>
      </w:r>
      <w:r>
        <w:rPr>
          <w:spacing w:val="-10"/>
        </w:rPr>
        <w:t xml:space="preserve"> </w:t>
      </w:r>
      <w:r>
        <w:t>and</w:t>
      </w:r>
      <w:r>
        <w:rPr>
          <w:spacing w:val="-10"/>
        </w:rPr>
        <w:t xml:space="preserve"> </w:t>
      </w:r>
      <w:r>
        <w:t>Supplementary</w:t>
      </w:r>
      <w:r>
        <w:rPr>
          <w:spacing w:val="-8"/>
        </w:rPr>
        <w:t xml:space="preserve"> </w:t>
      </w:r>
      <w:r>
        <w:t>Questionnaire,</w:t>
      </w:r>
      <w:r>
        <w:rPr>
          <w:spacing w:val="-10"/>
        </w:rPr>
        <w:t xml:space="preserve"> </w:t>
      </w:r>
      <w:r>
        <w:t>was</w:t>
      </w:r>
      <w:r>
        <w:rPr>
          <w:spacing w:val="-10"/>
        </w:rPr>
        <w:t xml:space="preserve"> </w:t>
      </w:r>
      <w:r>
        <w:t>ultimately not</w:t>
      </w:r>
      <w:r>
        <w:rPr>
          <w:spacing w:val="-14"/>
        </w:rPr>
        <w:t xml:space="preserve"> </w:t>
      </w:r>
      <w:r>
        <w:t>accepted</w:t>
      </w:r>
      <w:r>
        <w:rPr>
          <w:spacing w:val="-14"/>
        </w:rPr>
        <w:t xml:space="preserve"> </w:t>
      </w:r>
      <w:r>
        <w:t>by</w:t>
      </w:r>
      <w:r>
        <w:rPr>
          <w:spacing w:val="-13"/>
        </w:rPr>
        <w:t xml:space="preserve"> </w:t>
      </w:r>
      <w:r>
        <w:t>MOFCOM</w:t>
      </w:r>
      <w:r>
        <w:rPr>
          <w:spacing w:val="-14"/>
        </w:rPr>
        <w:t xml:space="preserve"> </w:t>
      </w:r>
      <w:r>
        <w:t>in</w:t>
      </w:r>
      <w:r>
        <w:rPr>
          <w:spacing w:val="-13"/>
        </w:rPr>
        <w:t xml:space="preserve"> </w:t>
      </w:r>
      <w:r>
        <w:t>its</w:t>
      </w:r>
      <w:r>
        <w:rPr>
          <w:spacing w:val="-14"/>
        </w:rPr>
        <w:t xml:space="preserve"> </w:t>
      </w:r>
      <w:r>
        <w:t>Final</w:t>
      </w:r>
      <w:r>
        <w:rPr>
          <w:spacing w:val="-13"/>
        </w:rPr>
        <w:t xml:space="preserve"> </w:t>
      </w:r>
      <w:r>
        <w:t>Determination.</w:t>
      </w:r>
      <w:r>
        <w:rPr>
          <w:spacing w:val="-14"/>
        </w:rPr>
        <w:t xml:space="preserve"> </w:t>
      </w:r>
      <w:r>
        <w:t>Given</w:t>
      </w:r>
      <w:r>
        <w:rPr>
          <w:spacing w:val="-14"/>
        </w:rPr>
        <w:t xml:space="preserve"> </w:t>
      </w:r>
      <w:r>
        <w:t>the</w:t>
      </w:r>
      <w:r>
        <w:rPr>
          <w:spacing w:val="-13"/>
        </w:rPr>
        <w:t xml:space="preserve"> </w:t>
      </w:r>
      <w:r>
        <w:t>length</w:t>
      </w:r>
      <w:r>
        <w:rPr>
          <w:spacing w:val="-14"/>
        </w:rPr>
        <w:t xml:space="preserve"> </w:t>
      </w:r>
      <w:r>
        <w:t>of</w:t>
      </w:r>
      <w:r>
        <w:rPr>
          <w:spacing w:val="-13"/>
        </w:rPr>
        <w:t xml:space="preserve"> </w:t>
      </w:r>
      <w:r>
        <w:t>time</w:t>
      </w:r>
      <w:r>
        <w:rPr>
          <w:spacing w:val="-14"/>
        </w:rPr>
        <w:t xml:space="preserve"> </w:t>
      </w:r>
      <w:r>
        <w:t>between</w:t>
      </w:r>
      <w:r>
        <w:rPr>
          <w:spacing w:val="-13"/>
        </w:rPr>
        <w:t xml:space="preserve"> </w:t>
      </w:r>
      <w:r>
        <w:t>receipt of</w:t>
      </w:r>
      <w:r>
        <w:rPr>
          <w:spacing w:val="-9"/>
        </w:rPr>
        <w:t xml:space="preserve"> </w:t>
      </w:r>
      <w:r>
        <w:t>Treasury</w:t>
      </w:r>
      <w:r>
        <w:rPr>
          <w:spacing w:val="-8"/>
        </w:rPr>
        <w:t xml:space="preserve"> </w:t>
      </w:r>
      <w:r>
        <w:t>Wines'</w:t>
      </w:r>
      <w:r>
        <w:rPr>
          <w:spacing w:val="-9"/>
        </w:rPr>
        <w:t xml:space="preserve"> </w:t>
      </w:r>
      <w:r>
        <w:t>original</w:t>
      </w:r>
      <w:r>
        <w:rPr>
          <w:spacing w:val="-8"/>
        </w:rPr>
        <w:t xml:space="preserve"> </w:t>
      </w:r>
      <w:r>
        <w:t>Anti‐Dumping</w:t>
      </w:r>
      <w:r>
        <w:rPr>
          <w:spacing w:val="-8"/>
        </w:rPr>
        <w:t xml:space="preserve"> </w:t>
      </w:r>
      <w:r>
        <w:t>Questionnaire</w:t>
      </w:r>
      <w:r>
        <w:rPr>
          <w:spacing w:val="-9"/>
        </w:rPr>
        <w:t xml:space="preserve"> </w:t>
      </w:r>
      <w:r>
        <w:t>Response,</w:t>
      </w:r>
      <w:r>
        <w:rPr>
          <w:spacing w:val="-9"/>
        </w:rPr>
        <w:t xml:space="preserve"> </w:t>
      </w:r>
      <w:r>
        <w:t>its</w:t>
      </w:r>
      <w:r>
        <w:rPr>
          <w:spacing w:val="-8"/>
        </w:rPr>
        <w:t xml:space="preserve"> </w:t>
      </w:r>
      <w:r>
        <w:t>written</w:t>
      </w:r>
      <w:r>
        <w:rPr>
          <w:spacing w:val="-9"/>
        </w:rPr>
        <w:t xml:space="preserve"> </w:t>
      </w:r>
      <w:r>
        <w:t>submission</w:t>
      </w:r>
      <w:r>
        <w:rPr>
          <w:spacing w:val="-9"/>
        </w:rPr>
        <w:t xml:space="preserve"> </w:t>
      </w:r>
      <w:r>
        <w:t>and comments on the Preliminary Determination, response to the Supplementary Questionnaire and publication of the Final Determination, it is clear that MOFCOM failed to notify Treasury Wines</w:t>
      </w:r>
      <w:r>
        <w:rPr>
          <w:spacing w:val="-2"/>
        </w:rPr>
        <w:t xml:space="preserve"> </w:t>
      </w:r>
      <w:r>
        <w:t>why</w:t>
      </w:r>
      <w:r>
        <w:rPr>
          <w:spacing w:val="-1"/>
        </w:rPr>
        <w:t xml:space="preserve"> </w:t>
      </w:r>
      <w:r>
        <w:t>its</w:t>
      </w:r>
      <w:r>
        <w:rPr>
          <w:spacing w:val="-2"/>
        </w:rPr>
        <w:t xml:space="preserve"> </w:t>
      </w:r>
      <w:r>
        <w:t>submitted</w:t>
      </w:r>
      <w:r>
        <w:rPr>
          <w:spacing w:val="-1"/>
        </w:rPr>
        <w:t xml:space="preserve"> </w:t>
      </w:r>
      <w:r>
        <w:t>information had</w:t>
      </w:r>
      <w:r>
        <w:rPr>
          <w:spacing w:val="-1"/>
        </w:rPr>
        <w:t xml:space="preserve"> </w:t>
      </w:r>
      <w:r>
        <w:t>not</w:t>
      </w:r>
      <w:r>
        <w:rPr>
          <w:spacing w:val="-1"/>
        </w:rPr>
        <w:t xml:space="preserve"> </w:t>
      </w:r>
      <w:r>
        <w:t>been</w:t>
      </w:r>
      <w:r>
        <w:rPr>
          <w:spacing w:val="-1"/>
        </w:rPr>
        <w:t xml:space="preserve"> </w:t>
      </w:r>
      <w:r>
        <w:t>accepted</w:t>
      </w:r>
      <w:r>
        <w:rPr>
          <w:spacing w:val="-1"/>
        </w:rPr>
        <w:t xml:space="preserve"> </w:t>
      </w:r>
      <w:r>
        <w:rPr>
          <w:i/>
        </w:rPr>
        <w:t>immediately</w:t>
      </w:r>
      <w:r>
        <w:rPr>
          <w:i/>
          <w:spacing w:val="-1"/>
        </w:rPr>
        <w:t xml:space="preserve"> </w:t>
      </w:r>
      <w:r>
        <w:t>a</w:t>
      </w:r>
      <w:r>
        <w:t>nd</w:t>
      </w:r>
      <w:r>
        <w:rPr>
          <w:spacing w:val="-2"/>
        </w:rPr>
        <w:t xml:space="preserve"> </w:t>
      </w:r>
      <w:r>
        <w:rPr>
          <w:i/>
        </w:rPr>
        <w:t>without</w:t>
      </w:r>
      <w:r>
        <w:rPr>
          <w:i/>
          <w:spacing w:val="-2"/>
        </w:rPr>
        <w:t xml:space="preserve"> </w:t>
      </w:r>
      <w:r>
        <w:rPr>
          <w:i/>
        </w:rPr>
        <w:t>delay</w:t>
      </w:r>
      <w:r>
        <w:t>. Further, paragraph 6 of Annex II required MOFCOM to provide an opportunity for Treasury Wines</w:t>
      </w:r>
      <w:r>
        <w:rPr>
          <w:spacing w:val="-9"/>
        </w:rPr>
        <w:t xml:space="preserve"> </w:t>
      </w:r>
      <w:r>
        <w:t>to</w:t>
      </w:r>
      <w:r>
        <w:rPr>
          <w:spacing w:val="-8"/>
        </w:rPr>
        <w:t xml:space="preserve"> </w:t>
      </w:r>
      <w:r>
        <w:t>provide</w:t>
      </w:r>
      <w:r>
        <w:rPr>
          <w:spacing w:val="-8"/>
        </w:rPr>
        <w:t xml:space="preserve"> </w:t>
      </w:r>
      <w:r>
        <w:t>further</w:t>
      </w:r>
      <w:r>
        <w:rPr>
          <w:spacing w:val="-8"/>
        </w:rPr>
        <w:t xml:space="preserve"> </w:t>
      </w:r>
      <w:r>
        <w:t>explanations</w:t>
      </w:r>
      <w:r>
        <w:rPr>
          <w:spacing w:val="-10"/>
        </w:rPr>
        <w:t xml:space="preserve"> </w:t>
      </w:r>
      <w:r>
        <w:t>within</w:t>
      </w:r>
      <w:r>
        <w:rPr>
          <w:spacing w:val="-9"/>
        </w:rPr>
        <w:t xml:space="preserve"> </w:t>
      </w:r>
      <w:r>
        <w:t>a</w:t>
      </w:r>
      <w:r>
        <w:rPr>
          <w:spacing w:val="-9"/>
        </w:rPr>
        <w:t xml:space="preserve"> </w:t>
      </w:r>
      <w:r>
        <w:t>reasonable</w:t>
      </w:r>
      <w:r>
        <w:rPr>
          <w:spacing w:val="-8"/>
        </w:rPr>
        <w:t xml:space="preserve"> </w:t>
      </w:r>
      <w:r>
        <w:t>period,</w:t>
      </w:r>
      <w:r>
        <w:rPr>
          <w:spacing w:val="-8"/>
        </w:rPr>
        <w:t xml:space="preserve"> </w:t>
      </w:r>
      <w:r>
        <w:t>due</w:t>
      </w:r>
      <w:r>
        <w:rPr>
          <w:spacing w:val="-8"/>
        </w:rPr>
        <w:t xml:space="preserve"> </w:t>
      </w:r>
      <w:r>
        <w:t>account</w:t>
      </w:r>
      <w:r>
        <w:rPr>
          <w:spacing w:val="-9"/>
        </w:rPr>
        <w:t xml:space="preserve"> </w:t>
      </w:r>
      <w:r>
        <w:t>being</w:t>
      </w:r>
      <w:r>
        <w:rPr>
          <w:spacing w:val="-8"/>
        </w:rPr>
        <w:t xml:space="preserve"> </w:t>
      </w:r>
      <w:r>
        <w:t>taken</w:t>
      </w:r>
      <w:r>
        <w:rPr>
          <w:spacing w:val="-9"/>
        </w:rPr>
        <w:t xml:space="preserve"> </w:t>
      </w:r>
      <w:r>
        <w:t>of the time</w:t>
      </w:r>
      <w:r>
        <w:rPr>
          <w:spacing w:val="-1"/>
        </w:rPr>
        <w:t xml:space="preserve"> </w:t>
      </w:r>
      <w:r>
        <w:t>limits of the investigation. However, MOFCOM never provided</w:t>
      </w:r>
      <w:r>
        <w:rPr>
          <w:spacing w:val="-1"/>
        </w:rPr>
        <w:t xml:space="preserve"> </w:t>
      </w:r>
      <w:r>
        <w:t>Treasury Wines</w:t>
      </w:r>
      <w:r>
        <w:rPr>
          <w:spacing w:val="-1"/>
        </w:rPr>
        <w:t xml:space="preserve"> </w:t>
      </w:r>
      <w:r>
        <w:t>such an opportunity.</w:t>
      </w:r>
    </w:p>
    <w:p w14:paraId="51DE818D" w14:textId="77777777" w:rsidR="0010369C" w:rsidRDefault="008E43AE">
      <w:pPr>
        <w:pStyle w:val="BodyText"/>
        <w:spacing w:before="8"/>
        <w:rPr>
          <w:sz w:val="28"/>
        </w:rPr>
      </w:pPr>
      <w:r>
        <w:pict w14:anchorId="51DE9F52">
          <v:rect id="docshape320" o:spid="_x0000_s1932" style="position:absolute;margin-left:70.9pt;margin-top:18.7pt;width:2in;height:.8pt;z-index:-251127296;mso-wrap-distance-left:0;mso-wrap-distance-right:0;mso-position-horizontal-relative:page" fillcolor="black" stroked="f">
            <w10:wrap type="topAndBottom" anchorx="page"/>
          </v:rect>
        </w:pict>
      </w:r>
    </w:p>
    <w:p w14:paraId="51DE818E" w14:textId="77777777" w:rsidR="0010369C" w:rsidRDefault="008E43AE">
      <w:pPr>
        <w:spacing w:before="109"/>
        <w:ind w:left="238"/>
        <w:rPr>
          <w:sz w:val="18"/>
        </w:rPr>
      </w:pPr>
      <w:r>
        <w:rPr>
          <w:sz w:val="18"/>
          <w:vertAlign w:val="superscript"/>
        </w:rPr>
        <w:t>197</w:t>
      </w:r>
      <w:r>
        <w:rPr>
          <w:spacing w:val="-8"/>
          <w:sz w:val="18"/>
        </w:rPr>
        <w:t xml:space="preserve"> </w:t>
      </w:r>
      <w:r>
        <w:rPr>
          <w:sz w:val="18"/>
        </w:rPr>
        <w:t>Anti‐Dumping</w:t>
      </w:r>
      <w:r>
        <w:rPr>
          <w:spacing w:val="-8"/>
          <w:sz w:val="18"/>
        </w:rPr>
        <w:t xml:space="preserve"> </w:t>
      </w:r>
      <w:r>
        <w:rPr>
          <w:sz w:val="18"/>
        </w:rPr>
        <w:t>Final</w:t>
      </w:r>
      <w:r>
        <w:rPr>
          <w:spacing w:val="-8"/>
          <w:sz w:val="18"/>
        </w:rPr>
        <w:t xml:space="preserve"> </w:t>
      </w:r>
      <w:r>
        <w:rPr>
          <w:sz w:val="18"/>
        </w:rPr>
        <w:t>Disclosure</w:t>
      </w:r>
      <w:r>
        <w:rPr>
          <w:spacing w:val="-8"/>
          <w:sz w:val="18"/>
        </w:rPr>
        <w:t xml:space="preserve"> </w:t>
      </w:r>
      <w:r>
        <w:rPr>
          <w:sz w:val="18"/>
        </w:rPr>
        <w:t>(Exhibit</w:t>
      </w:r>
      <w:r>
        <w:rPr>
          <w:spacing w:val="-8"/>
          <w:sz w:val="18"/>
        </w:rPr>
        <w:t xml:space="preserve"> </w:t>
      </w:r>
      <w:r>
        <w:rPr>
          <w:sz w:val="18"/>
        </w:rPr>
        <w:t>AUS‐16),</w:t>
      </w:r>
      <w:r>
        <w:rPr>
          <w:spacing w:val="-9"/>
          <w:sz w:val="18"/>
        </w:rPr>
        <w:t xml:space="preserve"> </w:t>
      </w:r>
      <w:r>
        <w:rPr>
          <w:sz w:val="18"/>
        </w:rPr>
        <w:t>pp.</w:t>
      </w:r>
      <w:r>
        <w:rPr>
          <w:spacing w:val="-8"/>
          <w:sz w:val="18"/>
        </w:rPr>
        <w:t xml:space="preserve"> </w:t>
      </w:r>
      <w:r>
        <w:rPr>
          <w:spacing w:val="-2"/>
          <w:sz w:val="18"/>
        </w:rPr>
        <w:t>29‐30.</w:t>
      </w:r>
    </w:p>
    <w:p w14:paraId="51DE818F" w14:textId="77777777" w:rsidR="0010369C" w:rsidRDefault="008E43AE">
      <w:pPr>
        <w:ind w:left="238"/>
        <w:rPr>
          <w:sz w:val="18"/>
        </w:rPr>
      </w:pPr>
      <w:r>
        <w:rPr>
          <w:sz w:val="18"/>
          <w:vertAlign w:val="superscript"/>
        </w:rPr>
        <w:t>198</w:t>
      </w:r>
      <w:r>
        <w:rPr>
          <w:spacing w:val="-8"/>
          <w:sz w:val="18"/>
        </w:rPr>
        <w:t xml:space="preserve"> </w:t>
      </w:r>
      <w:r>
        <w:rPr>
          <w:sz w:val="18"/>
        </w:rPr>
        <w:t>Panel</w:t>
      </w:r>
      <w:r>
        <w:rPr>
          <w:spacing w:val="-8"/>
          <w:sz w:val="18"/>
        </w:rPr>
        <w:t xml:space="preserve"> </w:t>
      </w:r>
      <w:r>
        <w:rPr>
          <w:sz w:val="18"/>
        </w:rPr>
        <w:t>Report,</w:t>
      </w:r>
      <w:r>
        <w:rPr>
          <w:spacing w:val="-8"/>
          <w:sz w:val="18"/>
        </w:rPr>
        <w:t xml:space="preserve"> </w:t>
      </w:r>
      <w:r>
        <w:rPr>
          <w:i/>
          <w:sz w:val="18"/>
        </w:rPr>
        <w:t>US</w:t>
      </w:r>
      <w:r>
        <w:rPr>
          <w:i/>
          <w:spacing w:val="-7"/>
          <w:sz w:val="18"/>
        </w:rPr>
        <w:t xml:space="preserve"> </w:t>
      </w:r>
      <w:r>
        <w:rPr>
          <w:i/>
          <w:sz w:val="18"/>
        </w:rPr>
        <w:t>–</w:t>
      </w:r>
      <w:r>
        <w:rPr>
          <w:i/>
          <w:spacing w:val="-8"/>
          <w:sz w:val="18"/>
        </w:rPr>
        <w:t xml:space="preserve"> </w:t>
      </w:r>
      <w:r>
        <w:rPr>
          <w:i/>
          <w:sz w:val="18"/>
        </w:rPr>
        <w:t>Anti‐Dumping</w:t>
      </w:r>
      <w:r>
        <w:rPr>
          <w:i/>
          <w:spacing w:val="-7"/>
          <w:sz w:val="18"/>
        </w:rPr>
        <w:t xml:space="preserve"> </w:t>
      </w:r>
      <w:r>
        <w:rPr>
          <w:i/>
          <w:sz w:val="18"/>
        </w:rPr>
        <w:t>and</w:t>
      </w:r>
      <w:r>
        <w:rPr>
          <w:i/>
          <w:spacing w:val="-9"/>
          <w:sz w:val="18"/>
        </w:rPr>
        <w:t xml:space="preserve"> </w:t>
      </w:r>
      <w:r>
        <w:rPr>
          <w:i/>
          <w:sz w:val="18"/>
        </w:rPr>
        <w:t>Countervailing</w:t>
      </w:r>
      <w:r>
        <w:rPr>
          <w:i/>
          <w:spacing w:val="-7"/>
          <w:sz w:val="18"/>
        </w:rPr>
        <w:t xml:space="preserve"> </w:t>
      </w:r>
      <w:r>
        <w:rPr>
          <w:i/>
          <w:sz w:val="18"/>
        </w:rPr>
        <w:t>Duties</w:t>
      </w:r>
      <w:r>
        <w:rPr>
          <w:i/>
          <w:spacing w:val="-8"/>
          <w:sz w:val="18"/>
        </w:rPr>
        <w:t xml:space="preserve"> </w:t>
      </w:r>
      <w:r>
        <w:rPr>
          <w:i/>
          <w:sz w:val="18"/>
        </w:rPr>
        <w:t>(Korea),</w:t>
      </w:r>
      <w:r>
        <w:rPr>
          <w:i/>
          <w:spacing w:val="-9"/>
          <w:sz w:val="18"/>
        </w:rPr>
        <w:t xml:space="preserve"> </w:t>
      </w:r>
      <w:r>
        <w:rPr>
          <w:sz w:val="18"/>
        </w:rPr>
        <w:t>paras.</w:t>
      </w:r>
      <w:r>
        <w:rPr>
          <w:spacing w:val="-7"/>
          <w:sz w:val="18"/>
        </w:rPr>
        <w:t xml:space="preserve"> </w:t>
      </w:r>
      <w:r>
        <w:rPr>
          <w:spacing w:val="-2"/>
          <w:sz w:val="18"/>
        </w:rPr>
        <w:t>7.471‐7.472.</w:t>
      </w:r>
    </w:p>
    <w:p w14:paraId="51DE8190" w14:textId="77777777" w:rsidR="0010369C" w:rsidRDefault="0010369C">
      <w:pPr>
        <w:rPr>
          <w:sz w:val="18"/>
        </w:rPr>
        <w:sectPr w:rsidR="0010369C">
          <w:pgSz w:w="11910" w:h="16840"/>
          <w:pgMar w:top="880" w:right="800" w:bottom="980" w:left="1180" w:header="569" w:footer="788" w:gutter="0"/>
          <w:cols w:space="720"/>
        </w:sectPr>
      </w:pPr>
    </w:p>
    <w:p w14:paraId="51DE8191" w14:textId="77777777" w:rsidR="0010369C" w:rsidRDefault="008E43AE">
      <w:pPr>
        <w:tabs>
          <w:tab w:val="left" w:pos="6426"/>
        </w:tabs>
        <w:ind w:left="238"/>
        <w:jc w:val="both"/>
        <w:rPr>
          <w:sz w:val="20"/>
        </w:rPr>
      </w:pPr>
      <w:r>
        <w:rPr>
          <w:i/>
          <w:sz w:val="20"/>
        </w:rPr>
        <w:lastRenderedPageBreak/>
        <w:t>China</w:t>
      </w:r>
      <w:r>
        <w:rPr>
          <w:i/>
          <w:spacing w:val="-5"/>
          <w:sz w:val="20"/>
        </w:rPr>
        <w:t xml:space="preserve"> </w:t>
      </w:r>
      <w:r>
        <w:rPr>
          <w:i/>
          <w:sz w:val="20"/>
        </w:rPr>
        <w:t>–</w:t>
      </w:r>
      <w:r>
        <w:rPr>
          <w:i/>
          <w:spacing w:val="-5"/>
          <w:sz w:val="20"/>
        </w:rPr>
        <w:t xml:space="preserve"> </w:t>
      </w:r>
      <w:r>
        <w:rPr>
          <w:i/>
          <w:sz w:val="20"/>
        </w:rPr>
        <w:t>Anti‐Dumping</w:t>
      </w:r>
      <w:r>
        <w:rPr>
          <w:i/>
          <w:spacing w:val="-4"/>
          <w:sz w:val="20"/>
        </w:rPr>
        <w:t xml:space="preserve"> </w:t>
      </w:r>
      <w:r>
        <w:rPr>
          <w:i/>
          <w:sz w:val="20"/>
        </w:rPr>
        <w:t>and</w:t>
      </w:r>
      <w:r>
        <w:rPr>
          <w:i/>
          <w:spacing w:val="-5"/>
          <w:sz w:val="20"/>
        </w:rPr>
        <w:t xml:space="preserve"> </w:t>
      </w:r>
      <w:r>
        <w:rPr>
          <w:i/>
          <w:sz w:val="20"/>
        </w:rPr>
        <w:t>Countervailing</w:t>
      </w:r>
      <w:r>
        <w:rPr>
          <w:i/>
          <w:spacing w:val="-5"/>
          <w:sz w:val="20"/>
        </w:rPr>
        <w:t xml:space="preserve"> </w:t>
      </w:r>
      <w:r>
        <w:rPr>
          <w:i/>
          <w:sz w:val="20"/>
        </w:rPr>
        <w:t>Duty</w:t>
      </w:r>
      <w:r>
        <w:rPr>
          <w:i/>
          <w:spacing w:val="-4"/>
          <w:sz w:val="20"/>
        </w:rPr>
        <w:t xml:space="preserve"> </w:t>
      </w:r>
      <w:r>
        <w:rPr>
          <w:i/>
          <w:spacing w:val="-2"/>
          <w:sz w:val="20"/>
        </w:rPr>
        <w:t>Measures</w:t>
      </w:r>
      <w:r>
        <w:rPr>
          <w:i/>
          <w:sz w:val="20"/>
        </w:rPr>
        <w:tab/>
      </w:r>
      <w:r>
        <w:rPr>
          <w:sz w:val="20"/>
        </w:rPr>
        <w:t>Australia's</w:t>
      </w:r>
      <w:r>
        <w:rPr>
          <w:spacing w:val="-7"/>
          <w:sz w:val="20"/>
        </w:rPr>
        <w:t xml:space="preserve"> </w:t>
      </w:r>
      <w:r>
        <w:rPr>
          <w:sz w:val="20"/>
        </w:rPr>
        <w:t>First</w:t>
      </w:r>
      <w:r>
        <w:rPr>
          <w:spacing w:val="-2"/>
          <w:sz w:val="20"/>
        </w:rPr>
        <w:t xml:space="preserve"> </w:t>
      </w:r>
      <w:r>
        <w:rPr>
          <w:sz w:val="20"/>
        </w:rPr>
        <w:t>Written</w:t>
      </w:r>
      <w:r>
        <w:rPr>
          <w:spacing w:val="-2"/>
          <w:sz w:val="20"/>
        </w:rPr>
        <w:t xml:space="preserve"> Submission</w:t>
      </w:r>
    </w:p>
    <w:p w14:paraId="51DE8192" w14:textId="77777777" w:rsidR="0010369C" w:rsidRDefault="008E43AE">
      <w:pPr>
        <w:tabs>
          <w:tab w:val="left" w:pos="8228"/>
        </w:tabs>
        <w:spacing w:before="1"/>
        <w:ind w:left="239"/>
        <w:jc w:val="both"/>
        <w:rPr>
          <w:sz w:val="20"/>
        </w:rPr>
      </w:pPr>
      <w:r>
        <w:rPr>
          <w:i/>
          <w:sz w:val="20"/>
        </w:rPr>
        <w:t>on</w:t>
      </w:r>
      <w:r>
        <w:rPr>
          <w:i/>
          <w:spacing w:val="-1"/>
          <w:sz w:val="20"/>
        </w:rPr>
        <w:t xml:space="preserve"> </w:t>
      </w:r>
      <w:r>
        <w:rPr>
          <w:i/>
          <w:sz w:val="20"/>
        </w:rPr>
        <w:t>Wine</w:t>
      </w:r>
      <w:r>
        <w:rPr>
          <w:i/>
          <w:spacing w:val="-1"/>
          <w:sz w:val="20"/>
        </w:rPr>
        <w:t xml:space="preserve"> </w:t>
      </w:r>
      <w:r>
        <w:rPr>
          <w:i/>
          <w:sz w:val="20"/>
        </w:rPr>
        <w:t>from</w:t>
      </w:r>
      <w:r>
        <w:rPr>
          <w:i/>
          <w:spacing w:val="-3"/>
          <w:sz w:val="20"/>
        </w:rPr>
        <w:t xml:space="preserve"> </w:t>
      </w:r>
      <w:r>
        <w:rPr>
          <w:i/>
          <w:sz w:val="20"/>
        </w:rPr>
        <w:t>Australia</w:t>
      </w:r>
      <w:r>
        <w:rPr>
          <w:i/>
          <w:spacing w:val="-1"/>
          <w:sz w:val="20"/>
        </w:rPr>
        <w:t xml:space="preserve"> </w:t>
      </w:r>
      <w:r>
        <w:rPr>
          <w:spacing w:val="-2"/>
          <w:sz w:val="20"/>
        </w:rPr>
        <w:t>(DS602)</w:t>
      </w:r>
      <w:r>
        <w:rPr>
          <w:sz w:val="20"/>
        </w:rPr>
        <w:tab/>
        <w:t>29</w:t>
      </w:r>
      <w:r>
        <w:rPr>
          <w:spacing w:val="-1"/>
          <w:sz w:val="20"/>
        </w:rPr>
        <w:t xml:space="preserve"> </w:t>
      </w:r>
      <w:r>
        <w:rPr>
          <w:sz w:val="20"/>
        </w:rPr>
        <w:t>April</w:t>
      </w:r>
      <w:r>
        <w:rPr>
          <w:spacing w:val="-2"/>
          <w:sz w:val="20"/>
        </w:rPr>
        <w:t xml:space="preserve"> </w:t>
      </w:r>
      <w:r>
        <w:rPr>
          <w:spacing w:val="-4"/>
          <w:sz w:val="20"/>
        </w:rPr>
        <w:t>2022</w:t>
      </w:r>
    </w:p>
    <w:p w14:paraId="51DE8193" w14:textId="77777777" w:rsidR="0010369C" w:rsidRDefault="008E43AE">
      <w:pPr>
        <w:pStyle w:val="BodyText"/>
        <w:spacing w:before="34" w:line="360" w:lineRule="auto"/>
        <w:ind w:left="236" w:right="614" w:firstLine="852"/>
        <w:jc w:val="both"/>
      </w:pPr>
      <w:r>
        <w:rPr>
          <w:noProof/>
        </w:rPr>
        <w:drawing>
          <wp:anchor distT="0" distB="0" distL="0" distR="0" simplePos="0" relativeHeight="250862080" behindDoc="1" locked="0" layoutInCell="1" allowOverlap="1" wp14:anchorId="51DE9F53" wp14:editId="51DE9F54">
            <wp:simplePos x="0" y="0"/>
            <wp:positionH relativeFrom="page">
              <wp:posOffset>908303</wp:posOffset>
            </wp:positionH>
            <wp:positionV relativeFrom="paragraph">
              <wp:posOffset>69165</wp:posOffset>
            </wp:positionV>
            <wp:extent cx="256031" cy="103631"/>
            <wp:effectExtent l="0" t="0" r="0" b="0"/>
            <wp:wrapNone/>
            <wp:docPr id="371" name="image1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image194.png"/>
                    <pic:cNvPicPr/>
                  </pic:nvPicPr>
                  <pic:blipFill>
                    <a:blip r:embed="rId288" cstate="print"/>
                    <a:stretch>
                      <a:fillRect/>
                    </a:stretch>
                  </pic:blipFill>
                  <pic:spPr>
                    <a:xfrm>
                      <a:off x="0" y="0"/>
                      <a:ext cx="256031" cy="103631"/>
                    </a:xfrm>
                    <a:prstGeom prst="rect">
                      <a:avLst/>
                    </a:prstGeom>
                  </pic:spPr>
                </pic:pic>
              </a:graphicData>
            </a:graphic>
          </wp:anchor>
        </w:drawing>
      </w:r>
      <w:r>
        <w:t>For the foregoing reasons, MOFCOM erred when it relied upon Treasury Wines' response to Form 6‐3 as a basis to resort to facts available and, therefore, China acted inconsistently</w:t>
      </w:r>
      <w:r>
        <w:rPr>
          <w:spacing w:val="40"/>
        </w:rPr>
        <w:t xml:space="preserve"> </w:t>
      </w:r>
      <w:r>
        <w:t>with</w:t>
      </w:r>
      <w:r>
        <w:rPr>
          <w:spacing w:val="40"/>
        </w:rPr>
        <w:t xml:space="preserve"> </w:t>
      </w:r>
      <w:r>
        <w:t>Article</w:t>
      </w:r>
      <w:r>
        <w:rPr>
          <w:spacing w:val="40"/>
        </w:rPr>
        <w:t xml:space="preserve"> </w:t>
      </w:r>
      <w:r>
        <w:t>6.8</w:t>
      </w:r>
      <w:r>
        <w:rPr>
          <w:spacing w:val="40"/>
        </w:rPr>
        <w:t xml:space="preserve"> </w:t>
      </w:r>
      <w:r>
        <w:t>and</w:t>
      </w:r>
      <w:r>
        <w:rPr>
          <w:spacing w:val="40"/>
        </w:rPr>
        <w:t xml:space="preserve"> </w:t>
      </w:r>
      <w:r>
        <w:t>paragraphs</w:t>
      </w:r>
      <w:r>
        <w:rPr>
          <w:spacing w:val="40"/>
        </w:rPr>
        <w:t xml:space="preserve"> </w:t>
      </w:r>
      <w:r>
        <w:t>1,</w:t>
      </w:r>
      <w:r>
        <w:rPr>
          <w:spacing w:val="40"/>
        </w:rPr>
        <w:t xml:space="preserve"> </w:t>
      </w:r>
      <w:r>
        <w:t>3,</w:t>
      </w:r>
      <w:r>
        <w:rPr>
          <w:spacing w:val="40"/>
        </w:rPr>
        <w:t xml:space="preserve"> </w:t>
      </w:r>
      <w:r>
        <w:t>5</w:t>
      </w:r>
      <w:r>
        <w:rPr>
          <w:spacing w:val="40"/>
        </w:rPr>
        <w:t xml:space="preserve"> </w:t>
      </w:r>
      <w:r>
        <w:t>and</w:t>
      </w:r>
      <w:r>
        <w:rPr>
          <w:spacing w:val="40"/>
        </w:rPr>
        <w:t xml:space="preserve"> </w:t>
      </w:r>
      <w:r>
        <w:t>6</w:t>
      </w:r>
      <w:r>
        <w:rPr>
          <w:spacing w:val="40"/>
        </w:rPr>
        <w:t xml:space="preserve"> </w:t>
      </w:r>
      <w:r>
        <w:t>of</w:t>
      </w:r>
      <w:r>
        <w:rPr>
          <w:spacing w:val="40"/>
        </w:rPr>
        <w:t xml:space="preserve"> </w:t>
      </w:r>
      <w:r>
        <w:t>Annex</w:t>
      </w:r>
      <w:r>
        <w:rPr>
          <w:spacing w:val="40"/>
        </w:rPr>
        <w:t xml:space="preserve"> </w:t>
      </w:r>
      <w:r>
        <w:t>II</w:t>
      </w:r>
      <w:r>
        <w:rPr>
          <w:spacing w:val="40"/>
        </w:rPr>
        <w:t xml:space="preserve"> </w:t>
      </w:r>
      <w:r>
        <w:t>of</w:t>
      </w:r>
      <w:r>
        <w:rPr>
          <w:spacing w:val="40"/>
        </w:rPr>
        <w:t xml:space="preserve"> </w:t>
      </w:r>
      <w:r>
        <w:t>the Anti‐Dumpin</w:t>
      </w:r>
      <w:r>
        <w:t>g Agreement.</w:t>
      </w:r>
    </w:p>
    <w:p w14:paraId="51DE8194" w14:textId="77777777" w:rsidR="0010369C" w:rsidRDefault="008E43AE">
      <w:pPr>
        <w:pStyle w:val="ListParagraph"/>
        <w:numPr>
          <w:ilvl w:val="4"/>
          <w:numId w:val="75"/>
        </w:numPr>
        <w:tabs>
          <w:tab w:val="left" w:pos="4491"/>
          <w:tab w:val="left" w:pos="4493"/>
        </w:tabs>
        <w:spacing w:before="160" w:line="360" w:lineRule="auto"/>
        <w:ind w:right="612" w:hanging="852"/>
        <w:jc w:val="both"/>
        <w:rPr>
          <w:i/>
          <w:sz w:val="24"/>
        </w:rPr>
      </w:pPr>
      <w:r>
        <w:rPr>
          <w:i/>
          <w:sz w:val="24"/>
        </w:rPr>
        <w:t>Form 6‐4 Production Cost Details of the Product Under Investigation and the Like Product</w:t>
      </w:r>
    </w:p>
    <w:p w14:paraId="51DE8195" w14:textId="77777777" w:rsidR="0010369C" w:rsidRDefault="0010369C">
      <w:pPr>
        <w:pStyle w:val="BodyText"/>
        <w:spacing w:before="11"/>
        <w:rPr>
          <w:i/>
          <w:sz w:val="8"/>
        </w:rPr>
      </w:pPr>
    </w:p>
    <w:p w14:paraId="51DE8196" w14:textId="77777777" w:rsidR="0010369C" w:rsidRDefault="008E43AE">
      <w:pPr>
        <w:pStyle w:val="BodyText"/>
        <w:spacing w:before="52" w:line="360" w:lineRule="auto"/>
        <w:ind w:left="237" w:right="613" w:firstLine="851"/>
        <w:jc w:val="both"/>
      </w:pPr>
      <w:r>
        <w:rPr>
          <w:noProof/>
        </w:rPr>
        <w:drawing>
          <wp:anchor distT="0" distB="0" distL="0" distR="0" simplePos="0" relativeHeight="250863104" behindDoc="1" locked="0" layoutInCell="1" allowOverlap="1" wp14:anchorId="51DE9F55" wp14:editId="51DE9F56">
            <wp:simplePos x="0" y="0"/>
            <wp:positionH relativeFrom="page">
              <wp:posOffset>908303</wp:posOffset>
            </wp:positionH>
            <wp:positionV relativeFrom="paragraph">
              <wp:posOffset>80595</wp:posOffset>
            </wp:positionV>
            <wp:extent cx="256031" cy="103631"/>
            <wp:effectExtent l="0" t="0" r="0" b="0"/>
            <wp:wrapNone/>
            <wp:docPr id="373" name="image1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 name="image195.png"/>
                    <pic:cNvPicPr/>
                  </pic:nvPicPr>
                  <pic:blipFill>
                    <a:blip r:embed="rId289" cstate="print"/>
                    <a:stretch>
                      <a:fillRect/>
                    </a:stretch>
                  </pic:blipFill>
                  <pic:spPr>
                    <a:xfrm>
                      <a:off x="0" y="0"/>
                      <a:ext cx="256031" cy="103631"/>
                    </a:xfrm>
                    <a:prstGeom prst="rect">
                      <a:avLst/>
                    </a:prstGeom>
                  </pic:spPr>
                </pic:pic>
              </a:graphicData>
            </a:graphic>
          </wp:anchor>
        </w:drawing>
      </w:r>
      <w:r>
        <w:t>With</w:t>
      </w:r>
      <w:r>
        <w:rPr>
          <w:spacing w:val="-10"/>
        </w:rPr>
        <w:t xml:space="preserve"> </w:t>
      </w:r>
      <w:r>
        <w:t>respect</w:t>
      </w:r>
      <w:r>
        <w:rPr>
          <w:spacing w:val="-10"/>
        </w:rPr>
        <w:t xml:space="preserve"> </w:t>
      </w:r>
      <w:r>
        <w:t>to</w:t>
      </w:r>
      <w:r>
        <w:rPr>
          <w:spacing w:val="-9"/>
        </w:rPr>
        <w:t xml:space="preserve"> </w:t>
      </w:r>
      <w:r>
        <w:t>Form</w:t>
      </w:r>
      <w:r>
        <w:rPr>
          <w:spacing w:val="-8"/>
        </w:rPr>
        <w:t xml:space="preserve"> </w:t>
      </w:r>
      <w:r>
        <w:t>6‐4</w:t>
      </w:r>
      <w:r>
        <w:rPr>
          <w:spacing w:val="-10"/>
        </w:rPr>
        <w:t xml:space="preserve"> </w:t>
      </w:r>
      <w:r>
        <w:t>(Production</w:t>
      </w:r>
      <w:r>
        <w:rPr>
          <w:spacing w:val="-9"/>
        </w:rPr>
        <w:t xml:space="preserve"> </w:t>
      </w:r>
      <w:r>
        <w:t>Cost</w:t>
      </w:r>
      <w:r>
        <w:rPr>
          <w:spacing w:val="-9"/>
        </w:rPr>
        <w:t xml:space="preserve"> </w:t>
      </w:r>
      <w:r>
        <w:t>Details</w:t>
      </w:r>
      <w:r>
        <w:rPr>
          <w:spacing w:val="-10"/>
        </w:rPr>
        <w:t xml:space="preserve"> </w:t>
      </w:r>
      <w:r>
        <w:t>of</w:t>
      </w:r>
      <w:r>
        <w:rPr>
          <w:spacing w:val="-10"/>
        </w:rPr>
        <w:t xml:space="preserve"> </w:t>
      </w:r>
      <w:r>
        <w:t>the</w:t>
      </w:r>
      <w:r>
        <w:rPr>
          <w:spacing w:val="-9"/>
        </w:rPr>
        <w:t xml:space="preserve"> </w:t>
      </w:r>
      <w:r>
        <w:t>Product</w:t>
      </w:r>
      <w:r>
        <w:rPr>
          <w:spacing w:val="-10"/>
        </w:rPr>
        <w:t xml:space="preserve"> </w:t>
      </w:r>
      <w:r>
        <w:t>Under</w:t>
      </w:r>
      <w:r>
        <w:rPr>
          <w:spacing w:val="-10"/>
        </w:rPr>
        <w:t xml:space="preserve"> </w:t>
      </w:r>
      <w:r>
        <w:t>Investigation and its Like Product), MOFCOM stated in the Final Determination that Treasury Wines:</w:t>
      </w:r>
    </w:p>
    <w:p w14:paraId="51DE8197" w14:textId="77777777" w:rsidR="0010369C" w:rsidRDefault="008E43AE">
      <w:pPr>
        <w:pStyle w:val="ListParagraph"/>
        <w:numPr>
          <w:ilvl w:val="0"/>
          <w:numId w:val="69"/>
        </w:numPr>
        <w:tabs>
          <w:tab w:val="left" w:pos="1316"/>
        </w:tabs>
        <w:spacing w:before="159" w:line="252" w:lineRule="auto"/>
        <w:ind w:left="1315" w:right="614" w:hanging="358"/>
        <w:rPr>
          <w:sz w:val="24"/>
        </w:rPr>
      </w:pPr>
      <w:r>
        <w:rPr>
          <w:sz w:val="24"/>
        </w:rPr>
        <w:t>"did not fill in the production cost details of all product types… and did not fill in the categories and names of the direct materials for producing the product under investigation and like products, and only four accounting codes were filled in;"</w:t>
      </w:r>
      <w:r>
        <w:rPr>
          <w:sz w:val="24"/>
          <w:vertAlign w:val="superscript"/>
        </w:rPr>
        <w:t>199</w:t>
      </w:r>
    </w:p>
    <w:p w14:paraId="51DE8198" w14:textId="77777777" w:rsidR="0010369C" w:rsidRDefault="008E43AE">
      <w:pPr>
        <w:pStyle w:val="ListParagraph"/>
        <w:numPr>
          <w:ilvl w:val="0"/>
          <w:numId w:val="69"/>
        </w:numPr>
        <w:tabs>
          <w:tab w:val="left" w:pos="1317"/>
        </w:tabs>
        <w:spacing w:before="121" w:line="252" w:lineRule="auto"/>
        <w:ind w:left="1316" w:right="614" w:hanging="358"/>
        <w:rPr>
          <w:sz w:val="24"/>
        </w:rPr>
      </w:pPr>
      <w:r>
        <w:rPr>
          <w:sz w:val="24"/>
        </w:rPr>
        <w:t>"the</w:t>
      </w:r>
      <w:r>
        <w:rPr>
          <w:sz w:val="24"/>
        </w:rPr>
        <w:t xml:space="preserve"> unit price of the direct materials of the same accounting code is inconsistent in the cost of different product types;"</w:t>
      </w:r>
      <w:r>
        <w:rPr>
          <w:sz w:val="24"/>
          <w:vertAlign w:val="superscript"/>
        </w:rPr>
        <w:t>200</w:t>
      </w:r>
    </w:p>
    <w:p w14:paraId="51DE8199" w14:textId="77777777" w:rsidR="0010369C" w:rsidRDefault="008E43AE">
      <w:pPr>
        <w:pStyle w:val="ListParagraph"/>
        <w:numPr>
          <w:ilvl w:val="0"/>
          <w:numId w:val="69"/>
        </w:numPr>
        <w:tabs>
          <w:tab w:val="left" w:pos="1317"/>
        </w:tabs>
        <w:spacing w:before="119" w:line="252" w:lineRule="auto"/>
        <w:ind w:left="1316" w:right="612" w:hanging="358"/>
        <w:rPr>
          <w:sz w:val="24"/>
        </w:rPr>
      </w:pPr>
      <w:r>
        <w:rPr>
          <w:sz w:val="24"/>
        </w:rPr>
        <w:t>"did not provide purchase or self‐production information for some direct documents listed in Form 6‐4".</w:t>
      </w:r>
      <w:r>
        <w:rPr>
          <w:sz w:val="24"/>
          <w:vertAlign w:val="superscript"/>
        </w:rPr>
        <w:t>201</w:t>
      </w:r>
    </w:p>
    <w:p w14:paraId="51DE819A" w14:textId="77777777" w:rsidR="0010369C" w:rsidRDefault="008E43AE">
      <w:pPr>
        <w:pStyle w:val="BodyText"/>
        <w:spacing w:before="120" w:line="360" w:lineRule="auto"/>
        <w:ind w:left="237" w:right="612" w:firstLine="851"/>
        <w:jc w:val="both"/>
      </w:pPr>
      <w:r>
        <w:rPr>
          <w:noProof/>
        </w:rPr>
        <w:drawing>
          <wp:anchor distT="0" distB="0" distL="0" distR="0" simplePos="0" relativeHeight="250864128" behindDoc="1" locked="0" layoutInCell="1" allowOverlap="1" wp14:anchorId="51DE9F57" wp14:editId="51DE9F58">
            <wp:simplePos x="0" y="0"/>
            <wp:positionH relativeFrom="page">
              <wp:posOffset>908303</wp:posOffset>
            </wp:positionH>
            <wp:positionV relativeFrom="paragraph">
              <wp:posOffset>123775</wp:posOffset>
            </wp:positionV>
            <wp:extent cx="256031" cy="103631"/>
            <wp:effectExtent l="0" t="0" r="0" b="0"/>
            <wp:wrapNone/>
            <wp:docPr id="375" name="image1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image196.png"/>
                    <pic:cNvPicPr/>
                  </pic:nvPicPr>
                  <pic:blipFill>
                    <a:blip r:embed="rId290" cstate="print"/>
                    <a:stretch>
                      <a:fillRect/>
                    </a:stretch>
                  </pic:blipFill>
                  <pic:spPr>
                    <a:xfrm>
                      <a:off x="0" y="0"/>
                      <a:ext cx="256031" cy="103631"/>
                    </a:xfrm>
                    <a:prstGeom prst="rect">
                      <a:avLst/>
                    </a:prstGeom>
                  </pic:spPr>
                </pic:pic>
              </a:graphicData>
            </a:graphic>
          </wp:anchor>
        </w:drawing>
      </w:r>
      <w:r>
        <w:rPr>
          <w:noProof/>
        </w:rPr>
        <w:drawing>
          <wp:anchor distT="0" distB="0" distL="0" distR="0" simplePos="0" relativeHeight="250865152" behindDoc="1" locked="0" layoutInCell="1" allowOverlap="1" wp14:anchorId="51DE9F59" wp14:editId="51DE9F5A">
            <wp:simplePos x="0" y="0"/>
            <wp:positionH relativeFrom="page">
              <wp:posOffset>908303</wp:posOffset>
            </wp:positionH>
            <wp:positionV relativeFrom="paragraph">
              <wp:posOffset>2175079</wp:posOffset>
            </wp:positionV>
            <wp:extent cx="255117" cy="106299"/>
            <wp:effectExtent l="0" t="0" r="0" b="0"/>
            <wp:wrapNone/>
            <wp:docPr id="377" name="image1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 name="image197.png"/>
                    <pic:cNvPicPr/>
                  </pic:nvPicPr>
                  <pic:blipFill>
                    <a:blip r:embed="rId291" cstate="print"/>
                    <a:stretch>
                      <a:fillRect/>
                    </a:stretch>
                  </pic:blipFill>
                  <pic:spPr>
                    <a:xfrm>
                      <a:off x="0" y="0"/>
                      <a:ext cx="255117" cy="106299"/>
                    </a:xfrm>
                    <a:prstGeom prst="rect">
                      <a:avLst/>
                    </a:prstGeom>
                  </pic:spPr>
                </pic:pic>
              </a:graphicData>
            </a:graphic>
          </wp:anchor>
        </w:drawing>
      </w:r>
      <w:r>
        <w:t>The</w:t>
      </w:r>
      <w:r>
        <w:rPr>
          <w:spacing w:val="-1"/>
        </w:rPr>
        <w:t xml:space="preserve"> </w:t>
      </w:r>
      <w:r>
        <w:t>information</w:t>
      </w:r>
      <w:r>
        <w:rPr>
          <w:spacing w:val="-2"/>
        </w:rPr>
        <w:t xml:space="preserve"> </w:t>
      </w:r>
      <w:r>
        <w:t>request</w:t>
      </w:r>
      <w:r>
        <w:t>ed</w:t>
      </w:r>
      <w:r>
        <w:rPr>
          <w:spacing w:val="-2"/>
        </w:rPr>
        <w:t xml:space="preserve"> </w:t>
      </w:r>
      <w:r>
        <w:t>in</w:t>
      </w:r>
      <w:r>
        <w:rPr>
          <w:spacing w:val="-2"/>
        </w:rPr>
        <w:t xml:space="preserve"> </w:t>
      </w:r>
      <w:r>
        <w:t>Form</w:t>
      </w:r>
      <w:r>
        <w:rPr>
          <w:spacing w:val="-1"/>
        </w:rPr>
        <w:t xml:space="preserve"> </w:t>
      </w:r>
      <w:r>
        <w:t>6‐4</w:t>
      </w:r>
      <w:r>
        <w:rPr>
          <w:spacing w:val="-2"/>
        </w:rPr>
        <w:t xml:space="preserve"> </w:t>
      </w:r>
      <w:r>
        <w:t>relates</w:t>
      </w:r>
      <w:r>
        <w:rPr>
          <w:spacing w:val="-2"/>
        </w:rPr>
        <w:t xml:space="preserve"> </w:t>
      </w:r>
      <w:r>
        <w:t>to</w:t>
      </w:r>
      <w:r>
        <w:rPr>
          <w:spacing w:val="-2"/>
        </w:rPr>
        <w:t xml:space="preserve"> </w:t>
      </w:r>
      <w:r>
        <w:t>the</w:t>
      </w:r>
      <w:r>
        <w:rPr>
          <w:spacing w:val="-1"/>
        </w:rPr>
        <w:t xml:space="preserve"> </w:t>
      </w:r>
      <w:r>
        <w:t>production</w:t>
      </w:r>
      <w:r>
        <w:rPr>
          <w:spacing w:val="-1"/>
        </w:rPr>
        <w:t xml:space="preserve"> </w:t>
      </w:r>
      <w:r>
        <w:t>cost</w:t>
      </w:r>
      <w:r>
        <w:rPr>
          <w:spacing w:val="-1"/>
        </w:rPr>
        <w:t xml:space="preserve"> </w:t>
      </w:r>
      <w:r>
        <w:t>of</w:t>
      </w:r>
      <w:r>
        <w:rPr>
          <w:spacing w:val="-2"/>
        </w:rPr>
        <w:t xml:space="preserve"> </w:t>
      </w:r>
      <w:r>
        <w:t>the</w:t>
      </w:r>
      <w:r>
        <w:rPr>
          <w:spacing w:val="-1"/>
        </w:rPr>
        <w:t xml:space="preserve"> </w:t>
      </w:r>
      <w:r>
        <w:t xml:space="preserve">product under investigation and domestic like products, and includes data on input costs, direct labour, fuel and energy, and other expenses such as freight and sundry expenses, among others. Given this </w:t>
      </w:r>
      <w:r>
        <w:t>information reflects the actual cost of producing the product under investigation and domestic like products, it is necessary for the purposes of constructing normal</w:t>
      </w:r>
      <w:r>
        <w:rPr>
          <w:spacing w:val="-14"/>
        </w:rPr>
        <w:t xml:space="preserve"> </w:t>
      </w:r>
      <w:r>
        <w:t>value</w:t>
      </w:r>
      <w:r>
        <w:rPr>
          <w:spacing w:val="-14"/>
        </w:rPr>
        <w:t xml:space="preserve"> </w:t>
      </w:r>
      <w:r>
        <w:t>under</w:t>
      </w:r>
      <w:r>
        <w:rPr>
          <w:spacing w:val="-13"/>
        </w:rPr>
        <w:t xml:space="preserve"> </w:t>
      </w:r>
      <w:r>
        <w:t>Article</w:t>
      </w:r>
      <w:r>
        <w:rPr>
          <w:spacing w:val="-14"/>
        </w:rPr>
        <w:t xml:space="preserve"> </w:t>
      </w:r>
      <w:r>
        <w:t>2</w:t>
      </w:r>
      <w:r>
        <w:rPr>
          <w:spacing w:val="-13"/>
        </w:rPr>
        <w:t xml:space="preserve"> </w:t>
      </w:r>
      <w:r>
        <w:t>of</w:t>
      </w:r>
      <w:r>
        <w:rPr>
          <w:spacing w:val="-14"/>
        </w:rPr>
        <w:t xml:space="preserve"> </w:t>
      </w:r>
      <w:r>
        <w:t>the</w:t>
      </w:r>
      <w:r>
        <w:rPr>
          <w:spacing w:val="-13"/>
        </w:rPr>
        <w:t xml:space="preserve"> </w:t>
      </w:r>
      <w:r>
        <w:t>Anti‐Dumping</w:t>
      </w:r>
      <w:r>
        <w:rPr>
          <w:spacing w:val="-14"/>
        </w:rPr>
        <w:t xml:space="preserve"> </w:t>
      </w:r>
      <w:r>
        <w:t>Agreement</w:t>
      </w:r>
      <w:r>
        <w:rPr>
          <w:spacing w:val="-14"/>
        </w:rPr>
        <w:t xml:space="preserve"> </w:t>
      </w:r>
      <w:r>
        <w:t>and</w:t>
      </w:r>
      <w:r>
        <w:rPr>
          <w:spacing w:val="-13"/>
        </w:rPr>
        <w:t xml:space="preserve"> </w:t>
      </w:r>
      <w:r>
        <w:t>would</w:t>
      </w:r>
      <w:r>
        <w:rPr>
          <w:spacing w:val="-14"/>
        </w:rPr>
        <w:t xml:space="preserve"> </w:t>
      </w:r>
      <w:r>
        <w:t>constitute</w:t>
      </w:r>
      <w:r>
        <w:rPr>
          <w:spacing w:val="-13"/>
        </w:rPr>
        <w:t xml:space="preserve"> </w:t>
      </w:r>
      <w:r>
        <w:t>"necessary information" within the meaning of Article 6.8 of the Anti‐Dumping Agreement.</w:t>
      </w:r>
    </w:p>
    <w:p w14:paraId="51DE819B" w14:textId="77777777" w:rsidR="0010369C" w:rsidRDefault="0010369C">
      <w:pPr>
        <w:pStyle w:val="BodyText"/>
        <w:spacing w:before="4"/>
        <w:rPr>
          <w:sz w:val="13"/>
        </w:rPr>
      </w:pPr>
    </w:p>
    <w:tbl>
      <w:tblPr>
        <w:tblW w:w="0" w:type="auto"/>
        <w:tblInd w:w="127" w:type="dxa"/>
        <w:tblLayout w:type="fixed"/>
        <w:tblCellMar>
          <w:left w:w="0" w:type="dxa"/>
          <w:right w:w="0" w:type="dxa"/>
        </w:tblCellMar>
        <w:tblLook w:val="01E0" w:firstRow="1" w:lastRow="1" w:firstColumn="1" w:lastColumn="1" w:noHBand="0" w:noVBand="0"/>
      </w:tblPr>
      <w:tblGrid>
        <w:gridCol w:w="1096"/>
        <w:gridCol w:w="5697"/>
        <w:gridCol w:w="2434"/>
      </w:tblGrid>
      <w:tr w:rsidR="0010369C" w14:paraId="51DE819E" w14:textId="77777777">
        <w:trPr>
          <w:trHeight w:val="320"/>
        </w:trPr>
        <w:tc>
          <w:tcPr>
            <w:tcW w:w="1096" w:type="dxa"/>
            <w:tcBorders>
              <w:bottom w:val="single" w:sz="48" w:space="0" w:color="FFFFFF"/>
            </w:tcBorders>
          </w:tcPr>
          <w:p w14:paraId="51DE819C" w14:textId="77777777" w:rsidR="0010369C" w:rsidRDefault="008E43AE">
            <w:pPr>
              <w:pStyle w:val="TableParagraph"/>
              <w:spacing w:line="291" w:lineRule="exact"/>
              <w:ind w:right="-29"/>
              <w:jc w:val="right"/>
              <w:rPr>
                <w:sz w:val="24"/>
              </w:rPr>
            </w:pPr>
            <w:r>
              <w:rPr>
                <w:spacing w:val="-5"/>
                <w:sz w:val="24"/>
              </w:rPr>
              <w:t>[[</w:t>
            </w:r>
          </w:p>
        </w:tc>
        <w:tc>
          <w:tcPr>
            <w:tcW w:w="8131" w:type="dxa"/>
            <w:gridSpan w:val="2"/>
            <w:tcBorders>
              <w:bottom w:val="single" w:sz="48" w:space="0" w:color="FFFFFF"/>
            </w:tcBorders>
            <w:shd w:val="clear" w:color="auto" w:fill="000000"/>
          </w:tcPr>
          <w:p w14:paraId="51DE819D" w14:textId="77777777" w:rsidR="0010369C" w:rsidRDefault="0010369C">
            <w:pPr>
              <w:pStyle w:val="TableParagraph"/>
              <w:rPr>
                <w:rFonts w:ascii="Times New Roman"/>
              </w:rPr>
            </w:pPr>
          </w:p>
        </w:tc>
      </w:tr>
      <w:tr w:rsidR="0010369C" w14:paraId="51DE81A0" w14:textId="77777777">
        <w:trPr>
          <w:trHeight w:val="319"/>
        </w:trPr>
        <w:tc>
          <w:tcPr>
            <w:tcW w:w="9227" w:type="dxa"/>
            <w:gridSpan w:val="3"/>
            <w:tcBorders>
              <w:top w:val="single" w:sz="48" w:space="0" w:color="FFFFFF"/>
              <w:bottom w:val="single" w:sz="48" w:space="0" w:color="FFFFFF"/>
            </w:tcBorders>
            <w:shd w:val="clear" w:color="auto" w:fill="000000"/>
          </w:tcPr>
          <w:p w14:paraId="51DE819F" w14:textId="77777777" w:rsidR="0010369C" w:rsidRDefault="0010369C">
            <w:pPr>
              <w:pStyle w:val="TableParagraph"/>
              <w:rPr>
                <w:rFonts w:ascii="Times New Roman"/>
              </w:rPr>
            </w:pPr>
          </w:p>
        </w:tc>
      </w:tr>
      <w:tr w:rsidR="0010369C" w14:paraId="51DE81A3" w14:textId="77777777">
        <w:trPr>
          <w:trHeight w:val="319"/>
        </w:trPr>
        <w:tc>
          <w:tcPr>
            <w:tcW w:w="6793" w:type="dxa"/>
            <w:gridSpan w:val="2"/>
            <w:tcBorders>
              <w:top w:val="single" w:sz="48" w:space="0" w:color="FFFFFF"/>
              <w:bottom w:val="single" w:sz="48" w:space="0" w:color="FFFFFF"/>
              <w:right w:val="single" w:sz="36" w:space="0" w:color="FFFFFF"/>
            </w:tcBorders>
            <w:shd w:val="clear" w:color="auto" w:fill="000000"/>
          </w:tcPr>
          <w:p w14:paraId="51DE81A1" w14:textId="77777777" w:rsidR="0010369C" w:rsidRDefault="0010369C">
            <w:pPr>
              <w:pStyle w:val="TableParagraph"/>
              <w:rPr>
                <w:rFonts w:ascii="Times New Roman"/>
              </w:rPr>
            </w:pPr>
          </w:p>
        </w:tc>
        <w:tc>
          <w:tcPr>
            <w:tcW w:w="2434" w:type="dxa"/>
            <w:tcBorders>
              <w:top w:val="single" w:sz="48" w:space="0" w:color="FFFFFF"/>
              <w:left w:val="single" w:sz="36" w:space="0" w:color="FFFFFF"/>
              <w:bottom w:val="single" w:sz="48" w:space="0" w:color="FFFFFF"/>
            </w:tcBorders>
            <w:shd w:val="clear" w:color="auto" w:fill="000000"/>
          </w:tcPr>
          <w:p w14:paraId="51DE81A2" w14:textId="77777777" w:rsidR="0010369C" w:rsidRDefault="0010369C">
            <w:pPr>
              <w:pStyle w:val="TableParagraph"/>
              <w:rPr>
                <w:rFonts w:ascii="Times New Roman"/>
              </w:rPr>
            </w:pPr>
          </w:p>
        </w:tc>
      </w:tr>
      <w:tr w:rsidR="0010369C" w14:paraId="51DE81A5" w14:textId="77777777">
        <w:trPr>
          <w:trHeight w:val="319"/>
        </w:trPr>
        <w:tc>
          <w:tcPr>
            <w:tcW w:w="9227" w:type="dxa"/>
            <w:gridSpan w:val="3"/>
            <w:tcBorders>
              <w:top w:val="single" w:sz="48" w:space="0" w:color="FFFFFF"/>
              <w:bottom w:val="single" w:sz="48" w:space="0" w:color="FFFFFF"/>
            </w:tcBorders>
            <w:shd w:val="clear" w:color="auto" w:fill="000000"/>
          </w:tcPr>
          <w:p w14:paraId="51DE81A4" w14:textId="77777777" w:rsidR="0010369C" w:rsidRDefault="0010369C">
            <w:pPr>
              <w:pStyle w:val="TableParagraph"/>
              <w:rPr>
                <w:rFonts w:ascii="Times New Roman"/>
              </w:rPr>
            </w:pPr>
          </w:p>
        </w:tc>
      </w:tr>
      <w:tr w:rsidR="0010369C" w14:paraId="51DE81A7" w14:textId="77777777">
        <w:trPr>
          <w:trHeight w:val="319"/>
        </w:trPr>
        <w:tc>
          <w:tcPr>
            <w:tcW w:w="9227" w:type="dxa"/>
            <w:gridSpan w:val="3"/>
            <w:tcBorders>
              <w:top w:val="single" w:sz="48" w:space="0" w:color="FFFFFF"/>
              <w:bottom w:val="single" w:sz="48" w:space="0" w:color="FFFFFF"/>
            </w:tcBorders>
            <w:shd w:val="clear" w:color="auto" w:fill="000000"/>
          </w:tcPr>
          <w:p w14:paraId="51DE81A6" w14:textId="77777777" w:rsidR="0010369C" w:rsidRDefault="0010369C">
            <w:pPr>
              <w:pStyle w:val="TableParagraph"/>
              <w:rPr>
                <w:rFonts w:ascii="Times New Roman"/>
              </w:rPr>
            </w:pPr>
          </w:p>
        </w:tc>
      </w:tr>
      <w:tr w:rsidR="0010369C" w14:paraId="51DE81A9" w14:textId="77777777">
        <w:trPr>
          <w:trHeight w:val="320"/>
        </w:trPr>
        <w:tc>
          <w:tcPr>
            <w:tcW w:w="9227" w:type="dxa"/>
            <w:gridSpan w:val="3"/>
            <w:tcBorders>
              <w:top w:val="single" w:sz="48" w:space="0" w:color="FFFFFF"/>
            </w:tcBorders>
            <w:shd w:val="clear" w:color="auto" w:fill="000000"/>
          </w:tcPr>
          <w:p w14:paraId="51DE81A8" w14:textId="77777777" w:rsidR="0010369C" w:rsidRDefault="0010369C">
            <w:pPr>
              <w:pStyle w:val="TableParagraph"/>
              <w:rPr>
                <w:rFonts w:ascii="Times New Roman"/>
              </w:rPr>
            </w:pPr>
          </w:p>
        </w:tc>
      </w:tr>
    </w:tbl>
    <w:p w14:paraId="51DE81AA" w14:textId="77777777" w:rsidR="0010369C" w:rsidRDefault="0010369C">
      <w:pPr>
        <w:pStyle w:val="BodyText"/>
        <w:rPr>
          <w:sz w:val="20"/>
        </w:rPr>
      </w:pPr>
    </w:p>
    <w:p w14:paraId="51DE81AB" w14:textId="77777777" w:rsidR="0010369C" w:rsidRDefault="008E43AE">
      <w:pPr>
        <w:pStyle w:val="BodyText"/>
        <w:rPr>
          <w:sz w:val="17"/>
        </w:rPr>
      </w:pPr>
      <w:r>
        <w:pict w14:anchorId="51DE9F5B">
          <v:rect id="docshape321" o:spid="_x0000_s1931" style="position:absolute;margin-left:70.9pt;margin-top:11.6pt;width:2in;height:.8pt;z-index:-251126272;mso-wrap-distance-left:0;mso-wrap-distance-right:0;mso-position-horizontal-relative:page" fillcolor="black" stroked="f">
            <w10:wrap type="topAndBottom" anchorx="page"/>
          </v:rect>
        </w:pict>
      </w:r>
    </w:p>
    <w:p w14:paraId="51DE81AC" w14:textId="77777777" w:rsidR="0010369C" w:rsidRDefault="008E43AE">
      <w:pPr>
        <w:spacing w:before="109"/>
        <w:ind w:left="238"/>
        <w:rPr>
          <w:sz w:val="18"/>
        </w:rPr>
      </w:pPr>
      <w:r>
        <w:rPr>
          <w:sz w:val="18"/>
          <w:vertAlign w:val="superscript"/>
        </w:rPr>
        <w:t>199</w:t>
      </w:r>
      <w:r>
        <w:rPr>
          <w:spacing w:val="-9"/>
          <w:sz w:val="18"/>
        </w:rPr>
        <w:t xml:space="preserve"> </w:t>
      </w:r>
      <w:r>
        <w:rPr>
          <w:sz w:val="18"/>
        </w:rPr>
        <w:t>Anti‐Dumping</w:t>
      </w:r>
      <w:r>
        <w:rPr>
          <w:spacing w:val="-9"/>
          <w:sz w:val="18"/>
        </w:rPr>
        <w:t xml:space="preserve"> </w:t>
      </w:r>
      <w:r>
        <w:rPr>
          <w:sz w:val="18"/>
        </w:rPr>
        <w:t>Final</w:t>
      </w:r>
      <w:r>
        <w:rPr>
          <w:spacing w:val="-9"/>
          <w:sz w:val="18"/>
        </w:rPr>
        <w:t xml:space="preserve"> </w:t>
      </w:r>
      <w:r>
        <w:rPr>
          <w:sz w:val="18"/>
        </w:rPr>
        <w:t>Determination</w:t>
      </w:r>
      <w:r>
        <w:rPr>
          <w:spacing w:val="-8"/>
          <w:sz w:val="18"/>
        </w:rPr>
        <w:t xml:space="preserve"> </w:t>
      </w:r>
      <w:r>
        <w:rPr>
          <w:sz w:val="18"/>
        </w:rPr>
        <w:t>(Exhibit</w:t>
      </w:r>
      <w:r>
        <w:rPr>
          <w:spacing w:val="-9"/>
          <w:sz w:val="18"/>
        </w:rPr>
        <w:t xml:space="preserve"> </w:t>
      </w:r>
      <w:r>
        <w:rPr>
          <w:sz w:val="18"/>
        </w:rPr>
        <w:t>AUS‐2),</w:t>
      </w:r>
      <w:r>
        <w:rPr>
          <w:spacing w:val="-9"/>
          <w:sz w:val="18"/>
        </w:rPr>
        <w:t xml:space="preserve"> </w:t>
      </w:r>
      <w:r>
        <w:rPr>
          <w:sz w:val="18"/>
        </w:rPr>
        <w:t>p.</w:t>
      </w:r>
      <w:r>
        <w:rPr>
          <w:spacing w:val="-9"/>
          <w:sz w:val="18"/>
        </w:rPr>
        <w:t xml:space="preserve"> </w:t>
      </w:r>
      <w:r>
        <w:rPr>
          <w:spacing w:val="-2"/>
          <w:sz w:val="18"/>
        </w:rPr>
        <w:t>59‐60.</w:t>
      </w:r>
    </w:p>
    <w:p w14:paraId="51DE81AD" w14:textId="77777777" w:rsidR="0010369C" w:rsidRDefault="008E43AE">
      <w:pPr>
        <w:spacing w:before="1"/>
        <w:ind w:left="238"/>
        <w:rPr>
          <w:sz w:val="18"/>
        </w:rPr>
      </w:pPr>
      <w:r>
        <w:rPr>
          <w:sz w:val="18"/>
          <w:vertAlign w:val="superscript"/>
        </w:rPr>
        <w:t>200</w:t>
      </w:r>
      <w:r>
        <w:rPr>
          <w:spacing w:val="-9"/>
          <w:sz w:val="18"/>
        </w:rPr>
        <w:t xml:space="preserve"> </w:t>
      </w:r>
      <w:r>
        <w:rPr>
          <w:sz w:val="18"/>
        </w:rPr>
        <w:t>Anti‐Dumping</w:t>
      </w:r>
      <w:r>
        <w:rPr>
          <w:spacing w:val="-9"/>
          <w:sz w:val="18"/>
        </w:rPr>
        <w:t xml:space="preserve"> </w:t>
      </w:r>
      <w:r>
        <w:rPr>
          <w:sz w:val="18"/>
        </w:rPr>
        <w:t>Final</w:t>
      </w:r>
      <w:r>
        <w:rPr>
          <w:spacing w:val="-9"/>
          <w:sz w:val="18"/>
        </w:rPr>
        <w:t xml:space="preserve"> </w:t>
      </w:r>
      <w:r>
        <w:rPr>
          <w:sz w:val="18"/>
        </w:rPr>
        <w:t>Determination</w:t>
      </w:r>
      <w:r>
        <w:rPr>
          <w:spacing w:val="-8"/>
          <w:sz w:val="18"/>
        </w:rPr>
        <w:t xml:space="preserve"> </w:t>
      </w:r>
      <w:r>
        <w:rPr>
          <w:sz w:val="18"/>
        </w:rPr>
        <w:t>(Exhibit</w:t>
      </w:r>
      <w:r>
        <w:rPr>
          <w:spacing w:val="-9"/>
          <w:sz w:val="18"/>
        </w:rPr>
        <w:t xml:space="preserve"> </w:t>
      </w:r>
      <w:r>
        <w:rPr>
          <w:sz w:val="18"/>
        </w:rPr>
        <w:t>AUS‐2),</w:t>
      </w:r>
      <w:r>
        <w:rPr>
          <w:spacing w:val="-9"/>
          <w:sz w:val="18"/>
        </w:rPr>
        <w:t xml:space="preserve"> </w:t>
      </w:r>
      <w:r>
        <w:rPr>
          <w:sz w:val="18"/>
        </w:rPr>
        <w:t>p.</w:t>
      </w:r>
      <w:r>
        <w:rPr>
          <w:spacing w:val="-9"/>
          <w:sz w:val="18"/>
        </w:rPr>
        <w:t xml:space="preserve"> </w:t>
      </w:r>
      <w:r>
        <w:rPr>
          <w:spacing w:val="-5"/>
          <w:sz w:val="18"/>
        </w:rPr>
        <w:t>60.</w:t>
      </w:r>
    </w:p>
    <w:p w14:paraId="51DE81AE" w14:textId="77777777" w:rsidR="0010369C" w:rsidRDefault="008E43AE">
      <w:pPr>
        <w:ind w:left="238"/>
        <w:rPr>
          <w:sz w:val="18"/>
        </w:rPr>
      </w:pPr>
      <w:r>
        <w:rPr>
          <w:sz w:val="18"/>
          <w:vertAlign w:val="superscript"/>
        </w:rPr>
        <w:t>201</w:t>
      </w:r>
      <w:r>
        <w:rPr>
          <w:spacing w:val="-9"/>
          <w:sz w:val="18"/>
        </w:rPr>
        <w:t xml:space="preserve"> </w:t>
      </w:r>
      <w:r>
        <w:rPr>
          <w:sz w:val="18"/>
        </w:rPr>
        <w:t>Anti‐Dumping</w:t>
      </w:r>
      <w:r>
        <w:rPr>
          <w:spacing w:val="-9"/>
          <w:sz w:val="18"/>
        </w:rPr>
        <w:t xml:space="preserve"> </w:t>
      </w:r>
      <w:r>
        <w:rPr>
          <w:sz w:val="18"/>
        </w:rPr>
        <w:t>Final</w:t>
      </w:r>
      <w:r>
        <w:rPr>
          <w:spacing w:val="-9"/>
          <w:sz w:val="18"/>
        </w:rPr>
        <w:t xml:space="preserve"> </w:t>
      </w:r>
      <w:r>
        <w:rPr>
          <w:sz w:val="18"/>
        </w:rPr>
        <w:t>Determination</w:t>
      </w:r>
      <w:r>
        <w:rPr>
          <w:spacing w:val="-8"/>
          <w:sz w:val="18"/>
        </w:rPr>
        <w:t xml:space="preserve"> </w:t>
      </w:r>
      <w:r>
        <w:rPr>
          <w:sz w:val="18"/>
        </w:rPr>
        <w:t>(Exhibit</w:t>
      </w:r>
      <w:r>
        <w:rPr>
          <w:spacing w:val="-9"/>
          <w:sz w:val="18"/>
        </w:rPr>
        <w:t xml:space="preserve"> </w:t>
      </w:r>
      <w:r>
        <w:rPr>
          <w:sz w:val="18"/>
        </w:rPr>
        <w:t>AUS‐2),</w:t>
      </w:r>
      <w:r>
        <w:rPr>
          <w:spacing w:val="-9"/>
          <w:sz w:val="18"/>
        </w:rPr>
        <w:t xml:space="preserve"> </w:t>
      </w:r>
      <w:r>
        <w:rPr>
          <w:sz w:val="18"/>
        </w:rPr>
        <w:t>p.</w:t>
      </w:r>
      <w:r>
        <w:rPr>
          <w:spacing w:val="-9"/>
          <w:sz w:val="18"/>
        </w:rPr>
        <w:t xml:space="preserve"> </w:t>
      </w:r>
      <w:r>
        <w:rPr>
          <w:spacing w:val="-2"/>
          <w:sz w:val="18"/>
        </w:rPr>
        <w:t>64‐65.</w:t>
      </w:r>
    </w:p>
    <w:p w14:paraId="51DE81AF" w14:textId="77777777" w:rsidR="0010369C" w:rsidRDefault="008E43AE">
      <w:pPr>
        <w:tabs>
          <w:tab w:val="left" w:pos="6975"/>
        </w:tabs>
        <w:ind w:left="238"/>
        <w:rPr>
          <w:sz w:val="18"/>
        </w:rPr>
      </w:pPr>
      <w:r>
        <w:pict w14:anchorId="51DE9F5C">
          <v:rect id="docshape322" o:spid="_x0000_s1930" style="position:absolute;left:0;text-align:left;margin-left:86.65pt;margin-top:.35pt;width:318pt;height:12.05pt;z-index:-251402752;mso-position-horizontal-relative:page" fillcolor="black" stroked="f">
            <w10:wrap anchorx="page"/>
          </v:rect>
        </w:pict>
      </w:r>
      <w:r>
        <w:rPr>
          <w:color w:val="5E5E5E"/>
          <w:sz w:val="18"/>
          <w:vertAlign w:val="superscript"/>
        </w:rPr>
        <w:t>202</w:t>
      </w:r>
      <w:r>
        <w:rPr>
          <w:color w:val="5E5E5E"/>
          <w:spacing w:val="-2"/>
          <w:sz w:val="18"/>
        </w:rPr>
        <w:t xml:space="preserve"> </w:t>
      </w:r>
      <w:r>
        <w:rPr>
          <w:color w:val="5E5E5E"/>
          <w:spacing w:val="-10"/>
          <w:sz w:val="18"/>
        </w:rPr>
        <w:t>[</w:t>
      </w:r>
      <w:r>
        <w:rPr>
          <w:color w:val="5E5E5E"/>
          <w:sz w:val="18"/>
        </w:rPr>
        <w:tab/>
        <w:t>(Exhibit</w:t>
      </w:r>
      <w:r>
        <w:rPr>
          <w:color w:val="5E5E5E"/>
          <w:spacing w:val="-10"/>
          <w:sz w:val="18"/>
        </w:rPr>
        <w:t xml:space="preserve"> </w:t>
      </w:r>
      <w:r>
        <w:rPr>
          <w:color w:val="5E5E5E"/>
          <w:sz w:val="18"/>
        </w:rPr>
        <w:t>AUS‐25</w:t>
      </w:r>
      <w:r>
        <w:rPr>
          <w:color w:val="5E5E5E"/>
          <w:spacing w:val="-9"/>
          <w:sz w:val="18"/>
        </w:rPr>
        <w:t xml:space="preserve"> </w:t>
      </w:r>
      <w:r>
        <w:rPr>
          <w:color w:val="5E5E5E"/>
          <w:spacing w:val="-2"/>
          <w:sz w:val="18"/>
        </w:rPr>
        <w:t>(BCI)).]]</w:t>
      </w:r>
    </w:p>
    <w:p w14:paraId="51DE81B0" w14:textId="77777777" w:rsidR="0010369C" w:rsidRDefault="008E43AE">
      <w:pPr>
        <w:ind w:left="238"/>
        <w:rPr>
          <w:sz w:val="18"/>
        </w:rPr>
      </w:pPr>
      <w:r>
        <w:rPr>
          <w:sz w:val="18"/>
          <w:vertAlign w:val="superscript"/>
        </w:rPr>
        <w:t>203</w:t>
      </w:r>
      <w:r>
        <w:rPr>
          <w:spacing w:val="-6"/>
          <w:sz w:val="18"/>
        </w:rPr>
        <w:t xml:space="preserve"> </w:t>
      </w:r>
      <w:r>
        <w:rPr>
          <w:sz w:val="18"/>
        </w:rPr>
        <w:t>See</w:t>
      </w:r>
      <w:r>
        <w:rPr>
          <w:spacing w:val="-5"/>
          <w:sz w:val="18"/>
        </w:rPr>
        <w:t xml:space="preserve"> </w:t>
      </w:r>
      <w:r>
        <w:rPr>
          <w:sz w:val="18"/>
        </w:rPr>
        <w:t>above,</w:t>
      </w:r>
      <w:r>
        <w:rPr>
          <w:spacing w:val="-6"/>
          <w:sz w:val="18"/>
        </w:rPr>
        <w:t xml:space="preserve"> </w:t>
      </w:r>
      <w:r>
        <w:rPr>
          <w:sz w:val="18"/>
        </w:rPr>
        <w:t>para.</w:t>
      </w:r>
      <w:r>
        <w:rPr>
          <w:spacing w:val="-5"/>
          <w:sz w:val="18"/>
        </w:rPr>
        <w:t xml:space="preserve"> </w:t>
      </w:r>
      <w:r>
        <w:rPr>
          <w:spacing w:val="-4"/>
          <w:sz w:val="18"/>
        </w:rPr>
        <w:t>172.</w:t>
      </w:r>
    </w:p>
    <w:p w14:paraId="51DE81B1" w14:textId="77777777" w:rsidR="0010369C" w:rsidRDefault="0010369C">
      <w:pPr>
        <w:rPr>
          <w:sz w:val="18"/>
        </w:rPr>
        <w:sectPr w:rsidR="0010369C">
          <w:pgSz w:w="11910" w:h="16840"/>
          <w:pgMar w:top="880" w:right="800" w:bottom="980" w:left="1180" w:header="569" w:footer="788" w:gutter="0"/>
          <w:cols w:space="720"/>
        </w:sectPr>
      </w:pPr>
    </w:p>
    <w:p w14:paraId="51DE81B2" w14:textId="77777777" w:rsidR="0010369C" w:rsidRDefault="008E43AE">
      <w:pPr>
        <w:tabs>
          <w:tab w:val="left" w:pos="6426"/>
        </w:tabs>
        <w:ind w:left="238"/>
        <w:rPr>
          <w:sz w:val="20"/>
        </w:rPr>
      </w:pPr>
      <w:r>
        <w:rPr>
          <w:i/>
          <w:sz w:val="20"/>
        </w:rPr>
        <w:lastRenderedPageBreak/>
        <w:t>China</w:t>
      </w:r>
      <w:r>
        <w:rPr>
          <w:i/>
          <w:spacing w:val="-5"/>
          <w:sz w:val="20"/>
        </w:rPr>
        <w:t xml:space="preserve"> </w:t>
      </w:r>
      <w:r>
        <w:rPr>
          <w:i/>
          <w:sz w:val="20"/>
        </w:rPr>
        <w:t>–</w:t>
      </w:r>
      <w:r>
        <w:rPr>
          <w:i/>
          <w:spacing w:val="-5"/>
          <w:sz w:val="20"/>
        </w:rPr>
        <w:t xml:space="preserve"> </w:t>
      </w:r>
      <w:r>
        <w:rPr>
          <w:i/>
          <w:sz w:val="20"/>
        </w:rPr>
        <w:t>Anti‐Dumping</w:t>
      </w:r>
      <w:r>
        <w:rPr>
          <w:i/>
          <w:spacing w:val="-4"/>
          <w:sz w:val="20"/>
        </w:rPr>
        <w:t xml:space="preserve"> </w:t>
      </w:r>
      <w:r>
        <w:rPr>
          <w:i/>
          <w:sz w:val="20"/>
        </w:rPr>
        <w:t>and</w:t>
      </w:r>
      <w:r>
        <w:rPr>
          <w:i/>
          <w:spacing w:val="-5"/>
          <w:sz w:val="20"/>
        </w:rPr>
        <w:t xml:space="preserve"> </w:t>
      </w:r>
      <w:r>
        <w:rPr>
          <w:i/>
          <w:sz w:val="20"/>
        </w:rPr>
        <w:t>Countervailing</w:t>
      </w:r>
      <w:r>
        <w:rPr>
          <w:i/>
          <w:spacing w:val="-5"/>
          <w:sz w:val="20"/>
        </w:rPr>
        <w:t xml:space="preserve"> </w:t>
      </w:r>
      <w:r>
        <w:rPr>
          <w:i/>
          <w:sz w:val="20"/>
        </w:rPr>
        <w:t>Duty</w:t>
      </w:r>
      <w:r>
        <w:rPr>
          <w:i/>
          <w:spacing w:val="-4"/>
          <w:sz w:val="20"/>
        </w:rPr>
        <w:t xml:space="preserve"> </w:t>
      </w:r>
      <w:r>
        <w:rPr>
          <w:i/>
          <w:spacing w:val="-2"/>
          <w:sz w:val="20"/>
        </w:rPr>
        <w:t>Measures</w:t>
      </w:r>
      <w:r>
        <w:rPr>
          <w:i/>
          <w:sz w:val="20"/>
        </w:rPr>
        <w:tab/>
      </w:r>
      <w:r>
        <w:rPr>
          <w:sz w:val="20"/>
        </w:rPr>
        <w:t>Australia's</w:t>
      </w:r>
      <w:r>
        <w:rPr>
          <w:spacing w:val="-7"/>
          <w:sz w:val="20"/>
        </w:rPr>
        <w:t xml:space="preserve"> </w:t>
      </w:r>
      <w:r>
        <w:rPr>
          <w:sz w:val="20"/>
        </w:rPr>
        <w:t>First</w:t>
      </w:r>
      <w:r>
        <w:rPr>
          <w:spacing w:val="-2"/>
          <w:sz w:val="20"/>
        </w:rPr>
        <w:t xml:space="preserve"> </w:t>
      </w:r>
      <w:r>
        <w:rPr>
          <w:sz w:val="20"/>
        </w:rPr>
        <w:t>Written</w:t>
      </w:r>
      <w:r>
        <w:rPr>
          <w:spacing w:val="-2"/>
          <w:sz w:val="20"/>
        </w:rPr>
        <w:t xml:space="preserve"> Submission</w:t>
      </w:r>
    </w:p>
    <w:p w14:paraId="51DE81B3" w14:textId="77777777" w:rsidR="0010369C" w:rsidRDefault="008E43AE">
      <w:pPr>
        <w:tabs>
          <w:tab w:val="left" w:pos="8228"/>
        </w:tabs>
        <w:spacing w:before="1"/>
        <w:ind w:left="239"/>
        <w:rPr>
          <w:sz w:val="20"/>
        </w:rPr>
      </w:pPr>
      <w:r>
        <w:pict w14:anchorId="51DE9F5D">
          <v:rect id="docshape323" o:spid="_x0000_s1929" style="position:absolute;left:0;text-align:left;margin-left:69.9pt;margin-top:14.1pt;width:453.4pt;height:16.05pt;z-index:-251125248;mso-wrap-distance-left:0;mso-wrap-distance-right:0;mso-position-horizontal-relative:page" fillcolor="black" stroked="f">
            <w10:wrap type="topAndBottom" anchorx="page"/>
          </v:rect>
        </w:pict>
      </w:r>
      <w:r>
        <w:pict w14:anchorId="51DE9F5E">
          <v:rect id="docshape324" o:spid="_x0000_s1928" style="position:absolute;left:0;text-align:left;margin-left:69.9pt;margin-top:36.05pt;width:453.4pt;height:16.05pt;z-index:-251124224;mso-wrap-distance-left:0;mso-wrap-distance-right:0;mso-position-horizontal-relative:page" fillcolor="black" stroked="f">
            <w10:wrap type="topAndBottom" anchorx="page"/>
          </v:rect>
        </w:pict>
      </w:r>
      <w:r>
        <w:rPr>
          <w:noProof/>
        </w:rPr>
        <w:drawing>
          <wp:anchor distT="0" distB="0" distL="0" distR="0" simplePos="0" relativeHeight="250866176" behindDoc="1" locked="0" layoutInCell="1" allowOverlap="1" wp14:anchorId="51DE9F5F" wp14:editId="51DE9F60">
            <wp:simplePos x="0" y="0"/>
            <wp:positionH relativeFrom="page">
              <wp:posOffset>908303</wp:posOffset>
            </wp:positionH>
            <wp:positionV relativeFrom="paragraph">
              <wp:posOffset>1163921</wp:posOffset>
            </wp:positionV>
            <wp:extent cx="256031" cy="103631"/>
            <wp:effectExtent l="0" t="0" r="0" b="0"/>
            <wp:wrapNone/>
            <wp:docPr id="379" name="image1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 name="image198.png"/>
                    <pic:cNvPicPr/>
                  </pic:nvPicPr>
                  <pic:blipFill>
                    <a:blip r:embed="rId292" cstate="print"/>
                    <a:stretch>
                      <a:fillRect/>
                    </a:stretch>
                  </pic:blipFill>
                  <pic:spPr>
                    <a:xfrm>
                      <a:off x="0" y="0"/>
                      <a:ext cx="256031" cy="103631"/>
                    </a:xfrm>
                    <a:prstGeom prst="rect">
                      <a:avLst/>
                    </a:prstGeom>
                  </pic:spPr>
                </pic:pic>
              </a:graphicData>
            </a:graphic>
          </wp:anchor>
        </w:drawing>
      </w:r>
      <w:r>
        <w:pict w14:anchorId="51DE9F61">
          <v:rect id="docshape325" o:spid="_x0000_s1927" style="position:absolute;left:0;text-align:left;margin-left:69.9pt;margin-top:58.05pt;width:313.7pt;height:16.05pt;z-index:251739648;mso-position-horizontal-relative:page;mso-position-vertical-relative:text" fillcolor="black" stroked="f">
            <w10:wrap anchorx="page"/>
          </v:rect>
        </w:pict>
      </w:r>
      <w:r>
        <w:rPr>
          <w:i/>
          <w:sz w:val="20"/>
        </w:rPr>
        <w:t>on</w:t>
      </w:r>
      <w:r>
        <w:rPr>
          <w:i/>
          <w:spacing w:val="-1"/>
          <w:sz w:val="20"/>
        </w:rPr>
        <w:t xml:space="preserve"> </w:t>
      </w:r>
      <w:r>
        <w:rPr>
          <w:i/>
          <w:sz w:val="20"/>
        </w:rPr>
        <w:t>Wine</w:t>
      </w:r>
      <w:r>
        <w:rPr>
          <w:i/>
          <w:spacing w:val="-1"/>
          <w:sz w:val="20"/>
        </w:rPr>
        <w:t xml:space="preserve"> </w:t>
      </w:r>
      <w:r>
        <w:rPr>
          <w:i/>
          <w:sz w:val="20"/>
        </w:rPr>
        <w:t>from</w:t>
      </w:r>
      <w:r>
        <w:rPr>
          <w:i/>
          <w:spacing w:val="-3"/>
          <w:sz w:val="20"/>
        </w:rPr>
        <w:t xml:space="preserve"> </w:t>
      </w:r>
      <w:r>
        <w:rPr>
          <w:i/>
          <w:sz w:val="20"/>
        </w:rPr>
        <w:t>Australia</w:t>
      </w:r>
      <w:r>
        <w:rPr>
          <w:i/>
          <w:spacing w:val="-1"/>
          <w:sz w:val="20"/>
        </w:rPr>
        <w:t xml:space="preserve"> </w:t>
      </w:r>
      <w:r>
        <w:rPr>
          <w:spacing w:val="-2"/>
          <w:sz w:val="20"/>
        </w:rPr>
        <w:t>(DS602)</w:t>
      </w:r>
      <w:r>
        <w:rPr>
          <w:sz w:val="20"/>
        </w:rPr>
        <w:tab/>
        <w:t>29</w:t>
      </w:r>
      <w:r>
        <w:rPr>
          <w:spacing w:val="-1"/>
          <w:sz w:val="20"/>
        </w:rPr>
        <w:t xml:space="preserve"> </w:t>
      </w:r>
      <w:r>
        <w:rPr>
          <w:sz w:val="20"/>
        </w:rPr>
        <w:t>April</w:t>
      </w:r>
      <w:r>
        <w:rPr>
          <w:spacing w:val="-2"/>
          <w:sz w:val="20"/>
        </w:rPr>
        <w:t xml:space="preserve"> </w:t>
      </w:r>
      <w:r>
        <w:rPr>
          <w:spacing w:val="-4"/>
          <w:sz w:val="20"/>
        </w:rPr>
        <w:t>2022</w:t>
      </w:r>
    </w:p>
    <w:p w14:paraId="51DE81B4" w14:textId="77777777" w:rsidR="0010369C" w:rsidRDefault="0010369C">
      <w:pPr>
        <w:pStyle w:val="BodyText"/>
        <w:spacing w:before="8"/>
        <w:rPr>
          <w:sz w:val="7"/>
        </w:rPr>
      </w:pPr>
    </w:p>
    <w:p w14:paraId="51DE81B5" w14:textId="77777777" w:rsidR="0010369C" w:rsidRDefault="008E43AE">
      <w:pPr>
        <w:spacing w:before="116"/>
        <w:ind w:left="6512"/>
        <w:rPr>
          <w:sz w:val="24"/>
        </w:rPr>
      </w:pPr>
      <w:r>
        <w:rPr>
          <w:spacing w:val="-5"/>
          <w:sz w:val="24"/>
        </w:rPr>
        <w:t>]]</w:t>
      </w:r>
    </w:p>
    <w:p w14:paraId="51DE81B6" w14:textId="77777777" w:rsidR="0010369C" w:rsidRDefault="0010369C">
      <w:pPr>
        <w:pStyle w:val="BodyText"/>
        <w:spacing w:before="3"/>
        <w:rPr>
          <w:sz w:val="25"/>
        </w:rPr>
      </w:pPr>
    </w:p>
    <w:tbl>
      <w:tblPr>
        <w:tblW w:w="0" w:type="auto"/>
        <w:tblInd w:w="225" w:type="dxa"/>
        <w:tblLayout w:type="fixed"/>
        <w:tblCellMar>
          <w:left w:w="0" w:type="dxa"/>
          <w:right w:w="0" w:type="dxa"/>
        </w:tblCellMar>
        <w:tblLook w:val="01E0" w:firstRow="1" w:lastRow="1" w:firstColumn="1" w:lastColumn="1" w:noHBand="0" w:noVBand="0"/>
      </w:tblPr>
      <w:tblGrid>
        <w:gridCol w:w="997"/>
        <w:gridCol w:w="5058"/>
        <w:gridCol w:w="3073"/>
      </w:tblGrid>
      <w:tr w:rsidR="0010369C" w14:paraId="51DE81B9" w14:textId="77777777">
        <w:trPr>
          <w:trHeight w:val="320"/>
        </w:trPr>
        <w:tc>
          <w:tcPr>
            <w:tcW w:w="997" w:type="dxa"/>
            <w:tcBorders>
              <w:bottom w:val="single" w:sz="48" w:space="0" w:color="FFFFFF"/>
            </w:tcBorders>
          </w:tcPr>
          <w:p w14:paraId="51DE81B7" w14:textId="77777777" w:rsidR="0010369C" w:rsidRDefault="008E43AE">
            <w:pPr>
              <w:pStyle w:val="TableParagraph"/>
              <w:spacing w:line="291" w:lineRule="exact"/>
              <w:ind w:right="-29"/>
              <w:jc w:val="right"/>
              <w:rPr>
                <w:sz w:val="24"/>
              </w:rPr>
            </w:pPr>
            <w:r>
              <w:rPr>
                <w:spacing w:val="-5"/>
                <w:sz w:val="24"/>
              </w:rPr>
              <w:t>[[</w:t>
            </w:r>
          </w:p>
        </w:tc>
        <w:tc>
          <w:tcPr>
            <w:tcW w:w="8131" w:type="dxa"/>
            <w:gridSpan w:val="2"/>
            <w:tcBorders>
              <w:bottom w:val="single" w:sz="48" w:space="0" w:color="FFFFFF"/>
            </w:tcBorders>
            <w:shd w:val="clear" w:color="auto" w:fill="000000"/>
          </w:tcPr>
          <w:p w14:paraId="51DE81B8" w14:textId="77777777" w:rsidR="0010369C" w:rsidRDefault="0010369C">
            <w:pPr>
              <w:pStyle w:val="TableParagraph"/>
              <w:rPr>
                <w:rFonts w:ascii="Times New Roman"/>
                <w:sz w:val="18"/>
              </w:rPr>
            </w:pPr>
          </w:p>
        </w:tc>
      </w:tr>
      <w:tr w:rsidR="0010369C" w14:paraId="51DE81BB" w14:textId="77777777">
        <w:trPr>
          <w:trHeight w:val="319"/>
        </w:trPr>
        <w:tc>
          <w:tcPr>
            <w:tcW w:w="9128" w:type="dxa"/>
            <w:gridSpan w:val="3"/>
            <w:tcBorders>
              <w:top w:val="single" w:sz="48" w:space="0" w:color="FFFFFF"/>
              <w:bottom w:val="single" w:sz="48" w:space="0" w:color="FFFFFF"/>
            </w:tcBorders>
            <w:shd w:val="clear" w:color="auto" w:fill="000000"/>
          </w:tcPr>
          <w:p w14:paraId="51DE81BA" w14:textId="77777777" w:rsidR="0010369C" w:rsidRDefault="0010369C">
            <w:pPr>
              <w:pStyle w:val="TableParagraph"/>
              <w:rPr>
                <w:rFonts w:ascii="Times New Roman"/>
                <w:sz w:val="18"/>
              </w:rPr>
            </w:pPr>
          </w:p>
        </w:tc>
      </w:tr>
      <w:tr w:rsidR="0010369C" w14:paraId="51DE81BD" w14:textId="77777777">
        <w:trPr>
          <w:trHeight w:val="319"/>
        </w:trPr>
        <w:tc>
          <w:tcPr>
            <w:tcW w:w="9128" w:type="dxa"/>
            <w:gridSpan w:val="3"/>
            <w:tcBorders>
              <w:top w:val="single" w:sz="48" w:space="0" w:color="FFFFFF"/>
              <w:bottom w:val="single" w:sz="48" w:space="0" w:color="FFFFFF"/>
            </w:tcBorders>
            <w:shd w:val="clear" w:color="auto" w:fill="000000"/>
          </w:tcPr>
          <w:p w14:paraId="51DE81BC" w14:textId="77777777" w:rsidR="0010369C" w:rsidRDefault="0010369C">
            <w:pPr>
              <w:pStyle w:val="TableParagraph"/>
              <w:rPr>
                <w:rFonts w:ascii="Times New Roman"/>
                <w:sz w:val="18"/>
              </w:rPr>
            </w:pPr>
          </w:p>
        </w:tc>
      </w:tr>
      <w:tr w:rsidR="0010369C" w14:paraId="51DE81BF" w14:textId="77777777">
        <w:trPr>
          <w:trHeight w:val="319"/>
        </w:trPr>
        <w:tc>
          <w:tcPr>
            <w:tcW w:w="9128" w:type="dxa"/>
            <w:gridSpan w:val="3"/>
            <w:tcBorders>
              <w:top w:val="single" w:sz="48" w:space="0" w:color="FFFFFF"/>
              <w:bottom w:val="single" w:sz="48" w:space="0" w:color="FFFFFF"/>
            </w:tcBorders>
            <w:shd w:val="clear" w:color="auto" w:fill="000000"/>
          </w:tcPr>
          <w:p w14:paraId="51DE81BE" w14:textId="77777777" w:rsidR="0010369C" w:rsidRDefault="0010369C">
            <w:pPr>
              <w:pStyle w:val="TableParagraph"/>
              <w:rPr>
                <w:rFonts w:ascii="Times New Roman"/>
                <w:sz w:val="18"/>
              </w:rPr>
            </w:pPr>
          </w:p>
        </w:tc>
      </w:tr>
      <w:tr w:rsidR="0010369C" w14:paraId="51DE81C1" w14:textId="77777777">
        <w:trPr>
          <w:trHeight w:val="319"/>
        </w:trPr>
        <w:tc>
          <w:tcPr>
            <w:tcW w:w="9128" w:type="dxa"/>
            <w:gridSpan w:val="3"/>
            <w:tcBorders>
              <w:top w:val="single" w:sz="48" w:space="0" w:color="FFFFFF"/>
              <w:bottom w:val="single" w:sz="48" w:space="0" w:color="FFFFFF"/>
            </w:tcBorders>
            <w:shd w:val="clear" w:color="auto" w:fill="000000"/>
          </w:tcPr>
          <w:p w14:paraId="51DE81C0" w14:textId="77777777" w:rsidR="0010369C" w:rsidRDefault="0010369C">
            <w:pPr>
              <w:pStyle w:val="TableParagraph"/>
              <w:rPr>
                <w:rFonts w:ascii="Times New Roman"/>
                <w:sz w:val="18"/>
              </w:rPr>
            </w:pPr>
          </w:p>
        </w:tc>
      </w:tr>
      <w:tr w:rsidR="0010369C" w14:paraId="51DE81C3" w14:textId="77777777">
        <w:trPr>
          <w:trHeight w:val="319"/>
        </w:trPr>
        <w:tc>
          <w:tcPr>
            <w:tcW w:w="9128" w:type="dxa"/>
            <w:gridSpan w:val="3"/>
            <w:tcBorders>
              <w:top w:val="single" w:sz="48" w:space="0" w:color="FFFFFF"/>
              <w:bottom w:val="single" w:sz="48" w:space="0" w:color="FFFFFF"/>
            </w:tcBorders>
            <w:shd w:val="clear" w:color="auto" w:fill="000000"/>
          </w:tcPr>
          <w:p w14:paraId="51DE81C2" w14:textId="77777777" w:rsidR="0010369C" w:rsidRDefault="0010369C">
            <w:pPr>
              <w:pStyle w:val="TableParagraph"/>
              <w:rPr>
                <w:rFonts w:ascii="Times New Roman"/>
                <w:sz w:val="18"/>
              </w:rPr>
            </w:pPr>
          </w:p>
        </w:tc>
      </w:tr>
      <w:tr w:rsidR="0010369C" w14:paraId="51DE81C5" w14:textId="77777777">
        <w:trPr>
          <w:trHeight w:val="319"/>
        </w:trPr>
        <w:tc>
          <w:tcPr>
            <w:tcW w:w="9128" w:type="dxa"/>
            <w:gridSpan w:val="3"/>
            <w:tcBorders>
              <w:top w:val="single" w:sz="48" w:space="0" w:color="FFFFFF"/>
              <w:bottom w:val="single" w:sz="48" w:space="0" w:color="FFFFFF"/>
            </w:tcBorders>
            <w:shd w:val="clear" w:color="auto" w:fill="000000"/>
          </w:tcPr>
          <w:p w14:paraId="51DE81C4" w14:textId="77777777" w:rsidR="0010369C" w:rsidRDefault="0010369C">
            <w:pPr>
              <w:pStyle w:val="TableParagraph"/>
              <w:rPr>
                <w:rFonts w:ascii="Times New Roman"/>
                <w:sz w:val="18"/>
              </w:rPr>
            </w:pPr>
          </w:p>
        </w:tc>
      </w:tr>
      <w:tr w:rsidR="0010369C" w14:paraId="51DE81C7" w14:textId="77777777">
        <w:trPr>
          <w:trHeight w:val="319"/>
        </w:trPr>
        <w:tc>
          <w:tcPr>
            <w:tcW w:w="9128" w:type="dxa"/>
            <w:gridSpan w:val="3"/>
            <w:tcBorders>
              <w:top w:val="single" w:sz="48" w:space="0" w:color="FFFFFF"/>
              <w:bottom w:val="single" w:sz="48" w:space="0" w:color="FFFFFF"/>
            </w:tcBorders>
            <w:shd w:val="clear" w:color="auto" w:fill="000000"/>
          </w:tcPr>
          <w:p w14:paraId="51DE81C6" w14:textId="77777777" w:rsidR="0010369C" w:rsidRDefault="0010369C">
            <w:pPr>
              <w:pStyle w:val="TableParagraph"/>
              <w:rPr>
                <w:rFonts w:ascii="Times New Roman"/>
                <w:sz w:val="18"/>
              </w:rPr>
            </w:pPr>
          </w:p>
        </w:tc>
      </w:tr>
      <w:tr w:rsidR="0010369C" w14:paraId="51DE81CA" w14:textId="77777777">
        <w:trPr>
          <w:trHeight w:val="320"/>
        </w:trPr>
        <w:tc>
          <w:tcPr>
            <w:tcW w:w="6055" w:type="dxa"/>
            <w:gridSpan w:val="2"/>
            <w:tcBorders>
              <w:top w:val="single" w:sz="48" w:space="0" w:color="FFFFFF"/>
            </w:tcBorders>
            <w:shd w:val="clear" w:color="auto" w:fill="000000"/>
          </w:tcPr>
          <w:p w14:paraId="51DE81C8" w14:textId="77777777" w:rsidR="0010369C" w:rsidRDefault="0010369C">
            <w:pPr>
              <w:pStyle w:val="TableParagraph"/>
              <w:rPr>
                <w:rFonts w:ascii="Times New Roman"/>
                <w:sz w:val="18"/>
              </w:rPr>
            </w:pPr>
          </w:p>
        </w:tc>
        <w:tc>
          <w:tcPr>
            <w:tcW w:w="3073" w:type="dxa"/>
            <w:tcBorders>
              <w:top w:val="single" w:sz="48" w:space="0" w:color="FFFFFF"/>
            </w:tcBorders>
          </w:tcPr>
          <w:p w14:paraId="51DE81C9" w14:textId="77777777" w:rsidR="0010369C" w:rsidRDefault="0010369C">
            <w:pPr>
              <w:pStyle w:val="TableParagraph"/>
              <w:rPr>
                <w:rFonts w:ascii="Times New Roman"/>
                <w:sz w:val="18"/>
              </w:rPr>
            </w:pPr>
          </w:p>
        </w:tc>
      </w:tr>
    </w:tbl>
    <w:p w14:paraId="51DE81CB" w14:textId="77777777" w:rsidR="0010369C" w:rsidRDefault="0010369C">
      <w:pPr>
        <w:pStyle w:val="BodyText"/>
        <w:spacing w:before="10"/>
        <w:rPr>
          <w:sz w:val="22"/>
        </w:rPr>
      </w:pPr>
    </w:p>
    <w:p w14:paraId="51DE81CC" w14:textId="77777777" w:rsidR="0010369C" w:rsidRDefault="008E43AE">
      <w:pPr>
        <w:spacing w:before="1"/>
        <w:ind w:left="1089"/>
        <w:rPr>
          <w:sz w:val="24"/>
        </w:rPr>
      </w:pPr>
      <w:r>
        <w:rPr>
          <w:noProof/>
        </w:rPr>
        <w:drawing>
          <wp:anchor distT="0" distB="0" distL="0" distR="0" simplePos="0" relativeHeight="250630656" behindDoc="0" locked="0" layoutInCell="1" allowOverlap="1" wp14:anchorId="51DE9F62" wp14:editId="51DE9F63">
            <wp:simplePos x="0" y="0"/>
            <wp:positionH relativeFrom="page">
              <wp:posOffset>908303</wp:posOffset>
            </wp:positionH>
            <wp:positionV relativeFrom="paragraph">
              <wp:posOffset>44400</wp:posOffset>
            </wp:positionV>
            <wp:extent cx="256031" cy="106679"/>
            <wp:effectExtent l="0" t="0" r="0" b="0"/>
            <wp:wrapNone/>
            <wp:docPr id="381" name="image1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 name="image199.png"/>
                    <pic:cNvPicPr/>
                  </pic:nvPicPr>
                  <pic:blipFill>
                    <a:blip r:embed="rId293" cstate="print"/>
                    <a:stretch>
                      <a:fillRect/>
                    </a:stretch>
                  </pic:blipFill>
                  <pic:spPr>
                    <a:xfrm>
                      <a:off x="0" y="0"/>
                      <a:ext cx="256031" cy="106679"/>
                    </a:xfrm>
                    <a:prstGeom prst="rect">
                      <a:avLst/>
                    </a:prstGeom>
                  </pic:spPr>
                </pic:pic>
              </a:graphicData>
            </a:graphic>
          </wp:anchor>
        </w:drawing>
      </w:r>
      <w:r>
        <w:pict w14:anchorId="51DE9F64">
          <v:rect id="docshape326" o:spid="_x0000_s1926" style="position:absolute;left:0;text-align:left;margin-left:119.8pt;margin-top:.15pt;width:403.65pt;height:16.05pt;z-index:251740672;mso-position-horizontal-relative:page;mso-position-vertical-relative:text" fillcolor="black" stroked="f">
            <w10:wrap anchorx="page"/>
          </v:rect>
        </w:pict>
      </w:r>
      <w:r>
        <w:rPr>
          <w:spacing w:val="-5"/>
          <w:sz w:val="24"/>
        </w:rPr>
        <w:t>[[</w:t>
      </w:r>
    </w:p>
    <w:p w14:paraId="51DE81CD" w14:textId="77777777" w:rsidR="0010369C" w:rsidRDefault="008E43AE">
      <w:pPr>
        <w:pStyle w:val="BodyText"/>
        <w:spacing w:before="2"/>
        <w:rPr>
          <w:sz w:val="10"/>
        </w:rPr>
      </w:pPr>
      <w:r>
        <w:pict w14:anchorId="51DE9F65">
          <v:rect id="docshape327" o:spid="_x0000_s1925" style="position:absolute;margin-left:69.9pt;margin-top:7.4pt;width:453.5pt;height:16.05pt;z-index:-251123200;mso-wrap-distance-left:0;mso-wrap-distance-right:0;mso-position-horizontal-relative:page" fillcolor="black" stroked="f">
            <w10:wrap type="topAndBottom" anchorx="page"/>
          </v:rect>
        </w:pict>
      </w:r>
      <w:r>
        <w:pict w14:anchorId="51DE9F66">
          <v:rect id="docshape328" o:spid="_x0000_s1924" style="position:absolute;margin-left:69.9pt;margin-top:29.4pt;width:453.55pt;height:16.05pt;z-index:-251122176;mso-wrap-distance-left:0;mso-wrap-distance-right:0;mso-position-horizontal-relative:page" fillcolor="black" stroked="f">
            <w10:wrap type="topAndBottom" anchorx="page"/>
          </v:rect>
        </w:pict>
      </w:r>
      <w:r>
        <w:pict w14:anchorId="51DE9F67">
          <v:shape id="docshape329" o:spid="_x0000_s1923" style="position:absolute;margin-left:69.9pt;margin-top:51.35pt;width:453.55pt;height:16.1pt;z-index:-251121152;mso-wrap-distance-left:0;mso-wrap-distance-right:0;mso-position-horizontal-relative:page" coordorigin="1398,1027" coordsize="9071,322" path="m10469,1029r-242,l10227,1027r-8829,l1398,1339r8829,9l10227,1243r242,l10469,1029xe" fillcolor="black" stroked="f">
            <v:path arrowok="t"/>
            <w10:wrap type="topAndBottom" anchorx="page"/>
          </v:shape>
        </w:pict>
      </w:r>
      <w:r>
        <w:pict w14:anchorId="51DE9F68">
          <v:shape id="docshape330" o:spid="_x0000_s1922" style="position:absolute;margin-left:69.9pt;margin-top:73.4pt;width:318.3pt;height:16.1pt;z-index:-251120128;mso-wrap-distance-left:0;mso-wrap-distance-right:0;mso-position-horizontal-relative:page" coordorigin="1398,1468" coordsize="6366,322" o:spt="100" adj="0,,0" path="m7521,1468r-6123,l1398,1790r6123,l7521,1468xm7764,1471r-242,l7522,1684r242,l7764,1471xe" fillcolor="black" stroked="f">
            <v:stroke joinstyle="round"/>
            <v:formulas/>
            <v:path arrowok="t" o:connecttype="segments"/>
            <w10:wrap type="topAndBottom" anchorx="page"/>
          </v:shape>
        </w:pict>
      </w:r>
    </w:p>
    <w:p w14:paraId="51DE81CE" w14:textId="77777777" w:rsidR="0010369C" w:rsidRDefault="0010369C">
      <w:pPr>
        <w:pStyle w:val="BodyText"/>
        <w:spacing w:before="8"/>
        <w:rPr>
          <w:sz w:val="7"/>
        </w:rPr>
      </w:pPr>
    </w:p>
    <w:p w14:paraId="51DE81CF" w14:textId="77777777" w:rsidR="0010369C" w:rsidRDefault="0010369C">
      <w:pPr>
        <w:pStyle w:val="BodyText"/>
        <w:spacing w:before="8"/>
        <w:rPr>
          <w:sz w:val="7"/>
        </w:rPr>
      </w:pPr>
    </w:p>
    <w:p w14:paraId="51DE81D0" w14:textId="77777777" w:rsidR="0010369C" w:rsidRDefault="0010369C">
      <w:pPr>
        <w:pStyle w:val="BodyText"/>
        <w:spacing w:before="10"/>
        <w:rPr>
          <w:sz w:val="7"/>
        </w:rPr>
      </w:pPr>
    </w:p>
    <w:p w14:paraId="51DE81D1" w14:textId="77777777" w:rsidR="0010369C" w:rsidRDefault="0010369C">
      <w:pPr>
        <w:pStyle w:val="BodyText"/>
        <w:spacing w:before="10"/>
        <w:rPr>
          <w:sz w:val="22"/>
        </w:rPr>
      </w:pPr>
    </w:p>
    <w:tbl>
      <w:tblPr>
        <w:tblW w:w="0" w:type="auto"/>
        <w:tblInd w:w="1076" w:type="dxa"/>
        <w:tblLayout w:type="fixed"/>
        <w:tblCellMar>
          <w:left w:w="0" w:type="dxa"/>
          <w:right w:w="0" w:type="dxa"/>
        </w:tblCellMar>
        <w:tblLook w:val="01E0" w:firstRow="1" w:lastRow="1" w:firstColumn="1" w:lastColumn="1" w:noHBand="0" w:noVBand="0"/>
      </w:tblPr>
      <w:tblGrid>
        <w:gridCol w:w="1473"/>
        <w:gridCol w:w="6745"/>
      </w:tblGrid>
      <w:tr w:rsidR="0010369C" w14:paraId="51DE81D3" w14:textId="77777777">
        <w:trPr>
          <w:trHeight w:val="291"/>
        </w:trPr>
        <w:tc>
          <w:tcPr>
            <w:tcW w:w="8218" w:type="dxa"/>
            <w:gridSpan w:val="2"/>
            <w:tcBorders>
              <w:bottom w:val="single" w:sz="8" w:space="0" w:color="FFFFFF"/>
            </w:tcBorders>
            <w:shd w:val="clear" w:color="auto" w:fill="000000"/>
          </w:tcPr>
          <w:p w14:paraId="51DE81D2" w14:textId="77777777" w:rsidR="0010369C" w:rsidRDefault="0010369C">
            <w:pPr>
              <w:pStyle w:val="TableParagraph"/>
              <w:rPr>
                <w:rFonts w:ascii="Times New Roman"/>
                <w:sz w:val="18"/>
              </w:rPr>
            </w:pPr>
          </w:p>
        </w:tc>
      </w:tr>
      <w:tr w:rsidR="0010369C" w14:paraId="51DE81D5" w14:textId="77777777">
        <w:trPr>
          <w:trHeight w:val="291"/>
        </w:trPr>
        <w:tc>
          <w:tcPr>
            <w:tcW w:w="8218" w:type="dxa"/>
            <w:gridSpan w:val="2"/>
            <w:tcBorders>
              <w:top w:val="single" w:sz="8" w:space="0" w:color="FFFFFF"/>
              <w:bottom w:val="single" w:sz="6" w:space="0" w:color="FFFFFF"/>
            </w:tcBorders>
            <w:shd w:val="clear" w:color="auto" w:fill="000000"/>
          </w:tcPr>
          <w:p w14:paraId="51DE81D4" w14:textId="77777777" w:rsidR="0010369C" w:rsidRDefault="0010369C">
            <w:pPr>
              <w:pStyle w:val="TableParagraph"/>
              <w:rPr>
                <w:rFonts w:ascii="Times New Roman"/>
                <w:sz w:val="18"/>
              </w:rPr>
            </w:pPr>
          </w:p>
        </w:tc>
      </w:tr>
      <w:tr w:rsidR="0010369C" w14:paraId="51DE81D7" w14:textId="77777777">
        <w:trPr>
          <w:trHeight w:val="293"/>
        </w:trPr>
        <w:tc>
          <w:tcPr>
            <w:tcW w:w="8218" w:type="dxa"/>
            <w:gridSpan w:val="2"/>
            <w:tcBorders>
              <w:top w:val="single" w:sz="6" w:space="0" w:color="FFFFFF"/>
              <w:bottom w:val="single" w:sz="6" w:space="0" w:color="FFFFFF"/>
            </w:tcBorders>
            <w:shd w:val="clear" w:color="auto" w:fill="000000"/>
          </w:tcPr>
          <w:p w14:paraId="51DE81D6" w14:textId="77777777" w:rsidR="0010369C" w:rsidRDefault="0010369C">
            <w:pPr>
              <w:pStyle w:val="TableParagraph"/>
              <w:rPr>
                <w:rFonts w:ascii="Times New Roman"/>
                <w:sz w:val="18"/>
              </w:rPr>
            </w:pPr>
          </w:p>
        </w:tc>
      </w:tr>
      <w:tr w:rsidR="0010369C" w14:paraId="51DE81D9" w14:textId="77777777">
        <w:trPr>
          <w:trHeight w:val="291"/>
        </w:trPr>
        <w:tc>
          <w:tcPr>
            <w:tcW w:w="8218" w:type="dxa"/>
            <w:gridSpan w:val="2"/>
            <w:tcBorders>
              <w:top w:val="single" w:sz="6" w:space="0" w:color="FFFFFF"/>
              <w:bottom w:val="single" w:sz="8" w:space="0" w:color="FFFFFF"/>
            </w:tcBorders>
            <w:shd w:val="clear" w:color="auto" w:fill="000000"/>
          </w:tcPr>
          <w:p w14:paraId="51DE81D8" w14:textId="77777777" w:rsidR="0010369C" w:rsidRDefault="0010369C">
            <w:pPr>
              <w:pStyle w:val="TableParagraph"/>
              <w:rPr>
                <w:rFonts w:ascii="Times New Roman"/>
                <w:sz w:val="18"/>
              </w:rPr>
            </w:pPr>
          </w:p>
        </w:tc>
      </w:tr>
      <w:tr w:rsidR="0010369C" w14:paraId="51DE81DB" w14:textId="77777777">
        <w:trPr>
          <w:trHeight w:val="291"/>
        </w:trPr>
        <w:tc>
          <w:tcPr>
            <w:tcW w:w="8218" w:type="dxa"/>
            <w:gridSpan w:val="2"/>
            <w:tcBorders>
              <w:top w:val="single" w:sz="8" w:space="0" w:color="FFFFFF"/>
              <w:bottom w:val="single" w:sz="6" w:space="0" w:color="FFFFFF"/>
            </w:tcBorders>
            <w:shd w:val="clear" w:color="auto" w:fill="000000"/>
          </w:tcPr>
          <w:p w14:paraId="51DE81DA" w14:textId="77777777" w:rsidR="0010369C" w:rsidRDefault="0010369C">
            <w:pPr>
              <w:pStyle w:val="TableParagraph"/>
              <w:rPr>
                <w:rFonts w:ascii="Times New Roman"/>
                <w:sz w:val="18"/>
              </w:rPr>
            </w:pPr>
          </w:p>
        </w:tc>
      </w:tr>
      <w:tr w:rsidR="0010369C" w14:paraId="51DE81DD" w14:textId="77777777">
        <w:trPr>
          <w:trHeight w:val="293"/>
        </w:trPr>
        <w:tc>
          <w:tcPr>
            <w:tcW w:w="8218" w:type="dxa"/>
            <w:gridSpan w:val="2"/>
            <w:tcBorders>
              <w:top w:val="single" w:sz="6" w:space="0" w:color="FFFFFF"/>
              <w:bottom w:val="single" w:sz="6" w:space="0" w:color="FFFFFF"/>
            </w:tcBorders>
            <w:shd w:val="clear" w:color="auto" w:fill="000000"/>
          </w:tcPr>
          <w:p w14:paraId="51DE81DC" w14:textId="77777777" w:rsidR="0010369C" w:rsidRDefault="0010369C">
            <w:pPr>
              <w:pStyle w:val="TableParagraph"/>
              <w:rPr>
                <w:rFonts w:ascii="Times New Roman"/>
                <w:sz w:val="18"/>
              </w:rPr>
            </w:pPr>
          </w:p>
        </w:tc>
      </w:tr>
      <w:tr w:rsidR="0010369C" w14:paraId="51DE81DF" w14:textId="77777777">
        <w:trPr>
          <w:trHeight w:val="291"/>
        </w:trPr>
        <w:tc>
          <w:tcPr>
            <w:tcW w:w="8218" w:type="dxa"/>
            <w:gridSpan w:val="2"/>
            <w:tcBorders>
              <w:top w:val="single" w:sz="6" w:space="0" w:color="FFFFFF"/>
              <w:bottom w:val="single" w:sz="8" w:space="0" w:color="FFFFFF"/>
            </w:tcBorders>
            <w:shd w:val="clear" w:color="auto" w:fill="000000"/>
          </w:tcPr>
          <w:p w14:paraId="51DE81DE" w14:textId="77777777" w:rsidR="0010369C" w:rsidRDefault="0010369C">
            <w:pPr>
              <w:pStyle w:val="TableParagraph"/>
              <w:rPr>
                <w:rFonts w:ascii="Times New Roman"/>
                <w:sz w:val="18"/>
              </w:rPr>
            </w:pPr>
          </w:p>
        </w:tc>
      </w:tr>
      <w:tr w:rsidR="0010369C" w14:paraId="51DE81E2" w14:textId="77777777">
        <w:trPr>
          <w:trHeight w:val="291"/>
        </w:trPr>
        <w:tc>
          <w:tcPr>
            <w:tcW w:w="1473" w:type="dxa"/>
            <w:tcBorders>
              <w:top w:val="single" w:sz="8" w:space="0" w:color="FFFFFF"/>
            </w:tcBorders>
            <w:shd w:val="clear" w:color="auto" w:fill="000000"/>
          </w:tcPr>
          <w:p w14:paraId="51DE81E0" w14:textId="77777777" w:rsidR="0010369C" w:rsidRDefault="0010369C">
            <w:pPr>
              <w:pStyle w:val="TableParagraph"/>
              <w:rPr>
                <w:rFonts w:ascii="Times New Roman"/>
                <w:sz w:val="18"/>
              </w:rPr>
            </w:pPr>
          </w:p>
        </w:tc>
        <w:tc>
          <w:tcPr>
            <w:tcW w:w="6745" w:type="dxa"/>
            <w:tcBorders>
              <w:top w:val="single" w:sz="8" w:space="0" w:color="FFFFFF"/>
            </w:tcBorders>
          </w:tcPr>
          <w:p w14:paraId="51DE81E1" w14:textId="77777777" w:rsidR="0010369C" w:rsidRDefault="008E43AE">
            <w:pPr>
              <w:pStyle w:val="TableParagraph"/>
              <w:spacing w:line="262" w:lineRule="exact"/>
              <w:ind w:left="19"/>
            </w:pPr>
            <w:r>
              <w:rPr>
                <w:spacing w:val="-5"/>
              </w:rPr>
              <w:t>]]</w:t>
            </w:r>
          </w:p>
        </w:tc>
      </w:tr>
    </w:tbl>
    <w:p w14:paraId="51DE81E3" w14:textId="77777777" w:rsidR="0010369C" w:rsidRDefault="0010369C">
      <w:pPr>
        <w:pStyle w:val="BodyText"/>
        <w:spacing w:before="6"/>
        <w:rPr>
          <w:sz w:val="16"/>
        </w:rPr>
      </w:pPr>
    </w:p>
    <w:p w14:paraId="51DE81E4" w14:textId="77777777" w:rsidR="0010369C" w:rsidRDefault="008E43AE">
      <w:pPr>
        <w:spacing w:before="52"/>
        <w:ind w:left="1089"/>
        <w:rPr>
          <w:sz w:val="24"/>
        </w:rPr>
      </w:pPr>
      <w:r>
        <w:rPr>
          <w:noProof/>
        </w:rPr>
        <w:drawing>
          <wp:anchor distT="0" distB="0" distL="0" distR="0" simplePos="0" relativeHeight="250631680" behindDoc="0" locked="0" layoutInCell="1" allowOverlap="1" wp14:anchorId="51DE9F69" wp14:editId="51DE9F6A">
            <wp:simplePos x="0" y="0"/>
            <wp:positionH relativeFrom="page">
              <wp:posOffset>908303</wp:posOffset>
            </wp:positionH>
            <wp:positionV relativeFrom="paragraph">
              <wp:posOffset>80596</wp:posOffset>
            </wp:positionV>
            <wp:extent cx="256031" cy="103631"/>
            <wp:effectExtent l="0" t="0" r="0" b="0"/>
            <wp:wrapNone/>
            <wp:docPr id="383" name="image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 name="image200.png"/>
                    <pic:cNvPicPr/>
                  </pic:nvPicPr>
                  <pic:blipFill>
                    <a:blip r:embed="rId294" cstate="print"/>
                    <a:stretch>
                      <a:fillRect/>
                    </a:stretch>
                  </pic:blipFill>
                  <pic:spPr>
                    <a:xfrm>
                      <a:off x="0" y="0"/>
                      <a:ext cx="256031" cy="103631"/>
                    </a:xfrm>
                    <a:prstGeom prst="rect">
                      <a:avLst/>
                    </a:prstGeom>
                  </pic:spPr>
                </pic:pic>
              </a:graphicData>
            </a:graphic>
          </wp:anchor>
        </w:drawing>
      </w:r>
      <w:r>
        <w:pict w14:anchorId="51DE9F6B">
          <v:rect id="docshape331" o:spid="_x0000_s1921" style="position:absolute;left:0;text-align:left;margin-left:119.8pt;margin-top:2.7pt;width:403.65pt;height:16.05pt;z-index:251741696;mso-position-horizontal-relative:page;mso-position-vertical-relative:text" fillcolor="black" stroked="f">
            <w10:wrap anchorx="page"/>
          </v:rect>
        </w:pict>
      </w:r>
      <w:r>
        <w:rPr>
          <w:spacing w:val="-5"/>
          <w:sz w:val="24"/>
        </w:rPr>
        <w:t>[[</w:t>
      </w:r>
    </w:p>
    <w:p w14:paraId="51DE81E5" w14:textId="77777777" w:rsidR="0010369C" w:rsidRDefault="008E43AE">
      <w:pPr>
        <w:pStyle w:val="BodyText"/>
        <w:spacing w:before="2"/>
        <w:rPr>
          <w:sz w:val="10"/>
        </w:rPr>
      </w:pPr>
      <w:r>
        <w:pict w14:anchorId="51DE9F6C">
          <v:rect id="docshape332" o:spid="_x0000_s1920" style="position:absolute;margin-left:69.9pt;margin-top:7.45pt;width:453.55pt;height:16.05pt;z-index:-251119104;mso-wrap-distance-left:0;mso-wrap-distance-right:0;mso-position-horizontal-relative:page" fillcolor="black" stroked="f">
            <w10:wrap type="topAndBottom" anchorx="page"/>
          </v:rect>
        </w:pict>
      </w:r>
      <w:r>
        <w:pict w14:anchorId="51DE9F6D">
          <v:rect id="docshape333" o:spid="_x0000_s1919" style="position:absolute;margin-left:69.95pt;margin-top:29.45pt;width:453.55pt;height:16.05pt;z-index:-251118080;mso-wrap-distance-left:0;mso-wrap-distance-right:0;mso-position-horizontal-relative:page" fillcolor="black" stroked="f">
            <w10:wrap type="topAndBottom" anchorx="page"/>
          </v:rect>
        </w:pict>
      </w:r>
    </w:p>
    <w:p w14:paraId="51DE81E6" w14:textId="77777777" w:rsidR="0010369C" w:rsidRDefault="0010369C">
      <w:pPr>
        <w:pStyle w:val="BodyText"/>
        <w:spacing w:before="9"/>
        <w:rPr>
          <w:sz w:val="7"/>
        </w:rPr>
      </w:pPr>
    </w:p>
    <w:p w14:paraId="51DE81E7" w14:textId="77777777" w:rsidR="0010369C" w:rsidRDefault="0010369C">
      <w:pPr>
        <w:pStyle w:val="BodyText"/>
        <w:rPr>
          <w:sz w:val="20"/>
        </w:rPr>
      </w:pPr>
    </w:p>
    <w:p w14:paraId="51DE81E8" w14:textId="77777777" w:rsidR="0010369C" w:rsidRDefault="0010369C">
      <w:pPr>
        <w:pStyle w:val="BodyText"/>
        <w:rPr>
          <w:sz w:val="20"/>
        </w:rPr>
      </w:pPr>
    </w:p>
    <w:p w14:paraId="51DE81E9" w14:textId="77777777" w:rsidR="0010369C" w:rsidRDefault="0010369C">
      <w:pPr>
        <w:pStyle w:val="BodyText"/>
        <w:rPr>
          <w:sz w:val="20"/>
        </w:rPr>
      </w:pPr>
    </w:p>
    <w:p w14:paraId="51DE81EA" w14:textId="77777777" w:rsidR="0010369C" w:rsidRDefault="008E43AE">
      <w:pPr>
        <w:pStyle w:val="BodyText"/>
        <w:spacing w:before="11"/>
        <w:rPr>
          <w:sz w:val="12"/>
        </w:rPr>
      </w:pPr>
      <w:r>
        <w:pict w14:anchorId="51DE9F6E">
          <v:rect id="docshape334" o:spid="_x0000_s1918" style="position:absolute;margin-left:70.9pt;margin-top:9.1pt;width:2in;height:.8pt;z-index:-251117056;mso-wrap-distance-left:0;mso-wrap-distance-right:0;mso-position-horizontal-relative:page" fillcolor="black" stroked="f">
            <w10:wrap type="topAndBottom" anchorx="page"/>
          </v:rect>
        </w:pict>
      </w:r>
    </w:p>
    <w:p w14:paraId="51DE81EB" w14:textId="77777777" w:rsidR="0010369C" w:rsidRDefault="008E43AE">
      <w:pPr>
        <w:spacing w:before="109"/>
        <w:ind w:left="238"/>
        <w:rPr>
          <w:sz w:val="18"/>
        </w:rPr>
      </w:pPr>
      <w:r>
        <w:rPr>
          <w:sz w:val="18"/>
          <w:vertAlign w:val="superscript"/>
        </w:rPr>
        <w:t>204</w:t>
      </w:r>
      <w:r>
        <w:rPr>
          <w:spacing w:val="-9"/>
          <w:sz w:val="18"/>
        </w:rPr>
        <w:t xml:space="preserve"> </w:t>
      </w:r>
      <w:r>
        <w:rPr>
          <w:sz w:val="18"/>
        </w:rPr>
        <w:t>Anti‐Dumping</w:t>
      </w:r>
      <w:r>
        <w:rPr>
          <w:spacing w:val="-9"/>
          <w:sz w:val="18"/>
        </w:rPr>
        <w:t xml:space="preserve"> </w:t>
      </w:r>
      <w:r>
        <w:rPr>
          <w:sz w:val="18"/>
        </w:rPr>
        <w:t>Final</w:t>
      </w:r>
      <w:r>
        <w:rPr>
          <w:spacing w:val="-9"/>
          <w:sz w:val="18"/>
        </w:rPr>
        <w:t xml:space="preserve"> </w:t>
      </w:r>
      <w:r>
        <w:rPr>
          <w:sz w:val="18"/>
        </w:rPr>
        <w:t>Determination</w:t>
      </w:r>
      <w:r>
        <w:rPr>
          <w:spacing w:val="-8"/>
          <w:sz w:val="18"/>
        </w:rPr>
        <w:t xml:space="preserve"> </w:t>
      </w:r>
      <w:r>
        <w:rPr>
          <w:sz w:val="18"/>
        </w:rPr>
        <w:t>(Exhibit</w:t>
      </w:r>
      <w:r>
        <w:rPr>
          <w:spacing w:val="-9"/>
          <w:sz w:val="18"/>
        </w:rPr>
        <w:t xml:space="preserve"> </w:t>
      </w:r>
      <w:r>
        <w:rPr>
          <w:sz w:val="18"/>
        </w:rPr>
        <w:t>AUS‐2),</w:t>
      </w:r>
      <w:r>
        <w:rPr>
          <w:spacing w:val="-9"/>
          <w:sz w:val="18"/>
        </w:rPr>
        <w:t xml:space="preserve"> </w:t>
      </w:r>
      <w:r>
        <w:rPr>
          <w:sz w:val="18"/>
        </w:rPr>
        <w:t>p.</w:t>
      </w:r>
      <w:r>
        <w:rPr>
          <w:spacing w:val="-9"/>
          <w:sz w:val="18"/>
        </w:rPr>
        <w:t xml:space="preserve"> </w:t>
      </w:r>
      <w:r>
        <w:rPr>
          <w:spacing w:val="-2"/>
          <w:sz w:val="18"/>
        </w:rPr>
        <w:t>59‐60.</w:t>
      </w:r>
    </w:p>
    <w:p w14:paraId="51DE81EC" w14:textId="77777777" w:rsidR="0010369C" w:rsidRDefault="008E43AE">
      <w:pPr>
        <w:tabs>
          <w:tab w:val="left" w:pos="6701"/>
          <w:tab w:val="left" w:pos="8727"/>
        </w:tabs>
        <w:spacing w:before="1"/>
        <w:ind w:left="238"/>
        <w:rPr>
          <w:sz w:val="18"/>
        </w:rPr>
      </w:pPr>
      <w:r>
        <w:pict w14:anchorId="51DE9F6F">
          <v:rect id="docshape335" o:spid="_x0000_s1917" style="position:absolute;left:0;text-align:left;margin-left:86.65pt;margin-top:.4pt;width:304.35pt;height:12.05pt;z-index:-251401728;mso-position-horizontal-relative:page" fillcolor="black" stroked="f">
            <w10:wrap anchorx="page"/>
          </v:rect>
        </w:pict>
      </w:r>
      <w:r>
        <w:pict w14:anchorId="51DE9F70">
          <v:rect id="docshape336" o:spid="_x0000_s1916" style="position:absolute;left:0;text-align:left;margin-left:476.25pt;margin-top:.4pt;width:18.2pt;height:12.05pt;z-index:-251400704;mso-position-horizontal-relative:page" fillcolor="black" stroked="f">
            <w10:wrap anchorx="page"/>
          </v:rect>
        </w:pict>
      </w:r>
      <w:r>
        <w:rPr>
          <w:color w:val="5E5E5E"/>
          <w:sz w:val="18"/>
          <w:vertAlign w:val="superscript"/>
        </w:rPr>
        <w:t>205</w:t>
      </w:r>
      <w:r>
        <w:rPr>
          <w:color w:val="5E5E5E"/>
          <w:spacing w:val="-2"/>
          <w:sz w:val="18"/>
        </w:rPr>
        <w:t xml:space="preserve"> </w:t>
      </w:r>
      <w:r>
        <w:rPr>
          <w:color w:val="5E5E5E"/>
          <w:spacing w:val="-10"/>
          <w:sz w:val="18"/>
        </w:rPr>
        <w:t>[</w:t>
      </w:r>
      <w:r>
        <w:rPr>
          <w:color w:val="5E5E5E"/>
          <w:sz w:val="18"/>
        </w:rPr>
        <w:tab/>
        <w:t>(Exhibit</w:t>
      </w:r>
      <w:r>
        <w:rPr>
          <w:color w:val="5E5E5E"/>
          <w:spacing w:val="-9"/>
          <w:sz w:val="18"/>
        </w:rPr>
        <w:t xml:space="preserve"> </w:t>
      </w:r>
      <w:r>
        <w:rPr>
          <w:color w:val="5E5E5E"/>
          <w:sz w:val="18"/>
        </w:rPr>
        <w:t>AUS‐11</w:t>
      </w:r>
      <w:r>
        <w:rPr>
          <w:color w:val="5E5E5E"/>
          <w:spacing w:val="-9"/>
          <w:sz w:val="18"/>
        </w:rPr>
        <w:t xml:space="preserve"> </w:t>
      </w:r>
      <w:r>
        <w:rPr>
          <w:color w:val="5E5E5E"/>
          <w:spacing w:val="-2"/>
          <w:sz w:val="18"/>
        </w:rPr>
        <w:t>(BCI)),</w:t>
      </w:r>
      <w:r>
        <w:rPr>
          <w:color w:val="5E5E5E"/>
          <w:sz w:val="18"/>
        </w:rPr>
        <w:tab/>
      </w:r>
      <w:r>
        <w:rPr>
          <w:color w:val="5E5E5E"/>
          <w:spacing w:val="-5"/>
          <w:sz w:val="18"/>
        </w:rPr>
        <w:t>.]]</w:t>
      </w:r>
    </w:p>
    <w:p w14:paraId="51DE81ED" w14:textId="77777777" w:rsidR="0010369C" w:rsidRDefault="008E43AE">
      <w:pPr>
        <w:ind w:left="238"/>
        <w:rPr>
          <w:sz w:val="18"/>
        </w:rPr>
      </w:pPr>
      <w:r>
        <w:rPr>
          <w:sz w:val="18"/>
          <w:vertAlign w:val="superscript"/>
        </w:rPr>
        <w:t>206</w:t>
      </w:r>
      <w:r>
        <w:rPr>
          <w:spacing w:val="-6"/>
          <w:sz w:val="18"/>
        </w:rPr>
        <w:t xml:space="preserve"> </w:t>
      </w:r>
      <w:r>
        <w:rPr>
          <w:sz w:val="18"/>
        </w:rPr>
        <w:t>See</w:t>
      </w:r>
      <w:r>
        <w:rPr>
          <w:spacing w:val="-5"/>
          <w:sz w:val="18"/>
        </w:rPr>
        <w:t xml:space="preserve"> </w:t>
      </w:r>
      <w:r>
        <w:rPr>
          <w:sz w:val="18"/>
        </w:rPr>
        <w:t>below,</w:t>
      </w:r>
      <w:r>
        <w:rPr>
          <w:spacing w:val="-5"/>
          <w:sz w:val="18"/>
        </w:rPr>
        <w:t xml:space="preserve"> </w:t>
      </w:r>
      <w:r>
        <w:rPr>
          <w:sz w:val="18"/>
        </w:rPr>
        <w:t>section</w:t>
      </w:r>
      <w:r>
        <w:rPr>
          <w:spacing w:val="-5"/>
          <w:sz w:val="18"/>
        </w:rPr>
        <w:t xml:space="preserve"> </w:t>
      </w:r>
      <w:r>
        <w:rPr>
          <w:spacing w:val="-2"/>
          <w:sz w:val="18"/>
        </w:rPr>
        <w:t>II.E.2(a)(v).</w:t>
      </w:r>
    </w:p>
    <w:p w14:paraId="51DE81EE" w14:textId="77777777" w:rsidR="0010369C" w:rsidRDefault="008E43AE">
      <w:pPr>
        <w:tabs>
          <w:tab w:val="left" w:pos="6680"/>
          <w:tab w:val="left" w:pos="8706"/>
        </w:tabs>
        <w:ind w:left="238"/>
        <w:rPr>
          <w:sz w:val="18"/>
        </w:rPr>
      </w:pPr>
      <w:r>
        <w:pict w14:anchorId="51DE9F71">
          <v:shape id="docshape337" o:spid="_x0000_s1915" style="position:absolute;left:0;text-align:left;margin-left:86.65pt;margin-top:.35pt;width:305.35pt;height:23.05pt;z-index:-251399680;mso-position-horizontal-relative:page" coordorigin="1733,7" coordsize="6107,461" path="m7840,7l1733,7r,219l1733,248r,219l7799,467r,-219l7840,248r,-241xe" fillcolor="black" stroked="f">
            <v:path arrowok="t"/>
            <w10:wrap anchorx="page"/>
          </v:shape>
        </w:pict>
      </w:r>
      <w:r>
        <w:pict w14:anchorId="51DE9F72">
          <v:shape id="docshape338" o:spid="_x0000_s1914" style="position:absolute;left:0;text-align:left;margin-left:475.15pt;margin-top:.35pt;width:18.2pt;height:23.05pt;z-index:-251398656;mso-position-horizontal-relative:page" coordorigin="9503,7" coordsize="364,461" path="m9867,7r-364,l9503,226r,22l9503,467r364,l9867,248r,-22l9867,7xe" fillcolor="black" stroked="f">
            <v:path arrowok="t"/>
            <w10:wrap anchorx="page"/>
          </v:shape>
        </w:pict>
      </w:r>
      <w:r>
        <w:rPr>
          <w:color w:val="5E5E5E"/>
          <w:sz w:val="18"/>
          <w:vertAlign w:val="superscript"/>
        </w:rPr>
        <w:t>207</w:t>
      </w:r>
      <w:r>
        <w:rPr>
          <w:color w:val="5E5E5E"/>
          <w:spacing w:val="-2"/>
          <w:sz w:val="18"/>
        </w:rPr>
        <w:t xml:space="preserve"> </w:t>
      </w:r>
      <w:r>
        <w:rPr>
          <w:color w:val="5E5E5E"/>
          <w:spacing w:val="-10"/>
          <w:sz w:val="18"/>
        </w:rPr>
        <w:t>[</w:t>
      </w:r>
      <w:r>
        <w:rPr>
          <w:color w:val="5E5E5E"/>
          <w:sz w:val="18"/>
        </w:rPr>
        <w:tab/>
        <w:t>(Exhibit</w:t>
      </w:r>
      <w:r>
        <w:rPr>
          <w:color w:val="5E5E5E"/>
          <w:spacing w:val="-9"/>
          <w:sz w:val="18"/>
        </w:rPr>
        <w:t xml:space="preserve"> </w:t>
      </w:r>
      <w:r>
        <w:rPr>
          <w:color w:val="5E5E5E"/>
          <w:sz w:val="18"/>
        </w:rPr>
        <w:t>AUS‐11</w:t>
      </w:r>
      <w:r>
        <w:rPr>
          <w:color w:val="5E5E5E"/>
          <w:spacing w:val="-9"/>
          <w:sz w:val="18"/>
        </w:rPr>
        <w:t xml:space="preserve"> </w:t>
      </w:r>
      <w:r>
        <w:rPr>
          <w:color w:val="5E5E5E"/>
          <w:spacing w:val="-2"/>
          <w:sz w:val="18"/>
        </w:rPr>
        <w:t>(BCI)),</w:t>
      </w:r>
      <w:r>
        <w:rPr>
          <w:color w:val="5E5E5E"/>
          <w:sz w:val="18"/>
        </w:rPr>
        <w:tab/>
      </w:r>
      <w:r>
        <w:rPr>
          <w:color w:val="5E5E5E"/>
          <w:spacing w:val="-5"/>
          <w:sz w:val="18"/>
        </w:rPr>
        <w:t>.]]</w:t>
      </w:r>
    </w:p>
    <w:p w14:paraId="51DE81EF" w14:textId="77777777" w:rsidR="0010369C" w:rsidRDefault="008E43AE">
      <w:pPr>
        <w:tabs>
          <w:tab w:val="left" w:pos="6680"/>
          <w:tab w:val="left" w:pos="8706"/>
        </w:tabs>
        <w:ind w:left="238"/>
        <w:rPr>
          <w:sz w:val="18"/>
        </w:rPr>
      </w:pPr>
      <w:r>
        <w:rPr>
          <w:color w:val="5E5E5E"/>
          <w:sz w:val="18"/>
          <w:vertAlign w:val="superscript"/>
        </w:rPr>
        <w:t>208</w:t>
      </w:r>
      <w:r>
        <w:rPr>
          <w:color w:val="5E5E5E"/>
          <w:spacing w:val="-2"/>
          <w:sz w:val="18"/>
        </w:rPr>
        <w:t xml:space="preserve"> </w:t>
      </w:r>
      <w:r>
        <w:rPr>
          <w:color w:val="5E5E5E"/>
          <w:spacing w:val="-10"/>
          <w:sz w:val="18"/>
        </w:rPr>
        <w:t>[</w:t>
      </w:r>
      <w:r>
        <w:rPr>
          <w:color w:val="5E5E5E"/>
          <w:sz w:val="18"/>
        </w:rPr>
        <w:tab/>
        <w:t>(Exhibit</w:t>
      </w:r>
      <w:r>
        <w:rPr>
          <w:color w:val="5E5E5E"/>
          <w:spacing w:val="-9"/>
          <w:sz w:val="18"/>
        </w:rPr>
        <w:t xml:space="preserve"> </w:t>
      </w:r>
      <w:r>
        <w:rPr>
          <w:color w:val="5E5E5E"/>
          <w:sz w:val="18"/>
        </w:rPr>
        <w:t>AUS‐11</w:t>
      </w:r>
      <w:r>
        <w:rPr>
          <w:color w:val="5E5E5E"/>
          <w:spacing w:val="-9"/>
          <w:sz w:val="18"/>
        </w:rPr>
        <w:t xml:space="preserve"> </w:t>
      </w:r>
      <w:r>
        <w:rPr>
          <w:color w:val="5E5E5E"/>
          <w:spacing w:val="-2"/>
          <w:sz w:val="18"/>
        </w:rPr>
        <w:t>(BCI)),</w:t>
      </w:r>
      <w:r>
        <w:rPr>
          <w:color w:val="5E5E5E"/>
          <w:sz w:val="18"/>
        </w:rPr>
        <w:tab/>
      </w:r>
      <w:r>
        <w:rPr>
          <w:color w:val="5E5E5E"/>
          <w:spacing w:val="-5"/>
          <w:sz w:val="18"/>
        </w:rPr>
        <w:t>.]]</w:t>
      </w:r>
    </w:p>
    <w:p w14:paraId="51DE81F0" w14:textId="77777777" w:rsidR="0010369C" w:rsidRDefault="0010369C">
      <w:pPr>
        <w:rPr>
          <w:sz w:val="18"/>
        </w:rPr>
        <w:sectPr w:rsidR="0010369C">
          <w:pgSz w:w="11910" w:h="16840"/>
          <w:pgMar w:top="880" w:right="800" w:bottom="980" w:left="1180" w:header="569" w:footer="788" w:gutter="0"/>
          <w:cols w:space="720"/>
        </w:sectPr>
      </w:pPr>
    </w:p>
    <w:p w14:paraId="51DE81F1" w14:textId="77777777" w:rsidR="0010369C" w:rsidRDefault="008E43AE">
      <w:pPr>
        <w:tabs>
          <w:tab w:val="left" w:pos="6426"/>
        </w:tabs>
        <w:ind w:left="238"/>
        <w:rPr>
          <w:sz w:val="20"/>
        </w:rPr>
      </w:pPr>
      <w:r>
        <w:rPr>
          <w:i/>
          <w:sz w:val="20"/>
        </w:rPr>
        <w:lastRenderedPageBreak/>
        <w:t>China</w:t>
      </w:r>
      <w:r>
        <w:rPr>
          <w:i/>
          <w:spacing w:val="-5"/>
          <w:sz w:val="20"/>
        </w:rPr>
        <w:t xml:space="preserve"> </w:t>
      </w:r>
      <w:r>
        <w:rPr>
          <w:i/>
          <w:sz w:val="20"/>
        </w:rPr>
        <w:t>–</w:t>
      </w:r>
      <w:r>
        <w:rPr>
          <w:i/>
          <w:spacing w:val="-5"/>
          <w:sz w:val="20"/>
        </w:rPr>
        <w:t xml:space="preserve"> </w:t>
      </w:r>
      <w:r>
        <w:rPr>
          <w:i/>
          <w:sz w:val="20"/>
        </w:rPr>
        <w:t>Anti‐Dumping</w:t>
      </w:r>
      <w:r>
        <w:rPr>
          <w:i/>
          <w:spacing w:val="-4"/>
          <w:sz w:val="20"/>
        </w:rPr>
        <w:t xml:space="preserve"> </w:t>
      </w:r>
      <w:r>
        <w:rPr>
          <w:i/>
          <w:sz w:val="20"/>
        </w:rPr>
        <w:t>and</w:t>
      </w:r>
      <w:r>
        <w:rPr>
          <w:i/>
          <w:spacing w:val="-5"/>
          <w:sz w:val="20"/>
        </w:rPr>
        <w:t xml:space="preserve"> </w:t>
      </w:r>
      <w:r>
        <w:rPr>
          <w:i/>
          <w:sz w:val="20"/>
        </w:rPr>
        <w:t>Countervailing</w:t>
      </w:r>
      <w:r>
        <w:rPr>
          <w:i/>
          <w:spacing w:val="-5"/>
          <w:sz w:val="20"/>
        </w:rPr>
        <w:t xml:space="preserve"> </w:t>
      </w:r>
      <w:r>
        <w:rPr>
          <w:i/>
          <w:sz w:val="20"/>
        </w:rPr>
        <w:t>Duty</w:t>
      </w:r>
      <w:r>
        <w:rPr>
          <w:i/>
          <w:spacing w:val="-4"/>
          <w:sz w:val="20"/>
        </w:rPr>
        <w:t xml:space="preserve"> </w:t>
      </w:r>
      <w:r>
        <w:rPr>
          <w:i/>
          <w:spacing w:val="-2"/>
          <w:sz w:val="20"/>
        </w:rPr>
        <w:t>Measures</w:t>
      </w:r>
      <w:r>
        <w:rPr>
          <w:i/>
          <w:sz w:val="20"/>
        </w:rPr>
        <w:tab/>
      </w:r>
      <w:r>
        <w:rPr>
          <w:sz w:val="20"/>
        </w:rPr>
        <w:t>Australia's</w:t>
      </w:r>
      <w:r>
        <w:rPr>
          <w:spacing w:val="-7"/>
          <w:sz w:val="20"/>
        </w:rPr>
        <w:t xml:space="preserve"> </w:t>
      </w:r>
      <w:r>
        <w:rPr>
          <w:sz w:val="20"/>
        </w:rPr>
        <w:t>First</w:t>
      </w:r>
      <w:r>
        <w:rPr>
          <w:spacing w:val="-2"/>
          <w:sz w:val="20"/>
        </w:rPr>
        <w:t xml:space="preserve"> </w:t>
      </w:r>
      <w:r>
        <w:rPr>
          <w:sz w:val="20"/>
        </w:rPr>
        <w:t>Written</w:t>
      </w:r>
      <w:r>
        <w:rPr>
          <w:spacing w:val="-2"/>
          <w:sz w:val="20"/>
        </w:rPr>
        <w:t xml:space="preserve"> Submission</w:t>
      </w:r>
    </w:p>
    <w:p w14:paraId="51DE81F2" w14:textId="77777777" w:rsidR="0010369C" w:rsidRDefault="008E43AE">
      <w:pPr>
        <w:tabs>
          <w:tab w:val="left" w:pos="8228"/>
        </w:tabs>
        <w:spacing w:before="1"/>
        <w:ind w:left="239"/>
        <w:rPr>
          <w:sz w:val="20"/>
        </w:rPr>
      </w:pPr>
      <w:r>
        <w:pict w14:anchorId="51DE9F73">
          <v:shape id="docshape339" o:spid="_x0000_s1913" style="position:absolute;left:0;text-align:left;margin-left:69.9pt;margin-top:14.1pt;width:453.55pt;height:16.1pt;z-index:-251116032;mso-wrap-distance-left:0;mso-wrap-distance-right:0;mso-position-horizontal-relative:page" coordorigin="1398,282" coordsize="9071,322" path="m10469,284r-242,l10227,282r-8829,l1398,603r8829,l10227,498r242,l10469,284xe" fillcolor="black" stroked="f">
            <v:path arrowok="t"/>
            <w10:wrap type="topAndBottom" anchorx="page"/>
          </v:shape>
        </w:pict>
      </w:r>
      <w:r>
        <w:pict w14:anchorId="51DE9F74">
          <v:rect id="docshape340" o:spid="_x0000_s1912" style="position:absolute;left:0;text-align:left;margin-left:69.9pt;margin-top:36.05pt;width:453.5pt;height:16.05pt;z-index:-251115008;mso-wrap-distance-left:0;mso-wrap-distance-right:0;mso-position-horizontal-relative:page" fillcolor="black" stroked="f">
            <w10:wrap type="topAndBottom" anchorx="page"/>
          </v:rect>
        </w:pict>
      </w:r>
      <w:r>
        <w:pict w14:anchorId="51DE9F75">
          <v:shape id="docshape341" o:spid="_x0000_s1911" style="position:absolute;left:0;text-align:left;margin-left:69.9pt;margin-top:58pt;width:453.5pt;height:16.1pt;z-index:-251113984;mso-wrap-distance-left:0;mso-wrap-distance-right:0;mso-position-horizontal-relative:page" coordorigin="1398,1160" coordsize="9070,322" o:spt="100" adj="0,,0" path="m5087,1162r-242,l4845,1160r-3447,l1398,1482r3447,l4845,1376r242,l5087,1162xm10468,1160r-5323,l5145,1482r5323,l10468,1160xe" fillcolor="black" stroked="f">
            <v:stroke joinstyle="round"/>
            <v:formulas/>
            <v:path arrowok="t" o:connecttype="segments"/>
            <w10:wrap type="topAndBottom" anchorx="page"/>
          </v:shape>
        </w:pict>
      </w:r>
      <w:r>
        <w:pict w14:anchorId="51DE9F76">
          <v:rect id="docshape342" o:spid="_x0000_s1910" style="position:absolute;left:0;text-align:left;margin-left:69.9pt;margin-top:79.95pt;width:453.45pt;height:16.05pt;z-index:-251112960;mso-wrap-distance-left:0;mso-wrap-distance-right:0;mso-position-horizontal-relative:page" fillcolor="black" stroked="f">
            <w10:wrap type="topAndBottom" anchorx="page"/>
          </v:rect>
        </w:pict>
      </w:r>
      <w:r>
        <w:rPr>
          <w:noProof/>
        </w:rPr>
        <w:drawing>
          <wp:anchor distT="0" distB="0" distL="0" distR="0" simplePos="0" relativeHeight="250867200" behindDoc="1" locked="0" layoutInCell="1" allowOverlap="1" wp14:anchorId="51DE9F77" wp14:editId="51DE9F78">
            <wp:simplePos x="0" y="0"/>
            <wp:positionH relativeFrom="page">
              <wp:posOffset>908303</wp:posOffset>
            </wp:positionH>
            <wp:positionV relativeFrom="paragraph">
              <wp:posOffset>1721705</wp:posOffset>
            </wp:positionV>
            <wp:extent cx="256031" cy="103631"/>
            <wp:effectExtent l="0" t="0" r="0" b="0"/>
            <wp:wrapNone/>
            <wp:docPr id="385" name="image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 name="image201.png"/>
                    <pic:cNvPicPr/>
                  </pic:nvPicPr>
                  <pic:blipFill>
                    <a:blip r:embed="rId295" cstate="print"/>
                    <a:stretch>
                      <a:fillRect/>
                    </a:stretch>
                  </pic:blipFill>
                  <pic:spPr>
                    <a:xfrm>
                      <a:off x="0" y="0"/>
                      <a:ext cx="256031" cy="103631"/>
                    </a:xfrm>
                    <a:prstGeom prst="rect">
                      <a:avLst/>
                    </a:prstGeom>
                  </pic:spPr>
                </pic:pic>
              </a:graphicData>
            </a:graphic>
          </wp:anchor>
        </w:drawing>
      </w:r>
      <w:r>
        <w:pict w14:anchorId="51DE9F79">
          <v:rect id="docshape343" o:spid="_x0000_s1909" style="position:absolute;left:0;text-align:left;margin-left:69.95pt;margin-top:102.05pt;width:392.35pt;height:16.05pt;z-index:251742720;mso-position-horizontal-relative:page;mso-position-vertical-relative:text" fillcolor="black" stroked="f">
            <w10:wrap anchorx="page"/>
          </v:rect>
        </w:pict>
      </w:r>
      <w:r>
        <w:rPr>
          <w:i/>
          <w:sz w:val="20"/>
        </w:rPr>
        <w:t>on</w:t>
      </w:r>
      <w:r>
        <w:rPr>
          <w:i/>
          <w:spacing w:val="-1"/>
          <w:sz w:val="20"/>
        </w:rPr>
        <w:t xml:space="preserve"> </w:t>
      </w:r>
      <w:r>
        <w:rPr>
          <w:i/>
          <w:sz w:val="20"/>
        </w:rPr>
        <w:t>Wine</w:t>
      </w:r>
      <w:r>
        <w:rPr>
          <w:i/>
          <w:spacing w:val="-1"/>
          <w:sz w:val="20"/>
        </w:rPr>
        <w:t xml:space="preserve"> </w:t>
      </w:r>
      <w:r>
        <w:rPr>
          <w:i/>
          <w:sz w:val="20"/>
        </w:rPr>
        <w:t>from</w:t>
      </w:r>
      <w:r>
        <w:rPr>
          <w:i/>
          <w:spacing w:val="-3"/>
          <w:sz w:val="20"/>
        </w:rPr>
        <w:t xml:space="preserve"> </w:t>
      </w:r>
      <w:r>
        <w:rPr>
          <w:i/>
          <w:sz w:val="20"/>
        </w:rPr>
        <w:t>Australia</w:t>
      </w:r>
      <w:r>
        <w:rPr>
          <w:i/>
          <w:spacing w:val="-1"/>
          <w:sz w:val="20"/>
        </w:rPr>
        <w:t xml:space="preserve"> </w:t>
      </w:r>
      <w:r>
        <w:rPr>
          <w:spacing w:val="-2"/>
          <w:sz w:val="20"/>
        </w:rPr>
        <w:t>(DS602)</w:t>
      </w:r>
      <w:r>
        <w:rPr>
          <w:sz w:val="20"/>
        </w:rPr>
        <w:tab/>
        <w:t>29</w:t>
      </w:r>
      <w:r>
        <w:rPr>
          <w:spacing w:val="-1"/>
          <w:sz w:val="20"/>
        </w:rPr>
        <w:t xml:space="preserve"> </w:t>
      </w:r>
      <w:r>
        <w:rPr>
          <w:sz w:val="20"/>
        </w:rPr>
        <w:t>April</w:t>
      </w:r>
      <w:r>
        <w:rPr>
          <w:spacing w:val="-2"/>
          <w:sz w:val="20"/>
        </w:rPr>
        <w:t xml:space="preserve"> </w:t>
      </w:r>
      <w:r>
        <w:rPr>
          <w:spacing w:val="-4"/>
          <w:sz w:val="20"/>
        </w:rPr>
        <w:t>2022</w:t>
      </w:r>
    </w:p>
    <w:p w14:paraId="51DE81F3" w14:textId="77777777" w:rsidR="0010369C" w:rsidRDefault="0010369C">
      <w:pPr>
        <w:pStyle w:val="BodyText"/>
        <w:spacing w:before="8"/>
        <w:rPr>
          <w:sz w:val="7"/>
        </w:rPr>
      </w:pPr>
    </w:p>
    <w:p w14:paraId="51DE81F4" w14:textId="77777777" w:rsidR="0010369C" w:rsidRDefault="0010369C">
      <w:pPr>
        <w:pStyle w:val="BodyText"/>
        <w:spacing w:before="8"/>
        <w:rPr>
          <w:sz w:val="7"/>
        </w:rPr>
      </w:pPr>
    </w:p>
    <w:p w14:paraId="51DE81F5" w14:textId="77777777" w:rsidR="0010369C" w:rsidRDefault="0010369C">
      <w:pPr>
        <w:pStyle w:val="BodyText"/>
        <w:spacing w:before="8"/>
        <w:rPr>
          <w:sz w:val="7"/>
        </w:rPr>
      </w:pPr>
    </w:p>
    <w:p w14:paraId="51DE81F6" w14:textId="77777777" w:rsidR="0010369C" w:rsidRDefault="008E43AE">
      <w:pPr>
        <w:spacing w:before="118"/>
        <w:ind w:left="8084"/>
        <w:rPr>
          <w:sz w:val="24"/>
        </w:rPr>
      </w:pPr>
      <w:r>
        <w:rPr>
          <w:spacing w:val="-5"/>
          <w:sz w:val="24"/>
        </w:rPr>
        <w:t>]]</w:t>
      </w:r>
    </w:p>
    <w:p w14:paraId="51DE81F7" w14:textId="77777777" w:rsidR="0010369C" w:rsidRDefault="0010369C">
      <w:pPr>
        <w:pStyle w:val="BodyText"/>
        <w:spacing w:before="1"/>
        <w:rPr>
          <w:sz w:val="25"/>
        </w:rPr>
      </w:pPr>
    </w:p>
    <w:tbl>
      <w:tblPr>
        <w:tblW w:w="0" w:type="auto"/>
        <w:tblInd w:w="225" w:type="dxa"/>
        <w:tblLayout w:type="fixed"/>
        <w:tblCellMar>
          <w:left w:w="0" w:type="dxa"/>
          <w:right w:w="0" w:type="dxa"/>
        </w:tblCellMar>
        <w:tblLook w:val="01E0" w:firstRow="1" w:lastRow="1" w:firstColumn="1" w:lastColumn="1" w:noHBand="0" w:noVBand="0"/>
      </w:tblPr>
      <w:tblGrid>
        <w:gridCol w:w="997"/>
        <w:gridCol w:w="4918"/>
        <w:gridCol w:w="2870"/>
        <w:gridCol w:w="343"/>
      </w:tblGrid>
      <w:tr w:rsidR="0010369C" w14:paraId="51DE81FA" w14:textId="77777777">
        <w:trPr>
          <w:trHeight w:val="320"/>
        </w:trPr>
        <w:tc>
          <w:tcPr>
            <w:tcW w:w="997" w:type="dxa"/>
            <w:tcBorders>
              <w:bottom w:val="single" w:sz="48" w:space="0" w:color="FFFFFF"/>
            </w:tcBorders>
          </w:tcPr>
          <w:p w14:paraId="51DE81F8" w14:textId="77777777" w:rsidR="0010369C" w:rsidRDefault="008E43AE">
            <w:pPr>
              <w:pStyle w:val="TableParagraph"/>
              <w:spacing w:line="291" w:lineRule="exact"/>
              <w:ind w:right="-29"/>
              <w:jc w:val="right"/>
              <w:rPr>
                <w:sz w:val="24"/>
              </w:rPr>
            </w:pPr>
            <w:r>
              <w:rPr>
                <w:spacing w:val="-5"/>
                <w:sz w:val="24"/>
              </w:rPr>
              <w:t>[[</w:t>
            </w:r>
          </w:p>
        </w:tc>
        <w:tc>
          <w:tcPr>
            <w:tcW w:w="8131" w:type="dxa"/>
            <w:gridSpan w:val="3"/>
            <w:tcBorders>
              <w:bottom w:val="single" w:sz="48" w:space="0" w:color="FFFFFF"/>
            </w:tcBorders>
            <w:shd w:val="clear" w:color="auto" w:fill="000000"/>
          </w:tcPr>
          <w:p w14:paraId="51DE81F9" w14:textId="77777777" w:rsidR="0010369C" w:rsidRDefault="0010369C">
            <w:pPr>
              <w:pStyle w:val="TableParagraph"/>
              <w:rPr>
                <w:rFonts w:ascii="Times New Roman"/>
                <w:sz w:val="18"/>
              </w:rPr>
            </w:pPr>
          </w:p>
        </w:tc>
      </w:tr>
      <w:tr w:rsidR="0010369C" w14:paraId="51DE81FC" w14:textId="77777777">
        <w:trPr>
          <w:trHeight w:val="319"/>
        </w:trPr>
        <w:tc>
          <w:tcPr>
            <w:tcW w:w="9128" w:type="dxa"/>
            <w:gridSpan w:val="4"/>
            <w:tcBorders>
              <w:top w:val="single" w:sz="48" w:space="0" w:color="FFFFFF"/>
              <w:bottom w:val="single" w:sz="48" w:space="0" w:color="FFFFFF"/>
            </w:tcBorders>
            <w:shd w:val="clear" w:color="auto" w:fill="000000"/>
          </w:tcPr>
          <w:p w14:paraId="51DE81FB" w14:textId="77777777" w:rsidR="0010369C" w:rsidRDefault="0010369C">
            <w:pPr>
              <w:pStyle w:val="TableParagraph"/>
              <w:rPr>
                <w:rFonts w:ascii="Times New Roman"/>
                <w:sz w:val="18"/>
              </w:rPr>
            </w:pPr>
          </w:p>
        </w:tc>
      </w:tr>
      <w:tr w:rsidR="0010369C" w14:paraId="51DE81FE" w14:textId="77777777">
        <w:trPr>
          <w:trHeight w:val="319"/>
        </w:trPr>
        <w:tc>
          <w:tcPr>
            <w:tcW w:w="9128" w:type="dxa"/>
            <w:gridSpan w:val="4"/>
            <w:tcBorders>
              <w:top w:val="single" w:sz="48" w:space="0" w:color="FFFFFF"/>
              <w:bottom w:val="single" w:sz="48" w:space="0" w:color="FFFFFF"/>
            </w:tcBorders>
            <w:shd w:val="clear" w:color="auto" w:fill="000000"/>
          </w:tcPr>
          <w:p w14:paraId="51DE81FD" w14:textId="77777777" w:rsidR="0010369C" w:rsidRDefault="0010369C">
            <w:pPr>
              <w:pStyle w:val="TableParagraph"/>
              <w:rPr>
                <w:rFonts w:ascii="Times New Roman"/>
                <w:sz w:val="18"/>
              </w:rPr>
            </w:pPr>
          </w:p>
        </w:tc>
      </w:tr>
      <w:tr w:rsidR="0010369C" w14:paraId="51DE8201" w14:textId="77777777">
        <w:trPr>
          <w:trHeight w:val="319"/>
        </w:trPr>
        <w:tc>
          <w:tcPr>
            <w:tcW w:w="5915" w:type="dxa"/>
            <w:gridSpan w:val="2"/>
            <w:tcBorders>
              <w:top w:val="single" w:sz="48" w:space="0" w:color="FFFFFF"/>
              <w:bottom w:val="single" w:sz="48" w:space="0" w:color="FFFFFF"/>
              <w:right w:val="single" w:sz="36" w:space="0" w:color="FFFFFF"/>
            </w:tcBorders>
            <w:shd w:val="clear" w:color="auto" w:fill="000000"/>
          </w:tcPr>
          <w:p w14:paraId="51DE81FF" w14:textId="77777777" w:rsidR="0010369C" w:rsidRDefault="0010369C">
            <w:pPr>
              <w:pStyle w:val="TableParagraph"/>
              <w:rPr>
                <w:rFonts w:ascii="Times New Roman"/>
                <w:sz w:val="18"/>
              </w:rPr>
            </w:pPr>
          </w:p>
        </w:tc>
        <w:tc>
          <w:tcPr>
            <w:tcW w:w="3213" w:type="dxa"/>
            <w:gridSpan w:val="2"/>
            <w:tcBorders>
              <w:top w:val="single" w:sz="48" w:space="0" w:color="FFFFFF"/>
              <w:left w:val="single" w:sz="36" w:space="0" w:color="FFFFFF"/>
              <w:bottom w:val="single" w:sz="48" w:space="0" w:color="FFFFFF"/>
            </w:tcBorders>
            <w:shd w:val="clear" w:color="auto" w:fill="000000"/>
          </w:tcPr>
          <w:p w14:paraId="51DE8200" w14:textId="77777777" w:rsidR="0010369C" w:rsidRDefault="0010369C">
            <w:pPr>
              <w:pStyle w:val="TableParagraph"/>
              <w:rPr>
                <w:rFonts w:ascii="Times New Roman"/>
                <w:sz w:val="18"/>
              </w:rPr>
            </w:pPr>
          </w:p>
        </w:tc>
      </w:tr>
      <w:tr w:rsidR="0010369C" w14:paraId="51DE8203" w14:textId="77777777">
        <w:trPr>
          <w:trHeight w:val="319"/>
        </w:trPr>
        <w:tc>
          <w:tcPr>
            <w:tcW w:w="9128" w:type="dxa"/>
            <w:gridSpan w:val="4"/>
            <w:tcBorders>
              <w:top w:val="single" w:sz="48" w:space="0" w:color="FFFFFF"/>
              <w:bottom w:val="single" w:sz="48" w:space="0" w:color="FFFFFF"/>
            </w:tcBorders>
            <w:shd w:val="clear" w:color="auto" w:fill="000000"/>
          </w:tcPr>
          <w:p w14:paraId="51DE8202" w14:textId="77777777" w:rsidR="0010369C" w:rsidRDefault="0010369C">
            <w:pPr>
              <w:pStyle w:val="TableParagraph"/>
              <w:rPr>
                <w:rFonts w:ascii="Times New Roman"/>
                <w:sz w:val="18"/>
              </w:rPr>
            </w:pPr>
          </w:p>
        </w:tc>
      </w:tr>
      <w:tr w:rsidR="0010369C" w14:paraId="51DE8206" w14:textId="77777777">
        <w:trPr>
          <w:trHeight w:val="320"/>
        </w:trPr>
        <w:tc>
          <w:tcPr>
            <w:tcW w:w="8785" w:type="dxa"/>
            <w:gridSpan w:val="3"/>
            <w:tcBorders>
              <w:top w:val="single" w:sz="48" w:space="0" w:color="FFFFFF"/>
            </w:tcBorders>
            <w:shd w:val="clear" w:color="auto" w:fill="000000"/>
          </w:tcPr>
          <w:p w14:paraId="51DE8204" w14:textId="77777777" w:rsidR="0010369C" w:rsidRDefault="0010369C">
            <w:pPr>
              <w:pStyle w:val="TableParagraph"/>
              <w:rPr>
                <w:rFonts w:ascii="Times New Roman"/>
                <w:sz w:val="18"/>
              </w:rPr>
            </w:pPr>
          </w:p>
        </w:tc>
        <w:tc>
          <w:tcPr>
            <w:tcW w:w="343" w:type="dxa"/>
            <w:tcBorders>
              <w:top w:val="single" w:sz="48" w:space="0" w:color="FFFFFF"/>
            </w:tcBorders>
          </w:tcPr>
          <w:p w14:paraId="51DE8205" w14:textId="77777777" w:rsidR="0010369C" w:rsidRDefault="008E43AE">
            <w:pPr>
              <w:pStyle w:val="TableParagraph"/>
              <w:spacing w:line="290" w:lineRule="exact"/>
              <w:ind w:left="19"/>
              <w:rPr>
                <w:sz w:val="24"/>
              </w:rPr>
            </w:pPr>
            <w:r>
              <w:rPr>
                <w:spacing w:val="-5"/>
                <w:sz w:val="24"/>
              </w:rPr>
              <w:t>]]</w:t>
            </w:r>
          </w:p>
        </w:tc>
      </w:tr>
    </w:tbl>
    <w:p w14:paraId="51DE8207" w14:textId="77777777" w:rsidR="0010369C" w:rsidRDefault="0010369C">
      <w:pPr>
        <w:pStyle w:val="BodyText"/>
        <w:spacing w:before="10"/>
        <w:rPr>
          <w:sz w:val="22"/>
        </w:rPr>
      </w:pPr>
    </w:p>
    <w:p w14:paraId="51DE8208" w14:textId="77777777" w:rsidR="0010369C" w:rsidRDefault="008E43AE">
      <w:pPr>
        <w:ind w:left="1089"/>
        <w:rPr>
          <w:sz w:val="24"/>
        </w:rPr>
      </w:pPr>
      <w:r>
        <w:rPr>
          <w:noProof/>
        </w:rPr>
        <w:drawing>
          <wp:anchor distT="0" distB="0" distL="0" distR="0" simplePos="0" relativeHeight="250632704" behindDoc="0" locked="0" layoutInCell="1" allowOverlap="1" wp14:anchorId="51DE9F7A" wp14:editId="51DE9F7B">
            <wp:simplePos x="0" y="0"/>
            <wp:positionH relativeFrom="page">
              <wp:posOffset>908303</wp:posOffset>
            </wp:positionH>
            <wp:positionV relativeFrom="paragraph">
              <wp:posOffset>48337</wp:posOffset>
            </wp:positionV>
            <wp:extent cx="256031" cy="103631"/>
            <wp:effectExtent l="0" t="0" r="0" b="0"/>
            <wp:wrapNone/>
            <wp:docPr id="387" name="image2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 name="image202.png"/>
                    <pic:cNvPicPr/>
                  </pic:nvPicPr>
                  <pic:blipFill>
                    <a:blip r:embed="rId296" cstate="print"/>
                    <a:stretch>
                      <a:fillRect/>
                    </a:stretch>
                  </pic:blipFill>
                  <pic:spPr>
                    <a:xfrm>
                      <a:off x="0" y="0"/>
                      <a:ext cx="256031" cy="103631"/>
                    </a:xfrm>
                    <a:prstGeom prst="rect">
                      <a:avLst/>
                    </a:prstGeom>
                  </pic:spPr>
                </pic:pic>
              </a:graphicData>
            </a:graphic>
          </wp:anchor>
        </w:drawing>
      </w:r>
      <w:r>
        <w:pict w14:anchorId="51DE9F7C">
          <v:rect id="docshape344" o:spid="_x0000_s1908" style="position:absolute;left:0;text-align:left;margin-left:119.8pt;margin-top:.1pt;width:403.65pt;height:16.05pt;z-index:251743744;mso-position-horizontal-relative:page;mso-position-vertical-relative:text" fillcolor="black" stroked="f">
            <w10:wrap anchorx="page"/>
          </v:rect>
        </w:pict>
      </w:r>
      <w:r>
        <w:pict w14:anchorId="51DE9F7D">
          <v:rect id="docshape345" o:spid="_x0000_s1907" style="position:absolute;left:0;text-align:left;margin-left:69.9pt;margin-top:132pt;width:388.55pt;height:16.05pt;z-index:251744768;mso-position-horizontal-relative:page;mso-position-vertical-relative:text" fillcolor="black" stroked="f">
            <w10:wrap anchorx="page"/>
          </v:rect>
        </w:pict>
      </w:r>
      <w:r>
        <w:rPr>
          <w:spacing w:val="-5"/>
          <w:sz w:val="24"/>
        </w:rPr>
        <w:t>[[</w:t>
      </w:r>
    </w:p>
    <w:p w14:paraId="51DE8209" w14:textId="77777777" w:rsidR="0010369C" w:rsidRDefault="008E43AE">
      <w:pPr>
        <w:pStyle w:val="BodyText"/>
        <w:spacing w:before="2"/>
        <w:rPr>
          <w:sz w:val="10"/>
        </w:rPr>
      </w:pPr>
      <w:r>
        <w:pict w14:anchorId="51DE9F7E">
          <v:rect id="docshape346" o:spid="_x0000_s1906" style="position:absolute;margin-left:69.9pt;margin-top:7.45pt;width:453.5pt;height:16.05pt;z-index:-251111936;mso-wrap-distance-left:0;mso-wrap-distance-right:0;mso-position-horizontal-relative:page" fillcolor="black" stroked="f">
            <w10:wrap type="topAndBottom" anchorx="page"/>
          </v:rect>
        </w:pict>
      </w:r>
      <w:r>
        <w:pict w14:anchorId="51DE9F7F">
          <v:shape id="docshape347" o:spid="_x0000_s1905" style="position:absolute;margin-left:69.9pt;margin-top:29.4pt;width:407.1pt;height:16.1pt;z-index:-251110912;mso-wrap-distance-left:0;mso-wrap-distance-right:0;mso-position-horizontal-relative:page" coordorigin="1398,588" coordsize="8142,322" o:spt="100" adj="0,,0" path="m9298,588r-7900,l1398,909r7900,l9298,588xm9540,590r-242,l9298,804r242,l9540,590xe" fillcolor="black" stroked="f">
            <v:stroke joinstyle="round"/>
            <v:formulas/>
            <v:path arrowok="t" o:connecttype="segments"/>
            <w10:wrap type="topAndBottom" anchorx="page"/>
          </v:shape>
        </w:pict>
      </w:r>
      <w:r>
        <w:pict w14:anchorId="51DE9F80">
          <v:rect id="docshape348" o:spid="_x0000_s1904" style="position:absolute;margin-left:480.85pt;margin-top:29.4pt;width:42.45pt;height:16.05pt;z-index:-251109888;mso-wrap-distance-left:0;mso-wrap-distance-right:0;mso-position-horizontal-relative:page" fillcolor="black" stroked="f">
            <w10:wrap type="topAndBottom" anchorx="page"/>
          </v:rect>
        </w:pict>
      </w:r>
      <w:r>
        <w:pict w14:anchorId="51DE9F81">
          <v:rect id="docshape349" o:spid="_x0000_s1903" style="position:absolute;margin-left:69.9pt;margin-top:51.35pt;width:453.5pt;height:16.05pt;z-index:-251108864;mso-wrap-distance-left:0;mso-wrap-distance-right:0;mso-position-horizontal-relative:page" fillcolor="black" stroked="f">
            <w10:wrap type="topAndBottom" anchorx="page"/>
          </v:rect>
        </w:pict>
      </w:r>
      <w:r>
        <w:pict w14:anchorId="51DE9F82">
          <v:shape id="docshape350" o:spid="_x0000_s1902" style="position:absolute;margin-left:69.9pt;margin-top:73.3pt;width:375.55pt;height:16.1pt;z-index:-251107840;mso-wrap-distance-left:0;mso-wrap-distance-right:0;mso-position-horizontal-relative:page" coordorigin="1398,1466" coordsize="7511,322" o:spt="100" adj="0,,0" path="m8665,1466r-7267,l1398,1788r7267,l8665,1466xm8909,1469r-242,l8667,1682r242,l8909,1469xe" fillcolor="black" stroked="f">
            <v:stroke joinstyle="round"/>
            <v:formulas/>
            <v:path arrowok="t" o:connecttype="segments"/>
            <w10:wrap type="topAndBottom" anchorx="page"/>
          </v:shape>
        </w:pict>
      </w:r>
      <w:r>
        <w:pict w14:anchorId="51DE9F83">
          <v:rect id="docshape351" o:spid="_x0000_s1901" style="position:absolute;margin-left:449pt;margin-top:73.3pt;width:74.35pt;height:16.05pt;z-index:-251106816;mso-wrap-distance-left:0;mso-wrap-distance-right:0;mso-position-horizontal-relative:page" fillcolor="black" stroked="f">
            <w10:wrap type="topAndBottom" anchorx="page"/>
          </v:rect>
        </w:pict>
      </w:r>
      <w:r>
        <w:pict w14:anchorId="51DE9F84">
          <v:rect id="docshape352" o:spid="_x0000_s1900" style="position:absolute;margin-left:69.9pt;margin-top:95.35pt;width:453.45pt;height:16.05pt;z-index:-251105792;mso-wrap-distance-left:0;mso-wrap-distance-right:0;mso-position-horizontal-relative:page" fillcolor="black" stroked="f">
            <w10:wrap type="topAndBottom" anchorx="page"/>
          </v:rect>
        </w:pict>
      </w:r>
    </w:p>
    <w:p w14:paraId="51DE820A" w14:textId="77777777" w:rsidR="0010369C" w:rsidRDefault="0010369C">
      <w:pPr>
        <w:pStyle w:val="BodyText"/>
        <w:spacing w:before="8"/>
        <w:rPr>
          <w:sz w:val="7"/>
        </w:rPr>
      </w:pPr>
    </w:p>
    <w:p w14:paraId="51DE820B" w14:textId="77777777" w:rsidR="0010369C" w:rsidRDefault="0010369C">
      <w:pPr>
        <w:pStyle w:val="BodyText"/>
        <w:spacing w:before="8"/>
        <w:rPr>
          <w:sz w:val="7"/>
        </w:rPr>
      </w:pPr>
    </w:p>
    <w:p w14:paraId="51DE820C" w14:textId="77777777" w:rsidR="0010369C" w:rsidRDefault="0010369C">
      <w:pPr>
        <w:pStyle w:val="BodyText"/>
        <w:spacing w:before="8"/>
        <w:rPr>
          <w:sz w:val="7"/>
        </w:rPr>
      </w:pPr>
    </w:p>
    <w:p w14:paraId="51DE820D" w14:textId="77777777" w:rsidR="0010369C" w:rsidRDefault="0010369C">
      <w:pPr>
        <w:pStyle w:val="BodyText"/>
        <w:spacing w:before="9"/>
        <w:rPr>
          <w:sz w:val="7"/>
        </w:rPr>
      </w:pPr>
    </w:p>
    <w:p w14:paraId="51DE820E" w14:textId="77777777" w:rsidR="0010369C" w:rsidRDefault="008E43AE">
      <w:pPr>
        <w:spacing w:before="116"/>
        <w:ind w:left="8008"/>
        <w:rPr>
          <w:sz w:val="24"/>
        </w:rPr>
      </w:pPr>
      <w:r>
        <w:rPr>
          <w:spacing w:val="-5"/>
          <w:sz w:val="24"/>
        </w:rPr>
        <w:t>]]</w:t>
      </w:r>
    </w:p>
    <w:p w14:paraId="51DE820F" w14:textId="77777777" w:rsidR="0010369C" w:rsidRDefault="0010369C">
      <w:pPr>
        <w:pStyle w:val="BodyText"/>
        <w:spacing w:before="9"/>
        <w:rPr>
          <w:sz w:val="20"/>
        </w:rPr>
      </w:pPr>
    </w:p>
    <w:p w14:paraId="51DE8210" w14:textId="77777777" w:rsidR="0010369C" w:rsidRDefault="008E43AE">
      <w:pPr>
        <w:spacing w:before="52"/>
        <w:ind w:left="1089"/>
        <w:rPr>
          <w:sz w:val="24"/>
        </w:rPr>
      </w:pPr>
      <w:r>
        <w:rPr>
          <w:noProof/>
        </w:rPr>
        <w:drawing>
          <wp:anchor distT="0" distB="0" distL="0" distR="0" simplePos="0" relativeHeight="250633728" behindDoc="0" locked="0" layoutInCell="1" allowOverlap="1" wp14:anchorId="51DE9F85" wp14:editId="51DE9F86">
            <wp:simplePos x="0" y="0"/>
            <wp:positionH relativeFrom="page">
              <wp:posOffset>908303</wp:posOffset>
            </wp:positionH>
            <wp:positionV relativeFrom="paragraph">
              <wp:posOffset>81357</wp:posOffset>
            </wp:positionV>
            <wp:extent cx="256031" cy="103631"/>
            <wp:effectExtent l="0" t="0" r="0" b="0"/>
            <wp:wrapNone/>
            <wp:docPr id="389" name="image2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 name="image203.png"/>
                    <pic:cNvPicPr/>
                  </pic:nvPicPr>
                  <pic:blipFill>
                    <a:blip r:embed="rId297" cstate="print"/>
                    <a:stretch>
                      <a:fillRect/>
                    </a:stretch>
                  </pic:blipFill>
                  <pic:spPr>
                    <a:xfrm>
                      <a:off x="0" y="0"/>
                      <a:ext cx="256031" cy="103631"/>
                    </a:xfrm>
                    <a:prstGeom prst="rect">
                      <a:avLst/>
                    </a:prstGeom>
                  </pic:spPr>
                </pic:pic>
              </a:graphicData>
            </a:graphic>
          </wp:anchor>
        </w:drawing>
      </w:r>
      <w:r>
        <w:pict w14:anchorId="51DE9F87">
          <v:rect id="docshape353" o:spid="_x0000_s1899" style="position:absolute;left:0;text-align:left;margin-left:119.8pt;margin-top:2.7pt;width:403.65pt;height:16.05pt;z-index:251745792;mso-position-horizontal-relative:page;mso-position-vertical-relative:text" fillcolor="black" stroked="f">
            <w10:wrap anchorx="page"/>
          </v:rect>
        </w:pict>
      </w:r>
      <w:r>
        <w:rPr>
          <w:spacing w:val="-5"/>
          <w:sz w:val="24"/>
        </w:rPr>
        <w:t>[[</w:t>
      </w:r>
    </w:p>
    <w:p w14:paraId="51DE8211" w14:textId="77777777" w:rsidR="0010369C" w:rsidRDefault="008E43AE">
      <w:pPr>
        <w:pStyle w:val="BodyText"/>
        <w:spacing w:before="3"/>
        <w:rPr>
          <w:sz w:val="10"/>
        </w:rPr>
      </w:pPr>
      <w:r>
        <w:pict w14:anchorId="51DE9F88">
          <v:rect id="docshape354" o:spid="_x0000_s1898" style="position:absolute;margin-left:69.9pt;margin-top:7.5pt;width:453.45pt;height:16.05pt;z-index:-251104768;mso-wrap-distance-left:0;mso-wrap-distance-right:0;mso-position-horizontal-relative:page" fillcolor="black" stroked="f">
            <w10:wrap type="topAndBottom" anchorx="page"/>
          </v:rect>
        </w:pict>
      </w:r>
      <w:r>
        <w:pict w14:anchorId="51DE9F89">
          <v:rect id="docshape355" o:spid="_x0000_s1897" style="position:absolute;margin-left:69.9pt;margin-top:29.45pt;width:453.5pt;height:16.05pt;z-index:-251103744;mso-wrap-distance-left:0;mso-wrap-distance-right:0;mso-position-horizontal-relative:page" fillcolor="black" stroked="f">
            <w10:wrap type="topAndBottom" anchorx="page"/>
          </v:rect>
        </w:pict>
      </w:r>
    </w:p>
    <w:p w14:paraId="51DE8212" w14:textId="77777777" w:rsidR="0010369C" w:rsidRDefault="0010369C">
      <w:pPr>
        <w:pStyle w:val="BodyText"/>
        <w:spacing w:before="8"/>
        <w:rPr>
          <w:sz w:val="7"/>
        </w:rPr>
      </w:pPr>
    </w:p>
    <w:p w14:paraId="51DE8213" w14:textId="77777777" w:rsidR="0010369C" w:rsidRDefault="008E43AE">
      <w:pPr>
        <w:spacing w:before="116"/>
        <w:ind w:right="2667"/>
        <w:jc w:val="right"/>
        <w:rPr>
          <w:sz w:val="24"/>
        </w:rPr>
      </w:pPr>
      <w:r>
        <w:rPr>
          <w:spacing w:val="-5"/>
          <w:sz w:val="24"/>
        </w:rPr>
        <w:t>]]</w:t>
      </w:r>
    </w:p>
    <w:p w14:paraId="51DE8214" w14:textId="77777777" w:rsidR="0010369C" w:rsidRDefault="0010369C">
      <w:pPr>
        <w:pStyle w:val="BodyText"/>
        <w:spacing w:before="10"/>
        <w:rPr>
          <w:sz w:val="20"/>
        </w:rPr>
      </w:pPr>
    </w:p>
    <w:p w14:paraId="51DE8215" w14:textId="77777777" w:rsidR="0010369C" w:rsidRDefault="008E43AE">
      <w:pPr>
        <w:pStyle w:val="BodyText"/>
        <w:spacing w:before="52" w:line="360" w:lineRule="auto"/>
        <w:ind w:left="238" w:right="611" w:firstLine="851"/>
      </w:pPr>
      <w:r>
        <w:pict w14:anchorId="51DE9F8A">
          <v:rect id="docshape356" o:spid="_x0000_s1896" style="position:absolute;left:0;text-align:left;margin-left:69.9pt;margin-top:-27.25pt;width:343.55pt;height:16.05pt;z-index:251746816;mso-position-horizontal-relative:page" fillcolor="black" stroked="f">
            <w10:wrap anchorx="page"/>
          </v:rect>
        </w:pict>
      </w:r>
      <w:r>
        <w:rPr>
          <w:noProof/>
        </w:rPr>
        <w:drawing>
          <wp:anchor distT="0" distB="0" distL="0" distR="0" simplePos="0" relativeHeight="250868224" behindDoc="1" locked="0" layoutInCell="1" allowOverlap="1" wp14:anchorId="51DE9F8B" wp14:editId="51DE9F8C">
            <wp:simplePos x="0" y="0"/>
            <wp:positionH relativeFrom="page">
              <wp:posOffset>908303</wp:posOffset>
            </wp:positionH>
            <wp:positionV relativeFrom="paragraph">
              <wp:posOffset>81949</wp:posOffset>
            </wp:positionV>
            <wp:extent cx="256031" cy="100753"/>
            <wp:effectExtent l="0" t="0" r="0" b="0"/>
            <wp:wrapNone/>
            <wp:docPr id="391" name="image2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 name="image204.png"/>
                    <pic:cNvPicPr/>
                  </pic:nvPicPr>
                  <pic:blipFill>
                    <a:blip r:embed="rId298" cstate="print"/>
                    <a:stretch>
                      <a:fillRect/>
                    </a:stretch>
                  </pic:blipFill>
                  <pic:spPr>
                    <a:xfrm>
                      <a:off x="0" y="0"/>
                      <a:ext cx="256031" cy="100753"/>
                    </a:xfrm>
                    <a:prstGeom prst="rect">
                      <a:avLst/>
                    </a:prstGeom>
                  </pic:spPr>
                </pic:pic>
              </a:graphicData>
            </a:graphic>
          </wp:anchor>
        </w:drawing>
      </w:r>
      <w:r>
        <w:t>In the first instance, paragraph 1 of Annex II clearly places the onus on MOFCOM to explain</w:t>
      </w:r>
      <w:r>
        <w:rPr>
          <w:spacing w:val="44"/>
        </w:rPr>
        <w:t xml:space="preserve"> </w:t>
      </w:r>
      <w:r>
        <w:t>in</w:t>
      </w:r>
      <w:r>
        <w:rPr>
          <w:spacing w:val="46"/>
        </w:rPr>
        <w:t xml:space="preserve"> </w:t>
      </w:r>
      <w:r>
        <w:t>detail</w:t>
      </w:r>
      <w:r>
        <w:rPr>
          <w:spacing w:val="45"/>
        </w:rPr>
        <w:t xml:space="preserve"> </w:t>
      </w:r>
      <w:r>
        <w:t>the</w:t>
      </w:r>
      <w:r>
        <w:rPr>
          <w:spacing w:val="46"/>
        </w:rPr>
        <w:t xml:space="preserve"> </w:t>
      </w:r>
      <w:r>
        <w:t>type</w:t>
      </w:r>
      <w:r>
        <w:rPr>
          <w:spacing w:val="45"/>
        </w:rPr>
        <w:t xml:space="preserve"> </w:t>
      </w:r>
      <w:r>
        <w:t>of</w:t>
      </w:r>
      <w:r>
        <w:rPr>
          <w:spacing w:val="46"/>
        </w:rPr>
        <w:t xml:space="preserve"> </w:t>
      </w:r>
      <w:r>
        <w:t>information</w:t>
      </w:r>
      <w:r>
        <w:rPr>
          <w:spacing w:val="46"/>
        </w:rPr>
        <w:t xml:space="preserve"> </w:t>
      </w:r>
      <w:r>
        <w:t>that</w:t>
      </w:r>
      <w:r>
        <w:rPr>
          <w:spacing w:val="44"/>
        </w:rPr>
        <w:t xml:space="preserve"> </w:t>
      </w:r>
      <w:r>
        <w:t>it</w:t>
      </w:r>
      <w:r>
        <w:rPr>
          <w:spacing w:val="46"/>
        </w:rPr>
        <w:t xml:space="preserve"> </w:t>
      </w:r>
      <w:r>
        <w:t>is</w:t>
      </w:r>
      <w:r>
        <w:rPr>
          <w:spacing w:val="46"/>
        </w:rPr>
        <w:t xml:space="preserve"> </w:t>
      </w:r>
      <w:r>
        <w:t>seeking.</w:t>
      </w:r>
      <w:r>
        <w:rPr>
          <w:spacing w:val="47"/>
        </w:rPr>
        <w:t xml:space="preserve"> </w:t>
      </w:r>
      <w:r>
        <w:t>Australia</w:t>
      </w:r>
      <w:r>
        <w:rPr>
          <w:spacing w:val="43"/>
        </w:rPr>
        <w:t xml:space="preserve"> </w:t>
      </w:r>
      <w:r>
        <w:t>re‐states</w:t>
      </w:r>
      <w:r>
        <w:rPr>
          <w:spacing w:val="45"/>
        </w:rPr>
        <w:t xml:space="preserve"> </w:t>
      </w:r>
      <w:r>
        <w:t>its</w:t>
      </w:r>
      <w:r>
        <w:rPr>
          <w:spacing w:val="45"/>
        </w:rPr>
        <w:t xml:space="preserve"> </w:t>
      </w:r>
      <w:r>
        <w:rPr>
          <w:spacing w:val="-2"/>
        </w:rPr>
        <w:t>above</w:t>
      </w:r>
    </w:p>
    <w:p w14:paraId="51DE8216" w14:textId="77777777" w:rsidR="0010369C" w:rsidRDefault="0010369C">
      <w:pPr>
        <w:pStyle w:val="BodyText"/>
        <w:rPr>
          <w:sz w:val="20"/>
        </w:rPr>
      </w:pPr>
    </w:p>
    <w:p w14:paraId="51DE8217" w14:textId="77777777" w:rsidR="0010369C" w:rsidRDefault="0010369C">
      <w:pPr>
        <w:pStyle w:val="BodyText"/>
        <w:rPr>
          <w:sz w:val="20"/>
        </w:rPr>
      </w:pPr>
    </w:p>
    <w:p w14:paraId="51DE8218" w14:textId="77777777" w:rsidR="0010369C" w:rsidRDefault="008E43AE">
      <w:pPr>
        <w:pStyle w:val="BodyText"/>
        <w:spacing w:before="5"/>
        <w:rPr>
          <w:sz w:val="16"/>
        </w:rPr>
      </w:pPr>
      <w:r>
        <w:pict w14:anchorId="51DE9F8D">
          <v:rect id="docshape357" o:spid="_x0000_s1895" style="position:absolute;margin-left:70.9pt;margin-top:11.25pt;width:2in;height:.8pt;z-index:-251102720;mso-wrap-distance-left:0;mso-wrap-distance-right:0;mso-position-horizontal-relative:page" fillcolor="black" stroked="f">
            <w10:wrap type="topAndBottom" anchorx="page"/>
          </v:rect>
        </w:pict>
      </w:r>
    </w:p>
    <w:p w14:paraId="51DE8219" w14:textId="77777777" w:rsidR="0010369C" w:rsidRDefault="0010369C">
      <w:pPr>
        <w:pStyle w:val="BodyText"/>
        <w:spacing w:before="8"/>
        <w:rPr>
          <w:sz w:val="5"/>
        </w:rPr>
      </w:pPr>
    </w:p>
    <w:p w14:paraId="51DE821A" w14:textId="77777777" w:rsidR="0010369C" w:rsidRDefault="0010369C">
      <w:pPr>
        <w:rPr>
          <w:sz w:val="5"/>
        </w:rPr>
        <w:sectPr w:rsidR="0010369C">
          <w:pgSz w:w="11910" w:h="16840"/>
          <w:pgMar w:top="880" w:right="800" w:bottom="980" w:left="1180" w:header="569" w:footer="788" w:gutter="0"/>
          <w:cols w:space="720"/>
        </w:sectPr>
      </w:pPr>
    </w:p>
    <w:p w14:paraId="51DE821B" w14:textId="77777777" w:rsidR="0010369C" w:rsidRDefault="008E43AE">
      <w:pPr>
        <w:spacing w:before="74" w:line="158" w:lineRule="auto"/>
        <w:ind w:left="238"/>
        <w:rPr>
          <w:sz w:val="18"/>
        </w:rPr>
      </w:pPr>
      <w:r>
        <w:pict w14:anchorId="51DE9F8E">
          <v:shape id="docshape358" o:spid="_x0000_s1894" style="position:absolute;left:0;text-align:left;margin-left:86.65pt;margin-top:2.35pt;width:285.4pt;height:34.05pt;z-index:251749888;mso-position-horizontal-relative:page" coordorigin="1733,47" coordsize="5708,681" path="m7441,47r-5708,l1733,266r,22l1733,486r,21l1733,727r5708,l7441,507r,-21l7441,288r,-22l7441,47xe" fillcolor="black" stroked="f">
            <v:path arrowok="t"/>
            <w10:wrap anchorx="page"/>
          </v:shape>
        </w:pict>
      </w:r>
      <w:r>
        <w:rPr>
          <w:color w:val="5E5E5E"/>
          <w:sz w:val="12"/>
        </w:rPr>
        <w:t>209</w:t>
      </w:r>
      <w:r>
        <w:rPr>
          <w:color w:val="5E5E5E"/>
          <w:spacing w:val="11"/>
          <w:sz w:val="12"/>
        </w:rPr>
        <w:t xml:space="preserve"> </w:t>
      </w:r>
      <w:r>
        <w:rPr>
          <w:color w:val="5E5E5E"/>
          <w:spacing w:val="-10"/>
          <w:position w:val="-5"/>
          <w:sz w:val="18"/>
        </w:rPr>
        <w:t>[</w:t>
      </w:r>
    </w:p>
    <w:p w14:paraId="51DE821C" w14:textId="77777777" w:rsidR="0010369C" w:rsidRDefault="008E43AE">
      <w:pPr>
        <w:spacing w:before="69" w:line="158" w:lineRule="auto"/>
        <w:ind w:left="238"/>
        <w:rPr>
          <w:sz w:val="18"/>
        </w:rPr>
      </w:pPr>
      <w:r>
        <w:rPr>
          <w:color w:val="5E5E5E"/>
          <w:sz w:val="12"/>
        </w:rPr>
        <w:t>210</w:t>
      </w:r>
      <w:r>
        <w:rPr>
          <w:color w:val="5E5E5E"/>
          <w:spacing w:val="11"/>
          <w:sz w:val="12"/>
        </w:rPr>
        <w:t xml:space="preserve"> </w:t>
      </w:r>
      <w:r>
        <w:rPr>
          <w:color w:val="5E5E5E"/>
          <w:spacing w:val="-10"/>
          <w:position w:val="-5"/>
          <w:sz w:val="18"/>
        </w:rPr>
        <w:t>[</w:t>
      </w:r>
    </w:p>
    <w:p w14:paraId="51DE821D" w14:textId="77777777" w:rsidR="0010369C" w:rsidRDefault="008E43AE">
      <w:pPr>
        <w:spacing w:before="33"/>
        <w:ind w:left="238"/>
        <w:rPr>
          <w:sz w:val="18"/>
        </w:rPr>
      </w:pPr>
      <w:r>
        <w:rPr>
          <w:color w:val="5E5E5E"/>
          <w:sz w:val="12"/>
        </w:rPr>
        <w:t>211</w:t>
      </w:r>
      <w:r>
        <w:rPr>
          <w:color w:val="5E5E5E"/>
          <w:spacing w:val="11"/>
          <w:sz w:val="12"/>
        </w:rPr>
        <w:t xml:space="preserve"> </w:t>
      </w:r>
      <w:r>
        <w:rPr>
          <w:color w:val="5E5E5E"/>
          <w:spacing w:val="-10"/>
          <w:position w:val="-5"/>
          <w:sz w:val="18"/>
        </w:rPr>
        <w:t>[</w:t>
      </w:r>
    </w:p>
    <w:p w14:paraId="51DE821E" w14:textId="77777777" w:rsidR="0010369C" w:rsidRDefault="008E43AE">
      <w:pPr>
        <w:spacing w:line="218" w:lineRule="exact"/>
        <w:ind w:left="238"/>
        <w:rPr>
          <w:sz w:val="18"/>
        </w:rPr>
      </w:pPr>
      <w:r>
        <w:pict w14:anchorId="51DE9F8F">
          <v:shape id="docshape359" o:spid="_x0000_s1893" style="position:absolute;left:0;text-align:left;margin-left:81.15pt;margin-top:11.3pt;width:290.95pt;height:45.1pt;z-index:-251397632;mso-position-horizontal-relative:page" coordorigin="1623,226" coordsize="5819,902" path="m7441,226r-5708,l1733,447r,20l1733,667r-110,l1623,908r110,l1733,1127r5708,l7441,447r,-221xe" fillcolor="black" stroked="f">
            <v:path arrowok="t"/>
            <w10:wrap anchorx="page"/>
          </v:shape>
        </w:pict>
      </w:r>
      <w:r>
        <w:rPr>
          <w:sz w:val="18"/>
          <w:vertAlign w:val="superscript"/>
        </w:rPr>
        <w:t>212</w:t>
      </w:r>
      <w:r>
        <w:rPr>
          <w:spacing w:val="-9"/>
          <w:sz w:val="18"/>
        </w:rPr>
        <w:t xml:space="preserve"> </w:t>
      </w:r>
      <w:r>
        <w:rPr>
          <w:sz w:val="18"/>
        </w:rPr>
        <w:t>Anti‐Dumping</w:t>
      </w:r>
      <w:r>
        <w:rPr>
          <w:spacing w:val="-9"/>
          <w:sz w:val="18"/>
        </w:rPr>
        <w:t xml:space="preserve"> </w:t>
      </w:r>
      <w:r>
        <w:rPr>
          <w:sz w:val="18"/>
        </w:rPr>
        <w:t>Final</w:t>
      </w:r>
      <w:r>
        <w:rPr>
          <w:spacing w:val="-9"/>
          <w:sz w:val="18"/>
        </w:rPr>
        <w:t xml:space="preserve"> </w:t>
      </w:r>
      <w:r>
        <w:rPr>
          <w:sz w:val="18"/>
        </w:rPr>
        <w:t>Determination</w:t>
      </w:r>
      <w:r>
        <w:rPr>
          <w:spacing w:val="-8"/>
          <w:sz w:val="18"/>
        </w:rPr>
        <w:t xml:space="preserve"> </w:t>
      </w:r>
      <w:r>
        <w:rPr>
          <w:sz w:val="18"/>
        </w:rPr>
        <w:t>(Exhibit</w:t>
      </w:r>
      <w:r>
        <w:rPr>
          <w:spacing w:val="-9"/>
          <w:sz w:val="18"/>
        </w:rPr>
        <w:t xml:space="preserve"> </w:t>
      </w:r>
      <w:r>
        <w:rPr>
          <w:sz w:val="18"/>
        </w:rPr>
        <w:t>AUS‐2),</w:t>
      </w:r>
      <w:r>
        <w:rPr>
          <w:spacing w:val="-9"/>
          <w:sz w:val="18"/>
        </w:rPr>
        <w:t xml:space="preserve"> </w:t>
      </w:r>
      <w:r>
        <w:rPr>
          <w:sz w:val="18"/>
        </w:rPr>
        <w:t>p.</w:t>
      </w:r>
      <w:r>
        <w:rPr>
          <w:spacing w:val="-9"/>
          <w:sz w:val="18"/>
        </w:rPr>
        <w:t xml:space="preserve"> </w:t>
      </w:r>
      <w:r>
        <w:rPr>
          <w:spacing w:val="-5"/>
          <w:sz w:val="18"/>
        </w:rPr>
        <w:t>65.</w:t>
      </w:r>
    </w:p>
    <w:p w14:paraId="51DE821F" w14:textId="77777777" w:rsidR="0010369C" w:rsidRDefault="008E43AE">
      <w:pPr>
        <w:spacing w:before="37" w:line="156" w:lineRule="auto"/>
        <w:ind w:left="238"/>
        <w:rPr>
          <w:sz w:val="18"/>
        </w:rPr>
      </w:pPr>
      <w:r>
        <w:rPr>
          <w:color w:val="5E5E5E"/>
          <w:sz w:val="12"/>
        </w:rPr>
        <w:t>213</w:t>
      </w:r>
      <w:r>
        <w:rPr>
          <w:color w:val="5E5E5E"/>
          <w:spacing w:val="11"/>
          <w:sz w:val="12"/>
        </w:rPr>
        <w:t xml:space="preserve"> </w:t>
      </w:r>
      <w:r>
        <w:rPr>
          <w:color w:val="5E5E5E"/>
          <w:spacing w:val="-10"/>
          <w:position w:val="-5"/>
          <w:sz w:val="18"/>
        </w:rPr>
        <w:t>[</w:t>
      </w:r>
    </w:p>
    <w:p w14:paraId="51DE8220" w14:textId="77777777" w:rsidR="0010369C" w:rsidRDefault="008E43AE">
      <w:pPr>
        <w:spacing w:before="71" w:line="158" w:lineRule="auto"/>
        <w:ind w:left="238"/>
        <w:rPr>
          <w:sz w:val="18"/>
        </w:rPr>
      </w:pPr>
      <w:r>
        <w:rPr>
          <w:color w:val="5E5E5E"/>
          <w:sz w:val="12"/>
        </w:rPr>
        <w:t>214</w:t>
      </w:r>
      <w:r>
        <w:rPr>
          <w:color w:val="5E5E5E"/>
          <w:spacing w:val="11"/>
          <w:sz w:val="12"/>
        </w:rPr>
        <w:t xml:space="preserve"> </w:t>
      </w:r>
      <w:r>
        <w:rPr>
          <w:color w:val="5E5E5E"/>
          <w:spacing w:val="-10"/>
          <w:position w:val="-5"/>
          <w:sz w:val="18"/>
        </w:rPr>
        <w:t>[</w:t>
      </w:r>
    </w:p>
    <w:p w14:paraId="51DE8221" w14:textId="77777777" w:rsidR="0010369C" w:rsidRDefault="008E43AE">
      <w:pPr>
        <w:spacing w:before="33"/>
        <w:ind w:left="238"/>
        <w:rPr>
          <w:sz w:val="12"/>
        </w:rPr>
      </w:pPr>
      <w:r>
        <w:rPr>
          <w:color w:val="5E5E5E"/>
          <w:spacing w:val="-5"/>
          <w:sz w:val="12"/>
        </w:rPr>
        <w:t>215</w:t>
      </w:r>
    </w:p>
    <w:p w14:paraId="51DE8222" w14:textId="77777777" w:rsidR="0010369C" w:rsidRDefault="008E43AE">
      <w:pPr>
        <w:spacing w:before="73"/>
        <w:ind w:left="238"/>
        <w:rPr>
          <w:sz w:val="18"/>
        </w:rPr>
      </w:pPr>
      <w:r>
        <w:rPr>
          <w:color w:val="5E5E5E"/>
          <w:sz w:val="12"/>
        </w:rPr>
        <w:t>216</w:t>
      </w:r>
      <w:r>
        <w:rPr>
          <w:color w:val="5E5E5E"/>
          <w:spacing w:val="11"/>
          <w:sz w:val="12"/>
        </w:rPr>
        <w:t xml:space="preserve"> </w:t>
      </w:r>
      <w:r>
        <w:rPr>
          <w:color w:val="5E5E5E"/>
          <w:spacing w:val="-10"/>
          <w:position w:val="-5"/>
          <w:sz w:val="18"/>
        </w:rPr>
        <w:t>[</w:t>
      </w:r>
    </w:p>
    <w:p w14:paraId="51DE8223" w14:textId="77777777" w:rsidR="0010369C" w:rsidRDefault="008E43AE">
      <w:pPr>
        <w:ind w:left="238"/>
        <w:rPr>
          <w:sz w:val="18"/>
        </w:rPr>
      </w:pPr>
      <w:r>
        <w:rPr>
          <w:sz w:val="18"/>
          <w:vertAlign w:val="superscript"/>
        </w:rPr>
        <w:t>217</w:t>
      </w:r>
      <w:r>
        <w:rPr>
          <w:spacing w:val="-9"/>
          <w:sz w:val="18"/>
        </w:rPr>
        <w:t xml:space="preserve"> </w:t>
      </w:r>
      <w:r>
        <w:rPr>
          <w:sz w:val="18"/>
        </w:rPr>
        <w:t>Anti‐Dumping</w:t>
      </w:r>
      <w:r>
        <w:rPr>
          <w:spacing w:val="-9"/>
          <w:sz w:val="18"/>
        </w:rPr>
        <w:t xml:space="preserve"> </w:t>
      </w:r>
      <w:r>
        <w:rPr>
          <w:sz w:val="18"/>
        </w:rPr>
        <w:t>Final</w:t>
      </w:r>
      <w:r>
        <w:rPr>
          <w:spacing w:val="-9"/>
          <w:sz w:val="18"/>
        </w:rPr>
        <w:t xml:space="preserve"> </w:t>
      </w:r>
      <w:r>
        <w:rPr>
          <w:sz w:val="18"/>
        </w:rPr>
        <w:t>Determination</w:t>
      </w:r>
      <w:r>
        <w:rPr>
          <w:spacing w:val="-8"/>
          <w:sz w:val="18"/>
        </w:rPr>
        <w:t xml:space="preserve"> </w:t>
      </w:r>
      <w:r>
        <w:rPr>
          <w:sz w:val="18"/>
        </w:rPr>
        <w:t>(Exhibit</w:t>
      </w:r>
      <w:r>
        <w:rPr>
          <w:spacing w:val="-9"/>
          <w:sz w:val="18"/>
        </w:rPr>
        <w:t xml:space="preserve"> </w:t>
      </w:r>
      <w:r>
        <w:rPr>
          <w:sz w:val="18"/>
        </w:rPr>
        <w:t>AUS‐2),</w:t>
      </w:r>
      <w:r>
        <w:rPr>
          <w:spacing w:val="-9"/>
          <w:sz w:val="18"/>
        </w:rPr>
        <w:t xml:space="preserve"> </w:t>
      </w:r>
      <w:r>
        <w:rPr>
          <w:sz w:val="18"/>
        </w:rPr>
        <w:t>p.</w:t>
      </w:r>
      <w:r>
        <w:rPr>
          <w:spacing w:val="-9"/>
          <w:sz w:val="18"/>
        </w:rPr>
        <w:t xml:space="preserve"> </w:t>
      </w:r>
      <w:r>
        <w:rPr>
          <w:spacing w:val="-5"/>
          <w:sz w:val="18"/>
        </w:rPr>
        <w:t>60.</w:t>
      </w:r>
    </w:p>
    <w:p w14:paraId="51DE8224" w14:textId="77777777" w:rsidR="0010369C" w:rsidRDefault="008E43AE">
      <w:pPr>
        <w:spacing w:before="40"/>
        <w:ind w:left="238"/>
        <w:jc w:val="both"/>
        <w:rPr>
          <w:sz w:val="18"/>
        </w:rPr>
      </w:pPr>
      <w:r>
        <w:br w:type="column"/>
      </w:r>
      <w:r>
        <w:rPr>
          <w:color w:val="5E5E5E"/>
          <w:sz w:val="18"/>
        </w:rPr>
        <w:t>(Exhibit</w:t>
      </w:r>
      <w:r>
        <w:rPr>
          <w:color w:val="5E5E5E"/>
          <w:spacing w:val="-11"/>
          <w:sz w:val="18"/>
        </w:rPr>
        <w:t xml:space="preserve"> </w:t>
      </w:r>
      <w:r>
        <w:rPr>
          <w:color w:val="5E5E5E"/>
          <w:sz w:val="18"/>
        </w:rPr>
        <w:t>AUS‐15</w:t>
      </w:r>
      <w:r>
        <w:rPr>
          <w:color w:val="5E5E5E"/>
          <w:spacing w:val="-10"/>
          <w:sz w:val="18"/>
        </w:rPr>
        <w:t xml:space="preserve"> </w:t>
      </w:r>
      <w:r>
        <w:rPr>
          <w:color w:val="5E5E5E"/>
          <w:sz w:val="18"/>
        </w:rPr>
        <w:t>(BCI)), (Exhibit</w:t>
      </w:r>
      <w:r>
        <w:rPr>
          <w:color w:val="5E5E5E"/>
          <w:spacing w:val="-11"/>
          <w:sz w:val="18"/>
        </w:rPr>
        <w:t xml:space="preserve"> </w:t>
      </w:r>
      <w:r>
        <w:rPr>
          <w:color w:val="5E5E5E"/>
          <w:sz w:val="18"/>
        </w:rPr>
        <w:t>AUS‐15</w:t>
      </w:r>
      <w:r>
        <w:rPr>
          <w:color w:val="5E5E5E"/>
          <w:spacing w:val="-10"/>
          <w:sz w:val="18"/>
        </w:rPr>
        <w:t xml:space="preserve"> </w:t>
      </w:r>
      <w:r>
        <w:rPr>
          <w:color w:val="5E5E5E"/>
          <w:sz w:val="18"/>
        </w:rPr>
        <w:t>(BCI)), (Exhibit</w:t>
      </w:r>
      <w:r>
        <w:rPr>
          <w:color w:val="5E5E5E"/>
          <w:spacing w:val="-10"/>
          <w:sz w:val="18"/>
        </w:rPr>
        <w:t xml:space="preserve"> </w:t>
      </w:r>
      <w:r>
        <w:rPr>
          <w:color w:val="5E5E5E"/>
          <w:sz w:val="18"/>
        </w:rPr>
        <w:t>AUS‐15</w:t>
      </w:r>
      <w:r>
        <w:rPr>
          <w:color w:val="5E5E5E"/>
          <w:spacing w:val="-9"/>
          <w:sz w:val="18"/>
        </w:rPr>
        <w:t xml:space="preserve"> </w:t>
      </w:r>
      <w:r>
        <w:rPr>
          <w:color w:val="5E5E5E"/>
          <w:spacing w:val="-2"/>
          <w:sz w:val="18"/>
        </w:rPr>
        <w:t>(BCI)),</w:t>
      </w:r>
    </w:p>
    <w:p w14:paraId="51DE8225" w14:textId="77777777" w:rsidR="0010369C" w:rsidRDefault="0010369C">
      <w:pPr>
        <w:pStyle w:val="BodyText"/>
        <w:spacing w:before="12"/>
        <w:rPr>
          <w:sz w:val="17"/>
        </w:rPr>
      </w:pPr>
    </w:p>
    <w:p w14:paraId="51DE8226" w14:textId="77777777" w:rsidR="0010369C" w:rsidRDefault="008E43AE">
      <w:pPr>
        <w:ind w:left="238"/>
        <w:jc w:val="both"/>
        <w:rPr>
          <w:sz w:val="18"/>
        </w:rPr>
      </w:pPr>
      <w:r>
        <w:rPr>
          <w:color w:val="5E5E5E"/>
          <w:sz w:val="18"/>
        </w:rPr>
        <w:t>(Exhibit</w:t>
      </w:r>
      <w:r>
        <w:rPr>
          <w:color w:val="5E5E5E"/>
          <w:spacing w:val="-11"/>
          <w:sz w:val="18"/>
        </w:rPr>
        <w:t xml:space="preserve"> </w:t>
      </w:r>
      <w:r>
        <w:rPr>
          <w:color w:val="5E5E5E"/>
          <w:sz w:val="18"/>
        </w:rPr>
        <w:t>AUS‐15</w:t>
      </w:r>
      <w:r>
        <w:rPr>
          <w:color w:val="5E5E5E"/>
          <w:spacing w:val="-10"/>
          <w:sz w:val="18"/>
        </w:rPr>
        <w:t xml:space="preserve"> </w:t>
      </w:r>
      <w:r>
        <w:rPr>
          <w:color w:val="5E5E5E"/>
          <w:sz w:val="18"/>
        </w:rPr>
        <w:t>(BCI)), (Exhibit</w:t>
      </w:r>
      <w:r>
        <w:rPr>
          <w:color w:val="5E5E5E"/>
          <w:spacing w:val="-11"/>
          <w:sz w:val="18"/>
        </w:rPr>
        <w:t xml:space="preserve"> </w:t>
      </w:r>
      <w:r>
        <w:rPr>
          <w:color w:val="5E5E5E"/>
          <w:sz w:val="18"/>
        </w:rPr>
        <w:t>AUS‐15</w:t>
      </w:r>
      <w:r>
        <w:rPr>
          <w:color w:val="5E5E5E"/>
          <w:spacing w:val="-10"/>
          <w:sz w:val="18"/>
        </w:rPr>
        <w:t xml:space="preserve"> </w:t>
      </w:r>
      <w:r>
        <w:rPr>
          <w:color w:val="5E5E5E"/>
          <w:sz w:val="18"/>
        </w:rPr>
        <w:t>(BCI)), (Exhibit</w:t>
      </w:r>
      <w:r>
        <w:rPr>
          <w:color w:val="5E5E5E"/>
          <w:spacing w:val="-11"/>
          <w:sz w:val="18"/>
        </w:rPr>
        <w:t xml:space="preserve"> </w:t>
      </w:r>
      <w:r>
        <w:rPr>
          <w:color w:val="5E5E5E"/>
          <w:sz w:val="18"/>
        </w:rPr>
        <w:t>AUS‐15</w:t>
      </w:r>
      <w:r>
        <w:rPr>
          <w:color w:val="5E5E5E"/>
          <w:spacing w:val="-10"/>
          <w:sz w:val="18"/>
        </w:rPr>
        <w:t xml:space="preserve"> </w:t>
      </w:r>
      <w:r>
        <w:rPr>
          <w:color w:val="5E5E5E"/>
          <w:sz w:val="18"/>
        </w:rPr>
        <w:t>(BCI)), (Exhibit</w:t>
      </w:r>
      <w:r>
        <w:rPr>
          <w:color w:val="5E5E5E"/>
          <w:spacing w:val="-10"/>
          <w:sz w:val="18"/>
        </w:rPr>
        <w:t xml:space="preserve"> </w:t>
      </w:r>
      <w:r>
        <w:rPr>
          <w:color w:val="5E5E5E"/>
          <w:sz w:val="18"/>
        </w:rPr>
        <w:t>AUS‐15</w:t>
      </w:r>
      <w:r>
        <w:rPr>
          <w:color w:val="5E5E5E"/>
          <w:spacing w:val="-9"/>
          <w:sz w:val="18"/>
        </w:rPr>
        <w:t xml:space="preserve"> </w:t>
      </w:r>
      <w:r>
        <w:rPr>
          <w:color w:val="5E5E5E"/>
          <w:spacing w:val="-2"/>
          <w:sz w:val="18"/>
        </w:rPr>
        <w:t>(BCI)),</w:t>
      </w:r>
    </w:p>
    <w:p w14:paraId="51DE8227" w14:textId="77777777" w:rsidR="0010369C" w:rsidRDefault="008E43AE">
      <w:pPr>
        <w:spacing w:before="40"/>
        <w:ind w:left="238"/>
        <w:rPr>
          <w:sz w:val="18"/>
        </w:rPr>
      </w:pPr>
      <w:r>
        <w:br w:type="column"/>
      </w:r>
      <w:r>
        <w:rPr>
          <w:color w:val="5E5E5E"/>
          <w:spacing w:val="-5"/>
          <w:sz w:val="18"/>
        </w:rPr>
        <w:t>.]]</w:t>
      </w:r>
    </w:p>
    <w:p w14:paraId="51DE8228" w14:textId="77777777" w:rsidR="0010369C" w:rsidRDefault="008E43AE">
      <w:pPr>
        <w:ind w:left="238"/>
        <w:rPr>
          <w:sz w:val="18"/>
        </w:rPr>
      </w:pPr>
      <w:r>
        <w:pict w14:anchorId="51DE9F90">
          <v:shape id="docshape360" o:spid="_x0000_s1892" style="position:absolute;left:0;text-align:left;margin-left:457.25pt;margin-top:-10.65pt;width:13.65pt;height:34.05pt;z-index:251747840;mso-position-horizontal-relative:page" coordorigin="9145,-213" coordsize="273,681" path="m9417,-213r-272,l9145,7r,21l9145,226r,22l9145,467r272,l9417,248r,-22l9417,28r,-21l9417,-213xe" fillcolor="black" stroked="f">
            <v:path arrowok="t"/>
            <w10:wrap anchorx="page"/>
          </v:shape>
        </w:pict>
      </w:r>
      <w:r>
        <w:rPr>
          <w:color w:val="5E5E5E"/>
          <w:spacing w:val="-5"/>
          <w:sz w:val="18"/>
        </w:rPr>
        <w:t>.]]</w:t>
      </w:r>
    </w:p>
    <w:p w14:paraId="51DE8229" w14:textId="77777777" w:rsidR="0010369C" w:rsidRDefault="008E43AE">
      <w:pPr>
        <w:ind w:left="238"/>
        <w:rPr>
          <w:sz w:val="18"/>
        </w:rPr>
      </w:pPr>
      <w:r>
        <w:rPr>
          <w:color w:val="5E5E5E"/>
          <w:spacing w:val="-5"/>
          <w:sz w:val="18"/>
        </w:rPr>
        <w:t>.]]</w:t>
      </w:r>
    </w:p>
    <w:p w14:paraId="51DE822A" w14:textId="77777777" w:rsidR="0010369C" w:rsidRDefault="0010369C">
      <w:pPr>
        <w:pStyle w:val="BodyText"/>
        <w:spacing w:before="12"/>
        <w:rPr>
          <w:sz w:val="17"/>
        </w:rPr>
      </w:pPr>
    </w:p>
    <w:p w14:paraId="51DE822B" w14:textId="77777777" w:rsidR="0010369C" w:rsidRDefault="008E43AE">
      <w:pPr>
        <w:ind w:left="238"/>
        <w:rPr>
          <w:sz w:val="18"/>
        </w:rPr>
      </w:pPr>
      <w:r>
        <w:pict w14:anchorId="51DE9F91">
          <v:shape id="docshape361" o:spid="_x0000_s1891" style="position:absolute;left:0;text-align:left;margin-left:457.25pt;margin-top:.35pt;width:13.65pt;height:45.1pt;z-index:251748864;mso-position-horizontal-relative:page" coordorigin="9145,7" coordsize="273,902" path="m9417,7r-272,l9145,228r,20l9145,908r272,l9417,228r,-221xe" fillcolor="black" stroked="f">
            <v:path arrowok="t"/>
            <w10:wrap anchorx="page"/>
          </v:shape>
        </w:pict>
      </w:r>
      <w:r>
        <w:rPr>
          <w:color w:val="5E5E5E"/>
          <w:spacing w:val="-5"/>
          <w:sz w:val="18"/>
        </w:rPr>
        <w:t>.]]</w:t>
      </w:r>
    </w:p>
    <w:p w14:paraId="51DE822C" w14:textId="77777777" w:rsidR="0010369C" w:rsidRDefault="008E43AE">
      <w:pPr>
        <w:spacing w:before="1"/>
        <w:ind w:left="238"/>
        <w:rPr>
          <w:sz w:val="18"/>
        </w:rPr>
      </w:pPr>
      <w:r>
        <w:rPr>
          <w:color w:val="5E5E5E"/>
          <w:spacing w:val="-5"/>
          <w:sz w:val="18"/>
        </w:rPr>
        <w:t>.]]</w:t>
      </w:r>
    </w:p>
    <w:p w14:paraId="51DE822D" w14:textId="77777777" w:rsidR="0010369C" w:rsidRDefault="008E43AE">
      <w:pPr>
        <w:ind w:left="238"/>
        <w:rPr>
          <w:sz w:val="18"/>
        </w:rPr>
      </w:pPr>
      <w:r>
        <w:rPr>
          <w:color w:val="5E5E5E"/>
          <w:spacing w:val="-5"/>
          <w:sz w:val="18"/>
        </w:rPr>
        <w:t>.]]</w:t>
      </w:r>
    </w:p>
    <w:p w14:paraId="51DE822E" w14:textId="77777777" w:rsidR="0010369C" w:rsidRDefault="008E43AE">
      <w:pPr>
        <w:ind w:left="238"/>
        <w:rPr>
          <w:sz w:val="18"/>
        </w:rPr>
      </w:pPr>
      <w:r>
        <w:rPr>
          <w:color w:val="5E5E5E"/>
          <w:spacing w:val="-5"/>
          <w:sz w:val="18"/>
        </w:rPr>
        <w:t>.]]</w:t>
      </w:r>
    </w:p>
    <w:p w14:paraId="51DE822F" w14:textId="77777777" w:rsidR="0010369C" w:rsidRDefault="0010369C">
      <w:pPr>
        <w:rPr>
          <w:sz w:val="18"/>
        </w:rPr>
        <w:sectPr w:rsidR="0010369C">
          <w:type w:val="continuous"/>
          <w:pgSz w:w="11910" w:h="16840"/>
          <w:pgMar w:top="1460" w:right="800" w:bottom="280" w:left="1180" w:header="569" w:footer="788" w:gutter="0"/>
          <w:cols w:num="3" w:space="720" w:equalWidth="0">
            <w:col w:w="4653" w:space="1431"/>
            <w:col w:w="1861" w:space="73"/>
            <w:col w:w="1912"/>
          </w:cols>
        </w:sectPr>
      </w:pPr>
    </w:p>
    <w:p w14:paraId="51DE8230" w14:textId="77777777" w:rsidR="0010369C" w:rsidRDefault="008E43AE">
      <w:pPr>
        <w:tabs>
          <w:tab w:val="left" w:pos="6426"/>
        </w:tabs>
        <w:ind w:left="238"/>
        <w:rPr>
          <w:sz w:val="20"/>
        </w:rPr>
      </w:pPr>
      <w:r>
        <w:rPr>
          <w:i/>
          <w:sz w:val="20"/>
        </w:rPr>
        <w:lastRenderedPageBreak/>
        <w:t>China</w:t>
      </w:r>
      <w:r>
        <w:rPr>
          <w:i/>
          <w:spacing w:val="-5"/>
          <w:sz w:val="20"/>
        </w:rPr>
        <w:t xml:space="preserve"> </w:t>
      </w:r>
      <w:r>
        <w:rPr>
          <w:i/>
          <w:sz w:val="20"/>
        </w:rPr>
        <w:t>–</w:t>
      </w:r>
      <w:r>
        <w:rPr>
          <w:i/>
          <w:spacing w:val="-5"/>
          <w:sz w:val="20"/>
        </w:rPr>
        <w:t xml:space="preserve"> </w:t>
      </w:r>
      <w:r>
        <w:rPr>
          <w:i/>
          <w:sz w:val="20"/>
        </w:rPr>
        <w:t>Anti‐Dumping</w:t>
      </w:r>
      <w:r>
        <w:rPr>
          <w:i/>
          <w:spacing w:val="-4"/>
          <w:sz w:val="20"/>
        </w:rPr>
        <w:t xml:space="preserve"> </w:t>
      </w:r>
      <w:r>
        <w:rPr>
          <w:i/>
          <w:sz w:val="20"/>
        </w:rPr>
        <w:t>and</w:t>
      </w:r>
      <w:r>
        <w:rPr>
          <w:i/>
          <w:spacing w:val="-5"/>
          <w:sz w:val="20"/>
        </w:rPr>
        <w:t xml:space="preserve"> </w:t>
      </w:r>
      <w:r>
        <w:rPr>
          <w:i/>
          <w:sz w:val="20"/>
        </w:rPr>
        <w:t>Countervailing</w:t>
      </w:r>
      <w:r>
        <w:rPr>
          <w:i/>
          <w:spacing w:val="-5"/>
          <w:sz w:val="20"/>
        </w:rPr>
        <w:t xml:space="preserve"> </w:t>
      </w:r>
      <w:r>
        <w:rPr>
          <w:i/>
          <w:sz w:val="20"/>
        </w:rPr>
        <w:t>Duty</w:t>
      </w:r>
      <w:r>
        <w:rPr>
          <w:i/>
          <w:spacing w:val="-4"/>
          <w:sz w:val="20"/>
        </w:rPr>
        <w:t xml:space="preserve"> </w:t>
      </w:r>
      <w:r>
        <w:rPr>
          <w:i/>
          <w:spacing w:val="-2"/>
          <w:sz w:val="20"/>
        </w:rPr>
        <w:t>Measures</w:t>
      </w:r>
      <w:r>
        <w:rPr>
          <w:i/>
          <w:sz w:val="20"/>
        </w:rPr>
        <w:tab/>
      </w:r>
      <w:r>
        <w:rPr>
          <w:sz w:val="20"/>
        </w:rPr>
        <w:t>Australia's</w:t>
      </w:r>
      <w:r>
        <w:rPr>
          <w:spacing w:val="-7"/>
          <w:sz w:val="20"/>
        </w:rPr>
        <w:t xml:space="preserve"> </w:t>
      </w:r>
      <w:r>
        <w:rPr>
          <w:sz w:val="20"/>
        </w:rPr>
        <w:t>First</w:t>
      </w:r>
      <w:r>
        <w:rPr>
          <w:spacing w:val="-2"/>
          <w:sz w:val="20"/>
        </w:rPr>
        <w:t xml:space="preserve"> </w:t>
      </w:r>
      <w:r>
        <w:rPr>
          <w:sz w:val="20"/>
        </w:rPr>
        <w:t>Written</w:t>
      </w:r>
      <w:r>
        <w:rPr>
          <w:spacing w:val="-2"/>
          <w:sz w:val="20"/>
        </w:rPr>
        <w:t xml:space="preserve"> Submission</w:t>
      </w:r>
    </w:p>
    <w:p w14:paraId="51DE8231" w14:textId="77777777" w:rsidR="0010369C" w:rsidRDefault="008E43AE">
      <w:pPr>
        <w:tabs>
          <w:tab w:val="left" w:pos="8228"/>
        </w:tabs>
        <w:spacing w:before="1"/>
        <w:ind w:left="239"/>
        <w:rPr>
          <w:sz w:val="20"/>
        </w:rPr>
      </w:pPr>
      <w:r>
        <w:rPr>
          <w:i/>
          <w:sz w:val="20"/>
        </w:rPr>
        <w:t>on</w:t>
      </w:r>
      <w:r>
        <w:rPr>
          <w:i/>
          <w:spacing w:val="-1"/>
          <w:sz w:val="20"/>
        </w:rPr>
        <w:t xml:space="preserve"> </w:t>
      </w:r>
      <w:r>
        <w:rPr>
          <w:i/>
          <w:sz w:val="20"/>
        </w:rPr>
        <w:t>Wine</w:t>
      </w:r>
      <w:r>
        <w:rPr>
          <w:i/>
          <w:spacing w:val="-1"/>
          <w:sz w:val="20"/>
        </w:rPr>
        <w:t xml:space="preserve"> </w:t>
      </w:r>
      <w:r>
        <w:rPr>
          <w:i/>
          <w:sz w:val="20"/>
        </w:rPr>
        <w:t>from</w:t>
      </w:r>
      <w:r>
        <w:rPr>
          <w:i/>
          <w:spacing w:val="-3"/>
          <w:sz w:val="20"/>
        </w:rPr>
        <w:t xml:space="preserve"> </w:t>
      </w:r>
      <w:r>
        <w:rPr>
          <w:i/>
          <w:sz w:val="20"/>
        </w:rPr>
        <w:t>Australia</w:t>
      </w:r>
      <w:r>
        <w:rPr>
          <w:i/>
          <w:spacing w:val="-1"/>
          <w:sz w:val="20"/>
        </w:rPr>
        <w:t xml:space="preserve"> </w:t>
      </w:r>
      <w:r>
        <w:rPr>
          <w:spacing w:val="-2"/>
          <w:sz w:val="20"/>
        </w:rPr>
        <w:t>(DS602)</w:t>
      </w:r>
      <w:r>
        <w:rPr>
          <w:sz w:val="20"/>
        </w:rPr>
        <w:tab/>
        <w:t>29</w:t>
      </w:r>
      <w:r>
        <w:rPr>
          <w:spacing w:val="-1"/>
          <w:sz w:val="20"/>
        </w:rPr>
        <w:t xml:space="preserve"> </w:t>
      </w:r>
      <w:r>
        <w:rPr>
          <w:sz w:val="20"/>
        </w:rPr>
        <w:t>April</w:t>
      </w:r>
      <w:r>
        <w:rPr>
          <w:spacing w:val="-2"/>
          <w:sz w:val="20"/>
        </w:rPr>
        <w:t xml:space="preserve"> </w:t>
      </w:r>
      <w:r>
        <w:rPr>
          <w:spacing w:val="-4"/>
          <w:sz w:val="20"/>
        </w:rPr>
        <w:t>2022</w:t>
      </w:r>
    </w:p>
    <w:p w14:paraId="51DE8232" w14:textId="77777777" w:rsidR="0010369C" w:rsidRDefault="008E43AE">
      <w:pPr>
        <w:pStyle w:val="BodyText"/>
        <w:spacing w:before="34" w:line="360" w:lineRule="auto"/>
        <w:ind w:left="238" w:right="611"/>
      </w:pPr>
      <w:r>
        <w:t>argument that it is</w:t>
      </w:r>
      <w:r>
        <w:rPr>
          <w:spacing w:val="-1"/>
        </w:rPr>
        <w:t xml:space="preserve"> </w:t>
      </w:r>
      <w:r>
        <w:t>not incumbent upon</w:t>
      </w:r>
      <w:r>
        <w:rPr>
          <w:spacing w:val="-1"/>
        </w:rPr>
        <w:t xml:space="preserve"> </w:t>
      </w:r>
      <w:r>
        <w:t>interested parties to</w:t>
      </w:r>
      <w:r>
        <w:rPr>
          <w:spacing w:val="-2"/>
        </w:rPr>
        <w:t xml:space="preserve"> </w:t>
      </w:r>
      <w:r>
        <w:t>guess</w:t>
      </w:r>
      <w:r>
        <w:rPr>
          <w:spacing w:val="-1"/>
        </w:rPr>
        <w:t xml:space="preserve"> </w:t>
      </w:r>
      <w:r>
        <w:t>what</w:t>
      </w:r>
      <w:r>
        <w:rPr>
          <w:spacing w:val="-1"/>
        </w:rPr>
        <w:t xml:space="preserve"> </w:t>
      </w:r>
      <w:r>
        <w:t>MOFCOM is</w:t>
      </w:r>
      <w:r>
        <w:rPr>
          <w:spacing w:val="-1"/>
        </w:rPr>
        <w:t xml:space="preserve"> </w:t>
      </w:r>
      <w:r>
        <w:t>looking for in its investigation.</w:t>
      </w:r>
      <w:r>
        <w:rPr>
          <w:vertAlign w:val="superscript"/>
        </w:rPr>
        <w:t>218</w:t>
      </w:r>
    </w:p>
    <w:p w14:paraId="51DE8233" w14:textId="77777777" w:rsidR="0010369C" w:rsidRDefault="0010369C">
      <w:pPr>
        <w:pStyle w:val="BodyText"/>
        <w:spacing w:before="10"/>
        <w:rPr>
          <w:sz w:val="8"/>
        </w:rPr>
      </w:pPr>
    </w:p>
    <w:p w14:paraId="51DE8234" w14:textId="77777777" w:rsidR="0010369C" w:rsidRDefault="008E43AE">
      <w:pPr>
        <w:pStyle w:val="BodyText"/>
        <w:spacing w:before="52" w:line="360" w:lineRule="auto"/>
        <w:ind w:left="237" w:right="612" w:firstLine="852"/>
        <w:jc w:val="both"/>
      </w:pPr>
      <w:r>
        <w:rPr>
          <w:noProof/>
        </w:rPr>
        <w:drawing>
          <wp:anchor distT="0" distB="0" distL="0" distR="0" simplePos="0" relativeHeight="250869248" behindDoc="1" locked="0" layoutInCell="1" allowOverlap="1" wp14:anchorId="51DE9F92" wp14:editId="51DE9F93">
            <wp:simplePos x="0" y="0"/>
            <wp:positionH relativeFrom="page">
              <wp:posOffset>905255</wp:posOffset>
            </wp:positionH>
            <wp:positionV relativeFrom="paragraph">
              <wp:posOffset>76785</wp:posOffset>
            </wp:positionV>
            <wp:extent cx="259079" cy="106679"/>
            <wp:effectExtent l="0" t="0" r="0" b="0"/>
            <wp:wrapNone/>
            <wp:docPr id="393" name="image2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 name="image205.png"/>
                    <pic:cNvPicPr/>
                  </pic:nvPicPr>
                  <pic:blipFill>
                    <a:blip r:embed="rId299" cstate="print"/>
                    <a:stretch>
                      <a:fillRect/>
                    </a:stretch>
                  </pic:blipFill>
                  <pic:spPr>
                    <a:xfrm>
                      <a:off x="0" y="0"/>
                      <a:ext cx="259079" cy="106679"/>
                    </a:xfrm>
                    <a:prstGeom prst="rect">
                      <a:avLst/>
                    </a:prstGeom>
                  </pic:spPr>
                </pic:pic>
              </a:graphicData>
            </a:graphic>
          </wp:anchor>
        </w:drawing>
      </w:r>
      <w:r>
        <w:t>Further, despite providing a fulsome explanation to accompany the provision of Re‐Submitted Form 6‐4, which would have been sufficient to allow MOFCOM to verify the accuracy and reliability of the data, MOFCOM instead re‐stated its original allegations fro</w:t>
      </w:r>
      <w:r>
        <w:t>m the</w:t>
      </w:r>
      <w:r>
        <w:rPr>
          <w:spacing w:val="-5"/>
        </w:rPr>
        <w:t xml:space="preserve"> </w:t>
      </w:r>
      <w:r>
        <w:t>Preliminary</w:t>
      </w:r>
      <w:r>
        <w:rPr>
          <w:spacing w:val="-6"/>
        </w:rPr>
        <w:t xml:space="preserve"> </w:t>
      </w:r>
      <w:r>
        <w:t>Determination</w:t>
      </w:r>
      <w:r>
        <w:rPr>
          <w:spacing w:val="-6"/>
        </w:rPr>
        <w:t xml:space="preserve"> </w:t>
      </w:r>
      <w:r>
        <w:t>in</w:t>
      </w:r>
      <w:r>
        <w:rPr>
          <w:spacing w:val="-6"/>
        </w:rPr>
        <w:t xml:space="preserve"> </w:t>
      </w:r>
      <w:r>
        <w:t>the</w:t>
      </w:r>
      <w:r>
        <w:rPr>
          <w:spacing w:val="-5"/>
        </w:rPr>
        <w:t xml:space="preserve"> </w:t>
      </w:r>
      <w:r>
        <w:t>Final</w:t>
      </w:r>
      <w:r>
        <w:rPr>
          <w:spacing w:val="-6"/>
        </w:rPr>
        <w:t xml:space="preserve"> </w:t>
      </w:r>
      <w:r>
        <w:t>Determination</w:t>
      </w:r>
      <w:r>
        <w:rPr>
          <w:spacing w:val="-6"/>
        </w:rPr>
        <w:t xml:space="preserve"> </w:t>
      </w:r>
      <w:r>
        <w:t>and</w:t>
      </w:r>
      <w:r>
        <w:rPr>
          <w:spacing w:val="-6"/>
        </w:rPr>
        <w:t xml:space="preserve"> </w:t>
      </w:r>
      <w:r>
        <w:t>concluded</w:t>
      </w:r>
      <w:r>
        <w:rPr>
          <w:spacing w:val="-6"/>
        </w:rPr>
        <w:t xml:space="preserve"> </w:t>
      </w:r>
      <w:r>
        <w:t>that</w:t>
      </w:r>
      <w:r>
        <w:rPr>
          <w:spacing w:val="-6"/>
        </w:rPr>
        <w:t xml:space="preserve"> </w:t>
      </w:r>
      <w:r>
        <w:t>Treasury</w:t>
      </w:r>
      <w:r>
        <w:rPr>
          <w:spacing w:val="-5"/>
        </w:rPr>
        <w:t xml:space="preserve"> </w:t>
      </w:r>
      <w:r>
        <w:t>Wines "failed to provide necessary information within the reasonable period of time and failed to offer convincing explanations".</w:t>
      </w:r>
      <w:r>
        <w:rPr>
          <w:vertAlign w:val="superscript"/>
        </w:rPr>
        <w:t>219</w:t>
      </w:r>
    </w:p>
    <w:p w14:paraId="51DE8235" w14:textId="77777777" w:rsidR="0010369C" w:rsidRDefault="0010369C">
      <w:pPr>
        <w:pStyle w:val="BodyText"/>
        <w:spacing w:before="11"/>
        <w:rPr>
          <w:sz w:val="8"/>
        </w:rPr>
      </w:pPr>
    </w:p>
    <w:p w14:paraId="51DE8236" w14:textId="77777777" w:rsidR="0010369C" w:rsidRDefault="008E43AE">
      <w:pPr>
        <w:pStyle w:val="BodyText"/>
        <w:spacing w:before="52" w:line="360" w:lineRule="auto"/>
        <w:ind w:left="235" w:right="613" w:firstLine="853"/>
        <w:jc w:val="both"/>
      </w:pPr>
      <w:r>
        <w:rPr>
          <w:noProof/>
        </w:rPr>
        <w:drawing>
          <wp:anchor distT="0" distB="0" distL="0" distR="0" simplePos="0" relativeHeight="250870272" behindDoc="1" locked="0" layoutInCell="1" allowOverlap="1" wp14:anchorId="51DE9F94" wp14:editId="51DE9F95">
            <wp:simplePos x="0" y="0"/>
            <wp:positionH relativeFrom="page">
              <wp:posOffset>905255</wp:posOffset>
            </wp:positionH>
            <wp:positionV relativeFrom="paragraph">
              <wp:posOffset>80595</wp:posOffset>
            </wp:positionV>
            <wp:extent cx="259079" cy="103631"/>
            <wp:effectExtent l="0" t="0" r="0" b="0"/>
            <wp:wrapNone/>
            <wp:docPr id="395" name="image2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 name="image206.png"/>
                    <pic:cNvPicPr/>
                  </pic:nvPicPr>
                  <pic:blipFill>
                    <a:blip r:embed="rId300" cstate="print"/>
                    <a:stretch>
                      <a:fillRect/>
                    </a:stretch>
                  </pic:blipFill>
                  <pic:spPr>
                    <a:xfrm>
                      <a:off x="0" y="0"/>
                      <a:ext cx="259079" cy="103631"/>
                    </a:xfrm>
                    <a:prstGeom prst="rect">
                      <a:avLst/>
                    </a:prstGeom>
                  </pic:spPr>
                </pic:pic>
              </a:graphicData>
            </a:graphic>
          </wp:anchor>
        </w:drawing>
      </w:r>
      <w:r>
        <w:t>The Appellate Body has clearly explained that an investigating authority is not entitled to reject information as being untimely if the information is submitted within a reasonable period of time.</w:t>
      </w:r>
      <w:r>
        <w:rPr>
          <w:vertAlign w:val="superscript"/>
        </w:rPr>
        <w:t>220</w:t>
      </w:r>
      <w:r>
        <w:t xml:space="preserve"> At no point during the investigation did MOFCOM indicate</w:t>
      </w:r>
      <w:r>
        <w:t xml:space="preserve"> that taking supplementary submissions into account, including submissions after the Preliminary Determination, would compromise its ability to conduct the investigation expeditiously, particularly in circumstances when it openly states that it decided to </w:t>
      </w:r>
      <w:r>
        <w:t>conduct a further "review"</w:t>
      </w:r>
      <w:r>
        <w:rPr>
          <w:spacing w:val="-3"/>
        </w:rPr>
        <w:t xml:space="preserve"> </w:t>
      </w:r>
      <w:r>
        <w:t>of</w:t>
      </w:r>
      <w:r>
        <w:rPr>
          <w:spacing w:val="-4"/>
        </w:rPr>
        <w:t xml:space="preserve"> </w:t>
      </w:r>
      <w:r>
        <w:t>"the</w:t>
      </w:r>
      <w:r>
        <w:rPr>
          <w:spacing w:val="-2"/>
        </w:rPr>
        <w:t xml:space="preserve"> </w:t>
      </w:r>
      <w:r>
        <w:t>products</w:t>
      </w:r>
      <w:r>
        <w:rPr>
          <w:spacing w:val="-2"/>
        </w:rPr>
        <w:t xml:space="preserve"> </w:t>
      </w:r>
      <w:r>
        <w:t>by</w:t>
      </w:r>
      <w:r>
        <w:rPr>
          <w:spacing w:val="-2"/>
        </w:rPr>
        <w:t xml:space="preserve"> </w:t>
      </w:r>
      <w:r>
        <w:t>type"</w:t>
      </w:r>
      <w:r>
        <w:rPr>
          <w:spacing w:val="-3"/>
        </w:rPr>
        <w:t xml:space="preserve"> </w:t>
      </w:r>
      <w:r>
        <w:t>following</w:t>
      </w:r>
      <w:r>
        <w:rPr>
          <w:spacing w:val="-2"/>
        </w:rPr>
        <w:t xml:space="preserve"> </w:t>
      </w:r>
      <w:r>
        <w:t>publication</w:t>
      </w:r>
      <w:r>
        <w:rPr>
          <w:spacing w:val="-3"/>
        </w:rPr>
        <w:t xml:space="preserve"> </w:t>
      </w:r>
      <w:r>
        <w:t>of</w:t>
      </w:r>
      <w:r>
        <w:rPr>
          <w:spacing w:val="-3"/>
        </w:rPr>
        <w:t xml:space="preserve"> </w:t>
      </w:r>
      <w:r>
        <w:t>the</w:t>
      </w:r>
      <w:r>
        <w:rPr>
          <w:spacing w:val="-2"/>
        </w:rPr>
        <w:t xml:space="preserve"> </w:t>
      </w:r>
      <w:r>
        <w:t>Preliminary</w:t>
      </w:r>
      <w:r>
        <w:rPr>
          <w:spacing w:val="-3"/>
        </w:rPr>
        <w:t xml:space="preserve"> </w:t>
      </w:r>
      <w:r>
        <w:t>Determination.</w:t>
      </w:r>
      <w:r>
        <w:rPr>
          <w:vertAlign w:val="superscript"/>
        </w:rPr>
        <w:t>221</w:t>
      </w:r>
    </w:p>
    <w:p w14:paraId="51DE8237" w14:textId="77777777" w:rsidR="0010369C" w:rsidRDefault="0010369C">
      <w:pPr>
        <w:pStyle w:val="BodyText"/>
        <w:spacing w:before="10"/>
        <w:rPr>
          <w:sz w:val="8"/>
        </w:rPr>
      </w:pPr>
    </w:p>
    <w:p w14:paraId="51DE8238" w14:textId="77777777" w:rsidR="0010369C" w:rsidRDefault="008E43AE">
      <w:pPr>
        <w:pStyle w:val="BodyText"/>
        <w:spacing w:before="52" w:line="360" w:lineRule="auto"/>
        <w:ind w:left="238" w:right="612" w:firstLine="851"/>
        <w:jc w:val="both"/>
      </w:pPr>
      <w:r>
        <w:rPr>
          <w:noProof/>
        </w:rPr>
        <w:drawing>
          <wp:anchor distT="0" distB="0" distL="0" distR="0" simplePos="0" relativeHeight="250871296" behindDoc="1" locked="0" layoutInCell="1" allowOverlap="1" wp14:anchorId="51DE9F96" wp14:editId="51DE9F97">
            <wp:simplePos x="0" y="0"/>
            <wp:positionH relativeFrom="page">
              <wp:posOffset>905255</wp:posOffset>
            </wp:positionH>
            <wp:positionV relativeFrom="paragraph">
              <wp:posOffset>76785</wp:posOffset>
            </wp:positionV>
            <wp:extent cx="259079" cy="106679"/>
            <wp:effectExtent l="0" t="0" r="0" b="0"/>
            <wp:wrapNone/>
            <wp:docPr id="397" name="image2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 name="image207.png"/>
                    <pic:cNvPicPr/>
                  </pic:nvPicPr>
                  <pic:blipFill>
                    <a:blip r:embed="rId301" cstate="print"/>
                    <a:stretch>
                      <a:fillRect/>
                    </a:stretch>
                  </pic:blipFill>
                  <pic:spPr>
                    <a:xfrm>
                      <a:off x="0" y="0"/>
                      <a:ext cx="259079" cy="106679"/>
                    </a:xfrm>
                    <a:prstGeom prst="rect">
                      <a:avLst/>
                    </a:prstGeom>
                  </pic:spPr>
                </pic:pic>
              </a:graphicData>
            </a:graphic>
          </wp:anchor>
        </w:drawing>
      </w:r>
      <w:r>
        <w:t>Given the nature of the supplementary data and information from Treasury Wines and</w:t>
      </w:r>
      <w:r>
        <w:rPr>
          <w:spacing w:val="-9"/>
        </w:rPr>
        <w:t xml:space="preserve"> </w:t>
      </w:r>
      <w:r>
        <w:t>the</w:t>
      </w:r>
      <w:r>
        <w:rPr>
          <w:spacing w:val="-8"/>
        </w:rPr>
        <w:t xml:space="preserve"> </w:t>
      </w:r>
      <w:r>
        <w:t>fact</w:t>
      </w:r>
      <w:r>
        <w:rPr>
          <w:spacing w:val="-11"/>
        </w:rPr>
        <w:t xml:space="preserve"> </w:t>
      </w:r>
      <w:r>
        <w:t>that</w:t>
      </w:r>
      <w:r>
        <w:rPr>
          <w:spacing w:val="-9"/>
        </w:rPr>
        <w:t xml:space="preserve"> </w:t>
      </w:r>
      <w:r>
        <w:t>MOFCOM</w:t>
      </w:r>
      <w:r>
        <w:rPr>
          <w:spacing w:val="-8"/>
        </w:rPr>
        <w:t xml:space="preserve"> </w:t>
      </w:r>
      <w:r>
        <w:t>issued</w:t>
      </w:r>
      <w:r>
        <w:rPr>
          <w:spacing w:val="-9"/>
        </w:rPr>
        <w:t xml:space="preserve"> </w:t>
      </w:r>
      <w:r>
        <w:t>its</w:t>
      </w:r>
      <w:r>
        <w:rPr>
          <w:spacing w:val="-9"/>
        </w:rPr>
        <w:t xml:space="preserve"> </w:t>
      </w:r>
      <w:r>
        <w:t>Final</w:t>
      </w:r>
      <w:r>
        <w:rPr>
          <w:spacing w:val="-8"/>
        </w:rPr>
        <w:t xml:space="preserve"> </w:t>
      </w:r>
      <w:r>
        <w:t>Determination</w:t>
      </w:r>
      <w:r>
        <w:rPr>
          <w:spacing w:val="-10"/>
        </w:rPr>
        <w:t xml:space="preserve"> </w:t>
      </w:r>
      <w:r>
        <w:t>some</w:t>
      </w:r>
      <w:r>
        <w:rPr>
          <w:spacing w:val="-8"/>
        </w:rPr>
        <w:t xml:space="preserve"> </w:t>
      </w:r>
      <w:r>
        <w:t>7</w:t>
      </w:r>
      <w:r>
        <w:rPr>
          <w:spacing w:val="-9"/>
        </w:rPr>
        <w:t xml:space="preserve"> </w:t>
      </w:r>
      <w:r>
        <w:t>weeks</w:t>
      </w:r>
      <w:r>
        <w:rPr>
          <w:spacing w:val="-10"/>
        </w:rPr>
        <w:t xml:space="preserve"> </w:t>
      </w:r>
      <w:r>
        <w:t>after</w:t>
      </w:r>
      <w:r>
        <w:rPr>
          <w:spacing w:val="-8"/>
        </w:rPr>
        <w:t xml:space="preserve"> </w:t>
      </w:r>
      <w:r>
        <w:t>the</w:t>
      </w:r>
      <w:r>
        <w:rPr>
          <w:spacing w:val="-8"/>
        </w:rPr>
        <w:t xml:space="preserve"> </w:t>
      </w:r>
      <w:r>
        <w:t>deadline</w:t>
      </w:r>
      <w:r>
        <w:rPr>
          <w:spacing w:val="-8"/>
        </w:rPr>
        <w:t xml:space="preserve"> </w:t>
      </w:r>
      <w:r>
        <w:t>for Supplementary Questionnaire responses, there was sufficient time for MOFCOM to take the data and information into account.</w:t>
      </w:r>
    </w:p>
    <w:p w14:paraId="51DE8239" w14:textId="77777777" w:rsidR="0010369C" w:rsidRDefault="0010369C">
      <w:pPr>
        <w:pStyle w:val="BodyText"/>
        <w:spacing w:before="11"/>
        <w:rPr>
          <w:sz w:val="8"/>
        </w:rPr>
      </w:pPr>
    </w:p>
    <w:p w14:paraId="51DE823A" w14:textId="77777777" w:rsidR="0010369C" w:rsidRDefault="008E43AE">
      <w:pPr>
        <w:pStyle w:val="BodyText"/>
        <w:spacing w:before="51" w:line="360" w:lineRule="auto"/>
        <w:ind w:left="236" w:right="613" w:firstLine="852"/>
        <w:jc w:val="both"/>
      </w:pPr>
      <w:r>
        <w:rPr>
          <w:noProof/>
        </w:rPr>
        <w:drawing>
          <wp:anchor distT="0" distB="0" distL="0" distR="0" simplePos="0" relativeHeight="250872320" behindDoc="1" locked="0" layoutInCell="1" allowOverlap="1" wp14:anchorId="51DE9F98" wp14:editId="51DE9F99">
            <wp:simplePos x="0" y="0"/>
            <wp:positionH relativeFrom="page">
              <wp:posOffset>905255</wp:posOffset>
            </wp:positionH>
            <wp:positionV relativeFrom="paragraph">
              <wp:posOffset>80722</wp:posOffset>
            </wp:positionV>
            <wp:extent cx="259079" cy="103631"/>
            <wp:effectExtent l="0" t="0" r="0" b="0"/>
            <wp:wrapNone/>
            <wp:docPr id="399" name="image2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 name="image208.png"/>
                    <pic:cNvPicPr/>
                  </pic:nvPicPr>
                  <pic:blipFill>
                    <a:blip r:embed="rId302" cstate="print"/>
                    <a:stretch>
                      <a:fillRect/>
                    </a:stretch>
                  </pic:blipFill>
                  <pic:spPr>
                    <a:xfrm>
                      <a:off x="0" y="0"/>
                      <a:ext cx="259079" cy="103631"/>
                    </a:xfrm>
                    <a:prstGeom prst="rect">
                      <a:avLst/>
                    </a:prstGeom>
                  </pic:spPr>
                </pic:pic>
              </a:graphicData>
            </a:graphic>
          </wp:anchor>
        </w:drawing>
      </w:r>
      <w:r>
        <w:t>By rejecting the information submitted in Form 6‐4, MOFCOM failed to observe the provisions of Annex</w:t>
      </w:r>
      <w:r>
        <w:rPr>
          <w:spacing w:val="-3"/>
        </w:rPr>
        <w:t xml:space="preserve"> </w:t>
      </w:r>
      <w:r>
        <w:t>I</w:t>
      </w:r>
      <w:r>
        <w:t>I of the Anti‐Dumping Agreement. Specifically, Australia submits that MOFCOM</w:t>
      </w:r>
      <w:r>
        <w:rPr>
          <w:spacing w:val="-4"/>
        </w:rPr>
        <w:t xml:space="preserve"> </w:t>
      </w:r>
      <w:r>
        <w:t>failed</w:t>
      </w:r>
      <w:r>
        <w:rPr>
          <w:spacing w:val="-5"/>
        </w:rPr>
        <w:t xml:space="preserve"> </w:t>
      </w:r>
      <w:r>
        <w:t>to</w:t>
      </w:r>
      <w:r>
        <w:rPr>
          <w:spacing w:val="-4"/>
        </w:rPr>
        <w:t xml:space="preserve"> </w:t>
      </w:r>
      <w:r>
        <w:t>take</w:t>
      </w:r>
      <w:r>
        <w:rPr>
          <w:spacing w:val="-4"/>
        </w:rPr>
        <w:t xml:space="preserve"> </w:t>
      </w:r>
      <w:r>
        <w:t>into</w:t>
      </w:r>
      <w:r>
        <w:rPr>
          <w:spacing w:val="-4"/>
        </w:rPr>
        <w:t xml:space="preserve"> </w:t>
      </w:r>
      <w:r>
        <w:t>account</w:t>
      </w:r>
      <w:r>
        <w:rPr>
          <w:spacing w:val="-5"/>
        </w:rPr>
        <w:t xml:space="preserve"> </w:t>
      </w:r>
      <w:r>
        <w:t>information</w:t>
      </w:r>
      <w:r>
        <w:rPr>
          <w:spacing w:val="-5"/>
        </w:rPr>
        <w:t xml:space="preserve"> </w:t>
      </w:r>
      <w:r>
        <w:t>which</w:t>
      </w:r>
      <w:r>
        <w:rPr>
          <w:spacing w:val="-5"/>
        </w:rPr>
        <w:t xml:space="preserve"> </w:t>
      </w:r>
      <w:r>
        <w:t>is</w:t>
      </w:r>
      <w:r>
        <w:rPr>
          <w:spacing w:val="-5"/>
        </w:rPr>
        <w:t xml:space="preserve"> </w:t>
      </w:r>
      <w:r>
        <w:t>verifiable,</w:t>
      </w:r>
      <w:r>
        <w:rPr>
          <w:spacing w:val="-6"/>
        </w:rPr>
        <w:t xml:space="preserve"> </w:t>
      </w:r>
      <w:r>
        <w:t>appropriately</w:t>
      </w:r>
      <w:r>
        <w:rPr>
          <w:spacing w:val="-4"/>
        </w:rPr>
        <w:t xml:space="preserve"> </w:t>
      </w:r>
      <w:r>
        <w:t>submitted in a timely fashion and through a medium as requested by MOFCOM, thus acting inconsistently wi</w:t>
      </w:r>
      <w:r>
        <w:t>th paragraph 3 of Annex II. Australia submits that there was no reasonable basis for MOFCOM to determine that the information contained in Form 6‐4 was not "verifiable" – that is, not capable of being "verified or proved to be true" ‐ and demonstrates that</w:t>
      </w:r>
      <w:r>
        <w:rPr>
          <w:spacing w:val="3"/>
        </w:rPr>
        <w:t xml:space="preserve"> </w:t>
      </w:r>
      <w:r>
        <w:t>MOFCOM</w:t>
      </w:r>
      <w:r>
        <w:rPr>
          <w:spacing w:val="2"/>
        </w:rPr>
        <w:t xml:space="preserve"> </w:t>
      </w:r>
      <w:r>
        <w:t>did</w:t>
      </w:r>
      <w:r>
        <w:rPr>
          <w:spacing w:val="3"/>
        </w:rPr>
        <w:t xml:space="preserve"> </w:t>
      </w:r>
      <w:r>
        <w:t>not</w:t>
      </w:r>
      <w:r>
        <w:rPr>
          <w:spacing w:val="4"/>
        </w:rPr>
        <w:t xml:space="preserve"> </w:t>
      </w:r>
      <w:r>
        <w:t>conduct</w:t>
      </w:r>
      <w:r>
        <w:rPr>
          <w:spacing w:val="4"/>
        </w:rPr>
        <w:t xml:space="preserve"> </w:t>
      </w:r>
      <w:r>
        <w:t>an</w:t>
      </w:r>
      <w:r>
        <w:rPr>
          <w:spacing w:val="3"/>
        </w:rPr>
        <w:t xml:space="preserve"> </w:t>
      </w:r>
      <w:r>
        <w:t>"objective</w:t>
      </w:r>
      <w:r>
        <w:rPr>
          <w:spacing w:val="3"/>
        </w:rPr>
        <w:t xml:space="preserve"> </w:t>
      </w:r>
      <w:r>
        <w:t>process</w:t>
      </w:r>
      <w:r>
        <w:rPr>
          <w:spacing w:val="3"/>
        </w:rPr>
        <w:t xml:space="preserve"> </w:t>
      </w:r>
      <w:r>
        <w:t>of</w:t>
      </w:r>
      <w:r>
        <w:rPr>
          <w:spacing w:val="3"/>
        </w:rPr>
        <w:t xml:space="preserve"> </w:t>
      </w:r>
      <w:r>
        <w:t>examination"</w:t>
      </w:r>
      <w:r>
        <w:rPr>
          <w:spacing w:val="3"/>
        </w:rPr>
        <w:t xml:space="preserve"> </w:t>
      </w:r>
      <w:r>
        <w:t>to</w:t>
      </w:r>
      <w:r>
        <w:rPr>
          <w:spacing w:val="3"/>
        </w:rPr>
        <w:t xml:space="preserve"> </w:t>
      </w:r>
      <w:r>
        <w:t>verify</w:t>
      </w:r>
      <w:r>
        <w:rPr>
          <w:spacing w:val="3"/>
        </w:rPr>
        <w:t xml:space="preserve"> </w:t>
      </w:r>
      <w:r>
        <w:t>the</w:t>
      </w:r>
      <w:r>
        <w:rPr>
          <w:spacing w:val="4"/>
        </w:rPr>
        <w:t xml:space="preserve"> </w:t>
      </w:r>
      <w:r>
        <w:t>data</w:t>
      </w:r>
      <w:r>
        <w:rPr>
          <w:spacing w:val="3"/>
        </w:rPr>
        <w:t xml:space="preserve"> </w:t>
      </w:r>
      <w:r>
        <w:rPr>
          <w:spacing w:val="-5"/>
        </w:rPr>
        <w:t>and</w:t>
      </w:r>
    </w:p>
    <w:p w14:paraId="51DE823B" w14:textId="77777777" w:rsidR="0010369C" w:rsidRDefault="0010369C">
      <w:pPr>
        <w:pStyle w:val="BodyText"/>
        <w:rPr>
          <w:sz w:val="20"/>
        </w:rPr>
      </w:pPr>
    </w:p>
    <w:p w14:paraId="51DE823C" w14:textId="77777777" w:rsidR="0010369C" w:rsidRDefault="008E43AE">
      <w:pPr>
        <w:pStyle w:val="BodyText"/>
        <w:spacing w:before="5"/>
        <w:rPr>
          <w:sz w:val="18"/>
        </w:rPr>
      </w:pPr>
      <w:r>
        <w:pict w14:anchorId="51DE9F9A">
          <v:rect id="docshape362" o:spid="_x0000_s1890" style="position:absolute;margin-left:70.9pt;margin-top:12.45pt;width:2in;height:.8pt;z-index:-251101696;mso-wrap-distance-left:0;mso-wrap-distance-right:0;mso-position-horizontal-relative:page" fillcolor="black" stroked="f">
            <w10:wrap type="topAndBottom" anchorx="page"/>
          </v:rect>
        </w:pict>
      </w:r>
    </w:p>
    <w:p w14:paraId="51DE823D" w14:textId="77777777" w:rsidR="0010369C" w:rsidRDefault="008E43AE">
      <w:pPr>
        <w:spacing w:before="110"/>
        <w:ind w:left="238"/>
        <w:rPr>
          <w:sz w:val="18"/>
        </w:rPr>
      </w:pPr>
      <w:r>
        <w:rPr>
          <w:sz w:val="18"/>
          <w:vertAlign w:val="superscript"/>
        </w:rPr>
        <w:t>218</w:t>
      </w:r>
      <w:r>
        <w:rPr>
          <w:spacing w:val="-6"/>
          <w:sz w:val="18"/>
        </w:rPr>
        <w:t xml:space="preserve"> </w:t>
      </w:r>
      <w:r>
        <w:rPr>
          <w:sz w:val="18"/>
        </w:rPr>
        <w:t>See</w:t>
      </w:r>
      <w:r>
        <w:rPr>
          <w:spacing w:val="-5"/>
          <w:sz w:val="18"/>
        </w:rPr>
        <w:t xml:space="preserve"> </w:t>
      </w:r>
      <w:r>
        <w:rPr>
          <w:sz w:val="18"/>
        </w:rPr>
        <w:t>above,</w:t>
      </w:r>
      <w:r>
        <w:rPr>
          <w:spacing w:val="-6"/>
          <w:sz w:val="18"/>
        </w:rPr>
        <w:t xml:space="preserve"> </w:t>
      </w:r>
      <w:r>
        <w:rPr>
          <w:sz w:val="18"/>
        </w:rPr>
        <w:t>para.</w:t>
      </w:r>
      <w:r>
        <w:rPr>
          <w:spacing w:val="-5"/>
          <w:sz w:val="18"/>
        </w:rPr>
        <w:t xml:space="preserve"> </w:t>
      </w:r>
      <w:r>
        <w:rPr>
          <w:spacing w:val="-4"/>
          <w:sz w:val="18"/>
        </w:rPr>
        <w:t>166.</w:t>
      </w:r>
    </w:p>
    <w:p w14:paraId="51DE823E" w14:textId="77777777" w:rsidR="0010369C" w:rsidRDefault="008E43AE">
      <w:pPr>
        <w:ind w:left="238" w:right="5305"/>
        <w:rPr>
          <w:sz w:val="18"/>
        </w:rPr>
      </w:pPr>
      <w:r>
        <w:rPr>
          <w:sz w:val="18"/>
          <w:vertAlign w:val="superscript"/>
        </w:rPr>
        <w:t>219</w:t>
      </w:r>
      <w:r>
        <w:rPr>
          <w:spacing w:val="-5"/>
          <w:sz w:val="18"/>
        </w:rPr>
        <w:t xml:space="preserve"> </w:t>
      </w:r>
      <w:r>
        <w:rPr>
          <w:sz w:val="18"/>
        </w:rPr>
        <w:t>Anti‐Dumping</w:t>
      </w:r>
      <w:r>
        <w:rPr>
          <w:spacing w:val="-5"/>
          <w:sz w:val="18"/>
        </w:rPr>
        <w:t xml:space="preserve"> </w:t>
      </w:r>
      <w:r>
        <w:rPr>
          <w:sz w:val="18"/>
        </w:rPr>
        <w:t>Final</w:t>
      </w:r>
      <w:r>
        <w:rPr>
          <w:spacing w:val="-5"/>
          <w:sz w:val="18"/>
        </w:rPr>
        <w:t xml:space="preserve"> </w:t>
      </w:r>
      <w:r>
        <w:rPr>
          <w:sz w:val="18"/>
        </w:rPr>
        <w:t>Determination</w:t>
      </w:r>
      <w:r>
        <w:rPr>
          <w:spacing w:val="-4"/>
          <w:sz w:val="18"/>
        </w:rPr>
        <w:t xml:space="preserve"> </w:t>
      </w:r>
      <w:r>
        <w:rPr>
          <w:sz w:val="18"/>
        </w:rPr>
        <w:t>(Exhibit</w:t>
      </w:r>
      <w:r>
        <w:rPr>
          <w:spacing w:val="-5"/>
          <w:sz w:val="18"/>
        </w:rPr>
        <w:t xml:space="preserve"> </w:t>
      </w:r>
      <w:r>
        <w:rPr>
          <w:sz w:val="18"/>
        </w:rPr>
        <w:t>AUS‐2),</w:t>
      </w:r>
      <w:r>
        <w:rPr>
          <w:spacing w:val="-6"/>
          <w:sz w:val="18"/>
        </w:rPr>
        <w:t xml:space="preserve"> </w:t>
      </w:r>
      <w:r>
        <w:rPr>
          <w:sz w:val="18"/>
        </w:rPr>
        <w:t>p.</w:t>
      </w:r>
      <w:r>
        <w:rPr>
          <w:spacing w:val="-5"/>
          <w:sz w:val="18"/>
        </w:rPr>
        <w:t xml:space="preserve"> </w:t>
      </w:r>
      <w:r>
        <w:rPr>
          <w:sz w:val="18"/>
        </w:rPr>
        <w:t xml:space="preserve">65. </w:t>
      </w:r>
      <w:r>
        <w:rPr>
          <w:sz w:val="18"/>
          <w:vertAlign w:val="superscript"/>
        </w:rPr>
        <w:t>220</w:t>
      </w:r>
      <w:r>
        <w:rPr>
          <w:sz w:val="18"/>
        </w:rPr>
        <w:t xml:space="preserve"> Appellate Body Report, </w:t>
      </w:r>
      <w:r>
        <w:rPr>
          <w:i/>
          <w:sz w:val="18"/>
        </w:rPr>
        <w:t>US – Hot‐Rolled Steel</w:t>
      </w:r>
      <w:r>
        <w:rPr>
          <w:sz w:val="18"/>
        </w:rPr>
        <w:t xml:space="preserve">, para. 83. </w:t>
      </w:r>
      <w:r>
        <w:rPr>
          <w:sz w:val="18"/>
          <w:vertAlign w:val="superscript"/>
        </w:rPr>
        <w:t>221</w:t>
      </w:r>
      <w:r>
        <w:rPr>
          <w:spacing w:val="-5"/>
          <w:sz w:val="18"/>
        </w:rPr>
        <w:t xml:space="preserve"> </w:t>
      </w:r>
      <w:r>
        <w:rPr>
          <w:sz w:val="18"/>
        </w:rPr>
        <w:t>Anti‐Dumping</w:t>
      </w:r>
      <w:r>
        <w:rPr>
          <w:spacing w:val="-5"/>
          <w:sz w:val="18"/>
        </w:rPr>
        <w:t xml:space="preserve"> </w:t>
      </w:r>
      <w:r>
        <w:rPr>
          <w:sz w:val="18"/>
        </w:rPr>
        <w:t>Final</w:t>
      </w:r>
      <w:r>
        <w:rPr>
          <w:spacing w:val="-5"/>
          <w:sz w:val="18"/>
        </w:rPr>
        <w:t xml:space="preserve"> </w:t>
      </w:r>
      <w:r>
        <w:rPr>
          <w:sz w:val="18"/>
        </w:rPr>
        <w:t>Determination</w:t>
      </w:r>
      <w:r>
        <w:rPr>
          <w:spacing w:val="-4"/>
          <w:sz w:val="18"/>
        </w:rPr>
        <w:t xml:space="preserve"> </w:t>
      </w:r>
      <w:r>
        <w:rPr>
          <w:sz w:val="18"/>
        </w:rPr>
        <w:t>(Exhibit</w:t>
      </w:r>
      <w:r>
        <w:rPr>
          <w:spacing w:val="-5"/>
          <w:sz w:val="18"/>
        </w:rPr>
        <w:t xml:space="preserve"> </w:t>
      </w:r>
      <w:r>
        <w:rPr>
          <w:sz w:val="18"/>
        </w:rPr>
        <w:t>AUS‐2),</w:t>
      </w:r>
      <w:r>
        <w:rPr>
          <w:spacing w:val="-6"/>
          <w:sz w:val="18"/>
        </w:rPr>
        <w:t xml:space="preserve"> </w:t>
      </w:r>
      <w:r>
        <w:rPr>
          <w:sz w:val="18"/>
        </w:rPr>
        <w:t>p.</w:t>
      </w:r>
      <w:r>
        <w:rPr>
          <w:spacing w:val="-5"/>
          <w:sz w:val="18"/>
        </w:rPr>
        <w:t xml:space="preserve"> </w:t>
      </w:r>
      <w:r>
        <w:rPr>
          <w:sz w:val="18"/>
        </w:rPr>
        <w:t>57.</w:t>
      </w:r>
    </w:p>
    <w:p w14:paraId="51DE823F" w14:textId="77777777" w:rsidR="0010369C" w:rsidRDefault="0010369C">
      <w:pPr>
        <w:rPr>
          <w:sz w:val="18"/>
        </w:rPr>
        <w:sectPr w:rsidR="0010369C">
          <w:pgSz w:w="11910" w:h="16840"/>
          <w:pgMar w:top="880" w:right="800" w:bottom="980" w:left="1180" w:header="569" w:footer="788" w:gutter="0"/>
          <w:cols w:space="720"/>
        </w:sectPr>
      </w:pPr>
    </w:p>
    <w:tbl>
      <w:tblPr>
        <w:tblW w:w="0" w:type="auto"/>
        <w:tblInd w:w="132" w:type="dxa"/>
        <w:tblLayout w:type="fixed"/>
        <w:tblCellMar>
          <w:left w:w="0" w:type="dxa"/>
          <w:right w:w="0" w:type="dxa"/>
        </w:tblCellMar>
        <w:tblLook w:val="01E0" w:firstRow="1" w:lastRow="1" w:firstColumn="1" w:lastColumn="1" w:noHBand="0" w:noVBand="0"/>
      </w:tblPr>
      <w:tblGrid>
        <w:gridCol w:w="4965"/>
        <w:gridCol w:w="4257"/>
      </w:tblGrid>
      <w:tr w:rsidR="0010369C" w14:paraId="51DE8244" w14:textId="77777777">
        <w:trPr>
          <w:trHeight w:val="578"/>
        </w:trPr>
        <w:tc>
          <w:tcPr>
            <w:tcW w:w="4965" w:type="dxa"/>
            <w:tcBorders>
              <w:top w:val="single" w:sz="4" w:space="0" w:color="000000"/>
              <w:left w:val="single" w:sz="4" w:space="0" w:color="000000"/>
            </w:tcBorders>
          </w:tcPr>
          <w:p w14:paraId="51DE8240" w14:textId="77777777" w:rsidR="0010369C" w:rsidRDefault="008E43AE">
            <w:pPr>
              <w:pStyle w:val="TableParagraph"/>
              <w:spacing w:before="19"/>
              <w:ind w:left="2575" w:right="-15"/>
            </w:pPr>
            <w:r>
              <w:lastRenderedPageBreak/>
              <w:t>Business</w:t>
            </w:r>
            <w:r>
              <w:rPr>
                <w:spacing w:val="-11"/>
              </w:rPr>
              <w:t xml:space="preserve"> </w:t>
            </w:r>
            <w:r>
              <w:t>Confidential</w:t>
            </w:r>
            <w:r>
              <w:rPr>
                <w:spacing w:val="-9"/>
              </w:rPr>
              <w:t xml:space="preserve"> </w:t>
            </w:r>
            <w:r>
              <w:rPr>
                <w:spacing w:val="-2"/>
              </w:rPr>
              <w:t>Infor</w:t>
            </w:r>
          </w:p>
          <w:p w14:paraId="51DE8241" w14:textId="77777777" w:rsidR="0010369C" w:rsidRDefault="008E43AE">
            <w:pPr>
              <w:pStyle w:val="TableParagraph"/>
              <w:spacing w:before="28" w:line="243" w:lineRule="exact"/>
              <w:ind w:left="113"/>
              <w:rPr>
                <w:i/>
                <w:sz w:val="20"/>
              </w:rPr>
            </w:pPr>
            <w:r>
              <w:rPr>
                <w:i/>
                <w:sz w:val="20"/>
              </w:rPr>
              <w:t>China</w:t>
            </w:r>
            <w:r>
              <w:rPr>
                <w:i/>
                <w:spacing w:val="-5"/>
                <w:sz w:val="20"/>
              </w:rPr>
              <w:t xml:space="preserve"> </w:t>
            </w:r>
            <w:r>
              <w:rPr>
                <w:i/>
                <w:sz w:val="20"/>
              </w:rPr>
              <w:t>–</w:t>
            </w:r>
            <w:r>
              <w:rPr>
                <w:i/>
                <w:spacing w:val="-5"/>
                <w:sz w:val="20"/>
              </w:rPr>
              <w:t xml:space="preserve"> </w:t>
            </w:r>
            <w:r>
              <w:rPr>
                <w:i/>
                <w:sz w:val="20"/>
              </w:rPr>
              <w:t>Anti‐Dumping</w:t>
            </w:r>
            <w:r>
              <w:rPr>
                <w:i/>
                <w:spacing w:val="-4"/>
                <w:sz w:val="20"/>
              </w:rPr>
              <w:t xml:space="preserve"> </w:t>
            </w:r>
            <w:r>
              <w:rPr>
                <w:i/>
                <w:sz w:val="20"/>
              </w:rPr>
              <w:t>and</w:t>
            </w:r>
            <w:r>
              <w:rPr>
                <w:i/>
                <w:spacing w:val="-5"/>
                <w:sz w:val="20"/>
              </w:rPr>
              <w:t xml:space="preserve"> </w:t>
            </w:r>
            <w:r>
              <w:rPr>
                <w:i/>
                <w:sz w:val="20"/>
              </w:rPr>
              <w:t>Countervailing</w:t>
            </w:r>
            <w:r>
              <w:rPr>
                <w:i/>
                <w:spacing w:val="-5"/>
                <w:sz w:val="20"/>
              </w:rPr>
              <w:t xml:space="preserve"> </w:t>
            </w:r>
            <w:r>
              <w:rPr>
                <w:i/>
                <w:sz w:val="20"/>
              </w:rPr>
              <w:t>Duty</w:t>
            </w:r>
            <w:r>
              <w:rPr>
                <w:i/>
                <w:spacing w:val="-4"/>
                <w:sz w:val="20"/>
              </w:rPr>
              <w:t xml:space="preserve"> </w:t>
            </w:r>
            <w:r>
              <w:rPr>
                <w:i/>
                <w:spacing w:val="-2"/>
                <w:sz w:val="20"/>
              </w:rPr>
              <w:t>Measures</w:t>
            </w:r>
          </w:p>
        </w:tc>
        <w:tc>
          <w:tcPr>
            <w:tcW w:w="4257" w:type="dxa"/>
            <w:tcBorders>
              <w:top w:val="single" w:sz="4" w:space="0" w:color="000000"/>
              <w:right w:val="single" w:sz="4" w:space="0" w:color="000000"/>
            </w:tcBorders>
          </w:tcPr>
          <w:p w14:paraId="51DE8242" w14:textId="77777777" w:rsidR="0010369C" w:rsidRDefault="008E43AE">
            <w:pPr>
              <w:pStyle w:val="TableParagraph"/>
              <w:spacing w:before="19"/>
              <w:ind w:left="-4"/>
            </w:pPr>
            <w:r>
              <w:t>mation</w:t>
            </w:r>
            <w:r>
              <w:rPr>
                <w:spacing w:val="-5"/>
              </w:rPr>
              <w:t xml:space="preserve"> </w:t>
            </w:r>
            <w:r>
              <w:t>‐</w:t>
            </w:r>
            <w:r>
              <w:rPr>
                <w:spacing w:val="-5"/>
              </w:rPr>
              <w:t xml:space="preserve"> </w:t>
            </w:r>
            <w:r>
              <w:rPr>
                <w:spacing w:val="-2"/>
              </w:rPr>
              <w:t>REDACTED</w:t>
            </w:r>
          </w:p>
          <w:p w14:paraId="51DE8243" w14:textId="77777777" w:rsidR="0010369C" w:rsidRDefault="008E43AE">
            <w:pPr>
              <w:pStyle w:val="TableParagraph"/>
              <w:spacing w:before="28" w:line="243" w:lineRule="exact"/>
              <w:ind w:left="1336"/>
              <w:rPr>
                <w:sz w:val="20"/>
              </w:rPr>
            </w:pPr>
            <w:r>
              <w:rPr>
                <w:sz w:val="20"/>
              </w:rPr>
              <w:t>Australia's</w:t>
            </w:r>
            <w:r>
              <w:rPr>
                <w:spacing w:val="-5"/>
                <w:sz w:val="20"/>
              </w:rPr>
              <w:t xml:space="preserve"> </w:t>
            </w:r>
            <w:r>
              <w:rPr>
                <w:sz w:val="20"/>
              </w:rPr>
              <w:t>First</w:t>
            </w:r>
            <w:r>
              <w:rPr>
                <w:spacing w:val="-2"/>
                <w:sz w:val="20"/>
              </w:rPr>
              <w:t xml:space="preserve"> </w:t>
            </w:r>
            <w:r>
              <w:rPr>
                <w:sz w:val="20"/>
              </w:rPr>
              <w:t>Written</w:t>
            </w:r>
            <w:r>
              <w:rPr>
                <w:spacing w:val="-2"/>
                <w:sz w:val="20"/>
              </w:rPr>
              <w:t xml:space="preserve"> Submission</w:t>
            </w:r>
          </w:p>
        </w:tc>
      </w:tr>
      <w:tr w:rsidR="0010369C" w14:paraId="51DE8247" w14:textId="77777777">
        <w:trPr>
          <w:trHeight w:val="263"/>
        </w:trPr>
        <w:tc>
          <w:tcPr>
            <w:tcW w:w="4965" w:type="dxa"/>
          </w:tcPr>
          <w:p w14:paraId="51DE8245" w14:textId="77777777" w:rsidR="0010369C" w:rsidRDefault="008E43AE">
            <w:pPr>
              <w:pStyle w:val="TableParagraph"/>
              <w:spacing w:line="226" w:lineRule="exact"/>
              <w:ind w:left="119"/>
              <w:rPr>
                <w:sz w:val="20"/>
              </w:rPr>
            </w:pPr>
            <w:r>
              <w:rPr>
                <w:i/>
                <w:sz w:val="20"/>
              </w:rPr>
              <w:t>on</w:t>
            </w:r>
            <w:r>
              <w:rPr>
                <w:i/>
                <w:spacing w:val="-1"/>
                <w:sz w:val="20"/>
              </w:rPr>
              <w:t xml:space="preserve"> </w:t>
            </w:r>
            <w:r>
              <w:rPr>
                <w:i/>
                <w:sz w:val="20"/>
              </w:rPr>
              <w:t>Wine</w:t>
            </w:r>
            <w:r>
              <w:rPr>
                <w:i/>
                <w:spacing w:val="-1"/>
                <w:sz w:val="20"/>
              </w:rPr>
              <w:t xml:space="preserve"> </w:t>
            </w:r>
            <w:r>
              <w:rPr>
                <w:i/>
                <w:sz w:val="20"/>
              </w:rPr>
              <w:t>from</w:t>
            </w:r>
            <w:r>
              <w:rPr>
                <w:i/>
                <w:spacing w:val="-3"/>
                <w:sz w:val="20"/>
              </w:rPr>
              <w:t xml:space="preserve"> </w:t>
            </w:r>
            <w:r>
              <w:rPr>
                <w:i/>
                <w:sz w:val="20"/>
              </w:rPr>
              <w:t>Australia</w:t>
            </w:r>
            <w:r>
              <w:rPr>
                <w:i/>
                <w:spacing w:val="-1"/>
                <w:sz w:val="20"/>
              </w:rPr>
              <w:t xml:space="preserve"> </w:t>
            </w:r>
            <w:r>
              <w:rPr>
                <w:spacing w:val="-2"/>
                <w:sz w:val="20"/>
              </w:rPr>
              <w:t>(DS602)</w:t>
            </w:r>
          </w:p>
        </w:tc>
        <w:tc>
          <w:tcPr>
            <w:tcW w:w="4257" w:type="dxa"/>
          </w:tcPr>
          <w:p w14:paraId="51DE8246" w14:textId="77777777" w:rsidR="0010369C" w:rsidRDefault="008E43AE">
            <w:pPr>
              <w:pStyle w:val="TableParagraph"/>
              <w:spacing w:line="226" w:lineRule="exact"/>
              <w:ind w:right="28"/>
              <w:jc w:val="right"/>
              <w:rPr>
                <w:sz w:val="20"/>
              </w:rPr>
            </w:pPr>
            <w:r>
              <w:rPr>
                <w:sz w:val="20"/>
              </w:rPr>
              <w:t>29</w:t>
            </w:r>
            <w:r>
              <w:rPr>
                <w:spacing w:val="-1"/>
                <w:sz w:val="20"/>
              </w:rPr>
              <w:t xml:space="preserve"> </w:t>
            </w:r>
            <w:r>
              <w:rPr>
                <w:sz w:val="20"/>
              </w:rPr>
              <w:t>April</w:t>
            </w:r>
            <w:r>
              <w:rPr>
                <w:spacing w:val="-2"/>
                <w:sz w:val="20"/>
              </w:rPr>
              <w:t xml:space="preserve"> </w:t>
            </w:r>
            <w:r>
              <w:rPr>
                <w:spacing w:val="-4"/>
                <w:sz w:val="20"/>
              </w:rPr>
              <w:t>2022</w:t>
            </w:r>
          </w:p>
        </w:tc>
      </w:tr>
      <w:tr w:rsidR="0010369C" w14:paraId="51DE8250" w14:textId="77777777">
        <w:trPr>
          <w:trHeight w:val="1199"/>
        </w:trPr>
        <w:tc>
          <w:tcPr>
            <w:tcW w:w="4965" w:type="dxa"/>
          </w:tcPr>
          <w:p w14:paraId="51DE8248" w14:textId="77777777" w:rsidR="0010369C" w:rsidRDefault="008E43AE">
            <w:pPr>
              <w:pStyle w:val="TableParagraph"/>
              <w:spacing w:line="291" w:lineRule="exact"/>
              <w:ind w:left="118" w:right="-29"/>
              <w:rPr>
                <w:sz w:val="24"/>
              </w:rPr>
            </w:pPr>
            <w:r>
              <w:rPr>
                <w:sz w:val="24"/>
              </w:rPr>
              <w:t>information</w:t>
            </w:r>
            <w:r>
              <w:rPr>
                <w:spacing w:val="49"/>
                <w:sz w:val="24"/>
              </w:rPr>
              <w:t xml:space="preserve"> </w:t>
            </w:r>
            <w:r>
              <w:rPr>
                <w:sz w:val="24"/>
              </w:rPr>
              <w:t>submitted</w:t>
            </w:r>
            <w:r>
              <w:rPr>
                <w:spacing w:val="49"/>
                <w:sz w:val="24"/>
              </w:rPr>
              <w:t xml:space="preserve"> </w:t>
            </w:r>
            <w:r>
              <w:rPr>
                <w:sz w:val="24"/>
              </w:rPr>
              <w:t>by</w:t>
            </w:r>
            <w:r>
              <w:rPr>
                <w:spacing w:val="50"/>
                <w:sz w:val="24"/>
              </w:rPr>
              <w:t xml:space="preserve"> </w:t>
            </w:r>
            <w:r>
              <w:rPr>
                <w:sz w:val="24"/>
              </w:rPr>
              <w:t>Treasury</w:t>
            </w:r>
            <w:r>
              <w:rPr>
                <w:spacing w:val="51"/>
                <w:sz w:val="24"/>
              </w:rPr>
              <w:t xml:space="preserve"> </w:t>
            </w:r>
            <w:r>
              <w:rPr>
                <w:sz w:val="24"/>
              </w:rPr>
              <w:t>Wines.</w:t>
            </w:r>
            <w:r>
              <w:rPr>
                <w:sz w:val="24"/>
                <w:vertAlign w:val="superscript"/>
              </w:rPr>
              <w:t>222</w:t>
            </w:r>
            <w:r>
              <w:rPr>
                <w:spacing w:val="48"/>
                <w:sz w:val="24"/>
              </w:rPr>
              <w:t xml:space="preserve"> </w:t>
            </w:r>
            <w:r>
              <w:rPr>
                <w:spacing w:val="-5"/>
                <w:sz w:val="24"/>
              </w:rPr>
              <w:t>[[</w:t>
            </w:r>
          </w:p>
          <w:p w14:paraId="51DE8249" w14:textId="77777777" w:rsidR="0010369C" w:rsidRDefault="0010369C">
            <w:pPr>
              <w:pStyle w:val="TableParagraph"/>
              <w:rPr>
                <w:sz w:val="26"/>
              </w:rPr>
            </w:pPr>
          </w:p>
          <w:p w14:paraId="51DE824A" w14:textId="77777777" w:rsidR="0010369C" w:rsidRDefault="0010369C">
            <w:pPr>
              <w:pStyle w:val="TableParagraph"/>
              <w:spacing w:before="11"/>
              <w:rPr>
                <w:sz w:val="21"/>
              </w:rPr>
            </w:pPr>
          </w:p>
          <w:p w14:paraId="51DE824B" w14:textId="77777777" w:rsidR="0010369C" w:rsidRDefault="008E43AE">
            <w:pPr>
              <w:pStyle w:val="TableParagraph"/>
              <w:ind w:left="2618"/>
              <w:rPr>
                <w:sz w:val="24"/>
              </w:rPr>
            </w:pPr>
            <w:r>
              <w:rPr>
                <w:rFonts w:ascii="Times New Roman"/>
                <w:sz w:val="24"/>
              </w:rPr>
              <w:t>]]</w:t>
            </w:r>
            <w:r>
              <w:rPr>
                <w:rFonts w:ascii="Times New Roman"/>
                <w:spacing w:val="3"/>
                <w:sz w:val="24"/>
              </w:rPr>
              <w:t xml:space="preserve"> </w:t>
            </w:r>
            <w:r>
              <w:rPr>
                <w:sz w:val="24"/>
              </w:rPr>
              <w:t>The</w:t>
            </w:r>
            <w:r>
              <w:rPr>
                <w:spacing w:val="3"/>
                <w:sz w:val="24"/>
              </w:rPr>
              <w:t xml:space="preserve"> </w:t>
            </w:r>
            <w:r>
              <w:rPr>
                <w:sz w:val="24"/>
              </w:rPr>
              <w:t>information</w:t>
            </w:r>
            <w:r>
              <w:rPr>
                <w:spacing w:val="4"/>
                <w:sz w:val="24"/>
              </w:rPr>
              <w:t xml:space="preserve"> </w:t>
            </w:r>
            <w:r>
              <w:rPr>
                <w:spacing w:val="-5"/>
                <w:sz w:val="24"/>
              </w:rPr>
              <w:t>was</w:t>
            </w:r>
          </w:p>
        </w:tc>
        <w:tc>
          <w:tcPr>
            <w:tcW w:w="4257" w:type="dxa"/>
          </w:tcPr>
          <w:p w14:paraId="51DE824C" w14:textId="77777777" w:rsidR="0010369C" w:rsidRDefault="008E43AE">
            <w:pPr>
              <w:pStyle w:val="TableParagraph"/>
              <w:ind w:left="4"/>
              <w:rPr>
                <w:sz w:val="20"/>
              </w:rPr>
            </w:pPr>
            <w:r>
              <w:rPr>
                <w:sz w:val="20"/>
              </w:rPr>
            </w:r>
            <w:r>
              <w:rPr>
                <w:sz w:val="20"/>
              </w:rPr>
              <w:pict w14:anchorId="51DE9F9C">
                <v:group id="docshapegroup364" o:spid="_x0000_s1888" style="width:209.85pt;height:16.1pt;mso-position-horizontal-relative:char;mso-position-vertical-relative:line" coordsize="4197,322">
                  <v:rect id="docshape365" o:spid="_x0000_s1889" style="position:absolute;width:4197;height:322" fillcolor="black" stroked="f"/>
                  <w10:wrap type="none"/>
                  <w10:anchorlock/>
                </v:group>
              </w:pict>
            </w:r>
          </w:p>
          <w:p w14:paraId="51DE824D" w14:textId="77777777" w:rsidR="0010369C" w:rsidRDefault="0010369C">
            <w:pPr>
              <w:pStyle w:val="TableParagraph"/>
              <w:rPr>
                <w:sz w:val="24"/>
              </w:rPr>
            </w:pPr>
          </w:p>
          <w:p w14:paraId="51DE824E" w14:textId="77777777" w:rsidR="0010369C" w:rsidRDefault="0010369C">
            <w:pPr>
              <w:pStyle w:val="TableParagraph"/>
              <w:spacing w:before="8"/>
              <w:rPr>
                <w:sz w:val="18"/>
              </w:rPr>
            </w:pPr>
          </w:p>
          <w:p w14:paraId="51DE824F" w14:textId="77777777" w:rsidR="0010369C" w:rsidRDefault="008E43AE">
            <w:pPr>
              <w:pStyle w:val="TableParagraph"/>
              <w:ind w:right="32"/>
              <w:jc w:val="right"/>
              <w:rPr>
                <w:sz w:val="24"/>
              </w:rPr>
            </w:pPr>
            <w:r>
              <w:rPr>
                <w:sz w:val="24"/>
              </w:rPr>
              <w:t>appropriately</w:t>
            </w:r>
            <w:r>
              <w:rPr>
                <w:spacing w:val="1"/>
                <w:sz w:val="24"/>
              </w:rPr>
              <w:t xml:space="preserve"> </w:t>
            </w:r>
            <w:r>
              <w:rPr>
                <w:sz w:val="24"/>
              </w:rPr>
              <w:t>submitted</w:t>
            </w:r>
            <w:r>
              <w:rPr>
                <w:spacing w:val="2"/>
                <w:sz w:val="24"/>
              </w:rPr>
              <w:t xml:space="preserve"> </w:t>
            </w:r>
            <w:r>
              <w:rPr>
                <w:sz w:val="24"/>
              </w:rPr>
              <w:t>so</w:t>
            </w:r>
            <w:r>
              <w:rPr>
                <w:spacing w:val="1"/>
                <w:sz w:val="24"/>
              </w:rPr>
              <w:t xml:space="preserve"> </w:t>
            </w:r>
            <w:r>
              <w:rPr>
                <w:sz w:val="24"/>
              </w:rPr>
              <w:t>that</w:t>
            </w:r>
            <w:r>
              <w:rPr>
                <w:spacing w:val="2"/>
                <w:sz w:val="24"/>
              </w:rPr>
              <w:t xml:space="preserve"> </w:t>
            </w:r>
            <w:r>
              <w:rPr>
                <w:sz w:val="24"/>
              </w:rPr>
              <w:t>it</w:t>
            </w:r>
            <w:r>
              <w:rPr>
                <w:spacing w:val="2"/>
                <w:sz w:val="24"/>
              </w:rPr>
              <w:t xml:space="preserve"> </w:t>
            </w:r>
            <w:r>
              <w:rPr>
                <w:sz w:val="24"/>
              </w:rPr>
              <w:t>could</w:t>
            </w:r>
            <w:r>
              <w:rPr>
                <w:spacing w:val="1"/>
                <w:sz w:val="24"/>
              </w:rPr>
              <w:t xml:space="preserve"> </w:t>
            </w:r>
            <w:r>
              <w:rPr>
                <w:spacing w:val="-5"/>
                <w:sz w:val="24"/>
              </w:rPr>
              <w:t>be</w:t>
            </w:r>
          </w:p>
        </w:tc>
      </w:tr>
    </w:tbl>
    <w:p w14:paraId="51DE8251" w14:textId="77777777" w:rsidR="0010369C" w:rsidRDefault="0010369C">
      <w:pPr>
        <w:pStyle w:val="BodyText"/>
        <w:rPr>
          <w:sz w:val="6"/>
        </w:rPr>
      </w:pPr>
    </w:p>
    <w:p w14:paraId="51DE8252" w14:textId="77777777" w:rsidR="0010369C" w:rsidRDefault="008E43AE">
      <w:pPr>
        <w:pStyle w:val="BodyText"/>
        <w:spacing w:before="52" w:line="360" w:lineRule="auto"/>
        <w:ind w:left="237" w:right="614"/>
        <w:jc w:val="both"/>
      </w:pPr>
      <w:r>
        <w:pict w14:anchorId="51DE9F9D">
          <v:rect id="docshape366" o:spid="_x0000_s1887" style="position:absolute;left:0;text-align:left;margin-left:69.9pt;margin-top:-41.2pt;width:453.45pt;height:16.05pt;z-index:-251396608;mso-position-horizontal-relative:page" fillcolor="black" stroked="f">
            <w10:wrap anchorx="page"/>
          </v:rect>
        </w:pict>
      </w:r>
      <w:r>
        <w:pict w14:anchorId="51DE9F9E">
          <v:shape id="docshape367" o:spid="_x0000_s1886" style="position:absolute;left:0;text-align:left;margin-left:69.9pt;margin-top:-19.4pt;width:125pt;height:16.25pt;z-index:-251395584;mso-position-horizontal-relative:page" coordorigin="1398,-388" coordsize="2500,325" path="m3898,-388r-2500,3l1398,-64r2500,l3898,-388xe" fillcolor="black" stroked="f">
            <v:path arrowok="t"/>
            <w10:wrap anchorx="page"/>
          </v:shape>
        </w:pict>
      </w:r>
      <w:r>
        <w:pict w14:anchorId="51DE9F9F">
          <v:rect id="docshape368" o:spid="_x0000_s1885" style="position:absolute;left:0;text-align:left;margin-left:65pt;margin-top:-89.95pt;width:461.4pt;height:.5pt;z-index:-251394560;mso-position-horizontal-relative:page" fillcolor="black" stroked="f">
            <w10:wrap anchorx="page"/>
          </v:rect>
        </w:pict>
      </w:r>
      <w:r>
        <w:t>used</w:t>
      </w:r>
      <w:r>
        <w:rPr>
          <w:spacing w:val="-12"/>
        </w:rPr>
        <w:t xml:space="preserve"> </w:t>
      </w:r>
      <w:r>
        <w:t>without</w:t>
      </w:r>
      <w:r>
        <w:rPr>
          <w:spacing w:val="-13"/>
        </w:rPr>
        <w:t xml:space="preserve"> </w:t>
      </w:r>
      <w:r>
        <w:t>undue</w:t>
      </w:r>
      <w:r>
        <w:rPr>
          <w:spacing w:val="-11"/>
        </w:rPr>
        <w:t xml:space="preserve"> </w:t>
      </w:r>
      <w:r>
        <w:t>difficulties.</w:t>
      </w:r>
      <w:r>
        <w:rPr>
          <w:spacing w:val="-11"/>
        </w:rPr>
        <w:t xml:space="preserve"> </w:t>
      </w:r>
      <w:r>
        <w:t>There</w:t>
      </w:r>
      <w:r>
        <w:rPr>
          <w:spacing w:val="-12"/>
        </w:rPr>
        <w:t xml:space="preserve"> </w:t>
      </w:r>
      <w:r>
        <w:t>is</w:t>
      </w:r>
      <w:r>
        <w:rPr>
          <w:spacing w:val="-13"/>
        </w:rPr>
        <w:t xml:space="preserve"> </w:t>
      </w:r>
      <w:r>
        <w:t>no</w:t>
      </w:r>
      <w:r>
        <w:rPr>
          <w:spacing w:val="-12"/>
        </w:rPr>
        <w:t xml:space="preserve"> </w:t>
      </w:r>
      <w:r>
        <w:t>evidence</w:t>
      </w:r>
      <w:r>
        <w:rPr>
          <w:spacing w:val="-13"/>
        </w:rPr>
        <w:t xml:space="preserve"> </w:t>
      </w:r>
      <w:r>
        <w:t>on</w:t>
      </w:r>
      <w:r>
        <w:rPr>
          <w:spacing w:val="-12"/>
        </w:rPr>
        <w:t xml:space="preserve"> </w:t>
      </w:r>
      <w:r>
        <w:t>the</w:t>
      </w:r>
      <w:r>
        <w:rPr>
          <w:spacing w:val="-12"/>
        </w:rPr>
        <w:t xml:space="preserve"> </w:t>
      </w:r>
      <w:r>
        <w:t>record</w:t>
      </w:r>
      <w:r>
        <w:rPr>
          <w:spacing w:val="-13"/>
        </w:rPr>
        <w:t xml:space="preserve"> </w:t>
      </w:r>
      <w:r>
        <w:t>to</w:t>
      </w:r>
      <w:r>
        <w:rPr>
          <w:spacing w:val="-12"/>
        </w:rPr>
        <w:t xml:space="preserve"> </w:t>
      </w:r>
      <w:r>
        <w:t>indicate</w:t>
      </w:r>
      <w:r>
        <w:rPr>
          <w:spacing w:val="-11"/>
        </w:rPr>
        <w:t xml:space="preserve"> </w:t>
      </w:r>
      <w:r>
        <w:t>to</w:t>
      </w:r>
      <w:r>
        <w:rPr>
          <w:spacing w:val="-12"/>
        </w:rPr>
        <w:t xml:space="preserve"> </w:t>
      </w:r>
      <w:r>
        <w:t>the</w:t>
      </w:r>
      <w:r>
        <w:rPr>
          <w:spacing w:val="-12"/>
        </w:rPr>
        <w:t xml:space="preserve"> </w:t>
      </w:r>
      <w:r>
        <w:t>contrary. If MOFCOM was not able to use the information submitted without experiencing "undue difficulties", it was incumbent on MOFCOM to provide an explanation of the problem.</w:t>
      </w:r>
      <w:r>
        <w:rPr>
          <w:vertAlign w:val="superscript"/>
        </w:rPr>
        <w:t>223</w:t>
      </w:r>
      <w:r>
        <w:t xml:space="preserve"> MOFCOM did not do so.</w:t>
      </w:r>
    </w:p>
    <w:p w14:paraId="51DE8253" w14:textId="77777777" w:rsidR="0010369C" w:rsidRDefault="008E43AE">
      <w:pPr>
        <w:pStyle w:val="BodyText"/>
        <w:spacing w:before="160" w:line="360" w:lineRule="auto"/>
        <w:ind w:left="237" w:right="616" w:firstLine="851"/>
        <w:jc w:val="both"/>
      </w:pPr>
      <w:r>
        <w:rPr>
          <w:noProof/>
        </w:rPr>
        <w:drawing>
          <wp:anchor distT="0" distB="0" distL="0" distR="0" simplePos="0" relativeHeight="250873344" behindDoc="1" locked="0" layoutInCell="1" allowOverlap="1" wp14:anchorId="51DE9FA0" wp14:editId="51DE9FA1">
            <wp:simplePos x="0" y="0"/>
            <wp:positionH relativeFrom="page">
              <wp:posOffset>905255</wp:posOffset>
            </wp:positionH>
            <wp:positionV relativeFrom="paragraph">
              <wp:posOffset>149175</wp:posOffset>
            </wp:positionV>
            <wp:extent cx="259079" cy="103631"/>
            <wp:effectExtent l="0" t="0" r="0" b="0"/>
            <wp:wrapNone/>
            <wp:docPr id="401" name="image2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 name="image209.png"/>
                    <pic:cNvPicPr/>
                  </pic:nvPicPr>
                  <pic:blipFill>
                    <a:blip r:embed="rId303" cstate="print"/>
                    <a:stretch>
                      <a:fillRect/>
                    </a:stretch>
                  </pic:blipFill>
                  <pic:spPr>
                    <a:xfrm>
                      <a:off x="0" y="0"/>
                      <a:ext cx="259079" cy="103631"/>
                    </a:xfrm>
                    <a:prstGeom prst="rect">
                      <a:avLst/>
                    </a:prstGeom>
                  </pic:spPr>
                </pic:pic>
              </a:graphicData>
            </a:graphic>
          </wp:anchor>
        </w:drawing>
      </w:r>
      <w:r>
        <w:t>Treasury Wines also acted to the best of its ability</w:t>
      </w:r>
      <w:r>
        <w:t xml:space="preserve"> to provide the information to MOFCOM</w:t>
      </w:r>
      <w:r>
        <w:rPr>
          <w:spacing w:val="-13"/>
        </w:rPr>
        <w:t xml:space="preserve"> </w:t>
      </w:r>
      <w:r>
        <w:t>and,</w:t>
      </w:r>
      <w:r>
        <w:rPr>
          <w:spacing w:val="-13"/>
        </w:rPr>
        <w:t xml:space="preserve"> </w:t>
      </w:r>
      <w:r>
        <w:t>even</w:t>
      </w:r>
      <w:r>
        <w:rPr>
          <w:spacing w:val="-14"/>
        </w:rPr>
        <w:t xml:space="preserve"> </w:t>
      </w:r>
      <w:r>
        <w:t>if</w:t>
      </w:r>
      <w:r>
        <w:rPr>
          <w:spacing w:val="-13"/>
        </w:rPr>
        <w:t xml:space="preserve"> </w:t>
      </w:r>
      <w:r>
        <w:t>the</w:t>
      </w:r>
      <w:r>
        <w:rPr>
          <w:spacing w:val="-13"/>
        </w:rPr>
        <w:t xml:space="preserve"> </w:t>
      </w:r>
      <w:r>
        <w:t>information</w:t>
      </w:r>
      <w:r>
        <w:rPr>
          <w:spacing w:val="-13"/>
        </w:rPr>
        <w:t xml:space="preserve"> </w:t>
      </w:r>
      <w:r>
        <w:t>was</w:t>
      </w:r>
      <w:r>
        <w:rPr>
          <w:spacing w:val="-14"/>
        </w:rPr>
        <w:t xml:space="preserve"> </w:t>
      </w:r>
      <w:r>
        <w:t>not</w:t>
      </w:r>
      <w:r>
        <w:rPr>
          <w:spacing w:val="-12"/>
        </w:rPr>
        <w:t xml:space="preserve"> </w:t>
      </w:r>
      <w:r>
        <w:t>ideal</w:t>
      </w:r>
      <w:r>
        <w:rPr>
          <w:spacing w:val="-13"/>
        </w:rPr>
        <w:t xml:space="preserve"> </w:t>
      </w:r>
      <w:r>
        <w:t>in</w:t>
      </w:r>
      <w:r>
        <w:rPr>
          <w:spacing w:val="-14"/>
        </w:rPr>
        <w:t xml:space="preserve"> </w:t>
      </w:r>
      <w:r>
        <w:t>all</w:t>
      </w:r>
      <w:r>
        <w:rPr>
          <w:spacing w:val="-13"/>
        </w:rPr>
        <w:t xml:space="preserve"> </w:t>
      </w:r>
      <w:r>
        <w:t>respects,</w:t>
      </w:r>
      <w:r>
        <w:rPr>
          <w:spacing w:val="-14"/>
        </w:rPr>
        <w:t xml:space="preserve"> </w:t>
      </w:r>
      <w:r>
        <w:t>MOFCOM</w:t>
      </w:r>
      <w:r>
        <w:rPr>
          <w:spacing w:val="-12"/>
        </w:rPr>
        <w:t xml:space="preserve"> </w:t>
      </w:r>
      <w:r>
        <w:t>was</w:t>
      </w:r>
      <w:r>
        <w:rPr>
          <w:spacing w:val="-14"/>
        </w:rPr>
        <w:t xml:space="preserve"> </w:t>
      </w:r>
      <w:r>
        <w:t>not</w:t>
      </w:r>
      <w:r>
        <w:rPr>
          <w:spacing w:val="-12"/>
        </w:rPr>
        <w:t xml:space="preserve"> </w:t>
      </w:r>
      <w:r>
        <w:t>justified in rejecting it as per paragraph 5 of Annex II.</w:t>
      </w:r>
    </w:p>
    <w:p w14:paraId="51DE8254" w14:textId="77777777" w:rsidR="0010369C" w:rsidRDefault="008E43AE">
      <w:pPr>
        <w:pStyle w:val="BodyText"/>
        <w:spacing w:before="160" w:after="3" w:line="360" w:lineRule="auto"/>
        <w:ind w:left="237" w:right="614" w:firstLine="852"/>
        <w:jc w:val="both"/>
      </w:pPr>
      <w:r>
        <w:rPr>
          <w:noProof/>
        </w:rPr>
        <w:drawing>
          <wp:anchor distT="0" distB="0" distL="0" distR="0" simplePos="0" relativeHeight="250874368" behindDoc="1" locked="0" layoutInCell="1" allowOverlap="1" wp14:anchorId="51DE9FA2" wp14:editId="51DE9FA3">
            <wp:simplePos x="0" y="0"/>
            <wp:positionH relativeFrom="page">
              <wp:posOffset>905255</wp:posOffset>
            </wp:positionH>
            <wp:positionV relativeFrom="paragraph">
              <wp:posOffset>149175</wp:posOffset>
            </wp:positionV>
            <wp:extent cx="259079" cy="103631"/>
            <wp:effectExtent l="0" t="0" r="0" b="0"/>
            <wp:wrapNone/>
            <wp:docPr id="403" name="image2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 name="image210.png"/>
                    <pic:cNvPicPr/>
                  </pic:nvPicPr>
                  <pic:blipFill>
                    <a:blip r:embed="rId304" cstate="print"/>
                    <a:stretch>
                      <a:fillRect/>
                    </a:stretch>
                  </pic:blipFill>
                  <pic:spPr>
                    <a:xfrm>
                      <a:off x="0" y="0"/>
                      <a:ext cx="259079" cy="103631"/>
                    </a:xfrm>
                    <a:prstGeom prst="rect">
                      <a:avLst/>
                    </a:prstGeom>
                  </pic:spPr>
                </pic:pic>
              </a:graphicData>
            </a:graphic>
          </wp:anchor>
        </w:drawing>
      </w:r>
      <w:r>
        <w:t>MOFCOM otherwise sought no further explanations or information from Treasury Wines</w:t>
      </w:r>
      <w:r>
        <w:rPr>
          <w:spacing w:val="-14"/>
        </w:rPr>
        <w:t xml:space="preserve"> </w:t>
      </w:r>
      <w:r>
        <w:t>r</w:t>
      </w:r>
      <w:r>
        <w:t>elating</w:t>
      </w:r>
      <w:r>
        <w:rPr>
          <w:spacing w:val="-13"/>
        </w:rPr>
        <w:t xml:space="preserve"> </w:t>
      </w:r>
      <w:r>
        <w:t>to</w:t>
      </w:r>
      <w:r>
        <w:rPr>
          <w:spacing w:val="-13"/>
        </w:rPr>
        <w:t xml:space="preserve"> </w:t>
      </w:r>
      <w:r>
        <w:t>the</w:t>
      </w:r>
      <w:r>
        <w:rPr>
          <w:spacing w:val="-13"/>
        </w:rPr>
        <w:t xml:space="preserve"> </w:t>
      </w:r>
      <w:r>
        <w:t>alleged</w:t>
      </w:r>
      <w:r>
        <w:rPr>
          <w:spacing w:val="-14"/>
        </w:rPr>
        <w:t xml:space="preserve"> </w:t>
      </w:r>
      <w:r>
        <w:t>deficiencies</w:t>
      </w:r>
      <w:r>
        <w:rPr>
          <w:spacing w:val="-13"/>
        </w:rPr>
        <w:t xml:space="preserve"> </w:t>
      </w:r>
      <w:r>
        <w:t>in</w:t>
      </w:r>
      <w:r>
        <w:rPr>
          <w:spacing w:val="-14"/>
        </w:rPr>
        <w:t xml:space="preserve"> </w:t>
      </w:r>
      <w:r>
        <w:t>Form</w:t>
      </w:r>
      <w:r>
        <w:rPr>
          <w:spacing w:val="-12"/>
        </w:rPr>
        <w:t xml:space="preserve"> </w:t>
      </w:r>
      <w:r>
        <w:t>6‐4</w:t>
      </w:r>
      <w:r>
        <w:rPr>
          <w:spacing w:val="-13"/>
        </w:rPr>
        <w:t xml:space="preserve"> </w:t>
      </w:r>
      <w:r>
        <w:t>after</w:t>
      </w:r>
      <w:r>
        <w:rPr>
          <w:spacing w:val="-13"/>
        </w:rPr>
        <w:t xml:space="preserve"> </w:t>
      </w:r>
      <w:r>
        <w:t>receiving</w:t>
      </w:r>
      <w:r>
        <w:rPr>
          <w:spacing w:val="-14"/>
        </w:rPr>
        <w:t xml:space="preserve"> </w:t>
      </w:r>
      <w:r>
        <w:t>Treasury</w:t>
      </w:r>
      <w:r>
        <w:rPr>
          <w:spacing w:val="-12"/>
        </w:rPr>
        <w:t xml:space="preserve"> </w:t>
      </w:r>
      <w:r>
        <w:t>Wines'</w:t>
      </w:r>
      <w:r>
        <w:rPr>
          <w:spacing w:val="-14"/>
        </w:rPr>
        <w:t xml:space="preserve"> </w:t>
      </w:r>
      <w:r>
        <w:t>response to its Preliminary Determination, including as part of its further "review" of Treasury Wines' "products</w:t>
      </w:r>
      <w:r>
        <w:rPr>
          <w:spacing w:val="47"/>
        </w:rPr>
        <w:t xml:space="preserve"> </w:t>
      </w:r>
      <w:r>
        <w:t>by</w:t>
      </w:r>
      <w:r>
        <w:rPr>
          <w:spacing w:val="49"/>
        </w:rPr>
        <w:t xml:space="preserve"> </w:t>
      </w:r>
      <w:r>
        <w:t>type".</w:t>
      </w:r>
      <w:r>
        <w:rPr>
          <w:vertAlign w:val="superscript"/>
        </w:rPr>
        <w:t>224</w:t>
      </w:r>
      <w:r>
        <w:rPr>
          <w:spacing w:val="48"/>
        </w:rPr>
        <w:t xml:space="preserve"> </w:t>
      </w:r>
      <w:r>
        <w:t>MOFCOM</w:t>
      </w:r>
      <w:r>
        <w:rPr>
          <w:spacing w:val="49"/>
        </w:rPr>
        <w:t xml:space="preserve"> </w:t>
      </w:r>
      <w:r>
        <w:t>did</w:t>
      </w:r>
      <w:r>
        <w:rPr>
          <w:spacing w:val="48"/>
        </w:rPr>
        <w:t xml:space="preserve"> </w:t>
      </w:r>
      <w:r>
        <w:t>request</w:t>
      </w:r>
      <w:r>
        <w:rPr>
          <w:spacing w:val="48"/>
        </w:rPr>
        <w:t xml:space="preserve"> </w:t>
      </w:r>
      <w:r>
        <w:t>clarifications</w:t>
      </w:r>
      <w:r>
        <w:rPr>
          <w:spacing w:val="46"/>
        </w:rPr>
        <w:t xml:space="preserve"> </w:t>
      </w:r>
      <w:r>
        <w:t>in</w:t>
      </w:r>
      <w:r>
        <w:rPr>
          <w:spacing w:val="48"/>
        </w:rPr>
        <w:t xml:space="preserve"> </w:t>
      </w:r>
      <w:r>
        <w:t>respect</w:t>
      </w:r>
      <w:r>
        <w:rPr>
          <w:spacing w:val="47"/>
        </w:rPr>
        <w:t xml:space="preserve"> </w:t>
      </w:r>
      <w:r>
        <w:t>of</w:t>
      </w:r>
      <w:r>
        <w:rPr>
          <w:spacing w:val="48"/>
        </w:rPr>
        <w:t xml:space="preserve"> </w:t>
      </w:r>
      <w:r>
        <w:t>Form</w:t>
      </w:r>
      <w:r>
        <w:rPr>
          <w:spacing w:val="50"/>
        </w:rPr>
        <w:t xml:space="preserve"> </w:t>
      </w:r>
      <w:r>
        <w:t>6‐4</w:t>
      </w:r>
      <w:r>
        <w:rPr>
          <w:spacing w:val="48"/>
        </w:rPr>
        <w:t xml:space="preserve"> </w:t>
      </w:r>
      <w:r>
        <w:t>in</w:t>
      </w:r>
      <w:r>
        <w:rPr>
          <w:spacing w:val="48"/>
        </w:rPr>
        <w:t xml:space="preserve"> </w:t>
      </w:r>
      <w:r>
        <w:rPr>
          <w:spacing w:val="-5"/>
        </w:rPr>
        <w:t>its</w:t>
      </w:r>
    </w:p>
    <w:tbl>
      <w:tblPr>
        <w:tblW w:w="0" w:type="auto"/>
        <w:tblInd w:w="225" w:type="dxa"/>
        <w:tblBorders>
          <w:top w:val="single" w:sz="48" w:space="0" w:color="FFFFFF"/>
          <w:left w:val="single" w:sz="48" w:space="0" w:color="FFFFFF"/>
          <w:bottom w:val="single" w:sz="48" w:space="0" w:color="FFFFFF"/>
          <w:right w:val="single" w:sz="48" w:space="0" w:color="FFFFFF"/>
          <w:insideH w:val="single" w:sz="48" w:space="0" w:color="FFFFFF"/>
          <w:insideV w:val="single" w:sz="48" w:space="0" w:color="FFFFFF"/>
        </w:tblBorders>
        <w:tblLayout w:type="fixed"/>
        <w:tblCellMar>
          <w:left w:w="0" w:type="dxa"/>
          <w:right w:w="0" w:type="dxa"/>
        </w:tblCellMar>
        <w:tblLook w:val="01E0" w:firstRow="1" w:lastRow="1" w:firstColumn="1" w:lastColumn="1" w:noHBand="0" w:noVBand="0"/>
      </w:tblPr>
      <w:tblGrid>
        <w:gridCol w:w="2792"/>
        <w:gridCol w:w="651"/>
        <w:gridCol w:w="1122"/>
        <w:gridCol w:w="1333"/>
        <w:gridCol w:w="3172"/>
      </w:tblGrid>
      <w:tr w:rsidR="0010369C" w14:paraId="51DE8257" w14:textId="77777777">
        <w:trPr>
          <w:trHeight w:val="320"/>
        </w:trPr>
        <w:tc>
          <w:tcPr>
            <w:tcW w:w="3443" w:type="dxa"/>
            <w:gridSpan w:val="2"/>
            <w:tcBorders>
              <w:top w:val="nil"/>
              <w:left w:val="nil"/>
              <w:right w:val="nil"/>
            </w:tcBorders>
          </w:tcPr>
          <w:p w14:paraId="51DE8255" w14:textId="77777777" w:rsidR="0010369C" w:rsidRDefault="008E43AE">
            <w:pPr>
              <w:pStyle w:val="TableParagraph"/>
              <w:spacing w:line="291" w:lineRule="exact"/>
              <w:ind w:left="18" w:right="-29"/>
              <w:rPr>
                <w:sz w:val="24"/>
              </w:rPr>
            </w:pPr>
            <w:r>
              <w:rPr>
                <w:sz w:val="24"/>
              </w:rPr>
              <w:t>Supplementary</w:t>
            </w:r>
            <w:r>
              <w:rPr>
                <w:spacing w:val="28"/>
                <w:sz w:val="24"/>
              </w:rPr>
              <w:t xml:space="preserve">  </w:t>
            </w:r>
            <w:r>
              <w:rPr>
                <w:sz w:val="24"/>
              </w:rPr>
              <w:t>Questionnaire.</w:t>
            </w:r>
            <w:r>
              <w:rPr>
                <w:spacing w:val="28"/>
                <w:sz w:val="24"/>
              </w:rPr>
              <w:t xml:space="preserve">  </w:t>
            </w:r>
            <w:r>
              <w:rPr>
                <w:spacing w:val="-5"/>
                <w:sz w:val="24"/>
              </w:rPr>
              <w:t>[[</w:t>
            </w:r>
          </w:p>
        </w:tc>
        <w:tc>
          <w:tcPr>
            <w:tcW w:w="5627" w:type="dxa"/>
            <w:gridSpan w:val="3"/>
            <w:tcBorders>
              <w:top w:val="nil"/>
              <w:left w:val="nil"/>
              <w:right w:val="nil"/>
            </w:tcBorders>
            <w:shd w:val="clear" w:color="auto" w:fill="000000"/>
          </w:tcPr>
          <w:p w14:paraId="51DE8256" w14:textId="77777777" w:rsidR="0010369C" w:rsidRDefault="0010369C">
            <w:pPr>
              <w:pStyle w:val="TableParagraph"/>
              <w:rPr>
                <w:rFonts w:ascii="Times New Roman"/>
              </w:rPr>
            </w:pPr>
          </w:p>
        </w:tc>
      </w:tr>
      <w:tr w:rsidR="0010369C" w14:paraId="51DE8259" w14:textId="77777777">
        <w:trPr>
          <w:trHeight w:val="319"/>
        </w:trPr>
        <w:tc>
          <w:tcPr>
            <w:tcW w:w="9070" w:type="dxa"/>
            <w:gridSpan w:val="5"/>
            <w:tcBorders>
              <w:left w:val="nil"/>
              <w:right w:val="nil"/>
            </w:tcBorders>
            <w:shd w:val="clear" w:color="auto" w:fill="000000"/>
          </w:tcPr>
          <w:p w14:paraId="51DE8258" w14:textId="77777777" w:rsidR="0010369C" w:rsidRDefault="0010369C">
            <w:pPr>
              <w:pStyle w:val="TableParagraph"/>
              <w:rPr>
                <w:rFonts w:ascii="Times New Roman"/>
              </w:rPr>
            </w:pPr>
          </w:p>
        </w:tc>
      </w:tr>
      <w:tr w:rsidR="0010369C" w14:paraId="51DE825B" w14:textId="77777777">
        <w:trPr>
          <w:trHeight w:val="319"/>
        </w:trPr>
        <w:tc>
          <w:tcPr>
            <w:tcW w:w="9070" w:type="dxa"/>
            <w:gridSpan w:val="5"/>
            <w:tcBorders>
              <w:left w:val="nil"/>
              <w:right w:val="nil"/>
            </w:tcBorders>
            <w:shd w:val="clear" w:color="auto" w:fill="000000"/>
          </w:tcPr>
          <w:p w14:paraId="51DE825A" w14:textId="77777777" w:rsidR="0010369C" w:rsidRDefault="0010369C">
            <w:pPr>
              <w:pStyle w:val="TableParagraph"/>
              <w:rPr>
                <w:rFonts w:ascii="Times New Roman"/>
              </w:rPr>
            </w:pPr>
          </w:p>
        </w:tc>
      </w:tr>
      <w:tr w:rsidR="0010369C" w14:paraId="51DE825E" w14:textId="77777777">
        <w:trPr>
          <w:trHeight w:val="319"/>
        </w:trPr>
        <w:tc>
          <w:tcPr>
            <w:tcW w:w="5898" w:type="dxa"/>
            <w:gridSpan w:val="4"/>
            <w:tcBorders>
              <w:left w:val="nil"/>
              <w:right w:val="single" w:sz="24" w:space="0" w:color="FFFFFF"/>
            </w:tcBorders>
            <w:shd w:val="clear" w:color="auto" w:fill="000000"/>
          </w:tcPr>
          <w:p w14:paraId="51DE825C" w14:textId="77777777" w:rsidR="0010369C" w:rsidRDefault="0010369C">
            <w:pPr>
              <w:pStyle w:val="TableParagraph"/>
              <w:rPr>
                <w:rFonts w:ascii="Times New Roman"/>
              </w:rPr>
            </w:pPr>
          </w:p>
        </w:tc>
        <w:tc>
          <w:tcPr>
            <w:tcW w:w="3172" w:type="dxa"/>
            <w:tcBorders>
              <w:left w:val="single" w:sz="24" w:space="0" w:color="FFFFFF"/>
              <w:right w:val="nil"/>
            </w:tcBorders>
            <w:shd w:val="clear" w:color="auto" w:fill="000000"/>
          </w:tcPr>
          <w:p w14:paraId="51DE825D" w14:textId="77777777" w:rsidR="0010369C" w:rsidRDefault="0010369C">
            <w:pPr>
              <w:pStyle w:val="TableParagraph"/>
              <w:rPr>
                <w:rFonts w:ascii="Times New Roman"/>
              </w:rPr>
            </w:pPr>
          </w:p>
        </w:tc>
      </w:tr>
      <w:tr w:rsidR="0010369C" w14:paraId="51DE8260" w14:textId="77777777">
        <w:trPr>
          <w:trHeight w:val="319"/>
        </w:trPr>
        <w:tc>
          <w:tcPr>
            <w:tcW w:w="9070" w:type="dxa"/>
            <w:gridSpan w:val="5"/>
            <w:tcBorders>
              <w:left w:val="nil"/>
              <w:right w:val="nil"/>
            </w:tcBorders>
            <w:shd w:val="clear" w:color="auto" w:fill="000000"/>
          </w:tcPr>
          <w:p w14:paraId="51DE825F" w14:textId="77777777" w:rsidR="0010369C" w:rsidRDefault="0010369C">
            <w:pPr>
              <w:pStyle w:val="TableParagraph"/>
              <w:rPr>
                <w:rFonts w:ascii="Times New Roman"/>
              </w:rPr>
            </w:pPr>
          </w:p>
        </w:tc>
      </w:tr>
      <w:tr w:rsidR="0010369C" w14:paraId="51DE8262" w14:textId="77777777">
        <w:trPr>
          <w:trHeight w:val="319"/>
        </w:trPr>
        <w:tc>
          <w:tcPr>
            <w:tcW w:w="9070" w:type="dxa"/>
            <w:gridSpan w:val="5"/>
            <w:tcBorders>
              <w:left w:val="nil"/>
              <w:right w:val="nil"/>
            </w:tcBorders>
            <w:shd w:val="clear" w:color="auto" w:fill="000000"/>
          </w:tcPr>
          <w:p w14:paraId="51DE8261" w14:textId="77777777" w:rsidR="0010369C" w:rsidRDefault="0010369C">
            <w:pPr>
              <w:pStyle w:val="TableParagraph"/>
              <w:rPr>
                <w:rFonts w:ascii="Times New Roman"/>
              </w:rPr>
            </w:pPr>
          </w:p>
        </w:tc>
      </w:tr>
      <w:tr w:rsidR="0010369C" w14:paraId="51DE8264" w14:textId="77777777">
        <w:trPr>
          <w:trHeight w:val="319"/>
        </w:trPr>
        <w:tc>
          <w:tcPr>
            <w:tcW w:w="9070" w:type="dxa"/>
            <w:gridSpan w:val="5"/>
            <w:tcBorders>
              <w:left w:val="nil"/>
              <w:right w:val="nil"/>
            </w:tcBorders>
            <w:shd w:val="clear" w:color="auto" w:fill="000000"/>
          </w:tcPr>
          <w:p w14:paraId="51DE8263" w14:textId="77777777" w:rsidR="0010369C" w:rsidRDefault="0010369C">
            <w:pPr>
              <w:pStyle w:val="TableParagraph"/>
              <w:rPr>
                <w:rFonts w:ascii="Times New Roman"/>
              </w:rPr>
            </w:pPr>
          </w:p>
        </w:tc>
      </w:tr>
      <w:tr w:rsidR="0010369C" w14:paraId="51DE8266" w14:textId="77777777">
        <w:trPr>
          <w:trHeight w:val="319"/>
        </w:trPr>
        <w:tc>
          <w:tcPr>
            <w:tcW w:w="9070" w:type="dxa"/>
            <w:gridSpan w:val="5"/>
            <w:tcBorders>
              <w:left w:val="nil"/>
              <w:right w:val="nil"/>
            </w:tcBorders>
            <w:shd w:val="clear" w:color="auto" w:fill="000000"/>
          </w:tcPr>
          <w:p w14:paraId="51DE8265" w14:textId="77777777" w:rsidR="0010369C" w:rsidRDefault="0010369C">
            <w:pPr>
              <w:pStyle w:val="TableParagraph"/>
              <w:rPr>
                <w:rFonts w:ascii="Times New Roman"/>
              </w:rPr>
            </w:pPr>
          </w:p>
        </w:tc>
      </w:tr>
      <w:tr w:rsidR="0010369C" w14:paraId="51DE8269" w14:textId="77777777">
        <w:trPr>
          <w:trHeight w:val="319"/>
        </w:trPr>
        <w:tc>
          <w:tcPr>
            <w:tcW w:w="2792" w:type="dxa"/>
            <w:tcBorders>
              <w:left w:val="nil"/>
              <w:right w:val="single" w:sz="24" w:space="0" w:color="FFFFFF"/>
            </w:tcBorders>
            <w:shd w:val="clear" w:color="auto" w:fill="000000"/>
          </w:tcPr>
          <w:p w14:paraId="51DE8267" w14:textId="77777777" w:rsidR="0010369C" w:rsidRDefault="0010369C">
            <w:pPr>
              <w:pStyle w:val="TableParagraph"/>
              <w:rPr>
                <w:rFonts w:ascii="Times New Roman"/>
              </w:rPr>
            </w:pPr>
          </w:p>
        </w:tc>
        <w:tc>
          <w:tcPr>
            <w:tcW w:w="6278" w:type="dxa"/>
            <w:gridSpan w:val="4"/>
            <w:tcBorders>
              <w:left w:val="single" w:sz="24" w:space="0" w:color="FFFFFF"/>
              <w:right w:val="nil"/>
            </w:tcBorders>
            <w:shd w:val="clear" w:color="auto" w:fill="000000"/>
          </w:tcPr>
          <w:p w14:paraId="51DE8268" w14:textId="77777777" w:rsidR="0010369C" w:rsidRDefault="0010369C">
            <w:pPr>
              <w:pStyle w:val="TableParagraph"/>
              <w:rPr>
                <w:rFonts w:ascii="Times New Roman"/>
              </w:rPr>
            </w:pPr>
          </w:p>
        </w:tc>
      </w:tr>
      <w:tr w:rsidR="0010369C" w14:paraId="51DE826B" w14:textId="77777777">
        <w:trPr>
          <w:trHeight w:val="319"/>
        </w:trPr>
        <w:tc>
          <w:tcPr>
            <w:tcW w:w="9070" w:type="dxa"/>
            <w:gridSpan w:val="5"/>
            <w:tcBorders>
              <w:left w:val="nil"/>
              <w:right w:val="nil"/>
            </w:tcBorders>
            <w:shd w:val="clear" w:color="auto" w:fill="000000"/>
          </w:tcPr>
          <w:p w14:paraId="51DE826A" w14:textId="77777777" w:rsidR="0010369C" w:rsidRDefault="0010369C">
            <w:pPr>
              <w:pStyle w:val="TableParagraph"/>
              <w:rPr>
                <w:rFonts w:ascii="Times New Roman"/>
              </w:rPr>
            </w:pPr>
          </w:p>
        </w:tc>
      </w:tr>
      <w:tr w:rsidR="0010369C" w14:paraId="51DE826E" w14:textId="77777777">
        <w:trPr>
          <w:trHeight w:val="320"/>
        </w:trPr>
        <w:tc>
          <w:tcPr>
            <w:tcW w:w="4565" w:type="dxa"/>
            <w:gridSpan w:val="3"/>
            <w:tcBorders>
              <w:left w:val="nil"/>
              <w:bottom w:val="nil"/>
              <w:right w:val="single" w:sz="36" w:space="0" w:color="FFFFFF"/>
            </w:tcBorders>
            <w:shd w:val="clear" w:color="auto" w:fill="000000"/>
          </w:tcPr>
          <w:p w14:paraId="51DE826C" w14:textId="77777777" w:rsidR="0010369C" w:rsidRDefault="0010369C">
            <w:pPr>
              <w:pStyle w:val="TableParagraph"/>
              <w:rPr>
                <w:rFonts w:ascii="Times New Roman"/>
              </w:rPr>
            </w:pPr>
          </w:p>
        </w:tc>
        <w:tc>
          <w:tcPr>
            <w:tcW w:w="4505" w:type="dxa"/>
            <w:gridSpan w:val="2"/>
            <w:tcBorders>
              <w:left w:val="single" w:sz="36" w:space="0" w:color="FFFFFF"/>
              <w:bottom w:val="nil"/>
              <w:right w:val="nil"/>
            </w:tcBorders>
            <w:shd w:val="clear" w:color="auto" w:fill="000000"/>
          </w:tcPr>
          <w:p w14:paraId="51DE826D" w14:textId="77777777" w:rsidR="0010369C" w:rsidRDefault="0010369C">
            <w:pPr>
              <w:pStyle w:val="TableParagraph"/>
              <w:rPr>
                <w:rFonts w:ascii="Times New Roman"/>
              </w:rPr>
            </w:pPr>
          </w:p>
        </w:tc>
      </w:tr>
    </w:tbl>
    <w:p w14:paraId="51DE826F" w14:textId="77777777" w:rsidR="0010369C" w:rsidRDefault="0010369C">
      <w:pPr>
        <w:pStyle w:val="BodyText"/>
        <w:rPr>
          <w:sz w:val="20"/>
        </w:rPr>
      </w:pPr>
    </w:p>
    <w:p w14:paraId="51DE8270" w14:textId="77777777" w:rsidR="0010369C" w:rsidRDefault="008E43AE">
      <w:pPr>
        <w:pStyle w:val="BodyText"/>
        <w:spacing w:before="7"/>
        <w:rPr>
          <w:sz w:val="18"/>
        </w:rPr>
      </w:pPr>
      <w:r>
        <w:pict w14:anchorId="51DE9FA4">
          <v:rect id="docshape369" o:spid="_x0000_s1884" style="position:absolute;margin-left:70.9pt;margin-top:12.55pt;width:2in;height:.8pt;z-index:-251100672;mso-wrap-distance-left:0;mso-wrap-distance-right:0;mso-position-horizontal-relative:page" fillcolor="black" stroked="f">
            <w10:wrap type="topAndBottom" anchorx="page"/>
          </v:rect>
        </w:pict>
      </w:r>
    </w:p>
    <w:p w14:paraId="51DE8271" w14:textId="77777777" w:rsidR="0010369C" w:rsidRDefault="008E43AE">
      <w:pPr>
        <w:spacing w:before="109"/>
        <w:ind w:left="238"/>
        <w:rPr>
          <w:sz w:val="18"/>
        </w:rPr>
      </w:pPr>
      <w:r>
        <w:rPr>
          <w:sz w:val="18"/>
          <w:vertAlign w:val="superscript"/>
        </w:rPr>
        <w:t>222</w:t>
      </w:r>
      <w:r>
        <w:rPr>
          <w:spacing w:val="-5"/>
          <w:sz w:val="18"/>
        </w:rPr>
        <w:t xml:space="preserve"> </w:t>
      </w:r>
      <w:r>
        <w:rPr>
          <w:sz w:val="18"/>
        </w:rPr>
        <w:t>Panel</w:t>
      </w:r>
      <w:r>
        <w:rPr>
          <w:spacing w:val="-5"/>
          <w:sz w:val="18"/>
        </w:rPr>
        <w:t xml:space="preserve"> </w:t>
      </w:r>
      <w:r>
        <w:rPr>
          <w:sz w:val="18"/>
        </w:rPr>
        <w:t>Report,</w:t>
      </w:r>
      <w:r>
        <w:rPr>
          <w:spacing w:val="-4"/>
          <w:sz w:val="18"/>
        </w:rPr>
        <w:t xml:space="preserve"> </w:t>
      </w:r>
      <w:r>
        <w:rPr>
          <w:i/>
          <w:sz w:val="18"/>
        </w:rPr>
        <w:t>US</w:t>
      </w:r>
      <w:r>
        <w:rPr>
          <w:i/>
          <w:spacing w:val="-4"/>
          <w:sz w:val="18"/>
        </w:rPr>
        <w:t xml:space="preserve"> </w:t>
      </w:r>
      <w:r>
        <w:rPr>
          <w:i/>
          <w:sz w:val="18"/>
        </w:rPr>
        <w:t>–</w:t>
      </w:r>
      <w:r>
        <w:rPr>
          <w:i/>
          <w:spacing w:val="-5"/>
          <w:sz w:val="18"/>
        </w:rPr>
        <w:t xml:space="preserve"> </w:t>
      </w:r>
      <w:r>
        <w:rPr>
          <w:i/>
          <w:sz w:val="18"/>
        </w:rPr>
        <w:t>Steel</w:t>
      </w:r>
      <w:r>
        <w:rPr>
          <w:i/>
          <w:spacing w:val="-6"/>
          <w:sz w:val="18"/>
        </w:rPr>
        <w:t xml:space="preserve"> </w:t>
      </w:r>
      <w:r>
        <w:rPr>
          <w:i/>
          <w:sz w:val="18"/>
        </w:rPr>
        <w:t>Plate</w:t>
      </w:r>
      <w:r>
        <w:rPr>
          <w:sz w:val="18"/>
        </w:rPr>
        <w:t>,</w:t>
      </w:r>
      <w:r>
        <w:rPr>
          <w:spacing w:val="-5"/>
          <w:sz w:val="18"/>
        </w:rPr>
        <w:t xml:space="preserve"> </w:t>
      </w:r>
      <w:r>
        <w:rPr>
          <w:sz w:val="18"/>
        </w:rPr>
        <w:t>para.</w:t>
      </w:r>
      <w:r>
        <w:rPr>
          <w:spacing w:val="-4"/>
          <w:sz w:val="18"/>
        </w:rPr>
        <w:t xml:space="preserve"> </w:t>
      </w:r>
      <w:r>
        <w:rPr>
          <w:spacing w:val="-2"/>
          <w:sz w:val="18"/>
        </w:rPr>
        <w:t>7.71.</w:t>
      </w:r>
    </w:p>
    <w:p w14:paraId="51DE8272" w14:textId="77777777" w:rsidR="0010369C" w:rsidRDefault="008E43AE">
      <w:pPr>
        <w:ind w:left="238"/>
        <w:rPr>
          <w:sz w:val="18"/>
        </w:rPr>
      </w:pPr>
      <w:r>
        <w:rPr>
          <w:sz w:val="18"/>
          <w:vertAlign w:val="superscript"/>
        </w:rPr>
        <w:t>223</w:t>
      </w:r>
      <w:r>
        <w:rPr>
          <w:spacing w:val="-5"/>
          <w:sz w:val="18"/>
        </w:rPr>
        <w:t xml:space="preserve"> </w:t>
      </w:r>
      <w:r>
        <w:rPr>
          <w:sz w:val="18"/>
        </w:rPr>
        <w:t>See</w:t>
      </w:r>
      <w:r>
        <w:rPr>
          <w:spacing w:val="-5"/>
          <w:sz w:val="18"/>
        </w:rPr>
        <w:t xml:space="preserve"> </w:t>
      </w:r>
      <w:r>
        <w:rPr>
          <w:sz w:val="18"/>
        </w:rPr>
        <w:t>Panel</w:t>
      </w:r>
      <w:r>
        <w:rPr>
          <w:spacing w:val="-6"/>
          <w:sz w:val="18"/>
        </w:rPr>
        <w:t xml:space="preserve"> </w:t>
      </w:r>
      <w:r>
        <w:rPr>
          <w:sz w:val="18"/>
        </w:rPr>
        <w:t>Reports,</w:t>
      </w:r>
      <w:r>
        <w:rPr>
          <w:spacing w:val="-4"/>
          <w:sz w:val="18"/>
        </w:rPr>
        <w:t xml:space="preserve"> </w:t>
      </w:r>
      <w:r>
        <w:rPr>
          <w:i/>
          <w:sz w:val="18"/>
        </w:rPr>
        <w:t>US</w:t>
      </w:r>
      <w:r>
        <w:rPr>
          <w:i/>
          <w:spacing w:val="-5"/>
          <w:sz w:val="18"/>
        </w:rPr>
        <w:t xml:space="preserve"> </w:t>
      </w:r>
      <w:r>
        <w:rPr>
          <w:i/>
          <w:sz w:val="18"/>
        </w:rPr>
        <w:t>–</w:t>
      </w:r>
      <w:r>
        <w:rPr>
          <w:i/>
          <w:spacing w:val="-4"/>
          <w:sz w:val="18"/>
        </w:rPr>
        <w:t xml:space="preserve"> </w:t>
      </w:r>
      <w:r>
        <w:rPr>
          <w:i/>
          <w:sz w:val="18"/>
        </w:rPr>
        <w:t>Steel</w:t>
      </w:r>
      <w:r>
        <w:rPr>
          <w:i/>
          <w:spacing w:val="-6"/>
          <w:sz w:val="18"/>
        </w:rPr>
        <w:t xml:space="preserve"> </w:t>
      </w:r>
      <w:r>
        <w:rPr>
          <w:i/>
          <w:sz w:val="18"/>
        </w:rPr>
        <w:t>Plate</w:t>
      </w:r>
      <w:r>
        <w:rPr>
          <w:sz w:val="18"/>
        </w:rPr>
        <w:t>,</w:t>
      </w:r>
      <w:r>
        <w:rPr>
          <w:spacing w:val="-5"/>
          <w:sz w:val="18"/>
        </w:rPr>
        <w:t xml:space="preserve"> </w:t>
      </w:r>
      <w:r>
        <w:rPr>
          <w:sz w:val="18"/>
        </w:rPr>
        <w:t>paras.</w:t>
      </w:r>
      <w:r>
        <w:rPr>
          <w:spacing w:val="-5"/>
          <w:sz w:val="18"/>
        </w:rPr>
        <w:t xml:space="preserve"> </w:t>
      </w:r>
      <w:r>
        <w:rPr>
          <w:sz w:val="18"/>
        </w:rPr>
        <w:t>7.72</w:t>
      </w:r>
      <w:r>
        <w:rPr>
          <w:spacing w:val="-4"/>
          <w:sz w:val="18"/>
        </w:rPr>
        <w:t xml:space="preserve"> </w:t>
      </w:r>
      <w:r>
        <w:rPr>
          <w:sz w:val="18"/>
        </w:rPr>
        <w:t>and</w:t>
      </w:r>
      <w:r>
        <w:rPr>
          <w:spacing w:val="-5"/>
          <w:sz w:val="18"/>
        </w:rPr>
        <w:t xml:space="preserve"> </w:t>
      </w:r>
      <w:r>
        <w:rPr>
          <w:sz w:val="18"/>
        </w:rPr>
        <w:t>7.74</w:t>
      </w:r>
      <w:r>
        <w:rPr>
          <w:spacing w:val="-4"/>
          <w:sz w:val="18"/>
        </w:rPr>
        <w:t xml:space="preserve"> </w:t>
      </w:r>
      <w:r>
        <w:rPr>
          <w:sz w:val="18"/>
        </w:rPr>
        <w:t>and</w:t>
      </w:r>
      <w:r>
        <w:rPr>
          <w:spacing w:val="-5"/>
          <w:sz w:val="18"/>
        </w:rPr>
        <w:t xml:space="preserve"> </w:t>
      </w:r>
      <w:r>
        <w:rPr>
          <w:i/>
          <w:sz w:val="18"/>
        </w:rPr>
        <w:t>China</w:t>
      </w:r>
      <w:r>
        <w:rPr>
          <w:i/>
          <w:spacing w:val="-4"/>
          <w:sz w:val="18"/>
        </w:rPr>
        <w:t xml:space="preserve"> </w:t>
      </w:r>
      <w:r>
        <w:rPr>
          <w:i/>
          <w:sz w:val="18"/>
        </w:rPr>
        <w:t>–</w:t>
      </w:r>
      <w:r>
        <w:rPr>
          <w:i/>
          <w:spacing w:val="-5"/>
          <w:sz w:val="18"/>
        </w:rPr>
        <w:t xml:space="preserve"> </w:t>
      </w:r>
      <w:r>
        <w:rPr>
          <w:i/>
          <w:sz w:val="18"/>
        </w:rPr>
        <w:t>Broiler</w:t>
      </w:r>
      <w:r>
        <w:rPr>
          <w:i/>
          <w:spacing w:val="-5"/>
          <w:sz w:val="18"/>
        </w:rPr>
        <w:t xml:space="preserve"> </w:t>
      </w:r>
      <w:r>
        <w:rPr>
          <w:i/>
          <w:sz w:val="18"/>
        </w:rPr>
        <w:t>Products</w:t>
      </w:r>
      <w:r>
        <w:rPr>
          <w:i/>
          <w:spacing w:val="-6"/>
          <w:sz w:val="18"/>
        </w:rPr>
        <w:t xml:space="preserve"> </w:t>
      </w:r>
      <w:r>
        <w:rPr>
          <w:i/>
          <w:sz w:val="18"/>
        </w:rPr>
        <w:t>(Article</w:t>
      </w:r>
      <w:r>
        <w:rPr>
          <w:i/>
          <w:spacing w:val="-4"/>
          <w:sz w:val="18"/>
        </w:rPr>
        <w:t xml:space="preserve"> </w:t>
      </w:r>
      <w:r>
        <w:rPr>
          <w:i/>
          <w:sz w:val="18"/>
        </w:rPr>
        <w:t>21.5</w:t>
      </w:r>
      <w:r>
        <w:rPr>
          <w:i/>
          <w:spacing w:val="-5"/>
          <w:sz w:val="18"/>
        </w:rPr>
        <w:t xml:space="preserve"> </w:t>
      </w:r>
      <w:r>
        <w:rPr>
          <w:i/>
          <w:sz w:val="18"/>
        </w:rPr>
        <w:t>–</w:t>
      </w:r>
      <w:r>
        <w:rPr>
          <w:i/>
          <w:spacing w:val="-4"/>
          <w:sz w:val="18"/>
        </w:rPr>
        <w:t xml:space="preserve"> </w:t>
      </w:r>
      <w:r>
        <w:rPr>
          <w:i/>
          <w:sz w:val="18"/>
        </w:rPr>
        <w:t>US),</w:t>
      </w:r>
      <w:r>
        <w:rPr>
          <w:i/>
          <w:spacing w:val="-6"/>
          <w:sz w:val="18"/>
        </w:rPr>
        <w:t xml:space="preserve"> </w:t>
      </w:r>
      <w:r>
        <w:rPr>
          <w:sz w:val="18"/>
        </w:rPr>
        <w:t>para.</w:t>
      </w:r>
      <w:r>
        <w:rPr>
          <w:spacing w:val="-4"/>
          <w:sz w:val="18"/>
        </w:rPr>
        <w:t xml:space="preserve"> </w:t>
      </w:r>
      <w:r>
        <w:rPr>
          <w:spacing w:val="-2"/>
          <w:sz w:val="18"/>
        </w:rPr>
        <w:t>7.348.</w:t>
      </w:r>
    </w:p>
    <w:p w14:paraId="51DE8273" w14:textId="77777777" w:rsidR="0010369C" w:rsidRDefault="008E43AE">
      <w:pPr>
        <w:ind w:left="238"/>
        <w:rPr>
          <w:sz w:val="18"/>
        </w:rPr>
      </w:pPr>
      <w:r>
        <w:rPr>
          <w:sz w:val="18"/>
          <w:vertAlign w:val="superscript"/>
        </w:rPr>
        <w:t>224</w:t>
      </w:r>
      <w:r>
        <w:rPr>
          <w:spacing w:val="-9"/>
          <w:sz w:val="18"/>
        </w:rPr>
        <w:t xml:space="preserve"> </w:t>
      </w:r>
      <w:r>
        <w:rPr>
          <w:sz w:val="18"/>
        </w:rPr>
        <w:t>Anti‐Dumping</w:t>
      </w:r>
      <w:r>
        <w:rPr>
          <w:spacing w:val="-9"/>
          <w:sz w:val="18"/>
        </w:rPr>
        <w:t xml:space="preserve"> </w:t>
      </w:r>
      <w:r>
        <w:rPr>
          <w:sz w:val="18"/>
        </w:rPr>
        <w:t>Final</w:t>
      </w:r>
      <w:r>
        <w:rPr>
          <w:spacing w:val="-9"/>
          <w:sz w:val="18"/>
        </w:rPr>
        <w:t xml:space="preserve"> </w:t>
      </w:r>
      <w:r>
        <w:rPr>
          <w:sz w:val="18"/>
        </w:rPr>
        <w:t>Determination</w:t>
      </w:r>
      <w:r>
        <w:rPr>
          <w:spacing w:val="-8"/>
          <w:sz w:val="18"/>
        </w:rPr>
        <w:t xml:space="preserve"> </w:t>
      </w:r>
      <w:r>
        <w:rPr>
          <w:sz w:val="18"/>
        </w:rPr>
        <w:t>(Exhibit</w:t>
      </w:r>
      <w:r>
        <w:rPr>
          <w:spacing w:val="-9"/>
          <w:sz w:val="18"/>
        </w:rPr>
        <w:t xml:space="preserve"> </w:t>
      </w:r>
      <w:r>
        <w:rPr>
          <w:sz w:val="18"/>
        </w:rPr>
        <w:t>AUS‐2),</w:t>
      </w:r>
      <w:r>
        <w:rPr>
          <w:spacing w:val="-9"/>
          <w:sz w:val="18"/>
        </w:rPr>
        <w:t xml:space="preserve"> </w:t>
      </w:r>
      <w:r>
        <w:rPr>
          <w:sz w:val="18"/>
        </w:rPr>
        <w:t>p.</w:t>
      </w:r>
      <w:r>
        <w:rPr>
          <w:spacing w:val="-9"/>
          <w:sz w:val="18"/>
        </w:rPr>
        <w:t xml:space="preserve"> </w:t>
      </w:r>
      <w:r>
        <w:rPr>
          <w:spacing w:val="-5"/>
          <w:sz w:val="18"/>
        </w:rPr>
        <w:t>57.</w:t>
      </w:r>
    </w:p>
    <w:p w14:paraId="51DE8274" w14:textId="77777777" w:rsidR="0010369C" w:rsidRDefault="008E43AE">
      <w:pPr>
        <w:tabs>
          <w:tab w:val="left" w:pos="6634"/>
        </w:tabs>
        <w:ind w:left="238"/>
        <w:rPr>
          <w:sz w:val="18"/>
        </w:rPr>
      </w:pPr>
      <w:r>
        <w:pict w14:anchorId="51DE9FA5">
          <v:rect id="docshape370" o:spid="_x0000_s1883" style="position:absolute;left:0;text-align:left;margin-left:101.95pt;margin-top:.35pt;width:285.6pt;height:12.05pt;z-index:-251393536;mso-position-horizontal-relative:page" fillcolor="black" stroked="f">
            <w10:wrap anchorx="page"/>
          </v:rect>
        </w:pict>
      </w:r>
      <w:r>
        <w:pict w14:anchorId="51DE9FA6">
          <v:rect id="docshape371" o:spid="_x0000_s1882" style="position:absolute;left:0;text-align:left;margin-left:473.05pt;margin-top:.35pt;width:50.35pt;height:12.05pt;z-index:251750912;mso-position-horizontal-relative:page" fillcolor="black" stroked="f">
            <w10:wrap anchorx="page"/>
          </v:rect>
        </w:pict>
      </w:r>
      <w:r>
        <w:rPr>
          <w:color w:val="5E5E5E"/>
          <w:sz w:val="18"/>
          <w:vertAlign w:val="superscript"/>
        </w:rPr>
        <w:t>225</w:t>
      </w:r>
      <w:r>
        <w:rPr>
          <w:color w:val="5E5E5E"/>
          <w:spacing w:val="-2"/>
          <w:sz w:val="18"/>
        </w:rPr>
        <w:t xml:space="preserve"> </w:t>
      </w:r>
      <w:r>
        <w:rPr>
          <w:color w:val="5E5E5E"/>
          <w:sz w:val="18"/>
        </w:rPr>
        <w:t>See</w:t>
      </w:r>
      <w:r>
        <w:rPr>
          <w:color w:val="5E5E5E"/>
          <w:spacing w:val="-1"/>
          <w:sz w:val="18"/>
        </w:rPr>
        <w:t xml:space="preserve"> </w:t>
      </w:r>
      <w:r>
        <w:rPr>
          <w:color w:val="5E5E5E"/>
          <w:spacing w:val="-10"/>
          <w:sz w:val="18"/>
        </w:rPr>
        <w:t>[</w:t>
      </w:r>
      <w:r>
        <w:rPr>
          <w:color w:val="5E5E5E"/>
          <w:sz w:val="18"/>
        </w:rPr>
        <w:tab/>
        <w:t>(Exhibit</w:t>
      </w:r>
      <w:r>
        <w:rPr>
          <w:color w:val="5E5E5E"/>
          <w:spacing w:val="-8"/>
          <w:sz w:val="18"/>
        </w:rPr>
        <w:t xml:space="preserve"> </w:t>
      </w:r>
      <w:r>
        <w:rPr>
          <w:color w:val="5E5E5E"/>
          <w:sz w:val="18"/>
        </w:rPr>
        <w:t>AUS‐15</w:t>
      </w:r>
      <w:r>
        <w:rPr>
          <w:color w:val="5E5E5E"/>
          <w:spacing w:val="-8"/>
          <w:sz w:val="18"/>
        </w:rPr>
        <w:t xml:space="preserve"> </w:t>
      </w:r>
      <w:r>
        <w:rPr>
          <w:color w:val="5E5E5E"/>
          <w:spacing w:val="-2"/>
          <w:sz w:val="18"/>
        </w:rPr>
        <w:t>(BCI)),</w:t>
      </w:r>
    </w:p>
    <w:p w14:paraId="51DE8275" w14:textId="77777777" w:rsidR="0010369C" w:rsidRDefault="008E43AE">
      <w:pPr>
        <w:ind w:left="429"/>
        <w:rPr>
          <w:sz w:val="18"/>
        </w:rPr>
      </w:pPr>
      <w:r>
        <w:pict w14:anchorId="51DE9FA7">
          <v:rect id="docshape372" o:spid="_x0000_s1881" style="position:absolute;left:0;text-align:left;margin-left:69.9pt;margin-top:.35pt;width:9.6pt;height:12.05pt;z-index:251751936;mso-position-horizontal-relative:page" fillcolor="black" stroked="f">
            <w10:wrap anchorx="page"/>
          </v:rect>
        </w:pict>
      </w:r>
      <w:r>
        <w:rPr>
          <w:color w:val="5E5E5E"/>
          <w:spacing w:val="-5"/>
          <w:sz w:val="18"/>
        </w:rPr>
        <w:t>]]</w:t>
      </w:r>
    </w:p>
    <w:p w14:paraId="51DE8276" w14:textId="77777777" w:rsidR="0010369C" w:rsidRDefault="008E43AE">
      <w:pPr>
        <w:tabs>
          <w:tab w:val="left" w:pos="6978"/>
        </w:tabs>
        <w:ind w:left="238"/>
        <w:rPr>
          <w:sz w:val="18"/>
        </w:rPr>
      </w:pPr>
      <w:r>
        <w:pict w14:anchorId="51DE9FA8">
          <v:shape id="docshape373" o:spid="_x0000_s1880" style="position:absolute;left:0;text-align:left;margin-left:69.9pt;margin-top:.35pt;width:333.05pt;height:56.05pt;z-index:-251392512;mso-position-horizontal-relative:page" coordorigin="1398,7" coordsize="6661,1121" o:spt="100" adj="0,,0" path="m1590,667r-192,l1398,908r192,l1590,667xm7744,886r-5707,l2037,1127r5707,l7744,886xm8059,7l2115,7r,221l1398,228r,241l2039,469r,219l7794,688r,-241l2326,447r,-199l8059,248r,-241xe" fillcolor="black" stroked="f">
            <v:stroke joinstyle="round"/>
            <v:formulas/>
            <v:path arrowok="t" o:connecttype="segments"/>
            <w10:wrap anchorx="page"/>
          </v:shape>
        </w:pict>
      </w:r>
      <w:r>
        <w:pict w14:anchorId="51DE9FA9">
          <v:rect id="docshape374" o:spid="_x0000_s1879" style="position:absolute;left:0;text-align:left;margin-left:495.9pt;margin-top:.35pt;width:27.55pt;height:12.05pt;z-index:251752960;mso-position-horizontal-relative:page" fillcolor="black" stroked="f">
            <w10:wrap anchorx="page"/>
          </v:rect>
        </w:pict>
      </w:r>
      <w:r>
        <w:rPr>
          <w:color w:val="5E5E5E"/>
          <w:sz w:val="18"/>
          <w:vertAlign w:val="superscript"/>
        </w:rPr>
        <w:t>226</w:t>
      </w:r>
      <w:r>
        <w:rPr>
          <w:color w:val="5E5E5E"/>
          <w:spacing w:val="36"/>
          <w:sz w:val="18"/>
        </w:rPr>
        <w:t xml:space="preserve"> </w:t>
      </w:r>
      <w:r>
        <w:rPr>
          <w:color w:val="5E5E5E"/>
          <w:sz w:val="18"/>
        </w:rPr>
        <w:t>See</w:t>
      </w:r>
      <w:r>
        <w:rPr>
          <w:color w:val="5E5E5E"/>
          <w:spacing w:val="36"/>
          <w:sz w:val="18"/>
        </w:rPr>
        <w:t xml:space="preserve"> </w:t>
      </w:r>
      <w:r>
        <w:rPr>
          <w:color w:val="5E5E5E"/>
          <w:spacing w:val="-10"/>
          <w:sz w:val="18"/>
        </w:rPr>
        <w:t>[</w:t>
      </w:r>
      <w:r>
        <w:rPr>
          <w:color w:val="5E5E5E"/>
          <w:sz w:val="18"/>
        </w:rPr>
        <w:tab/>
        <w:t>(Exhibit</w:t>
      </w:r>
      <w:r>
        <w:rPr>
          <w:color w:val="5E5E5E"/>
          <w:spacing w:val="29"/>
          <w:sz w:val="18"/>
        </w:rPr>
        <w:t xml:space="preserve"> </w:t>
      </w:r>
      <w:r>
        <w:rPr>
          <w:color w:val="5E5E5E"/>
          <w:sz w:val="18"/>
        </w:rPr>
        <w:t>AUS‐15</w:t>
      </w:r>
      <w:r>
        <w:rPr>
          <w:color w:val="5E5E5E"/>
          <w:spacing w:val="30"/>
          <w:sz w:val="18"/>
        </w:rPr>
        <w:t xml:space="preserve"> </w:t>
      </w:r>
      <w:r>
        <w:rPr>
          <w:color w:val="5E5E5E"/>
          <w:spacing w:val="-2"/>
          <w:sz w:val="18"/>
        </w:rPr>
        <w:t>(BCI)),</w:t>
      </w:r>
    </w:p>
    <w:p w14:paraId="51DE8277" w14:textId="77777777" w:rsidR="0010369C" w:rsidRDefault="008E43AE">
      <w:pPr>
        <w:spacing w:before="1"/>
        <w:ind w:left="1165"/>
        <w:rPr>
          <w:sz w:val="18"/>
        </w:rPr>
      </w:pPr>
      <w:r>
        <w:rPr>
          <w:color w:val="5E5E5E"/>
          <w:spacing w:val="-5"/>
          <w:sz w:val="18"/>
        </w:rPr>
        <w:t>]]</w:t>
      </w:r>
    </w:p>
    <w:p w14:paraId="51DE8278" w14:textId="77777777" w:rsidR="0010369C" w:rsidRDefault="008E43AE">
      <w:pPr>
        <w:tabs>
          <w:tab w:val="left" w:pos="6634"/>
        </w:tabs>
        <w:ind w:left="238"/>
        <w:rPr>
          <w:sz w:val="18"/>
        </w:rPr>
      </w:pPr>
      <w:r>
        <w:pict w14:anchorId="51DE9FAA">
          <v:rect id="docshape375" o:spid="_x0000_s1878" style="position:absolute;left:0;text-align:left;margin-left:473.05pt;margin-top:.35pt;width:50.35pt;height:12.05pt;z-index:251753984;mso-position-horizontal-relative:page" fillcolor="black" stroked="f">
            <w10:wrap anchorx="page"/>
          </v:rect>
        </w:pict>
      </w:r>
      <w:r>
        <w:rPr>
          <w:color w:val="5E5E5E"/>
          <w:sz w:val="18"/>
          <w:vertAlign w:val="superscript"/>
        </w:rPr>
        <w:t>227</w:t>
      </w:r>
      <w:r>
        <w:rPr>
          <w:color w:val="5E5E5E"/>
          <w:spacing w:val="-2"/>
          <w:sz w:val="18"/>
        </w:rPr>
        <w:t xml:space="preserve"> </w:t>
      </w:r>
      <w:r>
        <w:rPr>
          <w:color w:val="5E5E5E"/>
          <w:sz w:val="18"/>
        </w:rPr>
        <w:t>See</w:t>
      </w:r>
      <w:r>
        <w:rPr>
          <w:color w:val="5E5E5E"/>
          <w:spacing w:val="-1"/>
          <w:sz w:val="18"/>
        </w:rPr>
        <w:t xml:space="preserve"> </w:t>
      </w:r>
      <w:r>
        <w:rPr>
          <w:color w:val="5E5E5E"/>
          <w:spacing w:val="-10"/>
          <w:sz w:val="18"/>
        </w:rPr>
        <w:t>[</w:t>
      </w:r>
      <w:r>
        <w:rPr>
          <w:color w:val="5E5E5E"/>
          <w:sz w:val="18"/>
        </w:rPr>
        <w:tab/>
        <w:t>(Exhibit</w:t>
      </w:r>
      <w:r>
        <w:rPr>
          <w:color w:val="5E5E5E"/>
          <w:spacing w:val="-8"/>
          <w:sz w:val="18"/>
        </w:rPr>
        <w:t xml:space="preserve"> </w:t>
      </w:r>
      <w:r>
        <w:rPr>
          <w:color w:val="5E5E5E"/>
          <w:sz w:val="18"/>
        </w:rPr>
        <w:t>AUS‐15</w:t>
      </w:r>
      <w:r>
        <w:rPr>
          <w:color w:val="5E5E5E"/>
          <w:spacing w:val="-8"/>
          <w:sz w:val="18"/>
        </w:rPr>
        <w:t xml:space="preserve"> </w:t>
      </w:r>
      <w:r>
        <w:rPr>
          <w:color w:val="5E5E5E"/>
          <w:spacing w:val="-2"/>
          <w:sz w:val="18"/>
        </w:rPr>
        <w:t>(BCI)),</w:t>
      </w:r>
    </w:p>
    <w:p w14:paraId="51DE8279" w14:textId="77777777" w:rsidR="0010369C" w:rsidRDefault="008E43AE">
      <w:pPr>
        <w:ind w:left="429"/>
        <w:rPr>
          <w:sz w:val="18"/>
        </w:rPr>
      </w:pPr>
      <w:r>
        <w:rPr>
          <w:color w:val="5E5E5E"/>
          <w:spacing w:val="-5"/>
          <w:sz w:val="18"/>
        </w:rPr>
        <w:t>]]</w:t>
      </w:r>
    </w:p>
    <w:p w14:paraId="51DE827A" w14:textId="77777777" w:rsidR="0010369C" w:rsidRDefault="008E43AE">
      <w:pPr>
        <w:tabs>
          <w:tab w:val="left" w:pos="6624"/>
        </w:tabs>
        <w:ind w:left="238"/>
        <w:rPr>
          <w:sz w:val="18"/>
        </w:rPr>
      </w:pPr>
      <w:r>
        <w:rPr>
          <w:color w:val="5E5E5E"/>
          <w:sz w:val="18"/>
          <w:vertAlign w:val="superscript"/>
        </w:rPr>
        <w:t>228</w:t>
      </w:r>
      <w:r>
        <w:rPr>
          <w:color w:val="5E5E5E"/>
          <w:spacing w:val="-3"/>
          <w:sz w:val="18"/>
        </w:rPr>
        <w:t xml:space="preserve"> </w:t>
      </w:r>
      <w:r>
        <w:rPr>
          <w:color w:val="5E5E5E"/>
          <w:sz w:val="18"/>
        </w:rPr>
        <w:t>See</w:t>
      </w:r>
      <w:r>
        <w:rPr>
          <w:color w:val="5E5E5E"/>
          <w:spacing w:val="-2"/>
          <w:sz w:val="18"/>
        </w:rPr>
        <w:t xml:space="preserve"> </w:t>
      </w:r>
      <w:r>
        <w:rPr>
          <w:color w:val="5E5E5E"/>
          <w:spacing w:val="-10"/>
          <w:sz w:val="18"/>
        </w:rPr>
        <w:t>[</w:t>
      </w:r>
      <w:r>
        <w:rPr>
          <w:color w:val="5E5E5E"/>
          <w:sz w:val="18"/>
        </w:rPr>
        <w:tab/>
        <w:t>(Exhibit</w:t>
      </w:r>
      <w:r>
        <w:rPr>
          <w:color w:val="5E5E5E"/>
          <w:spacing w:val="-9"/>
          <w:sz w:val="18"/>
        </w:rPr>
        <w:t xml:space="preserve"> </w:t>
      </w:r>
      <w:r>
        <w:rPr>
          <w:color w:val="5E5E5E"/>
          <w:sz w:val="18"/>
        </w:rPr>
        <w:t>AUS‐15</w:t>
      </w:r>
      <w:r>
        <w:rPr>
          <w:color w:val="5E5E5E"/>
          <w:spacing w:val="-9"/>
          <w:sz w:val="18"/>
        </w:rPr>
        <w:t xml:space="preserve"> </w:t>
      </w:r>
      <w:r>
        <w:rPr>
          <w:color w:val="5E5E5E"/>
          <w:spacing w:val="-2"/>
          <w:sz w:val="18"/>
        </w:rPr>
        <w:t>(BCI)).]]</w:t>
      </w:r>
    </w:p>
    <w:p w14:paraId="51DE827B" w14:textId="77777777" w:rsidR="0010369C" w:rsidRDefault="0010369C">
      <w:pPr>
        <w:rPr>
          <w:sz w:val="18"/>
        </w:rPr>
        <w:sectPr w:rsidR="0010369C">
          <w:headerReference w:type="default" r:id="rId305"/>
          <w:footerReference w:type="default" r:id="rId306"/>
          <w:pgSz w:w="11910" w:h="16840"/>
          <w:pgMar w:top="560" w:right="800" w:bottom="980" w:left="1180" w:header="0" w:footer="788" w:gutter="0"/>
          <w:cols w:space="720"/>
        </w:sectPr>
      </w:pPr>
    </w:p>
    <w:p w14:paraId="51DE827C" w14:textId="77777777" w:rsidR="0010369C" w:rsidRDefault="008E43AE">
      <w:pPr>
        <w:tabs>
          <w:tab w:val="left" w:pos="6425"/>
        </w:tabs>
        <w:ind w:left="238"/>
        <w:rPr>
          <w:sz w:val="20"/>
        </w:rPr>
      </w:pPr>
      <w:r>
        <w:rPr>
          <w:i/>
          <w:sz w:val="20"/>
        </w:rPr>
        <w:lastRenderedPageBreak/>
        <w:t>China</w:t>
      </w:r>
      <w:r>
        <w:rPr>
          <w:i/>
          <w:spacing w:val="-5"/>
          <w:sz w:val="20"/>
        </w:rPr>
        <w:t xml:space="preserve"> </w:t>
      </w:r>
      <w:r>
        <w:rPr>
          <w:i/>
          <w:sz w:val="20"/>
        </w:rPr>
        <w:t>–</w:t>
      </w:r>
      <w:r>
        <w:rPr>
          <w:i/>
          <w:spacing w:val="-5"/>
          <w:sz w:val="20"/>
        </w:rPr>
        <w:t xml:space="preserve"> </w:t>
      </w:r>
      <w:r>
        <w:rPr>
          <w:i/>
          <w:sz w:val="20"/>
        </w:rPr>
        <w:t>Anti‐Dumping</w:t>
      </w:r>
      <w:r>
        <w:rPr>
          <w:i/>
          <w:spacing w:val="-4"/>
          <w:sz w:val="20"/>
        </w:rPr>
        <w:t xml:space="preserve"> </w:t>
      </w:r>
      <w:r>
        <w:rPr>
          <w:i/>
          <w:sz w:val="20"/>
        </w:rPr>
        <w:t>and</w:t>
      </w:r>
      <w:r>
        <w:rPr>
          <w:i/>
          <w:spacing w:val="-5"/>
          <w:sz w:val="20"/>
        </w:rPr>
        <w:t xml:space="preserve"> </w:t>
      </w:r>
      <w:r>
        <w:rPr>
          <w:i/>
          <w:sz w:val="20"/>
        </w:rPr>
        <w:t>Countervailing</w:t>
      </w:r>
      <w:r>
        <w:rPr>
          <w:i/>
          <w:spacing w:val="-5"/>
          <w:sz w:val="20"/>
        </w:rPr>
        <w:t xml:space="preserve"> </w:t>
      </w:r>
      <w:r>
        <w:rPr>
          <w:i/>
          <w:sz w:val="20"/>
        </w:rPr>
        <w:t>Duty</w:t>
      </w:r>
      <w:r>
        <w:rPr>
          <w:i/>
          <w:spacing w:val="-4"/>
          <w:sz w:val="20"/>
        </w:rPr>
        <w:t xml:space="preserve"> </w:t>
      </w:r>
      <w:r>
        <w:rPr>
          <w:i/>
          <w:spacing w:val="-2"/>
          <w:sz w:val="20"/>
        </w:rPr>
        <w:t>Measures</w:t>
      </w:r>
      <w:r>
        <w:rPr>
          <w:i/>
          <w:sz w:val="20"/>
        </w:rPr>
        <w:tab/>
      </w:r>
      <w:r>
        <w:rPr>
          <w:sz w:val="20"/>
        </w:rPr>
        <w:t>Australia's</w:t>
      </w:r>
      <w:r>
        <w:rPr>
          <w:spacing w:val="-7"/>
          <w:sz w:val="20"/>
        </w:rPr>
        <w:t xml:space="preserve"> </w:t>
      </w:r>
      <w:r>
        <w:rPr>
          <w:sz w:val="20"/>
        </w:rPr>
        <w:t>First</w:t>
      </w:r>
      <w:r>
        <w:rPr>
          <w:spacing w:val="-2"/>
          <w:sz w:val="20"/>
        </w:rPr>
        <w:t xml:space="preserve"> </w:t>
      </w:r>
      <w:r>
        <w:rPr>
          <w:sz w:val="20"/>
        </w:rPr>
        <w:t>Written</w:t>
      </w:r>
      <w:r>
        <w:rPr>
          <w:spacing w:val="-2"/>
          <w:sz w:val="20"/>
        </w:rPr>
        <w:t xml:space="preserve"> Submission</w:t>
      </w:r>
    </w:p>
    <w:p w14:paraId="51DE827D" w14:textId="77777777" w:rsidR="0010369C" w:rsidRDefault="008E43AE">
      <w:pPr>
        <w:tabs>
          <w:tab w:val="left" w:pos="8227"/>
        </w:tabs>
        <w:spacing w:before="1"/>
        <w:ind w:left="239"/>
        <w:rPr>
          <w:sz w:val="20"/>
        </w:rPr>
      </w:pPr>
      <w:r>
        <w:pict w14:anchorId="51DE9FAB">
          <v:rect id="docshape379" o:spid="_x0000_s1877" style="position:absolute;left:0;text-align:left;margin-left:69.9pt;margin-top:14.1pt;width:453.55pt;height:16.05pt;z-index:-251099648;mso-wrap-distance-left:0;mso-wrap-distance-right:0;mso-position-horizontal-relative:page" fillcolor="black" stroked="f">
            <w10:wrap type="topAndBottom" anchorx="page"/>
          </v:rect>
        </w:pict>
      </w:r>
      <w:r>
        <w:pict w14:anchorId="51DE9FAC">
          <v:rect id="docshape380" o:spid="_x0000_s1876" style="position:absolute;left:0;text-align:left;margin-left:69.9pt;margin-top:36.1pt;width:309.35pt;height:16.05pt;z-index:251755008;mso-position-horizontal-relative:page" fillcolor="black" stroked="f">
            <w10:wrap anchorx="page"/>
          </v:rect>
        </w:pict>
      </w:r>
      <w:r>
        <w:rPr>
          <w:i/>
          <w:sz w:val="20"/>
        </w:rPr>
        <w:t>on</w:t>
      </w:r>
      <w:r>
        <w:rPr>
          <w:i/>
          <w:spacing w:val="-1"/>
          <w:sz w:val="20"/>
        </w:rPr>
        <w:t xml:space="preserve"> </w:t>
      </w:r>
      <w:r>
        <w:rPr>
          <w:i/>
          <w:sz w:val="20"/>
        </w:rPr>
        <w:t>Wine</w:t>
      </w:r>
      <w:r>
        <w:rPr>
          <w:i/>
          <w:spacing w:val="-1"/>
          <w:sz w:val="20"/>
        </w:rPr>
        <w:t xml:space="preserve"> </w:t>
      </w:r>
      <w:r>
        <w:rPr>
          <w:i/>
          <w:sz w:val="20"/>
        </w:rPr>
        <w:t>from</w:t>
      </w:r>
      <w:r>
        <w:rPr>
          <w:i/>
          <w:spacing w:val="-3"/>
          <w:sz w:val="20"/>
        </w:rPr>
        <w:t xml:space="preserve"> </w:t>
      </w:r>
      <w:r>
        <w:rPr>
          <w:i/>
          <w:sz w:val="20"/>
        </w:rPr>
        <w:t>Australia</w:t>
      </w:r>
      <w:r>
        <w:rPr>
          <w:i/>
          <w:spacing w:val="-1"/>
          <w:sz w:val="20"/>
        </w:rPr>
        <w:t xml:space="preserve"> </w:t>
      </w:r>
      <w:r>
        <w:rPr>
          <w:spacing w:val="-2"/>
          <w:sz w:val="20"/>
        </w:rPr>
        <w:t>(DS602)</w:t>
      </w:r>
      <w:r>
        <w:rPr>
          <w:sz w:val="20"/>
        </w:rPr>
        <w:tab/>
        <w:t>29</w:t>
      </w:r>
      <w:r>
        <w:rPr>
          <w:spacing w:val="-1"/>
          <w:sz w:val="20"/>
        </w:rPr>
        <w:t xml:space="preserve"> </w:t>
      </w:r>
      <w:r>
        <w:rPr>
          <w:sz w:val="20"/>
        </w:rPr>
        <w:t>April</w:t>
      </w:r>
      <w:r>
        <w:rPr>
          <w:spacing w:val="-2"/>
          <w:sz w:val="20"/>
        </w:rPr>
        <w:t xml:space="preserve"> </w:t>
      </w:r>
      <w:r>
        <w:rPr>
          <w:spacing w:val="-4"/>
          <w:sz w:val="20"/>
        </w:rPr>
        <w:t>2022</w:t>
      </w:r>
    </w:p>
    <w:p w14:paraId="51DE827E" w14:textId="77777777" w:rsidR="0010369C" w:rsidRDefault="008E43AE">
      <w:pPr>
        <w:spacing w:before="116"/>
        <w:ind w:left="3658" w:right="587"/>
        <w:jc w:val="center"/>
        <w:rPr>
          <w:sz w:val="24"/>
        </w:rPr>
      </w:pPr>
      <w:r>
        <w:rPr>
          <w:spacing w:val="-5"/>
          <w:sz w:val="24"/>
        </w:rPr>
        <w:t>]]</w:t>
      </w:r>
    </w:p>
    <w:p w14:paraId="51DE827F" w14:textId="77777777" w:rsidR="0010369C" w:rsidRDefault="0010369C">
      <w:pPr>
        <w:pStyle w:val="BodyText"/>
        <w:spacing w:before="9"/>
        <w:rPr>
          <w:sz w:val="20"/>
        </w:rPr>
      </w:pPr>
    </w:p>
    <w:p w14:paraId="51DE8280" w14:textId="77777777" w:rsidR="0010369C" w:rsidRDefault="008E43AE">
      <w:pPr>
        <w:pStyle w:val="BodyText"/>
        <w:spacing w:before="52" w:line="360" w:lineRule="auto"/>
        <w:ind w:left="237" w:right="613" w:firstLine="852"/>
        <w:jc w:val="both"/>
      </w:pPr>
      <w:r>
        <w:rPr>
          <w:noProof/>
        </w:rPr>
        <w:drawing>
          <wp:anchor distT="0" distB="0" distL="0" distR="0" simplePos="0" relativeHeight="250875392" behindDoc="1" locked="0" layoutInCell="1" allowOverlap="1" wp14:anchorId="51DE9FAD" wp14:editId="51DE9FAE">
            <wp:simplePos x="0" y="0"/>
            <wp:positionH relativeFrom="page">
              <wp:posOffset>905255</wp:posOffset>
            </wp:positionH>
            <wp:positionV relativeFrom="paragraph">
              <wp:posOffset>76785</wp:posOffset>
            </wp:positionV>
            <wp:extent cx="259079" cy="106679"/>
            <wp:effectExtent l="0" t="0" r="0" b="0"/>
            <wp:wrapNone/>
            <wp:docPr id="405" name="image2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 name="image211.png"/>
                    <pic:cNvPicPr/>
                  </pic:nvPicPr>
                  <pic:blipFill>
                    <a:blip r:embed="rId307" cstate="print"/>
                    <a:stretch>
                      <a:fillRect/>
                    </a:stretch>
                  </pic:blipFill>
                  <pic:spPr>
                    <a:xfrm>
                      <a:off x="0" y="0"/>
                      <a:ext cx="259079" cy="106679"/>
                    </a:xfrm>
                    <a:prstGeom prst="rect">
                      <a:avLst/>
                    </a:prstGeom>
                  </pic:spPr>
                </pic:pic>
              </a:graphicData>
            </a:graphic>
          </wp:anchor>
        </w:drawing>
      </w:r>
      <w:r>
        <w:t>After the provision of Treasury Wines' Supplementary Questionnaire response, and prior to publication of the Final Determination, Treasury Wines MOFCOM failed to make any meaningful effort to inform Treasury Wines that its information was not accepted. Giv</w:t>
      </w:r>
      <w:r>
        <w:t>en the length of time between receipt of the Anti‐Dumping Questionnaire, Preliminary Determination and Supplementary Questionnaire responses, and publication of the Final Determination, it is clear that MOFCOM failed to notify Treasury Wines why its submit</w:t>
      </w:r>
      <w:r>
        <w:t xml:space="preserve">ted information had not been accepted </w:t>
      </w:r>
      <w:r>
        <w:rPr>
          <w:i/>
        </w:rPr>
        <w:t xml:space="preserve">immediately </w:t>
      </w:r>
      <w:r>
        <w:t xml:space="preserve">and </w:t>
      </w:r>
      <w:r>
        <w:rPr>
          <w:i/>
        </w:rPr>
        <w:t>without delay</w:t>
      </w:r>
      <w:r>
        <w:t>.</w:t>
      </w:r>
    </w:p>
    <w:p w14:paraId="51DE8281" w14:textId="77777777" w:rsidR="0010369C" w:rsidRDefault="0010369C">
      <w:pPr>
        <w:pStyle w:val="BodyText"/>
        <w:spacing w:before="11"/>
        <w:rPr>
          <w:sz w:val="8"/>
        </w:rPr>
      </w:pPr>
    </w:p>
    <w:p w14:paraId="51DE8282" w14:textId="77777777" w:rsidR="0010369C" w:rsidRDefault="008E43AE">
      <w:pPr>
        <w:pStyle w:val="BodyText"/>
        <w:spacing w:before="52" w:line="360" w:lineRule="auto"/>
        <w:ind w:left="237" w:right="612" w:firstLine="852"/>
        <w:jc w:val="both"/>
      </w:pPr>
      <w:r>
        <w:rPr>
          <w:noProof/>
        </w:rPr>
        <w:drawing>
          <wp:anchor distT="0" distB="0" distL="0" distR="0" simplePos="0" relativeHeight="250876416" behindDoc="1" locked="0" layoutInCell="1" allowOverlap="1" wp14:anchorId="51DE9FAF" wp14:editId="51DE9FB0">
            <wp:simplePos x="0" y="0"/>
            <wp:positionH relativeFrom="page">
              <wp:posOffset>905255</wp:posOffset>
            </wp:positionH>
            <wp:positionV relativeFrom="paragraph">
              <wp:posOffset>81950</wp:posOffset>
            </wp:positionV>
            <wp:extent cx="259079" cy="100753"/>
            <wp:effectExtent l="0" t="0" r="0" b="0"/>
            <wp:wrapNone/>
            <wp:docPr id="407" name="image2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 name="image212.png"/>
                    <pic:cNvPicPr/>
                  </pic:nvPicPr>
                  <pic:blipFill>
                    <a:blip r:embed="rId308" cstate="print"/>
                    <a:stretch>
                      <a:fillRect/>
                    </a:stretch>
                  </pic:blipFill>
                  <pic:spPr>
                    <a:xfrm>
                      <a:off x="0" y="0"/>
                      <a:ext cx="259079" cy="100753"/>
                    </a:xfrm>
                    <a:prstGeom prst="rect">
                      <a:avLst/>
                    </a:prstGeom>
                  </pic:spPr>
                </pic:pic>
              </a:graphicData>
            </a:graphic>
          </wp:anchor>
        </w:drawing>
      </w:r>
      <w:r>
        <w:t>MOFCOM also did not inform Treasury Wines of one of the alleged deficiencies contained</w:t>
      </w:r>
      <w:r>
        <w:rPr>
          <w:spacing w:val="-13"/>
        </w:rPr>
        <w:t xml:space="preserve"> </w:t>
      </w:r>
      <w:r>
        <w:t>in</w:t>
      </w:r>
      <w:r>
        <w:rPr>
          <w:spacing w:val="-13"/>
        </w:rPr>
        <w:t xml:space="preserve"> </w:t>
      </w:r>
      <w:r>
        <w:t>Form</w:t>
      </w:r>
      <w:r>
        <w:rPr>
          <w:spacing w:val="-13"/>
        </w:rPr>
        <w:t xml:space="preserve"> </w:t>
      </w:r>
      <w:r>
        <w:t>6‐4,</w:t>
      </w:r>
      <w:r>
        <w:rPr>
          <w:spacing w:val="-12"/>
        </w:rPr>
        <w:t xml:space="preserve"> </w:t>
      </w:r>
      <w:r>
        <w:t>until</w:t>
      </w:r>
      <w:r>
        <w:rPr>
          <w:spacing w:val="-13"/>
        </w:rPr>
        <w:t xml:space="preserve"> </w:t>
      </w:r>
      <w:r>
        <w:t>publication</w:t>
      </w:r>
      <w:r>
        <w:rPr>
          <w:spacing w:val="-13"/>
        </w:rPr>
        <w:t xml:space="preserve"> </w:t>
      </w:r>
      <w:r>
        <w:t>of</w:t>
      </w:r>
      <w:r>
        <w:rPr>
          <w:spacing w:val="-13"/>
        </w:rPr>
        <w:t xml:space="preserve"> </w:t>
      </w:r>
      <w:r>
        <w:t>the</w:t>
      </w:r>
      <w:r>
        <w:rPr>
          <w:spacing w:val="-13"/>
        </w:rPr>
        <w:t xml:space="preserve"> </w:t>
      </w:r>
      <w:r>
        <w:t>Final</w:t>
      </w:r>
      <w:r>
        <w:rPr>
          <w:spacing w:val="-13"/>
        </w:rPr>
        <w:t xml:space="preserve"> </w:t>
      </w:r>
      <w:r>
        <w:t>Determination.</w:t>
      </w:r>
      <w:r>
        <w:rPr>
          <w:spacing w:val="-12"/>
        </w:rPr>
        <w:t xml:space="preserve"> </w:t>
      </w:r>
      <w:r>
        <w:t>In</w:t>
      </w:r>
      <w:r>
        <w:rPr>
          <w:spacing w:val="-13"/>
        </w:rPr>
        <w:t xml:space="preserve"> </w:t>
      </w:r>
      <w:r>
        <w:t>respect</w:t>
      </w:r>
      <w:r>
        <w:rPr>
          <w:spacing w:val="-13"/>
        </w:rPr>
        <w:t xml:space="preserve"> </w:t>
      </w:r>
      <w:r>
        <w:t>of</w:t>
      </w:r>
      <w:r>
        <w:rPr>
          <w:spacing w:val="-13"/>
        </w:rPr>
        <w:t xml:space="preserve"> </w:t>
      </w:r>
      <w:r>
        <w:t>the</w:t>
      </w:r>
      <w:r>
        <w:rPr>
          <w:spacing w:val="-13"/>
        </w:rPr>
        <w:t xml:space="preserve"> </w:t>
      </w:r>
      <w:r>
        <w:t>allegation that</w:t>
      </w:r>
      <w:r>
        <w:rPr>
          <w:spacing w:val="-8"/>
        </w:rPr>
        <w:t xml:space="preserve"> </w:t>
      </w:r>
      <w:r>
        <w:t>Treasury</w:t>
      </w:r>
      <w:r>
        <w:rPr>
          <w:spacing w:val="-7"/>
        </w:rPr>
        <w:t xml:space="preserve"> </w:t>
      </w:r>
      <w:r>
        <w:t>Wines</w:t>
      </w:r>
      <w:r>
        <w:rPr>
          <w:spacing w:val="-8"/>
        </w:rPr>
        <w:t xml:space="preserve"> </w:t>
      </w:r>
      <w:r>
        <w:t>"did</w:t>
      </w:r>
      <w:r>
        <w:rPr>
          <w:spacing w:val="-8"/>
        </w:rPr>
        <w:t xml:space="preserve"> </w:t>
      </w:r>
      <w:r>
        <w:t>not</w:t>
      </w:r>
      <w:r>
        <w:rPr>
          <w:spacing w:val="-7"/>
        </w:rPr>
        <w:t xml:space="preserve"> </w:t>
      </w:r>
      <w:r>
        <w:t>provide</w:t>
      </w:r>
      <w:r>
        <w:rPr>
          <w:spacing w:val="-6"/>
        </w:rPr>
        <w:t xml:space="preserve"> </w:t>
      </w:r>
      <w:r>
        <w:t>purchase</w:t>
      </w:r>
      <w:r>
        <w:rPr>
          <w:spacing w:val="-6"/>
        </w:rPr>
        <w:t xml:space="preserve"> </w:t>
      </w:r>
      <w:r>
        <w:t>or</w:t>
      </w:r>
      <w:r>
        <w:rPr>
          <w:spacing w:val="-8"/>
        </w:rPr>
        <w:t xml:space="preserve"> </w:t>
      </w:r>
      <w:r>
        <w:t>self‐production</w:t>
      </w:r>
      <w:r>
        <w:rPr>
          <w:spacing w:val="-7"/>
        </w:rPr>
        <w:t xml:space="preserve"> </w:t>
      </w:r>
      <w:r>
        <w:t>information</w:t>
      </w:r>
      <w:r>
        <w:rPr>
          <w:spacing w:val="-7"/>
        </w:rPr>
        <w:t xml:space="preserve"> </w:t>
      </w:r>
      <w:r>
        <w:t>for</w:t>
      </w:r>
      <w:r>
        <w:rPr>
          <w:spacing w:val="-7"/>
        </w:rPr>
        <w:t xml:space="preserve"> </w:t>
      </w:r>
      <w:r>
        <w:t>some</w:t>
      </w:r>
      <w:r>
        <w:rPr>
          <w:spacing w:val="-7"/>
        </w:rPr>
        <w:t xml:space="preserve"> </w:t>
      </w:r>
      <w:r>
        <w:t>direct documents listed in Form 6‐4",</w:t>
      </w:r>
      <w:r>
        <w:rPr>
          <w:vertAlign w:val="superscript"/>
        </w:rPr>
        <w:t>230</w:t>
      </w:r>
      <w:r>
        <w:t xml:space="preserve"> MOFCOM did not raise this as a deficiency in either the Preliminary Determination or the Supplementary Questionnaire. Therefore, there was no basis upon which Treasury Wines could have known that this information was required by MOFCOM for the purposes of</w:t>
      </w:r>
      <w:r>
        <w:t xml:space="preserve"> its investigation.</w:t>
      </w:r>
    </w:p>
    <w:p w14:paraId="51DE8283" w14:textId="77777777" w:rsidR="0010369C" w:rsidRDefault="0010369C">
      <w:pPr>
        <w:pStyle w:val="BodyText"/>
        <w:spacing w:before="10"/>
        <w:rPr>
          <w:sz w:val="8"/>
        </w:rPr>
      </w:pPr>
    </w:p>
    <w:p w14:paraId="51DE8284" w14:textId="77777777" w:rsidR="0010369C" w:rsidRDefault="008E43AE">
      <w:pPr>
        <w:pStyle w:val="BodyText"/>
        <w:spacing w:before="52" w:line="360" w:lineRule="auto"/>
        <w:ind w:left="236" w:right="613" w:firstLine="852"/>
        <w:jc w:val="both"/>
      </w:pPr>
      <w:r>
        <w:rPr>
          <w:noProof/>
        </w:rPr>
        <w:drawing>
          <wp:anchor distT="0" distB="0" distL="0" distR="0" simplePos="0" relativeHeight="250877440" behindDoc="1" locked="0" layoutInCell="1" allowOverlap="1" wp14:anchorId="51DE9FB1" wp14:editId="51DE9FB2">
            <wp:simplePos x="0" y="0"/>
            <wp:positionH relativeFrom="page">
              <wp:posOffset>905255</wp:posOffset>
            </wp:positionH>
            <wp:positionV relativeFrom="paragraph">
              <wp:posOffset>81357</wp:posOffset>
            </wp:positionV>
            <wp:extent cx="259079" cy="103631"/>
            <wp:effectExtent l="0" t="0" r="0" b="0"/>
            <wp:wrapNone/>
            <wp:docPr id="409" name="image2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 name="image213.png"/>
                    <pic:cNvPicPr/>
                  </pic:nvPicPr>
                  <pic:blipFill>
                    <a:blip r:embed="rId309" cstate="print"/>
                    <a:stretch>
                      <a:fillRect/>
                    </a:stretch>
                  </pic:blipFill>
                  <pic:spPr>
                    <a:xfrm>
                      <a:off x="0" y="0"/>
                      <a:ext cx="259079" cy="103631"/>
                    </a:xfrm>
                    <a:prstGeom prst="rect">
                      <a:avLst/>
                    </a:prstGeom>
                  </pic:spPr>
                </pic:pic>
              </a:graphicData>
            </a:graphic>
          </wp:anchor>
        </w:drawing>
      </w:r>
      <w:r>
        <w:t xml:space="preserve">In </w:t>
      </w:r>
      <w:r>
        <w:rPr>
          <w:i/>
        </w:rPr>
        <w:t xml:space="preserve">US – Anti‐Dumping and Countervailing Duties (Korea), </w:t>
      </w:r>
      <w:r>
        <w:t>the Panel held that paragraph 6</w:t>
      </w:r>
      <w:r>
        <w:rPr>
          <w:spacing w:val="-1"/>
        </w:rPr>
        <w:t xml:space="preserve"> </w:t>
      </w:r>
      <w:r>
        <w:t>of Annex II</w:t>
      </w:r>
      <w:r>
        <w:rPr>
          <w:spacing w:val="-2"/>
        </w:rPr>
        <w:t xml:space="preserve"> </w:t>
      </w:r>
      <w:r>
        <w:t>requires</w:t>
      </w:r>
      <w:r>
        <w:rPr>
          <w:spacing w:val="-1"/>
        </w:rPr>
        <w:t xml:space="preserve"> </w:t>
      </w:r>
      <w:r>
        <w:t>an</w:t>
      </w:r>
      <w:r>
        <w:rPr>
          <w:spacing w:val="-1"/>
        </w:rPr>
        <w:t xml:space="preserve"> </w:t>
      </w:r>
      <w:r>
        <w:t>investigating authority to</w:t>
      </w:r>
      <w:r>
        <w:rPr>
          <w:spacing w:val="-1"/>
        </w:rPr>
        <w:t xml:space="preserve"> </w:t>
      </w:r>
      <w:r>
        <w:t>inform an</w:t>
      </w:r>
      <w:r>
        <w:rPr>
          <w:spacing w:val="-1"/>
        </w:rPr>
        <w:t xml:space="preserve"> </w:t>
      </w:r>
      <w:r>
        <w:t xml:space="preserve">interested party why its submitted information, including supplementary information, </w:t>
      </w:r>
      <w:r>
        <w:t>had not been accepted, thereby providing an interested party with an opportunity to provide further explanations within</w:t>
      </w:r>
      <w:r>
        <w:rPr>
          <w:spacing w:val="-8"/>
        </w:rPr>
        <w:t xml:space="preserve"> </w:t>
      </w:r>
      <w:r>
        <w:t>a</w:t>
      </w:r>
      <w:r>
        <w:rPr>
          <w:spacing w:val="-4"/>
        </w:rPr>
        <w:t xml:space="preserve"> </w:t>
      </w:r>
      <w:r>
        <w:t>reasonable</w:t>
      </w:r>
      <w:r>
        <w:rPr>
          <w:spacing w:val="-4"/>
        </w:rPr>
        <w:t xml:space="preserve"> </w:t>
      </w:r>
      <w:r>
        <w:t>period.</w:t>
      </w:r>
      <w:r>
        <w:rPr>
          <w:spacing w:val="-14"/>
        </w:rPr>
        <w:t xml:space="preserve"> </w:t>
      </w:r>
      <w:r>
        <w:rPr>
          <w:vertAlign w:val="superscript"/>
        </w:rPr>
        <w:t>231</w:t>
      </w:r>
      <w:r>
        <w:rPr>
          <w:spacing w:val="40"/>
        </w:rPr>
        <w:t xml:space="preserve"> </w:t>
      </w:r>
      <w:r>
        <w:t>It</w:t>
      </w:r>
      <w:r>
        <w:rPr>
          <w:spacing w:val="-4"/>
        </w:rPr>
        <w:t xml:space="preserve"> </w:t>
      </w:r>
      <w:r>
        <w:t>is</w:t>
      </w:r>
      <w:r>
        <w:rPr>
          <w:spacing w:val="-3"/>
        </w:rPr>
        <w:t xml:space="preserve"> </w:t>
      </w:r>
      <w:r>
        <w:t>clear</w:t>
      </w:r>
      <w:r>
        <w:rPr>
          <w:spacing w:val="-4"/>
        </w:rPr>
        <w:t xml:space="preserve"> </w:t>
      </w:r>
      <w:r>
        <w:t>that</w:t>
      </w:r>
      <w:r>
        <w:rPr>
          <w:spacing w:val="-4"/>
        </w:rPr>
        <w:t xml:space="preserve"> </w:t>
      </w:r>
      <w:r>
        <w:t>information</w:t>
      </w:r>
      <w:r>
        <w:rPr>
          <w:spacing w:val="-3"/>
        </w:rPr>
        <w:t xml:space="preserve"> </w:t>
      </w:r>
      <w:r>
        <w:t>that</w:t>
      </w:r>
      <w:r>
        <w:rPr>
          <w:spacing w:val="-4"/>
        </w:rPr>
        <w:t xml:space="preserve"> </w:t>
      </w:r>
      <w:r>
        <w:t>was</w:t>
      </w:r>
      <w:r>
        <w:rPr>
          <w:spacing w:val="-4"/>
        </w:rPr>
        <w:t xml:space="preserve"> </w:t>
      </w:r>
      <w:r>
        <w:t>requested</w:t>
      </w:r>
      <w:r>
        <w:rPr>
          <w:spacing w:val="-5"/>
        </w:rPr>
        <w:t xml:space="preserve"> </w:t>
      </w:r>
      <w:r>
        <w:t>by</w:t>
      </w:r>
      <w:r>
        <w:rPr>
          <w:spacing w:val="-3"/>
        </w:rPr>
        <w:t xml:space="preserve"> </w:t>
      </w:r>
      <w:r>
        <w:t>MOFCOM</w:t>
      </w:r>
      <w:r>
        <w:rPr>
          <w:spacing w:val="-3"/>
        </w:rPr>
        <w:t xml:space="preserve"> </w:t>
      </w:r>
      <w:r>
        <w:t>in its</w:t>
      </w:r>
      <w:r>
        <w:rPr>
          <w:spacing w:val="-9"/>
        </w:rPr>
        <w:t xml:space="preserve"> </w:t>
      </w:r>
      <w:r>
        <w:t>Anti‐Dumping</w:t>
      </w:r>
      <w:r>
        <w:rPr>
          <w:spacing w:val="-8"/>
        </w:rPr>
        <w:t xml:space="preserve"> </w:t>
      </w:r>
      <w:r>
        <w:t>Questionnaire,</w:t>
      </w:r>
      <w:r>
        <w:rPr>
          <w:spacing w:val="-8"/>
        </w:rPr>
        <w:t xml:space="preserve"> </w:t>
      </w:r>
      <w:r>
        <w:t>and</w:t>
      </w:r>
      <w:r>
        <w:rPr>
          <w:spacing w:val="-9"/>
        </w:rPr>
        <w:t xml:space="preserve"> </w:t>
      </w:r>
      <w:r>
        <w:t>provided</w:t>
      </w:r>
      <w:r>
        <w:rPr>
          <w:spacing w:val="-8"/>
        </w:rPr>
        <w:t xml:space="preserve"> </w:t>
      </w:r>
      <w:r>
        <w:t>by</w:t>
      </w:r>
      <w:r>
        <w:rPr>
          <w:spacing w:val="-8"/>
        </w:rPr>
        <w:t xml:space="preserve"> </w:t>
      </w:r>
      <w:r>
        <w:t>Treasury</w:t>
      </w:r>
      <w:r>
        <w:rPr>
          <w:spacing w:val="-10"/>
        </w:rPr>
        <w:t xml:space="preserve"> </w:t>
      </w:r>
      <w:r>
        <w:t>Wines,</w:t>
      </w:r>
      <w:r>
        <w:rPr>
          <w:spacing w:val="-9"/>
        </w:rPr>
        <w:t xml:space="preserve"> </w:t>
      </w:r>
      <w:r>
        <w:t>namely</w:t>
      </w:r>
      <w:r>
        <w:rPr>
          <w:spacing w:val="-8"/>
        </w:rPr>
        <w:t xml:space="preserve"> </w:t>
      </w:r>
      <w:r>
        <w:t>Re‐submitted</w:t>
      </w:r>
      <w:r>
        <w:rPr>
          <w:spacing w:val="-8"/>
        </w:rPr>
        <w:t xml:space="preserve"> </w:t>
      </w:r>
      <w:r>
        <w:t>Form 6‐4, was ultimately not accepted by MOFCOM in its Final Determination. In such circumstances, paragraph 6 of Annex II required MOFCOM to provide an opportunity to the sampled companies to provide further explanation</w:t>
      </w:r>
      <w:r>
        <w:t>s within a reasonable period, due account being taken of the time limits of the investigation. However, MOFCOM never provided such an opportunity to the sampled companies.</w:t>
      </w:r>
    </w:p>
    <w:p w14:paraId="51DE8285" w14:textId="77777777" w:rsidR="0010369C" w:rsidRDefault="0010369C">
      <w:pPr>
        <w:pStyle w:val="BodyText"/>
        <w:rPr>
          <w:sz w:val="20"/>
        </w:rPr>
      </w:pPr>
    </w:p>
    <w:p w14:paraId="51DE8286" w14:textId="77777777" w:rsidR="0010369C" w:rsidRDefault="0010369C">
      <w:pPr>
        <w:pStyle w:val="BodyText"/>
        <w:rPr>
          <w:sz w:val="20"/>
        </w:rPr>
      </w:pPr>
    </w:p>
    <w:p w14:paraId="51DE8287" w14:textId="77777777" w:rsidR="0010369C" w:rsidRDefault="008E43AE">
      <w:pPr>
        <w:pStyle w:val="BodyText"/>
        <w:spacing w:before="7"/>
        <w:rPr>
          <w:sz w:val="29"/>
        </w:rPr>
      </w:pPr>
      <w:r>
        <w:pict w14:anchorId="51DE9FB3">
          <v:rect id="docshape381" o:spid="_x0000_s1875" style="position:absolute;margin-left:70.9pt;margin-top:19.3pt;width:2in;height:.8pt;z-index:-251098624;mso-wrap-distance-left:0;mso-wrap-distance-right:0;mso-position-horizontal-relative:page" fillcolor="black" stroked="f">
            <w10:wrap type="topAndBottom" anchorx="page"/>
          </v:rect>
        </w:pict>
      </w:r>
    </w:p>
    <w:p w14:paraId="51DE8288" w14:textId="77777777" w:rsidR="0010369C" w:rsidRDefault="0010369C">
      <w:pPr>
        <w:pStyle w:val="BodyText"/>
        <w:spacing w:before="8"/>
        <w:rPr>
          <w:sz w:val="5"/>
        </w:rPr>
      </w:pPr>
    </w:p>
    <w:p w14:paraId="51DE8289" w14:textId="77777777" w:rsidR="0010369C" w:rsidRDefault="0010369C">
      <w:pPr>
        <w:rPr>
          <w:sz w:val="5"/>
        </w:rPr>
        <w:sectPr w:rsidR="0010369C">
          <w:headerReference w:type="default" r:id="rId310"/>
          <w:footerReference w:type="default" r:id="rId311"/>
          <w:pgSz w:w="11910" w:h="16840"/>
          <w:pgMar w:top="880" w:right="800" w:bottom="980" w:left="1180" w:header="569" w:footer="788" w:gutter="0"/>
          <w:cols w:space="720"/>
        </w:sectPr>
      </w:pPr>
    </w:p>
    <w:p w14:paraId="51DE828A" w14:textId="77777777" w:rsidR="0010369C" w:rsidRDefault="008E43AE">
      <w:pPr>
        <w:spacing w:before="40"/>
        <w:ind w:left="238"/>
        <w:rPr>
          <w:sz w:val="18"/>
        </w:rPr>
      </w:pPr>
      <w:r>
        <w:pict w14:anchorId="51DE9FB4">
          <v:rect id="docshape382" o:spid="_x0000_s1874" style="position:absolute;left:0;text-align:left;margin-left:101.85pt;margin-top:2.35pt;width:285.35pt;height:12.05pt;z-index:251756032;mso-position-horizontal-relative:page" fillcolor="black" stroked="f">
            <w10:wrap anchorx="page"/>
          </v:rect>
        </w:pict>
      </w:r>
      <w:r>
        <w:rPr>
          <w:color w:val="5E5E5E"/>
          <w:sz w:val="18"/>
          <w:vertAlign w:val="superscript"/>
        </w:rPr>
        <w:t>229</w:t>
      </w:r>
      <w:r>
        <w:rPr>
          <w:color w:val="5E5E5E"/>
          <w:spacing w:val="-3"/>
          <w:sz w:val="18"/>
        </w:rPr>
        <w:t xml:space="preserve"> </w:t>
      </w:r>
      <w:r>
        <w:rPr>
          <w:color w:val="5E5E5E"/>
          <w:sz w:val="18"/>
        </w:rPr>
        <w:t>See</w:t>
      </w:r>
      <w:r>
        <w:rPr>
          <w:color w:val="5E5E5E"/>
          <w:spacing w:val="-2"/>
          <w:sz w:val="18"/>
        </w:rPr>
        <w:t xml:space="preserve"> </w:t>
      </w:r>
      <w:r>
        <w:rPr>
          <w:color w:val="5E5E5E"/>
          <w:spacing w:val="-10"/>
          <w:sz w:val="18"/>
        </w:rPr>
        <w:t>[</w:t>
      </w:r>
    </w:p>
    <w:p w14:paraId="51DE828B" w14:textId="77777777" w:rsidR="0010369C" w:rsidRDefault="008E43AE">
      <w:pPr>
        <w:ind w:left="238"/>
        <w:rPr>
          <w:sz w:val="18"/>
        </w:rPr>
      </w:pPr>
      <w:r>
        <w:rPr>
          <w:sz w:val="18"/>
          <w:vertAlign w:val="superscript"/>
        </w:rPr>
        <w:t>230</w:t>
      </w:r>
      <w:r>
        <w:rPr>
          <w:spacing w:val="-9"/>
          <w:sz w:val="18"/>
        </w:rPr>
        <w:t xml:space="preserve"> </w:t>
      </w:r>
      <w:r>
        <w:rPr>
          <w:sz w:val="18"/>
        </w:rPr>
        <w:t>Anti‐Dumping</w:t>
      </w:r>
      <w:r>
        <w:rPr>
          <w:spacing w:val="-9"/>
          <w:sz w:val="18"/>
        </w:rPr>
        <w:t xml:space="preserve"> </w:t>
      </w:r>
      <w:r>
        <w:rPr>
          <w:sz w:val="18"/>
        </w:rPr>
        <w:t>Final</w:t>
      </w:r>
      <w:r>
        <w:rPr>
          <w:spacing w:val="-9"/>
          <w:sz w:val="18"/>
        </w:rPr>
        <w:t xml:space="preserve"> </w:t>
      </w:r>
      <w:r>
        <w:rPr>
          <w:sz w:val="18"/>
        </w:rPr>
        <w:t>Determination</w:t>
      </w:r>
      <w:r>
        <w:rPr>
          <w:spacing w:val="-8"/>
          <w:sz w:val="18"/>
        </w:rPr>
        <w:t xml:space="preserve"> </w:t>
      </w:r>
      <w:r>
        <w:rPr>
          <w:sz w:val="18"/>
        </w:rPr>
        <w:t>(Exhibit</w:t>
      </w:r>
      <w:r>
        <w:rPr>
          <w:spacing w:val="-9"/>
          <w:sz w:val="18"/>
        </w:rPr>
        <w:t xml:space="preserve"> </w:t>
      </w:r>
      <w:r>
        <w:rPr>
          <w:sz w:val="18"/>
        </w:rPr>
        <w:t>AUS‐2),</w:t>
      </w:r>
      <w:r>
        <w:rPr>
          <w:spacing w:val="-9"/>
          <w:sz w:val="18"/>
        </w:rPr>
        <w:t xml:space="preserve"> </w:t>
      </w:r>
      <w:r>
        <w:rPr>
          <w:sz w:val="18"/>
        </w:rPr>
        <w:t>p.</w:t>
      </w:r>
      <w:r>
        <w:rPr>
          <w:spacing w:val="-9"/>
          <w:sz w:val="18"/>
        </w:rPr>
        <w:t xml:space="preserve"> </w:t>
      </w:r>
      <w:r>
        <w:rPr>
          <w:spacing w:val="-5"/>
          <w:sz w:val="18"/>
        </w:rPr>
        <w:t>64.</w:t>
      </w:r>
    </w:p>
    <w:p w14:paraId="51DE828C" w14:textId="77777777" w:rsidR="0010369C" w:rsidRDefault="008E43AE">
      <w:pPr>
        <w:tabs>
          <w:tab w:val="left" w:pos="2218"/>
        </w:tabs>
        <w:spacing w:before="40"/>
        <w:ind w:left="238"/>
        <w:rPr>
          <w:sz w:val="18"/>
        </w:rPr>
      </w:pPr>
      <w:r>
        <w:br w:type="column"/>
      </w:r>
      <w:r>
        <w:rPr>
          <w:color w:val="5E5E5E"/>
          <w:sz w:val="18"/>
        </w:rPr>
        <w:t>(Exhibit</w:t>
      </w:r>
      <w:r>
        <w:rPr>
          <w:color w:val="5E5E5E"/>
          <w:spacing w:val="-9"/>
          <w:sz w:val="18"/>
        </w:rPr>
        <w:t xml:space="preserve"> </w:t>
      </w:r>
      <w:r>
        <w:rPr>
          <w:color w:val="5E5E5E"/>
          <w:sz w:val="18"/>
        </w:rPr>
        <w:t>AUS‐15</w:t>
      </w:r>
      <w:r>
        <w:rPr>
          <w:color w:val="5E5E5E"/>
          <w:spacing w:val="-9"/>
          <w:sz w:val="18"/>
        </w:rPr>
        <w:t xml:space="preserve"> </w:t>
      </w:r>
      <w:r>
        <w:rPr>
          <w:color w:val="5E5E5E"/>
          <w:spacing w:val="-2"/>
          <w:sz w:val="18"/>
        </w:rPr>
        <w:t>(BCI)),</w:t>
      </w:r>
      <w:r>
        <w:rPr>
          <w:color w:val="5E5E5E"/>
          <w:sz w:val="18"/>
        </w:rPr>
        <w:tab/>
      </w:r>
      <w:r>
        <w:rPr>
          <w:color w:val="5E5E5E"/>
          <w:spacing w:val="-5"/>
          <w:sz w:val="18"/>
        </w:rPr>
        <w:t>]]</w:t>
      </w:r>
    </w:p>
    <w:p w14:paraId="51DE828D" w14:textId="77777777" w:rsidR="0010369C" w:rsidRDefault="0010369C">
      <w:pPr>
        <w:rPr>
          <w:sz w:val="18"/>
        </w:rPr>
        <w:sectPr w:rsidR="0010369C">
          <w:type w:val="continuous"/>
          <w:pgSz w:w="11910" w:h="16840"/>
          <w:pgMar w:top="1460" w:right="800" w:bottom="280" w:left="1180" w:header="569" w:footer="788" w:gutter="0"/>
          <w:cols w:num="2" w:space="720" w:equalWidth="0">
            <w:col w:w="4653" w:space="1734"/>
            <w:col w:w="3543"/>
          </w:cols>
        </w:sectPr>
      </w:pPr>
    </w:p>
    <w:p w14:paraId="51DE828E" w14:textId="77777777" w:rsidR="0010369C" w:rsidRDefault="008E43AE">
      <w:pPr>
        <w:ind w:left="238"/>
        <w:rPr>
          <w:sz w:val="18"/>
        </w:rPr>
      </w:pPr>
      <w:r>
        <w:pict w14:anchorId="51DE9FB5">
          <v:rect id="docshape383" o:spid="_x0000_s1873" style="position:absolute;left:0;text-align:left;margin-left:472.4pt;margin-top:-21.6pt;width:15.85pt;height:12.05pt;z-index:-251391488;mso-position-horizontal-relative:page" fillcolor="black" stroked="f">
            <w10:wrap anchorx="page"/>
          </v:rect>
        </w:pict>
      </w:r>
      <w:r>
        <w:rPr>
          <w:sz w:val="18"/>
          <w:vertAlign w:val="superscript"/>
        </w:rPr>
        <w:t>231</w:t>
      </w:r>
      <w:r>
        <w:rPr>
          <w:spacing w:val="-8"/>
          <w:sz w:val="18"/>
        </w:rPr>
        <w:t xml:space="preserve"> </w:t>
      </w:r>
      <w:r>
        <w:rPr>
          <w:sz w:val="18"/>
        </w:rPr>
        <w:t>Panel</w:t>
      </w:r>
      <w:r>
        <w:rPr>
          <w:spacing w:val="-8"/>
          <w:sz w:val="18"/>
        </w:rPr>
        <w:t xml:space="preserve"> </w:t>
      </w:r>
      <w:r>
        <w:rPr>
          <w:sz w:val="18"/>
        </w:rPr>
        <w:t>Report,</w:t>
      </w:r>
      <w:r>
        <w:rPr>
          <w:spacing w:val="-8"/>
          <w:sz w:val="18"/>
        </w:rPr>
        <w:t xml:space="preserve"> </w:t>
      </w:r>
      <w:r>
        <w:rPr>
          <w:i/>
          <w:sz w:val="18"/>
        </w:rPr>
        <w:t>US</w:t>
      </w:r>
      <w:r>
        <w:rPr>
          <w:i/>
          <w:spacing w:val="-7"/>
          <w:sz w:val="18"/>
        </w:rPr>
        <w:t xml:space="preserve"> </w:t>
      </w:r>
      <w:r>
        <w:rPr>
          <w:i/>
          <w:sz w:val="18"/>
        </w:rPr>
        <w:t>–</w:t>
      </w:r>
      <w:r>
        <w:rPr>
          <w:i/>
          <w:spacing w:val="-8"/>
          <w:sz w:val="18"/>
        </w:rPr>
        <w:t xml:space="preserve"> </w:t>
      </w:r>
      <w:r>
        <w:rPr>
          <w:i/>
          <w:sz w:val="18"/>
        </w:rPr>
        <w:t>Anti‐Dumping</w:t>
      </w:r>
      <w:r>
        <w:rPr>
          <w:i/>
          <w:spacing w:val="-7"/>
          <w:sz w:val="18"/>
        </w:rPr>
        <w:t xml:space="preserve"> </w:t>
      </w:r>
      <w:r>
        <w:rPr>
          <w:i/>
          <w:sz w:val="18"/>
        </w:rPr>
        <w:t>and</w:t>
      </w:r>
      <w:r>
        <w:rPr>
          <w:i/>
          <w:spacing w:val="-9"/>
          <w:sz w:val="18"/>
        </w:rPr>
        <w:t xml:space="preserve"> </w:t>
      </w:r>
      <w:r>
        <w:rPr>
          <w:i/>
          <w:sz w:val="18"/>
        </w:rPr>
        <w:t>Countervailing</w:t>
      </w:r>
      <w:r>
        <w:rPr>
          <w:i/>
          <w:spacing w:val="-7"/>
          <w:sz w:val="18"/>
        </w:rPr>
        <w:t xml:space="preserve"> </w:t>
      </w:r>
      <w:r>
        <w:rPr>
          <w:i/>
          <w:sz w:val="18"/>
        </w:rPr>
        <w:t>Duties</w:t>
      </w:r>
      <w:r>
        <w:rPr>
          <w:i/>
          <w:spacing w:val="-8"/>
          <w:sz w:val="18"/>
        </w:rPr>
        <w:t xml:space="preserve"> </w:t>
      </w:r>
      <w:r>
        <w:rPr>
          <w:i/>
          <w:sz w:val="18"/>
        </w:rPr>
        <w:t>(Korea),</w:t>
      </w:r>
      <w:r>
        <w:rPr>
          <w:i/>
          <w:spacing w:val="-9"/>
          <w:sz w:val="18"/>
        </w:rPr>
        <w:t xml:space="preserve"> </w:t>
      </w:r>
      <w:r>
        <w:rPr>
          <w:sz w:val="18"/>
        </w:rPr>
        <w:t>paras.</w:t>
      </w:r>
      <w:r>
        <w:rPr>
          <w:spacing w:val="-7"/>
          <w:sz w:val="18"/>
        </w:rPr>
        <w:t xml:space="preserve"> </w:t>
      </w:r>
      <w:r>
        <w:rPr>
          <w:spacing w:val="-2"/>
          <w:sz w:val="18"/>
        </w:rPr>
        <w:t>7.471‐7.472.</w:t>
      </w:r>
    </w:p>
    <w:p w14:paraId="51DE828F" w14:textId="77777777" w:rsidR="0010369C" w:rsidRDefault="0010369C">
      <w:pPr>
        <w:rPr>
          <w:sz w:val="18"/>
        </w:rPr>
        <w:sectPr w:rsidR="0010369C">
          <w:type w:val="continuous"/>
          <w:pgSz w:w="11910" w:h="16840"/>
          <w:pgMar w:top="1460" w:right="800" w:bottom="280" w:left="1180" w:header="569" w:footer="788" w:gutter="0"/>
          <w:cols w:space="720"/>
        </w:sectPr>
      </w:pPr>
    </w:p>
    <w:p w14:paraId="51DE8290" w14:textId="77777777" w:rsidR="0010369C" w:rsidRDefault="008E43AE">
      <w:pPr>
        <w:tabs>
          <w:tab w:val="left" w:pos="6425"/>
        </w:tabs>
        <w:ind w:left="238"/>
        <w:jc w:val="both"/>
        <w:rPr>
          <w:sz w:val="20"/>
        </w:rPr>
      </w:pPr>
      <w:r>
        <w:rPr>
          <w:i/>
          <w:sz w:val="20"/>
        </w:rPr>
        <w:lastRenderedPageBreak/>
        <w:t>China</w:t>
      </w:r>
      <w:r>
        <w:rPr>
          <w:i/>
          <w:spacing w:val="-5"/>
          <w:sz w:val="20"/>
        </w:rPr>
        <w:t xml:space="preserve"> </w:t>
      </w:r>
      <w:r>
        <w:rPr>
          <w:i/>
          <w:sz w:val="20"/>
        </w:rPr>
        <w:t>–</w:t>
      </w:r>
      <w:r>
        <w:rPr>
          <w:i/>
          <w:spacing w:val="-5"/>
          <w:sz w:val="20"/>
        </w:rPr>
        <w:t xml:space="preserve"> </w:t>
      </w:r>
      <w:r>
        <w:rPr>
          <w:i/>
          <w:sz w:val="20"/>
        </w:rPr>
        <w:t>Anti‐Dumping</w:t>
      </w:r>
      <w:r>
        <w:rPr>
          <w:i/>
          <w:spacing w:val="-4"/>
          <w:sz w:val="20"/>
        </w:rPr>
        <w:t xml:space="preserve"> </w:t>
      </w:r>
      <w:r>
        <w:rPr>
          <w:i/>
          <w:sz w:val="20"/>
        </w:rPr>
        <w:t>and</w:t>
      </w:r>
      <w:r>
        <w:rPr>
          <w:i/>
          <w:spacing w:val="-5"/>
          <w:sz w:val="20"/>
        </w:rPr>
        <w:t xml:space="preserve"> </w:t>
      </w:r>
      <w:r>
        <w:rPr>
          <w:i/>
          <w:sz w:val="20"/>
        </w:rPr>
        <w:t>Countervailing</w:t>
      </w:r>
      <w:r>
        <w:rPr>
          <w:i/>
          <w:spacing w:val="-5"/>
          <w:sz w:val="20"/>
        </w:rPr>
        <w:t xml:space="preserve"> </w:t>
      </w:r>
      <w:r>
        <w:rPr>
          <w:i/>
          <w:sz w:val="20"/>
        </w:rPr>
        <w:t>Duty</w:t>
      </w:r>
      <w:r>
        <w:rPr>
          <w:i/>
          <w:spacing w:val="-4"/>
          <w:sz w:val="20"/>
        </w:rPr>
        <w:t xml:space="preserve"> </w:t>
      </w:r>
      <w:r>
        <w:rPr>
          <w:i/>
          <w:spacing w:val="-2"/>
          <w:sz w:val="20"/>
        </w:rPr>
        <w:t>Measures</w:t>
      </w:r>
      <w:r>
        <w:rPr>
          <w:i/>
          <w:sz w:val="20"/>
        </w:rPr>
        <w:tab/>
      </w:r>
      <w:r>
        <w:rPr>
          <w:sz w:val="20"/>
        </w:rPr>
        <w:t>Australia's</w:t>
      </w:r>
      <w:r>
        <w:rPr>
          <w:spacing w:val="-7"/>
          <w:sz w:val="20"/>
        </w:rPr>
        <w:t xml:space="preserve"> </w:t>
      </w:r>
      <w:r>
        <w:rPr>
          <w:sz w:val="20"/>
        </w:rPr>
        <w:t>First</w:t>
      </w:r>
      <w:r>
        <w:rPr>
          <w:spacing w:val="-2"/>
          <w:sz w:val="20"/>
        </w:rPr>
        <w:t xml:space="preserve"> </w:t>
      </w:r>
      <w:r>
        <w:rPr>
          <w:sz w:val="20"/>
        </w:rPr>
        <w:t>Written</w:t>
      </w:r>
      <w:r>
        <w:rPr>
          <w:spacing w:val="-2"/>
          <w:sz w:val="20"/>
        </w:rPr>
        <w:t xml:space="preserve"> Submission</w:t>
      </w:r>
    </w:p>
    <w:p w14:paraId="51DE8291" w14:textId="77777777" w:rsidR="0010369C" w:rsidRDefault="008E43AE">
      <w:pPr>
        <w:tabs>
          <w:tab w:val="left" w:pos="8227"/>
        </w:tabs>
        <w:spacing w:before="1"/>
        <w:ind w:left="239"/>
        <w:jc w:val="both"/>
        <w:rPr>
          <w:sz w:val="20"/>
        </w:rPr>
      </w:pPr>
      <w:r>
        <w:rPr>
          <w:i/>
          <w:sz w:val="20"/>
        </w:rPr>
        <w:t>on</w:t>
      </w:r>
      <w:r>
        <w:rPr>
          <w:i/>
          <w:spacing w:val="-1"/>
          <w:sz w:val="20"/>
        </w:rPr>
        <w:t xml:space="preserve"> </w:t>
      </w:r>
      <w:r>
        <w:rPr>
          <w:i/>
          <w:sz w:val="20"/>
        </w:rPr>
        <w:t>Wine</w:t>
      </w:r>
      <w:r>
        <w:rPr>
          <w:i/>
          <w:spacing w:val="-1"/>
          <w:sz w:val="20"/>
        </w:rPr>
        <w:t xml:space="preserve"> </w:t>
      </w:r>
      <w:r>
        <w:rPr>
          <w:i/>
          <w:sz w:val="20"/>
        </w:rPr>
        <w:t>from</w:t>
      </w:r>
      <w:r>
        <w:rPr>
          <w:i/>
          <w:spacing w:val="-3"/>
          <w:sz w:val="20"/>
        </w:rPr>
        <w:t xml:space="preserve"> </w:t>
      </w:r>
      <w:r>
        <w:rPr>
          <w:i/>
          <w:sz w:val="20"/>
        </w:rPr>
        <w:t>Australia</w:t>
      </w:r>
      <w:r>
        <w:rPr>
          <w:i/>
          <w:spacing w:val="-1"/>
          <w:sz w:val="20"/>
        </w:rPr>
        <w:t xml:space="preserve"> </w:t>
      </w:r>
      <w:r>
        <w:rPr>
          <w:spacing w:val="-2"/>
          <w:sz w:val="20"/>
        </w:rPr>
        <w:t>(DS602)</w:t>
      </w:r>
      <w:r>
        <w:rPr>
          <w:sz w:val="20"/>
        </w:rPr>
        <w:tab/>
        <w:t>29</w:t>
      </w:r>
      <w:r>
        <w:rPr>
          <w:spacing w:val="-1"/>
          <w:sz w:val="20"/>
        </w:rPr>
        <w:t xml:space="preserve"> </w:t>
      </w:r>
      <w:r>
        <w:rPr>
          <w:sz w:val="20"/>
        </w:rPr>
        <w:t>April</w:t>
      </w:r>
      <w:r>
        <w:rPr>
          <w:spacing w:val="-2"/>
          <w:sz w:val="20"/>
        </w:rPr>
        <w:t xml:space="preserve"> </w:t>
      </w:r>
      <w:r>
        <w:rPr>
          <w:spacing w:val="-4"/>
          <w:sz w:val="20"/>
        </w:rPr>
        <w:t>2022</w:t>
      </w:r>
    </w:p>
    <w:p w14:paraId="51DE8292" w14:textId="77777777" w:rsidR="0010369C" w:rsidRDefault="008E43AE">
      <w:pPr>
        <w:pStyle w:val="BodyText"/>
        <w:spacing w:before="34" w:line="360" w:lineRule="auto"/>
        <w:ind w:left="237" w:right="614" w:firstLine="851"/>
        <w:jc w:val="both"/>
      </w:pPr>
      <w:r>
        <w:rPr>
          <w:noProof/>
        </w:rPr>
        <w:drawing>
          <wp:anchor distT="0" distB="0" distL="0" distR="0" simplePos="0" relativeHeight="250878464" behindDoc="1" locked="0" layoutInCell="1" allowOverlap="1" wp14:anchorId="51DE9FB6" wp14:editId="51DE9FB7">
            <wp:simplePos x="0" y="0"/>
            <wp:positionH relativeFrom="page">
              <wp:posOffset>905255</wp:posOffset>
            </wp:positionH>
            <wp:positionV relativeFrom="paragraph">
              <wp:posOffset>69165</wp:posOffset>
            </wp:positionV>
            <wp:extent cx="259079" cy="103631"/>
            <wp:effectExtent l="0" t="0" r="0" b="0"/>
            <wp:wrapNone/>
            <wp:docPr id="411" name="image2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 name="image214.png"/>
                    <pic:cNvPicPr/>
                  </pic:nvPicPr>
                  <pic:blipFill>
                    <a:blip r:embed="rId312" cstate="print"/>
                    <a:stretch>
                      <a:fillRect/>
                    </a:stretch>
                  </pic:blipFill>
                  <pic:spPr>
                    <a:xfrm>
                      <a:off x="0" y="0"/>
                      <a:ext cx="259079" cy="103631"/>
                    </a:xfrm>
                    <a:prstGeom prst="rect">
                      <a:avLst/>
                    </a:prstGeom>
                  </pic:spPr>
                </pic:pic>
              </a:graphicData>
            </a:graphic>
          </wp:anchor>
        </w:drawing>
      </w:r>
      <w:r>
        <w:t>Because</w:t>
      </w:r>
      <w:r>
        <w:rPr>
          <w:spacing w:val="-7"/>
        </w:rPr>
        <w:t xml:space="preserve"> </w:t>
      </w:r>
      <w:r>
        <w:t>MOFCOM</w:t>
      </w:r>
      <w:r>
        <w:rPr>
          <w:spacing w:val="-7"/>
        </w:rPr>
        <w:t xml:space="preserve"> </w:t>
      </w:r>
      <w:r>
        <w:t>failed</w:t>
      </w:r>
      <w:r>
        <w:rPr>
          <w:spacing w:val="-7"/>
        </w:rPr>
        <w:t xml:space="preserve"> </w:t>
      </w:r>
      <w:r>
        <w:t>to</w:t>
      </w:r>
      <w:r>
        <w:rPr>
          <w:spacing w:val="-7"/>
        </w:rPr>
        <w:t xml:space="preserve"> </w:t>
      </w:r>
      <w:r>
        <w:t>provide</w:t>
      </w:r>
      <w:r>
        <w:rPr>
          <w:spacing w:val="-6"/>
        </w:rPr>
        <w:t xml:space="preserve"> </w:t>
      </w:r>
      <w:r>
        <w:t>the</w:t>
      </w:r>
      <w:r>
        <w:rPr>
          <w:spacing w:val="-7"/>
        </w:rPr>
        <w:t xml:space="preserve"> </w:t>
      </w:r>
      <w:r>
        <w:t>requisite</w:t>
      </w:r>
      <w:r>
        <w:rPr>
          <w:spacing w:val="-9"/>
        </w:rPr>
        <w:t xml:space="preserve"> </w:t>
      </w:r>
      <w:r>
        <w:t>notice</w:t>
      </w:r>
      <w:r>
        <w:rPr>
          <w:spacing w:val="-6"/>
        </w:rPr>
        <w:t xml:space="preserve"> </w:t>
      </w:r>
      <w:r>
        <w:t>to</w:t>
      </w:r>
      <w:r>
        <w:rPr>
          <w:spacing w:val="-7"/>
        </w:rPr>
        <w:t xml:space="preserve"> </w:t>
      </w:r>
      <w:r>
        <w:t>Treasury</w:t>
      </w:r>
      <w:r>
        <w:rPr>
          <w:spacing w:val="-8"/>
        </w:rPr>
        <w:t xml:space="preserve"> </w:t>
      </w:r>
      <w:r>
        <w:t>Wines,</w:t>
      </w:r>
      <w:r>
        <w:rPr>
          <w:spacing w:val="-8"/>
        </w:rPr>
        <w:t xml:space="preserve"> </w:t>
      </w:r>
      <w:r>
        <w:t>it</w:t>
      </w:r>
      <w:r>
        <w:rPr>
          <w:spacing w:val="-7"/>
        </w:rPr>
        <w:t xml:space="preserve"> </w:t>
      </w:r>
      <w:r>
        <w:t>follows that MOFCOM also failed to provide Treasury Wines with an opportunity to provide explanations as to why the information ought to be considered.</w:t>
      </w:r>
    </w:p>
    <w:p w14:paraId="51DE8293" w14:textId="77777777" w:rsidR="0010369C" w:rsidRDefault="0010369C">
      <w:pPr>
        <w:pStyle w:val="BodyText"/>
        <w:spacing w:before="11"/>
        <w:rPr>
          <w:sz w:val="8"/>
        </w:rPr>
      </w:pPr>
    </w:p>
    <w:p w14:paraId="51DE8294" w14:textId="77777777" w:rsidR="0010369C" w:rsidRDefault="008E43AE">
      <w:pPr>
        <w:pStyle w:val="BodyText"/>
        <w:spacing w:before="52" w:line="360" w:lineRule="auto"/>
        <w:ind w:left="237" w:right="612" w:firstLine="852"/>
        <w:jc w:val="both"/>
      </w:pPr>
      <w:r>
        <w:rPr>
          <w:noProof/>
        </w:rPr>
        <w:drawing>
          <wp:anchor distT="0" distB="0" distL="0" distR="0" simplePos="0" relativeHeight="250879488" behindDoc="1" locked="0" layoutInCell="1" allowOverlap="1" wp14:anchorId="51DE9FB8" wp14:editId="51DE9FB9">
            <wp:simplePos x="0" y="0"/>
            <wp:positionH relativeFrom="page">
              <wp:posOffset>905255</wp:posOffset>
            </wp:positionH>
            <wp:positionV relativeFrom="paragraph">
              <wp:posOffset>80595</wp:posOffset>
            </wp:positionV>
            <wp:extent cx="259079" cy="103631"/>
            <wp:effectExtent l="0" t="0" r="0" b="0"/>
            <wp:wrapNone/>
            <wp:docPr id="413" name="image2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 name="image215.png"/>
                    <pic:cNvPicPr/>
                  </pic:nvPicPr>
                  <pic:blipFill>
                    <a:blip r:embed="rId313" cstate="print"/>
                    <a:stretch>
                      <a:fillRect/>
                    </a:stretch>
                  </pic:blipFill>
                  <pic:spPr>
                    <a:xfrm>
                      <a:off x="0" y="0"/>
                      <a:ext cx="259079" cy="103631"/>
                    </a:xfrm>
                    <a:prstGeom prst="rect">
                      <a:avLst/>
                    </a:prstGeom>
                  </pic:spPr>
                </pic:pic>
              </a:graphicData>
            </a:graphic>
          </wp:anchor>
        </w:drawing>
      </w:r>
      <w:r>
        <w:t>The</w:t>
      </w:r>
      <w:r>
        <w:rPr>
          <w:spacing w:val="-14"/>
        </w:rPr>
        <w:t xml:space="preserve"> </w:t>
      </w:r>
      <w:r>
        <w:t>only</w:t>
      </w:r>
      <w:r>
        <w:rPr>
          <w:spacing w:val="-14"/>
        </w:rPr>
        <w:t xml:space="preserve"> </w:t>
      </w:r>
      <w:r>
        <w:t>notice</w:t>
      </w:r>
      <w:r>
        <w:rPr>
          <w:spacing w:val="-13"/>
        </w:rPr>
        <w:t xml:space="preserve"> </w:t>
      </w:r>
      <w:r>
        <w:t>provided</w:t>
      </w:r>
      <w:r>
        <w:rPr>
          <w:spacing w:val="-14"/>
        </w:rPr>
        <w:t xml:space="preserve"> </w:t>
      </w:r>
      <w:r>
        <w:t>to</w:t>
      </w:r>
      <w:r>
        <w:rPr>
          <w:spacing w:val="-13"/>
        </w:rPr>
        <w:t xml:space="preserve"> </w:t>
      </w:r>
      <w:r>
        <w:t>Treasury</w:t>
      </w:r>
      <w:r>
        <w:rPr>
          <w:spacing w:val="-14"/>
        </w:rPr>
        <w:t xml:space="preserve"> </w:t>
      </w:r>
      <w:r>
        <w:t>Wines</w:t>
      </w:r>
      <w:r>
        <w:rPr>
          <w:spacing w:val="-13"/>
        </w:rPr>
        <w:t xml:space="preserve"> </w:t>
      </w:r>
      <w:r>
        <w:t>in</w:t>
      </w:r>
      <w:r>
        <w:rPr>
          <w:spacing w:val="-14"/>
        </w:rPr>
        <w:t xml:space="preserve"> </w:t>
      </w:r>
      <w:r>
        <w:t>the</w:t>
      </w:r>
      <w:r>
        <w:rPr>
          <w:spacing w:val="-14"/>
        </w:rPr>
        <w:t xml:space="preserve"> </w:t>
      </w:r>
      <w:r>
        <w:t>investigation</w:t>
      </w:r>
      <w:r>
        <w:rPr>
          <w:spacing w:val="-13"/>
        </w:rPr>
        <w:t xml:space="preserve"> </w:t>
      </w:r>
      <w:r>
        <w:t>was</w:t>
      </w:r>
      <w:r>
        <w:rPr>
          <w:spacing w:val="-14"/>
        </w:rPr>
        <w:t xml:space="preserve"> </w:t>
      </w:r>
      <w:r>
        <w:t>in</w:t>
      </w:r>
      <w:r>
        <w:rPr>
          <w:spacing w:val="-13"/>
        </w:rPr>
        <w:t xml:space="preserve"> </w:t>
      </w:r>
      <w:r>
        <w:t>the</w:t>
      </w:r>
      <w:r>
        <w:rPr>
          <w:spacing w:val="-14"/>
        </w:rPr>
        <w:t xml:space="preserve"> </w:t>
      </w:r>
      <w:r>
        <w:t>Preliminary Determination,</w:t>
      </w:r>
      <w:r>
        <w:rPr>
          <w:spacing w:val="-4"/>
        </w:rPr>
        <w:t xml:space="preserve"> </w:t>
      </w:r>
      <w:r>
        <w:t>Supplementary</w:t>
      </w:r>
      <w:r>
        <w:rPr>
          <w:spacing w:val="-4"/>
        </w:rPr>
        <w:t xml:space="preserve"> </w:t>
      </w:r>
      <w:r>
        <w:t>Questionnaire</w:t>
      </w:r>
      <w:r>
        <w:rPr>
          <w:spacing w:val="-5"/>
        </w:rPr>
        <w:t xml:space="preserve"> </w:t>
      </w:r>
      <w:r>
        <w:t>and</w:t>
      </w:r>
      <w:r>
        <w:rPr>
          <w:spacing w:val="-5"/>
        </w:rPr>
        <w:t xml:space="preserve"> </w:t>
      </w:r>
      <w:r>
        <w:t>Final</w:t>
      </w:r>
      <w:r>
        <w:rPr>
          <w:spacing w:val="-4"/>
        </w:rPr>
        <w:t xml:space="preserve"> </w:t>
      </w:r>
      <w:r>
        <w:t>Determination.</w:t>
      </w:r>
      <w:r>
        <w:rPr>
          <w:spacing w:val="-4"/>
        </w:rPr>
        <w:t xml:space="preserve"> </w:t>
      </w:r>
      <w:r>
        <w:t>As</w:t>
      </w:r>
      <w:r>
        <w:rPr>
          <w:spacing w:val="-5"/>
        </w:rPr>
        <w:t xml:space="preserve"> </w:t>
      </w:r>
      <w:r>
        <w:t>mentioned</w:t>
      </w:r>
      <w:r>
        <w:rPr>
          <w:spacing w:val="-6"/>
        </w:rPr>
        <w:t xml:space="preserve"> </w:t>
      </w:r>
      <w:r>
        <w:t>above, Treasury Wines made submissions in response to the Preliminary Determination concerning MOFCOM's rejection of its submitted information, and was not made aware that the information it</w:t>
      </w:r>
      <w:r>
        <w:t xml:space="preserve"> submitted in response to the Supplementary Questionnaire was in any way deficient,</w:t>
      </w:r>
      <w:r>
        <w:rPr>
          <w:spacing w:val="-1"/>
        </w:rPr>
        <w:t xml:space="preserve"> </w:t>
      </w:r>
      <w:r>
        <w:t>or</w:t>
      </w:r>
      <w:r>
        <w:rPr>
          <w:spacing w:val="-3"/>
        </w:rPr>
        <w:t xml:space="preserve"> </w:t>
      </w:r>
      <w:r>
        <w:t>rejected.</w:t>
      </w:r>
      <w:r>
        <w:rPr>
          <w:spacing w:val="-2"/>
        </w:rPr>
        <w:t xml:space="preserve"> </w:t>
      </w:r>
      <w:r>
        <w:t>Pursuant</w:t>
      </w:r>
      <w:r>
        <w:rPr>
          <w:spacing w:val="-2"/>
        </w:rPr>
        <w:t xml:space="preserve"> </w:t>
      </w:r>
      <w:r>
        <w:t>to</w:t>
      </w:r>
      <w:r>
        <w:rPr>
          <w:spacing w:val="-1"/>
        </w:rPr>
        <w:t xml:space="preserve"> </w:t>
      </w:r>
      <w:r>
        <w:t>paragraph</w:t>
      </w:r>
      <w:r>
        <w:rPr>
          <w:spacing w:val="-1"/>
        </w:rPr>
        <w:t xml:space="preserve"> </w:t>
      </w:r>
      <w:r>
        <w:t>6</w:t>
      </w:r>
      <w:r>
        <w:rPr>
          <w:spacing w:val="-2"/>
        </w:rPr>
        <w:t xml:space="preserve"> </w:t>
      </w:r>
      <w:r>
        <w:t>of</w:t>
      </w:r>
      <w:r>
        <w:rPr>
          <w:spacing w:val="-2"/>
        </w:rPr>
        <w:t xml:space="preserve"> </w:t>
      </w:r>
      <w:r>
        <w:t>Annex</w:t>
      </w:r>
      <w:r>
        <w:rPr>
          <w:spacing w:val="-2"/>
        </w:rPr>
        <w:t xml:space="preserve"> </w:t>
      </w:r>
      <w:r>
        <w:t>II,</w:t>
      </w:r>
      <w:r>
        <w:rPr>
          <w:spacing w:val="-2"/>
        </w:rPr>
        <w:t xml:space="preserve"> </w:t>
      </w:r>
      <w:r>
        <w:t>MOFCOM</w:t>
      </w:r>
      <w:r>
        <w:rPr>
          <w:spacing w:val="-2"/>
        </w:rPr>
        <w:t xml:space="preserve"> </w:t>
      </w:r>
      <w:r>
        <w:t>was</w:t>
      </w:r>
      <w:r>
        <w:rPr>
          <w:spacing w:val="-1"/>
        </w:rPr>
        <w:t xml:space="preserve"> </w:t>
      </w:r>
      <w:r>
        <w:t>obliged</w:t>
      </w:r>
      <w:r>
        <w:rPr>
          <w:spacing w:val="-2"/>
        </w:rPr>
        <w:t xml:space="preserve"> </w:t>
      </w:r>
      <w:r>
        <w:t>to</w:t>
      </w:r>
      <w:r>
        <w:rPr>
          <w:spacing w:val="-1"/>
        </w:rPr>
        <w:t xml:space="preserve"> </w:t>
      </w:r>
      <w:r>
        <w:t>consider the explanations provided by Treasury Wines and, if they were not considered satisfactory, MOFCOM was obliged to provide the reasons for the rejection of the evidence and information</w:t>
      </w:r>
      <w:r>
        <w:rPr>
          <w:spacing w:val="-6"/>
        </w:rPr>
        <w:t xml:space="preserve"> </w:t>
      </w:r>
      <w:r>
        <w:t>in</w:t>
      </w:r>
      <w:r>
        <w:rPr>
          <w:spacing w:val="-6"/>
        </w:rPr>
        <w:t xml:space="preserve"> </w:t>
      </w:r>
      <w:r>
        <w:t>its</w:t>
      </w:r>
      <w:r>
        <w:rPr>
          <w:spacing w:val="-6"/>
        </w:rPr>
        <w:t xml:space="preserve"> </w:t>
      </w:r>
      <w:r>
        <w:t>published</w:t>
      </w:r>
      <w:r>
        <w:rPr>
          <w:spacing w:val="-5"/>
        </w:rPr>
        <w:t xml:space="preserve"> </w:t>
      </w:r>
      <w:r>
        <w:t>determinations</w:t>
      </w:r>
      <w:r>
        <w:rPr>
          <w:spacing w:val="-6"/>
        </w:rPr>
        <w:t xml:space="preserve"> </w:t>
      </w:r>
      <w:r>
        <w:t>and</w:t>
      </w:r>
      <w:r>
        <w:rPr>
          <w:spacing w:val="-6"/>
        </w:rPr>
        <w:t xml:space="preserve"> </w:t>
      </w:r>
      <w:r>
        <w:t>provide</w:t>
      </w:r>
      <w:r>
        <w:rPr>
          <w:spacing w:val="-5"/>
        </w:rPr>
        <w:t xml:space="preserve"> </w:t>
      </w:r>
      <w:r>
        <w:t>an</w:t>
      </w:r>
      <w:r>
        <w:rPr>
          <w:spacing w:val="-8"/>
        </w:rPr>
        <w:t xml:space="preserve"> </w:t>
      </w:r>
      <w:r>
        <w:t>opportunity</w:t>
      </w:r>
      <w:r>
        <w:rPr>
          <w:spacing w:val="-5"/>
        </w:rPr>
        <w:t xml:space="preserve"> </w:t>
      </w:r>
      <w:r>
        <w:t>for</w:t>
      </w:r>
      <w:r>
        <w:rPr>
          <w:spacing w:val="-6"/>
        </w:rPr>
        <w:t xml:space="preserve"> </w:t>
      </w:r>
      <w:r>
        <w:t>i</w:t>
      </w:r>
      <w:r>
        <w:t>nterested</w:t>
      </w:r>
      <w:r>
        <w:rPr>
          <w:spacing w:val="-7"/>
        </w:rPr>
        <w:t xml:space="preserve"> </w:t>
      </w:r>
      <w:r>
        <w:t>parties to give an explanation. It did not do so.</w:t>
      </w:r>
    </w:p>
    <w:p w14:paraId="51DE8295" w14:textId="77777777" w:rsidR="0010369C" w:rsidRDefault="0010369C">
      <w:pPr>
        <w:pStyle w:val="BodyText"/>
        <w:spacing w:before="10"/>
        <w:rPr>
          <w:sz w:val="8"/>
        </w:rPr>
      </w:pPr>
    </w:p>
    <w:p w14:paraId="51DE8296" w14:textId="77777777" w:rsidR="0010369C" w:rsidRDefault="008E43AE">
      <w:pPr>
        <w:pStyle w:val="BodyText"/>
        <w:spacing w:before="51" w:line="360" w:lineRule="auto"/>
        <w:ind w:left="238" w:right="612" w:firstLine="850"/>
        <w:jc w:val="both"/>
      </w:pPr>
      <w:r>
        <w:rPr>
          <w:noProof/>
        </w:rPr>
        <w:drawing>
          <wp:anchor distT="0" distB="0" distL="0" distR="0" simplePos="0" relativeHeight="250880512" behindDoc="1" locked="0" layoutInCell="1" allowOverlap="1" wp14:anchorId="51DE9FBA" wp14:editId="51DE9FBB">
            <wp:simplePos x="0" y="0"/>
            <wp:positionH relativeFrom="page">
              <wp:posOffset>905255</wp:posOffset>
            </wp:positionH>
            <wp:positionV relativeFrom="paragraph">
              <wp:posOffset>80552</wp:posOffset>
            </wp:positionV>
            <wp:extent cx="259079" cy="100753"/>
            <wp:effectExtent l="0" t="0" r="0" b="0"/>
            <wp:wrapNone/>
            <wp:docPr id="415" name="image2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 name="image216.png"/>
                    <pic:cNvPicPr/>
                  </pic:nvPicPr>
                  <pic:blipFill>
                    <a:blip r:embed="rId314" cstate="print"/>
                    <a:stretch>
                      <a:fillRect/>
                    </a:stretch>
                  </pic:blipFill>
                  <pic:spPr>
                    <a:xfrm>
                      <a:off x="0" y="0"/>
                      <a:ext cx="259079" cy="100753"/>
                    </a:xfrm>
                    <a:prstGeom prst="rect">
                      <a:avLst/>
                    </a:prstGeom>
                  </pic:spPr>
                </pic:pic>
              </a:graphicData>
            </a:graphic>
          </wp:anchor>
        </w:drawing>
      </w:r>
      <w:r>
        <w:t>In response to submissions from Treasury Wines in response to the Preliminary Determination</w:t>
      </w:r>
      <w:r>
        <w:rPr>
          <w:spacing w:val="-11"/>
        </w:rPr>
        <w:t xml:space="preserve"> </w:t>
      </w:r>
      <w:r>
        <w:t>and</w:t>
      </w:r>
      <w:r>
        <w:rPr>
          <w:spacing w:val="-12"/>
        </w:rPr>
        <w:t xml:space="preserve"> </w:t>
      </w:r>
      <w:r>
        <w:t>Supplementary</w:t>
      </w:r>
      <w:r>
        <w:rPr>
          <w:spacing w:val="-10"/>
        </w:rPr>
        <w:t xml:space="preserve"> </w:t>
      </w:r>
      <w:r>
        <w:t>Questionnaire,</w:t>
      </w:r>
      <w:r>
        <w:rPr>
          <w:spacing w:val="-12"/>
        </w:rPr>
        <w:t xml:space="preserve"> </w:t>
      </w:r>
      <w:r>
        <w:t>MOFCOM</w:t>
      </w:r>
      <w:r>
        <w:rPr>
          <w:spacing w:val="-10"/>
        </w:rPr>
        <w:t xml:space="preserve"> </w:t>
      </w:r>
      <w:r>
        <w:t>provided</w:t>
      </w:r>
      <w:r>
        <w:rPr>
          <w:spacing w:val="-12"/>
        </w:rPr>
        <w:t xml:space="preserve"> </w:t>
      </w:r>
      <w:r>
        <w:t>only</w:t>
      </w:r>
      <w:r>
        <w:rPr>
          <w:spacing w:val="-11"/>
        </w:rPr>
        <w:t xml:space="preserve"> </w:t>
      </w:r>
      <w:r>
        <w:t>cursory</w:t>
      </w:r>
      <w:r>
        <w:rPr>
          <w:spacing w:val="-12"/>
        </w:rPr>
        <w:t xml:space="preserve"> </w:t>
      </w:r>
      <w:r>
        <w:t>responses in the Final Determination, cl</w:t>
      </w:r>
      <w:r>
        <w:t>aiming for example that:</w:t>
      </w:r>
      <w:r>
        <w:rPr>
          <w:vertAlign w:val="superscript"/>
        </w:rPr>
        <w:t>232</w:t>
      </w:r>
    </w:p>
    <w:p w14:paraId="51DE8297" w14:textId="77777777" w:rsidR="0010369C" w:rsidRDefault="008E43AE">
      <w:pPr>
        <w:spacing w:before="162" w:line="276" w:lineRule="auto"/>
        <w:ind w:left="1088" w:right="612"/>
        <w:jc w:val="both"/>
      </w:pPr>
      <w:r>
        <w:t>It could be known from the above descriptions that the Company did not submit relevant information within the stipulated time in accordance with the questionnaire requirements and that there was also lots of problems with the information already submitted.</w:t>
      </w:r>
      <w:r>
        <w:t xml:space="preserve"> Secondly, after the Investigating Authority pointed out the above problems, the Company still did not give reasonable explanations. All of the above factors led to the consequence that the production costs and expenses of the product under investigation a</w:t>
      </w:r>
      <w:r>
        <w:t xml:space="preserve">nd like products could not be verified. Thus, the basis of using known facts and the best information available is </w:t>
      </w:r>
      <w:r>
        <w:rPr>
          <w:spacing w:val="-2"/>
        </w:rPr>
        <w:t>secured.</w:t>
      </w:r>
    </w:p>
    <w:p w14:paraId="51DE8298" w14:textId="77777777" w:rsidR="0010369C" w:rsidRDefault="0010369C">
      <w:pPr>
        <w:pStyle w:val="BodyText"/>
        <w:spacing w:before="4"/>
        <w:rPr>
          <w:sz w:val="15"/>
        </w:rPr>
      </w:pPr>
    </w:p>
    <w:p w14:paraId="51DE8299" w14:textId="77777777" w:rsidR="0010369C" w:rsidRDefault="008E43AE">
      <w:pPr>
        <w:pStyle w:val="BodyText"/>
        <w:spacing w:before="52" w:line="360" w:lineRule="auto"/>
        <w:ind w:left="237" w:right="612" w:firstLine="851"/>
        <w:jc w:val="both"/>
      </w:pPr>
      <w:r>
        <w:rPr>
          <w:noProof/>
        </w:rPr>
        <w:drawing>
          <wp:anchor distT="0" distB="0" distL="0" distR="0" simplePos="0" relativeHeight="250881536" behindDoc="1" locked="0" layoutInCell="1" allowOverlap="1" wp14:anchorId="51DE9FBC" wp14:editId="51DE9FBD">
            <wp:simplePos x="0" y="0"/>
            <wp:positionH relativeFrom="page">
              <wp:posOffset>905255</wp:posOffset>
            </wp:positionH>
            <wp:positionV relativeFrom="paragraph">
              <wp:posOffset>81949</wp:posOffset>
            </wp:positionV>
            <wp:extent cx="259079" cy="100753"/>
            <wp:effectExtent l="0" t="0" r="0" b="0"/>
            <wp:wrapNone/>
            <wp:docPr id="417" name="image2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 name="image217.png"/>
                    <pic:cNvPicPr/>
                  </pic:nvPicPr>
                  <pic:blipFill>
                    <a:blip r:embed="rId315" cstate="print"/>
                    <a:stretch>
                      <a:fillRect/>
                    </a:stretch>
                  </pic:blipFill>
                  <pic:spPr>
                    <a:xfrm>
                      <a:off x="0" y="0"/>
                      <a:ext cx="259079" cy="100753"/>
                    </a:xfrm>
                    <a:prstGeom prst="rect">
                      <a:avLst/>
                    </a:prstGeom>
                  </pic:spPr>
                </pic:pic>
              </a:graphicData>
            </a:graphic>
          </wp:anchor>
        </w:drawing>
      </w:r>
      <w:r>
        <w:t xml:space="preserve">This statement from MOFCOM does not address, in any meaningful way, the issues raised in Treasury Wines' submissions. It is not a </w:t>
      </w:r>
      <w:r>
        <w:t xml:space="preserve">"reason" for why MOFCOM did not accept supplementary information. Providing reasons entails giving an account for why something has occurred. It is concerned with setting out the evaluation of facts, rather than the </w:t>
      </w:r>
      <w:r>
        <w:rPr>
          <w:w w:val="95"/>
        </w:rPr>
        <w:t>establishment</w:t>
      </w:r>
      <w:r>
        <w:rPr>
          <w:spacing w:val="11"/>
        </w:rPr>
        <w:t xml:space="preserve"> </w:t>
      </w:r>
      <w:r>
        <w:rPr>
          <w:w w:val="95"/>
        </w:rPr>
        <w:t>of</w:t>
      </w:r>
      <w:r>
        <w:rPr>
          <w:spacing w:val="13"/>
        </w:rPr>
        <w:t xml:space="preserve"> </w:t>
      </w:r>
      <w:r>
        <w:rPr>
          <w:w w:val="95"/>
        </w:rPr>
        <w:t>those</w:t>
      </w:r>
      <w:r>
        <w:rPr>
          <w:spacing w:val="12"/>
        </w:rPr>
        <w:t xml:space="preserve"> </w:t>
      </w:r>
      <w:r>
        <w:rPr>
          <w:w w:val="95"/>
        </w:rPr>
        <w:t>facts.</w:t>
      </w:r>
      <w:r>
        <w:rPr>
          <w:w w:val="95"/>
          <w:vertAlign w:val="superscript"/>
        </w:rPr>
        <w:t>233</w:t>
      </w:r>
      <w:r>
        <w:rPr>
          <w:spacing w:val="12"/>
        </w:rPr>
        <w:t xml:space="preserve"> </w:t>
      </w:r>
      <w:r>
        <w:rPr>
          <w:w w:val="95"/>
        </w:rPr>
        <w:t>A</w:t>
      </w:r>
      <w:r>
        <w:rPr>
          <w:spacing w:val="12"/>
        </w:rPr>
        <w:t xml:space="preserve"> </w:t>
      </w:r>
      <w:r>
        <w:rPr>
          <w:w w:val="95"/>
        </w:rPr>
        <w:t>recitation</w:t>
      </w:r>
      <w:r>
        <w:rPr>
          <w:spacing w:val="10"/>
        </w:rPr>
        <w:t xml:space="preserve"> </w:t>
      </w:r>
      <w:r>
        <w:rPr>
          <w:w w:val="95"/>
        </w:rPr>
        <w:t>of</w:t>
      </w:r>
      <w:r>
        <w:rPr>
          <w:spacing w:val="13"/>
        </w:rPr>
        <w:t xml:space="preserve"> </w:t>
      </w:r>
      <w:r>
        <w:rPr>
          <w:w w:val="95"/>
        </w:rPr>
        <w:t>what</w:t>
      </w:r>
      <w:r>
        <w:rPr>
          <w:spacing w:val="13"/>
        </w:rPr>
        <w:t xml:space="preserve"> </w:t>
      </w:r>
      <w:r>
        <w:rPr>
          <w:w w:val="95"/>
        </w:rPr>
        <w:t>has</w:t>
      </w:r>
      <w:r>
        <w:rPr>
          <w:spacing w:val="13"/>
        </w:rPr>
        <w:t xml:space="preserve"> </w:t>
      </w:r>
      <w:r>
        <w:rPr>
          <w:w w:val="95"/>
        </w:rPr>
        <w:t>occurred,</w:t>
      </w:r>
      <w:r>
        <w:rPr>
          <w:spacing w:val="12"/>
        </w:rPr>
        <w:t xml:space="preserve"> </w:t>
      </w:r>
      <w:r>
        <w:rPr>
          <w:w w:val="95"/>
        </w:rPr>
        <w:t>or</w:t>
      </w:r>
      <w:r>
        <w:rPr>
          <w:spacing w:val="13"/>
        </w:rPr>
        <w:t xml:space="preserve"> </w:t>
      </w:r>
      <w:r>
        <w:rPr>
          <w:w w:val="95"/>
        </w:rPr>
        <w:t>what</w:t>
      </w:r>
      <w:r>
        <w:rPr>
          <w:spacing w:val="10"/>
        </w:rPr>
        <w:t xml:space="preserve"> </w:t>
      </w:r>
      <w:r>
        <w:rPr>
          <w:w w:val="95"/>
        </w:rPr>
        <w:t>MOFCOM</w:t>
      </w:r>
      <w:r>
        <w:rPr>
          <w:spacing w:val="13"/>
        </w:rPr>
        <w:t xml:space="preserve"> </w:t>
      </w:r>
      <w:r>
        <w:rPr>
          <w:w w:val="95"/>
        </w:rPr>
        <w:t>took</w:t>
      </w:r>
      <w:r>
        <w:rPr>
          <w:spacing w:val="12"/>
        </w:rPr>
        <w:t xml:space="preserve"> </w:t>
      </w:r>
      <w:r>
        <w:rPr>
          <w:spacing w:val="-4"/>
          <w:w w:val="95"/>
        </w:rPr>
        <w:t>into</w:t>
      </w:r>
    </w:p>
    <w:p w14:paraId="51DE829A" w14:textId="77777777" w:rsidR="0010369C" w:rsidRDefault="008E43AE">
      <w:pPr>
        <w:pStyle w:val="BodyText"/>
        <w:spacing w:before="5"/>
        <w:rPr>
          <w:sz w:val="21"/>
        </w:rPr>
      </w:pPr>
      <w:r>
        <w:pict w14:anchorId="51DE9FBE">
          <v:rect id="docshape384" o:spid="_x0000_s1872" style="position:absolute;margin-left:70.9pt;margin-top:14.3pt;width:2in;height:.8pt;z-index:-251097600;mso-wrap-distance-left:0;mso-wrap-distance-right:0;mso-position-horizontal-relative:page" fillcolor="black" stroked="f">
            <w10:wrap type="topAndBottom" anchorx="page"/>
          </v:rect>
        </w:pict>
      </w:r>
    </w:p>
    <w:p w14:paraId="51DE829B" w14:textId="77777777" w:rsidR="0010369C" w:rsidRDefault="008E43AE">
      <w:pPr>
        <w:spacing w:before="109"/>
        <w:ind w:left="237"/>
        <w:rPr>
          <w:sz w:val="18"/>
        </w:rPr>
      </w:pPr>
      <w:r>
        <w:rPr>
          <w:sz w:val="18"/>
          <w:vertAlign w:val="superscript"/>
        </w:rPr>
        <w:t>232</w:t>
      </w:r>
      <w:r>
        <w:rPr>
          <w:spacing w:val="29"/>
          <w:sz w:val="18"/>
        </w:rPr>
        <w:t xml:space="preserve"> </w:t>
      </w:r>
      <w:r>
        <w:rPr>
          <w:sz w:val="18"/>
        </w:rPr>
        <w:t>Anti‐Dumping</w:t>
      </w:r>
      <w:r>
        <w:rPr>
          <w:spacing w:val="30"/>
          <w:sz w:val="18"/>
        </w:rPr>
        <w:t xml:space="preserve"> </w:t>
      </w:r>
      <w:r>
        <w:rPr>
          <w:sz w:val="18"/>
        </w:rPr>
        <w:t>Final</w:t>
      </w:r>
      <w:r>
        <w:rPr>
          <w:spacing w:val="29"/>
          <w:sz w:val="18"/>
        </w:rPr>
        <w:t xml:space="preserve"> </w:t>
      </w:r>
      <w:r>
        <w:rPr>
          <w:sz w:val="18"/>
        </w:rPr>
        <w:t>Determination</w:t>
      </w:r>
      <w:r>
        <w:rPr>
          <w:spacing w:val="29"/>
          <w:sz w:val="18"/>
        </w:rPr>
        <w:t xml:space="preserve"> </w:t>
      </w:r>
      <w:r>
        <w:rPr>
          <w:sz w:val="18"/>
        </w:rPr>
        <w:t>(Exhibit</w:t>
      </w:r>
      <w:r>
        <w:rPr>
          <w:spacing w:val="29"/>
          <w:sz w:val="18"/>
        </w:rPr>
        <w:t xml:space="preserve"> </w:t>
      </w:r>
      <w:r>
        <w:rPr>
          <w:sz w:val="18"/>
        </w:rPr>
        <w:t>AUS‐2),</w:t>
      </w:r>
      <w:r>
        <w:rPr>
          <w:spacing w:val="28"/>
          <w:sz w:val="18"/>
        </w:rPr>
        <w:t xml:space="preserve"> </w:t>
      </w:r>
      <w:r>
        <w:rPr>
          <w:sz w:val="18"/>
        </w:rPr>
        <w:t>p.</w:t>
      </w:r>
      <w:r>
        <w:rPr>
          <w:spacing w:val="29"/>
          <w:sz w:val="18"/>
        </w:rPr>
        <w:t xml:space="preserve"> </w:t>
      </w:r>
      <w:r>
        <w:rPr>
          <w:sz w:val="18"/>
        </w:rPr>
        <w:t>66.</w:t>
      </w:r>
      <w:r>
        <w:rPr>
          <w:spacing w:val="29"/>
          <w:sz w:val="18"/>
        </w:rPr>
        <w:t xml:space="preserve"> </w:t>
      </w:r>
      <w:r>
        <w:rPr>
          <w:sz w:val="18"/>
        </w:rPr>
        <w:t>In</w:t>
      </w:r>
      <w:r>
        <w:rPr>
          <w:spacing w:val="28"/>
          <w:sz w:val="18"/>
        </w:rPr>
        <w:t xml:space="preserve"> </w:t>
      </w:r>
      <w:r>
        <w:rPr>
          <w:sz w:val="18"/>
        </w:rPr>
        <w:t>fact,</w:t>
      </w:r>
      <w:r>
        <w:rPr>
          <w:spacing w:val="29"/>
          <w:sz w:val="18"/>
        </w:rPr>
        <w:t xml:space="preserve"> </w:t>
      </w:r>
      <w:r>
        <w:rPr>
          <w:sz w:val="18"/>
        </w:rPr>
        <w:t>MOFCOM</w:t>
      </w:r>
      <w:r>
        <w:rPr>
          <w:spacing w:val="29"/>
          <w:sz w:val="18"/>
        </w:rPr>
        <w:t xml:space="preserve"> </w:t>
      </w:r>
      <w:r>
        <w:rPr>
          <w:sz w:val="18"/>
        </w:rPr>
        <w:t>gave</w:t>
      </w:r>
      <w:r>
        <w:rPr>
          <w:spacing w:val="29"/>
          <w:sz w:val="18"/>
        </w:rPr>
        <w:t xml:space="preserve"> </w:t>
      </w:r>
      <w:r>
        <w:rPr>
          <w:sz w:val="18"/>
        </w:rPr>
        <w:t>no</w:t>
      </w:r>
      <w:r>
        <w:rPr>
          <w:spacing w:val="29"/>
          <w:sz w:val="18"/>
        </w:rPr>
        <w:t xml:space="preserve"> </w:t>
      </w:r>
      <w:r>
        <w:rPr>
          <w:sz w:val="18"/>
        </w:rPr>
        <w:t>account</w:t>
      </w:r>
      <w:r>
        <w:rPr>
          <w:spacing w:val="29"/>
          <w:sz w:val="18"/>
        </w:rPr>
        <w:t xml:space="preserve"> </w:t>
      </w:r>
      <w:r>
        <w:rPr>
          <w:sz w:val="18"/>
        </w:rPr>
        <w:t>of</w:t>
      </w:r>
      <w:r>
        <w:rPr>
          <w:spacing w:val="30"/>
          <w:sz w:val="18"/>
        </w:rPr>
        <w:t xml:space="preserve"> </w:t>
      </w:r>
      <w:r>
        <w:rPr>
          <w:sz w:val="18"/>
        </w:rPr>
        <w:t>how</w:t>
      </w:r>
      <w:r>
        <w:rPr>
          <w:spacing w:val="29"/>
          <w:sz w:val="18"/>
        </w:rPr>
        <w:t xml:space="preserve"> </w:t>
      </w:r>
      <w:r>
        <w:rPr>
          <w:sz w:val="18"/>
        </w:rPr>
        <w:t>it</w:t>
      </w:r>
      <w:r>
        <w:rPr>
          <w:spacing w:val="29"/>
          <w:sz w:val="18"/>
        </w:rPr>
        <w:t xml:space="preserve"> </w:t>
      </w:r>
      <w:r>
        <w:rPr>
          <w:sz w:val="18"/>
        </w:rPr>
        <w:t>verified</w:t>
      </w:r>
      <w:r>
        <w:rPr>
          <w:spacing w:val="29"/>
          <w:sz w:val="18"/>
        </w:rPr>
        <w:t xml:space="preserve"> </w:t>
      </w:r>
      <w:r>
        <w:rPr>
          <w:sz w:val="18"/>
        </w:rPr>
        <w:t>any information obtained during the investigation.</w:t>
      </w:r>
    </w:p>
    <w:p w14:paraId="51DE829C" w14:textId="77777777" w:rsidR="0010369C" w:rsidRDefault="008E43AE">
      <w:pPr>
        <w:spacing w:before="1"/>
        <w:ind w:left="238" w:right="614" w:hanging="1"/>
        <w:rPr>
          <w:sz w:val="18"/>
        </w:rPr>
      </w:pPr>
      <w:r>
        <w:rPr>
          <w:sz w:val="18"/>
          <w:vertAlign w:val="superscript"/>
        </w:rPr>
        <w:t>233</w:t>
      </w:r>
      <w:r>
        <w:rPr>
          <w:sz w:val="18"/>
        </w:rPr>
        <w:t xml:space="preserve"> See Panel Report, </w:t>
      </w:r>
      <w:r>
        <w:rPr>
          <w:i/>
          <w:sz w:val="18"/>
        </w:rPr>
        <w:t>Argentina – Poultry Anti‐Dumping Duties</w:t>
      </w:r>
      <w:r>
        <w:rPr>
          <w:sz w:val="18"/>
        </w:rPr>
        <w:t>, para. 7.227 where the Panel explained, with reference to</w:t>
      </w:r>
      <w:r>
        <w:rPr>
          <w:spacing w:val="80"/>
          <w:sz w:val="18"/>
        </w:rPr>
        <w:t xml:space="preserve"> </w:t>
      </w:r>
      <w:r>
        <w:rPr>
          <w:sz w:val="18"/>
        </w:rPr>
        <w:t>Articles</w:t>
      </w:r>
      <w:r>
        <w:rPr>
          <w:spacing w:val="17"/>
          <w:sz w:val="18"/>
        </w:rPr>
        <w:t xml:space="preserve"> </w:t>
      </w:r>
      <w:r>
        <w:rPr>
          <w:sz w:val="18"/>
        </w:rPr>
        <w:t>6.9</w:t>
      </w:r>
      <w:r>
        <w:rPr>
          <w:spacing w:val="18"/>
          <w:sz w:val="18"/>
        </w:rPr>
        <w:t xml:space="preserve"> </w:t>
      </w:r>
      <w:r>
        <w:rPr>
          <w:sz w:val="18"/>
        </w:rPr>
        <w:t>and</w:t>
      </w:r>
      <w:r>
        <w:rPr>
          <w:spacing w:val="18"/>
          <w:sz w:val="18"/>
        </w:rPr>
        <w:t xml:space="preserve"> </w:t>
      </w:r>
      <w:r>
        <w:rPr>
          <w:sz w:val="18"/>
        </w:rPr>
        <w:t>17.6(i),</w:t>
      </w:r>
      <w:r>
        <w:rPr>
          <w:spacing w:val="18"/>
          <w:sz w:val="18"/>
        </w:rPr>
        <w:t xml:space="preserve"> </w:t>
      </w:r>
      <w:r>
        <w:rPr>
          <w:sz w:val="18"/>
        </w:rPr>
        <w:t>that</w:t>
      </w:r>
      <w:r>
        <w:rPr>
          <w:spacing w:val="17"/>
          <w:sz w:val="18"/>
        </w:rPr>
        <w:t xml:space="preserve"> </w:t>
      </w:r>
      <w:r>
        <w:rPr>
          <w:sz w:val="18"/>
        </w:rPr>
        <w:t>"a</w:t>
      </w:r>
      <w:r>
        <w:rPr>
          <w:spacing w:val="19"/>
          <w:sz w:val="18"/>
        </w:rPr>
        <w:t xml:space="preserve"> </w:t>
      </w:r>
      <w:r>
        <w:rPr>
          <w:sz w:val="18"/>
        </w:rPr>
        <w:t>reason</w:t>
      </w:r>
      <w:r>
        <w:rPr>
          <w:spacing w:val="18"/>
          <w:sz w:val="18"/>
        </w:rPr>
        <w:t xml:space="preserve"> </w:t>
      </w:r>
      <w:r>
        <w:rPr>
          <w:sz w:val="18"/>
        </w:rPr>
        <w:t>is</w:t>
      </w:r>
      <w:r>
        <w:rPr>
          <w:spacing w:val="19"/>
          <w:sz w:val="18"/>
        </w:rPr>
        <w:t xml:space="preserve"> </w:t>
      </w:r>
      <w:r>
        <w:rPr>
          <w:sz w:val="18"/>
        </w:rPr>
        <w:t>part</w:t>
      </w:r>
      <w:r>
        <w:rPr>
          <w:spacing w:val="19"/>
          <w:sz w:val="18"/>
        </w:rPr>
        <w:t xml:space="preserve"> </w:t>
      </w:r>
      <w:r>
        <w:rPr>
          <w:sz w:val="18"/>
        </w:rPr>
        <w:t>of</w:t>
      </w:r>
      <w:r>
        <w:rPr>
          <w:spacing w:val="18"/>
          <w:sz w:val="18"/>
        </w:rPr>
        <w:t xml:space="preserve"> </w:t>
      </w:r>
      <w:r>
        <w:rPr>
          <w:sz w:val="18"/>
        </w:rPr>
        <w:t>the</w:t>
      </w:r>
      <w:r>
        <w:rPr>
          <w:spacing w:val="18"/>
          <w:sz w:val="18"/>
        </w:rPr>
        <w:t xml:space="preserve"> </w:t>
      </w:r>
      <w:r>
        <w:rPr>
          <w:sz w:val="18"/>
        </w:rPr>
        <w:t>evaluation</w:t>
      </w:r>
      <w:r>
        <w:rPr>
          <w:spacing w:val="19"/>
          <w:sz w:val="18"/>
        </w:rPr>
        <w:t xml:space="preserve"> </w:t>
      </w:r>
      <w:r>
        <w:rPr>
          <w:sz w:val="18"/>
        </w:rPr>
        <w:t>of</w:t>
      </w:r>
      <w:r>
        <w:rPr>
          <w:spacing w:val="19"/>
          <w:sz w:val="18"/>
        </w:rPr>
        <w:t xml:space="preserve"> </w:t>
      </w:r>
      <w:r>
        <w:rPr>
          <w:sz w:val="18"/>
        </w:rPr>
        <w:t>a</w:t>
      </w:r>
      <w:r>
        <w:rPr>
          <w:spacing w:val="18"/>
          <w:sz w:val="18"/>
        </w:rPr>
        <w:t xml:space="preserve"> </w:t>
      </w:r>
      <w:r>
        <w:rPr>
          <w:sz w:val="18"/>
        </w:rPr>
        <w:t>fact,</w:t>
      </w:r>
      <w:r>
        <w:rPr>
          <w:spacing w:val="17"/>
          <w:sz w:val="18"/>
        </w:rPr>
        <w:t xml:space="preserve"> </w:t>
      </w:r>
      <w:r>
        <w:rPr>
          <w:sz w:val="18"/>
        </w:rPr>
        <w:t>and</w:t>
      </w:r>
      <w:r>
        <w:rPr>
          <w:spacing w:val="19"/>
          <w:sz w:val="18"/>
        </w:rPr>
        <w:t xml:space="preserve"> </w:t>
      </w:r>
      <w:r>
        <w:rPr>
          <w:sz w:val="18"/>
        </w:rPr>
        <w:t>not</w:t>
      </w:r>
      <w:r>
        <w:rPr>
          <w:spacing w:val="19"/>
          <w:sz w:val="18"/>
        </w:rPr>
        <w:t xml:space="preserve"> </w:t>
      </w:r>
      <w:r>
        <w:rPr>
          <w:sz w:val="18"/>
        </w:rPr>
        <w:t>the</w:t>
      </w:r>
      <w:r>
        <w:rPr>
          <w:spacing w:val="18"/>
          <w:sz w:val="18"/>
        </w:rPr>
        <w:t xml:space="preserve"> </w:t>
      </w:r>
      <w:r>
        <w:rPr>
          <w:sz w:val="18"/>
        </w:rPr>
        <w:t>fact</w:t>
      </w:r>
      <w:r>
        <w:rPr>
          <w:spacing w:val="19"/>
          <w:sz w:val="18"/>
        </w:rPr>
        <w:t xml:space="preserve"> </w:t>
      </w:r>
      <w:r>
        <w:rPr>
          <w:sz w:val="18"/>
        </w:rPr>
        <w:t>itself.</w:t>
      </w:r>
      <w:r>
        <w:rPr>
          <w:spacing w:val="18"/>
          <w:sz w:val="18"/>
        </w:rPr>
        <w:t xml:space="preserve"> </w:t>
      </w:r>
      <w:r>
        <w:rPr>
          <w:sz w:val="18"/>
        </w:rPr>
        <w:t>…</w:t>
      </w:r>
      <w:r>
        <w:rPr>
          <w:spacing w:val="19"/>
          <w:sz w:val="18"/>
        </w:rPr>
        <w:t xml:space="preserve"> </w:t>
      </w:r>
      <w:r>
        <w:rPr>
          <w:sz w:val="18"/>
        </w:rPr>
        <w:t>we</w:t>
      </w:r>
      <w:r>
        <w:rPr>
          <w:spacing w:val="18"/>
          <w:sz w:val="18"/>
        </w:rPr>
        <w:t xml:space="preserve"> </w:t>
      </w:r>
      <w:r>
        <w:rPr>
          <w:sz w:val="18"/>
        </w:rPr>
        <w:t>agree</w:t>
      </w:r>
      <w:r>
        <w:rPr>
          <w:spacing w:val="17"/>
          <w:sz w:val="18"/>
        </w:rPr>
        <w:t xml:space="preserve"> </w:t>
      </w:r>
      <w:r>
        <w:rPr>
          <w:sz w:val="18"/>
        </w:rPr>
        <w:t>…</w:t>
      </w:r>
      <w:r>
        <w:rPr>
          <w:spacing w:val="18"/>
          <w:sz w:val="18"/>
        </w:rPr>
        <w:t xml:space="preserve"> </w:t>
      </w:r>
      <w:r>
        <w:rPr>
          <w:sz w:val="18"/>
        </w:rPr>
        <w:t>that</w:t>
      </w:r>
      <w:r>
        <w:rPr>
          <w:spacing w:val="18"/>
          <w:sz w:val="18"/>
        </w:rPr>
        <w:t xml:space="preserve"> </w:t>
      </w:r>
      <w:r>
        <w:rPr>
          <w:spacing w:val="-5"/>
          <w:sz w:val="18"/>
        </w:rPr>
        <w:t>an</w:t>
      </w:r>
    </w:p>
    <w:p w14:paraId="51DE829D" w14:textId="77777777" w:rsidR="0010369C" w:rsidRDefault="0010369C">
      <w:pPr>
        <w:rPr>
          <w:sz w:val="18"/>
        </w:rPr>
        <w:sectPr w:rsidR="0010369C">
          <w:pgSz w:w="11910" w:h="16840"/>
          <w:pgMar w:top="880" w:right="800" w:bottom="980" w:left="1180" w:header="569" w:footer="788" w:gutter="0"/>
          <w:cols w:space="720"/>
        </w:sectPr>
      </w:pPr>
    </w:p>
    <w:p w14:paraId="51DE829E" w14:textId="77777777" w:rsidR="0010369C" w:rsidRDefault="008E43AE">
      <w:pPr>
        <w:tabs>
          <w:tab w:val="left" w:pos="6425"/>
        </w:tabs>
        <w:ind w:left="238"/>
        <w:rPr>
          <w:sz w:val="20"/>
        </w:rPr>
      </w:pPr>
      <w:r>
        <w:rPr>
          <w:i/>
          <w:sz w:val="20"/>
        </w:rPr>
        <w:lastRenderedPageBreak/>
        <w:t>China</w:t>
      </w:r>
      <w:r>
        <w:rPr>
          <w:i/>
          <w:spacing w:val="-5"/>
          <w:sz w:val="20"/>
        </w:rPr>
        <w:t xml:space="preserve"> </w:t>
      </w:r>
      <w:r>
        <w:rPr>
          <w:i/>
          <w:sz w:val="20"/>
        </w:rPr>
        <w:t>–</w:t>
      </w:r>
      <w:r>
        <w:rPr>
          <w:i/>
          <w:spacing w:val="-5"/>
          <w:sz w:val="20"/>
        </w:rPr>
        <w:t xml:space="preserve"> </w:t>
      </w:r>
      <w:r>
        <w:rPr>
          <w:i/>
          <w:sz w:val="20"/>
        </w:rPr>
        <w:t>Anti‐Dumping</w:t>
      </w:r>
      <w:r>
        <w:rPr>
          <w:i/>
          <w:spacing w:val="-4"/>
          <w:sz w:val="20"/>
        </w:rPr>
        <w:t xml:space="preserve"> </w:t>
      </w:r>
      <w:r>
        <w:rPr>
          <w:i/>
          <w:sz w:val="20"/>
        </w:rPr>
        <w:t>and</w:t>
      </w:r>
      <w:r>
        <w:rPr>
          <w:i/>
          <w:spacing w:val="-5"/>
          <w:sz w:val="20"/>
        </w:rPr>
        <w:t xml:space="preserve"> </w:t>
      </w:r>
      <w:r>
        <w:rPr>
          <w:i/>
          <w:sz w:val="20"/>
        </w:rPr>
        <w:t>Countervailing</w:t>
      </w:r>
      <w:r>
        <w:rPr>
          <w:i/>
          <w:spacing w:val="-5"/>
          <w:sz w:val="20"/>
        </w:rPr>
        <w:t xml:space="preserve"> </w:t>
      </w:r>
      <w:r>
        <w:rPr>
          <w:i/>
          <w:sz w:val="20"/>
        </w:rPr>
        <w:t>Duty</w:t>
      </w:r>
      <w:r>
        <w:rPr>
          <w:i/>
          <w:spacing w:val="-4"/>
          <w:sz w:val="20"/>
        </w:rPr>
        <w:t xml:space="preserve"> </w:t>
      </w:r>
      <w:r>
        <w:rPr>
          <w:i/>
          <w:spacing w:val="-2"/>
          <w:sz w:val="20"/>
        </w:rPr>
        <w:t>Measures</w:t>
      </w:r>
      <w:r>
        <w:rPr>
          <w:i/>
          <w:sz w:val="20"/>
        </w:rPr>
        <w:tab/>
      </w:r>
      <w:r>
        <w:rPr>
          <w:sz w:val="20"/>
        </w:rPr>
        <w:t>Australia's</w:t>
      </w:r>
      <w:r>
        <w:rPr>
          <w:spacing w:val="-7"/>
          <w:sz w:val="20"/>
        </w:rPr>
        <w:t xml:space="preserve"> </w:t>
      </w:r>
      <w:r>
        <w:rPr>
          <w:sz w:val="20"/>
        </w:rPr>
        <w:t>First</w:t>
      </w:r>
      <w:r>
        <w:rPr>
          <w:spacing w:val="-2"/>
          <w:sz w:val="20"/>
        </w:rPr>
        <w:t xml:space="preserve"> </w:t>
      </w:r>
      <w:r>
        <w:rPr>
          <w:sz w:val="20"/>
        </w:rPr>
        <w:t>Written</w:t>
      </w:r>
      <w:r>
        <w:rPr>
          <w:spacing w:val="-2"/>
          <w:sz w:val="20"/>
        </w:rPr>
        <w:t xml:space="preserve"> Submission</w:t>
      </w:r>
    </w:p>
    <w:p w14:paraId="51DE829F" w14:textId="77777777" w:rsidR="0010369C" w:rsidRDefault="008E43AE">
      <w:pPr>
        <w:tabs>
          <w:tab w:val="left" w:pos="8227"/>
        </w:tabs>
        <w:spacing w:before="1"/>
        <w:ind w:left="239"/>
        <w:rPr>
          <w:sz w:val="20"/>
        </w:rPr>
      </w:pPr>
      <w:r>
        <w:rPr>
          <w:i/>
          <w:sz w:val="20"/>
        </w:rPr>
        <w:t>on</w:t>
      </w:r>
      <w:r>
        <w:rPr>
          <w:i/>
          <w:spacing w:val="-1"/>
          <w:sz w:val="20"/>
        </w:rPr>
        <w:t xml:space="preserve"> </w:t>
      </w:r>
      <w:r>
        <w:rPr>
          <w:i/>
          <w:sz w:val="20"/>
        </w:rPr>
        <w:t>Wine</w:t>
      </w:r>
      <w:r>
        <w:rPr>
          <w:i/>
          <w:spacing w:val="-1"/>
          <w:sz w:val="20"/>
        </w:rPr>
        <w:t xml:space="preserve"> </w:t>
      </w:r>
      <w:r>
        <w:rPr>
          <w:i/>
          <w:sz w:val="20"/>
        </w:rPr>
        <w:t>from</w:t>
      </w:r>
      <w:r>
        <w:rPr>
          <w:i/>
          <w:spacing w:val="-3"/>
          <w:sz w:val="20"/>
        </w:rPr>
        <w:t xml:space="preserve"> </w:t>
      </w:r>
      <w:r>
        <w:rPr>
          <w:i/>
          <w:sz w:val="20"/>
        </w:rPr>
        <w:t>Australia</w:t>
      </w:r>
      <w:r>
        <w:rPr>
          <w:i/>
          <w:spacing w:val="-1"/>
          <w:sz w:val="20"/>
        </w:rPr>
        <w:t xml:space="preserve"> </w:t>
      </w:r>
      <w:r>
        <w:rPr>
          <w:spacing w:val="-2"/>
          <w:sz w:val="20"/>
        </w:rPr>
        <w:t>(DS602)</w:t>
      </w:r>
      <w:r>
        <w:rPr>
          <w:sz w:val="20"/>
        </w:rPr>
        <w:tab/>
        <w:t>29</w:t>
      </w:r>
      <w:r>
        <w:rPr>
          <w:spacing w:val="-1"/>
          <w:sz w:val="20"/>
        </w:rPr>
        <w:t xml:space="preserve"> </w:t>
      </w:r>
      <w:r>
        <w:rPr>
          <w:sz w:val="20"/>
        </w:rPr>
        <w:t>April</w:t>
      </w:r>
      <w:r>
        <w:rPr>
          <w:spacing w:val="-2"/>
          <w:sz w:val="20"/>
        </w:rPr>
        <w:t xml:space="preserve"> </w:t>
      </w:r>
      <w:r>
        <w:rPr>
          <w:spacing w:val="-4"/>
          <w:sz w:val="20"/>
        </w:rPr>
        <w:t>2022</w:t>
      </w:r>
    </w:p>
    <w:p w14:paraId="51DE82A0" w14:textId="77777777" w:rsidR="0010369C" w:rsidRDefault="008E43AE">
      <w:pPr>
        <w:pStyle w:val="BodyText"/>
        <w:spacing w:before="34" w:line="360" w:lineRule="auto"/>
        <w:ind w:left="237" w:right="614"/>
      </w:pPr>
      <w:r>
        <w:t>account, is not an evaluation of facts. As such, MOFCOM failed to provide reasons as to why information was rejected.</w:t>
      </w:r>
    </w:p>
    <w:p w14:paraId="51DE82A1" w14:textId="77777777" w:rsidR="0010369C" w:rsidRDefault="0010369C">
      <w:pPr>
        <w:pStyle w:val="BodyText"/>
        <w:spacing w:before="10"/>
        <w:rPr>
          <w:sz w:val="8"/>
        </w:rPr>
      </w:pPr>
    </w:p>
    <w:p w14:paraId="51DE82A2" w14:textId="77777777" w:rsidR="0010369C" w:rsidRDefault="008E43AE">
      <w:pPr>
        <w:pStyle w:val="BodyText"/>
        <w:spacing w:before="52" w:line="360" w:lineRule="auto"/>
        <w:ind w:left="237" w:right="614" w:firstLine="851"/>
        <w:jc w:val="both"/>
      </w:pPr>
      <w:r>
        <w:rPr>
          <w:noProof/>
        </w:rPr>
        <w:drawing>
          <wp:anchor distT="0" distB="0" distL="0" distR="0" simplePos="0" relativeHeight="250882560" behindDoc="1" locked="0" layoutInCell="1" allowOverlap="1" wp14:anchorId="51DE9FBF" wp14:editId="51DE9FC0">
            <wp:simplePos x="0" y="0"/>
            <wp:positionH relativeFrom="page">
              <wp:posOffset>905255</wp:posOffset>
            </wp:positionH>
            <wp:positionV relativeFrom="paragraph">
              <wp:posOffset>76785</wp:posOffset>
            </wp:positionV>
            <wp:extent cx="259079" cy="106679"/>
            <wp:effectExtent l="0" t="0" r="0" b="0"/>
            <wp:wrapNone/>
            <wp:docPr id="419" name="image2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 name="image218.png"/>
                    <pic:cNvPicPr/>
                  </pic:nvPicPr>
                  <pic:blipFill>
                    <a:blip r:embed="rId316" cstate="print"/>
                    <a:stretch>
                      <a:fillRect/>
                    </a:stretch>
                  </pic:blipFill>
                  <pic:spPr>
                    <a:xfrm>
                      <a:off x="0" y="0"/>
                      <a:ext cx="259079" cy="106679"/>
                    </a:xfrm>
                    <a:prstGeom prst="rect">
                      <a:avLst/>
                    </a:prstGeom>
                  </pic:spPr>
                </pic:pic>
              </a:graphicData>
            </a:graphic>
          </wp:anchor>
        </w:drawing>
      </w:r>
      <w:r>
        <w:t>For the foregoing reasons, MOFCOM erred when it relied upon Treasury Wines' response to Form 6‐4 as a basis to resort to facts available</w:t>
      </w:r>
      <w:r>
        <w:t xml:space="preserve"> and, therefore, China acted inconsistently with Article 6.8 and paragraphs 1, 3, 5 and 6 of Annex II of the Anti‐Dumping </w:t>
      </w:r>
      <w:r>
        <w:rPr>
          <w:spacing w:val="-2"/>
        </w:rPr>
        <w:t>Agreement.</w:t>
      </w:r>
    </w:p>
    <w:p w14:paraId="51DE82A3" w14:textId="77777777" w:rsidR="0010369C" w:rsidRDefault="008E43AE">
      <w:pPr>
        <w:pStyle w:val="ListParagraph"/>
        <w:numPr>
          <w:ilvl w:val="4"/>
          <w:numId w:val="75"/>
        </w:numPr>
        <w:tabs>
          <w:tab w:val="left" w:pos="4492"/>
          <w:tab w:val="left" w:pos="4493"/>
        </w:tabs>
        <w:spacing w:before="161" w:line="360" w:lineRule="auto"/>
        <w:ind w:left="4491" w:right="617" w:hanging="850"/>
        <w:jc w:val="both"/>
        <w:rPr>
          <w:i/>
          <w:sz w:val="24"/>
        </w:rPr>
      </w:pPr>
      <w:r>
        <w:rPr>
          <w:i/>
          <w:sz w:val="24"/>
        </w:rPr>
        <w:t>Reconciliation</w:t>
      </w:r>
      <w:r>
        <w:rPr>
          <w:i/>
          <w:spacing w:val="-13"/>
          <w:sz w:val="24"/>
        </w:rPr>
        <w:t xml:space="preserve"> </w:t>
      </w:r>
      <w:r>
        <w:rPr>
          <w:i/>
          <w:sz w:val="24"/>
        </w:rPr>
        <w:t>with</w:t>
      </w:r>
      <w:r>
        <w:rPr>
          <w:i/>
          <w:spacing w:val="-13"/>
          <w:sz w:val="24"/>
        </w:rPr>
        <w:t xml:space="preserve"> </w:t>
      </w:r>
      <w:r>
        <w:rPr>
          <w:i/>
          <w:sz w:val="24"/>
        </w:rPr>
        <w:t>Forms</w:t>
      </w:r>
      <w:r>
        <w:rPr>
          <w:i/>
          <w:spacing w:val="-12"/>
          <w:sz w:val="24"/>
        </w:rPr>
        <w:t xml:space="preserve"> </w:t>
      </w:r>
      <w:r>
        <w:rPr>
          <w:i/>
          <w:sz w:val="24"/>
        </w:rPr>
        <w:t>6‐1‐1,</w:t>
      </w:r>
      <w:r>
        <w:rPr>
          <w:i/>
          <w:spacing w:val="-12"/>
          <w:sz w:val="24"/>
        </w:rPr>
        <w:t xml:space="preserve"> </w:t>
      </w:r>
      <w:r>
        <w:rPr>
          <w:i/>
          <w:sz w:val="24"/>
        </w:rPr>
        <w:t>6‐1‐2,</w:t>
      </w:r>
      <w:r>
        <w:rPr>
          <w:i/>
          <w:spacing w:val="-12"/>
          <w:sz w:val="24"/>
        </w:rPr>
        <w:t xml:space="preserve"> </w:t>
      </w:r>
      <w:r>
        <w:rPr>
          <w:i/>
          <w:sz w:val="24"/>
        </w:rPr>
        <w:t>6‐3,</w:t>
      </w:r>
      <w:r>
        <w:rPr>
          <w:i/>
          <w:spacing w:val="-12"/>
          <w:sz w:val="24"/>
        </w:rPr>
        <w:t xml:space="preserve"> </w:t>
      </w:r>
      <w:r>
        <w:rPr>
          <w:i/>
          <w:sz w:val="24"/>
        </w:rPr>
        <w:t>6‐5,</w:t>
      </w:r>
      <w:r>
        <w:rPr>
          <w:i/>
          <w:spacing w:val="-12"/>
          <w:sz w:val="24"/>
        </w:rPr>
        <w:t xml:space="preserve"> </w:t>
      </w:r>
      <w:r>
        <w:rPr>
          <w:i/>
          <w:sz w:val="24"/>
        </w:rPr>
        <w:t>6‐ 6, 6‐7, 6‐8</w:t>
      </w:r>
    </w:p>
    <w:p w14:paraId="51DE82A4" w14:textId="77777777" w:rsidR="0010369C" w:rsidRDefault="0010369C">
      <w:pPr>
        <w:pStyle w:val="BodyText"/>
        <w:spacing w:before="9"/>
        <w:rPr>
          <w:i/>
          <w:sz w:val="8"/>
        </w:rPr>
      </w:pPr>
    </w:p>
    <w:p w14:paraId="51DE82A5" w14:textId="77777777" w:rsidR="0010369C" w:rsidRDefault="008E43AE">
      <w:pPr>
        <w:pStyle w:val="BodyText"/>
        <w:spacing w:before="52" w:line="360" w:lineRule="auto"/>
        <w:ind w:left="237" w:right="615" w:firstLine="851"/>
        <w:jc w:val="both"/>
      </w:pPr>
      <w:r>
        <w:rPr>
          <w:noProof/>
        </w:rPr>
        <w:drawing>
          <wp:anchor distT="0" distB="0" distL="0" distR="0" simplePos="0" relativeHeight="250883584" behindDoc="1" locked="0" layoutInCell="1" allowOverlap="1" wp14:anchorId="51DE9FC1" wp14:editId="51DE9FC2">
            <wp:simplePos x="0" y="0"/>
            <wp:positionH relativeFrom="page">
              <wp:posOffset>905255</wp:posOffset>
            </wp:positionH>
            <wp:positionV relativeFrom="paragraph">
              <wp:posOffset>76785</wp:posOffset>
            </wp:positionV>
            <wp:extent cx="259079" cy="106679"/>
            <wp:effectExtent l="0" t="0" r="0" b="0"/>
            <wp:wrapNone/>
            <wp:docPr id="421" name="image2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 name="image219.png"/>
                    <pic:cNvPicPr/>
                  </pic:nvPicPr>
                  <pic:blipFill>
                    <a:blip r:embed="rId317" cstate="print"/>
                    <a:stretch>
                      <a:fillRect/>
                    </a:stretch>
                  </pic:blipFill>
                  <pic:spPr>
                    <a:xfrm>
                      <a:off x="0" y="0"/>
                      <a:ext cx="259079" cy="106679"/>
                    </a:xfrm>
                    <a:prstGeom prst="rect">
                      <a:avLst/>
                    </a:prstGeom>
                  </pic:spPr>
                </pic:pic>
              </a:graphicData>
            </a:graphic>
          </wp:anchor>
        </w:drawing>
      </w:r>
      <w:r>
        <w:t>MOFCOM made a number of allegations in the Final Determination that Treasury Wines submitted certain responses to the Anti‐Dumping Questionnaire, which were inconsistent or irreconcilable with other responses it provided. MOFCOM used these alleged inconsis</w:t>
      </w:r>
      <w:r>
        <w:t>tencies as a basis to have recourse to facts available.</w:t>
      </w:r>
    </w:p>
    <w:p w14:paraId="51DE82A6" w14:textId="77777777" w:rsidR="0010369C" w:rsidRDefault="0010369C">
      <w:pPr>
        <w:pStyle w:val="BodyText"/>
        <w:rPr>
          <w:sz w:val="9"/>
        </w:rPr>
      </w:pPr>
    </w:p>
    <w:p w14:paraId="51DE82A7" w14:textId="77777777" w:rsidR="0010369C" w:rsidRDefault="008E43AE">
      <w:pPr>
        <w:pStyle w:val="BodyText"/>
        <w:spacing w:before="51" w:line="360" w:lineRule="auto"/>
        <w:ind w:left="237" w:right="614" w:firstLine="851"/>
        <w:jc w:val="both"/>
      </w:pPr>
      <w:r>
        <w:rPr>
          <w:noProof/>
        </w:rPr>
        <w:drawing>
          <wp:anchor distT="0" distB="0" distL="0" distR="0" simplePos="0" relativeHeight="250884608" behindDoc="1" locked="0" layoutInCell="1" allowOverlap="1" wp14:anchorId="51DE9FC3" wp14:editId="51DE9FC4">
            <wp:simplePos x="0" y="0"/>
            <wp:positionH relativeFrom="page">
              <wp:posOffset>905255</wp:posOffset>
            </wp:positionH>
            <wp:positionV relativeFrom="paragraph">
              <wp:posOffset>79960</wp:posOffset>
            </wp:positionV>
            <wp:extent cx="259079" cy="103631"/>
            <wp:effectExtent l="0" t="0" r="0" b="0"/>
            <wp:wrapNone/>
            <wp:docPr id="423" name="image2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 name="image220.png"/>
                    <pic:cNvPicPr/>
                  </pic:nvPicPr>
                  <pic:blipFill>
                    <a:blip r:embed="rId318" cstate="print"/>
                    <a:stretch>
                      <a:fillRect/>
                    </a:stretch>
                  </pic:blipFill>
                  <pic:spPr>
                    <a:xfrm>
                      <a:off x="0" y="0"/>
                      <a:ext cx="259079" cy="103631"/>
                    </a:xfrm>
                    <a:prstGeom prst="rect">
                      <a:avLst/>
                    </a:prstGeom>
                  </pic:spPr>
                </pic:pic>
              </a:graphicData>
            </a:graphic>
          </wp:anchor>
        </w:drawing>
      </w:r>
      <w:r>
        <w:t xml:space="preserve">In respect of Form 6‐2 (Inventory Delivery and Receipt Details), MOFCOM stated in the Final Determination that Treasury Wines "failed to report the delivery and receipt of inventories for major raw </w:t>
      </w:r>
      <w:r>
        <w:t>materials in "Form 6‐2 Inventory Delivery and Receipt Details… so relevant</w:t>
      </w:r>
      <w:r>
        <w:rPr>
          <w:spacing w:val="-6"/>
        </w:rPr>
        <w:t xml:space="preserve"> </w:t>
      </w:r>
      <w:r>
        <w:t>data</w:t>
      </w:r>
      <w:r>
        <w:rPr>
          <w:spacing w:val="-5"/>
        </w:rPr>
        <w:t xml:space="preserve"> </w:t>
      </w:r>
      <w:r>
        <w:t>in</w:t>
      </w:r>
      <w:r>
        <w:rPr>
          <w:spacing w:val="-6"/>
        </w:rPr>
        <w:t xml:space="preserve"> </w:t>
      </w:r>
      <w:r>
        <w:t>Form</w:t>
      </w:r>
      <w:r>
        <w:rPr>
          <w:spacing w:val="-6"/>
        </w:rPr>
        <w:t xml:space="preserve"> </w:t>
      </w:r>
      <w:r>
        <w:t>6‐1‐1</w:t>
      </w:r>
      <w:r>
        <w:rPr>
          <w:spacing w:val="-7"/>
        </w:rPr>
        <w:t xml:space="preserve"> </w:t>
      </w:r>
      <w:r>
        <w:t>and</w:t>
      </w:r>
      <w:r>
        <w:rPr>
          <w:spacing w:val="-5"/>
        </w:rPr>
        <w:t xml:space="preserve"> </w:t>
      </w:r>
      <w:r>
        <w:t>Form</w:t>
      </w:r>
      <w:r>
        <w:rPr>
          <w:spacing w:val="-6"/>
        </w:rPr>
        <w:t xml:space="preserve"> </w:t>
      </w:r>
      <w:r>
        <w:t>6‐1‐2</w:t>
      </w:r>
      <w:r>
        <w:rPr>
          <w:spacing w:val="-7"/>
        </w:rPr>
        <w:t xml:space="preserve"> </w:t>
      </w:r>
      <w:r>
        <w:t>could</w:t>
      </w:r>
      <w:r>
        <w:rPr>
          <w:spacing w:val="-7"/>
        </w:rPr>
        <w:t xml:space="preserve"> </w:t>
      </w:r>
      <w:r>
        <w:t>not</w:t>
      </w:r>
      <w:r>
        <w:rPr>
          <w:spacing w:val="-6"/>
        </w:rPr>
        <w:t xml:space="preserve"> </w:t>
      </w:r>
      <w:r>
        <w:t>be</w:t>
      </w:r>
      <w:r>
        <w:rPr>
          <w:spacing w:val="-6"/>
        </w:rPr>
        <w:t xml:space="preserve"> </w:t>
      </w:r>
      <w:r>
        <w:t>comparatively</w:t>
      </w:r>
      <w:r>
        <w:rPr>
          <w:spacing w:val="-6"/>
        </w:rPr>
        <w:t xml:space="preserve"> </w:t>
      </w:r>
      <w:r>
        <w:t>checked</w:t>
      </w:r>
      <w:r>
        <w:rPr>
          <w:spacing w:val="-7"/>
        </w:rPr>
        <w:t xml:space="preserve"> </w:t>
      </w:r>
      <w:r>
        <w:t>with</w:t>
      </w:r>
      <w:r>
        <w:rPr>
          <w:spacing w:val="-6"/>
        </w:rPr>
        <w:t xml:space="preserve"> </w:t>
      </w:r>
      <w:r>
        <w:t>those</w:t>
      </w:r>
      <w:r>
        <w:rPr>
          <w:spacing w:val="-6"/>
        </w:rPr>
        <w:t xml:space="preserve"> </w:t>
      </w:r>
      <w:r>
        <w:t>in Form 6‐2".</w:t>
      </w:r>
      <w:r>
        <w:rPr>
          <w:vertAlign w:val="superscript"/>
        </w:rPr>
        <w:t>234</w:t>
      </w:r>
    </w:p>
    <w:p w14:paraId="51DE82A8" w14:textId="77777777" w:rsidR="0010369C" w:rsidRDefault="0010369C">
      <w:pPr>
        <w:pStyle w:val="BodyText"/>
        <w:spacing w:before="10"/>
        <w:rPr>
          <w:sz w:val="8"/>
        </w:rPr>
      </w:pPr>
    </w:p>
    <w:p w14:paraId="51DE82A9" w14:textId="77777777" w:rsidR="0010369C" w:rsidRDefault="008E43AE">
      <w:pPr>
        <w:pStyle w:val="BodyText"/>
        <w:spacing w:before="52" w:line="360" w:lineRule="auto"/>
        <w:ind w:left="237" w:right="614" w:firstLine="851"/>
        <w:jc w:val="both"/>
      </w:pPr>
      <w:r>
        <w:rPr>
          <w:noProof/>
        </w:rPr>
        <w:drawing>
          <wp:anchor distT="0" distB="0" distL="0" distR="0" simplePos="0" relativeHeight="250885632" behindDoc="1" locked="0" layoutInCell="1" allowOverlap="1" wp14:anchorId="51DE9FC5" wp14:editId="51DE9FC6">
            <wp:simplePos x="0" y="0"/>
            <wp:positionH relativeFrom="page">
              <wp:posOffset>905255</wp:posOffset>
            </wp:positionH>
            <wp:positionV relativeFrom="paragraph">
              <wp:posOffset>80595</wp:posOffset>
            </wp:positionV>
            <wp:extent cx="259079" cy="103631"/>
            <wp:effectExtent l="0" t="0" r="0" b="0"/>
            <wp:wrapNone/>
            <wp:docPr id="425" name="image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 name="image221.png"/>
                    <pic:cNvPicPr/>
                  </pic:nvPicPr>
                  <pic:blipFill>
                    <a:blip r:embed="rId319" cstate="print"/>
                    <a:stretch>
                      <a:fillRect/>
                    </a:stretch>
                  </pic:blipFill>
                  <pic:spPr>
                    <a:xfrm>
                      <a:off x="0" y="0"/>
                      <a:ext cx="259079" cy="103631"/>
                    </a:xfrm>
                    <a:prstGeom prst="rect">
                      <a:avLst/>
                    </a:prstGeom>
                  </pic:spPr>
                </pic:pic>
              </a:graphicData>
            </a:graphic>
          </wp:anchor>
        </w:drawing>
      </w:r>
      <w:r>
        <w:t>In</w:t>
      </w:r>
      <w:r>
        <w:rPr>
          <w:spacing w:val="-5"/>
        </w:rPr>
        <w:t xml:space="preserve"> </w:t>
      </w:r>
      <w:r>
        <w:t>respect</w:t>
      </w:r>
      <w:r>
        <w:rPr>
          <w:spacing w:val="-6"/>
        </w:rPr>
        <w:t xml:space="preserve"> </w:t>
      </w:r>
      <w:r>
        <w:t>of</w:t>
      </w:r>
      <w:r>
        <w:rPr>
          <w:spacing w:val="-5"/>
        </w:rPr>
        <w:t xml:space="preserve"> </w:t>
      </w:r>
      <w:r>
        <w:t>Form</w:t>
      </w:r>
      <w:r>
        <w:rPr>
          <w:spacing w:val="-4"/>
        </w:rPr>
        <w:t xml:space="preserve"> </w:t>
      </w:r>
      <w:r>
        <w:t>6‐3</w:t>
      </w:r>
      <w:r>
        <w:rPr>
          <w:spacing w:val="-4"/>
        </w:rPr>
        <w:t xml:space="preserve"> </w:t>
      </w:r>
      <w:r>
        <w:t>(Product</w:t>
      </w:r>
      <w:r>
        <w:rPr>
          <w:spacing w:val="-5"/>
        </w:rPr>
        <w:t xml:space="preserve"> </w:t>
      </w:r>
      <w:r>
        <w:t>Costs</w:t>
      </w:r>
      <w:r>
        <w:rPr>
          <w:spacing w:val="-6"/>
        </w:rPr>
        <w:t xml:space="preserve"> </w:t>
      </w:r>
      <w:r>
        <w:t>and</w:t>
      </w:r>
      <w:r>
        <w:rPr>
          <w:spacing w:val="-5"/>
        </w:rPr>
        <w:t xml:space="preserve"> </w:t>
      </w:r>
      <w:r>
        <w:t>Related</w:t>
      </w:r>
      <w:r>
        <w:rPr>
          <w:spacing w:val="-5"/>
        </w:rPr>
        <w:t xml:space="preserve"> </w:t>
      </w:r>
      <w:r>
        <w:t>Expenses),</w:t>
      </w:r>
      <w:r>
        <w:rPr>
          <w:spacing w:val="-5"/>
        </w:rPr>
        <w:t xml:space="preserve"> </w:t>
      </w:r>
      <w:r>
        <w:t>MOFCOM</w:t>
      </w:r>
      <w:r>
        <w:rPr>
          <w:spacing w:val="-5"/>
        </w:rPr>
        <w:t xml:space="preserve"> </w:t>
      </w:r>
      <w:r>
        <w:t>stated</w:t>
      </w:r>
      <w:r>
        <w:rPr>
          <w:spacing w:val="-5"/>
        </w:rPr>
        <w:t xml:space="preserve"> </w:t>
      </w:r>
      <w:r>
        <w:t>in</w:t>
      </w:r>
      <w:r>
        <w:rPr>
          <w:spacing w:val="-5"/>
        </w:rPr>
        <w:t xml:space="preserve"> </w:t>
      </w:r>
      <w:r>
        <w:t xml:space="preserve">the Final Determination that "the expenses cannot be aligned with the data in Forms 6‐5 to </w:t>
      </w:r>
      <w:r>
        <w:rPr>
          <w:spacing w:val="-2"/>
        </w:rPr>
        <w:t>6‐8".</w:t>
      </w:r>
      <w:r>
        <w:rPr>
          <w:spacing w:val="-2"/>
          <w:vertAlign w:val="superscript"/>
        </w:rPr>
        <w:t>235</w:t>
      </w:r>
    </w:p>
    <w:p w14:paraId="51DE82AA" w14:textId="77777777" w:rsidR="0010369C" w:rsidRDefault="0010369C">
      <w:pPr>
        <w:pStyle w:val="BodyText"/>
        <w:spacing w:before="11"/>
        <w:rPr>
          <w:sz w:val="8"/>
        </w:rPr>
      </w:pPr>
    </w:p>
    <w:p w14:paraId="51DE82AB" w14:textId="77777777" w:rsidR="0010369C" w:rsidRDefault="008E43AE">
      <w:pPr>
        <w:pStyle w:val="BodyText"/>
        <w:spacing w:before="52" w:line="360" w:lineRule="auto"/>
        <w:ind w:left="237" w:right="614" w:firstLine="851"/>
        <w:jc w:val="both"/>
      </w:pPr>
      <w:r>
        <w:rPr>
          <w:noProof/>
        </w:rPr>
        <w:drawing>
          <wp:anchor distT="0" distB="0" distL="0" distR="0" simplePos="0" relativeHeight="250886656" behindDoc="1" locked="0" layoutInCell="1" allowOverlap="1" wp14:anchorId="51DE9FC7" wp14:editId="51DE9FC8">
            <wp:simplePos x="0" y="0"/>
            <wp:positionH relativeFrom="page">
              <wp:posOffset>905255</wp:posOffset>
            </wp:positionH>
            <wp:positionV relativeFrom="paragraph">
              <wp:posOffset>80596</wp:posOffset>
            </wp:positionV>
            <wp:extent cx="259079" cy="103631"/>
            <wp:effectExtent l="0" t="0" r="0" b="0"/>
            <wp:wrapNone/>
            <wp:docPr id="427" name="image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 name="image222.png"/>
                    <pic:cNvPicPr/>
                  </pic:nvPicPr>
                  <pic:blipFill>
                    <a:blip r:embed="rId320" cstate="print"/>
                    <a:stretch>
                      <a:fillRect/>
                    </a:stretch>
                  </pic:blipFill>
                  <pic:spPr>
                    <a:xfrm>
                      <a:off x="0" y="0"/>
                      <a:ext cx="259079" cy="103631"/>
                    </a:xfrm>
                    <a:prstGeom prst="rect">
                      <a:avLst/>
                    </a:prstGeom>
                  </pic:spPr>
                </pic:pic>
              </a:graphicData>
            </a:graphic>
          </wp:anchor>
        </w:drawing>
      </w:r>
      <w:r>
        <w:t>In respect of Form 6‐4 (Production Cost Details of the Product Under Investigation and the Like Product), MOFCOM stated in the Final Determination that:</w:t>
      </w:r>
    </w:p>
    <w:p w14:paraId="51DE82AC" w14:textId="77777777" w:rsidR="0010369C" w:rsidRDefault="008E43AE">
      <w:pPr>
        <w:pStyle w:val="ListParagraph"/>
        <w:numPr>
          <w:ilvl w:val="1"/>
          <w:numId w:val="69"/>
        </w:numPr>
        <w:tabs>
          <w:tab w:val="left" w:pos="1940"/>
          <w:tab w:val="left" w:pos="1941"/>
        </w:tabs>
        <w:spacing w:before="160" w:line="357" w:lineRule="auto"/>
        <w:ind w:right="612"/>
        <w:rPr>
          <w:rFonts w:ascii="Symbol" w:hAnsi="Symbol"/>
          <w:sz w:val="24"/>
        </w:rPr>
      </w:pPr>
      <w:r>
        <w:rPr>
          <w:sz w:val="24"/>
        </w:rPr>
        <w:t>"</w:t>
      </w:r>
      <w:r>
        <w:rPr>
          <w:sz w:val="24"/>
        </w:rPr>
        <w:t>The</w:t>
      </w:r>
      <w:r>
        <w:rPr>
          <w:spacing w:val="-7"/>
          <w:sz w:val="24"/>
        </w:rPr>
        <w:t xml:space="preserve"> </w:t>
      </w:r>
      <w:r>
        <w:rPr>
          <w:sz w:val="24"/>
        </w:rPr>
        <w:t>unit</w:t>
      </w:r>
      <w:r>
        <w:rPr>
          <w:spacing w:val="-7"/>
          <w:sz w:val="24"/>
        </w:rPr>
        <w:t xml:space="preserve"> </w:t>
      </w:r>
      <w:r>
        <w:rPr>
          <w:sz w:val="24"/>
        </w:rPr>
        <w:t>price</w:t>
      </w:r>
      <w:r>
        <w:rPr>
          <w:spacing w:val="-8"/>
          <w:sz w:val="24"/>
        </w:rPr>
        <w:t xml:space="preserve"> </w:t>
      </w:r>
      <w:r>
        <w:rPr>
          <w:sz w:val="24"/>
        </w:rPr>
        <w:t>of</w:t>
      </w:r>
      <w:r>
        <w:rPr>
          <w:spacing w:val="-7"/>
          <w:sz w:val="24"/>
        </w:rPr>
        <w:t xml:space="preserve"> </w:t>
      </w:r>
      <w:r>
        <w:rPr>
          <w:sz w:val="24"/>
        </w:rPr>
        <w:t>the</w:t>
      </w:r>
      <w:r>
        <w:rPr>
          <w:spacing w:val="-7"/>
          <w:sz w:val="24"/>
        </w:rPr>
        <w:t xml:space="preserve"> </w:t>
      </w:r>
      <w:r>
        <w:rPr>
          <w:sz w:val="24"/>
        </w:rPr>
        <w:t>direct</w:t>
      </w:r>
      <w:r>
        <w:rPr>
          <w:spacing w:val="-7"/>
          <w:sz w:val="24"/>
        </w:rPr>
        <w:t xml:space="preserve"> </w:t>
      </w:r>
      <w:r>
        <w:rPr>
          <w:sz w:val="24"/>
        </w:rPr>
        <w:t>materials</w:t>
      </w:r>
      <w:r>
        <w:rPr>
          <w:spacing w:val="-8"/>
          <w:sz w:val="24"/>
        </w:rPr>
        <w:t xml:space="preserve"> </w:t>
      </w:r>
      <w:r>
        <w:rPr>
          <w:sz w:val="24"/>
        </w:rPr>
        <w:t>of</w:t>
      </w:r>
      <w:r>
        <w:rPr>
          <w:spacing w:val="-7"/>
          <w:sz w:val="24"/>
        </w:rPr>
        <w:t xml:space="preserve"> </w:t>
      </w:r>
      <w:r>
        <w:rPr>
          <w:sz w:val="24"/>
        </w:rPr>
        <w:t>the</w:t>
      </w:r>
      <w:r>
        <w:rPr>
          <w:spacing w:val="-7"/>
          <w:sz w:val="24"/>
        </w:rPr>
        <w:t xml:space="preserve"> </w:t>
      </w:r>
      <w:r>
        <w:rPr>
          <w:sz w:val="24"/>
        </w:rPr>
        <w:t>same</w:t>
      </w:r>
      <w:r>
        <w:rPr>
          <w:spacing w:val="-6"/>
          <w:sz w:val="24"/>
        </w:rPr>
        <w:t xml:space="preserve"> </w:t>
      </w:r>
      <w:r>
        <w:rPr>
          <w:sz w:val="24"/>
        </w:rPr>
        <w:t>accounting</w:t>
      </w:r>
      <w:r>
        <w:rPr>
          <w:spacing w:val="-7"/>
          <w:sz w:val="24"/>
        </w:rPr>
        <w:t xml:space="preserve"> </w:t>
      </w:r>
      <w:r>
        <w:rPr>
          <w:sz w:val="24"/>
        </w:rPr>
        <w:t>code…</w:t>
      </w:r>
      <w:r>
        <w:rPr>
          <w:spacing w:val="-9"/>
          <w:sz w:val="24"/>
        </w:rPr>
        <w:t xml:space="preserve"> </w:t>
      </w:r>
      <w:r>
        <w:rPr>
          <w:sz w:val="24"/>
        </w:rPr>
        <w:t>cannot be</w:t>
      </w:r>
      <w:r>
        <w:rPr>
          <w:spacing w:val="-11"/>
          <w:sz w:val="24"/>
        </w:rPr>
        <w:t xml:space="preserve"> </w:t>
      </w:r>
      <w:r>
        <w:rPr>
          <w:sz w:val="24"/>
        </w:rPr>
        <w:t>aligned</w:t>
      </w:r>
      <w:r>
        <w:rPr>
          <w:spacing w:val="-11"/>
          <w:sz w:val="24"/>
        </w:rPr>
        <w:t xml:space="preserve"> </w:t>
      </w:r>
      <w:r>
        <w:rPr>
          <w:sz w:val="24"/>
        </w:rPr>
        <w:t>with</w:t>
      </w:r>
      <w:r>
        <w:rPr>
          <w:spacing w:val="-11"/>
          <w:sz w:val="24"/>
        </w:rPr>
        <w:t xml:space="preserve"> </w:t>
      </w:r>
      <w:r>
        <w:rPr>
          <w:sz w:val="24"/>
        </w:rPr>
        <w:t>"Form</w:t>
      </w:r>
      <w:r>
        <w:rPr>
          <w:spacing w:val="-11"/>
          <w:sz w:val="24"/>
        </w:rPr>
        <w:t xml:space="preserve"> </w:t>
      </w:r>
      <w:r>
        <w:rPr>
          <w:sz w:val="24"/>
        </w:rPr>
        <w:t>6‐1‐1</w:t>
      </w:r>
      <w:r>
        <w:rPr>
          <w:spacing w:val="-11"/>
          <w:sz w:val="24"/>
        </w:rPr>
        <w:t xml:space="preserve"> </w:t>
      </w:r>
      <w:r>
        <w:rPr>
          <w:sz w:val="24"/>
        </w:rPr>
        <w:t>Procurement</w:t>
      </w:r>
      <w:r>
        <w:rPr>
          <w:spacing w:val="-12"/>
          <w:sz w:val="24"/>
        </w:rPr>
        <w:t xml:space="preserve"> </w:t>
      </w:r>
      <w:r>
        <w:rPr>
          <w:sz w:val="24"/>
        </w:rPr>
        <w:t>Cost</w:t>
      </w:r>
      <w:r>
        <w:rPr>
          <w:spacing w:val="-11"/>
          <w:sz w:val="24"/>
        </w:rPr>
        <w:t xml:space="preserve"> </w:t>
      </w:r>
      <w:r>
        <w:rPr>
          <w:sz w:val="24"/>
        </w:rPr>
        <w:t>Sheet</w:t>
      </w:r>
      <w:r>
        <w:rPr>
          <w:spacing w:val="-11"/>
          <w:sz w:val="24"/>
        </w:rPr>
        <w:t xml:space="preserve"> </w:t>
      </w:r>
      <w:r>
        <w:rPr>
          <w:sz w:val="24"/>
        </w:rPr>
        <w:t>for</w:t>
      </w:r>
      <w:r>
        <w:rPr>
          <w:spacing w:val="-11"/>
          <w:sz w:val="24"/>
        </w:rPr>
        <w:t xml:space="preserve"> </w:t>
      </w:r>
      <w:r>
        <w:rPr>
          <w:sz w:val="24"/>
        </w:rPr>
        <w:t>Raw</w:t>
      </w:r>
      <w:r>
        <w:rPr>
          <w:spacing w:val="-11"/>
          <w:sz w:val="24"/>
        </w:rPr>
        <w:t xml:space="preserve"> </w:t>
      </w:r>
      <w:r>
        <w:rPr>
          <w:sz w:val="24"/>
        </w:rPr>
        <w:t>Materials"</w:t>
      </w:r>
      <w:r>
        <w:rPr>
          <w:spacing w:val="-11"/>
          <w:sz w:val="24"/>
        </w:rPr>
        <w:t xml:space="preserve"> </w:t>
      </w:r>
      <w:r>
        <w:rPr>
          <w:sz w:val="24"/>
        </w:rPr>
        <w:t>and "Form 6‐1‐2 Production Cost Sheet for Raw Materials;""</w:t>
      </w:r>
      <w:r>
        <w:rPr>
          <w:sz w:val="24"/>
          <w:vertAlign w:val="superscript"/>
        </w:rPr>
        <w:t>236</w:t>
      </w:r>
    </w:p>
    <w:p w14:paraId="51DE82AD" w14:textId="77777777" w:rsidR="0010369C" w:rsidRDefault="0010369C">
      <w:pPr>
        <w:pStyle w:val="BodyText"/>
        <w:rPr>
          <w:sz w:val="26"/>
        </w:rPr>
      </w:pPr>
    </w:p>
    <w:p w14:paraId="51DE82AE" w14:textId="77777777" w:rsidR="0010369C" w:rsidRDefault="0010369C">
      <w:pPr>
        <w:pStyle w:val="BodyText"/>
        <w:spacing w:before="11"/>
        <w:rPr>
          <w:sz w:val="38"/>
        </w:rPr>
      </w:pPr>
    </w:p>
    <w:p w14:paraId="51DE82AF" w14:textId="77777777" w:rsidR="0010369C" w:rsidRDefault="008E43AE">
      <w:pPr>
        <w:ind w:left="238" w:right="611"/>
        <w:rPr>
          <w:sz w:val="18"/>
        </w:rPr>
      </w:pPr>
      <w:r>
        <w:rPr>
          <w:sz w:val="18"/>
        </w:rPr>
        <w:t>investigating authority must inform interested parties why certain information is disregarded. However … that obligation is found in Article 6.8 (through Annex II, para. 6), and not in Article</w:t>
      </w:r>
      <w:r>
        <w:rPr>
          <w:sz w:val="18"/>
        </w:rPr>
        <w:t xml:space="preserve"> 6.9". (footnotes omitted)</w:t>
      </w:r>
    </w:p>
    <w:p w14:paraId="51DE82B0" w14:textId="77777777" w:rsidR="0010369C" w:rsidRDefault="008E43AE">
      <w:pPr>
        <w:spacing w:before="1"/>
        <w:ind w:left="238"/>
        <w:rPr>
          <w:sz w:val="18"/>
        </w:rPr>
      </w:pPr>
      <w:r>
        <w:rPr>
          <w:sz w:val="18"/>
          <w:vertAlign w:val="superscript"/>
        </w:rPr>
        <w:t>234</w:t>
      </w:r>
      <w:r>
        <w:rPr>
          <w:spacing w:val="-9"/>
          <w:sz w:val="18"/>
        </w:rPr>
        <w:t xml:space="preserve"> </w:t>
      </w:r>
      <w:r>
        <w:rPr>
          <w:sz w:val="18"/>
        </w:rPr>
        <w:t>Anti‐Dumping</w:t>
      </w:r>
      <w:r>
        <w:rPr>
          <w:spacing w:val="-9"/>
          <w:sz w:val="18"/>
        </w:rPr>
        <w:t xml:space="preserve"> </w:t>
      </w:r>
      <w:r>
        <w:rPr>
          <w:sz w:val="18"/>
        </w:rPr>
        <w:t>Final</w:t>
      </w:r>
      <w:r>
        <w:rPr>
          <w:spacing w:val="-9"/>
          <w:sz w:val="18"/>
        </w:rPr>
        <w:t xml:space="preserve"> </w:t>
      </w:r>
      <w:r>
        <w:rPr>
          <w:sz w:val="18"/>
        </w:rPr>
        <w:t>Determination</w:t>
      </w:r>
      <w:r>
        <w:rPr>
          <w:spacing w:val="-8"/>
          <w:sz w:val="18"/>
        </w:rPr>
        <w:t xml:space="preserve"> </w:t>
      </w:r>
      <w:r>
        <w:rPr>
          <w:sz w:val="18"/>
        </w:rPr>
        <w:t>(Exhibit</w:t>
      </w:r>
      <w:r>
        <w:rPr>
          <w:spacing w:val="-9"/>
          <w:sz w:val="18"/>
        </w:rPr>
        <w:t xml:space="preserve"> </w:t>
      </w:r>
      <w:r>
        <w:rPr>
          <w:sz w:val="18"/>
        </w:rPr>
        <w:t>AUS‐2),</w:t>
      </w:r>
      <w:r>
        <w:rPr>
          <w:spacing w:val="-10"/>
          <w:sz w:val="18"/>
        </w:rPr>
        <w:t xml:space="preserve"> </w:t>
      </w:r>
      <w:r>
        <w:rPr>
          <w:sz w:val="18"/>
        </w:rPr>
        <w:t>pp.</w:t>
      </w:r>
      <w:r>
        <w:rPr>
          <w:spacing w:val="-9"/>
          <w:sz w:val="18"/>
        </w:rPr>
        <w:t xml:space="preserve"> </w:t>
      </w:r>
      <w:r>
        <w:rPr>
          <w:spacing w:val="-2"/>
          <w:sz w:val="18"/>
        </w:rPr>
        <w:t>62‐63.</w:t>
      </w:r>
    </w:p>
    <w:p w14:paraId="51DE82B1" w14:textId="77777777" w:rsidR="0010369C" w:rsidRDefault="008E43AE">
      <w:pPr>
        <w:ind w:left="238"/>
        <w:rPr>
          <w:sz w:val="18"/>
        </w:rPr>
      </w:pPr>
      <w:r>
        <w:rPr>
          <w:sz w:val="18"/>
          <w:vertAlign w:val="superscript"/>
        </w:rPr>
        <w:t>235</w:t>
      </w:r>
      <w:r>
        <w:rPr>
          <w:spacing w:val="-9"/>
          <w:sz w:val="18"/>
        </w:rPr>
        <w:t xml:space="preserve"> </w:t>
      </w:r>
      <w:r>
        <w:rPr>
          <w:sz w:val="18"/>
        </w:rPr>
        <w:t>Anti‐Dumping</w:t>
      </w:r>
      <w:r>
        <w:rPr>
          <w:spacing w:val="-9"/>
          <w:sz w:val="18"/>
        </w:rPr>
        <w:t xml:space="preserve"> </w:t>
      </w:r>
      <w:r>
        <w:rPr>
          <w:sz w:val="18"/>
        </w:rPr>
        <w:t>Final</w:t>
      </w:r>
      <w:r>
        <w:rPr>
          <w:spacing w:val="-9"/>
          <w:sz w:val="18"/>
        </w:rPr>
        <w:t xml:space="preserve"> </w:t>
      </w:r>
      <w:r>
        <w:rPr>
          <w:sz w:val="18"/>
        </w:rPr>
        <w:t>Determination</w:t>
      </w:r>
      <w:r>
        <w:rPr>
          <w:spacing w:val="-8"/>
          <w:sz w:val="18"/>
        </w:rPr>
        <w:t xml:space="preserve"> </w:t>
      </w:r>
      <w:r>
        <w:rPr>
          <w:sz w:val="18"/>
        </w:rPr>
        <w:t>(Exhibit</w:t>
      </w:r>
      <w:r>
        <w:rPr>
          <w:spacing w:val="-9"/>
          <w:sz w:val="18"/>
        </w:rPr>
        <w:t xml:space="preserve"> </w:t>
      </w:r>
      <w:r>
        <w:rPr>
          <w:sz w:val="18"/>
        </w:rPr>
        <w:t>AUS‐2),</w:t>
      </w:r>
      <w:r>
        <w:rPr>
          <w:spacing w:val="-9"/>
          <w:sz w:val="18"/>
        </w:rPr>
        <w:t xml:space="preserve"> </w:t>
      </w:r>
      <w:r>
        <w:rPr>
          <w:sz w:val="18"/>
        </w:rPr>
        <w:t>p.</w:t>
      </w:r>
      <w:r>
        <w:rPr>
          <w:spacing w:val="-9"/>
          <w:sz w:val="18"/>
        </w:rPr>
        <w:t xml:space="preserve"> </w:t>
      </w:r>
      <w:r>
        <w:rPr>
          <w:spacing w:val="-5"/>
          <w:sz w:val="18"/>
        </w:rPr>
        <w:t>59.</w:t>
      </w:r>
    </w:p>
    <w:p w14:paraId="51DE82B2" w14:textId="77777777" w:rsidR="0010369C" w:rsidRDefault="0010369C">
      <w:pPr>
        <w:rPr>
          <w:sz w:val="18"/>
        </w:rPr>
        <w:sectPr w:rsidR="0010369C">
          <w:headerReference w:type="default" r:id="rId321"/>
          <w:footerReference w:type="default" r:id="rId322"/>
          <w:pgSz w:w="11910" w:h="16840"/>
          <w:pgMar w:top="880" w:right="800" w:bottom="1560" w:left="1180" w:header="569" w:footer="1363" w:gutter="0"/>
          <w:cols w:space="720"/>
        </w:sectPr>
      </w:pPr>
    </w:p>
    <w:p w14:paraId="51DE82B3" w14:textId="77777777" w:rsidR="0010369C" w:rsidRDefault="008E43AE">
      <w:pPr>
        <w:tabs>
          <w:tab w:val="left" w:pos="6425"/>
        </w:tabs>
        <w:ind w:left="238"/>
        <w:rPr>
          <w:sz w:val="20"/>
        </w:rPr>
      </w:pPr>
      <w:r>
        <w:rPr>
          <w:i/>
          <w:sz w:val="20"/>
        </w:rPr>
        <w:lastRenderedPageBreak/>
        <w:t>China</w:t>
      </w:r>
      <w:r>
        <w:rPr>
          <w:i/>
          <w:spacing w:val="-5"/>
          <w:sz w:val="20"/>
        </w:rPr>
        <w:t xml:space="preserve"> </w:t>
      </w:r>
      <w:r>
        <w:rPr>
          <w:i/>
          <w:sz w:val="20"/>
        </w:rPr>
        <w:t>–</w:t>
      </w:r>
      <w:r>
        <w:rPr>
          <w:i/>
          <w:spacing w:val="-5"/>
          <w:sz w:val="20"/>
        </w:rPr>
        <w:t xml:space="preserve"> </w:t>
      </w:r>
      <w:r>
        <w:rPr>
          <w:i/>
          <w:sz w:val="20"/>
        </w:rPr>
        <w:t>Anti‐Dumping</w:t>
      </w:r>
      <w:r>
        <w:rPr>
          <w:i/>
          <w:spacing w:val="-4"/>
          <w:sz w:val="20"/>
        </w:rPr>
        <w:t xml:space="preserve"> </w:t>
      </w:r>
      <w:r>
        <w:rPr>
          <w:i/>
          <w:sz w:val="20"/>
        </w:rPr>
        <w:t>and</w:t>
      </w:r>
      <w:r>
        <w:rPr>
          <w:i/>
          <w:spacing w:val="-5"/>
          <w:sz w:val="20"/>
        </w:rPr>
        <w:t xml:space="preserve"> </w:t>
      </w:r>
      <w:r>
        <w:rPr>
          <w:i/>
          <w:sz w:val="20"/>
        </w:rPr>
        <w:t>Countervailing</w:t>
      </w:r>
      <w:r>
        <w:rPr>
          <w:i/>
          <w:spacing w:val="-5"/>
          <w:sz w:val="20"/>
        </w:rPr>
        <w:t xml:space="preserve"> </w:t>
      </w:r>
      <w:r>
        <w:rPr>
          <w:i/>
          <w:sz w:val="20"/>
        </w:rPr>
        <w:t>Duty</w:t>
      </w:r>
      <w:r>
        <w:rPr>
          <w:i/>
          <w:spacing w:val="-4"/>
          <w:sz w:val="20"/>
        </w:rPr>
        <w:t xml:space="preserve"> </w:t>
      </w:r>
      <w:r>
        <w:rPr>
          <w:i/>
          <w:spacing w:val="-2"/>
          <w:sz w:val="20"/>
        </w:rPr>
        <w:t>Measures</w:t>
      </w:r>
      <w:r>
        <w:rPr>
          <w:i/>
          <w:sz w:val="20"/>
        </w:rPr>
        <w:tab/>
      </w:r>
      <w:r>
        <w:rPr>
          <w:sz w:val="20"/>
        </w:rPr>
        <w:t>Australia's</w:t>
      </w:r>
      <w:r>
        <w:rPr>
          <w:spacing w:val="-7"/>
          <w:sz w:val="20"/>
        </w:rPr>
        <w:t xml:space="preserve"> </w:t>
      </w:r>
      <w:r>
        <w:rPr>
          <w:sz w:val="20"/>
        </w:rPr>
        <w:t>First</w:t>
      </w:r>
      <w:r>
        <w:rPr>
          <w:spacing w:val="-2"/>
          <w:sz w:val="20"/>
        </w:rPr>
        <w:t xml:space="preserve"> </w:t>
      </w:r>
      <w:r>
        <w:rPr>
          <w:sz w:val="20"/>
        </w:rPr>
        <w:t>Written</w:t>
      </w:r>
      <w:r>
        <w:rPr>
          <w:spacing w:val="-2"/>
          <w:sz w:val="20"/>
        </w:rPr>
        <w:t xml:space="preserve"> Submission</w:t>
      </w:r>
    </w:p>
    <w:p w14:paraId="51DE82B4" w14:textId="77777777" w:rsidR="0010369C" w:rsidRDefault="008E43AE">
      <w:pPr>
        <w:tabs>
          <w:tab w:val="left" w:pos="8227"/>
        </w:tabs>
        <w:spacing w:before="1"/>
        <w:ind w:left="239"/>
        <w:rPr>
          <w:sz w:val="20"/>
        </w:rPr>
      </w:pPr>
      <w:r>
        <w:rPr>
          <w:i/>
          <w:sz w:val="20"/>
        </w:rPr>
        <w:t>on</w:t>
      </w:r>
      <w:r>
        <w:rPr>
          <w:i/>
          <w:spacing w:val="-1"/>
          <w:sz w:val="20"/>
        </w:rPr>
        <w:t xml:space="preserve"> </w:t>
      </w:r>
      <w:r>
        <w:rPr>
          <w:i/>
          <w:sz w:val="20"/>
        </w:rPr>
        <w:t>Wine</w:t>
      </w:r>
      <w:r>
        <w:rPr>
          <w:i/>
          <w:spacing w:val="-1"/>
          <w:sz w:val="20"/>
        </w:rPr>
        <w:t xml:space="preserve"> </w:t>
      </w:r>
      <w:r>
        <w:rPr>
          <w:i/>
          <w:sz w:val="20"/>
        </w:rPr>
        <w:t>from</w:t>
      </w:r>
      <w:r>
        <w:rPr>
          <w:i/>
          <w:spacing w:val="-3"/>
          <w:sz w:val="20"/>
        </w:rPr>
        <w:t xml:space="preserve"> </w:t>
      </w:r>
      <w:r>
        <w:rPr>
          <w:i/>
          <w:sz w:val="20"/>
        </w:rPr>
        <w:t>Australia</w:t>
      </w:r>
      <w:r>
        <w:rPr>
          <w:i/>
          <w:spacing w:val="-1"/>
          <w:sz w:val="20"/>
        </w:rPr>
        <w:t xml:space="preserve"> </w:t>
      </w:r>
      <w:r>
        <w:rPr>
          <w:spacing w:val="-2"/>
          <w:sz w:val="20"/>
        </w:rPr>
        <w:t>(DS602)</w:t>
      </w:r>
      <w:r>
        <w:rPr>
          <w:sz w:val="20"/>
        </w:rPr>
        <w:tab/>
        <w:t>29</w:t>
      </w:r>
      <w:r>
        <w:rPr>
          <w:spacing w:val="-1"/>
          <w:sz w:val="20"/>
        </w:rPr>
        <w:t xml:space="preserve"> </w:t>
      </w:r>
      <w:r>
        <w:rPr>
          <w:sz w:val="20"/>
        </w:rPr>
        <w:t>April</w:t>
      </w:r>
      <w:r>
        <w:rPr>
          <w:spacing w:val="-2"/>
          <w:sz w:val="20"/>
        </w:rPr>
        <w:t xml:space="preserve"> </w:t>
      </w:r>
      <w:r>
        <w:rPr>
          <w:spacing w:val="-4"/>
          <w:sz w:val="20"/>
        </w:rPr>
        <w:t>2022</w:t>
      </w:r>
    </w:p>
    <w:p w14:paraId="51DE82B5" w14:textId="77777777" w:rsidR="0010369C" w:rsidRDefault="008E43AE">
      <w:pPr>
        <w:pStyle w:val="ListParagraph"/>
        <w:numPr>
          <w:ilvl w:val="1"/>
          <w:numId w:val="69"/>
        </w:numPr>
        <w:tabs>
          <w:tab w:val="left" w:pos="1940"/>
          <w:tab w:val="left" w:pos="1941"/>
        </w:tabs>
        <w:spacing w:before="35" w:line="355" w:lineRule="auto"/>
        <w:ind w:right="614"/>
        <w:jc w:val="left"/>
        <w:rPr>
          <w:rFonts w:ascii="Symbol" w:hAnsi="Symbol"/>
          <w:sz w:val="24"/>
        </w:rPr>
      </w:pPr>
      <w:r>
        <w:rPr>
          <w:sz w:val="24"/>
        </w:rPr>
        <w:t>Treasury Wines "also offered inconsistent filling methods in Form 6‐2 and Form 6‐4, so these data could not be mutually verified;"</w:t>
      </w:r>
      <w:r>
        <w:rPr>
          <w:sz w:val="24"/>
          <w:vertAlign w:val="superscript"/>
        </w:rPr>
        <w:t>237</w:t>
      </w:r>
      <w:r>
        <w:rPr>
          <w:sz w:val="24"/>
        </w:rPr>
        <w:t xml:space="preserve"> and</w:t>
      </w:r>
    </w:p>
    <w:p w14:paraId="51DE82B6" w14:textId="77777777" w:rsidR="0010369C" w:rsidRDefault="008E43AE">
      <w:pPr>
        <w:pStyle w:val="ListParagraph"/>
        <w:numPr>
          <w:ilvl w:val="1"/>
          <w:numId w:val="69"/>
        </w:numPr>
        <w:tabs>
          <w:tab w:val="left" w:pos="1940"/>
          <w:tab w:val="left" w:pos="1941"/>
        </w:tabs>
        <w:spacing w:before="131" w:line="355" w:lineRule="auto"/>
        <w:ind w:left="1940" w:right="614"/>
        <w:jc w:val="left"/>
        <w:rPr>
          <w:rFonts w:ascii="Symbol" w:hAnsi="Symbol"/>
          <w:sz w:val="24"/>
        </w:rPr>
      </w:pPr>
      <w:r>
        <w:rPr>
          <w:sz w:val="24"/>
        </w:rPr>
        <w:t>"The</w:t>
      </w:r>
      <w:r>
        <w:rPr>
          <w:spacing w:val="-4"/>
          <w:sz w:val="24"/>
        </w:rPr>
        <w:t xml:space="preserve"> </w:t>
      </w:r>
      <w:r>
        <w:rPr>
          <w:sz w:val="24"/>
        </w:rPr>
        <w:t>cost</w:t>
      </w:r>
      <w:r>
        <w:rPr>
          <w:spacing w:val="-5"/>
          <w:sz w:val="24"/>
        </w:rPr>
        <w:t xml:space="preserve"> </w:t>
      </w:r>
      <w:r>
        <w:rPr>
          <w:sz w:val="24"/>
        </w:rPr>
        <w:t>of</w:t>
      </w:r>
      <w:r>
        <w:rPr>
          <w:spacing w:val="-6"/>
          <w:sz w:val="24"/>
        </w:rPr>
        <w:t xml:space="preserve"> </w:t>
      </w:r>
      <w:r>
        <w:rPr>
          <w:sz w:val="24"/>
        </w:rPr>
        <w:t>each</w:t>
      </w:r>
      <w:r>
        <w:rPr>
          <w:spacing w:val="-5"/>
          <w:sz w:val="24"/>
        </w:rPr>
        <w:t xml:space="preserve"> </w:t>
      </w:r>
      <w:r>
        <w:rPr>
          <w:sz w:val="24"/>
        </w:rPr>
        <w:t>product</w:t>
      </w:r>
      <w:r>
        <w:rPr>
          <w:spacing w:val="-4"/>
          <w:sz w:val="24"/>
        </w:rPr>
        <w:t xml:space="preserve"> </w:t>
      </w:r>
      <w:r>
        <w:rPr>
          <w:sz w:val="24"/>
        </w:rPr>
        <w:t>type</w:t>
      </w:r>
      <w:r>
        <w:rPr>
          <w:spacing w:val="-4"/>
          <w:sz w:val="24"/>
        </w:rPr>
        <w:t xml:space="preserve"> </w:t>
      </w:r>
      <w:r>
        <w:rPr>
          <w:sz w:val="24"/>
        </w:rPr>
        <w:t>is</w:t>
      </w:r>
      <w:r>
        <w:rPr>
          <w:spacing w:val="-5"/>
          <w:sz w:val="24"/>
        </w:rPr>
        <w:t xml:space="preserve"> </w:t>
      </w:r>
      <w:r>
        <w:rPr>
          <w:sz w:val="24"/>
        </w:rPr>
        <w:t>also</w:t>
      </w:r>
      <w:r>
        <w:rPr>
          <w:spacing w:val="-5"/>
          <w:sz w:val="24"/>
        </w:rPr>
        <w:t xml:space="preserve"> </w:t>
      </w:r>
      <w:r>
        <w:rPr>
          <w:sz w:val="24"/>
        </w:rPr>
        <w:t>inconsistent</w:t>
      </w:r>
      <w:r>
        <w:rPr>
          <w:spacing w:val="-4"/>
          <w:sz w:val="24"/>
        </w:rPr>
        <w:t xml:space="preserve"> </w:t>
      </w:r>
      <w:r>
        <w:rPr>
          <w:sz w:val="24"/>
        </w:rPr>
        <w:t>with</w:t>
      </w:r>
      <w:r>
        <w:rPr>
          <w:spacing w:val="-5"/>
          <w:sz w:val="24"/>
        </w:rPr>
        <w:t xml:space="preserve"> </w:t>
      </w:r>
      <w:r>
        <w:rPr>
          <w:sz w:val="24"/>
        </w:rPr>
        <w:t>the</w:t>
      </w:r>
      <w:r>
        <w:rPr>
          <w:spacing w:val="-4"/>
          <w:sz w:val="24"/>
        </w:rPr>
        <w:t xml:space="preserve"> </w:t>
      </w:r>
      <w:r>
        <w:rPr>
          <w:sz w:val="24"/>
        </w:rPr>
        <w:t>data</w:t>
      </w:r>
      <w:r>
        <w:rPr>
          <w:spacing w:val="-4"/>
          <w:sz w:val="24"/>
        </w:rPr>
        <w:t xml:space="preserve"> </w:t>
      </w:r>
      <w:r>
        <w:rPr>
          <w:sz w:val="24"/>
        </w:rPr>
        <w:t>in</w:t>
      </w:r>
      <w:r>
        <w:rPr>
          <w:spacing w:val="-5"/>
          <w:sz w:val="24"/>
        </w:rPr>
        <w:t xml:space="preserve"> </w:t>
      </w:r>
      <w:r>
        <w:rPr>
          <w:sz w:val="24"/>
        </w:rPr>
        <w:t>"Form</w:t>
      </w:r>
      <w:r>
        <w:rPr>
          <w:spacing w:val="-6"/>
          <w:sz w:val="24"/>
        </w:rPr>
        <w:t xml:space="preserve"> </w:t>
      </w:r>
      <w:r>
        <w:rPr>
          <w:sz w:val="24"/>
        </w:rPr>
        <w:t>6‐ 3 Product Costs and Related Expenses".</w:t>
      </w:r>
      <w:r>
        <w:rPr>
          <w:sz w:val="24"/>
          <w:vertAlign w:val="superscript"/>
        </w:rPr>
        <w:t>238</w:t>
      </w:r>
    </w:p>
    <w:p w14:paraId="51DE82B7" w14:textId="77777777" w:rsidR="0010369C" w:rsidRDefault="008E43AE">
      <w:pPr>
        <w:pStyle w:val="BodyText"/>
        <w:spacing w:before="131" w:after="2" w:line="360" w:lineRule="auto"/>
        <w:ind w:left="237" w:right="613" w:firstLine="851"/>
        <w:jc w:val="both"/>
      </w:pPr>
      <w:r>
        <w:rPr>
          <w:noProof/>
        </w:rPr>
        <w:drawing>
          <wp:anchor distT="0" distB="0" distL="0" distR="0" simplePos="0" relativeHeight="250887680" behindDoc="1" locked="0" layoutInCell="1" allowOverlap="1" wp14:anchorId="51DE9FC9" wp14:editId="51DE9FCA">
            <wp:simplePos x="0" y="0"/>
            <wp:positionH relativeFrom="page">
              <wp:posOffset>905255</wp:posOffset>
            </wp:positionH>
            <wp:positionV relativeFrom="paragraph">
              <wp:posOffset>132115</wp:posOffset>
            </wp:positionV>
            <wp:extent cx="259079" cy="100753"/>
            <wp:effectExtent l="0" t="0" r="0" b="0"/>
            <wp:wrapNone/>
            <wp:docPr id="429" name="image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 name="image223.png"/>
                    <pic:cNvPicPr/>
                  </pic:nvPicPr>
                  <pic:blipFill>
                    <a:blip r:embed="rId323" cstate="print"/>
                    <a:stretch>
                      <a:fillRect/>
                    </a:stretch>
                  </pic:blipFill>
                  <pic:spPr>
                    <a:xfrm>
                      <a:off x="0" y="0"/>
                      <a:ext cx="259079" cy="100753"/>
                    </a:xfrm>
                    <a:prstGeom prst="rect">
                      <a:avLst/>
                    </a:prstGeom>
                  </pic:spPr>
                </pic:pic>
              </a:graphicData>
            </a:graphic>
          </wp:anchor>
        </w:drawing>
      </w:r>
      <w:r>
        <w:pict w14:anchorId="51DE9FCB">
          <v:rect id="docshape393" o:spid="_x0000_s1871" style="position:absolute;left:0;text-align:left;margin-left:206.65pt;margin-top:94.55pt;width:316.7pt;height:16.05pt;z-index:-251390464;mso-position-horizontal-relative:page;mso-position-vertical-relative:text" fillcolor="black" stroked="f">
            <w10:wrap anchorx="page"/>
          </v:rect>
        </w:pict>
      </w:r>
      <w:r>
        <w:t>In the first instance, Australia submits that given a number of the identified inconsistencies were between forms which did not contain "necessary" information, it is therefore</w:t>
      </w:r>
      <w:r>
        <w:rPr>
          <w:spacing w:val="-1"/>
        </w:rPr>
        <w:t xml:space="preserve"> </w:t>
      </w:r>
      <w:r>
        <w:t>unnecessary for</w:t>
      </w:r>
      <w:r>
        <w:rPr>
          <w:spacing w:val="-1"/>
        </w:rPr>
        <w:t xml:space="preserve"> </w:t>
      </w:r>
      <w:r>
        <w:t>those</w:t>
      </w:r>
      <w:r>
        <w:rPr>
          <w:spacing w:val="-1"/>
        </w:rPr>
        <w:t xml:space="preserve"> </w:t>
      </w:r>
      <w:r>
        <w:t>forms</w:t>
      </w:r>
      <w:r>
        <w:rPr>
          <w:spacing w:val="-1"/>
        </w:rPr>
        <w:t xml:space="preserve"> </w:t>
      </w:r>
      <w:r>
        <w:t>to</w:t>
      </w:r>
      <w:r>
        <w:rPr>
          <w:spacing w:val="-1"/>
        </w:rPr>
        <w:t xml:space="preserve"> </w:t>
      </w:r>
      <w:r>
        <w:t>b</w:t>
      </w:r>
      <w:r>
        <w:t>e</w:t>
      </w:r>
      <w:r>
        <w:rPr>
          <w:spacing w:val="-1"/>
        </w:rPr>
        <w:t xml:space="preserve"> </w:t>
      </w:r>
      <w:r>
        <w:t>reconciled</w:t>
      </w:r>
      <w:r>
        <w:rPr>
          <w:spacing w:val="-2"/>
        </w:rPr>
        <w:t xml:space="preserve"> </w:t>
      </w:r>
      <w:r>
        <w:t>for</w:t>
      </w:r>
      <w:r>
        <w:rPr>
          <w:spacing w:val="-1"/>
        </w:rPr>
        <w:t xml:space="preserve"> </w:t>
      </w:r>
      <w:r>
        <w:t>calculation</w:t>
      </w:r>
      <w:r>
        <w:rPr>
          <w:spacing w:val="-1"/>
        </w:rPr>
        <w:t xml:space="preserve"> </w:t>
      </w:r>
      <w:r>
        <w:t>purposes. Specifically, as outlined in above,</w:t>
      </w:r>
      <w:r>
        <w:rPr>
          <w:vertAlign w:val="superscript"/>
        </w:rPr>
        <w:t>239</w:t>
      </w:r>
      <w:r>
        <w:t xml:space="preserve"> Form 6‐1‐1 and Form 6‐1‐2 are not "necessary" for Treasury 'Wines' normal value calculations. [[</w:t>
      </w:r>
    </w:p>
    <w:p w14:paraId="51DE82B8" w14:textId="77777777" w:rsidR="0010369C" w:rsidRDefault="008E43AE">
      <w:pPr>
        <w:pStyle w:val="BodyText"/>
        <w:ind w:left="218"/>
        <w:rPr>
          <w:sz w:val="20"/>
        </w:rPr>
      </w:pPr>
      <w:r>
        <w:rPr>
          <w:sz w:val="20"/>
        </w:rPr>
      </w:r>
      <w:r>
        <w:rPr>
          <w:sz w:val="20"/>
        </w:rPr>
        <w:pict w14:anchorId="51DE9FCD">
          <v:group id="docshapegroup394" o:spid="_x0000_s1869" style="width:453.45pt;height:16.1pt;mso-position-horizontal-relative:char;mso-position-vertical-relative:line" coordsize="9069,322">
            <v:rect id="docshape395" o:spid="_x0000_s1870" style="position:absolute;width:9069;height:322" fillcolor="black" stroked="f"/>
            <w10:anchorlock/>
          </v:group>
        </w:pict>
      </w:r>
    </w:p>
    <w:p w14:paraId="51DE82B9" w14:textId="77777777" w:rsidR="0010369C" w:rsidRDefault="008E43AE">
      <w:pPr>
        <w:pStyle w:val="BodyText"/>
        <w:spacing w:before="82"/>
        <w:ind w:left="8800"/>
      </w:pPr>
      <w:r>
        <w:pict w14:anchorId="51DE9FCE">
          <v:rect id="docshape396" o:spid="_x0000_s1868" style="position:absolute;left:0;text-align:left;margin-left:69.9pt;margin-top:4.2pt;width:428.15pt;height:16.05pt;z-index:251757056;mso-position-horizontal-relative:page" fillcolor="black" stroked="f">
            <w10:wrap anchorx="page"/>
          </v:rect>
        </w:pict>
      </w:r>
      <w:r>
        <w:t>]]</w:t>
      </w:r>
      <w:r>
        <w:rPr>
          <w:spacing w:val="16"/>
        </w:rPr>
        <w:t xml:space="preserve"> </w:t>
      </w:r>
      <w:r>
        <w:rPr>
          <w:spacing w:val="-7"/>
        </w:rPr>
        <w:t>On</w:t>
      </w:r>
    </w:p>
    <w:p w14:paraId="51DE82BA" w14:textId="77777777" w:rsidR="0010369C" w:rsidRDefault="008E43AE">
      <w:pPr>
        <w:pStyle w:val="BodyText"/>
        <w:spacing w:before="146" w:line="360" w:lineRule="auto"/>
        <w:ind w:left="237" w:right="611"/>
      </w:pPr>
      <w:r>
        <w:t>this</w:t>
      </w:r>
      <w:r>
        <w:rPr>
          <w:spacing w:val="-3"/>
        </w:rPr>
        <w:t xml:space="preserve"> </w:t>
      </w:r>
      <w:r>
        <w:t>basi</w:t>
      </w:r>
      <w:r>
        <w:t>s,</w:t>
      </w:r>
      <w:r>
        <w:rPr>
          <w:spacing w:val="-2"/>
        </w:rPr>
        <w:t xml:space="preserve"> </w:t>
      </w:r>
      <w:r>
        <w:t>Australia</w:t>
      </w:r>
      <w:r>
        <w:rPr>
          <w:spacing w:val="-3"/>
        </w:rPr>
        <w:t xml:space="preserve"> </w:t>
      </w:r>
      <w:r>
        <w:t>submits</w:t>
      </w:r>
      <w:r>
        <w:rPr>
          <w:spacing w:val="-3"/>
        </w:rPr>
        <w:t xml:space="preserve"> </w:t>
      </w:r>
      <w:r>
        <w:t>that</w:t>
      </w:r>
      <w:r>
        <w:rPr>
          <w:spacing w:val="-3"/>
        </w:rPr>
        <w:t xml:space="preserve"> </w:t>
      </w:r>
      <w:r>
        <w:t>it</w:t>
      </w:r>
      <w:r>
        <w:rPr>
          <w:spacing w:val="-3"/>
        </w:rPr>
        <w:t xml:space="preserve"> </w:t>
      </w:r>
      <w:r>
        <w:t>is</w:t>
      </w:r>
      <w:r>
        <w:rPr>
          <w:spacing w:val="-3"/>
        </w:rPr>
        <w:t xml:space="preserve"> </w:t>
      </w:r>
      <w:r>
        <w:t>unnecessary</w:t>
      </w:r>
      <w:r>
        <w:rPr>
          <w:spacing w:val="-2"/>
        </w:rPr>
        <w:t xml:space="preserve"> </w:t>
      </w:r>
      <w:r>
        <w:t>for</w:t>
      </w:r>
      <w:r>
        <w:rPr>
          <w:spacing w:val="-2"/>
        </w:rPr>
        <w:t xml:space="preserve"> </w:t>
      </w:r>
      <w:r>
        <w:t>Form</w:t>
      </w:r>
      <w:r>
        <w:rPr>
          <w:spacing w:val="-2"/>
        </w:rPr>
        <w:t xml:space="preserve"> </w:t>
      </w:r>
      <w:r>
        <w:t>6‐4</w:t>
      </w:r>
      <w:r>
        <w:rPr>
          <w:spacing w:val="-3"/>
        </w:rPr>
        <w:t xml:space="preserve"> </w:t>
      </w:r>
      <w:r>
        <w:t>and</w:t>
      </w:r>
      <w:r>
        <w:rPr>
          <w:spacing w:val="-3"/>
        </w:rPr>
        <w:t xml:space="preserve"> </w:t>
      </w:r>
      <w:r>
        <w:t>Form</w:t>
      </w:r>
      <w:r>
        <w:rPr>
          <w:spacing w:val="-2"/>
        </w:rPr>
        <w:t xml:space="preserve"> </w:t>
      </w:r>
      <w:r>
        <w:t>6‐2</w:t>
      </w:r>
      <w:r>
        <w:rPr>
          <w:spacing w:val="-3"/>
        </w:rPr>
        <w:t xml:space="preserve"> </w:t>
      </w:r>
      <w:r>
        <w:t>to</w:t>
      </w:r>
      <w:r>
        <w:rPr>
          <w:spacing w:val="-2"/>
        </w:rPr>
        <w:t xml:space="preserve"> </w:t>
      </w:r>
      <w:r>
        <w:t>be</w:t>
      </w:r>
      <w:r>
        <w:rPr>
          <w:spacing w:val="-2"/>
        </w:rPr>
        <w:t xml:space="preserve"> </w:t>
      </w:r>
      <w:r>
        <w:t>reconciled with Form 6‐1‐1 and Form 6‐1‐2 for calculation purposes.</w:t>
      </w:r>
    </w:p>
    <w:p w14:paraId="51DE82BB" w14:textId="77777777" w:rsidR="0010369C" w:rsidRDefault="0010369C">
      <w:pPr>
        <w:pStyle w:val="BodyText"/>
        <w:spacing w:before="11"/>
        <w:rPr>
          <w:sz w:val="8"/>
        </w:rPr>
      </w:pPr>
    </w:p>
    <w:p w14:paraId="51DE82BC" w14:textId="77777777" w:rsidR="0010369C" w:rsidRDefault="008E43AE">
      <w:pPr>
        <w:pStyle w:val="BodyText"/>
        <w:spacing w:before="51" w:line="360" w:lineRule="auto"/>
        <w:ind w:left="236" w:right="611" w:firstLine="852"/>
        <w:jc w:val="both"/>
      </w:pPr>
      <w:r>
        <w:rPr>
          <w:noProof/>
        </w:rPr>
        <w:drawing>
          <wp:anchor distT="0" distB="0" distL="0" distR="0" simplePos="0" relativeHeight="250888704" behindDoc="1" locked="0" layoutInCell="1" allowOverlap="1" wp14:anchorId="51DE9FCF" wp14:editId="51DE9FD0">
            <wp:simplePos x="0" y="0"/>
            <wp:positionH relativeFrom="page">
              <wp:posOffset>905255</wp:posOffset>
            </wp:positionH>
            <wp:positionV relativeFrom="paragraph">
              <wp:posOffset>80722</wp:posOffset>
            </wp:positionV>
            <wp:extent cx="259079" cy="103631"/>
            <wp:effectExtent l="0" t="0" r="0" b="0"/>
            <wp:wrapNone/>
            <wp:docPr id="431" name="image2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 name="image224.png"/>
                    <pic:cNvPicPr/>
                  </pic:nvPicPr>
                  <pic:blipFill>
                    <a:blip r:embed="rId324" cstate="print"/>
                    <a:stretch>
                      <a:fillRect/>
                    </a:stretch>
                  </pic:blipFill>
                  <pic:spPr>
                    <a:xfrm>
                      <a:off x="0" y="0"/>
                      <a:ext cx="259079" cy="103631"/>
                    </a:xfrm>
                    <a:prstGeom prst="rect">
                      <a:avLst/>
                    </a:prstGeom>
                  </pic:spPr>
                </pic:pic>
              </a:graphicData>
            </a:graphic>
          </wp:anchor>
        </w:drawing>
      </w:r>
      <w:r>
        <w:t xml:space="preserve">Assuming, </w:t>
      </w:r>
      <w:r>
        <w:rPr>
          <w:i/>
        </w:rPr>
        <w:t>arguendo</w:t>
      </w:r>
      <w:r>
        <w:t>, that Form 6‐1‐1 and Form 6‐1‐2 contained "necessary information" within the meaning of Article 6.8, Australia submits that the Anti‐Dumping Questionnaire</w:t>
      </w:r>
      <w:r>
        <w:rPr>
          <w:spacing w:val="-14"/>
        </w:rPr>
        <w:t xml:space="preserve"> </w:t>
      </w:r>
      <w:r>
        <w:t>did</w:t>
      </w:r>
      <w:r>
        <w:rPr>
          <w:spacing w:val="-14"/>
        </w:rPr>
        <w:t xml:space="preserve"> </w:t>
      </w:r>
      <w:r>
        <w:t>not</w:t>
      </w:r>
      <w:r>
        <w:rPr>
          <w:spacing w:val="-13"/>
        </w:rPr>
        <w:t xml:space="preserve"> </w:t>
      </w:r>
      <w:r>
        <w:t>specify</w:t>
      </w:r>
      <w:r>
        <w:rPr>
          <w:spacing w:val="-14"/>
        </w:rPr>
        <w:t xml:space="preserve"> </w:t>
      </w:r>
      <w:r>
        <w:t>that</w:t>
      </w:r>
      <w:r>
        <w:rPr>
          <w:spacing w:val="-13"/>
        </w:rPr>
        <w:t xml:space="preserve"> </w:t>
      </w:r>
      <w:r>
        <w:t>the</w:t>
      </w:r>
      <w:r>
        <w:rPr>
          <w:spacing w:val="-14"/>
        </w:rPr>
        <w:t xml:space="preserve"> </w:t>
      </w:r>
      <w:r>
        <w:t>information</w:t>
      </w:r>
      <w:r>
        <w:rPr>
          <w:spacing w:val="-13"/>
        </w:rPr>
        <w:t xml:space="preserve"> </w:t>
      </w:r>
      <w:r>
        <w:t>required</w:t>
      </w:r>
      <w:r>
        <w:rPr>
          <w:spacing w:val="-14"/>
        </w:rPr>
        <w:t xml:space="preserve"> </w:t>
      </w:r>
      <w:r>
        <w:t>must</w:t>
      </w:r>
      <w:r>
        <w:rPr>
          <w:spacing w:val="-14"/>
        </w:rPr>
        <w:t xml:space="preserve"> </w:t>
      </w:r>
      <w:r>
        <w:t>be</w:t>
      </w:r>
      <w:r>
        <w:rPr>
          <w:spacing w:val="-13"/>
        </w:rPr>
        <w:t xml:space="preserve"> </w:t>
      </w:r>
      <w:r>
        <w:t>reconciled</w:t>
      </w:r>
      <w:r>
        <w:rPr>
          <w:spacing w:val="-14"/>
        </w:rPr>
        <w:t xml:space="preserve"> </w:t>
      </w:r>
      <w:r>
        <w:t>for</w:t>
      </w:r>
      <w:r>
        <w:rPr>
          <w:spacing w:val="-13"/>
        </w:rPr>
        <w:t xml:space="preserve"> </w:t>
      </w:r>
      <w:r>
        <w:t>verification purposes.</w:t>
      </w:r>
      <w:r>
        <w:rPr>
          <w:spacing w:val="-3"/>
        </w:rPr>
        <w:t xml:space="preserve"> </w:t>
      </w:r>
      <w:r>
        <w:t>Paragrap</w:t>
      </w:r>
      <w:r>
        <w:t>h</w:t>
      </w:r>
      <w:r>
        <w:rPr>
          <w:spacing w:val="-5"/>
        </w:rPr>
        <w:t xml:space="preserve"> </w:t>
      </w:r>
      <w:r>
        <w:t>1</w:t>
      </w:r>
      <w:r>
        <w:rPr>
          <w:spacing w:val="-7"/>
        </w:rPr>
        <w:t xml:space="preserve"> </w:t>
      </w:r>
      <w:r>
        <w:t>of</w:t>
      </w:r>
      <w:r>
        <w:rPr>
          <w:spacing w:val="-5"/>
        </w:rPr>
        <w:t xml:space="preserve"> </w:t>
      </w:r>
      <w:r>
        <w:t>Annex</w:t>
      </w:r>
      <w:r>
        <w:rPr>
          <w:spacing w:val="-5"/>
        </w:rPr>
        <w:t xml:space="preserve"> </w:t>
      </w:r>
      <w:r>
        <w:t>II</w:t>
      </w:r>
      <w:r>
        <w:rPr>
          <w:spacing w:val="-6"/>
        </w:rPr>
        <w:t xml:space="preserve"> </w:t>
      </w:r>
      <w:r>
        <w:t>clearly</w:t>
      </w:r>
      <w:r>
        <w:rPr>
          <w:spacing w:val="-5"/>
        </w:rPr>
        <w:t xml:space="preserve"> </w:t>
      </w:r>
      <w:r>
        <w:t>places</w:t>
      </w:r>
      <w:r>
        <w:rPr>
          <w:spacing w:val="-7"/>
        </w:rPr>
        <w:t xml:space="preserve"> </w:t>
      </w:r>
      <w:r>
        <w:t>the</w:t>
      </w:r>
      <w:r>
        <w:rPr>
          <w:spacing w:val="-4"/>
        </w:rPr>
        <w:t xml:space="preserve"> </w:t>
      </w:r>
      <w:r>
        <w:t>onus</w:t>
      </w:r>
      <w:r>
        <w:rPr>
          <w:spacing w:val="-6"/>
        </w:rPr>
        <w:t xml:space="preserve"> </w:t>
      </w:r>
      <w:r>
        <w:t>on</w:t>
      </w:r>
      <w:r>
        <w:rPr>
          <w:spacing w:val="-5"/>
        </w:rPr>
        <w:t xml:space="preserve"> </w:t>
      </w:r>
      <w:r>
        <w:t>MOFCOM</w:t>
      </w:r>
      <w:r>
        <w:rPr>
          <w:spacing w:val="-5"/>
        </w:rPr>
        <w:t xml:space="preserve"> </w:t>
      </w:r>
      <w:r>
        <w:t>to</w:t>
      </w:r>
      <w:r>
        <w:rPr>
          <w:spacing w:val="-5"/>
        </w:rPr>
        <w:t xml:space="preserve"> </w:t>
      </w:r>
      <w:r>
        <w:t>explain</w:t>
      </w:r>
      <w:r>
        <w:rPr>
          <w:spacing w:val="-6"/>
        </w:rPr>
        <w:t xml:space="preserve"> </w:t>
      </w:r>
      <w:r>
        <w:t>in</w:t>
      </w:r>
      <w:r>
        <w:rPr>
          <w:spacing w:val="-6"/>
        </w:rPr>
        <w:t xml:space="preserve"> </w:t>
      </w:r>
      <w:r>
        <w:t>detail</w:t>
      </w:r>
      <w:r>
        <w:rPr>
          <w:spacing w:val="-4"/>
        </w:rPr>
        <w:t xml:space="preserve"> </w:t>
      </w:r>
      <w:r>
        <w:t>the type</w:t>
      </w:r>
      <w:r>
        <w:rPr>
          <w:spacing w:val="-8"/>
        </w:rPr>
        <w:t xml:space="preserve"> </w:t>
      </w:r>
      <w:r>
        <w:t>of</w:t>
      </w:r>
      <w:r>
        <w:rPr>
          <w:spacing w:val="-8"/>
        </w:rPr>
        <w:t xml:space="preserve"> </w:t>
      </w:r>
      <w:r>
        <w:t>information</w:t>
      </w:r>
      <w:r>
        <w:rPr>
          <w:spacing w:val="-6"/>
        </w:rPr>
        <w:t xml:space="preserve"> </w:t>
      </w:r>
      <w:r>
        <w:t>that</w:t>
      </w:r>
      <w:r>
        <w:rPr>
          <w:spacing w:val="-10"/>
        </w:rPr>
        <w:t xml:space="preserve"> </w:t>
      </w:r>
      <w:r>
        <w:t>it</w:t>
      </w:r>
      <w:r>
        <w:rPr>
          <w:spacing w:val="-7"/>
        </w:rPr>
        <w:t xml:space="preserve"> </w:t>
      </w:r>
      <w:r>
        <w:t>is</w:t>
      </w:r>
      <w:r>
        <w:rPr>
          <w:spacing w:val="-8"/>
        </w:rPr>
        <w:t xml:space="preserve"> </w:t>
      </w:r>
      <w:r>
        <w:t>seeking,</w:t>
      </w:r>
      <w:r>
        <w:rPr>
          <w:spacing w:val="-8"/>
        </w:rPr>
        <w:t xml:space="preserve"> </w:t>
      </w:r>
      <w:r>
        <w:t>and</w:t>
      </w:r>
      <w:r>
        <w:rPr>
          <w:spacing w:val="-8"/>
        </w:rPr>
        <w:t xml:space="preserve"> </w:t>
      </w:r>
      <w:r>
        <w:t>the</w:t>
      </w:r>
      <w:r>
        <w:rPr>
          <w:spacing w:val="-7"/>
        </w:rPr>
        <w:t xml:space="preserve"> </w:t>
      </w:r>
      <w:r>
        <w:t>information</w:t>
      </w:r>
      <w:r>
        <w:rPr>
          <w:spacing w:val="-9"/>
        </w:rPr>
        <w:t xml:space="preserve"> </w:t>
      </w:r>
      <w:r>
        <w:t>it</w:t>
      </w:r>
      <w:r>
        <w:rPr>
          <w:spacing w:val="-7"/>
        </w:rPr>
        <w:t xml:space="preserve"> </w:t>
      </w:r>
      <w:r>
        <w:t>requires,</w:t>
      </w:r>
      <w:r>
        <w:rPr>
          <w:spacing w:val="-8"/>
        </w:rPr>
        <w:t xml:space="preserve"> </w:t>
      </w:r>
      <w:r>
        <w:t>in</w:t>
      </w:r>
      <w:r>
        <w:rPr>
          <w:spacing w:val="-9"/>
        </w:rPr>
        <w:t xml:space="preserve"> </w:t>
      </w:r>
      <w:r>
        <w:t>order</w:t>
      </w:r>
      <w:r>
        <w:rPr>
          <w:spacing w:val="-7"/>
        </w:rPr>
        <w:t xml:space="preserve"> </w:t>
      </w:r>
      <w:r>
        <w:t>to</w:t>
      </w:r>
      <w:r>
        <w:rPr>
          <w:spacing w:val="-7"/>
        </w:rPr>
        <w:t xml:space="preserve"> </w:t>
      </w:r>
      <w:r>
        <w:t>verify</w:t>
      </w:r>
      <w:r>
        <w:rPr>
          <w:spacing w:val="-8"/>
        </w:rPr>
        <w:t xml:space="preserve"> </w:t>
      </w:r>
      <w:r>
        <w:t>certain information. It is not incumbent upon interested parties to guess what MOFCOM is looking for</w:t>
      </w:r>
      <w:r>
        <w:rPr>
          <w:spacing w:val="-3"/>
        </w:rPr>
        <w:t xml:space="preserve"> </w:t>
      </w:r>
      <w:r>
        <w:t>in</w:t>
      </w:r>
      <w:r>
        <w:rPr>
          <w:spacing w:val="-4"/>
        </w:rPr>
        <w:t xml:space="preserve"> </w:t>
      </w:r>
      <w:r>
        <w:t>its</w:t>
      </w:r>
      <w:r>
        <w:rPr>
          <w:spacing w:val="-4"/>
        </w:rPr>
        <w:t xml:space="preserve"> </w:t>
      </w:r>
      <w:r>
        <w:t>investigation.</w:t>
      </w:r>
      <w:r>
        <w:rPr>
          <w:spacing w:val="-2"/>
        </w:rPr>
        <w:t xml:space="preserve"> </w:t>
      </w:r>
      <w:r>
        <w:t>If</w:t>
      </w:r>
      <w:r>
        <w:rPr>
          <w:spacing w:val="-4"/>
        </w:rPr>
        <w:t xml:space="preserve"> </w:t>
      </w:r>
      <w:r>
        <w:t>MOFCOM</w:t>
      </w:r>
      <w:r>
        <w:rPr>
          <w:spacing w:val="-3"/>
        </w:rPr>
        <w:t xml:space="preserve"> </w:t>
      </w:r>
      <w:r>
        <w:t>needed</w:t>
      </w:r>
      <w:r>
        <w:rPr>
          <w:spacing w:val="-4"/>
        </w:rPr>
        <w:t xml:space="preserve"> </w:t>
      </w:r>
      <w:r>
        <w:t>certain</w:t>
      </w:r>
      <w:r>
        <w:rPr>
          <w:spacing w:val="-4"/>
        </w:rPr>
        <w:t xml:space="preserve"> </w:t>
      </w:r>
      <w:r>
        <w:t>data</w:t>
      </w:r>
      <w:r>
        <w:rPr>
          <w:spacing w:val="-3"/>
        </w:rPr>
        <w:t xml:space="preserve"> </w:t>
      </w:r>
      <w:r>
        <w:t>verified</w:t>
      </w:r>
      <w:r>
        <w:rPr>
          <w:spacing w:val="-5"/>
        </w:rPr>
        <w:t xml:space="preserve"> </w:t>
      </w:r>
      <w:r>
        <w:t>it</w:t>
      </w:r>
      <w:r>
        <w:rPr>
          <w:spacing w:val="-4"/>
        </w:rPr>
        <w:t xml:space="preserve"> </w:t>
      </w:r>
      <w:r>
        <w:t>should</w:t>
      </w:r>
      <w:r>
        <w:rPr>
          <w:spacing w:val="-4"/>
        </w:rPr>
        <w:t xml:space="preserve"> </w:t>
      </w:r>
      <w:r>
        <w:t>have</w:t>
      </w:r>
      <w:r>
        <w:rPr>
          <w:spacing w:val="-3"/>
        </w:rPr>
        <w:t xml:space="preserve"> </w:t>
      </w:r>
      <w:r>
        <w:t>specified</w:t>
      </w:r>
      <w:r>
        <w:rPr>
          <w:spacing w:val="-4"/>
        </w:rPr>
        <w:t xml:space="preserve"> </w:t>
      </w:r>
      <w:r>
        <w:t>what it required</w:t>
      </w:r>
      <w:r>
        <w:rPr>
          <w:spacing w:val="-1"/>
        </w:rPr>
        <w:t xml:space="preserve"> </w:t>
      </w:r>
      <w:r>
        <w:t>in the relevant forms attached</w:t>
      </w:r>
      <w:r>
        <w:rPr>
          <w:spacing w:val="-1"/>
        </w:rPr>
        <w:t xml:space="preserve"> </w:t>
      </w:r>
      <w:r>
        <w:t>to the Anti‐Dumping Q</w:t>
      </w:r>
      <w:r>
        <w:t>uestionnaire for verification purposes, rather than attempting to compare the data provided in different datasets submitted by Treasury Wines and the other sampled companies. MOFCOM failed to take all reasonable</w:t>
      </w:r>
      <w:r>
        <w:rPr>
          <w:spacing w:val="-3"/>
        </w:rPr>
        <w:t xml:space="preserve"> </w:t>
      </w:r>
      <w:r>
        <w:t>steps</w:t>
      </w:r>
      <w:r>
        <w:rPr>
          <w:spacing w:val="-2"/>
        </w:rPr>
        <w:t xml:space="preserve"> </w:t>
      </w:r>
      <w:r>
        <w:t>that</w:t>
      </w:r>
      <w:r>
        <w:rPr>
          <w:spacing w:val="-2"/>
        </w:rPr>
        <w:t xml:space="preserve"> </w:t>
      </w:r>
      <w:r>
        <w:t>might</w:t>
      </w:r>
      <w:r>
        <w:rPr>
          <w:spacing w:val="-2"/>
        </w:rPr>
        <w:t xml:space="preserve"> </w:t>
      </w:r>
      <w:r>
        <w:t>be</w:t>
      </w:r>
      <w:r>
        <w:rPr>
          <w:spacing w:val="-1"/>
        </w:rPr>
        <w:t xml:space="preserve"> </w:t>
      </w:r>
      <w:r>
        <w:t>expected</w:t>
      </w:r>
      <w:r>
        <w:rPr>
          <w:spacing w:val="-3"/>
        </w:rPr>
        <w:t xml:space="preserve"> </w:t>
      </w:r>
      <w:r>
        <w:t>from</w:t>
      </w:r>
      <w:r>
        <w:rPr>
          <w:spacing w:val="-2"/>
        </w:rPr>
        <w:t xml:space="preserve"> </w:t>
      </w:r>
      <w:r>
        <w:t>an</w:t>
      </w:r>
      <w:r>
        <w:rPr>
          <w:spacing w:val="-1"/>
        </w:rPr>
        <w:t xml:space="preserve"> </w:t>
      </w:r>
      <w:r>
        <w:t>unbiase</w:t>
      </w:r>
      <w:r>
        <w:t>d</w:t>
      </w:r>
      <w:r>
        <w:rPr>
          <w:spacing w:val="-3"/>
        </w:rPr>
        <w:t xml:space="preserve"> </w:t>
      </w:r>
      <w:r>
        <w:t>and</w:t>
      </w:r>
      <w:r>
        <w:rPr>
          <w:spacing w:val="-2"/>
        </w:rPr>
        <w:t xml:space="preserve"> </w:t>
      </w:r>
      <w:r>
        <w:t>objective</w:t>
      </w:r>
      <w:r>
        <w:rPr>
          <w:spacing w:val="-1"/>
        </w:rPr>
        <w:t xml:space="preserve"> </w:t>
      </w:r>
      <w:r>
        <w:t>authority</w:t>
      </w:r>
      <w:r>
        <w:rPr>
          <w:spacing w:val="-1"/>
        </w:rPr>
        <w:t xml:space="preserve"> </w:t>
      </w:r>
      <w:r>
        <w:t>to</w:t>
      </w:r>
      <w:r>
        <w:rPr>
          <w:spacing w:val="-1"/>
        </w:rPr>
        <w:t xml:space="preserve"> </w:t>
      </w:r>
      <w:r>
        <w:t>specify in detail the information requested, as soon as possible after initiation of the investigation, and acted inconsistently with paragraph 1 of Annex II.</w:t>
      </w:r>
    </w:p>
    <w:p w14:paraId="51DE82BD" w14:textId="77777777" w:rsidR="0010369C" w:rsidRDefault="0010369C">
      <w:pPr>
        <w:pStyle w:val="BodyText"/>
        <w:rPr>
          <w:sz w:val="20"/>
        </w:rPr>
      </w:pPr>
    </w:p>
    <w:p w14:paraId="51DE82BE" w14:textId="77777777" w:rsidR="0010369C" w:rsidRDefault="0010369C">
      <w:pPr>
        <w:pStyle w:val="BodyText"/>
        <w:rPr>
          <w:sz w:val="20"/>
        </w:rPr>
      </w:pPr>
    </w:p>
    <w:p w14:paraId="51DE82BF" w14:textId="77777777" w:rsidR="0010369C" w:rsidRDefault="0010369C">
      <w:pPr>
        <w:pStyle w:val="BodyText"/>
        <w:rPr>
          <w:sz w:val="20"/>
        </w:rPr>
      </w:pPr>
    </w:p>
    <w:p w14:paraId="51DE82C0" w14:textId="77777777" w:rsidR="0010369C" w:rsidRDefault="0010369C">
      <w:pPr>
        <w:pStyle w:val="BodyText"/>
        <w:rPr>
          <w:sz w:val="20"/>
        </w:rPr>
      </w:pPr>
    </w:p>
    <w:p w14:paraId="51DE82C1" w14:textId="77777777" w:rsidR="0010369C" w:rsidRDefault="008E43AE">
      <w:pPr>
        <w:pStyle w:val="BodyText"/>
        <w:rPr>
          <w:sz w:val="12"/>
        </w:rPr>
      </w:pPr>
      <w:r>
        <w:pict w14:anchorId="51DE9FD1">
          <v:rect id="docshape397" o:spid="_x0000_s1867" style="position:absolute;margin-left:70.9pt;margin-top:8.55pt;width:2in;height:.8pt;z-index:-251096576;mso-wrap-distance-left:0;mso-wrap-distance-right:0;mso-position-horizontal-relative:page" fillcolor="black" stroked="f">
            <w10:wrap type="topAndBottom" anchorx="page"/>
          </v:rect>
        </w:pict>
      </w:r>
    </w:p>
    <w:p w14:paraId="51DE82C2" w14:textId="77777777" w:rsidR="0010369C" w:rsidRDefault="008E43AE">
      <w:pPr>
        <w:spacing w:before="110"/>
        <w:ind w:left="238"/>
        <w:rPr>
          <w:sz w:val="18"/>
        </w:rPr>
      </w:pPr>
      <w:r>
        <w:rPr>
          <w:sz w:val="18"/>
          <w:vertAlign w:val="superscript"/>
        </w:rPr>
        <w:t>237</w:t>
      </w:r>
      <w:r>
        <w:rPr>
          <w:spacing w:val="-9"/>
          <w:sz w:val="18"/>
        </w:rPr>
        <w:t xml:space="preserve"> </w:t>
      </w:r>
      <w:r>
        <w:rPr>
          <w:sz w:val="18"/>
        </w:rPr>
        <w:t>Anti‐Dumping</w:t>
      </w:r>
      <w:r>
        <w:rPr>
          <w:spacing w:val="-9"/>
          <w:sz w:val="18"/>
        </w:rPr>
        <w:t xml:space="preserve"> </w:t>
      </w:r>
      <w:r>
        <w:rPr>
          <w:sz w:val="18"/>
        </w:rPr>
        <w:t>Final</w:t>
      </w:r>
      <w:r>
        <w:rPr>
          <w:spacing w:val="-9"/>
          <w:sz w:val="18"/>
        </w:rPr>
        <w:t xml:space="preserve"> </w:t>
      </w:r>
      <w:r>
        <w:rPr>
          <w:sz w:val="18"/>
        </w:rPr>
        <w:t>Determination</w:t>
      </w:r>
      <w:r>
        <w:rPr>
          <w:spacing w:val="-8"/>
          <w:sz w:val="18"/>
        </w:rPr>
        <w:t xml:space="preserve"> </w:t>
      </w:r>
      <w:r>
        <w:rPr>
          <w:sz w:val="18"/>
        </w:rPr>
        <w:t>(Exhibit</w:t>
      </w:r>
      <w:r>
        <w:rPr>
          <w:spacing w:val="-9"/>
          <w:sz w:val="18"/>
        </w:rPr>
        <w:t xml:space="preserve"> </w:t>
      </w:r>
      <w:r>
        <w:rPr>
          <w:sz w:val="18"/>
        </w:rPr>
        <w:t>AUS‐2),</w:t>
      </w:r>
      <w:r>
        <w:rPr>
          <w:spacing w:val="-9"/>
          <w:sz w:val="18"/>
        </w:rPr>
        <w:t xml:space="preserve"> </w:t>
      </w:r>
      <w:r>
        <w:rPr>
          <w:sz w:val="18"/>
        </w:rPr>
        <w:t>p.</w:t>
      </w:r>
      <w:r>
        <w:rPr>
          <w:spacing w:val="-9"/>
          <w:sz w:val="18"/>
        </w:rPr>
        <w:t xml:space="preserve"> </w:t>
      </w:r>
      <w:r>
        <w:rPr>
          <w:spacing w:val="-5"/>
          <w:sz w:val="18"/>
        </w:rPr>
        <w:t>64.</w:t>
      </w:r>
    </w:p>
    <w:p w14:paraId="51DE82C3" w14:textId="77777777" w:rsidR="0010369C" w:rsidRDefault="008E43AE">
      <w:pPr>
        <w:ind w:left="238"/>
        <w:rPr>
          <w:sz w:val="18"/>
        </w:rPr>
      </w:pPr>
      <w:r>
        <w:rPr>
          <w:sz w:val="18"/>
          <w:vertAlign w:val="superscript"/>
        </w:rPr>
        <w:t>238</w:t>
      </w:r>
      <w:r>
        <w:rPr>
          <w:spacing w:val="-9"/>
          <w:sz w:val="18"/>
        </w:rPr>
        <w:t xml:space="preserve"> </w:t>
      </w:r>
      <w:r>
        <w:rPr>
          <w:sz w:val="18"/>
        </w:rPr>
        <w:t>Anti‐Dumping</w:t>
      </w:r>
      <w:r>
        <w:rPr>
          <w:spacing w:val="-9"/>
          <w:sz w:val="18"/>
        </w:rPr>
        <w:t xml:space="preserve"> </w:t>
      </w:r>
      <w:r>
        <w:rPr>
          <w:sz w:val="18"/>
        </w:rPr>
        <w:t>Final</w:t>
      </w:r>
      <w:r>
        <w:rPr>
          <w:spacing w:val="-9"/>
          <w:sz w:val="18"/>
        </w:rPr>
        <w:t xml:space="preserve"> </w:t>
      </w:r>
      <w:r>
        <w:rPr>
          <w:sz w:val="18"/>
        </w:rPr>
        <w:t>Determination</w:t>
      </w:r>
      <w:r>
        <w:rPr>
          <w:spacing w:val="-8"/>
          <w:sz w:val="18"/>
        </w:rPr>
        <w:t xml:space="preserve"> </w:t>
      </w:r>
      <w:r>
        <w:rPr>
          <w:sz w:val="18"/>
        </w:rPr>
        <w:t>(Exhibit</w:t>
      </w:r>
      <w:r>
        <w:rPr>
          <w:spacing w:val="-9"/>
          <w:sz w:val="18"/>
        </w:rPr>
        <w:t xml:space="preserve"> </w:t>
      </w:r>
      <w:r>
        <w:rPr>
          <w:sz w:val="18"/>
        </w:rPr>
        <w:t>AUS‐2),</w:t>
      </w:r>
      <w:r>
        <w:rPr>
          <w:spacing w:val="-9"/>
          <w:sz w:val="18"/>
        </w:rPr>
        <w:t xml:space="preserve"> </w:t>
      </w:r>
      <w:r>
        <w:rPr>
          <w:sz w:val="18"/>
        </w:rPr>
        <w:t>p.</w:t>
      </w:r>
      <w:r>
        <w:rPr>
          <w:spacing w:val="-9"/>
          <w:sz w:val="18"/>
        </w:rPr>
        <w:t xml:space="preserve"> </w:t>
      </w:r>
      <w:r>
        <w:rPr>
          <w:spacing w:val="-5"/>
          <w:sz w:val="18"/>
        </w:rPr>
        <w:t>60.</w:t>
      </w:r>
    </w:p>
    <w:p w14:paraId="51DE82C4" w14:textId="77777777" w:rsidR="0010369C" w:rsidRDefault="008E43AE">
      <w:pPr>
        <w:ind w:left="238"/>
        <w:rPr>
          <w:sz w:val="18"/>
        </w:rPr>
      </w:pPr>
      <w:r>
        <w:rPr>
          <w:sz w:val="18"/>
          <w:vertAlign w:val="superscript"/>
        </w:rPr>
        <w:t>239</w:t>
      </w:r>
      <w:r>
        <w:rPr>
          <w:spacing w:val="-6"/>
          <w:sz w:val="18"/>
        </w:rPr>
        <w:t xml:space="preserve"> </w:t>
      </w:r>
      <w:r>
        <w:rPr>
          <w:sz w:val="18"/>
        </w:rPr>
        <w:t>See</w:t>
      </w:r>
      <w:r>
        <w:rPr>
          <w:spacing w:val="-6"/>
          <w:sz w:val="18"/>
        </w:rPr>
        <w:t xml:space="preserve"> </w:t>
      </w:r>
      <w:r>
        <w:rPr>
          <w:sz w:val="18"/>
        </w:rPr>
        <w:t>above,</w:t>
      </w:r>
      <w:r>
        <w:rPr>
          <w:spacing w:val="-7"/>
          <w:sz w:val="18"/>
        </w:rPr>
        <w:t xml:space="preserve"> </w:t>
      </w:r>
      <w:r>
        <w:rPr>
          <w:sz w:val="18"/>
        </w:rPr>
        <w:t>section</w:t>
      </w:r>
      <w:r>
        <w:rPr>
          <w:spacing w:val="-6"/>
          <w:sz w:val="18"/>
        </w:rPr>
        <w:t xml:space="preserve"> </w:t>
      </w:r>
      <w:r>
        <w:rPr>
          <w:sz w:val="18"/>
        </w:rPr>
        <w:t>II.E.2(a)(i)</w:t>
      </w:r>
      <w:r>
        <w:rPr>
          <w:spacing w:val="-6"/>
          <w:sz w:val="18"/>
        </w:rPr>
        <w:t xml:space="preserve"> </w:t>
      </w:r>
      <w:r>
        <w:rPr>
          <w:sz w:val="18"/>
        </w:rPr>
        <w:t>for</w:t>
      </w:r>
      <w:r>
        <w:rPr>
          <w:spacing w:val="-7"/>
          <w:sz w:val="18"/>
        </w:rPr>
        <w:t xml:space="preserve"> </w:t>
      </w:r>
      <w:r>
        <w:rPr>
          <w:sz w:val="18"/>
        </w:rPr>
        <w:t>form</w:t>
      </w:r>
      <w:r>
        <w:rPr>
          <w:spacing w:val="-6"/>
          <w:sz w:val="18"/>
        </w:rPr>
        <w:t xml:space="preserve"> </w:t>
      </w:r>
      <w:r>
        <w:rPr>
          <w:sz w:val="18"/>
        </w:rPr>
        <w:t>6‐1‐1;</w:t>
      </w:r>
      <w:r>
        <w:rPr>
          <w:spacing w:val="-5"/>
          <w:sz w:val="18"/>
        </w:rPr>
        <w:t xml:space="preserve"> </w:t>
      </w:r>
      <w:r>
        <w:rPr>
          <w:sz w:val="18"/>
        </w:rPr>
        <w:t>section</w:t>
      </w:r>
      <w:r>
        <w:rPr>
          <w:spacing w:val="-6"/>
          <w:sz w:val="18"/>
        </w:rPr>
        <w:t xml:space="preserve"> </w:t>
      </w:r>
      <w:r>
        <w:rPr>
          <w:sz w:val="18"/>
        </w:rPr>
        <w:t>II.E.2(a)(ii)</w:t>
      </w:r>
      <w:r>
        <w:rPr>
          <w:spacing w:val="-5"/>
          <w:sz w:val="18"/>
        </w:rPr>
        <w:t xml:space="preserve"> </w:t>
      </w:r>
      <w:r>
        <w:rPr>
          <w:sz w:val="18"/>
        </w:rPr>
        <w:t>for</w:t>
      </w:r>
      <w:r>
        <w:rPr>
          <w:spacing w:val="-7"/>
          <w:sz w:val="18"/>
        </w:rPr>
        <w:t xml:space="preserve"> </w:t>
      </w:r>
      <w:r>
        <w:rPr>
          <w:sz w:val="18"/>
        </w:rPr>
        <w:t>form</w:t>
      </w:r>
      <w:r>
        <w:rPr>
          <w:spacing w:val="-6"/>
          <w:sz w:val="18"/>
        </w:rPr>
        <w:t xml:space="preserve"> </w:t>
      </w:r>
      <w:r>
        <w:rPr>
          <w:spacing w:val="-2"/>
          <w:sz w:val="18"/>
        </w:rPr>
        <w:t>6‐1‐2.</w:t>
      </w:r>
    </w:p>
    <w:p w14:paraId="51DE82C5" w14:textId="77777777" w:rsidR="0010369C" w:rsidRDefault="008E43AE">
      <w:pPr>
        <w:ind w:left="238"/>
        <w:rPr>
          <w:sz w:val="18"/>
        </w:rPr>
      </w:pPr>
      <w:r>
        <w:rPr>
          <w:sz w:val="18"/>
          <w:vertAlign w:val="superscript"/>
        </w:rPr>
        <w:t>240</w:t>
      </w:r>
      <w:r>
        <w:rPr>
          <w:spacing w:val="-7"/>
          <w:sz w:val="18"/>
        </w:rPr>
        <w:t xml:space="preserve"> </w:t>
      </w:r>
      <w:r>
        <w:rPr>
          <w:sz w:val="18"/>
        </w:rPr>
        <w:t>See</w:t>
      </w:r>
      <w:r>
        <w:rPr>
          <w:spacing w:val="-7"/>
          <w:sz w:val="18"/>
        </w:rPr>
        <w:t xml:space="preserve"> </w:t>
      </w:r>
      <w:r>
        <w:rPr>
          <w:sz w:val="18"/>
        </w:rPr>
        <w:t>above,</w:t>
      </w:r>
      <w:r>
        <w:rPr>
          <w:spacing w:val="-8"/>
          <w:sz w:val="18"/>
        </w:rPr>
        <w:t xml:space="preserve"> </w:t>
      </w:r>
      <w:r>
        <w:rPr>
          <w:sz w:val="18"/>
        </w:rPr>
        <w:t>section</w:t>
      </w:r>
      <w:r>
        <w:rPr>
          <w:spacing w:val="-7"/>
          <w:sz w:val="18"/>
        </w:rPr>
        <w:t xml:space="preserve"> </w:t>
      </w:r>
      <w:r>
        <w:rPr>
          <w:sz w:val="18"/>
        </w:rPr>
        <w:t>II.E.2(a)(iii)</w:t>
      </w:r>
      <w:r>
        <w:rPr>
          <w:spacing w:val="-6"/>
          <w:sz w:val="18"/>
        </w:rPr>
        <w:t xml:space="preserve"> </w:t>
      </w:r>
      <w:r>
        <w:rPr>
          <w:sz w:val="18"/>
        </w:rPr>
        <w:t>for</w:t>
      </w:r>
      <w:r>
        <w:rPr>
          <w:spacing w:val="-7"/>
          <w:sz w:val="18"/>
        </w:rPr>
        <w:t xml:space="preserve"> </w:t>
      </w:r>
      <w:r>
        <w:rPr>
          <w:sz w:val="18"/>
        </w:rPr>
        <w:t>form</w:t>
      </w:r>
      <w:r>
        <w:rPr>
          <w:spacing w:val="-7"/>
          <w:sz w:val="18"/>
        </w:rPr>
        <w:t xml:space="preserve"> </w:t>
      </w:r>
      <w:r>
        <w:rPr>
          <w:sz w:val="18"/>
        </w:rPr>
        <w:t>6‐3;</w:t>
      </w:r>
      <w:r>
        <w:rPr>
          <w:spacing w:val="-7"/>
          <w:sz w:val="18"/>
        </w:rPr>
        <w:t xml:space="preserve"> </w:t>
      </w:r>
      <w:r>
        <w:rPr>
          <w:sz w:val="18"/>
        </w:rPr>
        <w:t>section</w:t>
      </w:r>
      <w:r>
        <w:rPr>
          <w:spacing w:val="-7"/>
          <w:sz w:val="18"/>
        </w:rPr>
        <w:t xml:space="preserve"> </w:t>
      </w:r>
      <w:r>
        <w:rPr>
          <w:sz w:val="18"/>
        </w:rPr>
        <w:t>II.E.2(a)(iv)</w:t>
      </w:r>
      <w:r>
        <w:rPr>
          <w:spacing w:val="-7"/>
          <w:sz w:val="18"/>
        </w:rPr>
        <w:t xml:space="preserve"> </w:t>
      </w:r>
      <w:r>
        <w:rPr>
          <w:sz w:val="18"/>
        </w:rPr>
        <w:t>for</w:t>
      </w:r>
      <w:r>
        <w:rPr>
          <w:spacing w:val="-8"/>
          <w:sz w:val="18"/>
        </w:rPr>
        <w:t xml:space="preserve"> </w:t>
      </w:r>
      <w:r>
        <w:rPr>
          <w:sz w:val="18"/>
        </w:rPr>
        <w:t>form</w:t>
      </w:r>
      <w:r>
        <w:rPr>
          <w:spacing w:val="-6"/>
          <w:sz w:val="18"/>
        </w:rPr>
        <w:t xml:space="preserve"> </w:t>
      </w:r>
      <w:r>
        <w:rPr>
          <w:spacing w:val="-4"/>
          <w:sz w:val="18"/>
        </w:rPr>
        <w:t>6‐4.</w:t>
      </w:r>
    </w:p>
    <w:p w14:paraId="51DE82C6" w14:textId="77777777" w:rsidR="0010369C" w:rsidRDefault="0010369C">
      <w:pPr>
        <w:rPr>
          <w:sz w:val="18"/>
        </w:rPr>
        <w:sectPr w:rsidR="0010369C">
          <w:headerReference w:type="default" r:id="rId325"/>
          <w:footerReference w:type="default" r:id="rId326"/>
          <w:pgSz w:w="11910" w:h="16840"/>
          <w:pgMar w:top="880" w:right="800" w:bottom="980" w:left="1180" w:header="569" w:footer="788" w:gutter="0"/>
          <w:cols w:space="720"/>
        </w:sectPr>
      </w:pPr>
    </w:p>
    <w:p w14:paraId="51DE82C7" w14:textId="77777777" w:rsidR="0010369C" w:rsidRDefault="008E43AE">
      <w:pPr>
        <w:tabs>
          <w:tab w:val="left" w:pos="6426"/>
        </w:tabs>
        <w:ind w:left="238"/>
        <w:jc w:val="both"/>
        <w:rPr>
          <w:sz w:val="20"/>
        </w:rPr>
      </w:pPr>
      <w:r>
        <w:rPr>
          <w:i/>
          <w:sz w:val="20"/>
        </w:rPr>
        <w:lastRenderedPageBreak/>
        <w:t>China</w:t>
      </w:r>
      <w:r>
        <w:rPr>
          <w:i/>
          <w:spacing w:val="-5"/>
          <w:sz w:val="20"/>
        </w:rPr>
        <w:t xml:space="preserve"> </w:t>
      </w:r>
      <w:r>
        <w:rPr>
          <w:i/>
          <w:sz w:val="20"/>
        </w:rPr>
        <w:t>–</w:t>
      </w:r>
      <w:r>
        <w:rPr>
          <w:i/>
          <w:spacing w:val="-5"/>
          <w:sz w:val="20"/>
        </w:rPr>
        <w:t xml:space="preserve"> </w:t>
      </w:r>
      <w:r>
        <w:rPr>
          <w:i/>
          <w:sz w:val="20"/>
        </w:rPr>
        <w:t>Anti‐Dumping</w:t>
      </w:r>
      <w:r>
        <w:rPr>
          <w:i/>
          <w:spacing w:val="-4"/>
          <w:sz w:val="20"/>
        </w:rPr>
        <w:t xml:space="preserve"> </w:t>
      </w:r>
      <w:r>
        <w:rPr>
          <w:i/>
          <w:sz w:val="20"/>
        </w:rPr>
        <w:t>and</w:t>
      </w:r>
      <w:r>
        <w:rPr>
          <w:i/>
          <w:spacing w:val="-5"/>
          <w:sz w:val="20"/>
        </w:rPr>
        <w:t xml:space="preserve"> </w:t>
      </w:r>
      <w:r>
        <w:rPr>
          <w:i/>
          <w:sz w:val="20"/>
        </w:rPr>
        <w:t>Countervailing</w:t>
      </w:r>
      <w:r>
        <w:rPr>
          <w:i/>
          <w:spacing w:val="-5"/>
          <w:sz w:val="20"/>
        </w:rPr>
        <w:t xml:space="preserve"> </w:t>
      </w:r>
      <w:r>
        <w:rPr>
          <w:i/>
          <w:sz w:val="20"/>
        </w:rPr>
        <w:t>Duty</w:t>
      </w:r>
      <w:r>
        <w:rPr>
          <w:i/>
          <w:spacing w:val="-4"/>
          <w:sz w:val="20"/>
        </w:rPr>
        <w:t xml:space="preserve"> </w:t>
      </w:r>
      <w:r>
        <w:rPr>
          <w:i/>
          <w:spacing w:val="-2"/>
          <w:sz w:val="20"/>
        </w:rPr>
        <w:t>Measures</w:t>
      </w:r>
      <w:r>
        <w:rPr>
          <w:i/>
          <w:sz w:val="20"/>
        </w:rPr>
        <w:tab/>
      </w:r>
      <w:r>
        <w:rPr>
          <w:sz w:val="20"/>
        </w:rPr>
        <w:t>Australia's</w:t>
      </w:r>
      <w:r>
        <w:rPr>
          <w:spacing w:val="-7"/>
          <w:sz w:val="20"/>
        </w:rPr>
        <w:t xml:space="preserve"> </w:t>
      </w:r>
      <w:r>
        <w:rPr>
          <w:sz w:val="20"/>
        </w:rPr>
        <w:t>First</w:t>
      </w:r>
      <w:r>
        <w:rPr>
          <w:spacing w:val="-2"/>
          <w:sz w:val="20"/>
        </w:rPr>
        <w:t xml:space="preserve"> </w:t>
      </w:r>
      <w:r>
        <w:rPr>
          <w:sz w:val="20"/>
        </w:rPr>
        <w:t>Written</w:t>
      </w:r>
      <w:r>
        <w:rPr>
          <w:spacing w:val="-2"/>
          <w:sz w:val="20"/>
        </w:rPr>
        <w:t xml:space="preserve"> Submission</w:t>
      </w:r>
    </w:p>
    <w:p w14:paraId="51DE82C8" w14:textId="77777777" w:rsidR="0010369C" w:rsidRDefault="008E43AE">
      <w:pPr>
        <w:tabs>
          <w:tab w:val="left" w:pos="8228"/>
        </w:tabs>
        <w:spacing w:before="1"/>
        <w:ind w:left="239"/>
        <w:jc w:val="both"/>
        <w:rPr>
          <w:sz w:val="20"/>
        </w:rPr>
      </w:pPr>
      <w:r>
        <w:rPr>
          <w:i/>
          <w:sz w:val="20"/>
        </w:rPr>
        <w:t>on</w:t>
      </w:r>
      <w:r>
        <w:rPr>
          <w:i/>
          <w:spacing w:val="-1"/>
          <w:sz w:val="20"/>
        </w:rPr>
        <w:t xml:space="preserve"> </w:t>
      </w:r>
      <w:r>
        <w:rPr>
          <w:i/>
          <w:sz w:val="20"/>
        </w:rPr>
        <w:t>Wine</w:t>
      </w:r>
      <w:r>
        <w:rPr>
          <w:i/>
          <w:spacing w:val="-1"/>
          <w:sz w:val="20"/>
        </w:rPr>
        <w:t xml:space="preserve"> </w:t>
      </w:r>
      <w:r>
        <w:rPr>
          <w:i/>
          <w:sz w:val="20"/>
        </w:rPr>
        <w:t>from</w:t>
      </w:r>
      <w:r>
        <w:rPr>
          <w:i/>
          <w:spacing w:val="-3"/>
          <w:sz w:val="20"/>
        </w:rPr>
        <w:t xml:space="preserve"> </w:t>
      </w:r>
      <w:r>
        <w:rPr>
          <w:i/>
          <w:sz w:val="20"/>
        </w:rPr>
        <w:t>Australia</w:t>
      </w:r>
      <w:r>
        <w:rPr>
          <w:i/>
          <w:spacing w:val="-1"/>
          <w:sz w:val="20"/>
        </w:rPr>
        <w:t xml:space="preserve"> </w:t>
      </w:r>
      <w:r>
        <w:rPr>
          <w:spacing w:val="-2"/>
          <w:sz w:val="20"/>
        </w:rPr>
        <w:t>(DS602)</w:t>
      </w:r>
      <w:r>
        <w:rPr>
          <w:sz w:val="20"/>
        </w:rPr>
        <w:tab/>
        <w:t>29</w:t>
      </w:r>
      <w:r>
        <w:rPr>
          <w:spacing w:val="-1"/>
          <w:sz w:val="20"/>
        </w:rPr>
        <w:t xml:space="preserve"> </w:t>
      </w:r>
      <w:r>
        <w:rPr>
          <w:sz w:val="20"/>
        </w:rPr>
        <w:t>April</w:t>
      </w:r>
      <w:r>
        <w:rPr>
          <w:spacing w:val="-2"/>
          <w:sz w:val="20"/>
        </w:rPr>
        <w:t xml:space="preserve"> </w:t>
      </w:r>
      <w:r>
        <w:rPr>
          <w:spacing w:val="-4"/>
          <w:sz w:val="20"/>
        </w:rPr>
        <w:t>2022</w:t>
      </w:r>
    </w:p>
    <w:p w14:paraId="51DE82C9" w14:textId="77777777" w:rsidR="0010369C" w:rsidRDefault="008E43AE">
      <w:pPr>
        <w:pStyle w:val="BodyText"/>
        <w:spacing w:before="34" w:after="3" w:line="360" w:lineRule="auto"/>
        <w:ind w:left="236" w:right="614" w:firstLine="852"/>
        <w:jc w:val="both"/>
      </w:pPr>
      <w:r>
        <w:rPr>
          <w:noProof/>
        </w:rPr>
        <w:drawing>
          <wp:anchor distT="0" distB="0" distL="0" distR="0" simplePos="0" relativeHeight="250889728" behindDoc="1" locked="0" layoutInCell="1" allowOverlap="1" wp14:anchorId="51DE9FD2" wp14:editId="51DE9FD3">
            <wp:simplePos x="0" y="0"/>
            <wp:positionH relativeFrom="page">
              <wp:posOffset>905255</wp:posOffset>
            </wp:positionH>
            <wp:positionV relativeFrom="paragraph">
              <wp:posOffset>69165</wp:posOffset>
            </wp:positionV>
            <wp:extent cx="259079" cy="103631"/>
            <wp:effectExtent l="0" t="0" r="0" b="0"/>
            <wp:wrapNone/>
            <wp:docPr id="433" name="image2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 name="image225.png"/>
                    <pic:cNvPicPr/>
                  </pic:nvPicPr>
                  <pic:blipFill>
                    <a:blip r:embed="rId327" cstate="print"/>
                    <a:stretch>
                      <a:fillRect/>
                    </a:stretch>
                  </pic:blipFill>
                  <pic:spPr>
                    <a:xfrm>
                      <a:off x="0" y="0"/>
                      <a:ext cx="259079" cy="103631"/>
                    </a:xfrm>
                    <a:prstGeom prst="rect">
                      <a:avLst/>
                    </a:prstGeom>
                  </pic:spPr>
                </pic:pic>
              </a:graphicData>
            </a:graphic>
          </wp:anchor>
        </w:drawing>
      </w:r>
      <w:r>
        <w:pict w14:anchorId="51DE9FD4">
          <v:rect id="docshape398" o:spid="_x0000_s1866" style="position:absolute;left:0;text-align:left;margin-left:77.25pt;margin-top:67.7pt;width:446.15pt;height:16.05pt;z-index:-251389440;mso-position-horizontal-relative:page;mso-position-vertical-relative:text" fillcolor="black" stroked="f">
            <w10:wrap anchorx="page"/>
          </v:rect>
        </w:pict>
      </w:r>
      <w:r>
        <w:t>Australia submits that Form 6‐2, Form 6‐3 and Form 6‐4 were otherwise appropriately submitted so that they could</w:t>
      </w:r>
      <w:r>
        <w:rPr>
          <w:spacing w:val="-1"/>
        </w:rPr>
        <w:t xml:space="preserve"> </w:t>
      </w:r>
      <w:r>
        <w:t>be used without</w:t>
      </w:r>
      <w:r>
        <w:rPr>
          <w:spacing w:val="-1"/>
        </w:rPr>
        <w:t xml:space="preserve"> </w:t>
      </w:r>
      <w:r>
        <w:t>undue difficulties, in accordance with paragraph 3 of Annex II. There is no evidence on the record to indicate to the contrary.</w:t>
      </w:r>
      <w:r>
        <w:t xml:space="preserve"> </w:t>
      </w:r>
      <w:r>
        <w:rPr>
          <w:spacing w:val="-6"/>
        </w:rPr>
        <w:t>[[</w:t>
      </w:r>
    </w:p>
    <w:p w14:paraId="51DE82CA" w14:textId="77777777" w:rsidR="0010369C" w:rsidRDefault="008E43AE">
      <w:pPr>
        <w:pStyle w:val="BodyText"/>
        <w:ind w:left="218"/>
        <w:rPr>
          <w:sz w:val="20"/>
        </w:rPr>
      </w:pPr>
      <w:r>
        <w:rPr>
          <w:sz w:val="20"/>
        </w:rPr>
      </w:r>
      <w:r>
        <w:rPr>
          <w:sz w:val="20"/>
        </w:rPr>
        <w:pict w14:anchorId="51DE9FD6">
          <v:group id="docshapegroup399" o:spid="_x0000_s1864" style="width:453.55pt;height:16.1pt;mso-position-horizontal-relative:char;mso-position-vertical-relative:line" coordsize="9071,322">
            <v:rect id="docshape400" o:spid="_x0000_s1865" style="position:absolute;width:9071;height:322" fillcolor="black" stroked="f"/>
            <w10:anchorlock/>
          </v:group>
        </w:pict>
      </w:r>
    </w:p>
    <w:p w14:paraId="51DE82CB" w14:textId="77777777" w:rsidR="0010369C" w:rsidRDefault="008E43AE">
      <w:pPr>
        <w:pStyle w:val="BodyText"/>
        <w:spacing w:before="82" w:line="360" w:lineRule="auto"/>
        <w:ind w:left="237" w:right="613" w:firstLine="1316"/>
        <w:jc w:val="both"/>
      </w:pPr>
      <w:r>
        <w:pict w14:anchorId="51DE9FD7">
          <v:rect id="docshape401" o:spid="_x0000_s1863" style="position:absolute;left:0;text-align:left;margin-left:69.95pt;margin-top:4.2pt;width:65.7pt;height:16.05pt;z-index:-251388416;mso-position-horizontal-relative:page" fillcolor="black" stroked="f">
            <w10:wrap anchorx="page"/>
          </v:rect>
        </w:pict>
      </w:r>
      <w:r>
        <w:t>]] If MOFCOM was not able to use the information submitted in these Forms without experiencing "undue difficulties", it was incumbent on MOFCOM to provide an explanation of the problem.</w:t>
      </w:r>
      <w:r>
        <w:rPr>
          <w:vertAlign w:val="superscript"/>
        </w:rPr>
        <w:t>241</w:t>
      </w:r>
      <w:r>
        <w:t xml:space="preserve"> MOFCOM did not do so.</w:t>
      </w:r>
    </w:p>
    <w:p w14:paraId="51DE82CC" w14:textId="77777777" w:rsidR="0010369C" w:rsidRDefault="0010369C">
      <w:pPr>
        <w:pStyle w:val="BodyText"/>
        <w:spacing w:before="10"/>
        <w:rPr>
          <w:sz w:val="8"/>
        </w:rPr>
      </w:pPr>
    </w:p>
    <w:p w14:paraId="51DE82CD" w14:textId="77777777" w:rsidR="0010369C" w:rsidRDefault="008E43AE">
      <w:pPr>
        <w:pStyle w:val="BodyText"/>
        <w:spacing w:before="52" w:line="360" w:lineRule="auto"/>
        <w:ind w:left="237" w:right="614" w:firstLine="851"/>
        <w:jc w:val="both"/>
      </w:pPr>
      <w:r>
        <w:rPr>
          <w:noProof/>
        </w:rPr>
        <w:drawing>
          <wp:anchor distT="0" distB="0" distL="0" distR="0" simplePos="0" relativeHeight="250890752" behindDoc="1" locked="0" layoutInCell="1" allowOverlap="1" wp14:anchorId="51DE9FD8" wp14:editId="51DE9FD9">
            <wp:simplePos x="0" y="0"/>
            <wp:positionH relativeFrom="page">
              <wp:posOffset>905255</wp:posOffset>
            </wp:positionH>
            <wp:positionV relativeFrom="paragraph">
              <wp:posOffset>81188</wp:posOffset>
            </wp:positionV>
            <wp:extent cx="259079" cy="100753"/>
            <wp:effectExtent l="0" t="0" r="0" b="0"/>
            <wp:wrapNone/>
            <wp:docPr id="435" name="image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 name="image226.png"/>
                    <pic:cNvPicPr/>
                  </pic:nvPicPr>
                  <pic:blipFill>
                    <a:blip r:embed="rId328" cstate="print"/>
                    <a:stretch>
                      <a:fillRect/>
                    </a:stretch>
                  </pic:blipFill>
                  <pic:spPr>
                    <a:xfrm>
                      <a:off x="0" y="0"/>
                      <a:ext cx="259079" cy="100753"/>
                    </a:xfrm>
                    <a:prstGeom prst="rect">
                      <a:avLst/>
                    </a:prstGeom>
                  </pic:spPr>
                </pic:pic>
              </a:graphicData>
            </a:graphic>
          </wp:anchor>
        </w:drawing>
      </w:r>
      <w:r>
        <w:t xml:space="preserve">Prior </w:t>
      </w:r>
      <w:r>
        <w:t>to the publication of the Final Determination, MOFCOM provided insufficient reasons</w:t>
      </w:r>
      <w:r>
        <w:rPr>
          <w:spacing w:val="-8"/>
        </w:rPr>
        <w:t xml:space="preserve"> </w:t>
      </w:r>
      <w:r>
        <w:t>for</w:t>
      </w:r>
      <w:r>
        <w:rPr>
          <w:spacing w:val="-7"/>
        </w:rPr>
        <w:t xml:space="preserve"> </w:t>
      </w:r>
      <w:r>
        <w:t>its</w:t>
      </w:r>
      <w:r>
        <w:rPr>
          <w:spacing w:val="-8"/>
        </w:rPr>
        <w:t xml:space="preserve"> </w:t>
      </w:r>
      <w:r>
        <w:t>decision</w:t>
      </w:r>
      <w:r>
        <w:rPr>
          <w:spacing w:val="-7"/>
        </w:rPr>
        <w:t xml:space="preserve"> </w:t>
      </w:r>
      <w:r>
        <w:t>to</w:t>
      </w:r>
      <w:r>
        <w:rPr>
          <w:spacing w:val="-7"/>
        </w:rPr>
        <w:t xml:space="preserve"> </w:t>
      </w:r>
      <w:r>
        <w:t>reject</w:t>
      </w:r>
      <w:r>
        <w:rPr>
          <w:spacing w:val="-8"/>
        </w:rPr>
        <w:t xml:space="preserve"> </w:t>
      </w:r>
      <w:r>
        <w:t>the</w:t>
      </w:r>
      <w:r>
        <w:rPr>
          <w:spacing w:val="-7"/>
        </w:rPr>
        <w:t xml:space="preserve"> </w:t>
      </w:r>
      <w:r>
        <w:t>information</w:t>
      </w:r>
      <w:r>
        <w:rPr>
          <w:spacing w:val="-8"/>
        </w:rPr>
        <w:t xml:space="preserve"> </w:t>
      </w:r>
      <w:r>
        <w:t>contained</w:t>
      </w:r>
      <w:r>
        <w:rPr>
          <w:spacing w:val="-8"/>
        </w:rPr>
        <w:t xml:space="preserve"> </w:t>
      </w:r>
      <w:r>
        <w:t>in</w:t>
      </w:r>
      <w:r>
        <w:rPr>
          <w:spacing w:val="-8"/>
        </w:rPr>
        <w:t xml:space="preserve"> </w:t>
      </w:r>
      <w:r>
        <w:t>Form</w:t>
      </w:r>
      <w:r>
        <w:rPr>
          <w:spacing w:val="-7"/>
        </w:rPr>
        <w:t xml:space="preserve"> </w:t>
      </w:r>
      <w:r>
        <w:t>6‐2,</w:t>
      </w:r>
      <w:r>
        <w:rPr>
          <w:spacing w:val="-8"/>
        </w:rPr>
        <w:t xml:space="preserve"> </w:t>
      </w:r>
      <w:r>
        <w:t>Form</w:t>
      </w:r>
      <w:r>
        <w:rPr>
          <w:spacing w:val="-7"/>
        </w:rPr>
        <w:t xml:space="preserve"> </w:t>
      </w:r>
      <w:r>
        <w:t>6‐3</w:t>
      </w:r>
      <w:r>
        <w:rPr>
          <w:spacing w:val="-8"/>
        </w:rPr>
        <w:t xml:space="preserve"> </w:t>
      </w:r>
      <w:r>
        <w:t>and</w:t>
      </w:r>
      <w:r>
        <w:rPr>
          <w:spacing w:val="-8"/>
        </w:rPr>
        <w:t xml:space="preserve"> </w:t>
      </w:r>
      <w:r>
        <w:t>Form</w:t>
      </w:r>
      <w:r>
        <w:rPr>
          <w:spacing w:val="-7"/>
        </w:rPr>
        <w:t xml:space="preserve"> </w:t>
      </w:r>
      <w:r>
        <w:t xml:space="preserve">6‐ 4, and failed to afford Treasury Wines due process, including by providing an opportunity to give further explanations. At no point in the four‐month period between the publication of the Preliminary Determination and the Final Determination did MOFCOM </w:t>
      </w:r>
      <w:r>
        <w:t>expressly request further information in respect of the alleged inconsistencies identified above.</w:t>
      </w:r>
    </w:p>
    <w:p w14:paraId="51DE82CE" w14:textId="77777777" w:rsidR="0010369C" w:rsidRDefault="0010369C">
      <w:pPr>
        <w:pStyle w:val="BodyText"/>
        <w:spacing w:before="10"/>
        <w:rPr>
          <w:sz w:val="8"/>
        </w:rPr>
      </w:pPr>
    </w:p>
    <w:p w14:paraId="51DE82CF" w14:textId="77777777" w:rsidR="0010369C" w:rsidRDefault="008E43AE">
      <w:pPr>
        <w:pStyle w:val="BodyText"/>
        <w:spacing w:before="52" w:line="360" w:lineRule="auto"/>
        <w:ind w:left="237" w:right="614" w:firstLine="851"/>
        <w:jc w:val="both"/>
      </w:pPr>
      <w:r>
        <w:rPr>
          <w:noProof/>
        </w:rPr>
        <w:drawing>
          <wp:anchor distT="0" distB="0" distL="0" distR="0" simplePos="0" relativeHeight="250891776" behindDoc="1" locked="0" layoutInCell="1" allowOverlap="1" wp14:anchorId="51DE9FDA" wp14:editId="51DE9FDB">
            <wp:simplePos x="0" y="0"/>
            <wp:positionH relativeFrom="page">
              <wp:posOffset>905255</wp:posOffset>
            </wp:positionH>
            <wp:positionV relativeFrom="paragraph">
              <wp:posOffset>76785</wp:posOffset>
            </wp:positionV>
            <wp:extent cx="259079" cy="106679"/>
            <wp:effectExtent l="0" t="0" r="0" b="0"/>
            <wp:wrapNone/>
            <wp:docPr id="437" name="image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 name="image227.png"/>
                    <pic:cNvPicPr/>
                  </pic:nvPicPr>
                  <pic:blipFill>
                    <a:blip r:embed="rId329" cstate="print"/>
                    <a:stretch>
                      <a:fillRect/>
                    </a:stretch>
                  </pic:blipFill>
                  <pic:spPr>
                    <a:xfrm>
                      <a:off x="0" y="0"/>
                      <a:ext cx="259079" cy="106679"/>
                    </a:xfrm>
                    <a:prstGeom prst="rect">
                      <a:avLst/>
                    </a:prstGeom>
                  </pic:spPr>
                </pic:pic>
              </a:graphicData>
            </a:graphic>
          </wp:anchor>
        </w:drawing>
      </w:r>
      <w:r>
        <w:t>As MOFCOM failed to provide the requisite notice to Treasury Wines, it follows that MOFCOM also failed to provide Treasury Wines with an opportunity to prov</w:t>
      </w:r>
      <w:r>
        <w:t>ide explanations as to why the information ought to be considered.</w:t>
      </w:r>
    </w:p>
    <w:p w14:paraId="51DE82D0" w14:textId="77777777" w:rsidR="0010369C" w:rsidRDefault="0010369C">
      <w:pPr>
        <w:pStyle w:val="BodyText"/>
        <w:spacing w:before="10"/>
        <w:rPr>
          <w:sz w:val="8"/>
        </w:rPr>
      </w:pPr>
    </w:p>
    <w:p w14:paraId="51DE82D1" w14:textId="77777777" w:rsidR="0010369C" w:rsidRDefault="008E43AE">
      <w:pPr>
        <w:pStyle w:val="BodyText"/>
        <w:spacing w:before="52" w:after="4" w:line="360" w:lineRule="auto"/>
        <w:ind w:left="238" w:firstLine="851"/>
      </w:pPr>
      <w:r>
        <w:rPr>
          <w:noProof/>
        </w:rPr>
        <w:drawing>
          <wp:anchor distT="0" distB="0" distL="0" distR="0" simplePos="0" relativeHeight="250892800" behindDoc="1" locked="0" layoutInCell="1" allowOverlap="1" wp14:anchorId="51DE9FDC" wp14:editId="51DE9FDD">
            <wp:simplePos x="0" y="0"/>
            <wp:positionH relativeFrom="page">
              <wp:posOffset>905255</wp:posOffset>
            </wp:positionH>
            <wp:positionV relativeFrom="paragraph">
              <wp:posOffset>76785</wp:posOffset>
            </wp:positionV>
            <wp:extent cx="259079" cy="106679"/>
            <wp:effectExtent l="0" t="0" r="0" b="0"/>
            <wp:wrapNone/>
            <wp:docPr id="439" name="image2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 name="image228.png"/>
                    <pic:cNvPicPr/>
                  </pic:nvPicPr>
                  <pic:blipFill>
                    <a:blip r:embed="rId330" cstate="print"/>
                    <a:stretch>
                      <a:fillRect/>
                    </a:stretch>
                  </pic:blipFill>
                  <pic:spPr>
                    <a:xfrm>
                      <a:off x="0" y="0"/>
                      <a:ext cx="259079" cy="106679"/>
                    </a:xfrm>
                    <a:prstGeom prst="rect">
                      <a:avLst/>
                    </a:prstGeom>
                  </pic:spPr>
                </pic:pic>
              </a:graphicData>
            </a:graphic>
          </wp:anchor>
        </w:drawing>
      </w:r>
      <w:r>
        <w:pict w14:anchorId="51DE9FDE">
          <v:rect id="docshape402" o:spid="_x0000_s1862" style="position:absolute;left:0;text-align:left;margin-left:443.8pt;margin-top:24.65pt;width:79.7pt;height:16.05pt;z-index:-251387392;mso-position-horizontal-relative:page;mso-position-vertical-relative:text" fillcolor="black" stroked="f">
            <w10:wrap anchorx="page"/>
          </v:rect>
        </w:pict>
      </w:r>
      <w:r>
        <w:t>Treasury</w:t>
      </w:r>
      <w:r>
        <w:rPr>
          <w:spacing w:val="30"/>
        </w:rPr>
        <w:t xml:space="preserve"> </w:t>
      </w:r>
      <w:r>
        <w:t>Wines</w:t>
      </w:r>
      <w:r>
        <w:rPr>
          <w:spacing w:val="28"/>
        </w:rPr>
        <w:t xml:space="preserve"> </w:t>
      </w:r>
      <w:r>
        <w:t>otherwise</w:t>
      </w:r>
      <w:r>
        <w:rPr>
          <w:spacing w:val="30"/>
        </w:rPr>
        <w:t xml:space="preserve"> </w:t>
      </w:r>
      <w:r>
        <w:t>submitted</w:t>
      </w:r>
      <w:r>
        <w:rPr>
          <w:spacing w:val="29"/>
        </w:rPr>
        <w:t xml:space="preserve"> </w:t>
      </w:r>
      <w:r>
        <w:t>supplementary</w:t>
      </w:r>
      <w:r>
        <w:rPr>
          <w:spacing w:val="29"/>
        </w:rPr>
        <w:t xml:space="preserve"> </w:t>
      </w:r>
      <w:r>
        <w:t>information</w:t>
      </w:r>
      <w:r>
        <w:rPr>
          <w:spacing w:val="30"/>
        </w:rPr>
        <w:t xml:space="preserve"> </w:t>
      </w:r>
      <w:r>
        <w:t>to</w:t>
      </w:r>
      <w:r>
        <w:rPr>
          <w:spacing w:val="28"/>
        </w:rPr>
        <w:t xml:space="preserve"> </w:t>
      </w:r>
      <w:r>
        <w:t>MOFCOM</w:t>
      </w:r>
      <w:r>
        <w:rPr>
          <w:spacing w:val="29"/>
        </w:rPr>
        <w:t xml:space="preserve"> </w:t>
      </w:r>
      <w:r>
        <w:t>for clarification</w:t>
      </w:r>
      <w:r>
        <w:rPr>
          <w:spacing w:val="80"/>
        </w:rPr>
        <w:t xml:space="preserve"> </w:t>
      </w:r>
      <w:r>
        <w:t>purposes,</w:t>
      </w:r>
      <w:r>
        <w:rPr>
          <w:spacing w:val="80"/>
        </w:rPr>
        <w:t xml:space="preserve"> </w:t>
      </w:r>
      <w:r>
        <w:t>and</w:t>
      </w:r>
      <w:r>
        <w:rPr>
          <w:spacing w:val="80"/>
        </w:rPr>
        <w:t xml:space="preserve"> </w:t>
      </w:r>
      <w:r>
        <w:t>to</w:t>
      </w:r>
      <w:r>
        <w:rPr>
          <w:spacing w:val="80"/>
        </w:rPr>
        <w:t xml:space="preserve"> </w:t>
      </w:r>
      <w:r>
        <w:t>explain</w:t>
      </w:r>
      <w:r>
        <w:rPr>
          <w:spacing w:val="80"/>
        </w:rPr>
        <w:t xml:space="preserve"> </w:t>
      </w:r>
      <w:r>
        <w:t>any</w:t>
      </w:r>
      <w:r>
        <w:rPr>
          <w:spacing w:val="80"/>
        </w:rPr>
        <w:t xml:space="preserve"> </w:t>
      </w:r>
      <w:r>
        <w:t>perceived</w:t>
      </w:r>
      <w:r>
        <w:rPr>
          <w:spacing w:val="80"/>
        </w:rPr>
        <w:t xml:space="preserve"> </w:t>
      </w:r>
      <w:r>
        <w:t>inconsistencies.</w:t>
      </w:r>
      <w:r>
        <w:rPr>
          <w:spacing w:val="80"/>
        </w:rPr>
        <w:t xml:space="preserve"> </w:t>
      </w:r>
      <w:r>
        <w:t>[[</w:t>
      </w:r>
    </w:p>
    <w:p w14:paraId="51DE82D2" w14:textId="77777777" w:rsidR="0010369C" w:rsidRDefault="008E43AE">
      <w:pPr>
        <w:pStyle w:val="BodyText"/>
        <w:ind w:left="218"/>
        <w:rPr>
          <w:sz w:val="20"/>
        </w:rPr>
      </w:pPr>
      <w:r>
        <w:rPr>
          <w:sz w:val="20"/>
        </w:rPr>
      </w:r>
      <w:r>
        <w:rPr>
          <w:sz w:val="20"/>
        </w:rPr>
        <w:pict w14:anchorId="51DE9FE0">
          <v:group id="docshapegroup403" o:spid="_x0000_s1860" style="width:53.2pt;height:16.1pt;mso-position-horizontal-relative:char;mso-position-vertical-relative:line" coordsize="1064,322">
            <v:rect id="docshape404" o:spid="_x0000_s1861" style="position:absolute;width:1064;height:322" fillcolor="black" stroked="f"/>
            <w10:anchorlock/>
          </v:group>
        </w:pict>
      </w:r>
    </w:p>
    <w:p w14:paraId="51DE82D3" w14:textId="77777777" w:rsidR="0010369C" w:rsidRDefault="008E43AE">
      <w:pPr>
        <w:pStyle w:val="BodyText"/>
        <w:spacing w:before="12"/>
        <w:rPr>
          <w:sz w:val="18"/>
        </w:rPr>
      </w:pPr>
      <w:r>
        <w:pict w14:anchorId="51DE9FE1">
          <v:rect id="docshape405" o:spid="_x0000_s1859" style="position:absolute;margin-left:112.45pt;margin-top:13.05pt;width:5.5pt;height:14.7pt;z-index:-251095552;mso-wrap-distance-left:0;mso-wrap-distance-right:0;mso-position-horizontal-relative:page" fillcolor="black" stroked="f">
            <w10:wrap type="topAndBottom" anchorx="page"/>
          </v:rect>
        </w:pict>
      </w:r>
      <w:r>
        <w:pict w14:anchorId="51DE9FE2">
          <v:rect id="docshape406" o:spid="_x0000_s1858" style="position:absolute;margin-left:155pt;margin-top:12.8pt;width:368.45pt;height:16.05pt;z-index:-251094528;mso-wrap-distance-left:0;mso-wrap-distance-right:0;mso-position-horizontal-relative:page" fillcolor="black" stroked="f">
            <w10:wrap type="topAndBottom" anchorx="page"/>
          </v:rect>
        </w:pict>
      </w:r>
      <w:r>
        <w:pict w14:anchorId="51DE9FE3">
          <v:rect id="docshape407" o:spid="_x0000_s1857" style="position:absolute;margin-left:155pt;margin-top:34.75pt;width:368.4pt;height:16.05pt;z-index:-251093504;mso-wrap-distance-left:0;mso-wrap-distance-right:0;mso-position-horizontal-relative:page" fillcolor="black" stroked="f">
            <w10:wrap type="topAndBottom" anchorx="page"/>
          </v:rect>
        </w:pict>
      </w:r>
      <w:r>
        <w:pict w14:anchorId="51DE9FE4">
          <v:rect id="docshape408" o:spid="_x0000_s1856" style="position:absolute;margin-left:155pt;margin-top:56.7pt;width:248.7pt;height:16.05pt;z-index:-251092480;mso-wrap-distance-left:0;mso-wrap-distance-right:0;mso-position-horizontal-relative:page" fillcolor="black" stroked="f">
            <w10:wrap type="topAndBottom" anchorx="page"/>
          </v:rect>
        </w:pict>
      </w:r>
      <w:r>
        <w:pict w14:anchorId="51DE9FE5">
          <v:rect id="docshape409" o:spid="_x0000_s1855" style="position:absolute;margin-left:112.45pt;margin-top:85.6pt;width:5.5pt;height:14.7pt;z-index:-251091456;mso-wrap-distance-left:0;mso-wrap-distance-right:0;mso-position-horizontal-relative:page" fillcolor="black" stroked="f">
            <w10:wrap type="topAndBottom" anchorx="page"/>
          </v:rect>
        </w:pict>
      </w:r>
      <w:r>
        <w:pict w14:anchorId="51DE9FE6">
          <v:rect id="docshape410" o:spid="_x0000_s1854" style="position:absolute;margin-left:155pt;margin-top:85.35pt;width:368.45pt;height:16.05pt;z-index:-251090432;mso-wrap-distance-left:0;mso-wrap-distance-right:0;mso-position-horizontal-relative:page" fillcolor="black" stroked="f">
            <w10:wrap type="topAndBottom" anchorx="page"/>
          </v:rect>
        </w:pict>
      </w:r>
      <w:r>
        <w:pict w14:anchorId="51DE9FE7">
          <v:rect id="docshape411" o:spid="_x0000_s1853" style="position:absolute;margin-left:155pt;margin-top:107.3pt;width:359.3pt;height:16.05pt;z-index:-251089408;mso-wrap-distance-left:0;mso-wrap-distance-right:0;mso-position-horizontal-relative:page" fillcolor="black" stroked="f">
            <w10:wrap type="topAndBottom" anchorx="page"/>
          </v:rect>
        </w:pict>
      </w:r>
    </w:p>
    <w:p w14:paraId="51DE82D4" w14:textId="77777777" w:rsidR="0010369C" w:rsidRDefault="0010369C">
      <w:pPr>
        <w:pStyle w:val="BodyText"/>
        <w:spacing w:before="8"/>
        <w:rPr>
          <w:sz w:val="7"/>
        </w:rPr>
      </w:pPr>
    </w:p>
    <w:p w14:paraId="51DE82D5" w14:textId="77777777" w:rsidR="0010369C" w:rsidRDefault="0010369C">
      <w:pPr>
        <w:pStyle w:val="BodyText"/>
        <w:spacing w:before="8"/>
        <w:rPr>
          <w:sz w:val="7"/>
        </w:rPr>
      </w:pPr>
    </w:p>
    <w:p w14:paraId="51DE82D6" w14:textId="77777777" w:rsidR="0010369C" w:rsidRDefault="0010369C">
      <w:pPr>
        <w:pStyle w:val="BodyText"/>
        <w:spacing w:before="7"/>
        <w:rPr>
          <w:sz w:val="18"/>
        </w:rPr>
      </w:pPr>
    </w:p>
    <w:p w14:paraId="51DE82D7" w14:textId="77777777" w:rsidR="0010369C" w:rsidRDefault="0010369C">
      <w:pPr>
        <w:pStyle w:val="BodyText"/>
        <w:spacing w:before="8"/>
        <w:rPr>
          <w:sz w:val="7"/>
        </w:rPr>
      </w:pPr>
    </w:p>
    <w:p w14:paraId="51DE82D8" w14:textId="77777777" w:rsidR="0010369C" w:rsidRDefault="0010369C">
      <w:pPr>
        <w:pStyle w:val="BodyText"/>
        <w:rPr>
          <w:sz w:val="20"/>
        </w:rPr>
      </w:pPr>
    </w:p>
    <w:p w14:paraId="51DE82D9" w14:textId="77777777" w:rsidR="0010369C" w:rsidRDefault="0010369C">
      <w:pPr>
        <w:pStyle w:val="BodyText"/>
        <w:rPr>
          <w:sz w:val="20"/>
        </w:rPr>
      </w:pPr>
    </w:p>
    <w:p w14:paraId="51DE82DA" w14:textId="77777777" w:rsidR="0010369C" w:rsidRDefault="008E43AE">
      <w:pPr>
        <w:pStyle w:val="BodyText"/>
        <w:rPr>
          <w:sz w:val="14"/>
        </w:rPr>
      </w:pPr>
      <w:r>
        <w:pict w14:anchorId="51DE9FE8">
          <v:rect id="docshape412" o:spid="_x0000_s1852" style="position:absolute;margin-left:70.9pt;margin-top:9.75pt;width:2in;height:.8pt;z-index:-251088384;mso-wrap-distance-left:0;mso-wrap-distance-right:0;mso-position-horizontal-relative:page" fillcolor="black" stroked="f">
            <w10:wrap type="topAndBottom" anchorx="page"/>
          </v:rect>
        </w:pict>
      </w:r>
    </w:p>
    <w:p w14:paraId="51DE82DB" w14:textId="77777777" w:rsidR="0010369C" w:rsidRDefault="008E43AE">
      <w:pPr>
        <w:spacing w:before="109"/>
        <w:ind w:left="238"/>
        <w:rPr>
          <w:sz w:val="18"/>
        </w:rPr>
      </w:pPr>
      <w:r>
        <w:rPr>
          <w:sz w:val="18"/>
          <w:vertAlign w:val="superscript"/>
        </w:rPr>
        <w:t>241</w:t>
      </w:r>
      <w:r>
        <w:rPr>
          <w:spacing w:val="-5"/>
          <w:sz w:val="18"/>
        </w:rPr>
        <w:t xml:space="preserve"> </w:t>
      </w:r>
      <w:r>
        <w:rPr>
          <w:sz w:val="18"/>
        </w:rPr>
        <w:t>See</w:t>
      </w:r>
      <w:r>
        <w:rPr>
          <w:spacing w:val="-5"/>
          <w:sz w:val="18"/>
        </w:rPr>
        <w:t xml:space="preserve"> </w:t>
      </w:r>
      <w:r>
        <w:rPr>
          <w:sz w:val="18"/>
        </w:rPr>
        <w:t>Panel</w:t>
      </w:r>
      <w:r>
        <w:rPr>
          <w:spacing w:val="-6"/>
          <w:sz w:val="18"/>
        </w:rPr>
        <w:t xml:space="preserve"> </w:t>
      </w:r>
      <w:r>
        <w:rPr>
          <w:sz w:val="18"/>
        </w:rPr>
        <w:t>Reports,</w:t>
      </w:r>
      <w:r>
        <w:rPr>
          <w:spacing w:val="-4"/>
          <w:sz w:val="18"/>
        </w:rPr>
        <w:t xml:space="preserve"> </w:t>
      </w:r>
      <w:r>
        <w:rPr>
          <w:i/>
          <w:sz w:val="18"/>
        </w:rPr>
        <w:t>US</w:t>
      </w:r>
      <w:r>
        <w:rPr>
          <w:i/>
          <w:spacing w:val="-5"/>
          <w:sz w:val="18"/>
        </w:rPr>
        <w:t xml:space="preserve"> </w:t>
      </w:r>
      <w:r>
        <w:rPr>
          <w:i/>
          <w:sz w:val="18"/>
        </w:rPr>
        <w:t>–</w:t>
      </w:r>
      <w:r>
        <w:rPr>
          <w:i/>
          <w:spacing w:val="-4"/>
          <w:sz w:val="18"/>
        </w:rPr>
        <w:t xml:space="preserve"> </w:t>
      </w:r>
      <w:r>
        <w:rPr>
          <w:i/>
          <w:sz w:val="18"/>
        </w:rPr>
        <w:t>Steel</w:t>
      </w:r>
      <w:r>
        <w:rPr>
          <w:i/>
          <w:spacing w:val="-6"/>
          <w:sz w:val="18"/>
        </w:rPr>
        <w:t xml:space="preserve"> </w:t>
      </w:r>
      <w:r>
        <w:rPr>
          <w:i/>
          <w:sz w:val="18"/>
        </w:rPr>
        <w:t>Plate</w:t>
      </w:r>
      <w:r>
        <w:rPr>
          <w:sz w:val="18"/>
        </w:rPr>
        <w:t>,</w:t>
      </w:r>
      <w:r>
        <w:rPr>
          <w:spacing w:val="-5"/>
          <w:sz w:val="18"/>
        </w:rPr>
        <w:t xml:space="preserve"> </w:t>
      </w:r>
      <w:r>
        <w:rPr>
          <w:sz w:val="18"/>
        </w:rPr>
        <w:t>paras.</w:t>
      </w:r>
      <w:r>
        <w:rPr>
          <w:spacing w:val="-5"/>
          <w:sz w:val="18"/>
        </w:rPr>
        <w:t xml:space="preserve"> </w:t>
      </w:r>
      <w:r>
        <w:rPr>
          <w:sz w:val="18"/>
        </w:rPr>
        <w:t>7.72</w:t>
      </w:r>
      <w:r>
        <w:rPr>
          <w:spacing w:val="-4"/>
          <w:sz w:val="18"/>
        </w:rPr>
        <w:t xml:space="preserve"> </w:t>
      </w:r>
      <w:r>
        <w:rPr>
          <w:sz w:val="18"/>
        </w:rPr>
        <w:t>and</w:t>
      </w:r>
      <w:r>
        <w:rPr>
          <w:spacing w:val="-5"/>
          <w:sz w:val="18"/>
        </w:rPr>
        <w:t xml:space="preserve"> </w:t>
      </w:r>
      <w:r>
        <w:rPr>
          <w:sz w:val="18"/>
        </w:rPr>
        <w:t>7.74</w:t>
      </w:r>
      <w:r>
        <w:rPr>
          <w:spacing w:val="-4"/>
          <w:sz w:val="18"/>
        </w:rPr>
        <w:t xml:space="preserve"> </w:t>
      </w:r>
      <w:r>
        <w:rPr>
          <w:sz w:val="18"/>
        </w:rPr>
        <w:t>and</w:t>
      </w:r>
      <w:r>
        <w:rPr>
          <w:spacing w:val="-5"/>
          <w:sz w:val="18"/>
        </w:rPr>
        <w:t xml:space="preserve"> </w:t>
      </w:r>
      <w:r>
        <w:rPr>
          <w:i/>
          <w:sz w:val="18"/>
        </w:rPr>
        <w:t>China</w:t>
      </w:r>
      <w:r>
        <w:rPr>
          <w:i/>
          <w:spacing w:val="-4"/>
          <w:sz w:val="18"/>
        </w:rPr>
        <w:t xml:space="preserve"> </w:t>
      </w:r>
      <w:r>
        <w:rPr>
          <w:i/>
          <w:sz w:val="18"/>
        </w:rPr>
        <w:t>–</w:t>
      </w:r>
      <w:r>
        <w:rPr>
          <w:i/>
          <w:spacing w:val="-5"/>
          <w:sz w:val="18"/>
        </w:rPr>
        <w:t xml:space="preserve"> </w:t>
      </w:r>
      <w:r>
        <w:rPr>
          <w:i/>
          <w:sz w:val="18"/>
        </w:rPr>
        <w:t>Broiler</w:t>
      </w:r>
      <w:r>
        <w:rPr>
          <w:i/>
          <w:spacing w:val="-5"/>
          <w:sz w:val="18"/>
        </w:rPr>
        <w:t xml:space="preserve"> </w:t>
      </w:r>
      <w:r>
        <w:rPr>
          <w:i/>
          <w:sz w:val="18"/>
        </w:rPr>
        <w:t>Products</w:t>
      </w:r>
      <w:r>
        <w:rPr>
          <w:i/>
          <w:spacing w:val="-6"/>
          <w:sz w:val="18"/>
        </w:rPr>
        <w:t xml:space="preserve"> </w:t>
      </w:r>
      <w:r>
        <w:rPr>
          <w:i/>
          <w:sz w:val="18"/>
        </w:rPr>
        <w:t>(Article</w:t>
      </w:r>
      <w:r>
        <w:rPr>
          <w:i/>
          <w:spacing w:val="-4"/>
          <w:sz w:val="18"/>
        </w:rPr>
        <w:t xml:space="preserve"> </w:t>
      </w:r>
      <w:r>
        <w:rPr>
          <w:i/>
          <w:sz w:val="18"/>
        </w:rPr>
        <w:t>21.5</w:t>
      </w:r>
      <w:r>
        <w:rPr>
          <w:i/>
          <w:spacing w:val="-5"/>
          <w:sz w:val="18"/>
        </w:rPr>
        <w:t xml:space="preserve"> </w:t>
      </w:r>
      <w:r>
        <w:rPr>
          <w:i/>
          <w:sz w:val="18"/>
        </w:rPr>
        <w:t>–</w:t>
      </w:r>
      <w:r>
        <w:rPr>
          <w:i/>
          <w:spacing w:val="-4"/>
          <w:sz w:val="18"/>
        </w:rPr>
        <w:t xml:space="preserve"> </w:t>
      </w:r>
      <w:r>
        <w:rPr>
          <w:i/>
          <w:sz w:val="18"/>
        </w:rPr>
        <w:t>US),</w:t>
      </w:r>
      <w:r>
        <w:rPr>
          <w:i/>
          <w:spacing w:val="-6"/>
          <w:sz w:val="18"/>
        </w:rPr>
        <w:t xml:space="preserve"> </w:t>
      </w:r>
      <w:r>
        <w:rPr>
          <w:sz w:val="18"/>
        </w:rPr>
        <w:t>para.</w:t>
      </w:r>
      <w:r>
        <w:rPr>
          <w:spacing w:val="-4"/>
          <w:sz w:val="18"/>
        </w:rPr>
        <w:t xml:space="preserve"> </w:t>
      </w:r>
      <w:r>
        <w:rPr>
          <w:spacing w:val="-2"/>
          <w:sz w:val="18"/>
        </w:rPr>
        <w:t>7.348.</w:t>
      </w:r>
    </w:p>
    <w:p w14:paraId="51DE82DC" w14:textId="77777777" w:rsidR="0010369C" w:rsidRDefault="008E43AE">
      <w:pPr>
        <w:tabs>
          <w:tab w:val="left" w:pos="6871"/>
        </w:tabs>
        <w:ind w:left="238"/>
        <w:rPr>
          <w:sz w:val="18"/>
        </w:rPr>
      </w:pPr>
      <w:r>
        <w:pict w14:anchorId="51DE9FE9">
          <v:shape id="docshape413" o:spid="_x0000_s1851" style="position:absolute;left:0;text-align:left;margin-left:69.9pt;margin-top:.35pt;width:403.3pt;height:23.05pt;z-index:-251386368;mso-position-horizontal-relative:page" coordorigin="1398,7" coordsize="8066,461" path="m9463,226r-1492,l7971,7,1753,7r,219l1398,226r,241l9463,467r,-241xe" fillcolor="black" stroked="f">
            <v:path arrowok="t"/>
            <w10:wrap anchorx="page"/>
          </v:shape>
        </w:pict>
      </w:r>
      <w:r>
        <w:pict w14:anchorId="51DE9FEA">
          <v:rect id="docshape414" o:spid="_x0000_s1850" style="position:absolute;left:0;text-align:left;margin-left:487.6pt;margin-top:.35pt;width:35.85pt;height:12.05pt;z-index:251758080;mso-position-horizontal-relative:page" fillcolor="black" stroked="f">
            <w10:wrap anchorx="page"/>
          </v:rect>
        </w:pict>
      </w:r>
      <w:r>
        <w:rPr>
          <w:color w:val="5E5E5E"/>
          <w:sz w:val="18"/>
          <w:vertAlign w:val="superscript"/>
        </w:rPr>
        <w:t>242</w:t>
      </w:r>
      <w:r>
        <w:rPr>
          <w:color w:val="5E5E5E"/>
          <w:spacing w:val="17"/>
          <w:sz w:val="18"/>
        </w:rPr>
        <w:t xml:space="preserve"> </w:t>
      </w:r>
      <w:r>
        <w:rPr>
          <w:color w:val="5E5E5E"/>
          <w:spacing w:val="-12"/>
          <w:sz w:val="18"/>
        </w:rPr>
        <w:t>[</w:t>
      </w:r>
      <w:r>
        <w:rPr>
          <w:color w:val="5E5E5E"/>
          <w:sz w:val="18"/>
        </w:rPr>
        <w:tab/>
        <w:t>(Exhibit</w:t>
      </w:r>
      <w:r>
        <w:rPr>
          <w:color w:val="5E5E5E"/>
          <w:spacing w:val="10"/>
          <w:sz w:val="18"/>
        </w:rPr>
        <w:t xml:space="preserve"> </w:t>
      </w:r>
      <w:r>
        <w:rPr>
          <w:color w:val="5E5E5E"/>
          <w:sz w:val="18"/>
        </w:rPr>
        <w:t>AUS‐11</w:t>
      </w:r>
      <w:r>
        <w:rPr>
          <w:color w:val="5E5E5E"/>
          <w:spacing w:val="10"/>
          <w:sz w:val="18"/>
        </w:rPr>
        <w:t xml:space="preserve"> </w:t>
      </w:r>
      <w:r>
        <w:rPr>
          <w:color w:val="5E5E5E"/>
          <w:spacing w:val="-2"/>
          <w:sz w:val="18"/>
        </w:rPr>
        <w:t>(BCI)),</w:t>
      </w:r>
    </w:p>
    <w:p w14:paraId="51DE82DD" w14:textId="77777777" w:rsidR="0010369C" w:rsidRDefault="008E43AE">
      <w:pPr>
        <w:ind w:right="613"/>
        <w:jc w:val="right"/>
        <w:rPr>
          <w:sz w:val="18"/>
        </w:rPr>
      </w:pPr>
      <w:r>
        <w:rPr>
          <w:color w:val="5E5E5E"/>
          <w:sz w:val="18"/>
        </w:rPr>
        <w:t>(Exhibit</w:t>
      </w:r>
      <w:r>
        <w:rPr>
          <w:color w:val="5E5E5E"/>
          <w:spacing w:val="-6"/>
          <w:sz w:val="18"/>
        </w:rPr>
        <w:t xml:space="preserve"> </w:t>
      </w:r>
      <w:r>
        <w:rPr>
          <w:color w:val="5E5E5E"/>
          <w:spacing w:val="-4"/>
          <w:sz w:val="18"/>
        </w:rPr>
        <w:t>AUS‐</w:t>
      </w:r>
    </w:p>
    <w:p w14:paraId="51DE82DE" w14:textId="77777777" w:rsidR="0010369C" w:rsidRDefault="008E43AE">
      <w:pPr>
        <w:spacing w:before="1"/>
        <w:ind w:left="238"/>
        <w:rPr>
          <w:sz w:val="18"/>
        </w:rPr>
      </w:pPr>
      <w:r>
        <w:rPr>
          <w:color w:val="5E5E5E"/>
          <w:sz w:val="18"/>
        </w:rPr>
        <w:t>13</w:t>
      </w:r>
      <w:r>
        <w:rPr>
          <w:color w:val="5E5E5E"/>
          <w:spacing w:val="-2"/>
          <w:sz w:val="18"/>
        </w:rPr>
        <w:t xml:space="preserve"> (BCI)).]]</w:t>
      </w:r>
    </w:p>
    <w:p w14:paraId="51DE82DF" w14:textId="77777777" w:rsidR="0010369C" w:rsidRDefault="008E43AE">
      <w:pPr>
        <w:tabs>
          <w:tab w:val="left" w:pos="6871"/>
        </w:tabs>
        <w:ind w:left="238"/>
        <w:rPr>
          <w:sz w:val="18"/>
        </w:rPr>
      </w:pPr>
      <w:r>
        <w:pict w14:anchorId="51DE9FEB">
          <v:shape id="docshape415" o:spid="_x0000_s1849" style="position:absolute;left:0;text-align:left;margin-left:69.9pt;margin-top:.35pt;width:396.1pt;height:23.05pt;z-index:-251385344;mso-position-horizontal-relative:page" coordorigin="1398,7" coordsize="7922,461" path="m9320,226r-1288,l8032,7,1753,7r,219l1398,226r,241l9320,467r,-241xe" fillcolor="black" stroked="f">
            <v:path arrowok="t"/>
            <w10:wrap anchorx="page"/>
          </v:shape>
        </w:pict>
      </w:r>
      <w:r>
        <w:pict w14:anchorId="51DE9FEC">
          <v:rect id="docshape416" o:spid="_x0000_s1848" style="position:absolute;left:0;text-align:left;margin-left:487.6pt;margin-top:.35pt;width:35.85pt;height:12.05pt;z-index:251759104;mso-position-horizontal-relative:page" fillcolor="black" stroked="f">
            <w10:wrap anchorx="page"/>
          </v:rect>
        </w:pict>
      </w:r>
      <w:r>
        <w:rPr>
          <w:sz w:val="18"/>
          <w:vertAlign w:val="superscript"/>
        </w:rPr>
        <w:t>243</w:t>
      </w:r>
      <w:r>
        <w:rPr>
          <w:spacing w:val="17"/>
          <w:sz w:val="18"/>
        </w:rPr>
        <w:t xml:space="preserve"> </w:t>
      </w:r>
      <w:r>
        <w:rPr>
          <w:color w:val="5E5E5E"/>
          <w:spacing w:val="-12"/>
          <w:sz w:val="18"/>
        </w:rPr>
        <w:t>[</w:t>
      </w:r>
      <w:r>
        <w:rPr>
          <w:color w:val="5E5E5E"/>
          <w:sz w:val="18"/>
        </w:rPr>
        <w:tab/>
        <w:t>(Exhibit</w:t>
      </w:r>
      <w:r>
        <w:rPr>
          <w:color w:val="5E5E5E"/>
          <w:spacing w:val="10"/>
          <w:sz w:val="18"/>
        </w:rPr>
        <w:t xml:space="preserve"> </w:t>
      </w:r>
      <w:r>
        <w:rPr>
          <w:color w:val="5E5E5E"/>
          <w:sz w:val="18"/>
        </w:rPr>
        <w:t>AUS‐11</w:t>
      </w:r>
      <w:r>
        <w:rPr>
          <w:color w:val="5E5E5E"/>
          <w:spacing w:val="10"/>
          <w:sz w:val="18"/>
        </w:rPr>
        <w:t xml:space="preserve"> </w:t>
      </w:r>
      <w:r>
        <w:rPr>
          <w:color w:val="5E5E5E"/>
          <w:spacing w:val="-2"/>
          <w:sz w:val="18"/>
        </w:rPr>
        <w:t>(BCI)),</w:t>
      </w:r>
    </w:p>
    <w:p w14:paraId="51DE82E0" w14:textId="77777777" w:rsidR="0010369C" w:rsidRDefault="008E43AE">
      <w:pPr>
        <w:ind w:left="8159"/>
        <w:rPr>
          <w:sz w:val="18"/>
        </w:rPr>
      </w:pPr>
      <w:r>
        <w:rPr>
          <w:color w:val="5E5E5E"/>
          <w:sz w:val="18"/>
        </w:rPr>
        <w:t>(Exhibit</w:t>
      </w:r>
      <w:r>
        <w:rPr>
          <w:color w:val="5E5E5E"/>
          <w:spacing w:val="8"/>
          <w:sz w:val="18"/>
        </w:rPr>
        <w:t xml:space="preserve"> </w:t>
      </w:r>
      <w:r>
        <w:rPr>
          <w:color w:val="5E5E5E"/>
          <w:spacing w:val="-2"/>
          <w:sz w:val="18"/>
        </w:rPr>
        <w:t>AUS‐26</w:t>
      </w:r>
    </w:p>
    <w:p w14:paraId="51DE82E1" w14:textId="77777777" w:rsidR="0010369C" w:rsidRDefault="008E43AE">
      <w:pPr>
        <w:ind w:left="238"/>
        <w:rPr>
          <w:sz w:val="18"/>
        </w:rPr>
      </w:pPr>
      <w:r>
        <w:rPr>
          <w:color w:val="5E5E5E"/>
          <w:spacing w:val="-2"/>
          <w:sz w:val="18"/>
        </w:rPr>
        <w:t>(BCI)).]]</w:t>
      </w:r>
    </w:p>
    <w:p w14:paraId="51DE82E2" w14:textId="77777777" w:rsidR="0010369C" w:rsidRDefault="0010369C">
      <w:pPr>
        <w:rPr>
          <w:sz w:val="18"/>
        </w:rPr>
        <w:sectPr w:rsidR="0010369C">
          <w:pgSz w:w="11910" w:h="16840"/>
          <w:pgMar w:top="880" w:right="800" w:bottom="980" w:left="1180" w:header="569" w:footer="788" w:gutter="0"/>
          <w:cols w:space="720"/>
        </w:sectPr>
      </w:pPr>
    </w:p>
    <w:p w14:paraId="51DE82E3" w14:textId="77777777" w:rsidR="0010369C" w:rsidRDefault="008E43AE">
      <w:pPr>
        <w:tabs>
          <w:tab w:val="left" w:pos="6425"/>
        </w:tabs>
        <w:ind w:left="238"/>
        <w:rPr>
          <w:sz w:val="20"/>
        </w:rPr>
      </w:pPr>
      <w:r>
        <w:rPr>
          <w:i/>
          <w:sz w:val="20"/>
        </w:rPr>
        <w:lastRenderedPageBreak/>
        <w:t>China</w:t>
      </w:r>
      <w:r>
        <w:rPr>
          <w:i/>
          <w:spacing w:val="-5"/>
          <w:sz w:val="20"/>
        </w:rPr>
        <w:t xml:space="preserve"> </w:t>
      </w:r>
      <w:r>
        <w:rPr>
          <w:i/>
          <w:sz w:val="20"/>
        </w:rPr>
        <w:t>–</w:t>
      </w:r>
      <w:r>
        <w:rPr>
          <w:i/>
          <w:spacing w:val="-5"/>
          <w:sz w:val="20"/>
        </w:rPr>
        <w:t xml:space="preserve"> </w:t>
      </w:r>
      <w:r>
        <w:rPr>
          <w:i/>
          <w:sz w:val="20"/>
        </w:rPr>
        <w:t>Anti‐Dumping</w:t>
      </w:r>
      <w:r>
        <w:rPr>
          <w:i/>
          <w:spacing w:val="-4"/>
          <w:sz w:val="20"/>
        </w:rPr>
        <w:t xml:space="preserve"> </w:t>
      </w:r>
      <w:r>
        <w:rPr>
          <w:i/>
          <w:sz w:val="20"/>
        </w:rPr>
        <w:t>and</w:t>
      </w:r>
      <w:r>
        <w:rPr>
          <w:i/>
          <w:spacing w:val="-5"/>
          <w:sz w:val="20"/>
        </w:rPr>
        <w:t xml:space="preserve"> </w:t>
      </w:r>
      <w:r>
        <w:rPr>
          <w:i/>
          <w:sz w:val="20"/>
        </w:rPr>
        <w:t>Countervailing</w:t>
      </w:r>
      <w:r>
        <w:rPr>
          <w:i/>
          <w:spacing w:val="-5"/>
          <w:sz w:val="20"/>
        </w:rPr>
        <w:t xml:space="preserve"> </w:t>
      </w:r>
      <w:r>
        <w:rPr>
          <w:i/>
          <w:sz w:val="20"/>
        </w:rPr>
        <w:t>Duty</w:t>
      </w:r>
      <w:r>
        <w:rPr>
          <w:i/>
          <w:spacing w:val="-4"/>
          <w:sz w:val="20"/>
        </w:rPr>
        <w:t xml:space="preserve"> </w:t>
      </w:r>
      <w:r>
        <w:rPr>
          <w:i/>
          <w:spacing w:val="-2"/>
          <w:sz w:val="20"/>
        </w:rPr>
        <w:t>Measures</w:t>
      </w:r>
      <w:r>
        <w:rPr>
          <w:i/>
          <w:sz w:val="20"/>
        </w:rPr>
        <w:tab/>
      </w:r>
      <w:r>
        <w:rPr>
          <w:sz w:val="20"/>
        </w:rPr>
        <w:t>Australia's</w:t>
      </w:r>
      <w:r>
        <w:rPr>
          <w:spacing w:val="-7"/>
          <w:sz w:val="20"/>
        </w:rPr>
        <w:t xml:space="preserve"> </w:t>
      </w:r>
      <w:r>
        <w:rPr>
          <w:sz w:val="20"/>
        </w:rPr>
        <w:t>First</w:t>
      </w:r>
      <w:r>
        <w:rPr>
          <w:spacing w:val="-2"/>
          <w:sz w:val="20"/>
        </w:rPr>
        <w:t xml:space="preserve"> </w:t>
      </w:r>
      <w:r>
        <w:rPr>
          <w:sz w:val="20"/>
        </w:rPr>
        <w:t>Written</w:t>
      </w:r>
      <w:r>
        <w:rPr>
          <w:spacing w:val="-2"/>
          <w:sz w:val="20"/>
        </w:rPr>
        <w:t xml:space="preserve"> Submission</w:t>
      </w:r>
    </w:p>
    <w:p w14:paraId="51DE82E4" w14:textId="77777777" w:rsidR="0010369C" w:rsidRDefault="008E43AE">
      <w:pPr>
        <w:tabs>
          <w:tab w:val="left" w:pos="8227"/>
        </w:tabs>
        <w:spacing w:before="1"/>
        <w:ind w:left="239"/>
        <w:rPr>
          <w:sz w:val="20"/>
        </w:rPr>
      </w:pPr>
      <w:r>
        <w:rPr>
          <w:i/>
          <w:sz w:val="20"/>
        </w:rPr>
        <w:t>on</w:t>
      </w:r>
      <w:r>
        <w:rPr>
          <w:i/>
          <w:spacing w:val="-1"/>
          <w:sz w:val="20"/>
        </w:rPr>
        <w:t xml:space="preserve"> </w:t>
      </w:r>
      <w:r>
        <w:rPr>
          <w:i/>
          <w:sz w:val="20"/>
        </w:rPr>
        <w:t>Wine</w:t>
      </w:r>
      <w:r>
        <w:rPr>
          <w:i/>
          <w:spacing w:val="-1"/>
          <w:sz w:val="20"/>
        </w:rPr>
        <w:t xml:space="preserve"> </w:t>
      </w:r>
      <w:r>
        <w:rPr>
          <w:i/>
          <w:sz w:val="20"/>
        </w:rPr>
        <w:t>from</w:t>
      </w:r>
      <w:r>
        <w:rPr>
          <w:i/>
          <w:spacing w:val="-3"/>
          <w:sz w:val="20"/>
        </w:rPr>
        <w:t xml:space="preserve"> </w:t>
      </w:r>
      <w:r>
        <w:rPr>
          <w:i/>
          <w:sz w:val="20"/>
        </w:rPr>
        <w:t>Australia</w:t>
      </w:r>
      <w:r>
        <w:rPr>
          <w:i/>
          <w:spacing w:val="-1"/>
          <w:sz w:val="20"/>
        </w:rPr>
        <w:t xml:space="preserve"> </w:t>
      </w:r>
      <w:r>
        <w:rPr>
          <w:spacing w:val="-2"/>
          <w:sz w:val="20"/>
        </w:rPr>
        <w:t>(DS602)</w:t>
      </w:r>
      <w:r>
        <w:rPr>
          <w:sz w:val="20"/>
        </w:rPr>
        <w:tab/>
        <w:t>29</w:t>
      </w:r>
      <w:r>
        <w:rPr>
          <w:spacing w:val="-1"/>
          <w:sz w:val="20"/>
        </w:rPr>
        <w:t xml:space="preserve"> </w:t>
      </w:r>
      <w:r>
        <w:rPr>
          <w:sz w:val="20"/>
        </w:rPr>
        <w:t>April</w:t>
      </w:r>
      <w:r>
        <w:rPr>
          <w:spacing w:val="-2"/>
          <w:sz w:val="20"/>
        </w:rPr>
        <w:t xml:space="preserve"> </w:t>
      </w:r>
      <w:r>
        <w:rPr>
          <w:spacing w:val="-4"/>
          <w:sz w:val="20"/>
        </w:rPr>
        <w:t>2022</w:t>
      </w:r>
    </w:p>
    <w:p w14:paraId="51DE82E5" w14:textId="77777777" w:rsidR="0010369C" w:rsidRDefault="008E43AE">
      <w:pPr>
        <w:spacing w:before="35"/>
        <w:ind w:left="1089"/>
        <w:rPr>
          <w:rFonts w:ascii="Symbol" w:hAnsi="Symbol"/>
          <w:sz w:val="24"/>
        </w:rPr>
      </w:pPr>
      <w:r>
        <w:pict w14:anchorId="51DE9FED">
          <v:rect id="docshape417" o:spid="_x0000_s1847" style="position:absolute;left:0;text-align:left;margin-left:155pt;margin-top:2.5pt;width:368.45pt;height:16.05pt;z-index:251760128;mso-position-horizontal-relative:page" fillcolor="black" stroked="f">
            <w10:wrap anchorx="page"/>
          </v:rect>
        </w:pict>
      </w:r>
      <w:r>
        <w:rPr>
          <w:rFonts w:ascii="Symbol" w:hAnsi="Symbol"/>
          <w:color w:val="5E5E5E"/>
          <w:w w:val="99"/>
          <w:sz w:val="24"/>
        </w:rPr>
        <w:t></w:t>
      </w:r>
    </w:p>
    <w:p w14:paraId="51DE82E6" w14:textId="77777777" w:rsidR="0010369C" w:rsidRDefault="0010369C">
      <w:pPr>
        <w:pStyle w:val="BodyText"/>
        <w:spacing w:before="8"/>
        <w:rPr>
          <w:rFonts w:ascii="Symbol" w:hAnsi="Symbol"/>
          <w:sz w:val="8"/>
        </w:rPr>
      </w:pPr>
    </w:p>
    <w:p w14:paraId="51DE82E7" w14:textId="77777777" w:rsidR="0010369C" w:rsidRDefault="008E43AE">
      <w:pPr>
        <w:spacing w:before="52"/>
        <w:ind w:left="3658" w:right="964"/>
        <w:jc w:val="center"/>
        <w:rPr>
          <w:sz w:val="24"/>
        </w:rPr>
      </w:pPr>
      <w:r>
        <w:pict w14:anchorId="51DE9FEE">
          <v:rect id="docshape418" o:spid="_x0000_s1846" style="position:absolute;left:0;text-align:left;margin-left:155pt;margin-top:2.7pt;width:214.8pt;height:16.05pt;z-index:251761152;mso-position-horizontal-relative:page" fillcolor="black" stroked="f">
            <w10:wrap anchorx="page"/>
          </v:rect>
        </w:pict>
      </w:r>
      <w:r>
        <w:rPr>
          <w:spacing w:val="-5"/>
          <w:sz w:val="24"/>
        </w:rPr>
        <w:t>]]</w:t>
      </w:r>
    </w:p>
    <w:p w14:paraId="51DE82E8" w14:textId="77777777" w:rsidR="0010369C" w:rsidRDefault="0010369C">
      <w:pPr>
        <w:pStyle w:val="BodyText"/>
        <w:spacing w:before="7"/>
        <w:rPr>
          <w:sz w:val="17"/>
        </w:rPr>
      </w:pPr>
    </w:p>
    <w:p w14:paraId="51DE82E9" w14:textId="77777777" w:rsidR="0010369C" w:rsidRDefault="008E43AE">
      <w:pPr>
        <w:spacing w:before="51"/>
        <w:ind w:left="1089"/>
        <w:rPr>
          <w:sz w:val="24"/>
        </w:rPr>
      </w:pPr>
      <w:r>
        <w:rPr>
          <w:noProof/>
        </w:rPr>
        <w:drawing>
          <wp:anchor distT="0" distB="0" distL="0" distR="0" simplePos="0" relativeHeight="250634752" behindDoc="0" locked="0" layoutInCell="1" allowOverlap="1" wp14:anchorId="51DE9FEF" wp14:editId="51DE9FF0">
            <wp:simplePos x="0" y="0"/>
            <wp:positionH relativeFrom="page">
              <wp:posOffset>905255</wp:posOffset>
            </wp:positionH>
            <wp:positionV relativeFrom="paragraph">
              <wp:posOffset>80552</wp:posOffset>
            </wp:positionV>
            <wp:extent cx="259079" cy="100753"/>
            <wp:effectExtent l="0" t="0" r="0" b="0"/>
            <wp:wrapNone/>
            <wp:docPr id="441" name="image2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 name="image229.png"/>
                    <pic:cNvPicPr/>
                  </pic:nvPicPr>
                  <pic:blipFill>
                    <a:blip r:embed="rId331" cstate="print"/>
                    <a:stretch>
                      <a:fillRect/>
                    </a:stretch>
                  </pic:blipFill>
                  <pic:spPr>
                    <a:xfrm>
                      <a:off x="0" y="0"/>
                      <a:ext cx="259079" cy="100753"/>
                    </a:xfrm>
                    <a:prstGeom prst="rect">
                      <a:avLst/>
                    </a:prstGeom>
                  </pic:spPr>
                </pic:pic>
              </a:graphicData>
            </a:graphic>
          </wp:anchor>
        </w:drawing>
      </w:r>
      <w:r>
        <w:pict w14:anchorId="51DE9FF1">
          <v:rect id="docshape419" o:spid="_x0000_s1845" style="position:absolute;left:0;text-align:left;margin-left:119.8pt;margin-top:2.65pt;width:403.7pt;height:16.05pt;z-index:251762176;mso-position-horizontal-relative:page;mso-position-vertical-relative:text" fillcolor="black" stroked="f">
            <w10:wrap anchorx="page"/>
          </v:rect>
        </w:pict>
      </w:r>
      <w:r>
        <w:rPr>
          <w:spacing w:val="-5"/>
          <w:sz w:val="24"/>
        </w:rPr>
        <w:t>[[</w:t>
      </w:r>
    </w:p>
    <w:p w14:paraId="51DE82EA" w14:textId="77777777" w:rsidR="0010369C" w:rsidRDefault="008E43AE">
      <w:pPr>
        <w:pStyle w:val="BodyText"/>
        <w:spacing w:before="3"/>
        <w:rPr>
          <w:sz w:val="10"/>
        </w:rPr>
      </w:pPr>
      <w:r>
        <w:pict w14:anchorId="51DE9FF2">
          <v:rect id="docshape420" o:spid="_x0000_s1844" style="position:absolute;margin-left:69.9pt;margin-top:7.45pt;width:453.5pt;height:16.05pt;z-index:-251087360;mso-wrap-distance-left:0;mso-wrap-distance-right:0;mso-position-horizontal-relative:page" fillcolor="black" stroked="f">
            <w10:wrap type="topAndBottom" anchorx="page"/>
          </v:rect>
        </w:pict>
      </w:r>
      <w:r>
        <w:pict w14:anchorId="51DE9FF3">
          <v:rect id="docshape421" o:spid="_x0000_s1843" style="position:absolute;margin-left:69.9pt;margin-top:29.4pt;width:453.5pt;height:16.05pt;z-index:-251086336;mso-wrap-distance-left:0;mso-wrap-distance-right:0;mso-position-horizontal-relative:page" fillcolor="black" stroked="f">
            <w10:wrap type="topAndBottom" anchorx="page"/>
          </v:rect>
        </w:pict>
      </w:r>
      <w:r>
        <w:pict w14:anchorId="51DE9FF4">
          <v:rect id="docshape422" o:spid="_x0000_s1842" style="position:absolute;margin-left:69.9pt;margin-top:51.4pt;width:453.45pt;height:16.05pt;z-index:-251085312;mso-wrap-distance-left:0;mso-wrap-distance-right:0;mso-position-horizontal-relative:page" fillcolor="black" stroked="f">
            <w10:wrap type="topAndBottom" anchorx="page"/>
          </v:rect>
        </w:pict>
      </w:r>
      <w:r>
        <w:pict w14:anchorId="51DE9FF5">
          <v:shape id="docshape423" o:spid="_x0000_s1841" style="position:absolute;margin-left:69.9pt;margin-top:73.4pt;width:453.45pt;height:16.1pt;z-index:-251084288;mso-wrap-distance-left:0;mso-wrap-distance-right:0;mso-position-horizontal-relative:page" coordorigin="1398,1468" coordsize="9069,322" o:spt="100" adj="0,,0" path="m2446,1468r-1048,l1398,1789r1048,l2446,1468xm2689,1470r-242,l2447,1684r242,l2689,1470xm10466,1468r-7715,l2751,1789r7715,l10466,1468xe" fillcolor="black" stroked="f">
            <v:stroke joinstyle="round"/>
            <v:formulas/>
            <v:path arrowok="t" o:connecttype="segments"/>
            <w10:wrap type="topAndBottom" anchorx="page"/>
          </v:shape>
        </w:pict>
      </w:r>
    </w:p>
    <w:p w14:paraId="51DE82EB" w14:textId="77777777" w:rsidR="0010369C" w:rsidRDefault="0010369C">
      <w:pPr>
        <w:pStyle w:val="BodyText"/>
        <w:spacing w:before="8"/>
        <w:rPr>
          <w:sz w:val="7"/>
        </w:rPr>
      </w:pPr>
    </w:p>
    <w:p w14:paraId="51DE82EC" w14:textId="77777777" w:rsidR="0010369C" w:rsidRDefault="0010369C">
      <w:pPr>
        <w:pStyle w:val="BodyText"/>
        <w:spacing w:before="8"/>
        <w:rPr>
          <w:sz w:val="7"/>
        </w:rPr>
      </w:pPr>
    </w:p>
    <w:p w14:paraId="51DE82ED" w14:textId="77777777" w:rsidR="0010369C" w:rsidRDefault="0010369C">
      <w:pPr>
        <w:pStyle w:val="BodyText"/>
        <w:spacing w:before="9"/>
        <w:rPr>
          <w:sz w:val="7"/>
        </w:rPr>
      </w:pPr>
    </w:p>
    <w:p w14:paraId="51DE82EE" w14:textId="77777777" w:rsidR="0010369C" w:rsidRDefault="008E43AE">
      <w:pPr>
        <w:spacing w:before="116"/>
        <w:ind w:right="1357"/>
        <w:jc w:val="right"/>
        <w:rPr>
          <w:sz w:val="24"/>
        </w:rPr>
      </w:pPr>
      <w:r>
        <w:rPr>
          <w:spacing w:val="-5"/>
          <w:sz w:val="24"/>
        </w:rPr>
        <w:t>]]</w:t>
      </w:r>
    </w:p>
    <w:p w14:paraId="51DE82EF" w14:textId="77777777" w:rsidR="0010369C" w:rsidRDefault="0010369C">
      <w:pPr>
        <w:pStyle w:val="BodyText"/>
        <w:spacing w:before="9"/>
        <w:rPr>
          <w:sz w:val="20"/>
        </w:rPr>
      </w:pPr>
    </w:p>
    <w:p w14:paraId="51DE82F0" w14:textId="77777777" w:rsidR="0010369C" w:rsidRDefault="008E43AE">
      <w:pPr>
        <w:spacing w:before="52"/>
        <w:ind w:left="1089"/>
        <w:rPr>
          <w:sz w:val="24"/>
        </w:rPr>
      </w:pPr>
      <w:r>
        <w:rPr>
          <w:noProof/>
        </w:rPr>
        <w:drawing>
          <wp:anchor distT="0" distB="0" distL="0" distR="0" simplePos="0" relativeHeight="250635776" behindDoc="0" locked="0" layoutInCell="1" allowOverlap="1" wp14:anchorId="51DE9FF6" wp14:editId="51DE9FF7">
            <wp:simplePos x="0" y="0"/>
            <wp:positionH relativeFrom="page">
              <wp:posOffset>905255</wp:posOffset>
            </wp:positionH>
            <wp:positionV relativeFrom="paragraph">
              <wp:posOffset>76785</wp:posOffset>
            </wp:positionV>
            <wp:extent cx="259079" cy="106679"/>
            <wp:effectExtent l="0" t="0" r="0" b="0"/>
            <wp:wrapNone/>
            <wp:docPr id="443" name="image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 name="image230.png"/>
                    <pic:cNvPicPr/>
                  </pic:nvPicPr>
                  <pic:blipFill>
                    <a:blip r:embed="rId332" cstate="print"/>
                    <a:stretch>
                      <a:fillRect/>
                    </a:stretch>
                  </pic:blipFill>
                  <pic:spPr>
                    <a:xfrm>
                      <a:off x="0" y="0"/>
                      <a:ext cx="259079" cy="106679"/>
                    </a:xfrm>
                    <a:prstGeom prst="rect">
                      <a:avLst/>
                    </a:prstGeom>
                  </pic:spPr>
                </pic:pic>
              </a:graphicData>
            </a:graphic>
          </wp:anchor>
        </w:drawing>
      </w:r>
      <w:r>
        <w:pict w14:anchorId="51DE9FF8">
          <v:rect id="docshape424" o:spid="_x0000_s1840" style="position:absolute;left:0;text-align:left;margin-left:69.9pt;margin-top:-27.15pt;width:409pt;height:16.05pt;z-index:251763200;mso-position-horizontal-relative:page;mso-position-vertical-relative:text" fillcolor="black" stroked="f">
            <w10:wrap anchorx="page"/>
          </v:rect>
        </w:pict>
      </w:r>
      <w:r>
        <w:pict w14:anchorId="51DE9FF9">
          <v:rect id="docshape425" o:spid="_x0000_s1839" style="position:absolute;left:0;text-align:left;margin-left:119.8pt;margin-top:2.7pt;width:403.6pt;height:16.05pt;z-index:251764224;mso-position-horizontal-relative:page;mso-position-vertical-relative:text" fillcolor="black" stroked="f">
            <w10:wrap anchorx="page"/>
          </v:rect>
        </w:pict>
      </w:r>
      <w:r>
        <w:rPr>
          <w:spacing w:val="-5"/>
          <w:sz w:val="24"/>
        </w:rPr>
        <w:t>[[</w:t>
      </w:r>
    </w:p>
    <w:p w14:paraId="51DE82F1" w14:textId="77777777" w:rsidR="0010369C" w:rsidRDefault="008E43AE">
      <w:pPr>
        <w:pStyle w:val="BodyText"/>
        <w:spacing w:before="3"/>
        <w:rPr>
          <w:sz w:val="10"/>
        </w:rPr>
      </w:pPr>
      <w:r>
        <w:pict w14:anchorId="51DE9FFA">
          <v:rect id="docshape426" o:spid="_x0000_s1838" style="position:absolute;margin-left:69.9pt;margin-top:7.5pt;width:453.45pt;height:16.05pt;z-index:-251083264;mso-wrap-distance-left:0;mso-wrap-distance-right:0;mso-position-horizontal-relative:page" fillcolor="black" stroked="f">
            <w10:wrap type="topAndBottom" anchorx="page"/>
          </v:rect>
        </w:pict>
      </w:r>
      <w:r>
        <w:pict w14:anchorId="51DE9FFB">
          <v:rect id="docshape427" o:spid="_x0000_s1837" style="position:absolute;margin-left:69.9pt;margin-top:29.45pt;width:453.45pt;height:16.05pt;z-index:-251082240;mso-wrap-distance-left:0;mso-wrap-distance-right:0;mso-position-horizontal-relative:page" fillcolor="black" stroked="f">
            <w10:wrap type="topAndBottom" anchorx="page"/>
          </v:rect>
        </w:pict>
      </w:r>
      <w:r>
        <w:pict w14:anchorId="51DE9FFC">
          <v:rect id="docshape428" o:spid="_x0000_s1836" style="position:absolute;margin-left:69.9pt;margin-top:51.4pt;width:453.4pt;height:16.05pt;z-index:-251081216;mso-wrap-distance-left:0;mso-wrap-distance-right:0;mso-position-horizontal-relative:page" fillcolor="black" stroked="f">
            <w10:wrap type="topAndBottom" anchorx="page"/>
          </v:rect>
        </w:pict>
      </w:r>
      <w:r>
        <w:pict w14:anchorId="51DE9FFD">
          <v:rect id="docshape429" o:spid="_x0000_s1835" style="position:absolute;margin-left:69.9pt;margin-top:73.4pt;width:453.5pt;height:16.05pt;z-index:-251080192;mso-wrap-distance-left:0;mso-wrap-distance-right:0;mso-position-horizontal-relative:page" fillcolor="black" stroked="f">
            <w10:wrap type="topAndBottom" anchorx="page"/>
          </v:rect>
        </w:pict>
      </w:r>
      <w:r>
        <w:pict w14:anchorId="51DE9FFE">
          <v:shape id="docshape430" o:spid="_x0000_s1834" style="position:absolute;margin-left:69.9pt;margin-top:95.35pt;width:453.45pt;height:16.1pt;z-index:-251079168;mso-wrap-distance-left:0;mso-wrap-distance-right:0;mso-position-horizontal-relative:page" coordorigin="1398,1907" coordsize="9069,322" o:spt="100" adj="0,,0" path="m4519,1909r-242,l4277,1907r-2879,l1398,2228r2879,l4277,2123r242,l4519,1909xm6358,1907r-1794,l4564,2228r1794,l6358,1907xm6600,1909r-242,l6358,2123r242,l6600,1909xm10467,1907r-3822,l6645,2228r3822,l10467,1907xe" fillcolor="black" stroked="f">
            <v:stroke joinstyle="round"/>
            <v:formulas/>
            <v:path arrowok="t" o:connecttype="segments"/>
            <w10:wrap type="topAndBottom" anchorx="page"/>
          </v:shape>
        </w:pict>
      </w:r>
      <w:r>
        <w:pict w14:anchorId="51DE9FFF">
          <v:shape id="docshape431" o:spid="_x0000_s1833" style="position:absolute;margin-left:69.9pt;margin-top:117.35pt;width:453.45pt;height:16.1pt;z-index:-251078144;mso-wrap-distance-left:0;mso-wrap-distance-right:0;mso-position-horizontal-relative:page" coordorigin="1398,2347" coordsize="9069,322" o:spt="100" adj="0,,0" path="m9490,2347r-8092,l1398,2669r8092,l9490,2347xm9733,2349r-242,l9491,2563r242,l9733,2349xm10467,2347r-677,l9790,2669r677,l10467,2347xe" fillcolor="black" stroked="f">
            <v:stroke joinstyle="round"/>
            <v:formulas/>
            <v:path arrowok="t" o:connecttype="segments"/>
            <w10:wrap type="topAndBottom" anchorx="page"/>
          </v:shape>
        </w:pict>
      </w:r>
      <w:r>
        <w:pict w14:anchorId="51DEA000">
          <v:rect id="docshape432" o:spid="_x0000_s1832" style="position:absolute;margin-left:69.9pt;margin-top:139.3pt;width:453.5pt;height:16.05pt;z-index:-251077120;mso-wrap-distance-left:0;mso-wrap-distance-right:0;mso-position-horizontal-relative:page" fillcolor="black" stroked="f">
            <w10:wrap type="topAndBottom" anchorx="page"/>
          </v:rect>
        </w:pict>
      </w:r>
    </w:p>
    <w:p w14:paraId="51DE82F2" w14:textId="77777777" w:rsidR="0010369C" w:rsidRDefault="0010369C">
      <w:pPr>
        <w:pStyle w:val="BodyText"/>
        <w:spacing w:before="8"/>
        <w:rPr>
          <w:sz w:val="7"/>
        </w:rPr>
      </w:pPr>
    </w:p>
    <w:p w14:paraId="51DE82F3" w14:textId="77777777" w:rsidR="0010369C" w:rsidRDefault="0010369C">
      <w:pPr>
        <w:pStyle w:val="BodyText"/>
        <w:spacing w:before="8"/>
        <w:rPr>
          <w:sz w:val="7"/>
        </w:rPr>
      </w:pPr>
    </w:p>
    <w:p w14:paraId="51DE82F4" w14:textId="77777777" w:rsidR="0010369C" w:rsidRDefault="0010369C">
      <w:pPr>
        <w:pStyle w:val="BodyText"/>
        <w:spacing w:before="8"/>
        <w:rPr>
          <w:sz w:val="7"/>
        </w:rPr>
      </w:pPr>
    </w:p>
    <w:p w14:paraId="51DE82F5" w14:textId="77777777" w:rsidR="0010369C" w:rsidRDefault="0010369C">
      <w:pPr>
        <w:pStyle w:val="BodyText"/>
        <w:spacing w:before="8"/>
        <w:rPr>
          <w:sz w:val="7"/>
        </w:rPr>
      </w:pPr>
    </w:p>
    <w:p w14:paraId="51DE82F6" w14:textId="77777777" w:rsidR="0010369C" w:rsidRDefault="0010369C">
      <w:pPr>
        <w:pStyle w:val="BodyText"/>
        <w:spacing w:before="9"/>
        <w:rPr>
          <w:sz w:val="7"/>
        </w:rPr>
      </w:pPr>
    </w:p>
    <w:p w14:paraId="51DE82F7" w14:textId="77777777" w:rsidR="0010369C" w:rsidRDefault="0010369C">
      <w:pPr>
        <w:pStyle w:val="BodyText"/>
        <w:spacing w:before="8"/>
        <w:rPr>
          <w:sz w:val="7"/>
        </w:rPr>
      </w:pPr>
    </w:p>
    <w:p w14:paraId="51DE82F8" w14:textId="77777777" w:rsidR="0010369C" w:rsidRDefault="008E43AE">
      <w:pPr>
        <w:spacing w:before="116"/>
        <w:ind w:left="552"/>
        <w:rPr>
          <w:sz w:val="24"/>
        </w:rPr>
      </w:pPr>
      <w:r>
        <w:rPr>
          <w:color w:val="5E5E5E"/>
          <w:spacing w:val="-5"/>
          <w:sz w:val="24"/>
        </w:rPr>
        <w:t>.</w:t>
      </w:r>
      <w:r>
        <w:rPr>
          <w:spacing w:val="-5"/>
          <w:sz w:val="24"/>
        </w:rPr>
        <w:t>]]</w:t>
      </w:r>
    </w:p>
    <w:p w14:paraId="51DE82F9" w14:textId="77777777" w:rsidR="0010369C" w:rsidRDefault="0010369C">
      <w:pPr>
        <w:pStyle w:val="BodyText"/>
        <w:spacing w:before="3"/>
        <w:rPr>
          <w:sz w:val="25"/>
        </w:rPr>
      </w:pPr>
    </w:p>
    <w:tbl>
      <w:tblPr>
        <w:tblW w:w="0" w:type="auto"/>
        <w:tblInd w:w="127" w:type="dxa"/>
        <w:tblLayout w:type="fixed"/>
        <w:tblCellMar>
          <w:left w:w="0" w:type="dxa"/>
          <w:right w:w="0" w:type="dxa"/>
        </w:tblCellMar>
        <w:tblLook w:val="01E0" w:firstRow="1" w:lastRow="1" w:firstColumn="1" w:lastColumn="1" w:noHBand="0" w:noVBand="0"/>
      </w:tblPr>
      <w:tblGrid>
        <w:gridCol w:w="1109"/>
        <w:gridCol w:w="6032"/>
        <w:gridCol w:w="2086"/>
      </w:tblGrid>
      <w:tr w:rsidR="0010369C" w14:paraId="51DE82FC" w14:textId="77777777">
        <w:trPr>
          <w:trHeight w:val="320"/>
        </w:trPr>
        <w:tc>
          <w:tcPr>
            <w:tcW w:w="1109" w:type="dxa"/>
            <w:tcBorders>
              <w:bottom w:val="single" w:sz="48" w:space="0" w:color="FFFFFF"/>
            </w:tcBorders>
          </w:tcPr>
          <w:p w14:paraId="51DE82FA" w14:textId="77777777" w:rsidR="0010369C" w:rsidRDefault="008E43AE">
            <w:pPr>
              <w:pStyle w:val="TableParagraph"/>
              <w:spacing w:line="291" w:lineRule="exact"/>
              <w:ind w:right="-15"/>
              <w:jc w:val="right"/>
              <w:rPr>
                <w:sz w:val="24"/>
              </w:rPr>
            </w:pPr>
            <w:r>
              <w:rPr>
                <w:spacing w:val="-5"/>
                <w:sz w:val="24"/>
              </w:rPr>
              <w:t>[[</w:t>
            </w:r>
          </w:p>
        </w:tc>
        <w:tc>
          <w:tcPr>
            <w:tcW w:w="8118" w:type="dxa"/>
            <w:gridSpan w:val="2"/>
            <w:tcBorders>
              <w:bottom w:val="single" w:sz="48" w:space="0" w:color="FFFFFF"/>
            </w:tcBorders>
            <w:shd w:val="clear" w:color="auto" w:fill="000000"/>
          </w:tcPr>
          <w:p w14:paraId="51DE82FB" w14:textId="77777777" w:rsidR="0010369C" w:rsidRDefault="0010369C">
            <w:pPr>
              <w:pStyle w:val="TableParagraph"/>
              <w:rPr>
                <w:rFonts w:ascii="Times New Roman"/>
                <w:sz w:val="18"/>
              </w:rPr>
            </w:pPr>
          </w:p>
        </w:tc>
      </w:tr>
      <w:tr w:rsidR="0010369C" w14:paraId="51DE82FE" w14:textId="77777777">
        <w:trPr>
          <w:trHeight w:val="319"/>
        </w:trPr>
        <w:tc>
          <w:tcPr>
            <w:tcW w:w="9227" w:type="dxa"/>
            <w:gridSpan w:val="3"/>
            <w:tcBorders>
              <w:top w:val="single" w:sz="48" w:space="0" w:color="FFFFFF"/>
              <w:bottom w:val="single" w:sz="48" w:space="0" w:color="FFFFFF"/>
            </w:tcBorders>
            <w:shd w:val="clear" w:color="auto" w:fill="000000"/>
          </w:tcPr>
          <w:p w14:paraId="51DE82FD" w14:textId="77777777" w:rsidR="0010369C" w:rsidRDefault="0010369C">
            <w:pPr>
              <w:pStyle w:val="TableParagraph"/>
              <w:rPr>
                <w:rFonts w:ascii="Times New Roman"/>
                <w:sz w:val="18"/>
              </w:rPr>
            </w:pPr>
          </w:p>
        </w:tc>
      </w:tr>
      <w:tr w:rsidR="0010369C" w14:paraId="51DE8301" w14:textId="77777777">
        <w:trPr>
          <w:trHeight w:val="319"/>
        </w:trPr>
        <w:tc>
          <w:tcPr>
            <w:tcW w:w="7141" w:type="dxa"/>
            <w:gridSpan w:val="2"/>
            <w:tcBorders>
              <w:top w:val="single" w:sz="48" w:space="0" w:color="FFFFFF"/>
              <w:bottom w:val="single" w:sz="48" w:space="0" w:color="FFFFFF"/>
              <w:right w:val="single" w:sz="24" w:space="0" w:color="FFFFFF"/>
            </w:tcBorders>
            <w:shd w:val="clear" w:color="auto" w:fill="000000"/>
          </w:tcPr>
          <w:p w14:paraId="51DE82FF" w14:textId="77777777" w:rsidR="0010369C" w:rsidRDefault="0010369C">
            <w:pPr>
              <w:pStyle w:val="TableParagraph"/>
              <w:rPr>
                <w:rFonts w:ascii="Times New Roman"/>
                <w:sz w:val="18"/>
              </w:rPr>
            </w:pPr>
          </w:p>
        </w:tc>
        <w:tc>
          <w:tcPr>
            <w:tcW w:w="2086" w:type="dxa"/>
            <w:tcBorders>
              <w:top w:val="single" w:sz="48" w:space="0" w:color="FFFFFF"/>
              <w:left w:val="single" w:sz="24" w:space="0" w:color="FFFFFF"/>
              <w:bottom w:val="single" w:sz="48" w:space="0" w:color="FFFFFF"/>
            </w:tcBorders>
            <w:shd w:val="clear" w:color="auto" w:fill="000000"/>
          </w:tcPr>
          <w:p w14:paraId="51DE8300" w14:textId="77777777" w:rsidR="0010369C" w:rsidRDefault="0010369C">
            <w:pPr>
              <w:pStyle w:val="TableParagraph"/>
              <w:rPr>
                <w:rFonts w:ascii="Times New Roman"/>
                <w:sz w:val="18"/>
              </w:rPr>
            </w:pPr>
          </w:p>
        </w:tc>
      </w:tr>
      <w:tr w:rsidR="0010369C" w14:paraId="51DE8303" w14:textId="77777777">
        <w:trPr>
          <w:trHeight w:val="319"/>
        </w:trPr>
        <w:tc>
          <w:tcPr>
            <w:tcW w:w="9227" w:type="dxa"/>
            <w:gridSpan w:val="3"/>
            <w:tcBorders>
              <w:top w:val="single" w:sz="48" w:space="0" w:color="FFFFFF"/>
              <w:bottom w:val="single" w:sz="48" w:space="0" w:color="FFFFFF"/>
            </w:tcBorders>
            <w:shd w:val="clear" w:color="auto" w:fill="000000"/>
          </w:tcPr>
          <w:p w14:paraId="51DE8302" w14:textId="77777777" w:rsidR="0010369C" w:rsidRDefault="0010369C">
            <w:pPr>
              <w:pStyle w:val="TableParagraph"/>
              <w:rPr>
                <w:rFonts w:ascii="Times New Roman"/>
                <w:sz w:val="18"/>
              </w:rPr>
            </w:pPr>
          </w:p>
        </w:tc>
      </w:tr>
      <w:tr w:rsidR="0010369C" w14:paraId="51DE8305" w14:textId="77777777">
        <w:trPr>
          <w:trHeight w:val="319"/>
        </w:trPr>
        <w:tc>
          <w:tcPr>
            <w:tcW w:w="9227" w:type="dxa"/>
            <w:gridSpan w:val="3"/>
            <w:tcBorders>
              <w:top w:val="single" w:sz="48" w:space="0" w:color="FFFFFF"/>
              <w:bottom w:val="single" w:sz="48" w:space="0" w:color="FFFFFF"/>
            </w:tcBorders>
            <w:shd w:val="clear" w:color="auto" w:fill="000000"/>
          </w:tcPr>
          <w:p w14:paraId="51DE8304" w14:textId="77777777" w:rsidR="0010369C" w:rsidRDefault="0010369C">
            <w:pPr>
              <w:pStyle w:val="TableParagraph"/>
              <w:rPr>
                <w:rFonts w:ascii="Times New Roman"/>
                <w:sz w:val="18"/>
              </w:rPr>
            </w:pPr>
          </w:p>
        </w:tc>
      </w:tr>
      <w:tr w:rsidR="0010369C" w14:paraId="51DE8307" w14:textId="77777777">
        <w:trPr>
          <w:trHeight w:val="319"/>
        </w:trPr>
        <w:tc>
          <w:tcPr>
            <w:tcW w:w="9227" w:type="dxa"/>
            <w:gridSpan w:val="3"/>
            <w:tcBorders>
              <w:top w:val="single" w:sz="48" w:space="0" w:color="FFFFFF"/>
              <w:bottom w:val="single" w:sz="48" w:space="0" w:color="FFFFFF"/>
            </w:tcBorders>
            <w:shd w:val="clear" w:color="auto" w:fill="000000"/>
          </w:tcPr>
          <w:p w14:paraId="51DE8306" w14:textId="77777777" w:rsidR="0010369C" w:rsidRDefault="0010369C">
            <w:pPr>
              <w:pStyle w:val="TableParagraph"/>
              <w:rPr>
                <w:rFonts w:ascii="Times New Roman"/>
                <w:sz w:val="18"/>
              </w:rPr>
            </w:pPr>
          </w:p>
        </w:tc>
      </w:tr>
      <w:tr w:rsidR="0010369C" w14:paraId="51DE8309" w14:textId="77777777">
        <w:trPr>
          <w:trHeight w:val="320"/>
        </w:trPr>
        <w:tc>
          <w:tcPr>
            <w:tcW w:w="9227" w:type="dxa"/>
            <w:gridSpan w:val="3"/>
            <w:tcBorders>
              <w:top w:val="single" w:sz="48" w:space="0" w:color="FFFFFF"/>
            </w:tcBorders>
            <w:shd w:val="clear" w:color="auto" w:fill="000000"/>
          </w:tcPr>
          <w:p w14:paraId="51DE8308" w14:textId="77777777" w:rsidR="0010369C" w:rsidRDefault="0010369C">
            <w:pPr>
              <w:pStyle w:val="TableParagraph"/>
              <w:rPr>
                <w:rFonts w:ascii="Times New Roman"/>
                <w:sz w:val="18"/>
              </w:rPr>
            </w:pPr>
          </w:p>
        </w:tc>
      </w:tr>
    </w:tbl>
    <w:p w14:paraId="51DE830A" w14:textId="77777777" w:rsidR="0010369C" w:rsidRDefault="0010369C">
      <w:pPr>
        <w:pStyle w:val="BodyText"/>
        <w:rPr>
          <w:sz w:val="20"/>
        </w:rPr>
      </w:pPr>
    </w:p>
    <w:p w14:paraId="51DE830B" w14:textId="77777777" w:rsidR="0010369C" w:rsidRDefault="0010369C">
      <w:pPr>
        <w:pStyle w:val="BodyText"/>
        <w:rPr>
          <w:sz w:val="20"/>
        </w:rPr>
      </w:pPr>
    </w:p>
    <w:p w14:paraId="51DE830C" w14:textId="77777777" w:rsidR="0010369C" w:rsidRDefault="0010369C">
      <w:pPr>
        <w:pStyle w:val="BodyText"/>
        <w:rPr>
          <w:sz w:val="20"/>
        </w:rPr>
      </w:pPr>
    </w:p>
    <w:p w14:paraId="51DE830D" w14:textId="77777777" w:rsidR="0010369C" w:rsidRDefault="008E43AE">
      <w:pPr>
        <w:pStyle w:val="BodyText"/>
        <w:spacing w:before="6"/>
        <w:rPr>
          <w:sz w:val="21"/>
        </w:rPr>
      </w:pPr>
      <w:r>
        <w:pict w14:anchorId="51DEA001">
          <v:rect id="docshape433" o:spid="_x0000_s1831" style="position:absolute;margin-left:70.9pt;margin-top:14.3pt;width:2in;height:.8pt;z-index:-251076096;mso-wrap-distance-left:0;mso-wrap-distance-right:0;mso-position-horizontal-relative:page" fillcolor="black" stroked="f">
            <w10:wrap type="topAndBottom" anchorx="page"/>
          </v:rect>
        </w:pict>
      </w:r>
      <w:r>
        <w:pict w14:anchorId="51DEA002">
          <v:group id="docshapegroup434" o:spid="_x0000_s1828" style="position:absolute;margin-left:65pt;margin-top:20.85pt;width:461.4pt;height:23.05pt;z-index:-251075072;mso-wrap-distance-left:0;mso-wrap-distance-right:0;mso-position-horizontal-relative:page" coordorigin="1300,417" coordsize="9228,461">
            <v:shape id="docshape435" o:spid="_x0000_s1830" style="position:absolute;left:1398;top:417;width:9071;height:461" coordorigin="1398,417" coordsize="9071,461" path="m10469,417r-8716,l1753,637r-355,l1398,878r7889,l9287,659r1182,l10469,417xe" fillcolor="black" stroked="f">
              <v:path arrowok="t"/>
            </v:shape>
            <v:shape id="docshape436" o:spid="_x0000_s1829" type="#_x0000_t202" style="position:absolute;left:1299;top:417;width:9228;height:461" filled="f" stroked="f">
              <v:textbox inset="0,0,0,0">
                <w:txbxContent>
                  <w:p w14:paraId="51DEAC4B" w14:textId="77777777" w:rsidR="0010369C" w:rsidRDefault="008E43AE">
                    <w:pPr>
                      <w:spacing w:before="34" w:line="146" w:lineRule="auto"/>
                      <w:ind w:left="118"/>
                      <w:rPr>
                        <w:sz w:val="18"/>
                      </w:rPr>
                    </w:pPr>
                    <w:r>
                      <w:rPr>
                        <w:color w:val="5E5E5E"/>
                        <w:sz w:val="12"/>
                      </w:rPr>
                      <w:t>244</w:t>
                    </w:r>
                    <w:r>
                      <w:rPr>
                        <w:color w:val="5E5E5E"/>
                        <w:spacing w:val="31"/>
                        <w:sz w:val="12"/>
                      </w:rPr>
                      <w:t xml:space="preserve"> </w:t>
                    </w:r>
                    <w:r>
                      <w:rPr>
                        <w:color w:val="5E5E5E"/>
                        <w:spacing w:val="-10"/>
                        <w:position w:val="-5"/>
                        <w:sz w:val="18"/>
                      </w:rPr>
                      <w:t>[</w:t>
                    </w:r>
                  </w:p>
                  <w:p w14:paraId="51DEAC4C" w14:textId="77777777" w:rsidR="0010369C" w:rsidRDefault="008E43AE">
                    <w:pPr>
                      <w:spacing w:before="42"/>
                      <w:ind w:left="8052"/>
                      <w:rPr>
                        <w:sz w:val="18"/>
                      </w:rPr>
                    </w:pPr>
                    <w:r>
                      <w:rPr>
                        <w:color w:val="5E5E5E"/>
                        <w:sz w:val="18"/>
                      </w:rPr>
                      <w:t>(Exhibit</w:t>
                    </w:r>
                    <w:r>
                      <w:rPr>
                        <w:color w:val="5E5E5E"/>
                        <w:spacing w:val="-9"/>
                        <w:sz w:val="18"/>
                      </w:rPr>
                      <w:t xml:space="preserve"> </w:t>
                    </w:r>
                    <w:r>
                      <w:rPr>
                        <w:color w:val="5E5E5E"/>
                        <w:spacing w:val="-2"/>
                        <w:sz w:val="18"/>
                      </w:rPr>
                      <w:t>AUS‐24</w:t>
                    </w:r>
                  </w:p>
                </w:txbxContent>
              </v:textbox>
            </v:shape>
            <w10:wrap type="topAndBottom" anchorx="page"/>
          </v:group>
        </w:pict>
      </w:r>
    </w:p>
    <w:p w14:paraId="51DE830E" w14:textId="77777777" w:rsidR="0010369C" w:rsidRDefault="0010369C">
      <w:pPr>
        <w:pStyle w:val="BodyText"/>
        <w:spacing w:before="6"/>
        <w:rPr>
          <w:sz w:val="7"/>
        </w:rPr>
      </w:pPr>
    </w:p>
    <w:p w14:paraId="51DE830F" w14:textId="77777777" w:rsidR="0010369C" w:rsidRDefault="008E43AE">
      <w:pPr>
        <w:ind w:left="238"/>
        <w:rPr>
          <w:sz w:val="18"/>
        </w:rPr>
      </w:pPr>
      <w:r>
        <w:rPr>
          <w:color w:val="5E5E5E"/>
          <w:spacing w:val="-2"/>
          <w:sz w:val="18"/>
        </w:rPr>
        <w:t>(BCI)).]]</w:t>
      </w:r>
    </w:p>
    <w:p w14:paraId="51DE8310" w14:textId="77777777" w:rsidR="0010369C" w:rsidRDefault="008E43AE">
      <w:pPr>
        <w:tabs>
          <w:tab w:val="left" w:pos="6680"/>
          <w:tab w:val="left" w:pos="8706"/>
        </w:tabs>
        <w:ind w:left="238"/>
        <w:rPr>
          <w:sz w:val="18"/>
        </w:rPr>
      </w:pPr>
      <w:r>
        <w:rPr>
          <w:noProof/>
        </w:rPr>
        <w:drawing>
          <wp:anchor distT="0" distB="0" distL="0" distR="0" simplePos="0" relativeHeight="250893824" behindDoc="1" locked="0" layoutInCell="1" allowOverlap="1" wp14:anchorId="51DEA003" wp14:editId="51DEA004">
            <wp:simplePos x="0" y="0"/>
            <wp:positionH relativeFrom="page">
              <wp:posOffset>905255</wp:posOffset>
            </wp:positionH>
            <wp:positionV relativeFrom="paragraph">
              <wp:posOffset>-2974216</wp:posOffset>
            </wp:positionV>
            <wp:extent cx="259079" cy="103632"/>
            <wp:effectExtent l="0" t="0" r="0" b="0"/>
            <wp:wrapNone/>
            <wp:docPr id="445" name="image2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 name="image231.png"/>
                    <pic:cNvPicPr/>
                  </pic:nvPicPr>
                  <pic:blipFill>
                    <a:blip r:embed="rId333" cstate="print"/>
                    <a:stretch>
                      <a:fillRect/>
                    </a:stretch>
                  </pic:blipFill>
                  <pic:spPr>
                    <a:xfrm>
                      <a:off x="0" y="0"/>
                      <a:ext cx="259079" cy="103632"/>
                    </a:xfrm>
                    <a:prstGeom prst="rect">
                      <a:avLst/>
                    </a:prstGeom>
                  </pic:spPr>
                </pic:pic>
              </a:graphicData>
            </a:graphic>
          </wp:anchor>
        </w:drawing>
      </w:r>
      <w:r>
        <w:pict w14:anchorId="51DEA005">
          <v:rect id="docshape437" o:spid="_x0000_s1827" style="position:absolute;left:0;text-align:left;margin-left:69.9pt;margin-top:-267.8pt;width:15.8pt;height:16.05pt;z-index:251765248;mso-position-horizontal-relative:page;mso-position-vertical-relative:text" fillcolor="black" stroked="f">
            <w10:wrap anchorx="page"/>
          </v:rect>
        </w:pict>
      </w:r>
      <w:r>
        <w:pict w14:anchorId="51DEA006">
          <v:shape id="docshape438" o:spid="_x0000_s1826" style="position:absolute;left:0;text-align:left;margin-left:86.65pt;margin-top:.35pt;width:303.3pt;height:34.1pt;z-index:-251384320;mso-position-horizontal-relative:page;mso-position-vertical-relative:text" coordorigin="1733,7" coordsize="6066,682" path="m7799,7l1733,7r,219l1733,248r,199l1733,467r,221l7799,688r,-221l7799,447r,-199l7799,226r,-219xe" fillcolor="black" stroked="f">
            <v:path arrowok="t"/>
            <w10:wrap anchorx="page"/>
          </v:shape>
        </w:pict>
      </w:r>
      <w:r>
        <w:pict w14:anchorId="51DEA007">
          <v:shape id="docshape439" o:spid="_x0000_s1825" style="position:absolute;left:0;text-align:left;margin-left:475.15pt;margin-top:.35pt;width:18.2pt;height:34.1pt;z-index:-251383296;mso-position-horizontal-relative:page;mso-position-vertical-relative:text" coordorigin="9503,7" coordsize="364,682" path="m9867,7r-364,l9503,226r,22l9503,447r,20l9503,688r364,l9867,467r,-20l9867,248r,-22l9867,7xe" fillcolor="black" stroked="f">
            <v:path arrowok="t"/>
            <w10:wrap anchorx="page"/>
          </v:shape>
        </w:pict>
      </w:r>
      <w:r>
        <w:rPr>
          <w:color w:val="5E5E5E"/>
          <w:sz w:val="18"/>
          <w:vertAlign w:val="superscript"/>
        </w:rPr>
        <w:t>245</w:t>
      </w:r>
      <w:r>
        <w:rPr>
          <w:color w:val="5E5E5E"/>
          <w:spacing w:val="-2"/>
          <w:sz w:val="18"/>
        </w:rPr>
        <w:t xml:space="preserve"> </w:t>
      </w:r>
      <w:r>
        <w:rPr>
          <w:color w:val="5E5E5E"/>
          <w:spacing w:val="-10"/>
          <w:sz w:val="18"/>
        </w:rPr>
        <w:t>[</w:t>
      </w:r>
      <w:r>
        <w:rPr>
          <w:color w:val="5E5E5E"/>
          <w:sz w:val="18"/>
        </w:rPr>
        <w:tab/>
        <w:t>(Exhibit</w:t>
      </w:r>
      <w:r>
        <w:rPr>
          <w:color w:val="5E5E5E"/>
          <w:spacing w:val="-9"/>
          <w:sz w:val="18"/>
        </w:rPr>
        <w:t xml:space="preserve"> </w:t>
      </w:r>
      <w:r>
        <w:rPr>
          <w:color w:val="5E5E5E"/>
          <w:sz w:val="18"/>
        </w:rPr>
        <w:t>AUS‐11</w:t>
      </w:r>
      <w:r>
        <w:rPr>
          <w:color w:val="5E5E5E"/>
          <w:spacing w:val="-9"/>
          <w:sz w:val="18"/>
        </w:rPr>
        <w:t xml:space="preserve"> </w:t>
      </w:r>
      <w:r>
        <w:rPr>
          <w:color w:val="5E5E5E"/>
          <w:spacing w:val="-2"/>
          <w:sz w:val="18"/>
        </w:rPr>
        <w:t>(BCI)),</w:t>
      </w:r>
      <w:r>
        <w:rPr>
          <w:color w:val="5E5E5E"/>
          <w:sz w:val="18"/>
        </w:rPr>
        <w:tab/>
      </w:r>
      <w:r>
        <w:rPr>
          <w:color w:val="5E5E5E"/>
          <w:spacing w:val="-5"/>
          <w:sz w:val="18"/>
        </w:rPr>
        <w:t>.]]</w:t>
      </w:r>
    </w:p>
    <w:p w14:paraId="51DE8311" w14:textId="77777777" w:rsidR="0010369C" w:rsidRDefault="008E43AE">
      <w:pPr>
        <w:tabs>
          <w:tab w:val="left" w:pos="6680"/>
          <w:tab w:val="left" w:pos="8706"/>
        </w:tabs>
        <w:ind w:left="238"/>
        <w:rPr>
          <w:sz w:val="18"/>
        </w:rPr>
      </w:pPr>
      <w:r>
        <w:rPr>
          <w:color w:val="5E5E5E"/>
          <w:sz w:val="18"/>
          <w:vertAlign w:val="superscript"/>
        </w:rPr>
        <w:t>246</w:t>
      </w:r>
      <w:r>
        <w:rPr>
          <w:color w:val="5E5E5E"/>
          <w:spacing w:val="-2"/>
          <w:sz w:val="18"/>
        </w:rPr>
        <w:t xml:space="preserve"> </w:t>
      </w:r>
      <w:r>
        <w:rPr>
          <w:color w:val="5E5E5E"/>
          <w:spacing w:val="-10"/>
          <w:sz w:val="18"/>
        </w:rPr>
        <w:t>[</w:t>
      </w:r>
      <w:r>
        <w:rPr>
          <w:color w:val="5E5E5E"/>
          <w:sz w:val="18"/>
        </w:rPr>
        <w:tab/>
        <w:t>(Exhibit</w:t>
      </w:r>
      <w:r>
        <w:rPr>
          <w:color w:val="5E5E5E"/>
          <w:spacing w:val="-9"/>
          <w:sz w:val="18"/>
        </w:rPr>
        <w:t xml:space="preserve"> </w:t>
      </w:r>
      <w:r>
        <w:rPr>
          <w:color w:val="5E5E5E"/>
          <w:sz w:val="18"/>
        </w:rPr>
        <w:t>AUS‐11</w:t>
      </w:r>
      <w:r>
        <w:rPr>
          <w:color w:val="5E5E5E"/>
          <w:spacing w:val="-9"/>
          <w:sz w:val="18"/>
        </w:rPr>
        <w:t xml:space="preserve"> </w:t>
      </w:r>
      <w:r>
        <w:rPr>
          <w:color w:val="5E5E5E"/>
          <w:spacing w:val="-2"/>
          <w:sz w:val="18"/>
        </w:rPr>
        <w:t>(BCI)),</w:t>
      </w:r>
      <w:r>
        <w:rPr>
          <w:color w:val="5E5E5E"/>
          <w:sz w:val="18"/>
        </w:rPr>
        <w:tab/>
      </w:r>
      <w:r>
        <w:rPr>
          <w:color w:val="5E5E5E"/>
          <w:spacing w:val="-5"/>
          <w:sz w:val="18"/>
        </w:rPr>
        <w:t>.]]</w:t>
      </w:r>
    </w:p>
    <w:p w14:paraId="51DE8312" w14:textId="77777777" w:rsidR="0010369C" w:rsidRDefault="008E43AE">
      <w:pPr>
        <w:tabs>
          <w:tab w:val="left" w:pos="6680"/>
          <w:tab w:val="left" w:pos="8706"/>
        </w:tabs>
        <w:ind w:left="238"/>
        <w:rPr>
          <w:sz w:val="18"/>
        </w:rPr>
      </w:pPr>
      <w:r>
        <w:rPr>
          <w:color w:val="5E5E5E"/>
          <w:sz w:val="18"/>
          <w:vertAlign w:val="superscript"/>
        </w:rPr>
        <w:t>247</w:t>
      </w:r>
      <w:r>
        <w:rPr>
          <w:color w:val="5E5E5E"/>
          <w:spacing w:val="-2"/>
          <w:sz w:val="18"/>
        </w:rPr>
        <w:t xml:space="preserve"> </w:t>
      </w:r>
      <w:r>
        <w:rPr>
          <w:color w:val="5E5E5E"/>
          <w:spacing w:val="-10"/>
          <w:sz w:val="18"/>
        </w:rPr>
        <w:t>[</w:t>
      </w:r>
      <w:r>
        <w:rPr>
          <w:color w:val="5E5E5E"/>
          <w:sz w:val="18"/>
        </w:rPr>
        <w:tab/>
        <w:t>(Exhibit</w:t>
      </w:r>
      <w:r>
        <w:rPr>
          <w:color w:val="5E5E5E"/>
          <w:spacing w:val="-9"/>
          <w:sz w:val="18"/>
        </w:rPr>
        <w:t xml:space="preserve"> </w:t>
      </w:r>
      <w:r>
        <w:rPr>
          <w:color w:val="5E5E5E"/>
          <w:sz w:val="18"/>
        </w:rPr>
        <w:t>AUS‐11</w:t>
      </w:r>
      <w:r>
        <w:rPr>
          <w:color w:val="5E5E5E"/>
          <w:spacing w:val="-9"/>
          <w:sz w:val="18"/>
        </w:rPr>
        <w:t xml:space="preserve"> </w:t>
      </w:r>
      <w:r>
        <w:rPr>
          <w:color w:val="5E5E5E"/>
          <w:spacing w:val="-2"/>
          <w:sz w:val="18"/>
        </w:rPr>
        <w:t>(BCI)),</w:t>
      </w:r>
      <w:r>
        <w:rPr>
          <w:color w:val="5E5E5E"/>
          <w:sz w:val="18"/>
        </w:rPr>
        <w:tab/>
      </w:r>
      <w:r>
        <w:rPr>
          <w:color w:val="5E5E5E"/>
          <w:spacing w:val="-5"/>
          <w:sz w:val="18"/>
        </w:rPr>
        <w:t>.]]</w:t>
      </w:r>
    </w:p>
    <w:p w14:paraId="51DE8313" w14:textId="77777777" w:rsidR="0010369C" w:rsidRDefault="008E43AE">
      <w:pPr>
        <w:ind w:left="238"/>
        <w:rPr>
          <w:sz w:val="18"/>
        </w:rPr>
      </w:pPr>
      <w:r>
        <w:rPr>
          <w:sz w:val="18"/>
          <w:vertAlign w:val="superscript"/>
        </w:rPr>
        <w:t>248</w:t>
      </w:r>
      <w:r>
        <w:rPr>
          <w:spacing w:val="-6"/>
          <w:sz w:val="18"/>
        </w:rPr>
        <w:t xml:space="preserve"> </w:t>
      </w:r>
      <w:r>
        <w:rPr>
          <w:sz w:val="18"/>
        </w:rPr>
        <w:t>See</w:t>
      </w:r>
      <w:r>
        <w:rPr>
          <w:spacing w:val="-5"/>
          <w:sz w:val="18"/>
        </w:rPr>
        <w:t xml:space="preserve"> </w:t>
      </w:r>
      <w:r>
        <w:rPr>
          <w:sz w:val="18"/>
        </w:rPr>
        <w:t>above,</w:t>
      </w:r>
      <w:r>
        <w:rPr>
          <w:spacing w:val="-6"/>
          <w:sz w:val="18"/>
        </w:rPr>
        <w:t xml:space="preserve"> </w:t>
      </w:r>
      <w:r>
        <w:rPr>
          <w:sz w:val="18"/>
        </w:rPr>
        <w:t>para.</w:t>
      </w:r>
      <w:r>
        <w:rPr>
          <w:spacing w:val="-5"/>
          <w:sz w:val="18"/>
        </w:rPr>
        <w:t xml:space="preserve"> </w:t>
      </w:r>
      <w:r>
        <w:rPr>
          <w:spacing w:val="-4"/>
          <w:sz w:val="18"/>
        </w:rPr>
        <w:t>160.</w:t>
      </w:r>
    </w:p>
    <w:p w14:paraId="51DE8314" w14:textId="77777777" w:rsidR="0010369C" w:rsidRDefault="0010369C">
      <w:pPr>
        <w:rPr>
          <w:sz w:val="18"/>
        </w:rPr>
        <w:sectPr w:rsidR="0010369C">
          <w:pgSz w:w="11910" w:h="16840"/>
          <w:pgMar w:top="880" w:right="800" w:bottom="980" w:left="1180" w:header="569" w:footer="788" w:gutter="0"/>
          <w:cols w:space="720"/>
        </w:sectPr>
      </w:pPr>
    </w:p>
    <w:p w14:paraId="51DE8315" w14:textId="77777777" w:rsidR="0010369C" w:rsidRDefault="008E43AE">
      <w:pPr>
        <w:spacing w:before="27" w:line="117" w:lineRule="auto"/>
        <w:ind w:left="238"/>
        <w:rPr>
          <w:sz w:val="18"/>
        </w:rPr>
      </w:pPr>
      <w:r>
        <w:pict w14:anchorId="51DEA008">
          <v:shape id="docshape440" o:spid="_x0000_s1824" style="position:absolute;left:0;text-align:left;margin-left:86.65pt;margin-top:-1pt;width:303.3pt;height:23.05pt;z-index:251766272;mso-position-horizontal-relative:page" coordorigin="1733,-20" coordsize="6066,461" path="m7799,-20r-6066,l1733,199r,22l1733,440r6066,l7799,221r,-22l7799,-20xe" fillcolor="black" stroked="f">
            <v:path arrowok="t"/>
            <w10:wrap anchorx="page"/>
          </v:shape>
        </w:pict>
      </w:r>
      <w:r>
        <w:rPr>
          <w:color w:val="5E5E5E"/>
          <w:sz w:val="12"/>
        </w:rPr>
        <w:t>249</w:t>
      </w:r>
      <w:r>
        <w:rPr>
          <w:color w:val="5E5E5E"/>
          <w:spacing w:val="11"/>
          <w:sz w:val="12"/>
        </w:rPr>
        <w:t xml:space="preserve"> </w:t>
      </w:r>
      <w:r>
        <w:rPr>
          <w:color w:val="5E5E5E"/>
          <w:spacing w:val="-10"/>
          <w:position w:val="-5"/>
          <w:sz w:val="18"/>
        </w:rPr>
        <w:t>[</w:t>
      </w:r>
    </w:p>
    <w:p w14:paraId="51DE8316" w14:textId="77777777" w:rsidR="0010369C" w:rsidRDefault="008E43AE">
      <w:pPr>
        <w:spacing w:before="52"/>
        <w:ind w:left="238"/>
        <w:rPr>
          <w:sz w:val="18"/>
        </w:rPr>
      </w:pPr>
      <w:r>
        <w:rPr>
          <w:color w:val="5E5E5E"/>
          <w:sz w:val="12"/>
        </w:rPr>
        <w:t>250</w:t>
      </w:r>
      <w:r>
        <w:rPr>
          <w:color w:val="5E5E5E"/>
          <w:spacing w:val="11"/>
          <w:sz w:val="12"/>
        </w:rPr>
        <w:t xml:space="preserve"> </w:t>
      </w:r>
      <w:r>
        <w:rPr>
          <w:color w:val="5E5E5E"/>
          <w:spacing w:val="-10"/>
          <w:position w:val="-5"/>
          <w:sz w:val="18"/>
        </w:rPr>
        <w:t>[</w:t>
      </w:r>
    </w:p>
    <w:p w14:paraId="51DE8317" w14:textId="77777777" w:rsidR="0010369C" w:rsidRDefault="008E43AE">
      <w:pPr>
        <w:spacing w:line="193" w:lineRule="exact"/>
        <w:ind w:left="238"/>
        <w:rPr>
          <w:sz w:val="18"/>
        </w:rPr>
      </w:pPr>
      <w:r>
        <w:br w:type="column"/>
      </w:r>
      <w:r>
        <w:rPr>
          <w:color w:val="5E5E5E"/>
          <w:sz w:val="18"/>
        </w:rPr>
        <w:t>(Exhibit</w:t>
      </w:r>
      <w:r>
        <w:rPr>
          <w:color w:val="5E5E5E"/>
          <w:spacing w:val="-9"/>
          <w:sz w:val="18"/>
        </w:rPr>
        <w:t xml:space="preserve"> </w:t>
      </w:r>
      <w:r>
        <w:rPr>
          <w:color w:val="5E5E5E"/>
          <w:sz w:val="18"/>
        </w:rPr>
        <w:t>AUS‐11</w:t>
      </w:r>
      <w:r>
        <w:rPr>
          <w:color w:val="5E5E5E"/>
          <w:spacing w:val="-9"/>
          <w:sz w:val="18"/>
        </w:rPr>
        <w:t xml:space="preserve"> </w:t>
      </w:r>
      <w:r>
        <w:rPr>
          <w:color w:val="5E5E5E"/>
          <w:spacing w:val="-2"/>
          <w:sz w:val="18"/>
        </w:rPr>
        <w:t>(BCI)),</w:t>
      </w:r>
    </w:p>
    <w:p w14:paraId="51DE8318" w14:textId="77777777" w:rsidR="0010369C" w:rsidRDefault="008E43AE">
      <w:pPr>
        <w:ind w:left="238"/>
        <w:rPr>
          <w:sz w:val="18"/>
        </w:rPr>
      </w:pPr>
      <w:r>
        <w:pict w14:anchorId="51DEA009">
          <v:shape id="docshape441" o:spid="_x0000_s1823" style="position:absolute;left:0;text-align:left;margin-left:473.15pt;margin-top:-10.65pt;width:20.25pt;height:23.05pt;z-index:251767296;mso-position-horizontal-relative:page" coordorigin="9463,-213" coordsize="405,461" path="m9867,-213r-364,l9503,7r-40,l9463,248r404,l9867,28r,-21l9867,-213xe" fillcolor="black" stroked="f">
            <v:path arrowok="t"/>
            <w10:wrap anchorx="page"/>
          </v:shape>
        </w:pict>
      </w:r>
      <w:r>
        <w:rPr>
          <w:color w:val="5E5E5E"/>
          <w:sz w:val="18"/>
        </w:rPr>
        <w:t>(Exhibit</w:t>
      </w:r>
      <w:r>
        <w:rPr>
          <w:color w:val="5E5E5E"/>
          <w:spacing w:val="-9"/>
          <w:sz w:val="18"/>
        </w:rPr>
        <w:t xml:space="preserve"> </w:t>
      </w:r>
      <w:r>
        <w:rPr>
          <w:color w:val="5E5E5E"/>
          <w:sz w:val="18"/>
        </w:rPr>
        <w:t>AUS‐11</w:t>
      </w:r>
      <w:r>
        <w:rPr>
          <w:color w:val="5E5E5E"/>
          <w:spacing w:val="-9"/>
          <w:sz w:val="18"/>
        </w:rPr>
        <w:t xml:space="preserve"> </w:t>
      </w:r>
      <w:r>
        <w:rPr>
          <w:color w:val="5E5E5E"/>
          <w:spacing w:val="-2"/>
          <w:sz w:val="18"/>
        </w:rPr>
        <w:t>(BCI)),</w:t>
      </w:r>
    </w:p>
    <w:p w14:paraId="51DE8319" w14:textId="77777777" w:rsidR="0010369C" w:rsidRDefault="008E43AE">
      <w:pPr>
        <w:spacing w:line="193" w:lineRule="exact"/>
        <w:ind w:left="238"/>
        <w:rPr>
          <w:sz w:val="18"/>
        </w:rPr>
      </w:pPr>
      <w:r>
        <w:br w:type="column"/>
      </w:r>
      <w:r>
        <w:rPr>
          <w:color w:val="5E5E5E"/>
          <w:spacing w:val="-5"/>
          <w:sz w:val="18"/>
        </w:rPr>
        <w:t>.]]</w:t>
      </w:r>
    </w:p>
    <w:p w14:paraId="51DE831A" w14:textId="77777777" w:rsidR="0010369C" w:rsidRDefault="008E43AE">
      <w:pPr>
        <w:ind w:left="238"/>
        <w:rPr>
          <w:sz w:val="18"/>
        </w:rPr>
      </w:pPr>
      <w:r>
        <w:rPr>
          <w:color w:val="5E5E5E"/>
          <w:spacing w:val="-5"/>
          <w:sz w:val="18"/>
        </w:rPr>
        <w:t>.]]</w:t>
      </w:r>
    </w:p>
    <w:p w14:paraId="51DE831B" w14:textId="77777777" w:rsidR="0010369C" w:rsidRDefault="0010369C">
      <w:pPr>
        <w:rPr>
          <w:sz w:val="18"/>
        </w:rPr>
        <w:sectPr w:rsidR="0010369C">
          <w:type w:val="continuous"/>
          <w:pgSz w:w="11910" w:h="16840"/>
          <w:pgMar w:top="1460" w:right="800" w:bottom="280" w:left="1180" w:header="569" w:footer="788" w:gutter="0"/>
          <w:cols w:num="3" w:space="720" w:equalWidth="0">
            <w:col w:w="559" w:space="5883"/>
            <w:col w:w="1902" w:space="125"/>
            <w:col w:w="1461"/>
          </w:cols>
        </w:sectPr>
      </w:pPr>
    </w:p>
    <w:p w14:paraId="51DE831C" w14:textId="77777777" w:rsidR="0010369C" w:rsidRDefault="008E43AE">
      <w:pPr>
        <w:tabs>
          <w:tab w:val="left" w:pos="6425"/>
        </w:tabs>
        <w:ind w:left="238"/>
        <w:rPr>
          <w:sz w:val="20"/>
        </w:rPr>
      </w:pPr>
      <w:r>
        <w:rPr>
          <w:i/>
          <w:sz w:val="20"/>
        </w:rPr>
        <w:lastRenderedPageBreak/>
        <w:t>China</w:t>
      </w:r>
      <w:r>
        <w:rPr>
          <w:i/>
          <w:spacing w:val="-5"/>
          <w:sz w:val="20"/>
        </w:rPr>
        <w:t xml:space="preserve"> </w:t>
      </w:r>
      <w:r>
        <w:rPr>
          <w:i/>
          <w:sz w:val="20"/>
        </w:rPr>
        <w:t>–</w:t>
      </w:r>
      <w:r>
        <w:rPr>
          <w:i/>
          <w:spacing w:val="-5"/>
          <w:sz w:val="20"/>
        </w:rPr>
        <w:t xml:space="preserve"> </w:t>
      </w:r>
      <w:r>
        <w:rPr>
          <w:i/>
          <w:sz w:val="20"/>
        </w:rPr>
        <w:t>Anti‐Dumping</w:t>
      </w:r>
      <w:r>
        <w:rPr>
          <w:i/>
          <w:spacing w:val="-4"/>
          <w:sz w:val="20"/>
        </w:rPr>
        <w:t xml:space="preserve"> </w:t>
      </w:r>
      <w:r>
        <w:rPr>
          <w:i/>
          <w:sz w:val="20"/>
        </w:rPr>
        <w:t>and</w:t>
      </w:r>
      <w:r>
        <w:rPr>
          <w:i/>
          <w:spacing w:val="-5"/>
          <w:sz w:val="20"/>
        </w:rPr>
        <w:t xml:space="preserve"> </w:t>
      </w:r>
      <w:r>
        <w:rPr>
          <w:i/>
          <w:sz w:val="20"/>
        </w:rPr>
        <w:t>Countervailing</w:t>
      </w:r>
      <w:r>
        <w:rPr>
          <w:i/>
          <w:spacing w:val="-5"/>
          <w:sz w:val="20"/>
        </w:rPr>
        <w:t xml:space="preserve"> </w:t>
      </w:r>
      <w:r>
        <w:rPr>
          <w:i/>
          <w:sz w:val="20"/>
        </w:rPr>
        <w:t>Duty</w:t>
      </w:r>
      <w:r>
        <w:rPr>
          <w:i/>
          <w:spacing w:val="-4"/>
          <w:sz w:val="20"/>
        </w:rPr>
        <w:t xml:space="preserve"> </w:t>
      </w:r>
      <w:r>
        <w:rPr>
          <w:i/>
          <w:spacing w:val="-2"/>
          <w:sz w:val="20"/>
        </w:rPr>
        <w:t>Measures</w:t>
      </w:r>
      <w:r>
        <w:rPr>
          <w:i/>
          <w:sz w:val="20"/>
        </w:rPr>
        <w:tab/>
      </w:r>
      <w:r>
        <w:rPr>
          <w:sz w:val="20"/>
        </w:rPr>
        <w:t>Australia's</w:t>
      </w:r>
      <w:r>
        <w:rPr>
          <w:spacing w:val="-7"/>
          <w:sz w:val="20"/>
        </w:rPr>
        <w:t xml:space="preserve"> </w:t>
      </w:r>
      <w:r>
        <w:rPr>
          <w:sz w:val="20"/>
        </w:rPr>
        <w:t>First</w:t>
      </w:r>
      <w:r>
        <w:rPr>
          <w:spacing w:val="-2"/>
          <w:sz w:val="20"/>
        </w:rPr>
        <w:t xml:space="preserve"> </w:t>
      </w:r>
      <w:r>
        <w:rPr>
          <w:sz w:val="20"/>
        </w:rPr>
        <w:t>Written</w:t>
      </w:r>
      <w:r>
        <w:rPr>
          <w:spacing w:val="-2"/>
          <w:sz w:val="20"/>
        </w:rPr>
        <w:t xml:space="preserve"> Submission</w:t>
      </w:r>
    </w:p>
    <w:p w14:paraId="51DE831D" w14:textId="77777777" w:rsidR="0010369C" w:rsidRDefault="008E43AE">
      <w:pPr>
        <w:tabs>
          <w:tab w:val="left" w:pos="8227"/>
        </w:tabs>
        <w:spacing w:before="1"/>
        <w:ind w:left="239"/>
        <w:rPr>
          <w:sz w:val="20"/>
        </w:rPr>
      </w:pPr>
      <w:r>
        <w:pict w14:anchorId="51DEA00A">
          <v:rect id="docshape442" o:spid="_x0000_s1822" style="position:absolute;left:0;text-align:left;margin-left:69.9pt;margin-top:14.1pt;width:453.5pt;height:16.05pt;z-index:-251074048;mso-wrap-distance-left:0;mso-wrap-distance-right:0;mso-position-horizontal-relative:page" fillcolor="black" stroked="f">
            <w10:wrap type="topAndBottom" anchorx="page"/>
          </v:rect>
        </w:pict>
      </w:r>
      <w:r>
        <w:pict w14:anchorId="51DEA00B">
          <v:rect id="docshape443" o:spid="_x0000_s1821" style="position:absolute;left:0;text-align:left;margin-left:69.9pt;margin-top:36.1pt;width:89.5pt;height:16.05pt;z-index:251768320;mso-position-horizontal-relative:page" fillcolor="black" stroked="f">
            <w10:wrap anchorx="page"/>
          </v:rect>
        </w:pict>
      </w:r>
      <w:r>
        <w:rPr>
          <w:noProof/>
        </w:rPr>
        <w:drawing>
          <wp:anchor distT="0" distB="0" distL="0" distR="0" simplePos="0" relativeHeight="250894848" behindDoc="1" locked="0" layoutInCell="1" allowOverlap="1" wp14:anchorId="51DEA00C" wp14:editId="51DEA00D">
            <wp:simplePos x="0" y="0"/>
            <wp:positionH relativeFrom="page">
              <wp:posOffset>905255</wp:posOffset>
            </wp:positionH>
            <wp:positionV relativeFrom="paragraph">
              <wp:posOffset>880457</wp:posOffset>
            </wp:positionV>
            <wp:extent cx="258154" cy="106299"/>
            <wp:effectExtent l="0" t="0" r="0" b="0"/>
            <wp:wrapNone/>
            <wp:docPr id="447" name="image2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image232.png"/>
                    <pic:cNvPicPr/>
                  </pic:nvPicPr>
                  <pic:blipFill>
                    <a:blip r:embed="rId334" cstate="print"/>
                    <a:stretch>
                      <a:fillRect/>
                    </a:stretch>
                  </pic:blipFill>
                  <pic:spPr>
                    <a:xfrm>
                      <a:off x="0" y="0"/>
                      <a:ext cx="258154" cy="106299"/>
                    </a:xfrm>
                    <a:prstGeom prst="rect">
                      <a:avLst/>
                    </a:prstGeom>
                  </pic:spPr>
                </pic:pic>
              </a:graphicData>
            </a:graphic>
          </wp:anchor>
        </w:drawing>
      </w:r>
      <w:r>
        <w:rPr>
          <w:i/>
          <w:sz w:val="20"/>
        </w:rPr>
        <w:t>on</w:t>
      </w:r>
      <w:r>
        <w:rPr>
          <w:i/>
          <w:spacing w:val="-1"/>
          <w:sz w:val="20"/>
        </w:rPr>
        <w:t xml:space="preserve"> </w:t>
      </w:r>
      <w:r>
        <w:rPr>
          <w:i/>
          <w:sz w:val="20"/>
        </w:rPr>
        <w:t>Wine</w:t>
      </w:r>
      <w:r>
        <w:rPr>
          <w:i/>
          <w:spacing w:val="-1"/>
          <w:sz w:val="20"/>
        </w:rPr>
        <w:t xml:space="preserve"> </w:t>
      </w:r>
      <w:r>
        <w:rPr>
          <w:i/>
          <w:sz w:val="20"/>
        </w:rPr>
        <w:t>from</w:t>
      </w:r>
      <w:r>
        <w:rPr>
          <w:i/>
          <w:spacing w:val="-3"/>
          <w:sz w:val="20"/>
        </w:rPr>
        <w:t xml:space="preserve"> </w:t>
      </w:r>
      <w:r>
        <w:rPr>
          <w:i/>
          <w:sz w:val="20"/>
        </w:rPr>
        <w:t>Australia</w:t>
      </w:r>
      <w:r>
        <w:rPr>
          <w:i/>
          <w:spacing w:val="-1"/>
          <w:sz w:val="20"/>
        </w:rPr>
        <w:t xml:space="preserve"> </w:t>
      </w:r>
      <w:r>
        <w:rPr>
          <w:spacing w:val="-2"/>
          <w:sz w:val="20"/>
        </w:rPr>
        <w:t>(DS602)</w:t>
      </w:r>
      <w:r>
        <w:rPr>
          <w:sz w:val="20"/>
        </w:rPr>
        <w:tab/>
        <w:t>29</w:t>
      </w:r>
      <w:r>
        <w:rPr>
          <w:spacing w:val="-1"/>
          <w:sz w:val="20"/>
        </w:rPr>
        <w:t xml:space="preserve"> </w:t>
      </w:r>
      <w:r>
        <w:rPr>
          <w:sz w:val="20"/>
        </w:rPr>
        <w:t>April</w:t>
      </w:r>
      <w:r>
        <w:rPr>
          <w:spacing w:val="-2"/>
          <w:sz w:val="20"/>
        </w:rPr>
        <w:t xml:space="preserve"> </w:t>
      </w:r>
      <w:r>
        <w:rPr>
          <w:spacing w:val="-4"/>
          <w:sz w:val="20"/>
        </w:rPr>
        <w:t>2022</w:t>
      </w:r>
    </w:p>
    <w:p w14:paraId="51DE831E" w14:textId="77777777" w:rsidR="0010369C" w:rsidRDefault="008E43AE">
      <w:pPr>
        <w:spacing w:before="116"/>
        <w:ind w:left="2029"/>
        <w:rPr>
          <w:sz w:val="24"/>
        </w:rPr>
      </w:pPr>
      <w:r>
        <w:rPr>
          <w:spacing w:val="-5"/>
          <w:sz w:val="24"/>
        </w:rPr>
        <w:t>]]</w:t>
      </w:r>
    </w:p>
    <w:p w14:paraId="51DE831F" w14:textId="77777777" w:rsidR="0010369C" w:rsidRDefault="0010369C">
      <w:pPr>
        <w:pStyle w:val="BodyText"/>
        <w:spacing w:before="2"/>
        <w:rPr>
          <w:sz w:val="25"/>
        </w:rPr>
      </w:pPr>
    </w:p>
    <w:tbl>
      <w:tblPr>
        <w:tblW w:w="0" w:type="auto"/>
        <w:tblInd w:w="225" w:type="dxa"/>
        <w:tblLayout w:type="fixed"/>
        <w:tblCellMar>
          <w:left w:w="0" w:type="dxa"/>
          <w:right w:w="0" w:type="dxa"/>
        </w:tblCellMar>
        <w:tblLook w:val="01E0" w:firstRow="1" w:lastRow="1" w:firstColumn="1" w:lastColumn="1" w:noHBand="0" w:noVBand="0"/>
      </w:tblPr>
      <w:tblGrid>
        <w:gridCol w:w="997"/>
        <w:gridCol w:w="1860"/>
        <w:gridCol w:w="3706"/>
        <w:gridCol w:w="2565"/>
      </w:tblGrid>
      <w:tr w:rsidR="0010369C" w14:paraId="51DE8322" w14:textId="77777777">
        <w:trPr>
          <w:trHeight w:val="320"/>
        </w:trPr>
        <w:tc>
          <w:tcPr>
            <w:tcW w:w="997" w:type="dxa"/>
            <w:tcBorders>
              <w:bottom w:val="single" w:sz="48" w:space="0" w:color="FFFFFF"/>
            </w:tcBorders>
          </w:tcPr>
          <w:p w14:paraId="51DE8320" w14:textId="77777777" w:rsidR="0010369C" w:rsidRDefault="008E43AE">
            <w:pPr>
              <w:pStyle w:val="TableParagraph"/>
              <w:spacing w:line="291" w:lineRule="exact"/>
              <w:ind w:right="-29"/>
              <w:jc w:val="right"/>
              <w:rPr>
                <w:sz w:val="24"/>
              </w:rPr>
            </w:pPr>
            <w:r>
              <w:rPr>
                <w:spacing w:val="-5"/>
                <w:sz w:val="24"/>
              </w:rPr>
              <w:t>[[</w:t>
            </w:r>
          </w:p>
        </w:tc>
        <w:tc>
          <w:tcPr>
            <w:tcW w:w="8131" w:type="dxa"/>
            <w:gridSpan w:val="3"/>
            <w:tcBorders>
              <w:bottom w:val="single" w:sz="48" w:space="0" w:color="FFFFFF"/>
            </w:tcBorders>
            <w:shd w:val="clear" w:color="auto" w:fill="000000"/>
          </w:tcPr>
          <w:p w14:paraId="51DE8321" w14:textId="77777777" w:rsidR="0010369C" w:rsidRDefault="0010369C">
            <w:pPr>
              <w:pStyle w:val="TableParagraph"/>
              <w:rPr>
                <w:rFonts w:ascii="Times New Roman"/>
              </w:rPr>
            </w:pPr>
          </w:p>
        </w:tc>
      </w:tr>
      <w:tr w:rsidR="0010369C" w14:paraId="51DE8324" w14:textId="77777777">
        <w:trPr>
          <w:trHeight w:val="319"/>
        </w:trPr>
        <w:tc>
          <w:tcPr>
            <w:tcW w:w="9128" w:type="dxa"/>
            <w:gridSpan w:val="4"/>
            <w:tcBorders>
              <w:top w:val="single" w:sz="48" w:space="0" w:color="FFFFFF"/>
              <w:bottom w:val="single" w:sz="48" w:space="0" w:color="FFFFFF"/>
            </w:tcBorders>
            <w:shd w:val="clear" w:color="auto" w:fill="000000"/>
          </w:tcPr>
          <w:p w14:paraId="51DE8323" w14:textId="77777777" w:rsidR="0010369C" w:rsidRDefault="0010369C">
            <w:pPr>
              <w:pStyle w:val="TableParagraph"/>
              <w:rPr>
                <w:rFonts w:ascii="Times New Roman"/>
              </w:rPr>
            </w:pPr>
          </w:p>
        </w:tc>
      </w:tr>
      <w:tr w:rsidR="0010369C" w14:paraId="51DE8326" w14:textId="77777777">
        <w:trPr>
          <w:trHeight w:val="319"/>
        </w:trPr>
        <w:tc>
          <w:tcPr>
            <w:tcW w:w="9128" w:type="dxa"/>
            <w:gridSpan w:val="4"/>
            <w:tcBorders>
              <w:top w:val="single" w:sz="48" w:space="0" w:color="FFFFFF"/>
              <w:bottom w:val="single" w:sz="48" w:space="0" w:color="FFFFFF"/>
            </w:tcBorders>
            <w:shd w:val="clear" w:color="auto" w:fill="000000"/>
          </w:tcPr>
          <w:p w14:paraId="51DE8325" w14:textId="77777777" w:rsidR="0010369C" w:rsidRDefault="0010369C">
            <w:pPr>
              <w:pStyle w:val="TableParagraph"/>
              <w:rPr>
                <w:rFonts w:ascii="Times New Roman"/>
              </w:rPr>
            </w:pPr>
          </w:p>
        </w:tc>
      </w:tr>
      <w:tr w:rsidR="0010369C" w14:paraId="51DE8328" w14:textId="77777777">
        <w:trPr>
          <w:trHeight w:val="319"/>
        </w:trPr>
        <w:tc>
          <w:tcPr>
            <w:tcW w:w="9128" w:type="dxa"/>
            <w:gridSpan w:val="4"/>
            <w:tcBorders>
              <w:top w:val="single" w:sz="48" w:space="0" w:color="FFFFFF"/>
              <w:bottom w:val="single" w:sz="48" w:space="0" w:color="FFFFFF"/>
            </w:tcBorders>
            <w:shd w:val="clear" w:color="auto" w:fill="000000"/>
          </w:tcPr>
          <w:p w14:paraId="51DE8327" w14:textId="77777777" w:rsidR="0010369C" w:rsidRDefault="0010369C">
            <w:pPr>
              <w:pStyle w:val="TableParagraph"/>
              <w:rPr>
                <w:rFonts w:ascii="Times New Roman"/>
              </w:rPr>
            </w:pPr>
          </w:p>
        </w:tc>
      </w:tr>
      <w:tr w:rsidR="0010369C" w14:paraId="51DE832B" w14:textId="77777777">
        <w:trPr>
          <w:trHeight w:val="319"/>
        </w:trPr>
        <w:tc>
          <w:tcPr>
            <w:tcW w:w="2857" w:type="dxa"/>
            <w:gridSpan w:val="2"/>
            <w:tcBorders>
              <w:top w:val="single" w:sz="48" w:space="0" w:color="FFFFFF"/>
              <w:bottom w:val="single" w:sz="48" w:space="0" w:color="FFFFFF"/>
              <w:right w:val="single" w:sz="24" w:space="0" w:color="FFFFFF"/>
            </w:tcBorders>
            <w:shd w:val="clear" w:color="auto" w:fill="000000"/>
          </w:tcPr>
          <w:p w14:paraId="51DE8329" w14:textId="77777777" w:rsidR="0010369C" w:rsidRDefault="0010369C">
            <w:pPr>
              <w:pStyle w:val="TableParagraph"/>
              <w:rPr>
                <w:rFonts w:ascii="Times New Roman"/>
              </w:rPr>
            </w:pPr>
          </w:p>
        </w:tc>
        <w:tc>
          <w:tcPr>
            <w:tcW w:w="6271" w:type="dxa"/>
            <w:gridSpan w:val="2"/>
            <w:tcBorders>
              <w:top w:val="single" w:sz="48" w:space="0" w:color="FFFFFF"/>
              <w:left w:val="single" w:sz="24" w:space="0" w:color="FFFFFF"/>
              <w:bottom w:val="single" w:sz="48" w:space="0" w:color="FFFFFF"/>
            </w:tcBorders>
            <w:shd w:val="clear" w:color="auto" w:fill="000000"/>
          </w:tcPr>
          <w:p w14:paraId="51DE832A" w14:textId="77777777" w:rsidR="0010369C" w:rsidRDefault="0010369C">
            <w:pPr>
              <w:pStyle w:val="TableParagraph"/>
              <w:rPr>
                <w:rFonts w:ascii="Times New Roman"/>
              </w:rPr>
            </w:pPr>
          </w:p>
        </w:tc>
      </w:tr>
      <w:tr w:rsidR="0010369C" w14:paraId="51DE832D" w14:textId="77777777">
        <w:trPr>
          <w:trHeight w:val="319"/>
        </w:trPr>
        <w:tc>
          <w:tcPr>
            <w:tcW w:w="9128" w:type="dxa"/>
            <w:gridSpan w:val="4"/>
            <w:tcBorders>
              <w:top w:val="single" w:sz="48" w:space="0" w:color="FFFFFF"/>
              <w:bottom w:val="single" w:sz="48" w:space="0" w:color="FFFFFF"/>
            </w:tcBorders>
            <w:shd w:val="clear" w:color="auto" w:fill="000000"/>
          </w:tcPr>
          <w:p w14:paraId="51DE832C" w14:textId="77777777" w:rsidR="0010369C" w:rsidRDefault="0010369C">
            <w:pPr>
              <w:pStyle w:val="TableParagraph"/>
              <w:rPr>
                <w:rFonts w:ascii="Times New Roman"/>
              </w:rPr>
            </w:pPr>
          </w:p>
        </w:tc>
      </w:tr>
      <w:tr w:rsidR="0010369C" w14:paraId="51DE832F" w14:textId="77777777">
        <w:trPr>
          <w:trHeight w:val="319"/>
        </w:trPr>
        <w:tc>
          <w:tcPr>
            <w:tcW w:w="9128" w:type="dxa"/>
            <w:gridSpan w:val="4"/>
            <w:tcBorders>
              <w:top w:val="single" w:sz="48" w:space="0" w:color="FFFFFF"/>
              <w:bottom w:val="single" w:sz="48" w:space="0" w:color="FFFFFF"/>
            </w:tcBorders>
            <w:shd w:val="clear" w:color="auto" w:fill="000000"/>
          </w:tcPr>
          <w:p w14:paraId="51DE832E" w14:textId="77777777" w:rsidR="0010369C" w:rsidRDefault="0010369C">
            <w:pPr>
              <w:pStyle w:val="TableParagraph"/>
              <w:rPr>
                <w:rFonts w:ascii="Times New Roman"/>
              </w:rPr>
            </w:pPr>
          </w:p>
        </w:tc>
      </w:tr>
      <w:tr w:rsidR="0010369C" w14:paraId="51DE8331" w14:textId="77777777">
        <w:trPr>
          <w:trHeight w:val="319"/>
        </w:trPr>
        <w:tc>
          <w:tcPr>
            <w:tcW w:w="9128" w:type="dxa"/>
            <w:gridSpan w:val="4"/>
            <w:tcBorders>
              <w:top w:val="single" w:sz="48" w:space="0" w:color="FFFFFF"/>
              <w:bottom w:val="single" w:sz="48" w:space="0" w:color="FFFFFF"/>
            </w:tcBorders>
            <w:shd w:val="clear" w:color="auto" w:fill="000000"/>
          </w:tcPr>
          <w:p w14:paraId="51DE8330" w14:textId="77777777" w:rsidR="0010369C" w:rsidRDefault="0010369C">
            <w:pPr>
              <w:pStyle w:val="TableParagraph"/>
              <w:rPr>
                <w:rFonts w:ascii="Times New Roman"/>
              </w:rPr>
            </w:pPr>
          </w:p>
        </w:tc>
      </w:tr>
      <w:tr w:rsidR="0010369C" w14:paraId="51DE8333" w14:textId="77777777">
        <w:trPr>
          <w:trHeight w:val="319"/>
        </w:trPr>
        <w:tc>
          <w:tcPr>
            <w:tcW w:w="9128" w:type="dxa"/>
            <w:gridSpan w:val="4"/>
            <w:tcBorders>
              <w:top w:val="single" w:sz="48" w:space="0" w:color="FFFFFF"/>
              <w:bottom w:val="single" w:sz="48" w:space="0" w:color="FFFFFF"/>
            </w:tcBorders>
            <w:shd w:val="clear" w:color="auto" w:fill="000000"/>
          </w:tcPr>
          <w:p w14:paraId="51DE8332" w14:textId="77777777" w:rsidR="0010369C" w:rsidRDefault="0010369C">
            <w:pPr>
              <w:pStyle w:val="TableParagraph"/>
              <w:rPr>
                <w:rFonts w:ascii="Times New Roman"/>
              </w:rPr>
            </w:pPr>
          </w:p>
        </w:tc>
      </w:tr>
      <w:tr w:rsidR="0010369C" w14:paraId="51DE8335" w14:textId="77777777">
        <w:trPr>
          <w:trHeight w:val="320"/>
        </w:trPr>
        <w:tc>
          <w:tcPr>
            <w:tcW w:w="9128" w:type="dxa"/>
            <w:gridSpan w:val="4"/>
            <w:tcBorders>
              <w:top w:val="single" w:sz="48" w:space="0" w:color="FFFFFF"/>
              <w:bottom w:val="single" w:sz="48" w:space="0" w:color="FFFFFF"/>
            </w:tcBorders>
            <w:shd w:val="clear" w:color="auto" w:fill="000000"/>
          </w:tcPr>
          <w:p w14:paraId="51DE8334" w14:textId="77777777" w:rsidR="0010369C" w:rsidRDefault="0010369C">
            <w:pPr>
              <w:pStyle w:val="TableParagraph"/>
              <w:rPr>
                <w:rFonts w:ascii="Times New Roman"/>
              </w:rPr>
            </w:pPr>
          </w:p>
        </w:tc>
      </w:tr>
      <w:tr w:rsidR="0010369C" w14:paraId="51DE8338" w14:textId="77777777">
        <w:trPr>
          <w:trHeight w:val="321"/>
        </w:trPr>
        <w:tc>
          <w:tcPr>
            <w:tcW w:w="6563" w:type="dxa"/>
            <w:gridSpan w:val="3"/>
            <w:tcBorders>
              <w:top w:val="single" w:sz="48" w:space="0" w:color="FFFFFF"/>
            </w:tcBorders>
            <w:shd w:val="clear" w:color="auto" w:fill="000000"/>
          </w:tcPr>
          <w:p w14:paraId="51DE8336" w14:textId="77777777" w:rsidR="0010369C" w:rsidRDefault="0010369C">
            <w:pPr>
              <w:pStyle w:val="TableParagraph"/>
              <w:rPr>
                <w:rFonts w:ascii="Times New Roman"/>
              </w:rPr>
            </w:pPr>
          </w:p>
        </w:tc>
        <w:tc>
          <w:tcPr>
            <w:tcW w:w="2565" w:type="dxa"/>
            <w:tcBorders>
              <w:top w:val="single" w:sz="48" w:space="0" w:color="FFFFFF"/>
            </w:tcBorders>
          </w:tcPr>
          <w:p w14:paraId="51DE8337" w14:textId="77777777" w:rsidR="0010369C" w:rsidRDefault="008E43AE">
            <w:pPr>
              <w:pStyle w:val="TableParagraph"/>
              <w:spacing w:line="291" w:lineRule="exact"/>
              <w:ind w:left="21"/>
              <w:rPr>
                <w:sz w:val="24"/>
              </w:rPr>
            </w:pPr>
            <w:r>
              <w:rPr>
                <w:spacing w:val="-5"/>
                <w:sz w:val="24"/>
              </w:rPr>
              <w:t>]]</w:t>
            </w:r>
          </w:p>
        </w:tc>
      </w:tr>
    </w:tbl>
    <w:p w14:paraId="51DE8339" w14:textId="77777777" w:rsidR="0010369C" w:rsidRDefault="0010369C">
      <w:pPr>
        <w:pStyle w:val="BodyText"/>
        <w:spacing w:before="10"/>
        <w:rPr>
          <w:sz w:val="22"/>
        </w:rPr>
      </w:pPr>
    </w:p>
    <w:p w14:paraId="51DE833A" w14:textId="77777777" w:rsidR="0010369C" w:rsidRDefault="008E43AE">
      <w:pPr>
        <w:pStyle w:val="BodyText"/>
        <w:spacing w:line="360" w:lineRule="auto"/>
        <w:ind w:left="237" w:right="614" w:firstLine="851"/>
        <w:jc w:val="both"/>
      </w:pPr>
      <w:r>
        <w:rPr>
          <w:noProof/>
        </w:rPr>
        <w:drawing>
          <wp:anchor distT="0" distB="0" distL="0" distR="0" simplePos="0" relativeHeight="250895872" behindDoc="1" locked="0" layoutInCell="1" allowOverlap="1" wp14:anchorId="51DEA00E" wp14:editId="51DEA00F">
            <wp:simplePos x="0" y="0"/>
            <wp:positionH relativeFrom="page">
              <wp:posOffset>905255</wp:posOffset>
            </wp:positionH>
            <wp:positionV relativeFrom="paragraph">
              <wp:posOffset>48337</wp:posOffset>
            </wp:positionV>
            <wp:extent cx="259079" cy="103631"/>
            <wp:effectExtent l="0" t="0" r="0" b="0"/>
            <wp:wrapNone/>
            <wp:docPr id="449" name="image2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image233.png"/>
                    <pic:cNvPicPr/>
                  </pic:nvPicPr>
                  <pic:blipFill>
                    <a:blip r:embed="rId335" cstate="print"/>
                    <a:stretch>
                      <a:fillRect/>
                    </a:stretch>
                  </pic:blipFill>
                  <pic:spPr>
                    <a:xfrm>
                      <a:off x="0" y="0"/>
                      <a:ext cx="259079" cy="103631"/>
                    </a:xfrm>
                    <a:prstGeom prst="rect">
                      <a:avLst/>
                    </a:prstGeom>
                  </pic:spPr>
                </pic:pic>
              </a:graphicData>
            </a:graphic>
          </wp:anchor>
        </w:drawing>
      </w:r>
      <w:r>
        <w:pict w14:anchorId="51DEA010">
          <v:rect id="docshape444" o:spid="_x0000_s1820" style="position:absolute;left:0;text-align:left;margin-left:237.2pt;margin-top:44.05pt;width:286.2pt;height:16.05pt;z-index:-251382272;mso-position-horizontal-relative:page;mso-position-vertical-relative:text" fillcolor="black" stroked="f">
            <w10:wrap anchorx="page"/>
          </v:rect>
        </w:pict>
      </w:r>
      <w:r>
        <w:t>In</w:t>
      </w:r>
      <w:r>
        <w:rPr>
          <w:spacing w:val="-14"/>
        </w:rPr>
        <w:t xml:space="preserve"> </w:t>
      </w:r>
      <w:r>
        <w:t>reaching</w:t>
      </w:r>
      <w:r>
        <w:rPr>
          <w:spacing w:val="-14"/>
        </w:rPr>
        <w:t xml:space="preserve"> </w:t>
      </w:r>
      <w:r>
        <w:t>its</w:t>
      </w:r>
      <w:r>
        <w:rPr>
          <w:spacing w:val="-13"/>
        </w:rPr>
        <w:t xml:space="preserve"> </w:t>
      </w:r>
      <w:r>
        <w:t>conclusions</w:t>
      </w:r>
      <w:r>
        <w:rPr>
          <w:spacing w:val="-14"/>
        </w:rPr>
        <w:t xml:space="preserve"> </w:t>
      </w:r>
      <w:r>
        <w:t>that</w:t>
      </w:r>
      <w:r>
        <w:rPr>
          <w:spacing w:val="-13"/>
        </w:rPr>
        <w:t xml:space="preserve"> </w:t>
      </w:r>
      <w:r>
        <w:t>Treasury</w:t>
      </w:r>
      <w:r>
        <w:rPr>
          <w:spacing w:val="-14"/>
        </w:rPr>
        <w:t xml:space="preserve"> </w:t>
      </w:r>
      <w:r>
        <w:t>Wines</w:t>
      </w:r>
      <w:r>
        <w:rPr>
          <w:spacing w:val="-13"/>
        </w:rPr>
        <w:t xml:space="preserve"> </w:t>
      </w:r>
      <w:r>
        <w:t>did</w:t>
      </w:r>
      <w:r>
        <w:rPr>
          <w:spacing w:val="-14"/>
        </w:rPr>
        <w:t xml:space="preserve"> </w:t>
      </w:r>
      <w:r>
        <w:t>not</w:t>
      </w:r>
      <w:r>
        <w:rPr>
          <w:spacing w:val="-14"/>
        </w:rPr>
        <w:t xml:space="preserve"> </w:t>
      </w:r>
      <w:r>
        <w:t>provide</w:t>
      </w:r>
      <w:r>
        <w:rPr>
          <w:spacing w:val="-13"/>
        </w:rPr>
        <w:t xml:space="preserve"> </w:t>
      </w:r>
      <w:r>
        <w:t>necessary</w:t>
      </w:r>
      <w:r>
        <w:rPr>
          <w:spacing w:val="-14"/>
        </w:rPr>
        <w:t xml:space="preserve"> </w:t>
      </w:r>
      <w:r>
        <w:t>information in</w:t>
      </w:r>
      <w:r>
        <w:rPr>
          <w:spacing w:val="-6"/>
        </w:rPr>
        <w:t xml:space="preserve"> </w:t>
      </w:r>
      <w:r>
        <w:t>order</w:t>
      </w:r>
      <w:r>
        <w:rPr>
          <w:spacing w:val="-6"/>
        </w:rPr>
        <w:t xml:space="preserve"> </w:t>
      </w:r>
      <w:r>
        <w:t>to</w:t>
      </w:r>
      <w:r>
        <w:rPr>
          <w:spacing w:val="-6"/>
        </w:rPr>
        <w:t xml:space="preserve"> </w:t>
      </w:r>
      <w:r>
        <w:t>construct</w:t>
      </w:r>
      <w:r>
        <w:rPr>
          <w:spacing w:val="-7"/>
        </w:rPr>
        <w:t xml:space="preserve"> </w:t>
      </w:r>
      <w:r>
        <w:t>normal</w:t>
      </w:r>
      <w:r>
        <w:rPr>
          <w:spacing w:val="-6"/>
        </w:rPr>
        <w:t xml:space="preserve"> </w:t>
      </w:r>
      <w:r>
        <w:t>value,</w:t>
      </w:r>
      <w:r>
        <w:rPr>
          <w:spacing w:val="-7"/>
        </w:rPr>
        <w:t xml:space="preserve"> </w:t>
      </w:r>
      <w:r>
        <w:t>MOFCOM</w:t>
      </w:r>
      <w:r>
        <w:rPr>
          <w:spacing w:val="-6"/>
        </w:rPr>
        <w:t xml:space="preserve"> </w:t>
      </w:r>
      <w:r>
        <w:t>failed</w:t>
      </w:r>
      <w:r>
        <w:rPr>
          <w:spacing w:val="-6"/>
        </w:rPr>
        <w:t xml:space="preserve"> </w:t>
      </w:r>
      <w:r>
        <w:t>to</w:t>
      </w:r>
      <w:r>
        <w:rPr>
          <w:spacing w:val="-6"/>
        </w:rPr>
        <w:t xml:space="preserve"> </w:t>
      </w:r>
      <w:r>
        <w:t>address</w:t>
      </w:r>
      <w:r>
        <w:rPr>
          <w:spacing w:val="-7"/>
        </w:rPr>
        <w:t xml:space="preserve"> </w:t>
      </w:r>
      <w:r>
        <w:t>the</w:t>
      </w:r>
      <w:r>
        <w:rPr>
          <w:spacing w:val="-6"/>
        </w:rPr>
        <w:t xml:space="preserve"> </w:t>
      </w:r>
      <w:r>
        <w:t>quality</w:t>
      </w:r>
      <w:r>
        <w:rPr>
          <w:spacing w:val="-5"/>
        </w:rPr>
        <w:t xml:space="preserve"> </w:t>
      </w:r>
      <w:r>
        <w:t>and</w:t>
      </w:r>
      <w:r>
        <w:rPr>
          <w:spacing w:val="-6"/>
        </w:rPr>
        <w:t xml:space="preserve"> </w:t>
      </w:r>
      <w:r>
        <w:t>quantity</w:t>
      </w:r>
      <w:r>
        <w:rPr>
          <w:spacing w:val="-5"/>
        </w:rPr>
        <w:t xml:space="preserve"> </w:t>
      </w:r>
      <w:r>
        <w:t>of</w:t>
      </w:r>
      <w:r>
        <w:rPr>
          <w:spacing w:val="-6"/>
        </w:rPr>
        <w:t xml:space="preserve"> </w:t>
      </w:r>
      <w:r>
        <w:t xml:space="preserve">the information that </w:t>
      </w:r>
      <w:r>
        <w:rPr>
          <w:i/>
        </w:rPr>
        <w:t xml:space="preserve">was </w:t>
      </w:r>
      <w:r>
        <w:t>provided, [[</w:t>
      </w:r>
    </w:p>
    <w:p w14:paraId="51DE833B" w14:textId="77777777" w:rsidR="0010369C" w:rsidRDefault="008E43AE">
      <w:pPr>
        <w:pStyle w:val="BodyText"/>
        <w:spacing w:line="360" w:lineRule="auto"/>
        <w:ind w:left="236" w:right="613" w:firstLine="2733"/>
        <w:jc w:val="both"/>
      </w:pPr>
      <w:r>
        <w:pict w14:anchorId="51DEA011">
          <v:rect id="docshape445" o:spid="_x0000_s1819" style="position:absolute;left:0;text-align:left;margin-left:69.9pt;margin-top:.1pt;width:136.6pt;height:16.05pt;z-index:-251381248;mso-position-horizontal-relative:page" fillcolor="black" stroked="f">
            <w10:wrap anchorx="page"/>
          </v:rect>
        </w:pict>
      </w:r>
      <w:r>
        <w:t>]]</w:t>
      </w:r>
      <w:r>
        <w:rPr>
          <w:spacing w:val="-6"/>
        </w:rPr>
        <w:t xml:space="preserve"> </w:t>
      </w:r>
      <w:r>
        <w:t>in</w:t>
      </w:r>
      <w:r>
        <w:rPr>
          <w:spacing w:val="-4"/>
        </w:rPr>
        <w:t xml:space="preserve"> </w:t>
      </w:r>
      <w:r>
        <w:t>the</w:t>
      </w:r>
      <w:r>
        <w:rPr>
          <w:spacing w:val="-4"/>
        </w:rPr>
        <w:t xml:space="preserve"> </w:t>
      </w:r>
      <w:r>
        <w:t>manner</w:t>
      </w:r>
      <w:r>
        <w:rPr>
          <w:spacing w:val="-5"/>
        </w:rPr>
        <w:t xml:space="preserve"> </w:t>
      </w:r>
      <w:r>
        <w:t>required</w:t>
      </w:r>
      <w:r>
        <w:rPr>
          <w:spacing w:val="-5"/>
        </w:rPr>
        <w:t xml:space="preserve"> </w:t>
      </w:r>
      <w:r>
        <w:t>by</w:t>
      </w:r>
      <w:r>
        <w:rPr>
          <w:spacing w:val="-5"/>
        </w:rPr>
        <w:t xml:space="preserve"> </w:t>
      </w:r>
      <w:r>
        <w:t>paragraph</w:t>
      </w:r>
      <w:r>
        <w:rPr>
          <w:spacing w:val="-4"/>
        </w:rPr>
        <w:t xml:space="preserve"> </w:t>
      </w:r>
      <w:r>
        <w:t>3</w:t>
      </w:r>
      <w:r>
        <w:rPr>
          <w:spacing w:val="-6"/>
        </w:rPr>
        <w:t xml:space="preserve"> </w:t>
      </w:r>
      <w:r>
        <w:t>of</w:t>
      </w:r>
      <w:r>
        <w:rPr>
          <w:spacing w:val="-4"/>
        </w:rPr>
        <w:t xml:space="preserve"> </w:t>
      </w:r>
      <w:r>
        <w:t>A</w:t>
      </w:r>
      <w:r>
        <w:t>nnex</w:t>
      </w:r>
      <w:r>
        <w:rPr>
          <w:spacing w:val="-5"/>
        </w:rPr>
        <w:t xml:space="preserve"> </w:t>
      </w:r>
      <w:r>
        <w:t>II.</w:t>
      </w:r>
      <w:r>
        <w:rPr>
          <w:spacing w:val="40"/>
        </w:rPr>
        <w:t xml:space="preserve"> </w:t>
      </w:r>
      <w:r>
        <w:t>In</w:t>
      </w:r>
      <w:r>
        <w:rPr>
          <w:spacing w:val="-4"/>
        </w:rPr>
        <w:t xml:space="preserve"> </w:t>
      </w:r>
      <w:r>
        <w:t>all</w:t>
      </w:r>
      <w:r>
        <w:rPr>
          <w:spacing w:val="-5"/>
        </w:rPr>
        <w:t xml:space="preserve"> </w:t>
      </w:r>
      <w:r>
        <w:t>cases, MOFCOM merely re‐iterated its findings and determinations from the Preliminary Determination</w:t>
      </w:r>
      <w:r>
        <w:rPr>
          <w:spacing w:val="-5"/>
        </w:rPr>
        <w:t xml:space="preserve"> </w:t>
      </w:r>
      <w:r>
        <w:t>as</w:t>
      </w:r>
      <w:r>
        <w:rPr>
          <w:spacing w:val="-5"/>
        </w:rPr>
        <w:t xml:space="preserve"> </w:t>
      </w:r>
      <w:r>
        <w:t>a</w:t>
      </w:r>
      <w:r>
        <w:rPr>
          <w:spacing w:val="-5"/>
        </w:rPr>
        <w:t xml:space="preserve"> </w:t>
      </w:r>
      <w:r>
        <w:t>basis</w:t>
      </w:r>
      <w:r>
        <w:rPr>
          <w:spacing w:val="-5"/>
        </w:rPr>
        <w:t xml:space="preserve"> </w:t>
      </w:r>
      <w:r>
        <w:t>for</w:t>
      </w:r>
      <w:r>
        <w:rPr>
          <w:spacing w:val="-5"/>
        </w:rPr>
        <w:t xml:space="preserve"> </w:t>
      </w:r>
      <w:r>
        <w:t>rejecting</w:t>
      </w:r>
      <w:r>
        <w:rPr>
          <w:spacing w:val="-5"/>
        </w:rPr>
        <w:t xml:space="preserve"> </w:t>
      </w:r>
      <w:r>
        <w:t>the</w:t>
      </w:r>
      <w:r>
        <w:rPr>
          <w:spacing w:val="-4"/>
        </w:rPr>
        <w:t xml:space="preserve"> </w:t>
      </w:r>
      <w:r>
        <w:t>data</w:t>
      </w:r>
      <w:r>
        <w:rPr>
          <w:spacing w:val="-5"/>
        </w:rPr>
        <w:t xml:space="preserve"> </w:t>
      </w:r>
      <w:r>
        <w:t>and</w:t>
      </w:r>
      <w:r>
        <w:rPr>
          <w:spacing w:val="-5"/>
        </w:rPr>
        <w:t xml:space="preserve"> </w:t>
      </w:r>
      <w:r>
        <w:t>information</w:t>
      </w:r>
      <w:r>
        <w:rPr>
          <w:spacing w:val="-4"/>
        </w:rPr>
        <w:t xml:space="preserve"> </w:t>
      </w:r>
      <w:r>
        <w:t>provided</w:t>
      </w:r>
      <w:r>
        <w:rPr>
          <w:spacing w:val="-6"/>
        </w:rPr>
        <w:t xml:space="preserve"> </w:t>
      </w:r>
      <w:r>
        <w:t>and</w:t>
      </w:r>
      <w:r>
        <w:rPr>
          <w:spacing w:val="-5"/>
        </w:rPr>
        <w:t xml:space="preserve"> </w:t>
      </w:r>
      <w:r>
        <w:t>having</w:t>
      </w:r>
      <w:r>
        <w:rPr>
          <w:spacing w:val="-5"/>
        </w:rPr>
        <w:t xml:space="preserve"> </w:t>
      </w:r>
      <w:r>
        <w:t>recourse to facts available, without mention of the supplementary data contained in the Exhibits to Treasury Wines' response to the Preliminary Determination. This does not demonstrate any "meaningful consideration by MOFCOM of the criteria in paragraph 3"</w:t>
      </w:r>
      <w:r>
        <w:t>.</w:t>
      </w:r>
      <w:r>
        <w:rPr>
          <w:vertAlign w:val="superscript"/>
        </w:rPr>
        <w:t>252</w:t>
      </w:r>
      <w:r>
        <w:t xml:space="preserve"> In fact, it does not address the quality of the "existing evidence" at all.</w:t>
      </w:r>
    </w:p>
    <w:p w14:paraId="51DE833C" w14:textId="77777777" w:rsidR="0010369C" w:rsidRDefault="0010369C">
      <w:pPr>
        <w:pStyle w:val="BodyText"/>
        <w:spacing w:before="11"/>
        <w:rPr>
          <w:sz w:val="8"/>
        </w:rPr>
      </w:pPr>
    </w:p>
    <w:p w14:paraId="51DE833D" w14:textId="77777777" w:rsidR="0010369C" w:rsidRDefault="008E43AE">
      <w:pPr>
        <w:pStyle w:val="BodyText"/>
        <w:spacing w:before="52"/>
        <w:ind w:left="1089"/>
        <w:jc w:val="both"/>
      </w:pPr>
      <w:r>
        <w:rPr>
          <w:noProof/>
        </w:rPr>
        <w:drawing>
          <wp:anchor distT="0" distB="0" distL="0" distR="0" simplePos="0" relativeHeight="250636800" behindDoc="0" locked="0" layoutInCell="1" allowOverlap="1" wp14:anchorId="51DEA012" wp14:editId="51DEA013">
            <wp:simplePos x="0" y="0"/>
            <wp:positionH relativeFrom="page">
              <wp:posOffset>905255</wp:posOffset>
            </wp:positionH>
            <wp:positionV relativeFrom="paragraph">
              <wp:posOffset>81357</wp:posOffset>
            </wp:positionV>
            <wp:extent cx="259079" cy="103631"/>
            <wp:effectExtent l="0" t="0" r="0" b="0"/>
            <wp:wrapNone/>
            <wp:docPr id="451" name="image2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image234.png"/>
                    <pic:cNvPicPr/>
                  </pic:nvPicPr>
                  <pic:blipFill>
                    <a:blip r:embed="rId336" cstate="print"/>
                    <a:stretch>
                      <a:fillRect/>
                    </a:stretch>
                  </pic:blipFill>
                  <pic:spPr>
                    <a:xfrm>
                      <a:off x="0" y="0"/>
                      <a:ext cx="259079" cy="103631"/>
                    </a:xfrm>
                    <a:prstGeom prst="rect">
                      <a:avLst/>
                    </a:prstGeom>
                  </pic:spPr>
                </pic:pic>
              </a:graphicData>
            </a:graphic>
          </wp:anchor>
        </w:drawing>
      </w:r>
      <w:r>
        <w:pict w14:anchorId="51DEA014">
          <v:rect id="docshape446" o:spid="_x0000_s1818" style="position:absolute;left:0;text-align:left;margin-left:267.7pt;margin-top:2.7pt;width:255.7pt;height:16.05pt;z-index:251769344;mso-position-horizontal-relative:page;mso-position-vertical-relative:text" fillcolor="black" stroked="f">
            <w10:wrap anchorx="page"/>
          </v:rect>
        </w:pict>
      </w:r>
      <w:r>
        <w:t>The information</w:t>
      </w:r>
      <w:r>
        <w:rPr>
          <w:spacing w:val="1"/>
        </w:rPr>
        <w:t xml:space="preserve"> </w:t>
      </w:r>
      <w:r>
        <w:t>submitted in</w:t>
      </w:r>
      <w:r>
        <w:rPr>
          <w:spacing w:val="-1"/>
        </w:rPr>
        <w:t xml:space="preserve"> </w:t>
      </w:r>
      <w:r>
        <w:rPr>
          <w:spacing w:val="-5"/>
        </w:rPr>
        <w:t>[[</w:t>
      </w:r>
    </w:p>
    <w:p w14:paraId="51DE833E" w14:textId="77777777" w:rsidR="0010369C" w:rsidRDefault="008E43AE">
      <w:pPr>
        <w:pStyle w:val="BodyText"/>
        <w:spacing w:before="146" w:line="360" w:lineRule="auto"/>
        <w:ind w:left="236" w:right="613" w:firstLine="2306"/>
        <w:jc w:val="both"/>
      </w:pPr>
      <w:r>
        <w:pict w14:anchorId="51DEA015">
          <v:rect id="docshape447" o:spid="_x0000_s1817" style="position:absolute;left:0;text-align:left;margin-left:69.9pt;margin-top:7.4pt;width:115.3pt;height:16.05pt;z-index:-251380224;mso-position-horizontal-relative:page" fillcolor="black" stroked="f">
            <w10:wrap anchorx="page"/>
          </v:rect>
        </w:pict>
      </w:r>
      <w:r>
        <w:pict w14:anchorId="51DEA016">
          <v:rect id="docshape448" o:spid="_x0000_s1816" style="position:absolute;left:0;text-align:left;margin-left:475.15pt;margin-top:123.45pt;width:18.2pt;height:12.05pt;z-index:251771392;mso-position-horizontal-relative:page" fillcolor="black" stroked="f">
            <w10:wrap anchorx="page"/>
          </v:rect>
        </w:pict>
      </w:r>
      <w:r>
        <w:t>]] met the criteria of paragraph 3 of Annex II and MOFCOM had an obligation</w:t>
      </w:r>
      <w:r>
        <w:rPr>
          <w:spacing w:val="-13"/>
        </w:rPr>
        <w:t xml:space="preserve"> </w:t>
      </w:r>
      <w:r>
        <w:t>to</w:t>
      </w:r>
      <w:r>
        <w:rPr>
          <w:spacing w:val="-12"/>
        </w:rPr>
        <w:t xml:space="preserve"> </w:t>
      </w:r>
      <w:r>
        <w:t>take</w:t>
      </w:r>
      <w:r>
        <w:rPr>
          <w:spacing w:val="-12"/>
        </w:rPr>
        <w:t xml:space="preserve"> </w:t>
      </w:r>
      <w:r>
        <w:t>it</w:t>
      </w:r>
      <w:r>
        <w:rPr>
          <w:spacing w:val="-12"/>
        </w:rPr>
        <w:t xml:space="preserve"> </w:t>
      </w:r>
      <w:r>
        <w:t>into</w:t>
      </w:r>
      <w:r>
        <w:rPr>
          <w:spacing w:val="-11"/>
        </w:rPr>
        <w:t xml:space="preserve"> </w:t>
      </w:r>
      <w:r>
        <w:t>account</w:t>
      </w:r>
      <w:r>
        <w:rPr>
          <w:spacing w:val="-12"/>
        </w:rPr>
        <w:t xml:space="preserve"> </w:t>
      </w:r>
      <w:r>
        <w:t>in</w:t>
      </w:r>
      <w:r>
        <w:rPr>
          <w:spacing w:val="-13"/>
        </w:rPr>
        <w:t xml:space="preserve"> </w:t>
      </w:r>
      <w:r>
        <w:t>its</w:t>
      </w:r>
      <w:r>
        <w:rPr>
          <w:spacing w:val="-13"/>
        </w:rPr>
        <w:t xml:space="preserve"> </w:t>
      </w:r>
      <w:r>
        <w:t>calculation</w:t>
      </w:r>
      <w:r>
        <w:rPr>
          <w:spacing w:val="-14"/>
        </w:rPr>
        <w:t xml:space="preserve"> </w:t>
      </w:r>
      <w:r>
        <w:t>of</w:t>
      </w:r>
      <w:r>
        <w:rPr>
          <w:spacing w:val="-13"/>
        </w:rPr>
        <w:t xml:space="preserve"> </w:t>
      </w:r>
      <w:r>
        <w:t>normal</w:t>
      </w:r>
      <w:r>
        <w:rPr>
          <w:spacing w:val="-12"/>
        </w:rPr>
        <w:t xml:space="preserve"> </w:t>
      </w:r>
      <w:r>
        <w:t>value.</w:t>
      </w:r>
      <w:r>
        <w:rPr>
          <w:spacing w:val="-13"/>
        </w:rPr>
        <w:t xml:space="preserve"> </w:t>
      </w:r>
      <w:r>
        <w:t>Further,</w:t>
      </w:r>
      <w:r>
        <w:rPr>
          <w:spacing w:val="-12"/>
        </w:rPr>
        <w:t xml:space="preserve"> </w:t>
      </w:r>
      <w:r>
        <w:t>even</w:t>
      </w:r>
      <w:r>
        <w:rPr>
          <w:spacing w:val="-13"/>
        </w:rPr>
        <w:t xml:space="preserve"> </w:t>
      </w:r>
      <w:r>
        <w:t>if</w:t>
      </w:r>
      <w:r>
        <w:rPr>
          <w:spacing w:val="-13"/>
        </w:rPr>
        <w:t xml:space="preserve"> </w:t>
      </w:r>
      <w:r>
        <w:t>information submitted by Treasury Wines was "not ideal in all respects" (despite no such express findin</w:t>
      </w:r>
      <w:r>
        <w:t>g</w:t>
      </w:r>
    </w:p>
    <w:p w14:paraId="51DE833F" w14:textId="77777777" w:rsidR="0010369C" w:rsidRDefault="0010369C">
      <w:pPr>
        <w:pStyle w:val="BodyText"/>
        <w:rPr>
          <w:sz w:val="20"/>
        </w:rPr>
      </w:pPr>
    </w:p>
    <w:p w14:paraId="51DE8340" w14:textId="77777777" w:rsidR="0010369C" w:rsidRDefault="0010369C">
      <w:pPr>
        <w:pStyle w:val="BodyText"/>
        <w:rPr>
          <w:sz w:val="20"/>
        </w:rPr>
      </w:pPr>
    </w:p>
    <w:p w14:paraId="51DE8341" w14:textId="77777777" w:rsidR="0010369C" w:rsidRDefault="008E43AE">
      <w:pPr>
        <w:pStyle w:val="BodyText"/>
        <w:spacing w:before="7"/>
        <w:rPr>
          <w:sz w:val="29"/>
        </w:rPr>
      </w:pPr>
      <w:r>
        <w:pict w14:anchorId="51DEA017">
          <v:rect id="docshape449" o:spid="_x0000_s1815" style="position:absolute;margin-left:70.9pt;margin-top:19.3pt;width:2in;height:.8pt;z-index:-251073024;mso-wrap-distance-left:0;mso-wrap-distance-right:0;mso-position-horizontal-relative:page" fillcolor="black" stroked="f">
            <w10:wrap type="topAndBottom" anchorx="page"/>
          </v:rect>
        </w:pict>
      </w:r>
    </w:p>
    <w:p w14:paraId="51DE8342" w14:textId="77777777" w:rsidR="0010369C" w:rsidRDefault="0010369C">
      <w:pPr>
        <w:pStyle w:val="BodyText"/>
        <w:spacing w:before="8"/>
        <w:rPr>
          <w:sz w:val="5"/>
        </w:rPr>
      </w:pPr>
    </w:p>
    <w:p w14:paraId="51DE8343" w14:textId="77777777" w:rsidR="0010369C" w:rsidRDefault="0010369C">
      <w:pPr>
        <w:rPr>
          <w:sz w:val="5"/>
        </w:rPr>
        <w:sectPr w:rsidR="0010369C">
          <w:pgSz w:w="11910" w:h="16840"/>
          <w:pgMar w:top="880" w:right="800" w:bottom="980" w:left="1180" w:header="569" w:footer="788" w:gutter="0"/>
          <w:cols w:space="720"/>
        </w:sectPr>
      </w:pPr>
    </w:p>
    <w:p w14:paraId="51DE8344" w14:textId="77777777" w:rsidR="0010369C" w:rsidRDefault="008E43AE">
      <w:pPr>
        <w:spacing w:before="37"/>
        <w:ind w:left="238"/>
        <w:rPr>
          <w:sz w:val="18"/>
        </w:rPr>
      </w:pPr>
      <w:r>
        <w:pict w14:anchorId="51DEA018">
          <v:rect id="docshape450" o:spid="_x0000_s1814" style="position:absolute;left:0;text-align:left;margin-left:86.65pt;margin-top:2.35pt;width:303.25pt;height:12.05pt;z-index:251770368;mso-position-horizontal-relative:page" fillcolor="black" stroked="f">
            <w10:wrap anchorx="page"/>
          </v:rect>
        </w:pict>
      </w:r>
      <w:r>
        <w:rPr>
          <w:color w:val="5E5E5E"/>
          <w:sz w:val="12"/>
        </w:rPr>
        <w:t>251</w:t>
      </w:r>
      <w:r>
        <w:rPr>
          <w:color w:val="5E5E5E"/>
          <w:spacing w:val="11"/>
          <w:sz w:val="12"/>
        </w:rPr>
        <w:t xml:space="preserve"> </w:t>
      </w:r>
      <w:r>
        <w:rPr>
          <w:color w:val="5E5E5E"/>
          <w:spacing w:val="-10"/>
          <w:position w:val="-5"/>
          <w:sz w:val="18"/>
        </w:rPr>
        <w:t>[</w:t>
      </w:r>
    </w:p>
    <w:p w14:paraId="51DE8345" w14:textId="77777777" w:rsidR="0010369C" w:rsidRDefault="008E43AE">
      <w:pPr>
        <w:spacing w:before="40"/>
        <w:ind w:left="238"/>
        <w:rPr>
          <w:sz w:val="18"/>
        </w:rPr>
      </w:pPr>
      <w:r>
        <w:br w:type="column"/>
      </w:r>
      <w:r>
        <w:rPr>
          <w:color w:val="5E5E5E"/>
          <w:sz w:val="18"/>
        </w:rPr>
        <w:t>(Exhibit</w:t>
      </w:r>
      <w:r>
        <w:rPr>
          <w:color w:val="5E5E5E"/>
          <w:spacing w:val="-9"/>
          <w:sz w:val="18"/>
        </w:rPr>
        <w:t xml:space="preserve"> </w:t>
      </w:r>
      <w:r>
        <w:rPr>
          <w:color w:val="5E5E5E"/>
          <w:sz w:val="18"/>
        </w:rPr>
        <w:t>AUS‐11</w:t>
      </w:r>
      <w:r>
        <w:rPr>
          <w:color w:val="5E5E5E"/>
          <w:spacing w:val="-9"/>
          <w:sz w:val="18"/>
        </w:rPr>
        <w:t xml:space="preserve"> </w:t>
      </w:r>
      <w:r>
        <w:rPr>
          <w:color w:val="5E5E5E"/>
          <w:spacing w:val="-2"/>
          <w:sz w:val="18"/>
        </w:rPr>
        <w:t>(BCI)),</w:t>
      </w:r>
    </w:p>
    <w:p w14:paraId="51DE8346" w14:textId="77777777" w:rsidR="0010369C" w:rsidRDefault="008E43AE">
      <w:pPr>
        <w:spacing w:before="40"/>
        <w:ind w:left="238"/>
        <w:rPr>
          <w:sz w:val="18"/>
        </w:rPr>
      </w:pPr>
      <w:r>
        <w:br w:type="column"/>
      </w:r>
      <w:r>
        <w:rPr>
          <w:color w:val="5E5E5E"/>
          <w:spacing w:val="-5"/>
          <w:sz w:val="18"/>
        </w:rPr>
        <w:t>.]]</w:t>
      </w:r>
    </w:p>
    <w:p w14:paraId="51DE8347" w14:textId="77777777" w:rsidR="0010369C" w:rsidRDefault="0010369C">
      <w:pPr>
        <w:rPr>
          <w:sz w:val="18"/>
        </w:rPr>
        <w:sectPr w:rsidR="0010369C">
          <w:type w:val="continuous"/>
          <w:pgSz w:w="11910" w:h="16840"/>
          <w:pgMar w:top="1460" w:right="800" w:bottom="280" w:left="1180" w:header="569" w:footer="788" w:gutter="0"/>
          <w:cols w:num="3" w:space="720" w:equalWidth="0">
            <w:col w:w="559" w:space="5883"/>
            <w:col w:w="1902" w:space="125"/>
            <w:col w:w="1461"/>
          </w:cols>
        </w:sectPr>
      </w:pPr>
    </w:p>
    <w:p w14:paraId="51DE8348" w14:textId="77777777" w:rsidR="0010369C" w:rsidRDefault="008E43AE">
      <w:pPr>
        <w:ind w:left="237" w:right="614"/>
        <w:rPr>
          <w:sz w:val="18"/>
        </w:rPr>
      </w:pPr>
      <w:r>
        <w:rPr>
          <w:sz w:val="18"/>
          <w:vertAlign w:val="superscript"/>
        </w:rPr>
        <w:t>252</w:t>
      </w:r>
      <w:r>
        <w:rPr>
          <w:sz w:val="18"/>
        </w:rPr>
        <w:t xml:space="preserve"> Panel Report, </w:t>
      </w:r>
      <w:r>
        <w:rPr>
          <w:i/>
          <w:sz w:val="18"/>
        </w:rPr>
        <w:t>China – Broiler Products (Article 21.5 ‐ US)</w:t>
      </w:r>
      <w:r>
        <w:rPr>
          <w:sz w:val="18"/>
        </w:rPr>
        <w:t xml:space="preserve">, para. 7.348. In that dispute, the Panel considered an analogous </w:t>
      </w:r>
      <w:r>
        <w:rPr>
          <w:spacing w:val="-2"/>
          <w:sz w:val="18"/>
        </w:rPr>
        <w:t>situation.</w:t>
      </w:r>
    </w:p>
    <w:p w14:paraId="51DE8349" w14:textId="77777777" w:rsidR="0010369C" w:rsidRDefault="0010369C">
      <w:pPr>
        <w:rPr>
          <w:sz w:val="18"/>
        </w:rPr>
        <w:sectPr w:rsidR="0010369C">
          <w:type w:val="continuous"/>
          <w:pgSz w:w="11910" w:h="16840"/>
          <w:pgMar w:top="1460" w:right="800" w:bottom="280" w:left="1180" w:header="569" w:footer="788" w:gutter="0"/>
          <w:cols w:space="720"/>
        </w:sectPr>
      </w:pPr>
    </w:p>
    <w:p w14:paraId="51DE834A" w14:textId="77777777" w:rsidR="0010369C" w:rsidRDefault="008E43AE">
      <w:pPr>
        <w:tabs>
          <w:tab w:val="left" w:pos="6425"/>
        </w:tabs>
        <w:ind w:left="238"/>
        <w:rPr>
          <w:sz w:val="20"/>
        </w:rPr>
      </w:pPr>
      <w:r>
        <w:rPr>
          <w:i/>
          <w:sz w:val="20"/>
        </w:rPr>
        <w:lastRenderedPageBreak/>
        <w:t>China</w:t>
      </w:r>
      <w:r>
        <w:rPr>
          <w:i/>
          <w:spacing w:val="-5"/>
          <w:sz w:val="20"/>
        </w:rPr>
        <w:t xml:space="preserve"> </w:t>
      </w:r>
      <w:r>
        <w:rPr>
          <w:i/>
          <w:sz w:val="20"/>
        </w:rPr>
        <w:t>–</w:t>
      </w:r>
      <w:r>
        <w:rPr>
          <w:i/>
          <w:spacing w:val="-5"/>
          <w:sz w:val="20"/>
        </w:rPr>
        <w:t xml:space="preserve"> </w:t>
      </w:r>
      <w:r>
        <w:rPr>
          <w:i/>
          <w:sz w:val="20"/>
        </w:rPr>
        <w:t>Anti‐Dumping</w:t>
      </w:r>
      <w:r>
        <w:rPr>
          <w:i/>
          <w:spacing w:val="-4"/>
          <w:sz w:val="20"/>
        </w:rPr>
        <w:t xml:space="preserve"> </w:t>
      </w:r>
      <w:r>
        <w:rPr>
          <w:i/>
          <w:sz w:val="20"/>
        </w:rPr>
        <w:t>and</w:t>
      </w:r>
      <w:r>
        <w:rPr>
          <w:i/>
          <w:spacing w:val="-5"/>
          <w:sz w:val="20"/>
        </w:rPr>
        <w:t xml:space="preserve"> </w:t>
      </w:r>
      <w:r>
        <w:rPr>
          <w:i/>
          <w:sz w:val="20"/>
        </w:rPr>
        <w:t>Countervailing</w:t>
      </w:r>
      <w:r>
        <w:rPr>
          <w:i/>
          <w:spacing w:val="-5"/>
          <w:sz w:val="20"/>
        </w:rPr>
        <w:t xml:space="preserve"> </w:t>
      </w:r>
      <w:r>
        <w:rPr>
          <w:i/>
          <w:sz w:val="20"/>
        </w:rPr>
        <w:t>Duty</w:t>
      </w:r>
      <w:r>
        <w:rPr>
          <w:i/>
          <w:spacing w:val="-4"/>
          <w:sz w:val="20"/>
        </w:rPr>
        <w:t xml:space="preserve"> </w:t>
      </w:r>
      <w:r>
        <w:rPr>
          <w:i/>
          <w:spacing w:val="-2"/>
          <w:sz w:val="20"/>
        </w:rPr>
        <w:t>Measures</w:t>
      </w:r>
      <w:r>
        <w:rPr>
          <w:i/>
          <w:sz w:val="20"/>
        </w:rPr>
        <w:tab/>
      </w:r>
      <w:r>
        <w:rPr>
          <w:sz w:val="20"/>
        </w:rPr>
        <w:t>Australia's</w:t>
      </w:r>
      <w:r>
        <w:rPr>
          <w:spacing w:val="-7"/>
          <w:sz w:val="20"/>
        </w:rPr>
        <w:t xml:space="preserve"> </w:t>
      </w:r>
      <w:r>
        <w:rPr>
          <w:sz w:val="20"/>
        </w:rPr>
        <w:t>First</w:t>
      </w:r>
      <w:r>
        <w:rPr>
          <w:spacing w:val="-2"/>
          <w:sz w:val="20"/>
        </w:rPr>
        <w:t xml:space="preserve"> </w:t>
      </w:r>
      <w:r>
        <w:rPr>
          <w:sz w:val="20"/>
        </w:rPr>
        <w:t>Written</w:t>
      </w:r>
      <w:r>
        <w:rPr>
          <w:spacing w:val="-2"/>
          <w:sz w:val="20"/>
        </w:rPr>
        <w:t xml:space="preserve"> Submission</w:t>
      </w:r>
    </w:p>
    <w:p w14:paraId="51DE834B" w14:textId="77777777" w:rsidR="0010369C" w:rsidRDefault="008E43AE">
      <w:pPr>
        <w:tabs>
          <w:tab w:val="left" w:pos="8227"/>
        </w:tabs>
        <w:spacing w:before="1"/>
        <w:ind w:left="239"/>
        <w:rPr>
          <w:sz w:val="20"/>
        </w:rPr>
      </w:pPr>
      <w:r>
        <w:rPr>
          <w:i/>
          <w:sz w:val="20"/>
        </w:rPr>
        <w:t>on</w:t>
      </w:r>
      <w:r>
        <w:rPr>
          <w:i/>
          <w:spacing w:val="-1"/>
          <w:sz w:val="20"/>
        </w:rPr>
        <w:t xml:space="preserve"> </w:t>
      </w:r>
      <w:r>
        <w:rPr>
          <w:i/>
          <w:sz w:val="20"/>
        </w:rPr>
        <w:t>Wine</w:t>
      </w:r>
      <w:r>
        <w:rPr>
          <w:i/>
          <w:spacing w:val="-1"/>
          <w:sz w:val="20"/>
        </w:rPr>
        <w:t xml:space="preserve"> </w:t>
      </w:r>
      <w:r>
        <w:rPr>
          <w:i/>
          <w:sz w:val="20"/>
        </w:rPr>
        <w:t>from</w:t>
      </w:r>
      <w:r>
        <w:rPr>
          <w:i/>
          <w:spacing w:val="-3"/>
          <w:sz w:val="20"/>
        </w:rPr>
        <w:t xml:space="preserve"> </w:t>
      </w:r>
      <w:r>
        <w:rPr>
          <w:i/>
          <w:sz w:val="20"/>
        </w:rPr>
        <w:t>Australia</w:t>
      </w:r>
      <w:r>
        <w:rPr>
          <w:i/>
          <w:spacing w:val="-1"/>
          <w:sz w:val="20"/>
        </w:rPr>
        <w:t xml:space="preserve"> </w:t>
      </w:r>
      <w:r>
        <w:rPr>
          <w:spacing w:val="-2"/>
          <w:sz w:val="20"/>
        </w:rPr>
        <w:t>(DS602)</w:t>
      </w:r>
      <w:r>
        <w:rPr>
          <w:sz w:val="20"/>
        </w:rPr>
        <w:tab/>
        <w:t>29</w:t>
      </w:r>
      <w:r>
        <w:rPr>
          <w:spacing w:val="-1"/>
          <w:sz w:val="20"/>
        </w:rPr>
        <w:t xml:space="preserve"> </w:t>
      </w:r>
      <w:r>
        <w:rPr>
          <w:sz w:val="20"/>
        </w:rPr>
        <w:t>April</w:t>
      </w:r>
      <w:r>
        <w:rPr>
          <w:spacing w:val="-2"/>
          <w:sz w:val="20"/>
        </w:rPr>
        <w:t xml:space="preserve"> </w:t>
      </w:r>
      <w:r>
        <w:rPr>
          <w:spacing w:val="-4"/>
          <w:sz w:val="20"/>
        </w:rPr>
        <w:t>2022</w:t>
      </w:r>
    </w:p>
    <w:p w14:paraId="51DE834C" w14:textId="77777777" w:rsidR="0010369C" w:rsidRDefault="008E43AE">
      <w:pPr>
        <w:pStyle w:val="BodyText"/>
        <w:spacing w:before="34" w:line="360" w:lineRule="auto"/>
        <w:ind w:left="238" w:right="614" w:hanging="1"/>
      </w:pPr>
      <w:r>
        <w:t>in</w:t>
      </w:r>
      <w:r>
        <w:rPr>
          <w:spacing w:val="37"/>
        </w:rPr>
        <w:t xml:space="preserve"> </w:t>
      </w:r>
      <w:r>
        <w:t>the</w:t>
      </w:r>
      <w:r>
        <w:rPr>
          <w:spacing w:val="37"/>
        </w:rPr>
        <w:t xml:space="preserve"> </w:t>
      </w:r>
      <w:r>
        <w:t>Final</w:t>
      </w:r>
      <w:r>
        <w:rPr>
          <w:spacing w:val="37"/>
        </w:rPr>
        <w:t xml:space="preserve"> </w:t>
      </w:r>
      <w:r>
        <w:t>Determination)</w:t>
      </w:r>
      <w:r>
        <w:rPr>
          <w:spacing w:val="38"/>
        </w:rPr>
        <w:t xml:space="preserve"> </w:t>
      </w:r>
      <w:r>
        <w:t>MOFCOM</w:t>
      </w:r>
      <w:r>
        <w:rPr>
          <w:spacing w:val="37"/>
        </w:rPr>
        <w:t xml:space="preserve"> </w:t>
      </w:r>
      <w:r>
        <w:t>was</w:t>
      </w:r>
      <w:r>
        <w:rPr>
          <w:spacing w:val="37"/>
        </w:rPr>
        <w:t xml:space="preserve"> </w:t>
      </w:r>
      <w:r>
        <w:t>still</w:t>
      </w:r>
      <w:r>
        <w:rPr>
          <w:spacing w:val="37"/>
        </w:rPr>
        <w:t xml:space="preserve"> </w:t>
      </w:r>
      <w:r>
        <w:t>precluded</w:t>
      </w:r>
      <w:r>
        <w:rPr>
          <w:spacing w:val="37"/>
        </w:rPr>
        <w:t xml:space="preserve"> </w:t>
      </w:r>
      <w:r>
        <w:t>from</w:t>
      </w:r>
      <w:r>
        <w:rPr>
          <w:spacing w:val="37"/>
        </w:rPr>
        <w:t xml:space="preserve"> </w:t>
      </w:r>
      <w:r>
        <w:t>rejecting</w:t>
      </w:r>
      <w:r>
        <w:rPr>
          <w:spacing w:val="37"/>
        </w:rPr>
        <w:t xml:space="preserve"> </w:t>
      </w:r>
      <w:r>
        <w:t>that</w:t>
      </w:r>
      <w:r>
        <w:rPr>
          <w:spacing w:val="37"/>
        </w:rPr>
        <w:t xml:space="preserve"> </w:t>
      </w:r>
      <w:r>
        <w:t>information pursuant</w:t>
      </w:r>
      <w:r>
        <w:rPr>
          <w:spacing w:val="-11"/>
        </w:rPr>
        <w:t xml:space="preserve"> </w:t>
      </w:r>
      <w:r>
        <w:t>to</w:t>
      </w:r>
      <w:r>
        <w:rPr>
          <w:spacing w:val="-10"/>
        </w:rPr>
        <w:t xml:space="preserve"> </w:t>
      </w:r>
      <w:r>
        <w:t>paragraph</w:t>
      </w:r>
      <w:r>
        <w:rPr>
          <w:spacing w:val="-10"/>
        </w:rPr>
        <w:t xml:space="preserve"> </w:t>
      </w:r>
      <w:r>
        <w:t>5</w:t>
      </w:r>
      <w:r>
        <w:rPr>
          <w:spacing w:val="-11"/>
        </w:rPr>
        <w:t xml:space="preserve"> </w:t>
      </w:r>
      <w:r>
        <w:t>of</w:t>
      </w:r>
      <w:r>
        <w:rPr>
          <w:spacing w:val="-12"/>
        </w:rPr>
        <w:t xml:space="preserve"> </w:t>
      </w:r>
      <w:r>
        <w:t>Annex</w:t>
      </w:r>
      <w:r>
        <w:rPr>
          <w:spacing w:val="-10"/>
        </w:rPr>
        <w:t xml:space="preserve"> </w:t>
      </w:r>
      <w:r>
        <w:t>II,</w:t>
      </w:r>
      <w:r>
        <w:rPr>
          <w:spacing w:val="-10"/>
        </w:rPr>
        <w:t xml:space="preserve"> </w:t>
      </w:r>
      <w:r>
        <w:t>provided</w:t>
      </w:r>
      <w:r>
        <w:rPr>
          <w:spacing w:val="-10"/>
        </w:rPr>
        <w:t xml:space="preserve"> </w:t>
      </w:r>
      <w:r>
        <w:t>Treasury</w:t>
      </w:r>
      <w:r>
        <w:rPr>
          <w:spacing w:val="-12"/>
        </w:rPr>
        <w:t xml:space="preserve"> </w:t>
      </w:r>
      <w:r>
        <w:t>Wines</w:t>
      </w:r>
      <w:r>
        <w:rPr>
          <w:spacing w:val="-11"/>
        </w:rPr>
        <w:t xml:space="preserve"> </w:t>
      </w:r>
      <w:r>
        <w:t>acted</w:t>
      </w:r>
      <w:r>
        <w:rPr>
          <w:spacing w:val="-12"/>
        </w:rPr>
        <w:t xml:space="preserve"> </w:t>
      </w:r>
      <w:r>
        <w:t>to</w:t>
      </w:r>
      <w:r>
        <w:rPr>
          <w:spacing w:val="-11"/>
        </w:rPr>
        <w:t xml:space="preserve"> </w:t>
      </w:r>
      <w:r>
        <w:t>the</w:t>
      </w:r>
      <w:r>
        <w:rPr>
          <w:spacing w:val="-10"/>
        </w:rPr>
        <w:t xml:space="preserve"> </w:t>
      </w:r>
      <w:r>
        <w:t>best</w:t>
      </w:r>
      <w:r>
        <w:rPr>
          <w:spacing w:val="-11"/>
        </w:rPr>
        <w:t xml:space="preserve"> </w:t>
      </w:r>
      <w:r>
        <w:t>of</w:t>
      </w:r>
      <w:r>
        <w:rPr>
          <w:spacing w:val="-11"/>
        </w:rPr>
        <w:t xml:space="preserve"> </w:t>
      </w:r>
      <w:r>
        <w:t>its</w:t>
      </w:r>
      <w:r>
        <w:rPr>
          <w:spacing w:val="-10"/>
        </w:rPr>
        <w:t xml:space="preserve"> </w:t>
      </w:r>
      <w:r>
        <w:rPr>
          <w:spacing w:val="-2"/>
        </w:rPr>
        <w:t>abilities.</w:t>
      </w:r>
    </w:p>
    <w:p w14:paraId="51DE834D" w14:textId="77777777" w:rsidR="0010369C" w:rsidRDefault="0010369C">
      <w:pPr>
        <w:pStyle w:val="BodyText"/>
        <w:spacing w:before="10"/>
        <w:rPr>
          <w:sz w:val="8"/>
        </w:rPr>
      </w:pPr>
    </w:p>
    <w:p w14:paraId="51DE834E" w14:textId="77777777" w:rsidR="0010369C" w:rsidRDefault="008E43AE">
      <w:pPr>
        <w:pStyle w:val="BodyText"/>
        <w:spacing w:before="52" w:line="360" w:lineRule="auto"/>
        <w:ind w:left="237" w:right="614" w:firstLine="852"/>
        <w:jc w:val="both"/>
      </w:pPr>
      <w:r>
        <w:rPr>
          <w:noProof/>
        </w:rPr>
        <w:drawing>
          <wp:anchor distT="0" distB="0" distL="0" distR="0" simplePos="0" relativeHeight="250896896" behindDoc="1" locked="0" layoutInCell="1" allowOverlap="1" wp14:anchorId="51DEA019" wp14:editId="51DEA01A">
            <wp:simplePos x="0" y="0"/>
            <wp:positionH relativeFrom="page">
              <wp:posOffset>905255</wp:posOffset>
            </wp:positionH>
            <wp:positionV relativeFrom="paragraph">
              <wp:posOffset>76785</wp:posOffset>
            </wp:positionV>
            <wp:extent cx="259079" cy="106679"/>
            <wp:effectExtent l="0" t="0" r="0" b="0"/>
            <wp:wrapNone/>
            <wp:docPr id="453" name="image2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image235.png"/>
                    <pic:cNvPicPr/>
                  </pic:nvPicPr>
                  <pic:blipFill>
                    <a:blip r:embed="rId337" cstate="print"/>
                    <a:stretch>
                      <a:fillRect/>
                    </a:stretch>
                  </pic:blipFill>
                  <pic:spPr>
                    <a:xfrm>
                      <a:off x="0" y="0"/>
                      <a:ext cx="259079" cy="106679"/>
                    </a:xfrm>
                    <a:prstGeom prst="rect">
                      <a:avLst/>
                    </a:prstGeom>
                  </pic:spPr>
                </pic:pic>
              </a:graphicData>
            </a:graphic>
          </wp:anchor>
        </w:drawing>
      </w:r>
      <w:r>
        <w:t>Further, pursuant to paragraph 6 of Annex II, MOFCOM was obliged to consider the explanations and data provided by Treasury Wines in response to the Preliminary Determination</w:t>
      </w:r>
      <w:r>
        <w:rPr>
          <w:spacing w:val="-12"/>
        </w:rPr>
        <w:t xml:space="preserve"> </w:t>
      </w:r>
      <w:r>
        <w:t>and,</w:t>
      </w:r>
      <w:r>
        <w:rPr>
          <w:spacing w:val="-12"/>
        </w:rPr>
        <w:t xml:space="preserve"> </w:t>
      </w:r>
      <w:r>
        <w:t>if</w:t>
      </w:r>
      <w:r>
        <w:rPr>
          <w:spacing w:val="-12"/>
        </w:rPr>
        <w:t xml:space="preserve"> </w:t>
      </w:r>
      <w:r>
        <w:t>they</w:t>
      </w:r>
      <w:r>
        <w:rPr>
          <w:spacing w:val="-12"/>
        </w:rPr>
        <w:t xml:space="preserve"> </w:t>
      </w:r>
      <w:r>
        <w:t>were</w:t>
      </w:r>
      <w:r>
        <w:rPr>
          <w:spacing w:val="-11"/>
        </w:rPr>
        <w:t xml:space="preserve"> </w:t>
      </w:r>
      <w:r>
        <w:t>not</w:t>
      </w:r>
      <w:r>
        <w:rPr>
          <w:spacing w:val="-12"/>
        </w:rPr>
        <w:t xml:space="preserve"> </w:t>
      </w:r>
      <w:r>
        <w:t>considered</w:t>
      </w:r>
      <w:r>
        <w:rPr>
          <w:spacing w:val="-13"/>
        </w:rPr>
        <w:t xml:space="preserve"> </w:t>
      </w:r>
      <w:r>
        <w:t>satisfactory,</w:t>
      </w:r>
      <w:r>
        <w:rPr>
          <w:spacing w:val="-13"/>
        </w:rPr>
        <w:t xml:space="preserve"> </w:t>
      </w:r>
      <w:r>
        <w:t>MOFCOM</w:t>
      </w:r>
      <w:r>
        <w:rPr>
          <w:spacing w:val="-12"/>
        </w:rPr>
        <w:t xml:space="preserve"> </w:t>
      </w:r>
      <w:r>
        <w:t>was</w:t>
      </w:r>
      <w:r>
        <w:rPr>
          <w:spacing w:val="-13"/>
        </w:rPr>
        <w:t xml:space="preserve"> </w:t>
      </w:r>
      <w:r>
        <w:t>obliged</w:t>
      </w:r>
      <w:r>
        <w:rPr>
          <w:spacing w:val="-12"/>
        </w:rPr>
        <w:t xml:space="preserve"> </w:t>
      </w:r>
      <w:r>
        <w:t>to</w:t>
      </w:r>
      <w:r>
        <w:rPr>
          <w:spacing w:val="-12"/>
        </w:rPr>
        <w:t xml:space="preserve"> </w:t>
      </w:r>
      <w:r>
        <w:t>provide reas</w:t>
      </w:r>
      <w:r>
        <w:t>ons</w:t>
      </w:r>
      <w:r>
        <w:rPr>
          <w:spacing w:val="-7"/>
        </w:rPr>
        <w:t xml:space="preserve"> </w:t>
      </w:r>
      <w:r>
        <w:t>for</w:t>
      </w:r>
      <w:r>
        <w:rPr>
          <w:spacing w:val="-6"/>
        </w:rPr>
        <w:t xml:space="preserve"> </w:t>
      </w:r>
      <w:r>
        <w:t>the</w:t>
      </w:r>
      <w:r>
        <w:rPr>
          <w:spacing w:val="-5"/>
        </w:rPr>
        <w:t xml:space="preserve"> </w:t>
      </w:r>
      <w:r>
        <w:t>rejection</w:t>
      </w:r>
      <w:r>
        <w:rPr>
          <w:spacing w:val="-7"/>
        </w:rPr>
        <w:t xml:space="preserve"> </w:t>
      </w:r>
      <w:r>
        <w:t>of</w:t>
      </w:r>
      <w:r>
        <w:rPr>
          <w:spacing w:val="-6"/>
        </w:rPr>
        <w:t xml:space="preserve"> </w:t>
      </w:r>
      <w:r>
        <w:t>the</w:t>
      </w:r>
      <w:r>
        <w:rPr>
          <w:spacing w:val="-5"/>
        </w:rPr>
        <w:t xml:space="preserve"> </w:t>
      </w:r>
      <w:r>
        <w:t>evidence</w:t>
      </w:r>
      <w:r>
        <w:rPr>
          <w:spacing w:val="-6"/>
        </w:rPr>
        <w:t xml:space="preserve"> </w:t>
      </w:r>
      <w:r>
        <w:t>and</w:t>
      </w:r>
      <w:r>
        <w:rPr>
          <w:spacing w:val="-6"/>
        </w:rPr>
        <w:t xml:space="preserve"> </w:t>
      </w:r>
      <w:r>
        <w:t>information</w:t>
      </w:r>
      <w:r>
        <w:rPr>
          <w:spacing w:val="-5"/>
        </w:rPr>
        <w:t xml:space="preserve"> </w:t>
      </w:r>
      <w:r>
        <w:t>in</w:t>
      </w:r>
      <w:r>
        <w:rPr>
          <w:spacing w:val="-6"/>
        </w:rPr>
        <w:t xml:space="preserve"> </w:t>
      </w:r>
      <w:r>
        <w:t>its</w:t>
      </w:r>
      <w:r>
        <w:rPr>
          <w:spacing w:val="-6"/>
        </w:rPr>
        <w:t xml:space="preserve"> </w:t>
      </w:r>
      <w:r>
        <w:t>published</w:t>
      </w:r>
      <w:r>
        <w:rPr>
          <w:spacing w:val="-4"/>
        </w:rPr>
        <w:t xml:space="preserve"> </w:t>
      </w:r>
      <w:r>
        <w:t>determinations</w:t>
      </w:r>
      <w:r>
        <w:rPr>
          <w:spacing w:val="-5"/>
        </w:rPr>
        <w:t xml:space="preserve"> </w:t>
      </w:r>
      <w:r>
        <w:t>and provide an opportunity for interested parties to give an explanation. It did not do so.</w:t>
      </w:r>
    </w:p>
    <w:p w14:paraId="51DE834F" w14:textId="77777777" w:rsidR="0010369C" w:rsidRDefault="0010369C">
      <w:pPr>
        <w:pStyle w:val="BodyText"/>
        <w:spacing w:before="11"/>
        <w:rPr>
          <w:sz w:val="8"/>
        </w:rPr>
      </w:pPr>
    </w:p>
    <w:p w14:paraId="51DE8350" w14:textId="77777777" w:rsidR="0010369C" w:rsidRDefault="008E43AE">
      <w:pPr>
        <w:pStyle w:val="BodyText"/>
        <w:spacing w:before="52" w:line="360" w:lineRule="auto"/>
        <w:ind w:left="238" w:right="613" w:firstLine="850"/>
        <w:jc w:val="both"/>
      </w:pPr>
      <w:r>
        <w:rPr>
          <w:noProof/>
        </w:rPr>
        <w:drawing>
          <wp:anchor distT="0" distB="0" distL="0" distR="0" simplePos="0" relativeHeight="250897920" behindDoc="1" locked="0" layoutInCell="1" allowOverlap="1" wp14:anchorId="51DEA01B" wp14:editId="51DEA01C">
            <wp:simplePos x="0" y="0"/>
            <wp:positionH relativeFrom="page">
              <wp:posOffset>905255</wp:posOffset>
            </wp:positionH>
            <wp:positionV relativeFrom="paragraph">
              <wp:posOffset>81949</wp:posOffset>
            </wp:positionV>
            <wp:extent cx="259079" cy="100753"/>
            <wp:effectExtent l="0" t="0" r="0" b="0"/>
            <wp:wrapNone/>
            <wp:docPr id="455" name="image2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image236.png"/>
                    <pic:cNvPicPr/>
                  </pic:nvPicPr>
                  <pic:blipFill>
                    <a:blip r:embed="rId338" cstate="print"/>
                    <a:stretch>
                      <a:fillRect/>
                    </a:stretch>
                  </pic:blipFill>
                  <pic:spPr>
                    <a:xfrm>
                      <a:off x="0" y="0"/>
                      <a:ext cx="259079" cy="100753"/>
                    </a:xfrm>
                    <a:prstGeom prst="rect">
                      <a:avLst/>
                    </a:prstGeom>
                  </pic:spPr>
                </pic:pic>
              </a:graphicData>
            </a:graphic>
          </wp:anchor>
        </w:drawing>
      </w:r>
      <w:r>
        <w:t>For the foregoing reasons, MOFCOM erred when claiming certain datasets and i</w:t>
      </w:r>
      <w:r>
        <w:t>nformation</w:t>
      </w:r>
      <w:r>
        <w:rPr>
          <w:spacing w:val="-11"/>
        </w:rPr>
        <w:t xml:space="preserve"> </w:t>
      </w:r>
      <w:r>
        <w:t>could</w:t>
      </w:r>
      <w:r>
        <w:rPr>
          <w:spacing w:val="-11"/>
        </w:rPr>
        <w:t xml:space="preserve"> </w:t>
      </w:r>
      <w:r>
        <w:t>not</w:t>
      </w:r>
      <w:r>
        <w:rPr>
          <w:spacing w:val="-11"/>
        </w:rPr>
        <w:t xml:space="preserve"> </w:t>
      </w:r>
      <w:r>
        <w:t>be</w:t>
      </w:r>
      <w:r>
        <w:rPr>
          <w:spacing w:val="-12"/>
        </w:rPr>
        <w:t xml:space="preserve"> </w:t>
      </w:r>
      <w:r>
        <w:t>reconciled</w:t>
      </w:r>
      <w:r>
        <w:rPr>
          <w:spacing w:val="-12"/>
        </w:rPr>
        <w:t xml:space="preserve"> </w:t>
      </w:r>
      <w:r>
        <w:t>and,</w:t>
      </w:r>
      <w:r>
        <w:rPr>
          <w:spacing w:val="-11"/>
        </w:rPr>
        <w:t xml:space="preserve"> </w:t>
      </w:r>
      <w:r>
        <w:t>therefore,</w:t>
      </w:r>
      <w:r>
        <w:rPr>
          <w:spacing w:val="-11"/>
        </w:rPr>
        <w:t xml:space="preserve"> </w:t>
      </w:r>
      <w:r>
        <w:t>China</w:t>
      </w:r>
      <w:r>
        <w:rPr>
          <w:spacing w:val="-11"/>
        </w:rPr>
        <w:t xml:space="preserve"> </w:t>
      </w:r>
      <w:r>
        <w:t>acted</w:t>
      </w:r>
      <w:r>
        <w:rPr>
          <w:spacing w:val="-11"/>
        </w:rPr>
        <w:t xml:space="preserve"> </w:t>
      </w:r>
      <w:r>
        <w:t>inconsistently</w:t>
      </w:r>
      <w:r>
        <w:rPr>
          <w:spacing w:val="-9"/>
        </w:rPr>
        <w:t xml:space="preserve"> </w:t>
      </w:r>
      <w:r>
        <w:t>with</w:t>
      </w:r>
      <w:r>
        <w:rPr>
          <w:spacing w:val="-11"/>
        </w:rPr>
        <w:t xml:space="preserve"> </w:t>
      </w:r>
      <w:r>
        <w:t>Article</w:t>
      </w:r>
      <w:r>
        <w:rPr>
          <w:spacing w:val="-11"/>
        </w:rPr>
        <w:t xml:space="preserve"> </w:t>
      </w:r>
      <w:r>
        <w:t>6.8 and paragraphs 1, 3, 5 and 6 of Annex II of the Anti‐Dumping Agreement.</w:t>
      </w:r>
    </w:p>
    <w:p w14:paraId="51DE8351" w14:textId="77777777" w:rsidR="0010369C" w:rsidRDefault="008E43AE">
      <w:pPr>
        <w:pStyle w:val="ListParagraph"/>
        <w:numPr>
          <w:ilvl w:val="3"/>
          <w:numId w:val="75"/>
        </w:numPr>
        <w:tabs>
          <w:tab w:val="left" w:pos="3642"/>
          <w:tab w:val="left" w:pos="3643"/>
        </w:tabs>
        <w:spacing w:before="161"/>
        <w:ind w:hanging="853"/>
        <w:jc w:val="both"/>
        <w:rPr>
          <w:sz w:val="24"/>
        </w:rPr>
      </w:pPr>
      <w:r>
        <w:rPr>
          <w:sz w:val="24"/>
          <w:u w:val="single"/>
        </w:rPr>
        <w:t>Information</w:t>
      </w:r>
      <w:r>
        <w:rPr>
          <w:spacing w:val="-8"/>
          <w:sz w:val="24"/>
          <w:u w:val="single"/>
        </w:rPr>
        <w:t xml:space="preserve"> </w:t>
      </w:r>
      <w:r>
        <w:rPr>
          <w:sz w:val="24"/>
          <w:u w:val="single"/>
        </w:rPr>
        <w:t>used</w:t>
      </w:r>
      <w:r>
        <w:rPr>
          <w:spacing w:val="-6"/>
          <w:sz w:val="24"/>
          <w:u w:val="single"/>
        </w:rPr>
        <w:t xml:space="preserve"> </w:t>
      </w:r>
      <w:r>
        <w:rPr>
          <w:sz w:val="24"/>
          <w:u w:val="single"/>
        </w:rPr>
        <w:t>was</w:t>
      </w:r>
      <w:r>
        <w:rPr>
          <w:spacing w:val="-6"/>
          <w:sz w:val="24"/>
          <w:u w:val="single"/>
        </w:rPr>
        <w:t xml:space="preserve"> </w:t>
      </w:r>
      <w:r>
        <w:rPr>
          <w:sz w:val="24"/>
          <w:u w:val="single"/>
        </w:rPr>
        <w:t>not</w:t>
      </w:r>
      <w:r>
        <w:rPr>
          <w:spacing w:val="-6"/>
          <w:sz w:val="24"/>
          <w:u w:val="single"/>
        </w:rPr>
        <w:t xml:space="preserve"> </w:t>
      </w:r>
      <w:r>
        <w:rPr>
          <w:sz w:val="24"/>
          <w:u w:val="single"/>
        </w:rPr>
        <w:t>the</w:t>
      </w:r>
      <w:r>
        <w:rPr>
          <w:spacing w:val="-5"/>
          <w:sz w:val="24"/>
          <w:u w:val="single"/>
        </w:rPr>
        <w:t xml:space="preserve"> </w:t>
      </w:r>
      <w:r>
        <w:rPr>
          <w:sz w:val="24"/>
          <w:u w:val="single"/>
        </w:rPr>
        <w:t>"Best</w:t>
      </w:r>
      <w:r>
        <w:rPr>
          <w:spacing w:val="-6"/>
          <w:sz w:val="24"/>
          <w:u w:val="single"/>
        </w:rPr>
        <w:t xml:space="preserve"> </w:t>
      </w:r>
      <w:r>
        <w:rPr>
          <w:spacing w:val="-2"/>
          <w:sz w:val="24"/>
          <w:u w:val="single"/>
        </w:rPr>
        <w:t>Available"</w:t>
      </w:r>
    </w:p>
    <w:p w14:paraId="51DE8352" w14:textId="77777777" w:rsidR="0010369C" w:rsidRDefault="0010369C">
      <w:pPr>
        <w:pStyle w:val="BodyText"/>
        <w:spacing w:before="9"/>
        <w:rPr>
          <w:sz w:val="20"/>
        </w:rPr>
      </w:pPr>
    </w:p>
    <w:p w14:paraId="51DE8353" w14:textId="77777777" w:rsidR="0010369C" w:rsidRDefault="008E43AE">
      <w:pPr>
        <w:pStyle w:val="BodyText"/>
        <w:spacing w:before="52" w:line="360" w:lineRule="auto"/>
        <w:ind w:left="238" w:right="611" w:firstLine="850"/>
      </w:pPr>
      <w:r>
        <w:rPr>
          <w:noProof/>
        </w:rPr>
        <w:drawing>
          <wp:anchor distT="0" distB="0" distL="0" distR="0" simplePos="0" relativeHeight="250898944" behindDoc="1" locked="0" layoutInCell="1" allowOverlap="1" wp14:anchorId="51DEA01D" wp14:editId="51DEA01E">
            <wp:simplePos x="0" y="0"/>
            <wp:positionH relativeFrom="page">
              <wp:posOffset>905255</wp:posOffset>
            </wp:positionH>
            <wp:positionV relativeFrom="paragraph">
              <wp:posOffset>76785</wp:posOffset>
            </wp:positionV>
            <wp:extent cx="259079" cy="106679"/>
            <wp:effectExtent l="0" t="0" r="0" b="0"/>
            <wp:wrapNone/>
            <wp:docPr id="457" name="image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image237.png"/>
                    <pic:cNvPicPr/>
                  </pic:nvPicPr>
                  <pic:blipFill>
                    <a:blip r:embed="rId339" cstate="print"/>
                    <a:stretch>
                      <a:fillRect/>
                    </a:stretch>
                  </pic:blipFill>
                  <pic:spPr>
                    <a:xfrm>
                      <a:off x="0" y="0"/>
                      <a:ext cx="259079" cy="106679"/>
                    </a:xfrm>
                    <a:prstGeom prst="rect">
                      <a:avLst/>
                    </a:prstGeom>
                  </pic:spPr>
                </pic:pic>
              </a:graphicData>
            </a:graphic>
          </wp:anchor>
        </w:drawing>
      </w:r>
      <w:r>
        <w:t>Assuming</w:t>
      </w:r>
      <w:r>
        <w:rPr>
          <w:spacing w:val="-14"/>
        </w:rPr>
        <w:t xml:space="preserve"> </w:t>
      </w:r>
      <w:r>
        <w:rPr>
          <w:i/>
        </w:rPr>
        <w:t>arguendo</w:t>
      </w:r>
      <w:r>
        <w:rPr>
          <w:i/>
          <w:spacing w:val="-14"/>
        </w:rPr>
        <w:t xml:space="preserve"> </w:t>
      </w:r>
      <w:r>
        <w:t>that</w:t>
      </w:r>
      <w:r>
        <w:rPr>
          <w:spacing w:val="-13"/>
        </w:rPr>
        <w:t xml:space="preserve"> </w:t>
      </w:r>
      <w:r>
        <w:t>MOFCOM</w:t>
      </w:r>
      <w:r>
        <w:rPr>
          <w:spacing w:val="-14"/>
        </w:rPr>
        <w:t xml:space="preserve"> </w:t>
      </w:r>
      <w:r>
        <w:t>was</w:t>
      </w:r>
      <w:r>
        <w:rPr>
          <w:spacing w:val="-13"/>
        </w:rPr>
        <w:t xml:space="preserve"> </w:t>
      </w:r>
      <w:r>
        <w:t>entitled</w:t>
      </w:r>
      <w:r>
        <w:rPr>
          <w:spacing w:val="-14"/>
        </w:rPr>
        <w:t xml:space="preserve"> </w:t>
      </w:r>
      <w:r>
        <w:t>to</w:t>
      </w:r>
      <w:r>
        <w:rPr>
          <w:spacing w:val="-13"/>
        </w:rPr>
        <w:t xml:space="preserve"> </w:t>
      </w:r>
      <w:r>
        <w:t>resort</w:t>
      </w:r>
      <w:r>
        <w:rPr>
          <w:spacing w:val="-14"/>
        </w:rPr>
        <w:t xml:space="preserve"> </w:t>
      </w:r>
      <w:r>
        <w:t>to</w:t>
      </w:r>
      <w:r>
        <w:rPr>
          <w:spacing w:val="-14"/>
        </w:rPr>
        <w:t xml:space="preserve"> </w:t>
      </w:r>
      <w:r>
        <w:t>facts</w:t>
      </w:r>
      <w:r>
        <w:rPr>
          <w:spacing w:val="-13"/>
        </w:rPr>
        <w:t xml:space="preserve"> </w:t>
      </w:r>
      <w:r>
        <w:t>available,</w:t>
      </w:r>
      <w:r>
        <w:rPr>
          <w:spacing w:val="-14"/>
        </w:rPr>
        <w:t xml:space="preserve"> </w:t>
      </w:r>
      <w:r>
        <w:t>MOFCOM failed</w:t>
      </w:r>
      <w:r>
        <w:rPr>
          <w:spacing w:val="-11"/>
        </w:rPr>
        <w:t xml:space="preserve"> </w:t>
      </w:r>
      <w:r>
        <w:t>to</w:t>
      </w:r>
      <w:r>
        <w:rPr>
          <w:spacing w:val="-11"/>
        </w:rPr>
        <w:t xml:space="preserve"> </w:t>
      </w:r>
      <w:r>
        <w:t>select</w:t>
      </w:r>
      <w:r>
        <w:rPr>
          <w:spacing w:val="-10"/>
        </w:rPr>
        <w:t xml:space="preserve"> </w:t>
      </w:r>
      <w:r>
        <w:t>the</w:t>
      </w:r>
      <w:r>
        <w:rPr>
          <w:spacing w:val="-10"/>
        </w:rPr>
        <w:t xml:space="preserve"> </w:t>
      </w:r>
      <w:r>
        <w:t>"best</w:t>
      </w:r>
      <w:r>
        <w:rPr>
          <w:spacing w:val="-11"/>
        </w:rPr>
        <w:t xml:space="preserve"> </w:t>
      </w:r>
      <w:r>
        <w:t>information</w:t>
      </w:r>
      <w:r>
        <w:rPr>
          <w:spacing w:val="-9"/>
        </w:rPr>
        <w:t xml:space="preserve"> </w:t>
      </w:r>
      <w:r>
        <w:t>available"</w:t>
      </w:r>
      <w:r>
        <w:rPr>
          <w:spacing w:val="-12"/>
        </w:rPr>
        <w:t xml:space="preserve"> </w:t>
      </w:r>
      <w:r>
        <w:t>as</w:t>
      </w:r>
      <w:r>
        <w:rPr>
          <w:spacing w:val="-11"/>
        </w:rPr>
        <w:t xml:space="preserve"> </w:t>
      </w:r>
      <w:r>
        <w:t>a</w:t>
      </w:r>
      <w:r>
        <w:rPr>
          <w:spacing w:val="-10"/>
        </w:rPr>
        <w:t xml:space="preserve"> </w:t>
      </w:r>
      <w:r>
        <w:t>reasonable</w:t>
      </w:r>
      <w:r>
        <w:rPr>
          <w:spacing w:val="-10"/>
        </w:rPr>
        <w:t xml:space="preserve"> </w:t>
      </w:r>
      <w:r>
        <w:t>replacement</w:t>
      </w:r>
      <w:r>
        <w:rPr>
          <w:spacing w:val="-11"/>
        </w:rPr>
        <w:t xml:space="preserve"> </w:t>
      </w:r>
      <w:r>
        <w:t>for</w:t>
      </w:r>
      <w:r>
        <w:rPr>
          <w:spacing w:val="-11"/>
        </w:rPr>
        <w:t xml:space="preserve"> </w:t>
      </w:r>
      <w:r>
        <w:t>the</w:t>
      </w:r>
      <w:r>
        <w:rPr>
          <w:spacing w:val="-10"/>
        </w:rPr>
        <w:t xml:space="preserve"> </w:t>
      </w:r>
      <w:r>
        <w:rPr>
          <w:spacing w:val="-2"/>
        </w:rPr>
        <w:t>allegedly</w:t>
      </w:r>
    </w:p>
    <w:p w14:paraId="51DE8354" w14:textId="77777777" w:rsidR="0010369C" w:rsidRDefault="008E43AE">
      <w:pPr>
        <w:pStyle w:val="BodyText"/>
        <w:ind w:left="238"/>
      </w:pPr>
      <w:r>
        <w:pict w14:anchorId="51DEA01F">
          <v:rect id="docshape451" o:spid="_x0000_s1813" style="position:absolute;left:0;text-align:left;margin-left:200.4pt;margin-top:.1pt;width:322.95pt;height:16.05pt;z-index:251772416;mso-position-horizontal-relative:page" fillcolor="black" stroked="f">
            <w10:wrap anchorx="page"/>
          </v:rect>
        </w:pict>
      </w:r>
      <w:r>
        <w:t>missing</w:t>
      </w:r>
      <w:r>
        <w:rPr>
          <w:spacing w:val="68"/>
        </w:rPr>
        <w:t xml:space="preserve"> </w:t>
      </w:r>
      <w:r>
        <w:t>information.</w:t>
      </w:r>
      <w:r>
        <w:rPr>
          <w:vertAlign w:val="superscript"/>
        </w:rPr>
        <w:t>253</w:t>
      </w:r>
      <w:r>
        <w:rPr>
          <w:spacing w:val="68"/>
        </w:rPr>
        <w:t xml:space="preserve"> </w:t>
      </w:r>
      <w:r>
        <w:rPr>
          <w:spacing w:val="-5"/>
        </w:rPr>
        <w:t>[[</w:t>
      </w:r>
    </w:p>
    <w:p w14:paraId="51DE8355" w14:textId="77777777" w:rsidR="0010369C" w:rsidRDefault="008E43AE">
      <w:pPr>
        <w:pStyle w:val="BodyText"/>
        <w:spacing w:before="2"/>
        <w:rPr>
          <w:sz w:val="10"/>
        </w:rPr>
      </w:pPr>
      <w:r>
        <w:pict w14:anchorId="51DEA020">
          <v:rect id="docshape452" o:spid="_x0000_s1812" style="position:absolute;margin-left:69.9pt;margin-top:7.45pt;width:453.5pt;height:16.05pt;z-index:-251072000;mso-wrap-distance-left:0;mso-wrap-distance-right:0;mso-position-horizontal-relative:page" fillcolor="black" stroked="f">
            <w10:wrap type="topAndBottom" anchorx="page"/>
          </v:rect>
        </w:pict>
      </w:r>
      <w:r>
        <w:pict w14:anchorId="51DEA021">
          <v:rect id="docshape453" o:spid="_x0000_s1811" style="position:absolute;margin-left:69.9pt;margin-top:29.4pt;width:453.45pt;height:16.05pt;z-index:-251070976;mso-wrap-distance-left:0;mso-wrap-distance-right:0;mso-position-horizontal-relative:page" fillcolor="black" stroked="f">
            <w10:wrap type="topAndBottom" anchorx="page"/>
          </v:rect>
        </w:pict>
      </w:r>
    </w:p>
    <w:p w14:paraId="51DE8356" w14:textId="77777777" w:rsidR="0010369C" w:rsidRDefault="0010369C">
      <w:pPr>
        <w:pStyle w:val="BodyText"/>
        <w:spacing w:before="8"/>
        <w:rPr>
          <w:sz w:val="7"/>
        </w:rPr>
      </w:pPr>
    </w:p>
    <w:p w14:paraId="51DE8357" w14:textId="77777777" w:rsidR="0010369C" w:rsidRDefault="008E43AE">
      <w:pPr>
        <w:spacing w:before="115"/>
        <w:ind w:left="9158"/>
        <w:rPr>
          <w:sz w:val="24"/>
        </w:rPr>
      </w:pPr>
      <w:r>
        <w:rPr>
          <w:spacing w:val="-5"/>
          <w:sz w:val="24"/>
        </w:rPr>
        <w:t>]]</w:t>
      </w:r>
    </w:p>
    <w:p w14:paraId="51DE8358" w14:textId="77777777" w:rsidR="0010369C" w:rsidRDefault="008E43AE">
      <w:pPr>
        <w:pStyle w:val="BodyText"/>
        <w:spacing w:before="148" w:line="360" w:lineRule="auto"/>
        <w:ind w:left="237" w:hanging="2"/>
      </w:pPr>
      <w:r>
        <w:pict w14:anchorId="51DEA022">
          <v:rect id="docshape454" o:spid="_x0000_s1810" style="position:absolute;left:0;text-align:left;margin-left:69.9pt;margin-top:-14.5pt;width:446.05pt;height:16.05pt;z-index:251773440;mso-position-horizontal-relative:page" fillcolor="black" stroked="f">
            <w10:wrap anchorx="page"/>
          </v:rect>
        </w:pict>
      </w:r>
      <w:r>
        <w:t>The resulting dumping margin for Treasury Wines was 175.6%, the highest of the sampled</w:t>
      </w:r>
      <w:r>
        <w:rPr>
          <w:spacing w:val="80"/>
        </w:rPr>
        <w:t xml:space="preserve"> </w:t>
      </w:r>
      <w:r>
        <w:t>companies, the calculation of which was flawed.</w:t>
      </w:r>
    </w:p>
    <w:p w14:paraId="51DE8359" w14:textId="77777777" w:rsidR="0010369C" w:rsidRDefault="0010369C">
      <w:pPr>
        <w:pStyle w:val="BodyText"/>
        <w:spacing w:before="9"/>
        <w:rPr>
          <w:sz w:val="8"/>
        </w:rPr>
      </w:pPr>
    </w:p>
    <w:p w14:paraId="51DE835A" w14:textId="77777777" w:rsidR="0010369C" w:rsidRDefault="008E43AE">
      <w:pPr>
        <w:pStyle w:val="BodyText"/>
        <w:spacing w:before="52" w:line="360" w:lineRule="auto"/>
        <w:ind w:left="237" w:right="613" w:firstLine="851"/>
        <w:jc w:val="both"/>
      </w:pPr>
      <w:r>
        <w:rPr>
          <w:noProof/>
        </w:rPr>
        <w:drawing>
          <wp:anchor distT="0" distB="0" distL="0" distR="0" simplePos="0" relativeHeight="250899968" behindDoc="1" locked="0" layoutInCell="1" allowOverlap="1" wp14:anchorId="51DEA023" wp14:editId="51DEA024">
            <wp:simplePos x="0" y="0"/>
            <wp:positionH relativeFrom="page">
              <wp:posOffset>905255</wp:posOffset>
            </wp:positionH>
            <wp:positionV relativeFrom="paragraph">
              <wp:posOffset>80596</wp:posOffset>
            </wp:positionV>
            <wp:extent cx="259079" cy="103631"/>
            <wp:effectExtent l="0" t="0" r="0" b="0"/>
            <wp:wrapNone/>
            <wp:docPr id="459" name="image2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image238.png"/>
                    <pic:cNvPicPr/>
                  </pic:nvPicPr>
                  <pic:blipFill>
                    <a:blip r:embed="rId340" cstate="print"/>
                    <a:stretch>
                      <a:fillRect/>
                    </a:stretch>
                  </pic:blipFill>
                  <pic:spPr>
                    <a:xfrm>
                      <a:off x="0" y="0"/>
                      <a:ext cx="259079" cy="103631"/>
                    </a:xfrm>
                    <a:prstGeom prst="rect">
                      <a:avLst/>
                    </a:prstGeom>
                  </pic:spPr>
                </pic:pic>
              </a:graphicData>
            </a:graphic>
          </wp:anchor>
        </w:drawing>
      </w:r>
      <w:r>
        <w:t>In respect of Treasury Wines, MOFCOM determined that it would "use the data of some product types reported by the company to determine the production costs and expenses of the product under investigation and like products".</w:t>
      </w:r>
      <w:r>
        <w:rPr>
          <w:vertAlign w:val="superscript"/>
        </w:rPr>
        <w:t>254</w:t>
      </w:r>
      <w:r>
        <w:t xml:space="preserve"> For information to be conside</w:t>
      </w:r>
      <w:r>
        <w:t>red</w:t>
      </w:r>
      <w:r>
        <w:rPr>
          <w:spacing w:val="-14"/>
        </w:rPr>
        <w:t xml:space="preserve"> </w:t>
      </w:r>
      <w:r>
        <w:t>"best</w:t>
      </w:r>
      <w:r>
        <w:rPr>
          <w:spacing w:val="-14"/>
        </w:rPr>
        <w:t xml:space="preserve"> </w:t>
      </w:r>
      <w:r>
        <w:t>available"</w:t>
      </w:r>
      <w:r>
        <w:rPr>
          <w:spacing w:val="-13"/>
        </w:rPr>
        <w:t xml:space="preserve"> </w:t>
      </w:r>
      <w:r>
        <w:t>it</w:t>
      </w:r>
      <w:r>
        <w:rPr>
          <w:spacing w:val="-14"/>
        </w:rPr>
        <w:t xml:space="preserve"> </w:t>
      </w:r>
      <w:r>
        <w:t>must</w:t>
      </w:r>
      <w:r>
        <w:rPr>
          <w:spacing w:val="-13"/>
        </w:rPr>
        <w:t xml:space="preserve"> </w:t>
      </w:r>
      <w:r>
        <w:t>not</w:t>
      </w:r>
      <w:r>
        <w:rPr>
          <w:spacing w:val="-13"/>
        </w:rPr>
        <w:t xml:space="preserve"> </w:t>
      </w:r>
      <w:r>
        <w:t>only</w:t>
      </w:r>
      <w:r>
        <w:rPr>
          <w:spacing w:val="-13"/>
        </w:rPr>
        <w:t xml:space="preserve"> </w:t>
      </w:r>
      <w:r>
        <w:t>be</w:t>
      </w:r>
      <w:r>
        <w:rPr>
          <w:spacing w:val="-13"/>
        </w:rPr>
        <w:t xml:space="preserve"> </w:t>
      </w:r>
      <w:r>
        <w:t>available</w:t>
      </w:r>
      <w:r>
        <w:rPr>
          <w:spacing w:val="-13"/>
        </w:rPr>
        <w:t xml:space="preserve"> </w:t>
      </w:r>
      <w:r>
        <w:t>and</w:t>
      </w:r>
      <w:r>
        <w:rPr>
          <w:spacing w:val="-14"/>
        </w:rPr>
        <w:t xml:space="preserve"> </w:t>
      </w:r>
      <w:r>
        <w:t>usable,</w:t>
      </w:r>
      <w:r>
        <w:rPr>
          <w:spacing w:val="-13"/>
        </w:rPr>
        <w:t xml:space="preserve"> </w:t>
      </w:r>
      <w:r>
        <w:t>but</w:t>
      </w:r>
      <w:r>
        <w:rPr>
          <w:spacing w:val="-13"/>
        </w:rPr>
        <w:t xml:space="preserve"> </w:t>
      </w:r>
      <w:r>
        <w:t>must</w:t>
      </w:r>
      <w:r>
        <w:rPr>
          <w:spacing w:val="-14"/>
        </w:rPr>
        <w:t xml:space="preserve"> </w:t>
      </w:r>
      <w:r>
        <w:t>also</w:t>
      </w:r>
      <w:r>
        <w:rPr>
          <w:spacing w:val="-13"/>
        </w:rPr>
        <w:t xml:space="preserve"> </w:t>
      </w:r>
      <w:r>
        <w:t>be</w:t>
      </w:r>
      <w:r>
        <w:rPr>
          <w:spacing w:val="-13"/>
        </w:rPr>
        <w:t xml:space="preserve"> </w:t>
      </w:r>
      <w:r>
        <w:t>the</w:t>
      </w:r>
      <w:r>
        <w:rPr>
          <w:spacing w:val="-13"/>
        </w:rPr>
        <w:t xml:space="preserve"> </w:t>
      </w:r>
      <w:r>
        <w:t xml:space="preserve">most appropriate information available, i.e. the best information available by comparison. This means that even if </w:t>
      </w:r>
      <w:r>
        <w:rPr>
          <w:i/>
        </w:rPr>
        <w:t xml:space="preserve">arguendo </w:t>
      </w:r>
      <w:r>
        <w:t>MOFCOM is entitled to use the available facts, i</w:t>
      </w:r>
      <w:r>
        <w:t xml:space="preserve">t is not open to it to use just any information; it must use the </w:t>
      </w:r>
      <w:r>
        <w:rPr>
          <w:i/>
        </w:rPr>
        <w:t>best information available</w:t>
      </w:r>
      <w:r>
        <w:t>.</w:t>
      </w:r>
      <w:r>
        <w:rPr>
          <w:vertAlign w:val="superscript"/>
        </w:rPr>
        <w:t>255</w:t>
      </w:r>
    </w:p>
    <w:p w14:paraId="51DE835B" w14:textId="77777777" w:rsidR="0010369C" w:rsidRDefault="0010369C">
      <w:pPr>
        <w:pStyle w:val="BodyText"/>
        <w:rPr>
          <w:sz w:val="20"/>
        </w:rPr>
      </w:pPr>
    </w:p>
    <w:p w14:paraId="51DE835C" w14:textId="77777777" w:rsidR="0010369C" w:rsidRDefault="008E43AE">
      <w:pPr>
        <w:pStyle w:val="BodyText"/>
        <w:spacing w:before="4"/>
        <w:rPr>
          <w:sz w:val="23"/>
        </w:rPr>
      </w:pPr>
      <w:r>
        <w:pict w14:anchorId="51DEA025">
          <v:rect id="docshape455" o:spid="_x0000_s1809" style="position:absolute;margin-left:70.9pt;margin-top:15.45pt;width:2in;height:.8pt;z-index:-251069952;mso-wrap-distance-left:0;mso-wrap-distance-right:0;mso-position-horizontal-relative:page" fillcolor="black" stroked="f">
            <w10:wrap type="topAndBottom" anchorx="page"/>
          </v:rect>
        </w:pict>
      </w:r>
    </w:p>
    <w:p w14:paraId="51DE835D" w14:textId="77777777" w:rsidR="0010369C" w:rsidRDefault="008E43AE">
      <w:pPr>
        <w:spacing w:before="109"/>
        <w:ind w:left="237" w:right="615"/>
        <w:jc w:val="both"/>
        <w:rPr>
          <w:sz w:val="18"/>
        </w:rPr>
      </w:pPr>
      <w:r>
        <w:rPr>
          <w:sz w:val="18"/>
          <w:vertAlign w:val="superscript"/>
        </w:rPr>
        <w:t>253</w:t>
      </w:r>
      <w:r>
        <w:rPr>
          <w:sz w:val="18"/>
        </w:rPr>
        <w:t xml:space="preserve"> In the first instance, Australia submits that no necessary information was missing from the record. China acted inconsistently with Article 6.8, and paragraphs 1, 3, 5 and 6 of Annex II in making its determinations on the basis of facts </w:t>
      </w:r>
      <w:r>
        <w:rPr>
          <w:spacing w:val="-2"/>
          <w:sz w:val="18"/>
        </w:rPr>
        <w:t>available.</w:t>
      </w:r>
    </w:p>
    <w:p w14:paraId="51DE835E" w14:textId="77777777" w:rsidR="0010369C" w:rsidRDefault="008E43AE">
      <w:pPr>
        <w:spacing w:before="1"/>
        <w:ind w:left="238"/>
        <w:jc w:val="both"/>
        <w:rPr>
          <w:sz w:val="18"/>
        </w:rPr>
      </w:pPr>
      <w:r>
        <w:rPr>
          <w:sz w:val="18"/>
          <w:vertAlign w:val="superscript"/>
        </w:rPr>
        <w:t>254</w:t>
      </w:r>
      <w:r>
        <w:rPr>
          <w:spacing w:val="-9"/>
          <w:sz w:val="18"/>
        </w:rPr>
        <w:t xml:space="preserve"> </w:t>
      </w:r>
      <w:r>
        <w:rPr>
          <w:sz w:val="18"/>
        </w:rPr>
        <w:t>Ant</w:t>
      </w:r>
      <w:r>
        <w:rPr>
          <w:sz w:val="18"/>
        </w:rPr>
        <w:t>i‐Dumping</w:t>
      </w:r>
      <w:r>
        <w:rPr>
          <w:spacing w:val="-9"/>
          <w:sz w:val="18"/>
        </w:rPr>
        <w:t xml:space="preserve"> </w:t>
      </w:r>
      <w:r>
        <w:rPr>
          <w:sz w:val="18"/>
        </w:rPr>
        <w:t>Final</w:t>
      </w:r>
      <w:r>
        <w:rPr>
          <w:spacing w:val="-9"/>
          <w:sz w:val="18"/>
        </w:rPr>
        <w:t xml:space="preserve"> </w:t>
      </w:r>
      <w:r>
        <w:rPr>
          <w:sz w:val="18"/>
        </w:rPr>
        <w:t>Determination</w:t>
      </w:r>
      <w:r>
        <w:rPr>
          <w:spacing w:val="-8"/>
          <w:sz w:val="18"/>
        </w:rPr>
        <w:t xml:space="preserve"> </w:t>
      </w:r>
      <w:r>
        <w:rPr>
          <w:sz w:val="18"/>
        </w:rPr>
        <w:t>(Exhibit</w:t>
      </w:r>
      <w:r>
        <w:rPr>
          <w:spacing w:val="-9"/>
          <w:sz w:val="18"/>
        </w:rPr>
        <w:t xml:space="preserve"> </w:t>
      </w:r>
      <w:r>
        <w:rPr>
          <w:sz w:val="18"/>
        </w:rPr>
        <w:t>AUS‐2),</w:t>
      </w:r>
      <w:r>
        <w:rPr>
          <w:spacing w:val="-10"/>
          <w:sz w:val="18"/>
        </w:rPr>
        <w:t xml:space="preserve"> </w:t>
      </w:r>
      <w:r>
        <w:rPr>
          <w:sz w:val="18"/>
        </w:rPr>
        <w:t>pp.</w:t>
      </w:r>
      <w:r>
        <w:rPr>
          <w:spacing w:val="-9"/>
          <w:sz w:val="18"/>
        </w:rPr>
        <w:t xml:space="preserve"> </w:t>
      </w:r>
      <w:r>
        <w:rPr>
          <w:spacing w:val="-2"/>
          <w:sz w:val="18"/>
        </w:rPr>
        <w:t>60‐61.</w:t>
      </w:r>
    </w:p>
    <w:p w14:paraId="51DE835F" w14:textId="77777777" w:rsidR="0010369C" w:rsidRDefault="008E43AE">
      <w:pPr>
        <w:ind w:left="238"/>
        <w:jc w:val="both"/>
        <w:rPr>
          <w:sz w:val="18"/>
        </w:rPr>
      </w:pPr>
      <w:r>
        <w:rPr>
          <w:sz w:val="18"/>
          <w:vertAlign w:val="superscript"/>
        </w:rPr>
        <w:t>255</w:t>
      </w:r>
      <w:r>
        <w:rPr>
          <w:spacing w:val="-7"/>
          <w:sz w:val="18"/>
        </w:rPr>
        <w:t xml:space="preserve"> </w:t>
      </w:r>
      <w:r>
        <w:rPr>
          <w:sz w:val="18"/>
        </w:rPr>
        <w:t>Panel</w:t>
      </w:r>
      <w:r>
        <w:rPr>
          <w:spacing w:val="-7"/>
          <w:sz w:val="18"/>
        </w:rPr>
        <w:t xml:space="preserve"> </w:t>
      </w:r>
      <w:r>
        <w:rPr>
          <w:sz w:val="18"/>
        </w:rPr>
        <w:t>Report,</w:t>
      </w:r>
      <w:r>
        <w:rPr>
          <w:spacing w:val="-7"/>
          <w:sz w:val="18"/>
        </w:rPr>
        <w:t xml:space="preserve"> </w:t>
      </w:r>
      <w:r>
        <w:rPr>
          <w:i/>
          <w:sz w:val="18"/>
        </w:rPr>
        <w:t>Mexico</w:t>
      </w:r>
      <w:r>
        <w:rPr>
          <w:i/>
          <w:spacing w:val="-6"/>
          <w:sz w:val="18"/>
        </w:rPr>
        <w:t xml:space="preserve"> </w:t>
      </w:r>
      <w:r>
        <w:rPr>
          <w:i/>
          <w:sz w:val="18"/>
        </w:rPr>
        <w:t>–</w:t>
      </w:r>
      <w:r>
        <w:rPr>
          <w:i/>
          <w:spacing w:val="-7"/>
          <w:sz w:val="18"/>
        </w:rPr>
        <w:t xml:space="preserve"> </w:t>
      </w:r>
      <w:r>
        <w:rPr>
          <w:i/>
          <w:sz w:val="18"/>
        </w:rPr>
        <w:t>Anti‐Dumping</w:t>
      </w:r>
      <w:r>
        <w:rPr>
          <w:i/>
          <w:spacing w:val="-6"/>
          <w:sz w:val="18"/>
        </w:rPr>
        <w:t xml:space="preserve"> </w:t>
      </w:r>
      <w:r>
        <w:rPr>
          <w:i/>
          <w:sz w:val="18"/>
        </w:rPr>
        <w:t>Measures</w:t>
      </w:r>
      <w:r>
        <w:rPr>
          <w:i/>
          <w:spacing w:val="-7"/>
          <w:sz w:val="18"/>
        </w:rPr>
        <w:t xml:space="preserve"> </w:t>
      </w:r>
      <w:r>
        <w:rPr>
          <w:i/>
          <w:sz w:val="18"/>
        </w:rPr>
        <w:t>on</w:t>
      </w:r>
      <w:r>
        <w:rPr>
          <w:i/>
          <w:spacing w:val="-6"/>
          <w:sz w:val="18"/>
        </w:rPr>
        <w:t xml:space="preserve"> </w:t>
      </w:r>
      <w:r>
        <w:rPr>
          <w:i/>
          <w:sz w:val="18"/>
        </w:rPr>
        <w:t>Rice</w:t>
      </w:r>
      <w:r>
        <w:rPr>
          <w:sz w:val="18"/>
        </w:rPr>
        <w:t>,</w:t>
      </w:r>
      <w:r>
        <w:rPr>
          <w:spacing w:val="-8"/>
          <w:sz w:val="18"/>
        </w:rPr>
        <w:t xml:space="preserve"> </w:t>
      </w:r>
      <w:r>
        <w:rPr>
          <w:sz w:val="18"/>
        </w:rPr>
        <w:t>para.</w:t>
      </w:r>
      <w:r>
        <w:rPr>
          <w:spacing w:val="-6"/>
          <w:sz w:val="18"/>
        </w:rPr>
        <w:t xml:space="preserve"> </w:t>
      </w:r>
      <w:r>
        <w:rPr>
          <w:spacing w:val="-4"/>
          <w:sz w:val="18"/>
        </w:rPr>
        <w:t>289.</w:t>
      </w:r>
    </w:p>
    <w:p w14:paraId="51DE8360" w14:textId="77777777" w:rsidR="0010369C" w:rsidRDefault="0010369C">
      <w:pPr>
        <w:jc w:val="both"/>
        <w:rPr>
          <w:sz w:val="18"/>
        </w:rPr>
        <w:sectPr w:rsidR="0010369C">
          <w:pgSz w:w="11910" w:h="16840"/>
          <w:pgMar w:top="880" w:right="800" w:bottom="980" w:left="1180" w:header="569" w:footer="788" w:gutter="0"/>
          <w:cols w:space="720"/>
        </w:sectPr>
      </w:pPr>
    </w:p>
    <w:p w14:paraId="51DE8361" w14:textId="77777777" w:rsidR="0010369C" w:rsidRDefault="008E43AE">
      <w:pPr>
        <w:tabs>
          <w:tab w:val="left" w:pos="6425"/>
        </w:tabs>
        <w:ind w:left="238"/>
        <w:rPr>
          <w:sz w:val="20"/>
        </w:rPr>
      </w:pPr>
      <w:r>
        <w:rPr>
          <w:i/>
          <w:sz w:val="20"/>
        </w:rPr>
        <w:lastRenderedPageBreak/>
        <w:t>China</w:t>
      </w:r>
      <w:r>
        <w:rPr>
          <w:i/>
          <w:spacing w:val="-5"/>
          <w:sz w:val="20"/>
        </w:rPr>
        <w:t xml:space="preserve"> </w:t>
      </w:r>
      <w:r>
        <w:rPr>
          <w:i/>
          <w:sz w:val="20"/>
        </w:rPr>
        <w:t>–</w:t>
      </w:r>
      <w:r>
        <w:rPr>
          <w:i/>
          <w:spacing w:val="-5"/>
          <w:sz w:val="20"/>
        </w:rPr>
        <w:t xml:space="preserve"> </w:t>
      </w:r>
      <w:r>
        <w:rPr>
          <w:i/>
          <w:sz w:val="20"/>
        </w:rPr>
        <w:t>Anti‐Dumping</w:t>
      </w:r>
      <w:r>
        <w:rPr>
          <w:i/>
          <w:spacing w:val="-4"/>
          <w:sz w:val="20"/>
        </w:rPr>
        <w:t xml:space="preserve"> </w:t>
      </w:r>
      <w:r>
        <w:rPr>
          <w:i/>
          <w:sz w:val="20"/>
        </w:rPr>
        <w:t>and</w:t>
      </w:r>
      <w:r>
        <w:rPr>
          <w:i/>
          <w:spacing w:val="-5"/>
          <w:sz w:val="20"/>
        </w:rPr>
        <w:t xml:space="preserve"> </w:t>
      </w:r>
      <w:r>
        <w:rPr>
          <w:i/>
          <w:sz w:val="20"/>
        </w:rPr>
        <w:t>Countervailing</w:t>
      </w:r>
      <w:r>
        <w:rPr>
          <w:i/>
          <w:spacing w:val="-5"/>
          <w:sz w:val="20"/>
        </w:rPr>
        <w:t xml:space="preserve"> </w:t>
      </w:r>
      <w:r>
        <w:rPr>
          <w:i/>
          <w:sz w:val="20"/>
        </w:rPr>
        <w:t>Duty</w:t>
      </w:r>
      <w:r>
        <w:rPr>
          <w:i/>
          <w:spacing w:val="-4"/>
          <w:sz w:val="20"/>
        </w:rPr>
        <w:t xml:space="preserve"> </w:t>
      </w:r>
      <w:r>
        <w:rPr>
          <w:i/>
          <w:spacing w:val="-2"/>
          <w:sz w:val="20"/>
        </w:rPr>
        <w:t>Measures</w:t>
      </w:r>
      <w:r>
        <w:rPr>
          <w:i/>
          <w:sz w:val="20"/>
        </w:rPr>
        <w:tab/>
      </w:r>
      <w:r>
        <w:rPr>
          <w:sz w:val="20"/>
        </w:rPr>
        <w:t>Australia's</w:t>
      </w:r>
      <w:r>
        <w:rPr>
          <w:spacing w:val="-7"/>
          <w:sz w:val="20"/>
        </w:rPr>
        <w:t xml:space="preserve"> </w:t>
      </w:r>
      <w:r>
        <w:rPr>
          <w:sz w:val="20"/>
        </w:rPr>
        <w:t>First</w:t>
      </w:r>
      <w:r>
        <w:rPr>
          <w:spacing w:val="-2"/>
          <w:sz w:val="20"/>
        </w:rPr>
        <w:t xml:space="preserve"> </w:t>
      </w:r>
      <w:r>
        <w:rPr>
          <w:sz w:val="20"/>
        </w:rPr>
        <w:t>Written</w:t>
      </w:r>
      <w:r>
        <w:rPr>
          <w:spacing w:val="-2"/>
          <w:sz w:val="20"/>
        </w:rPr>
        <w:t xml:space="preserve"> Submission</w:t>
      </w:r>
    </w:p>
    <w:p w14:paraId="51DE8362" w14:textId="77777777" w:rsidR="0010369C" w:rsidRDefault="008E43AE">
      <w:pPr>
        <w:tabs>
          <w:tab w:val="left" w:pos="8227"/>
        </w:tabs>
        <w:spacing w:before="1"/>
        <w:ind w:left="239"/>
        <w:rPr>
          <w:sz w:val="20"/>
        </w:rPr>
      </w:pPr>
      <w:r>
        <w:rPr>
          <w:i/>
          <w:sz w:val="20"/>
        </w:rPr>
        <w:t>on</w:t>
      </w:r>
      <w:r>
        <w:rPr>
          <w:i/>
          <w:spacing w:val="-1"/>
          <w:sz w:val="20"/>
        </w:rPr>
        <w:t xml:space="preserve"> </w:t>
      </w:r>
      <w:r>
        <w:rPr>
          <w:i/>
          <w:sz w:val="20"/>
        </w:rPr>
        <w:t>Wine</w:t>
      </w:r>
      <w:r>
        <w:rPr>
          <w:i/>
          <w:spacing w:val="-1"/>
          <w:sz w:val="20"/>
        </w:rPr>
        <w:t xml:space="preserve"> </w:t>
      </w:r>
      <w:r>
        <w:rPr>
          <w:i/>
          <w:sz w:val="20"/>
        </w:rPr>
        <w:t>from</w:t>
      </w:r>
      <w:r>
        <w:rPr>
          <w:i/>
          <w:spacing w:val="-3"/>
          <w:sz w:val="20"/>
        </w:rPr>
        <w:t xml:space="preserve"> </w:t>
      </w:r>
      <w:r>
        <w:rPr>
          <w:i/>
          <w:sz w:val="20"/>
        </w:rPr>
        <w:t>Australia</w:t>
      </w:r>
      <w:r>
        <w:rPr>
          <w:i/>
          <w:spacing w:val="-1"/>
          <w:sz w:val="20"/>
        </w:rPr>
        <w:t xml:space="preserve"> </w:t>
      </w:r>
      <w:r>
        <w:rPr>
          <w:spacing w:val="-2"/>
          <w:sz w:val="20"/>
        </w:rPr>
        <w:t>(DS602)</w:t>
      </w:r>
      <w:r>
        <w:rPr>
          <w:sz w:val="20"/>
        </w:rPr>
        <w:tab/>
        <w:t>29</w:t>
      </w:r>
      <w:r>
        <w:rPr>
          <w:spacing w:val="-1"/>
          <w:sz w:val="20"/>
        </w:rPr>
        <w:t xml:space="preserve"> </w:t>
      </w:r>
      <w:r>
        <w:rPr>
          <w:sz w:val="20"/>
        </w:rPr>
        <w:t>April</w:t>
      </w:r>
      <w:r>
        <w:rPr>
          <w:spacing w:val="-2"/>
          <w:sz w:val="20"/>
        </w:rPr>
        <w:t xml:space="preserve"> </w:t>
      </w:r>
      <w:r>
        <w:rPr>
          <w:spacing w:val="-4"/>
          <w:sz w:val="20"/>
        </w:rPr>
        <w:t>2022</w:t>
      </w:r>
    </w:p>
    <w:p w14:paraId="51DE8363" w14:textId="77777777" w:rsidR="0010369C" w:rsidRDefault="008E43AE">
      <w:pPr>
        <w:spacing w:before="34" w:after="31"/>
        <w:ind w:left="1089"/>
        <w:rPr>
          <w:sz w:val="24"/>
        </w:rPr>
      </w:pPr>
      <w:r>
        <w:rPr>
          <w:noProof/>
        </w:rPr>
        <w:drawing>
          <wp:anchor distT="0" distB="0" distL="0" distR="0" simplePos="0" relativeHeight="250637824" behindDoc="0" locked="0" layoutInCell="1" allowOverlap="1" wp14:anchorId="51DEA026" wp14:editId="51DEA027">
            <wp:simplePos x="0" y="0"/>
            <wp:positionH relativeFrom="page">
              <wp:posOffset>905255</wp:posOffset>
            </wp:positionH>
            <wp:positionV relativeFrom="paragraph">
              <wp:posOffset>69165</wp:posOffset>
            </wp:positionV>
            <wp:extent cx="259079" cy="103631"/>
            <wp:effectExtent l="0" t="0" r="0" b="0"/>
            <wp:wrapNone/>
            <wp:docPr id="461" name="image2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 name="image239.png"/>
                    <pic:cNvPicPr/>
                  </pic:nvPicPr>
                  <pic:blipFill>
                    <a:blip r:embed="rId341" cstate="print"/>
                    <a:stretch>
                      <a:fillRect/>
                    </a:stretch>
                  </pic:blipFill>
                  <pic:spPr>
                    <a:xfrm>
                      <a:off x="0" y="0"/>
                      <a:ext cx="259079" cy="103631"/>
                    </a:xfrm>
                    <a:prstGeom prst="rect">
                      <a:avLst/>
                    </a:prstGeom>
                  </pic:spPr>
                </pic:pic>
              </a:graphicData>
            </a:graphic>
          </wp:anchor>
        </w:drawing>
      </w:r>
      <w:r>
        <w:pict w14:anchorId="51DEA028">
          <v:shape id="docshape456" o:spid="_x0000_s1808" style="position:absolute;left:0;text-align:left;margin-left:119.8pt;margin-top:1.8pt;width:403.6pt;height:16.1pt;z-index:251774464;mso-position-horizontal-relative:page;mso-position-vertical-relative:text" coordorigin="2396,36" coordsize="8072,322" o:spt="100" adj="0,,0" path="m4429,38r-241,l4188,36r-1792,l2396,358r1792,l4188,252r241,l4429,38xm10467,36r-5995,l4472,358r5995,l10467,36xe" fillcolor="black" stroked="f">
            <v:stroke joinstyle="round"/>
            <v:formulas/>
            <v:path arrowok="t" o:connecttype="segments"/>
            <w10:wrap anchorx="page"/>
          </v:shape>
        </w:pict>
      </w:r>
      <w:r>
        <w:rPr>
          <w:spacing w:val="-5"/>
          <w:sz w:val="24"/>
        </w:rPr>
        <w:t>[[</w:t>
      </w:r>
    </w:p>
    <w:tbl>
      <w:tblPr>
        <w:tblW w:w="0" w:type="auto"/>
        <w:tblInd w:w="225" w:type="dxa"/>
        <w:tblLayout w:type="fixed"/>
        <w:tblCellMar>
          <w:left w:w="0" w:type="dxa"/>
          <w:right w:w="0" w:type="dxa"/>
        </w:tblCellMar>
        <w:tblLook w:val="01E0" w:firstRow="1" w:lastRow="1" w:firstColumn="1" w:lastColumn="1" w:noHBand="0" w:noVBand="0"/>
      </w:tblPr>
      <w:tblGrid>
        <w:gridCol w:w="5247"/>
        <w:gridCol w:w="3882"/>
      </w:tblGrid>
      <w:tr w:rsidR="0010369C" w14:paraId="51DE8365" w14:textId="77777777">
        <w:trPr>
          <w:trHeight w:val="319"/>
        </w:trPr>
        <w:tc>
          <w:tcPr>
            <w:tcW w:w="9129" w:type="dxa"/>
            <w:gridSpan w:val="2"/>
            <w:tcBorders>
              <w:top w:val="single" w:sz="48" w:space="0" w:color="FFFFFF"/>
              <w:bottom w:val="single" w:sz="48" w:space="0" w:color="FFFFFF"/>
            </w:tcBorders>
            <w:shd w:val="clear" w:color="auto" w:fill="000000"/>
          </w:tcPr>
          <w:p w14:paraId="51DE8364" w14:textId="77777777" w:rsidR="0010369C" w:rsidRDefault="0010369C">
            <w:pPr>
              <w:pStyle w:val="TableParagraph"/>
              <w:rPr>
                <w:rFonts w:ascii="Times New Roman"/>
              </w:rPr>
            </w:pPr>
          </w:p>
        </w:tc>
      </w:tr>
      <w:tr w:rsidR="0010369C" w14:paraId="51DE8367" w14:textId="77777777">
        <w:trPr>
          <w:trHeight w:val="319"/>
        </w:trPr>
        <w:tc>
          <w:tcPr>
            <w:tcW w:w="9129" w:type="dxa"/>
            <w:gridSpan w:val="2"/>
            <w:tcBorders>
              <w:top w:val="single" w:sz="48" w:space="0" w:color="FFFFFF"/>
              <w:bottom w:val="single" w:sz="48" w:space="0" w:color="FFFFFF"/>
            </w:tcBorders>
            <w:shd w:val="clear" w:color="auto" w:fill="000000"/>
          </w:tcPr>
          <w:p w14:paraId="51DE8366" w14:textId="77777777" w:rsidR="0010369C" w:rsidRDefault="0010369C">
            <w:pPr>
              <w:pStyle w:val="TableParagraph"/>
              <w:rPr>
                <w:rFonts w:ascii="Times New Roman"/>
              </w:rPr>
            </w:pPr>
          </w:p>
        </w:tc>
      </w:tr>
      <w:tr w:rsidR="0010369C" w14:paraId="51DE8369" w14:textId="77777777">
        <w:trPr>
          <w:trHeight w:val="319"/>
        </w:trPr>
        <w:tc>
          <w:tcPr>
            <w:tcW w:w="9129" w:type="dxa"/>
            <w:gridSpan w:val="2"/>
            <w:tcBorders>
              <w:top w:val="single" w:sz="48" w:space="0" w:color="FFFFFF"/>
              <w:bottom w:val="single" w:sz="48" w:space="0" w:color="FFFFFF"/>
            </w:tcBorders>
            <w:shd w:val="clear" w:color="auto" w:fill="000000"/>
          </w:tcPr>
          <w:p w14:paraId="51DE8368" w14:textId="77777777" w:rsidR="0010369C" w:rsidRDefault="0010369C">
            <w:pPr>
              <w:pStyle w:val="TableParagraph"/>
              <w:rPr>
                <w:rFonts w:ascii="Times New Roman"/>
              </w:rPr>
            </w:pPr>
          </w:p>
        </w:tc>
      </w:tr>
      <w:tr w:rsidR="0010369C" w14:paraId="51DE836B" w14:textId="77777777">
        <w:trPr>
          <w:trHeight w:val="319"/>
        </w:trPr>
        <w:tc>
          <w:tcPr>
            <w:tcW w:w="9129" w:type="dxa"/>
            <w:gridSpan w:val="2"/>
            <w:tcBorders>
              <w:top w:val="single" w:sz="48" w:space="0" w:color="FFFFFF"/>
              <w:bottom w:val="single" w:sz="48" w:space="0" w:color="FFFFFF"/>
            </w:tcBorders>
            <w:shd w:val="clear" w:color="auto" w:fill="000000"/>
          </w:tcPr>
          <w:p w14:paraId="51DE836A" w14:textId="77777777" w:rsidR="0010369C" w:rsidRDefault="0010369C">
            <w:pPr>
              <w:pStyle w:val="TableParagraph"/>
              <w:rPr>
                <w:rFonts w:ascii="Times New Roman"/>
              </w:rPr>
            </w:pPr>
          </w:p>
        </w:tc>
      </w:tr>
      <w:tr w:rsidR="0010369C" w14:paraId="51DE836D" w14:textId="77777777">
        <w:trPr>
          <w:trHeight w:val="319"/>
        </w:trPr>
        <w:tc>
          <w:tcPr>
            <w:tcW w:w="9129" w:type="dxa"/>
            <w:gridSpan w:val="2"/>
            <w:tcBorders>
              <w:top w:val="single" w:sz="48" w:space="0" w:color="FFFFFF"/>
              <w:bottom w:val="single" w:sz="48" w:space="0" w:color="FFFFFF"/>
            </w:tcBorders>
            <w:shd w:val="clear" w:color="auto" w:fill="000000"/>
          </w:tcPr>
          <w:p w14:paraId="51DE836C" w14:textId="77777777" w:rsidR="0010369C" w:rsidRDefault="0010369C">
            <w:pPr>
              <w:pStyle w:val="TableParagraph"/>
              <w:rPr>
                <w:rFonts w:ascii="Times New Roman"/>
              </w:rPr>
            </w:pPr>
          </w:p>
        </w:tc>
      </w:tr>
      <w:tr w:rsidR="0010369C" w14:paraId="51DE836F" w14:textId="77777777">
        <w:trPr>
          <w:trHeight w:val="319"/>
        </w:trPr>
        <w:tc>
          <w:tcPr>
            <w:tcW w:w="9129" w:type="dxa"/>
            <w:gridSpan w:val="2"/>
            <w:tcBorders>
              <w:top w:val="single" w:sz="48" w:space="0" w:color="FFFFFF"/>
              <w:bottom w:val="single" w:sz="48" w:space="0" w:color="FFFFFF"/>
            </w:tcBorders>
            <w:shd w:val="clear" w:color="auto" w:fill="000000"/>
          </w:tcPr>
          <w:p w14:paraId="51DE836E" w14:textId="77777777" w:rsidR="0010369C" w:rsidRDefault="0010369C">
            <w:pPr>
              <w:pStyle w:val="TableParagraph"/>
              <w:rPr>
                <w:rFonts w:ascii="Times New Roman"/>
              </w:rPr>
            </w:pPr>
          </w:p>
        </w:tc>
      </w:tr>
      <w:tr w:rsidR="0010369C" w14:paraId="51DE8371" w14:textId="77777777">
        <w:trPr>
          <w:trHeight w:val="319"/>
        </w:trPr>
        <w:tc>
          <w:tcPr>
            <w:tcW w:w="9129" w:type="dxa"/>
            <w:gridSpan w:val="2"/>
            <w:tcBorders>
              <w:top w:val="single" w:sz="48" w:space="0" w:color="FFFFFF"/>
              <w:bottom w:val="single" w:sz="48" w:space="0" w:color="FFFFFF"/>
            </w:tcBorders>
            <w:shd w:val="clear" w:color="auto" w:fill="000000"/>
          </w:tcPr>
          <w:p w14:paraId="51DE8370" w14:textId="77777777" w:rsidR="0010369C" w:rsidRDefault="0010369C">
            <w:pPr>
              <w:pStyle w:val="TableParagraph"/>
              <w:rPr>
                <w:rFonts w:ascii="Times New Roman"/>
              </w:rPr>
            </w:pPr>
          </w:p>
        </w:tc>
      </w:tr>
      <w:tr w:rsidR="0010369C" w14:paraId="51DE8373" w14:textId="77777777">
        <w:trPr>
          <w:trHeight w:val="320"/>
        </w:trPr>
        <w:tc>
          <w:tcPr>
            <w:tcW w:w="9129" w:type="dxa"/>
            <w:gridSpan w:val="2"/>
            <w:tcBorders>
              <w:top w:val="single" w:sz="48" w:space="0" w:color="FFFFFF"/>
              <w:bottom w:val="single" w:sz="48" w:space="0" w:color="FFFFFF"/>
            </w:tcBorders>
            <w:shd w:val="clear" w:color="auto" w:fill="000000"/>
          </w:tcPr>
          <w:p w14:paraId="51DE8372" w14:textId="77777777" w:rsidR="0010369C" w:rsidRDefault="0010369C">
            <w:pPr>
              <w:pStyle w:val="TableParagraph"/>
              <w:rPr>
                <w:rFonts w:ascii="Times New Roman"/>
              </w:rPr>
            </w:pPr>
          </w:p>
        </w:tc>
      </w:tr>
      <w:tr w:rsidR="0010369C" w14:paraId="51DE8376" w14:textId="77777777">
        <w:trPr>
          <w:trHeight w:val="321"/>
        </w:trPr>
        <w:tc>
          <w:tcPr>
            <w:tcW w:w="5247" w:type="dxa"/>
            <w:tcBorders>
              <w:top w:val="single" w:sz="48" w:space="0" w:color="FFFFFF"/>
            </w:tcBorders>
            <w:shd w:val="clear" w:color="auto" w:fill="000000"/>
          </w:tcPr>
          <w:p w14:paraId="51DE8374" w14:textId="77777777" w:rsidR="0010369C" w:rsidRDefault="0010369C">
            <w:pPr>
              <w:pStyle w:val="TableParagraph"/>
              <w:rPr>
                <w:rFonts w:ascii="Times New Roman"/>
              </w:rPr>
            </w:pPr>
          </w:p>
        </w:tc>
        <w:tc>
          <w:tcPr>
            <w:tcW w:w="3882" w:type="dxa"/>
            <w:tcBorders>
              <w:top w:val="single" w:sz="48" w:space="0" w:color="FFFFFF"/>
            </w:tcBorders>
          </w:tcPr>
          <w:p w14:paraId="51DE8375" w14:textId="77777777" w:rsidR="0010369C" w:rsidRDefault="008E43AE">
            <w:pPr>
              <w:pStyle w:val="TableParagraph"/>
              <w:spacing w:line="291" w:lineRule="exact"/>
              <w:ind w:left="20"/>
              <w:rPr>
                <w:sz w:val="24"/>
              </w:rPr>
            </w:pPr>
            <w:r>
              <w:rPr>
                <w:spacing w:val="-5"/>
                <w:sz w:val="24"/>
              </w:rPr>
              <w:t>]]</w:t>
            </w:r>
          </w:p>
        </w:tc>
      </w:tr>
    </w:tbl>
    <w:p w14:paraId="51DE8377" w14:textId="77777777" w:rsidR="0010369C" w:rsidRDefault="0010369C">
      <w:pPr>
        <w:pStyle w:val="BodyText"/>
        <w:spacing w:before="7"/>
        <w:rPr>
          <w:sz w:val="22"/>
        </w:rPr>
      </w:pPr>
    </w:p>
    <w:p w14:paraId="51DE8378" w14:textId="77777777" w:rsidR="0010369C" w:rsidRDefault="008E43AE">
      <w:pPr>
        <w:pStyle w:val="BodyText"/>
        <w:spacing w:after="3" w:line="360" w:lineRule="auto"/>
        <w:ind w:left="237" w:right="613" w:firstLine="851"/>
        <w:jc w:val="both"/>
      </w:pPr>
      <w:r>
        <w:rPr>
          <w:noProof/>
        </w:rPr>
        <w:drawing>
          <wp:anchor distT="0" distB="0" distL="0" distR="0" simplePos="0" relativeHeight="250900992" behindDoc="1" locked="0" layoutInCell="1" allowOverlap="1" wp14:anchorId="51DEA029" wp14:editId="51DEA02A">
            <wp:simplePos x="0" y="0"/>
            <wp:positionH relativeFrom="page">
              <wp:posOffset>905255</wp:posOffset>
            </wp:positionH>
            <wp:positionV relativeFrom="paragraph">
              <wp:posOffset>48337</wp:posOffset>
            </wp:positionV>
            <wp:extent cx="259079" cy="103631"/>
            <wp:effectExtent l="0" t="0" r="0" b="0"/>
            <wp:wrapNone/>
            <wp:docPr id="463" name="image2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image240.png"/>
                    <pic:cNvPicPr/>
                  </pic:nvPicPr>
                  <pic:blipFill>
                    <a:blip r:embed="rId342" cstate="print"/>
                    <a:stretch>
                      <a:fillRect/>
                    </a:stretch>
                  </pic:blipFill>
                  <pic:spPr>
                    <a:xfrm>
                      <a:off x="0" y="0"/>
                      <a:ext cx="259079" cy="103631"/>
                    </a:xfrm>
                    <a:prstGeom prst="rect">
                      <a:avLst/>
                    </a:prstGeom>
                  </pic:spPr>
                </pic:pic>
              </a:graphicData>
            </a:graphic>
          </wp:anchor>
        </w:drawing>
      </w:r>
      <w:r>
        <w:pict w14:anchorId="51DEA02B">
          <v:rect id="docshape457" o:spid="_x0000_s1807" style="position:absolute;left:0;text-align:left;margin-left:151.45pt;margin-top:153.95pt;width:371.95pt;height:16.05pt;z-index:-251379200;mso-position-horizontal-relative:page;mso-position-vertical-relative:text" fillcolor="black" stroked="f">
            <w10:wrap anchorx="page"/>
          </v:rect>
        </w:pict>
      </w:r>
      <w:r>
        <w:t>In order to determine the selection of "best information available", an investigating authority is also obliged to undertake a "comparative and systematic evaluation and assessment of that data".</w:t>
      </w:r>
      <w:r>
        <w:rPr>
          <w:vertAlign w:val="superscript"/>
        </w:rPr>
        <w:t>257</w:t>
      </w:r>
      <w:r>
        <w:t xml:space="preserve"> Merely "checking for anomalies, aberrations, or the need </w:t>
      </w:r>
      <w:r>
        <w:t>for adjustments" does not equate to a comparative evaluation and assessment.</w:t>
      </w:r>
      <w:r>
        <w:rPr>
          <w:vertAlign w:val="superscript"/>
        </w:rPr>
        <w:t>258</w:t>
      </w:r>
      <w:r>
        <w:t xml:space="preserve"> For example, in selecting the best information available MOFCOM should have accounted for Treasury Wine's production situation and product structure, the cost differences betwe</w:t>
      </w:r>
      <w:r>
        <w:t>en different types of wine products, and other factors affecting comparability between the company's wine products. [[</w:t>
      </w:r>
    </w:p>
    <w:p w14:paraId="51DE8379" w14:textId="77777777" w:rsidR="0010369C" w:rsidRDefault="008E43AE">
      <w:pPr>
        <w:pStyle w:val="BodyText"/>
        <w:ind w:left="218"/>
        <w:rPr>
          <w:sz w:val="20"/>
        </w:rPr>
      </w:pPr>
      <w:r>
        <w:rPr>
          <w:sz w:val="20"/>
        </w:rPr>
      </w:r>
      <w:r>
        <w:rPr>
          <w:sz w:val="20"/>
        </w:rPr>
        <w:pict w14:anchorId="51DEA02D">
          <v:group id="docshapegroup458" o:spid="_x0000_s1805" style="width:453.4pt;height:16.1pt;mso-position-horizontal-relative:char;mso-position-vertical-relative:line" coordsize="9068,322">
            <v:rect id="docshape459" o:spid="_x0000_s1806" style="position:absolute;width:9068;height:322" fillcolor="black" stroked="f"/>
            <w10:anchorlock/>
          </v:group>
        </w:pict>
      </w:r>
    </w:p>
    <w:p w14:paraId="51DE837A" w14:textId="77777777" w:rsidR="0010369C" w:rsidRDefault="008E43AE">
      <w:pPr>
        <w:pStyle w:val="BodyText"/>
        <w:spacing w:before="82" w:line="360" w:lineRule="auto"/>
        <w:ind w:left="238" w:right="613" w:firstLine="6004"/>
        <w:jc w:val="both"/>
      </w:pPr>
      <w:r>
        <w:pict w14:anchorId="51DEA02E">
          <v:rect id="docshape460" o:spid="_x0000_s1804" style="position:absolute;left:0;text-align:left;margin-left:69.9pt;margin-top:4.2pt;width:300.25pt;height:16.05pt;z-index:-251378176;mso-position-horizontal-relative:page" fillcolor="black" stroked="f">
            <w10:wrap anchorx="page"/>
          </v:rect>
        </w:pict>
      </w:r>
      <w:r>
        <w:t>]] demonstrates that MOFCOM did not conduct the required comparative systematic evaluation and assessment of the data submitted, as required by Article 6.8 and paragraph 7 of Annex II.</w:t>
      </w:r>
    </w:p>
    <w:p w14:paraId="51DE837B" w14:textId="77777777" w:rsidR="0010369C" w:rsidRDefault="0010369C">
      <w:pPr>
        <w:pStyle w:val="BodyText"/>
        <w:spacing w:before="10"/>
        <w:rPr>
          <w:sz w:val="8"/>
        </w:rPr>
      </w:pPr>
    </w:p>
    <w:p w14:paraId="51DE837C" w14:textId="77777777" w:rsidR="0010369C" w:rsidRDefault="008E43AE">
      <w:pPr>
        <w:spacing w:before="52"/>
        <w:ind w:left="1089"/>
        <w:rPr>
          <w:sz w:val="24"/>
        </w:rPr>
      </w:pPr>
      <w:r>
        <w:rPr>
          <w:noProof/>
        </w:rPr>
        <w:drawing>
          <wp:anchor distT="0" distB="0" distL="0" distR="0" simplePos="0" relativeHeight="250638848" behindDoc="0" locked="0" layoutInCell="1" allowOverlap="1" wp14:anchorId="51DEA02F" wp14:editId="51DEA030">
            <wp:simplePos x="0" y="0"/>
            <wp:positionH relativeFrom="page">
              <wp:posOffset>905255</wp:posOffset>
            </wp:positionH>
            <wp:positionV relativeFrom="paragraph">
              <wp:posOffset>81358</wp:posOffset>
            </wp:positionV>
            <wp:extent cx="259079" cy="103631"/>
            <wp:effectExtent l="0" t="0" r="0" b="0"/>
            <wp:wrapNone/>
            <wp:docPr id="465" name="image2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 name="image241.png"/>
                    <pic:cNvPicPr/>
                  </pic:nvPicPr>
                  <pic:blipFill>
                    <a:blip r:embed="rId343" cstate="print"/>
                    <a:stretch>
                      <a:fillRect/>
                    </a:stretch>
                  </pic:blipFill>
                  <pic:spPr>
                    <a:xfrm>
                      <a:off x="0" y="0"/>
                      <a:ext cx="259079" cy="103631"/>
                    </a:xfrm>
                    <a:prstGeom prst="rect">
                      <a:avLst/>
                    </a:prstGeom>
                  </pic:spPr>
                </pic:pic>
              </a:graphicData>
            </a:graphic>
          </wp:anchor>
        </w:drawing>
      </w:r>
      <w:r>
        <w:pict w14:anchorId="51DEA031">
          <v:rect id="docshape461" o:spid="_x0000_s1803" style="position:absolute;left:0;text-align:left;margin-left:119.8pt;margin-top:2.7pt;width:403.55pt;height:16.05pt;z-index:251775488;mso-position-horizontal-relative:page;mso-position-vertical-relative:text" fillcolor="black" stroked="f">
            <w10:wrap anchorx="page"/>
          </v:rect>
        </w:pict>
      </w:r>
      <w:r>
        <w:rPr>
          <w:spacing w:val="-5"/>
          <w:sz w:val="24"/>
        </w:rPr>
        <w:t>[[</w:t>
      </w:r>
    </w:p>
    <w:p w14:paraId="51DE837D" w14:textId="77777777" w:rsidR="0010369C" w:rsidRDefault="008E43AE">
      <w:pPr>
        <w:pStyle w:val="BodyText"/>
        <w:spacing w:before="3"/>
        <w:rPr>
          <w:sz w:val="10"/>
        </w:rPr>
      </w:pPr>
      <w:r>
        <w:pict w14:anchorId="51DEA032">
          <v:shape id="docshape462" o:spid="_x0000_s1802" style="position:absolute;margin-left:69.9pt;margin-top:7.5pt;width:377.4pt;height:16.1pt;z-index:-251068928;mso-wrap-distance-left:0;mso-wrap-distance-right:0;mso-position-horizontal-relative:page" coordorigin="1398,150" coordsize="7548,322" path="m8946,152r-242,l8704,150r-7306,l1398,471r7306,l8704,366r242,l8946,152xe" fillcolor="black" stroked="f">
            <v:path arrowok="t"/>
            <w10:wrap type="topAndBottom" anchorx="page"/>
          </v:shape>
        </w:pict>
      </w:r>
      <w:r>
        <w:pict w14:anchorId="51DEA033">
          <v:rect id="docshape463" o:spid="_x0000_s1801" style="position:absolute;margin-left:112.45pt;margin-top:38.35pt;width:5.5pt;height:14.7pt;z-index:-251067904;mso-wrap-distance-left:0;mso-wrap-distance-right:0;mso-position-horizontal-relative:page" fillcolor="black" stroked="f">
            <w10:wrap type="topAndBottom" anchorx="page"/>
          </v:rect>
        </w:pict>
      </w:r>
      <w:r>
        <w:pict w14:anchorId="51DEA034">
          <v:rect id="docshape464" o:spid="_x0000_s1800" style="position:absolute;margin-left:155pt;margin-top:38.1pt;width:368.45pt;height:16.05pt;z-index:-251066880;mso-wrap-distance-left:0;mso-wrap-distance-right:0;mso-position-horizontal-relative:page" fillcolor="black" stroked="f">
            <w10:wrap type="topAndBottom" anchorx="page"/>
          </v:rect>
        </w:pict>
      </w:r>
      <w:r>
        <w:pict w14:anchorId="51DEA035">
          <v:rect id="docshape465" o:spid="_x0000_s1799" style="position:absolute;margin-left:155pt;margin-top:60.05pt;width:368.45pt;height:16.05pt;z-index:-251065856;mso-wrap-distance-left:0;mso-wrap-distance-right:0;mso-position-horizontal-relative:page" fillcolor="black" stroked="f">
            <w10:wrap type="topAndBottom" anchorx="page"/>
          </v:rect>
        </w:pict>
      </w:r>
    </w:p>
    <w:p w14:paraId="51DE837E" w14:textId="77777777" w:rsidR="0010369C" w:rsidRDefault="0010369C">
      <w:pPr>
        <w:pStyle w:val="BodyText"/>
        <w:spacing w:before="10"/>
        <w:rPr>
          <w:sz w:val="21"/>
        </w:rPr>
      </w:pPr>
    </w:p>
    <w:p w14:paraId="51DE837F" w14:textId="77777777" w:rsidR="0010369C" w:rsidRDefault="0010369C">
      <w:pPr>
        <w:pStyle w:val="BodyText"/>
        <w:spacing w:before="8"/>
        <w:rPr>
          <w:sz w:val="7"/>
        </w:rPr>
      </w:pPr>
    </w:p>
    <w:p w14:paraId="51DE8380" w14:textId="77777777" w:rsidR="0010369C" w:rsidRDefault="0010369C">
      <w:pPr>
        <w:pStyle w:val="BodyText"/>
        <w:rPr>
          <w:sz w:val="20"/>
        </w:rPr>
      </w:pPr>
    </w:p>
    <w:p w14:paraId="51DE8381" w14:textId="77777777" w:rsidR="0010369C" w:rsidRDefault="0010369C">
      <w:pPr>
        <w:pStyle w:val="BodyText"/>
        <w:rPr>
          <w:sz w:val="20"/>
        </w:rPr>
      </w:pPr>
    </w:p>
    <w:p w14:paraId="51DE8382" w14:textId="77777777" w:rsidR="0010369C" w:rsidRDefault="0010369C">
      <w:pPr>
        <w:pStyle w:val="BodyText"/>
        <w:rPr>
          <w:sz w:val="20"/>
        </w:rPr>
      </w:pPr>
    </w:p>
    <w:p w14:paraId="51DE8383" w14:textId="77777777" w:rsidR="0010369C" w:rsidRDefault="0010369C">
      <w:pPr>
        <w:pStyle w:val="BodyText"/>
        <w:rPr>
          <w:sz w:val="20"/>
        </w:rPr>
      </w:pPr>
    </w:p>
    <w:p w14:paraId="51DE8384" w14:textId="77777777" w:rsidR="0010369C" w:rsidRDefault="008E43AE">
      <w:pPr>
        <w:pStyle w:val="BodyText"/>
        <w:spacing w:before="11"/>
        <w:rPr>
          <w:sz w:val="15"/>
        </w:rPr>
      </w:pPr>
      <w:r>
        <w:pict w14:anchorId="51DEA036">
          <v:rect id="docshape466" o:spid="_x0000_s1798" style="position:absolute;margin-left:70.9pt;margin-top:10.9pt;width:2in;height:.8pt;z-index:-251064832;mso-wrap-distance-left:0;mso-wrap-distance-right:0;mso-position-horizontal-relative:page" fillcolor="black" stroked="f">
            <w10:wrap type="topAndBottom" anchorx="page"/>
          </v:rect>
        </w:pict>
      </w:r>
    </w:p>
    <w:p w14:paraId="51DE8385" w14:textId="77777777" w:rsidR="0010369C" w:rsidRDefault="008E43AE">
      <w:pPr>
        <w:spacing w:before="110"/>
        <w:ind w:left="238"/>
        <w:rPr>
          <w:sz w:val="18"/>
        </w:rPr>
      </w:pPr>
      <w:r>
        <w:rPr>
          <w:sz w:val="18"/>
          <w:vertAlign w:val="superscript"/>
        </w:rPr>
        <w:t>256</w:t>
      </w:r>
      <w:r>
        <w:rPr>
          <w:spacing w:val="-6"/>
          <w:sz w:val="18"/>
        </w:rPr>
        <w:t xml:space="preserve"> </w:t>
      </w:r>
      <w:r>
        <w:rPr>
          <w:sz w:val="18"/>
        </w:rPr>
        <w:t>See</w:t>
      </w:r>
      <w:r>
        <w:rPr>
          <w:spacing w:val="-5"/>
          <w:sz w:val="18"/>
        </w:rPr>
        <w:t xml:space="preserve"> </w:t>
      </w:r>
      <w:r>
        <w:rPr>
          <w:sz w:val="18"/>
        </w:rPr>
        <w:t>above,</w:t>
      </w:r>
      <w:r>
        <w:rPr>
          <w:spacing w:val="-6"/>
          <w:sz w:val="18"/>
        </w:rPr>
        <w:t xml:space="preserve"> </w:t>
      </w:r>
      <w:r>
        <w:rPr>
          <w:sz w:val="18"/>
        </w:rPr>
        <w:t>section</w:t>
      </w:r>
      <w:r>
        <w:rPr>
          <w:spacing w:val="-5"/>
          <w:sz w:val="18"/>
        </w:rPr>
        <w:t xml:space="preserve"> </w:t>
      </w:r>
      <w:r>
        <w:rPr>
          <w:spacing w:val="-2"/>
          <w:sz w:val="18"/>
        </w:rPr>
        <w:t>II.E.2(a)(iii).</w:t>
      </w:r>
    </w:p>
    <w:p w14:paraId="51DE8386" w14:textId="77777777" w:rsidR="0010369C" w:rsidRDefault="008E43AE">
      <w:pPr>
        <w:ind w:left="238"/>
        <w:rPr>
          <w:sz w:val="18"/>
        </w:rPr>
      </w:pPr>
      <w:r>
        <w:rPr>
          <w:sz w:val="18"/>
          <w:vertAlign w:val="superscript"/>
        </w:rPr>
        <w:t>257</w:t>
      </w:r>
      <w:r>
        <w:rPr>
          <w:spacing w:val="-6"/>
          <w:sz w:val="18"/>
        </w:rPr>
        <w:t xml:space="preserve"> </w:t>
      </w:r>
      <w:r>
        <w:rPr>
          <w:sz w:val="18"/>
        </w:rPr>
        <w:t>Panel</w:t>
      </w:r>
      <w:r>
        <w:rPr>
          <w:spacing w:val="-6"/>
          <w:sz w:val="18"/>
        </w:rPr>
        <w:t xml:space="preserve"> </w:t>
      </w:r>
      <w:r>
        <w:rPr>
          <w:sz w:val="18"/>
        </w:rPr>
        <w:t>Report,</w:t>
      </w:r>
      <w:r>
        <w:rPr>
          <w:spacing w:val="-6"/>
          <w:sz w:val="18"/>
        </w:rPr>
        <w:t xml:space="preserve"> </w:t>
      </w:r>
      <w:r>
        <w:rPr>
          <w:i/>
          <w:sz w:val="18"/>
        </w:rPr>
        <w:t>Canada</w:t>
      </w:r>
      <w:r>
        <w:rPr>
          <w:i/>
          <w:spacing w:val="-5"/>
          <w:sz w:val="18"/>
        </w:rPr>
        <w:t xml:space="preserve"> </w:t>
      </w:r>
      <w:r>
        <w:rPr>
          <w:i/>
          <w:sz w:val="18"/>
        </w:rPr>
        <w:t>–</w:t>
      </w:r>
      <w:r>
        <w:rPr>
          <w:i/>
          <w:spacing w:val="-6"/>
          <w:sz w:val="18"/>
        </w:rPr>
        <w:t xml:space="preserve"> </w:t>
      </w:r>
      <w:r>
        <w:rPr>
          <w:i/>
          <w:sz w:val="18"/>
        </w:rPr>
        <w:t>Welded</w:t>
      </w:r>
      <w:r>
        <w:rPr>
          <w:i/>
          <w:spacing w:val="-5"/>
          <w:sz w:val="18"/>
        </w:rPr>
        <w:t xml:space="preserve"> </w:t>
      </w:r>
      <w:r>
        <w:rPr>
          <w:i/>
          <w:sz w:val="18"/>
        </w:rPr>
        <w:t>Pipe</w:t>
      </w:r>
      <w:r>
        <w:rPr>
          <w:sz w:val="18"/>
        </w:rPr>
        <w:t>,</w:t>
      </w:r>
      <w:r>
        <w:rPr>
          <w:spacing w:val="-7"/>
          <w:sz w:val="18"/>
        </w:rPr>
        <w:t xml:space="preserve"> </w:t>
      </w:r>
      <w:r>
        <w:rPr>
          <w:sz w:val="18"/>
        </w:rPr>
        <w:t>para.</w:t>
      </w:r>
      <w:r>
        <w:rPr>
          <w:spacing w:val="-5"/>
          <w:sz w:val="18"/>
        </w:rPr>
        <w:t xml:space="preserve"> </w:t>
      </w:r>
      <w:r>
        <w:rPr>
          <w:spacing w:val="-2"/>
          <w:sz w:val="18"/>
        </w:rPr>
        <w:t>7.134</w:t>
      </w:r>
    </w:p>
    <w:p w14:paraId="51DE8387" w14:textId="77777777" w:rsidR="0010369C" w:rsidRDefault="008E43AE">
      <w:pPr>
        <w:ind w:left="238"/>
        <w:rPr>
          <w:sz w:val="18"/>
        </w:rPr>
      </w:pPr>
      <w:r>
        <w:rPr>
          <w:sz w:val="18"/>
          <w:vertAlign w:val="superscript"/>
        </w:rPr>
        <w:t>258</w:t>
      </w:r>
      <w:r>
        <w:rPr>
          <w:spacing w:val="-6"/>
          <w:sz w:val="18"/>
        </w:rPr>
        <w:t xml:space="preserve"> </w:t>
      </w:r>
      <w:r>
        <w:rPr>
          <w:sz w:val="18"/>
        </w:rPr>
        <w:t>Panel</w:t>
      </w:r>
      <w:r>
        <w:rPr>
          <w:spacing w:val="-6"/>
          <w:sz w:val="18"/>
        </w:rPr>
        <w:t xml:space="preserve"> </w:t>
      </w:r>
      <w:r>
        <w:rPr>
          <w:sz w:val="18"/>
        </w:rPr>
        <w:t>Report,</w:t>
      </w:r>
      <w:r>
        <w:rPr>
          <w:spacing w:val="-6"/>
          <w:sz w:val="18"/>
        </w:rPr>
        <w:t xml:space="preserve"> </w:t>
      </w:r>
      <w:r>
        <w:rPr>
          <w:i/>
          <w:sz w:val="18"/>
        </w:rPr>
        <w:t>Canada</w:t>
      </w:r>
      <w:r>
        <w:rPr>
          <w:i/>
          <w:spacing w:val="-5"/>
          <w:sz w:val="18"/>
        </w:rPr>
        <w:t xml:space="preserve"> </w:t>
      </w:r>
      <w:r>
        <w:rPr>
          <w:i/>
          <w:sz w:val="18"/>
        </w:rPr>
        <w:t>–</w:t>
      </w:r>
      <w:r>
        <w:rPr>
          <w:i/>
          <w:spacing w:val="-6"/>
          <w:sz w:val="18"/>
        </w:rPr>
        <w:t xml:space="preserve"> </w:t>
      </w:r>
      <w:r>
        <w:rPr>
          <w:i/>
          <w:sz w:val="18"/>
        </w:rPr>
        <w:t>Welded</w:t>
      </w:r>
      <w:r>
        <w:rPr>
          <w:i/>
          <w:spacing w:val="-5"/>
          <w:sz w:val="18"/>
        </w:rPr>
        <w:t xml:space="preserve"> </w:t>
      </w:r>
      <w:r>
        <w:rPr>
          <w:i/>
          <w:sz w:val="18"/>
        </w:rPr>
        <w:t>Pipe</w:t>
      </w:r>
      <w:r>
        <w:rPr>
          <w:sz w:val="18"/>
        </w:rPr>
        <w:t>,</w:t>
      </w:r>
      <w:r>
        <w:rPr>
          <w:spacing w:val="-7"/>
          <w:sz w:val="18"/>
        </w:rPr>
        <w:t xml:space="preserve"> </w:t>
      </w:r>
      <w:r>
        <w:rPr>
          <w:sz w:val="18"/>
        </w:rPr>
        <w:t>para.</w:t>
      </w:r>
      <w:r>
        <w:rPr>
          <w:spacing w:val="-5"/>
          <w:sz w:val="18"/>
        </w:rPr>
        <w:t xml:space="preserve"> </w:t>
      </w:r>
      <w:r>
        <w:rPr>
          <w:spacing w:val="-2"/>
          <w:sz w:val="18"/>
        </w:rPr>
        <w:t>7.134.</w:t>
      </w:r>
    </w:p>
    <w:p w14:paraId="51DE8388" w14:textId="77777777" w:rsidR="0010369C" w:rsidRDefault="008E43AE">
      <w:pPr>
        <w:tabs>
          <w:tab w:val="left" w:pos="6680"/>
          <w:tab w:val="left" w:pos="9037"/>
        </w:tabs>
        <w:ind w:left="238"/>
        <w:rPr>
          <w:sz w:val="18"/>
        </w:rPr>
      </w:pPr>
      <w:r>
        <w:pict w14:anchorId="51DEA037">
          <v:rect id="docshape467" o:spid="_x0000_s1797" style="position:absolute;left:0;text-align:left;margin-left:86.65pt;margin-top:.35pt;width:303.25pt;height:12.05pt;z-index:-251377152;mso-position-horizontal-relative:page" fillcolor="black" stroked="f">
            <w10:wrap anchorx="page"/>
          </v:rect>
        </w:pict>
      </w:r>
      <w:r>
        <w:pict w14:anchorId="51DEA038">
          <v:rect id="docshape468" o:spid="_x0000_s1796" style="position:absolute;left:0;text-align:left;margin-left:475.15pt;margin-top:.35pt;width:34.7pt;height:12.05pt;z-index:-251376128;mso-position-horizontal-relative:page" fillcolor="black" stroked="f">
            <w10:wrap anchorx="page"/>
          </v:rect>
        </w:pict>
      </w:r>
      <w:r>
        <w:rPr>
          <w:color w:val="5E5E5E"/>
          <w:sz w:val="18"/>
          <w:vertAlign w:val="superscript"/>
        </w:rPr>
        <w:t>259</w:t>
      </w:r>
      <w:r>
        <w:rPr>
          <w:color w:val="5E5E5E"/>
          <w:spacing w:val="-2"/>
          <w:sz w:val="18"/>
        </w:rPr>
        <w:t xml:space="preserve"> </w:t>
      </w:r>
      <w:r>
        <w:rPr>
          <w:color w:val="5E5E5E"/>
          <w:spacing w:val="-10"/>
          <w:sz w:val="18"/>
        </w:rPr>
        <w:t>[</w:t>
      </w:r>
      <w:r>
        <w:rPr>
          <w:color w:val="5E5E5E"/>
          <w:sz w:val="18"/>
        </w:rPr>
        <w:tab/>
        <w:t>(Exhibit</w:t>
      </w:r>
      <w:r>
        <w:rPr>
          <w:color w:val="5E5E5E"/>
          <w:spacing w:val="-9"/>
          <w:sz w:val="18"/>
        </w:rPr>
        <w:t xml:space="preserve"> </w:t>
      </w:r>
      <w:r>
        <w:rPr>
          <w:color w:val="5E5E5E"/>
          <w:sz w:val="18"/>
        </w:rPr>
        <w:t>AUS‐11</w:t>
      </w:r>
      <w:r>
        <w:rPr>
          <w:color w:val="5E5E5E"/>
          <w:spacing w:val="-9"/>
          <w:sz w:val="18"/>
        </w:rPr>
        <w:t xml:space="preserve"> </w:t>
      </w:r>
      <w:r>
        <w:rPr>
          <w:color w:val="5E5E5E"/>
          <w:spacing w:val="-2"/>
          <w:sz w:val="18"/>
        </w:rPr>
        <w:t>(BCI)),</w:t>
      </w:r>
      <w:r>
        <w:rPr>
          <w:color w:val="5E5E5E"/>
          <w:sz w:val="18"/>
        </w:rPr>
        <w:tab/>
      </w:r>
      <w:r>
        <w:rPr>
          <w:color w:val="5E5E5E"/>
          <w:spacing w:val="-5"/>
          <w:sz w:val="18"/>
        </w:rPr>
        <w:t>.]]</w:t>
      </w:r>
    </w:p>
    <w:p w14:paraId="51DE8389" w14:textId="77777777" w:rsidR="0010369C" w:rsidRDefault="0010369C">
      <w:pPr>
        <w:rPr>
          <w:sz w:val="18"/>
        </w:rPr>
        <w:sectPr w:rsidR="0010369C">
          <w:pgSz w:w="11910" w:h="16840"/>
          <w:pgMar w:top="880" w:right="800" w:bottom="980" w:left="1180" w:header="569" w:footer="788" w:gutter="0"/>
          <w:cols w:space="720"/>
        </w:sectPr>
      </w:pPr>
    </w:p>
    <w:p w14:paraId="51DE838A" w14:textId="77777777" w:rsidR="0010369C" w:rsidRDefault="008E43AE">
      <w:pPr>
        <w:tabs>
          <w:tab w:val="left" w:pos="6425"/>
        </w:tabs>
        <w:ind w:left="238"/>
        <w:rPr>
          <w:sz w:val="20"/>
        </w:rPr>
      </w:pPr>
      <w:r>
        <w:rPr>
          <w:i/>
          <w:sz w:val="20"/>
        </w:rPr>
        <w:lastRenderedPageBreak/>
        <w:t>China</w:t>
      </w:r>
      <w:r>
        <w:rPr>
          <w:i/>
          <w:spacing w:val="-5"/>
          <w:sz w:val="20"/>
        </w:rPr>
        <w:t xml:space="preserve"> </w:t>
      </w:r>
      <w:r>
        <w:rPr>
          <w:i/>
          <w:sz w:val="20"/>
        </w:rPr>
        <w:t>–</w:t>
      </w:r>
      <w:r>
        <w:rPr>
          <w:i/>
          <w:spacing w:val="-5"/>
          <w:sz w:val="20"/>
        </w:rPr>
        <w:t xml:space="preserve"> </w:t>
      </w:r>
      <w:r>
        <w:rPr>
          <w:i/>
          <w:sz w:val="20"/>
        </w:rPr>
        <w:t>Anti‐Dumping</w:t>
      </w:r>
      <w:r>
        <w:rPr>
          <w:i/>
          <w:spacing w:val="-4"/>
          <w:sz w:val="20"/>
        </w:rPr>
        <w:t xml:space="preserve"> </w:t>
      </w:r>
      <w:r>
        <w:rPr>
          <w:i/>
          <w:sz w:val="20"/>
        </w:rPr>
        <w:t>and</w:t>
      </w:r>
      <w:r>
        <w:rPr>
          <w:i/>
          <w:spacing w:val="-5"/>
          <w:sz w:val="20"/>
        </w:rPr>
        <w:t xml:space="preserve"> </w:t>
      </w:r>
      <w:r>
        <w:rPr>
          <w:i/>
          <w:sz w:val="20"/>
        </w:rPr>
        <w:t>Countervailing</w:t>
      </w:r>
      <w:r>
        <w:rPr>
          <w:i/>
          <w:spacing w:val="-5"/>
          <w:sz w:val="20"/>
        </w:rPr>
        <w:t xml:space="preserve"> </w:t>
      </w:r>
      <w:r>
        <w:rPr>
          <w:i/>
          <w:sz w:val="20"/>
        </w:rPr>
        <w:t>Duty</w:t>
      </w:r>
      <w:r>
        <w:rPr>
          <w:i/>
          <w:spacing w:val="-4"/>
          <w:sz w:val="20"/>
        </w:rPr>
        <w:t xml:space="preserve"> </w:t>
      </w:r>
      <w:r>
        <w:rPr>
          <w:i/>
          <w:spacing w:val="-2"/>
          <w:sz w:val="20"/>
        </w:rPr>
        <w:t>Measures</w:t>
      </w:r>
      <w:r>
        <w:rPr>
          <w:i/>
          <w:sz w:val="20"/>
        </w:rPr>
        <w:tab/>
      </w:r>
      <w:r>
        <w:rPr>
          <w:sz w:val="20"/>
        </w:rPr>
        <w:t>Australia's</w:t>
      </w:r>
      <w:r>
        <w:rPr>
          <w:spacing w:val="-7"/>
          <w:sz w:val="20"/>
        </w:rPr>
        <w:t xml:space="preserve"> </w:t>
      </w:r>
      <w:r>
        <w:rPr>
          <w:sz w:val="20"/>
        </w:rPr>
        <w:t>First</w:t>
      </w:r>
      <w:r>
        <w:rPr>
          <w:spacing w:val="-2"/>
          <w:sz w:val="20"/>
        </w:rPr>
        <w:t xml:space="preserve"> </w:t>
      </w:r>
      <w:r>
        <w:rPr>
          <w:sz w:val="20"/>
        </w:rPr>
        <w:t>Written</w:t>
      </w:r>
      <w:r>
        <w:rPr>
          <w:spacing w:val="-2"/>
          <w:sz w:val="20"/>
        </w:rPr>
        <w:t xml:space="preserve"> Submission</w:t>
      </w:r>
    </w:p>
    <w:p w14:paraId="51DE838B" w14:textId="77777777" w:rsidR="0010369C" w:rsidRDefault="008E43AE">
      <w:pPr>
        <w:tabs>
          <w:tab w:val="left" w:pos="8227"/>
        </w:tabs>
        <w:spacing w:before="1"/>
        <w:ind w:left="239"/>
        <w:rPr>
          <w:sz w:val="20"/>
        </w:rPr>
      </w:pPr>
      <w:r>
        <w:pict w14:anchorId="51DEA039">
          <v:rect id="docshape469" o:spid="_x0000_s1795" style="position:absolute;left:0;text-align:left;margin-left:155pt;margin-top:14.1pt;width:368.35pt;height:16.05pt;z-index:-251063808;mso-wrap-distance-left:0;mso-wrap-distance-right:0;mso-position-horizontal-relative:page" fillcolor="black" stroked="f">
            <w10:wrap type="topAndBottom" anchorx="page"/>
          </v:rect>
        </w:pict>
      </w:r>
      <w:r>
        <w:pict w14:anchorId="51DEA03A">
          <v:rect id="docshape470" o:spid="_x0000_s1794" style="position:absolute;left:0;text-align:left;margin-left:155pt;margin-top:36.05pt;width:290.3pt;height:16.05pt;z-index:-251062784;mso-wrap-distance-left:0;mso-wrap-distance-right:0;mso-position-horizontal-relative:page" fillcolor="black" stroked="f">
            <w10:wrap type="topAndBottom" anchorx="page"/>
          </v:rect>
        </w:pict>
      </w:r>
      <w:r>
        <w:pict w14:anchorId="51DEA03B">
          <v:rect id="docshape471" o:spid="_x0000_s1793" style="position:absolute;left:0;text-align:left;margin-left:112.45pt;margin-top:64.95pt;width:5.5pt;height:14.7pt;z-index:-251061760;mso-wrap-distance-left:0;mso-wrap-distance-right:0;mso-position-horizontal-relative:page" fillcolor="black" stroked="f">
            <w10:wrap type="topAndBottom" anchorx="page"/>
          </v:rect>
        </w:pict>
      </w:r>
      <w:r>
        <w:pict w14:anchorId="51DEA03C">
          <v:rect id="docshape472" o:spid="_x0000_s1792" style="position:absolute;left:0;text-align:left;margin-left:155pt;margin-top:64.65pt;width:368.4pt;height:16.05pt;z-index:-251060736;mso-wrap-distance-left:0;mso-wrap-distance-right:0;mso-position-horizontal-relative:page" fillcolor="black" stroked="f">
            <w10:wrap type="topAndBottom" anchorx="page"/>
          </v:rect>
        </w:pict>
      </w:r>
      <w:r>
        <w:pict w14:anchorId="51DEA03D">
          <v:rect id="docshape473" o:spid="_x0000_s1791" style="position:absolute;left:0;text-align:left;margin-left:155pt;margin-top:86.65pt;width:368.45pt;height:16.05pt;z-index:-251059712;mso-wrap-distance-left:0;mso-wrap-distance-right:0;mso-position-horizontal-relative:page" fillcolor="black" stroked="f">
            <w10:wrap type="topAndBottom" anchorx="page"/>
          </v:rect>
        </w:pict>
      </w:r>
      <w:r>
        <w:pict w14:anchorId="51DEA03E">
          <v:rect id="docshape474" o:spid="_x0000_s1790" style="position:absolute;left:0;text-align:left;margin-left:155pt;margin-top:108.6pt;width:223.85pt;height:16.05pt;z-index:-251058688;mso-wrap-distance-left:0;mso-wrap-distance-right:0;mso-position-horizontal-relative:page" fillcolor="black" stroked="f">
            <w10:wrap type="topAndBottom" anchorx="page"/>
          </v:rect>
        </w:pict>
      </w:r>
      <w:r>
        <w:rPr>
          <w:i/>
          <w:sz w:val="20"/>
        </w:rPr>
        <w:t>on</w:t>
      </w:r>
      <w:r>
        <w:rPr>
          <w:i/>
          <w:spacing w:val="-1"/>
          <w:sz w:val="20"/>
        </w:rPr>
        <w:t xml:space="preserve"> </w:t>
      </w:r>
      <w:r>
        <w:rPr>
          <w:i/>
          <w:sz w:val="20"/>
        </w:rPr>
        <w:t>Wine</w:t>
      </w:r>
      <w:r>
        <w:rPr>
          <w:i/>
          <w:spacing w:val="-1"/>
          <w:sz w:val="20"/>
        </w:rPr>
        <w:t xml:space="preserve"> </w:t>
      </w:r>
      <w:r>
        <w:rPr>
          <w:i/>
          <w:sz w:val="20"/>
        </w:rPr>
        <w:t>from</w:t>
      </w:r>
      <w:r>
        <w:rPr>
          <w:i/>
          <w:spacing w:val="-3"/>
          <w:sz w:val="20"/>
        </w:rPr>
        <w:t xml:space="preserve"> </w:t>
      </w:r>
      <w:r>
        <w:rPr>
          <w:i/>
          <w:sz w:val="20"/>
        </w:rPr>
        <w:t>Australia</w:t>
      </w:r>
      <w:r>
        <w:rPr>
          <w:i/>
          <w:spacing w:val="-1"/>
          <w:sz w:val="20"/>
        </w:rPr>
        <w:t xml:space="preserve"> </w:t>
      </w:r>
      <w:r>
        <w:rPr>
          <w:spacing w:val="-2"/>
          <w:sz w:val="20"/>
        </w:rPr>
        <w:t>(DS602)</w:t>
      </w:r>
      <w:r>
        <w:rPr>
          <w:sz w:val="20"/>
        </w:rPr>
        <w:tab/>
        <w:t>29</w:t>
      </w:r>
      <w:r>
        <w:rPr>
          <w:spacing w:val="-1"/>
          <w:sz w:val="20"/>
        </w:rPr>
        <w:t xml:space="preserve"> </w:t>
      </w:r>
      <w:r>
        <w:rPr>
          <w:sz w:val="20"/>
        </w:rPr>
        <w:t>April</w:t>
      </w:r>
      <w:r>
        <w:rPr>
          <w:spacing w:val="-2"/>
          <w:sz w:val="20"/>
        </w:rPr>
        <w:t xml:space="preserve"> </w:t>
      </w:r>
      <w:r>
        <w:rPr>
          <w:spacing w:val="-4"/>
          <w:sz w:val="20"/>
        </w:rPr>
        <w:t>2022</w:t>
      </w:r>
    </w:p>
    <w:p w14:paraId="51DE838C" w14:textId="77777777" w:rsidR="0010369C" w:rsidRDefault="0010369C">
      <w:pPr>
        <w:pStyle w:val="BodyText"/>
        <w:spacing w:before="8"/>
        <w:rPr>
          <w:sz w:val="7"/>
        </w:rPr>
      </w:pPr>
    </w:p>
    <w:p w14:paraId="51DE838D" w14:textId="77777777" w:rsidR="0010369C" w:rsidRDefault="0010369C">
      <w:pPr>
        <w:pStyle w:val="BodyText"/>
        <w:spacing w:before="7"/>
        <w:rPr>
          <w:sz w:val="18"/>
        </w:rPr>
      </w:pPr>
    </w:p>
    <w:p w14:paraId="51DE838E" w14:textId="77777777" w:rsidR="0010369C" w:rsidRDefault="0010369C">
      <w:pPr>
        <w:pStyle w:val="BodyText"/>
        <w:spacing w:before="8"/>
        <w:rPr>
          <w:sz w:val="7"/>
        </w:rPr>
      </w:pPr>
    </w:p>
    <w:p w14:paraId="51DE838F" w14:textId="77777777" w:rsidR="0010369C" w:rsidRDefault="0010369C">
      <w:pPr>
        <w:pStyle w:val="BodyText"/>
        <w:spacing w:before="8"/>
        <w:rPr>
          <w:sz w:val="7"/>
        </w:rPr>
      </w:pPr>
    </w:p>
    <w:p w14:paraId="51DE8390" w14:textId="77777777" w:rsidR="0010369C" w:rsidRDefault="0010369C">
      <w:pPr>
        <w:pStyle w:val="BodyText"/>
        <w:rPr>
          <w:sz w:val="15"/>
        </w:rPr>
      </w:pPr>
    </w:p>
    <w:p w14:paraId="51DE8391" w14:textId="77777777" w:rsidR="0010369C" w:rsidRDefault="008E43AE">
      <w:pPr>
        <w:spacing w:before="52"/>
        <w:ind w:left="1089"/>
        <w:rPr>
          <w:sz w:val="24"/>
        </w:rPr>
      </w:pPr>
      <w:r>
        <w:rPr>
          <w:noProof/>
        </w:rPr>
        <w:drawing>
          <wp:anchor distT="0" distB="0" distL="0" distR="0" simplePos="0" relativeHeight="250639872" behindDoc="0" locked="0" layoutInCell="1" allowOverlap="1" wp14:anchorId="51DEA03F" wp14:editId="51DEA040">
            <wp:simplePos x="0" y="0"/>
            <wp:positionH relativeFrom="page">
              <wp:posOffset>905255</wp:posOffset>
            </wp:positionH>
            <wp:positionV relativeFrom="paragraph">
              <wp:posOffset>76785</wp:posOffset>
            </wp:positionV>
            <wp:extent cx="259079" cy="106679"/>
            <wp:effectExtent l="0" t="0" r="0" b="0"/>
            <wp:wrapNone/>
            <wp:docPr id="467" name="image2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image242.png"/>
                    <pic:cNvPicPr/>
                  </pic:nvPicPr>
                  <pic:blipFill>
                    <a:blip r:embed="rId344" cstate="print"/>
                    <a:stretch>
                      <a:fillRect/>
                    </a:stretch>
                  </pic:blipFill>
                  <pic:spPr>
                    <a:xfrm>
                      <a:off x="0" y="0"/>
                      <a:ext cx="259079" cy="106679"/>
                    </a:xfrm>
                    <a:prstGeom prst="rect">
                      <a:avLst/>
                    </a:prstGeom>
                  </pic:spPr>
                </pic:pic>
              </a:graphicData>
            </a:graphic>
          </wp:anchor>
        </w:drawing>
      </w:r>
      <w:r>
        <w:pict w14:anchorId="51DEA041">
          <v:rect id="docshape475" o:spid="_x0000_s1789" style="position:absolute;left:0;text-align:left;margin-left:119.8pt;margin-top:2.7pt;width:403.7pt;height:16.05pt;z-index:251778560;mso-position-horizontal-relative:page;mso-position-vertical-relative:text" fillcolor="black" stroked="f">
            <w10:wrap anchorx="page"/>
          </v:rect>
        </w:pict>
      </w:r>
      <w:r>
        <w:rPr>
          <w:spacing w:val="-5"/>
          <w:sz w:val="24"/>
        </w:rPr>
        <w:t>[[</w:t>
      </w:r>
    </w:p>
    <w:p w14:paraId="51DE8392" w14:textId="77777777" w:rsidR="0010369C" w:rsidRDefault="008E43AE">
      <w:pPr>
        <w:spacing w:before="149"/>
        <w:ind w:left="1932"/>
        <w:rPr>
          <w:sz w:val="24"/>
        </w:rPr>
      </w:pPr>
      <w:r>
        <w:pict w14:anchorId="51DEA042">
          <v:rect id="docshape476" o:spid="_x0000_s1788" style="position:absolute;left:0;text-align:left;margin-left:69.9pt;margin-top:7.55pt;width:84.7pt;height:16.05pt;z-index:251779584;mso-position-horizontal-relative:page" fillcolor="black" stroked="f">
            <w10:wrap anchorx="page"/>
          </v:rect>
        </w:pict>
      </w:r>
      <w:r>
        <w:rPr>
          <w:spacing w:val="-5"/>
          <w:sz w:val="24"/>
        </w:rPr>
        <w:t>]]</w:t>
      </w:r>
    </w:p>
    <w:p w14:paraId="51DE8393" w14:textId="77777777" w:rsidR="0010369C" w:rsidRDefault="0010369C">
      <w:pPr>
        <w:pStyle w:val="BodyText"/>
        <w:spacing w:before="9"/>
        <w:rPr>
          <w:sz w:val="20"/>
        </w:rPr>
      </w:pPr>
    </w:p>
    <w:p w14:paraId="51DE8394" w14:textId="77777777" w:rsidR="0010369C" w:rsidRDefault="008E43AE">
      <w:pPr>
        <w:spacing w:before="51"/>
        <w:ind w:left="1089"/>
        <w:rPr>
          <w:sz w:val="24"/>
        </w:rPr>
      </w:pPr>
      <w:r>
        <w:rPr>
          <w:noProof/>
        </w:rPr>
        <w:drawing>
          <wp:anchor distT="0" distB="0" distL="0" distR="0" simplePos="0" relativeHeight="250640896" behindDoc="0" locked="0" layoutInCell="1" allowOverlap="1" wp14:anchorId="51DEA043" wp14:editId="51DEA044">
            <wp:simplePos x="0" y="0"/>
            <wp:positionH relativeFrom="page">
              <wp:posOffset>905255</wp:posOffset>
            </wp:positionH>
            <wp:positionV relativeFrom="paragraph">
              <wp:posOffset>80722</wp:posOffset>
            </wp:positionV>
            <wp:extent cx="259079" cy="103631"/>
            <wp:effectExtent l="0" t="0" r="0" b="0"/>
            <wp:wrapNone/>
            <wp:docPr id="469" name="image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 name="image243.png"/>
                    <pic:cNvPicPr/>
                  </pic:nvPicPr>
                  <pic:blipFill>
                    <a:blip r:embed="rId345" cstate="print"/>
                    <a:stretch>
                      <a:fillRect/>
                    </a:stretch>
                  </pic:blipFill>
                  <pic:spPr>
                    <a:xfrm>
                      <a:off x="0" y="0"/>
                      <a:ext cx="259079" cy="103631"/>
                    </a:xfrm>
                    <a:prstGeom prst="rect">
                      <a:avLst/>
                    </a:prstGeom>
                  </pic:spPr>
                </pic:pic>
              </a:graphicData>
            </a:graphic>
          </wp:anchor>
        </w:drawing>
      </w:r>
      <w:r>
        <w:pict w14:anchorId="51DEA045">
          <v:rect id="docshape477" o:spid="_x0000_s1787" style="position:absolute;left:0;text-align:left;margin-left:119.8pt;margin-top:2.65pt;width:403.6pt;height:16.05pt;z-index:251776512;mso-position-horizontal-relative:page;mso-position-vertical-relative:text" fillcolor="black" stroked="f">
            <w10:wrap anchorx="page"/>
          </v:rect>
        </w:pict>
      </w:r>
      <w:r>
        <w:rPr>
          <w:spacing w:val="-5"/>
          <w:sz w:val="24"/>
        </w:rPr>
        <w:t>[[</w:t>
      </w:r>
    </w:p>
    <w:p w14:paraId="51DE8395" w14:textId="77777777" w:rsidR="0010369C" w:rsidRDefault="008E43AE">
      <w:pPr>
        <w:pStyle w:val="BodyText"/>
        <w:spacing w:before="3"/>
        <w:rPr>
          <w:sz w:val="10"/>
        </w:rPr>
      </w:pPr>
      <w:r>
        <w:pict w14:anchorId="51DEA046">
          <v:rect id="docshape478" o:spid="_x0000_s1786" style="position:absolute;margin-left:69.9pt;margin-top:7.45pt;width:453.45pt;height:16.05pt;z-index:-251057664;mso-wrap-distance-left:0;mso-wrap-distance-right:0;mso-position-horizontal-relative:page" fillcolor="black" stroked="f">
            <w10:wrap type="topAndBottom" anchorx="page"/>
          </v:rect>
        </w:pict>
      </w:r>
      <w:r>
        <w:pict w14:anchorId="51DEA047">
          <v:rect id="docshape479" o:spid="_x0000_s1785" style="position:absolute;margin-left:69.95pt;margin-top:29.45pt;width:453.4pt;height:16.05pt;z-index:-251056640;mso-wrap-distance-left:0;mso-wrap-distance-right:0;mso-position-horizontal-relative:page" fillcolor="black" stroked="f">
            <w10:wrap type="topAndBottom" anchorx="page"/>
          </v:rect>
        </w:pict>
      </w:r>
      <w:r>
        <w:pict w14:anchorId="51DEA048">
          <v:rect id="docshape480" o:spid="_x0000_s1784" style="position:absolute;margin-left:69.9pt;margin-top:51.45pt;width:453.5pt;height:16.05pt;z-index:-251055616;mso-wrap-distance-left:0;mso-wrap-distance-right:0;mso-position-horizontal-relative:page" fillcolor="black" stroked="f">
            <w10:wrap type="topAndBottom" anchorx="page"/>
          </v:rect>
        </w:pict>
      </w:r>
      <w:r>
        <w:pict w14:anchorId="51DEA049">
          <v:rect id="docshape481" o:spid="_x0000_s1783" style="position:absolute;margin-left:69.9pt;margin-top:73.4pt;width:453.4pt;height:16.05pt;z-index:-251054592;mso-wrap-distance-left:0;mso-wrap-distance-right:0;mso-position-horizontal-relative:page" fillcolor="black" stroked="f">
            <w10:wrap type="topAndBottom" anchorx="page"/>
          </v:rect>
        </w:pict>
      </w:r>
    </w:p>
    <w:p w14:paraId="51DE8396" w14:textId="77777777" w:rsidR="0010369C" w:rsidRDefault="0010369C">
      <w:pPr>
        <w:pStyle w:val="BodyText"/>
        <w:spacing w:before="9"/>
        <w:rPr>
          <w:sz w:val="7"/>
        </w:rPr>
      </w:pPr>
    </w:p>
    <w:p w14:paraId="51DE8397" w14:textId="77777777" w:rsidR="0010369C" w:rsidRDefault="0010369C">
      <w:pPr>
        <w:pStyle w:val="BodyText"/>
        <w:spacing w:before="8"/>
        <w:rPr>
          <w:sz w:val="7"/>
        </w:rPr>
      </w:pPr>
    </w:p>
    <w:p w14:paraId="51DE8398" w14:textId="77777777" w:rsidR="0010369C" w:rsidRDefault="0010369C">
      <w:pPr>
        <w:pStyle w:val="BodyText"/>
        <w:spacing w:before="8"/>
        <w:rPr>
          <w:sz w:val="7"/>
        </w:rPr>
      </w:pPr>
    </w:p>
    <w:p w14:paraId="51DE8399" w14:textId="77777777" w:rsidR="0010369C" w:rsidRDefault="008E43AE">
      <w:pPr>
        <w:spacing w:before="116"/>
        <w:ind w:left="229" w:right="2465"/>
        <w:jc w:val="center"/>
        <w:rPr>
          <w:sz w:val="24"/>
        </w:rPr>
      </w:pPr>
      <w:r>
        <w:rPr>
          <w:spacing w:val="-5"/>
          <w:sz w:val="24"/>
        </w:rPr>
        <w:t>]]</w:t>
      </w:r>
    </w:p>
    <w:p w14:paraId="51DE839A" w14:textId="77777777" w:rsidR="0010369C" w:rsidRDefault="0010369C">
      <w:pPr>
        <w:pStyle w:val="BodyText"/>
        <w:spacing w:before="10"/>
        <w:rPr>
          <w:sz w:val="20"/>
        </w:rPr>
      </w:pPr>
    </w:p>
    <w:p w14:paraId="51DE839B" w14:textId="77777777" w:rsidR="0010369C" w:rsidRDefault="008E43AE">
      <w:pPr>
        <w:pStyle w:val="BodyText"/>
        <w:tabs>
          <w:tab w:val="left" w:pos="6662"/>
        </w:tabs>
        <w:spacing w:before="52" w:line="360" w:lineRule="auto"/>
        <w:ind w:left="237" w:right="614" w:firstLine="851"/>
        <w:jc w:val="both"/>
      </w:pPr>
      <w:r>
        <w:pict w14:anchorId="51DEA04A">
          <v:rect id="docshape482" o:spid="_x0000_s1782" style="position:absolute;left:0;text-align:left;margin-left:69.9pt;margin-top:-27.25pt;width:176.5pt;height:16.05pt;z-index:251777536;mso-position-horizontal-relative:page" fillcolor="black" stroked="f">
            <w10:wrap anchorx="page"/>
          </v:rect>
        </w:pict>
      </w:r>
      <w:r>
        <w:rPr>
          <w:noProof/>
        </w:rPr>
        <w:drawing>
          <wp:anchor distT="0" distB="0" distL="0" distR="0" simplePos="0" relativeHeight="250902016" behindDoc="1" locked="0" layoutInCell="1" allowOverlap="1" wp14:anchorId="51DEA04B" wp14:editId="51DEA04C">
            <wp:simplePos x="0" y="0"/>
            <wp:positionH relativeFrom="page">
              <wp:posOffset>905255</wp:posOffset>
            </wp:positionH>
            <wp:positionV relativeFrom="paragraph">
              <wp:posOffset>81949</wp:posOffset>
            </wp:positionV>
            <wp:extent cx="259079" cy="100753"/>
            <wp:effectExtent l="0" t="0" r="0" b="0"/>
            <wp:wrapNone/>
            <wp:docPr id="471" name="image2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 name="image244.png"/>
                    <pic:cNvPicPr/>
                  </pic:nvPicPr>
                  <pic:blipFill>
                    <a:blip r:embed="rId346" cstate="print"/>
                    <a:stretch>
                      <a:fillRect/>
                    </a:stretch>
                  </pic:blipFill>
                  <pic:spPr>
                    <a:xfrm>
                      <a:off x="0" y="0"/>
                      <a:ext cx="259079" cy="100753"/>
                    </a:xfrm>
                    <a:prstGeom prst="rect">
                      <a:avLst/>
                    </a:prstGeom>
                  </pic:spPr>
                </pic:pic>
              </a:graphicData>
            </a:graphic>
          </wp:anchor>
        </w:drawing>
      </w:r>
      <w:r>
        <w:pict w14:anchorId="51DEA04D">
          <v:rect id="docshape483" o:spid="_x0000_s1781" style="position:absolute;left:0;text-align:left;margin-left:280.9pt;margin-top:24.65pt;width:110.25pt;height:16.05pt;z-index:-251375104;mso-position-horizontal-relative:page;mso-position-vertical-relative:text" fillcolor="black" stroked="f">
            <w10:wrap anchorx="page"/>
          </v:rect>
        </w:pict>
      </w:r>
      <w:r>
        <w:t>For</w:t>
      </w:r>
      <w:r>
        <w:rPr>
          <w:spacing w:val="-10"/>
        </w:rPr>
        <w:t xml:space="preserve"> </w:t>
      </w:r>
      <w:r>
        <w:t>the</w:t>
      </w:r>
      <w:r>
        <w:rPr>
          <w:spacing w:val="-10"/>
        </w:rPr>
        <w:t xml:space="preserve"> </w:t>
      </w:r>
      <w:r>
        <w:t>reasons</w:t>
      </w:r>
      <w:r>
        <w:rPr>
          <w:spacing w:val="-11"/>
        </w:rPr>
        <w:t xml:space="preserve"> </w:t>
      </w:r>
      <w:r>
        <w:t>outlined</w:t>
      </w:r>
      <w:r>
        <w:rPr>
          <w:spacing w:val="-12"/>
        </w:rPr>
        <w:t xml:space="preserve"> </w:t>
      </w:r>
      <w:r>
        <w:t>above,</w:t>
      </w:r>
      <w:r>
        <w:rPr>
          <w:spacing w:val="-11"/>
        </w:rPr>
        <w:t xml:space="preserve"> </w:t>
      </w:r>
      <w:r>
        <w:t>Australia</w:t>
      </w:r>
      <w:r>
        <w:rPr>
          <w:spacing w:val="-11"/>
        </w:rPr>
        <w:t xml:space="preserve"> </w:t>
      </w:r>
      <w:r>
        <w:t>submits</w:t>
      </w:r>
      <w:r>
        <w:rPr>
          <w:spacing w:val="-11"/>
        </w:rPr>
        <w:t xml:space="preserve"> </w:t>
      </w:r>
      <w:r>
        <w:t>that</w:t>
      </w:r>
      <w:r>
        <w:rPr>
          <w:spacing w:val="-11"/>
        </w:rPr>
        <w:t xml:space="preserve"> </w:t>
      </w:r>
      <w:r>
        <w:t>the</w:t>
      </w:r>
      <w:r>
        <w:rPr>
          <w:spacing w:val="-10"/>
        </w:rPr>
        <w:t xml:space="preserve"> </w:t>
      </w:r>
      <w:r>
        <w:t>PCN</w:t>
      </w:r>
      <w:r>
        <w:rPr>
          <w:spacing w:val="-11"/>
        </w:rPr>
        <w:t xml:space="preserve"> </w:t>
      </w:r>
      <w:r>
        <w:t>selected</w:t>
      </w:r>
      <w:r>
        <w:rPr>
          <w:spacing w:val="-11"/>
        </w:rPr>
        <w:t xml:space="preserve"> </w:t>
      </w:r>
      <w:r>
        <w:t>by</w:t>
      </w:r>
      <w:r>
        <w:rPr>
          <w:spacing w:val="-10"/>
        </w:rPr>
        <w:t xml:space="preserve"> </w:t>
      </w:r>
      <w:r>
        <w:t>MOFCOM as the basis for calculating normal value, [[</w:t>
      </w:r>
      <w:r>
        <w:tab/>
        <w:t>]], could not constitute the "best information available" within the meaning of Article 6.8 and Annex II of the Anti‐Dumping Agreement.</w:t>
      </w:r>
    </w:p>
    <w:p w14:paraId="51DE839C" w14:textId="77777777" w:rsidR="0010369C" w:rsidRDefault="008E43AE">
      <w:pPr>
        <w:pStyle w:val="Heading4"/>
        <w:numPr>
          <w:ilvl w:val="2"/>
          <w:numId w:val="75"/>
        </w:numPr>
        <w:tabs>
          <w:tab w:val="left" w:pos="2648"/>
          <w:tab w:val="left" w:pos="2649"/>
        </w:tabs>
        <w:ind w:hanging="852"/>
        <w:jc w:val="both"/>
      </w:pPr>
      <w:bookmarkStart w:id="24" w:name="_TOC_250005"/>
      <w:r>
        <w:t>MOFCOM</w:t>
      </w:r>
      <w:r>
        <w:rPr>
          <w:spacing w:val="-12"/>
        </w:rPr>
        <w:t xml:space="preserve"> </w:t>
      </w:r>
      <w:r>
        <w:t>improperly</w:t>
      </w:r>
      <w:r>
        <w:rPr>
          <w:spacing w:val="-13"/>
        </w:rPr>
        <w:t xml:space="preserve"> </w:t>
      </w:r>
      <w:r>
        <w:t>calculated</w:t>
      </w:r>
      <w:r>
        <w:rPr>
          <w:spacing w:val="-11"/>
        </w:rPr>
        <w:t xml:space="preserve"> </w:t>
      </w:r>
      <w:r>
        <w:t>normal</w:t>
      </w:r>
      <w:r>
        <w:rPr>
          <w:spacing w:val="-13"/>
        </w:rPr>
        <w:t xml:space="preserve"> </w:t>
      </w:r>
      <w:bookmarkEnd w:id="24"/>
      <w:r>
        <w:rPr>
          <w:spacing w:val="-2"/>
        </w:rPr>
        <w:t>value</w:t>
      </w:r>
    </w:p>
    <w:p w14:paraId="51DE839D" w14:textId="77777777" w:rsidR="0010369C" w:rsidRDefault="0010369C">
      <w:pPr>
        <w:pStyle w:val="BodyText"/>
        <w:spacing w:before="9"/>
        <w:rPr>
          <w:b/>
          <w:sz w:val="20"/>
        </w:rPr>
      </w:pPr>
    </w:p>
    <w:p w14:paraId="51DE839E" w14:textId="77777777" w:rsidR="0010369C" w:rsidRDefault="008E43AE">
      <w:pPr>
        <w:pStyle w:val="BodyText"/>
        <w:spacing w:before="52" w:line="360" w:lineRule="auto"/>
        <w:ind w:left="237" w:right="612" w:firstLine="851"/>
        <w:jc w:val="both"/>
      </w:pPr>
      <w:r>
        <w:rPr>
          <w:noProof/>
        </w:rPr>
        <w:drawing>
          <wp:anchor distT="0" distB="0" distL="0" distR="0" simplePos="0" relativeHeight="250903040" behindDoc="1" locked="0" layoutInCell="1" allowOverlap="1" wp14:anchorId="51DEA04E" wp14:editId="51DEA04F">
            <wp:simplePos x="0" y="0"/>
            <wp:positionH relativeFrom="page">
              <wp:posOffset>905255</wp:posOffset>
            </wp:positionH>
            <wp:positionV relativeFrom="paragraph">
              <wp:posOffset>81358</wp:posOffset>
            </wp:positionV>
            <wp:extent cx="259079" cy="103631"/>
            <wp:effectExtent l="0" t="0" r="0" b="0"/>
            <wp:wrapNone/>
            <wp:docPr id="473" name="image2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 name="image245.png"/>
                    <pic:cNvPicPr/>
                  </pic:nvPicPr>
                  <pic:blipFill>
                    <a:blip r:embed="rId347" cstate="print"/>
                    <a:stretch>
                      <a:fillRect/>
                    </a:stretch>
                  </pic:blipFill>
                  <pic:spPr>
                    <a:xfrm>
                      <a:off x="0" y="0"/>
                      <a:ext cx="259079" cy="103631"/>
                    </a:xfrm>
                    <a:prstGeom prst="rect">
                      <a:avLst/>
                    </a:prstGeom>
                  </pic:spPr>
                </pic:pic>
              </a:graphicData>
            </a:graphic>
          </wp:anchor>
        </w:drawing>
      </w:r>
      <w:r>
        <w:t>Australia</w:t>
      </w:r>
      <w:r>
        <w:rPr>
          <w:spacing w:val="-14"/>
        </w:rPr>
        <w:t xml:space="preserve"> </w:t>
      </w:r>
      <w:r>
        <w:t>understands</w:t>
      </w:r>
      <w:r>
        <w:rPr>
          <w:spacing w:val="-14"/>
        </w:rPr>
        <w:t xml:space="preserve"> </w:t>
      </w:r>
      <w:r>
        <w:t>M</w:t>
      </w:r>
      <w:r>
        <w:t>OFCOM</w:t>
      </w:r>
      <w:r>
        <w:rPr>
          <w:spacing w:val="-13"/>
        </w:rPr>
        <w:t xml:space="preserve"> </w:t>
      </w:r>
      <w:r>
        <w:t>adopted</w:t>
      </w:r>
      <w:r>
        <w:rPr>
          <w:spacing w:val="-14"/>
        </w:rPr>
        <w:t xml:space="preserve"> </w:t>
      </w:r>
      <w:r>
        <w:t>three</w:t>
      </w:r>
      <w:r>
        <w:rPr>
          <w:spacing w:val="-13"/>
        </w:rPr>
        <w:t xml:space="preserve"> </w:t>
      </w:r>
      <w:r>
        <w:t>different</w:t>
      </w:r>
      <w:r>
        <w:rPr>
          <w:spacing w:val="-14"/>
        </w:rPr>
        <w:t xml:space="preserve"> </w:t>
      </w:r>
      <w:r>
        <w:t>means</w:t>
      </w:r>
      <w:r>
        <w:rPr>
          <w:spacing w:val="-13"/>
        </w:rPr>
        <w:t xml:space="preserve"> </w:t>
      </w:r>
      <w:r>
        <w:t>of</w:t>
      </w:r>
      <w:r>
        <w:rPr>
          <w:spacing w:val="-14"/>
        </w:rPr>
        <w:t xml:space="preserve"> </w:t>
      </w:r>
      <w:r>
        <w:t>calculating</w:t>
      </w:r>
      <w:r>
        <w:rPr>
          <w:spacing w:val="-14"/>
        </w:rPr>
        <w:t xml:space="preserve"> </w:t>
      </w:r>
      <w:r>
        <w:t>normal value for each PCN based on Treasury Wines' sales. All three methods relied exclusively on sales made to non‐related parties. The methods were:</w:t>
      </w:r>
    </w:p>
    <w:p w14:paraId="51DE839F" w14:textId="77777777" w:rsidR="0010369C" w:rsidRDefault="008E43AE">
      <w:pPr>
        <w:pStyle w:val="ListParagraph"/>
        <w:numPr>
          <w:ilvl w:val="1"/>
          <w:numId w:val="69"/>
        </w:numPr>
        <w:tabs>
          <w:tab w:val="left" w:pos="1939"/>
          <w:tab w:val="left" w:pos="1940"/>
        </w:tabs>
        <w:spacing w:before="160"/>
        <w:ind w:hanging="852"/>
        <w:jc w:val="left"/>
        <w:rPr>
          <w:rFonts w:ascii="Symbol" w:hAnsi="Symbol"/>
          <w:color w:val="5E5E5E"/>
          <w:sz w:val="24"/>
        </w:rPr>
      </w:pPr>
      <w:r>
        <w:pict w14:anchorId="51DEA050">
          <v:rect id="docshape484" o:spid="_x0000_s1780" style="position:absolute;left:0;text-align:left;margin-left:162.3pt;margin-top:8.75pt;width:361.15pt;height:16.05pt;z-index:251780608;mso-position-horizontal-relative:page" fillcolor="black" stroked="f">
            <w10:wrap anchorx="page"/>
          </v:rect>
        </w:pict>
      </w:r>
      <w:r>
        <w:rPr>
          <w:spacing w:val="-5"/>
          <w:sz w:val="24"/>
        </w:rPr>
        <w:t>[[</w:t>
      </w:r>
    </w:p>
    <w:p w14:paraId="51DE83A0" w14:textId="77777777" w:rsidR="0010369C" w:rsidRDefault="008E43AE">
      <w:pPr>
        <w:pStyle w:val="BodyText"/>
        <w:spacing w:before="2"/>
        <w:rPr>
          <w:sz w:val="10"/>
        </w:rPr>
      </w:pPr>
      <w:r>
        <w:pict w14:anchorId="51DEA051">
          <v:rect id="docshape485" o:spid="_x0000_s1779" style="position:absolute;margin-left:155pt;margin-top:7.45pt;width:368.45pt;height:16.05pt;z-index:-251053568;mso-wrap-distance-left:0;mso-wrap-distance-right:0;mso-position-horizontal-relative:page" fillcolor="black" stroked="f">
            <w10:wrap type="topAndBottom" anchorx="page"/>
          </v:rect>
        </w:pict>
      </w:r>
      <w:r>
        <w:pict w14:anchorId="51DEA052">
          <v:rect id="docshape486" o:spid="_x0000_s1778" style="position:absolute;margin-left:155pt;margin-top:29.4pt;width:368.45pt;height:16.05pt;z-index:-251052544;mso-wrap-distance-left:0;mso-wrap-distance-right:0;mso-position-horizontal-relative:page" fillcolor="black" stroked="f">
            <w10:wrap type="topAndBottom" anchorx="page"/>
          </v:rect>
        </w:pict>
      </w:r>
      <w:r>
        <w:pict w14:anchorId="51DEA053">
          <v:rect id="docshape487" o:spid="_x0000_s1777" style="position:absolute;margin-left:155pt;margin-top:51.45pt;width:368.5pt;height:16.05pt;z-index:-251051520;mso-wrap-distance-left:0;mso-wrap-distance-right:0;mso-position-horizontal-relative:page" fillcolor="black" stroked="f">
            <w10:wrap type="topAndBottom" anchorx="page"/>
          </v:rect>
        </w:pict>
      </w:r>
      <w:r>
        <w:pict w14:anchorId="51DEA054">
          <v:rect id="docshape488" o:spid="_x0000_s1776" style="position:absolute;margin-left:155pt;margin-top:73.4pt;width:228.15pt;height:16.05pt;z-index:-251050496;mso-wrap-distance-left:0;mso-wrap-distance-right:0;mso-position-horizontal-relative:page" fillcolor="black" stroked="f">
            <w10:wrap type="topAndBottom" anchorx="page"/>
          </v:rect>
        </w:pict>
      </w:r>
    </w:p>
    <w:p w14:paraId="51DE83A1" w14:textId="77777777" w:rsidR="0010369C" w:rsidRDefault="0010369C">
      <w:pPr>
        <w:pStyle w:val="BodyText"/>
        <w:spacing w:before="8"/>
        <w:rPr>
          <w:sz w:val="7"/>
        </w:rPr>
      </w:pPr>
    </w:p>
    <w:p w14:paraId="51DE83A2" w14:textId="77777777" w:rsidR="0010369C" w:rsidRDefault="0010369C">
      <w:pPr>
        <w:pStyle w:val="BodyText"/>
        <w:spacing w:before="9"/>
        <w:rPr>
          <w:sz w:val="7"/>
        </w:rPr>
      </w:pPr>
    </w:p>
    <w:p w14:paraId="51DE83A3" w14:textId="77777777" w:rsidR="0010369C" w:rsidRDefault="0010369C">
      <w:pPr>
        <w:pStyle w:val="BodyText"/>
        <w:spacing w:before="8"/>
        <w:rPr>
          <w:sz w:val="7"/>
        </w:rPr>
      </w:pPr>
    </w:p>
    <w:p w14:paraId="51DE83A4" w14:textId="77777777" w:rsidR="0010369C" w:rsidRDefault="0010369C">
      <w:pPr>
        <w:pStyle w:val="BodyText"/>
        <w:rPr>
          <w:sz w:val="20"/>
        </w:rPr>
      </w:pPr>
    </w:p>
    <w:p w14:paraId="51DE83A5" w14:textId="77777777" w:rsidR="0010369C" w:rsidRDefault="0010369C">
      <w:pPr>
        <w:pStyle w:val="BodyText"/>
        <w:rPr>
          <w:sz w:val="20"/>
        </w:rPr>
      </w:pPr>
    </w:p>
    <w:p w14:paraId="51DE83A6" w14:textId="77777777" w:rsidR="0010369C" w:rsidRDefault="0010369C">
      <w:pPr>
        <w:pStyle w:val="BodyText"/>
        <w:rPr>
          <w:sz w:val="20"/>
        </w:rPr>
      </w:pPr>
    </w:p>
    <w:p w14:paraId="51DE83A7" w14:textId="77777777" w:rsidR="0010369C" w:rsidRDefault="008E43AE">
      <w:pPr>
        <w:pStyle w:val="BodyText"/>
        <w:spacing w:before="1"/>
        <w:rPr>
          <w:sz w:val="25"/>
        </w:rPr>
      </w:pPr>
      <w:r>
        <w:pict w14:anchorId="51DEA055">
          <v:rect id="docshape489" o:spid="_x0000_s1775" style="position:absolute;margin-left:70.9pt;margin-top:16.5pt;width:2in;height:.8pt;z-index:-251049472;mso-wrap-distance-left:0;mso-wrap-distance-right:0;mso-position-horizontal-relative:page" fillcolor="black" stroked="f">
            <w10:wrap type="topAndBottom" anchorx="page"/>
          </v:rect>
        </w:pict>
      </w:r>
    </w:p>
    <w:p w14:paraId="51DE83A8" w14:textId="77777777" w:rsidR="0010369C" w:rsidRDefault="0010369C">
      <w:pPr>
        <w:pStyle w:val="BodyText"/>
        <w:spacing w:before="8"/>
        <w:rPr>
          <w:sz w:val="5"/>
        </w:rPr>
      </w:pPr>
    </w:p>
    <w:p w14:paraId="51DE83A9" w14:textId="77777777" w:rsidR="0010369C" w:rsidRDefault="0010369C">
      <w:pPr>
        <w:rPr>
          <w:sz w:val="5"/>
        </w:rPr>
        <w:sectPr w:rsidR="0010369C">
          <w:pgSz w:w="11910" w:h="16840"/>
          <w:pgMar w:top="880" w:right="800" w:bottom="980" w:left="1180" w:header="569" w:footer="788" w:gutter="0"/>
          <w:cols w:space="720"/>
        </w:sectPr>
      </w:pPr>
    </w:p>
    <w:p w14:paraId="51DE83AA" w14:textId="77777777" w:rsidR="0010369C" w:rsidRDefault="008E43AE">
      <w:pPr>
        <w:spacing w:before="74" w:line="158" w:lineRule="auto"/>
        <w:ind w:left="238"/>
        <w:rPr>
          <w:sz w:val="18"/>
        </w:rPr>
      </w:pPr>
      <w:r>
        <w:pict w14:anchorId="51DEA056">
          <v:shape id="docshape490" o:spid="_x0000_s1774" style="position:absolute;left:0;text-align:left;margin-left:86.65pt;margin-top:2.35pt;width:305.35pt;height:23.05pt;z-index:251781632;mso-position-horizontal-relative:page" coordorigin="1733,47" coordsize="6107,461" path="m7840,47r-6107,l1733,266r,22l1733,507r6066,l7799,288r41,l7840,47xe" fillcolor="black" stroked="f">
            <v:path arrowok="t"/>
            <w10:wrap anchorx="page"/>
          </v:shape>
        </w:pict>
      </w:r>
      <w:r>
        <w:pict w14:anchorId="51DEA057">
          <v:shape id="docshape491" o:spid="_x0000_s1773" style="position:absolute;left:0;text-align:left;margin-left:475.15pt;margin-top:749.4pt;width:18.2pt;height:23.05pt;z-index:251782656;mso-position-horizontal-relative:page;mso-position-vertical-relative:page" coordorigin="9503,14988" coordsize="364,461" path="m9867,14988r-364,l9503,15207r,22l9503,15448r364,l9867,15229r,-22l9867,14988xe" fillcolor="black" stroked="f">
            <v:path arrowok="t"/>
            <w10:wrap anchorx="page" anchory="page"/>
          </v:shape>
        </w:pict>
      </w:r>
      <w:r>
        <w:rPr>
          <w:color w:val="5E5E5E"/>
          <w:sz w:val="12"/>
        </w:rPr>
        <w:t>260</w:t>
      </w:r>
      <w:r>
        <w:rPr>
          <w:color w:val="5E5E5E"/>
          <w:spacing w:val="11"/>
          <w:sz w:val="12"/>
        </w:rPr>
        <w:t xml:space="preserve"> </w:t>
      </w:r>
      <w:r>
        <w:rPr>
          <w:color w:val="5E5E5E"/>
          <w:spacing w:val="-10"/>
          <w:position w:val="-5"/>
          <w:sz w:val="18"/>
        </w:rPr>
        <w:t>[</w:t>
      </w:r>
    </w:p>
    <w:p w14:paraId="51DE83AB" w14:textId="77777777" w:rsidR="0010369C" w:rsidRDefault="008E43AE">
      <w:pPr>
        <w:spacing w:before="33"/>
        <w:ind w:left="238"/>
        <w:rPr>
          <w:sz w:val="18"/>
        </w:rPr>
      </w:pPr>
      <w:r>
        <w:rPr>
          <w:color w:val="5E5E5E"/>
          <w:sz w:val="12"/>
        </w:rPr>
        <w:t>261</w:t>
      </w:r>
      <w:r>
        <w:rPr>
          <w:color w:val="5E5E5E"/>
          <w:spacing w:val="11"/>
          <w:sz w:val="12"/>
        </w:rPr>
        <w:t xml:space="preserve"> </w:t>
      </w:r>
      <w:r>
        <w:rPr>
          <w:color w:val="5E5E5E"/>
          <w:spacing w:val="-10"/>
          <w:position w:val="-5"/>
          <w:sz w:val="18"/>
        </w:rPr>
        <w:t>[</w:t>
      </w:r>
    </w:p>
    <w:p w14:paraId="51DE83AC" w14:textId="77777777" w:rsidR="0010369C" w:rsidRDefault="008E43AE">
      <w:pPr>
        <w:spacing w:before="40"/>
        <w:ind w:left="238"/>
        <w:rPr>
          <w:sz w:val="18"/>
        </w:rPr>
      </w:pPr>
      <w:r>
        <w:br w:type="column"/>
      </w:r>
      <w:r>
        <w:rPr>
          <w:color w:val="5E5E5E"/>
          <w:sz w:val="18"/>
        </w:rPr>
        <w:t>(Exhibit</w:t>
      </w:r>
      <w:r>
        <w:rPr>
          <w:color w:val="5E5E5E"/>
          <w:spacing w:val="-11"/>
          <w:sz w:val="18"/>
        </w:rPr>
        <w:t xml:space="preserve"> </w:t>
      </w:r>
      <w:r>
        <w:rPr>
          <w:color w:val="5E5E5E"/>
          <w:sz w:val="18"/>
        </w:rPr>
        <w:t>AUS‐11</w:t>
      </w:r>
      <w:r>
        <w:rPr>
          <w:color w:val="5E5E5E"/>
          <w:spacing w:val="-10"/>
          <w:sz w:val="18"/>
        </w:rPr>
        <w:t xml:space="preserve"> </w:t>
      </w:r>
      <w:r>
        <w:rPr>
          <w:color w:val="5E5E5E"/>
          <w:sz w:val="18"/>
        </w:rPr>
        <w:t>(BCI)), (Exhibit</w:t>
      </w:r>
      <w:r>
        <w:rPr>
          <w:color w:val="5E5E5E"/>
          <w:spacing w:val="-9"/>
          <w:sz w:val="18"/>
        </w:rPr>
        <w:t xml:space="preserve"> </w:t>
      </w:r>
      <w:r>
        <w:rPr>
          <w:color w:val="5E5E5E"/>
          <w:sz w:val="18"/>
        </w:rPr>
        <w:t>AUS‐11</w:t>
      </w:r>
      <w:r>
        <w:rPr>
          <w:color w:val="5E5E5E"/>
          <w:spacing w:val="-9"/>
          <w:sz w:val="18"/>
        </w:rPr>
        <w:t xml:space="preserve"> </w:t>
      </w:r>
      <w:r>
        <w:rPr>
          <w:color w:val="5E5E5E"/>
          <w:spacing w:val="-2"/>
          <w:sz w:val="18"/>
        </w:rPr>
        <w:t>(BCI)),</w:t>
      </w:r>
    </w:p>
    <w:p w14:paraId="51DE83AD" w14:textId="77777777" w:rsidR="0010369C" w:rsidRDefault="008E43AE">
      <w:pPr>
        <w:spacing w:before="40"/>
        <w:ind w:left="238"/>
        <w:rPr>
          <w:sz w:val="18"/>
        </w:rPr>
      </w:pPr>
      <w:r>
        <w:br w:type="column"/>
      </w:r>
      <w:r>
        <w:rPr>
          <w:color w:val="5E5E5E"/>
          <w:spacing w:val="-5"/>
          <w:sz w:val="18"/>
        </w:rPr>
        <w:t>.]]</w:t>
      </w:r>
    </w:p>
    <w:p w14:paraId="51DE83AE" w14:textId="77777777" w:rsidR="0010369C" w:rsidRDefault="008E43AE">
      <w:pPr>
        <w:ind w:left="238"/>
        <w:rPr>
          <w:sz w:val="18"/>
        </w:rPr>
      </w:pPr>
      <w:r>
        <w:rPr>
          <w:color w:val="5E5E5E"/>
          <w:spacing w:val="-5"/>
          <w:sz w:val="18"/>
        </w:rPr>
        <w:t>.]]</w:t>
      </w:r>
    </w:p>
    <w:p w14:paraId="51DE83AF" w14:textId="77777777" w:rsidR="0010369C" w:rsidRDefault="0010369C">
      <w:pPr>
        <w:rPr>
          <w:sz w:val="18"/>
        </w:rPr>
        <w:sectPr w:rsidR="0010369C">
          <w:type w:val="continuous"/>
          <w:pgSz w:w="11910" w:h="16840"/>
          <w:pgMar w:top="1460" w:right="800" w:bottom="280" w:left="1180" w:header="569" w:footer="788" w:gutter="0"/>
          <w:cols w:num="3" w:space="720" w:equalWidth="0">
            <w:col w:w="559" w:space="5883"/>
            <w:col w:w="1902" w:space="125"/>
            <w:col w:w="1461"/>
          </w:cols>
        </w:sectPr>
      </w:pPr>
    </w:p>
    <w:p w14:paraId="51DE83B0" w14:textId="77777777" w:rsidR="0010369C" w:rsidRDefault="008E43AE">
      <w:pPr>
        <w:tabs>
          <w:tab w:val="left" w:pos="6425"/>
        </w:tabs>
        <w:ind w:left="238"/>
        <w:rPr>
          <w:sz w:val="20"/>
        </w:rPr>
      </w:pPr>
      <w:r>
        <w:rPr>
          <w:i/>
          <w:sz w:val="20"/>
        </w:rPr>
        <w:lastRenderedPageBreak/>
        <w:t>China</w:t>
      </w:r>
      <w:r>
        <w:rPr>
          <w:i/>
          <w:spacing w:val="-5"/>
          <w:sz w:val="20"/>
        </w:rPr>
        <w:t xml:space="preserve"> </w:t>
      </w:r>
      <w:r>
        <w:rPr>
          <w:i/>
          <w:sz w:val="20"/>
        </w:rPr>
        <w:t>–</w:t>
      </w:r>
      <w:r>
        <w:rPr>
          <w:i/>
          <w:spacing w:val="-5"/>
          <w:sz w:val="20"/>
        </w:rPr>
        <w:t xml:space="preserve"> </w:t>
      </w:r>
      <w:r>
        <w:rPr>
          <w:i/>
          <w:sz w:val="20"/>
        </w:rPr>
        <w:t>Anti‐Dumping</w:t>
      </w:r>
      <w:r>
        <w:rPr>
          <w:i/>
          <w:spacing w:val="-4"/>
          <w:sz w:val="20"/>
        </w:rPr>
        <w:t xml:space="preserve"> </w:t>
      </w:r>
      <w:r>
        <w:rPr>
          <w:i/>
          <w:sz w:val="20"/>
        </w:rPr>
        <w:t>and</w:t>
      </w:r>
      <w:r>
        <w:rPr>
          <w:i/>
          <w:spacing w:val="-5"/>
          <w:sz w:val="20"/>
        </w:rPr>
        <w:t xml:space="preserve"> </w:t>
      </w:r>
      <w:r>
        <w:rPr>
          <w:i/>
          <w:sz w:val="20"/>
        </w:rPr>
        <w:t>Countervailing</w:t>
      </w:r>
      <w:r>
        <w:rPr>
          <w:i/>
          <w:spacing w:val="-5"/>
          <w:sz w:val="20"/>
        </w:rPr>
        <w:t xml:space="preserve"> </w:t>
      </w:r>
      <w:r>
        <w:rPr>
          <w:i/>
          <w:sz w:val="20"/>
        </w:rPr>
        <w:t>Duty</w:t>
      </w:r>
      <w:r>
        <w:rPr>
          <w:i/>
          <w:spacing w:val="-4"/>
          <w:sz w:val="20"/>
        </w:rPr>
        <w:t xml:space="preserve"> </w:t>
      </w:r>
      <w:r>
        <w:rPr>
          <w:i/>
          <w:spacing w:val="-2"/>
          <w:sz w:val="20"/>
        </w:rPr>
        <w:t>Measures</w:t>
      </w:r>
      <w:r>
        <w:rPr>
          <w:i/>
          <w:sz w:val="20"/>
        </w:rPr>
        <w:tab/>
      </w:r>
      <w:r>
        <w:rPr>
          <w:sz w:val="20"/>
        </w:rPr>
        <w:t>Australia's</w:t>
      </w:r>
      <w:r>
        <w:rPr>
          <w:spacing w:val="-7"/>
          <w:sz w:val="20"/>
        </w:rPr>
        <w:t xml:space="preserve"> </w:t>
      </w:r>
      <w:r>
        <w:rPr>
          <w:sz w:val="20"/>
        </w:rPr>
        <w:t>First</w:t>
      </w:r>
      <w:r>
        <w:rPr>
          <w:spacing w:val="-2"/>
          <w:sz w:val="20"/>
        </w:rPr>
        <w:t xml:space="preserve"> </w:t>
      </w:r>
      <w:r>
        <w:rPr>
          <w:sz w:val="20"/>
        </w:rPr>
        <w:t>Written</w:t>
      </w:r>
      <w:r>
        <w:rPr>
          <w:spacing w:val="-2"/>
          <w:sz w:val="20"/>
        </w:rPr>
        <w:t xml:space="preserve"> Submission</w:t>
      </w:r>
    </w:p>
    <w:p w14:paraId="51DE83B1" w14:textId="77777777" w:rsidR="0010369C" w:rsidRDefault="008E43AE">
      <w:pPr>
        <w:tabs>
          <w:tab w:val="left" w:pos="8227"/>
        </w:tabs>
        <w:spacing w:before="1"/>
        <w:ind w:left="239"/>
        <w:rPr>
          <w:sz w:val="20"/>
        </w:rPr>
      </w:pPr>
      <w:r>
        <w:rPr>
          <w:i/>
          <w:sz w:val="20"/>
        </w:rPr>
        <w:t>on</w:t>
      </w:r>
      <w:r>
        <w:rPr>
          <w:i/>
          <w:spacing w:val="-1"/>
          <w:sz w:val="20"/>
        </w:rPr>
        <w:t xml:space="preserve"> </w:t>
      </w:r>
      <w:r>
        <w:rPr>
          <w:i/>
          <w:sz w:val="20"/>
        </w:rPr>
        <w:t>Wine</w:t>
      </w:r>
      <w:r>
        <w:rPr>
          <w:i/>
          <w:spacing w:val="-1"/>
          <w:sz w:val="20"/>
        </w:rPr>
        <w:t xml:space="preserve"> </w:t>
      </w:r>
      <w:r>
        <w:rPr>
          <w:i/>
          <w:sz w:val="20"/>
        </w:rPr>
        <w:t>from</w:t>
      </w:r>
      <w:r>
        <w:rPr>
          <w:i/>
          <w:spacing w:val="-3"/>
          <w:sz w:val="20"/>
        </w:rPr>
        <w:t xml:space="preserve"> </w:t>
      </w:r>
      <w:r>
        <w:rPr>
          <w:i/>
          <w:sz w:val="20"/>
        </w:rPr>
        <w:t>Australia</w:t>
      </w:r>
      <w:r>
        <w:rPr>
          <w:i/>
          <w:spacing w:val="-1"/>
          <w:sz w:val="20"/>
        </w:rPr>
        <w:t xml:space="preserve"> </w:t>
      </w:r>
      <w:r>
        <w:rPr>
          <w:spacing w:val="-2"/>
          <w:sz w:val="20"/>
        </w:rPr>
        <w:t>(DS602)</w:t>
      </w:r>
      <w:r>
        <w:rPr>
          <w:sz w:val="20"/>
        </w:rPr>
        <w:tab/>
        <w:t>29</w:t>
      </w:r>
      <w:r>
        <w:rPr>
          <w:spacing w:val="-1"/>
          <w:sz w:val="20"/>
        </w:rPr>
        <w:t xml:space="preserve"> </w:t>
      </w:r>
      <w:r>
        <w:rPr>
          <w:sz w:val="20"/>
        </w:rPr>
        <w:t>April</w:t>
      </w:r>
      <w:r>
        <w:rPr>
          <w:spacing w:val="-2"/>
          <w:sz w:val="20"/>
        </w:rPr>
        <w:t xml:space="preserve"> </w:t>
      </w:r>
      <w:r>
        <w:rPr>
          <w:spacing w:val="-4"/>
          <w:sz w:val="20"/>
        </w:rPr>
        <w:t>2022</w:t>
      </w:r>
    </w:p>
    <w:p w14:paraId="51DE83B2" w14:textId="77777777" w:rsidR="0010369C" w:rsidRDefault="008E43AE">
      <w:pPr>
        <w:spacing w:before="35"/>
        <w:ind w:left="1089"/>
        <w:rPr>
          <w:rFonts w:ascii="Symbol" w:hAnsi="Symbol"/>
          <w:sz w:val="24"/>
        </w:rPr>
      </w:pPr>
      <w:r>
        <w:pict w14:anchorId="51DEA058">
          <v:rect id="docshape492" o:spid="_x0000_s1772" style="position:absolute;left:0;text-align:left;margin-left:155pt;margin-top:2.5pt;width:368.45pt;height:16.05pt;z-index:251783680;mso-position-horizontal-relative:page" fillcolor="black" stroked="f">
            <w10:wrap anchorx="page"/>
          </v:rect>
        </w:pict>
      </w:r>
      <w:r>
        <w:rPr>
          <w:rFonts w:ascii="Symbol" w:hAnsi="Symbol"/>
          <w:color w:val="5E5E5E"/>
          <w:w w:val="99"/>
          <w:sz w:val="24"/>
        </w:rPr>
        <w:t></w:t>
      </w:r>
    </w:p>
    <w:p w14:paraId="51DE83B3" w14:textId="77777777" w:rsidR="0010369C" w:rsidRDefault="008E43AE">
      <w:pPr>
        <w:pStyle w:val="BodyText"/>
        <w:spacing w:before="1"/>
        <w:rPr>
          <w:rFonts w:ascii="Symbol" w:hAnsi="Symbol"/>
          <w:sz w:val="11"/>
        </w:rPr>
      </w:pPr>
      <w:r>
        <w:pict w14:anchorId="51DEA059">
          <v:rect id="docshape493" o:spid="_x0000_s1771" style="position:absolute;margin-left:155pt;margin-top:8pt;width:368.45pt;height:16.05pt;z-index:-251048448;mso-wrap-distance-left:0;mso-wrap-distance-right:0;mso-position-horizontal-relative:page" fillcolor="black" stroked="f">
            <w10:wrap type="topAndBottom" anchorx="page"/>
          </v:rect>
        </w:pict>
      </w:r>
      <w:r>
        <w:pict w14:anchorId="51DEA05A">
          <v:rect id="docshape494" o:spid="_x0000_s1770" style="position:absolute;margin-left:155pt;margin-top:29.95pt;width:368.45pt;height:16.05pt;z-index:-251047424;mso-wrap-distance-left:0;mso-wrap-distance-right:0;mso-position-horizontal-relative:page" fillcolor="black" stroked="f">
            <w10:wrap type="topAndBottom" anchorx="page"/>
          </v:rect>
        </w:pict>
      </w:r>
      <w:r>
        <w:pict w14:anchorId="51DEA05B">
          <v:rect id="docshape495" o:spid="_x0000_s1769" style="position:absolute;margin-left:155pt;margin-top:51.95pt;width:368.5pt;height:16.05pt;z-index:-251046400;mso-wrap-distance-left:0;mso-wrap-distance-right:0;mso-position-horizontal-relative:page" fillcolor="black" stroked="f">
            <w10:wrap type="topAndBottom" anchorx="page"/>
          </v:rect>
        </w:pict>
      </w:r>
      <w:r>
        <w:pict w14:anchorId="51DEA05C">
          <v:rect id="docshape496" o:spid="_x0000_s1768" style="position:absolute;margin-left:155pt;margin-top:73.9pt;width:368.45pt;height:16.05pt;z-index:-251045376;mso-wrap-distance-left:0;mso-wrap-distance-right:0;mso-position-horizontal-relative:page" fillcolor="black" stroked="f">
            <w10:wrap type="topAndBottom" anchorx="page"/>
          </v:rect>
        </w:pict>
      </w:r>
      <w:r>
        <w:pict w14:anchorId="51DEA05D">
          <v:shape id="docshape497" o:spid="_x0000_s1767" style="position:absolute;margin-left:155pt;margin-top:95.85pt;width:282.25pt;height:16.1pt;z-index:-251044352;mso-wrap-distance-left:0;mso-wrap-distance-right:0;mso-position-horizontal-relative:page" coordorigin="3100,1917" coordsize="5645,322" o:spt="100" adj="0,,0" path="m8502,1917r-5402,l3100,2238r5402,l8502,1917xm8744,1919r-242,l8502,2133r242,l8744,1919xe" fillcolor="black" stroked="f">
            <v:stroke joinstyle="round"/>
            <v:formulas/>
            <v:path arrowok="t" o:connecttype="segments"/>
            <w10:wrap type="topAndBottom" anchorx="page"/>
          </v:shape>
        </w:pict>
      </w:r>
    </w:p>
    <w:p w14:paraId="51DE83B4" w14:textId="77777777" w:rsidR="0010369C" w:rsidRDefault="0010369C">
      <w:pPr>
        <w:pStyle w:val="BodyText"/>
        <w:spacing w:before="8"/>
        <w:rPr>
          <w:rFonts w:ascii="Symbol" w:hAnsi="Symbol"/>
          <w:sz w:val="7"/>
        </w:rPr>
      </w:pPr>
    </w:p>
    <w:p w14:paraId="51DE83B5" w14:textId="77777777" w:rsidR="0010369C" w:rsidRDefault="0010369C">
      <w:pPr>
        <w:pStyle w:val="BodyText"/>
        <w:spacing w:before="8"/>
        <w:rPr>
          <w:rFonts w:ascii="Symbol" w:hAnsi="Symbol"/>
          <w:sz w:val="7"/>
        </w:rPr>
      </w:pPr>
    </w:p>
    <w:p w14:paraId="51DE83B6" w14:textId="77777777" w:rsidR="0010369C" w:rsidRDefault="0010369C">
      <w:pPr>
        <w:pStyle w:val="BodyText"/>
        <w:spacing w:before="8"/>
        <w:rPr>
          <w:rFonts w:ascii="Symbol" w:hAnsi="Symbol"/>
          <w:sz w:val="7"/>
        </w:rPr>
      </w:pPr>
    </w:p>
    <w:p w14:paraId="51DE83B7" w14:textId="77777777" w:rsidR="0010369C" w:rsidRDefault="0010369C">
      <w:pPr>
        <w:pStyle w:val="BodyText"/>
        <w:spacing w:before="8"/>
        <w:rPr>
          <w:rFonts w:ascii="Symbol" w:hAnsi="Symbol"/>
          <w:sz w:val="7"/>
        </w:rPr>
      </w:pPr>
    </w:p>
    <w:p w14:paraId="51DE83B8" w14:textId="77777777" w:rsidR="0010369C" w:rsidRDefault="0010369C">
      <w:pPr>
        <w:pStyle w:val="BodyText"/>
        <w:spacing w:before="2"/>
        <w:rPr>
          <w:rFonts w:ascii="Symbol" w:hAnsi="Symbol"/>
          <w:sz w:val="11"/>
        </w:rPr>
      </w:pPr>
    </w:p>
    <w:p w14:paraId="51DE83B9" w14:textId="77777777" w:rsidR="0010369C" w:rsidRDefault="008E43AE">
      <w:pPr>
        <w:spacing w:before="100"/>
        <w:ind w:left="1089"/>
        <w:rPr>
          <w:rFonts w:ascii="Symbol" w:hAnsi="Symbol"/>
          <w:sz w:val="24"/>
        </w:rPr>
      </w:pPr>
      <w:r>
        <w:pict w14:anchorId="51DEA05E">
          <v:rect id="docshape498" o:spid="_x0000_s1766" style="position:absolute;left:0;text-align:left;margin-left:155pt;margin-top:5.75pt;width:368.45pt;height:16.05pt;z-index:251784704;mso-position-horizontal-relative:page" fillcolor="black" stroked="f">
            <w10:wrap anchorx="page"/>
          </v:rect>
        </w:pict>
      </w:r>
      <w:r>
        <w:rPr>
          <w:rFonts w:ascii="Symbol" w:hAnsi="Symbol"/>
          <w:color w:val="5E5E5E"/>
          <w:w w:val="99"/>
          <w:sz w:val="24"/>
        </w:rPr>
        <w:t></w:t>
      </w:r>
    </w:p>
    <w:p w14:paraId="51DE83BA" w14:textId="77777777" w:rsidR="0010369C" w:rsidRDefault="008E43AE">
      <w:pPr>
        <w:pStyle w:val="BodyText"/>
        <w:rPr>
          <w:rFonts w:ascii="Symbol" w:hAnsi="Symbol"/>
          <w:sz w:val="11"/>
        </w:rPr>
      </w:pPr>
      <w:r>
        <w:pict w14:anchorId="51DEA05F">
          <v:rect id="docshape499" o:spid="_x0000_s1765" style="position:absolute;margin-left:155pt;margin-top:7.95pt;width:368.45pt;height:16.05pt;z-index:-251043328;mso-wrap-distance-left:0;mso-wrap-distance-right:0;mso-position-horizontal-relative:page" fillcolor="black" stroked="f">
            <w10:wrap type="topAndBottom" anchorx="page"/>
          </v:rect>
        </w:pict>
      </w:r>
      <w:r>
        <w:pict w14:anchorId="51DEA060">
          <v:rect id="docshape500" o:spid="_x0000_s1764" style="position:absolute;margin-left:155pt;margin-top:30pt;width:368.4pt;height:16.05pt;z-index:-251042304;mso-wrap-distance-left:0;mso-wrap-distance-right:0;mso-position-horizontal-relative:page" fillcolor="black" stroked="f">
            <w10:wrap type="topAndBottom" anchorx="page"/>
          </v:rect>
        </w:pict>
      </w:r>
    </w:p>
    <w:p w14:paraId="51DE83BB" w14:textId="77777777" w:rsidR="0010369C" w:rsidRDefault="0010369C">
      <w:pPr>
        <w:pStyle w:val="BodyText"/>
        <w:spacing w:before="9"/>
        <w:rPr>
          <w:rFonts w:ascii="Symbol" w:hAnsi="Symbol"/>
          <w:sz w:val="7"/>
        </w:rPr>
      </w:pPr>
    </w:p>
    <w:p w14:paraId="51DE83BC" w14:textId="77777777" w:rsidR="0010369C" w:rsidRDefault="008E43AE">
      <w:pPr>
        <w:spacing w:before="115"/>
        <w:ind w:right="1598"/>
        <w:jc w:val="right"/>
        <w:rPr>
          <w:sz w:val="24"/>
        </w:rPr>
      </w:pPr>
      <w:r>
        <w:rPr>
          <w:spacing w:val="-5"/>
          <w:sz w:val="24"/>
        </w:rPr>
        <w:t>]]</w:t>
      </w:r>
    </w:p>
    <w:p w14:paraId="51DE83BD" w14:textId="77777777" w:rsidR="0010369C" w:rsidRDefault="0010369C">
      <w:pPr>
        <w:pStyle w:val="BodyText"/>
        <w:spacing w:before="7"/>
        <w:rPr>
          <w:sz w:val="17"/>
        </w:rPr>
      </w:pPr>
    </w:p>
    <w:p w14:paraId="51DE83BE" w14:textId="77777777" w:rsidR="0010369C" w:rsidRDefault="008E43AE">
      <w:pPr>
        <w:pStyle w:val="BodyText"/>
        <w:spacing w:before="52" w:line="360" w:lineRule="auto"/>
        <w:ind w:left="236" w:right="611" w:firstLine="852"/>
        <w:jc w:val="both"/>
      </w:pPr>
      <w:r>
        <w:pict w14:anchorId="51DEA061">
          <v:rect id="docshape501" o:spid="_x0000_s1763" style="position:absolute;left:0;text-align:left;margin-left:155pt;margin-top:-25.25pt;width:311.85pt;height:16.05pt;z-index:251785728;mso-position-horizontal-relative:page" fillcolor="black" stroked="f">
            <w10:wrap anchorx="page"/>
          </v:rect>
        </w:pict>
      </w:r>
      <w:r>
        <w:rPr>
          <w:noProof/>
        </w:rPr>
        <w:drawing>
          <wp:anchor distT="0" distB="0" distL="0" distR="0" simplePos="0" relativeHeight="250904064" behindDoc="1" locked="0" layoutInCell="1" allowOverlap="1" wp14:anchorId="51DEA062" wp14:editId="51DEA063">
            <wp:simplePos x="0" y="0"/>
            <wp:positionH relativeFrom="page">
              <wp:posOffset>905255</wp:posOffset>
            </wp:positionH>
            <wp:positionV relativeFrom="paragraph">
              <wp:posOffset>81187</wp:posOffset>
            </wp:positionV>
            <wp:extent cx="259079" cy="100753"/>
            <wp:effectExtent l="0" t="0" r="0" b="0"/>
            <wp:wrapNone/>
            <wp:docPr id="475" name="image2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 name="image246.png"/>
                    <pic:cNvPicPr/>
                  </pic:nvPicPr>
                  <pic:blipFill>
                    <a:blip r:embed="rId348" cstate="print"/>
                    <a:stretch>
                      <a:fillRect/>
                    </a:stretch>
                  </pic:blipFill>
                  <pic:spPr>
                    <a:xfrm>
                      <a:off x="0" y="0"/>
                      <a:ext cx="259079" cy="100753"/>
                    </a:xfrm>
                    <a:prstGeom prst="rect">
                      <a:avLst/>
                    </a:prstGeom>
                  </pic:spPr>
                </pic:pic>
              </a:graphicData>
            </a:graphic>
          </wp:anchor>
        </w:drawing>
      </w:r>
      <w:r>
        <w:t>Australia</w:t>
      </w:r>
      <w:r>
        <w:rPr>
          <w:spacing w:val="-10"/>
        </w:rPr>
        <w:t xml:space="preserve"> </w:t>
      </w:r>
      <w:r>
        <w:t>submits</w:t>
      </w:r>
      <w:r>
        <w:rPr>
          <w:spacing w:val="-10"/>
        </w:rPr>
        <w:t xml:space="preserve"> </w:t>
      </w:r>
      <w:r>
        <w:t>MOFCOM</w:t>
      </w:r>
      <w:r>
        <w:rPr>
          <w:spacing w:val="-9"/>
        </w:rPr>
        <w:t xml:space="preserve"> </w:t>
      </w:r>
      <w:r>
        <w:t>made</w:t>
      </w:r>
      <w:r>
        <w:rPr>
          <w:spacing w:val="-9"/>
        </w:rPr>
        <w:t xml:space="preserve"> </w:t>
      </w:r>
      <w:r>
        <w:t>significant</w:t>
      </w:r>
      <w:r>
        <w:rPr>
          <w:spacing w:val="-9"/>
        </w:rPr>
        <w:t xml:space="preserve"> </w:t>
      </w:r>
      <w:r>
        <w:t>errors</w:t>
      </w:r>
      <w:r>
        <w:rPr>
          <w:spacing w:val="-10"/>
        </w:rPr>
        <w:t xml:space="preserve"> </w:t>
      </w:r>
      <w:r>
        <w:t>in</w:t>
      </w:r>
      <w:r>
        <w:rPr>
          <w:spacing w:val="-10"/>
        </w:rPr>
        <w:t xml:space="preserve"> </w:t>
      </w:r>
      <w:r>
        <w:t>all</w:t>
      </w:r>
      <w:r>
        <w:rPr>
          <w:spacing w:val="-10"/>
        </w:rPr>
        <w:t xml:space="preserve"> </w:t>
      </w:r>
      <w:r>
        <w:t>three</w:t>
      </w:r>
      <w:r>
        <w:rPr>
          <w:spacing w:val="-9"/>
        </w:rPr>
        <w:t xml:space="preserve"> </w:t>
      </w:r>
      <w:r>
        <w:t>methods.</w:t>
      </w:r>
      <w:r>
        <w:rPr>
          <w:spacing w:val="-10"/>
        </w:rPr>
        <w:t xml:space="preserve"> </w:t>
      </w:r>
      <w:r>
        <w:t>As</w:t>
      </w:r>
      <w:r>
        <w:rPr>
          <w:spacing w:val="-10"/>
        </w:rPr>
        <w:t xml:space="preserve"> </w:t>
      </w:r>
      <w:r>
        <w:t>Australia will demonstrate below, these errors resulted in an inflated and incomparable normal value and a correspondingly high dumping margin. Collectively, these errors amounted to inconsistencies with and viol</w:t>
      </w:r>
      <w:r>
        <w:t>ations of Articles 2.1, 2.2, 2.2.1, 2.4, 6.8 and Annex II of the Anti‐Dumping Agreement.</w:t>
      </w:r>
    </w:p>
    <w:p w14:paraId="51DE83BF" w14:textId="77777777" w:rsidR="0010369C" w:rsidRDefault="0010369C">
      <w:pPr>
        <w:pStyle w:val="BodyText"/>
        <w:spacing w:before="10"/>
        <w:rPr>
          <w:sz w:val="8"/>
        </w:rPr>
      </w:pPr>
    </w:p>
    <w:p w14:paraId="51DE83C0" w14:textId="77777777" w:rsidR="0010369C" w:rsidRDefault="008E43AE">
      <w:pPr>
        <w:pStyle w:val="BodyText"/>
        <w:spacing w:before="52" w:line="362" w:lineRule="auto"/>
        <w:ind w:left="239" w:right="614" w:firstLine="850"/>
      </w:pPr>
      <w:r>
        <w:rPr>
          <w:noProof/>
        </w:rPr>
        <w:drawing>
          <wp:anchor distT="0" distB="0" distL="0" distR="0" simplePos="0" relativeHeight="250905088" behindDoc="1" locked="0" layoutInCell="1" allowOverlap="1" wp14:anchorId="51DEA064" wp14:editId="51DEA065">
            <wp:simplePos x="0" y="0"/>
            <wp:positionH relativeFrom="page">
              <wp:posOffset>905255</wp:posOffset>
            </wp:positionH>
            <wp:positionV relativeFrom="paragraph">
              <wp:posOffset>81187</wp:posOffset>
            </wp:positionV>
            <wp:extent cx="259079" cy="100753"/>
            <wp:effectExtent l="0" t="0" r="0" b="0"/>
            <wp:wrapNone/>
            <wp:docPr id="477" name="image2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 name="image247.png"/>
                    <pic:cNvPicPr/>
                  </pic:nvPicPr>
                  <pic:blipFill>
                    <a:blip r:embed="rId349" cstate="print"/>
                    <a:stretch>
                      <a:fillRect/>
                    </a:stretch>
                  </pic:blipFill>
                  <pic:spPr>
                    <a:xfrm>
                      <a:off x="0" y="0"/>
                      <a:ext cx="259079" cy="100753"/>
                    </a:xfrm>
                    <a:prstGeom prst="rect">
                      <a:avLst/>
                    </a:prstGeom>
                  </pic:spPr>
                </pic:pic>
              </a:graphicData>
            </a:graphic>
          </wp:anchor>
        </w:drawing>
      </w:r>
      <w:r>
        <w:t>This</w:t>
      </w:r>
      <w:r>
        <w:rPr>
          <w:spacing w:val="-2"/>
        </w:rPr>
        <w:t xml:space="preserve"> </w:t>
      </w:r>
      <w:r>
        <w:t>section</w:t>
      </w:r>
      <w:r>
        <w:rPr>
          <w:spacing w:val="-2"/>
        </w:rPr>
        <w:t xml:space="preserve"> </w:t>
      </w:r>
      <w:r>
        <w:t>addresses</w:t>
      </w:r>
      <w:r>
        <w:rPr>
          <w:spacing w:val="-3"/>
        </w:rPr>
        <w:t xml:space="preserve"> </w:t>
      </w:r>
      <w:r>
        <w:t>the</w:t>
      </w:r>
      <w:r>
        <w:rPr>
          <w:spacing w:val="-2"/>
        </w:rPr>
        <w:t xml:space="preserve"> </w:t>
      </w:r>
      <w:r>
        <w:t>first</w:t>
      </w:r>
      <w:r>
        <w:rPr>
          <w:spacing w:val="-2"/>
        </w:rPr>
        <w:t xml:space="preserve"> </w:t>
      </w:r>
      <w:r>
        <w:t>two</w:t>
      </w:r>
      <w:r>
        <w:rPr>
          <w:spacing w:val="-3"/>
        </w:rPr>
        <w:t xml:space="preserve"> </w:t>
      </w:r>
      <w:r>
        <w:t>methods.</w:t>
      </w:r>
      <w:r>
        <w:rPr>
          <w:spacing w:val="-3"/>
        </w:rPr>
        <w:t xml:space="preserve"> </w:t>
      </w:r>
      <w:r>
        <w:t>The</w:t>
      </w:r>
      <w:r>
        <w:rPr>
          <w:spacing w:val="-2"/>
        </w:rPr>
        <w:t xml:space="preserve"> </w:t>
      </w:r>
      <w:r>
        <w:t>third</w:t>
      </w:r>
      <w:r>
        <w:rPr>
          <w:spacing w:val="-3"/>
        </w:rPr>
        <w:t xml:space="preserve"> </w:t>
      </w:r>
      <w:r>
        <w:t>method,</w:t>
      </w:r>
      <w:r>
        <w:rPr>
          <w:spacing w:val="-2"/>
        </w:rPr>
        <w:t xml:space="preserve"> </w:t>
      </w:r>
      <w:r>
        <w:t>constructed</w:t>
      </w:r>
      <w:r>
        <w:rPr>
          <w:spacing w:val="-3"/>
        </w:rPr>
        <w:t xml:space="preserve"> </w:t>
      </w:r>
      <w:r>
        <w:t>normal value, is addressed in the next section.</w:t>
      </w:r>
      <w:r>
        <w:rPr>
          <w:vertAlign w:val="superscript"/>
        </w:rPr>
        <w:t>263</w:t>
      </w:r>
    </w:p>
    <w:p w14:paraId="51DE83C1" w14:textId="77777777" w:rsidR="0010369C" w:rsidRDefault="008E43AE">
      <w:pPr>
        <w:pStyle w:val="ListParagraph"/>
        <w:numPr>
          <w:ilvl w:val="3"/>
          <w:numId w:val="75"/>
        </w:numPr>
        <w:tabs>
          <w:tab w:val="left" w:pos="3642"/>
          <w:tab w:val="left" w:pos="3643"/>
        </w:tabs>
        <w:spacing w:before="154" w:line="360" w:lineRule="auto"/>
        <w:ind w:right="616" w:hanging="853"/>
        <w:rPr>
          <w:sz w:val="24"/>
        </w:rPr>
      </w:pPr>
      <w:r>
        <w:rPr>
          <w:sz w:val="24"/>
          <w:u w:val="single"/>
        </w:rPr>
        <w:t>MOFCOM</w:t>
      </w:r>
      <w:r>
        <w:rPr>
          <w:spacing w:val="29"/>
          <w:sz w:val="24"/>
          <w:u w:val="single"/>
        </w:rPr>
        <w:t xml:space="preserve"> </w:t>
      </w:r>
      <w:r>
        <w:rPr>
          <w:sz w:val="24"/>
          <w:u w:val="single"/>
        </w:rPr>
        <w:t>failed</w:t>
      </w:r>
      <w:r>
        <w:rPr>
          <w:spacing w:val="29"/>
          <w:sz w:val="24"/>
          <w:u w:val="single"/>
        </w:rPr>
        <w:t xml:space="preserve"> </w:t>
      </w:r>
      <w:r>
        <w:rPr>
          <w:sz w:val="24"/>
          <w:u w:val="single"/>
        </w:rPr>
        <w:t>to</w:t>
      </w:r>
      <w:r>
        <w:rPr>
          <w:spacing w:val="29"/>
          <w:sz w:val="24"/>
          <w:u w:val="single"/>
        </w:rPr>
        <w:t xml:space="preserve"> </w:t>
      </w:r>
      <w:r>
        <w:rPr>
          <w:sz w:val="24"/>
          <w:u w:val="single"/>
        </w:rPr>
        <w:t>have</w:t>
      </w:r>
      <w:r>
        <w:rPr>
          <w:spacing w:val="30"/>
          <w:sz w:val="24"/>
          <w:u w:val="single"/>
        </w:rPr>
        <w:t xml:space="preserve"> </w:t>
      </w:r>
      <w:r>
        <w:rPr>
          <w:sz w:val="24"/>
          <w:u w:val="single"/>
        </w:rPr>
        <w:t>regard</w:t>
      </w:r>
      <w:r>
        <w:rPr>
          <w:spacing w:val="28"/>
          <w:sz w:val="24"/>
          <w:u w:val="single"/>
        </w:rPr>
        <w:t xml:space="preserve"> </w:t>
      </w:r>
      <w:r>
        <w:rPr>
          <w:sz w:val="24"/>
          <w:u w:val="single"/>
        </w:rPr>
        <w:t>to</w:t>
      </w:r>
      <w:r>
        <w:rPr>
          <w:spacing w:val="28"/>
          <w:sz w:val="24"/>
          <w:u w:val="single"/>
        </w:rPr>
        <w:t xml:space="preserve"> </w:t>
      </w:r>
      <w:r>
        <w:rPr>
          <w:sz w:val="24"/>
          <w:u w:val="single"/>
        </w:rPr>
        <w:t>all</w:t>
      </w:r>
      <w:r>
        <w:rPr>
          <w:spacing w:val="29"/>
          <w:sz w:val="24"/>
          <w:u w:val="single"/>
        </w:rPr>
        <w:t xml:space="preserve"> </w:t>
      </w:r>
      <w:r>
        <w:rPr>
          <w:sz w:val="24"/>
          <w:u w:val="single"/>
        </w:rPr>
        <w:t>relevant</w:t>
      </w:r>
      <w:r>
        <w:rPr>
          <w:spacing w:val="28"/>
          <w:sz w:val="24"/>
          <w:u w:val="single"/>
        </w:rPr>
        <w:t xml:space="preserve"> </w:t>
      </w:r>
      <w:r>
        <w:rPr>
          <w:sz w:val="24"/>
          <w:u w:val="single"/>
        </w:rPr>
        <w:t>domestic</w:t>
      </w:r>
      <w:r>
        <w:rPr>
          <w:sz w:val="24"/>
        </w:rPr>
        <w:t xml:space="preserve"> </w:t>
      </w:r>
      <w:r>
        <w:rPr>
          <w:spacing w:val="-2"/>
          <w:sz w:val="24"/>
          <w:u w:val="single"/>
        </w:rPr>
        <w:t>sales</w:t>
      </w:r>
    </w:p>
    <w:p w14:paraId="51DE83C2" w14:textId="77777777" w:rsidR="0010369C" w:rsidRDefault="0010369C">
      <w:pPr>
        <w:pStyle w:val="BodyText"/>
        <w:spacing w:before="11"/>
        <w:rPr>
          <w:sz w:val="8"/>
        </w:rPr>
      </w:pPr>
    </w:p>
    <w:p w14:paraId="51DE83C3" w14:textId="77777777" w:rsidR="0010369C" w:rsidRDefault="008E43AE">
      <w:pPr>
        <w:pStyle w:val="BodyText"/>
        <w:spacing w:before="52" w:line="360" w:lineRule="auto"/>
        <w:ind w:left="236" w:right="614" w:firstLine="852"/>
        <w:jc w:val="both"/>
      </w:pPr>
      <w:r>
        <w:rPr>
          <w:noProof/>
        </w:rPr>
        <w:drawing>
          <wp:anchor distT="0" distB="0" distL="0" distR="0" simplePos="0" relativeHeight="250906112" behindDoc="1" locked="0" layoutInCell="1" allowOverlap="1" wp14:anchorId="51DEA066" wp14:editId="51DEA067">
            <wp:simplePos x="0" y="0"/>
            <wp:positionH relativeFrom="page">
              <wp:posOffset>905255</wp:posOffset>
            </wp:positionH>
            <wp:positionV relativeFrom="paragraph">
              <wp:posOffset>81357</wp:posOffset>
            </wp:positionV>
            <wp:extent cx="259079" cy="103631"/>
            <wp:effectExtent l="0" t="0" r="0" b="0"/>
            <wp:wrapNone/>
            <wp:docPr id="479" name="image2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 name="image248.png"/>
                    <pic:cNvPicPr/>
                  </pic:nvPicPr>
                  <pic:blipFill>
                    <a:blip r:embed="rId350" cstate="print"/>
                    <a:stretch>
                      <a:fillRect/>
                    </a:stretch>
                  </pic:blipFill>
                  <pic:spPr>
                    <a:xfrm>
                      <a:off x="0" y="0"/>
                      <a:ext cx="259079" cy="103631"/>
                    </a:xfrm>
                    <a:prstGeom prst="rect">
                      <a:avLst/>
                    </a:prstGeom>
                  </pic:spPr>
                </pic:pic>
              </a:graphicData>
            </a:graphic>
          </wp:anchor>
        </w:drawing>
      </w:r>
      <w:r>
        <w:t>At the heart of MOFCOM's flawed normal value methodology was its improper application</w:t>
      </w:r>
      <w:r>
        <w:rPr>
          <w:spacing w:val="40"/>
        </w:rPr>
        <w:t xml:space="preserve"> </w:t>
      </w:r>
      <w:r>
        <w:t>of</w:t>
      </w:r>
      <w:r>
        <w:rPr>
          <w:spacing w:val="40"/>
        </w:rPr>
        <w:t xml:space="preserve"> </w:t>
      </w:r>
      <w:r>
        <w:t>the</w:t>
      </w:r>
      <w:r>
        <w:rPr>
          <w:spacing w:val="40"/>
        </w:rPr>
        <w:t xml:space="preserve"> </w:t>
      </w:r>
      <w:r>
        <w:t>"ordinary</w:t>
      </w:r>
      <w:r>
        <w:rPr>
          <w:spacing w:val="40"/>
        </w:rPr>
        <w:t xml:space="preserve"> </w:t>
      </w:r>
      <w:r>
        <w:t>course</w:t>
      </w:r>
      <w:r>
        <w:rPr>
          <w:spacing w:val="40"/>
        </w:rPr>
        <w:t xml:space="preserve"> </w:t>
      </w:r>
      <w:r>
        <w:t>of</w:t>
      </w:r>
      <w:r>
        <w:rPr>
          <w:spacing w:val="40"/>
        </w:rPr>
        <w:t xml:space="preserve"> </w:t>
      </w:r>
      <w:r>
        <w:t>trade"</w:t>
      </w:r>
      <w:r>
        <w:rPr>
          <w:spacing w:val="40"/>
        </w:rPr>
        <w:t xml:space="preserve"> </w:t>
      </w:r>
      <w:r>
        <w:t>test</w:t>
      </w:r>
      <w:r>
        <w:rPr>
          <w:spacing w:val="40"/>
        </w:rPr>
        <w:t xml:space="preserve"> </w:t>
      </w:r>
      <w:r>
        <w:t>under</w:t>
      </w:r>
      <w:r>
        <w:rPr>
          <w:spacing w:val="40"/>
        </w:rPr>
        <w:t xml:space="preserve"> </w:t>
      </w:r>
      <w:r>
        <w:t>Article</w:t>
      </w:r>
      <w:r>
        <w:rPr>
          <w:spacing w:val="40"/>
        </w:rPr>
        <w:t xml:space="preserve"> </w:t>
      </w:r>
      <w:r>
        <w:t>2.2.</w:t>
      </w:r>
      <w:r>
        <w:t>1</w:t>
      </w:r>
      <w:r>
        <w:rPr>
          <w:spacing w:val="40"/>
        </w:rPr>
        <w:t xml:space="preserve"> </w:t>
      </w:r>
      <w:r>
        <w:t>of</w:t>
      </w:r>
      <w:r>
        <w:rPr>
          <w:spacing w:val="40"/>
        </w:rPr>
        <w:t xml:space="preserve"> </w:t>
      </w:r>
      <w:r>
        <w:t>the Anti‐Dumping</w:t>
      </w:r>
      <w:r>
        <w:rPr>
          <w:spacing w:val="-3"/>
        </w:rPr>
        <w:t xml:space="preserve"> </w:t>
      </w:r>
      <w:r>
        <w:t>Agreement that excluded relevant domestic sales reported by Treasury Wines based</w:t>
      </w:r>
      <w:r>
        <w:rPr>
          <w:spacing w:val="-2"/>
        </w:rPr>
        <w:t xml:space="preserve"> </w:t>
      </w:r>
      <w:r>
        <w:t>on</w:t>
      </w:r>
      <w:r>
        <w:rPr>
          <w:spacing w:val="-3"/>
        </w:rPr>
        <w:t xml:space="preserve"> </w:t>
      </w:r>
      <w:r>
        <w:t>related</w:t>
      </w:r>
      <w:r>
        <w:rPr>
          <w:spacing w:val="-3"/>
        </w:rPr>
        <w:t xml:space="preserve"> </w:t>
      </w:r>
      <w:r>
        <w:t>party</w:t>
      </w:r>
      <w:r>
        <w:rPr>
          <w:spacing w:val="-2"/>
        </w:rPr>
        <w:t xml:space="preserve"> </w:t>
      </w:r>
      <w:r>
        <w:t>transactions</w:t>
      </w:r>
      <w:r>
        <w:rPr>
          <w:spacing w:val="-3"/>
        </w:rPr>
        <w:t xml:space="preserve"> </w:t>
      </w:r>
      <w:r>
        <w:t>and</w:t>
      </w:r>
      <w:r>
        <w:rPr>
          <w:spacing w:val="-3"/>
        </w:rPr>
        <w:t xml:space="preserve"> </w:t>
      </w:r>
      <w:r>
        <w:t>on</w:t>
      </w:r>
      <w:r>
        <w:rPr>
          <w:spacing w:val="-3"/>
        </w:rPr>
        <w:t xml:space="preserve"> </w:t>
      </w:r>
      <w:r>
        <w:t>improperly</w:t>
      </w:r>
      <w:r>
        <w:rPr>
          <w:spacing w:val="-1"/>
        </w:rPr>
        <w:t xml:space="preserve"> </w:t>
      </w:r>
      <w:r>
        <w:t>calculated</w:t>
      </w:r>
      <w:r>
        <w:rPr>
          <w:spacing w:val="-3"/>
        </w:rPr>
        <w:t xml:space="preserve"> </w:t>
      </w:r>
      <w:r>
        <w:t>below</w:t>
      </w:r>
      <w:r>
        <w:rPr>
          <w:spacing w:val="-2"/>
        </w:rPr>
        <w:t xml:space="preserve"> </w:t>
      </w:r>
      <w:r>
        <w:t>cost</w:t>
      </w:r>
      <w:r>
        <w:rPr>
          <w:spacing w:val="-3"/>
        </w:rPr>
        <w:t xml:space="preserve"> </w:t>
      </w:r>
      <w:r>
        <w:t>sales.</w:t>
      </w:r>
      <w:r>
        <w:rPr>
          <w:spacing w:val="-2"/>
        </w:rPr>
        <w:t xml:space="preserve"> </w:t>
      </w:r>
      <w:r>
        <w:t>Insofar</w:t>
      </w:r>
      <w:r>
        <w:rPr>
          <w:spacing w:val="-3"/>
        </w:rPr>
        <w:t xml:space="preserve"> </w:t>
      </w:r>
      <w:r>
        <w:t>as normal values for certain PCNs were determined using domestic prices, this resulted in MOFCOM disregarding relevant domestic wine sales and relying on unrepresentative high‐ cost domestic sales that artificially inflated the dumping margins for those PC</w:t>
      </w:r>
      <w:r>
        <w:t>Ns.</w:t>
      </w:r>
    </w:p>
    <w:p w14:paraId="51DE83C4" w14:textId="77777777" w:rsidR="0010369C" w:rsidRDefault="0010369C">
      <w:pPr>
        <w:pStyle w:val="BodyText"/>
        <w:rPr>
          <w:sz w:val="20"/>
        </w:rPr>
      </w:pPr>
    </w:p>
    <w:p w14:paraId="51DE83C5" w14:textId="77777777" w:rsidR="0010369C" w:rsidRDefault="0010369C">
      <w:pPr>
        <w:pStyle w:val="BodyText"/>
        <w:rPr>
          <w:sz w:val="20"/>
        </w:rPr>
      </w:pPr>
    </w:p>
    <w:p w14:paraId="51DE83C6" w14:textId="77777777" w:rsidR="0010369C" w:rsidRDefault="0010369C">
      <w:pPr>
        <w:pStyle w:val="BodyText"/>
        <w:rPr>
          <w:sz w:val="20"/>
        </w:rPr>
      </w:pPr>
    </w:p>
    <w:p w14:paraId="51DE83C7" w14:textId="77777777" w:rsidR="0010369C" w:rsidRDefault="008E43AE">
      <w:pPr>
        <w:pStyle w:val="BodyText"/>
        <w:spacing w:before="10"/>
        <w:rPr>
          <w:sz w:val="23"/>
        </w:rPr>
      </w:pPr>
      <w:r>
        <w:pict w14:anchorId="51DEA068">
          <v:rect id="docshape502" o:spid="_x0000_s1762" style="position:absolute;margin-left:70.9pt;margin-top:15.75pt;width:2in;height:.8pt;z-index:-251041280;mso-wrap-distance-left:0;mso-wrap-distance-right:0;mso-position-horizontal-relative:page" fillcolor="black" stroked="f">
            <w10:wrap type="topAndBottom" anchorx="page"/>
          </v:rect>
        </w:pict>
      </w:r>
      <w:r>
        <w:pict w14:anchorId="51DEA069">
          <v:group id="docshapegroup503" o:spid="_x0000_s1758" style="position:absolute;margin-left:69.9pt;margin-top:22.3pt;width:453.55pt;height:23.05pt;z-index:-251040256;mso-wrap-distance-left:0;mso-wrap-distance-right:0;mso-position-horizontal-relative:page" coordorigin="1398,446" coordsize="9071,461">
            <v:shape id="docshape504" o:spid="_x0000_s1761" style="position:absolute;left:1398;top:446;width:9071;height:461" coordorigin="1398,446" coordsize="9071,461" path="m10469,446r-8733,l1736,666r-338,l1398,907r5258,l6656,687r3813,l10469,446xe" fillcolor="black" stroked="f">
              <v:path arrowok="t"/>
            </v:shape>
            <v:shape id="docshape505" o:spid="_x0000_s1760" type="#_x0000_t202" style="position:absolute;left:1418;top:461;width:302;height:195" filled="f" stroked="f">
              <v:textbox inset="0,0,0,0">
                <w:txbxContent>
                  <w:p w14:paraId="51DEAC4D" w14:textId="77777777" w:rsidR="0010369C" w:rsidRDefault="008E43AE">
                    <w:pPr>
                      <w:spacing w:before="28" w:line="124" w:lineRule="auto"/>
                      <w:rPr>
                        <w:sz w:val="18"/>
                      </w:rPr>
                    </w:pPr>
                    <w:r>
                      <w:rPr>
                        <w:color w:val="5E5E5E"/>
                        <w:sz w:val="12"/>
                      </w:rPr>
                      <w:t>262</w:t>
                    </w:r>
                    <w:r>
                      <w:rPr>
                        <w:color w:val="5E5E5E"/>
                        <w:spacing w:val="14"/>
                        <w:sz w:val="12"/>
                      </w:rPr>
                      <w:t xml:space="preserve"> </w:t>
                    </w:r>
                    <w:r>
                      <w:rPr>
                        <w:color w:val="5E5E5E"/>
                        <w:spacing w:val="-10"/>
                        <w:position w:val="-5"/>
                        <w:sz w:val="18"/>
                      </w:rPr>
                      <w:t>[</w:t>
                    </w:r>
                  </w:p>
                </w:txbxContent>
              </v:textbox>
            </v:shape>
            <v:shape id="docshape506" o:spid="_x0000_s1759" type="#_x0000_t202" style="position:absolute;left:6677;top:695;width:176;height:180" filled="f" stroked="f">
              <v:textbox inset="0,0,0,0">
                <w:txbxContent>
                  <w:p w14:paraId="51DEAC4E" w14:textId="77777777" w:rsidR="0010369C" w:rsidRDefault="008E43AE">
                    <w:pPr>
                      <w:spacing w:line="180" w:lineRule="exact"/>
                      <w:rPr>
                        <w:sz w:val="18"/>
                      </w:rPr>
                    </w:pPr>
                    <w:r>
                      <w:rPr>
                        <w:color w:val="5E5E5E"/>
                        <w:spacing w:val="-5"/>
                        <w:sz w:val="18"/>
                      </w:rPr>
                      <w:t>.]]</w:t>
                    </w:r>
                  </w:p>
                </w:txbxContent>
              </v:textbox>
            </v:shape>
            <w10:wrap type="topAndBottom" anchorx="page"/>
          </v:group>
        </w:pict>
      </w:r>
    </w:p>
    <w:p w14:paraId="51DE83C8" w14:textId="77777777" w:rsidR="0010369C" w:rsidRDefault="0010369C">
      <w:pPr>
        <w:pStyle w:val="BodyText"/>
        <w:spacing w:before="6"/>
        <w:rPr>
          <w:sz w:val="7"/>
        </w:rPr>
      </w:pPr>
    </w:p>
    <w:p w14:paraId="51DE83C9" w14:textId="77777777" w:rsidR="0010369C" w:rsidRDefault="008E43AE">
      <w:pPr>
        <w:spacing w:line="192" w:lineRule="exact"/>
        <w:ind w:left="238"/>
        <w:rPr>
          <w:sz w:val="18"/>
        </w:rPr>
      </w:pPr>
      <w:r>
        <w:rPr>
          <w:sz w:val="18"/>
          <w:vertAlign w:val="superscript"/>
        </w:rPr>
        <w:t>263</w:t>
      </w:r>
      <w:r>
        <w:rPr>
          <w:spacing w:val="-5"/>
          <w:sz w:val="18"/>
        </w:rPr>
        <w:t xml:space="preserve"> </w:t>
      </w:r>
      <w:r>
        <w:rPr>
          <w:sz w:val="18"/>
        </w:rPr>
        <w:t>See</w:t>
      </w:r>
      <w:r>
        <w:rPr>
          <w:spacing w:val="-5"/>
          <w:sz w:val="18"/>
        </w:rPr>
        <w:t xml:space="preserve"> </w:t>
      </w:r>
      <w:r>
        <w:rPr>
          <w:sz w:val="18"/>
        </w:rPr>
        <w:t>section</w:t>
      </w:r>
      <w:r>
        <w:rPr>
          <w:spacing w:val="-5"/>
          <w:sz w:val="18"/>
        </w:rPr>
        <w:t xml:space="preserve"> </w:t>
      </w:r>
      <w:r>
        <w:rPr>
          <w:spacing w:val="-2"/>
          <w:sz w:val="18"/>
        </w:rPr>
        <w:t>II.E.4.</w:t>
      </w:r>
    </w:p>
    <w:p w14:paraId="51DE83CA" w14:textId="77777777" w:rsidR="0010369C" w:rsidRDefault="0010369C">
      <w:pPr>
        <w:spacing w:line="192" w:lineRule="exact"/>
        <w:rPr>
          <w:sz w:val="18"/>
        </w:rPr>
        <w:sectPr w:rsidR="0010369C">
          <w:pgSz w:w="11910" w:h="16840"/>
          <w:pgMar w:top="880" w:right="800" w:bottom="980" w:left="1180" w:header="569" w:footer="788" w:gutter="0"/>
          <w:cols w:space="720"/>
        </w:sectPr>
      </w:pPr>
    </w:p>
    <w:p w14:paraId="51DE83CB" w14:textId="77777777" w:rsidR="0010369C" w:rsidRDefault="008E43AE">
      <w:pPr>
        <w:tabs>
          <w:tab w:val="left" w:pos="6425"/>
        </w:tabs>
        <w:ind w:left="238"/>
        <w:jc w:val="both"/>
        <w:rPr>
          <w:sz w:val="20"/>
        </w:rPr>
      </w:pPr>
      <w:r>
        <w:rPr>
          <w:i/>
          <w:sz w:val="20"/>
        </w:rPr>
        <w:lastRenderedPageBreak/>
        <w:t>China</w:t>
      </w:r>
      <w:r>
        <w:rPr>
          <w:i/>
          <w:spacing w:val="-5"/>
          <w:sz w:val="20"/>
        </w:rPr>
        <w:t xml:space="preserve"> </w:t>
      </w:r>
      <w:r>
        <w:rPr>
          <w:i/>
          <w:sz w:val="20"/>
        </w:rPr>
        <w:t>–</w:t>
      </w:r>
      <w:r>
        <w:rPr>
          <w:i/>
          <w:spacing w:val="-5"/>
          <w:sz w:val="20"/>
        </w:rPr>
        <w:t xml:space="preserve"> </w:t>
      </w:r>
      <w:r>
        <w:rPr>
          <w:i/>
          <w:sz w:val="20"/>
        </w:rPr>
        <w:t>Anti‐Dumping</w:t>
      </w:r>
      <w:r>
        <w:rPr>
          <w:i/>
          <w:spacing w:val="-4"/>
          <w:sz w:val="20"/>
        </w:rPr>
        <w:t xml:space="preserve"> </w:t>
      </w:r>
      <w:r>
        <w:rPr>
          <w:i/>
          <w:sz w:val="20"/>
        </w:rPr>
        <w:t>and</w:t>
      </w:r>
      <w:r>
        <w:rPr>
          <w:i/>
          <w:spacing w:val="-5"/>
          <w:sz w:val="20"/>
        </w:rPr>
        <w:t xml:space="preserve"> </w:t>
      </w:r>
      <w:r>
        <w:rPr>
          <w:i/>
          <w:sz w:val="20"/>
        </w:rPr>
        <w:t>Countervailing</w:t>
      </w:r>
      <w:r>
        <w:rPr>
          <w:i/>
          <w:spacing w:val="-5"/>
          <w:sz w:val="20"/>
        </w:rPr>
        <w:t xml:space="preserve"> </w:t>
      </w:r>
      <w:r>
        <w:rPr>
          <w:i/>
          <w:sz w:val="20"/>
        </w:rPr>
        <w:t>Duty</w:t>
      </w:r>
      <w:r>
        <w:rPr>
          <w:i/>
          <w:spacing w:val="-4"/>
          <w:sz w:val="20"/>
        </w:rPr>
        <w:t xml:space="preserve"> </w:t>
      </w:r>
      <w:r>
        <w:rPr>
          <w:i/>
          <w:spacing w:val="-2"/>
          <w:sz w:val="20"/>
        </w:rPr>
        <w:t>Measures</w:t>
      </w:r>
      <w:r>
        <w:rPr>
          <w:i/>
          <w:sz w:val="20"/>
        </w:rPr>
        <w:tab/>
      </w:r>
      <w:r>
        <w:rPr>
          <w:sz w:val="20"/>
        </w:rPr>
        <w:t>Australia's</w:t>
      </w:r>
      <w:r>
        <w:rPr>
          <w:spacing w:val="-7"/>
          <w:sz w:val="20"/>
        </w:rPr>
        <w:t xml:space="preserve"> </w:t>
      </w:r>
      <w:r>
        <w:rPr>
          <w:sz w:val="20"/>
        </w:rPr>
        <w:t>First</w:t>
      </w:r>
      <w:r>
        <w:rPr>
          <w:spacing w:val="-2"/>
          <w:sz w:val="20"/>
        </w:rPr>
        <w:t xml:space="preserve"> </w:t>
      </w:r>
      <w:r>
        <w:rPr>
          <w:sz w:val="20"/>
        </w:rPr>
        <w:t>Written</w:t>
      </w:r>
      <w:r>
        <w:rPr>
          <w:spacing w:val="-2"/>
          <w:sz w:val="20"/>
        </w:rPr>
        <w:t xml:space="preserve"> Submission</w:t>
      </w:r>
    </w:p>
    <w:p w14:paraId="51DE83CC" w14:textId="77777777" w:rsidR="0010369C" w:rsidRDefault="008E43AE">
      <w:pPr>
        <w:tabs>
          <w:tab w:val="left" w:pos="8227"/>
        </w:tabs>
        <w:spacing w:before="1"/>
        <w:ind w:left="239"/>
        <w:jc w:val="both"/>
        <w:rPr>
          <w:sz w:val="20"/>
        </w:rPr>
      </w:pPr>
      <w:r>
        <w:rPr>
          <w:i/>
          <w:sz w:val="20"/>
        </w:rPr>
        <w:t>on</w:t>
      </w:r>
      <w:r>
        <w:rPr>
          <w:i/>
          <w:spacing w:val="-1"/>
          <w:sz w:val="20"/>
        </w:rPr>
        <w:t xml:space="preserve"> </w:t>
      </w:r>
      <w:r>
        <w:rPr>
          <w:i/>
          <w:sz w:val="20"/>
        </w:rPr>
        <w:t>Wine</w:t>
      </w:r>
      <w:r>
        <w:rPr>
          <w:i/>
          <w:spacing w:val="-1"/>
          <w:sz w:val="20"/>
        </w:rPr>
        <w:t xml:space="preserve"> </w:t>
      </w:r>
      <w:r>
        <w:rPr>
          <w:i/>
          <w:sz w:val="20"/>
        </w:rPr>
        <w:t>from</w:t>
      </w:r>
      <w:r>
        <w:rPr>
          <w:i/>
          <w:spacing w:val="-3"/>
          <w:sz w:val="20"/>
        </w:rPr>
        <w:t xml:space="preserve"> </w:t>
      </w:r>
      <w:r>
        <w:rPr>
          <w:i/>
          <w:sz w:val="20"/>
        </w:rPr>
        <w:t>Australia</w:t>
      </w:r>
      <w:r>
        <w:rPr>
          <w:i/>
          <w:spacing w:val="-1"/>
          <w:sz w:val="20"/>
        </w:rPr>
        <w:t xml:space="preserve"> </w:t>
      </w:r>
      <w:r>
        <w:rPr>
          <w:spacing w:val="-2"/>
          <w:sz w:val="20"/>
        </w:rPr>
        <w:t>(DS602)</w:t>
      </w:r>
      <w:r>
        <w:rPr>
          <w:sz w:val="20"/>
        </w:rPr>
        <w:tab/>
        <w:t>29</w:t>
      </w:r>
      <w:r>
        <w:rPr>
          <w:spacing w:val="-1"/>
          <w:sz w:val="20"/>
        </w:rPr>
        <w:t xml:space="preserve"> </w:t>
      </w:r>
      <w:r>
        <w:rPr>
          <w:sz w:val="20"/>
        </w:rPr>
        <w:t>April</w:t>
      </w:r>
      <w:r>
        <w:rPr>
          <w:spacing w:val="-2"/>
          <w:sz w:val="20"/>
        </w:rPr>
        <w:t xml:space="preserve"> </w:t>
      </w:r>
      <w:r>
        <w:rPr>
          <w:spacing w:val="-4"/>
          <w:sz w:val="20"/>
        </w:rPr>
        <w:t>2022</w:t>
      </w:r>
    </w:p>
    <w:p w14:paraId="51DE83CD" w14:textId="77777777" w:rsidR="0010369C" w:rsidRDefault="008E43AE">
      <w:pPr>
        <w:pStyle w:val="ListParagraph"/>
        <w:numPr>
          <w:ilvl w:val="4"/>
          <w:numId w:val="75"/>
        </w:numPr>
        <w:tabs>
          <w:tab w:val="left" w:pos="4493"/>
          <w:tab w:val="left" w:pos="4494"/>
        </w:tabs>
        <w:spacing w:before="34" w:line="360" w:lineRule="auto"/>
        <w:ind w:right="614"/>
        <w:jc w:val="both"/>
        <w:rPr>
          <w:i/>
          <w:sz w:val="24"/>
        </w:rPr>
      </w:pPr>
      <w:r>
        <w:rPr>
          <w:i/>
          <w:sz w:val="24"/>
        </w:rPr>
        <w:t xml:space="preserve">MOFCOM failed to consider whether relevant domestic sales were in the 'Ordinary Course of </w:t>
      </w:r>
      <w:r>
        <w:rPr>
          <w:i/>
          <w:spacing w:val="-2"/>
          <w:sz w:val="24"/>
        </w:rPr>
        <w:t>Trade'</w:t>
      </w:r>
    </w:p>
    <w:p w14:paraId="51DE83CE" w14:textId="77777777" w:rsidR="0010369C" w:rsidRDefault="0010369C">
      <w:pPr>
        <w:pStyle w:val="BodyText"/>
        <w:spacing w:before="11"/>
        <w:rPr>
          <w:i/>
          <w:sz w:val="8"/>
        </w:rPr>
      </w:pPr>
    </w:p>
    <w:p w14:paraId="51DE83CF" w14:textId="77777777" w:rsidR="0010369C" w:rsidRDefault="008E43AE">
      <w:pPr>
        <w:pStyle w:val="BodyText"/>
        <w:spacing w:before="52" w:line="360" w:lineRule="auto"/>
        <w:ind w:left="238" w:right="613" w:firstLine="851"/>
        <w:jc w:val="both"/>
      </w:pPr>
      <w:r>
        <w:rPr>
          <w:noProof/>
        </w:rPr>
        <w:drawing>
          <wp:anchor distT="0" distB="0" distL="0" distR="0" simplePos="0" relativeHeight="250907136" behindDoc="1" locked="0" layoutInCell="1" allowOverlap="1" wp14:anchorId="51DEA06A" wp14:editId="51DEA06B">
            <wp:simplePos x="0" y="0"/>
            <wp:positionH relativeFrom="page">
              <wp:posOffset>905255</wp:posOffset>
            </wp:positionH>
            <wp:positionV relativeFrom="paragraph">
              <wp:posOffset>80595</wp:posOffset>
            </wp:positionV>
            <wp:extent cx="259079" cy="103631"/>
            <wp:effectExtent l="0" t="0" r="0" b="0"/>
            <wp:wrapNone/>
            <wp:docPr id="481" name="image2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image249.png"/>
                    <pic:cNvPicPr/>
                  </pic:nvPicPr>
                  <pic:blipFill>
                    <a:blip r:embed="rId351" cstate="print"/>
                    <a:stretch>
                      <a:fillRect/>
                    </a:stretch>
                  </pic:blipFill>
                  <pic:spPr>
                    <a:xfrm>
                      <a:off x="0" y="0"/>
                      <a:ext cx="259079" cy="103631"/>
                    </a:xfrm>
                    <a:prstGeom prst="rect">
                      <a:avLst/>
                    </a:prstGeom>
                  </pic:spPr>
                </pic:pic>
              </a:graphicData>
            </a:graphic>
          </wp:anchor>
        </w:drawing>
      </w:r>
      <w:r>
        <w:t>Articles 2.1 and 2.2 of the Anti‐Dumping Agreement make clear that the relevant sales to be included in the calculation of normal value are those occurring in the ordinary course</w:t>
      </w:r>
      <w:r>
        <w:rPr>
          <w:spacing w:val="-1"/>
        </w:rPr>
        <w:t xml:space="preserve"> </w:t>
      </w:r>
      <w:r>
        <w:t>of trade. Australia has set out in detail the obligations arising</w:t>
      </w:r>
      <w:r>
        <w:rPr>
          <w:spacing w:val="-1"/>
        </w:rPr>
        <w:t xml:space="preserve"> </w:t>
      </w:r>
      <w:r>
        <w:t xml:space="preserve">from these </w:t>
      </w:r>
      <w:r>
        <w:t>provisions in section B(2).</w:t>
      </w:r>
    </w:p>
    <w:p w14:paraId="51DE83D0" w14:textId="77777777" w:rsidR="0010369C" w:rsidRDefault="0010369C">
      <w:pPr>
        <w:pStyle w:val="BodyText"/>
        <w:rPr>
          <w:sz w:val="20"/>
        </w:rPr>
      </w:pPr>
    </w:p>
    <w:p w14:paraId="51DE83D1" w14:textId="77777777" w:rsidR="0010369C" w:rsidRDefault="0010369C">
      <w:pPr>
        <w:pStyle w:val="BodyText"/>
        <w:rPr>
          <w:sz w:val="20"/>
        </w:rPr>
      </w:pPr>
    </w:p>
    <w:p w14:paraId="51DE83D2" w14:textId="77777777" w:rsidR="0010369C" w:rsidRDefault="0010369C">
      <w:pPr>
        <w:pStyle w:val="BodyText"/>
        <w:spacing w:before="11"/>
        <w:rPr>
          <w:sz w:val="17"/>
        </w:rPr>
      </w:pPr>
    </w:p>
    <w:p w14:paraId="51DE83D3" w14:textId="77777777" w:rsidR="0010369C" w:rsidRDefault="008E43AE">
      <w:pPr>
        <w:pStyle w:val="BodyText"/>
        <w:spacing w:before="51" w:line="362" w:lineRule="auto"/>
        <w:ind w:left="238" w:right="611" w:firstLine="851"/>
      </w:pPr>
      <w:r>
        <w:rPr>
          <w:noProof/>
        </w:rPr>
        <w:drawing>
          <wp:anchor distT="0" distB="0" distL="0" distR="0" simplePos="0" relativeHeight="250908160" behindDoc="1" locked="0" layoutInCell="1" allowOverlap="1" wp14:anchorId="51DEA06C" wp14:editId="51DEA06D">
            <wp:simplePos x="0" y="0"/>
            <wp:positionH relativeFrom="page">
              <wp:posOffset>905255</wp:posOffset>
            </wp:positionH>
            <wp:positionV relativeFrom="paragraph">
              <wp:posOffset>76150</wp:posOffset>
            </wp:positionV>
            <wp:extent cx="259079" cy="106679"/>
            <wp:effectExtent l="0" t="0" r="0" b="0"/>
            <wp:wrapNone/>
            <wp:docPr id="483" name="image2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 name="image250.png"/>
                    <pic:cNvPicPr/>
                  </pic:nvPicPr>
                  <pic:blipFill>
                    <a:blip r:embed="rId352" cstate="print"/>
                    <a:stretch>
                      <a:fillRect/>
                    </a:stretch>
                  </pic:blipFill>
                  <pic:spPr>
                    <a:xfrm>
                      <a:off x="0" y="0"/>
                      <a:ext cx="259079" cy="106679"/>
                    </a:xfrm>
                    <a:prstGeom prst="rect">
                      <a:avLst/>
                    </a:prstGeom>
                  </pic:spPr>
                </pic:pic>
              </a:graphicData>
            </a:graphic>
          </wp:anchor>
        </w:drawing>
      </w:r>
      <w:r>
        <w:t>MOFCOM's application of this two‐step ordinary course of trade test suffered from three fundamental defects. These were:</w:t>
      </w:r>
    </w:p>
    <w:p w14:paraId="51DE83D4" w14:textId="77777777" w:rsidR="0010369C" w:rsidRDefault="008E43AE">
      <w:pPr>
        <w:pStyle w:val="ListParagraph"/>
        <w:numPr>
          <w:ilvl w:val="1"/>
          <w:numId w:val="69"/>
        </w:numPr>
        <w:tabs>
          <w:tab w:val="left" w:pos="1939"/>
          <w:tab w:val="left" w:pos="1940"/>
        </w:tabs>
        <w:spacing w:before="155" w:line="355" w:lineRule="auto"/>
        <w:ind w:right="614"/>
        <w:jc w:val="left"/>
        <w:rPr>
          <w:rFonts w:ascii="Symbol" w:hAnsi="Symbol"/>
          <w:sz w:val="24"/>
        </w:rPr>
      </w:pPr>
      <w:r>
        <w:rPr>
          <w:sz w:val="24"/>
        </w:rPr>
        <w:t>MOFCOM rejected Treasury Wines' related party sales without giving due consideration to whether these w</w:t>
      </w:r>
      <w:r>
        <w:rPr>
          <w:sz w:val="24"/>
        </w:rPr>
        <w:t>ere in the ordinary course of trade;</w:t>
      </w:r>
    </w:p>
    <w:p w14:paraId="51DE83D5" w14:textId="77777777" w:rsidR="0010369C" w:rsidRDefault="008E43AE">
      <w:pPr>
        <w:pStyle w:val="ListParagraph"/>
        <w:numPr>
          <w:ilvl w:val="1"/>
          <w:numId w:val="69"/>
        </w:numPr>
        <w:tabs>
          <w:tab w:val="left" w:pos="1938"/>
          <w:tab w:val="left" w:pos="1939"/>
        </w:tabs>
        <w:spacing w:before="131"/>
        <w:jc w:val="left"/>
        <w:rPr>
          <w:rFonts w:ascii="Symbol" w:hAnsi="Symbol"/>
          <w:sz w:val="24"/>
        </w:rPr>
      </w:pPr>
      <w:r>
        <w:pict w14:anchorId="51DEA06E">
          <v:rect id="docshape507" o:spid="_x0000_s1757" style="position:absolute;left:0;text-align:left;margin-left:293.05pt;margin-top:7.3pt;width:230.4pt;height:16.05pt;z-index:251786752;mso-position-horizontal-relative:page" fillcolor="black" stroked="f">
            <w10:wrap anchorx="page"/>
          </v:rect>
        </w:pict>
      </w:r>
      <w:r>
        <w:rPr>
          <w:w w:val="95"/>
          <w:sz w:val="24"/>
        </w:rPr>
        <w:t>MOFCOM</w:t>
      </w:r>
      <w:r>
        <w:rPr>
          <w:spacing w:val="22"/>
          <w:sz w:val="24"/>
        </w:rPr>
        <w:t xml:space="preserve"> </w:t>
      </w:r>
      <w:r>
        <w:rPr>
          <w:w w:val="95"/>
          <w:sz w:val="24"/>
        </w:rPr>
        <w:t>incorrectly</w:t>
      </w:r>
      <w:r>
        <w:rPr>
          <w:spacing w:val="25"/>
          <w:sz w:val="24"/>
        </w:rPr>
        <w:t xml:space="preserve"> </w:t>
      </w:r>
      <w:r>
        <w:rPr>
          <w:w w:val="95"/>
          <w:sz w:val="24"/>
        </w:rPr>
        <w:t>used</w:t>
      </w:r>
      <w:r>
        <w:rPr>
          <w:spacing w:val="21"/>
          <w:sz w:val="24"/>
        </w:rPr>
        <w:t xml:space="preserve"> </w:t>
      </w:r>
      <w:r>
        <w:rPr>
          <w:spacing w:val="-5"/>
          <w:w w:val="95"/>
          <w:sz w:val="24"/>
        </w:rPr>
        <w:t>[[</w:t>
      </w:r>
    </w:p>
    <w:p w14:paraId="51DE83D6" w14:textId="77777777" w:rsidR="0010369C" w:rsidRDefault="008E43AE">
      <w:pPr>
        <w:pStyle w:val="BodyText"/>
        <w:spacing w:before="147"/>
        <w:ind w:right="890"/>
        <w:jc w:val="right"/>
      </w:pPr>
      <w:r>
        <w:pict w14:anchorId="51DEA06F">
          <v:rect id="docshape508" o:spid="_x0000_s1756" style="position:absolute;left:0;text-align:left;margin-left:155pt;margin-top:7.45pt;width:322.95pt;height:16.05pt;z-index:251787776;mso-position-horizontal-relative:page" fillcolor="black" stroked="f">
            <w10:wrap anchorx="page"/>
          </v:rect>
        </w:pict>
      </w:r>
      <w:r>
        <w:t>]];</w:t>
      </w:r>
      <w:r>
        <w:rPr>
          <w:spacing w:val="-5"/>
        </w:rPr>
        <w:t xml:space="preserve"> and</w:t>
      </w:r>
    </w:p>
    <w:p w14:paraId="51DE83D7" w14:textId="77777777" w:rsidR="0010369C" w:rsidRDefault="0010369C">
      <w:pPr>
        <w:pStyle w:val="BodyText"/>
        <w:spacing w:before="10"/>
        <w:rPr>
          <w:sz w:val="21"/>
        </w:rPr>
      </w:pPr>
    </w:p>
    <w:p w14:paraId="51DE83D8" w14:textId="77777777" w:rsidR="0010369C" w:rsidRDefault="008E43AE">
      <w:pPr>
        <w:pStyle w:val="ListParagraph"/>
        <w:numPr>
          <w:ilvl w:val="1"/>
          <w:numId w:val="69"/>
        </w:numPr>
        <w:tabs>
          <w:tab w:val="left" w:pos="1939"/>
          <w:tab w:val="left" w:pos="1940"/>
        </w:tabs>
        <w:spacing w:before="0" w:line="355" w:lineRule="auto"/>
        <w:ind w:right="613"/>
        <w:rPr>
          <w:rFonts w:ascii="Symbol" w:hAnsi="Symbol"/>
          <w:sz w:val="24"/>
        </w:rPr>
      </w:pPr>
      <w:r>
        <w:rPr>
          <w:sz w:val="24"/>
        </w:rPr>
        <w:t>MOFCOM failed to consider whether the sales it found to be "below cost" provided for the recovery of costs within a reasonable period of time.</w:t>
      </w:r>
    </w:p>
    <w:p w14:paraId="51DE83D9" w14:textId="77777777" w:rsidR="0010369C" w:rsidRDefault="008E43AE">
      <w:pPr>
        <w:pStyle w:val="ListParagraph"/>
        <w:numPr>
          <w:ilvl w:val="5"/>
          <w:numId w:val="75"/>
        </w:numPr>
        <w:tabs>
          <w:tab w:val="left" w:pos="5341"/>
        </w:tabs>
        <w:spacing w:before="131" w:line="360" w:lineRule="auto"/>
        <w:ind w:right="613" w:hanging="848"/>
        <w:jc w:val="both"/>
        <w:rPr>
          <w:i/>
          <w:sz w:val="24"/>
        </w:rPr>
      </w:pPr>
      <w:r>
        <w:rPr>
          <w:sz w:val="24"/>
          <w:u w:val="single"/>
        </w:rPr>
        <w:t xml:space="preserve">MOFCOM failed to </w:t>
      </w:r>
      <w:r>
        <w:rPr>
          <w:i/>
          <w:sz w:val="24"/>
          <w:u w:val="single"/>
        </w:rPr>
        <w:t>consider whether</w:t>
      </w:r>
      <w:r>
        <w:rPr>
          <w:i/>
          <w:sz w:val="24"/>
        </w:rPr>
        <w:t xml:space="preserve"> </w:t>
      </w:r>
      <w:r>
        <w:rPr>
          <w:i/>
          <w:sz w:val="24"/>
          <w:u w:val="single"/>
        </w:rPr>
        <w:t>related party sales were in the ordinary</w:t>
      </w:r>
      <w:r>
        <w:rPr>
          <w:i/>
          <w:sz w:val="24"/>
        </w:rPr>
        <w:t xml:space="preserve"> </w:t>
      </w:r>
      <w:r>
        <w:rPr>
          <w:i/>
          <w:sz w:val="24"/>
          <w:u w:val="single"/>
        </w:rPr>
        <w:t>course of trade</w:t>
      </w:r>
    </w:p>
    <w:p w14:paraId="51DE83DA" w14:textId="77777777" w:rsidR="0010369C" w:rsidRDefault="0010369C">
      <w:pPr>
        <w:pStyle w:val="BodyText"/>
        <w:spacing w:before="10"/>
        <w:rPr>
          <w:i/>
          <w:sz w:val="8"/>
        </w:rPr>
      </w:pPr>
    </w:p>
    <w:p w14:paraId="51DE83DB" w14:textId="77777777" w:rsidR="0010369C" w:rsidRDefault="008E43AE">
      <w:pPr>
        <w:pStyle w:val="BodyText"/>
        <w:spacing w:before="52" w:line="360" w:lineRule="auto"/>
        <w:ind w:left="237" w:right="613" w:firstLine="851"/>
        <w:jc w:val="both"/>
      </w:pPr>
      <w:r>
        <w:rPr>
          <w:noProof/>
        </w:rPr>
        <w:drawing>
          <wp:anchor distT="0" distB="0" distL="0" distR="0" simplePos="0" relativeHeight="250909184" behindDoc="1" locked="0" layoutInCell="1" allowOverlap="1" wp14:anchorId="51DEA070" wp14:editId="51DEA071">
            <wp:simplePos x="0" y="0"/>
            <wp:positionH relativeFrom="page">
              <wp:posOffset>905255</wp:posOffset>
            </wp:positionH>
            <wp:positionV relativeFrom="paragraph">
              <wp:posOffset>80595</wp:posOffset>
            </wp:positionV>
            <wp:extent cx="259079" cy="103631"/>
            <wp:effectExtent l="0" t="0" r="0" b="0"/>
            <wp:wrapNone/>
            <wp:docPr id="485" name="image2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 name="image251.png"/>
                    <pic:cNvPicPr/>
                  </pic:nvPicPr>
                  <pic:blipFill>
                    <a:blip r:embed="rId353" cstate="print"/>
                    <a:stretch>
                      <a:fillRect/>
                    </a:stretch>
                  </pic:blipFill>
                  <pic:spPr>
                    <a:xfrm>
                      <a:off x="0" y="0"/>
                      <a:ext cx="259079" cy="103631"/>
                    </a:xfrm>
                    <a:prstGeom prst="rect">
                      <a:avLst/>
                    </a:prstGeom>
                  </pic:spPr>
                </pic:pic>
              </a:graphicData>
            </a:graphic>
          </wp:anchor>
        </w:drawing>
      </w:r>
      <w:r>
        <w:t>Australia submits MOFCOM erroneously rejected related party sales without giving due consideration to whether these sales occurred in the ordinary course of trade. This is a threshold</w:t>
      </w:r>
      <w:r>
        <w:rPr>
          <w:spacing w:val="-14"/>
        </w:rPr>
        <w:t xml:space="preserve"> </w:t>
      </w:r>
      <w:r>
        <w:t>issue</w:t>
      </w:r>
      <w:r>
        <w:rPr>
          <w:spacing w:val="-12"/>
        </w:rPr>
        <w:t xml:space="preserve"> </w:t>
      </w:r>
      <w:r>
        <w:t>as</w:t>
      </w:r>
      <w:r>
        <w:rPr>
          <w:spacing w:val="-14"/>
        </w:rPr>
        <w:t xml:space="preserve"> </w:t>
      </w:r>
      <w:r>
        <w:t>MOFCOM</w:t>
      </w:r>
      <w:r>
        <w:rPr>
          <w:spacing w:val="-13"/>
        </w:rPr>
        <w:t xml:space="preserve"> </w:t>
      </w:r>
      <w:r>
        <w:t>only</w:t>
      </w:r>
      <w:r>
        <w:rPr>
          <w:spacing w:val="-13"/>
        </w:rPr>
        <w:t xml:space="preserve"> </w:t>
      </w:r>
      <w:r>
        <w:t>applied</w:t>
      </w:r>
      <w:r>
        <w:rPr>
          <w:spacing w:val="-14"/>
        </w:rPr>
        <w:t xml:space="preserve"> </w:t>
      </w:r>
      <w:r>
        <w:t>the</w:t>
      </w:r>
      <w:r>
        <w:rPr>
          <w:spacing w:val="-13"/>
        </w:rPr>
        <w:t xml:space="preserve"> </w:t>
      </w:r>
      <w:r>
        <w:t>Article</w:t>
      </w:r>
      <w:r>
        <w:rPr>
          <w:spacing w:val="-13"/>
        </w:rPr>
        <w:t xml:space="preserve"> </w:t>
      </w:r>
      <w:r>
        <w:t>2.2.1</w:t>
      </w:r>
      <w:r>
        <w:rPr>
          <w:spacing w:val="-14"/>
        </w:rPr>
        <w:t xml:space="preserve"> </w:t>
      </w:r>
      <w:r>
        <w:t>ordinary</w:t>
      </w:r>
      <w:r>
        <w:rPr>
          <w:spacing w:val="-13"/>
        </w:rPr>
        <w:t xml:space="preserve"> </w:t>
      </w:r>
      <w:r>
        <w:t>course</w:t>
      </w:r>
      <w:r>
        <w:rPr>
          <w:spacing w:val="-12"/>
        </w:rPr>
        <w:t xml:space="preserve"> </w:t>
      </w:r>
      <w:r>
        <w:t>of</w:t>
      </w:r>
      <w:r>
        <w:rPr>
          <w:spacing w:val="-14"/>
        </w:rPr>
        <w:t xml:space="preserve"> </w:t>
      </w:r>
      <w:r>
        <w:t>trade</w:t>
      </w:r>
      <w:r>
        <w:rPr>
          <w:spacing w:val="-13"/>
        </w:rPr>
        <w:t xml:space="preserve"> </w:t>
      </w:r>
      <w:r>
        <w:t>test</w:t>
      </w:r>
      <w:r>
        <w:rPr>
          <w:spacing w:val="-13"/>
        </w:rPr>
        <w:t xml:space="preserve"> </w:t>
      </w:r>
      <w:r>
        <w:t>to</w:t>
      </w:r>
      <w:r>
        <w:rPr>
          <w:spacing w:val="-13"/>
        </w:rPr>
        <w:t xml:space="preserve"> </w:t>
      </w:r>
      <w:r>
        <w:t>non‐ related sales.</w:t>
      </w:r>
    </w:p>
    <w:p w14:paraId="51DE83DC" w14:textId="77777777" w:rsidR="0010369C" w:rsidRDefault="0010369C">
      <w:pPr>
        <w:pStyle w:val="BodyText"/>
        <w:spacing w:before="11"/>
        <w:rPr>
          <w:sz w:val="8"/>
        </w:rPr>
      </w:pPr>
    </w:p>
    <w:p w14:paraId="51DE83DD" w14:textId="77777777" w:rsidR="0010369C" w:rsidRDefault="008E43AE">
      <w:pPr>
        <w:pStyle w:val="BodyText"/>
        <w:spacing w:before="51" w:line="360" w:lineRule="auto"/>
        <w:ind w:left="237" w:right="616" w:firstLine="851"/>
        <w:jc w:val="both"/>
      </w:pPr>
      <w:r>
        <w:rPr>
          <w:noProof/>
        </w:rPr>
        <w:drawing>
          <wp:anchor distT="0" distB="0" distL="0" distR="0" simplePos="0" relativeHeight="250910208" behindDoc="1" locked="0" layoutInCell="1" allowOverlap="1" wp14:anchorId="51DEA072" wp14:editId="51DEA073">
            <wp:simplePos x="0" y="0"/>
            <wp:positionH relativeFrom="page">
              <wp:posOffset>905255</wp:posOffset>
            </wp:positionH>
            <wp:positionV relativeFrom="paragraph">
              <wp:posOffset>81314</wp:posOffset>
            </wp:positionV>
            <wp:extent cx="259079" cy="100753"/>
            <wp:effectExtent l="0" t="0" r="0" b="0"/>
            <wp:wrapNone/>
            <wp:docPr id="487" name="image2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 name="image252.png"/>
                    <pic:cNvPicPr/>
                  </pic:nvPicPr>
                  <pic:blipFill>
                    <a:blip r:embed="rId354" cstate="print"/>
                    <a:stretch>
                      <a:fillRect/>
                    </a:stretch>
                  </pic:blipFill>
                  <pic:spPr>
                    <a:xfrm>
                      <a:off x="0" y="0"/>
                      <a:ext cx="259079" cy="100753"/>
                    </a:xfrm>
                    <a:prstGeom prst="rect">
                      <a:avLst/>
                    </a:prstGeom>
                  </pic:spPr>
                </pic:pic>
              </a:graphicData>
            </a:graphic>
          </wp:anchor>
        </w:drawing>
      </w:r>
      <w:r>
        <w:t>MOFCOM stated in the Final Determination that some of Treasury</w:t>
      </w:r>
      <w:r>
        <w:rPr>
          <w:spacing w:val="-3"/>
        </w:rPr>
        <w:t xml:space="preserve"> </w:t>
      </w:r>
      <w:r>
        <w:t>Wines'</w:t>
      </w:r>
      <w:r>
        <w:rPr>
          <w:spacing w:val="-2"/>
        </w:rPr>
        <w:t xml:space="preserve"> </w:t>
      </w:r>
      <w:r>
        <w:t>like products</w:t>
      </w:r>
      <w:r>
        <w:rPr>
          <w:spacing w:val="-14"/>
        </w:rPr>
        <w:t xml:space="preserve"> </w:t>
      </w:r>
      <w:r>
        <w:t>were</w:t>
      </w:r>
      <w:r>
        <w:rPr>
          <w:spacing w:val="-14"/>
        </w:rPr>
        <w:t xml:space="preserve"> </w:t>
      </w:r>
      <w:r>
        <w:t>sold</w:t>
      </w:r>
      <w:r>
        <w:rPr>
          <w:spacing w:val="-13"/>
        </w:rPr>
        <w:t xml:space="preserve"> </w:t>
      </w:r>
      <w:r>
        <w:t>to</w:t>
      </w:r>
      <w:r>
        <w:rPr>
          <w:spacing w:val="-14"/>
        </w:rPr>
        <w:t xml:space="preserve"> </w:t>
      </w:r>
      <w:r>
        <w:t>non‐related</w:t>
      </w:r>
      <w:r>
        <w:rPr>
          <w:spacing w:val="-13"/>
        </w:rPr>
        <w:t xml:space="preserve"> </w:t>
      </w:r>
      <w:r>
        <w:t>clients</w:t>
      </w:r>
      <w:r>
        <w:rPr>
          <w:spacing w:val="-14"/>
        </w:rPr>
        <w:t xml:space="preserve"> </w:t>
      </w:r>
      <w:r>
        <w:t>through</w:t>
      </w:r>
      <w:r>
        <w:rPr>
          <w:spacing w:val="-13"/>
        </w:rPr>
        <w:t xml:space="preserve"> </w:t>
      </w:r>
      <w:r>
        <w:t>related</w:t>
      </w:r>
      <w:r>
        <w:rPr>
          <w:spacing w:val="-14"/>
        </w:rPr>
        <w:t xml:space="preserve"> </w:t>
      </w:r>
      <w:r>
        <w:t>traders,</w:t>
      </w:r>
      <w:r>
        <w:rPr>
          <w:spacing w:val="-14"/>
        </w:rPr>
        <w:t xml:space="preserve"> </w:t>
      </w:r>
      <w:r>
        <w:t>and</w:t>
      </w:r>
      <w:r>
        <w:rPr>
          <w:spacing w:val="-13"/>
        </w:rPr>
        <w:t xml:space="preserve"> </w:t>
      </w:r>
      <w:r>
        <w:t>some</w:t>
      </w:r>
      <w:r>
        <w:rPr>
          <w:spacing w:val="-14"/>
        </w:rPr>
        <w:t xml:space="preserve"> </w:t>
      </w:r>
      <w:r>
        <w:t>were</w:t>
      </w:r>
      <w:r>
        <w:rPr>
          <w:spacing w:val="-13"/>
        </w:rPr>
        <w:t xml:space="preserve"> </w:t>
      </w:r>
      <w:r>
        <w:t>sold</w:t>
      </w:r>
      <w:r>
        <w:rPr>
          <w:spacing w:val="-14"/>
        </w:rPr>
        <w:t xml:space="preserve"> </w:t>
      </w:r>
      <w:r>
        <w:t>directly to non‐related clients:</w:t>
      </w:r>
    </w:p>
    <w:p w14:paraId="51DE83DE" w14:textId="77777777" w:rsidR="0010369C" w:rsidRDefault="008E43AE">
      <w:pPr>
        <w:spacing w:before="161"/>
        <w:ind w:left="1088" w:right="614" w:firstLine="1"/>
        <w:jc w:val="both"/>
      </w:pPr>
      <w:r>
        <w:t>[D]uring the anti‐dumping investigation period, some of the Company's like products were sold to non‐related clients through related traders, and some were sold directly to non‐ related</w:t>
      </w:r>
      <w:r>
        <w:rPr>
          <w:spacing w:val="17"/>
        </w:rPr>
        <w:t xml:space="preserve"> </w:t>
      </w:r>
      <w:r>
        <w:t>clients.</w:t>
      </w:r>
      <w:r>
        <w:rPr>
          <w:spacing w:val="16"/>
        </w:rPr>
        <w:t xml:space="preserve"> </w:t>
      </w:r>
      <w:r>
        <w:t>The</w:t>
      </w:r>
      <w:r>
        <w:rPr>
          <w:spacing w:val="18"/>
        </w:rPr>
        <w:t xml:space="preserve"> </w:t>
      </w:r>
      <w:r>
        <w:t>Investigating</w:t>
      </w:r>
      <w:r>
        <w:rPr>
          <w:spacing w:val="17"/>
        </w:rPr>
        <w:t xml:space="preserve"> </w:t>
      </w:r>
      <w:r>
        <w:t>Authority</w:t>
      </w:r>
      <w:r>
        <w:rPr>
          <w:spacing w:val="16"/>
        </w:rPr>
        <w:t xml:space="preserve"> </w:t>
      </w:r>
      <w:r>
        <w:t>decided</w:t>
      </w:r>
      <w:r>
        <w:rPr>
          <w:spacing w:val="16"/>
        </w:rPr>
        <w:t xml:space="preserve"> </w:t>
      </w:r>
      <w:r>
        <w:t>to</w:t>
      </w:r>
      <w:r>
        <w:rPr>
          <w:spacing w:val="17"/>
        </w:rPr>
        <w:t xml:space="preserve"> </w:t>
      </w:r>
      <w:r>
        <w:t>use</w:t>
      </w:r>
      <w:r>
        <w:rPr>
          <w:spacing w:val="16"/>
        </w:rPr>
        <w:t xml:space="preserve"> </w:t>
      </w:r>
      <w:r>
        <w:t>the</w:t>
      </w:r>
      <w:r>
        <w:rPr>
          <w:spacing w:val="16"/>
        </w:rPr>
        <w:t xml:space="preserve"> </w:t>
      </w:r>
      <w:r>
        <w:t>price</w:t>
      </w:r>
      <w:r>
        <w:rPr>
          <w:spacing w:val="16"/>
        </w:rPr>
        <w:t xml:space="preserve"> </w:t>
      </w:r>
      <w:r>
        <w:t>of</w:t>
      </w:r>
      <w:r>
        <w:rPr>
          <w:spacing w:val="16"/>
        </w:rPr>
        <w:t xml:space="preserve"> </w:t>
      </w:r>
      <w:r>
        <w:t>the</w:t>
      </w:r>
      <w:r>
        <w:rPr>
          <w:spacing w:val="16"/>
        </w:rPr>
        <w:t xml:space="preserve"> </w:t>
      </w:r>
      <w:r>
        <w:t>C</w:t>
      </w:r>
      <w:r>
        <w:t>ompany's</w:t>
      </w:r>
      <w:r>
        <w:rPr>
          <w:spacing w:val="16"/>
        </w:rPr>
        <w:t xml:space="preserve"> </w:t>
      </w:r>
      <w:r>
        <w:t>like</w:t>
      </w:r>
    </w:p>
    <w:p w14:paraId="51DE83DF" w14:textId="77777777" w:rsidR="0010369C" w:rsidRDefault="0010369C">
      <w:pPr>
        <w:jc w:val="both"/>
        <w:sectPr w:rsidR="0010369C">
          <w:pgSz w:w="11910" w:h="16840"/>
          <w:pgMar w:top="880" w:right="800" w:bottom="980" w:left="1180" w:header="569" w:footer="788" w:gutter="0"/>
          <w:cols w:space="720"/>
        </w:sectPr>
      </w:pPr>
    </w:p>
    <w:p w14:paraId="51DE83E0" w14:textId="77777777" w:rsidR="0010369C" w:rsidRDefault="008E43AE">
      <w:pPr>
        <w:tabs>
          <w:tab w:val="left" w:pos="6426"/>
        </w:tabs>
        <w:ind w:left="238"/>
        <w:rPr>
          <w:sz w:val="20"/>
        </w:rPr>
      </w:pPr>
      <w:r>
        <w:rPr>
          <w:i/>
          <w:sz w:val="20"/>
        </w:rPr>
        <w:lastRenderedPageBreak/>
        <w:t>China</w:t>
      </w:r>
      <w:r>
        <w:rPr>
          <w:i/>
          <w:spacing w:val="-5"/>
          <w:sz w:val="20"/>
        </w:rPr>
        <w:t xml:space="preserve"> </w:t>
      </w:r>
      <w:r>
        <w:rPr>
          <w:i/>
          <w:sz w:val="20"/>
        </w:rPr>
        <w:t>–</w:t>
      </w:r>
      <w:r>
        <w:rPr>
          <w:i/>
          <w:spacing w:val="-5"/>
          <w:sz w:val="20"/>
        </w:rPr>
        <w:t xml:space="preserve"> </w:t>
      </w:r>
      <w:r>
        <w:rPr>
          <w:i/>
          <w:sz w:val="20"/>
        </w:rPr>
        <w:t>Anti‐Dumping</w:t>
      </w:r>
      <w:r>
        <w:rPr>
          <w:i/>
          <w:spacing w:val="-4"/>
          <w:sz w:val="20"/>
        </w:rPr>
        <w:t xml:space="preserve"> </w:t>
      </w:r>
      <w:r>
        <w:rPr>
          <w:i/>
          <w:sz w:val="20"/>
        </w:rPr>
        <w:t>and</w:t>
      </w:r>
      <w:r>
        <w:rPr>
          <w:i/>
          <w:spacing w:val="-5"/>
          <w:sz w:val="20"/>
        </w:rPr>
        <w:t xml:space="preserve"> </w:t>
      </w:r>
      <w:r>
        <w:rPr>
          <w:i/>
          <w:sz w:val="20"/>
        </w:rPr>
        <w:t>Countervailing</w:t>
      </w:r>
      <w:r>
        <w:rPr>
          <w:i/>
          <w:spacing w:val="-5"/>
          <w:sz w:val="20"/>
        </w:rPr>
        <w:t xml:space="preserve"> </w:t>
      </w:r>
      <w:r>
        <w:rPr>
          <w:i/>
          <w:sz w:val="20"/>
        </w:rPr>
        <w:t>Duty</w:t>
      </w:r>
      <w:r>
        <w:rPr>
          <w:i/>
          <w:spacing w:val="-4"/>
          <w:sz w:val="20"/>
        </w:rPr>
        <w:t xml:space="preserve"> </w:t>
      </w:r>
      <w:r>
        <w:rPr>
          <w:i/>
          <w:spacing w:val="-2"/>
          <w:sz w:val="20"/>
        </w:rPr>
        <w:t>Measures</w:t>
      </w:r>
      <w:r>
        <w:rPr>
          <w:i/>
          <w:sz w:val="20"/>
        </w:rPr>
        <w:tab/>
      </w:r>
      <w:r>
        <w:rPr>
          <w:sz w:val="20"/>
        </w:rPr>
        <w:t>Australia's</w:t>
      </w:r>
      <w:r>
        <w:rPr>
          <w:spacing w:val="-7"/>
          <w:sz w:val="20"/>
        </w:rPr>
        <w:t xml:space="preserve"> </w:t>
      </w:r>
      <w:r>
        <w:rPr>
          <w:sz w:val="20"/>
        </w:rPr>
        <w:t>First</w:t>
      </w:r>
      <w:r>
        <w:rPr>
          <w:spacing w:val="-2"/>
          <w:sz w:val="20"/>
        </w:rPr>
        <w:t xml:space="preserve"> </w:t>
      </w:r>
      <w:r>
        <w:rPr>
          <w:sz w:val="20"/>
        </w:rPr>
        <w:t>Written</w:t>
      </w:r>
      <w:r>
        <w:rPr>
          <w:spacing w:val="-2"/>
          <w:sz w:val="20"/>
        </w:rPr>
        <w:t xml:space="preserve"> Submission</w:t>
      </w:r>
    </w:p>
    <w:p w14:paraId="51DE83E1" w14:textId="77777777" w:rsidR="0010369C" w:rsidRDefault="008E43AE">
      <w:pPr>
        <w:tabs>
          <w:tab w:val="left" w:pos="8228"/>
        </w:tabs>
        <w:spacing w:before="1"/>
        <w:ind w:left="239"/>
        <w:rPr>
          <w:sz w:val="20"/>
        </w:rPr>
      </w:pPr>
      <w:r>
        <w:rPr>
          <w:i/>
          <w:sz w:val="20"/>
        </w:rPr>
        <w:t>on</w:t>
      </w:r>
      <w:r>
        <w:rPr>
          <w:i/>
          <w:spacing w:val="-1"/>
          <w:sz w:val="20"/>
        </w:rPr>
        <w:t xml:space="preserve"> </w:t>
      </w:r>
      <w:r>
        <w:rPr>
          <w:i/>
          <w:sz w:val="20"/>
        </w:rPr>
        <w:t>Wine</w:t>
      </w:r>
      <w:r>
        <w:rPr>
          <w:i/>
          <w:spacing w:val="-1"/>
          <w:sz w:val="20"/>
        </w:rPr>
        <w:t xml:space="preserve"> </w:t>
      </w:r>
      <w:r>
        <w:rPr>
          <w:i/>
          <w:sz w:val="20"/>
        </w:rPr>
        <w:t>from</w:t>
      </w:r>
      <w:r>
        <w:rPr>
          <w:i/>
          <w:spacing w:val="-3"/>
          <w:sz w:val="20"/>
        </w:rPr>
        <w:t xml:space="preserve"> </w:t>
      </w:r>
      <w:r>
        <w:rPr>
          <w:i/>
          <w:sz w:val="20"/>
        </w:rPr>
        <w:t>Australia</w:t>
      </w:r>
      <w:r>
        <w:rPr>
          <w:i/>
          <w:spacing w:val="-1"/>
          <w:sz w:val="20"/>
        </w:rPr>
        <w:t xml:space="preserve"> </w:t>
      </w:r>
      <w:r>
        <w:rPr>
          <w:spacing w:val="-2"/>
          <w:sz w:val="20"/>
        </w:rPr>
        <w:t>(DS602)</w:t>
      </w:r>
      <w:r>
        <w:rPr>
          <w:sz w:val="20"/>
        </w:rPr>
        <w:tab/>
        <w:t>29</w:t>
      </w:r>
      <w:r>
        <w:rPr>
          <w:spacing w:val="-1"/>
          <w:sz w:val="20"/>
        </w:rPr>
        <w:t xml:space="preserve"> </w:t>
      </w:r>
      <w:r>
        <w:rPr>
          <w:sz w:val="20"/>
        </w:rPr>
        <w:t>April</w:t>
      </w:r>
      <w:r>
        <w:rPr>
          <w:spacing w:val="-2"/>
          <w:sz w:val="20"/>
        </w:rPr>
        <w:t xml:space="preserve"> </w:t>
      </w:r>
      <w:r>
        <w:rPr>
          <w:spacing w:val="-4"/>
          <w:sz w:val="20"/>
        </w:rPr>
        <w:t>2022</w:t>
      </w:r>
    </w:p>
    <w:p w14:paraId="51DE83E2" w14:textId="77777777" w:rsidR="0010369C" w:rsidRDefault="008E43AE">
      <w:pPr>
        <w:spacing w:before="34"/>
        <w:ind w:left="1088"/>
      </w:pPr>
      <w:r>
        <w:t>products</w:t>
      </w:r>
      <w:r>
        <w:rPr>
          <w:spacing w:val="40"/>
        </w:rPr>
        <w:t xml:space="preserve"> </w:t>
      </w:r>
      <w:r>
        <w:t>of</w:t>
      </w:r>
      <w:r>
        <w:rPr>
          <w:spacing w:val="40"/>
        </w:rPr>
        <w:t xml:space="preserve"> </w:t>
      </w:r>
      <w:r>
        <w:t>relevant</w:t>
      </w:r>
      <w:r>
        <w:rPr>
          <w:spacing w:val="40"/>
        </w:rPr>
        <w:t xml:space="preserve"> </w:t>
      </w:r>
      <w:r>
        <w:t>types</w:t>
      </w:r>
      <w:r>
        <w:rPr>
          <w:spacing w:val="40"/>
        </w:rPr>
        <w:t xml:space="preserve"> </w:t>
      </w:r>
      <w:r>
        <w:rPr>
          <w:i/>
        </w:rPr>
        <w:t>sold</w:t>
      </w:r>
      <w:r>
        <w:rPr>
          <w:i/>
          <w:spacing w:val="40"/>
        </w:rPr>
        <w:t xml:space="preserve"> </w:t>
      </w:r>
      <w:r>
        <w:rPr>
          <w:i/>
        </w:rPr>
        <w:t>to</w:t>
      </w:r>
      <w:r>
        <w:rPr>
          <w:i/>
          <w:spacing w:val="40"/>
        </w:rPr>
        <w:t xml:space="preserve"> </w:t>
      </w:r>
      <w:r>
        <w:rPr>
          <w:i/>
        </w:rPr>
        <w:t>domestic</w:t>
      </w:r>
      <w:r>
        <w:rPr>
          <w:i/>
          <w:spacing w:val="40"/>
        </w:rPr>
        <w:t xml:space="preserve"> </w:t>
      </w:r>
      <w:r>
        <w:rPr>
          <w:i/>
        </w:rPr>
        <w:t>non‐related</w:t>
      </w:r>
      <w:r>
        <w:rPr>
          <w:i/>
          <w:spacing w:val="40"/>
        </w:rPr>
        <w:t xml:space="preserve"> </w:t>
      </w:r>
      <w:r>
        <w:rPr>
          <w:i/>
        </w:rPr>
        <w:t>clients</w:t>
      </w:r>
      <w:r>
        <w:rPr>
          <w:i/>
          <w:spacing w:val="40"/>
        </w:rPr>
        <w:t xml:space="preserve"> </w:t>
      </w:r>
      <w:r>
        <w:t>as</w:t>
      </w:r>
      <w:r>
        <w:rPr>
          <w:spacing w:val="40"/>
        </w:rPr>
        <w:t xml:space="preserve"> </w:t>
      </w:r>
      <w:r>
        <w:t>the</w:t>
      </w:r>
      <w:r>
        <w:rPr>
          <w:spacing w:val="40"/>
        </w:rPr>
        <w:t xml:space="preserve"> </w:t>
      </w:r>
      <w:r>
        <w:t>basis</w:t>
      </w:r>
      <w:r>
        <w:rPr>
          <w:spacing w:val="40"/>
        </w:rPr>
        <w:t xml:space="preserve"> </w:t>
      </w:r>
      <w:r>
        <w:t>for</w:t>
      </w:r>
      <w:r>
        <w:rPr>
          <w:spacing w:val="40"/>
        </w:rPr>
        <w:t xml:space="preserve"> </w:t>
      </w:r>
      <w:r>
        <w:t>further determination of normal value.</w:t>
      </w:r>
      <w:r>
        <w:rPr>
          <w:vertAlign w:val="superscript"/>
        </w:rPr>
        <w:t>264</w:t>
      </w:r>
      <w:r>
        <w:t xml:space="preserve"> (emphasis original)</w:t>
      </w:r>
    </w:p>
    <w:p w14:paraId="51DE83E3" w14:textId="77777777" w:rsidR="0010369C" w:rsidRDefault="0010369C">
      <w:pPr>
        <w:pStyle w:val="BodyText"/>
        <w:spacing w:before="5"/>
        <w:rPr>
          <w:sz w:val="15"/>
        </w:rPr>
      </w:pPr>
    </w:p>
    <w:p w14:paraId="51DE83E4" w14:textId="77777777" w:rsidR="0010369C" w:rsidRDefault="008E43AE">
      <w:pPr>
        <w:pStyle w:val="BodyText"/>
        <w:spacing w:before="51" w:line="360" w:lineRule="auto"/>
        <w:ind w:left="236" w:right="612" w:firstLine="852"/>
        <w:jc w:val="both"/>
      </w:pPr>
      <w:r>
        <w:rPr>
          <w:noProof/>
        </w:rPr>
        <w:drawing>
          <wp:anchor distT="0" distB="0" distL="0" distR="0" simplePos="0" relativeHeight="250911232" behindDoc="1" locked="0" layoutInCell="1" allowOverlap="1" wp14:anchorId="51DEA074" wp14:editId="51DEA075">
            <wp:simplePos x="0" y="0"/>
            <wp:positionH relativeFrom="page">
              <wp:posOffset>905255</wp:posOffset>
            </wp:positionH>
            <wp:positionV relativeFrom="paragraph">
              <wp:posOffset>80722</wp:posOffset>
            </wp:positionV>
            <wp:extent cx="259079" cy="103631"/>
            <wp:effectExtent l="0" t="0" r="0" b="0"/>
            <wp:wrapNone/>
            <wp:docPr id="489" name="image2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 name="image253.png"/>
                    <pic:cNvPicPr/>
                  </pic:nvPicPr>
                  <pic:blipFill>
                    <a:blip r:embed="rId355" cstate="print"/>
                    <a:stretch>
                      <a:fillRect/>
                    </a:stretch>
                  </pic:blipFill>
                  <pic:spPr>
                    <a:xfrm>
                      <a:off x="0" y="0"/>
                      <a:ext cx="259079" cy="103631"/>
                    </a:xfrm>
                    <a:prstGeom prst="rect">
                      <a:avLst/>
                    </a:prstGeom>
                  </pic:spPr>
                </pic:pic>
              </a:graphicData>
            </a:graphic>
          </wp:anchor>
        </w:drawing>
      </w:r>
      <w:r>
        <w:t>Australia</w:t>
      </w:r>
      <w:r>
        <w:rPr>
          <w:spacing w:val="-7"/>
        </w:rPr>
        <w:t xml:space="preserve"> </w:t>
      </w:r>
      <w:r>
        <w:t>interprets</w:t>
      </w:r>
      <w:r>
        <w:rPr>
          <w:spacing w:val="-6"/>
        </w:rPr>
        <w:t xml:space="preserve"> </w:t>
      </w:r>
      <w:r>
        <w:t>MOFCOM's</w:t>
      </w:r>
      <w:r>
        <w:rPr>
          <w:spacing w:val="-6"/>
        </w:rPr>
        <w:t xml:space="preserve"> </w:t>
      </w:r>
      <w:r>
        <w:t>use</w:t>
      </w:r>
      <w:r>
        <w:rPr>
          <w:spacing w:val="-5"/>
        </w:rPr>
        <w:t xml:space="preserve"> </w:t>
      </w:r>
      <w:r>
        <w:t>of</w:t>
      </w:r>
      <w:r>
        <w:rPr>
          <w:spacing w:val="-6"/>
        </w:rPr>
        <w:t xml:space="preserve"> </w:t>
      </w:r>
      <w:r>
        <w:t>the</w:t>
      </w:r>
      <w:r>
        <w:rPr>
          <w:spacing w:val="-5"/>
        </w:rPr>
        <w:t xml:space="preserve"> </w:t>
      </w:r>
      <w:r>
        <w:t>phrases</w:t>
      </w:r>
      <w:r>
        <w:rPr>
          <w:spacing w:val="-6"/>
        </w:rPr>
        <w:t xml:space="preserve"> </w:t>
      </w:r>
      <w:r>
        <w:t>"related</w:t>
      </w:r>
      <w:r>
        <w:rPr>
          <w:spacing w:val="-7"/>
        </w:rPr>
        <w:t xml:space="preserve"> </w:t>
      </w:r>
      <w:r>
        <w:t>clients"</w:t>
      </w:r>
      <w:r>
        <w:rPr>
          <w:spacing w:val="-6"/>
        </w:rPr>
        <w:t xml:space="preserve"> </w:t>
      </w:r>
      <w:r>
        <w:t>and</w:t>
      </w:r>
      <w:r>
        <w:rPr>
          <w:spacing w:val="-6"/>
        </w:rPr>
        <w:t xml:space="preserve"> </w:t>
      </w:r>
      <w:r>
        <w:t>"non‐related clients" as</w:t>
      </w:r>
      <w:r>
        <w:rPr>
          <w:spacing w:val="-1"/>
        </w:rPr>
        <w:t xml:space="preserve"> </w:t>
      </w:r>
      <w:r>
        <w:t>meaning</w:t>
      </w:r>
      <w:r>
        <w:rPr>
          <w:spacing w:val="-1"/>
        </w:rPr>
        <w:t xml:space="preserve"> </w:t>
      </w:r>
      <w:r>
        <w:t>"related</w:t>
      </w:r>
      <w:r>
        <w:rPr>
          <w:spacing w:val="-1"/>
        </w:rPr>
        <w:t xml:space="preserve"> </w:t>
      </w:r>
      <w:r>
        <w:t>customers"</w:t>
      </w:r>
      <w:r>
        <w:rPr>
          <w:spacing w:val="-1"/>
        </w:rPr>
        <w:t xml:space="preserve"> </w:t>
      </w:r>
      <w:r>
        <w:t>and "non‐related</w:t>
      </w:r>
      <w:r>
        <w:rPr>
          <w:spacing w:val="-1"/>
        </w:rPr>
        <w:t xml:space="preserve"> </w:t>
      </w:r>
      <w:r>
        <w:t>customers".</w:t>
      </w:r>
      <w:r>
        <w:rPr>
          <w:spacing w:val="-1"/>
        </w:rPr>
        <w:t xml:space="preserve"> </w:t>
      </w:r>
      <w:r>
        <w:t>Australia</w:t>
      </w:r>
      <w:r>
        <w:rPr>
          <w:spacing w:val="-1"/>
        </w:rPr>
        <w:t xml:space="preserve"> </w:t>
      </w:r>
      <w:r>
        <w:t>understands that MOFCOM's use of "related clients/producers" is a reference to sales made between Treasury Wines and its affiliate Treasury Wines Australia (TWEA). Aside from the above, MOFCOM did not elaborate or provide any further explanation to interes</w:t>
      </w:r>
      <w:r>
        <w:t>ted parties of its decision to entirely reject related party sales and exclusively rely on non‐related sales.</w:t>
      </w:r>
    </w:p>
    <w:p w14:paraId="51DE83E5" w14:textId="77777777" w:rsidR="0010369C" w:rsidRDefault="0010369C">
      <w:pPr>
        <w:pStyle w:val="BodyText"/>
        <w:spacing w:before="12"/>
        <w:rPr>
          <w:sz w:val="8"/>
        </w:rPr>
      </w:pPr>
    </w:p>
    <w:p w14:paraId="51DE83E6" w14:textId="77777777" w:rsidR="0010369C" w:rsidRDefault="008E43AE">
      <w:pPr>
        <w:pStyle w:val="BodyText"/>
        <w:spacing w:before="51" w:line="360" w:lineRule="auto"/>
        <w:ind w:left="238" w:right="614" w:firstLine="850"/>
        <w:jc w:val="both"/>
      </w:pPr>
      <w:r>
        <w:rPr>
          <w:noProof/>
        </w:rPr>
        <w:drawing>
          <wp:anchor distT="0" distB="0" distL="0" distR="0" simplePos="0" relativeHeight="250912256" behindDoc="1" locked="0" layoutInCell="1" allowOverlap="1" wp14:anchorId="51DEA076" wp14:editId="51DEA077">
            <wp:simplePos x="0" y="0"/>
            <wp:positionH relativeFrom="page">
              <wp:posOffset>905255</wp:posOffset>
            </wp:positionH>
            <wp:positionV relativeFrom="paragraph">
              <wp:posOffset>81316</wp:posOffset>
            </wp:positionV>
            <wp:extent cx="259079" cy="100753"/>
            <wp:effectExtent l="0" t="0" r="0" b="0"/>
            <wp:wrapNone/>
            <wp:docPr id="491" name="image2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 name="image254.png"/>
                    <pic:cNvPicPr/>
                  </pic:nvPicPr>
                  <pic:blipFill>
                    <a:blip r:embed="rId356" cstate="print"/>
                    <a:stretch>
                      <a:fillRect/>
                    </a:stretch>
                  </pic:blipFill>
                  <pic:spPr>
                    <a:xfrm>
                      <a:off x="0" y="0"/>
                      <a:ext cx="259079" cy="100753"/>
                    </a:xfrm>
                    <a:prstGeom prst="rect">
                      <a:avLst/>
                    </a:prstGeom>
                  </pic:spPr>
                </pic:pic>
              </a:graphicData>
            </a:graphic>
          </wp:anchor>
        </w:drawing>
      </w:r>
      <w:r>
        <w:t>Australia</w:t>
      </w:r>
      <w:r>
        <w:rPr>
          <w:spacing w:val="-14"/>
        </w:rPr>
        <w:t xml:space="preserve"> </w:t>
      </w:r>
      <w:r>
        <w:t>recalls</w:t>
      </w:r>
      <w:r>
        <w:rPr>
          <w:spacing w:val="-14"/>
        </w:rPr>
        <w:t xml:space="preserve"> </w:t>
      </w:r>
      <w:r>
        <w:t>the</w:t>
      </w:r>
      <w:r>
        <w:rPr>
          <w:spacing w:val="-13"/>
        </w:rPr>
        <w:t xml:space="preserve"> </w:t>
      </w:r>
      <w:r>
        <w:t>findings</w:t>
      </w:r>
      <w:r>
        <w:rPr>
          <w:spacing w:val="-14"/>
        </w:rPr>
        <w:t xml:space="preserve"> </w:t>
      </w:r>
      <w:r>
        <w:t>of</w:t>
      </w:r>
      <w:r>
        <w:rPr>
          <w:spacing w:val="-13"/>
        </w:rPr>
        <w:t xml:space="preserve"> </w:t>
      </w:r>
      <w:r>
        <w:t>the</w:t>
      </w:r>
      <w:r>
        <w:rPr>
          <w:spacing w:val="-14"/>
        </w:rPr>
        <w:t xml:space="preserve"> </w:t>
      </w:r>
      <w:r>
        <w:t>Appellate</w:t>
      </w:r>
      <w:r>
        <w:rPr>
          <w:spacing w:val="-13"/>
        </w:rPr>
        <w:t xml:space="preserve"> </w:t>
      </w:r>
      <w:r>
        <w:t>Body</w:t>
      </w:r>
      <w:r>
        <w:rPr>
          <w:spacing w:val="-14"/>
        </w:rPr>
        <w:t xml:space="preserve"> </w:t>
      </w:r>
      <w:r>
        <w:t>in</w:t>
      </w:r>
      <w:r>
        <w:rPr>
          <w:spacing w:val="-14"/>
        </w:rPr>
        <w:t xml:space="preserve"> </w:t>
      </w:r>
      <w:r>
        <w:rPr>
          <w:i/>
        </w:rPr>
        <w:t>US</w:t>
      </w:r>
      <w:r>
        <w:rPr>
          <w:i/>
          <w:spacing w:val="-13"/>
        </w:rPr>
        <w:t xml:space="preserve"> </w:t>
      </w:r>
      <w:r>
        <w:rPr>
          <w:i/>
        </w:rPr>
        <w:t>–</w:t>
      </w:r>
      <w:r>
        <w:rPr>
          <w:i/>
          <w:spacing w:val="-14"/>
        </w:rPr>
        <w:t xml:space="preserve"> </w:t>
      </w:r>
      <w:r>
        <w:rPr>
          <w:i/>
        </w:rPr>
        <w:t>Hot‐Rolled</w:t>
      </w:r>
      <w:r>
        <w:rPr>
          <w:i/>
          <w:spacing w:val="-13"/>
        </w:rPr>
        <w:t xml:space="preserve"> </w:t>
      </w:r>
      <w:r>
        <w:rPr>
          <w:i/>
        </w:rPr>
        <w:t>Steel</w:t>
      </w:r>
      <w:r>
        <w:rPr>
          <w:i/>
          <w:spacing w:val="-14"/>
        </w:rPr>
        <w:t xml:space="preserve"> </w:t>
      </w:r>
      <w:r>
        <w:t>concerning the application of the ordinary course of trade test in Article 2.2.1 to related‐party sales:</w:t>
      </w:r>
      <w:r>
        <w:rPr>
          <w:vertAlign w:val="superscript"/>
        </w:rPr>
        <w:t>265</w:t>
      </w:r>
    </w:p>
    <w:p w14:paraId="51DE83E7" w14:textId="77777777" w:rsidR="0010369C" w:rsidRDefault="008E43AE">
      <w:pPr>
        <w:spacing w:before="160"/>
        <w:ind w:left="1088" w:right="614"/>
        <w:jc w:val="both"/>
      </w:pPr>
      <w:r>
        <w:t>Article</w:t>
      </w:r>
      <w:r>
        <w:rPr>
          <w:spacing w:val="-6"/>
        </w:rPr>
        <w:t xml:space="preserve"> </w:t>
      </w:r>
      <w:r>
        <w:t>2.2.1</w:t>
      </w:r>
      <w:r>
        <w:rPr>
          <w:spacing w:val="-5"/>
        </w:rPr>
        <w:t xml:space="preserve"> </w:t>
      </w:r>
      <w:r>
        <w:t>sets</w:t>
      </w:r>
      <w:r>
        <w:rPr>
          <w:spacing w:val="-5"/>
        </w:rPr>
        <w:t xml:space="preserve"> </w:t>
      </w:r>
      <w:r>
        <w:t>forth</w:t>
      </w:r>
      <w:r>
        <w:rPr>
          <w:spacing w:val="-5"/>
        </w:rPr>
        <w:t xml:space="preserve"> </w:t>
      </w:r>
      <w:r>
        <w:t>a</w:t>
      </w:r>
      <w:r>
        <w:rPr>
          <w:spacing w:val="-5"/>
        </w:rPr>
        <w:t xml:space="preserve"> </w:t>
      </w:r>
      <w:r>
        <w:t>method</w:t>
      </w:r>
      <w:r>
        <w:rPr>
          <w:spacing w:val="-6"/>
        </w:rPr>
        <w:t xml:space="preserve"> </w:t>
      </w:r>
      <w:r>
        <w:t>for</w:t>
      </w:r>
      <w:r>
        <w:rPr>
          <w:spacing w:val="-5"/>
        </w:rPr>
        <w:t xml:space="preserve"> </w:t>
      </w:r>
      <w:r>
        <w:t>determining</w:t>
      </w:r>
      <w:r>
        <w:rPr>
          <w:spacing w:val="-5"/>
        </w:rPr>
        <w:t xml:space="preserve"> </w:t>
      </w:r>
      <w:r>
        <w:t>whether</w:t>
      </w:r>
      <w:r>
        <w:rPr>
          <w:spacing w:val="-5"/>
        </w:rPr>
        <w:t xml:space="preserve"> </w:t>
      </w:r>
      <w:r>
        <w:t>sales</w:t>
      </w:r>
      <w:r>
        <w:rPr>
          <w:spacing w:val="-5"/>
        </w:rPr>
        <w:t xml:space="preserve"> </w:t>
      </w:r>
      <w:r>
        <w:t>between</w:t>
      </w:r>
      <w:r>
        <w:rPr>
          <w:spacing w:val="-5"/>
        </w:rPr>
        <w:t xml:space="preserve"> </w:t>
      </w:r>
      <w:r>
        <w:t>any</w:t>
      </w:r>
      <w:r>
        <w:rPr>
          <w:spacing w:val="-4"/>
        </w:rPr>
        <w:t xml:space="preserve"> </w:t>
      </w:r>
      <w:r>
        <w:t>two</w:t>
      </w:r>
      <w:r>
        <w:rPr>
          <w:spacing w:val="-5"/>
        </w:rPr>
        <w:t xml:space="preserve"> </w:t>
      </w:r>
      <w:r>
        <w:t>parties</w:t>
      </w:r>
      <w:r>
        <w:rPr>
          <w:spacing w:val="-4"/>
        </w:rPr>
        <w:t xml:space="preserve"> </w:t>
      </w:r>
      <w:r>
        <w:t>are "in</w:t>
      </w:r>
      <w:r>
        <w:rPr>
          <w:spacing w:val="-1"/>
        </w:rPr>
        <w:t xml:space="preserve"> </w:t>
      </w:r>
      <w:r>
        <w:t>the ordinary</w:t>
      </w:r>
      <w:r>
        <w:rPr>
          <w:spacing w:val="-1"/>
        </w:rPr>
        <w:t xml:space="preserve"> </w:t>
      </w:r>
      <w:r>
        <w:t>course</w:t>
      </w:r>
      <w:r>
        <w:rPr>
          <w:spacing w:val="-1"/>
        </w:rPr>
        <w:t xml:space="preserve"> </w:t>
      </w:r>
      <w:r>
        <w:t>of trade"; it</w:t>
      </w:r>
      <w:r>
        <w:rPr>
          <w:spacing w:val="-1"/>
        </w:rPr>
        <w:t xml:space="preserve"> </w:t>
      </w:r>
      <w:r>
        <w:t>does</w:t>
      </w:r>
      <w:r>
        <w:rPr>
          <w:spacing w:val="-1"/>
        </w:rPr>
        <w:t xml:space="preserve"> </w:t>
      </w:r>
      <w:r>
        <w:t>not</w:t>
      </w:r>
      <w:r>
        <w:rPr>
          <w:spacing w:val="-1"/>
        </w:rPr>
        <w:t xml:space="preserve"> </w:t>
      </w:r>
      <w:r>
        <w:t>address the more</w:t>
      </w:r>
      <w:r>
        <w:rPr>
          <w:spacing w:val="-1"/>
        </w:rPr>
        <w:t xml:space="preserve"> </w:t>
      </w:r>
      <w:r>
        <w:t>specific issue</w:t>
      </w:r>
      <w:r>
        <w:rPr>
          <w:spacing w:val="-1"/>
        </w:rPr>
        <w:t xml:space="preserve"> </w:t>
      </w:r>
      <w:r>
        <w:t xml:space="preserve">of transactions between affiliated parties. In transactions between such parties, the affiliation itself may signal that sales above cost, but below the usual market price, might not be in the ordinary course of trade. Such </w:t>
      </w:r>
      <w:r>
        <w:t>transactions may, therefore, be the subject of special scrutiny by the investigating authorities.</w:t>
      </w:r>
    </w:p>
    <w:p w14:paraId="51DE83E8" w14:textId="77777777" w:rsidR="0010369C" w:rsidRDefault="0010369C">
      <w:pPr>
        <w:pStyle w:val="BodyText"/>
        <w:spacing w:before="5"/>
        <w:rPr>
          <w:sz w:val="15"/>
        </w:rPr>
      </w:pPr>
    </w:p>
    <w:p w14:paraId="51DE83E9" w14:textId="77777777" w:rsidR="0010369C" w:rsidRDefault="008E43AE">
      <w:pPr>
        <w:pStyle w:val="BodyText"/>
        <w:spacing w:before="52" w:line="360" w:lineRule="auto"/>
        <w:ind w:left="236" w:right="614" w:firstLine="852"/>
        <w:jc w:val="both"/>
      </w:pPr>
      <w:r>
        <w:rPr>
          <w:noProof/>
        </w:rPr>
        <w:drawing>
          <wp:anchor distT="0" distB="0" distL="0" distR="0" simplePos="0" relativeHeight="250913280" behindDoc="1" locked="0" layoutInCell="1" allowOverlap="1" wp14:anchorId="51DEA078" wp14:editId="51DEA079">
            <wp:simplePos x="0" y="0"/>
            <wp:positionH relativeFrom="page">
              <wp:posOffset>905255</wp:posOffset>
            </wp:positionH>
            <wp:positionV relativeFrom="paragraph">
              <wp:posOffset>81949</wp:posOffset>
            </wp:positionV>
            <wp:extent cx="259079" cy="100753"/>
            <wp:effectExtent l="0" t="0" r="0" b="0"/>
            <wp:wrapNone/>
            <wp:docPr id="493" name="image2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 name="image255.png"/>
                    <pic:cNvPicPr/>
                  </pic:nvPicPr>
                  <pic:blipFill>
                    <a:blip r:embed="rId357" cstate="print"/>
                    <a:stretch>
                      <a:fillRect/>
                    </a:stretch>
                  </pic:blipFill>
                  <pic:spPr>
                    <a:xfrm>
                      <a:off x="0" y="0"/>
                      <a:ext cx="259079" cy="100753"/>
                    </a:xfrm>
                    <a:prstGeom prst="rect">
                      <a:avLst/>
                    </a:prstGeom>
                  </pic:spPr>
                </pic:pic>
              </a:graphicData>
            </a:graphic>
          </wp:anchor>
        </w:drawing>
      </w:r>
      <w:r>
        <w:t>The Appellate Body identified a number of non‐exhaustive factors that may be relevant for authorities in determining whether the terms and conditions are in</w:t>
      </w:r>
      <w:r>
        <w:t>compatible with</w:t>
      </w:r>
      <w:r>
        <w:rPr>
          <w:spacing w:val="-11"/>
        </w:rPr>
        <w:t xml:space="preserve"> </w:t>
      </w:r>
      <w:r>
        <w:t>normal</w:t>
      </w:r>
      <w:r>
        <w:rPr>
          <w:spacing w:val="-11"/>
        </w:rPr>
        <w:t xml:space="preserve"> </w:t>
      </w:r>
      <w:r>
        <w:t>commercial</w:t>
      </w:r>
      <w:r>
        <w:rPr>
          <w:spacing w:val="-11"/>
        </w:rPr>
        <w:t xml:space="preserve"> </w:t>
      </w:r>
      <w:r>
        <w:t>practice.</w:t>
      </w:r>
      <w:r>
        <w:rPr>
          <w:vertAlign w:val="superscript"/>
        </w:rPr>
        <w:t>266</w:t>
      </w:r>
      <w:r>
        <w:rPr>
          <w:spacing w:val="-12"/>
        </w:rPr>
        <w:t xml:space="preserve"> </w:t>
      </w:r>
      <w:r>
        <w:t>While</w:t>
      </w:r>
      <w:r>
        <w:rPr>
          <w:spacing w:val="-11"/>
        </w:rPr>
        <w:t xml:space="preserve"> </w:t>
      </w:r>
      <w:r>
        <w:t>price</w:t>
      </w:r>
      <w:r>
        <w:rPr>
          <w:spacing w:val="-10"/>
        </w:rPr>
        <w:t xml:space="preserve"> </w:t>
      </w:r>
      <w:r>
        <w:t>is</w:t>
      </w:r>
      <w:r>
        <w:rPr>
          <w:spacing w:val="-11"/>
        </w:rPr>
        <w:t xml:space="preserve"> </w:t>
      </w:r>
      <w:r>
        <w:t>one</w:t>
      </w:r>
      <w:r>
        <w:rPr>
          <w:spacing w:val="-10"/>
        </w:rPr>
        <w:t xml:space="preserve"> </w:t>
      </w:r>
      <w:r>
        <w:t>factor,</w:t>
      </w:r>
      <w:r>
        <w:rPr>
          <w:spacing w:val="-11"/>
        </w:rPr>
        <w:t xml:space="preserve"> </w:t>
      </w:r>
      <w:r>
        <w:t>authorities</w:t>
      </w:r>
      <w:r>
        <w:rPr>
          <w:spacing w:val="-11"/>
        </w:rPr>
        <w:t xml:space="preserve"> </w:t>
      </w:r>
      <w:r>
        <w:t>should</w:t>
      </w:r>
      <w:r>
        <w:rPr>
          <w:spacing w:val="-11"/>
        </w:rPr>
        <w:t xml:space="preserve"> </w:t>
      </w:r>
      <w:r>
        <w:t>also</w:t>
      </w:r>
      <w:r>
        <w:rPr>
          <w:spacing w:val="-10"/>
        </w:rPr>
        <w:t xml:space="preserve"> </w:t>
      </w:r>
      <w:r>
        <w:t>consider the volume sold at that price and whether additional liabilities or responsibilities were undertaken in the transaction. Such factors should influenc</w:t>
      </w:r>
      <w:r>
        <w:t>e an authority's assessment of whether the price at which a sale was made to related parties is either higher or lower than normal commercial practice.</w:t>
      </w:r>
    </w:p>
    <w:p w14:paraId="51DE83EA" w14:textId="77777777" w:rsidR="0010369C" w:rsidRDefault="0010369C">
      <w:pPr>
        <w:pStyle w:val="BodyText"/>
        <w:spacing w:before="10"/>
        <w:rPr>
          <w:sz w:val="8"/>
        </w:rPr>
      </w:pPr>
    </w:p>
    <w:p w14:paraId="51DE83EB" w14:textId="77777777" w:rsidR="0010369C" w:rsidRDefault="008E43AE">
      <w:pPr>
        <w:pStyle w:val="BodyText"/>
        <w:spacing w:before="52" w:line="360" w:lineRule="auto"/>
        <w:ind w:left="237" w:right="613" w:firstLine="852"/>
        <w:jc w:val="both"/>
      </w:pPr>
      <w:r>
        <w:rPr>
          <w:noProof/>
        </w:rPr>
        <w:drawing>
          <wp:anchor distT="0" distB="0" distL="0" distR="0" simplePos="0" relativeHeight="250914304" behindDoc="1" locked="0" layoutInCell="1" allowOverlap="1" wp14:anchorId="51DEA07A" wp14:editId="51DEA07B">
            <wp:simplePos x="0" y="0"/>
            <wp:positionH relativeFrom="page">
              <wp:posOffset>905255</wp:posOffset>
            </wp:positionH>
            <wp:positionV relativeFrom="paragraph">
              <wp:posOffset>81357</wp:posOffset>
            </wp:positionV>
            <wp:extent cx="259079" cy="103631"/>
            <wp:effectExtent l="0" t="0" r="0" b="0"/>
            <wp:wrapNone/>
            <wp:docPr id="495" name="image2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 name="image256.png"/>
                    <pic:cNvPicPr/>
                  </pic:nvPicPr>
                  <pic:blipFill>
                    <a:blip r:embed="rId358" cstate="print"/>
                    <a:stretch>
                      <a:fillRect/>
                    </a:stretch>
                  </pic:blipFill>
                  <pic:spPr>
                    <a:xfrm>
                      <a:off x="0" y="0"/>
                      <a:ext cx="259079" cy="103631"/>
                    </a:xfrm>
                    <a:prstGeom prst="rect">
                      <a:avLst/>
                    </a:prstGeom>
                  </pic:spPr>
                </pic:pic>
              </a:graphicData>
            </a:graphic>
          </wp:anchor>
        </w:drawing>
      </w:r>
      <w:r>
        <w:t xml:space="preserve">Australia submits MOFCOM's decision to reject Treasury Wines' related‐party sales without engaging in </w:t>
      </w:r>
      <w:r>
        <w:t>any "special scrutiny" constituted a significant error in its normal value methodology. The mere fact that transactions are between related parties does not render them</w:t>
      </w:r>
      <w:r>
        <w:rPr>
          <w:spacing w:val="-3"/>
        </w:rPr>
        <w:t xml:space="preserve"> </w:t>
      </w:r>
      <w:r>
        <w:rPr>
          <w:i/>
        </w:rPr>
        <w:t>ipso facto</w:t>
      </w:r>
      <w:r>
        <w:rPr>
          <w:i/>
          <w:spacing w:val="-2"/>
        </w:rPr>
        <w:t xml:space="preserve"> </w:t>
      </w:r>
      <w:r>
        <w:t>not in the ordinary course of trade so long as these sales occurred at "arm'</w:t>
      </w:r>
      <w:r>
        <w:t>s length". MOFCOM was only entitled to reject sales in the limited circumstances provided for in Article 2.1.</w:t>
      </w:r>
      <w:r>
        <w:rPr>
          <w:vertAlign w:val="superscript"/>
        </w:rPr>
        <w:t>267</w:t>
      </w:r>
      <w:r>
        <w:t xml:space="preserve"> This includes, </w:t>
      </w:r>
      <w:r>
        <w:rPr>
          <w:i/>
        </w:rPr>
        <w:t>inter alia</w:t>
      </w:r>
      <w:r>
        <w:t>, where such sales are not in the ordinary course of trade</w:t>
      </w:r>
      <w:r>
        <w:rPr>
          <w:spacing w:val="42"/>
        </w:rPr>
        <w:t xml:space="preserve"> </w:t>
      </w:r>
      <w:r>
        <w:t>because</w:t>
      </w:r>
      <w:r>
        <w:rPr>
          <w:spacing w:val="42"/>
        </w:rPr>
        <w:t xml:space="preserve"> </w:t>
      </w:r>
      <w:r>
        <w:t>they</w:t>
      </w:r>
      <w:r>
        <w:rPr>
          <w:spacing w:val="41"/>
        </w:rPr>
        <w:t xml:space="preserve"> </w:t>
      </w:r>
      <w:r>
        <w:t>are</w:t>
      </w:r>
      <w:r>
        <w:rPr>
          <w:spacing w:val="41"/>
        </w:rPr>
        <w:t xml:space="preserve"> </w:t>
      </w:r>
      <w:r>
        <w:t>"concluded</w:t>
      </w:r>
      <w:r>
        <w:rPr>
          <w:spacing w:val="39"/>
        </w:rPr>
        <w:t xml:space="preserve"> </w:t>
      </w:r>
      <w:r>
        <w:t>on</w:t>
      </w:r>
      <w:r>
        <w:rPr>
          <w:spacing w:val="41"/>
        </w:rPr>
        <w:t xml:space="preserve"> </w:t>
      </w:r>
      <w:r>
        <w:t>terms</w:t>
      </w:r>
      <w:r>
        <w:rPr>
          <w:spacing w:val="40"/>
        </w:rPr>
        <w:t xml:space="preserve"> </w:t>
      </w:r>
      <w:r>
        <w:t>and</w:t>
      </w:r>
      <w:r>
        <w:rPr>
          <w:spacing w:val="41"/>
        </w:rPr>
        <w:t xml:space="preserve"> </w:t>
      </w:r>
      <w:r>
        <w:t>conditions</w:t>
      </w:r>
      <w:r>
        <w:rPr>
          <w:spacing w:val="42"/>
        </w:rPr>
        <w:t xml:space="preserve"> </w:t>
      </w:r>
      <w:r>
        <w:t>that</w:t>
      </w:r>
      <w:r>
        <w:rPr>
          <w:spacing w:val="41"/>
        </w:rPr>
        <w:t xml:space="preserve"> </w:t>
      </w:r>
      <w:r>
        <w:t>are</w:t>
      </w:r>
      <w:r>
        <w:rPr>
          <w:spacing w:val="42"/>
        </w:rPr>
        <w:t xml:space="preserve"> </w:t>
      </w:r>
      <w:r>
        <w:t>incompatible</w:t>
      </w:r>
      <w:r>
        <w:rPr>
          <w:spacing w:val="43"/>
        </w:rPr>
        <w:t xml:space="preserve"> </w:t>
      </w:r>
      <w:r>
        <w:rPr>
          <w:spacing w:val="-4"/>
        </w:rPr>
        <w:t>with</w:t>
      </w:r>
    </w:p>
    <w:p w14:paraId="51DE83EC" w14:textId="77777777" w:rsidR="0010369C" w:rsidRDefault="008E43AE">
      <w:pPr>
        <w:pStyle w:val="BodyText"/>
        <w:spacing w:before="3"/>
        <w:rPr>
          <w:sz w:val="16"/>
        </w:rPr>
      </w:pPr>
      <w:r>
        <w:pict w14:anchorId="51DEA07C">
          <v:rect id="docshape509" o:spid="_x0000_s1755" style="position:absolute;margin-left:70.9pt;margin-top:11.1pt;width:2in;height:.8pt;z-index:-251039232;mso-wrap-distance-left:0;mso-wrap-distance-right:0;mso-position-horizontal-relative:page" fillcolor="black" stroked="f">
            <w10:wrap type="topAndBottom" anchorx="page"/>
          </v:rect>
        </w:pict>
      </w:r>
    </w:p>
    <w:p w14:paraId="51DE83ED" w14:textId="77777777" w:rsidR="0010369C" w:rsidRDefault="008E43AE">
      <w:pPr>
        <w:spacing w:before="110"/>
        <w:ind w:left="238" w:right="5239"/>
        <w:rPr>
          <w:sz w:val="18"/>
        </w:rPr>
      </w:pPr>
      <w:r>
        <w:rPr>
          <w:sz w:val="18"/>
          <w:vertAlign w:val="superscript"/>
        </w:rPr>
        <w:t>264</w:t>
      </w:r>
      <w:r>
        <w:rPr>
          <w:spacing w:val="-5"/>
          <w:sz w:val="18"/>
        </w:rPr>
        <w:t xml:space="preserve"> </w:t>
      </w:r>
      <w:r>
        <w:rPr>
          <w:sz w:val="18"/>
        </w:rPr>
        <w:t>Anti‐Dumping</w:t>
      </w:r>
      <w:r>
        <w:rPr>
          <w:spacing w:val="-5"/>
          <w:sz w:val="18"/>
        </w:rPr>
        <w:t xml:space="preserve"> </w:t>
      </w:r>
      <w:r>
        <w:rPr>
          <w:sz w:val="18"/>
        </w:rPr>
        <w:t>Final</w:t>
      </w:r>
      <w:r>
        <w:rPr>
          <w:spacing w:val="-5"/>
          <w:sz w:val="18"/>
        </w:rPr>
        <w:t xml:space="preserve"> </w:t>
      </w:r>
      <w:r>
        <w:rPr>
          <w:sz w:val="18"/>
        </w:rPr>
        <w:t>Determination</w:t>
      </w:r>
      <w:r>
        <w:rPr>
          <w:spacing w:val="-4"/>
          <w:sz w:val="18"/>
        </w:rPr>
        <w:t xml:space="preserve"> </w:t>
      </w:r>
      <w:r>
        <w:rPr>
          <w:sz w:val="18"/>
        </w:rPr>
        <w:t>(Exhibit</w:t>
      </w:r>
      <w:r>
        <w:rPr>
          <w:spacing w:val="-5"/>
          <w:sz w:val="18"/>
        </w:rPr>
        <w:t xml:space="preserve"> </w:t>
      </w:r>
      <w:r>
        <w:rPr>
          <w:sz w:val="18"/>
        </w:rPr>
        <w:t>AUS‐2),</w:t>
      </w:r>
      <w:r>
        <w:rPr>
          <w:spacing w:val="-6"/>
          <w:sz w:val="18"/>
        </w:rPr>
        <w:t xml:space="preserve"> </w:t>
      </w:r>
      <w:r>
        <w:rPr>
          <w:sz w:val="18"/>
        </w:rPr>
        <w:t>p.</w:t>
      </w:r>
      <w:r>
        <w:rPr>
          <w:spacing w:val="-5"/>
          <w:sz w:val="18"/>
        </w:rPr>
        <w:t xml:space="preserve"> </w:t>
      </w:r>
      <w:r>
        <w:rPr>
          <w:sz w:val="18"/>
        </w:rPr>
        <w:t xml:space="preserve">58. </w:t>
      </w:r>
      <w:r>
        <w:rPr>
          <w:sz w:val="18"/>
          <w:vertAlign w:val="superscript"/>
        </w:rPr>
        <w:t>265</w:t>
      </w:r>
      <w:r>
        <w:rPr>
          <w:sz w:val="18"/>
        </w:rPr>
        <w:t xml:space="preserve"> Appellate Body Report, </w:t>
      </w:r>
      <w:r>
        <w:rPr>
          <w:i/>
          <w:sz w:val="18"/>
        </w:rPr>
        <w:t>US – Hot Rolled Steel</w:t>
      </w:r>
      <w:r>
        <w:rPr>
          <w:sz w:val="18"/>
        </w:rPr>
        <w:t xml:space="preserve">, para. 147. </w:t>
      </w:r>
      <w:r>
        <w:rPr>
          <w:sz w:val="18"/>
          <w:vertAlign w:val="superscript"/>
        </w:rPr>
        <w:t>266</w:t>
      </w:r>
      <w:r>
        <w:rPr>
          <w:sz w:val="18"/>
        </w:rPr>
        <w:t xml:space="preserve"> Appellate Body Report, </w:t>
      </w:r>
      <w:r>
        <w:rPr>
          <w:i/>
          <w:sz w:val="18"/>
        </w:rPr>
        <w:t>US – Hot Rolled Steel</w:t>
      </w:r>
      <w:r>
        <w:rPr>
          <w:sz w:val="18"/>
        </w:rPr>
        <w:t>, para. 142.</w:t>
      </w:r>
    </w:p>
    <w:p w14:paraId="51DE83EE" w14:textId="77777777" w:rsidR="0010369C" w:rsidRDefault="008E43AE">
      <w:pPr>
        <w:spacing w:line="219" w:lineRule="exact"/>
        <w:ind w:left="238"/>
        <w:rPr>
          <w:sz w:val="18"/>
        </w:rPr>
      </w:pPr>
      <w:r>
        <w:rPr>
          <w:sz w:val="18"/>
          <w:vertAlign w:val="superscript"/>
        </w:rPr>
        <w:t>267</w:t>
      </w:r>
      <w:r>
        <w:rPr>
          <w:spacing w:val="-5"/>
          <w:sz w:val="18"/>
        </w:rPr>
        <w:t xml:space="preserve"> </w:t>
      </w:r>
      <w:r>
        <w:rPr>
          <w:sz w:val="18"/>
        </w:rPr>
        <w:t>Appellate</w:t>
      </w:r>
      <w:r>
        <w:rPr>
          <w:spacing w:val="-5"/>
          <w:sz w:val="18"/>
        </w:rPr>
        <w:t xml:space="preserve"> </w:t>
      </w:r>
      <w:r>
        <w:rPr>
          <w:sz w:val="18"/>
        </w:rPr>
        <w:t>Body</w:t>
      </w:r>
      <w:r>
        <w:rPr>
          <w:spacing w:val="-7"/>
          <w:sz w:val="18"/>
        </w:rPr>
        <w:t xml:space="preserve"> </w:t>
      </w:r>
      <w:r>
        <w:rPr>
          <w:sz w:val="18"/>
        </w:rPr>
        <w:t>Report,</w:t>
      </w:r>
      <w:r>
        <w:rPr>
          <w:spacing w:val="-5"/>
          <w:sz w:val="18"/>
        </w:rPr>
        <w:t xml:space="preserve"> </w:t>
      </w:r>
      <w:r>
        <w:rPr>
          <w:i/>
          <w:sz w:val="18"/>
        </w:rPr>
        <w:t>US</w:t>
      </w:r>
      <w:r>
        <w:rPr>
          <w:i/>
          <w:spacing w:val="-5"/>
          <w:sz w:val="18"/>
        </w:rPr>
        <w:t xml:space="preserve"> </w:t>
      </w:r>
      <w:r>
        <w:rPr>
          <w:i/>
          <w:sz w:val="18"/>
        </w:rPr>
        <w:t>–</w:t>
      </w:r>
      <w:r>
        <w:rPr>
          <w:i/>
          <w:spacing w:val="-5"/>
          <w:sz w:val="18"/>
        </w:rPr>
        <w:t xml:space="preserve"> </w:t>
      </w:r>
      <w:r>
        <w:rPr>
          <w:i/>
          <w:sz w:val="18"/>
        </w:rPr>
        <w:t>Hot</w:t>
      </w:r>
      <w:r>
        <w:rPr>
          <w:i/>
          <w:spacing w:val="-4"/>
          <w:sz w:val="18"/>
        </w:rPr>
        <w:t xml:space="preserve"> </w:t>
      </w:r>
      <w:r>
        <w:rPr>
          <w:i/>
          <w:sz w:val="18"/>
        </w:rPr>
        <w:t>Rolled</w:t>
      </w:r>
      <w:r>
        <w:rPr>
          <w:i/>
          <w:spacing w:val="-5"/>
          <w:sz w:val="18"/>
        </w:rPr>
        <w:t xml:space="preserve"> </w:t>
      </w:r>
      <w:r>
        <w:rPr>
          <w:i/>
          <w:sz w:val="18"/>
        </w:rPr>
        <w:t>Steel</w:t>
      </w:r>
      <w:r>
        <w:rPr>
          <w:sz w:val="18"/>
        </w:rPr>
        <w:t>,</w:t>
      </w:r>
      <w:r>
        <w:rPr>
          <w:spacing w:val="-6"/>
          <w:sz w:val="18"/>
        </w:rPr>
        <w:t xml:space="preserve"> </w:t>
      </w:r>
      <w:r>
        <w:rPr>
          <w:sz w:val="18"/>
        </w:rPr>
        <w:t>paras.</w:t>
      </w:r>
      <w:r>
        <w:rPr>
          <w:spacing w:val="-5"/>
          <w:sz w:val="18"/>
        </w:rPr>
        <w:t xml:space="preserve"> </w:t>
      </w:r>
      <w:r>
        <w:rPr>
          <w:spacing w:val="-2"/>
          <w:sz w:val="18"/>
        </w:rPr>
        <w:t>140‐142.</w:t>
      </w:r>
    </w:p>
    <w:p w14:paraId="51DE83EF" w14:textId="77777777" w:rsidR="0010369C" w:rsidRDefault="0010369C">
      <w:pPr>
        <w:spacing w:line="219" w:lineRule="exact"/>
        <w:rPr>
          <w:sz w:val="18"/>
        </w:rPr>
        <w:sectPr w:rsidR="0010369C">
          <w:pgSz w:w="11910" w:h="16840"/>
          <w:pgMar w:top="880" w:right="800" w:bottom="980" w:left="1180" w:header="569" w:footer="788" w:gutter="0"/>
          <w:cols w:space="720"/>
        </w:sectPr>
      </w:pPr>
    </w:p>
    <w:p w14:paraId="51DE83F0" w14:textId="77777777" w:rsidR="0010369C" w:rsidRDefault="008E43AE">
      <w:pPr>
        <w:tabs>
          <w:tab w:val="left" w:pos="6426"/>
        </w:tabs>
        <w:ind w:left="238"/>
        <w:jc w:val="both"/>
        <w:rPr>
          <w:sz w:val="20"/>
        </w:rPr>
      </w:pPr>
      <w:r>
        <w:rPr>
          <w:i/>
          <w:sz w:val="20"/>
        </w:rPr>
        <w:lastRenderedPageBreak/>
        <w:t>China</w:t>
      </w:r>
      <w:r>
        <w:rPr>
          <w:i/>
          <w:spacing w:val="-5"/>
          <w:sz w:val="20"/>
        </w:rPr>
        <w:t xml:space="preserve"> </w:t>
      </w:r>
      <w:r>
        <w:rPr>
          <w:i/>
          <w:sz w:val="20"/>
        </w:rPr>
        <w:t>–</w:t>
      </w:r>
      <w:r>
        <w:rPr>
          <w:i/>
          <w:spacing w:val="-5"/>
          <w:sz w:val="20"/>
        </w:rPr>
        <w:t xml:space="preserve"> </w:t>
      </w:r>
      <w:r>
        <w:rPr>
          <w:i/>
          <w:sz w:val="20"/>
        </w:rPr>
        <w:t>Anti‐Dumping</w:t>
      </w:r>
      <w:r>
        <w:rPr>
          <w:i/>
          <w:spacing w:val="-4"/>
          <w:sz w:val="20"/>
        </w:rPr>
        <w:t xml:space="preserve"> </w:t>
      </w:r>
      <w:r>
        <w:rPr>
          <w:i/>
          <w:sz w:val="20"/>
        </w:rPr>
        <w:t>and</w:t>
      </w:r>
      <w:r>
        <w:rPr>
          <w:i/>
          <w:spacing w:val="-5"/>
          <w:sz w:val="20"/>
        </w:rPr>
        <w:t xml:space="preserve"> </w:t>
      </w:r>
      <w:r>
        <w:rPr>
          <w:i/>
          <w:sz w:val="20"/>
        </w:rPr>
        <w:t>Countervailing</w:t>
      </w:r>
      <w:r>
        <w:rPr>
          <w:i/>
          <w:spacing w:val="-5"/>
          <w:sz w:val="20"/>
        </w:rPr>
        <w:t xml:space="preserve"> </w:t>
      </w:r>
      <w:r>
        <w:rPr>
          <w:i/>
          <w:sz w:val="20"/>
        </w:rPr>
        <w:t>Duty</w:t>
      </w:r>
      <w:r>
        <w:rPr>
          <w:i/>
          <w:spacing w:val="-4"/>
          <w:sz w:val="20"/>
        </w:rPr>
        <w:t xml:space="preserve"> </w:t>
      </w:r>
      <w:r>
        <w:rPr>
          <w:i/>
          <w:spacing w:val="-2"/>
          <w:sz w:val="20"/>
        </w:rPr>
        <w:t>Measures</w:t>
      </w:r>
      <w:r>
        <w:rPr>
          <w:i/>
          <w:sz w:val="20"/>
        </w:rPr>
        <w:tab/>
      </w:r>
      <w:r>
        <w:rPr>
          <w:sz w:val="20"/>
        </w:rPr>
        <w:t>Australia's</w:t>
      </w:r>
      <w:r>
        <w:rPr>
          <w:spacing w:val="-7"/>
          <w:sz w:val="20"/>
        </w:rPr>
        <w:t xml:space="preserve"> </w:t>
      </w:r>
      <w:r>
        <w:rPr>
          <w:sz w:val="20"/>
        </w:rPr>
        <w:t>First</w:t>
      </w:r>
      <w:r>
        <w:rPr>
          <w:spacing w:val="-2"/>
          <w:sz w:val="20"/>
        </w:rPr>
        <w:t xml:space="preserve"> </w:t>
      </w:r>
      <w:r>
        <w:rPr>
          <w:sz w:val="20"/>
        </w:rPr>
        <w:t>Written</w:t>
      </w:r>
      <w:r>
        <w:rPr>
          <w:spacing w:val="-2"/>
          <w:sz w:val="20"/>
        </w:rPr>
        <w:t xml:space="preserve"> Submission</w:t>
      </w:r>
    </w:p>
    <w:p w14:paraId="51DE83F1" w14:textId="77777777" w:rsidR="0010369C" w:rsidRDefault="008E43AE">
      <w:pPr>
        <w:tabs>
          <w:tab w:val="left" w:pos="8228"/>
        </w:tabs>
        <w:spacing w:before="1"/>
        <w:ind w:left="239"/>
        <w:jc w:val="both"/>
        <w:rPr>
          <w:sz w:val="20"/>
        </w:rPr>
      </w:pPr>
      <w:r>
        <w:rPr>
          <w:i/>
          <w:sz w:val="20"/>
        </w:rPr>
        <w:t>on</w:t>
      </w:r>
      <w:r>
        <w:rPr>
          <w:i/>
          <w:spacing w:val="-1"/>
          <w:sz w:val="20"/>
        </w:rPr>
        <w:t xml:space="preserve"> </w:t>
      </w:r>
      <w:r>
        <w:rPr>
          <w:i/>
          <w:sz w:val="20"/>
        </w:rPr>
        <w:t>Wine</w:t>
      </w:r>
      <w:r>
        <w:rPr>
          <w:i/>
          <w:spacing w:val="-1"/>
          <w:sz w:val="20"/>
        </w:rPr>
        <w:t xml:space="preserve"> </w:t>
      </w:r>
      <w:r>
        <w:rPr>
          <w:i/>
          <w:sz w:val="20"/>
        </w:rPr>
        <w:t>from</w:t>
      </w:r>
      <w:r>
        <w:rPr>
          <w:i/>
          <w:spacing w:val="-3"/>
          <w:sz w:val="20"/>
        </w:rPr>
        <w:t xml:space="preserve"> </w:t>
      </w:r>
      <w:r>
        <w:rPr>
          <w:i/>
          <w:sz w:val="20"/>
        </w:rPr>
        <w:t>Australia</w:t>
      </w:r>
      <w:r>
        <w:rPr>
          <w:i/>
          <w:spacing w:val="-1"/>
          <w:sz w:val="20"/>
        </w:rPr>
        <w:t xml:space="preserve"> </w:t>
      </w:r>
      <w:r>
        <w:rPr>
          <w:spacing w:val="-2"/>
          <w:sz w:val="20"/>
        </w:rPr>
        <w:t>(DS602)</w:t>
      </w:r>
      <w:r>
        <w:rPr>
          <w:sz w:val="20"/>
        </w:rPr>
        <w:tab/>
        <w:t>29</w:t>
      </w:r>
      <w:r>
        <w:rPr>
          <w:spacing w:val="-1"/>
          <w:sz w:val="20"/>
        </w:rPr>
        <w:t xml:space="preserve"> </w:t>
      </w:r>
      <w:r>
        <w:rPr>
          <w:sz w:val="20"/>
        </w:rPr>
        <w:t>April</w:t>
      </w:r>
      <w:r>
        <w:rPr>
          <w:spacing w:val="-2"/>
          <w:sz w:val="20"/>
        </w:rPr>
        <w:t xml:space="preserve"> </w:t>
      </w:r>
      <w:r>
        <w:rPr>
          <w:spacing w:val="-4"/>
          <w:sz w:val="20"/>
        </w:rPr>
        <w:t>2022</w:t>
      </w:r>
    </w:p>
    <w:p w14:paraId="51DE83F2" w14:textId="77777777" w:rsidR="0010369C" w:rsidRDefault="008E43AE">
      <w:pPr>
        <w:pStyle w:val="BodyText"/>
        <w:spacing w:before="34" w:line="360" w:lineRule="auto"/>
        <w:ind w:left="237" w:right="613"/>
        <w:jc w:val="both"/>
      </w:pPr>
      <w:r>
        <w:t>"normal"</w:t>
      </w:r>
      <w:r>
        <w:rPr>
          <w:spacing w:val="-14"/>
        </w:rPr>
        <w:t xml:space="preserve"> </w:t>
      </w:r>
      <w:r>
        <w:t>commercial</w:t>
      </w:r>
      <w:r>
        <w:rPr>
          <w:spacing w:val="-13"/>
        </w:rPr>
        <w:t xml:space="preserve"> </w:t>
      </w:r>
      <w:r>
        <w:t>practice</w:t>
      </w:r>
      <w:r>
        <w:rPr>
          <w:spacing w:val="-11"/>
        </w:rPr>
        <w:t xml:space="preserve"> </w:t>
      </w:r>
      <w:r>
        <w:t>for</w:t>
      </w:r>
      <w:r>
        <w:rPr>
          <w:spacing w:val="-13"/>
        </w:rPr>
        <w:t xml:space="preserve"> </w:t>
      </w:r>
      <w:r>
        <w:t>sales</w:t>
      </w:r>
      <w:r>
        <w:rPr>
          <w:spacing w:val="-13"/>
        </w:rPr>
        <w:t xml:space="preserve"> </w:t>
      </w:r>
      <w:r>
        <w:t>of</w:t>
      </w:r>
      <w:r>
        <w:rPr>
          <w:spacing w:val="-13"/>
        </w:rPr>
        <w:t xml:space="preserve"> </w:t>
      </w:r>
      <w:r>
        <w:t>the</w:t>
      </w:r>
      <w:r>
        <w:rPr>
          <w:spacing w:val="-13"/>
        </w:rPr>
        <w:t xml:space="preserve"> </w:t>
      </w:r>
      <w:r>
        <w:t>like</w:t>
      </w:r>
      <w:r>
        <w:rPr>
          <w:spacing w:val="-13"/>
        </w:rPr>
        <w:t xml:space="preserve"> </w:t>
      </w:r>
      <w:r>
        <w:t>product</w:t>
      </w:r>
      <w:r>
        <w:rPr>
          <w:spacing w:val="-14"/>
        </w:rPr>
        <w:t xml:space="preserve"> </w:t>
      </w:r>
      <w:r>
        <w:t>in</w:t>
      </w:r>
      <w:r>
        <w:rPr>
          <w:spacing w:val="-12"/>
        </w:rPr>
        <w:t xml:space="preserve"> </w:t>
      </w:r>
      <w:r>
        <w:t>the</w:t>
      </w:r>
      <w:r>
        <w:rPr>
          <w:spacing w:val="-13"/>
        </w:rPr>
        <w:t xml:space="preserve"> </w:t>
      </w:r>
      <w:r>
        <w:t>exporting</w:t>
      </w:r>
      <w:r>
        <w:rPr>
          <w:spacing w:val="-14"/>
        </w:rPr>
        <w:t xml:space="preserve"> </w:t>
      </w:r>
      <w:r>
        <w:t>market".</w:t>
      </w:r>
      <w:r>
        <w:rPr>
          <w:vertAlign w:val="superscript"/>
        </w:rPr>
        <w:t>268</w:t>
      </w:r>
      <w:r>
        <w:rPr>
          <w:spacing w:val="-13"/>
        </w:rPr>
        <w:t xml:space="preserve"> </w:t>
      </w:r>
      <w:r>
        <w:t>Related party sales, for example, might</w:t>
      </w:r>
      <w:r>
        <w:rPr>
          <w:spacing w:val="-3"/>
        </w:rPr>
        <w:t xml:space="preserve"> </w:t>
      </w:r>
      <w:r>
        <w:t>have a sales price higher than the "ordinary course" price, or because it</w:t>
      </w:r>
      <w:r>
        <w:rPr>
          <w:spacing w:val="-3"/>
        </w:rPr>
        <w:t xml:space="preserve"> </w:t>
      </w:r>
      <w:r>
        <w:t>is</w:t>
      </w:r>
      <w:r>
        <w:rPr>
          <w:spacing w:val="-2"/>
        </w:rPr>
        <w:t xml:space="preserve"> </w:t>
      </w:r>
      <w:r>
        <w:t>lower</w:t>
      </w:r>
      <w:r>
        <w:rPr>
          <w:spacing w:val="-2"/>
        </w:rPr>
        <w:t xml:space="preserve"> </w:t>
      </w:r>
      <w:r>
        <w:t>than</w:t>
      </w:r>
      <w:r>
        <w:rPr>
          <w:spacing w:val="-3"/>
        </w:rPr>
        <w:t xml:space="preserve"> </w:t>
      </w:r>
      <w:r>
        <w:t>that</w:t>
      </w:r>
      <w:r>
        <w:rPr>
          <w:spacing w:val="-2"/>
        </w:rPr>
        <w:t xml:space="preserve"> </w:t>
      </w:r>
      <w:r>
        <w:t>price.</w:t>
      </w:r>
      <w:r>
        <w:rPr>
          <w:vertAlign w:val="superscript"/>
        </w:rPr>
        <w:t>269</w:t>
      </w:r>
      <w:r>
        <w:rPr>
          <w:spacing w:val="-2"/>
        </w:rPr>
        <w:t xml:space="preserve"> </w:t>
      </w:r>
      <w:r>
        <w:t>In</w:t>
      </w:r>
      <w:r>
        <w:rPr>
          <w:spacing w:val="-2"/>
        </w:rPr>
        <w:t xml:space="preserve"> </w:t>
      </w:r>
      <w:r>
        <w:t>such</w:t>
      </w:r>
      <w:r>
        <w:rPr>
          <w:spacing w:val="-2"/>
        </w:rPr>
        <w:t xml:space="preserve"> </w:t>
      </w:r>
      <w:r>
        <w:t>circumstances,</w:t>
      </w:r>
      <w:r>
        <w:rPr>
          <w:spacing w:val="-1"/>
        </w:rPr>
        <w:t xml:space="preserve"> </w:t>
      </w:r>
      <w:r>
        <w:t>an</w:t>
      </w:r>
      <w:r>
        <w:rPr>
          <w:spacing w:val="-2"/>
        </w:rPr>
        <w:t xml:space="preserve"> </w:t>
      </w:r>
      <w:r>
        <w:t>investigating authority</w:t>
      </w:r>
      <w:r>
        <w:rPr>
          <w:spacing w:val="-2"/>
        </w:rPr>
        <w:t xml:space="preserve"> </w:t>
      </w:r>
      <w:r>
        <w:t>would be entitled to conclude the sales w</w:t>
      </w:r>
      <w:r>
        <w:t>ere not made at "arm's length" length transactions and therefore not in the ordinary course of trade.</w:t>
      </w:r>
    </w:p>
    <w:p w14:paraId="51DE83F3" w14:textId="77777777" w:rsidR="0010369C" w:rsidRDefault="0010369C">
      <w:pPr>
        <w:pStyle w:val="BodyText"/>
        <w:spacing w:before="11"/>
        <w:rPr>
          <w:sz w:val="8"/>
        </w:rPr>
      </w:pPr>
    </w:p>
    <w:p w14:paraId="51DE83F4" w14:textId="77777777" w:rsidR="0010369C" w:rsidRDefault="008E43AE">
      <w:pPr>
        <w:pStyle w:val="BodyText"/>
        <w:spacing w:before="51" w:line="360" w:lineRule="auto"/>
        <w:ind w:left="237" w:right="612" w:firstLine="851"/>
        <w:jc w:val="both"/>
      </w:pPr>
      <w:r>
        <w:rPr>
          <w:noProof/>
        </w:rPr>
        <w:drawing>
          <wp:anchor distT="0" distB="0" distL="0" distR="0" simplePos="0" relativeHeight="250915328" behindDoc="1" locked="0" layoutInCell="1" allowOverlap="1" wp14:anchorId="51DEA07D" wp14:editId="51DEA07E">
            <wp:simplePos x="0" y="0"/>
            <wp:positionH relativeFrom="page">
              <wp:posOffset>905255</wp:posOffset>
            </wp:positionH>
            <wp:positionV relativeFrom="paragraph">
              <wp:posOffset>79960</wp:posOffset>
            </wp:positionV>
            <wp:extent cx="259079" cy="103631"/>
            <wp:effectExtent l="0" t="0" r="0" b="0"/>
            <wp:wrapNone/>
            <wp:docPr id="497" name="image2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 name="image257.png"/>
                    <pic:cNvPicPr/>
                  </pic:nvPicPr>
                  <pic:blipFill>
                    <a:blip r:embed="rId359" cstate="print"/>
                    <a:stretch>
                      <a:fillRect/>
                    </a:stretch>
                  </pic:blipFill>
                  <pic:spPr>
                    <a:xfrm>
                      <a:off x="0" y="0"/>
                      <a:ext cx="259079" cy="103631"/>
                    </a:xfrm>
                    <a:prstGeom prst="rect">
                      <a:avLst/>
                    </a:prstGeom>
                  </pic:spPr>
                </pic:pic>
              </a:graphicData>
            </a:graphic>
          </wp:anchor>
        </w:drawing>
      </w:r>
      <w:r>
        <w:t>The Final Determination demonstrates MOFCOM did not consider, in an unbiased and objective manner (or at all), whether Treasury Wines' related party sal</w:t>
      </w:r>
      <w:r>
        <w:t>es were made in the</w:t>
      </w:r>
      <w:r>
        <w:rPr>
          <w:spacing w:val="-12"/>
        </w:rPr>
        <w:t xml:space="preserve"> </w:t>
      </w:r>
      <w:r>
        <w:t>ordinary</w:t>
      </w:r>
      <w:r>
        <w:rPr>
          <w:spacing w:val="-13"/>
        </w:rPr>
        <w:t xml:space="preserve"> </w:t>
      </w:r>
      <w:r>
        <w:t>course</w:t>
      </w:r>
      <w:r>
        <w:rPr>
          <w:spacing w:val="-13"/>
        </w:rPr>
        <w:t xml:space="preserve"> </w:t>
      </w:r>
      <w:r>
        <w:t>of</w:t>
      </w:r>
      <w:r>
        <w:rPr>
          <w:spacing w:val="-12"/>
        </w:rPr>
        <w:t xml:space="preserve"> </w:t>
      </w:r>
      <w:r>
        <w:t>trade.</w:t>
      </w:r>
      <w:r>
        <w:rPr>
          <w:spacing w:val="-13"/>
        </w:rPr>
        <w:t xml:space="preserve"> </w:t>
      </w:r>
      <w:r>
        <w:t>To</w:t>
      </w:r>
      <w:r>
        <w:rPr>
          <w:spacing w:val="-13"/>
        </w:rPr>
        <w:t xml:space="preserve"> </w:t>
      </w:r>
      <w:r>
        <w:t>the</w:t>
      </w:r>
      <w:r>
        <w:rPr>
          <w:spacing w:val="-13"/>
        </w:rPr>
        <w:t xml:space="preserve"> </w:t>
      </w:r>
      <w:r>
        <w:t>contrary,</w:t>
      </w:r>
      <w:r>
        <w:rPr>
          <w:spacing w:val="-11"/>
        </w:rPr>
        <w:t xml:space="preserve"> </w:t>
      </w:r>
      <w:r>
        <w:t>MOFCOM's</w:t>
      </w:r>
      <w:r>
        <w:rPr>
          <w:spacing w:val="-12"/>
        </w:rPr>
        <w:t xml:space="preserve"> </w:t>
      </w:r>
      <w:r>
        <w:t>outright</w:t>
      </w:r>
      <w:r>
        <w:rPr>
          <w:spacing w:val="-12"/>
        </w:rPr>
        <w:t xml:space="preserve"> </w:t>
      </w:r>
      <w:r>
        <w:t>rejection</w:t>
      </w:r>
      <w:r>
        <w:rPr>
          <w:spacing w:val="-13"/>
        </w:rPr>
        <w:t xml:space="preserve"> </w:t>
      </w:r>
      <w:r>
        <w:t>of</w:t>
      </w:r>
      <w:r>
        <w:rPr>
          <w:spacing w:val="-12"/>
        </w:rPr>
        <w:t xml:space="preserve"> </w:t>
      </w:r>
      <w:r>
        <w:t>all</w:t>
      </w:r>
      <w:r>
        <w:rPr>
          <w:spacing w:val="-14"/>
        </w:rPr>
        <w:t xml:space="preserve"> </w:t>
      </w:r>
      <w:r>
        <w:t>related</w:t>
      </w:r>
      <w:r>
        <w:rPr>
          <w:spacing w:val="-14"/>
        </w:rPr>
        <w:t xml:space="preserve"> </w:t>
      </w:r>
      <w:r>
        <w:t>party sales indicates it did not turn its mind to the possibility these sales might have occurred with terms and conditions compatible with normal commercial practice in Australia. Australia accepts</w:t>
      </w:r>
      <w:r>
        <w:rPr>
          <w:spacing w:val="-7"/>
        </w:rPr>
        <w:t xml:space="preserve"> </w:t>
      </w:r>
      <w:r>
        <w:t>that</w:t>
      </w:r>
      <w:r>
        <w:rPr>
          <w:spacing w:val="-6"/>
        </w:rPr>
        <w:t xml:space="preserve"> </w:t>
      </w:r>
      <w:r>
        <w:t>MOFCOM</w:t>
      </w:r>
      <w:r>
        <w:rPr>
          <w:spacing w:val="-6"/>
        </w:rPr>
        <w:t xml:space="preserve"> </w:t>
      </w:r>
      <w:r>
        <w:t>was</w:t>
      </w:r>
      <w:r>
        <w:rPr>
          <w:spacing w:val="-7"/>
        </w:rPr>
        <w:t xml:space="preserve"> </w:t>
      </w:r>
      <w:r>
        <w:t>not</w:t>
      </w:r>
      <w:r>
        <w:rPr>
          <w:spacing w:val="-6"/>
        </w:rPr>
        <w:t xml:space="preserve"> </w:t>
      </w:r>
      <w:r>
        <w:t>obligated</w:t>
      </w:r>
      <w:r>
        <w:rPr>
          <w:spacing w:val="-6"/>
        </w:rPr>
        <w:t xml:space="preserve"> </w:t>
      </w:r>
      <w:r>
        <w:t>to</w:t>
      </w:r>
      <w:r>
        <w:rPr>
          <w:spacing w:val="-6"/>
        </w:rPr>
        <w:t xml:space="preserve"> </w:t>
      </w:r>
      <w:r>
        <w:t>scrutinise</w:t>
      </w:r>
      <w:r>
        <w:rPr>
          <w:spacing w:val="-5"/>
        </w:rPr>
        <w:t xml:space="preserve"> </w:t>
      </w:r>
      <w:r>
        <w:t>"</w:t>
      </w:r>
      <w:r>
        <w:rPr>
          <w:i/>
        </w:rPr>
        <w:t>each</w:t>
      </w:r>
      <w:r>
        <w:rPr>
          <w:i/>
          <w:spacing w:val="-6"/>
        </w:rPr>
        <w:t xml:space="preserve"> </w:t>
      </w:r>
      <w:r>
        <w:rPr>
          <w:i/>
        </w:rPr>
        <w:t>and</w:t>
      </w:r>
      <w:r>
        <w:rPr>
          <w:i/>
          <w:spacing w:val="-6"/>
        </w:rPr>
        <w:t xml:space="preserve"> </w:t>
      </w:r>
      <w:r>
        <w:rPr>
          <w:i/>
        </w:rPr>
        <w:t>eve</w:t>
      </w:r>
      <w:r>
        <w:rPr>
          <w:i/>
        </w:rPr>
        <w:t>ry</w:t>
      </w:r>
      <w:r>
        <w:rPr>
          <w:i/>
          <w:spacing w:val="-7"/>
        </w:rPr>
        <w:t xml:space="preserve"> </w:t>
      </w:r>
      <w:r>
        <w:t>category</w:t>
      </w:r>
      <w:r>
        <w:rPr>
          <w:spacing w:val="-7"/>
        </w:rPr>
        <w:t xml:space="preserve"> </w:t>
      </w:r>
      <w:r>
        <w:t>of</w:t>
      </w:r>
      <w:r>
        <w:rPr>
          <w:spacing w:val="-8"/>
        </w:rPr>
        <w:t xml:space="preserve"> </w:t>
      </w:r>
      <w:r>
        <w:t>sale</w:t>
      </w:r>
      <w:r>
        <w:rPr>
          <w:spacing w:val="-6"/>
        </w:rPr>
        <w:t xml:space="preserve"> </w:t>
      </w:r>
      <w:r>
        <w:t>that</w:t>
      </w:r>
      <w:r>
        <w:rPr>
          <w:spacing w:val="-6"/>
        </w:rPr>
        <w:t xml:space="preserve"> </w:t>
      </w:r>
      <w:r>
        <w:t>is potentially 'not</w:t>
      </w:r>
      <w:r>
        <w:rPr>
          <w:spacing w:val="-2"/>
        </w:rPr>
        <w:t xml:space="preserve"> </w:t>
      </w:r>
      <w:r>
        <w:t>in</w:t>
      </w:r>
      <w:r>
        <w:rPr>
          <w:spacing w:val="-2"/>
        </w:rPr>
        <w:t xml:space="preserve"> </w:t>
      </w:r>
      <w:r>
        <w:t>the</w:t>
      </w:r>
      <w:r>
        <w:rPr>
          <w:spacing w:val="-1"/>
        </w:rPr>
        <w:t xml:space="preserve"> </w:t>
      </w:r>
      <w:r>
        <w:t>ordinary</w:t>
      </w:r>
      <w:r>
        <w:rPr>
          <w:spacing w:val="-1"/>
        </w:rPr>
        <w:t xml:space="preserve"> </w:t>
      </w:r>
      <w:r>
        <w:t>course</w:t>
      </w:r>
      <w:r>
        <w:rPr>
          <w:spacing w:val="-1"/>
        </w:rPr>
        <w:t xml:space="preserve"> </w:t>
      </w:r>
      <w:r>
        <w:t>of</w:t>
      </w:r>
      <w:r>
        <w:rPr>
          <w:spacing w:val="-2"/>
        </w:rPr>
        <w:t xml:space="preserve"> </w:t>
      </w:r>
      <w:r>
        <w:t>trade'".</w:t>
      </w:r>
      <w:r>
        <w:rPr>
          <w:vertAlign w:val="superscript"/>
        </w:rPr>
        <w:t>270</w:t>
      </w:r>
      <w:r>
        <w:rPr>
          <w:spacing w:val="-2"/>
        </w:rPr>
        <w:t xml:space="preserve"> </w:t>
      </w:r>
      <w:r>
        <w:t>However,</w:t>
      </w:r>
      <w:r>
        <w:rPr>
          <w:spacing w:val="-1"/>
        </w:rPr>
        <w:t xml:space="preserve"> </w:t>
      </w:r>
      <w:r>
        <w:t>MOFCOM</w:t>
      </w:r>
      <w:r>
        <w:rPr>
          <w:spacing w:val="-2"/>
        </w:rPr>
        <w:t xml:space="preserve"> </w:t>
      </w:r>
      <w:r>
        <w:t>failed</w:t>
      </w:r>
      <w:r>
        <w:rPr>
          <w:spacing w:val="-1"/>
        </w:rPr>
        <w:t xml:space="preserve"> </w:t>
      </w:r>
      <w:r>
        <w:t>to</w:t>
      </w:r>
      <w:r>
        <w:rPr>
          <w:spacing w:val="-1"/>
        </w:rPr>
        <w:t xml:space="preserve"> </w:t>
      </w:r>
      <w:r>
        <w:t>provide any justification for rejecting this sales data, offering no explanation and tendering no evidence for its decision, either in the Prelimin</w:t>
      </w:r>
      <w:r>
        <w:t>ary or Final Determinations, or elsewhere.</w:t>
      </w:r>
    </w:p>
    <w:p w14:paraId="51DE83F5" w14:textId="77777777" w:rsidR="0010369C" w:rsidRDefault="0010369C">
      <w:pPr>
        <w:pStyle w:val="BodyText"/>
        <w:spacing w:before="11"/>
        <w:rPr>
          <w:sz w:val="8"/>
        </w:rPr>
      </w:pPr>
    </w:p>
    <w:p w14:paraId="51DE83F6" w14:textId="77777777" w:rsidR="0010369C" w:rsidRDefault="008E43AE">
      <w:pPr>
        <w:pStyle w:val="BodyText"/>
        <w:spacing w:before="51" w:line="360" w:lineRule="auto"/>
        <w:ind w:left="236" w:right="613" w:firstLine="852"/>
        <w:jc w:val="both"/>
      </w:pPr>
      <w:r>
        <w:rPr>
          <w:noProof/>
        </w:rPr>
        <w:drawing>
          <wp:anchor distT="0" distB="0" distL="0" distR="0" simplePos="0" relativeHeight="250916352" behindDoc="1" locked="0" layoutInCell="1" allowOverlap="1" wp14:anchorId="51DEA07F" wp14:editId="51DEA080">
            <wp:simplePos x="0" y="0"/>
            <wp:positionH relativeFrom="page">
              <wp:posOffset>905255</wp:posOffset>
            </wp:positionH>
            <wp:positionV relativeFrom="paragraph">
              <wp:posOffset>76150</wp:posOffset>
            </wp:positionV>
            <wp:extent cx="259079" cy="106679"/>
            <wp:effectExtent l="0" t="0" r="0" b="0"/>
            <wp:wrapNone/>
            <wp:docPr id="499" name="image2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 name="image258.png"/>
                    <pic:cNvPicPr/>
                  </pic:nvPicPr>
                  <pic:blipFill>
                    <a:blip r:embed="rId360" cstate="print"/>
                    <a:stretch>
                      <a:fillRect/>
                    </a:stretch>
                  </pic:blipFill>
                  <pic:spPr>
                    <a:xfrm>
                      <a:off x="0" y="0"/>
                      <a:ext cx="259079" cy="106679"/>
                    </a:xfrm>
                    <a:prstGeom prst="rect">
                      <a:avLst/>
                    </a:prstGeom>
                  </pic:spPr>
                </pic:pic>
              </a:graphicData>
            </a:graphic>
          </wp:anchor>
        </w:drawing>
      </w:r>
      <w:r>
        <w:t>It</w:t>
      </w:r>
      <w:r>
        <w:rPr>
          <w:spacing w:val="-12"/>
        </w:rPr>
        <w:t xml:space="preserve"> </w:t>
      </w:r>
      <w:r>
        <w:t>follows</w:t>
      </w:r>
      <w:r>
        <w:rPr>
          <w:spacing w:val="-12"/>
        </w:rPr>
        <w:t xml:space="preserve"> </w:t>
      </w:r>
      <w:r>
        <w:t>that</w:t>
      </w:r>
      <w:r>
        <w:rPr>
          <w:spacing w:val="-12"/>
        </w:rPr>
        <w:t xml:space="preserve"> </w:t>
      </w:r>
      <w:r>
        <w:t>MOFCOM</w:t>
      </w:r>
      <w:r>
        <w:rPr>
          <w:spacing w:val="-12"/>
        </w:rPr>
        <w:t xml:space="preserve"> </w:t>
      </w:r>
      <w:r>
        <w:t>made</w:t>
      </w:r>
      <w:r>
        <w:rPr>
          <w:spacing w:val="-11"/>
        </w:rPr>
        <w:t xml:space="preserve"> </w:t>
      </w:r>
      <w:r>
        <w:t>a</w:t>
      </w:r>
      <w:r>
        <w:rPr>
          <w:spacing w:val="-12"/>
        </w:rPr>
        <w:t xml:space="preserve"> </w:t>
      </w:r>
      <w:r>
        <w:t>substantial</w:t>
      </w:r>
      <w:r>
        <w:rPr>
          <w:spacing w:val="-12"/>
        </w:rPr>
        <w:t xml:space="preserve"> </w:t>
      </w:r>
      <w:r>
        <w:t>error</w:t>
      </w:r>
      <w:r>
        <w:rPr>
          <w:spacing w:val="-12"/>
        </w:rPr>
        <w:t xml:space="preserve"> </w:t>
      </w:r>
      <w:r>
        <w:t>in</w:t>
      </w:r>
      <w:r>
        <w:rPr>
          <w:spacing w:val="-12"/>
        </w:rPr>
        <w:t xml:space="preserve"> </w:t>
      </w:r>
      <w:r>
        <w:t>its</w:t>
      </w:r>
      <w:r>
        <w:rPr>
          <w:spacing w:val="-12"/>
        </w:rPr>
        <w:t xml:space="preserve"> </w:t>
      </w:r>
      <w:r>
        <w:t>methodology</w:t>
      </w:r>
      <w:r>
        <w:rPr>
          <w:spacing w:val="-12"/>
        </w:rPr>
        <w:t xml:space="preserve"> </w:t>
      </w:r>
      <w:r>
        <w:t>on</w:t>
      </w:r>
      <w:r>
        <w:rPr>
          <w:spacing w:val="-13"/>
        </w:rPr>
        <w:t xml:space="preserve"> </w:t>
      </w:r>
      <w:r>
        <w:t>normal</w:t>
      </w:r>
      <w:r>
        <w:rPr>
          <w:spacing w:val="-12"/>
        </w:rPr>
        <w:t xml:space="preserve"> </w:t>
      </w:r>
      <w:r>
        <w:t>value by</w:t>
      </w:r>
      <w:r>
        <w:rPr>
          <w:spacing w:val="-14"/>
        </w:rPr>
        <w:t xml:space="preserve"> </w:t>
      </w:r>
      <w:r>
        <w:t>failing</w:t>
      </w:r>
      <w:r>
        <w:rPr>
          <w:spacing w:val="-14"/>
        </w:rPr>
        <w:t xml:space="preserve"> </w:t>
      </w:r>
      <w:r>
        <w:t>to</w:t>
      </w:r>
      <w:r>
        <w:rPr>
          <w:spacing w:val="-13"/>
        </w:rPr>
        <w:t xml:space="preserve"> </w:t>
      </w:r>
      <w:r>
        <w:t>consider</w:t>
      </w:r>
      <w:r>
        <w:rPr>
          <w:spacing w:val="-14"/>
        </w:rPr>
        <w:t xml:space="preserve"> </w:t>
      </w:r>
      <w:r>
        <w:t>whether</w:t>
      </w:r>
      <w:r>
        <w:rPr>
          <w:spacing w:val="-13"/>
        </w:rPr>
        <w:t xml:space="preserve"> </w:t>
      </w:r>
      <w:r>
        <w:t>the</w:t>
      </w:r>
      <w:r>
        <w:rPr>
          <w:spacing w:val="-13"/>
        </w:rPr>
        <w:t xml:space="preserve"> </w:t>
      </w:r>
      <w:r>
        <w:t>related</w:t>
      </w:r>
      <w:r>
        <w:rPr>
          <w:spacing w:val="-14"/>
        </w:rPr>
        <w:t xml:space="preserve"> </w:t>
      </w:r>
      <w:r>
        <w:t>party</w:t>
      </w:r>
      <w:r>
        <w:rPr>
          <w:spacing w:val="-13"/>
        </w:rPr>
        <w:t xml:space="preserve"> </w:t>
      </w:r>
      <w:r>
        <w:t>sales</w:t>
      </w:r>
      <w:r>
        <w:rPr>
          <w:spacing w:val="-14"/>
        </w:rPr>
        <w:t xml:space="preserve"> </w:t>
      </w:r>
      <w:r>
        <w:t>were</w:t>
      </w:r>
      <w:r>
        <w:rPr>
          <w:spacing w:val="-12"/>
        </w:rPr>
        <w:t xml:space="preserve"> </w:t>
      </w:r>
      <w:r>
        <w:t>in</w:t>
      </w:r>
      <w:r>
        <w:rPr>
          <w:spacing w:val="-14"/>
        </w:rPr>
        <w:t xml:space="preserve"> </w:t>
      </w:r>
      <w:r>
        <w:t>the</w:t>
      </w:r>
      <w:r>
        <w:rPr>
          <w:spacing w:val="-13"/>
        </w:rPr>
        <w:t xml:space="preserve"> </w:t>
      </w:r>
      <w:r>
        <w:t>ordinary</w:t>
      </w:r>
      <w:r>
        <w:rPr>
          <w:spacing w:val="-14"/>
        </w:rPr>
        <w:t xml:space="preserve"> </w:t>
      </w:r>
      <w:r>
        <w:t>course</w:t>
      </w:r>
      <w:r>
        <w:rPr>
          <w:spacing w:val="-13"/>
        </w:rPr>
        <w:t xml:space="preserve"> </w:t>
      </w:r>
      <w:r>
        <w:t>of</w:t>
      </w:r>
      <w:r>
        <w:rPr>
          <w:spacing w:val="-13"/>
        </w:rPr>
        <w:t xml:space="preserve"> </w:t>
      </w:r>
      <w:r>
        <w:t>trade</w:t>
      </w:r>
      <w:r>
        <w:rPr>
          <w:spacing w:val="-13"/>
        </w:rPr>
        <w:t xml:space="preserve"> </w:t>
      </w:r>
      <w:r>
        <w:t>prior to</w:t>
      </w:r>
      <w:r>
        <w:rPr>
          <w:spacing w:val="-5"/>
        </w:rPr>
        <w:t xml:space="preserve"> </w:t>
      </w:r>
      <w:r>
        <w:t>rejecting</w:t>
      </w:r>
      <w:r>
        <w:rPr>
          <w:spacing w:val="-7"/>
        </w:rPr>
        <w:t xml:space="preserve"> </w:t>
      </w:r>
      <w:r>
        <w:t>these</w:t>
      </w:r>
      <w:r>
        <w:rPr>
          <w:spacing w:val="-5"/>
        </w:rPr>
        <w:t xml:space="preserve"> </w:t>
      </w:r>
      <w:r>
        <w:t>in</w:t>
      </w:r>
      <w:r>
        <w:rPr>
          <w:spacing w:val="-5"/>
        </w:rPr>
        <w:t xml:space="preserve"> </w:t>
      </w:r>
      <w:r>
        <w:t>their</w:t>
      </w:r>
      <w:r>
        <w:rPr>
          <w:spacing w:val="-5"/>
        </w:rPr>
        <w:t xml:space="preserve"> </w:t>
      </w:r>
      <w:r>
        <w:t>totality.</w:t>
      </w:r>
      <w:r>
        <w:rPr>
          <w:spacing w:val="-5"/>
        </w:rPr>
        <w:t xml:space="preserve"> </w:t>
      </w:r>
      <w:r>
        <w:t>In</w:t>
      </w:r>
      <w:r>
        <w:rPr>
          <w:spacing w:val="-5"/>
        </w:rPr>
        <w:t xml:space="preserve"> </w:t>
      </w:r>
      <w:r>
        <w:t>doing</w:t>
      </w:r>
      <w:r>
        <w:rPr>
          <w:spacing w:val="-5"/>
        </w:rPr>
        <w:t xml:space="preserve"> </w:t>
      </w:r>
      <w:r>
        <w:t>so,</w:t>
      </w:r>
      <w:r>
        <w:rPr>
          <w:spacing w:val="-5"/>
        </w:rPr>
        <w:t xml:space="preserve"> </w:t>
      </w:r>
      <w:r>
        <w:t>MOFCOM</w:t>
      </w:r>
      <w:r>
        <w:rPr>
          <w:spacing w:val="-5"/>
        </w:rPr>
        <w:t xml:space="preserve"> </w:t>
      </w:r>
      <w:r>
        <w:t>acted</w:t>
      </w:r>
      <w:r>
        <w:rPr>
          <w:spacing w:val="-5"/>
        </w:rPr>
        <w:t xml:space="preserve"> </w:t>
      </w:r>
      <w:r>
        <w:t>inconsistently</w:t>
      </w:r>
      <w:r>
        <w:rPr>
          <w:spacing w:val="-4"/>
        </w:rPr>
        <w:t xml:space="preserve"> </w:t>
      </w:r>
      <w:r>
        <w:t>with</w:t>
      </w:r>
      <w:r>
        <w:rPr>
          <w:spacing w:val="-5"/>
        </w:rPr>
        <w:t xml:space="preserve"> </w:t>
      </w:r>
      <w:r>
        <w:t>Articles</w:t>
      </w:r>
      <w:r>
        <w:rPr>
          <w:spacing w:val="-6"/>
        </w:rPr>
        <w:t xml:space="preserve"> </w:t>
      </w:r>
      <w:r>
        <w:t>2.1 and 2.2 of the Anti‐Dumping Agreement.</w:t>
      </w:r>
    </w:p>
    <w:p w14:paraId="51DE83F7" w14:textId="77777777" w:rsidR="0010369C" w:rsidRDefault="008E43AE">
      <w:pPr>
        <w:pStyle w:val="ListParagraph"/>
        <w:numPr>
          <w:ilvl w:val="5"/>
          <w:numId w:val="75"/>
        </w:numPr>
        <w:tabs>
          <w:tab w:val="left" w:pos="4772"/>
        </w:tabs>
        <w:spacing w:before="160"/>
        <w:ind w:left="4771" w:right="659" w:hanging="4772"/>
      </w:pPr>
      <w:r>
        <w:pict w14:anchorId="51DEA081">
          <v:group id="docshapegroup510" o:spid="_x0000_s1752" style="position:absolute;left:0;text-align:left;margin-left:326.05pt;margin-top:8.1pt;width:197.3pt;height:16.1pt;z-index:251788800;mso-position-horizontal-relative:page" coordorigin="6521,162" coordsize="3946,322">
            <v:shape id="docshape511" o:spid="_x0000_s1754" style="position:absolute;left:6520;top:162;width:3946;height:322" coordorigin="6521,162" coordsize="3946,322" path="m10466,162r-326,l10140,416r-3619,l6521,432r3619,l10140,484r326,l10466,162xe" fillcolor="black" stroked="f">
              <v:path arrowok="t"/>
            </v:shape>
            <v:shape id="docshape512" o:spid="_x0000_s1753" type="#_x0000_t202" style="position:absolute;left:6520;top:162;width:3946;height:322" filled="f" stroked="f">
              <v:textbox inset="0,0,0,0">
                <w:txbxContent>
                  <w:p w14:paraId="51DEAC4F" w14:textId="77777777" w:rsidR="0010369C" w:rsidRDefault="008E43AE">
                    <w:pPr>
                      <w:tabs>
                        <w:tab w:val="left" w:pos="1305"/>
                        <w:tab w:val="left" w:pos="2688"/>
                        <w:tab w:val="left" w:pos="3493"/>
                      </w:tabs>
                      <w:spacing w:line="291" w:lineRule="exact"/>
                      <w:rPr>
                        <w:sz w:val="24"/>
                      </w:rPr>
                    </w:pPr>
                    <w:r>
                      <w:rPr>
                        <w:spacing w:val="-2"/>
                        <w:sz w:val="24"/>
                      </w:rPr>
                      <w:t>MOFCOM</w:t>
                    </w:r>
                    <w:r>
                      <w:rPr>
                        <w:sz w:val="24"/>
                      </w:rPr>
                      <w:tab/>
                    </w:r>
                    <w:r>
                      <w:rPr>
                        <w:spacing w:val="-2"/>
                        <w:sz w:val="24"/>
                      </w:rPr>
                      <w:t>incorrectly</w:t>
                    </w:r>
                    <w:r>
                      <w:rPr>
                        <w:sz w:val="24"/>
                      </w:rPr>
                      <w:tab/>
                    </w:r>
                    <w:r>
                      <w:rPr>
                        <w:spacing w:val="-4"/>
                        <w:sz w:val="24"/>
                      </w:rPr>
                      <w:t>used</w:t>
                    </w:r>
                    <w:r>
                      <w:rPr>
                        <w:sz w:val="24"/>
                      </w:rPr>
                      <w:tab/>
                    </w:r>
                    <w:r>
                      <w:rPr>
                        <w:spacing w:val="-5"/>
                        <w:sz w:val="24"/>
                      </w:rPr>
                      <w:t>[[</w:t>
                    </w:r>
                  </w:p>
                </w:txbxContent>
              </v:textbox>
            </v:shape>
            <w10:wrap anchorx="page"/>
          </v:group>
        </w:pict>
      </w:r>
    </w:p>
    <w:p w14:paraId="51DE83F8" w14:textId="77777777" w:rsidR="0010369C" w:rsidRDefault="008E43AE">
      <w:pPr>
        <w:pStyle w:val="BodyText"/>
        <w:spacing w:before="3"/>
        <w:rPr>
          <w:sz w:val="10"/>
        </w:rPr>
      </w:pPr>
      <w:r>
        <w:pict w14:anchorId="51DEA082">
          <v:rect id="docshape513" o:spid="_x0000_s1751" style="position:absolute;margin-left:325.05pt;margin-top:7.5pt;width:198.3pt;height:16.05pt;z-index:-251038208;mso-wrap-distance-left:0;mso-wrap-distance-right:0;mso-position-horizontal-relative:page" fillcolor="black" stroked="f">
            <w10:wrap type="topAndBottom" anchorx="page"/>
          </v:rect>
        </w:pict>
      </w:r>
      <w:r>
        <w:pict w14:anchorId="51DEA083">
          <v:rect id="docshape514" o:spid="_x0000_s1750" style="position:absolute;margin-left:325.05pt;margin-top:29.45pt;width:198.4pt;height:16.05pt;z-index:-251037184;mso-wrap-distance-left:0;mso-wrap-distance-right:0;mso-position-horizontal-relative:page" fillcolor="black" stroked="f">
            <w10:wrap type="topAndBottom" anchorx="page"/>
          </v:rect>
        </w:pict>
      </w:r>
      <w:r>
        <w:pict w14:anchorId="51DEA084">
          <v:rect id="docshape515" o:spid="_x0000_s1749" style="position:absolute;margin-left:325.05pt;margin-top:51.4pt;width:198.4pt;height:16.05pt;z-index:-251036160;mso-wrap-distance-left:0;mso-wrap-distance-right:0;mso-position-horizontal-relative:page" fillcolor="black" stroked="f">
            <w10:wrap type="topAndBottom" anchorx="page"/>
          </v:rect>
        </w:pict>
      </w:r>
    </w:p>
    <w:p w14:paraId="51DE83F9" w14:textId="77777777" w:rsidR="0010369C" w:rsidRDefault="0010369C">
      <w:pPr>
        <w:pStyle w:val="BodyText"/>
        <w:spacing w:before="8"/>
        <w:rPr>
          <w:sz w:val="7"/>
        </w:rPr>
      </w:pPr>
    </w:p>
    <w:p w14:paraId="51DE83FA" w14:textId="77777777" w:rsidR="0010369C" w:rsidRDefault="0010369C">
      <w:pPr>
        <w:pStyle w:val="BodyText"/>
        <w:spacing w:before="8"/>
        <w:rPr>
          <w:sz w:val="7"/>
        </w:rPr>
      </w:pPr>
    </w:p>
    <w:p w14:paraId="51DE83FB" w14:textId="77777777" w:rsidR="0010369C" w:rsidRDefault="008E43AE">
      <w:pPr>
        <w:spacing w:before="116"/>
        <w:ind w:left="3658" w:right="1948"/>
        <w:jc w:val="center"/>
        <w:rPr>
          <w:sz w:val="24"/>
        </w:rPr>
      </w:pPr>
      <w:r>
        <w:rPr>
          <w:spacing w:val="-5"/>
          <w:sz w:val="24"/>
          <w:u w:val="single"/>
        </w:rPr>
        <w:t>]]</w:t>
      </w:r>
    </w:p>
    <w:p w14:paraId="51DE83FC" w14:textId="77777777" w:rsidR="0010369C" w:rsidRDefault="0010369C">
      <w:pPr>
        <w:pStyle w:val="BodyText"/>
        <w:spacing w:before="10"/>
        <w:rPr>
          <w:sz w:val="20"/>
        </w:rPr>
      </w:pPr>
    </w:p>
    <w:p w14:paraId="51DE83FD" w14:textId="77777777" w:rsidR="0010369C" w:rsidRDefault="008E43AE">
      <w:pPr>
        <w:pStyle w:val="BodyText"/>
        <w:spacing w:before="52" w:after="3" w:line="360" w:lineRule="auto"/>
        <w:ind w:left="237" w:right="613" w:firstLine="851"/>
        <w:jc w:val="both"/>
      </w:pPr>
      <w:r>
        <w:pict w14:anchorId="51DEA085">
          <v:rect id="docshape516" o:spid="_x0000_s1748" style="position:absolute;left:0;text-align:left;margin-left:325.05pt;margin-top:-27.25pt;width:20.15pt;height:16.05pt;z-index:251789824;mso-position-horizontal-relative:page" fillcolor="black" stroked="f">
            <w10:wrap anchorx="page"/>
          </v:rect>
        </w:pict>
      </w:r>
      <w:r>
        <w:rPr>
          <w:noProof/>
        </w:rPr>
        <w:drawing>
          <wp:anchor distT="0" distB="0" distL="0" distR="0" simplePos="0" relativeHeight="250917376" behindDoc="1" locked="0" layoutInCell="1" allowOverlap="1" wp14:anchorId="51DEA086" wp14:editId="51DEA087">
            <wp:simplePos x="0" y="0"/>
            <wp:positionH relativeFrom="page">
              <wp:posOffset>905255</wp:posOffset>
            </wp:positionH>
            <wp:positionV relativeFrom="paragraph">
              <wp:posOffset>80595</wp:posOffset>
            </wp:positionV>
            <wp:extent cx="259079" cy="103631"/>
            <wp:effectExtent l="0" t="0" r="0" b="0"/>
            <wp:wrapNone/>
            <wp:docPr id="501" name="image2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 name="image259.png"/>
                    <pic:cNvPicPr/>
                  </pic:nvPicPr>
                  <pic:blipFill>
                    <a:blip r:embed="rId361" cstate="print"/>
                    <a:stretch>
                      <a:fillRect/>
                    </a:stretch>
                  </pic:blipFill>
                  <pic:spPr>
                    <a:xfrm>
                      <a:off x="0" y="0"/>
                      <a:ext cx="259079" cy="103631"/>
                    </a:xfrm>
                    <a:prstGeom prst="rect">
                      <a:avLst/>
                    </a:prstGeom>
                  </pic:spPr>
                </pic:pic>
              </a:graphicData>
            </a:graphic>
          </wp:anchor>
        </w:drawing>
      </w:r>
      <w:r>
        <w:pict w14:anchorId="51DEA088">
          <v:rect id="docshape517" o:spid="_x0000_s1747" style="position:absolute;left:0;text-align:left;margin-left:284.9pt;margin-top:68.6pt;width:238.5pt;height:16.05pt;z-index:-251374080;mso-position-horizontal-relative:page;mso-position-vertical-relative:text" fillcolor="black" stroked="f">
            <w10:wrap anchorx="page"/>
          </v:rect>
        </w:pict>
      </w:r>
      <w:r>
        <w:t>Australia submits MOFCOM erred in conducting the first step of the two‐step</w:t>
      </w:r>
      <w:r>
        <w:rPr>
          <w:spacing w:val="80"/>
        </w:rPr>
        <w:t xml:space="preserve"> </w:t>
      </w:r>
      <w:r>
        <w:t>Article</w:t>
      </w:r>
      <w:r>
        <w:rPr>
          <w:spacing w:val="-3"/>
        </w:rPr>
        <w:t xml:space="preserve"> </w:t>
      </w:r>
      <w:r>
        <w:t>2.2.1</w:t>
      </w:r>
      <w:r>
        <w:rPr>
          <w:spacing w:val="-7"/>
        </w:rPr>
        <w:t xml:space="preserve"> </w:t>
      </w:r>
      <w:r>
        <w:t>test</w:t>
      </w:r>
      <w:r>
        <w:rPr>
          <w:spacing w:val="-6"/>
        </w:rPr>
        <w:t xml:space="preserve"> </w:t>
      </w:r>
      <w:r>
        <w:t>articulated</w:t>
      </w:r>
      <w:r>
        <w:rPr>
          <w:spacing w:val="-6"/>
        </w:rPr>
        <w:t xml:space="preserve"> </w:t>
      </w:r>
      <w:r>
        <w:t>by</w:t>
      </w:r>
      <w:r>
        <w:rPr>
          <w:spacing w:val="-6"/>
        </w:rPr>
        <w:t xml:space="preserve"> </w:t>
      </w:r>
      <w:r>
        <w:t>the</w:t>
      </w:r>
      <w:r>
        <w:rPr>
          <w:spacing w:val="-6"/>
        </w:rPr>
        <w:t xml:space="preserve"> </w:t>
      </w:r>
      <w:r>
        <w:t>Panel</w:t>
      </w:r>
      <w:r>
        <w:rPr>
          <w:spacing w:val="-7"/>
        </w:rPr>
        <w:t xml:space="preserve"> </w:t>
      </w:r>
      <w:r>
        <w:t>in</w:t>
      </w:r>
      <w:r>
        <w:rPr>
          <w:spacing w:val="-6"/>
        </w:rPr>
        <w:t xml:space="preserve"> </w:t>
      </w:r>
      <w:r>
        <w:rPr>
          <w:i/>
        </w:rPr>
        <w:t>EC</w:t>
      </w:r>
      <w:r>
        <w:rPr>
          <w:i/>
          <w:spacing w:val="-6"/>
        </w:rPr>
        <w:t xml:space="preserve"> </w:t>
      </w:r>
      <w:r>
        <w:rPr>
          <w:i/>
        </w:rPr>
        <w:t>–</w:t>
      </w:r>
      <w:r>
        <w:rPr>
          <w:i/>
          <w:spacing w:val="-6"/>
        </w:rPr>
        <w:t xml:space="preserve"> </w:t>
      </w:r>
      <w:r>
        <w:rPr>
          <w:i/>
        </w:rPr>
        <w:t>Salmon</w:t>
      </w:r>
      <w:r>
        <w:rPr>
          <w:i/>
          <w:spacing w:val="-6"/>
        </w:rPr>
        <w:t xml:space="preserve"> </w:t>
      </w:r>
      <w:r>
        <w:rPr>
          <w:i/>
        </w:rPr>
        <w:t>(Norway)</w:t>
      </w:r>
      <w:r>
        <w:t>.</w:t>
      </w:r>
      <w:r>
        <w:rPr>
          <w:spacing w:val="-6"/>
        </w:rPr>
        <w:t xml:space="preserve"> </w:t>
      </w:r>
      <w:r>
        <w:t>That</w:t>
      </w:r>
      <w:r>
        <w:rPr>
          <w:spacing w:val="-6"/>
        </w:rPr>
        <w:t xml:space="preserve"> </w:t>
      </w:r>
      <w:r>
        <w:t>is,</w:t>
      </w:r>
      <w:r>
        <w:rPr>
          <w:spacing w:val="-6"/>
        </w:rPr>
        <w:t xml:space="preserve"> </w:t>
      </w:r>
      <w:r>
        <w:t>MOFCOM</w:t>
      </w:r>
      <w:r>
        <w:rPr>
          <w:spacing w:val="-6"/>
        </w:rPr>
        <w:t xml:space="preserve"> </w:t>
      </w:r>
      <w:r>
        <w:t>failed</w:t>
      </w:r>
      <w:r>
        <w:rPr>
          <w:spacing w:val="-6"/>
        </w:rPr>
        <w:t xml:space="preserve"> </w:t>
      </w:r>
      <w:r>
        <w:t xml:space="preserve">to correctly identify the sales made at prices below per unit costs of production, plus </w:t>
      </w:r>
      <w:r>
        <w:t>administrative, selling, and general costs. [[</w:t>
      </w:r>
    </w:p>
    <w:p w14:paraId="51DE83FE" w14:textId="77777777" w:rsidR="0010369C" w:rsidRDefault="008E43AE">
      <w:pPr>
        <w:pStyle w:val="BodyText"/>
        <w:ind w:left="218"/>
        <w:rPr>
          <w:sz w:val="20"/>
        </w:rPr>
      </w:pPr>
      <w:r>
        <w:rPr>
          <w:sz w:val="20"/>
        </w:rPr>
      </w:r>
      <w:r>
        <w:rPr>
          <w:sz w:val="20"/>
        </w:rPr>
        <w:pict w14:anchorId="51DEA08A">
          <v:group id="docshapegroup518" o:spid="_x0000_s1745" style="width:453.4pt;height:16.1pt;mso-position-horizontal-relative:char;mso-position-vertical-relative:line" coordsize="9068,322">
            <v:rect id="docshape519" o:spid="_x0000_s1746" style="position:absolute;width:9068;height:322" fillcolor="black" stroked="f"/>
            <w10:anchorlock/>
          </v:group>
        </w:pict>
      </w:r>
    </w:p>
    <w:p w14:paraId="51DE83FF" w14:textId="77777777" w:rsidR="0010369C" w:rsidRDefault="008E43AE">
      <w:pPr>
        <w:pStyle w:val="BodyText"/>
        <w:spacing w:before="2"/>
        <w:rPr>
          <w:sz w:val="27"/>
        </w:rPr>
      </w:pPr>
      <w:r>
        <w:pict w14:anchorId="51DEA08B">
          <v:rect id="docshape520" o:spid="_x0000_s1744" style="position:absolute;margin-left:70.9pt;margin-top:17.8pt;width:2in;height:.8pt;z-index:-251035136;mso-wrap-distance-left:0;mso-wrap-distance-right:0;mso-position-horizontal-relative:page" fillcolor="black" stroked="f">
            <w10:wrap type="topAndBottom" anchorx="page"/>
          </v:rect>
        </w:pict>
      </w:r>
    </w:p>
    <w:p w14:paraId="51DE8400" w14:textId="77777777" w:rsidR="0010369C" w:rsidRDefault="008E43AE">
      <w:pPr>
        <w:spacing w:before="109"/>
        <w:ind w:left="238" w:right="5380"/>
        <w:jc w:val="both"/>
        <w:rPr>
          <w:sz w:val="18"/>
        </w:rPr>
      </w:pPr>
      <w:r>
        <w:rPr>
          <w:sz w:val="18"/>
          <w:vertAlign w:val="superscript"/>
        </w:rPr>
        <w:t>268</w:t>
      </w:r>
      <w:r>
        <w:rPr>
          <w:spacing w:val="-3"/>
          <w:sz w:val="18"/>
        </w:rPr>
        <w:t xml:space="preserve"> </w:t>
      </w:r>
      <w:r>
        <w:rPr>
          <w:sz w:val="18"/>
        </w:rPr>
        <w:t>Appellate</w:t>
      </w:r>
      <w:r>
        <w:rPr>
          <w:spacing w:val="-3"/>
          <w:sz w:val="18"/>
        </w:rPr>
        <w:t xml:space="preserve"> </w:t>
      </w:r>
      <w:r>
        <w:rPr>
          <w:sz w:val="18"/>
        </w:rPr>
        <w:t>Body</w:t>
      </w:r>
      <w:r>
        <w:rPr>
          <w:spacing w:val="-5"/>
          <w:sz w:val="18"/>
        </w:rPr>
        <w:t xml:space="preserve"> </w:t>
      </w:r>
      <w:r>
        <w:rPr>
          <w:sz w:val="18"/>
        </w:rPr>
        <w:t>Report,</w:t>
      </w:r>
      <w:r>
        <w:rPr>
          <w:spacing w:val="-3"/>
          <w:sz w:val="18"/>
        </w:rPr>
        <w:t xml:space="preserve"> </w:t>
      </w:r>
      <w:r>
        <w:rPr>
          <w:i/>
          <w:sz w:val="18"/>
        </w:rPr>
        <w:t>US</w:t>
      </w:r>
      <w:r>
        <w:rPr>
          <w:i/>
          <w:spacing w:val="-3"/>
          <w:sz w:val="18"/>
        </w:rPr>
        <w:t xml:space="preserve"> </w:t>
      </w:r>
      <w:r>
        <w:rPr>
          <w:i/>
          <w:sz w:val="18"/>
        </w:rPr>
        <w:t>–</w:t>
      </w:r>
      <w:r>
        <w:rPr>
          <w:i/>
          <w:spacing w:val="-3"/>
          <w:sz w:val="18"/>
        </w:rPr>
        <w:t xml:space="preserve"> </w:t>
      </w:r>
      <w:r>
        <w:rPr>
          <w:i/>
          <w:sz w:val="18"/>
        </w:rPr>
        <w:t>Hot</w:t>
      </w:r>
      <w:r>
        <w:rPr>
          <w:i/>
          <w:spacing w:val="-2"/>
          <w:sz w:val="18"/>
        </w:rPr>
        <w:t xml:space="preserve"> </w:t>
      </w:r>
      <w:r>
        <w:rPr>
          <w:i/>
          <w:sz w:val="18"/>
        </w:rPr>
        <w:t>Rolled</w:t>
      </w:r>
      <w:r>
        <w:rPr>
          <w:i/>
          <w:spacing w:val="-3"/>
          <w:sz w:val="18"/>
        </w:rPr>
        <w:t xml:space="preserve"> </w:t>
      </w:r>
      <w:r>
        <w:rPr>
          <w:i/>
          <w:sz w:val="18"/>
        </w:rPr>
        <w:t>Steel</w:t>
      </w:r>
      <w:r>
        <w:rPr>
          <w:sz w:val="18"/>
        </w:rPr>
        <w:t>,</w:t>
      </w:r>
      <w:r>
        <w:rPr>
          <w:spacing w:val="-4"/>
          <w:sz w:val="18"/>
        </w:rPr>
        <w:t xml:space="preserve"> </w:t>
      </w:r>
      <w:r>
        <w:rPr>
          <w:sz w:val="18"/>
        </w:rPr>
        <w:t>para.</w:t>
      </w:r>
      <w:r>
        <w:rPr>
          <w:spacing w:val="-3"/>
          <w:sz w:val="18"/>
        </w:rPr>
        <w:t xml:space="preserve"> </w:t>
      </w:r>
      <w:r>
        <w:rPr>
          <w:sz w:val="18"/>
        </w:rPr>
        <w:t xml:space="preserve">140. </w:t>
      </w:r>
      <w:r>
        <w:rPr>
          <w:sz w:val="18"/>
          <w:vertAlign w:val="superscript"/>
        </w:rPr>
        <w:t>269</w:t>
      </w:r>
      <w:r>
        <w:rPr>
          <w:spacing w:val="-3"/>
          <w:sz w:val="18"/>
        </w:rPr>
        <w:t xml:space="preserve"> </w:t>
      </w:r>
      <w:r>
        <w:rPr>
          <w:sz w:val="18"/>
        </w:rPr>
        <w:t>Appellate</w:t>
      </w:r>
      <w:r>
        <w:rPr>
          <w:spacing w:val="-3"/>
          <w:sz w:val="18"/>
        </w:rPr>
        <w:t xml:space="preserve"> </w:t>
      </w:r>
      <w:r>
        <w:rPr>
          <w:sz w:val="18"/>
        </w:rPr>
        <w:t>Body</w:t>
      </w:r>
      <w:r>
        <w:rPr>
          <w:spacing w:val="-5"/>
          <w:sz w:val="18"/>
        </w:rPr>
        <w:t xml:space="preserve"> </w:t>
      </w:r>
      <w:r>
        <w:rPr>
          <w:sz w:val="18"/>
        </w:rPr>
        <w:t>Report,</w:t>
      </w:r>
      <w:r>
        <w:rPr>
          <w:spacing w:val="-3"/>
          <w:sz w:val="18"/>
        </w:rPr>
        <w:t xml:space="preserve"> </w:t>
      </w:r>
      <w:r>
        <w:rPr>
          <w:i/>
          <w:sz w:val="18"/>
        </w:rPr>
        <w:t>US</w:t>
      </w:r>
      <w:r>
        <w:rPr>
          <w:i/>
          <w:spacing w:val="-3"/>
          <w:sz w:val="18"/>
        </w:rPr>
        <w:t xml:space="preserve"> </w:t>
      </w:r>
      <w:r>
        <w:rPr>
          <w:i/>
          <w:sz w:val="18"/>
        </w:rPr>
        <w:t>–</w:t>
      </w:r>
      <w:r>
        <w:rPr>
          <w:i/>
          <w:spacing w:val="-3"/>
          <w:sz w:val="18"/>
        </w:rPr>
        <w:t xml:space="preserve"> </w:t>
      </w:r>
      <w:r>
        <w:rPr>
          <w:i/>
          <w:sz w:val="18"/>
        </w:rPr>
        <w:t>Hot</w:t>
      </w:r>
      <w:r>
        <w:rPr>
          <w:i/>
          <w:spacing w:val="-2"/>
          <w:sz w:val="18"/>
        </w:rPr>
        <w:t xml:space="preserve"> </w:t>
      </w:r>
      <w:r>
        <w:rPr>
          <w:i/>
          <w:sz w:val="18"/>
        </w:rPr>
        <w:t>Rolled</w:t>
      </w:r>
      <w:r>
        <w:rPr>
          <w:i/>
          <w:spacing w:val="-3"/>
          <w:sz w:val="18"/>
        </w:rPr>
        <w:t xml:space="preserve"> </w:t>
      </w:r>
      <w:r>
        <w:rPr>
          <w:i/>
          <w:sz w:val="18"/>
        </w:rPr>
        <w:t>Steel</w:t>
      </w:r>
      <w:r>
        <w:rPr>
          <w:sz w:val="18"/>
        </w:rPr>
        <w:t>,</w:t>
      </w:r>
      <w:r>
        <w:rPr>
          <w:spacing w:val="-4"/>
          <w:sz w:val="18"/>
        </w:rPr>
        <w:t xml:space="preserve"> </w:t>
      </w:r>
      <w:r>
        <w:rPr>
          <w:sz w:val="18"/>
        </w:rPr>
        <w:t>para.</w:t>
      </w:r>
      <w:r>
        <w:rPr>
          <w:spacing w:val="-3"/>
          <w:sz w:val="18"/>
        </w:rPr>
        <w:t xml:space="preserve"> </w:t>
      </w:r>
      <w:r>
        <w:rPr>
          <w:sz w:val="18"/>
        </w:rPr>
        <w:t xml:space="preserve">142. </w:t>
      </w:r>
      <w:r>
        <w:rPr>
          <w:sz w:val="18"/>
          <w:vertAlign w:val="superscript"/>
        </w:rPr>
        <w:t>270</w:t>
      </w:r>
      <w:r>
        <w:rPr>
          <w:spacing w:val="-5"/>
          <w:sz w:val="18"/>
        </w:rPr>
        <w:t xml:space="preserve"> </w:t>
      </w:r>
      <w:r>
        <w:rPr>
          <w:sz w:val="18"/>
        </w:rPr>
        <w:t>Appellate</w:t>
      </w:r>
      <w:r>
        <w:rPr>
          <w:spacing w:val="-5"/>
          <w:sz w:val="18"/>
        </w:rPr>
        <w:t xml:space="preserve"> </w:t>
      </w:r>
      <w:r>
        <w:rPr>
          <w:sz w:val="18"/>
        </w:rPr>
        <w:t>Body</w:t>
      </w:r>
      <w:r>
        <w:rPr>
          <w:spacing w:val="-7"/>
          <w:sz w:val="18"/>
        </w:rPr>
        <w:t xml:space="preserve"> </w:t>
      </w:r>
      <w:r>
        <w:rPr>
          <w:sz w:val="18"/>
        </w:rPr>
        <w:t>Report,</w:t>
      </w:r>
      <w:r>
        <w:rPr>
          <w:spacing w:val="-5"/>
          <w:sz w:val="18"/>
        </w:rPr>
        <w:t xml:space="preserve"> </w:t>
      </w:r>
      <w:r>
        <w:rPr>
          <w:i/>
          <w:sz w:val="18"/>
        </w:rPr>
        <w:t>US</w:t>
      </w:r>
      <w:r>
        <w:rPr>
          <w:i/>
          <w:spacing w:val="-5"/>
          <w:sz w:val="18"/>
        </w:rPr>
        <w:t xml:space="preserve"> </w:t>
      </w:r>
      <w:r>
        <w:rPr>
          <w:i/>
          <w:sz w:val="18"/>
        </w:rPr>
        <w:t>–</w:t>
      </w:r>
      <w:r>
        <w:rPr>
          <w:i/>
          <w:spacing w:val="-5"/>
          <w:sz w:val="18"/>
        </w:rPr>
        <w:t xml:space="preserve"> </w:t>
      </w:r>
      <w:r>
        <w:rPr>
          <w:i/>
          <w:sz w:val="18"/>
        </w:rPr>
        <w:t>Hot</w:t>
      </w:r>
      <w:r>
        <w:rPr>
          <w:i/>
          <w:spacing w:val="-4"/>
          <w:sz w:val="18"/>
        </w:rPr>
        <w:t xml:space="preserve"> </w:t>
      </w:r>
      <w:r>
        <w:rPr>
          <w:i/>
          <w:sz w:val="18"/>
        </w:rPr>
        <w:t>Rolled</w:t>
      </w:r>
      <w:r>
        <w:rPr>
          <w:i/>
          <w:spacing w:val="-5"/>
          <w:sz w:val="18"/>
        </w:rPr>
        <w:t xml:space="preserve"> </w:t>
      </w:r>
      <w:r>
        <w:rPr>
          <w:i/>
          <w:sz w:val="18"/>
        </w:rPr>
        <w:t>Steel</w:t>
      </w:r>
      <w:r>
        <w:rPr>
          <w:sz w:val="18"/>
        </w:rPr>
        <w:t>,</w:t>
      </w:r>
      <w:r>
        <w:rPr>
          <w:spacing w:val="-5"/>
          <w:sz w:val="18"/>
        </w:rPr>
        <w:t xml:space="preserve"> </w:t>
      </w:r>
      <w:r>
        <w:rPr>
          <w:sz w:val="18"/>
        </w:rPr>
        <w:t>para.</w:t>
      </w:r>
      <w:r>
        <w:rPr>
          <w:spacing w:val="-5"/>
          <w:sz w:val="18"/>
        </w:rPr>
        <w:t xml:space="preserve"> </w:t>
      </w:r>
      <w:r>
        <w:rPr>
          <w:spacing w:val="-4"/>
          <w:sz w:val="18"/>
        </w:rPr>
        <w:t>142.</w:t>
      </w:r>
    </w:p>
    <w:p w14:paraId="51DE8401" w14:textId="77777777" w:rsidR="0010369C" w:rsidRDefault="0010369C">
      <w:pPr>
        <w:jc w:val="both"/>
        <w:rPr>
          <w:sz w:val="18"/>
        </w:rPr>
        <w:sectPr w:rsidR="0010369C">
          <w:pgSz w:w="11910" w:h="16840"/>
          <w:pgMar w:top="880" w:right="800" w:bottom="980" w:left="1180" w:header="569" w:footer="788" w:gutter="0"/>
          <w:cols w:space="720"/>
        </w:sectPr>
      </w:pPr>
    </w:p>
    <w:p w14:paraId="51DE8402" w14:textId="77777777" w:rsidR="0010369C" w:rsidRDefault="008E43AE">
      <w:pPr>
        <w:tabs>
          <w:tab w:val="left" w:pos="6426"/>
        </w:tabs>
        <w:ind w:left="238"/>
        <w:rPr>
          <w:sz w:val="20"/>
        </w:rPr>
      </w:pPr>
      <w:r>
        <w:rPr>
          <w:i/>
          <w:sz w:val="20"/>
        </w:rPr>
        <w:lastRenderedPageBreak/>
        <w:t>China</w:t>
      </w:r>
      <w:r>
        <w:rPr>
          <w:i/>
          <w:spacing w:val="-5"/>
          <w:sz w:val="20"/>
        </w:rPr>
        <w:t xml:space="preserve"> </w:t>
      </w:r>
      <w:r>
        <w:rPr>
          <w:i/>
          <w:sz w:val="20"/>
        </w:rPr>
        <w:t>–</w:t>
      </w:r>
      <w:r>
        <w:rPr>
          <w:i/>
          <w:spacing w:val="-5"/>
          <w:sz w:val="20"/>
        </w:rPr>
        <w:t xml:space="preserve"> </w:t>
      </w:r>
      <w:r>
        <w:rPr>
          <w:i/>
          <w:sz w:val="20"/>
        </w:rPr>
        <w:t>Anti‐Dumping</w:t>
      </w:r>
      <w:r>
        <w:rPr>
          <w:i/>
          <w:spacing w:val="-4"/>
          <w:sz w:val="20"/>
        </w:rPr>
        <w:t xml:space="preserve"> </w:t>
      </w:r>
      <w:r>
        <w:rPr>
          <w:i/>
          <w:sz w:val="20"/>
        </w:rPr>
        <w:t>and</w:t>
      </w:r>
      <w:r>
        <w:rPr>
          <w:i/>
          <w:spacing w:val="-5"/>
          <w:sz w:val="20"/>
        </w:rPr>
        <w:t xml:space="preserve"> </w:t>
      </w:r>
      <w:r>
        <w:rPr>
          <w:i/>
          <w:sz w:val="20"/>
        </w:rPr>
        <w:t>Countervailing</w:t>
      </w:r>
      <w:r>
        <w:rPr>
          <w:i/>
          <w:spacing w:val="-5"/>
          <w:sz w:val="20"/>
        </w:rPr>
        <w:t xml:space="preserve"> </w:t>
      </w:r>
      <w:r>
        <w:rPr>
          <w:i/>
          <w:sz w:val="20"/>
        </w:rPr>
        <w:t>Duty</w:t>
      </w:r>
      <w:r>
        <w:rPr>
          <w:i/>
          <w:spacing w:val="-4"/>
          <w:sz w:val="20"/>
        </w:rPr>
        <w:t xml:space="preserve"> </w:t>
      </w:r>
      <w:r>
        <w:rPr>
          <w:i/>
          <w:spacing w:val="-2"/>
          <w:sz w:val="20"/>
        </w:rPr>
        <w:t>Measures</w:t>
      </w:r>
      <w:r>
        <w:rPr>
          <w:i/>
          <w:sz w:val="20"/>
        </w:rPr>
        <w:tab/>
      </w:r>
      <w:r>
        <w:rPr>
          <w:sz w:val="20"/>
        </w:rPr>
        <w:t>Australia's</w:t>
      </w:r>
      <w:r>
        <w:rPr>
          <w:spacing w:val="-7"/>
          <w:sz w:val="20"/>
        </w:rPr>
        <w:t xml:space="preserve"> </w:t>
      </w:r>
      <w:r>
        <w:rPr>
          <w:sz w:val="20"/>
        </w:rPr>
        <w:t>First</w:t>
      </w:r>
      <w:r>
        <w:rPr>
          <w:spacing w:val="-2"/>
          <w:sz w:val="20"/>
        </w:rPr>
        <w:t xml:space="preserve"> </w:t>
      </w:r>
      <w:r>
        <w:rPr>
          <w:sz w:val="20"/>
        </w:rPr>
        <w:t>Written</w:t>
      </w:r>
      <w:r>
        <w:rPr>
          <w:spacing w:val="-2"/>
          <w:sz w:val="20"/>
        </w:rPr>
        <w:t xml:space="preserve"> Submission</w:t>
      </w:r>
    </w:p>
    <w:p w14:paraId="51DE8403" w14:textId="77777777" w:rsidR="0010369C" w:rsidRDefault="008E43AE">
      <w:pPr>
        <w:tabs>
          <w:tab w:val="left" w:pos="8228"/>
        </w:tabs>
        <w:spacing w:before="1"/>
        <w:ind w:left="239"/>
        <w:rPr>
          <w:sz w:val="20"/>
        </w:rPr>
      </w:pPr>
      <w:r>
        <w:pict w14:anchorId="51DEA08C">
          <v:rect id="docshape521" o:spid="_x0000_s1743" style="position:absolute;left:0;text-align:left;margin-left:69.9pt;margin-top:14.1pt;width:453.5pt;height:16.05pt;z-index:-251034112;mso-wrap-distance-left:0;mso-wrap-distance-right:0;mso-position-horizontal-relative:page" fillcolor="black" stroked="f">
            <w10:wrap type="topAndBottom" anchorx="page"/>
          </v:rect>
        </w:pict>
      </w:r>
      <w:r>
        <w:pict w14:anchorId="51DEA08D">
          <v:rect id="docshape522" o:spid="_x0000_s1742" style="position:absolute;left:0;text-align:left;margin-left:69.9pt;margin-top:36.05pt;width:453.5pt;height:16.05pt;z-index:-251033088;mso-wrap-distance-left:0;mso-wrap-distance-right:0;mso-position-horizontal-relative:page" fillcolor="black" stroked="f">
            <w10:wrap type="topAndBottom" anchorx="page"/>
          </v:rect>
        </w:pict>
      </w:r>
      <w:r>
        <w:pict w14:anchorId="51DEA08E">
          <v:shape id="docshape523" o:spid="_x0000_s1741" style="position:absolute;left:0;text-align:left;margin-left:69.95pt;margin-top:58pt;width:329.6pt;height:16.1pt;z-index:-251032064;mso-wrap-distance-left:0;mso-wrap-distance-right:0;mso-position-horizontal-relative:page" coordorigin="1399,1160" coordsize="6592,322" path="m7991,1162r-242,l7749,1160r-6350,l1399,1482r6350,l7749,1376r242,l7991,1162xe" fillcolor="black" stroked="f">
            <v:path arrowok="t"/>
            <w10:wrap type="topAndBottom" anchorx="page"/>
          </v:shape>
        </w:pict>
      </w:r>
      <w:r>
        <w:pict w14:anchorId="51DEA08F">
          <v:rect id="docshape524" o:spid="_x0000_s1740" style="position:absolute;left:0;text-align:left;margin-left:403.3pt;margin-top:58pt;width:120.1pt;height:16.05pt;z-index:-251031040;mso-wrap-distance-left:0;mso-wrap-distance-right:0;mso-position-horizontal-relative:page" fillcolor="black" stroked="f">
            <w10:wrap type="topAndBottom" anchorx="page"/>
          </v:rect>
        </w:pict>
      </w:r>
      <w:r>
        <w:pict w14:anchorId="51DEA090">
          <v:rect id="docshape525" o:spid="_x0000_s1739" style="position:absolute;left:0;text-align:left;margin-left:69.9pt;margin-top:80.05pt;width:148.75pt;height:16.05pt;z-index:251791872;mso-position-horizontal-relative:page" fillcolor="black" stroked="f">
            <w10:wrap anchorx="page"/>
          </v:rect>
        </w:pict>
      </w:r>
      <w:r>
        <w:rPr>
          <w:i/>
          <w:sz w:val="20"/>
        </w:rPr>
        <w:t>on</w:t>
      </w:r>
      <w:r>
        <w:rPr>
          <w:i/>
          <w:spacing w:val="-1"/>
          <w:sz w:val="20"/>
        </w:rPr>
        <w:t xml:space="preserve"> </w:t>
      </w:r>
      <w:r>
        <w:rPr>
          <w:i/>
          <w:sz w:val="20"/>
        </w:rPr>
        <w:t>Wine</w:t>
      </w:r>
      <w:r>
        <w:rPr>
          <w:i/>
          <w:spacing w:val="-1"/>
          <w:sz w:val="20"/>
        </w:rPr>
        <w:t xml:space="preserve"> </w:t>
      </w:r>
      <w:r>
        <w:rPr>
          <w:i/>
          <w:sz w:val="20"/>
        </w:rPr>
        <w:t>from</w:t>
      </w:r>
      <w:r>
        <w:rPr>
          <w:i/>
          <w:spacing w:val="-3"/>
          <w:sz w:val="20"/>
        </w:rPr>
        <w:t xml:space="preserve"> </w:t>
      </w:r>
      <w:r>
        <w:rPr>
          <w:i/>
          <w:sz w:val="20"/>
        </w:rPr>
        <w:t>Australia</w:t>
      </w:r>
      <w:r>
        <w:rPr>
          <w:i/>
          <w:spacing w:val="-1"/>
          <w:sz w:val="20"/>
        </w:rPr>
        <w:t xml:space="preserve"> </w:t>
      </w:r>
      <w:r>
        <w:rPr>
          <w:spacing w:val="-2"/>
          <w:sz w:val="20"/>
        </w:rPr>
        <w:t>(DS602)</w:t>
      </w:r>
      <w:r>
        <w:rPr>
          <w:sz w:val="20"/>
        </w:rPr>
        <w:tab/>
        <w:t>29</w:t>
      </w:r>
      <w:r>
        <w:rPr>
          <w:spacing w:val="-1"/>
          <w:sz w:val="20"/>
        </w:rPr>
        <w:t xml:space="preserve"> </w:t>
      </w:r>
      <w:r>
        <w:rPr>
          <w:sz w:val="20"/>
        </w:rPr>
        <w:t>April</w:t>
      </w:r>
      <w:r>
        <w:rPr>
          <w:spacing w:val="-2"/>
          <w:sz w:val="20"/>
        </w:rPr>
        <w:t xml:space="preserve"> </w:t>
      </w:r>
      <w:r>
        <w:rPr>
          <w:spacing w:val="-4"/>
          <w:sz w:val="20"/>
        </w:rPr>
        <w:t>2022</w:t>
      </w:r>
    </w:p>
    <w:p w14:paraId="51DE8404" w14:textId="77777777" w:rsidR="0010369C" w:rsidRDefault="0010369C">
      <w:pPr>
        <w:pStyle w:val="BodyText"/>
        <w:spacing w:before="8"/>
        <w:rPr>
          <w:sz w:val="7"/>
        </w:rPr>
      </w:pPr>
    </w:p>
    <w:p w14:paraId="51DE8405" w14:textId="77777777" w:rsidR="0010369C" w:rsidRDefault="0010369C">
      <w:pPr>
        <w:pStyle w:val="BodyText"/>
        <w:spacing w:before="8"/>
        <w:rPr>
          <w:sz w:val="7"/>
        </w:rPr>
      </w:pPr>
    </w:p>
    <w:p w14:paraId="51DE8406" w14:textId="77777777" w:rsidR="0010369C" w:rsidRDefault="008E43AE">
      <w:pPr>
        <w:spacing w:before="116"/>
        <w:ind w:left="3213"/>
        <w:rPr>
          <w:sz w:val="24"/>
        </w:rPr>
      </w:pPr>
      <w:r>
        <w:rPr>
          <w:spacing w:val="-5"/>
          <w:sz w:val="24"/>
        </w:rPr>
        <w:t>]]</w:t>
      </w:r>
    </w:p>
    <w:p w14:paraId="51DE8407" w14:textId="77777777" w:rsidR="0010369C" w:rsidRDefault="0010369C">
      <w:pPr>
        <w:pStyle w:val="BodyText"/>
        <w:spacing w:before="10"/>
        <w:rPr>
          <w:sz w:val="20"/>
        </w:rPr>
      </w:pPr>
    </w:p>
    <w:p w14:paraId="51DE8408" w14:textId="77777777" w:rsidR="0010369C" w:rsidRDefault="008E43AE">
      <w:pPr>
        <w:pStyle w:val="BodyText"/>
        <w:spacing w:before="52" w:line="360" w:lineRule="auto"/>
        <w:ind w:left="236" w:right="613" w:firstLine="852"/>
        <w:jc w:val="both"/>
      </w:pPr>
      <w:r>
        <w:rPr>
          <w:noProof/>
        </w:rPr>
        <w:drawing>
          <wp:anchor distT="0" distB="0" distL="0" distR="0" simplePos="0" relativeHeight="250918400" behindDoc="1" locked="0" layoutInCell="1" allowOverlap="1" wp14:anchorId="51DEA091" wp14:editId="51DEA092">
            <wp:simplePos x="0" y="0"/>
            <wp:positionH relativeFrom="page">
              <wp:posOffset>905255</wp:posOffset>
            </wp:positionH>
            <wp:positionV relativeFrom="paragraph">
              <wp:posOffset>81949</wp:posOffset>
            </wp:positionV>
            <wp:extent cx="259079" cy="100753"/>
            <wp:effectExtent l="0" t="0" r="0" b="0"/>
            <wp:wrapNone/>
            <wp:docPr id="503" name="image2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 name="image260.png"/>
                    <pic:cNvPicPr/>
                  </pic:nvPicPr>
                  <pic:blipFill>
                    <a:blip r:embed="rId362" cstate="print"/>
                    <a:stretch>
                      <a:fillRect/>
                    </a:stretch>
                  </pic:blipFill>
                  <pic:spPr>
                    <a:xfrm>
                      <a:off x="0" y="0"/>
                      <a:ext cx="259079" cy="100753"/>
                    </a:xfrm>
                    <a:prstGeom prst="rect">
                      <a:avLst/>
                    </a:prstGeom>
                  </pic:spPr>
                </pic:pic>
              </a:graphicData>
            </a:graphic>
          </wp:anchor>
        </w:drawing>
      </w:r>
      <w:r>
        <w:t>Article 2.2.1.1 of the Anti‐Dumping Agreement sets out clear obligations for investigating</w:t>
      </w:r>
      <w:r>
        <w:rPr>
          <w:spacing w:val="-14"/>
        </w:rPr>
        <w:t xml:space="preserve"> </w:t>
      </w:r>
      <w:r>
        <w:t>authorities</w:t>
      </w:r>
      <w:r>
        <w:rPr>
          <w:spacing w:val="-14"/>
        </w:rPr>
        <w:t xml:space="preserve"> </w:t>
      </w:r>
      <w:r>
        <w:t>when</w:t>
      </w:r>
      <w:r>
        <w:rPr>
          <w:spacing w:val="-13"/>
        </w:rPr>
        <w:t xml:space="preserve"> </w:t>
      </w:r>
      <w:r>
        <w:t>calculating</w:t>
      </w:r>
      <w:r>
        <w:rPr>
          <w:spacing w:val="-14"/>
        </w:rPr>
        <w:t xml:space="preserve"> </w:t>
      </w:r>
      <w:r>
        <w:t>the</w:t>
      </w:r>
      <w:r>
        <w:rPr>
          <w:spacing w:val="-13"/>
        </w:rPr>
        <w:t xml:space="preserve"> </w:t>
      </w:r>
      <w:r>
        <w:t>costs</w:t>
      </w:r>
      <w:r>
        <w:rPr>
          <w:spacing w:val="-14"/>
        </w:rPr>
        <w:t xml:space="preserve"> </w:t>
      </w:r>
      <w:r>
        <w:t>to</w:t>
      </w:r>
      <w:r>
        <w:rPr>
          <w:spacing w:val="-13"/>
        </w:rPr>
        <w:t xml:space="preserve"> </w:t>
      </w:r>
      <w:r>
        <w:t>be</w:t>
      </w:r>
      <w:r>
        <w:rPr>
          <w:spacing w:val="-14"/>
        </w:rPr>
        <w:t xml:space="preserve"> </w:t>
      </w:r>
      <w:r>
        <w:t>used</w:t>
      </w:r>
      <w:r>
        <w:rPr>
          <w:spacing w:val="-14"/>
        </w:rPr>
        <w:t xml:space="preserve"> </w:t>
      </w:r>
      <w:r>
        <w:t>in</w:t>
      </w:r>
      <w:r>
        <w:rPr>
          <w:spacing w:val="-13"/>
        </w:rPr>
        <w:t xml:space="preserve"> </w:t>
      </w:r>
      <w:r>
        <w:t>the</w:t>
      </w:r>
      <w:r>
        <w:rPr>
          <w:spacing w:val="-14"/>
        </w:rPr>
        <w:t xml:space="preserve"> </w:t>
      </w:r>
      <w:r>
        <w:t>"below</w:t>
      </w:r>
      <w:r>
        <w:rPr>
          <w:spacing w:val="-13"/>
        </w:rPr>
        <w:t xml:space="preserve"> </w:t>
      </w:r>
      <w:r>
        <w:t>cost"</w:t>
      </w:r>
      <w:r>
        <w:rPr>
          <w:spacing w:val="-14"/>
        </w:rPr>
        <w:t xml:space="preserve"> </w:t>
      </w:r>
      <w:r>
        <w:t>assessment. As Australia has set out above in the legal framework,</w:t>
      </w:r>
      <w:r>
        <w:rPr>
          <w:vertAlign w:val="superscript"/>
        </w:rPr>
        <w:t>273</w:t>
      </w:r>
      <w:r>
        <w:t xml:space="preserve"> these "costs shall normal</w:t>
      </w:r>
      <w:r>
        <w:t>ly be calculated</w:t>
      </w:r>
      <w:r>
        <w:rPr>
          <w:spacing w:val="-4"/>
        </w:rPr>
        <w:t xml:space="preserve"> </w:t>
      </w:r>
      <w:r>
        <w:t>on</w:t>
      </w:r>
      <w:r>
        <w:rPr>
          <w:spacing w:val="-3"/>
        </w:rPr>
        <w:t xml:space="preserve"> </w:t>
      </w:r>
      <w:r>
        <w:t>the</w:t>
      </w:r>
      <w:r>
        <w:rPr>
          <w:spacing w:val="-2"/>
        </w:rPr>
        <w:t xml:space="preserve"> </w:t>
      </w:r>
      <w:r>
        <w:t>basis</w:t>
      </w:r>
      <w:r>
        <w:rPr>
          <w:spacing w:val="-4"/>
        </w:rPr>
        <w:t xml:space="preserve"> </w:t>
      </w:r>
      <w:r>
        <w:t>of</w:t>
      </w:r>
      <w:r>
        <w:rPr>
          <w:spacing w:val="-3"/>
        </w:rPr>
        <w:t xml:space="preserve"> </w:t>
      </w:r>
      <w:r>
        <w:t>records</w:t>
      </w:r>
      <w:r>
        <w:rPr>
          <w:spacing w:val="-4"/>
        </w:rPr>
        <w:t xml:space="preserve"> </w:t>
      </w:r>
      <w:r>
        <w:t>kept</w:t>
      </w:r>
      <w:r>
        <w:rPr>
          <w:spacing w:val="-3"/>
        </w:rPr>
        <w:t xml:space="preserve"> </w:t>
      </w:r>
      <w:r>
        <w:t>by</w:t>
      </w:r>
      <w:r>
        <w:rPr>
          <w:spacing w:val="-2"/>
        </w:rPr>
        <w:t xml:space="preserve"> </w:t>
      </w:r>
      <w:r>
        <w:t>the</w:t>
      </w:r>
      <w:r>
        <w:rPr>
          <w:spacing w:val="-3"/>
        </w:rPr>
        <w:t xml:space="preserve"> </w:t>
      </w:r>
      <w:r>
        <w:t>exporter</w:t>
      </w:r>
      <w:r>
        <w:rPr>
          <w:spacing w:val="-2"/>
        </w:rPr>
        <w:t xml:space="preserve"> </w:t>
      </w:r>
      <w:r>
        <w:t>or</w:t>
      </w:r>
      <w:r>
        <w:rPr>
          <w:spacing w:val="-2"/>
        </w:rPr>
        <w:t xml:space="preserve"> </w:t>
      </w:r>
      <w:r>
        <w:t>producer</w:t>
      </w:r>
      <w:r>
        <w:rPr>
          <w:spacing w:val="-2"/>
        </w:rPr>
        <w:t xml:space="preserve"> </w:t>
      </w:r>
      <w:r>
        <w:t>under</w:t>
      </w:r>
      <w:r>
        <w:rPr>
          <w:spacing w:val="-3"/>
        </w:rPr>
        <w:t xml:space="preserve"> </w:t>
      </w:r>
      <w:r>
        <w:t>investigation".</w:t>
      </w:r>
      <w:r>
        <w:rPr>
          <w:spacing w:val="-2"/>
        </w:rPr>
        <w:t xml:space="preserve"> </w:t>
      </w:r>
      <w:r>
        <w:t>This obligation is operative so long as the records are in accordance with the generally accepted accounting principles in the exporting country, and reasonably</w:t>
      </w:r>
      <w:r>
        <w:t xml:space="preserve"> reflect the costs associated with the production and sale of the product under consideration.</w:t>
      </w:r>
      <w:r>
        <w:rPr>
          <w:vertAlign w:val="superscript"/>
        </w:rPr>
        <w:t>274</w:t>
      </w:r>
    </w:p>
    <w:p w14:paraId="51DE8409" w14:textId="77777777" w:rsidR="0010369C" w:rsidRDefault="0010369C">
      <w:pPr>
        <w:pStyle w:val="BodyText"/>
        <w:spacing w:before="11"/>
        <w:rPr>
          <w:sz w:val="8"/>
        </w:rPr>
      </w:pPr>
    </w:p>
    <w:p w14:paraId="51DE840A" w14:textId="77777777" w:rsidR="0010369C" w:rsidRDefault="008E43AE">
      <w:pPr>
        <w:pStyle w:val="BodyText"/>
        <w:spacing w:before="52" w:line="360" w:lineRule="auto"/>
        <w:ind w:left="238" w:right="611" w:firstLine="850"/>
      </w:pPr>
      <w:r>
        <w:rPr>
          <w:noProof/>
        </w:rPr>
        <w:drawing>
          <wp:anchor distT="0" distB="0" distL="0" distR="0" simplePos="0" relativeHeight="250919424" behindDoc="1" locked="0" layoutInCell="1" allowOverlap="1" wp14:anchorId="51DEA093" wp14:editId="51DEA094">
            <wp:simplePos x="0" y="0"/>
            <wp:positionH relativeFrom="page">
              <wp:posOffset>905255</wp:posOffset>
            </wp:positionH>
            <wp:positionV relativeFrom="paragraph">
              <wp:posOffset>81357</wp:posOffset>
            </wp:positionV>
            <wp:extent cx="259079" cy="103631"/>
            <wp:effectExtent l="0" t="0" r="0" b="0"/>
            <wp:wrapNone/>
            <wp:docPr id="505" name="image2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 name="image261.png"/>
                    <pic:cNvPicPr/>
                  </pic:nvPicPr>
                  <pic:blipFill>
                    <a:blip r:embed="rId363" cstate="print"/>
                    <a:stretch>
                      <a:fillRect/>
                    </a:stretch>
                  </pic:blipFill>
                  <pic:spPr>
                    <a:xfrm>
                      <a:off x="0" y="0"/>
                      <a:ext cx="259079" cy="103631"/>
                    </a:xfrm>
                    <a:prstGeom prst="rect">
                      <a:avLst/>
                    </a:prstGeom>
                  </pic:spPr>
                </pic:pic>
              </a:graphicData>
            </a:graphic>
          </wp:anchor>
        </w:drawing>
      </w:r>
      <w:r>
        <w:t>MOFCOM was obligated to use the costs reported by Treasury Wines for each PCN unless</w:t>
      </w:r>
      <w:r>
        <w:rPr>
          <w:spacing w:val="2"/>
        </w:rPr>
        <w:t xml:space="preserve"> </w:t>
      </w:r>
      <w:r>
        <w:t>it</w:t>
      </w:r>
      <w:r>
        <w:rPr>
          <w:spacing w:val="2"/>
        </w:rPr>
        <w:t xml:space="preserve"> </w:t>
      </w:r>
      <w:r>
        <w:t>established</w:t>
      </w:r>
      <w:r>
        <w:rPr>
          <w:spacing w:val="3"/>
        </w:rPr>
        <w:t xml:space="preserve"> </w:t>
      </w:r>
      <w:r>
        <w:t>one</w:t>
      </w:r>
      <w:r>
        <w:rPr>
          <w:spacing w:val="3"/>
        </w:rPr>
        <w:t xml:space="preserve"> </w:t>
      </w:r>
      <w:r>
        <w:t>of</w:t>
      </w:r>
      <w:r>
        <w:rPr>
          <w:spacing w:val="2"/>
        </w:rPr>
        <w:t xml:space="preserve"> </w:t>
      </w:r>
      <w:r>
        <w:t>the</w:t>
      </w:r>
      <w:r>
        <w:rPr>
          <w:spacing w:val="1"/>
        </w:rPr>
        <w:t xml:space="preserve"> </w:t>
      </w:r>
      <w:r>
        <w:t>exceptional</w:t>
      </w:r>
      <w:r>
        <w:rPr>
          <w:spacing w:val="1"/>
        </w:rPr>
        <w:t xml:space="preserve"> </w:t>
      </w:r>
      <w:r>
        <w:t>circumstances</w:t>
      </w:r>
      <w:r>
        <w:rPr>
          <w:spacing w:val="2"/>
        </w:rPr>
        <w:t xml:space="preserve"> </w:t>
      </w:r>
      <w:r>
        <w:t>above</w:t>
      </w:r>
      <w:r>
        <w:rPr>
          <w:spacing w:val="4"/>
        </w:rPr>
        <w:t xml:space="preserve"> </w:t>
      </w:r>
      <w:r>
        <w:t>on</w:t>
      </w:r>
      <w:r>
        <w:rPr>
          <w:spacing w:val="1"/>
        </w:rPr>
        <w:t xml:space="preserve"> </w:t>
      </w:r>
      <w:r>
        <w:t>the</w:t>
      </w:r>
      <w:r>
        <w:rPr>
          <w:spacing w:val="2"/>
        </w:rPr>
        <w:t xml:space="preserve"> </w:t>
      </w:r>
      <w:r>
        <w:t>record.</w:t>
      </w:r>
      <w:r>
        <w:rPr>
          <w:spacing w:val="2"/>
        </w:rPr>
        <w:t xml:space="preserve"> </w:t>
      </w:r>
      <w:r>
        <w:t>As</w:t>
      </w:r>
      <w:r>
        <w:rPr>
          <w:spacing w:val="1"/>
        </w:rPr>
        <w:t xml:space="preserve"> </w:t>
      </w:r>
      <w:r>
        <w:rPr>
          <w:spacing w:val="-2"/>
        </w:rPr>
        <w:t>Australia</w:t>
      </w:r>
    </w:p>
    <w:tbl>
      <w:tblPr>
        <w:tblW w:w="0" w:type="auto"/>
        <w:tblInd w:w="225" w:type="dxa"/>
        <w:tblLayout w:type="fixed"/>
        <w:tblCellMar>
          <w:left w:w="0" w:type="dxa"/>
          <w:right w:w="0" w:type="dxa"/>
        </w:tblCellMar>
        <w:tblLook w:val="01E0" w:firstRow="1" w:lastRow="1" w:firstColumn="1" w:lastColumn="1" w:noHBand="0" w:noVBand="0"/>
      </w:tblPr>
      <w:tblGrid>
        <w:gridCol w:w="1680"/>
        <w:gridCol w:w="5972"/>
        <w:gridCol w:w="1477"/>
      </w:tblGrid>
      <w:tr w:rsidR="0010369C" w14:paraId="51DE840D" w14:textId="77777777">
        <w:trPr>
          <w:trHeight w:val="320"/>
        </w:trPr>
        <w:tc>
          <w:tcPr>
            <w:tcW w:w="7652" w:type="dxa"/>
            <w:gridSpan w:val="2"/>
            <w:tcBorders>
              <w:bottom w:val="single" w:sz="48" w:space="0" w:color="FFFFFF"/>
            </w:tcBorders>
          </w:tcPr>
          <w:p w14:paraId="51DE840B" w14:textId="77777777" w:rsidR="0010369C" w:rsidRDefault="008E43AE">
            <w:pPr>
              <w:pStyle w:val="TableParagraph"/>
              <w:spacing w:line="291" w:lineRule="exact"/>
              <w:ind w:left="19" w:right="-29"/>
              <w:rPr>
                <w:sz w:val="24"/>
              </w:rPr>
            </w:pPr>
            <w:r>
              <w:rPr>
                <w:sz w:val="24"/>
              </w:rPr>
              <w:t>will</w:t>
            </w:r>
            <w:r>
              <w:rPr>
                <w:spacing w:val="-4"/>
                <w:sz w:val="24"/>
              </w:rPr>
              <w:t xml:space="preserve"> </w:t>
            </w:r>
            <w:r>
              <w:rPr>
                <w:sz w:val="24"/>
              </w:rPr>
              <w:t>established</w:t>
            </w:r>
            <w:r>
              <w:rPr>
                <w:spacing w:val="-4"/>
                <w:sz w:val="24"/>
              </w:rPr>
              <w:t xml:space="preserve"> </w:t>
            </w:r>
            <w:r>
              <w:rPr>
                <w:sz w:val="24"/>
              </w:rPr>
              <w:t>in</w:t>
            </w:r>
            <w:r>
              <w:rPr>
                <w:spacing w:val="-4"/>
                <w:sz w:val="24"/>
              </w:rPr>
              <w:t xml:space="preserve"> </w:t>
            </w:r>
            <w:r>
              <w:rPr>
                <w:sz w:val="24"/>
              </w:rPr>
              <w:t>facts</w:t>
            </w:r>
            <w:r>
              <w:rPr>
                <w:spacing w:val="-2"/>
                <w:sz w:val="24"/>
              </w:rPr>
              <w:t xml:space="preserve"> </w:t>
            </w:r>
            <w:r>
              <w:rPr>
                <w:sz w:val="24"/>
              </w:rPr>
              <w:t>available</w:t>
            </w:r>
            <w:r>
              <w:rPr>
                <w:spacing w:val="-3"/>
                <w:sz w:val="24"/>
              </w:rPr>
              <w:t xml:space="preserve"> </w:t>
            </w:r>
            <w:r>
              <w:rPr>
                <w:sz w:val="24"/>
              </w:rPr>
              <w:t>section</w:t>
            </w:r>
            <w:r>
              <w:rPr>
                <w:spacing w:val="-4"/>
                <w:sz w:val="24"/>
              </w:rPr>
              <w:t xml:space="preserve"> </w:t>
            </w:r>
            <w:r>
              <w:rPr>
                <w:sz w:val="24"/>
              </w:rPr>
              <w:t>above,</w:t>
            </w:r>
            <w:r>
              <w:rPr>
                <w:sz w:val="24"/>
                <w:vertAlign w:val="superscript"/>
              </w:rPr>
              <w:t>275</w:t>
            </w:r>
            <w:r>
              <w:rPr>
                <w:spacing w:val="-4"/>
                <w:sz w:val="24"/>
              </w:rPr>
              <w:t xml:space="preserve"> </w:t>
            </w:r>
            <w:r>
              <w:rPr>
                <w:sz w:val="24"/>
              </w:rPr>
              <w:t>MOFCOM</w:t>
            </w:r>
            <w:r>
              <w:rPr>
                <w:spacing w:val="-3"/>
                <w:sz w:val="24"/>
              </w:rPr>
              <w:t xml:space="preserve"> </w:t>
            </w:r>
            <w:r>
              <w:rPr>
                <w:sz w:val="24"/>
              </w:rPr>
              <w:t>failed</w:t>
            </w:r>
            <w:r>
              <w:rPr>
                <w:spacing w:val="-4"/>
                <w:sz w:val="24"/>
              </w:rPr>
              <w:t xml:space="preserve"> </w:t>
            </w:r>
            <w:r>
              <w:rPr>
                <w:sz w:val="24"/>
              </w:rPr>
              <w:t>to</w:t>
            </w:r>
            <w:r>
              <w:rPr>
                <w:spacing w:val="-3"/>
                <w:sz w:val="24"/>
              </w:rPr>
              <w:t xml:space="preserve"> </w:t>
            </w:r>
            <w:r>
              <w:rPr>
                <w:sz w:val="24"/>
              </w:rPr>
              <w:t>do</w:t>
            </w:r>
            <w:r>
              <w:rPr>
                <w:spacing w:val="-3"/>
                <w:sz w:val="24"/>
              </w:rPr>
              <w:t xml:space="preserve"> </w:t>
            </w:r>
            <w:r>
              <w:rPr>
                <w:sz w:val="24"/>
              </w:rPr>
              <w:t>so.</w:t>
            </w:r>
            <w:r>
              <w:rPr>
                <w:spacing w:val="-4"/>
                <w:sz w:val="24"/>
              </w:rPr>
              <w:t xml:space="preserve"> </w:t>
            </w:r>
            <w:r>
              <w:rPr>
                <w:spacing w:val="-5"/>
                <w:sz w:val="24"/>
              </w:rPr>
              <w:t>[[</w:t>
            </w:r>
          </w:p>
        </w:tc>
        <w:tc>
          <w:tcPr>
            <w:tcW w:w="1477" w:type="dxa"/>
            <w:tcBorders>
              <w:bottom w:val="single" w:sz="48" w:space="0" w:color="FFFFFF"/>
            </w:tcBorders>
            <w:shd w:val="clear" w:color="auto" w:fill="000000"/>
          </w:tcPr>
          <w:p w14:paraId="51DE840C" w14:textId="77777777" w:rsidR="0010369C" w:rsidRDefault="0010369C">
            <w:pPr>
              <w:pStyle w:val="TableParagraph"/>
              <w:rPr>
                <w:rFonts w:ascii="Times New Roman"/>
                <w:sz w:val="20"/>
              </w:rPr>
            </w:pPr>
          </w:p>
        </w:tc>
      </w:tr>
      <w:tr w:rsidR="0010369C" w14:paraId="51DE840F" w14:textId="77777777">
        <w:trPr>
          <w:trHeight w:val="319"/>
        </w:trPr>
        <w:tc>
          <w:tcPr>
            <w:tcW w:w="9129" w:type="dxa"/>
            <w:gridSpan w:val="3"/>
            <w:tcBorders>
              <w:top w:val="single" w:sz="48" w:space="0" w:color="FFFFFF"/>
              <w:bottom w:val="single" w:sz="48" w:space="0" w:color="FFFFFF"/>
            </w:tcBorders>
            <w:shd w:val="clear" w:color="auto" w:fill="000000"/>
          </w:tcPr>
          <w:p w14:paraId="51DE840E" w14:textId="77777777" w:rsidR="0010369C" w:rsidRDefault="0010369C">
            <w:pPr>
              <w:pStyle w:val="TableParagraph"/>
              <w:rPr>
                <w:rFonts w:ascii="Times New Roman"/>
                <w:sz w:val="20"/>
              </w:rPr>
            </w:pPr>
          </w:p>
        </w:tc>
      </w:tr>
      <w:tr w:rsidR="0010369C" w14:paraId="51DE8411" w14:textId="77777777">
        <w:trPr>
          <w:trHeight w:val="319"/>
        </w:trPr>
        <w:tc>
          <w:tcPr>
            <w:tcW w:w="9129" w:type="dxa"/>
            <w:gridSpan w:val="3"/>
            <w:tcBorders>
              <w:top w:val="single" w:sz="48" w:space="0" w:color="FFFFFF"/>
              <w:bottom w:val="single" w:sz="48" w:space="0" w:color="FFFFFF"/>
            </w:tcBorders>
            <w:shd w:val="clear" w:color="auto" w:fill="000000"/>
          </w:tcPr>
          <w:p w14:paraId="51DE8410" w14:textId="77777777" w:rsidR="0010369C" w:rsidRDefault="0010369C">
            <w:pPr>
              <w:pStyle w:val="TableParagraph"/>
              <w:rPr>
                <w:rFonts w:ascii="Times New Roman"/>
                <w:sz w:val="20"/>
              </w:rPr>
            </w:pPr>
          </w:p>
        </w:tc>
      </w:tr>
      <w:tr w:rsidR="0010369C" w14:paraId="51DE8413" w14:textId="77777777">
        <w:trPr>
          <w:trHeight w:val="319"/>
        </w:trPr>
        <w:tc>
          <w:tcPr>
            <w:tcW w:w="9129" w:type="dxa"/>
            <w:gridSpan w:val="3"/>
            <w:tcBorders>
              <w:top w:val="single" w:sz="48" w:space="0" w:color="FFFFFF"/>
              <w:bottom w:val="single" w:sz="48" w:space="0" w:color="FFFFFF"/>
            </w:tcBorders>
            <w:shd w:val="clear" w:color="auto" w:fill="000000"/>
          </w:tcPr>
          <w:p w14:paraId="51DE8412" w14:textId="77777777" w:rsidR="0010369C" w:rsidRDefault="0010369C">
            <w:pPr>
              <w:pStyle w:val="TableParagraph"/>
              <w:rPr>
                <w:rFonts w:ascii="Times New Roman"/>
                <w:sz w:val="20"/>
              </w:rPr>
            </w:pPr>
          </w:p>
        </w:tc>
      </w:tr>
      <w:tr w:rsidR="0010369C" w14:paraId="51DE8415" w14:textId="77777777">
        <w:trPr>
          <w:trHeight w:val="319"/>
        </w:trPr>
        <w:tc>
          <w:tcPr>
            <w:tcW w:w="9129" w:type="dxa"/>
            <w:gridSpan w:val="3"/>
            <w:tcBorders>
              <w:top w:val="single" w:sz="48" w:space="0" w:color="FFFFFF"/>
              <w:bottom w:val="single" w:sz="48" w:space="0" w:color="FFFFFF"/>
            </w:tcBorders>
            <w:shd w:val="clear" w:color="auto" w:fill="000000"/>
          </w:tcPr>
          <w:p w14:paraId="51DE8414" w14:textId="77777777" w:rsidR="0010369C" w:rsidRDefault="0010369C">
            <w:pPr>
              <w:pStyle w:val="TableParagraph"/>
              <w:rPr>
                <w:rFonts w:ascii="Times New Roman"/>
                <w:sz w:val="20"/>
              </w:rPr>
            </w:pPr>
          </w:p>
        </w:tc>
      </w:tr>
      <w:tr w:rsidR="0010369C" w14:paraId="51DE8417" w14:textId="77777777">
        <w:trPr>
          <w:trHeight w:val="319"/>
        </w:trPr>
        <w:tc>
          <w:tcPr>
            <w:tcW w:w="9129" w:type="dxa"/>
            <w:gridSpan w:val="3"/>
            <w:tcBorders>
              <w:top w:val="single" w:sz="48" w:space="0" w:color="FFFFFF"/>
              <w:bottom w:val="single" w:sz="48" w:space="0" w:color="FFFFFF"/>
            </w:tcBorders>
            <w:shd w:val="clear" w:color="auto" w:fill="000000"/>
          </w:tcPr>
          <w:p w14:paraId="51DE8416" w14:textId="77777777" w:rsidR="0010369C" w:rsidRDefault="0010369C">
            <w:pPr>
              <w:pStyle w:val="TableParagraph"/>
              <w:rPr>
                <w:rFonts w:ascii="Times New Roman"/>
                <w:sz w:val="20"/>
              </w:rPr>
            </w:pPr>
          </w:p>
        </w:tc>
      </w:tr>
      <w:tr w:rsidR="0010369C" w14:paraId="51DE8419" w14:textId="77777777">
        <w:trPr>
          <w:trHeight w:val="319"/>
        </w:trPr>
        <w:tc>
          <w:tcPr>
            <w:tcW w:w="9129" w:type="dxa"/>
            <w:gridSpan w:val="3"/>
            <w:tcBorders>
              <w:top w:val="single" w:sz="48" w:space="0" w:color="FFFFFF"/>
              <w:bottom w:val="single" w:sz="48" w:space="0" w:color="FFFFFF"/>
            </w:tcBorders>
            <w:shd w:val="clear" w:color="auto" w:fill="000000"/>
          </w:tcPr>
          <w:p w14:paraId="51DE8418" w14:textId="77777777" w:rsidR="0010369C" w:rsidRDefault="0010369C">
            <w:pPr>
              <w:pStyle w:val="TableParagraph"/>
              <w:rPr>
                <w:rFonts w:ascii="Times New Roman"/>
                <w:sz w:val="20"/>
              </w:rPr>
            </w:pPr>
          </w:p>
        </w:tc>
      </w:tr>
      <w:tr w:rsidR="0010369C" w14:paraId="51DE841B" w14:textId="77777777">
        <w:trPr>
          <w:trHeight w:val="319"/>
        </w:trPr>
        <w:tc>
          <w:tcPr>
            <w:tcW w:w="9129" w:type="dxa"/>
            <w:gridSpan w:val="3"/>
            <w:tcBorders>
              <w:top w:val="single" w:sz="48" w:space="0" w:color="FFFFFF"/>
              <w:bottom w:val="single" w:sz="48" w:space="0" w:color="FFFFFF"/>
            </w:tcBorders>
            <w:shd w:val="clear" w:color="auto" w:fill="000000"/>
          </w:tcPr>
          <w:p w14:paraId="51DE841A" w14:textId="77777777" w:rsidR="0010369C" w:rsidRDefault="0010369C">
            <w:pPr>
              <w:pStyle w:val="TableParagraph"/>
              <w:rPr>
                <w:rFonts w:ascii="Times New Roman"/>
                <w:sz w:val="20"/>
              </w:rPr>
            </w:pPr>
          </w:p>
        </w:tc>
      </w:tr>
      <w:tr w:rsidR="0010369C" w14:paraId="51DE841D" w14:textId="77777777">
        <w:trPr>
          <w:trHeight w:val="319"/>
        </w:trPr>
        <w:tc>
          <w:tcPr>
            <w:tcW w:w="9129" w:type="dxa"/>
            <w:gridSpan w:val="3"/>
            <w:tcBorders>
              <w:top w:val="single" w:sz="48" w:space="0" w:color="FFFFFF"/>
              <w:bottom w:val="single" w:sz="48" w:space="0" w:color="FFFFFF"/>
            </w:tcBorders>
            <w:shd w:val="clear" w:color="auto" w:fill="000000"/>
          </w:tcPr>
          <w:p w14:paraId="51DE841C" w14:textId="77777777" w:rsidR="0010369C" w:rsidRDefault="0010369C">
            <w:pPr>
              <w:pStyle w:val="TableParagraph"/>
              <w:rPr>
                <w:rFonts w:ascii="Times New Roman"/>
                <w:sz w:val="20"/>
              </w:rPr>
            </w:pPr>
          </w:p>
        </w:tc>
      </w:tr>
      <w:tr w:rsidR="0010369C" w14:paraId="51DE8420" w14:textId="77777777">
        <w:trPr>
          <w:trHeight w:val="320"/>
        </w:trPr>
        <w:tc>
          <w:tcPr>
            <w:tcW w:w="1680" w:type="dxa"/>
            <w:tcBorders>
              <w:top w:val="single" w:sz="48" w:space="0" w:color="FFFFFF"/>
            </w:tcBorders>
            <w:shd w:val="clear" w:color="auto" w:fill="000000"/>
          </w:tcPr>
          <w:p w14:paraId="51DE841E" w14:textId="77777777" w:rsidR="0010369C" w:rsidRDefault="0010369C">
            <w:pPr>
              <w:pStyle w:val="TableParagraph"/>
              <w:rPr>
                <w:rFonts w:ascii="Times New Roman"/>
                <w:sz w:val="20"/>
              </w:rPr>
            </w:pPr>
          </w:p>
        </w:tc>
        <w:tc>
          <w:tcPr>
            <w:tcW w:w="7449" w:type="dxa"/>
            <w:gridSpan w:val="2"/>
            <w:tcBorders>
              <w:top w:val="single" w:sz="48" w:space="0" w:color="FFFFFF"/>
            </w:tcBorders>
          </w:tcPr>
          <w:p w14:paraId="51DE841F" w14:textId="77777777" w:rsidR="0010369C" w:rsidRDefault="008E43AE">
            <w:pPr>
              <w:pStyle w:val="TableParagraph"/>
              <w:spacing w:line="290" w:lineRule="exact"/>
              <w:ind w:left="21"/>
              <w:rPr>
                <w:sz w:val="24"/>
              </w:rPr>
            </w:pPr>
            <w:r>
              <w:rPr>
                <w:spacing w:val="-5"/>
                <w:sz w:val="24"/>
              </w:rPr>
              <w:t>]]</w:t>
            </w:r>
          </w:p>
        </w:tc>
      </w:tr>
    </w:tbl>
    <w:p w14:paraId="51DE8421" w14:textId="77777777" w:rsidR="0010369C" w:rsidRDefault="0010369C">
      <w:pPr>
        <w:pStyle w:val="BodyText"/>
        <w:rPr>
          <w:sz w:val="23"/>
        </w:rPr>
      </w:pPr>
    </w:p>
    <w:p w14:paraId="51DE8422" w14:textId="77777777" w:rsidR="0010369C" w:rsidRDefault="008E43AE">
      <w:pPr>
        <w:ind w:left="1089"/>
        <w:rPr>
          <w:sz w:val="24"/>
        </w:rPr>
      </w:pPr>
      <w:r>
        <w:rPr>
          <w:noProof/>
        </w:rPr>
        <w:drawing>
          <wp:anchor distT="0" distB="0" distL="0" distR="0" simplePos="0" relativeHeight="250641920" behindDoc="0" locked="0" layoutInCell="1" allowOverlap="1" wp14:anchorId="51DEA095" wp14:editId="51DEA096">
            <wp:simplePos x="0" y="0"/>
            <wp:positionH relativeFrom="page">
              <wp:posOffset>905255</wp:posOffset>
            </wp:positionH>
            <wp:positionV relativeFrom="paragraph">
              <wp:posOffset>48337</wp:posOffset>
            </wp:positionV>
            <wp:extent cx="259079" cy="103631"/>
            <wp:effectExtent l="0" t="0" r="0" b="0"/>
            <wp:wrapNone/>
            <wp:docPr id="507" name="image2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 name="image262.png"/>
                    <pic:cNvPicPr/>
                  </pic:nvPicPr>
                  <pic:blipFill>
                    <a:blip r:embed="rId364" cstate="print"/>
                    <a:stretch>
                      <a:fillRect/>
                    </a:stretch>
                  </pic:blipFill>
                  <pic:spPr>
                    <a:xfrm>
                      <a:off x="0" y="0"/>
                      <a:ext cx="259079" cy="103631"/>
                    </a:xfrm>
                    <a:prstGeom prst="rect">
                      <a:avLst/>
                    </a:prstGeom>
                  </pic:spPr>
                </pic:pic>
              </a:graphicData>
            </a:graphic>
          </wp:anchor>
        </w:drawing>
      </w:r>
      <w:r>
        <w:pict w14:anchorId="51DEA097">
          <v:rect id="docshape526" o:spid="_x0000_s1738" style="position:absolute;left:0;text-align:left;margin-left:119.8pt;margin-top:.1pt;width:403.75pt;height:16.05pt;z-index:251790848;mso-position-horizontal-relative:page;mso-position-vertical-relative:text" fillcolor="black" stroked="f">
            <w10:wrap anchorx="page"/>
          </v:rect>
        </w:pict>
      </w:r>
      <w:r>
        <w:rPr>
          <w:spacing w:val="-5"/>
          <w:sz w:val="24"/>
        </w:rPr>
        <w:t>[[</w:t>
      </w:r>
    </w:p>
    <w:p w14:paraId="51DE8423" w14:textId="77777777" w:rsidR="0010369C" w:rsidRDefault="008E43AE">
      <w:pPr>
        <w:pStyle w:val="BodyText"/>
        <w:spacing w:before="2"/>
        <w:rPr>
          <w:sz w:val="10"/>
        </w:rPr>
      </w:pPr>
      <w:r>
        <w:pict w14:anchorId="51DEA098">
          <v:rect id="docshape527" o:spid="_x0000_s1737" style="position:absolute;margin-left:69.9pt;margin-top:7.45pt;width:453.5pt;height:16.05pt;z-index:-251030016;mso-wrap-distance-left:0;mso-wrap-distance-right:0;mso-position-horizontal-relative:page" fillcolor="black" stroked="f">
            <w10:wrap type="topAndBottom" anchorx="page"/>
          </v:rect>
        </w:pict>
      </w:r>
      <w:r>
        <w:pict w14:anchorId="51DEA099">
          <v:rect id="docshape528" o:spid="_x0000_s1736" style="position:absolute;margin-left:69.9pt;margin-top:29.4pt;width:453.5pt;height:16.05pt;z-index:-251028992;mso-wrap-distance-left:0;mso-wrap-distance-right:0;mso-position-horizontal-relative:page" fillcolor="black" stroked="f">
            <w10:wrap type="topAndBottom" anchorx="page"/>
          </v:rect>
        </w:pict>
      </w:r>
    </w:p>
    <w:p w14:paraId="51DE8424" w14:textId="77777777" w:rsidR="0010369C" w:rsidRDefault="0010369C">
      <w:pPr>
        <w:pStyle w:val="BodyText"/>
        <w:spacing w:before="8"/>
        <w:rPr>
          <w:sz w:val="7"/>
        </w:rPr>
      </w:pPr>
    </w:p>
    <w:p w14:paraId="51DE8425" w14:textId="77777777" w:rsidR="0010369C" w:rsidRDefault="0010369C">
      <w:pPr>
        <w:pStyle w:val="BodyText"/>
        <w:rPr>
          <w:sz w:val="20"/>
        </w:rPr>
      </w:pPr>
    </w:p>
    <w:p w14:paraId="51DE8426" w14:textId="77777777" w:rsidR="0010369C" w:rsidRDefault="008E43AE">
      <w:pPr>
        <w:pStyle w:val="BodyText"/>
        <w:rPr>
          <w:sz w:val="23"/>
        </w:rPr>
      </w:pPr>
      <w:r>
        <w:pict w14:anchorId="51DEA09A">
          <v:rect id="docshape529" o:spid="_x0000_s1735" style="position:absolute;margin-left:70.9pt;margin-top:15.25pt;width:2in;height:.8pt;z-index:-251027968;mso-wrap-distance-left:0;mso-wrap-distance-right:0;mso-position-horizontal-relative:page" fillcolor="black" stroked="f">
            <w10:wrap type="topAndBottom" anchorx="page"/>
          </v:rect>
        </w:pict>
      </w:r>
    </w:p>
    <w:p w14:paraId="51DE8427" w14:textId="77777777" w:rsidR="0010369C" w:rsidRDefault="0010369C">
      <w:pPr>
        <w:pStyle w:val="BodyText"/>
        <w:spacing w:before="8"/>
        <w:rPr>
          <w:sz w:val="5"/>
        </w:rPr>
      </w:pPr>
    </w:p>
    <w:p w14:paraId="51DE8428" w14:textId="77777777" w:rsidR="0010369C" w:rsidRDefault="0010369C">
      <w:pPr>
        <w:rPr>
          <w:sz w:val="5"/>
        </w:rPr>
        <w:sectPr w:rsidR="0010369C">
          <w:pgSz w:w="11910" w:h="16840"/>
          <w:pgMar w:top="880" w:right="800" w:bottom="980" w:left="1180" w:header="569" w:footer="788" w:gutter="0"/>
          <w:cols w:space="720"/>
        </w:sectPr>
      </w:pPr>
    </w:p>
    <w:p w14:paraId="51DE8429" w14:textId="77777777" w:rsidR="0010369C" w:rsidRDefault="008E43AE">
      <w:pPr>
        <w:spacing w:before="74" w:line="158" w:lineRule="auto"/>
        <w:ind w:left="238"/>
        <w:rPr>
          <w:sz w:val="18"/>
        </w:rPr>
      </w:pPr>
      <w:r>
        <w:pict w14:anchorId="51DEA09B">
          <v:shape id="docshape530" o:spid="_x0000_s1734" style="position:absolute;left:0;text-align:left;margin-left:86.65pt;margin-top:2.35pt;width:276.1pt;height:23.05pt;z-index:251792896;mso-position-horizontal-relative:page" coordorigin="1733,47" coordsize="5522,461" path="m7255,47r-5522,l1733,266r,22l1733,507r5522,l7255,288r,-22l7255,47xe" fillcolor="black" stroked="f">
            <v:path arrowok="t"/>
            <w10:wrap anchorx="page"/>
          </v:shape>
        </w:pict>
      </w:r>
      <w:r>
        <w:rPr>
          <w:color w:val="5E5E5E"/>
          <w:sz w:val="12"/>
        </w:rPr>
        <w:t>271</w:t>
      </w:r>
      <w:r>
        <w:rPr>
          <w:color w:val="5E5E5E"/>
          <w:spacing w:val="11"/>
          <w:sz w:val="12"/>
        </w:rPr>
        <w:t xml:space="preserve"> </w:t>
      </w:r>
      <w:r>
        <w:rPr>
          <w:color w:val="5E5E5E"/>
          <w:spacing w:val="-10"/>
          <w:position w:val="-5"/>
          <w:sz w:val="18"/>
        </w:rPr>
        <w:t>[</w:t>
      </w:r>
    </w:p>
    <w:p w14:paraId="51DE842A" w14:textId="77777777" w:rsidR="0010369C" w:rsidRDefault="008E43AE">
      <w:pPr>
        <w:spacing w:before="33"/>
        <w:ind w:left="238"/>
        <w:rPr>
          <w:sz w:val="18"/>
        </w:rPr>
      </w:pPr>
      <w:r>
        <w:rPr>
          <w:color w:val="5E5E5E"/>
          <w:sz w:val="12"/>
        </w:rPr>
        <w:t>272</w:t>
      </w:r>
      <w:r>
        <w:rPr>
          <w:color w:val="5E5E5E"/>
          <w:spacing w:val="11"/>
          <w:sz w:val="12"/>
        </w:rPr>
        <w:t xml:space="preserve"> </w:t>
      </w:r>
      <w:r>
        <w:rPr>
          <w:color w:val="5E5E5E"/>
          <w:spacing w:val="-10"/>
          <w:position w:val="-5"/>
          <w:sz w:val="18"/>
        </w:rPr>
        <w:t>[</w:t>
      </w:r>
    </w:p>
    <w:p w14:paraId="51DE842B" w14:textId="77777777" w:rsidR="0010369C" w:rsidRDefault="008E43AE">
      <w:pPr>
        <w:ind w:left="238"/>
        <w:rPr>
          <w:sz w:val="18"/>
        </w:rPr>
      </w:pPr>
      <w:r>
        <w:rPr>
          <w:sz w:val="18"/>
          <w:vertAlign w:val="superscript"/>
        </w:rPr>
        <w:t>273</w:t>
      </w:r>
      <w:r>
        <w:rPr>
          <w:spacing w:val="-5"/>
          <w:sz w:val="18"/>
        </w:rPr>
        <w:t xml:space="preserve"> </w:t>
      </w:r>
      <w:r>
        <w:rPr>
          <w:sz w:val="18"/>
        </w:rPr>
        <w:t>See</w:t>
      </w:r>
      <w:r>
        <w:rPr>
          <w:spacing w:val="-5"/>
          <w:sz w:val="18"/>
        </w:rPr>
        <w:t xml:space="preserve"> </w:t>
      </w:r>
      <w:r>
        <w:rPr>
          <w:sz w:val="18"/>
        </w:rPr>
        <w:t>section</w:t>
      </w:r>
      <w:r>
        <w:rPr>
          <w:spacing w:val="-5"/>
          <w:sz w:val="18"/>
        </w:rPr>
        <w:t xml:space="preserve"> </w:t>
      </w:r>
      <w:r>
        <w:rPr>
          <w:spacing w:val="-2"/>
          <w:sz w:val="18"/>
        </w:rPr>
        <w:t>II.B.2(b).</w:t>
      </w:r>
    </w:p>
    <w:p w14:paraId="51DE842C" w14:textId="77777777" w:rsidR="0010369C" w:rsidRDefault="008E43AE">
      <w:pPr>
        <w:spacing w:before="40"/>
        <w:ind w:left="238"/>
        <w:rPr>
          <w:sz w:val="18"/>
        </w:rPr>
      </w:pPr>
      <w:r>
        <w:br w:type="column"/>
      </w:r>
      <w:r>
        <w:rPr>
          <w:color w:val="5E5E5E"/>
          <w:sz w:val="18"/>
        </w:rPr>
        <w:t>(Exhibit</w:t>
      </w:r>
      <w:r>
        <w:rPr>
          <w:color w:val="5E5E5E"/>
          <w:spacing w:val="-9"/>
          <w:sz w:val="18"/>
        </w:rPr>
        <w:t xml:space="preserve"> </w:t>
      </w:r>
      <w:r>
        <w:rPr>
          <w:color w:val="5E5E5E"/>
          <w:sz w:val="18"/>
        </w:rPr>
        <w:t>AUS‐4</w:t>
      </w:r>
      <w:r>
        <w:rPr>
          <w:color w:val="5E5E5E"/>
          <w:spacing w:val="-9"/>
          <w:sz w:val="18"/>
        </w:rPr>
        <w:t xml:space="preserve"> </w:t>
      </w:r>
      <w:r>
        <w:rPr>
          <w:color w:val="5E5E5E"/>
          <w:spacing w:val="-2"/>
          <w:sz w:val="18"/>
        </w:rPr>
        <w:t>(BCI)).]]</w:t>
      </w:r>
    </w:p>
    <w:p w14:paraId="51DE842D" w14:textId="77777777" w:rsidR="0010369C" w:rsidRDefault="008E43AE">
      <w:pPr>
        <w:ind w:left="238"/>
        <w:rPr>
          <w:sz w:val="18"/>
        </w:rPr>
      </w:pPr>
      <w:r>
        <w:rPr>
          <w:color w:val="5E5E5E"/>
          <w:spacing w:val="-2"/>
          <w:sz w:val="18"/>
        </w:rPr>
        <w:t>(Exhibit</w:t>
      </w:r>
      <w:r>
        <w:rPr>
          <w:color w:val="5E5E5E"/>
          <w:spacing w:val="4"/>
          <w:sz w:val="18"/>
        </w:rPr>
        <w:t xml:space="preserve"> </w:t>
      </w:r>
      <w:r>
        <w:rPr>
          <w:color w:val="5E5E5E"/>
          <w:spacing w:val="-2"/>
          <w:sz w:val="18"/>
        </w:rPr>
        <w:t>AUS‐4(BCI)).]]</w:t>
      </w:r>
    </w:p>
    <w:p w14:paraId="51DE842E" w14:textId="77777777" w:rsidR="0010369C" w:rsidRDefault="0010369C">
      <w:pPr>
        <w:rPr>
          <w:sz w:val="18"/>
        </w:rPr>
        <w:sectPr w:rsidR="0010369C">
          <w:type w:val="continuous"/>
          <w:pgSz w:w="11910" w:h="16840"/>
          <w:pgMar w:top="1460" w:right="800" w:bottom="280" w:left="1180" w:header="569" w:footer="788" w:gutter="0"/>
          <w:cols w:num="2" w:space="720" w:equalWidth="0">
            <w:col w:w="1995" w:space="3903"/>
            <w:col w:w="4032"/>
          </w:cols>
        </w:sectPr>
      </w:pPr>
    </w:p>
    <w:p w14:paraId="51DE842F" w14:textId="77777777" w:rsidR="0010369C" w:rsidRDefault="008E43AE">
      <w:pPr>
        <w:spacing w:before="1"/>
        <w:ind w:left="237" w:right="611"/>
        <w:rPr>
          <w:sz w:val="18"/>
        </w:rPr>
      </w:pPr>
      <w:r>
        <w:rPr>
          <w:sz w:val="18"/>
          <w:vertAlign w:val="superscript"/>
        </w:rPr>
        <w:t>274</w:t>
      </w:r>
      <w:r>
        <w:rPr>
          <w:sz w:val="18"/>
        </w:rPr>
        <w:t xml:space="preserve"> This is discussed further in Appellate Body Report, </w:t>
      </w:r>
      <w:r>
        <w:rPr>
          <w:i/>
          <w:sz w:val="18"/>
        </w:rPr>
        <w:t>Ukraine – Ammonium Nitrate (Russia)</w:t>
      </w:r>
      <w:r>
        <w:rPr>
          <w:sz w:val="18"/>
        </w:rPr>
        <w:t xml:space="preserve">; Appellate Body Report, </w:t>
      </w:r>
      <w:r>
        <w:rPr>
          <w:i/>
          <w:sz w:val="18"/>
        </w:rPr>
        <w:t>EU – Biodiesel (Argentina)</w:t>
      </w:r>
      <w:r>
        <w:rPr>
          <w:sz w:val="18"/>
        </w:rPr>
        <w:t xml:space="preserve">; Panel Report, </w:t>
      </w:r>
      <w:r>
        <w:rPr>
          <w:i/>
          <w:sz w:val="18"/>
        </w:rPr>
        <w:t>Australia – A4 Copy Paper</w:t>
      </w:r>
      <w:r>
        <w:rPr>
          <w:sz w:val="18"/>
        </w:rPr>
        <w:t>.</w:t>
      </w:r>
    </w:p>
    <w:p w14:paraId="51DE8430" w14:textId="77777777" w:rsidR="0010369C" w:rsidRDefault="008E43AE">
      <w:pPr>
        <w:spacing w:line="219" w:lineRule="exact"/>
        <w:ind w:left="238"/>
        <w:rPr>
          <w:sz w:val="18"/>
        </w:rPr>
      </w:pPr>
      <w:r>
        <w:rPr>
          <w:sz w:val="18"/>
          <w:vertAlign w:val="superscript"/>
        </w:rPr>
        <w:t>275</w:t>
      </w:r>
      <w:r>
        <w:rPr>
          <w:spacing w:val="-5"/>
          <w:sz w:val="18"/>
        </w:rPr>
        <w:t xml:space="preserve"> </w:t>
      </w:r>
      <w:r>
        <w:rPr>
          <w:sz w:val="18"/>
        </w:rPr>
        <w:t>See</w:t>
      </w:r>
      <w:r>
        <w:rPr>
          <w:spacing w:val="-5"/>
          <w:sz w:val="18"/>
        </w:rPr>
        <w:t xml:space="preserve"> </w:t>
      </w:r>
      <w:r>
        <w:rPr>
          <w:sz w:val="18"/>
        </w:rPr>
        <w:t>section</w:t>
      </w:r>
      <w:r>
        <w:rPr>
          <w:spacing w:val="-5"/>
          <w:sz w:val="18"/>
        </w:rPr>
        <w:t xml:space="preserve"> </w:t>
      </w:r>
      <w:r>
        <w:rPr>
          <w:spacing w:val="-2"/>
          <w:sz w:val="18"/>
        </w:rPr>
        <w:t>II.E.2(a).</w:t>
      </w:r>
    </w:p>
    <w:p w14:paraId="51DE8431" w14:textId="77777777" w:rsidR="0010369C" w:rsidRDefault="008E43AE">
      <w:pPr>
        <w:tabs>
          <w:tab w:val="left" w:pos="6680"/>
          <w:tab w:val="left" w:pos="9037"/>
        </w:tabs>
        <w:ind w:left="238"/>
        <w:rPr>
          <w:sz w:val="18"/>
        </w:rPr>
      </w:pPr>
      <w:r>
        <w:pict w14:anchorId="51DEA09C">
          <v:rect id="docshape531" o:spid="_x0000_s1733" style="position:absolute;left:0;text-align:left;margin-left:86.65pt;margin-top:.35pt;width:303.25pt;height:12.05pt;z-index:-251373056;mso-position-horizontal-relative:page" fillcolor="black" stroked="f">
            <w10:wrap anchorx="page"/>
          </v:rect>
        </w:pict>
      </w:r>
      <w:r>
        <w:pict w14:anchorId="51DEA09D">
          <v:rect id="docshape532" o:spid="_x0000_s1732" style="position:absolute;left:0;text-align:left;margin-left:475.15pt;margin-top:.35pt;width:34.7pt;height:12.05pt;z-index:-251372032;mso-position-horizontal-relative:page" fillcolor="black" stroked="f">
            <w10:wrap anchorx="page"/>
          </v:rect>
        </w:pict>
      </w:r>
      <w:r>
        <w:rPr>
          <w:color w:val="5E5E5E"/>
          <w:sz w:val="18"/>
          <w:vertAlign w:val="superscript"/>
        </w:rPr>
        <w:t>276</w:t>
      </w:r>
      <w:r>
        <w:rPr>
          <w:color w:val="5E5E5E"/>
          <w:spacing w:val="-2"/>
          <w:sz w:val="18"/>
        </w:rPr>
        <w:t xml:space="preserve"> </w:t>
      </w:r>
      <w:r>
        <w:rPr>
          <w:color w:val="5E5E5E"/>
          <w:spacing w:val="-10"/>
          <w:sz w:val="18"/>
        </w:rPr>
        <w:t>[</w:t>
      </w:r>
      <w:r>
        <w:rPr>
          <w:color w:val="5E5E5E"/>
          <w:sz w:val="18"/>
        </w:rPr>
        <w:tab/>
        <w:t>(Exhibit</w:t>
      </w:r>
      <w:r>
        <w:rPr>
          <w:color w:val="5E5E5E"/>
          <w:spacing w:val="-9"/>
          <w:sz w:val="18"/>
        </w:rPr>
        <w:t xml:space="preserve"> </w:t>
      </w:r>
      <w:r>
        <w:rPr>
          <w:color w:val="5E5E5E"/>
          <w:sz w:val="18"/>
        </w:rPr>
        <w:t>AUS‐11</w:t>
      </w:r>
      <w:r>
        <w:rPr>
          <w:color w:val="5E5E5E"/>
          <w:spacing w:val="-9"/>
          <w:sz w:val="18"/>
        </w:rPr>
        <w:t xml:space="preserve"> </w:t>
      </w:r>
      <w:r>
        <w:rPr>
          <w:color w:val="5E5E5E"/>
          <w:spacing w:val="-2"/>
          <w:sz w:val="18"/>
        </w:rPr>
        <w:t>(BCI)),</w:t>
      </w:r>
      <w:r>
        <w:rPr>
          <w:color w:val="5E5E5E"/>
          <w:sz w:val="18"/>
        </w:rPr>
        <w:tab/>
      </w:r>
      <w:r>
        <w:rPr>
          <w:color w:val="5E5E5E"/>
          <w:spacing w:val="-5"/>
          <w:sz w:val="18"/>
        </w:rPr>
        <w:t>.]]</w:t>
      </w:r>
    </w:p>
    <w:p w14:paraId="51DE8432" w14:textId="77777777" w:rsidR="0010369C" w:rsidRDefault="0010369C">
      <w:pPr>
        <w:rPr>
          <w:sz w:val="18"/>
        </w:rPr>
        <w:sectPr w:rsidR="0010369C">
          <w:type w:val="continuous"/>
          <w:pgSz w:w="11910" w:h="16840"/>
          <w:pgMar w:top="1460" w:right="800" w:bottom="280" w:left="1180" w:header="569" w:footer="788" w:gutter="0"/>
          <w:cols w:space="720"/>
        </w:sectPr>
      </w:pPr>
    </w:p>
    <w:p w14:paraId="51DE8433" w14:textId="77777777" w:rsidR="0010369C" w:rsidRDefault="008E43AE">
      <w:pPr>
        <w:tabs>
          <w:tab w:val="left" w:pos="6426"/>
        </w:tabs>
        <w:ind w:left="238"/>
        <w:rPr>
          <w:sz w:val="20"/>
        </w:rPr>
      </w:pPr>
      <w:r>
        <w:rPr>
          <w:i/>
          <w:sz w:val="20"/>
        </w:rPr>
        <w:lastRenderedPageBreak/>
        <w:t>China</w:t>
      </w:r>
      <w:r>
        <w:rPr>
          <w:i/>
          <w:spacing w:val="-5"/>
          <w:sz w:val="20"/>
        </w:rPr>
        <w:t xml:space="preserve"> </w:t>
      </w:r>
      <w:r>
        <w:rPr>
          <w:i/>
          <w:sz w:val="20"/>
        </w:rPr>
        <w:t>–</w:t>
      </w:r>
      <w:r>
        <w:rPr>
          <w:i/>
          <w:spacing w:val="-5"/>
          <w:sz w:val="20"/>
        </w:rPr>
        <w:t xml:space="preserve"> </w:t>
      </w:r>
      <w:r>
        <w:rPr>
          <w:i/>
          <w:sz w:val="20"/>
        </w:rPr>
        <w:t>Anti‐Dumping</w:t>
      </w:r>
      <w:r>
        <w:rPr>
          <w:i/>
          <w:spacing w:val="-4"/>
          <w:sz w:val="20"/>
        </w:rPr>
        <w:t xml:space="preserve"> </w:t>
      </w:r>
      <w:r>
        <w:rPr>
          <w:i/>
          <w:sz w:val="20"/>
        </w:rPr>
        <w:t>and</w:t>
      </w:r>
      <w:r>
        <w:rPr>
          <w:i/>
          <w:spacing w:val="-5"/>
          <w:sz w:val="20"/>
        </w:rPr>
        <w:t xml:space="preserve"> </w:t>
      </w:r>
      <w:r>
        <w:rPr>
          <w:i/>
          <w:sz w:val="20"/>
        </w:rPr>
        <w:t>Countervailing</w:t>
      </w:r>
      <w:r>
        <w:rPr>
          <w:i/>
          <w:spacing w:val="-5"/>
          <w:sz w:val="20"/>
        </w:rPr>
        <w:t xml:space="preserve"> </w:t>
      </w:r>
      <w:r>
        <w:rPr>
          <w:i/>
          <w:sz w:val="20"/>
        </w:rPr>
        <w:t>Duty</w:t>
      </w:r>
      <w:r>
        <w:rPr>
          <w:i/>
          <w:spacing w:val="-4"/>
          <w:sz w:val="20"/>
        </w:rPr>
        <w:t xml:space="preserve"> </w:t>
      </w:r>
      <w:r>
        <w:rPr>
          <w:i/>
          <w:spacing w:val="-2"/>
          <w:sz w:val="20"/>
        </w:rPr>
        <w:t>Measures</w:t>
      </w:r>
      <w:r>
        <w:rPr>
          <w:i/>
          <w:sz w:val="20"/>
        </w:rPr>
        <w:tab/>
      </w:r>
      <w:r>
        <w:rPr>
          <w:sz w:val="20"/>
        </w:rPr>
        <w:t>Australia's</w:t>
      </w:r>
      <w:r>
        <w:rPr>
          <w:spacing w:val="-7"/>
          <w:sz w:val="20"/>
        </w:rPr>
        <w:t xml:space="preserve"> </w:t>
      </w:r>
      <w:r>
        <w:rPr>
          <w:sz w:val="20"/>
        </w:rPr>
        <w:t>First</w:t>
      </w:r>
      <w:r>
        <w:rPr>
          <w:spacing w:val="-2"/>
          <w:sz w:val="20"/>
        </w:rPr>
        <w:t xml:space="preserve"> </w:t>
      </w:r>
      <w:r>
        <w:rPr>
          <w:sz w:val="20"/>
        </w:rPr>
        <w:t>Written</w:t>
      </w:r>
      <w:r>
        <w:rPr>
          <w:spacing w:val="-2"/>
          <w:sz w:val="20"/>
        </w:rPr>
        <w:t xml:space="preserve"> Submission</w:t>
      </w:r>
    </w:p>
    <w:p w14:paraId="51DE8434" w14:textId="77777777" w:rsidR="0010369C" w:rsidRDefault="008E43AE">
      <w:pPr>
        <w:tabs>
          <w:tab w:val="left" w:pos="8228"/>
        </w:tabs>
        <w:spacing w:before="1" w:after="37"/>
        <w:ind w:left="239"/>
        <w:rPr>
          <w:sz w:val="20"/>
        </w:rPr>
      </w:pPr>
      <w:r>
        <w:rPr>
          <w:i/>
          <w:sz w:val="20"/>
        </w:rPr>
        <w:t>on</w:t>
      </w:r>
      <w:r>
        <w:rPr>
          <w:i/>
          <w:spacing w:val="-1"/>
          <w:sz w:val="20"/>
        </w:rPr>
        <w:t xml:space="preserve"> </w:t>
      </w:r>
      <w:r>
        <w:rPr>
          <w:i/>
          <w:sz w:val="20"/>
        </w:rPr>
        <w:t>Wine</w:t>
      </w:r>
      <w:r>
        <w:rPr>
          <w:i/>
          <w:spacing w:val="-1"/>
          <w:sz w:val="20"/>
        </w:rPr>
        <w:t xml:space="preserve"> </w:t>
      </w:r>
      <w:r>
        <w:rPr>
          <w:i/>
          <w:sz w:val="20"/>
        </w:rPr>
        <w:t>from</w:t>
      </w:r>
      <w:r>
        <w:rPr>
          <w:i/>
          <w:spacing w:val="-3"/>
          <w:sz w:val="20"/>
        </w:rPr>
        <w:t xml:space="preserve"> </w:t>
      </w:r>
      <w:r>
        <w:rPr>
          <w:i/>
          <w:sz w:val="20"/>
        </w:rPr>
        <w:t>Australia</w:t>
      </w:r>
      <w:r>
        <w:rPr>
          <w:i/>
          <w:spacing w:val="-1"/>
          <w:sz w:val="20"/>
        </w:rPr>
        <w:t xml:space="preserve"> </w:t>
      </w:r>
      <w:r>
        <w:rPr>
          <w:spacing w:val="-2"/>
          <w:sz w:val="20"/>
        </w:rPr>
        <w:t>(DS602)</w:t>
      </w:r>
      <w:r>
        <w:rPr>
          <w:sz w:val="20"/>
        </w:rPr>
        <w:tab/>
        <w:t>29</w:t>
      </w:r>
      <w:r>
        <w:rPr>
          <w:spacing w:val="-1"/>
          <w:sz w:val="20"/>
        </w:rPr>
        <w:t xml:space="preserve"> </w:t>
      </w:r>
      <w:r>
        <w:rPr>
          <w:sz w:val="20"/>
        </w:rPr>
        <w:t>April</w:t>
      </w:r>
      <w:r>
        <w:rPr>
          <w:spacing w:val="-2"/>
          <w:sz w:val="20"/>
        </w:rPr>
        <w:t xml:space="preserve"> </w:t>
      </w:r>
      <w:r>
        <w:rPr>
          <w:spacing w:val="-4"/>
          <w:sz w:val="20"/>
        </w:rPr>
        <w:t>2022</w:t>
      </w:r>
    </w:p>
    <w:tbl>
      <w:tblPr>
        <w:tblW w:w="0" w:type="auto"/>
        <w:tblInd w:w="225" w:type="dxa"/>
        <w:tblLayout w:type="fixed"/>
        <w:tblCellMar>
          <w:left w:w="0" w:type="dxa"/>
          <w:right w:w="0" w:type="dxa"/>
        </w:tblCellMar>
        <w:tblLook w:val="01E0" w:firstRow="1" w:lastRow="1" w:firstColumn="1" w:lastColumn="1" w:noHBand="0" w:noVBand="0"/>
      </w:tblPr>
      <w:tblGrid>
        <w:gridCol w:w="2738"/>
        <w:gridCol w:w="6390"/>
      </w:tblGrid>
      <w:tr w:rsidR="0010369C" w14:paraId="51DE8436" w14:textId="77777777">
        <w:trPr>
          <w:trHeight w:val="320"/>
        </w:trPr>
        <w:tc>
          <w:tcPr>
            <w:tcW w:w="9128" w:type="dxa"/>
            <w:gridSpan w:val="2"/>
            <w:tcBorders>
              <w:bottom w:val="single" w:sz="48" w:space="0" w:color="FFFFFF"/>
            </w:tcBorders>
            <w:shd w:val="clear" w:color="auto" w:fill="000000"/>
          </w:tcPr>
          <w:p w14:paraId="51DE8435" w14:textId="77777777" w:rsidR="0010369C" w:rsidRDefault="0010369C">
            <w:pPr>
              <w:pStyle w:val="TableParagraph"/>
              <w:rPr>
                <w:rFonts w:ascii="Times New Roman"/>
                <w:sz w:val="18"/>
              </w:rPr>
            </w:pPr>
          </w:p>
        </w:tc>
      </w:tr>
      <w:tr w:rsidR="0010369C" w14:paraId="51DE8438" w14:textId="77777777">
        <w:trPr>
          <w:trHeight w:val="319"/>
        </w:trPr>
        <w:tc>
          <w:tcPr>
            <w:tcW w:w="9128" w:type="dxa"/>
            <w:gridSpan w:val="2"/>
            <w:tcBorders>
              <w:top w:val="single" w:sz="48" w:space="0" w:color="FFFFFF"/>
              <w:bottom w:val="single" w:sz="48" w:space="0" w:color="FFFFFF"/>
            </w:tcBorders>
            <w:shd w:val="clear" w:color="auto" w:fill="000000"/>
          </w:tcPr>
          <w:p w14:paraId="51DE8437" w14:textId="77777777" w:rsidR="0010369C" w:rsidRDefault="0010369C">
            <w:pPr>
              <w:pStyle w:val="TableParagraph"/>
              <w:rPr>
                <w:rFonts w:ascii="Times New Roman"/>
                <w:sz w:val="18"/>
              </w:rPr>
            </w:pPr>
          </w:p>
        </w:tc>
      </w:tr>
      <w:tr w:rsidR="0010369C" w14:paraId="51DE843A" w14:textId="77777777">
        <w:trPr>
          <w:trHeight w:val="319"/>
        </w:trPr>
        <w:tc>
          <w:tcPr>
            <w:tcW w:w="9128" w:type="dxa"/>
            <w:gridSpan w:val="2"/>
            <w:tcBorders>
              <w:top w:val="single" w:sz="48" w:space="0" w:color="FFFFFF"/>
              <w:bottom w:val="single" w:sz="48" w:space="0" w:color="FFFFFF"/>
            </w:tcBorders>
            <w:shd w:val="clear" w:color="auto" w:fill="000000"/>
          </w:tcPr>
          <w:p w14:paraId="51DE8439" w14:textId="77777777" w:rsidR="0010369C" w:rsidRDefault="0010369C">
            <w:pPr>
              <w:pStyle w:val="TableParagraph"/>
              <w:rPr>
                <w:rFonts w:ascii="Times New Roman"/>
                <w:sz w:val="18"/>
              </w:rPr>
            </w:pPr>
          </w:p>
        </w:tc>
      </w:tr>
      <w:tr w:rsidR="0010369C" w14:paraId="51DE843C" w14:textId="77777777">
        <w:trPr>
          <w:trHeight w:val="319"/>
        </w:trPr>
        <w:tc>
          <w:tcPr>
            <w:tcW w:w="9128" w:type="dxa"/>
            <w:gridSpan w:val="2"/>
            <w:tcBorders>
              <w:top w:val="single" w:sz="48" w:space="0" w:color="FFFFFF"/>
              <w:bottom w:val="single" w:sz="48" w:space="0" w:color="FFFFFF"/>
            </w:tcBorders>
            <w:shd w:val="clear" w:color="auto" w:fill="000000"/>
          </w:tcPr>
          <w:p w14:paraId="51DE843B" w14:textId="77777777" w:rsidR="0010369C" w:rsidRDefault="0010369C">
            <w:pPr>
              <w:pStyle w:val="TableParagraph"/>
              <w:rPr>
                <w:rFonts w:ascii="Times New Roman"/>
                <w:sz w:val="18"/>
              </w:rPr>
            </w:pPr>
          </w:p>
        </w:tc>
      </w:tr>
      <w:tr w:rsidR="0010369C" w14:paraId="51DE843E" w14:textId="77777777">
        <w:trPr>
          <w:trHeight w:val="319"/>
        </w:trPr>
        <w:tc>
          <w:tcPr>
            <w:tcW w:w="9128" w:type="dxa"/>
            <w:gridSpan w:val="2"/>
            <w:tcBorders>
              <w:top w:val="single" w:sz="48" w:space="0" w:color="FFFFFF"/>
              <w:bottom w:val="single" w:sz="48" w:space="0" w:color="FFFFFF"/>
            </w:tcBorders>
            <w:shd w:val="clear" w:color="auto" w:fill="000000"/>
          </w:tcPr>
          <w:p w14:paraId="51DE843D" w14:textId="77777777" w:rsidR="0010369C" w:rsidRDefault="0010369C">
            <w:pPr>
              <w:pStyle w:val="TableParagraph"/>
              <w:rPr>
                <w:rFonts w:ascii="Times New Roman"/>
                <w:sz w:val="18"/>
              </w:rPr>
            </w:pPr>
          </w:p>
        </w:tc>
      </w:tr>
      <w:tr w:rsidR="0010369C" w14:paraId="51DE8440" w14:textId="77777777">
        <w:trPr>
          <w:trHeight w:val="319"/>
        </w:trPr>
        <w:tc>
          <w:tcPr>
            <w:tcW w:w="9128" w:type="dxa"/>
            <w:gridSpan w:val="2"/>
            <w:tcBorders>
              <w:top w:val="single" w:sz="48" w:space="0" w:color="FFFFFF"/>
              <w:bottom w:val="single" w:sz="48" w:space="0" w:color="FFFFFF"/>
            </w:tcBorders>
            <w:shd w:val="clear" w:color="auto" w:fill="000000"/>
          </w:tcPr>
          <w:p w14:paraId="51DE843F" w14:textId="77777777" w:rsidR="0010369C" w:rsidRDefault="0010369C">
            <w:pPr>
              <w:pStyle w:val="TableParagraph"/>
              <w:rPr>
                <w:rFonts w:ascii="Times New Roman"/>
                <w:sz w:val="18"/>
              </w:rPr>
            </w:pPr>
          </w:p>
        </w:tc>
      </w:tr>
      <w:tr w:rsidR="0010369C" w14:paraId="51DE8442" w14:textId="77777777">
        <w:trPr>
          <w:trHeight w:val="319"/>
        </w:trPr>
        <w:tc>
          <w:tcPr>
            <w:tcW w:w="9128" w:type="dxa"/>
            <w:gridSpan w:val="2"/>
            <w:tcBorders>
              <w:top w:val="single" w:sz="48" w:space="0" w:color="FFFFFF"/>
              <w:bottom w:val="single" w:sz="48" w:space="0" w:color="FFFFFF"/>
            </w:tcBorders>
            <w:shd w:val="clear" w:color="auto" w:fill="000000"/>
          </w:tcPr>
          <w:p w14:paraId="51DE8441" w14:textId="77777777" w:rsidR="0010369C" w:rsidRDefault="0010369C">
            <w:pPr>
              <w:pStyle w:val="TableParagraph"/>
              <w:rPr>
                <w:rFonts w:ascii="Times New Roman"/>
                <w:sz w:val="18"/>
              </w:rPr>
            </w:pPr>
          </w:p>
        </w:tc>
      </w:tr>
      <w:tr w:rsidR="0010369C" w14:paraId="51DE8444" w14:textId="77777777">
        <w:trPr>
          <w:trHeight w:val="319"/>
        </w:trPr>
        <w:tc>
          <w:tcPr>
            <w:tcW w:w="9128" w:type="dxa"/>
            <w:gridSpan w:val="2"/>
            <w:tcBorders>
              <w:top w:val="single" w:sz="48" w:space="0" w:color="FFFFFF"/>
              <w:bottom w:val="single" w:sz="48" w:space="0" w:color="FFFFFF"/>
            </w:tcBorders>
            <w:shd w:val="clear" w:color="auto" w:fill="000000"/>
          </w:tcPr>
          <w:p w14:paraId="51DE8443" w14:textId="77777777" w:rsidR="0010369C" w:rsidRDefault="0010369C">
            <w:pPr>
              <w:pStyle w:val="TableParagraph"/>
              <w:rPr>
                <w:rFonts w:ascii="Times New Roman"/>
                <w:sz w:val="18"/>
              </w:rPr>
            </w:pPr>
          </w:p>
        </w:tc>
      </w:tr>
      <w:tr w:rsidR="0010369C" w14:paraId="51DE8447" w14:textId="77777777">
        <w:trPr>
          <w:trHeight w:val="320"/>
        </w:trPr>
        <w:tc>
          <w:tcPr>
            <w:tcW w:w="2738" w:type="dxa"/>
            <w:tcBorders>
              <w:top w:val="single" w:sz="48" w:space="0" w:color="FFFFFF"/>
            </w:tcBorders>
            <w:shd w:val="clear" w:color="auto" w:fill="000000"/>
          </w:tcPr>
          <w:p w14:paraId="51DE8445" w14:textId="77777777" w:rsidR="0010369C" w:rsidRDefault="0010369C">
            <w:pPr>
              <w:pStyle w:val="TableParagraph"/>
              <w:rPr>
                <w:rFonts w:ascii="Times New Roman"/>
                <w:sz w:val="18"/>
              </w:rPr>
            </w:pPr>
          </w:p>
        </w:tc>
        <w:tc>
          <w:tcPr>
            <w:tcW w:w="6390" w:type="dxa"/>
            <w:tcBorders>
              <w:top w:val="single" w:sz="48" w:space="0" w:color="FFFFFF"/>
            </w:tcBorders>
          </w:tcPr>
          <w:p w14:paraId="51DE8446" w14:textId="77777777" w:rsidR="0010369C" w:rsidRDefault="008E43AE">
            <w:pPr>
              <w:pStyle w:val="TableParagraph"/>
              <w:spacing w:line="290" w:lineRule="exact"/>
              <w:ind w:left="21"/>
              <w:rPr>
                <w:sz w:val="24"/>
              </w:rPr>
            </w:pPr>
            <w:r>
              <w:rPr>
                <w:spacing w:val="-5"/>
                <w:sz w:val="24"/>
              </w:rPr>
              <w:t>]]</w:t>
            </w:r>
          </w:p>
        </w:tc>
      </w:tr>
    </w:tbl>
    <w:p w14:paraId="51DE8448" w14:textId="77777777" w:rsidR="0010369C" w:rsidRDefault="0010369C">
      <w:pPr>
        <w:pStyle w:val="BodyText"/>
        <w:spacing w:before="10"/>
        <w:rPr>
          <w:sz w:val="22"/>
        </w:rPr>
      </w:pPr>
    </w:p>
    <w:p w14:paraId="51DE8449" w14:textId="77777777" w:rsidR="0010369C" w:rsidRDefault="008E43AE">
      <w:pPr>
        <w:spacing w:before="1"/>
        <w:ind w:left="1089"/>
        <w:rPr>
          <w:sz w:val="24"/>
        </w:rPr>
      </w:pPr>
      <w:r>
        <w:rPr>
          <w:noProof/>
        </w:rPr>
        <w:drawing>
          <wp:anchor distT="0" distB="0" distL="0" distR="0" simplePos="0" relativeHeight="250642944" behindDoc="0" locked="0" layoutInCell="1" allowOverlap="1" wp14:anchorId="51DEA09E" wp14:editId="51DEA09F">
            <wp:simplePos x="0" y="0"/>
            <wp:positionH relativeFrom="page">
              <wp:posOffset>905255</wp:posOffset>
            </wp:positionH>
            <wp:positionV relativeFrom="paragraph">
              <wp:posOffset>44400</wp:posOffset>
            </wp:positionV>
            <wp:extent cx="259079" cy="106679"/>
            <wp:effectExtent l="0" t="0" r="0" b="0"/>
            <wp:wrapNone/>
            <wp:docPr id="509" name="image2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 name="image263.png"/>
                    <pic:cNvPicPr/>
                  </pic:nvPicPr>
                  <pic:blipFill>
                    <a:blip r:embed="rId365" cstate="print"/>
                    <a:stretch>
                      <a:fillRect/>
                    </a:stretch>
                  </pic:blipFill>
                  <pic:spPr>
                    <a:xfrm>
                      <a:off x="0" y="0"/>
                      <a:ext cx="259079" cy="106679"/>
                    </a:xfrm>
                    <a:prstGeom prst="rect">
                      <a:avLst/>
                    </a:prstGeom>
                  </pic:spPr>
                </pic:pic>
              </a:graphicData>
            </a:graphic>
          </wp:anchor>
        </w:drawing>
      </w:r>
      <w:r>
        <w:rPr>
          <w:noProof/>
        </w:rPr>
        <w:drawing>
          <wp:anchor distT="0" distB="0" distL="0" distR="0" simplePos="0" relativeHeight="250920448" behindDoc="1" locked="0" layoutInCell="1" allowOverlap="1" wp14:anchorId="51DEA0A0" wp14:editId="51DEA0A1">
            <wp:simplePos x="0" y="0"/>
            <wp:positionH relativeFrom="page">
              <wp:posOffset>905255</wp:posOffset>
            </wp:positionH>
            <wp:positionV relativeFrom="paragraph">
              <wp:posOffset>1824432</wp:posOffset>
            </wp:positionV>
            <wp:extent cx="259079" cy="103632"/>
            <wp:effectExtent l="0" t="0" r="0" b="0"/>
            <wp:wrapNone/>
            <wp:docPr id="511" name="image2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 name="image264.png"/>
                    <pic:cNvPicPr/>
                  </pic:nvPicPr>
                  <pic:blipFill>
                    <a:blip r:embed="rId366" cstate="print"/>
                    <a:stretch>
                      <a:fillRect/>
                    </a:stretch>
                  </pic:blipFill>
                  <pic:spPr>
                    <a:xfrm>
                      <a:off x="0" y="0"/>
                      <a:ext cx="259079" cy="103632"/>
                    </a:xfrm>
                    <a:prstGeom prst="rect">
                      <a:avLst/>
                    </a:prstGeom>
                  </pic:spPr>
                </pic:pic>
              </a:graphicData>
            </a:graphic>
          </wp:anchor>
        </w:drawing>
      </w:r>
      <w:r>
        <w:pict w14:anchorId="51DEA0A2">
          <v:shape id="docshape533" o:spid="_x0000_s1731" style="position:absolute;left:0;text-align:left;margin-left:119.8pt;margin-top:.15pt;width:165.25pt;height:16.1pt;z-index:251793920;mso-position-horizontal-relative:page;mso-position-vertical-relative:text" coordorigin="2396,3" coordsize="3305,322" path="m5700,5r-242,l5458,3,2396,3r,322l5458,325r,-106l5700,219r,-214xe" fillcolor="black" stroked="f">
            <v:path arrowok="t"/>
            <w10:wrap anchorx="page"/>
          </v:shape>
        </w:pict>
      </w:r>
      <w:r>
        <w:pict w14:anchorId="51DEA0A3">
          <v:rect id="docshape534" o:spid="_x0000_s1730" style="position:absolute;left:0;text-align:left;margin-left:289.35pt;margin-top:.15pt;width:234.1pt;height:16.05pt;z-index:251794944;mso-position-horizontal-relative:page;mso-position-vertical-relative:text" fillcolor="black" stroked="f">
            <w10:wrap anchorx="page"/>
          </v:rect>
        </w:pict>
      </w:r>
      <w:r>
        <w:pict w14:anchorId="51DEA0A4">
          <v:rect id="docshape535" o:spid="_x0000_s1729" style="position:absolute;left:0;text-align:left;margin-left:69.9pt;margin-top:110.1pt;width:196.15pt;height:16.05pt;z-index:251795968;mso-position-horizontal-relative:page;mso-position-vertical-relative:text" fillcolor="black" stroked="f">
            <w10:wrap anchorx="page"/>
          </v:rect>
        </w:pict>
      </w:r>
      <w:r>
        <w:rPr>
          <w:spacing w:val="-5"/>
          <w:sz w:val="24"/>
        </w:rPr>
        <w:t>[[</w:t>
      </w:r>
    </w:p>
    <w:p w14:paraId="51DE844A" w14:textId="77777777" w:rsidR="0010369C" w:rsidRDefault="008E43AE">
      <w:pPr>
        <w:pStyle w:val="BodyText"/>
        <w:spacing w:before="2"/>
        <w:rPr>
          <w:sz w:val="10"/>
        </w:rPr>
      </w:pPr>
      <w:r>
        <w:pict w14:anchorId="51DEA0A5">
          <v:rect id="docshape536" o:spid="_x0000_s1728" style="position:absolute;margin-left:69.9pt;margin-top:7.4pt;width:453.45pt;height:16.05pt;z-index:-251026944;mso-wrap-distance-left:0;mso-wrap-distance-right:0;mso-position-horizontal-relative:page" fillcolor="black" stroked="f">
            <w10:wrap type="topAndBottom" anchorx="page"/>
          </v:rect>
        </w:pict>
      </w:r>
      <w:r>
        <w:pict w14:anchorId="51DEA0A6">
          <v:shape id="docshape537" o:spid="_x0000_s1727" style="position:absolute;margin-left:69.9pt;margin-top:29.4pt;width:453.45pt;height:16.1pt;z-index:-251025920;mso-wrap-distance-left:0;mso-wrap-distance-right:0;mso-position-horizontal-relative:page" coordorigin="1398,588" coordsize="9069,322" o:spt="100" adj="0,,0" path="m9774,588r-8376,l1398,909r8376,l9774,588xm10016,590r-242,l9774,803r242,l10016,590xm10467,588r-395,l10072,909r395,l10467,588xe" fillcolor="black" stroked="f">
            <v:stroke joinstyle="round"/>
            <v:formulas/>
            <v:path arrowok="t" o:connecttype="segments"/>
            <w10:wrap type="topAndBottom" anchorx="page"/>
          </v:shape>
        </w:pict>
      </w:r>
      <w:r>
        <w:pict w14:anchorId="51DEA0A7">
          <v:rect id="docshape538" o:spid="_x0000_s1726" style="position:absolute;margin-left:69.9pt;margin-top:51.4pt;width:453.45pt;height:16.05pt;z-index:-251024896;mso-wrap-distance-left:0;mso-wrap-distance-right:0;mso-position-horizontal-relative:page" fillcolor="black" stroked="f">
            <w10:wrap type="topAndBottom" anchorx="page"/>
          </v:rect>
        </w:pict>
      </w:r>
      <w:r>
        <w:pict w14:anchorId="51DEA0A8">
          <v:rect id="docshape539" o:spid="_x0000_s1725" style="position:absolute;margin-left:69.9pt;margin-top:73.35pt;width:453.5pt;height:16.05pt;z-index:-251023872;mso-wrap-distance-left:0;mso-wrap-distance-right:0;mso-position-horizontal-relative:page" fillcolor="black" stroked="f">
            <w10:wrap type="topAndBottom" anchorx="page"/>
          </v:rect>
        </w:pict>
      </w:r>
    </w:p>
    <w:p w14:paraId="51DE844B" w14:textId="77777777" w:rsidR="0010369C" w:rsidRDefault="0010369C">
      <w:pPr>
        <w:pStyle w:val="BodyText"/>
        <w:spacing w:before="8"/>
        <w:rPr>
          <w:sz w:val="7"/>
        </w:rPr>
      </w:pPr>
    </w:p>
    <w:p w14:paraId="51DE844C" w14:textId="77777777" w:rsidR="0010369C" w:rsidRDefault="0010369C">
      <w:pPr>
        <w:pStyle w:val="BodyText"/>
        <w:spacing w:before="9"/>
        <w:rPr>
          <w:sz w:val="7"/>
        </w:rPr>
      </w:pPr>
    </w:p>
    <w:p w14:paraId="51DE844D" w14:textId="77777777" w:rsidR="0010369C" w:rsidRDefault="0010369C">
      <w:pPr>
        <w:pStyle w:val="BodyText"/>
        <w:spacing w:before="8"/>
        <w:rPr>
          <w:sz w:val="7"/>
        </w:rPr>
      </w:pPr>
    </w:p>
    <w:p w14:paraId="51DE844E" w14:textId="77777777" w:rsidR="0010369C" w:rsidRDefault="008E43AE">
      <w:pPr>
        <w:spacing w:before="116"/>
        <w:ind w:left="1013" w:right="2465"/>
        <w:jc w:val="center"/>
        <w:rPr>
          <w:sz w:val="24"/>
        </w:rPr>
      </w:pPr>
      <w:r>
        <w:rPr>
          <w:spacing w:val="-5"/>
          <w:sz w:val="24"/>
        </w:rPr>
        <w:t>]]</w:t>
      </w:r>
    </w:p>
    <w:p w14:paraId="51DE844F" w14:textId="77777777" w:rsidR="0010369C" w:rsidRDefault="0010369C">
      <w:pPr>
        <w:pStyle w:val="BodyText"/>
        <w:spacing w:before="2"/>
        <w:rPr>
          <w:sz w:val="25"/>
        </w:rPr>
      </w:pPr>
    </w:p>
    <w:tbl>
      <w:tblPr>
        <w:tblW w:w="0" w:type="auto"/>
        <w:tblInd w:w="226" w:type="dxa"/>
        <w:tblLayout w:type="fixed"/>
        <w:tblCellMar>
          <w:left w:w="0" w:type="dxa"/>
          <w:right w:w="0" w:type="dxa"/>
        </w:tblCellMar>
        <w:tblLook w:val="01E0" w:firstRow="1" w:lastRow="1" w:firstColumn="1" w:lastColumn="1" w:noHBand="0" w:noVBand="0"/>
      </w:tblPr>
      <w:tblGrid>
        <w:gridCol w:w="997"/>
        <w:gridCol w:w="6664"/>
        <w:gridCol w:w="1468"/>
      </w:tblGrid>
      <w:tr w:rsidR="0010369C" w14:paraId="51DE8452" w14:textId="77777777">
        <w:trPr>
          <w:trHeight w:val="320"/>
        </w:trPr>
        <w:tc>
          <w:tcPr>
            <w:tcW w:w="997" w:type="dxa"/>
            <w:tcBorders>
              <w:bottom w:val="single" w:sz="48" w:space="0" w:color="FFFFFF"/>
            </w:tcBorders>
          </w:tcPr>
          <w:p w14:paraId="51DE8450" w14:textId="77777777" w:rsidR="0010369C" w:rsidRDefault="008E43AE">
            <w:pPr>
              <w:pStyle w:val="TableParagraph"/>
              <w:spacing w:line="291" w:lineRule="exact"/>
              <w:ind w:right="-29"/>
              <w:jc w:val="right"/>
              <w:rPr>
                <w:sz w:val="24"/>
              </w:rPr>
            </w:pPr>
            <w:r>
              <w:rPr>
                <w:spacing w:val="-5"/>
                <w:sz w:val="24"/>
              </w:rPr>
              <w:t>[[</w:t>
            </w:r>
          </w:p>
        </w:tc>
        <w:tc>
          <w:tcPr>
            <w:tcW w:w="8132" w:type="dxa"/>
            <w:gridSpan w:val="2"/>
            <w:tcBorders>
              <w:bottom w:val="single" w:sz="48" w:space="0" w:color="FFFFFF"/>
            </w:tcBorders>
            <w:shd w:val="clear" w:color="auto" w:fill="000000"/>
          </w:tcPr>
          <w:p w14:paraId="51DE8451" w14:textId="77777777" w:rsidR="0010369C" w:rsidRDefault="0010369C">
            <w:pPr>
              <w:pStyle w:val="TableParagraph"/>
              <w:rPr>
                <w:rFonts w:ascii="Times New Roman"/>
                <w:sz w:val="18"/>
              </w:rPr>
            </w:pPr>
          </w:p>
        </w:tc>
      </w:tr>
      <w:tr w:rsidR="0010369C" w14:paraId="51DE8454" w14:textId="77777777">
        <w:trPr>
          <w:trHeight w:val="319"/>
        </w:trPr>
        <w:tc>
          <w:tcPr>
            <w:tcW w:w="9129" w:type="dxa"/>
            <w:gridSpan w:val="3"/>
            <w:tcBorders>
              <w:top w:val="single" w:sz="48" w:space="0" w:color="FFFFFF"/>
              <w:bottom w:val="single" w:sz="48" w:space="0" w:color="FFFFFF"/>
            </w:tcBorders>
            <w:shd w:val="clear" w:color="auto" w:fill="000000"/>
          </w:tcPr>
          <w:p w14:paraId="51DE8453" w14:textId="77777777" w:rsidR="0010369C" w:rsidRDefault="0010369C">
            <w:pPr>
              <w:pStyle w:val="TableParagraph"/>
              <w:rPr>
                <w:rFonts w:ascii="Times New Roman"/>
                <w:sz w:val="18"/>
              </w:rPr>
            </w:pPr>
          </w:p>
        </w:tc>
      </w:tr>
      <w:tr w:rsidR="0010369C" w14:paraId="51DE8456" w14:textId="77777777">
        <w:trPr>
          <w:trHeight w:val="319"/>
        </w:trPr>
        <w:tc>
          <w:tcPr>
            <w:tcW w:w="9129" w:type="dxa"/>
            <w:gridSpan w:val="3"/>
            <w:tcBorders>
              <w:top w:val="single" w:sz="48" w:space="0" w:color="FFFFFF"/>
              <w:bottom w:val="single" w:sz="48" w:space="0" w:color="FFFFFF"/>
            </w:tcBorders>
            <w:shd w:val="clear" w:color="auto" w:fill="000000"/>
          </w:tcPr>
          <w:p w14:paraId="51DE8455" w14:textId="77777777" w:rsidR="0010369C" w:rsidRDefault="0010369C">
            <w:pPr>
              <w:pStyle w:val="TableParagraph"/>
              <w:rPr>
                <w:rFonts w:ascii="Times New Roman"/>
                <w:sz w:val="18"/>
              </w:rPr>
            </w:pPr>
          </w:p>
        </w:tc>
      </w:tr>
      <w:tr w:rsidR="0010369C" w14:paraId="51DE8458" w14:textId="77777777">
        <w:trPr>
          <w:trHeight w:val="319"/>
        </w:trPr>
        <w:tc>
          <w:tcPr>
            <w:tcW w:w="9129" w:type="dxa"/>
            <w:gridSpan w:val="3"/>
            <w:tcBorders>
              <w:top w:val="single" w:sz="48" w:space="0" w:color="FFFFFF"/>
              <w:bottom w:val="single" w:sz="48" w:space="0" w:color="FFFFFF"/>
            </w:tcBorders>
            <w:shd w:val="clear" w:color="auto" w:fill="000000"/>
          </w:tcPr>
          <w:p w14:paraId="51DE8457" w14:textId="77777777" w:rsidR="0010369C" w:rsidRDefault="0010369C">
            <w:pPr>
              <w:pStyle w:val="TableParagraph"/>
              <w:rPr>
                <w:rFonts w:ascii="Times New Roman"/>
                <w:sz w:val="18"/>
              </w:rPr>
            </w:pPr>
          </w:p>
        </w:tc>
      </w:tr>
      <w:tr w:rsidR="0010369C" w14:paraId="51DE845A" w14:textId="77777777">
        <w:trPr>
          <w:trHeight w:val="319"/>
        </w:trPr>
        <w:tc>
          <w:tcPr>
            <w:tcW w:w="9129" w:type="dxa"/>
            <w:gridSpan w:val="3"/>
            <w:tcBorders>
              <w:top w:val="single" w:sz="48" w:space="0" w:color="FFFFFF"/>
              <w:bottom w:val="single" w:sz="48" w:space="0" w:color="FFFFFF"/>
            </w:tcBorders>
            <w:shd w:val="clear" w:color="auto" w:fill="000000"/>
          </w:tcPr>
          <w:p w14:paraId="51DE8459" w14:textId="77777777" w:rsidR="0010369C" w:rsidRDefault="0010369C">
            <w:pPr>
              <w:pStyle w:val="TableParagraph"/>
              <w:rPr>
                <w:rFonts w:ascii="Times New Roman"/>
                <w:sz w:val="18"/>
              </w:rPr>
            </w:pPr>
          </w:p>
        </w:tc>
      </w:tr>
      <w:tr w:rsidR="0010369C" w14:paraId="51DE845C" w14:textId="77777777">
        <w:trPr>
          <w:trHeight w:val="319"/>
        </w:trPr>
        <w:tc>
          <w:tcPr>
            <w:tcW w:w="9129" w:type="dxa"/>
            <w:gridSpan w:val="3"/>
            <w:tcBorders>
              <w:top w:val="single" w:sz="48" w:space="0" w:color="FFFFFF"/>
              <w:bottom w:val="single" w:sz="48" w:space="0" w:color="FFFFFF"/>
            </w:tcBorders>
            <w:shd w:val="clear" w:color="auto" w:fill="000000"/>
          </w:tcPr>
          <w:p w14:paraId="51DE845B" w14:textId="77777777" w:rsidR="0010369C" w:rsidRDefault="0010369C">
            <w:pPr>
              <w:pStyle w:val="TableParagraph"/>
              <w:rPr>
                <w:rFonts w:ascii="Times New Roman"/>
                <w:sz w:val="18"/>
              </w:rPr>
            </w:pPr>
          </w:p>
        </w:tc>
      </w:tr>
      <w:tr w:rsidR="0010369C" w14:paraId="51DE845E" w14:textId="77777777">
        <w:trPr>
          <w:trHeight w:val="319"/>
        </w:trPr>
        <w:tc>
          <w:tcPr>
            <w:tcW w:w="9129" w:type="dxa"/>
            <w:gridSpan w:val="3"/>
            <w:tcBorders>
              <w:top w:val="single" w:sz="48" w:space="0" w:color="FFFFFF"/>
              <w:bottom w:val="single" w:sz="48" w:space="0" w:color="FFFFFF"/>
            </w:tcBorders>
            <w:shd w:val="clear" w:color="auto" w:fill="000000"/>
          </w:tcPr>
          <w:p w14:paraId="51DE845D" w14:textId="77777777" w:rsidR="0010369C" w:rsidRDefault="0010369C">
            <w:pPr>
              <w:pStyle w:val="TableParagraph"/>
              <w:rPr>
                <w:rFonts w:ascii="Times New Roman"/>
                <w:sz w:val="18"/>
              </w:rPr>
            </w:pPr>
          </w:p>
        </w:tc>
      </w:tr>
      <w:tr w:rsidR="0010369C" w14:paraId="51DE8460" w14:textId="77777777">
        <w:trPr>
          <w:trHeight w:val="319"/>
        </w:trPr>
        <w:tc>
          <w:tcPr>
            <w:tcW w:w="9129" w:type="dxa"/>
            <w:gridSpan w:val="3"/>
            <w:tcBorders>
              <w:top w:val="single" w:sz="48" w:space="0" w:color="FFFFFF"/>
              <w:bottom w:val="single" w:sz="48" w:space="0" w:color="FFFFFF"/>
            </w:tcBorders>
            <w:shd w:val="clear" w:color="auto" w:fill="000000"/>
          </w:tcPr>
          <w:p w14:paraId="51DE845F" w14:textId="77777777" w:rsidR="0010369C" w:rsidRDefault="0010369C">
            <w:pPr>
              <w:pStyle w:val="TableParagraph"/>
              <w:rPr>
                <w:rFonts w:ascii="Times New Roman"/>
                <w:sz w:val="18"/>
              </w:rPr>
            </w:pPr>
          </w:p>
        </w:tc>
      </w:tr>
      <w:tr w:rsidR="0010369C" w14:paraId="51DE8462" w14:textId="77777777">
        <w:trPr>
          <w:trHeight w:val="319"/>
        </w:trPr>
        <w:tc>
          <w:tcPr>
            <w:tcW w:w="9129" w:type="dxa"/>
            <w:gridSpan w:val="3"/>
            <w:tcBorders>
              <w:top w:val="single" w:sz="48" w:space="0" w:color="FFFFFF"/>
              <w:bottom w:val="single" w:sz="48" w:space="0" w:color="FFFFFF"/>
            </w:tcBorders>
            <w:shd w:val="clear" w:color="auto" w:fill="000000"/>
          </w:tcPr>
          <w:p w14:paraId="51DE8461" w14:textId="77777777" w:rsidR="0010369C" w:rsidRDefault="0010369C">
            <w:pPr>
              <w:pStyle w:val="TableParagraph"/>
              <w:rPr>
                <w:rFonts w:ascii="Times New Roman"/>
                <w:sz w:val="18"/>
              </w:rPr>
            </w:pPr>
          </w:p>
        </w:tc>
      </w:tr>
      <w:tr w:rsidR="0010369C" w14:paraId="51DE8464" w14:textId="77777777">
        <w:trPr>
          <w:trHeight w:val="320"/>
        </w:trPr>
        <w:tc>
          <w:tcPr>
            <w:tcW w:w="9129" w:type="dxa"/>
            <w:gridSpan w:val="3"/>
            <w:tcBorders>
              <w:top w:val="single" w:sz="48" w:space="0" w:color="FFFFFF"/>
              <w:bottom w:val="single" w:sz="48" w:space="0" w:color="FFFFFF"/>
            </w:tcBorders>
            <w:shd w:val="clear" w:color="auto" w:fill="000000"/>
          </w:tcPr>
          <w:p w14:paraId="51DE8463" w14:textId="77777777" w:rsidR="0010369C" w:rsidRDefault="0010369C">
            <w:pPr>
              <w:pStyle w:val="TableParagraph"/>
              <w:rPr>
                <w:rFonts w:ascii="Times New Roman"/>
                <w:sz w:val="18"/>
              </w:rPr>
            </w:pPr>
          </w:p>
        </w:tc>
      </w:tr>
      <w:tr w:rsidR="0010369C" w14:paraId="51DE8467" w14:textId="77777777">
        <w:trPr>
          <w:trHeight w:val="321"/>
        </w:trPr>
        <w:tc>
          <w:tcPr>
            <w:tcW w:w="7661" w:type="dxa"/>
            <w:gridSpan w:val="2"/>
            <w:tcBorders>
              <w:top w:val="single" w:sz="48" w:space="0" w:color="FFFFFF"/>
            </w:tcBorders>
            <w:shd w:val="clear" w:color="auto" w:fill="000000"/>
          </w:tcPr>
          <w:p w14:paraId="51DE8465" w14:textId="77777777" w:rsidR="0010369C" w:rsidRDefault="0010369C">
            <w:pPr>
              <w:pStyle w:val="TableParagraph"/>
              <w:rPr>
                <w:rFonts w:ascii="Times New Roman"/>
                <w:sz w:val="18"/>
              </w:rPr>
            </w:pPr>
          </w:p>
        </w:tc>
        <w:tc>
          <w:tcPr>
            <w:tcW w:w="1468" w:type="dxa"/>
            <w:tcBorders>
              <w:top w:val="single" w:sz="48" w:space="0" w:color="FFFFFF"/>
            </w:tcBorders>
          </w:tcPr>
          <w:p w14:paraId="51DE8466" w14:textId="77777777" w:rsidR="0010369C" w:rsidRDefault="008E43AE">
            <w:pPr>
              <w:pStyle w:val="TableParagraph"/>
              <w:spacing w:line="291" w:lineRule="exact"/>
              <w:ind w:left="21"/>
              <w:rPr>
                <w:sz w:val="24"/>
              </w:rPr>
            </w:pPr>
            <w:r>
              <w:rPr>
                <w:spacing w:val="-5"/>
                <w:sz w:val="24"/>
              </w:rPr>
              <w:t>]]</w:t>
            </w:r>
          </w:p>
        </w:tc>
      </w:tr>
    </w:tbl>
    <w:p w14:paraId="51DE8468" w14:textId="77777777" w:rsidR="0010369C" w:rsidRDefault="0010369C">
      <w:pPr>
        <w:pStyle w:val="BodyText"/>
        <w:spacing w:before="10"/>
        <w:rPr>
          <w:sz w:val="22"/>
        </w:rPr>
      </w:pPr>
    </w:p>
    <w:p w14:paraId="51DE8469" w14:textId="77777777" w:rsidR="0010369C" w:rsidRDefault="008E43AE">
      <w:pPr>
        <w:ind w:left="1089"/>
        <w:rPr>
          <w:sz w:val="24"/>
        </w:rPr>
      </w:pPr>
      <w:r>
        <w:rPr>
          <w:noProof/>
        </w:rPr>
        <w:drawing>
          <wp:anchor distT="0" distB="0" distL="0" distR="0" simplePos="0" relativeHeight="250643968" behindDoc="0" locked="0" layoutInCell="1" allowOverlap="1" wp14:anchorId="51DEA0A9" wp14:editId="51DEA0AA">
            <wp:simplePos x="0" y="0"/>
            <wp:positionH relativeFrom="page">
              <wp:posOffset>905255</wp:posOffset>
            </wp:positionH>
            <wp:positionV relativeFrom="paragraph">
              <wp:posOffset>43765</wp:posOffset>
            </wp:positionV>
            <wp:extent cx="259079" cy="106679"/>
            <wp:effectExtent l="0" t="0" r="0" b="0"/>
            <wp:wrapNone/>
            <wp:docPr id="513" name="image2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 name="image265.png"/>
                    <pic:cNvPicPr/>
                  </pic:nvPicPr>
                  <pic:blipFill>
                    <a:blip r:embed="rId367" cstate="print"/>
                    <a:stretch>
                      <a:fillRect/>
                    </a:stretch>
                  </pic:blipFill>
                  <pic:spPr>
                    <a:xfrm>
                      <a:off x="0" y="0"/>
                      <a:ext cx="259079" cy="106679"/>
                    </a:xfrm>
                    <a:prstGeom prst="rect">
                      <a:avLst/>
                    </a:prstGeom>
                  </pic:spPr>
                </pic:pic>
              </a:graphicData>
            </a:graphic>
          </wp:anchor>
        </w:drawing>
      </w:r>
      <w:r>
        <w:pict w14:anchorId="51DEA0AB">
          <v:rect id="docshape540" o:spid="_x0000_s1724" style="position:absolute;left:0;text-align:left;margin-left:119.8pt;margin-top:.1pt;width:403.65pt;height:16.05pt;z-index:251796992;mso-position-horizontal-relative:page;mso-position-vertical-relative:text" fillcolor="black" stroked="f">
            <w10:wrap anchorx="page"/>
          </v:rect>
        </w:pict>
      </w:r>
      <w:r>
        <w:rPr>
          <w:spacing w:val="-5"/>
          <w:sz w:val="24"/>
        </w:rPr>
        <w:t>[[</w:t>
      </w:r>
    </w:p>
    <w:p w14:paraId="51DE846A" w14:textId="77777777" w:rsidR="0010369C" w:rsidRDefault="008E43AE">
      <w:pPr>
        <w:pStyle w:val="BodyText"/>
        <w:spacing w:before="2"/>
        <w:rPr>
          <w:sz w:val="10"/>
        </w:rPr>
      </w:pPr>
      <w:r>
        <w:pict w14:anchorId="51DEA0AC">
          <v:rect id="docshape541" o:spid="_x0000_s1723" style="position:absolute;margin-left:69.9pt;margin-top:7.45pt;width:453.55pt;height:16.05pt;z-index:-251022848;mso-wrap-distance-left:0;mso-wrap-distance-right:0;mso-position-horizontal-relative:page" fillcolor="black" stroked="f">
            <w10:wrap type="topAndBottom" anchorx="page"/>
          </v:rect>
        </w:pict>
      </w:r>
      <w:r>
        <w:pict w14:anchorId="51DEA0AD">
          <v:rect id="docshape542" o:spid="_x0000_s1722" style="position:absolute;margin-left:70.9pt;margin-top:40pt;width:2in;height:.8pt;z-index:-251021824;mso-wrap-distance-left:0;mso-wrap-distance-right:0;mso-position-horizontal-relative:page" fillcolor="black" stroked="f">
            <w10:wrap type="topAndBottom" anchorx="page"/>
          </v:rect>
        </w:pict>
      </w:r>
    </w:p>
    <w:p w14:paraId="51DE846B" w14:textId="77777777" w:rsidR="0010369C" w:rsidRDefault="0010369C">
      <w:pPr>
        <w:pStyle w:val="BodyText"/>
        <w:rPr>
          <w:sz w:val="25"/>
        </w:rPr>
      </w:pPr>
    </w:p>
    <w:p w14:paraId="51DE846C" w14:textId="77777777" w:rsidR="0010369C" w:rsidRDefault="0010369C">
      <w:pPr>
        <w:pStyle w:val="BodyText"/>
        <w:spacing w:before="8"/>
        <w:rPr>
          <w:sz w:val="5"/>
        </w:rPr>
      </w:pPr>
    </w:p>
    <w:p w14:paraId="51DE846D" w14:textId="77777777" w:rsidR="0010369C" w:rsidRDefault="0010369C">
      <w:pPr>
        <w:rPr>
          <w:sz w:val="5"/>
        </w:rPr>
        <w:sectPr w:rsidR="0010369C">
          <w:pgSz w:w="11910" w:h="16840"/>
          <w:pgMar w:top="880" w:right="800" w:bottom="980" w:left="1180" w:header="569" w:footer="788" w:gutter="0"/>
          <w:cols w:space="720"/>
        </w:sectPr>
      </w:pPr>
    </w:p>
    <w:p w14:paraId="51DE846E" w14:textId="77777777" w:rsidR="0010369C" w:rsidRDefault="008E43AE">
      <w:pPr>
        <w:spacing w:before="38"/>
        <w:ind w:left="238"/>
        <w:rPr>
          <w:sz w:val="18"/>
        </w:rPr>
      </w:pPr>
      <w:r>
        <w:pict w14:anchorId="51DEA0AE">
          <v:shape id="docshape543" o:spid="_x0000_s1721" style="position:absolute;left:0;text-align:left;margin-left:86.65pt;margin-top:2.4pt;width:325.4pt;height:45pt;z-index:-251371008;mso-position-horizontal-relative:page" coordorigin="1733,48" coordsize="6508,900" path="m8240,267r-1278,l6962,48r-5229,l1733,947r5522,l7255,706r-293,l6962,508r1278,l8240,267xe" fillcolor="black" stroked="f">
            <v:path arrowok="t"/>
            <w10:wrap anchorx="page"/>
          </v:shape>
        </w:pict>
      </w:r>
      <w:r>
        <w:rPr>
          <w:sz w:val="12"/>
        </w:rPr>
        <w:t>277</w:t>
      </w:r>
      <w:r>
        <w:rPr>
          <w:spacing w:val="11"/>
          <w:sz w:val="12"/>
        </w:rPr>
        <w:t xml:space="preserve"> </w:t>
      </w:r>
      <w:r>
        <w:rPr>
          <w:spacing w:val="-10"/>
          <w:position w:val="-5"/>
          <w:sz w:val="18"/>
        </w:rPr>
        <w:t>[</w:t>
      </w:r>
    </w:p>
    <w:p w14:paraId="51DE846F" w14:textId="77777777" w:rsidR="0010369C" w:rsidRDefault="008E43AE">
      <w:pPr>
        <w:spacing w:before="41"/>
        <w:ind w:left="238"/>
        <w:rPr>
          <w:sz w:val="18"/>
        </w:rPr>
      </w:pPr>
      <w:r>
        <w:br w:type="column"/>
      </w:r>
      <w:r>
        <w:rPr>
          <w:color w:val="5E5E5E"/>
          <w:sz w:val="18"/>
        </w:rPr>
        <w:t>(Exhibit</w:t>
      </w:r>
      <w:r>
        <w:rPr>
          <w:color w:val="5E5E5E"/>
          <w:spacing w:val="-10"/>
          <w:sz w:val="18"/>
        </w:rPr>
        <w:t xml:space="preserve"> </w:t>
      </w:r>
      <w:r>
        <w:rPr>
          <w:color w:val="5E5E5E"/>
          <w:sz w:val="18"/>
        </w:rPr>
        <w:t>AUS‐5</w:t>
      </w:r>
      <w:r>
        <w:rPr>
          <w:color w:val="5E5E5E"/>
          <w:spacing w:val="-9"/>
          <w:sz w:val="18"/>
        </w:rPr>
        <w:t xml:space="preserve"> </w:t>
      </w:r>
      <w:r>
        <w:rPr>
          <w:color w:val="5E5E5E"/>
          <w:spacing w:val="-2"/>
          <w:sz w:val="18"/>
        </w:rPr>
        <w:t>(BCI)),</w:t>
      </w:r>
    </w:p>
    <w:p w14:paraId="51DE8470" w14:textId="77777777" w:rsidR="0010369C" w:rsidRDefault="008E43AE">
      <w:pPr>
        <w:spacing w:before="41"/>
        <w:ind w:left="238"/>
        <w:rPr>
          <w:sz w:val="18"/>
        </w:rPr>
      </w:pPr>
      <w:r>
        <w:br w:type="column"/>
      </w:r>
      <w:r>
        <w:rPr>
          <w:color w:val="5E5E5E"/>
          <w:spacing w:val="-5"/>
          <w:sz w:val="18"/>
        </w:rPr>
        <w:t>.]]</w:t>
      </w:r>
    </w:p>
    <w:p w14:paraId="51DE8471" w14:textId="77777777" w:rsidR="0010369C" w:rsidRDefault="0010369C">
      <w:pPr>
        <w:rPr>
          <w:sz w:val="18"/>
        </w:rPr>
        <w:sectPr w:rsidR="0010369C">
          <w:type w:val="continuous"/>
          <w:pgSz w:w="11910" w:h="16840"/>
          <w:pgMar w:top="1460" w:right="800" w:bottom="280" w:left="1180" w:header="569" w:footer="788" w:gutter="0"/>
          <w:cols w:num="3" w:space="720" w:equalWidth="0">
            <w:col w:w="559" w:space="5047"/>
            <w:col w:w="1809" w:space="291"/>
            <w:col w:w="2224"/>
          </w:cols>
        </w:sectPr>
      </w:pPr>
    </w:p>
    <w:p w14:paraId="51DE8472" w14:textId="77777777" w:rsidR="0010369C" w:rsidRDefault="008E43AE">
      <w:pPr>
        <w:spacing w:before="36" w:line="156" w:lineRule="auto"/>
        <w:ind w:left="238"/>
        <w:rPr>
          <w:sz w:val="18"/>
        </w:rPr>
      </w:pPr>
      <w:r>
        <w:rPr>
          <w:sz w:val="12"/>
        </w:rPr>
        <w:t>278</w:t>
      </w:r>
      <w:r>
        <w:rPr>
          <w:spacing w:val="11"/>
          <w:sz w:val="12"/>
        </w:rPr>
        <w:t xml:space="preserve"> </w:t>
      </w:r>
      <w:r>
        <w:rPr>
          <w:spacing w:val="-10"/>
          <w:position w:val="-5"/>
          <w:sz w:val="18"/>
        </w:rPr>
        <w:t>[</w:t>
      </w:r>
    </w:p>
    <w:p w14:paraId="51DE8473" w14:textId="77777777" w:rsidR="0010369C" w:rsidRDefault="008E43AE">
      <w:pPr>
        <w:spacing w:before="72" w:line="158" w:lineRule="auto"/>
        <w:ind w:left="238"/>
        <w:rPr>
          <w:sz w:val="18"/>
        </w:rPr>
      </w:pPr>
      <w:r>
        <w:rPr>
          <w:sz w:val="12"/>
        </w:rPr>
        <w:t>279</w:t>
      </w:r>
      <w:r>
        <w:rPr>
          <w:spacing w:val="11"/>
          <w:sz w:val="12"/>
        </w:rPr>
        <w:t xml:space="preserve"> </w:t>
      </w:r>
      <w:r>
        <w:rPr>
          <w:spacing w:val="-10"/>
          <w:position w:val="-5"/>
          <w:sz w:val="18"/>
        </w:rPr>
        <w:t>[</w:t>
      </w:r>
    </w:p>
    <w:p w14:paraId="51DE8474" w14:textId="77777777" w:rsidR="0010369C" w:rsidRDefault="008E43AE">
      <w:pPr>
        <w:spacing w:before="33"/>
        <w:ind w:left="238"/>
        <w:rPr>
          <w:sz w:val="18"/>
        </w:rPr>
      </w:pPr>
      <w:r>
        <w:rPr>
          <w:sz w:val="12"/>
        </w:rPr>
        <w:t>280</w:t>
      </w:r>
      <w:r>
        <w:rPr>
          <w:spacing w:val="11"/>
          <w:sz w:val="12"/>
        </w:rPr>
        <w:t xml:space="preserve"> </w:t>
      </w:r>
      <w:r>
        <w:rPr>
          <w:spacing w:val="-10"/>
          <w:position w:val="-5"/>
          <w:sz w:val="18"/>
        </w:rPr>
        <w:t>[</w:t>
      </w:r>
    </w:p>
    <w:p w14:paraId="51DE8475" w14:textId="77777777" w:rsidR="0010369C" w:rsidRDefault="008E43AE">
      <w:pPr>
        <w:ind w:left="532" w:right="176"/>
        <w:jc w:val="center"/>
        <w:rPr>
          <w:sz w:val="18"/>
        </w:rPr>
      </w:pPr>
      <w:r>
        <w:br w:type="column"/>
      </w:r>
      <w:r>
        <w:rPr>
          <w:color w:val="5E5E5E"/>
          <w:sz w:val="18"/>
        </w:rPr>
        <w:t>(Exhibit</w:t>
      </w:r>
      <w:r>
        <w:rPr>
          <w:color w:val="5E5E5E"/>
          <w:spacing w:val="-9"/>
          <w:sz w:val="18"/>
        </w:rPr>
        <w:t xml:space="preserve"> </w:t>
      </w:r>
      <w:r>
        <w:rPr>
          <w:color w:val="5E5E5E"/>
          <w:sz w:val="18"/>
        </w:rPr>
        <w:t>AUS‐8</w:t>
      </w:r>
      <w:r>
        <w:rPr>
          <w:color w:val="5E5E5E"/>
          <w:spacing w:val="-9"/>
          <w:sz w:val="18"/>
        </w:rPr>
        <w:t xml:space="preserve"> </w:t>
      </w:r>
      <w:r>
        <w:rPr>
          <w:color w:val="5E5E5E"/>
          <w:spacing w:val="-2"/>
          <w:sz w:val="18"/>
        </w:rPr>
        <w:t>(BCI)).]]</w:t>
      </w:r>
    </w:p>
    <w:p w14:paraId="51DE8476" w14:textId="77777777" w:rsidR="0010369C" w:rsidRDefault="008E43AE">
      <w:pPr>
        <w:tabs>
          <w:tab w:val="left" w:pos="2101"/>
        </w:tabs>
        <w:ind w:right="1583"/>
        <w:jc w:val="center"/>
        <w:rPr>
          <w:sz w:val="18"/>
        </w:rPr>
      </w:pPr>
      <w:r>
        <w:pict w14:anchorId="51DEA0AF">
          <v:rect id="docshape544" o:spid="_x0000_s1720" style="position:absolute;left:0;text-align:left;margin-left:428.75pt;margin-top:-21.6pt;width:26.5pt;height:12.05pt;z-index:251798016;mso-position-horizontal-relative:page" fillcolor="black" stroked="f">
            <w10:wrap anchorx="page"/>
          </v:rect>
        </w:pict>
      </w:r>
      <w:r>
        <w:pict w14:anchorId="51DEA0B0">
          <v:rect id="docshape545" o:spid="_x0000_s1719" style="position:absolute;left:0;text-align:left;margin-left:428.75pt;margin-top:.35pt;width:26.5pt;height:12.05pt;z-index:-251369984;mso-position-horizontal-relative:page" fillcolor="black" stroked="f">
            <w10:wrap anchorx="page"/>
          </v:rect>
        </w:pict>
      </w:r>
      <w:r>
        <w:rPr>
          <w:color w:val="5E5E5E"/>
          <w:sz w:val="18"/>
        </w:rPr>
        <w:t>(Exhibit</w:t>
      </w:r>
      <w:r>
        <w:rPr>
          <w:color w:val="5E5E5E"/>
          <w:spacing w:val="-10"/>
          <w:sz w:val="18"/>
        </w:rPr>
        <w:t xml:space="preserve"> </w:t>
      </w:r>
      <w:r>
        <w:rPr>
          <w:color w:val="5E5E5E"/>
          <w:sz w:val="18"/>
        </w:rPr>
        <w:t>AUS‐5</w:t>
      </w:r>
      <w:r>
        <w:rPr>
          <w:color w:val="5E5E5E"/>
          <w:spacing w:val="-9"/>
          <w:sz w:val="18"/>
        </w:rPr>
        <w:t xml:space="preserve"> </w:t>
      </w:r>
      <w:r>
        <w:rPr>
          <w:color w:val="5E5E5E"/>
          <w:spacing w:val="-2"/>
          <w:sz w:val="18"/>
        </w:rPr>
        <w:t>(BCI)),</w:t>
      </w:r>
      <w:r>
        <w:rPr>
          <w:color w:val="5E5E5E"/>
          <w:sz w:val="18"/>
        </w:rPr>
        <w:tab/>
      </w:r>
      <w:r>
        <w:rPr>
          <w:color w:val="5E5E5E"/>
          <w:spacing w:val="-5"/>
          <w:sz w:val="18"/>
        </w:rPr>
        <w:t>.]]</w:t>
      </w:r>
    </w:p>
    <w:p w14:paraId="51DE8477" w14:textId="77777777" w:rsidR="0010369C" w:rsidRDefault="008E43AE">
      <w:pPr>
        <w:ind w:left="532" w:right="2145"/>
        <w:jc w:val="center"/>
        <w:rPr>
          <w:sz w:val="18"/>
        </w:rPr>
      </w:pPr>
      <w:r>
        <w:rPr>
          <w:color w:val="5E5E5E"/>
          <w:sz w:val="18"/>
        </w:rPr>
        <w:t>(Exhibit</w:t>
      </w:r>
      <w:r>
        <w:rPr>
          <w:color w:val="5E5E5E"/>
          <w:spacing w:val="-9"/>
          <w:sz w:val="18"/>
        </w:rPr>
        <w:t xml:space="preserve"> </w:t>
      </w:r>
      <w:r>
        <w:rPr>
          <w:color w:val="5E5E5E"/>
          <w:sz w:val="18"/>
        </w:rPr>
        <w:t>AUS‐4</w:t>
      </w:r>
      <w:r>
        <w:rPr>
          <w:color w:val="5E5E5E"/>
          <w:spacing w:val="-9"/>
          <w:sz w:val="18"/>
        </w:rPr>
        <w:t xml:space="preserve"> </w:t>
      </w:r>
      <w:r>
        <w:rPr>
          <w:color w:val="5E5E5E"/>
          <w:spacing w:val="-2"/>
          <w:sz w:val="18"/>
        </w:rPr>
        <w:t>(BCI)).]]</w:t>
      </w:r>
    </w:p>
    <w:p w14:paraId="51DE8478" w14:textId="77777777" w:rsidR="0010369C" w:rsidRDefault="0010369C">
      <w:pPr>
        <w:jc w:val="center"/>
        <w:rPr>
          <w:sz w:val="18"/>
        </w:rPr>
        <w:sectPr w:rsidR="0010369C">
          <w:type w:val="continuous"/>
          <w:pgSz w:w="11910" w:h="16840"/>
          <w:pgMar w:top="1460" w:right="800" w:bottom="280" w:left="1180" w:header="569" w:footer="788" w:gutter="0"/>
          <w:cols w:num="2" w:space="720" w:equalWidth="0">
            <w:col w:w="559" w:space="5047"/>
            <w:col w:w="4324"/>
          </w:cols>
        </w:sectPr>
      </w:pPr>
    </w:p>
    <w:p w14:paraId="51DE8479" w14:textId="77777777" w:rsidR="0010369C" w:rsidRDefault="008E43AE">
      <w:pPr>
        <w:tabs>
          <w:tab w:val="left" w:pos="6426"/>
        </w:tabs>
        <w:ind w:left="238"/>
        <w:rPr>
          <w:sz w:val="20"/>
        </w:rPr>
      </w:pPr>
      <w:r>
        <w:rPr>
          <w:i/>
          <w:sz w:val="20"/>
        </w:rPr>
        <w:lastRenderedPageBreak/>
        <w:t>China</w:t>
      </w:r>
      <w:r>
        <w:rPr>
          <w:i/>
          <w:spacing w:val="-5"/>
          <w:sz w:val="20"/>
        </w:rPr>
        <w:t xml:space="preserve"> </w:t>
      </w:r>
      <w:r>
        <w:rPr>
          <w:i/>
          <w:sz w:val="20"/>
        </w:rPr>
        <w:t>–</w:t>
      </w:r>
      <w:r>
        <w:rPr>
          <w:i/>
          <w:spacing w:val="-5"/>
          <w:sz w:val="20"/>
        </w:rPr>
        <w:t xml:space="preserve"> </w:t>
      </w:r>
      <w:r>
        <w:rPr>
          <w:i/>
          <w:sz w:val="20"/>
        </w:rPr>
        <w:t>Anti‐Dumping</w:t>
      </w:r>
      <w:r>
        <w:rPr>
          <w:i/>
          <w:spacing w:val="-4"/>
          <w:sz w:val="20"/>
        </w:rPr>
        <w:t xml:space="preserve"> </w:t>
      </w:r>
      <w:r>
        <w:rPr>
          <w:i/>
          <w:sz w:val="20"/>
        </w:rPr>
        <w:t>and</w:t>
      </w:r>
      <w:r>
        <w:rPr>
          <w:i/>
          <w:spacing w:val="-5"/>
          <w:sz w:val="20"/>
        </w:rPr>
        <w:t xml:space="preserve"> </w:t>
      </w:r>
      <w:r>
        <w:rPr>
          <w:i/>
          <w:sz w:val="20"/>
        </w:rPr>
        <w:t>Countervailing</w:t>
      </w:r>
      <w:r>
        <w:rPr>
          <w:i/>
          <w:spacing w:val="-5"/>
          <w:sz w:val="20"/>
        </w:rPr>
        <w:t xml:space="preserve"> </w:t>
      </w:r>
      <w:r>
        <w:rPr>
          <w:i/>
          <w:sz w:val="20"/>
        </w:rPr>
        <w:t>Duty</w:t>
      </w:r>
      <w:r>
        <w:rPr>
          <w:i/>
          <w:spacing w:val="-4"/>
          <w:sz w:val="20"/>
        </w:rPr>
        <w:t xml:space="preserve"> </w:t>
      </w:r>
      <w:r>
        <w:rPr>
          <w:i/>
          <w:spacing w:val="-2"/>
          <w:sz w:val="20"/>
        </w:rPr>
        <w:t>Measures</w:t>
      </w:r>
      <w:r>
        <w:rPr>
          <w:i/>
          <w:sz w:val="20"/>
        </w:rPr>
        <w:tab/>
      </w:r>
      <w:r>
        <w:rPr>
          <w:sz w:val="20"/>
        </w:rPr>
        <w:t>Australia's</w:t>
      </w:r>
      <w:r>
        <w:rPr>
          <w:spacing w:val="-7"/>
          <w:sz w:val="20"/>
        </w:rPr>
        <w:t xml:space="preserve"> </w:t>
      </w:r>
      <w:r>
        <w:rPr>
          <w:sz w:val="20"/>
        </w:rPr>
        <w:t>First</w:t>
      </w:r>
      <w:r>
        <w:rPr>
          <w:spacing w:val="-2"/>
          <w:sz w:val="20"/>
        </w:rPr>
        <w:t xml:space="preserve"> </w:t>
      </w:r>
      <w:r>
        <w:rPr>
          <w:sz w:val="20"/>
        </w:rPr>
        <w:t>Written</w:t>
      </w:r>
      <w:r>
        <w:rPr>
          <w:spacing w:val="-2"/>
          <w:sz w:val="20"/>
        </w:rPr>
        <w:t xml:space="preserve"> Submission</w:t>
      </w:r>
    </w:p>
    <w:p w14:paraId="51DE847A" w14:textId="77777777" w:rsidR="0010369C" w:rsidRDefault="008E43AE">
      <w:pPr>
        <w:tabs>
          <w:tab w:val="left" w:pos="8228"/>
        </w:tabs>
        <w:spacing w:before="1" w:after="37"/>
        <w:ind w:left="239"/>
        <w:rPr>
          <w:sz w:val="20"/>
        </w:rPr>
      </w:pPr>
      <w:r>
        <w:rPr>
          <w:i/>
          <w:sz w:val="20"/>
        </w:rPr>
        <w:t>on</w:t>
      </w:r>
      <w:r>
        <w:rPr>
          <w:i/>
          <w:spacing w:val="-1"/>
          <w:sz w:val="20"/>
        </w:rPr>
        <w:t xml:space="preserve"> </w:t>
      </w:r>
      <w:r>
        <w:rPr>
          <w:i/>
          <w:sz w:val="20"/>
        </w:rPr>
        <w:t>Wine</w:t>
      </w:r>
      <w:r>
        <w:rPr>
          <w:i/>
          <w:spacing w:val="-1"/>
          <w:sz w:val="20"/>
        </w:rPr>
        <w:t xml:space="preserve"> </w:t>
      </w:r>
      <w:r>
        <w:rPr>
          <w:i/>
          <w:sz w:val="20"/>
        </w:rPr>
        <w:t>from</w:t>
      </w:r>
      <w:r>
        <w:rPr>
          <w:i/>
          <w:spacing w:val="-3"/>
          <w:sz w:val="20"/>
        </w:rPr>
        <w:t xml:space="preserve"> </w:t>
      </w:r>
      <w:r>
        <w:rPr>
          <w:i/>
          <w:sz w:val="20"/>
        </w:rPr>
        <w:t>Australia</w:t>
      </w:r>
      <w:r>
        <w:rPr>
          <w:i/>
          <w:spacing w:val="-1"/>
          <w:sz w:val="20"/>
        </w:rPr>
        <w:t xml:space="preserve"> </w:t>
      </w:r>
      <w:r>
        <w:rPr>
          <w:spacing w:val="-2"/>
          <w:sz w:val="20"/>
        </w:rPr>
        <w:t>(DS602)</w:t>
      </w:r>
      <w:r>
        <w:rPr>
          <w:sz w:val="20"/>
        </w:rPr>
        <w:tab/>
        <w:t>29</w:t>
      </w:r>
      <w:r>
        <w:rPr>
          <w:spacing w:val="-1"/>
          <w:sz w:val="20"/>
        </w:rPr>
        <w:t xml:space="preserve"> </w:t>
      </w:r>
      <w:r>
        <w:rPr>
          <w:sz w:val="20"/>
        </w:rPr>
        <w:t>April</w:t>
      </w:r>
      <w:r>
        <w:rPr>
          <w:spacing w:val="-2"/>
          <w:sz w:val="20"/>
        </w:rPr>
        <w:t xml:space="preserve"> </w:t>
      </w:r>
      <w:r>
        <w:rPr>
          <w:spacing w:val="-4"/>
          <w:sz w:val="20"/>
        </w:rPr>
        <w:t>2022</w:t>
      </w:r>
    </w:p>
    <w:tbl>
      <w:tblPr>
        <w:tblW w:w="0" w:type="auto"/>
        <w:tblInd w:w="225" w:type="dxa"/>
        <w:tblLayout w:type="fixed"/>
        <w:tblCellMar>
          <w:left w:w="0" w:type="dxa"/>
          <w:right w:w="0" w:type="dxa"/>
        </w:tblCellMar>
        <w:tblLook w:val="01E0" w:firstRow="1" w:lastRow="1" w:firstColumn="1" w:lastColumn="1" w:noHBand="0" w:noVBand="0"/>
      </w:tblPr>
      <w:tblGrid>
        <w:gridCol w:w="2457"/>
        <w:gridCol w:w="2762"/>
        <w:gridCol w:w="3912"/>
      </w:tblGrid>
      <w:tr w:rsidR="0010369C" w14:paraId="51DE847C" w14:textId="77777777">
        <w:trPr>
          <w:trHeight w:val="320"/>
        </w:trPr>
        <w:tc>
          <w:tcPr>
            <w:tcW w:w="9131" w:type="dxa"/>
            <w:gridSpan w:val="3"/>
            <w:tcBorders>
              <w:bottom w:val="single" w:sz="48" w:space="0" w:color="FFFFFF"/>
            </w:tcBorders>
            <w:shd w:val="clear" w:color="auto" w:fill="000000"/>
          </w:tcPr>
          <w:p w14:paraId="51DE847B" w14:textId="77777777" w:rsidR="0010369C" w:rsidRDefault="0010369C">
            <w:pPr>
              <w:pStyle w:val="TableParagraph"/>
              <w:rPr>
                <w:rFonts w:ascii="Times New Roman"/>
                <w:sz w:val="18"/>
              </w:rPr>
            </w:pPr>
          </w:p>
        </w:tc>
      </w:tr>
      <w:tr w:rsidR="0010369C" w14:paraId="51DE847E" w14:textId="77777777">
        <w:trPr>
          <w:trHeight w:val="319"/>
        </w:trPr>
        <w:tc>
          <w:tcPr>
            <w:tcW w:w="9131" w:type="dxa"/>
            <w:gridSpan w:val="3"/>
            <w:tcBorders>
              <w:top w:val="single" w:sz="48" w:space="0" w:color="FFFFFF"/>
              <w:bottom w:val="single" w:sz="48" w:space="0" w:color="FFFFFF"/>
            </w:tcBorders>
            <w:shd w:val="clear" w:color="auto" w:fill="000000"/>
          </w:tcPr>
          <w:p w14:paraId="51DE847D" w14:textId="77777777" w:rsidR="0010369C" w:rsidRDefault="0010369C">
            <w:pPr>
              <w:pStyle w:val="TableParagraph"/>
              <w:rPr>
                <w:rFonts w:ascii="Times New Roman"/>
                <w:sz w:val="18"/>
              </w:rPr>
            </w:pPr>
          </w:p>
        </w:tc>
      </w:tr>
      <w:tr w:rsidR="0010369C" w14:paraId="51DE8480" w14:textId="77777777">
        <w:trPr>
          <w:trHeight w:val="319"/>
        </w:trPr>
        <w:tc>
          <w:tcPr>
            <w:tcW w:w="9131" w:type="dxa"/>
            <w:gridSpan w:val="3"/>
            <w:tcBorders>
              <w:top w:val="single" w:sz="48" w:space="0" w:color="FFFFFF"/>
              <w:bottom w:val="single" w:sz="48" w:space="0" w:color="FFFFFF"/>
            </w:tcBorders>
            <w:shd w:val="clear" w:color="auto" w:fill="000000"/>
          </w:tcPr>
          <w:p w14:paraId="51DE847F" w14:textId="77777777" w:rsidR="0010369C" w:rsidRDefault="0010369C">
            <w:pPr>
              <w:pStyle w:val="TableParagraph"/>
              <w:rPr>
                <w:rFonts w:ascii="Times New Roman"/>
                <w:sz w:val="18"/>
              </w:rPr>
            </w:pPr>
          </w:p>
        </w:tc>
      </w:tr>
      <w:tr w:rsidR="0010369C" w14:paraId="51DE8483" w14:textId="77777777">
        <w:trPr>
          <w:trHeight w:val="319"/>
        </w:trPr>
        <w:tc>
          <w:tcPr>
            <w:tcW w:w="2457" w:type="dxa"/>
            <w:tcBorders>
              <w:top w:val="single" w:sz="48" w:space="0" w:color="FFFFFF"/>
              <w:bottom w:val="single" w:sz="48" w:space="0" w:color="FFFFFF"/>
              <w:right w:val="single" w:sz="24" w:space="0" w:color="FFFFFF"/>
            </w:tcBorders>
            <w:shd w:val="clear" w:color="auto" w:fill="000000"/>
          </w:tcPr>
          <w:p w14:paraId="51DE8481" w14:textId="77777777" w:rsidR="0010369C" w:rsidRDefault="0010369C">
            <w:pPr>
              <w:pStyle w:val="TableParagraph"/>
              <w:rPr>
                <w:rFonts w:ascii="Times New Roman"/>
                <w:sz w:val="18"/>
              </w:rPr>
            </w:pPr>
          </w:p>
        </w:tc>
        <w:tc>
          <w:tcPr>
            <w:tcW w:w="6674" w:type="dxa"/>
            <w:gridSpan w:val="2"/>
            <w:tcBorders>
              <w:top w:val="single" w:sz="48" w:space="0" w:color="FFFFFF"/>
              <w:left w:val="single" w:sz="24" w:space="0" w:color="FFFFFF"/>
              <w:bottom w:val="single" w:sz="48" w:space="0" w:color="FFFFFF"/>
            </w:tcBorders>
            <w:shd w:val="clear" w:color="auto" w:fill="000000"/>
          </w:tcPr>
          <w:p w14:paraId="51DE8482" w14:textId="77777777" w:rsidR="0010369C" w:rsidRDefault="0010369C">
            <w:pPr>
              <w:pStyle w:val="TableParagraph"/>
              <w:rPr>
                <w:rFonts w:ascii="Times New Roman"/>
                <w:sz w:val="18"/>
              </w:rPr>
            </w:pPr>
          </w:p>
        </w:tc>
      </w:tr>
      <w:tr w:rsidR="0010369C" w14:paraId="51DE8485" w14:textId="77777777">
        <w:trPr>
          <w:trHeight w:val="319"/>
        </w:trPr>
        <w:tc>
          <w:tcPr>
            <w:tcW w:w="9131" w:type="dxa"/>
            <w:gridSpan w:val="3"/>
            <w:tcBorders>
              <w:top w:val="single" w:sz="48" w:space="0" w:color="FFFFFF"/>
              <w:bottom w:val="single" w:sz="48" w:space="0" w:color="FFFFFF"/>
            </w:tcBorders>
            <w:shd w:val="clear" w:color="auto" w:fill="000000"/>
          </w:tcPr>
          <w:p w14:paraId="51DE8484" w14:textId="77777777" w:rsidR="0010369C" w:rsidRDefault="0010369C">
            <w:pPr>
              <w:pStyle w:val="TableParagraph"/>
              <w:rPr>
                <w:rFonts w:ascii="Times New Roman"/>
                <w:sz w:val="18"/>
              </w:rPr>
            </w:pPr>
          </w:p>
        </w:tc>
      </w:tr>
      <w:tr w:rsidR="0010369C" w14:paraId="51DE8487" w14:textId="77777777">
        <w:trPr>
          <w:trHeight w:val="319"/>
        </w:trPr>
        <w:tc>
          <w:tcPr>
            <w:tcW w:w="9131" w:type="dxa"/>
            <w:gridSpan w:val="3"/>
            <w:tcBorders>
              <w:top w:val="single" w:sz="48" w:space="0" w:color="FFFFFF"/>
              <w:bottom w:val="single" w:sz="48" w:space="0" w:color="FFFFFF"/>
            </w:tcBorders>
            <w:shd w:val="clear" w:color="auto" w:fill="000000"/>
          </w:tcPr>
          <w:p w14:paraId="51DE8486" w14:textId="77777777" w:rsidR="0010369C" w:rsidRDefault="0010369C">
            <w:pPr>
              <w:pStyle w:val="TableParagraph"/>
              <w:rPr>
                <w:rFonts w:ascii="Times New Roman"/>
                <w:sz w:val="18"/>
              </w:rPr>
            </w:pPr>
          </w:p>
        </w:tc>
      </w:tr>
      <w:tr w:rsidR="0010369C" w14:paraId="51DE8489" w14:textId="77777777">
        <w:trPr>
          <w:trHeight w:val="319"/>
        </w:trPr>
        <w:tc>
          <w:tcPr>
            <w:tcW w:w="9131" w:type="dxa"/>
            <w:gridSpan w:val="3"/>
            <w:tcBorders>
              <w:top w:val="single" w:sz="48" w:space="0" w:color="FFFFFF"/>
              <w:bottom w:val="single" w:sz="48" w:space="0" w:color="FFFFFF"/>
            </w:tcBorders>
            <w:shd w:val="clear" w:color="auto" w:fill="000000"/>
          </w:tcPr>
          <w:p w14:paraId="51DE8488" w14:textId="77777777" w:rsidR="0010369C" w:rsidRDefault="0010369C">
            <w:pPr>
              <w:pStyle w:val="TableParagraph"/>
              <w:rPr>
                <w:rFonts w:ascii="Times New Roman"/>
                <w:sz w:val="18"/>
              </w:rPr>
            </w:pPr>
          </w:p>
        </w:tc>
      </w:tr>
      <w:tr w:rsidR="0010369C" w14:paraId="51DE848B" w14:textId="77777777">
        <w:trPr>
          <w:trHeight w:val="319"/>
        </w:trPr>
        <w:tc>
          <w:tcPr>
            <w:tcW w:w="9131" w:type="dxa"/>
            <w:gridSpan w:val="3"/>
            <w:tcBorders>
              <w:top w:val="single" w:sz="48" w:space="0" w:color="FFFFFF"/>
              <w:bottom w:val="single" w:sz="48" w:space="0" w:color="FFFFFF"/>
            </w:tcBorders>
            <w:shd w:val="clear" w:color="auto" w:fill="000000"/>
          </w:tcPr>
          <w:p w14:paraId="51DE848A" w14:textId="77777777" w:rsidR="0010369C" w:rsidRDefault="0010369C">
            <w:pPr>
              <w:pStyle w:val="TableParagraph"/>
              <w:rPr>
                <w:rFonts w:ascii="Times New Roman"/>
                <w:sz w:val="18"/>
              </w:rPr>
            </w:pPr>
          </w:p>
        </w:tc>
      </w:tr>
      <w:tr w:rsidR="0010369C" w14:paraId="51DE848E" w14:textId="77777777">
        <w:trPr>
          <w:trHeight w:val="320"/>
        </w:trPr>
        <w:tc>
          <w:tcPr>
            <w:tcW w:w="5219" w:type="dxa"/>
            <w:gridSpan w:val="2"/>
            <w:tcBorders>
              <w:top w:val="single" w:sz="48" w:space="0" w:color="FFFFFF"/>
            </w:tcBorders>
            <w:shd w:val="clear" w:color="auto" w:fill="000000"/>
          </w:tcPr>
          <w:p w14:paraId="51DE848C" w14:textId="77777777" w:rsidR="0010369C" w:rsidRDefault="0010369C">
            <w:pPr>
              <w:pStyle w:val="TableParagraph"/>
              <w:rPr>
                <w:rFonts w:ascii="Times New Roman"/>
                <w:sz w:val="18"/>
              </w:rPr>
            </w:pPr>
          </w:p>
        </w:tc>
        <w:tc>
          <w:tcPr>
            <w:tcW w:w="3912" w:type="dxa"/>
            <w:tcBorders>
              <w:top w:val="single" w:sz="48" w:space="0" w:color="FFFFFF"/>
            </w:tcBorders>
          </w:tcPr>
          <w:p w14:paraId="51DE848D" w14:textId="77777777" w:rsidR="0010369C" w:rsidRDefault="008E43AE">
            <w:pPr>
              <w:pStyle w:val="TableParagraph"/>
              <w:spacing w:line="290" w:lineRule="exact"/>
              <w:ind w:left="18"/>
              <w:rPr>
                <w:sz w:val="24"/>
              </w:rPr>
            </w:pPr>
            <w:r>
              <w:rPr>
                <w:spacing w:val="-5"/>
                <w:sz w:val="24"/>
              </w:rPr>
              <w:t>]]</w:t>
            </w:r>
          </w:p>
        </w:tc>
      </w:tr>
    </w:tbl>
    <w:p w14:paraId="51DE848F" w14:textId="77777777" w:rsidR="0010369C" w:rsidRDefault="0010369C">
      <w:pPr>
        <w:pStyle w:val="BodyText"/>
        <w:spacing w:before="1"/>
        <w:rPr>
          <w:sz w:val="23"/>
        </w:rPr>
      </w:pPr>
    </w:p>
    <w:tbl>
      <w:tblPr>
        <w:tblW w:w="0" w:type="auto"/>
        <w:tblInd w:w="225" w:type="dxa"/>
        <w:tblLayout w:type="fixed"/>
        <w:tblCellMar>
          <w:left w:w="0" w:type="dxa"/>
          <w:right w:w="0" w:type="dxa"/>
        </w:tblCellMar>
        <w:tblLook w:val="01E0" w:firstRow="1" w:lastRow="1" w:firstColumn="1" w:lastColumn="1" w:noHBand="0" w:noVBand="0"/>
      </w:tblPr>
      <w:tblGrid>
        <w:gridCol w:w="997"/>
        <w:gridCol w:w="2689"/>
        <w:gridCol w:w="4859"/>
        <w:gridCol w:w="525"/>
      </w:tblGrid>
      <w:tr w:rsidR="0010369C" w14:paraId="51DE8492" w14:textId="77777777">
        <w:trPr>
          <w:trHeight w:val="320"/>
        </w:trPr>
        <w:tc>
          <w:tcPr>
            <w:tcW w:w="997" w:type="dxa"/>
            <w:tcBorders>
              <w:bottom w:val="single" w:sz="48" w:space="0" w:color="FFFFFF"/>
            </w:tcBorders>
          </w:tcPr>
          <w:p w14:paraId="51DE8490" w14:textId="77777777" w:rsidR="0010369C" w:rsidRDefault="008E43AE">
            <w:pPr>
              <w:pStyle w:val="TableParagraph"/>
              <w:spacing w:line="291" w:lineRule="exact"/>
              <w:ind w:right="-29"/>
              <w:jc w:val="right"/>
              <w:rPr>
                <w:sz w:val="24"/>
              </w:rPr>
            </w:pPr>
            <w:r>
              <w:rPr>
                <w:spacing w:val="-5"/>
                <w:sz w:val="24"/>
              </w:rPr>
              <w:t>[[</w:t>
            </w:r>
          </w:p>
        </w:tc>
        <w:tc>
          <w:tcPr>
            <w:tcW w:w="8073" w:type="dxa"/>
            <w:gridSpan w:val="3"/>
            <w:tcBorders>
              <w:bottom w:val="single" w:sz="48" w:space="0" w:color="FFFFFF"/>
            </w:tcBorders>
            <w:shd w:val="clear" w:color="auto" w:fill="000000"/>
          </w:tcPr>
          <w:p w14:paraId="51DE8491" w14:textId="77777777" w:rsidR="0010369C" w:rsidRDefault="0010369C">
            <w:pPr>
              <w:pStyle w:val="TableParagraph"/>
              <w:rPr>
                <w:rFonts w:ascii="Times New Roman"/>
                <w:sz w:val="18"/>
              </w:rPr>
            </w:pPr>
          </w:p>
        </w:tc>
      </w:tr>
      <w:tr w:rsidR="0010369C" w14:paraId="51DE8494" w14:textId="77777777">
        <w:trPr>
          <w:trHeight w:val="319"/>
        </w:trPr>
        <w:tc>
          <w:tcPr>
            <w:tcW w:w="9070" w:type="dxa"/>
            <w:gridSpan w:val="4"/>
            <w:tcBorders>
              <w:top w:val="single" w:sz="48" w:space="0" w:color="FFFFFF"/>
              <w:bottom w:val="single" w:sz="48" w:space="0" w:color="FFFFFF"/>
            </w:tcBorders>
            <w:shd w:val="clear" w:color="auto" w:fill="000000"/>
          </w:tcPr>
          <w:p w14:paraId="51DE8493" w14:textId="77777777" w:rsidR="0010369C" w:rsidRDefault="0010369C">
            <w:pPr>
              <w:pStyle w:val="TableParagraph"/>
              <w:rPr>
                <w:rFonts w:ascii="Times New Roman"/>
                <w:sz w:val="18"/>
              </w:rPr>
            </w:pPr>
          </w:p>
        </w:tc>
      </w:tr>
      <w:tr w:rsidR="0010369C" w14:paraId="51DE8496" w14:textId="77777777">
        <w:trPr>
          <w:trHeight w:val="319"/>
        </w:trPr>
        <w:tc>
          <w:tcPr>
            <w:tcW w:w="9070" w:type="dxa"/>
            <w:gridSpan w:val="4"/>
            <w:tcBorders>
              <w:top w:val="single" w:sz="48" w:space="0" w:color="FFFFFF"/>
              <w:bottom w:val="single" w:sz="48" w:space="0" w:color="FFFFFF"/>
            </w:tcBorders>
            <w:shd w:val="clear" w:color="auto" w:fill="000000"/>
          </w:tcPr>
          <w:p w14:paraId="51DE8495" w14:textId="77777777" w:rsidR="0010369C" w:rsidRDefault="0010369C">
            <w:pPr>
              <w:pStyle w:val="TableParagraph"/>
              <w:rPr>
                <w:rFonts w:ascii="Times New Roman"/>
                <w:sz w:val="18"/>
              </w:rPr>
            </w:pPr>
          </w:p>
        </w:tc>
      </w:tr>
      <w:tr w:rsidR="0010369C" w14:paraId="51DE8498" w14:textId="77777777">
        <w:trPr>
          <w:trHeight w:val="319"/>
        </w:trPr>
        <w:tc>
          <w:tcPr>
            <w:tcW w:w="9070" w:type="dxa"/>
            <w:gridSpan w:val="4"/>
            <w:tcBorders>
              <w:top w:val="single" w:sz="48" w:space="0" w:color="FFFFFF"/>
              <w:bottom w:val="single" w:sz="48" w:space="0" w:color="FFFFFF"/>
            </w:tcBorders>
            <w:shd w:val="clear" w:color="auto" w:fill="000000"/>
          </w:tcPr>
          <w:p w14:paraId="51DE8497" w14:textId="77777777" w:rsidR="0010369C" w:rsidRDefault="0010369C">
            <w:pPr>
              <w:pStyle w:val="TableParagraph"/>
              <w:rPr>
                <w:rFonts w:ascii="Times New Roman"/>
                <w:sz w:val="18"/>
              </w:rPr>
            </w:pPr>
          </w:p>
        </w:tc>
      </w:tr>
      <w:tr w:rsidR="0010369C" w14:paraId="51DE849A" w14:textId="77777777">
        <w:trPr>
          <w:trHeight w:val="319"/>
        </w:trPr>
        <w:tc>
          <w:tcPr>
            <w:tcW w:w="9070" w:type="dxa"/>
            <w:gridSpan w:val="4"/>
            <w:tcBorders>
              <w:top w:val="single" w:sz="48" w:space="0" w:color="FFFFFF"/>
              <w:bottom w:val="single" w:sz="48" w:space="0" w:color="FFFFFF"/>
            </w:tcBorders>
            <w:shd w:val="clear" w:color="auto" w:fill="000000"/>
          </w:tcPr>
          <w:p w14:paraId="51DE8499" w14:textId="77777777" w:rsidR="0010369C" w:rsidRDefault="0010369C">
            <w:pPr>
              <w:pStyle w:val="TableParagraph"/>
              <w:rPr>
                <w:rFonts w:ascii="Times New Roman"/>
                <w:sz w:val="18"/>
              </w:rPr>
            </w:pPr>
          </w:p>
        </w:tc>
      </w:tr>
      <w:tr w:rsidR="0010369C" w14:paraId="51DE849D" w14:textId="77777777">
        <w:trPr>
          <w:trHeight w:val="319"/>
        </w:trPr>
        <w:tc>
          <w:tcPr>
            <w:tcW w:w="3686" w:type="dxa"/>
            <w:gridSpan w:val="2"/>
            <w:tcBorders>
              <w:top w:val="single" w:sz="48" w:space="0" w:color="FFFFFF"/>
              <w:bottom w:val="single" w:sz="48" w:space="0" w:color="FFFFFF"/>
              <w:right w:val="single" w:sz="36" w:space="0" w:color="FFFFFF"/>
            </w:tcBorders>
            <w:shd w:val="clear" w:color="auto" w:fill="000000"/>
          </w:tcPr>
          <w:p w14:paraId="51DE849B" w14:textId="77777777" w:rsidR="0010369C" w:rsidRDefault="0010369C">
            <w:pPr>
              <w:pStyle w:val="TableParagraph"/>
              <w:rPr>
                <w:rFonts w:ascii="Times New Roman"/>
                <w:sz w:val="18"/>
              </w:rPr>
            </w:pPr>
          </w:p>
        </w:tc>
        <w:tc>
          <w:tcPr>
            <w:tcW w:w="5384" w:type="dxa"/>
            <w:gridSpan w:val="2"/>
            <w:tcBorders>
              <w:top w:val="single" w:sz="48" w:space="0" w:color="FFFFFF"/>
              <w:left w:val="single" w:sz="36" w:space="0" w:color="FFFFFF"/>
              <w:bottom w:val="single" w:sz="48" w:space="0" w:color="FFFFFF"/>
            </w:tcBorders>
            <w:shd w:val="clear" w:color="auto" w:fill="000000"/>
          </w:tcPr>
          <w:p w14:paraId="51DE849C" w14:textId="77777777" w:rsidR="0010369C" w:rsidRDefault="0010369C">
            <w:pPr>
              <w:pStyle w:val="TableParagraph"/>
              <w:rPr>
                <w:rFonts w:ascii="Times New Roman"/>
                <w:sz w:val="18"/>
              </w:rPr>
            </w:pPr>
          </w:p>
        </w:tc>
      </w:tr>
      <w:tr w:rsidR="0010369C" w14:paraId="51DE84A0" w14:textId="77777777">
        <w:trPr>
          <w:trHeight w:val="320"/>
        </w:trPr>
        <w:tc>
          <w:tcPr>
            <w:tcW w:w="8545" w:type="dxa"/>
            <w:gridSpan w:val="3"/>
            <w:tcBorders>
              <w:top w:val="single" w:sz="48" w:space="0" w:color="FFFFFF"/>
            </w:tcBorders>
            <w:shd w:val="clear" w:color="auto" w:fill="000000"/>
          </w:tcPr>
          <w:p w14:paraId="51DE849E" w14:textId="77777777" w:rsidR="0010369C" w:rsidRDefault="0010369C">
            <w:pPr>
              <w:pStyle w:val="TableParagraph"/>
              <w:rPr>
                <w:rFonts w:ascii="Times New Roman"/>
                <w:sz w:val="18"/>
              </w:rPr>
            </w:pPr>
          </w:p>
        </w:tc>
        <w:tc>
          <w:tcPr>
            <w:tcW w:w="525" w:type="dxa"/>
            <w:tcBorders>
              <w:top w:val="single" w:sz="48" w:space="0" w:color="FFFFFF"/>
            </w:tcBorders>
          </w:tcPr>
          <w:p w14:paraId="51DE849F" w14:textId="77777777" w:rsidR="0010369C" w:rsidRDefault="008E43AE">
            <w:pPr>
              <w:pStyle w:val="TableParagraph"/>
              <w:spacing w:line="290" w:lineRule="exact"/>
              <w:ind w:left="18"/>
              <w:rPr>
                <w:sz w:val="24"/>
              </w:rPr>
            </w:pPr>
            <w:r>
              <w:rPr>
                <w:spacing w:val="-5"/>
                <w:sz w:val="24"/>
              </w:rPr>
              <w:t>]]</w:t>
            </w:r>
          </w:p>
        </w:tc>
      </w:tr>
    </w:tbl>
    <w:p w14:paraId="51DE84A1" w14:textId="77777777" w:rsidR="0010369C" w:rsidRDefault="0010369C">
      <w:pPr>
        <w:pStyle w:val="BodyText"/>
        <w:rPr>
          <w:sz w:val="23"/>
        </w:rPr>
      </w:pPr>
    </w:p>
    <w:tbl>
      <w:tblPr>
        <w:tblW w:w="0" w:type="auto"/>
        <w:tblInd w:w="127" w:type="dxa"/>
        <w:tblLayout w:type="fixed"/>
        <w:tblCellMar>
          <w:left w:w="0" w:type="dxa"/>
          <w:right w:w="0" w:type="dxa"/>
        </w:tblCellMar>
        <w:tblLook w:val="01E0" w:firstRow="1" w:lastRow="1" w:firstColumn="1" w:lastColumn="1" w:noHBand="0" w:noVBand="0"/>
      </w:tblPr>
      <w:tblGrid>
        <w:gridCol w:w="1096"/>
        <w:gridCol w:w="8132"/>
      </w:tblGrid>
      <w:tr w:rsidR="0010369C" w14:paraId="51DE84A4" w14:textId="77777777">
        <w:trPr>
          <w:trHeight w:val="320"/>
        </w:trPr>
        <w:tc>
          <w:tcPr>
            <w:tcW w:w="1096" w:type="dxa"/>
            <w:tcBorders>
              <w:bottom w:val="single" w:sz="48" w:space="0" w:color="FFFFFF"/>
            </w:tcBorders>
          </w:tcPr>
          <w:p w14:paraId="51DE84A2" w14:textId="77777777" w:rsidR="0010369C" w:rsidRDefault="008E43AE">
            <w:pPr>
              <w:pStyle w:val="TableParagraph"/>
              <w:spacing w:line="291" w:lineRule="exact"/>
              <w:ind w:right="-29"/>
              <w:jc w:val="right"/>
              <w:rPr>
                <w:sz w:val="24"/>
              </w:rPr>
            </w:pPr>
            <w:r>
              <w:rPr>
                <w:spacing w:val="-5"/>
                <w:sz w:val="24"/>
              </w:rPr>
              <w:t>[[</w:t>
            </w:r>
          </w:p>
        </w:tc>
        <w:tc>
          <w:tcPr>
            <w:tcW w:w="8132" w:type="dxa"/>
            <w:tcBorders>
              <w:bottom w:val="single" w:sz="48" w:space="0" w:color="FFFFFF"/>
            </w:tcBorders>
            <w:shd w:val="clear" w:color="auto" w:fill="000000"/>
          </w:tcPr>
          <w:p w14:paraId="51DE84A3" w14:textId="77777777" w:rsidR="0010369C" w:rsidRDefault="0010369C">
            <w:pPr>
              <w:pStyle w:val="TableParagraph"/>
              <w:rPr>
                <w:rFonts w:ascii="Times New Roman"/>
                <w:sz w:val="18"/>
              </w:rPr>
            </w:pPr>
          </w:p>
        </w:tc>
      </w:tr>
      <w:tr w:rsidR="0010369C" w14:paraId="51DE84A6" w14:textId="77777777">
        <w:trPr>
          <w:trHeight w:val="319"/>
        </w:trPr>
        <w:tc>
          <w:tcPr>
            <w:tcW w:w="9228" w:type="dxa"/>
            <w:gridSpan w:val="2"/>
            <w:tcBorders>
              <w:top w:val="single" w:sz="48" w:space="0" w:color="FFFFFF"/>
              <w:bottom w:val="single" w:sz="48" w:space="0" w:color="FFFFFF"/>
            </w:tcBorders>
            <w:shd w:val="clear" w:color="auto" w:fill="000000"/>
          </w:tcPr>
          <w:p w14:paraId="51DE84A5" w14:textId="77777777" w:rsidR="0010369C" w:rsidRDefault="0010369C">
            <w:pPr>
              <w:pStyle w:val="TableParagraph"/>
              <w:rPr>
                <w:rFonts w:ascii="Times New Roman"/>
                <w:sz w:val="18"/>
              </w:rPr>
            </w:pPr>
          </w:p>
        </w:tc>
      </w:tr>
      <w:tr w:rsidR="0010369C" w14:paraId="51DE84A8" w14:textId="77777777">
        <w:trPr>
          <w:trHeight w:val="319"/>
        </w:trPr>
        <w:tc>
          <w:tcPr>
            <w:tcW w:w="9228" w:type="dxa"/>
            <w:gridSpan w:val="2"/>
            <w:tcBorders>
              <w:top w:val="single" w:sz="48" w:space="0" w:color="FFFFFF"/>
              <w:bottom w:val="single" w:sz="48" w:space="0" w:color="FFFFFF"/>
            </w:tcBorders>
            <w:shd w:val="clear" w:color="auto" w:fill="000000"/>
          </w:tcPr>
          <w:p w14:paraId="51DE84A7" w14:textId="77777777" w:rsidR="0010369C" w:rsidRDefault="0010369C">
            <w:pPr>
              <w:pStyle w:val="TableParagraph"/>
              <w:rPr>
                <w:rFonts w:ascii="Times New Roman"/>
                <w:sz w:val="18"/>
              </w:rPr>
            </w:pPr>
          </w:p>
        </w:tc>
      </w:tr>
      <w:tr w:rsidR="0010369C" w14:paraId="51DE84AA" w14:textId="77777777">
        <w:trPr>
          <w:trHeight w:val="319"/>
        </w:trPr>
        <w:tc>
          <w:tcPr>
            <w:tcW w:w="9228" w:type="dxa"/>
            <w:gridSpan w:val="2"/>
            <w:tcBorders>
              <w:top w:val="single" w:sz="48" w:space="0" w:color="FFFFFF"/>
              <w:bottom w:val="single" w:sz="48" w:space="0" w:color="FFFFFF"/>
            </w:tcBorders>
            <w:shd w:val="clear" w:color="auto" w:fill="000000"/>
          </w:tcPr>
          <w:p w14:paraId="51DE84A9" w14:textId="77777777" w:rsidR="0010369C" w:rsidRDefault="0010369C">
            <w:pPr>
              <w:pStyle w:val="TableParagraph"/>
              <w:rPr>
                <w:rFonts w:ascii="Times New Roman"/>
                <w:sz w:val="18"/>
              </w:rPr>
            </w:pPr>
          </w:p>
        </w:tc>
      </w:tr>
      <w:tr w:rsidR="0010369C" w14:paraId="51DE84AC" w14:textId="77777777">
        <w:trPr>
          <w:trHeight w:val="319"/>
        </w:trPr>
        <w:tc>
          <w:tcPr>
            <w:tcW w:w="9228" w:type="dxa"/>
            <w:gridSpan w:val="2"/>
            <w:tcBorders>
              <w:top w:val="single" w:sz="48" w:space="0" w:color="FFFFFF"/>
              <w:bottom w:val="single" w:sz="48" w:space="0" w:color="FFFFFF"/>
            </w:tcBorders>
            <w:shd w:val="clear" w:color="auto" w:fill="000000"/>
          </w:tcPr>
          <w:p w14:paraId="51DE84AB" w14:textId="77777777" w:rsidR="0010369C" w:rsidRDefault="0010369C">
            <w:pPr>
              <w:pStyle w:val="TableParagraph"/>
              <w:rPr>
                <w:rFonts w:ascii="Times New Roman"/>
                <w:sz w:val="18"/>
              </w:rPr>
            </w:pPr>
          </w:p>
        </w:tc>
      </w:tr>
      <w:tr w:rsidR="0010369C" w14:paraId="51DE84AE" w14:textId="77777777">
        <w:trPr>
          <w:trHeight w:val="319"/>
        </w:trPr>
        <w:tc>
          <w:tcPr>
            <w:tcW w:w="9228" w:type="dxa"/>
            <w:gridSpan w:val="2"/>
            <w:tcBorders>
              <w:top w:val="single" w:sz="48" w:space="0" w:color="FFFFFF"/>
              <w:bottom w:val="single" w:sz="48" w:space="0" w:color="FFFFFF"/>
            </w:tcBorders>
            <w:shd w:val="clear" w:color="auto" w:fill="000000"/>
          </w:tcPr>
          <w:p w14:paraId="51DE84AD" w14:textId="77777777" w:rsidR="0010369C" w:rsidRDefault="0010369C">
            <w:pPr>
              <w:pStyle w:val="TableParagraph"/>
              <w:rPr>
                <w:rFonts w:ascii="Times New Roman"/>
                <w:sz w:val="18"/>
              </w:rPr>
            </w:pPr>
          </w:p>
        </w:tc>
      </w:tr>
      <w:tr w:rsidR="0010369C" w14:paraId="51DE84B0" w14:textId="77777777">
        <w:trPr>
          <w:trHeight w:val="319"/>
        </w:trPr>
        <w:tc>
          <w:tcPr>
            <w:tcW w:w="9228" w:type="dxa"/>
            <w:gridSpan w:val="2"/>
            <w:tcBorders>
              <w:top w:val="single" w:sz="48" w:space="0" w:color="FFFFFF"/>
              <w:bottom w:val="single" w:sz="48" w:space="0" w:color="FFFFFF"/>
            </w:tcBorders>
            <w:shd w:val="clear" w:color="auto" w:fill="000000"/>
          </w:tcPr>
          <w:p w14:paraId="51DE84AF" w14:textId="77777777" w:rsidR="0010369C" w:rsidRDefault="0010369C">
            <w:pPr>
              <w:pStyle w:val="TableParagraph"/>
              <w:rPr>
                <w:rFonts w:ascii="Times New Roman"/>
                <w:sz w:val="18"/>
              </w:rPr>
            </w:pPr>
          </w:p>
        </w:tc>
      </w:tr>
      <w:tr w:rsidR="0010369C" w14:paraId="51DE84B2" w14:textId="77777777">
        <w:trPr>
          <w:trHeight w:val="319"/>
        </w:trPr>
        <w:tc>
          <w:tcPr>
            <w:tcW w:w="9228" w:type="dxa"/>
            <w:gridSpan w:val="2"/>
            <w:tcBorders>
              <w:top w:val="single" w:sz="48" w:space="0" w:color="FFFFFF"/>
              <w:bottom w:val="single" w:sz="48" w:space="0" w:color="FFFFFF"/>
            </w:tcBorders>
            <w:shd w:val="clear" w:color="auto" w:fill="000000"/>
          </w:tcPr>
          <w:p w14:paraId="51DE84B1" w14:textId="77777777" w:rsidR="0010369C" w:rsidRDefault="0010369C">
            <w:pPr>
              <w:pStyle w:val="TableParagraph"/>
              <w:rPr>
                <w:rFonts w:ascii="Times New Roman"/>
                <w:sz w:val="18"/>
              </w:rPr>
            </w:pPr>
          </w:p>
        </w:tc>
      </w:tr>
      <w:tr w:rsidR="0010369C" w14:paraId="51DE84B4" w14:textId="77777777">
        <w:trPr>
          <w:trHeight w:val="319"/>
        </w:trPr>
        <w:tc>
          <w:tcPr>
            <w:tcW w:w="9228" w:type="dxa"/>
            <w:gridSpan w:val="2"/>
            <w:tcBorders>
              <w:top w:val="single" w:sz="48" w:space="0" w:color="FFFFFF"/>
              <w:bottom w:val="single" w:sz="48" w:space="0" w:color="FFFFFF"/>
            </w:tcBorders>
            <w:shd w:val="clear" w:color="auto" w:fill="000000"/>
          </w:tcPr>
          <w:p w14:paraId="51DE84B3" w14:textId="77777777" w:rsidR="0010369C" w:rsidRDefault="0010369C">
            <w:pPr>
              <w:pStyle w:val="TableParagraph"/>
              <w:rPr>
                <w:rFonts w:ascii="Times New Roman"/>
                <w:sz w:val="18"/>
              </w:rPr>
            </w:pPr>
          </w:p>
        </w:tc>
      </w:tr>
      <w:tr w:rsidR="0010369C" w14:paraId="51DE84B6" w14:textId="77777777">
        <w:trPr>
          <w:trHeight w:val="319"/>
        </w:trPr>
        <w:tc>
          <w:tcPr>
            <w:tcW w:w="9228" w:type="dxa"/>
            <w:gridSpan w:val="2"/>
            <w:tcBorders>
              <w:top w:val="single" w:sz="48" w:space="0" w:color="FFFFFF"/>
              <w:bottom w:val="single" w:sz="48" w:space="0" w:color="FFFFFF"/>
            </w:tcBorders>
            <w:shd w:val="clear" w:color="auto" w:fill="000000"/>
          </w:tcPr>
          <w:p w14:paraId="51DE84B5" w14:textId="77777777" w:rsidR="0010369C" w:rsidRDefault="0010369C">
            <w:pPr>
              <w:pStyle w:val="TableParagraph"/>
              <w:rPr>
                <w:rFonts w:ascii="Times New Roman"/>
                <w:sz w:val="18"/>
              </w:rPr>
            </w:pPr>
          </w:p>
        </w:tc>
      </w:tr>
      <w:tr w:rsidR="0010369C" w14:paraId="51DE84B8" w14:textId="77777777">
        <w:trPr>
          <w:trHeight w:val="319"/>
        </w:trPr>
        <w:tc>
          <w:tcPr>
            <w:tcW w:w="9228" w:type="dxa"/>
            <w:gridSpan w:val="2"/>
            <w:tcBorders>
              <w:top w:val="single" w:sz="48" w:space="0" w:color="FFFFFF"/>
              <w:bottom w:val="single" w:sz="48" w:space="0" w:color="FFFFFF"/>
            </w:tcBorders>
            <w:shd w:val="clear" w:color="auto" w:fill="000000"/>
          </w:tcPr>
          <w:p w14:paraId="51DE84B7" w14:textId="77777777" w:rsidR="0010369C" w:rsidRDefault="0010369C">
            <w:pPr>
              <w:pStyle w:val="TableParagraph"/>
              <w:rPr>
                <w:rFonts w:ascii="Times New Roman"/>
                <w:sz w:val="18"/>
              </w:rPr>
            </w:pPr>
          </w:p>
        </w:tc>
      </w:tr>
      <w:tr w:rsidR="0010369C" w14:paraId="51DE84BA" w14:textId="77777777">
        <w:trPr>
          <w:trHeight w:val="320"/>
        </w:trPr>
        <w:tc>
          <w:tcPr>
            <w:tcW w:w="9228" w:type="dxa"/>
            <w:gridSpan w:val="2"/>
            <w:tcBorders>
              <w:top w:val="single" w:sz="48" w:space="0" w:color="FFFFFF"/>
            </w:tcBorders>
            <w:shd w:val="clear" w:color="auto" w:fill="000000"/>
          </w:tcPr>
          <w:p w14:paraId="51DE84B9" w14:textId="77777777" w:rsidR="0010369C" w:rsidRDefault="0010369C">
            <w:pPr>
              <w:pStyle w:val="TableParagraph"/>
              <w:rPr>
                <w:rFonts w:ascii="Times New Roman"/>
                <w:sz w:val="18"/>
              </w:rPr>
            </w:pPr>
          </w:p>
        </w:tc>
      </w:tr>
    </w:tbl>
    <w:p w14:paraId="51DE84BB" w14:textId="77777777" w:rsidR="0010369C" w:rsidRDefault="0010369C">
      <w:pPr>
        <w:pStyle w:val="BodyText"/>
        <w:rPr>
          <w:sz w:val="20"/>
        </w:rPr>
      </w:pPr>
    </w:p>
    <w:p w14:paraId="51DE84BC" w14:textId="77777777" w:rsidR="0010369C" w:rsidRDefault="008E43AE">
      <w:pPr>
        <w:pStyle w:val="BodyText"/>
        <w:spacing w:before="6"/>
        <w:rPr>
          <w:sz w:val="18"/>
        </w:rPr>
      </w:pPr>
      <w:r>
        <w:pict w14:anchorId="51DEA0B1">
          <v:rect id="docshape546" o:spid="_x0000_s1718" style="position:absolute;margin-left:70.9pt;margin-top:12.5pt;width:2in;height:.8pt;z-index:-251020800;mso-wrap-distance-left:0;mso-wrap-distance-right:0;mso-position-horizontal-relative:page" fillcolor="black" stroked="f">
            <w10:wrap type="topAndBottom" anchorx="page"/>
          </v:rect>
        </w:pict>
      </w:r>
    </w:p>
    <w:p w14:paraId="51DE84BD" w14:textId="77777777" w:rsidR="0010369C" w:rsidRDefault="0010369C">
      <w:pPr>
        <w:pStyle w:val="BodyText"/>
        <w:spacing w:before="8"/>
        <w:rPr>
          <w:sz w:val="5"/>
        </w:rPr>
      </w:pPr>
    </w:p>
    <w:p w14:paraId="51DE84BE" w14:textId="77777777" w:rsidR="0010369C" w:rsidRDefault="0010369C">
      <w:pPr>
        <w:rPr>
          <w:sz w:val="5"/>
        </w:rPr>
        <w:sectPr w:rsidR="0010369C">
          <w:pgSz w:w="11910" w:h="16840"/>
          <w:pgMar w:top="880" w:right="800" w:bottom="980" w:left="1180" w:header="569" w:footer="788" w:gutter="0"/>
          <w:cols w:space="720"/>
        </w:sectPr>
      </w:pPr>
    </w:p>
    <w:p w14:paraId="51DE84BF" w14:textId="77777777" w:rsidR="0010369C" w:rsidRDefault="008E43AE">
      <w:pPr>
        <w:spacing w:before="38"/>
        <w:ind w:left="238"/>
        <w:rPr>
          <w:sz w:val="18"/>
        </w:rPr>
      </w:pPr>
      <w:r>
        <w:pict w14:anchorId="51DEA0B2">
          <v:shape id="docshape547" o:spid="_x0000_s1717" style="position:absolute;left:0;text-align:left;margin-left:86.65pt;margin-top:2.4pt;width:318.05pt;height:45pt;z-index:-251368960;mso-position-horizontal-relative:page" coordorigin="1733,48" coordsize="6361,900" path="m8094,487r-295,l7799,267r-795,l7004,48r-5271,l1733,267r,22l1733,947r5522,l7255,728r839,l8094,487xe" fillcolor="black" stroked="f">
            <v:path arrowok="t"/>
            <w10:wrap anchorx="page"/>
          </v:shape>
        </w:pict>
      </w:r>
      <w:r>
        <w:rPr>
          <w:sz w:val="12"/>
        </w:rPr>
        <w:t>281</w:t>
      </w:r>
      <w:r>
        <w:rPr>
          <w:spacing w:val="11"/>
          <w:sz w:val="12"/>
        </w:rPr>
        <w:t xml:space="preserve"> </w:t>
      </w:r>
      <w:r>
        <w:rPr>
          <w:spacing w:val="-10"/>
          <w:position w:val="-5"/>
          <w:sz w:val="18"/>
        </w:rPr>
        <w:t>[</w:t>
      </w:r>
    </w:p>
    <w:p w14:paraId="51DE84C0" w14:textId="77777777" w:rsidR="0010369C" w:rsidRDefault="008E43AE">
      <w:pPr>
        <w:spacing w:before="41"/>
        <w:ind w:left="238"/>
        <w:rPr>
          <w:sz w:val="18"/>
        </w:rPr>
      </w:pPr>
      <w:r>
        <w:br w:type="column"/>
      </w:r>
      <w:r>
        <w:rPr>
          <w:color w:val="5E5E5E"/>
          <w:sz w:val="18"/>
        </w:rPr>
        <w:t>(AUS‐5</w:t>
      </w:r>
      <w:r>
        <w:rPr>
          <w:color w:val="5E5E5E"/>
          <w:spacing w:val="-11"/>
          <w:sz w:val="18"/>
        </w:rPr>
        <w:t xml:space="preserve"> </w:t>
      </w:r>
      <w:r>
        <w:rPr>
          <w:color w:val="5E5E5E"/>
          <w:spacing w:val="-2"/>
          <w:sz w:val="18"/>
        </w:rPr>
        <w:t>(BCI)),</w:t>
      </w:r>
    </w:p>
    <w:p w14:paraId="51DE84C1" w14:textId="77777777" w:rsidR="0010369C" w:rsidRDefault="008E43AE">
      <w:pPr>
        <w:spacing w:before="41"/>
        <w:ind w:left="238"/>
        <w:rPr>
          <w:sz w:val="18"/>
        </w:rPr>
      </w:pPr>
      <w:r>
        <w:br w:type="column"/>
      </w:r>
      <w:r>
        <w:rPr>
          <w:color w:val="5E5E5E"/>
          <w:spacing w:val="-5"/>
          <w:sz w:val="18"/>
        </w:rPr>
        <w:t>.</w:t>
      </w:r>
      <w:r>
        <w:rPr>
          <w:spacing w:val="-5"/>
          <w:sz w:val="18"/>
        </w:rPr>
        <w:t>]]</w:t>
      </w:r>
    </w:p>
    <w:p w14:paraId="51DE84C2" w14:textId="77777777" w:rsidR="0010369C" w:rsidRDefault="0010369C">
      <w:pPr>
        <w:rPr>
          <w:sz w:val="18"/>
        </w:rPr>
        <w:sectPr w:rsidR="0010369C">
          <w:type w:val="continuous"/>
          <w:pgSz w:w="11910" w:h="16840"/>
          <w:pgMar w:top="1460" w:right="800" w:bottom="280" w:left="1180" w:header="569" w:footer="788" w:gutter="0"/>
          <w:cols w:num="3" w:space="720" w:equalWidth="0">
            <w:col w:w="694" w:space="4911"/>
            <w:col w:w="1271" w:space="293"/>
            <w:col w:w="2761"/>
          </w:cols>
        </w:sectPr>
      </w:pPr>
    </w:p>
    <w:p w14:paraId="51DE84C3" w14:textId="77777777" w:rsidR="0010369C" w:rsidRDefault="008E43AE">
      <w:pPr>
        <w:spacing w:before="36" w:line="156" w:lineRule="auto"/>
        <w:ind w:left="238"/>
        <w:rPr>
          <w:sz w:val="18"/>
        </w:rPr>
      </w:pPr>
      <w:r>
        <w:rPr>
          <w:noProof/>
        </w:rPr>
        <w:drawing>
          <wp:anchor distT="0" distB="0" distL="0" distR="0" simplePos="0" relativeHeight="250921472" behindDoc="1" locked="0" layoutInCell="1" allowOverlap="1" wp14:anchorId="51DEA0B3" wp14:editId="51DEA0B4">
            <wp:simplePos x="0" y="0"/>
            <wp:positionH relativeFrom="page">
              <wp:posOffset>905255</wp:posOffset>
            </wp:positionH>
            <wp:positionV relativeFrom="page">
              <wp:posOffset>3557015</wp:posOffset>
            </wp:positionV>
            <wp:extent cx="258154" cy="106299"/>
            <wp:effectExtent l="0" t="0" r="0" b="0"/>
            <wp:wrapNone/>
            <wp:docPr id="515" name="image2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 name="image266.png"/>
                    <pic:cNvPicPr/>
                  </pic:nvPicPr>
                  <pic:blipFill>
                    <a:blip r:embed="rId368" cstate="print"/>
                    <a:stretch>
                      <a:fillRect/>
                    </a:stretch>
                  </pic:blipFill>
                  <pic:spPr>
                    <a:xfrm>
                      <a:off x="0" y="0"/>
                      <a:ext cx="258154" cy="106299"/>
                    </a:xfrm>
                    <a:prstGeom prst="rect">
                      <a:avLst/>
                    </a:prstGeom>
                  </pic:spPr>
                </pic:pic>
              </a:graphicData>
            </a:graphic>
          </wp:anchor>
        </w:drawing>
      </w:r>
      <w:r>
        <w:rPr>
          <w:noProof/>
        </w:rPr>
        <w:drawing>
          <wp:anchor distT="0" distB="0" distL="0" distR="0" simplePos="0" relativeHeight="250922496" behindDoc="1" locked="0" layoutInCell="1" allowOverlap="1" wp14:anchorId="51DEA0B5" wp14:editId="51DEA0B6">
            <wp:simplePos x="0" y="0"/>
            <wp:positionH relativeFrom="page">
              <wp:posOffset>905255</wp:posOffset>
            </wp:positionH>
            <wp:positionV relativeFrom="page">
              <wp:posOffset>5617294</wp:posOffset>
            </wp:positionV>
            <wp:extent cx="258154" cy="100393"/>
            <wp:effectExtent l="0" t="0" r="0" b="0"/>
            <wp:wrapNone/>
            <wp:docPr id="517" name="image2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 name="image267.png"/>
                    <pic:cNvPicPr/>
                  </pic:nvPicPr>
                  <pic:blipFill>
                    <a:blip r:embed="rId369" cstate="print"/>
                    <a:stretch>
                      <a:fillRect/>
                    </a:stretch>
                  </pic:blipFill>
                  <pic:spPr>
                    <a:xfrm>
                      <a:off x="0" y="0"/>
                      <a:ext cx="258154" cy="100393"/>
                    </a:xfrm>
                    <a:prstGeom prst="rect">
                      <a:avLst/>
                    </a:prstGeom>
                  </pic:spPr>
                </pic:pic>
              </a:graphicData>
            </a:graphic>
          </wp:anchor>
        </w:drawing>
      </w:r>
      <w:r>
        <w:rPr>
          <w:sz w:val="12"/>
        </w:rPr>
        <w:t>282</w:t>
      </w:r>
      <w:r>
        <w:rPr>
          <w:spacing w:val="11"/>
          <w:sz w:val="12"/>
        </w:rPr>
        <w:t xml:space="preserve"> </w:t>
      </w:r>
      <w:r>
        <w:rPr>
          <w:spacing w:val="-10"/>
          <w:position w:val="-5"/>
          <w:sz w:val="18"/>
        </w:rPr>
        <w:t>[</w:t>
      </w:r>
    </w:p>
    <w:p w14:paraId="51DE84C4" w14:textId="77777777" w:rsidR="0010369C" w:rsidRDefault="008E43AE">
      <w:pPr>
        <w:spacing w:before="72" w:line="158" w:lineRule="auto"/>
        <w:ind w:left="238"/>
        <w:rPr>
          <w:sz w:val="18"/>
        </w:rPr>
      </w:pPr>
      <w:r>
        <w:rPr>
          <w:sz w:val="12"/>
        </w:rPr>
        <w:t>283</w:t>
      </w:r>
      <w:r>
        <w:rPr>
          <w:spacing w:val="11"/>
          <w:sz w:val="12"/>
        </w:rPr>
        <w:t xml:space="preserve"> </w:t>
      </w:r>
      <w:r>
        <w:rPr>
          <w:spacing w:val="-10"/>
          <w:position w:val="-5"/>
          <w:sz w:val="18"/>
        </w:rPr>
        <w:t>[</w:t>
      </w:r>
    </w:p>
    <w:p w14:paraId="51DE84C5" w14:textId="77777777" w:rsidR="0010369C" w:rsidRDefault="008E43AE">
      <w:pPr>
        <w:spacing w:before="33"/>
        <w:ind w:left="238"/>
        <w:rPr>
          <w:sz w:val="18"/>
        </w:rPr>
      </w:pPr>
      <w:r>
        <w:rPr>
          <w:sz w:val="12"/>
        </w:rPr>
        <w:t>284</w:t>
      </w:r>
      <w:r>
        <w:rPr>
          <w:spacing w:val="11"/>
          <w:sz w:val="12"/>
        </w:rPr>
        <w:t xml:space="preserve"> </w:t>
      </w:r>
      <w:r>
        <w:rPr>
          <w:spacing w:val="-10"/>
          <w:position w:val="-5"/>
          <w:sz w:val="18"/>
        </w:rPr>
        <w:t>[</w:t>
      </w:r>
    </w:p>
    <w:p w14:paraId="51DE84C6" w14:textId="77777777" w:rsidR="0010369C" w:rsidRDefault="008E43AE">
      <w:pPr>
        <w:ind w:left="1077" w:hanging="296"/>
        <w:rPr>
          <w:sz w:val="18"/>
        </w:rPr>
      </w:pPr>
      <w:r>
        <w:br w:type="column"/>
      </w:r>
      <w:r>
        <w:rPr>
          <w:color w:val="5E5E5E"/>
          <w:sz w:val="18"/>
        </w:rPr>
        <w:t>(Exhibit AUS‐11 (BCI)), (Exhibit</w:t>
      </w:r>
      <w:r>
        <w:rPr>
          <w:color w:val="5E5E5E"/>
          <w:spacing w:val="-11"/>
          <w:sz w:val="18"/>
        </w:rPr>
        <w:t xml:space="preserve"> </w:t>
      </w:r>
      <w:r>
        <w:rPr>
          <w:color w:val="5E5E5E"/>
          <w:sz w:val="18"/>
        </w:rPr>
        <w:t>AUS‐19</w:t>
      </w:r>
      <w:r>
        <w:rPr>
          <w:color w:val="5E5E5E"/>
          <w:spacing w:val="-10"/>
          <w:sz w:val="18"/>
        </w:rPr>
        <w:t xml:space="preserve"> </w:t>
      </w:r>
      <w:r>
        <w:rPr>
          <w:color w:val="5E5E5E"/>
          <w:sz w:val="18"/>
        </w:rPr>
        <w:t>(BCI)).</w:t>
      </w:r>
      <w:r>
        <w:rPr>
          <w:sz w:val="18"/>
        </w:rPr>
        <w:t>]]</w:t>
      </w:r>
    </w:p>
    <w:p w14:paraId="51DE84C7" w14:textId="77777777" w:rsidR="0010369C" w:rsidRDefault="008E43AE">
      <w:pPr>
        <w:spacing w:line="219" w:lineRule="exact"/>
        <w:ind w:left="238"/>
        <w:rPr>
          <w:sz w:val="18"/>
        </w:rPr>
      </w:pPr>
      <w:r>
        <w:pict w14:anchorId="51DEA0B7">
          <v:rect id="docshape548" o:spid="_x0000_s1716" style="position:absolute;left:0;text-align:left;margin-left:401.8pt;margin-top:-32.6pt;width:26.6pt;height:12.05pt;z-index:251799040;mso-position-horizontal-relative:page" fillcolor="black" stroked="f">
            <w10:wrap anchorx="page"/>
          </v:rect>
        </w:pict>
      </w:r>
      <w:r>
        <w:pict w14:anchorId="51DEA0B8">
          <v:rect id="docshape549" o:spid="_x0000_s1715" style="position:absolute;left:0;text-align:left;margin-left:475.15pt;margin-top:-21.65pt;width:18.2pt;height:12.05pt;z-index:-251367936;mso-position-horizontal-relative:page" fillcolor="black" stroked="f">
            <w10:wrap anchorx="page"/>
          </v:rect>
        </w:pict>
      </w:r>
      <w:r>
        <w:rPr>
          <w:color w:val="5E5E5E"/>
          <w:sz w:val="18"/>
        </w:rPr>
        <w:t>(Exhibit</w:t>
      </w:r>
      <w:r>
        <w:rPr>
          <w:color w:val="5E5E5E"/>
          <w:spacing w:val="-9"/>
          <w:sz w:val="18"/>
        </w:rPr>
        <w:t xml:space="preserve"> </w:t>
      </w:r>
      <w:r>
        <w:rPr>
          <w:color w:val="5E5E5E"/>
          <w:sz w:val="18"/>
        </w:rPr>
        <w:t>AUS‐4</w:t>
      </w:r>
      <w:r>
        <w:rPr>
          <w:color w:val="5E5E5E"/>
          <w:spacing w:val="-9"/>
          <w:sz w:val="18"/>
        </w:rPr>
        <w:t xml:space="preserve"> </w:t>
      </w:r>
      <w:r>
        <w:rPr>
          <w:color w:val="5E5E5E"/>
          <w:spacing w:val="-2"/>
          <w:sz w:val="18"/>
        </w:rPr>
        <w:t>(BCI)).</w:t>
      </w:r>
      <w:r>
        <w:rPr>
          <w:spacing w:val="-2"/>
          <w:sz w:val="18"/>
        </w:rPr>
        <w:t>]]</w:t>
      </w:r>
    </w:p>
    <w:p w14:paraId="51DE84C8" w14:textId="77777777" w:rsidR="0010369C" w:rsidRDefault="008E43AE">
      <w:pPr>
        <w:ind w:left="-40"/>
        <w:rPr>
          <w:sz w:val="18"/>
        </w:rPr>
      </w:pPr>
      <w:r>
        <w:br w:type="column"/>
      </w:r>
      <w:r>
        <w:rPr>
          <w:spacing w:val="-5"/>
          <w:sz w:val="18"/>
        </w:rPr>
        <w:t>.]]</w:t>
      </w:r>
    </w:p>
    <w:p w14:paraId="51DE84C9" w14:textId="77777777" w:rsidR="0010369C" w:rsidRDefault="0010369C">
      <w:pPr>
        <w:rPr>
          <w:sz w:val="18"/>
        </w:rPr>
        <w:sectPr w:rsidR="0010369C">
          <w:type w:val="continuous"/>
          <w:pgSz w:w="11910" w:h="16840"/>
          <w:pgMar w:top="1460" w:right="800" w:bottom="280" w:left="1180" w:header="569" w:footer="788" w:gutter="0"/>
          <w:cols w:num="3" w:space="720" w:equalWidth="0">
            <w:col w:w="559" w:space="5340"/>
            <w:col w:w="2809" w:space="39"/>
            <w:col w:w="1183"/>
          </w:cols>
        </w:sectPr>
      </w:pPr>
    </w:p>
    <w:p w14:paraId="51DE84CA" w14:textId="77777777" w:rsidR="0010369C" w:rsidRDefault="008E43AE">
      <w:pPr>
        <w:tabs>
          <w:tab w:val="left" w:pos="6426"/>
        </w:tabs>
        <w:ind w:left="238"/>
        <w:rPr>
          <w:sz w:val="20"/>
        </w:rPr>
      </w:pPr>
      <w:r>
        <w:rPr>
          <w:i/>
          <w:sz w:val="20"/>
        </w:rPr>
        <w:lastRenderedPageBreak/>
        <w:t>China</w:t>
      </w:r>
      <w:r>
        <w:rPr>
          <w:i/>
          <w:spacing w:val="-5"/>
          <w:sz w:val="20"/>
        </w:rPr>
        <w:t xml:space="preserve"> </w:t>
      </w:r>
      <w:r>
        <w:rPr>
          <w:i/>
          <w:sz w:val="20"/>
        </w:rPr>
        <w:t>–</w:t>
      </w:r>
      <w:r>
        <w:rPr>
          <w:i/>
          <w:spacing w:val="-5"/>
          <w:sz w:val="20"/>
        </w:rPr>
        <w:t xml:space="preserve"> </w:t>
      </w:r>
      <w:r>
        <w:rPr>
          <w:i/>
          <w:sz w:val="20"/>
        </w:rPr>
        <w:t>Anti‐Dumping</w:t>
      </w:r>
      <w:r>
        <w:rPr>
          <w:i/>
          <w:spacing w:val="-4"/>
          <w:sz w:val="20"/>
        </w:rPr>
        <w:t xml:space="preserve"> </w:t>
      </w:r>
      <w:r>
        <w:rPr>
          <w:i/>
          <w:sz w:val="20"/>
        </w:rPr>
        <w:t>and</w:t>
      </w:r>
      <w:r>
        <w:rPr>
          <w:i/>
          <w:spacing w:val="-5"/>
          <w:sz w:val="20"/>
        </w:rPr>
        <w:t xml:space="preserve"> </w:t>
      </w:r>
      <w:r>
        <w:rPr>
          <w:i/>
          <w:sz w:val="20"/>
        </w:rPr>
        <w:t>Countervailing</w:t>
      </w:r>
      <w:r>
        <w:rPr>
          <w:i/>
          <w:spacing w:val="-5"/>
          <w:sz w:val="20"/>
        </w:rPr>
        <w:t xml:space="preserve"> </w:t>
      </w:r>
      <w:r>
        <w:rPr>
          <w:i/>
          <w:sz w:val="20"/>
        </w:rPr>
        <w:t>Duty</w:t>
      </w:r>
      <w:r>
        <w:rPr>
          <w:i/>
          <w:spacing w:val="-4"/>
          <w:sz w:val="20"/>
        </w:rPr>
        <w:t xml:space="preserve"> </w:t>
      </w:r>
      <w:r>
        <w:rPr>
          <w:i/>
          <w:spacing w:val="-2"/>
          <w:sz w:val="20"/>
        </w:rPr>
        <w:t>Measures</w:t>
      </w:r>
      <w:r>
        <w:rPr>
          <w:i/>
          <w:sz w:val="20"/>
        </w:rPr>
        <w:tab/>
      </w:r>
      <w:r>
        <w:rPr>
          <w:sz w:val="20"/>
        </w:rPr>
        <w:t>Australia's</w:t>
      </w:r>
      <w:r>
        <w:rPr>
          <w:spacing w:val="-7"/>
          <w:sz w:val="20"/>
        </w:rPr>
        <w:t xml:space="preserve"> </w:t>
      </w:r>
      <w:r>
        <w:rPr>
          <w:sz w:val="20"/>
        </w:rPr>
        <w:t>First</w:t>
      </w:r>
      <w:r>
        <w:rPr>
          <w:spacing w:val="-2"/>
          <w:sz w:val="20"/>
        </w:rPr>
        <w:t xml:space="preserve"> </w:t>
      </w:r>
      <w:r>
        <w:rPr>
          <w:sz w:val="20"/>
        </w:rPr>
        <w:t>Written</w:t>
      </w:r>
      <w:r>
        <w:rPr>
          <w:spacing w:val="-2"/>
          <w:sz w:val="20"/>
        </w:rPr>
        <w:t xml:space="preserve"> Submission</w:t>
      </w:r>
    </w:p>
    <w:p w14:paraId="51DE84CB" w14:textId="77777777" w:rsidR="0010369C" w:rsidRDefault="008E43AE">
      <w:pPr>
        <w:tabs>
          <w:tab w:val="left" w:pos="8228"/>
        </w:tabs>
        <w:spacing w:before="1"/>
        <w:ind w:left="239"/>
        <w:rPr>
          <w:sz w:val="20"/>
        </w:rPr>
      </w:pPr>
      <w:r>
        <w:pict w14:anchorId="51DEA0B9">
          <v:rect id="docshape550" o:spid="_x0000_s1714" style="position:absolute;left:0;text-align:left;margin-left:69.9pt;margin-top:14.1pt;width:453.45pt;height:16.05pt;z-index:-251019776;mso-wrap-distance-left:0;mso-wrap-distance-right:0;mso-position-horizontal-relative:page" fillcolor="black" stroked="f">
            <w10:wrap type="topAndBottom" anchorx="page"/>
          </v:rect>
        </w:pict>
      </w:r>
      <w:r>
        <w:pict w14:anchorId="51DEA0BA">
          <v:rect id="docshape551" o:spid="_x0000_s1713" style="position:absolute;left:0;text-align:left;margin-left:69.9pt;margin-top:36.05pt;width:453.45pt;height:16.05pt;z-index:-251018752;mso-wrap-distance-left:0;mso-wrap-distance-right:0;mso-position-horizontal-relative:page" fillcolor="black" stroked="f">
            <w10:wrap type="topAndBottom" anchorx="page"/>
          </v:rect>
        </w:pict>
      </w:r>
      <w:r>
        <w:pict w14:anchorId="51DEA0BB">
          <v:rect id="docshape552" o:spid="_x0000_s1712" style="position:absolute;left:0;text-align:left;margin-left:69.9pt;margin-top:58pt;width:453.45pt;height:16.05pt;z-index:-251017728;mso-wrap-distance-left:0;mso-wrap-distance-right:0;mso-position-horizontal-relative:page" fillcolor="black" stroked="f">
            <w10:wrap type="topAndBottom" anchorx="page"/>
          </v:rect>
        </w:pict>
      </w:r>
      <w:r>
        <w:pict w14:anchorId="51DEA0BC">
          <v:rect id="docshape553" o:spid="_x0000_s1711" style="position:absolute;left:0;text-align:left;margin-left:69.9pt;margin-top:79.95pt;width:453.45pt;height:16.05pt;z-index:-251016704;mso-wrap-distance-left:0;mso-wrap-distance-right:0;mso-position-horizontal-relative:page" fillcolor="black" stroked="f">
            <w10:wrap type="topAndBottom" anchorx="page"/>
          </v:rect>
        </w:pict>
      </w:r>
      <w:r>
        <w:rPr>
          <w:noProof/>
        </w:rPr>
        <w:drawing>
          <wp:anchor distT="0" distB="0" distL="0" distR="0" simplePos="0" relativeHeight="250923520" behindDoc="1" locked="0" layoutInCell="1" allowOverlap="1" wp14:anchorId="51DEA0BD" wp14:editId="51DEA0BE">
            <wp:simplePos x="0" y="0"/>
            <wp:positionH relativeFrom="page">
              <wp:posOffset>905255</wp:posOffset>
            </wp:positionH>
            <wp:positionV relativeFrom="paragraph">
              <wp:posOffset>1721705</wp:posOffset>
            </wp:positionV>
            <wp:extent cx="259079" cy="103631"/>
            <wp:effectExtent l="0" t="0" r="0" b="0"/>
            <wp:wrapNone/>
            <wp:docPr id="519" name="image2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 name="image268.png"/>
                    <pic:cNvPicPr/>
                  </pic:nvPicPr>
                  <pic:blipFill>
                    <a:blip r:embed="rId370" cstate="print"/>
                    <a:stretch>
                      <a:fillRect/>
                    </a:stretch>
                  </pic:blipFill>
                  <pic:spPr>
                    <a:xfrm>
                      <a:off x="0" y="0"/>
                      <a:ext cx="259079" cy="103631"/>
                    </a:xfrm>
                    <a:prstGeom prst="rect">
                      <a:avLst/>
                    </a:prstGeom>
                  </pic:spPr>
                </pic:pic>
              </a:graphicData>
            </a:graphic>
          </wp:anchor>
        </w:drawing>
      </w:r>
      <w:r>
        <w:pict w14:anchorId="51DEA0BF">
          <v:rect id="docshape554" o:spid="_x0000_s1710" style="position:absolute;left:0;text-align:left;margin-left:69.9pt;margin-top:102.05pt;width:310.95pt;height:16.05pt;z-index:251800064;mso-position-horizontal-relative:page;mso-position-vertical-relative:text" fillcolor="black" stroked="f">
            <w10:wrap anchorx="page"/>
          </v:rect>
        </w:pict>
      </w:r>
      <w:r>
        <w:rPr>
          <w:i/>
          <w:sz w:val="20"/>
        </w:rPr>
        <w:t>on</w:t>
      </w:r>
      <w:r>
        <w:rPr>
          <w:i/>
          <w:spacing w:val="-1"/>
          <w:sz w:val="20"/>
        </w:rPr>
        <w:t xml:space="preserve"> </w:t>
      </w:r>
      <w:r>
        <w:rPr>
          <w:i/>
          <w:sz w:val="20"/>
        </w:rPr>
        <w:t>Wine</w:t>
      </w:r>
      <w:r>
        <w:rPr>
          <w:i/>
          <w:spacing w:val="-1"/>
          <w:sz w:val="20"/>
        </w:rPr>
        <w:t xml:space="preserve"> </w:t>
      </w:r>
      <w:r>
        <w:rPr>
          <w:i/>
          <w:sz w:val="20"/>
        </w:rPr>
        <w:t>from</w:t>
      </w:r>
      <w:r>
        <w:rPr>
          <w:i/>
          <w:spacing w:val="-3"/>
          <w:sz w:val="20"/>
        </w:rPr>
        <w:t xml:space="preserve"> </w:t>
      </w:r>
      <w:r>
        <w:rPr>
          <w:i/>
          <w:sz w:val="20"/>
        </w:rPr>
        <w:t>Australia</w:t>
      </w:r>
      <w:r>
        <w:rPr>
          <w:i/>
          <w:spacing w:val="-1"/>
          <w:sz w:val="20"/>
        </w:rPr>
        <w:t xml:space="preserve"> </w:t>
      </w:r>
      <w:r>
        <w:rPr>
          <w:spacing w:val="-2"/>
          <w:sz w:val="20"/>
        </w:rPr>
        <w:t>(DS602)</w:t>
      </w:r>
      <w:r>
        <w:rPr>
          <w:sz w:val="20"/>
        </w:rPr>
        <w:tab/>
        <w:t>29</w:t>
      </w:r>
      <w:r>
        <w:rPr>
          <w:spacing w:val="-1"/>
          <w:sz w:val="20"/>
        </w:rPr>
        <w:t xml:space="preserve"> </w:t>
      </w:r>
      <w:r>
        <w:rPr>
          <w:sz w:val="20"/>
        </w:rPr>
        <w:t>April</w:t>
      </w:r>
      <w:r>
        <w:rPr>
          <w:spacing w:val="-2"/>
          <w:sz w:val="20"/>
        </w:rPr>
        <w:t xml:space="preserve"> </w:t>
      </w:r>
      <w:r>
        <w:rPr>
          <w:spacing w:val="-4"/>
          <w:sz w:val="20"/>
        </w:rPr>
        <w:t>2022</w:t>
      </w:r>
    </w:p>
    <w:p w14:paraId="51DE84CC" w14:textId="77777777" w:rsidR="0010369C" w:rsidRDefault="0010369C">
      <w:pPr>
        <w:pStyle w:val="BodyText"/>
        <w:spacing w:before="8"/>
        <w:rPr>
          <w:sz w:val="7"/>
        </w:rPr>
      </w:pPr>
    </w:p>
    <w:p w14:paraId="51DE84CD" w14:textId="77777777" w:rsidR="0010369C" w:rsidRDefault="0010369C">
      <w:pPr>
        <w:pStyle w:val="BodyText"/>
        <w:spacing w:before="8"/>
        <w:rPr>
          <w:sz w:val="7"/>
        </w:rPr>
      </w:pPr>
    </w:p>
    <w:p w14:paraId="51DE84CE" w14:textId="77777777" w:rsidR="0010369C" w:rsidRDefault="0010369C">
      <w:pPr>
        <w:pStyle w:val="BodyText"/>
        <w:spacing w:before="8"/>
        <w:rPr>
          <w:sz w:val="7"/>
        </w:rPr>
      </w:pPr>
    </w:p>
    <w:p w14:paraId="51DE84CF" w14:textId="77777777" w:rsidR="0010369C" w:rsidRDefault="008E43AE">
      <w:pPr>
        <w:spacing w:before="118"/>
        <w:ind w:left="3658" w:right="520"/>
        <w:jc w:val="center"/>
        <w:rPr>
          <w:sz w:val="24"/>
        </w:rPr>
      </w:pPr>
      <w:r>
        <w:rPr>
          <w:spacing w:val="-5"/>
          <w:sz w:val="24"/>
        </w:rPr>
        <w:t>]]</w:t>
      </w:r>
    </w:p>
    <w:p w14:paraId="51DE84D0" w14:textId="77777777" w:rsidR="0010369C" w:rsidRDefault="0010369C">
      <w:pPr>
        <w:pStyle w:val="BodyText"/>
        <w:spacing w:before="1"/>
        <w:rPr>
          <w:sz w:val="25"/>
        </w:rPr>
      </w:pPr>
    </w:p>
    <w:tbl>
      <w:tblPr>
        <w:tblW w:w="0" w:type="auto"/>
        <w:tblInd w:w="225" w:type="dxa"/>
        <w:tblLayout w:type="fixed"/>
        <w:tblCellMar>
          <w:left w:w="0" w:type="dxa"/>
          <w:right w:w="0" w:type="dxa"/>
        </w:tblCellMar>
        <w:tblLook w:val="01E0" w:firstRow="1" w:lastRow="1" w:firstColumn="1" w:lastColumn="1" w:noHBand="0" w:noVBand="0"/>
      </w:tblPr>
      <w:tblGrid>
        <w:gridCol w:w="997"/>
        <w:gridCol w:w="677"/>
        <w:gridCol w:w="1623"/>
        <w:gridCol w:w="5772"/>
      </w:tblGrid>
      <w:tr w:rsidR="0010369C" w14:paraId="51DE84D3" w14:textId="77777777">
        <w:trPr>
          <w:trHeight w:val="320"/>
        </w:trPr>
        <w:tc>
          <w:tcPr>
            <w:tcW w:w="997" w:type="dxa"/>
            <w:tcBorders>
              <w:bottom w:val="single" w:sz="48" w:space="0" w:color="FFFFFF"/>
            </w:tcBorders>
          </w:tcPr>
          <w:p w14:paraId="51DE84D1" w14:textId="77777777" w:rsidR="0010369C" w:rsidRDefault="008E43AE">
            <w:pPr>
              <w:pStyle w:val="TableParagraph"/>
              <w:spacing w:line="291" w:lineRule="exact"/>
              <w:ind w:right="-29"/>
              <w:jc w:val="right"/>
              <w:rPr>
                <w:sz w:val="24"/>
              </w:rPr>
            </w:pPr>
            <w:r>
              <w:rPr>
                <w:spacing w:val="-5"/>
                <w:sz w:val="24"/>
              </w:rPr>
              <w:t>[[</w:t>
            </w:r>
          </w:p>
        </w:tc>
        <w:tc>
          <w:tcPr>
            <w:tcW w:w="8072" w:type="dxa"/>
            <w:gridSpan w:val="3"/>
            <w:tcBorders>
              <w:bottom w:val="single" w:sz="48" w:space="0" w:color="FFFFFF"/>
            </w:tcBorders>
            <w:shd w:val="clear" w:color="auto" w:fill="000000"/>
          </w:tcPr>
          <w:p w14:paraId="51DE84D2" w14:textId="77777777" w:rsidR="0010369C" w:rsidRDefault="0010369C">
            <w:pPr>
              <w:pStyle w:val="TableParagraph"/>
              <w:rPr>
                <w:rFonts w:ascii="Times New Roman"/>
              </w:rPr>
            </w:pPr>
          </w:p>
        </w:tc>
      </w:tr>
      <w:tr w:rsidR="0010369C" w14:paraId="51DE84D5" w14:textId="77777777">
        <w:trPr>
          <w:trHeight w:val="319"/>
        </w:trPr>
        <w:tc>
          <w:tcPr>
            <w:tcW w:w="9069" w:type="dxa"/>
            <w:gridSpan w:val="4"/>
            <w:tcBorders>
              <w:top w:val="single" w:sz="48" w:space="0" w:color="FFFFFF"/>
              <w:bottom w:val="single" w:sz="48" w:space="0" w:color="FFFFFF"/>
            </w:tcBorders>
            <w:shd w:val="clear" w:color="auto" w:fill="000000"/>
          </w:tcPr>
          <w:p w14:paraId="51DE84D4" w14:textId="77777777" w:rsidR="0010369C" w:rsidRDefault="0010369C">
            <w:pPr>
              <w:pStyle w:val="TableParagraph"/>
              <w:rPr>
                <w:rFonts w:ascii="Times New Roman"/>
              </w:rPr>
            </w:pPr>
          </w:p>
        </w:tc>
      </w:tr>
      <w:tr w:rsidR="0010369C" w14:paraId="51DE84D7" w14:textId="77777777">
        <w:trPr>
          <w:trHeight w:val="319"/>
        </w:trPr>
        <w:tc>
          <w:tcPr>
            <w:tcW w:w="9069" w:type="dxa"/>
            <w:gridSpan w:val="4"/>
            <w:tcBorders>
              <w:top w:val="single" w:sz="48" w:space="0" w:color="FFFFFF"/>
              <w:bottom w:val="single" w:sz="48" w:space="0" w:color="FFFFFF"/>
            </w:tcBorders>
            <w:shd w:val="clear" w:color="auto" w:fill="000000"/>
          </w:tcPr>
          <w:p w14:paraId="51DE84D6" w14:textId="77777777" w:rsidR="0010369C" w:rsidRDefault="0010369C">
            <w:pPr>
              <w:pStyle w:val="TableParagraph"/>
              <w:rPr>
                <w:rFonts w:ascii="Times New Roman"/>
              </w:rPr>
            </w:pPr>
          </w:p>
        </w:tc>
      </w:tr>
      <w:tr w:rsidR="0010369C" w14:paraId="51DE84D9" w14:textId="77777777">
        <w:trPr>
          <w:trHeight w:val="319"/>
        </w:trPr>
        <w:tc>
          <w:tcPr>
            <w:tcW w:w="9069" w:type="dxa"/>
            <w:gridSpan w:val="4"/>
            <w:tcBorders>
              <w:top w:val="single" w:sz="48" w:space="0" w:color="FFFFFF"/>
              <w:bottom w:val="single" w:sz="48" w:space="0" w:color="FFFFFF"/>
            </w:tcBorders>
            <w:shd w:val="clear" w:color="auto" w:fill="000000"/>
          </w:tcPr>
          <w:p w14:paraId="51DE84D8" w14:textId="77777777" w:rsidR="0010369C" w:rsidRDefault="0010369C">
            <w:pPr>
              <w:pStyle w:val="TableParagraph"/>
              <w:rPr>
                <w:rFonts w:ascii="Times New Roman"/>
              </w:rPr>
            </w:pPr>
          </w:p>
        </w:tc>
      </w:tr>
      <w:tr w:rsidR="0010369C" w14:paraId="51DE84DC" w14:textId="77777777">
        <w:trPr>
          <w:trHeight w:val="319"/>
        </w:trPr>
        <w:tc>
          <w:tcPr>
            <w:tcW w:w="1674" w:type="dxa"/>
            <w:gridSpan w:val="2"/>
            <w:tcBorders>
              <w:top w:val="single" w:sz="48" w:space="0" w:color="FFFFFF"/>
              <w:bottom w:val="single" w:sz="48" w:space="0" w:color="FFFFFF"/>
              <w:right w:val="single" w:sz="48" w:space="0" w:color="FFFFFF"/>
            </w:tcBorders>
            <w:shd w:val="clear" w:color="auto" w:fill="000000"/>
          </w:tcPr>
          <w:p w14:paraId="51DE84DA" w14:textId="77777777" w:rsidR="0010369C" w:rsidRDefault="0010369C">
            <w:pPr>
              <w:pStyle w:val="TableParagraph"/>
              <w:rPr>
                <w:rFonts w:ascii="Times New Roman"/>
              </w:rPr>
            </w:pPr>
          </w:p>
        </w:tc>
        <w:tc>
          <w:tcPr>
            <w:tcW w:w="7395" w:type="dxa"/>
            <w:gridSpan w:val="2"/>
            <w:tcBorders>
              <w:top w:val="single" w:sz="48" w:space="0" w:color="FFFFFF"/>
              <w:left w:val="single" w:sz="48" w:space="0" w:color="FFFFFF"/>
              <w:bottom w:val="single" w:sz="48" w:space="0" w:color="FFFFFF"/>
            </w:tcBorders>
            <w:shd w:val="clear" w:color="auto" w:fill="000000"/>
          </w:tcPr>
          <w:p w14:paraId="51DE84DB" w14:textId="77777777" w:rsidR="0010369C" w:rsidRDefault="0010369C">
            <w:pPr>
              <w:pStyle w:val="TableParagraph"/>
              <w:rPr>
                <w:rFonts w:ascii="Times New Roman"/>
              </w:rPr>
            </w:pPr>
          </w:p>
        </w:tc>
      </w:tr>
      <w:tr w:rsidR="0010369C" w14:paraId="51DE84DF" w14:textId="77777777">
        <w:trPr>
          <w:trHeight w:val="320"/>
        </w:trPr>
        <w:tc>
          <w:tcPr>
            <w:tcW w:w="3297" w:type="dxa"/>
            <w:gridSpan w:val="3"/>
            <w:tcBorders>
              <w:top w:val="single" w:sz="48" w:space="0" w:color="FFFFFF"/>
            </w:tcBorders>
            <w:shd w:val="clear" w:color="auto" w:fill="000000"/>
          </w:tcPr>
          <w:p w14:paraId="51DE84DD" w14:textId="77777777" w:rsidR="0010369C" w:rsidRDefault="0010369C">
            <w:pPr>
              <w:pStyle w:val="TableParagraph"/>
              <w:rPr>
                <w:rFonts w:ascii="Times New Roman"/>
              </w:rPr>
            </w:pPr>
          </w:p>
        </w:tc>
        <w:tc>
          <w:tcPr>
            <w:tcW w:w="5772" w:type="dxa"/>
            <w:tcBorders>
              <w:top w:val="single" w:sz="48" w:space="0" w:color="FFFFFF"/>
            </w:tcBorders>
          </w:tcPr>
          <w:p w14:paraId="51DE84DE" w14:textId="77777777" w:rsidR="0010369C" w:rsidRDefault="008E43AE">
            <w:pPr>
              <w:pStyle w:val="TableParagraph"/>
              <w:spacing w:line="290" w:lineRule="exact"/>
              <w:ind w:left="20" w:right="-29"/>
              <w:rPr>
                <w:sz w:val="24"/>
              </w:rPr>
            </w:pPr>
            <w:r>
              <w:rPr>
                <w:sz w:val="24"/>
              </w:rPr>
              <w:t>]]</w:t>
            </w:r>
            <w:r>
              <w:rPr>
                <w:spacing w:val="-14"/>
                <w:sz w:val="24"/>
              </w:rPr>
              <w:t xml:space="preserve"> </w:t>
            </w:r>
            <w:r>
              <w:rPr>
                <w:sz w:val="24"/>
              </w:rPr>
              <w:t>Accordingly,</w:t>
            </w:r>
            <w:r>
              <w:rPr>
                <w:spacing w:val="-14"/>
                <w:sz w:val="24"/>
              </w:rPr>
              <w:t xml:space="preserve"> </w:t>
            </w:r>
            <w:r>
              <w:rPr>
                <w:sz w:val="24"/>
              </w:rPr>
              <w:t>it</w:t>
            </w:r>
            <w:r>
              <w:rPr>
                <w:spacing w:val="-11"/>
                <w:sz w:val="24"/>
              </w:rPr>
              <w:t xml:space="preserve"> </w:t>
            </w:r>
            <w:r>
              <w:rPr>
                <w:sz w:val="24"/>
              </w:rPr>
              <w:t>was</w:t>
            </w:r>
            <w:r>
              <w:rPr>
                <w:spacing w:val="-12"/>
                <w:sz w:val="24"/>
              </w:rPr>
              <w:t xml:space="preserve"> </w:t>
            </w:r>
            <w:r>
              <w:rPr>
                <w:sz w:val="24"/>
              </w:rPr>
              <w:t>incumbent</w:t>
            </w:r>
            <w:r>
              <w:rPr>
                <w:spacing w:val="-12"/>
                <w:sz w:val="24"/>
              </w:rPr>
              <w:t xml:space="preserve"> </w:t>
            </w:r>
            <w:r>
              <w:rPr>
                <w:sz w:val="24"/>
              </w:rPr>
              <w:t>on</w:t>
            </w:r>
            <w:r>
              <w:rPr>
                <w:spacing w:val="-12"/>
                <w:sz w:val="24"/>
              </w:rPr>
              <w:t xml:space="preserve"> </w:t>
            </w:r>
            <w:r>
              <w:rPr>
                <w:sz w:val="24"/>
              </w:rPr>
              <w:t>MOFCOM</w:t>
            </w:r>
            <w:r>
              <w:rPr>
                <w:spacing w:val="-12"/>
                <w:sz w:val="24"/>
              </w:rPr>
              <w:t xml:space="preserve"> </w:t>
            </w:r>
            <w:r>
              <w:rPr>
                <w:sz w:val="24"/>
              </w:rPr>
              <w:t>to</w:t>
            </w:r>
            <w:r>
              <w:rPr>
                <w:spacing w:val="-11"/>
                <w:sz w:val="24"/>
              </w:rPr>
              <w:t xml:space="preserve"> </w:t>
            </w:r>
            <w:r>
              <w:rPr>
                <w:sz w:val="24"/>
              </w:rPr>
              <w:t>ensure</w:t>
            </w:r>
            <w:r>
              <w:rPr>
                <w:spacing w:val="-13"/>
                <w:sz w:val="24"/>
              </w:rPr>
              <w:t xml:space="preserve"> </w:t>
            </w:r>
            <w:r>
              <w:rPr>
                <w:spacing w:val="-5"/>
                <w:sz w:val="24"/>
              </w:rPr>
              <w:t>the</w:t>
            </w:r>
          </w:p>
        </w:tc>
      </w:tr>
    </w:tbl>
    <w:p w14:paraId="51DE84E0" w14:textId="77777777" w:rsidR="0010369C" w:rsidRDefault="008E43AE">
      <w:pPr>
        <w:pStyle w:val="BodyText"/>
        <w:spacing w:before="118" w:line="360" w:lineRule="auto"/>
        <w:ind w:left="237" w:right="613"/>
        <w:jc w:val="both"/>
      </w:pPr>
      <w:r>
        <w:rPr>
          <w:noProof/>
        </w:rPr>
        <w:drawing>
          <wp:anchor distT="0" distB="0" distL="0" distR="0" simplePos="0" relativeHeight="250924544" behindDoc="1" locked="0" layoutInCell="1" allowOverlap="1" wp14:anchorId="51DEA0C0" wp14:editId="51DEA0C1">
            <wp:simplePos x="0" y="0"/>
            <wp:positionH relativeFrom="page">
              <wp:posOffset>905255</wp:posOffset>
            </wp:positionH>
            <wp:positionV relativeFrom="paragraph">
              <wp:posOffset>1057479</wp:posOffset>
            </wp:positionV>
            <wp:extent cx="258154" cy="106299"/>
            <wp:effectExtent l="0" t="0" r="0" b="0"/>
            <wp:wrapNone/>
            <wp:docPr id="521" name="image2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 name="image269.png"/>
                    <pic:cNvPicPr/>
                  </pic:nvPicPr>
                  <pic:blipFill>
                    <a:blip r:embed="rId371" cstate="print"/>
                    <a:stretch>
                      <a:fillRect/>
                    </a:stretch>
                  </pic:blipFill>
                  <pic:spPr>
                    <a:xfrm>
                      <a:off x="0" y="0"/>
                      <a:ext cx="258154" cy="106299"/>
                    </a:xfrm>
                    <a:prstGeom prst="rect">
                      <a:avLst/>
                    </a:prstGeom>
                  </pic:spPr>
                </pic:pic>
              </a:graphicData>
            </a:graphic>
          </wp:anchor>
        </w:drawing>
      </w:r>
      <w:r>
        <w:t>costs</w:t>
      </w:r>
      <w:r>
        <w:rPr>
          <w:spacing w:val="-3"/>
        </w:rPr>
        <w:t xml:space="preserve"> </w:t>
      </w:r>
      <w:r>
        <w:t>it</w:t>
      </w:r>
      <w:r>
        <w:rPr>
          <w:spacing w:val="-4"/>
        </w:rPr>
        <w:t xml:space="preserve"> </w:t>
      </w:r>
      <w:r>
        <w:t>applied</w:t>
      </w:r>
      <w:r>
        <w:rPr>
          <w:spacing w:val="-3"/>
        </w:rPr>
        <w:t xml:space="preserve"> </w:t>
      </w:r>
      <w:r>
        <w:t>to</w:t>
      </w:r>
      <w:r>
        <w:rPr>
          <w:spacing w:val="-3"/>
        </w:rPr>
        <w:t xml:space="preserve"> </w:t>
      </w:r>
      <w:r>
        <w:t>each</w:t>
      </w:r>
      <w:r>
        <w:rPr>
          <w:spacing w:val="-4"/>
        </w:rPr>
        <w:t xml:space="preserve"> </w:t>
      </w:r>
      <w:r>
        <w:t>PCN</w:t>
      </w:r>
      <w:r>
        <w:rPr>
          <w:spacing w:val="-3"/>
        </w:rPr>
        <w:t xml:space="preserve"> </w:t>
      </w:r>
      <w:r>
        <w:t>were</w:t>
      </w:r>
      <w:r>
        <w:rPr>
          <w:spacing w:val="-3"/>
        </w:rPr>
        <w:t xml:space="preserve"> </w:t>
      </w:r>
      <w:r>
        <w:t>reflective</w:t>
      </w:r>
      <w:r>
        <w:rPr>
          <w:spacing w:val="-4"/>
        </w:rPr>
        <w:t xml:space="preserve"> </w:t>
      </w:r>
      <w:r>
        <w:t>of</w:t>
      </w:r>
      <w:r>
        <w:rPr>
          <w:spacing w:val="-3"/>
        </w:rPr>
        <w:t xml:space="preserve"> </w:t>
      </w:r>
      <w:r>
        <w:t>the</w:t>
      </w:r>
      <w:r>
        <w:rPr>
          <w:spacing w:val="-4"/>
        </w:rPr>
        <w:t xml:space="preserve"> </w:t>
      </w:r>
      <w:r>
        <w:t>actual</w:t>
      </w:r>
      <w:r>
        <w:rPr>
          <w:spacing w:val="-3"/>
        </w:rPr>
        <w:t xml:space="preserve"> </w:t>
      </w:r>
      <w:r>
        <w:t>costs</w:t>
      </w:r>
      <w:r>
        <w:rPr>
          <w:spacing w:val="-4"/>
        </w:rPr>
        <w:t xml:space="preserve"> </w:t>
      </w:r>
      <w:r>
        <w:t>of</w:t>
      </w:r>
      <w:r>
        <w:rPr>
          <w:spacing w:val="-3"/>
        </w:rPr>
        <w:t xml:space="preserve"> </w:t>
      </w:r>
      <w:r>
        <w:t>that</w:t>
      </w:r>
      <w:r>
        <w:rPr>
          <w:spacing w:val="-4"/>
        </w:rPr>
        <w:t xml:space="preserve"> </w:t>
      </w:r>
      <w:r>
        <w:t>PCN</w:t>
      </w:r>
      <w:r>
        <w:rPr>
          <w:spacing w:val="-4"/>
        </w:rPr>
        <w:t xml:space="preserve"> </w:t>
      </w:r>
      <w:r>
        <w:t>to</w:t>
      </w:r>
      <w:r>
        <w:rPr>
          <w:spacing w:val="-3"/>
        </w:rPr>
        <w:t xml:space="preserve"> </w:t>
      </w:r>
      <w:r>
        <w:t>ensure</w:t>
      </w:r>
      <w:r>
        <w:rPr>
          <w:spacing w:val="-4"/>
        </w:rPr>
        <w:t xml:space="preserve"> </w:t>
      </w:r>
      <w:r>
        <w:t>a</w:t>
      </w:r>
      <w:r>
        <w:rPr>
          <w:spacing w:val="-4"/>
        </w:rPr>
        <w:t xml:space="preserve"> </w:t>
      </w:r>
      <w:r>
        <w:t>proper comparison with sales prices. Anything short of this would result in an improper comparison of costs and prices, as has occurred here.</w:t>
      </w:r>
    </w:p>
    <w:p w14:paraId="51DE84E1" w14:textId="77777777" w:rsidR="0010369C" w:rsidRDefault="0010369C">
      <w:pPr>
        <w:pStyle w:val="BodyText"/>
        <w:spacing w:before="3"/>
        <w:rPr>
          <w:sz w:val="13"/>
        </w:rPr>
      </w:pPr>
    </w:p>
    <w:tbl>
      <w:tblPr>
        <w:tblW w:w="0" w:type="auto"/>
        <w:tblInd w:w="225" w:type="dxa"/>
        <w:tblLayout w:type="fixed"/>
        <w:tblCellMar>
          <w:left w:w="0" w:type="dxa"/>
          <w:right w:w="0" w:type="dxa"/>
        </w:tblCellMar>
        <w:tblLook w:val="01E0" w:firstRow="1" w:lastRow="1" w:firstColumn="1" w:lastColumn="1" w:noHBand="0" w:noVBand="0"/>
      </w:tblPr>
      <w:tblGrid>
        <w:gridCol w:w="997"/>
        <w:gridCol w:w="3944"/>
        <w:gridCol w:w="4188"/>
      </w:tblGrid>
      <w:tr w:rsidR="0010369C" w14:paraId="51DE84E4" w14:textId="77777777">
        <w:trPr>
          <w:trHeight w:val="320"/>
        </w:trPr>
        <w:tc>
          <w:tcPr>
            <w:tcW w:w="997" w:type="dxa"/>
            <w:tcBorders>
              <w:bottom w:val="single" w:sz="48" w:space="0" w:color="FFFFFF"/>
            </w:tcBorders>
          </w:tcPr>
          <w:p w14:paraId="51DE84E2" w14:textId="77777777" w:rsidR="0010369C" w:rsidRDefault="008E43AE">
            <w:pPr>
              <w:pStyle w:val="TableParagraph"/>
              <w:spacing w:line="291" w:lineRule="exact"/>
              <w:ind w:right="-29"/>
              <w:jc w:val="right"/>
              <w:rPr>
                <w:sz w:val="24"/>
              </w:rPr>
            </w:pPr>
            <w:r>
              <w:rPr>
                <w:spacing w:val="-5"/>
                <w:sz w:val="24"/>
              </w:rPr>
              <w:t>[[</w:t>
            </w:r>
          </w:p>
        </w:tc>
        <w:tc>
          <w:tcPr>
            <w:tcW w:w="8132" w:type="dxa"/>
            <w:gridSpan w:val="2"/>
            <w:tcBorders>
              <w:bottom w:val="single" w:sz="48" w:space="0" w:color="FFFFFF"/>
            </w:tcBorders>
            <w:shd w:val="clear" w:color="auto" w:fill="000000"/>
          </w:tcPr>
          <w:p w14:paraId="51DE84E3" w14:textId="77777777" w:rsidR="0010369C" w:rsidRDefault="0010369C">
            <w:pPr>
              <w:pStyle w:val="TableParagraph"/>
              <w:rPr>
                <w:rFonts w:ascii="Times New Roman"/>
              </w:rPr>
            </w:pPr>
          </w:p>
        </w:tc>
      </w:tr>
      <w:tr w:rsidR="0010369C" w14:paraId="51DE84E6" w14:textId="77777777">
        <w:trPr>
          <w:trHeight w:val="319"/>
        </w:trPr>
        <w:tc>
          <w:tcPr>
            <w:tcW w:w="9129" w:type="dxa"/>
            <w:gridSpan w:val="3"/>
            <w:tcBorders>
              <w:top w:val="single" w:sz="48" w:space="0" w:color="FFFFFF"/>
              <w:bottom w:val="single" w:sz="48" w:space="0" w:color="FFFFFF"/>
            </w:tcBorders>
            <w:shd w:val="clear" w:color="auto" w:fill="000000"/>
          </w:tcPr>
          <w:p w14:paraId="51DE84E5" w14:textId="77777777" w:rsidR="0010369C" w:rsidRDefault="0010369C">
            <w:pPr>
              <w:pStyle w:val="TableParagraph"/>
              <w:rPr>
                <w:rFonts w:ascii="Times New Roman"/>
              </w:rPr>
            </w:pPr>
          </w:p>
        </w:tc>
      </w:tr>
      <w:tr w:rsidR="0010369C" w14:paraId="51DE84E8" w14:textId="77777777">
        <w:trPr>
          <w:trHeight w:val="319"/>
        </w:trPr>
        <w:tc>
          <w:tcPr>
            <w:tcW w:w="9129" w:type="dxa"/>
            <w:gridSpan w:val="3"/>
            <w:tcBorders>
              <w:top w:val="single" w:sz="48" w:space="0" w:color="FFFFFF"/>
              <w:bottom w:val="single" w:sz="48" w:space="0" w:color="FFFFFF"/>
            </w:tcBorders>
            <w:shd w:val="clear" w:color="auto" w:fill="000000"/>
          </w:tcPr>
          <w:p w14:paraId="51DE84E7" w14:textId="77777777" w:rsidR="0010369C" w:rsidRDefault="0010369C">
            <w:pPr>
              <w:pStyle w:val="TableParagraph"/>
              <w:rPr>
                <w:rFonts w:ascii="Times New Roman"/>
              </w:rPr>
            </w:pPr>
          </w:p>
        </w:tc>
      </w:tr>
      <w:tr w:rsidR="0010369C" w14:paraId="51DE84EA" w14:textId="77777777">
        <w:trPr>
          <w:trHeight w:val="319"/>
        </w:trPr>
        <w:tc>
          <w:tcPr>
            <w:tcW w:w="9129" w:type="dxa"/>
            <w:gridSpan w:val="3"/>
            <w:tcBorders>
              <w:top w:val="single" w:sz="48" w:space="0" w:color="FFFFFF"/>
              <w:bottom w:val="single" w:sz="48" w:space="0" w:color="FFFFFF"/>
            </w:tcBorders>
            <w:shd w:val="clear" w:color="auto" w:fill="000000"/>
          </w:tcPr>
          <w:p w14:paraId="51DE84E9" w14:textId="77777777" w:rsidR="0010369C" w:rsidRDefault="0010369C">
            <w:pPr>
              <w:pStyle w:val="TableParagraph"/>
              <w:rPr>
                <w:rFonts w:ascii="Times New Roman"/>
              </w:rPr>
            </w:pPr>
          </w:p>
        </w:tc>
      </w:tr>
      <w:tr w:rsidR="0010369C" w14:paraId="51DE84EC" w14:textId="77777777">
        <w:trPr>
          <w:trHeight w:val="319"/>
        </w:trPr>
        <w:tc>
          <w:tcPr>
            <w:tcW w:w="9129" w:type="dxa"/>
            <w:gridSpan w:val="3"/>
            <w:tcBorders>
              <w:top w:val="single" w:sz="48" w:space="0" w:color="FFFFFF"/>
              <w:bottom w:val="single" w:sz="48" w:space="0" w:color="FFFFFF"/>
            </w:tcBorders>
            <w:shd w:val="clear" w:color="auto" w:fill="000000"/>
          </w:tcPr>
          <w:p w14:paraId="51DE84EB" w14:textId="77777777" w:rsidR="0010369C" w:rsidRDefault="0010369C">
            <w:pPr>
              <w:pStyle w:val="TableParagraph"/>
              <w:rPr>
                <w:rFonts w:ascii="Times New Roman"/>
              </w:rPr>
            </w:pPr>
          </w:p>
        </w:tc>
      </w:tr>
      <w:tr w:rsidR="0010369C" w14:paraId="51DE84EE" w14:textId="77777777">
        <w:trPr>
          <w:trHeight w:val="319"/>
        </w:trPr>
        <w:tc>
          <w:tcPr>
            <w:tcW w:w="9129" w:type="dxa"/>
            <w:gridSpan w:val="3"/>
            <w:tcBorders>
              <w:top w:val="single" w:sz="48" w:space="0" w:color="FFFFFF"/>
              <w:bottom w:val="single" w:sz="48" w:space="0" w:color="FFFFFF"/>
            </w:tcBorders>
            <w:shd w:val="clear" w:color="auto" w:fill="000000"/>
          </w:tcPr>
          <w:p w14:paraId="51DE84ED" w14:textId="77777777" w:rsidR="0010369C" w:rsidRDefault="0010369C">
            <w:pPr>
              <w:pStyle w:val="TableParagraph"/>
              <w:rPr>
                <w:rFonts w:ascii="Times New Roman"/>
              </w:rPr>
            </w:pPr>
          </w:p>
        </w:tc>
      </w:tr>
      <w:tr w:rsidR="0010369C" w14:paraId="51DE84F0" w14:textId="77777777">
        <w:trPr>
          <w:trHeight w:val="319"/>
        </w:trPr>
        <w:tc>
          <w:tcPr>
            <w:tcW w:w="9129" w:type="dxa"/>
            <w:gridSpan w:val="3"/>
            <w:tcBorders>
              <w:top w:val="single" w:sz="48" w:space="0" w:color="FFFFFF"/>
              <w:bottom w:val="single" w:sz="48" w:space="0" w:color="FFFFFF"/>
            </w:tcBorders>
            <w:shd w:val="clear" w:color="auto" w:fill="000000"/>
          </w:tcPr>
          <w:p w14:paraId="51DE84EF" w14:textId="77777777" w:rsidR="0010369C" w:rsidRDefault="0010369C">
            <w:pPr>
              <w:pStyle w:val="TableParagraph"/>
              <w:rPr>
                <w:rFonts w:ascii="Times New Roman"/>
              </w:rPr>
            </w:pPr>
          </w:p>
        </w:tc>
      </w:tr>
      <w:tr w:rsidR="0010369C" w14:paraId="51DE84F2" w14:textId="77777777">
        <w:trPr>
          <w:trHeight w:val="319"/>
        </w:trPr>
        <w:tc>
          <w:tcPr>
            <w:tcW w:w="9129" w:type="dxa"/>
            <w:gridSpan w:val="3"/>
            <w:tcBorders>
              <w:top w:val="single" w:sz="48" w:space="0" w:color="FFFFFF"/>
              <w:bottom w:val="single" w:sz="48" w:space="0" w:color="FFFFFF"/>
            </w:tcBorders>
            <w:shd w:val="clear" w:color="auto" w:fill="000000"/>
          </w:tcPr>
          <w:p w14:paraId="51DE84F1" w14:textId="77777777" w:rsidR="0010369C" w:rsidRDefault="0010369C">
            <w:pPr>
              <w:pStyle w:val="TableParagraph"/>
              <w:rPr>
                <w:rFonts w:ascii="Times New Roman"/>
              </w:rPr>
            </w:pPr>
          </w:p>
        </w:tc>
      </w:tr>
      <w:tr w:rsidR="0010369C" w14:paraId="51DE84F4" w14:textId="77777777">
        <w:trPr>
          <w:trHeight w:val="319"/>
        </w:trPr>
        <w:tc>
          <w:tcPr>
            <w:tcW w:w="9129" w:type="dxa"/>
            <w:gridSpan w:val="3"/>
            <w:tcBorders>
              <w:top w:val="single" w:sz="48" w:space="0" w:color="FFFFFF"/>
              <w:bottom w:val="single" w:sz="48" w:space="0" w:color="FFFFFF"/>
            </w:tcBorders>
            <w:shd w:val="clear" w:color="auto" w:fill="000000"/>
          </w:tcPr>
          <w:p w14:paraId="51DE84F3" w14:textId="77777777" w:rsidR="0010369C" w:rsidRDefault="0010369C">
            <w:pPr>
              <w:pStyle w:val="TableParagraph"/>
              <w:rPr>
                <w:rFonts w:ascii="Times New Roman"/>
              </w:rPr>
            </w:pPr>
          </w:p>
        </w:tc>
      </w:tr>
      <w:tr w:rsidR="0010369C" w14:paraId="51DE84F6" w14:textId="77777777">
        <w:trPr>
          <w:trHeight w:val="319"/>
        </w:trPr>
        <w:tc>
          <w:tcPr>
            <w:tcW w:w="9129" w:type="dxa"/>
            <w:gridSpan w:val="3"/>
            <w:tcBorders>
              <w:top w:val="single" w:sz="48" w:space="0" w:color="FFFFFF"/>
              <w:bottom w:val="single" w:sz="48" w:space="0" w:color="FFFFFF"/>
            </w:tcBorders>
            <w:shd w:val="clear" w:color="auto" w:fill="000000"/>
          </w:tcPr>
          <w:p w14:paraId="51DE84F5" w14:textId="77777777" w:rsidR="0010369C" w:rsidRDefault="0010369C">
            <w:pPr>
              <w:pStyle w:val="TableParagraph"/>
              <w:rPr>
                <w:rFonts w:ascii="Times New Roman"/>
              </w:rPr>
            </w:pPr>
          </w:p>
        </w:tc>
      </w:tr>
      <w:tr w:rsidR="0010369C" w14:paraId="51DE84F8" w14:textId="77777777">
        <w:trPr>
          <w:trHeight w:val="320"/>
        </w:trPr>
        <w:tc>
          <w:tcPr>
            <w:tcW w:w="9129" w:type="dxa"/>
            <w:gridSpan w:val="3"/>
            <w:tcBorders>
              <w:top w:val="single" w:sz="48" w:space="0" w:color="FFFFFF"/>
              <w:bottom w:val="single" w:sz="48" w:space="0" w:color="FFFFFF"/>
            </w:tcBorders>
            <w:shd w:val="clear" w:color="auto" w:fill="000000"/>
          </w:tcPr>
          <w:p w14:paraId="51DE84F7" w14:textId="77777777" w:rsidR="0010369C" w:rsidRDefault="0010369C">
            <w:pPr>
              <w:pStyle w:val="TableParagraph"/>
              <w:rPr>
                <w:rFonts w:ascii="Times New Roman"/>
              </w:rPr>
            </w:pPr>
          </w:p>
        </w:tc>
      </w:tr>
      <w:tr w:rsidR="0010369C" w14:paraId="51DE84FB" w14:textId="77777777">
        <w:trPr>
          <w:trHeight w:val="321"/>
        </w:trPr>
        <w:tc>
          <w:tcPr>
            <w:tcW w:w="4941" w:type="dxa"/>
            <w:gridSpan w:val="2"/>
            <w:tcBorders>
              <w:top w:val="single" w:sz="48" w:space="0" w:color="FFFFFF"/>
            </w:tcBorders>
            <w:shd w:val="clear" w:color="auto" w:fill="000000"/>
          </w:tcPr>
          <w:p w14:paraId="51DE84F9" w14:textId="77777777" w:rsidR="0010369C" w:rsidRDefault="0010369C">
            <w:pPr>
              <w:pStyle w:val="TableParagraph"/>
              <w:rPr>
                <w:rFonts w:ascii="Times New Roman"/>
              </w:rPr>
            </w:pPr>
          </w:p>
        </w:tc>
        <w:tc>
          <w:tcPr>
            <w:tcW w:w="4188" w:type="dxa"/>
            <w:tcBorders>
              <w:top w:val="single" w:sz="48" w:space="0" w:color="FFFFFF"/>
            </w:tcBorders>
          </w:tcPr>
          <w:p w14:paraId="51DE84FA" w14:textId="77777777" w:rsidR="0010369C" w:rsidRDefault="008E43AE">
            <w:pPr>
              <w:pStyle w:val="TableParagraph"/>
              <w:spacing w:line="291" w:lineRule="exact"/>
              <w:ind w:left="20"/>
              <w:rPr>
                <w:sz w:val="24"/>
              </w:rPr>
            </w:pPr>
            <w:r>
              <w:rPr>
                <w:color w:val="5E5E5E"/>
                <w:spacing w:val="-5"/>
                <w:sz w:val="24"/>
              </w:rPr>
              <w:t>.</w:t>
            </w:r>
            <w:r>
              <w:rPr>
                <w:spacing w:val="-5"/>
                <w:sz w:val="24"/>
              </w:rPr>
              <w:t>]]</w:t>
            </w:r>
          </w:p>
        </w:tc>
      </w:tr>
    </w:tbl>
    <w:p w14:paraId="51DE84FC" w14:textId="77777777" w:rsidR="0010369C" w:rsidRDefault="0010369C">
      <w:pPr>
        <w:pStyle w:val="BodyText"/>
        <w:rPr>
          <w:sz w:val="20"/>
        </w:rPr>
      </w:pPr>
    </w:p>
    <w:p w14:paraId="51DE84FD" w14:textId="77777777" w:rsidR="0010369C" w:rsidRDefault="0010369C">
      <w:pPr>
        <w:pStyle w:val="BodyText"/>
        <w:rPr>
          <w:sz w:val="20"/>
        </w:rPr>
      </w:pPr>
    </w:p>
    <w:p w14:paraId="51DE84FE" w14:textId="77777777" w:rsidR="0010369C" w:rsidRDefault="0010369C">
      <w:pPr>
        <w:pStyle w:val="BodyText"/>
        <w:rPr>
          <w:sz w:val="20"/>
        </w:rPr>
      </w:pPr>
    </w:p>
    <w:p w14:paraId="51DE84FF" w14:textId="77777777" w:rsidR="0010369C" w:rsidRDefault="0010369C">
      <w:pPr>
        <w:pStyle w:val="BodyText"/>
        <w:rPr>
          <w:sz w:val="20"/>
        </w:rPr>
      </w:pPr>
    </w:p>
    <w:p w14:paraId="51DE8500" w14:textId="77777777" w:rsidR="0010369C" w:rsidRDefault="0010369C">
      <w:pPr>
        <w:pStyle w:val="BodyText"/>
        <w:rPr>
          <w:sz w:val="20"/>
        </w:rPr>
      </w:pPr>
    </w:p>
    <w:p w14:paraId="51DE8501" w14:textId="77777777" w:rsidR="0010369C" w:rsidRDefault="0010369C">
      <w:pPr>
        <w:pStyle w:val="BodyText"/>
        <w:rPr>
          <w:sz w:val="20"/>
        </w:rPr>
      </w:pPr>
    </w:p>
    <w:p w14:paraId="51DE8502" w14:textId="77777777" w:rsidR="0010369C" w:rsidRDefault="0010369C">
      <w:pPr>
        <w:pStyle w:val="BodyText"/>
        <w:rPr>
          <w:sz w:val="20"/>
        </w:rPr>
      </w:pPr>
    </w:p>
    <w:p w14:paraId="51DE8503" w14:textId="77777777" w:rsidR="0010369C" w:rsidRDefault="008E43AE">
      <w:pPr>
        <w:pStyle w:val="BodyText"/>
        <w:spacing w:before="5"/>
      </w:pPr>
      <w:r>
        <w:pict w14:anchorId="51DEA0C2">
          <v:rect id="docshape555" o:spid="_x0000_s1709" style="position:absolute;margin-left:70.9pt;margin-top:16.15pt;width:2in;height:.8pt;z-index:-251015680;mso-wrap-distance-left:0;mso-wrap-distance-right:0;mso-position-horizontal-relative:page" fillcolor="black" stroked="f">
            <w10:wrap type="topAndBottom" anchorx="page"/>
          </v:rect>
        </w:pict>
      </w:r>
    </w:p>
    <w:p w14:paraId="51DE8504" w14:textId="77777777" w:rsidR="0010369C" w:rsidRDefault="008E43AE">
      <w:pPr>
        <w:spacing w:before="109"/>
        <w:ind w:left="238"/>
        <w:rPr>
          <w:sz w:val="18"/>
        </w:rPr>
      </w:pPr>
      <w:r>
        <w:rPr>
          <w:sz w:val="18"/>
          <w:vertAlign w:val="superscript"/>
        </w:rPr>
        <w:t>285</w:t>
      </w:r>
      <w:r>
        <w:rPr>
          <w:spacing w:val="-5"/>
          <w:sz w:val="18"/>
        </w:rPr>
        <w:t xml:space="preserve"> </w:t>
      </w:r>
      <w:r>
        <w:rPr>
          <w:sz w:val="18"/>
        </w:rPr>
        <w:t>See</w:t>
      </w:r>
      <w:r>
        <w:rPr>
          <w:spacing w:val="-5"/>
          <w:sz w:val="18"/>
        </w:rPr>
        <w:t xml:space="preserve"> </w:t>
      </w:r>
      <w:r>
        <w:rPr>
          <w:sz w:val="18"/>
        </w:rPr>
        <w:t>Section</w:t>
      </w:r>
      <w:r>
        <w:rPr>
          <w:spacing w:val="-5"/>
          <w:sz w:val="18"/>
        </w:rPr>
        <w:t xml:space="preserve"> </w:t>
      </w:r>
      <w:r>
        <w:rPr>
          <w:spacing w:val="-2"/>
          <w:sz w:val="18"/>
        </w:rPr>
        <w:t>II.E.3(a)(ii).</w:t>
      </w:r>
    </w:p>
    <w:p w14:paraId="51DE8505" w14:textId="77777777" w:rsidR="0010369C" w:rsidRDefault="0010369C">
      <w:pPr>
        <w:rPr>
          <w:sz w:val="18"/>
        </w:rPr>
        <w:sectPr w:rsidR="0010369C">
          <w:pgSz w:w="11910" w:h="16840"/>
          <w:pgMar w:top="880" w:right="800" w:bottom="980" w:left="1180" w:header="569" w:footer="788" w:gutter="0"/>
          <w:cols w:space="720"/>
        </w:sectPr>
      </w:pPr>
    </w:p>
    <w:tbl>
      <w:tblPr>
        <w:tblW w:w="0" w:type="auto"/>
        <w:tblInd w:w="131" w:type="dxa"/>
        <w:tblLayout w:type="fixed"/>
        <w:tblCellMar>
          <w:left w:w="0" w:type="dxa"/>
          <w:right w:w="0" w:type="dxa"/>
        </w:tblCellMar>
        <w:tblLook w:val="01E0" w:firstRow="1" w:lastRow="1" w:firstColumn="1" w:lastColumn="1" w:noHBand="0" w:noVBand="0"/>
      </w:tblPr>
      <w:tblGrid>
        <w:gridCol w:w="4978"/>
        <w:gridCol w:w="1016"/>
        <w:gridCol w:w="677"/>
        <w:gridCol w:w="622"/>
        <w:gridCol w:w="1033"/>
        <w:gridCol w:w="444"/>
        <w:gridCol w:w="443"/>
      </w:tblGrid>
      <w:tr w:rsidR="0010369C" w14:paraId="51DE850C" w14:textId="77777777">
        <w:trPr>
          <w:trHeight w:val="1227"/>
        </w:trPr>
        <w:tc>
          <w:tcPr>
            <w:tcW w:w="4978" w:type="dxa"/>
            <w:tcBorders>
              <w:top w:val="single" w:sz="4" w:space="0" w:color="000000"/>
            </w:tcBorders>
          </w:tcPr>
          <w:p w14:paraId="51DE8506" w14:textId="77777777" w:rsidR="0010369C" w:rsidRDefault="008E43AE">
            <w:pPr>
              <w:pStyle w:val="TableParagraph"/>
              <w:spacing w:before="19" w:line="252" w:lineRule="auto"/>
              <w:ind w:left="114" w:right="15" w:firstLine="2461"/>
              <w:rPr>
                <w:sz w:val="20"/>
              </w:rPr>
            </w:pPr>
            <w:r>
              <w:lastRenderedPageBreak/>
              <w:t>Business</w:t>
            </w:r>
            <w:r>
              <w:rPr>
                <w:spacing w:val="-13"/>
              </w:rPr>
              <w:t xml:space="preserve"> </w:t>
            </w:r>
            <w:r>
              <w:t>Confidential</w:t>
            </w:r>
            <w:r>
              <w:rPr>
                <w:spacing w:val="-12"/>
              </w:rPr>
              <w:t xml:space="preserve"> </w:t>
            </w:r>
            <w:r>
              <w:t xml:space="preserve">Infor </w:t>
            </w:r>
            <w:r>
              <w:rPr>
                <w:i/>
                <w:sz w:val="20"/>
              </w:rPr>
              <w:t>China – Anti‐Dumping and Countervailing Duty Measures</w:t>
            </w:r>
            <w:r>
              <w:rPr>
                <w:i/>
                <w:spacing w:val="40"/>
                <w:sz w:val="20"/>
              </w:rPr>
              <w:t xml:space="preserve"> </w:t>
            </w:r>
            <w:r>
              <w:rPr>
                <w:i/>
                <w:sz w:val="20"/>
              </w:rPr>
              <w:t xml:space="preserve">on Wine from Australia </w:t>
            </w:r>
            <w:r>
              <w:rPr>
                <w:sz w:val="20"/>
              </w:rPr>
              <w:t>(DS602)</w:t>
            </w:r>
          </w:p>
          <w:p w14:paraId="51DE8507" w14:textId="77777777" w:rsidR="0010369C" w:rsidRDefault="008E43AE">
            <w:pPr>
              <w:pStyle w:val="TableParagraph"/>
              <w:spacing w:before="25"/>
              <w:ind w:right="332"/>
              <w:jc w:val="right"/>
              <w:rPr>
                <w:sz w:val="24"/>
              </w:rPr>
            </w:pPr>
            <w:r>
              <w:rPr>
                <w:spacing w:val="-5"/>
                <w:sz w:val="24"/>
              </w:rPr>
              <w:t>(C)</w:t>
            </w:r>
          </w:p>
        </w:tc>
        <w:tc>
          <w:tcPr>
            <w:tcW w:w="4235" w:type="dxa"/>
            <w:gridSpan w:val="6"/>
            <w:tcBorders>
              <w:top w:val="single" w:sz="4" w:space="0" w:color="000000"/>
            </w:tcBorders>
          </w:tcPr>
          <w:p w14:paraId="51DE8508" w14:textId="77777777" w:rsidR="0010369C" w:rsidRDefault="008E43AE">
            <w:pPr>
              <w:pStyle w:val="TableParagraph"/>
              <w:spacing w:before="19"/>
              <w:ind w:left="-16"/>
            </w:pPr>
            <w:r>
              <w:t>mation</w:t>
            </w:r>
            <w:r>
              <w:rPr>
                <w:spacing w:val="-5"/>
              </w:rPr>
              <w:t xml:space="preserve"> </w:t>
            </w:r>
            <w:r>
              <w:t>‐</w:t>
            </w:r>
            <w:r>
              <w:rPr>
                <w:spacing w:val="-5"/>
              </w:rPr>
              <w:t xml:space="preserve"> </w:t>
            </w:r>
            <w:r>
              <w:rPr>
                <w:spacing w:val="-2"/>
              </w:rPr>
              <w:t>REDACTED</w:t>
            </w:r>
          </w:p>
          <w:p w14:paraId="51DE8509" w14:textId="77777777" w:rsidR="0010369C" w:rsidRDefault="008E43AE">
            <w:pPr>
              <w:pStyle w:val="TableParagraph"/>
              <w:spacing w:before="28"/>
              <w:ind w:right="28"/>
              <w:jc w:val="right"/>
              <w:rPr>
                <w:sz w:val="20"/>
              </w:rPr>
            </w:pPr>
            <w:r>
              <w:rPr>
                <w:sz w:val="20"/>
              </w:rPr>
              <w:t>Australia's</w:t>
            </w:r>
            <w:r>
              <w:rPr>
                <w:spacing w:val="-5"/>
                <w:sz w:val="20"/>
              </w:rPr>
              <w:t xml:space="preserve"> </w:t>
            </w:r>
            <w:r>
              <w:rPr>
                <w:sz w:val="20"/>
              </w:rPr>
              <w:t>First</w:t>
            </w:r>
            <w:r>
              <w:rPr>
                <w:spacing w:val="-2"/>
                <w:sz w:val="20"/>
              </w:rPr>
              <w:t xml:space="preserve"> </w:t>
            </w:r>
            <w:r>
              <w:rPr>
                <w:sz w:val="20"/>
              </w:rPr>
              <w:t>Written</w:t>
            </w:r>
            <w:r>
              <w:rPr>
                <w:spacing w:val="-2"/>
                <w:sz w:val="20"/>
              </w:rPr>
              <w:t xml:space="preserve"> Submission</w:t>
            </w:r>
          </w:p>
          <w:p w14:paraId="51DE850A" w14:textId="77777777" w:rsidR="0010369C" w:rsidRDefault="008E43AE">
            <w:pPr>
              <w:pStyle w:val="TableParagraph"/>
              <w:spacing w:before="1"/>
              <w:ind w:right="24"/>
              <w:jc w:val="right"/>
              <w:rPr>
                <w:sz w:val="20"/>
              </w:rPr>
            </w:pPr>
            <w:r>
              <w:rPr>
                <w:sz w:val="20"/>
              </w:rPr>
              <w:t>29</w:t>
            </w:r>
            <w:r>
              <w:rPr>
                <w:spacing w:val="-1"/>
                <w:sz w:val="20"/>
              </w:rPr>
              <w:t xml:space="preserve"> </w:t>
            </w:r>
            <w:r>
              <w:rPr>
                <w:sz w:val="20"/>
              </w:rPr>
              <w:t>April</w:t>
            </w:r>
            <w:r>
              <w:rPr>
                <w:spacing w:val="-2"/>
                <w:sz w:val="20"/>
              </w:rPr>
              <w:t xml:space="preserve"> </w:t>
            </w:r>
            <w:r>
              <w:rPr>
                <w:spacing w:val="-4"/>
                <w:sz w:val="20"/>
              </w:rPr>
              <w:t>2022</w:t>
            </w:r>
          </w:p>
          <w:p w14:paraId="51DE850B" w14:textId="77777777" w:rsidR="0010369C" w:rsidRDefault="008E43AE">
            <w:pPr>
              <w:pStyle w:val="TableParagraph"/>
              <w:spacing w:before="34"/>
              <w:ind w:right="29"/>
              <w:jc w:val="right"/>
              <w:rPr>
                <w:sz w:val="24"/>
              </w:rPr>
            </w:pPr>
            <w:r>
              <w:rPr>
                <w:sz w:val="24"/>
                <w:u w:val="single"/>
              </w:rPr>
              <w:t>MOFCOM</w:t>
            </w:r>
            <w:r>
              <w:rPr>
                <w:spacing w:val="-10"/>
                <w:sz w:val="24"/>
                <w:u w:val="single"/>
              </w:rPr>
              <w:t xml:space="preserve"> </w:t>
            </w:r>
            <w:r>
              <w:rPr>
                <w:sz w:val="24"/>
                <w:u w:val="single"/>
              </w:rPr>
              <w:t>failed</w:t>
            </w:r>
            <w:r>
              <w:rPr>
                <w:spacing w:val="-11"/>
                <w:sz w:val="24"/>
                <w:u w:val="single"/>
              </w:rPr>
              <w:t xml:space="preserve"> </w:t>
            </w:r>
            <w:r>
              <w:rPr>
                <w:sz w:val="24"/>
                <w:u w:val="single"/>
              </w:rPr>
              <w:t>to</w:t>
            </w:r>
            <w:r>
              <w:rPr>
                <w:spacing w:val="-10"/>
                <w:sz w:val="24"/>
                <w:u w:val="single"/>
              </w:rPr>
              <w:t xml:space="preserve"> </w:t>
            </w:r>
            <w:r>
              <w:rPr>
                <w:sz w:val="24"/>
                <w:u w:val="single"/>
              </w:rPr>
              <w:t>consider</w:t>
            </w:r>
            <w:r>
              <w:rPr>
                <w:spacing w:val="-10"/>
                <w:sz w:val="24"/>
                <w:u w:val="single"/>
              </w:rPr>
              <w:t xml:space="preserve"> </w:t>
            </w:r>
            <w:r>
              <w:rPr>
                <w:sz w:val="24"/>
                <w:u w:val="single"/>
              </w:rPr>
              <w:t>whether</w:t>
            </w:r>
            <w:r>
              <w:rPr>
                <w:spacing w:val="-11"/>
                <w:sz w:val="24"/>
                <w:u w:val="single"/>
              </w:rPr>
              <w:t xml:space="preserve"> </w:t>
            </w:r>
            <w:r>
              <w:rPr>
                <w:spacing w:val="-5"/>
                <w:sz w:val="24"/>
                <w:u w:val="single"/>
              </w:rPr>
              <w:t>the</w:t>
            </w:r>
          </w:p>
        </w:tc>
      </w:tr>
      <w:tr w:rsidR="0010369C" w14:paraId="51DE8514" w14:textId="77777777">
        <w:trPr>
          <w:trHeight w:val="439"/>
        </w:trPr>
        <w:tc>
          <w:tcPr>
            <w:tcW w:w="4978" w:type="dxa"/>
          </w:tcPr>
          <w:p w14:paraId="51DE850D" w14:textId="77777777" w:rsidR="0010369C" w:rsidRDefault="0010369C">
            <w:pPr>
              <w:pStyle w:val="TableParagraph"/>
              <w:rPr>
                <w:rFonts w:ascii="Times New Roman"/>
              </w:rPr>
            </w:pPr>
          </w:p>
        </w:tc>
        <w:tc>
          <w:tcPr>
            <w:tcW w:w="1016" w:type="dxa"/>
          </w:tcPr>
          <w:p w14:paraId="51DE850E" w14:textId="77777777" w:rsidR="0010369C" w:rsidRDefault="008E43AE">
            <w:pPr>
              <w:pStyle w:val="TableParagraph"/>
              <w:spacing w:before="51"/>
              <w:ind w:left="238" w:right="-87"/>
              <w:rPr>
                <w:sz w:val="24"/>
              </w:rPr>
            </w:pPr>
            <w:r>
              <w:rPr>
                <w:spacing w:val="-2"/>
                <w:sz w:val="24"/>
                <w:u w:val="single"/>
              </w:rPr>
              <w:t>"below</w:t>
            </w:r>
            <w:r>
              <w:rPr>
                <w:spacing w:val="40"/>
                <w:sz w:val="24"/>
                <w:u w:val="single"/>
              </w:rPr>
              <w:t xml:space="preserve"> </w:t>
            </w:r>
          </w:p>
        </w:tc>
        <w:tc>
          <w:tcPr>
            <w:tcW w:w="677" w:type="dxa"/>
          </w:tcPr>
          <w:p w14:paraId="51DE850F" w14:textId="77777777" w:rsidR="0010369C" w:rsidRDefault="008E43AE">
            <w:pPr>
              <w:pStyle w:val="TableParagraph"/>
              <w:spacing w:before="51"/>
              <w:ind w:left="81" w:right="-72"/>
              <w:rPr>
                <w:sz w:val="24"/>
              </w:rPr>
            </w:pPr>
            <w:r>
              <w:rPr>
                <w:spacing w:val="-2"/>
                <w:sz w:val="24"/>
                <w:u w:val="single"/>
              </w:rPr>
              <w:t>cost"</w:t>
            </w:r>
            <w:r>
              <w:rPr>
                <w:spacing w:val="40"/>
                <w:sz w:val="24"/>
                <w:u w:val="single"/>
              </w:rPr>
              <w:t xml:space="preserve"> </w:t>
            </w:r>
          </w:p>
        </w:tc>
        <w:tc>
          <w:tcPr>
            <w:tcW w:w="622" w:type="dxa"/>
          </w:tcPr>
          <w:p w14:paraId="51DE8510" w14:textId="77777777" w:rsidR="0010369C" w:rsidRDefault="008E43AE">
            <w:pPr>
              <w:pStyle w:val="TableParagraph"/>
              <w:spacing w:before="51"/>
              <w:ind w:left="64" w:right="-87"/>
              <w:rPr>
                <w:sz w:val="24"/>
              </w:rPr>
            </w:pPr>
            <w:r>
              <w:rPr>
                <w:spacing w:val="-2"/>
                <w:sz w:val="24"/>
                <w:u w:val="single"/>
              </w:rPr>
              <w:t>sales</w:t>
            </w:r>
            <w:r>
              <w:rPr>
                <w:spacing w:val="40"/>
                <w:sz w:val="24"/>
                <w:u w:val="single"/>
              </w:rPr>
              <w:t xml:space="preserve"> </w:t>
            </w:r>
          </w:p>
        </w:tc>
        <w:tc>
          <w:tcPr>
            <w:tcW w:w="1033" w:type="dxa"/>
          </w:tcPr>
          <w:p w14:paraId="51DE8511" w14:textId="77777777" w:rsidR="0010369C" w:rsidRDefault="008E43AE">
            <w:pPr>
              <w:pStyle w:val="TableParagraph"/>
              <w:spacing w:before="51"/>
              <w:ind w:left="83" w:right="-87"/>
              <w:rPr>
                <w:sz w:val="24"/>
              </w:rPr>
            </w:pPr>
            <w:r>
              <w:rPr>
                <w:spacing w:val="-2"/>
                <w:sz w:val="24"/>
                <w:u w:val="single"/>
              </w:rPr>
              <w:t>provided</w:t>
            </w:r>
            <w:r>
              <w:rPr>
                <w:spacing w:val="40"/>
                <w:sz w:val="24"/>
                <w:u w:val="single"/>
              </w:rPr>
              <w:t xml:space="preserve"> </w:t>
            </w:r>
          </w:p>
        </w:tc>
        <w:tc>
          <w:tcPr>
            <w:tcW w:w="444" w:type="dxa"/>
          </w:tcPr>
          <w:p w14:paraId="51DE8512" w14:textId="77777777" w:rsidR="0010369C" w:rsidRDefault="008E43AE">
            <w:pPr>
              <w:pStyle w:val="TableParagraph"/>
              <w:spacing w:before="51"/>
              <w:ind w:left="84" w:right="-87"/>
              <w:rPr>
                <w:sz w:val="24"/>
              </w:rPr>
            </w:pPr>
            <w:r>
              <w:rPr>
                <w:spacing w:val="-5"/>
                <w:sz w:val="24"/>
                <w:u w:val="single"/>
              </w:rPr>
              <w:t>for</w:t>
            </w:r>
            <w:r>
              <w:rPr>
                <w:spacing w:val="40"/>
                <w:sz w:val="24"/>
                <w:u w:val="single"/>
              </w:rPr>
              <w:t xml:space="preserve"> </w:t>
            </w:r>
          </w:p>
        </w:tc>
        <w:tc>
          <w:tcPr>
            <w:tcW w:w="443" w:type="dxa"/>
          </w:tcPr>
          <w:p w14:paraId="51DE8513" w14:textId="77777777" w:rsidR="0010369C" w:rsidRDefault="008E43AE">
            <w:pPr>
              <w:pStyle w:val="TableParagraph"/>
              <w:spacing w:before="51"/>
              <w:ind w:left="85"/>
              <w:rPr>
                <w:sz w:val="24"/>
              </w:rPr>
            </w:pPr>
            <w:r>
              <w:rPr>
                <w:spacing w:val="-5"/>
                <w:sz w:val="24"/>
                <w:u w:val="single"/>
              </w:rPr>
              <w:t>the</w:t>
            </w:r>
          </w:p>
        </w:tc>
      </w:tr>
      <w:tr w:rsidR="0010369C" w14:paraId="51DE8517" w14:textId="77777777">
        <w:trPr>
          <w:trHeight w:val="439"/>
        </w:trPr>
        <w:tc>
          <w:tcPr>
            <w:tcW w:w="4978" w:type="dxa"/>
          </w:tcPr>
          <w:p w14:paraId="51DE8515" w14:textId="77777777" w:rsidR="0010369C" w:rsidRDefault="0010369C">
            <w:pPr>
              <w:pStyle w:val="TableParagraph"/>
              <w:rPr>
                <w:rFonts w:ascii="Times New Roman"/>
              </w:rPr>
            </w:pPr>
          </w:p>
        </w:tc>
        <w:tc>
          <w:tcPr>
            <w:tcW w:w="4235" w:type="dxa"/>
            <w:gridSpan w:val="6"/>
          </w:tcPr>
          <w:p w14:paraId="51DE8516" w14:textId="77777777" w:rsidR="0010369C" w:rsidRDefault="008E43AE">
            <w:pPr>
              <w:pStyle w:val="TableParagraph"/>
              <w:spacing w:before="51"/>
              <w:ind w:left="238"/>
              <w:rPr>
                <w:sz w:val="24"/>
              </w:rPr>
            </w:pPr>
            <w:r>
              <w:rPr>
                <w:sz w:val="24"/>
                <w:u w:val="single"/>
              </w:rPr>
              <w:t>recovery</w:t>
            </w:r>
            <w:r>
              <w:rPr>
                <w:spacing w:val="63"/>
                <w:sz w:val="24"/>
                <w:u w:val="single"/>
              </w:rPr>
              <w:t xml:space="preserve"> </w:t>
            </w:r>
            <w:r>
              <w:rPr>
                <w:sz w:val="24"/>
                <w:u w:val="single"/>
              </w:rPr>
              <w:t>of</w:t>
            </w:r>
            <w:r>
              <w:rPr>
                <w:spacing w:val="61"/>
                <w:sz w:val="24"/>
                <w:u w:val="single"/>
              </w:rPr>
              <w:t xml:space="preserve"> </w:t>
            </w:r>
            <w:r>
              <w:rPr>
                <w:sz w:val="24"/>
                <w:u w:val="single"/>
              </w:rPr>
              <w:t>costs</w:t>
            </w:r>
            <w:r>
              <w:rPr>
                <w:spacing w:val="62"/>
                <w:sz w:val="24"/>
                <w:u w:val="single"/>
              </w:rPr>
              <w:t xml:space="preserve"> </w:t>
            </w:r>
            <w:r>
              <w:rPr>
                <w:sz w:val="24"/>
                <w:u w:val="single"/>
              </w:rPr>
              <w:t>within</w:t>
            </w:r>
            <w:r>
              <w:rPr>
                <w:spacing w:val="62"/>
                <w:sz w:val="24"/>
                <w:u w:val="single"/>
              </w:rPr>
              <w:t xml:space="preserve"> </w:t>
            </w:r>
            <w:r>
              <w:rPr>
                <w:sz w:val="24"/>
                <w:u w:val="single"/>
              </w:rPr>
              <w:t>a</w:t>
            </w:r>
            <w:r>
              <w:rPr>
                <w:spacing w:val="63"/>
                <w:sz w:val="24"/>
                <w:u w:val="single"/>
              </w:rPr>
              <w:t xml:space="preserve"> </w:t>
            </w:r>
            <w:r>
              <w:rPr>
                <w:spacing w:val="-2"/>
                <w:sz w:val="24"/>
                <w:u w:val="single"/>
              </w:rPr>
              <w:t>reasonable</w:t>
            </w:r>
          </w:p>
        </w:tc>
      </w:tr>
      <w:tr w:rsidR="0010369C" w14:paraId="51DE851E" w14:textId="77777777">
        <w:trPr>
          <w:trHeight w:val="340"/>
        </w:trPr>
        <w:tc>
          <w:tcPr>
            <w:tcW w:w="4978" w:type="dxa"/>
          </w:tcPr>
          <w:p w14:paraId="51DE8518" w14:textId="77777777" w:rsidR="0010369C" w:rsidRDefault="0010369C">
            <w:pPr>
              <w:pStyle w:val="TableParagraph"/>
              <w:rPr>
                <w:rFonts w:ascii="Times New Roman"/>
              </w:rPr>
            </w:pPr>
          </w:p>
        </w:tc>
        <w:tc>
          <w:tcPr>
            <w:tcW w:w="1693" w:type="dxa"/>
            <w:gridSpan w:val="2"/>
          </w:tcPr>
          <w:p w14:paraId="51DE8519" w14:textId="77777777" w:rsidR="0010369C" w:rsidRDefault="008E43AE">
            <w:pPr>
              <w:pStyle w:val="TableParagraph"/>
              <w:spacing w:before="51" w:line="269" w:lineRule="exact"/>
              <w:ind w:left="238"/>
              <w:rPr>
                <w:sz w:val="24"/>
              </w:rPr>
            </w:pPr>
            <w:r>
              <w:rPr>
                <w:sz w:val="24"/>
                <w:u w:val="single"/>
              </w:rPr>
              <w:t>period</w:t>
            </w:r>
            <w:r>
              <w:rPr>
                <w:spacing w:val="-7"/>
                <w:sz w:val="24"/>
                <w:u w:val="single"/>
              </w:rPr>
              <w:t xml:space="preserve"> </w:t>
            </w:r>
            <w:r>
              <w:rPr>
                <w:sz w:val="24"/>
                <w:u w:val="single"/>
              </w:rPr>
              <w:t>of</w:t>
            </w:r>
            <w:r>
              <w:rPr>
                <w:spacing w:val="-5"/>
                <w:sz w:val="24"/>
                <w:u w:val="single"/>
              </w:rPr>
              <w:t xml:space="preserve"> </w:t>
            </w:r>
            <w:r>
              <w:rPr>
                <w:spacing w:val="-4"/>
                <w:sz w:val="24"/>
                <w:u w:val="single"/>
              </w:rPr>
              <w:t>time</w:t>
            </w:r>
          </w:p>
        </w:tc>
        <w:tc>
          <w:tcPr>
            <w:tcW w:w="622" w:type="dxa"/>
          </w:tcPr>
          <w:p w14:paraId="51DE851A" w14:textId="77777777" w:rsidR="0010369C" w:rsidRDefault="0010369C">
            <w:pPr>
              <w:pStyle w:val="TableParagraph"/>
              <w:rPr>
                <w:rFonts w:ascii="Times New Roman"/>
              </w:rPr>
            </w:pPr>
          </w:p>
        </w:tc>
        <w:tc>
          <w:tcPr>
            <w:tcW w:w="1033" w:type="dxa"/>
          </w:tcPr>
          <w:p w14:paraId="51DE851B" w14:textId="77777777" w:rsidR="0010369C" w:rsidRDefault="0010369C">
            <w:pPr>
              <w:pStyle w:val="TableParagraph"/>
              <w:rPr>
                <w:rFonts w:ascii="Times New Roman"/>
              </w:rPr>
            </w:pPr>
          </w:p>
        </w:tc>
        <w:tc>
          <w:tcPr>
            <w:tcW w:w="444" w:type="dxa"/>
          </w:tcPr>
          <w:p w14:paraId="51DE851C" w14:textId="77777777" w:rsidR="0010369C" w:rsidRDefault="0010369C">
            <w:pPr>
              <w:pStyle w:val="TableParagraph"/>
              <w:rPr>
                <w:rFonts w:ascii="Times New Roman"/>
              </w:rPr>
            </w:pPr>
          </w:p>
        </w:tc>
        <w:tc>
          <w:tcPr>
            <w:tcW w:w="443" w:type="dxa"/>
          </w:tcPr>
          <w:p w14:paraId="51DE851D" w14:textId="77777777" w:rsidR="0010369C" w:rsidRDefault="0010369C">
            <w:pPr>
              <w:pStyle w:val="TableParagraph"/>
              <w:rPr>
                <w:rFonts w:ascii="Times New Roman"/>
              </w:rPr>
            </w:pPr>
          </w:p>
        </w:tc>
      </w:tr>
    </w:tbl>
    <w:p w14:paraId="51DE851F" w14:textId="77777777" w:rsidR="0010369C" w:rsidRDefault="008E43AE">
      <w:pPr>
        <w:pStyle w:val="BodyText"/>
        <w:rPr>
          <w:sz w:val="22"/>
        </w:rPr>
      </w:pPr>
      <w:r>
        <w:pict w14:anchorId="51DEA0C3">
          <v:rect id="docshape557" o:spid="_x0000_s1708" style="position:absolute;margin-left:65pt;margin-top:44.2pt;width:461.4pt;height:.5pt;z-index:-251366912;mso-position-horizontal-relative:page;mso-position-vertical-relative:page" fillcolor="black" stroked="f">
            <w10:wrap anchorx="page" anchory="page"/>
          </v:rect>
        </w:pict>
      </w:r>
    </w:p>
    <w:p w14:paraId="51DE8520" w14:textId="77777777" w:rsidR="0010369C" w:rsidRDefault="008E43AE">
      <w:pPr>
        <w:pStyle w:val="BodyText"/>
        <w:spacing w:before="52" w:line="360" w:lineRule="auto"/>
        <w:ind w:left="237" w:right="613" w:firstLine="851"/>
        <w:jc w:val="both"/>
      </w:pPr>
      <w:r>
        <w:rPr>
          <w:noProof/>
        </w:rPr>
        <w:drawing>
          <wp:anchor distT="0" distB="0" distL="0" distR="0" simplePos="0" relativeHeight="250925568" behindDoc="1" locked="0" layoutInCell="1" allowOverlap="1" wp14:anchorId="51DEA0C4" wp14:editId="51DEA0C5">
            <wp:simplePos x="0" y="0"/>
            <wp:positionH relativeFrom="page">
              <wp:posOffset>905255</wp:posOffset>
            </wp:positionH>
            <wp:positionV relativeFrom="paragraph">
              <wp:posOffset>81949</wp:posOffset>
            </wp:positionV>
            <wp:extent cx="259079" cy="100753"/>
            <wp:effectExtent l="0" t="0" r="0" b="0"/>
            <wp:wrapNone/>
            <wp:docPr id="523" name="image2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 name="image270.png"/>
                    <pic:cNvPicPr/>
                  </pic:nvPicPr>
                  <pic:blipFill>
                    <a:blip r:embed="rId372" cstate="print"/>
                    <a:stretch>
                      <a:fillRect/>
                    </a:stretch>
                  </pic:blipFill>
                  <pic:spPr>
                    <a:xfrm>
                      <a:off x="0" y="0"/>
                      <a:ext cx="259079" cy="100753"/>
                    </a:xfrm>
                    <a:prstGeom prst="rect">
                      <a:avLst/>
                    </a:prstGeom>
                  </pic:spPr>
                </pic:pic>
              </a:graphicData>
            </a:graphic>
          </wp:anchor>
        </w:drawing>
      </w:r>
      <w:r>
        <w:t>Australia submits MOFCOM erred in conducting the second step of the Article 2.2.1 process by failing to consider whether the "below cost" sales provided for recoverability within a reasonable period of time.</w:t>
      </w:r>
    </w:p>
    <w:p w14:paraId="51DE8521" w14:textId="77777777" w:rsidR="0010369C" w:rsidRDefault="008E43AE">
      <w:pPr>
        <w:pStyle w:val="BodyText"/>
        <w:spacing w:before="160" w:line="360" w:lineRule="auto"/>
        <w:ind w:left="238" w:right="613" w:firstLine="850"/>
        <w:jc w:val="both"/>
      </w:pPr>
      <w:r>
        <w:rPr>
          <w:noProof/>
        </w:rPr>
        <w:drawing>
          <wp:anchor distT="0" distB="0" distL="0" distR="0" simplePos="0" relativeHeight="250926592" behindDoc="1" locked="0" layoutInCell="1" allowOverlap="1" wp14:anchorId="51DEA0C6" wp14:editId="51DEA0C7">
            <wp:simplePos x="0" y="0"/>
            <wp:positionH relativeFrom="page">
              <wp:posOffset>905255</wp:posOffset>
            </wp:positionH>
            <wp:positionV relativeFrom="paragraph">
              <wp:posOffset>150529</wp:posOffset>
            </wp:positionV>
            <wp:extent cx="259079" cy="100753"/>
            <wp:effectExtent l="0" t="0" r="0" b="0"/>
            <wp:wrapNone/>
            <wp:docPr id="525" name="image2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 name="image271.png"/>
                    <pic:cNvPicPr/>
                  </pic:nvPicPr>
                  <pic:blipFill>
                    <a:blip r:embed="rId373" cstate="print"/>
                    <a:stretch>
                      <a:fillRect/>
                    </a:stretch>
                  </pic:blipFill>
                  <pic:spPr>
                    <a:xfrm>
                      <a:off x="0" y="0"/>
                      <a:ext cx="259079" cy="100753"/>
                    </a:xfrm>
                    <a:prstGeom prst="rect">
                      <a:avLst/>
                    </a:prstGeom>
                  </pic:spPr>
                </pic:pic>
              </a:graphicData>
            </a:graphic>
          </wp:anchor>
        </w:drawing>
      </w:r>
      <w:r>
        <w:t>In</w:t>
      </w:r>
      <w:r>
        <w:rPr>
          <w:spacing w:val="-5"/>
        </w:rPr>
        <w:t xml:space="preserve"> </w:t>
      </w:r>
      <w:r>
        <w:t>accordance</w:t>
      </w:r>
      <w:r>
        <w:rPr>
          <w:spacing w:val="-6"/>
        </w:rPr>
        <w:t xml:space="preserve"> </w:t>
      </w:r>
      <w:r>
        <w:t>with</w:t>
      </w:r>
      <w:r>
        <w:rPr>
          <w:spacing w:val="-5"/>
        </w:rPr>
        <w:t xml:space="preserve"> </w:t>
      </w:r>
      <w:r>
        <w:t>Article</w:t>
      </w:r>
      <w:r>
        <w:rPr>
          <w:spacing w:val="-5"/>
        </w:rPr>
        <w:t xml:space="preserve"> </w:t>
      </w:r>
      <w:r>
        <w:t>2.2.1,</w:t>
      </w:r>
      <w:r>
        <w:rPr>
          <w:spacing w:val="-5"/>
        </w:rPr>
        <w:t xml:space="preserve"> </w:t>
      </w:r>
      <w:r>
        <w:t>it</w:t>
      </w:r>
      <w:r>
        <w:rPr>
          <w:spacing w:val="-6"/>
        </w:rPr>
        <w:t xml:space="preserve"> </w:t>
      </w:r>
      <w:r>
        <w:t>was</w:t>
      </w:r>
      <w:r>
        <w:rPr>
          <w:spacing w:val="-5"/>
        </w:rPr>
        <w:t xml:space="preserve"> </w:t>
      </w:r>
      <w:r>
        <w:t>not</w:t>
      </w:r>
      <w:r>
        <w:rPr>
          <w:spacing w:val="-6"/>
        </w:rPr>
        <w:t xml:space="preserve"> </w:t>
      </w:r>
      <w:r>
        <w:t>su</w:t>
      </w:r>
      <w:r>
        <w:t>fficient</w:t>
      </w:r>
      <w:r>
        <w:rPr>
          <w:spacing w:val="-5"/>
        </w:rPr>
        <w:t xml:space="preserve"> </w:t>
      </w:r>
      <w:r>
        <w:t>for</w:t>
      </w:r>
      <w:r>
        <w:rPr>
          <w:spacing w:val="-6"/>
        </w:rPr>
        <w:t xml:space="preserve"> </w:t>
      </w:r>
      <w:r>
        <w:t>MOFCOM</w:t>
      </w:r>
      <w:r>
        <w:rPr>
          <w:spacing w:val="-5"/>
        </w:rPr>
        <w:t xml:space="preserve"> </w:t>
      </w:r>
      <w:r>
        <w:t>to</w:t>
      </w:r>
      <w:r>
        <w:rPr>
          <w:spacing w:val="-6"/>
        </w:rPr>
        <w:t xml:space="preserve"> </w:t>
      </w:r>
      <w:r>
        <w:t>merely</w:t>
      </w:r>
      <w:r>
        <w:rPr>
          <w:spacing w:val="-5"/>
        </w:rPr>
        <w:t xml:space="preserve"> </w:t>
      </w:r>
      <w:r>
        <w:t>identify the</w:t>
      </w:r>
      <w:r>
        <w:rPr>
          <w:spacing w:val="-13"/>
        </w:rPr>
        <w:t xml:space="preserve"> </w:t>
      </w:r>
      <w:r>
        <w:t>"below</w:t>
      </w:r>
      <w:r>
        <w:rPr>
          <w:spacing w:val="-13"/>
        </w:rPr>
        <w:t xml:space="preserve"> </w:t>
      </w:r>
      <w:r>
        <w:t>cost"</w:t>
      </w:r>
      <w:r>
        <w:rPr>
          <w:spacing w:val="-12"/>
        </w:rPr>
        <w:t xml:space="preserve"> </w:t>
      </w:r>
      <w:r>
        <w:t>sales.</w:t>
      </w:r>
      <w:r>
        <w:rPr>
          <w:spacing w:val="-12"/>
        </w:rPr>
        <w:t xml:space="preserve"> </w:t>
      </w:r>
      <w:r>
        <w:t>MOFCOM</w:t>
      </w:r>
      <w:r>
        <w:rPr>
          <w:spacing w:val="-12"/>
        </w:rPr>
        <w:t xml:space="preserve"> </w:t>
      </w:r>
      <w:r>
        <w:t>was</w:t>
      </w:r>
      <w:r>
        <w:rPr>
          <w:spacing w:val="-13"/>
        </w:rPr>
        <w:t xml:space="preserve"> </w:t>
      </w:r>
      <w:r>
        <w:t>required</w:t>
      </w:r>
      <w:r>
        <w:rPr>
          <w:spacing w:val="-13"/>
        </w:rPr>
        <w:t xml:space="preserve"> </w:t>
      </w:r>
      <w:r>
        <w:t>to</w:t>
      </w:r>
      <w:r>
        <w:rPr>
          <w:spacing w:val="-14"/>
        </w:rPr>
        <w:t xml:space="preserve"> </w:t>
      </w:r>
      <w:r>
        <w:t>take</w:t>
      </w:r>
      <w:r>
        <w:rPr>
          <w:spacing w:val="-12"/>
        </w:rPr>
        <w:t xml:space="preserve"> </w:t>
      </w:r>
      <w:r>
        <w:t>a</w:t>
      </w:r>
      <w:r>
        <w:rPr>
          <w:spacing w:val="-12"/>
        </w:rPr>
        <w:t xml:space="preserve"> </w:t>
      </w:r>
      <w:r>
        <w:t>second</w:t>
      </w:r>
      <w:r>
        <w:rPr>
          <w:spacing w:val="-12"/>
        </w:rPr>
        <w:t xml:space="preserve"> </w:t>
      </w:r>
      <w:r>
        <w:t>necessary</w:t>
      </w:r>
      <w:r>
        <w:rPr>
          <w:spacing w:val="-12"/>
        </w:rPr>
        <w:t xml:space="preserve"> </w:t>
      </w:r>
      <w:r>
        <w:t>step</w:t>
      </w:r>
      <w:r>
        <w:rPr>
          <w:spacing w:val="-13"/>
        </w:rPr>
        <w:t xml:space="preserve"> </w:t>
      </w:r>
      <w:r>
        <w:t>and</w:t>
      </w:r>
      <w:r>
        <w:rPr>
          <w:spacing w:val="-12"/>
        </w:rPr>
        <w:t xml:space="preserve"> </w:t>
      </w:r>
      <w:r>
        <w:t>determine whether the below‐cost sales provided for the "recovery of costs within a reasonable period of</w:t>
      </w:r>
      <w:r>
        <w:rPr>
          <w:spacing w:val="-11"/>
        </w:rPr>
        <w:t xml:space="preserve"> </w:t>
      </w:r>
      <w:r>
        <w:t>time"</w:t>
      </w:r>
      <w:r>
        <w:rPr>
          <w:spacing w:val="-11"/>
        </w:rPr>
        <w:t xml:space="preserve"> </w:t>
      </w:r>
      <w:r>
        <w:t>before</w:t>
      </w:r>
      <w:r>
        <w:rPr>
          <w:spacing w:val="-10"/>
        </w:rPr>
        <w:t xml:space="preserve"> </w:t>
      </w:r>
      <w:r>
        <w:t>disregarding</w:t>
      </w:r>
      <w:r>
        <w:rPr>
          <w:spacing w:val="-10"/>
        </w:rPr>
        <w:t xml:space="preserve"> </w:t>
      </w:r>
      <w:r>
        <w:t>these</w:t>
      </w:r>
      <w:r>
        <w:rPr>
          <w:spacing w:val="-11"/>
        </w:rPr>
        <w:t xml:space="preserve"> </w:t>
      </w:r>
      <w:r>
        <w:t>sales.</w:t>
      </w:r>
      <w:r>
        <w:rPr>
          <w:spacing w:val="-10"/>
        </w:rPr>
        <w:t xml:space="preserve"> </w:t>
      </w:r>
      <w:r>
        <w:t>This</w:t>
      </w:r>
      <w:r>
        <w:rPr>
          <w:spacing w:val="-11"/>
        </w:rPr>
        <w:t xml:space="preserve"> </w:t>
      </w:r>
      <w:r>
        <w:t>required</w:t>
      </w:r>
      <w:r>
        <w:rPr>
          <w:spacing w:val="-12"/>
        </w:rPr>
        <w:t xml:space="preserve"> </w:t>
      </w:r>
      <w:r>
        <w:t>a</w:t>
      </w:r>
      <w:r>
        <w:rPr>
          <w:spacing w:val="-11"/>
        </w:rPr>
        <w:t xml:space="preserve"> </w:t>
      </w:r>
      <w:r>
        <w:t>consideration</w:t>
      </w:r>
      <w:r>
        <w:rPr>
          <w:spacing w:val="-13"/>
        </w:rPr>
        <w:t xml:space="preserve"> </w:t>
      </w:r>
      <w:r>
        <w:t>of</w:t>
      </w:r>
      <w:r>
        <w:rPr>
          <w:spacing w:val="-12"/>
        </w:rPr>
        <w:t xml:space="preserve"> </w:t>
      </w:r>
      <w:r>
        <w:t>whether</w:t>
      </w:r>
      <w:r>
        <w:rPr>
          <w:spacing w:val="-11"/>
        </w:rPr>
        <w:t xml:space="preserve"> </w:t>
      </w:r>
      <w:r>
        <w:t>the</w:t>
      </w:r>
      <w:r>
        <w:rPr>
          <w:spacing w:val="-10"/>
        </w:rPr>
        <w:t xml:space="preserve"> </w:t>
      </w:r>
      <w:r>
        <w:t>per</w:t>
      </w:r>
      <w:r>
        <w:rPr>
          <w:spacing w:val="-10"/>
        </w:rPr>
        <w:t xml:space="preserve"> </w:t>
      </w:r>
      <w:r>
        <w:t xml:space="preserve">unit costs at the time of sale were above the weighted average </w:t>
      </w:r>
      <w:r>
        <w:t xml:space="preserve">per unit costs for the period of </w:t>
      </w:r>
      <w:r>
        <w:rPr>
          <w:spacing w:val="-2"/>
        </w:rPr>
        <w:t>investigation.</w:t>
      </w:r>
    </w:p>
    <w:p w14:paraId="51DE8522" w14:textId="77777777" w:rsidR="0010369C" w:rsidRDefault="008E43AE">
      <w:pPr>
        <w:pStyle w:val="BodyText"/>
        <w:spacing w:before="159" w:line="360" w:lineRule="auto"/>
        <w:ind w:left="237" w:right="614" w:firstLine="851"/>
        <w:jc w:val="both"/>
      </w:pPr>
      <w:r>
        <w:rPr>
          <w:noProof/>
        </w:rPr>
        <w:drawing>
          <wp:anchor distT="0" distB="0" distL="0" distR="0" simplePos="0" relativeHeight="250927616" behindDoc="1" locked="0" layoutInCell="1" allowOverlap="1" wp14:anchorId="51DEA0C8" wp14:editId="51DEA0C9">
            <wp:simplePos x="0" y="0"/>
            <wp:positionH relativeFrom="page">
              <wp:posOffset>905255</wp:posOffset>
            </wp:positionH>
            <wp:positionV relativeFrom="paragraph">
              <wp:posOffset>148540</wp:posOffset>
            </wp:positionV>
            <wp:extent cx="259079" cy="103631"/>
            <wp:effectExtent l="0" t="0" r="0" b="0"/>
            <wp:wrapNone/>
            <wp:docPr id="527" name="image2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 name="image272.png"/>
                    <pic:cNvPicPr/>
                  </pic:nvPicPr>
                  <pic:blipFill>
                    <a:blip r:embed="rId374" cstate="print"/>
                    <a:stretch>
                      <a:fillRect/>
                    </a:stretch>
                  </pic:blipFill>
                  <pic:spPr>
                    <a:xfrm>
                      <a:off x="0" y="0"/>
                      <a:ext cx="259079" cy="103631"/>
                    </a:xfrm>
                    <a:prstGeom prst="rect">
                      <a:avLst/>
                    </a:prstGeom>
                  </pic:spPr>
                </pic:pic>
              </a:graphicData>
            </a:graphic>
          </wp:anchor>
        </w:drawing>
      </w:r>
      <w:r>
        <w:pict w14:anchorId="51DEA0CA">
          <v:rect id="docshape558" o:spid="_x0000_s1707" style="position:absolute;left:0;text-align:left;margin-left:429.15pt;margin-top:52.05pt;width:94.2pt;height:16.05pt;z-index:-251365888;mso-position-horizontal-relative:page;mso-position-vertical-relative:text" fillcolor="black" stroked="f">
            <w10:wrap anchorx="page"/>
          </v:rect>
        </w:pict>
      </w:r>
      <w:r>
        <w:t>On the basis of the available information, MOFCOM made no finding on the recoverability</w:t>
      </w:r>
      <w:r>
        <w:rPr>
          <w:spacing w:val="-9"/>
        </w:rPr>
        <w:t xml:space="preserve"> </w:t>
      </w:r>
      <w:r>
        <w:t>of</w:t>
      </w:r>
      <w:r>
        <w:rPr>
          <w:spacing w:val="-9"/>
        </w:rPr>
        <w:t xml:space="preserve"> </w:t>
      </w:r>
      <w:r>
        <w:t>costs</w:t>
      </w:r>
      <w:r>
        <w:rPr>
          <w:spacing w:val="-9"/>
        </w:rPr>
        <w:t xml:space="preserve"> </w:t>
      </w:r>
      <w:r>
        <w:t>for</w:t>
      </w:r>
      <w:r>
        <w:rPr>
          <w:spacing w:val="-8"/>
        </w:rPr>
        <w:t xml:space="preserve"> </w:t>
      </w:r>
      <w:r>
        <w:t>below</w:t>
      </w:r>
      <w:r>
        <w:rPr>
          <w:spacing w:val="-8"/>
        </w:rPr>
        <w:t xml:space="preserve"> </w:t>
      </w:r>
      <w:r>
        <w:t>cost</w:t>
      </w:r>
      <w:r>
        <w:rPr>
          <w:spacing w:val="-9"/>
        </w:rPr>
        <w:t xml:space="preserve"> </w:t>
      </w:r>
      <w:r>
        <w:t>sales</w:t>
      </w:r>
      <w:r>
        <w:rPr>
          <w:spacing w:val="-9"/>
        </w:rPr>
        <w:t xml:space="preserve"> </w:t>
      </w:r>
      <w:r>
        <w:t>within</w:t>
      </w:r>
      <w:r>
        <w:rPr>
          <w:spacing w:val="-9"/>
        </w:rPr>
        <w:t xml:space="preserve"> </w:t>
      </w:r>
      <w:r>
        <w:t>a</w:t>
      </w:r>
      <w:r>
        <w:rPr>
          <w:spacing w:val="-9"/>
        </w:rPr>
        <w:t xml:space="preserve"> </w:t>
      </w:r>
      <w:r>
        <w:t>reasonable</w:t>
      </w:r>
      <w:r>
        <w:rPr>
          <w:spacing w:val="-8"/>
        </w:rPr>
        <w:t xml:space="preserve"> </w:t>
      </w:r>
      <w:r>
        <w:t>period.</w:t>
      </w:r>
      <w:r>
        <w:rPr>
          <w:spacing w:val="-9"/>
        </w:rPr>
        <w:t xml:space="preserve"> </w:t>
      </w:r>
      <w:r>
        <w:t>There</w:t>
      </w:r>
      <w:r>
        <w:rPr>
          <w:spacing w:val="-8"/>
        </w:rPr>
        <w:t xml:space="preserve"> </w:t>
      </w:r>
      <w:r>
        <w:t>is</w:t>
      </w:r>
      <w:r>
        <w:rPr>
          <w:spacing w:val="-9"/>
        </w:rPr>
        <w:t xml:space="preserve"> </w:t>
      </w:r>
      <w:r>
        <w:t>nothing</w:t>
      </w:r>
      <w:r>
        <w:rPr>
          <w:spacing w:val="-8"/>
        </w:rPr>
        <w:t xml:space="preserve"> </w:t>
      </w:r>
      <w:r>
        <w:t>on</w:t>
      </w:r>
      <w:r>
        <w:rPr>
          <w:spacing w:val="-9"/>
        </w:rPr>
        <w:t xml:space="preserve"> </w:t>
      </w:r>
      <w:r>
        <w:t>the public</w:t>
      </w:r>
      <w:r>
        <w:rPr>
          <w:spacing w:val="80"/>
        </w:rPr>
        <w:t xml:space="preserve"> </w:t>
      </w:r>
      <w:r>
        <w:t>record,</w:t>
      </w:r>
      <w:r>
        <w:rPr>
          <w:spacing w:val="80"/>
        </w:rPr>
        <w:t xml:space="preserve"> </w:t>
      </w:r>
      <w:r>
        <w:t>including</w:t>
      </w:r>
      <w:r>
        <w:rPr>
          <w:spacing w:val="80"/>
        </w:rPr>
        <w:t xml:space="preserve"> </w:t>
      </w:r>
      <w:r>
        <w:t>the</w:t>
      </w:r>
      <w:r>
        <w:rPr>
          <w:spacing w:val="80"/>
        </w:rPr>
        <w:t xml:space="preserve"> </w:t>
      </w:r>
      <w:r>
        <w:t>Preliminary</w:t>
      </w:r>
      <w:r>
        <w:rPr>
          <w:spacing w:val="80"/>
        </w:rPr>
        <w:t xml:space="preserve"> </w:t>
      </w:r>
      <w:r>
        <w:t>and</w:t>
      </w:r>
      <w:r>
        <w:rPr>
          <w:spacing w:val="80"/>
        </w:rPr>
        <w:t xml:space="preserve"> </w:t>
      </w:r>
      <w:r>
        <w:t>Final</w:t>
      </w:r>
      <w:r>
        <w:rPr>
          <w:spacing w:val="80"/>
        </w:rPr>
        <w:t xml:space="preserve"> </w:t>
      </w:r>
      <w:r>
        <w:t>Determinations,</w:t>
      </w:r>
      <w:r>
        <w:rPr>
          <w:spacing w:val="80"/>
        </w:rPr>
        <w:t xml:space="preserve"> </w:t>
      </w:r>
      <w:r>
        <w:t>[[</w:t>
      </w:r>
    </w:p>
    <w:p w14:paraId="51DE8523" w14:textId="77777777" w:rsidR="0010369C" w:rsidRDefault="008E43AE">
      <w:pPr>
        <w:pStyle w:val="BodyText"/>
        <w:ind w:left="4571"/>
        <w:jc w:val="both"/>
      </w:pPr>
      <w:r>
        <w:pict w14:anchorId="51DEA0CB">
          <v:rect id="docshape559" o:spid="_x0000_s1706" style="position:absolute;left:0;text-align:left;margin-left:69.9pt;margin-top:.1pt;width:216.75pt;height:16.05pt;z-index:251801088;mso-position-horizontal-relative:page" fillcolor="black" stroked="f">
            <w10:wrap anchorx="page"/>
          </v:rect>
        </w:pict>
      </w:r>
      <w:r>
        <w:t>]],</w:t>
      </w:r>
      <w:r>
        <w:rPr>
          <w:spacing w:val="-3"/>
        </w:rPr>
        <w:t xml:space="preserve"> </w:t>
      </w:r>
      <w:r>
        <w:t>that</w:t>
      </w:r>
      <w:r>
        <w:rPr>
          <w:spacing w:val="-1"/>
        </w:rPr>
        <w:t xml:space="preserve"> </w:t>
      </w:r>
      <w:r>
        <w:t>indicates</w:t>
      </w:r>
      <w:r>
        <w:rPr>
          <w:spacing w:val="-1"/>
        </w:rPr>
        <w:t xml:space="preserve"> </w:t>
      </w:r>
      <w:r>
        <w:t>MOFCOM</w:t>
      </w:r>
      <w:r>
        <w:rPr>
          <w:spacing w:val="-1"/>
        </w:rPr>
        <w:t xml:space="preserve"> </w:t>
      </w:r>
      <w:r>
        <w:t>even</w:t>
      </w:r>
      <w:r>
        <w:rPr>
          <w:spacing w:val="-3"/>
        </w:rPr>
        <w:t xml:space="preserve"> </w:t>
      </w:r>
      <w:r>
        <w:t>turned</w:t>
      </w:r>
      <w:r>
        <w:rPr>
          <w:spacing w:val="-2"/>
        </w:rPr>
        <w:t xml:space="preserve"> </w:t>
      </w:r>
      <w:r>
        <w:t>its</w:t>
      </w:r>
      <w:r>
        <w:rPr>
          <w:spacing w:val="-3"/>
        </w:rPr>
        <w:t xml:space="preserve"> </w:t>
      </w:r>
      <w:r>
        <w:rPr>
          <w:spacing w:val="-4"/>
        </w:rPr>
        <w:t>mind</w:t>
      </w:r>
    </w:p>
    <w:p w14:paraId="51DE8524" w14:textId="77777777" w:rsidR="0010369C" w:rsidRDefault="008E43AE">
      <w:pPr>
        <w:pStyle w:val="BodyText"/>
        <w:spacing w:before="148"/>
        <w:ind w:left="237"/>
      </w:pPr>
      <w:r>
        <w:rPr>
          <w:noProof/>
        </w:rPr>
        <w:drawing>
          <wp:anchor distT="0" distB="0" distL="0" distR="0" simplePos="0" relativeHeight="250928640" behindDoc="1" locked="0" layoutInCell="1" allowOverlap="1" wp14:anchorId="51DEA0CC" wp14:editId="51DEA0CD">
            <wp:simplePos x="0" y="0"/>
            <wp:positionH relativeFrom="page">
              <wp:posOffset>905255</wp:posOffset>
            </wp:positionH>
            <wp:positionV relativeFrom="paragraph">
              <wp:posOffset>517983</wp:posOffset>
            </wp:positionV>
            <wp:extent cx="258154" cy="106299"/>
            <wp:effectExtent l="0" t="0" r="0" b="0"/>
            <wp:wrapNone/>
            <wp:docPr id="529" name="image2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 name="image273.png"/>
                    <pic:cNvPicPr/>
                  </pic:nvPicPr>
                  <pic:blipFill>
                    <a:blip r:embed="rId375" cstate="print"/>
                    <a:stretch>
                      <a:fillRect/>
                    </a:stretch>
                  </pic:blipFill>
                  <pic:spPr>
                    <a:xfrm>
                      <a:off x="0" y="0"/>
                      <a:ext cx="258154" cy="106299"/>
                    </a:xfrm>
                    <a:prstGeom prst="rect">
                      <a:avLst/>
                    </a:prstGeom>
                  </pic:spPr>
                </pic:pic>
              </a:graphicData>
            </a:graphic>
          </wp:anchor>
        </w:drawing>
      </w:r>
      <w:r>
        <w:t>to</w:t>
      </w:r>
      <w:r>
        <w:rPr>
          <w:spacing w:val="-3"/>
        </w:rPr>
        <w:t xml:space="preserve"> </w:t>
      </w:r>
      <w:r>
        <w:t>this</w:t>
      </w:r>
      <w:r>
        <w:rPr>
          <w:spacing w:val="-4"/>
        </w:rPr>
        <w:t xml:space="preserve"> </w:t>
      </w:r>
      <w:r>
        <w:rPr>
          <w:spacing w:val="-2"/>
        </w:rPr>
        <w:t>issue.</w:t>
      </w:r>
    </w:p>
    <w:p w14:paraId="51DE8525" w14:textId="77777777" w:rsidR="0010369C" w:rsidRDefault="0010369C">
      <w:pPr>
        <w:pStyle w:val="BodyText"/>
        <w:spacing w:before="3"/>
        <w:rPr>
          <w:sz w:val="25"/>
        </w:rPr>
      </w:pPr>
    </w:p>
    <w:tbl>
      <w:tblPr>
        <w:tblW w:w="0" w:type="auto"/>
        <w:tblInd w:w="225" w:type="dxa"/>
        <w:tblLayout w:type="fixed"/>
        <w:tblCellMar>
          <w:left w:w="0" w:type="dxa"/>
          <w:right w:w="0" w:type="dxa"/>
        </w:tblCellMar>
        <w:tblLook w:val="01E0" w:firstRow="1" w:lastRow="1" w:firstColumn="1" w:lastColumn="1" w:noHBand="0" w:noVBand="0"/>
      </w:tblPr>
      <w:tblGrid>
        <w:gridCol w:w="997"/>
        <w:gridCol w:w="1931"/>
        <w:gridCol w:w="2803"/>
        <w:gridCol w:w="3338"/>
      </w:tblGrid>
      <w:tr w:rsidR="0010369C" w14:paraId="51DE8528" w14:textId="77777777">
        <w:trPr>
          <w:trHeight w:val="320"/>
        </w:trPr>
        <w:tc>
          <w:tcPr>
            <w:tcW w:w="997" w:type="dxa"/>
            <w:tcBorders>
              <w:bottom w:val="single" w:sz="48" w:space="0" w:color="FFFFFF"/>
            </w:tcBorders>
          </w:tcPr>
          <w:p w14:paraId="51DE8526" w14:textId="77777777" w:rsidR="0010369C" w:rsidRDefault="008E43AE">
            <w:pPr>
              <w:pStyle w:val="TableParagraph"/>
              <w:spacing w:line="291" w:lineRule="exact"/>
              <w:ind w:right="-29"/>
              <w:jc w:val="right"/>
              <w:rPr>
                <w:sz w:val="24"/>
              </w:rPr>
            </w:pPr>
            <w:r>
              <w:rPr>
                <w:spacing w:val="-5"/>
                <w:sz w:val="24"/>
              </w:rPr>
              <w:t>[[</w:t>
            </w:r>
          </w:p>
        </w:tc>
        <w:tc>
          <w:tcPr>
            <w:tcW w:w="8072" w:type="dxa"/>
            <w:gridSpan w:val="3"/>
            <w:tcBorders>
              <w:bottom w:val="single" w:sz="48" w:space="0" w:color="FFFFFF"/>
            </w:tcBorders>
            <w:shd w:val="clear" w:color="auto" w:fill="000000"/>
          </w:tcPr>
          <w:p w14:paraId="51DE8527" w14:textId="77777777" w:rsidR="0010369C" w:rsidRDefault="0010369C">
            <w:pPr>
              <w:pStyle w:val="TableParagraph"/>
              <w:rPr>
                <w:rFonts w:ascii="Times New Roman"/>
              </w:rPr>
            </w:pPr>
          </w:p>
        </w:tc>
      </w:tr>
      <w:tr w:rsidR="0010369C" w14:paraId="51DE852B" w14:textId="77777777">
        <w:trPr>
          <w:trHeight w:val="319"/>
        </w:trPr>
        <w:tc>
          <w:tcPr>
            <w:tcW w:w="2928" w:type="dxa"/>
            <w:gridSpan w:val="2"/>
            <w:tcBorders>
              <w:top w:val="single" w:sz="48" w:space="0" w:color="FFFFFF"/>
              <w:bottom w:val="single" w:sz="48" w:space="0" w:color="FFFFFF"/>
              <w:right w:val="single" w:sz="48" w:space="0" w:color="FFFFFF"/>
            </w:tcBorders>
            <w:shd w:val="clear" w:color="auto" w:fill="000000"/>
          </w:tcPr>
          <w:p w14:paraId="51DE8529" w14:textId="77777777" w:rsidR="0010369C" w:rsidRDefault="0010369C">
            <w:pPr>
              <w:pStyle w:val="TableParagraph"/>
              <w:rPr>
                <w:rFonts w:ascii="Times New Roman"/>
              </w:rPr>
            </w:pPr>
          </w:p>
        </w:tc>
        <w:tc>
          <w:tcPr>
            <w:tcW w:w="6141" w:type="dxa"/>
            <w:gridSpan w:val="2"/>
            <w:tcBorders>
              <w:top w:val="single" w:sz="48" w:space="0" w:color="FFFFFF"/>
              <w:left w:val="single" w:sz="48" w:space="0" w:color="FFFFFF"/>
              <w:bottom w:val="single" w:sz="48" w:space="0" w:color="FFFFFF"/>
            </w:tcBorders>
            <w:shd w:val="clear" w:color="auto" w:fill="000000"/>
          </w:tcPr>
          <w:p w14:paraId="51DE852A" w14:textId="77777777" w:rsidR="0010369C" w:rsidRDefault="0010369C">
            <w:pPr>
              <w:pStyle w:val="TableParagraph"/>
              <w:rPr>
                <w:rFonts w:ascii="Times New Roman"/>
              </w:rPr>
            </w:pPr>
          </w:p>
        </w:tc>
      </w:tr>
      <w:tr w:rsidR="0010369C" w14:paraId="51DE852D" w14:textId="77777777">
        <w:trPr>
          <w:trHeight w:val="319"/>
        </w:trPr>
        <w:tc>
          <w:tcPr>
            <w:tcW w:w="9069" w:type="dxa"/>
            <w:gridSpan w:val="4"/>
            <w:tcBorders>
              <w:top w:val="single" w:sz="48" w:space="0" w:color="FFFFFF"/>
              <w:bottom w:val="single" w:sz="48" w:space="0" w:color="FFFFFF"/>
            </w:tcBorders>
            <w:shd w:val="clear" w:color="auto" w:fill="000000"/>
          </w:tcPr>
          <w:p w14:paraId="51DE852C" w14:textId="77777777" w:rsidR="0010369C" w:rsidRDefault="0010369C">
            <w:pPr>
              <w:pStyle w:val="TableParagraph"/>
              <w:rPr>
                <w:rFonts w:ascii="Times New Roman"/>
              </w:rPr>
            </w:pPr>
          </w:p>
        </w:tc>
      </w:tr>
      <w:tr w:rsidR="0010369C" w14:paraId="51DE852F" w14:textId="77777777">
        <w:trPr>
          <w:trHeight w:val="319"/>
        </w:trPr>
        <w:tc>
          <w:tcPr>
            <w:tcW w:w="9069" w:type="dxa"/>
            <w:gridSpan w:val="4"/>
            <w:tcBorders>
              <w:top w:val="single" w:sz="48" w:space="0" w:color="FFFFFF"/>
              <w:bottom w:val="single" w:sz="48" w:space="0" w:color="FFFFFF"/>
            </w:tcBorders>
            <w:shd w:val="clear" w:color="auto" w:fill="000000"/>
          </w:tcPr>
          <w:p w14:paraId="51DE852E" w14:textId="77777777" w:rsidR="0010369C" w:rsidRDefault="0010369C">
            <w:pPr>
              <w:pStyle w:val="TableParagraph"/>
              <w:rPr>
                <w:rFonts w:ascii="Times New Roman"/>
              </w:rPr>
            </w:pPr>
          </w:p>
        </w:tc>
      </w:tr>
      <w:tr w:rsidR="0010369C" w14:paraId="51DE8531" w14:textId="77777777">
        <w:trPr>
          <w:trHeight w:val="319"/>
        </w:trPr>
        <w:tc>
          <w:tcPr>
            <w:tcW w:w="9069" w:type="dxa"/>
            <w:gridSpan w:val="4"/>
            <w:tcBorders>
              <w:top w:val="single" w:sz="48" w:space="0" w:color="FFFFFF"/>
              <w:bottom w:val="single" w:sz="48" w:space="0" w:color="FFFFFF"/>
            </w:tcBorders>
            <w:shd w:val="clear" w:color="auto" w:fill="000000"/>
          </w:tcPr>
          <w:p w14:paraId="51DE8530" w14:textId="77777777" w:rsidR="0010369C" w:rsidRDefault="0010369C">
            <w:pPr>
              <w:pStyle w:val="TableParagraph"/>
              <w:rPr>
                <w:rFonts w:ascii="Times New Roman"/>
              </w:rPr>
            </w:pPr>
          </w:p>
        </w:tc>
      </w:tr>
      <w:tr w:rsidR="0010369C" w14:paraId="51DE8533" w14:textId="77777777">
        <w:trPr>
          <w:trHeight w:val="319"/>
        </w:trPr>
        <w:tc>
          <w:tcPr>
            <w:tcW w:w="9069" w:type="dxa"/>
            <w:gridSpan w:val="4"/>
            <w:tcBorders>
              <w:top w:val="single" w:sz="48" w:space="0" w:color="FFFFFF"/>
              <w:bottom w:val="single" w:sz="48" w:space="0" w:color="FFFFFF"/>
            </w:tcBorders>
            <w:shd w:val="clear" w:color="auto" w:fill="000000"/>
          </w:tcPr>
          <w:p w14:paraId="51DE8532" w14:textId="77777777" w:rsidR="0010369C" w:rsidRDefault="0010369C">
            <w:pPr>
              <w:pStyle w:val="TableParagraph"/>
              <w:rPr>
                <w:rFonts w:ascii="Times New Roman"/>
              </w:rPr>
            </w:pPr>
          </w:p>
        </w:tc>
      </w:tr>
      <w:tr w:rsidR="0010369C" w14:paraId="51DE8535" w14:textId="77777777">
        <w:trPr>
          <w:trHeight w:val="319"/>
        </w:trPr>
        <w:tc>
          <w:tcPr>
            <w:tcW w:w="9069" w:type="dxa"/>
            <w:gridSpan w:val="4"/>
            <w:tcBorders>
              <w:top w:val="single" w:sz="48" w:space="0" w:color="FFFFFF"/>
              <w:bottom w:val="single" w:sz="48" w:space="0" w:color="FFFFFF"/>
            </w:tcBorders>
            <w:shd w:val="clear" w:color="auto" w:fill="000000"/>
          </w:tcPr>
          <w:p w14:paraId="51DE8534" w14:textId="77777777" w:rsidR="0010369C" w:rsidRDefault="0010369C">
            <w:pPr>
              <w:pStyle w:val="TableParagraph"/>
              <w:rPr>
                <w:rFonts w:ascii="Times New Roman"/>
              </w:rPr>
            </w:pPr>
          </w:p>
        </w:tc>
      </w:tr>
      <w:tr w:rsidR="0010369C" w14:paraId="51DE8538" w14:textId="77777777">
        <w:trPr>
          <w:trHeight w:val="320"/>
        </w:trPr>
        <w:tc>
          <w:tcPr>
            <w:tcW w:w="5731" w:type="dxa"/>
            <w:gridSpan w:val="3"/>
            <w:tcBorders>
              <w:top w:val="single" w:sz="48" w:space="0" w:color="FFFFFF"/>
            </w:tcBorders>
            <w:shd w:val="clear" w:color="auto" w:fill="000000"/>
          </w:tcPr>
          <w:p w14:paraId="51DE8536" w14:textId="77777777" w:rsidR="0010369C" w:rsidRDefault="0010369C">
            <w:pPr>
              <w:pStyle w:val="TableParagraph"/>
              <w:rPr>
                <w:rFonts w:ascii="Times New Roman"/>
              </w:rPr>
            </w:pPr>
          </w:p>
        </w:tc>
        <w:tc>
          <w:tcPr>
            <w:tcW w:w="3338" w:type="dxa"/>
            <w:tcBorders>
              <w:top w:val="single" w:sz="48" w:space="0" w:color="FFFFFF"/>
            </w:tcBorders>
          </w:tcPr>
          <w:p w14:paraId="51DE8537" w14:textId="77777777" w:rsidR="0010369C" w:rsidRDefault="008E43AE">
            <w:pPr>
              <w:pStyle w:val="TableParagraph"/>
              <w:spacing w:line="290" w:lineRule="exact"/>
              <w:ind w:left="21"/>
              <w:rPr>
                <w:sz w:val="24"/>
              </w:rPr>
            </w:pPr>
            <w:r>
              <w:rPr>
                <w:color w:val="5E5E5E"/>
                <w:spacing w:val="-5"/>
                <w:sz w:val="24"/>
              </w:rPr>
              <w:t>.</w:t>
            </w:r>
            <w:r>
              <w:rPr>
                <w:spacing w:val="-5"/>
                <w:sz w:val="24"/>
              </w:rPr>
              <w:t>]]</w:t>
            </w:r>
          </w:p>
        </w:tc>
      </w:tr>
    </w:tbl>
    <w:p w14:paraId="51DE8539" w14:textId="77777777" w:rsidR="0010369C" w:rsidRDefault="0010369C">
      <w:pPr>
        <w:pStyle w:val="BodyText"/>
        <w:spacing w:before="10"/>
        <w:rPr>
          <w:sz w:val="22"/>
        </w:rPr>
      </w:pPr>
    </w:p>
    <w:p w14:paraId="51DE853A" w14:textId="77777777" w:rsidR="0010369C" w:rsidRDefault="008E43AE">
      <w:pPr>
        <w:pStyle w:val="BodyText"/>
        <w:spacing w:line="360" w:lineRule="auto"/>
        <w:ind w:left="238" w:right="611" w:firstLine="850"/>
      </w:pPr>
      <w:r>
        <w:rPr>
          <w:noProof/>
        </w:rPr>
        <w:drawing>
          <wp:anchor distT="0" distB="0" distL="0" distR="0" simplePos="0" relativeHeight="250929664" behindDoc="1" locked="0" layoutInCell="1" allowOverlap="1" wp14:anchorId="51DEA0CE" wp14:editId="51DEA0CF">
            <wp:simplePos x="0" y="0"/>
            <wp:positionH relativeFrom="page">
              <wp:posOffset>905255</wp:posOffset>
            </wp:positionH>
            <wp:positionV relativeFrom="paragraph">
              <wp:posOffset>47575</wp:posOffset>
            </wp:positionV>
            <wp:extent cx="259079" cy="103631"/>
            <wp:effectExtent l="0" t="0" r="0" b="0"/>
            <wp:wrapNone/>
            <wp:docPr id="531" name="image2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 name="image274.png"/>
                    <pic:cNvPicPr/>
                  </pic:nvPicPr>
                  <pic:blipFill>
                    <a:blip r:embed="rId376" cstate="print"/>
                    <a:stretch>
                      <a:fillRect/>
                    </a:stretch>
                  </pic:blipFill>
                  <pic:spPr>
                    <a:xfrm>
                      <a:off x="0" y="0"/>
                      <a:ext cx="259079" cy="103631"/>
                    </a:xfrm>
                    <a:prstGeom prst="rect">
                      <a:avLst/>
                    </a:prstGeom>
                  </pic:spPr>
                </pic:pic>
              </a:graphicData>
            </a:graphic>
          </wp:anchor>
        </w:drawing>
      </w:r>
      <w:r>
        <w:t>Australia</w:t>
      </w:r>
      <w:r>
        <w:rPr>
          <w:spacing w:val="-3"/>
        </w:rPr>
        <w:t xml:space="preserve"> </w:t>
      </w:r>
      <w:r>
        <w:t>submits</w:t>
      </w:r>
      <w:r>
        <w:rPr>
          <w:spacing w:val="-3"/>
        </w:rPr>
        <w:t xml:space="preserve"> </w:t>
      </w:r>
      <w:r>
        <w:t>that,</w:t>
      </w:r>
      <w:r>
        <w:rPr>
          <w:spacing w:val="-1"/>
        </w:rPr>
        <w:t xml:space="preserve"> </w:t>
      </w:r>
      <w:r>
        <w:t>on</w:t>
      </w:r>
      <w:r>
        <w:rPr>
          <w:spacing w:val="-3"/>
        </w:rPr>
        <w:t xml:space="preserve"> </w:t>
      </w:r>
      <w:r>
        <w:t>the</w:t>
      </w:r>
      <w:r>
        <w:rPr>
          <w:spacing w:val="-2"/>
        </w:rPr>
        <w:t xml:space="preserve"> </w:t>
      </w:r>
      <w:r>
        <w:t>basis</w:t>
      </w:r>
      <w:r>
        <w:rPr>
          <w:spacing w:val="-1"/>
        </w:rPr>
        <w:t xml:space="preserve"> </w:t>
      </w:r>
      <w:r>
        <w:t>of</w:t>
      </w:r>
      <w:r>
        <w:rPr>
          <w:spacing w:val="-3"/>
        </w:rPr>
        <w:t xml:space="preserve"> </w:t>
      </w:r>
      <w:r>
        <w:t>the</w:t>
      </w:r>
      <w:r>
        <w:rPr>
          <w:spacing w:val="-2"/>
        </w:rPr>
        <w:t xml:space="preserve"> </w:t>
      </w:r>
      <w:r>
        <w:t>above</w:t>
      </w:r>
      <w:r>
        <w:rPr>
          <w:spacing w:val="-2"/>
        </w:rPr>
        <w:t xml:space="preserve"> </w:t>
      </w:r>
      <w:r>
        <w:t>errors,</w:t>
      </w:r>
      <w:r>
        <w:rPr>
          <w:spacing w:val="-3"/>
        </w:rPr>
        <w:t xml:space="preserve"> </w:t>
      </w:r>
      <w:r>
        <w:t>MOFCOM</w:t>
      </w:r>
      <w:r>
        <w:rPr>
          <w:spacing w:val="-2"/>
        </w:rPr>
        <w:t xml:space="preserve"> </w:t>
      </w:r>
      <w:r>
        <w:t>failed</w:t>
      </w:r>
      <w:r>
        <w:rPr>
          <w:spacing w:val="-3"/>
        </w:rPr>
        <w:t xml:space="preserve"> </w:t>
      </w:r>
      <w:r>
        <w:t>to</w:t>
      </w:r>
      <w:r>
        <w:rPr>
          <w:spacing w:val="-2"/>
        </w:rPr>
        <w:t xml:space="preserve"> </w:t>
      </w:r>
      <w:r>
        <w:t>establish that</w:t>
      </w:r>
      <w:r>
        <w:rPr>
          <w:spacing w:val="18"/>
        </w:rPr>
        <w:t xml:space="preserve"> </w:t>
      </w:r>
      <w:r>
        <w:t>the</w:t>
      </w:r>
      <w:r>
        <w:rPr>
          <w:spacing w:val="19"/>
        </w:rPr>
        <w:t xml:space="preserve"> </w:t>
      </w:r>
      <w:r>
        <w:t>conditions</w:t>
      </w:r>
      <w:r>
        <w:rPr>
          <w:spacing w:val="18"/>
        </w:rPr>
        <w:t xml:space="preserve"> </w:t>
      </w:r>
      <w:r>
        <w:t>set</w:t>
      </w:r>
      <w:r>
        <w:rPr>
          <w:spacing w:val="19"/>
        </w:rPr>
        <w:t xml:space="preserve"> </w:t>
      </w:r>
      <w:r>
        <w:t>out</w:t>
      </w:r>
      <w:r>
        <w:rPr>
          <w:spacing w:val="19"/>
        </w:rPr>
        <w:t xml:space="preserve"> </w:t>
      </w:r>
      <w:r>
        <w:t>in</w:t>
      </w:r>
      <w:r>
        <w:rPr>
          <w:spacing w:val="18"/>
        </w:rPr>
        <w:t xml:space="preserve"> </w:t>
      </w:r>
      <w:r>
        <w:t>Article</w:t>
      </w:r>
      <w:r>
        <w:rPr>
          <w:spacing w:val="18"/>
        </w:rPr>
        <w:t xml:space="preserve"> </w:t>
      </w:r>
      <w:r>
        <w:t>2.2</w:t>
      </w:r>
      <w:r>
        <w:rPr>
          <w:spacing w:val="19"/>
        </w:rPr>
        <w:t xml:space="preserve"> </w:t>
      </w:r>
      <w:r>
        <w:t>for</w:t>
      </w:r>
      <w:r>
        <w:rPr>
          <w:spacing w:val="19"/>
        </w:rPr>
        <w:t xml:space="preserve"> </w:t>
      </w:r>
      <w:r>
        <w:t>resorting</w:t>
      </w:r>
      <w:r>
        <w:rPr>
          <w:spacing w:val="18"/>
        </w:rPr>
        <w:t xml:space="preserve"> </w:t>
      </w:r>
      <w:r>
        <w:t>to</w:t>
      </w:r>
      <w:r>
        <w:rPr>
          <w:spacing w:val="19"/>
        </w:rPr>
        <w:t xml:space="preserve"> </w:t>
      </w:r>
      <w:r>
        <w:t>a</w:t>
      </w:r>
      <w:r>
        <w:rPr>
          <w:spacing w:val="18"/>
        </w:rPr>
        <w:t xml:space="preserve"> </w:t>
      </w:r>
      <w:r>
        <w:t>constructed</w:t>
      </w:r>
      <w:r>
        <w:rPr>
          <w:spacing w:val="18"/>
        </w:rPr>
        <w:t xml:space="preserve"> </w:t>
      </w:r>
      <w:r>
        <w:t>normal</w:t>
      </w:r>
      <w:r>
        <w:rPr>
          <w:spacing w:val="19"/>
        </w:rPr>
        <w:t xml:space="preserve"> </w:t>
      </w:r>
      <w:r>
        <w:t>value</w:t>
      </w:r>
      <w:r>
        <w:rPr>
          <w:spacing w:val="19"/>
        </w:rPr>
        <w:t xml:space="preserve"> </w:t>
      </w:r>
      <w:r>
        <w:t>as</w:t>
      </w:r>
      <w:r>
        <w:rPr>
          <w:spacing w:val="19"/>
        </w:rPr>
        <w:t xml:space="preserve"> </w:t>
      </w:r>
      <w:r>
        <w:rPr>
          <w:spacing w:val="-5"/>
        </w:rPr>
        <w:t>an</w:t>
      </w:r>
    </w:p>
    <w:p w14:paraId="51DE853B" w14:textId="77777777" w:rsidR="0010369C" w:rsidRDefault="008E43AE">
      <w:pPr>
        <w:pStyle w:val="BodyText"/>
        <w:spacing w:before="5"/>
        <w:rPr>
          <w:sz w:val="25"/>
        </w:rPr>
      </w:pPr>
      <w:r>
        <w:pict w14:anchorId="51DEA0D0">
          <v:rect id="docshape560" o:spid="_x0000_s1705" style="position:absolute;margin-left:70.9pt;margin-top:16.7pt;width:2in;height:.8pt;z-index:-251014656;mso-wrap-distance-left:0;mso-wrap-distance-right:0;mso-position-horizontal-relative:page" fillcolor="black" stroked="f">
            <w10:wrap type="topAndBottom" anchorx="page"/>
          </v:rect>
        </w:pict>
      </w:r>
      <w:r>
        <w:pict w14:anchorId="51DEA0D1">
          <v:group id="docshapegroup561" o:spid="_x0000_s1701" style="position:absolute;margin-left:69.9pt;margin-top:23.25pt;width:453.5pt;height:23.05pt;z-index:-251013632;mso-wrap-distance-left:0;mso-wrap-distance-right:0;mso-position-horizontal-relative:page" coordorigin="1398,465" coordsize="9070,461">
            <v:shape id="docshape562" o:spid="_x0000_s1704" style="position:absolute;left:1398;top:465;width:9070;height:461" coordorigin="1398,465" coordsize="9070,461" o:spt="100" adj="0,,0" path="m1724,685r-326,l1398,926r326,l1724,685xm10468,465r-8726,l1742,706r8726,l10468,465xe" fillcolor="black" stroked="f">
              <v:stroke joinstyle="round"/>
              <v:formulas/>
              <v:path arrowok="t" o:connecttype="segments"/>
            </v:shape>
            <v:shape id="docshape563" o:spid="_x0000_s1703" type="#_x0000_t202" style="position:absolute;left:1418;top:480;width:364;height:195" filled="f" stroked="f">
              <v:textbox inset="0,0,0,0">
                <w:txbxContent>
                  <w:p w14:paraId="51DEAC50" w14:textId="77777777" w:rsidR="0010369C" w:rsidRDefault="008E43AE">
                    <w:pPr>
                      <w:spacing w:before="28" w:line="124" w:lineRule="auto"/>
                      <w:rPr>
                        <w:sz w:val="18"/>
                      </w:rPr>
                    </w:pPr>
                    <w:r>
                      <w:rPr>
                        <w:sz w:val="12"/>
                      </w:rPr>
                      <w:t>286</w:t>
                    </w:r>
                    <w:r>
                      <w:rPr>
                        <w:spacing w:val="20"/>
                        <w:sz w:val="12"/>
                      </w:rPr>
                      <w:t xml:space="preserve"> </w:t>
                    </w:r>
                    <w:r>
                      <w:rPr>
                        <w:color w:val="5E5E5E"/>
                        <w:spacing w:val="-5"/>
                        <w:position w:val="-5"/>
                        <w:sz w:val="18"/>
                      </w:rPr>
                      <w:t>[[</w:t>
                    </w:r>
                  </w:p>
                </w:txbxContent>
              </v:textbox>
            </v:shape>
            <v:shape id="docshape564" o:spid="_x0000_s1702" type="#_x0000_t202" style="position:absolute;left:1799;top:714;width:76;height:180" filled="f" stroked="f">
              <v:textbox inset="0,0,0,0">
                <w:txbxContent>
                  <w:p w14:paraId="51DEAC51" w14:textId="77777777" w:rsidR="0010369C" w:rsidRDefault="008E43AE">
                    <w:pPr>
                      <w:spacing w:line="180" w:lineRule="exact"/>
                      <w:rPr>
                        <w:sz w:val="18"/>
                      </w:rPr>
                    </w:pPr>
                    <w:r>
                      <w:rPr>
                        <w:color w:val="5E5E5E"/>
                        <w:w w:val="99"/>
                        <w:sz w:val="18"/>
                      </w:rPr>
                      <w:t>]</w:t>
                    </w:r>
                  </w:p>
                </w:txbxContent>
              </v:textbox>
            </v:shape>
            <w10:wrap type="topAndBottom" anchorx="page"/>
          </v:group>
        </w:pict>
      </w:r>
    </w:p>
    <w:p w14:paraId="51DE853C" w14:textId="77777777" w:rsidR="0010369C" w:rsidRDefault="0010369C">
      <w:pPr>
        <w:pStyle w:val="BodyText"/>
        <w:spacing w:before="6"/>
        <w:rPr>
          <w:sz w:val="7"/>
        </w:rPr>
      </w:pPr>
    </w:p>
    <w:p w14:paraId="51DE853D" w14:textId="77777777" w:rsidR="0010369C" w:rsidRDefault="0010369C">
      <w:pPr>
        <w:rPr>
          <w:sz w:val="7"/>
        </w:rPr>
        <w:sectPr w:rsidR="0010369C">
          <w:headerReference w:type="default" r:id="rId377"/>
          <w:footerReference w:type="default" r:id="rId378"/>
          <w:pgSz w:w="11910" w:h="16840"/>
          <w:pgMar w:top="560" w:right="800" w:bottom="980" w:left="1180" w:header="0" w:footer="788" w:gutter="0"/>
          <w:cols w:space="720"/>
        </w:sectPr>
      </w:pPr>
    </w:p>
    <w:p w14:paraId="51DE853E" w14:textId="77777777" w:rsidR="0010369C" w:rsidRDefault="008E43AE">
      <w:pPr>
        <w:tabs>
          <w:tab w:val="left" w:pos="6425"/>
        </w:tabs>
        <w:ind w:left="238"/>
        <w:jc w:val="both"/>
        <w:rPr>
          <w:sz w:val="20"/>
        </w:rPr>
      </w:pPr>
      <w:r>
        <w:rPr>
          <w:i/>
          <w:sz w:val="20"/>
        </w:rPr>
        <w:lastRenderedPageBreak/>
        <w:t>China</w:t>
      </w:r>
      <w:r>
        <w:rPr>
          <w:i/>
          <w:spacing w:val="-5"/>
          <w:sz w:val="20"/>
        </w:rPr>
        <w:t xml:space="preserve"> </w:t>
      </w:r>
      <w:r>
        <w:rPr>
          <w:i/>
          <w:sz w:val="20"/>
        </w:rPr>
        <w:t>–</w:t>
      </w:r>
      <w:r>
        <w:rPr>
          <w:i/>
          <w:spacing w:val="-5"/>
          <w:sz w:val="20"/>
        </w:rPr>
        <w:t xml:space="preserve"> </w:t>
      </w:r>
      <w:r>
        <w:rPr>
          <w:i/>
          <w:sz w:val="20"/>
        </w:rPr>
        <w:t>Anti‐Dumping</w:t>
      </w:r>
      <w:r>
        <w:rPr>
          <w:i/>
          <w:spacing w:val="-4"/>
          <w:sz w:val="20"/>
        </w:rPr>
        <w:t xml:space="preserve"> </w:t>
      </w:r>
      <w:r>
        <w:rPr>
          <w:i/>
          <w:sz w:val="20"/>
        </w:rPr>
        <w:t>and</w:t>
      </w:r>
      <w:r>
        <w:rPr>
          <w:i/>
          <w:spacing w:val="-5"/>
          <w:sz w:val="20"/>
        </w:rPr>
        <w:t xml:space="preserve"> </w:t>
      </w:r>
      <w:r>
        <w:rPr>
          <w:i/>
          <w:sz w:val="20"/>
        </w:rPr>
        <w:t>Countervailing</w:t>
      </w:r>
      <w:r>
        <w:rPr>
          <w:i/>
          <w:spacing w:val="-5"/>
          <w:sz w:val="20"/>
        </w:rPr>
        <w:t xml:space="preserve"> </w:t>
      </w:r>
      <w:r>
        <w:rPr>
          <w:i/>
          <w:sz w:val="20"/>
        </w:rPr>
        <w:t>Duty</w:t>
      </w:r>
      <w:r>
        <w:rPr>
          <w:i/>
          <w:spacing w:val="-4"/>
          <w:sz w:val="20"/>
        </w:rPr>
        <w:t xml:space="preserve"> </w:t>
      </w:r>
      <w:r>
        <w:rPr>
          <w:i/>
          <w:spacing w:val="-2"/>
          <w:sz w:val="20"/>
        </w:rPr>
        <w:t>Measures</w:t>
      </w:r>
      <w:r>
        <w:rPr>
          <w:i/>
          <w:sz w:val="20"/>
        </w:rPr>
        <w:tab/>
      </w:r>
      <w:r>
        <w:rPr>
          <w:sz w:val="20"/>
        </w:rPr>
        <w:t>Australia's</w:t>
      </w:r>
      <w:r>
        <w:rPr>
          <w:spacing w:val="-7"/>
          <w:sz w:val="20"/>
        </w:rPr>
        <w:t xml:space="preserve"> </w:t>
      </w:r>
      <w:r>
        <w:rPr>
          <w:sz w:val="20"/>
        </w:rPr>
        <w:t>First</w:t>
      </w:r>
      <w:r>
        <w:rPr>
          <w:spacing w:val="-2"/>
          <w:sz w:val="20"/>
        </w:rPr>
        <w:t xml:space="preserve"> </w:t>
      </w:r>
      <w:r>
        <w:rPr>
          <w:sz w:val="20"/>
        </w:rPr>
        <w:t>Written</w:t>
      </w:r>
      <w:r>
        <w:rPr>
          <w:spacing w:val="-2"/>
          <w:sz w:val="20"/>
        </w:rPr>
        <w:t xml:space="preserve"> Submission</w:t>
      </w:r>
    </w:p>
    <w:p w14:paraId="51DE853F" w14:textId="77777777" w:rsidR="0010369C" w:rsidRDefault="008E43AE">
      <w:pPr>
        <w:tabs>
          <w:tab w:val="left" w:pos="8227"/>
        </w:tabs>
        <w:spacing w:before="1"/>
        <w:ind w:left="239"/>
        <w:jc w:val="both"/>
        <w:rPr>
          <w:sz w:val="20"/>
        </w:rPr>
      </w:pPr>
      <w:r>
        <w:rPr>
          <w:i/>
          <w:sz w:val="20"/>
        </w:rPr>
        <w:t>on</w:t>
      </w:r>
      <w:r>
        <w:rPr>
          <w:i/>
          <w:spacing w:val="-1"/>
          <w:sz w:val="20"/>
        </w:rPr>
        <w:t xml:space="preserve"> </w:t>
      </w:r>
      <w:r>
        <w:rPr>
          <w:i/>
          <w:sz w:val="20"/>
        </w:rPr>
        <w:t>Wine</w:t>
      </w:r>
      <w:r>
        <w:rPr>
          <w:i/>
          <w:spacing w:val="-1"/>
          <w:sz w:val="20"/>
        </w:rPr>
        <w:t xml:space="preserve"> </w:t>
      </w:r>
      <w:r>
        <w:rPr>
          <w:i/>
          <w:sz w:val="20"/>
        </w:rPr>
        <w:t>from</w:t>
      </w:r>
      <w:r>
        <w:rPr>
          <w:i/>
          <w:spacing w:val="-3"/>
          <w:sz w:val="20"/>
        </w:rPr>
        <w:t xml:space="preserve"> </w:t>
      </w:r>
      <w:r>
        <w:rPr>
          <w:i/>
          <w:sz w:val="20"/>
        </w:rPr>
        <w:t>Australia</w:t>
      </w:r>
      <w:r>
        <w:rPr>
          <w:i/>
          <w:spacing w:val="-1"/>
          <w:sz w:val="20"/>
        </w:rPr>
        <w:t xml:space="preserve"> </w:t>
      </w:r>
      <w:r>
        <w:rPr>
          <w:spacing w:val="-2"/>
          <w:sz w:val="20"/>
        </w:rPr>
        <w:t>(DS602)</w:t>
      </w:r>
      <w:r>
        <w:rPr>
          <w:sz w:val="20"/>
        </w:rPr>
        <w:tab/>
        <w:t>29</w:t>
      </w:r>
      <w:r>
        <w:rPr>
          <w:spacing w:val="-1"/>
          <w:sz w:val="20"/>
        </w:rPr>
        <w:t xml:space="preserve"> </w:t>
      </w:r>
      <w:r>
        <w:rPr>
          <w:sz w:val="20"/>
        </w:rPr>
        <w:t>April</w:t>
      </w:r>
      <w:r>
        <w:rPr>
          <w:spacing w:val="-2"/>
          <w:sz w:val="20"/>
        </w:rPr>
        <w:t xml:space="preserve"> </w:t>
      </w:r>
      <w:r>
        <w:rPr>
          <w:spacing w:val="-4"/>
          <w:sz w:val="20"/>
        </w:rPr>
        <w:t>2022</w:t>
      </w:r>
    </w:p>
    <w:p w14:paraId="51DE8540" w14:textId="77777777" w:rsidR="0010369C" w:rsidRDefault="008E43AE">
      <w:pPr>
        <w:pStyle w:val="BodyText"/>
        <w:spacing w:before="34" w:line="360" w:lineRule="auto"/>
        <w:ind w:left="237" w:right="614" w:firstLine="1"/>
        <w:jc w:val="both"/>
      </w:pPr>
      <w:r>
        <w:t>alternative method to calculate normal value were met. Accordingly, it was required to calculate normal value in accordance with the definitional requirements in Article 2.1. MOFCOM</w:t>
      </w:r>
      <w:r>
        <w:rPr>
          <w:spacing w:val="-12"/>
        </w:rPr>
        <w:t xml:space="preserve"> </w:t>
      </w:r>
      <w:r>
        <w:t>failed</w:t>
      </w:r>
      <w:r>
        <w:rPr>
          <w:spacing w:val="-12"/>
        </w:rPr>
        <w:t xml:space="preserve"> </w:t>
      </w:r>
      <w:r>
        <w:t>to</w:t>
      </w:r>
      <w:r>
        <w:rPr>
          <w:spacing w:val="-12"/>
        </w:rPr>
        <w:t xml:space="preserve"> </w:t>
      </w:r>
      <w:r>
        <w:t>do</w:t>
      </w:r>
      <w:r>
        <w:rPr>
          <w:spacing w:val="-12"/>
        </w:rPr>
        <w:t xml:space="preserve"> </w:t>
      </w:r>
      <w:r>
        <w:t>so</w:t>
      </w:r>
      <w:r>
        <w:rPr>
          <w:spacing w:val="-11"/>
        </w:rPr>
        <w:t xml:space="preserve"> </w:t>
      </w:r>
      <w:r>
        <w:t>and</w:t>
      </w:r>
      <w:r>
        <w:rPr>
          <w:spacing w:val="-12"/>
        </w:rPr>
        <w:t xml:space="preserve"> </w:t>
      </w:r>
      <w:r>
        <w:t>thereby</w:t>
      </w:r>
      <w:r>
        <w:rPr>
          <w:spacing w:val="-12"/>
        </w:rPr>
        <w:t xml:space="preserve"> </w:t>
      </w:r>
      <w:r>
        <w:t>acted</w:t>
      </w:r>
      <w:r>
        <w:rPr>
          <w:spacing w:val="-12"/>
        </w:rPr>
        <w:t xml:space="preserve"> </w:t>
      </w:r>
      <w:r>
        <w:t>inconsistently</w:t>
      </w:r>
      <w:r>
        <w:rPr>
          <w:spacing w:val="-10"/>
        </w:rPr>
        <w:t xml:space="preserve"> </w:t>
      </w:r>
      <w:r>
        <w:t>with</w:t>
      </w:r>
      <w:r>
        <w:rPr>
          <w:spacing w:val="-12"/>
        </w:rPr>
        <w:t xml:space="preserve"> </w:t>
      </w:r>
      <w:r>
        <w:t>Articles</w:t>
      </w:r>
      <w:r>
        <w:rPr>
          <w:spacing w:val="-14"/>
        </w:rPr>
        <w:t xml:space="preserve"> </w:t>
      </w:r>
      <w:r>
        <w:t>2.1</w:t>
      </w:r>
      <w:r>
        <w:rPr>
          <w:spacing w:val="-11"/>
        </w:rPr>
        <w:t xml:space="preserve"> </w:t>
      </w:r>
      <w:r>
        <w:t>and</w:t>
      </w:r>
      <w:r>
        <w:rPr>
          <w:spacing w:val="-12"/>
        </w:rPr>
        <w:t xml:space="preserve"> </w:t>
      </w:r>
      <w:r>
        <w:t>2.2</w:t>
      </w:r>
      <w:r>
        <w:rPr>
          <w:spacing w:val="-13"/>
        </w:rPr>
        <w:t xml:space="preserve"> </w:t>
      </w:r>
      <w:r>
        <w:t>of</w:t>
      </w:r>
      <w:r>
        <w:rPr>
          <w:spacing w:val="-11"/>
        </w:rPr>
        <w:t xml:space="preserve"> </w:t>
      </w:r>
      <w:r>
        <w:t>the</w:t>
      </w:r>
      <w:r>
        <w:rPr>
          <w:spacing w:val="-12"/>
        </w:rPr>
        <w:t xml:space="preserve"> </w:t>
      </w:r>
      <w:r>
        <w:t>Anti‐ Dumping Agreement.</w:t>
      </w:r>
    </w:p>
    <w:p w14:paraId="51DE8541" w14:textId="77777777" w:rsidR="0010369C" w:rsidRDefault="008E43AE">
      <w:pPr>
        <w:pStyle w:val="ListParagraph"/>
        <w:numPr>
          <w:ilvl w:val="4"/>
          <w:numId w:val="75"/>
        </w:numPr>
        <w:tabs>
          <w:tab w:val="left" w:pos="4492"/>
          <w:tab w:val="left" w:pos="4493"/>
        </w:tabs>
        <w:spacing w:before="160" w:line="360" w:lineRule="auto"/>
        <w:ind w:left="4492" w:right="616"/>
        <w:jc w:val="both"/>
        <w:rPr>
          <w:i/>
          <w:sz w:val="24"/>
        </w:rPr>
      </w:pPr>
      <w:r>
        <w:rPr>
          <w:i/>
          <w:sz w:val="24"/>
        </w:rPr>
        <w:t>Characteristics affecting price comparability in the selected domestic sales</w:t>
      </w:r>
    </w:p>
    <w:p w14:paraId="51DE8542" w14:textId="77777777" w:rsidR="0010369C" w:rsidRDefault="0010369C">
      <w:pPr>
        <w:pStyle w:val="BodyText"/>
        <w:spacing w:before="11"/>
        <w:rPr>
          <w:i/>
          <w:sz w:val="8"/>
        </w:rPr>
      </w:pPr>
    </w:p>
    <w:p w14:paraId="51DE8543" w14:textId="77777777" w:rsidR="0010369C" w:rsidRDefault="008E43AE">
      <w:pPr>
        <w:pStyle w:val="BodyText"/>
        <w:spacing w:before="52" w:line="360" w:lineRule="auto"/>
        <w:ind w:left="238" w:right="612" w:firstLine="851"/>
        <w:jc w:val="both"/>
      </w:pPr>
      <w:r>
        <w:rPr>
          <w:noProof/>
        </w:rPr>
        <w:drawing>
          <wp:anchor distT="0" distB="0" distL="0" distR="0" simplePos="0" relativeHeight="250930688" behindDoc="1" locked="0" layoutInCell="1" allowOverlap="1" wp14:anchorId="51DEA0D2" wp14:editId="51DEA0D3">
            <wp:simplePos x="0" y="0"/>
            <wp:positionH relativeFrom="page">
              <wp:posOffset>905255</wp:posOffset>
            </wp:positionH>
            <wp:positionV relativeFrom="paragraph">
              <wp:posOffset>80595</wp:posOffset>
            </wp:positionV>
            <wp:extent cx="259079" cy="103631"/>
            <wp:effectExtent l="0" t="0" r="0" b="0"/>
            <wp:wrapNone/>
            <wp:docPr id="533" name="image2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 name="image275.png"/>
                    <pic:cNvPicPr/>
                  </pic:nvPicPr>
                  <pic:blipFill>
                    <a:blip r:embed="rId379" cstate="print"/>
                    <a:stretch>
                      <a:fillRect/>
                    </a:stretch>
                  </pic:blipFill>
                  <pic:spPr>
                    <a:xfrm>
                      <a:off x="0" y="0"/>
                      <a:ext cx="259079" cy="103631"/>
                    </a:xfrm>
                    <a:prstGeom prst="rect">
                      <a:avLst/>
                    </a:prstGeom>
                  </pic:spPr>
                </pic:pic>
              </a:graphicData>
            </a:graphic>
          </wp:anchor>
        </w:drawing>
      </w:r>
      <w:r>
        <w:t>Consistent with Australia's analysis in the 'Characteristics affecting domestic and export</w:t>
      </w:r>
      <w:r>
        <w:rPr>
          <w:spacing w:val="-1"/>
        </w:rPr>
        <w:t xml:space="preserve"> </w:t>
      </w:r>
      <w:r>
        <w:t>sales</w:t>
      </w:r>
      <w:r>
        <w:rPr>
          <w:spacing w:val="-2"/>
        </w:rPr>
        <w:t xml:space="preserve"> </w:t>
      </w:r>
      <w:r>
        <w:t>of Australian</w:t>
      </w:r>
      <w:r>
        <w:rPr>
          <w:spacing w:val="-1"/>
        </w:rPr>
        <w:t xml:space="preserve"> </w:t>
      </w:r>
      <w:r>
        <w:t>bottled wine'</w:t>
      </w:r>
      <w:r>
        <w:rPr>
          <w:spacing w:val="-1"/>
        </w:rPr>
        <w:t xml:space="preserve"> </w:t>
      </w:r>
      <w:r>
        <w:t>section</w:t>
      </w:r>
      <w:r>
        <w:rPr>
          <w:spacing w:val="-2"/>
        </w:rPr>
        <w:t xml:space="preserve"> </w:t>
      </w:r>
      <w:r>
        <w:t>above,</w:t>
      </w:r>
      <w:r>
        <w:rPr>
          <w:vertAlign w:val="superscript"/>
        </w:rPr>
        <w:t>28</w:t>
      </w:r>
      <w:r>
        <w:rPr>
          <w:vertAlign w:val="superscript"/>
        </w:rPr>
        <w:t>7</w:t>
      </w:r>
      <w:r>
        <w:rPr>
          <w:spacing w:val="-1"/>
        </w:rPr>
        <w:t xml:space="preserve"> </w:t>
      </w:r>
      <w:r>
        <w:t>MOFCOM's selected</w:t>
      </w:r>
      <w:r>
        <w:rPr>
          <w:spacing w:val="-1"/>
        </w:rPr>
        <w:t xml:space="preserve"> </w:t>
      </w:r>
      <w:r>
        <w:t>domestic sales for</w:t>
      </w:r>
      <w:r>
        <w:rPr>
          <w:spacing w:val="-10"/>
        </w:rPr>
        <w:t xml:space="preserve"> </w:t>
      </w:r>
      <w:r>
        <w:t>Treasury</w:t>
      </w:r>
      <w:r>
        <w:rPr>
          <w:spacing w:val="-10"/>
        </w:rPr>
        <w:t xml:space="preserve"> </w:t>
      </w:r>
      <w:r>
        <w:t>Wines</w:t>
      </w:r>
      <w:r>
        <w:rPr>
          <w:spacing w:val="-11"/>
        </w:rPr>
        <w:t xml:space="preserve"> </w:t>
      </w:r>
      <w:r>
        <w:t>had</w:t>
      </w:r>
      <w:r>
        <w:rPr>
          <w:spacing w:val="-11"/>
        </w:rPr>
        <w:t xml:space="preserve"> </w:t>
      </w:r>
      <w:r>
        <w:t>significant</w:t>
      </w:r>
      <w:r>
        <w:rPr>
          <w:spacing w:val="-10"/>
        </w:rPr>
        <w:t xml:space="preserve"> </w:t>
      </w:r>
      <w:r>
        <w:t>differences</w:t>
      </w:r>
      <w:r>
        <w:rPr>
          <w:spacing w:val="-11"/>
        </w:rPr>
        <w:t xml:space="preserve"> </w:t>
      </w:r>
      <w:r>
        <w:t>affecting</w:t>
      </w:r>
      <w:r>
        <w:rPr>
          <w:spacing w:val="-11"/>
        </w:rPr>
        <w:t xml:space="preserve"> </w:t>
      </w:r>
      <w:r>
        <w:t>price</w:t>
      </w:r>
      <w:r>
        <w:rPr>
          <w:spacing w:val="-11"/>
        </w:rPr>
        <w:t xml:space="preserve"> </w:t>
      </w:r>
      <w:r>
        <w:t>comparability.</w:t>
      </w:r>
      <w:r>
        <w:rPr>
          <w:spacing w:val="-11"/>
        </w:rPr>
        <w:t xml:space="preserve"> </w:t>
      </w:r>
      <w:r>
        <w:t>These</w:t>
      </w:r>
      <w:r>
        <w:rPr>
          <w:spacing w:val="-11"/>
        </w:rPr>
        <w:t xml:space="preserve"> </w:t>
      </w:r>
      <w:r>
        <w:t>differences rendered</w:t>
      </w:r>
      <w:r>
        <w:rPr>
          <w:spacing w:val="-10"/>
        </w:rPr>
        <w:t xml:space="preserve"> </w:t>
      </w:r>
      <w:r>
        <w:t>the</w:t>
      </w:r>
      <w:r>
        <w:rPr>
          <w:spacing w:val="-9"/>
        </w:rPr>
        <w:t xml:space="preserve"> </w:t>
      </w:r>
      <w:r>
        <w:t>average</w:t>
      </w:r>
      <w:r>
        <w:rPr>
          <w:spacing w:val="-9"/>
        </w:rPr>
        <w:t xml:space="preserve"> </w:t>
      </w:r>
      <w:r>
        <w:t>of</w:t>
      </w:r>
      <w:r>
        <w:rPr>
          <w:spacing w:val="-11"/>
        </w:rPr>
        <w:t xml:space="preserve"> </w:t>
      </w:r>
      <w:r>
        <w:t>the</w:t>
      </w:r>
      <w:r>
        <w:rPr>
          <w:spacing w:val="-9"/>
        </w:rPr>
        <w:t xml:space="preserve"> </w:t>
      </w:r>
      <w:r>
        <w:t>ex‐factory</w:t>
      </w:r>
      <w:r>
        <w:rPr>
          <w:spacing w:val="-9"/>
        </w:rPr>
        <w:t xml:space="preserve"> </w:t>
      </w:r>
      <w:r>
        <w:t>domestic</w:t>
      </w:r>
      <w:r>
        <w:rPr>
          <w:spacing w:val="-10"/>
        </w:rPr>
        <w:t xml:space="preserve"> </w:t>
      </w:r>
      <w:r>
        <w:t>selling</w:t>
      </w:r>
      <w:r>
        <w:rPr>
          <w:spacing w:val="-10"/>
        </w:rPr>
        <w:t xml:space="preserve"> </w:t>
      </w:r>
      <w:r>
        <w:t>prices</w:t>
      </w:r>
      <w:r>
        <w:rPr>
          <w:spacing w:val="-9"/>
        </w:rPr>
        <w:t xml:space="preserve"> </w:t>
      </w:r>
      <w:r>
        <w:t>unsuitable</w:t>
      </w:r>
      <w:r>
        <w:rPr>
          <w:spacing w:val="-8"/>
        </w:rPr>
        <w:t xml:space="preserve"> </w:t>
      </w:r>
      <w:r>
        <w:t>for</w:t>
      </w:r>
      <w:r>
        <w:rPr>
          <w:spacing w:val="-9"/>
        </w:rPr>
        <w:t xml:space="preserve"> </w:t>
      </w:r>
      <w:r>
        <w:t>comparison</w:t>
      </w:r>
      <w:r>
        <w:rPr>
          <w:spacing w:val="-10"/>
        </w:rPr>
        <w:t xml:space="preserve"> </w:t>
      </w:r>
      <w:r>
        <w:t>with export sales unless appropriate adjustments were made.</w:t>
      </w:r>
    </w:p>
    <w:p w14:paraId="51DE8544" w14:textId="77777777" w:rsidR="0010369C" w:rsidRDefault="008E43AE">
      <w:pPr>
        <w:pStyle w:val="ListParagraph"/>
        <w:numPr>
          <w:ilvl w:val="5"/>
          <w:numId w:val="75"/>
        </w:numPr>
        <w:tabs>
          <w:tab w:val="left" w:pos="5341"/>
        </w:tabs>
        <w:spacing w:before="159" w:line="360" w:lineRule="auto"/>
        <w:ind w:right="614" w:hanging="848"/>
        <w:jc w:val="both"/>
        <w:rPr>
          <w:sz w:val="24"/>
        </w:rPr>
      </w:pPr>
      <w:r>
        <w:rPr>
          <w:sz w:val="24"/>
          <w:u w:val="single"/>
        </w:rPr>
        <w:t>Product mix (physical characteristics,</w:t>
      </w:r>
      <w:r>
        <w:rPr>
          <w:sz w:val="24"/>
        </w:rPr>
        <w:t xml:space="preserve"> </w:t>
      </w:r>
      <w:r>
        <w:rPr>
          <w:sz w:val="24"/>
          <w:u w:val="single"/>
        </w:rPr>
        <w:t>quality, consumer preferences, price)</w:t>
      </w:r>
    </w:p>
    <w:p w14:paraId="51DE8545" w14:textId="77777777" w:rsidR="0010369C" w:rsidRDefault="0010369C">
      <w:pPr>
        <w:pStyle w:val="BodyText"/>
        <w:spacing w:before="11"/>
        <w:rPr>
          <w:sz w:val="8"/>
        </w:rPr>
      </w:pPr>
    </w:p>
    <w:p w14:paraId="51DE8546" w14:textId="77777777" w:rsidR="0010369C" w:rsidRDefault="008E43AE">
      <w:pPr>
        <w:pStyle w:val="BodyText"/>
        <w:spacing w:before="52" w:line="360" w:lineRule="auto"/>
        <w:ind w:left="237" w:right="613" w:firstLine="852"/>
        <w:jc w:val="both"/>
      </w:pPr>
      <w:r>
        <w:rPr>
          <w:noProof/>
        </w:rPr>
        <w:drawing>
          <wp:anchor distT="0" distB="0" distL="0" distR="0" simplePos="0" relativeHeight="250931712" behindDoc="1" locked="0" layoutInCell="1" allowOverlap="1" wp14:anchorId="51DEA0D4" wp14:editId="51DEA0D5">
            <wp:simplePos x="0" y="0"/>
            <wp:positionH relativeFrom="page">
              <wp:posOffset>905255</wp:posOffset>
            </wp:positionH>
            <wp:positionV relativeFrom="paragraph">
              <wp:posOffset>81950</wp:posOffset>
            </wp:positionV>
            <wp:extent cx="259079" cy="100753"/>
            <wp:effectExtent l="0" t="0" r="0" b="0"/>
            <wp:wrapNone/>
            <wp:docPr id="535" name="image2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 name="image276.png"/>
                    <pic:cNvPicPr/>
                  </pic:nvPicPr>
                  <pic:blipFill>
                    <a:blip r:embed="rId380" cstate="print"/>
                    <a:stretch>
                      <a:fillRect/>
                    </a:stretch>
                  </pic:blipFill>
                  <pic:spPr>
                    <a:xfrm>
                      <a:off x="0" y="0"/>
                      <a:ext cx="259079" cy="100753"/>
                    </a:xfrm>
                    <a:prstGeom prst="rect">
                      <a:avLst/>
                    </a:prstGeom>
                  </pic:spPr>
                </pic:pic>
              </a:graphicData>
            </a:graphic>
          </wp:anchor>
        </w:drawing>
      </w:r>
      <w:r>
        <w:rPr>
          <w:noProof/>
        </w:rPr>
        <w:drawing>
          <wp:anchor distT="0" distB="0" distL="0" distR="0" simplePos="0" relativeHeight="250932736" behindDoc="1" locked="0" layoutInCell="1" allowOverlap="1" wp14:anchorId="51DEA0D6" wp14:editId="51DEA0D7">
            <wp:simplePos x="0" y="0"/>
            <wp:positionH relativeFrom="page">
              <wp:posOffset>905255</wp:posOffset>
            </wp:positionH>
            <wp:positionV relativeFrom="paragraph">
              <wp:posOffset>1856055</wp:posOffset>
            </wp:positionV>
            <wp:extent cx="259079" cy="103632"/>
            <wp:effectExtent l="0" t="0" r="0" b="0"/>
            <wp:wrapNone/>
            <wp:docPr id="537" name="image2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 name="image277.png"/>
                    <pic:cNvPicPr/>
                  </pic:nvPicPr>
                  <pic:blipFill>
                    <a:blip r:embed="rId381" cstate="print"/>
                    <a:stretch>
                      <a:fillRect/>
                    </a:stretch>
                  </pic:blipFill>
                  <pic:spPr>
                    <a:xfrm>
                      <a:off x="0" y="0"/>
                      <a:ext cx="259079" cy="103632"/>
                    </a:xfrm>
                    <a:prstGeom prst="rect">
                      <a:avLst/>
                    </a:prstGeom>
                  </pic:spPr>
                </pic:pic>
              </a:graphicData>
            </a:graphic>
          </wp:anchor>
        </w:drawing>
      </w:r>
      <w:r>
        <w:t>The sales selected by MOFCOM to calculate Treasury Wines' normal value included products with significantly differen</w:t>
      </w:r>
      <w:r>
        <w:t>t physical characteristics which would have affected the domestic selling</w:t>
      </w:r>
      <w:r>
        <w:rPr>
          <w:spacing w:val="-1"/>
        </w:rPr>
        <w:t xml:space="preserve"> </w:t>
      </w:r>
      <w:r>
        <w:t>prices</w:t>
      </w:r>
      <w:r>
        <w:rPr>
          <w:spacing w:val="-1"/>
        </w:rPr>
        <w:t xml:space="preserve"> </w:t>
      </w:r>
      <w:r>
        <w:t>for</w:t>
      </w:r>
      <w:r>
        <w:rPr>
          <w:spacing w:val="-1"/>
        </w:rPr>
        <w:t xml:space="preserve"> </w:t>
      </w:r>
      <w:r>
        <w:t>those</w:t>
      </w:r>
      <w:r>
        <w:rPr>
          <w:spacing w:val="-1"/>
        </w:rPr>
        <w:t xml:space="preserve"> </w:t>
      </w:r>
      <w:r>
        <w:t>products. These</w:t>
      </w:r>
      <w:r>
        <w:rPr>
          <w:spacing w:val="-2"/>
        </w:rPr>
        <w:t xml:space="preserve"> </w:t>
      </w:r>
      <w:r>
        <w:t>characteristics</w:t>
      </w:r>
      <w:r>
        <w:rPr>
          <w:spacing w:val="-2"/>
        </w:rPr>
        <w:t xml:space="preserve"> </w:t>
      </w:r>
      <w:r>
        <w:t>resulted</w:t>
      </w:r>
      <w:r>
        <w:rPr>
          <w:spacing w:val="-2"/>
        </w:rPr>
        <w:t xml:space="preserve"> </w:t>
      </w:r>
      <w:r>
        <w:t>in</w:t>
      </w:r>
      <w:r>
        <w:rPr>
          <w:spacing w:val="-1"/>
        </w:rPr>
        <w:t xml:space="preserve"> </w:t>
      </w:r>
      <w:r>
        <w:t>MOFCOM relying on a product mix reflecting significant variations in products. It obligated MOFCOM to make subsequent adj</w:t>
      </w:r>
      <w:r>
        <w:t>ustments to the domestic sales prices for normal value to ensure a fair comparison with export price.</w:t>
      </w:r>
    </w:p>
    <w:p w14:paraId="51DE8547" w14:textId="77777777" w:rsidR="0010369C" w:rsidRDefault="0010369C">
      <w:pPr>
        <w:pStyle w:val="BodyText"/>
        <w:spacing w:before="3"/>
        <w:rPr>
          <w:sz w:val="13"/>
        </w:rPr>
      </w:pPr>
    </w:p>
    <w:tbl>
      <w:tblPr>
        <w:tblW w:w="0" w:type="auto"/>
        <w:tblInd w:w="225" w:type="dxa"/>
        <w:tblLayout w:type="fixed"/>
        <w:tblCellMar>
          <w:left w:w="0" w:type="dxa"/>
          <w:right w:w="0" w:type="dxa"/>
        </w:tblCellMar>
        <w:tblLook w:val="01E0" w:firstRow="1" w:lastRow="1" w:firstColumn="1" w:lastColumn="1" w:noHBand="0" w:noVBand="0"/>
      </w:tblPr>
      <w:tblGrid>
        <w:gridCol w:w="477"/>
        <w:gridCol w:w="520"/>
        <w:gridCol w:w="8132"/>
      </w:tblGrid>
      <w:tr w:rsidR="0010369C" w14:paraId="51DE854A" w14:textId="77777777">
        <w:trPr>
          <w:trHeight w:val="320"/>
        </w:trPr>
        <w:tc>
          <w:tcPr>
            <w:tcW w:w="997" w:type="dxa"/>
            <w:gridSpan w:val="2"/>
            <w:tcBorders>
              <w:bottom w:val="single" w:sz="48" w:space="0" w:color="FFFFFF"/>
            </w:tcBorders>
          </w:tcPr>
          <w:p w14:paraId="51DE8548" w14:textId="77777777" w:rsidR="0010369C" w:rsidRDefault="008E43AE">
            <w:pPr>
              <w:pStyle w:val="TableParagraph"/>
              <w:spacing w:line="291" w:lineRule="exact"/>
              <w:ind w:right="-29"/>
              <w:jc w:val="right"/>
              <w:rPr>
                <w:sz w:val="24"/>
              </w:rPr>
            </w:pPr>
            <w:r>
              <w:rPr>
                <w:spacing w:val="-5"/>
                <w:sz w:val="24"/>
              </w:rPr>
              <w:t>[[</w:t>
            </w:r>
          </w:p>
        </w:tc>
        <w:tc>
          <w:tcPr>
            <w:tcW w:w="8132" w:type="dxa"/>
            <w:tcBorders>
              <w:bottom w:val="single" w:sz="48" w:space="0" w:color="FFFFFF"/>
            </w:tcBorders>
            <w:shd w:val="clear" w:color="auto" w:fill="000000"/>
          </w:tcPr>
          <w:p w14:paraId="51DE8549" w14:textId="77777777" w:rsidR="0010369C" w:rsidRDefault="0010369C">
            <w:pPr>
              <w:pStyle w:val="TableParagraph"/>
              <w:rPr>
                <w:rFonts w:ascii="Times New Roman"/>
              </w:rPr>
            </w:pPr>
          </w:p>
        </w:tc>
      </w:tr>
      <w:tr w:rsidR="0010369C" w14:paraId="51DE854C" w14:textId="77777777">
        <w:trPr>
          <w:trHeight w:val="319"/>
        </w:trPr>
        <w:tc>
          <w:tcPr>
            <w:tcW w:w="9129" w:type="dxa"/>
            <w:gridSpan w:val="3"/>
            <w:tcBorders>
              <w:top w:val="single" w:sz="48" w:space="0" w:color="FFFFFF"/>
              <w:bottom w:val="single" w:sz="48" w:space="0" w:color="FFFFFF"/>
            </w:tcBorders>
            <w:shd w:val="clear" w:color="auto" w:fill="000000"/>
          </w:tcPr>
          <w:p w14:paraId="51DE854B" w14:textId="77777777" w:rsidR="0010369C" w:rsidRDefault="0010369C">
            <w:pPr>
              <w:pStyle w:val="TableParagraph"/>
              <w:rPr>
                <w:rFonts w:ascii="Times New Roman"/>
              </w:rPr>
            </w:pPr>
          </w:p>
        </w:tc>
      </w:tr>
      <w:tr w:rsidR="0010369C" w14:paraId="51DE854E" w14:textId="77777777">
        <w:trPr>
          <w:trHeight w:val="319"/>
        </w:trPr>
        <w:tc>
          <w:tcPr>
            <w:tcW w:w="9129" w:type="dxa"/>
            <w:gridSpan w:val="3"/>
            <w:tcBorders>
              <w:top w:val="single" w:sz="48" w:space="0" w:color="FFFFFF"/>
              <w:bottom w:val="single" w:sz="48" w:space="0" w:color="FFFFFF"/>
            </w:tcBorders>
            <w:shd w:val="clear" w:color="auto" w:fill="000000"/>
          </w:tcPr>
          <w:p w14:paraId="51DE854D" w14:textId="77777777" w:rsidR="0010369C" w:rsidRDefault="0010369C">
            <w:pPr>
              <w:pStyle w:val="TableParagraph"/>
              <w:rPr>
                <w:rFonts w:ascii="Times New Roman"/>
              </w:rPr>
            </w:pPr>
          </w:p>
        </w:tc>
      </w:tr>
      <w:tr w:rsidR="0010369C" w14:paraId="51DE8550" w14:textId="77777777">
        <w:trPr>
          <w:trHeight w:val="319"/>
        </w:trPr>
        <w:tc>
          <w:tcPr>
            <w:tcW w:w="9129" w:type="dxa"/>
            <w:gridSpan w:val="3"/>
            <w:tcBorders>
              <w:top w:val="single" w:sz="48" w:space="0" w:color="FFFFFF"/>
              <w:bottom w:val="single" w:sz="48" w:space="0" w:color="FFFFFF"/>
            </w:tcBorders>
            <w:shd w:val="clear" w:color="auto" w:fill="000000"/>
          </w:tcPr>
          <w:p w14:paraId="51DE854F" w14:textId="77777777" w:rsidR="0010369C" w:rsidRDefault="0010369C">
            <w:pPr>
              <w:pStyle w:val="TableParagraph"/>
              <w:rPr>
                <w:rFonts w:ascii="Times New Roman"/>
              </w:rPr>
            </w:pPr>
          </w:p>
        </w:tc>
      </w:tr>
      <w:tr w:rsidR="0010369C" w14:paraId="51DE8552" w14:textId="77777777">
        <w:trPr>
          <w:trHeight w:val="319"/>
        </w:trPr>
        <w:tc>
          <w:tcPr>
            <w:tcW w:w="9129" w:type="dxa"/>
            <w:gridSpan w:val="3"/>
            <w:tcBorders>
              <w:top w:val="single" w:sz="48" w:space="0" w:color="FFFFFF"/>
              <w:bottom w:val="single" w:sz="48" w:space="0" w:color="FFFFFF"/>
            </w:tcBorders>
            <w:shd w:val="clear" w:color="auto" w:fill="000000"/>
          </w:tcPr>
          <w:p w14:paraId="51DE8551" w14:textId="77777777" w:rsidR="0010369C" w:rsidRDefault="0010369C">
            <w:pPr>
              <w:pStyle w:val="TableParagraph"/>
              <w:rPr>
                <w:rFonts w:ascii="Times New Roman"/>
              </w:rPr>
            </w:pPr>
          </w:p>
        </w:tc>
      </w:tr>
      <w:tr w:rsidR="0010369C" w14:paraId="51DE8554" w14:textId="77777777">
        <w:trPr>
          <w:trHeight w:val="319"/>
        </w:trPr>
        <w:tc>
          <w:tcPr>
            <w:tcW w:w="9129" w:type="dxa"/>
            <w:gridSpan w:val="3"/>
            <w:tcBorders>
              <w:top w:val="single" w:sz="48" w:space="0" w:color="FFFFFF"/>
              <w:bottom w:val="single" w:sz="48" w:space="0" w:color="FFFFFF"/>
            </w:tcBorders>
            <w:shd w:val="clear" w:color="auto" w:fill="000000"/>
          </w:tcPr>
          <w:p w14:paraId="51DE8553" w14:textId="77777777" w:rsidR="0010369C" w:rsidRDefault="0010369C">
            <w:pPr>
              <w:pStyle w:val="TableParagraph"/>
              <w:rPr>
                <w:rFonts w:ascii="Times New Roman"/>
              </w:rPr>
            </w:pPr>
          </w:p>
        </w:tc>
      </w:tr>
      <w:tr w:rsidR="0010369C" w14:paraId="51DE8556" w14:textId="77777777">
        <w:trPr>
          <w:trHeight w:val="320"/>
        </w:trPr>
        <w:tc>
          <w:tcPr>
            <w:tcW w:w="9129" w:type="dxa"/>
            <w:gridSpan w:val="3"/>
            <w:tcBorders>
              <w:top w:val="single" w:sz="48" w:space="0" w:color="FFFFFF"/>
              <w:bottom w:val="single" w:sz="48" w:space="0" w:color="FFFFFF"/>
            </w:tcBorders>
            <w:shd w:val="clear" w:color="auto" w:fill="000000"/>
          </w:tcPr>
          <w:p w14:paraId="51DE8555" w14:textId="77777777" w:rsidR="0010369C" w:rsidRDefault="0010369C">
            <w:pPr>
              <w:pStyle w:val="TableParagraph"/>
              <w:rPr>
                <w:rFonts w:ascii="Times New Roman"/>
              </w:rPr>
            </w:pPr>
          </w:p>
        </w:tc>
      </w:tr>
      <w:tr w:rsidR="0010369C" w14:paraId="51DE8559" w14:textId="77777777">
        <w:trPr>
          <w:trHeight w:val="320"/>
        </w:trPr>
        <w:tc>
          <w:tcPr>
            <w:tcW w:w="477" w:type="dxa"/>
            <w:tcBorders>
              <w:top w:val="single" w:sz="48" w:space="0" w:color="FFFFFF"/>
            </w:tcBorders>
            <w:shd w:val="clear" w:color="auto" w:fill="000000"/>
          </w:tcPr>
          <w:p w14:paraId="51DE8557" w14:textId="77777777" w:rsidR="0010369C" w:rsidRDefault="0010369C">
            <w:pPr>
              <w:pStyle w:val="TableParagraph"/>
              <w:rPr>
                <w:rFonts w:ascii="Times New Roman"/>
              </w:rPr>
            </w:pPr>
          </w:p>
        </w:tc>
        <w:tc>
          <w:tcPr>
            <w:tcW w:w="8652" w:type="dxa"/>
            <w:gridSpan w:val="2"/>
            <w:tcBorders>
              <w:top w:val="single" w:sz="48" w:space="0" w:color="FFFFFF"/>
            </w:tcBorders>
          </w:tcPr>
          <w:p w14:paraId="51DE8558" w14:textId="77777777" w:rsidR="0010369C" w:rsidRDefault="008E43AE">
            <w:pPr>
              <w:pStyle w:val="TableParagraph"/>
              <w:spacing w:line="290" w:lineRule="exact"/>
              <w:ind w:left="19"/>
              <w:rPr>
                <w:sz w:val="24"/>
              </w:rPr>
            </w:pPr>
            <w:r>
              <w:rPr>
                <w:color w:val="5E5E5E"/>
                <w:spacing w:val="-5"/>
                <w:sz w:val="24"/>
              </w:rPr>
              <w:t>.</w:t>
            </w:r>
            <w:r>
              <w:rPr>
                <w:spacing w:val="-5"/>
                <w:sz w:val="24"/>
              </w:rPr>
              <w:t>]]</w:t>
            </w:r>
          </w:p>
        </w:tc>
      </w:tr>
    </w:tbl>
    <w:p w14:paraId="51DE855A" w14:textId="77777777" w:rsidR="0010369C" w:rsidRDefault="0010369C">
      <w:pPr>
        <w:pStyle w:val="BodyText"/>
        <w:rPr>
          <w:sz w:val="20"/>
        </w:rPr>
      </w:pPr>
    </w:p>
    <w:p w14:paraId="51DE855B" w14:textId="77777777" w:rsidR="0010369C" w:rsidRDefault="0010369C">
      <w:pPr>
        <w:pStyle w:val="BodyText"/>
        <w:rPr>
          <w:sz w:val="20"/>
        </w:rPr>
      </w:pPr>
    </w:p>
    <w:p w14:paraId="51DE855C" w14:textId="77777777" w:rsidR="0010369C" w:rsidRDefault="0010369C">
      <w:pPr>
        <w:pStyle w:val="BodyText"/>
        <w:rPr>
          <w:sz w:val="20"/>
        </w:rPr>
      </w:pPr>
    </w:p>
    <w:p w14:paraId="51DE855D" w14:textId="77777777" w:rsidR="0010369C" w:rsidRDefault="008E43AE">
      <w:pPr>
        <w:pStyle w:val="BodyText"/>
        <w:spacing w:before="1"/>
        <w:rPr>
          <w:sz w:val="29"/>
        </w:rPr>
      </w:pPr>
      <w:r>
        <w:pict w14:anchorId="51DEA0D8">
          <v:rect id="docshape568" o:spid="_x0000_s1700" style="position:absolute;margin-left:70.9pt;margin-top:18.95pt;width:2in;height:.8pt;z-index:-251012608;mso-wrap-distance-left:0;mso-wrap-distance-right:0;mso-position-horizontal-relative:page" fillcolor="black" stroked="f">
            <w10:wrap type="topAndBottom" anchorx="page"/>
          </v:rect>
        </w:pict>
      </w:r>
    </w:p>
    <w:p w14:paraId="51DE855E" w14:textId="77777777" w:rsidR="0010369C" w:rsidRDefault="008E43AE">
      <w:pPr>
        <w:spacing w:before="109"/>
        <w:ind w:left="238"/>
        <w:rPr>
          <w:sz w:val="18"/>
        </w:rPr>
      </w:pPr>
      <w:r>
        <w:rPr>
          <w:sz w:val="18"/>
          <w:vertAlign w:val="superscript"/>
        </w:rPr>
        <w:t>287</w:t>
      </w:r>
      <w:r>
        <w:rPr>
          <w:spacing w:val="-7"/>
          <w:sz w:val="18"/>
        </w:rPr>
        <w:t xml:space="preserve"> </w:t>
      </w:r>
      <w:r>
        <w:rPr>
          <w:sz w:val="18"/>
        </w:rPr>
        <w:t>Section</w:t>
      </w:r>
      <w:r>
        <w:rPr>
          <w:spacing w:val="-6"/>
          <w:sz w:val="18"/>
        </w:rPr>
        <w:t xml:space="preserve"> </w:t>
      </w:r>
      <w:r>
        <w:rPr>
          <w:spacing w:val="-2"/>
          <w:sz w:val="18"/>
        </w:rPr>
        <w:t>II.D.</w:t>
      </w:r>
    </w:p>
    <w:p w14:paraId="51DE855F" w14:textId="77777777" w:rsidR="0010369C" w:rsidRDefault="0010369C">
      <w:pPr>
        <w:rPr>
          <w:sz w:val="18"/>
        </w:rPr>
        <w:sectPr w:rsidR="0010369C">
          <w:headerReference w:type="default" r:id="rId382"/>
          <w:footerReference w:type="default" r:id="rId383"/>
          <w:pgSz w:w="11910" w:h="16840"/>
          <w:pgMar w:top="880" w:right="800" w:bottom="980" w:left="1180" w:header="569" w:footer="788" w:gutter="0"/>
          <w:cols w:space="720"/>
        </w:sectPr>
      </w:pPr>
    </w:p>
    <w:p w14:paraId="51DE8560" w14:textId="77777777" w:rsidR="0010369C" w:rsidRDefault="008E43AE">
      <w:pPr>
        <w:tabs>
          <w:tab w:val="left" w:pos="6425"/>
        </w:tabs>
        <w:ind w:left="238"/>
        <w:rPr>
          <w:sz w:val="20"/>
        </w:rPr>
      </w:pPr>
      <w:r>
        <w:rPr>
          <w:i/>
          <w:sz w:val="20"/>
        </w:rPr>
        <w:lastRenderedPageBreak/>
        <w:t>China</w:t>
      </w:r>
      <w:r>
        <w:rPr>
          <w:i/>
          <w:spacing w:val="-5"/>
          <w:sz w:val="20"/>
        </w:rPr>
        <w:t xml:space="preserve"> </w:t>
      </w:r>
      <w:r>
        <w:rPr>
          <w:i/>
          <w:sz w:val="20"/>
        </w:rPr>
        <w:t>–</w:t>
      </w:r>
      <w:r>
        <w:rPr>
          <w:i/>
          <w:spacing w:val="-5"/>
          <w:sz w:val="20"/>
        </w:rPr>
        <w:t xml:space="preserve"> </w:t>
      </w:r>
      <w:r>
        <w:rPr>
          <w:i/>
          <w:sz w:val="20"/>
        </w:rPr>
        <w:t>Anti‐Dumping</w:t>
      </w:r>
      <w:r>
        <w:rPr>
          <w:i/>
          <w:spacing w:val="-4"/>
          <w:sz w:val="20"/>
        </w:rPr>
        <w:t xml:space="preserve"> </w:t>
      </w:r>
      <w:r>
        <w:rPr>
          <w:i/>
          <w:sz w:val="20"/>
        </w:rPr>
        <w:t>and</w:t>
      </w:r>
      <w:r>
        <w:rPr>
          <w:i/>
          <w:spacing w:val="-5"/>
          <w:sz w:val="20"/>
        </w:rPr>
        <w:t xml:space="preserve"> </w:t>
      </w:r>
      <w:r>
        <w:rPr>
          <w:i/>
          <w:sz w:val="20"/>
        </w:rPr>
        <w:t>Countervailing</w:t>
      </w:r>
      <w:r>
        <w:rPr>
          <w:i/>
          <w:spacing w:val="-5"/>
          <w:sz w:val="20"/>
        </w:rPr>
        <w:t xml:space="preserve"> </w:t>
      </w:r>
      <w:r>
        <w:rPr>
          <w:i/>
          <w:sz w:val="20"/>
        </w:rPr>
        <w:t>Duty</w:t>
      </w:r>
      <w:r>
        <w:rPr>
          <w:i/>
          <w:spacing w:val="-4"/>
          <w:sz w:val="20"/>
        </w:rPr>
        <w:t xml:space="preserve"> </w:t>
      </w:r>
      <w:r>
        <w:rPr>
          <w:i/>
          <w:spacing w:val="-2"/>
          <w:sz w:val="20"/>
        </w:rPr>
        <w:t>Measures</w:t>
      </w:r>
      <w:r>
        <w:rPr>
          <w:i/>
          <w:sz w:val="20"/>
        </w:rPr>
        <w:tab/>
      </w:r>
      <w:r>
        <w:rPr>
          <w:sz w:val="20"/>
        </w:rPr>
        <w:t>Australia's</w:t>
      </w:r>
      <w:r>
        <w:rPr>
          <w:spacing w:val="-7"/>
          <w:sz w:val="20"/>
        </w:rPr>
        <w:t xml:space="preserve"> </w:t>
      </w:r>
      <w:r>
        <w:rPr>
          <w:sz w:val="20"/>
        </w:rPr>
        <w:t>First</w:t>
      </w:r>
      <w:r>
        <w:rPr>
          <w:spacing w:val="-2"/>
          <w:sz w:val="20"/>
        </w:rPr>
        <w:t xml:space="preserve"> </w:t>
      </w:r>
      <w:r>
        <w:rPr>
          <w:sz w:val="20"/>
        </w:rPr>
        <w:t>Written</w:t>
      </w:r>
      <w:r>
        <w:rPr>
          <w:spacing w:val="-2"/>
          <w:sz w:val="20"/>
        </w:rPr>
        <w:t xml:space="preserve"> Submission</w:t>
      </w:r>
    </w:p>
    <w:p w14:paraId="51DE8561" w14:textId="77777777" w:rsidR="0010369C" w:rsidRDefault="008E43AE">
      <w:pPr>
        <w:tabs>
          <w:tab w:val="left" w:pos="8227"/>
        </w:tabs>
        <w:spacing w:before="1" w:after="37"/>
        <w:ind w:left="239"/>
        <w:rPr>
          <w:sz w:val="20"/>
        </w:rPr>
      </w:pPr>
      <w:r>
        <w:rPr>
          <w:noProof/>
        </w:rPr>
        <w:drawing>
          <wp:anchor distT="0" distB="0" distL="0" distR="0" simplePos="0" relativeHeight="250933760" behindDoc="1" locked="0" layoutInCell="1" allowOverlap="1" wp14:anchorId="51DEA0D9" wp14:editId="51DEA0DA">
            <wp:simplePos x="0" y="0"/>
            <wp:positionH relativeFrom="page">
              <wp:posOffset>905255</wp:posOffset>
            </wp:positionH>
            <wp:positionV relativeFrom="paragraph">
              <wp:posOffset>225137</wp:posOffset>
            </wp:positionV>
            <wp:extent cx="259079" cy="103631"/>
            <wp:effectExtent l="0" t="0" r="0" b="0"/>
            <wp:wrapNone/>
            <wp:docPr id="539" name="image2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 name="image278.png"/>
                    <pic:cNvPicPr/>
                  </pic:nvPicPr>
                  <pic:blipFill>
                    <a:blip r:embed="rId384" cstate="print"/>
                    <a:stretch>
                      <a:fillRect/>
                    </a:stretch>
                  </pic:blipFill>
                  <pic:spPr>
                    <a:xfrm>
                      <a:off x="0" y="0"/>
                      <a:ext cx="259079" cy="103631"/>
                    </a:xfrm>
                    <a:prstGeom prst="rect">
                      <a:avLst/>
                    </a:prstGeom>
                  </pic:spPr>
                </pic:pic>
              </a:graphicData>
            </a:graphic>
          </wp:anchor>
        </w:drawing>
      </w:r>
      <w:r>
        <w:rPr>
          <w:i/>
          <w:sz w:val="20"/>
        </w:rPr>
        <w:t>on</w:t>
      </w:r>
      <w:r>
        <w:rPr>
          <w:i/>
          <w:spacing w:val="-1"/>
          <w:sz w:val="20"/>
        </w:rPr>
        <w:t xml:space="preserve"> </w:t>
      </w:r>
      <w:r>
        <w:rPr>
          <w:i/>
          <w:sz w:val="20"/>
        </w:rPr>
        <w:t>Wine</w:t>
      </w:r>
      <w:r>
        <w:rPr>
          <w:i/>
          <w:spacing w:val="-1"/>
          <w:sz w:val="20"/>
        </w:rPr>
        <w:t xml:space="preserve"> </w:t>
      </w:r>
      <w:r>
        <w:rPr>
          <w:i/>
          <w:sz w:val="20"/>
        </w:rPr>
        <w:t>from</w:t>
      </w:r>
      <w:r>
        <w:rPr>
          <w:i/>
          <w:spacing w:val="-3"/>
          <w:sz w:val="20"/>
        </w:rPr>
        <w:t xml:space="preserve"> </w:t>
      </w:r>
      <w:r>
        <w:rPr>
          <w:i/>
          <w:sz w:val="20"/>
        </w:rPr>
        <w:t>Australia</w:t>
      </w:r>
      <w:r>
        <w:rPr>
          <w:i/>
          <w:spacing w:val="-1"/>
          <w:sz w:val="20"/>
        </w:rPr>
        <w:t xml:space="preserve"> </w:t>
      </w:r>
      <w:r>
        <w:rPr>
          <w:spacing w:val="-2"/>
          <w:sz w:val="20"/>
        </w:rPr>
        <w:t>(DS602)</w:t>
      </w:r>
      <w:r>
        <w:rPr>
          <w:sz w:val="20"/>
        </w:rPr>
        <w:tab/>
        <w:t>29</w:t>
      </w:r>
      <w:r>
        <w:rPr>
          <w:spacing w:val="-1"/>
          <w:sz w:val="20"/>
        </w:rPr>
        <w:t xml:space="preserve"> </w:t>
      </w:r>
      <w:r>
        <w:rPr>
          <w:sz w:val="20"/>
        </w:rPr>
        <w:t>April</w:t>
      </w:r>
      <w:r>
        <w:rPr>
          <w:spacing w:val="-2"/>
          <w:sz w:val="20"/>
        </w:rPr>
        <w:t xml:space="preserve"> </w:t>
      </w:r>
      <w:r>
        <w:rPr>
          <w:spacing w:val="-4"/>
          <w:sz w:val="20"/>
        </w:rPr>
        <w:t>2022</w:t>
      </w:r>
    </w:p>
    <w:tbl>
      <w:tblPr>
        <w:tblW w:w="0" w:type="auto"/>
        <w:tblInd w:w="225" w:type="dxa"/>
        <w:tblLayout w:type="fixed"/>
        <w:tblCellMar>
          <w:left w:w="0" w:type="dxa"/>
          <w:right w:w="0" w:type="dxa"/>
        </w:tblCellMar>
        <w:tblLook w:val="01E0" w:firstRow="1" w:lastRow="1" w:firstColumn="1" w:lastColumn="1" w:noHBand="0" w:noVBand="0"/>
      </w:tblPr>
      <w:tblGrid>
        <w:gridCol w:w="467"/>
        <w:gridCol w:w="269"/>
        <w:gridCol w:w="262"/>
        <w:gridCol w:w="2722"/>
        <w:gridCol w:w="5410"/>
      </w:tblGrid>
      <w:tr w:rsidR="0010369C" w14:paraId="51DE8564" w14:textId="77777777">
        <w:trPr>
          <w:trHeight w:val="320"/>
        </w:trPr>
        <w:tc>
          <w:tcPr>
            <w:tcW w:w="998" w:type="dxa"/>
            <w:gridSpan w:val="3"/>
            <w:tcBorders>
              <w:bottom w:val="single" w:sz="48" w:space="0" w:color="FFFFFF"/>
            </w:tcBorders>
          </w:tcPr>
          <w:p w14:paraId="51DE8562" w14:textId="77777777" w:rsidR="0010369C" w:rsidRDefault="008E43AE">
            <w:pPr>
              <w:pStyle w:val="TableParagraph"/>
              <w:spacing w:line="291" w:lineRule="exact"/>
              <w:ind w:right="-29"/>
              <w:jc w:val="right"/>
              <w:rPr>
                <w:sz w:val="24"/>
              </w:rPr>
            </w:pPr>
            <w:r>
              <w:rPr>
                <w:spacing w:val="-5"/>
                <w:sz w:val="24"/>
              </w:rPr>
              <w:t>[[</w:t>
            </w:r>
          </w:p>
        </w:tc>
        <w:tc>
          <w:tcPr>
            <w:tcW w:w="8132" w:type="dxa"/>
            <w:gridSpan w:val="2"/>
            <w:tcBorders>
              <w:bottom w:val="single" w:sz="48" w:space="0" w:color="FFFFFF"/>
            </w:tcBorders>
            <w:shd w:val="clear" w:color="auto" w:fill="000000"/>
          </w:tcPr>
          <w:p w14:paraId="51DE8563" w14:textId="77777777" w:rsidR="0010369C" w:rsidRDefault="0010369C">
            <w:pPr>
              <w:pStyle w:val="TableParagraph"/>
              <w:rPr>
                <w:rFonts w:ascii="Times New Roman"/>
              </w:rPr>
            </w:pPr>
          </w:p>
        </w:tc>
      </w:tr>
      <w:tr w:rsidR="0010369C" w14:paraId="51DE8566" w14:textId="77777777">
        <w:trPr>
          <w:trHeight w:val="319"/>
        </w:trPr>
        <w:tc>
          <w:tcPr>
            <w:tcW w:w="9130" w:type="dxa"/>
            <w:gridSpan w:val="5"/>
            <w:tcBorders>
              <w:top w:val="single" w:sz="48" w:space="0" w:color="FFFFFF"/>
              <w:bottom w:val="single" w:sz="48" w:space="0" w:color="FFFFFF"/>
            </w:tcBorders>
            <w:shd w:val="clear" w:color="auto" w:fill="000000"/>
          </w:tcPr>
          <w:p w14:paraId="51DE8565" w14:textId="77777777" w:rsidR="0010369C" w:rsidRDefault="0010369C">
            <w:pPr>
              <w:pStyle w:val="TableParagraph"/>
              <w:rPr>
                <w:rFonts w:ascii="Times New Roman"/>
              </w:rPr>
            </w:pPr>
          </w:p>
        </w:tc>
      </w:tr>
      <w:tr w:rsidR="0010369C" w14:paraId="51DE8568" w14:textId="77777777">
        <w:trPr>
          <w:trHeight w:val="319"/>
        </w:trPr>
        <w:tc>
          <w:tcPr>
            <w:tcW w:w="9130" w:type="dxa"/>
            <w:gridSpan w:val="5"/>
            <w:tcBorders>
              <w:top w:val="single" w:sz="48" w:space="0" w:color="FFFFFF"/>
              <w:bottom w:val="single" w:sz="48" w:space="0" w:color="FFFFFF"/>
            </w:tcBorders>
            <w:shd w:val="clear" w:color="auto" w:fill="000000"/>
          </w:tcPr>
          <w:p w14:paraId="51DE8567" w14:textId="77777777" w:rsidR="0010369C" w:rsidRDefault="0010369C">
            <w:pPr>
              <w:pStyle w:val="TableParagraph"/>
              <w:rPr>
                <w:rFonts w:ascii="Times New Roman"/>
              </w:rPr>
            </w:pPr>
          </w:p>
        </w:tc>
      </w:tr>
      <w:tr w:rsidR="0010369C" w14:paraId="51DE856A" w14:textId="77777777">
        <w:trPr>
          <w:trHeight w:val="319"/>
        </w:trPr>
        <w:tc>
          <w:tcPr>
            <w:tcW w:w="9130" w:type="dxa"/>
            <w:gridSpan w:val="5"/>
            <w:tcBorders>
              <w:top w:val="single" w:sz="48" w:space="0" w:color="FFFFFF"/>
              <w:bottom w:val="single" w:sz="48" w:space="0" w:color="FFFFFF"/>
            </w:tcBorders>
            <w:shd w:val="clear" w:color="auto" w:fill="000000"/>
          </w:tcPr>
          <w:p w14:paraId="51DE8569" w14:textId="77777777" w:rsidR="0010369C" w:rsidRDefault="0010369C">
            <w:pPr>
              <w:pStyle w:val="TableParagraph"/>
              <w:rPr>
                <w:rFonts w:ascii="Times New Roman"/>
              </w:rPr>
            </w:pPr>
          </w:p>
        </w:tc>
      </w:tr>
      <w:tr w:rsidR="0010369C" w14:paraId="51DE856C" w14:textId="77777777">
        <w:trPr>
          <w:trHeight w:val="319"/>
        </w:trPr>
        <w:tc>
          <w:tcPr>
            <w:tcW w:w="9130" w:type="dxa"/>
            <w:gridSpan w:val="5"/>
            <w:tcBorders>
              <w:top w:val="single" w:sz="48" w:space="0" w:color="FFFFFF"/>
              <w:bottom w:val="single" w:sz="48" w:space="0" w:color="FFFFFF"/>
            </w:tcBorders>
            <w:shd w:val="clear" w:color="auto" w:fill="000000"/>
          </w:tcPr>
          <w:p w14:paraId="51DE856B" w14:textId="77777777" w:rsidR="0010369C" w:rsidRDefault="0010369C">
            <w:pPr>
              <w:pStyle w:val="TableParagraph"/>
              <w:rPr>
                <w:rFonts w:ascii="Times New Roman"/>
              </w:rPr>
            </w:pPr>
          </w:p>
        </w:tc>
      </w:tr>
      <w:tr w:rsidR="0010369C" w14:paraId="51DE856E" w14:textId="77777777">
        <w:trPr>
          <w:trHeight w:val="319"/>
        </w:trPr>
        <w:tc>
          <w:tcPr>
            <w:tcW w:w="9130" w:type="dxa"/>
            <w:gridSpan w:val="5"/>
            <w:tcBorders>
              <w:top w:val="single" w:sz="48" w:space="0" w:color="FFFFFF"/>
              <w:bottom w:val="single" w:sz="48" w:space="0" w:color="FFFFFF"/>
            </w:tcBorders>
            <w:shd w:val="clear" w:color="auto" w:fill="000000"/>
          </w:tcPr>
          <w:p w14:paraId="51DE856D" w14:textId="77777777" w:rsidR="0010369C" w:rsidRDefault="0010369C">
            <w:pPr>
              <w:pStyle w:val="TableParagraph"/>
              <w:rPr>
                <w:rFonts w:ascii="Times New Roman"/>
              </w:rPr>
            </w:pPr>
          </w:p>
        </w:tc>
      </w:tr>
      <w:tr w:rsidR="0010369C" w14:paraId="51DE8570" w14:textId="77777777">
        <w:trPr>
          <w:trHeight w:val="319"/>
        </w:trPr>
        <w:tc>
          <w:tcPr>
            <w:tcW w:w="9130" w:type="dxa"/>
            <w:gridSpan w:val="5"/>
            <w:tcBorders>
              <w:top w:val="single" w:sz="48" w:space="0" w:color="FFFFFF"/>
              <w:bottom w:val="single" w:sz="48" w:space="0" w:color="FFFFFF"/>
            </w:tcBorders>
            <w:shd w:val="clear" w:color="auto" w:fill="000000"/>
          </w:tcPr>
          <w:p w14:paraId="51DE856F" w14:textId="77777777" w:rsidR="0010369C" w:rsidRDefault="0010369C">
            <w:pPr>
              <w:pStyle w:val="TableParagraph"/>
              <w:rPr>
                <w:rFonts w:ascii="Times New Roman"/>
              </w:rPr>
            </w:pPr>
          </w:p>
        </w:tc>
      </w:tr>
      <w:tr w:rsidR="0010369C" w14:paraId="51DE8572" w14:textId="77777777">
        <w:trPr>
          <w:trHeight w:val="319"/>
        </w:trPr>
        <w:tc>
          <w:tcPr>
            <w:tcW w:w="9130" w:type="dxa"/>
            <w:gridSpan w:val="5"/>
            <w:tcBorders>
              <w:top w:val="single" w:sz="48" w:space="0" w:color="FFFFFF"/>
              <w:bottom w:val="single" w:sz="48" w:space="0" w:color="FFFFFF"/>
            </w:tcBorders>
            <w:shd w:val="clear" w:color="auto" w:fill="000000"/>
          </w:tcPr>
          <w:p w14:paraId="51DE8571" w14:textId="77777777" w:rsidR="0010369C" w:rsidRDefault="0010369C">
            <w:pPr>
              <w:pStyle w:val="TableParagraph"/>
              <w:rPr>
                <w:rFonts w:ascii="Times New Roman"/>
              </w:rPr>
            </w:pPr>
          </w:p>
        </w:tc>
      </w:tr>
      <w:tr w:rsidR="0010369C" w14:paraId="51DE8576" w14:textId="77777777">
        <w:trPr>
          <w:trHeight w:val="154"/>
        </w:trPr>
        <w:tc>
          <w:tcPr>
            <w:tcW w:w="467" w:type="dxa"/>
            <w:vMerge w:val="restart"/>
            <w:tcBorders>
              <w:top w:val="single" w:sz="48" w:space="0" w:color="FFFFFF"/>
              <w:bottom w:val="single" w:sz="48" w:space="0" w:color="FFFFFF"/>
            </w:tcBorders>
            <w:shd w:val="clear" w:color="auto" w:fill="000000"/>
          </w:tcPr>
          <w:p w14:paraId="51DE8573" w14:textId="77777777" w:rsidR="0010369C" w:rsidRDefault="0010369C">
            <w:pPr>
              <w:pStyle w:val="TableParagraph"/>
              <w:rPr>
                <w:rFonts w:ascii="Times New Roman"/>
              </w:rPr>
            </w:pPr>
          </w:p>
        </w:tc>
        <w:tc>
          <w:tcPr>
            <w:tcW w:w="269" w:type="dxa"/>
            <w:tcBorders>
              <w:top w:val="single" w:sz="48" w:space="0" w:color="FFFFFF"/>
              <w:right w:val="single" w:sz="24" w:space="0" w:color="FFFFFF"/>
            </w:tcBorders>
            <w:shd w:val="clear" w:color="auto" w:fill="000000"/>
          </w:tcPr>
          <w:p w14:paraId="51DE8574" w14:textId="77777777" w:rsidR="0010369C" w:rsidRDefault="0010369C">
            <w:pPr>
              <w:pStyle w:val="TableParagraph"/>
              <w:rPr>
                <w:rFonts w:ascii="Times New Roman"/>
                <w:sz w:val="8"/>
              </w:rPr>
            </w:pPr>
          </w:p>
        </w:tc>
        <w:tc>
          <w:tcPr>
            <w:tcW w:w="8394" w:type="dxa"/>
            <w:gridSpan w:val="3"/>
            <w:vMerge w:val="restart"/>
            <w:tcBorders>
              <w:top w:val="single" w:sz="48" w:space="0" w:color="FFFFFF"/>
              <w:left w:val="single" w:sz="24" w:space="0" w:color="FFFFFF"/>
              <w:bottom w:val="single" w:sz="48" w:space="0" w:color="FFFFFF"/>
            </w:tcBorders>
            <w:shd w:val="clear" w:color="auto" w:fill="000000"/>
          </w:tcPr>
          <w:p w14:paraId="51DE8575" w14:textId="77777777" w:rsidR="0010369C" w:rsidRDefault="0010369C">
            <w:pPr>
              <w:pStyle w:val="TableParagraph"/>
              <w:rPr>
                <w:rFonts w:ascii="Times New Roman"/>
              </w:rPr>
            </w:pPr>
          </w:p>
        </w:tc>
      </w:tr>
      <w:tr w:rsidR="0010369C" w14:paraId="51DE857A" w14:textId="77777777">
        <w:trPr>
          <w:trHeight w:val="45"/>
        </w:trPr>
        <w:tc>
          <w:tcPr>
            <w:tcW w:w="467" w:type="dxa"/>
            <w:vMerge/>
            <w:tcBorders>
              <w:top w:val="nil"/>
              <w:bottom w:val="single" w:sz="48" w:space="0" w:color="FFFFFF"/>
            </w:tcBorders>
            <w:shd w:val="clear" w:color="auto" w:fill="000000"/>
          </w:tcPr>
          <w:p w14:paraId="51DE8577" w14:textId="77777777" w:rsidR="0010369C" w:rsidRDefault="0010369C">
            <w:pPr>
              <w:rPr>
                <w:sz w:val="2"/>
                <w:szCs w:val="2"/>
              </w:rPr>
            </w:pPr>
          </w:p>
        </w:tc>
        <w:tc>
          <w:tcPr>
            <w:tcW w:w="269" w:type="dxa"/>
            <w:tcBorders>
              <w:bottom w:val="single" w:sz="48" w:space="0" w:color="FFFFFF"/>
              <w:right w:val="single" w:sz="24" w:space="0" w:color="FFFFFF"/>
            </w:tcBorders>
          </w:tcPr>
          <w:p w14:paraId="51DE8578" w14:textId="77777777" w:rsidR="0010369C" w:rsidRDefault="0010369C">
            <w:pPr>
              <w:pStyle w:val="TableParagraph"/>
              <w:rPr>
                <w:rFonts w:ascii="Times New Roman"/>
                <w:sz w:val="2"/>
              </w:rPr>
            </w:pPr>
          </w:p>
        </w:tc>
        <w:tc>
          <w:tcPr>
            <w:tcW w:w="8394" w:type="dxa"/>
            <w:gridSpan w:val="3"/>
            <w:vMerge/>
            <w:tcBorders>
              <w:top w:val="nil"/>
              <w:left w:val="single" w:sz="24" w:space="0" w:color="FFFFFF"/>
              <w:bottom w:val="single" w:sz="48" w:space="0" w:color="FFFFFF"/>
            </w:tcBorders>
            <w:shd w:val="clear" w:color="auto" w:fill="000000"/>
          </w:tcPr>
          <w:p w14:paraId="51DE8579" w14:textId="77777777" w:rsidR="0010369C" w:rsidRDefault="0010369C">
            <w:pPr>
              <w:rPr>
                <w:sz w:val="2"/>
                <w:szCs w:val="2"/>
              </w:rPr>
            </w:pPr>
          </w:p>
        </w:tc>
      </w:tr>
      <w:tr w:rsidR="0010369C" w14:paraId="51DE857C" w14:textId="77777777">
        <w:trPr>
          <w:trHeight w:val="319"/>
        </w:trPr>
        <w:tc>
          <w:tcPr>
            <w:tcW w:w="9130" w:type="dxa"/>
            <w:gridSpan w:val="5"/>
            <w:tcBorders>
              <w:top w:val="single" w:sz="48" w:space="0" w:color="FFFFFF"/>
              <w:bottom w:val="single" w:sz="48" w:space="0" w:color="FFFFFF"/>
            </w:tcBorders>
            <w:shd w:val="clear" w:color="auto" w:fill="000000"/>
          </w:tcPr>
          <w:p w14:paraId="51DE857B" w14:textId="77777777" w:rsidR="0010369C" w:rsidRDefault="0010369C">
            <w:pPr>
              <w:pStyle w:val="TableParagraph"/>
              <w:rPr>
                <w:rFonts w:ascii="Times New Roman"/>
              </w:rPr>
            </w:pPr>
          </w:p>
        </w:tc>
      </w:tr>
      <w:tr w:rsidR="0010369C" w14:paraId="51DE857E" w14:textId="77777777">
        <w:trPr>
          <w:trHeight w:val="319"/>
        </w:trPr>
        <w:tc>
          <w:tcPr>
            <w:tcW w:w="9130" w:type="dxa"/>
            <w:gridSpan w:val="5"/>
            <w:tcBorders>
              <w:top w:val="single" w:sz="48" w:space="0" w:color="FFFFFF"/>
              <w:bottom w:val="single" w:sz="48" w:space="0" w:color="FFFFFF"/>
            </w:tcBorders>
            <w:shd w:val="clear" w:color="auto" w:fill="000000"/>
          </w:tcPr>
          <w:p w14:paraId="51DE857D" w14:textId="77777777" w:rsidR="0010369C" w:rsidRDefault="0010369C">
            <w:pPr>
              <w:pStyle w:val="TableParagraph"/>
              <w:rPr>
                <w:rFonts w:ascii="Times New Roman"/>
              </w:rPr>
            </w:pPr>
          </w:p>
        </w:tc>
      </w:tr>
      <w:tr w:rsidR="0010369C" w14:paraId="51DE8581" w14:textId="77777777">
        <w:trPr>
          <w:trHeight w:val="320"/>
        </w:trPr>
        <w:tc>
          <w:tcPr>
            <w:tcW w:w="3720" w:type="dxa"/>
            <w:gridSpan w:val="4"/>
            <w:tcBorders>
              <w:top w:val="single" w:sz="48" w:space="0" w:color="FFFFFF"/>
            </w:tcBorders>
            <w:shd w:val="clear" w:color="auto" w:fill="000000"/>
          </w:tcPr>
          <w:p w14:paraId="51DE857F" w14:textId="77777777" w:rsidR="0010369C" w:rsidRDefault="0010369C">
            <w:pPr>
              <w:pStyle w:val="TableParagraph"/>
              <w:rPr>
                <w:rFonts w:ascii="Times New Roman"/>
              </w:rPr>
            </w:pPr>
          </w:p>
        </w:tc>
        <w:tc>
          <w:tcPr>
            <w:tcW w:w="5410" w:type="dxa"/>
            <w:tcBorders>
              <w:top w:val="single" w:sz="48" w:space="0" w:color="FFFFFF"/>
            </w:tcBorders>
          </w:tcPr>
          <w:p w14:paraId="51DE8580" w14:textId="77777777" w:rsidR="0010369C" w:rsidRDefault="008E43AE">
            <w:pPr>
              <w:pStyle w:val="TableParagraph"/>
              <w:spacing w:line="290" w:lineRule="exact"/>
              <w:ind w:left="18"/>
              <w:rPr>
                <w:sz w:val="24"/>
              </w:rPr>
            </w:pPr>
            <w:r>
              <w:rPr>
                <w:spacing w:val="-5"/>
                <w:sz w:val="24"/>
              </w:rPr>
              <w:t>]]</w:t>
            </w:r>
          </w:p>
        </w:tc>
      </w:tr>
    </w:tbl>
    <w:p w14:paraId="51DE8582" w14:textId="77777777" w:rsidR="0010369C" w:rsidRDefault="0010369C">
      <w:pPr>
        <w:pStyle w:val="BodyText"/>
        <w:rPr>
          <w:sz w:val="23"/>
        </w:rPr>
      </w:pPr>
    </w:p>
    <w:p w14:paraId="51DE8583" w14:textId="77777777" w:rsidR="0010369C" w:rsidRDefault="008E43AE">
      <w:pPr>
        <w:pStyle w:val="BodyText"/>
        <w:spacing w:line="360" w:lineRule="auto"/>
        <w:ind w:left="237" w:right="613" w:firstLine="851"/>
        <w:jc w:val="both"/>
      </w:pPr>
      <w:r>
        <w:rPr>
          <w:noProof/>
        </w:rPr>
        <w:drawing>
          <wp:anchor distT="0" distB="0" distL="0" distR="0" simplePos="0" relativeHeight="250934784" behindDoc="1" locked="0" layoutInCell="1" allowOverlap="1" wp14:anchorId="51DEA0DB" wp14:editId="51DEA0DC">
            <wp:simplePos x="0" y="0"/>
            <wp:positionH relativeFrom="page">
              <wp:posOffset>905255</wp:posOffset>
            </wp:positionH>
            <wp:positionV relativeFrom="paragraph">
              <wp:posOffset>47575</wp:posOffset>
            </wp:positionV>
            <wp:extent cx="259079" cy="103631"/>
            <wp:effectExtent l="0" t="0" r="0" b="0"/>
            <wp:wrapNone/>
            <wp:docPr id="541" name="image2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 name="image279.png"/>
                    <pic:cNvPicPr/>
                  </pic:nvPicPr>
                  <pic:blipFill>
                    <a:blip r:embed="rId385" cstate="print"/>
                    <a:stretch>
                      <a:fillRect/>
                    </a:stretch>
                  </pic:blipFill>
                  <pic:spPr>
                    <a:xfrm>
                      <a:off x="0" y="0"/>
                      <a:ext cx="259079" cy="103631"/>
                    </a:xfrm>
                    <a:prstGeom prst="rect">
                      <a:avLst/>
                    </a:prstGeom>
                  </pic:spPr>
                </pic:pic>
              </a:graphicData>
            </a:graphic>
          </wp:anchor>
        </w:drawing>
      </w:r>
      <w:r>
        <w:t>The above analysis makes clear that MOFCOM's use of domestic sales prices where sales</w:t>
      </w:r>
      <w:r>
        <w:rPr>
          <w:spacing w:val="-10"/>
        </w:rPr>
        <w:t xml:space="preserve"> </w:t>
      </w:r>
      <w:r>
        <w:t>for</w:t>
      </w:r>
      <w:r>
        <w:rPr>
          <w:spacing w:val="-9"/>
        </w:rPr>
        <w:t xml:space="preserve"> </w:t>
      </w:r>
      <w:r>
        <w:t>a</w:t>
      </w:r>
      <w:r>
        <w:rPr>
          <w:spacing w:val="-10"/>
        </w:rPr>
        <w:t xml:space="preserve"> </w:t>
      </w:r>
      <w:r>
        <w:t>PCN</w:t>
      </w:r>
      <w:r>
        <w:rPr>
          <w:spacing w:val="-10"/>
        </w:rPr>
        <w:t xml:space="preserve"> </w:t>
      </w:r>
      <w:r>
        <w:t>passed</w:t>
      </w:r>
      <w:r>
        <w:rPr>
          <w:spacing w:val="-10"/>
        </w:rPr>
        <w:t xml:space="preserve"> </w:t>
      </w:r>
      <w:r>
        <w:t>the</w:t>
      </w:r>
      <w:r>
        <w:rPr>
          <w:spacing w:val="-9"/>
        </w:rPr>
        <w:t xml:space="preserve"> </w:t>
      </w:r>
      <w:r>
        <w:t>low</w:t>
      </w:r>
      <w:r>
        <w:rPr>
          <w:spacing w:val="-10"/>
        </w:rPr>
        <w:t xml:space="preserve"> </w:t>
      </w:r>
      <w:r>
        <w:t>volume</w:t>
      </w:r>
      <w:r>
        <w:rPr>
          <w:spacing w:val="-10"/>
        </w:rPr>
        <w:t xml:space="preserve"> </w:t>
      </w:r>
      <w:r>
        <w:t>test</w:t>
      </w:r>
      <w:r>
        <w:rPr>
          <w:spacing w:val="-10"/>
        </w:rPr>
        <w:t xml:space="preserve"> </w:t>
      </w:r>
      <w:r>
        <w:t>was</w:t>
      </w:r>
      <w:r>
        <w:rPr>
          <w:spacing w:val="-11"/>
        </w:rPr>
        <w:t xml:space="preserve"> </w:t>
      </w:r>
      <w:r>
        <w:t>affected</w:t>
      </w:r>
      <w:r>
        <w:rPr>
          <w:spacing w:val="-11"/>
        </w:rPr>
        <w:t xml:space="preserve"> </w:t>
      </w:r>
      <w:r>
        <w:t>by</w:t>
      </w:r>
      <w:r>
        <w:rPr>
          <w:spacing w:val="-11"/>
        </w:rPr>
        <w:t xml:space="preserve"> </w:t>
      </w:r>
      <w:r>
        <w:t>significant</w:t>
      </w:r>
      <w:r>
        <w:rPr>
          <w:spacing w:val="-9"/>
        </w:rPr>
        <w:t xml:space="preserve"> </w:t>
      </w:r>
      <w:r>
        <w:t>product</w:t>
      </w:r>
      <w:r>
        <w:rPr>
          <w:spacing w:val="-9"/>
        </w:rPr>
        <w:t xml:space="preserve"> </w:t>
      </w:r>
      <w:r>
        <w:t>mix</w:t>
      </w:r>
      <w:r>
        <w:rPr>
          <w:spacing w:val="-9"/>
        </w:rPr>
        <w:t xml:space="preserve"> </w:t>
      </w:r>
      <w:r>
        <w:t>differences in the form of physical characteristics, quality, and consumer preferences, which all impact price and affect price comparability. This meant MOFCOM was obligated to adjust for these differences</w:t>
      </w:r>
      <w:r>
        <w:rPr>
          <w:spacing w:val="-7"/>
        </w:rPr>
        <w:t xml:space="preserve"> </w:t>
      </w:r>
      <w:r>
        <w:t>to</w:t>
      </w:r>
      <w:r>
        <w:rPr>
          <w:spacing w:val="-7"/>
        </w:rPr>
        <w:t xml:space="preserve"> </w:t>
      </w:r>
      <w:r>
        <w:t>ensure</w:t>
      </w:r>
      <w:r>
        <w:rPr>
          <w:spacing w:val="-8"/>
        </w:rPr>
        <w:t xml:space="preserve"> </w:t>
      </w:r>
      <w:r>
        <w:t>comparability</w:t>
      </w:r>
      <w:r>
        <w:rPr>
          <w:spacing w:val="-7"/>
        </w:rPr>
        <w:t xml:space="preserve"> </w:t>
      </w:r>
      <w:r>
        <w:t>with</w:t>
      </w:r>
      <w:r>
        <w:rPr>
          <w:spacing w:val="-8"/>
        </w:rPr>
        <w:t xml:space="preserve"> </w:t>
      </w:r>
      <w:r>
        <w:t>export</w:t>
      </w:r>
      <w:r>
        <w:rPr>
          <w:spacing w:val="-9"/>
        </w:rPr>
        <w:t xml:space="preserve"> </w:t>
      </w:r>
      <w:r>
        <w:t>price.</w:t>
      </w:r>
      <w:r>
        <w:rPr>
          <w:spacing w:val="-6"/>
        </w:rPr>
        <w:t xml:space="preserve"> </w:t>
      </w:r>
      <w:r>
        <w:t>As</w:t>
      </w:r>
      <w:r>
        <w:rPr>
          <w:spacing w:val="-8"/>
        </w:rPr>
        <w:t xml:space="preserve"> </w:t>
      </w:r>
      <w:r>
        <w:t>Aus</w:t>
      </w:r>
      <w:r>
        <w:t>tralia</w:t>
      </w:r>
      <w:r>
        <w:rPr>
          <w:spacing w:val="-8"/>
        </w:rPr>
        <w:t xml:space="preserve"> </w:t>
      </w:r>
      <w:r>
        <w:t>will</w:t>
      </w:r>
      <w:r>
        <w:rPr>
          <w:spacing w:val="-7"/>
        </w:rPr>
        <w:t xml:space="preserve"> </w:t>
      </w:r>
      <w:r>
        <w:t>demonstrate</w:t>
      </w:r>
      <w:r>
        <w:rPr>
          <w:spacing w:val="-7"/>
        </w:rPr>
        <w:t xml:space="preserve"> </w:t>
      </w:r>
      <w:r>
        <w:t>below,</w:t>
      </w:r>
      <w:r>
        <w:rPr>
          <w:vertAlign w:val="superscript"/>
        </w:rPr>
        <w:t>290</w:t>
      </w:r>
      <w:r>
        <w:t xml:space="preserve"> MOFCOM</w:t>
      </w:r>
      <w:r>
        <w:rPr>
          <w:spacing w:val="-6"/>
        </w:rPr>
        <w:t xml:space="preserve"> </w:t>
      </w:r>
      <w:r>
        <w:t>failed</w:t>
      </w:r>
      <w:r>
        <w:rPr>
          <w:spacing w:val="-6"/>
        </w:rPr>
        <w:t xml:space="preserve"> </w:t>
      </w:r>
      <w:r>
        <w:t>to</w:t>
      </w:r>
      <w:r>
        <w:rPr>
          <w:spacing w:val="-6"/>
        </w:rPr>
        <w:t xml:space="preserve"> </w:t>
      </w:r>
      <w:r>
        <w:t>make</w:t>
      </w:r>
      <w:r>
        <w:rPr>
          <w:spacing w:val="-7"/>
        </w:rPr>
        <w:t xml:space="preserve"> </w:t>
      </w:r>
      <w:r>
        <w:t>the</w:t>
      </w:r>
      <w:r>
        <w:rPr>
          <w:spacing w:val="-6"/>
        </w:rPr>
        <w:t xml:space="preserve"> </w:t>
      </w:r>
      <w:r>
        <w:t>requisite</w:t>
      </w:r>
      <w:r>
        <w:rPr>
          <w:spacing w:val="-6"/>
        </w:rPr>
        <w:t xml:space="preserve"> </w:t>
      </w:r>
      <w:r>
        <w:t>adjustments</w:t>
      </w:r>
      <w:r>
        <w:rPr>
          <w:spacing w:val="-7"/>
        </w:rPr>
        <w:t xml:space="preserve"> </w:t>
      </w:r>
      <w:r>
        <w:t>to</w:t>
      </w:r>
      <w:r>
        <w:rPr>
          <w:spacing w:val="-6"/>
        </w:rPr>
        <w:t xml:space="preserve"> </w:t>
      </w:r>
      <w:r>
        <w:t>ensure</w:t>
      </w:r>
      <w:r>
        <w:rPr>
          <w:spacing w:val="-6"/>
        </w:rPr>
        <w:t xml:space="preserve"> </w:t>
      </w:r>
      <w:r>
        <w:t>a</w:t>
      </w:r>
      <w:r>
        <w:rPr>
          <w:spacing w:val="-6"/>
        </w:rPr>
        <w:t xml:space="preserve"> </w:t>
      </w:r>
      <w:r>
        <w:t>fair</w:t>
      </w:r>
      <w:r>
        <w:rPr>
          <w:spacing w:val="-6"/>
        </w:rPr>
        <w:t xml:space="preserve"> </w:t>
      </w:r>
      <w:r>
        <w:t>comparison</w:t>
      </w:r>
      <w:r>
        <w:rPr>
          <w:spacing w:val="-7"/>
        </w:rPr>
        <w:t xml:space="preserve"> </w:t>
      </w:r>
      <w:r>
        <w:t>in</w:t>
      </w:r>
      <w:r>
        <w:rPr>
          <w:spacing w:val="-6"/>
        </w:rPr>
        <w:t xml:space="preserve"> </w:t>
      </w:r>
      <w:r>
        <w:t>accordance with Article 2.4 of the Anti‐Dumping Agreement.</w:t>
      </w:r>
    </w:p>
    <w:p w14:paraId="51DE8584" w14:textId="77777777" w:rsidR="0010369C" w:rsidRDefault="008E43AE">
      <w:pPr>
        <w:pStyle w:val="ListParagraph"/>
        <w:numPr>
          <w:ilvl w:val="5"/>
          <w:numId w:val="75"/>
        </w:numPr>
        <w:tabs>
          <w:tab w:val="left" w:pos="5340"/>
          <w:tab w:val="left" w:pos="5341"/>
        </w:tabs>
        <w:spacing w:before="160"/>
        <w:ind w:hanging="848"/>
        <w:jc w:val="both"/>
        <w:rPr>
          <w:sz w:val="24"/>
        </w:rPr>
      </w:pPr>
      <w:r>
        <w:rPr>
          <w:sz w:val="24"/>
          <w:u w:val="single"/>
        </w:rPr>
        <w:t>Level</w:t>
      </w:r>
      <w:r>
        <w:rPr>
          <w:spacing w:val="-4"/>
          <w:sz w:val="24"/>
          <w:u w:val="single"/>
        </w:rPr>
        <w:t xml:space="preserve"> </w:t>
      </w:r>
      <w:r>
        <w:rPr>
          <w:sz w:val="24"/>
          <w:u w:val="single"/>
        </w:rPr>
        <w:t>of</w:t>
      </w:r>
      <w:r>
        <w:rPr>
          <w:spacing w:val="-5"/>
          <w:sz w:val="24"/>
          <w:u w:val="single"/>
        </w:rPr>
        <w:t xml:space="preserve"> </w:t>
      </w:r>
      <w:r>
        <w:rPr>
          <w:spacing w:val="-2"/>
          <w:sz w:val="24"/>
          <w:u w:val="single"/>
        </w:rPr>
        <w:t>Trade</w:t>
      </w:r>
    </w:p>
    <w:p w14:paraId="51DE8585" w14:textId="77777777" w:rsidR="0010369C" w:rsidRDefault="0010369C">
      <w:pPr>
        <w:pStyle w:val="BodyText"/>
        <w:spacing w:before="11"/>
        <w:rPr>
          <w:sz w:val="20"/>
        </w:rPr>
      </w:pPr>
    </w:p>
    <w:p w14:paraId="51DE8586" w14:textId="77777777" w:rsidR="0010369C" w:rsidRDefault="008E43AE">
      <w:pPr>
        <w:spacing w:before="51"/>
        <w:ind w:left="1089"/>
        <w:rPr>
          <w:sz w:val="24"/>
        </w:rPr>
      </w:pPr>
      <w:r>
        <w:rPr>
          <w:noProof/>
        </w:rPr>
        <w:drawing>
          <wp:anchor distT="0" distB="0" distL="0" distR="0" simplePos="0" relativeHeight="250644992" behindDoc="0" locked="0" layoutInCell="1" allowOverlap="1" wp14:anchorId="51DEA0DD" wp14:editId="51DEA0DE">
            <wp:simplePos x="0" y="0"/>
            <wp:positionH relativeFrom="page">
              <wp:posOffset>905255</wp:posOffset>
            </wp:positionH>
            <wp:positionV relativeFrom="paragraph">
              <wp:posOffset>79961</wp:posOffset>
            </wp:positionV>
            <wp:extent cx="259079" cy="103631"/>
            <wp:effectExtent l="0" t="0" r="0" b="0"/>
            <wp:wrapNone/>
            <wp:docPr id="543" name="image2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 name="image280.png"/>
                    <pic:cNvPicPr/>
                  </pic:nvPicPr>
                  <pic:blipFill>
                    <a:blip r:embed="rId386" cstate="print"/>
                    <a:stretch>
                      <a:fillRect/>
                    </a:stretch>
                  </pic:blipFill>
                  <pic:spPr>
                    <a:xfrm>
                      <a:off x="0" y="0"/>
                      <a:ext cx="259079" cy="103631"/>
                    </a:xfrm>
                    <a:prstGeom prst="rect">
                      <a:avLst/>
                    </a:prstGeom>
                  </pic:spPr>
                </pic:pic>
              </a:graphicData>
            </a:graphic>
          </wp:anchor>
        </w:drawing>
      </w:r>
      <w:r>
        <w:pict w14:anchorId="51DEA0DF">
          <v:rect id="docshape569" o:spid="_x0000_s1699" style="position:absolute;left:0;text-align:left;margin-left:119.8pt;margin-top:2.65pt;width:403.6pt;height:16.05pt;z-index:251802112;mso-position-horizontal-relative:page;mso-position-vertical-relative:text" fillcolor="black" stroked="f">
            <w10:wrap anchorx="page"/>
          </v:rect>
        </w:pict>
      </w:r>
      <w:r>
        <w:rPr>
          <w:spacing w:val="-5"/>
          <w:sz w:val="24"/>
        </w:rPr>
        <w:t>[[</w:t>
      </w:r>
    </w:p>
    <w:p w14:paraId="51DE8587" w14:textId="77777777" w:rsidR="0010369C" w:rsidRDefault="008E43AE">
      <w:pPr>
        <w:pStyle w:val="BodyText"/>
        <w:spacing w:before="2"/>
        <w:rPr>
          <w:sz w:val="10"/>
        </w:rPr>
      </w:pPr>
      <w:r>
        <w:pict w14:anchorId="51DEA0E0">
          <v:rect id="docshape570" o:spid="_x0000_s1698" style="position:absolute;margin-left:69.9pt;margin-top:7.45pt;width:453.5pt;height:16.05pt;z-index:-251011584;mso-wrap-distance-left:0;mso-wrap-distance-right:0;mso-position-horizontal-relative:page" fillcolor="black" stroked="f">
            <w10:wrap type="topAndBottom" anchorx="page"/>
          </v:rect>
        </w:pict>
      </w:r>
      <w:r>
        <w:pict w14:anchorId="51DEA0E1">
          <v:rect id="docshape571" o:spid="_x0000_s1697" style="position:absolute;margin-left:69.9pt;margin-top:29.4pt;width:453.5pt;height:16.05pt;z-index:-251010560;mso-wrap-distance-left:0;mso-wrap-distance-right:0;mso-position-horizontal-relative:page" fillcolor="black" stroked="f">
            <w10:wrap type="topAndBottom" anchorx="page"/>
          </v:rect>
        </w:pict>
      </w:r>
      <w:r>
        <w:pict w14:anchorId="51DEA0E2">
          <v:rect id="docshape572" o:spid="_x0000_s1696" style="position:absolute;margin-left:69.9pt;margin-top:51.45pt;width:453.5pt;height:16.05pt;z-index:-251009536;mso-wrap-distance-left:0;mso-wrap-distance-right:0;mso-position-horizontal-relative:page" fillcolor="black" stroked="f">
            <w10:wrap type="topAndBottom" anchorx="page"/>
          </v:rect>
        </w:pict>
      </w:r>
      <w:r>
        <w:pict w14:anchorId="51DEA0E3">
          <v:rect id="docshape573" o:spid="_x0000_s1695" style="position:absolute;margin-left:69.9pt;margin-top:73.4pt;width:453.5pt;height:16.05pt;z-index:-251008512;mso-wrap-distance-left:0;mso-wrap-distance-right:0;mso-position-horizontal-relative:page" fillcolor="black" stroked="f">
            <w10:wrap type="topAndBottom" anchorx="page"/>
          </v:rect>
        </w:pict>
      </w:r>
    </w:p>
    <w:p w14:paraId="51DE8588" w14:textId="77777777" w:rsidR="0010369C" w:rsidRDefault="0010369C">
      <w:pPr>
        <w:pStyle w:val="BodyText"/>
        <w:spacing w:before="8"/>
        <w:rPr>
          <w:sz w:val="7"/>
        </w:rPr>
      </w:pPr>
    </w:p>
    <w:p w14:paraId="51DE8589" w14:textId="77777777" w:rsidR="0010369C" w:rsidRDefault="0010369C">
      <w:pPr>
        <w:pStyle w:val="BodyText"/>
        <w:spacing w:before="9"/>
        <w:rPr>
          <w:sz w:val="7"/>
        </w:rPr>
      </w:pPr>
    </w:p>
    <w:p w14:paraId="51DE858A" w14:textId="77777777" w:rsidR="0010369C" w:rsidRDefault="0010369C">
      <w:pPr>
        <w:pStyle w:val="BodyText"/>
        <w:spacing w:before="8"/>
        <w:rPr>
          <w:sz w:val="7"/>
        </w:rPr>
      </w:pPr>
    </w:p>
    <w:p w14:paraId="51DE858B" w14:textId="77777777" w:rsidR="0010369C" w:rsidRDefault="008E43AE">
      <w:pPr>
        <w:spacing w:before="116"/>
        <w:ind w:left="3658" w:right="1118"/>
        <w:jc w:val="center"/>
        <w:rPr>
          <w:sz w:val="24"/>
        </w:rPr>
      </w:pPr>
      <w:r>
        <w:rPr>
          <w:spacing w:val="-5"/>
          <w:sz w:val="24"/>
        </w:rPr>
        <w:t>]]</w:t>
      </w:r>
    </w:p>
    <w:p w14:paraId="51DE858C" w14:textId="77777777" w:rsidR="0010369C" w:rsidRDefault="0010369C">
      <w:pPr>
        <w:pStyle w:val="BodyText"/>
        <w:spacing w:before="9"/>
        <w:rPr>
          <w:sz w:val="20"/>
        </w:rPr>
      </w:pPr>
    </w:p>
    <w:p w14:paraId="51DE858D" w14:textId="77777777" w:rsidR="0010369C" w:rsidRDefault="008E43AE">
      <w:pPr>
        <w:spacing w:before="52"/>
        <w:ind w:left="1089"/>
        <w:rPr>
          <w:sz w:val="24"/>
        </w:rPr>
      </w:pPr>
      <w:r>
        <w:rPr>
          <w:noProof/>
        </w:rPr>
        <w:drawing>
          <wp:anchor distT="0" distB="0" distL="0" distR="0" simplePos="0" relativeHeight="250646016" behindDoc="0" locked="0" layoutInCell="1" allowOverlap="1" wp14:anchorId="51DEA0E4" wp14:editId="51DEA0E5">
            <wp:simplePos x="0" y="0"/>
            <wp:positionH relativeFrom="page">
              <wp:posOffset>905255</wp:posOffset>
            </wp:positionH>
            <wp:positionV relativeFrom="paragraph">
              <wp:posOffset>81949</wp:posOffset>
            </wp:positionV>
            <wp:extent cx="259079" cy="100753"/>
            <wp:effectExtent l="0" t="0" r="0" b="0"/>
            <wp:wrapNone/>
            <wp:docPr id="545" name="image2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 name="image281.png"/>
                    <pic:cNvPicPr/>
                  </pic:nvPicPr>
                  <pic:blipFill>
                    <a:blip r:embed="rId387" cstate="print"/>
                    <a:stretch>
                      <a:fillRect/>
                    </a:stretch>
                  </pic:blipFill>
                  <pic:spPr>
                    <a:xfrm>
                      <a:off x="0" y="0"/>
                      <a:ext cx="259079" cy="100753"/>
                    </a:xfrm>
                    <a:prstGeom prst="rect">
                      <a:avLst/>
                    </a:prstGeom>
                  </pic:spPr>
                </pic:pic>
              </a:graphicData>
            </a:graphic>
          </wp:anchor>
        </w:drawing>
      </w:r>
      <w:r>
        <w:pict w14:anchorId="51DEA0E6">
          <v:rect id="docshape574" o:spid="_x0000_s1694" style="position:absolute;left:0;text-align:left;margin-left:69.9pt;margin-top:-27.15pt;width:296.1pt;height:16.05pt;z-index:251803136;mso-position-horizontal-relative:page;mso-position-vertical-relative:text" fillcolor="black" stroked="f">
            <w10:wrap anchorx="page"/>
          </v:rect>
        </w:pict>
      </w:r>
      <w:r>
        <w:pict w14:anchorId="51DEA0E7">
          <v:rect id="docshape575" o:spid="_x0000_s1693" style="position:absolute;left:0;text-align:left;margin-left:119.8pt;margin-top:2.7pt;width:403.55pt;height:16.05pt;z-index:251804160;mso-position-horizontal-relative:page;mso-position-vertical-relative:text" fillcolor="black" stroked="f">
            <w10:wrap anchorx="page"/>
          </v:rect>
        </w:pict>
      </w:r>
      <w:r>
        <w:rPr>
          <w:spacing w:val="-5"/>
          <w:sz w:val="24"/>
        </w:rPr>
        <w:t>[[</w:t>
      </w:r>
    </w:p>
    <w:p w14:paraId="51DE858E" w14:textId="77777777" w:rsidR="0010369C" w:rsidRDefault="008E43AE">
      <w:pPr>
        <w:pStyle w:val="BodyText"/>
        <w:spacing w:before="3"/>
        <w:rPr>
          <w:sz w:val="10"/>
        </w:rPr>
      </w:pPr>
      <w:r>
        <w:pict w14:anchorId="51DEA0E8">
          <v:rect id="docshape576" o:spid="_x0000_s1692" style="position:absolute;margin-left:69.9pt;margin-top:7.5pt;width:453.5pt;height:16.05pt;z-index:-251007488;mso-wrap-distance-left:0;mso-wrap-distance-right:0;mso-position-horizontal-relative:page" fillcolor="black" stroked="f">
            <w10:wrap type="topAndBottom" anchorx="page"/>
          </v:rect>
        </w:pict>
      </w:r>
      <w:r>
        <w:pict w14:anchorId="51DEA0E9">
          <v:rect id="docshape577" o:spid="_x0000_s1691" style="position:absolute;margin-left:70.9pt;margin-top:43.05pt;width:2in;height:.8pt;z-index:-251006464;mso-wrap-distance-left:0;mso-wrap-distance-right:0;mso-position-horizontal-relative:page" fillcolor="black" stroked="f">
            <w10:wrap type="topAndBottom" anchorx="page"/>
          </v:rect>
        </w:pict>
      </w:r>
    </w:p>
    <w:p w14:paraId="51DE858F" w14:textId="77777777" w:rsidR="0010369C" w:rsidRDefault="0010369C">
      <w:pPr>
        <w:pStyle w:val="BodyText"/>
        <w:spacing w:before="11"/>
        <w:rPr>
          <w:sz w:val="29"/>
        </w:rPr>
      </w:pPr>
    </w:p>
    <w:p w14:paraId="51DE8590" w14:textId="77777777" w:rsidR="0010369C" w:rsidRDefault="0010369C">
      <w:pPr>
        <w:pStyle w:val="BodyText"/>
        <w:spacing w:before="8"/>
        <w:rPr>
          <w:sz w:val="5"/>
        </w:rPr>
      </w:pPr>
    </w:p>
    <w:p w14:paraId="51DE8591" w14:textId="77777777" w:rsidR="0010369C" w:rsidRDefault="0010369C">
      <w:pPr>
        <w:rPr>
          <w:sz w:val="5"/>
        </w:rPr>
        <w:sectPr w:rsidR="0010369C">
          <w:pgSz w:w="11910" w:h="16840"/>
          <w:pgMar w:top="880" w:right="800" w:bottom="980" w:left="1180" w:header="569" w:footer="788" w:gutter="0"/>
          <w:cols w:space="720"/>
        </w:sectPr>
      </w:pPr>
    </w:p>
    <w:p w14:paraId="51DE8592" w14:textId="77777777" w:rsidR="0010369C" w:rsidRDefault="008E43AE">
      <w:pPr>
        <w:spacing w:before="37"/>
        <w:ind w:left="238"/>
        <w:rPr>
          <w:sz w:val="18"/>
        </w:rPr>
      </w:pPr>
      <w:r>
        <w:pict w14:anchorId="51DEA0EA">
          <v:rect id="docshape578" o:spid="_x0000_s1690" style="position:absolute;left:0;text-align:left;margin-left:86.65pt;margin-top:2.35pt;width:318.05pt;height:12.05pt;z-index:251805184;mso-position-horizontal-relative:page" fillcolor="black" stroked="f">
            <w10:wrap anchorx="page"/>
          </v:rect>
        </w:pict>
      </w:r>
      <w:r>
        <w:rPr>
          <w:sz w:val="12"/>
        </w:rPr>
        <w:t>288</w:t>
      </w:r>
      <w:r>
        <w:rPr>
          <w:spacing w:val="11"/>
          <w:sz w:val="12"/>
        </w:rPr>
        <w:t xml:space="preserve"> </w:t>
      </w:r>
      <w:r>
        <w:rPr>
          <w:spacing w:val="-10"/>
          <w:position w:val="-5"/>
          <w:sz w:val="18"/>
        </w:rPr>
        <w:t>[</w:t>
      </w:r>
    </w:p>
    <w:p w14:paraId="51DE8593" w14:textId="77777777" w:rsidR="0010369C" w:rsidRDefault="008E43AE">
      <w:pPr>
        <w:ind w:left="238"/>
        <w:rPr>
          <w:sz w:val="18"/>
        </w:rPr>
      </w:pPr>
      <w:r>
        <w:rPr>
          <w:sz w:val="18"/>
          <w:vertAlign w:val="superscript"/>
        </w:rPr>
        <w:t>289</w:t>
      </w:r>
      <w:r>
        <w:rPr>
          <w:spacing w:val="-5"/>
          <w:sz w:val="18"/>
        </w:rPr>
        <w:t xml:space="preserve"> </w:t>
      </w:r>
      <w:r>
        <w:rPr>
          <w:sz w:val="18"/>
        </w:rPr>
        <w:t>Panel</w:t>
      </w:r>
      <w:r>
        <w:rPr>
          <w:spacing w:val="-6"/>
          <w:sz w:val="18"/>
        </w:rPr>
        <w:t xml:space="preserve"> </w:t>
      </w:r>
      <w:r>
        <w:rPr>
          <w:sz w:val="18"/>
        </w:rPr>
        <w:t>Report,</w:t>
      </w:r>
      <w:r>
        <w:rPr>
          <w:spacing w:val="-5"/>
          <w:sz w:val="18"/>
        </w:rPr>
        <w:t xml:space="preserve"> </w:t>
      </w:r>
      <w:r>
        <w:rPr>
          <w:i/>
          <w:sz w:val="18"/>
        </w:rPr>
        <w:t>Mexico</w:t>
      </w:r>
      <w:r>
        <w:rPr>
          <w:i/>
          <w:spacing w:val="-5"/>
          <w:sz w:val="18"/>
        </w:rPr>
        <w:t xml:space="preserve"> </w:t>
      </w:r>
      <w:r>
        <w:rPr>
          <w:i/>
          <w:sz w:val="18"/>
        </w:rPr>
        <w:t>–</w:t>
      </w:r>
      <w:r>
        <w:rPr>
          <w:i/>
          <w:spacing w:val="-5"/>
          <w:sz w:val="18"/>
        </w:rPr>
        <w:t xml:space="preserve"> </w:t>
      </w:r>
      <w:r>
        <w:rPr>
          <w:i/>
          <w:sz w:val="18"/>
        </w:rPr>
        <w:t>Steel</w:t>
      </w:r>
      <w:r>
        <w:rPr>
          <w:i/>
          <w:spacing w:val="-6"/>
          <w:sz w:val="18"/>
        </w:rPr>
        <w:t xml:space="preserve"> </w:t>
      </w:r>
      <w:r>
        <w:rPr>
          <w:i/>
          <w:sz w:val="18"/>
        </w:rPr>
        <w:t>Pipes</w:t>
      </w:r>
      <w:r>
        <w:rPr>
          <w:i/>
          <w:spacing w:val="-6"/>
          <w:sz w:val="18"/>
        </w:rPr>
        <w:t xml:space="preserve"> </w:t>
      </w:r>
      <w:r>
        <w:rPr>
          <w:i/>
          <w:sz w:val="18"/>
        </w:rPr>
        <w:t>and</w:t>
      </w:r>
      <w:r>
        <w:rPr>
          <w:i/>
          <w:spacing w:val="-6"/>
          <w:sz w:val="18"/>
        </w:rPr>
        <w:t xml:space="preserve"> </w:t>
      </w:r>
      <w:r>
        <w:rPr>
          <w:i/>
          <w:sz w:val="18"/>
        </w:rPr>
        <w:t>Tubes</w:t>
      </w:r>
      <w:r>
        <w:rPr>
          <w:sz w:val="18"/>
        </w:rPr>
        <w:t>,</w:t>
      </w:r>
      <w:r>
        <w:rPr>
          <w:spacing w:val="-6"/>
          <w:sz w:val="18"/>
        </w:rPr>
        <w:t xml:space="preserve"> </w:t>
      </w:r>
      <w:r>
        <w:rPr>
          <w:sz w:val="18"/>
        </w:rPr>
        <w:t>para.</w:t>
      </w:r>
      <w:r>
        <w:rPr>
          <w:spacing w:val="-5"/>
          <w:sz w:val="18"/>
        </w:rPr>
        <w:t xml:space="preserve"> </w:t>
      </w:r>
      <w:r>
        <w:rPr>
          <w:spacing w:val="-4"/>
          <w:sz w:val="18"/>
        </w:rPr>
        <w:t>7.5.</w:t>
      </w:r>
    </w:p>
    <w:p w14:paraId="51DE8594" w14:textId="77777777" w:rsidR="0010369C" w:rsidRDefault="008E43AE">
      <w:pPr>
        <w:ind w:left="238"/>
        <w:rPr>
          <w:sz w:val="18"/>
        </w:rPr>
      </w:pPr>
      <w:r>
        <w:rPr>
          <w:sz w:val="18"/>
          <w:vertAlign w:val="superscript"/>
        </w:rPr>
        <w:t>290</w:t>
      </w:r>
      <w:r>
        <w:rPr>
          <w:spacing w:val="-5"/>
          <w:sz w:val="18"/>
        </w:rPr>
        <w:t xml:space="preserve"> </w:t>
      </w:r>
      <w:r>
        <w:rPr>
          <w:sz w:val="18"/>
        </w:rPr>
        <w:t>See</w:t>
      </w:r>
      <w:r>
        <w:rPr>
          <w:spacing w:val="-5"/>
          <w:sz w:val="18"/>
        </w:rPr>
        <w:t xml:space="preserve"> </w:t>
      </w:r>
      <w:r>
        <w:rPr>
          <w:sz w:val="18"/>
        </w:rPr>
        <w:t>Section</w:t>
      </w:r>
      <w:r>
        <w:rPr>
          <w:spacing w:val="-5"/>
          <w:sz w:val="18"/>
        </w:rPr>
        <w:t xml:space="preserve"> </w:t>
      </w:r>
      <w:r>
        <w:rPr>
          <w:spacing w:val="-2"/>
          <w:sz w:val="18"/>
        </w:rPr>
        <w:t>II.J.</w:t>
      </w:r>
    </w:p>
    <w:p w14:paraId="51DE8595" w14:textId="77777777" w:rsidR="0010369C" w:rsidRDefault="008E43AE">
      <w:pPr>
        <w:spacing w:before="40"/>
        <w:ind w:left="238"/>
        <w:rPr>
          <w:sz w:val="18"/>
        </w:rPr>
      </w:pPr>
      <w:r>
        <w:br w:type="column"/>
      </w:r>
      <w:r>
        <w:rPr>
          <w:color w:val="5E5E5E"/>
          <w:sz w:val="18"/>
        </w:rPr>
        <w:t>(Exhibit</w:t>
      </w:r>
      <w:r>
        <w:rPr>
          <w:color w:val="5E5E5E"/>
          <w:spacing w:val="-10"/>
          <w:sz w:val="18"/>
        </w:rPr>
        <w:t xml:space="preserve"> </w:t>
      </w:r>
      <w:r>
        <w:rPr>
          <w:color w:val="5E5E5E"/>
          <w:sz w:val="18"/>
        </w:rPr>
        <w:t>AUS‐10</w:t>
      </w:r>
      <w:r>
        <w:rPr>
          <w:color w:val="5E5E5E"/>
          <w:spacing w:val="-9"/>
          <w:sz w:val="18"/>
        </w:rPr>
        <w:t xml:space="preserve"> </w:t>
      </w:r>
      <w:r>
        <w:rPr>
          <w:color w:val="5E5E5E"/>
          <w:spacing w:val="-2"/>
          <w:sz w:val="18"/>
        </w:rPr>
        <w:t>(BCI)).]]</w:t>
      </w:r>
    </w:p>
    <w:p w14:paraId="51DE8596" w14:textId="77777777" w:rsidR="0010369C" w:rsidRDefault="0010369C">
      <w:pPr>
        <w:rPr>
          <w:sz w:val="18"/>
        </w:rPr>
        <w:sectPr w:rsidR="0010369C">
          <w:type w:val="continuous"/>
          <w:pgSz w:w="11910" w:h="16840"/>
          <w:pgMar w:top="1460" w:right="800" w:bottom="280" w:left="1180" w:header="569" w:footer="788" w:gutter="0"/>
          <w:cols w:num="2" w:space="720" w:equalWidth="0">
            <w:col w:w="4574" w:space="2163"/>
            <w:col w:w="3193"/>
          </w:cols>
        </w:sectPr>
      </w:pPr>
    </w:p>
    <w:p w14:paraId="51DE8597" w14:textId="77777777" w:rsidR="0010369C" w:rsidRDefault="008E43AE">
      <w:pPr>
        <w:tabs>
          <w:tab w:val="left" w:pos="6425"/>
        </w:tabs>
        <w:ind w:left="238"/>
        <w:rPr>
          <w:sz w:val="20"/>
        </w:rPr>
      </w:pPr>
      <w:r>
        <w:rPr>
          <w:i/>
          <w:sz w:val="20"/>
        </w:rPr>
        <w:lastRenderedPageBreak/>
        <w:t>China</w:t>
      </w:r>
      <w:r>
        <w:rPr>
          <w:i/>
          <w:spacing w:val="-5"/>
          <w:sz w:val="20"/>
        </w:rPr>
        <w:t xml:space="preserve"> </w:t>
      </w:r>
      <w:r>
        <w:rPr>
          <w:i/>
          <w:sz w:val="20"/>
        </w:rPr>
        <w:t>–</w:t>
      </w:r>
      <w:r>
        <w:rPr>
          <w:i/>
          <w:spacing w:val="-5"/>
          <w:sz w:val="20"/>
        </w:rPr>
        <w:t xml:space="preserve"> </w:t>
      </w:r>
      <w:r>
        <w:rPr>
          <w:i/>
          <w:sz w:val="20"/>
        </w:rPr>
        <w:t>Anti‐Dumping</w:t>
      </w:r>
      <w:r>
        <w:rPr>
          <w:i/>
          <w:spacing w:val="-4"/>
          <w:sz w:val="20"/>
        </w:rPr>
        <w:t xml:space="preserve"> </w:t>
      </w:r>
      <w:r>
        <w:rPr>
          <w:i/>
          <w:sz w:val="20"/>
        </w:rPr>
        <w:t>and</w:t>
      </w:r>
      <w:r>
        <w:rPr>
          <w:i/>
          <w:spacing w:val="-5"/>
          <w:sz w:val="20"/>
        </w:rPr>
        <w:t xml:space="preserve"> </w:t>
      </w:r>
      <w:r>
        <w:rPr>
          <w:i/>
          <w:sz w:val="20"/>
        </w:rPr>
        <w:t>Countervailing</w:t>
      </w:r>
      <w:r>
        <w:rPr>
          <w:i/>
          <w:spacing w:val="-5"/>
          <w:sz w:val="20"/>
        </w:rPr>
        <w:t xml:space="preserve"> </w:t>
      </w:r>
      <w:r>
        <w:rPr>
          <w:i/>
          <w:sz w:val="20"/>
        </w:rPr>
        <w:t>Duty</w:t>
      </w:r>
      <w:r>
        <w:rPr>
          <w:i/>
          <w:spacing w:val="-4"/>
          <w:sz w:val="20"/>
        </w:rPr>
        <w:t xml:space="preserve"> </w:t>
      </w:r>
      <w:r>
        <w:rPr>
          <w:i/>
          <w:spacing w:val="-2"/>
          <w:sz w:val="20"/>
        </w:rPr>
        <w:t>Measures</w:t>
      </w:r>
      <w:r>
        <w:rPr>
          <w:i/>
          <w:sz w:val="20"/>
        </w:rPr>
        <w:tab/>
      </w:r>
      <w:r>
        <w:rPr>
          <w:sz w:val="20"/>
        </w:rPr>
        <w:t>Australia's</w:t>
      </w:r>
      <w:r>
        <w:rPr>
          <w:spacing w:val="-7"/>
          <w:sz w:val="20"/>
        </w:rPr>
        <w:t xml:space="preserve"> </w:t>
      </w:r>
      <w:r>
        <w:rPr>
          <w:sz w:val="20"/>
        </w:rPr>
        <w:t>First</w:t>
      </w:r>
      <w:r>
        <w:rPr>
          <w:spacing w:val="-2"/>
          <w:sz w:val="20"/>
        </w:rPr>
        <w:t xml:space="preserve"> </w:t>
      </w:r>
      <w:r>
        <w:rPr>
          <w:sz w:val="20"/>
        </w:rPr>
        <w:t>Written</w:t>
      </w:r>
      <w:r>
        <w:rPr>
          <w:spacing w:val="-2"/>
          <w:sz w:val="20"/>
        </w:rPr>
        <w:t xml:space="preserve"> Submission</w:t>
      </w:r>
    </w:p>
    <w:p w14:paraId="51DE8598" w14:textId="77777777" w:rsidR="0010369C" w:rsidRDefault="008E43AE">
      <w:pPr>
        <w:tabs>
          <w:tab w:val="left" w:pos="8227"/>
        </w:tabs>
        <w:spacing w:before="1" w:after="37"/>
        <w:ind w:left="239"/>
        <w:rPr>
          <w:sz w:val="20"/>
        </w:rPr>
      </w:pPr>
      <w:r>
        <w:rPr>
          <w:i/>
          <w:sz w:val="20"/>
        </w:rPr>
        <w:t>on</w:t>
      </w:r>
      <w:r>
        <w:rPr>
          <w:i/>
          <w:spacing w:val="-1"/>
          <w:sz w:val="20"/>
        </w:rPr>
        <w:t xml:space="preserve"> </w:t>
      </w:r>
      <w:r>
        <w:rPr>
          <w:i/>
          <w:sz w:val="20"/>
        </w:rPr>
        <w:t>Wine</w:t>
      </w:r>
      <w:r>
        <w:rPr>
          <w:i/>
          <w:spacing w:val="-1"/>
          <w:sz w:val="20"/>
        </w:rPr>
        <w:t xml:space="preserve"> </w:t>
      </w:r>
      <w:r>
        <w:rPr>
          <w:i/>
          <w:sz w:val="20"/>
        </w:rPr>
        <w:t>from</w:t>
      </w:r>
      <w:r>
        <w:rPr>
          <w:i/>
          <w:spacing w:val="-3"/>
          <w:sz w:val="20"/>
        </w:rPr>
        <w:t xml:space="preserve"> </w:t>
      </w:r>
      <w:r>
        <w:rPr>
          <w:i/>
          <w:sz w:val="20"/>
        </w:rPr>
        <w:t>Australia</w:t>
      </w:r>
      <w:r>
        <w:rPr>
          <w:i/>
          <w:spacing w:val="-1"/>
          <w:sz w:val="20"/>
        </w:rPr>
        <w:t xml:space="preserve"> </w:t>
      </w:r>
      <w:r>
        <w:rPr>
          <w:spacing w:val="-2"/>
          <w:sz w:val="20"/>
        </w:rPr>
        <w:t>(DS602)</w:t>
      </w:r>
      <w:r>
        <w:rPr>
          <w:sz w:val="20"/>
        </w:rPr>
        <w:tab/>
        <w:t>29</w:t>
      </w:r>
      <w:r>
        <w:rPr>
          <w:spacing w:val="-1"/>
          <w:sz w:val="20"/>
        </w:rPr>
        <w:t xml:space="preserve"> </w:t>
      </w:r>
      <w:r>
        <w:rPr>
          <w:sz w:val="20"/>
        </w:rPr>
        <w:t>April</w:t>
      </w:r>
      <w:r>
        <w:rPr>
          <w:spacing w:val="-2"/>
          <w:sz w:val="20"/>
        </w:rPr>
        <w:t xml:space="preserve"> </w:t>
      </w:r>
      <w:r>
        <w:rPr>
          <w:spacing w:val="-4"/>
          <w:sz w:val="20"/>
        </w:rPr>
        <w:t>2022</w:t>
      </w:r>
    </w:p>
    <w:tbl>
      <w:tblPr>
        <w:tblW w:w="0" w:type="auto"/>
        <w:tblInd w:w="225" w:type="dxa"/>
        <w:tblLayout w:type="fixed"/>
        <w:tblCellMar>
          <w:left w:w="0" w:type="dxa"/>
          <w:right w:w="0" w:type="dxa"/>
        </w:tblCellMar>
        <w:tblLook w:val="01E0" w:firstRow="1" w:lastRow="1" w:firstColumn="1" w:lastColumn="1" w:noHBand="0" w:noVBand="0"/>
      </w:tblPr>
      <w:tblGrid>
        <w:gridCol w:w="518"/>
        <w:gridCol w:w="262"/>
        <w:gridCol w:w="7506"/>
        <w:gridCol w:w="841"/>
      </w:tblGrid>
      <w:tr w:rsidR="0010369C" w14:paraId="51DE859A" w14:textId="77777777">
        <w:trPr>
          <w:trHeight w:val="320"/>
        </w:trPr>
        <w:tc>
          <w:tcPr>
            <w:tcW w:w="9127" w:type="dxa"/>
            <w:gridSpan w:val="4"/>
            <w:tcBorders>
              <w:bottom w:val="single" w:sz="48" w:space="0" w:color="FFFFFF"/>
            </w:tcBorders>
            <w:shd w:val="clear" w:color="auto" w:fill="000000"/>
          </w:tcPr>
          <w:p w14:paraId="51DE8599" w14:textId="77777777" w:rsidR="0010369C" w:rsidRDefault="0010369C">
            <w:pPr>
              <w:pStyle w:val="TableParagraph"/>
              <w:rPr>
                <w:rFonts w:ascii="Times New Roman"/>
              </w:rPr>
            </w:pPr>
          </w:p>
        </w:tc>
      </w:tr>
      <w:tr w:rsidR="0010369C" w14:paraId="51DE859C" w14:textId="77777777">
        <w:trPr>
          <w:trHeight w:val="319"/>
        </w:trPr>
        <w:tc>
          <w:tcPr>
            <w:tcW w:w="9127" w:type="dxa"/>
            <w:gridSpan w:val="4"/>
            <w:tcBorders>
              <w:top w:val="single" w:sz="48" w:space="0" w:color="FFFFFF"/>
              <w:bottom w:val="single" w:sz="48" w:space="0" w:color="FFFFFF"/>
            </w:tcBorders>
            <w:shd w:val="clear" w:color="auto" w:fill="000000"/>
          </w:tcPr>
          <w:p w14:paraId="51DE859B" w14:textId="77777777" w:rsidR="0010369C" w:rsidRDefault="0010369C">
            <w:pPr>
              <w:pStyle w:val="TableParagraph"/>
              <w:rPr>
                <w:rFonts w:ascii="Times New Roman"/>
              </w:rPr>
            </w:pPr>
          </w:p>
        </w:tc>
      </w:tr>
      <w:tr w:rsidR="0010369C" w14:paraId="51DE859E" w14:textId="77777777">
        <w:trPr>
          <w:trHeight w:val="319"/>
        </w:trPr>
        <w:tc>
          <w:tcPr>
            <w:tcW w:w="9127" w:type="dxa"/>
            <w:gridSpan w:val="4"/>
            <w:tcBorders>
              <w:top w:val="single" w:sz="48" w:space="0" w:color="FFFFFF"/>
              <w:bottom w:val="single" w:sz="48" w:space="0" w:color="FFFFFF"/>
            </w:tcBorders>
            <w:shd w:val="clear" w:color="auto" w:fill="000000"/>
          </w:tcPr>
          <w:p w14:paraId="51DE859D" w14:textId="77777777" w:rsidR="0010369C" w:rsidRDefault="0010369C">
            <w:pPr>
              <w:pStyle w:val="TableParagraph"/>
              <w:rPr>
                <w:rFonts w:ascii="Times New Roman"/>
              </w:rPr>
            </w:pPr>
          </w:p>
        </w:tc>
      </w:tr>
      <w:tr w:rsidR="0010369C" w14:paraId="51DE85A0" w14:textId="77777777">
        <w:trPr>
          <w:trHeight w:val="319"/>
        </w:trPr>
        <w:tc>
          <w:tcPr>
            <w:tcW w:w="9127" w:type="dxa"/>
            <w:gridSpan w:val="4"/>
            <w:tcBorders>
              <w:top w:val="single" w:sz="48" w:space="0" w:color="FFFFFF"/>
              <w:bottom w:val="single" w:sz="48" w:space="0" w:color="FFFFFF"/>
            </w:tcBorders>
            <w:shd w:val="clear" w:color="auto" w:fill="000000"/>
          </w:tcPr>
          <w:p w14:paraId="51DE859F" w14:textId="77777777" w:rsidR="0010369C" w:rsidRDefault="0010369C">
            <w:pPr>
              <w:pStyle w:val="TableParagraph"/>
              <w:rPr>
                <w:rFonts w:ascii="Times New Roman"/>
              </w:rPr>
            </w:pPr>
          </w:p>
        </w:tc>
      </w:tr>
      <w:tr w:rsidR="0010369C" w14:paraId="51DE85A2" w14:textId="77777777">
        <w:trPr>
          <w:trHeight w:val="319"/>
        </w:trPr>
        <w:tc>
          <w:tcPr>
            <w:tcW w:w="9127" w:type="dxa"/>
            <w:gridSpan w:val="4"/>
            <w:tcBorders>
              <w:top w:val="single" w:sz="48" w:space="0" w:color="FFFFFF"/>
              <w:bottom w:val="single" w:sz="48" w:space="0" w:color="FFFFFF"/>
            </w:tcBorders>
            <w:shd w:val="clear" w:color="auto" w:fill="000000"/>
          </w:tcPr>
          <w:p w14:paraId="51DE85A1" w14:textId="77777777" w:rsidR="0010369C" w:rsidRDefault="0010369C">
            <w:pPr>
              <w:pStyle w:val="TableParagraph"/>
              <w:rPr>
                <w:rFonts w:ascii="Times New Roman"/>
              </w:rPr>
            </w:pPr>
          </w:p>
        </w:tc>
      </w:tr>
      <w:tr w:rsidR="0010369C" w14:paraId="51DE85A6" w14:textId="77777777">
        <w:trPr>
          <w:trHeight w:val="154"/>
        </w:trPr>
        <w:tc>
          <w:tcPr>
            <w:tcW w:w="518" w:type="dxa"/>
            <w:vMerge w:val="restart"/>
            <w:tcBorders>
              <w:top w:val="single" w:sz="48" w:space="0" w:color="FFFFFF"/>
              <w:bottom w:val="single" w:sz="48" w:space="0" w:color="FFFFFF"/>
            </w:tcBorders>
            <w:shd w:val="clear" w:color="auto" w:fill="000000"/>
          </w:tcPr>
          <w:p w14:paraId="51DE85A3" w14:textId="77777777" w:rsidR="0010369C" w:rsidRDefault="0010369C">
            <w:pPr>
              <w:pStyle w:val="TableParagraph"/>
              <w:rPr>
                <w:rFonts w:ascii="Times New Roman"/>
              </w:rPr>
            </w:pPr>
          </w:p>
        </w:tc>
        <w:tc>
          <w:tcPr>
            <w:tcW w:w="262" w:type="dxa"/>
            <w:tcBorders>
              <w:top w:val="single" w:sz="48" w:space="0" w:color="FFFFFF"/>
              <w:right w:val="single" w:sz="18" w:space="0" w:color="FFFFFF"/>
            </w:tcBorders>
            <w:shd w:val="clear" w:color="auto" w:fill="000000"/>
          </w:tcPr>
          <w:p w14:paraId="51DE85A4" w14:textId="77777777" w:rsidR="0010369C" w:rsidRDefault="0010369C">
            <w:pPr>
              <w:pStyle w:val="TableParagraph"/>
              <w:rPr>
                <w:rFonts w:ascii="Times New Roman"/>
                <w:sz w:val="8"/>
              </w:rPr>
            </w:pPr>
          </w:p>
        </w:tc>
        <w:tc>
          <w:tcPr>
            <w:tcW w:w="8347" w:type="dxa"/>
            <w:gridSpan w:val="2"/>
            <w:vMerge w:val="restart"/>
            <w:tcBorders>
              <w:top w:val="single" w:sz="48" w:space="0" w:color="FFFFFF"/>
              <w:left w:val="single" w:sz="18" w:space="0" w:color="FFFFFF"/>
              <w:bottom w:val="single" w:sz="48" w:space="0" w:color="FFFFFF"/>
            </w:tcBorders>
            <w:shd w:val="clear" w:color="auto" w:fill="000000"/>
          </w:tcPr>
          <w:p w14:paraId="51DE85A5" w14:textId="77777777" w:rsidR="0010369C" w:rsidRDefault="0010369C">
            <w:pPr>
              <w:pStyle w:val="TableParagraph"/>
              <w:rPr>
                <w:rFonts w:ascii="Times New Roman"/>
              </w:rPr>
            </w:pPr>
          </w:p>
        </w:tc>
      </w:tr>
      <w:tr w:rsidR="0010369C" w14:paraId="51DE85AA" w14:textId="77777777">
        <w:trPr>
          <w:trHeight w:val="45"/>
        </w:trPr>
        <w:tc>
          <w:tcPr>
            <w:tcW w:w="518" w:type="dxa"/>
            <w:vMerge/>
            <w:tcBorders>
              <w:top w:val="nil"/>
              <w:bottom w:val="single" w:sz="48" w:space="0" w:color="FFFFFF"/>
            </w:tcBorders>
            <w:shd w:val="clear" w:color="auto" w:fill="000000"/>
          </w:tcPr>
          <w:p w14:paraId="51DE85A7" w14:textId="77777777" w:rsidR="0010369C" w:rsidRDefault="0010369C">
            <w:pPr>
              <w:rPr>
                <w:sz w:val="2"/>
                <w:szCs w:val="2"/>
              </w:rPr>
            </w:pPr>
          </w:p>
        </w:tc>
        <w:tc>
          <w:tcPr>
            <w:tcW w:w="262" w:type="dxa"/>
            <w:tcBorders>
              <w:bottom w:val="single" w:sz="48" w:space="0" w:color="FFFFFF"/>
              <w:right w:val="single" w:sz="18" w:space="0" w:color="FFFFFF"/>
            </w:tcBorders>
          </w:tcPr>
          <w:p w14:paraId="51DE85A8" w14:textId="77777777" w:rsidR="0010369C" w:rsidRDefault="0010369C">
            <w:pPr>
              <w:pStyle w:val="TableParagraph"/>
              <w:rPr>
                <w:rFonts w:ascii="Times New Roman"/>
                <w:sz w:val="2"/>
              </w:rPr>
            </w:pPr>
          </w:p>
        </w:tc>
        <w:tc>
          <w:tcPr>
            <w:tcW w:w="8347" w:type="dxa"/>
            <w:gridSpan w:val="2"/>
            <w:vMerge/>
            <w:tcBorders>
              <w:top w:val="nil"/>
              <w:left w:val="single" w:sz="18" w:space="0" w:color="FFFFFF"/>
              <w:bottom w:val="single" w:sz="48" w:space="0" w:color="FFFFFF"/>
            </w:tcBorders>
            <w:shd w:val="clear" w:color="auto" w:fill="000000"/>
          </w:tcPr>
          <w:p w14:paraId="51DE85A9" w14:textId="77777777" w:rsidR="0010369C" w:rsidRDefault="0010369C">
            <w:pPr>
              <w:rPr>
                <w:sz w:val="2"/>
                <w:szCs w:val="2"/>
              </w:rPr>
            </w:pPr>
          </w:p>
        </w:tc>
      </w:tr>
      <w:tr w:rsidR="0010369C" w14:paraId="51DE85AD" w14:textId="77777777">
        <w:trPr>
          <w:trHeight w:val="320"/>
        </w:trPr>
        <w:tc>
          <w:tcPr>
            <w:tcW w:w="8286" w:type="dxa"/>
            <w:gridSpan w:val="3"/>
            <w:tcBorders>
              <w:top w:val="single" w:sz="48" w:space="0" w:color="FFFFFF"/>
            </w:tcBorders>
            <w:shd w:val="clear" w:color="auto" w:fill="000000"/>
          </w:tcPr>
          <w:p w14:paraId="51DE85AB" w14:textId="77777777" w:rsidR="0010369C" w:rsidRDefault="0010369C">
            <w:pPr>
              <w:pStyle w:val="TableParagraph"/>
              <w:rPr>
                <w:rFonts w:ascii="Times New Roman"/>
              </w:rPr>
            </w:pPr>
          </w:p>
        </w:tc>
        <w:tc>
          <w:tcPr>
            <w:tcW w:w="841" w:type="dxa"/>
            <w:tcBorders>
              <w:top w:val="single" w:sz="48" w:space="0" w:color="FFFFFF"/>
            </w:tcBorders>
          </w:tcPr>
          <w:p w14:paraId="51DE85AC" w14:textId="77777777" w:rsidR="0010369C" w:rsidRDefault="008E43AE">
            <w:pPr>
              <w:pStyle w:val="TableParagraph"/>
              <w:spacing w:line="290" w:lineRule="exact"/>
              <w:ind w:left="20"/>
              <w:rPr>
                <w:sz w:val="24"/>
              </w:rPr>
            </w:pPr>
            <w:r>
              <w:rPr>
                <w:color w:val="5E5E5E"/>
                <w:spacing w:val="-5"/>
                <w:sz w:val="24"/>
              </w:rPr>
              <w:t>.</w:t>
            </w:r>
            <w:r>
              <w:rPr>
                <w:spacing w:val="-5"/>
                <w:sz w:val="24"/>
              </w:rPr>
              <w:t>]]</w:t>
            </w:r>
          </w:p>
        </w:tc>
      </w:tr>
    </w:tbl>
    <w:p w14:paraId="51DE85AE" w14:textId="77777777" w:rsidR="0010369C" w:rsidRDefault="0010369C">
      <w:pPr>
        <w:pStyle w:val="BodyText"/>
        <w:spacing w:before="9"/>
        <w:rPr>
          <w:sz w:val="22"/>
        </w:rPr>
      </w:pPr>
    </w:p>
    <w:p w14:paraId="51DE85AF" w14:textId="77777777" w:rsidR="0010369C" w:rsidRDefault="008E43AE">
      <w:pPr>
        <w:pStyle w:val="BodyText"/>
        <w:spacing w:line="360" w:lineRule="auto"/>
        <w:ind w:left="237" w:right="613" w:firstLine="851"/>
        <w:jc w:val="both"/>
      </w:pPr>
      <w:r>
        <w:rPr>
          <w:noProof/>
        </w:rPr>
        <w:drawing>
          <wp:anchor distT="0" distB="0" distL="0" distR="0" simplePos="0" relativeHeight="250935808" behindDoc="1" locked="0" layoutInCell="1" allowOverlap="1" wp14:anchorId="51DEA0EB" wp14:editId="51DEA0EC">
            <wp:simplePos x="0" y="0"/>
            <wp:positionH relativeFrom="page">
              <wp:posOffset>905255</wp:posOffset>
            </wp:positionH>
            <wp:positionV relativeFrom="paragraph">
              <wp:posOffset>47575</wp:posOffset>
            </wp:positionV>
            <wp:extent cx="259079" cy="103631"/>
            <wp:effectExtent l="0" t="0" r="0" b="0"/>
            <wp:wrapNone/>
            <wp:docPr id="547" name="image2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 name="image282.png"/>
                    <pic:cNvPicPr/>
                  </pic:nvPicPr>
                  <pic:blipFill>
                    <a:blip r:embed="rId388" cstate="print"/>
                    <a:stretch>
                      <a:fillRect/>
                    </a:stretch>
                  </pic:blipFill>
                  <pic:spPr>
                    <a:xfrm>
                      <a:off x="0" y="0"/>
                      <a:ext cx="259079" cy="103631"/>
                    </a:xfrm>
                    <a:prstGeom prst="rect">
                      <a:avLst/>
                    </a:prstGeom>
                  </pic:spPr>
                </pic:pic>
              </a:graphicData>
            </a:graphic>
          </wp:anchor>
        </w:drawing>
      </w:r>
      <w:r>
        <w:t>The</w:t>
      </w:r>
      <w:r>
        <w:rPr>
          <w:spacing w:val="-14"/>
        </w:rPr>
        <w:t xml:space="preserve"> </w:t>
      </w:r>
      <w:r>
        <w:t>above</w:t>
      </w:r>
      <w:r>
        <w:rPr>
          <w:spacing w:val="-14"/>
        </w:rPr>
        <w:t xml:space="preserve"> </w:t>
      </w:r>
      <w:r>
        <w:t>analysis</w:t>
      </w:r>
      <w:r>
        <w:rPr>
          <w:spacing w:val="-13"/>
        </w:rPr>
        <w:t xml:space="preserve"> </w:t>
      </w:r>
      <w:r>
        <w:t>makes</w:t>
      </w:r>
      <w:r>
        <w:rPr>
          <w:spacing w:val="-14"/>
        </w:rPr>
        <w:t xml:space="preserve"> </w:t>
      </w:r>
      <w:r>
        <w:t>clear</w:t>
      </w:r>
      <w:r>
        <w:rPr>
          <w:spacing w:val="-13"/>
        </w:rPr>
        <w:t xml:space="preserve"> </w:t>
      </w:r>
      <w:r>
        <w:t>that</w:t>
      </w:r>
      <w:r>
        <w:rPr>
          <w:spacing w:val="-14"/>
        </w:rPr>
        <w:t xml:space="preserve"> </w:t>
      </w:r>
      <w:r>
        <w:t>Treasury</w:t>
      </w:r>
      <w:r>
        <w:rPr>
          <w:spacing w:val="-13"/>
        </w:rPr>
        <w:t xml:space="preserve"> </w:t>
      </w:r>
      <w:r>
        <w:t>Wines'</w:t>
      </w:r>
      <w:r>
        <w:rPr>
          <w:spacing w:val="-14"/>
        </w:rPr>
        <w:t xml:space="preserve"> </w:t>
      </w:r>
      <w:r>
        <w:t>"above</w:t>
      </w:r>
      <w:r>
        <w:rPr>
          <w:spacing w:val="-14"/>
        </w:rPr>
        <w:t xml:space="preserve"> </w:t>
      </w:r>
      <w:r>
        <w:t>cost"</w:t>
      </w:r>
      <w:r>
        <w:rPr>
          <w:spacing w:val="-13"/>
        </w:rPr>
        <w:t xml:space="preserve"> </w:t>
      </w:r>
      <w:r>
        <w:t>sales</w:t>
      </w:r>
      <w:r>
        <w:rPr>
          <w:spacing w:val="-14"/>
        </w:rPr>
        <w:t xml:space="preserve"> </w:t>
      </w:r>
      <w:r>
        <w:t>were</w:t>
      </w:r>
      <w:r>
        <w:rPr>
          <w:spacing w:val="-13"/>
        </w:rPr>
        <w:t xml:space="preserve"> </w:t>
      </w:r>
      <w:r>
        <w:t>affected by</w:t>
      </w:r>
      <w:r>
        <w:rPr>
          <w:spacing w:val="-11"/>
        </w:rPr>
        <w:t xml:space="preserve"> </w:t>
      </w:r>
      <w:r>
        <w:t>level</w:t>
      </w:r>
      <w:r>
        <w:rPr>
          <w:spacing w:val="-10"/>
        </w:rPr>
        <w:t xml:space="preserve"> </w:t>
      </w:r>
      <w:r>
        <w:t>of</w:t>
      </w:r>
      <w:r>
        <w:rPr>
          <w:spacing w:val="-11"/>
        </w:rPr>
        <w:t xml:space="preserve"> </w:t>
      </w:r>
      <w:r>
        <w:t>trade</w:t>
      </w:r>
      <w:r>
        <w:rPr>
          <w:spacing w:val="-11"/>
        </w:rPr>
        <w:t xml:space="preserve"> </w:t>
      </w:r>
      <w:r>
        <w:t>differences.</w:t>
      </w:r>
      <w:r>
        <w:rPr>
          <w:spacing w:val="-10"/>
        </w:rPr>
        <w:t xml:space="preserve"> </w:t>
      </w:r>
      <w:r>
        <w:t>MOFCOM</w:t>
      </w:r>
      <w:r>
        <w:rPr>
          <w:spacing w:val="-11"/>
        </w:rPr>
        <w:t xml:space="preserve"> </w:t>
      </w:r>
      <w:r>
        <w:t>was</w:t>
      </w:r>
      <w:r>
        <w:rPr>
          <w:spacing w:val="-11"/>
        </w:rPr>
        <w:t xml:space="preserve"> </w:t>
      </w:r>
      <w:r>
        <w:t>obligated</w:t>
      </w:r>
      <w:r>
        <w:rPr>
          <w:spacing w:val="-11"/>
        </w:rPr>
        <w:t xml:space="preserve"> </w:t>
      </w:r>
      <w:r>
        <w:t>to</w:t>
      </w:r>
      <w:r>
        <w:rPr>
          <w:spacing w:val="-11"/>
        </w:rPr>
        <w:t xml:space="preserve"> </w:t>
      </w:r>
      <w:r>
        <w:t>adjust</w:t>
      </w:r>
      <w:r>
        <w:rPr>
          <w:spacing w:val="-11"/>
        </w:rPr>
        <w:t xml:space="preserve"> </w:t>
      </w:r>
      <w:r>
        <w:t>for</w:t>
      </w:r>
      <w:r>
        <w:rPr>
          <w:spacing w:val="-11"/>
        </w:rPr>
        <w:t xml:space="preserve"> </w:t>
      </w:r>
      <w:r>
        <w:t>these</w:t>
      </w:r>
      <w:r>
        <w:rPr>
          <w:spacing w:val="-11"/>
        </w:rPr>
        <w:t xml:space="preserve"> </w:t>
      </w:r>
      <w:r>
        <w:t>differences</w:t>
      </w:r>
      <w:r>
        <w:rPr>
          <w:spacing w:val="-11"/>
        </w:rPr>
        <w:t xml:space="preserve"> </w:t>
      </w:r>
      <w:r>
        <w:t>to</w:t>
      </w:r>
      <w:r>
        <w:rPr>
          <w:spacing w:val="-11"/>
        </w:rPr>
        <w:t xml:space="preserve"> </w:t>
      </w:r>
      <w:r>
        <w:t>ensure comparability of the resulting normal value with export price. As Australia will demonstrate below,</w:t>
      </w:r>
      <w:r>
        <w:rPr>
          <w:vertAlign w:val="superscript"/>
        </w:rPr>
        <w:t>292</w:t>
      </w:r>
      <w:r>
        <w:t xml:space="preserve"> MOFCOM failed to make the requisite adjustments to ensure a fair comparison in accordance with Article 2.4 of the Anti‐Dumping Agreement.</w:t>
      </w:r>
    </w:p>
    <w:p w14:paraId="51DE85B0" w14:textId="77777777" w:rsidR="0010369C" w:rsidRDefault="008E43AE">
      <w:pPr>
        <w:pStyle w:val="Heading4"/>
        <w:numPr>
          <w:ilvl w:val="2"/>
          <w:numId w:val="75"/>
        </w:numPr>
        <w:tabs>
          <w:tab w:val="left" w:pos="2648"/>
          <w:tab w:val="left" w:pos="2650"/>
        </w:tabs>
        <w:spacing w:line="360" w:lineRule="auto"/>
        <w:ind w:left="2649" w:right="616"/>
        <w:jc w:val="both"/>
      </w:pPr>
      <w:bookmarkStart w:id="25" w:name="_TOC_250004"/>
      <w:bookmarkEnd w:id="25"/>
      <w:r>
        <w:t>MOFCOM i</w:t>
      </w:r>
      <w:r>
        <w:t>mproperly resorted to and calculated constructed normal value</w:t>
      </w:r>
    </w:p>
    <w:p w14:paraId="51DE85B1" w14:textId="77777777" w:rsidR="0010369C" w:rsidRDefault="0010369C">
      <w:pPr>
        <w:pStyle w:val="BodyText"/>
        <w:spacing w:before="11"/>
        <w:rPr>
          <w:b/>
          <w:sz w:val="8"/>
        </w:rPr>
      </w:pPr>
    </w:p>
    <w:p w14:paraId="51DE85B2" w14:textId="77777777" w:rsidR="0010369C" w:rsidRDefault="008E43AE">
      <w:pPr>
        <w:pStyle w:val="BodyText"/>
        <w:spacing w:before="51" w:line="360" w:lineRule="auto"/>
        <w:ind w:left="237" w:firstLine="851"/>
      </w:pPr>
      <w:r>
        <w:rPr>
          <w:noProof/>
        </w:rPr>
        <w:drawing>
          <wp:anchor distT="0" distB="0" distL="0" distR="0" simplePos="0" relativeHeight="250936832" behindDoc="1" locked="0" layoutInCell="1" allowOverlap="1" wp14:anchorId="51DEA0ED" wp14:editId="51DEA0EE">
            <wp:simplePos x="0" y="0"/>
            <wp:positionH relativeFrom="page">
              <wp:posOffset>905255</wp:posOffset>
            </wp:positionH>
            <wp:positionV relativeFrom="paragraph">
              <wp:posOffset>80722</wp:posOffset>
            </wp:positionV>
            <wp:extent cx="259079" cy="103631"/>
            <wp:effectExtent l="0" t="0" r="0" b="0"/>
            <wp:wrapNone/>
            <wp:docPr id="549" name="image2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 name="image283.png"/>
                    <pic:cNvPicPr/>
                  </pic:nvPicPr>
                  <pic:blipFill>
                    <a:blip r:embed="rId389" cstate="print"/>
                    <a:stretch>
                      <a:fillRect/>
                    </a:stretch>
                  </pic:blipFill>
                  <pic:spPr>
                    <a:xfrm>
                      <a:off x="0" y="0"/>
                      <a:ext cx="259079" cy="103631"/>
                    </a:xfrm>
                    <a:prstGeom prst="rect">
                      <a:avLst/>
                    </a:prstGeom>
                  </pic:spPr>
                </pic:pic>
              </a:graphicData>
            </a:graphic>
          </wp:anchor>
        </w:drawing>
      </w:r>
      <w:r>
        <w:t>MOFCOM's</w:t>
      </w:r>
      <w:r>
        <w:rPr>
          <w:spacing w:val="40"/>
        </w:rPr>
        <w:t xml:space="preserve"> </w:t>
      </w:r>
      <w:r>
        <w:t>use</w:t>
      </w:r>
      <w:r>
        <w:rPr>
          <w:spacing w:val="40"/>
        </w:rPr>
        <w:t xml:space="preserve"> </w:t>
      </w:r>
      <w:r>
        <w:t>of</w:t>
      </w:r>
      <w:r>
        <w:rPr>
          <w:spacing w:val="39"/>
        </w:rPr>
        <w:t xml:space="preserve"> </w:t>
      </w:r>
      <w:r>
        <w:t>constructed</w:t>
      </w:r>
      <w:r>
        <w:rPr>
          <w:spacing w:val="38"/>
        </w:rPr>
        <w:t xml:space="preserve"> </w:t>
      </w:r>
      <w:r>
        <w:t>normal</w:t>
      </w:r>
      <w:r>
        <w:rPr>
          <w:spacing w:val="39"/>
        </w:rPr>
        <w:t xml:space="preserve"> </w:t>
      </w:r>
      <w:r>
        <w:t>value</w:t>
      </w:r>
      <w:r>
        <w:rPr>
          <w:spacing w:val="39"/>
        </w:rPr>
        <w:t xml:space="preserve"> </w:t>
      </w:r>
      <w:r>
        <w:t>was</w:t>
      </w:r>
      <w:r>
        <w:rPr>
          <w:spacing w:val="39"/>
        </w:rPr>
        <w:t xml:space="preserve"> </w:t>
      </w:r>
      <w:r>
        <w:t>affected</w:t>
      </w:r>
      <w:r>
        <w:rPr>
          <w:spacing w:val="39"/>
        </w:rPr>
        <w:t xml:space="preserve"> </w:t>
      </w:r>
      <w:r>
        <w:t>by</w:t>
      </w:r>
      <w:r>
        <w:rPr>
          <w:spacing w:val="40"/>
        </w:rPr>
        <w:t xml:space="preserve"> </w:t>
      </w:r>
      <w:r>
        <w:t>multiple</w:t>
      </w:r>
      <w:r>
        <w:rPr>
          <w:spacing w:val="39"/>
        </w:rPr>
        <w:t xml:space="preserve"> </w:t>
      </w:r>
      <w:r>
        <w:t>errors.</w:t>
      </w:r>
      <w:r>
        <w:rPr>
          <w:spacing w:val="39"/>
        </w:rPr>
        <w:t xml:space="preserve"> </w:t>
      </w:r>
      <w:r>
        <w:t>As discussed above, MOFCOM made the following errors:</w:t>
      </w:r>
    </w:p>
    <w:p w14:paraId="51DE85B3" w14:textId="77777777" w:rsidR="0010369C" w:rsidRDefault="008E43AE">
      <w:pPr>
        <w:pStyle w:val="ListParagraph"/>
        <w:numPr>
          <w:ilvl w:val="1"/>
          <w:numId w:val="69"/>
        </w:numPr>
        <w:tabs>
          <w:tab w:val="left" w:pos="1939"/>
          <w:tab w:val="left" w:pos="1940"/>
        </w:tabs>
        <w:spacing w:before="160"/>
        <w:ind w:hanging="852"/>
        <w:jc w:val="left"/>
        <w:rPr>
          <w:rFonts w:ascii="Symbol" w:hAnsi="Symbol"/>
          <w:color w:val="5E5E5E"/>
          <w:sz w:val="24"/>
        </w:rPr>
      </w:pPr>
      <w:r>
        <w:pict w14:anchorId="51DEA0EF">
          <v:rect id="docshape585" o:spid="_x0000_s1689" style="position:absolute;left:0;text-align:left;margin-left:162.3pt;margin-top:8.75pt;width:361.1pt;height:16.05pt;z-index:251806208;mso-position-horizontal-relative:page" fillcolor="black" stroked="f">
            <w10:wrap anchorx="page"/>
          </v:rect>
        </w:pict>
      </w:r>
      <w:r>
        <w:rPr>
          <w:spacing w:val="-5"/>
          <w:sz w:val="24"/>
        </w:rPr>
        <w:t>[[</w:t>
      </w:r>
    </w:p>
    <w:p w14:paraId="51DE85B4" w14:textId="77777777" w:rsidR="0010369C" w:rsidRDefault="008E43AE">
      <w:pPr>
        <w:pStyle w:val="BodyText"/>
        <w:spacing w:before="2"/>
        <w:rPr>
          <w:sz w:val="10"/>
        </w:rPr>
      </w:pPr>
      <w:r>
        <w:pict w14:anchorId="51DEA0F0">
          <v:rect id="docshape586" o:spid="_x0000_s1688" style="position:absolute;margin-left:155pt;margin-top:7.45pt;width:368.4pt;height:16.05pt;z-index:-251005440;mso-wrap-distance-left:0;mso-wrap-distance-right:0;mso-position-horizontal-relative:page" fillcolor="black" stroked="f">
            <w10:wrap type="topAndBottom" anchorx="page"/>
          </v:rect>
        </w:pict>
      </w:r>
    </w:p>
    <w:p w14:paraId="51DE85B5" w14:textId="77777777" w:rsidR="0010369C" w:rsidRDefault="008E43AE">
      <w:pPr>
        <w:spacing w:before="115"/>
        <w:ind w:left="2652" w:right="2811"/>
        <w:jc w:val="center"/>
        <w:rPr>
          <w:sz w:val="24"/>
        </w:rPr>
      </w:pPr>
      <w:r>
        <w:rPr>
          <w:spacing w:val="-5"/>
          <w:sz w:val="24"/>
        </w:rPr>
        <w:t>]]</w:t>
      </w:r>
    </w:p>
    <w:p w14:paraId="51DE85B6" w14:textId="77777777" w:rsidR="0010369C" w:rsidRDefault="0010369C">
      <w:pPr>
        <w:pStyle w:val="BodyText"/>
        <w:spacing w:before="12"/>
        <w:rPr>
          <w:sz w:val="21"/>
        </w:rPr>
      </w:pPr>
    </w:p>
    <w:p w14:paraId="51DE85B7" w14:textId="77777777" w:rsidR="0010369C" w:rsidRDefault="008E43AE">
      <w:pPr>
        <w:pStyle w:val="ListParagraph"/>
        <w:numPr>
          <w:ilvl w:val="1"/>
          <w:numId w:val="69"/>
        </w:numPr>
        <w:tabs>
          <w:tab w:val="left" w:pos="1940"/>
          <w:tab w:val="left" w:pos="1941"/>
        </w:tabs>
        <w:spacing w:before="0" w:line="357" w:lineRule="auto"/>
        <w:ind w:right="611"/>
        <w:rPr>
          <w:rFonts w:ascii="Symbol" w:hAnsi="Symbol"/>
          <w:sz w:val="24"/>
        </w:rPr>
      </w:pPr>
      <w:r>
        <w:pict w14:anchorId="51DEA0F1">
          <v:rect id="docshape587" o:spid="_x0000_s1687" style="position:absolute;left:0;text-align:left;margin-left:155pt;margin-top:-27.95pt;width:143.4pt;height:16.05pt;z-index:251807232;mso-position-horizontal-relative:page" fillcolor="black" stroked="f">
            <w10:wrap anchorx="page"/>
          </v:rect>
        </w:pict>
      </w:r>
      <w:r>
        <w:rPr>
          <w:sz w:val="24"/>
        </w:rPr>
        <w:t>identified deficiencies in Treasury Wines' production costs and expenses forms that were either incorrect, or which were not necessary for the purposes of constructing normal value, and which resulted in MOFCOM having incorrect recourse to facts available;</w:t>
      </w:r>
      <w:r>
        <w:rPr>
          <w:sz w:val="24"/>
        </w:rPr>
        <w:t xml:space="preserve"> and</w:t>
      </w:r>
    </w:p>
    <w:p w14:paraId="51DE85B8" w14:textId="77777777" w:rsidR="0010369C" w:rsidRDefault="008E43AE">
      <w:pPr>
        <w:pStyle w:val="ListParagraph"/>
        <w:numPr>
          <w:ilvl w:val="1"/>
          <w:numId w:val="69"/>
        </w:numPr>
        <w:tabs>
          <w:tab w:val="left" w:pos="1940"/>
          <w:tab w:val="left" w:pos="1941"/>
        </w:tabs>
        <w:spacing w:before="130"/>
        <w:ind w:left="1940" w:hanging="852"/>
        <w:rPr>
          <w:rFonts w:ascii="Symbol" w:hAnsi="Symbol"/>
          <w:sz w:val="24"/>
        </w:rPr>
      </w:pPr>
      <w:r>
        <w:rPr>
          <w:sz w:val="24"/>
        </w:rPr>
        <w:t>did</w:t>
      </w:r>
      <w:r>
        <w:rPr>
          <w:spacing w:val="-9"/>
          <w:sz w:val="24"/>
        </w:rPr>
        <w:t xml:space="preserve"> </w:t>
      </w:r>
      <w:r>
        <w:rPr>
          <w:sz w:val="24"/>
        </w:rPr>
        <w:t>not</w:t>
      </w:r>
      <w:r>
        <w:rPr>
          <w:spacing w:val="-8"/>
          <w:sz w:val="24"/>
        </w:rPr>
        <w:t xml:space="preserve"> </w:t>
      </w:r>
      <w:r>
        <w:rPr>
          <w:sz w:val="24"/>
        </w:rPr>
        <w:t>use</w:t>
      </w:r>
      <w:r>
        <w:rPr>
          <w:spacing w:val="-8"/>
          <w:sz w:val="24"/>
        </w:rPr>
        <w:t xml:space="preserve"> </w:t>
      </w:r>
      <w:r>
        <w:rPr>
          <w:sz w:val="24"/>
        </w:rPr>
        <w:t>the</w:t>
      </w:r>
      <w:r>
        <w:rPr>
          <w:spacing w:val="-8"/>
          <w:sz w:val="24"/>
        </w:rPr>
        <w:t xml:space="preserve"> </w:t>
      </w:r>
      <w:r>
        <w:rPr>
          <w:sz w:val="24"/>
        </w:rPr>
        <w:t>best</w:t>
      </w:r>
      <w:r>
        <w:rPr>
          <w:spacing w:val="-8"/>
          <w:sz w:val="24"/>
        </w:rPr>
        <w:t xml:space="preserve"> </w:t>
      </w:r>
      <w:r>
        <w:rPr>
          <w:sz w:val="24"/>
        </w:rPr>
        <w:t>available</w:t>
      </w:r>
      <w:r>
        <w:rPr>
          <w:spacing w:val="-8"/>
          <w:sz w:val="24"/>
        </w:rPr>
        <w:t xml:space="preserve"> </w:t>
      </w:r>
      <w:r>
        <w:rPr>
          <w:sz w:val="24"/>
        </w:rPr>
        <w:t>information</w:t>
      </w:r>
      <w:r>
        <w:rPr>
          <w:spacing w:val="-9"/>
          <w:sz w:val="24"/>
        </w:rPr>
        <w:t xml:space="preserve"> </w:t>
      </w:r>
      <w:r>
        <w:rPr>
          <w:sz w:val="24"/>
        </w:rPr>
        <w:t>when</w:t>
      </w:r>
      <w:r>
        <w:rPr>
          <w:spacing w:val="-10"/>
          <w:sz w:val="24"/>
        </w:rPr>
        <w:t xml:space="preserve"> </w:t>
      </w:r>
      <w:r>
        <w:rPr>
          <w:sz w:val="24"/>
        </w:rPr>
        <w:t>selecting</w:t>
      </w:r>
      <w:r>
        <w:rPr>
          <w:spacing w:val="-9"/>
          <w:sz w:val="24"/>
        </w:rPr>
        <w:t xml:space="preserve"> </w:t>
      </w:r>
      <w:r>
        <w:rPr>
          <w:sz w:val="24"/>
        </w:rPr>
        <w:t>alternative</w:t>
      </w:r>
      <w:r>
        <w:rPr>
          <w:spacing w:val="-9"/>
          <w:sz w:val="24"/>
        </w:rPr>
        <w:t xml:space="preserve"> </w:t>
      </w:r>
      <w:r>
        <w:rPr>
          <w:spacing w:val="-2"/>
          <w:sz w:val="24"/>
        </w:rPr>
        <w:t>facts.</w:t>
      </w:r>
    </w:p>
    <w:p w14:paraId="51DE85B9" w14:textId="77777777" w:rsidR="0010369C" w:rsidRDefault="0010369C">
      <w:pPr>
        <w:pStyle w:val="BodyText"/>
        <w:spacing w:before="7"/>
        <w:rPr>
          <w:sz w:val="17"/>
        </w:rPr>
      </w:pPr>
    </w:p>
    <w:p w14:paraId="51DE85BA" w14:textId="77777777" w:rsidR="0010369C" w:rsidRDefault="008E43AE">
      <w:pPr>
        <w:pStyle w:val="BodyText"/>
        <w:spacing w:before="52" w:line="360" w:lineRule="auto"/>
        <w:ind w:left="237" w:right="612" w:firstLine="851"/>
        <w:jc w:val="both"/>
      </w:pPr>
      <w:r>
        <w:rPr>
          <w:noProof/>
        </w:rPr>
        <w:drawing>
          <wp:anchor distT="0" distB="0" distL="0" distR="0" simplePos="0" relativeHeight="250937856" behindDoc="1" locked="0" layoutInCell="1" allowOverlap="1" wp14:anchorId="51DEA0F2" wp14:editId="51DEA0F3">
            <wp:simplePos x="0" y="0"/>
            <wp:positionH relativeFrom="page">
              <wp:posOffset>905255</wp:posOffset>
            </wp:positionH>
            <wp:positionV relativeFrom="paragraph">
              <wp:posOffset>81949</wp:posOffset>
            </wp:positionV>
            <wp:extent cx="259079" cy="100753"/>
            <wp:effectExtent l="0" t="0" r="0" b="0"/>
            <wp:wrapNone/>
            <wp:docPr id="551" name="image2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 name="image284.png"/>
                    <pic:cNvPicPr/>
                  </pic:nvPicPr>
                  <pic:blipFill>
                    <a:blip r:embed="rId390" cstate="print"/>
                    <a:stretch>
                      <a:fillRect/>
                    </a:stretch>
                  </pic:blipFill>
                  <pic:spPr>
                    <a:xfrm>
                      <a:off x="0" y="0"/>
                      <a:ext cx="259079" cy="100753"/>
                    </a:xfrm>
                    <a:prstGeom prst="rect">
                      <a:avLst/>
                    </a:prstGeom>
                  </pic:spPr>
                </pic:pic>
              </a:graphicData>
            </a:graphic>
          </wp:anchor>
        </w:drawing>
      </w:r>
      <w:r>
        <w:t>Australia</w:t>
      </w:r>
      <w:r>
        <w:rPr>
          <w:spacing w:val="-3"/>
        </w:rPr>
        <w:t xml:space="preserve"> </w:t>
      </w:r>
      <w:r>
        <w:t>submits</w:t>
      </w:r>
      <w:r>
        <w:rPr>
          <w:spacing w:val="-3"/>
        </w:rPr>
        <w:t xml:space="preserve"> </w:t>
      </w:r>
      <w:r>
        <w:t>that,</w:t>
      </w:r>
      <w:r>
        <w:rPr>
          <w:spacing w:val="-1"/>
        </w:rPr>
        <w:t xml:space="preserve"> </w:t>
      </w:r>
      <w:r>
        <w:t>on</w:t>
      </w:r>
      <w:r>
        <w:rPr>
          <w:spacing w:val="-3"/>
        </w:rPr>
        <w:t xml:space="preserve"> </w:t>
      </w:r>
      <w:r>
        <w:t>the</w:t>
      </w:r>
      <w:r>
        <w:rPr>
          <w:spacing w:val="-2"/>
        </w:rPr>
        <w:t xml:space="preserve"> </w:t>
      </w:r>
      <w:r>
        <w:t>basis</w:t>
      </w:r>
      <w:r>
        <w:rPr>
          <w:spacing w:val="-1"/>
        </w:rPr>
        <w:t xml:space="preserve"> </w:t>
      </w:r>
      <w:r>
        <w:t>of</w:t>
      </w:r>
      <w:r>
        <w:rPr>
          <w:spacing w:val="-3"/>
        </w:rPr>
        <w:t xml:space="preserve"> </w:t>
      </w:r>
      <w:r>
        <w:t>the</w:t>
      </w:r>
      <w:r>
        <w:rPr>
          <w:spacing w:val="-2"/>
        </w:rPr>
        <w:t xml:space="preserve"> </w:t>
      </w:r>
      <w:r>
        <w:t>above</w:t>
      </w:r>
      <w:r>
        <w:rPr>
          <w:spacing w:val="-2"/>
        </w:rPr>
        <w:t xml:space="preserve"> </w:t>
      </w:r>
      <w:r>
        <w:t>errors,</w:t>
      </w:r>
      <w:r>
        <w:rPr>
          <w:spacing w:val="-3"/>
        </w:rPr>
        <w:t xml:space="preserve"> </w:t>
      </w:r>
      <w:r>
        <w:t>MOFCOM</w:t>
      </w:r>
      <w:r>
        <w:rPr>
          <w:spacing w:val="-2"/>
        </w:rPr>
        <w:t xml:space="preserve"> </w:t>
      </w:r>
      <w:r>
        <w:t>failed</w:t>
      </w:r>
      <w:r>
        <w:rPr>
          <w:spacing w:val="-3"/>
        </w:rPr>
        <w:t xml:space="preserve"> </w:t>
      </w:r>
      <w:r>
        <w:t>to</w:t>
      </w:r>
      <w:r>
        <w:rPr>
          <w:spacing w:val="-2"/>
        </w:rPr>
        <w:t xml:space="preserve"> </w:t>
      </w:r>
      <w:r>
        <w:t>establish that the conditions set out in Article 2.2 for resorting to a constructed normal value as an alternative</w:t>
      </w:r>
      <w:r>
        <w:rPr>
          <w:spacing w:val="40"/>
        </w:rPr>
        <w:t xml:space="preserve"> </w:t>
      </w:r>
      <w:r>
        <w:t>method</w:t>
      </w:r>
      <w:r>
        <w:rPr>
          <w:spacing w:val="40"/>
        </w:rPr>
        <w:t xml:space="preserve"> </w:t>
      </w:r>
      <w:r>
        <w:t>to</w:t>
      </w:r>
      <w:r>
        <w:rPr>
          <w:spacing w:val="41"/>
        </w:rPr>
        <w:t xml:space="preserve"> </w:t>
      </w:r>
      <w:r>
        <w:t>calculate</w:t>
      </w:r>
      <w:r>
        <w:rPr>
          <w:spacing w:val="42"/>
        </w:rPr>
        <w:t xml:space="preserve"> </w:t>
      </w:r>
      <w:r>
        <w:t>normal</w:t>
      </w:r>
      <w:r>
        <w:rPr>
          <w:spacing w:val="42"/>
        </w:rPr>
        <w:t xml:space="preserve"> </w:t>
      </w:r>
      <w:r>
        <w:t>value</w:t>
      </w:r>
      <w:r>
        <w:rPr>
          <w:spacing w:val="40"/>
        </w:rPr>
        <w:t xml:space="preserve"> </w:t>
      </w:r>
      <w:r>
        <w:t>were</w:t>
      </w:r>
      <w:r>
        <w:rPr>
          <w:spacing w:val="42"/>
        </w:rPr>
        <w:t xml:space="preserve"> </w:t>
      </w:r>
      <w:r>
        <w:t>met.</w:t>
      </w:r>
      <w:r>
        <w:rPr>
          <w:spacing w:val="41"/>
        </w:rPr>
        <w:t xml:space="preserve"> </w:t>
      </w:r>
      <w:r>
        <w:t>Accordingly,</w:t>
      </w:r>
      <w:r>
        <w:rPr>
          <w:spacing w:val="39"/>
        </w:rPr>
        <w:t xml:space="preserve"> </w:t>
      </w:r>
      <w:r>
        <w:t>it</w:t>
      </w:r>
      <w:r>
        <w:rPr>
          <w:spacing w:val="40"/>
        </w:rPr>
        <w:t xml:space="preserve"> </w:t>
      </w:r>
      <w:r>
        <w:t>was</w:t>
      </w:r>
      <w:r>
        <w:rPr>
          <w:spacing w:val="41"/>
        </w:rPr>
        <w:t xml:space="preserve"> </w:t>
      </w:r>
      <w:r>
        <w:t>required</w:t>
      </w:r>
      <w:r>
        <w:rPr>
          <w:spacing w:val="41"/>
        </w:rPr>
        <w:t xml:space="preserve"> </w:t>
      </w:r>
      <w:r>
        <w:rPr>
          <w:spacing w:val="-7"/>
        </w:rPr>
        <w:t>to</w:t>
      </w:r>
    </w:p>
    <w:p w14:paraId="51DE85BB" w14:textId="77777777" w:rsidR="0010369C" w:rsidRDefault="0010369C">
      <w:pPr>
        <w:pStyle w:val="BodyText"/>
        <w:spacing w:before="8"/>
        <w:rPr>
          <w:sz w:val="29"/>
        </w:rPr>
      </w:pPr>
    </w:p>
    <w:p w14:paraId="51DE85BC" w14:textId="77777777" w:rsidR="0010369C" w:rsidRDefault="0010369C">
      <w:pPr>
        <w:rPr>
          <w:sz w:val="29"/>
        </w:rPr>
        <w:sectPr w:rsidR="0010369C">
          <w:headerReference w:type="default" r:id="rId391"/>
          <w:footerReference w:type="default" r:id="rId392"/>
          <w:pgSz w:w="11910" w:h="16840"/>
          <w:pgMar w:top="880" w:right="800" w:bottom="1560" w:left="1180" w:header="569" w:footer="1363" w:gutter="0"/>
          <w:cols w:space="720"/>
        </w:sectPr>
      </w:pPr>
    </w:p>
    <w:p w14:paraId="51DE85BD" w14:textId="77777777" w:rsidR="0010369C" w:rsidRDefault="008E43AE">
      <w:pPr>
        <w:spacing w:before="76"/>
        <w:ind w:left="238"/>
        <w:rPr>
          <w:sz w:val="18"/>
        </w:rPr>
      </w:pPr>
      <w:r>
        <w:rPr>
          <w:sz w:val="12"/>
        </w:rPr>
        <w:t>291</w:t>
      </w:r>
      <w:r>
        <w:rPr>
          <w:spacing w:val="52"/>
          <w:sz w:val="12"/>
        </w:rPr>
        <w:t xml:space="preserve"> </w:t>
      </w:r>
      <w:r>
        <w:rPr>
          <w:spacing w:val="-10"/>
          <w:position w:val="-5"/>
          <w:sz w:val="18"/>
        </w:rPr>
        <w:t>[</w:t>
      </w:r>
    </w:p>
    <w:p w14:paraId="51DE85BE" w14:textId="77777777" w:rsidR="0010369C" w:rsidRDefault="008E43AE">
      <w:pPr>
        <w:ind w:left="238"/>
        <w:rPr>
          <w:sz w:val="18"/>
        </w:rPr>
      </w:pPr>
      <w:r>
        <w:rPr>
          <w:sz w:val="18"/>
          <w:vertAlign w:val="superscript"/>
        </w:rPr>
        <w:t>292</w:t>
      </w:r>
      <w:r>
        <w:rPr>
          <w:spacing w:val="-5"/>
          <w:sz w:val="18"/>
        </w:rPr>
        <w:t xml:space="preserve"> </w:t>
      </w:r>
      <w:r>
        <w:rPr>
          <w:sz w:val="18"/>
        </w:rPr>
        <w:t>See</w:t>
      </w:r>
      <w:r>
        <w:rPr>
          <w:spacing w:val="-5"/>
          <w:sz w:val="18"/>
        </w:rPr>
        <w:t xml:space="preserve"> </w:t>
      </w:r>
      <w:r>
        <w:rPr>
          <w:sz w:val="18"/>
        </w:rPr>
        <w:t>Section</w:t>
      </w:r>
      <w:r>
        <w:rPr>
          <w:spacing w:val="-5"/>
          <w:sz w:val="18"/>
        </w:rPr>
        <w:t xml:space="preserve"> </w:t>
      </w:r>
      <w:r>
        <w:rPr>
          <w:spacing w:val="-2"/>
          <w:sz w:val="18"/>
        </w:rPr>
        <w:t>II.J.</w:t>
      </w:r>
    </w:p>
    <w:p w14:paraId="51DE85BF" w14:textId="77777777" w:rsidR="0010369C" w:rsidRDefault="008E43AE">
      <w:pPr>
        <w:spacing w:before="78"/>
        <w:ind w:left="238"/>
        <w:rPr>
          <w:sz w:val="18"/>
        </w:rPr>
      </w:pPr>
      <w:r>
        <w:br w:type="column"/>
      </w:r>
      <w:r>
        <w:rPr>
          <w:color w:val="5E5E5E"/>
          <w:sz w:val="18"/>
        </w:rPr>
        <w:t>(Exhibit</w:t>
      </w:r>
      <w:r>
        <w:rPr>
          <w:color w:val="5E5E5E"/>
          <w:spacing w:val="-10"/>
          <w:sz w:val="18"/>
        </w:rPr>
        <w:t xml:space="preserve"> </w:t>
      </w:r>
      <w:r>
        <w:rPr>
          <w:color w:val="5E5E5E"/>
          <w:sz w:val="18"/>
        </w:rPr>
        <w:t>AUS‐10</w:t>
      </w:r>
      <w:r>
        <w:rPr>
          <w:color w:val="5E5E5E"/>
          <w:spacing w:val="-9"/>
          <w:sz w:val="18"/>
        </w:rPr>
        <w:t xml:space="preserve"> </w:t>
      </w:r>
      <w:r>
        <w:rPr>
          <w:color w:val="5E5E5E"/>
          <w:spacing w:val="-2"/>
          <w:sz w:val="18"/>
        </w:rPr>
        <w:t>(BCI))</w:t>
      </w:r>
      <w:r>
        <w:rPr>
          <w:spacing w:val="-2"/>
          <w:sz w:val="18"/>
        </w:rPr>
        <w:t>.]]</w:t>
      </w:r>
    </w:p>
    <w:p w14:paraId="51DE85C0" w14:textId="77777777" w:rsidR="0010369C" w:rsidRDefault="0010369C">
      <w:pPr>
        <w:rPr>
          <w:sz w:val="18"/>
        </w:rPr>
        <w:sectPr w:rsidR="0010369C">
          <w:type w:val="continuous"/>
          <w:pgSz w:w="11910" w:h="16840"/>
          <w:pgMar w:top="1460" w:right="800" w:bottom="280" w:left="1180" w:header="569" w:footer="1363" w:gutter="0"/>
          <w:cols w:num="2" w:space="720" w:equalWidth="0">
            <w:col w:w="1627" w:space="5151"/>
            <w:col w:w="3152"/>
          </w:cols>
        </w:sectPr>
      </w:pPr>
    </w:p>
    <w:p w14:paraId="51DE85C1" w14:textId="77777777" w:rsidR="0010369C" w:rsidRDefault="008E43AE">
      <w:pPr>
        <w:tabs>
          <w:tab w:val="left" w:pos="6426"/>
        </w:tabs>
        <w:ind w:left="238"/>
        <w:rPr>
          <w:sz w:val="20"/>
        </w:rPr>
      </w:pPr>
      <w:r>
        <w:rPr>
          <w:i/>
          <w:sz w:val="20"/>
        </w:rPr>
        <w:lastRenderedPageBreak/>
        <w:t>China</w:t>
      </w:r>
      <w:r>
        <w:rPr>
          <w:i/>
          <w:spacing w:val="-5"/>
          <w:sz w:val="20"/>
        </w:rPr>
        <w:t xml:space="preserve"> </w:t>
      </w:r>
      <w:r>
        <w:rPr>
          <w:i/>
          <w:sz w:val="20"/>
        </w:rPr>
        <w:t>–</w:t>
      </w:r>
      <w:r>
        <w:rPr>
          <w:i/>
          <w:spacing w:val="-5"/>
          <w:sz w:val="20"/>
        </w:rPr>
        <w:t xml:space="preserve"> </w:t>
      </w:r>
      <w:r>
        <w:rPr>
          <w:i/>
          <w:sz w:val="20"/>
        </w:rPr>
        <w:t>Anti‐Dumping</w:t>
      </w:r>
      <w:r>
        <w:rPr>
          <w:i/>
          <w:spacing w:val="-4"/>
          <w:sz w:val="20"/>
        </w:rPr>
        <w:t xml:space="preserve"> </w:t>
      </w:r>
      <w:r>
        <w:rPr>
          <w:i/>
          <w:sz w:val="20"/>
        </w:rPr>
        <w:t>and</w:t>
      </w:r>
      <w:r>
        <w:rPr>
          <w:i/>
          <w:spacing w:val="-5"/>
          <w:sz w:val="20"/>
        </w:rPr>
        <w:t xml:space="preserve"> </w:t>
      </w:r>
      <w:r>
        <w:rPr>
          <w:i/>
          <w:sz w:val="20"/>
        </w:rPr>
        <w:t>Countervailing</w:t>
      </w:r>
      <w:r>
        <w:rPr>
          <w:i/>
          <w:spacing w:val="-5"/>
          <w:sz w:val="20"/>
        </w:rPr>
        <w:t xml:space="preserve"> </w:t>
      </w:r>
      <w:r>
        <w:rPr>
          <w:i/>
          <w:sz w:val="20"/>
        </w:rPr>
        <w:t>Duty</w:t>
      </w:r>
      <w:r>
        <w:rPr>
          <w:i/>
          <w:spacing w:val="-4"/>
          <w:sz w:val="20"/>
        </w:rPr>
        <w:t xml:space="preserve"> </w:t>
      </w:r>
      <w:r>
        <w:rPr>
          <w:i/>
          <w:spacing w:val="-2"/>
          <w:sz w:val="20"/>
        </w:rPr>
        <w:t>Measures</w:t>
      </w:r>
      <w:r>
        <w:rPr>
          <w:i/>
          <w:sz w:val="20"/>
        </w:rPr>
        <w:tab/>
      </w:r>
      <w:r>
        <w:rPr>
          <w:sz w:val="20"/>
        </w:rPr>
        <w:t>Australia's</w:t>
      </w:r>
      <w:r>
        <w:rPr>
          <w:spacing w:val="-7"/>
          <w:sz w:val="20"/>
        </w:rPr>
        <w:t xml:space="preserve"> </w:t>
      </w:r>
      <w:r>
        <w:rPr>
          <w:sz w:val="20"/>
        </w:rPr>
        <w:t>First</w:t>
      </w:r>
      <w:r>
        <w:rPr>
          <w:spacing w:val="-2"/>
          <w:sz w:val="20"/>
        </w:rPr>
        <w:t xml:space="preserve"> </w:t>
      </w:r>
      <w:r>
        <w:rPr>
          <w:sz w:val="20"/>
        </w:rPr>
        <w:t>Written</w:t>
      </w:r>
      <w:r>
        <w:rPr>
          <w:spacing w:val="-2"/>
          <w:sz w:val="20"/>
        </w:rPr>
        <w:t xml:space="preserve"> Submission</w:t>
      </w:r>
    </w:p>
    <w:p w14:paraId="51DE85C2" w14:textId="77777777" w:rsidR="0010369C" w:rsidRDefault="008E43AE">
      <w:pPr>
        <w:tabs>
          <w:tab w:val="left" w:pos="8228"/>
        </w:tabs>
        <w:spacing w:before="1"/>
        <w:ind w:left="239"/>
        <w:rPr>
          <w:sz w:val="20"/>
        </w:rPr>
      </w:pPr>
      <w:r>
        <w:rPr>
          <w:i/>
          <w:sz w:val="20"/>
        </w:rPr>
        <w:t>on</w:t>
      </w:r>
      <w:r>
        <w:rPr>
          <w:i/>
          <w:spacing w:val="-1"/>
          <w:sz w:val="20"/>
        </w:rPr>
        <w:t xml:space="preserve"> </w:t>
      </w:r>
      <w:r>
        <w:rPr>
          <w:i/>
          <w:sz w:val="20"/>
        </w:rPr>
        <w:t>Wine</w:t>
      </w:r>
      <w:r>
        <w:rPr>
          <w:i/>
          <w:spacing w:val="-1"/>
          <w:sz w:val="20"/>
        </w:rPr>
        <w:t xml:space="preserve"> </w:t>
      </w:r>
      <w:r>
        <w:rPr>
          <w:i/>
          <w:sz w:val="20"/>
        </w:rPr>
        <w:t>from</w:t>
      </w:r>
      <w:r>
        <w:rPr>
          <w:i/>
          <w:spacing w:val="-3"/>
          <w:sz w:val="20"/>
        </w:rPr>
        <w:t xml:space="preserve"> </w:t>
      </w:r>
      <w:r>
        <w:rPr>
          <w:i/>
          <w:sz w:val="20"/>
        </w:rPr>
        <w:t>Australia</w:t>
      </w:r>
      <w:r>
        <w:rPr>
          <w:i/>
          <w:spacing w:val="-1"/>
          <w:sz w:val="20"/>
        </w:rPr>
        <w:t xml:space="preserve"> </w:t>
      </w:r>
      <w:r>
        <w:rPr>
          <w:spacing w:val="-2"/>
          <w:sz w:val="20"/>
        </w:rPr>
        <w:t>(DS602)</w:t>
      </w:r>
      <w:r>
        <w:rPr>
          <w:sz w:val="20"/>
        </w:rPr>
        <w:tab/>
        <w:t>29</w:t>
      </w:r>
      <w:r>
        <w:rPr>
          <w:spacing w:val="-1"/>
          <w:sz w:val="20"/>
        </w:rPr>
        <w:t xml:space="preserve"> </w:t>
      </w:r>
      <w:r>
        <w:rPr>
          <w:sz w:val="20"/>
        </w:rPr>
        <w:t>April</w:t>
      </w:r>
      <w:r>
        <w:rPr>
          <w:spacing w:val="-2"/>
          <w:sz w:val="20"/>
        </w:rPr>
        <w:t xml:space="preserve"> </w:t>
      </w:r>
      <w:r>
        <w:rPr>
          <w:spacing w:val="-4"/>
          <w:sz w:val="20"/>
        </w:rPr>
        <w:t>2022</w:t>
      </w:r>
    </w:p>
    <w:p w14:paraId="51DE85C3" w14:textId="77777777" w:rsidR="0010369C" w:rsidRDefault="008E43AE">
      <w:pPr>
        <w:pStyle w:val="BodyText"/>
        <w:spacing w:before="34" w:line="360" w:lineRule="auto"/>
        <w:ind w:left="237"/>
      </w:pPr>
      <w:r>
        <w:t>calculate</w:t>
      </w:r>
      <w:r>
        <w:rPr>
          <w:spacing w:val="40"/>
        </w:rPr>
        <w:t xml:space="preserve"> </w:t>
      </w:r>
      <w:r>
        <w:t>normal</w:t>
      </w:r>
      <w:r>
        <w:rPr>
          <w:spacing w:val="40"/>
        </w:rPr>
        <w:t xml:space="preserve"> </w:t>
      </w:r>
      <w:r>
        <w:t>value</w:t>
      </w:r>
      <w:r>
        <w:rPr>
          <w:spacing w:val="40"/>
        </w:rPr>
        <w:t xml:space="preserve"> </w:t>
      </w:r>
      <w:r>
        <w:t>in</w:t>
      </w:r>
      <w:r>
        <w:rPr>
          <w:spacing w:val="40"/>
        </w:rPr>
        <w:t xml:space="preserve"> </w:t>
      </w:r>
      <w:r>
        <w:t>accordance</w:t>
      </w:r>
      <w:r>
        <w:rPr>
          <w:spacing w:val="40"/>
        </w:rPr>
        <w:t xml:space="preserve"> </w:t>
      </w:r>
      <w:r>
        <w:t>with</w:t>
      </w:r>
      <w:r>
        <w:rPr>
          <w:spacing w:val="40"/>
        </w:rPr>
        <w:t xml:space="preserve"> </w:t>
      </w:r>
      <w:r>
        <w:t>the</w:t>
      </w:r>
      <w:r>
        <w:rPr>
          <w:spacing w:val="40"/>
        </w:rPr>
        <w:t xml:space="preserve"> </w:t>
      </w:r>
      <w:r>
        <w:t>definitional</w:t>
      </w:r>
      <w:r>
        <w:rPr>
          <w:spacing w:val="40"/>
        </w:rPr>
        <w:t xml:space="preserve"> </w:t>
      </w:r>
      <w:r>
        <w:t>requirements</w:t>
      </w:r>
      <w:r>
        <w:rPr>
          <w:spacing w:val="40"/>
        </w:rPr>
        <w:t xml:space="preserve"> </w:t>
      </w:r>
      <w:r>
        <w:t>in</w:t>
      </w:r>
      <w:r>
        <w:rPr>
          <w:spacing w:val="40"/>
        </w:rPr>
        <w:t xml:space="preserve"> </w:t>
      </w:r>
      <w:r>
        <w:t>Article</w:t>
      </w:r>
      <w:r>
        <w:rPr>
          <w:spacing w:val="40"/>
        </w:rPr>
        <w:t xml:space="preserve"> </w:t>
      </w:r>
      <w:r>
        <w:t>2.1.</w:t>
      </w:r>
      <w:r>
        <w:rPr>
          <w:spacing w:val="40"/>
        </w:rPr>
        <w:t xml:space="preserve"> </w:t>
      </w:r>
      <w:r>
        <w:t>MOFCOM failed to do so and has thereby acted inconsistent</w:t>
      </w:r>
      <w:r>
        <w:t>ly with Articles 2.1 and 2.2.</w:t>
      </w:r>
    </w:p>
    <w:p w14:paraId="51DE85C4" w14:textId="77777777" w:rsidR="0010369C" w:rsidRDefault="008E43AE">
      <w:pPr>
        <w:pStyle w:val="Heading4"/>
        <w:numPr>
          <w:ilvl w:val="2"/>
          <w:numId w:val="75"/>
        </w:numPr>
        <w:tabs>
          <w:tab w:val="left" w:pos="2648"/>
          <w:tab w:val="left" w:pos="2649"/>
        </w:tabs>
        <w:spacing w:before="159" w:line="362" w:lineRule="auto"/>
        <w:ind w:right="616"/>
      </w:pPr>
      <w:bookmarkStart w:id="26" w:name="_TOC_250003"/>
      <w:r>
        <w:t xml:space="preserve">MOFCOM selected export sales with characteristics affecting price </w:t>
      </w:r>
      <w:bookmarkEnd w:id="26"/>
      <w:r>
        <w:rPr>
          <w:spacing w:val="-2"/>
        </w:rPr>
        <w:t>comparability</w:t>
      </w:r>
    </w:p>
    <w:p w14:paraId="51DE85C5" w14:textId="77777777" w:rsidR="0010369C" w:rsidRDefault="0010369C">
      <w:pPr>
        <w:pStyle w:val="BodyText"/>
        <w:spacing w:before="5"/>
        <w:rPr>
          <w:b/>
          <w:sz w:val="8"/>
        </w:rPr>
      </w:pPr>
    </w:p>
    <w:p w14:paraId="51DE85C6" w14:textId="77777777" w:rsidR="0010369C" w:rsidRDefault="008E43AE">
      <w:pPr>
        <w:pStyle w:val="BodyText"/>
        <w:spacing w:before="52" w:line="360" w:lineRule="auto"/>
        <w:ind w:left="236" w:right="613" w:firstLine="852"/>
        <w:jc w:val="both"/>
      </w:pPr>
      <w:r>
        <w:rPr>
          <w:noProof/>
        </w:rPr>
        <w:drawing>
          <wp:anchor distT="0" distB="0" distL="0" distR="0" simplePos="0" relativeHeight="250938880" behindDoc="1" locked="0" layoutInCell="1" allowOverlap="1" wp14:anchorId="51DEA0F4" wp14:editId="51DEA0F5">
            <wp:simplePos x="0" y="0"/>
            <wp:positionH relativeFrom="page">
              <wp:posOffset>905255</wp:posOffset>
            </wp:positionH>
            <wp:positionV relativeFrom="paragraph">
              <wp:posOffset>81357</wp:posOffset>
            </wp:positionV>
            <wp:extent cx="259079" cy="103631"/>
            <wp:effectExtent l="0" t="0" r="0" b="0"/>
            <wp:wrapNone/>
            <wp:docPr id="553" name="image2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 name="image285.png"/>
                    <pic:cNvPicPr/>
                  </pic:nvPicPr>
                  <pic:blipFill>
                    <a:blip r:embed="rId393" cstate="print"/>
                    <a:stretch>
                      <a:fillRect/>
                    </a:stretch>
                  </pic:blipFill>
                  <pic:spPr>
                    <a:xfrm>
                      <a:off x="0" y="0"/>
                      <a:ext cx="259079" cy="103631"/>
                    </a:xfrm>
                    <a:prstGeom prst="rect">
                      <a:avLst/>
                    </a:prstGeom>
                  </pic:spPr>
                </pic:pic>
              </a:graphicData>
            </a:graphic>
          </wp:anchor>
        </w:drawing>
      </w:r>
      <w:r>
        <w:t>Consistent</w:t>
      </w:r>
      <w:r>
        <w:rPr>
          <w:spacing w:val="-14"/>
        </w:rPr>
        <w:t xml:space="preserve"> </w:t>
      </w:r>
      <w:r>
        <w:t>with</w:t>
      </w:r>
      <w:r>
        <w:rPr>
          <w:spacing w:val="-13"/>
        </w:rPr>
        <w:t xml:space="preserve"> </w:t>
      </w:r>
      <w:r>
        <w:t>Australia's</w:t>
      </w:r>
      <w:r>
        <w:rPr>
          <w:spacing w:val="-14"/>
        </w:rPr>
        <w:t xml:space="preserve"> </w:t>
      </w:r>
      <w:r>
        <w:t>explanation</w:t>
      </w:r>
      <w:r>
        <w:rPr>
          <w:spacing w:val="-13"/>
        </w:rPr>
        <w:t xml:space="preserve"> </w:t>
      </w:r>
      <w:r>
        <w:t>on</w:t>
      </w:r>
      <w:r>
        <w:rPr>
          <w:spacing w:val="-13"/>
        </w:rPr>
        <w:t xml:space="preserve"> </w:t>
      </w:r>
      <w:r>
        <w:t>domestic</w:t>
      </w:r>
      <w:r>
        <w:rPr>
          <w:spacing w:val="-13"/>
        </w:rPr>
        <w:t xml:space="preserve"> </w:t>
      </w:r>
      <w:r>
        <w:t>sales</w:t>
      </w:r>
      <w:r>
        <w:rPr>
          <w:spacing w:val="-13"/>
        </w:rPr>
        <w:t xml:space="preserve"> </w:t>
      </w:r>
      <w:r>
        <w:t>for</w:t>
      </w:r>
      <w:r>
        <w:rPr>
          <w:spacing w:val="-14"/>
        </w:rPr>
        <w:t xml:space="preserve"> </w:t>
      </w:r>
      <w:r>
        <w:t>normal</w:t>
      </w:r>
      <w:r>
        <w:rPr>
          <w:spacing w:val="-13"/>
        </w:rPr>
        <w:t xml:space="preserve"> </w:t>
      </w:r>
      <w:r>
        <w:t>value,</w:t>
      </w:r>
      <w:r>
        <w:rPr>
          <w:spacing w:val="-14"/>
        </w:rPr>
        <w:t xml:space="preserve"> </w:t>
      </w:r>
      <w:r>
        <w:t>MOFCOM selected export sales with specific characteristics that affected price comparability. These were the product mix and level of trade characteristics set out in detail by Australia in the Characteristics affecting domestic and export sales of Austral</w:t>
      </w:r>
      <w:r>
        <w:t>ian bottled wine section above.</w:t>
      </w:r>
      <w:r>
        <w:rPr>
          <w:vertAlign w:val="superscript"/>
        </w:rPr>
        <w:t>294</w:t>
      </w:r>
      <w:r>
        <w:t xml:space="preserve"> These differences, while not alone a violation of the Anti‐Dumping Agreement, required MOFCOM to make appropriate adjustments to ensure a fair comparison could be conducted to normal value. As Australia will demonstrate i</w:t>
      </w:r>
      <w:r>
        <w:t>n the Fair Comparison section below,</w:t>
      </w:r>
      <w:r>
        <w:rPr>
          <w:vertAlign w:val="superscript"/>
        </w:rPr>
        <w:t>295</w:t>
      </w:r>
      <w:r>
        <w:t xml:space="preserve"> MOFCOM failed to do so.</w:t>
      </w:r>
    </w:p>
    <w:p w14:paraId="51DE85C7" w14:textId="77777777" w:rsidR="0010369C" w:rsidRDefault="0010369C">
      <w:pPr>
        <w:pStyle w:val="BodyText"/>
        <w:spacing w:before="11"/>
        <w:rPr>
          <w:sz w:val="8"/>
        </w:rPr>
      </w:pPr>
    </w:p>
    <w:p w14:paraId="51DE85C8" w14:textId="77777777" w:rsidR="0010369C" w:rsidRDefault="008E43AE">
      <w:pPr>
        <w:spacing w:before="51"/>
        <w:ind w:left="1089"/>
        <w:rPr>
          <w:sz w:val="24"/>
        </w:rPr>
      </w:pPr>
      <w:r>
        <w:rPr>
          <w:noProof/>
        </w:rPr>
        <w:drawing>
          <wp:anchor distT="0" distB="0" distL="0" distR="0" simplePos="0" relativeHeight="250647040" behindDoc="0" locked="0" layoutInCell="1" allowOverlap="1" wp14:anchorId="51DEA0F6" wp14:editId="51DEA0F7">
            <wp:simplePos x="0" y="0"/>
            <wp:positionH relativeFrom="page">
              <wp:posOffset>905255</wp:posOffset>
            </wp:positionH>
            <wp:positionV relativeFrom="paragraph">
              <wp:posOffset>81315</wp:posOffset>
            </wp:positionV>
            <wp:extent cx="259079" cy="100753"/>
            <wp:effectExtent l="0" t="0" r="0" b="0"/>
            <wp:wrapNone/>
            <wp:docPr id="555" name="image2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 name="image286.png"/>
                    <pic:cNvPicPr/>
                  </pic:nvPicPr>
                  <pic:blipFill>
                    <a:blip r:embed="rId394" cstate="print"/>
                    <a:stretch>
                      <a:fillRect/>
                    </a:stretch>
                  </pic:blipFill>
                  <pic:spPr>
                    <a:xfrm>
                      <a:off x="0" y="0"/>
                      <a:ext cx="259079" cy="100753"/>
                    </a:xfrm>
                    <a:prstGeom prst="rect">
                      <a:avLst/>
                    </a:prstGeom>
                  </pic:spPr>
                </pic:pic>
              </a:graphicData>
            </a:graphic>
          </wp:anchor>
        </w:drawing>
      </w:r>
      <w:r>
        <w:pict w14:anchorId="51DEA0F8">
          <v:rect id="docshape592" o:spid="_x0000_s1686" style="position:absolute;left:0;text-align:left;margin-left:119.8pt;margin-top:2.65pt;width:403.6pt;height:16.05pt;z-index:251808256;mso-position-horizontal-relative:page;mso-position-vertical-relative:text" fillcolor="black" stroked="f">
            <w10:wrap anchorx="page"/>
          </v:rect>
        </w:pict>
      </w:r>
      <w:r>
        <w:rPr>
          <w:spacing w:val="-5"/>
          <w:sz w:val="24"/>
        </w:rPr>
        <w:t>[[</w:t>
      </w:r>
    </w:p>
    <w:p w14:paraId="51DE85C9" w14:textId="77777777" w:rsidR="0010369C" w:rsidRDefault="008E43AE">
      <w:pPr>
        <w:pStyle w:val="BodyText"/>
        <w:spacing w:before="3"/>
        <w:rPr>
          <w:sz w:val="10"/>
        </w:rPr>
      </w:pPr>
      <w:r>
        <w:pict w14:anchorId="51DEA0F9">
          <v:rect id="docshape593" o:spid="_x0000_s1685" style="position:absolute;margin-left:69.9pt;margin-top:7.45pt;width:453.55pt;height:16.05pt;z-index:-251004416;mso-wrap-distance-left:0;mso-wrap-distance-right:0;mso-position-horizontal-relative:page" fillcolor="black" stroked="f">
            <w10:wrap type="topAndBottom" anchorx="page"/>
          </v:rect>
        </w:pict>
      </w:r>
      <w:r>
        <w:pict w14:anchorId="51DEA0FA">
          <v:rect id="docshape594" o:spid="_x0000_s1684" style="position:absolute;margin-left:69.95pt;margin-top:29.5pt;width:453.55pt;height:16.05pt;z-index:-251003392;mso-wrap-distance-left:0;mso-wrap-distance-right:0;mso-position-horizontal-relative:page" fillcolor="black" stroked="f">
            <w10:wrap type="topAndBottom" anchorx="page"/>
          </v:rect>
        </w:pict>
      </w:r>
    </w:p>
    <w:p w14:paraId="51DE85CA" w14:textId="77777777" w:rsidR="0010369C" w:rsidRDefault="0010369C">
      <w:pPr>
        <w:pStyle w:val="BodyText"/>
        <w:spacing w:before="9"/>
        <w:rPr>
          <w:sz w:val="7"/>
        </w:rPr>
      </w:pPr>
    </w:p>
    <w:p w14:paraId="51DE85CB" w14:textId="77777777" w:rsidR="0010369C" w:rsidRDefault="008E43AE">
      <w:pPr>
        <w:spacing w:before="116"/>
        <w:ind w:right="3141"/>
        <w:jc w:val="right"/>
        <w:rPr>
          <w:sz w:val="24"/>
        </w:rPr>
      </w:pPr>
      <w:r>
        <w:rPr>
          <w:spacing w:val="-5"/>
          <w:sz w:val="24"/>
        </w:rPr>
        <w:t>]]</w:t>
      </w:r>
    </w:p>
    <w:p w14:paraId="51DE85CC" w14:textId="77777777" w:rsidR="0010369C" w:rsidRDefault="0010369C">
      <w:pPr>
        <w:pStyle w:val="BodyText"/>
        <w:spacing w:before="9"/>
        <w:rPr>
          <w:sz w:val="20"/>
        </w:rPr>
      </w:pPr>
    </w:p>
    <w:p w14:paraId="51DE85CD" w14:textId="77777777" w:rsidR="0010369C" w:rsidRDefault="008E43AE">
      <w:pPr>
        <w:pStyle w:val="BodyText"/>
        <w:spacing w:before="52" w:line="362" w:lineRule="auto"/>
        <w:ind w:left="238" w:right="613" w:firstLine="851"/>
        <w:jc w:val="both"/>
      </w:pPr>
      <w:r>
        <w:pict w14:anchorId="51DEA0FB">
          <v:rect id="docshape595" o:spid="_x0000_s1683" style="position:absolute;left:0;text-align:left;margin-left:69.9pt;margin-top:-27.15pt;width:319.85pt;height:16.05pt;z-index:251809280;mso-position-horizontal-relative:page" fillcolor="black" stroked="f">
            <w10:wrap anchorx="page"/>
          </v:rect>
        </w:pict>
      </w:r>
      <w:r>
        <w:rPr>
          <w:noProof/>
        </w:rPr>
        <w:drawing>
          <wp:anchor distT="0" distB="0" distL="0" distR="0" simplePos="0" relativeHeight="250939904" behindDoc="1" locked="0" layoutInCell="1" allowOverlap="1" wp14:anchorId="51DEA0FC" wp14:editId="51DEA0FD">
            <wp:simplePos x="0" y="0"/>
            <wp:positionH relativeFrom="page">
              <wp:posOffset>905255</wp:posOffset>
            </wp:positionH>
            <wp:positionV relativeFrom="paragraph">
              <wp:posOffset>80595</wp:posOffset>
            </wp:positionV>
            <wp:extent cx="259079" cy="103631"/>
            <wp:effectExtent l="0" t="0" r="0" b="0"/>
            <wp:wrapNone/>
            <wp:docPr id="557" name="image2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 name="image287.png"/>
                    <pic:cNvPicPr/>
                  </pic:nvPicPr>
                  <pic:blipFill>
                    <a:blip r:embed="rId395" cstate="print"/>
                    <a:stretch>
                      <a:fillRect/>
                    </a:stretch>
                  </pic:blipFill>
                  <pic:spPr>
                    <a:xfrm>
                      <a:off x="0" y="0"/>
                      <a:ext cx="259079" cy="103631"/>
                    </a:xfrm>
                    <a:prstGeom prst="rect">
                      <a:avLst/>
                    </a:prstGeom>
                  </pic:spPr>
                </pic:pic>
              </a:graphicData>
            </a:graphic>
          </wp:anchor>
        </w:drawing>
      </w:r>
      <w:r>
        <w:t>On</w:t>
      </w:r>
      <w:r>
        <w:rPr>
          <w:spacing w:val="-14"/>
        </w:rPr>
        <w:t xml:space="preserve"> </w:t>
      </w:r>
      <w:r>
        <w:t>level</w:t>
      </w:r>
      <w:r>
        <w:rPr>
          <w:spacing w:val="-14"/>
        </w:rPr>
        <w:t xml:space="preserve"> </w:t>
      </w:r>
      <w:r>
        <w:t>of</w:t>
      </w:r>
      <w:r>
        <w:rPr>
          <w:spacing w:val="-13"/>
        </w:rPr>
        <w:t xml:space="preserve"> </w:t>
      </w:r>
      <w:r>
        <w:t>trade,</w:t>
      </w:r>
      <w:r>
        <w:rPr>
          <w:spacing w:val="-14"/>
        </w:rPr>
        <w:t xml:space="preserve"> </w:t>
      </w:r>
      <w:r>
        <w:t>MOFCOM</w:t>
      </w:r>
      <w:r>
        <w:rPr>
          <w:spacing w:val="-13"/>
        </w:rPr>
        <w:t xml:space="preserve"> </w:t>
      </w:r>
      <w:r>
        <w:t>stated</w:t>
      </w:r>
      <w:r>
        <w:rPr>
          <w:spacing w:val="-14"/>
        </w:rPr>
        <w:t xml:space="preserve"> </w:t>
      </w:r>
      <w:r>
        <w:t>in</w:t>
      </w:r>
      <w:r>
        <w:rPr>
          <w:spacing w:val="-13"/>
        </w:rPr>
        <w:t xml:space="preserve"> </w:t>
      </w:r>
      <w:r>
        <w:t>the</w:t>
      </w:r>
      <w:r>
        <w:rPr>
          <w:spacing w:val="-14"/>
        </w:rPr>
        <w:t xml:space="preserve"> </w:t>
      </w:r>
      <w:r>
        <w:t>Final</w:t>
      </w:r>
      <w:r>
        <w:rPr>
          <w:spacing w:val="-13"/>
        </w:rPr>
        <w:t xml:space="preserve"> </w:t>
      </w:r>
      <w:r>
        <w:t>Determination</w:t>
      </w:r>
      <w:r>
        <w:rPr>
          <w:spacing w:val="-13"/>
        </w:rPr>
        <w:t xml:space="preserve"> </w:t>
      </w:r>
      <w:r>
        <w:t>that</w:t>
      </w:r>
      <w:r>
        <w:rPr>
          <w:spacing w:val="-14"/>
        </w:rPr>
        <w:t xml:space="preserve"> </w:t>
      </w:r>
      <w:r>
        <w:t>it</w:t>
      </w:r>
      <w:r>
        <w:rPr>
          <w:spacing w:val="-13"/>
        </w:rPr>
        <w:t xml:space="preserve"> </w:t>
      </w:r>
      <w:r>
        <w:t>used</w:t>
      </w:r>
      <w:r>
        <w:rPr>
          <w:spacing w:val="-14"/>
        </w:rPr>
        <w:t xml:space="preserve"> </w:t>
      </w:r>
      <w:r>
        <w:t>non‐related clients and "traders" as the basis for determining export price:</w:t>
      </w:r>
      <w:r>
        <w:rPr>
          <w:vertAlign w:val="superscript"/>
        </w:rPr>
        <w:t>297</w:t>
      </w:r>
    </w:p>
    <w:p w14:paraId="51DE85CE" w14:textId="77777777" w:rsidR="0010369C" w:rsidRDefault="008E43AE">
      <w:pPr>
        <w:spacing w:before="155"/>
        <w:ind w:left="1088" w:right="610"/>
        <w:jc w:val="both"/>
      </w:pPr>
      <w:r>
        <w:t>During the anti‐dumping investigation period, the Company exported the product under investigation to China in two ways: first, selling directly to Chinese non‐related clients; second, selling to Chinese non‐related clients through non‐related traders. […]</w:t>
      </w:r>
      <w:r>
        <w:t xml:space="preserve"> for the first sales mode, the Investigating Authority decided to temporarily use the sales price between the Company and Chinese non‐related clients as the basis for determining the export price; for the second sales mode, the Investigating Authority deci</w:t>
      </w:r>
      <w:r>
        <w:t>ded to temporarily use the sales price</w:t>
      </w:r>
      <w:r>
        <w:rPr>
          <w:spacing w:val="-3"/>
        </w:rPr>
        <w:t xml:space="preserve"> </w:t>
      </w:r>
      <w:r>
        <w:t>between</w:t>
      </w:r>
      <w:r>
        <w:rPr>
          <w:spacing w:val="-4"/>
        </w:rPr>
        <w:t xml:space="preserve"> </w:t>
      </w:r>
      <w:r>
        <w:t>the</w:t>
      </w:r>
      <w:r>
        <w:rPr>
          <w:spacing w:val="-4"/>
        </w:rPr>
        <w:t xml:space="preserve"> </w:t>
      </w:r>
      <w:r>
        <w:t>Company</w:t>
      </w:r>
      <w:r>
        <w:rPr>
          <w:spacing w:val="-4"/>
        </w:rPr>
        <w:t xml:space="preserve"> </w:t>
      </w:r>
      <w:r>
        <w:t>and</w:t>
      </w:r>
      <w:r>
        <w:rPr>
          <w:spacing w:val="-3"/>
        </w:rPr>
        <w:t xml:space="preserve"> </w:t>
      </w:r>
      <w:r>
        <w:t>non‐related</w:t>
      </w:r>
      <w:r>
        <w:rPr>
          <w:spacing w:val="-3"/>
        </w:rPr>
        <w:t xml:space="preserve"> </w:t>
      </w:r>
      <w:r>
        <w:t>traders</w:t>
      </w:r>
      <w:r>
        <w:rPr>
          <w:spacing w:val="-4"/>
        </w:rPr>
        <w:t xml:space="preserve"> </w:t>
      </w:r>
      <w:r>
        <w:t>as</w:t>
      </w:r>
      <w:r>
        <w:rPr>
          <w:spacing w:val="-4"/>
        </w:rPr>
        <w:t xml:space="preserve"> </w:t>
      </w:r>
      <w:r>
        <w:t>the</w:t>
      </w:r>
      <w:r>
        <w:rPr>
          <w:spacing w:val="-4"/>
        </w:rPr>
        <w:t xml:space="preserve"> </w:t>
      </w:r>
      <w:r>
        <w:t>basis</w:t>
      </w:r>
      <w:r>
        <w:rPr>
          <w:spacing w:val="-2"/>
        </w:rPr>
        <w:t xml:space="preserve"> </w:t>
      </w:r>
      <w:r>
        <w:t>for</w:t>
      </w:r>
      <w:r>
        <w:rPr>
          <w:spacing w:val="-4"/>
        </w:rPr>
        <w:t xml:space="preserve"> </w:t>
      </w:r>
      <w:r>
        <w:t>determining</w:t>
      </w:r>
      <w:r>
        <w:rPr>
          <w:spacing w:val="-4"/>
        </w:rPr>
        <w:t xml:space="preserve"> </w:t>
      </w:r>
      <w:r>
        <w:t>the</w:t>
      </w:r>
      <w:r>
        <w:rPr>
          <w:spacing w:val="-4"/>
        </w:rPr>
        <w:t xml:space="preserve"> </w:t>
      </w:r>
      <w:r>
        <w:t xml:space="preserve">export </w:t>
      </w:r>
      <w:r>
        <w:rPr>
          <w:spacing w:val="-2"/>
        </w:rPr>
        <w:t>price.</w:t>
      </w:r>
    </w:p>
    <w:p w14:paraId="51DE85CF" w14:textId="77777777" w:rsidR="0010369C" w:rsidRDefault="0010369C">
      <w:pPr>
        <w:pStyle w:val="BodyText"/>
        <w:spacing w:before="4"/>
        <w:rPr>
          <w:sz w:val="15"/>
        </w:rPr>
      </w:pPr>
    </w:p>
    <w:p w14:paraId="51DE85D0" w14:textId="77777777" w:rsidR="0010369C" w:rsidRDefault="008E43AE">
      <w:pPr>
        <w:pStyle w:val="BodyText"/>
        <w:spacing w:before="52" w:after="3" w:line="360" w:lineRule="auto"/>
        <w:ind w:left="238" w:right="611" w:firstLine="851"/>
      </w:pPr>
      <w:r>
        <w:rPr>
          <w:noProof/>
        </w:rPr>
        <w:drawing>
          <wp:anchor distT="0" distB="0" distL="0" distR="0" simplePos="0" relativeHeight="250940928" behindDoc="1" locked="0" layoutInCell="1" allowOverlap="1" wp14:anchorId="51DEA0FE" wp14:editId="51DEA0FF">
            <wp:simplePos x="0" y="0"/>
            <wp:positionH relativeFrom="page">
              <wp:posOffset>905255</wp:posOffset>
            </wp:positionH>
            <wp:positionV relativeFrom="paragraph">
              <wp:posOffset>80595</wp:posOffset>
            </wp:positionV>
            <wp:extent cx="259079" cy="103631"/>
            <wp:effectExtent l="0" t="0" r="0" b="0"/>
            <wp:wrapNone/>
            <wp:docPr id="559" name="image2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 name="image288.png"/>
                    <pic:cNvPicPr/>
                  </pic:nvPicPr>
                  <pic:blipFill>
                    <a:blip r:embed="rId396" cstate="print"/>
                    <a:stretch>
                      <a:fillRect/>
                    </a:stretch>
                  </pic:blipFill>
                  <pic:spPr>
                    <a:xfrm>
                      <a:off x="0" y="0"/>
                      <a:ext cx="259079" cy="103631"/>
                    </a:xfrm>
                    <a:prstGeom prst="rect">
                      <a:avLst/>
                    </a:prstGeom>
                  </pic:spPr>
                </pic:pic>
              </a:graphicData>
            </a:graphic>
          </wp:anchor>
        </w:drawing>
      </w:r>
      <w:r>
        <w:pict w14:anchorId="51DEA100">
          <v:rect id="docshape596" o:spid="_x0000_s1682" style="position:absolute;left:0;text-align:left;margin-left:142.85pt;margin-top:24.75pt;width:380.55pt;height:16.05pt;z-index:-251364864;mso-position-horizontal-relative:page;mso-position-vertical-relative:text" fillcolor="black" stroked="f">
            <w10:wrap anchorx="page"/>
          </v:rect>
        </w:pict>
      </w:r>
      <w:r>
        <w:t>Australia submits MOFCOM's selected export price sales gives rise to two level of</w:t>
      </w:r>
      <w:r>
        <w:rPr>
          <w:spacing w:val="80"/>
          <w:w w:val="150"/>
        </w:rPr>
        <w:t xml:space="preserve"> </w:t>
      </w:r>
      <w:r>
        <w:t>trade issues. [[</w:t>
      </w:r>
    </w:p>
    <w:p w14:paraId="51DE85D1" w14:textId="77777777" w:rsidR="0010369C" w:rsidRDefault="008E43AE">
      <w:pPr>
        <w:pStyle w:val="BodyText"/>
        <w:ind w:left="218"/>
        <w:rPr>
          <w:sz w:val="20"/>
        </w:rPr>
      </w:pPr>
      <w:r>
        <w:rPr>
          <w:sz w:val="20"/>
        </w:rPr>
      </w:r>
      <w:r>
        <w:rPr>
          <w:sz w:val="20"/>
        </w:rPr>
        <w:pict w14:anchorId="51DEA102">
          <v:group id="docshapegroup597" o:spid="_x0000_s1680" style="width:453.55pt;height:16.1pt;mso-position-horizontal-relative:char;mso-position-vertical-relative:line" coordsize="9071,322">
            <v:rect id="docshape598" o:spid="_x0000_s1681" style="position:absolute;width:9071;height:322" fillcolor="black" stroked="f"/>
            <w10:anchorlock/>
          </v:group>
        </w:pict>
      </w:r>
    </w:p>
    <w:p w14:paraId="51DE85D2" w14:textId="77777777" w:rsidR="0010369C" w:rsidRDefault="0010369C">
      <w:pPr>
        <w:pStyle w:val="BodyText"/>
        <w:rPr>
          <w:sz w:val="20"/>
        </w:rPr>
      </w:pPr>
    </w:p>
    <w:p w14:paraId="51DE85D3" w14:textId="77777777" w:rsidR="0010369C" w:rsidRDefault="0010369C">
      <w:pPr>
        <w:pStyle w:val="BodyText"/>
        <w:rPr>
          <w:sz w:val="20"/>
        </w:rPr>
      </w:pPr>
    </w:p>
    <w:p w14:paraId="51DE85D4" w14:textId="77777777" w:rsidR="0010369C" w:rsidRDefault="008E43AE">
      <w:pPr>
        <w:pStyle w:val="BodyText"/>
        <w:spacing w:before="4"/>
        <w:rPr>
          <w:sz w:val="12"/>
        </w:rPr>
      </w:pPr>
      <w:r>
        <w:pict w14:anchorId="51DEA103">
          <v:rect id="docshape599" o:spid="_x0000_s1679" style="position:absolute;margin-left:70.9pt;margin-top:8.75pt;width:2in;height:.8pt;z-index:-251002368;mso-wrap-distance-left:0;mso-wrap-distance-right:0;mso-position-horizontal-relative:page" fillcolor="black" stroked="f">
            <w10:wrap type="topAndBottom" anchorx="page"/>
          </v:rect>
        </w:pict>
      </w:r>
    </w:p>
    <w:p w14:paraId="51DE85D5" w14:textId="77777777" w:rsidR="0010369C" w:rsidRDefault="008E43AE">
      <w:pPr>
        <w:spacing w:before="110"/>
        <w:ind w:left="238"/>
        <w:rPr>
          <w:sz w:val="18"/>
        </w:rPr>
      </w:pPr>
      <w:r>
        <w:rPr>
          <w:sz w:val="18"/>
          <w:vertAlign w:val="superscript"/>
        </w:rPr>
        <w:t>294</w:t>
      </w:r>
      <w:r>
        <w:rPr>
          <w:spacing w:val="-5"/>
          <w:sz w:val="18"/>
        </w:rPr>
        <w:t xml:space="preserve"> </w:t>
      </w:r>
      <w:r>
        <w:rPr>
          <w:sz w:val="18"/>
        </w:rPr>
        <w:t>See</w:t>
      </w:r>
      <w:r>
        <w:rPr>
          <w:spacing w:val="-5"/>
          <w:sz w:val="18"/>
        </w:rPr>
        <w:t xml:space="preserve"> </w:t>
      </w:r>
      <w:r>
        <w:rPr>
          <w:sz w:val="18"/>
        </w:rPr>
        <w:t>section</w:t>
      </w:r>
      <w:r>
        <w:rPr>
          <w:spacing w:val="-5"/>
          <w:sz w:val="18"/>
        </w:rPr>
        <w:t xml:space="preserve"> </w:t>
      </w:r>
      <w:r>
        <w:rPr>
          <w:spacing w:val="-2"/>
          <w:sz w:val="18"/>
        </w:rPr>
        <w:t>II.D.</w:t>
      </w:r>
    </w:p>
    <w:p w14:paraId="51DE85D6" w14:textId="77777777" w:rsidR="0010369C" w:rsidRDefault="008E43AE">
      <w:pPr>
        <w:ind w:left="238"/>
        <w:rPr>
          <w:sz w:val="18"/>
        </w:rPr>
      </w:pPr>
      <w:r>
        <w:rPr>
          <w:sz w:val="18"/>
          <w:vertAlign w:val="superscript"/>
        </w:rPr>
        <w:t>295</w:t>
      </w:r>
      <w:r>
        <w:rPr>
          <w:spacing w:val="-5"/>
          <w:sz w:val="18"/>
        </w:rPr>
        <w:t xml:space="preserve"> </w:t>
      </w:r>
      <w:r>
        <w:rPr>
          <w:sz w:val="18"/>
        </w:rPr>
        <w:t>See</w:t>
      </w:r>
      <w:r>
        <w:rPr>
          <w:spacing w:val="-5"/>
          <w:sz w:val="18"/>
        </w:rPr>
        <w:t xml:space="preserve"> </w:t>
      </w:r>
      <w:r>
        <w:rPr>
          <w:sz w:val="18"/>
        </w:rPr>
        <w:t>section</w:t>
      </w:r>
      <w:r>
        <w:rPr>
          <w:spacing w:val="-5"/>
          <w:sz w:val="18"/>
        </w:rPr>
        <w:t xml:space="preserve"> </w:t>
      </w:r>
      <w:r>
        <w:rPr>
          <w:spacing w:val="-2"/>
          <w:sz w:val="18"/>
        </w:rPr>
        <w:t>II.J.</w:t>
      </w:r>
    </w:p>
    <w:p w14:paraId="51DE85D7" w14:textId="77777777" w:rsidR="0010369C" w:rsidRDefault="008E43AE">
      <w:pPr>
        <w:tabs>
          <w:tab w:val="left" w:pos="5843"/>
          <w:tab w:val="left" w:pos="7407"/>
        </w:tabs>
        <w:ind w:left="238"/>
        <w:rPr>
          <w:sz w:val="18"/>
        </w:rPr>
      </w:pPr>
      <w:r>
        <w:pict w14:anchorId="51DEA104">
          <v:rect id="docshape600" o:spid="_x0000_s1678" style="position:absolute;left:0;text-align:left;margin-left:86.65pt;margin-top:.35pt;width:261.45pt;height:12.05pt;z-index:-251363840;mso-position-horizontal-relative:page" fillcolor="black" stroked="f">
            <w10:wrap anchorx="page"/>
          </v:rect>
        </w:pict>
      </w:r>
      <w:r>
        <w:pict w14:anchorId="51DEA105">
          <v:rect id="docshape601" o:spid="_x0000_s1677" style="position:absolute;left:0;text-align:left;margin-left:401.8pt;margin-top:.35pt;width:26.6pt;height:12.05pt;z-index:-251362816;mso-position-horizontal-relative:page" fillcolor="black" stroked="f">
            <w10:wrap anchorx="page"/>
          </v:rect>
        </w:pict>
      </w:r>
      <w:r>
        <w:rPr>
          <w:sz w:val="18"/>
          <w:vertAlign w:val="superscript"/>
        </w:rPr>
        <w:t>296</w:t>
      </w:r>
      <w:r>
        <w:rPr>
          <w:spacing w:val="-2"/>
          <w:sz w:val="18"/>
        </w:rPr>
        <w:t xml:space="preserve"> </w:t>
      </w:r>
      <w:r>
        <w:rPr>
          <w:spacing w:val="-10"/>
          <w:sz w:val="18"/>
        </w:rPr>
        <w:t>[</w:t>
      </w:r>
      <w:r>
        <w:rPr>
          <w:sz w:val="18"/>
        </w:rPr>
        <w:tab/>
      </w:r>
      <w:r>
        <w:rPr>
          <w:color w:val="5E5E5E"/>
          <w:sz w:val="18"/>
        </w:rPr>
        <w:t>(AUS‐5</w:t>
      </w:r>
      <w:r>
        <w:rPr>
          <w:color w:val="5E5E5E"/>
          <w:spacing w:val="-11"/>
          <w:sz w:val="18"/>
        </w:rPr>
        <w:t xml:space="preserve"> </w:t>
      </w:r>
      <w:r>
        <w:rPr>
          <w:color w:val="5E5E5E"/>
          <w:spacing w:val="-2"/>
          <w:sz w:val="18"/>
        </w:rPr>
        <w:t>(BCI)),</w:t>
      </w:r>
      <w:r>
        <w:rPr>
          <w:color w:val="5E5E5E"/>
          <w:sz w:val="18"/>
        </w:rPr>
        <w:tab/>
      </w:r>
      <w:r>
        <w:rPr>
          <w:color w:val="5E5E5E"/>
          <w:spacing w:val="-5"/>
          <w:sz w:val="18"/>
        </w:rPr>
        <w:t>.]]</w:t>
      </w:r>
    </w:p>
    <w:p w14:paraId="51DE85D8" w14:textId="77777777" w:rsidR="0010369C" w:rsidRDefault="0010369C">
      <w:pPr>
        <w:rPr>
          <w:sz w:val="18"/>
        </w:rPr>
        <w:sectPr w:rsidR="0010369C">
          <w:headerReference w:type="default" r:id="rId397"/>
          <w:footerReference w:type="default" r:id="rId398"/>
          <w:pgSz w:w="11910" w:h="16840"/>
          <w:pgMar w:top="880" w:right="800" w:bottom="1560" w:left="1180" w:header="569" w:footer="1363" w:gutter="0"/>
          <w:cols w:space="720"/>
        </w:sectPr>
      </w:pPr>
    </w:p>
    <w:p w14:paraId="51DE85D9" w14:textId="77777777" w:rsidR="0010369C" w:rsidRDefault="008E43AE">
      <w:pPr>
        <w:tabs>
          <w:tab w:val="left" w:pos="6425"/>
        </w:tabs>
        <w:ind w:left="238"/>
        <w:rPr>
          <w:sz w:val="20"/>
        </w:rPr>
      </w:pPr>
      <w:r>
        <w:rPr>
          <w:i/>
          <w:sz w:val="20"/>
        </w:rPr>
        <w:lastRenderedPageBreak/>
        <w:t>China</w:t>
      </w:r>
      <w:r>
        <w:rPr>
          <w:i/>
          <w:spacing w:val="-5"/>
          <w:sz w:val="20"/>
        </w:rPr>
        <w:t xml:space="preserve"> </w:t>
      </w:r>
      <w:r>
        <w:rPr>
          <w:i/>
          <w:sz w:val="20"/>
        </w:rPr>
        <w:t>–</w:t>
      </w:r>
      <w:r>
        <w:rPr>
          <w:i/>
          <w:spacing w:val="-5"/>
          <w:sz w:val="20"/>
        </w:rPr>
        <w:t xml:space="preserve"> </w:t>
      </w:r>
      <w:r>
        <w:rPr>
          <w:i/>
          <w:sz w:val="20"/>
        </w:rPr>
        <w:t>Anti‐Dumping</w:t>
      </w:r>
      <w:r>
        <w:rPr>
          <w:i/>
          <w:spacing w:val="-4"/>
          <w:sz w:val="20"/>
        </w:rPr>
        <w:t xml:space="preserve"> </w:t>
      </w:r>
      <w:r>
        <w:rPr>
          <w:i/>
          <w:sz w:val="20"/>
        </w:rPr>
        <w:t>and</w:t>
      </w:r>
      <w:r>
        <w:rPr>
          <w:i/>
          <w:spacing w:val="-5"/>
          <w:sz w:val="20"/>
        </w:rPr>
        <w:t xml:space="preserve"> </w:t>
      </w:r>
      <w:r>
        <w:rPr>
          <w:i/>
          <w:sz w:val="20"/>
        </w:rPr>
        <w:t>Countervailing</w:t>
      </w:r>
      <w:r>
        <w:rPr>
          <w:i/>
          <w:spacing w:val="-5"/>
          <w:sz w:val="20"/>
        </w:rPr>
        <w:t xml:space="preserve"> </w:t>
      </w:r>
      <w:r>
        <w:rPr>
          <w:i/>
          <w:sz w:val="20"/>
        </w:rPr>
        <w:t>Duty</w:t>
      </w:r>
      <w:r>
        <w:rPr>
          <w:i/>
          <w:spacing w:val="-4"/>
          <w:sz w:val="20"/>
        </w:rPr>
        <w:t xml:space="preserve"> </w:t>
      </w:r>
      <w:r>
        <w:rPr>
          <w:i/>
          <w:spacing w:val="-2"/>
          <w:sz w:val="20"/>
        </w:rPr>
        <w:t>Measures</w:t>
      </w:r>
      <w:r>
        <w:rPr>
          <w:i/>
          <w:sz w:val="20"/>
        </w:rPr>
        <w:tab/>
      </w:r>
      <w:r>
        <w:rPr>
          <w:sz w:val="20"/>
        </w:rPr>
        <w:t>Australia's</w:t>
      </w:r>
      <w:r>
        <w:rPr>
          <w:spacing w:val="-7"/>
          <w:sz w:val="20"/>
        </w:rPr>
        <w:t xml:space="preserve"> </w:t>
      </w:r>
      <w:r>
        <w:rPr>
          <w:sz w:val="20"/>
        </w:rPr>
        <w:t>First</w:t>
      </w:r>
      <w:r>
        <w:rPr>
          <w:spacing w:val="-2"/>
          <w:sz w:val="20"/>
        </w:rPr>
        <w:t xml:space="preserve"> </w:t>
      </w:r>
      <w:r>
        <w:rPr>
          <w:sz w:val="20"/>
        </w:rPr>
        <w:t>Written</w:t>
      </w:r>
      <w:r>
        <w:rPr>
          <w:spacing w:val="-2"/>
          <w:sz w:val="20"/>
        </w:rPr>
        <w:t xml:space="preserve"> Submission</w:t>
      </w:r>
    </w:p>
    <w:p w14:paraId="51DE85DA" w14:textId="77777777" w:rsidR="0010369C" w:rsidRDefault="008E43AE">
      <w:pPr>
        <w:tabs>
          <w:tab w:val="left" w:pos="8227"/>
        </w:tabs>
        <w:spacing w:before="1"/>
        <w:ind w:left="239"/>
        <w:rPr>
          <w:sz w:val="20"/>
        </w:rPr>
      </w:pPr>
      <w:r>
        <w:pict w14:anchorId="51DEA106">
          <v:rect id="docshape606" o:spid="_x0000_s1676" style="position:absolute;left:0;text-align:left;margin-left:69.9pt;margin-top:14.1pt;width:453.4pt;height:16.05pt;z-index:-251001344;mso-wrap-distance-left:0;mso-wrap-distance-right:0;mso-position-horizontal-relative:page" fillcolor="black" stroked="f">
            <w10:wrap type="topAndBottom" anchorx="page"/>
          </v:rect>
        </w:pict>
      </w:r>
      <w:r>
        <w:pict w14:anchorId="51DEA107">
          <v:rect id="docshape607" o:spid="_x0000_s1675" style="position:absolute;left:0;text-align:left;margin-left:69.9pt;margin-top:36.05pt;width:453.55pt;height:16.05pt;z-index:-251000320;mso-wrap-distance-left:0;mso-wrap-distance-right:0;mso-position-horizontal-relative:page" fillcolor="black" stroked="f">
            <w10:wrap type="topAndBottom" anchorx="page"/>
          </v:rect>
        </w:pict>
      </w:r>
      <w:r>
        <w:pict w14:anchorId="51DEA108">
          <v:rect id="docshape608" o:spid="_x0000_s1674" style="position:absolute;left:0;text-align:left;margin-left:69.9pt;margin-top:58pt;width:453.55pt;height:16.05pt;z-index:-250999296;mso-wrap-distance-left:0;mso-wrap-distance-right:0;mso-position-horizontal-relative:page" fillcolor="black" stroked="f">
            <w10:wrap type="topAndBottom" anchorx="page"/>
          </v:rect>
        </w:pict>
      </w:r>
      <w:r>
        <w:pict w14:anchorId="51DEA109">
          <v:rect id="docshape609" o:spid="_x0000_s1673" style="position:absolute;left:0;text-align:left;margin-left:69.9pt;margin-top:79.95pt;width:453.45pt;height:16.05pt;z-index:-250998272;mso-wrap-distance-left:0;mso-wrap-distance-right:0;mso-position-horizontal-relative:page" fillcolor="black" stroked="f">
            <w10:wrap type="topAndBottom" anchorx="page"/>
          </v:rect>
        </w:pict>
      </w:r>
      <w:r>
        <w:pict w14:anchorId="51DEA10A">
          <v:rect id="docshape610" o:spid="_x0000_s1672" style="position:absolute;left:0;text-align:left;margin-left:69.9pt;margin-top:102pt;width:453.55pt;height:16.05pt;z-index:-250997248;mso-wrap-distance-left:0;mso-wrap-distance-right:0;mso-position-horizontal-relative:page" fillcolor="black" stroked="f">
            <w10:wrap type="topAndBottom" anchorx="page"/>
          </v:rect>
        </w:pict>
      </w:r>
      <w:r>
        <w:pict w14:anchorId="51DEA10B">
          <v:rect id="docshape611" o:spid="_x0000_s1671" style="position:absolute;left:0;text-align:left;margin-left:69.9pt;margin-top:124pt;width:106.05pt;height:16.05pt;z-index:251810304;mso-position-horizontal-relative:page" fillcolor="black" stroked="f">
            <w10:wrap anchorx="page"/>
          </v:rect>
        </w:pict>
      </w:r>
      <w:r>
        <w:rPr>
          <w:i/>
          <w:sz w:val="20"/>
        </w:rPr>
        <w:t>on</w:t>
      </w:r>
      <w:r>
        <w:rPr>
          <w:i/>
          <w:spacing w:val="-1"/>
          <w:sz w:val="20"/>
        </w:rPr>
        <w:t xml:space="preserve"> </w:t>
      </w:r>
      <w:r>
        <w:rPr>
          <w:i/>
          <w:sz w:val="20"/>
        </w:rPr>
        <w:t>Wine</w:t>
      </w:r>
      <w:r>
        <w:rPr>
          <w:i/>
          <w:spacing w:val="-1"/>
          <w:sz w:val="20"/>
        </w:rPr>
        <w:t xml:space="preserve"> </w:t>
      </w:r>
      <w:r>
        <w:rPr>
          <w:i/>
          <w:sz w:val="20"/>
        </w:rPr>
        <w:t>from</w:t>
      </w:r>
      <w:r>
        <w:rPr>
          <w:i/>
          <w:spacing w:val="-3"/>
          <w:sz w:val="20"/>
        </w:rPr>
        <w:t xml:space="preserve"> </w:t>
      </w:r>
      <w:r>
        <w:rPr>
          <w:i/>
          <w:sz w:val="20"/>
        </w:rPr>
        <w:t>Australia</w:t>
      </w:r>
      <w:r>
        <w:rPr>
          <w:i/>
          <w:spacing w:val="-1"/>
          <w:sz w:val="20"/>
        </w:rPr>
        <w:t xml:space="preserve"> </w:t>
      </w:r>
      <w:r>
        <w:rPr>
          <w:spacing w:val="-2"/>
          <w:sz w:val="20"/>
        </w:rPr>
        <w:t>(DS602)</w:t>
      </w:r>
      <w:r>
        <w:rPr>
          <w:sz w:val="20"/>
        </w:rPr>
        <w:tab/>
        <w:t>29</w:t>
      </w:r>
      <w:r>
        <w:rPr>
          <w:spacing w:val="-1"/>
          <w:sz w:val="20"/>
        </w:rPr>
        <w:t xml:space="preserve"> </w:t>
      </w:r>
      <w:r>
        <w:rPr>
          <w:sz w:val="20"/>
        </w:rPr>
        <w:t>April</w:t>
      </w:r>
      <w:r>
        <w:rPr>
          <w:spacing w:val="-2"/>
          <w:sz w:val="20"/>
        </w:rPr>
        <w:t xml:space="preserve"> </w:t>
      </w:r>
      <w:r>
        <w:rPr>
          <w:spacing w:val="-4"/>
          <w:sz w:val="20"/>
        </w:rPr>
        <w:t>2022</w:t>
      </w:r>
    </w:p>
    <w:p w14:paraId="51DE85DB" w14:textId="77777777" w:rsidR="0010369C" w:rsidRDefault="0010369C">
      <w:pPr>
        <w:pStyle w:val="BodyText"/>
        <w:spacing w:before="8"/>
        <w:rPr>
          <w:sz w:val="7"/>
        </w:rPr>
      </w:pPr>
    </w:p>
    <w:p w14:paraId="51DE85DC" w14:textId="77777777" w:rsidR="0010369C" w:rsidRDefault="0010369C">
      <w:pPr>
        <w:pStyle w:val="BodyText"/>
        <w:spacing w:before="8"/>
        <w:rPr>
          <w:sz w:val="7"/>
        </w:rPr>
      </w:pPr>
    </w:p>
    <w:p w14:paraId="51DE85DD" w14:textId="77777777" w:rsidR="0010369C" w:rsidRDefault="0010369C">
      <w:pPr>
        <w:pStyle w:val="BodyText"/>
        <w:spacing w:before="8"/>
        <w:rPr>
          <w:sz w:val="7"/>
        </w:rPr>
      </w:pPr>
    </w:p>
    <w:p w14:paraId="51DE85DE" w14:textId="77777777" w:rsidR="0010369C" w:rsidRDefault="0010369C">
      <w:pPr>
        <w:pStyle w:val="BodyText"/>
        <w:spacing w:before="9"/>
        <w:rPr>
          <w:sz w:val="7"/>
        </w:rPr>
      </w:pPr>
    </w:p>
    <w:p w14:paraId="51DE85DF" w14:textId="77777777" w:rsidR="0010369C" w:rsidRDefault="008E43AE">
      <w:pPr>
        <w:spacing w:before="116"/>
        <w:ind w:left="2358"/>
        <w:rPr>
          <w:sz w:val="24"/>
        </w:rPr>
      </w:pPr>
      <w:r>
        <w:rPr>
          <w:color w:val="5E5E5E"/>
          <w:spacing w:val="-5"/>
          <w:sz w:val="24"/>
        </w:rPr>
        <w:t>.</w:t>
      </w:r>
      <w:r>
        <w:rPr>
          <w:spacing w:val="-5"/>
          <w:sz w:val="24"/>
        </w:rPr>
        <w:t>]]</w:t>
      </w:r>
    </w:p>
    <w:p w14:paraId="51DE85E0" w14:textId="77777777" w:rsidR="0010369C" w:rsidRDefault="0010369C">
      <w:pPr>
        <w:pStyle w:val="BodyText"/>
        <w:spacing w:before="9"/>
        <w:rPr>
          <w:sz w:val="20"/>
        </w:rPr>
      </w:pPr>
    </w:p>
    <w:p w14:paraId="51DE85E1" w14:textId="77777777" w:rsidR="0010369C" w:rsidRDefault="008E43AE">
      <w:pPr>
        <w:spacing w:before="52"/>
        <w:ind w:left="1089"/>
        <w:rPr>
          <w:sz w:val="24"/>
        </w:rPr>
      </w:pPr>
      <w:r>
        <w:rPr>
          <w:noProof/>
        </w:rPr>
        <w:drawing>
          <wp:anchor distT="0" distB="0" distL="0" distR="0" simplePos="0" relativeHeight="250648064" behindDoc="0" locked="0" layoutInCell="1" allowOverlap="1" wp14:anchorId="51DEA10C" wp14:editId="51DEA10D">
            <wp:simplePos x="0" y="0"/>
            <wp:positionH relativeFrom="page">
              <wp:posOffset>905255</wp:posOffset>
            </wp:positionH>
            <wp:positionV relativeFrom="paragraph">
              <wp:posOffset>81949</wp:posOffset>
            </wp:positionV>
            <wp:extent cx="259079" cy="100753"/>
            <wp:effectExtent l="0" t="0" r="0" b="0"/>
            <wp:wrapNone/>
            <wp:docPr id="561" name="image2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 name="image289.png"/>
                    <pic:cNvPicPr/>
                  </pic:nvPicPr>
                  <pic:blipFill>
                    <a:blip r:embed="rId399" cstate="print"/>
                    <a:stretch>
                      <a:fillRect/>
                    </a:stretch>
                  </pic:blipFill>
                  <pic:spPr>
                    <a:xfrm>
                      <a:off x="0" y="0"/>
                      <a:ext cx="259079" cy="100753"/>
                    </a:xfrm>
                    <a:prstGeom prst="rect">
                      <a:avLst/>
                    </a:prstGeom>
                  </pic:spPr>
                </pic:pic>
              </a:graphicData>
            </a:graphic>
          </wp:anchor>
        </w:drawing>
      </w:r>
      <w:r>
        <w:pict w14:anchorId="51DEA10E">
          <v:rect id="docshape612" o:spid="_x0000_s1670" style="position:absolute;left:0;text-align:left;margin-left:119.8pt;margin-top:2.7pt;width:403.65pt;height:16.05pt;z-index:251811328;mso-position-horizontal-relative:page;mso-position-vertical-relative:text" fillcolor="black" stroked="f">
            <w10:wrap anchorx="page"/>
          </v:rect>
        </w:pict>
      </w:r>
      <w:r>
        <w:pict w14:anchorId="51DEA10F">
          <v:rect id="docshape613" o:spid="_x0000_s1669" style="position:absolute;left:0;text-align:left;margin-left:69.9pt;margin-top:68.65pt;width:241.65pt;height:16.05pt;z-index:-251361792;mso-position-horizontal-relative:page;mso-position-vertical-relative:text" fillcolor="black" stroked="f">
            <w10:wrap anchorx="page"/>
          </v:rect>
        </w:pict>
      </w:r>
      <w:r>
        <w:rPr>
          <w:spacing w:val="-5"/>
          <w:sz w:val="24"/>
        </w:rPr>
        <w:t>[[</w:t>
      </w:r>
    </w:p>
    <w:p w14:paraId="51DE85E2" w14:textId="77777777" w:rsidR="0010369C" w:rsidRDefault="008E43AE">
      <w:pPr>
        <w:pStyle w:val="BodyText"/>
        <w:spacing w:before="2"/>
        <w:rPr>
          <w:sz w:val="10"/>
        </w:rPr>
      </w:pPr>
      <w:r>
        <w:pict w14:anchorId="51DEA110">
          <v:shape id="docshape614" o:spid="_x0000_s1668" style="position:absolute;margin-left:69.9pt;margin-top:7.45pt;width:374.4pt;height:16.1pt;z-index:-250996224;mso-wrap-distance-left:0;mso-wrap-distance-right:0;mso-position-horizontal-relative:page" coordorigin="1398,149" coordsize="7488,322" path="m8886,151r-241,l8645,149r-7247,l1398,470r7247,l8645,365r241,l8886,151xe" fillcolor="black" stroked="f">
            <v:path arrowok="t"/>
            <w10:wrap type="topAndBottom" anchorx="page"/>
          </v:shape>
        </w:pict>
      </w:r>
      <w:r>
        <w:pict w14:anchorId="51DEA111">
          <v:rect id="docshape615" o:spid="_x0000_s1667" style="position:absolute;margin-left:450.1pt;margin-top:7.45pt;width:73.25pt;height:16.05pt;z-index:-250995200;mso-wrap-distance-left:0;mso-wrap-distance-right:0;mso-position-horizontal-relative:page" fillcolor="black" stroked="f">
            <w10:wrap type="topAndBottom" anchorx="page"/>
          </v:rect>
        </w:pict>
      </w:r>
      <w:r>
        <w:pict w14:anchorId="51DEA112">
          <v:rect id="docshape616" o:spid="_x0000_s1666" style="position:absolute;margin-left:69.9pt;margin-top:29.45pt;width:453.45pt;height:16.05pt;z-index:-250994176;mso-wrap-distance-left:0;mso-wrap-distance-right:0;mso-position-horizontal-relative:page" fillcolor="black" stroked="f">
            <w10:wrap type="topAndBottom" anchorx="page"/>
          </v:rect>
        </w:pict>
      </w:r>
    </w:p>
    <w:p w14:paraId="51DE85E3" w14:textId="77777777" w:rsidR="0010369C" w:rsidRDefault="0010369C">
      <w:pPr>
        <w:pStyle w:val="BodyText"/>
        <w:spacing w:before="9"/>
        <w:rPr>
          <w:sz w:val="7"/>
        </w:rPr>
      </w:pPr>
    </w:p>
    <w:p w14:paraId="51DE85E4" w14:textId="77777777" w:rsidR="0010369C" w:rsidRDefault="008E43AE">
      <w:pPr>
        <w:pStyle w:val="BodyText"/>
        <w:spacing w:before="115" w:line="360" w:lineRule="auto"/>
        <w:ind w:left="237" w:right="613" w:firstLine="4833"/>
        <w:jc w:val="both"/>
      </w:pPr>
      <w:r>
        <w:rPr>
          <w:color w:val="5E5E5E"/>
        </w:rPr>
        <w:t>.</w:t>
      </w:r>
      <w:r>
        <w:t>]]</w:t>
      </w:r>
      <w:r>
        <w:rPr>
          <w:spacing w:val="-9"/>
        </w:rPr>
        <w:t xml:space="preserve"> </w:t>
      </w:r>
      <w:r>
        <w:t>MOFCOM</w:t>
      </w:r>
      <w:r>
        <w:rPr>
          <w:spacing w:val="-9"/>
        </w:rPr>
        <w:t xml:space="preserve"> </w:t>
      </w:r>
      <w:r>
        <w:t>should</w:t>
      </w:r>
      <w:r>
        <w:rPr>
          <w:spacing w:val="-9"/>
        </w:rPr>
        <w:t xml:space="preserve"> </w:t>
      </w:r>
      <w:r>
        <w:t>have</w:t>
      </w:r>
      <w:r>
        <w:rPr>
          <w:spacing w:val="-8"/>
        </w:rPr>
        <w:t xml:space="preserve"> </w:t>
      </w:r>
      <w:r>
        <w:t>assessed</w:t>
      </w:r>
      <w:r>
        <w:rPr>
          <w:spacing w:val="-9"/>
        </w:rPr>
        <w:t xml:space="preserve"> </w:t>
      </w:r>
      <w:r>
        <w:t>whether a</w:t>
      </w:r>
      <w:r>
        <w:rPr>
          <w:spacing w:val="-4"/>
        </w:rPr>
        <w:t xml:space="preserve"> </w:t>
      </w:r>
      <w:r>
        <w:t>level</w:t>
      </w:r>
      <w:r>
        <w:rPr>
          <w:spacing w:val="-3"/>
        </w:rPr>
        <w:t xml:space="preserve"> </w:t>
      </w:r>
      <w:r>
        <w:t>of</w:t>
      </w:r>
      <w:r>
        <w:rPr>
          <w:spacing w:val="-4"/>
        </w:rPr>
        <w:t xml:space="preserve"> </w:t>
      </w:r>
      <w:r>
        <w:t>trade</w:t>
      </w:r>
      <w:r>
        <w:rPr>
          <w:spacing w:val="-3"/>
        </w:rPr>
        <w:t xml:space="preserve"> </w:t>
      </w:r>
      <w:r>
        <w:t>adjustment</w:t>
      </w:r>
      <w:r>
        <w:rPr>
          <w:spacing w:val="-4"/>
        </w:rPr>
        <w:t xml:space="preserve"> </w:t>
      </w:r>
      <w:r>
        <w:t>was</w:t>
      </w:r>
      <w:r>
        <w:rPr>
          <w:spacing w:val="-4"/>
        </w:rPr>
        <w:t xml:space="preserve"> </w:t>
      </w:r>
      <w:r>
        <w:t>required</w:t>
      </w:r>
      <w:r>
        <w:rPr>
          <w:spacing w:val="-5"/>
        </w:rPr>
        <w:t xml:space="preserve"> </w:t>
      </w:r>
      <w:r>
        <w:t>when</w:t>
      </w:r>
      <w:r>
        <w:rPr>
          <w:spacing w:val="-4"/>
        </w:rPr>
        <w:t xml:space="preserve"> </w:t>
      </w:r>
      <w:r>
        <w:t>determining</w:t>
      </w:r>
      <w:r>
        <w:rPr>
          <w:spacing w:val="-3"/>
        </w:rPr>
        <w:t xml:space="preserve"> </w:t>
      </w:r>
      <w:r>
        <w:t>the</w:t>
      </w:r>
      <w:r>
        <w:rPr>
          <w:spacing w:val="-3"/>
        </w:rPr>
        <w:t xml:space="preserve"> </w:t>
      </w:r>
      <w:r>
        <w:t>export</w:t>
      </w:r>
      <w:r>
        <w:rPr>
          <w:spacing w:val="-5"/>
        </w:rPr>
        <w:t xml:space="preserve"> </w:t>
      </w:r>
      <w:r>
        <w:t>price,</w:t>
      </w:r>
      <w:r>
        <w:rPr>
          <w:spacing w:val="-4"/>
        </w:rPr>
        <w:t xml:space="preserve"> </w:t>
      </w:r>
      <w:r>
        <w:t>or</w:t>
      </w:r>
      <w:r>
        <w:rPr>
          <w:spacing w:val="-4"/>
        </w:rPr>
        <w:t xml:space="preserve"> </w:t>
      </w:r>
      <w:r>
        <w:t>alternatively, for further consideration of the underlying data, to assess whether it supports a claim for adjustments being made for fair comparison based on these price differences.</w:t>
      </w:r>
    </w:p>
    <w:p w14:paraId="51DE85E5" w14:textId="77777777" w:rsidR="0010369C" w:rsidRDefault="0010369C">
      <w:pPr>
        <w:pStyle w:val="BodyText"/>
        <w:spacing w:before="11"/>
        <w:rPr>
          <w:sz w:val="8"/>
        </w:rPr>
      </w:pPr>
    </w:p>
    <w:p w14:paraId="51DE85E6" w14:textId="77777777" w:rsidR="0010369C" w:rsidRDefault="008E43AE">
      <w:pPr>
        <w:pStyle w:val="BodyText"/>
        <w:spacing w:before="51" w:line="360" w:lineRule="auto"/>
        <w:ind w:left="237" w:right="613" w:firstLine="851"/>
        <w:jc w:val="both"/>
      </w:pPr>
      <w:r>
        <w:rPr>
          <w:noProof/>
        </w:rPr>
        <w:drawing>
          <wp:anchor distT="0" distB="0" distL="0" distR="0" simplePos="0" relativeHeight="250941952" behindDoc="1" locked="0" layoutInCell="1" allowOverlap="1" wp14:anchorId="51DEA113" wp14:editId="51DEA114">
            <wp:simplePos x="0" y="0"/>
            <wp:positionH relativeFrom="page">
              <wp:posOffset>905255</wp:posOffset>
            </wp:positionH>
            <wp:positionV relativeFrom="paragraph">
              <wp:posOffset>80722</wp:posOffset>
            </wp:positionV>
            <wp:extent cx="259079" cy="103631"/>
            <wp:effectExtent l="0" t="0" r="0" b="0"/>
            <wp:wrapNone/>
            <wp:docPr id="563" name="image2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 name="image290.png"/>
                    <pic:cNvPicPr/>
                  </pic:nvPicPr>
                  <pic:blipFill>
                    <a:blip r:embed="rId400" cstate="print"/>
                    <a:stretch>
                      <a:fillRect/>
                    </a:stretch>
                  </pic:blipFill>
                  <pic:spPr>
                    <a:xfrm>
                      <a:off x="0" y="0"/>
                      <a:ext cx="259079" cy="103631"/>
                    </a:xfrm>
                    <a:prstGeom prst="rect">
                      <a:avLst/>
                    </a:prstGeom>
                  </pic:spPr>
                </pic:pic>
              </a:graphicData>
            </a:graphic>
          </wp:anchor>
        </w:drawing>
      </w:r>
      <w:r>
        <w:t>For these reasons, the export sales reported by Treasury Wines and relied upon by MOFCOM were affected by level of trade issues that required adjustments. As Australia will set out below,</w:t>
      </w:r>
      <w:r>
        <w:rPr>
          <w:vertAlign w:val="superscript"/>
        </w:rPr>
        <w:t>300</w:t>
      </w:r>
      <w:r>
        <w:t xml:space="preserve"> MOFCOM failed to make such adjustments.</w:t>
      </w:r>
    </w:p>
    <w:p w14:paraId="51DE85E7" w14:textId="77777777" w:rsidR="0010369C" w:rsidRDefault="008E43AE">
      <w:pPr>
        <w:pStyle w:val="Heading4"/>
        <w:numPr>
          <w:ilvl w:val="2"/>
          <w:numId w:val="75"/>
        </w:numPr>
        <w:tabs>
          <w:tab w:val="left" w:pos="2649"/>
          <w:tab w:val="left" w:pos="2650"/>
        </w:tabs>
        <w:spacing w:before="162"/>
        <w:ind w:left="2649" w:hanging="852"/>
        <w:jc w:val="both"/>
      </w:pPr>
      <w:bookmarkStart w:id="27" w:name="_TOC_250002"/>
      <w:bookmarkEnd w:id="27"/>
      <w:r>
        <w:rPr>
          <w:spacing w:val="-2"/>
        </w:rPr>
        <w:t>Conclusion</w:t>
      </w:r>
    </w:p>
    <w:p w14:paraId="51DE85E8" w14:textId="77777777" w:rsidR="0010369C" w:rsidRDefault="0010369C">
      <w:pPr>
        <w:pStyle w:val="BodyText"/>
        <w:spacing w:before="10"/>
        <w:rPr>
          <w:b/>
          <w:sz w:val="20"/>
        </w:rPr>
      </w:pPr>
    </w:p>
    <w:p w14:paraId="51DE85E9" w14:textId="77777777" w:rsidR="0010369C" w:rsidRDefault="008E43AE">
      <w:pPr>
        <w:pStyle w:val="BodyText"/>
        <w:spacing w:before="51" w:line="360" w:lineRule="auto"/>
        <w:ind w:left="237" w:right="613" w:firstLine="852"/>
        <w:jc w:val="both"/>
      </w:pPr>
      <w:r>
        <w:rPr>
          <w:noProof/>
        </w:rPr>
        <w:drawing>
          <wp:anchor distT="0" distB="0" distL="0" distR="0" simplePos="0" relativeHeight="250942976" behindDoc="1" locked="0" layoutInCell="1" allowOverlap="1" wp14:anchorId="51DEA115" wp14:editId="51DEA116">
            <wp:simplePos x="0" y="0"/>
            <wp:positionH relativeFrom="page">
              <wp:posOffset>905255</wp:posOffset>
            </wp:positionH>
            <wp:positionV relativeFrom="paragraph">
              <wp:posOffset>80722</wp:posOffset>
            </wp:positionV>
            <wp:extent cx="259079" cy="103631"/>
            <wp:effectExtent l="0" t="0" r="0" b="0"/>
            <wp:wrapNone/>
            <wp:docPr id="565" name="image2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 name="image291.png"/>
                    <pic:cNvPicPr/>
                  </pic:nvPicPr>
                  <pic:blipFill>
                    <a:blip r:embed="rId401" cstate="print"/>
                    <a:stretch>
                      <a:fillRect/>
                    </a:stretch>
                  </pic:blipFill>
                  <pic:spPr>
                    <a:xfrm>
                      <a:off x="0" y="0"/>
                      <a:ext cx="259079" cy="103631"/>
                    </a:xfrm>
                    <a:prstGeom prst="rect">
                      <a:avLst/>
                    </a:prstGeom>
                  </pic:spPr>
                </pic:pic>
              </a:graphicData>
            </a:graphic>
          </wp:anchor>
        </w:drawing>
      </w:r>
      <w:r>
        <w:t>For the reas</w:t>
      </w:r>
      <w:r>
        <w:t>ons set out above, China acted inconsistently with Article 6.8 and paragraphs 1, 3, 5, 6, and 7 of Annex II of the Anti‐Dumping Agreement in its application of facts available, and Articles 2.1, 2.2, 2.2.1 and 2.2.1.1 of the Anti‐Dumping Agreement in its c</w:t>
      </w:r>
      <w:r>
        <w:t>alculation of normal value.</w:t>
      </w:r>
    </w:p>
    <w:p w14:paraId="51DE85EA" w14:textId="77777777" w:rsidR="0010369C" w:rsidRDefault="008E43AE">
      <w:pPr>
        <w:pStyle w:val="ListParagraph"/>
        <w:numPr>
          <w:ilvl w:val="1"/>
          <w:numId w:val="75"/>
        </w:numPr>
        <w:tabs>
          <w:tab w:val="left" w:pos="1939"/>
          <w:tab w:val="left" w:pos="1940"/>
        </w:tabs>
        <w:spacing w:before="160"/>
        <w:ind w:left="1939"/>
        <w:jc w:val="left"/>
        <w:rPr>
          <w:b/>
          <w:sz w:val="28"/>
        </w:rPr>
      </w:pPr>
      <w:r>
        <w:rPr>
          <w:b/>
          <w:sz w:val="28"/>
        </w:rPr>
        <w:t>C</w:t>
      </w:r>
      <w:r>
        <w:rPr>
          <w:b/>
        </w:rPr>
        <w:t>ASELLA</w:t>
      </w:r>
      <w:r>
        <w:rPr>
          <w:b/>
          <w:spacing w:val="-6"/>
        </w:rPr>
        <w:t xml:space="preserve"> </w:t>
      </w:r>
      <w:r>
        <w:rPr>
          <w:b/>
          <w:sz w:val="28"/>
        </w:rPr>
        <w:t>W</w:t>
      </w:r>
      <w:r>
        <w:rPr>
          <w:b/>
        </w:rPr>
        <w:t>INES</w:t>
      </w:r>
      <w:r>
        <w:rPr>
          <w:b/>
          <w:spacing w:val="-8"/>
        </w:rPr>
        <w:t xml:space="preserve"> </w:t>
      </w:r>
      <w:r>
        <w:rPr>
          <w:b/>
          <w:sz w:val="28"/>
        </w:rPr>
        <w:t>P</w:t>
      </w:r>
      <w:r>
        <w:rPr>
          <w:b/>
        </w:rPr>
        <w:t>TY</w:t>
      </w:r>
      <w:r>
        <w:rPr>
          <w:b/>
          <w:spacing w:val="-7"/>
        </w:rPr>
        <w:t xml:space="preserve"> </w:t>
      </w:r>
      <w:r>
        <w:rPr>
          <w:b/>
          <w:spacing w:val="-2"/>
          <w:sz w:val="28"/>
        </w:rPr>
        <w:t>L</w:t>
      </w:r>
      <w:r>
        <w:rPr>
          <w:b/>
          <w:spacing w:val="-2"/>
        </w:rPr>
        <w:t>IMITED</w:t>
      </w:r>
    </w:p>
    <w:p w14:paraId="51DE85EB" w14:textId="77777777" w:rsidR="0010369C" w:rsidRDefault="0010369C">
      <w:pPr>
        <w:pStyle w:val="BodyText"/>
        <w:spacing w:before="2"/>
        <w:rPr>
          <w:b/>
          <w:sz w:val="27"/>
        </w:rPr>
      </w:pPr>
    </w:p>
    <w:p w14:paraId="51DE85EC" w14:textId="77777777" w:rsidR="0010369C" w:rsidRDefault="008E43AE">
      <w:pPr>
        <w:pStyle w:val="Heading4"/>
        <w:numPr>
          <w:ilvl w:val="2"/>
          <w:numId w:val="75"/>
        </w:numPr>
        <w:tabs>
          <w:tab w:val="left" w:pos="2649"/>
          <w:tab w:val="left" w:pos="2650"/>
        </w:tabs>
        <w:spacing w:before="0"/>
        <w:ind w:left="2649" w:hanging="852"/>
      </w:pPr>
      <w:bookmarkStart w:id="28" w:name="_TOC_250001"/>
      <w:bookmarkEnd w:id="28"/>
      <w:r>
        <w:rPr>
          <w:spacing w:val="-2"/>
        </w:rPr>
        <w:t>Overview</w:t>
      </w:r>
    </w:p>
    <w:p w14:paraId="51DE85ED" w14:textId="77777777" w:rsidR="0010369C" w:rsidRDefault="0010369C">
      <w:pPr>
        <w:pStyle w:val="BodyText"/>
        <w:spacing w:before="2"/>
        <w:rPr>
          <w:b/>
          <w:sz w:val="19"/>
        </w:rPr>
      </w:pPr>
    </w:p>
    <w:p w14:paraId="51DE85EE" w14:textId="77777777" w:rsidR="0010369C" w:rsidRDefault="008E43AE">
      <w:pPr>
        <w:pStyle w:val="BodyText"/>
        <w:spacing w:before="72" w:line="360" w:lineRule="auto"/>
        <w:ind w:left="238" w:firstLine="851"/>
      </w:pPr>
      <w:r>
        <w:rPr>
          <w:noProof/>
        </w:rPr>
        <w:drawing>
          <wp:anchor distT="0" distB="0" distL="0" distR="0" simplePos="0" relativeHeight="250944000" behindDoc="1" locked="0" layoutInCell="1" allowOverlap="1" wp14:anchorId="51DEA117" wp14:editId="51DEA118">
            <wp:simplePos x="0" y="0"/>
            <wp:positionH relativeFrom="page">
              <wp:posOffset>905255</wp:posOffset>
            </wp:positionH>
            <wp:positionV relativeFrom="paragraph">
              <wp:posOffset>89485</wp:posOffset>
            </wp:positionV>
            <wp:extent cx="259079" cy="106679"/>
            <wp:effectExtent l="0" t="0" r="0" b="0"/>
            <wp:wrapNone/>
            <wp:docPr id="567" name="image2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 name="image292.png"/>
                    <pic:cNvPicPr/>
                  </pic:nvPicPr>
                  <pic:blipFill>
                    <a:blip r:embed="rId402" cstate="print"/>
                    <a:stretch>
                      <a:fillRect/>
                    </a:stretch>
                  </pic:blipFill>
                  <pic:spPr>
                    <a:xfrm>
                      <a:off x="0" y="0"/>
                      <a:ext cx="259079" cy="106679"/>
                    </a:xfrm>
                    <a:prstGeom prst="rect">
                      <a:avLst/>
                    </a:prstGeom>
                  </pic:spPr>
                </pic:pic>
              </a:graphicData>
            </a:graphic>
          </wp:anchor>
        </w:drawing>
      </w:r>
      <w:r>
        <w:t>MOFCOM</w:t>
      </w:r>
      <w:r>
        <w:rPr>
          <w:spacing w:val="-6"/>
        </w:rPr>
        <w:t xml:space="preserve"> </w:t>
      </w:r>
      <w:r>
        <w:t>rejected</w:t>
      </w:r>
      <w:r>
        <w:rPr>
          <w:spacing w:val="-7"/>
        </w:rPr>
        <w:t xml:space="preserve"> </w:t>
      </w:r>
      <w:r>
        <w:t>Casella</w:t>
      </w:r>
      <w:r>
        <w:rPr>
          <w:spacing w:val="-6"/>
        </w:rPr>
        <w:t xml:space="preserve"> </w:t>
      </w:r>
      <w:r>
        <w:t>Wines'</w:t>
      </w:r>
      <w:r>
        <w:rPr>
          <w:spacing w:val="-6"/>
        </w:rPr>
        <w:t xml:space="preserve"> </w:t>
      </w:r>
      <w:r>
        <w:t>domestic</w:t>
      </w:r>
      <w:r>
        <w:rPr>
          <w:spacing w:val="-5"/>
        </w:rPr>
        <w:t xml:space="preserve"> </w:t>
      </w:r>
      <w:r>
        <w:t>sales</w:t>
      </w:r>
      <w:r>
        <w:rPr>
          <w:spacing w:val="-7"/>
        </w:rPr>
        <w:t xml:space="preserve"> </w:t>
      </w:r>
      <w:r>
        <w:t>data</w:t>
      </w:r>
      <w:r>
        <w:rPr>
          <w:spacing w:val="-6"/>
        </w:rPr>
        <w:t xml:space="preserve"> </w:t>
      </w:r>
      <w:r>
        <w:t>and</w:t>
      </w:r>
      <w:r>
        <w:rPr>
          <w:spacing w:val="-6"/>
        </w:rPr>
        <w:t xml:space="preserve"> </w:t>
      </w:r>
      <w:r>
        <w:t>production</w:t>
      </w:r>
      <w:r>
        <w:rPr>
          <w:spacing w:val="-7"/>
        </w:rPr>
        <w:t xml:space="preserve"> </w:t>
      </w:r>
      <w:r>
        <w:t>cost</w:t>
      </w:r>
      <w:r>
        <w:rPr>
          <w:spacing w:val="-6"/>
        </w:rPr>
        <w:t xml:space="preserve"> </w:t>
      </w:r>
      <w:r>
        <w:t>data.</w:t>
      </w:r>
      <w:r>
        <w:rPr>
          <w:vertAlign w:val="superscript"/>
        </w:rPr>
        <w:t>301</w:t>
      </w:r>
      <w:r>
        <w:rPr>
          <w:spacing w:val="-5"/>
        </w:rPr>
        <w:t xml:space="preserve"> </w:t>
      </w:r>
      <w:r>
        <w:t>It determined</w:t>
      </w:r>
      <w:r>
        <w:rPr>
          <w:spacing w:val="45"/>
        </w:rPr>
        <w:t xml:space="preserve"> </w:t>
      </w:r>
      <w:r>
        <w:t>the</w:t>
      </w:r>
      <w:r>
        <w:rPr>
          <w:spacing w:val="47"/>
        </w:rPr>
        <w:t xml:space="preserve"> </w:t>
      </w:r>
      <w:r>
        <w:t>company's</w:t>
      </w:r>
      <w:r>
        <w:rPr>
          <w:spacing w:val="46"/>
        </w:rPr>
        <w:t xml:space="preserve"> </w:t>
      </w:r>
      <w:r>
        <w:t>normal</w:t>
      </w:r>
      <w:r>
        <w:rPr>
          <w:spacing w:val="46"/>
        </w:rPr>
        <w:t xml:space="preserve"> </w:t>
      </w:r>
      <w:r>
        <w:t>value</w:t>
      </w:r>
      <w:r>
        <w:rPr>
          <w:spacing w:val="46"/>
        </w:rPr>
        <w:t xml:space="preserve"> </w:t>
      </w:r>
      <w:r>
        <w:t>using</w:t>
      </w:r>
      <w:r>
        <w:rPr>
          <w:spacing w:val="46"/>
        </w:rPr>
        <w:t xml:space="preserve"> </w:t>
      </w:r>
      <w:r>
        <w:t>facts</w:t>
      </w:r>
      <w:r>
        <w:rPr>
          <w:spacing w:val="46"/>
        </w:rPr>
        <w:t xml:space="preserve"> </w:t>
      </w:r>
      <w:r>
        <w:t>available</w:t>
      </w:r>
      <w:r>
        <w:rPr>
          <w:spacing w:val="48"/>
        </w:rPr>
        <w:t xml:space="preserve"> </w:t>
      </w:r>
      <w:r>
        <w:t>which</w:t>
      </w:r>
      <w:r>
        <w:rPr>
          <w:spacing w:val="45"/>
        </w:rPr>
        <w:t xml:space="preserve"> </w:t>
      </w:r>
      <w:r>
        <w:t>was</w:t>
      </w:r>
      <w:r>
        <w:rPr>
          <w:spacing w:val="46"/>
        </w:rPr>
        <w:t xml:space="preserve"> </w:t>
      </w:r>
      <w:r>
        <w:t>"the</w:t>
      </w:r>
      <w:r>
        <w:rPr>
          <w:spacing w:val="49"/>
        </w:rPr>
        <w:t xml:space="preserve"> </w:t>
      </w:r>
      <w:r>
        <w:rPr>
          <w:spacing w:val="-2"/>
        </w:rPr>
        <w:t>weighted</w:t>
      </w:r>
    </w:p>
    <w:p w14:paraId="51DE85EF" w14:textId="77777777" w:rsidR="0010369C" w:rsidRDefault="0010369C">
      <w:pPr>
        <w:pStyle w:val="BodyText"/>
        <w:rPr>
          <w:sz w:val="20"/>
        </w:rPr>
      </w:pPr>
    </w:p>
    <w:p w14:paraId="51DE85F0" w14:textId="77777777" w:rsidR="0010369C" w:rsidRDefault="0010369C">
      <w:pPr>
        <w:pStyle w:val="BodyText"/>
        <w:rPr>
          <w:sz w:val="20"/>
        </w:rPr>
      </w:pPr>
    </w:p>
    <w:p w14:paraId="51DE85F1" w14:textId="77777777" w:rsidR="0010369C" w:rsidRDefault="008E43AE">
      <w:pPr>
        <w:pStyle w:val="BodyText"/>
        <w:spacing w:before="1"/>
        <w:rPr>
          <w:sz w:val="25"/>
        </w:rPr>
      </w:pPr>
      <w:r>
        <w:pict w14:anchorId="51DEA119">
          <v:rect id="docshape617" o:spid="_x0000_s1665" style="position:absolute;margin-left:70.9pt;margin-top:16.5pt;width:2in;height:.8pt;z-index:-250993152;mso-wrap-distance-left:0;mso-wrap-distance-right:0;mso-position-horizontal-relative:page" fillcolor="black" stroked="f">
            <w10:wrap type="topAndBottom" anchorx="page"/>
          </v:rect>
        </w:pict>
      </w:r>
    </w:p>
    <w:p w14:paraId="51DE85F2" w14:textId="77777777" w:rsidR="0010369C" w:rsidRDefault="0010369C">
      <w:pPr>
        <w:pStyle w:val="BodyText"/>
        <w:spacing w:before="8"/>
        <w:rPr>
          <w:sz w:val="5"/>
        </w:rPr>
      </w:pPr>
    </w:p>
    <w:p w14:paraId="51DE85F3" w14:textId="77777777" w:rsidR="0010369C" w:rsidRDefault="0010369C">
      <w:pPr>
        <w:rPr>
          <w:sz w:val="5"/>
        </w:rPr>
        <w:sectPr w:rsidR="0010369C">
          <w:headerReference w:type="default" r:id="rId403"/>
          <w:footerReference w:type="default" r:id="rId404"/>
          <w:pgSz w:w="11910" w:h="16840"/>
          <w:pgMar w:top="880" w:right="800" w:bottom="1560" w:left="1180" w:header="569" w:footer="1363" w:gutter="0"/>
          <w:cols w:space="720"/>
        </w:sectPr>
      </w:pPr>
    </w:p>
    <w:p w14:paraId="51DE85F4" w14:textId="77777777" w:rsidR="0010369C" w:rsidRDefault="008E43AE">
      <w:pPr>
        <w:spacing w:before="75" w:line="158" w:lineRule="auto"/>
        <w:ind w:left="238"/>
        <w:rPr>
          <w:sz w:val="18"/>
        </w:rPr>
      </w:pPr>
      <w:r>
        <w:pict w14:anchorId="51DEA11A">
          <v:shape id="docshape618" o:spid="_x0000_s1664" style="position:absolute;left:0;text-align:left;margin-left:86.65pt;margin-top:2.4pt;width:341.75pt;height:23.05pt;z-index:-251360768;mso-position-horizontal-relative:page" coordorigin="1733,48" coordsize="6835,461" path="m8567,267r-473,l8094,48r-6361,l1733,289r,219l6962,508r,-219l8036,289r,219l8567,508r,-241xe" fillcolor="black" stroked="f">
            <v:path arrowok="t"/>
            <w10:wrap anchorx="page"/>
          </v:shape>
        </w:pict>
      </w:r>
      <w:r>
        <w:rPr>
          <w:sz w:val="12"/>
        </w:rPr>
        <w:t>298</w:t>
      </w:r>
      <w:r>
        <w:rPr>
          <w:spacing w:val="11"/>
          <w:sz w:val="12"/>
        </w:rPr>
        <w:t xml:space="preserve"> </w:t>
      </w:r>
      <w:r>
        <w:rPr>
          <w:spacing w:val="-10"/>
          <w:position w:val="-5"/>
          <w:sz w:val="18"/>
        </w:rPr>
        <w:t>[</w:t>
      </w:r>
    </w:p>
    <w:p w14:paraId="51DE85F5" w14:textId="77777777" w:rsidR="0010369C" w:rsidRDefault="008E43AE">
      <w:pPr>
        <w:spacing w:before="33"/>
        <w:ind w:left="238"/>
        <w:rPr>
          <w:sz w:val="18"/>
        </w:rPr>
      </w:pPr>
      <w:r>
        <w:rPr>
          <w:sz w:val="12"/>
        </w:rPr>
        <w:t>299</w:t>
      </w:r>
      <w:r>
        <w:rPr>
          <w:spacing w:val="11"/>
          <w:sz w:val="12"/>
        </w:rPr>
        <w:t xml:space="preserve"> </w:t>
      </w:r>
      <w:r>
        <w:rPr>
          <w:color w:val="5E5E5E"/>
          <w:spacing w:val="-10"/>
          <w:position w:val="-5"/>
          <w:sz w:val="18"/>
        </w:rPr>
        <w:t>[</w:t>
      </w:r>
    </w:p>
    <w:p w14:paraId="51DE85F6" w14:textId="77777777" w:rsidR="0010369C" w:rsidRDefault="008E43AE">
      <w:pPr>
        <w:ind w:left="238"/>
        <w:rPr>
          <w:sz w:val="18"/>
        </w:rPr>
      </w:pPr>
      <w:r>
        <w:rPr>
          <w:sz w:val="18"/>
          <w:vertAlign w:val="superscript"/>
        </w:rPr>
        <w:t>300</w:t>
      </w:r>
      <w:r>
        <w:rPr>
          <w:spacing w:val="-7"/>
          <w:sz w:val="18"/>
        </w:rPr>
        <w:t xml:space="preserve"> </w:t>
      </w:r>
      <w:r>
        <w:rPr>
          <w:sz w:val="18"/>
        </w:rPr>
        <w:t>Section</w:t>
      </w:r>
      <w:r>
        <w:rPr>
          <w:spacing w:val="-6"/>
          <w:sz w:val="18"/>
        </w:rPr>
        <w:t xml:space="preserve"> </w:t>
      </w:r>
      <w:r>
        <w:rPr>
          <w:spacing w:val="-2"/>
          <w:sz w:val="18"/>
        </w:rPr>
        <w:t>II.J.</w:t>
      </w:r>
    </w:p>
    <w:p w14:paraId="51DE85F7" w14:textId="77777777" w:rsidR="0010369C" w:rsidRDefault="008E43AE">
      <w:pPr>
        <w:spacing w:before="4"/>
        <w:rPr>
          <w:sz w:val="21"/>
        </w:rPr>
      </w:pPr>
      <w:r>
        <w:br w:type="column"/>
      </w:r>
    </w:p>
    <w:p w14:paraId="51DE85F8" w14:textId="77777777" w:rsidR="0010369C" w:rsidRDefault="008E43AE">
      <w:pPr>
        <w:spacing w:before="1"/>
        <w:ind w:left="238"/>
        <w:rPr>
          <w:sz w:val="18"/>
        </w:rPr>
      </w:pPr>
      <w:r>
        <w:rPr>
          <w:color w:val="5E5E5E"/>
          <w:sz w:val="18"/>
        </w:rPr>
        <w:t>(AUS‐5</w:t>
      </w:r>
      <w:r>
        <w:rPr>
          <w:color w:val="5E5E5E"/>
          <w:spacing w:val="-11"/>
          <w:sz w:val="18"/>
        </w:rPr>
        <w:t xml:space="preserve"> </w:t>
      </w:r>
      <w:r>
        <w:rPr>
          <w:color w:val="5E5E5E"/>
          <w:spacing w:val="-2"/>
          <w:sz w:val="18"/>
        </w:rPr>
        <w:t>(BCI)),</w:t>
      </w:r>
    </w:p>
    <w:p w14:paraId="51DE85F9" w14:textId="77777777" w:rsidR="0010369C" w:rsidRDefault="008E43AE">
      <w:pPr>
        <w:spacing w:before="41"/>
        <w:ind w:left="99"/>
        <w:rPr>
          <w:sz w:val="18"/>
        </w:rPr>
      </w:pPr>
      <w:r>
        <w:br w:type="column"/>
      </w:r>
      <w:r>
        <w:rPr>
          <w:color w:val="5E5E5E"/>
          <w:sz w:val="18"/>
        </w:rPr>
        <w:t>(Exhibit</w:t>
      </w:r>
      <w:r>
        <w:rPr>
          <w:color w:val="5E5E5E"/>
          <w:spacing w:val="-10"/>
          <w:sz w:val="18"/>
        </w:rPr>
        <w:t xml:space="preserve"> </w:t>
      </w:r>
      <w:r>
        <w:rPr>
          <w:color w:val="5E5E5E"/>
          <w:sz w:val="18"/>
        </w:rPr>
        <w:t>AUS‐10</w:t>
      </w:r>
      <w:r>
        <w:rPr>
          <w:color w:val="5E5E5E"/>
          <w:spacing w:val="-9"/>
          <w:sz w:val="18"/>
        </w:rPr>
        <w:t xml:space="preserve"> </w:t>
      </w:r>
      <w:r>
        <w:rPr>
          <w:color w:val="5E5E5E"/>
          <w:spacing w:val="-2"/>
          <w:sz w:val="18"/>
        </w:rPr>
        <w:t>(BCI)).]]</w:t>
      </w:r>
    </w:p>
    <w:p w14:paraId="51DE85FA" w14:textId="77777777" w:rsidR="0010369C" w:rsidRDefault="008E43AE">
      <w:pPr>
        <w:ind w:left="531"/>
        <w:rPr>
          <w:sz w:val="18"/>
        </w:rPr>
      </w:pPr>
      <w:r>
        <w:rPr>
          <w:color w:val="5E5E5E"/>
          <w:spacing w:val="-5"/>
          <w:sz w:val="18"/>
        </w:rPr>
        <w:t>.]]</w:t>
      </w:r>
    </w:p>
    <w:p w14:paraId="51DE85FB" w14:textId="77777777" w:rsidR="0010369C" w:rsidRDefault="0010369C">
      <w:pPr>
        <w:rPr>
          <w:sz w:val="18"/>
        </w:rPr>
        <w:sectPr w:rsidR="0010369C">
          <w:type w:val="continuous"/>
          <w:pgSz w:w="11910" w:h="16840"/>
          <w:pgMar w:top="1460" w:right="800" w:bottom="280" w:left="1180" w:header="569" w:footer="1363" w:gutter="0"/>
          <w:cols w:num="3" w:space="720" w:equalWidth="0">
            <w:col w:w="1323" w:space="4283"/>
            <w:col w:w="1231" w:space="39"/>
            <w:col w:w="3054"/>
          </w:cols>
        </w:sectPr>
      </w:pPr>
    </w:p>
    <w:p w14:paraId="51DE85FC" w14:textId="77777777" w:rsidR="0010369C" w:rsidRDefault="008E43AE">
      <w:pPr>
        <w:tabs>
          <w:tab w:val="left" w:pos="6425"/>
        </w:tabs>
        <w:ind w:left="238"/>
        <w:jc w:val="both"/>
        <w:rPr>
          <w:sz w:val="20"/>
        </w:rPr>
      </w:pPr>
      <w:r>
        <w:rPr>
          <w:i/>
          <w:sz w:val="20"/>
        </w:rPr>
        <w:lastRenderedPageBreak/>
        <w:t>China</w:t>
      </w:r>
      <w:r>
        <w:rPr>
          <w:i/>
          <w:spacing w:val="-5"/>
          <w:sz w:val="20"/>
        </w:rPr>
        <w:t xml:space="preserve"> </w:t>
      </w:r>
      <w:r>
        <w:rPr>
          <w:i/>
          <w:sz w:val="20"/>
        </w:rPr>
        <w:t>–</w:t>
      </w:r>
      <w:r>
        <w:rPr>
          <w:i/>
          <w:spacing w:val="-5"/>
          <w:sz w:val="20"/>
        </w:rPr>
        <w:t xml:space="preserve"> </w:t>
      </w:r>
      <w:r>
        <w:rPr>
          <w:i/>
          <w:sz w:val="20"/>
        </w:rPr>
        <w:t>Anti‐Dumping</w:t>
      </w:r>
      <w:r>
        <w:rPr>
          <w:i/>
          <w:spacing w:val="-4"/>
          <w:sz w:val="20"/>
        </w:rPr>
        <w:t xml:space="preserve"> </w:t>
      </w:r>
      <w:r>
        <w:rPr>
          <w:i/>
          <w:sz w:val="20"/>
        </w:rPr>
        <w:t>and</w:t>
      </w:r>
      <w:r>
        <w:rPr>
          <w:i/>
          <w:spacing w:val="-5"/>
          <w:sz w:val="20"/>
        </w:rPr>
        <w:t xml:space="preserve"> </w:t>
      </w:r>
      <w:r>
        <w:rPr>
          <w:i/>
          <w:sz w:val="20"/>
        </w:rPr>
        <w:t>Countervailing</w:t>
      </w:r>
      <w:r>
        <w:rPr>
          <w:i/>
          <w:spacing w:val="-5"/>
          <w:sz w:val="20"/>
        </w:rPr>
        <w:t xml:space="preserve"> </w:t>
      </w:r>
      <w:r>
        <w:rPr>
          <w:i/>
          <w:sz w:val="20"/>
        </w:rPr>
        <w:t>Duty</w:t>
      </w:r>
      <w:r>
        <w:rPr>
          <w:i/>
          <w:spacing w:val="-4"/>
          <w:sz w:val="20"/>
        </w:rPr>
        <w:t xml:space="preserve"> </w:t>
      </w:r>
      <w:r>
        <w:rPr>
          <w:i/>
          <w:spacing w:val="-2"/>
          <w:sz w:val="20"/>
        </w:rPr>
        <w:t>Measures</w:t>
      </w:r>
      <w:r>
        <w:rPr>
          <w:i/>
          <w:sz w:val="20"/>
        </w:rPr>
        <w:tab/>
      </w:r>
      <w:r>
        <w:rPr>
          <w:sz w:val="20"/>
        </w:rPr>
        <w:t>Australia's</w:t>
      </w:r>
      <w:r>
        <w:rPr>
          <w:spacing w:val="-7"/>
          <w:sz w:val="20"/>
        </w:rPr>
        <w:t xml:space="preserve"> </w:t>
      </w:r>
      <w:r>
        <w:rPr>
          <w:sz w:val="20"/>
        </w:rPr>
        <w:t>First</w:t>
      </w:r>
      <w:r>
        <w:rPr>
          <w:spacing w:val="-2"/>
          <w:sz w:val="20"/>
        </w:rPr>
        <w:t xml:space="preserve"> </w:t>
      </w:r>
      <w:r>
        <w:rPr>
          <w:sz w:val="20"/>
        </w:rPr>
        <w:t>Written</w:t>
      </w:r>
      <w:r>
        <w:rPr>
          <w:spacing w:val="-2"/>
          <w:sz w:val="20"/>
        </w:rPr>
        <w:t xml:space="preserve"> Submission</w:t>
      </w:r>
    </w:p>
    <w:p w14:paraId="51DE85FD" w14:textId="77777777" w:rsidR="0010369C" w:rsidRDefault="008E43AE">
      <w:pPr>
        <w:tabs>
          <w:tab w:val="left" w:pos="8227"/>
        </w:tabs>
        <w:spacing w:before="1"/>
        <w:ind w:left="239"/>
        <w:jc w:val="both"/>
        <w:rPr>
          <w:sz w:val="20"/>
        </w:rPr>
      </w:pPr>
      <w:r>
        <w:rPr>
          <w:i/>
          <w:sz w:val="20"/>
        </w:rPr>
        <w:t>on</w:t>
      </w:r>
      <w:r>
        <w:rPr>
          <w:i/>
          <w:spacing w:val="-1"/>
          <w:sz w:val="20"/>
        </w:rPr>
        <w:t xml:space="preserve"> </w:t>
      </w:r>
      <w:r>
        <w:rPr>
          <w:i/>
          <w:sz w:val="20"/>
        </w:rPr>
        <w:t>Wine</w:t>
      </w:r>
      <w:r>
        <w:rPr>
          <w:i/>
          <w:spacing w:val="-1"/>
          <w:sz w:val="20"/>
        </w:rPr>
        <w:t xml:space="preserve"> </w:t>
      </w:r>
      <w:r>
        <w:rPr>
          <w:i/>
          <w:sz w:val="20"/>
        </w:rPr>
        <w:t>from</w:t>
      </w:r>
      <w:r>
        <w:rPr>
          <w:i/>
          <w:spacing w:val="-3"/>
          <w:sz w:val="20"/>
        </w:rPr>
        <w:t xml:space="preserve"> </w:t>
      </w:r>
      <w:r>
        <w:rPr>
          <w:i/>
          <w:sz w:val="20"/>
        </w:rPr>
        <w:t>Australia</w:t>
      </w:r>
      <w:r>
        <w:rPr>
          <w:i/>
          <w:spacing w:val="-1"/>
          <w:sz w:val="20"/>
        </w:rPr>
        <w:t xml:space="preserve"> </w:t>
      </w:r>
      <w:r>
        <w:rPr>
          <w:spacing w:val="-2"/>
          <w:sz w:val="20"/>
        </w:rPr>
        <w:t>(DS602)</w:t>
      </w:r>
      <w:r>
        <w:rPr>
          <w:sz w:val="20"/>
        </w:rPr>
        <w:tab/>
        <w:t>29</w:t>
      </w:r>
      <w:r>
        <w:rPr>
          <w:spacing w:val="-1"/>
          <w:sz w:val="20"/>
        </w:rPr>
        <w:t xml:space="preserve"> </w:t>
      </w:r>
      <w:r>
        <w:rPr>
          <w:sz w:val="20"/>
        </w:rPr>
        <w:t>April</w:t>
      </w:r>
      <w:r>
        <w:rPr>
          <w:spacing w:val="-2"/>
          <w:sz w:val="20"/>
        </w:rPr>
        <w:t xml:space="preserve"> </w:t>
      </w:r>
      <w:r>
        <w:rPr>
          <w:spacing w:val="-4"/>
          <w:sz w:val="20"/>
        </w:rPr>
        <w:t>2022</w:t>
      </w:r>
    </w:p>
    <w:p w14:paraId="51DE85FE" w14:textId="77777777" w:rsidR="0010369C" w:rsidRDefault="008E43AE">
      <w:pPr>
        <w:pStyle w:val="BodyText"/>
        <w:spacing w:before="34" w:line="360" w:lineRule="auto"/>
        <w:ind w:left="237" w:right="612"/>
        <w:jc w:val="both"/>
        <w:rPr>
          <w:sz w:val="16"/>
        </w:rPr>
      </w:pPr>
      <w:r>
        <w:t>average price of domestic sales of other respondents".</w:t>
      </w:r>
      <w:r>
        <w:rPr>
          <w:vertAlign w:val="superscript"/>
        </w:rPr>
        <w:t>302</w:t>
      </w:r>
      <w:r>
        <w:t xml:space="preserve"> MOFCOM did not explain which "other</w:t>
      </w:r>
      <w:r>
        <w:rPr>
          <w:spacing w:val="-8"/>
        </w:rPr>
        <w:t xml:space="preserve"> </w:t>
      </w:r>
      <w:r>
        <w:t>respondents"</w:t>
      </w:r>
      <w:r>
        <w:rPr>
          <w:spacing w:val="-7"/>
        </w:rPr>
        <w:t xml:space="preserve"> </w:t>
      </w:r>
      <w:r>
        <w:t>whose</w:t>
      </w:r>
      <w:r>
        <w:rPr>
          <w:spacing w:val="-6"/>
        </w:rPr>
        <w:t xml:space="preserve"> </w:t>
      </w:r>
      <w:r>
        <w:t>domestic</w:t>
      </w:r>
      <w:r>
        <w:rPr>
          <w:spacing w:val="-5"/>
        </w:rPr>
        <w:t xml:space="preserve"> </w:t>
      </w:r>
      <w:r>
        <w:t>sales</w:t>
      </w:r>
      <w:r>
        <w:rPr>
          <w:spacing w:val="-6"/>
        </w:rPr>
        <w:t xml:space="preserve"> </w:t>
      </w:r>
      <w:r>
        <w:t>prices</w:t>
      </w:r>
      <w:r>
        <w:rPr>
          <w:spacing w:val="-6"/>
        </w:rPr>
        <w:t xml:space="preserve"> </w:t>
      </w:r>
      <w:r>
        <w:t>it</w:t>
      </w:r>
      <w:r>
        <w:rPr>
          <w:spacing w:val="-6"/>
        </w:rPr>
        <w:t xml:space="preserve"> </w:t>
      </w:r>
      <w:r>
        <w:t>was</w:t>
      </w:r>
      <w:r>
        <w:rPr>
          <w:spacing w:val="-8"/>
        </w:rPr>
        <w:t xml:space="preserve"> </w:t>
      </w:r>
      <w:r>
        <w:t>referring</w:t>
      </w:r>
      <w:r>
        <w:rPr>
          <w:spacing w:val="-7"/>
        </w:rPr>
        <w:t xml:space="preserve"> </w:t>
      </w:r>
      <w:r>
        <w:t>to</w:t>
      </w:r>
      <w:r>
        <w:rPr>
          <w:spacing w:val="-6"/>
        </w:rPr>
        <w:t xml:space="preserve"> </w:t>
      </w:r>
      <w:r>
        <w:t>and</w:t>
      </w:r>
      <w:r>
        <w:rPr>
          <w:spacing w:val="-6"/>
        </w:rPr>
        <w:t xml:space="preserve"> </w:t>
      </w:r>
      <w:r>
        <w:t>for</w:t>
      </w:r>
      <w:r>
        <w:rPr>
          <w:spacing w:val="-7"/>
        </w:rPr>
        <w:t xml:space="preserve"> </w:t>
      </w:r>
      <w:r>
        <w:t>each</w:t>
      </w:r>
      <w:r>
        <w:rPr>
          <w:spacing w:val="-8"/>
        </w:rPr>
        <w:t xml:space="preserve"> </w:t>
      </w:r>
      <w:r>
        <w:t>respondent, nor which domestic prices. Since Treasury Wines and Swan Vintage were the only other respondents and MOFCOM rejected Swan Vintage's domestic sales because they accounted for</w:t>
      </w:r>
      <w:r>
        <w:rPr>
          <w:spacing w:val="-1"/>
        </w:rPr>
        <w:t xml:space="preserve"> </w:t>
      </w:r>
      <w:r>
        <w:t>less</w:t>
      </w:r>
      <w:r>
        <w:rPr>
          <w:spacing w:val="-1"/>
        </w:rPr>
        <w:t xml:space="preserve"> </w:t>
      </w:r>
      <w:r>
        <w:t>than</w:t>
      </w:r>
      <w:r>
        <w:rPr>
          <w:spacing w:val="-2"/>
        </w:rPr>
        <w:t xml:space="preserve"> </w:t>
      </w:r>
      <w:r>
        <w:t>5%</w:t>
      </w:r>
      <w:r>
        <w:rPr>
          <w:spacing w:val="-1"/>
        </w:rPr>
        <w:t xml:space="preserve"> </w:t>
      </w:r>
      <w:r>
        <w:t>of</w:t>
      </w:r>
      <w:r>
        <w:rPr>
          <w:spacing w:val="-2"/>
        </w:rPr>
        <w:t xml:space="preserve"> </w:t>
      </w:r>
      <w:r>
        <w:t>exports</w:t>
      </w:r>
      <w:r>
        <w:rPr>
          <w:spacing w:val="-3"/>
        </w:rPr>
        <w:t xml:space="preserve"> </w:t>
      </w:r>
      <w:r>
        <w:t>to</w:t>
      </w:r>
      <w:r>
        <w:rPr>
          <w:spacing w:val="-1"/>
        </w:rPr>
        <w:t xml:space="preserve"> </w:t>
      </w:r>
      <w:r>
        <w:t>China,</w:t>
      </w:r>
      <w:r>
        <w:rPr>
          <w:vertAlign w:val="superscript"/>
        </w:rPr>
        <w:t>303</w:t>
      </w:r>
      <w:r>
        <w:rPr>
          <w:spacing w:val="-1"/>
        </w:rPr>
        <w:t xml:space="preserve"> </w:t>
      </w:r>
      <w:r>
        <w:t>the</w:t>
      </w:r>
      <w:r>
        <w:rPr>
          <w:spacing w:val="-1"/>
        </w:rPr>
        <w:t xml:space="preserve"> </w:t>
      </w:r>
      <w:r>
        <w:t>reference</w:t>
      </w:r>
      <w:r>
        <w:rPr>
          <w:spacing w:val="-2"/>
        </w:rPr>
        <w:t xml:space="preserve"> </w:t>
      </w:r>
      <w:r>
        <w:t>to</w:t>
      </w:r>
      <w:r>
        <w:rPr>
          <w:spacing w:val="-1"/>
        </w:rPr>
        <w:t xml:space="preserve"> </w:t>
      </w:r>
      <w:r>
        <w:t>"other</w:t>
      </w:r>
      <w:r>
        <w:rPr>
          <w:spacing w:val="-2"/>
        </w:rPr>
        <w:t xml:space="preserve"> </w:t>
      </w:r>
      <w:r>
        <w:t>exporters"</w:t>
      </w:r>
      <w:r>
        <w:rPr>
          <w:spacing w:val="-2"/>
        </w:rPr>
        <w:t xml:space="preserve"> </w:t>
      </w:r>
      <w:r>
        <w:t>might</w:t>
      </w:r>
      <w:r>
        <w:rPr>
          <w:spacing w:val="-2"/>
        </w:rPr>
        <w:t xml:space="preserve"> </w:t>
      </w:r>
      <w:r>
        <w:t>refer</w:t>
      </w:r>
      <w:r>
        <w:rPr>
          <w:spacing w:val="-2"/>
        </w:rPr>
        <w:t xml:space="preserve"> </w:t>
      </w:r>
      <w:r>
        <w:t>only</w:t>
      </w:r>
      <w:r>
        <w:rPr>
          <w:spacing w:val="-1"/>
        </w:rPr>
        <w:t xml:space="preserve"> </w:t>
      </w:r>
      <w:r>
        <w:t>to Treasury Wines. MOFCOM determined Casella Wines' export price using the "sales price between</w:t>
      </w:r>
      <w:r>
        <w:rPr>
          <w:spacing w:val="-6"/>
        </w:rPr>
        <w:t xml:space="preserve"> </w:t>
      </w:r>
      <w:r>
        <w:t>the</w:t>
      </w:r>
      <w:r>
        <w:rPr>
          <w:spacing w:val="-6"/>
        </w:rPr>
        <w:t xml:space="preserve"> </w:t>
      </w:r>
      <w:r>
        <w:t>company</w:t>
      </w:r>
      <w:r>
        <w:rPr>
          <w:spacing w:val="-6"/>
        </w:rPr>
        <w:t xml:space="preserve"> </w:t>
      </w:r>
      <w:r>
        <w:t>and</w:t>
      </w:r>
      <w:r>
        <w:rPr>
          <w:spacing w:val="-7"/>
        </w:rPr>
        <w:t xml:space="preserve"> </w:t>
      </w:r>
      <w:r>
        <w:t>Chinese</w:t>
      </w:r>
      <w:r>
        <w:rPr>
          <w:spacing w:val="-6"/>
        </w:rPr>
        <w:t xml:space="preserve"> </w:t>
      </w:r>
      <w:r>
        <w:t>non‐related</w:t>
      </w:r>
      <w:r>
        <w:rPr>
          <w:spacing w:val="-8"/>
        </w:rPr>
        <w:t xml:space="preserve"> </w:t>
      </w:r>
      <w:r>
        <w:t>clients".</w:t>
      </w:r>
      <w:r>
        <w:rPr>
          <w:vertAlign w:val="superscript"/>
        </w:rPr>
        <w:t>304</w:t>
      </w:r>
      <w:r>
        <w:rPr>
          <w:spacing w:val="40"/>
        </w:rPr>
        <w:t xml:space="preserve"> </w:t>
      </w:r>
      <w:r>
        <w:t>Based</w:t>
      </w:r>
      <w:r>
        <w:rPr>
          <w:spacing w:val="-7"/>
        </w:rPr>
        <w:t xml:space="preserve"> </w:t>
      </w:r>
      <w:r>
        <w:t>on</w:t>
      </w:r>
      <w:r>
        <w:rPr>
          <w:spacing w:val="-7"/>
        </w:rPr>
        <w:t xml:space="preserve"> </w:t>
      </w:r>
      <w:r>
        <w:t>this</w:t>
      </w:r>
      <w:r>
        <w:rPr>
          <w:spacing w:val="-6"/>
        </w:rPr>
        <w:t xml:space="preserve"> </w:t>
      </w:r>
      <w:r>
        <w:t>approach</w:t>
      </w:r>
      <w:r>
        <w:rPr>
          <w:spacing w:val="-7"/>
        </w:rPr>
        <w:t xml:space="preserve"> </w:t>
      </w:r>
      <w:r>
        <w:t>to</w:t>
      </w:r>
      <w:r>
        <w:rPr>
          <w:spacing w:val="-6"/>
        </w:rPr>
        <w:t xml:space="preserve"> </w:t>
      </w:r>
      <w:r>
        <w:t>normal valu</w:t>
      </w:r>
      <w:r>
        <w:t>e and export price, MOFCOM determined a grossly excessive margin of dumping for Casella Wines of 170.9%</w:t>
      </w:r>
      <w:r>
        <w:rPr>
          <w:sz w:val="16"/>
        </w:rPr>
        <w:t>.</w:t>
      </w:r>
    </w:p>
    <w:p w14:paraId="51DE85FF" w14:textId="77777777" w:rsidR="0010369C" w:rsidRDefault="0010369C">
      <w:pPr>
        <w:pStyle w:val="BodyText"/>
        <w:spacing w:before="11"/>
        <w:rPr>
          <w:sz w:val="8"/>
        </w:rPr>
      </w:pPr>
    </w:p>
    <w:p w14:paraId="51DE8600" w14:textId="77777777" w:rsidR="0010369C" w:rsidRDefault="008E43AE">
      <w:pPr>
        <w:pStyle w:val="BodyText"/>
        <w:spacing w:before="51" w:line="360" w:lineRule="auto"/>
        <w:ind w:left="236" w:right="614" w:firstLine="852"/>
        <w:jc w:val="both"/>
      </w:pPr>
      <w:r>
        <w:rPr>
          <w:noProof/>
        </w:rPr>
        <w:drawing>
          <wp:anchor distT="0" distB="0" distL="0" distR="0" simplePos="0" relativeHeight="250945024" behindDoc="1" locked="0" layoutInCell="1" allowOverlap="1" wp14:anchorId="51DEA11B" wp14:editId="51DEA11C">
            <wp:simplePos x="0" y="0"/>
            <wp:positionH relativeFrom="page">
              <wp:posOffset>905255</wp:posOffset>
            </wp:positionH>
            <wp:positionV relativeFrom="paragraph">
              <wp:posOffset>76150</wp:posOffset>
            </wp:positionV>
            <wp:extent cx="259079" cy="106679"/>
            <wp:effectExtent l="0" t="0" r="0" b="0"/>
            <wp:wrapNone/>
            <wp:docPr id="569" name="image2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 name="image293.png"/>
                    <pic:cNvPicPr/>
                  </pic:nvPicPr>
                  <pic:blipFill>
                    <a:blip r:embed="rId405" cstate="print"/>
                    <a:stretch>
                      <a:fillRect/>
                    </a:stretch>
                  </pic:blipFill>
                  <pic:spPr>
                    <a:xfrm>
                      <a:off x="0" y="0"/>
                      <a:ext cx="259079" cy="106679"/>
                    </a:xfrm>
                    <a:prstGeom prst="rect">
                      <a:avLst/>
                    </a:prstGeom>
                  </pic:spPr>
                </pic:pic>
              </a:graphicData>
            </a:graphic>
          </wp:anchor>
        </w:drawing>
      </w:r>
      <w:r>
        <w:t>MOFCOM's</w:t>
      </w:r>
      <w:r>
        <w:rPr>
          <w:spacing w:val="40"/>
        </w:rPr>
        <w:t xml:space="preserve"> </w:t>
      </w:r>
      <w:r>
        <w:t>determination</w:t>
      </w:r>
      <w:r>
        <w:rPr>
          <w:spacing w:val="40"/>
        </w:rPr>
        <w:t xml:space="preserve"> </w:t>
      </w:r>
      <w:r>
        <w:t>of</w:t>
      </w:r>
      <w:r>
        <w:rPr>
          <w:spacing w:val="40"/>
        </w:rPr>
        <w:t xml:space="preserve"> </w:t>
      </w:r>
      <w:r>
        <w:t>dumping</w:t>
      </w:r>
      <w:r>
        <w:rPr>
          <w:spacing w:val="40"/>
        </w:rPr>
        <w:t xml:space="preserve"> </w:t>
      </w:r>
      <w:r>
        <w:t>for</w:t>
      </w:r>
      <w:r>
        <w:rPr>
          <w:spacing w:val="40"/>
        </w:rPr>
        <w:t xml:space="preserve"> </w:t>
      </w:r>
      <w:r>
        <w:t>Casella</w:t>
      </w:r>
      <w:r>
        <w:rPr>
          <w:spacing w:val="40"/>
        </w:rPr>
        <w:t xml:space="preserve"> </w:t>
      </w:r>
      <w:r>
        <w:t>Wines</w:t>
      </w:r>
      <w:r>
        <w:rPr>
          <w:spacing w:val="40"/>
        </w:rPr>
        <w:t xml:space="preserve"> </w:t>
      </w:r>
      <w:r>
        <w:t>is</w:t>
      </w:r>
      <w:r>
        <w:rPr>
          <w:spacing w:val="40"/>
        </w:rPr>
        <w:t xml:space="preserve"> </w:t>
      </w:r>
      <w:r>
        <w:t>inconsistent</w:t>
      </w:r>
      <w:r>
        <w:rPr>
          <w:spacing w:val="40"/>
        </w:rPr>
        <w:t xml:space="preserve"> </w:t>
      </w:r>
      <w:r>
        <w:t>with Article</w:t>
      </w:r>
      <w:r>
        <w:rPr>
          <w:spacing w:val="-2"/>
        </w:rPr>
        <w:t xml:space="preserve"> </w:t>
      </w:r>
      <w:r>
        <w:t xml:space="preserve">6.8 and paragraphs 1, 3, 5, 6, and 7 of Annex II of the Anti‐Dumping Agreement </w:t>
      </w:r>
      <w:r>
        <w:rPr>
          <w:spacing w:val="-2"/>
        </w:rPr>
        <w:t>because:</w:t>
      </w:r>
    </w:p>
    <w:p w14:paraId="51DE8601" w14:textId="77777777" w:rsidR="0010369C" w:rsidRDefault="008E43AE">
      <w:pPr>
        <w:pStyle w:val="ListParagraph"/>
        <w:numPr>
          <w:ilvl w:val="1"/>
          <w:numId w:val="69"/>
        </w:numPr>
        <w:tabs>
          <w:tab w:val="left" w:pos="1938"/>
          <w:tab w:val="left" w:pos="1939"/>
        </w:tabs>
        <w:spacing w:before="161" w:line="357" w:lineRule="auto"/>
        <w:ind w:left="1938" w:right="613"/>
        <w:rPr>
          <w:rFonts w:ascii="Symbol" w:hAnsi="Symbol"/>
          <w:sz w:val="24"/>
        </w:rPr>
      </w:pPr>
      <w:r>
        <w:rPr>
          <w:sz w:val="24"/>
        </w:rPr>
        <w:t>MOFCOM improperly rejected Casella Wine's domestic prices and production costs, improperly resorted to facts available, and has therefore acted</w:t>
      </w:r>
      <w:r>
        <w:rPr>
          <w:spacing w:val="40"/>
          <w:sz w:val="24"/>
        </w:rPr>
        <w:t xml:space="preserve">  </w:t>
      </w:r>
      <w:r>
        <w:rPr>
          <w:sz w:val="24"/>
        </w:rPr>
        <w:t>inconsistently</w:t>
      </w:r>
      <w:r>
        <w:rPr>
          <w:spacing w:val="40"/>
          <w:sz w:val="24"/>
        </w:rPr>
        <w:t xml:space="preserve">  </w:t>
      </w:r>
      <w:r>
        <w:rPr>
          <w:sz w:val="24"/>
        </w:rPr>
        <w:t>with</w:t>
      </w:r>
      <w:r>
        <w:rPr>
          <w:spacing w:val="40"/>
          <w:sz w:val="24"/>
        </w:rPr>
        <w:t xml:space="preserve">  </w:t>
      </w:r>
      <w:r>
        <w:rPr>
          <w:sz w:val="24"/>
        </w:rPr>
        <w:t>A</w:t>
      </w:r>
      <w:r>
        <w:rPr>
          <w:sz w:val="24"/>
        </w:rPr>
        <w:t>rticles</w:t>
      </w:r>
      <w:r>
        <w:rPr>
          <w:spacing w:val="40"/>
          <w:sz w:val="24"/>
        </w:rPr>
        <w:t xml:space="preserve">  </w:t>
      </w:r>
      <w:r>
        <w:rPr>
          <w:sz w:val="24"/>
        </w:rPr>
        <w:t>2.1</w:t>
      </w:r>
      <w:r>
        <w:rPr>
          <w:spacing w:val="40"/>
          <w:sz w:val="24"/>
        </w:rPr>
        <w:t xml:space="preserve">  </w:t>
      </w:r>
      <w:r>
        <w:rPr>
          <w:sz w:val="24"/>
        </w:rPr>
        <w:t>and</w:t>
      </w:r>
      <w:r>
        <w:rPr>
          <w:spacing w:val="40"/>
          <w:sz w:val="24"/>
        </w:rPr>
        <w:t xml:space="preserve">  </w:t>
      </w:r>
      <w:r>
        <w:rPr>
          <w:sz w:val="24"/>
        </w:rPr>
        <w:t>2.2</w:t>
      </w:r>
      <w:r>
        <w:rPr>
          <w:spacing w:val="40"/>
          <w:sz w:val="24"/>
        </w:rPr>
        <w:t xml:space="preserve">  </w:t>
      </w:r>
      <w:r>
        <w:rPr>
          <w:sz w:val="24"/>
        </w:rPr>
        <w:t>of</w:t>
      </w:r>
      <w:r>
        <w:rPr>
          <w:spacing w:val="40"/>
          <w:sz w:val="24"/>
        </w:rPr>
        <w:t xml:space="preserve">  </w:t>
      </w:r>
      <w:r>
        <w:rPr>
          <w:sz w:val="24"/>
        </w:rPr>
        <w:t>the Anti‐Dumping Agreement;</w:t>
      </w:r>
    </w:p>
    <w:p w14:paraId="51DE8602" w14:textId="77777777" w:rsidR="0010369C" w:rsidRDefault="008E43AE">
      <w:pPr>
        <w:pStyle w:val="ListParagraph"/>
        <w:numPr>
          <w:ilvl w:val="1"/>
          <w:numId w:val="69"/>
        </w:numPr>
        <w:tabs>
          <w:tab w:val="left" w:pos="1940"/>
          <w:tab w:val="left" w:pos="1941"/>
        </w:tabs>
        <w:spacing w:before="130" w:line="355" w:lineRule="auto"/>
        <w:ind w:left="1940" w:right="612"/>
        <w:rPr>
          <w:rFonts w:ascii="Symbol" w:hAnsi="Symbol"/>
          <w:sz w:val="24"/>
        </w:rPr>
      </w:pPr>
      <w:r>
        <w:rPr>
          <w:sz w:val="24"/>
        </w:rPr>
        <w:t>Even</w:t>
      </w:r>
      <w:r>
        <w:rPr>
          <w:spacing w:val="-2"/>
          <w:sz w:val="24"/>
        </w:rPr>
        <w:t xml:space="preserve"> </w:t>
      </w:r>
      <w:r>
        <w:rPr>
          <w:sz w:val="24"/>
        </w:rPr>
        <w:t>if</w:t>
      </w:r>
      <w:r>
        <w:rPr>
          <w:spacing w:val="-2"/>
          <w:sz w:val="24"/>
        </w:rPr>
        <w:t xml:space="preserve"> </w:t>
      </w:r>
      <w:r>
        <w:rPr>
          <w:sz w:val="24"/>
        </w:rPr>
        <w:t>it</w:t>
      </w:r>
      <w:r>
        <w:rPr>
          <w:spacing w:val="-1"/>
          <w:sz w:val="24"/>
        </w:rPr>
        <w:t xml:space="preserve"> </w:t>
      </w:r>
      <w:r>
        <w:rPr>
          <w:sz w:val="24"/>
        </w:rPr>
        <w:t>did not</w:t>
      </w:r>
      <w:r>
        <w:rPr>
          <w:spacing w:val="-1"/>
          <w:sz w:val="24"/>
        </w:rPr>
        <w:t xml:space="preserve"> </w:t>
      </w:r>
      <w:r>
        <w:rPr>
          <w:sz w:val="24"/>
        </w:rPr>
        <w:t>improperly</w:t>
      </w:r>
      <w:r>
        <w:rPr>
          <w:spacing w:val="-1"/>
          <w:sz w:val="24"/>
        </w:rPr>
        <w:t xml:space="preserve"> </w:t>
      </w:r>
      <w:r>
        <w:rPr>
          <w:sz w:val="24"/>
        </w:rPr>
        <w:t>resort</w:t>
      </w:r>
      <w:r>
        <w:rPr>
          <w:spacing w:val="-2"/>
          <w:sz w:val="24"/>
        </w:rPr>
        <w:t xml:space="preserve"> </w:t>
      </w:r>
      <w:r>
        <w:rPr>
          <w:sz w:val="24"/>
        </w:rPr>
        <w:t>to</w:t>
      </w:r>
      <w:r>
        <w:rPr>
          <w:spacing w:val="-1"/>
          <w:sz w:val="24"/>
        </w:rPr>
        <w:t xml:space="preserve"> </w:t>
      </w:r>
      <w:r>
        <w:rPr>
          <w:sz w:val="24"/>
        </w:rPr>
        <w:t>facts</w:t>
      </w:r>
      <w:r>
        <w:rPr>
          <w:spacing w:val="-2"/>
          <w:sz w:val="24"/>
        </w:rPr>
        <w:t xml:space="preserve"> </w:t>
      </w:r>
      <w:r>
        <w:rPr>
          <w:sz w:val="24"/>
        </w:rPr>
        <w:t>available,</w:t>
      </w:r>
      <w:r>
        <w:rPr>
          <w:spacing w:val="-2"/>
          <w:sz w:val="24"/>
        </w:rPr>
        <w:t xml:space="preserve"> </w:t>
      </w:r>
      <w:r>
        <w:rPr>
          <w:sz w:val="24"/>
        </w:rPr>
        <w:t>it</w:t>
      </w:r>
      <w:r>
        <w:rPr>
          <w:spacing w:val="-1"/>
          <w:sz w:val="24"/>
        </w:rPr>
        <w:t xml:space="preserve"> </w:t>
      </w:r>
      <w:r>
        <w:rPr>
          <w:sz w:val="24"/>
        </w:rPr>
        <w:t>erred</w:t>
      </w:r>
      <w:r>
        <w:rPr>
          <w:spacing w:val="-2"/>
          <w:sz w:val="24"/>
        </w:rPr>
        <w:t xml:space="preserve"> </w:t>
      </w:r>
      <w:r>
        <w:rPr>
          <w:sz w:val="24"/>
        </w:rPr>
        <w:t>in</w:t>
      </w:r>
      <w:r>
        <w:rPr>
          <w:spacing w:val="-2"/>
          <w:sz w:val="24"/>
        </w:rPr>
        <w:t xml:space="preserve"> </w:t>
      </w:r>
      <w:r>
        <w:rPr>
          <w:sz w:val="24"/>
        </w:rPr>
        <w:t>its selection of facts available; and</w:t>
      </w:r>
    </w:p>
    <w:p w14:paraId="51DE8603" w14:textId="77777777" w:rsidR="0010369C" w:rsidRDefault="008E43AE">
      <w:pPr>
        <w:pStyle w:val="ListParagraph"/>
        <w:numPr>
          <w:ilvl w:val="1"/>
          <w:numId w:val="69"/>
        </w:numPr>
        <w:tabs>
          <w:tab w:val="left" w:pos="1940"/>
          <w:tab w:val="left" w:pos="1941"/>
        </w:tabs>
        <w:spacing w:before="132" w:line="357" w:lineRule="auto"/>
        <w:ind w:right="613"/>
        <w:rPr>
          <w:rFonts w:ascii="Symbol" w:hAnsi="Symbol"/>
          <w:sz w:val="24"/>
        </w:rPr>
      </w:pPr>
      <w:r>
        <w:rPr>
          <w:sz w:val="24"/>
        </w:rPr>
        <w:t>Even</w:t>
      </w:r>
      <w:r>
        <w:rPr>
          <w:spacing w:val="-5"/>
          <w:sz w:val="24"/>
        </w:rPr>
        <w:t xml:space="preserve"> </w:t>
      </w:r>
      <w:r>
        <w:rPr>
          <w:sz w:val="24"/>
        </w:rPr>
        <w:t>if</w:t>
      </w:r>
      <w:r>
        <w:rPr>
          <w:spacing w:val="-5"/>
          <w:sz w:val="24"/>
        </w:rPr>
        <w:t xml:space="preserve"> </w:t>
      </w:r>
      <w:r>
        <w:rPr>
          <w:sz w:val="24"/>
        </w:rPr>
        <w:t>it</w:t>
      </w:r>
      <w:r>
        <w:rPr>
          <w:spacing w:val="-5"/>
          <w:sz w:val="24"/>
        </w:rPr>
        <w:t xml:space="preserve"> </w:t>
      </w:r>
      <w:r>
        <w:rPr>
          <w:sz w:val="24"/>
        </w:rPr>
        <w:t>did</w:t>
      </w:r>
      <w:r>
        <w:rPr>
          <w:spacing w:val="-6"/>
          <w:sz w:val="24"/>
        </w:rPr>
        <w:t xml:space="preserve"> </w:t>
      </w:r>
      <w:r>
        <w:rPr>
          <w:sz w:val="24"/>
        </w:rPr>
        <w:t>not</w:t>
      </w:r>
      <w:r>
        <w:rPr>
          <w:spacing w:val="-5"/>
          <w:sz w:val="24"/>
        </w:rPr>
        <w:t xml:space="preserve"> </w:t>
      </w:r>
      <w:r>
        <w:rPr>
          <w:sz w:val="24"/>
        </w:rPr>
        <w:t>err</w:t>
      </w:r>
      <w:r>
        <w:rPr>
          <w:spacing w:val="-5"/>
          <w:sz w:val="24"/>
        </w:rPr>
        <w:t xml:space="preserve"> </w:t>
      </w:r>
      <w:r>
        <w:rPr>
          <w:sz w:val="24"/>
        </w:rPr>
        <w:t>in</w:t>
      </w:r>
      <w:r>
        <w:rPr>
          <w:spacing w:val="-5"/>
          <w:sz w:val="24"/>
        </w:rPr>
        <w:t xml:space="preserve"> </w:t>
      </w:r>
      <w:r>
        <w:rPr>
          <w:sz w:val="24"/>
        </w:rPr>
        <w:t>its</w:t>
      </w:r>
      <w:r>
        <w:rPr>
          <w:spacing w:val="-5"/>
          <w:sz w:val="24"/>
        </w:rPr>
        <w:t xml:space="preserve"> </w:t>
      </w:r>
      <w:r>
        <w:rPr>
          <w:sz w:val="24"/>
        </w:rPr>
        <w:t>selection</w:t>
      </w:r>
      <w:r>
        <w:rPr>
          <w:spacing w:val="-5"/>
          <w:sz w:val="24"/>
        </w:rPr>
        <w:t xml:space="preserve"> </w:t>
      </w:r>
      <w:r>
        <w:rPr>
          <w:sz w:val="24"/>
        </w:rPr>
        <w:t>of</w:t>
      </w:r>
      <w:r>
        <w:rPr>
          <w:spacing w:val="-5"/>
          <w:sz w:val="24"/>
        </w:rPr>
        <w:t xml:space="preserve"> </w:t>
      </w:r>
      <w:r>
        <w:rPr>
          <w:sz w:val="24"/>
        </w:rPr>
        <w:t>facts</w:t>
      </w:r>
      <w:r>
        <w:rPr>
          <w:spacing w:val="-5"/>
          <w:sz w:val="24"/>
        </w:rPr>
        <w:t xml:space="preserve"> </w:t>
      </w:r>
      <w:r>
        <w:rPr>
          <w:sz w:val="24"/>
        </w:rPr>
        <w:t>available,</w:t>
      </w:r>
      <w:r>
        <w:rPr>
          <w:spacing w:val="-5"/>
          <w:sz w:val="24"/>
        </w:rPr>
        <w:t xml:space="preserve"> </w:t>
      </w:r>
      <w:r>
        <w:rPr>
          <w:sz w:val="24"/>
        </w:rPr>
        <w:t>it</w:t>
      </w:r>
      <w:r>
        <w:rPr>
          <w:spacing w:val="-5"/>
          <w:sz w:val="24"/>
        </w:rPr>
        <w:t xml:space="preserve"> </w:t>
      </w:r>
      <w:r>
        <w:rPr>
          <w:sz w:val="24"/>
        </w:rPr>
        <w:t>failed</w:t>
      </w:r>
      <w:r>
        <w:rPr>
          <w:spacing w:val="-7"/>
          <w:sz w:val="24"/>
        </w:rPr>
        <w:t xml:space="preserve"> </w:t>
      </w:r>
      <w:r>
        <w:rPr>
          <w:sz w:val="24"/>
        </w:rPr>
        <w:t>to</w:t>
      </w:r>
      <w:r>
        <w:rPr>
          <w:spacing w:val="-5"/>
          <w:sz w:val="24"/>
        </w:rPr>
        <w:t xml:space="preserve"> </w:t>
      </w:r>
      <w:r>
        <w:rPr>
          <w:sz w:val="24"/>
        </w:rPr>
        <w:t>undertake</w:t>
      </w:r>
      <w:r>
        <w:rPr>
          <w:spacing w:val="-4"/>
          <w:sz w:val="24"/>
        </w:rPr>
        <w:t xml:space="preserve"> </w:t>
      </w:r>
      <w:r>
        <w:rPr>
          <w:sz w:val="24"/>
        </w:rPr>
        <w:t>a fair comparison between normal value and export price as required by Article 2.4.</w:t>
      </w:r>
    </w:p>
    <w:p w14:paraId="51DE8604" w14:textId="77777777" w:rsidR="0010369C" w:rsidRDefault="008E43AE">
      <w:pPr>
        <w:pStyle w:val="Heading4"/>
        <w:numPr>
          <w:ilvl w:val="2"/>
          <w:numId w:val="75"/>
        </w:numPr>
        <w:tabs>
          <w:tab w:val="left" w:pos="2649"/>
          <w:tab w:val="left" w:pos="2650"/>
        </w:tabs>
        <w:spacing w:before="129"/>
        <w:ind w:left="2649" w:hanging="852"/>
        <w:jc w:val="both"/>
      </w:pPr>
      <w:bookmarkStart w:id="29" w:name="_TOC_250000"/>
      <w:r>
        <w:t>MOFCOM</w:t>
      </w:r>
      <w:r>
        <w:rPr>
          <w:spacing w:val="-12"/>
        </w:rPr>
        <w:t xml:space="preserve"> </w:t>
      </w:r>
      <w:r>
        <w:t>improperly</w:t>
      </w:r>
      <w:r>
        <w:rPr>
          <w:spacing w:val="-13"/>
        </w:rPr>
        <w:t xml:space="preserve"> </w:t>
      </w:r>
      <w:r>
        <w:t>calculated</w:t>
      </w:r>
      <w:r>
        <w:rPr>
          <w:spacing w:val="-11"/>
        </w:rPr>
        <w:t xml:space="preserve"> </w:t>
      </w:r>
      <w:r>
        <w:t>normal</w:t>
      </w:r>
      <w:r>
        <w:rPr>
          <w:spacing w:val="-13"/>
        </w:rPr>
        <w:t xml:space="preserve"> </w:t>
      </w:r>
      <w:bookmarkEnd w:id="29"/>
      <w:r>
        <w:rPr>
          <w:spacing w:val="-2"/>
        </w:rPr>
        <w:t>value</w:t>
      </w:r>
    </w:p>
    <w:p w14:paraId="51DE8605" w14:textId="77777777" w:rsidR="0010369C" w:rsidRDefault="0010369C">
      <w:pPr>
        <w:pStyle w:val="BodyText"/>
        <w:rPr>
          <w:b/>
          <w:sz w:val="25"/>
        </w:rPr>
      </w:pPr>
    </w:p>
    <w:p w14:paraId="51DE8606" w14:textId="77777777" w:rsidR="0010369C" w:rsidRDefault="008E43AE">
      <w:pPr>
        <w:pStyle w:val="ListParagraph"/>
        <w:numPr>
          <w:ilvl w:val="3"/>
          <w:numId w:val="75"/>
        </w:numPr>
        <w:tabs>
          <w:tab w:val="left" w:pos="3642"/>
          <w:tab w:val="left" w:pos="3643"/>
        </w:tabs>
        <w:spacing w:before="0" w:line="360" w:lineRule="auto"/>
        <w:ind w:left="3643" w:right="616" w:hanging="853"/>
        <w:rPr>
          <w:sz w:val="24"/>
        </w:rPr>
      </w:pPr>
      <w:r>
        <w:rPr>
          <w:sz w:val="24"/>
          <w:u w:val="single"/>
        </w:rPr>
        <w:t>MOFCOM</w:t>
      </w:r>
      <w:r>
        <w:rPr>
          <w:spacing w:val="29"/>
          <w:sz w:val="24"/>
          <w:u w:val="single"/>
        </w:rPr>
        <w:t xml:space="preserve"> </w:t>
      </w:r>
      <w:r>
        <w:rPr>
          <w:sz w:val="24"/>
          <w:u w:val="single"/>
        </w:rPr>
        <w:t>failed</w:t>
      </w:r>
      <w:r>
        <w:rPr>
          <w:spacing w:val="29"/>
          <w:sz w:val="24"/>
          <w:u w:val="single"/>
        </w:rPr>
        <w:t xml:space="preserve"> </w:t>
      </w:r>
      <w:r>
        <w:rPr>
          <w:sz w:val="24"/>
          <w:u w:val="single"/>
        </w:rPr>
        <w:t>to</w:t>
      </w:r>
      <w:r>
        <w:rPr>
          <w:spacing w:val="29"/>
          <w:sz w:val="24"/>
          <w:u w:val="single"/>
        </w:rPr>
        <w:t xml:space="preserve"> </w:t>
      </w:r>
      <w:r>
        <w:rPr>
          <w:sz w:val="24"/>
          <w:u w:val="single"/>
        </w:rPr>
        <w:t>have</w:t>
      </w:r>
      <w:r>
        <w:rPr>
          <w:spacing w:val="30"/>
          <w:sz w:val="24"/>
          <w:u w:val="single"/>
        </w:rPr>
        <w:t xml:space="preserve"> </w:t>
      </w:r>
      <w:r>
        <w:rPr>
          <w:sz w:val="24"/>
          <w:u w:val="single"/>
        </w:rPr>
        <w:t>regard</w:t>
      </w:r>
      <w:r>
        <w:rPr>
          <w:spacing w:val="28"/>
          <w:sz w:val="24"/>
          <w:u w:val="single"/>
        </w:rPr>
        <w:t xml:space="preserve"> </w:t>
      </w:r>
      <w:r>
        <w:rPr>
          <w:sz w:val="24"/>
          <w:u w:val="single"/>
        </w:rPr>
        <w:t>to</w:t>
      </w:r>
      <w:r>
        <w:rPr>
          <w:spacing w:val="28"/>
          <w:sz w:val="24"/>
          <w:u w:val="single"/>
        </w:rPr>
        <w:t xml:space="preserve"> </w:t>
      </w:r>
      <w:r>
        <w:rPr>
          <w:sz w:val="24"/>
          <w:u w:val="single"/>
        </w:rPr>
        <w:t>all</w:t>
      </w:r>
      <w:r>
        <w:rPr>
          <w:spacing w:val="29"/>
          <w:sz w:val="24"/>
          <w:u w:val="single"/>
        </w:rPr>
        <w:t xml:space="preserve"> </w:t>
      </w:r>
      <w:r>
        <w:rPr>
          <w:sz w:val="24"/>
          <w:u w:val="single"/>
        </w:rPr>
        <w:t>relevant</w:t>
      </w:r>
      <w:r>
        <w:rPr>
          <w:spacing w:val="28"/>
          <w:sz w:val="24"/>
          <w:u w:val="single"/>
        </w:rPr>
        <w:t xml:space="preserve"> </w:t>
      </w:r>
      <w:r>
        <w:rPr>
          <w:sz w:val="24"/>
          <w:u w:val="single"/>
        </w:rPr>
        <w:t>domestic</w:t>
      </w:r>
      <w:r>
        <w:rPr>
          <w:sz w:val="24"/>
        </w:rPr>
        <w:t xml:space="preserve"> </w:t>
      </w:r>
      <w:r>
        <w:rPr>
          <w:spacing w:val="-2"/>
          <w:sz w:val="24"/>
          <w:u w:val="single"/>
        </w:rPr>
        <w:t>sales</w:t>
      </w:r>
    </w:p>
    <w:p w14:paraId="51DE8607" w14:textId="77777777" w:rsidR="0010369C" w:rsidRDefault="0010369C">
      <w:pPr>
        <w:pStyle w:val="BodyText"/>
        <w:spacing w:before="11"/>
        <w:rPr>
          <w:sz w:val="8"/>
        </w:rPr>
      </w:pPr>
    </w:p>
    <w:p w14:paraId="51DE8608" w14:textId="77777777" w:rsidR="0010369C" w:rsidRDefault="008E43AE">
      <w:pPr>
        <w:pStyle w:val="BodyText"/>
        <w:spacing w:before="52" w:line="360" w:lineRule="auto"/>
        <w:ind w:left="238" w:right="612" w:firstLine="851"/>
        <w:jc w:val="both"/>
      </w:pPr>
      <w:r>
        <w:rPr>
          <w:noProof/>
        </w:rPr>
        <w:drawing>
          <wp:anchor distT="0" distB="0" distL="0" distR="0" simplePos="0" relativeHeight="250946048" behindDoc="1" locked="0" layoutInCell="1" allowOverlap="1" wp14:anchorId="51DEA11D" wp14:editId="51DEA11E">
            <wp:simplePos x="0" y="0"/>
            <wp:positionH relativeFrom="page">
              <wp:posOffset>905255</wp:posOffset>
            </wp:positionH>
            <wp:positionV relativeFrom="paragraph">
              <wp:posOffset>81949</wp:posOffset>
            </wp:positionV>
            <wp:extent cx="259079" cy="100753"/>
            <wp:effectExtent l="0" t="0" r="0" b="0"/>
            <wp:wrapNone/>
            <wp:docPr id="571" name="image2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 name="image294.png"/>
                    <pic:cNvPicPr/>
                  </pic:nvPicPr>
                  <pic:blipFill>
                    <a:blip r:embed="rId406" cstate="print"/>
                    <a:stretch>
                      <a:fillRect/>
                    </a:stretch>
                  </pic:blipFill>
                  <pic:spPr>
                    <a:xfrm>
                      <a:off x="0" y="0"/>
                      <a:ext cx="259079" cy="100753"/>
                    </a:xfrm>
                    <a:prstGeom prst="rect">
                      <a:avLst/>
                    </a:prstGeom>
                  </pic:spPr>
                </pic:pic>
              </a:graphicData>
            </a:graphic>
          </wp:anchor>
        </w:drawing>
      </w:r>
      <w:r>
        <w:t>MOFCOM</w:t>
      </w:r>
      <w:r>
        <w:rPr>
          <w:spacing w:val="-14"/>
        </w:rPr>
        <w:t xml:space="preserve"> </w:t>
      </w:r>
      <w:r>
        <w:t>failed</w:t>
      </w:r>
      <w:r>
        <w:rPr>
          <w:spacing w:val="-14"/>
        </w:rPr>
        <w:t xml:space="preserve"> </w:t>
      </w:r>
      <w:r>
        <w:t>to</w:t>
      </w:r>
      <w:r>
        <w:rPr>
          <w:spacing w:val="-13"/>
        </w:rPr>
        <w:t xml:space="preserve"> </w:t>
      </w:r>
      <w:r>
        <w:t>have</w:t>
      </w:r>
      <w:r>
        <w:rPr>
          <w:spacing w:val="-14"/>
        </w:rPr>
        <w:t xml:space="preserve"> </w:t>
      </w:r>
      <w:r>
        <w:t>regard</w:t>
      </w:r>
      <w:r>
        <w:rPr>
          <w:spacing w:val="-13"/>
        </w:rPr>
        <w:t xml:space="preserve"> </w:t>
      </w:r>
      <w:r>
        <w:t>to</w:t>
      </w:r>
      <w:r>
        <w:rPr>
          <w:spacing w:val="-14"/>
        </w:rPr>
        <w:t xml:space="preserve"> </w:t>
      </w:r>
      <w:r>
        <w:t>all</w:t>
      </w:r>
      <w:r>
        <w:rPr>
          <w:spacing w:val="-13"/>
        </w:rPr>
        <w:t xml:space="preserve"> </w:t>
      </w:r>
      <w:r>
        <w:t>relevant</w:t>
      </w:r>
      <w:r>
        <w:rPr>
          <w:spacing w:val="-14"/>
        </w:rPr>
        <w:t xml:space="preserve"> </w:t>
      </w:r>
      <w:r>
        <w:t>domestic</w:t>
      </w:r>
      <w:r>
        <w:rPr>
          <w:spacing w:val="-14"/>
        </w:rPr>
        <w:t xml:space="preserve"> </w:t>
      </w:r>
      <w:r>
        <w:t>sales</w:t>
      </w:r>
      <w:r>
        <w:rPr>
          <w:spacing w:val="-13"/>
        </w:rPr>
        <w:t xml:space="preserve"> </w:t>
      </w:r>
      <w:r>
        <w:t>when</w:t>
      </w:r>
      <w:r>
        <w:rPr>
          <w:spacing w:val="-14"/>
        </w:rPr>
        <w:t xml:space="preserve"> </w:t>
      </w:r>
      <w:r>
        <w:t>calculating</w:t>
      </w:r>
      <w:r>
        <w:rPr>
          <w:spacing w:val="-13"/>
        </w:rPr>
        <w:t xml:space="preserve"> </w:t>
      </w:r>
      <w:r>
        <w:t>normal value for Casella Wines. In accordance with its obligations in the investigation, Casella Wines reported</w:t>
      </w:r>
      <w:r>
        <w:rPr>
          <w:spacing w:val="12"/>
        </w:rPr>
        <w:t xml:space="preserve"> </w:t>
      </w:r>
      <w:r>
        <w:t>all</w:t>
      </w:r>
      <w:r>
        <w:rPr>
          <w:spacing w:val="11"/>
        </w:rPr>
        <w:t xml:space="preserve"> </w:t>
      </w:r>
      <w:r>
        <w:t>domestic</w:t>
      </w:r>
      <w:r>
        <w:rPr>
          <w:spacing w:val="15"/>
        </w:rPr>
        <w:t xml:space="preserve"> </w:t>
      </w:r>
      <w:r>
        <w:t>sales</w:t>
      </w:r>
      <w:r>
        <w:rPr>
          <w:spacing w:val="13"/>
        </w:rPr>
        <w:t xml:space="preserve"> </w:t>
      </w:r>
      <w:r>
        <w:t>transactions</w:t>
      </w:r>
      <w:r>
        <w:rPr>
          <w:spacing w:val="12"/>
        </w:rPr>
        <w:t xml:space="preserve"> </w:t>
      </w:r>
      <w:r>
        <w:t>in</w:t>
      </w:r>
      <w:r>
        <w:rPr>
          <w:spacing w:val="13"/>
        </w:rPr>
        <w:t xml:space="preserve"> </w:t>
      </w:r>
      <w:r>
        <w:t>Form</w:t>
      </w:r>
      <w:r>
        <w:rPr>
          <w:spacing w:val="14"/>
        </w:rPr>
        <w:t xml:space="preserve"> </w:t>
      </w:r>
      <w:r>
        <w:t>4‐2.</w:t>
      </w:r>
      <w:r>
        <w:rPr>
          <w:spacing w:val="13"/>
        </w:rPr>
        <w:t xml:space="preserve"> </w:t>
      </w:r>
      <w:r>
        <w:t>MOFCOM</w:t>
      </w:r>
      <w:r>
        <w:rPr>
          <w:spacing w:val="14"/>
        </w:rPr>
        <w:t xml:space="preserve"> </w:t>
      </w:r>
      <w:r>
        <w:t>made</w:t>
      </w:r>
      <w:r>
        <w:rPr>
          <w:spacing w:val="12"/>
        </w:rPr>
        <w:t xml:space="preserve"> </w:t>
      </w:r>
      <w:r>
        <w:t>a</w:t>
      </w:r>
      <w:r>
        <w:rPr>
          <w:spacing w:val="13"/>
        </w:rPr>
        <w:t xml:space="preserve"> </w:t>
      </w:r>
      <w:r>
        <w:t>number</w:t>
      </w:r>
      <w:r>
        <w:rPr>
          <w:spacing w:val="12"/>
        </w:rPr>
        <w:t xml:space="preserve"> </w:t>
      </w:r>
      <w:r>
        <w:t>of</w:t>
      </w:r>
      <w:r>
        <w:rPr>
          <w:spacing w:val="13"/>
        </w:rPr>
        <w:t xml:space="preserve"> </w:t>
      </w:r>
      <w:r>
        <w:rPr>
          <w:spacing w:val="-2"/>
        </w:rPr>
        <w:t>adverse</w:t>
      </w:r>
    </w:p>
    <w:p w14:paraId="51DE8609" w14:textId="77777777" w:rsidR="0010369C" w:rsidRDefault="008E43AE">
      <w:pPr>
        <w:pStyle w:val="BodyText"/>
        <w:spacing w:before="10"/>
        <w:rPr>
          <w:sz w:val="23"/>
        </w:rPr>
      </w:pPr>
      <w:r>
        <w:pict w14:anchorId="51DEA11F">
          <v:rect id="docshape622" o:spid="_x0000_s1663" style="position:absolute;margin-left:70.9pt;margin-top:15.75pt;width:2in;height:.8pt;z-index:-250992128;mso-wrap-distance-left:0;mso-wrap-distance-right:0;mso-position-horizontal-relative:page" fillcolor="black" stroked="f">
            <w10:wrap type="topAndBottom" anchorx="page"/>
          </v:rect>
        </w:pict>
      </w:r>
    </w:p>
    <w:p w14:paraId="51DE860A" w14:textId="77777777" w:rsidR="0010369C" w:rsidRDefault="008E43AE">
      <w:pPr>
        <w:spacing w:before="109"/>
        <w:ind w:left="238"/>
        <w:rPr>
          <w:sz w:val="18"/>
        </w:rPr>
      </w:pPr>
      <w:r>
        <w:rPr>
          <w:sz w:val="18"/>
          <w:vertAlign w:val="superscript"/>
        </w:rPr>
        <w:t>302</w:t>
      </w:r>
      <w:r>
        <w:rPr>
          <w:spacing w:val="-9"/>
          <w:sz w:val="18"/>
        </w:rPr>
        <w:t xml:space="preserve"> </w:t>
      </w:r>
      <w:r>
        <w:rPr>
          <w:sz w:val="18"/>
        </w:rPr>
        <w:t>Anti‐Dumping</w:t>
      </w:r>
      <w:r>
        <w:rPr>
          <w:spacing w:val="-9"/>
          <w:sz w:val="18"/>
        </w:rPr>
        <w:t xml:space="preserve"> </w:t>
      </w:r>
      <w:r>
        <w:rPr>
          <w:sz w:val="18"/>
        </w:rPr>
        <w:t>Final</w:t>
      </w:r>
      <w:r>
        <w:rPr>
          <w:spacing w:val="-9"/>
          <w:sz w:val="18"/>
        </w:rPr>
        <w:t xml:space="preserve"> </w:t>
      </w:r>
      <w:r>
        <w:rPr>
          <w:sz w:val="18"/>
        </w:rPr>
        <w:t>Determination</w:t>
      </w:r>
      <w:r>
        <w:rPr>
          <w:spacing w:val="-8"/>
          <w:sz w:val="18"/>
        </w:rPr>
        <w:t xml:space="preserve"> </w:t>
      </w:r>
      <w:r>
        <w:rPr>
          <w:sz w:val="18"/>
        </w:rPr>
        <w:t>(Exhibit</w:t>
      </w:r>
      <w:r>
        <w:rPr>
          <w:spacing w:val="-9"/>
          <w:sz w:val="18"/>
        </w:rPr>
        <w:t xml:space="preserve"> </w:t>
      </w:r>
      <w:r>
        <w:rPr>
          <w:sz w:val="18"/>
        </w:rPr>
        <w:t>AU</w:t>
      </w:r>
      <w:r>
        <w:rPr>
          <w:sz w:val="18"/>
        </w:rPr>
        <w:t>S‐2),</w:t>
      </w:r>
      <w:r>
        <w:rPr>
          <w:spacing w:val="-10"/>
          <w:sz w:val="18"/>
        </w:rPr>
        <w:t xml:space="preserve"> </w:t>
      </w:r>
      <w:r>
        <w:rPr>
          <w:sz w:val="18"/>
        </w:rPr>
        <w:t>pp.</w:t>
      </w:r>
      <w:r>
        <w:rPr>
          <w:spacing w:val="-9"/>
          <w:sz w:val="18"/>
        </w:rPr>
        <w:t xml:space="preserve"> </w:t>
      </w:r>
      <w:r>
        <w:rPr>
          <w:spacing w:val="-2"/>
          <w:sz w:val="18"/>
        </w:rPr>
        <w:t>84‐85.</w:t>
      </w:r>
    </w:p>
    <w:p w14:paraId="51DE860B" w14:textId="77777777" w:rsidR="0010369C" w:rsidRDefault="008E43AE">
      <w:pPr>
        <w:ind w:left="238"/>
        <w:rPr>
          <w:sz w:val="18"/>
        </w:rPr>
      </w:pPr>
      <w:r>
        <w:rPr>
          <w:sz w:val="18"/>
          <w:vertAlign w:val="superscript"/>
        </w:rPr>
        <w:t>303</w:t>
      </w:r>
      <w:r>
        <w:rPr>
          <w:spacing w:val="-9"/>
          <w:sz w:val="18"/>
        </w:rPr>
        <w:t xml:space="preserve"> </w:t>
      </w:r>
      <w:r>
        <w:rPr>
          <w:sz w:val="18"/>
        </w:rPr>
        <w:t>Anti‐Dumping</w:t>
      </w:r>
      <w:r>
        <w:rPr>
          <w:spacing w:val="-9"/>
          <w:sz w:val="18"/>
        </w:rPr>
        <w:t xml:space="preserve"> </w:t>
      </w:r>
      <w:r>
        <w:rPr>
          <w:sz w:val="18"/>
        </w:rPr>
        <w:t>Final</w:t>
      </w:r>
      <w:r>
        <w:rPr>
          <w:spacing w:val="-9"/>
          <w:sz w:val="18"/>
        </w:rPr>
        <w:t xml:space="preserve"> </w:t>
      </w:r>
      <w:r>
        <w:rPr>
          <w:sz w:val="18"/>
        </w:rPr>
        <w:t>Determination</w:t>
      </w:r>
      <w:r>
        <w:rPr>
          <w:spacing w:val="-8"/>
          <w:sz w:val="18"/>
        </w:rPr>
        <w:t xml:space="preserve"> </w:t>
      </w:r>
      <w:r>
        <w:rPr>
          <w:sz w:val="18"/>
        </w:rPr>
        <w:t>(Exhibit</w:t>
      </w:r>
      <w:r>
        <w:rPr>
          <w:spacing w:val="-9"/>
          <w:sz w:val="18"/>
        </w:rPr>
        <w:t xml:space="preserve"> </w:t>
      </w:r>
      <w:r>
        <w:rPr>
          <w:sz w:val="18"/>
        </w:rPr>
        <w:t>AUS‐2),</w:t>
      </w:r>
      <w:r>
        <w:rPr>
          <w:spacing w:val="-9"/>
          <w:sz w:val="18"/>
        </w:rPr>
        <w:t xml:space="preserve"> </w:t>
      </w:r>
      <w:r>
        <w:rPr>
          <w:sz w:val="18"/>
        </w:rPr>
        <w:t>p.</w:t>
      </w:r>
      <w:r>
        <w:rPr>
          <w:spacing w:val="-9"/>
          <w:sz w:val="18"/>
        </w:rPr>
        <w:t xml:space="preserve"> </w:t>
      </w:r>
      <w:r>
        <w:rPr>
          <w:spacing w:val="-5"/>
          <w:sz w:val="18"/>
        </w:rPr>
        <w:t>88.</w:t>
      </w:r>
    </w:p>
    <w:p w14:paraId="51DE860C" w14:textId="77777777" w:rsidR="0010369C" w:rsidRDefault="008E43AE">
      <w:pPr>
        <w:ind w:left="238"/>
        <w:rPr>
          <w:sz w:val="18"/>
        </w:rPr>
      </w:pPr>
      <w:r>
        <w:rPr>
          <w:sz w:val="18"/>
          <w:vertAlign w:val="superscript"/>
        </w:rPr>
        <w:t>304</w:t>
      </w:r>
      <w:r>
        <w:rPr>
          <w:spacing w:val="-9"/>
          <w:sz w:val="18"/>
        </w:rPr>
        <w:t xml:space="preserve"> </w:t>
      </w:r>
      <w:r>
        <w:rPr>
          <w:sz w:val="18"/>
        </w:rPr>
        <w:t>Anti‐Dumping</w:t>
      </w:r>
      <w:r>
        <w:rPr>
          <w:spacing w:val="-9"/>
          <w:sz w:val="18"/>
        </w:rPr>
        <w:t xml:space="preserve"> </w:t>
      </w:r>
      <w:r>
        <w:rPr>
          <w:sz w:val="18"/>
        </w:rPr>
        <w:t>Final</w:t>
      </w:r>
      <w:r>
        <w:rPr>
          <w:spacing w:val="-9"/>
          <w:sz w:val="18"/>
        </w:rPr>
        <w:t xml:space="preserve"> </w:t>
      </w:r>
      <w:r>
        <w:rPr>
          <w:sz w:val="18"/>
        </w:rPr>
        <w:t>Determination</w:t>
      </w:r>
      <w:r>
        <w:rPr>
          <w:spacing w:val="-8"/>
          <w:sz w:val="18"/>
        </w:rPr>
        <w:t xml:space="preserve"> </w:t>
      </w:r>
      <w:r>
        <w:rPr>
          <w:sz w:val="18"/>
        </w:rPr>
        <w:t>(Exhibit</w:t>
      </w:r>
      <w:r>
        <w:rPr>
          <w:spacing w:val="-9"/>
          <w:sz w:val="18"/>
        </w:rPr>
        <w:t xml:space="preserve"> </w:t>
      </w:r>
      <w:r>
        <w:rPr>
          <w:sz w:val="18"/>
        </w:rPr>
        <w:t>AUS‐2),</w:t>
      </w:r>
      <w:r>
        <w:rPr>
          <w:spacing w:val="-9"/>
          <w:sz w:val="18"/>
        </w:rPr>
        <w:t xml:space="preserve"> </w:t>
      </w:r>
      <w:r>
        <w:rPr>
          <w:sz w:val="18"/>
        </w:rPr>
        <w:t>p.</w:t>
      </w:r>
      <w:r>
        <w:rPr>
          <w:spacing w:val="-9"/>
          <w:sz w:val="18"/>
        </w:rPr>
        <w:t xml:space="preserve"> </w:t>
      </w:r>
      <w:r>
        <w:rPr>
          <w:spacing w:val="-5"/>
          <w:sz w:val="18"/>
        </w:rPr>
        <w:t>86.</w:t>
      </w:r>
    </w:p>
    <w:p w14:paraId="51DE860D" w14:textId="77777777" w:rsidR="0010369C" w:rsidRDefault="0010369C">
      <w:pPr>
        <w:rPr>
          <w:sz w:val="18"/>
        </w:rPr>
        <w:sectPr w:rsidR="0010369C">
          <w:headerReference w:type="default" r:id="rId407"/>
          <w:footerReference w:type="default" r:id="rId408"/>
          <w:pgSz w:w="11910" w:h="16840"/>
          <w:pgMar w:top="880" w:right="800" w:bottom="980" w:left="1180" w:header="569" w:footer="788" w:gutter="0"/>
          <w:cols w:space="720"/>
        </w:sectPr>
      </w:pPr>
    </w:p>
    <w:p w14:paraId="51DE860E" w14:textId="77777777" w:rsidR="0010369C" w:rsidRDefault="008E43AE">
      <w:pPr>
        <w:tabs>
          <w:tab w:val="left" w:pos="6425"/>
        </w:tabs>
        <w:ind w:left="238"/>
        <w:jc w:val="both"/>
        <w:rPr>
          <w:sz w:val="20"/>
        </w:rPr>
      </w:pPr>
      <w:r>
        <w:rPr>
          <w:i/>
          <w:sz w:val="20"/>
        </w:rPr>
        <w:lastRenderedPageBreak/>
        <w:t>China</w:t>
      </w:r>
      <w:r>
        <w:rPr>
          <w:i/>
          <w:spacing w:val="-5"/>
          <w:sz w:val="20"/>
        </w:rPr>
        <w:t xml:space="preserve"> </w:t>
      </w:r>
      <w:r>
        <w:rPr>
          <w:i/>
          <w:sz w:val="20"/>
        </w:rPr>
        <w:t>–</w:t>
      </w:r>
      <w:r>
        <w:rPr>
          <w:i/>
          <w:spacing w:val="-5"/>
          <w:sz w:val="20"/>
        </w:rPr>
        <w:t xml:space="preserve"> </w:t>
      </w:r>
      <w:r>
        <w:rPr>
          <w:i/>
          <w:sz w:val="20"/>
        </w:rPr>
        <w:t>Anti‐Dumping</w:t>
      </w:r>
      <w:r>
        <w:rPr>
          <w:i/>
          <w:spacing w:val="-4"/>
          <w:sz w:val="20"/>
        </w:rPr>
        <w:t xml:space="preserve"> </w:t>
      </w:r>
      <w:r>
        <w:rPr>
          <w:i/>
          <w:sz w:val="20"/>
        </w:rPr>
        <w:t>and</w:t>
      </w:r>
      <w:r>
        <w:rPr>
          <w:i/>
          <w:spacing w:val="-5"/>
          <w:sz w:val="20"/>
        </w:rPr>
        <w:t xml:space="preserve"> </w:t>
      </w:r>
      <w:r>
        <w:rPr>
          <w:i/>
          <w:sz w:val="20"/>
        </w:rPr>
        <w:t>Countervailing</w:t>
      </w:r>
      <w:r>
        <w:rPr>
          <w:i/>
          <w:spacing w:val="-5"/>
          <w:sz w:val="20"/>
        </w:rPr>
        <w:t xml:space="preserve"> </w:t>
      </w:r>
      <w:r>
        <w:rPr>
          <w:i/>
          <w:sz w:val="20"/>
        </w:rPr>
        <w:t>Duty</w:t>
      </w:r>
      <w:r>
        <w:rPr>
          <w:i/>
          <w:spacing w:val="-4"/>
          <w:sz w:val="20"/>
        </w:rPr>
        <w:t xml:space="preserve"> </w:t>
      </w:r>
      <w:r>
        <w:rPr>
          <w:i/>
          <w:spacing w:val="-2"/>
          <w:sz w:val="20"/>
        </w:rPr>
        <w:t>Measures</w:t>
      </w:r>
      <w:r>
        <w:rPr>
          <w:i/>
          <w:sz w:val="20"/>
        </w:rPr>
        <w:tab/>
      </w:r>
      <w:r>
        <w:rPr>
          <w:sz w:val="20"/>
        </w:rPr>
        <w:t>Australia's</w:t>
      </w:r>
      <w:r>
        <w:rPr>
          <w:spacing w:val="-7"/>
          <w:sz w:val="20"/>
        </w:rPr>
        <w:t xml:space="preserve"> </w:t>
      </w:r>
      <w:r>
        <w:rPr>
          <w:sz w:val="20"/>
        </w:rPr>
        <w:t>First</w:t>
      </w:r>
      <w:r>
        <w:rPr>
          <w:spacing w:val="-2"/>
          <w:sz w:val="20"/>
        </w:rPr>
        <w:t xml:space="preserve"> </w:t>
      </w:r>
      <w:r>
        <w:rPr>
          <w:sz w:val="20"/>
        </w:rPr>
        <w:t>Written</w:t>
      </w:r>
      <w:r>
        <w:rPr>
          <w:spacing w:val="-2"/>
          <w:sz w:val="20"/>
        </w:rPr>
        <w:t xml:space="preserve"> Submission</w:t>
      </w:r>
    </w:p>
    <w:p w14:paraId="51DE860F" w14:textId="77777777" w:rsidR="0010369C" w:rsidRDefault="008E43AE">
      <w:pPr>
        <w:tabs>
          <w:tab w:val="left" w:pos="8227"/>
        </w:tabs>
        <w:spacing w:before="1"/>
        <w:ind w:left="239"/>
        <w:jc w:val="both"/>
        <w:rPr>
          <w:sz w:val="20"/>
        </w:rPr>
      </w:pPr>
      <w:r>
        <w:rPr>
          <w:i/>
          <w:sz w:val="20"/>
        </w:rPr>
        <w:t>on</w:t>
      </w:r>
      <w:r>
        <w:rPr>
          <w:i/>
          <w:spacing w:val="-1"/>
          <w:sz w:val="20"/>
        </w:rPr>
        <w:t xml:space="preserve"> </w:t>
      </w:r>
      <w:r>
        <w:rPr>
          <w:i/>
          <w:sz w:val="20"/>
        </w:rPr>
        <w:t>Wine</w:t>
      </w:r>
      <w:r>
        <w:rPr>
          <w:i/>
          <w:spacing w:val="-1"/>
          <w:sz w:val="20"/>
        </w:rPr>
        <w:t xml:space="preserve"> </w:t>
      </w:r>
      <w:r>
        <w:rPr>
          <w:i/>
          <w:sz w:val="20"/>
        </w:rPr>
        <w:t>from</w:t>
      </w:r>
      <w:r>
        <w:rPr>
          <w:i/>
          <w:spacing w:val="-3"/>
          <w:sz w:val="20"/>
        </w:rPr>
        <w:t xml:space="preserve"> </w:t>
      </w:r>
      <w:r>
        <w:rPr>
          <w:i/>
          <w:sz w:val="20"/>
        </w:rPr>
        <w:t>Australia</w:t>
      </w:r>
      <w:r>
        <w:rPr>
          <w:i/>
          <w:spacing w:val="-1"/>
          <w:sz w:val="20"/>
        </w:rPr>
        <w:t xml:space="preserve"> </w:t>
      </w:r>
      <w:r>
        <w:rPr>
          <w:spacing w:val="-2"/>
          <w:sz w:val="20"/>
        </w:rPr>
        <w:t>(DS602)</w:t>
      </w:r>
      <w:r>
        <w:rPr>
          <w:sz w:val="20"/>
        </w:rPr>
        <w:tab/>
        <w:t>29</w:t>
      </w:r>
      <w:r>
        <w:rPr>
          <w:spacing w:val="-1"/>
          <w:sz w:val="20"/>
        </w:rPr>
        <w:t xml:space="preserve"> </w:t>
      </w:r>
      <w:r>
        <w:rPr>
          <w:sz w:val="20"/>
        </w:rPr>
        <w:t>April</w:t>
      </w:r>
      <w:r>
        <w:rPr>
          <w:spacing w:val="-2"/>
          <w:sz w:val="20"/>
        </w:rPr>
        <w:t xml:space="preserve"> </w:t>
      </w:r>
      <w:r>
        <w:rPr>
          <w:spacing w:val="-4"/>
          <w:sz w:val="20"/>
        </w:rPr>
        <w:t>2022</w:t>
      </w:r>
    </w:p>
    <w:p w14:paraId="51DE8610" w14:textId="77777777" w:rsidR="0010369C" w:rsidRDefault="008E43AE">
      <w:pPr>
        <w:pStyle w:val="BodyText"/>
        <w:spacing w:before="34" w:line="360" w:lineRule="auto"/>
        <w:ind w:left="236" w:right="613" w:firstLine="1"/>
        <w:jc w:val="both"/>
      </w:pPr>
      <w:r>
        <w:t>findings concerning the domestic sales data reported by Casella Wines. MOFCOM also identified</w:t>
      </w:r>
      <w:r>
        <w:rPr>
          <w:spacing w:val="-7"/>
        </w:rPr>
        <w:t xml:space="preserve"> </w:t>
      </w:r>
      <w:r>
        <w:t>a</w:t>
      </w:r>
      <w:r>
        <w:rPr>
          <w:spacing w:val="-9"/>
        </w:rPr>
        <w:t xml:space="preserve"> </w:t>
      </w:r>
      <w:r>
        <w:t>number</w:t>
      </w:r>
      <w:r>
        <w:rPr>
          <w:spacing w:val="-7"/>
        </w:rPr>
        <w:t xml:space="preserve"> </w:t>
      </w:r>
      <w:r>
        <w:t>of</w:t>
      </w:r>
      <w:r>
        <w:rPr>
          <w:spacing w:val="-8"/>
        </w:rPr>
        <w:t xml:space="preserve"> </w:t>
      </w:r>
      <w:r>
        <w:t>issues</w:t>
      </w:r>
      <w:r>
        <w:rPr>
          <w:spacing w:val="-8"/>
        </w:rPr>
        <w:t xml:space="preserve"> </w:t>
      </w:r>
      <w:r>
        <w:t>in</w:t>
      </w:r>
      <w:r>
        <w:rPr>
          <w:spacing w:val="-8"/>
        </w:rPr>
        <w:t xml:space="preserve"> </w:t>
      </w:r>
      <w:r>
        <w:t>the</w:t>
      </w:r>
      <w:r>
        <w:rPr>
          <w:spacing w:val="-7"/>
        </w:rPr>
        <w:t xml:space="preserve"> </w:t>
      </w:r>
      <w:r>
        <w:t>forms</w:t>
      </w:r>
      <w:r>
        <w:rPr>
          <w:spacing w:val="-8"/>
        </w:rPr>
        <w:t xml:space="preserve"> </w:t>
      </w:r>
      <w:r>
        <w:t>submitted</w:t>
      </w:r>
      <w:r>
        <w:rPr>
          <w:spacing w:val="-7"/>
        </w:rPr>
        <w:t xml:space="preserve"> </w:t>
      </w:r>
      <w:r>
        <w:t>by</w:t>
      </w:r>
      <w:r>
        <w:rPr>
          <w:spacing w:val="-7"/>
        </w:rPr>
        <w:t xml:space="preserve"> </w:t>
      </w:r>
      <w:r>
        <w:t>Casell</w:t>
      </w:r>
      <w:r>
        <w:t>a</w:t>
      </w:r>
      <w:r>
        <w:rPr>
          <w:spacing w:val="-7"/>
        </w:rPr>
        <w:t xml:space="preserve"> </w:t>
      </w:r>
      <w:r>
        <w:t>Wines</w:t>
      </w:r>
      <w:r>
        <w:rPr>
          <w:spacing w:val="-8"/>
        </w:rPr>
        <w:t xml:space="preserve"> </w:t>
      </w:r>
      <w:r>
        <w:t>in</w:t>
      </w:r>
      <w:r>
        <w:rPr>
          <w:spacing w:val="-8"/>
        </w:rPr>
        <w:t xml:space="preserve"> </w:t>
      </w:r>
      <w:r>
        <w:t>relation</w:t>
      </w:r>
      <w:r>
        <w:rPr>
          <w:spacing w:val="-7"/>
        </w:rPr>
        <w:t xml:space="preserve"> </w:t>
      </w:r>
      <w:r>
        <w:t>to</w:t>
      </w:r>
      <w:r>
        <w:rPr>
          <w:spacing w:val="-7"/>
        </w:rPr>
        <w:t xml:space="preserve"> </w:t>
      </w:r>
      <w:r>
        <w:t>its</w:t>
      </w:r>
      <w:r>
        <w:rPr>
          <w:spacing w:val="-9"/>
        </w:rPr>
        <w:t xml:space="preserve"> </w:t>
      </w:r>
      <w:r>
        <w:t>related sales and special price arrangements, specifically Forms 4‐1 and 4‐2. On the basis of these alleged deficiencies, MOFCOM concluded it was unable to verify the accuracy, authenticity, and completeness of these affiliated t</w:t>
      </w:r>
      <w:r>
        <w:t>ransactions.</w:t>
      </w:r>
      <w:r>
        <w:rPr>
          <w:vertAlign w:val="superscript"/>
        </w:rPr>
        <w:t>305</w:t>
      </w:r>
    </w:p>
    <w:p w14:paraId="51DE8611" w14:textId="77777777" w:rsidR="0010369C" w:rsidRDefault="0010369C">
      <w:pPr>
        <w:pStyle w:val="BodyText"/>
        <w:spacing w:before="11"/>
        <w:rPr>
          <w:sz w:val="8"/>
        </w:rPr>
      </w:pPr>
    </w:p>
    <w:p w14:paraId="51DE8612" w14:textId="77777777" w:rsidR="0010369C" w:rsidRDefault="008E43AE">
      <w:pPr>
        <w:pStyle w:val="BodyText"/>
        <w:spacing w:before="51" w:line="360" w:lineRule="auto"/>
        <w:ind w:left="238" w:right="614" w:firstLine="850"/>
      </w:pPr>
      <w:r>
        <w:rPr>
          <w:noProof/>
        </w:rPr>
        <w:drawing>
          <wp:anchor distT="0" distB="0" distL="0" distR="0" simplePos="0" relativeHeight="250947072" behindDoc="1" locked="0" layoutInCell="1" allowOverlap="1" wp14:anchorId="51DEA120" wp14:editId="51DEA121">
            <wp:simplePos x="0" y="0"/>
            <wp:positionH relativeFrom="page">
              <wp:posOffset>905255</wp:posOffset>
            </wp:positionH>
            <wp:positionV relativeFrom="paragraph">
              <wp:posOffset>79960</wp:posOffset>
            </wp:positionV>
            <wp:extent cx="259079" cy="103631"/>
            <wp:effectExtent l="0" t="0" r="0" b="0"/>
            <wp:wrapNone/>
            <wp:docPr id="573" name="image2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 name="image295.png"/>
                    <pic:cNvPicPr/>
                  </pic:nvPicPr>
                  <pic:blipFill>
                    <a:blip r:embed="rId409" cstate="print"/>
                    <a:stretch>
                      <a:fillRect/>
                    </a:stretch>
                  </pic:blipFill>
                  <pic:spPr>
                    <a:xfrm>
                      <a:off x="0" y="0"/>
                      <a:ext cx="259079" cy="103631"/>
                    </a:xfrm>
                    <a:prstGeom prst="rect">
                      <a:avLst/>
                    </a:prstGeom>
                  </pic:spPr>
                </pic:pic>
              </a:graphicData>
            </a:graphic>
          </wp:anchor>
        </w:drawing>
      </w:r>
      <w:r>
        <w:t>Australia</w:t>
      </w:r>
      <w:r>
        <w:rPr>
          <w:spacing w:val="-2"/>
        </w:rPr>
        <w:t xml:space="preserve"> </w:t>
      </w:r>
      <w:r>
        <w:t>will</w:t>
      </w:r>
      <w:r>
        <w:rPr>
          <w:spacing w:val="-1"/>
        </w:rPr>
        <w:t xml:space="preserve"> </w:t>
      </w:r>
      <w:r>
        <w:t>demonstrate MOFCOM's</w:t>
      </w:r>
      <w:r>
        <w:rPr>
          <w:spacing w:val="-1"/>
        </w:rPr>
        <w:t xml:space="preserve"> </w:t>
      </w:r>
      <w:r>
        <w:t>findings were</w:t>
      </w:r>
      <w:r>
        <w:rPr>
          <w:spacing w:val="-1"/>
        </w:rPr>
        <w:t xml:space="preserve"> </w:t>
      </w:r>
      <w:r>
        <w:t>based</w:t>
      </w:r>
      <w:r>
        <w:rPr>
          <w:spacing w:val="-1"/>
        </w:rPr>
        <w:t xml:space="preserve"> </w:t>
      </w:r>
      <w:r>
        <w:t>upon</w:t>
      </w:r>
      <w:r>
        <w:rPr>
          <w:spacing w:val="-1"/>
        </w:rPr>
        <w:t xml:space="preserve"> </w:t>
      </w:r>
      <w:r>
        <w:t>three</w:t>
      </w:r>
      <w:r>
        <w:rPr>
          <w:spacing w:val="-1"/>
        </w:rPr>
        <w:t xml:space="preserve"> </w:t>
      </w:r>
      <w:r>
        <w:t>fundamental errors. These errors, which Australia will address below in turn, concerned:</w:t>
      </w:r>
    </w:p>
    <w:p w14:paraId="51DE8613" w14:textId="77777777" w:rsidR="0010369C" w:rsidRDefault="0010369C">
      <w:pPr>
        <w:spacing w:line="360" w:lineRule="auto"/>
        <w:sectPr w:rsidR="0010369C">
          <w:headerReference w:type="default" r:id="rId410"/>
          <w:footerReference w:type="default" r:id="rId411"/>
          <w:pgSz w:w="11910" w:h="16840"/>
          <w:pgMar w:top="880" w:right="800" w:bottom="980" w:left="1180" w:header="569" w:footer="788" w:gutter="0"/>
          <w:pgNumType w:start="119"/>
          <w:cols w:space="720"/>
        </w:sectPr>
      </w:pPr>
    </w:p>
    <w:p w14:paraId="51DE8614" w14:textId="77777777" w:rsidR="0010369C" w:rsidRDefault="008E43AE">
      <w:pPr>
        <w:pStyle w:val="ListParagraph"/>
        <w:numPr>
          <w:ilvl w:val="1"/>
          <w:numId w:val="69"/>
        </w:numPr>
        <w:tabs>
          <w:tab w:val="left" w:pos="1939"/>
          <w:tab w:val="left" w:pos="1940"/>
        </w:tabs>
        <w:spacing w:before="161" w:line="355" w:lineRule="auto"/>
        <w:jc w:val="left"/>
        <w:rPr>
          <w:rFonts w:ascii="Symbol" w:hAnsi="Symbol"/>
          <w:sz w:val="24"/>
        </w:rPr>
      </w:pPr>
      <w:r>
        <w:pict w14:anchorId="51DEA122">
          <v:rect id="docshape626" o:spid="_x0000_s1662" style="position:absolute;left:0;text-align:left;margin-left:254pt;margin-top:8.8pt;width:105.05pt;height:16.05pt;z-index:251812352;mso-position-horizontal-relative:page" fillcolor="black" stroked="f">
            <w10:wrap anchorx="page"/>
          </v:rect>
        </w:pict>
      </w:r>
      <w:r>
        <w:rPr>
          <w:sz w:val="24"/>
        </w:rPr>
        <w:t>the</w:t>
      </w:r>
      <w:r>
        <w:rPr>
          <w:spacing w:val="-4"/>
          <w:sz w:val="24"/>
        </w:rPr>
        <w:t xml:space="preserve"> </w:t>
      </w:r>
      <w:r>
        <w:rPr>
          <w:sz w:val="24"/>
        </w:rPr>
        <w:t>agency</w:t>
      </w:r>
      <w:r>
        <w:rPr>
          <w:spacing w:val="-6"/>
          <w:sz w:val="24"/>
        </w:rPr>
        <w:t xml:space="preserve"> </w:t>
      </w:r>
      <w:r>
        <w:rPr>
          <w:sz w:val="24"/>
        </w:rPr>
        <w:t>role</w:t>
      </w:r>
      <w:r>
        <w:rPr>
          <w:spacing w:val="-5"/>
          <w:sz w:val="24"/>
        </w:rPr>
        <w:t xml:space="preserve"> </w:t>
      </w:r>
      <w:r>
        <w:rPr>
          <w:sz w:val="24"/>
        </w:rPr>
        <w:t>of</w:t>
      </w:r>
      <w:r>
        <w:rPr>
          <w:spacing w:val="-5"/>
          <w:sz w:val="24"/>
        </w:rPr>
        <w:t xml:space="preserve"> </w:t>
      </w:r>
      <w:r>
        <w:rPr>
          <w:sz w:val="24"/>
        </w:rPr>
        <w:t xml:space="preserve">[[ </w:t>
      </w:r>
      <w:r>
        <w:rPr>
          <w:spacing w:val="-2"/>
          <w:sz w:val="24"/>
        </w:rPr>
        <w:t>process;</w:t>
      </w:r>
    </w:p>
    <w:p w14:paraId="51DE8615" w14:textId="77777777" w:rsidR="0010369C" w:rsidRDefault="008E43AE">
      <w:pPr>
        <w:pStyle w:val="ListParagraph"/>
        <w:numPr>
          <w:ilvl w:val="1"/>
          <w:numId w:val="69"/>
        </w:numPr>
        <w:tabs>
          <w:tab w:val="left" w:pos="1939"/>
          <w:tab w:val="left" w:pos="1940"/>
        </w:tabs>
        <w:spacing w:before="131"/>
        <w:ind w:hanging="852"/>
        <w:jc w:val="left"/>
        <w:rPr>
          <w:rFonts w:ascii="Symbol" w:hAnsi="Symbol"/>
          <w:sz w:val="24"/>
        </w:rPr>
      </w:pPr>
      <w:r>
        <w:rPr>
          <w:sz w:val="24"/>
        </w:rPr>
        <w:t>the</w:t>
      </w:r>
      <w:r>
        <w:rPr>
          <w:spacing w:val="38"/>
          <w:sz w:val="24"/>
        </w:rPr>
        <w:t xml:space="preserve">  </w:t>
      </w:r>
      <w:r>
        <w:rPr>
          <w:sz w:val="24"/>
        </w:rPr>
        <w:t>sufficiency</w:t>
      </w:r>
      <w:r>
        <w:rPr>
          <w:spacing w:val="39"/>
          <w:sz w:val="24"/>
        </w:rPr>
        <w:t xml:space="preserve">  </w:t>
      </w:r>
      <w:r>
        <w:rPr>
          <w:spacing w:val="-5"/>
          <w:sz w:val="24"/>
        </w:rPr>
        <w:t>of</w:t>
      </w:r>
    </w:p>
    <w:p w14:paraId="51DE8616" w14:textId="77777777" w:rsidR="0010369C" w:rsidRDefault="008E43AE">
      <w:pPr>
        <w:pStyle w:val="BodyText"/>
        <w:spacing w:before="174"/>
        <w:ind w:right="613"/>
        <w:jc w:val="right"/>
      </w:pPr>
      <w:r>
        <w:br w:type="column"/>
      </w:r>
      <w:r>
        <w:t>]]</w:t>
      </w:r>
      <w:r>
        <w:rPr>
          <w:spacing w:val="-2"/>
        </w:rPr>
        <w:t xml:space="preserve"> </w:t>
      </w:r>
      <w:r>
        <w:t>in</w:t>
      </w:r>
      <w:r>
        <w:rPr>
          <w:spacing w:val="-2"/>
        </w:rPr>
        <w:t xml:space="preserve"> </w:t>
      </w:r>
      <w:r>
        <w:t>Casella Wines</w:t>
      </w:r>
      <w:r>
        <w:rPr>
          <w:spacing w:val="-4"/>
        </w:rPr>
        <w:t xml:space="preserve"> </w:t>
      </w:r>
      <w:r>
        <w:t>domestic</w:t>
      </w:r>
      <w:r>
        <w:rPr>
          <w:spacing w:val="1"/>
        </w:rPr>
        <w:t xml:space="preserve"> </w:t>
      </w:r>
      <w:r>
        <w:rPr>
          <w:spacing w:val="-2"/>
        </w:rPr>
        <w:t>sales</w:t>
      </w:r>
    </w:p>
    <w:p w14:paraId="51DE8617" w14:textId="77777777" w:rsidR="0010369C" w:rsidRDefault="0010369C">
      <w:pPr>
        <w:pStyle w:val="BodyText"/>
      </w:pPr>
    </w:p>
    <w:p w14:paraId="51DE8618" w14:textId="77777777" w:rsidR="0010369C" w:rsidRDefault="0010369C">
      <w:pPr>
        <w:pStyle w:val="BodyText"/>
        <w:spacing w:before="10"/>
        <w:rPr>
          <w:sz w:val="34"/>
        </w:rPr>
      </w:pPr>
    </w:p>
    <w:p w14:paraId="51DE8619" w14:textId="77777777" w:rsidR="0010369C" w:rsidRDefault="008E43AE">
      <w:pPr>
        <w:pStyle w:val="BodyText"/>
        <w:ind w:right="617"/>
        <w:jc w:val="right"/>
      </w:pPr>
      <w:r>
        <w:t>Casella</w:t>
      </w:r>
      <w:r>
        <w:rPr>
          <w:spacing w:val="38"/>
        </w:rPr>
        <w:t xml:space="preserve">  </w:t>
      </w:r>
      <w:r>
        <w:t>Wines'</w:t>
      </w:r>
      <w:r>
        <w:rPr>
          <w:spacing w:val="37"/>
        </w:rPr>
        <w:t xml:space="preserve">  </w:t>
      </w:r>
      <w:r>
        <w:t>explanation</w:t>
      </w:r>
      <w:r>
        <w:rPr>
          <w:spacing w:val="38"/>
        </w:rPr>
        <w:t xml:space="preserve">  </w:t>
      </w:r>
      <w:r>
        <w:t>of</w:t>
      </w:r>
      <w:r>
        <w:rPr>
          <w:spacing w:val="38"/>
        </w:rPr>
        <w:t xml:space="preserve">  </w:t>
      </w:r>
      <w:r>
        <w:t>its</w:t>
      </w:r>
      <w:r>
        <w:rPr>
          <w:spacing w:val="37"/>
        </w:rPr>
        <w:t xml:space="preserve">  </w:t>
      </w:r>
      <w:r>
        <w:t>special</w:t>
      </w:r>
      <w:r>
        <w:rPr>
          <w:spacing w:val="38"/>
        </w:rPr>
        <w:t xml:space="preserve">  </w:t>
      </w:r>
      <w:r>
        <w:rPr>
          <w:spacing w:val="-2"/>
        </w:rPr>
        <w:t>price</w:t>
      </w:r>
    </w:p>
    <w:p w14:paraId="51DE861A" w14:textId="77777777" w:rsidR="0010369C" w:rsidRDefault="0010369C">
      <w:pPr>
        <w:jc w:val="right"/>
        <w:sectPr w:rsidR="0010369C">
          <w:type w:val="continuous"/>
          <w:pgSz w:w="11910" w:h="16840"/>
          <w:pgMar w:top="1460" w:right="800" w:bottom="280" w:left="1180" w:header="569" w:footer="788" w:gutter="0"/>
          <w:cols w:num="2" w:space="720" w:equalWidth="0">
            <w:col w:w="3920" w:space="40"/>
            <w:col w:w="5970"/>
          </w:cols>
        </w:sectPr>
      </w:pPr>
    </w:p>
    <w:p w14:paraId="51DE861B" w14:textId="77777777" w:rsidR="0010369C" w:rsidRDefault="008E43AE">
      <w:pPr>
        <w:pStyle w:val="BodyText"/>
        <w:spacing w:before="146"/>
        <w:ind w:left="1938"/>
      </w:pPr>
      <w:r>
        <w:t>arrangements</w:t>
      </w:r>
      <w:r>
        <w:rPr>
          <w:spacing w:val="-12"/>
        </w:rPr>
        <w:t xml:space="preserve"> </w:t>
      </w:r>
      <w:r>
        <w:t>with</w:t>
      </w:r>
      <w:r>
        <w:rPr>
          <w:spacing w:val="-10"/>
        </w:rPr>
        <w:t xml:space="preserve"> </w:t>
      </w:r>
      <w:r>
        <w:t>related</w:t>
      </w:r>
      <w:r>
        <w:rPr>
          <w:spacing w:val="-10"/>
        </w:rPr>
        <w:t xml:space="preserve"> </w:t>
      </w:r>
      <w:r>
        <w:t>parties;</w:t>
      </w:r>
      <w:r>
        <w:rPr>
          <w:spacing w:val="-9"/>
        </w:rPr>
        <w:t xml:space="preserve"> </w:t>
      </w:r>
      <w:r>
        <w:rPr>
          <w:spacing w:val="-5"/>
        </w:rPr>
        <w:t>and</w:t>
      </w:r>
    </w:p>
    <w:p w14:paraId="51DE861C" w14:textId="77777777" w:rsidR="0010369C" w:rsidRDefault="0010369C">
      <w:pPr>
        <w:pStyle w:val="BodyText"/>
        <w:spacing w:before="10"/>
        <w:rPr>
          <w:sz w:val="21"/>
        </w:rPr>
      </w:pPr>
    </w:p>
    <w:p w14:paraId="51DE861D" w14:textId="77777777" w:rsidR="0010369C" w:rsidRDefault="008E43AE">
      <w:pPr>
        <w:pStyle w:val="ListParagraph"/>
        <w:numPr>
          <w:ilvl w:val="1"/>
          <w:numId w:val="69"/>
        </w:numPr>
        <w:tabs>
          <w:tab w:val="left" w:pos="1938"/>
          <w:tab w:val="left" w:pos="1939"/>
        </w:tabs>
        <w:spacing w:before="1"/>
        <w:ind w:left="1938" w:hanging="852"/>
        <w:jc w:val="left"/>
        <w:rPr>
          <w:rFonts w:ascii="Symbol" w:hAnsi="Symbol"/>
          <w:sz w:val="24"/>
        </w:rPr>
      </w:pPr>
      <w:r>
        <w:rPr>
          <w:sz w:val="24"/>
        </w:rPr>
        <w:t>the</w:t>
      </w:r>
      <w:r>
        <w:rPr>
          <w:spacing w:val="-9"/>
          <w:sz w:val="24"/>
        </w:rPr>
        <w:t xml:space="preserve"> </w:t>
      </w:r>
      <w:r>
        <w:rPr>
          <w:sz w:val="24"/>
        </w:rPr>
        <w:t>incomplete</w:t>
      </w:r>
      <w:r>
        <w:rPr>
          <w:spacing w:val="-7"/>
          <w:sz w:val="24"/>
        </w:rPr>
        <w:t xml:space="preserve"> </w:t>
      </w:r>
      <w:r>
        <w:rPr>
          <w:sz w:val="24"/>
        </w:rPr>
        <w:t>WPS</w:t>
      </w:r>
      <w:r>
        <w:rPr>
          <w:spacing w:val="-10"/>
          <w:sz w:val="24"/>
        </w:rPr>
        <w:t xml:space="preserve"> </w:t>
      </w:r>
      <w:r>
        <w:rPr>
          <w:sz w:val="24"/>
        </w:rPr>
        <w:t>sales</w:t>
      </w:r>
      <w:r>
        <w:rPr>
          <w:spacing w:val="-9"/>
          <w:sz w:val="24"/>
        </w:rPr>
        <w:t xml:space="preserve"> </w:t>
      </w:r>
      <w:r>
        <w:rPr>
          <w:sz w:val="24"/>
        </w:rPr>
        <w:t>spreadsheet</w:t>
      </w:r>
      <w:r>
        <w:rPr>
          <w:spacing w:val="-9"/>
          <w:sz w:val="24"/>
        </w:rPr>
        <w:t xml:space="preserve"> </w:t>
      </w:r>
      <w:r>
        <w:rPr>
          <w:spacing w:val="-2"/>
          <w:sz w:val="24"/>
        </w:rPr>
        <w:t>data.</w:t>
      </w:r>
    </w:p>
    <w:p w14:paraId="51DE861E" w14:textId="77777777" w:rsidR="0010369C" w:rsidRDefault="0010369C">
      <w:pPr>
        <w:pStyle w:val="BodyText"/>
        <w:spacing w:before="7"/>
        <w:rPr>
          <w:sz w:val="17"/>
        </w:rPr>
      </w:pPr>
    </w:p>
    <w:p w14:paraId="51DE861F" w14:textId="77777777" w:rsidR="0010369C" w:rsidRDefault="008E43AE">
      <w:pPr>
        <w:pStyle w:val="BodyText"/>
        <w:spacing w:before="51" w:line="360" w:lineRule="auto"/>
        <w:ind w:left="237" w:right="614" w:firstLine="851"/>
        <w:jc w:val="both"/>
      </w:pPr>
      <w:r>
        <w:rPr>
          <w:noProof/>
        </w:rPr>
        <w:drawing>
          <wp:anchor distT="0" distB="0" distL="0" distR="0" simplePos="0" relativeHeight="250948096" behindDoc="1" locked="0" layoutInCell="1" allowOverlap="1" wp14:anchorId="51DEA123" wp14:editId="51DEA124">
            <wp:simplePos x="0" y="0"/>
            <wp:positionH relativeFrom="page">
              <wp:posOffset>905255</wp:posOffset>
            </wp:positionH>
            <wp:positionV relativeFrom="paragraph">
              <wp:posOffset>76150</wp:posOffset>
            </wp:positionV>
            <wp:extent cx="259079" cy="106679"/>
            <wp:effectExtent l="0" t="0" r="0" b="0"/>
            <wp:wrapNone/>
            <wp:docPr id="575" name="image2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 name="image296.png"/>
                    <pic:cNvPicPr/>
                  </pic:nvPicPr>
                  <pic:blipFill>
                    <a:blip r:embed="rId412" cstate="print"/>
                    <a:stretch>
                      <a:fillRect/>
                    </a:stretch>
                  </pic:blipFill>
                  <pic:spPr>
                    <a:xfrm>
                      <a:off x="0" y="0"/>
                      <a:ext cx="259079" cy="106679"/>
                    </a:xfrm>
                    <a:prstGeom prst="rect">
                      <a:avLst/>
                    </a:prstGeom>
                  </pic:spPr>
                </pic:pic>
              </a:graphicData>
            </a:graphic>
          </wp:anchor>
        </w:drawing>
      </w:r>
      <w:r>
        <w:t>Due to these errors, MOFCOM was not entitled to reject the domestic sales data supplied by Casella Wines. Having done so, MOFCOM calculated</w:t>
      </w:r>
      <w:r>
        <w:rPr>
          <w:spacing w:val="-1"/>
        </w:rPr>
        <w:t xml:space="preserve"> </w:t>
      </w:r>
      <w:r>
        <w:t>Casella</w:t>
      </w:r>
      <w:r>
        <w:rPr>
          <w:spacing w:val="-1"/>
        </w:rPr>
        <w:t xml:space="preserve"> </w:t>
      </w:r>
      <w:r>
        <w:t>Wines'</w:t>
      </w:r>
      <w:r>
        <w:rPr>
          <w:spacing w:val="-1"/>
        </w:rPr>
        <w:t xml:space="preserve"> </w:t>
      </w:r>
      <w:r>
        <w:t>normal value in a manner that was inconsistent with Articles 2.1 and 2.2 of the Anti‐Dumping Agreement.</w:t>
      </w:r>
    </w:p>
    <w:p w14:paraId="51DE8620" w14:textId="77777777" w:rsidR="0010369C" w:rsidRDefault="0010369C">
      <w:pPr>
        <w:pStyle w:val="BodyText"/>
        <w:spacing w:before="11"/>
        <w:rPr>
          <w:sz w:val="8"/>
        </w:rPr>
      </w:pPr>
    </w:p>
    <w:p w14:paraId="51DE8621" w14:textId="77777777" w:rsidR="0010369C" w:rsidRDefault="008E43AE">
      <w:pPr>
        <w:pStyle w:val="BodyText"/>
        <w:spacing w:before="52" w:line="360" w:lineRule="auto"/>
        <w:ind w:left="237" w:right="613" w:firstLine="851"/>
        <w:jc w:val="both"/>
      </w:pPr>
      <w:r>
        <w:rPr>
          <w:noProof/>
        </w:rPr>
        <w:drawing>
          <wp:anchor distT="0" distB="0" distL="0" distR="0" simplePos="0" relativeHeight="250949120" behindDoc="1" locked="0" layoutInCell="1" allowOverlap="1" wp14:anchorId="51DEA125" wp14:editId="51DEA126">
            <wp:simplePos x="0" y="0"/>
            <wp:positionH relativeFrom="page">
              <wp:posOffset>905255</wp:posOffset>
            </wp:positionH>
            <wp:positionV relativeFrom="paragraph">
              <wp:posOffset>76785</wp:posOffset>
            </wp:positionV>
            <wp:extent cx="259079" cy="106679"/>
            <wp:effectExtent l="0" t="0" r="0" b="0"/>
            <wp:wrapNone/>
            <wp:docPr id="577" name="image2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 name="image297.png"/>
                    <pic:cNvPicPr/>
                  </pic:nvPicPr>
                  <pic:blipFill>
                    <a:blip r:embed="rId413" cstate="print"/>
                    <a:stretch>
                      <a:fillRect/>
                    </a:stretch>
                  </pic:blipFill>
                  <pic:spPr>
                    <a:xfrm>
                      <a:off x="0" y="0"/>
                      <a:ext cx="259079" cy="106679"/>
                    </a:xfrm>
                    <a:prstGeom prst="rect">
                      <a:avLst/>
                    </a:prstGeom>
                  </pic:spPr>
                </pic:pic>
              </a:graphicData>
            </a:graphic>
          </wp:anchor>
        </w:drawing>
      </w:r>
      <w:r>
        <w:t>For</w:t>
      </w:r>
      <w:r>
        <w:rPr>
          <w:spacing w:val="-8"/>
        </w:rPr>
        <w:t xml:space="preserve"> </w:t>
      </w:r>
      <w:r>
        <w:t>completeness,</w:t>
      </w:r>
      <w:r>
        <w:rPr>
          <w:spacing w:val="-9"/>
        </w:rPr>
        <w:t xml:space="preserve"> </w:t>
      </w:r>
      <w:r>
        <w:t>Australia</w:t>
      </w:r>
      <w:r>
        <w:rPr>
          <w:spacing w:val="-9"/>
        </w:rPr>
        <w:t xml:space="preserve"> </w:t>
      </w:r>
      <w:r>
        <w:t>submits</w:t>
      </w:r>
      <w:r>
        <w:rPr>
          <w:spacing w:val="-10"/>
        </w:rPr>
        <w:t xml:space="preserve"> </w:t>
      </w:r>
      <w:r>
        <w:t>that</w:t>
      </w:r>
      <w:r>
        <w:rPr>
          <w:spacing w:val="-9"/>
        </w:rPr>
        <w:t xml:space="preserve"> </w:t>
      </w:r>
      <w:r>
        <w:t>MOFCOM's</w:t>
      </w:r>
      <w:r>
        <w:rPr>
          <w:spacing w:val="-9"/>
        </w:rPr>
        <w:t xml:space="preserve"> </w:t>
      </w:r>
      <w:r>
        <w:t>recourse</w:t>
      </w:r>
      <w:r>
        <w:rPr>
          <w:spacing w:val="-8"/>
        </w:rPr>
        <w:t xml:space="preserve"> </w:t>
      </w:r>
      <w:r>
        <w:t>to</w:t>
      </w:r>
      <w:r>
        <w:rPr>
          <w:spacing w:val="-8"/>
        </w:rPr>
        <w:t xml:space="preserve"> </w:t>
      </w:r>
      <w:r>
        <w:t>facts</w:t>
      </w:r>
      <w:r>
        <w:rPr>
          <w:spacing w:val="-9"/>
        </w:rPr>
        <w:t xml:space="preserve"> </w:t>
      </w:r>
      <w:r>
        <w:t>available</w:t>
      </w:r>
      <w:r>
        <w:rPr>
          <w:spacing w:val="-8"/>
        </w:rPr>
        <w:t xml:space="preserve"> </w:t>
      </w:r>
      <w:r>
        <w:t>in</w:t>
      </w:r>
      <w:r>
        <w:rPr>
          <w:spacing w:val="-9"/>
        </w:rPr>
        <w:t xml:space="preserve"> </w:t>
      </w:r>
      <w:r>
        <w:t>its use of the sales prices of "other respondents" to calculate Casel</w:t>
      </w:r>
      <w:r>
        <w:t>la Wines' normal value was entirely nonsensical. Only three respondents provided sales data, being the three sampled companies: Treasury Wines, Casella Wines and Swan Vintage. However, MOFCOM rejected the data of both Casella Wines and Swan Vintage. Accord</w:t>
      </w:r>
      <w:r>
        <w:t>ingly, MOFCOM either used the domestic sales data of Swan Vintage to calculate Casella Wines' normal value despite MOFCOM finding Swan Vintages' domestic sales failed the volume test, or MOFCOM only relied</w:t>
      </w:r>
      <w:r>
        <w:rPr>
          <w:spacing w:val="-13"/>
        </w:rPr>
        <w:t xml:space="preserve"> </w:t>
      </w:r>
      <w:r>
        <w:t>on</w:t>
      </w:r>
      <w:r>
        <w:rPr>
          <w:spacing w:val="-12"/>
        </w:rPr>
        <w:t xml:space="preserve"> </w:t>
      </w:r>
      <w:r>
        <w:t>Treasury</w:t>
      </w:r>
      <w:r>
        <w:rPr>
          <w:spacing w:val="-12"/>
        </w:rPr>
        <w:t xml:space="preserve"> </w:t>
      </w:r>
      <w:r>
        <w:t>Wines'</w:t>
      </w:r>
      <w:r>
        <w:rPr>
          <w:spacing w:val="-12"/>
        </w:rPr>
        <w:t xml:space="preserve"> </w:t>
      </w:r>
      <w:r>
        <w:t>data</w:t>
      </w:r>
      <w:r>
        <w:rPr>
          <w:spacing w:val="-12"/>
        </w:rPr>
        <w:t xml:space="preserve"> </w:t>
      </w:r>
      <w:r>
        <w:t>and</w:t>
      </w:r>
      <w:r>
        <w:rPr>
          <w:spacing w:val="-12"/>
        </w:rPr>
        <w:t xml:space="preserve"> </w:t>
      </w:r>
      <w:r>
        <w:t>its</w:t>
      </w:r>
      <w:r>
        <w:rPr>
          <w:spacing w:val="-12"/>
        </w:rPr>
        <w:t xml:space="preserve"> </w:t>
      </w:r>
      <w:r>
        <w:t>reference</w:t>
      </w:r>
      <w:r>
        <w:rPr>
          <w:spacing w:val="-12"/>
        </w:rPr>
        <w:t xml:space="preserve"> </w:t>
      </w:r>
      <w:r>
        <w:t>to</w:t>
      </w:r>
      <w:r>
        <w:rPr>
          <w:spacing w:val="-12"/>
        </w:rPr>
        <w:t xml:space="preserve"> </w:t>
      </w:r>
      <w:r>
        <w:t>"othe</w:t>
      </w:r>
      <w:r>
        <w:t>r</w:t>
      </w:r>
      <w:r>
        <w:rPr>
          <w:spacing w:val="-12"/>
        </w:rPr>
        <w:t xml:space="preserve"> </w:t>
      </w:r>
      <w:r>
        <w:t>respondents"</w:t>
      </w:r>
      <w:r>
        <w:rPr>
          <w:spacing w:val="-11"/>
        </w:rPr>
        <w:t xml:space="preserve"> </w:t>
      </w:r>
      <w:r>
        <w:t>(plural)</w:t>
      </w:r>
      <w:r>
        <w:rPr>
          <w:spacing w:val="-11"/>
        </w:rPr>
        <w:t xml:space="preserve"> </w:t>
      </w:r>
      <w:r>
        <w:t>was</w:t>
      </w:r>
      <w:r>
        <w:rPr>
          <w:spacing w:val="-12"/>
        </w:rPr>
        <w:t xml:space="preserve"> </w:t>
      </w:r>
      <w:r>
        <w:t>incorrect.</w:t>
      </w:r>
    </w:p>
    <w:p w14:paraId="51DE8622" w14:textId="77777777" w:rsidR="0010369C" w:rsidRDefault="0010369C">
      <w:pPr>
        <w:pStyle w:val="BodyText"/>
        <w:rPr>
          <w:sz w:val="20"/>
        </w:rPr>
      </w:pPr>
    </w:p>
    <w:p w14:paraId="51DE8623" w14:textId="77777777" w:rsidR="0010369C" w:rsidRDefault="0010369C">
      <w:pPr>
        <w:pStyle w:val="BodyText"/>
        <w:rPr>
          <w:sz w:val="20"/>
        </w:rPr>
      </w:pPr>
    </w:p>
    <w:p w14:paraId="51DE8624" w14:textId="77777777" w:rsidR="0010369C" w:rsidRDefault="0010369C">
      <w:pPr>
        <w:pStyle w:val="BodyText"/>
        <w:rPr>
          <w:sz w:val="20"/>
        </w:rPr>
      </w:pPr>
    </w:p>
    <w:p w14:paraId="51DE8625" w14:textId="77777777" w:rsidR="0010369C" w:rsidRDefault="0010369C">
      <w:pPr>
        <w:pStyle w:val="BodyText"/>
        <w:rPr>
          <w:sz w:val="20"/>
        </w:rPr>
      </w:pPr>
    </w:p>
    <w:p w14:paraId="51DE8626" w14:textId="77777777" w:rsidR="0010369C" w:rsidRDefault="0010369C">
      <w:pPr>
        <w:pStyle w:val="BodyText"/>
        <w:rPr>
          <w:sz w:val="20"/>
        </w:rPr>
      </w:pPr>
    </w:p>
    <w:p w14:paraId="51DE8627" w14:textId="77777777" w:rsidR="0010369C" w:rsidRDefault="0010369C">
      <w:pPr>
        <w:pStyle w:val="BodyText"/>
        <w:rPr>
          <w:sz w:val="20"/>
        </w:rPr>
      </w:pPr>
    </w:p>
    <w:p w14:paraId="51DE8628" w14:textId="77777777" w:rsidR="0010369C" w:rsidRDefault="0010369C">
      <w:pPr>
        <w:pStyle w:val="BodyText"/>
        <w:rPr>
          <w:sz w:val="20"/>
        </w:rPr>
      </w:pPr>
    </w:p>
    <w:p w14:paraId="51DE8629" w14:textId="77777777" w:rsidR="0010369C" w:rsidRDefault="0010369C">
      <w:pPr>
        <w:pStyle w:val="BodyText"/>
        <w:rPr>
          <w:sz w:val="20"/>
        </w:rPr>
      </w:pPr>
    </w:p>
    <w:p w14:paraId="51DE862A" w14:textId="77777777" w:rsidR="0010369C" w:rsidRDefault="0010369C">
      <w:pPr>
        <w:pStyle w:val="BodyText"/>
        <w:rPr>
          <w:sz w:val="20"/>
        </w:rPr>
      </w:pPr>
    </w:p>
    <w:p w14:paraId="51DE862B" w14:textId="77777777" w:rsidR="0010369C" w:rsidRDefault="0010369C">
      <w:pPr>
        <w:pStyle w:val="BodyText"/>
        <w:rPr>
          <w:sz w:val="20"/>
        </w:rPr>
      </w:pPr>
    </w:p>
    <w:p w14:paraId="51DE862C" w14:textId="77777777" w:rsidR="0010369C" w:rsidRDefault="008E43AE">
      <w:pPr>
        <w:pStyle w:val="BodyText"/>
        <w:spacing w:before="11"/>
        <w:rPr>
          <w:sz w:val="16"/>
        </w:rPr>
      </w:pPr>
      <w:r>
        <w:pict w14:anchorId="51DEA127">
          <v:rect id="docshape627" o:spid="_x0000_s1661" style="position:absolute;margin-left:70.9pt;margin-top:11.55pt;width:2in;height:.8pt;z-index:-250991104;mso-wrap-distance-left:0;mso-wrap-distance-right:0;mso-position-horizontal-relative:page" fillcolor="black" stroked="f">
            <w10:wrap type="topAndBottom" anchorx="page"/>
          </v:rect>
        </w:pict>
      </w:r>
    </w:p>
    <w:p w14:paraId="51DE862D" w14:textId="77777777" w:rsidR="0010369C" w:rsidRDefault="008E43AE">
      <w:pPr>
        <w:spacing w:before="109"/>
        <w:ind w:left="238"/>
        <w:rPr>
          <w:sz w:val="18"/>
        </w:rPr>
      </w:pPr>
      <w:r>
        <w:rPr>
          <w:sz w:val="18"/>
          <w:vertAlign w:val="superscript"/>
        </w:rPr>
        <w:t>305</w:t>
      </w:r>
      <w:r>
        <w:rPr>
          <w:spacing w:val="-10"/>
          <w:sz w:val="18"/>
        </w:rPr>
        <w:t xml:space="preserve"> </w:t>
      </w:r>
      <w:r>
        <w:rPr>
          <w:sz w:val="18"/>
        </w:rPr>
        <w:t>Anti‐Dumping</w:t>
      </w:r>
      <w:r>
        <w:rPr>
          <w:spacing w:val="-9"/>
          <w:sz w:val="18"/>
        </w:rPr>
        <w:t xml:space="preserve"> </w:t>
      </w:r>
      <w:r>
        <w:rPr>
          <w:sz w:val="18"/>
        </w:rPr>
        <w:t>Final</w:t>
      </w:r>
      <w:r>
        <w:rPr>
          <w:spacing w:val="-9"/>
          <w:sz w:val="18"/>
        </w:rPr>
        <w:t xml:space="preserve"> </w:t>
      </w:r>
      <w:r>
        <w:rPr>
          <w:sz w:val="18"/>
        </w:rPr>
        <w:t>Determination</w:t>
      </w:r>
      <w:r>
        <w:rPr>
          <w:spacing w:val="-9"/>
          <w:sz w:val="18"/>
        </w:rPr>
        <w:t xml:space="preserve"> </w:t>
      </w:r>
      <w:r>
        <w:rPr>
          <w:sz w:val="18"/>
        </w:rPr>
        <w:t>(Exhibit</w:t>
      </w:r>
      <w:r>
        <w:rPr>
          <w:spacing w:val="-9"/>
          <w:sz w:val="18"/>
        </w:rPr>
        <w:t xml:space="preserve"> </w:t>
      </w:r>
      <w:r>
        <w:rPr>
          <w:sz w:val="18"/>
        </w:rPr>
        <w:t>AUS‐2),</w:t>
      </w:r>
      <w:r>
        <w:rPr>
          <w:spacing w:val="-10"/>
          <w:sz w:val="18"/>
        </w:rPr>
        <w:t xml:space="preserve"> </w:t>
      </w:r>
      <w:r>
        <w:rPr>
          <w:sz w:val="18"/>
        </w:rPr>
        <w:t>pp.75,</w:t>
      </w:r>
      <w:r>
        <w:rPr>
          <w:spacing w:val="-9"/>
          <w:sz w:val="18"/>
        </w:rPr>
        <w:t xml:space="preserve"> </w:t>
      </w:r>
      <w:r>
        <w:rPr>
          <w:spacing w:val="-5"/>
          <w:sz w:val="18"/>
        </w:rPr>
        <w:t>77.</w:t>
      </w:r>
    </w:p>
    <w:p w14:paraId="51DE862E" w14:textId="77777777" w:rsidR="0010369C" w:rsidRDefault="0010369C">
      <w:pPr>
        <w:rPr>
          <w:sz w:val="18"/>
        </w:rPr>
        <w:sectPr w:rsidR="0010369C">
          <w:type w:val="continuous"/>
          <w:pgSz w:w="11910" w:h="16840"/>
          <w:pgMar w:top="1460" w:right="800" w:bottom="280" w:left="1180" w:header="569" w:footer="788" w:gutter="0"/>
          <w:cols w:space="720"/>
        </w:sectPr>
      </w:pPr>
    </w:p>
    <w:p w14:paraId="51DE862F" w14:textId="77777777" w:rsidR="0010369C" w:rsidRDefault="008E43AE">
      <w:pPr>
        <w:tabs>
          <w:tab w:val="left" w:pos="6187"/>
        </w:tabs>
        <w:ind w:right="615"/>
        <w:jc w:val="right"/>
        <w:rPr>
          <w:sz w:val="20"/>
        </w:rPr>
      </w:pPr>
      <w:r>
        <w:rPr>
          <w:i/>
          <w:sz w:val="20"/>
        </w:rPr>
        <w:lastRenderedPageBreak/>
        <w:t>China</w:t>
      </w:r>
      <w:r>
        <w:rPr>
          <w:i/>
          <w:spacing w:val="-5"/>
          <w:sz w:val="20"/>
        </w:rPr>
        <w:t xml:space="preserve"> </w:t>
      </w:r>
      <w:r>
        <w:rPr>
          <w:i/>
          <w:sz w:val="20"/>
        </w:rPr>
        <w:t>–</w:t>
      </w:r>
      <w:r>
        <w:rPr>
          <w:i/>
          <w:spacing w:val="-5"/>
          <w:sz w:val="20"/>
        </w:rPr>
        <w:t xml:space="preserve"> </w:t>
      </w:r>
      <w:r>
        <w:rPr>
          <w:i/>
          <w:sz w:val="20"/>
        </w:rPr>
        <w:t>Anti‐Dumping</w:t>
      </w:r>
      <w:r>
        <w:rPr>
          <w:i/>
          <w:spacing w:val="-4"/>
          <w:sz w:val="20"/>
        </w:rPr>
        <w:t xml:space="preserve"> </w:t>
      </w:r>
      <w:r>
        <w:rPr>
          <w:i/>
          <w:sz w:val="20"/>
        </w:rPr>
        <w:t>and</w:t>
      </w:r>
      <w:r>
        <w:rPr>
          <w:i/>
          <w:spacing w:val="-5"/>
          <w:sz w:val="20"/>
        </w:rPr>
        <w:t xml:space="preserve"> </w:t>
      </w:r>
      <w:r>
        <w:rPr>
          <w:i/>
          <w:sz w:val="20"/>
        </w:rPr>
        <w:t>Countervailing</w:t>
      </w:r>
      <w:r>
        <w:rPr>
          <w:i/>
          <w:spacing w:val="-5"/>
          <w:sz w:val="20"/>
        </w:rPr>
        <w:t xml:space="preserve"> </w:t>
      </w:r>
      <w:r>
        <w:rPr>
          <w:i/>
          <w:sz w:val="20"/>
        </w:rPr>
        <w:t>Duty</w:t>
      </w:r>
      <w:r>
        <w:rPr>
          <w:i/>
          <w:spacing w:val="-4"/>
          <w:sz w:val="20"/>
        </w:rPr>
        <w:t xml:space="preserve"> </w:t>
      </w:r>
      <w:r>
        <w:rPr>
          <w:i/>
          <w:spacing w:val="-2"/>
          <w:sz w:val="20"/>
        </w:rPr>
        <w:t>Measures</w:t>
      </w:r>
      <w:r>
        <w:rPr>
          <w:i/>
          <w:sz w:val="20"/>
        </w:rPr>
        <w:tab/>
      </w:r>
      <w:r>
        <w:rPr>
          <w:sz w:val="20"/>
        </w:rPr>
        <w:t>Australia's</w:t>
      </w:r>
      <w:r>
        <w:rPr>
          <w:spacing w:val="-7"/>
          <w:sz w:val="20"/>
        </w:rPr>
        <w:t xml:space="preserve"> </w:t>
      </w:r>
      <w:r>
        <w:rPr>
          <w:sz w:val="20"/>
        </w:rPr>
        <w:t>First</w:t>
      </w:r>
      <w:r>
        <w:rPr>
          <w:spacing w:val="-2"/>
          <w:sz w:val="20"/>
        </w:rPr>
        <w:t xml:space="preserve"> </w:t>
      </w:r>
      <w:r>
        <w:rPr>
          <w:sz w:val="20"/>
        </w:rPr>
        <w:t>Written</w:t>
      </w:r>
      <w:r>
        <w:rPr>
          <w:spacing w:val="-2"/>
          <w:sz w:val="20"/>
        </w:rPr>
        <w:t xml:space="preserve"> Submission</w:t>
      </w:r>
    </w:p>
    <w:p w14:paraId="51DE8630" w14:textId="77777777" w:rsidR="0010369C" w:rsidRDefault="008E43AE">
      <w:pPr>
        <w:tabs>
          <w:tab w:val="left" w:pos="7988"/>
        </w:tabs>
        <w:spacing w:before="1"/>
        <w:ind w:right="611"/>
        <w:jc w:val="right"/>
        <w:rPr>
          <w:sz w:val="20"/>
        </w:rPr>
      </w:pPr>
      <w:r>
        <w:rPr>
          <w:i/>
          <w:sz w:val="20"/>
        </w:rPr>
        <w:t>on</w:t>
      </w:r>
      <w:r>
        <w:rPr>
          <w:i/>
          <w:spacing w:val="-1"/>
          <w:sz w:val="20"/>
        </w:rPr>
        <w:t xml:space="preserve"> </w:t>
      </w:r>
      <w:r>
        <w:rPr>
          <w:i/>
          <w:sz w:val="20"/>
        </w:rPr>
        <w:t>Wine</w:t>
      </w:r>
      <w:r>
        <w:rPr>
          <w:i/>
          <w:spacing w:val="-1"/>
          <w:sz w:val="20"/>
        </w:rPr>
        <w:t xml:space="preserve"> </w:t>
      </w:r>
      <w:r>
        <w:rPr>
          <w:i/>
          <w:sz w:val="20"/>
        </w:rPr>
        <w:t>from</w:t>
      </w:r>
      <w:r>
        <w:rPr>
          <w:i/>
          <w:spacing w:val="-3"/>
          <w:sz w:val="20"/>
        </w:rPr>
        <w:t xml:space="preserve"> </w:t>
      </w:r>
      <w:r>
        <w:rPr>
          <w:i/>
          <w:sz w:val="20"/>
        </w:rPr>
        <w:t>Australia</w:t>
      </w:r>
      <w:r>
        <w:rPr>
          <w:i/>
          <w:spacing w:val="-1"/>
          <w:sz w:val="20"/>
        </w:rPr>
        <w:t xml:space="preserve"> </w:t>
      </w:r>
      <w:r>
        <w:rPr>
          <w:spacing w:val="-2"/>
          <w:sz w:val="20"/>
        </w:rPr>
        <w:t>(DS602)</w:t>
      </w:r>
      <w:r>
        <w:rPr>
          <w:sz w:val="20"/>
        </w:rPr>
        <w:tab/>
        <w:t>29</w:t>
      </w:r>
      <w:r>
        <w:rPr>
          <w:spacing w:val="-1"/>
          <w:sz w:val="20"/>
        </w:rPr>
        <w:t xml:space="preserve"> </w:t>
      </w:r>
      <w:r>
        <w:rPr>
          <w:sz w:val="20"/>
        </w:rPr>
        <w:t>April</w:t>
      </w:r>
      <w:r>
        <w:rPr>
          <w:spacing w:val="-2"/>
          <w:sz w:val="20"/>
        </w:rPr>
        <w:t xml:space="preserve"> </w:t>
      </w:r>
      <w:r>
        <w:rPr>
          <w:spacing w:val="-4"/>
          <w:sz w:val="20"/>
        </w:rPr>
        <w:t>2022</w:t>
      </w:r>
    </w:p>
    <w:p w14:paraId="51DE8631" w14:textId="77777777" w:rsidR="0010369C" w:rsidRDefault="008E43AE">
      <w:pPr>
        <w:pStyle w:val="ListParagraph"/>
        <w:numPr>
          <w:ilvl w:val="4"/>
          <w:numId w:val="75"/>
        </w:numPr>
        <w:tabs>
          <w:tab w:val="left" w:pos="4493"/>
          <w:tab w:val="left" w:pos="4494"/>
          <w:tab w:val="left" w:pos="5678"/>
          <w:tab w:val="left" w:pos="7317"/>
          <w:tab w:val="left" w:pos="8991"/>
        </w:tabs>
        <w:spacing w:before="34" w:after="4" w:line="360" w:lineRule="auto"/>
        <w:ind w:right="614"/>
        <w:jc w:val="right"/>
        <w:rPr>
          <w:i/>
          <w:sz w:val="24"/>
        </w:rPr>
      </w:pPr>
      <w:r>
        <w:rPr>
          <w:i/>
          <w:spacing w:val="-2"/>
          <w:sz w:val="24"/>
        </w:rPr>
        <w:t>MOFCOM</w:t>
      </w:r>
      <w:r>
        <w:rPr>
          <w:i/>
          <w:sz w:val="24"/>
        </w:rPr>
        <w:tab/>
      </w:r>
      <w:r>
        <w:rPr>
          <w:i/>
          <w:spacing w:val="-2"/>
          <w:sz w:val="24"/>
        </w:rPr>
        <w:t>fundamentally</w:t>
      </w:r>
      <w:r>
        <w:rPr>
          <w:i/>
          <w:sz w:val="24"/>
        </w:rPr>
        <w:tab/>
      </w:r>
      <w:r>
        <w:rPr>
          <w:i/>
          <w:spacing w:val="-2"/>
          <w:sz w:val="24"/>
        </w:rPr>
        <w:t>misunderstood</w:t>
      </w:r>
      <w:r>
        <w:rPr>
          <w:i/>
          <w:sz w:val="24"/>
        </w:rPr>
        <w:tab/>
      </w:r>
      <w:r>
        <w:rPr>
          <w:i/>
          <w:spacing w:val="-4"/>
          <w:sz w:val="24"/>
        </w:rPr>
        <w:t xml:space="preserve">the </w:t>
      </w:r>
      <w:r>
        <w:rPr>
          <w:i/>
          <w:sz w:val="24"/>
        </w:rPr>
        <w:t>agency</w:t>
      </w:r>
      <w:r>
        <w:rPr>
          <w:i/>
          <w:spacing w:val="28"/>
          <w:sz w:val="24"/>
        </w:rPr>
        <w:t xml:space="preserve"> </w:t>
      </w:r>
      <w:r>
        <w:rPr>
          <w:i/>
          <w:sz w:val="24"/>
        </w:rPr>
        <w:t>relationship</w:t>
      </w:r>
      <w:r>
        <w:rPr>
          <w:i/>
          <w:spacing w:val="28"/>
          <w:sz w:val="24"/>
        </w:rPr>
        <w:t xml:space="preserve"> </w:t>
      </w:r>
      <w:r>
        <w:rPr>
          <w:i/>
          <w:sz w:val="24"/>
        </w:rPr>
        <w:t>between</w:t>
      </w:r>
      <w:r>
        <w:rPr>
          <w:i/>
          <w:spacing w:val="28"/>
          <w:sz w:val="24"/>
        </w:rPr>
        <w:t xml:space="preserve"> </w:t>
      </w:r>
      <w:r>
        <w:rPr>
          <w:i/>
          <w:sz w:val="24"/>
        </w:rPr>
        <w:t>Casella</w:t>
      </w:r>
      <w:r>
        <w:rPr>
          <w:i/>
          <w:spacing w:val="30"/>
          <w:sz w:val="24"/>
        </w:rPr>
        <w:t xml:space="preserve"> </w:t>
      </w:r>
      <w:r>
        <w:rPr>
          <w:i/>
          <w:sz w:val="24"/>
        </w:rPr>
        <w:t>Wines</w:t>
      </w:r>
      <w:r>
        <w:rPr>
          <w:i/>
          <w:spacing w:val="29"/>
          <w:sz w:val="24"/>
        </w:rPr>
        <w:t xml:space="preserve"> </w:t>
      </w:r>
      <w:r>
        <w:rPr>
          <w:i/>
          <w:spacing w:val="-5"/>
          <w:sz w:val="24"/>
        </w:rPr>
        <w:t>and</w:t>
      </w:r>
    </w:p>
    <w:p w14:paraId="51DE8632" w14:textId="77777777" w:rsidR="0010369C" w:rsidRDefault="008E43AE">
      <w:pPr>
        <w:pStyle w:val="BodyText"/>
        <w:ind w:left="4493"/>
        <w:rPr>
          <w:sz w:val="20"/>
        </w:rPr>
      </w:pPr>
      <w:r>
        <w:rPr>
          <w:sz w:val="20"/>
        </w:rPr>
      </w:r>
      <w:r>
        <w:rPr>
          <w:sz w:val="20"/>
        </w:rPr>
        <w:pict w14:anchorId="51DEA129">
          <v:group id="docshapegroup628" o:spid="_x0000_s1657" style="width:119.45pt;height:15.65pt;mso-position-horizontal-relative:char;mso-position-vertical-relative:line" coordsize="2389,313">
            <v:rect id="docshape629" o:spid="_x0000_s1660" style="position:absolute;left:126;width:2076;height:313" fillcolor="black" stroked="f"/>
            <v:shape id="docshape630" o:spid="_x0000_s1659" type="#_x0000_t202" style="position:absolute;top:46;width:167;height:240" filled="f" stroked="f">
              <v:textbox inset="0,0,0,0">
                <w:txbxContent>
                  <w:p w14:paraId="51DEAC52" w14:textId="77777777" w:rsidR="0010369C" w:rsidRDefault="008E43AE">
                    <w:pPr>
                      <w:spacing w:line="240" w:lineRule="exact"/>
                      <w:rPr>
                        <w:i/>
                        <w:sz w:val="24"/>
                      </w:rPr>
                    </w:pPr>
                    <w:r>
                      <w:rPr>
                        <w:i/>
                        <w:spacing w:val="-5"/>
                        <w:sz w:val="24"/>
                      </w:rPr>
                      <w:t>[[</w:t>
                    </w:r>
                  </w:p>
                </w:txbxContent>
              </v:textbox>
            </v:shape>
            <v:shape id="docshape631" o:spid="_x0000_s1658" type="#_x0000_t202" style="position:absolute;left:2222;top:46;width:167;height:240" filled="f" stroked="f">
              <v:textbox inset="0,0,0,0">
                <w:txbxContent>
                  <w:p w14:paraId="51DEAC53" w14:textId="77777777" w:rsidR="0010369C" w:rsidRDefault="008E43AE">
                    <w:pPr>
                      <w:spacing w:line="240" w:lineRule="exact"/>
                      <w:rPr>
                        <w:i/>
                        <w:sz w:val="24"/>
                      </w:rPr>
                    </w:pPr>
                    <w:r>
                      <w:rPr>
                        <w:i/>
                        <w:spacing w:val="-5"/>
                        <w:sz w:val="24"/>
                      </w:rPr>
                      <w:t>]]</w:t>
                    </w:r>
                  </w:p>
                </w:txbxContent>
              </v:textbox>
            </v:shape>
            <w10:anchorlock/>
          </v:group>
        </w:pict>
      </w:r>
    </w:p>
    <w:p w14:paraId="51DE8633" w14:textId="77777777" w:rsidR="0010369C" w:rsidRDefault="0010369C">
      <w:pPr>
        <w:pStyle w:val="BodyText"/>
        <w:spacing w:before="9"/>
        <w:rPr>
          <w:i/>
          <w:sz w:val="16"/>
        </w:rPr>
      </w:pPr>
    </w:p>
    <w:p w14:paraId="51DE8634" w14:textId="77777777" w:rsidR="0010369C" w:rsidRDefault="008E43AE">
      <w:pPr>
        <w:pStyle w:val="BodyText"/>
        <w:tabs>
          <w:tab w:val="left" w:pos="9099"/>
        </w:tabs>
        <w:spacing w:before="52" w:line="360" w:lineRule="auto"/>
        <w:ind w:left="237" w:right="615" w:firstLine="851"/>
        <w:jc w:val="both"/>
      </w:pPr>
      <w:r>
        <w:rPr>
          <w:noProof/>
        </w:rPr>
        <w:drawing>
          <wp:anchor distT="0" distB="0" distL="0" distR="0" simplePos="0" relativeHeight="250950144" behindDoc="1" locked="0" layoutInCell="1" allowOverlap="1" wp14:anchorId="51DEA12A" wp14:editId="51DEA12B">
            <wp:simplePos x="0" y="0"/>
            <wp:positionH relativeFrom="page">
              <wp:posOffset>905255</wp:posOffset>
            </wp:positionH>
            <wp:positionV relativeFrom="paragraph">
              <wp:posOffset>80595</wp:posOffset>
            </wp:positionV>
            <wp:extent cx="259079" cy="103631"/>
            <wp:effectExtent l="0" t="0" r="0" b="0"/>
            <wp:wrapNone/>
            <wp:docPr id="579" name="image2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 name="image298.png"/>
                    <pic:cNvPicPr/>
                  </pic:nvPicPr>
                  <pic:blipFill>
                    <a:blip r:embed="rId414" cstate="print"/>
                    <a:stretch>
                      <a:fillRect/>
                    </a:stretch>
                  </pic:blipFill>
                  <pic:spPr>
                    <a:xfrm>
                      <a:off x="0" y="0"/>
                      <a:ext cx="259079" cy="103631"/>
                    </a:xfrm>
                    <a:prstGeom prst="rect">
                      <a:avLst/>
                    </a:prstGeom>
                  </pic:spPr>
                </pic:pic>
              </a:graphicData>
            </a:graphic>
          </wp:anchor>
        </w:drawing>
      </w:r>
      <w:r>
        <w:pict w14:anchorId="51DEA12C">
          <v:rect id="docshape632" o:spid="_x0000_s1656" style="position:absolute;left:0;text-align:left;margin-left:402.9pt;margin-top:24.65pt;width:110.1pt;height:16.05pt;z-index:-251359744;mso-position-horizontal-relative:page;mso-position-vertical-relative:text" fillcolor="black" stroked="f">
            <w10:wrap anchorx="page"/>
          </v:rect>
        </w:pict>
      </w:r>
      <w:r>
        <w:t>Australia submits MOFCOM fundamentally misunderstood the agency relationship that existed between Casella Wines and its affiliated company, [[</w:t>
      </w:r>
      <w:r>
        <w:tab/>
      </w:r>
      <w:r>
        <w:rPr>
          <w:spacing w:val="-4"/>
        </w:rPr>
        <w:t xml:space="preserve">]]. </w:t>
      </w:r>
      <w:r>
        <w:t>MOFCOM made the following findings:</w:t>
      </w:r>
    </w:p>
    <w:p w14:paraId="51DE8635" w14:textId="77777777" w:rsidR="0010369C" w:rsidRDefault="008E43AE">
      <w:pPr>
        <w:pStyle w:val="ListParagraph"/>
        <w:numPr>
          <w:ilvl w:val="1"/>
          <w:numId w:val="69"/>
        </w:numPr>
        <w:tabs>
          <w:tab w:val="left" w:pos="1939"/>
          <w:tab w:val="left" w:pos="1940"/>
        </w:tabs>
        <w:spacing w:before="160" w:line="352" w:lineRule="auto"/>
        <w:ind w:right="614" w:hanging="852"/>
        <w:rPr>
          <w:rFonts w:ascii="Symbol" w:hAnsi="Symbol"/>
          <w:sz w:val="24"/>
        </w:rPr>
      </w:pPr>
      <w:r>
        <w:rPr>
          <w:sz w:val="24"/>
        </w:rPr>
        <w:t>no transaction data for the relate</w:t>
      </w:r>
      <w:r>
        <w:rPr>
          <w:sz w:val="24"/>
        </w:rPr>
        <w:t>d company was provided in the domestic sales form (Form 4‐2);</w:t>
      </w:r>
      <w:r>
        <w:rPr>
          <w:sz w:val="24"/>
          <w:vertAlign w:val="superscript"/>
        </w:rPr>
        <w:t>306</w:t>
      </w:r>
    </w:p>
    <w:p w14:paraId="51DE8636" w14:textId="77777777" w:rsidR="0010369C" w:rsidRDefault="008E43AE">
      <w:pPr>
        <w:pStyle w:val="ListParagraph"/>
        <w:numPr>
          <w:ilvl w:val="1"/>
          <w:numId w:val="69"/>
        </w:numPr>
        <w:tabs>
          <w:tab w:val="left" w:pos="1940"/>
          <w:tab w:val="left" w:pos="1941"/>
        </w:tabs>
        <w:spacing w:before="137"/>
        <w:ind w:left="1940" w:hanging="852"/>
        <w:rPr>
          <w:rFonts w:ascii="Symbol" w:hAnsi="Symbol"/>
          <w:sz w:val="24"/>
        </w:rPr>
      </w:pPr>
      <w:r>
        <w:pict w14:anchorId="51DEA12D">
          <v:rect id="docshape633" o:spid="_x0000_s1655" style="position:absolute;left:0;text-align:left;margin-left:435.9pt;margin-top:7.6pt;width:87.45pt;height:16.05pt;z-index:251813376;mso-position-horizontal-relative:page" fillcolor="black" stroked="f">
            <w10:wrap anchorx="page"/>
          </v:rect>
        </w:pict>
      </w:r>
      <w:r>
        <w:rPr>
          <w:sz w:val="24"/>
        </w:rPr>
        <w:t>despite</w:t>
      </w:r>
      <w:r>
        <w:rPr>
          <w:spacing w:val="8"/>
          <w:sz w:val="24"/>
        </w:rPr>
        <w:t xml:space="preserve"> </w:t>
      </w:r>
      <w:r>
        <w:rPr>
          <w:sz w:val="24"/>
        </w:rPr>
        <w:t>a</w:t>
      </w:r>
      <w:r>
        <w:rPr>
          <w:spacing w:val="7"/>
          <w:sz w:val="24"/>
        </w:rPr>
        <w:t xml:space="preserve"> </w:t>
      </w:r>
      <w:r>
        <w:rPr>
          <w:sz w:val="24"/>
        </w:rPr>
        <w:t>sales</w:t>
      </w:r>
      <w:r>
        <w:rPr>
          <w:spacing w:val="6"/>
          <w:sz w:val="24"/>
        </w:rPr>
        <w:t xml:space="preserve"> </w:t>
      </w:r>
      <w:r>
        <w:rPr>
          <w:sz w:val="24"/>
        </w:rPr>
        <w:t>invoice</w:t>
      </w:r>
      <w:r>
        <w:rPr>
          <w:spacing w:val="9"/>
          <w:sz w:val="24"/>
        </w:rPr>
        <w:t xml:space="preserve"> </w:t>
      </w:r>
      <w:r>
        <w:rPr>
          <w:sz w:val="24"/>
        </w:rPr>
        <w:t>being</w:t>
      </w:r>
      <w:r>
        <w:rPr>
          <w:spacing w:val="7"/>
          <w:sz w:val="24"/>
        </w:rPr>
        <w:t xml:space="preserve"> </w:t>
      </w:r>
      <w:r>
        <w:rPr>
          <w:sz w:val="24"/>
        </w:rPr>
        <w:t>issued</w:t>
      </w:r>
      <w:r>
        <w:rPr>
          <w:spacing w:val="7"/>
          <w:sz w:val="24"/>
        </w:rPr>
        <w:t xml:space="preserve"> </w:t>
      </w:r>
      <w:r>
        <w:rPr>
          <w:sz w:val="24"/>
        </w:rPr>
        <w:t>to</w:t>
      </w:r>
      <w:r>
        <w:rPr>
          <w:spacing w:val="7"/>
          <w:sz w:val="24"/>
        </w:rPr>
        <w:t xml:space="preserve"> </w:t>
      </w:r>
      <w:r>
        <w:rPr>
          <w:sz w:val="24"/>
        </w:rPr>
        <w:t>the</w:t>
      </w:r>
      <w:r>
        <w:rPr>
          <w:spacing w:val="8"/>
          <w:sz w:val="24"/>
        </w:rPr>
        <w:t xml:space="preserve"> </w:t>
      </w:r>
      <w:r>
        <w:rPr>
          <w:sz w:val="24"/>
        </w:rPr>
        <w:t>customer</w:t>
      </w:r>
      <w:r>
        <w:rPr>
          <w:spacing w:val="6"/>
          <w:sz w:val="24"/>
        </w:rPr>
        <w:t xml:space="preserve"> </w:t>
      </w:r>
      <w:r>
        <w:rPr>
          <w:sz w:val="24"/>
        </w:rPr>
        <w:t>in</w:t>
      </w:r>
      <w:r>
        <w:rPr>
          <w:spacing w:val="7"/>
          <w:sz w:val="24"/>
        </w:rPr>
        <w:t xml:space="preserve"> </w:t>
      </w:r>
      <w:r>
        <w:rPr>
          <w:spacing w:val="-5"/>
          <w:sz w:val="24"/>
        </w:rPr>
        <w:t>[[</w:t>
      </w:r>
    </w:p>
    <w:p w14:paraId="51DE8637" w14:textId="77777777" w:rsidR="0010369C" w:rsidRDefault="008E43AE">
      <w:pPr>
        <w:pStyle w:val="BodyText"/>
        <w:spacing w:before="147"/>
        <w:ind w:left="2393"/>
        <w:jc w:val="both"/>
      </w:pPr>
      <w:r>
        <w:pict w14:anchorId="51DEA12E">
          <v:rect id="docshape634" o:spid="_x0000_s1654" style="position:absolute;left:0;text-align:left;margin-left:155pt;margin-top:7.45pt;width:22.7pt;height:16.05pt;z-index:251814400;mso-position-horizontal-relative:page" fillcolor="black" stroked="f">
            <w10:wrap anchorx="page"/>
          </v:rect>
        </w:pict>
      </w:r>
      <w:r>
        <w:t>]]</w:t>
      </w:r>
      <w:r>
        <w:rPr>
          <w:spacing w:val="-6"/>
        </w:rPr>
        <w:t xml:space="preserve"> </w:t>
      </w:r>
      <w:r>
        <w:t>name,</w:t>
      </w:r>
      <w:r>
        <w:rPr>
          <w:spacing w:val="-4"/>
        </w:rPr>
        <w:t xml:space="preserve"> </w:t>
      </w:r>
      <w:r>
        <w:t>this</w:t>
      </w:r>
      <w:r>
        <w:rPr>
          <w:spacing w:val="-6"/>
        </w:rPr>
        <w:t xml:space="preserve"> </w:t>
      </w:r>
      <w:r>
        <w:t>company</w:t>
      </w:r>
      <w:r>
        <w:rPr>
          <w:spacing w:val="-4"/>
        </w:rPr>
        <w:t xml:space="preserve"> </w:t>
      </w:r>
      <w:r>
        <w:t>did</w:t>
      </w:r>
      <w:r>
        <w:rPr>
          <w:spacing w:val="-6"/>
        </w:rPr>
        <w:t xml:space="preserve"> </w:t>
      </w:r>
      <w:r>
        <w:t>not</w:t>
      </w:r>
      <w:r>
        <w:rPr>
          <w:spacing w:val="-4"/>
        </w:rPr>
        <w:t xml:space="preserve"> </w:t>
      </w:r>
      <w:r>
        <w:t>fill</w:t>
      </w:r>
      <w:r>
        <w:rPr>
          <w:spacing w:val="-6"/>
        </w:rPr>
        <w:t xml:space="preserve"> </w:t>
      </w:r>
      <w:r>
        <w:t>in</w:t>
      </w:r>
      <w:r>
        <w:rPr>
          <w:spacing w:val="-5"/>
        </w:rPr>
        <w:t xml:space="preserve"> </w:t>
      </w:r>
      <w:r>
        <w:t>a</w:t>
      </w:r>
      <w:r>
        <w:rPr>
          <w:spacing w:val="-5"/>
        </w:rPr>
        <w:t xml:space="preserve"> </w:t>
      </w:r>
      <w:r>
        <w:t>separate</w:t>
      </w:r>
      <w:r>
        <w:rPr>
          <w:spacing w:val="-5"/>
        </w:rPr>
        <w:t xml:space="preserve"> </w:t>
      </w:r>
      <w:r>
        <w:rPr>
          <w:spacing w:val="-2"/>
        </w:rPr>
        <w:t>response;</w:t>
      </w:r>
      <w:r>
        <w:rPr>
          <w:spacing w:val="-2"/>
          <w:vertAlign w:val="superscript"/>
        </w:rPr>
        <w:t>307</w:t>
      </w:r>
    </w:p>
    <w:p w14:paraId="51DE8638" w14:textId="77777777" w:rsidR="0010369C" w:rsidRDefault="0010369C">
      <w:pPr>
        <w:pStyle w:val="BodyText"/>
        <w:spacing w:before="10"/>
        <w:rPr>
          <w:sz w:val="21"/>
        </w:rPr>
      </w:pPr>
    </w:p>
    <w:p w14:paraId="51DE8639" w14:textId="77777777" w:rsidR="0010369C" w:rsidRDefault="008E43AE">
      <w:pPr>
        <w:pStyle w:val="ListParagraph"/>
        <w:numPr>
          <w:ilvl w:val="1"/>
          <w:numId w:val="69"/>
        </w:numPr>
        <w:tabs>
          <w:tab w:val="left" w:pos="1940"/>
          <w:tab w:val="left" w:pos="1941"/>
        </w:tabs>
        <w:spacing w:before="0" w:line="355" w:lineRule="auto"/>
        <w:ind w:left="1940" w:right="613" w:hanging="852"/>
        <w:rPr>
          <w:rFonts w:ascii="Symbol" w:hAnsi="Symbol"/>
          <w:sz w:val="24"/>
        </w:rPr>
      </w:pPr>
      <w:r>
        <w:rPr>
          <w:sz w:val="24"/>
        </w:rPr>
        <w:t>the sales links and expenses of the related company were not reflected or reported in the domestic sales data;</w:t>
      </w:r>
      <w:r>
        <w:rPr>
          <w:sz w:val="24"/>
          <w:vertAlign w:val="superscript"/>
        </w:rPr>
        <w:t>308</w:t>
      </w:r>
      <w:r>
        <w:rPr>
          <w:sz w:val="24"/>
        </w:rPr>
        <w:t xml:space="preserve"> and</w:t>
      </w:r>
    </w:p>
    <w:p w14:paraId="51DE863A" w14:textId="77777777" w:rsidR="0010369C" w:rsidRDefault="008E43AE">
      <w:pPr>
        <w:pStyle w:val="ListParagraph"/>
        <w:numPr>
          <w:ilvl w:val="1"/>
          <w:numId w:val="69"/>
        </w:numPr>
        <w:tabs>
          <w:tab w:val="left" w:pos="1940"/>
          <w:tab w:val="left" w:pos="1941"/>
        </w:tabs>
        <w:spacing w:before="131" w:line="448" w:lineRule="auto"/>
        <w:ind w:left="1089" w:right="615" w:hanging="1"/>
        <w:rPr>
          <w:rFonts w:ascii="Symbol" w:hAnsi="Symbol"/>
          <w:sz w:val="24"/>
        </w:rPr>
      </w:pPr>
      <w:r>
        <w:rPr>
          <w:noProof/>
        </w:rPr>
        <w:drawing>
          <wp:anchor distT="0" distB="0" distL="0" distR="0" simplePos="0" relativeHeight="250649088" behindDoc="0" locked="0" layoutInCell="1" allowOverlap="1" wp14:anchorId="51DEA12F" wp14:editId="51DEA130">
            <wp:simplePos x="0" y="0"/>
            <wp:positionH relativeFrom="page">
              <wp:posOffset>905255</wp:posOffset>
            </wp:positionH>
            <wp:positionV relativeFrom="paragraph">
              <wp:posOffset>495318</wp:posOffset>
            </wp:positionV>
            <wp:extent cx="259079" cy="100753"/>
            <wp:effectExtent l="0" t="0" r="0" b="0"/>
            <wp:wrapNone/>
            <wp:docPr id="581" name="image2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 name="image299.png"/>
                    <pic:cNvPicPr/>
                  </pic:nvPicPr>
                  <pic:blipFill>
                    <a:blip r:embed="rId415" cstate="print"/>
                    <a:stretch>
                      <a:fillRect/>
                    </a:stretch>
                  </pic:blipFill>
                  <pic:spPr>
                    <a:xfrm>
                      <a:off x="0" y="0"/>
                      <a:ext cx="259079" cy="100753"/>
                    </a:xfrm>
                    <a:prstGeom prst="rect">
                      <a:avLst/>
                    </a:prstGeom>
                  </pic:spPr>
                </pic:pic>
              </a:graphicData>
            </a:graphic>
          </wp:anchor>
        </w:drawing>
      </w:r>
      <w:r>
        <w:pict w14:anchorId="51DEA131">
          <v:rect id="docshape635" o:spid="_x0000_s1653" style="position:absolute;left:0;text-align:left;margin-left:200.9pt;margin-top:57.2pt;width:106.9pt;height:16.05pt;z-index:-251358720;mso-position-horizontal-relative:page;mso-position-vertical-relative:text" fillcolor="black" stroked="f">
            <w10:wrap anchorx="page"/>
          </v:rect>
        </w:pict>
      </w:r>
      <w:r>
        <w:rPr>
          <w:sz w:val="24"/>
        </w:rPr>
        <w:t>did not explain the fees generated from sales to this related company.</w:t>
      </w:r>
      <w:r>
        <w:rPr>
          <w:sz w:val="24"/>
          <w:vertAlign w:val="superscript"/>
        </w:rPr>
        <w:t>309</w:t>
      </w:r>
      <w:r>
        <w:rPr>
          <w:sz w:val="24"/>
        </w:rPr>
        <w:t xml:space="preserve"> The</w:t>
      </w:r>
      <w:r>
        <w:rPr>
          <w:spacing w:val="30"/>
          <w:sz w:val="24"/>
        </w:rPr>
        <w:t xml:space="preserve"> </w:t>
      </w:r>
      <w:r>
        <w:rPr>
          <w:sz w:val="24"/>
        </w:rPr>
        <w:t>above</w:t>
      </w:r>
      <w:r>
        <w:rPr>
          <w:spacing w:val="30"/>
          <w:sz w:val="24"/>
        </w:rPr>
        <w:t xml:space="preserve"> </w:t>
      </w:r>
      <w:r>
        <w:rPr>
          <w:sz w:val="24"/>
        </w:rPr>
        <w:t>findings</w:t>
      </w:r>
      <w:r>
        <w:rPr>
          <w:spacing w:val="30"/>
          <w:sz w:val="24"/>
        </w:rPr>
        <w:t xml:space="preserve"> </w:t>
      </w:r>
      <w:r>
        <w:rPr>
          <w:sz w:val="24"/>
        </w:rPr>
        <w:t>suggest</w:t>
      </w:r>
      <w:r>
        <w:rPr>
          <w:spacing w:val="30"/>
          <w:sz w:val="24"/>
        </w:rPr>
        <w:t xml:space="preserve"> </w:t>
      </w:r>
      <w:r>
        <w:rPr>
          <w:sz w:val="24"/>
        </w:rPr>
        <w:t>MOFCOM</w:t>
      </w:r>
      <w:r>
        <w:rPr>
          <w:spacing w:val="30"/>
          <w:sz w:val="24"/>
        </w:rPr>
        <w:t xml:space="preserve"> </w:t>
      </w:r>
      <w:r>
        <w:rPr>
          <w:sz w:val="24"/>
        </w:rPr>
        <w:t>held</w:t>
      </w:r>
      <w:r>
        <w:rPr>
          <w:spacing w:val="30"/>
          <w:sz w:val="24"/>
        </w:rPr>
        <w:t xml:space="preserve"> </w:t>
      </w:r>
      <w:r>
        <w:rPr>
          <w:sz w:val="24"/>
        </w:rPr>
        <w:t>an</w:t>
      </w:r>
      <w:r>
        <w:rPr>
          <w:spacing w:val="31"/>
          <w:sz w:val="24"/>
        </w:rPr>
        <w:t xml:space="preserve"> </w:t>
      </w:r>
      <w:r>
        <w:rPr>
          <w:sz w:val="24"/>
        </w:rPr>
        <w:t>incorrect</w:t>
      </w:r>
      <w:r>
        <w:rPr>
          <w:spacing w:val="30"/>
          <w:sz w:val="24"/>
        </w:rPr>
        <w:t xml:space="preserve"> </w:t>
      </w:r>
      <w:r>
        <w:rPr>
          <w:sz w:val="24"/>
        </w:rPr>
        <w:t>understanding</w:t>
      </w:r>
      <w:r>
        <w:rPr>
          <w:spacing w:val="31"/>
          <w:sz w:val="24"/>
        </w:rPr>
        <w:t xml:space="preserve"> </w:t>
      </w:r>
      <w:r>
        <w:rPr>
          <w:sz w:val="24"/>
        </w:rPr>
        <w:t>of</w:t>
      </w:r>
      <w:r>
        <w:rPr>
          <w:spacing w:val="30"/>
          <w:sz w:val="24"/>
        </w:rPr>
        <w:t xml:space="preserve"> </w:t>
      </w:r>
      <w:r>
        <w:rPr>
          <w:spacing w:val="-2"/>
          <w:sz w:val="24"/>
        </w:rPr>
        <w:t>Casella</w:t>
      </w:r>
    </w:p>
    <w:p w14:paraId="51DE863B" w14:textId="77777777" w:rsidR="0010369C" w:rsidRDefault="008E43AE">
      <w:pPr>
        <w:pStyle w:val="BodyText"/>
        <w:tabs>
          <w:tab w:val="left" w:pos="4995"/>
        </w:tabs>
        <w:spacing w:line="195" w:lineRule="exact"/>
        <w:ind w:left="238"/>
        <w:jc w:val="both"/>
      </w:pPr>
      <w:r>
        <w:t>Wines'</w:t>
      </w:r>
      <w:r>
        <w:rPr>
          <w:spacing w:val="8"/>
        </w:rPr>
        <w:t xml:space="preserve"> </w:t>
      </w:r>
      <w:r>
        <w:t>relationship</w:t>
      </w:r>
      <w:r>
        <w:rPr>
          <w:spacing w:val="9"/>
        </w:rPr>
        <w:t xml:space="preserve"> </w:t>
      </w:r>
      <w:r>
        <w:t>with</w:t>
      </w:r>
      <w:r>
        <w:rPr>
          <w:spacing w:val="9"/>
        </w:rPr>
        <w:t xml:space="preserve"> </w:t>
      </w:r>
      <w:r>
        <w:rPr>
          <w:spacing w:val="-5"/>
        </w:rPr>
        <w:t>[[</w:t>
      </w:r>
      <w:r>
        <w:tab/>
        <w:t>]].</w:t>
      </w:r>
      <w:r>
        <w:rPr>
          <w:spacing w:val="10"/>
        </w:rPr>
        <w:t xml:space="preserve"> </w:t>
      </w:r>
      <w:r>
        <w:t>MOFCOM</w:t>
      </w:r>
      <w:r>
        <w:rPr>
          <w:spacing w:val="10"/>
        </w:rPr>
        <w:t xml:space="preserve"> </w:t>
      </w:r>
      <w:r>
        <w:t>explanation</w:t>
      </w:r>
      <w:r>
        <w:rPr>
          <w:spacing w:val="9"/>
        </w:rPr>
        <w:t xml:space="preserve"> </w:t>
      </w:r>
      <w:r>
        <w:t>of</w:t>
      </w:r>
      <w:r>
        <w:rPr>
          <w:spacing w:val="9"/>
        </w:rPr>
        <w:t xml:space="preserve"> </w:t>
      </w:r>
      <w:r>
        <w:t>its</w:t>
      </w:r>
      <w:r>
        <w:rPr>
          <w:spacing w:val="10"/>
        </w:rPr>
        <w:t xml:space="preserve"> </w:t>
      </w:r>
      <w:r>
        <w:t>approach</w:t>
      </w:r>
      <w:r>
        <w:rPr>
          <w:spacing w:val="11"/>
        </w:rPr>
        <w:t xml:space="preserve"> </w:t>
      </w:r>
      <w:r>
        <w:rPr>
          <w:spacing w:val="-5"/>
        </w:rPr>
        <w:t>to</w:t>
      </w:r>
    </w:p>
    <w:p w14:paraId="51DE863C" w14:textId="77777777" w:rsidR="0010369C" w:rsidRDefault="008E43AE">
      <w:pPr>
        <w:pStyle w:val="BodyText"/>
        <w:tabs>
          <w:tab w:val="left" w:pos="2504"/>
        </w:tabs>
        <w:spacing w:before="146" w:line="360" w:lineRule="auto"/>
        <w:ind w:left="236" w:right="616"/>
        <w:jc w:val="both"/>
      </w:pPr>
      <w:r>
        <w:pict w14:anchorId="51DEA132">
          <v:rect id="docshape636" o:spid="_x0000_s1652" style="position:absolute;left:0;text-align:left;margin-left:77.25pt;margin-top:7.4pt;width:106pt;height:16.05pt;z-index:-251357696;mso-position-horizontal-relative:page" fillcolor="black" stroked="f">
            <w10:wrap anchorx="page"/>
          </v:rect>
        </w:pict>
      </w:r>
      <w:r>
        <w:rPr>
          <w:noProof/>
        </w:rPr>
        <w:drawing>
          <wp:anchor distT="0" distB="0" distL="0" distR="0" simplePos="0" relativeHeight="250951168" behindDoc="1" locked="0" layoutInCell="1" allowOverlap="1" wp14:anchorId="51DEA133" wp14:editId="51DEA134">
            <wp:simplePos x="0" y="0"/>
            <wp:positionH relativeFrom="page">
              <wp:posOffset>905255</wp:posOffset>
            </wp:positionH>
            <wp:positionV relativeFrom="paragraph">
              <wp:posOffset>800177</wp:posOffset>
            </wp:positionV>
            <wp:extent cx="259079" cy="103632"/>
            <wp:effectExtent l="0" t="0" r="0" b="0"/>
            <wp:wrapNone/>
            <wp:docPr id="583" name="image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 name="image300.png"/>
                    <pic:cNvPicPr/>
                  </pic:nvPicPr>
                  <pic:blipFill>
                    <a:blip r:embed="rId416" cstate="print"/>
                    <a:stretch>
                      <a:fillRect/>
                    </a:stretch>
                  </pic:blipFill>
                  <pic:spPr>
                    <a:xfrm>
                      <a:off x="0" y="0"/>
                      <a:ext cx="259079" cy="103632"/>
                    </a:xfrm>
                    <a:prstGeom prst="rect">
                      <a:avLst/>
                    </a:prstGeom>
                  </pic:spPr>
                </pic:pic>
              </a:graphicData>
            </a:graphic>
          </wp:anchor>
        </w:drawing>
      </w:r>
      <w:r>
        <w:rPr>
          <w:spacing w:val="-6"/>
        </w:rPr>
        <w:t>[[</w:t>
      </w:r>
      <w:r>
        <w:tab/>
        <w:t>]] suggests it characterised the relationship as a related intermediary in the sales process.</w:t>
      </w:r>
    </w:p>
    <w:p w14:paraId="51DE863D" w14:textId="77777777" w:rsidR="0010369C" w:rsidRDefault="0010369C">
      <w:pPr>
        <w:pStyle w:val="BodyText"/>
        <w:spacing w:before="4"/>
        <w:rPr>
          <w:sz w:val="13"/>
        </w:rPr>
      </w:pPr>
    </w:p>
    <w:tbl>
      <w:tblPr>
        <w:tblW w:w="0" w:type="auto"/>
        <w:tblInd w:w="225" w:type="dxa"/>
        <w:tblLayout w:type="fixed"/>
        <w:tblCellMar>
          <w:left w:w="0" w:type="dxa"/>
          <w:right w:w="0" w:type="dxa"/>
        </w:tblCellMar>
        <w:tblLook w:val="01E0" w:firstRow="1" w:lastRow="1" w:firstColumn="1" w:lastColumn="1" w:noHBand="0" w:noVBand="0"/>
      </w:tblPr>
      <w:tblGrid>
        <w:gridCol w:w="997"/>
        <w:gridCol w:w="5445"/>
        <w:gridCol w:w="2210"/>
        <w:gridCol w:w="413"/>
      </w:tblGrid>
      <w:tr w:rsidR="0010369C" w14:paraId="51DE8640" w14:textId="77777777">
        <w:trPr>
          <w:trHeight w:val="320"/>
        </w:trPr>
        <w:tc>
          <w:tcPr>
            <w:tcW w:w="997" w:type="dxa"/>
            <w:tcBorders>
              <w:bottom w:val="single" w:sz="48" w:space="0" w:color="FFFFFF"/>
            </w:tcBorders>
          </w:tcPr>
          <w:p w14:paraId="51DE863E" w14:textId="77777777" w:rsidR="0010369C" w:rsidRDefault="008E43AE">
            <w:pPr>
              <w:pStyle w:val="TableParagraph"/>
              <w:spacing w:line="291" w:lineRule="exact"/>
              <w:ind w:right="-29"/>
              <w:jc w:val="right"/>
              <w:rPr>
                <w:sz w:val="24"/>
              </w:rPr>
            </w:pPr>
            <w:r>
              <w:rPr>
                <w:spacing w:val="-5"/>
                <w:sz w:val="24"/>
              </w:rPr>
              <w:t>[[</w:t>
            </w:r>
          </w:p>
        </w:tc>
        <w:tc>
          <w:tcPr>
            <w:tcW w:w="8068" w:type="dxa"/>
            <w:gridSpan w:val="3"/>
            <w:tcBorders>
              <w:bottom w:val="single" w:sz="48" w:space="0" w:color="FFFFFF"/>
            </w:tcBorders>
            <w:shd w:val="clear" w:color="auto" w:fill="000000"/>
          </w:tcPr>
          <w:p w14:paraId="51DE863F" w14:textId="77777777" w:rsidR="0010369C" w:rsidRDefault="0010369C">
            <w:pPr>
              <w:pStyle w:val="TableParagraph"/>
              <w:rPr>
                <w:rFonts w:ascii="Times New Roman"/>
              </w:rPr>
            </w:pPr>
          </w:p>
        </w:tc>
      </w:tr>
      <w:tr w:rsidR="0010369C" w14:paraId="51DE8642" w14:textId="77777777">
        <w:trPr>
          <w:trHeight w:val="319"/>
        </w:trPr>
        <w:tc>
          <w:tcPr>
            <w:tcW w:w="9065" w:type="dxa"/>
            <w:gridSpan w:val="4"/>
            <w:tcBorders>
              <w:top w:val="single" w:sz="48" w:space="0" w:color="FFFFFF"/>
              <w:bottom w:val="single" w:sz="48" w:space="0" w:color="FFFFFF"/>
            </w:tcBorders>
            <w:shd w:val="clear" w:color="auto" w:fill="000000"/>
          </w:tcPr>
          <w:p w14:paraId="51DE8641" w14:textId="77777777" w:rsidR="0010369C" w:rsidRDefault="0010369C">
            <w:pPr>
              <w:pStyle w:val="TableParagraph"/>
              <w:rPr>
                <w:rFonts w:ascii="Times New Roman"/>
              </w:rPr>
            </w:pPr>
          </w:p>
        </w:tc>
      </w:tr>
      <w:tr w:rsidR="0010369C" w14:paraId="51DE8645" w14:textId="77777777">
        <w:trPr>
          <w:trHeight w:val="319"/>
        </w:trPr>
        <w:tc>
          <w:tcPr>
            <w:tcW w:w="6442" w:type="dxa"/>
            <w:gridSpan w:val="2"/>
            <w:tcBorders>
              <w:top w:val="single" w:sz="48" w:space="0" w:color="FFFFFF"/>
              <w:bottom w:val="single" w:sz="48" w:space="0" w:color="FFFFFF"/>
              <w:right w:val="single" w:sz="24" w:space="0" w:color="FFFFFF"/>
            </w:tcBorders>
            <w:shd w:val="clear" w:color="auto" w:fill="000000"/>
          </w:tcPr>
          <w:p w14:paraId="51DE8643" w14:textId="77777777" w:rsidR="0010369C" w:rsidRDefault="0010369C">
            <w:pPr>
              <w:pStyle w:val="TableParagraph"/>
              <w:rPr>
                <w:rFonts w:ascii="Times New Roman"/>
              </w:rPr>
            </w:pPr>
          </w:p>
        </w:tc>
        <w:tc>
          <w:tcPr>
            <w:tcW w:w="2623" w:type="dxa"/>
            <w:gridSpan w:val="2"/>
            <w:tcBorders>
              <w:top w:val="single" w:sz="48" w:space="0" w:color="FFFFFF"/>
              <w:left w:val="single" w:sz="24" w:space="0" w:color="FFFFFF"/>
              <w:bottom w:val="single" w:sz="48" w:space="0" w:color="FFFFFF"/>
            </w:tcBorders>
            <w:shd w:val="clear" w:color="auto" w:fill="000000"/>
          </w:tcPr>
          <w:p w14:paraId="51DE8644" w14:textId="77777777" w:rsidR="0010369C" w:rsidRDefault="0010369C">
            <w:pPr>
              <w:pStyle w:val="TableParagraph"/>
              <w:rPr>
                <w:rFonts w:ascii="Times New Roman"/>
              </w:rPr>
            </w:pPr>
          </w:p>
        </w:tc>
      </w:tr>
      <w:tr w:rsidR="0010369C" w14:paraId="51DE8647" w14:textId="77777777">
        <w:trPr>
          <w:trHeight w:val="319"/>
        </w:trPr>
        <w:tc>
          <w:tcPr>
            <w:tcW w:w="9065" w:type="dxa"/>
            <w:gridSpan w:val="4"/>
            <w:tcBorders>
              <w:top w:val="single" w:sz="48" w:space="0" w:color="FFFFFF"/>
              <w:bottom w:val="single" w:sz="48" w:space="0" w:color="FFFFFF"/>
            </w:tcBorders>
            <w:shd w:val="clear" w:color="auto" w:fill="000000"/>
          </w:tcPr>
          <w:p w14:paraId="51DE8646" w14:textId="77777777" w:rsidR="0010369C" w:rsidRDefault="0010369C">
            <w:pPr>
              <w:pStyle w:val="TableParagraph"/>
              <w:rPr>
                <w:rFonts w:ascii="Times New Roman"/>
              </w:rPr>
            </w:pPr>
          </w:p>
        </w:tc>
      </w:tr>
      <w:tr w:rsidR="0010369C" w14:paraId="51DE8649" w14:textId="77777777">
        <w:trPr>
          <w:trHeight w:val="319"/>
        </w:trPr>
        <w:tc>
          <w:tcPr>
            <w:tcW w:w="9065" w:type="dxa"/>
            <w:gridSpan w:val="4"/>
            <w:tcBorders>
              <w:top w:val="single" w:sz="48" w:space="0" w:color="FFFFFF"/>
              <w:bottom w:val="single" w:sz="48" w:space="0" w:color="FFFFFF"/>
            </w:tcBorders>
            <w:shd w:val="clear" w:color="auto" w:fill="000000"/>
          </w:tcPr>
          <w:p w14:paraId="51DE8648" w14:textId="77777777" w:rsidR="0010369C" w:rsidRDefault="0010369C">
            <w:pPr>
              <w:pStyle w:val="TableParagraph"/>
              <w:rPr>
                <w:rFonts w:ascii="Times New Roman"/>
              </w:rPr>
            </w:pPr>
          </w:p>
        </w:tc>
      </w:tr>
      <w:tr w:rsidR="0010369C" w14:paraId="51DE864B" w14:textId="77777777">
        <w:trPr>
          <w:trHeight w:val="319"/>
        </w:trPr>
        <w:tc>
          <w:tcPr>
            <w:tcW w:w="9065" w:type="dxa"/>
            <w:gridSpan w:val="4"/>
            <w:tcBorders>
              <w:top w:val="single" w:sz="48" w:space="0" w:color="FFFFFF"/>
              <w:bottom w:val="single" w:sz="48" w:space="0" w:color="FFFFFF"/>
            </w:tcBorders>
            <w:shd w:val="clear" w:color="auto" w:fill="000000"/>
          </w:tcPr>
          <w:p w14:paraId="51DE864A" w14:textId="77777777" w:rsidR="0010369C" w:rsidRDefault="0010369C">
            <w:pPr>
              <w:pStyle w:val="TableParagraph"/>
              <w:rPr>
                <w:rFonts w:ascii="Times New Roman"/>
              </w:rPr>
            </w:pPr>
          </w:p>
        </w:tc>
      </w:tr>
      <w:tr w:rsidR="0010369C" w14:paraId="51DE864D" w14:textId="77777777">
        <w:trPr>
          <w:trHeight w:val="319"/>
        </w:trPr>
        <w:tc>
          <w:tcPr>
            <w:tcW w:w="9065" w:type="dxa"/>
            <w:gridSpan w:val="4"/>
            <w:tcBorders>
              <w:top w:val="single" w:sz="48" w:space="0" w:color="FFFFFF"/>
              <w:bottom w:val="single" w:sz="48" w:space="0" w:color="FFFFFF"/>
            </w:tcBorders>
            <w:shd w:val="clear" w:color="auto" w:fill="000000"/>
          </w:tcPr>
          <w:p w14:paraId="51DE864C" w14:textId="77777777" w:rsidR="0010369C" w:rsidRDefault="0010369C">
            <w:pPr>
              <w:pStyle w:val="TableParagraph"/>
              <w:rPr>
                <w:rFonts w:ascii="Times New Roman"/>
              </w:rPr>
            </w:pPr>
          </w:p>
        </w:tc>
      </w:tr>
      <w:tr w:rsidR="0010369C" w14:paraId="51DE8650" w14:textId="77777777">
        <w:trPr>
          <w:trHeight w:val="320"/>
        </w:trPr>
        <w:tc>
          <w:tcPr>
            <w:tcW w:w="8652" w:type="dxa"/>
            <w:gridSpan w:val="3"/>
            <w:tcBorders>
              <w:top w:val="single" w:sz="48" w:space="0" w:color="FFFFFF"/>
              <w:right w:val="single" w:sz="18" w:space="0" w:color="FFFFFF"/>
            </w:tcBorders>
            <w:shd w:val="clear" w:color="auto" w:fill="000000"/>
          </w:tcPr>
          <w:p w14:paraId="51DE864E" w14:textId="77777777" w:rsidR="0010369C" w:rsidRDefault="0010369C">
            <w:pPr>
              <w:pStyle w:val="TableParagraph"/>
              <w:rPr>
                <w:rFonts w:ascii="Times New Roman"/>
              </w:rPr>
            </w:pPr>
          </w:p>
        </w:tc>
        <w:tc>
          <w:tcPr>
            <w:tcW w:w="413" w:type="dxa"/>
            <w:tcBorders>
              <w:top w:val="single" w:sz="48" w:space="0" w:color="FFFFFF"/>
              <w:left w:val="single" w:sz="18" w:space="0" w:color="FFFFFF"/>
            </w:tcBorders>
            <w:shd w:val="clear" w:color="auto" w:fill="000000"/>
          </w:tcPr>
          <w:p w14:paraId="51DE864F" w14:textId="77777777" w:rsidR="0010369C" w:rsidRDefault="0010369C">
            <w:pPr>
              <w:pStyle w:val="TableParagraph"/>
              <w:rPr>
                <w:rFonts w:ascii="Times New Roman"/>
              </w:rPr>
            </w:pPr>
          </w:p>
        </w:tc>
      </w:tr>
    </w:tbl>
    <w:p w14:paraId="51DE8651" w14:textId="77777777" w:rsidR="0010369C" w:rsidRDefault="0010369C">
      <w:pPr>
        <w:pStyle w:val="BodyText"/>
        <w:rPr>
          <w:sz w:val="20"/>
        </w:rPr>
      </w:pPr>
    </w:p>
    <w:p w14:paraId="51DE8652" w14:textId="77777777" w:rsidR="0010369C" w:rsidRDefault="0010369C">
      <w:pPr>
        <w:pStyle w:val="BodyText"/>
        <w:rPr>
          <w:sz w:val="20"/>
        </w:rPr>
      </w:pPr>
    </w:p>
    <w:p w14:paraId="51DE8653" w14:textId="77777777" w:rsidR="0010369C" w:rsidRDefault="008E43AE">
      <w:pPr>
        <w:pStyle w:val="BodyText"/>
        <w:spacing w:before="9"/>
        <w:rPr>
          <w:sz w:val="13"/>
        </w:rPr>
      </w:pPr>
      <w:r>
        <w:pict w14:anchorId="51DEA135">
          <v:rect id="docshape637" o:spid="_x0000_s1651" style="position:absolute;margin-left:70.9pt;margin-top:9.6pt;width:2in;height:.8pt;z-index:-250990080;mso-wrap-distance-left:0;mso-wrap-distance-right:0;mso-position-horizontal-relative:page" fillcolor="black" stroked="f">
            <w10:wrap type="topAndBottom" anchorx="page"/>
          </v:rect>
        </w:pict>
      </w:r>
    </w:p>
    <w:p w14:paraId="51DE8654" w14:textId="77777777" w:rsidR="0010369C" w:rsidRDefault="008E43AE">
      <w:pPr>
        <w:spacing w:before="109"/>
        <w:ind w:left="238"/>
        <w:jc w:val="both"/>
        <w:rPr>
          <w:sz w:val="18"/>
        </w:rPr>
      </w:pPr>
      <w:r>
        <w:rPr>
          <w:sz w:val="18"/>
          <w:vertAlign w:val="superscript"/>
        </w:rPr>
        <w:t>306</w:t>
      </w:r>
      <w:r>
        <w:rPr>
          <w:spacing w:val="-9"/>
          <w:sz w:val="18"/>
        </w:rPr>
        <w:t xml:space="preserve"> </w:t>
      </w:r>
      <w:r>
        <w:rPr>
          <w:sz w:val="18"/>
        </w:rPr>
        <w:t>Anti‐Dumping</w:t>
      </w:r>
      <w:r>
        <w:rPr>
          <w:spacing w:val="-9"/>
          <w:sz w:val="18"/>
        </w:rPr>
        <w:t xml:space="preserve"> </w:t>
      </w:r>
      <w:r>
        <w:rPr>
          <w:sz w:val="18"/>
        </w:rPr>
        <w:t>Final</w:t>
      </w:r>
      <w:r>
        <w:rPr>
          <w:spacing w:val="-9"/>
          <w:sz w:val="18"/>
        </w:rPr>
        <w:t xml:space="preserve"> </w:t>
      </w:r>
      <w:r>
        <w:rPr>
          <w:sz w:val="18"/>
        </w:rPr>
        <w:t>Determination</w:t>
      </w:r>
      <w:r>
        <w:rPr>
          <w:spacing w:val="-8"/>
          <w:sz w:val="18"/>
        </w:rPr>
        <w:t xml:space="preserve"> </w:t>
      </w:r>
      <w:r>
        <w:rPr>
          <w:sz w:val="18"/>
        </w:rPr>
        <w:t>(Exhibit</w:t>
      </w:r>
      <w:r>
        <w:rPr>
          <w:spacing w:val="-9"/>
          <w:sz w:val="18"/>
        </w:rPr>
        <w:t xml:space="preserve"> </w:t>
      </w:r>
      <w:r>
        <w:rPr>
          <w:sz w:val="18"/>
        </w:rPr>
        <w:t>AUS‐2),</w:t>
      </w:r>
      <w:r>
        <w:rPr>
          <w:spacing w:val="-10"/>
          <w:sz w:val="18"/>
        </w:rPr>
        <w:t xml:space="preserve"> </w:t>
      </w:r>
      <w:r>
        <w:rPr>
          <w:sz w:val="18"/>
        </w:rPr>
        <w:t>pp.</w:t>
      </w:r>
      <w:r>
        <w:rPr>
          <w:spacing w:val="-9"/>
          <w:sz w:val="18"/>
        </w:rPr>
        <w:t xml:space="preserve"> </w:t>
      </w:r>
      <w:r>
        <w:rPr>
          <w:spacing w:val="-2"/>
          <w:sz w:val="18"/>
        </w:rPr>
        <w:t>74‐75.</w:t>
      </w:r>
    </w:p>
    <w:p w14:paraId="51DE8655" w14:textId="77777777" w:rsidR="0010369C" w:rsidRDefault="008E43AE">
      <w:pPr>
        <w:ind w:left="238" w:right="5311"/>
        <w:jc w:val="both"/>
        <w:rPr>
          <w:sz w:val="18"/>
        </w:rPr>
      </w:pPr>
      <w:r>
        <w:rPr>
          <w:sz w:val="18"/>
          <w:vertAlign w:val="superscript"/>
        </w:rPr>
        <w:t>307</w:t>
      </w:r>
      <w:r>
        <w:rPr>
          <w:spacing w:val="-5"/>
          <w:sz w:val="18"/>
        </w:rPr>
        <w:t xml:space="preserve"> </w:t>
      </w:r>
      <w:r>
        <w:rPr>
          <w:sz w:val="18"/>
        </w:rPr>
        <w:t>Anti‐Dumping</w:t>
      </w:r>
      <w:r>
        <w:rPr>
          <w:spacing w:val="-5"/>
          <w:sz w:val="18"/>
        </w:rPr>
        <w:t xml:space="preserve"> </w:t>
      </w:r>
      <w:r>
        <w:rPr>
          <w:sz w:val="18"/>
        </w:rPr>
        <w:t>Final</w:t>
      </w:r>
      <w:r>
        <w:rPr>
          <w:spacing w:val="-5"/>
          <w:sz w:val="18"/>
        </w:rPr>
        <w:t xml:space="preserve"> </w:t>
      </w:r>
      <w:r>
        <w:rPr>
          <w:sz w:val="18"/>
        </w:rPr>
        <w:t>Determination</w:t>
      </w:r>
      <w:r>
        <w:rPr>
          <w:spacing w:val="-4"/>
          <w:sz w:val="18"/>
        </w:rPr>
        <w:t xml:space="preserve"> </w:t>
      </w:r>
      <w:r>
        <w:rPr>
          <w:sz w:val="18"/>
        </w:rPr>
        <w:t>(Exhibit</w:t>
      </w:r>
      <w:r>
        <w:rPr>
          <w:spacing w:val="-5"/>
          <w:sz w:val="18"/>
        </w:rPr>
        <w:t xml:space="preserve"> </w:t>
      </w:r>
      <w:r>
        <w:rPr>
          <w:sz w:val="18"/>
        </w:rPr>
        <w:t>AUS‐2),</w:t>
      </w:r>
      <w:r>
        <w:rPr>
          <w:spacing w:val="-6"/>
          <w:sz w:val="18"/>
        </w:rPr>
        <w:t xml:space="preserve"> </w:t>
      </w:r>
      <w:r>
        <w:rPr>
          <w:sz w:val="18"/>
        </w:rPr>
        <w:t>p.</w:t>
      </w:r>
      <w:r>
        <w:rPr>
          <w:spacing w:val="-5"/>
          <w:sz w:val="18"/>
        </w:rPr>
        <w:t xml:space="preserve"> </w:t>
      </w:r>
      <w:r>
        <w:rPr>
          <w:sz w:val="18"/>
        </w:rPr>
        <w:t xml:space="preserve">75. </w:t>
      </w:r>
      <w:r>
        <w:rPr>
          <w:sz w:val="18"/>
          <w:vertAlign w:val="superscript"/>
        </w:rPr>
        <w:t>308</w:t>
      </w:r>
      <w:r>
        <w:rPr>
          <w:spacing w:val="-5"/>
          <w:sz w:val="18"/>
        </w:rPr>
        <w:t xml:space="preserve"> </w:t>
      </w:r>
      <w:r>
        <w:rPr>
          <w:sz w:val="18"/>
        </w:rPr>
        <w:t>Anti‐Dumping</w:t>
      </w:r>
      <w:r>
        <w:rPr>
          <w:spacing w:val="-5"/>
          <w:sz w:val="18"/>
        </w:rPr>
        <w:t xml:space="preserve"> </w:t>
      </w:r>
      <w:r>
        <w:rPr>
          <w:sz w:val="18"/>
        </w:rPr>
        <w:t>Final</w:t>
      </w:r>
      <w:r>
        <w:rPr>
          <w:spacing w:val="-5"/>
          <w:sz w:val="18"/>
        </w:rPr>
        <w:t xml:space="preserve"> </w:t>
      </w:r>
      <w:r>
        <w:rPr>
          <w:sz w:val="18"/>
        </w:rPr>
        <w:t>Determination</w:t>
      </w:r>
      <w:r>
        <w:rPr>
          <w:spacing w:val="-4"/>
          <w:sz w:val="18"/>
        </w:rPr>
        <w:t xml:space="preserve"> </w:t>
      </w:r>
      <w:r>
        <w:rPr>
          <w:sz w:val="18"/>
        </w:rPr>
        <w:t>(Exhibit</w:t>
      </w:r>
      <w:r>
        <w:rPr>
          <w:spacing w:val="-5"/>
          <w:sz w:val="18"/>
        </w:rPr>
        <w:t xml:space="preserve"> </w:t>
      </w:r>
      <w:r>
        <w:rPr>
          <w:sz w:val="18"/>
        </w:rPr>
        <w:t>AUS‐2),</w:t>
      </w:r>
      <w:r>
        <w:rPr>
          <w:spacing w:val="-6"/>
          <w:sz w:val="18"/>
        </w:rPr>
        <w:t xml:space="preserve"> </w:t>
      </w:r>
      <w:r>
        <w:rPr>
          <w:sz w:val="18"/>
        </w:rPr>
        <w:t>p.</w:t>
      </w:r>
      <w:r>
        <w:rPr>
          <w:spacing w:val="-5"/>
          <w:sz w:val="18"/>
        </w:rPr>
        <w:t xml:space="preserve"> </w:t>
      </w:r>
      <w:r>
        <w:rPr>
          <w:sz w:val="18"/>
        </w:rPr>
        <w:t xml:space="preserve">75. </w:t>
      </w:r>
      <w:r>
        <w:rPr>
          <w:sz w:val="18"/>
          <w:vertAlign w:val="superscript"/>
        </w:rPr>
        <w:t>309</w:t>
      </w:r>
      <w:r>
        <w:rPr>
          <w:spacing w:val="-9"/>
          <w:sz w:val="18"/>
        </w:rPr>
        <w:t xml:space="preserve"> </w:t>
      </w:r>
      <w:r>
        <w:rPr>
          <w:sz w:val="18"/>
        </w:rPr>
        <w:t>Anti‐Dumping</w:t>
      </w:r>
      <w:r>
        <w:rPr>
          <w:spacing w:val="-9"/>
          <w:sz w:val="18"/>
        </w:rPr>
        <w:t xml:space="preserve"> </w:t>
      </w:r>
      <w:r>
        <w:rPr>
          <w:sz w:val="18"/>
        </w:rPr>
        <w:t>Final</w:t>
      </w:r>
      <w:r>
        <w:rPr>
          <w:spacing w:val="-9"/>
          <w:sz w:val="18"/>
        </w:rPr>
        <w:t xml:space="preserve"> </w:t>
      </w:r>
      <w:r>
        <w:rPr>
          <w:sz w:val="18"/>
        </w:rPr>
        <w:t>Determination</w:t>
      </w:r>
      <w:r>
        <w:rPr>
          <w:spacing w:val="-8"/>
          <w:sz w:val="18"/>
        </w:rPr>
        <w:t xml:space="preserve"> </w:t>
      </w:r>
      <w:r>
        <w:rPr>
          <w:sz w:val="18"/>
        </w:rPr>
        <w:t>(Exhibit</w:t>
      </w:r>
      <w:r>
        <w:rPr>
          <w:spacing w:val="-9"/>
          <w:sz w:val="18"/>
        </w:rPr>
        <w:t xml:space="preserve"> </w:t>
      </w:r>
      <w:r>
        <w:rPr>
          <w:sz w:val="18"/>
        </w:rPr>
        <w:t>AUS‐2),</w:t>
      </w:r>
      <w:r>
        <w:rPr>
          <w:spacing w:val="-9"/>
          <w:sz w:val="18"/>
        </w:rPr>
        <w:t xml:space="preserve"> </w:t>
      </w:r>
      <w:r>
        <w:rPr>
          <w:sz w:val="18"/>
        </w:rPr>
        <w:t>p.</w:t>
      </w:r>
      <w:r>
        <w:rPr>
          <w:spacing w:val="-9"/>
          <w:sz w:val="18"/>
        </w:rPr>
        <w:t xml:space="preserve"> </w:t>
      </w:r>
      <w:r>
        <w:rPr>
          <w:spacing w:val="-5"/>
          <w:sz w:val="18"/>
        </w:rPr>
        <w:t>76.</w:t>
      </w:r>
    </w:p>
    <w:p w14:paraId="51DE8656" w14:textId="77777777" w:rsidR="0010369C" w:rsidRDefault="008E43AE">
      <w:pPr>
        <w:tabs>
          <w:tab w:val="left" w:pos="6100"/>
        </w:tabs>
        <w:spacing w:before="1"/>
        <w:ind w:left="238"/>
        <w:jc w:val="both"/>
        <w:rPr>
          <w:sz w:val="18"/>
        </w:rPr>
      </w:pPr>
      <w:r>
        <w:pict w14:anchorId="51DEA136">
          <v:shape id="docshape638" o:spid="_x0000_s1650" style="position:absolute;left:0;text-align:left;margin-left:86.65pt;margin-top:.4pt;width:274.3pt;height:23.05pt;z-index:-251356672;mso-position-horizontal-relative:page" coordorigin="1733,8" coordsize="5486,461" path="m7219,8l1733,8r,241l1733,468r5486,l7219,249r,-22l7219,8xe" fillcolor="black" stroked="f">
            <v:path arrowok="t"/>
            <w10:wrap anchorx="page"/>
          </v:shape>
        </w:pict>
      </w:r>
      <w:r>
        <w:pict w14:anchorId="51DEA137">
          <v:shape id="docshape639" o:spid="_x0000_s1649" style="position:absolute;left:0;text-align:left;margin-left:446.15pt;margin-top:.4pt;width:18.2pt;height:23.05pt;z-index:-251355648;mso-position-horizontal-relative:page" coordorigin="8923,8" coordsize="364,461" path="m9286,8r-363,l8923,227r,22l8923,468r363,l9286,249r,-22l9286,8xe" fillcolor="black" stroked="f">
            <v:path arrowok="t"/>
            <w10:wrap anchorx="page"/>
          </v:shape>
        </w:pict>
      </w:r>
      <w:r>
        <w:rPr>
          <w:sz w:val="18"/>
          <w:vertAlign w:val="superscript"/>
        </w:rPr>
        <w:t>310</w:t>
      </w:r>
      <w:r>
        <w:rPr>
          <w:spacing w:val="-2"/>
          <w:sz w:val="18"/>
        </w:rPr>
        <w:t xml:space="preserve"> </w:t>
      </w:r>
      <w:r>
        <w:rPr>
          <w:spacing w:val="-10"/>
          <w:sz w:val="18"/>
        </w:rPr>
        <w:t>[</w:t>
      </w:r>
      <w:r>
        <w:rPr>
          <w:sz w:val="18"/>
        </w:rPr>
        <w:tab/>
      </w:r>
      <w:r>
        <w:rPr>
          <w:color w:val="5E5E5E"/>
          <w:sz w:val="18"/>
        </w:rPr>
        <w:t>(Exhibit</w:t>
      </w:r>
      <w:r>
        <w:rPr>
          <w:color w:val="5E5E5E"/>
          <w:spacing w:val="-2"/>
          <w:sz w:val="18"/>
        </w:rPr>
        <w:t xml:space="preserve"> </w:t>
      </w:r>
      <w:r>
        <w:rPr>
          <w:color w:val="5E5E5E"/>
          <w:sz w:val="18"/>
        </w:rPr>
        <w:t>AUS‐27</w:t>
      </w:r>
      <w:r>
        <w:rPr>
          <w:color w:val="5E5E5E"/>
          <w:spacing w:val="-2"/>
          <w:sz w:val="18"/>
        </w:rPr>
        <w:t xml:space="preserve"> </w:t>
      </w:r>
      <w:r>
        <w:rPr>
          <w:color w:val="5E5E5E"/>
          <w:sz w:val="18"/>
        </w:rPr>
        <w:t>(BCI)),</w:t>
      </w:r>
      <w:r>
        <w:rPr>
          <w:color w:val="5E5E5E"/>
          <w:spacing w:val="67"/>
          <w:w w:val="150"/>
          <w:sz w:val="18"/>
        </w:rPr>
        <w:t xml:space="preserve">   </w:t>
      </w:r>
      <w:r>
        <w:rPr>
          <w:color w:val="5E5E5E"/>
          <w:spacing w:val="-5"/>
          <w:sz w:val="18"/>
        </w:rPr>
        <w:t>.]]</w:t>
      </w:r>
    </w:p>
    <w:p w14:paraId="51DE8657" w14:textId="77777777" w:rsidR="0010369C" w:rsidRDefault="008E43AE">
      <w:pPr>
        <w:tabs>
          <w:tab w:val="left" w:pos="6100"/>
        </w:tabs>
        <w:ind w:left="238"/>
        <w:jc w:val="both"/>
        <w:rPr>
          <w:sz w:val="18"/>
        </w:rPr>
      </w:pPr>
      <w:r>
        <w:rPr>
          <w:color w:val="5E5E5E"/>
          <w:sz w:val="18"/>
          <w:vertAlign w:val="superscript"/>
        </w:rPr>
        <w:t>311</w:t>
      </w:r>
      <w:r>
        <w:rPr>
          <w:color w:val="5E5E5E"/>
          <w:spacing w:val="-2"/>
          <w:sz w:val="18"/>
        </w:rPr>
        <w:t xml:space="preserve"> </w:t>
      </w:r>
      <w:r>
        <w:rPr>
          <w:color w:val="5E5E5E"/>
          <w:spacing w:val="-10"/>
          <w:sz w:val="18"/>
        </w:rPr>
        <w:t>[</w:t>
      </w:r>
      <w:r>
        <w:rPr>
          <w:color w:val="5E5E5E"/>
          <w:sz w:val="18"/>
        </w:rPr>
        <w:tab/>
        <w:t>(Exhibit</w:t>
      </w:r>
      <w:r>
        <w:rPr>
          <w:color w:val="5E5E5E"/>
          <w:spacing w:val="-2"/>
          <w:sz w:val="18"/>
        </w:rPr>
        <w:t xml:space="preserve"> </w:t>
      </w:r>
      <w:r>
        <w:rPr>
          <w:color w:val="5E5E5E"/>
          <w:sz w:val="18"/>
        </w:rPr>
        <w:t>AUS‐27</w:t>
      </w:r>
      <w:r>
        <w:rPr>
          <w:color w:val="5E5E5E"/>
          <w:spacing w:val="-2"/>
          <w:sz w:val="18"/>
        </w:rPr>
        <w:t xml:space="preserve"> </w:t>
      </w:r>
      <w:r>
        <w:rPr>
          <w:color w:val="5E5E5E"/>
          <w:sz w:val="18"/>
        </w:rPr>
        <w:t>(BCI)),</w:t>
      </w:r>
      <w:r>
        <w:rPr>
          <w:color w:val="5E5E5E"/>
          <w:spacing w:val="67"/>
          <w:w w:val="150"/>
          <w:sz w:val="18"/>
        </w:rPr>
        <w:t xml:space="preserve">   </w:t>
      </w:r>
      <w:r>
        <w:rPr>
          <w:color w:val="5E5E5E"/>
          <w:spacing w:val="-5"/>
          <w:sz w:val="18"/>
        </w:rPr>
        <w:t>.]]</w:t>
      </w:r>
    </w:p>
    <w:p w14:paraId="51DE8658" w14:textId="77777777" w:rsidR="0010369C" w:rsidRDefault="0010369C">
      <w:pPr>
        <w:jc w:val="both"/>
        <w:rPr>
          <w:sz w:val="18"/>
        </w:rPr>
        <w:sectPr w:rsidR="0010369C">
          <w:pgSz w:w="11910" w:h="16840"/>
          <w:pgMar w:top="880" w:right="800" w:bottom="980" w:left="1180" w:header="569" w:footer="788" w:gutter="0"/>
          <w:cols w:space="720"/>
        </w:sectPr>
      </w:pPr>
    </w:p>
    <w:p w14:paraId="51DE8659" w14:textId="77777777" w:rsidR="0010369C" w:rsidRDefault="008E43AE">
      <w:pPr>
        <w:tabs>
          <w:tab w:val="left" w:pos="6425"/>
        </w:tabs>
        <w:ind w:left="238"/>
        <w:rPr>
          <w:sz w:val="20"/>
        </w:rPr>
      </w:pPr>
      <w:r>
        <w:rPr>
          <w:i/>
          <w:sz w:val="20"/>
        </w:rPr>
        <w:lastRenderedPageBreak/>
        <w:t>China</w:t>
      </w:r>
      <w:r>
        <w:rPr>
          <w:i/>
          <w:spacing w:val="-5"/>
          <w:sz w:val="20"/>
        </w:rPr>
        <w:t xml:space="preserve"> </w:t>
      </w:r>
      <w:r>
        <w:rPr>
          <w:i/>
          <w:sz w:val="20"/>
        </w:rPr>
        <w:t>–</w:t>
      </w:r>
      <w:r>
        <w:rPr>
          <w:i/>
          <w:spacing w:val="-5"/>
          <w:sz w:val="20"/>
        </w:rPr>
        <w:t xml:space="preserve"> </w:t>
      </w:r>
      <w:r>
        <w:rPr>
          <w:i/>
          <w:sz w:val="20"/>
        </w:rPr>
        <w:t>Anti‐Dumping</w:t>
      </w:r>
      <w:r>
        <w:rPr>
          <w:i/>
          <w:spacing w:val="-4"/>
          <w:sz w:val="20"/>
        </w:rPr>
        <w:t xml:space="preserve"> </w:t>
      </w:r>
      <w:r>
        <w:rPr>
          <w:i/>
          <w:sz w:val="20"/>
        </w:rPr>
        <w:t>and</w:t>
      </w:r>
      <w:r>
        <w:rPr>
          <w:i/>
          <w:spacing w:val="-5"/>
          <w:sz w:val="20"/>
        </w:rPr>
        <w:t xml:space="preserve"> </w:t>
      </w:r>
      <w:r>
        <w:rPr>
          <w:i/>
          <w:sz w:val="20"/>
        </w:rPr>
        <w:t>Countervailing</w:t>
      </w:r>
      <w:r>
        <w:rPr>
          <w:i/>
          <w:spacing w:val="-5"/>
          <w:sz w:val="20"/>
        </w:rPr>
        <w:t xml:space="preserve"> </w:t>
      </w:r>
      <w:r>
        <w:rPr>
          <w:i/>
          <w:sz w:val="20"/>
        </w:rPr>
        <w:t>Duty</w:t>
      </w:r>
      <w:r>
        <w:rPr>
          <w:i/>
          <w:spacing w:val="-4"/>
          <w:sz w:val="20"/>
        </w:rPr>
        <w:t xml:space="preserve"> </w:t>
      </w:r>
      <w:r>
        <w:rPr>
          <w:i/>
          <w:spacing w:val="-2"/>
          <w:sz w:val="20"/>
        </w:rPr>
        <w:t>Measures</w:t>
      </w:r>
      <w:r>
        <w:rPr>
          <w:i/>
          <w:sz w:val="20"/>
        </w:rPr>
        <w:tab/>
      </w:r>
      <w:r>
        <w:rPr>
          <w:sz w:val="20"/>
        </w:rPr>
        <w:t>Australia's</w:t>
      </w:r>
      <w:r>
        <w:rPr>
          <w:spacing w:val="-7"/>
          <w:sz w:val="20"/>
        </w:rPr>
        <w:t xml:space="preserve"> </w:t>
      </w:r>
      <w:r>
        <w:rPr>
          <w:sz w:val="20"/>
        </w:rPr>
        <w:t>First</w:t>
      </w:r>
      <w:r>
        <w:rPr>
          <w:spacing w:val="-2"/>
          <w:sz w:val="20"/>
        </w:rPr>
        <w:t xml:space="preserve"> </w:t>
      </w:r>
      <w:r>
        <w:rPr>
          <w:sz w:val="20"/>
        </w:rPr>
        <w:t>Written</w:t>
      </w:r>
      <w:r>
        <w:rPr>
          <w:spacing w:val="-2"/>
          <w:sz w:val="20"/>
        </w:rPr>
        <w:t xml:space="preserve"> Submission</w:t>
      </w:r>
    </w:p>
    <w:p w14:paraId="51DE865A" w14:textId="77777777" w:rsidR="0010369C" w:rsidRDefault="008E43AE">
      <w:pPr>
        <w:tabs>
          <w:tab w:val="left" w:pos="8227"/>
        </w:tabs>
        <w:spacing w:before="1"/>
        <w:ind w:left="239"/>
        <w:rPr>
          <w:sz w:val="20"/>
        </w:rPr>
      </w:pPr>
      <w:r>
        <w:pict w14:anchorId="51DEA138">
          <v:rect id="docshape640" o:spid="_x0000_s1648" style="position:absolute;left:0;text-align:left;margin-left:69.9pt;margin-top:14.4pt;width:453.55pt;height:15.6pt;z-index:-250989056;mso-wrap-distance-left:0;mso-wrap-distance-right:0;mso-position-horizontal-relative:page" fillcolor="black" stroked="f">
            <w10:wrap type="topAndBottom" anchorx="page"/>
          </v:rect>
        </w:pict>
      </w:r>
      <w:r>
        <w:pict w14:anchorId="51DEA139">
          <v:rect id="docshape641" o:spid="_x0000_s1647" style="position:absolute;left:0;text-align:left;margin-left:69.9pt;margin-top:36.4pt;width:453.45pt;height:15.6pt;z-index:-250988032;mso-wrap-distance-left:0;mso-wrap-distance-right:0;mso-position-horizontal-relative:page" fillcolor="black" stroked="f">
            <w10:wrap type="topAndBottom" anchorx="page"/>
          </v:rect>
        </w:pict>
      </w:r>
      <w:r>
        <w:pict w14:anchorId="51DEA13A">
          <v:rect id="docshape642" o:spid="_x0000_s1646" style="position:absolute;left:0;text-align:left;margin-left:69.9pt;margin-top:58.4pt;width:375.75pt;height:15.6pt;z-index:251818496;mso-position-horizontal-relative:page" fillcolor="black" stroked="f">
            <w10:wrap anchorx="page"/>
          </v:rect>
        </w:pict>
      </w:r>
      <w:r>
        <w:rPr>
          <w:i/>
          <w:sz w:val="20"/>
        </w:rPr>
        <w:t>on</w:t>
      </w:r>
      <w:r>
        <w:rPr>
          <w:i/>
          <w:spacing w:val="-1"/>
          <w:sz w:val="20"/>
        </w:rPr>
        <w:t xml:space="preserve"> </w:t>
      </w:r>
      <w:r>
        <w:rPr>
          <w:i/>
          <w:sz w:val="20"/>
        </w:rPr>
        <w:t>Wine</w:t>
      </w:r>
      <w:r>
        <w:rPr>
          <w:i/>
          <w:spacing w:val="-1"/>
          <w:sz w:val="20"/>
        </w:rPr>
        <w:t xml:space="preserve"> </w:t>
      </w:r>
      <w:r>
        <w:rPr>
          <w:i/>
          <w:sz w:val="20"/>
        </w:rPr>
        <w:t>from</w:t>
      </w:r>
      <w:r>
        <w:rPr>
          <w:i/>
          <w:spacing w:val="-3"/>
          <w:sz w:val="20"/>
        </w:rPr>
        <w:t xml:space="preserve"> </w:t>
      </w:r>
      <w:r>
        <w:rPr>
          <w:i/>
          <w:sz w:val="20"/>
        </w:rPr>
        <w:t>Australia</w:t>
      </w:r>
      <w:r>
        <w:rPr>
          <w:i/>
          <w:spacing w:val="-1"/>
          <w:sz w:val="20"/>
        </w:rPr>
        <w:t xml:space="preserve"> </w:t>
      </w:r>
      <w:r>
        <w:rPr>
          <w:spacing w:val="-2"/>
          <w:sz w:val="20"/>
        </w:rPr>
        <w:t>(DS602)</w:t>
      </w:r>
      <w:r>
        <w:rPr>
          <w:sz w:val="20"/>
        </w:rPr>
        <w:tab/>
        <w:t>29</w:t>
      </w:r>
      <w:r>
        <w:rPr>
          <w:spacing w:val="-1"/>
          <w:sz w:val="20"/>
        </w:rPr>
        <w:t xml:space="preserve"> </w:t>
      </w:r>
      <w:r>
        <w:rPr>
          <w:sz w:val="20"/>
        </w:rPr>
        <w:t>April</w:t>
      </w:r>
      <w:r>
        <w:rPr>
          <w:spacing w:val="-2"/>
          <w:sz w:val="20"/>
        </w:rPr>
        <w:t xml:space="preserve"> </w:t>
      </w:r>
      <w:r>
        <w:rPr>
          <w:spacing w:val="-4"/>
          <w:sz w:val="20"/>
        </w:rPr>
        <w:t>2022</w:t>
      </w:r>
    </w:p>
    <w:p w14:paraId="51DE865B" w14:textId="77777777" w:rsidR="0010369C" w:rsidRDefault="0010369C">
      <w:pPr>
        <w:pStyle w:val="BodyText"/>
        <w:spacing w:before="6"/>
        <w:rPr>
          <w:sz w:val="8"/>
        </w:rPr>
      </w:pPr>
    </w:p>
    <w:p w14:paraId="51DE865C" w14:textId="77777777" w:rsidR="0010369C" w:rsidRDefault="008E43AE">
      <w:pPr>
        <w:spacing w:before="119"/>
        <w:ind w:right="2023"/>
        <w:jc w:val="right"/>
        <w:rPr>
          <w:sz w:val="24"/>
        </w:rPr>
      </w:pPr>
      <w:r>
        <w:rPr>
          <w:spacing w:val="-5"/>
          <w:sz w:val="24"/>
        </w:rPr>
        <w:t>]]</w:t>
      </w:r>
    </w:p>
    <w:p w14:paraId="51DE865D" w14:textId="77777777" w:rsidR="0010369C" w:rsidRDefault="0010369C">
      <w:pPr>
        <w:pStyle w:val="BodyText"/>
        <w:spacing w:before="1"/>
        <w:rPr>
          <w:sz w:val="20"/>
        </w:rPr>
      </w:pPr>
    </w:p>
    <w:p w14:paraId="51DE865E" w14:textId="77777777" w:rsidR="0010369C" w:rsidRDefault="008E43AE">
      <w:pPr>
        <w:pStyle w:val="BodyText"/>
        <w:spacing w:before="51"/>
        <w:ind w:right="130"/>
        <w:jc w:val="center"/>
      </w:pPr>
      <w:r>
        <w:rPr>
          <w:noProof/>
        </w:rPr>
        <w:drawing>
          <wp:anchor distT="0" distB="0" distL="0" distR="0" simplePos="0" relativeHeight="250650112" behindDoc="0" locked="0" layoutInCell="1" allowOverlap="1" wp14:anchorId="51DEA13B" wp14:editId="51DEA13C">
            <wp:simplePos x="0" y="0"/>
            <wp:positionH relativeFrom="page">
              <wp:posOffset>905255</wp:posOffset>
            </wp:positionH>
            <wp:positionV relativeFrom="paragraph">
              <wp:posOffset>85988</wp:posOffset>
            </wp:positionV>
            <wp:extent cx="259079" cy="103631"/>
            <wp:effectExtent l="0" t="0" r="0" b="0"/>
            <wp:wrapNone/>
            <wp:docPr id="585" name="image3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 name="image301.png"/>
                    <pic:cNvPicPr/>
                  </pic:nvPicPr>
                  <pic:blipFill>
                    <a:blip r:embed="rId417" cstate="print"/>
                    <a:stretch>
                      <a:fillRect/>
                    </a:stretch>
                  </pic:blipFill>
                  <pic:spPr>
                    <a:xfrm>
                      <a:off x="0" y="0"/>
                      <a:ext cx="259079" cy="103631"/>
                    </a:xfrm>
                    <a:prstGeom prst="rect">
                      <a:avLst/>
                    </a:prstGeom>
                  </pic:spPr>
                </pic:pic>
              </a:graphicData>
            </a:graphic>
          </wp:anchor>
        </w:drawing>
      </w:r>
      <w:r>
        <w:pict w14:anchorId="51DEA13D">
          <v:rect id="docshape643" o:spid="_x0000_s1645" style="position:absolute;left:0;text-align:left;margin-left:490.8pt;margin-top:3pt;width:9.35pt;height:15.6pt;z-index:251815424;mso-position-horizontal-relative:page;mso-position-vertical-relative:text" fillcolor="black" stroked="f">
            <w10:wrap anchorx="page"/>
          </v:rect>
        </w:pict>
      </w:r>
      <w:r>
        <w:pict w14:anchorId="51DEA13E">
          <v:rect id="docshape644" o:spid="_x0000_s1644" style="position:absolute;left:0;text-align:left;margin-left:69.9pt;margin-top:134.85pt;width:66.85pt;height:15.6pt;z-index:251816448;mso-position-horizontal-relative:page;mso-position-vertical-relative:text" fillcolor="black" stroked="f">
            <w10:wrap anchorx="page"/>
          </v:rect>
        </w:pict>
      </w:r>
      <w:r>
        <w:t>Casella</w:t>
      </w:r>
      <w:r>
        <w:rPr>
          <w:spacing w:val="-7"/>
        </w:rPr>
        <w:t xml:space="preserve"> </w:t>
      </w:r>
      <w:r>
        <w:t>Wines'</w:t>
      </w:r>
      <w:r>
        <w:rPr>
          <w:spacing w:val="-7"/>
        </w:rPr>
        <w:t xml:space="preserve"> </w:t>
      </w:r>
      <w:r>
        <w:t>explanation</w:t>
      </w:r>
      <w:r>
        <w:rPr>
          <w:spacing w:val="-8"/>
        </w:rPr>
        <w:t xml:space="preserve"> </w:t>
      </w:r>
      <w:r>
        <w:t>is</w:t>
      </w:r>
      <w:r>
        <w:rPr>
          <w:spacing w:val="-6"/>
        </w:rPr>
        <w:t xml:space="preserve"> </w:t>
      </w:r>
      <w:r>
        <w:t>consistent</w:t>
      </w:r>
      <w:r>
        <w:rPr>
          <w:spacing w:val="-7"/>
        </w:rPr>
        <w:t xml:space="preserve"> </w:t>
      </w:r>
      <w:r>
        <w:t>with</w:t>
      </w:r>
      <w:r>
        <w:rPr>
          <w:spacing w:val="-7"/>
        </w:rPr>
        <w:t xml:space="preserve"> </w:t>
      </w:r>
      <w:r>
        <w:t>other</w:t>
      </w:r>
      <w:r>
        <w:rPr>
          <w:spacing w:val="-7"/>
        </w:rPr>
        <w:t xml:space="preserve"> </w:t>
      </w:r>
      <w:r>
        <w:t>evidence</w:t>
      </w:r>
      <w:r>
        <w:rPr>
          <w:spacing w:val="-7"/>
        </w:rPr>
        <w:t xml:space="preserve"> </w:t>
      </w:r>
      <w:r>
        <w:t>on</w:t>
      </w:r>
      <w:r>
        <w:rPr>
          <w:spacing w:val="-6"/>
        </w:rPr>
        <w:t xml:space="preserve"> </w:t>
      </w:r>
      <w:r>
        <w:t>the</w:t>
      </w:r>
      <w:r>
        <w:rPr>
          <w:spacing w:val="-7"/>
        </w:rPr>
        <w:t xml:space="preserve"> </w:t>
      </w:r>
      <w:r>
        <w:t>record.</w:t>
      </w:r>
      <w:r>
        <w:rPr>
          <w:spacing w:val="-7"/>
        </w:rPr>
        <w:t xml:space="preserve"> </w:t>
      </w:r>
      <w:r>
        <w:rPr>
          <w:spacing w:val="-5"/>
        </w:rPr>
        <w:t>[[</w:t>
      </w:r>
    </w:p>
    <w:p w14:paraId="51DE865F" w14:textId="77777777" w:rsidR="0010369C" w:rsidRDefault="008E43AE">
      <w:pPr>
        <w:pStyle w:val="BodyText"/>
        <w:spacing w:before="9"/>
        <w:rPr>
          <w:sz w:val="10"/>
        </w:rPr>
      </w:pPr>
      <w:r>
        <w:pict w14:anchorId="51DEA13F">
          <v:shape id="docshape645" o:spid="_x0000_s1643" style="position:absolute;margin-left:69.9pt;margin-top:7.8pt;width:453.6pt;height:33.6pt;z-index:-250987008;mso-wrap-distance-left:0;mso-wrap-distance-right:0;mso-position-horizontal-relative:page" coordorigin="1398,156" coordsize="9072,672" o:spt="100" adj="0,,0" path="m10233,156r-8835,l1398,468r8835,l10233,156xm10470,515r-9071,l1399,827r9071,l10470,515xe" fillcolor="black" stroked="f">
            <v:stroke joinstyle="round"/>
            <v:formulas/>
            <v:path arrowok="t" o:connecttype="segments"/>
            <w10:wrap type="topAndBottom" anchorx="page"/>
          </v:shape>
        </w:pict>
      </w:r>
      <w:r>
        <w:pict w14:anchorId="51DEA140">
          <v:rect id="docshape646" o:spid="_x0000_s1642" style="position:absolute;margin-left:69.9pt;margin-top:51.75pt;width:453.55pt;height:15.6pt;z-index:-250985984;mso-wrap-distance-left:0;mso-wrap-distance-right:0;mso-position-horizontal-relative:page" fillcolor="black" stroked="f">
            <w10:wrap type="topAndBottom" anchorx="page"/>
          </v:rect>
        </w:pict>
      </w:r>
      <w:r>
        <w:pict w14:anchorId="51DEA141">
          <v:rect id="docshape647" o:spid="_x0000_s1641" style="position:absolute;margin-left:69.9pt;margin-top:73.7pt;width:453.55pt;height:15.6pt;z-index:-250984960;mso-wrap-distance-left:0;mso-wrap-distance-right:0;mso-position-horizontal-relative:page" fillcolor="black" stroked="f">
            <w10:wrap type="topAndBottom" anchorx="page"/>
          </v:rect>
        </w:pict>
      </w:r>
      <w:r>
        <w:pict w14:anchorId="51DEA142">
          <v:rect id="docshape648" o:spid="_x0000_s1640" style="position:absolute;margin-left:69.9pt;margin-top:95.7pt;width:440.7pt;height:15.6pt;z-index:-250983936;mso-wrap-distance-left:0;mso-wrap-distance-right:0;mso-position-horizontal-relative:page" fillcolor="black" stroked="f">
            <w10:wrap type="topAndBottom" anchorx="page"/>
          </v:rect>
        </w:pict>
      </w:r>
    </w:p>
    <w:p w14:paraId="51DE8660" w14:textId="77777777" w:rsidR="0010369C" w:rsidRDefault="0010369C">
      <w:pPr>
        <w:pStyle w:val="BodyText"/>
        <w:rPr>
          <w:sz w:val="15"/>
        </w:rPr>
      </w:pPr>
    </w:p>
    <w:p w14:paraId="51DE8661" w14:textId="77777777" w:rsidR="0010369C" w:rsidRDefault="0010369C">
      <w:pPr>
        <w:pStyle w:val="BodyText"/>
        <w:spacing w:before="5"/>
        <w:rPr>
          <w:sz w:val="8"/>
        </w:rPr>
      </w:pPr>
    </w:p>
    <w:p w14:paraId="51DE8662" w14:textId="77777777" w:rsidR="0010369C" w:rsidRDefault="0010369C">
      <w:pPr>
        <w:pStyle w:val="BodyText"/>
        <w:spacing w:before="5"/>
        <w:rPr>
          <w:sz w:val="8"/>
        </w:rPr>
      </w:pPr>
    </w:p>
    <w:p w14:paraId="51DE8663" w14:textId="77777777" w:rsidR="0010369C" w:rsidRDefault="008E43AE">
      <w:pPr>
        <w:spacing w:before="119"/>
        <w:ind w:left="1575"/>
        <w:rPr>
          <w:sz w:val="24"/>
        </w:rPr>
      </w:pPr>
      <w:r>
        <w:rPr>
          <w:w w:val="99"/>
          <w:sz w:val="24"/>
        </w:rPr>
        <w:t>]</w:t>
      </w:r>
    </w:p>
    <w:p w14:paraId="51DE8664" w14:textId="77777777" w:rsidR="0010369C" w:rsidRDefault="0010369C">
      <w:pPr>
        <w:pStyle w:val="BodyText"/>
        <w:spacing w:before="11"/>
        <w:rPr>
          <w:sz w:val="19"/>
        </w:rPr>
      </w:pPr>
    </w:p>
    <w:p w14:paraId="51DE8665" w14:textId="77777777" w:rsidR="0010369C" w:rsidRDefault="008E43AE">
      <w:pPr>
        <w:pStyle w:val="BodyText"/>
        <w:spacing w:before="52" w:line="360" w:lineRule="auto"/>
        <w:ind w:left="238" w:right="611" w:firstLine="850"/>
      </w:pPr>
      <w:r>
        <w:pict w14:anchorId="51DEA143">
          <v:rect id="docshape649" o:spid="_x0000_s1639" style="position:absolute;left:0;text-align:left;margin-left:69.9pt;margin-top:47pt;width:453.6pt;height:15.6pt;z-index:-250982912;mso-wrap-distance-left:0;mso-wrap-distance-right:0;mso-position-horizontal-relative:page" fillcolor="black" stroked="f">
            <w10:wrap type="topAndBottom" anchorx="page"/>
          </v:rect>
        </w:pict>
      </w:r>
      <w:r>
        <w:pict w14:anchorId="51DEA144">
          <v:rect id="docshape650" o:spid="_x0000_s1638" style="position:absolute;left:0;text-align:left;margin-left:69.9pt;margin-top:68.95pt;width:453.55pt;height:15.6pt;z-index:-250981888;mso-wrap-distance-left:0;mso-wrap-distance-right:0;mso-position-horizontal-relative:page" fillcolor="black" stroked="f">
            <w10:wrap type="topAndBottom" anchorx="page"/>
          </v:rect>
        </w:pict>
      </w:r>
      <w:r>
        <w:pict w14:anchorId="51DEA145">
          <v:rect id="docshape651" o:spid="_x0000_s1637" style="position:absolute;left:0;text-align:left;margin-left:69.9pt;margin-top:90.95pt;width:453.6pt;height:15.6pt;z-index:-250980864;mso-wrap-distance-left:0;mso-wrap-distance-right:0;mso-position-horizontal-relative:page" fillcolor="black" stroked="f">
            <w10:wrap type="topAndBottom" anchorx="page"/>
          </v:rect>
        </w:pict>
      </w:r>
      <w:r>
        <w:rPr>
          <w:noProof/>
        </w:rPr>
        <w:drawing>
          <wp:anchor distT="0" distB="0" distL="0" distR="0" simplePos="0" relativeHeight="250952192" behindDoc="1" locked="0" layoutInCell="1" allowOverlap="1" wp14:anchorId="51DEA146" wp14:editId="51DEA147">
            <wp:simplePos x="0" y="0"/>
            <wp:positionH relativeFrom="page">
              <wp:posOffset>905255</wp:posOffset>
            </wp:positionH>
            <wp:positionV relativeFrom="paragraph">
              <wp:posOffset>92656</wp:posOffset>
            </wp:positionV>
            <wp:extent cx="259079" cy="103631"/>
            <wp:effectExtent l="0" t="0" r="0" b="0"/>
            <wp:wrapNone/>
            <wp:docPr id="587" name="image3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 name="image302.png"/>
                    <pic:cNvPicPr/>
                  </pic:nvPicPr>
                  <pic:blipFill>
                    <a:blip r:embed="rId418" cstate="print"/>
                    <a:stretch>
                      <a:fillRect/>
                    </a:stretch>
                  </pic:blipFill>
                  <pic:spPr>
                    <a:xfrm>
                      <a:off x="0" y="0"/>
                      <a:ext cx="259079" cy="103631"/>
                    </a:xfrm>
                    <a:prstGeom prst="rect">
                      <a:avLst/>
                    </a:prstGeom>
                  </pic:spPr>
                </pic:pic>
              </a:graphicData>
            </a:graphic>
          </wp:anchor>
        </w:drawing>
      </w:r>
      <w:r>
        <w:pict w14:anchorId="51DEA148">
          <v:rect id="docshape652" o:spid="_x0000_s1636" style="position:absolute;left:0;text-align:left;margin-left:420.35pt;margin-top:25pt;width:103.25pt;height:15.6pt;z-index:-251354624;mso-position-horizontal-relative:page;mso-position-vertical-relative:text" fillcolor="black" stroked="f">
            <w10:wrap anchorx="page"/>
          </v:rect>
        </w:pict>
      </w:r>
      <w:r>
        <w:pict w14:anchorId="51DEA149">
          <v:rect id="docshape653" o:spid="_x0000_s1635" style="position:absolute;left:0;text-align:left;margin-left:69.9pt;margin-top:112.95pt;width:26.8pt;height:15.6pt;z-index:-251353600;mso-position-horizontal-relative:page;mso-position-vertical-relative:text" fillcolor="black" stroked="f">
            <w10:wrap anchorx="page"/>
          </v:rect>
        </w:pict>
      </w:r>
      <w:r>
        <w:t>When Casella Wines' relationship with its affiliate is characterised in this manner, it is evident MOFCOM's findings in the Final Determination are incorrect. [[</w:t>
      </w:r>
    </w:p>
    <w:p w14:paraId="51DE8666" w14:textId="77777777" w:rsidR="0010369C" w:rsidRDefault="0010369C">
      <w:pPr>
        <w:pStyle w:val="BodyText"/>
        <w:spacing w:before="6"/>
        <w:rPr>
          <w:sz w:val="8"/>
        </w:rPr>
      </w:pPr>
    </w:p>
    <w:p w14:paraId="51DE8667" w14:textId="77777777" w:rsidR="0010369C" w:rsidRDefault="0010369C">
      <w:pPr>
        <w:pStyle w:val="BodyText"/>
        <w:spacing w:before="6"/>
        <w:rPr>
          <w:sz w:val="8"/>
        </w:rPr>
      </w:pPr>
    </w:p>
    <w:p w14:paraId="51DE8668" w14:textId="77777777" w:rsidR="0010369C" w:rsidRDefault="008E43AE">
      <w:pPr>
        <w:pStyle w:val="BodyText"/>
        <w:spacing w:before="119" w:line="360" w:lineRule="auto"/>
        <w:ind w:left="238" w:right="610" w:firstLine="536"/>
        <w:jc w:val="both"/>
      </w:pPr>
      <w:r>
        <w:t>]] If Casella Wines had reported these as affiliated sales, as MOFCOM seems to suggest they</w:t>
      </w:r>
      <w:r>
        <w:rPr>
          <w:spacing w:val="-8"/>
        </w:rPr>
        <w:t xml:space="preserve"> </w:t>
      </w:r>
      <w:r>
        <w:t>should</w:t>
      </w:r>
      <w:r>
        <w:rPr>
          <w:spacing w:val="-8"/>
        </w:rPr>
        <w:t xml:space="preserve"> </w:t>
      </w:r>
      <w:r>
        <w:t>have</w:t>
      </w:r>
      <w:r>
        <w:rPr>
          <w:spacing w:val="-8"/>
        </w:rPr>
        <w:t xml:space="preserve"> </w:t>
      </w:r>
      <w:r>
        <w:t>done</w:t>
      </w:r>
      <w:r>
        <w:rPr>
          <w:spacing w:val="-7"/>
        </w:rPr>
        <w:t xml:space="preserve"> </w:t>
      </w:r>
      <w:r>
        <w:t>in</w:t>
      </w:r>
      <w:r>
        <w:rPr>
          <w:spacing w:val="-9"/>
        </w:rPr>
        <w:t xml:space="preserve"> </w:t>
      </w:r>
      <w:r>
        <w:t>the</w:t>
      </w:r>
      <w:r>
        <w:rPr>
          <w:spacing w:val="-8"/>
        </w:rPr>
        <w:t xml:space="preserve"> </w:t>
      </w:r>
      <w:r>
        <w:t>Final</w:t>
      </w:r>
      <w:r>
        <w:rPr>
          <w:spacing w:val="-8"/>
        </w:rPr>
        <w:t xml:space="preserve"> </w:t>
      </w:r>
      <w:r>
        <w:t>Determination,</w:t>
      </w:r>
      <w:r>
        <w:rPr>
          <w:spacing w:val="-8"/>
        </w:rPr>
        <w:t xml:space="preserve"> </w:t>
      </w:r>
      <w:r>
        <w:t>MOFCOM</w:t>
      </w:r>
      <w:r>
        <w:rPr>
          <w:spacing w:val="-7"/>
        </w:rPr>
        <w:t xml:space="preserve"> </w:t>
      </w:r>
      <w:r>
        <w:t>would</w:t>
      </w:r>
      <w:r>
        <w:rPr>
          <w:spacing w:val="-8"/>
        </w:rPr>
        <w:t xml:space="preserve"> </w:t>
      </w:r>
      <w:r>
        <w:t>have</w:t>
      </w:r>
      <w:r>
        <w:rPr>
          <w:spacing w:val="-8"/>
        </w:rPr>
        <w:t xml:space="preserve"> </w:t>
      </w:r>
      <w:r>
        <w:t>then</w:t>
      </w:r>
      <w:r>
        <w:rPr>
          <w:spacing w:val="-9"/>
        </w:rPr>
        <w:t xml:space="preserve"> </w:t>
      </w:r>
      <w:r>
        <w:t>objected</w:t>
      </w:r>
      <w:r>
        <w:rPr>
          <w:spacing w:val="-9"/>
        </w:rPr>
        <w:t xml:space="preserve"> </w:t>
      </w:r>
      <w:r>
        <w:t>to</w:t>
      </w:r>
      <w:r>
        <w:rPr>
          <w:spacing w:val="-8"/>
        </w:rPr>
        <w:t xml:space="preserve"> </w:t>
      </w:r>
      <w:r>
        <w:t>the inclusion</w:t>
      </w:r>
      <w:r>
        <w:rPr>
          <w:spacing w:val="-14"/>
        </w:rPr>
        <w:t xml:space="preserve"> </w:t>
      </w:r>
      <w:r>
        <w:t>of</w:t>
      </w:r>
      <w:r>
        <w:rPr>
          <w:spacing w:val="-14"/>
        </w:rPr>
        <w:t xml:space="preserve"> </w:t>
      </w:r>
      <w:r>
        <w:t>these</w:t>
      </w:r>
      <w:r>
        <w:rPr>
          <w:spacing w:val="-12"/>
        </w:rPr>
        <w:t xml:space="preserve"> </w:t>
      </w:r>
      <w:r>
        <w:t>sales</w:t>
      </w:r>
      <w:r>
        <w:rPr>
          <w:spacing w:val="-14"/>
        </w:rPr>
        <w:t xml:space="preserve"> </w:t>
      </w:r>
      <w:r>
        <w:t>on</w:t>
      </w:r>
      <w:r>
        <w:rPr>
          <w:spacing w:val="-13"/>
        </w:rPr>
        <w:t xml:space="preserve"> </w:t>
      </w:r>
      <w:r>
        <w:t>the</w:t>
      </w:r>
      <w:r>
        <w:rPr>
          <w:spacing w:val="-13"/>
        </w:rPr>
        <w:t xml:space="preserve"> </w:t>
      </w:r>
      <w:r>
        <w:t>basis</w:t>
      </w:r>
      <w:r>
        <w:rPr>
          <w:spacing w:val="-13"/>
        </w:rPr>
        <w:t xml:space="preserve"> </w:t>
      </w:r>
      <w:r>
        <w:t>that</w:t>
      </w:r>
      <w:r>
        <w:rPr>
          <w:spacing w:val="-14"/>
        </w:rPr>
        <w:t xml:space="preserve"> </w:t>
      </w:r>
      <w:r>
        <w:t>they</w:t>
      </w:r>
      <w:r>
        <w:rPr>
          <w:spacing w:val="-13"/>
        </w:rPr>
        <w:t xml:space="preserve"> </w:t>
      </w:r>
      <w:r>
        <w:t>are</w:t>
      </w:r>
      <w:r>
        <w:rPr>
          <w:spacing w:val="-13"/>
        </w:rPr>
        <w:t xml:space="preserve"> </w:t>
      </w:r>
      <w:r>
        <w:t>unverifiable</w:t>
      </w:r>
      <w:r>
        <w:rPr>
          <w:spacing w:val="-12"/>
        </w:rPr>
        <w:t xml:space="preserve"> </w:t>
      </w:r>
      <w:r>
        <w:t>and</w:t>
      </w:r>
      <w:r>
        <w:rPr>
          <w:spacing w:val="-14"/>
        </w:rPr>
        <w:t xml:space="preserve"> </w:t>
      </w:r>
      <w:r>
        <w:t>misrepresent</w:t>
      </w:r>
      <w:r>
        <w:rPr>
          <w:spacing w:val="-14"/>
        </w:rPr>
        <w:t xml:space="preserve"> </w:t>
      </w:r>
      <w:r>
        <w:t>Casella</w:t>
      </w:r>
      <w:r>
        <w:rPr>
          <w:spacing w:val="-12"/>
        </w:rPr>
        <w:t xml:space="preserve"> </w:t>
      </w:r>
      <w:r>
        <w:t>Wines' relationship to its affiliate.</w:t>
      </w:r>
    </w:p>
    <w:p w14:paraId="51DE8669" w14:textId="77777777" w:rsidR="0010369C" w:rsidRDefault="008E43AE">
      <w:pPr>
        <w:spacing w:before="150"/>
        <w:ind w:left="1089"/>
        <w:rPr>
          <w:sz w:val="24"/>
        </w:rPr>
      </w:pPr>
      <w:r>
        <w:rPr>
          <w:noProof/>
        </w:rPr>
        <w:drawing>
          <wp:anchor distT="0" distB="0" distL="0" distR="0" simplePos="0" relativeHeight="250651136" behindDoc="0" locked="0" layoutInCell="1" allowOverlap="1" wp14:anchorId="51DEA14A" wp14:editId="51DEA14B">
            <wp:simplePos x="0" y="0"/>
            <wp:positionH relativeFrom="page">
              <wp:posOffset>905255</wp:posOffset>
            </wp:positionH>
            <wp:positionV relativeFrom="paragraph">
              <wp:posOffset>162222</wp:posOffset>
            </wp:positionV>
            <wp:extent cx="259079" cy="100753"/>
            <wp:effectExtent l="0" t="0" r="0" b="0"/>
            <wp:wrapNone/>
            <wp:docPr id="589" name="image3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 name="image303.png"/>
                    <pic:cNvPicPr/>
                  </pic:nvPicPr>
                  <pic:blipFill>
                    <a:blip r:embed="rId419" cstate="print"/>
                    <a:stretch>
                      <a:fillRect/>
                    </a:stretch>
                  </pic:blipFill>
                  <pic:spPr>
                    <a:xfrm>
                      <a:off x="0" y="0"/>
                      <a:ext cx="259079" cy="100753"/>
                    </a:xfrm>
                    <a:prstGeom prst="rect">
                      <a:avLst/>
                    </a:prstGeom>
                  </pic:spPr>
                </pic:pic>
              </a:graphicData>
            </a:graphic>
          </wp:anchor>
        </w:drawing>
      </w:r>
      <w:r>
        <w:pict w14:anchorId="51DEA14C">
          <v:rect id="docshape654" o:spid="_x0000_s1634" style="position:absolute;left:0;text-align:left;margin-left:119.75pt;margin-top:7.95pt;width:403.6pt;height:15.6pt;z-index:251817472;mso-position-horizontal-relative:page;mso-position-vertical-relative:text" fillcolor="black" stroked="f">
            <w10:wrap anchorx="page"/>
          </v:rect>
        </w:pict>
      </w:r>
      <w:r>
        <w:rPr>
          <w:spacing w:val="-5"/>
          <w:sz w:val="24"/>
        </w:rPr>
        <w:t>[[</w:t>
      </w:r>
    </w:p>
    <w:p w14:paraId="51DE866A" w14:textId="77777777" w:rsidR="0010369C" w:rsidRDefault="008E43AE">
      <w:pPr>
        <w:pStyle w:val="BodyText"/>
        <w:spacing w:before="9"/>
        <w:rPr>
          <w:sz w:val="10"/>
        </w:rPr>
      </w:pPr>
      <w:r>
        <w:pict w14:anchorId="51DEA14D">
          <v:rect id="docshape655" o:spid="_x0000_s1633" style="position:absolute;margin-left:69.9pt;margin-top:7.8pt;width:467.6pt;height:15.6pt;z-index:-250979840;mso-wrap-distance-left:0;mso-wrap-distance-right:0;mso-position-horizontal-relative:page" fillcolor="black" stroked="f">
            <w10:wrap type="topAndBottom" anchorx="page"/>
          </v:rect>
        </w:pict>
      </w:r>
      <w:r>
        <w:pict w14:anchorId="51DEA14E">
          <v:rect id="docshape656" o:spid="_x0000_s1632" style="position:absolute;margin-left:69.9pt;margin-top:29.75pt;width:453.5pt;height:15.6pt;z-index:-250978816;mso-wrap-distance-left:0;mso-wrap-distance-right:0;mso-position-horizontal-relative:page" fillcolor="black" stroked="f">
            <w10:wrap type="topAndBottom" anchorx="page"/>
          </v:rect>
        </w:pict>
      </w:r>
      <w:r>
        <w:pict w14:anchorId="51DEA14F">
          <v:rect id="docshape657" o:spid="_x0000_s1631" style="position:absolute;margin-left:69.9pt;margin-top:51.7pt;width:433.75pt;height:15.6pt;z-index:-250977792;mso-wrap-distance-left:0;mso-wrap-distance-right:0;mso-position-horizontal-relative:page" fillcolor="black" stroked="f">
            <w10:wrap type="topAndBottom" anchorx="page"/>
          </v:rect>
        </w:pict>
      </w:r>
      <w:r>
        <w:pict w14:anchorId="51DEA150">
          <v:rect id="docshape658" o:spid="_x0000_s1630" style="position:absolute;margin-left:69.9pt;margin-top:73.7pt;width:453.5pt;height:15.6pt;z-index:-250976768;mso-wrap-distance-left:0;mso-wrap-distance-right:0;mso-position-horizontal-relative:page" fillcolor="black" stroked="f">
            <w10:wrap type="topAndBottom" anchorx="page"/>
          </v:rect>
        </w:pict>
      </w:r>
      <w:r>
        <w:pict w14:anchorId="51DEA151">
          <v:rect id="docshape659" o:spid="_x0000_s1629" style="position:absolute;margin-left:69.9pt;margin-top:95.65pt;width:457.3pt;height:15.6pt;z-index:-250975744;mso-wrap-distance-left:0;mso-wrap-distance-right:0;mso-position-horizontal-relative:page" fillcolor="black" stroked="f">
            <w10:wrap type="topAndBottom" anchorx="page"/>
          </v:rect>
        </w:pict>
      </w:r>
      <w:r>
        <w:pict w14:anchorId="51DEA152">
          <v:rect id="docshape660" o:spid="_x0000_s1628" style="position:absolute;margin-left:69.9pt;margin-top:117.6pt;width:453.55pt;height:15.6pt;z-index:-250974720;mso-wrap-distance-left:0;mso-wrap-distance-right:0;mso-position-horizontal-relative:page" fillcolor="black" stroked="f">
            <w10:wrap type="topAndBottom" anchorx="page"/>
          </v:rect>
        </w:pict>
      </w:r>
      <w:r>
        <w:pict w14:anchorId="51DEA153">
          <v:rect id="docshape661" o:spid="_x0000_s1627" style="position:absolute;margin-left:69.9pt;margin-top:139.6pt;width:453.55pt;height:15.6pt;z-index:-250973696;mso-wrap-distance-left:0;mso-wrap-distance-right:0;mso-position-horizontal-relative:page" fillcolor="black" stroked="f">
            <w10:wrap type="topAndBottom" anchorx="page"/>
          </v:rect>
        </w:pict>
      </w:r>
      <w:r>
        <w:pict w14:anchorId="51DEA154">
          <v:rect id="docshape662" o:spid="_x0000_s1626" style="position:absolute;margin-left:69.9pt;margin-top:161.55pt;width:453.6pt;height:15.6pt;z-index:-250972672;mso-wrap-distance-left:0;mso-wrap-distance-right:0;mso-position-horizontal-relative:page" fillcolor="black" stroked="f">
            <w10:wrap type="topAndBottom" anchorx="page"/>
          </v:rect>
        </w:pict>
      </w:r>
      <w:r>
        <w:pict w14:anchorId="51DEA155">
          <v:rect id="docshape663" o:spid="_x0000_s1625" style="position:absolute;margin-left:70.9pt;margin-top:195.2pt;width:2in;height:.8pt;z-index:-250971648;mso-wrap-distance-left:0;mso-wrap-distance-right:0;mso-position-horizontal-relative:page" fillcolor="black" stroked="f">
            <w10:wrap type="topAndBottom" anchorx="page"/>
          </v:rect>
        </w:pict>
      </w:r>
    </w:p>
    <w:p w14:paraId="51DE866B" w14:textId="77777777" w:rsidR="0010369C" w:rsidRDefault="0010369C">
      <w:pPr>
        <w:pStyle w:val="BodyText"/>
        <w:spacing w:before="5"/>
        <w:rPr>
          <w:sz w:val="8"/>
        </w:rPr>
      </w:pPr>
    </w:p>
    <w:p w14:paraId="51DE866C" w14:textId="77777777" w:rsidR="0010369C" w:rsidRDefault="0010369C">
      <w:pPr>
        <w:pStyle w:val="BodyText"/>
        <w:spacing w:before="5"/>
        <w:rPr>
          <w:sz w:val="8"/>
        </w:rPr>
      </w:pPr>
    </w:p>
    <w:p w14:paraId="51DE866D" w14:textId="77777777" w:rsidR="0010369C" w:rsidRDefault="0010369C">
      <w:pPr>
        <w:pStyle w:val="BodyText"/>
        <w:spacing w:before="5"/>
        <w:rPr>
          <w:sz w:val="8"/>
        </w:rPr>
      </w:pPr>
    </w:p>
    <w:p w14:paraId="51DE866E" w14:textId="77777777" w:rsidR="0010369C" w:rsidRDefault="0010369C">
      <w:pPr>
        <w:pStyle w:val="BodyText"/>
        <w:spacing w:before="5"/>
        <w:rPr>
          <w:sz w:val="8"/>
        </w:rPr>
      </w:pPr>
    </w:p>
    <w:p w14:paraId="51DE866F" w14:textId="77777777" w:rsidR="0010369C" w:rsidRDefault="0010369C">
      <w:pPr>
        <w:pStyle w:val="BodyText"/>
        <w:spacing w:before="5"/>
        <w:rPr>
          <w:sz w:val="8"/>
        </w:rPr>
      </w:pPr>
    </w:p>
    <w:p w14:paraId="51DE8670" w14:textId="77777777" w:rsidR="0010369C" w:rsidRDefault="0010369C">
      <w:pPr>
        <w:pStyle w:val="BodyText"/>
        <w:spacing w:before="5"/>
        <w:rPr>
          <w:sz w:val="8"/>
        </w:rPr>
      </w:pPr>
    </w:p>
    <w:p w14:paraId="51DE8671" w14:textId="77777777" w:rsidR="0010369C" w:rsidRDefault="0010369C">
      <w:pPr>
        <w:pStyle w:val="BodyText"/>
        <w:spacing w:before="5"/>
        <w:rPr>
          <w:sz w:val="8"/>
        </w:rPr>
      </w:pPr>
    </w:p>
    <w:p w14:paraId="51DE8672" w14:textId="77777777" w:rsidR="0010369C" w:rsidRDefault="0010369C">
      <w:pPr>
        <w:pStyle w:val="BodyText"/>
        <w:spacing w:before="7"/>
        <w:rPr>
          <w:sz w:val="27"/>
        </w:rPr>
      </w:pPr>
    </w:p>
    <w:p w14:paraId="51DE8673" w14:textId="77777777" w:rsidR="0010369C" w:rsidRDefault="0010369C">
      <w:pPr>
        <w:pStyle w:val="BodyText"/>
        <w:spacing w:before="8"/>
        <w:rPr>
          <w:sz w:val="5"/>
        </w:rPr>
      </w:pPr>
    </w:p>
    <w:p w14:paraId="51DE8674" w14:textId="77777777" w:rsidR="0010369C" w:rsidRDefault="0010369C">
      <w:pPr>
        <w:rPr>
          <w:sz w:val="5"/>
        </w:rPr>
        <w:sectPr w:rsidR="0010369C">
          <w:pgSz w:w="11910" w:h="16840"/>
          <w:pgMar w:top="880" w:right="800" w:bottom="980" w:left="1180" w:header="569" w:footer="788" w:gutter="0"/>
          <w:cols w:space="720"/>
        </w:sectPr>
      </w:pPr>
    </w:p>
    <w:p w14:paraId="51DE8675" w14:textId="77777777" w:rsidR="0010369C" w:rsidRDefault="008E43AE">
      <w:pPr>
        <w:spacing w:before="75" w:line="158" w:lineRule="auto"/>
        <w:ind w:left="238"/>
        <w:rPr>
          <w:sz w:val="18"/>
        </w:rPr>
      </w:pPr>
      <w:r>
        <w:pict w14:anchorId="51DEA156">
          <v:shape id="docshape664" o:spid="_x0000_s1624" style="position:absolute;left:0;text-align:left;margin-left:86.65pt;margin-top:2.4pt;width:321.55pt;height:34.05pt;z-index:-251352576;mso-position-horizontal-relative:page" coordorigin="1733,48" coordsize="6431,681" path="m8164,48r-6431,l1733,267r,22l1733,487r,21l1733,728r5942,l7675,508r42,l7717,289r447,l8164,48xe" fillcolor="black" stroked="f">
            <v:path arrowok="t"/>
            <w10:wrap anchorx="page"/>
          </v:shape>
        </w:pict>
      </w:r>
      <w:r>
        <w:rPr>
          <w:color w:val="5E5E5E"/>
          <w:sz w:val="12"/>
        </w:rPr>
        <w:t>312</w:t>
      </w:r>
      <w:r>
        <w:rPr>
          <w:color w:val="5E5E5E"/>
          <w:spacing w:val="11"/>
          <w:sz w:val="12"/>
        </w:rPr>
        <w:t xml:space="preserve"> </w:t>
      </w:r>
      <w:r>
        <w:rPr>
          <w:color w:val="5E5E5E"/>
          <w:spacing w:val="-10"/>
          <w:position w:val="-5"/>
          <w:sz w:val="18"/>
        </w:rPr>
        <w:t>[</w:t>
      </w:r>
    </w:p>
    <w:p w14:paraId="51DE8676" w14:textId="77777777" w:rsidR="0010369C" w:rsidRDefault="008E43AE">
      <w:pPr>
        <w:spacing w:before="70" w:line="158" w:lineRule="auto"/>
        <w:ind w:left="238"/>
        <w:rPr>
          <w:sz w:val="18"/>
        </w:rPr>
      </w:pPr>
      <w:r>
        <w:rPr>
          <w:color w:val="5E5E5E"/>
          <w:sz w:val="12"/>
        </w:rPr>
        <w:t>313</w:t>
      </w:r>
      <w:r>
        <w:rPr>
          <w:color w:val="5E5E5E"/>
          <w:spacing w:val="11"/>
          <w:sz w:val="12"/>
        </w:rPr>
        <w:t xml:space="preserve"> </w:t>
      </w:r>
      <w:r>
        <w:rPr>
          <w:color w:val="5E5E5E"/>
          <w:spacing w:val="-10"/>
          <w:position w:val="-5"/>
          <w:sz w:val="18"/>
        </w:rPr>
        <w:t>[</w:t>
      </w:r>
    </w:p>
    <w:p w14:paraId="51DE8677" w14:textId="77777777" w:rsidR="0010369C" w:rsidRDefault="008E43AE">
      <w:pPr>
        <w:spacing w:before="32"/>
        <w:ind w:left="238"/>
        <w:rPr>
          <w:sz w:val="18"/>
        </w:rPr>
      </w:pPr>
      <w:r>
        <w:rPr>
          <w:color w:val="5E5E5E"/>
          <w:sz w:val="12"/>
        </w:rPr>
        <w:t>314</w:t>
      </w:r>
      <w:r>
        <w:rPr>
          <w:color w:val="5E5E5E"/>
          <w:spacing w:val="11"/>
          <w:sz w:val="12"/>
        </w:rPr>
        <w:t xml:space="preserve"> </w:t>
      </w:r>
      <w:r>
        <w:rPr>
          <w:color w:val="5E5E5E"/>
          <w:spacing w:val="-10"/>
          <w:position w:val="-5"/>
          <w:sz w:val="18"/>
        </w:rPr>
        <w:t>[</w:t>
      </w:r>
    </w:p>
    <w:p w14:paraId="51DE8678" w14:textId="77777777" w:rsidR="0010369C" w:rsidRDefault="008E43AE">
      <w:pPr>
        <w:ind w:left="238"/>
        <w:rPr>
          <w:sz w:val="18"/>
        </w:rPr>
      </w:pPr>
      <w:r>
        <w:rPr>
          <w:sz w:val="18"/>
          <w:vertAlign w:val="superscript"/>
        </w:rPr>
        <w:t>315</w:t>
      </w:r>
      <w:r>
        <w:rPr>
          <w:spacing w:val="-9"/>
          <w:sz w:val="18"/>
        </w:rPr>
        <w:t xml:space="preserve"> </w:t>
      </w:r>
      <w:r>
        <w:rPr>
          <w:sz w:val="18"/>
        </w:rPr>
        <w:t>Casella</w:t>
      </w:r>
      <w:r>
        <w:rPr>
          <w:spacing w:val="-9"/>
          <w:sz w:val="18"/>
        </w:rPr>
        <w:t xml:space="preserve"> </w:t>
      </w:r>
      <w:r>
        <w:rPr>
          <w:sz w:val="18"/>
        </w:rPr>
        <w:t>Wines</w:t>
      </w:r>
      <w:r>
        <w:rPr>
          <w:spacing w:val="-9"/>
          <w:sz w:val="18"/>
        </w:rPr>
        <w:t xml:space="preserve"> </w:t>
      </w:r>
      <w:r>
        <w:rPr>
          <w:sz w:val="18"/>
        </w:rPr>
        <w:t>Supplementary</w:t>
      </w:r>
      <w:r>
        <w:rPr>
          <w:spacing w:val="-8"/>
          <w:sz w:val="18"/>
        </w:rPr>
        <w:t xml:space="preserve"> </w:t>
      </w:r>
      <w:r>
        <w:rPr>
          <w:sz w:val="18"/>
        </w:rPr>
        <w:t>Questionnaire</w:t>
      </w:r>
      <w:r>
        <w:rPr>
          <w:spacing w:val="-9"/>
          <w:sz w:val="18"/>
        </w:rPr>
        <w:t xml:space="preserve"> </w:t>
      </w:r>
      <w:r>
        <w:rPr>
          <w:sz w:val="18"/>
        </w:rPr>
        <w:t>Response</w:t>
      </w:r>
      <w:r>
        <w:rPr>
          <w:spacing w:val="-9"/>
          <w:sz w:val="18"/>
        </w:rPr>
        <w:t xml:space="preserve"> </w:t>
      </w:r>
      <w:r>
        <w:rPr>
          <w:sz w:val="18"/>
        </w:rPr>
        <w:t>(Exhibit</w:t>
      </w:r>
      <w:r>
        <w:rPr>
          <w:spacing w:val="-9"/>
          <w:sz w:val="18"/>
        </w:rPr>
        <w:t xml:space="preserve"> </w:t>
      </w:r>
      <w:r>
        <w:rPr>
          <w:sz w:val="18"/>
        </w:rPr>
        <w:t>AUS‐30),</w:t>
      </w:r>
      <w:r>
        <w:rPr>
          <w:spacing w:val="-9"/>
          <w:sz w:val="18"/>
        </w:rPr>
        <w:t xml:space="preserve"> </w:t>
      </w:r>
      <w:r>
        <w:rPr>
          <w:sz w:val="18"/>
        </w:rPr>
        <w:t>p.</w:t>
      </w:r>
      <w:r>
        <w:rPr>
          <w:spacing w:val="-9"/>
          <w:sz w:val="18"/>
        </w:rPr>
        <w:t xml:space="preserve"> </w:t>
      </w:r>
      <w:r>
        <w:rPr>
          <w:spacing w:val="-5"/>
          <w:sz w:val="18"/>
        </w:rPr>
        <w:t>4.</w:t>
      </w:r>
    </w:p>
    <w:p w14:paraId="51DE8679" w14:textId="77777777" w:rsidR="0010369C" w:rsidRDefault="008E43AE">
      <w:pPr>
        <w:spacing w:before="41"/>
        <w:ind w:left="726"/>
        <w:rPr>
          <w:sz w:val="18"/>
        </w:rPr>
      </w:pPr>
      <w:r>
        <w:br w:type="column"/>
      </w:r>
      <w:r>
        <w:rPr>
          <w:color w:val="5E5E5E"/>
          <w:sz w:val="18"/>
        </w:rPr>
        <w:t>(Exhibit</w:t>
      </w:r>
      <w:r>
        <w:rPr>
          <w:color w:val="5E5E5E"/>
          <w:spacing w:val="-10"/>
          <w:sz w:val="18"/>
        </w:rPr>
        <w:t xml:space="preserve"> </w:t>
      </w:r>
      <w:r>
        <w:rPr>
          <w:color w:val="5E5E5E"/>
          <w:sz w:val="18"/>
        </w:rPr>
        <w:t>AUS‐28</w:t>
      </w:r>
      <w:r>
        <w:rPr>
          <w:color w:val="5E5E5E"/>
          <w:spacing w:val="-9"/>
          <w:sz w:val="18"/>
        </w:rPr>
        <w:t xml:space="preserve"> </w:t>
      </w:r>
      <w:r>
        <w:rPr>
          <w:color w:val="5E5E5E"/>
          <w:spacing w:val="-2"/>
          <w:sz w:val="18"/>
        </w:rPr>
        <w:t>(BCI)).]]</w:t>
      </w:r>
    </w:p>
    <w:p w14:paraId="51DE867A" w14:textId="77777777" w:rsidR="0010369C" w:rsidRDefault="008E43AE">
      <w:pPr>
        <w:tabs>
          <w:tab w:val="left" w:pos="2172"/>
        </w:tabs>
        <w:ind w:left="238"/>
        <w:rPr>
          <w:sz w:val="18"/>
        </w:rPr>
      </w:pPr>
      <w:r>
        <w:pict w14:anchorId="51DEA157">
          <v:shape id="docshape665" o:spid="_x0000_s1623" style="position:absolute;left:0;text-align:left;margin-left:468.95pt;margin-top:.35pt;width:13.65pt;height:23.05pt;z-index:-251351552;mso-position-horizontal-relative:page" coordorigin="9379,7" coordsize="273,461" path="m9651,7r-272,l9379,226r,22l9379,467r272,l9651,248r,-22l9651,7xe" fillcolor="black" stroked="f">
            <v:path arrowok="t"/>
            <w10:wrap anchorx="page"/>
          </v:shape>
        </w:pict>
      </w:r>
      <w:r>
        <w:rPr>
          <w:color w:val="5E5E5E"/>
          <w:sz w:val="18"/>
        </w:rPr>
        <w:t>(Exhibit</w:t>
      </w:r>
      <w:r>
        <w:rPr>
          <w:color w:val="5E5E5E"/>
          <w:spacing w:val="-10"/>
          <w:sz w:val="18"/>
        </w:rPr>
        <w:t xml:space="preserve"> </w:t>
      </w:r>
      <w:r>
        <w:rPr>
          <w:color w:val="5E5E5E"/>
          <w:sz w:val="18"/>
        </w:rPr>
        <w:t>AUS‐29</w:t>
      </w:r>
      <w:r>
        <w:rPr>
          <w:color w:val="5E5E5E"/>
          <w:spacing w:val="-9"/>
          <w:sz w:val="18"/>
        </w:rPr>
        <w:t xml:space="preserve"> </w:t>
      </w:r>
      <w:r>
        <w:rPr>
          <w:color w:val="5E5E5E"/>
          <w:spacing w:val="-2"/>
          <w:sz w:val="18"/>
        </w:rPr>
        <w:t>(BCI)),</w:t>
      </w:r>
      <w:r>
        <w:rPr>
          <w:color w:val="5E5E5E"/>
          <w:sz w:val="18"/>
        </w:rPr>
        <w:tab/>
      </w:r>
      <w:r>
        <w:rPr>
          <w:color w:val="5E5E5E"/>
          <w:spacing w:val="-5"/>
          <w:sz w:val="18"/>
        </w:rPr>
        <w:t>.]]</w:t>
      </w:r>
    </w:p>
    <w:p w14:paraId="51DE867B" w14:textId="77777777" w:rsidR="0010369C" w:rsidRDefault="008E43AE">
      <w:pPr>
        <w:tabs>
          <w:tab w:val="left" w:pos="2172"/>
        </w:tabs>
        <w:ind w:left="238"/>
        <w:rPr>
          <w:sz w:val="18"/>
        </w:rPr>
      </w:pPr>
      <w:r>
        <w:rPr>
          <w:color w:val="5E5E5E"/>
          <w:sz w:val="18"/>
        </w:rPr>
        <w:t>(Exhibit</w:t>
      </w:r>
      <w:r>
        <w:rPr>
          <w:color w:val="5E5E5E"/>
          <w:spacing w:val="-10"/>
          <w:sz w:val="18"/>
        </w:rPr>
        <w:t xml:space="preserve"> </w:t>
      </w:r>
      <w:r>
        <w:rPr>
          <w:color w:val="5E5E5E"/>
          <w:sz w:val="18"/>
        </w:rPr>
        <w:t>AUS‐29</w:t>
      </w:r>
      <w:r>
        <w:rPr>
          <w:color w:val="5E5E5E"/>
          <w:spacing w:val="-9"/>
          <w:sz w:val="18"/>
        </w:rPr>
        <w:t xml:space="preserve"> </w:t>
      </w:r>
      <w:r>
        <w:rPr>
          <w:color w:val="5E5E5E"/>
          <w:spacing w:val="-2"/>
          <w:sz w:val="18"/>
        </w:rPr>
        <w:t>(BCI)),</w:t>
      </w:r>
      <w:r>
        <w:rPr>
          <w:color w:val="5E5E5E"/>
          <w:sz w:val="18"/>
        </w:rPr>
        <w:tab/>
      </w:r>
      <w:r>
        <w:rPr>
          <w:color w:val="5E5E5E"/>
          <w:spacing w:val="-5"/>
          <w:sz w:val="18"/>
        </w:rPr>
        <w:t>.]]</w:t>
      </w:r>
    </w:p>
    <w:p w14:paraId="51DE867C" w14:textId="77777777" w:rsidR="0010369C" w:rsidRDefault="0010369C">
      <w:pPr>
        <w:rPr>
          <w:sz w:val="18"/>
        </w:rPr>
        <w:sectPr w:rsidR="0010369C">
          <w:type w:val="continuous"/>
          <w:pgSz w:w="11910" w:h="16840"/>
          <w:pgMar w:top="1460" w:right="800" w:bottom="280" w:left="1180" w:header="569" w:footer="788" w:gutter="0"/>
          <w:cols w:num="2" w:space="720" w:equalWidth="0">
            <w:col w:w="6123" w:space="195"/>
            <w:col w:w="3612"/>
          </w:cols>
        </w:sectPr>
      </w:pPr>
    </w:p>
    <w:p w14:paraId="51DE867D" w14:textId="77777777" w:rsidR="0010369C" w:rsidRDefault="008E43AE">
      <w:pPr>
        <w:tabs>
          <w:tab w:val="left" w:pos="6425"/>
        </w:tabs>
        <w:ind w:left="238"/>
        <w:rPr>
          <w:sz w:val="20"/>
        </w:rPr>
      </w:pPr>
      <w:r>
        <w:rPr>
          <w:i/>
          <w:sz w:val="20"/>
        </w:rPr>
        <w:lastRenderedPageBreak/>
        <w:t>China</w:t>
      </w:r>
      <w:r>
        <w:rPr>
          <w:i/>
          <w:spacing w:val="-5"/>
          <w:sz w:val="20"/>
        </w:rPr>
        <w:t xml:space="preserve"> </w:t>
      </w:r>
      <w:r>
        <w:rPr>
          <w:i/>
          <w:sz w:val="20"/>
        </w:rPr>
        <w:t>–</w:t>
      </w:r>
      <w:r>
        <w:rPr>
          <w:i/>
          <w:spacing w:val="-5"/>
          <w:sz w:val="20"/>
        </w:rPr>
        <w:t xml:space="preserve"> </w:t>
      </w:r>
      <w:r>
        <w:rPr>
          <w:i/>
          <w:sz w:val="20"/>
        </w:rPr>
        <w:t>Anti‐Dumping</w:t>
      </w:r>
      <w:r>
        <w:rPr>
          <w:i/>
          <w:spacing w:val="-4"/>
          <w:sz w:val="20"/>
        </w:rPr>
        <w:t xml:space="preserve"> </w:t>
      </w:r>
      <w:r>
        <w:rPr>
          <w:i/>
          <w:sz w:val="20"/>
        </w:rPr>
        <w:t>and</w:t>
      </w:r>
      <w:r>
        <w:rPr>
          <w:i/>
          <w:spacing w:val="-5"/>
          <w:sz w:val="20"/>
        </w:rPr>
        <w:t xml:space="preserve"> </w:t>
      </w:r>
      <w:r>
        <w:rPr>
          <w:i/>
          <w:sz w:val="20"/>
        </w:rPr>
        <w:t>Countervailing</w:t>
      </w:r>
      <w:r>
        <w:rPr>
          <w:i/>
          <w:spacing w:val="-5"/>
          <w:sz w:val="20"/>
        </w:rPr>
        <w:t xml:space="preserve"> </w:t>
      </w:r>
      <w:r>
        <w:rPr>
          <w:i/>
          <w:sz w:val="20"/>
        </w:rPr>
        <w:t>Duty</w:t>
      </w:r>
      <w:r>
        <w:rPr>
          <w:i/>
          <w:spacing w:val="-4"/>
          <w:sz w:val="20"/>
        </w:rPr>
        <w:t xml:space="preserve"> </w:t>
      </w:r>
      <w:r>
        <w:rPr>
          <w:i/>
          <w:spacing w:val="-2"/>
          <w:sz w:val="20"/>
        </w:rPr>
        <w:t>Measures</w:t>
      </w:r>
      <w:r>
        <w:rPr>
          <w:i/>
          <w:sz w:val="20"/>
        </w:rPr>
        <w:tab/>
      </w:r>
      <w:r>
        <w:rPr>
          <w:sz w:val="20"/>
        </w:rPr>
        <w:t>Australia's</w:t>
      </w:r>
      <w:r>
        <w:rPr>
          <w:spacing w:val="-7"/>
          <w:sz w:val="20"/>
        </w:rPr>
        <w:t xml:space="preserve"> </w:t>
      </w:r>
      <w:r>
        <w:rPr>
          <w:sz w:val="20"/>
        </w:rPr>
        <w:t>First</w:t>
      </w:r>
      <w:r>
        <w:rPr>
          <w:spacing w:val="-2"/>
          <w:sz w:val="20"/>
        </w:rPr>
        <w:t xml:space="preserve"> </w:t>
      </w:r>
      <w:r>
        <w:rPr>
          <w:sz w:val="20"/>
        </w:rPr>
        <w:t>Written</w:t>
      </w:r>
      <w:r>
        <w:rPr>
          <w:spacing w:val="-2"/>
          <w:sz w:val="20"/>
        </w:rPr>
        <w:t xml:space="preserve"> Submission</w:t>
      </w:r>
    </w:p>
    <w:p w14:paraId="51DE867E" w14:textId="77777777" w:rsidR="0010369C" w:rsidRDefault="008E43AE">
      <w:pPr>
        <w:tabs>
          <w:tab w:val="left" w:pos="8227"/>
        </w:tabs>
        <w:spacing w:before="1"/>
        <w:ind w:left="239"/>
        <w:rPr>
          <w:sz w:val="20"/>
        </w:rPr>
      </w:pPr>
      <w:r>
        <w:pict w14:anchorId="51DEA158">
          <v:rect id="docshape666" o:spid="_x0000_s1622" style="position:absolute;left:0;text-align:left;margin-left:69.9pt;margin-top:14.1pt;width:453.45pt;height:16.05pt;z-index:-250970624;mso-wrap-distance-left:0;mso-wrap-distance-right:0;mso-position-horizontal-relative:page" fillcolor="black" stroked="f">
            <w10:wrap type="topAndBottom" anchorx="page"/>
          </v:rect>
        </w:pict>
      </w:r>
      <w:r>
        <w:pict w14:anchorId="51DEA159">
          <v:rect id="docshape667" o:spid="_x0000_s1621" style="position:absolute;left:0;text-align:left;margin-left:69.9pt;margin-top:36.1pt;width:122.2pt;height:16.05pt;z-index:251820544;mso-position-horizontal-relative:page" fillcolor="black" stroked="f">
            <w10:wrap anchorx="page"/>
          </v:rect>
        </w:pict>
      </w:r>
      <w:r>
        <w:rPr>
          <w:i/>
          <w:sz w:val="20"/>
        </w:rPr>
        <w:t>on</w:t>
      </w:r>
      <w:r>
        <w:rPr>
          <w:i/>
          <w:spacing w:val="-1"/>
          <w:sz w:val="20"/>
        </w:rPr>
        <w:t xml:space="preserve"> </w:t>
      </w:r>
      <w:r>
        <w:rPr>
          <w:i/>
          <w:sz w:val="20"/>
        </w:rPr>
        <w:t>Wine</w:t>
      </w:r>
      <w:r>
        <w:rPr>
          <w:i/>
          <w:spacing w:val="-1"/>
          <w:sz w:val="20"/>
        </w:rPr>
        <w:t xml:space="preserve"> </w:t>
      </w:r>
      <w:r>
        <w:rPr>
          <w:i/>
          <w:sz w:val="20"/>
        </w:rPr>
        <w:t>from</w:t>
      </w:r>
      <w:r>
        <w:rPr>
          <w:i/>
          <w:spacing w:val="-3"/>
          <w:sz w:val="20"/>
        </w:rPr>
        <w:t xml:space="preserve"> </w:t>
      </w:r>
      <w:r>
        <w:rPr>
          <w:i/>
          <w:sz w:val="20"/>
        </w:rPr>
        <w:t>Australia</w:t>
      </w:r>
      <w:r>
        <w:rPr>
          <w:i/>
          <w:spacing w:val="-1"/>
          <w:sz w:val="20"/>
        </w:rPr>
        <w:t xml:space="preserve"> </w:t>
      </w:r>
      <w:r>
        <w:rPr>
          <w:spacing w:val="-2"/>
          <w:sz w:val="20"/>
        </w:rPr>
        <w:t>(DS602)</w:t>
      </w:r>
      <w:r>
        <w:rPr>
          <w:sz w:val="20"/>
        </w:rPr>
        <w:tab/>
        <w:t>29</w:t>
      </w:r>
      <w:r>
        <w:rPr>
          <w:spacing w:val="-1"/>
          <w:sz w:val="20"/>
        </w:rPr>
        <w:t xml:space="preserve"> </w:t>
      </w:r>
      <w:r>
        <w:rPr>
          <w:sz w:val="20"/>
        </w:rPr>
        <w:t>April</w:t>
      </w:r>
      <w:r>
        <w:rPr>
          <w:spacing w:val="-2"/>
          <w:sz w:val="20"/>
        </w:rPr>
        <w:t xml:space="preserve"> </w:t>
      </w:r>
      <w:r>
        <w:rPr>
          <w:spacing w:val="-4"/>
          <w:sz w:val="20"/>
        </w:rPr>
        <w:t>2022</w:t>
      </w:r>
    </w:p>
    <w:p w14:paraId="51DE867F" w14:textId="77777777" w:rsidR="0010369C" w:rsidRDefault="008E43AE">
      <w:pPr>
        <w:spacing w:before="116"/>
        <w:ind w:left="2681"/>
        <w:rPr>
          <w:sz w:val="24"/>
        </w:rPr>
      </w:pPr>
      <w:r>
        <w:rPr>
          <w:spacing w:val="-5"/>
          <w:sz w:val="24"/>
        </w:rPr>
        <w:t>]]</w:t>
      </w:r>
    </w:p>
    <w:p w14:paraId="51DE8680" w14:textId="77777777" w:rsidR="0010369C" w:rsidRDefault="0010369C">
      <w:pPr>
        <w:pStyle w:val="BodyText"/>
        <w:spacing w:before="9"/>
        <w:rPr>
          <w:sz w:val="20"/>
        </w:rPr>
      </w:pPr>
    </w:p>
    <w:p w14:paraId="51DE8681" w14:textId="77777777" w:rsidR="0010369C" w:rsidRDefault="008E43AE">
      <w:pPr>
        <w:pStyle w:val="BodyText"/>
        <w:spacing w:before="52"/>
        <w:ind w:left="1089"/>
        <w:jc w:val="both"/>
      </w:pPr>
      <w:r>
        <w:rPr>
          <w:noProof/>
        </w:rPr>
        <w:drawing>
          <wp:anchor distT="0" distB="0" distL="0" distR="0" simplePos="0" relativeHeight="250652160" behindDoc="0" locked="0" layoutInCell="1" allowOverlap="1" wp14:anchorId="51DEA15A" wp14:editId="51DEA15B">
            <wp:simplePos x="0" y="0"/>
            <wp:positionH relativeFrom="page">
              <wp:posOffset>905255</wp:posOffset>
            </wp:positionH>
            <wp:positionV relativeFrom="paragraph">
              <wp:posOffset>76785</wp:posOffset>
            </wp:positionV>
            <wp:extent cx="259079" cy="106679"/>
            <wp:effectExtent l="0" t="0" r="0" b="0"/>
            <wp:wrapNone/>
            <wp:docPr id="591" name="image3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 name="image304.png"/>
                    <pic:cNvPicPr/>
                  </pic:nvPicPr>
                  <pic:blipFill>
                    <a:blip r:embed="rId420" cstate="print"/>
                    <a:stretch>
                      <a:fillRect/>
                    </a:stretch>
                  </pic:blipFill>
                  <pic:spPr>
                    <a:xfrm>
                      <a:off x="0" y="0"/>
                      <a:ext cx="259079" cy="106679"/>
                    </a:xfrm>
                    <a:prstGeom prst="rect">
                      <a:avLst/>
                    </a:prstGeom>
                  </pic:spPr>
                </pic:pic>
              </a:graphicData>
            </a:graphic>
          </wp:anchor>
        </w:drawing>
      </w:r>
      <w:r>
        <w:pict w14:anchorId="51DEA15C">
          <v:rect id="docshape668" o:spid="_x0000_s1620" style="position:absolute;left:0;text-align:left;margin-left:436.45pt;margin-top:2.7pt;width:87pt;height:16.05pt;z-index:251819520;mso-position-horizontal-relative:page;mso-position-vertical-relative:text" fillcolor="black" stroked="f">
            <w10:wrap anchorx="page"/>
          </v:rect>
        </w:pict>
      </w:r>
      <w:r>
        <w:t>Despite</w:t>
      </w:r>
      <w:r>
        <w:rPr>
          <w:spacing w:val="1"/>
        </w:rPr>
        <w:t xml:space="preserve"> </w:t>
      </w:r>
      <w:r>
        <w:t>there</w:t>
      </w:r>
      <w:r>
        <w:rPr>
          <w:spacing w:val="1"/>
        </w:rPr>
        <w:t xml:space="preserve"> </w:t>
      </w:r>
      <w:r>
        <w:t>being</w:t>
      </w:r>
      <w:r>
        <w:rPr>
          <w:spacing w:val="1"/>
        </w:rPr>
        <w:t xml:space="preserve"> </w:t>
      </w:r>
      <w:r>
        <w:t>no</w:t>
      </w:r>
      <w:r>
        <w:rPr>
          <w:spacing w:val="1"/>
        </w:rPr>
        <w:t xml:space="preserve"> </w:t>
      </w:r>
      <w:r>
        <w:t>evidence on</w:t>
      </w:r>
      <w:r>
        <w:rPr>
          <w:spacing w:val="1"/>
        </w:rPr>
        <w:t xml:space="preserve"> </w:t>
      </w:r>
      <w:r>
        <w:t>the</w:t>
      </w:r>
      <w:r>
        <w:rPr>
          <w:spacing w:val="1"/>
        </w:rPr>
        <w:t xml:space="preserve"> </w:t>
      </w:r>
      <w:r>
        <w:t>public</w:t>
      </w:r>
      <w:r>
        <w:rPr>
          <w:spacing w:val="2"/>
        </w:rPr>
        <w:t xml:space="preserve"> </w:t>
      </w:r>
      <w:r>
        <w:t>file</w:t>
      </w:r>
      <w:r>
        <w:rPr>
          <w:spacing w:val="1"/>
        </w:rPr>
        <w:t xml:space="preserve"> </w:t>
      </w:r>
      <w:r>
        <w:t>that</w:t>
      </w:r>
      <w:r>
        <w:rPr>
          <w:spacing w:val="1"/>
        </w:rPr>
        <w:t xml:space="preserve"> </w:t>
      </w:r>
      <w:r>
        <w:t>suggests</w:t>
      </w:r>
      <w:r>
        <w:rPr>
          <w:spacing w:val="1"/>
        </w:rPr>
        <w:t xml:space="preserve"> </w:t>
      </w:r>
      <w:r>
        <w:rPr>
          <w:spacing w:val="-5"/>
        </w:rPr>
        <w:t>[[</w:t>
      </w:r>
    </w:p>
    <w:p w14:paraId="51DE8682" w14:textId="77777777" w:rsidR="0010369C" w:rsidRDefault="008E43AE">
      <w:pPr>
        <w:pStyle w:val="BodyText"/>
        <w:spacing w:before="147" w:line="360" w:lineRule="auto"/>
        <w:ind w:left="236" w:right="613" w:firstLine="308"/>
        <w:jc w:val="both"/>
      </w:pPr>
      <w:r>
        <w:pict w14:anchorId="51DEA15D">
          <v:rect id="docshape669" o:spid="_x0000_s1619" style="position:absolute;left:0;text-align:left;margin-left:69.9pt;margin-top:7.45pt;width:15.35pt;height:16.05pt;z-index:-251348480;mso-position-horizontal-relative:page" fillcolor="black" stroked="f">
            <w10:wrap anchorx="page"/>
          </v:rect>
        </w:pict>
      </w:r>
      <w:r>
        <w:t>]] was anything other than an agent of Casella Wines, MOFCOM nonetheless rejected Casella Wines' explanation and made an adverse finding. This is particularly egregious given Casella</w:t>
      </w:r>
      <w:r>
        <w:rPr>
          <w:spacing w:val="-6"/>
        </w:rPr>
        <w:t xml:space="preserve"> </w:t>
      </w:r>
      <w:r>
        <w:t>Wines'</w:t>
      </w:r>
      <w:r>
        <w:rPr>
          <w:spacing w:val="-7"/>
        </w:rPr>
        <w:t xml:space="preserve"> </w:t>
      </w:r>
      <w:r>
        <w:t>explanation</w:t>
      </w:r>
      <w:r>
        <w:rPr>
          <w:spacing w:val="-7"/>
        </w:rPr>
        <w:t xml:space="preserve"> </w:t>
      </w:r>
      <w:r>
        <w:t>was</w:t>
      </w:r>
      <w:r>
        <w:rPr>
          <w:spacing w:val="-7"/>
        </w:rPr>
        <w:t xml:space="preserve"> </w:t>
      </w:r>
      <w:r>
        <w:t>consistent</w:t>
      </w:r>
      <w:r>
        <w:rPr>
          <w:spacing w:val="-5"/>
        </w:rPr>
        <w:t xml:space="preserve"> </w:t>
      </w:r>
      <w:r>
        <w:t>throughout</w:t>
      </w:r>
      <w:r>
        <w:rPr>
          <w:spacing w:val="-6"/>
        </w:rPr>
        <w:t xml:space="preserve"> </w:t>
      </w:r>
      <w:r>
        <w:t>the</w:t>
      </w:r>
      <w:r>
        <w:rPr>
          <w:spacing w:val="-6"/>
        </w:rPr>
        <w:t xml:space="preserve"> </w:t>
      </w:r>
      <w:r>
        <w:t>company's</w:t>
      </w:r>
      <w:r>
        <w:rPr>
          <w:spacing w:val="-7"/>
        </w:rPr>
        <w:t xml:space="preserve"> </w:t>
      </w:r>
      <w:r>
        <w:t>evidence</w:t>
      </w:r>
      <w:r>
        <w:rPr>
          <w:spacing w:val="-8"/>
        </w:rPr>
        <w:t xml:space="preserve"> </w:t>
      </w:r>
      <w:r>
        <w:t>on</w:t>
      </w:r>
      <w:r>
        <w:rPr>
          <w:spacing w:val="-6"/>
        </w:rPr>
        <w:t xml:space="preserve"> </w:t>
      </w:r>
      <w:r>
        <w:t>th</w:t>
      </w:r>
      <w:r>
        <w:t>e</w:t>
      </w:r>
      <w:r>
        <w:rPr>
          <w:spacing w:val="-6"/>
        </w:rPr>
        <w:t xml:space="preserve"> </w:t>
      </w:r>
      <w:r>
        <w:t>record. To the extent that any additional concerns existed, it was open to MOFCOM to request verification from Casella Wines, including through provision of further evidence to demonstrate the nature of this relationship. MOFCOM did not avail itself of t</w:t>
      </w:r>
      <w:r>
        <w:t>his option.</w:t>
      </w:r>
    </w:p>
    <w:p w14:paraId="51DE8683" w14:textId="77777777" w:rsidR="0010369C" w:rsidRDefault="0010369C">
      <w:pPr>
        <w:pStyle w:val="BodyText"/>
        <w:spacing w:before="10"/>
        <w:rPr>
          <w:sz w:val="8"/>
        </w:rPr>
      </w:pPr>
    </w:p>
    <w:p w14:paraId="51DE8684" w14:textId="77777777" w:rsidR="0010369C" w:rsidRDefault="008E43AE">
      <w:pPr>
        <w:pStyle w:val="BodyText"/>
        <w:spacing w:before="52" w:line="360" w:lineRule="auto"/>
        <w:ind w:left="238" w:firstLine="850"/>
      </w:pPr>
      <w:r>
        <w:rPr>
          <w:noProof/>
        </w:rPr>
        <w:drawing>
          <wp:anchor distT="0" distB="0" distL="0" distR="0" simplePos="0" relativeHeight="250953216" behindDoc="1" locked="0" layoutInCell="1" allowOverlap="1" wp14:anchorId="51DEA15E" wp14:editId="51DEA15F">
            <wp:simplePos x="0" y="0"/>
            <wp:positionH relativeFrom="page">
              <wp:posOffset>905255</wp:posOffset>
            </wp:positionH>
            <wp:positionV relativeFrom="paragraph">
              <wp:posOffset>81950</wp:posOffset>
            </wp:positionV>
            <wp:extent cx="259079" cy="100753"/>
            <wp:effectExtent l="0" t="0" r="0" b="0"/>
            <wp:wrapNone/>
            <wp:docPr id="593" name="image3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 name="image305.png"/>
                    <pic:cNvPicPr/>
                  </pic:nvPicPr>
                  <pic:blipFill>
                    <a:blip r:embed="rId421" cstate="print"/>
                    <a:stretch>
                      <a:fillRect/>
                    </a:stretch>
                  </pic:blipFill>
                  <pic:spPr>
                    <a:xfrm>
                      <a:off x="0" y="0"/>
                      <a:ext cx="259079" cy="100753"/>
                    </a:xfrm>
                    <a:prstGeom prst="rect">
                      <a:avLst/>
                    </a:prstGeom>
                  </pic:spPr>
                </pic:pic>
              </a:graphicData>
            </a:graphic>
          </wp:anchor>
        </w:drawing>
      </w:r>
      <w:r>
        <w:pict w14:anchorId="51DEA160">
          <v:rect id="docshape670" o:spid="_x0000_s1618" style="position:absolute;left:0;text-align:left;margin-left:456.15pt;margin-top:24.65pt;width:67.25pt;height:16.05pt;z-index:-251347456;mso-position-horizontal-relative:page;mso-position-vertical-relative:text" fillcolor="black" stroked="f">
            <w10:wrap anchorx="page"/>
          </v:rect>
        </w:pict>
      </w:r>
      <w:r>
        <w:t>For</w:t>
      </w:r>
      <w:r>
        <w:rPr>
          <w:spacing w:val="-10"/>
        </w:rPr>
        <w:t xml:space="preserve"> </w:t>
      </w:r>
      <w:r>
        <w:t>these</w:t>
      </w:r>
      <w:r>
        <w:rPr>
          <w:spacing w:val="-11"/>
        </w:rPr>
        <w:t xml:space="preserve"> </w:t>
      </w:r>
      <w:r>
        <w:t>reasons,</w:t>
      </w:r>
      <w:r>
        <w:rPr>
          <w:spacing w:val="-11"/>
        </w:rPr>
        <w:t xml:space="preserve"> </w:t>
      </w:r>
      <w:r>
        <w:t>MOFCOM</w:t>
      </w:r>
      <w:r>
        <w:rPr>
          <w:spacing w:val="-10"/>
        </w:rPr>
        <w:t xml:space="preserve"> </w:t>
      </w:r>
      <w:r>
        <w:t>failed</w:t>
      </w:r>
      <w:r>
        <w:rPr>
          <w:spacing w:val="-11"/>
        </w:rPr>
        <w:t xml:space="preserve"> </w:t>
      </w:r>
      <w:r>
        <w:t>to</w:t>
      </w:r>
      <w:r>
        <w:rPr>
          <w:spacing w:val="-10"/>
        </w:rPr>
        <w:t xml:space="preserve"> </w:t>
      </w:r>
      <w:r>
        <w:t>consider</w:t>
      </w:r>
      <w:r>
        <w:rPr>
          <w:spacing w:val="-10"/>
        </w:rPr>
        <w:t xml:space="preserve"> </w:t>
      </w:r>
      <w:r>
        <w:t>the</w:t>
      </w:r>
      <w:r>
        <w:rPr>
          <w:spacing w:val="-10"/>
        </w:rPr>
        <w:t xml:space="preserve"> </w:t>
      </w:r>
      <w:r>
        <w:t>available</w:t>
      </w:r>
      <w:r>
        <w:rPr>
          <w:spacing w:val="-11"/>
        </w:rPr>
        <w:t xml:space="preserve"> </w:t>
      </w:r>
      <w:r>
        <w:t>evidence</w:t>
      </w:r>
      <w:r>
        <w:rPr>
          <w:spacing w:val="-11"/>
        </w:rPr>
        <w:t xml:space="preserve"> </w:t>
      </w:r>
      <w:r>
        <w:t>in</w:t>
      </w:r>
      <w:r>
        <w:rPr>
          <w:spacing w:val="-12"/>
        </w:rPr>
        <w:t xml:space="preserve"> </w:t>
      </w:r>
      <w:r>
        <w:t>the</w:t>
      </w:r>
      <w:r>
        <w:rPr>
          <w:spacing w:val="-10"/>
        </w:rPr>
        <w:t xml:space="preserve"> </w:t>
      </w:r>
      <w:r>
        <w:t>requisite "unbiased and objective manner".</w:t>
      </w:r>
      <w:r>
        <w:rPr>
          <w:vertAlign w:val="superscript"/>
        </w:rPr>
        <w:t>317</w:t>
      </w:r>
      <w:r>
        <w:t xml:space="preserve"> MOFCOM erred in its adverse findings on [[</w:t>
      </w:r>
    </w:p>
    <w:p w14:paraId="51DE8685" w14:textId="77777777" w:rsidR="0010369C" w:rsidRDefault="008E43AE">
      <w:pPr>
        <w:pStyle w:val="BodyText"/>
        <w:spacing w:before="1" w:line="360" w:lineRule="auto"/>
        <w:ind w:left="237" w:right="611" w:firstLine="669"/>
      </w:pPr>
      <w:r>
        <w:pict w14:anchorId="51DEA161">
          <v:rect id="docshape671" o:spid="_x0000_s1617" style="position:absolute;left:0;text-align:left;margin-left:457.85pt;margin-top:22.1pt;width:65.65pt;height:16.05pt;z-index:-251350528;mso-position-horizontal-relative:page" fillcolor="black" stroked="f">
            <w10:wrap anchorx="page"/>
          </v:rect>
        </w:pict>
      </w:r>
      <w:r>
        <w:pict w14:anchorId="51DEA162">
          <v:rect id="docshape672" o:spid="_x0000_s1616" style="position:absolute;left:0;text-align:left;margin-left:69.9pt;margin-top:.15pt;width:33.45pt;height:16.05pt;z-index:-251346432;mso-position-horizontal-relative:page" fillcolor="black" stroked="f">
            <w10:wrap anchorx="page"/>
          </v:rect>
        </w:pict>
      </w:r>
      <w:r>
        <w:t>]],</w:t>
      </w:r>
      <w:r>
        <w:rPr>
          <w:spacing w:val="-7"/>
        </w:rPr>
        <w:t xml:space="preserve"> </w:t>
      </w:r>
      <w:r>
        <w:t>with</w:t>
      </w:r>
      <w:r>
        <w:rPr>
          <w:spacing w:val="-8"/>
        </w:rPr>
        <w:t xml:space="preserve"> </w:t>
      </w:r>
      <w:r>
        <w:t>the</w:t>
      </w:r>
      <w:r>
        <w:rPr>
          <w:spacing w:val="-7"/>
        </w:rPr>
        <w:t xml:space="preserve"> </w:t>
      </w:r>
      <w:r>
        <w:t>public</w:t>
      </w:r>
      <w:r>
        <w:rPr>
          <w:spacing w:val="-7"/>
        </w:rPr>
        <w:t xml:space="preserve"> </w:t>
      </w:r>
      <w:r>
        <w:t>record</w:t>
      </w:r>
      <w:r>
        <w:rPr>
          <w:spacing w:val="-8"/>
        </w:rPr>
        <w:t xml:space="preserve"> </w:t>
      </w:r>
      <w:r>
        <w:t>supporting</w:t>
      </w:r>
      <w:r>
        <w:rPr>
          <w:spacing w:val="-7"/>
        </w:rPr>
        <w:t xml:space="preserve"> </w:t>
      </w:r>
      <w:r>
        <w:t>Casella</w:t>
      </w:r>
      <w:r>
        <w:rPr>
          <w:spacing w:val="-7"/>
        </w:rPr>
        <w:t xml:space="preserve"> </w:t>
      </w:r>
      <w:r>
        <w:t>Wines'</w:t>
      </w:r>
      <w:r>
        <w:rPr>
          <w:spacing w:val="-8"/>
        </w:rPr>
        <w:t xml:space="preserve"> </w:t>
      </w:r>
      <w:r>
        <w:t>characterisation</w:t>
      </w:r>
      <w:r>
        <w:rPr>
          <w:spacing w:val="-7"/>
        </w:rPr>
        <w:t xml:space="preserve"> </w:t>
      </w:r>
      <w:r>
        <w:t>of</w:t>
      </w:r>
      <w:r>
        <w:rPr>
          <w:spacing w:val="-8"/>
        </w:rPr>
        <w:t xml:space="preserve"> </w:t>
      </w:r>
      <w:r>
        <w:t>the</w:t>
      </w:r>
      <w:r>
        <w:rPr>
          <w:spacing w:val="-7"/>
        </w:rPr>
        <w:t xml:space="preserve"> </w:t>
      </w:r>
      <w:r>
        <w:t>company</w:t>
      </w:r>
      <w:r>
        <w:rPr>
          <w:spacing w:val="-7"/>
        </w:rPr>
        <w:t xml:space="preserve"> </w:t>
      </w:r>
      <w:r>
        <w:t>as being</w:t>
      </w:r>
      <w:r>
        <w:rPr>
          <w:spacing w:val="-1"/>
        </w:rPr>
        <w:t xml:space="preserve"> </w:t>
      </w:r>
      <w:r>
        <w:t>its</w:t>
      </w:r>
      <w:r>
        <w:rPr>
          <w:spacing w:val="-1"/>
        </w:rPr>
        <w:t xml:space="preserve"> </w:t>
      </w:r>
      <w:r>
        <w:t>agent</w:t>
      </w:r>
      <w:r>
        <w:rPr>
          <w:spacing w:val="-1"/>
        </w:rPr>
        <w:t xml:space="preserve"> </w:t>
      </w:r>
      <w:r>
        <w:t>with</w:t>
      </w:r>
      <w:r>
        <w:rPr>
          <w:spacing w:val="-1"/>
        </w:rPr>
        <w:t xml:space="preserve"> </w:t>
      </w:r>
      <w:r>
        <w:t>a</w:t>
      </w:r>
      <w:r>
        <w:rPr>
          <w:spacing w:val="-1"/>
        </w:rPr>
        <w:t xml:space="preserve"> </w:t>
      </w:r>
      <w:r>
        <w:t>limited</w:t>
      </w:r>
      <w:r>
        <w:rPr>
          <w:spacing w:val="-1"/>
        </w:rPr>
        <w:t xml:space="preserve"> </w:t>
      </w:r>
      <w:r>
        <w:t>marketing</w:t>
      </w:r>
      <w:r>
        <w:rPr>
          <w:spacing w:val="-3"/>
        </w:rPr>
        <w:t xml:space="preserve"> </w:t>
      </w:r>
      <w:r>
        <w:t>role</w:t>
      </w:r>
      <w:r>
        <w:rPr>
          <w:spacing w:val="-1"/>
        </w:rPr>
        <w:t xml:space="preserve"> </w:t>
      </w:r>
      <w:r>
        <w:t>in</w:t>
      </w:r>
      <w:r>
        <w:rPr>
          <w:spacing w:val="-1"/>
        </w:rPr>
        <w:t xml:space="preserve"> </w:t>
      </w:r>
      <w:r>
        <w:t>its</w:t>
      </w:r>
      <w:r>
        <w:rPr>
          <w:spacing w:val="-4"/>
        </w:rPr>
        <w:t xml:space="preserve"> </w:t>
      </w:r>
      <w:r>
        <w:t>sales</w:t>
      </w:r>
      <w:r>
        <w:rPr>
          <w:spacing w:val="-1"/>
        </w:rPr>
        <w:t xml:space="preserve"> </w:t>
      </w:r>
      <w:r>
        <w:t>to</w:t>
      </w:r>
      <w:r>
        <w:rPr>
          <w:spacing w:val="-1"/>
        </w:rPr>
        <w:t xml:space="preserve"> </w:t>
      </w:r>
      <w:r>
        <w:t>one</w:t>
      </w:r>
      <w:r>
        <w:rPr>
          <w:spacing w:val="-3"/>
        </w:rPr>
        <w:t xml:space="preserve"> </w:t>
      </w:r>
      <w:r>
        <w:t>single</w:t>
      </w:r>
      <w:r>
        <w:rPr>
          <w:spacing w:val="-1"/>
        </w:rPr>
        <w:t xml:space="preserve"> </w:t>
      </w:r>
      <w:r>
        <w:t>customer.</w:t>
      </w:r>
      <w:r>
        <w:rPr>
          <w:spacing w:val="-1"/>
        </w:rPr>
        <w:t xml:space="preserve"> </w:t>
      </w:r>
      <w:r>
        <w:t>[[</w:t>
      </w:r>
    </w:p>
    <w:p w14:paraId="51DE8686" w14:textId="77777777" w:rsidR="0010369C" w:rsidRDefault="008E43AE">
      <w:pPr>
        <w:pStyle w:val="BodyText"/>
        <w:ind w:left="218"/>
        <w:rPr>
          <w:sz w:val="20"/>
        </w:rPr>
      </w:pPr>
      <w:r>
        <w:rPr>
          <w:sz w:val="20"/>
        </w:rPr>
      </w:r>
      <w:r>
        <w:rPr>
          <w:sz w:val="20"/>
        </w:rPr>
        <w:pict w14:anchorId="51DEA164">
          <v:group id="docshapegroup673" o:spid="_x0000_s1614" style="width:453.55pt;height:16.1pt;mso-position-horizontal-relative:char;mso-position-vertical-relative:line" coordsize="9071,322">
            <v:rect id="docshape674" o:spid="_x0000_s1615" style="position:absolute;width:9071;height:322" fillcolor="black" stroked="f"/>
            <w10:anchorlock/>
          </v:group>
        </w:pict>
      </w:r>
    </w:p>
    <w:p w14:paraId="51DE8687" w14:textId="77777777" w:rsidR="0010369C" w:rsidRDefault="008E43AE">
      <w:pPr>
        <w:pStyle w:val="BodyText"/>
        <w:spacing w:before="82" w:line="360" w:lineRule="auto"/>
        <w:ind w:left="237" w:right="613" w:firstLine="6366"/>
        <w:jc w:val="both"/>
      </w:pPr>
      <w:r>
        <w:pict w14:anchorId="51DEA165">
          <v:rect id="docshape675" o:spid="_x0000_s1613" style="position:absolute;left:0;text-align:left;margin-left:69.9pt;margin-top:4.2pt;width:318.25pt;height:16.05pt;z-index:-251349504;mso-position-horizontal-relative:page" fillcolor="black" stroked="f">
            <w10:wrap anchorx="page"/>
          </v:rect>
        </w:pict>
      </w:r>
      <w:r>
        <w:t>]] Accordingly, MOFCOM's conclusion that this relationship provided a</w:t>
      </w:r>
      <w:r>
        <w:t xml:space="preserve"> justification to reject all domestic sales is </w:t>
      </w:r>
      <w:r>
        <w:rPr>
          <w:spacing w:val="-2"/>
        </w:rPr>
        <w:t>incorrect.</w:t>
      </w:r>
    </w:p>
    <w:p w14:paraId="51DE8688" w14:textId="77777777" w:rsidR="0010369C" w:rsidRDefault="0010369C">
      <w:pPr>
        <w:pStyle w:val="BodyText"/>
        <w:spacing w:before="10"/>
        <w:rPr>
          <w:sz w:val="8"/>
        </w:rPr>
      </w:pPr>
    </w:p>
    <w:p w14:paraId="51DE8689" w14:textId="77777777" w:rsidR="0010369C" w:rsidRDefault="008E43AE">
      <w:pPr>
        <w:pStyle w:val="ListParagraph"/>
        <w:numPr>
          <w:ilvl w:val="4"/>
          <w:numId w:val="75"/>
        </w:numPr>
        <w:tabs>
          <w:tab w:val="left" w:pos="4492"/>
          <w:tab w:val="left" w:pos="4493"/>
        </w:tabs>
        <w:spacing w:before="52" w:line="360" w:lineRule="auto"/>
        <w:ind w:left="4492" w:right="614"/>
        <w:rPr>
          <w:i/>
          <w:sz w:val="24"/>
        </w:rPr>
      </w:pPr>
      <w:r>
        <w:rPr>
          <w:i/>
          <w:sz w:val="24"/>
        </w:rPr>
        <w:t>MOFCOM incorrectly rejected domestic sales due to special price arrangements</w:t>
      </w:r>
    </w:p>
    <w:p w14:paraId="51DE868A" w14:textId="77777777" w:rsidR="0010369C" w:rsidRDefault="0010369C">
      <w:pPr>
        <w:pStyle w:val="BodyText"/>
        <w:spacing w:before="11"/>
        <w:rPr>
          <w:i/>
          <w:sz w:val="8"/>
        </w:rPr>
      </w:pPr>
    </w:p>
    <w:p w14:paraId="51DE868B" w14:textId="77777777" w:rsidR="0010369C" w:rsidRDefault="008E43AE">
      <w:pPr>
        <w:pStyle w:val="BodyText"/>
        <w:spacing w:before="52" w:line="360" w:lineRule="auto"/>
        <w:ind w:left="238" w:right="613" w:firstLine="851"/>
        <w:jc w:val="both"/>
      </w:pPr>
      <w:r>
        <w:rPr>
          <w:noProof/>
        </w:rPr>
        <w:drawing>
          <wp:anchor distT="0" distB="0" distL="0" distR="0" simplePos="0" relativeHeight="250954240" behindDoc="1" locked="0" layoutInCell="1" allowOverlap="1" wp14:anchorId="51DEA166" wp14:editId="51DEA167">
            <wp:simplePos x="0" y="0"/>
            <wp:positionH relativeFrom="page">
              <wp:posOffset>905255</wp:posOffset>
            </wp:positionH>
            <wp:positionV relativeFrom="paragraph">
              <wp:posOffset>81357</wp:posOffset>
            </wp:positionV>
            <wp:extent cx="259079" cy="103631"/>
            <wp:effectExtent l="0" t="0" r="0" b="0"/>
            <wp:wrapNone/>
            <wp:docPr id="595" name="image3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 name="image306.png"/>
                    <pic:cNvPicPr/>
                  </pic:nvPicPr>
                  <pic:blipFill>
                    <a:blip r:embed="rId422" cstate="print"/>
                    <a:stretch>
                      <a:fillRect/>
                    </a:stretch>
                  </pic:blipFill>
                  <pic:spPr>
                    <a:xfrm>
                      <a:off x="0" y="0"/>
                      <a:ext cx="259079" cy="103631"/>
                    </a:xfrm>
                    <a:prstGeom prst="rect">
                      <a:avLst/>
                    </a:prstGeom>
                  </pic:spPr>
                </pic:pic>
              </a:graphicData>
            </a:graphic>
          </wp:anchor>
        </w:drawing>
      </w:r>
      <w:r>
        <w:t xml:space="preserve">MOFCOM made a further error in rejecting Casella Wines' reported domestic sales on the basis that the company did not </w:t>
      </w:r>
      <w:r>
        <w:t>sufficiently explain its special price arrangement and related transactions.</w:t>
      </w:r>
    </w:p>
    <w:p w14:paraId="51DE868C" w14:textId="77777777" w:rsidR="0010369C" w:rsidRDefault="0010369C">
      <w:pPr>
        <w:pStyle w:val="BodyText"/>
        <w:spacing w:before="10"/>
        <w:rPr>
          <w:sz w:val="8"/>
        </w:rPr>
      </w:pPr>
    </w:p>
    <w:p w14:paraId="51DE868D" w14:textId="77777777" w:rsidR="0010369C" w:rsidRDefault="008E43AE">
      <w:pPr>
        <w:pStyle w:val="BodyText"/>
        <w:spacing w:before="52" w:line="360" w:lineRule="auto"/>
        <w:ind w:left="237" w:right="611" w:firstLine="851"/>
      </w:pPr>
      <w:r>
        <w:rPr>
          <w:noProof/>
        </w:rPr>
        <w:drawing>
          <wp:anchor distT="0" distB="0" distL="0" distR="0" simplePos="0" relativeHeight="250955264" behindDoc="1" locked="0" layoutInCell="1" allowOverlap="1" wp14:anchorId="51DEA168" wp14:editId="51DEA169">
            <wp:simplePos x="0" y="0"/>
            <wp:positionH relativeFrom="page">
              <wp:posOffset>905255</wp:posOffset>
            </wp:positionH>
            <wp:positionV relativeFrom="paragraph">
              <wp:posOffset>81357</wp:posOffset>
            </wp:positionV>
            <wp:extent cx="259079" cy="103631"/>
            <wp:effectExtent l="0" t="0" r="0" b="0"/>
            <wp:wrapNone/>
            <wp:docPr id="597" name="image3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 name="image307.png"/>
                    <pic:cNvPicPr/>
                  </pic:nvPicPr>
                  <pic:blipFill>
                    <a:blip r:embed="rId423" cstate="print"/>
                    <a:stretch>
                      <a:fillRect/>
                    </a:stretch>
                  </pic:blipFill>
                  <pic:spPr>
                    <a:xfrm>
                      <a:off x="0" y="0"/>
                      <a:ext cx="259079" cy="103631"/>
                    </a:xfrm>
                    <a:prstGeom prst="rect">
                      <a:avLst/>
                    </a:prstGeom>
                  </pic:spPr>
                </pic:pic>
              </a:graphicData>
            </a:graphic>
          </wp:anchor>
        </w:drawing>
      </w:r>
      <w:r>
        <w:t>In its Final Determination, MOFCOM found in relation to special price arrangements that Casella Wines:</w:t>
      </w:r>
    </w:p>
    <w:p w14:paraId="51DE868E" w14:textId="77777777" w:rsidR="0010369C" w:rsidRDefault="008E43AE">
      <w:pPr>
        <w:pStyle w:val="ListParagraph"/>
        <w:numPr>
          <w:ilvl w:val="1"/>
          <w:numId w:val="69"/>
        </w:numPr>
        <w:tabs>
          <w:tab w:val="left" w:pos="1939"/>
          <w:tab w:val="left" w:pos="1940"/>
        </w:tabs>
        <w:spacing w:before="161"/>
        <w:ind w:hanging="852"/>
        <w:jc w:val="left"/>
        <w:rPr>
          <w:rFonts w:ascii="Symbol" w:hAnsi="Symbol"/>
          <w:sz w:val="24"/>
        </w:rPr>
      </w:pPr>
      <w:r>
        <w:pict w14:anchorId="51DEA16A">
          <v:rect id="docshape676" o:spid="_x0000_s1612" style="position:absolute;left:0;text-align:left;margin-left:471.3pt;margin-top:89.2pt;width:16.35pt;height:12.05pt;z-index:251822592;mso-position-horizontal-relative:page" fillcolor="black" stroked="f">
            <w10:wrap anchorx="page"/>
          </v:rect>
        </w:pict>
      </w:r>
      <w:r>
        <w:rPr>
          <w:sz w:val="24"/>
        </w:rPr>
        <w:t>did</w:t>
      </w:r>
      <w:r>
        <w:rPr>
          <w:spacing w:val="-6"/>
          <w:sz w:val="24"/>
        </w:rPr>
        <w:t xml:space="preserve"> </w:t>
      </w:r>
      <w:r>
        <w:rPr>
          <w:sz w:val="24"/>
        </w:rPr>
        <w:t>not</w:t>
      </w:r>
      <w:r>
        <w:rPr>
          <w:spacing w:val="-5"/>
          <w:sz w:val="24"/>
        </w:rPr>
        <w:t xml:space="preserve"> </w:t>
      </w:r>
      <w:r>
        <w:rPr>
          <w:sz w:val="24"/>
        </w:rPr>
        <w:t>explain</w:t>
      </w:r>
      <w:r>
        <w:rPr>
          <w:spacing w:val="-6"/>
          <w:sz w:val="24"/>
        </w:rPr>
        <w:t xml:space="preserve"> </w:t>
      </w:r>
      <w:r>
        <w:rPr>
          <w:sz w:val="24"/>
        </w:rPr>
        <w:t>the</w:t>
      </w:r>
      <w:r>
        <w:rPr>
          <w:spacing w:val="-5"/>
          <w:sz w:val="24"/>
        </w:rPr>
        <w:t xml:space="preserve"> </w:t>
      </w:r>
      <w:r>
        <w:rPr>
          <w:sz w:val="24"/>
        </w:rPr>
        <w:t>clients</w:t>
      </w:r>
      <w:r>
        <w:rPr>
          <w:spacing w:val="-6"/>
          <w:sz w:val="24"/>
        </w:rPr>
        <w:t xml:space="preserve"> </w:t>
      </w:r>
      <w:r>
        <w:rPr>
          <w:sz w:val="24"/>
        </w:rPr>
        <w:t>and</w:t>
      </w:r>
      <w:r>
        <w:rPr>
          <w:spacing w:val="-6"/>
          <w:sz w:val="24"/>
        </w:rPr>
        <w:t xml:space="preserve"> </w:t>
      </w:r>
      <w:r>
        <w:rPr>
          <w:sz w:val="24"/>
        </w:rPr>
        <w:t>the</w:t>
      </w:r>
      <w:r>
        <w:rPr>
          <w:spacing w:val="-5"/>
          <w:sz w:val="24"/>
        </w:rPr>
        <w:t xml:space="preserve"> </w:t>
      </w:r>
      <w:r>
        <w:rPr>
          <w:sz w:val="24"/>
        </w:rPr>
        <w:t>sales</w:t>
      </w:r>
      <w:r>
        <w:rPr>
          <w:spacing w:val="-6"/>
          <w:sz w:val="24"/>
        </w:rPr>
        <w:t xml:space="preserve"> </w:t>
      </w:r>
      <w:r>
        <w:rPr>
          <w:spacing w:val="-2"/>
          <w:sz w:val="24"/>
        </w:rPr>
        <w:t>situation;</w:t>
      </w:r>
      <w:r>
        <w:rPr>
          <w:spacing w:val="-2"/>
          <w:sz w:val="24"/>
          <w:vertAlign w:val="superscript"/>
        </w:rPr>
        <w:t>318</w:t>
      </w:r>
    </w:p>
    <w:p w14:paraId="51DE868F" w14:textId="77777777" w:rsidR="0010369C" w:rsidRDefault="0010369C">
      <w:pPr>
        <w:pStyle w:val="BodyText"/>
        <w:rPr>
          <w:sz w:val="20"/>
        </w:rPr>
      </w:pPr>
    </w:p>
    <w:p w14:paraId="51DE8690" w14:textId="77777777" w:rsidR="0010369C" w:rsidRDefault="0010369C">
      <w:pPr>
        <w:pStyle w:val="BodyText"/>
        <w:rPr>
          <w:sz w:val="20"/>
        </w:rPr>
      </w:pPr>
    </w:p>
    <w:p w14:paraId="51DE8691" w14:textId="77777777" w:rsidR="0010369C" w:rsidRDefault="0010369C">
      <w:pPr>
        <w:pStyle w:val="BodyText"/>
        <w:rPr>
          <w:sz w:val="20"/>
        </w:rPr>
      </w:pPr>
    </w:p>
    <w:p w14:paraId="51DE8692" w14:textId="77777777" w:rsidR="0010369C" w:rsidRDefault="0010369C">
      <w:pPr>
        <w:pStyle w:val="BodyText"/>
        <w:rPr>
          <w:sz w:val="20"/>
        </w:rPr>
      </w:pPr>
    </w:p>
    <w:p w14:paraId="51DE8693" w14:textId="77777777" w:rsidR="0010369C" w:rsidRDefault="008E43AE">
      <w:pPr>
        <w:pStyle w:val="BodyText"/>
        <w:spacing w:before="1"/>
        <w:rPr>
          <w:sz w:val="15"/>
        </w:rPr>
      </w:pPr>
      <w:r>
        <w:pict w14:anchorId="51DEA16B">
          <v:rect id="docshape677" o:spid="_x0000_s1611" style="position:absolute;margin-left:70.9pt;margin-top:10.4pt;width:2in;height:.8pt;z-index:-250969600;mso-wrap-distance-left:0;mso-wrap-distance-right:0;mso-position-horizontal-relative:page" fillcolor="black" stroked="f">
            <w10:wrap type="topAndBottom" anchorx="page"/>
          </v:rect>
        </w:pict>
      </w:r>
    </w:p>
    <w:p w14:paraId="51DE8694" w14:textId="77777777" w:rsidR="0010369C" w:rsidRDefault="0010369C">
      <w:pPr>
        <w:pStyle w:val="BodyText"/>
        <w:spacing w:before="8"/>
        <w:rPr>
          <w:sz w:val="5"/>
        </w:rPr>
      </w:pPr>
    </w:p>
    <w:p w14:paraId="51DE8695" w14:textId="77777777" w:rsidR="0010369C" w:rsidRDefault="0010369C">
      <w:pPr>
        <w:rPr>
          <w:sz w:val="5"/>
        </w:rPr>
        <w:sectPr w:rsidR="0010369C">
          <w:pgSz w:w="11910" w:h="16840"/>
          <w:pgMar w:top="880" w:right="800" w:bottom="980" w:left="1180" w:header="569" w:footer="788" w:gutter="0"/>
          <w:cols w:space="720"/>
        </w:sectPr>
      </w:pPr>
    </w:p>
    <w:p w14:paraId="51DE8696" w14:textId="77777777" w:rsidR="0010369C" w:rsidRDefault="008E43AE">
      <w:pPr>
        <w:spacing w:before="38"/>
        <w:ind w:left="238"/>
        <w:rPr>
          <w:sz w:val="18"/>
        </w:rPr>
      </w:pPr>
      <w:r>
        <w:pict w14:anchorId="51DEA16C">
          <v:rect id="docshape678" o:spid="_x0000_s1610" style="position:absolute;left:0;text-align:left;margin-left:87pt;margin-top:2.4pt;width:299.95pt;height:12.05pt;z-index:251821568;mso-position-horizontal-relative:page" fillcolor="black" stroked="f">
            <w10:wrap anchorx="page"/>
          </v:rect>
        </w:pict>
      </w:r>
      <w:r>
        <w:rPr>
          <w:color w:val="5E5E5E"/>
          <w:sz w:val="12"/>
        </w:rPr>
        <w:t>316</w:t>
      </w:r>
      <w:r>
        <w:rPr>
          <w:color w:val="5E5E5E"/>
          <w:spacing w:val="19"/>
          <w:sz w:val="12"/>
        </w:rPr>
        <w:t xml:space="preserve"> </w:t>
      </w:r>
      <w:r>
        <w:rPr>
          <w:color w:val="5E5E5E"/>
          <w:spacing w:val="-5"/>
          <w:position w:val="-5"/>
          <w:sz w:val="18"/>
        </w:rPr>
        <w:t>[[</w:t>
      </w:r>
    </w:p>
    <w:p w14:paraId="51DE8697" w14:textId="77777777" w:rsidR="0010369C" w:rsidRDefault="008E43AE">
      <w:pPr>
        <w:ind w:left="238"/>
        <w:rPr>
          <w:sz w:val="18"/>
        </w:rPr>
      </w:pPr>
      <w:r>
        <w:rPr>
          <w:spacing w:val="-2"/>
          <w:sz w:val="18"/>
        </w:rPr>
        <w:t>Wines</w:t>
      </w:r>
      <w:r>
        <w:rPr>
          <w:spacing w:val="5"/>
          <w:sz w:val="18"/>
        </w:rPr>
        <w:t xml:space="preserve"> </w:t>
      </w:r>
      <w:r>
        <w:rPr>
          <w:spacing w:val="-2"/>
          <w:sz w:val="18"/>
        </w:rPr>
        <w:t>Supplementary</w:t>
      </w:r>
      <w:r>
        <w:rPr>
          <w:spacing w:val="7"/>
          <w:sz w:val="18"/>
        </w:rPr>
        <w:t xml:space="preserve"> </w:t>
      </w:r>
      <w:r>
        <w:rPr>
          <w:spacing w:val="-2"/>
          <w:sz w:val="18"/>
        </w:rPr>
        <w:t>Questionnaire</w:t>
      </w:r>
      <w:r>
        <w:rPr>
          <w:spacing w:val="7"/>
          <w:sz w:val="18"/>
        </w:rPr>
        <w:t xml:space="preserve"> </w:t>
      </w:r>
      <w:r>
        <w:rPr>
          <w:spacing w:val="-2"/>
          <w:sz w:val="18"/>
        </w:rPr>
        <w:t>Response</w:t>
      </w:r>
      <w:r>
        <w:rPr>
          <w:spacing w:val="5"/>
          <w:sz w:val="18"/>
        </w:rPr>
        <w:t xml:space="preserve"> </w:t>
      </w:r>
      <w:r>
        <w:rPr>
          <w:spacing w:val="-2"/>
          <w:sz w:val="18"/>
        </w:rPr>
        <w:t>(Exhibit</w:t>
      </w:r>
      <w:r>
        <w:rPr>
          <w:spacing w:val="6"/>
          <w:sz w:val="18"/>
        </w:rPr>
        <w:t xml:space="preserve"> </w:t>
      </w:r>
      <w:r>
        <w:rPr>
          <w:spacing w:val="-2"/>
          <w:sz w:val="18"/>
        </w:rPr>
        <w:t>AUS‐30),</w:t>
      </w:r>
      <w:r>
        <w:rPr>
          <w:spacing w:val="6"/>
          <w:sz w:val="18"/>
        </w:rPr>
        <w:t xml:space="preserve"> </w:t>
      </w:r>
      <w:r>
        <w:rPr>
          <w:spacing w:val="-2"/>
          <w:sz w:val="18"/>
        </w:rPr>
        <w:t>p.</w:t>
      </w:r>
      <w:r>
        <w:rPr>
          <w:spacing w:val="6"/>
          <w:sz w:val="18"/>
        </w:rPr>
        <w:t xml:space="preserve"> </w:t>
      </w:r>
      <w:r>
        <w:rPr>
          <w:spacing w:val="-5"/>
          <w:sz w:val="18"/>
        </w:rPr>
        <w:t>4.</w:t>
      </w:r>
    </w:p>
    <w:p w14:paraId="51DE8698" w14:textId="77777777" w:rsidR="0010369C" w:rsidRDefault="008E43AE">
      <w:pPr>
        <w:ind w:left="238"/>
        <w:rPr>
          <w:sz w:val="18"/>
        </w:rPr>
      </w:pPr>
      <w:r>
        <w:rPr>
          <w:sz w:val="18"/>
          <w:vertAlign w:val="superscript"/>
        </w:rPr>
        <w:t>317</w:t>
      </w:r>
      <w:r>
        <w:rPr>
          <w:spacing w:val="-5"/>
          <w:sz w:val="18"/>
        </w:rPr>
        <w:t xml:space="preserve"> </w:t>
      </w:r>
      <w:r>
        <w:rPr>
          <w:sz w:val="18"/>
        </w:rPr>
        <w:t>Panel</w:t>
      </w:r>
      <w:r>
        <w:rPr>
          <w:spacing w:val="-6"/>
          <w:sz w:val="18"/>
        </w:rPr>
        <w:t xml:space="preserve"> </w:t>
      </w:r>
      <w:r>
        <w:rPr>
          <w:sz w:val="18"/>
        </w:rPr>
        <w:t>Report,</w:t>
      </w:r>
      <w:r>
        <w:rPr>
          <w:spacing w:val="-5"/>
          <w:sz w:val="18"/>
        </w:rPr>
        <w:t xml:space="preserve"> </w:t>
      </w:r>
      <w:r>
        <w:rPr>
          <w:i/>
          <w:sz w:val="18"/>
        </w:rPr>
        <w:t>Mexico</w:t>
      </w:r>
      <w:r>
        <w:rPr>
          <w:i/>
          <w:spacing w:val="-5"/>
          <w:sz w:val="18"/>
        </w:rPr>
        <w:t xml:space="preserve"> </w:t>
      </w:r>
      <w:r>
        <w:rPr>
          <w:i/>
          <w:sz w:val="18"/>
        </w:rPr>
        <w:t>–</w:t>
      </w:r>
      <w:r>
        <w:rPr>
          <w:i/>
          <w:spacing w:val="-5"/>
          <w:sz w:val="18"/>
        </w:rPr>
        <w:t xml:space="preserve"> </w:t>
      </w:r>
      <w:r>
        <w:rPr>
          <w:i/>
          <w:sz w:val="18"/>
        </w:rPr>
        <w:t>Steel</w:t>
      </w:r>
      <w:r>
        <w:rPr>
          <w:i/>
          <w:spacing w:val="-6"/>
          <w:sz w:val="18"/>
        </w:rPr>
        <w:t xml:space="preserve"> </w:t>
      </w:r>
      <w:r>
        <w:rPr>
          <w:i/>
          <w:sz w:val="18"/>
        </w:rPr>
        <w:t>Pipes</w:t>
      </w:r>
      <w:r>
        <w:rPr>
          <w:i/>
          <w:spacing w:val="-6"/>
          <w:sz w:val="18"/>
        </w:rPr>
        <w:t xml:space="preserve"> </w:t>
      </w:r>
      <w:r>
        <w:rPr>
          <w:i/>
          <w:sz w:val="18"/>
        </w:rPr>
        <w:t>and</w:t>
      </w:r>
      <w:r>
        <w:rPr>
          <w:i/>
          <w:spacing w:val="-6"/>
          <w:sz w:val="18"/>
        </w:rPr>
        <w:t xml:space="preserve"> </w:t>
      </w:r>
      <w:r>
        <w:rPr>
          <w:i/>
          <w:sz w:val="18"/>
        </w:rPr>
        <w:t>Tubes</w:t>
      </w:r>
      <w:r>
        <w:rPr>
          <w:sz w:val="18"/>
        </w:rPr>
        <w:t>,</w:t>
      </w:r>
      <w:r>
        <w:rPr>
          <w:spacing w:val="-6"/>
          <w:sz w:val="18"/>
        </w:rPr>
        <w:t xml:space="preserve"> </w:t>
      </w:r>
      <w:r>
        <w:rPr>
          <w:sz w:val="18"/>
        </w:rPr>
        <w:t>para.</w:t>
      </w:r>
      <w:r>
        <w:rPr>
          <w:spacing w:val="-5"/>
          <w:sz w:val="18"/>
        </w:rPr>
        <w:t xml:space="preserve"> </w:t>
      </w:r>
      <w:r>
        <w:rPr>
          <w:spacing w:val="-4"/>
          <w:sz w:val="18"/>
        </w:rPr>
        <w:t>7.5.</w:t>
      </w:r>
    </w:p>
    <w:p w14:paraId="51DE8699" w14:textId="77777777" w:rsidR="0010369C" w:rsidRDefault="008E43AE">
      <w:pPr>
        <w:ind w:left="238"/>
        <w:rPr>
          <w:sz w:val="18"/>
        </w:rPr>
      </w:pPr>
      <w:r>
        <w:rPr>
          <w:sz w:val="18"/>
          <w:vertAlign w:val="superscript"/>
        </w:rPr>
        <w:t>318</w:t>
      </w:r>
      <w:r>
        <w:rPr>
          <w:spacing w:val="-9"/>
          <w:sz w:val="18"/>
        </w:rPr>
        <w:t xml:space="preserve"> </w:t>
      </w:r>
      <w:r>
        <w:rPr>
          <w:sz w:val="18"/>
        </w:rPr>
        <w:t>Anti‐Dumping</w:t>
      </w:r>
      <w:r>
        <w:rPr>
          <w:spacing w:val="-9"/>
          <w:sz w:val="18"/>
        </w:rPr>
        <w:t xml:space="preserve"> </w:t>
      </w:r>
      <w:r>
        <w:rPr>
          <w:sz w:val="18"/>
        </w:rPr>
        <w:t>Final</w:t>
      </w:r>
      <w:r>
        <w:rPr>
          <w:spacing w:val="-9"/>
          <w:sz w:val="18"/>
        </w:rPr>
        <w:t xml:space="preserve"> </w:t>
      </w:r>
      <w:r>
        <w:rPr>
          <w:sz w:val="18"/>
        </w:rPr>
        <w:t>Determination</w:t>
      </w:r>
      <w:r>
        <w:rPr>
          <w:spacing w:val="-8"/>
          <w:sz w:val="18"/>
        </w:rPr>
        <w:t xml:space="preserve"> </w:t>
      </w:r>
      <w:r>
        <w:rPr>
          <w:sz w:val="18"/>
        </w:rPr>
        <w:t>(Exhibit</w:t>
      </w:r>
      <w:r>
        <w:rPr>
          <w:spacing w:val="-9"/>
          <w:sz w:val="18"/>
        </w:rPr>
        <w:t xml:space="preserve"> </w:t>
      </w:r>
      <w:r>
        <w:rPr>
          <w:sz w:val="18"/>
        </w:rPr>
        <w:t>AUS‐2),</w:t>
      </w:r>
      <w:r>
        <w:rPr>
          <w:spacing w:val="-9"/>
          <w:sz w:val="18"/>
        </w:rPr>
        <w:t xml:space="preserve"> </w:t>
      </w:r>
      <w:r>
        <w:rPr>
          <w:sz w:val="18"/>
        </w:rPr>
        <w:t>p.</w:t>
      </w:r>
      <w:r>
        <w:rPr>
          <w:spacing w:val="-9"/>
          <w:sz w:val="18"/>
        </w:rPr>
        <w:t xml:space="preserve"> </w:t>
      </w:r>
      <w:r>
        <w:rPr>
          <w:spacing w:val="-5"/>
          <w:sz w:val="18"/>
        </w:rPr>
        <w:t>74.</w:t>
      </w:r>
    </w:p>
    <w:p w14:paraId="51DE869A" w14:textId="77777777" w:rsidR="0010369C" w:rsidRDefault="008E43AE">
      <w:pPr>
        <w:spacing w:before="41"/>
        <w:ind w:left="238"/>
        <w:rPr>
          <w:sz w:val="18"/>
        </w:rPr>
      </w:pPr>
      <w:r>
        <w:br w:type="column"/>
      </w:r>
      <w:r>
        <w:rPr>
          <w:color w:val="5E5E5E"/>
          <w:sz w:val="18"/>
        </w:rPr>
        <w:t>(Exhibit</w:t>
      </w:r>
      <w:r>
        <w:rPr>
          <w:color w:val="5E5E5E"/>
          <w:spacing w:val="-2"/>
          <w:sz w:val="18"/>
        </w:rPr>
        <w:t xml:space="preserve"> </w:t>
      </w:r>
      <w:r>
        <w:rPr>
          <w:color w:val="5E5E5E"/>
          <w:sz w:val="18"/>
        </w:rPr>
        <w:t>AUS‐29</w:t>
      </w:r>
      <w:r>
        <w:rPr>
          <w:color w:val="5E5E5E"/>
          <w:spacing w:val="-2"/>
          <w:sz w:val="18"/>
        </w:rPr>
        <w:t xml:space="preserve"> (BCI)),</w:t>
      </w:r>
    </w:p>
    <w:p w14:paraId="51DE869B" w14:textId="77777777" w:rsidR="0010369C" w:rsidRDefault="008E43AE">
      <w:pPr>
        <w:spacing w:before="41"/>
        <w:ind w:left="238"/>
        <w:rPr>
          <w:sz w:val="18"/>
        </w:rPr>
      </w:pPr>
      <w:r>
        <w:br w:type="column"/>
      </w:r>
      <w:r>
        <w:rPr>
          <w:sz w:val="18"/>
        </w:rPr>
        <w:t>]];</w:t>
      </w:r>
      <w:r>
        <w:rPr>
          <w:spacing w:val="3"/>
          <w:sz w:val="18"/>
        </w:rPr>
        <w:t xml:space="preserve"> </w:t>
      </w:r>
      <w:r>
        <w:rPr>
          <w:spacing w:val="-2"/>
          <w:sz w:val="18"/>
        </w:rPr>
        <w:t>Casella</w:t>
      </w:r>
    </w:p>
    <w:p w14:paraId="51DE869C" w14:textId="77777777" w:rsidR="0010369C" w:rsidRDefault="0010369C">
      <w:pPr>
        <w:rPr>
          <w:sz w:val="18"/>
        </w:rPr>
        <w:sectPr w:rsidR="0010369C">
          <w:type w:val="continuous"/>
          <w:pgSz w:w="11910" w:h="16840"/>
          <w:pgMar w:top="1460" w:right="800" w:bottom="280" w:left="1180" w:header="569" w:footer="788" w:gutter="0"/>
          <w:cols w:num="3" w:space="720" w:equalWidth="0">
            <w:col w:w="5347" w:space="1044"/>
            <w:col w:w="1916" w:space="48"/>
            <w:col w:w="1575"/>
          </w:cols>
        </w:sectPr>
      </w:pPr>
    </w:p>
    <w:p w14:paraId="51DE869D" w14:textId="77777777" w:rsidR="0010369C" w:rsidRDefault="008E43AE">
      <w:pPr>
        <w:tabs>
          <w:tab w:val="left" w:pos="6425"/>
        </w:tabs>
        <w:ind w:left="238"/>
        <w:rPr>
          <w:sz w:val="20"/>
        </w:rPr>
      </w:pPr>
      <w:r>
        <w:rPr>
          <w:i/>
          <w:sz w:val="20"/>
        </w:rPr>
        <w:lastRenderedPageBreak/>
        <w:t>China</w:t>
      </w:r>
      <w:r>
        <w:rPr>
          <w:i/>
          <w:spacing w:val="-5"/>
          <w:sz w:val="20"/>
        </w:rPr>
        <w:t xml:space="preserve"> </w:t>
      </w:r>
      <w:r>
        <w:rPr>
          <w:i/>
          <w:sz w:val="20"/>
        </w:rPr>
        <w:t>–</w:t>
      </w:r>
      <w:r>
        <w:rPr>
          <w:i/>
          <w:spacing w:val="-5"/>
          <w:sz w:val="20"/>
        </w:rPr>
        <w:t xml:space="preserve"> </w:t>
      </w:r>
      <w:r>
        <w:rPr>
          <w:i/>
          <w:sz w:val="20"/>
        </w:rPr>
        <w:t>Anti‐Dumping</w:t>
      </w:r>
      <w:r>
        <w:rPr>
          <w:i/>
          <w:spacing w:val="-4"/>
          <w:sz w:val="20"/>
        </w:rPr>
        <w:t xml:space="preserve"> </w:t>
      </w:r>
      <w:r>
        <w:rPr>
          <w:i/>
          <w:sz w:val="20"/>
        </w:rPr>
        <w:t>and</w:t>
      </w:r>
      <w:r>
        <w:rPr>
          <w:i/>
          <w:spacing w:val="-5"/>
          <w:sz w:val="20"/>
        </w:rPr>
        <w:t xml:space="preserve"> </w:t>
      </w:r>
      <w:r>
        <w:rPr>
          <w:i/>
          <w:sz w:val="20"/>
        </w:rPr>
        <w:t>Countervailing</w:t>
      </w:r>
      <w:r>
        <w:rPr>
          <w:i/>
          <w:spacing w:val="-5"/>
          <w:sz w:val="20"/>
        </w:rPr>
        <w:t xml:space="preserve"> </w:t>
      </w:r>
      <w:r>
        <w:rPr>
          <w:i/>
          <w:sz w:val="20"/>
        </w:rPr>
        <w:t>Duty</w:t>
      </w:r>
      <w:r>
        <w:rPr>
          <w:i/>
          <w:spacing w:val="-4"/>
          <w:sz w:val="20"/>
        </w:rPr>
        <w:t xml:space="preserve"> </w:t>
      </w:r>
      <w:r>
        <w:rPr>
          <w:i/>
          <w:spacing w:val="-2"/>
          <w:sz w:val="20"/>
        </w:rPr>
        <w:t>Measures</w:t>
      </w:r>
      <w:r>
        <w:rPr>
          <w:i/>
          <w:sz w:val="20"/>
        </w:rPr>
        <w:tab/>
      </w:r>
      <w:r>
        <w:rPr>
          <w:sz w:val="20"/>
        </w:rPr>
        <w:t>Australia's</w:t>
      </w:r>
      <w:r>
        <w:rPr>
          <w:spacing w:val="-7"/>
          <w:sz w:val="20"/>
        </w:rPr>
        <w:t xml:space="preserve"> </w:t>
      </w:r>
      <w:r>
        <w:rPr>
          <w:sz w:val="20"/>
        </w:rPr>
        <w:t>First</w:t>
      </w:r>
      <w:r>
        <w:rPr>
          <w:spacing w:val="-2"/>
          <w:sz w:val="20"/>
        </w:rPr>
        <w:t xml:space="preserve"> </w:t>
      </w:r>
      <w:r>
        <w:rPr>
          <w:sz w:val="20"/>
        </w:rPr>
        <w:t>Written</w:t>
      </w:r>
      <w:r>
        <w:rPr>
          <w:spacing w:val="-2"/>
          <w:sz w:val="20"/>
        </w:rPr>
        <w:t xml:space="preserve"> Submission</w:t>
      </w:r>
    </w:p>
    <w:p w14:paraId="51DE869E" w14:textId="77777777" w:rsidR="0010369C" w:rsidRDefault="008E43AE">
      <w:pPr>
        <w:tabs>
          <w:tab w:val="left" w:pos="8227"/>
        </w:tabs>
        <w:spacing w:before="1"/>
        <w:ind w:left="239"/>
        <w:rPr>
          <w:sz w:val="20"/>
        </w:rPr>
      </w:pPr>
      <w:r>
        <w:rPr>
          <w:i/>
          <w:sz w:val="20"/>
        </w:rPr>
        <w:t>on</w:t>
      </w:r>
      <w:r>
        <w:rPr>
          <w:i/>
          <w:spacing w:val="-1"/>
          <w:sz w:val="20"/>
        </w:rPr>
        <w:t xml:space="preserve"> </w:t>
      </w:r>
      <w:r>
        <w:rPr>
          <w:i/>
          <w:sz w:val="20"/>
        </w:rPr>
        <w:t>Wine</w:t>
      </w:r>
      <w:r>
        <w:rPr>
          <w:i/>
          <w:spacing w:val="-1"/>
          <w:sz w:val="20"/>
        </w:rPr>
        <w:t xml:space="preserve"> </w:t>
      </w:r>
      <w:r>
        <w:rPr>
          <w:i/>
          <w:sz w:val="20"/>
        </w:rPr>
        <w:t>from</w:t>
      </w:r>
      <w:r>
        <w:rPr>
          <w:i/>
          <w:spacing w:val="-3"/>
          <w:sz w:val="20"/>
        </w:rPr>
        <w:t xml:space="preserve"> </w:t>
      </w:r>
      <w:r>
        <w:rPr>
          <w:i/>
          <w:sz w:val="20"/>
        </w:rPr>
        <w:t>Australia</w:t>
      </w:r>
      <w:r>
        <w:rPr>
          <w:i/>
          <w:spacing w:val="-1"/>
          <w:sz w:val="20"/>
        </w:rPr>
        <w:t xml:space="preserve"> </w:t>
      </w:r>
      <w:r>
        <w:rPr>
          <w:spacing w:val="-2"/>
          <w:sz w:val="20"/>
        </w:rPr>
        <w:t>(DS602)</w:t>
      </w:r>
      <w:r>
        <w:rPr>
          <w:sz w:val="20"/>
        </w:rPr>
        <w:tab/>
        <w:t>29</w:t>
      </w:r>
      <w:r>
        <w:rPr>
          <w:spacing w:val="-1"/>
          <w:sz w:val="20"/>
        </w:rPr>
        <w:t xml:space="preserve"> </w:t>
      </w:r>
      <w:r>
        <w:rPr>
          <w:sz w:val="20"/>
        </w:rPr>
        <w:t>April</w:t>
      </w:r>
      <w:r>
        <w:rPr>
          <w:spacing w:val="-2"/>
          <w:sz w:val="20"/>
        </w:rPr>
        <w:t xml:space="preserve"> </w:t>
      </w:r>
      <w:r>
        <w:rPr>
          <w:spacing w:val="-4"/>
          <w:sz w:val="20"/>
        </w:rPr>
        <w:t>2022</w:t>
      </w:r>
    </w:p>
    <w:p w14:paraId="51DE869F" w14:textId="77777777" w:rsidR="0010369C" w:rsidRDefault="008E43AE">
      <w:pPr>
        <w:pStyle w:val="ListParagraph"/>
        <w:numPr>
          <w:ilvl w:val="1"/>
          <w:numId w:val="69"/>
        </w:numPr>
        <w:tabs>
          <w:tab w:val="left" w:pos="1940"/>
          <w:tab w:val="left" w:pos="1941"/>
        </w:tabs>
        <w:spacing w:before="35"/>
        <w:ind w:left="1940" w:hanging="852"/>
        <w:jc w:val="left"/>
        <w:rPr>
          <w:rFonts w:ascii="Symbol" w:hAnsi="Symbol"/>
          <w:sz w:val="24"/>
        </w:rPr>
      </w:pPr>
      <w:r>
        <w:rPr>
          <w:sz w:val="24"/>
        </w:rPr>
        <w:t>did</w:t>
      </w:r>
      <w:r>
        <w:rPr>
          <w:spacing w:val="-6"/>
          <w:sz w:val="24"/>
        </w:rPr>
        <w:t xml:space="preserve"> </w:t>
      </w:r>
      <w:r>
        <w:rPr>
          <w:sz w:val="24"/>
        </w:rPr>
        <w:t>not</w:t>
      </w:r>
      <w:r>
        <w:rPr>
          <w:spacing w:val="-5"/>
          <w:sz w:val="24"/>
        </w:rPr>
        <w:t xml:space="preserve"> </w:t>
      </w:r>
      <w:r>
        <w:rPr>
          <w:sz w:val="24"/>
        </w:rPr>
        <w:t>provide</w:t>
      </w:r>
      <w:r>
        <w:rPr>
          <w:spacing w:val="-5"/>
          <w:sz w:val="24"/>
        </w:rPr>
        <w:t xml:space="preserve"> </w:t>
      </w:r>
      <w:r>
        <w:rPr>
          <w:sz w:val="24"/>
        </w:rPr>
        <w:t>the</w:t>
      </w:r>
      <w:r>
        <w:rPr>
          <w:spacing w:val="-5"/>
          <w:sz w:val="24"/>
        </w:rPr>
        <w:t xml:space="preserve"> </w:t>
      </w:r>
      <w:r>
        <w:rPr>
          <w:sz w:val="24"/>
        </w:rPr>
        <w:t>sales</w:t>
      </w:r>
      <w:r>
        <w:rPr>
          <w:spacing w:val="-6"/>
          <w:sz w:val="24"/>
        </w:rPr>
        <w:t xml:space="preserve"> </w:t>
      </w:r>
      <w:r>
        <w:rPr>
          <w:spacing w:val="-2"/>
          <w:sz w:val="24"/>
        </w:rPr>
        <w:t>process;</w:t>
      </w:r>
      <w:r>
        <w:rPr>
          <w:spacing w:val="-2"/>
          <w:sz w:val="24"/>
          <w:vertAlign w:val="superscript"/>
        </w:rPr>
        <w:t>319</w:t>
      </w:r>
    </w:p>
    <w:p w14:paraId="51DE86A0" w14:textId="77777777" w:rsidR="0010369C" w:rsidRDefault="008E43AE">
      <w:pPr>
        <w:pStyle w:val="ListParagraph"/>
        <w:numPr>
          <w:ilvl w:val="1"/>
          <w:numId w:val="69"/>
        </w:numPr>
        <w:tabs>
          <w:tab w:val="left" w:pos="1940"/>
          <w:tab w:val="left" w:pos="1941"/>
        </w:tabs>
        <w:spacing w:before="266"/>
        <w:ind w:left="1940" w:hanging="852"/>
        <w:jc w:val="left"/>
        <w:rPr>
          <w:rFonts w:ascii="Symbol" w:hAnsi="Symbol"/>
          <w:sz w:val="24"/>
        </w:rPr>
      </w:pPr>
      <w:r>
        <w:rPr>
          <w:sz w:val="24"/>
        </w:rPr>
        <w:t>did</w:t>
      </w:r>
      <w:r>
        <w:rPr>
          <w:spacing w:val="-10"/>
          <w:sz w:val="24"/>
        </w:rPr>
        <w:t xml:space="preserve"> </w:t>
      </w:r>
      <w:r>
        <w:rPr>
          <w:sz w:val="24"/>
        </w:rPr>
        <w:t>not</w:t>
      </w:r>
      <w:r>
        <w:rPr>
          <w:spacing w:val="-8"/>
          <w:sz w:val="24"/>
        </w:rPr>
        <w:t xml:space="preserve"> </w:t>
      </w:r>
      <w:r>
        <w:rPr>
          <w:sz w:val="24"/>
        </w:rPr>
        <w:t>explain</w:t>
      </w:r>
      <w:r>
        <w:rPr>
          <w:spacing w:val="-9"/>
          <w:sz w:val="24"/>
        </w:rPr>
        <w:t xml:space="preserve"> </w:t>
      </w:r>
      <w:r>
        <w:rPr>
          <w:sz w:val="24"/>
        </w:rPr>
        <w:t>what</w:t>
      </w:r>
      <w:r>
        <w:rPr>
          <w:spacing w:val="-9"/>
          <w:sz w:val="24"/>
        </w:rPr>
        <w:t xml:space="preserve"> </w:t>
      </w:r>
      <w:r>
        <w:rPr>
          <w:sz w:val="24"/>
        </w:rPr>
        <w:t>special</w:t>
      </w:r>
      <w:r>
        <w:rPr>
          <w:spacing w:val="-8"/>
          <w:sz w:val="24"/>
        </w:rPr>
        <w:t xml:space="preserve"> </w:t>
      </w:r>
      <w:r>
        <w:rPr>
          <w:sz w:val="24"/>
        </w:rPr>
        <w:t>price</w:t>
      </w:r>
      <w:r>
        <w:rPr>
          <w:spacing w:val="-8"/>
          <w:sz w:val="24"/>
        </w:rPr>
        <w:t xml:space="preserve"> </w:t>
      </w:r>
      <w:r>
        <w:rPr>
          <w:sz w:val="24"/>
        </w:rPr>
        <w:t>arrangement</w:t>
      </w:r>
      <w:r>
        <w:rPr>
          <w:spacing w:val="-10"/>
          <w:sz w:val="24"/>
        </w:rPr>
        <w:t xml:space="preserve"> </w:t>
      </w:r>
      <w:r>
        <w:rPr>
          <w:sz w:val="24"/>
        </w:rPr>
        <w:t>meant;</w:t>
      </w:r>
      <w:r>
        <w:rPr>
          <w:sz w:val="24"/>
          <w:vertAlign w:val="superscript"/>
        </w:rPr>
        <w:t>320</w:t>
      </w:r>
      <w:r>
        <w:rPr>
          <w:spacing w:val="-9"/>
          <w:sz w:val="24"/>
        </w:rPr>
        <w:t xml:space="preserve"> </w:t>
      </w:r>
      <w:r>
        <w:rPr>
          <w:spacing w:val="-5"/>
          <w:sz w:val="24"/>
        </w:rPr>
        <w:t>and</w:t>
      </w:r>
    </w:p>
    <w:p w14:paraId="51DE86A1" w14:textId="77777777" w:rsidR="0010369C" w:rsidRDefault="008E43AE">
      <w:pPr>
        <w:pStyle w:val="ListParagraph"/>
        <w:numPr>
          <w:ilvl w:val="1"/>
          <w:numId w:val="69"/>
        </w:numPr>
        <w:tabs>
          <w:tab w:val="left" w:pos="1940"/>
          <w:tab w:val="left" w:pos="1941"/>
        </w:tabs>
        <w:spacing w:before="266" w:line="355" w:lineRule="auto"/>
        <w:ind w:right="614"/>
        <w:jc w:val="left"/>
        <w:rPr>
          <w:rFonts w:ascii="Symbol" w:hAnsi="Symbol"/>
          <w:sz w:val="24"/>
        </w:rPr>
      </w:pPr>
      <w:r>
        <w:rPr>
          <w:sz w:val="24"/>
        </w:rPr>
        <w:t>failed</w:t>
      </w:r>
      <w:r>
        <w:rPr>
          <w:spacing w:val="29"/>
          <w:sz w:val="24"/>
        </w:rPr>
        <w:t xml:space="preserve"> </w:t>
      </w:r>
      <w:r>
        <w:rPr>
          <w:sz w:val="24"/>
        </w:rPr>
        <w:t>to</w:t>
      </w:r>
      <w:r>
        <w:rPr>
          <w:spacing w:val="29"/>
          <w:sz w:val="24"/>
        </w:rPr>
        <w:t xml:space="preserve"> </w:t>
      </w:r>
      <w:r>
        <w:rPr>
          <w:sz w:val="24"/>
        </w:rPr>
        <w:t>provide</w:t>
      </w:r>
      <w:r>
        <w:rPr>
          <w:spacing w:val="29"/>
          <w:sz w:val="24"/>
        </w:rPr>
        <w:t xml:space="preserve"> </w:t>
      </w:r>
      <w:r>
        <w:rPr>
          <w:sz w:val="24"/>
        </w:rPr>
        <w:t>a</w:t>
      </w:r>
      <w:r>
        <w:rPr>
          <w:spacing w:val="29"/>
          <w:sz w:val="24"/>
        </w:rPr>
        <w:t xml:space="preserve"> </w:t>
      </w:r>
      <w:r>
        <w:rPr>
          <w:sz w:val="24"/>
        </w:rPr>
        <w:t>reason</w:t>
      </w:r>
      <w:r>
        <w:rPr>
          <w:spacing w:val="28"/>
          <w:sz w:val="24"/>
        </w:rPr>
        <w:t xml:space="preserve"> </w:t>
      </w:r>
      <w:r>
        <w:rPr>
          <w:sz w:val="24"/>
        </w:rPr>
        <w:t>why</w:t>
      </w:r>
      <w:r>
        <w:rPr>
          <w:spacing w:val="29"/>
          <w:sz w:val="24"/>
        </w:rPr>
        <w:t xml:space="preserve"> </w:t>
      </w:r>
      <w:r>
        <w:rPr>
          <w:sz w:val="24"/>
        </w:rPr>
        <w:t>the</w:t>
      </w:r>
      <w:r>
        <w:rPr>
          <w:spacing w:val="29"/>
          <w:sz w:val="24"/>
        </w:rPr>
        <w:t xml:space="preserve"> </w:t>
      </w:r>
      <w:r>
        <w:rPr>
          <w:sz w:val="24"/>
        </w:rPr>
        <w:t>sales</w:t>
      </w:r>
      <w:r>
        <w:rPr>
          <w:spacing w:val="28"/>
          <w:sz w:val="24"/>
        </w:rPr>
        <w:t xml:space="preserve"> </w:t>
      </w:r>
      <w:r>
        <w:rPr>
          <w:sz w:val="24"/>
        </w:rPr>
        <w:t>prices</w:t>
      </w:r>
      <w:r>
        <w:rPr>
          <w:spacing w:val="28"/>
          <w:sz w:val="24"/>
        </w:rPr>
        <w:t xml:space="preserve"> </w:t>
      </w:r>
      <w:r>
        <w:rPr>
          <w:sz w:val="24"/>
        </w:rPr>
        <w:t>under</w:t>
      </w:r>
      <w:r>
        <w:rPr>
          <w:spacing w:val="29"/>
          <w:sz w:val="24"/>
        </w:rPr>
        <w:t xml:space="preserve"> </w:t>
      </w:r>
      <w:r>
        <w:rPr>
          <w:sz w:val="24"/>
        </w:rPr>
        <w:t>some</w:t>
      </w:r>
      <w:r>
        <w:rPr>
          <w:spacing w:val="29"/>
          <w:sz w:val="24"/>
        </w:rPr>
        <w:t xml:space="preserve"> </w:t>
      </w:r>
      <w:r>
        <w:rPr>
          <w:sz w:val="24"/>
        </w:rPr>
        <w:t>special</w:t>
      </w:r>
      <w:r>
        <w:rPr>
          <w:spacing w:val="29"/>
          <w:sz w:val="24"/>
        </w:rPr>
        <w:t xml:space="preserve"> </w:t>
      </w:r>
      <w:r>
        <w:rPr>
          <w:sz w:val="24"/>
        </w:rPr>
        <w:t>price arrangements were negative.</w:t>
      </w:r>
      <w:r>
        <w:rPr>
          <w:sz w:val="24"/>
          <w:vertAlign w:val="superscript"/>
        </w:rPr>
        <w:t>321</w:t>
      </w:r>
    </w:p>
    <w:p w14:paraId="51DE86A2" w14:textId="77777777" w:rsidR="0010369C" w:rsidRDefault="008E43AE">
      <w:pPr>
        <w:pStyle w:val="BodyText"/>
        <w:spacing w:before="112" w:line="360" w:lineRule="auto"/>
        <w:ind w:left="238" w:right="611" w:firstLine="850"/>
      </w:pPr>
      <w:r>
        <w:pict w14:anchorId="51DEA16D">
          <v:rect id="docshape679" o:spid="_x0000_s1609" style="position:absolute;left:0;text-align:left;margin-left:69.95pt;margin-top:50pt;width:453.65pt;height:15.6pt;z-index:-250968576;mso-wrap-distance-left:0;mso-wrap-distance-right:0;mso-position-horizontal-relative:page" fillcolor="black" stroked="f">
            <w10:wrap type="topAndBottom" anchorx="page"/>
          </v:rect>
        </w:pict>
      </w:r>
      <w:r>
        <w:rPr>
          <w:noProof/>
        </w:rPr>
        <w:drawing>
          <wp:anchor distT="0" distB="0" distL="0" distR="0" simplePos="0" relativeHeight="250956288" behindDoc="1" locked="0" layoutInCell="1" allowOverlap="1" wp14:anchorId="51DEA16E" wp14:editId="51DEA16F">
            <wp:simplePos x="0" y="0"/>
            <wp:positionH relativeFrom="page">
              <wp:posOffset>905255</wp:posOffset>
            </wp:positionH>
            <wp:positionV relativeFrom="paragraph">
              <wp:posOffset>130756</wp:posOffset>
            </wp:positionV>
            <wp:extent cx="259079" cy="103631"/>
            <wp:effectExtent l="0" t="0" r="0" b="0"/>
            <wp:wrapNone/>
            <wp:docPr id="599" name="image3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 name="image308.png"/>
                    <pic:cNvPicPr/>
                  </pic:nvPicPr>
                  <pic:blipFill>
                    <a:blip r:embed="rId424" cstate="print"/>
                    <a:stretch>
                      <a:fillRect/>
                    </a:stretch>
                  </pic:blipFill>
                  <pic:spPr>
                    <a:xfrm>
                      <a:off x="0" y="0"/>
                      <a:ext cx="259079" cy="103631"/>
                    </a:xfrm>
                    <a:prstGeom prst="rect">
                      <a:avLst/>
                    </a:prstGeom>
                  </pic:spPr>
                </pic:pic>
              </a:graphicData>
            </a:graphic>
          </wp:anchor>
        </w:drawing>
      </w:r>
      <w:r>
        <w:pict w14:anchorId="51DEA170">
          <v:rect id="docshape680" o:spid="_x0000_s1608" style="position:absolute;left:0;text-align:left;margin-left:292.65pt;margin-top:28pt;width:230.85pt;height:15.6pt;z-index:-251345408;mso-position-horizontal-relative:page;mso-position-vertical-relative:text" fillcolor="black" stroked="f">
            <w10:wrap anchorx="page"/>
          </v:rect>
        </w:pict>
      </w:r>
      <w:r>
        <w:t>Australia</w:t>
      </w:r>
      <w:r>
        <w:rPr>
          <w:spacing w:val="40"/>
        </w:rPr>
        <w:t xml:space="preserve"> </w:t>
      </w:r>
      <w:r>
        <w:t>submits</w:t>
      </w:r>
      <w:r>
        <w:rPr>
          <w:spacing w:val="40"/>
        </w:rPr>
        <w:t xml:space="preserve"> </w:t>
      </w:r>
      <w:r>
        <w:t>the</w:t>
      </w:r>
      <w:r>
        <w:rPr>
          <w:spacing w:val="40"/>
        </w:rPr>
        <w:t xml:space="preserve"> </w:t>
      </w:r>
      <w:r>
        <w:t>above</w:t>
      </w:r>
      <w:r>
        <w:rPr>
          <w:spacing w:val="40"/>
        </w:rPr>
        <w:t xml:space="preserve"> </w:t>
      </w:r>
      <w:r>
        <w:t>information</w:t>
      </w:r>
      <w:r>
        <w:rPr>
          <w:spacing w:val="40"/>
        </w:rPr>
        <w:t xml:space="preserve"> </w:t>
      </w:r>
      <w:r>
        <w:t>was</w:t>
      </w:r>
      <w:r>
        <w:rPr>
          <w:spacing w:val="40"/>
        </w:rPr>
        <w:t xml:space="preserve"> </w:t>
      </w:r>
      <w:r>
        <w:t>available</w:t>
      </w:r>
      <w:r>
        <w:rPr>
          <w:spacing w:val="40"/>
        </w:rPr>
        <w:t xml:space="preserve"> </w:t>
      </w:r>
      <w:r>
        <w:t>on</w:t>
      </w:r>
      <w:r>
        <w:rPr>
          <w:spacing w:val="40"/>
        </w:rPr>
        <w:t xml:space="preserve"> </w:t>
      </w:r>
      <w:r>
        <w:t>the</w:t>
      </w:r>
      <w:r>
        <w:rPr>
          <w:spacing w:val="40"/>
        </w:rPr>
        <w:t xml:space="preserve"> </w:t>
      </w:r>
      <w:r>
        <w:t>record</w:t>
      </w:r>
      <w:r>
        <w:rPr>
          <w:spacing w:val="40"/>
        </w:rPr>
        <w:t xml:space="preserve"> </w:t>
      </w:r>
      <w:r>
        <w:t>and MOFCOM's findings are therefore incorrect. [[</w:t>
      </w:r>
    </w:p>
    <w:p w14:paraId="51DE86A3" w14:textId="77777777" w:rsidR="0010369C" w:rsidRDefault="008E43AE">
      <w:pPr>
        <w:pStyle w:val="BodyText"/>
        <w:tabs>
          <w:tab w:val="left" w:pos="6217"/>
        </w:tabs>
        <w:spacing w:before="119"/>
        <w:ind w:left="238"/>
      </w:pPr>
      <w:r>
        <w:rPr>
          <w:color w:val="5E5E5E"/>
        </w:rPr>
        <w:t>special</w:t>
      </w:r>
      <w:r>
        <w:rPr>
          <w:color w:val="5E5E5E"/>
          <w:spacing w:val="49"/>
        </w:rPr>
        <w:t xml:space="preserve"> </w:t>
      </w:r>
      <w:r>
        <w:rPr>
          <w:color w:val="5E5E5E"/>
        </w:rPr>
        <w:t>price</w:t>
      </w:r>
      <w:r>
        <w:rPr>
          <w:color w:val="5E5E5E"/>
          <w:spacing w:val="50"/>
        </w:rPr>
        <w:t xml:space="preserve"> </w:t>
      </w:r>
      <w:r>
        <w:rPr>
          <w:color w:val="5E5E5E"/>
        </w:rPr>
        <w:t>arrangements</w:t>
      </w:r>
      <w:r>
        <w:rPr>
          <w:color w:val="5E5E5E"/>
          <w:spacing w:val="49"/>
        </w:rPr>
        <w:t xml:space="preserve"> </w:t>
      </w:r>
      <w:r>
        <w:rPr>
          <w:color w:val="5E5E5E"/>
        </w:rPr>
        <w:t>were</w:t>
      </w:r>
      <w:r>
        <w:rPr>
          <w:color w:val="5E5E5E"/>
          <w:spacing w:val="47"/>
        </w:rPr>
        <w:t xml:space="preserve"> </w:t>
      </w:r>
      <w:r>
        <w:rPr>
          <w:color w:val="5E5E5E"/>
        </w:rPr>
        <w:t>provided</w:t>
      </w:r>
      <w:r>
        <w:rPr>
          <w:color w:val="5E5E5E"/>
          <w:spacing w:val="50"/>
        </w:rPr>
        <w:t xml:space="preserve"> </w:t>
      </w:r>
      <w:r>
        <w:rPr>
          <w:color w:val="5E5E5E"/>
        </w:rPr>
        <w:t>in</w:t>
      </w:r>
      <w:r>
        <w:rPr>
          <w:color w:val="5E5E5E"/>
          <w:spacing w:val="48"/>
        </w:rPr>
        <w:t xml:space="preserve"> </w:t>
      </w:r>
      <w:r>
        <w:rPr>
          <w:color w:val="5E5E5E"/>
        </w:rPr>
        <w:t>Form</w:t>
      </w:r>
      <w:r>
        <w:rPr>
          <w:color w:val="5E5E5E"/>
          <w:spacing w:val="51"/>
        </w:rPr>
        <w:t xml:space="preserve"> </w:t>
      </w:r>
      <w:r>
        <w:rPr>
          <w:color w:val="5E5E5E"/>
          <w:spacing w:val="-5"/>
        </w:rPr>
        <w:t>4‐1</w:t>
      </w:r>
      <w:r>
        <w:rPr>
          <w:color w:val="5E5E5E"/>
        </w:rPr>
        <w:tab/>
      </w:r>
      <w:r>
        <w:t>]]</w:t>
      </w:r>
      <w:r>
        <w:rPr>
          <w:spacing w:val="50"/>
        </w:rPr>
        <w:t xml:space="preserve"> </w:t>
      </w:r>
      <w:r>
        <w:t>These</w:t>
      </w:r>
      <w:r>
        <w:rPr>
          <w:spacing w:val="51"/>
        </w:rPr>
        <w:t xml:space="preserve"> </w:t>
      </w:r>
      <w:r>
        <w:t>specially</w:t>
      </w:r>
      <w:r>
        <w:rPr>
          <w:spacing w:val="51"/>
        </w:rPr>
        <w:t xml:space="preserve"> </w:t>
      </w:r>
      <w:r>
        <w:t>priced</w:t>
      </w:r>
      <w:r>
        <w:rPr>
          <w:spacing w:val="50"/>
        </w:rPr>
        <w:t xml:space="preserve"> </w:t>
      </w:r>
      <w:r>
        <w:rPr>
          <w:spacing w:val="-2"/>
        </w:rPr>
        <w:t>sales</w:t>
      </w:r>
    </w:p>
    <w:p w14:paraId="51DE86A4" w14:textId="77777777" w:rsidR="0010369C" w:rsidRDefault="008E43AE">
      <w:pPr>
        <w:pStyle w:val="BodyText"/>
        <w:spacing w:before="147"/>
        <w:ind w:left="238"/>
      </w:pPr>
      <w:r>
        <w:pict w14:anchorId="51DEA171">
          <v:rect id="docshape681" o:spid="_x0000_s1607" style="position:absolute;left:0;text-align:left;margin-left:356.8pt;margin-top:-14.2pt;width:12.1pt;height:10.35pt;z-index:-251344384;mso-position-horizontal-relative:page" fillcolor="black" stroked="f">
            <w10:wrap anchorx="page"/>
          </v:rect>
        </w:pict>
      </w:r>
      <w:r>
        <w:t>concerned</w:t>
      </w:r>
      <w:r>
        <w:rPr>
          <w:spacing w:val="1"/>
        </w:rPr>
        <w:t xml:space="preserve"> </w:t>
      </w:r>
      <w:r>
        <w:t>free</w:t>
      </w:r>
      <w:r>
        <w:rPr>
          <w:spacing w:val="2"/>
        </w:rPr>
        <w:t xml:space="preserve"> </w:t>
      </w:r>
      <w:r>
        <w:t>samples</w:t>
      </w:r>
      <w:r>
        <w:rPr>
          <w:spacing w:val="1"/>
        </w:rPr>
        <w:t xml:space="preserve"> </w:t>
      </w:r>
      <w:r>
        <w:t>or</w:t>
      </w:r>
      <w:r>
        <w:rPr>
          <w:spacing w:val="3"/>
        </w:rPr>
        <w:t xml:space="preserve"> </w:t>
      </w:r>
      <w:r>
        <w:t>sales</w:t>
      </w:r>
      <w:r>
        <w:rPr>
          <w:spacing w:val="1"/>
        </w:rPr>
        <w:t xml:space="preserve"> </w:t>
      </w:r>
      <w:r>
        <w:t>made</w:t>
      </w:r>
      <w:r>
        <w:rPr>
          <w:spacing w:val="2"/>
        </w:rPr>
        <w:t xml:space="preserve"> </w:t>
      </w:r>
      <w:r>
        <w:t>to</w:t>
      </w:r>
      <w:r>
        <w:rPr>
          <w:spacing w:val="1"/>
        </w:rPr>
        <w:t xml:space="preserve"> </w:t>
      </w:r>
      <w:r>
        <w:t>internal</w:t>
      </w:r>
      <w:r>
        <w:rPr>
          <w:spacing w:val="3"/>
        </w:rPr>
        <w:t xml:space="preserve"> </w:t>
      </w:r>
      <w:r>
        <w:t>staff,</w:t>
      </w:r>
      <w:r>
        <w:rPr>
          <w:spacing w:val="1"/>
        </w:rPr>
        <w:t xml:space="preserve"> </w:t>
      </w:r>
      <w:r>
        <w:t>with</w:t>
      </w:r>
      <w:r>
        <w:rPr>
          <w:spacing w:val="2"/>
        </w:rPr>
        <w:t xml:space="preserve"> </w:t>
      </w:r>
      <w:r>
        <w:t>the</w:t>
      </w:r>
      <w:r>
        <w:rPr>
          <w:spacing w:val="2"/>
        </w:rPr>
        <w:t xml:space="preserve"> </w:t>
      </w:r>
      <w:r>
        <w:t>negative</w:t>
      </w:r>
      <w:r>
        <w:rPr>
          <w:spacing w:val="1"/>
        </w:rPr>
        <w:t xml:space="preserve"> </w:t>
      </w:r>
      <w:r>
        <w:t>amounts</w:t>
      </w:r>
      <w:r>
        <w:rPr>
          <w:spacing w:val="2"/>
        </w:rPr>
        <w:t xml:space="preserve"> </w:t>
      </w:r>
      <w:r>
        <w:t>being</w:t>
      </w:r>
      <w:r>
        <w:rPr>
          <w:spacing w:val="1"/>
        </w:rPr>
        <w:t xml:space="preserve"> </w:t>
      </w:r>
      <w:r>
        <w:rPr>
          <w:spacing w:val="-5"/>
        </w:rPr>
        <w:t>due</w:t>
      </w:r>
    </w:p>
    <w:p w14:paraId="51DE86A5" w14:textId="77777777" w:rsidR="0010369C" w:rsidRDefault="008E43AE">
      <w:pPr>
        <w:pStyle w:val="BodyText"/>
        <w:spacing w:before="9"/>
        <w:rPr>
          <w:sz w:val="10"/>
        </w:rPr>
      </w:pPr>
      <w:r>
        <w:pict w14:anchorId="51DEA172">
          <v:group id="docshapegroup682" o:spid="_x0000_s1603" style="position:absolute;margin-left:69.9pt;margin-top:7.75pt;width:459.05pt;height:36pt;z-index:-250967552;mso-wrap-distance-left:0;mso-wrap-distance-right:0;mso-position-horizontal-relative:page" coordorigin="1398,155" coordsize="9181,720">
            <v:shape id="docshape683" o:spid="_x0000_s1606" style="position:absolute;left:1398;top:155;width:9181;height:672" coordorigin="1398,155" coordsize="9181,672" o:spt="100" adj="0,,0" path="m6682,515r-5284,l1398,827r5284,l6682,515xm10579,155r-7611,l2968,467r7611,l10579,155xe" fillcolor="black" stroked="f">
              <v:stroke joinstyle="round"/>
              <v:formulas/>
              <v:path arrowok="t" o:connecttype="segments"/>
            </v:shape>
            <v:shape id="docshape684" o:spid="_x0000_s1605" type="#_x0000_t202" style="position:absolute;left:1418;top:175;width:1590;height:261" filled="f" stroked="f">
              <v:textbox inset="0,0,0,0">
                <w:txbxContent>
                  <w:p w14:paraId="51DEAC54" w14:textId="77777777" w:rsidR="0010369C" w:rsidRDefault="008E43AE">
                    <w:pPr>
                      <w:spacing w:line="260" w:lineRule="exact"/>
                      <w:rPr>
                        <w:sz w:val="24"/>
                      </w:rPr>
                    </w:pPr>
                    <w:r>
                      <w:rPr>
                        <w:sz w:val="24"/>
                      </w:rPr>
                      <w:t>to</w:t>
                    </w:r>
                    <w:r>
                      <w:rPr>
                        <w:spacing w:val="-3"/>
                        <w:sz w:val="24"/>
                      </w:rPr>
                      <w:t xml:space="preserve"> </w:t>
                    </w:r>
                    <w:r>
                      <w:rPr>
                        <w:sz w:val="24"/>
                      </w:rPr>
                      <w:t>taxation.</w:t>
                    </w:r>
                    <w:r>
                      <w:rPr>
                        <w:sz w:val="24"/>
                        <w:vertAlign w:val="superscript"/>
                      </w:rPr>
                      <w:t>323</w:t>
                    </w:r>
                    <w:r>
                      <w:rPr>
                        <w:spacing w:val="-14"/>
                        <w:sz w:val="24"/>
                      </w:rPr>
                      <w:t xml:space="preserve"> </w:t>
                    </w:r>
                    <w:r>
                      <w:rPr>
                        <w:color w:val="5E5E5E"/>
                        <w:spacing w:val="-5"/>
                        <w:sz w:val="24"/>
                      </w:rPr>
                      <w:t>[[</w:t>
                    </w:r>
                  </w:p>
                </w:txbxContent>
              </v:textbox>
            </v:shape>
            <v:shape id="docshape685" o:spid="_x0000_s1604" type="#_x0000_t202" style="position:absolute;left:6701;top:635;width:167;height:240" filled="f" stroked="f">
              <v:textbox inset="0,0,0,0">
                <w:txbxContent>
                  <w:p w14:paraId="51DEAC55" w14:textId="77777777" w:rsidR="0010369C" w:rsidRDefault="008E43AE">
                    <w:pPr>
                      <w:spacing w:line="240" w:lineRule="exact"/>
                      <w:rPr>
                        <w:sz w:val="24"/>
                      </w:rPr>
                    </w:pPr>
                    <w:r>
                      <w:rPr>
                        <w:spacing w:val="-5"/>
                        <w:sz w:val="24"/>
                      </w:rPr>
                      <w:t>]]</w:t>
                    </w:r>
                  </w:p>
                </w:txbxContent>
              </v:textbox>
            </v:shape>
            <w10:wrap type="topAndBottom" anchorx="page"/>
          </v:group>
        </w:pict>
      </w:r>
    </w:p>
    <w:p w14:paraId="51DE86A6" w14:textId="77777777" w:rsidR="0010369C" w:rsidRDefault="0010369C">
      <w:pPr>
        <w:pStyle w:val="BodyText"/>
        <w:spacing w:before="6"/>
        <w:rPr>
          <w:sz w:val="19"/>
        </w:rPr>
      </w:pPr>
    </w:p>
    <w:p w14:paraId="51DE86A7" w14:textId="77777777" w:rsidR="0010369C" w:rsidRDefault="008E43AE">
      <w:pPr>
        <w:pStyle w:val="BodyText"/>
        <w:spacing w:before="52"/>
        <w:ind w:left="1089"/>
      </w:pPr>
      <w:r>
        <w:rPr>
          <w:noProof/>
        </w:rPr>
        <w:drawing>
          <wp:anchor distT="0" distB="0" distL="0" distR="0" simplePos="0" relativeHeight="250653184" behindDoc="0" locked="0" layoutInCell="1" allowOverlap="1" wp14:anchorId="51DEA173" wp14:editId="51DEA174">
            <wp:simplePos x="0" y="0"/>
            <wp:positionH relativeFrom="page">
              <wp:posOffset>905255</wp:posOffset>
            </wp:positionH>
            <wp:positionV relativeFrom="paragraph">
              <wp:posOffset>100911</wp:posOffset>
            </wp:positionV>
            <wp:extent cx="259079" cy="106679"/>
            <wp:effectExtent l="0" t="0" r="0" b="0"/>
            <wp:wrapNone/>
            <wp:docPr id="601" name="image3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 name="image309.png"/>
                    <pic:cNvPicPr/>
                  </pic:nvPicPr>
                  <pic:blipFill>
                    <a:blip r:embed="rId425" cstate="print"/>
                    <a:stretch>
                      <a:fillRect/>
                    </a:stretch>
                  </pic:blipFill>
                  <pic:spPr>
                    <a:xfrm>
                      <a:off x="0" y="0"/>
                      <a:ext cx="259079" cy="106679"/>
                    </a:xfrm>
                    <a:prstGeom prst="rect">
                      <a:avLst/>
                    </a:prstGeom>
                  </pic:spPr>
                </pic:pic>
              </a:graphicData>
            </a:graphic>
          </wp:anchor>
        </w:drawing>
      </w:r>
      <w:r>
        <w:t>Australia</w:t>
      </w:r>
      <w:r>
        <w:rPr>
          <w:spacing w:val="30"/>
        </w:rPr>
        <w:t xml:space="preserve"> </w:t>
      </w:r>
      <w:r>
        <w:t>submits</w:t>
      </w:r>
      <w:r>
        <w:rPr>
          <w:spacing w:val="31"/>
        </w:rPr>
        <w:t xml:space="preserve"> </w:t>
      </w:r>
      <w:r>
        <w:t>Casella</w:t>
      </w:r>
      <w:r>
        <w:rPr>
          <w:spacing w:val="32"/>
        </w:rPr>
        <w:t xml:space="preserve"> </w:t>
      </w:r>
      <w:r>
        <w:t>Wines</w:t>
      </w:r>
      <w:r>
        <w:rPr>
          <w:spacing w:val="30"/>
        </w:rPr>
        <w:t xml:space="preserve"> </w:t>
      </w:r>
      <w:r>
        <w:t>provided</w:t>
      </w:r>
      <w:r>
        <w:rPr>
          <w:spacing w:val="32"/>
        </w:rPr>
        <w:t xml:space="preserve"> </w:t>
      </w:r>
      <w:r>
        <w:t>all</w:t>
      </w:r>
      <w:r>
        <w:rPr>
          <w:spacing w:val="31"/>
        </w:rPr>
        <w:t xml:space="preserve"> </w:t>
      </w:r>
      <w:r>
        <w:t>information</w:t>
      </w:r>
      <w:r>
        <w:rPr>
          <w:spacing w:val="32"/>
        </w:rPr>
        <w:t xml:space="preserve"> </w:t>
      </w:r>
      <w:r>
        <w:t>requested</w:t>
      </w:r>
      <w:r>
        <w:rPr>
          <w:spacing w:val="30"/>
        </w:rPr>
        <w:t xml:space="preserve"> </w:t>
      </w:r>
      <w:r>
        <w:t>by</w:t>
      </w:r>
      <w:r>
        <w:rPr>
          <w:spacing w:val="31"/>
        </w:rPr>
        <w:t xml:space="preserve"> </w:t>
      </w:r>
      <w:r>
        <w:rPr>
          <w:spacing w:val="-2"/>
        </w:rPr>
        <w:t>MOFCOM</w:t>
      </w:r>
    </w:p>
    <w:p w14:paraId="51DE86A8" w14:textId="77777777" w:rsidR="0010369C" w:rsidRDefault="0010369C">
      <w:pPr>
        <w:pStyle w:val="BodyText"/>
        <w:spacing w:before="8"/>
        <w:rPr>
          <w:sz w:val="12"/>
        </w:rPr>
      </w:pPr>
    </w:p>
    <w:tbl>
      <w:tblPr>
        <w:tblW w:w="0" w:type="auto"/>
        <w:tblInd w:w="225" w:type="dxa"/>
        <w:tblLayout w:type="fixed"/>
        <w:tblCellMar>
          <w:left w:w="0" w:type="dxa"/>
          <w:right w:w="0" w:type="dxa"/>
        </w:tblCellMar>
        <w:tblLook w:val="01E0" w:firstRow="1" w:lastRow="1" w:firstColumn="1" w:lastColumn="1" w:noHBand="0" w:noVBand="0"/>
      </w:tblPr>
      <w:tblGrid>
        <w:gridCol w:w="3472"/>
        <w:gridCol w:w="2032"/>
        <w:gridCol w:w="3627"/>
      </w:tblGrid>
      <w:tr w:rsidR="0010369C" w14:paraId="51DE86AB" w14:textId="77777777">
        <w:trPr>
          <w:trHeight w:val="312"/>
        </w:trPr>
        <w:tc>
          <w:tcPr>
            <w:tcW w:w="5504" w:type="dxa"/>
            <w:gridSpan w:val="2"/>
            <w:tcBorders>
              <w:bottom w:val="single" w:sz="51" w:space="0" w:color="FFFFFF"/>
            </w:tcBorders>
          </w:tcPr>
          <w:p w14:paraId="51DE86A9" w14:textId="77777777" w:rsidR="0010369C" w:rsidRDefault="008E43AE">
            <w:pPr>
              <w:pStyle w:val="TableParagraph"/>
              <w:spacing w:line="285" w:lineRule="exact"/>
              <w:ind w:left="20" w:right="-29"/>
              <w:rPr>
                <w:sz w:val="24"/>
              </w:rPr>
            </w:pPr>
            <w:r>
              <w:rPr>
                <w:sz w:val="24"/>
              </w:rPr>
              <w:t>concerning</w:t>
            </w:r>
            <w:r>
              <w:rPr>
                <w:spacing w:val="6"/>
                <w:sz w:val="24"/>
              </w:rPr>
              <w:t xml:space="preserve"> </w:t>
            </w:r>
            <w:r>
              <w:rPr>
                <w:sz w:val="24"/>
              </w:rPr>
              <w:t>"special</w:t>
            </w:r>
            <w:r>
              <w:rPr>
                <w:spacing w:val="7"/>
                <w:sz w:val="24"/>
              </w:rPr>
              <w:t xml:space="preserve"> </w:t>
            </w:r>
            <w:r>
              <w:rPr>
                <w:sz w:val="24"/>
              </w:rPr>
              <w:t>price</w:t>
            </w:r>
            <w:r>
              <w:rPr>
                <w:spacing w:val="9"/>
                <w:sz w:val="24"/>
              </w:rPr>
              <w:t xml:space="preserve"> </w:t>
            </w:r>
            <w:r>
              <w:rPr>
                <w:sz w:val="24"/>
              </w:rPr>
              <w:t>arrangements"</w:t>
            </w:r>
            <w:r>
              <w:rPr>
                <w:spacing w:val="6"/>
                <w:sz w:val="24"/>
              </w:rPr>
              <w:t xml:space="preserve"> </w:t>
            </w:r>
            <w:r>
              <w:rPr>
                <w:sz w:val="24"/>
              </w:rPr>
              <w:t>in</w:t>
            </w:r>
            <w:r>
              <w:rPr>
                <w:spacing w:val="8"/>
                <w:sz w:val="24"/>
              </w:rPr>
              <w:t xml:space="preserve"> </w:t>
            </w:r>
            <w:r>
              <w:rPr>
                <w:sz w:val="24"/>
              </w:rPr>
              <w:t>Form</w:t>
            </w:r>
            <w:r>
              <w:rPr>
                <w:spacing w:val="9"/>
                <w:sz w:val="24"/>
              </w:rPr>
              <w:t xml:space="preserve"> </w:t>
            </w:r>
            <w:r>
              <w:rPr>
                <w:sz w:val="24"/>
              </w:rPr>
              <w:t>4‐1.</w:t>
            </w:r>
            <w:r>
              <w:rPr>
                <w:spacing w:val="8"/>
                <w:sz w:val="24"/>
              </w:rPr>
              <w:t xml:space="preserve"> </w:t>
            </w:r>
            <w:r>
              <w:rPr>
                <w:spacing w:val="-5"/>
                <w:sz w:val="24"/>
              </w:rPr>
              <w:t>[[</w:t>
            </w:r>
          </w:p>
        </w:tc>
        <w:tc>
          <w:tcPr>
            <w:tcW w:w="3627" w:type="dxa"/>
            <w:tcBorders>
              <w:bottom w:val="single" w:sz="51" w:space="0" w:color="FFFFFF"/>
            </w:tcBorders>
            <w:shd w:val="clear" w:color="auto" w:fill="000000"/>
          </w:tcPr>
          <w:p w14:paraId="51DE86AA" w14:textId="77777777" w:rsidR="0010369C" w:rsidRDefault="0010369C">
            <w:pPr>
              <w:pStyle w:val="TableParagraph"/>
              <w:rPr>
                <w:rFonts w:ascii="Times New Roman"/>
                <w:sz w:val="20"/>
              </w:rPr>
            </w:pPr>
          </w:p>
        </w:tc>
      </w:tr>
      <w:tr w:rsidR="0010369C" w14:paraId="51DE86AD" w14:textId="77777777">
        <w:trPr>
          <w:trHeight w:val="312"/>
        </w:trPr>
        <w:tc>
          <w:tcPr>
            <w:tcW w:w="9131" w:type="dxa"/>
            <w:gridSpan w:val="3"/>
            <w:tcBorders>
              <w:top w:val="single" w:sz="51" w:space="0" w:color="FFFFFF"/>
              <w:bottom w:val="single" w:sz="51" w:space="0" w:color="FFFFFF"/>
            </w:tcBorders>
            <w:shd w:val="clear" w:color="auto" w:fill="000000"/>
          </w:tcPr>
          <w:p w14:paraId="51DE86AC" w14:textId="77777777" w:rsidR="0010369C" w:rsidRDefault="0010369C">
            <w:pPr>
              <w:pStyle w:val="TableParagraph"/>
              <w:rPr>
                <w:rFonts w:ascii="Times New Roman"/>
                <w:sz w:val="20"/>
              </w:rPr>
            </w:pPr>
          </w:p>
        </w:tc>
      </w:tr>
      <w:tr w:rsidR="0010369C" w14:paraId="51DE86AF" w14:textId="77777777">
        <w:trPr>
          <w:trHeight w:val="312"/>
        </w:trPr>
        <w:tc>
          <w:tcPr>
            <w:tcW w:w="9131" w:type="dxa"/>
            <w:gridSpan w:val="3"/>
            <w:tcBorders>
              <w:top w:val="single" w:sz="51" w:space="0" w:color="FFFFFF"/>
              <w:bottom w:val="single" w:sz="51" w:space="0" w:color="FFFFFF"/>
            </w:tcBorders>
            <w:shd w:val="clear" w:color="auto" w:fill="000000"/>
          </w:tcPr>
          <w:p w14:paraId="51DE86AE" w14:textId="77777777" w:rsidR="0010369C" w:rsidRDefault="0010369C">
            <w:pPr>
              <w:pStyle w:val="TableParagraph"/>
              <w:rPr>
                <w:rFonts w:ascii="Times New Roman"/>
                <w:sz w:val="20"/>
              </w:rPr>
            </w:pPr>
          </w:p>
        </w:tc>
      </w:tr>
      <w:tr w:rsidR="0010369C" w14:paraId="51DE86B1" w14:textId="77777777">
        <w:trPr>
          <w:trHeight w:val="312"/>
        </w:trPr>
        <w:tc>
          <w:tcPr>
            <w:tcW w:w="9131" w:type="dxa"/>
            <w:gridSpan w:val="3"/>
            <w:tcBorders>
              <w:top w:val="single" w:sz="51" w:space="0" w:color="FFFFFF"/>
              <w:bottom w:val="single" w:sz="51" w:space="0" w:color="FFFFFF"/>
            </w:tcBorders>
            <w:shd w:val="clear" w:color="auto" w:fill="000000"/>
          </w:tcPr>
          <w:p w14:paraId="51DE86B0" w14:textId="77777777" w:rsidR="0010369C" w:rsidRDefault="0010369C">
            <w:pPr>
              <w:pStyle w:val="TableParagraph"/>
              <w:rPr>
                <w:rFonts w:ascii="Times New Roman"/>
                <w:sz w:val="20"/>
              </w:rPr>
            </w:pPr>
          </w:p>
        </w:tc>
      </w:tr>
      <w:tr w:rsidR="0010369C" w14:paraId="51DE86B3" w14:textId="77777777">
        <w:trPr>
          <w:trHeight w:val="312"/>
        </w:trPr>
        <w:tc>
          <w:tcPr>
            <w:tcW w:w="9131" w:type="dxa"/>
            <w:gridSpan w:val="3"/>
            <w:tcBorders>
              <w:top w:val="single" w:sz="51" w:space="0" w:color="FFFFFF"/>
              <w:bottom w:val="single" w:sz="51" w:space="0" w:color="FFFFFF"/>
            </w:tcBorders>
            <w:shd w:val="clear" w:color="auto" w:fill="000000"/>
          </w:tcPr>
          <w:p w14:paraId="51DE86B2" w14:textId="77777777" w:rsidR="0010369C" w:rsidRDefault="0010369C">
            <w:pPr>
              <w:pStyle w:val="TableParagraph"/>
              <w:rPr>
                <w:rFonts w:ascii="Times New Roman"/>
                <w:sz w:val="20"/>
              </w:rPr>
            </w:pPr>
          </w:p>
        </w:tc>
      </w:tr>
      <w:tr w:rsidR="0010369C" w14:paraId="51DE86B5" w14:textId="77777777">
        <w:trPr>
          <w:trHeight w:val="312"/>
        </w:trPr>
        <w:tc>
          <w:tcPr>
            <w:tcW w:w="9131" w:type="dxa"/>
            <w:gridSpan w:val="3"/>
            <w:tcBorders>
              <w:top w:val="single" w:sz="51" w:space="0" w:color="FFFFFF"/>
              <w:bottom w:val="single" w:sz="51" w:space="0" w:color="FFFFFF"/>
            </w:tcBorders>
            <w:shd w:val="clear" w:color="auto" w:fill="000000"/>
          </w:tcPr>
          <w:p w14:paraId="51DE86B4" w14:textId="77777777" w:rsidR="0010369C" w:rsidRDefault="0010369C">
            <w:pPr>
              <w:pStyle w:val="TableParagraph"/>
              <w:rPr>
                <w:rFonts w:ascii="Times New Roman"/>
                <w:sz w:val="20"/>
              </w:rPr>
            </w:pPr>
          </w:p>
        </w:tc>
      </w:tr>
      <w:tr w:rsidR="0010369C" w14:paraId="51DE86B7" w14:textId="77777777">
        <w:trPr>
          <w:trHeight w:val="312"/>
        </w:trPr>
        <w:tc>
          <w:tcPr>
            <w:tcW w:w="9131" w:type="dxa"/>
            <w:gridSpan w:val="3"/>
            <w:tcBorders>
              <w:top w:val="single" w:sz="51" w:space="0" w:color="FFFFFF"/>
              <w:bottom w:val="single" w:sz="51" w:space="0" w:color="FFFFFF"/>
            </w:tcBorders>
            <w:shd w:val="clear" w:color="auto" w:fill="000000"/>
          </w:tcPr>
          <w:p w14:paraId="51DE86B6" w14:textId="77777777" w:rsidR="0010369C" w:rsidRDefault="0010369C">
            <w:pPr>
              <w:pStyle w:val="TableParagraph"/>
              <w:rPr>
                <w:rFonts w:ascii="Times New Roman"/>
                <w:sz w:val="20"/>
              </w:rPr>
            </w:pPr>
          </w:p>
        </w:tc>
      </w:tr>
      <w:tr w:rsidR="0010369C" w14:paraId="51DE86B9" w14:textId="77777777">
        <w:trPr>
          <w:trHeight w:val="312"/>
        </w:trPr>
        <w:tc>
          <w:tcPr>
            <w:tcW w:w="9131" w:type="dxa"/>
            <w:gridSpan w:val="3"/>
            <w:tcBorders>
              <w:top w:val="single" w:sz="51" w:space="0" w:color="FFFFFF"/>
              <w:bottom w:val="single" w:sz="51" w:space="0" w:color="FFFFFF"/>
            </w:tcBorders>
            <w:shd w:val="clear" w:color="auto" w:fill="000000"/>
          </w:tcPr>
          <w:p w14:paraId="51DE86B8" w14:textId="77777777" w:rsidR="0010369C" w:rsidRDefault="0010369C">
            <w:pPr>
              <w:pStyle w:val="TableParagraph"/>
              <w:rPr>
                <w:rFonts w:ascii="Times New Roman"/>
                <w:sz w:val="20"/>
              </w:rPr>
            </w:pPr>
          </w:p>
        </w:tc>
      </w:tr>
      <w:tr w:rsidR="0010369C" w14:paraId="51DE86BB" w14:textId="77777777">
        <w:trPr>
          <w:trHeight w:val="312"/>
        </w:trPr>
        <w:tc>
          <w:tcPr>
            <w:tcW w:w="9131" w:type="dxa"/>
            <w:gridSpan w:val="3"/>
            <w:tcBorders>
              <w:top w:val="single" w:sz="51" w:space="0" w:color="FFFFFF"/>
              <w:bottom w:val="single" w:sz="51" w:space="0" w:color="FFFFFF"/>
            </w:tcBorders>
            <w:shd w:val="clear" w:color="auto" w:fill="000000"/>
          </w:tcPr>
          <w:p w14:paraId="51DE86BA" w14:textId="77777777" w:rsidR="0010369C" w:rsidRDefault="0010369C">
            <w:pPr>
              <w:pStyle w:val="TableParagraph"/>
              <w:rPr>
                <w:rFonts w:ascii="Times New Roman"/>
                <w:sz w:val="20"/>
              </w:rPr>
            </w:pPr>
          </w:p>
        </w:tc>
      </w:tr>
      <w:tr w:rsidR="0010369C" w14:paraId="51DE86BD" w14:textId="77777777">
        <w:trPr>
          <w:trHeight w:val="312"/>
        </w:trPr>
        <w:tc>
          <w:tcPr>
            <w:tcW w:w="9131" w:type="dxa"/>
            <w:gridSpan w:val="3"/>
            <w:tcBorders>
              <w:top w:val="single" w:sz="51" w:space="0" w:color="FFFFFF"/>
              <w:bottom w:val="single" w:sz="51" w:space="0" w:color="FFFFFF"/>
            </w:tcBorders>
            <w:shd w:val="clear" w:color="auto" w:fill="000000"/>
          </w:tcPr>
          <w:p w14:paraId="51DE86BC" w14:textId="77777777" w:rsidR="0010369C" w:rsidRDefault="0010369C">
            <w:pPr>
              <w:pStyle w:val="TableParagraph"/>
              <w:rPr>
                <w:rFonts w:ascii="Times New Roman"/>
                <w:sz w:val="20"/>
              </w:rPr>
            </w:pPr>
          </w:p>
        </w:tc>
      </w:tr>
      <w:tr w:rsidR="0010369C" w14:paraId="51DE86BF" w14:textId="77777777">
        <w:trPr>
          <w:trHeight w:val="312"/>
        </w:trPr>
        <w:tc>
          <w:tcPr>
            <w:tcW w:w="9131" w:type="dxa"/>
            <w:gridSpan w:val="3"/>
            <w:tcBorders>
              <w:top w:val="single" w:sz="51" w:space="0" w:color="FFFFFF"/>
              <w:bottom w:val="single" w:sz="51" w:space="0" w:color="FFFFFF"/>
            </w:tcBorders>
            <w:shd w:val="clear" w:color="auto" w:fill="000000"/>
          </w:tcPr>
          <w:p w14:paraId="51DE86BE" w14:textId="77777777" w:rsidR="0010369C" w:rsidRDefault="0010369C">
            <w:pPr>
              <w:pStyle w:val="TableParagraph"/>
              <w:rPr>
                <w:rFonts w:ascii="Times New Roman"/>
                <w:sz w:val="20"/>
              </w:rPr>
            </w:pPr>
          </w:p>
        </w:tc>
      </w:tr>
      <w:tr w:rsidR="0010369C" w14:paraId="51DE86C2" w14:textId="77777777">
        <w:trPr>
          <w:trHeight w:val="312"/>
        </w:trPr>
        <w:tc>
          <w:tcPr>
            <w:tcW w:w="3472" w:type="dxa"/>
            <w:tcBorders>
              <w:top w:val="single" w:sz="51" w:space="0" w:color="FFFFFF"/>
            </w:tcBorders>
            <w:shd w:val="clear" w:color="auto" w:fill="000000"/>
          </w:tcPr>
          <w:p w14:paraId="51DE86C0" w14:textId="77777777" w:rsidR="0010369C" w:rsidRDefault="0010369C">
            <w:pPr>
              <w:pStyle w:val="TableParagraph"/>
              <w:rPr>
                <w:rFonts w:ascii="Times New Roman"/>
                <w:sz w:val="20"/>
              </w:rPr>
            </w:pPr>
          </w:p>
        </w:tc>
        <w:tc>
          <w:tcPr>
            <w:tcW w:w="5659" w:type="dxa"/>
            <w:gridSpan w:val="2"/>
            <w:tcBorders>
              <w:top w:val="single" w:sz="51" w:space="0" w:color="FFFFFF"/>
            </w:tcBorders>
          </w:tcPr>
          <w:p w14:paraId="51DE86C1" w14:textId="77777777" w:rsidR="0010369C" w:rsidRDefault="008E43AE">
            <w:pPr>
              <w:pStyle w:val="TableParagraph"/>
              <w:spacing w:line="284" w:lineRule="exact"/>
              <w:ind w:left="20"/>
              <w:rPr>
                <w:sz w:val="24"/>
              </w:rPr>
            </w:pPr>
            <w:r>
              <w:rPr>
                <w:spacing w:val="-5"/>
                <w:sz w:val="24"/>
              </w:rPr>
              <w:t>]]</w:t>
            </w:r>
          </w:p>
        </w:tc>
      </w:tr>
    </w:tbl>
    <w:p w14:paraId="51DE86C3" w14:textId="77777777" w:rsidR="0010369C" w:rsidRDefault="0010369C">
      <w:pPr>
        <w:pStyle w:val="BodyText"/>
        <w:rPr>
          <w:sz w:val="20"/>
        </w:rPr>
      </w:pPr>
    </w:p>
    <w:p w14:paraId="51DE86C4" w14:textId="77777777" w:rsidR="0010369C" w:rsidRDefault="0010369C">
      <w:pPr>
        <w:pStyle w:val="BodyText"/>
        <w:rPr>
          <w:sz w:val="20"/>
        </w:rPr>
      </w:pPr>
    </w:p>
    <w:p w14:paraId="51DE86C5" w14:textId="77777777" w:rsidR="0010369C" w:rsidRDefault="0010369C">
      <w:pPr>
        <w:pStyle w:val="BodyText"/>
        <w:rPr>
          <w:sz w:val="20"/>
        </w:rPr>
      </w:pPr>
    </w:p>
    <w:p w14:paraId="51DE86C6" w14:textId="77777777" w:rsidR="0010369C" w:rsidRDefault="008E43AE">
      <w:pPr>
        <w:pStyle w:val="BodyText"/>
        <w:spacing w:before="10"/>
        <w:rPr>
          <w:sz w:val="15"/>
        </w:rPr>
      </w:pPr>
      <w:r>
        <w:pict w14:anchorId="51DEA175">
          <v:rect id="docshape686" o:spid="_x0000_s1602" style="position:absolute;margin-left:70.9pt;margin-top:10.9pt;width:2in;height:.8pt;z-index:-250966528;mso-wrap-distance-left:0;mso-wrap-distance-right:0;mso-position-horizontal-relative:page" fillcolor="black" stroked="f">
            <w10:wrap type="topAndBottom" anchorx="page"/>
          </v:rect>
        </w:pict>
      </w:r>
    </w:p>
    <w:p w14:paraId="51DE86C7" w14:textId="77777777" w:rsidR="0010369C" w:rsidRDefault="008E43AE">
      <w:pPr>
        <w:spacing w:before="109"/>
        <w:ind w:left="238"/>
        <w:rPr>
          <w:sz w:val="18"/>
        </w:rPr>
      </w:pPr>
      <w:r>
        <w:rPr>
          <w:sz w:val="18"/>
          <w:vertAlign w:val="superscript"/>
        </w:rPr>
        <w:t>319</w:t>
      </w:r>
      <w:r>
        <w:rPr>
          <w:spacing w:val="-9"/>
          <w:sz w:val="18"/>
        </w:rPr>
        <w:t xml:space="preserve"> </w:t>
      </w:r>
      <w:r>
        <w:rPr>
          <w:sz w:val="18"/>
        </w:rPr>
        <w:t>Anti‐Dumping</w:t>
      </w:r>
      <w:r>
        <w:rPr>
          <w:spacing w:val="-9"/>
          <w:sz w:val="18"/>
        </w:rPr>
        <w:t xml:space="preserve"> </w:t>
      </w:r>
      <w:r>
        <w:rPr>
          <w:sz w:val="18"/>
        </w:rPr>
        <w:t>Final</w:t>
      </w:r>
      <w:r>
        <w:rPr>
          <w:spacing w:val="-9"/>
          <w:sz w:val="18"/>
        </w:rPr>
        <w:t xml:space="preserve"> </w:t>
      </w:r>
      <w:r>
        <w:rPr>
          <w:sz w:val="18"/>
        </w:rPr>
        <w:t>Determination</w:t>
      </w:r>
      <w:r>
        <w:rPr>
          <w:spacing w:val="-8"/>
          <w:sz w:val="18"/>
        </w:rPr>
        <w:t xml:space="preserve"> </w:t>
      </w:r>
      <w:r>
        <w:rPr>
          <w:sz w:val="18"/>
        </w:rPr>
        <w:t>(Exhibit</w:t>
      </w:r>
      <w:r>
        <w:rPr>
          <w:spacing w:val="-9"/>
          <w:sz w:val="18"/>
        </w:rPr>
        <w:t xml:space="preserve"> </w:t>
      </w:r>
      <w:r>
        <w:rPr>
          <w:sz w:val="18"/>
        </w:rPr>
        <w:t>AUS‐2),</w:t>
      </w:r>
      <w:r>
        <w:rPr>
          <w:spacing w:val="-9"/>
          <w:sz w:val="18"/>
        </w:rPr>
        <w:t xml:space="preserve"> </w:t>
      </w:r>
      <w:r>
        <w:rPr>
          <w:sz w:val="18"/>
        </w:rPr>
        <w:t>p.</w:t>
      </w:r>
      <w:r>
        <w:rPr>
          <w:spacing w:val="-9"/>
          <w:sz w:val="18"/>
        </w:rPr>
        <w:t xml:space="preserve"> </w:t>
      </w:r>
      <w:r>
        <w:rPr>
          <w:spacing w:val="-5"/>
          <w:sz w:val="18"/>
        </w:rPr>
        <w:t>74.</w:t>
      </w:r>
    </w:p>
    <w:p w14:paraId="51DE86C8" w14:textId="77777777" w:rsidR="0010369C" w:rsidRDefault="008E43AE">
      <w:pPr>
        <w:ind w:left="238"/>
        <w:rPr>
          <w:sz w:val="18"/>
        </w:rPr>
      </w:pPr>
      <w:r>
        <w:rPr>
          <w:sz w:val="18"/>
          <w:vertAlign w:val="superscript"/>
        </w:rPr>
        <w:t>320</w:t>
      </w:r>
      <w:r>
        <w:rPr>
          <w:spacing w:val="-9"/>
          <w:sz w:val="18"/>
        </w:rPr>
        <w:t xml:space="preserve"> </w:t>
      </w:r>
      <w:r>
        <w:rPr>
          <w:sz w:val="18"/>
        </w:rPr>
        <w:t>Anti‐Dumping</w:t>
      </w:r>
      <w:r>
        <w:rPr>
          <w:spacing w:val="-9"/>
          <w:sz w:val="18"/>
        </w:rPr>
        <w:t xml:space="preserve"> </w:t>
      </w:r>
      <w:r>
        <w:rPr>
          <w:sz w:val="18"/>
        </w:rPr>
        <w:t>Final</w:t>
      </w:r>
      <w:r>
        <w:rPr>
          <w:spacing w:val="-9"/>
          <w:sz w:val="18"/>
        </w:rPr>
        <w:t xml:space="preserve"> </w:t>
      </w:r>
      <w:r>
        <w:rPr>
          <w:sz w:val="18"/>
        </w:rPr>
        <w:t>Determination</w:t>
      </w:r>
      <w:r>
        <w:rPr>
          <w:spacing w:val="-8"/>
          <w:sz w:val="18"/>
        </w:rPr>
        <w:t xml:space="preserve"> </w:t>
      </w:r>
      <w:r>
        <w:rPr>
          <w:sz w:val="18"/>
        </w:rPr>
        <w:t>(Exhibit</w:t>
      </w:r>
      <w:r>
        <w:rPr>
          <w:spacing w:val="-9"/>
          <w:sz w:val="18"/>
        </w:rPr>
        <w:t xml:space="preserve"> </w:t>
      </w:r>
      <w:r>
        <w:rPr>
          <w:sz w:val="18"/>
        </w:rPr>
        <w:t>AUS‐2),</w:t>
      </w:r>
      <w:r>
        <w:rPr>
          <w:spacing w:val="-10"/>
          <w:sz w:val="18"/>
        </w:rPr>
        <w:t xml:space="preserve"> </w:t>
      </w:r>
      <w:r>
        <w:rPr>
          <w:sz w:val="18"/>
        </w:rPr>
        <w:t>pp.</w:t>
      </w:r>
      <w:r>
        <w:rPr>
          <w:spacing w:val="-9"/>
          <w:sz w:val="18"/>
        </w:rPr>
        <w:t xml:space="preserve"> </w:t>
      </w:r>
      <w:r>
        <w:rPr>
          <w:spacing w:val="-2"/>
          <w:sz w:val="18"/>
        </w:rPr>
        <w:t>75‐76.</w:t>
      </w:r>
    </w:p>
    <w:p w14:paraId="51DE86C9" w14:textId="77777777" w:rsidR="0010369C" w:rsidRDefault="008E43AE">
      <w:pPr>
        <w:ind w:left="238"/>
        <w:rPr>
          <w:sz w:val="18"/>
        </w:rPr>
      </w:pPr>
      <w:r>
        <w:rPr>
          <w:sz w:val="18"/>
          <w:vertAlign w:val="superscript"/>
        </w:rPr>
        <w:t>321</w:t>
      </w:r>
      <w:r>
        <w:rPr>
          <w:spacing w:val="-9"/>
          <w:sz w:val="18"/>
        </w:rPr>
        <w:t xml:space="preserve"> </w:t>
      </w:r>
      <w:r>
        <w:rPr>
          <w:sz w:val="18"/>
        </w:rPr>
        <w:t>Anti‐Dumping</w:t>
      </w:r>
      <w:r>
        <w:rPr>
          <w:spacing w:val="-9"/>
          <w:sz w:val="18"/>
        </w:rPr>
        <w:t xml:space="preserve"> </w:t>
      </w:r>
      <w:r>
        <w:rPr>
          <w:sz w:val="18"/>
        </w:rPr>
        <w:t>Final</w:t>
      </w:r>
      <w:r>
        <w:rPr>
          <w:spacing w:val="-9"/>
          <w:sz w:val="18"/>
        </w:rPr>
        <w:t xml:space="preserve"> </w:t>
      </w:r>
      <w:r>
        <w:rPr>
          <w:sz w:val="18"/>
        </w:rPr>
        <w:t>Determination</w:t>
      </w:r>
      <w:r>
        <w:rPr>
          <w:spacing w:val="-8"/>
          <w:sz w:val="18"/>
        </w:rPr>
        <w:t xml:space="preserve"> </w:t>
      </w:r>
      <w:r>
        <w:rPr>
          <w:sz w:val="18"/>
        </w:rPr>
        <w:t>(Exhibit</w:t>
      </w:r>
      <w:r>
        <w:rPr>
          <w:spacing w:val="-9"/>
          <w:sz w:val="18"/>
        </w:rPr>
        <w:t xml:space="preserve"> </w:t>
      </w:r>
      <w:r>
        <w:rPr>
          <w:sz w:val="18"/>
        </w:rPr>
        <w:t>AUS‐2),</w:t>
      </w:r>
      <w:r>
        <w:rPr>
          <w:spacing w:val="-10"/>
          <w:sz w:val="18"/>
        </w:rPr>
        <w:t xml:space="preserve"> </w:t>
      </w:r>
      <w:r>
        <w:rPr>
          <w:sz w:val="18"/>
        </w:rPr>
        <w:t>pp.</w:t>
      </w:r>
      <w:r>
        <w:rPr>
          <w:spacing w:val="-9"/>
          <w:sz w:val="18"/>
        </w:rPr>
        <w:t xml:space="preserve"> </w:t>
      </w:r>
      <w:r>
        <w:rPr>
          <w:spacing w:val="-2"/>
          <w:sz w:val="18"/>
        </w:rPr>
        <w:t>75‐76.</w:t>
      </w:r>
    </w:p>
    <w:p w14:paraId="51DE86CA" w14:textId="77777777" w:rsidR="0010369C" w:rsidRDefault="008E43AE">
      <w:pPr>
        <w:tabs>
          <w:tab w:val="left" w:pos="6556"/>
          <w:tab w:val="left" w:pos="8491"/>
        </w:tabs>
        <w:ind w:left="238"/>
        <w:rPr>
          <w:sz w:val="18"/>
        </w:rPr>
      </w:pPr>
      <w:r>
        <w:pict w14:anchorId="51DEA176">
          <v:rect id="docshape687" o:spid="_x0000_s1601" style="position:absolute;left:0;text-align:left;margin-left:86.65pt;margin-top:.35pt;width:297.1pt;height:12.05pt;z-index:-251343360;mso-position-horizontal-relative:page" fillcolor="black" stroked="f">
            <w10:wrap anchorx="page"/>
          </v:rect>
        </w:pict>
      </w:r>
      <w:r>
        <w:pict w14:anchorId="51DEA177">
          <v:rect id="docshape688" o:spid="_x0000_s1600" style="position:absolute;left:0;text-align:left;margin-left:468.95pt;margin-top:.35pt;width:13.6pt;height:12.05pt;z-index:-251342336;mso-position-horizontal-relative:page" fillcolor="black" stroked="f">
            <w10:wrap anchorx="page"/>
          </v:rect>
        </w:pict>
      </w:r>
      <w:r>
        <w:rPr>
          <w:color w:val="5E5E5E"/>
          <w:sz w:val="18"/>
          <w:vertAlign w:val="superscript"/>
        </w:rPr>
        <w:t>322</w:t>
      </w:r>
      <w:r>
        <w:rPr>
          <w:color w:val="5E5E5E"/>
          <w:spacing w:val="-2"/>
          <w:sz w:val="18"/>
        </w:rPr>
        <w:t xml:space="preserve"> </w:t>
      </w:r>
      <w:r>
        <w:rPr>
          <w:color w:val="5E5E5E"/>
          <w:spacing w:val="-10"/>
          <w:sz w:val="18"/>
        </w:rPr>
        <w:t>[</w:t>
      </w:r>
      <w:r>
        <w:rPr>
          <w:color w:val="5E5E5E"/>
          <w:sz w:val="18"/>
        </w:rPr>
        <w:tab/>
        <w:t>(Exhibit</w:t>
      </w:r>
      <w:r>
        <w:rPr>
          <w:color w:val="5E5E5E"/>
          <w:spacing w:val="-10"/>
          <w:sz w:val="18"/>
        </w:rPr>
        <w:t xml:space="preserve"> </w:t>
      </w:r>
      <w:r>
        <w:rPr>
          <w:color w:val="5E5E5E"/>
          <w:sz w:val="18"/>
        </w:rPr>
        <w:t>AUS‐29</w:t>
      </w:r>
      <w:r>
        <w:rPr>
          <w:color w:val="5E5E5E"/>
          <w:spacing w:val="-9"/>
          <w:sz w:val="18"/>
        </w:rPr>
        <w:t xml:space="preserve"> </w:t>
      </w:r>
      <w:r>
        <w:rPr>
          <w:color w:val="5E5E5E"/>
          <w:spacing w:val="-2"/>
          <w:sz w:val="18"/>
        </w:rPr>
        <w:t>(BCI)),</w:t>
      </w:r>
      <w:r>
        <w:rPr>
          <w:color w:val="5E5E5E"/>
          <w:sz w:val="18"/>
        </w:rPr>
        <w:tab/>
      </w:r>
      <w:r>
        <w:rPr>
          <w:color w:val="5E5E5E"/>
          <w:spacing w:val="-5"/>
          <w:sz w:val="18"/>
        </w:rPr>
        <w:t>.]]</w:t>
      </w:r>
    </w:p>
    <w:p w14:paraId="51DE86CB" w14:textId="77777777" w:rsidR="0010369C" w:rsidRDefault="008E43AE">
      <w:pPr>
        <w:ind w:left="237" w:right="611"/>
        <w:rPr>
          <w:sz w:val="18"/>
        </w:rPr>
      </w:pPr>
      <w:r>
        <w:rPr>
          <w:sz w:val="18"/>
          <w:vertAlign w:val="superscript"/>
        </w:rPr>
        <w:t>323</w:t>
      </w:r>
      <w:r>
        <w:rPr>
          <w:sz w:val="18"/>
        </w:rPr>
        <w:t xml:space="preserve"> Casella Wines Supplementary Questionnaire Response (Exhibit AUS‐30), p. 2; Anti‐Dumping Final Determination (Exhibit AUS‐2), p. 76.</w:t>
      </w:r>
    </w:p>
    <w:p w14:paraId="51DE86CC" w14:textId="77777777" w:rsidR="0010369C" w:rsidRDefault="008E43AE">
      <w:pPr>
        <w:tabs>
          <w:tab w:val="left" w:pos="6556"/>
          <w:tab w:val="left" w:pos="8491"/>
        </w:tabs>
        <w:spacing w:before="1"/>
        <w:ind w:left="238"/>
        <w:rPr>
          <w:sz w:val="18"/>
        </w:rPr>
      </w:pPr>
      <w:r>
        <w:pict w14:anchorId="51DEA178">
          <v:rect id="docshape689" o:spid="_x0000_s1599" style="position:absolute;left:0;text-align:left;margin-left:86.65pt;margin-top:.4pt;width:297.1pt;height:12.05pt;z-index:-251341312;mso-position-horizontal-relative:page" fillcolor="black" stroked="f">
            <w10:wrap anchorx="page"/>
          </v:rect>
        </w:pict>
      </w:r>
      <w:r>
        <w:pict w14:anchorId="51DEA179">
          <v:rect id="docshape690" o:spid="_x0000_s1598" style="position:absolute;left:0;text-align:left;margin-left:468.95pt;margin-top:.4pt;width:13.6pt;height:12.05pt;z-index:-251340288;mso-position-horizontal-relative:page" fillcolor="black" stroked="f">
            <w10:wrap anchorx="page"/>
          </v:rect>
        </w:pict>
      </w:r>
      <w:r>
        <w:rPr>
          <w:color w:val="5E5E5E"/>
          <w:sz w:val="18"/>
          <w:vertAlign w:val="superscript"/>
        </w:rPr>
        <w:t>324</w:t>
      </w:r>
      <w:r>
        <w:rPr>
          <w:color w:val="5E5E5E"/>
          <w:spacing w:val="-2"/>
          <w:sz w:val="18"/>
        </w:rPr>
        <w:t xml:space="preserve"> </w:t>
      </w:r>
      <w:r>
        <w:rPr>
          <w:color w:val="5E5E5E"/>
          <w:spacing w:val="-10"/>
          <w:sz w:val="18"/>
        </w:rPr>
        <w:t>[</w:t>
      </w:r>
      <w:r>
        <w:rPr>
          <w:color w:val="5E5E5E"/>
          <w:sz w:val="18"/>
        </w:rPr>
        <w:tab/>
        <w:t>(Exhibit</w:t>
      </w:r>
      <w:r>
        <w:rPr>
          <w:color w:val="5E5E5E"/>
          <w:spacing w:val="-10"/>
          <w:sz w:val="18"/>
        </w:rPr>
        <w:t xml:space="preserve"> </w:t>
      </w:r>
      <w:r>
        <w:rPr>
          <w:color w:val="5E5E5E"/>
          <w:sz w:val="18"/>
        </w:rPr>
        <w:t>AUS‐29</w:t>
      </w:r>
      <w:r>
        <w:rPr>
          <w:color w:val="5E5E5E"/>
          <w:spacing w:val="-9"/>
          <w:sz w:val="18"/>
        </w:rPr>
        <w:t xml:space="preserve"> </w:t>
      </w:r>
      <w:r>
        <w:rPr>
          <w:color w:val="5E5E5E"/>
          <w:spacing w:val="-2"/>
          <w:sz w:val="18"/>
        </w:rPr>
        <w:t>(BCI)),</w:t>
      </w:r>
      <w:r>
        <w:rPr>
          <w:color w:val="5E5E5E"/>
          <w:sz w:val="18"/>
        </w:rPr>
        <w:tab/>
      </w:r>
      <w:r>
        <w:rPr>
          <w:color w:val="5E5E5E"/>
          <w:spacing w:val="-5"/>
          <w:sz w:val="18"/>
        </w:rPr>
        <w:t>.]]</w:t>
      </w:r>
    </w:p>
    <w:p w14:paraId="51DE86CD" w14:textId="77777777" w:rsidR="0010369C" w:rsidRDefault="008E43AE">
      <w:pPr>
        <w:ind w:left="237" w:right="611"/>
        <w:rPr>
          <w:sz w:val="18"/>
        </w:rPr>
      </w:pPr>
      <w:r>
        <w:rPr>
          <w:sz w:val="18"/>
          <w:vertAlign w:val="superscript"/>
        </w:rPr>
        <w:t>325</w:t>
      </w:r>
      <w:r>
        <w:rPr>
          <w:spacing w:val="-1"/>
          <w:sz w:val="18"/>
        </w:rPr>
        <w:t xml:space="preserve"> </w:t>
      </w:r>
      <w:r>
        <w:rPr>
          <w:sz w:val="18"/>
        </w:rPr>
        <w:t>See</w:t>
      </w:r>
      <w:r>
        <w:rPr>
          <w:spacing w:val="-2"/>
          <w:sz w:val="18"/>
        </w:rPr>
        <w:t xml:space="preserve"> </w:t>
      </w:r>
      <w:r>
        <w:rPr>
          <w:sz w:val="18"/>
        </w:rPr>
        <w:t>also</w:t>
      </w:r>
      <w:r>
        <w:rPr>
          <w:spacing w:val="-1"/>
          <w:sz w:val="18"/>
        </w:rPr>
        <w:t xml:space="preserve"> </w:t>
      </w:r>
      <w:r>
        <w:rPr>
          <w:sz w:val="18"/>
        </w:rPr>
        <w:t>Casella Wines</w:t>
      </w:r>
      <w:r>
        <w:rPr>
          <w:spacing w:val="-1"/>
          <w:sz w:val="18"/>
        </w:rPr>
        <w:t xml:space="preserve"> </w:t>
      </w:r>
      <w:r>
        <w:rPr>
          <w:sz w:val="18"/>
        </w:rPr>
        <w:t xml:space="preserve">Supplementary </w:t>
      </w:r>
      <w:r>
        <w:rPr>
          <w:sz w:val="18"/>
        </w:rPr>
        <w:t>Questionnaire</w:t>
      </w:r>
      <w:r>
        <w:rPr>
          <w:spacing w:val="-1"/>
          <w:sz w:val="18"/>
        </w:rPr>
        <w:t xml:space="preserve"> </w:t>
      </w:r>
      <w:r>
        <w:rPr>
          <w:sz w:val="18"/>
        </w:rPr>
        <w:t>Response (Exhibit</w:t>
      </w:r>
      <w:r>
        <w:rPr>
          <w:spacing w:val="-1"/>
          <w:sz w:val="18"/>
        </w:rPr>
        <w:t xml:space="preserve"> </w:t>
      </w:r>
      <w:r>
        <w:rPr>
          <w:sz w:val="18"/>
        </w:rPr>
        <w:t>AUS‐30),</w:t>
      </w:r>
      <w:r>
        <w:rPr>
          <w:spacing w:val="-2"/>
          <w:sz w:val="18"/>
        </w:rPr>
        <w:t xml:space="preserve"> </w:t>
      </w:r>
      <w:r>
        <w:rPr>
          <w:sz w:val="18"/>
        </w:rPr>
        <w:t>p.</w:t>
      </w:r>
      <w:r>
        <w:rPr>
          <w:spacing w:val="-1"/>
          <w:sz w:val="18"/>
        </w:rPr>
        <w:t xml:space="preserve"> </w:t>
      </w:r>
      <w:r>
        <w:rPr>
          <w:sz w:val="18"/>
        </w:rPr>
        <w:t>1;</w:t>
      </w:r>
      <w:r>
        <w:rPr>
          <w:spacing w:val="-1"/>
          <w:sz w:val="18"/>
        </w:rPr>
        <w:t xml:space="preserve"> </w:t>
      </w:r>
      <w:r>
        <w:rPr>
          <w:sz w:val="18"/>
        </w:rPr>
        <w:t>Anti‐Dumping Final</w:t>
      </w:r>
      <w:r>
        <w:rPr>
          <w:spacing w:val="-1"/>
          <w:sz w:val="18"/>
        </w:rPr>
        <w:t xml:space="preserve"> </w:t>
      </w:r>
      <w:r>
        <w:rPr>
          <w:sz w:val="18"/>
        </w:rPr>
        <w:t>Determination (Exhibit AUS‐2), p. 76.</w:t>
      </w:r>
    </w:p>
    <w:p w14:paraId="51DE86CE" w14:textId="77777777" w:rsidR="0010369C" w:rsidRDefault="0010369C">
      <w:pPr>
        <w:rPr>
          <w:sz w:val="18"/>
        </w:rPr>
        <w:sectPr w:rsidR="0010369C">
          <w:pgSz w:w="11910" w:h="16840"/>
          <w:pgMar w:top="880" w:right="800" w:bottom="980" w:left="1180" w:header="569" w:footer="788" w:gutter="0"/>
          <w:cols w:space="720"/>
        </w:sectPr>
      </w:pPr>
    </w:p>
    <w:p w14:paraId="51DE86CF" w14:textId="77777777" w:rsidR="0010369C" w:rsidRDefault="008E43AE">
      <w:pPr>
        <w:tabs>
          <w:tab w:val="left" w:pos="6425"/>
        </w:tabs>
        <w:ind w:left="238"/>
        <w:rPr>
          <w:sz w:val="20"/>
        </w:rPr>
      </w:pPr>
      <w:r>
        <w:rPr>
          <w:i/>
          <w:sz w:val="20"/>
        </w:rPr>
        <w:lastRenderedPageBreak/>
        <w:t>China</w:t>
      </w:r>
      <w:r>
        <w:rPr>
          <w:i/>
          <w:spacing w:val="-5"/>
          <w:sz w:val="20"/>
        </w:rPr>
        <w:t xml:space="preserve"> </w:t>
      </w:r>
      <w:r>
        <w:rPr>
          <w:i/>
          <w:sz w:val="20"/>
        </w:rPr>
        <w:t>–</w:t>
      </w:r>
      <w:r>
        <w:rPr>
          <w:i/>
          <w:spacing w:val="-5"/>
          <w:sz w:val="20"/>
        </w:rPr>
        <w:t xml:space="preserve"> </w:t>
      </w:r>
      <w:r>
        <w:rPr>
          <w:i/>
          <w:sz w:val="20"/>
        </w:rPr>
        <w:t>Anti‐Dumping</w:t>
      </w:r>
      <w:r>
        <w:rPr>
          <w:i/>
          <w:spacing w:val="-4"/>
          <w:sz w:val="20"/>
        </w:rPr>
        <w:t xml:space="preserve"> </w:t>
      </w:r>
      <w:r>
        <w:rPr>
          <w:i/>
          <w:sz w:val="20"/>
        </w:rPr>
        <w:t>and</w:t>
      </w:r>
      <w:r>
        <w:rPr>
          <w:i/>
          <w:spacing w:val="-5"/>
          <w:sz w:val="20"/>
        </w:rPr>
        <w:t xml:space="preserve"> </w:t>
      </w:r>
      <w:r>
        <w:rPr>
          <w:i/>
          <w:sz w:val="20"/>
        </w:rPr>
        <w:t>Countervailing</w:t>
      </w:r>
      <w:r>
        <w:rPr>
          <w:i/>
          <w:spacing w:val="-5"/>
          <w:sz w:val="20"/>
        </w:rPr>
        <w:t xml:space="preserve"> </w:t>
      </w:r>
      <w:r>
        <w:rPr>
          <w:i/>
          <w:sz w:val="20"/>
        </w:rPr>
        <w:t>Duty</w:t>
      </w:r>
      <w:r>
        <w:rPr>
          <w:i/>
          <w:spacing w:val="-4"/>
          <w:sz w:val="20"/>
        </w:rPr>
        <w:t xml:space="preserve"> </w:t>
      </w:r>
      <w:r>
        <w:rPr>
          <w:i/>
          <w:spacing w:val="-2"/>
          <w:sz w:val="20"/>
        </w:rPr>
        <w:t>Measures</w:t>
      </w:r>
      <w:r>
        <w:rPr>
          <w:i/>
          <w:sz w:val="20"/>
        </w:rPr>
        <w:tab/>
      </w:r>
      <w:r>
        <w:rPr>
          <w:sz w:val="20"/>
        </w:rPr>
        <w:t>Australia's</w:t>
      </w:r>
      <w:r>
        <w:rPr>
          <w:spacing w:val="-7"/>
          <w:sz w:val="20"/>
        </w:rPr>
        <w:t xml:space="preserve"> </w:t>
      </w:r>
      <w:r>
        <w:rPr>
          <w:sz w:val="20"/>
        </w:rPr>
        <w:t>First</w:t>
      </w:r>
      <w:r>
        <w:rPr>
          <w:spacing w:val="-2"/>
          <w:sz w:val="20"/>
        </w:rPr>
        <w:t xml:space="preserve"> </w:t>
      </w:r>
      <w:r>
        <w:rPr>
          <w:sz w:val="20"/>
        </w:rPr>
        <w:t>Written</w:t>
      </w:r>
      <w:r>
        <w:rPr>
          <w:spacing w:val="-2"/>
          <w:sz w:val="20"/>
        </w:rPr>
        <w:t xml:space="preserve"> Submission</w:t>
      </w:r>
    </w:p>
    <w:p w14:paraId="51DE86D0" w14:textId="77777777" w:rsidR="0010369C" w:rsidRDefault="008E43AE">
      <w:pPr>
        <w:tabs>
          <w:tab w:val="left" w:pos="8227"/>
        </w:tabs>
        <w:spacing w:before="1"/>
        <w:ind w:left="239"/>
        <w:rPr>
          <w:sz w:val="20"/>
        </w:rPr>
      </w:pPr>
      <w:r>
        <w:rPr>
          <w:i/>
          <w:sz w:val="20"/>
        </w:rPr>
        <w:t>on</w:t>
      </w:r>
      <w:r>
        <w:rPr>
          <w:i/>
          <w:spacing w:val="-1"/>
          <w:sz w:val="20"/>
        </w:rPr>
        <w:t xml:space="preserve"> </w:t>
      </w:r>
      <w:r>
        <w:rPr>
          <w:i/>
          <w:sz w:val="20"/>
        </w:rPr>
        <w:t>Wine</w:t>
      </w:r>
      <w:r>
        <w:rPr>
          <w:i/>
          <w:spacing w:val="-1"/>
          <w:sz w:val="20"/>
        </w:rPr>
        <w:t xml:space="preserve"> </w:t>
      </w:r>
      <w:r>
        <w:rPr>
          <w:i/>
          <w:sz w:val="20"/>
        </w:rPr>
        <w:t>from</w:t>
      </w:r>
      <w:r>
        <w:rPr>
          <w:i/>
          <w:spacing w:val="-3"/>
          <w:sz w:val="20"/>
        </w:rPr>
        <w:t xml:space="preserve"> </w:t>
      </w:r>
      <w:r>
        <w:rPr>
          <w:i/>
          <w:sz w:val="20"/>
        </w:rPr>
        <w:t>Australia</w:t>
      </w:r>
      <w:r>
        <w:rPr>
          <w:i/>
          <w:spacing w:val="-1"/>
          <w:sz w:val="20"/>
        </w:rPr>
        <w:t xml:space="preserve"> </w:t>
      </w:r>
      <w:r>
        <w:rPr>
          <w:spacing w:val="-2"/>
          <w:sz w:val="20"/>
        </w:rPr>
        <w:t>(DS602)</w:t>
      </w:r>
      <w:r>
        <w:rPr>
          <w:sz w:val="20"/>
        </w:rPr>
        <w:tab/>
        <w:t>29</w:t>
      </w:r>
      <w:r>
        <w:rPr>
          <w:spacing w:val="-1"/>
          <w:sz w:val="20"/>
        </w:rPr>
        <w:t xml:space="preserve"> </w:t>
      </w:r>
      <w:r>
        <w:rPr>
          <w:sz w:val="20"/>
        </w:rPr>
        <w:t>April</w:t>
      </w:r>
      <w:r>
        <w:rPr>
          <w:spacing w:val="-2"/>
          <w:sz w:val="20"/>
        </w:rPr>
        <w:t xml:space="preserve"> </w:t>
      </w:r>
      <w:r>
        <w:rPr>
          <w:spacing w:val="-4"/>
          <w:sz w:val="20"/>
        </w:rPr>
        <w:t>2022</w:t>
      </w:r>
    </w:p>
    <w:p w14:paraId="51DE86D1" w14:textId="77777777" w:rsidR="0010369C" w:rsidRDefault="008E43AE">
      <w:pPr>
        <w:spacing w:before="15"/>
        <w:ind w:left="1089"/>
        <w:rPr>
          <w:sz w:val="24"/>
        </w:rPr>
      </w:pPr>
      <w:r>
        <w:rPr>
          <w:noProof/>
        </w:rPr>
        <w:drawing>
          <wp:anchor distT="0" distB="0" distL="0" distR="0" simplePos="0" relativeHeight="250654208" behindDoc="0" locked="0" layoutInCell="1" allowOverlap="1" wp14:anchorId="51DEA17A" wp14:editId="51DEA17B">
            <wp:simplePos x="0" y="0"/>
            <wp:positionH relativeFrom="page">
              <wp:posOffset>905255</wp:posOffset>
            </wp:positionH>
            <wp:positionV relativeFrom="paragraph">
              <wp:posOffset>69161</wp:posOffset>
            </wp:positionV>
            <wp:extent cx="259079" cy="103631"/>
            <wp:effectExtent l="0" t="0" r="0" b="0"/>
            <wp:wrapNone/>
            <wp:docPr id="603" name="image3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 name="image310.png"/>
                    <pic:cNvPicPr/>
                  </pic:nvPicPr>
                  <pic:blipFill>
                    <a:blip r:embed="rId426" cstate="print"/>
                    <a:stretch>
                      <a:fillRect/>
                    </a:stretch>
                  </pic:blipFill>
                  <pic:spPr>
                    <a:xfrm>
                      <a:off x="0" y="0"/>
                      <a:ext cx="259079" cy="103631"/>
                    </a:xfrm>
                    <a:prstGeom prst="rect">
                      <a:avLst/>
                    </a:prstGeom>
                  </pic:spPr>
                </pic:pic>
              </a:graphicData>
            </a:graphic>
          </wp:anchor>
        </w:drawing>
      </w:r>
      <w:r>
        <w:pict w14:anchorId="51DEA17C">
          <v:rect id="docshape691" o:spid="_x0000_s1597" style="position:absolute;left:0;text-align:left;margin-left:119.75pt;margin-top:1.2pt;width:403.85pt;height:15.6pt;z-index:251823616;mso-position-horizontal-relative:page;mso-position-vertical-relative:text" fillcolor="black" stroked="f">
            <w10:wrap anchorx="page"/>
          </v:rect>
        </w:pict>
      </w:r>
      <w:r>
        <w:pict w14:anchorId="51DEA17D">
          <v:rect id="docshape692" o:spid="_x0000_s1596" style="position:absolute;left:0;text-align:left;margin-left:69.9pt;margin-top:111.1pt;width:316.9pt;height:15.6pt;z-index:251824640;mso-position-horizontal-relative:page;mso-position-vertical-relative:text" fillcolor="black" stroked="f">
            <w10:wrap anchorx="page"/>
          </v:rect>
        </w:pict>
      </w:r>
      <w:r>
        <w:rPr>
          <w:spacing w:val="-5"/>
          <w:sz w:val="24"/>
        </w:rPr>
        <w:t>[[</w:t>
      </w:r>
    </w:p>
    <w:p w14:paraId="51DE86D2" w14:textId="77777777" w:rsidR="0010369C" w:rsidRDefault="008E43AE">
      <w:pPr>
        <w:pStyle w:val="BodyText"/>
        <w:spacing w:before="9"/>
        <w:rPr>
          <w:sz w:val="10"/>
        </w:rPr>
      </w:pPr>
      <w:r>
        <w:pict w14:anchorId="51DEA17E">
          <v:rect id="docshape693" o:spid="_x0000_s1595" style="position:absolute;margin-left:69.9pt;margin-top:7.8pt;width:449.15pt;height:15.6pt;z-index:-250965504;mso-wrap-distance-left:0;mso-wrap-distance-right:0;mso-position-horizontal-relative:page" fillcolor="black" stroked="f">
            <w10:wrap type="topAndBottom" anchorx="page"/>
          </v:rect>
        </w:pict>
      </w:r>
      <w:r>
        <w:pict w14:anchorId="51DEA17F">
          <v:rect id="docshape694" o:spid="_x0000_s1594" style="position:absolute;margin-left:69.9pt;margin-top:29.8pt;width:453.65pt;height:15.6pt;z-index:-250964480;mso-wrap-distance-left:0;mso-wrap-distance-right:0;mso-position-horizontal-relative:page" fillcolor="black" stroked="f">
            <w10:wrap type="topAndBottom" anchorx="page"/>
          </v:rect>
        </w:pict>
      </w:r>
      <w:r>
        <w:pict w14:anchorId="51DEA180">
          <v:rect id="docshape695" o:spid="_x0000_s1593" style="position:absolute;margin-left:69.9pt;margin-top:51.75pt;width:453.7pt;height:15.6pt;z-index:-250963456;mso-wrap-distance-left:0;mso-wrap-distance-right:0;mso-position-horizontal-relative:page" fillcolor="black" stroked="f">
            <w10:wrap type="topAndBottom" anchorx="page"/>
          </v:rect>
        </w:pict>
      </w:r>
      <w:r>
        <w:pict w14:anchorId="51DEA181">
          <v:rect id="docshape696" o:spid="_x0000_s1592" style="position:absolute;margin-left:69.9pt;margin-top:73.75pt;width:453.75pt;height:15.6pt;z-index:-250962432;mso-wrap-distance-left:0;mso-wrap-distance-right:0;mso-position-horizontal-relative:page" fillcolor="black" stroked="f">
            <w10:wrap type="topAndBottom" anchorx="page"/>
          </v:rect>
        </w:pict>
      </w:r>
    </w:p>
    <w:p w14:paraId="51DE86D3" w14:textId="77777777" w:rsidR="0010369C" w:rsidRDefault="0010369C">
      <w:pPr>
        <w:pStyle w:val="BodyText"/>
        <w:spacing w:before="6"/>
        <w:rPr>
          <w:sz w:val="8"/>
        </w:rPr>
      </w:pPr>
    </w:p>
    <w:p w14:paraId="51DE86D4" w14:textId="77777777" w:rsidR="0010369C" w:rsidRDefault="0010369C">
      <w:pPr>
        <w:pStyle w:val="BodyText"/>
        <w:spacing w:before="6"/>
        <w:rPr>
          <w:sz w:val="8"/>
        </w:rPr>
      </w:pPr>
    </w:p>
    <w:p w14:paraId="51DE86D5" w14:textId="77777777" w:rsidR="0010369C" w:rsidRDefault="0010369C">
      <w:pPr>
        <w:pStyle w:val="BodyText"/>
        <w:spacing w:before="6"/>
        <w:rPr>
          <w:sz w:val="8"/>
        </w:rPr>
      </w:pPr>
    </w:p>
    <w:p w14:paraId="51DE86D6" w14:textId="77777777" w:rsidR="0010369C" w:rsidRDefault="008E43AE">
      <w:pPr>
        <w:spacing w:before="119"/>
        <w:ind w:left="6577"/>
        <w:rPr>
          <w:sz w:val="24"/>
        </w:rPr>
      </w:pPr>
      <w:r>
        <w:rPr>
          <w:spacing w:val="-5"/>
          <w:sz w:val="24"/>
        </w:rPr>
        <w:t>]]</w:t>
      </w:r>
    </w:p>
    <w:p w14:paraId="51DE86D7" w14:textId="77777777" w:rsidR="0010369C" w:rsidRDefault="0010369C">
      <w:pPr>
        <w:pStyle w:val="BodyText"/>
        <w:spacing w:before="2"/>
        <w:rPr>
          <w:sz w:val="19"/>
        </w:rPr>
      </w:pPr>
    </w:p>
    <w:p w14:paraId="51DE86D8" w14:textId="77777777" w:rsidR="0010369C" w:rsidRDefault="008E43AE">
      <w:pPr>
        <w:pStyle w:val="BodyText"/>
        <w:spacing w:before="52" w:line="360" w:lineRule="auto"/>
        <w:ind w:left="238" w:right="614" w:firstLine="850"/>
      </w:pPr>
      <w:r>
        <w:rPr>
          <w:noProof/>
        </w:rPr>
        <w:drawing>
          <wp:anchor distT="0" distB="0" distL="0" distR="0" simplePos="0" relativeHeight="250957312" behindDoc="1" locked="0" layoutInCell="1" allowOverlap="1" wp14:anchorId="51DEA182" wp14:editId="51DEA183">
            <wp:simplePos x="0" y="0"/>
            <wp:positionH relativeFrom="page">
              <wp:posOffset>905255</wp:posOffset>
            </wp:positionH>
            <wp:positionV relativeFrom="paragraph">
              <wp:posOffset>106076</wp:posOffset>
            </wp:positionV>
            <wp:extent cx="259079" cy="100753"/>
            <wp:effectExtent l="0" t="0" r="0" b="0"/>
            <wp:wrapNone/>
            <wp:docPr id="605" name="image3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 name="image311.png"/>
                    <pic:cNvPicPr/>
                  </pic:nvPicPr>
                  <pic:blipFill>
                    <a:blip r:embed="rId427" cstate="print"/>
                    <a:stretch>
                      <a:fillRect/>
                    </a:stretch>
                  </pic:blipFill>
                  <pic:spPr>
                    <a:xfrm>
                      <a:off x="0" y="0"/>
                      <a:ext cx="259079" cy="100753"/>
                    </a:xfrm>
                    <a:prstGeom prst="rect">
                      <a:avLst/>
                    </a:prstGeom>
                  </pic:spPr>
                </pic:pic>
              </a:graphicData>
            </a:graphic>
          </wp:anchor>
        </w:drawing>
      </w:r>
      <w:r>
        <w:pict w14:anchorId="51DEA184">
          <v:rect id="docshape697" o:spid="_x0000_s1591" style="position:absolute;left:0;text-align:left;margin-left:468pt;margin-top:25pt;width:79.55pt;height:15.6pt;z-index:-251339264;mso-position-horizontal-relative:page;mso-position-vertical-relative:text" fillcolor="black" stroked="f">
            <w10:wrap anchorx="page"/>
          </v:rect>
        </w:pict>
      </w:r>
      <w:r>
        <w:t>Australia</w:t>
      </w:r>
      <w:r>
        <w:rPr>
          <w:spacing w:val="40"/>
        </w:rPr>
        <w:t xml:space="preserve"> </w:t>
      </w:r>
      <w:r>
        <w:t>submits</w:t>
      </w:r>
      <w:r>
        <w:rPr>
          <w:spacing w:val="40"/>
        </w:rPr>
        <w:t xml:space="preserve"> </w:t>
      </w:r>
      <w:r>
        <w:t>that</w:t>
      </w:r>
      <w:r>
        <w:rPr>
          <w:spacing w:val="40"/>
        </w:rPr>
        <w:t xml:space="preserve"> </w:t>
      </w:r>
      <w:r>
        <w:t>MOFCOM</w:t>
      </w:r>
      <w:r>
        <w:rPr>
          <w:spacing w:val="40"/>
        </w:rPr>
        <w:t xml:space="preserve"> </w:t>
      </w:r>
      <w:r>
        <w:t>was</w:t>
      </w:r>
      <w:r>
        <w:rPr>
          <w:spacing w:val="40"/>
        </w:rPr>
        <w:t xml:space="preserve"> </w:t>
      </w:r>
      <w:r>
        <w:t>in</w:t>
      </w:r>
      <w:r>
        <w:rPr>
          <w:spacing w:val="40"/>
        </w:rPr>
        <w:t xml:space="preserve"> </w:t>
      </w:r>
      <w:r>
        <w:t>a</w:t>
      </w:r>
      <w:r>
        <w:rPr>
          <w:spacing w:val="40"/>
        </w:rPr>
        <w:t xml:space="preserve"> </w:t>
      </w:r>
      <w:r>
        <w:t>position</w:t>
      </w:r>
      <w:r>
        <w:rPr>
          <w:spacing w:val="40"/>
        </w:rPr>
        <w:t xml:space="preserve"> </w:t>
      </w:r>
      <w:r>
        <w:t>to</w:t>
      </w:r>
      <w:r>
        <w:rPr>
          <w:spacing w:val="40"/>
        </w:rPr>
        <w:t xml:space="preserve"> </w:t>
      </w:r>
      <w:r>
        <w:t>identify</w:t>
      </w:r>
      <w:r>
        <w:rPr>
          <w:spacing w:val="40"/>
        </w:rPr>
        <w:t xml:space="preserve"> </w:t>
      </w:r>
      <w:r>
        <w:t>all</w:t>
      </w:r>
      <w:r>
        <w:rPr>
          <w:spacing w:val="40"/>
        </w:rPr>
        <w:t xml:space="preserve"> </w:t>
      </w:r>
      <w:r>
        <w:t>the</w:t>
      </w:r>
      <w:r>
        <w:rPr>
          <w:spacing w:val="40"/>
        </w:rPr>
        <w:t xml:space="preserve"> </w:t>
      </w:r>
      <w:r>
        <w:t>necessary information</w:t>
      </w:r>
      <w:r>
        <w:rPr>
          <w:spacing w:val="40"/>
        </w:rPr>
        <w:t xml:space="preserve">  </w:t>
      </w:r>
      <w:r>
        <w:t>for</w:t>
      </w:r>
      <w:r>
        <w:rPr>
          <w:spacing w:val="40"/>
        </w:rPr>
        <w:t xml:space="preserve">  </w:t>
      </w:r>
      <w:r>
        <w:t>sales</w:t>
      </w:r>
      <w:r>
        <w:rPr>
          <w:spacing w:val="40"/>
        </w:rPr>
        <w:t xml:space="preserve">  </w:t>
      </w:r>
      <w:r>
        <w:t>made</w:t>
      </w:r>
      <w:r>
        <w:rPr>
          <w:spacing w:val="40"/>
        </w:rPr>
        <w:t xml:space="preserve">  </w:t>
      </w:r>
      <w:r>
        <w:t>under</w:t>
      </w:r>
      <w:r>
        <w:rPr>
          <w:spacing w:val="40"/>
        </w:rPr>
        <w:t xml:space="preserve">  </w:t>
      </w:r>
      <w:r>
        <w:t>special</w:t>
      </w:r>
      <w:r>
        <w:rPr>
          <w:spacing w:val="40"/>
        </w:rPr>
        <w:t xml:space="preserve">  </w:t>
      </w:r>
      <w:r>
        <w:t>price</w:t>
      </w:r>
      <w:r>
        <w:rPr>
          <w:spacing w:val="40"/>
        </w:rPr>
        <w:t xml:space="preserve">  </w:t>
      </w:r>
      <w:r>
        <w:t>arrangements</w:t>
      </w:r>
      <w:r>
        <w:rPr>
          <w:spacing w:val="40"/>
        </w:rPr>
        <w:t xml:space="preserve">  </w:t>
      </w:r>
      <w:r>
        <w:t>from</w:t>
      </w:r>
      <w:r>
        <w:rPr>
          <w:spacing w:val="40"/>
        </w:rPr>
        <w:t xml:space="preserve">  </w:t>
      </w:r>
      <w:r>
        <w:t>[[</w:t>
      </w:r>
    </w:p>
    <w:p w14:paraId="51DE86D9" w14:textId="77777777" w:rsidR="0010369C" w:rsidRDefault="008E43AE">
      <w:pPr>
        <w:pStyle w:val="BodyText"/>
        <w:tabs>
          <w:tab w:val="left" w:pos="8670"/>
        </w:tabs>
        <w:spacing w:line="360" w:lineRule="auto"/>
        <w:ind w:left="238" w:right="100" w:firstLine="1035"/>
      </w:pPr>
      <w:r>
        <w:pict w14:anchorId="51DEA185">
          <v:rect id="docshape698" o:spid="_x0000_s1590" style="position:absolute;left:0;text-align:left;margin-left:69.95pt;margin-top:.45pt;width:51.8pt;height:15.6pt;z-index:-251338240;mso-position-horizontal-relative:page" fillcolor="black" stroked="f">
            <w10:wrap anchorx="page"/>
          </v:rect>
        </w:pict>
      </w:r>
      <w:r>
        <w:pict w14:anchorId="51DEA186">
          <v:rect id="docshape699" o:spid="_x0000_s1589" style="position:absolute;left:0;text-align:left;margin-left:106.7pt;margin-top:110.35pt;width:382.1pt;height:15.6pt;z-index:-251337216;mso-position-horizontal-relative:page" fillcolor="black" stroked="f">
            <w10:wrap anchorx="page"/>
          </v:rect>
        </w:pict>
      </w:r>
      <w:r>
        <w:t>]]. Together, these documents sufficiently explain what special price arrangements meant, the clients and the sales situation, and the sales process. Even if MOFCOM considered these</w:t>
      </w:r>
      <w:r>
        <w:rPr>
          <w:spacing w:val="22"/>
        </w:rPr>
        <w:t xml:space="preserve"> </w:t>
      </w:r>
      <w:r>
        <w:t>related</w:t>
      </w:r>
      <w:r>
        <w:rPr>
          <w:spacing w:val="21"/>
        </w:rPr>
        <w:t xml:space="preserve"> </w:t>
      </w:r>
      <w:r>
        <w:t>party</w:t>
      </w:r>
      <w:r>
        <w:rPr>
          <w:spacing w:val="22"/>
        </w:rPr>
        <w:t xml:space="preserve"> </w:t>
      </w:r>
      <w:r>
        <w:t>sales</w:t>
      </w:r>
      <w:r>
        <w:rPr>
          <w:spacing w:val="21"/>
        </w:rPr>
        <w:t xml:space="preserve"> </w:t>
      </w:r>
      <w:r>
        <w:t>as</w:t>
      </w:r>
      <w:r>
        <w:rPr>
          <w:spacing w:val="22"/>
        </w:rPr>
        <w:t xml:space="preserve"> </w:t>
      </w:r>
      <w:r>
        <w:t>not</w:t>
      </w:r>
      <w:r>
        <w:rPr>
          <w:spacing w:val="23"/>
        </w:rPr>
        <w:t xml:space="preserve"> </w:t>
      </w:r>
      <w:r>
        <w:t>being</w:t>
      </w:r>
      <w:r>
        <w:rPr>
          <w:spacing w:val="22"/>
        </w:rPr>
        <w:t xml:space="preserve"> </w:t>
      </w:r>
      <w:r>
        <w:t>in</w:t>
      </w:r>
      <w:r>
        <w:rPr>
          <w:spacing w:val="22"/>
        </w:rPr>
        <w:t xml:space="preserve"> </w:t>
      </w:r>
      <w:r>
        <w:t>the</w:t>
      </w:r>
      <w:r>
        <w:rPr>
          <w:spacing w:val="23"/>
        </w:rPr>
        <w:t xml:space="preserve"> </w:t>
      </w:r>
      <w:r>
        <w:t>ordinary</w:t>
      </w:r>
      <w:r>
        <w:rPr>
          <w:spacing w:val="23"/>
        </w:rPr>
        <w:t xml:space="preserve"> </w:t>
      </w:r>
      <w:r>
        <w:t>course</w:t>
      </w:r>
      <w:r>
        <w:rPr>
          <w:spacing w:val="23"/>
        </w:rPr>
        <w:t xml:space="preserve"> </w:t>
      </w:r>
      <w:r>
        <w:t>of</w:t>
      </w:r>
      <w:r>
        <w:rPr>
          <w:spacing w:val="22"/>
        </w:rPr>
        <w:t xml:space="preserve"> </w:t>
      </w:r>
      <w:r>
        <w:t>trade,</w:t>
      </w:r>
      <w:r>
        <w:rPr>
          <w:spacing w:val="21"/>
        </w:rPr>
        <w:t xml:space="preserve"> </w:t>
      </w:r>
      <w:r>
        <w:t>it</w:t>
      </w:r>
      <w:r>
        <w:rPr>
          <w:spacing w:val="22"/>
        </w:rPr>
        <w:t xml:space="preserve"> </w:t>
      </w:r>
      <w:r>
        <w:t>was</w:t>
      </w:r>
      <w:r>
        <w:rPr>
          <w:spacing w:val="21"/>
        </w:rPr>
        <w:t xml:space="preserve"> </w:t>
      </w:r>
      <w:r>
        <w:t>not</w:t>
      </w:r>
      <w:r>
        <w:rPr>
          <w:spacing w:val="22"/>
        </w:rPr>
        <w:t xml:space="preserve"> </w:t>
      </w:r>
      <w:r>
        <w:t>entitled</w:t>
      </w:r>
      <w:r>
        <w:rPr>
          <w:spacing w:val="21"/>
        </w:rPr>
        <w:t xml:space="preserve"> </w:t>
      </w:r>
      <w:r>
        <w:t>to also reject all the sales made to non‐affiliated customers. The quantity of sales reported as</w:t>
      </w:r>
      <w:r>
        <w:rPr>
          <w:spacing w:val="80"/>
        </w:rPr>
        <w:t xml:space="preserve"> </w:t>
      </w:r>
      <w:r>
        <w:t>related party sales or under special price arrangements constituted a very small number of</w:t>
      </w:r>
      <w:r>
        <w:rPr>
          <w:spacing w:val="-2"/>
        </w:rPr>
        <w:t xml:space="preserve"> </w:t>
      </w:r>
      <w:r>
        <w:t>total sales. [[</w:t>
      </w:r>
      <w:r>
        <w:tab/>
      </w:r>
      <w:r>
        <w:rPr>
          <w:color w:val="5E5E5E"/>
        </w:rPr>
        <w:t>8,333.93 kl</w:t>
      </w:r>
    </w:p>
    <w:p w14:paraId="51DE86DA" w14:textId="77777777" w:rsidR="0010369C" w:rsidRDefault="008E43AE">
      <w:pPr>
        <w:pStyle w:val="BodyText"/>
        <w:tabs>
          <w:tab w:val="left" w:pos="1523"/>
        </w:tabs>
        <w:spacing w:before="1"/>
        <w:ind w:left="238"/>
      </w:pPr>
      <w:r>
        <w:pict w14:anchorId="51DEA187">
          <v:rect id="docshape700" o:spid="_x0000_s1588" style="position:absolute;left:0;text-align:left;margin-left:122.1pt;margin-top:.45pt;width:12.1pt;height:10.35pt;z-index:-251336192;mso-position-horizontal-relative:page" fillcolor="black" stroked="f">
            <w10:wrap anchorx="page"/>
          </v:rect>
        </w:pict>
      </w:r>
      <w:r>
        <w:rPr>
          <w:color w:val="5E5E5E"/>
        </w:rPr>
        <w:t>or</w:t>
      </w:r>
      <w:r>
        <w:rPr>
          <w:color w:val="5E5E5E"/>
          <w:spacing w:val="-3"/>
        </w:rPr>
        <w:t xml:space="preserve"> </w:t>
      </w:r>
      <w:r>
        <w:rPr>
          <w:color w:val="5E5E5E"/>
          <w:spacing w:val="-2"/>
        </w:rPr>
        <w:t>0.015%.</w:t>
      </w:r>
      <w:r>
        <w:rPr>
          <w:color w:val="5E5E5E"/>
        </w:rPr>
        <w:tab/>
      </w:r>
      <w:r>
        <w:rPr>
          <w:spacing w:val="-5"/>
        </w:rPr>
        <w:t>]]</w:t>
      </w:r>
    </w:p>
    <w:p w14:paraId="51DE86DB" w14:textId="77777777" w:rsidR="0010369C" w:rsidRDefault="0010369C">
      <w:pPr>
        <w:pStyle w:val="BodyText"/>
        <w:spacing w:before="2"/>
        <w:rPr>
          <w:sz w:val="19"/>
        </w:rPr>
      </w:pPr>
    </w:p>
    <w:p w14:paraId="51DE86DC" w14:textId="77777777" w:rsidR="0010369C" w:rsidRDefault="008E43AE">
      <w:pPr>
        <w:pStyle w:val="BodyText"/>
        <w:spacing w:before="52" w:line="360" w:lineRule="auto"/>
        <w:ind w:left="237" w:firstLine="851"/>
      </w:pPr>
      <w:r>
        <w:pict w14:anchorId="51DEA188">
          <v:rect id="docshape701" o:spid="_x0000_s1587" style="position:absolute;left:0;text-align:left;margin-left:69.9pt;margin-top:68.95pt;width:455.15pt;height:15.6pt;z-index:-250961408;mso-wrap-distance-left:0;mso-wrap-distance-right:0;mso-position-horizontal-relative:page" fillcolor="black" stroked="f">
            <w10:wrap type="topAndBottom" anchorx="page"/>
          </v:rect>
        </w:pict>
      </w:r>
      <w:r>
        <w:pict w14:anchorId="51DEA189">
          <v:rect id="docshape702" o:spid="_x0000_s1586" style="position:absolute;left:0;text-align:left;margin-left:69.9pt;margin-top:90.95pt;width:459pt;height:15.6pt;z-index:-250960384;mso-wrap-distance-left:0;mso-wrap-distance-right:0;mso-position-horizontal-relative:page" fillcolor="black" stroked="f">
            <w10:wrap type="topAndBottom" anchorx="page"/>
          </v:rect>
        </w:pict>
      </w:r>
      <w:r>
        <w:pict w14:anchorId="51DEA18A">
          <v:rect id="docshape703" o:spid="_x0000_s1585" style="position:absolute;left:0;text-align:left;margin-left:69.9pt;margin-top:112.95pt;width:459.05pt;height:15.6pt;z-index:-250959360;mso-wrap-distance-left:0;mso-wrap-distance-right:0;mso-position-horizontal-relative:page" fillcolor="black" stroked="f">
            <w10:wrap type="topAndBottom" anchorx="page"/>
          </v:rect>
        </w:pict>
      </w:r>
      <w:r>
        <w:pict w14:anchorId="51DEA18B">
          <v:rect id="docshape704" o:spid="_x0000_s1584" style="position:absolute;left:0;text-align:left;margin-left:69.9pt;margin-top:134.9pt;width:458.95pt;height:15.6pt;z-index:-250958336;mso-wrap-distance-left:0;mso-wrap-distance-right:0;mso-position-horizontal-relative:page" fillcolor="black" stroked="f">
            <w10:wrap type="topAndBottom" anchorx="page"/>
          </v:rect>
        </w:pict>
      </w:r>
      <w:r>
        <w:rPr>
          <w:noProof/>
        </w:rPr>
        <w:drawing>
          <wp:anchor distT="0" distB="0" distL="0" distR="0" simplePos="0" relativeHeight="250958336" behindDoc="1" locked="0" layoutInCell="1" allowOverlap="1" wp14:anchorId="51DEA18C" wp14:editId="51DEA18D">
            <wp:simplePos x="0" y="0"/>
            <wp:positionH relativeFrom="page">
              <wp:posOffset>905255</wp:posOffset>
            </wp:positionH>
            <wp:positionV relativeFrom="paragraph">
              <wp:posOffset>117497</wp:posOffset>
            </wp:positionV>
            <wp:extent cx="259079" cy="103631"/>
            <wp:effectExtent l="0" t="0" r="0" b="0"/>
            <wp:wrapNone/>
            <wp:docPr id="607" name="image3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 name="image312.png"/>
                    <pic:cNvPicPr/>
                  </pic:nvPicPr>
                  <pic:blipFill>
                    <a:blip r:embed="rId428" cstate="print"/>
                    <a:stretch>
                      <a:fillRect/>
                    </a:stretch>
                  </pic:blipFill>
                  <pic:spPr>
                    <a:xfrm>
                      <a:off x="0" y="0"/>
                      <a:ext cx="259079" cy="103631"/>
                    </a:xfrm>
                    <a:prstGeom prst="rect">
                      <a:avLst/>
                    </a:prstGeom>
                  </pic:spPr>
                </pic:pic>
              </a:graphicData>
            </a:graphic>
          </wp:anchor>
        </w:drawing>
      </w:r>
      <w:r>
        <w:pict w14:anchorId="51DEA18E">
          <v:rect id="docshape705" o:spid="_x0000_s1583" style="position:absolute;left:0;text-align:left;margin-left:132.8pt;margin-top:47pt;width:396.15pt;height:15.6pt;z-index:-251335168;mso-position-horizontal-relative:page;mso-position-vertical-relative:text" fillcolor="black" stroked="f">
            <w10:wrap anchorx="page"/>
          </v:rect>
        </w:pict>
      </w:r>
      <w:r>
        <w:t>O</w:t>
      </w:r>
      <w:r>
        <w:t>n</w:t>
      </w:r>
      <w:r>
        <w:rPr>
          <w:spacing w:val="79"/>
        </w:rPr>
        <w:t xml:space="preserve"> </w:t>
      </w:r>
      <w:r>
        <w:t>the</w:t>
      </w:r>
      <w:r>
        <w:rPr>
          <w:spacing w:val="79"/>
        </w:rPr>
        <w:t xml:space="preserve"> </w:t>
      </w:r>
      <w:r>
        <w:t>basis</w:t>
      </w:r>
      <w:r>
        <w:rPr>
          <w:spacing w:val="79"/>
        </w:rPr>
        <w:t xml:space="preserve"> </w:t>
      </w:r>
      <w:r>
        <w:t>of</w:t>
      </w:r>
      <w:r>
        <w:rPr>
          <w:spacing w:val="79"/>
        </w:rPr>
        <w:t xml:space="preserve"> </w:t>
      </w:r>
      <w:r>
        <w:t>the</w:t>
      </w:r>
      <w:r>
        <w:rPr>
          <w:spacing w:val="79"/>
        </w:rPr>
        <w:t xml:space="preserve"> </w:t>
      </w:r>
      <w:r>
        <w:t>above,</w:t>
      </w:r>
      <w:r>
        <w:rPr>
          <w:spacing w:val="78"/>
        </w:rPr>
        <w:t xml:space="preserve"> </w:t>
      </w:r>
      <w:r>
        <w:t>Australia</w:t>
      </w:r>
      <w:r>
        <w:rPr>
          <w:spacing w:val="78"/>
        </w:rPr>
        <w:t xml:space="preserve"> </w:t>
      </w:r>
      <w:r>
        <w:t>submits</w:t>
      </w:r>
      <w:r>
        <w:rPr>
          <w:spacing w:val="79"/>
        </w:rPr>
        <w:t xml:space="preserve"> </w:t>
      </w:r>
      <w:r>
        <w:t>that</w:t>
      </w:r>
      <w:r>
        <w:rPr>
          <w:spacing w:val="78"/>
        </w:rPr>
        <w:t xml:space="preserve"> </w:t>
      </w:r>
      <w:r>
        <w:t>Casella</w:t>
      </w:r>
      <w:r>
        <w:rPr>
          <w:spacing w:val="79"/>
        </w:rPr>
        <w:t xml:space="preserve"> </w:t>
      </w:r>
      <w:r>
        <w:t>Wines</w:t>
      </w:r>
      <w:r>
        <w:rPr>
          <w:spacing w:val="78"/>
        </w:rPr>
        <w:t xml:space="preserve"> </w:t>
      </w:r>
      <w:r>
        <w:t>provided</w:t>
      </w:r>
      <w:r>
        <w:rPr>
          <w:spacing w:val="79"/>
        </w:rPr>
        <w:t xml:space="preserve"> </w:t>
      </w:r>
      <w:r>
        <w:t>all information</w:t>
      </w:r>
      <w:r>
        <w:rPr>
          <w:spacing w:val="40"/>
        </w:rPr>
        <w:t xml:space="preserve"> </w:t>
      </w:r>
      <w:r>
        <w:t>concerning</w:t>
      </w:r>
      <w:r>
        <w:rPr>
          <w:spacing w:val="40"/>
        </w:rPr>
        <w:t xml:space="preserve"> </w:t>
      </w:r>
      <w:r>
        <w:t>special</w:t>
      </w:r>
      <w:r>
        <w:rPr>
          <w:spacing w:val="40"/>
        </w:rPr>
        <w:t xml:space="preserve"> </w:t>
      </w:r>
      <w:r>
        <w:t>price</w:t>
      </w:r>
      <w:r>
        <w:rPr>
          <w:spacing w:val="40"/>
        </w:rPr>
        <w:t xml:space="preserve"> </w:t>
      </w:r>
      <w:r>
        <w:t>arrangements</w:t>
      </w:r>
      <w:r>
        <w:rPr>
          <w:spacing w:val="40"/>
        </w:rPr>
        <w:t xml:space="preserve"> </w:t>
      </w:r>
      <w:r>
        <w:t>and</w:t>
      </w:r>
      <w:r>
        <w:rPr>
          <w:spacing w:val="40"/>
        </w:rPr>
        <w:t xml:space="preserve"> </w:t>
      </w:r>
      <w:r>
        <w:t>related</w:t>
      </w:r>
      <w:r>
        <w:rPr>
          <w:spacing w:val="40"/>
        </w:rPr>
        <w:t xml:space="preserve"> </w:t>
      </w:r>
      <w:r>
        <w:t>party</w:t>
      </w:r>
      <w:r>
        <w:rPr>
          <w:spacing w:val="40"/>
        </w:rPr>
        <w:t xml:space="preserve"> </w:t>
      </w:r>
      <w:r>
        <w:t>sales</w:t>
      </w:r>
      <w:r>
        <w:rPr>
          <w:spacing w:val="40"/>
        </w:rPr>
        <w:t xml:space="preserve"> </w:t>
      </w:r>
      <w:r>
        <w:t>that</w:t>
      </w:r>
      <w:r>
        <w:rPr>
          <w:spacing w:val="40"/>
        </w:rPr>
        <w:t xml:space="preserve"> </w:t>
      </w:r>
      <w:r>
        <w:t>MOFCOM requested. [[</w:t>
      </w:r>
    </w:p>
    <w:p w14:paraId="51DE86DD" w14:textId="77777777" w:rsidR="0010369C" w:rsidRDefault="0010369C">
      <w:pPr>
        <w:pStyle w:val="BodyText"/>
        <w:spacing w:before="5"/>
        <w:rPr>
          <w:sz w:val="8"/>
        </w:rPr>
      </w:pPr>
    </w:p>
    <w:p w14:paraId="51DE86DE" w14:textId="77777777" w:rsidR="0010369C" w:rsidRDefault="0010369C">
      <w:pPr>
        <w:pStyle w:val="BodyText"/>
        <w:spacing w:before="5"/>
        <w:rPr>
          <w:sz w:val="8"/>
        </w:rPr>
      </w:pPr>
    </w:p>
    <w:p w14:paraId="51DE86DF" w14:textId="77777777" w:rsidR="0010369C" w:rsidRDefault="0010369C">
      <w:pPr>
        <w:pStyle w:val="BodyText"/>
        <w:spacing w:before="5"/>
        <w:rPr>
          <w:sz w:val="8"/>
        </w:rPr>
      </w:pPr>
    </w:p>
    <w:p w14:paraId="51DE86E0" w14:textId="77777777" w:rsidR="0010369C" w:rsidRDefault="008E43AE">
      <w:pPr>
        <w:pStyle w:val="BodyText"/>
        <w:spacing w:before="119" w:line="360" w:lineRule="auto"/>
        <w:ind w:left="238" w:firstLine="4824"/>
      </w:pPr>
      <w:r>
        <w:t>As Casella Wines noted in its Supplementary Questionnaire,</w:t>
      </w:r>
      <w:r>
        <w:rPr>
          <w:spacing w:val="40"/>
        </w:rPr>
        <w:t xml:space="preserve"> </w:t>
      </w:r>
      <w:r>
        <w:t>the</w:t>
      </w:r>
      <w:r>
        <w:rPr>
          <w:spacing w:val="25"/>
        </w:rPr>
        <w:t xml:space="preserve"> </w:t>
      </w:r>
      <w:r>
        <w:t>affiliated</w:t>
      </w:r>
      <w:r>
        <w:rPr>
          <w:spacing w:val="40"/>
        </w:rPr>
        <w:t xml:space="preserve"> </w:t>
      </w:r>
      <w:r>
        <w:t>sales</w:t>
      </w:r>
      <w:r>
        <w:rPr>
          <w:spacing w:val="25"/>
        </w:rPr>
        <w:t xml:space="preserve"> </w:t>
      </w:r>
      <w:r>
        <w:t>were</w:t>
      </w:r>
      <w:r>
        <w:rPr>
          <w:spacing w:val="25"/>
        </w:rPr>
        <w:t xml:space="preserve"> </w:t>
      </w:r>
      <w:r>
        <w:t>of</w:t>
      </w:r>
      <w:r>
        <w:rPr>
          <w:spacing w:val="40"/>
        </w:rPr>
        <w:t xml:space="preserve"> </w:t>
      </w:r>
      <w:r>
        <w:t>such</w:t>
      </w:r>
      <w:r>
        <w:rPr>
          <w:spacing w:val="40"/>
        </w:rPr>
        <w:t xml:space="preserve"> </w:t>
      </w:r>
      <w:r>
        <w:t>low</w:t>
      </w:r>
      <w:r>
        <w:rPr>
          <w:spacing w:val="40"/>
        </w:rPr>
        <w:t xml:space="preserve"> </w:t>
      </w:r>
      <w:r>
        <w:t>volume</w:t>
      </w:r>
      <w:r>
        <w:rPr>
          <w:spacing w:val="40"/>
        </w:rPr>
        <w:t xml:space="preserve"> </w:t>
      </w:r>
      <w:r>
        <w:t>that</w:t>
      </w:r>
      <w:r>
        <w:rPr>
          <w:spacing w:val="40"/>
        </w:rPr>
        <w:t xml:space="preserve"> </w:t>
      </w:r>
      <w:r>
        <w:t>any</w:t>
      </w:r>
      <w:r>
        <w:rPr>
          <w:spacing w:val="40"/>
        </w:rPr>
        <w:t xml:space="preserve"> </w:t>
      </w:r>
      <w:r>
        <w:t>issue</w:t>
      </w:r>
      <w:r>
        <w:rPr>
          <w:spacing w:val="40"/>
        </w:rPr>
        <w:t xml:space="preserve"> </w:t>
      </w:r>
      <w:r>
        <w:t>with</w:t>
      </w:r>
      <w:r>
        <w:rPr>
          <w:spacing w:val="40"/>
        </w:rPr>
        <w:t xml:space="preserve"> </w:t>
      </w:r>
      <w:r>
        <w:t>these</w:t>
      </w:r>
      <w:r>
        <w:rPr>
          <w:spacing w:val="40"/>
        </w:rPr>
        <w:t xml:space="preserve"> </w:t>
      </w:r>
      <w:r>
        <w:t>sales could not be used to justify the rejection of the non‐affiliated sales.</w:t>
      </w:r>
      <w:r>
        <w:rPr>
          <w:vertAlign w:val="superscript"/>
        </w:rPr>
        <w:t>327</w:t>
      </w:r>
    </w:p>
    <w:p w14:paraId="51DE86E1" w14:textId="77777777" w:rsidR="0010369C" w:rsidRDefault="008E43AE">
      <w:pPr>
        <w:pStyle w:val="BodyText"/>
        <w:spacing w:before="140" w:line="360" w:lineRule="auto"/>
        <w:ind w:left="238" w:firstLine="1208"/>
      </w:pPr>
      <w:r>
        <w:pict w14:anchorId="51DEA18F">
          <v:rect id="docshape706" o:spid="_x0000_s1582" style="position:absolute;left:0;text-align:left;margin-left:69.9pt;margin-top:-65.5pt;width:238.3pt;height:15.6pt;z-index:-251334144;mso-position-horizontal-relative:page" fillcolor="black" stroked="f">
            <w10:wrap anchorx="page"/>
          </v:rect>
        </w:pict>
      </w:r>
      <w:r>
        <w:rPr>
          <w:noProof/>
        </w:rPr>
        <w:drawing>
          <wp:anchor distT="0" distB="0" distL="0" distR="0" simplePos="0" relativeHeight="250959360" behindDoc="1" locked="0" layoutInCell="1" allowOverlap="1" wp14:anchorId="51DEA190" wp14:editId="51DEA191">
            <wp:simplePos x="0" y="0"/>
            <wp:positionH relativeFrom="page">
              <wp:posOffset>905255</wp:posOffset>
            </wp:positionH>
            <wp:positionV relativeFrom="paragraph">
              <wp:posOffset>185442</wp:posOffset>
            </wp:positionV>
            <wp:extent cx="259079" cy="103631"/>
            <wp:effectExtent l="0" t="0" r="0" b="0"/>
            <wp:wrapNone/>
            <wp:docPr id="609" name="image3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 name="image313.png"/>
                    <pic:cNvPicPr/>
                  </pic:nvPicPr>
                  <pic:blipFill>
                    <a:blip r:embed="rId429" cstate="print"/>
                    <a:stretch>
                      <a:fillRect/>
                    </a:stretch>
                  </pic:blipFill>
                  <pic:spPr>
                    <a:xfrm>
                      <a:off x="0" y="0"/>
                      <a:ext cx="259079" cy="103631"/>
                    </a:xfrm>
                    <a:prstGeom prst="rect">
                      <a:avLst/>
                    </a:prstGeom>
                  </pic:spPr>
                </pic:pic>
              </a:graphicData>
            </a:graphic>
          </wp:anchor>
        </w:drawing>
      </w:r>
      <w:r>
        <w:t>On these grounds, MOFCOM was not entitled to reject the reported domestic sales data on the basis of the sales made through special price arrangements.</w:t>
      </w:r>
    </w:p>
    <w:p w14:paraId="51DE86E2" w14:textId="77777777" w:rsidR="0010369C" w:rsidRDefault="0010369C">
      <w:pPr>
        <w:pStyle w:val="BodyText"/>
        <w:rPr>
          <w:sz w:val="20"/>
        </w:rPr>
      </w:pPr>
    </w:p>
    <w:p w14:paraId="51DE86E3" w14:textId="77777777" w:rsidR="0010369C" w:rsidRDefault="0010369C">
      <w:pPr>
        <w:pStyle w:val="BodyText"/>
        <w:rPr>
          <w:sz w:val="20"/>
        </w:rPr>
      </w:pPr>
    </w:p>
    <w:p w14:paraId="51DE86E4" w14:textId="77777777" w:rsidR="0010369C" w:rsidRDefault="0010369C">
      <w:pPr>
        <w:pStyle w:val="BodyText"/>
        <w:rPr>
          <w:sz w:val="20"/>
        </w:rPr>
      </w:pPr>
    </w:p>
    <w:p w14:paraId="51DE86E5" w14:textId="77777777" w:rsidR="0010369C" w:rsidRDefault="0010369C">
      <w:pPr>
        <w:pStyle w:val="BodyText"/>
        <w:rPr>
          <w:sz w:val="20"/>
        </w:rPr>
      </w:pPr>
    </w:p>
    <w:p w14:paraId="51DE86E6" w14:textId="77777777" w:rsidR="0010369C" w:rsidRDefault="008E43AE">
      <w:pPr>
        <w:pStyle w:val="BodyText"/>
        <w:spacing w:before="10"/>
        <w:rPr>
          <w:sz w:val="13"/>
        </w:rPr>
      </w:pPr>
      <w:r>
        <w:pict w14:anchorId="51DEA192">
          <v:rect id="docshape707" o:spid="_x0000_s1581" style="position:absolute;margin-left:70.9pt;margin-top:9.65pt;width:2in;height:.8pt;z-index:-250957312;mso-wrap-distance-left:0;mso-wrap-distance-right:0;mso-position-horizontal-relative:page" fillcolor="black" stroked="f">
            <w10:wrap type="topAndBottom" anchorx="page"/>
          </v:rect>
        </w:pict>
      </w:r>
    </w:p>
    <w:p w14:paraId="51DE86E7" w14:textId="77777777" w:rsidR="0010369C" w:rsidRDefault="0010369C">
      <w:pPr>
        <w:pStyle w:val="BodyText"/>
        <w:spacing w:before="8"/>
        <w:rPr>
          <w:sz w:val="5"/>
        </w:rPr>
      </w:pPr>
    </w:p>
    <w:p w14:paraId="51DE86E8" w14:textId="77777777" w:rsidR="0010369C" w:rsidRDefault="0010369C">
      <w:pPr>
        <w:rPr>
          <w:sz w:val="5"/>
        </w:rPr>
        <w:sectPr w:rsidR="0010369C">
          <w:pgSz w:w="11910" w:h="16840"/>
          <w:pgMar w:top="880" w:right="800" w:bottom="980" w:left="1180" w:header="569" w:footer="788" w:gutter="0"/>
          <w:cols w:space="720"/>
        </w:sectPr>
      </w:pPr>
    </w:p>
    <w:p w14:paraId="51DE86E9" w14:textId="77777777" w:rsidR="0010369C" w:rsidRDefault="008E43AE">
      <w:pPr>
        <w:spacing w:before="37"/>
        <w:ind w:left="238"/>
        <w:rPr>
          <w:sz w:val="18"/>
        </w:rPr>
      </w:pPr>
      <w:r>
        <w:pict w14:anchorId="51DEA193">
          <v:rect id="docshape708" o:spid="_x0000_s1580" style="position:absolute;left:0;text-align:left;margin-left:86.65pt;margin-top:2.35pt;width:311.7pt;height:12.05pt;z-index:251825664;mso-position-horizontal-relative:page" fillcolor="black" stroked="f">
            <w10:wrap anchorx="page"/>
          </v:rect>
        </w:pict>
      </w:r>
      <w:r>
        <w:rPr>
          <w:color w:val="5E5E5E"/>
          <w:sz w:val="12"/>
        </w:rPr>
        <w:t>326</w:t>
      </w:r>
      <w:r>
        <w:rPr>
          <w:color w:val="5E5E5E"/>
          <w:spacing w:val="11"/>
          <w:sz w:val="12"/>
        </w:rPr>
        <w:t xml:space="preserve"> </w:t>
      </w:r>
      <w:r>
        <w:rPr>
          <w:spacing w:val="-10"/>
          <w:position w:val="-5"/>
          <w:sz w:val="18"/>
        </w:rPr>
        <w:t>[</w:t>
      </w:r>
    </w:p>
    <w:p w14:paraId="51DE86EA" w14:textId="77777777" w:rsidR="0010369C" w:rsidRDefault="008E43AE">
      <w:pPr>
        <w:ind w:left="238"/>
        <w:rPr>
          <w:sz w:val="18"/>
        </w:rPr>
      </w:pPr>
      <w:r>
        <w:rPr>
          <w:sz w:val="18"/>
          <w:vertAlign w:val="superscript"/>
        </w:rPr>
        <w:t>327</w:t>
      </w:r>
      <w:r>
        <w:rPr>
          <w:spacing w:val="-9"/>
          <w:sz w:val="18"/>
        </w:rPr>
        <w:t xml:space="preserve"> </w:t>
      </w:r>
      <w:r>
        <w:rPr>
          <w:sz w:val="18"/>
        </w:rPr>
        <w:t>Casella</w:t>
      </w:r>
      <w:r>
        <w:rPr>
          <w:spacing w:val="-9"/>
          <w:sz w:val="18"/>
        </w:rPr>
        <w:t xml:space="preserve"> </w:t>
      </w:r>
      <w:r>
        <w:rPr>
          <w:sz w:val="18"/>
        </w:rPr>
        <w:t>Wines</w:t>
      </w:r>
      <w:r>
        <w:rPr>
          <w:spacing w:val="-9"/>
          <w:sz w:val="18"/>
        </w:rPr>
        <w:t xml:space="preserve"> </w:t>
      </w:r>
      <w:r>
        <w:rPr>
          <w:sz w:val="18"/>
        </w:rPr>
        <w:t>Supplementary</w:t>
      </w:r>
      <w:r>
        <w:rPr>
          <w:spacing w:val="-8"/>
          <w:sz w:val="18"/>
        </w:rPr>
        <w:t xml:space="preserve"> </w:t>
      </w:r>
      <w:r>
        <w:rPr>
          <w:sz w:val="18"/>
        </w:rPr>
        <w:t>Questionnaire</w:t>
      </w:r>
      <w:r>
        <w:rPr>
          <w:spacing w:val="-9"/>
          <w:sz w:val="18"/>
        </w:rPr>
        <w:t xml:space="preserve"> </w:t>
      </w:r>
      <w:r>
        <w:rPr>
          <w:sz w:val="18"/>
        </w:rPr>
        <w:t>Response</w:t>
      </w:r>
      <w:r>
        <w:rPr>
          <w:spacing w:val="-9"/>
          <w:sz w:val="18"/>
        </w:rPr>
        <w:t xml:space="preserve"> </w:t>
      </w:r>
      <w:r>
        <w:rPr>
          <w:sz w:val="18"/>
        </w:rPr>
        <w:t>(Exhibit</w:t>
      </w:r>
      <w:r>
        <w:rPr>
          <w:spacing w:val="-9"/>
          <w:sz w:val="18"/>
        </w:rPr>
        <w:t xml:space="preserve"> </w:t>
      </w:r>
      <w:r>
        <w:rPr>
          <w:sz w:val="18"/>
        </w:rPr>
        <w:t>AUS‐30),</w:t>
      </w:r>
      <w:r>
        <w:rPr>
          <w:spacing w:val="-9"/>
          <w:sz w:val="18"/>
        </w:rPr>
        <w:t xml:space="preserve"> </w:t>
      </w:r>
      <w:r>
        <w:rPr>
          <w:sz w:val="18"/>
        </w:rPr>
        <w:t>p.</w:t>
      </w:r>
      <w:r>
        <w:rPr>
          <w:spacing w:val="-9"/>
          <w:sz w:val="18"/>
        </w:rPr>
        <w:t xml:space="preserve"> </w:t>
      </w:r>
      <w:r>
        <w:rPr>
          <w:spacing w:val="-5"/>
          <w:sz w:val="18"/>
        </w:rPr>
        <w:t>4.</w:t>
      </w:r>
    </w:p>
    <w:p w14:paraId="51DE86EB" w14:textId="77777777" w:rsidR="0010369C" w:rsidRDefault="008E43AE">
      <w:pPr>
        <w:spacing w:before="40"/>
        <w:ind w:left="238"/>
        <w:rPr>
          <w:sz w:val="18"/>
        </w:rPr>
      </w:pPr>
      <w:r>
        <w:br w:type="column"/>
      </w:r>
      <w:r>
        <w:rPr>
          <w:color w:val="5E5E5E"/>
          <w:sz w:val="18"/>
        </w:rPr>
        <w:t>(Exhibit</w:t>
      </w:r>
      <w:r>
        <w:rPr>
          <w:color w:val="5E5E5E"/>
          <w:spacing w:val="-9"/>
          <w:sz w:val="18"/>
        </w:rPr>
        <w:t xml:space="preserve"> </w:t>
      </w:r>
      <w:r>
        <w:rPr>
          <w:color w:val="5E5E5E"/>
          <w:sz w:val="18"/>
        </w:rPr>
        <w:t>AUS‐6</w:t>
      </w:r>
      <w:r>
        <w:rPr>
          <w:color w:val="5E5E5E"/>
          <w:spacing w:val="-9"/>
          <w:sz w:val="18"/>
        </w:rPr>
        <w:t xml:space="preserve"> </w:t>
      </w:r>
      <w:r>
        <w:rPr>
          <w:color w:val="5E5E5E"/>
          <w:spacing w:val="-2"/>
          <w:sz w:val="18"/>
        </w:rPr>
        <w:t>(BCI)).</w:t>
      </w:r>
      <w:r>
        <w:rPr>
          <w:spacing w:val="-2"/>
          <w:sz w:val="18"/>
        </w:rPr>
        <w:t>]]</w:t>
      </w:r>
    </w:p>
    <w:p w14:paraId="51DE86EC" w14:textId="77777777" w:rsidR="0010369C" w:rsidRDefault="0010369C">
      <w:pPr>
        <w:rPr>
          <w:sz w:val="18"/>
        </w:rPr>
        <w:sectPr w:rsidR="0010369C">
          <w:type w:val="continuous"/>
          <w:pgSz w:w="11910" w:h="16840"/>
          <w:pgMar w:top="1460" w:right="800" w:bottom="280" w:left="1180" w:header="569" w:footer="788" w:gutter="0"/>
          <w:cols w:num="2" w:space="720" w:equalWidth="0">
            <w:col w:w="6123" w:space="487"/>
            <w:col w:w="3320"/>
          </w:cols>
        </w:sectPr>
      </w:pPr>
    </w:p>
    <w:p w14:paraId="51DE86ED" w14:textId="77777777" w:rsidR="0010369C" w:rsidRDefault="008E43AE">
      <w:pPr>
        <w:tabs>
          <w:tab w:val="left" w:pos="6426"/>
        </w:tabs>
        <w:ind w:left="238"/>
        <w:rPr>
          <w:sz w:val="20"/>
        </w:rPr>
      </w:pPr>
      <w:r>
        <w:rPr>
          <w:i/>
          <w:sz w:val="20"/>
        </w:rPr>
        <w:lastRenderedPageBreak/>
        <w:t>China</w:t>
      </w:r>
      <w:r>
        <w:rPr>
          <w:i/>
          <w:spacing w:val="-5"/>
          <w:sz w:val="20"/>
        </w:rPr>
        <w:t xml:space="preserve"> </w:t>
      </w:r>
      <w:r>
        <w:rPr>
          <w:i/>
          <w:sz w:val="20"/>
        </w:rPr>
        <w:t>–</w:t>
      </w:r>
      <w:r>
        <w:rPr>
          <w:i/>
          <w:spacing w:val="-5"/>
          <w:sz w:val="20"/>
        </w:rPr>
        <w:t xml:space="preserve"> </w:t>
      </w:r>
      <w:r>
        <w:rPr>
          <w:i/>
          <w:sz w:val="20"/>
        </w:rPr>
        <w:t>Anti‐Dumping</w:t>
      </w:r>
      <w:r>
        <w:rPr>
          <w:i/>
          <w:spacing w:val="-4"/>
          <w:sz w:val="20"/>
        </w:rPr>
        <w:t xml:space="preserve"> </w:t>
      </w:r>
      <w:r>
        <w:rPr>
          <w:i/>
          <w:sz w:val="20"/>
        </w:rPr>
        <w:t>and</w:t>
      </w:r>
      <w:r>
        <w:rPr>
          <w:i/>
          <w:spacing w:val="-5"/>
          <w:sz w:val="20"/>
        </w:rPr>
        <w:t xml:space="preserve"> </w:t>
      </w:r>
      <w:r>
        <w:rPr>
          <w:i/>
          <w:sz w:val="20"/>
        </w:rPr>
        <w:t>Countervailing</w:t>
      </w:r>
      <w:r>
        <w:rPr>
          <w:i/>
          <w:spacing w:val="-5"/>
          <w:sz w:val="20"/>
        </w:rPr>
        <w:t xml:space="preserve"> </w:t>
      </w:r>
      <w:r>
        <w:rPr>
          <w:i/>
          <w:sz w:val="20"/>
        </w:rPr>
        <w:t>Duty</w:t>
      </w:r>
      <w:r>
        <w:rPr>
          <w:i/>
          <w:spacing w:val="-4"/>
          <w:sz w:val="20"/>
        </w:rPr>
        <w:t xml:space="preserve"> </w:t>
      </w:r>
      <w:r>
        <w:rPr>
          <w:i/>
          <w:spacing w:val="-2"/>
          <w:sz w:val="20"/>
        </w:rPr>
        <w:t>Measures</w:t>
      </w:r>
      <w:r>
        <w:rPr>
          <w:i/>
          <w:sz w:val="20"/>
        </w:rPr>
        <w:tab/>
      </w:r>
      <w:r>
        <w:rPr>
          <w:sz w:val="20"/>
        </w:rPr>
        <w:t>Australia's</w:t>
      </w:r>
      <w:r>
        <w:rPr>
          <w:spacing w:val="-7"/>
          <w:sz w:val="20"/>
        </w:rPr>
        <w:t xml:space="preserve"> </w:t>
      </w:r>
      <w:r>
        <w:rPr>
          <w:sz w:val="20"/>
        </w:rPr>
        <w:t>First</w:t>
      </w:r>
      <w:r>
        <w:rPr>
          <w:spacing w:val="-2"/>
          <w:sz w:val="20"/>
        </w:rPr>
        <w:t xml:space="preserve"> </w:t>
      </w:r>
      <w:r>
        <w:rPr>
          <w:sz w:val="20"/>
        </w:rPr>
        <w:t>Written</w:t>
      </w:r>
      <w:r>
        <w:rPr>
          <w:spacing w:val="-2"/>
          <w:sz w:val="20"/>
        </w:rPr>
        <w:t xml:space="preserve"> Submission</w:t>
      </w:r>
    </w:p>
    <w:p w14:paraId="51DE86EE" w14:textId="77777777" w:rsidR="0010369C" w:rsidRDefault="008E43AE">
      <w:pPr>
        <w:tabs>
          <w:tab w:val="left" w:pos="8228"/>
        </w:tabs>
        <w:spacing w:before="1"/>
        <w:ind w:left="239"/>
        <w:rPr>
          <w:sz w:val="20"/>
        </w:rPr>
      </w:pPr>
      <w:r>
        <w:rPr>
          <w:i/>
          <w:sz w:val="20"/>
        </w:rPr>
        <w:t>on</w:t>
      </w:r>
      <w:r>
        <w:rPr>
          <w:i/>
          <w:spacing w:val="-1"/>
          <w:sz w:val="20"/>
        </w:rPr>
        <w:t xml:space="preserve"> </w:t>
      </w:r>
      <w:r>
        <w:rPr>
          <w:i/>
          <w:sz w:val="20"/>
        </w:rPr>
        <w:t>Wine</w:t>
      </w:r>
      <w:r>
        <w:rPr>
          <w:i/>
          <w:spacing w:val="-1"/>
          <w:sz w:val="20"/>
        </w:rPr>
        <w:t xml:space="preserve"> </w:t>
      </w:r>
      <w:r>
        <w:rPr>
          <w:i/>
          <w:sz w:val="20"/>
        </w:rPr>
        <w:t>from</w:t>
      </w:r>
      <w:r>
        <w:rPr>
          <w:i/>
          <w:spacing w:val="-3"/>
          <w:sz w:val="20"/>
        </w:rPr>
        <w:t xml:space="preserve"> </w:t>
      </w:r>
      <w:r>
        <w:rPr>
          <w:i/>
          <w:sz w:val="20"/>
        </w:rPr>
        <w:t>Australia</w:t>
      </w:r>
      <w:r>
        <w:rPr>
          <w:i/>
          <w:spacing w:val="-1"/>
          <w:sz w:val="20"/>
        </w:rPr>
        <w:t xml:space="preserve"> </w:t>
      </w:r>
      <w:r>
        <w:rPr>
          <w:spacing w:val="-2"/>
          <w:sz w:val="20"/>
        </w:rPr>
        <w:t>(DS602)</w:t>
      </w:r>
      <w:r>
        <w:rPr>
          <w:sz w:val="20"/>
        </w:rPr>
        <w:tab/>
        <w:t>29</w:t>
      </w:r>
      <w:r>
        <w:rPr>
          <w:spacing w:val="-1"/>
          <w:sz w:val="20"/>
        </w:rPr>
        <w:t xml:space="preserve"> </w:t>
      </w:r>
      <w:r>
        <w:rPr>
          <w:sz w:val="20"/>
        </w:rPr>
        <w:t>April</w:t>
      </w:r>
      <w:r>
        <w:rPr>
          <w:spacing w:val="-2"/>
          <w:sz w:val="20"/>
        </w:rPr>
        <w:t xml:space="preserve"> </w:t>
      </w:r>
      <w:r>
        <w:rPr>
          <w:spacing w:val="-4"/>
          <w:sz w:val="20"/>
        </w:rPr>
        <w:t>2022</w:t>
      </w:r>
    </w:p>
    <w:p w14:paraId="51DE86EF" w14:textId="77777777" w:rsidR="0010369C" w:rsidRDefault="008E43AE">
      <w:pPr>
        <w:pStyle w:val="ListParagraph"/>
        <w:numPr>
          <w:ilvl w:val="4"/>
          <w:numId w:val="75"/>
        </w:numPr>
        <w:tabs>
          <w:tab w:val="left" w:pos="4493"/>
          <w:tab w:val="left" w:pos="4494"/>
        </w:tabs>
        <w:spacing w:before="34" w:line="360" w:lineRule="auto"/>
        <w:ind w:right="615"/>
        <w:rPr>
          <w:i/>
          <w:sz w:val="24"/>
        </w:rPr>
      </w:pPr>
      <w:r>
        <w:rPr>
          <w:i/>
          <w:sz w:val="24"/>
        </w:rPr>
        <w:t>MOFCOM</w:t>
      </w:r>
      <w:r>
        <w:rPr>
          <w:i/>
          <w:spacing w:val="40"/>
          <w:sz w:val="24"/>
        </w:rPr>
        <w:t xml:space="preserve"> </w:t>
      </w:r>
      <w:r>
        <w:rPr>
          <w:i/>
          <w:sz w:val="24"/>
        </w:rPr>
        <w:t>incorrectly</w:t>
      </w:r>
      <w:r>
        <w:rPr>
          <w:i/>
          <w:spacing w:val="40"/>
          <w:sz w:val="24"/>
        </w:rPr>
        <w:t xml:space="preserve"> </w:t>
      </w:r>
      <w:r>
        <w:rPr>
          <w:i/>
          <w:sz w:val="24"/>
        </w:rPr>
        <w:t>found</w:t>
      </w:r>
      <w:r>
        <w:rPr>
          <w:i/>
          <w:spacing w:val="40"/>
          <w:sz w:val="24"/>
        </w:rPr>
        <w:t xml:space="preserve"> </w:t>
      </w:r>
      <w:r>
        <w:rPr>
          <w:i/>
          <w:sz w:val="24"/>
        </w:rPr>
        <w:t>the</w:t>
      </w:r>
      <w:r>
        <w:rPr>
          <w:i/>
          <w:spacing w:val="40"/>
          <w:sz w:val="24"/>
        </w:rPr>
        <w:t xml:space="preserve"> </w:t>
      </w:r>
      <w:r>
        <w:rPr>
          <w:i/>
          <w:sz w:val="24"/>
        </w:rPr>
        <w:t>WPS</w:t>
      </w:r>
      <w:r>
        <w:rPr>
          <w:i/>
          <w:spacing w:val="40"/>
          <w:sz w:val="24"/>
        </w:rPr>
        <w:t xml:space="preserve"> </w:t>
      </w:r>
      <w:r>
        <w:rPr>
          <w:i/>
          <w:sz w:val="24"/>
        </w:rPr>
        <w:t>domestic sales spreadsheet was incomplete</w:t>
      </w:r>
    </w:p>
    <w:p w14:paraId="51DE86F0" w14:textId="77777777" w:rsidR="0010369C" w:rsidRDefault="0010369C">
      <w:pPr>
        <w:pStyle w:val="BodyText"/>
        <w:spacing w:before="10"/>
        <w:rPr>
          <w:i/>
          <w:sz w:val="8"/>
        </w:rPr>
      </w:pPr>
    </w:p>
    <w:p w14:paraId="51DE86F1" w14:textId="77777777" w:rsidR="0010369C" w:rsidRDefault="008E43AE">
      <w:pPr>
        <w:pStyle w:val="BodyText"/>
        <w:spacing w:before="52" w:line="362" w:lineRule="auto"/>
        <w:ind w:left="238" w:right="612" w:firstLine="851"/>
        <w:jc w:val="both"/>
      </w:pPr>
      <w:r>
        <w:rPr>
          <w:noProof/>
        </w:rPr>
        <w:drawing>
          <wp:anchor distT="0" distB="0" distL="0" distR="0" simplePos="0" relativeHeight="250960384" behindDoc="1" locked="0" layoutInCell="1" allowOverlap="1" wp14:anchorId="51DEA194" wp14:editId="51DEA195">
            <wp:simplePos x="0" y="0"/>
            <wp:positionH relativeFrom="page">
              <wp:posOffset>905255</wp:posOffset>
            </wp:positionH>
            <wp:positionV relativeFrom="paragraph">
              <wp:posOffset>76785</wp:posOffset>
            </wp:positionV>
            <wp:extent cx="259079" cy="106679"/>
            <wp:effectExtent l="0" t="0" r="0" b="0"/>
            <wp:wrapNone/>
            <wp:docPr id="611" name="image3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 name="image314.png"/>
                    <pic:cNvPicPr/>
                  </pic:nvPicPr>
                  <pic:blipFill>
                    <a:blip r:embed="rId430" cstate="print"/>
                    <a:stretch>
                      <a:fillRect/>
                    </a:stretch>
                  </pic:blipFill>
                  <pic:spPr>
                    <a:xfrm>
                      <a:off x="0" y="0"/>
                      <a:ext cx="259079" cy="106679"/>
                    </a:xfrm>
                    <a:prstGeom prst="rect">
                      <a:avLst/>
                    </a:prstGeom>
                  </pic:spPr>
                </pic:pic>
              </a:graphicData>
            </a:graphic>
          </wp:anchor>
        </w:drawing>
      </w:r>
      <w:r>
        <w:t>In</w:t>
      </w:r>
      <w:r>
        <w:rPr>
          <w:spacing w:val="-9"/>
        </w:rPr>
        <w:t xml:space="preserve"> </w:t>
      </w:r>
      <w:r>
        <w:t>its</w:t>
      </w:r>
      <w:r>
        <w:rPr>
          <w:spacing w:val="-9"/>
        </w:rPr>
        <w:t xml:space="preserve"> </w:t>
      </w:r>
      <w:r>
        <w:t>Final</w:t>
      </w:r>
      <w:r>
        <w:rPr>
          <w:spacing w:val="-8"/>
        </w:rPr>
        <w:t xml:space="preserve"> </w:t>
      </w:r>
      <w:r>
        <w:t>Determination,</w:t>
      </w:r>
      <w:r>
        <w:rPr>
          <w:spacing w:val="-8"/>
        </w:rPr>
        <w:t xml:space="preserve"> </w:t>
      </w:r>
      <w:r>
        <w:t>MOFCOM</w:t>
      </w:r>
      <w:r>
        <w:rPr>
          <w:spacing w:val="-8"/>
        </w:rPr>
        <w:t xml:space="preserve"> </w:t>
      </w:r>
      <w:r>
        <w:t>found</w:t>
      </w:r>
      <w:r>
        <w:rPr>
          <w:spacing w:val="-8"/>
        </w:rPr>
        <w:t xml:space="preserve"> </w:t>
      </w:r>
      <w:r>
        <w:t>the</w:t>
      </w:r>
      <w:r>
        <w:rPr>
          <w:spacing w:val="-8"/>
        </w:rPr>
        <w:t xml:space="preserve"> </w:t>
      </w:r>
      <w:r>
        <w:t>spreadsheet</w:t>
      </w:r>
      <w:r>
        <w:rPr>
          <w:spacing w:val="-8"/>
        </w:rPr>
        <w:t xml:space="preserve"> </w:t>
      </w:r>
      <w:r>
        <w:t>data</w:t>
      </w:r>
      <w:r>
        <w:rPr>
          <w:spacing w:val="-8"/>
        </w:rPr>
        <w:t xml:space="preserve"> </w:t>
      </w:r>
      <w:r>
        <w:t>of</w:t>
      </w:r>
      <w:r>
        <w:rPr>
          <w:spacing w:val="-9"/>
        </w:rPr>
        <w:t xml:space="preserve"> </w:t>
      </w:r>
      <w:r>
        <w:t>domestic</w:t>
      </w:r>
      <w:r>
        <w:rPr>
          <w:spacing w:val="-7"/>
        </w:rPr>
        <w:t xml:space="preserve"> </w:t>
      </w:r>
      <w:r>
        <w:t>sales</w:t>
      </w:r>
      <w:r>
        <w:rPr>
          <w:spacing w:val="-9"/>
        </w:rPr>
        <w:t xml:space="preserve"> </w:t>
      </w:r>
      <w:r>
        <w:t>in Australia (Form 4‐2) was incomplete.</w:t>
      </w:r>
      <w:r>
        <w:rPr>
          <w:vertAlign w:val="superscript"/>
        </w:rPr>
        <w:t>328</w:t>
      </w:r>
      <w:r>
        <w:t xml:space="preserve"> Specifically, it made the following findings:</w:t>
      </w:r>
    </w:p>
    <w:p w14:paraId="51DE86F2" w14:textId="77777777" w:rsidR="0010369C" w:rsidRDefault="008E43AE">
      <w:pPr>
        <w:pStyle w:val="ListParagraph"/>
        <w:numPr>
          <w:ilvl w:val="1"/>
          <w:numId w:val="69"/>
        </w:numPr>
        <w:tabs>
          <w:tab w:val="left" w:pos="1940"/>
          <w:tab w:val="left" w:pos="1941"/>
        </w:tabs>
        <w:spacing w:before="155" w:line="355" w:lineRule="auto"/>
        <w:ind w:left="1940" w:right="612"/>
        <w:rPr>
          <w:rFonts w:ascii="Symbol" w:hAnsi="Symbol"/>
          <w:sz w:val="24"/>
        </w:rPr>
      </w:pPr>
      <w:r>
        <w:rPr>
          <w:sz w:val="24"/>
        </w:rPr>
        <w:t>the electronic spreadsheets were neither complete nor consistent with printed spreadsheets;</w:t>
      </w:r>
      <w:r>
        <w:rPr>
          <w:sz w:val="24"/>
          <w:vertAlign w:val="superscript"/>
        </w:rPr>
        <w:t>329</w:t>
      </w:r>
    </w:p>
    <w:p w14:paraId="51DE86F3" w14:textId="77777777" w:rsidR="0010369C" w:rsidRDefault="008E43AE">
      <w:pPr>
        <w:pStyle w:val="ListParagraph"/>
        <w:numPr>
          <w:ilvl w:val="1"/>
          <w:numId w:val="69"/>
        </w:numPr>
        <w:tabs>
          <w:tab w:val="left" w:pos="1939"/>
          <w:tab w:val="left" w:pos="1941"/>
        </w:tabs>
        <w:spacing w:before="131" w:line="357" w:lineRule="auto"/>
        <w:ind w:right="614" w:hanging="850"/>
        <w:rPr>
          <w:rFonts w:ascii="Symbol" w:hAnsi="Symbol"/>
          <w:sz w:val="24"/>
        </w:rPr>
      </w:pPr>
      <w:r>
        <w:rPr>
          <w:sz w:val="24"/>
        </w:rPr>
        <w:t>the WPS could supported Casella Wines' submission of all transaction dat</w:t>
      </w:r>
      <w:r>
        <w:rPr>
          <w:sz w:val="24"/>
        </w:rPr>
        <w:t>a and its technical problem "could serve as a good excuse for its inability to provide complete spreadsheet submitted [sic]";</w:t>
      </w:r>
      <w:r>
        <w:rPr>
          <w:sz w:val="24"/>
          <w:vertAlign w:val="superscript"/>
        </w:rPr>
        <w:t>330</w:t>
      </w:r>
    </w:p>
    <w:p w14:paraId="51DE86F4" w14:textId="77777777" w:rsidR="0010369C" w:rsidRDefault="008E43AE">
      <w:pPr>
        <w:pStyle w:val="ListParagraph"/>
        <w:numPr>
          <w:ilvl w:val="1"/>
          <w:numId w:val="69"/>
        </w:numPr>
        <w:tabs>
          <w:tab w:val="left" w:pos="1939"/>
          <w:tab w:val="left" w:pos="1941"/>
        </w:tabs>
        <w:spacing w:before="129" w:line="357" w:lineRule="auto"/>
        <w:ind w:right="614"/>
        <w:rPr>
          <w:rFonts w:ascii="Symbol" w:hAnsi="Symbol"/>
          <w:sz w:val="24"/>
        </w:rPr>
      </w:pPr>
      <w:r>
        <w:rPr>
          <w:sz w:val="24"/>
        </w:rPr>
        <w:t>Casella Wines did not inform MOFCOM of its difficulty with the WPS software within the stipulated 15‐day period following distr</w:t>
      </w:r>
      <w:r>
        <w:rPr>
          <w:sz w:val="24"/>
        </w:rPr>
        <w:t>ibution of the Questionnaire;</w:t>
      </w:r>
      <w:r>
        <w:rPr>
          <w:sz w:val="24"/>
          <w:vertAlign w:val="superscript"/>
        </w:rPr>
        <w:t>331</w:t>
      </w:r>
      <w:r>
        <w:rPr>
          <w:sz w:val="24"/>
        </w:rPr>
        <w:t xml:space="preserve"> and</w:t>
      </w:r>
    </w:p>
    <w:p w14:paraId="51DE86F5" w14:textId="77777777" w:rsidR="0010369C" w:rsidRDefault="008E43AE">
      <w:pPr>
        <w:pStyle w:val="ListParagraph"/>
        <w:numPr>
          <w:ilvl w:val="1"/>
          <w:numId w:val="69"/>
        </w:numPr>
        <w:tabs>
          <w:tab w:val="left" w:pos="1939"/>
          <w:tab w:val="left" w:pos="1940"/>
        </w:tabs>
        <w:spacing w:before="128" w:line="357" w:lineRule="auto"/>
        <w:ind w:right="613" w:hanging="850"/>
        <w:rPr>
          <w:rFonts w:ascii="Symbol" w:hAnsi="Symbol"/>
          <w:sz w:val="24"/>
        </w:rPr>
      </w:pPr>
      <w:r>
        <w:rPr>
          <w:sz w:val="24"/>
        </w:rPr>
        <w:t>Casella Wines did not submit the WPS sheets in accordance with MOFCOM requirements after the Preliminary Determination, including either by verifying the response was complete or making every endeavour to submit the she</w:t>
      </w:r>
      <w:r>
        <w:rPr>
          <w:sz w:val="24"/>
        </w:rPr>
        <w:t>ets.</w:t>
      </w:r>
      <w:r>
        <w:rPr>
          <w:sz w:val="24"/>
          <w:vertAlign w:val="superscript"/>
        </w:rPr>
        <w:t>332</w:t>
      </w:r>
    </w:p>
    <w:p w14:paraId="51DE86F6" w14:textId="77777777" w:rsidR="0010369C" w:rsidRDefault="008E43AE">
      <w:pPr>
        <w:pStyle w:val="BodyText"/>
        <w:spacing w:before="130" w:line="360" w:lineRule="auto"/>
        <w:ind w:left="237" w:right="613" w:firstLine="852"/>
        <w:jc w:val="both"/>
      </w:pPr>
      <w:r>
        <w:rPr>
          <w:noProof/>
        </w:rPr>
        <w:drawing>
          <wp:anchor distT="0" distB="0" distL="0" distR="0" simplePos="0" relativeHeight="250961408" behindDoc="1" locked="0" layoutInCell="1" allowOverlap="1" wp14:anchorId="51DEA196" wp14:editId="51DEA197">
            <wp:simplePos x="0" y="0"/>
            <wp:positionH relativeFrom="page">
              <wp:posOffset>905255</wp:posOffset>
            </wp:positionH>
            <wp:positionV relativeFrom="paragraph">
              <wp:posOffset>130125</wp:posOffset>
            </wp:positionV>
            <wp:extent cx="259079" cy="103631"/>
            <wp:effectExtent l="0" t="0" r="0" b="0"/>
            <wp:wrapNone/>
            <wp:docPr id="613" name="image3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 name="image315.png"/>
                    <pic:cNvPicPr/>
                  </pic:nvPicPr>
                  <pic:blipFill>
                    <a:blip r:embed="rId431" cstate="print"/>
                    <a:stretch>
                      <a:fillRect/>
                    </a:stretch>
                  </pic:blipFill>
                  <pic:spPr>
                    <a:xfrm>
                      <a:off x="0" y="0"/>
                      <a:ext cx="259079" cy="103631"/>
                    </a:xfrm>
                    <a:prstGeom prst="rect">
                      <a:avLst/>
                    </a:prstGeom>
                  </pic:spPr>
                </pic:pic>
              </a:graphicData>
            </a:graphic>
          </wp:anchor>
        </w:drawing>
      </w:r>
      <w:r>
        <w:t>Australia submits MOFCOM's findings concerning Casella Wines' incomplete spreadsheets</w:t>
      </w:r>
      <w:r>
        <w:rPr>
          <w:spacing w:val="-3"/>
        </w:rPr>
        <w:t xml:space="preserve"> </w:t>
      </w:r>
      <w:r>
        <w:t>significantly</w:t>
      </w:r>
      <w:r>
        <w:rPr>
          <w:spacing w:val="-2"/>
        </w:rPr>
        <w:t xml:space="preserve"> </w:t>
      </w:r>
      <w:r>
        <w:t>mischaracterises</w:t>
      </w:r>
      <w:r>
        <w:rPr>
          <w:spacing w:val="-4"/>
        </w:rPr>
        <w:t xml:space="preserve"> </w:t>
      </w:r>
      <w:r>
        <w:t>the</w:t>
      </w:r>
      <w:r>
        <w:rPr>
          <w:spacing w:val="-2"/>
        </w:rPr>
        <w:t xml:space="preserve"> </w:t>
      </w:r>
      <w:r>
        <w:t>evidence</w:t>
      </w:r>
      <w:r>
        <w:rPr>
          <w:spacing w:val="-4"/>
        </w:rPr>
        <w:t xml:space="preserve"> </w:t>
      </w:r>
      <w:r>
        <w:t>on</w:t>
      </w:r>
      <w:r>
        <w:rPr>
          <w:spacing w:val="-3"/>
        </w:rPr>
        <w:t xml:space="preserve"> </w:t>
      </w:r>
      <w:r>
        <w:t>the</w:t>
      </w:r>
      <w:r>
        <w:rPr>
          <w:spacing w:val="-2"/>
        </w:rPr>
        <w:t xml:space="preserve"> </w:t>
      </w:r>
      <w:r>
        <w:t>record,</w:t>
      </w:r>
      <w:r>
        <w:rPr>
          <w:spacing w:val="-3"/>
        </w:rPr>
        <w:t xml:space="preserve"> </w:t>
      </w:r>
      <w:r>
        <w:t>the</w:t>
      </w:r>
      <w:r>
        <w:rPr>
          <w:spacing w:val="-2"/>
        </w:rPr>
        <w:t xml:space="preserve"> </w:t>
      </w:r>
      <w:r>
        <w:t>reasons</w:t>
      </w:r>
      <w:r>
        <w:rPr>
          <w:spacing w:val="-5"/>
        </w:rPr>
        <w:t xml:space="preserve"> </w:t>
      </w:r>
      <w:r>
        <w:t>provided by Casella Wines that justified the incomplete spreadsheets the company initially provided, and the efforts made by Casella Wines to remedy the incomplete information and fully cooperate with the investigation.</w:t>
      </w:r>
    </w:p>
    <w:p w14:paraId="51DE86F7" w14:textId="77777777" w:rsidR="0010369C" w:rsidRDefault="0010369C">
      <w:pPr>
        <w:pStyle w:val="BodyText"/>
        <w:spacing w:before="11"/>
        <w:rPr>
          <w:sz w:val="8"/>
        </w:rPr>
      </w:pPr>
    </w:p>
    <w:p w14:paraId="51DE86F8" w14:textId="77777777" w:rsidR="0010369C" w:rsidRDefault="008E43AE">
      <w:pPr>
        <w:pStyle w:val="BodyText"/>
        <w:spacing w:before="52" w:line="360" w:lineRule="auto"/>
        <w:ind w:left="237" w:right="614" w:firstLine="851"/>
        <w:jc w:val="both"/>
      </w:pPr>
      <w:r>
        <w:rPr>
          <w:noProof/>
        </w:rPr>
        <w:drawing>
          <wp:anchor distT="0" distB="0" distL="0" distR="0" simplePos="0" relativeHeight="250962432" behindDoc="1" locked="0" layoutInCell="1" allowOverlap="1" wp14:anchorId="51DEA198" wp14:editId="51DEA199">
            <wp:simplePos x="0" y="0"/>
            <wp:positionH relativeFrom="page">
              <wp:posOffset>905255</wp:posOffset>
            </wp:positionH>
            <wp:positionV relativeFrom="paragraph">
              <wp:posOffset>76785</wp:posOffset>
            </wp:positionV>
            <wp:extent cx="259079" cy="106679"/>
            <wp:effectExtent l="0" t="0" r="0" b="0"/>
            <wp:wrapNone/>
            <wp:docPr id="615" name="image3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 name="image316.png"/>
                    <pic:cNvPicPr/>
                  </pic:nvPicPr>
                  <pic:blipFill>
                    <a:blip r:embed="rId432" cstate="print"/>
                    <a:stretch>
                      <a:fillRect/>
                    </a:stretch>
                  </pic:blipFill>
                  <pic:spPr>
                    <a:xfrm>
                      <a:off x="0" y="0"/>
                      <a:ext cx="259079" cy="106679"/>
                    </a:xfrm>
                    <a:prstGeom prst="rect">
                      <a:avLst/>
                    </a:prstGeom>
                  </pic:spPr>
                </pic:pic>
              </a:graphicData>
            </a:graphic>
          </wp:anchor>
        </w:drawing>
      </w:r>
      <w:r>
        <w:t xml:space="preserve">As Casella Wines explained in its </w:t>
      </w:r>
      <w:r>
        <w:t>response to the Supplementary Questionnaire, the company was not aware the WPS format did not support a large amount of data until it submitted the Anti‐Dumping Questionnaire.</w:t>
      </w:r>
      <w:r>
        <w:rPr>
          <w:vertAlign w:val="superscript"/>
        </w:rPr>
        <w:t>333</w:t>
      </w:r>
      <w:r>
        <w:t xml:space="preserve"> In particular, neither MOFCOM nor the program</w:t>
      </w:r>
      <w:r>
        <w:rPr>
          <w:spacing w:val="14"/>
        </w:rPr>
        <w:t xml:space="preserve"> </w:t>
      </w:r>
      <w:r>
        <w:t>informed</w:t>
      </w:r>
      <w:r>
        <w:rPr>
          <w:spacing w:val="13"/>
        </w:rPr>
        <w:t xml:space="preserve"> </w:t>
      </w:r>
      <w:r>
        <w:t>Casella</w:t>
      </w:r>
      <w:r>
        <w:rPr>
          <w:spacing w:val="13"/>
        </w:rPr>
        <w:t xml:space="preserve"> </w:t>
      </w:r>
      <w:r>
        <w:t>Wines</w:t>
      </w:r>
      <w:r>
        <w:rPr>
          <w:spacing w:val="12"/>
        </w:rPr>
        <w:t xml:space="preserve"> </w:t>
      </w:r>
      <w:r>
        <w:t>the</w:t>
      </w:r>
      <w:r>
        <w:rPr>
          <w:spacing w:val="15"/>
        </w:rPr>
        <w:t xml:space="preserve"> </w:t>
      </w:r>
      <w:r>
        <w:t>spre</w:t>
      </w:r>
      <w:r>
        <w:t>adsheets</w:t>
      </w:r>
      <w:r>
        <w:rPr>
          <w:spacing w:val="13"/>
        </w:rPr>
        <w:t xml:space="preserve"> </w:t>
      </w:r>
      <w:r>
        <w:t>had</w:t>
      </w:r>
      <w:r>
        <w:rPr>
          <w:spacing w:val="13"/>
        </w:rPr>
        <w:t xml:space="preserve"> </w:t>
      </w:r>
      <w:r>
        <w:t>exceeded</w:t>
      </w:r>
      <w:r>
        <w:rPr>
          <w:spacing w:val="12"/>
        </w:rPr>
        <w:t xml:space="preserve"> </w:t>
      </w:r>
      <w:r>
        <w:t>the</w:t>
      </w:r>
      <w:r>
        <w:rPr>
          <w:spacing w:val="13"/>
        </w:rPr>
        <w:t xml:space="preserve"> </w:t>
      </w:r>
      <w:r>
        <w:t>maximum</w:t>
      </w:r>
      <w:r>
        <w:rPr>
          <w:spacing w:val="13"/>
        </w:rPr>
        <w:t xml:space="preserve"> </w:t>
      </w:r>
      <w:r>
        <w:t>number</w:t>
      </w:r>
      <w:r>
        <w:rPr>
          <w:spacing w:val="13"/>
        </w:rPr>
        <w:t xml:space="preserve"> </w:t>
      </w:r>
      <w:r>
        <w:rPr>
          <w:spacing w:val="-5"/>
        </w:rPr>
        <w:t>of</w:t>
      </w:r>
    </w:p>
    <w:p w14:paraId="51DE86F9" w14:textId="77777777" w:rsidR="0010369C" w:rsidRDefault="0010369C">
      <w:pPr>
        <w:pStyle w:val="BodyText"/>
        <w:rPr>
          <w:sz w:val="20"/>
        </w:rPr>
      </w:pPr>
    </w:p>
    <w:p w14:paraId="51DE86FA" w14:textId="77777777" w:rsidR="0010369C" w:rsidRDefault="008E43AE">
      <w:pPr>
        <w:pStyle w:val="BodyText"/>
      </w:pPr>
      <w:r>
        <w:pict w14:anchorId="51DEA19A">
          <v:rect id="docshape709" o:spid="_x0000_s1579" style="position:absolute;margin-left:70.9pt;margin-top:15.85pt;width:2in;height:.8pt;z-index:-250956288;mso-wrap-distance-left:0;mso-wrap-distance-right:0;mso-position-horizontal-relative:page" fillcolor="black" stroked="f">
            <w10:wrap type="topAndBottom" anchorx="page"/>
          </v:rect>
        </w:pict>
      </w:r>
    </w:p>
    <w:p w14:paraId="51DE86FB" w14:textId="77777777" w:rsidR="0010369C" w:rsidRDefault="008E43AE">
      <w:pPr>
        <w:spacing w:before="109"/>
        <w:ind w:left="238"/>
        <w:rPr>
          <w:sz w:val="18"/>
        </w:rPr>
      </w:pPr>
      <w:r>
        <w:rPr>
          <w:sz w:val="18"/>
          <w:vertAlign w:val="superscript"/>
        </w:rPr>
        <w:t>328</w:t>
      </w:r>
      <w:r>
        <w:rPr>
          <w:spacing w:val="-9"/>
          <w:sz w:val="18"/>
        </w:rPr>
        <w:t xml:space="preserve"> </w:t>
      </w:r>
      <w:r>
        <w:rPr>
          <w:sz w:val="18"/>
        </w:rPr>
        <w:t>Anti‐Dumping</w:t>
      </w:r>
      <w:r>
        <w:rPr>
          <w:spacing w:val="-9"/>
          <w:sz w:val="18"/>
        </w:rPr>
        <w:t xml:space="preserve"> </w:t>
      </w:r>
      <w:r>
        <w:rPr>
          <w:sz w:val="18"/>
        </w:rPr>
        <w:t>Final</w:t>
      </w:r>
      <w:r>
        <w:rPr>
          <w:spacing w:val="-9"/>
          <w:sz w:val="18"/>
        </w:rPr>
        <w:t xml:space="preserve"> </w:t>
      </w:r>
      <w:r>
        <w:rPr>
          <w:sz w:val="18"/>
        </w:rPr>
        <w:t>Determination</w:t>
      </w:r>
      <w:r>
        <w:rPr>
          <w:spacing w:val="-8"/>
          <w:sz w:val="18"/>
        </w:rPr>
        <w:t xml:space="preserve"> </w:t>
      </w:r>
      <w:r>
        <w:rPr>
          <w:sz w:val="18"/>
        </w:rPr>
        <w:t>(Exhibit</w:t>
      </w:r>
      <w:r>
        <w:rPr>
          <w:spacing w:val="-9"/>
          <w:sz w:val="18"/>
        </w:rPr>
        <w:t xml:space="preserve"> </w:t>
      </w:r>
      <w:r>
        <w:rPr>
          <w:sz w:val="18"/>
        </w:rPr>
        <w:t>AUS‐2),</w:t>
      </w:r>
      <w:r>
        <w:rPr>
          <w:spacing w:val="-9"/>
          <w:sz w:val="18"/>
        </w:rPr>
        <w:t xml:space="preserve"> </w:t>
      </w:r>
      <w:r>
        <w:rPr>
          <w:sz w:val="18"/>
        </w:rPr>
        <w:t>p.</w:t>
      </w:r>
      <w:r>
        <w:rPr>
          <w:spacing w:val="-9"/>
          <w:sz w:val="18"/>
        </w:rPr>
        <w:t xml:space="preserve"> </w:t>
      </w:r>
      <w:r>
        <w:rPr>
          <w:spacing w:val="-5"/>
          <w:sz w:val="18"/>
        </w:rPr>
        <w:t>77.</w:t>
      </w:r>
    </w:p>
    <w:p w14:paraId="51DE86FC" w14:textId="77777777" w:rsidR="0010369C" w:rsidRDefault="008E43AE">
      <w:pPr>
        <w:ind w:left="238"/>
        <w:rPr>
          <w:sz w:val="18"/>
        </w:rPr>
      </w:pPr>
      <w:r>
        <w:rPr>
          <w:sz w:val="18"/>
          <w:vertAlign w:val="superscript"/>
        </w:rPr>
        <w:t>329</w:t>
      </w:r>
      <w:r>
        <w:rPr>
          <w:spacing w:val="-9"/>
          <w:sz w:val="18"/>
        </w:rPr>
        <w:t xml:space="preserve"> </w:t>
      </w:r>
      <w:r>
        <w:rPr>
          <w:sz w:val="18"/>
        </w:rPr>
        <w:t>Anti‐Dumping</w:t>
      </w:r>
      <w:r>
        <w:rPr>
          <w:spacing w:val="-9"/>
          <w:sz w:val="18"/>
        </w:rPr>
        <w:t xml:space="preserve"> </w:t>
      </w:r>
      <w:r>
        <w:rPr>
          <w:sz w:val="18"/>
        </w:rPr>
        <w:t>Final</w:t>
      </w:r>
      <w:r>
        <w:rPr>
          <w:spacing w:val="-9"/>
          <w:sz w:val="18"/>
        </w:rPr>
        <w:t xml:space="preserve"> </w:t>
      </w:r>
      <w:r>
        <w:rPr>
          <w:sz w:val="18"/>
        </w:rPr>
        <w:t>Determination</w:t>
      </w:r>
      <w:r>
        <w:rPr>
          <w:spacing w:val="-8"/>
          <w:sz w:val="18"/>
        </w:rPr>
        <w:t xml:space="preserve"> </w:t>
      </w:r>
      <w:r>
        <w:rPr>
          <w:sz w:val="18"/>
        </w:rPr>
        <w:t>(Exhibit</w:t>
      </w:r>
      <w:r>
        <w:rPr>
          <w:spacing w:val="-9"/>
          <w:sz w:val="18"/>
        </w:rPr>
        <w:t xml:space="preserve"> </w:t>
      </w:r>
      <w:r>
        <w:rPr>
          <w:sz w:val="18"/>
        </w:rPr>
        <w:t>AUS‐2),</w:t>
      </w:r>
      <w:r>
        <w:rPr>
          <w:spacing w:val="-10"/>
          <w:sz w:val="18"/>
        </w:rPr>
        <w:t xml:space="preserve"> </w:t>
      </w:r>
      <w:r>
        <w:rPr>
          <w:sz w:val="18"/>
        </w:rPr>
        <w:t>pp.</w:t>
      </w:r>
      <w:r>
        <w:rPr>
          <w:spacing w:val="-9"/>
          <w:sz w:val="18"/>
        </w:rPr>
        <w:t xml:space="preserve"> </w:t>
      </w:r>
      <w:r>
        <w:rPr>
          <w:spacing w:val="-2"/>
          <w:sz w:val="18"/>
        </w:rPr>
        <w:t>78‐79.</w:t>
      </w:r>
    </w:p>
    <w:p w14:paraId="51DE86FD" w14:textId="77777777" w:rsidR="0010369C" w:rsidRDefault="008E43AE">
      <w:pPr>
        <w:spacing w:before="1"/>
        <w:ind w:left="238"/>
        <w:rPr>
          <w:sz w:val="18"/>
        </w:rPr>
      </w:pPr>
      <w:r>
        <w:rPr>
          <w:sz w:val="18"/>
          <w:vertAlign w:val="superscript"/>
        </w:rPr>
        <w:t>330</w:t>
      </w:r>
      <w:r>
        <w:rPr>
          <w:spacing w:val="-9"/>
          <w:sz w:val="18"/>
        </w:rPr>
        <w:t xml:space="preserve"> </w:t>
      </w:r>
      <w:r>
        <w:rPr>
          <w:sz w:val="18"/>
        </w:rPr>
        <w:t>Anti‐Dumping</w:t>
      </w:r>
      <w:r>
        <w:rPr>
          <w:spacing w:val="-9"/>
          <w:sz w:val="18"/>
        </w:rPr>
        <w:t xml:space="preserve"> </w:t>
      </w:r>
      <w:r>
        <w:rPr>
          <w:sz w:val="18"/>
        </w:rPr>
        <w:t>Final</w:t>
      </w:r>
      <w:r>
        <w:rPr>
          <w:spacing w:val="-9"/>
          <w:sz w:val="18"/>
        </w:rPr>
        <w:t xml:space="preserve"> </w:t>
      </w:r>
      <w:r>
        <w:rPr>
          <w:sz w:val="18"/>
        </w:rPr>
        <w:t>Determination</w:t>
      </w:r>
      <w:r>
        <w:rPr>
          <w:spacing w:val="-8"/>
          <w:sz w:val="18"/>
        </w:rPr>
        <w:t xml:space="preserve"> </w:t>
      </w:r>
      <w:r>
        <w:rPr>
          <w:sz w:val="18"/>
        </w:rPr>
        <w:t>(Exhibit</w:t>
      </w:r>
      <w:r>
        <w:rPr>
          <w:spacing w:val="-9"/>
          <w:sz w:val="18"/>
        </w:rPr>
        <w:t xml:space="preserve"> </w:t>
      </w:r>
      <w:r>
        <w:rPr>
          <w:sz w:val="18"/>
        </w:rPr>
        <w:t>AUS‐2),</w:t>
      </w:r>
      <w:r>
        <w:rPr>
          <w:spacing w:val="-9"/>
          <w:sz w:val="18"/>
        </w:rPr>
        <w:t xml:space="preserve"> </w:t>
      </w:r>
      <w:r>
        <w:rPr>
          <w:sz w:val="18"/>
        </w:rPr>
        <w:t>p.</w:t>
      </w:r>
      <w:r>
        <w:rPr>
          <w:spacing w:val="-9"/>
          <w:sz w:val="18"/>
        </w:rPr>
        <w:t xml:space="preserve"> </w:t>
      </w:r>
      <w:r>
        <w:rPr>
          <w:spacing w:val="-5"/>
          <w:sz w:val="18"/>
        </w:rPr>
        <w:t>79.</w:t>
      </w:r>
    </w:p>
    <w:p w14:paraId="51DE86FE" w14:textId="77777777" w:rsidR="0010369C" w:rsidRDefault="008E43AE">
      <w:pPr>
        <w:ind w:left="238"/>
        <w:rPr>
          <w:sz w:val="18"/>
        </w:rPr>
      </w:pPr>
      <w:r>
        <w:rPr>
          <w:sz w:val="18"/>
          <w:vertAlign w:val="superscript"/>
        </w:rPr>
        <w:t>331</w:t>
      </w:r>
      <w:r>
        <w:rPr>
          <w:spacing w:val="-9"/>
          <w:sz w:val="18"/>
        </w:rPr>
        <w:t xml:space="preserve"> </w:t>
      </w:r>
      <w:r>
        <w:rPr>
          <w:sz w:val="18"/>
        </w:rPr>
        <w:t>Anti‐Dumping</w:t>
      </w:r>
      <w:r>
        <w:rPr>
          <w:spacing w:val="-9"/>
          <w:sz w:val="18"/>
        </w:rPr>
        <w:t xml:space="preserve"> </w:t>
      </w:r>
      <w:r>
        <w:rPr>
          <w:sz w:val="18"/>
        </w:rPr>
        <w:t>Final</w:t>
      </w:r>
      <w:r>
        <w:rPr>
          <w:spacing w:val="-9"/>
          <w:sz w:val="18"/>
        </w:rPr>
        <w:t xml:space="preserve"> </w:t>
      </w:r>
      <w:r>
        <w:rPr>
          <w:sz w:val="18"/>
        </w:rPr>
        <w:t>Determination</w:t>
      </w:r>
      <w:r>
        <w:rPr>
          <w:spacing w:val="-8"/>
          <w:sz w:val="18"/>
        </w:rPr>
        <w:t xml:space="preserve"> </w:t>
      </w:r>
      <w:r>
        <w:rPr>
          <w:sz w:val="18"/>
        </w:rPr>
        <w:t>(Exhibit</w:t>
      </w:r>
      <w:r>
        <w:rPr>
          <w:spacing w:val="-9"/>
          <w:sz w:val="18"/>
        </w:rPr>
        <w:t xml:space="preserve"> </w:t>
      </w:r>
      <w:r>
        <w:rPr>
          <w:sz w:val="18"/>
        </w:rPr>
        <w:t>AUS‐2),</w:t>
      </w:r>
      <w:r>
        <w:rPr>
          <w:spacing w:val="-9"/>
          <w:sz w:val="18"/>
        </w:rPr>
        <w:t xml:space="preserve"> </w:t>
      </w:r>
      <w:r>
        <w:rPr>
          <w:sz w:val="18"/>
        </w:rPr>
        <w:t>p.</w:t>
      </w:r>
      <w:r>
        <w:rPr>
          <w:spacing w:val="-9"/>
          <w:sz w:val="18"/>
        </w:rPr>
        <w:t xml:space="preserve"> </w:t>
      </w:r>
      <w:r>
        <w:rPr>
          <w:spacing w:val="-5"/>
          <w:sz w:val="18"/>
        </w:rPr>
        <w:t>79.</w:t>
      </w:r>
    </w:p>
    <w:p w14:paraId="51DE86FF" w14:textId="77777777" w:rsidR="0010369C" w:rsidRDefault="008E43AE">
      <w:pPr>
        <w:ind w:left="238"/>
        <w:rPr>
          <w:sz w:val="18"/>
        </w:rPr>
      </w:pPr>
      <w:r>
        <w:rPr>
          <w:sz w:val="18"/>
          <w:vertAlign w:val="superscript"/>
        </w:rPr>
        <w:t>332</w:t>
      </w:r>
      <w:r>
        <w:rPr>
          <w:spacing w:val="-9"/>
          <w:sz w:val="18"/>
        </w:rPr>
        <w:t xml:space="preserve"> </w:t>
      </w:r>
      <w:r>
        <w:rPr>
          <w:sz w:val="18"/>
        </w:rPr>
        <w:t>Anti‐Dumping</w:t>
      </w:r>
      <w:r>
        <w:rPr>
          <w:spacing w:val="-9"/>
          <w:sz w:val="18"/>
        </w:rPr>
        <w:t xml:space="preserve"> </w:t>
      </w:r>
      <w:r>
        <w:rPr>
          <w:sz w:val="18"/>
        </w:rPr>
        <w:t>Final</w:t>
      </w:r>
      <w:r>
        <w:rPr>
          <w:spacing w:val="-9"/>
          <w:sz w:val="18"/>
        </w:rPr>
        <w:t xml:space="preserve"> </w:t>
      </w:r>
      <w:r>
        <w:rPr>
          <w:sz w:val="18"/>
        </w:rPr>
        <w:t>Determination</w:t>
      </w:r>
      <w:r>
        <w:rPr>
          <w:spacing w:val="-8"/>
          <w:sz w:val="18"/>
        </w:rPr>
        <w:t xml:space="preserve"> </w:t>
      </w:r>
      <w:r>
        <w:rPr>
          <w:sz w:val="18"/>
        </w:rPr>
        <w:t>(Exhibit</w:t>
      </w:r>
      <w:r>
        <w:rPr>
          <w:spacing w:val="-9"/>
          <w:sz w:val="18"/>
        </w:rPr>
        <w:t xml:space="preserve"> </w:t>
      </w:r>
      <w:r>
        <w:rPr>
          <w:sz w:val="18"/>
        </w:rPr>
        <w:t>AUS‐2),</w:t>
      </w:r>
      <w:r>
        <w:rPr>
          <w:spacing w:val="-10"/>
          <w:sz w:val="18"/>
        </w:rPr>
        <w:t xml:space="preserve"> </w:t>
      </w:r>
      <w:r>
        <w:rPr>
          <w:sz w:val="18"/>
        </w:rPr>
        <w:t>pp.</w:t>
      </w:r>
      <w:r>
        <w:rPr>
          <w:spacing w:val="-9"/>
          <w:sz w:val="18"/>
        </w:rPr>
        <w:t xml:space="preserve"> </w:t>
      </w:r>
      <w:r>
        <w:rPr>
          <w:spacing w:val="-2"/>
          <w:sz w:val="18"/>
        </w:rPr>
        <w:t>79‐80.</w:t>
      </w:r>
    </w:p>
    <w:p w14:paraId="51DE8700" w14:textId="77777777" w:rsidR="0010369C" w:rsidRDefault="008E43AE">
      <w:pPr>
        <w:ind w:left="238"/>
        <w:rPr>
          <w:sz w:val="18"/>
        </w:rPr>
      </w:pPr>
      <w:r>
        <w:rPr>
          <w:sz w:val="18"/>
          <w:vertAlign w:val="superscript"/>
        </w:rPr>
        <w:t>333</w:t>
      </w:r>
      <w:r>
        <w:rPr>
          <w:spacing w:val="-9"/>
          <w:sz w:val="18"/>
        </w:rPr>
        <w:t xml:space="preserve"> </w:t>
      </w:r>
      <w:r>
        <w:rPr>
          <w:sz w:val="18"/>
        </w:rPr>
        <w:t>Casella</w:t>
      </w:r>
      <w:r>
        <w:rPr>
          <w:spacing w:val="-9"/>
          <w:sz w:val="18"/>
        </w:rPr>
        <w:t xml:space="preserve"> </w:t>
      </w:r>
      <w:r>
        <w:rPr>
          <w:sz w:val="18"/>
        </w:rPr>
        <w:t>Wines</w:t>
      </w:r>
      <w:r>
        <w:rPr>
          <w:spacing w:val="-9"/>
          <w:sz w:val="18"/>
        </w:rPr>
        <w:t xml:space="preserve"> </w:t>
      </w:r>
      <w:r>
        <w:rPr>
          <w:sz w:val="18"/>
        </w:rPr>
        <w:t>Supplementary</w:t>
      </w:r>
      <w:r>
        <w:rPr>
          <w:spacing w:val="-8"/>
          <w:sz w:val="18"/>
        </w:rPr>
        <w:t xml:space="preserve"> </w:t>
      </w:r>
      <w:r>
        <w:rPr>
          <w:sz w:val="18"/>
        </w:rPr>
        <w:t>Questionnaire</w:t>
      </w:r>
      <w:r>
        <w:rPr>
          <w:spacing w:val="-10"/>
          <w:sz w:val="18"/>
        </w:rPr>
        <w:t xml:space="preserve"> </w:t>
      </w:r>
      <w:r>
        <w:rPr>
          <w:sz w:val="18"/>
        </w:rPr>
        <w:t>Response</w:t>
      </w:r>
      <w:r>
        <w:rPr>
          <w:spacing w:val="-9"/>
          <w:sz w:val="18"/>
        </w:rPr>
        <w:t xml:space="preserve"> </w:t>
      </w:r>
      <w:r>
        <w:rPr>
          <w:sz w:val="18"/>
        </w:rPr>
        <w:t>(Exhibit</w:t>
      </w:r>
      <w:r>
        <w:rPr>
          <w:spacing w:val="-9"/>
          <w:sz w:val="18"/>
        </w:rPr>
        <w:t xml:space="preserve"> </w:t>
      </w:r>
      <w:r>
        <w:rPr>
          <w:sz w:val="18"/>
        </w:rPr>
        <w:t>AUS‐30),</w:t>
      </w:r>
      <w:r>
        <w:rPr>
          <w:spacing w:val="-9"/>
          <w:sz w:val="18"/>
        </w:rPr>
        <w:t xml:space="preserve"> </w:t>
      </w:r>
      <w:r>
        <w:rPr>
          <w:sz w:val="18"/>
        </w:rPr>
        <w:t>pp.</w:t>
      </w:r>
      <w:r>
        <w:rPr>
          <w:spacing w:val="-9"/>
          <w:sz w:val="18"/>
        </w:rPr>
        <w:t xml:space="preserve"> </w:t>
      </w:r>
      <w:r>
        <w:rPr>
          <w:spacing w:val="-4"/>
          <w:sz w:val="18"/>
        </w:rPr>
        <w:t>5‐6.</w:t>
      </w:r>
    </w:p>
    <w:p w14:paraId="51DE8701" w14:textId="77777777" w:rsidR="0010369C" w:rsidRDefault="0010369C">
      <w:pPr>
        <w:rPr>
          <w:sz w:val="18"/>
        </w:rPr>
        <w:sectPr w:rsidR="0010369C">
          <w:pgSz w:w="11910" w:h="16840"/>
          <w:pgMar w:top="880" w:right="800" w:bottom="980" w:left="1180" w:header="569" w:footer="788" w:gutter="0"/>
          <w:cols w:space="720"/>
        </w:sectPr>
      </w:pPr>
    </w:p>
    <w:p w14:paraId="51DE8702" w14:textId="77777777" w:rsidR="0010369C" w:rsidRDefault="008E43AE">
      <w:pPr>
        <w:tabs>
          <w:tab w:val="left" w:pos="6426"/>
        </w:tabs>
        <w:ind w:left="238"/>
        <w:jc w:val="both"/>
        <w:rPr>
          <w:sz w:val="20"/>
        </w:rPr>
      </w:pPr>
      <w:r>
        <w:rPr>
          <w:i/>
          <w:sz w:val="20"/>
        </w:rPr>
        <w:lastRenderedPageBreak/>
        <w:t>China</w:t>
      </w:r>
      <w:r>
        <w:rPr>
          <w:i/>
          <w:spacing w:val="-5"/>
          <w:sz w:val="20"/>
        </w:rPr>
        <w:t xml:space="preserve"> </w:t>
      </w:r>
      <w:r>
        <w:rPr>
          <w:i/>
          <w:sz w:val="20"/>
        </w:rPr>
        <w:t>–</w:t>
      </w:r>
      <w:r>
        <w:rPr>
          <w:i/>
          <w:spacing w:val="-5"/>
          <w:sz w:val="20"/>
        </w:rPr>
        <w:t xml:space="preserve"> </w:t>
      </w:r>
      <w:r>
        <w:rPr>
          <w:i/>
          <w:sz w:val="20"/>
        </w:rPr>
        <w:t>Anti‐Dumping</w:t>
      </w:r>
      <w:r>
        <w:rPr>
          <w:i/>
          <w:spacing w:val="-4"/>
          <w:sz w:val="20"/>
        </w:rPr>
        <w:t xml:space="preserve"> </w:t>
      </w:r>
      <w:r>
        <w:rPr>
          <w:i/>
          <w:sz w:val="20"/>
        </w:rPr>
        <w:t>and</w:t>
      </w:r>
      <w:r>
        <w:rPr>
          <w:i/>
          <w:spacing w:val="-5"/>
          <w:sz w:val="20"/>
        </w:rPr>
        <w:t xml:space="preserve"> </w:t>
      </w:r>
      <w:r>
        <w:rPr>
          <w:i/>
          <w:sz w:val="20"/>
        </w:rPr>
        <w:t>Countervailing</w:t>
      </w:r>
      <w:r>
        <w:rPr>
          <w:i/>
          <w:spacing w:val="-5"/>
          <w:sz w:val="20"/>
        </w:rPr>
        <w:t xml:space="preserve"> </w:t>
      </w:r>
      <w:r>
        <w:rPr>
          <w:i/>
          <w:sz w:val="20"/>
        </w:rPr>
        <w:t>Duty</w:t>
      </w:r>
      <w:r>
        <w:rPr>
          <w:i/>
          <w:spacing w:val="-4"/>
          <w:sz w:val="20"/>
        </w:rPr>
        <w:t xml:space="preserve"> </w:t>
      </w:r>
      <w:r>
        <w:rPr>
          <w:i/>
          <w:spacing w:val="-2"/>
          <w:sz w:val="20"/>
        </w:rPr>
        <w:t>Measures</w:t>
      </w:r>
      <w:r>
        <w:rPr>
          <w:i/>
          <w:sz w:val="20"/>
        </w:rPr>
        <w:tab/>
      </w:r>
      <w:r>
        <w:rPr>
          <w:sz w:val="20"/>
        </w:rPr>
        <w:t>Australia's</w:t>
      </w:r>
      <w:r>
        <w:rPr>
          <w:spacing w:val="-7"/>
          <w:sz w:val="20"/>
        </w:rPr>
        <w:t xml:space="preserve"> </w:t>
      </w:r>
      <w:r>
        <w:rPr>
          <w:sz w:val="20"/>
        </w:rPr>
        <w:t>First</w:t>
      </w:r>
      <w:r>
        <w:rPr>
          <w:spacing w:val="-2"/>
          <w:sz w:val="20"/>
        </w:rPr>
        <w:t xml:space="preserve"> </w:t>
      </w:r>
      <w:r>
        <w:rPr>
          <w:sz w:val="20"/>
        </w:rPr>
        <w:t>Written</w:t>
      </w:r>
      <w:r>
        <w:rPr>
          <w:spacing w:val="-2"/>
          <w:sz w:val="20"/>
        </w:rPr>
        <w:t xml:space="preserve"> Submission</w:t>
      </w:r>
    </w:p>
    <w:p w14:paraId="51DE8703" w14:textId="77777777" w:rsidR="0010369C" w:rsidRDefault="008E43AE">
      <w:pPr>
        <w:tabs>
          <w:tab w:val="left" w:pos="8228"/>
        </w:tabs>
        <w:spacing w:before="1"/>
        <w:ind w:left="239"/>
        <w:jc w:val="both"/>
        <w:rPr>
          <w:sz w:val="20"/>
        </w:rPr>
      </w:pPr>
      <w:r>
        <w:rPr>
          <w:i/>
          <w:sz w:val="20"/>
        </w:rPr>
        <w:t>on</w:t>
      </w:r>
      <w:r>
        <w:rPr>
          <w:i/>
          <w:spacing w:val="-1"/>
          <w:sz w:val="20"/>
        </w:rPr>
        <w:t xml:space="preserve"> </w:t>
      </w:r>
      <w:r>
        <w:rPr>
          <w:i/>
          <w:sz w:val="20"/>
        </w:rPr>
        <w:t>Wine</w:t>
      </w:r>
      <w:r>
        <w:rPr>
          <w:i/>
          <w:spacing w:val="-1"/>
          <w:sz w:val="20"/>
        </w:rPr>
        <w:t xml:space="preserve"> </w:t>
      </w:r>
      <w:r>
        <w:rPr>
          <w:i/>
          <w:sz w:val="20"/>
        </w:rPr>
        <w:t>from</w:t>
      </w:r>
      <w:r>
        <w:rPr>
          <w:i/>
          <w:spacing w:val="-3"/>
          <w:sz w:val="20"/>
        </w:rPr>
        <w:t xml:space="preserve"> </w:t>
      </w:r>
      <w:r>
        <w:rPr>
          <w:i/>
          <w:sz w:val="20"/>
        </w:rPr>
        <w:t>Australia</w:t>
      </w:r>
      <w:r>
        <w:rPr>
          <w:i/>
          <w:spacing w:val="-1"/>
          <w:sz w:val="20"/>
        </w:rPr>
        <w:t xml:space="preserve"> </w:t>
      </w:r>
      <w:r>
        <w:rPr>
          <w:spacing w:val="-2"/>
          <w:sz w:val="20"/>
        </w:rPr>
        <w:t>(DS602)</w:t>
      </w:r>
      <w:r>
        <w:rPr>
          <w:sz w:val="20"/>
        </w:rPr>
        <w:tab/>
        <w:t>29</w:t>
      </w:r>
      <w:r>
        <w:rPr>
          <w:spacing w:val="-1"/>
          <w:sz w:val="20"/>
        </w:rPr>
        <w:t xml:space="preserve"> </w:t>
      </w:r>
      <w:r>
        <w:rPr>
          <w:sz w:val="20"/>
        </w:rPr>
        <w:t>April</w:t>
      </w:r>
      <w:r>
        <w:rPr>
          <w:spacing w:val="-2"/>
          <w:sz w:val="20"/>
        </w:rPr>
        <w:t xml:space="preserve"> </w:t>
      </w:r>
      <w:r>
        <w:rPr>
          <w:spacing w:val="-4"/>
          <w:sz w:val="20"/>
        </w:rPr>
        <w:t>2022</w:t>
      </w:r>
    </w:p>
    <w:p w14:paraId="51DE8704" w14:textId="77777777" w:rsidR="0010369C" w:rsidRDefault="008E43AE">
      <w:pPr>
        <w:pStyle w:val="BodyText"/>
        <w:spacing w:before="34" w:line="360" w:lineRule="auto"/>
        <w:ind w:left="235" w:right="613" w:firstLine="2"/>
        <w:jc w:val="both"/>
      </w:pPr>
      <w:r>
        <w:t>lines and columns, nor that these excess sections would be automatically discarded.</w:t>
      </w:r>
      <w:r>
        <w:rPr>
          <w:vertAlign w:val="superscript"/>
        </w:rPr>
        <w:t>334</w:t>
      </w:r>
      <w:r>
        <w:t xml:space="preserve"> Nonetheless, Casella Wines did provide printed versions of</w:t>
      </w:r>
      <w:r>
        <w:t xml:space="preserve"> these spreadsheets with its physical</w:t>
      </w:r>
      <w:r>
        <w:rPr>
          <w:spacing w:val="-9"/>
        </w:rPr>
        <w:t xml:space="preserve"> </w:t>
      </w:r>
      <w:r>
        <w:t>copy</w:t>
      </w:r>
      <w:r>
        <w:rPr>
          <w:spacing w:val="-9"/>
        </w:rPr>
        <w:t xml:space="preserve"> </w:t>
      </w:r>
      <w:r>
        <w:t>of</w:t>
      </w:r>
      <w:r>
        <w:rPr>
          <w:spacing w:val="-10"/>
        </w:rPr>
        <w:t xml:space="preserve"> </w:t>
      </w:r>
      <w:r>
        <w:t>the</w:t>
      </w:r>
      <w:r>
        <w:rPr>
          <w:spacing w:val="-10"/>
        </w:rPr>
        <w:t xml:space="preserve"> </w:t>
      </w:r>
      <w:r>
        <w:t>Anti‐Dumping</w:t>
      </w:r>
      <w:r>
        <w:rPr>
          <w:spacing w:val="-10"/>
        </w:rPr>
        <w:t xml:space="preserve"> </w:t>
      </w:r>
      <w:r>
        <w:t>Questionnaire.</w:t>
      </w:r>
      <w:r>
        <w:rPr>
          <w:spacing w:val="-9"/>
        </w:rPr>
        <w:t xml:space="preserve"> </w:t>
      </w:r>
      <w:r>
        <w:t>MOFCOM</w:t>
      </w:r>
      <w:r>
        <w:rPr>
          <w:spacing w:val="-9"/>
        </w:rPr>
        <w:t xml:space="preserve"> </w:t>
      </w:r>
      <w:r>
        <w:t>was</w:t>
      </w:r>
      <w:r>
        <w:rPr>
          <w:spacing w:val="-10"/>
        </w:rPr>
        <w:t xml:space="preserve"> </w:t>
      </w:r>
      <w:r>
        <w:t>in</w:t>
      </w:r>
      <w:r>
        <w:rPr>
          <w:spacing w:val="-10"/>
        </w:rPr>
        <w:t xml:space="preserve"> </w:t>
      </w:r>
      <w:r>
        <w:t>a</w:t>
      </w:r>
      <w:r>
        <w:rPr>
          <w:spacing w:val="-10"/>
        </w:rPr>
        <w:t xml:space="preserve"> </w:t>
      </w:r>
      <w:r>
        <w:t>position</w:t>
      </w:r>
      <w:r>
        <w:rPr>
          <w:spacing w:val="-10"/>
        </w:rPr>
        <w:t xml:space="preserve"> </w:t>
      </w:r>
      <w:r>
        <w:t>to</w:t>
      </w:r>
      <w:r>
        <w:rPr>
          <w:spacing w:val="-9"/>
        </w:rPr>
        <w:t xml:space="preserve"> </w:t>
      </w:r>
      <w:r>
        <w:t>rely</w:t>
      </w:r>
      <w:r>
        <w:rPr>
          <w:spacing w:val="-10"/>
        </w:rPr>
        <w:t xml:space="preserve"> </w:t>
      </w:r>
      <w:r>
        <w:t>upon</w:t>
      </w:r>
      <w:r>
        <w:rPr>
          <w:spacing w:val="-10"/>
        </w:rPr>
        <w:t xml:space="preserve"> </w:t>
      </w:r>
      <w:r>
        <w:t>the printed versions of these spreadsheets until Casella Wines was made aware of the issue and had an opportunity to provide complete electr</w:t>
      </w:r>
      <w:r>
        <w:t xml:space="preserve">onic versions, which it did at the first opportunity by attaching Excel versions to its Comments on the Preliminary Questionnaire. The provision of these latter spreadsheets in Excel format was supported by MOFCOM's decades‐long practice of using Excel to </w:t>
      </w:r>
      <w:r>
        <w:t>collect data in investigations, with WPS only being adopted in recent years. WPS is not a commonly used software and is not used by Casella in its daily operations.</w:t>
      </w:r>
      <w:r>
        <w:rPr>
          <w:vertAlign w:val="superscript"/>
        </w:rPr>
        <w:t>335</w:t>
      </w:r>
      <w:r>
        <w:t xml:space="preserve"> Once these electronic versions were provided, MOFCOM was in a position to verify the acc</w:t>
      </w:r>
      <w:r>
        <w:t xml:space="preserve">uracy and completeness of the data in the printed domestic sales </w:t>
      </w:r>
      <w:r>
        <w:rPr>
          <w:spacing w:val="-2"/>
        </w:rPr>
        <w:t>spreadsheet.</w:t>
      </w:r>
    </w:p>
    <w:p w14:paraId="51DE8705" w14:textId="77777777" w:rsidR="0010369C" w:rsidRDefault="0010369C">
      <w:pPr>
        <w:pStyle w:val="BodyText"/>
        <w:spacing w:before="11"/>
        <w:rPr>
          <w:sz w:val="8"/>
        </w:rPr>
      </w:pPr>
    </w:p>
    <w:p w14:paraId="51DE8706" w14:textId="77777777" w:rsidR="0010369C" w:rsidRDefault="008E43AE">
      <w:pPr>
        <w:pStyle w:val="BodyText"/>
        <w:spacing w:before="52" w:line="360" w:lineRule="auto"/>
        <w:ind w:left="236" w:right="613" w:firstLine="852"/>
        <w:jc w:val="both"/>
      </w:pPr>
      <w:r>
        <w:rPr>
          <w:noProof/>
        </w:rPr>
        <w:drawing>
          <wp:anchor distT="0" distB="0" distL="0" distR="0" simplePos="0" relativeHeight="250963456" behindDoc="1" locked="0" layoutInCell="1" allowOverlap="1" wp14:anchorId="51DEA19B" wp14:editId="51DEA19C">
            <wp:simplePos x="0" y="0"/>
            <wp:positionH relativeFrom="page">
              <wp:posOffset>905255</wp:posOffset>
            </wp:positionH>
            <wp:positionV relativeFrom="paragraph">
              <wp:posOffset>80595</wp:posOffset>
            </wp:positionV>
            <wp:extent cx="259079" cy="103631"/>
            <wp:effectExtent l="0" t="0" r="0" b="0"/>
            <wp:wrapNone/>
            <wp:docPr id="617" name="image3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 name="image317.png"/>
                    <pic:cNvPicPr/>
                  </pic:nvPicPr>
                  <pic:blipFill>
                    <a:blip r:embed="rId433" cstate="print"/>
                    <a:stretch>
                      <a:fillRect/>
                    </a:stretch>
                  </pic:blipFill>
                  <pic:spPr>
                    <a:xfrm>
                      <a:off x="0" y="0"/>
                      <a:ext cx="259079" cy="103631"/>
                    </a:xfrm>
                    <a:prstGeom prst="rect">
                      <a:avLst/>
                    </a:prstGeom>
                  </pic:spPr>
                </pic:pic>
              </a:graphicData>
            </a:graphic>
          </wp:anchor>
        </w:drawing>
      </w:r>
      <w:r>
        <w:t>Australia strongly refutes MOFCOM's false characterisation that Casella Wines was uncooperative and did not make every endeavour to provide this information. Such a characterisation is not founded on any evidence on the public record and is contradicted by</w:t>
      </w:r>
      <w:r>
        <w:t xml:space="preserve"> the</w:t>
      </w:r>
      <w:r>
        <w:rPr>
          <w:spacing w:val="-10"/>
        </w:rPr>
        <w:t xml:space="preserve"> </w:t>
      </w:r>
      <w:r>
        <w:t>conduct</w:t>
      </w:r>
      <w:r>
        <w:rPr>
          <w:spacing w:val="-13"/>
        </w:rPr>
        <w:t xml:space="preserve"> </w:t>
      </w:r>
      <w:r>
        <w:t>and</w:t>
      </w:r>
      <w:r>
        <w:rPr>
          <w:spacing w:val="-11"/>
        </w:rPr>
        <w:t xml:space="preserve"> </w:t>
      </w:r>
      <w:r>
        <w:t>explanations</w:t>
      </w:r>
      <w:r>
        <w:rPr>
          <w:spacing w:val="-13"/>
        </w:rPr>
        <w:t xml:space="preserve"> </w:t>
      </w:r>
      <w:r>
        <w:t>provided</w:t>
      </w:r>
      <w:r>
        <w:rPr>
          <w:spacing w:val="-11"/>
        </w:rPr>
        <w:t xml:space="preserve"> </w:t>
      </w:r>
      <w:r>
        <w:t>by</w:t>
      </w:r>
      <w:r>
        <w:rPr>
          <w:spacing w:val="-11"/>
        </w:rPr>
        <w:t xml:space="preserve"> </w:t>
      </w:r>
      <w:r>
        <w:t>Casella</w:t>
      </w:r>
      <w:r>
        <w:rPr>
          <w:spacing w:val="-11"/>
        </w:rPr>
        <w:t xml:space="preserve"> </w:t>
      </w:r>
      <w:r>
        <w:t>Wines.</w:t>
      </w:r>
      <w:r>
        <w:rPr>
          <w:spacing w:val="-11"/>
        </w:rPr>
        <w:t xml:space="preserve"> </w:t>
      </w:r>
      <w:r>
        <w:t>The</w:t>
      </w:r>
      <w:r>
        <w:rPr>
          <w:spacing w:val="-10"/>
        </w:rPr>
        <w:t xml:space="preserve"> </w:t>
      </w:r>
      <w:r>
        <w:t>fact</w:t>
      </w:r>
      <w:r>
        <w:rPr>
          <w:spacing w:val="-11"/>
        </w:rPr>
        <w:t xml:space="preserve"> </w:t>
      </w:r>
      <w:r>
        <w:t>that</w:t>
      </w:r>
      <w:r>
        <w:rPr>
          <w:spacing w:val="-11"/>
        </w:rPr>
        <w:t xml:space="preserve"> </w:t>
      </w:r>
      <w:r>
        <w:t>Casella</w:t>
      </w:r>
      <w:r>
        <w:rPr>
          <w:spacing w:val="-11"/>
        </w:rPr>
        <w:t xml:space="preserve"> </w:t>
      </w:r>
      <w:r>
        <w:t>Wines</w:t>
      </w:r>
      <w:r>
        <w:rPr>
          <w:spacing w:val="-13"/>
        </w:rPr>
        <w:t xml:space="preserve"> </w:t>
      </w:r>
      <w:r>
        <w:t xml:space="preserve">provided MOFCOM with printed versions of these spreadsheets demonstrates the company had already prepared the relevant information and the omission of electronic data was </w:t>
      </w:r>
      <w:r>
        <w:t>unintentional. It proves false MOFCOM's allegation that Casella Wines was using WPS issues as merely "a good excuse". Casella Wines could not have been expected to raise a software issue it did not know existed. On this basis, MOFCOM's finding that Casella</w:t>
      </w:r>
      <w:r>
        <w:t xml:space="preserve"> Wines failed to inform MOFCOM within the stipulated 15 days of distribution of the Questionnaire is unreasonable. Furthermore, Casella Wines subsequent provision of these forms in an Excel format at the first opportunity and its consistent explanations of</w:t>
      </w:r>
      <w:r>
        <w:t xml:space="preserve"> the initial deficiency demonstrate a continued effort on its behalf to comply with its obligations as a sampled company in the investigation.</w:t>
      </w:r>
    </w:p>
    <w:p w14:paraId="51DE8707" w14:textId="77777777" w:rsidR="0010369C" w:rsidRDefault="0010369C">
      <w:pPr>
        <w:pStyle w:val="BodyText"/>
        <w:spacing w:before="10"/>
        <w:rPr>
          <w:sz w:val="8"/>
        </w:rPr>
      </w:pPr>
    </w:p>
    <w:p w14:paraId="51DE8708" w14:textId="77777777" w:rsidR="0010369C" w:rsidRDefault="008E43AE">
      <w:pPr>
        <w:pStyle w:val="BodyText"/>
        <w:spacing w:before="52" w:line="360" w:lineRule="auto"/>
        <w:ind w:left="237" w:right="614" w:firstLine="851"/>
      </w:pPr>
      <w:r>
        <w:rPr>
          <w:noProof/>
        </w:rPr>
        <w:drawing>
          <wp:anchor distT="0" distB="0" distL="0" distR="0" simplePos="0" relativeHeight="250964480" behindDoc="1" locked="0" layoutInCell="1" allowOverlap="1" wp14:anchorId="51DEA19D" wp14:editId="51DEA19E">
            <wp:simplePos x="0" y="0"/>
            <wp:positionH relativeFrom="page">
              <wp:posOffset>905255</wp:posOffset>
            </wp:positionH>
            <wp:positionV relativeFrom="paragraph">
              <wp:posOffset>80595</wp:posOffset>
            </wp:positionV>
            <wp:extent cx="259079" cy="103631"/>
            <wp:effectExtent l="0" t="0" r="0" b="0"/>
            <wp:wrapNone/>
            <wp:docPr id="619" name="image3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 name="image318.png"/>
                    <pic:cNvPicPr/>
                  </pic:nvPicPr>
                  <pic:blipFill>
                    <a:blip r:embed="rId434" cstate="print"/>
                    <a:stretch>
                      <a:fillRect/>
                    </a:stretch>
                  </pic:blipFill>
                  <pic:spPr>
                    <a:xfrm>
                      <a:off x="0" y="0"/>
                      <a:ext cx="259079" cy="103631"/>
                    </a:xfrm>
                    <a:prstGeom prst="rect">
                      <a:avLst/>
                    </a:prstGeom>
                  </pic:spPr>
                </pic:pic>
              </a:graphicData>
            </a:graphic>
          </wp:anchor>
        </w:drawing>
      </w:r>
      <w:r>
        <w:t>MOFCOM's findings reflect an approach in relation to this issue that fell below the requisite</w:t>
      </w:r>
      <w:r>
        <w:rPr>
          <w:spacing w:val="71"/>
        </w:rPr>
        <w:t xml:space="preserve"> </w:t>
      </w:r>
      <w:r>
        <w:t>"unbiased</w:t>
      </w:r>
      <w:r>
        <w:rPr>
          <w:spacing w:val="72"/>
        </w:rPr>
        <w:t xml:space="preserve"> </w:t>
      </w:r>
      <w:r>
        <w:t>and</w:t>
      </w:r>
      <w:r>
        <w:rPr>
          <w:spacing w:val="72"/>
        </w:rPr>
        <w:t xml:space="preserve"> </w:t>
      </w:r>
      <w:r>
        <w:t>obj</w:t>
      </w:r>
      <w:r>
        <w:t>ective"</w:t>
      </w:r>
      <w:r>
        <w:rPr>
          <w:spacing w:val="72"/>
        </w:rPr>
        <w:t xml:space="preserve"> </w:t>
      </w:r>
      <w:r>
        <w:t>standard</w:t>
      </w:r>
      <w:r>
        <w:rPr>
          <w:spacing w:val="72"/>
        </w:rPr>
        <w:t xml:space="preserve"> </w:t>
      </w:r>
      <w:r>
        <w:t>expected</w:t>
      </w:r>
      <w:r>
        <w:rPr>
          <w:spacing w:val="70"/>
        </w:rPr>
        <w:t xml:space="preserve"> </w:t>
      </w:r>
      <w:r>
        <w:t>of</w:t>
      </w:r>
      <w:r>
        <w:rPr>
          <w:spacing w:val="72"/>
        </w:rPr>
        <w:t xml:space="preserve"> </w:t>
      </w:r>
      <w:r>
        <w:t>an</w:t>
      </w:r>
      <w:r>
        <w:rPr>
          <w:spacing w:val="72"/>
        </w:rPr>
        <w:t xml:space="preserve"> </w:t>
      </w:r>
      <w:r>
        <w:t>investigating</w:t>
      </w:r>
      <w:r>
        <w:rPr>
          <w:spacing w:val="72"/>
        </w:rPr>
        <w:t xml:space="preserve"> </w:t>
      </w:r>
      <w:r>
        <w:rPr>
          <w:spacing w:val="-2"/>
        </w:rPr>
        <w:t>authority.</w:t>
      </w:r>
      <w:r>
        <w:rPr>
          <w:spacing w:val="-2"/>
          <w:vertAlign w:val="superscript"/>
        </w:rPr>
        <w:t>336</w:t>
      </w:r>
    </w:p>
    <w:p w14:paraId="51DE8709" w14:textId="77777777" w:rsidR="0010369C" w:rsidRDefault="0010369C">
      <w:pPr>
        <w:pStyle w:val="BodyText"/>
        <w:rPr>
          <w:sz w:val="20"/>
        </w:rPr>
      </w:pPr>
    </w:p>
    <w:p w14:paraId="51DE870A" w14:textId="77777777" w:rsidR="0010369C" w:rsidRDefault="008E43AE">
      <w:pPr>
        <w:pStyle w:val="BodyText"/>
        <w:spacing w:before="8"/>
        <w:rPr>
          <w:sz w:val="26"/>
        </w:rPr>
      </w:pPr>
      <w:r>
        <w:pict w14:anchorId="51DEA19F">
          <v:rect id="docshape710" o:spid="_x0000_s1578" style="position:absolute;margin-left:70.9pt;margin-top:17.5pt;width:2in;height:.8pt;z-index:-250955264;mso-wrap-distance-left:0;mso-wrap-distance-right:0;mso-position-horizontal-relative:page" fillcolor="black" stroked="f">
            <w10:wrap type="topAndBottom" anchorx="page"/>
          </v:rect>
        </w:pict>
      </w:r>
    </w:p>
    <w:p w14:paraId="51DE870B" w14:textId="77777777" w:rsidR="0010369C" w:rsidRDefault="008E43AE">
      <w:pPr>
        <w:spacing w:before="109"/>
        <w:ind w:left="238" w:right="3841"/>
        <w:jc w:val="both"/>
        <w:rPr>
          <w:sz w:val="18"/>
        </w:rPr>
      </w:pPr>
      <w:r>
        <w:rPr>
          <w:sz w:val="18"/>
          <w:vertAlign w:val="superscript"/>
        </w:rPr>
        <w:t>334</w:t>
      </w:r>
      <w:r>
        <w:rPr>
          <w:spacing w:val="-4"/>
          <w:sz w:val="18"/>
        </w:rPr>
        <w:t xml:space="preserve"> </w:t>
      </w:r>
      <w:r>
        <w:rPr>
          <w:sz w:val="18"/>
        </w:rPr>
        <w:t>Casella</w:t>
      </w:r>
      <w:r>
        <w:rPr>
          <w:spacing w:val="-4"/>
          <w:sz w:val="18"/>
        </w:rPr>
        <w:t xml:space="preserve"> </w:t>
      </w:r>
      <w:r>
        <w:rPr>
          <w:sz w:val="18"/>
        </w:rPr>
        <w:t>Wines</w:t>
      </w:r>
      <w:r>
        <w:rPr>
          <w:spacing w:val="-5"/>
          <w:sz w:val="18"/>
        </w:rPr>
        <w:t xml:space="preserve"> </w:t>
      </w:r>
      <w:r>
        <w:rPr>
          <w:sz w:val="18"/>
        </w:rPr>
        <w:t>Supplementary</w:t>
      </w:r>
      <w:r>
        <w:rPr>
          <w:spacing w:val="-3"/>
          <w:sz w:val="18"/>
        </w:rPr>
        <w:t xml:space="preserve"> </w:t>
      </w:r>
      <w:r>
        <w:rPr>
          <w:sz w:val="18"/>
        </w:rPr>
        <w:t>Questionnaire</w:t>
      </w:r>
      <w:r>
        <w:rPr>
          <w:spacing w:val="-5"/>
          <w:sz w:val="18"/>
        </w:rPr>
        <w:t xml:space="preserve"> </w:t>
      </w:r>
      <w:r>
        <w:rPr>
          <w:sz w:val="18"/>
        </w:rPr>
        <w:t>Response</w:t>
      </w:r>
      <w:r>
        <w:rPr>
          <w:spacing w:val="-5"/>
          <w:sz w:val="18"/>
        </w:rPr>
        <w:t xml:space="preserve"> </w:t>
      </w:r>
      <w:r>
        <w:rPr>
          <w:sz w:val="18"/>
        </w:rPr>
        <w:t>(Exhibit</w:t>
      </w:r>
      <w:r>
        <w:rPr>
          <w:spacing w:val="-4"/>
          <w:sz w:val="18"/>
        </w:rPr>
        <w:t xml:space="preserve"> </w:t>
      </w:r>
      <w:r>
        <w:rPr>
          <w:sz w:val="18"/>
        </w:rPr>
        <w:t>AUS‐30),</w:t>
      </w:r>
      <w:r>
        <w:rPr>
          <w:spacing w:val="-5"/>
          <w:sz w:val="18"/>
        </w:rPr>
        <w:t xml:space="preserve"> </w:t>
      </w:r>
      <w:r>
        <w:rPr>
          <w:sz w:val="18"/>
        </w:rPr>
        <w:t>p.</w:t>
      </w:r>
      <w:r>
        <w:rPr>
          <w:spacing w:val="-4"/>
          <w:sz w:val="18"/>
        </w:rPr>
        <w:t xml:space="preserve"> </w:t>
      </w:r>
      <w:r>
        <w:rPr>
          <w:sz w:val="18"/>
        </w:rPr>
        <w:t xml:space="preserve">6. </w:t>
      </w:r>
      <w:r>
        <w:rPr>
          <w:sz w:val="18"/>
          <w:vertAlign w:val="superscript"/>
        </w:rPr>
        <w:t>335</w:t>
      </w:r>
      <w:r>
        <w:rPr>
          <w:spacing w:val="-4"/>
          <w:sz w:val="18"/>
        </w:rPr>
        <w:t xml:space="preserve"> </w:t>
      </w:r>
      <w:r>
        <w:rPr>
          <w:sz w:val="18"/>
        </w:rPr>
        <w:t>Casella</w:t>
      </w:r>
      <w:r>
        <w:rPr>
          <w:spacing w:val="-4"/>
          <w:sz w:val="18"/>
        </w:rPr>
        <w:t xml:space="preserve"> </w:t>
      </w:r>
      <w:r>
        <w:rPr>
          <w:sz w:val="18"/>
        </w:rPr>
        <w:t>Wines</w:t>
      </w:r>
      <w:r>
        <w:rPr>
          <w:spacing w:val="-5"/>
          <w:sz w:val="18"/>
        </w:rPr>
        <w:t xml:space="preserve"> </w:t>
      </w:r>
      <w:r>
        <w:rPr>
          <w:sz w:val="18"/>
        </w:rPr>
        <w:t>Supplementary</w:t>
      </w:r>
      <w:r>
        <w:rPr>
          <w:spacing w:val="-3"/>
          <w:sz w:val="18"/>
        </w:rPr>
        <w:t xml:space="preserve"> </w:t>
      </w:r>
      <w:r>
        <w:rPr>
          <w:sz w:val="18"/>
        </w:rPr>
        <w:t>Questionnaire</w:t>
      </w:r>
      <w:r>
        <w:rPr>
          <w:spacing w:val="-5"/>
          <w:sz w:val="18"/>
        </w:rPr>
        <w:t xml:space="preserve"> </w:t>
      </w:r>
      <w:r>
        <w:rPr>
          <w:sz w:val="18"/>
        </w:rPr>
        <w:t>Response</w:t>
      </w:r>
      <w:r>
        <w:rPr>
          <w:spacing w:val="-5"/>
          <w:sz w:val="18"/>
        </w:rPr>
        <w:t xml:space="preserve"> </w:t>
      </w:r>
      <w:r>
        <w:rPr>
          <w:sz w:val="18"/>
        </w:rPr>
        <w:t>(Exhibit</w:t>
      </w:r>
      <w:r>
        <w:rPr>
          <w:spacing w:val="-4"/>
          <w:sz w:val="18"/>
        </w:rPr>
        <w:t xml:space="preserve"> </w:t>
      </w:r>
      <w:r>
        <w:rPr>
          <w:sz w:val="18"/>
        </w:rPr>
        <w:t>AUS‐30),</w:t>
      </w:r>
      <w:r>
        <w:rPr>
          <w:spacing w:val="-5"/>
          <w:sz w:val="18"/>
        </w:rPr>
        <w:t xml:space="preserve"> </w:t>
      </w:r>
      <w:r>
        <w:rPr>
          <w:sz w:val="18"/>
        </w:rPr>
        <w:t>p.</w:t>
      </w:r>
      <w:r>
        <w:rPr>
          <w:spacing w:val="-4"/>
          <w:sz w:val="18"/>
        </w:rPr>
        <w:t xml:space="preserve"> </w:t>
      </w:r>
      <w:r>
        <w:rPr>
          <w:sz w:val="18"/>
        </w:rPr>
        <w:t xml:space="preserve">6. </w:t>
      </w:r>
      <w:r>
        <w:rPr>
          <w:sz w:val="18"/>
          <w:vertAlign w:val="superscript"/>
        </w:rPr>
        <w:t>336</w:t>
      </w:r>
      <w:r>
        <w:rPr>
          <w:sz w:val="18"/>
        </w:rPr>
        <w:t xml:space="preserve"> Panel Report, </w:t>
      </w:r>
      <w:r>
        <w:rPr>
          <w:i/>
          <w:sz w:val="18"/>
        </w:rPr>
        <w:t>Mexico – Steel Pipes and Tubes</w:t>
      </w:r>
      <w:r>
        <w:rPr>
          <w:sz w:val="18"/>
        </w:rPr>
        <w:t>, para. 7.5.</w:t>
      </w:r>
    </w:p>
    <w:p w14:paraId="51DE870C" w14:textId="77777777" w:rsidR="0010369C" w:rsidRDefault="0010369C">
      <w:pPr>
        <w:jc w:val="both"/>
        <w:rPr>
          <w:sz w:val="18"/>
        </w:rPr>
        <w:sectPr w:rsidR="0010369C">
          <w:pgSz w:w="11910" w:h="16840"/>
          <w:pgMar w:top="880" w:right="800" w:bottom="980" w:left="1180" w:header="569" w:footer="788" w:gutter="0"/>
          <w:cols w:space="720"/>
        </w:sectPr>
      </w:pPr>
    </w:p>
    <w:p w14:paraId="51DE870D" w14:textId="77777777" w:rsidR="0010369C" w:rsidRDefault="008E43AE">
      <w:pPr>
        <w:tabs>
          <w:tab w:val="left" w:pos="6426"/>
        </w:tabs>
        <w:ind w:left="238"/>
        <w:jc w:val="both"/>
        <w:rPr>
          <w:sz w:val="20"/>
        </w:rPr>
      </w:pPr>
      <w:r>
        <w:rPr>
          <w:i/>
          <w:sz w:val="20"/>
        </w:rPr>
        <w:lastRenderedPageBreak/>
        <w:t>China</w:t>
      </w:r>
      <w:r>
        <w:rPr>
          <w:i/>
          <w:spacing w:val="-5"/>
          <w:sz w:val="20"/>
        </w:rPr>
        <w:t xml:space="preserve"> </w:t>
      </w:r>
      <w:r>
        <w:rPr>
          <w:i/>
          <w:sz w:val="20"/>
        </w:rPr>
        <w:t>–</w:t>
      </w:r>
      <w:r>
        <w:rPr>
          <w:i/>
          <w:spacing w:val="-5"/>
          <w:sz w:val="20"/>
        </w:rPr>
        <w:t xml:space="preserve"> </w:t>
      </w:r>
      <w:r>
        <w:rPr>
          <w:i/>
          <w:sz w:val="20"/>
        </w:rPr>
        <w:t>Anti‐Dumping</w:t>
      </w:r>
      <w:r>
        <w:rPr>
          <w:i/>
          <w:spacing w:val="-4"/>
          <w:sz w:val="20"/>
        </w:rPr>
        <w:t xml:space="preserve"> </w:t>
      </w:r>
      <w:r>
        <w:rPr>
          <w:i/>
          <w:sz w:val="20"/>
        </w:rPr>
        <w:t>and</w:t>
      </w:r>
      <w:r>
        <w:rPr>
          <w:i/>
          <w:spacing w:val="-5"/>
          <w:sz w:val="20"/>
        </w:rPr>
        <w:t xml:space="preserve"> </w:t>
      </w:r>
      <w:r>
        <w:rPr>
          <w:i/>
          <w:sz w:val="20"/>
        </w:rPr>
        <w:t>Countervailing</w:t>
      </w:r>
      <w:r>
        <w:rPr>
          <w:i/>
          <w:spacing w:val="-5"/>
          <w:sz w:val="20"/>
        </w:rPr>
        <w:t xml:space="preserve"> </w:t>
      </w:r>
      <w:r>
        <w:rPr>
          <w:i/>
          <w:sz w:val="20"/>
        </w:rPr>
        <w:t>Duty</w:t>
      </w:r>
      <w:r>
        <w:rPr>
          <w:i/>
          <w:spacing w:val="-4"/>
          <w:sz w:val="20"/>
        </w:rPr>
        <w:t xml:space="preserve"> </w:t>
      </w:r>
      <w:r>
        <w:rPr>
          <w:i/>
          <w:spacing w:val="-2"/>
          <w:sz w:val="20"/>
        </w:rPr>
        <w:t>Measures</w:t>
      </w:r>
      <w:r>
        <w:rPr>
          <w:i/>
          <w:sz w:val="20"/>
        </w:rPr>
        <w:tab/>
      </w:r>
      <w:r>
        <w:rPr>
          <w:sz w:val="20"/>
        </w:rPr>
        <w:t>Australia's</w:t>
      </w:r>
      <w:r>
        <w:rPr>
          <w:spacing w:val="-7"/>
          <w:sz w:val="20"/>
        </w:rPr>
        <w:t xml:space="preserve"> </w:t>
      </w:r>
      <w:r>
        <w:rPr>
          <w:sz w:val="20"/>
        </w:rPr>
        <w:t>First</w:t>
      </w:r>
      <w:r>
        <w:rPr>
          <w:spacing w:val="-2"/>
          <w:sz w:val="20"/>
        </w:rPr>
        <w:t xml:space="preserve"> </w:t>
      </w:r>
      <w:r>
        <w:rPr>
          <w:sz w:val="20"/>
        </w:rPr>
        <w:t>Written</w:t>
      </w:r>
      <w:r>
        <w:rPr>
          <w:spacing w:val="-2"/>
          <w:sz w:val="20"/>
        </w:rPr>
        <w:t xml:space="preserve"> Submission</w:t>
      </w:r>
    </w:p>
    <w:p w14:paraId="51DE870E" w14:textId="77777777" w:rsidR="0010369C" w:rsidRDefault="008E43AE">
      <w:pPr>
        <w:tabs>
          <w:tab w:val="left" w:pos="8228"/>
        </w:tabs>
        <w:spacing w:before="1"/>
        <w:ind w:left="239"/>
        <w:jc w:val="both"/>
        <w:rPr>
          <w:sz w:val="20"/>
        </w:rPr>
      </w:pPr>
      <w:r>
        <w:rPr>
          <w:i/>
          <w:sz w:val="20"/>
        </w:rPr>
        <w:t>on</w:t>
      </w:r>
      <w:r>
        <w:rPr>
          <w:i/>
          <w:spacing w:val="-1"/>
          <w:sz w:val="20"/>
        </w:rPr>
        <w:t xml:space="preserve"> </w:t>
      </w:r>
      <w:r>
        <w:rPr>
          <w:i/>
          <w:sz w:val="20"/>
        </w:rPr>
        <w:t>Wine</w:t>
      </w:r>
      <w:r>
        <w:rPr>
          <w:i/>
          <w:spacing w:val="-1"/>
          <w:sz w:val="20"/>
        </w:rPr>
        <w:t xml:space="preserve"> </w:t>
      </w:r>
      <w:r>
        <w:rPr>
          <w:i/>
          <w:sz w:val="20"/>
        </w:rPr>
        <w:t>from</w:t>
      </w:r>
      <w:r>
        <w:rPr>
          <w:i/>
          <w:spacing w:val="-3"/>
          <w:sz w:val="20"/>
        </w:rPr>
        <w:t xml:space="preserve"> </w:t>
      </w:r>
      <w:r>
        <w:rPr>
          <w:i/>
          <w:sz w:val="20"/>
        </w:rPr>
        <w:t>Australia</w:t>
      </w:r>
      <w:r>
        <w:rPr>
          <w:i/>
          <w:spacing w:val="-1"/>
          <w:sz w:val="20"/>
        </w:rPr>
        <w:t xml:space="preserve"> </w:t>
      </w:r>
      <w:r>
        <w:rPr>
          <w:spacing w:val="-2"/>
          <w:sz w:val="20"/>
        </w:rPr>
        <w:t>(DS602)</w:t>
      </w:r>
      <w:r>
        <w:rPr>
          <w:sz w:val="20"/>
        </w:rPr>
        <w:tab/>
        <w:t>29</w:t>
      </w:r>
      <w:r>
        <w:rPr>
          <w:spacing w:val="-1"/>
          <w:sz w:val="20"/>
        </w:rPr>
        <w:t xml:space="preserve"> </w:t>
      </w:r>
      <w:r>
        <w:rPr>
          <w:sz w:val="20"/>
        </w:rPr>
        <w:t>April</w:t>
      </w:r>
      <w:r>
        <w:rPr>
          <w:spacing w:val="-2"/>
          <w:sz w:val="20"/>
        </w:rPr>
        <w:t xml:space="preserve"> </w:t>
      </w:r>
      <w:r>
        <w:rPr>
          <w:spacing w:val="-4"/>
          <w:sz w:val="20"/>
        </w:rPr>
        <w:t>2022</w:t>
      </w:r>
    </w:p>
    <w:p w14:paraId="51DE870F" w14:textId="77777777" w:rsidR="0010369C" w:rsidRDefault="008E43AE">
      <w:pPr>
        <w:pStyle w:val="BodyText"/>
        <w:spacing w:before="34" w:line="360" w:lineRule="auto"/>
        <w:ind w:left="236" w:right="613" w:firstLine="1"/>
        <w:jc w:val="both"/>
      </w:pPr>
      <w:r>
        <w:t>MOFCOM had access to the relevant data in either printed or electronic form at all relevant times. The evidence on the public file demonstrates Casella Wines gave its best efforts to comply with the information requirements of the investigation. When the d</w:t>
      </w:r>
      <w:r>
        <w:t>eficiency was identified, Casella Wines responded in a prompt manner to remedy the deficiency. It follows that the provided domestic sales data provided by Casella Wines could be verified and authenticated for the purpose of calculating the company's norma</w:t>
      </w:r>
      <w:r>
        <w:t>l value. MOFCOM was not entitled to reject the domestic sales reported in Form 4‐2 on the basis of "incompleteness".</w:t>
      </w:r>
    </w:p>
    <w:p w14:paraId="51DE8710" w14:textId="77777777" w:rsidR="0010369C" w:rsidRDefault="0010369C">
      <w:pPr>
        <w:pStyle w:val="BodyText"/>
        <w:spacing w:before="10"/>
        <w:rPr>
          <w:sz w:val="8"/>
        </w:rPr>
      </w:pPr>
    </w:p>
    <w:p w14:paraId="51DE8711" w14:textId="77777777" w:rsidR="0010369C" w:rsidRDefault="008E43AE">
      <w:pPr>
        <w:pStyle w:val="BodyText"/>
        <w:tabs>
          <w:tab w:val="left" w:pos="2457"/>
        </w:tabs>
        <w:spacing w:before="52" w:line="360" w:lineRule="auto"/>
        <w:ind w:left="237" w:right="614" w:firstLine="851"/>
        <w:jc w:val="both"/>
      </w:pPr>
      <w:r>
        <w:rPr>
          <w:noProof/>
        </w:rPr>
        <w:drawing>
          <wp:anchor distT="0" distB="0" distL="0" distR="0" simplePos="0" relativeHeight="250965504" behindDoc="1" locked="0" layoutInCell="1" allowOverlap="1" wp14:anchorId="51DEA1A0" wp14:editId="51DEA1A1">
            <wp:simplePos x="0" y="0"/>
            <wp:positionH relativeFrom="page">
              <wp:posOffset>905255</wp:posOffset>
            </wp:positionH>
            <wp:positionV relativeFrom="paragraph">
              <wp:posOffset>80595</wp:posOffset>
            </wp:positionV>
            <wp:extent cx="259079" cy="103631"/>
            <wp:effectExtent l="0" t="0" r="0" b="0"/>
            <wp:wrapNone/>
            <wp:docPr id="621" name="image3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 name="image319.png"/>
                    <pic:cNvPicPr/>
                  </pic:nvPicPr>
                  <pic:blipFill>
                    <a:blip r:embed="rId435" cstate="print"/>
                    <a:stretch>
                      <a:fillRect/>
                    </a:stretch>
                  </pic:blipFill>
                  <pic:spPr>
                    <a:xfrm>
                      <a:off x="0" y="0"/>
                      <a:ext cx="259079" cy="103631"/>
                    </a:xfrm>
                    <a:prstGeom prst="rect">
                      <a:avLst/>
                    </a:prstGeom>
                  </pic:spPr>
                </pic:pic>
              </a:graphicData>
            </a:graphic>
          </wp:anchor>
        </w:drawing>
      </w:r>
      <w:r>
        <w:pict w14:anchorId="51DEA1A2">
          <v:rect id="docshape711" o:spid="_x0000_s1577" style="position:absolute;left:0;text-align:left;margin-left:77.2pt;margin-top:24.75pt;width:103.65pt;height:16.05pt;z-index:-251333120;mso-position-horizontal-relative:page;mso-position-vertical-relative:text" fillcolor="black" stroked="f">
            <w10:wrap anchorx="page"/>
          </v:rect>
        </w:pict>
      </w:r>
      <w:r>
        <w:t xml:space="preserve">For the reasons set out above in relation to Casella Wines' agency relationship with </w:t>
      </w:r>
      <w:r>
        <w:rPr>
          <w:spacing w:val="-6"/>
        </w:rPr>
        <w:t>[[</w:t>
      </w:r>
      <w:r>
        <w:tab/>
        <w:t>]],</w:t>
      </w:r>
      <w:r>
        <w:rPr>
          <w:spacing w:val="-8"/>
        </w:rPr>
        <w:t xml:space="preserve"> </w:t>
      </w:r>
      <w:r>
        <w:t>special</w:t>
      </w:r>
      <w:r>
        <w:rPr>
          <w:spacing w:val="-9"/>
        </w:rPr>
        <w:t xml:space="preserve"> </w:t>
      </w:r>
      <w:r>
        <w:t>price</w:t>
      </w:r>
      <w:r>
        <w:rPr>
          <w:spacing w:val="-7"/>
        </w:rPr>
        <w:t xml:space="preserve"> </w:t>
      </w:r>
      <w:r>
        <w:t>arrangements,</w:t>
      </w:r>
      <w:r>
        <w:rPr>
          <w:spacing w:val="-9"/>
        </w:rPr>
        <w:t xml:space="preserve"> </w:t>
      </w:r>
      <w:r>
        <w:t>and</w:t>
      </w:r>
      <w:r>
        <w:rPr>
          <w:spacing w:val="-8"/>
        </w:rPr>
        <w:t xml:space="preserve"> </w:t>
      </w:r>
      <w:r>
        <w:t>the</w:t>
      </w:r>
      <w:r>
        <w:rPr>
          <w:spacing w:val="-8"/>
        </w:rPr>
        <w:t xml:space="preserve"> </w:t>
      </w:r>
      <w:r>
        <w:t>incomple</w:t>
      </w:r>
      <w:r>
        <w:t>te</w:t>
      </w:r>
      <w:r>
        <w:rPr>
          <w:spacing w:val="-7"/>
        </w:rPr>
        <w:t xml:space="preserve"> </w:t>
      </w:r>
      <w:r>
        <w:t>WPS</w:t>
      </w:r>
      <w:r>
        <w:rPr>
          <w:spacing w:val="-8"/>
        </w:rPr>
        <w:t xml:space="preserve"> </w:t>
      </w:r>
      <w:r>
        <w:t>domestic</w:t>
      </w:r>
      <w:r>
        <w:rPr>
          <w:spacing w:val="-7"/>
        </w:rPr>
        <w:t xml:space="preserve"> </w:t>
      </w:r>
      <w:r>
        <w:t>sales spreadsheet, MOFCOM was not entitled to reject the reported domestic sales of Casella Wines, and should have used these sales to calculate the company's normal value.</w:t>
      </w:r>
    </w:p>
    <w:p w14:paraId="51DE8712" w14:textId="77777777" w:rsidR="0010369C" w:rsidRDefault="008E43AE">
      <w:pPr>
        <w:pStyle w:val="ListParagraph"/>
        <w:numPr>
          <w:ilvl w:val="3"/>
          <w:numId w:val="75"/>
        </w:numPr>
        <w:tabs>
          <w:tab w:val="left" w:pos="3642"/>
          <w:tab w:val="left" w:pos="3644"/>
        </w:tabs>
        <w:spacing w:before="162"/>
        <w:ind w:left="3643" w:hanging="854"/>
        <w:jc w:val="both"/>
        <w:rPr>
          <w:sz w:val="24"/>
        </w:rPr>
      </w:pPr>
      <w:r>
        <w:rPr>
          <w:sz w:val="24"/>
          <w:u w:val="single"/>
        </w:rPr>
        <w:t>Characteristics</w:t>
      </w:r>
      <w:r>
        <w:rPr>
          <w:spacing w:val="-12"/>
          <w:sz w:val="24"/>
          <w:u w:val="single"/>
        </w:rPr>
        <w:t xml:space="preserve"> </w:t>
      </w:r>
      <w:r>
        <w:rPr>
          <w:sz w:val="24"/>
          <w:u w:val="single"/>
        </w:rPr>
        <w:t>affecting</w:t>
      </w:r>
      <w:r>
        <w:rPr>
          <w:spacing w:val="-12"/>
          <w:sz w:val="24"/>
          <w:u w:val="single"/>
        </w:rPr>
        <w:t xml:space="preserve"> </w:t>
      </w:r>
      <w:r>
        <w:rPr>
          <w:sz w:val="24"/>
          <w:u w:val="single"/>
        </w:rPr>
        <w:t>price</w:t>
      </w:r>
      <w:r>
        <w:rPr>
          <w:spacing w:val="-11"/>
          <w:sz w:val="24"/>
          <w:u w:val="single"/>
        </w:rPr>
        <w:t xml:space="preserve"> </w:t>
      </w:r>
      <w:r>
        <w:rPr>
          <w:spacing w:val="-2"/>
          <w:sz w:val="24"/>
          <w:u w:val="single"/>
        </w:rPr>
        <w:t>comparability</w:t>
      </w:r>
    </w:p>
    <w:p w14:paraId="51DE8713" w14:textId="77777777" w:rsidR="0010369C" w:rsidRDefault="0010369C">
      <w:pPr>
        <w:pStyle w:val="BodyText"/>
        <w:spacing w:before="11"/>
      </w:pPr>
    </w:p>
    <w:p w14:paraId="51DE8714" w14:textId="77777777" w:rsidR="0010369C" w:rsidRDefault="008E43AE">
      <w:pPr>
        <w:pStyle w:val="BodyText"/>
        <w:spacing w:before="1" w:after="3" w:line="360" w:lineRule="auto"/>
        <w:ind w:left="238" w:right="615" w:firstLine="851"/>
        <w:jc w:val="both"/>
      </w:pPr>
      <w:r>
        <w:rPr>
          <w:noProof/>
        </w:rPr>
        <w:drawing>
          <wp:anchor distT="0" distB="0" distL="0" distR="0" simplePos="0" relativeHeight="250966528" behindDoc="1" locked="0" layoutInCell="1" allowOverlap="1" wp14:anchorId="51DEA1A3" wp14:editId="51DEA1A4">
            <wp:simplePos x="0" y="0"/>
            <wp:positionH relativeFrom="page">
              <wp:posOffset>905255</wp:posOffset>
            </wp:positionH>
            <wp:positionV relativeFrom="paragraph">
              <wp:posOffset>49565</wp:posOffset>
            </wp:positionV>
            <wp:extent cx="259079" cy="100753"/>
            <wp:effectExtent l="0" t="0" r="0" b="0"/>
            <wp:wrapNone/>
            <wp:docPr id="623" name="image3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 name="image320.png"/>
                    <pic:cNvPicPr/>
                  </pic:nvPicPr>
                  <pic:blipFill>
                    <a:blip r:embed="rId436" cstate="print"/>
                    <a:stretch>
                      <a:fillRect/>
                    </a:stretch>
                  </pic:blipFill>
                  <pic:spPr>
                    <a:xfrm>
                      <a:off x="0" y="0"/>
                      <a:ext cx="259079" cy="100753"/>
                    </a:xfrm>
                    <a:prstGeom prst="rect">
                      <a:avLst/>
                    </a:prstGeom>
                  </pic:spPr>
                </pic:pic>
              </a:graphicData>
            </a:graphic>
          </wp:anchor>
        </w:drawing>
      </w:r>
      <w:r>
        <w:pict w14:anchorId="51DEA1A5">
          <v:rect id="docshape712" o:spid="_x0000_s1576" style="position:absolute;left:0;text-align:left;margin-left:469.35pt;margin-top:22.1pt;width:54.1pt;height:16.05pt;z-index:-251332096;mso-position-horizontal-relative:page;mso-position-vertical-relative:text" fillcolor="black" stroked="f">
            <w10:wrap anchorx="page"/>
          </v:rect>
        </w:pict>
      </w:r>
      <w:r>
        <w:pict w14:anchorId="51DEA1A6">
          <v:rect id="docshape713" o:spid="_x0000_s1575" style="position:absolute;left:0;text-align:left;margin-left:69.9pt;margin-top:176pt;width:58.95pt;height:16.05pt;z-index:251826688;mso-position-horizontal-relative:page;mso-position-vertical-relative:text" fillcolor="black" stroked="f">
            <w10:wrap anchorx="page"/>
          </v:rect>
        </w:pict>
      </w:r>
      <w:r>
        <w:t xml:space="preserve">As Australia set </w:t>
      </w:r>
      <w:r>
        <w:t>out in detail above,</w:t>
      </w:r>
      <w:r>
        <w:rPr>
          <w:vertAlign w:val="superscript"/>
        </w:rPr>
        <w:t>337</w:t>
      </w:r>
      <w:r>
        <w:t xml:space="preserve"> domestic sales of Australian bottled wine possessed</w:t>
      </w:r>
      <w:r>
        <w:rPr>
          <w:spacing w:val="40"/>
        </w:rPr>
        <w:t xml:space="preserve"> </w:t>
      </w:r>
      <w:r>
        <w:t>characteristics</w:t>
      </w:r>
      <w:r>
        <w:rPr>
          <w:spacing w:val="38"/>
        </w:rPr>
        <w:t xml:space="preserve"> </w:t>
      </w:r>
      <w:r>
        <w:t>that</w:t>
      </w:r>
      <w:r>
        <w:rPr>
          <w:spacing w:val="40"/>
        </w:rPr>
        <w:t xml:space="preserve"> </w:t>
      </w:r>
      <w:r>
        <w:t>affected</w:t>
      </w:r>
      <w:r>
        <w:rPr>
          <w:spacing w:val="39"/>
        </w:rPr>
        <w:t xml:space="preserve"> </w:t>
      </w:r>
      <w:r>
        <w:t>the</w:t>
      </w:r>
      <w:r>
        <w:rPr>
          <w:spacing w:val="40"/>
        </w:rPr>
        <w:t xml:space="preserve"> </w:t>
      </w:r>
      <w:r>
        <w:t>price</w:t>
      </w:r>
      <w:r>
        <w:rPr>
          <w:spacing w:val="39"/>
        </w:rPr>
        <w:t xml:space="preserve"> </w:t>
      </w:r>
      <w:r>
        <w:t>comparability</w:t>
      </w:r>
      <w:r>
        <w:rPr>
          <w:spacing w:val="40"/>
        </w:rPr>
        <w:t xml:space="preserve"> </w:t>
      </w:r>
      <w:r>
        <w:t>of</w:t>
      </w:r>
      <w:r>
        <w:rPr>
          <w:spacing w:val="40"/>
        </w:rPr>
        <w:t xml:space="preserve"> </w:t>
      </w:r>
      <w:r>
        <w:t>these</w:t>
      </w:r>
      <w:r>
        <w:rPr>
          <w:spacing w:val="39"/>
        </w:rPr>
        <w:t xml:space="preserve"> </w:t>
      </w:r>
      <w:r>
        <w:t>sales.</w:t>
      </w:r>
      <w:r>
        <w:rPr>
          <w:spacing w:val="40"/>
        </w:rPr>
        <w:t xml:space="preserve"> </w:t>
      </w:r>
      <w:r>
        <w:t>[[</w:t>
      </w:r>
    </w:p>
    <w:p w14:paraId="51DE8715" w14:textId="77777777" w:rsidR="0010369C" w:rsidRDefault="008E43AE">
      <w:pPr>
        <w:pStyle w:val="BodyText"/>
        <w:ind w:left="218"/>
        <w:rPr>
          <w:sz w:val="20"/>
        </w:rPr>
      </w:pPr>
      <w:r>
        <w:rPr>
          <w:sz w:val="20"/>
        </w:rPr>
      </w:r>
      <w:r>
        <w:rPr>
          <w:sz w:val="20"/>
        </w:rPr>
        <w:pict w14:anchorId="51DEA1A8">
          <v:group id="docshapegroup714" o:spid="_x0000_s1573" style="width:453.5pt;height:16.1pt;mso-position-horizontal-relative:char;mso-position-vertical-relative:line" coordsize="9070,322">
            <v:shape id="docshape715" o:spid="_x0000_s1574" style="position:absolute;left:-1;width:9070;height:322" coordsize="9070,322" o:spt="100" adj="0,,0" path="m7792,2r-241,l7551,,,,,321r7551,l7551,216r241,l7792,2xm9070,l7836,r,321l9070,321,9070,xe" fillcolor="black" stroked="f">
              <v:stroke joinstyle="round"/>
              <v:formulas/>
              <v:path arrowok="t" o:connecttype="segments"/>
            </v:shape>
            <w10:anchorlock/>
          </v:group>
        </w:pict>
      </w:r>
    </w:p>
    <w:p w14:paraId="51DE8716" w14:textId="77777777" w:rsidR="0010369C" w:rsidRDefault="008E43AE">
      <w:pPr>
        <w:pStyle w:val="BodyText"/>
        <w:spacing w:before="11"/>
        <w:rPr>
          <w:sz w:val="4"/>
        </w:rPr>
      </w:pPr>
      <w:r>
        <w:pict w14:anchorId="51DEA1A9">
          <v:rect id="docshape716" o:spid="_x0000_s1572" style="position:absolute;margin-left:69.9pt;margin-top:4.2pt;width:453.55pt;height:16.05pt;z-index:-250954240;mso-wrap-distance-left:0;mso-wrap-distance-right:0;mso-position-horizontal-relative:page" fillcolor="black" stroked="f">
            <w10:wrap type="topAndBottom" anchorx="page"/>
          </v:rect>
        </w:pict>
      </w:r>
      <w:r>
        <w:pict w14:anchorId="51DEA1AA">
          <v:shape id="docshape717" o:spid="_x0000_s1571" style="position:absolute;margin-left:69.9pt;margin-top:26.15pt;width:453.45pt;height:16.1pt;z-index:-250953216;mso-wrap-distance-left:0;mso-wrap-distance-right:0;mso-position-horizontal-relative:page" coordorigin="1398,523" coordsize="9069,322" o:spt="100" adj="0,,0" path="m8192,526r-241,l7951,523r-6553,l1398,845r6553,l7951,739r241,l8192,526xm10467,523r-2223,l8244,845r2223,l10467,523xe" fillcolor="black" stroked="f">
            <v:stroke joinstyle="round"/>
            <v:formulas/>
            <v:path arrowok="t" o:connecttype="segments"/>
            <w10:wrap type="topAndBottom" anchorx="page"/>
          </v:shape>
        </w:pict>
      </w:r>
      <w:r>
        <w:pict w14:anchorId="51DEA1AB">
          <v:rect id="docshape718" o:spid="_x0000_s1570" style="position:absolute;margin-left:69.9pt;margin-top:48.15pt;width:453.45pt;height:16.05pt;z-index:-250952192;mso-wrap-distance-left:0;mso-wrap-distance-right:0;mso-position-horizontal-relative:page" fillcolor="black" stroked="f">
            <w10:wrap type="topAndBottom" anchorx="page"/>
          </v:rect>
        </w:pict>
      </w:r>
      <w:r>
        <w:pict w14:anchorId="51DEA1AC">
          <v:rect id="docshape719" o:spid="_x0000_s1569" style="position:absolute;margin-left:69.9pt;margin-top:70.1pt;width:453.45pt;height:16.05pt;z-index:-250951168;mso-wrap-distance-left:0;mso-wrap-distance-right:0;mso-position-horizontal-relative:page" fillcolor="black" stroked="f">
            <w10:wrap type="topAndBottom" anchorx="page"/>
          </v:rect>
        </w:pict>
      </w:r>
      <w:r>
        <w:pict w14:anchorId="51DEA1AD">
          <v:shape id="docshape720" o:spid="_x0000_s1568" style="position:absolute;margin-left:69.9pt;margin-top:92.1pt;width:453.4pt;height:16.1pt;z-index:-250950144;mso-wrap-distance-left:0;mso-wrap-distance-right:0;mso-position-horizontal-relative:page" coordorigin="1398,1842" coordsize="9068,322" o:spt="100" adj="0,,0" path="m2330,1844r-241,l2089,1842r-691,l1398,2164r691,l2089,2058r241,l2330,1844xm10466,1842r-8074,l2392,2164r8074,l10466,1842xe" fillcolor="black" stroked="f">
            <v:stroke joinstyle="round"/>
            <v:formulas/>
            <v:path arrowok="t" o:connecttype="segments"/>
            <w10:wrap type="topAndBottom" anchorx="page"/>
          </v:shape>
        </w:pict>
      </w:r>
    </w:p>
    <w:p w14:paraId="51DE8717" w14:textId="77777777" w:rsidR="0010369C" w:rsidRDefault="0010369C">
      <w:pPr>
        <w:pStyle w:val="BodyText"/>
        <w:spacing w:before="8"/>
        <w:rPr>
          <w:sz w:val="7"/>
        </w:rPr>
      </w:pPr>
    </w:p>
    <w:p w14:paraId="51DE8718" w14:textId="77777777" w:rsidR="0010369C" w:rsidRDefault="0010369C">
      <w:pPr>
        <w:pStyle w:val="BodyText"/>
        <w:spacing w:before="8"/>
        <w:rPr>
          <w:sz w:val="7"/>
        </w:rPr>
      </w:pPr>
    </w:p>
    <w:p w14:paraId="51DE8719" w14:textId="77777777" w:rsidR="0010369C" w:rsidRDefault="0010369C">
      <w:pPr>
        <w:pStyle w:val="BodyText"/>
        <w:spacing w:before="8"/>
        <w:rPr>
          <w:sz w:val="7"/>
        </w:rPr>
      </w:pPr>
    </w:p>
    <w:p w14:paraId="51DE871A" w14:textId="77777777" w:rsidR="0010369C" w:rsidRDefault="0010369C">
      <w:pPr>
        <w:pStyle w:val="BodyText"/>
        <w:spacing w:before="9"/>
        <w:rPr>
          <w:sz w:val="7"/>
        </w:rPr>
      </w:pPr>
    </w:p>
    <w:p w14:paraId="51DE871B" w14:textId="77777777" w:rsidR="0010369C" w:rsidRDefault="008E43AE">
      <w:pPr>
        <w:spacing w:before="116"/>
        <w:ind w:left="1417"/>
        <w:rPr>
          <w:sz w:val="24"/>
        </w:rPr>
      </w:pPr>
      <w:r>
        <w:rPr>
          <w:spacing w:val="-5"/>
          <w:sz w:val="24"/>
        </w:rPr>
        <w:t>]]</w:t>
      </w:r>
    </w:p>
    <w:p w14:paraId="51DE871C" w14:textId="77777777" w:rsidR="0010369C" w:rsidRDefault="0010369C">
      <w:pPr>
        <w:pStyle w:val="BodyText"/>
        <w:spacing w:before="9"/>
        <w:rPr>
          <w:sz w:val="20"/>
        </w:rPr>
      </w:pPr>
    </w:p>
    <w:p w14:paraId="51DE871D" w14:textId="77777777" w:rsidR="0010369C" w:rsidRDefault="008E43AE">
      <w:pPr>
        <w:spacing w:before="52"/>
        <w:ind w:left="1089"/>
        <w:rPr>
          <w:sz w:val="24"/>
        </w:rPr>
      </w:pPr>
      <w:r>
        <w:rPr>
          <w:noProof/>
        </w:rPr>
        <w:drawing>
          <wp:anchor distT="0" distB="0" distL="0" distR="0" simplePos="0" relativeHeight="250655232" behindDoc="0" locked="0" layoutInCell="1" allowOverlap="1" wp14:anchorId="51DEA1AE" wp14:editId="51DEA1AF">
            <wp:simplePos x="0" y="0"/>
            <wp:positionH relativeFrom="page">
              <wp:posOffset>905255</wp:posOffset>
            </wp:positionH>
            <wp:positionV relativeFrom="paragraph">
              <wp:posOffset>81358</wp:posOffset>
            </wp:positionV>
            <wp:extent cx="259079" cy="103631"/>
            <wp:effectExtent l="0" t="0" r="0" b="0"/>
            <wp:wrapNone/>
            <wp:docPr id="625" name="image3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 name="image321.png"/>
                    <pic:cNvPicPr/>
                  </pic:nvPicPr>
                  <pic:blipFill>
                    <a:blip r:embed="rId437" cstate="print"/>
                    <a:stretch>
                      <a:fillRect/>
                    </a:stretch>
                  </pic:blipFill>
                  <pic:spPr>
                    <a:xfrm>
                      <a:off x="0" y="0"/>
                      <a:ext cx="259079" cy="103631"/>
                    </a:xfrm>
                    <a:prstGeom prst="rect">
                      <a:avLst/>
                    </a:prstGeom>
                  </pic:spPr>
                </pic:pic>
              </a:graphicData>
            </a:graphic>
          </wp:anchor>
        </w:drawing>
      </w:r>
      <w:r>
        <w:pict w14:anchorId="51DEA1B0">
          <v:rect id="docshape721" o:spid="_x0000_s1567" style="position:absolute;left:0;text-align:left;margin-left:119.8pt;margin-top:2.7pt;width:403.6pt;height:16.05pt;z-index:251827712;mso-position-horizontal-relative:page;mso-position-vertical-relative:text" fillcolor="black" stroked="f">
            <w10:wrap anchorx="page"/>
          </v:rect>
        </w:pict>
      </w:r>
      <w:r>
        <w:rPr>
          <w:spacing w:val="-5"/>
          <w:sz w:val="24"/>
        </w:rPr>
        <w:t>[[</w:t>
      </w:r>
    </w:p>
    <w:p w14:paraId="51DE871E" w14:textId="77777777" w:rsidR="0010369C" w:rsidRDefault="008E43AE">
      <w:pPr>
        <w:pStyle w:val="BodyText"/>
        <w:spacing w:before="3"/>
        <w:rPr>
          <w:sz w:val="10"/>
        </w:rPr>
      </w:pPr>
      <w:r>
        <w:pict w14:anchorId="51DEA1B1">
          <v:rect id="docshape722" o:spid="_x0000_s1566" style="position:absolute;margin-left:69.9pt;margin-top:7.5pt;width:453.5pt;height:16.05pt;z-index:-250949120;mso-wrap-distance-left:0;mso-wrap-distance-right:0;mso-position-horizontal-relative:page" fillcolor="black" stroked="f">
            <w10:wrap type="topAndBottom" anchorx="page"/>
          </v:rect>
        </w:pict>
      </w:r>
      <w:r>
        <w:pict w14:anchorId="51DEA1B2">
          <v:rect id="docshape723" o:spid="_x0000_s1565" style="position:absolute;margin-left:69.9pt;margin-top:29.45pt;width:453.5pt;height:16.05pt;z-index:-250948096;mso-wrap-distance-left:0;mso-wrap-distance-right:0;mso-position-horizontal-relative:page" fillcolor="black" stroked="f">
            <w10:wrap type="topAndBottom" anchorx="page"/>
          </v:rect>
        </w:pict>
      </w:r>
    </w:p>
    <w:p w14:paraId="51DE871F" w14:textId="77777777" w:rsidR="0010369C" w:rsidRDefault="0010369C">
      <w:pPr>
        <w:pStyle w:val="BodyText"/>
        <w:spacing w:before="8"/>
        <w:rPr>
          <w:sz w:val="7"/>
        </w:rPr>
      </w:pPr>
    </w:p>
    <w:p w14:paraId="51DE8720" w14:textId="77777777" w:rsidR="0010369C" w:rsidRDefault="0010369C">
      <w:pPr>
        <w:pStyle w:val="BodyText"/>
        <w:rPr>
          <w:sz w:val="20"/>
        </w:rPr>
      </w:pPr>
    </w:p>
    <w:p w14:paraId="51DE8721" w14:textId="77777777" w:rsidR="0010369C" w:rsidRDefault="0010369C">
      <w:pPr>
        <w:pStyle w:val="BodyText"/>
        <w:rPr>
          <w:sz w:val="20"/>
        </w:rPr>
      </w:pPr>
    </w:p>
    <w:p w14:paraId="51DE8722" w14:textId="77777777" w:rsidR="0010369C" w:rsidRDefault="0010369C">
      <w:pPr>
        <w:pStyle w:val="BodyText"/>
        <w:rPr>
          <w:sz w:val="20"/>
        </w:rPr>
      </w:pPr>
    </w:p>
    <w:p w14:paraId="51DE8723" w14:textId="77777777" w:rsidR="0010369C" w:rsidRDefault="0010369C">
      <w:pPr>
        <w:pStyle w:val="BodyText"/>
        <w:rPr>
          <w:sz w:val="20"/>
        </w:rPr>
      </w:pPr>
    </w:p>
    <w:p w14:paraId="51DE8724" w14:textId="77777777" w:rsidR="0010369C" w:rsidRDefault="008E43AE">
      <w:pPr>
        <w:pStyle w:val="BodyText"/>
        <w:spacing w:before="11"/>
        <w:rPr>
          <w:sz w:val="21"/>
        </w:rPr>
      </w:pPr>
      <w:r>
        <w:pict w14:anchorId="51DEA1B3">
          <v:rect id="docshape724" o:spid="_x0000_s1564" style="position:absolute;margin-left:70.9pt;margin-top:14.6pt;width:2in;height:.8pt;z-index:-250947072;mso-wrap-distance-left:0;mso-wrap-distance-right:0;mso-position-horizontal-relative:page" fillcolor="black" stroked="f">
            <w10:wrap type="topAndBottom" anchorx="page"/>
          </v:rect>
        </w:pict>
      </w:r>
    </w:p>
    <w:p w14:paraId="51DE8725" w14:textId="77777777" w:rsidR="0010369C" w:rsidRDefault="008E43AE">
      <w:pPr>
        <w:spacing w:before="109"/>
        <w:ind w:left="238"/>
        <w:rPr>
          <w:sz w:val="18"/>
        </w:rPr>
      </w:pPr>
      <w:r>
        <w:rPr>
          <w:sz w:val="18"/>
          <w:vertAlign w:val="superscript"/>
        </w:rPr>
        <w:t>337</w:t>
      </w:r>
      <w:r>
        <w:rPr>
          <w:spacing w:val="-6"/>
          <w:sz w:val="18"/>
        </w:rPr>
        <w:t xml:space="preserve"> </w:t>
      </w:r>
      <w:r>
        <w:rPr>
          <w:sz w:val="18"/>
        </w:rPr>
        <w:t>See</w:t>
      </w:r>
      <w:r>
        <w:rPr>
          <w:spacing w:val="-5"/>
          <w:sz w:val="18"/>
        </w:rPr>
        <w:t xml:space="preserve"> </w:t>
      </w:r>
      <w:r>
        <w:rPr>
          <w:sz w:val="18"/>
        </w:rPr>
        <w:t>above,</w:t>
      </w:r>
      <w:r>
        <w:rPr>
          <w:spacing w:val="-6"/>
          <w:sz w:val="18"/>
        </w:rPr>
        <w:t xml:space="preserve"> </w:t>
      </w:r>
      <w:r>
        <w:rPr>
          <w:sz w:val="18"/>
        </w:rPr>
        <w:t>section</w:t>
      </w:r>
      <w:r>
        <w:rPr>
          <w:spacing w:val="-5"/>
          <w:sz w:val="18"/>
        </w:rPr>
        <w:t xml:space="preserve"> </w:t>
      </w:r>
      <w:r>
        <w:rPr>
          <w:spacing w:val="-2"/>
          <w:sz w:val="18"/>
        </w:rPr>
        <w:t>II.D.2(a).</w:t>
      </w:r>
    </w:p>
    <w:p w14:paraId="51DE8726" w14:textId="77777777" w:rsidR="0010369C" w:rsidRDefault="008E43AE">
      <w:pPr>
        <w:spacing w:after="7"/>
        <w:ind w:left="238"/>
        <w:rPr>
          <w:sz w:val="18"/>
        </w:rPr>
      </w:pPr>
      <w:r>
        <w:rPr>
          <w:sz w:val="18"/>
          <w:vertAlign w:val="superscript"/>
        </w:rPr>
        <w:t>338</w:t>
      </w:r>
      <w:r>
        <w:rPr>
          <w:spacing w:val="-7"/>
          <w:sz w:val="18"/>
        </w:rPr>
        <w:t xml:space="preserve"> </w:t>
      </w:r>
      <w:r>
        <w:rPr>
          <w:sz w:val="18"/>
        </w:rPr>
        <w:t>Australia</w:t>
      </w:r>
      <w:r>
        <w:rPr>
          <w:spacing w:val="-7"/>
          <w:sz w:val="18"/>
        </w:rPr>
        <w:t xml:space="preserve"> </w:t>
      </w:r>
      <w:r>
        <w:rPr>
          <w:sz w:val="18"/>
        </w:rPr>
        <w:t>identified</w:t>
      </w:r>
      <w:r>
        <w:rPr>
          <w:spacing w:val="-6"/>
          <w:sz w:val="18"/>
        </w:rPr>
        <w:t xml:space="preserve"> </w:t>
      </w:r>
      <w:r>
        <w:rPr>
          <w:sz w:val="18"/>
        </w:rPr>
        <w:t>these</w:t>
      </w:r>
      <w:r>
        <w:rPr>
          <w:spacing w:val="-8"/>
          <w:sz w:val="18"/>
        </w:rPr>
        <w:t xml:space="preserve"> </w:t>
      </w:r>
      <w:r>
        <w:rPr>
          <w:sz w:val="18"/>
        </w:rPr>
        <w:t>findings</w:t>
      </w:r>
      <w:r>
        <w:rPr>
          <w:spacing w:val="-7"/>
          <w:sz w:val="18"/>
        </w:rPr>
        <w:t xml:space="preserve"> </w:t>
      </w:r>
      <w:r>
        <w:rPr>
          <w:sz w:val="18"/>
        </w:rPr>
        <w:t>in</w:t>
      </w:r>
      <w:r>
        <w:rPr>
          <w:spacing w:val="-6"/>
          <w:sz w:val="18"/>
        </w:rPr>
        <w:t xml:space="preserve"> </w:t>
      </w:r>
      <w:r>
        <w:rPr>
          <w:sz w:val="18"/>
        </w:rPr>
        <w:t>section</w:t>
      </w:r>
      <w:r>
        <w:rPr>
          <w:spacing w:val="-7"/>
          <w:sz w:val="18"/>
        </w:rPr>
        <w:t xml:space="preserve"> </w:t>
      </w:r>
      <w:r>
        <w:rPr>
          <w:spacing w:val="-2"/>
          <w:sz w:val="18"/>
        </w:rPr>
        <w:t>II.D.2(a).</w:t>
      </w:r>
    </w:p>
    <w:p w14:paraId="51DE8727" w14:textId="77777777" w:rsidR="0010369C" w:rsidRDefault="008E43AE">
      <w:pPr>
        <w:pStyle w:val="BodyText"/>
        <w:ind w:left="218"/>
        <w:rPr>
          <w:sz w:val="20"/>
        </w:rPr>
      </w:pPr>
      <w:r>
        <w:rPr>
          <w:sz w:val="20"/>
        </w:rPr>
      </w:r>
      <w:r>
        <w:rPr>
          <w:sz w:val="20"/>
        </w:rPr>
        <w:pict w14:anchorId="51DEA1B5">
          <v:group id="docshapegroup725" o:spid="_x0000_s1555" style="width:455.5pt;height:56.05pt;mso-position-horizontal-relative:char;mso-position-vertical-relative:line" coordsize="9110,1121">
            <v:shape id="docshape726" o:spid="_x0000_s1563" style="position:absolute;left:-1;width:9071;height:1121" coordsize="9071,1121" o:spt="100" adj="0,,0" path="m7707,880r-531,l7176,1121r531,l7707,880xm9071,l6196,r,241l6196,440r-1171,l5025,241r1171,l6196,,347,r,221l,221,,440r,22l,681r622,l622,880r-287,l335,1121r5229,l5564,880r-4411,l1153,681r6943,l8096,462r975,l9071,241r,l9071,xe" fillcolor="black" stroked="f">
              <v:stroke joinstyle="round"/>
              <v:formulas/>
              <v:path arrowok="t" o:connecttype="segments"/>
            </v:shape>
            <v:shape id="docshape727" o:spid="_x0000_s1562" type="#_x0000_t202" style="position:absolute;left:20;top:14;width:367;height:195" filled="f" stroked="f">
              <v:textbox inset="0,0,0,0">
                <w:txbxContent>
                  <w:p w14:paraId="51DEAC56" w14:textId="77777777" w:rsidR="0010369C" w:rsidRDefault="008E43AE">
                    <w:pPr>
                      <w:spacing w:before="28" w:line="124" w:lineRule="auto"/>
                      <w:rPr>
                        <w:sz w:val="18"/>
                      </w:rPr>
                    </w:pPr>
                    <w:r>
                      <w:rPr>
                        <w:sz w:val="12"/>
                      </w:rPr>
                      <w:t>339</w:t>
                    </w:r>
                    <w:r>
                      <w:rPr>
                        <w:spacing w:val="23"/>
                        <w:sz w:val="12"/>
                      </w:rPr>
                      <w:t xml:space="preserve"> </w:t>
                    </w:r>
                    <w:r>
                      <w:rPr>
                        <w:spacing w:val="-5"/>
                        <w:position w:val="-5"/>
                        <w:sz w:val="18"/>
                      </w:rPr>
                      <w:t>[[</w:t>
                    </w:r>
                  </w:p>
                </w:txbxContent>
              </v:textbox>
            </v:shape>
            <v:shape id="docshape728" o:spid="_x0000_s1561" type="#_x0000_t202" style="position:absolute;left:5117;top:250;width:1046;height:180" filled="f" stroked="f">
              <v:textbox inset="0,0,0,0">
                <w:txbxContent>
                  <w:p w14:paraId="51DEAC57" w14:textId="77777777" w:rsidR="0010369C" w:rsidRDefault="008E43AE">
                    <w:pPr>
                      <w:spacing w:line="180" w:lineRule="exact"/>
                      <w:rPr>
                        <w:sz w:val="18"/>
                      </w:rPr>
                    </w:pPr>
                    <w:r>
                      <w:rPr>
                        <w:color w:val="5E5E5E"/>
                        <w:sz w:val="18"/>
                      </w:rPr>
                      <w:t>(AUS‐6</w:t>
                    </w:r>
                    <w:r>
                      <w:rPr>
                        <w:color w:val="5E5E5E"/>
                        <w:spacing w:val="22"/>
                        <w:sz w:val="18"/>
                      </w:rPr>
                      <w:t xml:space="preserve"> </w:t>
                    </w:r>
                    <w:r>
                      <w:rPr>
                        <w:color w:val="5E5E5E"/>
                        <w:spacing w:val="-2"/>
                        <w:sz w:val="18"/>
                      </w:rPr>
                      <w:t>(BCI)).</w:t>
                    </w:r>
                  </w:p>
                </w:txbxContent>
              </v:textbox>
            </v:shape>
            <v:shape id="docshape729" o:spid="_x0000_s1560" type="#_x0000_t202" style="position:absolute;left:8148;top:470;width:961;height:180" filled="f" stroked="f">
              <v:textbox inset="0,0,0,0">
                <w:txbxContent>
                  <w:p w14:paraId="51DEAC58" w14:textId="77777777" w:rsidR="0010369C" w:rsidRDefault="008E43AE">
                    <w:pPr>
                      <w:spacing w:line="180" w:lineRule="exact"/>
                      <w:rPr>
                        <w:sz w:val="18"/>
                      </w:rPr>
                    </w:pPr>
                    <w:r>
                      <w:rPr>
                        <w:color w:val="5E5E5E"/>
                        <w:w w:val="95"/>
                        <w:sz w:val="18"/>
                      </w:rPr>
                      <w:t>(Exhibit</w:t>
                    </w:r>
                    <w:r>
                      <w:rPr>
                        <w:color w:val="5E5E5E"/>
                        <w:spacing w:val="7"/>
                        <w:sz w:val="18"/>
                      </w:rPr>
                      <w:t xml:space="preserve"> </w:t>
                    </w:r>
                    <w:r>
                      <w:rPr>
                        <w:color w:val="5E5E5E"/>
                        <w:spacing w:val="-4"/>
                        <w:sz w:val="18"/>
                      </w:rPr>
                      <w:t>AUS‐</w:t>
                    </w:r>
                  </w:p>
                </w:txbxContent>
              </v:textbox>
            </v:shape>
            <v:shape id="docshape730" o:spid="_x0000_s1559" type="#_x0000_t202" style="position:absolute;left:20;top:689;width:602;height:400" filled="f" stroked="f">
              <v:textbox inset="0,0,0,0">
                <w:txbxContent>
                  <w:p w14:paraId="51DEAC59" w14:textId="77777777" w:rsidR="0010369C" w:rsidRDefault="008E43AE">
                    <w:pPr>
                      <w:spacing w:line="182" w:lineRule="exact"/>
                      <w:rPr>
                        <w:sz w:val="18"/>
                      </w:rPr>
                    </w:pPr>
                    <w:r>
                      <w:rPr>
                        <w:color w:val="5E5E5E"/>
                        <w:sz w:val="18"/>
                      </w:rPr>
                      <w:t>5</w:t>
                    </w:r>
                    <w:r>
                      <w:rPr>
                        <w:color w:val="5E5E5E"/>
                        <w:spacing w:val="-1"/>
                        <w:sz w:val="18"/>
                      </w:rPr>
                      <w:t xml:space="preserve"> </w:t>
                    </w:r>
                    <w:r>
                      <w:rPr>
                        <w:color w:val="5E5E5E"/>
                        <w:spacing w:val="-2"/>
                        <w:sz w:val="18"/>
                      </w:rPr>
                      <w:t>(BCI)),</w:t>
                    </w:r>
                  </w:p>
                  <w:p w14:paraId="51DEAC5A" w14:textId="77777777" w:rsidR="0010369C" w:rsidRDefault="008E43AE">
                    <w:pPr>
                      <w:spacing w:before="36" w:line="156" w:lineRule="auto"/>
                      <w:rPr>
                        <w:sz w:val="18"/>
                      </w:rPr>
                    </w:pPr>
                    <w:r>
                      <w:rPr>
                        <w:sz w:val="12"/>
                      </w:rPr>
                      <w:t>340</w:t>
                    </w:r>
                    <w:r>
                      <w:rPr>
                        <w:spacing w:val="11"/>
                        <w:sz w:val="12"/>
                      </w:rPr>
                      <w:t xml:space="preserve"> </w:t>
                    </w:r>
                    <w:r>
                      <w:rPr>
                        <w:spacing w:val="-10"/>
                        <w:position w:val="-5"/>
                        <w:sz w:val="18"/>
                      </w:rPr>
                      <w:t>[</w:t>
                    </w:r>
                  </w:p>
                </w:txbxContent>
              </v:textbox>
            </v:shape>
            <v:shape id="docshape731" o:spid="_x0000_s1558" type="#_x0000_t202" style="position:absolute;left:1173;top:689;width:175;height:180" filled="f" stroked="f">
              <v:textbox inset="0,0,0,0">
                <w:txbxContent>
                  <w:p w14:paraId="51DEAC5B" w14:textId="77777777" w:rsidR="0010369C" w:rsidRDefault="008E43AE">
                    <w:pPr>
                      <w:spacing w:line="180" w:lineRule="exact"/>
                      <w:rPr>
                        <w:sz w:val="18"/>
                      </w:rPr>
                    </w:pPr>
                    <w:r>
                      <w:rPr>
                        <w:color w:val="5E5E5E"/>
                        <w:spacing w:val="-5"/>
                        <w:sz w:val="18"/>
                      </w:rPr>
                      <w:t>.</w:t>
                    </w:r>
                    <w:r>
                      <w:rPr>
                        <w:spacing w:val="-5"/>
                        <w:sz w:val="18"/>
                      </w:rPr>
                      <w:t>]]</w:t>
                    </w:r>
                  </w:p>
                </w:txbxContent>
              </v:textbox>
            </v:shape>
            <v:shape id="docshape732" o:spid="_x0000_s1557" type="#_x0000_t202" style="position:absolute;left:5625;top:909;width:1551;height:180" filled="f" stroked="f">
              <v:textbox inset="0,0,0,0">
                <w:txbxContent>
                  <w:p w14:paraId="51DEAC5C" w14:textId="77777777" w:rsidR="0010369C" w:rsidRDefault="008E43AE">
                    <w:pPr>
                      <w:spacing w:line="180" w:lineRule="exact"/>
                      <w:rPr>
                        <w:sz w:val="18"/>
                      </w:rPr>
                    </w:pPr>
                    <w:r>
                      <w:rPr>
                        <w:color w:val="5E5E5E"/>
                        <w:sz w:val="18"/>
                      </w:rPr>
                      <w:t>(Exhibit</w:t>
                    </w:r>
                    <w:r>
                      <w:rPr>
                        <w:color w:val="5E5E5E"/>
                        <w:spacing w:val="-10"/>
                        <w:sz w:val="18"/>
                      </w:rPr>
                      <w:t xml:space="preserve"> </w:t>
                    </w:r>
                    <w:r>
                      <w:rPr>
                        <w:color w:val="5E5E5E"/>
                        <w:sz w:val="18"/>
                      </w:rPr>
                      <w:t>AUS‐5</w:t>
                    </w:r>
                    <w:r>
                      <w:rPr>
                        <w:color w:val="5E5E5E"/>
                        <w:spacing w:val="-9"/>
                        <w:sz w:val="18"/>
                      </w:rPr>
                      <w:t xml:space="preserve"> </w:t>
                    </w:r>
                    <w:r>
                      <w:rPr>
                        <w:color w:val="5E5E5E"/>
                        <w:spacing w:val="-2"/>
                        <w:sz w:val="18"/>
                      </w:rPr>
                      <w:t>(BCI)),</w:t>
                    </w:r>
                  </w:p>
                </w:txbxContent>
              </v:textbox>
            </v:shape>
            <v:shape id="docshape733" o:spid="_x0000_s1556" type="#_x0000_t202" style="position:absolute;left:7727;top:909;width:177;height:180" filled="f" stroked="f">
              <v:textbox inset="0,0,0,0">
                <w:txbxContent>
                  <w:p w14:paraId="51DEAC5D" w14:textId="77777777" w:rsidR="0010369C" w:rsidRDefault="008E43AE">
                    <w:pPr>
                      <w:spacing w:line="180" w:lineRule="exact"/>
                      <w:rPr>
                        <w:sz w:val="18"/>
                      </w:rPr>
                    </w:pPr>
                    <w:r>
                      <w:rPr>
                        <w:color w:val="5E5E5E"/>
                        <w:spacing w:val="-5"/>
                        <w:sz w:val="18"/>
                      </w:rPr>
                      <w:t>.</w:t>
                    </w:r>
                    <w:r>
                      <w:rPr>
                        <w:spacing w:val="-5"/>
                        <w:sz w:val="18"/>
                      </w:rPr>
                      <w:t>]]</w:t>
                    </w:r>
                  </w:p>
                </w:txbxContent>
              </v:textbox>
            </v:shape>
            <w10:anchorlock/>
          </v:group>
        </w:pict>
      </w:r>
    </w:p>
    <w:p w14:paraId="51DE8728" w14:textId="77777777" w:rsidR="0010369C" w:rsidRDefault="0010369C">
      <w:pPr>
        <w:rPr>
          <w:sz w:val="20"/>
        </w:rPr>
        <w:sectPr w:rsidR="0010369C">
          <w:pgSz w:w="11910" w:h="16840"/>
          <w:pgMar w:top="880" w:right="800" w:bottom="980" w:left="1180" w:header="569" w:footer="788" w:gutter="0"/>
          <w:cols w:space="720"/>
        </w:sectPr>
      </w:pPr>
    </w:p>
    <w:p w14:paraId="51DE8729" w14:textId="77777777" w:rsidR="0010369C" w:rsidRDefault="008E43AE">
      <w:pPr>
        <w:tabs>
          <w:tab w:val="left" w:pos="6425"/>
        </w:tabs>
        <w:ind w:left="238"/>
        <w:rPr>
          <w:sz w:val="20"/>
        </w:rPr>
      </w:pPr>
      <w:r>
        <w:rPr>
          <w:i/>
          <w:sz w:val="20"/>
        </w:rPr>
        <w:lastRenderedPageBreak/>
        <w:t>China</w:t>
      </w:r>
      <w:r>
        <w:rPr>
          <w:i/>
          <w:spacing w:val="-5"/>
          <w:sz w:val="20"/>
        </w:rPr>
        <w:t xml:space="preserve"> </w:t>
      </w:r>
      <w:r>
        <w:rPr>
          <w:i/>
          <w:sz w:val="20"/>
        </w:rPr>
        <w:t>–</w:t>
      </w:r>
      <w:r>
        <w:rPr>
          <w:i/>
          <w:spacing w:val="-5"/>
          <w:sz w:val="20"/>
        </w:rPr>
        <w:t xml:space="preserve"> </w:t>
      </w:r>
      <w:r>
        <w:rPr>
          <w:i/>
          <w:sz w:val="20"/>
        </w:rPr>
        <w:t>Anti‐Dumping</w:t>
      </w:r>
      <w:r>
        <w:rPr>
          <w:i/>
          <w:spacing w:val="-4"/>
          <w:sz w:val="20"/>
        </w:rPr>
        <w:t xml:space="preserve"> </w:t>
      </w:r>
      <w:r>
        <w:rPr>
          <w:i/>
          <w:sz w:val="20"/>
        </w:rPr>
        <w:t>and</w:t>
      </w:r>
      <w:r>
        <w:rPr>
          <w:i/>
          <w:spacing w:val="-5"/>
          <w:sz w:val="20"/>
        </w:rPr>
        <w:t xml:space="preserve"> </w:t>
      </w:r>
      <w:r>
        <w:rPr>
          <w:i/>
          <w:sz w:val="20"/>
        </w:rPr>
        <w:t>Countervailing</w:t>
      </w:r>
      <w:r>
        <w:rPr>
          <w:i/>
          <w:spacing w:val="-5"/>
          <w:sz w:val="20"/>
        </w:rPr>
        <w:t xml:space="preserve"> </w:t>
      </w:r>
      <w:r>
        <w:rPr>
          <w:i/>
          <w:sz w:val="20"/>
        </w:rPr>
        <w:t>Duty</w:t>
      </w:r>
      <w:r>
        <w:rPr>
          <w:i/>
          <w:spacing w:val="-4"/>
          <w:sz w:val="20"/>
        </w:rPr>
        <w:t xml:space="preserve"> </w:t>
      </w:r>
      <w:r>
        <w:rPr>
          <w:i/>
          <w:spacing w:val="-2"/>
          <w:sz w:val="20"/>
        </w:rPr>
        <w:t>Measures</w:t>
      </w:r>
      <w:r>
        <w:rPr>
          <w:i/>
          <w:sz w:val="20"/>
        </w:rPr>
        <w:tab/>
      </w:r>
      <w:r>
        <w:rPr>
          <w:sz w:val="20"/>
        </w:rPr>
        <w:t>Australia's</w:t>
      </w:r>
      <w:r>
        <w:rPr>
          <w:spacing w:val="-7"/>
          <w:sz w:val="20"/>
        </w:rPr>
        <w:t xml:space="preserve"> </w:t>
      </w:r>
      <w:r>
        <w:rPr>
          <w:sz w:val="20"/>
        </w:rPr>
        <w:t>First</w:t>
      </w:r>
      <w:r>
        <w:rPr>
          <w:spacing w:val="-2"/>
          <w:sz w:val="20"/>
        </w:rPr>
        <w:t xml:space="preserve"> </w:t>
      </w:r>
      <w:r>
        <w:rPr>
          <w:sz w:val="20"/>
        </w:rPr>
        <w:t>Written</w:t>
      </w:r>
      <w:r>
        <w:rPr>
          <w:spacing w:val="-2"/>
          <w:sz w:val="20"/>
        </w:rPr>
        <w:t xml:space="preserve"> Submission</w:t>
      </w:r>
    </w:p>
    <w:p w14:paraId="51DE872A" w14:textId="77777777" w:rsidR="0010369C" w:rsidRDefault="008E43AE">
      <w:pPr>
        <w:tabs>
          <w:tab w:val="left" w:pos="8227"/>
        </w:tabs>
        <w:spacing w:before="1"/>
        <w:ind w:left="239"/>
        <w:rPr>
          <w:sz w:val="20"/>
        </w:rPr>
      </w:pPr>
      <w:r>
        <w:pict w14:anchorId="51DEA1B6">
          <v:rect id="docshape734" o:spid="_x0000_s1554" style="position:absolute;left:0;text-align:left;margin-left:69.9pt;margin-top:14.1pt;width:453.5pt;height:16.05pt;z-index:-250946048;mso-wrap-distance-left:0;mso-wrap-distance-right:0;mso-position-horizontal-relative:page" fillcolor="black" stroked="f">
            <w10:wrap type="topAndBottom" anchorx="page"/>
          </v:rect>
        </w:pict>
      </w:r>
      <w:r>
        <w:pict w14:anchorId="51DEA1B7">
          <v:rect id="docshape735" o:spid="_x0000_s1553" style="position:absolute;left:0;text-align:left;margin-left:69.9pt;margin-top:36.1pt;width:288.8pt;height:16.05pt;z-index:251828736;mso-position-horizontal-relative:page" fillcolor="black" stroked="f">
            <w10:wrap anchorx="page"/>
          </v:rect>
        </w:pict>
      </w:r>
      <w:r>
        <w:rPr>
          <w:i/>
          <w:sz w:val="20"/>
        </w:rPr>
        <w:t>on</w:t>
      </w:r>
      <w:r>
        <w:rPr>
          <w:i/>
          <w:spacing w:val="-1"/>
          <w:sz w:val="20"/>
        </w:rPr>
        <w:t xml:space="preserve"> </w:t>
      </w:r>
      <w:r>
        <w:rPr>
          <w:i/>
          <w:sz w:val="20"/>
        </w:rPr>
        <w:t>Wine</w:t>
      </w:r>
      <w:r>
        <w:rPr>
          <w:i/>
          <w:spacing w:val="-1"/>
          <w:sz w:val="20"/>
        </w:rPr>
        <w:t xml:space="preserve"> </w:t>
      </w:r>
      <w:r>
        <w:rPr>
          <w:i/>
          <w:sz w:val="20"/>
        </w:rPr>
        <w:t>from</w:t>
      </w:r>
      <w:r>
        <w:rPr>
          <w:i/>
          <w:spacing w:val="-3"/>
          <w:sz w:val="20"/>
        </w:rPr>
        <w:t xml:space="preserve"> </w:t>
      </w:r>
      <w:r>
        <w:rPr>
          <w:i/>
          <w:sz w:val="20"/>
        </w:rPr>
        <w:t>Australia</w:t>
      </w:r>
      <w:r>
        <w:rPr>
          <w:i/>
          <w:spacing w:val="-1"/>
          <w:sz w:val="20"/>
        </w:rPr>
        <w:t xml:space="preserve"> </w:t>
      </w:r>
      <w:r>
        <w:rPr>
          <w:spacing w:val="-2"/>
          <w:sz w:val="20"/>
        </w:rPr>
        <w:t>(DS602)</w:t>
      </w:r>
      <w:r>
        <w:rPr>
          <w:sz w:val="20"/>
        </w:rPr>
        <w:tab/>
        <w:t>29</w:t>
      </w:r>
      <w:r>
        <w:rPr>
          <w:spacing w:val="-1"/>
          <w:sz w:val="20"/>
        </w:rPr>
        <w:t xml:space="preserve"> </w:t>
      </w:r>
      <w:r>
        <w:rPr>
          <w:sz w:val="20"/>
        </w:rPr>
        <w:t>April</w:t>
      </w:r>
      <w:r>
        <w:rPr>
          <w:spacing w:val="-2"/>
          <w:sz w:val="20"/>
        </w:rPr>
        <w:t xml:space="preserve"> </w:t>
      </w:r>
      <w:r>
        <w:rPr>
          <w:spacing w:val="-4"/>
          <w:sz w:val="20"/>
        </w:rPr>
        <w:t>2022</w:t>
      </w:r>
    </w:p>
    <w:p w14:paraId="51DE872B" w14:textId="77777777" w:rsidR="0010369C" w:rsidRDefault="008E43AE">
      <w:pPr>
        <w:spacing w:before="116"/>
        <w:ind w:left="3658" w:right="1408"/>
        <w:jc w:val="center"/>
        <w:rPr>
          <w:sz w:val="24"/>
        </w:rPr>
      </w:pPr>
      <w:r>
        <w:rPr>
          <w:spacing w:val="-5"/>
          <w:sz w:val="24"/>
        </w:rPr>
        <w:t>]]</w:t>
      </w:r>
    </w:p>
    <w:p w14:paraId="51DE872C" w14:textId="77777777" w:rsidR="0010369C" w:rsidRDefault="0010369C">
      <w:pPr>
        <w:pStyle w:val="BodyText"/>
        <w:spacing w:before="9"/>
        <w:rPr>
          <w:sz w:val="20"/>
        </w:rPr>
      </w:pPr>
    </w:p>
    <w:p w14:paraId="51DE872D" w14:textId="77777777" w:rsidR="0010369C" w:rsidRDefault="008E43AE">
      <w:pPr>
        <w:pStyle w:val="BodyText"/>
        <w:spacing w:before="52"/>
        <w:ind w:left="1089"/>
      </w:pPr>
      <w:r>
        <w:rPr>
          <w:noProof/>
        </w:rPr>
        <w:drawing>
          <wp:anchor distT="0" distB="0" distL="0" distR="0" simplePos="0" relativeHeight="250656256" behindDoc="0" locked="0" layoutInCell="1" allowOverlap="1" wp14:anchorId="51DEA1B8" wp14:editId="51DEA1B9">
            <wp:simplePos x="0" y="0"/>
            <wp:positionH relativeFrom="page">
              <wp:posOffset>905255</wp:posOffset>
            </wp:positionH>
            <wp:positionV relativeFrom="paragraph">
              <wp:posOffset>76785</wp:posOffset>
            </wp:positionV>
            <wp:extent cx="259079" cy="106679"/>
            <wp:effectExtent l="0" t="0" r="0" b="0"/>
            <wp:wrapNone/>
            <wp:docPr id="627" name="image3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 name="image322.png"/>
                    <pic:cNvPicPr/>
                  </pic:nvPicPr>
                  <pic:blipFill>
                    <a:blip r:embed="rId438" cstate="print"/>
                    <a:stretch>
                      <a:fillRect/>
                    </a:stretch>
                  </pic:blipFill>
                  <pic:spPr>
                    <a:xfrm>
                      <a:off x="0" y="0"/>
                      <a:ext cx="259079" cy="106679"/>
                    </a:xfrm>
                    <a:prstGeom prst="rect">
                      <a:avLst/>
                    </a:prstGeom>
                  </pic:spPr>
                </pic:pic>
              </a:graphicData>
            </a:graphic>
          </wp:anchor>
        </w:drawing>
      </w:r>
      <w:r>
        <w:t>For</w:t>
      </w:r>
      <w:r>
        <w:rPr>
          <w:spacing w:val="17"/>
        </w:rPr>
        <w:t xml:space="preserve"> </w:t>
      </w:r>
      <w:r>
        <w:t>completeness,</w:t>
      </w:r>
      <w:r>
        <w:rPr>
          <w:spacing w:val="19"/>
        </w:rPr>
        <w:t xml:space="preserve"> </w:t>
      </w:r>
      <w:r>
        <w:t>Australia</w:t>
      </w:r>
      <w:r>
        <w:rPr>
          <w:spacing w:val="17"/>
        </w:rPr>
        <w:t xml:space="preserve"> </w:t>
      </w:r>
      <w:r>
        <w:t>notes</w:t>
      </w:r>
      <w:r>
        <w:rPr>
          <w:spacing w:val="18"/>
        </w:rPr>
        <w:t xml:space="preserve"> </w:t>
      </w:r>
      <w:r>
        <w:t>MOFCOM</w:t>
      </w:r>
      <w:r>
        <w:rPr>
          <w:spacing w:val="18"/>
        </w:rPr>
        <w:t xml:space="preserve"> </w:t>
      </w:r>
      <w:r>
        <w:t>did</w:t>
      </w:r>
      <w:r>
        <w:rPr>
          <w:spacing w:val="19"/>
        </w:rPr>
        <w:t xml:space="preserve"> </w:t>
      </w:r>
      <w:r>
        <w:t>not</w:t>
      </w:r>
      <w:r>
        <w:rPr>
          <w:spacing w:val="18"/>
        </w:rPr>
        <w:t xml:space="preserve"> </w:t>
      </w:r>
      <w:r>
        <w:t>select</w:t>
      </w:r>
      <w:r>
        <w:rPr>
          <w:spacing w:val="18"/>
        </w:rPr>
        <w:t xml:space="preserve"> </w:t>
      </w:r>
      <w:r>
        <w:t>the</w:t>
      </w:r>
      <w:r>
        <w:rPr>
          <w:spacing w:val="19"/>
        </w:rPr>
        <w:t xml:space="preserve"> </w:t>
      </w:r>
      <w:r>
        <w:t>reported</w:t>
      </w:r>
      <w:r>
        <w:rPr>
          <w:spacing w:val="17"/>
        </w:rPr>
        <w:t xml:space="preserve"> </w:t>
      </w:r>
      <w:r>
        <w:rPr>
          <w:spacing w:val="-2"/>
        </w:rPr>
        <w:t>domestic</w:t>
      </w:r>
    </w:p>
    <w:p w14:paraId="51DE872E" w14:textId="77777777" w:rsidR="0010369C" w:rsidRDefault="0010369C">
      <w:pPr>
        <w:pStyle w:val="BodyText"/>
        <w:spacing w:before="3"/>
        <w:rPr>
          <w:sz w:val="12"/>
        </w:rPr>
      </w:pPr>
    </w:p>
    <w:tbl>
      <w:tblPr>
        <w:tblW w:w="0" w:type="auto"/>
        <w:tblInd w:w="226" w:type="dxa"/>
        <w:tblLayout w:type="fixed"/>
        <w:tblCellMar>
          <w:left w:w="0" w:type="dxa"/>
          <w:right w:w="0" w:type="dxa"/>
        </w:tblCellMar>
        <w:tblLook w:val="01E0" w:firstRow="1" w:lastRow="1" w:firstColumn="1" w:lastColumn="1" w:noHBand="0" w:noVBand="0"/>
      </w:tblPr>
      <w:tblGrid>
        <w:gridCol w:w="2567"/>
        <w:gridCol w:w="873"/>
        <w:gridCol w:w="1647"/>
        <w:gridCol w:w="3747"/>
        <w:gridCol w:w="293"/>
      </w:tblGrid>
      <w:tr w:rsidR="0010369C" w14:paraId="51DE8731" w14:textId="77777777">
        <w:trPr>
          <w:trHeight w:val="320"/>
        </w:trPr>
        <w:tc>
          <w:tcPr>
            <w:tcW w:w="8834" w:type="dxa"/>
            <w:gridSpan w:val="4"/>
            <w:tcBorders>
              <w:bottom w:val="single" w:sz="48" w:space="0" w:color="FFFFFF"/>
            </w:tcBorders>
          </w:tcPr>
          <w:p w14:paraId="51DE872F" w14:textId="77777777" w:rsidR="0010369C" w:rsidRDefault="008E43AE">
            <w:pPr>
              <w:pStyle w:val="TableParagraph"/>
              <w:spacing w:line="291" w:lineRule="exact"/>
              <w:ind w:left="19" w:right="-29"/>
              <w:rPr>
                <w:sz w:val="24"/>
              </w:rPr>
            </w:pPr>
            <w:r>
              <w:rPr>
                <w:sz w:val="24"/>
              </w:rPr>
              <w:t>sales</w:t>
            </w:r>
            <w:r>
              <w:rPr>
                <w:spacing w:val="14"/>
                <w:sz w:val="24"/>
              </w:rPr>
              <w:t xml:space="preserve"> </w:t>
            </w:r>
            <w:r>
              <w:rPr>
                <w:sz w:val="24"/>
              </w:rPr>
              <w:t>for</w:t>
            </w:r>
            <w:r>
              <w:rPr>
                <w:spacing w:val="16"/>
                <w:sz w:val="24"/>
              </w:rPr>
              <w:t xml:space="preserve"> </w:t>
            </w:r>
            <w:r>
              <w:rPr>
                <w:sz w:val="24"/>
              </w:rPr>
              <w:t>Casella</w:t>
            </w:r>
            <w:r>
              <w:rPr>
                <w:spacing w:val="17"/>
                <w:sz w:val="24"/>
              </w:rPr>
              <w:t xml:space="preserve"> </w:t>
            </w:r>
            <w:r>
              <w:rPr>
                <w:sz w:val="24"/>
              </w:rPr>
              <w:t>Wines,</w:t>
            </w:r>
            <w:r>
              <w:rPr>
                <w:spacing w:val="15"/>
                <w:sz w:val="24"/>
              </w:rPr>
              <w:t xml:space="preserve"> </w:t>
            </w:r>
            <w:r>
              <w:rPr>
                <w:sz w:val="24"/>
              </w:rPr>
              <w:t>but</w:t>
            </w:r>
            <w:r>
              <w:rPr>
                <w:spacing w:val="17"/>
                <w:sz w:val="24"/>
              </w:rPr>
              <w:t xml:space="preserve"> </w:t>
            </w:r>
            <w:r>
              <w:rPr>
                <w:sz w:val="24"/>
              </w:rPr>
              <w:t>instead</w:t>
            </w:r>
            <w:r>
              <w:rPr>
                <w:spacing w:val="16"/>
                <w:sz w:val="24"/>
              </w:rPr>
              <w:t xml:space="preserve"> </w:t>
            </w:r>
            <w:r>
              <w:rPr>
                <w:sz w:val="24"/>
              </w:rPr>
              <w:t>had</w:t>
            </w:r>
            <w:r>
              <w:rPr>
                <w:spacing w:val="16"/>
                <w:sz w:val="24"/>
              </w:rPr>
              <w:t xml:space="preserve"> </w:t>
            </w:r>
            <w:r>
              <w:rPr>
                <w:sz w:val="24"/>
              </w:rPr>
              <w:t>recourse</w:t>
            </w:r>
            <w:r>
              <w:rPr>
                <w:spacing w:val="17"/>
                <w:sz w:val="24"/>
              </w:rPr>
              <w:t xml:space="preserve"> </w:t>
            </w:r>
            <w:r>
              <w:rPr>
                <w:sz w:val="24"/>
              </w:rPr>
              <w:t>to</w:t>
            </w:r>
            <w:r>
              <w:rPr>
                <w:spacing w:val="17"/>
                <w:sz w:val="24"/>
              </w:rPr>
              <w:t xml:space="preserve"> </w:t>
            </w:r>
            <w:r>
              <w:rPr>
                <w:sz w:val="24"/>
              </w:rPr>
              <w:t>the</w:t>
            </w:r>
            <w:r>
              <w:rPr>
                <w:spacing w:val="17"/>
                <w:sz w:val="24"/>
              </w:rPr>
              <w:t xml:space="preserve"> </w:t>
            </w:r>
            <w:r>
              <w:rPr>
                <w:sz w:val="24"/>
              </w:rPr>
              <w:t>sales</w:t>
            </w:r>
            <w:r>
              <w:rPr>
                <w:spacing w:val="16"/>
                <w:sz w:val="24"/>
              </w:rPr>
              <w:t xml:space="preserve"> </w:t>
            </w:r>
            <w:r>
              <w:rPr>
                <w:sz w:val="24"/>
              </w:rPr>
              <w:t>of</w:t>
            </w:r>
            <w:r>
              <w:rPr>
                <w:spacing w:val="17"/>
                <w:sz w:val="24"/>
              </w:rPr>
              <w:t xml:space="preserve"> </w:t>
            </w:r>
            <w:r>
              <w:rPr>
                <w:sz w:val="24"/>
              </w:rPr>
              <w:t>"other</w:t>
            </w:r>
            <w:r>
              <w:rPr>
                <w:spacing w:val="17"/>
                <w:sz w:val="24"/>
              </w:rPr>
              <w:t xml:space="preserve"> </w:t>
            </w:r>
            <w:r>
              <w:rPr>
                <w:sz w:val="24"/>
              </w:rPr>
              <w:t>respondents".</w:t>
            </w:r>
            <w:r>
              <w:rPr>
                <w:spacing w:val="18"/>
                <w:sz w:val="24"/>
              </w:rPr>
              <w:t xml:space="preserve"> </w:t>
            </w:r>
            <w:r>
              <w:rPr>
                <w:spacing w:val="-5"/>
                <w:sz w:val="24"/>
              </w:rPr>
              <w:t>[[</w:t>
            </w:r>
          </w:p>
        </w:tc>
        <w:tc>
          <w:tcPr>
            <w:tcW w:w="293" w:type="dxa"/>
            <w:tcBorders>
              <w:bottom w:val="single" w:sz="48" w:space="0" w:color="FFFFFF"/>
            </w:tcBorders>
            <w:shd w:val="clear" w:color="auto" w:fill="000000"/>
          </w:tcPr>
          <w:p w14:paraId="51DE8730" w14:textId="77777777" w:rsidR="0010369C" w:rsidRDefault="0010369C">
            <w:pPr>
              <w:pStyle w:val="TableParagraph"/>
              <w:rPr>
                <w:rFonts w:ascii="Times New Roman"/>
              </w:rPr>
            </w:pPr>
          </w:p>
        </w:tc>
      </w:tr>
      <w:tr w:rsidR="0010369C" w14:paraId="51DE8734" w14:textId="77777777">
        <w:trPr>
          <w:trHeight w:val="319"/>
        </w:trPr>
        <w:tc>
          <w:tcPr>
            <w:tcW w:w="3440" w:type="dxa"/>
            <w:gridSpan w:val="2"/>
            <w:tcBorders>
              <w:top w:val="single" w:sz="48" w:space="0" w:color="FFFFFF"/>
              <w:bottom w:val="single" w:sz="48" w:space="0" w:color="FFFFFF"/>
              <w:right w:val="single" w:sz="48" w:space="0" w:color="FFFFFF"/>
            </w:tcBorders>
            <w:shd w:val="clear" w:color="auto" w:fill="000000"/>
          </w:tcPr>
          <w:p w14:paraId="51DE8732" w14:textId="77777777" w:rsidR="0010369C" w:rsidRDefault="0010369C">
            <w:pPr>
              <w:pStyle w:val="TableParagraph"/>
              <w:rPr>
                <w:rFonts w:ascii="Times New Roman"/>
              </w:rPr>
            </w:pPr>
          </w:p>
        </w:tc>
        <w:tc>
          <w:tcPr>
            <w:tcW w:w="5687" w:type="dxa"/>
            <w:gridSpan w:val="3"/>
            <w:tcBorders>
              <w:top w:val="single" w:sz="48" w:space="0" w:color="FFFFFF"/>
              <w:left w:val="single" w:sz="48" w:space="0" w:color="FFFFFF"/>
              <w:bottom w:val="single" w:sz="48" w:space="0" w:color="FFFFFF"/>
            </w:tcBorders>
            <w:shd w:val="clear" w:color="auto" w:fill="000000"/>
          </w:tcPr>
          <w:p w14:paraId="51DE8733" w14:textId="77777777" w:rsidR="0010369C" w:rsidRDefault="0010369C">
            <w:pPr>
              <w:pStyle w:val="TableParagraph"/>
              <w:rPr>
                <w:rFonts w:ascii="Times New Roman"/>
              </w:rPr>
            </w:pPr>
          </w:p>
        </w:tc>
      </w:tr>
      <w:tr w:rsidR="0010369C" w14:paraId="51DE8736" w14:textId="77777777">
        <w:trPr>
          <w:trHeight w:val="319"/>
        </w:trPr>
        <w:tc>
          <w:tcPr>
            <w:tcW w:w="9127" w:type="dxa"/>
            <w:gridSpan w:val="5"/>
            <w:tcBorders>
              <w:top w:val="single" w:sz="48" w:space="0" w:color="FFFFFF"/>
              <w:bottom w:val="single" w:sz="48" w:space="0" w:color="FFFFFF"/>
            </w:tcBorders>
            <w:shd w:val="clear" w:color="auto" w:fill="000000"/>
          </w:tcPr>
          <w:p w14:paraId="51DE8735" w14:textId="77777777" w:rsidR="0010369C" w:rsidRDefault="0010369C">
            <w:pPr>
              <w:pStyle w:val="TableParagraph"/>
              <w:rPr>
                <w:rFonts w:ascii="Times New Roman"/>
              </w:rPr>
            </w:pPr>
          </w:p>
        </w:tc>
      </w:tr>
      <w:tr w:rsidR="0010369C" w14:paraId="51DE8738" w14:textId="77777777">
        <w:trPr>
          <w:trHeight w:val="319"/>
        </w:trPr>
        <w:tc>
          <w:tcPr>
            <w:tcW w:w="9127" w:type="dxa"/>
            <w:gridSpan w:val="5"/>
            <w:tcBorders>
              <w:top w:val="single" w:sz="48" w:space="0" w:color="FFFFFF"/>
              <w:bottom w:val="single" w:sz="48" w:space="0" w:color="FFFFFF"/>
            </w:tcBorders>
            <w:shd w:val="clear" w:color="auto" w:fill="000000"/>
          </w:tcPr>
          <w:p w14:paraId="51DE8737" w14:textId="77777777" w:rsidR="0010369C" w:rsidRDefault="0010369C">
            <w:pPr>
              <w:pStyle w:val="TableParagraph"/>
              <w:rPr>
                <w:rFonts w:ascii="Times New Roman"/>
              </w:rPr>
            </w:pPr>
          </w:p>
        </w:tc>
      </w:tr>
      <w:tr w:rsidR="0010369C" w14:paraId="51DE873A" w14:textId="77777777">
        <w:trPr>
          <w:trHeight w:val="319"/>
        </w:trPr>
        <w:tc>
          <w:tcPr>
            <w:tcW w:w="9127" w:type="dxa"/>
            <w:gridSpan w:val="5"/>
            <w:tcBorders>
              <w:top w:val="single" w:sz="48" w:space="0" w:color="FFFFFF"/>
              <w:bottom w:val="single" w:sz="48" w:space="0" w:color="FFFFFF"/>
            </w:tcBorders>
            <w:shd w:val="clear" w:color="auto" w:fill="000000"/>
          </w:tcPr>
          <w:p w14:paraId="51DE8739" w14:textId="77777777" w:rsidR="0010369C" w:rsidRDefault="0010369C">
            <w:pPr>
              <w:pStyle w:val="TableParagraph"/>
              <w:rPr>
                <w:rFonts w:ascii="Times New Roman"/>
              </w:rPr>
            </w:pPr>
          </w:p>
        </w:tc>
      </w:tr>
      <w:tr w:rsidR="0010369C" w14:paraId="51DE873D" w14:textId="77777777">
        <w:trPr>
          <w:trHeight w:val="319"/>
        </w:trPr>
        <w:tc>
          <w:tcPr>
            <w:tcW w:w="5087" w:type="dxa"/>
            <w:gridSpan w:val="3"/>
            <w:tcBorders>
              <w:top w:val="single" w:sz="48" w:space="0" w:color="FFFFFF"/>
              <w:bottom w:val="single" w:sz="48" w:space="0" w:color="FFFFFF"/>
              <w:right w:val="single" w:sz="50" w:space="0" w:color="FFFFFF"/>
            </w:tcBorders>
            <w:shd w:val="clear" w:color="auto" w:fill="000000"/>
          </w:tcPr>
          <w:p w14:paraId="51DE873B" w14:textId="77777777" w:rsidR="0010369C" w:rsidRDefault="0010369C">
            <w:pPr>
              <w:pStyle w:val="TableParagraph"/>
              <w:rPr>
                <w:rFonts w:ascii="Times New Roman"/>
              </w:rPr>
            </w:pPr>
          </w:p>
        </w:tc>
        <w:tc>
          <w:tcPr>
            <w:tcW w:w="4040" w:type="dxa"/>
            <w:gridSpan w:val="2"/>
            <w:tcBorders>
              <w:top w:val="single" w:sz="48" w:space="0" w:color="FFFFFF"/>
              <w:left w:val="single" w:sz="50" w:space="0" w:color="FFFFFF"/>
              <w:bottom w:val="single" w:sz="48" w:space="0" w:color="FFFFFF"/>
            </w:tcBorders>
            <w:shd w:val="clear" w:color="auto" w:fill="000000"/>
          </w:tcPr>
          <w:p w14:paraId="51DE873C" w14:textId="77777777" w:rsidR="0010369C" w:rsidRDefault="0010369C">
            <w:pPr>
              <w:pStyle w:val="TableParagraph"/>
              <w:rPr>
                <w:rFonts w:ascii="Times New Roman"/>
              </w:rPr>
            </w:pPr>
          </w:p>
        </w:tc>
      </w:tr>
      <w:tr w:rsidR="0010369C" w14:paraId="51DE873F" w14:textId="77777777">
        <w:trPr>
          <w:trHeight w:val="319"/>
        </w:trPr>
        <w:tc>
          <w:tcPr>
            <w:tcW w:w="9127" w:type="dxa"/>
            <w:gridSpan w:val="5"/>
            <w:tcBorders>
              <w:top w:val="single" w:sz="48" w:space="0" w:color="FFFFFF"/>
              <w:bottom w:val="single" w:sz="48" w:space="0" w:color="FFFFFF"/>
            </w:tcBorders>
            <w:shd w:val="clear" w:color="auto" w:fill="000000"/>
          </w:tcPr>
          <w:p w14:paraId="51DE873E" w14:textId="77777777" w:rsidR="0010369C" w:rsidRDefault="0010369C">
            <w:pPr>
              <w:pStyle w:val="TableParagraph"/>
              <w:rPr>
                <w:rFonts w:ascii="Times New Roman"/>
              </w:rPr>
            </w:pPr>
          </w:p>
        </w:tc>
      </w:tr>
      <w:tr w:rsidR="0010369C" w14:paraId="51DE8741" w14:textId="77777777">
        <w:trPr>
          <w:trHeight w:val="319"/>
        </w:trPr>
        <w:tc>
          <w:tcPr>
            <w:tcW w:w="9127" w:type="dxa"/>
            <w:gridSpan w:val="5"/>
            <w:tcBorders>
              <w:top w:val="single" w:sz="48" w:space="0" w:color="FFFFFF"/>
              <w:bottom w:val="single" w:sz="48" w:space="0" w:color="FFFFFF"/>
            </w:tcBorders>
            <w:shd w:val="clear" w:color="auto" w:fill="000000"/>
          </w:tcPr>
          <w:p w14:paraId="51DE8740" w14:textId="77777777" w:rsidR="0010369C" w:rsidRDefault="0010369C">
            <w:pPr>
              <w:pStyle w:val="TableParagraph"/>
              <w:rPr>
                <w:rFonts w:ascii="Times New Roman"/>
              </w:rPr>
            </w:pPr>
          </w:p>
        </w:tc>
      </w:tr>
      <w:tr w:rsidR="0010369C" w14:paraId="51DE8743" w14:textId="77777777">
        <w:trPr>
          <w:trHeight w:val="319"/>
        </w:trPr>
        <w:tc>
          <w:tcPr>
            <w:tcW w:w="9127" w:type="dxa"/>
            <w:gridSpan w:val="5"/>
            <w:tcBorders>
              <w:top w:val="single" w:sz="48" w:space="0" w:color="FFFFFF"/>
              <w:bottom w:val="single" w:sz="48" w:space="0" w:color="FFFFFF"/>
            </w:tcBorders>
            <w:shd w:val="clear" w:color="auto" w:fill="000000"/>
          </w:tcPr>
          <w:p w14:paraId="51DE8742" w14:textId="77777777" w:rsidR="0010369C" w:rsidRDefault="0010369C">
            <w:pPr>
              <w:pStyle w:val="TableParagraph"/>
              <w:rPr>
                <w:rFonts w:ascii="Times New Roman"/>
              </w:rPr>
            </w:pPr>
          </w:p>
        </w:tc>
      </w:tr>
      <w:tr w:rsidR="0010369C" w14:paraId="51DE8745" w14:textId="77777777">
        <w:trPr>
          <w:trHeight w:val="319"/>
        </w:trPr>
        <w:tc>
          <w:tcPr>
            <w:tcW w:w="9127" w:type="dxa"/>
            <w:gridSpan w:val="5"/>
            <w:tcBorders>
              <w:top w:val="single" w:sz="48" w:space="0" w:color="FFFFFF"/>
              <w:bottom w:val="single" w:sz="48" w:space="0" w:color="FFFFFF"/>
            </w:tcBorders>
            <w:shd w:val="clear" w:color="auto" w:fill="000000"/>
          </w:tcPr>
          <w:p w14:paraId="51DE8744" w14:textId="77777777" w:rsidR="0010369C" w:rsidRDefault="0010369C">
            <w:pPr>
              <w:pStyle w:val="TableParagraph"/>
              <w:rPr>
                <w:rFonts w:ascii="Times New Roman"/>
              </w:rPr>
            </w:pPr>
          </w:p>
        </w:tc>
      </w:tr>
      <w:tr w:rsidR="0010369C" w14:paraId="51DE8747" w14:textId="77777777">
        <w:trPr>
          <w:trHeight w:val="319"/>
        </w:trPr>
        <w:tc>
          <w:tcPr>
            <w:tcW w:w="9127" w:type="dxa"/>
            <w:gridSpan w:val="5"/>
            <w:tcBorders>
              <w:top w:val="single" w:sz="48" w:space="0" w:color="FFFFFF"/>
              <w:bottom w:val="single" w:sz="48" w:space="0" w:color="FFFFFF"/>
            </w:tcBorders>
            <w:shd w:val="clear" w:color="auto" w:fill="000000"/>
          </w:tcPr>
          <w:p w14:paraId="51DE8746" w14:textId="77777777" w:rsidR="0010369C" w:rsidRDefault="0010369C">
            <w:pPr>
              <w:pStyle w:val="TableParagraph"/>
              <w:rPr>
                <w:rFonts w:ascii="Times New Roman"/>
              </w:rPr>
            </w:pPr>
          </w:p>
        </w:tc>
      </w:tr>
      <w:tr w:rsidR="0010369C" w14:paraId="51DE8749" w14:textId="77777777">
        <w:trPr>
          <w:trHeight w:val="319"/>
        </w:trPr>
        <w:tc>
          <w:tcPr>
            <w:tcW w:w="9127" w:type="dxa"/>
            <w:gridSpan w:val="5"/>
            <w:tcBorders>
              <w:top w:val="single" w:sz="48" w:space="0" w:color="FFFFFF"/>
              <w:bottom w:val="single" w:sz="48" w:space="0" w:color="FFFFFF"/>
            </w:tcBorders>
            <w:shd w:val="clear" w:color="auto" w:fill="000000"/>
          </w:tcPr>
          <w:p w14:paraId="51DE8748" w14:textId="77777777" w:rsidR="0010369C" w:rsidRDefault="0010369C">
            <w:pPr>
              <w:pStyle w:val="TableParagraph"/>
              <w:rPr>
                <w:rFonts w:ascii="Times New Roman"/>
              </w:rPr>
            </w:pPr>
          </w:p>
        </w:tc>
      </w:tr>
      <w:tr w:rsidR="0010369C" w14:paraId="51DE874C" w14:textId="77777777">
        <w:trPr>
          <w:trHeight w:val="320"/>
        </w:trPr>
        <w:tc>
          <w:tcPr>
            <w:tcW w:w="2567" w:type="dxa"/>
            <w:tcBorders>
              <w:top w:val="single" w:sz="48" w:space="0" w:color="FFFFFF"/>
            </w:tcBorders>
            <w:shd w:val="clear" w:color="auto" w:fill="000000"/>
          </w:tcPr>
          <w:p w14:paraId="51DE874A" w14:textId="77777777" w:rsidR="0010369C" w:rsidRDefault="0010369C">
            <w:pPr>
              <w:pStyle w:val="TableParagraph"/>
              <w:rPr>
                <w:rFonts w:ascii="Times New Roman"/>
              </w:rPr>
            </w:pPr>
          </w:p>
        </w:tc>
        <w:tc>
          <w:tcPr>
            <w:tcW w:w="6560" w:type="dxa"/>
            <w:gridSpan w:val="4"/>
            <w:tcBorders>
              <w:top w:val="single" w:sz="48" w:space="0" w:color="FFFFFF"/>
            </w:tcBorders>
          </w:tcPr>
          <w:p w14:paraId="51DE874B" w14:textId="77777777" w:rsidR="0010369C" w:rsidRDefault="008E43AE">
            <w:pPr>
              <w:pStyle w:val="TableParagraph"/>
              <w:spacing w:line="290" w:lineRule="exact"/>
              <w:ind w:left="19"/>
              <w:rPr>
                <w:sz w:val="24"/>
              </w:rPr>
            </w:pPr>
            <w:r>
              <w:rPr>
                <w:spacing w:val="-5"/>
                <w:sz w:val="24"/>
              </w:rPr>
              <w:t>]]</w:t>
            </w:r>
          </w:p>
        </w:tc>
      </w:tr>
    </w:tbl>
    <w:p w14:paraId="51DE874D" w14:textId="77777777" w:rsidR="0010369C" w:rsidRDefault="0010369C">
      <w:pPr>
        <w:pStyle w:val="BodyText"/>
        <w:spacing w:before="10"/>
        <w:rPr>
          <w:sz w:val="18"/>
        </w:rPr>
      </w:pPr>
    </w:p>
    <w:p w14:paraId="51DE874E" w14:textId="77777777" w:rsidR="0010369C" w:rsidRDefault="008E43AE">
      <w:pPr>
        <w:pStyle w:val="BodyText"/>
        <w:spacing w:before="51" w:line="360" w:lineRule="auto"/>
        <w:ind w:left="238" w:right="613" w:firstLine="850"/>
        <w:jc w:val="both"/>
      </w:pPr>
      <w:r>
        <w:rPr>
          <w:noProof/>
        </w:rPr>
        <w:drawing>
          <wp:anchor distT="0" distB="0" distL="0" distR="0" simplePos="0" relativeHeight="250967552" behindDoc="1" locked="0" layoutInCell="1" allowOverlap="1" wp14:anchorId="51DEA1BA" wp14:editId="51DEA1BB">
            <wp:simplePos x="0" y="0"/>
            <wp:positionH relativeFrom="page">
              <wp:posOffset>905255</wp:posOffset>
            </wp:positionH>
            <wp:positionV relativeFrom="paragraph">
              <wp:posOffset>81314</wp:posOffset>
            </wp:positionV>
            <wp:extent cx="259079" cy="100753"/>
            <wp:effectExtent l="0" t="0" r="0" b="0"/>
            <wp:wrapNone/>
            <wp:docPr id="629" name="image3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 name="image323.png"/>
                    <pic:cNvPicPr/>
                  </pic:nvPicPr>
                  <pic:blipFill>
                    <a:blip r:embed="rId439" cstate="print"/>
                    <a:stretch>
                      <a:fillRect/>
                    </a:stretch>
                  </pic:blipFill>
                  <pic:spPr>
                    <a:xfrm>
                      <a:off x="0" y="0"/>
                      <a:ext cx="259079" cy="100753"/>
                    </a:xfrm>
                    <a:prstGeom prst="rect">
                      <a:avLst/>
                    </a:prstGeom>
                  </pic:spPr>
                </pic:pic>
              </a:graphicData>
            </a:graphic>
          </wp:anchor>
        </w:drawing>
      </w:r>
      <w:r>
        <w:pict w14:anchorId="51DEA1BC">
          <v:rect id="docshape736" o:spid="_x0000_s1552" style="position:absolute;left:0;text-align:left;margin-left:186.85pt;margin-top:24.6pt;width:336.55pt;height:16.05pt;z-index:-251331072;mso-position-horizontal-relative:page;mso-position-vertical-relative:text" fillcolor="black" stroked="f">
            <w10:wrap anchorx="page"/>
          </v:rect>
        </w:pict>
      </w:r>
      <w:r>
        <w:t>It</w:t>
      </w:r>
      <w:r>
        <w:rPr>
          <w:spacing w:val="-12"/>
        </w:rPr>
        <w:t xml:space="preserve"> </w:t>
      </w:r>
      <w:r>
        <w:t>is</w:t>
      </w:r>
      <w:r>
        <w:rPr>
          <w:spacing w:val="-13"/>
        </w:rPr>
        <w:t xml:space="preserve"> </w:t>
      </w:r>
      <w:r>
        <w:t>Australia's</w:t>
      </w:r>
      <w:r>
        <w:rPr>
          <w:spacing w:val="-13"/>
        </w:rPr>
        <w:t xml:space="preserve"> </w:t>
      </w:r>
      <w:r>
        <w:t>firm</w:t>
      </w:r>
      <w:r>
        <w:rPr>
          <w:spacing w:val="-12"/>
        </w:rPr>
        <w:t xml:space="preserve"> </w:t>
      </w:r>
      <w:r>
        <w:t>view</w:t>
      </w:r>
      <w:r>
        <w:rPr>
          <w:spacing w:val="-13"/>
        </w:rPr>
        <w:t xml:space="preserve"> </w:t>
      </w:r>
      <w:r>
        <w:t>that</w:t>
      </w:r>
      <w:r>
        <w:rPr>
          <w:spacing w:val="-12"/>
        </w:rPr>
        <w:t xml:space="preserve"> </w:t>
      </w:r>
      <w:r>
        <w:t>MOFCOM</w:t>
      </w:r>
      <w:r>
        <w:rPr>
          <w:spacing w:val="-12"/>
        </w:rPr>
        <w:t xml:space="preserve"> </w:t>
      </w:r>
      <w:r>
        <w:t>was</w:t>
      </w:r>
      <w:r>
        <w:rPr>
          <w:spacing w:val="-13"/>
        </w:rPr>
        <w:t xml:space="preserve"> </w:t>
      </w:r>
      <w:r>
        <w:t>not</w:t>
      </w:r>
      <w:r>
        <w:rPr>
          <w:spacing w:val="-12"/>
        </w:rPr>
        <w:t xml:space="preserve"> </w:t>
      </w:r>
      <w:r>
        <w:t>permitted</w:t>
      </w:r>
      <w:r>
        <w:rPr>
          <w:spacing w:val="-12"/>
        </w:rPr>
        <w:t xml:space="preserve"> </w:t>
      </w:r>
      <w:r>
        <w:t>to</w:t>
      </w:r>
      <w:r>
        <w:rPr>
          <w:spacing w:val="-12"/>
        </w:rPr>
        <w:t xml:space="preserve"> </w:t>
      </w:r>
      <w:r>
        <w:t>calculate</w:t>
      </w:r>
      <w:r>
        <w:rPr>
          <w:spacing w:val="-13"/>
        </w:rPr>
        <w:t xml:space="preserve"> </w:t>
      </w:r>
      <w:r>
        <w:t>Casella</w:t>
      </w:r>
      <w:r>
        <w:rPr>
          <w:spacing w:val="-12"/>
        </w:rPr>
        <w:t xml:space="preserve"> </w:t>
      </w:r>
      <w:r>
        <w:t>Wines' normal value through [[</w:t>
      </w:r>
    </w:p>
    <w:p w14:paraId="51DE874F" w14:textId="77777777" w:rsidR="0010369C" w:rsidRDefault="008E43AE">
      <w:pPr>
        <w:pStyle w:val="BodyText"/>
        <w:spacing w:line="292" w:lineRule="exact"/>
        <w:ind w:left="1756"/>
        <w:jc w:val="both"/>
      </w:pPr>
      <w:r>
        <w:pict w14:anchorId="51DEA1BD">
          <v:rect id="docshape737" o:spid="_x0000_s1551" style="position:absolute;left:0;text-align:left;margin-left:69.9pt;margin-top:.1pt;width:75.95pt;height:16.05pt;z-index:251829760;mso-position-horizontal-relative:page" fillcolor="black" stroked="f">
            <w10:wrap anchorx="page"/>
          </v:rect>
        </w:pict>
      </w:r>
      <w:r>
        <w:rPr>
          <w:w w:val="95"/>
        </w:rPr>
        <w:t>]]</w:t>
      </w:r>
      <w:r>
        <w:rPr>
          <w:color w:val="5E5E5E"/>
          <w:w w:val="95"/>
        </w:rPr>
        <w:t>,</w:t>
      </w:r>
      <w:r>
        <w:rPr>
          <w:color w:val="5E5E5E"/>
          <w:spacing w:val="5"/>
        </w:rPr>
        <w:t xml:space="preserve"> </w:t>
      </w:r>
      <w:r>
        <w:rPr>
          <w:w w:val="95"/>
        </w:rPr>
        <w:t>or</w:t>
      </w:r>
      <w:r>
        <w:rPr>
          <w:spacing w:val="7"/>
        </w:rPr>
        <w:t xml:space="preserve"> </w:t>
      </w:r>
      <w:r>
        <w:rPr>
          <w:w w:val="95"/>
        </w:rPr>
        <w:t>Swan</w:t>
      </w:r>
      <w:r>
        <w:rPr>
          <w:spacing w:val="5"/>
        </w:rPr>
        <w:t xml:space="preserve"> </w:t>
      </w:r>
      <w:r>
        <w:rPr>
          <w:w w:val="95"/>
        </w:rPr>
        <w:t>Vintage's</w:t>
      </w:r>
      <w:r>
        <w:rPr>
          <w:spacing w:val="4"/>
        </w:rPr>
        <w:t xml:space="preserve"> </w:t>
      </w:r>
      <w:r>
        <w:rPr>
          <w:w w:val="95"/>
        </w:rPr>
        <w:t>sales</w:t>
      </w:r>
      <w:r>
        <w:rPr>
          <w:spacing w:val="6"/>
        </w:rPr>
        <w:t xml:space="preserve"> </w:t>
      </w:r>
      <w:r>
        <w:rPr>
          <w:w w:val="95"/>
        </w:rPr>
        <w:t>which</w:t>
      </w:r>
      <w:r>
        <w:rPr>
          <w:spacing w:val="4"/>
        </w:rPr>
        <w:t xml:space="preserve"> </w:t>
      </w:r>
      <w:r>
        <w:rPr>
          <w:w w:val="95"/>
        </w:rPr>
        <w:t>otherwise</w:t>
      </w:r>
      <w:r>
        <w:rPr>
          <w:spacing w:val="8"/>
        </w:rPr>
        <w:t xml:space="preserve"> </w:t>
      </w:r>
      <w:r>
        <w:rPr>
          <w:w w:val="95"/>
        </w:rPr>
        <w:t>failed</w:t>
      </w:r>
      <w:r>
        <w:rPr>
          <w:spacing w:val="5"/>
        </w:rPr>
        <w:t xml:space="preserve"> </w:t>
      </w:r>
      <w:r>
        <w:rPr>
          <w:w w:val="95"/>
        </w:rPr>
        <w:t>the</w:t>
      </w:r>
      <w:r>
        <w:rPr>
          <w:spacing w:val="7"/>
        </w:rPr>
        <w:t xml:space="preserve"> </w:t>
      </w:r>
      <w:r>
        <w:rPr>
          <w:w w:val="95"/>
        </w:rPr>
        <w:t>low</w:t>
      </w:r>
      <w:r>
        <w:rPr>
          <w:spacing w:val="4"/>
        </w:rPr>
        <w:t xml:space="preserve"> </w:t>
      </w:r>
      <w:r>
        <w:rPr>
          <w:w w:val="95"/>
        </w:rPr>
        <w:t>volume</w:t>
      </w:r>
      <w:r>
        <w:rPr>
          <w:spacing w:val="6"/>
        </w:rPr>
        <w:t xml:space="preserve"> </w:t>
      </w:r>
      <w:r>
        <w:rPr>
          <w:w w:val="95"/>
        </w:rPr>
        <w:t>test</w:t>
      </w:r>
      <w:r>
        <w:rPr>
          <w:spacing w:val="5"/>
        </w:rPr>
        <w:t xml:space="preserve"> </w:t>
      </w:r>
      <w:r>
        <w:rPr>
          <w:w w:val="95"/>
        </w:rPr>
        <w:t>in</w:t>
      </w:r>
      <w:r>
        <w:rPr>
          <w:spacing w:val="5"/>
        </w:rPr>
        <w:t xml:space="preserve"> </w:t>
      </w:r>
      <w:r>
        <w:rPr>
          <w:spacing w:val="-2"/>
          <w:w w:val="95"/>
        </w:rPr>
        <w:t>Article</w:t>
      </w:r>
    </w:p>
    <w:p w14:paraId="51DE8750" w14:textId="77777777" w:rsidR="0010369C" w:rsidRDefault="008E43AE">
      <w:pPr>
        <w:pStyle w:val="ListParagraph"/>
        <w:numPr>
          <w:ilvl w:val="1"/>
          <w:numId w:val="68"/>
        </w:numPr>
        <w:tabs>
          <w:tab w:val="left" w:pos="651"/>
        </w:tabs>
        <w:spacing w:before="147" w:line="360" w:lineRule="auto"/>
        <w:ind w:right="613" w:firstLine="0"/>
        <w:jc w:val="both"/>
        <w:rPr>
          <w:sz w:val="24"/>
        </w:rPr>
      </w:pPr>
      <w:r>
        <w:pict w14:anchorId="51DEA1BE">
          <v:rect id="docshape738" o:spid="_x0000_s1550" style="position:absolute;left:0;text-align:left;margin-left:428.75pt;margin-top:230.45pt;width:26.5pt;height:12.05pt;z-index:251831808;mso-position-horizontal-relative:page" fillcolor="black" stroked="f">
            <w10:wrap anchorx="page"/>
          </v:rect>
        </w:pict>
      </w:r>
      <w:r>
        <w:rPr>
          <w:sz w:val="24"/>
        </w:rPr>
        <w:t xml:space="preserve">and were rejected for Swan Vintage's normal value calculation. However, assuming </w:t>
      </w:r>
      <w:r>
        <w:rPr>
          <w:i/>
          <w:sz w:val="24"/>
        </w:rPr>
        <w:t xml:space="preserve">arguendo </w:t>
      </w:r>
      <w:r>
        <w:rPr>
          <w:sz w:val="24"/>
        </w:rPr>
        <w:t>the Panel found otherwise, MOFCOM was obligated to account for the characteristics affecting these high‐priced sales that created a distortive effect through artifici</w:t>
      </w:r>
      <w:r>
        <w:rPr>
          <w:sz w:val="24"/>
        </w:rPr>
        <w:t>ally inflating the normal value. Australia set these characteristics out above in respect of Treasury Wines.</w:t>
      </w:r>
      <w:r>
        <w:rPr>
          <w:sz w:val="24"/>
          <w:vertAlign w:val="superscript"/>
        </w:rPr>
        <w:t>344</w:t>
      </w:r>
      <w:r>
        <w:rPr>
          <w:sz w:val="24"/>
        </w:rPr>
        <w:t xml:space="preserve"> Nothing on the record indicates MOFCOM accounted for these </w:t>
      </w:r>
      <w:r>
        <w:rPr>
          <w:spacing w:val="-2"/>
          <w:sz w:val="24"/>
        </w:rPr>
        <w:t>characteristics.</w:t>
      </w:r>
    </w:p>
    <w:p w14:paraId="51DE8751" w14:textId="77777777" w:rsidR="0010369C" w:rsidRDefault="0010369C">
      <w:pPr>
        <w:pStyle w:val="BodyText"/>
        <w:rPr>
          <w:sz w:val="20"/>
        </w:rPr>
      </w:pPr>
    </w:p>
    <w:p w14:paraId="51DE8752" w14:textId="77777777" w:rsidR="0010369C" w:rsidRDefault="0010369C">
      <w:pPr>
        <w:pStyle w:val="BodyText"/>
        <w:rPr>
          <w:sz w:val="20"/>
        </w:rPr>
      </w:pPr>
    </w:p>
    <w:p w14:paraId="51DE8753" w14:textId="77777777" w:rsidR="0010369C" w:rsidRDefault="0010369C">
      <w:pPr>
        <w:pStyle w:val="BodyText"/>
        <w:rPr>
          <w:sz w:val="20"/>
        </w:rPr>
      </w:pPr>
    </w:p>
    <w:p w14:paraId="51DE8754" w14:textId="77777777" w:rsidR="0010369C" w:rsidRDefault="0010369C">
      <w:pPr>
        <w:pStyle w:val="BodyText"/>
        <w:rPr>
          <w:sz w:val="20"/>
        </w:rPr>
      </w:pPr>
    </w:p>
    <w:p w14:paraId="51DE8755" w14:textId="77777777" w:rsidR="0010369C" w:rsidRDefault="0010369C">
      <w:pPr>
        <w:pStyle w:val="BodyText"/>
        <w:rPr>
          <w:sz w:val="20"/>
        </w:rPr>
      </w:pPr>
    </w:p>
    <w:p w14:paraId="51DE8756" w14:textId="77777777" w:rsidR="0010369C" w:rsidRDefault="0010369C">
      <w:pPr>
        <w:pStyle w:val="BodyText"/>
        <w:rPr>
          <w:sz w:val="20"/>
        </w:rPr>
      </w:pPr>
    </w:p>
    <w:p w14:paraId="51DE8757" w14:textId="77777777" w:rsidR="0010369C" w:rsidRDefault="008E43AE">
      <w:pPr>
        <w:pStyle w:val="BodyText"/>
        <w:spacing w:before="8"/>
        <w:rPr>
          <w:sz w:val="16"/>
        </w:rPr>
      </w:pPr>
      <w:r>
        <w:pict w14:anchorId="51DEA1BF">
          <v:rect id="docshape739" o:spid="_x0000_s1549" style="position:absolute;margin-left:70.9pt;margin-top:11.35pt;width:2in;height:.8pt;z-index:-250945024;mso-wrap-distance-left:0;mso-wrap-distance-right:0;mso-position-horizontal-relative:page" fillcolor="black" stroked="f">
            <w10:wrap type="topAndBottom" anchorx="page"/>
          </v:rect>
        </w:pict>
      </w:r>
    </w:p>
    <w:p w14:paraId="51DE8758" w14:textId="77777777" w:rsidR="0010369C" w:rsidRDefault="0010369C">
      <w:pPr>
        <w:pStyle w:val="BodyText"/>
        <w:spacing w:before="8"/>
        <w:rPr>
          <w:sz w:val="5"/>
        </w:rPr>
      </w:pPr>
    </w:p>
    <w:p w14:paraId="51DE8759" w14:textId="77777777" w:rsidR="0010369C" w:rsidRDefault="0010369C">
      <w:pPr>
        <w:rPr>
          <w:sz w:val="5"/>
        </w:rPr>
        <w:sectPr w:rsidR="0010369C">
          <w:pgSz w:w="11910" w:h="16840"/>
          <w:pgMar w:top="880" w:right="800" w:bottom="980" w:left="1180" w:header="569" w:footer="788" w:gutter="0"/>
          <w:cols w:space="720"/>
        </w:sectPr>
      </w:pPr>
    </w:p>
    <w:p w14:paraId="51DE875A" w14:textId="77777777" w:rsidR="0010369C" w:rsidRDefault="008E43AE">
      <w:pPr>
        <w:spacing w:before="38"/>
        <w:ind w:left="238"/>
        <w:jc w:val="both"/>
        <w:rPr>
          <w:sz w:val="18"/>
        </w:rPr>
      </w:pPr>
      <w:r>
        <w:pict w14:anchorId="51DEA1C0">
          <v:rect id="docshape740" o:spid="_x0000_s1548" style="position:absolute;left:0;text-align:left;margin-left:86.65pt;margin-top:2.4pt;width:261.45pt;height:12.05pt;z-index:251830784;mso-position-horizontal-relative:page" fillcolor="black" stroked="f">
            <w10:wrap anchorx="page"/>
          </v:rect>
        </w:pict>
      </w:r>
      <w:r>
        <w:rPr>
          <w:sz w:val="12"/>
        </w:rPr>
        <w:t>341</w:t>
      </w:r>
      <w:r>
        <w:rPr>
          <w:spacing w:val="11"/>
          <w:sz w:val="12"/>
        </w:rPr>
        <w:t xml:space="preserve"> </w:t>
      </w:r>
      <w:r>
        <w:rPr>
          <w:spacing w:val="-10"/>
          <w:position w:val="-5"/>
          <w:sz w:val="18"/>
        </w:rPr>
        <w:t>[</w:t>
      </w:r>
    </w:p>
    <w:p w14:paraId="51DE875B" w14:textId="77777777" w:rsidR="0010369C" w:rsidRDefault="008E43AE">
      <w:pPr>
        <w:ind w:left="238" w:right="38"/>
        <w:jc w:val="both"/>
        <w:rPr>
          <w:sz w:val="18"/>
        </w:rPr>
      </w:pPr>
      <w:r>
        <w:rPr>
          <w:sz w:val="18"/>
          <w:vertAlign w:val="superscript"/>
        </w:rPr>
        <w:t>342</w:t>
      </w:r>
      <w:r>
        <w:rPr>
          <w:spacing w:val="-7"/>
          <w:sz w:val="18"/>
        </w:rPr>
        <w:t xml:space="preserve"> </w:t>
      </w:r>
      <w:r>
        <w:rPr>
          <w:sz w:val="18"/>
        </w:rPr>
        <w:t>See</w:t>
      </w:r>
      <w:r>
        <w:rPr>
          <w:spacing w:val="-7"/>
          <w:sz w:val="18"/>
        </w:rPr>
        <w:t xml:space="preserve"> </w:t>
      </w:r>
      <w:r>
        <w:rPr>
          <w:sz w:val="18"/>
        </w:rPr>
        <w:t>above,</w:t>
      </w:r>
      <w:r>
        <w:rPr>
          <w:spacing w:val="-8"/>
          <w:sz w:val="18"/>
        </w:rPr>
        <w:t xml:space="preserve"> </w:t>
      </w:r>
      <w:r>
        <w:rPr>
          <w:sz w:val="18"/>
        </w:rPr>
        <w:t>section</w:t>
      </w:r>
      <w:r>
        <w:rPr>
          <w:spacing w:val="-7"/>
          <w:sz w:val="18"/>
        </w:rPr>
        <w:t xml:space="preserve"> </w:t>
      </w:r>
      <w:r>
        <w:rPr>
          <w:sz w:val="18"/>
        </w:rPr>
        <w:t xml:space="preserve">II.A.7. </w:t>
      </w:r>
      <w:r>
        <w:rPr>
          <w:sz w:val="18"/>
          <w:vertAlign w:val="superscript"/>
        </w:rPr>
        <w:t>343</w:t>
      </w:r>
      <w:r>
        <w:rPr>
          <w:spacing w:val="-3"/>
          <w:sz w:val="18"/>
        </w:rPr>
        <w:t xml:space="preserve"> </w:t>
      </w:r>
      <w:r>
        <w:rPr>
          <w:sz w:val="18"/>
        </w:rPr>
        <w:t>See</w:t>
      </w:r>
      <w:r>
        <w:rPr>
          <w:spacing w:val="-3"/>
          <w:sz w:val="18"/>
        </w:rPr>
        <w:t xml:space="preserve"> </w:t>
      </w:r>
      <w:r>
        <w:rPr>
          <w:sz w:val="18"/>
        </w:rPr>
        <w:t>above,</w:t>
      </w:r>
      <w:r>
        <w:rPr>
          <w:spacing w:val="-4"/>
          <w:sz w:val="18"/>
        </w:rPr>
        <w:t xml:space="preserve"> </w:t>
      </w:r>
      <w:r>
        <w:rPr>
          <w:sz w:val="18"/>
        </w:rPr>
        <w:t>section</w:t>
      </w:r>
      <w:r>
        <w:rPr>
          <w:spacing w:val="-3"/>
          <w:sz w:val="18"/>
        </w:rPr>
        <w:t xml:space="preserve"> </w:t>
      </w:r>
      <w:r>
        <w:rPr>
          <w:sz w:val="18"/>
        </w:rPr>
        <w:t xml:space="preserve">II.E.3. </w:t>
      </w:r>
      <w:r>
        <w:rPr>
          <w:sz w:val="18"/>
          <w:vertAlign w:val="superscript"/>
        </w:rPr>
        <w:t>344</w:t>
      </w:r>
      <w:r>
        <w:rPr>
          <w:spacing w:val="-6"/>
          <w:sz w:val="18"/>
        </w:rPr>
        <w:t xml:space="preserve"> </w:t>
      </w:r>
      <w:r>
        <w:rPr>
          <w:sz w:val="18"/>
        </w:rPr>
        <w:t>See</w:t>
      </w:r>
      <w:r>
        <w:rPr>
          <w:spacing w:val="-5"/>
          <w:sz w:val="18"/>
        </w:rPr>
        <w:t xml:space="preserve"> </w:t>
      </w:r>
      <w:r>
        <w:rPr>
          <w:sz w:val="18"/>
        </w:rPr>
        <w:t>above,</w:t>
      </w:r>
      <w:r>
        <w:rPr>
          <w:spacing w:val="-6"/>
          <w:sz w:val="18"/>
        </w:rPr>
        <w:t xml:space="preserve"> </w:t>
      </w:r>
      <w:r>
        <w:rPr>
          <w:sz w:val="18"/>
        </w:rPr>
        <w:t>section</w:t>
      </w:r>
      <w:r>
        <w:rPr>
          <w:spacing w:val="-5"/>
          <w:sz w:val="18"/>
        </w:rPr>
        <w:t xml:space="preserve"> </w:t>
      </w:r>
      <w:r>
        <w:rPr>
          <w:spacing w:val="-2"/>
          <w:sz w:val="18"/>
        </w:rPr>
        <w:t>II.D.2.</w:t>
      </w:r>
    </w:p>
    <w:p w14:paraId="51DE875C" w14:textId="77777777" w:rsidR="0010369C" w:rsidRDefault="008E43AE">
      <w:pPr>
        <w:spacing w:before="41"/>
        <w:ind w:left="238"/>
        <w:rPr>
          <w:sz w:val="18"/>
        </w:rPr>
      </w:pPr>
      <w:r>
        <w:br w:type="column"/>
      </w:r>
      <w:r>
        <w:rPr>
          <w:color w:val="5E5E5E"/>
          <w:sz w:val="18"/>
        </w:rPr>
        <w:t>(Exhibit</w:t>
      </w:r>
      <w:r>
        <w:rPr>
          <w:color w:val="5E5E5E"/>
          <w:spacing w:val="-10"/>
          <w:sz w:val="18"/>
        </w:rPr>
        <w:t xml:space="preserve"> </w:t>
      </w:r>
      <w:r>
        <w:rPr>
          <w:color w:val="5E5E5E"/>
          <w:sz w:val="18"/>
        </w:rPr>
        <w:t>AUS‐5</w:t>
      </w:r>
      <w:r>
        <w:rPr>
          <w:color w:val="5E5E5E"/>
          <w:spacing w:val="-9"/>
          <w:sz w:val="18"/>
        </w:rPr>
        <w:t xml:space="preserve"> </w:t>
      </w:r>
      <w:r>
        <w:rPr>
          <w:color w:val="5E5E5E"/>
          <w:spacing w:val="-2"/>
          <w:sz w:val="18"/>
        </w:rPr>
        <w:t>(BCI)),</w:t>
      </w:r>
    </w:p>
    <w:p w14:paraId="51DE875D" w14:textId="77777777" w:rsidR="0010369C" w:rsidRDefault="008E43AE">
      <w:pPr>
        <w:spacing w:before="41"/>
        <w:ind w:left="238"/>
        <w:rPr>
          <w:sz w:val="18"/>
        </w:rPr>
      </w:pPr>
      <w:r>
        <w:br w:type="column"/>
      </w:r>
      <w:r>
        <w:rPr>
          <w:color w:val="5E5E5E"/>
          <w:spacing w:val="-5"/>
          <w:sz w:val="18"/>
        </w:rPr>
        <w:t>.</w:t>
      </w:r>
      <w:r>
        <w:rPr>
          <w:spacing w:val="-5"/>
          <w:sz w:val="18"/>
        </w:rPr>
        <w:t>]]</w:t>
      </w:r>
    </w:p>
    <w:p w14:paraId="51DE875E" w14:textId="77777777" w:rsidR="0010369C" w:rsidRDefault="0010369C">
      <w:pPr>
        <w:rPr>
          <w:sz w:val="18"/>
        </w:rPr>
        <w:sectPr w:rsidR="0010369C">
          <w:type w:val="continuous"/>
          <w:pgSz w:w="11910" w:h="16840"/>
          <w:pgMar w:top="1460" w:right="800" w:bottom="280" w:left="1180" w:header="569" w:footer="788" w:gutter="0"/>
          <w:cols w:num="3" w:space="720" w:equalWidth="0">
            <w:col w:w="2336" w:space="3270"/>
            <w:col w:w="1809" w:space="292"/>
            <w:col w:w="2223"/>
          </w:cols>
        </w:sectPr>
      </w:pPr>
    </w:p>
    <w:p w14:paraId="51DE875F" w14:textId="77777777" w:rsidR="0010369C" w:rsidRDefault="008E43AE">
      <w:pPr>
        <w:tabs>
          <w:tab w:val="left" w:pos="6426"/>
        </w:tabs>
        <w:ind w:left="238"/>
        <w:rPr>
          <w:sz w:val="20"/>
        </w:rPr>
      </w:pPr>
      <w:r>
        <w:rPr>
          <w:i/>
          <w:sz w:val="20"/>
        </w:rPr>
        <w:lastRenderedPageBreak/>
        <w:t>China</w:t>
      </w:r>
      <w:r>
        <w:rPr>
          <w:i/>
          <w:spacing w:val="-5"/>
          <w:sz w:val="20"/>
        </w:rPr>
        <w:t xml:space="preserve"> </w:t>
      </w:r>
      <w:r>
        <w:rPr>
          <w:i/>
          <w:sz w:val="20"/>
        </w:rPr>
        <w:t>–</w:t>
      </w:r>
      <w:r>
        <w:rPr>
          <w:i/>
          <w:spacing w:val="-5"/>
          <w:sz w:val="20"/>
        </w:rPr>
        <w:t xml:space="preserve"> </w:t>
      </w:r>
      <w:r>
        <w:rPr>
          <w:i/>
          <w:sz w:val="20"/>
        </w:rPr>
        <w:t>Anti‐Dumping</w:t>
      </w:r>
      <w:r>
        <w:rPr>
          <w:i/>
          <w:spacing w:val="-4"/>
          <w:sz w:val="20"/>
        </w:rPr>
        <w:t xml:space="preserve"> </w:t>
      </w:r>
      <w:r>
        <w:rPr>
          <w:i/>
          <w:sz w:val="20"/>
        </w:rPr>
        <w:t>and</w:t>
      </w:r>
      <w:r>
        <w:rPr>
          <w:i/>
          <w:spacing w:val="-5"/>
          <w:sz w:val="20"/>
        </w:rPr>
        <w:t xml:space="preserve"> </w:t>
      </w:r>
      <w:r>
        <w:rPr>
          <w:i/>
          <w:sz w:val="20"/>
        </w:rPr>
        <w:t>Countervailing</w:t>
      </w:r>
      <w:r>
        <w:rPr>
          <w:i/>
          <w:spacing w:val="-5"/>
          <w:sz w:val="20"/>
        </w:rPr>
        <w:t xml:space="preserve"> </w:t>
      </w:r>
      <w:r>
        <w:rPr>
          <w:i/>
          <w:sz w:val="20"/>
        </w:rPr>
        <w:t>Duty</w:t>
      </w:r>
      <w:r>
        <w:rPr>
          <w:i/>
          <w:spacing w:val="-4"/>
          <w:sz w:val="20"/>
        </w:rPr>
        <w:t xml:space="preserve"> </w:t>
      </w:r>
      <w:r>
        <w:rPr>
          <w:i/>
          <w:spacing w:val="-2"/>
          <w:sz w:val="20"/>
        </w:rPr>
        <w:t>Measures</w:t>
      </w:r>
      <w:r>
        <w:rPr>
          <w:i/>
          <w:sz w:val="20"/>
        </w:rPr>
        <w:tab/>
      </w:r>
      <w:r>
        <w:rPr>
          <w:sz w:val="20"/>
        </w:rPr>
        <w:t>Australia's</w:t>
      </w:r>
      <w:r>
        <w:rPr>
          <w:spacing w:val="-7"/>
          <w:sz w:val="20"/>
        </w:rPr>
        <w:t xml:space="preserve"> </w:t>
      </w:r>
      <w:r>
        <w:rPr>
          <w:sz w:val="20"/>
        </w:rPr>
        <w:t>First</w:t>
      </w:r>
      <w:r>
        <w:rPr>
          <w:spacing w:val="-2"/>
          <w:sz w:val="20"/>
        </w:rPr>
        <w:t xml:space="preserve"> </w:t>
      </w:r>
      <w:r>
        <w:rPr>
          <w:sz w:val="20"/>
        </w:rPr>
        <w:t>Written</w:t>
      </w:r>
      <w:r>
        <w:rPr>
          <w:spacing w:val="-2"/>
          <w:sz w:val="20"/>
        </w:rPr>
        <w:t xml:space="preserve"> Submission</w:t>
      </w:r>
    </w:p>
    <w:p w14:paraId="51DE8760" w14:textId="77777777" w:rsidR="0010369C" w:rsidRDefault="008E43AE">
      <w:pPr>
        <w:tabs>
          <w:tab w:val="left" w:pos="8228"/>
        </w:tabs>
        <w:spacing w:before="1"/>
        <w:ind w:left="239"/>
        <w:rPr>
          <w:sz w:val="20"/>
        </w:rPr>
      </w:pPr>
      <w:r>
        <w:rPr>
          <w:i/>
          <w:sz w:val="20"/>
        </w:rPr>
        <w:t>on</w:t>
      </w:r>
      <w:r>
        <w:rPr>
          <w:i/>
          <w:spacing w:val="-1"/>
          <w:sz w:val="20"/>
        </w:rPr>
        <w:t xml:space="preserve"> </w:t>
      </w:r>
      <w:r>
        <w:rPr>
          <w:i/>
          <w:sz w:val="20"/>
        </w:rPr>
        <w:t>Wine</w:t>
      </w:r>
      <w:r>
        <w:rPr>
          <w:i/>
          <w:spacing w:val="-1"/>
          <w:sz w:val="20"/>
        </w:rPr>
        <w:t xml:space="preserve"> </w:t>
      </w:r>
      <w:r>
        <w:rPr>
          <w:i/>
          <w:sz w:val="20"/>
        </w:rPr>
        <w:t>from</w:t>
      </w:r>
      <w:r>
        <w:rPr>
          <w:i/>
          <w:spacing w:val="-3"/>
          <w:sz w:val="20"/>
        </w:rPr>
        <w:t xml:space="preserve"> </w:t>
      </w:r>
      <w:r>
        <w:rPr>
          <w:i/>
          <w:sz w:val="20"/>
        </w:rPr>
        <w:t>Australia</w:t>
      </w:r>
      <w:r>
        <w:rPr>
          <w:i/>
          <w:spacing w:val="-1"/>
          <w:sz w:val="20"/>
        </w:rPr>
        <w:t xml:space="preserve"> </w:t>
      </w:r>
      <w:r>
        <w:rPr>
          <w:spacing w:val="-2"/>
          <w:sz w:val="20"/>
        </w:rPr>
        <w:t>(DS602)</w:t>
      </w:r>
      <w:r>
        <w:rPr>
          <w:sz w:val="20"/>
        </w:rPr>
        <w:tab/>
        <w:t>29</w:t>
      </w:r>
      <w:r>
        <w:rPr>
          <w:spacing w:val="-1"/>
          <w:sz w:val="20"/>
        </w:rPr>
        <w:t xml:space="preserve"> </w:t>
      </w:r>
      <w:r>
        <w:rPr>
          <w:sz w:val="20"/>
        </w:rPr>
        <w:t>April</w:t>
      </w:r>
      <w:r>
        <w:rPr>
          <w:spacing w:val="-2"/>
          <w:sz w:val="20"/>
        </w:rPr>
        <w:t xml:space="preserve"> </w:t>
      </w:r>
      <w:r>
        <w:rPr>
          <w:spacing w:val="-4"/>
          <w:sz w:val="20"/>
        </w:rPr>
        <w:t>2022</w:t>
      </w:r>
    </w:p>
    <w:p w14:paraId="51DE8761" w14:textId="77777777" w:rsidR="0010369C" w:rsidRDefault="008E43AE">
      <w:pPr>
        <w:pStyle w:val="Heading4"/>
        <w:numPr>
          <w:ilvl w:val="2"/>
          <w:numId w:val="75"/>
        </w:numPr>
        <w:tabs>
          <w:tab w:val="left" w:pos="2649"/>
          <w:tab w:val="left" w:pos="2650"/>
        </w:tabs>
        <w:spacing w:before="35"/>
        <w:ind w:left="2649" w:hanging="852"/>
      </w:pPr>
      <w:r>
        <w:t>MOFCOM</w:t>
      </w:r>
      <w:r>
        <w:rPr>
          <w:spacing w:val="-9"/>
        </w:rPr>
        <w:t xml:space="preserve"> </w:t>
      </w:r>
      <w:r>
        <w:t>improperly</w:t>
      </w:r>
      <w:r>
        <w:rPr>
          <w:spacing w:val="-9"/>
        </w:rPr>
        <w:t xml:space="preserve"> </w:t>
      </w:r>
      <w:r>
        <w:t>resorted</w:t>
      </w:r>
      <w:r>
        <w:rPr>
          <w:spacing w:val="-8"/>
        </w:rPr>
        <w:t xml:space="preserve"> </w:t>
      </w:r>
      <w:r>
        <w:t>to</w:t>
      </w:r>
      <w:r>
        <w:rPr>
          <w:spacing w:val="-8"/>
        </w:rPr>
        <w:t xml:space="preserve"> </w:t>
      </w:r>
      <w:r>
        <w:t>facts</w:t>
      </w:r>
      <w:r>
        <w:rPr>
          <w:spacing w:val="-9"/>
        </w:rPr>
        <w:t xml:space="preserve"> </w:t>
      </w:r>
      <w:r>
        <w:rPr>
          <w:spacing w:val="-2"/>
        </w:rPr>
        <w:t>available</w:t>
      </w:r>
    </w:p>
    <w:p w14:paraId="51DE8762" w14:textId="77777777" w:rsidR="0010369C" w:rsidRDefault="0010369C">
      <w:pPr>
        <w:pStyle w:val="BodyText"/>
        <w:spacing w:before="9"/>
        <w:rPr>
          <w:b/>
          <w:sz w:val="20"/>
        </w:rPr>
      </w:pPr>
    </w:p>
    <w:p w14:paraId="51DE8763" w14:textId="77777777" w:rsidR="0010369C" w:rsidRDefault="008E43AE">
      <w:pPr>
        <w:pStyle w:val="BodyText"/>
        <w:spacing w:before="52" w:line="360" w:lineRule="auto"/>
        <w:ind w:left="238" w:right="614" w:firstLine="851"/>
        <w:jc w:val="both"/>
      </w:pPr>
      <w:r>
        <w:rPr>
          <w:noProof/>
        </w:rPr>
        <w:drawing>
          <wp:anchor distT="0" distB="0" distL="0" distR="0" simplePos="0" relativeHeight="250968576" behindDoc="1" locked="0" layoutInCell="1" allowOverlap="1" wp14:anchorId="51DEA1C1" wp14:editId="51DEA1C2">
            <wp:simplePos x="0" y="0"/>
            <wp:positionH relativeFrom="page">
              <wp:posOffset>905255</wp:posOffset>
            </wp:positionH>
            <wp:positionV relativeFrom="paragraph">
              <wp:posOffset>81357</wp:posOffset>
            </wp:positionV>
            <wp:extent cx="259079" cy="103631"/>
            <wp:effectExtent l="0" t="0" r="0" b="0"/>
            <wp:wrapNone/>
            <wp:docPr id="631" name="image3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 name="image324.png"/>
                    <pic:cNvPicPr/>
                  </pic:nvPicPr>
                  <pic:blipFill>
                    <a:blip r:embed="rId440" cstate="print"/>
                    <a:stretch>
                      <a:fillRect/>
                    </a:stretch>
                  </pic:blipFill>
                  <pic:spPr>
                    <a:xfrm>
                      <a:off x="0" y="0"/>
                      <a:ext cx="259079" cy="103631"/>
                    </a:xfrm>
                    <a:prstGeom prst="rect">
                      <a:avLst/>
                    </a:prstGeom>
                  </pic:spPr>
                </pic:pic>
              </a:graphicData>
            </a:graphic>
          </wp:anchor>
        </w:drawing>
      </w:r>
      <w:r>
        <w:t>MOFCOM</w:t>
      </w:r>
      <w:r>
        <w:rPr>
          <w:spacing w:val="-14"/>
        </w:rPr>
        <w:t xml:space="preserve"> </w:t>
      </w:r>
      <w:r>
        <w:t>improperly</w:t>
      </w:r>
      <w:r>
        <w:rPr>
          <w:spacing w:val="-14"/>
        </w:rPr>
        <w:t xml:space="preserve"> </w:t>
      </w:r>
      <w:r>
        <w:t>resorted</w:t>
      </w:r>
      <w:r>
        <w:rPr>
          <w:spacing w:val="-13"/>
        </w:rPr>
        <w:t xml:space="preserve"> </w:t>
      </w:r>
      <w:r>
        <w:t>to</w:t>
      </w:r>
      <w:r>
        <w:rPr>
          <w:spacing w:val="-14"/>
        </w:rPr>
        <w:t xml:space="preserve"> </w:t>
      </w:r>
      <w:r>
        <w:t>facts</w:t>
      </w:r>
      <w:r>
        <w:rPr>
          <w:spacing w:val="-13"/>
        </w:rPr>
        <w:t xml:space="preserve"> </w:t>
      </w:r>
      <w:r>
        <w:t>available</w:t>
      </w:r>
      <w:r>
        <w:rPr>
          <w:spacing w:val="-14"/>
        </w:rPr>
        <w:t xml:space="preserve"> </w:t>
      </w:r>
      <w:r>
        <w:t>to</w:t>
      </w:r>
      <w:r>
        <w:rPr>
          <w:spacing w:val="-13"/>
        </w:rPr>
        <w:t xml:space="preserve"> </w:t>
      </w:r>
      <w:r>
        <w:t>calculate</w:t>
      </w:r>
      <w:r>
        <w:rPr>
          <w:spacing w:val="-14"/>
        </w:rPr>
        <w:t xml:space="preserve"> </w:t>
      </w:r>
      <w:r>
        <w:t>aspects</w:t>
      </w:r>
      <w:r>
        <w:rPr>
          <w:spacing w:val="-14"/>
        </w:rPr>
        <w:t xml:space="preserve"> </w:t>
      </w:r>
      <w:r>
        <w:t>of</w:t>
      </w:r>
      <w:r>
        <w:rPr>
          <w:spacing w:val="-13"/>
        </w:rPr>
        <w:t xml:space="preserve"> </w:t>
      </w:r>
      <w:r>
        <w:t>Casella</w:t>
      </w:r>
      <w:r>
        <w:rPr>
          <w:spacing w:val="-14"/>
        </w:rPr>
        <w:t xml:space="preserve"> </w:t>
      </w:r>
      <w:r>
        <w:t>Wines' normal value. As Australia will demonstrate below, MOFCOM made the following errors:</w:t>
      </w:r>
    </w:p>
    <w:p w14:paraId="51DE8764" w14:textId="77777777" w:rsidR="0010369C" w:rsidRDefault="008E43AE">
      <w:pPr>
        <w:pStyle w:val="ListParagraph"/>
        <w:numPr>
          <w:ilvl w:val="2"/>
          <w:numId w:val="68"/>
        </w:numPr>
        <w:tabs>
          <w:tab w:val="left" w:pos="1939"/>
          <w:tab w:val="left" w:pos="1940"/>
        </w:tabs>
        <w:spacing w:before="161" w:line="357" w:lineRule="auto"/>
        <w:ind w:right="614"/>
        <w:rPr>
          <w:sz w:val="24"/>
        </w:rPr>
      </w:pPr>
      <w:r>
        <w:rPr>
          <w:sz w:val="24"/>
        </w:rPr>
        <w:t>it identified deficiencies in the production costs and expenses forms that either</w:t>
      </w:r>
      <w:r>
        <w:rPr>
          <w:spacing w:val="-9"/>
          <w:sz w:val="24"/>
        </w:rPr>
        <w:t xml:space="preserve"> </w:t>
      </w:r>
      <w:r>
        <w:rPr>
          <w:sz w:val="24"/>
        </w:rPr>
        <w:t>did</w:t>
      </w:r>
      <w:r>
        <w:rPr>
          <w:spacing w:val="-8"/>
          <w:sz w:val="24"/>
        </w:rPr>
        <w:t xml:space="preserve"> </w:t>
      </w:r>
      <w:r>
        <w:rPr>
          <w:sz w:val="24"/>
        </w:rPr>
        <w:t>not</w:t>
      </w:r>
      <w:r>
        <w:rPr>
          <w:spacing w:val="-8"/>
          <w:sz w:val="24"/>
        </w:rPr>
        <w:t xml:space="preserve"> </w:t>
      </w:r>
      <w:r>
        <w:rPr>
          <w:sz w:val="24"/>
        </w:rPr>
        <w:t>exist,</w:t>
      </w:r>
      <w:r>
        <w:rPr>
          <w:spacing w:val="-9"/>
          <w:sz w:val="24"/>
        </w:rPr>
        <w:t xml:space="preserve"> </w:t>
      </w:r>
      <w:r>
        <w:rPr>
          <w:sz w:val="24"/>
        </w:rPr>
        <w:t>or</w:t>
      </w:r>
      <w:r>
        <w:rPr>
          <w:spacing w:val="-8"/>
          <w:sz w:val="24"/>
        </w:rPr>
        <w:t xml:space="preserve"> </w:t>
      </w:r>
      <w:r>
        <w:rPr>
          <w:sz w:val="24"/>
        </w:rPr>
        <w:t>the</w:t>
      </w:r>
      <w:r>
        <w:rPr>
          <w:spacing w:val="-8"/>
          <w:sz w:val="24"/>
        </w:rPr>
        <w:t xml:space="preserve"> </w:t>
      </w:r>
      <w:r>
        <w:rPr>
          <w:sz w:val="24"/>
        </w:rPr>
        <w:t>allegedly</w:t>
      </w:r>
      <w:r>
        <w:rPr>
          <w:spacing w:val="-11"/>
          <w:sz w:val="24"/>
        </w:rPr>
        <w:t xml:space="preserve"> </w:t>
      </w:r>
      <w:r>
        <w:rPr>
          <w:sz w:val="24"/>
        </w:rPr>
        <w:t>deficient</w:t>
      </w:r>
      <w:r>
        <w:rPr>
          <w:spacing w:val="-8"/>
          <w:sz w:val="24"/>
        </w:rPr>
        <w:t xml:space="preserve"> </w:t>
      </w:r>
      <w:r>
        <w:rPr>
          <w:sz w:val="24"/>
        </w:rPr>
        <w:t>information</w:t>
      </w:r>
      <w:r>
        <w:rPr>
          <w:spacing w:val="-9"/>
          <w:sz w:val="24"/>
        </w:rPr>
        <w:t xml:space="preserve"> </w:t>
      </w:r>
      <w:r>
        <w:rPr>
          <w:sz w:val="24"/>
        </w:rPr>
        <w:t>was</w:t>
      </w:r>
      <w:r>
        <w:rPr>
          <w:spacing w:val="-9"/>
          <w:sz w:val="24"/>
        </w:rPr>
        <w:t xml:space="preserve"> </w:t>
      </w:r>
      <w:r>
        <w:rPr>
          <w:sz w:val="24"/>
        </w:rPr>
        <w:t>not</w:t>
      </w:r>
      <w:r>
        <w:rPr>
          <w:spacing w:val="-8"/>
          <w:sz w:val="24"/>
        </w:rPr>
        <w:t xml:space="preserve"> </w:t>
      </w:r>
      <w:r>
        <w:rPr>
          <w:sz w:val="24"/>
        </w:rPr>
        <w:t>necessary for the purposes of constructing normal value, and which resulted in MOFCOM having incorrect recourse to facts available; and</w:t>
      </w:r>
    </w:p>
    <w:p w14:paraId="51DE8765" w14:textId="77777777" w:rsidR="0010369C" w:rsidRDefault="008E43AE">
      <w:pPr>
        <w:pStyle w:val="ListParagraph"/>
        <w:numPr>
          <w:ilvl w:val="2"/>
          <w:numId w:val="68"/>
        </w:numPr>
        <w:tabs>
          <w:tab w:val="left" w:pos="1940"/>
          <w:tab w:val="left" w:pos="1941"/>
        </w:tabs>
        <w:spacing w:before="130"/>
        <w:ind w:left="1940" w:hanging="852"/>
        <w:rPr>
          <w:sz w:val="24"/>
        </w:rPr>
      </w:pPr>
      <w:r>
        <w:rPr>
          <w:sz w:val="24"/>
        </w:rPr>
        <w:t>it</w:t>
      </w:r>
      <w:r>
        <w:rPr>
          <w:spacing w:val="-8"/>
          <w:sz w:val="24"/>
        </w:rPr>
        <w:t xml:space="preserve"> </w:t>
      </w:r>
      <w:r>
        <w:rPr>
          <w:sz w:val="24"/>
        </w:rPr>
        <w:t>did</w:t>
      </w:r>
      <w:r>
        <w:rPr>
          <w:spacing w:val="-8"/>
          <w:sz w:val="24"/>
        </w:rPr>
        <w:t xml:space="preserve"> </w:t>
      </w:r>
      <w:r>
        <w:rPr>
          <w:sz w:val="24"/>
        </w:rPr>
        <w:t>not</w:t>
      </w:r>
      <w:r>
        <w:rPr>
          <w:spacing w:val="-7"/>
          <w:sz w:val="24"/>
        </w:rPr>
        <w:t xml:space="preserve"> </w:t>
      </w:r>
      <w:r>
        <w:rPr>
          <w:sz w:val="24"/>
        </w:rPr>
        <w:t>use</w:t>
      </w:r>
      <w:r>
        <w:rPr>
          <w:spacing w:val="-7"/>
          <w:sz w:val="24"/>
        </w:rPr>
        <w:t xml:space="preserve"> </w:t>
      </w:r>
      <w:r>
        <w:rPr>
          <w:sz w:val="24"/>
        </w:rPr>
        <w:t>the</w:t>
      </w:r>
      <w:r>
        <w:rPr>
          <w:spacing w:val="-6"/>
          <w:sz w:val="24"/>
        </w:rPr>
        <w:t xml:space="preserve"> </w:t>
      </w:r>
      <w:r>
        <w:rPr>
          <w:sz w:val="24"/>
        </w:rPr>
        <w:t>best</w:t>
      </w:r>
      <w:r>
        <w:rPr>
          <w:spacing w:val="-7"/>
          <w:sz w:val="24"/>
        </w:rPr>
        <w:t xml:space="preserve"> </w:t>
      </w:r>
      <w:r>
        <w:rPr>
          <w:sz w:val="24"/>
        </w:rPr>
        <w:t>available</w:t>
      </w:r>
      <w:r>
        <w:rPr>
          <w:spacing w:val="-7"/>
          <w:sz w:val="24"/>
        </w:rPr>
        <w:t xml:space="preserve"> </w:t>
      </w:r>
      <w:r>
        <w:rPr>
          <w:sz w:val="24"/>
        </w:rPr>
        <w:t>information</w:t>
      </w:r>
      <w:r>
        <w:rPr>
          <w:spacing w:val="-7"/>
          <w:sz w:val="24"/>
        </w:rPr>
        <w:t xml:space="preserve"> </w:t>
      </w:r>
      <w:r>
        <w:rPr>
          <w:sz w:val="24"/>
        </w:rPr>
        <w:t>when</w:t>
      </w:r>
      <w:r>
        <w:rPr>
          <w:spacing w:val="-8"/>
          <w:sz w:val="24"/>
        </w:rPr>
        <w:t xml:space="preserve"> </w:t>
      </w:r>
      <w:r>
        <w:rPr>
          <w:sz w:val="24"/>
        </w:rPr>
        <w:t>selecting</w:t>
      </w:r>
      <w:r>
        <w:rPr>
          <w:spacing w:val="-6"/>
          <w:sz w:val="24"/>
        </w:rPr>
        <w:t xml:space="preserve"> </w:t>
      </w:r>
      <w:r>
        <w:rPr>
          <w:sz w:val="24"/>
        </w:rPr>
        <w:t>facts</w:t>
      </w:r>
      <w:r>
        <w:rPr>
          <w:spacing w:val="-8"/>
          <w:sz w:val="24"/>
        </w:rPr>
        <w:t xml:space="preserve"> </w:t>
      </w:r>
      <w:r>
        <w:rPr>
          <w:spacing w:val="-2"/>
          <w:sz w:val="24"/>
        </w:rPr>
        <w:t>available.</w:t>
      </w:r>
    </w:p>
    <w:p w14:paraId="51DE8766" w14:textId="77777777" w:rsidR="0010369C" w:rsidRDefault="008E43AE">
      <w:pPr>
        <w:pStyle w:val="ListParagraph"/>
        <w:numPr>
          <w:ilvl w:val="3"/>
          <w:numId w:val="75"/>
        </w:numPr>
        <w:tabs>
          <w:tab w:val="left" w:pos="3643"/>
          <w:tab w:val="left" w:pos="3644"/>
        </w:tabs>
        <w:spacing w:before="268"/>
        <w:ind w:left="3643" w:hanging="853"/>
        <w:rPr>
          <w:sz w:val="24"/>
        </w:rPr>
      </w:pPr>
      <w:r>
        <w:rPr>
          <w:spacing w:val="-2"/>
          <w:sz w:val="24"/>
          <w:u w:val="single"/>
        </w:rPr>
        <w:t>MOFCOM's</w:t>
      </w:r>
      <w:r>
        <w:rPr>
          <w:spacing w:val="-3"/>
          <w:sz w:val="24"/>
          <w:u w:val="single"/>
        </w:rPr>
        <w:t xml:space="preserve"> </w:t>
      </w:r>
      <w:r>
        <w:rPr>
          <w:spacing w:val="-2"/>
          <w:sz w:val="24"/>
          <w:u w:val="single"/>
        </w:rPr>
        <w:t>Determination</w:t>
      </w:r>
    </w:p>
    <w:p w14:paraId="51DE8767" w14:textId="77777777" w:rsidR="0010369C" w:rsidRDefault="0010369C">
      <w:pPr>
        <w:pStyle w:val="BodyText"/>
        <w:rPr>
          <w:sz w:val="25"/>
        </w:rPr>
      </w:pPr>
    </w:p>
    <w:p w14:paraId="51DE8768" w14:textId="77777777" w:rsidR="0010369C" w:rsidRDefault="008E43AE">
      <w:pPr>
        <w:pStyle w:val="ListParagraph"/>
        <w:numPr>
          <w:ilvl w:val="4"/>
          <w:numId w:val="75"/>
        </w:numPr>
        <w:tabs>
          <w:tab w:val="left" w:pos="4493"/>
          <w:tab w:val="left" w:pos="4494"/>
        </w:tabs>
        <w:spacing w:before="0" w:line="360" w:lineRule="auto"/>
        <w:ind w:right="613"/>
        <w:rPr>
          <w:i/>
          <w:sz w:val="24"/>
        </w:rPr>
      </w:pPr>
      <w:r>
        <w:rPr>
          <w:i/>
          <w:sz w:val="24"/>
        </w:rPr>
        <w:t>Form</w:t>
      </w:r>
      <w:r>
        <w:rPr>
          <w:i/>
          <w:spacing w:val="80"/>
          <w:sz w:val="24"/>
        </w:rPr>
        <w:t xml:space="preserve"> </w:t>
      </w:r>
      <w:r>
        <w:rPr>
          <w:i/>
          <w:sz w:val="24"/>
        </w:rPr>
        <w:t>6‐1‐2</w:t>
      </w:r>
      <w:r>
        <w:rPr>
          <w:i/>
          <w:spacing w:val="80"/>
          <w:sz w:val="24"/>
        </w:rPr>
        <w:t xml:space="preserve"> </w:t>
      </w:r>
      <w:r>
        <w:rPr>
          <w:i/>
          <w:sz w:val="24"/>
        </w:rPr>
        <w:t>Production</w:t>
      </w:r>
      <w:r>
        <w:rPr>
          <w:i/>
          <w:spacing w:val="80"/>
          <w:sz w:val="24"/>
        </w:rPr>
        <w:t xml:space="preserve"> </w:t>
      </w:r>
      <w:r>
        <w:rPr>
          <w:i/>
          <w:sz w:val="24"/>
        </w:rPr>
        <w:t>Cost</w:t>
      </w:r>
      <w:r>
        <w:rPr>
          <w:i/>
          <w:spacing w:val="80"/>
          <w:sz w:val="24"/>
        </w:rPr>
        <w:t xml:space="preserve"> </w:t>
      </w:r>
      <w:r>
        <w:rPr>
          <w:i/>
          <w:sz w:val="24"/>
        </w:rPr>
        <w:t>Sheet</w:t>
      </w:r>
      <w:r>
        <w:rPr>
          <w:i/>
          <w:spacing w:val="80"/>
          <w:sz w:val="24"/>
        </w:rPr>
        <w:t xml:space="preserve"> </w:t>
      </w:r>
      <w:r>
        <w:rPr>
          <w:i/>
          <w:sz w:val="24"/>
        </w:rPr>
        <w:t>for</w:t>
      </w:r>
      <w:r>
        <w:rPr>
          <w:i/>
          <w:spacing w:val="80"/>
          <w:sz w:val="24"/>
        </w:rPr>
        <w:t xml:space="preserve"> </w:t>
      </w:r>
      <w:r>
        <w:rPr>
          <w:i/>
          <w:sz w:val="24"/>
        </w:rPr>
        <w:t>Raw</w:t>
      </w:r>
      <w:r>
        <w:rPr>
          <w:i/>
          <w:spacing w:val="80"/>
          <w:sz w:val="24"/>
        </w:rPr>
        <w:t xml:space="preserve"> </w:t>
      </w:r>
      <w:r>
        <w:rPr>
          <w:i/>
          <w:spacing w:val="-2"/>
          <w:sz w:val="24"/>
        </w:rPr>
        <w:t>Materials</w:t>
      </w:r>
    </w:p>
    <w:p w14:paraId="51DE8769" w14:textId="77777777" w:rsidR="0010369C" w:rsidRDefault="0010369C">
      <w:pPr>
        <w:pStyle w:val="BodyText"/>
        <w:spacing w:before="11"/>
        <w:rPr>
          <w:i/>
          <w:sz w:val="8"/>
        </w:rPr>
      </w:pPr>
    </w:p>
    <w:p w14:paraId="51DE876A" w14:textId="77777777" w:rsidR="0010369C" w:rsidRDefault="008E43AE">
      <w:pPr>
        <w:pStyle w:val="BodyText"/>
        <w:spacing w:before="52" w:line="360" w:lineRule="auto"/>
        <w:ind w:left="238" w:right="614" w:firstLine="851"/>
        <w:jc w:val="both"/>
      </w:pPr>
      <w:r>
        <w:rPr>
          <w:noProof/>
        </w:rPr>
        <w:drawing>
          <wp:anchor distT="0" distB="0" distL="0" distR="0" simplePos="0" relativeHeight="250969600" behindDoc="1" locked="0" layoutInCell="1" allowOverlap="1" wp14:anchorId="51DEA1C3" wp14:editId="51DEA1C4">
            <wp:simplePos x="0" y="0"/>
            <wp:positionH relativeFrom="page">
              <wp:posOffset>905255</wp:posOffset>
            </wp:positionH>
            <wp:positionV relativeFrom="paragraph">
              <wp:posOffset>81357</wp:posOffset>
            </wp:positionV>
            <wp:extent cx="259079" cy="103631"/>
            <wp:effectExtent l="0" t="0" r="0" b="0"/>
            <wp:wrapNone/>
            <wp:docPr id="633" name="image3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 name="image325.png"/>
                    <pic:cNvPicPr/>
                  </pic:nvPicPr>
                  <pic:blipFill>
                    <a:blip r:embed="rId441" cstate="print"/>
                    <a:stretch>
                      <a:fillRect/>
                    </a:stretch>
                  </pic:blipFill>
                  <pic:spPr>
                    <a:xfrm>
                      <a:off x="0" y="0"/>
                      <a:ext cx="259079" cy="103631"/>
                    </a:xfrm>
                    <a:prstGeom prst="rect">
                      <a:avLst/>
                    </a:prstGeom>
                  </pic:spPr>
                </pic:pic>
              </a:graphicData>
            </a:graphic>
          </wp:anchor>
        </w:drawing>
      </w:r>
      <w:r>
        <w:t>In the Final Determination MOFCOM upheld its findings in the Preliminary Determination relating to Form 6‐1‐2 ("Production Cost Sheet for Raw Materials")</w:t>
      </w:r>
      <w:r>
        <w:rPr>
          <w:vertAlign w:val="superscript"/>
        </w:rPr>
        <w:t>345</w:t>
      </w:r>
      <w:r>
        <w:t xml:space="preserve"> submitted by Casella Wines. These findings were to the ef</w:t>
      </w:r>
      <w:r>
        <w:t>fect that:</w:t>
      </w:r>
    </w:p>
    <w:p w14:paraId="51DE876B" w14:textId="77777777" w:rsidR="0010369C" w:rsidRDefault="008E43AE">
      <w:pPr>
        <w:pStyle w:val="ListParagraph"/>
        <w:numPr>
          <w:ilvl w:val="2"/>
          <w:numId w:val="68"/>
        </w:numPr>
        <w:tabs>
          <w:tab w:val="left" w:pos="1939"/>
          <w:tab w:val="left" w:pos="1940"/>
        </w:tabs>
        <w:spacing w:before="161" w:line="357" w:lineRule="auto"/>
        <w:ind w:left="1938" w:right="613" w:hanging="850"/>
        <w:rPr>
          <w:sz w:val="24"/>
        </w:rPr>
      </w:pPr>
      <w:r>
        <w:rPr>
          <w:sz w:val="24"/>
        </w:rPr>
        <w:t>"[t]he Company regarded bulk wine as the raw material (or direct raw material) of the product under investigation and like products in its response, and provided "Form 6‐1‐2 Production Cost Sheet for Raw Materials". Meanwhile,</w:t>
      </w:r>
      <w:r>
        <w:rPr>
          <w:spacing w:val="-2"/>
          <w:sz w:val="24"/>
        </w:rPr>
        <w:t xml:space="preserve"> </w:t>
      </w:r>
      <w:r>
        <w:rPr>
          <w:sz w:val="24"/>
        </w:rPr>
        <w:t>some types</w:t>
      </w:r>
      <w:r>
        <w:rPr>
          <w:spacing w:val="-3"/>
          <w:sz w:val="24"/>
        </w:rPr>
        <w:t xml:space="preserve"> </w:t>
      </w:r>
      <w:r>
        <w:rPr>
          <w:sz w:val="24"/>
        </w:rPr>
        <w:t>not</w:t>
      </w:r>
      <w:r>
        <w:rPr>
          <w:spacing w:val="-1"/>
          <w:sz w:val="24"/>
        </w:rPr>
        <w:t xml:space="preserve"> </w:t>
      </w:r>
      <w:r>
        <w:rPr>
          <w:sz w:val="24"/>
        </w:rPr>
        <w:t>rep</w:t>
      </w:r>
      <w:r>
        <w:rPr>
          <w:sz w:val="24"/>
        </w:rPr>
        <w:t>orted</w:t>
      </w:r>
      <w:r>
        <w:rPr>
          <w:spacing w:val="-1"/>
          <w:sz w:val="24"/>
        </w:rPr>
        <w:t xml:space="preserve"> </w:t>
      </w:r>
      <w:r>
        <w:rPr>
          <w:sz w:val="24"/>
        </w:rPr>
        <w:t>as</w:t>
      </w:r>
      <w:r>
        <w:rPr>
          <w:spacing w:val="-2"/>
          <w:sz w:val="24"/>
        </w:rPr>
        <w:t xml:space="preserve"> </w:t>
      </w:r>
      <w:r>
        <w:rPr>
          <w:sz w:val="24"/>
        </w:rPr>
        <w:t>bulk</w:t>
      </w:r>
      <w:r>
        <w:rPr>
          <w:spacing w:val="-1"/>
          <w:sz w:val="24"/>
        </w:rPr>
        <w:t xml:space="preserve"> </w:t>
      </w:r>
      <w:r>
        <w:rPr>
          <w:sz w:val="24"/>
        </w:rPr>
        <w:t>wine</w:t>
      </w:r>
      <w:r>
        <w:rPr>
          <w:spacing w:val="-1"/>
          <w:sz w:val="24"/>
        </w:rPr>
        <w:t xml:space="preserve"> </w:t>
      </w:r>
      <w:r>
        <w:rPr>
          <w:sz w:val="24"/>
        </w:rPr>
        <w:t>were filled</w:t>
      </w:r>
      <w:r>
        <w:rPr>
          <w:spacing w:val="-1"/>
          <w:sz w:val="24"/>
        </w:rPr>
        <w:t xml:space="preserve"> </w:t>
      </w:r>
      <w:r>
        <w:rPr>
          <w:sz w:val="24"/>
        </w:rPr>
        <w:t>in as</w:t>
      </w:r>
      <w:r>
        <w:rPr>
          <w:spacing w:val="-7"/>
          <w:sz w:val="24"/>
        </w:rPr>
        <w:t xml:space="preserve"> </w:t>
      </w:r>
      <w:r>
        <w:rPr>
          <w:sz w:val="24"/>
        </w:rPr>
        <w:t>direct</w:t>
      </w:r>
      <w:r>
        <w:rPr>
          <w:spacing w:val="-6"/>
          <w:sz w:val="24"/>
        </w:rPr>
        <w:t xml:space="preserve"> </w:t>
      </w:r>
      <w:r>
        <w:rPr>
          <w:sz w:val="24"/>
        </w:rPr>
        <w:t>materials</w:t>
      </w:r>
      <w:r>
        <w:rPr>
          <w:spacing w:val="-7"/>
          <w:sz w:val="24"/>
        </w:rPr>
        <w:t xml:space="preserve"> </w:t>
      </w:r>
      <w:r>
        <w:rPr>
          <w:sz w:val="24"/>
        </w:rPr>
        <w:t>in</w:t>
      </w:r>
      <w:r>
        <w:rPr>
          <w:spacing w:val="-6"/>
          <w:sz w:val="24"/>
        </w:rPr>
        <w:t xml:space="preserve"> </w:t>
      </w:r>
      <w:r>
        <w:rPr>
          <w:sz w:val="24"/>
        </w:rPr>
        <w:t>the</w:t>
      </w:r>
      <w:r>
        <w:rPr>
          <w:spacing w:val="-6"/>
          <w:sz w:val="24"/>
        </w:rPr>
        <w:t xml:space="preserve"> </w:t>
      </w:r>
      <w:r>
        <w:rPr>
          <w:sz w:val="24"/>
        </w:rPr>
        <w:t>name</w:t>
      </w:r>
      <w:r>
        <w:rPr>
          <w:spacing w:val="-6"/>
          <w:sz w:val="24"/>
        </w:rPr>
        <w:t xml:space="preserve"> </w:t>
      </w:r>
      <w:r>
        <w:rPr>
          <w:sz w:val="24"/>
        </w:rPr>
        <w:t>of</w:t>
      </w:r>
      <w:r>
        <w:rPr>
          <w:spacing w:val="-6"/>
          <w:sz w:val="24"/>
        </w:rPr>
        <w:t xml:space="preserve"> </w:t>
      </w:r>
      <w:r>
        <w:rPr>
          <w:sz w:val="24"/>
        </w:rPr>
        <w:t>"Clean</w:t>
      </w:r>
      <w:r>
        <w:rPr>
          <w:spacing w:val="-7"/>
          <w:sz w:val="24"/>
        </w:rPr>
        <w:t xml:space="preserve"> </w:t>
      </w:r>
      <w:r>
        <w:rPr>
          <w:sz w:val="24"/>
        </w:rPr>
        <w:t>Skin",</w:t>
      </w:r>
      <w:r>
        <w:rPr>
          <w:spacing w:val="-6"/>
          <w:sz w:val="24"/>
        </w:rPr>
        <w:t xml:space="preserve"> </w:t>
      </w:r>
      <w:r>
        <w:rPr>
          <w:sz w:val="24"/>
        </w:rPr>
        <w:t>but</w:t>
      </w:r>
      <w:r>
        <w:rPr>
          <w:spacing w:val="-6"/>
          <w:sz w:val="24"/>
        </w:rPr>
        <w:t xml:space="preserve"> </w:t>
      </w:r>
      <w:r>
        <w:rPr>
          <w:sz w:val="24"/>
        </w:rPr>
        <w:t>the</w:t>
      </w:r>
      <w:r>
        <w:rPr>
          <w:spacing w:val="-6"/>
          <w:sz w:val="24"/>
        </w:rPr>
        <w:t xml:space="preserve"> </w:t>
      </w:r>
      <w:r>
        <w:rPr>
          <w:sz w:val="24"/>
        </w:rPr>
        <w:t>data</w:t>
      </w:r>
      <w:r>
        <w:rPr>
          <w:spacing w:val="-6"/>
          <w:sz w:val="24"/>
        </w:rPr>
        <w:t xml:space="preserve"> </w:t>
      </w:r>
      <w:r>
        <w:rPr>
          <w:sz w:val="24"/>
        </w:rPr>
        <w:t>for</w:t>
      </w:r>
      <w:r>
        <w:rPr>
          <w:spacing w:val="-6"/>
          <w:sz w:val="24"/>
        </w:rPr>
        <w:t xml:space="preserve"> </w:t>
      </w:r>
      <w:r>
        <w:rPr>
          <w:sz w:val="24"/>
        </w:rPr>
        <w:t>"Clean</w:t>
      </w:r>
      <w:r>
        <w:rPr>
          <w:spacing w:val="-7"/>
          <w:sz w:val="24"/>
        </w:rPr>
        <w:t xml:space="preserve"> </w:t>
      </w:r>
      <w:r>
        <w:rPr>
          <w:sz w:val="24"/>
        </w:rPr>
        <w:t>Skin" were not given in "Form</w:t>
      </w:r>
      <w:r>
        <w:rPr>
          <w:spacing w:val="-1"/>
          <w:sz w:val="24"/>
        </w:rPr>
        <w:t xml:space="preserve"> </w:t>
      </w:r>
      <w:r>
        <w:rPr>
          <w:sz w:val="24"/>
        </w:rPr>
        <w:t>6‐1‐2 Production</w:t>
      </w:r>
      <w:r>
        <w:rPr>
          <w:spacing w:val="-1"/>
          <w:sz w:val="24"/>
        </w:rPr>
        <w:t xml:space="preserve"> </w:t>
      </w:r>
      <w:r>
        <w:rPr>
          <w:sz w:val="24"/>
        </w:rPr>
        <w:t>Cost Sheet for Raw Materials";</w:t>
      </w:r>
      <w:r>
        <w:rPr>
          <w:sz w:val="24"/>
          <w:vertAlign w:val="superscript"/>
        </w:rPr>
        <w:t>346</w:t>
      </w:r>
    </w:p>
    <w:p w14:paraId="51DE876C" w14:textId="77777777" w:rsidR="0010369C" w:rsidRDefault="008E43AE">
      <w:pPr>
        <w:pStyle w:val="ListParagraph"/>
        <w:numPr>
          <w:ilvl w:val="2"/>
          <w:numId w:val="68"/>
        </w:numPr>
        <w:tabs>
          <w:tab w:val="left" w:pos="1940"/>
          <w:tab w:val="left" w:pos="1941"/>
        </w:tabs>
        <w:spacing w:before="135"/>
        <w:ind w:left="1940" w:hanging="852"/>
        <w:rPr>
          <w:sz w:val="24"/>
        </w:rPr>
      </w:pPr>
      <w:r>
        <w:rPr>
          <w:sz w:val="24"/>
        </w:rPr>
        <w:t>"the</w:t>
      </w:r>
      <w:r>
        <w:rPr>
          <w:spacing w:val="-8"/>
          <w:sz w:val="24"/>
        </w:rPr>
        <w:t xml:space="preserve"> </w:t>
      </w:r>
      <w:r>
        <w:rPr>
          <w:sz w:val="24"/>
        </w:rPr>
        <w:t>origin</w:t>
      </w:r>
      <w:r>
        <w:rPr>
          <w:spacing w:val="-7"/>
          <w:sz w:val="24"/>
        </w:rPr>
        <w:t xml:space="preserve"> </w:t>
      </w:r>
      <w:r>
        <w:rPr>
          <w:sz w:val="24"/>
        </w:rPr>
        <w:t>and</w:t>
      </w:r>
      <w:r>
        <w:rPr>
          <w:spacing w:val="-9"/>
          <w:sz w:val="24"/>
        </w:rPr>
        <w:t xml:space="preserve"> </w:t>
      </w:r>
      <w:r>
        <w:rPr>
          <w:sz w:val="24"/>
        </w:rPr>
        <w:t>costs</w:t>
      </w:r>
      <w:r>
        <w:rPr>
          <w:spacing w:val="-8"/>
          <w:sz w:val="24"/>
        </w:rPr>
        <w:t xml:space="preserve"> </w:t>
      </w:r>
      <w:r>
        <w:rPr>
          <w:sz w:val="24"/>
        </w:rPr>
        <w:t>for</w:t>
      </w:r>
      <w:r>
        <w:rPr>
          <w:spacing w:val="-9"/>
          <w:sz w:val="24"/>
        </w:rPr>
        <w:t xml:space="preserve"> </w:t>
      </w:r>
      <w:r>
        <w:rPr>
          <w:sz w:val="24"/>
        </w:rPr>
        <w:t>"Clean</w:t>
      </w:r>
      <w:r>
        <w:rPr>
          <w:spacing w:val="-8"/>
          <w:sz w:val="24"/>
        </w:rPr>
        <w:t xml:space="preserve"> </w:t>
      </w:r>
      <w:r>
        <w:rPr>
          <w:sz w:val="24"/>
        </w:rPr>
        <w:t>Skin"</w:t>
      </w:r>
      <w:r>
        <w:rPr>
          <w:spacing w:val="-9"/>
          <w:sz w:val="24"/>
        </w:rPr>
        <w:t xml:space="preserve"> </w:t>
      </w:r>
      <w:r>
        <w:rPr>
          <w:sz w:val="24"/>
        </w:rPr>
        <w:t>were</w:t>
      </w:r>
      <w:r>
        <w:rPr>
          <w:spacing w:val="-8"/>
          <w:sz w:val="24"/>
        </w:rPr>
        <w:t xml:space="preserve"> </w:t>
      </w:r>
      <w:r>
        <w:rPr>
          <w:sz w:val="24"/>
        </w:rPr>
        <w:t>also</w:t>
      </w:r>
      <w:r>
        <w:rPr>
          <w:spacing w:val="-7"/>
          <w:sz w:val="24"/>
        </w:rPr>
        <w:t xml:space="preserve"> </w:t>
      </w:r>
      <w:r>
        <w:rPr>
          <w:sz w:val="24"/>
        </w:rPr>
        <w:t>not</w:t>
      </w:r>
      <w:r>
        <w:rPr>
          <w:spacing w:val="-8"/>
          <w:sz w:val="24"/>
        </w:rPr>
        <w:t xml:space="preserve"> </w:t>
      </w:r>
      <w:r>
        <w:rPr>
          <w:sz w:val="24"/>
        </w:rPr>
        <w:t>provided";</w:t>
      </w:r>
      <w:r>
        <w:rPr>
          <w:sz w:val="24"/>
          <w:vertAlign w:val="superscript"/>
        </w:rPr>
        <w:t>347</w:t>
      </w:r>
      <w:r>
        <w:rPr>
          <w:spacing w:val="-8"/>
          <w:sz w:val="24"/>
        </w:rPr>
        <w:t xml:space="preserve"> </w:t>
      </w:r>
      <w:r>
        <w:rPr>
          <w:spacing w:val="-5"/>
          <w:sz w:val="24"/>
        </w:rPr>
        <w:t>and</w:t>
      </w:r>
    </w:p>
    <w:p w14:paraId="51DE876D" w14:textId="77777777" w:rsidR="0010369C" w:rsidRDefault="008E43AE">
      <w:pPr>
        <w:pStyle w:val="ListParagraph"/>
        <w:numPr>
          <w:ilvl w:val="2"/>
          <w:numId w:val="68"/>
        </w:numPr>
        <w:tabs>
          <w:tab w:val="left" w:pos="1940"/>
          <w:tab w:val="left" w:pos="1941"/>
        </w:tabs>
        <w:spacing w:before="267" w:line="355" w:lineRule="auto"/>
        <w:ind w:right="615"/>
        <w:rPr>
          <w:sz w:val="24"/>
        </w:rPr>
      </w:pPr>
      <w:r>
        <w:rPr>
          <w:sz w:val="24"/>
        </w:rPr>
        <w:t>"the Company also did not fill in relevant data or give explanations in the Production Cost Sheet for Raw Materials or Purchase Details".</w:t>
      </w:r>
      <w:r>
        <w:rPr>
          <w:sz w:val="24"/>
          <w:vertAlign w:val="superscript"/>
        </w:rPr>
        <w:t>348</w:t>
      </w:r>
    </w:p>
    <w:p w14:paraId="51DE876E" w14:textId="77777777" w:rsidR="0010369C" w:rsidRDefault="008E43AE">
      <w:pPr>
        <w:pStyle w:val="BodyText"/>
        <w:spacing w:before="131" w:line="360" w:lineRule="auto"/>
        <w:ind w:left="237" w:right="611" w:firstLine="851"/>
      </w:pPr>
      <w:r>
        <w:rPr>
          <w:noProof/>
        </w:rPr>
        <w:drawing>
          <wp:anchor distT="0" distB="0" distL="0" distR="0" simplePos="0" relativeHeight="250970624" behindDoc="1" locked="0" layoutInCell="1" allowOverlap="1" wp14:anchorId="51DEA1C5" wp14:editId="51DEA1C6">
            <wp:simplePos x="0" y="0"/>
            <wp:positionH relativeFrom="page">
              <wp:posOffset>905255</wp:posOffset>
            </wp:positionH>
            <wp:positionV relativeFrom="paragraph">
              <wp:posOffset>132114</wp:posOffset>
            </wp:positionV>
            <wp:extent cx="259079" cy="100753"/>
            <wp:effectExtent l="0" t="0" r="0" b="0"/>
            <wp:wrapNone/>
            <wp:docPr id="635" name="image3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 name="image326.png"/>
                    <pic:cNvPicPr/>
                  </pic:nvPicPr>
                  <pic:blipFill>
                    <a:blip r:embed="rId442" cstate="print"/>
                    <a:stretch>
                      <a:fillRect/>
                    </a:stretch>
                  </pic:blipFill>
                  <pic:spPr>
                    <a:xfrm>
                      <a:off x="0" y="0"/>
                      <a:ext cx="259079" cy="100753"/>
                    </a:xfrm>
                    <a:prstGeom prst="rect">
                      <a:avLst/>
                    </a:prstGeom>
                  </pic:spPr>
                </pic:pic>
              </a:graphicData>
            </a:graphic>
          </wp:anchor>
        </w:drawing>
      </w:r>
      <w:r>
        <w:t>As foreshadowed above,</w:t>
      </w:r>
      <w:r>
        <w:rPr>
          <w:vertAlign w:val="superscript"/>
        </w:rPr>
        <w:t>349</w:t>
      </w:r>
      <w:r>
        <w:t xml:space="preserve"> the information requested by MOFCOM in Form 6‐1‐2</w:t>
      </w:r>
      <w:r>
        <w:rPr>
          <w:spacing w:val="40"/>
        </w:rPr>
        <w:t xml:space="preserve"> </w:t>
      </w:r>
      <w:r>
        <w:t>relates</w:t>
      </w:r>
      <w:r>
        <w:rPr>
          <w:spacing w:val="28"/>
        </w:rPr>
        <w:t xml:space="preserve"> </w:t>
      </w:r>
      <w:r>
        <w:t>to</w:t>
      </w:r>
      <w:r>
        <w:rPr>
          <w:spacing w:val="31"/>
        </w:rPr>
        <w:t xml:space="preserve"> </w:t>
      </w:r>
      <w:r>
        <w:t>the</w:t>
      </w:r>
      <w:r>
        <w:rPr>
          <w:spacing w:val="30"/>
        </w:rPr>
        <w:t xml:space="preserve"> </w:t>
      </w:r>
      <w:r>
        <w:t>production</w:t>
      </w:r>
      <w:r>
        <w:rPr>
          <w:spacing w:val="30"/>
        </w:rPr>
        <w:t xml:space="preserve"> </w:t>
      </w:r>
      <w:r>
        <w:t>costs</w:t>
      </w:r>
      <w:r>
        <w:rPr>
          <w:spacing w:val="29"/>
        </w:rPr>
        <w:t xml:space="preserve"> </w:t>
      </w:r>
      <w:r>
        <w:t>of</w:t>
      </w:r>
      <w:r>
        <w:rPr>
          <w:spacing w:val="30"/>
        </w:rPr>
        <w:t xml:space="preserve"> </w:t>
      </w:r>
      <w:r>
        <w:t>raw</w:t>
      </w:r>
      <w:r>
        <w:rPr>
          <w:spacing w:val="29"/>
        </w:rPr>
        <w:t xml:space="preserve"> </w:t>
      </w:r>
      <w:r>
        <w:t>materials</w:t>
      </w:r>
      <w:r>
        <w:rPr>
          <w:spacing w:val="30"/>
        </w:rPr>
        <w:t xml:space="preserve"> </w:t>
      </w:r>
      <w:r>
        <w:t>used</w:t>
      </w:r>
      <w:r>
        <w:rPr>
          <w:spacing w:val="30"/>
        </w:rPr>
        <w:t xml:space="preserve"> </w:t>
      </w:r>
      <w:r>
        <w:t>in</w:t>
      </w:r>
      <w:r>
        <w:rPr>
          <w:spacing w:val="29"/>
        </w:rPr>
        <w:t xml:space="preserve"> </w:t>
      </w:r>
      <w:r>
        <w:t>the</w:t>
      </w:r>
      <w:r>
        <w:rPr>
          <w:spacing w:val="31"/>
        </w:rPr>
        <w:t xml:space="preserve"> </w:t>
      </w:r>
      <w:r>
        <w:t>product</w:t>
      </w:r>
      <w:r>
        <w:rPr>
          <w:spacing w:val="30"/>
        </w:rPr>
        <w:t xml:space="preserve"> </w:t>
      </w:r>
      <w:r>
        <w:t>under</w:t>
      </w:r>
      <w:r>
        <w:rPr>
          <w:spacing w:val="31"/>
        </w:rPr>
        <w:t xml:space="preserve"> </w:t>
      </w:r>
      <w:r>
        <w:rPr>
          <w:spacing w:val="-2"/>
        </w:rPr>
        <w:t>investigation.</w:t>
      </w:r>
    </w:p>
    <w:p w14:paraId="51DE876F" w14:textId="77777777" w:rsidR="0010369C" w:rsidRDefault="008E43AE">
      <w:pPr>
        <w:pStyle w:val="BodyText"/>
        <w:spacing w:before="12"/>
      </w:pPr>
      <w:r>
        <w:pict w14:anchorId="51DEA1C7">
          <v:rect id="docshape741" o:spid="_x0000_s1547" style="position:absolute;margin-left:70.9pt;margin-top:16.45pt;width:2in;height:.8pt;z-index:-250944000;mso-wrap-distance-left:0;mso-wrap-distance-right:0;mso-position-horizontal-relative:page" fillcolor="black" stroked="f">
            <w10:wrap type="topAndBottom" anchorx="page"/>
          </v:rect>
        </w:pict>
      </w:r>
    </w:p>
    <w:p w14:paraId="51DE8770" w14:textId="77777777" w:rsidR="0010369C" w:rsidRDefault="0010369C">
      <w:pPr>
        <w:pStyle w:val="BodyText"/>
        <w:spacing w:before="8"/>
        <w:rPr>
          <w:sz w:val="5"/>
        </w:rPr>
      </w:pPr>
    </w:p>
    <w:p w14:paraId="51DE8771" w14:textId="77777777" w:rsidR="0010369C" w:rsidRDefault="0010369C">
      <w:pPr>
        <w:rPr>
          <w:sz w:val="5"/>
        </w:rPr>
        <w:sectPr w:rsidR="0010369C">
          <w:pgSz w:w="11910" w:h="16840"/>
          <w:pgMar w:top="880" w:right="800" w:bottom="980" w:left="1180" w:header="569" w:footer="788" w:gutter="0"/>
          <w:cols w:space="720"/>
        </w:sectPr>
      </w:pPr>
    </w:p>
    <w:p w14:paraId="51DE8772" w14:textId="77777777" w:rsidR="0010369C" w:rsidRDefault="008E43AE">
      <w:pPr>
        <w:spacing w:before="37"/>
        <w:ind w:left="238"/>
        <w:jc w:val="both"/>
        <w:rPr>
          <w:sz w:val="18"/>
        </w:rPr>
      </w:pPr>
      <w:r>
        <w:pict w14:anchorId="51DEA1C8">
          <v:rect id="docshape742" o:spid="_x0000_s1546" style="position:absolute;left:0;text-align:left;margin-left:86.65pt;margin-top:2.35pt;width:319.05pt;height:12.05pt;z-index:251832832;mso-position-horizontal-relative:page" fillcolor="black" stroked="f">
            <w10:wrap anchorx="page"/>
          </v:rect>
        </w:pict>
      </w:r>
      <w:r>
        <w:rPr>
          <w:sz w:val="12"/>
        </w:rPr>
        <w:t>345</w:t>
      </w:r>
      <w:r>
        <w:rPr>
          <w:spacing w:val="11"/>
          <w:sz w:val="12"/>
        </w:rPr>
        <w:t xml:space="preserve"> </w:t>
      </w:r>
      <w:r>
        <w:rPr>
          <w:spacing w:val="-10"/>
          <w:position w:val="-5"/>
          <w:sz w:val="18"/>
        </w:rPr>
        <w:t>[</w:t>
      </w:r>
    </w:p>
    <w:p w14:paraId="51DE8773" w14:textId="77777777" w:rsidR="0010369C" w:rsidRDefault="008E43AE">
      <w:pPr>
        <w:spacing w:before="1"/>
        <w:ind w:left="238" w:right="38"/>
        <w:jc w:val="both"/>
        <w:rPr>
          <w:sz w:val="18"/>
        </w:rPr>
      </w:pPr>
      <w:r>
        <w:rPr>
          <w:sz w:val="18"/>
          <w:vertAlign w:val="superscript"/>
        </w:rPr>
        <w:t>346</w:t>
      </w:r>
      <w:r>
        <w:rPr>
          <w:spacing w:val="-5"/>
          <w:sz w:val="18"/>
        </w:rPr>
        <w:t xml:space="preserve"> </w:t>
      </w:r>
      <w:r>
        <w:rPr>
          <w:sz w:val="18"/>
        </w:rPr>
        <w:t>Anti‐Dumping</w:t>
      </w:r>
      <w:r>
        <w:rPr>
          <w:spacing w:val="-5"/>
          <w:sz w:val="18"/>
        </w:rPr>
        <w:t xml:space="preserve"> </w:t>
      </w:r>
      <w:r>
        <w:rPr>
          <w:sz w:val="18"/>
        </w:rPr>
        <w:t>Final</w:t>
      </w:r>
      <w:r>
        <w:rPr>
          <w:spacing w:val="-5"/>
          <w:sz w:val="18"/>
        </w:rPr>
        <w:t xml:space="preserve"> </w:t>
      </w:r>
      <w:r>
        <w:rPr>
          <w:sz w:val="18"/>
        </w:rPr>
        <w:t>Determination</w:t>
      </w:r>
      <w:r>
        <w:rPr>
          <w:spacing w:val="-5"/>
          <w:sz w:val="18"/>
        </w:rPr>
        <w:t xml:space="preserve"> </w:t>
      </w:r>
      <w:r>
        <w:rPr>
          <w:sz w:val="18"/>
        </w:rPr>
        <w:t>(Exhibit</w:t>
      </w:r>
      <w:r>
        <w:rPr>
          <w:spacing w:val="-5"/>
          <w:sz w:val="18"/>
        </w:rPr>
        <w:t xml:space="preserve"> </w:t>
      </w:r>
      <w:r>
        <w:rPr>
          <w:sz w:val="18"/>
        </w:rPr>
        <w:t>AUS‐2),</w:t>
      </w:r>
      <w:r>
        <w:rPr>
          <w:spacing w:val="-6"/>
          <w:sz w:val="18"/>
        </w:rPr>
        <w:t xml:space="preserve"> </w:t>
      </w:r>
      <w:r>
        <w:rPr>
          <w:sz w:val="18"/>
        </w:rPr>
        <w:t>pp.</w:t>
      </w:r>
      <w:r>
        <w:rPr>
          <w:spacing w:val="-5"/>
          <w:sz w:val="18"/>
        </w:rPr>
        <w:t xml:space="preserve"> </w:t>
      </w:r>
      <w:r>
        <w:rPr>
          <w:sz w:val="18"/>
        </w:rPr>
        <w:t xml:space="preserve">82‐83. </w:t>
      </w:r>
      <w:r>
        <w:rPr>
          <w:sz w:val="18"/>
          <w:vertAlign w:val="superscript"/>
        </w:rPr>
        <w:t>347</w:t>
      </w:r>
      <w:r>
        <w:rPr>
          <w:spacing w:val="-5"/>
          <w:sz w:val="18"/>
        </w:rPr>
        <w:t xml:space="preserve"> </w:t>
      </w:r>
      <w:r>
        <w:rPr>
          <w:sz w:val="18"/>
        </w:rPr>
        <w:t>Anti‐Dumping</w:t>
      </w:r>
      <w:r>
        <w:rPr>
          <w:spacing w:val="-5"/>
          <w:sz w:val="18"/>
        </w:rPr>
        <w:t xml:space="preserve"> </w:t>
      </w:r>
      <w:r>
        <w:rPr>
          <w:sz w:val="18"/>
        </w:rPr>
        <w:t>Final</w:t>
      </w:r>
      <w:r>
        <w:rPr>
          <w:spacing w:val="-5"/>
          <w:sz w:val="18"/>
        </w:rPr>
        <w:t xml:space="preserve"> </w:t>
      </w:r>
      <w:r>
        <w:rPr>
          <w:sz w:val="18"/>
        </w:rPr>
        <w:t>Determination</w:t>
      </w:r>
      <w:r>
        <w:rPr>
          <w:spacing w:val="-5"/>
          <w:sz w:val="18"/>
        </w:rPr>
        <w:t xml:space="preserve"> </w:t>
      </w:r>
      <w:r>
        <w:rPr>
          <w:sz w:val="18"/>
        </w:rPr>
        <w:t>(Exhibit</w:t>
      </w:r>
      <w:r>
        <w:rPr>
          <w:spacing w:val="-5"/>
          <w:sz w:val="18"/>
        </w:rPr>
        <w:t xml:space="preserve"> </w:t>
      </w:r>
      <w:r>
        <w:rPr>
          <w:sz w:val="18"/>
        </w:rPr>
        <w:t>AUS‐2),</w:t>
      </w:r>
      <w:r>
        <w:rPr>
          <w:spacing w:val="-6"/>
          <w:sz w:val="18"/>
        </w:rPr>
        <w:t xml:space="preserve"> </w:t>
      </w:r>
      <w:r>
        <w:rPr>
          <w:sz w:val="18"/>
        </w:rPr>
        <w:t>pp.</w:t>
      </w:r>
      <w:r>
        <w:rPr>
          <w:spacing w:val="-5"/>
          <w:sz w:val="18"/>
        </w:rPr>
        <w:t xml:space="preserve"> </w:t>
      </w:r>
      <w:r>
        <w:rPr>
          <w:sz w:val="18"/>
        </w:rPr>
        <w:t xml:space="preserve">82‐83. </w:t>
      </w:r>
      <w:r>
        <w:rPr>
          <w:sz w:val="18"/>
          <w:vertAlign w:val="superscript"/>
        </w:rPr>
        <w:t>348</w:t>
      </w:r>
      <w:r>
        <w:rPr>
          <w:sz w:val="18"/>
        </w:rPr>
        <w:t xml:space="preserve"> Anti‐Dumping Final Determination (Exhibit AUS‐2), p. 83.</w:t>
      </w:r>
    </w:p>
    <w:p w14:paraId="51DE8774" w14:textId="77777777" w:rsidR="0010369C" w:rsidRDefault="008E43AE">
      <w:pPr>
        <w:spacing w:line="219" w:lineRule="exact"/>
        <w:ind w:left="238"/>
        <w:jc w:val="both"/>
        <w:rPr>
          <w:sz w:val="18"/>
        </w:rPr>
      </w:pPr>
      <w:r>
        <w:rPr>
          <w:sz w:val="18"/>
          <w:vertAlign w:val="superscript"/>
        </w:rPr>
        <w:t>349</w:t>
      </w:r>
      <w:r>
        <w:rPr>
          <w:spacing w:val="-6"/>
          <w:sz w:val="18"/>
        </w:rPr>
        <w:t xml:space="preserve"> </w:t>
      </w:r>
      <w:r>
        <w:rPr>
          <w:sz w:val="18"/>
        </w:rPr>
        <w:t>See</w:t>
      </w:r>
      <w:r>
        <w:rPr>
          <w:spacing w:val="-5"/>
          <w:sz w:val="18"/>
        </w:rPr>
        <w:t xml:space="preserve"> </w:t>
      </w:r>
      <w:r>
        <w:rPr>
          <w:sz w:val="18"/>
        </w:rPr>
        <w:t>above,</w:t>
      </w:r>
      <w:r>
        <w:rPr>
          <w:spacing w:val="-6"/>
          <w:sz w:val="18"/>
        </w:rPr>
        <w:t xml:space="preserve"> </w:t>
      </w:r>
      <w:r>
        <w:rPr>
          <w:sz w:val="18"/>
        </w:rPr>
        <w:t>section</w:t>
      </w:r>
      <w:r>
        <w:rPr>
          <w:spacing w:val="-5"/>
          <w:sz w:val="18"/>
        </w:rPr>
        <w:t xml:space="preserve"> </w:t>
      </w:r>
      <w:r>
        <w:rPr>
          <w:spacing w:val="-2"/>
          <w:sz w:val="18"/>
        </w:rPr>
        <w:t>II.E.2(a).</w:t>
      </w:r>
    </w:p>
    <w:p w14:paraId="51DE8775" w14:textId="77777777" w:rsidR="0010369C" w:rsidRDefault="008E43AE">
      <w:pPr>
        <w:spacing w:before="40"/>
        <w:ind w:left="238"/>
        <w:rPr>
          <w:sz w:val="18"/>
        </w:rPr>
      </w:pPr>
      <w:r>
        <w:br w:type="column"/>
      </w:r>
      <w:r>
        <w:rPr>
          <w:color w:val="5E5E5E"/>
          <w:sz w:val="18"/>
        </w:rPr>
        <w:t>(Exhibit</w:t>
      </w:r>
      <w:r>
        <w:rPr>
          <w:color w:val="5E5E5E"/>
          <w:spacing w:val="-10"/>
          <w:sz w:val="18"/>
        </w:rPr>
        <w:t xml:space="preserve"> </w:t>
      </w:r>
      <w:r>
        <w:rPr>
          <w:color w:val="5E5E5E"/>
          <w:sz w:val="18"/>
        </w:rPr>
        <w:t>AUS‐31</w:t>
      </w:r>
      <w:r>
        <w:rPr>
          <w:color w:val="5E5E5E"/>
          <w:spacing w:val="-9"/>
          <w:sz w:val="18"/>
        </w:rPr>
        <w:t xml:space="preserve"> </w:t>
      </w:r>
      <w:r>
        <w:rPr>
          <w:color w:val="5E5E5E"/>
          <w:spacing w:val="-2"/>
          <w:sz w:val="18"/>
        </w:rPr>
        <w:t>(BCI)).</w:t>
      </w:r>
      <w:r>
        <w:rPr>
          <w:spacing w:val="-2"/>
          <w:sz w:val="18"/>
        </w:rPr>
        <w:t>]]</w:t>
      </w:r>
    </w:p>
    <w:p w14:paraId="51DE8776" w14:textId="77777777" w:rsidR="0010369C" w:rsidRDefault="0010369C">
      <w:pPr>
        <w:rPr>
          <w:sz w:val="18"/>
        </w:rPr>
        <w:sectPr w:rsidR="0010369C">
          <w:type w:val="continuous"/>
          <w:pgSz w:w="11910" w:h="16840"/>
          <w:pgMar w:top="1460" w:right="800" w:bottom="280" w:left="1180" w:header="569" w:footer="788" w:gutter="0"/>
          <w:cols w:num="2" w:space="720" w:equalWidth="0">
            <w:col w:w="4985" w:space="1772"/>
            <w:col w:w="3173"/>
          </w:cols>
        </w:sectPr>
      </w:pPr>
    </w:p>
    <w:p w14:paraId="51DE8777" w14:textId="77777777" w:rsidR="0010369C" w:rsidRDefault="008E43AE">
      <w:pPr>
        <w:pStyle w:val="BodyText"/>
        <w:spacing w:line="20" w:lineRule="exact"/>
        <w:ind w:left="104"/>
        <w:rPr>
          <w:sz w:val="2"/>
        </w:rPr>
      </w:pPr>
      <w:r>
        <w:rPr>
          <w:sz w:val="2"/>
        </w:rPr>
      </w:r>
      <w:r>
        <w:rPr>
          <w:sz w:val="2"/>
        </w:rPr>
        <w:pict w14:anchorId="51DEA1CA">
          <v:group id="docshapegroup744" o:spid="_x0000_s1544" style="width:464.6pt;height:1.05pt;mso-position-horizontal-relative:char;mso-position-vertical-relative:line" coordsize="9292,21">
            <v:line id="_x0000_s1545" style="position:absolute" from="0,10" to="9291,10" strokeweight=".35361mm"/>
            <w10:anchorlock/>
          </v:group>
        </w:pict>
      </w:r>
    </w:p>
    <w:p w14:paraId="51DE8778" w14:textId="77777777" w:rsidR="0010369C" w:rsidRDefault="008E43AE">
      <w:pPr>
        <w:spacing w:before="63"/>
        <w:ind w:right="350"/>
        <w:jc w:val="center"/>
        <w:rPr>
          <w:rFonts w:ascii="Arial"/>
          <w:sz w:val="19"/>
        </w:rPr>
      </w:pPr>
      <w:r>
        <w:pict w14:anchorId="51DEA1CB">
          <v:line id="_x0000_s1543" style="position:absolute;left:0;text-align:left;z-index:251833856;mso-position-horizontal-relative:page" from="64.2pt,16.05pt" to="528.75pt,16.05pt" strokeweight=".35361mm">
            <w10:wrap anchorx="page"/>
          </v:line>
        </w:pict>
      </w:r>
      <w:r>
        <w:rPr>
          <w:rFonts w:ascii="Arial"/>
          <w:color w:val="1C1C1C"/>
          <w:sz w:val="19"/>
        </w:rPr>
        <w:t>Business</w:t>
      </w:r>
      <w:r>
        <w:rPr>
          <w:rFonts w:ascii="Arial"/>
          <w:color w:val="1C1C1C"/>
          <w:spacing w:val="45"/>
          <w:sz w:val="19"/>
        </w:rPr>
        <w:t xml:space="preserve"> </w:t>
      </w:r>
      <w:r>
        <w:rPr>
          <w:rFonts w:ascii="Arial"/>
          <w:color w:val="1C1C1C"/>
          <w:sz w:val="19"/>
        </w:rPr>
        <w:t>Confidential</w:t>
      </w:r>
      <w:r>
        <w:rPr>
          <w:rFonts w:ascii="Arial"/>
          <w:color w:val="1C1C1C"/>
          <w:spacing w:val="38"/>
          <w:sz w:val="19"/>
        </w:rPr>
        <w:t xml:space="preserve"> </w:t>
      </w:r>
      <w:r>
        <w:rPr>
          <w:rFonts w:ascii="Arial"/>
          <w:color w:val="1C1C1C"/>
          <w:sz w:val="19"/>
        </w:rPr>
        <w:t>Information</w:t>
      </w:r>
      <w:r>
        <w:rPr>
          <w:rFonts w:ascii="Arial"/>
          <w:color w:val="1C1C1C"/>
          <w:spacing w:val="39"/>
          <w:sz w:val="19"/>
        </w:rPr>
        <w:t xml:space="preserve"> </w:t>
      </w:r>
      <w:r>
        <w:rPr>
          <w:rFonts w:ascii="Arial"/>
          <w:color w:val="1C1C1C"/>
          <w:sz w:val="19"/>
        </w:rPr>
        <w:t>-</w:t>
      </w:r>
      <w:r>
        <w:rPr>
          <w:rFonts w:ascii="Arial"/>
          <w:color w:val="1C1C1C"/>
          <w:spacing w:val="40"/>
          <w:sz w:val="19"/>
        </w:rPr>
        <w:t xml:space="preserve"> </w:t>
      </w:r>
      <w:r>
        <w:rPr>
          <w:rFonts w:ascii="Arial"/>
          <w:color w:val="1C1C1C"/>
          <w:spacing w:val="-2"/>
          <w:sz w:val="19"/>
        </w:rPr>
        <w:t>REDACTED</w:t>
      </w:r>
    </w:p>
    <w:p w14:paraId="51DE8779" w14:textId="77777777" w:rsidR="0010369C" w:rsidRDefault="0010369C">
      <w:pPr>
        <w:jc w:val="center"/>
        <w:rPr>
          <w:rFonts w:ascii="Arial"/>
          <w:sz w:val="19"/>
        </w:rPr>
        <w:sectPr w:rsidR="0010369C">
          <w:headerReference w:type="default" r:id="rId443"/>
          <w:footerReference w:type="default" r:id="rId444"/>
          <w:pgSz w:w="11910" w:h="16840"/>
          <w:pgMar w:top="480" w:right="800" w:bottom="1020" w:left="1180" w:header="0" w:footer="821" w:gutter="0"/>
          <w:cols w:space="720"/>
        </w:sectPr>
      </w:pPr>
    </w:p>
    <w:p w14:paraId="51DE877A" w14:textId="77777777" w:rsidR="0010369C" w:rsidRDefault="008E43AE">
      <w:pPr>
        <w:spacing w:before="72" w:line="290" w:lineRule="auto"/>
        <w:ind w:left="235" w:hanging="8"/>
        <w:rPr>
          <w:rFonts w:ascii="Arial"/>
          <w:sz w:val="18"/>
        </w:rPr>
      </w:pPr>
      <w:r>
        <w:rPr>
          <w:rFonts w:ascii="Arial"/>
          <w:i/>
          <w:color w:val="1C1C1C"/>
          <w:spacing w:val="-2"/>
          <w:w w:val="105"/>
          <w:sz w:val="18"/>
        </w:rPr>
        <w:t>China</w:t>
      </w:r>
      <w:r>
        <w:rPr>
          <w:rFonts w:ascii="Arial"/>
          <w:i/>
          <w:color w:val="1C1C1C"/>
          <w:spacing w:val="-17"/>
          <w:w w:val="105"/>
          <w:sz w:val="18"/>
        </w:rPr>
        <w:t xml:space="preserve"> </w:t>
      </w:r>
      <w:r>
        <w:rPr>
          <w:rFonts w:ascii="Arial"/>
          <w:color w:val="1C1C1C"/>
          <w:spacing w:val="-2"/>
          <w:w w:val="105"/>
          <w:sz w:val="18"/>
        </w:rPr>
        <w:t>-</w:t>
      </w:r>
      <w:r>
        <w:rPr>
          <w:rFonts w:ascii="Arial"/>
          <w:color w:val="1C1C1C"/>
          <w:spacing w:val="19"/>
          <w:w w:val="105"/>
          <w:sz w:val="18"/>
        </w:rPr>
        <w:t xml:space="preserve"> </w:t>
      </w:r>
      <w:r>
        <w:rPr>
          <w:rFonts w:ascii="Arial"/>
          <w:i/>
          <w:color w:val="1C1C1C"/>
          <w:spacing w:val="-2"/>
          <w:w w:val="105"/>
          <w:sz w:val="18"/>
        </w:rPr>
        <w:t>Anti-Dumping</w:t>
      </w:r>
      <w:r>
        <w:rPr>
          <w:rFonts w:ascii="Arial"/>
          <w:i/>
          <w:color w:val="1C1C1C"/>
          <w:spacing w:val="-9"/>
          <w:w w:val="105"/>
          <w:sz w:val="18"/>
        </w:rPr>
        <w:t xml:space="preserve"> </w:t>
      </w:r>
      <w:r>
        <w:rPr>
          <w:rFonts w:ascii="Arial"/>
          <w:i/>
          <w:color w:val="1C1C1C"/>
          <w:spacing w:val="-2"/>
          <w:w w:val="105"/>
          <w:sz w:val="18"/>
        </w:rPr>
        <w:t>and</w:t>
      </w:r>
      <w:r>
        <w:rPr>
          <w:rFonts w:ascii="Arial"/>
          <w:i/>
          <w:color w:val="1C1C1C"/>
          <w:spacing w:val="-26"/>
          <w:w w:val="105"/>
          <w:sz w:val="18"/>
        </w:rPr>
        <w:t xml:space="preserve"> </w:t>
      </w:r>
      <w:r>
        <w:rPr>
          <w:rFonts w:ascii="Arial"/>
          <w:i/>
          <w:color w:val="1C1C1C"/>
          <w:spacing w:val="-2"/>
          <w:w w:val="105"/>
          <w:sz w:val="18"/>
        </w:rPr>
        <w:t>Countervailing</w:t>
      </w:r>
      <w:r>
        <w:rPr>
          <w:rFonts w:ascii="Arial"/>
          <w:i/>
          <w:color w:val="1C1C1C"/>
          <w:spacing w:val="-11"/>
          <w:w w:val="105"/>
          <w:sz w:val="18"/>
        </w:rPr>
        <w:t xml:space="preserve"> </w:t>
      </w:r>
      <w:r>
        <w:rPr>
          <w:rFonts w:ascii="Arial"/>
          <w:i/>
          <w:color w:val="1C1C1C"/>
          <w:spacing w:val="-2"/>
          <w:w w:val="105"/>
          <w:sz w:val="18"/>
        </w:rPr>
        <w:t>Duty</w:t>
      </w:r>
      <w:r>
        <w:rPr>
          <w:rFonts w:ascii="Arial"/>
          <w:i/>
          <w:color w:val="1C1C1C"/>
          <w:spacing w:val="-16"/>
          <w:w w:val="105"/>
          <w:sz w:val="18"/>
        </w:rPr>
        <w:t xml:space="preserve"> </w:t>
      </w:r>
      <w:r>
        <w:rPr>
          <w:rFonts w:ascii="Arial"/>
          <w:i/>
          <w:color w:val="1C1C1C"/>
          <w:spacing w:val="-2"/>
          <w:w w:val="105"/>
          <w:sz w:val="18"/>
        </w:rPr>
        <w:t xml:space="preserve">Measures </w:t>
      </w:r>
      <w:r>
        <w:rPr>
          <w:rFonts w:ascii="Arial"/>
          <w:i/>
          <w:color w:val="1C1C1C"/>
          <w:w w:val="105"/>
          <w:sz w:val="18"/>
        </w:rPr>
        <w:t>on</w:t>
      </w:r>
      <w:r>
        <w:rPr>
          <w:rFonts w:ascii="Arial"/>
          <w:i/>
          <w:color w:val="1C1C1C"/>
          <w:spacing w:val="-11"/>
          <w:w w:val="105"/>
          <w:sz w:val="18"/>
        </w:rPr>
        <w:t xml:space="preserve"> </w:t>
      </w:r>
      <w:r>
        <w:rPr>
          <w:rFonts w:ascii="Arial"/>
          <w:i/>
          <w:color w:val="1C1C1C"/>
          <w:w w:val="105"/>
          <w:sz w:val="18"/>
        </w:rPr>
        <w:t xml:space="preserve">Winefrom Australia </w:t>
      </w:r>
      <w:r>
        <w:rPr>
          <w:rFonts w:ascii="Arial"/>
          <w:color w:val="1C1C1C"/>
          <w:w w:val="105"/>
          <w:sz w:val="18"/>
        </w:rPr>
        <w:t>(0S602)</w:t>
      </w:r>
    </w:p>
    <w:p w14:paraId="51DE877B" w14:textId="77777777" w:rsidR="0010369C" w:rsidRDefault="008E43AE">
      <w:pPr>
        <w:spacing w:before="72"/>
        <w:ind w:right="586"/>
        <w:jc w:val="right"/>
        <w:rPr>
          <w:rFonts w:ascii="Arial"/>
          <w:sz w:val="18"/>
        </w:rPr>
      </w:pPr>
      <w:r>
        <w:br w:type="column"/>
      </w:r>
      <w:r>
        <w:rPr>
          <w:rFonts w:ascii="Arial"/>
          <w:color w:val="1C1C1C"/>
          <w:sz w:val="18"/>
        </w:rPr>
        <w:t>Australia's</w:t>
      </w:r>
      <w:r>
        <w:rPr>
          <w:rFonts w:ascii="Arial"/>
          <w:color w:val="1C1C1C"/>
          <w:spacing w:val="22"/>
          <w:sz w:val="18"/>
        </w:rPr>
        <w:t xml:space="preserve"> </w:t>
      </w:r>
      <w:r>
        <w:rPr>
          <w:rFonts w:ascii="Arial"/>
          <w:color w:val="1C1C1C"/>
          <w:sz w:val="18"/>
        </w:rPr>
        <w:t>First</w:t>
      </w:r>
      <w:r>
        <w:rPr>
          <w:rFonts w:ascii="Arial"/>
          <w:color w:val="1C1C1C"/>
          <w:spacing w:val="18"/>
          <w:sz w:val="18"/>
        </w:rPr>
        <w:t xml:space="preserve"> </w:t>
      </w:r>
      <w:r>
        <w:rPr>
          <w:rFonts w:ascii="Arial"/>
          <w:color w:val="1C1C1C"/>
          <w:sz w:val="18"/>
        </w:rPr>
        <w:t>Written</w:t>
      </w:r>
      <w:r>
        <w:rPr>
          <w:rFonts w:ascii="Arial"/>
          <w:color w:val="1C1C1C"/>
          <w:spacing w:val="8"/>
          <w:sz w:val="18"/>
        </w:rPr>
        <w:t xml:space="preserve"> </w:t>
      </w:r>
      <w:r>
        <w:rPr>
          <w:rFonts w:ascii="Arial"/>
          <w:color w:val="1C1C1C"/>
          <w:spacing w:val="-2"/>
          <w:sz w:val="18"/>
        </w:rPr>
        <w:t>Submission</w:t>
      </w:r>
    </w:p>
    <w:p w14:paraId="51DE877C" w14:textId="77777777" w:rsidR="0010369C" w:rsidRDefault="008E43AE">
      <w:pPr>
        <w:spacing w:before="44"/>
        <w:ind w:right="573"/>
        <w:jc w:val="right"/>
        <w:rPr>
          <w:rFonts w:ascii="Arial"/>
          <w:sz w:val="18"/>
        </w:rPr>
      </w:pPr>
      <w:r>
        <w:rPr>
          <w:rFonts w:ascii="Arial"/>
          <w:color w:val="1C1C1C"/>
          <w:spacing w:val="-2"/>
          <w:w w:val="110"/>
          <w:sz w:val="18"/>
        </w:rPr>
        <w:t>29</w:t>
      </w:r>
      <w:r>
        <w:rPr>
          <w:rFonts w:ascii="Arial"/>
          <w:color w:val="1C1C1C"/>
          <w:spacing w:val="-29"/>
          <w:w w:val="110"/>
          <w:sz w:val="18"/>
        </w:rPr>
        <w:t xml:space="preserve"> </w:t>
      </w:r>
      <w:r>
        <w:rPr>
          <w:rFonts w:ascii="Arial"/>
          <w:color w:val="1C1C1C"/>
          <w:spacing w:val="-2"/>
          <w:w w:val="110"/>
          <w:sz w:val="18"/>
        </w:rPr>
        <w:t>April</w:t>
      </w:r>
      <w:r>
        <w:rPr>
          <w:rFonts w:ascii="Arial"/>
          <w:color w:val="1C1C1C"/>
          <w:spacing w:val="-10"/>
          <w:w w:val="110"/>
          <w:sz w:val="18"/>
        </w:rPr>
        <w:t xml:space="preserve"> </w:t>
      </w:r>
      <w:r>
        <w:rPr>
          <w:rFonts w:ascii="Arial"/>
          <w:color w:val="1C1C1C"/>
          <w:spacing w:val="-4"/>
          <w:w w:val="110"/>
          <w:sz w:val="18"/>
        </w:rPr>
        <w:t>2022</w:t>
      </w:r>
    </w:p>
    <w:p w14:paraId="51DE877D" w14:textId="77777777" w:rsidR="0010369C" w:rsidRDefault="0010369C">
      <w:pPr>
        <w:jc w:val="right"/>
        <w:rPr>
          <w:rFonts w:ascii="Arial"/>
          <w:sz w:val="18"/>
        </w:rPr>
        <w:sectPr w:rsidR="0010369C">
          <w:type w:val="continuous"/>
          <w:pgSz w:w="11910" w:h="16840"/>
          <w:pgMar w:top="1460" w:right="800" w:bottom="280" w:left="1180" w:header="0" w:footer="821" w:gutter="0"/>
          <w:cols w:num="2" w:space="720" w:equalWidth="0">
            <w:col w:w="4912" w:space="1306"/>
            <w:col w:w="3712"/>
          </w:cols>
        </w:sectPr>
      </w:pPr>
    </w:p>
    <w:p w14:paraId="51DE877E" w14:textId="77777777" w:rsidR="0010369C" w:rsidRDefault="0010369C">
      <w:pPr>
        <w:pStyle w:val="BodyText"/>
        <w:rPr>
          <w:rFonts w:ascii="Arial"/>
          <w:sz w:val="20"/>
        </w:rPr>
      </w:pPr>
    </w:p>
    <w:p w14:paraId="51DE877F" w14:textId="77777777" w:rsidR="0010369C" w:rsidRDefault="0010369C">
      <w:pPr>
        <w:pStyle w:val="BodyText"/>
        <w:spacing w:before="11"/>
        <w:rPr>
          <w:rFonts w:ascii="Arial"/>
          <w:sz w:val="17"/>
        </w:rPr>
      </w:pPr>
    </w:p>
    <w:p w14:paraId="51DE8780" w14:textId="77777777" w:rsidR="0010369C" w:rsidRDefault="008E43AE">
      <w:pPr>
        <w:spacing w:before="56"/>
        <w:ind w:left="161"/>
        <w:rPr>
          <w:rFonts w:ascii="Arial" w:hAnsi="Arial"/>
          <w:sz w:val="75"/>
        </w:rPr>
      </w:pPr>
      <w:r>
        <w:rPr>
          <w:noProof/>
        </w:rPr>
        <w:drawing>
          <wp:anchor distT="0" distB="0" distL="0" distR="0" simplePos="0" relativeHeight="250971648" behindDoc="1" locked="0" layoutInCell="1" allowOverlap="1" wp14:anchorId="51DEA1CC" wp14:editId="51DEA1CD">
            <wp:simplePos x="0" y="0"/>
            <wp:positionH relativeFrom="page">
              <wp:posOffset>891988</wp:posOffset>
            </wp:positionH>
            <wp:positionV relativeFrom="paragraph">
              <wp:posOffset>-258823</wp:posOffset>
            </wp:positionV>
            <wp:extent cx="5785180" cy="751079"/>
            <wp:effectExtent l="0" t="0" r="0" b="0"/>
            <wp:wrapNone/>
            <wp:docPr id="637" name="image3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 name="image327.png"/>
                    <pic:cNvPicPr/>
                  </pic:nvPicPr>
                  <pic:blipFill>
                    <a:blip r:embed="rId445" cstate="print"/>
                    <a:stretch>
                      <a:fillRect/>
                    </a:stretch>
                  </pic:blipFill>
                  <pic:spPr>
                    <a:xfrm>
                      <a:off x="0" y="0"/>
                      <a:ext cx="5785180" cy="751079"/>
                    </a:xfrm>
                    <a:prstGeom prst="rect">
                      <a:avLst/>
                    </a:prstGeom>
                  </pic:spPr>
                </pic:pic>
              </a:graphicData>
            </a:graphic>
          </wp:anchor>
        </w:drawing>
      </w:r>
      <w:r>
        <w:rPr>
          <w:noProof/>
        </w:rPr>
        <w:drawing>
          <wp:anchor distT="0" distB="0" distL="0" distR="0" simplePos="0" relativeHeight="250972672" behindDoc="1" locked="0" layoutInCell="1" allowOverlap="1" wp14:anchorId="51DEA1CE" wp14:editId="51DEA1CF">
            <wp:simplePos x="0" y="0"/>
            <wp:positionH relativeFrom="page">
              <wp:posOffset>891988</wp:posOffset>
            </wp:positionH>
            <wp:positionV relativeFrom="paragraph">
              <wp:posOffset>855065</wp:posOffset>
            </wp:positionV>
            <wp:extent cx="1643807" cy="210047"/>
            <wp:effectExtent l="0" t="0" r="0" b="0"/>
            <wp:wrapNone/>
            <wp:docPr id="639" name="image3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 name="image328.png"/>
                    <pic:cNvPicPr/>
                  </pic:nvPicPr>
                  <pic:blipFill>
                    <a:blip r:embed="rId446" cstate="print"/>
                    <a:stretch>
                      <a:fillRect/>
                    </a:stretch>
                  </pic:blipFill>
                  <pic:spPr>
                    <a:xfrm>
                      <a:off x="0" y="0"/>
                      <a:ext cx="1643807" cy="210047"/>
                    </a:xfrm>
                    <a:prstGeom prst="rect">
                      <a:avLst/>
                    </a:prstGeom>
                  </pic:spPr>
                </pic:pic>
              </a:graphicData>
            </a:graphic>
          </wp:anchor>
        </w:drawing>
      </w:r>
      <w:r>
        <w:rPr>
          <w:rFonts w:ascii="Arial" w:hAnsi="Arial"/>
          <w:b/>
          <w:color w:val="010101"/>
          <w:w w:val="155"/>
          <w:sz w:val="76"/>
        </w:rPr>
        <w:t>-</w:t>
      </w:r>
      <w:r>
        <w:rPr>
          <w:rFonts w:ascii="Arial" w:hAnsi="Arial"/>
          <w:color w:val="010101"/>
          <w:w w:val="155"/>
          <w:sz w:val="76"/>
        </w:rPr>
        <w:t>■</w:t>
      </w:r>
      <w:r>
        <w:rPr>
          <w:rFonts w:ascii="Arial" w:hAnsi="Arial"/>
          <w:b/>
          <w:color w:val="010101"/>
          <w:w w:val="155"/>
          <w:sz w:val="76"/>
        </w:rPr>
        <w:t>-</w:t>
      </w:r>
      <w:r>
        <w:rPr>
          <w:rFonts w:ascii="Arial" w:hAnsi="Arial"/>
          <w:color w:val="010101"/>
          <w:w w:val="155"/>
          <w:sz w:val="75"/>
        </w:rPr>
        <w:t>■</w:t>
      </w:r>
      <w:r>
        <w:rPr>
          <w:rFonts w:ascii="Arial" w:hAnsi="Arial"/>
          <w:b/>
          <w:color w:val="010101"/>
          <w:w w:val="155"/>
          <w:sz w:val="144"/>
        </w:rPr>
        <w:t>---•-</w:t>
      </w:r>
      <w:r>
        <w:rPr>
          <w:rFonts w:ascii="Arial" w:hAnsi="Arial"/>
          <w:b/>
          <w:color w:val="010101"/>
          <w:spacing w:val="-5"/>
          <w:w w:val="155"/>
          <w:sz w:val="144"/>
        </w:rPr>
        <w:t>11</w:t>
      </w:r>
      <w:r>
        <w:rPr>
          <w:rFonts w:ascii="Arial" w:hAnsi="Arial"/>
          <w:color w:val="010101"/>
          <w:spacing w:val="-5"/>
          <w:w w:val="155"/>
          <w:sz w:val="75"/>
        </w:rPr>
        <w:t>■</w:t>
      </w:r>
    </w:p>
    <w:p w14:paraId="51DE8781" w14:textId="77777777" w:rsidR="0010369C" w:rsidRDefault="008E43AE">
      <w:pPr>
        <w:pStyle w:val="BodyText"/>
        <w:spacing w:before="5"/>
        <w:rPr>
          <w:rFonts w:ascii="Arial"/>
          <w:sz w:val="18"/>
        </w:rPr>
      </w:pPr>
      <w:r>
        <w:rPr>
          <w:noProof/>
        </w:rPr>
        <w:drawing>
          <wp:anchor distT="0" distB="0" distL="0" distR="0" simplePos="0" relativeHeight="250594816" behindDoc="0" locked="0" layoutInCell="1" allowOverlap="1" wp14:anchorId="51DEA1D0" wp14:editId="51DEA1D1">
            <wp:simplePos x="0" y="0"/>
            <wp:positionH relativeFrom="page">
              <wp:posOffset>891988</wp:posOffset>
            </wp:positionH>
            <wp:positionV relativeFrom="paragraph">
              <wp:posOffset>150020</wp:posOffset>
            </wp:positionV>
            <wp:extent cx="5800329" cy="1321022"/>
            <wp:effectExtent l="0" t="0" r="0" b="0"/>
            <wp:wrapTopAndBottom/>
            <wp:docPr id="641" name="image3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 name="image329.png"/>
                    <pic:cNvPicPr/>
                  </pic:nvPicPr>
                  <pic:blipFill>
                    <a:blip r:embed="rId447" cstate="print"/>
                    <a:stretch>
                      <a:fillRect/>
                    </a:stretch>
                  </pic:blipFill>
                  <pic:spPr>
                    <a:xfrm>
                      <a:off x="0" y="0"/>
                      <a:ext cx="5800329" cy="1321022"/>
                    </a:xfrm>
                    <a:prstGeom prst="rect">
                      <a:avLst/>
                    </a:prstGeom>
                  </pic:spPr>
                </pic:pic>
              </a:graphicData>
            </a:graphic>
          </wp:anchor>
        </w:drawing>
      </w:r>
      <w:r>
        <w:rPr>
          <w:noProof/>
        </w:rPr>
        <w:drawing>
          <wp:anchor distT="0" distB="0" distL="0" distR="0" simplePos="0" relativeHeight="250595840" behindDoc="0" locked="0" layoutInCell="1" allowOverlap="1" wp14:anchorId="51DEA1D2" wp14:editId="51DEA1D3">
            <wp:simplePos x="0" y="0"/>
            <wp:positionH relativeFrom="page">
              <wp:posOffset>891988</wp:posOffset>
            </wp:positionH>
            <wp:positionV relativeFrom="paragraph">
              <wp:posOffset>1652180</wp:posOffset>
            </wp:positionV>
            <wp:extent cx="5800328" cy="1716690"/>
            <wp:effectExtent l="0" t="0" r="0" b="0"/>
            <wp:wrapTopAndBottom/>
            <wp:docPr id="643" name="image3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 name="image330.png"/>
                    <pic:cNvPicPr/>
                  </pic:nvPicPr>
                  <pic:blipFill>
                    <a:blip r:embed="rId448" cstate="print"/>
                    <a:stretch>
                      <a:fillRect/>
                    </a:stretch>
                  </pic:blipFill>
                  <pic:spPr>
                    <a:xfrm>
                      <a:off x="0" y="0"/>
                      <a:ext cx="5800328" cy="1716690"/>
                    </a:xfrm>
                    <a:prstGeom prst="rect">
                      <a:avLst/>
                    </a:prstGeom>
                  </pic:spPr>
                </pic:pic>
              </a:graphicData>
            </a:graphic>
          </wp:anchor>
        </w:drawing>
      </w:r>
    </w:p>
    <w:p w14:paraId="51DE8782" w14:textId="77777777" w:rsidR="0010369C" w:rsidRDefault="0010369C">
      <w:pPr>
        <w:pStyle w:val="BodyText"/>
        <w:spacing w:before="8"/>
        <w:rPr>
          <w:rFonts w:ascii="Arial"/>
          <w:sz w:val="22"/>
        </w:rPr>
      </w:pPr>
    </w:p>
    <w:p w14:paraId="51DE8783" w14:textId="77777777" w:rsidR="0010369C" w:rsidRDefault="008E43AE">
      <w:pPr>
        <w:spacing w:before="297" w:line="434" w:lineRule="auto"/>
        <w:ind w:left="240" w:right="577" w:hanging="5"/>
        <w:jc w:val="both"/>
        <w:rPr>
          <w:rFonts w:ascii="Arial"/>
          <w:sz w:val="21"/>
        </w:rPr>
      </w:pPr>
      <w:r>
        <w:rPr>
          <w:rFonts w:ascii="Arial"/>
          <w:color w:val="1C1C1C"/>
          <w:w w:val="105"/>
          <w:sz w:val="21"/>
        </w:rPr>
        <w:t>324.</w:t>
      </w:r>
      <w:r>
        <w:rPr>
          <w:rFonts w:ascii="Arial"/>
          <w:color w:val="1C1C1C"/>
          <w:spacing w:val="40"/>
          <w:w w:val="105"/>
          <w:sz w:val="21"/>
        </w:rPr>
        <w:t xml:space="preserve">  </w:t>
      </w:r>
      <w:r>
        <w:rPr>
          <w:rFonts w:ascii="Arial"/>
          <w:color w:val="1C1C1C"/>
          <w:w w:val="105"/>
          <w:sz w:val="21"/>
        </w:rPr>
        <w:t xml:space="preserve">Thus, production costs for raw materials cannot be used to determine the cost of production and domestic </w:t>
      </w:r>
      <w:r>
        <w:rPr>
          <w:rFonts w:ascii="Arial"/>
          <w:color w:val="010101"/>
          <w:w w:val="105"/>
          <w:sz w:val="21"/>
        </w:rPr>
        <w:t xml:space="preserve">like </w:t>
      </w:r>
      <w:r>
        <w:rPr>
          <w:rFonts w:ascii="Arial"/>
          <w:color w:val="1C1C1C"/>
          <w:w w:val="105"/>
          <w:sz w:val="21"/>
        </w:rPr>
        <w:t>products within the meaning of</w:t>
      </w:r>
      <w:r>
        <w:rPr>
          <w:rFonts w:ascii="Arial"/>
          <w:color w:val="1C1C1C"/>
          <w:w w:val="105"/>
          <w:sz w:val="21"/>
        </w:rPr>
        <w:t xml:space="preserve"> Article 2 of the Anti-Dumping Agreement.</w:t>
      </w:r>
      <w:r>
        <w:rPr>
          <w:rFonts w:ascii="Arial"/>
          <w:color w:val="1C1C1C"/>
          <w:spacing w:val="39"/>
          <w:w w:val="105"/>
          <w:sz w:val="21"/>
        </w:rPr>
        <w:t xml:space="preserve"> </w:t>
      </w:r>
      <w:r>
        <w:rPr>
          <w:rFonts w:ascii="Arial"/>
          <w:color w:val="1C1C1C"/>
          <w:w w:val="105"/>
          <w:sz w:val="21"/>
        </w:rPr>
        <w:t>Such</w:t>
      </w:r>
      <w:r>
        <w:rPr>
          <w:rFonts w:ascii="Arial"/>
          <w:color w:val="1C1C1C"/>
          <w:spacing w:val="40"/>
          <w:w w:val="105"/>
          <w:sz w:val="21"/>
        </w:rPr>
        <w:t xml:space="preserve"> </w:t>
      </w:r>
      <w:r>
        <w:rPr>
          <w:rFonts w:ascii="Arial"/>
          <w:color w:val="1C1C1C"/>
          <w:w w:val="105"/>
          <w:sz w:val="21"/>
        </w:rPr>
        <w:t>costs,</w:t>
      </w:r>
      <w:r>
        <w:rPr>
          <w:rFonts w:ascii="Arial"/>
          <w:color w:val="1C1C1C"/>
          <w:spacing w:val="40"/>
          <w:w w:val="105"/>
          <w:sz w:val="21"/>
        </w:rPr>
        <w:t xml:space="preserve"> </w:t>
      </w:r>
      <w:r>
        <w:rPr>
          <w:rFonts w:ascii="Arial"/>
          <w:color w:val="1C1C1C"/>
          <w:w w:val="105"/>
          <w:sz w:val="21"/>
        </w:rPr>
        <w:t>therefore,</w:t>
      </w:r>
      <w:r>
        <w:rPr>
          <w:rFonts w:ascii="Arial"/>
          <w:color w:val="1C1C1C"/>
          <w:spacing w:val="40"/>
          <w:w w:val="105"/>
          <w:sz w:val="21"/>
        </w:rPr>
        <w:t xml:space="preserve"> </w:t>
      </w:r>
      <w:r>
        <w:rPr>
          <w:rFonts w:ascii="Arial"/>
          <w:color w:val="1C1C1C"/>
          <w:w w:val="105"/>
          <w:sz w:val="21"/>
        </w:rPr>
        <w:t>are</w:t>
      </w:r>
      <w:r>
        <w:rPr>
          <w:rFonts w:ascii="Arial"/>
          <w:color w:val="1C1C1C"/>
          <w:spacing w:val="40"/>
          <w:w w:val="105"/>
          <w:sz w:val="21"/>
        </w:rPr>
        <w:t xml:space="preserve"> </w:t>
      </w:r>
      <w:r>
        <w:rPr>
          <w:rFonts w:ascii="Arial"/>
          <w:color w:val="1C1C1C"/>
          <w:w w:val="105"/>
          <w:sz w:val="21"/>
        </w:rPr>
        <w:t>not</w:t>
      </w:r>
      <w:r>
        <w:rPr>
          <w:rFonts w:ascii="Arial"/>
          <w:color w:val="1C1C1C"/>
          <w:spacing w:val="74"/>
          <w:w w:val="105"/>
          <w:sz w:val="21"/>
        </w:rPr>
        <w:t xml:space="preserve"> </w:t>
      </w:r>
      <w:r>
        <w:rPr>
          <w:rFonts w:ascii="Arial"/>
          <w:color w:val="1C1C1C"/>
          <w:w w:val="105"/>
          <w:sz w:val="21"/>
        </w:rPr>
        <w:t>"necessary"</w:t>
      </w:r>
      <w:r>
        <w:rPr>
          <w:rFonts w:ascii="Arial"/>
          <w:color w:val="1C1C1C"/>
          <w:spacing w:val="69"/>
          <w:w w:val="105"/>
          <w:sz w:val="21"/>
        </w:rPr>
        <w:t xml:space="preserve"> </w:t>
      </w:r>
      <w:r>
        <w:rPr>
          <w:rFonts w:ascii="Arial"/>
          <w:color w:val="1C1C1C"/>
          <w:w w:val="105"/>
          <w:sz w:val="21"/>
        </w:rPr>
        <w:t>for</w:t>
      </w:r>
      <w:r>
        <w:rPr>
          <w:rFonts w:ascii="Arial"/>
          <w:color w:val="1C1C1C"/>
          <w:spacing w:val="78"/>
          <w:w w:val="105"/>
          <w:sz w:val="21"/>
        </w:rPr>
        <w:t xml:space="preserve"> </w:t>
      </w:r>
      <w:r>
        <w:rPr>
          <w:rFonts w:ascii="Arial"/>
          <w:color w:val="1C1C1C"/>
          <w:w w:val="105"/>
          <w:sz w:val="21"/>
        </w:rPr>
        <w:t>Casella</w:t>
      </w:r>
      <w:r>
        <w:rPr>
          <w:rFonts w:ascii="Arial"/>
          <w:color w:val="1C1C1C"/>
          <w:spacing w:val="64"/>
          <w:w w:val="105"/>
          <w:sz w:val="21"/>
        </w:rPr>
        <w:t xml:space="preserve"> </w:t>
      </w:r>
      <w:r>
        <w:rPr>
          <w:rFonts w:ascii="Arial"/>
          <w:color w:val="1C1C1C"/>
          <w:w w:val="105"/>
          <w:sz w:val="21"/>
        </w:rPr>
        <w:t>Wines'</w:t>
      </w:r>
      <w:r>
        <w:rPr>
          <w:rFonts w:ascii="Arial"/>
          <w:color w:val="1C1C1C"/>
          <w:spacing w:val="40"/>
          <w:w w:val="105"/>
          <w:sz w:val="21"/>
        </w:rPr>
        <w:t xml:space="preserve"> </w:t>
      </w:r>
      <w:r>
        <w:rPr>
          <w:rFonts w:ascii="Arial"/>
          <w:color w:val="1C1C1C"/>
          <w:w w:val="105"/>
          <w:sz w:val="21"/>
        </w:rPr>
        <w:t>normal</w:t>
      </w:r>
      <w:r>
        <w:rPr>
          <w:rFonts w:ascii="Arial"/>
          <w:color w:val="1C1C1C"/>
          <w:spacing w:val="37"/>
          <w:w w:val="105"/>
          <w:sz w:val="21"/>
        </w:rPr>
        <w:t xml:space="preserve"> </w:t>
      </w:r>
      <w:r>
        <w:rPr>
          <w:rFonts w:ascii="Arial"/>
          <w:color w:val="1C1C1C"/>
          <w:w w:val="105"/>
          <w:sz w:val="21"/>
        </w:rPr>
        <w:t>value</w:t>
      </w:r>
    </w:p>
    <w:p w14:paraId="51DE8784" w14:textId="77777777" w:rsidR="0010369C" w:rsidRDefault="008E43AE">
      <w:pPr>
        <w:pStyle w:val="BodyText"/>
        <w:ind w:left="224"/>
        <w:rPr>
          <w:rFonts w:ascii="Arial"/>
          <w:sz w:val="20"/>
        </w:rPr>
      </w:pPr>
      <w:r>
        <w:rPr>
          <w:rFonts w:ascii="Arial"/>
          <w:sz w:val="20"/>
        </w:rPr>
      </w:r>
      <w:r>
        <w:rPr>
          <w:rFonts w:ascii="Arial"/>
          <w:sz w:val="20"/>
        </w:rPr>
        <w:pict w14:anchorId="51DEA1D5">
          <v:group id="docshapegroup745" o:spid="_x0000_s1540" style="width:455.55pt;height:147.85pt;mso-position-horizontal-relative:char;mso-position-vertical-relative:line" coordsize="9111,2957">
            <v:shape id="docshape746" o:spid="_x0000_s1542" type="#_x0000_t75" style="position:absolute;width:9111;height:2957">
              <v:imagedata r:id="rId449" o:title=""/>
            </v:shape>
            <v:shape id="docshape747" o:spid="_x0000_s1541" type="#_x0000_t202" style="position:absolute;left:11;top:9;width:1411;height:236" filled="f" stroked="f">
              <v:textbox inset="0,0,0,0">
                <w:txbxContent>
                  <w:p w14:paraId="51DEAC5E" w14:textId="77777777" w:rsidR="0010369C" w:rsidRDefault="008E43AE">
                    <w:pPr>
                      <w:spacing w:line="235" w:lineRule="exact"/>
                      <w:rPr>
                        <w:rFonts w:ascii="Arial"/>
                        <w:sz w:val="21"/>
                      </w:rPr>
                    </w:pPr>
                    <w:r>
                      <w:rPr>
                        <w:rFonts w:ascii="Arial"/>
                        <w:color w:val="1C1C1C"/>
                        <w:w w:val="105"/>
                        <w:sz w:val="21"/>
                      </w:rPr>
                      <w:t>calculations.</w:t>
                    </w:r>
                    <w:r>
                      <w:rPr>
                        <w:rFonts w:ascii="Arial"/>
                        <w:color w:val="1C1C1C"/>
                        <w:spacing w:val="49"/>
                        <w:w w:val="105"/>
                        <w:sz w:val="21"/>
                      </w:rPr>
                      <w:t xml:space="preserve"> </w:t>
                    </w:r>
                    <w:r>
                      <w:rPr>
                        <w:rFonts w:ascii="Arial"/>
                        <w:color w:val="1C1C1C"/>
                        <w:spacing w:val="-10"/>
                        <w:w w:val="105"/>
                        <w:sz w:val="21"/>
                      </w:rPr>
                      <w:t>[</w:t>
                    </w:r>
                  </w:p>
                </w:txbxContent>
              </v:textbox>
            </v:shape>
            <w10:anchorlock/>
          </v:group>
        </w:pict>
      </w:r>
    </w:p>
    <w:p w14:paraId="51DE8785" w14:textId="77777777" w:rsidR="0010369C" w:rsidRDefault="0010369C">
      <w:pPr>
        <w:pStyle w:val="BodyText"/>
        <w:rPr>
          <w:rFonts w:ascii="Arial"/>
          <w:sz w:val="20"/>
        </w:rPr>
      </w:pPr>
    </w:p>
    <w:p w14:paraId="51DE8786" w14:textId="77777777" w:rsidR="0010369C" w:rsidRDefault="008E43AE">
      <w:pPr>
        <w:pStyle w:val="BodyText"/>
        <w:spacing w:before="5"/>
        <w:rPr>
          <w:rFonts w:ascii="Arial"/>
          <w:sz w:val="27"/>
        </w:rPr>
      </w:pPr>
      <w:r>
        <w:pict w14:anchorId="51DEA1D6">
          <v:shape id="docshape748" o:spid="_x0000_s1539" style="position:absolute;margin-left:70.25pt;margin-top:17pt;width:145.5pt;height:.1pt;z-index:-250942976;mso-wrap-distance-left:0;mso-wrap-distance-right:0;mso-position-horizontal-relative:page" coordorigin="1405,340" coordsize="2910,0" path="m1405,340r2909,e" filled="f" strokeweight=".53042mm">
            <v:path arrowok="t"/>
            <w10:wrap type="topAndBottom" anchorx="page"/>
          </v:shape>
        </w:pict>
      </w:r>
    </w:p>
    <w:p w14:paraId="51DE8787" w14:textId="77777777" w:rsidR="0010369C" w:rsidRDefault="0010369C">
      <w:pPr>
        <w:pStyle w:val="BodyText"/>
        <w:spacing w:before="1"/>
        <w:rPr>
          <w:rFonts w:ascii="Arial"/>
          <w:sz w:val="6"/>
        </w:rPr>
      </w:pPr>
    </w:p>
    <w:p w14:paraId="51DE8788" w14:textId="77777777" w:rsidR="0010369C" w:rsidRDefault="0010369C">
      <w:pPr>
        <w:rPr>
          <w:rFonts w:ascii="Arial"/>
          <w:sz w:val="6"/>
        </w:rPr>
        <w:sectPr w:rsidR="0010369C">
          <w:type w:val="continuous"/>
          <w:pgSz w:w="11910" w:h="16840"/>
          <w:pgMar w:top="1460" w:right="800" w:bottom="280" w:left="1180" w:header="0" w:footer="821" w:gutter="0"/>
          <w:cols w:space="720"/>
        </w:sectPr>
      </w:pPr>
    </w:p>
    <w:p w14:paraId="51DE8789" w14:textId="77777777" w:rsidR="0010369C" w:rsidRDefault="008E43AE">
      <w:pPr>
        <w:spacing w:before="33" w:line="171" w:lineRule="exact"/>
        <w:ind w:left="239"/>
        <w:rPr>
          <w:rFonts w:ascii="Arial"/>
          <w:sz w:val="15"/>
        </w:rPr>
      </w:pPr>
      <w:r>
        <w:rPr>
          <w:rFonts w:ascii="Arial"/>
          <w:color w:val="363636"/>
          <w:w w:val="105"/>
          <w:position w:val="5"/>
          <w:sz w:val="12"/>
        </w:rPr>
        <w:t>350</w:t>
      </w:r>
      <w:r>
        <w:rPr>
          <w:rFonts w:ascii="Arial"/>
          <w:color w:val="363636"/>
          <w:spacing w:val="-4"/>
          <w:w w:val="105"/>
          <w:position w:val="5"/>
          <w:sz w:val="12"/>
        </w:rPr>
        <w:t xml:space="preserve"> </w:t>
      </w:r>
      <w:r>
        <w:rPr>
          <w:rFonts w:ascii="Arial"/>
          <w:color w:val="1C1C1C"/>
          <w:w w:val="105"/>
          <w:sz w:val="15"/>
        </w:rPr>
        <w:t>See</w:t>
      </w:r>
      <w:r>
        <w:rPr>
          <w:rFonts w:ascii="Arial"/>
          <w:color w:val="1C1C1C"/>
          <w:spacing w:val="2"/>
          <w:w w:val="105"/>
          <w:sz w:val="15"/>
        </w:rPr>
        <w:t xml:space="preserve"> </w:t>
      </w:r>
      <w:r>
        <w:rPr>
          <w:rFonts w:ascii="Arial"/>
          <w:color w:val="1C1C1C"/>
          <w:w w:val="105"/>
          <w:sz w:val="15"/>
        </w:rPr>
        <w:t>above,</w:t>
      </w:r>
      <w:r>
        <w:rPr>
          <w:rFonts w:ascii="Arial"/>
          <w:color w:val="1C1C1C"/>
          <w:spacing w:val="-7"/>
          <w:w w:val="105"/>
          <w:sz w:val="15"/>
        </w:rPr>
        <w:t xml:space="preserve"> </w:t>
      </w:r>
      <w:r>
        <w:rPr>
          <w:rFonts w:ascii="Arial"/>
          <w:color w:val="1C1C1C"/>
          <w:w w:val="105"/>
          <w:sz w:val="15"/>
        </w:rPr>
        <w:t>section</w:t>
      </w:r>
      <w:r>
        <w:rPr>
          <w:rFonts w:ascii="Arial"/>
          <w:color w:val="1C1C1C"/>
          <w:spacing w:val="-9"/>
          <w:w w:val="105"/>
          <w:sz w:val="15"/>
        </w:rPr>
        <w:t xml:space="preserve"> </w:t>
      </w:r>
      <w:r>
        <w:rPr>
          <w:rFonts w:ascii="Arial"/>
          <w:color w:val="1C1C1C"/>
          <w:spacing w:val="-2"/>
          <w:w w:val="105"/>
          <w:sz w:val="15"/>
        </w:rPr>
        <w:t>II.E.2(a)(ii).</w:t>
      </w:r>
    </w:p>
    <w:p w14:paraId="51DE878A" w14:textId="77777777" w:rsidR="0010369C" w:rsidRDefault="008E43AE">
      <w:pPr>
        <w:spacing w:line="219" w:lineRule="exact"/>
        <w:ind w:left="239"/>
        <w:rPr>
          <w:rFonts w:ascii="Times New Roman"/>
        </w:rPr>
      </w:pPr>
      <w:r>
        <w:rPr>
          <w:noProof/>
        </w:rPr>
        <w:drawing>
          <wp:anchor distT="0" distB="0" distL="0" distR="0" simplePos="0" relativeHeight="250973696" behindDoc="1" locked="0" layoutInCell="1" allowOverlap="1" wp14:anchorId="51DEA1D7" wp14:editId="51DEA1D8">
            <wp:simplePos x="0" y="0"/>
            <wp:positionH relativeFrom="page">
              <wp:posOffset>1108614</wp:posOffset>
            </wp:positionH>
            <wp:positionV relativeFrom="paragraph">
              <wp:posOffset>45571</wp:posOffset>
            </wp:positionV>
            <wp:extent cx="4358000" cy="292793"/>
            <wp:effectExtent l="0" t="0" r="0" b="0"/>
            <wp:wrapNone/>
            <wp:docPr id="645" name="image3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 name="image332.png"/>
                    <pic:cNvPicPr/>
                  </pic:nvPicPr>
                  <pic:blipFill>
                    <a:blip r:embed="rId450" cstate="print"/>
                    <a:stretch>
                      <a:fillRect/>
                    </a:stretch>
                  </pic:blipFill>
                  <pic:spPr>
                    <a:xfrm>
                      <a:off x="0" y="0"/>
                      <a:ext cx="4358000" cy="292793"/>
                    </a:xfrm>
                    <a:prstGeom prst="rect">
                      <a:avLst/>
                    </a:prstGeom>
                  </pic:spPr>
                </pic:pic>
              </a:graphicData>
            </a:graphic>
          </wp:anchor>
        </w:drawing>
      </w:r>
      <w:r>
        <w:rPr>
          <w:rFonts w:ascii="Times New Roman"/>
          <w:color w:val="363636"/>
          <w:spacing w:val="8"/>
          <w:w w:val="119"/>
          <w:sz w:val="12"/>
        </w:rPr>
        <w:t>35</w:t>
      </w:r>
      <w:r>
        <w:rPr>
          <w:rFonts w:ascii="Times New Roman"/>
          <w:color w:val="363636"/>
          <w:spacing w:val="-40"/>
          <w:w w:val="119"/>
          <w:sz w:val="12"/>
        </w:rPr>
        <w:t>1</w:t>
      </w:r>
      <w:r>
        <w:rPr>
          <w:rFonts w:ascii="Times New Roman"/>
          <w:color w:val="1C1C1C"/>
          <w:spacing w:val="8"/>
          <w:w w:val="42"/>
        </w:rPr>
        <w:t>I</w:t>
      </w:r>
    </w:p>
    <w:p w14:paraId="51DE878B" w14:textId="77777777" w:rsidR="0010369C" w:rsidRDefault="008E43AE">
      <w:pPr>
        <w:spacing w:line="218" w:lineRule="exact"/>
        <w:ind w:left="239"/>
        <w:rPr>
          <w:rFonts w:ascii="Times New Roman"/>
          <w:sz w:val="23"/>
        </w:rPr>
      </w:pPr>
      <w:r>
        <w:rPr>
          <w:rFonts w:ascii="Times New Roman"/>
          <w:color w:val="363636"/>
          <w:w w:val="105"/>
          <w:sz w:val="12"/>
        </w:rPr>
        <w:t>352</w:t>
      </w:r>
      <w:r>
        <w:rPr>
          <w:rFonts w:ascii="Times New Roman"/>
          <w:color w:val="363636"/>
          <w:spacing w:val="1"/>
          <w:w w:val="105"/>
          <w:sz w:val="12"/>
        </w:rPr>
        <w:t xml:space="preserve"> </w:t>
      </w:r>
      <w:r>
        <w:rPr>
          <w:rFonts w:ascii="Arial"/>
          <w:color w:val="363636"/>
          <w:w w:val="105"/>
          <w:sz w:val="15"/>
        </w:rPr>
        <w:t>See</w:t>
      </w:r>
      <w:r>
        <w:rPr>
          <w:rFonts w:ascii="Arial"/>
          <w:color w:val="363636"/>
          <w:spacing w:val="11"/>
          <w:w w:val="105"/>
          <w:sz w:val="15"/>
        </w:rPr>
        <w:t xml:space="preserve"> </w:t>
      </w:r>
      <w:r>
        <w:rPr>
          <w:rFonts w:ascii="Times New Roman"/>
          <w:color w:val="1C1C1C"/>
          <w:spacing w:val="-12"/>
          <w:w w:val="105"/>
          <w:sz w:val="23"/>
        </w:rPr>
        <w:t>I</w:t>
      </w:r>
    </w:p>
    <w:p w14:paraId="51DE878C" w14:textId="77777777" w:rsidR="0010369C" w:rsidRDefault="008E43AE">
      <w:pPr>
        <w:spacing w:line="458" w:lineRule="exact"/>
        <w:ind w:left="170"/>
        <w:rPr>
          <w:rFonts w:ascii="Arial"/>
          <w:b/>
          <w:sz w:val="43"/>
        </w:rPr>
      </w:pPr>
      <w:r>
        <w:pict w14:anchorId="51DEA1D9">
          <v:group id="docshapegroup749" o:spid="_x0000_s1536" style="position:absolute;left:0;text-align:left;margin-left:85.3pt;margin-top:13.35pt;width:384.3pt;height:13.55pt;z-index:-251330048;mso-position-horizontal-relative:page" coordorigin="1706,267" coordsize="7686,271">
            <v:shape id="docshape750" o:spid="_x0000_s1538" type="#_x0000_t75" style="position:absolute;left:1705;top:297;width:6001;height:241">
              <v:imagedata r:id="rId451" o:title=""/>
            </v:shape>
            <v:line id="_x0000_s1537" style="position:absolute" from="7706,277" to="9391,277" strokeweight=".35361mm"/>
            <w10:wrap anchorx="page"/>
          </v:group>
        </w:pict>
      </w:r>
      <w:r>
        <w:rPr>
          <w:rFonts w:ascii="Arial"/>
          <w:b/>
          <w:color w:val="010101"/>
          <w:spacing w:val="-5"/>
          <w:w w:val="85"/>
          <w:sz w:val="43"/>
        </w:rPr>
        <w:t>1</w:t>
      </w:r>
      <w:r>
        <w:rPr>
          <w:rFonts w:ascii="Arial"/>
          <w:b/>
          <w:color w:val="1C1C1C"/>
          <w:spacing w:val="-5"/>
          <w:w w:val="85"/>
          <w:sz w:val="43"/>
        </w:rPr>
        <w:t>1</w:t>
      </w:r>
      <w:r>
        <w:rPr>
          <w:rFonts w:ascii="Arial"/>
          <w:b/>
          <w:color w:val="363636"/>
          <w:spacing w:val="-5"/>
          <w:w w:val="85"/>
          <w:sz w:val="43"/>
        </w:rPr>
        <w:t>1</w:t>
      </w:r>
    </w:p>
    <w:p w14:paraId="51DE878D" w14:textId="77777777" w:rsidR="0010369C" w:rsidRDefault="008E43AE">
      <w:pPr>
        <w:spacing w:before="37"/>
        <w:ind w:left="239"/>
        <w:rPr>
          <w:rFonts w:ascii="Arial"/>
          <w:sz w:val="15"/>
        </w:rPr>
      </w:pPr>
      <w:r>
        <w:rPr>
          <w:rFonts w:ascii="Arial"/>
          <w:color w:val="363636"/>
          <w:w w:val="105"/>
          <w:position w:val="6"/>
          <w:sz w:val="12"/>
        </w:rPr>
        <w:t>354</w:t>
      </w:r>
      <w:r>
        <w:rPr>
          <w:rFonts w:ascii="Arial"/>
          <w:color w:val="363636"/>
          <w:spacing w:val="-4"/>
          <w:w w:val="105"/>
          <w:position w:val="6"/>
          <w:sz w:val="12"/>
        </w:rPr>
        <w:t xml:space="preserve"> </w:t>
      </w:r>
      <w:r>
        <w:rPr>
          <w:rFonts w:ascii="Arial"/>
          <w:color w:val="1C1C1C"/>
          <w:w w:val="105"/>
          <w:sz w:val="15"/>
        </w:rPr>
        <w:t>See</w:t>
      </w:r>
      <w:r>
        <w:rPr>
          <w:rFonts w:ascii="Arial"/>
          <w:color w:val="1C1C1C"/>
          <w:spacing w:val="2"/>
          <w:w w:val="105"/>
          <w:sz w:val="15"/>
        </w:rPr>
        <w:t xml:space="preserve"> </w:t>
      </w:r>
      <w:r>
        <w:rPr>
          <w:rFonts w:ascii="Arial"/>
          <w:color w:val="1C1C1C"/>
          <w:w w:val="105"/>
          <w:sz w:val="15"/>
        </w:rPr>
        <w:t>above,</w:t>
      </w:r>
      <w:r>
        <w:rPr>
          <w:rFonts w:ascii="Arial"/>
          <w:color w:val="1C1C1C"/>
          <w:spacing w:val="-7"/>
          <w:w w:val="105"/>
          <w:sz w:val="15"/>
        </w:rPr>
        <w:t xml:space="preserve"> </w:t>
      </w:r>
      <w:r>
        <w:rPr>
          <w:rFonts w:ascii="Arial"/>
          <w:color w:val="1C1C1C"/>
          <w:w w:val="105"/>
          <w:sz w:val="15"/>
        </w:rPr>
        <w:t>section</w:t>
      </w:r>
      <w:r>
        <w:rPr>
          <w:rFonts w:ascii="Arial"/>
          <w:color w:val="1C1C1C"/>
          <w:spacing w:val="-9"/>
          <w:w w:val="105"/>
          <w:sz w:val="15"/>
        </w:rPr>
        <w:t xml:space="preserve"> </w:t>
      </w:r>
      <w:r>
        <w:rPr>
          <w:rFonts w:ascii="Arial"/>
          <w:color w:val="1C1C1C"/>
          <w:spacing w:val="-2"/>
          <w:w w:val="105"/>
          <w:sz w:val="15"/>
        </w:rPr>
        <w:t>II.E.2(a).</w:t>
      </w:r>
    </w:p>
    <w:p w14:paraId="51DE878E" w14:textId="77777777" w:rsidR="0010369C" w:rsidRDefault="008E43AE">
      <w:pPr>
        <w:rPr>
          <w:rFonts w:ascii="Arial"/>
          <w:sz w:val="16"/>
        </w:rPr>
      </w:pPr>
      <w:r>
        <w:br w:type="column"/>
      </w:r>
    </w:p>
    <w:p w14:paraId="51DE878F" w14:textId="77777777" w:rsidR="0010369C" w:rsidRDefault="008E43AE">
      <w:pPr>
        <w:spacing w:before="101"/>
        <w:ind w:left="170"/>
        <w:rPr>
          <w:rFonts w:ascii="Arial" w:hAnsi="Arial"/>
          <w:sz w:val="15"/>
        </w:rPr>
      </w:pPr>
      <w:r>
        <w:rPr>
          <w:rFonts w:ascii="Arial" w:hAnsi="Arial"/>
          <w:color w:val="696969"/>
          <w:w w:val="104"/>
          <w:sz w:val="15"/>
        </w:rPr>
        <w:t>(Exhibit</w:t>
      </w:r>
      <w:r>
        <w:rPr>
          <w:rFonts w:ascii="Arial" w:hAnsi="Arial"/>
          <w:color w:val="696969"/>
          <w:spacing w:val="56"/>
          <w:w w:val="104"/>
          <w:sz w:val="15"/>
        </w:rPr>
        <w:t xml:space="preserve">   </w:t>
      </w:r>
      <w:r>
        <w:rPr>
          <w:rFonts w:ascii="Arial" w:hAnsi="Arial"/>
          <w:color w:val="696969"/>
          <w:w w:val="104"/>
          <w:sz w:val="15"/>
        </w:rPr>
        <w:t>AUS-29</w:t>
      </w:r>
      <w:r>
        <w:rPr>
          <w:rFonts w:ascii="Arial" w:hAnsi="Arial"/>
          <w:color w:val="696969"/>
          <w:spacing w:val="67"/>
          <w:w w:val="150"/>
          <w:sz w:val="15"/>
        </w:rPr>
        <w:t xml:space="preserve">  </w:t>
      </w:r>
      <w:r>
        <w:rPr>
          <w:rFonts w:ascii="Arial" w:hAnsi="Arial"/>
          <w:color w:val="696969"/>
          <w:spacing w:val="-1"/>
          <w:w w:val="4"/>
          <w:sz w:val="15"/>
        </w:rPr>
        <w:t>(</w:t>
      </w:r>
      <w:r>
        <w:rPr>
          <w:rFonts w:ascii="Arial" w:hAnsi="Arial"/>
          <w:color w:val="696969"/>
          <w:spacing w:val="-2"/>
          <w:w w:val="4"/>
          <w:sz w:val="15"/>
        </w:rPr>
        <w:t>BCI</w:t>
      </w:r>
      <w:r>
        <w:rPr>
          <w:rFonts w:ascii="Arial" w:hAnsi="Arial"/>
          <w:color w:val="696969"/>
          <w:spacing w:val="-1"/>
          <w:w w:val="4"/>
          <w:sz w:val="15"/>
        </w:rPr>
        <w:t>))</w:t>
      </w:r>
      <w:r>
        <w:rPr>
          <w:rFonts w:ascii="Arial" w:hAnsi="Arial"/>
          <w:color w:val="696969"/>
          <w:spacing w:val="-14"/>
          <w:w w:val="4"/>
          <w:sz w:val="15"/>
        </w:rPr>
        <w:t>,</w:t>
      </w:r>
      <w:r>
        <w:rPr>
          <w:rFonts w:ascii="Arial" w:hAnsi="Arial"/>
          <w:color w:val="010101"/>
          <w:spacing w:val="-1"/>
          <w:w w:val="281"/>
          <w:sz w:val="15"/>
        </w:rPr>
        <w:t>•</w:t>
      </w:r>
      <w:r>
        <w:rPr>
          <w:rFonts w:ascii="Arial" w:hAnsi="Arial"/>
          <w:color w:val="696969"/>
          <w:spacing w:val="5"/>
          <w:w w:val="281"/>
          <w:sz w:val="15"/>
        </w:rPr>
        <w:t>.</w:t>
      </w:r>
      <w:r>
        <w:rPr>
          <w:rFonts w:ascii="Arial" w:hAnsi="Arial"/>
          <w:color w:val="1C1C1C"/>
          <w:spacing w:val="-2"/>
          <w:w w:val="281"/>
          <w:sz w:val="15"/>
        </w:rPr>
        <w:t>]</w:t>
      </w:r>
      <w:r>
        <w:rPr>
          <w:rFonts w:ascii="Arial" w:hAnsi="Arial"/>
          <w:color w:val="1C1C1C"/>
          <w:spacing w:val="-1"/>
          <w:w w:val="281"/>
          <w:sz w:val="15"/>
        </w:rPr>
        <w:t>)</w:t>
      </w:r>
    </w:p>
    <w:p w14:paraId="51DE8790" w14:textId="77777777" w:rsidR="0010369C" w:rsidRDefault="008E43AE">
      <w:pPr>
        <w:tabs>
          <w:tab w:val="left" w:pos="2096"/>
        </w:tabs>
        <w:spacing w:before="48" w:line="523" w:lineRule="auto"/>
        <w:ind w:left="170" w:right="760" w:firstLine="903"/>
        <w:rPr>
          <w:rFonts w:ascii="Arial"/>
        </w:rPr>
      </w:pPr>
      <w:r>
        <w:pict w14:anchorId="51DEA1DA">
          <v:shape id="docshape751" o:spid="_x0000_s1535" type="#_x0000_t202" style="position:absolute;left:0;text-align:left;margin-left:516.75pt;margin-top:-7.1pt;width:6.7pt;height:20.55pt;z-index:251834880;mso-position-horizontal-relative:page" filled="f" stroked="f">
            <v:textbox inset="0,0,0,0">
              <w:txbxContent>
                <w:p w14:paraId="51DEAC5F" w14:textId="77777777" w:rsidR="0010369C" w:rsidRDefault="008E43AE">
                  <w:pPr>
                    <w:spacing w:line="411" w:lineRule="exact"/>
                    <w:rPr>
                      <w:rFonts w:ascii="Times New Roman"/>
                      <w:sz w:val="37"/>
                    </w:rPr>
                  </w:pPr>
                  <w:r>
                    <w:rPr>
                      <w:rFonts w:ascii="Times New Roman"/>
                      <w:color w:val="010101"/>
                      <w:w w:val="108"/>
                      <w:sz w:val="37"/>
                    </w:rPr>
                    <w:t>I</w:t>
                  </w:r>
                </w:p>
              </w:txbxContent>
            </v:textbox>
            <w10:wrap anchorx="page"/>
          </v:shape>
        </w:pict>
      </w:r>
      <w:r>
        <w:rPr>
          <w:rFonts w:ascii="Arial"/>
          <w:color w:val="696969"/>
          <w:w w:val="105"/>
          <w:sz w:val="15"/>
        </w:rPr>
        <w:t>(Exhibit AUS-32 (BCI)), (Exhibit AUS-29 (BCI)),</w:t>
      </w:r>
      <w:r>
        <w:rPr>
          <w:rFonts w:ascii="Arial"/>
          <w:color w:val="696969"/>
          <w:sz w:val="15"/>
        </w:rPr>
        <w:tab/>
      </w:r>
      <w:r>
        <w:rPr>
          <w:rFonts w:ascii="Arial"/>
          <w:color w:val="696969"/>
          <w:spacing w:val="-4"/>
          <w:w w:val="105"/>
        </w:rPr>
        <w:t>.</w:t>
      </w:r>
      <w:r>
        <w:rPr>
          <w:rFonts w:ascii="Arial"/>
          <w:color w:val="1C1C1C"/>
          <w:spacing w:val="-4"/>
          <w:w w:val="105"/>
        </w:rPr>
        <w:t>II</w:t>
      </w:r>
    </w:p>
    <w:p w14:paraId="51DE8791" w14:textId="77777777" w:rsidR="0010369C" w:rsidRDefault="0010369C">
      <w:pPr>
        <w:spacing w:line="523" w:lineRule="auto"/>
        <w:rPr>
          <w:rFonts w:ascii="Arial"/>
        </w:rPr>
        <w:sectPr w:rsidR="0010369C">
          <w:type w:val="continuous"/>
          <w:pgSz w:w="11910" w:h="16840"/>
          <w:pgMar w:top="1460" w:right="800" w:bottom="280" w:left="1180" w:header="0" w:footer="821" w:gutter="0"/>
          <w:cols w:num="2" w:space="720" w:equalWidth="0">
            <w:col w:w="2732" w:space="3674"/>
            <w:col w:w="3524"/>
          </w:cols>
        </w:sectPr>
      </w:pPr>
    </w:p>
    <w:p w14:paraId="51DE8792" w14:textId="77777777" w:rsidR="0010369C" w:rsidRDefault="008E43AE">
      <w:pPr>
        <w:tabs>
          <w:tab w:val="left" w:pos="6426"/>
        </w:tabs>
        <w:ind w:left="238"/>
        <w:rPr>
          <w:sz w:val="20"/>
        </w:rPr>
      </w:pPr>
      <w:r>
        <w:rPr>
          <w:i/>
          <w:sz w:val="20"/>
        </w:rPr>
        <w:lastRenderedPageBreak/>
        <w:t>China</w:t>
      </w:r>
      <w:r>
        <w:rPr>
          <w:i/>
          <w:spacing w:val="-5"/>
          <w:sz w:val="20"/>
        </w:rPr>
        <w:t xml:space="preserve"> </w:t>
      </w:r>
      <w:r>
        <w:rPr>
          <w:i/>
          <w:sz w:val="20"/>
        </w:rPr>
        <w:t>–</w:t>
      </w:r>
      <w:r>
        <w:rPr>
          <w:i/>
          <w:spacing w:val="-5"/>
          <w:sz w:val="20"/>
        </w:rPr>
        <w:t xml:space="preserve"> </w:t>
      </w:r>
      <w:r>
        <w:rPr>
          <w:i/>
          <w:sz w:val="20"/>
        </w:rPr>
        <w:t>Anti‐Dumping</w:t>
      </w:r>
      <w:r>
        <w:rPr>
          <w:i/>
          <w:spacing w:val="-4"/>
          <w:sz w:val="20"/>
        </w:rPr>
        <w:t xml:space="preserve"> </w:t>
      </w:r>
      <w:r>
        <w:rPr>
          <w:i/>
          <w:sz w:val="20"/>
        </w:rPr>
        <w:t>and</w:t>
      </w:r>
      <w:r>
        <w:rPr>
          <w:i/>
          <w:spacing w:val="-5"/>
          <w:sz w:val="20"/>
        </w:rPr>
        <w:t xml:space="preserve"> </w:t>
      </w:r>
      <w:r>
        <w:rPr>
          <w:i/>
          <w:sz w:val="20"/>
        </w:rPr>
        <w:t>Countervailing</w:t>
      </w:r>
      <w:r>
        <w:rPr>
          <w:i/>
          <w:spacing w:val="-5"/>
          <w:sz w:val="20"/>
        </w:rPr>
        <w:t xml:space="preserve"> </w:t>
      </w:r>
      <w:r>
        <w:rPr>
          <w:i/>
          <w:sz w:val="20"/>
        </w:rPr>
        <w:t>Duty</w:t>
      </w:r>
      <w:r>
        <w:rPr>
          <w:i/>
          <w:spacing w:val="-4"/>
          <w:sz w:val="20"/>
        </w:rPr>
        <w:t xml:space="preserve"> </w:t>
      </w:r>
      <w:r>
        <w:rPr>
          <w:i/>
          <w:spacing w:val="-2"/>
          <w:sz w:val="20"/>
        </w:rPr>
        <w:t>Measures</w:t>
      </w:r>
      <w:r>
        <w:rPr>
          <w:i/>
          <w:sz w:val="20"/>
        </w:rPr>
        <w:tab/>
      </w:r>
      <w:r>
        <w:rPr>
          <w:sz w:val="20"/>
        </w:rPr>
        <w:t>Australia's</w:t>
      </w:r>
      <w:r>
        <w:rPr>
          <w:spacing w:val="-7"/>
          <w:sz w:val="20"/>
        </w:rPr>
        <w:t xml:space="preserve"> </w:t>
      </w:r>
      <w:r>
        <w:rPr>
          <w:sz w:val="20"/>
        </w:rPr>
        <w:t>First</w:t>
      </w:r>
      <w:r>
        <w:rPr>
          <w:spacing w:val="-2"/>
          <w:sz w:val="20"/>
        </w:rPr>
        <w:t xml:space="preserve"> </w:t>
      </w:r>
      <w:r>
        <w:rPr>
          <w:sz w:val="20"/>
        </w:rPr>
        <w:t>Written</w:t>
      </w:r>
      <w:r>
        <w:rPr>
          <w:spacing w:val="-2"/>
          <w:sz w:val="20"/>
        </w:rPr>
        <w:t xml:space="preserve"> Submission</w:t>
      </w:r>
    </w:p>
    <w:p w14:paraId="51DE8793" w14:textId="77777777" w:rsidR="0010369C" w:rsidRDefault="008E43AE">
      <w:pPr>
        <w:tabs>
          <w:tab w:val="left" w:pos="8228"/>
        </w:tabs>
        <w:spacing w:before="1"/>
        <w:ind w:left="239"/>
        <w:rPr>
          <w:sz w:val="20"/>
        </w:rPr>
      </w:pPr>
      <w:r>
        <w:rPr>
          <w:i/>
          <w:sz w:val="20"/>
        </w:rPr>
        <w:t>on</w:t>
      </w:r>
      <w:r>
        <w:rPr>
          <w:i/>
          <w:spacing w:val="-1"/>
          <w:sz w:val="20"/>
        </w:rPr>
        <w:t xml:space="preserve"> </w:t>
      </w:r>
      <w:r>
        <w:rPr>
          <w:i/>
          <w:sz w:val="20"/>
        </w:rPr>
        <w:t>Wine</w:t>
      </w:r>
      <w:r>
        <w:rPr>
          <w:i/>
          <w:spacing w:val="-1"/>
          <w:sz w:val="20"/>
        </w:rPr>
        <w:t xml:space="preserve"> </w:t>
      </w:r>
      <w:r>
        <w:rPr>
          <w:i/>
          <w:sz w:val="20"/>
        </w:rPr>
        <w:t>from</w:t>
      </w:r>
      <w:r>
        <w:rPr>
          <w:i/>
          <w:spacing w:val="-3"/>
          <w:sz w:val="20"/>
        </w:rPr>
        <w:t xml:space="preserve"> </w:t>
      </w:r>
      <w:r>
        <w:rPr>
          <w:i/>
          <w:sz w:val="20"/>
        </w:rPr>
        <w:t>Australia</w:t>
      </w:r>
      <w:r>
        <w:rPr>
          <w:i/>
          <w:spacing w:val="-1"/>
          <w:sz w:val="20"/>
        </w:rPr>
        <w:t xml:space="preserve"> </w:t>
      </w:r>
      <w:r>
        <w:rPr>
          <w:spacing w:val="-2"/>
          <w:sz w:val="20"/>
        </w:rPr>
        <w:t>(DS602)</w:t>
      </w:r>
      <w:r>
        <w:rPr>
          <w:sz w:val="20"/>
        </w:rPr>
        <w:tab/>
        <w:t>29</w:t>
      </w:r>
      <w:r>
        <w:rPr>
          <w:spacing w:val="-1"/>
          <w:sz w:val="20"/>
        </w:rPr>
        <w:t xml:space="preserve"> </w:t>
      </w:r>
      <w:r>
        <w:rPr>
          <w:sz w:val="20"/>
        </w:rPr>
        <w:t>April</w:t>
      </w:r>
      <w:r>
        <w:rPr>
          <w:spacing w:val="-2"/>
          <w:sz w:val="20"/>
        </w:rPr>
        <w:t xml:space="preserve"> </w:t>
      </w:r>
      <w:r>
        <w:rPr>
          <w:spacing w:val="-4"/>
          <w:sz w:val="20"/>
        </w:rPr>
        <w:t>2022</w:t>
      </w:r>
    </w:p>
    <w:p w14:paraId="51DE8794" w14:textId="77777777" w:rsidR="0010369C" w:rsidRDefault="008E43AE">
      <w:pPr>
        <w:pStyle w:val="BodyText"/>
        <w:spacing w:before="34" w:line="360" w:lineRule="auto"/>
        <w:ind w:left="237" w:right="614" w:firstLine="851"/>
        <w:jc w:val="both"/>
      </w:pPr>
      <w:r>
        <w:rPr>
          <w:noProof/>
        </w:rPr>
        <w:drawing>
          <wp:anchor distT="0" distB="0" distL="0" distR="0" simplePos="0" relativeHeight="250974720" behindDoc="1" locked="0" layoutInCell="1" allowOverlap="1" wp14:anchorId="51DEA1DB" wp14:editId="51DEA1DC">
            <wp:simplePos x="0" y="0"/>
            <wp:positionH relativeFrom="page">
              <wp:posOffset>905255</wp:posOffset>
            </wp:positionH>
            <wp:positionV relativeFrom="paragraph">
              <wp:posOffset>69165</wp:posOffset>
            </wp:positionV>
            <wp:extent cx="259079" cy="103631"/>
            <wp:effectExtent l="0" t="0" r="0" b="0"/>
            <wp:wrapNone/>
            <wp:docPr id="647" name="image3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 name="image334.png"/>
                    <pic:cNvPicPr/>
                  </pic:nvPicPr>
                  <pic:blipFill>
                    <a:blip r:embed="rId452" cstate="print"/>
                    <a:stretch>
                      <a:fillRect/>
                    </a:stretch>
                  </pic:blipFill>
                  <pic:spPr>
                    <a:xfrm>
                      <a:off x="0" y="0"/>
                      <a:ext cx="259079" cy="103631"/>
                    </a:xfrm>
                    <a:prstGeom prst="rect">
                      <a:avLst/>
                    </a:prstGeom>
                  </pic:spPr>
                </pic:pic>
              </a:graphicData>
            </a:graphic>
          </wp:anchor>
        </w:drawing>
      </w:r>
      <w:r>
        <w:t>Issues relating to the characterisation of clean skin were not raised by MOFCOM in the</w:t>
      </w:r>
      <w:r>
        <w:rPr>
          <w:spacing w:val="-11"/>
        </w:rPr>
        <w:t xml:space="preserve"> </w:t>
      </w:r>
      <w:r>
        <w:t>Preliminary</w:t>
      </w:r>
      <w:r>
        <w:rPr>
          <w:spacing w:val="-12"/>
        </w:rPr>
        <w:t xml:space="preserve"> </w:t>
      </w:r>
      <w:r>
        <w:t>Determination.</w:t>
      </w:r>
      <w:r>
        <w:rPr>
          <w:spacing w:val="-11"/>
        </w:rPr>
        <w:t xml:space="preserve"> </w:t>
      </w:r>
      <w:r>
        <w:t>MOFCOM</w:t>
      </w:r>
      <w:r>
        <w:rPr>
          <w:spacing w:val="-12"/>
        </w:rPr>
        <w:t xml:space="preserve"> </w:t>
      </w:r>
      <w:r>
        <w:t>did</w:t>
      </w:r>
      <w:r>
        <w:rPr>
          <w:spacing w:val="-12"/>
        </w:rPr>
        <w:t xml:space="preserve"> </w:t>
      </w:r>
      <w:r>
        <w:t>request</w:t>
      </w:r>
      <w:r>
        <w:rPr>
          <w:spacing w:val="-12"/>
        </w:rPr>
        <w:t xml:space="preserve"> </w:t>
      </w:r>
      <w:r>
        <w:t>an</w:t>
      </w:r>
      <w:r>
        <w:rPr>
          <w:spacing w:val="-12"/>
        </w:rPr>
        <w:t xml:space="preserve"> </w:t>
      </w:r>
      <w:r>
        <w:t>explanation</w:t>
      </w:r>
      <w:r>
        <w:rPr>
          <w:spacing w:val="-12"/>
        </w:rPr>
        <w:t xml:space="preserve"> </w:t>
      </w:r>
      <w:r>
        <w:t>from</w:t>
      </w:r>
      <w:r>
        <w:rPr>
          <w:spacing w:val="-11"/>
        </w:rPr>
        <w:t xml:space="preserve"> </w:t>
      </w:r>
      <w:r>
        <w:t>Casella</w:t>
      </w:r>
      <w:r>
        <w:rPr>
          <w:spacing w:val="-11"/>
        </w:rPr>
        <w:t xml:space="preserve"> </w:t>
      </w:r>
      <w:r>
        <w:t>Wines</w:t>
      </w:r>
      <w:r>
        <w:rPr>
          <w:spacing w:val="-13"/>
        </w:rPr>
        <w:t xml:space="preserve"> </w:t>
      </w:r>
      <w:r>
        <w:t>in</w:t>
      </w:r>
      <w:r>
        <w:rPr>
          <w:spacing w:val="-12"/>
        </w:rPr>
        <w:t xml:space="preserve"> </w:t>
      </w:r>
      <w:r>
        <w:t>its Supplementary Questionnaire where it asked:</w:t>
      </w:r>
      <w:r>
        <w:rPr>
          <w:vertAlign w:val="superscript"/>
        </w:rPr>
        <w:t>355</w:t>
      </w:r>
    </w:p>
    <w:p w14:paraId="51DE8795" w14:textId="77777777" w:rsidR="0010369C" w:rsidRDefault="008E43AE">
      <w:pPr>
        <w:spacing w:before="160"/>
        <w:ind w:left="1087" w:right="613" w:firstLine="1"/>
        <w:jc w:val="both"/>
      </w:pPr>
      <w:r>
        <w:t>[t]he</w:t>
      </w:r>
      <w:r>
        <w:rPr>
          <w:spacing w:val="-6"/>
        </w:rPr>
        <w:t xml:space="preserve"> </w:t>
      </w:r>
      <w:r>
        <w:t>Company</w:t>
      </w:r>
      <w:r>
        <w:rPr>
          <w:spacing w:val="-5"/>
        </w:rPr>
        <w:t xml:space="preserve"> </w:t>
      </w:r>
      <w:r>
        <w:t>said</w:t>
      </w:r>
      <w:r>
        <w:rPr>
          <w:spacing w:val="-5"/>
        </w:rPr>
        <w:t xml:space="preserve"> </w:t>
      </w:r>
      <w:r>
        <w:t>in</w:t>
      </w:r>
      <w:r>
        <w:rPr>
          <w:spacing w:val="-5"/>
        </w:rPr>
        <w:t xml:space="preserve"> </w:t>
      </w:r>
      <w:r>
        <w:t>the</w:t>
      </w:r>
      <w:r>
        <w:rPr>
          <w:spacing w:val="-4"/>
        </w:rPr>
        <w:t xml:space="preserve"> </w:t>
      </w:r>
      <w:r>
        <w:t>Response</w:t>
      </w:r>
      <w:r>
        <w:rPr>
          <w:spacing w:val="-6"/>
        </w:rPr>
        <w:t xml:space="preserve"> </w:t>
      </w:r>
      <w:r>
        <w:t>that</w:t>
      </w:r>
      <w:r>
        <w:rPr>
          <w:spacing w:val="-6"/>
        </w:rPr>
        <w:t xml:space="preserve"> </w:t>
      </w:r>
      <w:r>
        <w:t>"Casella</w:t>
      </w:r>
      <w:r>
        <w:rPr>
          <w:spacing w:val="-5"/>
        </w:rPr>
        <w:t xml:space="preserve"> </w:t>
      </w:r>
      <w:r>
        <w:t>Wines</w:t>
      </w:r>
      <w:r>
        <w:rPr>
          <w:spacing w:val="-5"/>
        </w:rPr>
        <w:t xml:space="preserve"> </w:t>
      </w:r>
      <w:r>
        <w:t>produce</w:t>
      </w:r>
      <w:r>
        <w:rPr>
          <w:spacing w:val="-4"/>
        </w:rPr>
        <w:t xml:space="preserve"> </w:t>
      </w:r>
      <w:r>
        <w:t>bulk</w:t>
      </w:r>
      <w:r>
        <w:rPr>
          <w:spacing w:val="-5"/>
        </w:rPr>
        <w:t xml:space="preserve"> </w:t>
      </w:r>
      <w:r>
        <w:t>wine,</w:t>
      </w:r>
      <w:r>
        <w:rPr>
          <w:spacing w:val="-5"/>
        </w:rPr>
        <w:t xml:space="preserve"> </w:t>
      </w:r>
      <w:r>
        <w:t>which</w:t>
      </w:r>
      <w:r>
        <w:rPr>
          <w:spacing w:val="-6"/>
        </w:rPr>
        <w:t xml:space="preserve"> </w:t>
      </w:r>
      <w:r>
        <w:t>is</w:t>
      </w:r>
      <w:r>
        <w:rPr>
          <w:spacing w:val="-4"/>
        </w:rPr>
        <w:t xml:space="preserve"> </w:t>
      </w:r>
      <w:r>
        <w:t>the</w:t>
      </w:r>
      <w:r>
        <w:rPr>
          <w:spacing w:val="-5"/>
        </w:rPr>
        <w:t xml:space="preserve"> </w:t>
      </w:r>
      <w:r>
        <w:t>raw material (or direct raw material) of the product under investigation and like products. Therefore,</w:t>
      </w:r>
      <w:r>
        <w:rPr>
          <w:spacing w:val="-4"/>
        </w:rPr>
        <w:t xml:space="preserve"> </w:t>
      </w:r>
      <w:r>
        <w:t>we</w:t>
      </w:r>
      <w:r>
        <w:rPr>
          <w:spacing w:val="-6"/>
        </w:rPr>
        <w:t xml:space="preserve"> </w:t>
      </w:r>
      <w:r>
        <w:t>provide</w:t>
      </w:r>
      <w:r>
        <w:rPr>
          <w:spacing w:val="-5"/>
        </w:rPr>
        <w:t xml:space="preserve"> </w:t>
      </w:r>
      <w:r>
        <w:t>"For</w:t>
      </w:r>
      <w:r>
        <w:t>m</w:t>
      </w:r>
      <w:r>
        <w:rPr>
          <w:spacing w:val="-6"/>
        </w:rPr>
        <w:t xml:space="preserve"> </w:t>
      </w:r>
      <w:r>
        <w:t>6‐1‐2</w:t>
      </w:r>
      <w:r>
        <w:rPr>
          <w:spacing w:val="-5"/>
        </w:rPr>
        <w:t xml:space="preserve"> </w:t>
      </w:r>
      <w:r>
        <w:t>Production</w:t>
      </w:r>
      <w:r>
        <w:rPr>
          <w:spacing w:val="-7"/>
        </w:rPr>
        <w:t xml:space="preserve"> </w:t>
      </w:r>
      <w:r>
        <w:t>Cost</w:t>
      </w:r>
      <w:r>
        <w:rPr>
          <w:spacing w:val="-6"/>
        </w:rPr>
        <w:t xml:space="preserve"> </w:t>
      </w:r>
      <w:r>
        <w:t>Sheet</w:t>
      </w:r>
      <w:r>
        <w:rPr>
          <w:spacing w:val="-6"/>
        </w:rPr>
        <w:t xml:space="preserve"> </w:t>
      </w:r>
      <w:r>
        <w:t>for</w:t>
      </w:r>
      <w:r>
        <w:rPr>
          <w:spacing w:val="-4"/>
        </w:rPr>
        <w:t xml:space="preserve"> </w:t>
      </w:r>
      <w:r>
        <w:t>Raw</w:t>
      </w:r>
      <w:r>
        <w:rPr>
          <w:spacing w:val="-5"/>
        </w:rPr>
        <w:t xml:space="preserve"> </w:t>
      </w:r>
      <w:r>
        <w:t>Materials".</w:t>
      </w:r>
      <w:r>
        <w:rPr>
          <w:spacing w:val="-5"/>
        </w:rPr>
        <w:t xml:space="preserve"> </w:t>
      </w:r>
      <w:r>
        <w:t>Please</w:t>
      </w:r>
      <w:r>
        <w:rPr>
          <w:spacing w:val="-6"/>
        </w:rPr>
        <w:t xml:space="preserve"> </w:t>
      </w:r>
      <w:r>
        <w:t>explain why</w:t>
      </w:r>
      <w:r>
        <w:rPr>
          <w:spacing w:val="-12"/>
        </w:rPr>
        <w:t xml:space="preserve"> </w:t>
      </w:r>
      <w:r>
        <w:t>some</w:t>
      </w:r>
      <w:r>
        <w:rPr>
          <w:spacing w:val="-11"/>
        </w:rPr>
        <w:t xml:space="preserve"> </w:t>
      </w:r>
      <w:r>
        <w:t>models</w:t>
      </w:r>
      <w:r>
        <w:rPr>
          <w:spacing w:val="-12"/>
        </w:rPr>
        <w:t xml:space="preserve"> </w:t>
      </w:r>
      <w:r>
        <w:t>were</w:t>
      </w:r>
      <w:r>
        <w:rPr>
          <w:spacing w:val="-12"/>
        </w:rPr>
        <w:t xml:space="preserve"> </w:t>
      </w:r>
      <w:r>
        <w:t>reported</w:t>
      </w:r>
      <w:r>
        <w:rPr>
          <w:spacing w:val="-12"/>
        </w:rPr>
        <w:t xml:space="preserve"> </w:t>
      </w:r>
      <w:r>
        <w:t>as</w:t>
      </w:r>
      <w:r>
        <w:rPr>
          <w:spacing w:val="-12"/>
        </w:rPr>
        <w:t xml:space="preserve"> </w:t>
      </w:r>
      <w:r>
        <w:t>the</w:t>
      </w:r>
      <w:r>
        <w:rPr>
          <w:spacing w:val="-10"/>
        </w:rPr>
        <w:t xml:space="preserve"> </w:t>
      </w:r>
      <w:r>
        <w:t>direct</w:t>
      </w:r>
      <w:r>
        <w:rPr>
          <w:spacing w:val="-10"/>
        </w:rPr>
        <w:t xml:space="preserve"> </w:t>
      </w:r>
      <w:r>
        <w:t>material</w:t>
      </w:r>
      <w:r>
        <w:rPr>
          <w:spacing w:val="-13"/>
        </w:rPr>
        <w:t xml:space="preserve"> </w:t>
      </w:r>
      <w:r>
        <w:t>Clean</w:t>
      </w:r>
      <w:r>
        <w:rPr>
          <w:spacing w:val="-11"/>
        </w:rPr>
        <w:t xml:space="preserve"> </w:t>
      </w:r>
      <w:r>
        <w:t>Skin</w:t>
      </w:r>
      <w:r>
        <w:rPr>
          <w:spacing w:val="-11"/>
        </w:rPr>
        <w:t xml:space="preserve"> </w:t>
      </w:r>
      <w:r>
        <w:t>but</w:t>
      </w:r>
      <w:r>
        <w:rPr>
          <w:spacing w:val="-12"/>
        </w:rPr>
        <w:t xml:space="preserve"> </w:t>
      </w:r>
      <w:r>
        <w:t>not</w:t>
      </w:r>
      <w:r>
        <w:rPr>
          <w:spacing w:val="-12"/>
        </w:rPr>
        <w:t xml:space="preserve"> </w:t>
      </w:r>
      <w:r>
        <w:t>bulk</w:t>
      </w:r>
      <w:r>
        <w:rPr>
          <w:spacing w:val="-10"/>
        </w:rPr>
        <w:t xml:space="preserve"> </w:t>
      </w:r>
      <w:r>
        <w:t>wine,</w:t>
      </w:r>
      <w:r>
        <w:rPr>
          <w:spacing w:val="-12"/>
        </w:rPr>
        <w:t xml:space="preserve"> </w:t>
      </w:r>
      <w:r>
        <w:t>and</w:t>
      </w:r>
      <w:r>
        <w:rPr>
          <w:spacing w:val="-12"/>
        </w:rPr>
        <w:t xml:space="preserve"> </w:t>
      </w:r>
      <w:r>
        <w:t>why the source and cost of Clean Skin were not provided; besides, you also failed to fill out the Production Cost Sheet for Raw Materials or Procurement Cost Sheet for Raw Materials in accordance with the requirements of the Response or give relevant expla</w:t>
      </w:r>
      <w:r>
        <w:t>nations.</w:t>
      </w:r>
    </w:p>
    <w:p w14:paraId="51DE8796" w14:textId="77777777" w:rsidR="0010369C" w:rsidRDefault="0010369C">
      <w:pPr>
        <w:pStyle w:val="BodyText"/>
        <w:spacing w:before="5"/>
        <w:rPr>
          <w:sz w:val="15"/>
        </w:rPr>
      </w:pPr>
    </w:p>
    <w:p w14:paraId="51DE8797" w14:textId="77777777" w:rsidR="0010369C" w:rsidRDefault="008E43AE">
      <w:pPr>
        <w:pStyle w:val="BodyText"/>
        <w:spacing w:before="52" w:line="360" w:lineRule="auto"/>
        <w:ind w:left="236" w:right="612" w:firstLine="852"/>
        <w:jc w:val="both"/>
      </w:pPr>
      <w:r>
        <w:rPr>
          <w:noProof/>
        </w:rPr>
        <w:drawing>
          <wp:anchor distT="0" distB="0" distL="0" distR="0" simplePos="0" relativeHeight="250975744" behindDoc="1" locked="0" layoutInCell="1" allowOverlap="1" wp14:anchorId="51DEA1DD" wp14:editId="51DEA1DE">
            <wp:simplePos x="0" y="0"/>
            <wp:positionH relativeFrom="page">
              <wp:posOffset>905255</wp:posOffset>
            </wp:positionH>
            <wp:positionV relativeFrom="paragraph">
              <wp:posOffset>81949</wp:posOffset>
            </wp:positionV>
            <wp:extent cx="259079" cy="100753"/>
            <wp:effectExtent l="0" t="0" r="0" b="0"/>
            <wp:wrapNone/>
            <wp:docPr id="649" name="image3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 name="image335.png"/>
                    <pic:cNvPicPr/>
                  </pic:nvPicPr>
                  <pic:blipFill>
                    <a:blip r:embed="rId453" cstate="print"/>
                    <a:stretch>
                      <a:fillRect/>
                    </a:stretch>
                  </pic:blipFill>
                  <pic:spPr>
                    <a:xfrm>
                      <a:off x="0" y="0"/>
                      <a:ext cx="259079" cy="100753"/>
                    </a:xfrm>
                    <a:prstGeom prst="rect">
                      <a:avLst/>
                    </a:prstGeom>
                  </pic:spPr>
                </pic:pic>
              </a:graphicData>
            </a:graphic>
          </wp:anchor>
        </w:drawing>
      </w:r>
      <w:r>
        <w:t>This was the first, and last, request for information from MOFCOM relating to clean skin and Form 6‐1‐2. MOFCOM made no mention of any deficiencies contained in Casella Wines' response to question 4 of the Supplementary Questionnaire. MOFCOM oth</w:t>
      </w:r>
      <w:r>
        <w:t>erwise provided no explanation in the Final Determination as to why it considered alleged deficiencies</w:t>
      </w:r>
      <w:r>
        <w:rPr>
          <w:spacing w:val="-9"/>
        </w:rPr>
        <w:t xml:space="preserve"> </w:t>
      </w:r>
      <w:r>
        <w:t>to</w:t>
      </w:r>
      <w:r>
        <w:rPr>
          <w:spacing w:val="-7"/>
        </w:rPr>
        <w:t xml:space="preserve"> </w:t>
      </w:r>
      <w:r>
        <w:t>remain</w:t>
      </w:r>
      <w:r>
        <w:rPr>
          <w:spacing w:val="-8"/>
        </w:rPr>
        <w:t xml:space="preserve"> </w:t>
      </w:r>
      <w:r>
        <w:t>after</w:t>
      </w:r>
      <w:r>
        <w:rPr>
          <w:spacing w:val="-7"/>
        </w:rPr>
        <w:t xml:space="preserve"> </w:t>
      </w:r>
      <w:r>
        <w:t>receipt</w:t>
      </w:r>
      <w:r>
        <w:rPr>
          <w:spacing w:val="-7"/>
        </w:rPr>
        <w:t xml:space="preserve"> </w:t>
      </w:r>
      <w:r>
        <w:t>of</w:t>
      </w:r>
      <w:r>
        <w:rPr>
          <w:spacing w:val="-7"/>
        </w:rPr>
        <w:t xml:space="preserve"> </w:t>
      </w:r>
      <w:r>
        <w:t>Casella</w:t>
      </w:r>
      <w:r>
        <w:rPr>
          <w:spacing w:val="-8"/>
        </w:rPr>
        <w:t xml:space="preserve"> </w:t>
      </w:r>
      <w:r>
        <w:t>Wines'</w:t>
      </w:r>
      <w:r>
        <w:rPr>
          <w:spacing w:val="-7"/>
        </w:rPr>
        <w:t xml:space="preserve"> </w:t>
      </w:r>
      <w:r>
        <w:t>Supplementary</w:t>
      </w:r>
      <w:r>
        <w:rPr>
          <w:spacing w:val="-5"/>
        </w:rPr>
        <w:t xml:space="preserve"> </w:t>
      </w:r>
      <w:r>
        <w:t>Questionnaire</w:t>
      </w:r>
      <w:r>
        <w:rPr>
          <w:spacing w:val="-8"/>
        </w:rPr>
        <w:t xml:space="preserve"> </w:t>
      </w:r>
      <w:r>
        <w:t>response, and provided no notice of its rejection of Casella Wines' Supplementary Q</w:t>
      </w:r>
      <w:r>
        <w:t xml:space="preserve">uestionnaire </w:t>
      </w:r>
      <w:r>
        <w:rPr>
          <w:spacing w:val="-2"/>
        </w:rPr>
        <w:t>response.</w:t>
      </w:r>
    </w:p>
    <w:p w14:paraId="51DE8798" w14:textId="77777777" w:rsidR="0010369C" w:rsidRDefault="0010369C">
      <w:pPr>
        <w:pStyle w:val="BodyText"/>
        <w:spacing w:before="10"/>
        <w:rPr>
          <w:sz w:val="8"/>
        </w:rPr>
      </w:pPr>
    </w:p>
    <w:p w14:paraId="51DE8799" w14:textId="77777777" w:rsidR="0010369C" w:rsidRDefault="008E43AE">
      <w:pPr>
        <w:pStyle w:val="BodyText"/>
        <w:spacing w:before="52" w:line="360" w:lineRule="auto"/>
        <w:ind w:left="237" w:right="612" w:firstLine="851"/>
        <w:jc w:val="both"/>
      </w:pPr>
      <w:r>
        <w:rPr>
          <w:noProof/>
        </w:rPr>
        <w:drawing>
          <wp:anchor distT="0" distB="0" distL="0" distR="0" simplePos="0" relativeHeight="250976768" behindDoc="1" locked="0" layoutInCell="1" allowOverlap="1" wp14:anchorId="51DEA1DF" wp14:editId="51DEA1E0">
            <wp:simplePos x="0" y="0"/>
            <wp:positionH relativeFrom="page">
              <wp:posOffset>905255</wp:posOffset>
            </wp:positionH>
            <wp:positionV relativeFrom="paragraph">
              <wp:posOffset>81357</wp:posOffset>
            </wp:positionV>
            <wp:extent cx="259079" cy="103631"/>
            <wp:effectExtent l="0" t="0" r="0" b="0"/>
            <wp:wrapNone/>
            <wp:docPr id="651" name="image3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 name="image336.png"/>
                    <pic:cNvPicPr/>
                  </pic:nvPicPr>
                  <pic:blipFill>
                    <a:blip r:embed="rId454" cstate="print"/>
                    <a:stretch>
                      <a:fillRect/>
                    </a:stretch>
                  </pic:blipFill>
                  <pic:spPr>
                    <a:xfrm>
                      <a:off x="0" y="0"/>
                      <a:ext cx="259079" cy="103631"/>
                    </a:xfrm>
                    <a:prstGeom prst="rect">
                      <a:avLst/>
                    </a:prstGeom>
                  </pic:spPr>
                </pic:pic>
              </a:graphicData>
            </a:graphic>
          </wp:anchor>
        </w:drawing>
      </w:r>
      <w:r>
        <w:t xml:space="preserve">Assuming, </w:t>
      </w:r>
      <w:r>
        <w:rPr>
          <w:i/>
        </w:rPr>
        <w:t>arguendo</w:t>
      </w:r>
      <w:r>
        <w:t>, that the information contained in Form 6‐1‐2 was "necessary information" within the meaning of Article 6.8, to the extent that MOFCOM was dissatisfied with the information submitted, it was required to examine t</w:t>
      </w:r>
      <w:r>
        <w:t>hat information in light of the criteria in paragraph 3 of Annex II.</w:t>
      </w:r>
      <w:r>
        <w:rPr>
          <w:vertAlign w:val="superscript"/>
        </w:rPr>
        <w:t>356</w:t>
      </w:r>
      <w:r>
        <w:t xml:space="preserve"> In particular, at a minimum, MOFCOM is obliged to explain</w:t>
      </w:r>
      <w:r>
        <w:rPr>
          <w:spacing w:val="-8"/>
        </w:rPr>
        <w:t xml:space="preserve"> </w:t>
      </w:r>
      <w:r>
        <w:t>in</w:t>
      </w:r>
      <w:r>
        <w:rPr>
          <w:spacing w:val="-8"/>
        </w:rPr>
        <w:t xml:space="preserve"> </w:t>
      </w:r>
      <w:r>
        <w:t>what</w:t>
      </w:r>
      <w:r>
        <w:rPr>
          <w:spacing w:val="-8"/>
        </w:rPr>
        <w:t xml:space="preserve"> </w:t>
      </w:r>
      <w:r>
        <w:t>way</w:t>
      </w:r>
      <w:r>
        <w:rPr>
          <w:spacing w:val="-7"/>
        </w:rPr>
        <w:t xml:space="preserve"> </w:t>
      </w:r>
      <w:r>
        <w:t>the</w:t>
      </w:r>
      <w:r>
        <w:rPr>
          <w:spacing w:val="-8"/>
        </w:rPr>
        <w:t xml:space="preserve"> </w:t>
      </w:r>
      <w:r>
        <w:t>information</w:t>
      </w:r>
      <w:r>
        <w:rPr>
          <w:spacing w:val="-8"/>
        </w:rPr>
        <w:t xml:space="preserve"> </w:t>
      </w:r>
      <w:r>
        <w:t>it</w:t>
      </w:r>
      <w:r>
        <w:rPr>
          <w:spacing w:val="-7"/>
        </w:rPr>
        <w:t xml:space="preserve"> </w:t>
      </w:r>
      <w:r>
        <w:t>rejected</w:t>
      </w:r>
      <w:r>
        <w:rPr>
          <w:spacing w:val="-9"/>
        </w:rPr>
        <w:t xml:space="preserve"> </w:t>
      </w:r>
      <w:r>
        <w:t>did</w:t>
      </w:r>
      <w:r>
        <w:rPr>
          <w:spacing w:val="-7"/>
        </w:rPr>
        <w:t xml:space="preserve"> </w:t>
      </w:r>
      <w:r>
        <w:t>not</w:t>
      </w:r>
      <w:r>
        <w:rPr>
          <w:spacing w:val="-7"/>
        </w:rPr>
        <w:t xml:space="preserve"> </w:t>
      </w:r>
      <w:r>
        <w:t>meet</w:t>
      </w:r>
      <w:r>
        <w:rPr>
          <w:spacing w:val="-8"/>
        </w:rPr>
        <w:t xml:space="preserve"> </w:t>
      </w:r>
      <w:r>
        <w:t>the</w:t>
      </w:r>
      <w:r>
        <w:rPr>
          <w:spacing w:val="-7"/>
        </w:rPr>
        <w:t xml:space="preserve"> </w:t>
      </w:r>
      <w:r>
        <w:t>requirements.</w:t>
      </w:r>
      <w:r>
        <w:rPr>
          <w:vertAlign w:val="superscript"/>
        </w:rPr>
        <w:t>357</w:t>
      </w:r>
      <w:r>
        <w:rPr>
          <w:spacing w:val="-8"/>
        </w:rPr>
        <w:t xml:space="preserve"> </w:t>
      </w:r>
      <w:r>
        <w:t>Had</w:t>
      </w:r>
      <w:r>
        <w:rPr>
          <w:spacing w:val="-8"/>
        </w:rPr>
        <w:t xml:space="preserve"> </w:t>
      </w:r>
      <w:r>
        <w:t>it</w:t>
      </w:r>
      <w:r>
        <w:rPr>
          <w:spacing w:val="-7"/>
        </w:rPr>
        <w:t xml:space="preserve"> </w:t>
      </w:r>
      <w:r>
        <w:t>done so, MOFCOM would have concluded that the information submitted was, in fact, verifiable, appropriately submitted, timely and in an appropriate medium. There is no "unlimited right" for MOFCOM to reject</w:t>
      </w:r>
      <w:r>
        <w:rPr>
          <w:spacing w:val="-1"/>
        </w:rPr>
        <w:t xml:space="preserve"> </w:t>
      </w:r>
      <w:r>
        <w:t>all information and ascertain the normal value en</w:t>
      </w:r>
      <w:r>
        <w:t>tirely</w:t>
      </w:r>
      <w:r>
        <w:rPr>
          <w:spacing w:val="-2"/>
        </w:rPr>
        <w:t xml:space="preserve"> </w:t>
      </w:r>
      <w:r>
        <w:t>on the basis of facts</w:t>
      </w:r>
      <w:r>
        <w:rPr>
          <w:spacing w:val="-5"/>
        </w:rPr>
        <w:t xml:space="preserve"> </w:t>
      </w:r>
      <w:r>
        <w:t>available</w:t>
      </w:r>
      <w:r>
        <w:rPr>
          <w:spacing w:val="-4"/>
        </w:rPr>
        <w:t xml:space="preserve"> </w:t>
      </w:r>
      <w:r>
        <w:t>if</w:t>
      </w:r>
      <w:r>
        <w:rPr>
          <w:spacing w:val="-5"/>
        </w:rPr>
        <w:t xml:space="preserve"> </w:t>
      </w:r>
      <w:r>
        <w:t>some</w:t>
      </w:r>
      <w:r>
        <w:rPr>
          <w:spacing w:val="-5"/>
        </w:rPr>
        <w:t xml:space="preserve"> </w:t>
      </w:r>
      <w:r>
        <w:t>information</w:t>
      </w:r>
      <w:r>
        <w:rPr>
          <w:spacing w:val="-5"/>
        </w:rPr>
        <w:t xml:space="preserve"> </w:t>
      </w:r>
      <w:r>
        <w:t>was</w:t>
      </w:r>
      <w:r>
        <w:rPr>
          <w:spacing w:val="-5"/>
        </w:rPr>
        <w:t xml:space="preserve"> </w:t>
      </w:r>
      <w:r>
        <w:t>not</w:t>
      </w:r>
      <w:r>
        <w:rPr>
          <w:spacing w:val="-5"/>
        </w:rPr>
        <w:t xml:space="preserve"> </w:t>
      </w:r>
      <w:r>
        <w:t>provided,</w:t>
      </w:r>
      <w:r>
        <w:rPr>
          <w:spacing w:val="-4"/>
        </w:rPr>
        <w:t xml:space="preserve"> </w:t>
      </w:r>
      <w:r>
        <w:t>or</w:t>
      </w:r>
      <w:r>
        <w:rPr>
          <w:spacing w:val="-6"/>
        </w:rPr>
        <w:t xml:space="preserve"> </w:t>
      </w:r>
      <w:r>
        <w:t>if</w:t>
      </w:r>
      <w:r>
        <w:rPr>
          <w:spacing w:val="-5"/>
        </w:rPr>
        <w:t xml:space="preserve"> </w:t>
      </w:r>
      <w:r>
        <w:t>some</w:t>
      </w:r>
      <w:r>
        <w:rPr>
          <w:spacing w:val="-5"/>
        </w:rPr>
        <w:t xml:space="preserve"> </w:t>
      </w:r>
      <w:r>
        <w:t>information</w:t>
      </w:r>
      <w:r>
        <w:rPr>
          <w:spacing w:val="-5"/>
        </w:rPr>
        <w:t xml:space="preserve"> </w:t>
      </w:r>
      <w:r>
        <w:t>did</w:t>
      </w:r>
      <w:r>
        <w:rPr>
          <w:spacing w:val="-5"/>
        </w:rPr>
        <w:t xml:space="preserve"> </w:t>
      </w:r>
      <w:r>
        <w:t>not</w:t>
      </w:r>
      <w:r>
        <w:rPr>
          <w:spacing w:val="-6"/>
        </w:rPr>
        <w:t xml:space="preserve"> </w:t>
      </w:r>
      <w:r>
        <w:t>meet</w:t>
      </w:r>
      <w:r>
        <w:rPr>
          <w:spacing w:val="-5"/>
        </w:rPr>
        <w:t xml:space="preserve"> </w:t>
      </w:r>
      <w:r>
        <w:t>the criteria in paragraph 3 of Annex II.</w:t>
      </w:r>
      <w:r>
        <w:rPr>
          <w:vertAlign w:val="superscript"/>
        </w:rPr>
        <w:t>358</w:t>
      </w:r>
    </w:p>
    <w:p w14:paraId="51DE879A" w14:textId="77777777" w:rsidR="0010369C" w:rsidRDefault="0010369C">
      <w:pPr>
        <w:pStyle w:val="BodyText"/>
        <w:spacing w:before="10"/>
        <w:rPr>
          <w:sz w:val="8"/>
        </w:rPr>
      </w:pPr>
    </w:p>
    <w:p w14:paraId="51DE879B" w14:textId="77777777" w:rsidR="0010369C" w:rsidRDefault="008E43AE">
      <w:pPr>
        <w:pStyle w:val="BodyText"/>
        <w:spacing w:before="52" w:line="360" w:lineRule="auto"/>
        <w:ind w:left="237" w:right="614" w:firstLine="851"/>
        <w:jc w:val="both"/>
      </w:pPr>
      <w:r>
        <w:rPr>
          <w:noProof/>
        </w:rPr>
        <w:drawing>
          <wp:anchor distT="0" distB="0" distL="0" distR="0" simplePos="0" relativeHeight="250977792" behindDoc="1" locked="0" layoutInCell="1" allowOverlap="1" wp14:anchorId="51DEA1E1" wp14:editId="51DEA1E2">
            <wp:simplePos x="0" y="0"/>
            <wp:positionH relativeFrom="page">
              <wp:posOffset>905255</wp:posOffset>
            </wp:positionH>
            <wp:positionV relativeFrom="paragraph">
              <wp:posOffset>81949</wp:posOffset>
            </wp:positionV>
            <wp:extent cx="259079" cy="100753"/>
            <wp:effectExtent l="0" t="0" r="0" b="0"/>
            <wp:wrapNone/>
            <wp:docPr id="653" name="image3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 name="image337.png"/>
                    <pic:cNvPicPr/>
                  </pic:nvPicPr>
                  <pic:blipFill>
                    <a:blip r:embed="rId455" cstate="print"/>
                    <a:stretch>
                      <a:fillRect/>
                    </a:stretch>
                  </pic:blipFill>
                  <pic:spPr>
                    <a:xfrm>
                      <a:off x="0" y="0"/>
                      <a:ext cx="259079" cy="100753"/>
                    </a:xfrm>
                    <a:prstGeom prst="rect">
                      <a:avLst/>
                    </a:prstGeom>
                  </pic:spPr>
                </pic:pic>
              </a:graphicData>
            </a:graphic>
          </wp:anchor>
        </w:drawing>
      </w:r>
      <w:r>
        <w:t>MOFCOM was further obliged by paragraph 5 of Annex II to use the information provided to it, even</w:t>
      </w:r>
      <w:r>
        <w:t xml:space="preserve"> if not ideal in all respects, provided Casella Wines had acted to the best of</w:t>
      </w:r>
      <w:r>
        <w:rPr>
          <w:spacing w:val="2"/>
        </w:rPr>
        <w:t xml:space="preserve"> </w:t>
      </w:r>
      <w:r>
        <w:t>its</w:t>
      </w:r>
      <w:r>
        <w:rPr>
          <w:spacing w:val="2"/>
        </w:rPr>
        <w:t xml:space="preserve"> </w:t>
      </w:r>
      <w:r>
        <w:t>ability.</w:t>
      </w:r>
      <w:r>
        <w:rPr>
          <w:spacing w:val="1"/>
        </w:rPr>
        <w:t xml:space="preserve"> </w:t>
      </w:r>
      <w:r>
        <w:t>Casella</w:t>
      </w:r>
      <w:r>
        <w:rPr>
          <w:spacing w:val="1"/>
        </w:rPr>
        <w:t xml:space="preserve"> </w:t>
      </w:r>
      <w:r>
        <w:t>Wines</w:t>
      </w:r>
      <w:r>
        <w:rPr>
          <w:spacing w:val="1"/>
        </w:rPr>
        <w:t xml:space="preserve"> </w:t>
      </w:r>
      <w:r>
        <w:t>had</w:t>
      </w:r>
      <w:r>
        <w:rPr>
          <w:spacing w:val="2"/>
        </w:rPr>
        <w:t xml:space="preserve"> </w:t>
      </w:r>
      <w:r>
        <w:t>provided</w:t>
      </w:r>
      <w:r>
        <w:rPr>
          <w:spacing w:val="2"/>
        </w:rPr>
        <w:t xml:space="preserve"> </w:t>
      </w:r>
      <w:r>
        <w:t>complete</w:t>
      </w:r>
      <w:r>
        <w:rPr>
          <w:spacing w:val="2"/>
        </w:rPr>
        <w:t xml:space="preserve"> </w:t>
      </w:r>
      <w:r>
        <w:t>data,</w:t>
      </w:r>
      <w:r>
        <w:rPr>
          <w:spacing w:val="2"/>
        </w:rPr>
        <w:t xml:space="preserve"> </w:t>
      </w:r>
      <w:r>
        <w:t>with</w:t>
      </w:r>
      <w:r>
        <w:rPr>
          <w:spacing w:val="2"/>
        </w:rPr>
        <w:t xml:space="preserve"> </w:t>
      </w:r>
      <w:r>
        <w:t>full</w:t>
      </w:r>
      <w:r>
        <w:rPr>
          <w:spacing w:val="2"/>
        </w:rPr>
        <w:t xml:space="preserve"> </w:t>
      </w:r>
      <w:r>
        <w:t>explanations</w:t>
      </w:r>
      <w:r>
        <w:rPr>
          <w:spacing w:val="1"/>
        </w:rPr>
        <w:t xml:space="preserve"> </w:t>
      </w:r>
      <w:r>
        <w:t>of</w:t>
      </w:r>
      <w:r>
        <w:rPr>
          <w:spacing w:val="2"/>
        </w:rPr>
        <w:t xml:space="preserve"> </w:t>
      </w:r>
      <w:r>
        <w:t>why</w:t>
      </w:r>
      <w:r>
        <w:rPr>
          <w:spacing w:val="2"/>
        </w:rPr>
        <w:t xml:space="preserve"> </w:t>
      </w:r>
      <w:r>
        <w:t>it</w:t>
      </w:r>
      <w:r>
        <w:rPr>
          <w:spacing w:val="2"/>
        </w:rPr>
        <w:t xml:space="preserve"> </w:t>
      </w:r>
      <w:r>
        <w:rPr>
          <w:spacing w:val="-5"/>
        </w:rPr>
        <w:t>was</w:t>
      </w:r>
    </w:p>
    <w:p w14:paraId="51DE879C" w14:textId="77777777" w:rsidR="0010369C" w:rsidRDefault="008E43AE">
      <w:pPr>
        <w:pStyle w:val="BodyText"/>
        <w:spacing w:before="11"/>
        <w:rPr>
          <w:sz w:val="21"/>
        </w:rPr>
      </w:pPr>
      <w:r>
        <w:pict w14:anchorId="51DEA1E3">
          <v:rect id="docshape755" o:spid="_x0000_s1534" style="position:absolute;margin-left:70.9pt;margin-top:14.6pt;width:2in;height:.8pt;z-index:-250941952;mso-wrap-distance-left:0;mso-wrap-distance-right:0;mso-position-horizontal-relative:page" fillcolor="black" stroked="f">
            <w10:wrap type="topAndBottom" anchorx="page"/>
          </v:rect>
        </w:pict>
      </w:r>
    </w:p>
    <w:p w14:paraId="51DE879D" w14:textId="77777777" w:rsidR="0010369C" w:rsidRDefault="008E43AE">
      <w:pPr>
        <w:spacing w:before="110"/>
        <w:ind w:left="238"/>
        <w:rPr>
          <w:sz w:val="18"/>
        </w:rPr>
      </w:pPr>
      <w:r>
        <w:rPr>
          <w:sz w:val="18"/>
          <w:vertAlign w:val="superscript"/>
        </w:rPr>
        <w:t>355</w:t>
      </w:r>
      <w:r>
        <w:rPr>
          <w:spacing w:val="-8"/>
          <w:sz w:val="18"/>
        </w:rPr>
        <w:t xml:space="preserve"> </w:t>
      </w:r>
      <w:r>
        <w:rPr>
          <w:sz w:val="18"/>
        </w:rPr>
        <w:t>See</w:t>
      </w:r>
      <w:r>
        <w:rPr>
          <w:spacing w:val="-7"/>
          <w:sz w:val="18"/>
        </w:rPr>
        <w:t xml:space="preserve"> </w:t>
      </w:r>
      <w:r>
        <w:rPr>
          <w:sz w:val="18"/>
        </w:rPr>
        <w:t>Casella</w:t>
      </w:r>
      <w:r>
        <w:rPr>
          <w:spacing w:val="-7"/>
          <w:sz w:val="18"/>
        </w:rPr>
        <w:t xml:space="preserve"> </w:t>
      </w:r>
      <w:r>
        <w:rPr>
          <w:sz w:val="18"/>
        </w:rPr>
        <w:t>Wines</w:t>
      </w:r>
      <w:r>
        <w:rPr>
          <w:spacing w:val="-8"/>
          <w:sz w:val="18"/>
        </w:rPr>
        <w:t xml:space="preserve"> </w:t>
      </w:r>
      <w:r>
        <w:rPr>
          <w:sz w:val="18"/>
        </w:rPr>
        <w:t>Supplementary</w:t>
      </w:r>
      <w:r>
        <w:rPr>
          <w:spacing w:val="-7"/>
          <w:sz w:val="18"/>
        </w:rPr>
        <w:t xml:space="preserve"> </w:t>
      </w:r>
      <w:r>
        <w:rPr>
          <w:sz w:val="18"/>
        </w:rPr>
        <w:t>Questionnaire</w:t>
      </w:r>
      <w:r>
        <w:rPr>
          <w:spacing w:val="-7"/>
          <w:sz w:val="18"/>
        </w:rPr>
        <w:t xml:space="preserve"> </w:t>
      </w:r>
      <w:r>
        <w:rPr>
          <w:sz w:val="18"/>
        </w:rPr>
        <w:t>Response</w:t>
      </w:r>
      <w:r>
        <w:rPr>
          <w:spacing w:val="-8"/>
          <w:sz w:val="18"/>
        </w:rPr>
        <w:t xml:space="preserve"> </w:t>
      </w:r>
      <w:r>
        <w:rPr>
          <w:sz w:val="18"/>
        </w:rPr>
        <w:t>(Exhibit</w:t>
      </w:r>
      <w:r>
        <w:rPr>
          <w:spacing w:val="-7"/>
          <w:sz w:val="18"/>
        </w:rPr>
        <w:t xml:space="preserve"> </w:t>
      </w:r>
      <w:r>
        <w:rPr>
          <w:sz w:val="18"/>
        </w:rPr>
        <w:t>AUS‐30),</w:t>
      </w:r>
      <w:r>
        <w:rPr>
          <w:spacing w:val="-8"/>
          <w:sz w:val="18"/>
        </w:rPr>
        <w:t xml:space="preserve"> </w:t>
      </w:r>
      <w:r>
        <w:rPr>
          <w:sz w:val="18"/>
        </w:rPr>
        <w:t>pp.</w:t>
      </w:r>
      <w:r>
        <w:rPr>
          <w:spacing w:val="-8"/>
          <w:sz w:val="18"/>
        </w:rPr>
        <w:t xml:space="preserve"> </w:t>
      </w:r>
      <w:r>
        <w:rPr>
          <w:sz w:val="18"/>
        </w:rPr>
        <w:t>8‐9</w:t>
      </w:r>
      <w:r>
        <w:rPr>
          <w:spacing w:val="-8"/>
          <w:sz w:val="18"/>
        </w:rPr>
        <w:t xml:space="preserve"> </w:t>
      </w:r>
      <w:r>
        <w:rPr>
          <w:sz w:val="18"/>
        </w:rPr>
        <w:t>(question</w:t>
      </w:r>
      <w:r>
        <w:rPr>
          <w:spacing w:val="-7"/>
          <w:sz w:val="18"/>
        </w:rPr>
        <w:t xml:space="preserve"> </w:t>
      </w:r>
      <w:r>
        <w:rPr>
          <w:spacing w:val="-5"/>
          <w:sz w:val="18"/>
        </w:rPr>
        <w:t>4).</w:t>
      </w:r>
    </w:p>
    <w:p w14:paraId="51DE879E" w14:textId="77777777" w:rsidR="0010369C" w:rsidRDefault="008E43AE">
      <w:pPr>
        <w:ind w:left="238"/>
        <w:rPr>
          <w:sz w:val="18"/>
        </w:rPr>
      </w:pPr>
      <w:r>
        <w:rPr>
          <w:sz w:val="18"/>
          <w:vertAlign w:val="superscript"/>
        </w:rPr>
        <w:t>356</w:t>
      </w:r>
      <w:r>
        <w:rPr>
          <w:spacing w:val="-5"/>
          <w:sz w:val="18"/>
        </w:rPr>
        <w:t xml:space="preserve"> </w:t>
      </w:r>
      <w:r>
        <w:rPr>
          <w:sz w:val="18"/>
        </w:rPr>
        <w:t>Panel</w:t>
      </w:r>
      <w:r>
        <w:rPr>
          <w:spacing w:val="-5"/>
          <w:sz w:val="18"/>
        </w:rPr>
        <w:t xml:space="preserve"> </w:t>
      </w:r>
      <w:r>
        <w:rPr>
          <w:sz w:val="18"/>
        </w:rPr>
        <w:t>Report,</w:t>
      </w:r>
      <w:r>
        <w:rPr>
          <w:spacing w:val="-4"/>
          <w:sz w:val="18"/>
        </w:rPr>
        <w:t xml:space="preserve"> </w:t>
      </w:r>
      <w:r>
        <w:rPr>
          <w:i/>
          <w:sz w:val="18"/>
        </w:rPr>
        <w:t>US</w:t>
      </w:r>
      <w:r>
        <w:rPr>
          <w:i/>
          <w:spacing w:val="-4"/>
          <w:sz w:val="18"/>
        </w:rPr>
        <w:t xml:space="preserve"> </w:t>
      </w:r>
      <w:r>
        <w:rPr>
          <w:i/>
          <w:sz w:val="18"/>
        </w:rPr>
        <w:t>–</w:t>
      </w:r>
      <w:r>
        <w:rPr>
          <w:i/>
          <w:spacing w:val="-5"/>
          <w:sz w:val="18"/>
        </w:rPr>
        <w:t xml:space="preserve"> </w:t>
      </w:r>
      <w:r>
        <w:rPr>
          <w:i/>
          <w:sz w:val="18"/>
        </w:rPr>
        <w:t>Steel</w:t>
      </w:r>
      <w:r>
        <w:rPr>
          <w:i/>
          <w:spacing w:val="-6"/>
          <w:sz w:val="18"/>
        </w:rPr>
        <w:t xml:space="preserve"> </w:t>
      </w:r>
      <w:r>
        <w:rPr>
          <w:i/>
          <w:sz w:val="18"/>
        </w:rPr>
        <w:t>Plate</w:t>
      </w:r>
      <w:r>
        <w:rPr>
          <w:sz w:val="18"/>
        </w:rPr>
        <w:t>,</w:t>
      </w:r>
      <w:r>
        <w:rPr>
          <w:spacing w:val="-5"/>
          <w:sz w:val="18"/>
        </w:rPr>
        <w:t xml:space="preserve"> </w:t>
      </w:r>
      <w:r>
        <w:rPr>
          <w:sz w:val="18"/>
        </w:rPr>
        <w:t>para.</w:t>
      </w:r>
      <w:r>
        <w:rPr>
          <w:spacing w:val="-4"/>
          <w:sz w:val="18"/>
        </w:rPr>
        <w:t xml:space="preserve"> </w:t>
      </w:r>
      <w:r>
        <w:rPr>
          <w:spacing w:val="-2"/>
          <w:sz w:val="18"/>
        </w:rPr>
        <w:t>7.58.</w:t>
      </w:r>
    </w:p>
    <w:p w14:paraId="51DE879F" w14:textId="77777777" w:rsidR="0010369C" w:rsidRDefault="008E43AE">
      <w:pPr>
        <w:ind w:left="238"/>
        <w:rPr>
          <w:sz w:val="18"/>
        </w:rPr>
      </w:pPr>
      <w:r>
        <w:rPr>
          <w:sz w:val="18"/>
          <w:vertAlign w:val="superscript"/>
        </w:rPr>
        <w:t>357</w:t>
      </w:r>
      <w:r>
        <w:rPr>
          <w:spacing w:val="-5"/>
          <w:sz w:val="18"/>
        </w:rPr>
        <w:t xml:space="preserve"> </w:t>
      </w:r>
      <w:r>
        <w:rPr>
          <w:sz w:val="18"/>
        </w:rPr>
        <w:t>Panel</w:t>
      </w:r>
      <w:r>
        <w:rPr>
          <w:spacing w:val="-6"/>
          <w:sz w:val="18"/>
        </w:rPr>
        <w:t xml:space="preserve"> </w:t>
      </w:r>
      <w:r>
        <w:rPr>
          <w:sz w:val="18"/>
        </w:rPr>
        <w:t>Report,</w:t>
      </w:r>
      <w:r>
        <w:rPr>
          <w:spacing w:val="-5"/>
          <w:sz w:val="18"/>
        </w:rPr>
        <w:t xml:space="preserve"> </w:t>
      </w:r>
      <w:r>
        <w:rPr>
          <w:i/>
          <w:sz w:val="18"/>
        </w:rPr>
        <w:t>China</w:t>
      </w:r>
      <w:r>
        <w:rPr>
          <w:i/>
          <w:spacing w:val="-5"/>
          <w:sz w:val="18"/>
        </w:rPr>
        <w:t xml:space="preserve"> </w:t>
      </w:r>
      <w:r>
        <w:rPr>
          <w:i/>
          <w:sz w:val="18"/>
        </w:rPr>
        <w:t>–</w:t>
      </w:r>
      <w:r>
        <w:rPr>
          <w:i/>
          <w:spacing w:val="-5"/>
          <w:sz w:val="18"/>
        </w:rPr>
        <w:t xml:space="preserve"> </w:t>
      </w:r>
      <w:r>
        <w:rPr>
          <w:i/>
          <w:sz w:val="18"/>
        </w:rPr>
        <w:t>Broiler</w:t>
      </w:r>
      <w:r>
        <w:rPr>
          <w:i/>
          <w:spacing w:val="-6"/>
          <w:sz w:val="18"/>
        </w:rPr>
        <w:t xml:space="preserve"> </w:t>
      </w:r>
      <w:r>
        <w:rPr>
          <w:i/>
          <w:sz w:val="18"/>
        </w:rPr>
        <w:t>Products</w:t>
      </w:r>
      <w:r>
        <w:rPr>
          <w:i/>
          <w:spacing w:val="-6"/>
          <w:sz w:val="18"/>
        </w:rPr>
        <w:t xml:space="preserve"> </w:t>
      </w:r>
      <w:r>
        <w:rPr>
          <w:i/>
          <w:sz w:val="18"/>
        </w:rPr>
        <w:t>(Article</w:t>
      </w:r>
      <w:r>
        <w:rPr>
          <w:i/>
          <w:spacing w:val="-5"/>
          <w:sz w:val="18"/>
        </w:rPr>
        <w:t xml:space="preserve"> </w:t>
      </w:r>
      <w:r>
        <w:rPr>
          <w:i/>
          <w:sz w:val="18"/>
        </w:rPr>
        <w:t>21.5</w:t>
      </w:r>
      <w:r>
        <w:rPr>
          <w:i/>
          <w:spacing w:val="-5"/>
          <w:sz w:val="18"/>
        </w:rPr>
        <w:t xml:space="preserve"> </w:t>
      </w:r>
      <w:r>
        <w:rPr>
          <w:i/>
          <w:sz w:val="18"/>
        </w:rPr>
        <w:t>‐</w:t>
      </w:r>
      <w:r>
        <w:rPr>
          <w:i/>
          <w:spacing w:val="-5"/>
          <w:sz w:val="18"/>
        </w:rPr>
        <w:t xml:space="preserve"> </w:t>
      </w:r>
      <w:r>
        <w:rPr>
          <w:i/>
          <w:sz w:val="18"/>
        </w:rPr>
        <w:t>US)</w:t>
      </w:r>
      <w:r>
        <w:rPr>
          <w:sz w:val="18"/>
        </w:rPr>
        <w:t>,</w:t>
      </w:r>
      <w:r>
        <w:rPr>
          <w:spacing w:val="-6"/>
          <w:sz w:val="18"/>
        </w:rPr>
        <w:t xml:space="preserve"> </w:t>
      </w:r>
      <w:r>
        <w:rPr>
          <w:sz w:val="18"/>
        </w:rPr>
        <w:t>para.</w:t>
      </w:r>
      <w:r>
        <w:rPr>
          <w:spacing w:val="-5"/>
          <w:sz w:val="18"/>
        </w:rPr>
        <w:t xml:space="preserve"> </w:t>
      </w:r>
      <w:r>
        <w:rPr>
          <w:spacing w:val="-2"/>
          <w:sz w:val="18"/>
        </w:rPr>
        <w:t>7.343.</w:t>
      </w:r>
    </w:p>
    <w:p w14:paraId="51DE87A0" w14:textId="77777777" w:rsidR="0010369C" w:rsidRDefault="008E43AE">
      <w:pPr>
        <w:ind w:left="238"/>
        <w:rPr>
          <w:sz w:val="18"/>
        </w:rPr>
      </w:pPr>
      <w:r>
        <w:rPr>
          <w:sz w:val="18"/>
          <w:vertAlign w:val="superscript"/>
        </w:rPr>
        <w:t>358</w:t>
      </w:r>
      <w:r>
        <w:rPr>
          <w:spacing w:val="-5"/>
          <w:sz w:val="18"/>
        </w:rPr>
        <w:t xml:space="preserve"> </w:t>
      </w:r>
      <w:r>
        <w:rPr>
          <w:sz w:val="18"/>
        </w:rPr>
        <w:t>Panel</w:t>
      </w:r>
      <w:r>
        <w:rPr>
          <w:spacing w:val="-6"/>
          <w:sz w:val="18"/>
        </w:rPr>
        <w:t xml:space="preserve"> </w:t>
      </w:r>
      <w:r>
        <w:rPr>
          <w:sz w:val="18"/>
        </w:rPr>
        <w:t>Reports,</w:t>
      </w:r>
      <w:r>
        <w:rPr>
          <w:spacing w:val="-4"/>
          <w:sz w:val="18"/>
        </w:rPr>
        <w:t xml:space="preserve"> </w:t>
      </w:r>
      <w:r>
        <w:rPr>
          <w:i/>
          <w:sz w:val="18"/>
        </w:rPr>
        <w:t>US</w:t>
      </w:r>
      <w:r>
        <w:rPr>
          <w:i/>
          <w:spacing w:val="-5"/>
          <w:sz w:val="18"/>
        </w:rPr>
        <w:t xml:space="preserve"> </w:t>
      </w:r>
      <w:r>
        <w:rPr>
          <w:i/>
          <w:sz w:val="18"/>
        </w:rPr>
        <w:t>–</w:t>
      </w:r>
      <w:r>
        <w:rPr>
          <w:i/>
          <w:spacing w:val="-5"/>
          <w:sz w:val="18"/>
        </w:rPr>
        <w:t xml:space="preserve"> </w:t>
      </w:r>
      <w:r>
        <w:rPr>
          <w:i/>
          <w:sz w:val="18"/>
        </w:rPr>
        <w:t>Steel</w:t>
      </w:r>
      <w:r>
        <w:rPr>
          <w:i/>
          <w:spacing w:val="-5"/>
          <w:sz w:val="18"/>
        </w:rPr>
        <w:t xml:space="preserve"> </w:t>
      </w:r>
      <w:r>
        <w:rPr>
          <w:i/>
          <w:sz w:val="18"/>
        </w:rPr>
        <w:t>Plate</w:t>
      </w:r>
      <w:r>
        <w:rPr>
          <w:sz w:val="18"/>
        </w:rPr>
        <w:t>,</w:t>
      </w:r>
      <w:r>
        <w:rPr>
          <w:spacing w:val="-7"/>
          <w:sz w:val="18"/>
        </w:rPr>
        <w:t xml:space="preserve"> </w:t>
      </w:r>
      <w:r>
        <w:rPr>
          <w:sz w:val="18"/>
        </w:rPr>
        <w:t>para.</w:t>
      </w:r>
      <w:r>
        <w:rPr>
          <w:spacing w:val="-4"/>
          <w:sz w:val="18"/>
        </w:rPr>
        <w:t xml:space="preserve"> </w:t>
      </w:r>
      <w:r>
        <w:rPr>
          <w:sz w:val="18"/>
        </w:rPr>
        <w:t>7.57;</w:t>
      </w:r>
      <w:r>
        <w:rPr>
          <w:spacing w:val="-6"/>
          <w:sz w:val="18"/>
        </w:rPr>
        <w:t xml:space="preserve"> </w:t>
      </w:r>
      <w:r>
        <w:rPr>
          <w:i/>
          <w:sz w:val="18"/>
        </w:rPr>
        <w:t>China</w:t>
      </w:r>
      <w:r>
        <w:rPr>
          <w:i/>
          <w:spacing w:val="-5"/>
          <w:sz w:val="18"/>
        </w:rPr>
        <w:t xml:space="preserve"> </w:t>
      </w:r>
      <w:r>
        <w:rPr>
          <w:i/>
          <w:sz w:val="18"/>
        </w:rPr>
        <w:t>–</w:t>
      </w:r>
      <w:r>
        <w:rPr>
          <w:i/>
          <w:spacing w:val="-4"/>
          <w:sz w:val="18"/>
        </w:rPr>
        <w:t xml:space="preserve"> </w:t>
      </w:r>
      <w:r>
        <w:rPr>
          <w:i/>
          <w:sz w:val="18"/>
        </w:rPr>
        <w:t>Broiler</w:t>
      </w:r>
      <w:r>
        <w:rPr>
          <w:i/>
          <w:spacing w:val="-6"/>
          <w:sz w:val="18"/>
        </w:rPr>
        <w:t xml:space="preserve"> </w:t>
      </w:r>
      <w:r>
        <w:rPr>
          <w:i/>
          <w:sz w:val="18"/>
        </w:rPr>
        <w:t>Products</w:t>
      </w:r>
      <w:r>
        <w:rPr>
          <w:i/>
          <w:spacing w:val="-5"/>
          <w:sz w:val="18"/>
        </w:rPr>
        <w:t xml:space="preserve"> </w:t>
      </w:r>
      <w:r>
        <w:rPr>
          <w:i/>
          <w:sz w:val="18"/>
        </w:rPr>
        <w:t>(Article</w:t>
      </w:r>
      <w:r>
        <w:rPr>
          <w:i/>
          <w:spacing w:val="-5"/>
          <w:sz w:val="18"/>
        </w:rPr>
        <w:t xml:space="preserve"> </w:t>
      </w:r>
      <w:r>
        <w:rPr>
          <w:i/>
          <w:sz w:val="18"/>
        </w:rPr>
        <w:t>21.5</w:t>
      </w:r>
      <w:r>
        <w:rPr>
          <w:i/>
          <w:spacing w:val="-5"/>
          <w:sz w:val="18"/>
        </w:rPr>
        <w:t xml:space="preserve"> </w:t>
      </w:r>
      <w:r>
        <w:rPr>
          <w:i/>
          <w:sz w:val="18"/>
        </w:rPr>
        <w:t>‐</w:t>
      </w:r>
      <w:r>
        <w:rPr>
          <w:i/>
          <w:spacing w:val="-4"/>
          <w:sz w:val="18"/>
        </w:rPr>
        <w:t xml:space="preserve"> </w:t>
      </w:r>
      <w:r>
        <w:rPr>
          <w:i/>
          <w:sz w:val="18"/>
        </w:rPr>
        <w:t>US)</w:t>
      </w:r>
      <w:r>
        <w:rPr>
          <w:sz w:val="18"/>
        </w:rPr>
        <w:t>,</w:t>
      </w:r>
      <w:r>
        <w:rPr>
          <w:spacing w:val="-6"/>
          <w:sz w:val="18"/>
        </w:rPr>
        <w:t xml:space="preserve"> </w:t>
      </w:r>
      <w:r>
        <w:rPr>
          <w:sz w:val="18"/>
        </w:rPr>
        <w:t>para.</w:t>
      </w:r>
      <w:r>
        <w:rPr>
          <w:spacing w:val="-4"/>
          <w:sz w:val="18"/>
        </w:rPr>
        <w:t xml:space="preserve"> </w:t>
      </w:r>
      <w:r>
        <w:rPr>
          <w:spacing w:val="-2"/>
          <w:sz w:val="18"/>
        </w:rPr>
        <w:t>7.343</w:t>
      </w:r>
    </w:p>
    <w:p w14:paraId="51DE87A1" w14:textId="77777777" w:rsidR="0010369C" w:rsidRDefault="0010369C">
      <w:pPr>
        <w:rPr>
          <w:sz w:val="18"/>
        </w:rPr>
        <w:sectPr w:rsidR="0010369C">
          <w:headerReference w:type="default" r:id="rId456"/>
          <w:footerReference w:type="default" r:id="rId457"/>
          <w:pgSz w:w="11910" w:h="16840"/>
          <w:pgMar w:top="880" w:right="800" w:bottom="980" w:left="1180" w:header="569" w:footer="788" w:gutter="0"/>
          <w:cols w:space="720"/>
        </w:sectPr>
      </w:pPr>
    </w:p>
    <w:p w14:paraId="51DE87A2" w14:textId="77777777" w:rsidR="0010369C" w:rsidRDefault="008E43AE">
      <w:pPr>
        <w:tabs>
          <w:tab w:val="left" w:pos="6425"/>
        </w:tabs>
        <w:ind w:left="238"/>
        <w:rPr>
          <w:sz w:val="20"/>
        </w:rPr>
      </w:pPr>
      <w:r>
        <w:rPr>
          <w:i/>
          <w:sz w:val="20"/>
        </w:rPr>
        <w:lastRenderedPageBreak/>
        <w:t>China</w:t>
      </w:r>
      <w:r>
        <w:rPr>
          <w:i/>
          <w:spacing w:val="-5"/>
          <w:sz w:val="20"/>
        </w:rPr>
        <w:t xml:space="preserve"> </w:t>
      </w:r>
      <w:r>
        <w:rPr>
          <w:i/>
          <w:sz w:val="20"/>
        </w:rPr>
        <w:t>–</w:t>
      </w:r>
      <w:r>
        <w:rPr>
          <w:i/>
          <w:spacing w:val="-5"/>
          <w:sz w:val="20"/>
        </w:rPr>
        <w:t xml:space="preserve"> </w:t>
      </w:r>
      <w:r>
        <w:rPr>
          <w:i/>
          <w:sz w:val="20"/>
        </w:rPr>
        <w:t>Anti‐Dumping</w:t>
      </w:r>
      <w:r>
        <w:rPr>
          <w:i/>
          <w:spacing w:val="-4"/>
          <w:sz w:val="20"/>
        </w:rPr>
        <w:t xml:space="preserve"> </w:t>
      </w:r>
      <w:r>
        <w:rPr>
          <w:i/>
          <w:sz w:val="20"/>
        </w:rPr>
        <w:t>and</w:t>
      </w:r>
      <w:r>
        <w:rPr>
          <w:i/>
          <w:spacing w:val="-5"/>
          <w:sz w:val="20"/>
        </w:rPr>
        <w:t xml:space="preserve"> </w:t>
      </w:r>
      <w:r>
        <w:rPr>
          <w:i/>
          <w:sz w:val="20"/>
        </w:rPr>
        <w:t>Countervailing</w:t>
      </w:r>
      <w:r>
        <w:rPr>
          <w:i/>
          <w:spacing w:val="-5"/>
          <w:sz w:val="20"/>
        </w:rPr>
        <w:t xml:space="preserve"> </w:t>
      </w:r>
      <w:r>
        <w:rPr>
          <w:i/>
          <w:sz w:val="20"/>
        </w:rPr>
        <w:t>Duty</w:t>
      </w:r>
      <w:r>
        <w:rPr>
          <w:i/>
          <w:spacing w:val="-4"/>
          <w:sz w:val="20"/>
        </w:rPr>
        <w:t xml:space="preserve"> </w:t>
      </w:r>
      <w:r>
        <w:rPr>
          <w:i/>
          <w:spacing w:val="-2"/>
          <w:sz w:val="20"/>
        </w:rPr>
        <w:t>Measures</w:t>
      </w:r>
      <w:r>
        <w:rPr>
          <w:i/>
          <w:sz w:val="20"/>
        </w:rPr>
        <w:tab/>
      </w:r>
      <w:r>
        <w:rPr>
          <w:sz w:val="20"/>
        </w:rPr>
        <w:t>Australia's</w:t>
      </w:r>
      <w:r>
        <w:rPr>
          <w:spacing w:val="-7"/>
          <w:sz w:val="20"/>
        </w:rPr>
        <w:t xml:space="preserve"> </w:t>
      </w:r>
      <w:r>
        <w:rPr>
          <w:sz w:val="20"/>
        </w:rPr>
        <w:t>First</w:t>
      </w:r>
      <w:r>
        <w:rPr>
          <w:spacing w:val="-2"/>
          <w:sz w:val="20"/>
        </w:rPr>
        <w:t xml:space="preserve"> </w:t>
      </w:r>
      <w:r>
        <w:rPr>
          <w:sz w:val="20"/>
        </w:rPr>
        <w:t>Written</w:t>
      </w:r>
      <w:r>
        <w:rPr>
          <w:spacing w:val="-2"/>
          <w:sz w:val="20"/>
        </w:rPr>
        <w:t xml:space="preserve"> Submission</w:t>
      </w:r>
    </w:p>
    <w:p w14:paraId="51DE87A3" w14:textId="77777777" w:rsidR="0010369C" w:rsidRDefault="008E43AE">
      <w:pPr>
        <w:tabs>
          <w:tab w:val="left" w:pos="8227"/>
        </w:tabs>
        <w:spacing w:before="1"/>
        <w:ind w:left="239"/>
        <w:rPr>
          <w:sz w:val="20"/>
        </w:rPr>
      </w:pPr>
      <w:r>
        <w:rPr>
          <w:i/>
          <w:sz w:val="20"/>
        </w:rPr>
        <w:t>on</w:t>
      </w:r>
      <w:r>
        <w:rPr>
          <w:i/>
          <w:spacing w:val="-1"/>
          <w:sz w:val="20"/>
        </w:rPr>
        <w:t xml:space="preserve"> </w:t>
      </w:r>
      <w:r>
        <w:rPr>
          <w:i/>
          <w:sz w:val="20"/>
        </w:rPr>
        <w:t>Wine</w:t>
      </w:r>
      <w:r>
        <w:rPr>
          <w:i/>
          <w:spacing w:val="-1"/>
          <w:sz w:val="20"/>
        </w:rPr>
        <w:t xml:space="preserve"> </w:t>
      </w:r>
      <w:r>
        <w:rPr>
          <w:i/>
          <w:sz w:val="20"/>
        </w:rPr>
        <w:t>from</w:t>
      </w:r>
      <w:r>
        <w:rPr>
          <w:i/>
          <w:spacing w:val="-3"/>
          <w:sz w:val="20"/>
        </w:rPr>
        <w:t xml:space="preserve"> </w:t>
      </w:r>
      <w:r>
        <w:rPr>
          <w:i/>
          <w:sz w:val="20"/>
        </w:rPr>
        <w:t>Australia</w:t>
      </w:r>
      <w:r>
        <w:rPr>
          <w:i/>
          <w:spacing w:val="-1"/>
          <w:sz w:val="20"/>
        </w:rPr>
        <w:t xml:space="preserve"> </w:t>
      </w:r>
      <w:r>
        <w:rPr>
          <w:spacing w:val="-2"/>
          <w:sz w:val="20"/>
        </w:rPr>
        <w:t>(DS602)</w:t>
      </w:r>
      <w:r>
        <w:rPr>
          <w:sz w:val="20"/>
        </w:rPr>
        <w:tab/>
        <w:t>29</w:t>
      </w:r>
      <w:r>
        <w:rPr>
          <w:spacing w:val="-1"/>
          <w:sz w:val="20"/>
        </w:rPr>
        <w:t xml:space="preserve"> </w:t>
      </w:r>
      <w:r>
        <w:rPr>
          <w:sz w:val="20"/>
        </w:rPr>
        <w:t>April</w:t>
      </w:r>
      <w:r>
        <w:rPr>
          <w:spacing w:val="-2"/>
          <w:sz w:val="20"/>
        </w:rPr>
        <w:t xml:space="preserve"> </w:t>
      </w:r>
      <w:r>
        <w:rPr>
          <w:spacing w:val="-4"/>
          <w:sz w:val="20"/>
        </w:rPr>
        <w:t>2022</w:t>
      </w:r>
    </w:p>
    <w:p w14:paraId="51DE87A4" w14:textId="77777777" w:rsidR="0010369C" w:rsidRDefault="008E43AE">
      <w:pPr>
        <w:pStyle w:val="BodyText"/>
        <w:spacing w:before="34" w:line="360" w:lineRule="auto"/>
        <w:ind w:left="237" w:right="614"/>
      </w:pPr>
      <w:r>
        <w:t>presented in the way chosen. Accordingly, MOFCOM had no proper basis to refuse to make use of it.</w:t>
      </w:r>
    </w:p>
    <w:p w14:paraId="51DE87A5" w14:textId="77777777" w:rsidR="0010369C" w:rsidRDefault="0010369C">
      <w:pPr>
        <w:pStyle w:val="BodyText"/>
        <w:spacing w:before="10"/>
        <w:rPr>
          <w:sz w:val="8"/>
        </w:rPr>
      </w:pPr>
    </w:p>
    <w:p w14:paraId="51DE87A6" w14:textId="77777777" w:rsidR="0010369C" w:rsidRDefault="008E43AE">
      <w:pPr>
        <w:pStyle w:val="BodyText"/>
        <w:spacing w:before="52" w:line="360" w:lineRule="auto"/>
        <w:ind w:left="236" w:right="612" w:firstLine="852"/>
        <w:jc w:val="both"/>
      </w:pPr>
      <w:r>
        <w:rPr>
          <w:noProof/>
        </w:rPr>
        <w:drawing>
          <wp:anchor distT="0" distB="0" distL="0" distR="0" simplePos="0" relativeHeight="250978816" behindDoc="1" locked="0" layoutInCell="1" allowOverlap="1" wp14:anchorId="51DEA1E4" wp14:editId="51DEA1E5">
            <wp:simplePos x="0" y="0"/>
            <wp:positionH relativeFrom="page">
              <wp:posOffset>905255</wp:posOffset>
            </wp:positionH>
            <wp:positionV relativeFrom="paragraph">
              <wp:posOffset>76785</wp:posOffset>
            </wp:positionV>
            <wp:extent cx="259079" cy="106679"/>
            <wp:effectExtent l="0" t="0" r="0" b="0"/>
            <wp:wrapNone/>
            <wp:docPr id="655" name="image3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 name="image338.png"/>
                    <pic:cNvPicPr/>
                  </pic:nvPicPr>
                  <pic:blipFill>
                    <a:blip r:embed="rId458" cstate="print"/>
                    <a:stretch>
                      <a:fillRect/>
                    </a:stretch>
                  </pic:blipFill>
                  <pic:spPr>
                    <a:xfrm>
                      <a:off x="0" y="0"/>
                      <a:ext cx="259079" cy="106679"/>
                    </a:xfrm>
                    <a:prstGeom prst="rect">
                      <a:avLst/>
                    </a:prstGeom>
                  </pic:spPr>
                </pic:pic>
              </a:graphicData>
            </a:graphic>
          </wp:anchor>
        </w:drawing>
      </w:r>
      <w:r>
        <w:t>MOFCOM otherwise did not inform Casella Wines of the reasons for not accepting the</w:t>
      </w:r>
      <w:r>
        <w:rPr>
          <w:spacing w:val="-9"/>
        </w:rPr>
        <w:t xml:space="preserve"> </w:t>
      </w:r>
      <w:r>
        <w:t>information</w:t>
      </w:r>
      <w:r>
        <w:rPr>
          <w:spacing w:val="-9"/>
        </w:rPr>
        <w:t xml:space="preserve"> </w:t>
      </w:r>
      <w:r>
        <w:t>submitted</w:t>
      </w:r>
      <w:r>
        <w:rPr>
          <w:spacing w:val="-10"/>
        </w:rPr>
        <w:t xml:space="preserve"> </w:t>
      </w:r>
      <w:r>
        <w:t>in</w:t>
      </w:r>
      <w:r>
        <w:rPr>
          <w:spacing w:val="-10"/>
        </w:rPr>
        <w:t xml:space="preserve"> </w:t>
      </w:r>
      <w:r>
        <w:t>Casella</w:t>
      </w:r>
      <w:r>
        <w:rPr>
          <w:spacing w:val="-12"/>
        </w:rPr>
        <w:t xml:space="preserve"> </w:t>
      </w:r>
      <w:r>
        <w:t>Wines'</w:t>
      </w:r>
      <w:r>
        <w:rPr>
          <w:spacing w:val="-10"/>
        </w:rPr>
        <w:t xml:space="preserve"> </w:t>
      </w:r>
      <w:r>
        <w:t>response</w:t>
      </w:r>
      <w:r>
        <w:rPr>
          <w:spacing w:val="-10"/>
        </w:rPr>
        <w:t xml:space="preserve"> </w:t>
      </w:r>
      <w:r>
        <w:t>to</w:t>
      </w:r>
      <w:r>
        <w:rPr>
          <w:spacing w:val="-9"/>
        </w:rPr>
        <w:t xml:space="preserve"> </w:t>
      </w:r>
      <w:r>
        <w:t>the</w:t>
      </w:r>
      <w:r>
        <w:rPr>
          <w:spacing w:val="-10"/>
        </w:rPr>
        <w:t xml:space="preserve"> </w:t>
      </w:r>
      <w:r>
        <w:t>Preliminary</w:t>
      </w:r>
      <w:r>
        <w:rPr>
          <w:spacing w:val="-12"/>
        </w:rPr>
        <w:t xml:space="preserve"> </w:t>
      </w:r>
      <w:r>
        <w:t>Determination</w:t>
      </w:r>
      <w:r>
        <w:rPr>
          <w:spacing w:val="-9"/>
        </w:rPr>
        <w:t xml:space="preserve"> </w:t>
      </w:r>
      <w:r>
        <w:t>or</w:t>
      </w:r>
      <w:r>
        <w:rPr>
          <w:spacing w:val="-10"/>
        </w:rPr>
        <w:t xml:space="preserve"> </w:t>
      </w:r>
      <w:r>
        <w:t>the Supplementary</w:t>
      </w:r>
      <w:r>
        <w:rPr>
          <w:spacing w:val="-12"/>
        </w:rPr>
        <w:t xml:space="preserve"> </w:t>
      </w:r>
      <w:r>
        <w:t>Questionnaire,</w:t>
      </w:r>
      <w:r>
        <w:rPr>
          <w:spacing w:val="-13"/>
        </w:rPr>
        <w:t xml:space="preserve"> </w:t>
      </w:r>
      <w:r>
        <w:t>did</w:t>
      </w:r>
      <w:r>
        <w:rPr>
          <w:spacing w:val="-12"/>
        </w:rPr>
        <w:t xml:space="preserve"> </w:t>
      </w:r>
      <w:r>
        <w:t>not</w:t>
      </w:r>
      <w:r>
        <w:rPr>
          <w:spacing w:val="-12"/>
        </w:rPr>
        <w:t xml:space="preserve"> </w:t>
      </w:r>
      <w:r>
        <w:t>provide</w:t>
      </w:r>
      <w:r>
        <w:rPr>
          <w:spacing w:val="-11"/>
        </w:rPr>
        <w:t xml:space="preserve"> </w:t>
      </w:r>
      <w:r>
        <w:t>an</w:t>
      </w:r>
      <w:r>
        <w:rPr>
          <w:spacing w:val="-12"/>
        </w:rPr>
        <w:t xml:space="preserve"> </w:t>
      </w:r>
      <w:r>
        <w:t>opportunity</w:t>
      </w:r>
      <w:r>
        <w:rPr>
          <w:spacing w:val="-11"/>
        </w:rPr>
        <w:t xml:space="preserve"> </w:t>
      </w:r>
      <w:r>
        <w:t>to</w:t>
      </w:r>
      <w:r>
        <w:rPr>
          <w:spacing w:val="-12"/>
        </w:rPr>
        <w:t xml:space="preserve"> </w:t>
      </w:r>
      <w:r>
        <w:t>provide</w:t>
      </w:r>
      <w:r>
        <w:rPr>
          <w:spacing w:val="-11"/>
        </w:rPr>
        <w:t xml:space="preserve"> </w:t>
      </w:r>
      <w:r>
        <w:t>further</w:t>
      </w:r>
      <w:r>
        <w:rPr>
          <w:spacing w:val="-12"/>
        </w:rPr>
        <w:t xml:space="preserve"> </w:t>
      </w:r>
      <w:r>
        <w:t>expla</w:t>
      </w:r>
      <w:r>
        <w:t>nations and did not provide reasons for the rejection of information, as required by paragraph 6 of Annex II. MOFCOM stated in the Final Disclosure published on 12</w:t>
      </w:r>
      <w:r>
        <w:rPr>
          <w:spacing w:val="-3"/>
        </w:rPr>
        <w:t xml:space="preserve"> </w:t>
      </w:r>
      <w:r>
        <w:t>March</w:t>
      </w:r>
      <w:r>
        <w:rPr>
          <w:spacing w:val="-3"/>
        </w:rPr>
        <w:t xml:space="preserve"> </w:t>
      </w:r>
      <w:r>
        <w:t>2021, which was 14 calendar days prior to the Final Determination, that it "decided in</w:t>
      </w:r>
      <w:r>
        <w:t xml:space="preserve"> the Preliminary Ruling to conduct a review and evaluation on the basis of the facts already obtained and the best information available" for the purposes of determining normal value.</w:t>
      </w:r>
      <w:r>
        <w:rPr>
          <w:vertAlign w:val="superscript"/>
        </w:rPr>
        <w:t>359</w:t>
      </w:r>
    </w:p>
    <w:p w14:paraId="51DE87A7" w14:textId="77777777" w:rsidR="0010369C" w:rsidRDefault="0010369C">
      <w:pPr>
        <w:pStyle w:val="BodyText"/>
        <w:spacing w:before="10"/>
        <w:rPr>
          <w:sz w:val="8"/>
        </w:rPr>
      </w:pPr>
    </w:p>
    <w:p w14:paraId="51DE87A8" w14:textId="77777777" w:rsidR="0010369C" w:rsidRDefault="008E43AE">
      <w:pPr>
        <w:pStyle w:val="BodyText"/>
        <w:spacing w:before="52" w:line="360" w:lineRule="auto"/>
        <w:ind w:left="236" w:right="613" w:firstLine="852"/>
        <w:jc w:val="both"/>
      </w:pPr>
      <w:r>
        <w:rPr>
          <w:noProof/>
        </w:rPr>
        <w:drawing>
          <wp:anchor distT="0" distB="0" distL="0" distR="0" simplePos="0" relativeHeight="250979840" behindDoc="1" locked="0" layoutInCell="1" allowOverlap="1" wp14:anchorId="51DEA1E6" wp14:editId="51DEA1E7">
            <wp:simplePos x="0" y="0"/>
            <wp:positionH relativeFrom="page">
              <wp:posOffset>905255</wp:posOffset>
            </wp:positionH>
            <wp:positionV relativeFrom="paragraph">
              <wp:posOffset>80595</wp:posOffset>
            </wp:positionV>
            <wp:extent cx="259079" cy="103631"/>
            <wp:effectExtent l="0" t="0" r="0" b="0"/>
            <wp:wrapNone/>
            <wp:docPr id="657" name="image3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 name="image339.png"/>
                    <pic:cNvPicPr/>
                  </pic:nvPicPr>
                  <pic:blipFill>
                    <a:blip r:embed="rId459" cstate="print"/>
                    <a:stretch>
                      <a:fillRect/>
                    </a:stretch>
                  </pic:blipFill>
                  <pic:spPr>
                    <a:xfrm>
                      <a:off x="0" y="0"/>
                      <a:ext cx="259079" cy="103631"/>
                    </a:xfrm>
                    <a:prstGeom prst="rect">
                      <a:avLst/>
                    </a:prstGeom>
                  </pic:spPr>
                </pic:pic>
              </a:graphicData>
            </a:graphic>
          </wp:anchor>
        </w:drawing>
      </w:r>
      <w:r>
        <w:t>Given the length of time between receipt of Casella Wines' Anti‐Dum</w:t>
      </w:r>
      <w:r>
        <w:t xml:space="preserve">ping Questionnaire Response, its response to the Preliminary Determination, and publication of the Final Determination, it is clear that MOFCOM failed to notify Casella Wines why its submitted information had not been accepted </w:t>
      </w:r>
      <w:r>
        <w:rPr>
          <w:i/>
        </w:rPr>
        <w:t xml:space="preserve">immediately </w:t>
      </w:r>
      <w:r>
        <w:t xml:space="preserve">and </w:t>
      </w:r>
      <w:r>
        <w:rPr>
          <w:i/>
        </w:rPr>
        <w:t>without delay</w:t>
      </w:r>
      <w:r>
        <w:t>. Further, paragraph 6 of Annex II required MOFCOM to provide an opportunity for Casella Wines to provide</w:t>
      </w:r>
      <w:r>
        <w:rPr>
          <w:spacing w:val="-4"/>
        </w:rPr>
        <w:t xml:space="preserve"> </w:t>
      </w:r>
      <w:r>
        <w:t>further</w:t>
      </w:r>
      <w:r>
        <w:rPr>
          <w:spacing w:val="-5"/>
        </w:rPr>
        <w:t xml:space="preserve"> </w:t>
      </w:r>
      <w:r>
        <w:t>explanations</w:t>
      </w:r>
      <w:r>
        <w:rPr>
          <w:spacing w:val="-5"/>
        </w:rPr>
        <w:t xml:space="preserve"> </w:t>
      </w:r>
      <w:r>
        <w:t>within</w:t>
      </w:r>
      <w:r>
        <w:rPr>
          <w:spacing w:val="-5"/>
        </w:rPr>
        <w:t xml:space="preserve"> </w:t>
      </w:r>
      <w:r>
        <w:t>a</w:t>
      </w:r>
      <w:r>
        <w:rPr>
          <w:spacing w:val="-5"/>
        </w:rPr>
        <w:t xml:space="preserve"> </w:t>
      </w:r>
      <w:r>
        <w:t>reasonable</w:t>
      </w:r>
      <w:r>
        <w:rPr>
          <w:spacing w:val="-5"/>
        </w:rPr>
        <w:t xml:space="preserve"> </w:t>
      </w:r>
      <w:r>
        <w:t>period,</w:t>
      </w:r>
      <w:r>
        <w:rPr>
          <w:spacing w:val="-5"/>
        </w:rPr>
        <w:t xml:space="preserve"> </w:t>
      </w:r>
      <w:r>
        <w:t>due</w:t>
      </w:r>
      <w:r>
        <w:rPr>
          <w:spacing w:val="-4"/>
        </w:rPr>
        <w:t xml:space="preserve"> </w:t>
      </w:r>
      <w:r>
        <w:t>account</w:t>
      </w:r>
      <w:r>
        <w:rPr>
          <w:spacing w:val="-5"/>
        </w:rPr>
        <w:t xml:space="preserve"> </w:t>
      </w:r>
      <w:r>
        <w:t>being</w:t>
      </w:r>
      <w:r>
        <w:rPr>
          <w:spacing w:val="-5"/>
        </w:rPr>
        <w:t xml:space="preserve"> </w:t>
      </w:r>
      <w:r>
        <w:t>taken</w:t>
      </w:r>
      <w:r>
        <w:rPr>
          <w:spacing w:val="-5"/>
        </w:rPr>
        <w:t xml:space="preserve"> </w:t>
      </w:r>
      <w:r>
        <w:t>of</w:t>
      </w:r>
      <w:r>
        <w:rPr>
          <w:spacing w:val="-5"/>
        </w:rPr>
        <w:t xml:space="preserve"> </w:t>
      </w:r>
      <w:r>
        <w:t>the</w:t>
      </w:r>
      <w:r>
        <w:rPr>
          <w:spacing w:val="-4"/>
        </w:rPr>
        <w:t xml:space="preserve"> </w:t>
      </w:r>
      <w:r>
        <w:t xml:space="preserve">time limits of the investigation. However, MOFCOM never provided Casella Wines with such an </w:t>
      </w:r>
      <w:r>
        <w:rPr>
          <w:spacing w:val="-2"/>
        </w:rPr>
        <w:t>opportunity.</w:t>
      </w:r>
    </w:p>
    <w:p w14:paraId="51DE87A9" w14:textId="77777777" w:rsidR="0010369C" w:rsidRDefault="0010369C">
      <w:pPr>
        <w:pStyle w:val="BodyText"/>
        <w:spacing w:before="11"/>
        <w:rPr>
          <w:sz w:val="8"/>
        </w:rPr>
      </w:pPr>
    </w:p>
    <w:p w14:paraId="51DE87AA" w14:textId="77777777" w:rsidR="0010369C" w:rsidRDefault="008E43AE">
      <w:pPr>
        <w:pStyle w:val="BodyText"/>
        <w:spacing w:before="51" w:line="360" w:lineRule="auto"/>
        <w:ind w:left="237" w:right="617" w:firstLine="851"/>
        <w:jc w:val="both"/>
      </w:pPr>
      <w:r>
        <w:rPr>
          <w:noProof/>
        </w:rPr>
        <w:drawing>
          <wp:anchor distT="0" distB="0" distL="0" distR="0" simplePos="0" relativeHeight="250980864" behindDoc="1" locked="0" layoutInCell="1" allowOverlap="1" wp14:anchorId="51DEA1E8" wp14:editId="51DEA1E9">
            <wp:simplePos x="0" y="0"/>
            <wp:positionH relativeFrom="page">
              <wp:posOffset>905255</wp:posOffset>
            </wp:positionH>
            <wp:positionV relativeFrom="paragraph">
              <wp:posOffset>80722</wp:posOffset>
            </wp:positionV>
            <wp:extent cx="259079" cy="103631"/>
            <wp:effectExtent l="0" t="0" r="0" b="0"/>
            <wp:wrapNone/>
            <wp:docPr id="659" name="image3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 name="image340.png"/>
                    <pic:cNvPicPr/>
                  </pic:nvPicPr>
                  <pic:blipFill>
                    <a:blip r:embed="rId460" cstate="print"/>
                    <a:stretch>
                      <a:fillRect/>
                    </a:stretch>
                  </pic:blipFill>
                  <pic:spPr>
                    <a:xfrm>
                      <a:off x="0" y="0"/>
                      <a:ext cx="259079" cy="103631"/>
                    </a:xfrm>
                    <a:prstGeom prst="rect">
                      <a:avLst/>
                    </a:prstGeom>
                  </pic:spPr>
                </pic:pic>
              </a:graphicData>
            </a:graphic>
          </wp:anchor>
        </w:drawing>
      </w:r>
      <w:r>
        <w:t>For these reasons, MOFCOM erred when it relied upon Casella Wines' response to Form 6‐1‐2 as a basis to resort to facts available and, therefore, Chi</w:t>
      </w:r>
      <w:r>
        <w:t>na acted inconsistently with Article 6.8 and paragraphs 3, 5 and 6 of Annex II of the Anti‐Dumping Agreement.</w:t>
      </w:r>
    </w:p>
    <w:p w14:paraId="51DE87AB" w14:textId="77777777" w:rsidR="0010369C" w:rsidRDefault="008E43AE">
      <w:pPr>
        <w:pStyle w:val="ListParagraph"/>
        <w:numPr>
          <w:ilvl w:val="4"/>
          <w:numId w:val="75"/>
        </w:numPr>
        <w:tabs>
          <w:tab w:val="left" w:pos="4492"/>
          <w:tab w:val="left" w:pos="4493"/>
        </w:tabs>
        <w:spacing w:before="162"/>
        <w:ind w:left="4492" w:hanging="852"/>
        <w:jc w:val="both"/>
        <w:rPr>
          <w:i/>
          <w:sz w:val="24"/>
        </w:rPr>
      </w:pPr>
      <w:r>
        <w:rPr>
          <w:i/>
          <w:sz w:val="24"/>
        </w:rPr>
        <w:t>Form</w:t>
      </w:r>
      <w:r>
        <w:rPr>
          <w:i/>
          <w:spacing w:val="-8"/>
          <w:sz w:val="24"/>
        </w:rPr>
        <w:t xml:space="preserve"> </w:t>
      </w:r>
      <w:r>
        <w:rPr>
          <w:i/>
          <w:sz w:val="24"/>
        </w:rPr>
        <w:t>6‐3</w:t>
      </w:r>
      <w:r>
        <w:rPr>
          <w:i/>
          <w:spacing w:val="-8"/>
          <w:sz w:val="24"/>
        </w:rPr>
        <w:t xml:space="preserve"> </w:t>
      </w:r>
      <w:r>
        <w:rPr>
          <w:i/>
          <w:sz w:val="24"/>
        </w:rPr>
        <w:t>Product</w:t>
      </w:r>
      <w:r>
        <w:rPr>
          <w:i/>
          <w:spacing w:val="-7"/>
          <w:sz w:val="24"/>
        </w:rPr>
        <w:t xml:space="preserve"> </w:t>
      </w:r>
      <w:r>
        <w:rPr>
          <w:i/>
          <w:sz w:val="24"/>
        </w:rPr>
        <w:t>Costs</w:t>
      </w:r>
      <w:r>
        <w:rPr>
          <w:i/>
          <w:spacing w:val="-6"/>
          <w:sz w:val="24"/>
        </w:rPr>
        <w:t xml:space="preserve"> </w:t>
      </w:r>
      <w:r>
        <w:rPr>
          <w:i/>
          <w:sz w:val="24"/>
        </w:rPr>
        <w:t>and</w:t>
      </w:r>
      <w:r>
        <w:rPr>
          <w:i/>
          <w:spacing w:val="-7"/>
          <w:sz w:val="24"/>
        </w:rPr>
        <w:t xml:space="preserve"> </w:t>
      </w:r>
      <w:r>
        <w:rPr>
          <w:i/>
          <w:sz w:val="24"/>
        </w:rPr>
        <w:t>Related</w:t>
      </w:r>
      <w:r>
        <w:rPr>
          <w:i/>
          <w:spacing w:val="-9"/>
          <w:sz w:val="24"/>
        </w:rPr>
        <w:t xml:space="preserve"> </w:t>
      </w:r>
      <w:r>
        <w:rPr>
          <w:i/>
          <w:spacing w:val="-2"/>
          <w:sz w:val="24"/>
        </w:rPr>
        <w:t>Expenses</w:t>
      </w:r>
    </w:p>
    <w:p w14:paraId="51DE87AC" w14:textId="77777777" w:rsidR="0010369C" w:rsidRDefault="0010369C">
      <w:pPr>
        <w:pStyle w:val="BodyText"/>
        <w:spacing w:before="10"/>
        <w:rPr>
          <w:i/>
          <w:sz w:val="20"/>
        </w:rPr>
      </w:pPr>
    </w:p>
    <w:p w14:paraId="51DE87AD" w14:textId="77777777" w:rsidR="0010369C" w:rsidRDefault="008E43AE">
      <w:pPr>
        <w:pStyle w:val="BodyText"/>
        <w:spacing w:before="51" w:line="360" w:lineRule="auto"/>
        <w:ind w:left="238" w:right="613" w:firstLine="851"/>
        <w:jc w:val="both"/>
      </w:pPr>
      <w:r>
        <w:rPr>
          <w:noProof/>
        </w:rPr>
        <w:drawing>
          <wp:anchor distT="0" distB="0" distL="0" distR="0" simplePos="0" relativeHeight="250981888" behindDoc="1" locked="0" layoutInCell="1" allowOverlap="1" wp14:anchorId="51DEA1EA" wp14:editId="51DEA1EB">
            <wp:simplePos x="0" y="0"/>
            <wp:positionH relativeFrom="page">
              <wp:posOffset>905255</wp:posOffset>
            </wp:positionH>
            <wp:positionV relativeFrom="paragraph">
              <wp:posOffset>80722</wp:posOffset>
            </wp:positionV>
            <wp:extent cx="259079" cy="103631"/>
            <wp:effectExtent l="0" t="0" r="0" b="0"/>
            <wp:wrapNone/>
            <wp:docPr id="661" name="image3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 name="image341.png"/>
                    <pic:cNvPicPr/>
                  </pic:nvPicPr>
                  <pic:blipFill>
                    <a:blip r:embed="rId461" cstate="print"/>
                    <a:stretch>
                      <a:fillRect/>
                    </a:stretch>
                  </pic:blipFill>
                  <pic:spPr>
                    <a:xfrm>
                      <a:off x="0" y="0"/>
                      <a:ext cx="259079" cy="103631"/>
                    </a:xfrm>
                    <a:prstGeom prst="rect">
                      <a:avLst/>
                    </a:prstGeom>
                  </pic:spPr>
                </pic:pic>
              </a:graphicData>
            </a:graphic>
          </wp:anchor>
        </w:drawing>
      </w:r>
      <w:r>
        <w:t xml:space="preserve">In the Final Determination, MOFCOM upheld its findings in the Preliminary Determination relating to </w:t>
      </w:r>
      <w:r>
        <w:t>Form 6‐3 ("Product Costs and Related Expenses")</w:t>
      </w:r>
      <w:r>
        <w:rPr>
          <w:vertAlign w:val="superscript"/>
        </w:rPr>
        <w:t>360</w:t>
      </w:r>
      <w:r>
        <w:t xml:space="preserve"> submitted by Casella Wines. These findings were to the effect that:</w:t>
      </w:r>
    </w:p>
    <w:p w14:paraId="51DE87AE" w14:textId="77777777" w:rsidR="0010369C" w:rsidRDefault="008E43AE">
      <w:pPr>
        <w:pStyle w:val="ListParagraph"/>
        <w:numPr>
          <w:ilvl w:val="0"/>
          <w:numId w:val="10"/>
        </w:numPr>
        <w:tabs>
          <w:tab w:val="left" w:pos="1939"/>
          <w:tab w:val="left" w:pos="1940"/>
        </w:tabs>
        <w:spacing w:before="161" w:line="355" w:lineRule="auto"/>
        <w:ind w:right="613" w:hanging="852"/>
        <w:rPr>
          <w:sz w:val="24"/>
        </w:rPr>
      </w:pPr>
      <w:r>
        <w:rPr>
          <w:sz w:val="24"/>
        </w:rPr>
        <w:t>"[T]he</w:t>
      </w:r>
      <w:r>
        <w:rPr>
          <w:spacing w:val="-13"/>
          <w:sz w:val="24"/>
        </w:rPr>
        <w:t xml:space="preserve"> </w:t>
      </w:r>
      <w:r>
        <w:rPr>
          <w:sz w:val="24"/>
        </w:rPr>
        <w:t>Company</w:t>
      </w:r>
      <w:r>
        <w:rPr>
          <w:spacing w:val="-12"/>
          <w:sz w:val="24"/>
        </w:rPr>
        <w:t xml:space="preserve"> </w:t>
      </w:r>
      <w:r>
        <w:rPr>
          <w:sz w:val="24"/>
        </w:rPr>
        <w:t>provided</w:t>
      </w:r>
      <w:r>
        <w:rPr>
          <w:spacing w:val="-12"/>
          <w:sz w:val="24"/>
        </w:rPr>
        <w:t xml:space="preserve"> </w:t>
      </w:r>
      <w:r>
        <w:rPr>
          <w:sz w:val="24"/>
        </w:rPr>
        <w:t>incomplete</w:t>
      </w:r>
      <w:r>
        <w:rPr>
          <w:spacing w:val="-11"/>
          <w:sz w:val="24"/>
        </w:rPr>
        <w:t xml:space="preserve"> </w:t>
      </w:r>
      <w:r>
        <w:rPr>
          <w:sz w:val="24"/>
        </w:rPr>
        <w:t>spreadsheet</w:t>
      </w:r>
      <w:r>
        <w:rPr>
          <w:spacing w:val="-13"/>
          <w:sz w:val="24"/>
        </w:rPr>
        <w:t xml:space="preserve"> </w:t>
      </w:r>
      <w:r>
        <w:rPr>
          <w:sz w:val="24"/>
        </w:rPr>
        <w:t>data</w:t>
      </w:r>
      <w:r>
        <w:rPr>
          <w:spacing w:val="-13"/>
          <w:sz w:val="24"/>
        </w:rPr>
        <w:t xml:space="preserve"> </w:t>
      </w:r>
      <w:r>
        <w:rPr>
          <w:sz w:val="24"/>
        </w:rPr>
        <w:t>and</w:t>
      </w:r>
      <w:r>
        <w:rPr>
          <w:spacing w:val="-14"/>
          <w:sz w:val="24"/>
        </w:rPr>
        <w:t xml:space="preserve"> </w:t>
      </w:r>
      <w:r>
        <w:rPr>
          <w:sz w:val="24"/>
        </w:rPr>
        <w:t>only</w:t>
      </w:r>
      <w:r>
        <w:rPr>
          <w:spacing w:val="-11"/>
          <w:sz w:val="24"/>
        </w:rPr>
        <w:t xml:space="preserve"> </w:t>
      </w:r>
      <w:r>
        <w:rPr>
          <w:sz w:val="24"/>
        </w:rPr>
        <w:t>filled</w:t>
      </w:r>
      <w:r>
        <w:rPr>
          <w:spacing w:val="-13"/>
          <w:sz w:val="24"/>
        </w:rPr>
        <w:t xml:space="preserve"> </w:t>
      </w:r>
      <w:r>
        <w:rPr>
          <w:sz w:val="24"/>
        </w:rPr>
        <w:t>in</w:t>
      </w:r>
      <w:r>
        <w:rPr>
          <w:spacing w:val="-14"/>
          <w:sz w:val="24"/>
        </w:rPr>
        <w:t xml:space="preserve"> </w:t>
      </w:r>
      <w:r>
        <w:rPr>
          <w:sz w:val="24"/>
        </w:rPr>
        <w:t>the data for some product types";</w:t>
      </w:r>
      <w:r>
        <w:rPr>
          <w:sz w:val="24"/>
          <w:vertAlign w:val="superscript"/>
        </w:rPr>
        <w:t>361</w:t>
      </w:r>
      <w:r>
        <w:rPr>
          <w:sz w:val="24"/>
        </w:rPr>
        <w:t xml:space="preserve"> and</w:t>
      </w:r>
    </w:p>
    <w:p w14:paraId="51DE87AF" w14:textId="77777777" w:rsidR="0010369C" w:rsidRDefault="0010369C">
      <w:pPr>
        <w:pStyle w:val="BodyText"/>
        <w:rPr>
          <w:sz w:val="20"/>
        </w:rPr>
      </w:pPr>
    </w:p>
    <w:p w14:paraId="51DE87B0" w14:textId="77777777" w:rsidR="0010369C" w:rsidRDefault="008E43AE">
      <w:pPr>
        <w:pStyle w:val="BodyText"/>
        <w:spacing w:before="1"/>
        <w:rPr>
          <w:sz w:val="10"/>
        </w:rPr>
      </w:pPr>
      <w:r>
        <w:pict w14:anchorId="51DEA1EC">
          <v:rect id="docshape756" o:spid="_x0000_s1533" style="position:absolute;margin-left:70.9pt;margin-top:7.4pt;width:2in;height:.8pt;z-index:-250940928;mso-wrap-distance-left:0;mso-wrap-distance-right:0;mso-position-horizontal-relative:page" fillcolor="black" stroked="f">
            <w10:wrap type="topAndBottom" anchorx="page"/>
          </v:rect>
        </w:pict>
      </w:r>
    </w:p>
    <w:p w14:paraId="51DE87B1" w14:textId="77777777" w:rsidR="0010369C" w:rsidRDefault="008E43AE">
      <w:pPr>
        <w:spacing w:before="109"/>
        <w:ind w:left="238"/>
        <w:rPr>
          <w:sz w:val="18"/>
        </w:rPr>
      </w:pPr>
      <w:r>
        <w:rPr>
          <w:sz w:val="18"/>
          <w:vertAlign w:val="superscript"/>
        </w:rPr>
        <w:t>359</w:t>
      </w:r>
      <w:r>
        <w:rPr>
          <w:spacing w:val="-8"/>
          <w:sz w:val="18"/>
        </w:rPr>
        <w:t xml:space="preserve"> </w:t>
      </w:r>
      <w:r>
        <w:rPr>
          <w:sz w:val="18"/>
        </w:rPr>
        <w:t>Anti‐Dumping</w:t>
      </w:r>
      <w:r>
        <w:rPr>
          <w:spacing w:val="-8"/>
          <w:sz w:val="18"/>
        </w:rPr>
        <w:t xml:space="preserve"> </w:t>
      </w:r>
      <w:r>
        <w:rPr>
          <w:sz w:val="18"/>
        </w:rPr>
        <w:t>Final</w:t>
      </w:r>
      <w:r>
        <w:rPr>
          <w:spacing w:val="-8"/>
          <w:sz w:val="18"/>
        </w:rPr>
        <w:t xml:space="preserve"> </w:t>
      </w:r>
      <w:r>
        <w:rPr>
          <w:sz w:val="18"/>
        </w:rPr>
        <w:t>Disclosure</w:t>
      </w:r>
      <w:r>
        <w:rPr>
          <w:spacing w:val="-8"/>
          <w:sz w:val="18"/>
        </w:rPr>
        <w:t xml:space="preserve"> </w:t>
      </w:r>
      <w:r>
        <w:rPr>
          <w:sz w:val="18"/>
        </w:rPr>
        <w:t>(Exhibit</w:t>
      </w:r>
      <w:r>
        <w:rPr>
          <w:spacing w:val="-8"/>
          <w:sz w:val="18"/>
        </w:rPr>
        <w:t xml:space="preserve"> </w:t>
      </w:r>
      <w:r>
        <w:rPr>
          <w:sz w:val="18"/>
        </w:rPr>
        <w:t>AUS‐16),</w:t>
      </w:r>
      <w:r>
        <w:rPr>
          <w:spacing w:val="-9"/>
          <w:sz w:val="18"/>
        </w:rPr>
        <w:t xml:space="preserve"> </w:t>
      </w:r>
      <w:r>
        <w:rPr>
          <w:sz w:val="18"/>
        </w:rPr>
        <w:t>pp.</w:t>
      </w:r>
      <w:r>
        <w:rPr>
          <w:spacing w:val="-8"/>
          <w:sz w:val="18"/>
        </w:rPr>
        <w:t xml:space="preserve"> </w:t>
      </w:r>
      <w:r>
        <w:rPr>
          <w:spacing w:val="-2"/>
          <w:sz w:val="18"/>
        </w:rPr>
        <w:t>29‐30.</w:t>
      </w:r>
    </w:p>
    <w:p w14:paraId="51DE87B2" w14:textId="77777777" w:rsidR="0010369C" w:rsidRDefault="008E43AE">
      <w:pPr>
        <w:tabs>
          <w:tab w:val="left" w:pos="6848"/>
        </w:tabs>
        <w:ind w:left="238"/>
        <w:rPr>
          <w:sz w:val="18"/>
        </w:rPr>
      </w:pPr>
      <w:r>
        <w:pict w14:anchorId="51DEA1ED">
          <v:rect id="docshape757" o:spid="_x0000_s1532" style="position:absolute;left:0;text-align:left;margin-left:86.65pt;margin-top:.35pt;width:311.7pt;height:12.05pt;z-index:-251329024;mso-position-horizontal-relative:page" fillcolor="black" stroked="f">
            <w10:wrap anchorx="page"/>
          </v:rect>
        </w:pict>
      </w:r>
      <w:r>
        <w:rPr>
          <w:sz w:val="18"/>
          <w:vertAlign w:val="superscript"/>
        </w:rPr>
        <w:t>360</w:t>
      </w:r>
      <w:r>
        <w:rPr>
          <w:spacing w:val="-2"/>
          <w:sz w:val="18"/>
        </w:rPr>
        <w:t xml:space="preserve"> </w:t>
      </w:r>
      <w:r>
        <w:rPr>
          <w:spacing w:val="-10"/>
          <w:sz w:val="18"/>
        </w:rPr>
        <w:t>[</w:t>
      </w:r>
      <w:r>
        <w:rPr>
          <w:sz w:val="18"/>
        </w:rPr>
        <w:tab/>
      </w:r>
      <w:r>
        <w:rPr>
          <w:color w:val="5E5E5E"/>
          <w:sz w:val="18"/>
        </w:rPr>
        <w:t>(Exhibit</w:t>
      </w:r>
      <w:r>
        <w:rPr>
          <w:color w:val="5E5E5E"/>
          <w:spacing w:val="-10"/>
          <w:sz w:val="18"/>
        </w:rPr>
        <w:t xml:space="preserve"> </w:t>
      </w:r>
      <w:r>
        <w:rPr>
          <w:color w:val="5E5E5E"/>
          <w:sz w:val="18"/>
        </w:rPr>
        <w:t>AUS‐33</w:t>
      </w:r>
      <w:r>
        <w:rPr>
          <w:color w:val="5E5E5E"/>
          <w:spacing w:val="-9"/>
          <w:sz w:val="18"/>
        </w:rPr>
        <w:t xml:space="preserve"> </w:t>
      </w:r>
      <w:r>
        <w:rPr>
          <w:color w:val="5E5E5E"/>
          <w:spacing w:val="-2"/>
          <w:sz w:val="18"/>
        </w:rPr>
        <w:t>(BCI)).</w:t>
      </w:r>
      <w:r>
        <w:rPr>
          <w:spacing w:val="-2"/>
          <w:sz w:val="18"/>
        </w:rPr>
        <w:t>]]</w:t>
      </w:r>
    </w:p>
    <w:p w14:paraId="51DE87B3" w14:textId="77777777" w:rsidR="0010369C" w:rsidRDefault="008E43AE">
      <w:pPr>
        <w:ind w:left="238"/>
        <w:rPr>
          <w:sz w:val="18"/>
        </w:rPr>
      </w:pPr>
      <w:r>
        <w:rPr>
          <w:sz w:val="18"/>
          <w:vertAlign w:val="superscript"/>
        </w:rPr>
        <w:t>361</w:t>
      </w:r>
      <w:r>
        <w:rPr>
          <w:spacing w:val="-9"/>
          <w:sz w:val="18"/>
        </w:rPr>
        <w:t xml:space="preserve"> </w:t>
      </w:r>
      <w:r>
        <w:rPr>
          <w:sz w:val="18"/>
        </w:rPr>
        <w:t>Anti‐Dumping</w:t>
      </w:r>
      <w:r>
        <w:rPr>
          <w:spacing w:val="-9"/>
          <w:sz w:val="18"/>
        </w:rPr>
        <w:t xml:space="preserve"> </w:t>
      </w:r>
      <w:r>
        <w:rPr>
          <w:sz w:val="18"/>
        </w:rPr>
        <w:t>Final</w:t>
      </w:r>
      <w:r>
        <w:rPr>
          <w:spacing w:val="-9"/>
          <w:sz w:val="18"/>
        </w:rPr>
        <w:t xml:space="preserve"> </w:t>
      </w:r>
      <w:r>
        <w:rPr>
          <w:sz w:val="18"/>
        </w:rPr>
        <w:t>Determination</w:t>
      </w:r>
      <w:r>
        <w:rPr>
          <w:spacing w:val="-8"/>
          <w:sz w:val="18"/>
        </w:rPr>
        <w:t xml:space="preserve"> </w:t>
      </w:r>
      <w:r>
        <w:rPr>
          <w:sz w:val="18"/>
        </w:rPr>
        <w:t>(Exhibit</w:t>
      </w:r>
      <w:r>
        <w:rPr>
          <w:spacing w:val="-9"/>
          <w:sz w:val="18"/>
        </w:rPr>
        <w:t xml:space="preserve"> </w:t>
      </w:r>
      <w:r>
        <w:rPr>
          <w:sz w:val="18"/>
        </w:rPr>
        <w:t>AUS‐2),</w:t>
      </w:r>
      <w:r>
        <w:rPr>
          <w:spacing w:val="-9"/>
          <w:sz w:val="18"/>
        </w:rPr>
        <w:t xml:space="preserve"> </w:t>
      </w:r>
      <w:r>
        <w:rPr>
          <w:sz w:val="18"/>
        </w:rPr>
        <w:t>p.</w:t>
      </w:r>
      <w:r>
        <w:rPr>
          <w:spacing w:val="-9"/>
          <w:sz w:val="18"/>
        </w:rPr>
        <w:t xml:space="preserve"> </w:t>
      </w:r>
      <w:r>
        <w:rPr>
          <w:spacing w:val="-5"/>
          <w:sz w:val="18"/>
        </w:rPr>
        <w:t>80.</w:t>
      </w:r>
    </w:p>
    <w:p w14:paraId="51DE87B4" w14:textId="77777777" w:rsidR="0010369C" w:rsidRDefault="0010369C">
      <w:pPr>
        <w:rPr>
          <w:sz w:val="18"/>
        </w:rPr>
        <w:sectPr w:rsidR="0010369C">
          <w:pgSz w:w="11910" w:h="16840"/>
          <w:pgMar w:top="880" w:right="800" w:bottom="980" w:left="1180" w:header="569" w:footer="788" w:gutter="0"/>
          <w:cols w:space="720"/>
        </w:sectPr>
      </w:pPr>
    </w:p>
    <w:p w14:paraId="51DE87B5" w14:textId="77777777" w:rsidR="0010369C" w:rsidRDefault="008E43AE">
      <w:pPr>
        <w:tabs>
          <w:tab w:val="left" w:pos="6426"/>
        </w:tabs>
        <w:ind w:left="238"/>
        <w:rPr>
          <w:sz w:val="20"/>
        </w:rPr>
      </w:pPr>
      <w:r>
        <w:rPr>
          <w:i/>
          <w:sz w:val="20"/>
        </w:rPr>
        <w:lastRenderedPageBreak/>
        <w:t>China</w:t>
      </w:r>
      <w:r>
        <w:rPr>
          <w:i/>
          <w:spacing w:val="-5"/>
          <w:sz w:val="20"/>
        </w:rPr>
        <w:t xml:space="preserve"> </w:t>
      </w:r>
      <w:r>
        <w:rPr>
          <w:i/>
          <w:sz w:val="20"/>
        </w:rPr>
        <w:t>–</w:t>
      </w:r>
      <w:r>
        <w:rPr>
          <w:i/>
          <w:spacing w:val="-5"/>
          <w:sz w:val="20"/>
        </w:rPr>
        <w:t xml:space="preserve"> </w:t>
      </w:r>
      <w:r>
        <w:rPr>
          <w:i/>
          <w:sz w:val="20"/>
        </w:rPr>
        <w:t>Anti‐Dumping</w:t>
      </w:r>
      <w:r>
        <w:rPr>
          <w:i/>
          <w:spacing w:val="-4"/>
          <w:sz w:val="20"/>
        </w:rPr>
        <w:t xml:space="preserve"> </w:t>
      </w:r>
      <w:r>
        <w:rPr>
          <w:i/>
          <w:sz w:val="20"/>
        </w:rPr>
        <w:t>and</w:t>
      </w:r>
      <w:r>
        <w:rPr>
          <w:i/>
          <w:spacing w:val="-5"/>
          <w:sz w:val="20"/>
        </w:rPr>
        <w:t xml:space="preserve"> </w:t>
      </w:r>
      <w:r>
        <w:rPr>
          <w:i/>
          <w:sz w:val="20"/>
        </w:rPr>
        <w:t>Countervailing</w:t>
      </w:r>
      <w:r>
        <w:rPr>
          <w:i/>
          <w:spacing w:val="-5"/>
          <w:sz w:val="20"/>
        </w:rPr>
        <w:t xml:space="preserve"> </w:t>
      </w:r>
      <w:r>
        <w:rPr>
          <w:i/>
          <w:sz w:val="20"/>
        </w:rPr>
        <w:t>Duty</w:t>
      </w:r>
      <w:r>
        <w:rPr>
          <w:i/>
          <w:spacing w:val="-4"/>
          <w:sz w:val="20"/>
        </w:rPr>
        <w:t xml:space="preserve"> </w:t>
      </w:r>
      <w:r>
        <w:rPr>
          <w:i/>
          <w:spacing w:val="-2"/>
          <w:sz w:val="20"/>
        </w:rPr>
        <w:t>Measures</w:t>
      </w:r>
      <w:r>
        <w:rPr>
          <w:i/>
          <w:sz w:val="20"/>
        </w:rPr>
        <w:tab/>
      </w:r>
      <w:r>
        <w:rPr>
          <w:sz w:val="20"/>
        </w:rPr>
        <w:t>Australia's</w:t>
      </w:r>
      <w:r>
        <w:rPr>
          <w:spacing w:val="-7"/>
          <w:sz w:val="20"/>
        </w:rPr>
        <w:t xml:space="preserve"> </w:t>
      </w:r>
      <w:r>
        <w:rPr>
          <w:sz w:val="20"/>
        </w:rPr>
        <w:t>First</w:t>
      </w:r>
      <w:r>
        <w:rPr>
          <w:spacing w:val="-2"/>
          <w:sz w:val="20"/>
        </w:rPr>
        <w:t xml:space="preserve"> </w:t>
      </w:r>
      <w:r>
        <w:rPr>
          <w:sz w:val="20"/>
        </w:rPr>
        <w:t>Written</w:t>
      </w:r>
      <w:r>
        <w:rPr>
          <w:spacing w:val="-2"/>
          <w:sz w:val="20"/>
        </w:rPr>
        <w:t xml:space="preserve"> Submission</w:t>
      </w:r>
    </w:p>
    <w:p w14:paraId="51DE87B6" w14:textId="77777777" w:rsidR="0010369C" w:rsidRDefault="008E43AE">
      <w:pPr>
        <w:tabs>
          <w:tab w:val="left" w:pos="8228"/>
        </w:tabs>
        <w:spacing w:before="1"/>
        <w:ind w:left="239"/>
        <w:rPr>
          <w:sz w:val="20"/>
        </w:rPr>
      </w:pPr>
      <w:r>
        <w:rPr>
          <w:i/>
          <w:sz w:val="20"/>
        </w:rPr>
        <w:t>on</w:t>
      </w:r>
      <w:r>
        <w:rPr>
          <w:i/>
          <w:spacing w:val="-1"/>
          <w:sz w:val="20"/>
        </w:rPr>
        <w:t xml:space="preserve"> </w:t>
      </w:r>
      <w:r>
        <w:rPr>
          <w:i/>
          <w:sz w:val="20"/>
        </w:rPr>
        <w:t>Wine</w:t>
      </w:r>
      <w:r>
        <w:rPr>
          <w:i/>
          <w:spacing w:val="-1"/>
          <w:sz w:val="20"/>
        </w:rPr>
        <w:t xml:space="preserve"> </w:t>
      </w:r>
      <w:r>
        <w:rPr>
          <w:i/>
          <w:sz w:val="20"/>
        </w:rPr>
        <w:t>from</w:t>
      </w:r>
      <w:r>
        <w:rPr>
          <w:i/>
          <w:spacing w:val="-3"/>
          <w:sz w:val="20"/>
        </w:rPr>
        <w:t xml:space="preserve"> </w:t>
      </w:r>
      <w:r>
        <w:rPr>
          <w:i/>
          <w:sz w:val="20"/>
        </w:rPr>
        <w:t>Australia</w:t>
      </w:r>
      <w:r>
        <w:rPr>
          <w:i/>
          <w:spacing w:val="-1"/>
          <w:sz w:val="20"/>
        </w:rPr>
        <w:t xml:space="preserve"> </w:t>
      </w:r>
      <w:r>
        <w:rPr>
          <w:spacing w:val="-2"/>
          <w:sz w:val="20"/>
        </w:rPr>
        <w:t>(DS602)</w:t>
      </w:r>
      <w:r>
        <w:rPr>
          <w:sz w:val="20"/>
        </w:rPr>
        <w:tab/>
        <w:t>29</w:t>
      </w:r>
      <w:r>
        <w:rPr>
          <w:spacing w:val="-1"/>
          <w:sz w:val="20"/>
        </w:rPr>
        <w:t xml:space="preserve"> </w:t>
      </w:r>
      <w:r>
        <w:rPr>
          <w:sz w:val="20"/>
        </w:rPr>
        <w:t>April</w:t>
      </w:r>
      <w:r>
        <w:rPr>
          <w:spacing w:val="-2"/>
          <w:sz w:val="20"/>
        </w:rPr>
        <w:t xml:space="preserve"> </w:t>
      </w:r>
      <w:r>
        <w:rPr>
          <w:spacing w:val="-4"/>
          <w:sz w:val="20"/>
        </w:rPr>
        <w:t>2022</w:t>
      </w:r>
    </w:p>
    <w:p w14:paraId="51DE87B7" w14:textId="77777777" w:rsidR="0010369C" w:rsidRDefault="008E43AE">
      <w:pPr>
        <w:pStyle w:val="ListParagraph"/>
        <w:numPr>
          <w:ilvl w:val="0"/>
          <w:numId w:val="10"/>
        </w:numPr>
        <w:tabs>
          <w:tab w:val="left" w:pos="1940"/>
          <w:tab w:val="left" w:pos="1941"/>
        </w:tabs>
        <w:spacing w:before="35" w:line="357" w:lineRule="auto"/>
        <w:ind w:left="1939" w:right="614"/>
        <w:rPr>
          <w:sz w:val="24"/>
        </w:rPr>
      </w:pPr>
      <w:r>
        <w:rPr>
          <w:sz w:val="24"/>
        </w:rPr>
        <w:t>"[A]mong the data filled in, the Company did not provide cost sheets saved in</w:t>
      </w:r>
      <w:r>
        <w:rPr>
          <w:spacing w:val="-14"/>
          <w:sz w:val="24"/>
        </w:rPr>
        <w:t xml:space="preserve"> </w:t>
      </w:r>
      <w:r>
        <w:rPr>
          <w:sz w:val="24"/>
        </w:rPr>
        <w:t>daily</w:t>
      </w:r>
      <w:r>
        <w:rPr>
          <w:spacing w:val="-14"/>
          <w:sz w:val="24"/>
        </w:rPr>
        <w:t xml:space="preserve"> </w:t>
      </w:r>
      <w:r>
        <w:rPr>
          <w:sz w:val="24"/>
        </w:rPr>
        <w:t>operations</w:t>
      </w:r>
      <w:r>
        <w:rPr>
          <w:spacing w:val="-13"/>
          <w:sz w:val="24"/>
        </w:rPr>
        <w:t xml:space="preserve"> </w:t>
      </w:r>
      <w:r>
        <w:rPr>
          <w:sz w:val="24"/>
        </w:rPr>
        <w:t>as</w:t>
      </w:r>
      <w:r>
        <w:rPr>
          <w:spacing w:val="-14"/>
          <w:sz w:val="24"/>
        </w:rPr>
        <w:t xml:space="preserve"> </w:t>
      </w:r>
      <w:r>
        <w:rPr>
          <w:sz w:val="24"/>
        </w:rPr>
        <w:t>required</w:t>
      </w:r>
      <w:r>
        <w:rPr>
          <w:spacing w:val="-13"/>
          <w:sz w:val="24"/>
        </w:rPr>
        <w:t xml:space="preserve"> </w:t>
      </w:r>
      <w:r>
        <w:rPr>
          <w:sz w:val="24"/>
        </w:rPr>
        <w:t>by</w:t>
      </w:r>
      <w:r>
        <w:rPr>
          <w:spacing w:val="-14"/>
          <w:sz w:val="24"/>
        </w:rPr>
        <w:t xml:space="preserve"> </w:t>
      </w:r>
      <w:r>
        <w:rPr>
          <w:sz w:val="24"/>
        </w:rPr>
        <w:t>the</w:t>
      </w:r>
      <w:r>
        <w:rPr>
          <w:spacing w:val="-13"/>
          <w:sz w:val="24"/>
        </w:rPr>
        <w:t xml:space="preserve"> </w:t>
      </w:r>
      <w:r>
        <w:rPr>
          <w:sz w:val="24"/>
        </w:rPr>
        <w:t>questionnaire,</w:t>
      </w:r>
      <w:r>
        <w:rPr>
          <w:spacing w:val="-14"/>
          <w:sz w:val="24"/>
        </w:rPr>
        <w:t xml:space="preserve"> </w:t>
      </w:r>
      <w:r>
        <w:rPr>
          <w:sz w:val="24"/>
        </w:rPr>
        <w:t>making</w:t>
      </w:r>
      <w:r>
        <w:rPr>
          <w:spacing w:val="-13"/>
          <w:sz w:val="24"/>
        </w:rPr>
        <w:t xml:space="preserve"> </w:t>
      </w:r>
      <w:r>
        <w:rPr>
          <w:sz w:val="24"/>
        </w:rPr>
        <w:t>it</w:t>
      </w:r>
      <w:r>
        <w:rPr>
          <w:spacing w:val="-13"/>
          <w:sz w:val="24"/>
        </w:rPr>
        <w:t xml:space="preserve"> </w:t>
      </w:r>
      <w:r>
        <w:rPr>
          <w:sz w:val="24"/>
        </w:rPr>
        <w:t>impossible</w:t>
      </w:r>
      <w:r>
        <w:rPr>
          <w:spacing w:val="-13"/>
          <w:sz w:val="24"/>
        </w:rPr>
        <w:t xml:space="preserve"> </w:t>
      </w:r>
      <w:r>
        <w:rPr>
          <w:sz w:val="24"/>
        </w:rPr>
        <w:t>for the</w:t>
      </w:r>
      <w:r>
        <w:rPr>
          <w:spacing w:val="-12"/>
          <w:sz w:val="24"/>
        </w:rPr>
        <w:t xml:space="preserve"> </w:t>
      </w:r>
      <w:r>
        <w:rPr>
          <w:sz w:val="24"/>
        </w:rPr>
        <w:t>Investigating</w:t>
      </w:r>
      <w:r>
        <w:rPr>
          <w:spacing w:val="-13"/>
          <w:sz w:val="24"/>
        </w:rPr>
        <w:t xml:space="preserve"> </w:t>
      </w:r>
      <w:r>
        <w:rPr>
          <w:sz w:val="24"/>
        </w:rPr>
        <w:t>Authority</w:t>
      </w:r>
      <w:r>
        <w:rPr>
          <w:spacing w:val="-12"/>
          <w:sz w:val="24"/>
        </w:rPr>
        <w:t xml:space="preserve"> </w:t>
      </w:r>
      <w:r>
        <w:rPr>
          <w:sz w:val="24"/>
        </w:rPr>
        <w:t>to</w:t>
      </w:r>
      <w:r>
        <w:rPr>
          <w:spacing w:val="-12"/>
          <w:sz w:val="24"/>
        </w:rPr>
        <w:t xml:space="preserve"> </w:t>
      </w:r>
      <w:r>
        <w:rPr>
          <w:sz w:val="24"/>
        </w:rPr>
        <w:t>verify</w:t>
      </w:r>
      <w:r>
        <w:rPr>
          <w:spacing w:val="-12"/>
          <w:sz w:val="24"/>
        </w:rPr>
        <w:t xml:space="preserve"> </w:t>
      </w:r>
      <w:r>
        <w:rPr>
          <w:sz w:val="24"/>
        </w:rPr>
        <w:t>the</w:t>
      </w:r>
      <w:r>
        <w:rPr>
          <w:spacing w:val="-12"/>
          <w:sz w:val="24"/>
        </w:rPr>
        <w:t xml:space="preserve"> </w:t>
      </w:r>
      <w:r>
        <w:rPr>
          <w:sz w:val="24"/>
        </w:rPr>
        <w:t>correctness</w:t>
      </w:r>
      <w:r>
        <w:rPr>
          <w:spacing w:val="-13"/>
          <w:sz w:val="24"/>
        </w:rPr>
        <w:t xml:space="preserve"> </w:t>
      </w:r>
      <w:r>
        <w:rPr>
          <w:sz w:val="24"/>
        </w:rPr>
        <w:t>of</w:t>
      </w:r>
      <w:r>
        <w:rPr>
          <w:spacing w:val="-12"/>
          <w:sz w:val="24"/>
        </w:rPr>
        <w:t xml:space="preserve"> </w:t>
      </w:r>
      <w:r>
        <w:rPr>
          <w:sz w:val="24"/>
        </w:rPr>
        <w:t>the</w:t>
      </w:r>
      <w:r>
        <w:rPr>
          <w:spacing w:val="-12"/>
          <w:sz w:val="24"/>
        </w:rPr>
        <w:t xml:space="preserve"> </w:t>
      </w:r>
      <w:r>
        <w:rPr>
          <w:sz w:val="24"/>
        </w:rPr>
        <w:t>data</w:t>
      </w:r>
      <w:r>
        <w:rPr>
          <w:spacing w:val="-12"/>
          <w:sz w:val="24"/>
        </w:rPr>
        <w:t xml:space="preserve"> </w:t>
      </w:r>
      <w:r>
        <w:rPr>
          <w:sz w:val="24"/>
        </w:rPr>
        <w:t>based</w:t>
      </w:r>
      <w:r>
        <w:rPr>
          <w:spacing w:val="-12"/>
          <w:sz w:val="24"/>
        </w:rPr>
        <w:t xml:space="preserve"> </w:t>
      </w:r>
      <w:r>
        <w:rPr>
          <w:sz w:val="24"/>
        </w:rPr>
        <w:t>on</w:t>
      </w:r>
      <w:r>
        <w:rPr>
          <w:spacing w:val="-12"/>
          <w:sz w:val="24"/>
        </w:rPr>
        <w:t xml:space="preserve"> </w:t>
      </w:r>
      <w:r>
        <w:rPr>
          <w:sz w:val="24"/>
        </w:rPr>
        <w:t xml:space="preserve">the </w:t>
      </w:r>
      <w:r>
        <w:rPr>
          <w:spacing w:val="-2"/>
          <w:sz w:val="24"/>
        </w:rPr>
        <w:t>response".</w:t>
      </w:r>
      <w:r>
        <w:rPr>
          <w:spacing w:val="-2"/>
          <w:sz w:val="24"/>
          <w:vertAlign w:val="superscript"/>
        </w:rPr>
        <w:t>362</w:t>
      </w:r>
    </w:p>
    <w:p w14:paraId="51DE87B8" w14:textId="77777777" w:rsidR="0010369C" w:rsidRDefault="008E43AE">
      <w:pPr>
        <w:pStyle w:val="BodyText"/>
        <w:spacing w:before="131"/>
        <w:ind w:left="1089"/>
      </w:pPr>
      <w:r>
        <w:rPr>
          <w:noProof/>
        </w:rPr>
        <w:drawing>
          <wp:anchor distT="0" distB="0" distL="0" distR="0" simplePos="0" relativeHeight="250657280" behindDoc="0" locked="0" layoutInCell="1" allowOverlap="1" wp14:anchorId="51DEA1EE" wp14:editId="51DEA1EF">
            <wp:simplePos x="0" y="0"/>
            <wp:positionH relativeFrom="page">
              <wp:posOffset>905255</wp:posOffset>
            </wp:positionH>
            <wp:positionV relativeFrom="paragraph">
              <wp:posOffset>130760</wp:posOffset>
            </wp:positionV>
            <wp:extent cx="259079" cy="103631"/>
            <wp:effectExtent l="0" t="0" r="0" b="0"/>
            <wp:wrapNone/>
            <wp:docPr id="663" name="image3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 name="image342.png"/>
                    <pic:cNvPicPr/>
                  </pic:nvPicPr>
                  <pic:blipFill>
                    <a:blip r:embed="rId462" cstate="print"/>
                    <a:stretch>
                      <a:fillRect/>
                    </a:stretch>
                  </pic:blipFill>
                  <pic:spPr>
                    <a:xfrm>
                      <a:off x="0" y="0"/>
                      <a:ext cx="259079" cy="103631"/>
                    </a:xfrm>
                    <a:prstGeom prst="rect">
                      <a:avLst/>
                    </a:prstGeom>
                  </pic:spPr>
                </pic:pic>
              </a:graphicData>
            </a:graphic>
          </wp:anchor>
        </w:drawing>
      </w:r>
      <w:r>
        <w:t>Each</w:t>
      </w:r>
      <w:r>
        <w:rPr>
          <w:spacing w:val="-8"/>
        </w:rPr>
        <w:t xml:space="preserve"> </w:t>
      </w:r>
      <w:r>
        <w:t>of</w:t>
      </w:r>
      <w:r>
        <w:rPr>
          <w:spacing w:val="-8"/>
        </w:rPr>
        <w:t xml:space="preserve"> </w:t>
      </w:r>
      <w:r>
        <w:t>these</w:t>
      </w:r>
      <w:r>
        <w:rPr>
          <w:spacing w:val="-7"/>
        </w:rPr>
        <w:t xml:space="preserve"> </w:t>
      </w:r>
      <w:r>
        <w:t>findings</w:t>
      </w:r>
      <w:r>
        <w:rPr>
          <w:spacing w:val="-8"/>
        </w:rPr>
        <w:t xml:space="preserve"> </w:t>
      </w:r>
      <w:r>
        <w:t>was</w:t>
      </w:r>
      <w:r>
        <w:rPr>
          <w:spacing w:val="-8"/>
        </w:rPr>
        <w:t xml:space="preserve"> </w:t>
      </w:r>
      <w:r>
        <w:t>in</w:t>
      </w:r>
      <w:r>
        <w:rPr>
          <w:spacing w:val="-8"/>
        </w:rPr>
        <w:t xml:space="preserve"> </w:t>
      </w:r>
      <w:r>
        <w:t>error.</w:t>
      </w:r>
      <w:r>
        <w:rPr>
          <w:spacing w:val="-7"/>
        </w:rPr>
        <w:t xml:space="preserve"> </w:t>
      </w:r>
      <w:r>
        <w:t>They</w:t>
      </w:r>
      <w:r>
        <w:rPr>
          <w:spacing w:val="-8"/>
        </w:rPr>
        <w:t xml:space="preserve"> </w:t>
      </w:r>
      <w:r>
        <w:t>are</w:t>
      </w:r>
      <w:r>
        <w:rPr>
          <w:spacing w:val="-7"/>
        </w:rPr>
        <w:t xml:space="preserve"> </w:t>
      </w:r>
      <w:r>
        <w:t>discussed</w:t>
      </w:r>
      <w:r>
        <w:rPr>
          <w:spacing w:val="-7"/>
        </w:rPr>
        <w:t xml:space="preserve"> </w:t>
      </w:r>
      <w:r>
        <w:t>separately</w:t>
      </w:r>
      <w:r>
        <w:rPr>
          <w:spacing w:val="-7"/>
        </w:rPr>
        <w:t xml:space="preserve"> </w:t>
      </w:r>
      <w:r>
        <w:rPr>
          <w:spacing w:val="-2"/>
        </w:rPr>
        <w:t>below.</w:t>
      </w:r>
    </w:p>
    <w:p w14:paraId="51DE87B9" w14:textId="77777777" w:rsidR="0010369C" w:rsidRDefault="0010369C">
      <w:pPr>
        <w:pStyle w:val="BodyText"/>
        <w:spacing w:before="1"/>
        <w:rPr>
          <w:sz w:val="25"/>
        </w:rPr>
      </w:pPr>
    </w:p>
    <w:p w14:paraId="51DE87BA" w14:textId="77777777" w:rsidR="0010369C" w:rsidRDefault="008E43AE">
      <w:pPr>
        <w:pStyle w:val="ListParagraph"/>
        <w:numPr>
          <w:ilvl w:val="5"/>
          <w:numId w:val="75"/>
        </w:numPr>
        <w:tabs>
          <w:tab w:val="left" w:pos="5340"/>
          <w:tab w:val="left" w:pos="5341"/>
          <w:tab w:val="left" w:pos="6899"/>
          <w:tab w:val="left" w:pos="8011"/>
          <w:tab w:val="left" w:pos="8664"/>
        </w:tabs>
        <w:spacing w:before="0" w:line="360" w:lineRule="auto"/>
        <w:ind w:right="613" w:hanging="848"/>
        <w:rPr>
          <w:sz w:val="24"/>
        </w:rPr>
      </w:pPr>
      <w:r>
        <w:pict w14:anchorId="51DEA1F0">
          <v:rect id="docshape758" o:spid="_x0000_s1531" style="position:absolute;left:0;text-align:left;margin-left:326.05pt;margin-top:12.8pt;width:198.35pt;height:.8pt;z-index:-251328000;mso-position-horizontal-relative:page" fillcolor="black" stroked="f">
            <w10:wrap anchorx="page"/>
          </v:rect>
        </w:pict>
      </w:r>
      <w:r>
        <w:rPr>
          <w:spacing w:val="-2"/>
          <w:sz w:val="24"/>
        </w:rPr>
        <w:t>MOFCOM's</w:t>
      </w:r>
      <w:r>
        <w:rPr>
          <w:sz w:val="24"/>
        </w:rPr>
        <w:tab/>
      </w:r>
      <w:r>
        <w:rPr>
          <w:spacing w:val="-2"/>
          <w:sz w:val="24"/>
        </w:rPr>
        <w:t>refusal</w:t>
      </w:r>
      <w:r>
        <w:rPr>
          <w:sz w:val="24"/>
        </w:rPr>
        <w:tab/>
      </w:r>
      <w:r>
        <w:rPr>
          <w:spacing w:val="-6"/>
          <w:sz w:val="24"/>
        </w:rPr>
        <w:t>to</w:t>
      </w:r>
      <w:r>
        <w:rPr>
          <w:sz w:val="24"/>
        </w:rPr>
        <w:tab/>
      </w:r>
      <w:r>
        <w:rPr>
          <w:spacing w:val="-2"/>
          <w:sz w:val="24"/>
        </w:rPr>
        <w:t xml:space="preserve">accept </w:t>
      </w:r>
      <w:r>
        <w:rPr>
          <w:sz w:val="24"/>
          <w:u w:val="single"/>
        </w:rPr>
        <w:t>replacement spreadsheet data</w:t>
      </w:r>
    </w:p>
    <w:p w14:paraId="51DE87BB" w14:textId="77777777" w:rsidR="0010369C" w:rsidRDefault="0010369C">
      <w:pPr>
        <w:pStyle w:val="BodyText"/>
        <w:spacing w:before="10"/>
        <w:rPr>
          <w:sz w:val="8"/>
        </w:rPr>
      </w:pPr>
    </w:p>
    <w:p w14:paraId="51DE87BC" w14:textId="77777777" w:rsidR="0010369C" w:rsidRDefault="008E43AE">
      <w:pPr>
        <w:pStyle w:val="BodyText"/>
        <w:spacing w:before="51" w:after="4" w:line="360" w:lineRule="auto"/>
        <w:ind w:left="238" w:right="611" w:firstLine="850"/>
      </w:pPr>
      <w:r>
        <w:rPr>
          <w:noProof/>
        </w:rPr>
        <w:drawing>
          <wp:anchor distT="0" distB="0" distL="0" distR="0" simplePos="0" relativeHeight="250982912" behindDoc="1" locked="0" layoutInCell="1" allowOverlap="1" wp14:anchorId="51DEA1F1" wp14:editId="51DEA1F2">
            <wp:simplePos x="0" y="0"/>
            <wp:positionH relativeFrom="page">
              <wp:posOffset>905255</wp:posOffset>
            </wp:positionH>
            <wp:positionV relativeFrom="paragraph">
              <wp:posOffset>79960</wp:posOffset>
            </wp:positionV>
            <wp:extent cx="259079" cy="103631"/>
            <wp:effectExtent l="0" t="0" r="0" b="0"/>
            <wp:wrapNone/>
            <wp:docPr id="665" name="image3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 name="image343.png"/>
                    <pic:cNvPicPr/>
                  </pic:nvPicPr>
                  <pic:blipFill>
                    <a:blip r:embed="rId463" cstate="print"/>
                    <a:stretch>
                      <a:fillRect/>
                    </a:stretch>
                  </pic:blipFill>
                  <pic:spPr>
                    <a:xfrm>
                      <a:off x="0" y="0"/>
                      <a:ext cx="259079" cy="103631"/>
                    </a:xfrm>
                    <a:prstGeom prst="rect">
                      <a:avLst/>
                    </a:prstGeom>
                  </pic:spPr>
                </pic:pic>
              </a:graphicData>
            </a:graphic>
          </wp:anchor>
        </w:drawing>
      </w:r>
      <w:r>
        <w:pict w14:anchorId="51DEA1F3">
          <v:rect id="docshape759" o:spid="_x0000_s1530" style="position:absolute;left:0;text-align:left;margin-left:324.6pt;margin-top:24.7pt;width:198.7pt;height:16.05pt;z-index:-251326976;mso-position-horizontal-relative:page;mso-position-vertical-relative:text" fillcolor="black" stroked="f">
            <w10:wrap anchorx="page"/>
          </v:rect>
        </w:pict>
      </w:r>
      <w:r>
        <w:t>MOFCOM's</w:t>
      </w:r>
      <w:r>
        <w:rPr>
          <w:spacing w:val="37"/>
        </w:rPr>
        <w:t xml:space="preserve"> </w:t>
      </w:r>
      <w:r>
        <w:t>concern</w:t>
      </w:r>
      <w:r>
        <w:rPr>
          <w:spacing w:val="35"/>
        </w:rPr>
        <w:t xml:space="preserve"> </w:t>
      </w:r>
      <w:r>
        <w:t>about</w:t>
      </w:r>
      <w:r>
        <w:rPr>
          <w:spacing w:val="36"/>
        </w:rPr>
        <w:t xml:space="preserve"> </w:t>
      </w:r>
      <w:r>
        <w:t>the</w:t>
      </w:r>
      <w:r>
        <w:rPr>
          <w:spacing w:val="36"/>
        </w:rPr>
        <w:t xml:space="preserve"> </w:t>
      </w:r>
      <w:r>
        <w:t>incompleteness</w:t>
      </w:r>
      <w:r>
        <w:rPr>
          <w:spacing w:val="37"/>
        </w:rPr>
        <w:t xml:space="preserve"> </w:t>
      </w:r>
      <w:r>
        <w:t>of</w:t>
      </w:r>
      <w:r>
        <w:rPr>
          <w:spacing w:val="36"/>
        </w:rPr>
        <w:t xml:space="preserve"> </w:t>
      </w:r>
      <w:r>
        <w:t>this</w:t>
      </w:r>
      <w:r>
        <w:rPr>
          <w:spacing w:val="35"/>
        </w:rPr>
        <w:t xml:space="preserve"> </w:t>
      </w:r>
      <w:r>
        <w:t>spreadsheet</w:t>
      </w:r>
      <w:r>
        <w:rPr>
          <w:spacing w:val="35"/>
        </w:rPr>
        <w:t xml:space="preserve"> </w:t>
      </w:r>
      <w:r>
        <w:t>data</w:t>
      </w:r>
      <w:r>
        <w:rPr>
          <w:spacing w:val="36"/>
        </w:rPr>
        <w:t xml:space="preserve"> </w:t>
      </w:r>
      <w:r>
        <w:t>had</w:t>
      </w:r>
      <w:r>
        <w:rPr>
          <w:spacing w:val="36"/>
        </w:rPr>
        <w:t xml:space="preserve"> </w:t>
      </w:r>
      <w:r>
        <w:t>first been</w:t>
      </w:r>
      <w:r>
        <w:rPr>
          <w:spacing w:val="40"/>
        </w:rPr>
        <w:t xml:space="preserve"> </w:t>
      </w:r>
      <w:r>
        <w:t>raised in</w:t>
      </w:r>
      <w:r>
        <w:rPr>
          <w:spacing w:val="40"/>
        </w:rPr>
        <w:t xml:space="preserve"> </w:t>
      </w:r>
      <w:r>
        <w:t>the</w:t>
      </w:r>
      <w:r>
        <w:rPr>
          <w:spacing w:val="40"/>
        </w:rPr>
        <w:t xml:space="preserve"> </w:t>
      </w:r>
      <w:r>
        <w:t>Preliminary</w:t>
      </w:r>
      <w:r>
        <w:rPr>
          <w:spacing w:val="40"/>
        </w:rPr>
        <w:t xml:space="preserve"> </w:t>
      </w:r>
      <w:r>
        <w:t>Determination.</w:t>
      </w:r>
      <w:r>
        <w:rPr>
          <w:vertAlign w:val="superscript"/>
        </w:rPr>
        <w:t>363</w:t>
      </w:r>
      <w:r>
        <w:rPr>
          <w:spacing w:val="40"/>
        </w:rPr>
        <w:t xml:space="preserve"> </w:t>
      </w:r>
      <w:r>
        <w:t>[[</w:t>
      </w:r>
    </w:p>
    <w:p w14:paraId="51DE87BD" w14:textId="77777777" w:rsidR="0010369C" w:rsidRDefault="008E43AE">
      <w:pPr>
        <w:pStyle w:val="BodyText"/>
        <w:ind w:left="218"/>
        <w:rPr>
          <w:sz w:val="20"/>
        </w:rPr>
      </w:pPr>
      <w:r>
        <w:rPr>
          <w:sz w:val="20"/>
        </w:rPr>
      </w:r>
      <w:r>
        <w:rPr>
          <w:sz w:val="20"/>
        </w:rPr>
        <w:pict w14:anchorId="51DEA1F5">
          <v:group id="docshapegroup760" o:spid="_x0000_s1528" style="width:453.55pt;height:16.1pt;mso-position-horizontal-relative:char;mso-position-vertical-relative:line" coordsize="9071,322">
            <v:shape id="docshape761" o:spid="_x0000_s1529" style="position:absolute;width:9071;height:322" coordsize="9071,322" o:spt="100" adj="0,,0" path="m8828,l,,,321r8828,l8828,xm9070,2r-242,l8828,216r242,l9070,2xe" fillcolor="black" stroked="f">
              <v:stroke joinstyle="round"/>
              <v:formulas/>
              <v:path arrowok="t" o:connecttype="segments"/>
            </v:shape>
            <w10:anchorlock/>
          </v:group>
        </w:pict>
      </w:r>
    </w:p>
    <w:p w14:paraId="51DE87BE" w14:textId="77777777" w:rsidR="0010369C" w:rsidRDefault="0010369C">
      <w:pPr>
        <w:pStyle w:val="BodyText"/>
        <w:spacing w:before="1"/>
        <w:rPr>
          <w:sz w:val="20"/>
        </w:rPr>
      </w:pPr>
    </w:p>
    <w:tbl>
      <w:tblPr>
        <w:tblW w:w="0" w:type="auto"/>
        <w:tblInd w:w="1076" w:type="dxa"/>
        <w:tblLayout w:type="fixed"/>
        <w:tblCellMar>
          <w:left w:w="0" w:type="dxa"/>
          <w:right w:w="0" w:type="dxa"/>
        </w:tblCellMar>
        <w:tblLook w:val="01E0" w:firstRow="1" w:lastRow="1" w:firstColumn="1" w:lastColumn="1" w:noHBand="0" w:noVBand="0"/>
      </w:tblPr>
      <w:tblGrid>
        <w:gridCol w:w="3997"/>
        <w:gridCol w:w="4221"/>
      </w:tblGrid>
      <w:tr w:rsidR="0010369C" w14:paraId="51DE87C0" w14:textId="77777777">
        <w:trPr>
          <w:trHeight w:val="291"/>
        </w:trPr>
        <w:tc>
          <w:tcPr>
            <w:tcW w:w="8218" w:type="dxa"/>
            <w:gridSpan w:val="2"/>
            <w:tcBorders>
              <w:bottom w:val="single" w:sz="8" w:space="0" w:color="FFFFFF"/>
            </w:tcBorders>
            <w:shd w:val="clear" w:color="auto" w:fill="000000"/>
          </w:tcPr>
          <w:p w14:paraId="51DE87BF" w14:textId="77777777" w:rsidR="0010369C" w:rsidRDefault="0010369C">
            <w:pPr>
              <w:pStyle w:val="TableParagraph"/>
              <w:rPr>
                <w:rFonts w:ascii="Times New Roman"/>
                <w:sz w:val="20"/>
              </w:rPr>
            </w:pPr>
          </w:p>
        </w:tc>
      </w:tr>
      <w:tr w:rsidR="0010369C" w14:paraId="51DE87C2" w14:textId="77777777">
        <w:trPr>
          <w:trHeight w:val="291"/>
        </w:trPr>
        <w:tc>
          <w:tcPr>
            <w:tcW w:w="8218" w:type="dxa"/>
            <w:gridSpan w:val="2"/>
            <w:tcBorders>
              <w:top w:val="single" w:sz="8" w:space="0" w:color="FFFFFF"/>
              <w:bottom w:val="single" w:sz="6" w:space="0" w:color="FFFFFF"/>
            </w:tcBorders>
            <w:shd w:val="clear" w:color="auto" w:fill="000000"/>
          </w:tcPr>
          <w:p w14:paraId="51DE87C1" w14:textId="77777777" w:rsidR="0010369C" w:rsidRDefault="0010369C">
            <w:pPr>
              <w:pStyle w:val="TableParagraph"/>
              <w:rPr>
                <w:rFonts w:ascii="Times New Roman"/>
                <w:sz w:val="20"/>
              </w:rPr>
            </w:pPr>
          </w:p>
        </w:tc>
      </w:tr>
      <w:tr w:rsidR="0010369C" w14:paraId="51DE87C4" w14:textId="77777777">
        <w:trPr>
          <w:trHeight w:val="291"/>
        </w:trPr>
        <w:tc>
          <w:tcPr>
            <w:tcW w:w="8218" w:type="dxa"/>
            <w:gridSpan w:val="2"/>
            <w:tcBorders>
              <w:top w:val="single" w:sz="6" w:space="0" w:color="FFFFFF"/>
              <w:bottom w:val="single" w:sz="8" w:space="0" w:color="FFFFFF"/>
            </w:tcBorders>
            <w:shd w:val="clear" w:color="auto" w:fill="000000"/>
          </w:tcPr>
          <w:p w14:paraId="51DE87C3" w14:textId="77777777" w:rsidR="0010369C" w:rsidRDefault="0010369C">
            <w:pPr>
              <w:pStyle w:val="TableParagraph"/>
              <w:rPr>
                <w:rFonts w:ascii="Times New Roman"/>
                <w:sz w:val="20"/>
              </w:rPr>
            </w:pPr>
          </w:p>
        </w:tc>
      </w:tr>
      <w:tr w:rsidR="0010369C" w14:paraId="51DE87C6" w14:textId="77777777">
        <w:trPr>
          <w:trHeight w:val="291"/>
        </w:trPr>
        <w:tc>
          <w:tcPr>
            <w:tcW w:w="8218" w:type="dxa"/>
            <w:gridSpan w:val="2"/>
            <w:tcBorders>
              <w:top w:val="single" w:sz="8" w:space="0" w:color="FFFFFF"/>
              <w:bottom w:val="single" w:sz="6" w:space="0" w:color="FFFFFF"/>
            </w:tcBorders>
            <w:shd w:val="clear" w:color="auto" w:fill="000000"/>
          </w:tcPr>
          <w:p w14:paraId="51DE87C5" w14:textId="77777777" w:rsidR="0010369C" w:rsidRDefault="0010369C">
            <w:pPr>
              <w:pStyle w:val="TableParagraph"/>
              <w:rPr>
                <w:rFonts w:ascii="Times New Roman"/>
                <w:sz w:val="20"/>
              </w:rPr>
            </w:pPr>
          </w:p>
        </w:tc>
      </w:tr>
      <w:tr w:rsidR="0010369C" w14:paraId="51DE87C8" w14:textId="77777777">
        <w:trPr>
          <w:trHeight w:val="293"/>
        </w:trPr>
        <w:tc>
          <w:tcPr>
            <w:tcW w:w="8218" w:type="dxa"/>
            <w:gridSpan w:val="2"/>
            <w:tcBorders>
              <w:top w:val="single" w:sz="6" w:space="0" w:color="FFFFFF"/>
              <w:bottom w:val="single" w:sz="6" w:space="0" w:color="FFFFFF"/>
            </w:tcBorders>
            <w:shd w:val="clear" w:color="auto" w:fill="000000"/>
          </w:tcPr>
          <w:p w14:paraId="51DE87C7" w14:textId="77777777" w:rsidR="0010369C" w:rsidRDefault="0010369C">
            <w:pPr>
              <w:pStyle w:val="TableParagraph"/>
              <w:rPr>
                <w:rFonts w:ascii="Times New Roman"/>
              </w:rPr>
            </w:pPr>
          </w:p>
        </w:tc>
      </w:tr>
      <w:tr w:rsidR="0010369C" w14:paraId="51DE87CA" w14:textId="77777777">
        <w:trPr>
          <w:trHeight w:val="291"/>
        </w:trPr>
        <w:tc>
          <w:tcPr>
            <w:tcW w:w="8218" w:type="dxa"/>
            <w:gridSpan w:val="2"/>
            <w:tcBorders>
              <w:top w:val="single" w:sz="6" w:space="0" w:color="FFFFFF"/>
              <w:bottom w:val="single" w:sz="8" w:space="0" w:color="FFFFFF"/>
            </w:tcBorders>
            <w:shd w:val="clear" w:color="auto" w:fill="000000"/>
          </w:tcPr>
          <w:p w14:paraId="51DE87C9" w14:textId="77777777" w:rsidR="0010369C" w:rsidRDefault="0010369C">
            <w:pPr>
              <w:pStyle w:val="TableParagraph"/>
              <w:rPr>
                <w:rFonts w:ascii="Times New Roman"/>
                <w:sz w:val="20"/>
              </w:rPr>
            </w:pPr>
          </w:p>
        </w:tc>
      </w:tr>
      <w:tr w:rsidR="0010369C" w14:paraId="51DE87CD" w14:textId="77777777">
        <w:trPr>
          <w:trHeight w:val="291"/>
        </w:trPr>
        <w:tc>
          <w:tcPr>
            <w:tcW w:w="3997" w:type="dxa"/>
            <w:tcBorders>
              <w:top w:val="single" w:sz="8" w:space="0" w:color="FFFFFF"/>
            </w:tcBorders>
            <w:shd w:val="clear" w:color="auto" w:fill="000000"/>
          </w:tcPr>
          <w:p w14:paraId="51DE87CB" w14:textId="77777777" w:rsidR="0010369C" w:rsidRDefault="0010369C">
            <w:pPr>
              <w:pStyle w:val="TableParagraph"/>
              <w:rPr>
                <w:rFonts w:ascii="Times New Roman"/>
                <w:sz w:val="20"/>
              </w:rPr>
            </w:pPr>
          </w:p>
        </w:tc>
        <w:tc>
          <w:tcPr>
            <w:tcW w:w="4221" w:type="dxa"/>
            <w:tcBorders>
              <w:top w:val="single" w:sz="8" w:space="0" w:color="FFFFFF"/>
            </w:tcBorders>
          </w:tcPr>
          <w:p w14:paraId="51DE87CC" w14:textId="77777777" w:rsidR="0010369C" w:rsidRDefault="008E43AE">
            <w:pPr>
              <w:pStyle w:val="TableParagraph"/>
              <w:spacing w:line="262" w:lineRule="exact"/>
              <w:ind w:left="20"/>
            </w:pPr>
            <w:r>
              <w:rPr>
                <w:spacing w:val="-5"/>
              </w:rPr>
              <w:t>]]</w:t>
            </w:r>
          </w:p>
        </w:tc>
      </w:tr>
    </w:tbl>
    <w:p w14:paraId="51DE87CE" w14:textId="77777777" w:rsidR="0010369C" w:rsidRDefault="0010369C">
      <w:pPr>
        <w:pStyle w:val="BodyText"/>
        <w:spacing w:before="6"/>
        <w:rPr>
          <w:sz w:val="16"/>
        </w:rPr>
      </w:pPr>
    </w:p>
    <w:p w14:paraId="51DE87CF" w14:textId="77777777" w:rsidR="0010369C" w:rsidRDefault="008E43AE">
      <w:pPr>
        <w:pStyle w:val="BodyText"/>
        <w:spacing w:before="52" w:line="360" w:lineRule="auto"/>
        <w:ind w:left="237" w:right="612" w:firstLine="851"/>
        <w:jc w:val="both"/>
      </w:pPr>
      <w:r>
        <w:rPr>
          <w:noProof/>
        </w:rPr>
        <w:drawing>
          <wp:anchor distT="0" distB="0" distL="0" distR="0" simplePos="0" relativeHeight="250983936" behindDoc="1" locked="0" layoutInCell="1" allowOverlap="1" wp14:anchorId="51DEA1F6" wp14:editId="51DEA1F7">
            <wp:simplePos x="0" y="0"/>
            <wp:positionH relativeFrom="page">
              <wp:posOffset>905255</wp:posOffset>
            </wp:positionH>
            <wp:positionV relativeFrom="paragraph">
              <wp:posOffset>81949</wp:posOffset>
            </wp:positionV>
            <wp:extent cx="259079" cy="100753"/>
            <wp:effectExtent l="0" t="0" r="0" b="0"/>
            <wp:wrapNone/>
            <wp:docPr id="667" name="image3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 name="image344.png"/>
                    <pic:cNvPicPr/>
                  </pic:nvPicPr>
                  <pic:blipFill>
                    <a:blip r:embed="rId464" cstate="print"/>
                    <a:stretch>
                      <a:fillRect/>
                    </a:stretch>
                  </pic:blipFill>
                  <pic:spPr>
                    <a:xfrm>
                      <a:off x="0" y="0"/>
                      <a:ext cx="259079" cy="100753"/>
                    </a:xfrm>
                    <a:prstGeom prst="rect">
                      <a:avLst/>
                    </a:prstGeom>
                  </pic:spPr>
                </pic:pic>
              </a:graphicData>
            </a:graphic>
          </wp:anchor>
        </w:drawing>
      </w:r>
      <w:r>
        <w:t>MOFCOM</w:t>
      </w:r>
      <w:r>
        <w:rPr>
          <w:spacing w:val="-12"/>
        </w:rPr>
        <w:t xml:space="preserve"> </w:t>
      </w:r>
      <w:r>
        <w:t>did</w:t>
      </w:r>
      <w:r>
        <w:rPr>
          <w:spacing w:val="-12"/>
        </w:rPr>
        <w:t xml:space="preserve"> </w:t>
      </w:r>
      <w:r>
        <w:t>not</w:t>
      </w:r>
      <w:r>
        <w:rPr>
          <w:spacing w:val="-12"/>
        </w:rPr>
        <w:t xml:space="preserve"> </w:t>
      </w:r>
      <w:r>
        <w:t>raise</w:t>
      </w:r>
      <w:r>
        <w:rPr>
          <w:spacing w:val="-12"/>
        </w:rPr>
        <w:t xml:space="preserve"> </w:t>
      </w:r>
      <w:r>
        <w:t>any</w:t>
      </w:r>
      <w:r>
        <w:rPr>
          <w:spacing w:val="-12"/>
        </w:rPr>
        <w:t xml:space="preserve"> </w:t>
      </w:r>
      <w:r>
        <w:t>concerns</w:t>
      </w:r>
      <w:r>
        <w:rPr>
          <w:spacing w:val="-13"/>
        </w:rPr>
        <w:t xml:space="preserve"> </w:t>
      </w:r>
      <w:r>
        <w:t>about</w:t>
      </w:r>
      <w:r>
        <w:rPr>
          <w:spacing w:val="-12"/>
        </w:rPr>
        <w:t xml:space="preserve"> </w:t>
      </w:r>
      <w:r>
        <w:t>this</w:t>
      </w:r>
      <w:r>
        <w:rPr>
          <w:spacing w:val="-13"/>
        </w:rPr>
        <w:t xml:space="preserve"> </w:t>
      </w:r>
      <w:r>
        <w:t>approach</w:t>
      </w:r>
      <w:r>
        <w:rPr>
          <w:spacing w:val="-12"/>
        </w:rPr>
        <w:t xml:space="preserve"> </w:t>
      </w:r>
      <w:r>
        <w:t>with</w:t>
      </w:r>
      <w:r>
        <w:rPr>
          <w:spacing w:val="-12"/>
        </w:rPr>
        <w:t xml:space="preserve"> </w:t>
      </w:r>
      <w:r>
        <w:t>Casella</w:t>
      </w:r>
      <w:r>
        <w:rPr>
          <w:spacing w:val="-12"/>
        </w:rPr>
        <w:t xml:space="preserve"> </w:t>
      </w:r>
      <w:r>
        <w:t>Wines,</w:t>
      </w:r>
      <w:r>
        <w:rPr>
          <w:spacing w:val="-12"/>
        </w:rPr>
        <w:t xml:space="preserve"> </w:t>
      </w:r>
      <w:r>
        <w:t>or</w:t>
      </w:r>
      <w:r>
        <w:rPr>
          <w:spacing w:val="-12"/>
        </w:rPr>
        <w:t xml:space="preserve"> </w:t>
      </w:r>
      <w:r>
        <w:t>issue any follow‐up questionnaire or notice requesting the provision of this data in any alternate format. The Supplementary Questionnaire issued by MOFCOM to Casella Wines only asked why</w:t>
      </w:r>
      <w:r>
        <w:rPr>
          <w:spacing w:val="-7"/>
        </w:rPr>
        <w:t xml:space="preserve"> </w:t>
      </w:r>
      <w:r>
        <w:t>the</w:t>
      </w:r>
      <w:r>
        <w:rPr>
          <w:spacing w:val="-7"/>
        </w:rPr>
        <w:t xml:space="preserve"> </w:t>
      </w:r>
      <w:r>
        <w:t>electronic</w:t>
      </w:r>
      <w:r>
        <w:rPr>
          <w:spacing w:val="-7"/>
        </w:rPr>
        <w:t xml:space="preserve"> </w:t>
      </w:r>
      <w:r>
        <w:t>data</w:t>
      </w:r>
      <w:r>
        <w:rPr>
          <w:spacing w:val="-7"/>
        </w:rPr>
        <w:t xml:space="preserve"> </w:t>
      </w:r>
      <w:r>
        <w:t>in</w:t>
      </w:r>
      <w:r>
        <w:rPr>
          <w:spacing w:val="-8"/>
        </w:rPr>
        <w:t xml:space="preserve"> </w:t>
      </w:r>
      <w:r>
        <w:t>the</w:t>
      </w:r>
      <w:r>
        <w:rPr>
          <w:spacing w:val="-7"/>
        </w:rPr>
        <w:t xml:space="preserve"> </w:t>
      </w:r>
      <w:r>
        <w:t>original</w:t>
      </w:r>
      <w:r>
        <w:rPr>
          <w:spacing w:val="-7"/>
        </w:rPr>
        <w:t xml:space="preserve"> </w:t>
      </w:r>
      <w:r>
        <w:t>response</w:t>
      </w:r>
      <w:r>
        <w:rPr>
          <w:spacing w:val="-7"/>
        </w:rPr>
        <w:t xml:space="preserve"> </w:t>
      </w:r>
      <w:r>
        <w:t>was</w:t>
      </w:r>
      <w:r>
        <w:rPr>
          <w:spacing w:val="-8"/>
        </w:rPr>
        <w:t xml:space="preserve"> </w:t>
      </w:r>
      <w:r>
        <w:t>incomplete</w:t>
      </w:r>
      <w:r>
        <w:rPr>
          <w:spacing w:val="-6"/>
        </w:rPr>
        <w:t xml:space="preserve"> </w:t>
      </w:r>
      <w:r>
        <w:t>and</w:t>
      </w:r>
      <w:r>
        <w:rPr>
          <w:spacing w:val="-8"/>
        </w:rPr>
        <w:t xml:space="preserve"> </w:t>
      </w:r>
      <w:r>
        <w:t>aske</w:t>
      </w:r>
      <w:r>
        <w:t>d</w:t>
      </w:r>
      <w:r>
        <w:rPr>
          <w:spacing w:val="-8"/>
        </w:rPr>
        <w:t xml:space="preserve"> </w:t>
      </w:r>
      <w:r>
        <w:t>why</w:t>
      </w:r>
      <w:r>
        <w:rPr>
          <w:spacing w:val="-7"/>
        </w:rPr>
        <w:t xml:space="preserve"> </w:t>
      </w:r>
      <w:r>
        <w:t>Casella</w:t>
      </w:r>
      <w:r>
        <w:rPr>
          <w:spacing w:val="-7"/>
        </w:rPr>
        <w:t xml:space="preserve"> </w:t>
      </w:r>
      <w:r>
        <w:t>Wines had</w:t>
      </w:r>
      <w:r>
        <w:rPr>
          <w:spacing w:val="-4"/>
        </w:rPr>
        <w:t xml:space="preserve"> </w:t>
      </w:r>
      <w:r>
        <w:t>not</w:t>
      </w:r>
      <w:r>
        <w:rPr>
          <w:spacing w:val="-3"/>
        </w:rPr>
        <w:t xml:space="preserve"> </w:t>
      </w:r>
      <w:r>
        <w:t>submitted</w:t>
      </w:r>
      <w:r>
        <w:rPr>
          <w:spacing w:val="-3"/>
        </w:rPr>
        <w:t xml:space="preserve"> </w:t>
      </w:r>
      <w:r>
        <w:t>an</w:t>
      </w:r>
      <w:r>
        <w:rPr>
          <w:spacing w:val="-3"/>
        </w:rPr>
        <w:t xml:space="preserve"> </w:t>
      </w:r>
      <w:r>
        <w:t>application</w:t>
      </w:r>
      <w:r>
        <w:rPr>
          <w:spacing w:val="-3"/>
        </w:rPr>
        <w:t xml:space="preserve"> </w:t>
      </w:r>
      <w:r>
        <w:t>to</w:t>
      </w:r>
      <w:r>
        <w:rPr>
          <w:spacing w:val="-3"/>
        </w:rPr>
        <w:t xml:space="preserve"> </w:t>
      </w:r>
      <w:r>
        <w:t>provide</w:t>
      </w:r>
      <w:r>
        <w:rPr>
          <w:spacing w:val="-2"/>
        </w:rPr>
        <w:t xml:space="preserve"> </w:t>
      </w:r>
      <w:r>
        <w:t>its</w:t>
      </w:r>
      <w:r>
        <w:rPr>
          <w:spacing w:val="-4"/>
        </w:rPr>
        <w:t xml:space="preserve"> </w:t>
      </w:r>
      <w:r>
        <w:t>original</w:t>
      </w:r>
      <w:r>
        <w:rPr>
          <w:spacing w:val="-3"/>
        </w:rPr>
        <w:t xml:space="preserve"> </w:t>
      </w:r>
      <w:r>
        <w:t>response</w:t>
      </w:r>
      <w:r>
        <w:rPr>
          <w:spacing w:val="-3"/>
        </w:rPr>
        <w:t xml:space="preserve"> </w:t>
      </w:r>
      <w:r>
        <w:t>in</w:t>
      </w:r>
      <w:r>
        <w:rPr>
          <w:spacing w:val="-3"/>
        </w:rPr>
        <w:t xml:space="preserve"> </w:t>
      </w:r>
      <w:r>
        <w:t>a</w:t>
      </w:r>
      <w:r>
        <w:rPr>
          <w:spacing w:val="-3"/>
        </w:rPr>
        <w:t xml:space="preserve"> </w:t>
      </w:r>
      <w:r>
        <w:t>different</w:t>
      </w:r>
      <w:r>
        <w:rPr>
          <w:spacing w:val="-3"/>
        </w:rPr>
        <w:t xml:space="preserve"> </w:t>
      </w:r>
      <w:r>
        <w:t>format</w:t>
      </w:r>
      <w:r>
        <w:rPr>
          <w:spacing w:val="-3"/>
        </w:rPr>
        <w:t xml:space="preserve"> </w:t>
      </w:r>
      <w:r>
        <w:rPr>
          <w:spacing w:val="-2"/>
        </w:rPr>
        <w:t>within</w:t>
      </w:r>
    </w:p>
    <w:p w14:paraId="51DE87D0" w14:textId="77777777" w:rsidR="0010369C" w:rsidRDefault="008E43AE">
      <w:pPr>
        <w:pStyle w:val="BodyText"/>
        <w:spacing w:line="360" w:lineRule="auto"/>
        <w:ind w:left="237" w:right="614"/>
        <w:jc w:val="both"/>
      </w:pPr>
      <w:r>
        <w:t>15 days of receipt of the Anti‐Dumping Questionnaire.</w:t>
      </w:r>
      <w:r>
        <w:rPr>
          <w:vertAlign w:val="superscript"/>
        </w:rPr>
        <w:t>365</w:t>
      </w:r>
      <w:r>
        <w:t xml:space="preserve"> Casella Wines reiterated its explanation</w:t>
      </w:r>
      <w:r>
        <w:rPr>
          <w:spacing w:val="-1"/>
        </w:rPr>
        <w:t xml:space="preserve"> </w:t>
      </w:r>
      <w:r>
        <w:t>provided in its earlier</w:t>
      </w:r>
      <w:r>
        <w:rPr>
          <w:spacing w:val="-1"/>
        </w:rPr>
        <w:t xml:space="preserve"> </w:t>
      </w:r>
      <w:r>
        <w:t>submission</w:t>
      </w:r>
      <w:r>
        <w:rPr>
          <w:spacing w:val="-1"/>
        </w:rPr>
        <w:t xml:space="preserve"> </w:t>
      </w:r>
      <w:r>
        <w:t>(in response to</w:t>
      </w:r>
      <w:r>
        <w:rPr>
          <w:spacing w:val="-1"/>
        </w:rPr>
        <w:t xml:space="preserve"> </w:t>
      </w:r>
      <w:r>
        <w:t>the Preliminary</w:t>
      </w:r>
      <w:r>
        <w:rPr>
          <w:spacing w:val="-1"/>
        </w:rPr>
        <w:t xml:space="preserve"> </w:t>
      </w:r>
      <w:r>
        <w:t xml:space="preserve">Determination) and added that it had been impossible for it to submit an application within 15 days of the Anti‐Dumping Questionnaire being issued given the problem had not been identified </w:t>
      </w:r>
      <w:r>
        <w:t>until much later.</w:t>
      </w:r>
      <w:r>
        <w:rPr>
          <w:vertAlign w:val="superscript"/>
        </w:rPr>
        <w:t>366</w:t>
      </w:r>
    </w:p>
    <w:p w14:paraId="51DE87D1" w14:textId="77777777" w:rsidR="0010369C" w:rsidRDefault="0010369C">
      <w:pPr>
        <w:pStyle w:val="BodyText"/>
        <w:rPr>
          <w:sz w:val="20"/>
        </w:rPr>
      </w:pPr>
    </w:p>
    <w:p w14:paraId="51DE87D2" w14:textId="77777777" w:rsidR="0010369C" w:rsidRDefault="0010369C">
      <w:pPr>
        <w:pStyle w:val="BodyText"/>
        <w:rPr>
          <w:sz w:val="20"/>
        </w:rPr>
      </w:pPr>
    </w:p>
    <w:p w14:paraId="51DE87D3" w14:textId="77777777" w:rsidR="0010369C" w:rsidRDefault="0010369C">
      <w:pPr>
        <w:pStyle w:val="BodyText"/>
        <w:rPr>
          <w:sz w:val="20"/>
        </w:rPr>
      </w:pPr>
    </w:p>
    <w:p w14:paraId="51DE87D4" w14:textId="77777777" w:rsidR="0010369C" w:rsidRDefault="008E43AE">
      <w:pPr>
        <w:pStyle w:val="BodyText"/>
        <w:spacing w:before="10"/>
        <w:rPr>
          <w:sz w:val="17"/>
        </w:rPr>
      </w:pPr>
      <w:r>
        <w:pict w14:anchorId="51DEA1F8">
          <v:rect id="docshape762" o:spid="_x0000_s1527" style="position:absolute;margin-left:70.9pt;margin-top:12.1pt;width:2in;height:.8pt;z-index:-250939904;mso-wrap-distance-left:0;mso-wrap-distance-right:0;mso-position-horizontal-relative:page" fillcolor="black" stroked="f">
            <w10:wrap type="topAndBottom" anchorx="page"/>
          </v:rect>
        </w:pict>
      </w:r>
    </w:p>
    <w:p w14:paraId="51DE87D5" w14:textId="77777777" w:rsidR="0010369C" w:rsidRDefault="008E43AE">
      <w:pPr>
        <w:spacing w:before="109"/>
        <w:ind w:left="238"/>
        <w:rPr>
          <w:sz w:val="18"/>
        </w:rPr>
      </w:pPr>
      <w:r>
        <w:rPr>
          <w:sz w:val="18"/>
          <w:vertAlign w:val="superscript"/>
        </w:rPr>
        <w:t>362</w:t>
      </w:r>
      <w:r>
        <w:rPr>
          <w:spacing w:val="-9"/>
          <w:sz w:val="18"/>
        </w:rPr>
        <w:t xml:space="preserve"> </w:t>
      </w:r>
      <w:r>
        <w:rPr>
          <w:sz w:val="18"/>
        </w:rPr>
        <w:t>Anti‐Dumping</w:t>
      </w:r>
      <w:r>
        <w:rPr>
          <w:spacing w:val="-9"/>
          <w:sz w:val="18"/>
        </w:rPr>
        <w:t xml:space="preserve"> </w:t>
      </w:r>
      <w:r>
        <w:rPr>
          <w:sz w:val="18"/>
        </w:rPr>
        <w:t>Final</w:t>
      </w:r>
      <w:r>
        <w:rPr>
          <w:spacing w:val="-9"/>
          <w:sz w:val="18"/>
        </w:rPr>
        <w:t xml:space="preserve"> </w:t>
      </w:r>
      <w:r>
        <w:rPr>
          <w:sz w:val="18"/>
        </w:rPr>
        <w:t>Determination</w:t>
      </w:r>
      <w:r>
        <w:rPr>
          <w:spacing w:val="-8"/>
          <w:sz w:val="18"/>
        </w:rPr>
        <w:t xml:space="preserve"> </w:t>
      </w:r>
      <w:r>
        <w:rPr>
          <w:sz w:val="18"/>
        </w:rPr>
        <w:t>(Exhibit</w:t>
      </w:r>
      <w:r>
        <w:rPr>
          <w:spacing w:val="-9"/>
          <w:sz w:val="18"/>
        </w:rPr>
        <w:t xml:space="preserve"> </w:t>
      </w:r>
      <w:r>
        <w:rPr>
          <w:sz w:val="18"/>
        </w:rPr>
        <w:t>AUS‐2),</w:t>
      </w:r>
      <w:r>
        <w:rPr>
          <w:spacing w:val="-9"/>
          <w:sz w:val="18"/>
        </w:rPr>
        <w:t xml:space="preserve"> </w:t>
      </w:r>
      <w:r>
        <w:rPr>
          <w:sz w:val="18"/>
        </w:rPr>
        <w:t>p.</w:t>
      </w:r>
      <w:r>
        <w:rPr>
          <w:spacing w:val="-9"/>
          <w:sz w:val="18"/>
        </w:rPr>
        <w:t xml:space="preserve"> </w:t>
      </w:r>
      <w:r>
        <w:rPr>
          <w:spacing w:val="-5"/>
          <w:sz w:val="18"/>
        </w:rPr>
        <w:t>80.</w:t>
      </w:r>
    </w:p>
    <w:p w14:paraId="51DE87D6" w14:textId="77777777" w:rsidR="0010369C" w:rsidRDefault="008E43AE">
      <w:pPr>
        <w:spacing w:before="1"/>
        <w:ind w:left="238"/>
        <w:rPr>
          <w:sz w:val="18"/>
        </w:rPr>
      </w:pPr>
      <w:r>
        <w:rPr>
          <w:sz w:val="18"/>
          <w:vertAlign w:val="superscript"/>
        </w:rPr>
        <w:t>363</w:t>
      </w:r>
      <w:r>
        <w:rPr>
          <w:spacing w:val="-10"/>
          <w:sz w:val="18"/>
        </w:rPr>
        <w:t xml:space="preserve"> </w:t>
      </w:r>
      <w:r>
        <w:rPr>
          <w:sz w:val="18"/>
        </w:rPr>
        <w:t>Anti‐Dumping</w:t>
      </w:r>
      <w:r>
        <w:rPr>
          <w:spacing w:val="-9"/>
          <w:sz w:val="18"/>
        </w:rPr>
        <w:t xml:space="preserve"> </w:t>
      </w:r>
      <w:r>
        <w:rPr>
          <w:sz w:val="18"/>
        </w:rPr>
        <w:t>Preliminary</w:t>
      </w:r>
      <w:r>
        <w:rPr>
          <w:spacing w:val="-9"/>
          <w:sz w:val="18"/>
        </w:rPr>
        <w:t xml:space="preserve"> </w:t>
      </w:r>
      <w:r>
        <w:rPr>
          <w:sz w:val="18"/>
        </w:rPr>
        <w:t>Determination</w:t>
      </w:r>
      <w:r>
        <w:rPr>
          <w:spacing w:val="-9"/>
          <w:sz w:val="18"/>
        </w:rPr>
        <w:t xml:space="preserve"> </w:t>
      </w:r>
      <w:r>
        <w:rPr>
          <w:sz w:val="18"/>
        </w:rPr>
        <w:t>(Exhibit</w:t>
      </w:r>
      <w:r>
        <w:rPr>
          <w:spacing w:val="-10"/>
          <w:sz w:val="18"/>
        </w:rPr>
        <w:t xml:space="preserve"> </w:t>
      </w:r>
      <w:r>
        <w:rPr>
          <w:sz w:val="18"/>
        </w:rPr>
        <w:t>AUS‐35),</w:t>
      </w:r>
      <w:r>
        <w:rPr>
          <w:spacing w:val="-10"/>
          <w:sz w:val="18"/>
        </w:rPr>
        <w:t xml:space="preserve"> </w:t>
      </w:r>
      <w:r>
        <w:rPr>
          <w:sz w:val="18"/>
        </w:rPr>
        <w:t>p.</w:t>
      </w:r>
      <w:r>
        <w:rPr>
          <w:spacing w:val="-9"/>
          <w:sz w:val="18"/>
        </w:rPr>
        <w:t xml:space="preserve"> </w:t>
      </w:r>
      <w:r>
        <w:rPr>
          <w:spacing w:val="-7"/>
          <w:sz w:val="18"/>
        </w:rPr>
        <w:t>28</w:t>
      </w:r>
    </w:p>
    <w:p w14:paraId="51DE87D7" w14:textId="77777777" w:rsidR="0010369C" w:rsidRDefault="008E43AE">
      <w:pPr>
        <w:tabs>
          <w:tab w:val="left" w:pos="6556"/>
          <w:tab w:val="left" w:pos="8536"/>
        </w:tabs>
        <w:ind w:left="238"/>
        <w:rPr>
          <w:sz w:val="18"/>
        </w:rPr>
      </w:pPr>
      <w:r>
        <w:pict w14:anchorId="51DEA1F9">
          <v:rect id="docshape763" o:spid="_x0000_s1526" style="position:absolute;left:0;text-align:left;margin-left:86.65pt;margin-top:.35pt;width:299.15pt;height:12.05pt;z-index:-251325952;mso-position-horizontal-relative:page" fillcolor="black" stroked="f">
            <w10:wrap anchorx="page"/>
          </v:rect>
        </w:pict>
      </w:r>
      <w:r>
        <w:pict w14:anchorId="51DEA1FA">
          <v:rect id="docshape764" o:spid="_x0000_s1525" style="position:absolute;left:0;text-align:left;margin-left:468.95pt;margin-top:.35pt;width:15.9pt;height:12.05pt;z-index:-251324928;mso-position-horizontal-relative:page" fillcolor="black" stroked="f">
            <w10:wrap anchorx="page"/>
          </v:rect>
        </w:pict>
      </w:r>
      <w:r>
        <w:rPr>
          <w:sz w:val="18"/>
          <w:vertAlign w:val="superscript"/>
        </w:rPr>
        <w:t>364</w:t>
      </w:r>
      <w:r>
        <w:rPr>
          <w:spacing w:val="-2"/>
          <w:sz w:val="18"/>
        </w:rPr>
        <w:t xml:space="preserve"> </w:t>
      </w:r>
      <w:r>
        <w:rPr>
          <w:spacing w:val="-10"/>
          <w:sz w:val="18"/>
        </w:rPr>
        <w:t>[</w:t>
      </w:r>
      <w:r>
        <w:rPr>
          <w:sz w:val="18"/>
        </w:rPr>
        <w:tab/>
      </w:r>
      <w:r>
        <w:rPr>
          <w:color w:val="5E5E5E"/>
          <w:sz w:val="18"/>
        </w:rPr>
        <w:t>(Exhibit</w:t>
      </w:r>
      <w:r>
        <w:rPr>
          <w:color w:val="5E5E5E"/>
          <w:spacing w:val="-10"/>
          <w:sz w:val="18"/>
        </w:rPr>
        <w:t xml:space="preserve"> </w:t>
      </w:r>
      <w:r>
        <w:rPr>
          <w:color w:val="5E5E5E"/>
          <w:sz w:val="18"/>
        </w:rPr>
        <w:t>AUS‐29</w:t>
      </w:r>
      <w:r>
        <w:rPr>
          <w:color w:val="5E5E5E"/>
          <w:spacing w:val="-9"/>
          <w:sz w:val="18"/>
        </w:rPr>
        <w:t xml:space="preserve"> </w:t>
      </w:r>
      <w:r>
        <w:rPr>
          <w:color w:val="5E5E5E"/>
          <w:spacing w:val="-2"/>
          <w:sz w:val="18"/>
        </w:rPr>
        <w:t>(BCI)),</w:t>
      </w:r>
      <w:r>
        <w:rPr>
          <w:color w:val="5E5E5E"/>
          <w:sz w:val="18"/>
        </w:rPr>
        <w:tab/>
      </w:r>
      <w:r>
        <w:rPr>
          <w:spacing w:val="-5"/>
          <w:sz w:val="18"/>
        </w:rPr>
        <w:t>]]</w:t>
      </w:r>
    </w:p>
    <w:p w14:paraId="51DE87D8" w14:textId="77777777" w:rsidR="0010369C" w:rsidRDefault="008E43AE">
      <w:pPr>
        <w:ind w:left="238"/>
        <w:rPr>
          <w:sz w:val="18"/>
        </w:rPr>
      </w:pPr>
      <w:r>
        <w:rPr>
          <w:sz w:val="18"/>
          <w:vertAlign w:val="superscript"/>
        </w:rPr>
        <w:t>365</w:t>
      </w:r>
      <w:r>
        <w:rPr>
          <w:spacing w:val="-9"/>
          <w:sz w:val="18"/>
        </w:rPr>
        <w:t xml:space="preserve"> </w:t>
      </w:r>
      <w:r>
        <w:rPr>
          <w:sz w:val="18"/>
        </w:rPr>
        <w:t>Casella</w:t>
      </w:r>
      <w:r>
        <w:rPr>
          <w:spacing w:val="-9"/>
          <w:sz w:val="18"/>
        </w:rPr>
        <w:t xml:space="preserve"> </w:t>
      </w:r>
      <w:r>
        <w:rPr>
          <w:sz w:val="18"/>
        </w:rPr>
        <w:t>Wines</w:t>
      </w:r>
      <w:r>
        <w:rPr>
          <w:spacing w:val="-9"/>
          <w:sz w:val="18"/>
        </w:rPr>
        <w:t xml:space="preserve"> </w:t>
      </w:r>
      <w:r>
        <w:rPr>
          <w:sz w:val="18"/>
        </w:rPr>
        <w:t>Supplementary</w:t>
      </w:r>
      <w:r>
        <w:rPr>
          <w:spacing w:val="-8"/>
          <w:sz w:val="18"/>
        </w:rPr>
        <w:t xml:space="preserve"> </w:t>
      </w:r>
      <w:r>
        <w:rPr>
          <w:sz w:val="18"/>
        </w:rPr>
        <w:t>Questionnaire</w:t>
      </w:r>
      <w:r>
        <w:rPr>
          <w:spacing w:val="-10"/>
          <w:sz w:val="18"/>
        </w:rPr>
        <w:t xml:space="preserve"> </w:t>
      </w:r>
      <w:r>
        <w:rPr>
          <w:sz w:val="18"/>
        </w:rPr>
        <w:t>Response</w:t>
      </w:r>
      <w:r>
        <w:rPr>
          <w:spacing w:val="-9"/>
          <w:sz w:val="18"/>
        </w:rPr>
        <w:t xml:space="preserve"> </w:t>
      </w:r>
      <w:r>
        <w:rPr>
          <w:sz w:val="18"/>
        </w:rPr>
        <w:t>(Exhibit</w:t>
      </w:r>
      <w:r>
        <w:rPr>
          <w:spacing w:val="-9"/>
          <w:sz w:val="18"/>
        </w:rPr>
        <w:t xml:space="preserve"> </w:t>
      </w:r>
      <w:r>
        <w:rPr>
          <w:sz w:val="18"/>
        </w:rPr>
        <w:t>AUS‐30),</w:t>
      </w:r>
      <w:r>
        <w:rPr>
          <w:spacing w:val="-9"/>
          <w:sz w:val="18"/>
        </w:rPr>
        <w:t xml:space="preserve"> </w:t>
      </w:r>
      <w:r>
        <w:rPr>
          <w:sz w:val="18"/>
        </w:rPr>
        <w:t>pp.</w:t>
      </w:r>
      <w:r>
        <w:rPr>
          <w:spacing w:val="-9"/>
          <w:sz w:val="18"/>
        </w:rPr>
        <w:t xml:space="preserve"> </w:t>
      </w:r>
      <w:r>
        <w:rPr>
          <w:spacing w:val="-4"/>
          <w:sz w:val="18"/>
        </w:rPr>
        <w:t>4‐5.</w:t>
      </w:r>
    </w:p>
    <w:p w14:paraId="51DE87D9" w14:textId="77777777" w:rsidR="0010369C" w:rsidRDefault="008E43AE">
      <w:pPr>
        <w:ind w:left="238"/>
        <w:rPr>
          <w:sz w:val="18"/>
        </w:rPr>
      </w:pPr>
      <w:r>
        <w:rPr>
          <w:sz w:val="18"/>
          <w:vertAlign w:val="superscript"/>
        </w:rPr>
        <w:t>366</w:t>
      </w:r>
      <w:r>
        <w:rPr>
          <w:spacing w:val="-9"/>
          <w:sz w:val="18"/>
        </w:rPr>
        <w:t xml:space="preserve"> </w:t>
      </w:r>
      <w:r>
        <w:rPr>
          <w:sz w:val="18"/>
        </w:rPr>
        <w:t>Casella</w:t>
      </w:r>
      <w:r>
        <w:rPr>
          <w:spacing w:val="-9"/>
          <w:sz w:val="18"/>
        </w:rPr>
        <w:t xml:space="preserve"> </w:t>
      </w:r>
      <w:r>
        <w:rPr>
          <w:sz w:val="18"/>
        </w:rPr>
        <w:t>Wines</w:t>
      </w:r>
      <w:r>
        <w:rPr>
          <w:spacing w:val="-9"/>
          <w:sz w:val="18"/>
        </w:rPr>
        <w:t xml:space="preserve"> </w:t>
      </w:r>
      <w:r>
        <w:rPr>
          <w:sz w:val="18"/>
        </w:rPr>
        <w:t>Supplementary</w:t>
      </w:r>
      <w:r>
        <w:rPr>
          <w:spacing w:val="-8"/>
          <w:sz w:val="18"/>
        </w:rPr>
        <w:t xml:space="preserve"> </w:t>
      </w:r>
      <w:r>
        <w:rPr>
          <w:sz w:val="18"/>
        </w:rPr>
        <w:t>Questionnaire</w:t>
      </w:r>
      <w:r>
        <w:rPr>
          <w:spacing w:val="-10"/>
          <w:sz w:val="18"/>
        </w:rPr>
        <w:t xml:space="preserve"> </w:t>
      </w:r>
      <w:r>
        <w:rPr>
          <w:sz w:val="18"/>
        </w:rPr>
        <w:t>Response</w:t>
      </w:r>
      <w:r>
        <w:rPr>
          <w:spacing w:val="-9"/>
          <w:sz w:val="18"/>
        </w:rPr>
        <w:t xml:space="preserve"> </w:t>
      </w:r>
      <w:r>
        <w:rPr>
          <w:sz w:val="18"/>
        </w:rPr>
        <w:t>(Exhibit</w:t>
      </w:r>
      <w:r>
        <w:rPr>
          <w:spacing w:val="-9"/>
          <w:sz w:val="18"/>
        </w:rPr>
        <w:t xml:space="preserve"> </w:t>
      </w:r>
      <w:r>
        <w:rPr>
          <w:sz w:val="18"/>
        </w:rPr>
        <w:t>AUS‐30),</w:t>
      </w:r>
      <w:r>
        <w:rPr>
          <w:spacing w:val="-9"/>
          <w:sz w:val="18"/>
        </w:rPr>
        <w:t xml:space="preserve"> </w:t>
      </w:r>
      <w:r>
        <w:rPr>
          <w:sz w:val="18"/>
        </w:rPr>
        <w:t>pp.</w:t>
      </w:r>
      <w:r>
        <w:rPr>
          <w:spacing w:val="-9"/>
          <w:sz w:val="18"/>
        </w:rPr>
        <w:t xml:space="preserve"> </w:t>
      </w:r>
      <w:r>
        <w:rPr>
          <w:spacing w:val="-4"/>
          <w:sz w:val="18"/>
        </w:rPr>
        <w:t>5‐6.</w:t>
      </w:r>
    </w:p>
    <w:p w14:paraId="51DE87DA" w14:textId="77777777" w:rsidR="0010369C" w:rsidRDefault="0010369C">
      <w:pPr>
        <w:rPr>
          <w:sz w:val="18"/>
        </w:rPr>
        <w:sectPr w:rsidR="0010369C">
          <w:pgSz w:w="11910" w:h="16840"/>
          <w:pgMar w:top="880" w:right="800" w:bottom="980" w:left="1180" w:header="569" w:footer="788" w:gutter="0"/>
          <w:cols w:space="720"/>
        </w:sectPr>
      </w:pPr>
    </w:p>
    <w:p w14:paraId="51DE87DB" w14:textId="77777777" w:rsidR="0010369C" w:rsidRDefault="008E43AE">
      <w:pPr>
        <w:tabs>
          <w:tab w:val="left" w:pos="6426"/>
        </w:tabs>
        <w:ind w:left="238"/>
        <w:rPr>
          <w:sz w:val="20"/>
        </w:rPr>
      </w:pPr>
      <w:r>
        <w:rPr>
          <w:i/>
          <w:sz w:val="20"/>
        </w:rPr>
        <w:lastRenderedPageBreak/>
        <w:t>China</w:t>
      </w:r>
      <w:r>
        <w:rPr>
          <w:i/>
          <w:spacing w:val="-5"/>
          <w:sz w:val="20"/>
        </w:rPr>
        <w:t xml:space="preserve"> </w:t>
      </w:r>
      <w:r>
        <w:rPr>
          <w:i/>
          <w:sz w:val="20"/>
        </w:rPr>
        <w:t>–</w:t>
      </w:r>
      <w:r>
        <w:rPr>
          <w:i/>
          <w:spacing w:val="-5"/>
          <w:sz w:val="20"/>
        </w:rPr>
        <w:t xml:space="preserve"> </w:t>
      </w:r>
      <w:r>
        <w:rPr>
          <w:i/>
          <w:sz w:val="20"/>
        </w:rPr>
        <w:t>Anti‐Dumping</w:t>
      </w:r>
      <w:r>
        <w:rPr>
          <w:i/>
          <w:spacing w:val="-4"/>
          <w:sz w:val="20"/>
        </w:rPr>
        <w:t xml:space="preserve"> </w:t>
      </w:r>
      <w:r>
        <w:rPr>
          <w:i/>
          <w:sz w:val="20"/>
        </w:rPr>
        <w:t>and</w:t>
      </w:r>
      <w:r>
        <w:rPr>
          <w:i/>
          <w:spacing w:val="-5"/>
          <w:sz w:val="20"/>
        </w:rPr>
        <w:t xml:space="preserve"> </w:t>
      </w:r>
      <w:r>
        <w:rPr>
          <w:i/>
          <w:sz w:val="20"/>
        </w:rPr>
        <w:t>Countervailing</w:t>
      </w:r>
      <w:r>
        <w:rPr>
          <w:i/>
          <w:spacing w:val="-5"/>
          <w:sz w:val="20"/>
        </w:rPr>
        <w:t xml:space="preserve"> </w:t>
      </w:r>
      <w:r>
        <w:rPr>
          <w:i/>
          <w:sz w:val="20"/>
        </w:rPr>
        <w:t>Duty</w:t>
      </w:r>
      <w:r>
        <w:rPr>
          <w:i/>
          <w:spacing w:val="-4"/>
          <w:sz w:val="20"/>
        </w:rPr>
        <w:t xml:space="preserve"> </w:t>
      </w:r>
      <w:r>
        <w:rPr>
          <w:i/>
          <w:spacing w:val="-2"/>
          <w:sz w:val="20"/>
        </w:rPr>
        <w:t>Measures</w:t>
      </w:r>
      <w:r>
        <w:rPr>
          <w:i/>
          <w:sz w:val="20"/>
        </w:rPr>
        <w:tab/>
      </w:r>
      <w:r>
        <w:rPr>
          <w:sz w:val="20"/>
        </w:rPr>
        <w:t>Australia's</w:t>
      </w:r>
      <w:r>
        <w:rPr>
          <w:spacing w:val="-7"/>
          <w:sz w:val="20"/>
        </w:rPr>
        <w:t xml:space="preserve"> </w:t>
      </w:r>
      <w:r>
        <w:rPr>
          <w:sz w:val="20"/>
        </w:rPr>
        <w:t>First</w:t>
      </w:r>
      <w:r>
        <w:rPr>
          <w:spacing w:val="-2"/>
          <w:sz w:val="20"/>
        </w:rPr>
        <w:t xml:space="preserve"> </w:t>
      </w:r>
      <w:r>
        <w:rPr>
          <w:sz w:val="20"/>
        </w:rPr>
        <w:t>Written</w:t>
      </w:r>
      <w:r>
        <w:rPr>
          <w:spacing w:val="-2"/>
          <w:sz w:val="20"/>
        </w:rPr>
        <w:t xml:space="preserve"> Submission</w:t>
      </w:r>
    </w:p>
    <w:p w14:paraId="51DE87DC" w14:textId="77777777" w:rsidR="0010369C" w:rsidRDefault="008E43AE">
      <w:pPr>
        <w:tabs>
          <w:tab w:val="left" w:pos="8228"/>
        </w:tabs>
        <w:spacing w:before="1"/>
        <w:ind w:left="239"/>
        <w:rPr>
          <w:sz w:val="20"/>
        </w:rPr>
      </w:pPr>
      <w:r>
        <w:rPr>
          <w:i/>
          <w:sz w:val="20"/>
        </w:rPr>
        <w:t>on</w:t>
      </w:r>
      <w:r>
        <w:rPr>
          <w:i/>
          <w:spacing w:val="-1"/>
          <w:sz w:val="20"/>
        </w:rPr>
        <w:t xml:space="preserve"> </w:t>
      </w:r>
      <w:r>
        <w:rPr>
          <w:i/>
          <w:sz w:val="20"/>
        </w:rPr>
        <w:t>Wine</w:t>
      </w:r>
      <w:r>
        <w:rPr>
          <w:i/>
          <w:spacing w:val="-1"/>
          <w:sz w:val="20"/>
        </w:rPr>
        <w:t xml:space="preserve"> </w:t>
      </w:r>
      <w:r>
        <w:rPr>
          <w:i/>
          <w:sz w:val="20"/>
        </w:rPr>
        <w:t>from</w:t>
      </w:r>
      <w:r>
        <w:rPr>
          <w:i/>
          <w:spacing w:val="-3"/>
          <w:sz w:val="20"/>
        </w:rPr>
        <w:t xml:space="preserve"> </w:t>
      </w:r>
      <w:r>
        <w:rPr>
          <w:i/>
          <w:sz w:val="20"/>
        </w:rPr>
        <w:t>Australia</w:t>
      </w:r>
      <w:r>
        <w:rPr>
          <w:i/>
          <w:spacing w:val="-1"/>
          <w:sz w:val="20"/>
        </w:rPr>
        <w:t xml:space="preserve"> </w:t>
      </w:r>
      <w:r>
        <w:rPr>
          <w:spacing w:val="-2"/>
          <w:sz w:val="20"/>
        </w:rPr>
        <w:t>(DS602)</w:t>
      </w:r>
      <w:r>
        <w:rPr>
          <w:sz w:val="20"/>
        </w:rPr>
        <w:tab/>
        <w:t>29</w:t>
      </w:r>
      <w:r>
        <w:rPr>
          <w:spacing w:val="-1"/>
          <w:sz w:val="20"/>
        </w:rPr>
        <w:t xml:space="preserve"> </w:t>
      </w:r>
      <w:r>
        <w:rPr>
          <w:sz w:val="20"/>
        </w:rPr>
        <w:t>April</w:t>
      </w:r>
      <w:r>
        <w:rPr>
          <w:spacing w:val="-2"/>
          <w:sz w:val="20"/>
        </w:rPr>
        <w:t xml:space="preserve"> </w:t>
      </w:r>
      <w:r>
        <w:rPr>
          <w:spacing w:val="-4"/>
          <w:sz w:val="20"/>
        </w:rPr>
        <w:t>2022</w:t>
      </w:r>
    </w:p>
    <w:p w14:paraId="51DE87DD" w14:textId="77777777" w:rsidR="0010369C" w:rsidRDefault="008E43AE">
      <w:pPr>
        <w:pStyle w:val="BodyText"/>
        <w:spacing w:before="34" w:line="360" w:lineRule="auto"/>
        <w:ind w:left="237" w:right="612" w:firstLine="851"/>
        <w:jc w:val="both"/>
      </w:pPr>
      <w:r>
        <w:rPr>
          <w:noProof/>
        </w:rPr>
        <w:drawing>
          <wp:anchor distT="0" distB="0" distL="0" distR="0" simplePos="0" relativeHeight="250984960" behindDoc="1" locked="0" layoutInCell="1" allowOverlap="1" wp14:anchorId="51DEA1FB" wp14:editId="51DEA1FC">
            <wp:simplePos x="0" y="0"/>
            <wp:positionH relativeFrom="page">
              <wp:posOffset>905255</wp:posOffset>
            </wp:positionH>
            <wp:positionV relativeFrom="paragraph">
              <wp:posOffset>69165</wp:posOffset>
            </wp:positionV>
            <wp:extent cx="259079" cy="103631"/>
            <wp:effectExtent l="0" t="0" r="0" b="0"/>
            <wp:wrapNone/>
            <wp:docPr id="669" name="image3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 name="image345.png"/>
                    <pic:cNvPicPr/>
                  </pic:nvPicPr>
                  <pic:blipFill>
                    <a:blip r:embed="rId465" cstate="print"/>
                    <a:stretch>
                      <a:fillRect/>
                    </a:stretch>
                  </pic:blipFill>
                  <pic:spPr>
                    <a:xfrm>
                      <a:off x="0" y="0"/>
                      <a:ext cx="259079" cy="103631"/>
                    </a:xfrm>
                    <a:prstGeom prst="rect">
                      <a:avLst/>
                    </a:prstGeom>
                  </pic:spPr>
                </pic:pic>
              </a:graphicData>
            </a:graphic>
          </wp:anchor>
        </w:drawing>
      </w:r>
      <w:r>
        <w:t>MOFCOM then reiterated the same findings in the Final Determination,</w:t>
      </w:r>
      <w:r>
        <w:rPr>
          <w:vertAlign w:val="superscript"/>
        </w:rPr>
        <w:t>367</w:t>
      </w:r>
      <w:r>
        <w:t xml:space="preserve"> with no reference to the complete data submitted by Casella Wines in Excel and PDF, both of which are commonly used formats. MOFCOM acknowledged that a printed copy of the </w:t>
      </w:r>
      <w:r>
        <w:t xml:space="preserve">complete data had been submitted but refused to consider it on the basis that the data in it was inconsistent with the original WPS submission, which Casella Wines had conceded was </w:t>
      </w:r>
      <w:r>
        <w:rPr>
          <w:spacing w:val="-2"/>
        </w:rPr>
        <w:t>deficient.</w:t>
      </w:r>
      <w:r>
        <w:rPr>
          <w:spacing w:val="-2"/>
          <w:vertAlign w:val="superscript"/>
        </w:rPr>
        <w:t>368</w:t>
      </w:r>
    </w:p>
    <w:p w14:paraId="51DE87DE" w14:textId="77777777" w:rsidR="0010369C" w:rsidRDefault="0010369C">
      <w:pPr>
        <w:pStyle w:val="BodyText"/>
        <w:spacing w:before="10"/>
        <w:rPr>
          <w:sz w:val="8"/>
        </w:rPr>
      </w:pPr>
    </w:p>
    <w:p w14:paraId="51DE87DF" w14:textId="77777777" w:rsidR="0010369C" w:rsidRDefault="008E43AE">
      <w:pPr>
        <w:pStyle w:val="BodyText"/>
        <w:spacing w:before="52" w:line="360" w:lineRule="auto"/>
        <w:ind w:left="237" w:right="612" w:firstLine="851"/>
        <w:jc w:val="both"/>
      </w:pPr>
      <w:r>
        <w:rPr>
          <w:noProof/>
        </w:rPr>
        <w:drawing>
          <wp:anchor distT="0" distB="0" distL="0" distR="0" simplePos="0" relativeHeight="250985984" behindDoc="1" locked="0" layoutInCell="1" allowOverlap="1" wp14:anchorId="51DEA1FD" wp14:editId="51DEA1FE">
            <wp:simplePos x="0" y="0"/>
            <wp:positionH relativeFrom="page">
              <wp:posOffset>905255</wp:posOffset>
            </wp:positionH>
            <wp:positionV relativeFrom="paragraph">
              <wp:posOffset>81949</wp:posOffset>
            </wp:positionV>
            <wp:extent cx="259079" cy="100753"/>
            <wp:effectExtent l="0" t="0" r="0" b="0"/>
            <wp:wrapNone/>
            <wp:docPr id="671" name="image3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 name="image346.png"/>
                    <pic:cNvPicPr/>
                  </pic:nvPicPr>
                  <pic:blipFill>
                    <a:blip r:embed="rId466" cstate="print"/>
                    <a:stretch>
                      <a:fillRect/>
                    </a:stretch>
                  </pic:blipFill>
                  <pic:spPr>
                    <a:xfrm>
                      <a:off x="0" y="0"/>
                      <a:ext cx="259079" cy="100753"/>
                    </a:xfrm>
                    <a:prstGeom prst="rect">
                      <a:avLst/>
                    </a:prstGeom>
                  </pic:spPr>
                </pic:pic>
              </a:graphicData>
            </a:graphic>
          </wp:anchor>
        </w:drawing>
      </w:r>
      <w:r>
        <w:t>MOFCOM did not at any time contend that the Excel, PDF or h</w:t>
      </w:r>
      <w:r>
        <w:t>ard copy versions of Casella</w:t>
      </w:r>
      <w:r>
        <w:rPr>
          <w:spacing w:val="-3"/>
        </w:rPr>
        <w:t xml:space="preserve"> </w:t>
      </w:r>
      <w:r>
        <w:t>Wines'</w:t>
      </w:r>
      <w:r>
        <w:rPr>
          <w:spacing w:val="-4"/>
        </w:rPr>
        <w:t xml:space="preserve"> </w:t>
      </w:r>
      <w:r>
        <w:t>responses</w:t>
      </w:r>
      <w:r>
        <w:rPr>
          <w:spacing w:val="-5"/>
        </w:rPr>
        <w:t xml:space="preserve"> </w:t>
      </w:r>
      <w:r>
        <w:t>were</w:t>
      </w:r>
      <w:r>
        <w:rPr>
          <w:spacing w:val="-3"/>
        </w:rPr>
        <w:t xml:space="preserve"> </w:t>
      </w:r>
      <w:r>
        <w:t>in</w:t>
      </w:r>
      <w:r>
        <w:rPr>
          <w:spacing w:val="-4"/>
        </w:rPr>
        <w:t xml:space="preserve"> </w:t>
      </w:r>
      <w:r>
        <w:t>any</w:t>
      </w:r>
      <w:r>
        <w:rPr>
          <w:spacing w:val="-3"/>
        </w:rPr>
        <w:t xml:space="preserve"> </w:t>
      </w:r>
      <w:r>
        <w:t>way</w:t>
      </w:r>
      <w:r>
        <w:rPr>
          <w:spacing w:val="-3"/>
        </w:rPr>
        <w:t xml:space="preserve"> </w:t>
      </w:r>
      <w:r>
        <w:t>deficient,</w:t>
      </w:r>
      <w:r>
        <w:rPr>
          <w:spacing w:val="-3"/>
        </w:rPr>
        <w:t xml:space="preserve"> </w:t>
      </w:r>
      <w:r>
        <w:t>save</w:t>
      </w:r>
      <w:r>
        <w:rPr>
          <w:spacing w:val="-3"/>
        </w:rPr>
        <w:t xml:space="preserve"> </w:t>
      </w:r>
      <w:r>
        <w:t>for</w:t>
      </w:r>
      <w:r>
        <w:rPr>
          <w:spacing w:val="-3"/>
        </w:rPr>
        <w:t xml:space="preserve"> </w:t>
      </w:r>
      <w:r>
        <w:t>the</w:t>
      </w:r>
      <w:r>
        <w:rPr>
          <w:spacing w:val="-3"/>
        </w:rPr>
        <w:t xml:space="preserve"> </w:t>
      </w:r>
      <w:r>
        <w:t>nonsensical</w:t>
      </w:r>
      <w:r>
        <w:rPr>
          <w:spacing w:val="-3"/>
        </w:rPr>
        <w:t xml:space="preserve"> </w:t>
      </w:r>
      <w:r>
        <w:t>critique</w:t>
      </w:r>
      <w:r>
        <w:rPr>
          <w:spacing w:val="-5"/>
        </w:rPr>
        <w:t xml:space="preserve"> </w:t>
      </w:r>
      <w:r>
        <w:t>that</w:t>
      </w:r>
      <w:r>
        <w:rPr>
          <w:spacing w:val="-4"/>
        </w:rPr>
        <w:t xml:space="preserve"> </w:t>
      </w:r>
      <w:r>
        <w:t>the printed</w:t>
      </w:r>
      <w:r>
        <w:rPr>
          <w:spacing w:val="-7"/>
        </w:rPr>
        <w:t xml:space="preserve"> </w:t>
      </w:r>
      <w:r>
        <w:t>copy</w:t>
      </w:r>
      <w:r>
        <w:rPr>
          <w:spacing w:val="-7"/>
        </w:rPr>
        <w:t xml:space="preserve"> </w:t>
      </w:r>
      <w:r>
        <w:t>was</w:t>
      </w:r>
      <w:r>
        <w:rPr>
          <w:spacing w:val="-8"/>
        </w:rPr>
        <w:t xml:space="preserve"> </w:t>
      </w:r>
      <w:r>
        <w:t>different</w:t>
      </w:r>
      <w:r>
        <w:rPr>
          <w:spacing w:val="-7"/>
        </w:rPr>
        <w:t xml:space="preserve"> </w:t>
      </w:r>
      <w:r>
        <w:t>from</w:t>
      </w:r>
      <w:r>
        <w:rPr>
          <w:spacing w:val="-7"/>
        </w:rPr>
        <w:t xml:space="preserve"> </w:t>
      </w:r>
      <w:r>
        <w:t>the</w:t>
      </w:r>
      <w:r>
        <w:rPr>
          <w:spacing w:val="-8"/>
        </w:rPr>
        <w:t xml:space="preserve"> </w:t>
      </w:r>
      <w:r>
        <w:t>erroneous</w:t>
      </w:r>
      <w:r>
        <w:rPr>
          <w:spacing w:val="-8"/>
        </w:rPr>
        <w:t xml:space="preserve"> </w:t>
      </w:r>
      <w:r>
        <w:t>version.</w:t>
      </w:r>
      <w:r>
        <w:rPr>
          <w:vertAlign w:val="superscript"/>
        </w:rPr>
        <w:t>369</w:t>
      </w:r>
      <w:r>
        <w:rPr>
          <w:spacing w:val="-8"/>
        </w:rPr>
        <w:t xml:space="preserve"> </w:t>
      </w:r>
      <w:r>
        <w:t>Nor</w:t>
      </w:r>
      <w:r>
        <w:rPr>
          <w:spacing w:val="-6"/>
        </w:rPr>
        <w:t xml:space="preserve"> </w:t>
      </w:r>
      <w:r>
        <w:t>did</w:t>
      </w:r>
      <w:r>
        <w:rPr>
          <w:spacing w:val="-8"/>
        </w:rPr>
        <w:t xml:space="preserve"> </w:t>
      </w:r>
      <w:r>
        <w:t>MOFCOM</w:t>
      </w:r>
      <w:r>
        <w:rPr>
          <w:spacing w:val="-8"/>
        </w:rPr>
        <w:t xml:space="preserve"> </w:t>
      </w:r>
      <w:r>
        <w:t>allege</w:t>
      </w:r>
      <w:r>
        <w:rPr>
          <w:spacing w:val="-7"/>
        </w:rPr>
        <w:t xml:space="preserve"> </w:t>
      </w:r>
      <w:r>
        <w:t>that</w:t>
      </w:r>
      <w:r>
        <w:rPr>
          <w:spacing w:val="-8"/>
        </w:rPr>
        <w:t xml:space="preserve"> </w:t>
      </w:r>
      <w:r>
        <w:t>it</w:t>
      </w:r>
      <w:r>
        <w:rPr>
          <w:spacing w:val="-7"/>
        </w:rPr>
        <w:t xml:space="preserve"> </w:t>
      </w:r>
      <w:r>
        <w:t xml:space="preserve">was unable to use the alternate formats or that it faced any material difficulty in doing so. No request was made by MOFCOM for the data to be submitted in any additional, preferred, </w:t>
      </w:r>
      <w:r>
        <w:rPr>
          <w:spacing w:val="-2"/>
        </w:rPr>
        <w:t>format.</w:t>
      </w:r>
    </w:p>
    <w:p w14:paraId="51DE87E0" w14:textId="77777777" w:rsidR="0010369C" w:rsidRDefault="0010369C">
      <w:pPr>
        <w:pStyle w:val="BodyText"/>
        <w:spacing w:before="11"/>
        <w:rPr>
          <w:sz w:val="8"/>
        </w:rPr>
      </w:pPr>
    </w:p>
    <w:p w14:paraId="51DE87E1" w14:textId="77777777" w:rsidR="0010369C" w:rsidRDefault="008E43AE">
      <w:pPr>
        <w:pStyle w:val="BodyText"/>
        <w:spacing w:before="52" w:line="360" w:lineRule="auto"/>
        <w:ind w:left="237" w:right="614" w:firstLine="851"/>
        <w:jc w:val="both"/>
      </w:pPr>
      <w:r>
        <w:rPr>
          <w:noProof/>
        </w:rPr>
        <w:drawing>
          <wp:anchor distT="0" distB="0" distL="0" distR="0" simplePos="0" relativeHeight="250987008" behindDoc="1" locked="0" layoutInCell="1" allowOverlap="1" wp14:anchorId="51DEA1FF" wp14:editId="51DEA200">
            <wp:simplePos x="0" y="0"/>
            <wp:positionH relativeFrom="page">
              <wp:posOffset>905255</wp:posOffset>
            </wp:positionH>
            <wp:positionV relativeFrom="paragraph">
              <wp:posOffset>76785</wp:posOffset>
            </wp:positionV>
            <wp:extent cx="259079" cy="106679"/>
            <wp:effectExtent l="0" t="0" r="0" b="0"/>
            <wp:wrapNone/>
            <wp:docPr id="673" name="image3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 name="image347.png"/>
                    <pic:cNvPicPr/>
                  </pic:nvPicPr>
                  <pic:blipFill>
                    <a:blip r:embed="rId467" cstate="print"/>
                    <a:stretch>
                      <a:fillRect/>
                    </a:stretch>
                  </pic:blipFill>
                  <pic:spPr>
                    <a:xfrm>
                      <a:off x="0" y="0"/>
                      <a:ext cx="259079" cy="106679"/>
                    </a:xfrm>
                    <a:prstGeom prst="rect">
                      <a:avLst/>
                    </a:prstGeom>
                  </pic:spPr>
                </pic:pic>
              </a:graphicData>
            </a:graphic>
          </wp:anchor>
        </w:drawing>
      </w:r>
      <w:r>
        <w:t xml:space="preserve">MOFCOM's own Anti‐Dumping Questionnaire had specified that PDF </w:t>
      </w:r>
      <w:r>
        <w:t>was an acceptable format to provide data in – mandating that all data be provided in both WPS and PDF format.</w:t>
      </w:r>
      <w:r>
        <w:rPr>
          <w:vertAlign w:val="superscript"/>
        </w:rPr>
        <w:t>370</w:t>
      </w:r>
      <w:r>
        <w:t xml:space="preserve"> No explanation was given for its refusal to use the data provided in one of its own specified preferred formats.</w:t>
      </w:r>
    </w:p>
    <w:p w14:paraId="51DE87E2" w14:textId="77777777" w:rsidR="0010369C" w:rsidRDefault="0010369C">
      <w:pPr>
        <w:pStyle w:val="BodyText"/>
        <w:spacing w:before="10"/>
        <w:rPr>
          <w:sz w:val="8"/>
        </w:rPr>
      </w:pPr>
    </w:p>
    <w:p w14:paraId="51DE87E3" w14:textId="77777777" w:rsidR="0010369C" w:rsidRDefault="008E43AE">
      <w:pPr>
        <w:pStyle w:val="BodyText"/>
        <w:spacing w:before="52" w:line="360" w:lineRule="auto"/>
        <w:ind w:left="238" w:right="611" w:firstLine="850"/>
      </w:pPr>
      <w:r>
        <w:rPr>
          <w:noProof/>
        </w:rPr>
        <w:drawing>
          <wp:anchor distT="0" distB="0" distL="0" distR="0" simplePos="0" relativeHeight="250988032" behindDoc="1" locked="0" layoutInCell="1" allowOverlap="1" wp14:anchorId="51DEA201" wp14:editId="51DEA202">
            <wp:simplePos x="0" y="0"/>
            <wp:positionH relativeFrom="page">
              <wp:posOffset>905255</wp:posOffset>
            </wp:positionH>
            <wp:positionV relativeFrom="paragraph">
              <wp:posOffset>81357</wp:posOffset>
            </wp:positionV>
            <wp:extent cx="259079" cy="103631"/>
            <wp:effectExtent l="0" t="0" r="0" b="0"/>
            <wp:wrapNone/>
            <wp:docPr id="675" name="image3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 name="image348.png"/>
                    <pic:cNvPicPr/>
                  </pic:nvPicPr>
                  <pic:blipFill>
                    <a:blip r:embed="rId468" cstate="print"/>
                    <a:stretch>
                      <a:fillRect/>
                    </a:stretch>
                  </pic:blipFill>
                  <pic:spPr>
                    <a:xfrm>
                      <a:off x="0" y="0"/>
                      <a:ext cx="259079" cy="103631"/>
                    </a:xfrm>
                    <a:prstGeom prst="rect">
                      <a:avLst/>
                    </a:prstGeom>
                  </pic:spPr>
                </pic:pic>
              </a:graphicData>
            </a:graphic>
          </wp:anchor>
        </w:drawing>
      </w:r>
      <w:r>
        <w:t>The two reasons given by MOF</w:t>
      </w:r>
      <w:r>
        <w:t>COM for its refusal to use the data were not credible and did not identify any genuine obstacle to using the data provided.</w:t>
      </w:r>
    </w:p>
    <w:p w14:paraId="51DE87E4" w14:textId="77777777" w:rsidR="0010369C" w:rsidRDefault="0010369C">
      <w:pPr>
        <w:pStyle w:val="BodyText"/>
        <w:spacing w:before="11"/>
        <w:rPr>
          <w:sz w:val="8"/>
        </w:rPr>
      </w:pPr>
    </w:p>
    <w:p w14:paraId="51DE87E5" w14:textId="77777777" w:rsidR="0010369C" w:rsidRDefault="008E43AE">
      <w:pPr>
        <w:pStyle w:val="BodyText"/>
        <w:spacing w:before="52" w:line="360" w:lineRule="auto"/>
        <w:ind w:left="237" w:right="613" w:firstLine="852"/>
        <w:jc w:val="both"/>
      </w:pPr>
      <w:r>
        <w:rPr>
          <w:noProof/>
        </w:rPr>
        <w:drawing>
          <wp:anchor distT="0" distB="0" distL="0" distR="0" simplePos="0" relativeHeight="250989056" behindDoc="1" locked="0" layoutInCell="1" allowOverlap="1" wp14:anchorId="51DEA203" wp14:editId="51DEA204">
            <wp:simplePos x="0" y="0"/>
            <wp:positionH relativeFrom="page">
              <wp:posOffset>905255</wp:posOffset>
            </wp:positionH>
            <wp:positionV relativeFrom="paragraph">
              <wp:posOffset>76786</wp:posOffset>
            </wp:positionV>
            <wp:extent cx="259079" cy="106679"/>
            <wp:effectExtent l="0" t="0" r="0" b="0"/>
            <wp:wrapNone/>
            <wp:docPr id="677" name="image3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 name="image349.png"/>
                    <pic:cNvPicPr/>
                  </pic:nvPicPr>
                  <pic:blipFill>
                    <a:blip r:embed="rId469" cstate="print"/>
                    <a:stretch>
                      <a:fillRect/>
                    </a:stretch>
                  </pic:blipFill>
                  <pic:spPr>
                    <a:xfrm>
                      <a:off x="0" y="0"/>
                      <a:ext cx="259079" cy="106679"/>
                    </a:xfrm>
                    <a:prstGeom prst="rect">
                      <a:avLst/>
                    </a:prstGeom>
                  </pic:spPr>
                </pic:pic>
              </a:graphicData>
            </a:graphic>
          </wp:anchor>
        </w:drawing>
      </w:r>
      <w:r>
        <w:t>First, MOFCOM complained that Casella Wines had not submitted an application to it to submit the data in a different format within 15 days of receipt of the Anti‐Dumping Questionnaire.</w:t>
      </w:r>
      <w:r>
        <w:rPr>
          <w:vertAlign w:val="superscript"/>
        </w:rPr>
        <w:t>371</w:t>
      </w:r>
      <w:r>
        <w:rPr>
          <w:spacing w:val="40"/>
        </w:rPr>
        <w:t xml:space="preserve"> </w:t>
      </w:r>
      <w:r>
        <w:t>Given Casella Wines' uncontested submission that it was not aware of</w:t>
      </w:r>
      <w:r>
        <w:t xml:space="preserve"> the limitations</w:t>
      </w:r>
      <w:r>
        <w:rPr>
          <w:spacing w:val="-14"/>
        </w:rPr>
        <w:t xml:space="preserve"> </w:t>
      </w:r>
      <w:r>
        <w:t>of</w:t>
      </w:r>
      <w:r>
        <w:rPr>
          <w:spacing w:val="-14"/>
        </w:rPr>
        <w:t xml:space="preserve"> </w:t>
      </w:r>
      <w:r>
        <w:t>the</w:t>
      </w:r>
      <w:r>
        <w:rPr>
          <w:spacing w:val="-13"/>
        </w:rPr>
        <w:t xml:space="preserve"> </w:t>
      </w:r>
      <w:r>
        <w:t>format</w:t>
      </w:r>
      <w:r>
        <w:rPr>
          <w:spacing w:val="-14"/>
        </w:rPr>
        <w:t xml:space="preserve"> </w:t>
      </w:r>
      <w:r>
        <w:t>until</w:t>
      </w:r>
      <w:r>
        <w:rPr>
          <w:spacing w:val="-13"/>
        </w:rPr>
        <w:t xml:space="preserve"> </w:t>
      </w:r>
      <w:r>
        <w:t>MOFCOM</w:t>
      </w:r>
      <w:r>
        <w:rPr>
          <w:spacing w:val="-14"/>
        </w:rPr>
        <w:t xml:space="preserve"> </w:t>
      </w:r>
      <w:r>
        <w:t>flagged</w:t>
      </w:r>
      <w:r>
        <w:rPr>
          <w:spacing w:val="-13"/>
        </w:rPr>
        <w:t xml:space="preserve"> </w:t>
      </w:r>
      <w:r>
        <w:t>its</w:t>
      </w:r>
      <w:r>
        <w:rPr>
          <w:spacing w:val="-14"/>
        </w:rPr>
        <w:t xml:space="preserve"> </w:t>
      </w:r>
      <w:r>
        <w:t>concerns</w:t>
      </w:r>
      <w:r>
        <w:rPr>
          <w:spacing w:val="-14"/>
        </w:rPr>
        <w:t xml:space="preserve"> </w:t>
      </w:r>
      <w:r>
        <w:t>in</w:t>
      </w:r>
      <w:r>
        <w:rPr>
          <w:spacing w:val="-13"/>
        </w:rPr>
        <w:t xml:space="preserve"> </w:t>
      </w:r>
      <w:r>
        <w:t>the</w:t>
      </w:r>
      <w:r>
        <w:rPr>
          <w:spacing w:val="-14"/>
        </w:rPr>
        <w:t xml:space="preserve"> </w:t>
      </w:r>
      <w:r>
        <w:t>Preliminary</w:t>
      </w:r>
      <w:r>
        <w:rPr>
          <w:spacing w:val="-13"/>
        </w:rPr>
        <w:t xml:space="preserve"> </w:t>
      </w:r>
      <w:r>
        <w:t>Determination, it is unreasonable for MOFCOM to insist upon compliance with this procedural requirement. Moreover, this response highlights that MOFCOM was open to data being provided in other formats, indicating that it was capable of making use of such s</w:t>
      </w:r>
      <w:r>
        <w:t xml:space="preserve">ubmissions without undue </w:t>
      </w:r>
      <w:r>
        <w:rPr>
          <w:spacing w:val="-2"/>
        </w:rPr>
        <w:t>difficulty.</w:t>
      </w:r>
    </w:p>
    <w:p w14:paraId="51DE87E6" w14:textId="77777777" w:rsidR="0010369C" w:rsidRDefault="0010369C">
      <w:pPr>
        <w:pStyle w:val="BodyText"/>
        <w:rPr>
          <w:sz w:val="20"/>
        </w:rPr>
      </w:pPr>
    </w:p>
    <w:p w14:paraId="51DE87E7" w14:textId="77777777" w:rsidR="0010369C" w:rsidRDefault="008E43AE">
      <w:pPr>
        <w:pStyle w:val="BodyText"/>
        <w:spacing w:before="4"/>
        <w:rPr>
          <w:sz w:val="18"/>
        </w:rPr>
      </w:pPr>
      <w:r>
        <w:pict w14:anchorId="51DEA205">
          <v:rect id="docshape765" o:spid="_x0000_s1524" style="position:absolute;margin-left:70.9pt;margin-top:12.45pt;width:2in;height:.8pt;z-index:-250938880;mso-wrap-distance-left:0;mso-wrap-distance-right:0;mso-position-horizontal-relative:page" fillcolor="black" stroked="f">
            <w10:wrap type="topAndBottom" anchorx="page"/>
          </v:rect>
        </w:pict>
      </w:r>
    </w:p>
    <w:p w14:paraId="51DE87E8" w14:textId="77777777" w:rsidR="0010369C" w:rsidRDefault="008E43AE">
      <w:pPr>
        <w:spacing w:before="109"/>
        <w:ind w:left="238"/>
        <w:rPr>
          <w:sz w:val="18"/>
        </w:rPr>
      </w:pPr>
      <w:r>
        <w:rPr>
          <w:sz w:val="18"/>
          <w:vertAlign w:val="superscript"/>
        </w:rPr>
        <w:t>367</w:t>
      </w:r>
      <w:r>
        <w:rPr>
          <w:spacing w:val="-9"/>
          <w:sz w:val="18"/>
        </w:rPr>
        <w:t xml:space="preserve"> </w:t>
      </w:r>
      <w:r>
        <w:rPr>
          <w:sz w:val="18"/>
        </w:rPr>
        <w:t>Anti‐Dumping</w:t>
      </w:r>
      <w:r>
        <w:rPr>
          <w:spacing w:val="-9"/>
          <w:sz w:val="18"/>
        </w:rPr>
        <w:t xml:space="preserve"> </w:t>
      </w:r>
      <w:r>
        <w:rPr>
          <w:sz w:val="18"/>
        </w:rPr>
        <w:t>Final</w:t>
      </w:r>
      <w:r>
        <w:rPr>
          <w:spacing w:val="-9"/>
          <w:sz w:val="18"/>
        </w:rPr>
        <w:t xml:space="preserve"> </w:t>
      </w:r>
      <w:r>
        <w:rPr>
          <w:sz w:val="18"/>
        </w:rPr>
        <w:t>Determination</w:t>
      </w:r>
      <w:r>
        <w:rPr>
          <w:spacing w:val="-8"/>
          <w:sz w:val="18"/>
        </w:rPr>
        <w:t xml:space="preserve"> </w:t>
      </w:r>
      <w:r>
        <w:rPr>
          <w:sz w:val="18"/>
        </w:rPr>
        <w:t>(Exhibit</w:t>
      </w:r>
      <w:r>
        <w:rPr>
          <w:spacing w:val="-9"/>
          <w:sz w:val="18"/>
        </w:rPr>
        <w:t xml:space="preserve"> </w:t>
      </w:r>
      <w:r>
        <w:rPr>
          <w:sz w:val="18"/>
        </w:rPr>
        <w:t>AUS‐2),</w:t>
      </w:r>
      <w:r>
        <w:rPr>
          <w:spacing w:val="-9"/>
          <w:sz w:val="18"/>
        </w:rPr>
        <w:t xml:space="preserve"> </w:t>
      </w:r>
      <w:r>
        <w:rPr>
          <w:sz w:val="18"/>
        </w:rPr>
        <w:t>p.</w:t>
      </w:r>
      <w:r>
        <w:rPr>
          <w:spacing w:val="-9"/>
          <w:sz w:val="18"/>
        </w:rPr>
        <w:t xml:space="preserve"> </w:t>
      </w:r>
      <w:r>
        <w:rPr>
          <w:spacing w:val="-5"/>
          <w:sz w:val="18"/>
        </w:rPr>
        <w:t>84.</w:t>
      </w:r>
    </w:p>
    <w:p w14:paraId="51DE87E9" w14:textId="77777777" w:rsidR="0010369C" w:rsidRDefault="008E43AE">
      <w:pPr>
        <w:ind w:left="238"/>
        <w:rPr>
          <w:sz w:val="18"/>
        </w:rPr>
      </w:pPr>
      <w:r>
        <w:rPr>
          <w:sz w:val="18"/>
          <w:vertAlign w:val="superscript"/>
        </w:rPr>
        <w:t>368</w:t>
      </w:r>
      <w:r>
        <w:rPr>
          <w:spacing w:val="-9"/>
          <w:sz w:val="18"/>
        </w:rPr>
        <w:t xml:space="preserve"> </w:t>
      </w:r>
      <w:r>
        <w:rPr>
          <w:sz w:val="18"/>
        </w:rPr>
        <w:t>Anti‐Dumping</w:t>
      </w:r>
      <w:r>
        <w:rPr>
          <w:spacing w:val="-9"/>
          <w:sz w:val="18"/>
        </w:rPr>
        <w:t xml:space="preserve"> </w:t>
      </w:r>
      <w:r>
        <w:rPr>
          <w:sz w:val="18"/>
        </w:rPr>
        <w:t>Final</w:t>
      </w:r>
      <w:r>
        <w:rPr>
          <w:spacing w:val="-9"/>
          <w:sz w:val="18"/>
        </w:rPr>
        <w:t xml:space="preserve"> </w:t>
      </w:r>
      <w:r>
        <w:rPr>
          <w:sz w:val="18"/>
        </w:rPr>
        <w:t>Determination</w:t>
      </w:r>
      <w:r>
        <w:rPr>
          <w:spacing w:val="-8"/>
          <w:sz w:val="18"/>
        </w:rPr>
        <w:t xml:space="preserve"> </w:t>
      </w:r>
      <w:r>
        <w:rPr>
          <w:sz w:val="18"/>
        </w:rPr>
        <w:t>(Exhibit</w:t>
      </w:r>
      <w:r>
        <w:rPr>
          <w:spacing w:val="-9"/>
          <w:sz w:val="18"/>
        </w:rPr>
        <w:t xml:space="preserve"> </w:t>
      </w:r>
      <w:r>
        <w:rPr>
          <w:sz w:val="18"/>
        </w:rPr>
        <w:t>AUS‐2),</w:t>
      </w:r>
      <w:r>
        <w:rPr>
          <w:spacing w:val="-10"/>
          <w:sz w:val="18"/>
        </w:rPr>
        <w:t xml:space="preserve"> </w:t>
      </w:r>
      <w:r>
        <w:rPr>
          <w:sz w:val="18"/>
        </w:rPr>
        <w:t>pp.</w:t>
      </w:r>
      <w:r>
        <w:rPr>
          <w:spacing w:val="-9"/>
          <w:sz w:val="18"/>
        </w:rPr>
        <w:t xml:space="preserve"> </w:t>
      </w:r>
      <w:r>
        <w:rPr>
          <w:spacing w:val="-2"/>
          <w:sz w:val="18"/>
        </w:rPr>
        <w:t>78‐79.</w:t>
      </w:r>
    </w:p>
    <w:p w14:paraId="51DE87EA" w14:textId="77777777" w:rsidR="0010369C" w:rsidRDefault="008E43AE">
      <w:pPr>
        <w:spacing w:before="1"/>
        <w:ind w:left="238"/>
        <w:rPr>
          <w:sz w:val="18"/>
        </w:rPr>
      </w:pPr>
      <w:r>
        <w:rPr>
          <w:sz w:val="18"/>
          <w:vertAlign w:val="superscript"/>
        </w:rPr>
        <w:t>369</w:t>
      </w:r>
      <w:r>
        <w:rPr>
          <w:spacing w:val="-9"/>
          <w:sz w:val="18"/>
        </w:rPr>
        <w:t xml:space="preserve"> </w:t>
      </w:r>
      <w:r>
        <w:rPr>
          <w:sz w:val="18"/>
        </w:rPr>
        <w:t>Anti‐Dumping</w:t>
      </w:r>
      <w:r>
        <w:rPr>
          <w:spacing w:val="-9"/>
          <w:sz w:val="18"/>
        </w:rPr>
        <w:t xml:space="preserve"> </w:t>
      </w:r>
      <w:r>
        <w:rPr>
          <w:sz w:val="18"/>
        </w:rPr>
        <w:t>Final</w:t>
      </w:r>
      <w:r>
        <w:rPr>
          <w:spacing w:val="-9"/>
          <w:sz w:val="18"/>
        </w:rPr>
        <w:t xml:space="preserve"> </w:t>
      </w:r>
      <w:r>
        <w:rPr>
          <w:sz w:val="18"/>
        </w:rPr>
        <w:t>Determination</w:t>
      </w:r>
      <w:r>
        <w:rPr>
          <w:spacing w:val="-8"/>
          <w:sz w:val="18"/>
        </w:rPr>
        <w:t xml:space="preserve"> </w:t>
      </w:r>
      <w:r>
        <w:rPr>
          <w:sz w:val="18"/>
        </w:rPr>
        <w:t>(Exhibit</w:t>
      </w:r>
      <w:r>
        <w:rPr>
          <w:spacing w:val="-9"/>
          <w:sz w:val="18"/>
        </w:rPr>
        <w:t xml:space="preserve"> </w:t>
      </w:r>
      <w:r>
        <w:rPr>
          <w:sz w:val="18"/>
        </w:rPr>
        <w:t>AUS‐2),</w:t>
      </w:r>
      <w:r>
        <w:rPr>
          <w:spacing w:val="-10"/>
          <w:sz w:val="18"/>
        </w:rPr>
        <w:t xml:space="preserve"> </w:t>
      </w:r>
      <w:r>
        <w:rPr>
          <w:sz w:val="18"/>
        </w:rPr>
        <w:t>pp.</w:t>
      </w:r>
      <w:r>
        <w:rPr>
          <w:spacing w:val="-9"/>
          <w:sz w:val="18"/>
        </w:rPr>
        <w:t xml:space="preserve"> </w:t>
      </w:r>
      <w:r>
        <w:rPr>
          <w:spacing w:val="-2"/>
          <w:sz w:val="18"/>
        </w:rPr>
        <w:t>78‐79.</w:t>
      </w:r>
    </w:p>
    <w:p w14:paraId="51DE87EB" w14:textId="77777777" w:rsidR="0010369C" w:rsidRDefault="008E43AE">
      <w:pPr>
        <w:ind w:left="237" w:right="611" w:firstLine="1"/>
        <w:rPr>
          <w:sz w:val="18"/>
        </w:rPr>
      </w:pPr>
      <w:r>
        <w:rPr>
          <w:sz w:val="18"/>
          <w:vertAlign w:val="superscript"/>
        </w:rPr>
        <w:t>370</w:t>
      </w:r>
      <w:r>
        <w:rPr>
          <w:spacing w:val="-1"/>
          <w:sz w:val="18"/>
        </w:rPr>
        <w:t xml:space="preserve"> </w:t>
      </w:r>
      <w:r>
        <w:rPr>
          <w:sz w:val="18"/>
        </w:rPr>
        <w:t>See</w:t>
      </w:r>
      <w:r>
        <w:rPr>
          <w:spacing w:val="-1"/>
          <w:sz w:val="18"/>
        </w:rPr>
        <w:t xml:space="preserve"> </w:t>
      </w:r>
      <w:r>
        <w:rPr>
          <w:sz w:val="18"/>
        </w:rPr>
        <w:t>Anti‐Dumping</w:t>
      </w:r>
      <w:r>
        <w:rPr>
          <w:spacing w:val="-1"/>
          <w:sz w:val="18"/>
        </w:rPr>
        <w:t xml:space="preserve"> </w:t>
      </w:r>
      <w:r>
        <w:rPr>
          <w:sz w:val="18"/>
        </w:rPr>
        <w:t>Questionnaire</w:t>
      </w:r>
      <w:r>
        <w:rPr>
          <w:spacing w:val="-1"/>
          <w:sz w:val="18"/>
        </w:rPr>
        <w:t xml:space="preserve"> </w:t>
      </w:r>
      <w:r>
        <w:rPr>
          <w:sz w:val="18"/>
        </w:rPr>
        <w:t>(Exhibit</w:t>
      </w:r>
      <w:r>
        <w:rPr>
          <w:spacing w:val="-1"/>
          <w:sz w:val="18"/>
        </w:rPr>
        <w:t xml:space="preserve"> </w:t>
      </w:r>
      <w:r>
        <w:rPr>
          <w:sz w:val="18"/>
        </w:rPr>
        <w:t>AUS‐3),</w:t>
      </w:r>
      <w:r>
        <w:rPr>
          <w:spacing w:val="-2"/>
          <w:sz w:val="18"/>
        </w:rPr>
        <w:t xml:space="preserve"> </w:t>
      </w:r>
      <w:r>
        <w:rPr>
          <w:sz w:val="18"/>
        </w:rPr>
        <w:t>Instruction</w:t>
      </w:r>
      <w:r>
        <w:rPr>
          <w:spacing w:val="-1"/>
          <w:sz w:val="18"/>
        </w:rPr>
        <w:t xml:space="preserve"> </w:t>
      </w:r>
      <w:r>
        <w:rPr>
          <w:sz w:val="18"/>
        </w:rPr>
        <w:t>15 under</w:t>
      </w:r>
      <w:r>
        <w:rPr>
          <w:spacing w:val="-1"/>
          <w:sz w:val="18"/>
        </w:rPr>
        <w:t xml:space="preserve"> </w:t>
      </w:r>
      <w:r>
        <w:rPr>
          <w:sz w:val="18"/>
        </w:rPr>
        <w:t>heading "Specific</w:t>
      </w:r>
      <w:r>
        <w:rPr>
          <w:spacing w:val="-2"/>
          <w:sz w:val="18"/>
        </w:rPr>
        <w:t xml:space="preserve"> </w:t>
      </w:r>
      <w:r>
        <w:rPr>
          <w:sz w:val="18"/>
        </w:rPr>
        <w:t>Instructions</w:t>
      </w:r>
      <w:r>
        <w:rPr>
          <w:spacing w:val="-1"/>
          <w:sz w:val="18"/>
        </w:rPr>
        <w:t xml:space="preserve"> </w:t>
      </w:r>
      <w:r>
        <w:rPr>
          <w:sz w:val="18"/>
        </w:rPr>
        <w:t>and</w:t>
      </w:r>
      <w:r>
        <w:rPr>
          <w:spacing w:val="-1"/>
          <w:sz w:val="18"/>
        </w:rPr>
        <w:t xml:space="preserve"> </w:t>
      </w:r>
      <w:r>
        <w:rPr>
          <w:sz w:val="18"/>
        </w:rPr>
        <w:t>Requirements", p. 12.</w:t>
      </w:r>
    </w:p>
    <w:p w14:paraId="51DE87EC" w14:textId="77777777" w:rsidR="0010369C" w:rsidRDefault="008E43AE">
      <w:pPr>
        <w:spacing w:line="219" w:lineRule="exact"/>
        <w:ind w:left="238"/>
        <w:rPr>
          <w:sz w:val="18"/>
        </w:rPr>
      </w:pPr>
      <w:r>
        <w:rPr>
          <w:sz w:val="18"/>
          <w:vertAlign w:val="superscript"/>
        </w:rPr>
        <w:t>371</w:t>
      </w:r>
      <w:r>
        <w:rPr>
          <w:spacing w:val="-9"/>
          <w:sz w:val="18"/>
        </w:rPr>
        <w:t xml:space="preserve"> </w:t>
      </w:r>
      <w:r>
        <w:rPr>
          <w:sz w:val="18"/>
        </w:rPr>
        <w:t>Casella</w:t>
      </w:r>
      <w:r>
        <w:rPr>
          <w:spacing w:val="-9"/>
          <w:sz w:val="18"/>
        </w:rPr>
        <w:t xml:space="preserve"> </w:t>
      </w:r>
      <w:r>
        <w:rPr>
          <w:sz w:val="18"/>
        </w:rPr>
        <w:t>Wines</w:t>
      </w:r>
      <w:r>
        <w:rPr>
          <w:spacing w:val="-9"/>
          <w:sz w:val="18"/>
        </w:rPr>
        <w:t xml:space="preserve"> </w:t>
      </w:r>
      <w:r>
        <w:rPr>
          <w:sz w:val="18"/>
        </w:rPr>
        <w:t>Supplementary</w:t>
      </w:r>
      <w:r>
        <w:rPr>
          <w:spacing w:val="-8"/>
          <w:sz w:val="18"/>
        </w:rPr>
        <w:t xml:space="preserve"> </w:t>
      </w:r>
      <w:r>
        <w:rPr>
          <w:sz w:val="18"/>
        </w:rPr>
        <w:t>Questionnaire</w:t>
      </w:r>
      <w:r>
        <w:rPr>
          <w:spacing w:val="-9"/>
          <w:sz w:val="18"/>
        </w:rPr>
        <w:t xml:space="preserve"> </w:t>
      </w:r>
      <w:r>
        <w:rPr>
          <w:sz w:val="18"/>
        </w:rPr>
        <w:t>Response</w:t>
      </w:r>
      <w:r>
        <w:rPr>
          <w:spacing w:val="-9"/>
          <w:sz w:val="18"/>
        </w:rPr>
        <w:t xml:space="preserve"> </w:t>
      </w:r>
      <w:r>
        <w:rPr>
          <w:sz w:val="18"/>
        </w:rPr>
        <w:t>(Exhibit</w:t>
      </w:r>
      <w:r>
        <w:rPr>
          <w:spacing w:val="-9"/>
          <w:sz w:val="18"/>
        </w:rPr>
        <w:t xml:space="preserve"> </w:t>
      </w:r>
      <w:r>
        <w:rPr>
          <w:sz w:val="18"/>
        </w:rPr>
        <w:t>AUS‐30),</w:t>
      </w:r>
      <w:r>
        <w:rPr>
          <w:spacing w:val="-9"/>
          <w:sz w:val="18"/>
        </w:rPr>
        <w:t xml:space="preserve"> </w:t>
      </w:r>
      <w:r>
        <w:rPr>
          <w:sz w:val="18"/>
        </w:rPr>
        <w:t>p.</w:t>
      </w:r>
      <w:r>
        <w:rPr>
          <w:spacing w:val="-9"/>
          <w:sz w:val="18"/>
        </w:rPr>
        <w:t xml:space="preserve"> </w:t>
      </w:r>
      <w:r>
        <w:rPr>
          <w:spacing w:val="-5"/>
          <w:sz w:val="18"/>
        </w:rPr>
        <w:t>4.</w:t>
      </w:r>
    </w:p>
    <w:p w14:paraId="51DE87ED" w14:textId="77777777" w:rsidR="0010369C" w:rsidRDefault="0010369C">
      <w:pPr>
        <w:spacing w:line="219" w:lineRule="exact"/>
        <w:rPr>
          <w:sz w:val="18"/>
        </w:rPr>
        <w:sectPr w:rsidR="0010369C">
          <w:pgSz w:w="11910" w:h="16840"/>
          <w:pgMar w:top="880" w:right="800" w:bottom="980" w:left="1180" w:header="569" w:footer="788" w:gutter="0"/>
          <w:cols w:space="720"/>
        </w:sectPr>
      </w:pPr>
    </w:p>
    <w:p w14:paraId="51DE87EE" w14:textId="77777777" w:rsidR="0010369C" w:rsidRDefault="008E43AE">
      <w:pPr>
        <w:tabs>
          <w:tab w:val="left" w:pos="6426"/>
        </w:tabs>
        <w:ind w:left="238"/>
        <w:rPr>
          <w:sz w:val="20"/>
        </w:rPr>
      </w:pPr>
      <w:r>
        <w:rPr>
          <w:i/>
          <w:sz w:val="20"/>
        </w:rPr>
        <w:lastRenderedPageBreak/>
        <w:t>China</w:t>
      </w:r>
      <w:r>
        <w:rPr>
          <w:i/>
          <w:spacing w:val="-5"/>
          <w:sz w:val="20"/>
        </w:rPr>
        <w:t xml:space="preserve"> </w:t>
      </w:r>
      <w:r>
        <w:rPr>
          <w:i/>
          <w:sz w:val="20"/>
        </w:rPr>
        <w:t>–</w:t>
      </w:r>
      <w:r>
        <w:rPr>
          <w:i/>
          <w:spacing w:val="-5"/>
          <w:sz w:val="20"/>
        </w:rPr>
        <w:t xml:space="preserve"> </w:t>
      </w:r>
      <w:r>
        <w:rPr>
          <w:i/>
          <w:sz w:val="20"/>
        </w:rPr>
        <w:t>Anti‐Dumping</w:t>
      </w:r>
      <w:r>
        <w:rPr>
          <w:i/>
          <w:spacing w:val="-4"/>
          <w:sz w:val="20"/>
        </w:rPr>
        <w:t xml:space="preserve"> </w:t>
      </w:r>
      <w:r>
        <w:rPr>
          <w:i/>
          <w:sz w:val="20"/>
        </w:rPr>
        <w:t>and</w:t>
      </w:r>
      <w:r>
        <w:rPr>
          <w:i/>
          <w:spacing w:val="-5"/>
          <w:sz w:val="20"/>
        </w:rPr>
        <w:t xml:space="preserve"> </w:t>
      </w:r>
      <w:r>
        <w:rPr>
          <w:i/>
          <w:sz w:val="20"/>
        </w:rPr>
        <w:t>Countervaili</w:t>
      </w:r>
      <w:r>
        <w:rPr>
          <w:i/>
          <w:sz w:val="20"/>
        </w:rPr>
        <w:t>ng</w:t>
      </w:r>
      <w:r>
        <w:rPr>
          <w:i/>
          <w:spacing w:val="-5"/>
          <w:sz w:val="20"/>
        </w:rPr>
        <w:t xml:space="preserve"> </w:t>
      </w:r>
      <w:r>
        <w:rPr>
          <w:i/>
          <w:sz w:val="20"/>
        </w:rPr>
        <w:t>Duty</w:t>
      </w:r>
      <w:r>
        <w:rPr>
          <w:i/>
          <w:spacing w:val="-4"/>
          <w:sz w:val="20"/>
        </w:rPr>
        <w:t xml:space="preserve"> </w:t>
      </w:r>
      <w:r>
        <w:rPr>
          <w:i/>
          <w:spacing w:val="-2"/>
          <w:sz w:val="20"/>
        </w:rPr>
        <w:t>Measures</w:t>
      </w:r>
      <w:r>
        <w:rPr>
          <w:i/>
          <w:sz w:val="20"/>
        </w:rPr>
        <w:tab/>
      </w:r>
      <w:r>
        <w:rPr>
          <w:sz w:val="20"/>
        </w:rPr>
        <w:t>Australia's</w:t>
      </w:r>
      <w:r>
        <w:rPr>
          <w:spacing w:val="-7"/>
          <w:sz w:val="20"/>
        </w:rPr>
        <w:t xml:space="preserve"> </w:t>
      </w:r>
      <w:r>
        <w:rPr>
          <w:sz w:val="20"/>
        </w:rPr>
        <w:t>First</w:t>
      </w:r>
      <w:r>
        <w:rPr>
          <w:spacing w:val="-2"/>
          <w:sz w:val="20"/>
        </w:rPr>
        <w:t xml:space="preserve"> </w:t>
      </w:r>
      <w:r>
        <w:rPr>
          <w:sz w:val="20"/>
        </w:rPr>
        <w:t>Written</w:t>
      </w:r>
      <w:r>
        <w:rPr>
          <w:spacing w:val="-2"/>
          <w:sz w:val="20"/>
        </w:rPr>
        <w:t xml:space="preserve"> Submission</w:t>
      </w:r>
    </w:p>
    <w:p w14:paraId="51DE87EF" w14:textId="77777777" w:rsidR="0010369C" w:rsidRDefault="008E43AE">
      <w:pPr>
        <w:tabs>
          <w:tab w:val="left" w:pos="8228"/>
        </w:tabs>
        <w:spacing w:before="1"/>
        <w:ind w:left="239"/>
        <w:rPr>
          <w:sz w:val="20"/>
        </w:rPr>
      </w:pPr>
      <w:r>
        <w:rPr>
          <w:i/>
          <w:sz w:val="20"/>
        </w:rPr>
        <w:t>on</w:t>
      </w:r>
      <w:r>
        <w:rPr>
          <w:i/>
          <w:spacing w:val="-1"/>
          <w:sz w:val="20"/>
        </w:rPr>
        <w:t xml:space="preserve"> </w:t>
      </w:r>
      <w:r>
        <w:rPr>
          <w:i/>
          <w:sz w:val="20"/>
        </w:rPr>
        <w:t>Wine</w:t>
      </w:r>
      <w:r>
        <w:rPr>
          <w:i/>
          <w:spacing w:val="-1"/>
          <w:sz w:val="20"/>
        </w:rPr>
        <w:t xml:space="preserve"> </w:t>
      </w:r>
      <w:r>
        <w:rPr>
          <w:i/>
          <w:sz w:val="20"/>
        </w:rPr>
        <w:t>from</w:t>
      </w:r>
      <w:r>
        <w:rPr>
          <w:i/>
          <w:spacing w:val="-3"/>
          <w:sz w:val="20"/>
        </w:rPr>
        <w:t xml:space="preserve"> </w:t>
      </w:r>
      <w:r>
        <w:rPr>
          <w:i/>
          <w:sz w:val="20"/>
        </w:rPr>
        <w:t>Australia</w:t>
      </w:r>
      <w:r>
        <w:rPr>
          <w:i/>
          <w:spacing w:val="-1"/>
          <w:sz w:val="20"/>
        </w:rPr>
        <w:t xml:space="preserve"> </w:t>
      </w:r>
      <w:r>
        <w:rPr>
          <w:spacing w:val="-2"/>
          <w:sz w:val="20"/>
        </w:rPr>
        <w:t>(DS602)</w:t>
      </w:r>
      <w:r>
        <w:rPr>
          <w:sz w:val="20"/>
        </w:rPr>
        <w:tab/>
        <w:t>29</w:t>
      </w:r>
      <w:r>
        <w:rPr>
          <w:spacing w:val="-1"/>
          <w:sz w:val="20"/>
        </w:rPr>
        <w:t xml:space="preserve"> </w:t>
      </w:r>
      <w:r>
        <w:rPr>
          <w:sz w:val="20"/>
        </w:rPr>
        <w:t>April</w:t>
      </w:r>
      <w:r>
        <w:rPr>
          <w:spacing w:val="-2"/>
          <w:sz w:val="20"/>
        </w:rPr>
        <w:t xml:space="preserve"> </w:t>
      </w:r>
      <w:r>
        <w:rPr>
          <w:spacing w:val="-4"/>
          <w:sz w:val="20"/>
        </w:rPr>
        <w:t>2022</w:t>
      </w:r>
    </w:p>
    <w:p w14:paraId="51DE87F0" w14:textId="77777777" w:rsidR="0010369C" w:rsidRDefault="008E43AE">
      <w:pPr>
        <w:pStyle w:val="BodyText"/>
        <w:spacing w:before="34" w:line="360" w:lineRule="auto"/>
        <w:ind w:left="236" w:right="613" w:firstLine="852"/>
        <w:jc w:val="both"/>
      </w:pPr>
      <w:r>
        <w:rPr>
          <w:noProof/>
        </w:rPr>
        <w:drawing>
          <wp:anchor distT="0" distB="0" distL="0" distR="0" simplePos="0" relativeHeight="250990080" behindDoc="1" locked="0" layoutInCell="1" allowOverlap="1" wp14:anchorId="51DEA206" wp14:editId="51DEA207">
            <wp:simplePos x="0" y="0"/>
            <wp:positionH relativeFrom="page">
              <wp:posOffset>905255</wp:posOffset>
            </wp:positionH>
            <wp:positionV relativeFrom="paragraph">
              <wp:posOffset>69165</wp:posOffset>
            </wp:positionV>
            <wp:extent cx="259079" cy="103631"/>
            <wp:effectExtent l="0" t="0" r="0" b="0"/>
            <wp:wrapNone/>
            <wp:docPr id="679" name="image3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 name="image350.png"/>
                    <pic:cNvPicPr/>
                  </pic:nvPicPr>
                  <pic:blipFill>
                    <a:blip r:embed="rId470" cstate="print"/>
                    <a:stretch>
                      <a:fillRect/>
                    </a:stretch>
                  </pic:blipFill>
                  <pic:spPr>
                    <a:xfrm>
                      <a:off x="0" y="0"/>
                      <a:ext cx="259079" cy="103631"/>
                    </a:xfrm>
                    <a:prstGeom prst="rect">
                      <a:avLst/>
                    </a:prstGeom>
                  </pic:spPr>
                </pic:pic>
              </a:graphicData>
            </a:graphic>
          </wp:anchor>
        </w:drawing>
      </w:r>
      <w:r>
        <w:t>Second, MOFCOM complained that Casella Wines had not attempted to split the transaction data into multiple WPS documents if one document could not accommodate the transaction data.</w:t>
      </w:r>
      <w:r>
        <w:rPr>
          <w:vertAlign w:val="superscript"/>
        </w:rPr>
        <w:t>372</w:t>
      </w:r>
      <w:r>
        <w:t xml:space="preserve"> This is an unreasonable proposition. It is not apparent why any investig</w:t>
      </w:r>
      <w:r>
        <w:t>ating authority would prefer to receive data separated into multiple different documents, rather than receiving them in an integrated format. Such data would have to be reconsolidated</w:t>
      </w:r>
      <w:r>
        <w:rPr>
          <w:spacing w:val="-6"/>
        </w:rPr>
        <w:t xml:space="preserve"> </w:t>
      </w:r>
      <w:r>
        <w:t>into</w:t>
      </w:r>
      <w:r>
        <w:rPr>
          <w:spacing w:val="-3"/>
        </w:rPr>
        <w:t xml:space="preserve"> </w:t>
      </w:r>
      <w:r>
        <w:t>a</w:t>
      </w:r>
      <w:r>
        <w:rPr>
          <w:spacing w:val="-4"/>
        </w:rPr>
        <w:t xml:space="preserve"> </w:t>
      </w:r>
      <w:r>
        <w:t>different</w:t>
      </w:r>
      <w:r>
        <w:rPr>
          <w:spacing w:val="-4"/>
        </w:rPr>
        <w:t xml:space="preserve"> </w:t>
      </w:r>
      <w:r>
        <w:t>format</w:t>
      </w:r>
      <w:r>
        <w:rPr>
          <w:spacing w:val="-5"/>
        </w:rPr>
        <w:t xml:space="preserve"> </w:t>
      </w:r>
      <w:r>
        <w:t>to</w:t>
      </w:r>
      <w:r>
        <w:rPr>
          <w:spacing w:val="-4"/>
        </w:rPr>
        <w:t xml:space="preserve"> </w:t>
      </w:r>
      <w:r>
        <w:t>be</w:t>
      </w:r>
      <w:r>
        <w:rPr>
          <w:spacing w:val="-4"/>
        </w:rPr>
        <w:t xml:space="preserve"> </w:t>
      </w:r>
      <w:r>
        <w:t>useful</w:t>
      </w:r>
      <w:r>
        <w:rPr>
          <w:spacing w:val="-3"/>
        </w:rPr>
        <w:t xml:space="preserve"> </w:t>
      </w:r>
      <w:r>
        <w:t>–</w:t>
      </w:r>
      <w:r>
        <w:rPr>
          <w:spacing w:val="-4"/>
        </w:rPr>
        <w:t xml:space="preserve"> </w:t>
      </w:r>
      <w:r>
        <w:t>a</w:t>
      </w:r>
      <w:r>
        <w:rPr>
          <w:spacing w:val="-4"/>
        </w:rPr>
        <w:t xml:space="preserve"> </w:t>
      </w:r>
      <w:r>
        <w:t>process</w:t>
      </w:r>
      <w:r>
        <w:rPr>
          <w:spacing w:val="-4"/>
        </w:rPr>
        <w:t xml:space="preserve"> </w:t>
      </w:r>
      <w:r>
        <w:t>that</w:t>
      </w:r>
      <w:r>
        <w:rPr>
          <w:spacing w:val="-4"/>
        </w:rPr>
        <w:t xml:space="preserve"> </w:t>
      </w:r>
      <w:r>
        <w:t>if</w:t>
      </w:r>
      <w:r>
        <w:rPr>
          <w:spacing w:val="-4"/>
        </w:rPr>
        <w:t xml:space="preserve"> </w:t>
      </w:r>
      <w:r>
        <w:t>MOFCOM</w:t>
      </w:r>
      <w:r>
        <w:rPr>
          <w:spacing w:val="-4"/>
        </w:rPr>
        <w:t xml:space="preserve"> </w:t>
      </w:r>
      <w:r>
        <w:t>was</w:t>
      </w:r>
      <w:r>
        <w:rPr>
          <w:spacing w:val="-4"/>
        </w:rPr>
        <w:t xml:space="preserve"> </w:t>
      </w:r>
      <w:r>
        <w:t>prep</w:t>
      </w:r>
      <w:r>
        <w:t>ared to</w:t>
      </w:r>
      <w:r>
        <w:rPr>
          <w:spacing w:val="-8"/>
        </w:rPr>
        <w:t xml:space="preserve"> </w:t>
      </w:r>
      <w:r>
        <w:t>undertake,</w:t>
      </w:r>
      <w:r>
        <w:rPr>
          <w:spacing w:val="-8"/>
        </w:rPr>
        <w:t xml:space="preserve"> </w:t>
      </w:r>
      <w:r>
        <w:t>it</w:t>
      </w:r>
      <w:r>
        <w:rPr>
          <w:spacing w:val="-9"/>
        </w:rPr>
        <w:t xml:space="preserve"> </w:t>
      </w:r>
      <w:r>
        <w:t>could</w:t>
      </w:r>
      <w:r>
        <w:rPr>
          <w:spacing w:val="-9"/>
        </w:rPr>
        <w:t xml:space="preserve"> </w:t>
      </w:r>
      <w:r>
        <w:t>readily</w:t>
      </w:r>
      <w:r>
        <w:rPr>
          <w:spacing w:val="-9"/>
        </w:rPr>
        <w:t xml:space="preserve"> </w:t>
      </w:r>
      <w:r>
        <w:t>have</w:t>
      </w:r>
      <w:r>
        <w:rPr>
          <w:spacing w:val="-8"/>
        </w:rPr>
        <w:t xml:space="preserve"> </w:t>
      </w:r>
      <w:r>
        <w:t>used</w:t>
      </w:r>
      <w:r>
        <w:rPr>
          <w:spacing w:val="-8"/>
        </w:rPr>
        <w:t xml:space="preserve"> </w:t>
      </w:r>
      <w:r>
        <w:t>for</w:t>
      </w:r>
      <w:r>
        <w:rPr>
          <w:spacing w:val="-8"/>
        </w:rPr>
        <w:t xml:space="preserve"> </w:t>
      </w:r>
      <w:r>
        <w:t>the</w:t>
      </w:r>
      <w:r>
        <w:rPr>
          <w:spacing w:val="-8"/>
        </w:rPr>
        <w:t xml:space="preserve"> </w:t>
      </w:r>
      <w:r>
        <w:t>data</w:t>
      </w:r>
      <w:r>
        <w:rPr>
          <w:spacing w:val="-8"/>
        </w:rPr>
        <w:t xml:space="preserve"> </w:t>
      </w:r>
      <w:r>
        <w:t>provided</w:t>
      </w:r>
      <w:r>
        <w:rPr>
          <w:spacing w:val="-8"/>
        </w:rPr>
        <w:t xml:space="preserve"> </w:t>
      </w:r>
      <w:r>
        <w:t>in</w:t>
      </w:r>
      <w:r>
        <w:rPr>
          <w:spacing w:val="-9"/>
        </w:rPr>
        <w:t xml:space="preserve"> </w:t>
      </w:r>
      <w:r>
        <w:t>PDF</w:t>
      </w:r>
      <w:r>
        <w:rPr>
          <w:spacing w:val="-9"/>
        </w:rPr>
        <w:t xml:space="preserve"> </w:t>
      </w:r>
      <w:r>
        <w:t>or</w:t>
      </w:r>
      <w:r>
        <w:rPr>
          <w:spacing w:val="-8"/>
        </w:rPr>
        <w:t xml:space="preserve"> </w:t>
      </w:r>
      <w:r>
        <w:t>Excel.</w:t>
      </w:r>
      <w:r>
        <w:rPr>
          <w:spacing w:val="-8"/>
        </w:rPr>
        <w:t xml:space="preserve"> </w:t>
      </w:r>
      <w:r>
        <w:t>Further,</w:t>
      </w:r>
      <w:r>
        <w:rPr>
          <w:spacing w:val="-7"/>
        </w:rPr>
        <w:t xml:space="preserve"> </w:t>
      </w:r>
      <w:r>
        <w:t>despite the months that had passed since Casella Wines first raised the issue with the WPS format with MOFCOM, MOFCOM never made a request to Casella Wines that multiple files be provided instead of the alternative formats that were submitted.</w:t>
      </w:r>
    </w:p>
    <w:p w14:paraId="51DE87F1" w14:textId="77777777" w:rsidR="0010369C" w:rsidRDefault="0010369C">
      <w:pPr>
        <w:pStyle w:val="BodyText"/>
        <w:spacing w:before="10"/>
        <w:rPr>
          <w:sz w:val="8"/>
        </w:rPr>
      </w:pPr>
    </w:p>
    <w:p w14:paraId="51DE87F2" w14:textId="77777777" w:rsidR="0010369C" w:rsidRDefault="008E43AE">
      <w:pPr>
        <w:pStyle w:val="BodyText"/>
        <w:spacing w:before="52" w:line="360" w:lineRule="auto"/>
        <w:ind w:left="237" w:right="613" w:firstLine="851"/>
        <w:jc w:val="both"/>
      </w:pPr>
      <w:r>
        <w:rPr>
          <w:noProof/>
        </w:rPr>
        <w:drawing>
          <wp:anchor distT="0" distB="0" distL="0" distR="0" simplePos="0" relativeHeight="250991104" behindDoc="1" locked="0" layoutInCell="1" allowOverlap="1" wp14:anchorId="51DEA208" wp14:editId="51DEA209">
            <wp:simplePos x="0" y="0"/>
            <wp:positionH relativeFrom="page">
              <wp:posOffset>905255</wp:posOffset>
            </wp:positionH>
            <wp:positionV relativeFrom="paragraph">
              <wp:posOffset>81357</wp:posOffset>
            </wp:positionV>
            <wp:extent cx="259079" cy="103631"/>
            <wp:effectExtent l="0" t="0" r="0" b="0"/>
            <wp:wrapNone/>
            <wp:docPr id="681" name="image3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 name="image351.png"/>
                    <pic:cNvPicPr/>
                  </pic:nvPicPr>
                  <pic:blipFill>
                    <a:blip r:embed="rId471" cstate="print"/>
                    <a:stretch>
                      <a:fillRect/>
                    </a:stretch>
                  </pic:blipFill>
                  <pic:spPr>
                    <a:xfrm>
                      <a:off x="0" y="0"/>
                      <a:ext cx="259079" cy="103631"/>
                    </a:xfrm>
                    <a:prstGeom prst="rect">
                      <a:avLst/>
                    </a:prstGeom>
                  </pic:spPr>
                </pic:pic>
              </a:graphicData>
            </a:graphic>
          </wp:anchor>
        </w:drawing>
      </w:r>
      <w:r>
        <w:t>Even</w:t>
      </w:r>
      <w:r>
        <w:rPr>
          <w:spacing w:val="-10"/>
        </w:rPr>
        <w:t xml:space="preserve"> </w:t>
      </w:r>
      <w:r>
        <w:t>to</w:t>
      </w:r>
      <w:r>
        <w:rPr>
          <w:spacing w:val="-9"/>
        </w:rPr>
        <w:t xml:space="preserve"> </w:t>
      </w:r>
      <w:r>
        <w:t>the</w:t>
      </w:r>
      <w:r>
        <w:rPr>
          <w:spacing w:val="-10"/>
        </w:rPr>
        <w:t xml:space="preserve"> </w:t>
      </w:r>
      <w:r>
        <w:t>extent</w:t>
      </w:r>
      <w:r>
        <w:rPr>
          <w:spacing w:val="-10"/>
        </w:rPr>
        <w:t xml:space="preserve"> </w:t>
      </w:r>
      <w:r>
        <w:t>that</w:t>
      </w:r>
      <w:r>
        <w:rPr>
          <w:spacing w:val="-11"/>
        </w:rPr>
        <w:t xml:space="preserve"> </w:t>
      </w:r>
      <w:r>
        <w:t>MOFCOM</w:t>
      </w:r>
      <w:r>
        <w:rPr>
          <w:spacing w:val="-9"/>
        </w:rPr>
        <w:t xml:space="preserve"> </w:t>
      </w:r>
      <w:r>
        <w:t>was</w:t>
      </w:r>
      <w:r>
        <w:rPr>
          <w:spacing w:val="-10"/>
        </w:rPr>
        <w:t xml:space="preserve"> </w:t>
      </w:r>
      <w:r>
        <w:t>genuinely</w:t>
      </w:r>
      <w:r>
        <w:rPr>
          <w:spacing w:val="-11"/>
        </w:rPr>
        <w:t xml:space="preserve"> </w:t>
      </w:r>
      <w:r>
        <w:t>dissatisfied</w:t>
      </w:r>
      <w:r>
        <w:rPr>
          <w:spacing w:val="-9"/>
        </w:rPr>
        <w:t xml:space="preserve"> </w:t>
      </w:r>
      <w:r>
        <w:t>with</w:t>
      </w:r>
      <w:r>
        <w:rPr>
          <w:spacing w:val="-10"/>
        </w:rPr>
        <w:t xml:space="preserve"> </w:t>
      </w:r>
      <w:r>
        <w:t>the</w:t>
      </w:r>
      <w:r>
        <w:rPr>
          <w:spacing w:val="-9"/>
        </w:rPr>
        <w:t xml:space="preserve"> </w:t>
      </w:r>
      <w:r>
        <w:t>format</w:t>
      </w:r>
      <w:r>
        <w:rPr>
          <w:spacing w:val="-10"/>
        </w:rPr>
        <w:t xml:space="preserve"> </w:t>
      </w:r>
      <w:r>
        <w:t>in</w:t>
      </w:r>
      <w:r>
        <w:rPr>
          <w:spacing w:val="-10"/>
        </w:rPr>
        <w:t xml:space="preserve"> </w:t>
      </w:r>
      <w:r>
        <w:t>which the information was submitted, it was nonetheless required to examine that information in light of the criteria in paragraph 3 of Annex II.</w:t>
      </w:r>
      <w:r>
        <w:rPr>
          <w:vertAlign w:val="superscript"/>
        </w:rPr>
        <w:t>373</w:t>
      </w:r>
      <w:r>
        <w:t xml:space="preserve"> It was required to "actively make effo</w:t>
      </w:r>
      <w:r>
        <w:t>rts" to use the information submitted.</w:t>
      </w:r>
      <w:r>
        <w:rPr>
          <w:vertAlign w:val="superscript"/>
        </w:rPr>
        <w:t>374</w:t>
      </w:r>
      <w:r>
        <w:t xml:space="preserve"> Had it done so, MOFCOM would have concluded that the information submitted was, in fact, verifiable, appropriately submitted, timely and in an appropriate medium having regard to the explanation provided by MOFCOM.</w:t>
      </w:r>
      <w:r>
        <w:t xml:space="preserve"> An unbiased and objective investigating authority could not have found otherwise.</w:t>
      </w:r>
      <w:r>
        <w:rPr>
          <w:vertAlign w:val="superscript"/>
        </w:rPr>
        <w:t>375</w:t>
      </w:r>
    </w:p>
    <w:p w14:paraId="51DE87F3" w14:textId="77777777" w:rsidR="0010369C" w:rsidRDefault="0010369C">
      <w:pPr>
        <w:pStyle w:val="BodyText"/>
        <w:spacing w:before="11"/>
        <w:rPr>
          <w:sz w:val="8"/>
        </w:rPr>
      </w:pPr>
    </w:p>
    <w:p w14:paraId="51DE87F4" w14:textId="77777777" w:rsidR="0010369C" w:rsidRDefault="008E43AE">
      <w:pPr>
        <w:pStyle w:val="BodyText"/>
        <w:spacing w:before="52" w:line="360" w:lineRule="auto"/>
        <w:ind w:left="236" w:right="614" w:firstLine="852"/>
        <w:jc w:val="both"/>
      </w:pPr>
      <w:r>
        <w:rPr>
          <w:noProof/>
        </w:rPr>
        <w:drawing>
          <wp:anchor distT="0" distB="0" distL="0" distR="0" simplePos="0" relativeHeight="250992128" behindDoc="1" locked="0" layoutInCell="1" allowOverlap="1" wp14:anchorId="51DEA20A" wp14:editId="51DEA20B">
            <wp:simplePos x="0" y="0"/>
            <wp:positionH relativeFrom="page">
              <wp:posOffset>905255</wp:posOffset>
            </wp:positionH>
            <wp:positionV relativeFrom="paragraph">
              <wp:posOffset>80595</wp:posOffset>
            </wp:positionV>
            <wp:extent cx="259079" cy="103631"/>
            <wp:effectExtent l="0" t="0" r="0" b="0"/>
            <wp:wrapNone/>
            <wp:docPr id="683" name="image3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 name="image352.png"/>
                    <pic:cNvPicPr/>
                  </pic:nvPicPr>
                  <pic:blipFill>
                    <a:blip r:embed="rId472" cstate="print"/>
                    <a:stretch>
                      <a:fillRect/>
                    </a:stretch>
                  </pic:blipFill>
                  <pic:spPr>
                    <a:xfrm>
                      <a:off x="0" y="0"/>
                      <a:ext cx="259079" cy="103631"/>
                    </a:xfrm>
                    <a:prstGeom prst="rect">
                      <a:avLst/>
                    </a:prstGeom>
                  </pic:spPr>
                </pic:pic>
              </a:graphicData>
            </a:graphic>
          </wp:anchor>
        </w:drawing>
      </w:r>
      <w:r>
        <w:t>MOFCOM</w:t>
      </w:r>
      <w:r>
        <w:rPr>
          <w:spacing w:val="-3"/>
        </w:rPr>
        <w:t xml:space="preserve"> </w:t>
      </w:r>
      <w:r>
        <w:t>was</w:t>
      </w:r>
      <w:r>
        <w:rPr>
          <w:spacing w:val="-4"/>
        </w:rPr>
        <w:t xml:space="preserve"> </w:t>
      </w:r>
      <w:r>
        <w:t>obliged</w:t>
      </w:r>
      <w:r>
        <w:rPr>
          <w:spacing w:val="-4"/>
        </w:rPr>
        <w:t xml:space="preserve"> </w:t>
      </w:r>
      <w:r>
        <w:t>by</w:t>
      </w:r>
      <w:r>
        <w:rPr>
          <w:spacing w:val="-3"/>
        </w:rPr>
        <w:t xml:space="preserve"> </w:t>
      </w:r>
      <w:r>
        <w:t>paragraph</w:t>
      </w:r>
      <w:r>
        <w:rPr>
          <w:spacing w:val="-3"/>
        </w:rPr>
        <w:t xml:space="preserve"> </w:t>
      </w:r>
      <w:r>
        <w:t>5</w:t>
      </w:r>
      <w:r>
        <w:rPr>
          <w:spacing w:val="-4"/>
        </w:rPr>
        <w:t xml:space="preserve"> </w:t>
      </w:r>
      <w:r>
        <w:t>of</w:t>
      </w:r>
      <w:r>
        <w:rPr>
          <w:spacing w:val="-4"/>
        </w:rPr>
        <w:t xml:space="preserve"> </w:t>
      </w:r>
      <w:r>
        <w:t>Annex</w:t>
      </w:r>
      <w:r>
        <w:rPr>
          <w:spacing w:val="-4"/>
        </w:rPr>
        <w:t xml:space="preserve"> </w:t>
      </w:r>
      <w:r>
        <w:t>II</w:t>
      </w:r>
      <w:r>
        <w:rPr>
          <w:spacing w:val="-3"/>
        </w:rPr>
        <w:t xml:space="preserve"> </w:t>
      </w:r>
      <w:r>
        <w:t>to</w:t>
      </w:r>
      <w:r>
        <w:rPr>
          <w:spacing w:val="-3"/>
        </w:rPr>
        <w:t xml:space="preserve"> </w:t>
      </w:r>
      <w:r>
        <w:t>use</w:t>
      </w:r>
      <w:r>
        <w:rPr>
          <w:spacing w:val="-3"/>
        </w:rPr>
        <w:t xml:space="preserve"> </w:t>
      </w:r>
      <w:r>
        <w:t>the</w:t>
      </w:r>
      <w:r>
        <w:rPr>
          <w:spacing w:val="-3"/>
        </w:rPr>
        <w:t xml:space="preserve"> </w:t>
      </w:r>
      <w:r>
        <w:t>information</w:t>
      </w:r>
      <w:r>
        <w:rPr>
          <w:spacing w:val="-3"/>
        </w:rPr>
        <w:t xml:space="preserve"> </w:t>
      </w:r>
      <w:r>
        <w:t>provided</w:t>
      </w:r>
      <w:r>
        <w:rPr>
          <w:spacing w:val="-4"/>
        </w:rPr>
        <w:t xml:space="preserve"> </w:t>
      </w:r>
      <w:r>
        <w:t>to it, even if not ideal in all respects, provided Casella Wines had acted to the best of its ability. Given the comprehensive explanations, and resubmissions of the data in different formats provided by Casella Wines, MOFCOM should have found that Casella</w:t>
      </w:r>
      <w:r>
        <w:t xml:space="preserve"> Wines had acted to the best of its ability. MOFCOM was not entitled to insist the information be provided in a particular format in circumstances where Casella Wines had clearly articulated the unreasonableness</w:t>
      </w:r>
      <w:r>
        <w:rPr>
          <w:spacing w:val="-10"/>
        </w:rPr>
        <w:t xml:space="preserve"> </w:t>
      </w:r>
      <w:r>
        <w:t>of</w:t>
      </w:r>
      <w:r>
        <w:rPr>
          <w:spacing w:val="-11"/>
        </w:rPr>
        <w:t xml:space="preserve"> </w:t>
      </w:r>
      <w:r>
        <w:t>that</w:t>
      </w:r>
      <w:r>
        <w:rPr>
          <w:spacing w:val="-11"/>
        </w:rPr>
        <w:t xml:space="preserve"> </w:t>
      </w:r>
      <w:r>
        <w:t>requirement</w:t>
      </w:r>
      <w:r>
        <w:rPr>
          <w:spacing w:val="-12"/>
        </w:rPr>
        <w:t xml:space="preserve"> </w:t>
      </w:r>
      <w:r>
        <w:t>in</w:t>
      </w:r>
      <w:r>
        <w:rPr>
          <w:spacing w:val="-11"/>
        </w:rPr>
        <w:t xml:space="preserve"> </w:t>
      </w:r>
      <w:r>
        <w:t>light</w:t>
      </w:r>
      <w:r>
        <w:rPr>
          <w:spacing w:val="-11"/>
        </w:rPr>
        <w:t xml:space="preserve"> </w:t>
      </w:r>
      <w:r>
        <w:t>of</w:t>
      </w:r>
      <w:r>
        <w:rPr>
          <w:spacing w:val="-11"/>
        </w:rPr>
        <w:t xml:space="preserve"> </w:t>
      </w:r>
      <w:r>
        <w:t>the</w:t>
      </w:r>
      <w:r>
        <w:rPr>
          <w:spacing w:val="-10"/>
        </w:rPr>
        <w:t xml:space="preserve"> </w:t>
      </w:r>
      <w:r>
        <w:t>volume</w:t>
      </w:r>
      <w:r>
        <w:rPr>
          <w:spacing w:val="-12"/>
        </w:rPr>
        <w:t xml:space="preserve"> </w:t>
      </w:r>
      <w:r>
        <w:t>o</w:t>
      </w:r>
      <w:r>
        <w:t>f</w:t>
      </w:r>
      <w:r>
        <w:rPr>
          <w:spacing w:val="-11"/>
        </w:rPr>
        <w:t xml:space="preserve"> </w:t>
      </w:r>
      <w:r>
        <w:t>data</w:t>
      </w:r>
      <w:r>
        <w:rPr>
          <w:spacing w:val="-11"/>
        </w:rPr>
        <w:t xml:space="preserve"> </w:t>
      </w:r>
      <w:r>
        <w:t>sought,</w:t>
      </w:r>
      <w:r>
        <w:rPr>
          <w:spacing w:val="-11"/>
        </w:rPr>
        <w:t xml:space="preserve"> </w:t>
      </w:r>
      <w:r>
        <w:t>and</w:t>
      </w:r>
      <w:r>
        <w:rPr>
          <w:spacing w:val="-11"/>
        </w:rPr>
        <w:t xml:space="preserve"> </w:t>
      </w:r>
      <w:r>
        <w:t>had</w:t>
      </w:r>
      <w:r>
        <w:rPr>
          <w:spacing w:val="-11"/>
        </w:rPr>
        <w:t xml:space="preserve"> </w:t>
      </w:r>
      <w:r>
        <w:t>provided the same data in multiple alternative formats.</w:t>
      </w:r>
    </w:p>
    <w:p w14:paraId="51DE87F5" w14:textId="77777777" w:rsidR="0010369C" w:rsidRDefault="0010369C">
      <w:pPr>
        <w:pStyle w:val="BodyText"/>
      </w:pPr>
    </w:p>
    <w:p w14:paraId="51DE87F6" w14:textId="77777777" w:rsidR="0010369C" w:rsidRDefault="0010369C">
      <w:pPr>
        <w:pStyle w:val="BodyText"/>
      </w:pPr>
    </w:p>
    <w:p w14:paraId="51DE87F7" w14:textId="77777777" w:rsidR="0010369C" w:rsidRDefault="0010369C">
      <w:pPr>
        <w:pStyle w:val="BodyText"/>
      </w:pPr>
    </w:p>
    <w:p w14:paraId="51DE87F8" w14:textId="77777777" w:rsidR="0010369C" w:rsidRDefault="0010369C">
      <w:pPr>
        <w:pStyle w:val="BodyText"/>
      </w:pPr>
    </w:p>
    <w:p w14:paraId="51DE87F9" w14:textId="77777777" w:rsidR="0010369C" w:rsidRDefault="008E43AE">
      <w:pPr>
        <w:spacing w:before="205"/>
        <w:ind w:left="238"/>
        <w:rPr>
          <w:sz w:val="18"/>
        </w:rPr>
      </w:pPr>
      <w:r>
        <w:rPr>
          <w:sz w:val="18"/>
          <w:vertAlign w:val="superscript"/>
        </w:rPr>
        <w:t>372</w:t>
      </w:r>
      <w:r>
        <w:rPr>
          <w:spacing w:val="-9"/>
          <w:sz w:val="18"/>
        </w:rPr>
        <w:t xml:space="preserve"> </w:t>
      </w:r>
      <w:r>
        <w:rPr>
          <w:sz w:val="18"/>
        </w:rPr>
        <w:t>Anti‐Dumping</w:t>
      </w:r>
      <w:r>
        <w:rPr>
          <w:spacing w:val="-9"/>
          <w:sz w:val="18"/>
        </w:rPr>
        <w:t xml:space="preserve"> </w:t>
      </w:r>
      <w:r>
        <w:rPr>
          <w:sz w:val="18"/>
        </w:rPr>
        <w:t>Final</w:t>
      </w:r>
      <w:r>
        <w:rPr>
          <w:spacing w:val="-9"/>
          <w:sz w:val="18"/>
        </w:rPr>
        <w:t xml:space="preserve"> </w:t>
      </w:r>
      <w:r>
        <w:rPr>
          <w:sz w:val="18"/>
        </w:rPr>
        <w:t>Determination</w:t>
      </w:r>
      <w:r>
        <w:rPr>
          <w:spacing w:val="-8"/>
          <w:sz w:val="18"/>
        </w:rPr>
        <w:t xml:space="preserve"> </w:t>
      </w:r>
      <w:r>
        <w:rPr>
          <w:sz w:val="18"/>
        </w:rPr>
        <w:t>(Exhibit</w:t>
      </w:r>
      <w:r>
        <w:rPr>
          <w:spacing w:val="-9"/>
          <w:sz w:val="18"/>
        </w:rPr>
        <w:t xml:space="preserve"> </w:t>
      </w:r>
      <w:r>
        <w:rPr>
          <w:sz w:val="18"/>
        </w:rPr>
        <w:t>AUS‐2),</w:t>
      </w:r>
      <w:r>
        <w:rPr>
          <w:spacing w:val="-9"/>
          <w:sz w:val="18"/>
        </w:rPr>
        <w:t xml:space="preserve"> </w:t>
      </w:r>
      <w:r>
        <w:rPr>
          <w:sz w:val="18"/>
        </w:rPr>
        <w:t>p.</w:t>
      </w:r>
      <w:r>
        <w:rPr>
          <w:spacing w:val="-9"/>
          <w:sz w:val="18"/>
        </w:rPr>
        <w:t xml:space="preserve"> </w:t>
      </w:r>
      <w:r>
        <w:rPr>
          <w:spacing w:val="-5"/>
          <w:sz w:val="18"/>
        </w:rPr>
        <w:t>79.</w:t>
      </w:r>
    </w:p>
    <w:p w14:paraId="51DE87FA" w14:textId="77777777" w:rsidR="0010369C" w:rsidRDefault="008E43AE">
      <w:pPr>
        <w:ind w:left="238"/>
        <w:rPr>
          <w:sz w:val="18"/>
        </w:rPr>
      </w:pPr>
      <w:r>
        <w:rPr>
          <w:sz w:val="18"/>
          <w:vertAlign w:val="superscript"/>
        </w:rPr>
        <w:t>373</w:t>
      </w:r>
      <w:r>
        <w:rPr>
          <w:spacing w:val="-5"/>
          <w:sz w:val="18"/>
        </w:rPr>
        <w:t xml:space="preserve"> </w:t>
      </w:r>
      <w:r>
        <w:rPr>
          <w:sz w:val="18"/>
        </w:rPr>
        <w:t>Panel</w:t>
      </w:r>
      <w:r>
        <w:rPr>
          <w:spacing w:val="-5"/>
          <w:sz w:val="18"/>
        </w:rPr>
        <w:t xml:space="preserve"> </w:t>
      </w:r>
      <w:r>
        <w:rPr>
          <w:sz w:val="18"/>
        </w:rPr>
        <w:t>Report,</w:t>
      </w:r>
      <w:r>
        <w:rPr>
          <w:spacing w:val="-4"/>
          <w:sz w:val="18"/>
        </w:rPr>
        <w:t xml:space="preserve"> </w:t>
      </w:r>
      <w:r>
        <w:rPr>
          <w:i/>
          <w:sz w:val="18"/>
        </w:rPr>
        <w:t>US</w:t>
      </w:r>
      <w:r>
        <w:rPr>
          <w:i/>
          <w:spacing w:val="-4"/>
          <w:sz w:val="18"/>
        </w:rPr>
        <w:t xml:space="preserve"> </w:t>
      </w:r>
      <w:r>
        <w:rPr>
          <w:i/>
          <w:sz w:val="18"/>
        </w:rPr>
        <w:t>–</w:t>
      </w:r>
      <w:r>
        <w:rPr>
          <w:i/>
          <w:spacing w:val="-5"/>
          <w:sz w:val="18"/>
        </w:rPr>
        <w:t xml:space="preserve"> </w:t>
      </w:r>
      <w:r>
        <w:rPr>
          <w:i/>
          <w:sz w:val="18"/>
        </w:rPr>
        <w:t>Steel</w:t>
      </w:r>
      <w:r>
        <w:rPr>
          <w:i/>
          <w:spacing w:val="-6"/>
          <w:sz w:val="18"/>
        </w:rPr>
        <w:t xml:space="preserve"> </w:t>
      </w:r>
      <w:r>
        <w:rPr>
          <w:i/>
          <w:sz w:val="18"/>
        </w:rPr>
        <w:t>Plate</w:t>
      </w:r>
      <w:r>
        <w:rPr>
          <w:sz w:val="18"/>
        </w:rPr>
        <w:t>,</w:t>
      </w:r>
      <w:r>
        <w:rPr>
          <w:spacing w:val="-5"/>
          <w:sz w:val="18"/>
        </w:rPr>
        <w:t xml:space="preserve"> </w:t>
      </w:r>
      <w:r>
        <w:rPr>
          <w:sz w:val="18"/>
        </w:rPr>
        <w:t>para.</w:t>
      </w:r>
      <w:r>
        <w:rPr>
          <w:spacing w:val="-4"/>
          <w:sz w:val="18"/>
        </w:rPr>
        <w:t xml:space="preserve"> </w:t>
      </w:r>
      <w:r>
        <w:rPr>
          <w:spacing w:val="-2"/>
          <w:sz w:val="18"/>
        </w:rPr>
        <w:t>7.58.</w:t>
      </w:r>
    </w:p>
    <w:p w14:paraId="51DE87FB" w14:textId="77777777" w:rsidR="0010369C" w:rsidRDefault="008E43AE">
      <w:pPr>
        <w:spacing w:before="1"/>
        <w:ind w:left="238"/>
        <w:rPr>
          <w:sz w:val="18"/>
        </w:rPr>
      </w:pPr>
      <w:r>
        <w:rPr>
          <w:sz w:val="18"/>
          <w:vertAlign w:val="superscript"/>
        </w:rPr>
        <w:t>374</w:t>
      </w:r>
      <w:r>
        <w:rPr>
          <w:spacing w:val="-5"/>
          <w:sz w:val="18"/>
        </w:rPr>
        <w:t xml:space="preserve"> </w:t>
      </w:r>
      <w:r>
        <w:rPr>
          <w:sz w:val="18"/>
        </w:rPr>
        <w:t>See</w:t>
      </w:r>
      <w:r>
        <w:rPr>
          <w:spacing w:val="-5"/>
          <w:sz w:val="18"/>
        </w:rPr>
        <w:t xml:space="preserve"> </w:t>
      </w:r>
      <w:r>
        <w:rPr>
          <w:sz w:val="18"/>
        </w:rPr>
        <w:t>Panel</w:t>
      </w:r>
      <w:r>
        <w:rPr>
          <w:spacing w:val="-5"/>
          <w:sz w:val="18"/>
        </w:rPr>
        <w:t xml:space="preserve"> </w:t>
      </w:r>
      <w:r>
        <w:rPr>
          <w:sz w:val="18"/>
        </w:rPr>
        <w:t>Report,</w:t>
      </w:r>
      <w:r>
        <w:rPr>
          <w:spacing w:val="-4"/>
          <w:sz w:val="18"/>
        </w:rPr>
        <w:t xml:space="preserve"> </w:t>
      </w:r>
      <w:r>
        <w:rPr>
          <w:i/>
          <w:sz w:val="18"/>
        </w:rPr>
        <w:t>US</w:t>
      </w:r>
      <w:r>
        <w:rPr>
          <w:i/>
          <w:spacing w:val="-4"/>
          <w:sz w:val="18"/>
        </w:rPr>
        <w:t xml:space="preserve"> </w:t>
      </w:r>
      <w:r>
        <w:rPr>
          <w:i/>
          <w:sz w:val="18"/>
        </w:rPr>
        <w:t>–</w:t>
      </w:r>
      <w:r>
        <w:rPr>
          <w:i/>
          <w:spacing w:val="-4"/>
          <w:sz w:val="18"/>
        </w:rPr>
        <w:t xml:space="preserve"> </w:t>
      </w:r>
      <w:r>
        <w:rPr>
          <w:i/>
          <w:sz w:val="18"/>
        </w:rPr>
        <w:t>Steel</w:t>
      </w:r>
      <w:r>
        <w:rPr>
          <w:i/>
          <w:spacing w:val="-5"/>
          <w:sz w:val="18"/>
        </w:rPr>
        <w:t xml:space="preserve"> </w:t>
      </w:r>
      <w:r>
        <w:rPr>
          <w:i/>
          <w:sz w:val="18"/>
        </w:rPr>
        <w:t>Plate</w:t>
      </w:r>
      <w:r>
        <w:rPr>
          <w:sz w:val="18"/>
        </w:rPr>
        <w:t>,</w:t>
      </w:r>
      <w:r>
        <w:rPr>
          <w:spacing w:val="-6"/>
          <w:sz w:val="18"/>
        </w:rPr>
        <w:t xml:space="preserve"> </w:t>
      </w:r>
      <w:r>
        <w:rPr>
          <w:sz w:val="18"/>
        </w:rPr>
        <w:t>para.</w:t>
      </w:r>
      <w:r>
        <w:rPr>
          <w:spacing w:val="-4"/>
          <w:sz w:val="18"/>
        </w:rPr>
        <w:t xml:space="preserve"> </w:t>
      </w:r>
      <w:r>
        <w:rPr>
          <w:spacing w:val="-2"/>
          <w:sz w:val="18"/>
        </w:rPr>
        <w:t>7.65.</w:t>
      </w:r>
    </w:p>
    <w:p w14:paraId="51DE87FC" w14:textId="77777777" w:rsidR="0010369C" w:rsidRDefault="008E43AE">
      <w:pPr>
        <w:ind w:left="236" w:right="615" w:firstLine="1"/>
        <w:jc w:val="both"/>
        <w:rPr>
          <w:sz w:val="18"/>
        </w:rPr>
      </w:pPr>
      <w:r>
        <w:rPr>
          <w:sz w:val="18"/>
          <w:vertAlign w:val="superscript"/>
        </w:rPr>
        <w:t>375</w:t>
      </w:r>
      <w:r>
        <w:rPr>
          <w:spacing w:val="-11"/>
          <w:sz w:val="18"/>
        </w:rPr>
        <w:t xml:space="preserve"> </w:t>
      </w:r>
      <w:r>
        <w:rPr>
          <w:sz w:val="18"/>
        </w:rPr>
        <w:t>See</w:t>
      </w:r>
      <w:r>
        <w:rPr>
          <w:spacing w:val="-10"/>
          <w:sz w:val="18"/>
        </w:rPr>
        <w:t xml:space="preserve"> </w:t>
      </w:r>
      <w:r>
        <w:rPr>
          <w:sz w:val="18"/>
        </w:rPr>
        <w:t>above,</w:t>
      </w:r>
      <w:r>
        <w:rPr>
          <w:spacing w:val="-10"/>
          <w:sz w:val="18"/>
        </w:rPr>
        <w:t xml:space="preserve"> </w:t>
      </w:r>
      <w:r>
        <w:rPr>
          <w:sz w:val="18"/>
        </w:rPr>
        <w:t>section</w:t>
      </w:r>
      <w:r>
        <w:rPr>
          <w:spacing w:val="-10"/>
          <w:sz w:val="18"/>
        </w:rPr>
        <w:t xml:space="preserve"> </w:t>
      </w:r>
      <w:r>
        <w:rPr>
          <w:sz w:val="18"/>
        </w:rPr>
        <w:t>I.C,</w:t>
      </w:r>
      <w:r>
        <w:rPr>
          <w:spacing w:val="-10"/>
          <w:sz w:val="18"/>
        </w:rPr>
        <w:t xml:space="preserve"> </w:t>
      </w:r>
      <w:r>
        <w:rPr>
          <w:sz w:val="18"/>
        </w:rPr>
        <w:t>which</w:t>
      </w:r>
      <w:r>
        <w:rPr>
          <w:spacing w:val="-11"/>
          <w:sz w:val="18"/>
        </w:rPr>
        <w:t xml:space="preserve"> </w:t>
      </w:r>
      <w:r>
        <w:rPr>
          <w:sz w:val="18"/>
        </w:rPr>
        <w:t>outlined</w:t>
      </w:r>
      <w:r>
        <w:rPr>
          <w:spacing w:val="-10"/>
          <w:sz w:val="18"/>
        </w:rPr>
        <w:t xml:space="preserve"> </w:t>
      </w:r>
      <w:r>
        <w:rPr>
          <w:sz w:val="18"/>
        </w:rPr>
        <w:t>the</w:t>
      </w:r>
      <w:r>
        <w:rPr>
          <w:spacing w:val="-10"/>
          <w:sz w:val="18"/>
        </w:rPr>
        <w:t xml:space="preserve"> </w:t>
      </w:r>
      <w:r>
        <w:rPr>
          <w:sz w:val="18"/>
        </w:rPr>
        <w:t>standard</w:t>
      </w:r>
      <w:r>
        <w:rPr>
          <w:spacing w:val="-10"/>
          <w:sz w:val="18"/>
        </w:rPr>
        <w:t xml:space="preserve"> </w:t>
      </w:r>
      <w:r>
        <w:rPr>
          <w:sz w:val="18"/>
        </w:rPr>
        <w:t>of</w:t>
      </w:r>
      <w:r>
        <w:rPr>
          <w:spacing w:val="-10"/>
          <w:sz w:val="18"/>
        </w:rPr>
        <w:t xml:space="preserve"> </w:t>
      </w:r>
      <w:r>
        <w:rPr>
          <w:sz w:val="18"/>
        </w:rPr>
        <w:t>review</w:t>
      </w:r>
      <w:r>
        <w:rPr>
          <w:spacing w:val="-10"/>
          <w:sz w:val="18"/>
        </w:rPr>
        <w:t xml:space="preserve"> </w:t>
      </w:r>
      <w:r>
        <w:rPr>
          <w:sz w:val="18"/>
        </w:rPr>
        <w:t>required</w:t>
      </w:r>
      <w:r>
        <w:rPr>
          <w:spacing w:val="-11"/>
          <w:sz w:val="18"/>
        </w:rPr>
        <w:t xml:space="preserve"> </w:t>
      </w:r>
      <w:r>
        <w:rPr>
          <w:sz w:val="18"/>
        </w:rPr>
        <w:t>of</w:t>
      </w:r>
      <w:r>
        <w:rPr>
          <w:spacing w:val="-10"/>
          <w:sz w:val="18"/>
        </w:rPr>
        <w:t xml:space="preserve"> </w:t>
      </w:r>
      <w:r>
        <w:rPr>
          <w:sz w:val="18"/>
        </w:rPr>
        <w:t>an</w:t>
      </w:r>
      <w:r>
        <w:rPr>
          <w:spacing w:val="-10"/>
          <w:sz w:val="18"/>
        </w:rPr>
        <w:t xml:space="preserve"> </w:t>
      </w:r>
      <w:r>
        <w:rPr>
          <w:sz w:val="18"/>
        </w:rPr>
        <w:t>investigating</w:t>
      </w:r>
      <w:r>
        <w:rPr>
          <w:spacing w:val="-10"/>
          <w:sz w:val="18"/>
        </w:rPr>
        <w:t xml:space="preserve"> </w:t>
      </w:r>
      <w:r>
        <w:rPr>
          <w:sz w:val="18"/>
        </w:rPr>
        <w:t>authority</w:t>
      </w:r>
      <w:r>
        <w:rPr>
          <w:spacing w:val="-10"/>
          <w:sz w:val="18"/>
        </w:rPr>
        <w:t xml:space="preserve"> </w:t>
      </w:r>
      <w:r>
        <w:rPr>
          <w:sz w:val="18"/>
        </w:rPr>
        <w:t>to</w:t>
      </w:r>
      <w:r>
        <w:rPr>
          <w:spacing w:val="-10"/>
          <w:sz w:val="18"/>
        </w:rPr>
        <w:t xml:space="preserve"> </w:t>
      </w:r>
      <w:r>
        <w:rPr>
          <w:sz w:val="18"/>
        </w:rPr>
        <w:t>evaluate</w:t>
      </w:r>
      <w:r>
        <w:rPr>
          <w:spacing w:val="-11"/>
          <w:sz w:val="18"/>
        </w:rPr>
        <w:t xml:space="preserve"> </w:t>
      </w:r>
      <w:r>
        <w:rPr>
          <w:sz w:val="18"/>
        </w:rPr>
        <w:t xml:space="preserve">information submitted by interested parties in an 'unbiased and objective manner'; see Panel Report, </w:t>
      </w:r>
      <w:r>
        <w:rPr>
          <w:i/>
          <w:sz w:val="18"/>
        </w:rPr>
        <w:t>Mexico – Steel Pipes and Tubes</w:t>
      </w:r>
      <w:r>
        <w:rPr>
          <w:sz w:val="18"/>
        </w:rPr>
        <w:t>, para. 7.5.</w:t>
      </w:r>
    </w:p>
    <w:p w14:paraId="51DE87FD" w14:textId="77777777" w:rsidR="0010369C" w:rsidRDefault="0010369C">
      <w:pPr>
        <w:jc w:val="both"/>
        <w:rPr>
          <w:sz w:val="18"/>
        </w:rPr>
        <w:sectPr w:rsidR="0010369C">
          <w:headerReference w:type="default" r:id="rId473"/>
          <w:footerReference w:type="default" r:id="rId474"/>
          <w:pgSz w:w="11910" w:h="16840"/>
          <w:pgMar w:top="880" w:right="800" w:bottom="1340" w:left="1180" w:header="569" w:footer="1143" w:gutter="0"/>
          <w:cols w:space="720"/>
        </w:sectPr>
      </w:pPr>
    </w:p>
    <w:tbl>
      <w:tblPr>
        <w:tblW w:w="0" w:type="auto"/>
        <w:tblInd w:w="131" w:type="dxa"/>
        <w:tblLayout w:type="fixed"/>
        <w:tblCellMar>
          <w:left w:w="0" w:type="dxa"/>
          <w:right w:w="0" w:type="dxa"/>
        </w:tblCellMar>
        <w:tblLook w:val="01E0" w:firstRow="1" w:lastRow="1" w:firstColumn="1" w:lastColumn="1" w:noHBand="0" w:noVBand="0"/>
      </w:tblPr>
      <w:tblGrid>
        <w:gridCol w:w="4978"/>
        <w:gridCol w:w="4241"/>
      </w:tblGrid>
      <w:tr w:rsidR="0010369C" w14:paraId="51DE8804" w14:textId="77777777">
        <w:trPr>
          <w:trHeight w:val="1227"/>
        </w:trPr>
        <w:tc>
          <w:tcPr>
            <w:tcW w:w="4978" w:type="dxa"/>
            <w:tcBorders>
              <w:top w:val="single" w:sz="4" w:space="0" w:color="000000"/>
            </w:tcBorders>
          </w:tcPr>
          <w:p w14:paraId="51DE87FE" w14:textId="77777777" w:rsidR="0010369C" w:rsidRDefault="008E43AE">
            <w:pPr>
              <w:pStyle w:val="TableParagraph"/>
              <w:spacing w:before="19" w:line="252" w:lineRule="auto"/>
              <w:ind w:left="114" w:right="15" w:firstLine="2461"/>
              <w:rPr>
                <w:sz w:val="20"/>
              </w:rPr>
            </w:pPr>
            <w:r>
              <w:lastRenderedPageBreak/>
              <w:t>Business</w:t>
            </w:r>
            <w:r>
              <w:rPr>
                <w:spacing w:val="-13"/>
              </w:rPr>
              <w:t xml:space="preserve"> </w:t>
            </w:r>
            <w:r>
              <w:t>Confidential</w:t>
            </w:r>
            <w:r>
              <w:rPr>
                <w:spacing w:val="-12"/>
              </w:rPr>
              <w:t xml:space="preserve"> </w:t>
            </w:r>
            <w:r>
              <w:t xml:space="preserve">Infor </w:t>
            </w:r>
            <w:r>
              <w:rPr>
                <w:i/>
                <w:sz w:val="20"/>
              </w:rPr>
              <w:t>China – Anti‐Dumping and Countervailing Duty Measures</w:t>
            </w:r>
            <w:r>
              <w:rPr>
                <w:i/>
                <w:spacing w:val="40"/>
                <w:sz w:val="20"/>
              </w:rPr>
              <w:t xml:space="preserve"> </w:t>
            </w:r>
            <w:r>
              <w:rPr>
                <w:i/>
                <w:sz w:val="20"/>
              </w:rPr>
              <w:t xml:space="preserve">on Wine from Australia </w:t>
            </w:r>
            <w:r>
              <w:rPr>
                <w:sz w:val="20"/>
              </w:rPr>
              <w:t>(DS602)</w:t>
            </w:r>
          </w:p>
          <w:p w14:paraId="51DE87FF" w14:textId="77777777" w:rsidR="0010369C" w:rsidRDefault="008E43AE">
            <w:pPr>
              <w:pStyle w:val="TableParagraph"/>
              <w:spacing w:before="25"/>
              <w:ind w:right="329"/>
              <w:jc w:val="right"/>
              <w:rPr>
                <w:sz w:val="24"/>
              </w:rPr>
            </w:pPr>
            <w:r>
              <w:rPr>
                <w:spacing w:val="-5"/>
                <w:sz w:val="24"/>
              </w:rPr>
              <w:t>(B)</w:t>
            </w:r>
          </w:p>
        </w:tc>
        <w:tc>
          <w:tcPr>
            <w:tcW w:w="4241" w:type="dxa"/>
            <w:tcBorders>
              <w:top w:val="single" w:sz="4" w:space="0" w:color="000000"/>
            </w:tcBorders>
          </w:tcPr>
          <w:p w14:paraId="51DE8800" w14:textId="77777777" w:rsidR="0010369C" w:rsidRDefault="008E43AE">
            <w:pPr>
              <w:pStyle w:val="TableParagraph"/>
              <w:spacing w:before="19"/>
              <w:ind w:left="-16"/>
            </w:pPr>
            <w:r>
              <w:t>mation</w:t>
            </w:r>
            <w:r>
              <w:rPr>
                <w:spacing w:val="-5"/>
              </w:rPr>
              <w:t xml:space="preserve"> </w:t>
            </w:r>
            <w:r>
              <w:t>‐</w:t>
            </w:r>
            <w:r>
              <w:rPr>
                <w:spacing w:val="-5"/>
              </w:rPr>
              <w:t xml:space="preserve"> </w:t>
            </w:r>
            <w:r>
              <w:rPr>
                <w:spacing w:val="-2"/>
              </w:rPr>
              <w:t>REDACTED</w:t>
            </w:r>
          </w:p>
          <w:p w14:paraId="51DE8801" w14:textId="77777777" w:rsidR="0010369C" w:rsidRDefault="008E43AE">
            <w:pPr>
              <w:pStyle w:val="TableParagraph"/>
              <w:spacing w:before="28"/>
              <w:ind w:right="34"/>
              <w:jc w:val="right"/>
              <w:rPr>
                <w:sz w:val="20"/>
              </w:rPr>
            </w:pPr>
            <w:r>
              <w:rPr>
                <w:sz w:val="20"/>
              </w:rPr>
              <w:t>Australia's</w:t>
            </w:r>
            <w:r>
              <w:rPr>
                <w:spacing w:val="-5"/>
                <w:sz w:val="20"/>
              </w:rPr>
              <w:t xml:space="preserve"> </w:t>
            </w:r>
            <w:r>
              <w:rPr>
                <w:sz w:val="20"/>
              </w:rPr>
              <w:t>First</w:t>
            </w:r>
            <w:r>
              <w:rPr>
                <w:spacing w:val="-2"/>
                <w:sz w:val="20"/>
              </w:rPr>
              <w:t xml:space="preserve"> </w:t>
            </w:r>
            <w:r>
              <w:rPr>
                <w:sz w:val="20"/>
              </w:rPr>
              <w:t>Written</w:t>
            </w:r>
            <w:r>
              <w:rPr>
                <w:spacing w:val="-2"/>
                <w:sz w:val="20"/>
              </w:rPr>
              <w:t xml:space="preserve"> Submission</w:t>
            </w:r>
          </w:p>
          <w:p w14:paraId="51DE8802" w14:textId="77777777" w:rsidR="0010369C" w:rsidRDefault="008E43AE">
            <w:pPr>
              <w:pStyle w:val="TableParagraph"/>
              <w:spacing w:before="1"/>
              <w:ind w:right="30"/>
              <w:jc w:val="right"/>
              <w:rPr>
                <w:sz w:val="20"/>
              </w:rPr>
            </w:pPr>
            <w:r>
              <w:rPr>
                <w:sz w:val="20"/>
              </w:rPr>
              <w:t>29</w:t>
            </w:r>
            <w:r>
              <w:rPr>
                <w:spacing w:val="-1"/>
                <w:sz w:val="20"/>
              </w:rPr>
              <w:t xml:space="preserve"> </w:t>
            </w:r>
            <w:r>
              <w:rPr>
                <w:sz w:val="20"/>
              </w:rPr>
              <w:t>April</w:t>
            </w:r>
            <w:r>
              <w:rPr>
                <w:spacing w:val="-2"/>
                <w:sz w:val="20"/>
              </w:rPr>
              <w:t xml:space="preserve"> </w:t>
            </w:r>
            <w:r>
              <w:rPr>
                <w:spacing w:val="-4"/>
                <w:sz w:val="20"/>
              </w:rPr>
              <w:t>2022</w:t>
            </w:r>
          </w:p>
          <w:p w14:paraId="51DE8803" w14:textId="77777777" w:rsidR="0010369C" w:rsidRDefault="008E43AE">
            <w:pPr>
              <w:pStyle w:val="TableParagraph"/>
              <w:spacing w:before="34"/>
              <w:ind w:right="32"/>
              <w:jc w:val="right"/>
              <w:rPr>
                <w:sz w:val="24"/>
              </w:rPr>
            </w:pPr>
            <w:r>
              <w:rPr>
                <w:w w:val="95"/>
                <w:sz w:val="24"/>
                <w:u w:val="single"/>
              </w:rPr>
              <w:t>MOFCOM's</w:t>
            </w:r>
            <w:r>
              <w:rPr>
                <w:spacing w:val="18"/>
                <w:sz w:val="24"/>
                <w:u w:val="single"/>
              </w:rPr>
              <w:t xml:space="preserve"> </w:t>
            </w:r>
            <w:r>
              <w:rPr>
                <w:w w:val="95"/>
                <w:sz w:val="24"/>
                <w:u w:val="single"/>
              </w:rPr>
              <w:t>complaint</w:t>
            </w:r>
            <w:r>
              <w:rPr>
                <w:spacing w:val="16"/>
                <w:sz w:val="24"/>
                <w:u w:val="single"/>
              </w:rPr>
              <w:t xml:space="preserve"> </w:t>
            </w:r>
            <w:r>
              <w:rPr>
                <w:w w:val="95"/>
                <w:sz w:val="24"/>
                <w:u w:val="single"/>
              </w:rPr>
              <w:t>about</w:t>
            </w:r>
            <w:r>
              <w:rPr>
                <w:spacing w:val="17"/>
                <w:sz w:val="24"/>
                <w:u w:val="single"/>
              </w:rPr>
              <w:t xml:space="preserve"> </w:t>
            </w:r>
            <w:r>
              <w:rPr>
                <w:w w:val="95"/>
                <w:sz w:val="24"/>
                <w:u w:val="single"/>
              </w:rPr>
              <w:t>the</w:t>
            </w:r>
            <w:r>
              <w:rPr>
                <w:spacing w:val="17"/>
                <w:sz w:val="24"/>
                <w:u w:val="single"/>
              </w:rPr>
              <w:t xml:space="preserve"> </w:t>
            </w:r>
            <w:r>
              <w:rPr>
                <w:spacing w:val="-2"/>
                <w:w w:val="95"/>
                <w:sz w:val="24"/>
                <w:u w:val="single"/>
              </w:rPr>
              <w:t>absence</w:t>
            </w:r>
          </w:p>
        </w:tc>
      </w:tr>
      <w:tr w:rsidR="0010369C" w14:paraId="51DE8807" w14:textId="77777777">
        <w:trPr>
          <w:trHeight w:val="340"/>
        </w:trPr>
        <w:tc>
          <w:tcPr>
            <w:tcW w:w="4978" w:type="dxa"/>
          </w:tcPr>
          <w:p w14:paraId="51DE8805" w14:textId="77777777" w:rsidR="0010369C" w:rsidRDefault="0010369C">
            <w:pPr>
              <w:pStyle w:val="TableParagraph"/>
              <w:rPr>
                <w:rFonts w:ascii="Times New Roman"/>
              </w:rPr>
            </w:pPr>
          </w:p>
        </w:tc>
        <w:tc>
          <w:tcPr>
            <w:tcW w:w="4241" w:type="dxa"/>
          </w:tcPr>
          <w:p w14:paraId="51DE8806" w14:textId="77777777" w:rsidR="0010369C" w:rsidRDefault="008E43AE">
            <w:pPr>
              <w:pStyle w:val="TableParagraph"/>
              <w:spacing w:before="51" w:line="269" w:lineRule="exact"/>
              <w:ind w:left="238"/>
              <w:rPr>
                <w:sz w:val="24"/>
              </w:rPr>
            </w:pPr>
            <w:r>
              <w:rPr>
                <w:sz w:val="24"/>
                <w:u w:val="single"/>
              </w:rPr>
              <w:t>of</w:t>
            </w:r>
            <w:r>
              <w:rPr>
                <w:spacing w:val="-6"/>
                <w:sz w:val="24"/>
                <w:u w:val="single"/>
              </w:rPr>
              <w:t xml:space="preserve"> </w:t>
            </w:r>
            <w:r>
              <w:rPr>
                <w:sz w:val="24"/>
                <w:u w:val="single"/>
              </w:rPr>
              <w:t>cost</w:t>
            </w:r>
            <w:r>
              <w:rPr>
                <w:spacing w:val="-5"/>
                <w:sz w:val="24"/>
                <w:u w:val="single"/>
              </w:rPr>
              <w:t xml:space="preserve"> </w:t>
            </w:r>
            <w:r>
              <w:rPr>
                <w:sz w:val="24"/>
                <w:u w:val="single"/>
              </w:rPr>
              <w:t>sheets</w:t>
            </w:r>
            <w:r>
              <w:rPr>
                <w:spacing w:val="-6"/>
                <w:sz w:val="24"/>
                <w:u w:val="single"/>
              </w:rPr>
              <w:t xml:space="preserve"> </w:t>
            </w:r>
            <w:r>
              <w:rPr>
                <w:sz w:val="24"/>
                <w:u w:val="single"/>
              </w:rPr>
              <w:t>saved</w:t>
            </w:r>
            <w:r>
              <w:rPr>
                <w:spacing w:val="-6"/>
                <w:sz w:val="24"/>
                <w:u w:val="single"/>
              </w:rPr>
              <w:t xml:space="preserve"> </w:t>
            </w:r>
            <w:r>
              <w:rPr>
                <w:sz w:val="24"/>
                <w:u w:val="single"/>
              </w:rPr>
              <w:t>in</w:t>
            </w:r>
            <w:r>
              <w:rPr>
                <w:spacing w:val="-6"/>
                <w:sz w:val="24"/>
                <w:u w:val="single"/>
              </w:rPr>
              <w:t xml:space="preserve"> </w:t>
            </w:r>
            <w:r>
              <w:rPr>
                <w:sz w:val="24"/>
                <w:u w:val="single"/>
              </w:rPr>
              <w:t>daily</w:t>
            </w:r>
            <w:r>
              <w:rPr>
                <w:spacing w:val="-5"/>
                <w:sz w:val="24"/>
                <w:u w:val="single"/>
              </w:rPr>
              <w:t xml:space="preserve"> </w:t>
            </w:r>
            <w:r>
              <w:rPr>
                <w:spacing w:val="-2"/>
                <w:sz w:val="24"/>
                <w:u w:val="single"/>
              </w:rPr>
              <w:t>operations</w:t>
            </w:r>
          </w:p>
        </w:tc>
      </w:tr>
    </w:tbl>
    <w:p w14:paraId="51DE8808" w14:textId="77777777" w:rsidR="0010369C" w:rsidRDefault="0010369C">
      <w:pPr>
        <w:pStyle w:val="BodyText"/>
        <w:spacing w:before="11"/>
        <w:rPr>
          <w:sz w:val="21"/>
        </w:rPr>
      </w:pPr>
    </w:p>
    <w:p w14:paraId="51DE8809" w14:textId="77777777" w:rsidR="0010369C" w:rsidRDefault="008E43AE">
      <w:pPr>
        <w:pStyle w:val="BodyText"/>
        <w:spacing w:before="51" w:line="360" w:lineRule="auto"/>
        <w:ind w:left="237" w:right="614" w:firstLine="851"/>
        <w:jc w:val="both"/>
      </w:pPr>
      <w:r>
        <w:pict w14:anchorId="51DEA20C">
          <v:rect id="docshape771" o:spid="_x0000_s1523" style="position:absolute;left:0;text-align:left;margin-left:65pt;margin-top:-76pt;width:461.4pt;height:.5pt;z-index:-251323904;mso-position-horizontal-relative:page" fillcolor="black" stroked="f">
            <w10:wrap anchorx="page"/>
          </v:rect>
        </w:pict>
      </w:r>
      <w:r>
        <w:rPr>
          <w:noProof/>
        </w:rPr>
        <w:drawing>
          <wp:anchor distT="0" distB="0" distL="0" distR="0" simplePos="0" relativeHeight="250993152" behindDoc="1" locked="0" layoutInCell="1" allowOverlap="1" wp14:anchorId="51DEA20D" wp14:editId="51DEA20E">
            <wp:simplePos x="0" y="0"/>
            <wp:positionH relativeFrom="page">
              <wp:posOffset>905255</wp:posOffset>
            </wp:positionH>
            <wp:positionV relativeFrom="paragraph">
              <wp:posOffset>76150</wp:posOffset>
            </wp:positionV>
            <wp:extent cx="259079" cy="106679"/>
            <wp:effectExtent l="0" t="0" r="0" b="0"/>
            <wp:wrapNone/>
            <wp:docPr id="685" name="image3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 name="image353.png"/>
                    <pic:cNvPicPr/>
                  </pic:nvPicPr>
                  <pic:blipFill>
                    <a:blip r:embed="rId475" cstate="print"/>
                    <a:stretch>
                      <a:fillRect/>
                    </a:stretch>
                  </pic:blipFill>
                  <pic:spPr>
                    <a:xfrm>
                      <a:off x="0" y="0"/>
                      <a:ext cx="259079" cy="106679"/>
                    </a:xfrm>
                    <a:prstGeom prst="rect">
                      <a:avLst/>
                    </a:prstGeom>
                  </pic:spPr>
                </pic:pic>
              </a:graphicData>
            </a:graphic>
          </wp:anchor>
        </w:drawing>
      </w:r>
      <w:r>
        <w:t>MOFCOM also alleged that the data in Form 6‐3 submitted by Casella Wines in the original WPS version of the form did not include "cost sheets saved in daily operation".</w:t>
      </w:r>
      <w:r>
        <w:rPr>
          <w:vertAlign w:val="superscript"/>
        </w:rPr>
        <w:t>376</w:t>
      </w:r>
      <w:r>
        <w:t xml:space="preserve"> MOFCOM complained that this made it "impossible" for MOFCOM to verify the data.</w:t>
      </w:r>
      <w:r>
        <w:rPr>
          <w:vertAlign w:val="superscript"/>
        </w:rPr>
        <w:t>377</w:t>
      </w:r>
    </w:p>
    <w:p w14:paraId="51DE880A" w14:textId="77777777" w:rsidR="0010369C" w:rsidRDefault="0010369C">
      <w:pPr>
        <w:pStyle w:val="BodyText"/>
        <w:spacing w:before="11"/>
        <w:rPr>
          <w:sz w:val="8"/>
        </w:rPr>
      </w:pPr>
    </w:p>
    <w:p w14:paraId="51DE880B" w14:textId="77777777" w:rsidR="0010369C" w:rsidRDefault="008E43AE">
      <w:pPr>
        <w:pStyle w:val="BodyText"/>
        <w:spacing w:before="52"/>
        <w:ind w:left="1089"/>
      </w:pPr>
      <w:r>
        <w:rPr>
          <w:noProof/>
        </w:rPr>
        <w:drawing>
          <wp:anchor distT="0" distB="0" distL="0" distR="0" simplePos="0" relativeHeight="250658304" behindDoc="0" locked="0" layoutInCell="1" allowOverlap="1" wp14:anchorId="51DEA20F" wp14:editId="51DEA210">
            <wp:simplePos x="0" y="0"/>
            <wp:positionH relativeFrom="page">
              <wp:posOffset>905255</wp:posOffset>
            </wp:positionH>
            <wp:positionV relativeFrom="paragraph">
              <wp:posOffset>76786</wp:posOffset>
            </wp:positionV>
            <wp:extent cx="259079" cy="106679"/>
            <wp:effectExtent l="0" t="0" r="0" b="0"/>
            <wp:wrapNone/>
            <wp:docPr id="687" name="image3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 name="image354.png"/>
                    <pic:cNvPicPr/>
                  </pic:nvPicPr>
                  <pic:blipFill>
                    <a:blip r:embed="rId476" cstate="print"/>
                    <a:stretch>
                      <a:fillRect/>
                    </a:stretch>
                  </pic:blipFill>
                  <pic:spPr>
                    <a:xfrm>
                      <a:off x="0" y="0"/>
                      <a:ext cx="259079" cy="106679"/>
                    </a:xfrm>
                    <a:prstGeom prst="rect">
                      <a:avLst/>
                    </a:prstGeom>
                  </pic:spPr>
                </pic:pic>
              </a:graphicData>
            </a:graphic>
          </wp:anchor>
        </w:drawing>
      </w:r>
      <w:r>
        <w:pict w14:anchorId="51DEA211">
          <v:rect id="docshape772" o:spid="_x0000_s1522" style="position:absolute;left:0;text-align:left;margin-left:507.3pt;margin-top:2.7pt;width:16.05pt;height:16.05pt;z-index:251835904;mso-position-horizontal-relative:page;mso-position-vertical-relative:text" fillcolor="black" stroked="f">
            <w10:wrap anchorx="page"/>
          </v:rect>
        </w:pict>
      </w:r>
      <w:r>
        <w:pict w14:anchorId="51DEA212">
          <v:rect id="docshape773" o:spid="_x0000_s1521" style="position:absolute;left:0;text-align:left;margin-left:69.9pt;margin-top:46.75pt;width:301.9pt;height:16.05pt;z-index:251836928;mso-position-horizontal-relative:page;mso-position-vertical-relative:text" fillcolor="black" stroked="f">
            <w10:wrap anchorx="page"/>
          </v:rect>
        </w:pict>
      </w:r>
      <w:r>
        <w:t>Casella</w:t>
      </w:r>
      <w:r>
        <w:rPr>
          <w:spacing w:val="-3"/>
        </w:rPr>
        <w:t xml:space="preserve"> </w:t>
      </w:r>
      <w:r>
        <w:t>Wines</w:t>
      </w:r>
      <w:r>
        <w:rPr>
          <w:spacing w:val="-5"/>
        </w:rPr>
        <w:t xml:space="preserve"> </w:t>
      </w:r>
      <w:r>
        <w:t>responded</w:t>
      </w:r>
      <w:r>
        <w:rPr>
          <w:spacing w:val="-5"/>
        </w:rPr>
        <w:t xml:space="preserve"> </w:t>
      </w:r>
      <w:r>
        <w:t>in</w:t>
      </w:r>
      <w:r>
        <w:rPr>
          <w:spacing w:val="-4"/>
        </w:rPr>
        <w:t xml:space="preserve"> </w:t>
      </w:r>
      <w:r>
        <w:t>its</w:t>
      </w:r>
      <w:r>
        <w:rPr>
          <w:spacing w:val="-4"/>
        </w:rPr>
        <w:t xml:space="preserve"> </w:t>
      </w:r>
      <w:r>
        <w:t>response</w:t>
      </w:r>
      <w:r>
        <w:rPr>
          <w:spacing w:val="-4"/>
        </w:rPr>
        <w:t xml:space="preserve"> </w:t>
      </w:r>
      <w:r>
        <w:t>to</w:t>
      </w:r>
      <w:r>
        <w:rPr>
          <w:spacing w:val="-3"/>
        </w:rPr>
        <w:t xml:space="preserve"> </w:t>
      </w:r>
      <w:r>
        <w:t>the</w:t>
      </w:r>
      <w:r>
        <w:rPr>
          <w:spacing w:val="-5"/>
        </w:rPr>
        <w:t xml:space="preserve"> </w:t>
      </w:r>
      <w:r>
        <w:t>Preliminary</w:t>
      </w:r>
      <w:r>
        <w:rPr>
          <w:spacing w:val="-6"/>
        </w:rPr>
        <w:t xml:space="preserve"> </w:t>
      </w:r>
      <w:r>
        <w:t>Determination</w:t>
      </w:r>
      <w:r>
        <w:rPr>
          <w:spacing w:val="-4"/>
        </w:rPr>
        <w:t xml:space="preserve"> </w:t>
      </w:r>
      <w:r>
        <w:t>that</w:t>
      </w:r>
      <w:r>
        <w:rPr>
          <w:spacing w:val="-4"/>
        </w:rPr>
        <w:t xml:space="preserve"> </w:t>
      </w:r>
      <w:r>
        <w:rPr>
          <w:spacing w:val="-5"/>
        </w:rPr>
        <w:t>[[</w:t>
      </w:r>
    </w:p>
    <w:p w14:paraId="51DE880C" w14:textId="77777777" w:rsidR="0010369C" w:rsidRDefault="008E43AE">
      <w:pPr>
        <w:pStyle w:val="BodyText"/>
        <w:spacing w:before="3"/>
        <w:rPr>
          <w:sz w:val="10"/>
        </w:rPr>
      </w:pPr>
      <w:r>
        <w:pict w14:anchorId="51DEA213">
          <v:rect id="docshape774" o:spid="_x0000_s1520" style="position:absolute;margin-left:69.9pt;margin-top:7.5pt;width:453.4pt;height:16.05pt;z-index:-250937856;mso-wrap-distance-left:0;mso-wrap-distance-right:0;mso-position-horizontal-relative:page" fillcolor="black" stroked="f">
            <w10:wrap type="topAndBottom" anchorx="page"/>
          </v:rect>
        </w:pict>
      </w:r>
    </w:p>
    <w:p w14:paraId="51DE880D" w14:textId="77777777" w:rsidR="0010369C" w:rsidRDefault="008E43AE">
      <w:pPr>
        <w:spacing w:before="116"/>
        <w:ind w:left="3658" w:right="885"/>
        <w:jc w:val="center"/>
        <w:rPr>
          <w:sz w:val="24"/>
        </w:rPr>
      </w:pPr>
      <w:r>
        <w:rPr>
          <w:spacing w:val="-5"/>
          <w:sz w:val="24"/>
        </w:rPr>
        <w:t>]]</w:t>
      </w:r>
    </w:p>
    <w:p w14:paraId="51DE880E" w14:textId="77777777" w:rsidR="0010369C" w:rsidRDefault="0010369C">
      <w:pPr>
        <w:pStyle w:val="BodyText"/>
        <w:spacing w:before="9"/>
        <w:rPr>
          <w:sz w:val="20"/>
        </w:rPr>
      </w:pPr>
    </w:p>
    <w:p w14:paraId="51DE880F" w14:textId="77777777" w:rsidR="0010369C" w:rsidRDefault="008E43AE">
      <w:pPr>
        <w:pStyle w:val="BodyText"/>
        <w:spacing w:before="52" w:line="360" w:lineRule="auto"/>
        <w:ind w:left="237" w:right="612" w:firstLine="851"/>
        <w:jc w:val="both"/>
      </w:pPr>
      <w:r>
        <w:rPr>
          <w:noProof/>
        </w:rPr>
        <w:drawing>
          <wp:anchor distT="0" distB="0" distL="0" distR="0" simplePos="0" relativeHeight="250994176" behindDoc="1" locked="0" layoutInCell="1" allowOverlap="1" wp14:anchorId="51DEA214" wp14:editId="51DEA215">
            <wp:simplePos x="0" y="0"/>
            <wp:positionH relativeFrom="page">
              <wp:posOffset>905255</wp:posOffset>
            </wp:positionH>
            <wp:positionV relativeFrom="paragraph">
              <wp:posOffset>76785</wp:posOffset>
            </wp:positionV>
            <wp:extent cx="259079" cy="106679"/>
            <wp:effectExtent l="0" t="0" r="0" b="0"/>
            <wp:wrapNone/>
            <wp:docPr id="689" name="image3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 name="image355.png"/>
                    <pic:cNvPicPr/>
                  </pic:nvPicPr>
                  <pic:blipFill>
                    <a:blip r:embed="rId477" cstate="print"/>
                    <a:stretch>
                      <a:fillRect/>
                    </a:stretch>
                  </pic:blipFill>
                  <pic:spPr>
                    <a:xfrm>
                      <a:off x="0" y="0"/>
                      <a:ext cx="259079" cy="106679"/>
                    </a:xfrm>
                    <a:prstGeom prst="rect">
                      <a:avLst/>
                    </a:prstGeom>
                  </pic:spPr>
                </pic:pic>
              </a:graphicData>
            </a:graphic>
          </wp:anchor>
        </w:drawing>
      </w:r>
      <w:r>
        <w:t>There is no evidence on the record that MOFCOM took any steps to verify the reported</w:t>
      </w:r>
      <w:r>
        <w:rPr>
          <w:spacing w:val="-4"/>
        </w:rPr>
        <w:t xml:space="preserve"> </w:t>
      </w:r>
      <w:r>
        <w:t>data</w:t>
      </w:r>
      <w:r>
        <w:rPr>
          <w:spacing w:val="-2"/>
        </w:rPr>
        <w:t xml:space="preserve"> </w:t>
      </w:r>
      <w:r>
        <w:t>from</w:t>
      </w:r>
      <w:r>
        <w:rPr>
          <w:spacing w:val="-4"/>
        </w:rPr>
        <w:t xml:space="preserve"> </w:t>
      </w:r>
      <w:r>
        <w:t>Casella</w:t>
      </w:r>
      <w:r>
        <w:rPr>
          <w:spacing w:val="-2"/>
        </w:rPr>
        <w:t xml:space="preserve"> </w:t>
      </w:r>
      <w:r>
        <w:t>Wines</w:t>
      </w:r>
      <w:r>
        <w:rPr>
          <w:spacing w:val="-3"/>
        </w:rPr>
        <w:t xml:space="preserve"> </w:t>
      </w:r>
      <w:r>
        <w:t>production</w:t>
      </w:r>
      <w:r>
        <w:rPr>
          <w:spacing w:val="-3"/>
        </w:rPr>
        <w:t xml:space="preserve"> </w:t>
      </w:r>
      <w:r>
        <w:t>and</w:t>
      </w:r>
      <w:r>
        <w:rPr>
          <w:spacing w:val="-3"/>
        </w:rPr>
        <w:t xml:space="preserve"> </w:t>
      </w:r>
      <w:r>
        <w:t>stock</w:t>
      </w:r>
      <w:r>
        <w:rPr>
          <w:spacing w:val="-2"/>
        </w:rPr>
        <w:t xml:space="preserve"> </w:t>
      </w:r>
      <w:r>
        <w:t>system,</w:t>
      </w:r>
      <w:r>
        <w:rPr>
          <w:spacing w:val="-4"/>
        </w:rPr>
        <w:t xml:space="preserve"> </w:t>
      </w:r>
      <w:r>
        <w:t>either</w:t>
      </w:r>
      <w:r>
        <w:rPr>
          <w:spacing w:val="-4"/>
        </w:rPr>
        <w:t xml:space="preserve"> </w:t>
      </w:r>
      <w:r>
        <w:t>before</w:t>
      </w:r>
      <w:r>
        <w:rPr>
          <w:spacing w:val="-1"/>
        </w:rPr>
        <w:t xml:space="preserve"> </w:t>
      </w:r>
      <w:r>
        <w:t>or</w:t>
      </w:r>
      <w:r>
        <w:rPr>
          <w:spacing w:val="-2"/>
        </w:rPr>
        <w:t xml:space="preserve"> </w:t>
      </w:r>
      <w:r>
        <w:t>after</w:t>
      </w:r>
      <w:r>
        <w:rPr>
          <w:spacing w:val="-2"/>
        </w:rPr>
        <w:t xml:space="preserve"> </w:t>
      </w:r>
      <w:r>
        <w:t>receipt of</w:t>
      </w:r>
      <w:r>
        <w:rPr>
          <w:spacing w:val="-9"/>
        </w:rPr>
        <w:t xml:space="preserve"> </w:t>
      </w:r>
      <w:r>
        <w:t>this</w:t>
      </w:r>
      <w:r>
        <w:rPr>
          <w:spacing w:val="-9"/>
        </w:rPr>
        <w:t xml:space="preserve"> </w:t>
      </w:r>
      <w:r>
        <w:t>submission.</w:t>
      </w:r>
      <w:r>
        <w:rPr>
          <w:spacing w:val="-7"/>
        </w:rPr>
        <w:t xml:space="preserve"> </w:t>
      </w:r>
      <w:r>
        <w:t>Casella</w:t>
      </w:r>
      <w:r>
        <w:rPr>
          <w:spacing w:val="-8"/>
        </w:rPr>
        <w:t xml:space="preserve"> </w:t>
      </w:r>
      <w:r>
        <w:t>Wines</w:t>
      </w:r>
      <w:r>
        <w:rPr>
          <w:spacing w:val="-9"/>
        </w:rPr>
        <w:t xml:space="preserve"> </w:t>
      </w:r>
      <w:r>
        <w:t>offered</w:t>
      </w:r>
      <w:r>
        <w:rPr>
          <w:spacing w:val="-8"/>
        </w:rPr>
        <w:t xml:space="preserve"> </w:t>
      </w:r>
      <w:r>
        <w:t>to</w:t>
      </w:r>
      <w:r>
        <w:rPr>
          <w:spacing w:val="-8"/>
        </w:rPr>
        <w:t xml:space="preserve"> </w:t>
      </w:r>
      <w:r>
        <w:t>MOFCOM</w:t>
      </w:r>
      <w:r>
        <w:rPr>
          <w:spacing w:val="-8"/>
        </w:rPr>
        <w:t xml:space="preserve"> </w:t>
      </w:r>
      <w:r>
        <w:t>a</w:t>
      </w:r>
      <w:r>
        <w:rPr>
          <w:spacing w:val="-9"/>
        </w:rPr>
        <w:t xml:space="preserve"> </w:t>
      </w:r>
      <w:r>
        <w:t>reasonable</w:t>
      </w:r>
      <w:r>
        <w:rPr>
          <w:spacing w:val="-9"/>
        </w:rPr>
        <w:t xml:space="preserve"> </w:t>
      </w:r>
      <w:r>
        <w:t>and</w:t>
      </w:r>
      <w:r>
        <w:rPr>
          <w:spacing w:val="-9"/>
        </w:rPr>
        <w:t xml:space="preserve"> </w:t>
      </w:r>
      <w:r>
        <w:t>conventional</w:t>
      </w:r>
      <w:r>
        <w:rPr>
          <w:spacing w:val="-9"/>
        </w:rPr>
        <w:t xml:space="preserve"> </w:t>
      </w:r>
      <w:r>
        <w:t>metho</w:t>
      </w:r>
      <w:r>
        <w:t>d of</w:t>
      </w:r>
      <w:r>
        <w:rPr>
          <w:spacing w:val="-8"/>
        </w:rPr>
        <w:t xml:space="preserve"> </w:t>
      </w:r>
      <w:r>
        <w:t>verifying</w:t>
      </w:r>
      <w:r>
        <w:rPr>
          <w:spacing w:val="-10"/>
        </w:rPr>
        <w:t xml:space="preserve"> </w:t>
      </w:r>
      <w:r>
        <w:t>data</w:t>
      </w:r>
      <w:r>
        <w:rPr>
          <w:spacing w:val="-7"/>
        </w:rPr>
        <w:t xml:space="preserve"> </w:t>
      </w:r>
      <w:r>
        <w:t>drawn</w:t>
      </w:r>
      <w:r>
        <w:rPr>
          <w:spacing w:val="-7"/>
        </w:rPr>
        <w:t xml:space="preserve"> </w:t>
      </w:r>
      <w:r>
        <w:t>from</w:t>
      </w:r>
      <w:r>
        <w:rPr>
          <w:spacing w:val="-7"/>
        </w:rPr>
        <w:t xml:space="preserve"> </w:t>
      </w:r>
      <w:r>
        <w:t>an</w:t>
      </w:r>
      <w:r>
        <w:rPr>
          <w:spacing w:val="-8"/>
        </w:rPr>
        <w:t xml:space="preserve"> </w:t>
      </w:r>
      <w:r>
        <w:t>accounting</w:t>
      </w:r>
      <w:r>
        <w:rPr>
          <w:spacing w:val="-7"/>
        </w:rPr>
        <w:t xml:space="preserve"> </w:t>
      </w:r>
      <w:r>
        <w:t>system,</w:t>
      </w:r>
      <w:r>
        <w:rPr>
          <w:spacing w:val="-8"/>
        </w:rPr>
        <w:t xml:space="preserve"> </w:t>
      </w:r>
      <w:r>
        <w:t>and</w:t>
      </w:r>
      <w:r>
        <w:rPr>
          <w:spacing w:val="-8"/>
        </w:rPr>
        <w:t xml:space="preserve"> </w:t>
      </w:r>
      <w:r>
        <w:t>MOFCOM</w:t>
      </w:r>
      <w:r>
        <w:rPr>
          <w:spacing w:val="-7"/>
        </w:rPr>
        <w:t xml:space="preserve"> </w:t>
      </w:r>
      <w:r>
        <w:t>elected</w:t>
      </w:r>
      <w:r>
        <w:rPr>
          <w:spacing w:val="-8"/>
        </w:rPr>
        <w:t xml:space="preserve"> </w:t>
      </w:r>
      <w:r>
        <w:t>to</w:t>
      </w:r>
      <w:r>
        <w:rPr>
          <w:spacing w:val="-7"/>
        </w:rPr>
        <w:t xml:space="preserve"> </w:t>
      </w:r>
      <w:r>
        <w:t>make</w:t>
      </w:r>
      <w:r>
        <w:rPr>
          <w:spacing w:val="-8"/>
        </w:rPr>
        <w:t xml:space="preserve"> </w:t>
      </w:r>
      <w:r>
        <w:t>no</w:t>
      </w:r>
      <w:r>
        <w:rPr>
          <w:spacing w:val="-7"/>
        </w:rPr>
        <w:t xml:space="preserve"> </w:t>
      </w:r>
      <w:r>
        <w:t>further enquiries. There is nothing on the record to suggest that MOFCOM was unable to verify the data</w:t>
      </w:r>
      <w:r>
        <w:rPr>
          <w:spacing w:val="-9"/>
        </w:rPr>
        <w:t xml:space="preserve"> </w:t>
      </w:r>
      <w:r>
        <w:t>in</w:t>
      </w:r>
      <w:r>
        <w:rPr>
          <w:spacing w:val="-10"/>
        </w:rPr>
        <w:t xml:space="preserve"> </w:t>
      </w:r>
      <w:r>
        <w:t>the</w:t>
      </w:r>
      <w:r>
        <w:rPr>
          <w:spacing w:val="-8"/>
        </w:rPr>
        <w:t xml:space="preserve"> </w:t>
      </w:r>
      <w:r>
        <w:t>way</w:t>
      </w:r>
      <w:r>
        <w:rPr>
          <w:spacing w:val="-9"/>
        </w:rPr>
        <w:t xml:space="preserve"> </w:t>
      </w:r>
      <w:r>
        <w:t>proposed</w:t>
      </w:r>
      <w:r>
        <w:rPr>
          <w:spacing w:val="-10"/>
        </w:rPr>
        <w:t xml:space="preserve"> </w:t>
      </w:r>
      <w:r>
        <w:t>by</w:t>
      </w:r>
      <w:r>
        <w:rPr>
          <w:spacing w:val="-9"/>
        </w:rPr>
        <w:t xml:space="preserve"> </w:t>
      </w:r>
      <w:r>
        <w:t>Casella</w:t>
      </w:r>
      <w:r>
        <w:rPr>
          <w:spacing w:val="-9"/>
        </w:rPr>
        <w:t xml:space="preserve"> </w:t>
      </w:r>
      <w:r>
        <w:t>Wines,</w:t>
      </w:r>
      <w:r>
        <w:rPr>
          <w:spacing w:val="-10"/>
        </w:rPr>
        <w:t xml:space="preserve"> </w:t>
      </w:r>
      <w:r>
        <w:t>or</w:t>
      </w:r>
      <w:r>
        <w:rPr>
          <w:spacing w:val="-10"/>
        </w:rPr>
        <w:t xml:space="preserve"> </w:t>
      </w:r>
      <w:r>
        <w:t>would</w:t>
      </w:r>
      <w:r>
        <w:rPr>
          <w:spacing w:val="-10"/>
        </w:rPr>
        <w:t xml:space="preserve"> </w:t>
      </w:r>
      <w:r>
        <w:t>have</w:t>
      </w:r>
      <w:r>
        <w:rPr>
          <w:spacing w:val="-9"/>
        </w:rPr>
        <w:t xml:space="preserve"> </w:t>
      </w:r>
      <w:r>
        <w:t>faced</w:t>
      </w:r>
      <w:r>
        <w:rPr>
          <w:spacing w:val="-10"/>
        </w:rPr>
        <w:t xml:space="preserve"> </w:t>
      </w:r>
      <w:r>
        <w:t>undue</w:t>
      </w:r>
      <w:r>
        <w:rPr>
          <w:spacing w:val="-10"/>
        </w:rPr>
        <w:t xml:space="preserve"> </w:t>
      </w:r>
      <w:r>
        <w:t>difficulties</w:t>
      </w:r>
      <w:r>
        <w:rPr>
          <w:spacing w:val="-10"/>
        </w:rPr>
        <w:t xml:space="preserve"> </w:t>
      </w:r>
      <w:r>
        <w:t>in</w:t>
      </w:r>
      <w:r>
        <w:rPr>
          <w:spacing w:val="-10"/>
        </w:rPr>
        <w:t xml:space="preserve"> </w:t>
      </w:r>
      <w:r>
        <w:t>adopting that method.</w:t>
      </w:r>
    </w:p>
    <w:p w14:paraId="51DE8810" w14:textId="77777777" w:rsidR="0010369C" w:rsidRDefault="0010369C">
      <w:pPr>
        <w:pStyle w:val="BodyText"/>
        <w:spacing w:before="11"/>
        <w:rPr>
          <w:sz w:val="8"/>
        </w:rPr>
      </w:pPr>
    </w:p>
    <w:p w14:paraId="51DE8811" w14:textId="77777777" w:rsidR="0010369C" w:rsidRDefault="008E43AE">
      <w:pPr>
        <w:pStyle w:val="BodyText"/>
        <w:spacing w:before="52" w:line="360" w:lineRule="auto"/>
        <w:ind w:left="237" w:right="614" w:firstLine="851"/>
        <w:jc w:val="both"/>
      </w:pPr>
      <w:r>
        <w:rPr>
          <w:noProof/>
        </w:rPr>
        <w:drawing>
          <wp:anchor distT="0" distB="0" distL="0" distR="0" simplePos="0" relativeHeight="250995200" behindDoc="1" locked="0" layoutInCell="1" allowOverlap="1" wp14:anchorId="51DEA216" wp14:editId="51DEA217">
            <wp:simplePos x="0" y="0"/>
            <wp:positionH relativeFrom="page">
              <wp:posOffset>905255</wp:posOffset>
            </wp:positionH>
            <wp:positionV relativeFrom="paragraph">
              <wp:posOffset>81949</wp:posOffset>
            </wp:positionV>
            <wp:extent cx="259079" cy="100753"/>
            <wp:effectExtent l="0" t="0" r="0" b="0"/>
            <wp:wrapNone/>
            <wp:docPr id="691" name="image3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 name="image356.png"/>
                    <pic:cNvPicPr/>
                  </pic:nvPicPr>
                  <pic:blipFill>
                    <a:blip r:embed="rId478" cstate="print"/>
                    <a:stretch>
                      <a:fillRect/>
                    </a:stretch>
                  </pic:blipFill>
                  <pic:spPr>
                    <a:xfrm>
                      <a:off x="0" y="0"/>
                      <a:ext cx="259079" cy="100753"/>
                    </a:xfrm>
                    <a:prstGeom prst="rect">
                      <a:avLst/>
                    </a:prstGeom>
                  </pic:spPr>
                </pic:pic>
              </a:graphicData>
            </a:graphic>
          </wp:anchor>
        </w:drawing>
      </w:r>
      <w:r>
        <w:t>There was no basis for MOFCOM to conclude that it</w:t>
      </w:r>
      <w:r>
        <w:t xml:space="preserve"> was "impossible" for it to verify the</w:t>
      </w:r>
      <w:r>
        <w:rPr>
          <w:spacing w:val="-8"/>
        </w:rPr>
        <w:t xml:space="preserve"> </w:t>
      </w:r>
      <w:r>
        <w:t>data.</w:t>
      </w:r>
      <w:r>
        <w:rPr>
          <w:spacing w:val="-8"/>
        </w:rPr>
        <w:t xml:space="preserve"> </w:t>
      </w:r>
      <w:r>
        <w:t>The</w:t>
      </w:r>
      <w:r>
        <w:rPr>
          <w:spacing w:val="-8"/>
        </w:rPr>
        <w:t xml:space="preserve"> </w:t>
      </w:r>
      <w:r>
        <w:t>data</w:t>
      </w:r>
      <w:r>
        <w:rPr>
          <w:spacing w:val="-8"/>
        </w:rPr>
        <w:t xml:space="preserve"> </w:t>
      </w:r>
      <w:r>
        <w:t>was</w:t>
      </w:r>
      <w:r>
        <w:rPr>
          <w:spacing w:val="-9"/>
        </w:rPr>
        <w:t xml:space="preserve"> </w:t>
      </w:r>
      <w:r>
        <w:t>"verifiable",</w:t>
      </w:r>
      <w:r>
        <w:rPr>
          <w:spacing w:val="-10"/>
        </w:rPr>
        <w:t xml:space="preserve"> </w:t>
      </w:r>
      <w:r>
        <w:t>within</w:t>
      </w:r>
      <w:r>
        <w:rPr>
          <w:spacing w:val="-9"/>
        </w:rPr>
        <w:t xml:space="preserve"> </w:t>
      </w:r>
      <w:r>
        <w:t>the</w:t>
      </w:r>
      <w:r>
        <w:rPr>
          <w:spacing w:val="-8"/>
        </w:rPr>
        <w:t xml:space="preserve"> </w:t>
      </w:r>
      <w:r>
        <w:t>meaning</w:t>
      </w:r>
      <w:r>
        <w:rPr>
          <w:spacing w:val="-9"/>
        </w:rPr>
        <w:t xml:space="preserve"> </w:t>
      </w:r>
      <w:r>
        <w:t>of</w:t>
      </w:r>
      <w:r>
        <w:rPr>
          <w:spacing w:val="-10"/>
        </w:rPr>
        <w:t xml:space="preserve"> </w:t>
      </w:r>
      <w:r>
        <w:t>paragraph</w:t>
      </w:r>
      <w:r>
        <w:rPr>
          <w:spacing w:val="-8"/>
        </w:rPr>
        <w:t xml:space="preserve"> </w:t>
      </w:r>
      <w:r>
        <w:t>3</w:t>
      </w:r>
      <w:r>
        <w:rPr>
          <w:spacing w:val="-9"/>
        </w:rPr>
        <w:t xml:space="preserve"> </w:t>
      </w:r>
      <w:r>
        <w:t>of</w:t>
      </w:r>
      <w:r>
        <w:rPr>
          <w:spacing w:val="-9"/>
        </w:rPr>
        <w:t xml:space="preserve"> </w:t>
      </w:r>
      <w:r>
        <w:t>Annex</w:t>
      </w:r>
      <w:r>
        <w:rPr>
          <w:spacing w:val="-9"/>
        </w:rPr>
        <w:t xml:space="preserve"> </w:t>
      </w:r>
      <w:r>
        <w:t>II.</w:t>
      </w:r>
      <w:r>
        <w:rPr>
          <w:spacing w:val="-8"/>
        </w:rPr>
        <w:t xml:space="preserve"> </w:t>
      </w:r>
      <w:r>
        <w:t>Inaction</w:t>
      </w:r>
      <w:r>
        <w:rPr>
          <w:spacing w:val="-9"/>
        </w:rPr>
        <w:t xml:space="preserve"> </w:t>
      </w:r>
      <w:r>
        <w:t>by an investigating authority that is presented with a reasonable mechanism for verifying data cannot be the basis for that auth</w:t>
      </w:r>
      <w:r>
        <w:t>ority to then reject the otherwise properly submitted data and then have resort to facts available.</w:t>
      </w:r>
    </w:p>
    <w:p w14:paraId="51DE8812" w14:textId="77777777" w:rsidR="0010369C" w:rsidRDefault="0010369C">
      <w:pPr>
        <w:pStyle w:val="BodyText"/>
        <w:spacing w:before="11"/>
        <w:rPr>
          <w:sz w:val="8"/>
        </w:rPr>
      </w:pPr>
    </w:p>
    <w:p w14:paraId="51DE8813" w14:textId="77777777" w:rsidR="0010369C" w:rsidRDefault="008E43AE">
      <w:pPr>
        <w:pStyle w:val="BodyText"/>
        <w:spacing w:before="52" w:line="360" w:lineRule="auto"/>
        <w:ind w:left="237" w:right="614" w:firstLine="960"/>
        <w:jc w:val="both"/>
      </w:pPr>
      <w:r>
        <w:rPr>
          <w:noProof/>
        </w:rPr>
        <w:drawing>
          <wp:anchor distT="0" distB="0" distL="0" distR="0" simplePos="0" relativeHeight="250996224" behindDoc="1" locked="0" layoutInCell="1" allowOverlap="1" wp14:anchorId="51DEA218" wp14:editId="51DEA219">
            <wp:simplePos x="0" y="0"/>
            <wp:positionH relativeFrom="page">
              <wp:posOffset>905255</wp:posOffset>
            </wp:positionH>
            <wp:positionV relativeFrom="paragraph">
              <wp:posOffset>81357</wp:posOffset>
            </wp:positionV>
            <wp:extent cx="259079" cy="103631"/>
            <wp:effectExtent l="0" t="0" r="0" b="0"/>
            <wp:wrapNone/>
            <wp:docPr id="693" name="image3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 name="image357.png"/>
                    <pic:cNvPicPr/>
                  </pic:nvPicPr>
                  <pic:blipFill>
                    <a:blip r:embed="rId479" cstate="print"/>
                    <a:stretch>
                      <a:fillRect/>
                    </a:stretch>
                  </pic:blipFill>
                  <pic:spPr>
                    <a:xfrm>
                      <a:off x="0" y="0"/>
                      <a:ext cx="259079" cy="103631"/>
                    </a:xfrm>
                    <a:prstGeom prst="rect">
                      <a:avLst/>
                    </a:prstGeom>
                  </pic:spPr>
                </pic:pic>
              </a:graphicData>
            </a:graphic>
          </wp:anchor>
        </w:drawing>
      </w:r>
      <w:r>
        <w:t xml:space="preserve">For the foregoing reasons, MOFCOM erred when it relied upon Casella Wines' response to Form 6‐3 as a basis to resort to facts available and, therefore, China acted inconsistently with Article 6.8 and paragraphs 3 and 5 of Annex II of the Anti‐Dumping </w:t>
      </w:r>
      <w:r>
        <w:rPr>
          <w:spacing w:val="-2"/>
        </w:rPr>
        <w:t>Agree</w:t>
      </w:r>
      <w:r>
        <w:rPr>
          <w:spacing w:val="-2"/>
        </w:rPr>
        <w:t>ment.</w:t>
      </w:r>
    </w:p>
    <w:p w14:paraId="51DE8814" w14:textId="77777777" w:rsidR="0010369C" w:rsidRDefault="0010369C">
      <w:pPr>
        <w:pStyle w:val="BodyText"/>
        <w:rPr>
          <w:sz w:val="20"/>
        </w:rPr>
      </w:pPr>
    </w:p>
    <w:p w14:paraId="51DE8815" w14:textId="77777777" w:rsidR="0010369C" w:rsidRDefault="0010369C">
      <w:pPr>
        <w:pStyle w:val="BodyText"/>
        <w:rPr>
          <w:sz w:val="20"/>
        </w:rPr>
      </w:pPr>
    </w:p>
    <w:p w14:paraId="51DE8816" w14:textId="77777777" w:rsidR="0010369C" w:rsidRDefault="0010369C">
      <w:pPr>
        <w:pStyle w:val="BodyText"/>
        <w:rPr>
          <w:sz w:val="20"/>
        </w:rPr>
      </w:pPr>
    </w:p>
    <w:p w14:paraId="51DE8817" w14:textId="77777777" w:rsidR="0010369C" w:rsidRDefault="0010369C">
      <w:pPr>
        <w:pStyle w:val="BodyText"/>
        <w:rPr>
          <w:sz w:val="20"/>
        </w:rPr>
      </w:pPr>
    </w:p>
    <w:p w14:paraId="51DE8818" w14:textId="77777777" w:rsidR="0010369C" w:rsidRDefault="0010369C">
      <w:pPr>
        <w:pStyle w:val="BodyText"/>
        <w:rPr>
          <w:sz w:val="20"/>
        </w:rPr>
      </w:pPr>
    </w:p>
    <w:p w14:paraId="51DE8819" w14:textId="77777777" w:rsidR="0010369C" w:rsidRDefault="0010369C">
      <w:pPr>
        <w:pStyle w:val="BodyText"/>
        <w:rPr>
          <w:sz w:val="20"/>
        </w:rPr>
      </w:pPr>
    </w:p>
    <w:p w14:paraId="51DE881A" w14:textId="77777777" w:rsidR="0010369C" w:rsidRDefault="008E43AE">
      <w:pPr>
        <w:pStyle w:val="BodyText"/>
        <w:spacing w:before="3"/>
        <w:rPr>
          <w:sz w:val="13"/>
        </w:rPr>
      </w:pPr>
      <w:r>
        <w:pict w14:anchorId="51DEA21A">
          <v:rect id="docshape775" o:spid="_x0000_s1519" style="position:absolute;margin-left:70.9pt;margin-top:9.3pt;width:2in;height:.8pt;z-index:-250936832;mso-wrap-distance-left:0;mso-wrap-distance-right:0;mso-position-horizontal-relative:page" fillcolor="black" stroked="f">
            <w10:wrap type="topAndBottom" anchorx="page"/>
          </v:rect>
        </w:pict>
      </w:r>
    </w:p>
    <w:p w14:paraId="51DE881B" w14:textId="77777777" w:rsidR="0010369C" w:rsidRDefault="008E43AE">
      <w:pPr>
        <w:spacing w:before="110"/>
        <w:ind w:left="238"/>
        <w:rPr>
          <w:sz w:val="18"/>
        </w:rPr>
      </w:pPr>
      <w:r>
        <w:rPr>
          <w:sz w:val="18"/>
          <w:vertAlign w:val="superscript"/>
        </w:rPr>
        <w:t>376</w:t>
      </w:r>
      <w:r>
        <w:rPr>
          <w:spacing w:val="-9"/>
          <w:sz w:val="18"/>
        </w:rPr>
        <w:t xml:space="preserve"> </w:t>
      </w:r>
      <w:r>
        <w:rPr>
          <w:sz w:val="18"/>
        </w:rPr>
        <w:t>Anti‐Dumping</w:t>
      </w:r>
      <w:r>
        <w:rPr>
          <w:spacing w:val="-9"/>
          <w:sz w:val="18"/>
        </w:rPr>
        <w:t xml:space="preserve"> </w:t>
      </w:r>
      <w:r>
        <w:rPr>
          <w:sz w:val="18"/>
        </w:rPr>
        <w:t>Final</w:t>
      </w:r>
      <w:r>
        <w:rPr>
          <w:spacing w:val="-9"/>
          <w:sz w:val="18"/>
        </w:rPr>
        <w:t xml:space="preserve"> </w:t>
      </w:r>
      <w:r>
        <w:rPr>
          <w:sz w:val="18"/>
        </w:rPr>
        <w:t>Determination</w:t>
      </w:r>
      <w:r>
        <w:rPr>
          <w:spacing w:val="-8"/>
          <w:sz w:val="18"/>
        </w:rPr>
        <w:t xml:space="preserve"> </w:t>
      </w:r>
      <w:r>
        <w:rPr>
          <w:sz w:val="18"/>
        </w:rPr>
        <w:t>(Exhibit</w:t>
      </w:r>
      <w:r>
        <w:rPr>
          <w:spacing w:val="-9"/>
          <w:sz w:val="18"/>
        </w:rPr>
        <w:t xml:space="preserve"> </w:t>
      </w:r>
      <w:r>
        <w:rPr>
          <w:sz w:val="18"/>
        </w:rPr>
        <w:t>AUS‐2),</w:t>
      </w:r>
      <w:r>
        <w:rPr>
          <w:spacing w:val="-9"/>
          <w:sz w:val="18"/>
        </w:rPr>
        <w:t xml:space="preserve"> </w:t>
      </w:r>
      <w:r>
        <w:rPr>
          <w:sz w:val="18"/>
        </w:rPr>
        <w:t>p.</w:t>
      </w:r>
      <w:r>
        <w:rPr>
          <w:spacing w:val="-9"/>
          <w:sz w:val="18"/>
        </w:rPr>
        <w:t xml:space="preserve"> </w:t>
      </w:r>
      <w:r>
        <w:rPr>
          <w:spacing w:val="-5"/>
          <w:sz w:val="18"/>
        </w:rPr>
        <w:t>80.</w:t>
      </w:r>
    </w:p>
    <w:p w14:paraId="51DE881C" w14:textId="77777777" w:rsidR="0010369C" w:rsidRDefault="008E43AE">
      <w:pPr>
        <w:ind w:left="238"/>
        <w:rPr>
          <w:sz w:val="18"/>
        </w:rPr>
      </w:pPr>
      <w:r>
        <w:rPr>
          <w:sz w:val="18"/>
          <w:vertAlign w:val="superscript"/>
        </w:rPr>
        <w:t>377</w:t>
      </w:r>
      <w:r>
        <w:rPr>
          <w:spacing w:val="-9"/>
          <w:sz w:val="18"/>
        </w:rPr>
        <w:t xml:space="preserve"> </w:t>
      </w:r>
      <w:r>
        <w:rPr>
          <w:sz w:val="18"/>
        </w:rPr>
        <w:t>Anti‐Dumping</w:t>
      </w:r>
      <w:r>
        <w:rPr>
          <w:spacing w:val="-9"/>
          <w:sz w:val="18"/>
        </w:rPr>
        <w:t xml:space="preserve"> </w:t>
      </w:r>
      <w:r>
        <w:rPr>
          <w:sz w:val="18"/>
        </w:rPr>
        <w:t>Final</w:t>
      </w:r>
      <w:r>
        <w:rPr>
          <w:spacing w:val="-9"/>
          <w:sz w:val="18"/>
        </w:rPr>
        <w:t xml:space="preserve"> </w:t>
      </w:r>
      <w:r>
        <w:rPr>
          <w:sz w:val="18"/>
        </w:rPr>
        <w:t>Determination</w:t>
      </w:r>
      <w:r>
        <w:rPr>
          <w:spacing w:val="-8"/>
          <w:sz w:val="18"/>
        </w:rPr>
        <w:t xml:space="preserve"> </w:t>
      </w:r>
      <w:r>
        <w:rPr>
          <w:sz w:val="18"/>
        </w:rPr>
        <w:t>(Exhibit</w:t>
      </w:r>
      <w:r>
        <w:rPr>
          <w:spacing w:val="-9"/>
          <w:sz w:val="18"/>
        </w:rPr>
        <w:t xml:space="preserve"> </w:t>
      </w:r>
      <w:r>
        <w:rPr>
          <w:sz w:val="18"/>
        </w:rPr>
        <w:t>AUS‐2),</w:t>
      </w:r>
      <w:r>
        <w:rPr>
          <w:spacing w:val="-9"/>
          <w:sz w:val="18"/>
        </w:rPr>
        <w:t xml:space="preserve"> </w:t>
      </w:r>
      <w:r>
        <w:rPr>
          <w:sz w:val="18"/>
        </w:rPr>
        <w:t>p.</w:t>
      </w:r>
      <w:r>
        <w:rPr>
          <w:spacing w:val="-9"/>
          <w:sz w:val="18"/>
        </w:rPr>
        <w:t xml:space="preserve"> </w:t>
      </w:r>
      <w:r>
        <w:rPr>
          <w:spacing w:val="-5"/>
          <w:sz w:val="18"/>
        </w:rPr>
        <w:t>80.</w:t>
      </w:r>
    </w:p>
    <w:p w14:paraId="51DE881D" w14:textId="77777777" w:rsidR="0010369C" w:rsidRDefault="008E43AE">
      <w:pPr>
        <w:tabs>
          <w:tab w:val="left" w:pos="6648"/>
        </w:tabs>
        <w:ind w:left="238"/>
        <w:rPr>
          <w:sz w:val="18"/>
        </w:rPr>
      </w:pPr>
      <w:r>
        <w:pict w14:anchorId="51DEA21B">
          <v:shape id="docshape776" o:spid="_x0000_s1518" style="position:absolute;left:0;text-align:left;margin-left:69.9pt;margin-top:.35pt;width:320.55pt;height:23.05pt;z-index:-251322880;mso-position-horizontal-relative:page" coordorigin="1398,7" coordsize="6411,461" path="m7809,7l1743,7r,219l1398,226r,241l7633,467r,-219l7809,248r,-241xe" fillcolor="black" stroked="f">
            <v:path arrowok="t"/>
            <w10:wrap anchorx="page"/>
          </v:shape>
        </w:pict>
      </w:r>
      <w:r>
        <w:pict w14:anchorId="51DEA21C">
          <v:rect id="docshape777" o:spid="_x0000_s1517" style="position:absolute;left:0;text-align:left;margin-left:474.9pt;margin-top:.35pt;width:48.55pt;height:12.05pt;z-index:251837952;mso-position-horizontal-relative:page" fillcolor="black" stroked="f">
            <w10:wrap anchorx="page"/>
          </v:rect>
        </w:pict>
      </w:r>
      <w:r>
        <w:rPr>
          <w:sz w:val="18"/>
          <w:vertAlign w:val="superscript"/>
        </w:rPr>
        <w:t>378</w:t>
      </w:r>
      <w:r>
        <w:rPr>
          <w:spacing w:val="8"/>
          <w:sz w:val="18"/>
        </w:rPr>
        <w:t xml:space="preserve"> </w:t>
      </w:r>
      <w:r>
        <w:rPr>
          <w:spacing w:val="-5"/>
          <w:sz w:val="18"/>
        </w:rPr>
        <w:t>[[</w:t>
      </w:r>
      <w:r>
        <w:rPr>
          <w:sz w:val="18"/>
        </w:rPr>
        <w:tab/>
      </w:r>
      <w:r>
        <w:rPr>
          <w:color w:val="5E5E5E"/>
          <w:sz w:val="18"/>
        </w:rPr>
        <w:t>(Exhibit</w:t>
      </w:r>
      <w:r>
        <w:rPr>
          <w:color w:val="5E5E5E"/>
          <w:spacing w:val="-1"/>
          <w:sz w:val="18"/>
        </w:rPr>
        <w:t xml:space="preserve"> </w:t>
      </w:r>
      <w:r>
        <w:rPr>
          <w:color w:val="5E5E5E"/>
          <w:sz w:val="18"/>
        </w:rPr>
        <w:t>AUS‐29</w:t>
      </w:r>
      <w:r>
        <w:rPr>
          <w:color w:val="5E5E5E"/>
          <w:spacing w:val="-1"/>
          <w:sz w:val="18"/>
        </w:rPr>
        <w:t xml:space="preserve"> </w:t>
      </w:r>
      <w:r>
        <w:rPr>
          <w:color w:val="5E5E5E"/>
          <w:spacing w:val="-2"/>
          <w:sz w:val="18"/>
        </w:rPr>
        <w:t>(BCI)),</w:t>
      </w:r>
    </w:p>
    <w:p w14:paraId="51DE881E" w14:textId="77777777" w:rsidR="0010369C" w:rsidRDefault="008E43AE">
      <w:pPr>
        <w:ind w:left="6514"/>
        <w:rPr>
          <w:sz w:val="18"/>
        </w:rPr>
      </w:pPr>
      <w:r>
        <w:rPr>
          <w:color w:val="5E5E5E"/>
          <w:sz w:val="18"/>
        </w:rPr>
        <w:t>(Exhibit</w:t>
      </w:r>
      <w:r>
        <w:rPr>
          <w:color w:val="5E5E5E"/>
          <w:spacing w:val="-9"/>
          <w:sz w:val="18"/>
        </w:rPr>
        <w:t xml:space="preserve"> </w:t>
      </w:r>
      <w:r>
        <w:rPr>
          <w:color w:val="5E5E5E"/>
          <w:sz w:val="18"/>
        </w:rPr>
        <w:t>AUS‐33</w:t>
      </w:r>
      <w:r>
        <w:rPr>
          <w:color w:val="5E5E5E"/>
          <w:spacing w:val="-9"/>
          <w:sz w:val="18"/>
        </w:rPr>
        <w:t xml:space="preserve"> </w:t>
      </w:r>
      <w:r>
        <w:rPr>
          <w:color w:val="5E5E5E"/>
          <w:spacing w:val="-2"/>
          <w:sz w:val="18"/>
        </w:rPr>
        <w:t>(BCI)).</w:t>
      </w:r>
      <w:r>
        <w:rPr>
          <w:spacing w:val="-2"/>
          <w:sz w:val="18"/>
        </w:rPr>
        <w:t>]]</w:t>
      </w:r>
    </w:p>
    <w:p w14:paraId="51DE881F" w14:textId="77777777" w:rsidR="0010369C" w:rsidRDefault="0010369C">
      <w:pPr>
        <w:rPr>
          <w:sz w:val="18"/>
        </w:rPr>
        <w:sectPr w:rsidR="0010369C">
          <w:headerReference w:type="default" r:id="rId480"/>
          <w:footerReference w:type="default" r:id="rId481"/>
          <w:pgSz w:w="11910" w:h="16840"/>
          <w:pgMar w:top="560" w:right="800" w:bottom="980" w:left="1180" w:header="0" w:footer="788" w:gutter="0"/>
          <w:cols w:space="720"/>
        </w:sectPr>
      </w:pPr>
    </w:p>
    <w:p w14:paraId="51DE8820" w14:textId="77777777" w:rsidR="0010369C" w:rsidRDefault="008E43AE">
      <w:pPr>
        <w:tabs>
          <w:tab w:val="left" w:pos="6426"/>
        </w:tabs>
        <w:ind w:left="238"/>
        <w:rPr>
          <w:sz w:val="20"/>
        </w:rPr>
      </w:pPr>
      <w:r>
        <w:rPr>
          <w:i/>
          <w:sz w:val="20"/>
        </w:rPr>
        <w:lastRenderedPageBreak/>
        <w:t>China</w:t>
      </w:r>
      <w:r>
        <w:rPr>
          <w:i/>
          <w:spacing w:val="-5"/>
          <w:sz w:val="20"/>
        </w:rPr>
        <w:t xml:space="preserve"> </w:t>
      </w:r>
      <w:r>
        <w:rPr>
          <w:i/>
          <w:sz w:val="20"/>
        </w:rPr>
        <w:t>–</w:t>
      </w:r>
      <w:r>
        <w:rPr>
          <w:i/>
          <w:spacing w:val="-5"/>
          <w:sz w:val="20"/>
        </w:rPr>
        <w:t xml:space="preserve"> </w:t>
      </w:r>
      <w:r>
        <w:rPr>
          <w:i/>
          <w:sz w:val="20"/>
        </w:rPr>
        <w:t>Anti‐Dumping</w:t>
      </w:r>
      <w:r>
        <w:rPr>
          <w:i/>
          <w:spacing w:val="-4"/>
          <w:sz w:val="20"/>
        </w:rPr>
        <w:t xml:space="preserve"> </w:t>
      </w:r>
      <w:r>
        <w:rPr>
          <w:i/>
          <w:sz w:val="20"/>
        </w:rPr>
        <w:t>and</w:t>
      </w:r>
      <w:r>
        <w:rPr>
          <w:i/>
          <w:spacing w:val="-5"/>
          <w:sz w:val="20"/>
        </w:rPr>
        <w:t xml:space="preserve"> </w:t>
      </w:r>
      <w:r>
        <w:rPr>
          <w:i/>
          <w:sz w:val="20"/>
        </w:rPr>
        <w:t>Countervailing</w:t>
      </w:r>
      <w:r>
        <w:rPr>
          <w:i/>
          <w:spacing w:val="-5"/>
          <w:sz w:val="20"/>
        </w:rPr>
        <w:t xml:space="preserve"> </w:t>
      </w:r>
      <w:r>
        <w:rPr>
          <w:i/>
          <w:sz w:val="20"/>
        </w:rPr>
        <w:t>Duty</w:t>
      </w:r>
      <w:r>
        <w:rPr>
          <w:i/>
          <w:spacing w:val="-4"/>
          <w:sz w:val="20"/>
        </w:rPr>
        <w:t xml:space="preserve"> </w:t>
      </w:r>
      <w:r>
        <w:rPr>
          <w:i/>
          <w:spacing w:val="-2"/>
          <w:sz w:val="20"/>
        </w:rPr>
        <w:t>Measures</w:t>
      </w:r>
      <w:r>
        <w:rPr>
          <w:i/>
          <w:sz w:val="20"/>
        </w:rPr>
        <w:tab/>
      </w:r>
      <w:r>
        <w:rPr>
          <w:sz w:val="20"/>
        </w:rPr>
        <w:t>Australia's</w:t>
      </w:r>
      <w:r>
        <w:rPr>
          <w:spacing w:val="-7"/>
          <w:sz w:val="20"/>
        </w:rPr>
        <w:t xml:space="preserve"> </w:t>
      </w:r>
      <w:r>
        <w:rPr>
          <w:sz w:val="20"/>
        </w:rPr>
        <w:t>First</w:t>
      </w:r>
      <w:r>
        <w:rPr>
          <w:spacing w:val="-2"/>
          <w:sz w:val="20"/>
        </w:rPr>
        <w:t xml:space="preserve"> </w:t>
      </w:r>
      <w:r>
        <w:rPr>
          <w:sz w:val="20"/>
        </w:rPr>
        <w:t>Written</w:t>
      </w:r>
      <w:r>
        <w:rPr>
          <w:spacing w:val="-2"/>
          <w:sz w:val="20"/>
        </w:rPr>
        <w:t xml:space="preserve"> Submission</w:t>
      </w:r>
    </w:p>
    <w:p w14:paraId="51DE8821" w14:textId="77777777" w:rsidR="0010369C" w:rsidRDefault="008E43AE">
      <w:pPr>
        <w:tabs>
          <w:tab w:val="left" w:pos="8228"/>
        </w:tabs>
        <w:spacing w:before="1"/>
        <w:ind w:left="239"/>
        <w:rPr>
          <w:sz w:val="20"/>
        </w:rPr>
      </w:pPr>
      <w:r>
        <w:rPr>
          <w:i/>
          <w:sz w:val="20"/>
        </w:rPr>
        <w:t>on</w:t>
      </w:r>
      <w:r>
        <w:rPr>
          <w:i/>
          <w:spacing w:val="-1"/>
          <w:sz w:val="20"/>
        </w:rPr>
        <w:t xml:space="preserve"> </w:t>
      </w:r>
      <w:r>
        <w:rPr>
          <w:i/>
          <w:sz w:val="20"/>
        </w:rPr>
        <w:t>Wine</w:t>
      </w:r>
      <w:r>
        <w:rPr>
          <w:i/>
          <w:spacing w:val="-1"/>
          <w:sz w:val="20"/>
        </w:rPr>
        <w:t xml:space="preserve"> </w:t>
      </w:r>
      <w:r>
        <w:rPr>
          <w:i/>
          <w:sz w:val="20"/>
        </w:rPr>
        <w:t>from</w:t>
      </w:r>
      <w:r>
        <w:rPr>
          <w:i/>
          <w:spacing w:val="-3"/>
          <w:sz w:val="20"/>
        </w:rPr>
        <w:t xml:space="preserve"> </w:t>
      </w:r>
      <w:r>
        <w:rPr>
          <w:i/>
          <w:sz w:val="20"/>
        </w:rPr>
        <w:t>Australia</w:t>
      </w:r>
      <w:r>
        <w:rPr>
          <w:i/>
          <w:spacing w:val="-1"/>
          <w:sz w:val="20"/>
        </w:rPr>
        <w:t xml:space="preserve"> </w:t>
      </w:r>
      <w:r>
        <w:rPr>
          <w:spacing w:val="-2"/>
          <w:sz w:val="20"/>
        </w:rPr>
        <w:t>(DS602)</w:t>
      </w:r>
      <w:r>
        <w:rPr>
          <w:sz w:val="20"/>
        </w:rPr>
        <w:tab/>
        <w:t>29</w:t>
      </w:r>
      <w:r>
        <w:rPr>
          <w:spacing w:val="-1"/>
          <w:sz w:val="20"/>
        </w:rPr>
        <w:t xml:space="preserve"> </w:t>
      </w:r>
      <w:r>
        <w:rPr>
          <w:sz w:val="20"/>
        </w:rPr>
        <w:t>April</w:t>
      </w:r>
      <w:r>
        <w:rPr>
          <w:spacing w:val="-2"/>
          <w:sz w:val="20"/>
        </w:rPr>
        <w:t xml:space="preserve"> </w:t>
      </w:r>
      <w:r>
        <w:rPr>
          <w:spacing w:val="-4"/>
          <w:sz w:val="20"/>
        </w:rPr>
        <w:t>2022</w:t>
      </w:r>
    </w:p>
    <w:p w14:paraId="51DE8822" w14:textId="77777777" w:rsidR="0010369C" w:rsidRDefault="008E43AE">
      <w:pPr>
        <w:pStyle w:val="ListParagraph"/>
        <w:numPr>
          <w:ilvl w:val="4"/>
          <w:numId w:val="75"/>
        </w:numPr>
        <w:tabs>
          <w:tab w:val="left" w:pos="4493"/>
          <w:tab w:val="left" w:pos="4494"/>
        </w:tabs>
        <w:spacing w:before="34" w:line="360" w:lineRule="auto"/>
        <w:ind w:right="613"/>
        <w:rPr>
          <w:i/>
          <w:sz w:val="24"/>
        </w:rPr>
      </w:pPr>
      <w:r>
        <w:rPr>
          <w:i/>
          <w:sz w:val="24"/>
        </w:rPr>
        <w:t>Form 6‐4 Production Cost Details of the Product</w:t>
      </w:r>
      <w:r>
        <w:rPr>
          <w:i/>
          <w:sz w:val="24"/>
        </w:rPr>
        <w:t xml:space="preserve"> Under Investigation and the Like Product</w:t>
      </w:r>
    </w:p>
    <w:p w14:paraId="51DE8823" w14:textId="77777777" w:rsidR="0010369C" w:rsidRDefault="0010369C">
      <w:pPr>
        <w:pStyle w:val="BodyText"/>
        <w:spacing w:before="10"/>
        <w:rPr>
          <w:i/>
          <w:sz w:val="8"/>
        </w:rPr>
      </w:pPr>
    </w:p>
    <w:p w14:paraId="51DE8824" w14:textId="77777777" w:rsidR="0010369C" w:rsidRDefault="008E43AE">
      <w:pPr>
        <w:pStyle w:val="BodyText"/>
        <w:spacing w:before="52" w:line="360" w:lineRule="auto"/>
        <w:ind w:left="238" w:right="615" w:firstLine="851"/>
        <w:jc w:val="both"/>
      </w:pPr>
      <w:r>
        <w:rPr>
          <w:noProof/>
        </w:rPr>
        <w:drawing>
          <wp:anchor distT="0" distB="0" distL="0" distR="0" simplePos="0" relativeHeight="250997248" behindDoc="1" locked="0" layoutInCell="1" allowOverlap="1" wp14:anchorId="51DEA21D" wp14:editId="51DEA21E">
            <wp:simplePos x="0" y="0"/>
            <wp:positionH relativeFrom="page">
              <wp:posOffset>905255</wp:posOffset>
            </wp:positionH>
            <wp:positionV relativeFrom="paragraph">
              <wp:posOffset>76785</wp:posOffset>
            </wp:positionV>
            <wp:extent cx="259079" cy="106679"/>
            <wp:effectExtent l="0" t="0" r="0" b="0"/>
            <wp:wrapNone/>
            <wp:docPr id="695" name="image3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 name="image358.png"/>
                    <pic:cNvPicPr/>
                  </pic:nvPicPr>
                  <pic:blipFill>
                    <a:blip r:embed="rId482" cstate="print"/>
                    <a:stretch>
                      <a:fillRect/>
                    </a:stretch>
                  </pic:blipFill>
                  <pic:spPr>
                    <a:xfrm>
                      <a:off x="0" y="0"/>
                      <a:ext cx="259079" cy="106679"/>
                    </a:xfrm>
                    <a:prstGeom prst="rect">
                      <a:avLst/>
                    </a:prstGeom>
                  </pic:spPr>
                </pic:pic>
              </a:graphicData>
            </a:graphic>
          </wp:anchor>
        </w:drawing>
      </w:r>
      <w:r>
        <w:t>In the Final Determination MOFCOM upheld its findings in the Preliminary Determination relating to Form 6‐4 ("Product Costs and Related Expenses")</w:t>
      </w:r>
      <w:r>
        <w:rPr>
          <w:vertAlign w:val="superscript"/>
        </w:rPr>
        <w:t>379</w:t>
      </w:r>
      <w:r>
        <w:t xml:space="preserve"> submitted by Casella Wines. These findings were to the effect </w:t>
      </w:r>
      <w:r>
        <w:t>that:</w:t>
      </w:r>
    </w:p>
    <w:p w14:paraId="51DE8825" w14:textId="77777777" w:rsidR="0010369C" w:rsidRDefault="008E43AE">
      <w:pPr>
        <w:pStyle w:val="ListParagraph"/>
        <w:numPr>
          <w:ilvl w:val="0"/>
          <w:numId w:val="9"/>
        </w:numPr>
        <w:tabs>
          <w:tab w:val="left" w:pos="1939"/>
          <w:tab w:val="left" w:pos="1940"/>
        </w:tabs>
        <w:spacing w:before="160" w:line="357" w:lineRule="auto"/>
        <w:ind w:right="613"/>
        <w:rPr>
          <w:sz w:val="24"/>
        </w:rPr>
      </w:pPr>
      <w:r>
        <w:rPr>
          <w:sz w:val="24"/>
        </w:rPr>
        <w:t>"the</w:t>
      </w:r>
      <w:r>
        <w:rPr>
          <w:spacing w:val="-11"/>
          <w:sz w:val="24"/>
        </w:rPr>
        <w:t xml:space="preserve"> </w:t>
      </w:r>
      <w:r>
        <w:rPr>
          <w:sz w:val="24"/>
        </w:rPr>
        <w:t>Investigating</w:t>
      </w:r>
      <w:r>
        <w:rPr>
          <w:spacing w:val="-11"/>
          <w:sz w:val="24"/>
        </w:rPr>
        <w:t xml:space="preserve"> </w:t>
      </w:r>
      <w:r>
        <w:rPr>
          <w:sz w:val="24"/>
        </w:rPr>
        <w:t>Authority</w:t>
      </w:r>
      <w:r>
        <w:rPr>
          <w:spacing w:val="-11"/>
          <w:sz w:val="24"/>
        </w:rPr>
        <w:t xml:space="preserve"> </w:t>
      </w:r>
      <w:r>
        <w:rPr>
          <w:sz w:val="24"/>
        </w:rPr>
        <w:t>found</w:t>
      </w:r>
      <w:r>
        <w:rPr>
          <w:spacing w:val="-11"/>
          <w:sz w:val="24"/>
        </w:rPr>
        <w:t xml:space="preserve"> </w:t>
      </w:r>
      <w:r>
        <w:rPr>
          <w:sz w:val="24"/>
        </w:rPr>
        <w:t>that</w:t>
      </w:r>
      <w:r>
        <w:rPr>
          <w:spacing w:val="-11"/>
          <w:sz w:val="24"/>
        </w:rPr>
        <w:t xml:space="preserve"> </w:t>
      </w:r>
      <w:r>
        <w:rPr>
          <w:sz w:val="24"/>
        </w:rPr>
        <w:t>the</w:t>
      </w:r>
      <w:r>
        <w:rPr>
          <w:spacing w:val="-10"/>
          <w:sz w:val="24"/>
        </w:rPr>
        <w:t xml:space="preserve"> </w:t>
      </w:r>
      <w:r>
        <w:rPr>
          <w:sz w:val="24"/>
        </w:rPr>
        <w:t>Company</w:t>
      </w:r>
      <w:r>
        <w:rPr>
          <w:spacing w:val="-10"/>
          <w:sz w:val="24"/>
        </w:rPr>
        <w:t xml:space="preserve"> </w:t>
      </w:r>
      <w:r>
        <w:rPr>
          <w:sz w:val="24"/>
        </w:rPr>
        <w:t>failed</w:t>
      </w:r>
      <w:r>
        <w:rPr>
          <w:spacing w:val="-11"/>
          <w:sz w:val="24"/>
        </w:rPr>
        <w:t xml:space="preserve"> </w:t>
      </w:r>
      <w:r>
        <w:rPr>
          <w:sz w:val="24"/>
        </w:rPr>
        <w:t>to</w:t>
      </w:r>
      <w:r>
        <w:rPr>
          <w:spacing w:val="-12"/>
          <w:sz w:val="24"/>
        </w:rPr>
        <w:t xml:space="preserve"> </w:t>
      </w:r>
      <w:r>
        <w:rPr>
          <w:sz w:val="24"/>
        </w:rPr>
        <w:t>fill</w:t>
      </w:r>
      <w:r>
        <w:rPr>
          <w:spacing w:val="-11"/>
          <w:sz w:val="24"/>
        </w:rPr>
        <w:t xml:space="preserve"> </w:t>
      </w:r>
      <w:r>
        <w:rPr>
          <w:sz w:val="24"/>
        </w:rPr>
        <w:t>in</w:t>
      </w:r>
      <w:r>
        <w:rPr>
          <w:spacing w:val="-11"/>
          <w:sz w:val="24"/>
        </w:rPr>
        <w:t xml:space="preserve"> </w:t>
      </w:r>
      <w:r>
        <w:rPr>
          <w:sz w:val="24"/>
        </w:rPr>
        <w:t>the</w:t>
      </w:r>
      <w:r>
        <w:rPr>
          <w:spacing w:val="-10"/>
          <w:sz w:val="24"/>
        </w:rPr>
        <w:t xml:space="preserve"> </w:t>
      </w:r>
      <w:r>
        <w:rPr>
          <w:sz w:val="24"/>
        </w:rPr>
        <w:t>costs for</w:t>
      </w:r>
      <w:r>
        <w:rPr>
          <w:spacing w:val="-8"/>
          <w:sz w:val="24"/>
        </w:rPr>
        <w:t xml:space="preserve"> </w:t>
      </w:r>
      <w:r>
        <w:rPr>
          <w:sz w:val="24"/>
        </w:rPr>
        <w:t>bulk</w:t>
      </w:r>
      <w:r>
        <w:rPr>
          <w:spacing w:val="-8"/>
          <w:sz w:val="24"/>
        </w:rPr>
        <w:t xml:space="preserve"> </w:t>
      </w:r>
      <w:r>
        <w:rPr>
          <w:sz w:val="24"/>
        </w:rPr>
        <w:t>wine,</w:t>
      </w:r>
      <w:r>
        <w:rPr>
          <w:spacing w:val="-9"/>
          <w:sz w:val="24"/>
        </w:rPr>
        <w:t xml:space="preserve"> </w:t>
      </w:r>
      <w:r>
        <w:rPr>
          <w:sz w:val="24"/>
        </w:rPr>
        <w:t>one</w:t>
      </w:r>
      <w:r>
        <w:rPr>
          <w:spacing w:val="-8"/>
          <w:sz w:val="24"/>
        </w:rPr>
        <w:t xml:space="preserve"> </w:t>
      </w:r>
      <w:r>
        <w:rPr>
          <w:sz w:val="24"/>
        </w:rPr>
        <w:t>of</w:t>
      </w:r>
      <w:r>
        <w:rPr>
          <w:spacing w:val="-9"/>
          <w:sz w:val="24"/>
        </w:rPr>
        <w:t xml:space="preserve"> </w:t>
      </w:r>
      <w:r>
        <w:rPr>
          <w:sz w:val="24"/>
        </w:rPr>
        <w:t>the</w:t>
      </w:r>
      <w:r>
        <w:rPr>
          <w:spacing w:val="-9"/>
          <w:sz w:val="24"/>
        </w:rPr>
        <w:t xml:space="preserve"> </w:t>
      </w:r>
      <w:r>
        <w:rPr>
          <w:sz w:val="24"/>
        </w:rPr>
        <w:t>major</w:t>
      </w:r>
      <w:r>
        <w:rPr>
          <w:spacing w:val="-9"/>
          <w:sz w:val="24"/>
        </w:rPr>
        <w:t xml:space="preserve"> </w:t>
      </w:r>
      <w:r>
        <w:rPr>
          <w:sz w:val="24"/>
        </w:rPr>
        <w:t>raw</w:t>
      </w:r>
      <w:r>
        <w:rPr>
          <w:spacing w:val="-10"/>
          <w:sz w:val="24"/>
        </w:rPr>
        <w:t xml:space="preserve"> </w:t>
      </w:r>
      <w:r>
        <w:rPr>
          <w:sz w:val="24"/>
        </w:rPr>
        <w:t>materials,</w:t>
      </w:r>
      <w:r>
        <w:rPr>
          <w:spacing w:val="-8"/>
          <w:sz w:val="24"/>
        </w:rPr>
        <w:t xml:space="preserve"> </w:t>
      </w:r>
      <w:r>
        <w:rPr>
          <w:sz w:val="24"/>
        </w:rPr>
        <w:t>in</w:t>
      </w:r>
      <w:r>
        <w:rPr>
          <w:spacing w:val="-9"/>
          <w:sz w:val="24"/>
        </w:rPr>
        <w:t xml:space="preserve"> </w:t>
      </w:r>
      <w:r>
        <w:rPr>
          <w:sz w:val="24"/>
        </w:rPr>
        <w:t>the</w:t>
      </w:r>
      <w:r>
        <w:rPr>
          <w:spacing w:val="-8"/>
          <w:sz w:val="24"/>
        </w:rPr>
        <w:t xml:space="preserve"> </w:t>
      </w:r>
      <w:r>
        <w:rPr>
          <w:sz w:val="24"/>
        </w:rPr>
        <w:t>cost</w:t>
      </w:r>
      <w:r>
        <w:rPr>
          <w:spacing w:val="-8"/>
          <w:sz w:val="24"/>
        </w:rPr>
        <w:t xml:space="preserve"> </w:t>
      </w:r>
      <w:r>
        <w:rPr>
          <w:sz w:val="24"/>
        </w:rPr>
        <w:t>details</w:t>
      </w:r>
      <w:r>
        <w:rPr>
          <w:spacing w:val="-8"/>
          <w:sz w:val="24"/>
        </w:rPr>
        <w:t xml:space="preserve"> </w:t>
      </w:r>
      <w:r>
        <w:rPr>
          <w:sz w:val="24"/>
        </w:rPr>
        <w:t>for</w:t>
      </w:r>
      <w:r>
        <w:rPr>
          <w:spacing w:val="-8"/>
          <w:sz w:val="24"/>
        </w:rPr>
        <w:t xml:space="preserve"> </w:t>
      </w:r>
      <w:r>
        <w:rPr>
          <w:sz w:val="24"/>
        </w:rPr>
        <w:t>multiple types";</w:t>
      </w:r>
      <w:r>
        <w:rPr>
          <w:sz w:val="24"/>
          <w:vertAlign w:val="superscript"/>
        </w:rPr>
        <w:t>380</w:t>
      </w:r>
      <w:r>
        <w:rPr>
          <w:sz w:val="24"/>
        </w:rPr>
        <w:t xml:space="preserve"> and</w:t>
      </w:r>
    </w:p>
    <w:p w14:paraId="51DE8826" w14:textId="77777777" w:rsidR="0010369C" w:rsidRDefault="008E43AE">
      <w:pPr>
        <w:pStyle w:val="ListParagraph"/>
        <w:numPr>
          <w:ilvl w:val="0"/>
          <w:numId w:val="9"/>
        </w:numPr>
        <w:tabs>
          <w:tab w:val="left" w:pos="1940"/>
          <w:tab w:val="left" w:pos="1941"/>
        </w:tabs>
        <w:spacing w:before="129" w:line="357" w:lineRule="auto"/>
        <w:ind w:right="613"/>
        <w:rPr>
          <w:sz w:val="24"/>
        </w:rPr>
      </w:pPr>
      <w:r>
        <w:rPr>
          <w:sz w:val="24"/>
        </w:rPr>
        <w:t>"some product control codes were not reported in the sheet (shown as #N/A),</w:t>
      </w:r>
      <w:r>
        <w:rPr>
          <w:spacing w:val="-13"/>
          <w:sz w:val="24"/>
        </w:rPr>
        <w:t xml:space="preserve"> </w:t>
      </w:r>
      <w:r>
        <w:rPr>
          <w:sz w:val="24"/>
        </w:rPr>
        <w:t>making</w:t>
      </w:r>
      <w:r>
        <w:rPr>
          <w:spacing w:val="-13"/>
          <w:sz w:val="24"/>
        </w:rPr>
        <w:t xml:space="preserve"> </w:t>
      </w:r>
      <w:r>
        <w:rPr>
          <w:sz w:val="24"/>
        </w:rPr>
        <w:t>it</w:t>
      </w:r>
      <w:r>
        <w:rPr>
          <w:spacing w:val="-13"/>
          <w:sz w:val="24"/>
        </w:rPr>
        <w:t xml:space="preserve"> </w:t>
      </w:r>
      <w:r>
        <w:rPr>
          <w:sz w:val="24"/>
        </w:rPr>
        <w:t>impossible</w:t>
      </w:r>
      <w:r>
        <w:rPr>
          <w:spacing w:val="-11"/>
          <w:sz w:val="24"/>
        </w:rPr>
        <w:t xml:space="preserve"> </w:t>
      </w:r>
      <w:r>
        <w:rPr>
          <w:sz w:val="24"/>
        </w:rPr>
        <w:t>for</w:t>
      </w:r>
      <w:r>
        <w:rPr>
          <w:spacing w:val="-13"/>
          <w:sz w:val="24"/>
        </w:rPr>
        <w:t xml:space="preserve"> </w:t>
      </w:r>
      <w:r>
        <w:rPr>
          <w:sz w:val="24"/>
        </w:rPr>
        <w:t>the</w:t>
      </w:r>
      <w:r>
        <w:rPr>
          <w:spacing w:val="-13"/>
          <w:sz w:val="24"/>
        </w:rPr>
        <w:t xml:space="preserve"> </w:t>
      </w:r>
      <w:r>
        <w:rPr>
          <w:sz w:val="24"/>
        </w:rPr>
        <w:t>Investigating</w:t>
      </w:r>
      <w:r>
        <w:rPr>
          <w:spacing w:val="-14"/>
          <w:sz w:val="24"/>
        </w:rPr>
        <w:t xml:space="preserve"> </w:t>
      </w:r>
      <w:r>
        <w:rPr>
          <w:sz w:val="24"/>
        </w:rPr>
        <w:t>Authority</w:t>
      </w:r>
      <w:r>
        <w:rPr>
          <w:spacing w:val="-12"/>
          <w:sz w:val="24"/>
        </w:rPr>
        <w:t xml:space="preserve"> </w:t>
      </w:r>
      <w:r>
        <w:rPr>
          <w:sz w:val="24"/>
        </w:rPr>
        <w:t>to</w:t>
      </w:r>
      <w:r>
        <w:rPr>
          <w:spacing w:val="-14"/>
          <w:sz w:val="24"/>
        </w:rPr>
        <w:t xml:space="preserve"> </w:t>
      </w:r>
      <w:r>
        <w:rPr>
          <w:sz w:val="24"/>
        </w:rPr>
        <w:t>compare</w:t>
      </w:r>
      <w:r>
        <w:rPr>
          <w:spacing w:val="-12"/>
          <w:sz w:val="24"/>
        </w:rPr>
        <w:t xml:space="preserve"> </w:t>
      </w:r>
      <w:r>
        <w:rPr>
          <w:sz w:val="24"/>
        </w:rPr>
        <w:t xml:space="preserve">these </w:t>
      </w:r>
      <w:r>
        <w:rPr>
          <w:spacing w:val="-2"/>
          <w:sz w:val="24"/>
        </w:rPr>
        <w:t>data".</w:t>
      </w:r>
      <w:r>
        <w:rPr>
          <w:spacing w:val="-2"/>
          <w:sz w:val="24"/>
          <w:vertAlign w:val="superscript"/>
        </w:rPr>
        <w:t>381</w:t>
      </w:r>
    </w:p>
    <w:p w14:paraId="51DE8827" w14:textId="77777777" w:rsidR="0010369C" w:rsidRDefault="008E43AE">
      <w:pPr>
        <w:pStyle w:val="BodyText"/>
        <w:spacing w:before="129"/>
        <w:ind w:left="1089"/>
      </w:pPr>
      <w:r>
        <w:rPr>
          <w:noProof/>
        </w:rPr>
        <w:drawing>
          <wp:anchor distT="0" distB="0" distL="0" distR="0" simplePos="0" relativeHeight="250659328" behindDoc="0" locked="0" layoutInCell="1" allowOverlap="1" wp14:anchorId="51DEA21F" wp14:editId="51DEA220">
            <wp:simplePos x="0" y="0"/>
            <wp:positionH relativeFrom="page">
              <wp:posOffset>905255</wp:posOffset>
            </wp:positionH>
            <wp:positionV relativeFrom="paragraph">
              <wp:posOffset>125680</wp:posOffset>
            </wp:positionV>
            <wp:extent cx="259079" cy="106679"/>
            <wp:effectExtent l="0" t="0" r="0" b="0"/>
            <wp:wrapNone/>
            <wp:docPr id="697" name="image3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 name="image359.png"/>
                    <pic:cNvPicPr/>
                  </pic:nvPicPr>
                  <pic:blipFill>
                    <a:blip r:embed="rId483" cstate="print"/>
                    <a:stretch>
                      <a:fillRect/>
                    </a:stretch>
                  </pic:blipFill>
                  <pic:spPr>
                    <a:xfrm>
                      <a:off x="0" y="0"/>
                      <a:ext cx="259079" cy="106679"/>
                    </a:xfrm>
                    <a:prstGeom prst="rect">
                      <a:avLst/>
                    </a:prstGeom>
                  </pic:spPr>
                </pic:pic>
              </a:graphicData>
            </a:graphic>
          </wp:anchor>
        </w:drawing>
      </w:r>
      <w:r>
        <w:t>Each</w:t>
      </w:r>
      <w:r>
        <w:rPr>
          <w:spacing w:val="-8"/>
        </w:rPr>
        <w:t xml:space="preserve"> </w:t>
      </w:r>
      <w:r>
        <w:t>of</w:t>
      </w:r>
      <w:r>
        <w:rPr>
          <w:spacing w:val="-8"/>
        </w:rPr>
        <w:t xml:space="preserve"> </w:t>
      </w:r>
      <w:r>
        <w:t>these</w:t>
      </w:r>
      <w:r>
        <w:rPr>
          <w:spacing w:val="-7"/>
        </w:rPr>
        <w:t xml:space="preserve"> </w:t>
      </w:r>
      <w:r>
        <w:t>findings</w:t>
      </w:r>
      <w:r>
        <w:rPr>
          <w:spacing w:val="-8"/>
        </w:rPr>
        <w:t xml:space="preserve"> </w:t>
      </w:r>
      <w:r>
        <w:t>was</w:t>
      </w:r>
      <w:r>
        <w:rPr>
          <w:spacing w:val="-8"/>
        </w:rPr>
        <w:t xml:space="preserve"> </w:t>
      </w:r>
      <w:r>
        <w:t>in</w:t>
      </w:r>
      <w:r>
        <w:rPr>
          <w:spacing w:val="-8"/>
        </w:rPr>
        <w:t xml:space="preserve"> </w:t>
      </w:r>
      <w:r>
        <w:t>error.</w:t>
      </w:r>
      <w:r>
        <w:rPr>
          <w:spacing w:val="-7"/>
        </w:rPr>
        <w:t xml:space="preserve"> </w:t>
      </w:r>
      <w:r>
        <w:t>They</w:t>
      </w:r>
      <w:r>
        <w:rPr>
          <w:spacing w:val="-8"/>
        </w:rPr>
        <w:t xml:space="preserve"> </w:t>
      </w:r>
      <w:r>
        <w:t>are</w:t>
      </w:r>
      <w:r>
        <w:rPr>
          <w:spacing w:val="-7"/>
        </w:rPr>
        <w:t xml:space="preserve"> </w:t>
      </w:r>
      <w:r>
        <w:t>discussed</w:t>
      </w:r>
      <w:r>
        <w:rPr>
          <w:spacing w:val="-7"/>
        </w:rPr>
        <w:t xml:space="preserve"> </w:t>
      </w:r>
      <w:r>
        <w:t>separately</w:t>
      </w:r>
      <w:r>
        <w:rPr>
          <w:spacing w:val="-7"/>
        </w:rPr>
        <w:t xml:space="preserve"> </w:t>
      </w:r>
      <w:r>
        <w:rPr>
          <w:spacing w:val="-2"/>
        </w:rPr>
        <w:t>below.</w:t>
      </w:r>
    </w:p>
    <w:p w14:paraId="51DE8828" w14:textId="77777777" w:rsidR="0010369C" w:rsidRDefault="0010369C">
      <w:pPr>
        <w:pStyle w:val="BodyText"/>
        <w:spacing w:before="12"/>
      </w:pPr>
    </w:p>
    <w:p w14:paraId="51DE8829" w14:textId="77777777" w:rsidR="0010369C" w:rsidRDefault="008E43AE">
      <w:pPr>
        <w:pStyle w:val="ListParagraph"/>
        <w:numPr>
          <w:ilvl w:val="5"/>
          <w:numId w:val="75"/>
        </w:numPr>
        <w:tabs>
          <w:tab w:val="left" w:pos="5340"/>
          <w:tab w:val="left" w:pos="5341"/>
        </w:tabs>
        <w:spacing w:before="0" w:line="362" w:lineRule="auto"/>
        <w:ind w:right="614" w:hanging="848"/>
        <w:rPr>
          <w:sz w:val="24"/>
        </w:rPr>
      </w:pPr>
      <w:r>
        <w:rPr>
          <w:sz w:val="24"/>
          <w:u w:val="single"/>
        </w:rPr>
        <w:t>The purported failure to</w:t>
      </w:r>
      <w:r>
        <w:rPr>
          <w:sz w:val="24"/>
          <w:u w:val="single"/>
        </w:rPr>
        <w:t xml:space="preserve"> fill in the costs</w:t>
      </w:r>
      <w:r>
        <w:rPr>
          <w:sz w:val="24"/>
        </w:rPr>
        <w:t xml:space="preserve"> </w:t>
      </w:r>
      <w:r>
        <w:rPr>
          <w:sz w:val="24"/>
          <w:u w:val="single"/>
        </w:rPr>
        <w:t>for bulk wine</w:t>
      </w:r>
    </w:p>
    <w:p w14:paraId="51DE882A" w14:textId="77777777" w:rsidR="0010369C" w:rsidRDefault="0010369C">
      <w:pPr>
        <w:pStyle w:val="BodyText"/>
        <w:spacing w:before="5"/>
        <w:rPr>
          <w:sz w:val="8"/>
        </w:rPr>
      </w:pPr>
    </w:p>
    <w:p w14:paraId="51DE882B" w14:textId="77777777" w:rsidR="0010369C" w:rsidRDefault="008E43AE">
      <w:pPr>
        <w:pStyle w:val="BodyText"/>
        <w:spacing w:before="51" w:line="360" w:lineRule="auto"/>
        <w:ind w:left="237" w:right="612" w:firstLine="851"/>
        <w:jc w:val="both"/>
      </w:pPr>
      <w:r>
        <w:rPr>
          <w:noProof/>
        </w:rPr>
        <w:drawing>
          <wp:anchor distT="0" distB="0" distL="0" distR="0" simplePos="0" relativeHeight="250998272" behindDoc="1" locked="0" layoutInCell="1" allowOverlap="1" wp14:anchorId="51DEA221" wp14:editId="51DEA222">
            <wp:simplePos x="0" y="0"/>
            <wp:positionH relativeFrom="page">
              <wp:posOffset>905255</wp:posOffset>
            </wp:positionH>
            <wp:positionV relativeFrom="paragraph">
              <wp:posOffset>76150</wp:posOffset>
            </wp:positionV>
            <wp:extent cx="259079" cy="106679"/>
            <wp:effectExtent l="0" t="0" r="0" b="0"/>
            <wp:wrapNone/>
            <wp:docPr id="699" name="image3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 name="image360.png"/>
                    <pic:cNvPicPr/>
                  </pic:nvPicPr>
                  <pic:blipFill>
                    <a:blip r:embed="rId484" cstate="print"/>
                    <a:stretch>
                      <a:fillRect/>
                    </a:stretch>
                  </pic:blipFill>
                  <pic:spPr>
                    <a:xfrm>
                      <a:off x="0" y="0"/>
                      <a:ext cx="259079" cy="106679"/>
                    </a:xfrm>
                    <a:prstGeom prst="rect">
                      <a:avLst/>
                    </a:prstGeom>
                  </pic:spPr>
                </pic:pic>
              </a:graphicData>
            </a:graphic>
          </wp:anchor>
        </w:drawing>
      </w:r>
      <w:r>
        <w:t>MOFCOM's allegation that costs data for bulk wine were not filled in for certain product types was underpinned by an assumption made by MOFCOM, without a factual or evidentiary</w:t>
      </w:r>
      <w:r>
        <w:rPr>
          <w:spacing w:val="-8"/>
        </w:rPr>
        <w:t xml:space="preserve"> </w:t>
      </w:r>
      <w:r>
        <w:t>basis,</w:t>
      </w:r>
      <w:r>
        <w:rPr>
          <w:spacing w:val="-6"/>
        </w:rPr>
        <w:t xml:space="preserve"> </w:t>
      </w:r>
      <w:r>
        <w:t>that</w:t>
      </w:r>
      <w:r>
        <w:rPr>
          <w:spacing w:val="-6"/>
        </w:rPr>
        <w:t xml:space="preserve"> </w:t>
      </w:r>
      <w:r>
        <w:t>every</w:t>
      </w:r>
      <w:r>
        <w:rPr>
          <w:spacing w:val="-6"/>
        </w:rPr>
        <w:t xml:space="preserve"> </w:t>
      </w:r>
      <w:r>
        <w:t>product</w:t>
      </w:r>
      <w:r>
        <w:rPr>
          <w:spacing w:val="-6"/>
        </w:rPr>
        <w:t xml:space="preserve"> </w:t>
      </w:r>
      <w:r>
        <w:t>had</w:t>
      </w:r>
      <w:r>
        <w:rPr>
          <w:spacing w:val="-6"/>
        </w:rPr>
        <w:t xml:space="preserve"> </w:t>
      </w:r>
      <w:r>
        <w:t>to</w:t>
      </w:r>
      <w:r>
        <w:rPr>
          <w:spacing w:val="-6"/>
        </w:rPr>
        <w:t xml:space="preserve"> </w:t>
      </w:r>
      <w:r>
        <w:t>have</w:t>
      </w:r>
      <w:r>
        <w:rPr>
          <w:spacing w:val="-5"/>
        </w:rPr>
        <w:t xml:space="preserve"> </w:t>
      </w:r>
      <w:r>
        <w:t>a</w:t>
      </w:r>
      <w:r>
        <w:rPr>
          <w:spacing w:val="-6"/>
        </w:rPr>
        <w:t xml:space="preserve"> </w:t>
      </w:r>
      <w:r>
        <w:t>cost</w:t>
      </w:r>
      <w:r>
        <w:rPr>
          <w:spacing w:val="-7"/>
        </w:rPr>
        <w:t xml:space="preserve"> </w:t>
      </w:r>
      <w:r>
        <w:t>component</w:t>
      </w:r>
      <w:r>
        <w:rPr>
          <w:spacing w:val="-6"/>
        </w:rPr>
        <w:t xml:space="preserve"> </w:t>
      </w:r>
      <w:r>
        <w:t>that</w:t>
      </w:r>
      <w:r>
        <w:rPr>
          <w:spacing w:val="-8"/>
        </w:rPr>
        <w:t xml:space="preserve"> </w:t>
      </w:r>
      <w:r>
        <w:t>was</w:t>
      </w:r>
      <w:r>
        <w:rPr>
          <w:spacing w:val="-7"/>
        </w:rPr>
        <w:t xml:space="preserve"> </w:t>
      </w:r>
      <w:r>
        <w:t>labelled</w:t>
      </w:r>
      <w:r>
        <w:rPr>
          <w:spacing w:val="-7"/>
        </w:rPr>
        <w:t xml:space="preserve"> </w:t>
      </w:r>
      <w:r>
        <w:t>as</w:t>
      </w:r>
      <w:r>
        <w:rPr>
          <w:spacing w:val="-7"/>
        </w:rPr>
        <w:t xml:space="preserve"> </w:t>
      </w:r>
      <w:r>
        <w:t>"bulk wine". It insisted on this assumption in the face of persuasive explanation as to why that assumption was unsustainable.</w:t>
      </w:r>
    </w:p>
    <w:p w14:paraId="51DE882C" w14:textId="77777777" w:rsidR="0010369C" w:rsidRDefault="0010369C">
      <w:pPr>
        <w:pStyle w:val="BodyText"/>
        <w:rPr>
          <w:sz w:val="9"/>
        </w:rPr>
      </w:pPr>
    </w:p>
    <w:p w14:paraId="51DE882D" w14:textId="77777777" w:rsidR="0010369C" w:rsidRDefault="008E43AE">
      <w:pPr>
        <w:pStyle w:val="BodyText"/>
        <w:spacing w:before="51" w:line="360" w:lineRule="auto"/>
        <w:ind w:left="238" w:right="614" w:firstLine="850"/>
        <w:jc w:val="both"/>
      </w:pPr>
      <w:r>
        <w:rPr>
          <w:noProof/>
        </w:rPr>
        <w:drawing>
          <wp:anchor distT="0" distB="0" distL="0" distR="0" simplePos="0" relativeHeight="250999296" behindDoc="1" locked="0" layoutInCell="1" allowOverlap="1" wp14:anchorId="51DEA223" wp14:editId="51DEA224">
            <wp:simplePos x="0" y="0"/>
            <wp:positionH relativeFrom="page">
              <wp:posOffset>905255</wp:posOffset>
            </wp:positionH>
            <wp:positionV relativeFrom="paragraph">
              <wp:posOffset>81314</wp:posOffset>
            </wp:positionV>
            <wp:extent cx="259079" cy="100753"/>
            <wp:effectExtent l="0" t="0" r="0" b="0"/>
            <wp:wrapNone/>
            <wp:docPr id="701" name="image3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 name="image361.png"/>
                    <pic:cNvPicPr/>
                  </pic:nvPicPr>
                  <pic:blipFill>
                    <a:blip r:embed="rId485" cstate="print"/>
                    <a:stretch>
                      <a:fillRect/>
                    </a:stretch>
                  </pic:blipFill>
                  <pic:spPr>
                    <a:xfrm>
                      <a:off x="0" y="0"/>
                      <a:ext cx="259079" cy="100753"/>
                    </a:xfrm>
                    <a:prstGeom prst="rect">
                      <a:avLst/>
                    </a:prstGeom>
                  </pic:spPr>
                </pic:pic>
              </a:graphicData>
            </a:graphic>
          </wp:anchor>
        </w:drawing>
      </w:r>
      <w:r>
        <w:t>MOFCOM</w:t>
      </w:r>
      <w:r>
        <w:rPr>
          <w:spacing w:val="-6"/>
        </w:rPr>
        <w:t xml:space="preserve"> </w:t>
      </w:r>
      <w:r>
        <w:t>first</w:t>
      </w:r>
      <w:r>
        <w:rPr>
          <w:spacing w:val="-6"/>
        </w:rPr>
        <w:t xml:space="preserve"> </w:t>
      </w:r>
      <w:r>
        <w:t>complained</w:t>
      </w:r>
      <w:r>
        <w:rPr>
          <w:spacing w:val="-7"/>
        </w:rPr>
        <w:t xml:space="preserve"> </w:t>
      </w:r>
      <w:r>
        <w:t>about</w:t>
      </w:r>
      <w:r>
        <w:rPr>
          <w:spacing w:val="-6"/>
        </w:rPr>
        <w:t xml:space="preserve"> </w:t>
      </w:r>
      <w:r>
        <w:t>the</w:t>
      </w:r>
      <w:r>
        <w:rPr>
          <w:spacing w:val="-6"/>
        </w:rPr>
        <w:t xml:space="preserve"> </w:t>
      </w:r>
      <w:r>
        <w:t>lack</w:t>
      </w:r>
      <w:r>
        <w:rPr>
          <w:spacing w:val="-7"/>
        </w:rPr>
        <w:t xml:space="preserve"> </w:t>
      </w:r>
      <w:r>
        <w:t>of</w:t>
      </w:r>
      <w:r>
        <w:rPr>
          <w:spacing w:val="-6"/>
        </w:rPr>
        <w:t xml:space="preserve"> </w:t>
      </w:r>
      <w:r>
        <w:t>costs</w:t>
      </w:r>
      <w:r>
        <w:rPr>
          <w:spacing w:val="-7"/>
        </w:rPr>
        <w:t xml:space="preserve"> </w:t>
      </w:r>
      <w:r>
        <w:t>data</w:t>
      </w:r>
      <w:r>
        <w:rPr>
          <w:spacing w:val="-6"/>
        </w:rPr>
        <w:t xml:space="preserve"> </w:t>
      </w:r>
      <w:r>
        <w:t>for</w:t>
      </w:r>
      <w:r>
        <w:rPr>
          <w:spacing w:val="-6"/>
        </w:rPr>
        <w:t xml:space="preserve"> </w:t>
      </w:r>
      <w:r>
        <w:t>"bulk</w:t>
      </w:r>
      <w:r>
        <w:rPr>
          <w:spacing w:val="-6"/>
        </w:rPr>
        <w:t xml:space="preserve"> </w:t>
      </w:r>
      <w:r>
        <w:t>wine"</w:t>
      </w:r>
      <w:r>
        <w:rPr>
          <w:spacing w:val="-7"/>
        </w:rPr>
        <w:t xml:space="preserve"> </w:t>
      </w:r>
      <w:r>
        <w:t>in</w:t>
      </w:r>
      <w:r>
        <w:rPr>
          <w:spacing w:val="-6"/>
        </w:rPr>
        <w:t xml:space="preserve"> </w:t>
      </w:r>
      <w:r>
        <w:t>Form</w:t>
      </w:r>
      <w:r>
        <w:rPr>
          <w:spacing w:val="-6"/>
        </w:rPr>
        <w:t xml:space="preserve"> </w:t>
      </w:r>
      <w:r>
        <w:t>6‐4</w:t>
      </w:r>
      <w:r>
        <w:rPr>
          <w:spacing w:val="-7"/>
        </w:rPr>
        <w:t xml:space="preserve"> </w:t>
      </w:r>
      <w:r>
        <w:t>in the Pre</w:t>
      </w:r>
      <w:r>
        <w:t>liminary Determination.</w:t>
      </w:r>
      <w:r>
        <w:rPr>
          <w:vertAlign w:val="superscript"/>
        </w:rPr>
        <w:t>382</w:t>
      </w:r>
      <w:r>
        <w:t xml:space="preserve"> Casella Wines provided a submission in response where it explained that:</w:t>
      </w:r>
      <w:r>
        <w:rPr>
          <w:vertAlign w:val="superscript"/>
        </w:rPr>
        <w:t>383</w:t>
      </w:r>
    </w:p>
    <w:p w14:paraId="51DE882E" w14:textId="77777777" w:rsidR="0010369C" w:rsidRDefault="008E43AE">
      <w:pPr>
        <w:pStyle w:val="BodyText"/>
        <w:spacing w:before="6"/>
        <w:rPr>
          <w:sz w:val="11"/>
        </w:rPr>
      </w:pPr>
      <w:r>
        <w:pict w14:anchorId="51DEA225">
          <v:shape id="docshape781" o:spid="_x0000_s1516" type="#_x0000_t202" style="position:absolute;margin-left:112.45pt;margin-top:8.25pt;width:410.95pt;height:55.05pt;z-index:-250935808;mso-wrap-distance-left:0;mso-wrap-distance-right:0;mso-position-horizontal-relative:page" fillcolor="black" stroked="f">
            <v:textbox inset="0,0,0,0">
              <w:txbxContent>
                <w:p w14:paraId="51DEAC60" w14:textId="77777777" w:rsidR="0010369C" w:rsidRDefault="008E43AE">
                  <w:pPr>
                    <w:spacing w:line="264" w:lineRule="exact"/>
                    <w:ind w:left="20"/>
                    <w:rPr>
                      <w:color w:val="000000"/>
                    </w:rPr>
                  </w:pPr>
                  <w:r>
                    <w:rPr>
                      <w:color w:val="000000"/>
                      <w:spacing w:val="-5"/>
                    </w:rPr>
                    <w:t>[[</w:t>
                  </w:r>
                </w:p>
              </w:txbxContent>
            </v:textbox>
            <w10:wrap type="topAndBottom" anchorx="page"/>
          </v:shape>
        </w:pict>
      </w:r>
    </w:p>
    <w:p w14:paraId="51DE882F" w14:textId="77777777" w:rsidR="0010369C" w:rsidRDefault="0010369C">
      <w:pPr>
        <w:pStyle w:val="BodyText"/>
        <w:rPr>
          <w:sz w:val="20"/>
        </w:rPr>
      </w:pPr>
    </w:p>
    <w:p w14:paraId="51DE8830" w14:textId="77777777" w:rsidR="0010369C" w:rsidRDefault="0010369C">
      <w:pPr>
        <w:pStyle w:val="BodyText"/>
        <w:rPr>
          <w:sz w:val="20"/>
        </w:rPr>
      </w:pPr>
    </w:p>
    <w:p w14:paraId="51DE8831" w14:textId="77777777" w:rsidR="0010369C" w:rsidRDefault="008E43AE">
      <w:pPr>
        <w:pStyle w:val="BodyText"/>
        <w:spacing w:before="11"/>
        <w:rPr>
          <w:sz w:val="21"/>
        </w:rPr>
      </w:pPr>
      <w:r>
        <w:pict w14:anchorId="51DEA226">
          <v:rect id="docshape782" o:spid="_x0000_s1515" style="position:absolute;margin-left:70.9pt;margin-top:14.6pt;width:2in;height:.8pt;z-index:-250934784;mso-wrap-distance-left:0;mso-wrap-distance-right:0;mso-position-horizontal-relative:page" fillcolor="black" stroked="f">
            <w10:wrap type="topAndBottom" anchorx="page"/>
          </v:rect>
        </w:pict>
      </w:r>
    </w:p>
    <w:p w14:paraId="51DE8832" w14:textId="77777777" w:rsidR="0010369C" w:rsidRDefault="0010369C">
      <w:pPr>
        <w:pStyle w:val="BodyText"/>
        <w:spacing w:before="8"/>
        <w:rPr>
          <w:sz w:val="5"/>
        </w:rPr>
      </w:pPr>
    </w:p>
    <w:p w14:paraId="51DE8833" w14:textId="77777777" w:rsidR="0010369C" w:rsidRDefault="0010369C">
      <w:pPr>
        <w:rPr>
          <w:sz w:val="5"/>
        </w:rPr>
        <w:sectPr w:rsidR="0010369C">
          <w:headerReference w:type="default" r:id="rId486"/>
          <w:footerReference w:type="default" r:id="rId487"/>
          <w:pgSz w:w="11910" w:h="16840"/>
          <w:pgMar w:top="880" w:right="800" w:bottom="980" w:left="1180" w:header="569" w:footer="788" w:gutter="0"/>
          <w:cols w:space="720"/>
        </w:sectPr>
      </w:pPr>
    </w:p>
    <w:p w14:paraId="51DE8834" w14:textId="77777777" w:rsidR="0010369C" w:rsidRDefault="008E43AE">
      <w:pPr>
        <w:spacing w:before="37"/>
        <w:ind w:left="238"/>
        <w:rPr>
          <w:sz w:val="18"/>
        </w:rPr>
      </w:pPr>
      <w:r>
        <w:pict w14:anchorId="51DEA227">
          <v:rect id="docshape783" o:spid="_x0000_s1514" style="position:absolute;left:0;text-align:left;margin-left:86.65pt;margin-top:2.35pt;width:311.7pt;height:12.05pt;z-index:251838976;mso-position-horizontal-relative:page" fillcolor="black" stroked="f">
            <w10:wrap anchorx="page"/>
          </v:rect>
        </w:pict>
      </w:r>
      <w:r>
        <w:rPr>
          <w:sz w:val="12"/>
        </w:rPr>
        <w:t>379</w:t>
      </w:r>
      <w:r>
        <w:rPr>
          <w:spacing w:val="11"/>
          <w:sz w:val="12"/>
        </w:rPr>
        <w:t xml:space="preserve"> </w:t>
      </w:r>
      <w:r>
        <w:rPr>
          <w:spacing w:val="-10"/>
          <w:position w:val="-5"/>
          <w:sz w:val="18"/>
        </w:rPr>
        <w:t>[</w:t>
      </w:r>
    </w:p>
    <w:p w14:paraId="51DE8835" w14:textId="77777777" w:rsidR="0010369C" w:rsidRDefault="008E43AE">
      <w:pPr>
        <w:spacing w:before="1"/>
        <w:ind w:left="238"/>
        <w:rPr>
          <w:sz w:val="18"/>
        </w:rPr>
      </w:pPr>
      <w:r>
        <w:rPr>
          <w:sz w:val="18"/>
          <w:vertAlign w:val="superscript"/>
        </w:rPr>
        <w:t>380</w:t>
      </w:r>
      <w:r>
        <w:rPr>
          <w:spacing w:val="-9"/>
          <w:sz w:val="18"/>
        </w:rPr>
        <w:t xml:space="preserve"> </w:t>
      </w:r>
      <w:r>
        <w:rPr>
          <w:sz w:val="18"/>
        </w:rPr>
        <w:t>Anti‐Dumping</w:t>
      </w:r>
      <w:r>
        <w:rPr>
          <w:spacing w:val="-9"/>
          <w:sz w:val="18"/>
        </w:rPr>
        <w:t xml:space="preserve"> </w:t>
      </w:r>
      <w:r>
        <w:rPr>
          <w:sz w:val="18"/>
        </w:rPr>
        <w:t>Final</w:t>
      </w:r>
      <w:r>
        <w:rPr>
          <w:spacing w:val="-9"/>
          <w:sz w:val="18"/>
        </w:rPr>
        <w:t xml:space="preserve"> </w:t>
      </w:r>
      <w:r>
        <w:rPr>
          <w:sz w:val="18"/>
        </w:rPr>
        <w:t>Determination</w:t>
      </w:r>
      <w:r>
        <w:rPr>
          <w:spacing w:val="-8"/>
          <w:sz w:val="18"/>
        </w:rPr>
        <w:t xml:space="preserve"> </w:t>
      </w:r>
      <w:r>
        <w:rPr>
          <w:sz w:val="18"/>
        </w:rPr>
        <w:t>(Exhibit</w:t>
      </w:r>
      <w:r>
        <w:rPr>
          <w:spacing w:val="-9"/>
          <w:sz w:val="18"/>
        </w:rPr>
        <w:t xml:space="preserve"> </w:t>
      </w:r>
      <w:r>
        <w:rPr>
          <w:sz w:val="18"/>
        </w:rPr>
        <w:t>AUS‐2),</w:t>
      </w:r>
      <w:r>
        <w:rPr>
          <w:spacing w:val="-9"/>
          <w:sz w:val="18"/>
        </w:rPr>
        <w:t xml:space="preserve"> </w:t>
      </w:r>
      <w:r>
        <w:rPr>
          <w:sz w:val="18"/>
        </w:rPr>
        <w:t>p.</w:t>
      </w:r>
      <w:r>
        <w:rPr>
          <w:spacing w:val="-9"/>
          <w:sz w:val="18"/>
        </w:rPr>
        <w:t xml:space="preserve"> </w:t>
      </w:r>
      <w:r>
        <w:rPr>
          <w:spacing w:val="-5"/>
          <w:sz w:val="18"/>
        </w:rPr>
        <w:t>81.</w:t>
      </w:r>
    </w:p>
    <w:p w14:paraId="51DE8836" w14:textId="77777777" w:rsidR="0010369C" w:rsidRDefault="008E43AE">
      <w:pPr>
        <w:ind w:left="238"/>
        <w:rPr>
          <w:sz w:val="18"/>
        </w:rPr>
      </w:pPr>
      <w:r>
        <w:rPr>
          <w:sz w:val="18"/>
          <w:vertAlign w:val="superscript"/>
        </w:rPr>
        <w:t>381</w:t>
      </w:r>
      <w:r>
        <w:rPr>
          <w:spacing w:val="-9"/>
          <w:sz w:val="18"/>
        </w:rPr>
        <w:t xml:space="preserve"> </w:t>
      </w:r>
      <w:r>
        <w:rPr>
          <w:sz w:val="18"/>
        </w:rPr>
        <w:t>Anti‐Dumping</w:t>
      </w:r>
      <w:r>
        <w:rPr>
          <w:spacing w:val="-9"/>
          <w:sz w:val="18"/>
        </w:rPr>
        <w:t xml:space="preserve"> </w:t>
      </w:r>
      <w:r>
        <w:rPr>
          <w:sz w:val="18"/>
        </w:rPr>
        <w:t>Final</w:t>
      </w:r>
      <w:r>
        <w:rPr>
          <w:spacing w:val="-9"/>
          <w:sz w:val="18"/>
        </w:rPr>
        <w:t xml:space="preserve"> </w:t>
      </w:r>
      <w:r>
        <w:rPr>
          <w:sz w:val="18"/>
        </w:rPr>
        <w:t>Determination</w:t>
      </w:r>
      <w:r>
        <w:rPr>
          <w:spacing w:val="-8"/>
          <w:sz w:val="18"/>
        </w:rPr>
        <w:t xml:space="preserve"> </w:t>
      </w:r>
      <w:r>
        <w:rPr>
          <w:sz w:val="18"/>
        </w:rPr>
        <w:t>(Exhibit</w:t>
      </w:r>
      <w:r>
        <w:rPr>
          <w:spacing w:val="-9"/>
          <w:sz w:val="18"/>
        </w:rPr>
        <w:t xml:space="preserve"> </w:t>
      </w:r>
      <w:r>
        <w:rPr>
          <w:sz w:val="18"/>
        </w:rPr>
        <w:t>AUS‐2),</w:t>
      </w:r>
      <w:r>
        <w:rPr>
          <w:spacing w:val="-9"/>
          <w:sz w:val="18"/>
        </w:rPr>
        <w:t xml:space="preserve"> </w:t>
      </w:r>
      <w:r>
        <w:rPr>
          <w:sz w:val="18"/>
        </w:rPr>
        <w:t>p.</w:t>
      </w:r>
      <w:r>
        <w:rPr>
          <w:spacing w:val="-9"/>
          <w:sz w:val="18"/>
        </w:rPr>
        <w:t xml:space="preserve"> </w:t>
      </w:r>
      <w:r>
        <w:rPr>
          <w:spacing w:val="-5"/>
          <w:sz w:val="18"/>
        </w:rPr>
        <w:t>81.</w:t>
      </w:r>
    </w:p>
    <w:p w14:paraId="51DE8837" w14:textId="77777777" w:rsidR="0010369C" w:rsidRDefault="008E43AE">
      <w:pPr>
        <w:spacing w:line="218" w:lineRule="exact"/>
        <w:ind w:left="238"/>
        <w:rPr>
          <w:sz w:val="18"/>
        </w:rPr>
      </w:pPr>
      <w:r>
        <w:pict w14:anchorId="51DEA228">
          <v:rect id="docshape784" o:spid="_x0000_s1513" style="position:absolute;left:0;text-align:left;margin-left:86.65pt;margin-top:11.3pt;width:299.15pt;height:12.05pt;z-index:251840000;mso-position-horizontal-relative:page" fillcolor="black" stroked="f">
            <w10:wrap anchorx="page"/>
          </v:rect>
        </w:pict>
      </w:r>
      <w:r>
        <w:rPr>
          <w:spacing w:val="-2"/>
          <w:sz w:val="18"/>
          <w:vertAlign w:val="superscript"/>
        </w:rPr>
        <w:t>382</w:t>
      </w:r>
      <w:r>
        <w:rPr>
          <w:spacing w:val="7"/>
          <w:sz w:val="18"/>
        </w:rPr>
        <w:t xml:space="preserve"> </w:t>
      </w:r>
      <w:r>
        <w:rPr>
          <w:spacing w:val="-2"/>
          <w:sz w:val="18"/>
        </w:rPr>
        <w:t>Anti‐Dumping</w:t>
      </w:r>
      <w:r>
        <w:rPr>
          <w:spacing w:val="8"/>
          <w:sz w:val="18"/>
        </w:rPr>
        <w:t xml:space="preserve"> </w:t>
      </w:r>
      <w:r>
        <w:rPr>
          <w:spacing w:val="-2"/>
          <w:sz w:val="18"/>
        </w:rPr>
        <w:t>Preliminary</w:t>
      </w:r>
      <w:r>
        <w:rPr>
          <w:spacing w:val="8"/>
          <w:sz w:val="18"/>
        </w:rPr>
        <w:t xml:space="preserve"> </w:t>
      </w:r>
      <w:r>
        <w:rPr>
          <w:spacing w:val="-2"/>
          <w:sz w:val="18"/>
        </w:rPr>
        <w:t>Determination</w:t>
      </w:r>
      <w:r>
        <w:rPr>
          <w:spacing w:val="9"/>
          <w:sz w:val="18"/>
        </w:rPr>
        <w:t xml:space="preserve"> </w:t>
      </w:r>
      <w:r>
        <w:rPr>
          <w:spacing w:val="-2"/>
          <w:sz w:val="18"/>
        </w:rPr>
        <w:t>(Exhibit</w:t>
      </w:r>
      <w:r>
        <w:rPr>
          <w:spacing w:val="7"/>
          <w:sz w:val="18"/>
        </w:rPr>
        <w:t xml:space="preserve"> </w:t>
      </w:r>
      <w:r>
        <w:rPr>
          <w:spacing w:val="-2"/>
          <w:sz w:val="18"/>
        </w:rPr>
        <w:t>AUS‐35),</w:t>
      </w:r>
      <w:r>
        <w:rPr>
          <w:spacing w:val="6"/>
          <w:sz w:val="18"/>
        </w:rPr>
        <w:t xml:space="preserve"> </w:t>
      </w:r>
      <w:r>
        <w:rPr>
          <w:spacing w:val="-4"/>
          <w:sz w:val="18"/>
        </w:rPr>
        <w:t>p.28.</w:t>
      </w:r>
    </w:p>
    <w:p w14:paraId="51DE8838" w14:textId="77777777" w:rsidR="0010369C" w:rsidRDefault="008E43AE">
      <w:pPr>
        <w:spacing w:before="37" w:line="156" w:lineRule="auto"/>
        <w:ind w:left="238"/>
        <w:rPr>
          <w:sz w:val="18"/>
        </w:rPr>
      </w:pPr>
      <w:r>
        <w:rPr>
          <w:sz w:val="12"/>
        </w:rPr>
        <w:t>383</w:t>
      </w:r>
      <w:r>
        <w:rPr>
          <w:spacing w:val="11"/>
          <w:sz w:val="12"/>
        </w:rPr>
        <w:t xml:space="preserve"> </w:t>
      </w:r>
      <w:r>
        <w:rPr>
          <w:spacing w:val="-10"/>
          <w:position w:val="-5"/>
          <w:sz w:val="18"/>
        </w:rPr>
        <w:t>[</w:t>
      </w:r>
    </w:p>
    <w:p w14:paraId="51DE8839" w14:textId="77777777" w:rsidR="0010369C" w:rsidRDefault="008E43AE">
      <w:pPr>
        <w:spacing w:before="40"/>
        <w:ind w:left="530"/>
        <w:rPr>
          <w:sz w:val="18"/>
        </w:rPr>
      </w:pPr>
      <w:r>
        <w:br w:type="column"/>
      </w:r>
      <w:r>
        <w:rPr>
          <w:color w:val="5E5E5E"/>
          <w:sz w:val="18"/>
        </w:rPr>
        <w:t>(Exhibit</w:t>
      </w:r>
      <w:r>
        <w:rPr>
          <w:color w:val="5E5E5E"/>
          <w:spacing w:val="-10"/>
          <w:sz w:val="18"/>
        </w:rPr>
        <w:t xml:space="preserve"> </w:t>
      </w:r>
      <w:r>
        <w:rPr>
          <w:color w:val="5E5E5E"/>
          <w:sz w:val="18"/>
        </w:rPr>
        <w:t>AUS‐34</w:t>
      </w:r>
      <w:r>
        <w:rPr>
          <w:color w:val="5E5E5E"/>
          <w:spacing w:val="-9"/>
          <w:sz w:val="18"/>
        </w:rPr>
        <w:t xml:space="preserve"> </w:t>
      </w:r>
      <w:r>
        <w:rPr>
          <w:color w:val="5E5E5E"/>
          <w:spacing w:val="-2"/>
          <w:sz w:val="18"/>
        </w:rPr>
        <w:t>(BCI)).</w:t>
      </w:r>
      <w:r>
        <w:rPr>
          <w:spacing w:val="-2"/>
          <w:sz w:val="18"/>
        </w:rPr>
        <w:t>]]</w:t>
      </w:r>
    </w:p>
    <w:p w14:paraId="51DE883A" w14:textId="77777777" w:rsidR="0010369C" w:rsidRDefault="0010369C">
      <w:pPr>
        <w:pStyle w:val="BodyText"/>
        <w:rPr>
          <w:sz w:val="18"/>
        </w:rPr>
      </w:pPr>
    </w:p>
    <w:p w14:paraId="51DE883B" w14:textId="77777777" w:rsidR="0010369C" w:rsidRDefault="0010369C">
      <w:pPr>
        <w:pStyle w:val="BodyText"/>
        <w:rPr>
          <w:sz w:val="18"/>
        </w:rPr>
      </w:pPr>
    </w:p>
    <w:p w14:paraId="51DE883C" w14:textId="77777777" w:rsidR="0010369C" w:rsidRDefault="0010369C">
      <w:pPr>
        <w:pStyle w:val="BodyText"/>
        <w:spacing w:before="1"/>
        <w:rPr>
          <w:sz w:val="18"/>
        </w:rPr>
      </w:pPr>
    </w:p>
    <w:p w14:paraId="51DE883D" w14:textId="77777777" w:rsidR="0010369C" w:rsidRDefault="008E43AE">
      <w:pPr>
        <w:tabs>
          <w:tab w:val="left" w:pos="2172"/>
        </w:tabs>
        <w:ind w:left="238"/>
        <w:rPr>
          <w:sz w:val="18"/>
        </w:rPr>
      </w:pPr>
      <w:r>
        <w:pict w14:anchorId="51DEA229">
          <v:rect id="docshape785" o:spid="_x0000_s1512" style="position:absolute;left:0;text-align:left;margin-left:468.95pt;margin-top:.35pt;width:13.6pt;height:12.05pt;z-index:-251321856;mso-position-horizontal-relative:page" fillcolor="black" stroked="f">
            <w10:wrap anchorx="page"/>
          </v:rect>
        </w:pict>
      </w:r>
      <w:r>
        <w:rPr>
          <w:color w:val="5E5E5E"/>
          <w:sz w:val="18"/>
        </w:rPr>
        <w:t>(Exhibit</w:t>
      </w:r>
      <w:r>
        <w:rPr>
          <w:color w:val="5E5E5E"/>
          <w:spacing w:val="-10"/>
          <w:sz w:val="18"/>
        </w:rPr>
        <w:t xml:space="preserve"> </w:t>
      </w:r>
      <w:r>
        <w:rPr>
          <w:color w:val="5E5E5E"/>
          <w:sz w:val="18"/>
        </w:rPr>
        <w:t>AUS‐29</w:t>
      </w:r>
      <w:r>
        <w:rPr>
          <w:color w:val="5E5E5E"/>
          <w:spacing w:val="-9"/>
          <w:sz w:val="18"/>
        </w:rPr>
        <w:t xml:space="preserve"> </w:t>
      </w:r>
      <w:r>
        <w:rPr>
          <w:color w:val="5E5E5E"/>
          <w:spacing w:val="-2"/>
          <w:sz w:val="18"/>
        </w:rPr>
        <w:t>(BCI)),</w:t>
      </w:r>
      <w:r>
        <w:rPr>
          <w:color w:val="5E5E5E"/>
          <w:sz w:val="18"/>
        </w:rPr>
        <w:tab/>
      </w:r>
      <w:r>
        <w:rPr>
          <w:color w:val="5E5E5E"/>
          <w:spacing w:val="-5"/>
          <w:sz w:val="18"/>
        </w:rPr>
        <w:t>.</w:t>
      </w:r>
      <w:r>
        <w:rPr>
          <w:spacing w:val="-5"/>
          <w:sz w:val="18"/>
        </w:rPr>
        <w:t>]]</w:t>
      </w:r>
    </w:p>
    <w:p w14:paraId="51DE883E" w14:textId="77777777" w:rsidR="0010369C" w:rsidRDefault="0010369C">
      <w:pPr>
        <w:rPr>
          <w:sz w:val="18"/>
        </w:rPr>
        <w:sectPr w:rsidR="0010369C">
          <w:type w:val="continuous"/>
          <w:pgSz w:w="11910" w:h="16840"/>
          <w:pgMar w:top="1460" w:right="800" w:bottom="280" w:left="1180" w:header="569" w:footer="788" w:gutter="0"/>
          <w:cols w:num="2" w:space="720" w:equalWidth="0">
            <w:col w:w="5195" w:space="1123"/>
            <w:col w:w="3612"/>
          </w:cols>
        </w:sectPr>
      </w:pPr>
    </w:p>
    <w:p w14:paraId="51DE883F" w14:textId="77777777" w:rsidR="0010369C" w:rsidRDefault="008E43AE">
      <w:pPr>
        <w:tabs>
          <w:tab w:val="left" w:pos="6426"/>
        </w:tabs>
        <w:ind w:left="238"/>
        <w:rPr>
          <w:sz w:val="20"/>
        </w:rPr>
      </w:pPr>
      <w:r>
        <w:rPr>
          <w:i/>
          <w:sz w:val="20"/>
        </w:rPr>
        <w:lastRenderedPageBreak/>
        <w:t>China</w:t>
      </w:r>
      <w:r>
        <w:rPr>
          <w:i/>
          <w:spacing w:val="-5"/>
          <w:sz w:val="20"/>
        </w:rPr>
        <w:t xml:space="preserve"> </w:t>
      </w:r>
      <w:r>
        <w:rPr>
          <w:i/>
          <w:sz w:val="20"/>
        </w:rPr>
        <w:t>–</w:t>
      </w:r>
      <w:r>
        <w:rPr>
          <w:i/>
          <w:spacing w:val="-5"/>
          <w:sz w:val="20"/>
        </w:rPr>
        <w:t xml:space="preserve"> </w:t>
      </w:r>
      <w:r>
        <w:rPr>
          <w:i/>
          <w:sz w:val="20"/>
        </w:rPr>
        <w:t>Anti‐Dumping</w:t>
      </w:r>
      <w:r>
        <w:rPr>
          <w:i/>
          <w:spacing w:val="-4"/>
          <w:sz w:val="20"/>
        </w:rPr>
        <w:t xml:space="preserve"> </w:t>
      </w:r>
      <w:r>
        <w:rPr>
          <w:i/>
          <w:sz w:val="20"/>
        </w:rPr>
        <w:t>and</w:t>
      </w:r>
      <w:r>
        <w:rPr>
          <w:i/>
          <w:spacing w:val="-5"/>
          <w:sz w:val="20"/>
        </w:rPr>
        <w:t xml:space="preserve"> </w:t>
      </w:r>
      <w:r>
        <w:rPr>
          <w:i/>
          <w:sz w:val="20"/>
        </w:rPr>
        <w:t>Countervailing</w:t>
      </w:r>
      <w:r>
        <w:rPr>
          <w:i/>
          <w:spacing w:val="-5"/>
          <w:sz w:val="20"/>
        </w:rPr>
        <w:t xml:space="preserve"> </w:t>
      </w:r>
      <w:r>
        <w:rPr>
          <w:i/>
          <w:sz w:val="20"/>
        </w:rPr>
        <w:t>Duty</w:t>
      </w:r>
      <w:r>
        <w:rPr>
          <w:i/>
          <w:spacing w:val="-4"/>
          <w:sz w:val="20"/>
        </w:rPr>
        <w:t xml:space="preserve"> </w:t>
      </w:r>
      <w:r>
        <w:rPr>
          <w:i/>
          <w:spacing w:val="-2"/>
          <w:sz w:val="20"/>
        </w:rPr>
        <w:t>Measures</w:t>
      </w:r>
      <w:r>
        <w:rPr>
          <w:i/>
          <w:sz w:val="20"/>
        </w:rPr>
        <w:tab/>
      </w:r>
      <w:r>
        <w:rPr>
          <w:sz w:val="20"/>
        </w:rPr>
        <w:t>Australia's</w:t>
      </w:r>
      <w:r>
        <w:rPr>
          <w:spacing w:val="-7"/>
          <w:sz w:val="20"/>
        </w:rPr>
        <w:t xml:space="preserve"> </w:t>
      </w:r>
      <w:r>
        <w:rPr>
          <w:sz w:val="20"/>
        </w:rPr>
        <w:t>First</w:t>
      </w:r>
      <w:r>
        <w:rPr>
          <w:spacing w:val="-2"/>
          <w:sz w:val="20"/>
        </w:rPr>
        <w:t xml:space="preserve"> </w:t>
      </w:r>
      <w:r>
        <w:rPr>
          <w:sz w:val="20"/>
        </w:rPr>
        <w:t>Written</w:t>
      </w:r>
      <w:r>
        <w:rPr>
          <w:spacing w:val="-2"/>
          <w:sz w:val="20"/>
        </w:rPr>
        <w:t xml:space="preserve"> Submission</w:t>
      </w:r>
    </w:p>
    <w:p w14:paraId="51DE8840" w14:textId="77777777" w:rsidR="0010369C" w:rsidRDefault="008E43AE">
      <w:pPr>
        <w:tabs>
          <w:tab w:val="left" w:pos="8228"/>
        </w:tabs>
        <w:spacing w:before="1"/>
        <w:ind w:left="239"/>
        <w:rPr>
          <w:sz w:val="20"/>
        </w:rPr>
      </w:pPr>
      <w:r>
        <w:rPr>
          <w:noProof/>
        </w:rPr>
        <w:drawing>
          <wp:anchor distT="0" distB="0" distL="0" distR="0" simplePos="0" relativeHeight="250596864" behindDoc="0" locked="0" layoutInCell="1" allowOverlap="1" wp14:anchorId="51DEA22A" wp14:editId="51DEA22B">
            <wp:simplePos x="0" y="0"/>
            <wp:positionH relativeFrom="page">
              <wp:posOffset>905255</wp:posOffset>
            </wp:positionH>
            <wp:positionV relativeFrom="paragraph">
              <wp:posOffset>225137</wp:posOffset>
            </wp:positionV>
            <wp:extent cx="259079" cy="103631"/>
            <wp:effectExtent l="0" t="0" r="0" b="0"/>
            <wp:wrapTopAndBottom/>
            <wp:docPr id="703" name="image3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 name="image362.png"/>
                    <pic:cNvPicPr/>
                  </pic:nvPicPr>
                  <pic:blipFill>
                    <a:blip r:embed="rId488" cstate="print"/>
                    <a:stretch>
                      <a:fillRect/>
                    </a:stretch>
                  </pic:blipFill>
                  <pic:spPr>
                    <a:xfrm>
                      <a:off x="0" y="0"/>
                      <a:ext cx="259079" cy="103631"/>
                    </a:xfrm>
                    <a:prstGeom prst="rect">
                      <a:avLst/>
                    </a:prstGeom>
                  </pic:spPr>
                </pic:pic>
              </a:graphicData>
            </a:graphic>
          </wp:anchor>
        </w:drawing>
      </w:r>
      <w:r>
        <w:pict w14:anchorId="51DEA22C">
          <v:rect id="docshape786" o:spid="_x0000_s1511" style="position:absolute;left:0;text-align:left;margin-left:112.45pt;margin-top:14.1pt;width:410.9pt;height:16.05pt;z-index:-250933760;mso-wrap-distance-left:0;mso-wrap-distance-right:0;mso-position-horizontal-relative:page;mso-position-vertical-relative:text" fillcolor="black" stroked="f">
            <w10:wrap type="topAndBottom" anchorx="page"/>
          </v:rect>
        </w:pict>
      </w:r>
      <w:r>
        <w:pict w14:anchorId="51DEA22D">
          <v:rect id="docshape787" o:spid="_x0000_s1510" style="position:absolute;left:0;text-align:left;margin-left:69.9pt;margin-top:36.05pt;width:453.45pt;height:16.05pt;z-index:-250932736;mso-wrap-distance-left:0;mso-wrap-distance-right:0;mso-position-horizontal-relative:page;mso-position-vertical-relative:text" fillcolor="black" stroked="f">
            <w10:wrap type="topAndBottom" anchorx="page"/>
          </v:rect>
        </w:pict>
      </w:r>
      <w:r>
        <w:pict w14:anchorId="51DEA22E">
          <v:rect id="docshape788" o:spid="_x0000_s1509" style="position:absolute;left:0;text-align:left;margin-left:69.95pt;margin-top:58pt;width:453.5pt;height:16.05pt;z-index:-250931712;mso-wrap-distance-left:0;mso-wrap-distance-right:0;mso-position-horizontal-relative:page;mso-position-vertical-relative:text" fillcolor="black" stroked="f">
            <w10:wrap type="topAndBottom" anchorx="page"/>
          </v:rect>
        </w:pict>
      </w:r>
      <w:r>
        <w:pict w14:anchorId="51DEA22F">
          <v:rect id="docshape789" o:spid="_x0000_s1508" style="position:absolute;left:0;text-align:left;margin-left:69.95pt;margin-top:79.95pt;width:453.5pt;height:16.05pt;z-index:-250930688;mso-wrap-distance-left:0;mso-wrap-distance-right:0;mso-position-horizontal-relative:page;mso-position-vertical-relative:text" fillcolor="black" stroked="f">
            <w10:wrap type="topAndBottom" anchorx="page"/>
          </v:rect>
        </w:pict>
      </w:r>
      <w:r>
        <w:pict w14:anchorId="51DEA230">
          <v:rect id="docshape790" o:spid="_x0000_s1507" style="position:absolute;left:0;text-align:left;margin-left:69.9pt;margin-top:102pt;width:453.45pt;height:16.05pt;z-index:-250929664;mso-wrap-distance-left:0;mso-wrap-distance-right:0;mso-position-horizontal-relative:page;mso-position-vertical-relative:text" fillcolor="black" stroked="f">
            <w10:wrap type="topAndBottom" anchorx="page"/>
          </v:rect>
        </w:pict>
      </w:r>
      <w:r>
        <w:pict w14:anchorId="51DEA231">
          <v:rect id="docshape791" o:spid="_x0000_s1506" style="position:absolute;left:0;text-align:left;margin-left:69.9pt;margin-top:124pt;width:117.15pt;height:16.05pt;z-index:-250928640;mso-wrap-distance-left:0;mso-wrap-distance-right:0;mso-position-horizontal-relative:page;mso-position-vertical-relative:text" fillcolor="black" stroked="f">
            <w10:wrap type="topAndBottom" anchorx="page"/>
          </v:rect>
        </w:pict>
      </w:r>
      <w:r>
        <w:rPr>
          <w:noProof/>
        </w:rPr>
        <w:drawing>
          <wp:anchor distT="0" distB="0" distL="0" distR="0" simplePos="0" relativeHeight="250597888" behindDoc="0" locked="0" layoutInCell="1" allowOverlap="1" wp14:anchorId="51DEA232" wp14:editId="51DEA233">
            <wp:simplePos x="0" y="0"/>
            <wp:positionH relativeFrom="page">
              <wp:posOffset>905255</wp:posOffset>
            </wp:positionH>
            <wp:positionV relativeFrom="paragraph">
              <wp:posOffset>2001951</wp:posOffset>
            </wp:positionV>
            <wp:extent cx="258154" cy="100393"/>
            <wp:effectExtent l="0" t="0" r="0" b="0"/>
            <wp:wrapTopAndBottom/>
            <wp:docPr id="705" name="image3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 name="image363.png"/>
                    <pic:cNvPicPr/>
                  </pic:nvPicPr>
                  <pic:blipFill>
                    <a:blip r:embed="rId489" cstate="print"/>
                    <a:stretch>
                      <a:fillRect/>
                    </a:stretch>
                  </pic:blipFill>
                  <pic:spPr>
                    <a:xfrm>
                      <a:off x="0" y="0"/>
                      <a:ext cx="258154" cy="100393"/>
                    </a:xfrm>
                    <a:prstGeom prst="rect">
                      <a:avLst/>
                    </a:prstGeom>
                  </pic:spPr>
                </pic:pic>
              </a:graphicData>
            </a:graphic>
          </wp:anchor>
        </w:drawing>
      </w:r>
      <w:r>
        <w:pict w14:anchorId="51DEA234">
          <v:rect id="docshape792" o:spid="_x0000_s1505" style="position:absolute;left:0;text-align:left;margin-left:112.45pt;margin-top:153.9pt;width:411.05pt;height:16.05pt;z-index:-250927616;mso-wrap-distance-left:0;mso-wrap-distance-right:0;mso-position-horizontal-relative:page;mso-position-vertical-relative:text" fillcolor="black" stroked="f">
            <w10:wrap type="topAndBottom" anchorx="page"/>
          </v:rect>
        </w:pict>
      </w:r>
      <w:r>
        <w:pict w14:anchorId="51DEA235">
          <v:rect id="docshape793" o:spid="_x0000_s1504" style="position:absolute;left:0;text-align:left;margin-left:69.9pt;margin-top:175.85pt;width:453.4pt;height:16.05pt;z-index:-250926592;mso-wrap-distance-left:0;mso-wrap-distance-right:0;mso-position-horizontal-relative:page;mso-position-vertical-relative:text" fillcolor="black" stroked="f">
            <w10:wrap type="topAndBottom" anchorx="page"/>
          </v:rect>
        </w:pict>
      </w:r>
      <w:r>
        <w:pict w14:anchorId="51DEA236">
          <v:shape id="docshape794" o:spid="_x0000_s1503" style="position:absolute;left:0;text-align:left;margin-left:69.9pt;margin-top:197.95pt;width:178.5pt;height:16.1pt;z-index:-250925568;mso-wrap-distance-left:0;mso-wrap-distance-right:0;mso-position-horizontal-relative:page;mso-position-vertical-relative:text" coordorigin="1398,3959" coordsize="3570,322" o:spt="100" adj="0,,0" path="m4726,3959r-3328,l1398,4280r3328,l4726,3959xm4968,3961r-242,l4726,4175r242,l4968,3961xe" fillcolor="black" stroked="f">
            <v:stroke joinstyle="round"/>
            <v:formulas/>
            <v:path arrowok="t" o:connecttype="segments"/>
            <w10:wrap type="topAndBottom" anchorx="page"/>
          </v:shape>
        </w:pict>
      </w:r>
      <w:r>
        <w:pict w14:anchorId="51DEA237">
          <v:shape id="docshape795" o:spid="_x0000_s1502" type="#_x0000_t202" style="position:absolute;left:0;text-align:left;margin-left:112.45pt;margin-top:227.95pt;width:410.9pt;height:68.45pt;z-index:-250924544;mso-wrap-distance-left:0;mso-wrap-distance-right:0;mso-position-horizontal-relative:page;mso-position-vertical-relative:text" fillcolor="black" stroked="f">
            <v:textbox inset="0,0,0,0">
              <w:txbxContent>
                <w:p w14:paraId="51DEAC61" w14:textId="77777777" w:rsidR="0010369C" w:rsidRDefault="0010369C">
                  <w:pPr>
                    <w:pStyle w:val="BodyText"/>
                    <w:rPr>
                      <w:color w:val="000000"/>
                      <w:sz w:val="22"/>
                    </w:rPr>
                  </w:pPr>
                </w:p>
                <w:p w14:paraId="51DEAC62" w14:textId="77777777" w:rsidR="0010369C" w:rsidRDefault="0010369C">
                  <w:pPr>
                    <w:pStyle w:val="BodyText"/>
                    <w:rPr>
                      <w:color w:val="000000"/>
                      <w:sz w:val="22"/>
                    </w:rPr>
                  </w:pPr>
                </w:p>
                <w:p w14:paraId="51DEAC63" w14:textId="77777777" w:rsidR="0010369C" w:rsidRDefault="0010369C">
                  <w:pPr>
                    <w:pStyle w:val="BodyText"/>
                    <w:rPr>
                      <w:color w:val="000000"/>
                      <w:sz w:val="22"/>
                    </w:rPr>
                  </w:pPr>
                </w:p>
                <w:p w14:paraId="51DEAC64" w14:textId="77777777" w:rsidR="0010369C" w:rsidRDefault="0010369C">
                  <w:pPr>
                    <w:pStyle w:val="BodyText"/>
                    <w:spacing w:before="7"/>
                    <w:rPr>
                      <w:color w:val="000000"/>
                      <w:sz w:val="21"/>
                    </w:rPr>
                  </w:pPr>
                </w:p>
                <w:p w14:paraId="51DEAC65" w14:textId="77777777" w:rsidR="0010369C" w:rsidRDefault="008E43AE">
                  <w:pPr>
                    <w:spacing w:before="1"/>
                    <w:ind w:right="1717"/>
                    <w:jc w:val="right"/>
                    <w:rPr>
                      <w:color w:val="000000"/>
                    </w:rPr>
                  </w:pPr>
                  <w:r>
                    <w:rPr>
                      <w:color w:val="000000"/>
                      <w:spacing w:val="-5"/>
                    </w:rPr>
                    <w:t>]]</w:t>
                  </w:r>
                </w:p>
              </w:txbxContent>
            </v:textbox>
            <w10:wrap type="topAndBottom" anchorx="page"/>
          </v:shape>
        </w:pict>
      </w:r>
      <w:r>
        <w:rPr>
          <w:i/>
          <w:sz w:val="20"/>
        </w:rPr>
        <w:t>on</w:t>
      </w:r>
      <w:r>
        <w:rPr>
          <w:i/>
          <w:spacing w:val="-1"/>
          <w:sz w:val="20"/>
        </w:rPr>
        <w:t xml:space="preserve"> </w:t>
      </w:r>
      <w:r>
        <w:rPr>
          <w:i/>
          <w:sz w:val="20"/>
        </w:rPr>
        <w:t>Wine</w:t>
      </w:r>
      <w:r>
        <w:rPr>
          <w:i/>
          <w:spacing w:val="-1"/>
          <w:sz w:val="20"/>
        </w:rPr>
        <w:t xml:space="preserve"> </w:t>
      </w:r>
      <w:r>
        <w:rPr>
          <w:i/>
          <w:sz w:val="20"/>
        </w:rPr>
        <w:t>from</w:t>
      </w:r>
      <w:r>
        <w:rPr>
          <w:i/>
          <w:spacing w:val="-3"/>
          <w:sz w:val="20"/>
        </w:rPr>
        <w:t xml:space="preserve"> </w:t>
      </w:r>
      <w:r>
        <w:rPr>
          <w:i/>
          <w:sz w:val="20"/>
        </w:rPr>
        <w:t>Australia</w:t>
      </w:r>
      <w:r>
        <w:rPr>
          <w:i/>
          <w:spacing w:val="-1"/>
          <w:sz w:val="20"/>
        </w:rPr>
        <w:t xml:space="preserve"> </w:t>
      </w:r>
      <w:r>
        <w:rPr>
          <w:spacing w:val="-2"/>
          <w:sz w:val="20"/>
        </w:rPr>
        <w:t>(DS602)</w:t>
      </w:r>
      <w:r>
        <w:rPr>
          <w:sz w:val="20"/>
        </w:rPr>
        <w:tab/>
        <w:t>29</w:t>
      </w:r>
      <w:r>
        <w:rPr>
          <w:spacing w:val="-1"/>
          <w:sz w:val="20"/>
        </w:rPr>
        <w:t xml:space="preserve"> </w:t>
      </w:r>
      <w:r>
        <w:rPr>
          <w:sz w:val="20"/>
        </w:rPr>
        <w:t>April</w:t>
      </w:r>
      <w:r>
        <w:rPr>
          <w:spacing w:val="-2"/>
          <w:sz w:val="20"/>
        </w:rPr>
        <w:t xml:space="preserve"> </w:t>
      </w:r>
      <w:r>
        <w:rPr>
          <w:spacing w:val="-4"/>
          <w:sz w:val="20"/>
        </w:rPr>
        <w:t>2022</w:t>
      </w:r>
    </w:p>
    <w:p w14:paraId="51DE8841" w14:textId="77777777" w:rsidR="0010369C" w:rsidRDefault="0010369C">
      <w:pPr>
        <w:pStyle w:val="BodyText"/>
        <w:spacing w:before="8"/>
        <w:rPr>
          <w:sz w:val="7"/>
        </w:rPr>
      </w:pPr>
    </w:p>
    <w:p w14:paraId="51DE8842" w14:textId="77777777" w:rsidR="0010369C" w:rsidRDefault="0010369C">
      <w:pPr>
        <w:pStyle w:val="BodyText"/>
        <w:spacing w:before="8"/>
        <w:rPr>
          <w:sz w:val="7"/>
        </w:rPr>
      </w:pPr>
    </w:p>
    <w:p w14:paraId="51DE8843" w14:textId="77777777" w:rsidR="0010369C" w:rsidRDefault="0010369C">
      <w:pPr>
        <w:pStyle w:val="BodyText"/>
        <w:spacing w:before="8"/>
        <w:rPr>
          <w:sz w:val="7"/>
        </w:rPr>
      </w:pPr>
    </w:p>
    <w:p w14:paraId="51DE8844" w14:textId="77777777" w:rsidR="0010369C" w:rsidRDefault="0010369C">
      <w:pPr>
        <w:pStyle w:val="BodyText"/>
        <w:spacing w:before="9"/>
        <w:rPr>
          <w:sz w:val="7"/>
        </w:rPr>
      </w:pPr>
    </w:p>
    <w:p w14:paraId="51DE8845" w14:textId="77777777" w:rsidR="0010369C" w:rsidRDefault="0010369C">
      <w:pPr>
        <w:pStyle w:val="BodyText"/>
        <w:spacing w:before="9"/>
        <w:rPr>
          <w:sz w:val="7"/>
        </w:rPr>
      </w:pPr>
    </w:p>
    <w:p w14:paraId="51DE8846" w14:textId="77777777" w:rsidR="0010369C" w:rsidRDefault="0010369C">
      <w:pPr>
        <w:pStyle w:val="BodyText"/>
        <w:spacing w:before="8"/>
        <w:rPr>
          <w:sz w:val="20"/>
        </w:rPr>
      </w:pPr>
    </w:p>
    <w:p w14:paraId="51DE8847" w14:textId="77777777" w:rsidR="0010369C" w:rsidRDefault="0010369C">
      <w:pPr>
        <w:pStyle w:val="BodyText"/>
        <w:spacing w:before="8"/>
        <w:rPr>
          <w:sz w:val="7"/>
        </w:rPr>
      </w:pPr>
    </w:p>
    <w:p w14:paraId="51DE8848" w14:textId="77777777" w:rsidR="0010369C" w:rsidRDefault="0010369C">
      <w:pPr>
        <w:pStyle w:val="BodyText"/>
        <w:spacing w:before="10"/>
        <w:rPr>
          <w:sz w:val="7"/>
        </w:rPr>
      </w:pPr>
    </w:p>
    <w:p w14:paraId="51DE8849" w14:textId="77777777" w:rsidR="0010369C" w:rsidRDefault="0010369C">
      <w:pPr>
        <w:pStyle w:val="BodyText"/>
        <w:spacing w:before="11"/>
        <w:rPr>
          <w:sz w:val="20"/>
        </w:rPr>
      </w:pPr>
    </w:p>
    <w:p w14:paraId="51DE884A" w14:textId="77777777" w:rsidR="0010369C" w:rsidRDefault="0010369C">
      <w:pPr>
        <w:pStyle w:val="BodyText"/>
        <w:spacing w:before="2"/>
        <w:rPr>
          <w:sz w:val="17"/>
        </w:rPr>
      </w:pPr>
    </w:p>
    <w:p w14:paraId="51DE884B" w14:textId="77777777" w:rsidR="0010369C" w:rsidRDefault="008E43AE">
      <w:pPr>
        <w:pStyle w:val="BodyText"/>
        <w:spacing w:line="360" w:lineRule="auto"/>
        <w:ind w:left="236" w:right="614" w:firstLine="852"/>
        <w:jc w:val="both"/>
      </w:pPr>
      <w:r>
        <w:rPr>
          <w:noProof/>
        </w:rPr>
        <w:drawing>
          <wp:anchor distT="0" distB="0" distL="0" distR="0" simplePos="0" relativeHeight="251000320" behindDoc="1" locked="0" layoutInCell="1" allowOverlap="1" wp14:anchorId="51DEA238" wp14:editId="51DEA239">
            <wp:simplePos x="0" y="0"/>
            <wp:positionH relativeFrom="page">
              <wp:posOffset>905255</wp:posOffset>
            </wp:positionH>
            <wp:positionV relativeFrom="paragraph">
              <wp:posOffset>43765</wp:posOffset>
            </wp:positionV>
            <wp:extent cx="259079" cy="106679"/>
            <wp:effectExtent l="0" t="0" r="0" b="0"/>
            <wp:wrapNone/>
            <wp:docPr id="707" name="image3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 name="image364.png"/>
                    <pic:cNvPicPr/>
                  </pic:nvPicPr>
                  <pic:blipFill>
                    <a:blip r:embed="rId490" cstate="print"/>
                    <a:stretch>
                      <a:fillRect/>
                    </a:stretch>
                  </pic:blipFill>
                  <pic:spPr>
                    <a:xfrm>
                      <a:off x="0" y="0"/>
                      <a:ext cx="259079" cy="106679"/>
                    </a:xfrm>
                    <a:prstGeom prst="rect">
                      <a:avLst/>
                    </a:prstGeom>
                  </pic:spPr>
                </pic:pic>
              </a:graphicData>
            </a:graphic>
          </wp:anchor>
        </w:drawing>
      </w:r>
      <w:r>
        <w:t>Despite the clear and cogent explanation given by Casella Wines, MOFCOM maintained</w:t>
      </w:r>
      <w:r>
        <w:rPr>
          <w:spacing w:val="-10"/>
        </w:rPr>
        <w:t xml:space="preserve"> </w:t>
      </w:r>
      <w:r>
        <w:t>its</w:t>
      </w:r>
      <w:r>
        <w:rPr>
          <w:spacing w:val="-9"/>
        </w:rPr>
        <w:t xml:space="preserve"> </w:t>
      </w:r>
      <w:r>
        <w:t>criticism</w:t>
      </w:r>
      <w:r>
        <w:rPr>
          <w:spacing w:val="-9"/>
        </w:rPr>
        <w:t xml:space="preserve"> </w:t>
      </w:r>
      <w:r>
        <w:t>that</w:t>
      </w:r>
      <w:r>
        <w:rPr>
          <w:spacing w:val="-9"/>
        </w:rPr>
        <w:t xml:space="preserve"> </w:t>
      </w:r>
      <w:r>
        <w:t>Casella</w:t>
      </w:r>
      <w:r>
        <w:rPr>
          <w:spacing w:val="-9"/>
        </w:rPr>
        <w:t xml:space="preserve"> </w:t>
      </w:r>
      <w:r>
        <w:t>Wines</w:t>
      </w:r>
      <w:r>
        <w:rPr>
          <w:spacing w:val="-9"/>
        </w:rPr>
        <w:t xml:space="preserve"> </w:t>
      </w:r>
      <w:r>
        <w:t>had</w:t>
      </w:r>
      <w:r>
        <w:rPr>
          <w:spacing w:val="-9"/>
        </w:rPr>
        <w:t xml:space="preserve"> </w:t>
      </w:r>
      <w:r>
        <w:t>"failed</w:t>
      </w:r>
      <w:r>
        <w:rPr>
          <w:spacing w:val="-9"/>
        </w:rPr>
        <w:t xml:space="preserve"> </w:t>
      </w:r>
      <w:r>
        <w:t>to</w:t>
      </w:r>
      <w:r>
        <w:rPr>
          <w:spacing w:val="-8"/>
        </w:rPr>
        <w:t xml:space="preserve"> </w:t>
      </w:r>
      <w:r>
        <w:t>fill</w:t>
      </w:r>
      <w:r>
        <w:rPr>
          <w:spacing w:val="-9"/>
        </w:rPr>
        <w:t xml:space="preserve"> </w:t>
      </w:r>
      <w:r>
        <w:t>in</w:t>
      </w:r>
      <w:r>
        <w:rPr>
          <w:spacing w:val="-9"/>
        </w:rPr>
        <w:t xml:space="preserve"> </w:t>
      </w:r>
      <w:r>
        <w:t>the</w:t>
      </w:r>
      <w:r>
        <w:rPr>
          <w:spacing w:val="-8"/>
        </w:rPr>
        <w:t xml:space="preserve"> </w:t>
      </w:r>
      <w:r>
        <w:t>costs</w:t>
      </w:r>
      <w:r>
        <w:rPr>
          <w:spacing w:val="-9"/>
        </w:rPr>
        <w:t xml:space="preserve"> </w:t>
      </w:r>
      <w:r>
        <w:t>for</w:t>
      </w:r>
      <w:r>
        <w:rPr>
          <w:spacing w:val="-8"/>
        </w:rPr>
        <w:t xml:space="preserve"> </w:t>
      </w:r>
      <w:r>
        <w:t>bulk</w:t>
      </w:r>
      <w:r>
        <w:rPr>
          <w:spacing w:val="-8"/>
        </w:rPr>
        <w:t xml:space="preserve"> </w:t>
      </w:r>
      <w:r>
        <w:t>wine"</w:t>
      </w:r>
      <w:r>
        <w:rPr>
          <w:spacing w:val="-9"/>
        </w:rPr>
        <w:t xml:space="preserve"> </w:t>
      </w:r>
      <w:r>
        <w:t>in</w:t>
      </w:r>
      <w:r>
        <w:rPr>
          <w:spacing w:val="-9"/>
        </w:rPr>
        <w:t xml:space="preserve"> </w:t>
      </w:r>
      <w:r>
        <w:t>Form 6‐4 in the Final Determination.</w:t>
      </w:r>
      <w:r>
        <w:rPr>
          <w:vertAlign w:val="superscript"/>
        </w:rPr>
        <w:t>385</w:t>
      </w:r>
      <w:r>
        <w:t xml:space="preserve"> MOFCOM summarised Casella Wines' explanations in the Final</w:t>
      </w:r>
      <w:r>
        <w:rPr>
          <w:spacing w:val="-12"/>
        </w:rPr>
        <w:t xml:space="preserve"> </w:t>
      </w:r>
      <w:r>
        <w:t>Determination</w:t>
      </w:r>
      <w:r>
        <w:rPr>
          <w:spacing w:val="-12"/>
        </w:rPr>
        <w:t xml:space="preserve"> </w:t>
      </w:r>
      <w:r>
        <w:t>but</w:t>
      </w:r>
      <w:r>
        <w:rPr>
          <w:spacing w:val="-12"/>
        </w:rPr>
        <w:t xml:space="preserve"> </w:t>
      </w:r>
      <w:r>
        <w:t>did</w:t>
      </w:r>
      <w:r>
        <w:rPr>
          <w:spacing w:val="-12"/>
        </w:rPr>
        <w:t xml:space="preserve"> </w:t>
      </w:r>
      <w:r>
        <w:t>not</w:t>
      </w:r>
      <w:r>
        <w:rPr>
          <w:spacing w:val="-12"/>
        </w:rPr>
        <w:t xml:space="preserve"> </w:t>
      </w:r>
      <w:r>
        <w:t>engage</w:t>
      </w:r>
      <w:r>
        <w:rPr>
          <w:spacing w:val="-12"/>
        </w:rPr>
        <w:t xml:space="preserve"> </w:t>
      </w:r>
      <w:r>
        <w:t>with</w:t>
      </w:r>
      <w:r>
        <w:rPr>
          <w:spacing w:val="-12"/>
        </w:rPr>
        <w:t xml:space="preserve"> </w:t>
      </w:r>
      <w:r>
        <w:t>them</w:t>
      </w:r>
      <w:r>
        <w:rPr>
          <w:spacing w:val="-12"/>
        </w:rPr>
        <w:t xml:space="preserve"> </w:t>
      </w:r>
      <w:r>
        <w:t>at</w:t>
      </w:r>
      <w:r>
        <w:rPr>
          <w:spacing w:val="-12"/>
        </w:rPr>
        <w:t xml:space="preserve"> </w:t>
      </w:r>
      <w:r>
        <w:t>all</w:t>
      </w:r>
      <w:r>
        <w:rPr>
          <w:spacing w:val="-12"/>
        </w:rPr>
        <w:t xml:space="preserve"> </w:t>
      </w:r>
      <w:r>
        <w:t>–</w:t>
      </w:r>
      <w:r>
        <w:rPr>
          <w:spacing w:val="-12"/>
        </w:rPr>
        <w:t xml:space="preserve"> </w:t>
      </w:r>
      <w:r>
        <w:t>aside</w:t>
      </w:r>
      <w:r>
        <w:rPr>
          <w:spacing w:val="-12"/>
        </w:rPr>
        <w:t xml:space="preserve"> </w:t>
      </w:r>
      <w:r>
        <w:t>from</w:t>
      </w:r>
      <w:r>
        <w:rPr>
          <w:spacing w:val="-13"/>
        </w:rPr>
        <w:t xml:space="preserve"> </w:t>
      </w:r>
      <w:r>
        <w:t>an</w:t>
      </w:r>
      <w:r>
        <w:rPr>
          <w:spacing w:val="-13"/>
        </w:rPr>
        <w:t xml:space="preserve"> </w:t>
      </w:r>
      <w:r>
        <w:t>observation</w:t>
      </w:r>
      <w:r>
        <w:rPr>
          <w:spacing w:val="-12"/>
        </w:rPr>
        <w:t xml:space="preserve"> </w:t>
      </w:r>
      <w:r>
        <w:t>that</w:t>
      </w:r>
      <w:r>
        <w:rPr>
          <w:spacing w:val="-12"/>
        </w:rPr>
        <w:t xml:space="preserve"> </w:t>
      </w:r>
      <w:r>
        <w:t>"bulk wine was</w:t>
      </w:r>
      <w:r>
        <w:rPr>
          <w:spacing w:val="-1"/>
        </w:rPr>
        <w:t xml:space="preserve"> </w:t>
      </w:r>
      <w:r>
        <w:t>an</w:t>
      </w:r>
      <w:r>
        <w:rPr>
          <w:spacing w:val="-2"/>
        </w:rPr>
        <w:t xml:space="preserve"> </w:t>
      </w:r>
      <w:r>
        <w:t>important raw material".</w:t>
      </w:r>
      <w:r>
        <w:rPr>
          <w:vertAlign w:val="superscript"/>
        </w:rPr>
        <w:t>386</w:t>
      </w:r>
      <w:r>
        <w:rPr>
          <w:spacing w:val="-1"/>
        </w:rPr>
        <w:t xml:space="preserve"> </w:t>
      </w:r>
      <w:r>
        <w:t>No</w:t>
      </w:r>
      <w:r>
        <w:rPr>
          <w:spacing w:val="-1"/>
        </w:rPr>
        <w:t xml:space="preserve"> </w:t>
      </w:r>
      <w:r>
        <w:t>reasons</w:t>
      </w:r>
      <w:r>
        <w:rPr>
          <w:spacing w:val="-1"/>
        </w:rPr>
        <w:t xml:space="preserve"> </w:t>
      </w:r>
      <w:r>
        <w:t>were</w:t>
      </w:r>
      <w:r>
        <w:rPr>
          <w:spacing w:val="-1"/>
        </w:rPr>
        <w:t xml:space="preserve"> </w:t>
      </w:r>
      <w:r>
        <w:t>provided by MOFCOM as</w:t>
      </w:r>
      <w:r>
        <w:rPr>
          <w:spacing w:val="-1"/>
        </w:rPr>
        <w:t xml:space="preserve"> </w:t>
      </w:r>
      <w:r>
        <w:t>to</w:t>
      </w:r>
      <w:r>
        <w:rPr>
          <w:spacing w:val="-1"/>
        </w:rPr>
        <w:t xml:space="preserve"> </w:t>
      </w:r>
      <w:r>
        <w:t>why it did not accept Case</w:t>
      </w:r>
      <w:r>
        <w:t>lla's explanation. Instead, MOFCOM maintained its earlier finding and relied upon it as part of its conclusion that it was unable to determine normal value from Casella Wines' data, and would instead resort to facts available.</w:t>
      </w:r>
      <w:r>
        <w:rPr>
          <w:vertAlign w:val="superscript"/>
        </w:rPr>
        <w:t>387</w:t>
      </w:r>
    </w:p>
    <w:p w14:paraId="51DE884C" w14:textId="77777777" w:rsidR="0010369C" w:rsidRDefault="0010369C">
      <w:pPr>
        <w:pStyle w:val="BodyText"/>
        <w:spacing w:before="10"/>
        <w:rPr>
          <w:sz w:val="8"/>
        </w:rPr>
      </w:pPr>
    </w:p>
    <w:p w14:paraId="51DE884D" w14:textId="77777777" w:rsidR="0010369C" w:rsidRDefault="008E43AE">
      <w:pPr>
        <w:pStyle w:val="BodyText"/>
        <w:spacing w:before="52" w:line="360" w:lineRule="auto"/>
        <w:ind w:left="237" w:right="612" w:firstLine="851"/>
        <w:jc w:val="both"/>
      </w:pPr>
      <w:r>
        <w:rPr>
          <w:noProof/>
        </w:rPr>
        <w:drawing>
          <wp:anchor distT="0" distB="0" distL="0" distR="0" simplePos="0" relativeHeight="251001344" behindDoc="1" locked="0" layoutInCell="1" allowOverlap="1" wp14:anchorId="51DEA23A" wp14:editId="51DEA23B">
            <wp:simplePos x="0" y="0"/>
            <wp:positionH relativeFrom="page">
              <wp:posOffset>905255</wp:posOffset>
            </wp:positionH>
            <wp:positionV relativeFrom="paragraph">
              <wp:posOffset>80595</wp:posOffset>
            </wp:positionV>
            <wp:extent cx="259079" cy="103631"/>
            <wp:effectExtent l="0" t="0" r="0" b="0"/>
            <wp:wrapNone/>
            <wp:docPr id="709" name="image3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 name="image365.png"/>
                    <pic:cNvPicPr/>
                  </pic:nvPicPr>
                  <pic:blipFill>
                    <a:blip r:embed="rId491" cstate="print"/>
                    <a:stretch>
                      <a:fillRect/>
                    </a:stretch>
                  </pic:blipFill>
                  <pic:spPr>
                    <a:xfrm>
                      <a:off x="0" y="0"/>
                      <a:ext cx="259079" cy="103631"/>
                    </a:xfrm>
                    <a:prstGeom prst="rect">
                      <a:avLst/>
                    </a:prstGeom>
                  </pic:spPr>
                </pic:pic>
              </a:graphicData>
            </a:graphic>
          </wp:anchor>
        </w:drawing>
      </w:r>
      <w:r>
        <w:pict w14:anchorId="51DEA23C">
          <v:rect id="docshape796" o:spid="_x0000_s1501" style="position:absolute;left:0;text-align:left;margin-left:490.9pt;margin-top:160.45pt;width:15.85pt;height:12.05pt;z-index:-251320832;mso-position-horizontal-relative:page;mso-position-vertical-relative:text" fillcolor="black" stroked="f">
            <w10:wrap anchorx="page"/>
          </v:rect>
        </w:pict>
      </w:r>
      <w:r>
        <w:t xml:space="preserve">MOFCOM was required to </w:t>
      </w:r>
      <w:r>
        <w:t>examine that information in light of the criteria in paragraph 3 of Annex II.</w:t>
      </w:r>
      <w:r>
        <w:rPr>
          <w:vertAlign w:val="superscript"/>
        </w:rPr>
        <w:t>388</w:t>
      </w:r>
      <w:r>
        <w:t xml:space="preserve"> It was required to "actively make efforts" to use the information submitted.</w:t>
      </w:r>
      <w:r>
        <w:rPr>
          <w:vertAlign w:val="superscript"/>
        </w:rPr>
        <w:t>389</w:t>
      </w:r>
      <w:r>
        <w:rPr>
          <w:spacing w:val="-13"/>
        </w:rPr>
        <w:t xml:space="preserve"> </w:t>
      </w:r>
      <w:r>
        <w:t>Had</w:t>
      </w:r>
      <w:r>
        <w:rPr>
          <w:spacing w:val="-14"/>
        </w:rPr>
        <w:t xml:space="preserve"> </w:t>
      </w:r>
      <w:r>
        <w:t>it</w:t>
      </w:r>
      <w:r>
        <w:rPr>
          <w:spacing w:val="-13"/>
        </w:rPr>
        <w:t xml:space="preserve"> </w:t>
      </w:r>
      <w:r>
        <w:t>done</w:t>
      </w:r>
      <w:r>
        <w:rPr>
          <w:spacing w:val="-12"/>
        </w:rPr>
        <w:t xml:space="preserve"> </w:t>
      </w:r>
      <w:r>
        <w:t>so,</w:t>
      </w:r>
      <w:r>
        <w:rPr>
          <w:spacing w:val="-13"/>
        </w:rPr>
        <w:t xml:space="preserve"> </w:t>
      </w:r>
      <w:r>
        <w:t>MOFCOM</w:t>
      </w:r>
      <w:r>
        <w:rPr>
          <w:spacing w:val="-14"/>
        </w:rPr>
        <w:t xml:space="preserve"> </w:t>
      </w:r>
      <w:r>
        <w:t>would</w:t>
      </w:r>
      <w:r>
        <w:rPr>
          <w:spacing w:val="-14"/>
        </w:rPr>
        <w:t xml:space="preserve"> </w:t>
      </w:r>
      <w:r>
        <w:t>have</w:t>
      </w:r>
      <w:r>
        <w:rPr>
          <w:spacing w:val="-12"/>
        </w:rPr>
        <w:t xml:space="preserve"> </w:t>
      </w:r>
      <w:r>
        <w:t>concluded</w:t>
      </w:r>
      <w:r>
        <w:rPr>
          <w:spacing w:val="-14"/>
        </w:rPr>
        <w:t xml:space="preserve"> </w:t>
      </w:r>
      <w:r>
        <w:t>that</w:t>
      </w:r>
      <w:r>
        <w:rPr>
          <w:spacing w:val="-14"/>
        </w:rPr>
        <w:t xml:space="preserve"> </w:t>
      </w:r>
      <w:r>
        <w:t>the</w:t>
      </w:r>
      <w:r>
        <w:rPr>
          <w:spacing w:val="-12"/>
        </w:rPr>
        <w:t xml:space="preserve"> </w:t>
      </w:r>
      <w:r>
        <w:t>information</w:t>
      </w:r>
      <w:r>
        <w:rPr>
          <w:spacing w:val="-12"/>
        </w:rPr>
        <w:t xml:space="preserve"> </w:t>
      </w:r>
      <w:r>
        <w:t>submitted was, in fact, verifiable, appropriately submitted, timely and in an appropriate medium. MOFCOM</w:t>
      </w:r>
      <w:r>
        <w:rPr>
          <w:spacing w:val="-14"/>
        </w:rPr>
        <w:t xml:space="preserve"> </w:t>
      </w:r>
      <w:r>
        <w:t>was</w:t>
      </w:r>
      <w:r>
        <w:rPr>
          <w:spacing w:val="-14"/>
        </w:rPr>
        <w:t xml:space="preserve"> </w:t>
      </w:r>
      <w:r>
        <w:t>not</w:t>
      </w:r>
      <w:r>
        <w:rPr>
          <w:spacing w:val="-14"/>
        </w:rPr>
        <w:t xml:space="preserve"> </w:t>
      </w:r>
      <w:r>
        <w:t>entitled</w:t>
      </w:r>
      <w:r>
        <w:rPr>
          <w:spacing w:val="-15"/>
        </w:rPr>
        <w:t xml:space="preserve"> </w:t>
      </w:r>
      <w:r>
        <w:t>to</w:t>
      </w:r>
      <w:r>
        <w:rPr>
          <w:spacing w:val="-14"/>
        </w:rPr>
        <w:t xml:space="preserve"> </w:t>
      </w:r>
      <w:r>
        <w:t>reject</w:t>
      </w:r>
      <w:r>
        <w:rPr>
          <w:spacing w:val="-14"/>
        </w:rPr>
        <w:t xml:space="preserve"> </w:t>
      </w:r>
      <w:r>
        <w:t>the</w:t>
      </w:r>
      <w:r>
        <w:rPr>
          <w:spacing w:val="-13"/>
        </w:rPr>
        <w:t xml:space="preserve"> </w:t>
      </w:r>
      <w:r>
        <w:t>data</w:t>
      </w:r>
      <w:r>
        <w:rPr>
          <w:spacing w:val="-14"/>
        </w:rPr>
        <w:t xml:space="preserve"> </w:t>
      </w:r>
      <w:r>
        <w:t>solely</w:t>
      </w:r>
      <w:r>
        <w:rPr>
          <w:spacing w:val="-13"/>
        </w:rPr>
        <w:t xml:space="preserve"> </w:t>
      </w:r>
      <w:r>
        <w:t>on</w:t>
      </w:r>
      <w:r>
        <w:rPr>
          <w:spacing w:val="-14"/>
        </w:rPr>
        <w:t xml:space="preserve"> </w:t>
      </w:r>
      <w:r>
        <w:t>the</w:t>
      </w:r>
      <w:r>
        <w:rPr>
          <w:spacing w:val="-14"/>
        </w:rPr>
        <w:t xml:space="preserve"> </w:t>
      </w:r>
      <w:r>
        <w:t>basis</w:t>
      </w:r>
      <w:r>
        <w:rPr>
          <w:spacing w:val="-14"/>
        </w:rPr>
        <w:t xml:space="preserve"> </w:t>
      </w:r>
      <w:r>
        <w:t>that</w:t>
      </w:r>
      <w:r>
        <w:rPr>
          <w:spacing w:val="-14"/>
        </w:rPr>
        <w:t xml:space="preserve"> </w:t>
      </w:r>
      <w:r>
        <w:t>it,</w:t>
      </w:r>
      <w:r>
        <w:rPr>
          <w:spacing w:val="-13"/>
        </w:rPr>
        <w:t xml:space="preserve"> </w:t>
      </w:r>
      <w:r>
        <w:t>without</w:t>
      </w:r>
      <w:r>
        <w:rPr>
          <w:spacing w:val="-14"/>
        </w:rPr>
        <w:t xml:space="preserve"> </w:t>
      </w:r>
      <w:r>
        <w:t>any</w:t>
      </w:r>
      <w:r>
        <w:rPr>
          <w:spacing w:val="-14"/>
        </w:rPr>
        <w:t xml:space="preserve"> </w:t>
      </w:r>
      <w:r>
        <w:t>evidentiary</w:t>
      </w:r>
    </w:p>
    <w:p w14:paraId="51DE884E" w14:textId="77777777" w:rsidR="0010369C" w:rsidRDefault="0010369C">
      <w:pPr>
        <w:pStyle w:val="BodyText"/>
        <w:rPr>
          <w:sz w:val="20"/>
        </w:rPr>
      </w:pPr>
    </w:p>
    <w:p w14:paraId="51DE884F" w14:textId="77777777" w:rsidR="0010369C" w:rsidRDefault="0010369C">
      <w:pPr>
        <w:pStyle w:val="BodyText"/>
        <w:rPr>
          <w:sz w:val="20"/>
        </w:rPr>
      </w:pPr>
    </w:p>
    <w:p w14:paraId="51DE8850" w14:textId="77777777" w:rsidR="0010369C" w:rsidRDefault="008E43AE">
      <w:pPr>
        <w:pStyle w:val="BodyText"/>
        <w:spacing w:before="11"/>
        <w:rPr>
          <w:sz w:val="25"/>
        </w:rPr>
      </w:pPr>
      <w:r>
        <w:pict w14:anchorId="51DEA23D">
          <v:rect id="docshape797" o:spid="_x0000_s1500" style="position:absolute;margin-left:70.9pt;margin-top:17.05pt;width:2in;height:.8pt;z-index:-250923520;mso-wrap-distance-left:0;mso-wrap-distance-right:0;mso-position-horizontal-relative:page" fillcolor="black" stroked="f">
            <w10:wrap type="topAndBottom" anchorx="page"/>
          </v:rect>
        </w:pict>
      </w:r>
    </w:p>
    <w:p w14:paraId="51DE8851" w14:textId="77777777" w:rsidR="0010369C" w:rsidRDefault="0010369C">
      <w:pPr>
        <w:pStyle w:val="BodyText"/>
        <w:spacing w:before="8"/>
        <w:rPr>
          <w:sz w:val="5"/>
        </w:rPr>
      </w:pPr>
    </w:p>
    <w:p w14:paraId="51DE8852" w14:textId="77777777" w:rsidR="0010369C" w:rsidRDefault="0010369C">
      <w:pPr>
        <w:rPr>
          <w:sz w:val="5"/>
        </w:rPr>
        <w:sectPr w:rsidR="0010369C">
          <w:pgSz w:w="11910" w:h="16840"/>
          <w:pgMar w:top="880" w:right="800" w:bottom="980" w:left="1180" w:header="569" w:footer="788" w:gutter="0"/>
          <w:cols w:space="720"/>
        </w:sectPr>
      </w:pPr>
    </w:p>
    <w:p w14:paraId="51DE8853" w14:textId="77777777" w:rsidR="0010369C" w:rsidRDefault="008E43AE">
      <w:pPr>
        <w:spacing w:before="37"/>
        <w:ind w:left="238"/>
        <w:jc w:val="both"/>
        <w:rPr>
          <w:sz w:val="18"/>
        </w:rPr>
      </w:pPr>
      <w:r>
        <w:pict w14:anchorId="51DEA23E">
          <v:rect id="docshape798" o:spid="_x0000_s1499" style="position:absolute;left:0;text-align:left;margin-left:86.65pt;margin-top:2.35pt;width:321.15pt;height:12.05pt;z-index:251841024;mso-position-horizontal-relative:page" fillcolor="black" stroked="f">
            <w10:wrap anchorx="page"/>
          </v:rect>
        </w:pict>
      </w:r>
      <w:r>
        <w:rPr>
          <w:sz w:val="12"/>
        </w:rPr>
        <w:t>384</w:t>
      </w:r>
      <w:r>
        <w:rPr>
          <w:spacing w:val="11"/>
          <w:sz w:val="12"/>
        </w:rPr>
        <w:t xml:space="preserve"> </w:t>
      </w:r>
      <w:r>
        <w:rPr>
          <w:spacing w:val="-10"/>
          <w:position w:val="-5"/>
          <w:sz w:val="18"/>
        </w:rPr>
        <w:t>[</w:t>
      </w:r>
    </w:p>
    <w:p w14:paraId="51DE8854" w14:textId="77777777" w:rsidR="0010369C" w:rsidRDefault="008E43AE">
      <w:pPr>
        <w:ind w:left="238" w:right="38"/>
        <w:jc w:val="both"/>
        <w:rPr>
          <w:sz w:val="18"/>
        </w:rPr>
      </w:pPr>
      <w:r>
        <w:rPr>
          <w:sz w:val="18"/>
          <w:vertAlign w:val="superscript"/>
        </w:rPr>
        <w:t>385</w:t>
      </w:r>
      <w:r>
        <w:rPr>
          <w:spacing w:val="-5"/>
          <w:sz w:val="18"/>
        </w:rPr>
        <w:t xml:space="preserve"> </w:t>
      </w:r>
      <w:r>
        <w:rPr>
          <w:sz w:val="18"/>
        </w:rPr>
        <w:t>Anti‐Dumping</w:t>
      </w:r>
      <w:r>
        <w:rPr>
          <w:spacing w:val="-5"/>
          <w:sz w:val="18"/>
        </w:rPr>
        <w:t xml:space="preserve"> </w:t>
      </w:r>
      <w:r>
        <w:rPr>
          <w:sz w:val="18"/>
        </w:rPr>
        <w:t>Final</w:t>
      </w:r>
      <w:r>
        <w:rPr>
          <w:spacing w:val="-5"/>
          <w:sz w:val="18"/>
        </w:rPr>
        <w:t xml:space="preserve"> </w:t>
      </w:r>
      <w:r>
        <w:rPr>
          <w:sz w:val="18"/>
        </w:rPr>
        <w:t>Determina</w:t>
      </w:r>
      <w:r>
        <w:rPr>
          <w:sz w:val="18"/>
        </w:rPr>
        <w:t>tion</w:t>
      </w:r>
      <w:r>
        <w:rPr>
          <w:spacing w:val="-5"/>
          <w:sz w:val="18"/>
        </w:rPr>
        <w:t xml:space="preserve"> </w:t>
      </w:r>
      <w:r>
        <w:rPr>
          <w:sz w:val="18"/>
        </w:rPr>
        <w:t>(Exhibit</w:t>
      </w:r>
      <w:r>
        <w:rPr>
          <w:spacing w:val="-5"/>
          <w:sz w:val="18"/>
        </w:rPr>
        <w:t xml:space="preserve"> </w:t>
      </w:r>
      <w:r>
        <w:rPr>
          <w:sz w:val="18"/>
        </w:rPr>
        <w:t>AUS‐2),</w:t>
      </w:r>
      <w:r>
        <w:rPr>
          <w:spacing w:val="-6"/>
          <w:sz w:val="18"/>
        </w:rPr>
        <w:t xml:space="preserve"> </w:t>
      </w:r>
      <w:r>
        <w:rPr>
          <w:sz w:val="18"/>
        </w:rPr>
        <w:t>p.</w:t>
      </w:r>
      <w:r>
        <w:rPr>
          <w:spacing w:val="-5"/>
          <w:sz w:val="18"/>
        </w:rPr>
        <w:t xml:space="preserve"> </w:t>
      </w:r>
      <w:r>
        <w:rPr>
          <w:sz w:val="18"/>
        </w:rPr>
        <w:t xml:space="preserve">81. </w:t>
      </w:r>
      <w:r>
        <w:rPr>
          <w:sz w:val="18"/>
          <w:vertAlign w:val="superscript"/>
        </w:rPr>
        <w:t>386</w:t>
      </w:r>
      <w:r>
        <w:rPr>
          <w:spacing w:val="-5"/>
          <w:sz w:val="18"/>
        </w:rPr>
        <w:t xml:space="preserve"> </w:t>
      </w:r>
      <w:r>
        <w:rPr>
          <w:sz w:val="18"/>
        </w:rPr>
        <w:t>Anti‐Dumping</w:t>
      </w:r>
      <w:r>
        <w:rPr>
          <w:spacing w:val="-5"/>
          <w:sz w:val="18"/>
        </w:rPr>
        <w:t xml:space="preserve"> </w:t>
      </w:r>
      <w:r>
        <w:rPr>
          <w:sz w:val="18"/>
        </w:rPr>
        <w:t>Final</w:t>
      </w:r>
      <w:r>
        <w:rPr>
          <w:spacing w:val="-5"/>
          <w:sz w:val="18"/>
        </w:rPr>
        <w:t xml:space="preserve"> </w:t>
      </w:r>
      <w:r>
        <w:rPr>
          <w:sz w:val="18"/>
        </w:rPr>
        <w:t>Determination</w:t>
      </w:r>
      <w:r>
        <w:rPr>
          <w:spacing w:val="-5"/>
          <w:sz w:val="18"/>
        </w:rPr>
        <w:t xml:space="preserve"> </w:t>
      </w:r>
      <w:r>
        <w:rPr>
          <w:sz w:val="18"/>
        </w:rPr>
        <w:t>(Exhibit</w:t>
      </w:r>
      <w:r>
        <w:rPr>
          <w:spacing w:val="-5"/>
          <w:sz w:val="18"/>
        </w:rPr>
        <w:t xml:space="preserve"> </w:t>
      </w:r>
      <w:r>
        <w:rPr>
          <w:sz w:val="18"/>
        </w:rPr>
        <w:t>AUS‐2),</w:t>
      </w:r>
      <w:r>
        <w:rPr>
          <w:spacing w:val="-6"/>
          <w:sz w:val="18"/>
        </w:rPr>
        <w:t xml:space="preserve"> </w:t>
      </w:r>
      <w:r>
        <w:rPr>
          <w:sz w:val="18"/>
        </w:rPr>
        <w:t>p.</w:t>
      </w:r>
      <w:r>
        <w:rPr>
          <w:spacing w:val="-5"/>
          <w:sz w:val="18"/>
        </w:rPr>
        <w:t xml:space="preserve"> </w:t>
      </w:r>
      <w:r>
        <w:rPr>
          <w:sz w:val="18"/>
        </w:rPr>
        <w:t xml:space="preserve">83. </w:t>
      </w:r>
      <w:r>
        <w:rPr>
          <w:sz w:val="18"/>
          <w:vertAlign w:val="superscript"/>
        </w:rPr>
        <w:t>387</w:t>
      </w:r>
      <w:r>
        <w:rPr>
          <w:spacing w:val="-5"/>
          <w:sz w:val="18"/>
        </w:rPr>
        <w:t xml:space="preserve"> </w:t>
      </w:r>
      <w:r>
        <w:rPr>
          <w:sz w:val="18"/>
        </w:rPr>
        <w:t>Anti‐Dumping</w:t>
      </w:r>
      <w:r>
        <w:rPr>
          <w:spacing w:val="-5"/>
          <w:sz w:val="18"/>
        </w:rPr>
        <w:t xml:space="preserve"> </w:t>
      </w:r>
      <w:r>
        <w:rPr>
          <w:sz w:val="18"/>
        </w:rPr>
        <w:t>Final</w:t>
      </w:r>
      <w:r>
        <w:rPr>
          <w:spacing w:val="-5"/>
          <w:sz w:val="18"/>
        </w:rPr>
        <w:t xml:space="preserve"> </w:t>
      </w:r>
      <w:r>
        <w:rPr>
          <w:sz w:val="18"/>
        </w:rPr>
        <w:t>Determination</w:t>
      </w:r>
      <w:r>
        <w:rPr>
          <w:spacing w:val="-5"/>
          <w:sz w:val="18"/>
        </w:rPr>
        <w:t xml:space="preserve"> </w:t>
      </w:r>
      <w:r>
        <w:rPr>
          <w:sz w:val="18"/>
        </w:rPr>
        <w:t>(Exhibit</w:t>
      </w:r>
      <w:r>
        <w:rPr>
          <w:spacing w:val="-5"/>
          <w:sz w:val="18"/>
        </w:rPr>
        <w:t xml:space="preserve"> </w:t>
      </w:r>
      <w:r>
        <w:rPr>
          <w:sz w:val="18"/>
        </w:rPr>
        <w:t>AUS‐2),</w:t>
      </w:r>
      <w:r>
        <w:rPr>
          <w:spacing w:val="-6"/>
          <w:sz w:val="18"/>
        </w:rPr>
        <w:t xml:space="preserve"> </w:t>
      </w:r>
      <w:r>
        <w:rPr>
          <w:sz w:val="18"/>
        </w:rPr>
        <w:t>p.</w:t>
      </w:r>
      <w:r>
        <w:rPr>
          <w:spacing w:val="-5"/>
          <w:sz w:val="18"/>
        </w:rPr>
        <w:t xml:space="preserve"> </w:t>
      </w:r>
      <w:r>
        <w:rPr>
          <w:sz w:val="18"/>
        </w:rPr>
        <w:t xml:space="preserve">84. </w:t>
      </w:r>
      <w:r>
        <w:rPr>
          <w:sz w:val="18"/>
          <w:vertAlign w:val="superscript"/>
        </w:rPr>
        <w:t>388</w:t>
      </w:r>
      <w:r>
        <w:rPr>
          <w:sz w:val="18"/>
        </w:rPr>
        <w:t xml:space="preserve"> Panel Report, </w:t>
      </w:r>
      <w:r>
        <w:rPr>
          <w:i/>
          <w:sz w:val="18"/>
        </w:rPr>
        <w:t>US – Steel Plate</w:t>
      </w:r>
      <w:r>
        <w:rPr>
          <w:sz w:val="18"/>
        </w:rPr>
        <w:t>, para. 7.58.</w:t>
      </w:r>
    </w:p>
    <w:p w14:paraId="51DE8855" w14:textId="77777777" w:rsidR="0010369C" w:rsidRDefault="008E43AE">
      <w:pPr>
        <w:spacing w:before="1"/>
        <w:ind w:left="238"/>
        <w:jc w:val="both"/>
        <w:rPr>
          <w:sz w:val="18"/>
        </w:rPr>
      </w:pPr>
      <w:r>
        <w:rPr>
          <w:sz w:val="18"/>
          <w:vertAlign w:val="superscript"/>
        </w:rPr>
        <w:t>389</w:t>
      </w:r>
      <w:r>
        <w:rPr>
          <w:spacing w:val="-5"/>
          <w:sz w:val="18"/>
        </w:rPr>
        <w:t xml:space="preserve"> </w:t>
      </w:r>
      <w:r>
        <w:rPr>
          <w:sz w:val="18"/>
        </w:rPr>
        <w:t>See</w:t>
      </w:r>
      <w:r>
        <w:rPr>
          <w:spacing w:val="-5"/>
          <w:sz w:val="18"/>
        </w:rPr>
        <w:t xml:space="preserve"> </w:t>
      </w:r>
      <w:r>
        <w:rPr>
          <w:sz w:val="18"/>
        </w:rPr>
        <w:t>Panel</w:t>
      </w:r>
      <w:r>
        <w:rPr>
          <w:spacing w:val="-5"/>
          <w:sz w:val="18"/>
        </w:rPr>
        <w:t xml:space="preserve"> </w:t>
      </w:r>
      <w:r>
        <w:rPr>
          <w:sz w:val="18"/>
        </w:rPr>
        <w:t>Report,</w:t>
      </w:r>
      <w:r>
        <w:rPr>
          <w:spacing w:val="-4"/>
          <w:sz w:val="18"/>
        </w:rPr>
        <w:t xml:space="preserve"> </w:t>
      </w:r>
      <w:r>
        <w:rPr>
          <w:i/>
          <w:sz w:val="18"/>
        </w:rPr>
        <w:t>US</w:t>
      </w:r>
      <w:r>
        <w:rPr>
          <w:i/>
          <w:spacing w:val="-4"/>
          <w:sz w:val="18"/>
        </w:rPr>
        <w:t xml:space="preserve"> </w:t>
      </w:r>
      <w:r>
        <w:rPr>
          <w:i/>
          <w:sz w:val="18"/>
        </w:rPr>
        <w:t>–</w:t>
      </w:r>
      <w:r>
        <w:rPr>
          <w:i/>
          <w:spacing w:val="-4"/>
          <w:sz w:val="18"/>
        </w:rPr>
        <w:t xml:space="preserve"> </w:t>
      </w:r>
      <w:r>
        <w:rPr>
          <w:i/>
          <w:sz w:val="18"/>
        </w:rPr>
        <w:t>Steel</w:t>
      </w:r>
      <w:r>
        <w:rPr>
          <w:i/>
          <w:spacing w:val="-5"/>
          <w:sz w:val="18"/>
        </w:rPr>
        <w:t xml:space="preserve"> </w:t>
      </w:r>
      <w:r>
        <w:rPr>
          <w:i/>
          <w:sz w:val="18"/>
        </w:rPr>
        <w:t>Plate</w:t>
      </w:r>
      <w:r>
        <w:rPr>
          <w:sz w:val="18"/>
        </w:rPr>
        <w:t>,</w:t>
      </w:r>
      <w:r>
        <w:rPr>
          <w:spacing w:val="-6"/>
          <w:sz w:val="18"/>
        </w:rPr>
        <w:t xml:space="preserve"> </w:t>
      </w:r>
      <w:r>
        <w:rPr>
          <w:sz w:val="18"/>
        </w:rPr>
        <w:t>para.</w:t>
      </w:r>
      <w:r>
        <w:rPr>
          <w:spacing w:val="-4"/>
          <w:sz w:val="18"/>
        </w:rPr>
        <w:t xml:space="preserve"> </w:t>
      </w:r>
      <w:r>
        <w:rPr>
          <w:spacing w:val="-2"/>
          <w:sz w:val="18"/>
        </w:rPr>
        <w:t>7.65.</w:t>
      </w:r>
    </w:p>
    <w:p w14:paraId="51DE8856" w14:textId="77777777" w:rsidR="0010369C" w:rsidRDefault="008E43AE">
      <w:pPr>
        <w:tabs>
          <w:tab w:val="left" w:pos="2217"/>
        </w:tabs>
        <w:spacing w:before="40"/>
        <w:ind w:left="238"/>
        <w:rPr>
          <w:sz w:val="18"/>
        </w:rPr>
      </w:pPr>
      <w:r>
        <w:br w:type="column"/>
      </w:r>
      <w:r>
        <w:rPr>
          <w:color w:val="5E5E5E"/>
          <w:sz w:val="18"/>
        </w:rPr>
        <w:t>(Exhibit</w:t>
      </w:r>
      <w:r>
        <w:rPr>
          <w:color w:val="5E5E5E"/>
          <w:spacing w:val="-10"/>
          <w:sz w:val="18"/>
        </w:rPr>
        <w:t xml:space="preserve"> </w:t>
      </w:r>
      <w:r>
        <w:rPr>
          <w:color w:val="5E5E5E"/>
          <w:sz w:val="18"/>
        </w:rPr>
        <w:t>AUS‐32</w:t>
      </w:r>
      <w:r>
        <w:rPr>
          <w:color w:val="5E5E5E"/>
          <w:spacing w:val="-9"/>
          <w:sz w:val="18"/>
        </w:rPr>
        <w:t xml:space="preserve"> </w:t>
      </w:r>
      <w:r>
        <w:rPr>
          <w:color w:val="5E5E5E"/>
          <w:spacing w:val="-2"/>
          <w:sz w:val="18"/>
        </w:rPr>
        <w:t>(BCI)),</w:t>
      </w:r>
      <w:r>
        <w:rPr>
          <w:color w:val="5E5E5E"/>
          <w:sz w:val="18"/>
        </w:rPr>
        <w:tab/>
      </w:r>
      <w:r>
        <w:rPr>
          <w:spacing w:val="-5"/>
          <w:sz w:val="18"/>
        </w:rPr>
        <w:t>]]</w:t>
      </w:r>
    </w:p>
    <w:p w14:paraId="51DE8857" w14:textId="77777777" w:rsidR="0010369C" w:rsidRDefault="0010369C">
      <w:pPr>
        <w:rPr>
          <w:sz w:val="18"/>
        </w:rPr>
        <w:sectPr w:rsidR="0010369C">
          <w:type w:val="continuous"/>
          <w:pgSz w:w="11910" w:h="16840"/>
          <w:pgMar w:top="1460" w:right="800" w:bottom="280" w:left="1180" w:header="569" w:footer="788" w:gutter="0"/>
          <w:cols w:num="2" w:space="720" w:equalWidth="0">
            <w:col w:w="4653" w:space="2104"/>
            <w:col w:w="3173"/>
          </w:cols>
        </w:sectPr>
      </w:pPr>
    </w:p>
    <w:p w14:paraId="51DE8858" w14:textId="77777777" w:rsidR="0010369C" w:rsidRDefault="008E43AE">
      <w:pPr>
        <w:tabs>
          <w:tab w:val="left" w:pos="6426"/>
        </w:tabs>
        <w:ind w:left="238"/>
        <w:rPr>
          <w:sz w:val="20"/>
        </w:rPr>
      </w:pPr>
      <w:r>
        <w:rPr>
          <w:i/>
          <w:sz w:val="20"/>
        </w:rPr>
        <w:lastRenderedPageBreak/>
        <w:t>China</w:t>
      </w:r>
      <w:r>
        <w:rPr>
          <w:i/>
          <w:spacing w:val="-5"/>
          <w:sz w:val="20"/>
        </w:rPr>
        <w:t xml:space="preserve"> </w:t>
      </w:r>
      <w:r>
        <w:rPr>
          <w:i/>
          <w:sz w:val="20"/>
        </w:rPr>
        <w:t>–</w:t>
      </w:r>
      <w:r>
        <w:rPr>
          <w:i/>
          <w:spacing w:val="-5"/>
          <w:sz w:val="20"/>
        </w:rPr>
        <w:t xml:space="preserve"> </w:t>
      </w:r>
      <w:r>
        <w:rPr>
          <w:i/>
          <w:sz w:val="20"/>
        </w:rPr>
        <w:t>Anti‐Dumping</w:t>
      </w:r>
      <w:r>
        <w:rPr>
          <w:i/>
          <w:spacing w:val="-4"/>
          <w:sz w:val="20"/>
        </w:rPr>
        <w:t xml:space="preserve"> </w:t>
      </w:r>
      <w:r>
        <w:rPr>
          <w:i/>
          <w:sz w:val="20"/>
        </w:rPr>
        <w:t>and</w:t>
      </w:r>
      <w:r>
        <w:rPr>
          <w:i/>
          <w:spacing w:val="-5"/>
          <w:sz w:val="20"/>
        </w:rPr>
        <w:t xml:space="preserve"> </w:t>
      </w:r>
      <w:r>
        <w:rPr>
          <w:i/>
          <w:sz w:val="20"/>
        </w:rPr>
        <w:t>Countervailing</w:t>
      </w:r>
      <w:r>
        <w:rPr>
          <w:i/>
          <w:spacing w:val="-5"/>
          <w:sz w:val="20"/>
        </w:rPr>
        <w:t xml:space="preserve"> </w:t>
      </w:r>
      <w:r>
        <w:rPr>
          <w:i/>
          <w:sz w:val="20"/>
        </w:rPr>
        <w:t>Duty</w:t>
      </w:r>
      <w:r>
        <w:rPr>
          <w:i/>
          <w:spacing w:val="-4"/>
          <w:sz w:val="20"/>
        </w:rPr>
        <w:t xml:space="preserve"> </w:t>
      </w:r>
      <w:r>
        <w:rPr>
          <w:i/>
          <w:spacing w:val="-2"/>
          <w:sz w:val="20"/>
        </w:rPr>
        <w:t>Measures</w:t>
      </w:r>
      <w:r>
        <w:rPr>
          <w:i/>
          <w:sz w:val="20"/>
        </w:rPr>
        <w:tab/>
      </w:r>
      <w:r>
        <w:rPr>
          <w:sz w:val="20"/>
        </w:rPr>
        <w:t>Australia's</w:t>
      </w:r>
      <w:r>
        <w:rPr>
          <w:spacing w:val="-7"/>
          <w:sz w:val="20"/>
        </w:rPr>
        <w:t xml:space="preserve"> </w:t>
      </w:r>
      <w:r>
        <w:rPr>
          <w:sz w:val="20"/>
        </w:rPr>
        <w:t>First</w:t>
      </w:r>
      <w:r>
        <w:rPr>
          <w:spacing w:val="-2"/>
          <w:sz w:val="20"/>
        </w:rPr>
        <w:t xml:space="preserve"> </w:t>
      </w:r>
      <w:r>
        <w:rPr>
          <w:sz w:val="20"/>
        </w:rPr>
        <w:t>Written</w:t>
      </w:r>
      <w:r>
        <w:rPr>
          <w:spacing w:val="-2"/>
          <w:sz w:val="20"/>
        </w:rPr>
        <w:t xml:space="preserve"> Submission</w:t>
      </w:r>
    </w:p>
    <w:p w14:paraId="51DE8859" w14:textId="77777777" w:rsidR="0010369C" w:rsidRDefault="008E43AE">
      <w:pPr>
        <w:tabs>
          <w:tab w:val="left" w:pos="8228"/>
        </w:tabs>
        <w:spacing w:before="1"/>
        <w:ind w:left="239"/>
        <w:rPr>
          <w:sz w:val="20"/>
        </w:rPr>
      </w:pPr>
      <w:r>
        <w:rPr>
          <w:i/>
          <w:sz w:val="20"/>
        </w:rPr>
        <w:t>on</w:t>
      </w:r>
      <w:r>
        <w:rPr>
          <w:i/>
          <w:spacing w:val="-1"/>
          <w:sz w:val="20"/>
        </w:rPr>
        <w:t xml:space="preserve"> </w:t>
      </w:r>
      <w:r>
        <w:rPr>
          <w:i/>
          <w:sz w:val="20"/>
        </w:rPr>
        <w:t>Wine</w:t>
      </w:r>
      <w:r>
        <w:rPr>
          <w:i/>
          <w:spacing w:val="-1"/>
          <w:sz w:val="20"/>
        </w:rPr>
        <w:t xml:space="preserve"> </w:t>
      </w:r>
      <w:r>
        <w:rPr>
          <w:i/>
          <w:sz w:val="20"/>
        </w:rPr>
        <w:t>from</w:t>
      </w:r>
      <w:r>
        <w:rPr>
          <w:i/>
          <w:spacing w:val="-3"/>
          <w:sz w:val="20"/>
        </w:rPr>
        <w:t xml:space="preserve"> </w:t>
      </w:r>
      <w:r>
        <w:rPr>
          <w:i/>
          <w:sz w:val="20"/>
        </w:rPr>
        <w:t>Australia</w:t>
      </w:r>
      <w:r>
        <w:rPr>
          <w:i/>
          <w:spacing w:val="-1"/>
          <w:sz w:val="20"/>
        </w:rPr>
        <w:t xml:space="preserve"> </w:t>
      </w:r>
      <w:r>
        <w:rPr>
          <w:spacing w:val="-2"/>
          <w:sz w:val="20"/>
        </w:rPr>
        <w:t>(DS602)</w:t>
      </w:r>
      <w:r>
        <w:rPr>
          <w:sz w:val="20"/>
        </w:rPr>
        <w:tab/>
        <w:t>29</w:t>
      </w:r>
      <w:r>
        <w:rPr>
          <w:spacing w:val="-1"/>
          <w:sz w:val="20"/>
        </w:rPr>
        <w:t xml:space="preserve"> </w:t>
      </w:r>
      <w:r>
        <w:rPr>
          <w:sz w:val="20"/>
        </w:rPr>
        <w:t>April</w:t>
      </w:r>
      <w:r>
        <w:rPr>
          <w:spacing w:val="-2"/>
          <w:sz w:val="20"/>
        </w:rPr>
        <w:t xml:space="preserve"> </w:t>
      </w:r>
      <w:r>
        <w:rPr>
          <w:spacing w:val="-4"/>
          <w:sz w:val="20"/>
        </w:rPr>
        <w:t>2022</w:t>
      </w:r>
    </w:p>
    <w:p w14:paraId="51DE885A" w14:textId="77777777" w:rsidR="0010369C" w:rsidRDefault="008E43AE">
      <w:pPr>
        <w:pStyle w:val="BodyText"/>
        <w:spacing w:before="34" w:line="360" w:lineRule="auto"/>
        <w:ind w:left="238" w:right="611"/>
      </w:pPr>
      <w:r>
        <w:t>basis,</w:t>
      </w:r>
      <w:r>
        <w:rPr>
          <w:spacing w:val="-14"/>
        </w:rPr>
        <w:t xml:space="preserve"> </w:t>
      </w:r>
      <w:r>
        <w:t>had</w:t>
      </w:r>
      <w:r>
        <w:rPr>
          <w:spacing w:val="-14"/>
        </w:rPr>
        <w:t xml:space="preserve"> </w:t>
      </w:r>
      <w:r>
        <w:t>formed</w:t>
      </w:r>
      <w:r>
        <w:rPr>
          <w:spacing w:val="-13"/>
        </w:rPr>
        <w:t xml:space="preserve"> </w:t>
      </w:r>
      <w:r>
        <w:t>the</w:t>
      </w:r>
      <w:r>
        <w:rPr>
          <w:spacing w:val="-13"/>
        </w:rPr>
        <w:t xml:space="preserve"> </w:t>
      </w:r>
      <w:r>
        <w:t>view</w:t>
      </w:r>
      <w:r>
        <w:rPr>
          <w:spacing w:val="-14"/>
        </w:rPr>
        <w:t xml:space="preserve"> </w:t>
      </w:r>
      <w:r>
        <w:t>that</w:t>
      </w:r>
      <w:r>
        <w:rPr>
          <w:spacing w:val="-13"/>
        </w:rPr>
        <w:t xml:space="preserve"> </w:t>
      </w:r>
      <w:r>
        <w:t>Casella</w:t>
      </w:r>
      <w:r>
        <w:rPr>
          <w:spacing w:val="-13"/>
        </w:rPr>
        <w:t xml:space="preserve"> </w:t>
      </w:r>
      <w:r>
        <w:t>Wines'</w:t>
      </w:r>
      <w:r>
        <w:rPr>
          <w:spacing w:val="-14"/>
        </w:rPr>
        <w:t xml:space="preserve"> </w:t>
      </w:r>
      <w:r>
        <w:t>cost</w:t>
      </w:r>
      <w:r>
        <w:rPr>
          <w:spacing w:val="-14"/>
        </w:rPr>
        <w:t xml:space="preserve"> </w:t>
      </w:r>
      <w:r>
        <w:t>data</w:t>
      </w:r>
      <w:r>
        <w:rPr>
          <w:spacing w:val="-13"/>
        </w:rPr>
        <w:t xml:space="preserve"> </w:t>
      </w:r>
      <w:r>
        <w:t>should</w:t>
      </w:r>
      <w:r>
        <w:rPr>
          <w:spacing w:val="-13"/>
        </w:rPr>
        <w:t xml:space="preserve"> </w:t>
      </w:r>
      <w:r>
        <w:t>be</w:t>
      </w:r>
      <w:r>
        <w:rPr>
          <w:spacing w:val="-13"/>
        </w:rPr>
        <w:t xml:space="preserve"> </w:t>
      </w:r>
      <w:r>
        <w:t>organised</w:t>
      </w:r>
      <w:r>
        <w:rPr>
          <w:spacing w:val="-13"/>
        </w:rPr>
        <w:t xml:space="preserve"> </w:t>
      </w:r>
      <w:r>
        <w:t>in</w:t>
      </w:r>
      <w:r>
        <w:rPr>
          <w:spacing w:val="-14"/>
        </w:rPr>
        <w:t xml:space="preserve"> </w:t>
      </w:r>
      <w:r>
        <w:t>some</w:t>
      </w:r>
      <w:r>
        <w:rPr>
          <w:spacing w:val="-12"/>
        </w:rPr>
        <w:t xml:space="preserve"> </w:t>
      </w:r>
      <w:r>
        <w:t xml:space="preserve">different </w:t>
      </w:r>
      <w:r>
        <w:rPr>
          <w:spacing w:val="-4"/>
        </w:rPr>
        <w:t>way.</w:t>
      </w:r>
    </w:p>
    <w:p w14:paraId="51DE885B" w14:textId="77777777" w:rsidR="0010369C" w:rsidRDefault="0010369C">
      <w:pPr>
        <w:pStyle w:val="BodyText"/>
        <w:spacing w:before="10"/>
        <w:rPr>
          <w:sz w:val="8"/>
        </w:rPr>
      </w:pPr>
    </w:p>
    <w:p w14:paraId="51DE885C" w14:textId="77777777" w:rsidR="0010369C" w:rsidRDefault="008E43AE">
      <w:pPr>
        <w:pStyle w:val="BodyText"/>
        <w:spacing w:before="52" w:line="360" w:lineRule="auto"/>
        <w:ind w:left="237" w:right="614" w:firstLine="851"/>
        <w:jc w:val="both"/>
      </w:pPr>
      <w:r>
        <w:rPr>
          <w:noProof/>
        </w:rPr>
        <w:drawing>
          <wp:anchor distT="0" distB="0" distL="0" distR="0" simplePos="0" relativeHeight="251002368" behindDoc="1" locked="0" layoutInCell="1" allowOverlap="1" wp14:anchorId="51DEA23F" wp14:editId="51DEA240">
            <wp:simplePos x="0" y="0"/>
            <wp:positionH relativeFrom="page">
              <wp:posOffset>905255</wp:posOffset>
            </wp:positionH>
            <wp:positionV relativeFrom="paragraph">
              <wp:posOffset>76785</wp:posOffset>
            </wp:positionV>
            <wp:extent cx="259079" cy="106679"/>
            <wp:effectExtent l="0" t="0" r="0" b="0"/>
            <wp:wrapNone/>
            <wp:docPr id="711" name="image3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 name="image366.png"/>
                    <pic:cNvPicPr/>
                  </pic:nvPicPr>
                  <pic:blipFill>
                    <a:blip r:embed="rId492" cstate="print"/>
                    <a:stretch>
                      <a:fillRect/>
                    </a:stretch>
                  </pic:blipFill>
                  <pic:spPr>
                    <a:xfrm>
                      <a:off x="0" y="0"/>
                      <a:ext cx="259079" cy="106679"/>
                    </a:xfrm>
                    <a:prstGeom prst="rect">
                      <a:avLst/>
                    </a:prstGeom>
                  </pic:spPr>
                </pic:pic>
              </a:graphicData>
            </a:graphic>
          </wp:anchor>
        </w:drawing>
      </w:r>
      <w:r>
        <w:t>MOFCOM</w:t>
      </w:r>
      <w:r>
        <w:rPr>
          <w:spacing w:val="-3"/>
        </w:rPr>
        <w:t xml:space="preserve"> </w:t>
      </w:r>
      <w:r>
        <w:t>was</w:t>
      </w:r>
      <w:r>
        <w:rPr>
          <w:spacing w:val="-4"/>
        </w:rPr>
        <w:t xml:space="preserve"> </w:t>
      </w:r>
      <w:r>
        <w:t>obliged</w:t>
      </w:r>
      <w:r>
        <w:rPr>
          <w:spacing w:val="-4"/>
        </w:rPr>
        <w:t xml:space="preserve"> </w:t>
      </w:r>
      <w:r>
        <w:t>by</w:t>
      </w:r>
      <w:r>
        <w:rPr>
          <w:spacing w:val="-3"/>
        </w:rPr>
        <w:t xml:space="preserve"> </w:t>
      </w:r>
      <w:r>
        <w:t>paragraph</w:t>
      </w:r>
      <w:r>
        <w:rPr>
          <w:spacing w:val="-3"/>
        </w:rPr>
        <w:t xml:space="preserve"> </w:t>
      </w:r>
      <w:r>
        <w:t>5</w:t>
      </w:r>
      <w:r>
        <w:rPr>
          <w:spacing w:val="-4"/>
        </w:rPr>
        <w:t xml:space="preserve"> </w:t>
      </w:r>
      <w:r>
        <w:t>of</w:t>
      </w:r>
      <w:r>
        <w:rPr>
          <w:spacing w:val="-4"/>
        </w:rPr>
        <w:t xml:space="preserve"> </w:t>
      </w:r>
      <w:r>
        <w:t>Annex</w:t>
      </w:r>
      <w:r>
        <w:rPr>
          <w:spacing w:val="-4"/>
        </w:rPr>
        <w:t xml:space="preserve"> </w:t>
      </w:r>
      <w:r>
        <w:t>II</w:t>
      </w:r>
      <w:r>
        <w:rPr>
          <w:spacing w:val="-3"/>
        </w:rPr>
        <w:t xml:space="preserve"> </w:t>
      </w:r>
      <w:r>
        <w:t>to</w:t>
      </w:r>
      <w:r>
        <w:rPr>
          <w:spacing w:val="-3"/>
        </w:rPr>
        <w:t xml:space="preserve"> </w:t>
      </w:r>
      <w:r>
        <w:t>use</w:t>
      </w:r>
      <w:r>
        <w:rPr>
          <w:spacing w:val="-3"/>
        </w:rPr>
        <w:t xml:space="preserve"> </w:t>
      </w:r>
      <w:r>
        <w:t>the</w:t>
      </w:r>
      <w:r>
        <w:rPr>
          <w:spacing w:val="-3"/>
        </w:rPr>
        <w:t xml:space="preserve"> </w:t>
      </w:r>
      <w:r>
        <w:t>information</w:t>
      </w:r>
      <w:r>
        <w:rPr>
          <w:spacing w:val="-3"/>
        </w:rPr>
        <w:t xml:space="preserve"> </w:t>
      </w:r>
      <w:r>
        <w:t>provided</w:t>
      </w:r>
      <w:r>
        <w:rPr>
          <w:spacing w:val="-4"/>
        </w:rPr>
        <w:t xml:space="preserve"> </w:t>
      </w:r>
      <w:r>
        <w:t>to it, even if not ideal in all respects, provided Casella Wines had acted to the best of its ability. Casella</w:t>
      </w:r>
      <w:r>
        <w:rPr>
          <w:spacing w:val="-13"/>
        </w:rPr>
        <w:t xml:space="preserve"> </w:t>
      </w:r>
      <w:r>
        <w:t>Wines</w:t>
      </w:r>
      <w:r>
        <w:rPr>
          <w:spacing w:val="-14"/>
        </w:rPr>
        <w:t xml:space="preserve"> </w:t>
      </w:r>
      <w:r>
        <w:t>had</w:t>
      </w:r>
      <w:r>
        <w:rPr>
          <w:spacing w:val="-12"/>
        </w:rPr>
        <w:t xml:space="preserve"> </w:t>
      </w:r>
      <w:r>
        <w:t>provided</w:t>
      </w:r>
      <w:r>
        <w:rPr>
          <w:spacing w:val="-13"/>
        </w:rPr>
        <w:t xml:space="preserve"> </w:t>
      </w:r>
      <w:r>
        <w:t>complete</w:t>
      </w:r>
      <w:r>
        <w:rPr>
          <w:spacing w:val="-13"/>
        </w:rPr>
        <w:t xml:space="preserve"> </w:t>
      </w:r>
      <w:r>
        <w:t>data,</w:t>
      </w:r>
      <w:r>
        <w:rPr>
          <w:spacing w:val="-13"/>
        </w:rPr>
        <w:t xml:space="preserve"> </w:t>
      </w:r>
      <w:r>
        <w:t>with</w:t>
      </w:r>
      <w:r>
        <w:rPr>
          <w:spacing w:val="-12"/>
        </w:rPr>
        <w:t xml:space="preserve"> </w:t>
      </w:r>
      <w:r>
        <w:t>full</w:t>
      </w:r>
      <w:r>
        <w:rPr>
          <w:spacing w:val="-13"/>
        </w:rPr>
        <w:t xml:space="preserve"> </w:t>
      </w:r>
      <w:r>
        <w:t>(and</w:t>
      </w:r>
      <w:r>
        <w:rPr>
          <w:spacing w:val="-13"/>
        </w:rPr>
        <w:t xml:space="preserve"> </w:t>
      </w:r>
      <w:r>
        <w:t>repeated)</w:t>
      </w:r>
      <w:r>
        <w:rPr>
          <w:spacing w:val="-14"/>
        </w:rPr>
        <w:t xml:space="preserve"> </w:t>
      </w:r>
      <w:r>
        <w:t>explanations</w:t>
      </w:r>
      <w:r>
        <w:rPr>
          <w:spacing w:val="-14"/>
        </w:rPr>
        <w:t xml:space="preserve"> </w:t>
      </w:r>
      <w:r>
        <w:t>of</w:t>
      </w:r>
      <w:r>
        <w:rPr>
          <w:spacing w:val="-13"/>
        </w:rPr>
        <w:t xml:space="preserve"> </w:t>
      </w:r>
      <w:r>
        <w:t>why</w:t>
      </w:r>
      <w:r>
        <w:rPr>
          <w:spacing w:val="-12"/>
        </w:rPr>
        <w:t xml:space="preserve"> </w:t>
      </w:r>
      <w:r>
        <w:t>it</w:t>
      </w:r>
      <w:r>
        <w:rPr>
          <w:spacing w:val="-13"/>
        </w:rPr>
        <w:t xml:space="preserve"> </w:t>
      </w:r>
      <w:r>
        <w:t>was presented in the way chosen. Accordingly, MOFCOM had no pro</w:t>
      </w:r>
      <w:r>
        <w:t>per basis to refuse to make use of it.</w:t>
      </w:r>
    </w:p>
    <w:p w14:paraId="51DE885D" w14:textId="77777777" w:rsidR="0010369C" w:rsidRDefault="008E43AE">
      <w:pPr>
        <w:pStyle w:val="ListParagraph"/>
        <w:numPr>
          <w:ilvl w:val="5"/>
          <w:numId w:val="75"/>
        </w:numPr>
        <w:tabs>
          <w:tab w:val="left" w:pos="5340"/>
          <w:tab w:val="left" w:pos="5341"/>
        </w:tabs>
        <w:spacing w:before="160" w:line="360" w:lineRule="auto"/>
        <w:ind w:right="614" w:hanging="848"/>
        <w:jc w:val="both"/>
        <w:rPr>
          <w:sz w:val="24"/>
        </w:rPr>
      </w:pPr>
      <w:r>
        <w:rPr>
          <w:sz w:val="24"/>
          <w:u w:val="single"/>
        </w:rPr>
        <w:t>The use of product control code marker</w:t>
      </w:r>
      <w:r>
        <w:rPr>
          <w:sz w:val="24"/>
        </w:rPr>
        <w:t xml:space="preserve"> </w:t>
      </w:r>
      <w:r>
        <w:rPr>
          <w:spacing w:val="-2"/>
          <w:sz w:val="24"/>
          <w:u w:val="single"/>
        </w:rPr>
        <w:t>"#N/A"</w:t>
      </w:r>
    </w:p>
    <w:p w14:paraId="51DE885E" w14:textId="77777777" w:rsidR="0010369C" w:rsidRDefault="0010369C">
      <w:pPr>
        <w:pStyle w:val="BodyText"/>
        <w:spacing w:before="11"/>
        <w:rPr>
          <w:sz w:val="8"/>
        </w:rPr>
      </w:pPr>
    </w:p>
    <w:p w14:paraId="51DE885F" w14:textId="77777777" w:rsidR="0010369C" w:rsidRDefault="008E43AE">
      <w:pPr>
        <w:pStyle w:val="BodyText"/>
        <w:spacing w:before="52" w:line="360" w:lineRule="auto"/>
        <w:ind w:left="237" w:right="613" w:firstLine="852"/>
        <w:jc w:val="both"/>
      </w:pPr>
      <w:r>
        <w:rPr>
          <w:noProof/>
        </w:rPr>
        <w:drawing>
          <wp:anchor distT="0" distB="0" distL="0" distR="0" simplePos="0" relativeHeight="251003392" behindDoc="1" locked="0" layoutInCell="1" allowOverlap="1" wp14:anchorId="51DEA241" wp14:editId="51DEA242">
            <wp:simplePos x="0" y="0"/>
            <wp:positionH relativeFrom="page">
              <wp:posOffset>905255</wp:posOffset>
            </wp:positionH>
            <wp:positionV relativeFrom="paragraph">
              <wp:posOffset>80595</wp:posOffset>
            </wp:positionV>
            <wp:extent cx="259079" cy="103631"/>
            <wp:effectExtent l="0" t="0" r="0" b="0"/>
            <wp:wrapNone/>
            <wp:docPr id="713" name="image3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 name="image367.png"/>
                    <pic:cNvPicPr/>
                  </pic:nvPicPr>
                  <pic:blipFill>
                    <a:blip r:embed="rId493" cstate="print"/>
                    <a:stretch>
                      <a:fillRect/>
                    </a:stretch>
                  </pic:blipFill>
                  <pic:spPr>
                    <a:xfrm>
                      <a:off x="0" y="0"/>
                      <a:ext cx="259079" cy="103631"/>
                    </a:xfrm>
                    <a:prstGeom prst="rect">
                      <a:avLst/>
                    </a:prstGeom>
                  </pic:spPr>
                </pic:pic>
              </a:graphicData>
            </a:graphic>
          </wp:anchor>
        </w:drawing>
      </w:r>
      <w:r>
        <w:t>In the Final Determination MOFCOM recalled its finding from the Preliminary Determination</w:t>
      </w:r>
      <w:r>
        <w:rPr>
          <w:spacing w:val="-14"/>
        </w:rPr>
        <w:t xml:space="preserve"> </w:t>
      </w:r>
      <w:r>
        <w:t>that</w:t>
      </w:r>
      <w:r>
        <w:rPr>
          <w:spacing w:val="-14"/>
        </w:rPr>
        <w:t xml:space="preserve"> </w:t>
      </w:r>
      <w:r>
        <w:t>some</w:t>
      </w:r>
      <w:r>
        <w:rPr>
          <w:spacing w:val="-13"/>
        </w:rPr>
        <w:t xml:space="preserve"> </w:t>
      </w:r>
      <w:r>
        <w:t>product</w:t>
      </w:r>
      <w:r>
        <w:rPr>
          <w:spacing w:val="-14"/>
        </w:rPr>
        <w:t xml:space="preserve"> </w:t>
      </w:r>
      <w:r>
        <w:t>control</w:t>
      </w:r>
      <w:r>
        <w:rPr>
          <w:spacing w:val="-13"/>
        </w:rPr>
        <w:t xml:space="preserve"> </w:t>
      </w:r>
      <w:r>
        <w:t>codes</w:t>
      </w:r>
      <w:r>
        <w:rPr>
          <w:spacing w:val="-14"/>
        </w:rPr>
        <w:t xml:space="preserve"> </w:t>
      </w:r>
      <w:r>
        <w:t>in</w:t>
      </w:r>
      <w:r>
        <w:rPr>
          <w:spacing w:val="-13"/>
        </w:rPr>
        <w:t xml:space="preserve"> </w:t>
      </w:r>
      <w:r>
        <w:t>Form</w:t>
      </w:r>
      <w:r>
        <w:rPr>
          <w:spacing w:val="-14"/>
        </w:rPr>
        <w:t xml:space="preserve"> </w:t>
      </w:r>
      <w:r>
        <w:t>6‐4</w:t>
      </w:r>
      <w:r>
        <w:rPr>
          <w:spacing w:val="-14"/>
        </w:rPr>
        <w:t xml:space="preserve"> </w:t>
      </w:r>
      <w:r>
        <w:t>submitted</w:t>
      </w:r>
      <w:r>
        <w:rPr>
          <w:spacing w:val="-13"/>
        </w:rPr>
        <w:t xml:space="preserve"> </w:t>
      </w:r>
      <w:r>
        <w:t>by</w:t>
      </w:r>
      <w:r>
        <w:rPr>
          <w:spacing w:val="-14"/>
        </w:rPr>
        <w:t xml:space="preserve"> </w:t>
      </w:r>
      <w:r>
        <w:t>Casella</w:t>
      </w:r>
      <w:r>
        <w:rPr>
          <w:spacing w:val="-13"/>
        </w:rPr>
        <w:t xml:space="preserve"> </w:t>
      </w:r>
      <w:r>
        <w:t>Wines</w:t>
      </w:r>
      <w:r>
        <w:rPr>
          <w:spacing w:val="-14"/>
        </w:rPr>
        <w:t xml:space="preserve"> </w:t>
      </w:r>
      <w:r>
        <w:t>"were not</w:t>
      </w:r>
      <w:r>
        <w:rPr>
          <w:spacing w:val="-14"/>
        </w:rPr>
        <w:t xml:space="preserve"> </w:t>
      </w:r>
      <w:r>
        <w:t>reported</w:t>
      </w:r>
      <w:r>
        <w:rPr>
          <w:spacing w:val="-14"/>
        </w:rPr>
        <w:t xml:space="preserve"> </w:t>
      </w:r>
      <w:r>
        <w:t>in</w:t>
      </w:r>
      <w:r>
        <w:rPr>
          <w:spacing w:val="-13"/>
        </w:rPr>
        <w:t xml:space="preserve"> </w:t>
      </w:r>
      <w:r>
        <w:t>the</w:t>
      </w:r>
      <w:r>
        <w:rPr>
          <w:spacing w:val="-14"/>
        </w:rPr>
        <w:t xml:space="preserve"> </w:t>
      </w:r>
      <w:r>
        <w:t>sheet</w:t>
      </w:r>
      <w:r>
        <w:rPr>
          <w:spacing w:val="-13"/>
        </w:rPr>
        <w:t xml:space="preserve"> </w:t>
      </w:r>
      <w:r>
        <w:t>(shown</w:t>
      </w:r>
      <w:r>
        <w:rPr>
          <w:spacing w:val="-14"/>
        </w:rPr>
        <w:t xml:space="preserve"> </w:t>
      </w:r>
      <w:r>
        <w:t>as</w:t>
      </w:r>
      <w:r>
        <w:rPr>
          <w:spacing w:val="-13"/>
        </w:rPr>
        <w:t xml:space="preserve"> </w:t>
      </w:r>
      <w:r>
        <w:t>#N/A),</w:t>
      </w:r>
      <w:r>
        <w:rPr>
          <w:spacing w:val="-14"/>
        </w:rPr>
        <w:t xml:space="preserve"> </w:t>
      </w:r>
      <w:r>
        <w:t>making</w:t>
      </w:r>
      <w:r>
        <w:rPr>
          <w:spacing w:val="-14"/>
        </w:rPr>
        <w:t xml:space="preserve"> </w:t>
      </w:r>
      <w:r>
        <w:t>it</w:t>
      </w:r>
      <w:r>
        <w:rPr>
          <w:spacing w:val="-13"/>
        </w:rPr>
        <w:t xml:space="preserve"> </w:t>
      </w:r>
      <w:r>
        <w:t>impossible</w:t>
      </w:r>
      <w:r>
        <w:rPr>
          <w:spacing w:val="-14"/>
        </w:rPr>
        <w:t xml:space="preserve"> </w:t>
      </w:r>
      <w:r>
        <w:t>for</w:t>
      </w:r>
      <w:r>
        <w:rPr>
          <w:spacing w:val="-13"/>
        </w:rPr>
        <w:t xml:space="preserve"> </w:t>
      </w:r>
      <w:r>
        <w:t>the</w:t>
      </w:r>
      <w:r>
        <w:rPr>
          <w:spacing w:val="-14"/>
        </w:rPr>
        <w:t xml:space="preserve"> </w:t>
      </w:r>
      <w:r>
        <w:t>Investigating</w:t>
      </w:r>
      <w:r>
        <w:rPr>
          <w:spacing w:val="-13"/>
        </w:rPr>
        <w:t xml:space="preserve"> </w:t>
      </w:r>
      <w:r>
        <w:t>Authority to</w:t>
      </w:r>
      <w:r>
        <w:rPr>
          <w:spacing w:val="-3"/>
        </w:rPr>
        <w:t xml:space="preserve"> </w:t>
      </w:r>
      <w:r>
        <w:t>compare</w:t>
      </w:r>
      <w:r>
        <w:rPr>
          <w:spacing w:val="-4"/>
        </w:rPr>
        <w:t xml:space="preserve"> </w:t>
      </w:r>
      <w:r>
        <w:t>these</w:t>
      </w:r>
      <w:r>
        <w:rPr>
          <w:spacing w:val="-3"/>
        </w:rPr>
        <w:t xml:space="preserve"> </w:t>
      </w:r>
      <w:r>
        <w:t>data".</w:t>
      </w:r>
      <w:r>
        <w:rPr>
          <w:vertAlign w:val="superscript"/>
        </w:rPr>
        <w:t>390</w:t>
      </w:r>
      <w:r>
        <w:rPr>
          <w:spacing w:val="-4"/>
        </w:rPr>
        <w:t xml:space="preserve"> </w:t>
      </w:r>
      <w:r>
        <w:t>Although</w:t>
      </w:r>
      <w:r>
        <w:rPr>
          <w:spacing w:val="-5"/>
        </w:rPr>
        <w:t xml:space="preserve"> </w:t>
      </w:r>
      <w:r>
        <w:t>MOFCOM</w:t>
      </w:r>
      <w:r>
        <w:rPr>
          <w:spacing w:val="-4"/>
        </w:rPr>
        <w:t xml:space="preserve"> </w:t>
      </w:r>
      <w:r>
        <w:t>did</w:t>
      </w:r>
      <w:r>
        <w:rPr>
          <w:spacing w:val="-4"/>
        </w:rPr>
        <w:t xml:space="preserve"> </w:t>
      </w:r>
      <w:r>
        <w:t>not</w:t>
      </w:r>
      <w:r>
        <w:rPr>
          <w:spacing w:val="-4"/>
        </w:rPr>
        <w:t xml:space="preserve"> </w:t>
      </w:r>
      <w:r>
        <w:t>say</w:t>
      </w:r>
      <w:r>
        <w:rPr>
          <w:spacing w:val="-3"/>
        </w:rPr>
        <w:t xml:space="preserve"> </w:t>
      </w:r>
      <w:r>
        <w:t>so</w:t>
      </w:r>
      <w:r>
        <w:rPr>
          <w:spacing w:val="-3"/>
        </w:rPr>
        <w:t xml:space="preserve"> </w:t>
      </w:r>
      <w:r>
        <w:t>expressly,</w:t>
      </w:r>
      <w:r>
        <w:rPr>
          <w:spacing w:val="-6"/>
        </w:rPr>
        <w:t xml:space="preserve"> </w:t>
      </w:r>
      <w:r>
        <w:t>it</w:t>
      </w:r>
      <w:r>
        <w:rPr>
          <w:spacing w:val="-4"/>
        </w:rPr>
        <w:t xml:space="preserve"> </w:t>
      </w:r>
      <w:r>
        <w:t>appears</w:t>
      </w:r>
      <w:r>
        <w:rPr>
          <w:spacing w:val="-4"/>
        </w:rPr>
        <w:t xml:space="preserve"> </w:t>
      </w:r>
      <w:r>
        <w:t>it</w:t>
      </w:r>
      <w:r>
        <w:rPr>
          <w:spacing w:val="-4"/>
        </w:rPr>
        <w:t xml:space="preserve"> </w:t>
      </w:r>
      <w:r>
        <w:t>affirmed and relied upon this finding in the Final Determination as par</w:t>
      </w:r>
      <w:r>
        <w:t>t of its decision to disregard the data submitted in Form 6‐4 and resort to facts available.</w:t>
      </w:r>
      <w:r>
        <w:rPr>
          <w:vertAlign w:val="superscript"/>
        </w:rPr>
        <w:t>391</w:t>
      </w:r>
    </w:p>
    <w:p w14:paraId="51DE8860" w14:textId="77777777" w:rsidR="0010369C" w:rsidRDefault="0010369C">
      <w:pPr>
        <w:pStyle w:val="BodyText"/>
        <w:spacing w:before="10"/>
        <w:rPr>
          <w:sz w:val="8"/>
        </w:rPr>
      </w:pPr>
    </w:p>
    <w:p w14:paraId="51DE8861" w14:textId="77777777" w:rsidR="0010369C" w:rsidRDefault="008E43AE">
      <w:pPr>
        <w:pStyle w:val="BodyText"/>
        <w:spacing w:before="52" w:line="360" w:lineRule="auto"/>
        <w:ind w:left="238" w:right="613" w:firstLine="851"/>
        <w:jc w:val="both"/>
      </w:pPr>
      <w:r>
        <w:rPr>
          <w:noProof/>
        </w:rPr>
        <w:drawing>
          <wp:anchor distT="0" distB="0" distL="0" distR="0" simplePos="0" relativeHeight="251004416" behindDoc="1" locked="0" layoutInCell="1" allowOverlap="1" wp14:anchorId="51DEA243" wp14:editId="51DEA244">
            <wp:simplePos x="0" y="0"/>
            <wp:positionH relativeFrom="page">
              <wp:posOffset>905255</wp:posOffset>
            </wp:positionH>
            <wp:positionV relativeFrom="paragraph">
              <wp:posOffset>81949</wp:posOffset>
            </wp:positionV>
            <wp:extent cx="259079" cy="100753"/>
            <wp:effectExtent l="0" t="0" r="0" b="0"/>
            <wp:wrapNone/>
            <wp:docPr id="715" name="image3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 name="image368.png"/>
                    <pic:cNvPicPr/>
                  </pic:nvPicPr>
                  <pic:blipFill>
                    <a:blip r:embed="rId494" cstate="print"/>
                    <a:stretch>
                      <a:fillRect/>
                    </a:stretch>
                  </pic:blipFill>
                  <pic:spPr>
                    <a:xfrm>
                      <a:off x="0" y="0"/>
                      <a:ext cx="259079" cy="100753"/>
                    </a:xfrm>
                    <a:prstGeom prst="rect">
                      <a:avLst/>
                    </a:prstGeom>
                  </pic:spPr>
                </pic:pic>
              </a:graphicData>
            </a:graphic>
          </wp:anchor>
        </w:drawing>
      </w:r>
      <w:r>
        <w:t>MOFCOM persisted with this finding, despite expressly recording in the Final Determination</w:t>
      </w:r>
      <w:r>
        <w:rPr>
          <w:spacing w:val="-5"/>
        </w:rPr>
        <w:t xml:space="preserve"> </w:t>
      </w:r>
      <w:r>
        <w:t>that</w:t>
      </w:r>
      <w:r>
        <w:rPr>
          <w:spacing w:val="-5"/>
        </w:rPr>
        <w:t xml:space="preserve"> </w:t>
      </w:r>
      <w:r>
        <w:t>Casella</w:t>
      </w:r>
      <w:r>
        <w:rPr>
          <w:spacing w:val="-4"/>
        </w:rPr>
        <w:t xml:space="preserve"> </w:t>
      </w:r>
      <w:r>
        <w:t>Wines</w:t>
      </w:r>
      <w:r>
        <w:rPr>
          <w:spacing w:val="-6"/>
        </w:rPr>
        <w:t xml:space="preserve"> </w:t>
      </w:r>
      <w:r>
        <w:t>had</w:t>
      </w:r>
      <w:r>
        <w:rPr>
          <w:spacing w:val="-5"/>
        </w:rPr>
        <w:t xml:space="preserve"> </w:t>
      </w:r>
      <w:r>
        <w:t>explained</w:t>
      </w:r>
      <w:r>
        <w:rPr>
          <w:spacing w:val="-6"/>
        </w:rPr>
        <w:t xml:space="preserve"> </w:t>
      </w:r>
      <w:r>
        <w:t>that</w:t>
      </w:r>
      <w:r>
        <w:rPr>
          <w:spacing w:val="-5"/>
        </w:rPr>
        <w:t xml:space="preserve"> </w:t>
      </w:r>
      <w:r>
        <w:t>for</w:t>
      </w:r>
      <w:r>
        <w:rPr>
          <w:spacing w:val="-5"/>
        </w:rPr>
        <w:t xml:space="preserve"> </w:t>
      </w:r>
      <w:r>
        <w:t>"those</w:t>
      </w:r>
      <w:r>
        <w:rPr>
          <w:spacing w:val="-5"/>
        </w:rPr>
        <w:t xml:space="preserve"> </w:t>
      </w:r>
      <w:r>
        <w:t>product</w:t>
      </w:r>
      <w:r>
        <w:rPr>
          <w:spacing w:val="-5"/>
        </w:rPr>
        <w:t xml:space="preserve"> </w:t>
      </w:r>
      <w:r>
        <w:t>control</w:t>
      </w:r>
      <w:r>
        <w:rPr>
          <w:spacing w:val="-5"/>
        </w:rPr>
        <w:t xml:space="preserve"> </w:t>
      </w:r>
      <w:r>
        <w:t>codes</w:t>
      </w:r>
      <w:r>
        <w:rPr>
          <w:spacing w:val="-6"/>
        </w:rPr>
        <w:t xml:space="preserve"> </w:t>
      </w:r>
      <w:r>
        <w:t>shown as</w:t>
      </w:r>
      <w:r>
        <w:rPr>
          <w:spacing w:val="-14"/>
        </w:rPr>
        <w:t xml:space="preserve"> </w:t>
      </w:r>
      <w:r>
        <w:t>#N/A,</w:t>
      </w:r>
      <w:r>
        <w:rPr>
          <w:spacing w:val="-13"/>
        </w:rPr>
        <w:t xml:space="preserve"> </w:t>
      </w:r>
      <w:r>
        <w:t>it</w:t>
      </w:r>
      <w:r>
        <w:rPr>
          <w:spacing w:val="-13"/>
        </w:rPr>
        <w:t xml:space="preserve"> </w:t>
      </w:r>
      <w:r>
        <w:t>meant</w:t>
      </w:r>
      <w:r>
        <w:rPr>
          <w:spacing w:val="-14"/>
        </w:rPr>
        <w:t xml:space="preserve"> </w:t>
      </w:r>
      <w:r>
        <w:t>that</w:t>
      </w:r>
      <w:r>
        <w:rPr>
          <w:spacing w:val="-14"/>
        </w:rPr>
        <w:t xml:space="preserve"> </w:t>
      </w:r>
      <w:r>
        <w:t>these</w:t>
      </w:r>
      <w:r>
        <w:rPr>
          <w:spacing w:val="-12"/>
        </w:rPr>
        <w:t xml:space="preserve"> </w:t>
      </w:r>
      <w:r>
        <w:t>products</w:t>
      </w:r>
      <w:r>
        <w:rPr>
          <w:spacing w:val="-13"/>
        </w:rPr>
        <w:t xml:space="preserve"> </w:t>
      </w:r>
      <w:r>
        <w:t>were</w:t>
      </w:r>
      <w:r>
        <w:rPr>
          <w:spacing w:val="-13"/>
        </w:rPr>
        <w:t xml:space="preserve"> </w:t>
      </w:r>
      <w:r>
        <w:t>not</w:t>
      </w:r>
      <w:r>
        <w:rPr>
          <w:spacing w:val="-13"/>
        </w:rPr>
        <w:t xml:space="preserve"> </w:t>
      </w:r>
      <w:r>
        <w:t>sold</w:t>
      </w:r>
      <w:r>
        <w:rPr>
          <w:spacing w:val="-13"/>
        </w:rPr>
        <w:t xml:space="preserve"> </w:t>
      </w:r>
      <w:r>
        <w:t>during</w:t>
      </w:r>
      <w:r>
        <w:rPr>
          <w:spacing w:val="-13"/>
        </w:rPr>
        <w:t xml:space="preserve"> </w:t>
      </w:r>
      <w:r>
        <w:t>the</w:t>
      </w:r>
      <w:r>
        <w:rPr>
          <w:spacing w:val="-13"/>
        </w:rPr>
        <w:t xml:space="preserve"> </w:t>
      </w:r>
      <w:r>
        <w:t>investigation</w:t>
      </w:r>
      <w:r>
        <w:rPr>
          <w:spacing w:val="-12"/>
        </w:rPr>
        <w:t xml:space="preserve"> </w:t>
      </w:r>
      <w:r>
        <w:t>period;</w:t>
      </w:r>
      <w:r>
        <w:rPr>
          <w:spacing w:val="-14"/>
        </w:rPr>
        <w:t xml:space="preserve"> </w:t>
      </w:r>
      <w:r>
        <w:t>sin</w:t>
      </w:r>
      <w:r>
        <w:t>ce</w:t>
      </w:r>
      <w:r>
        <w:rPr>
          <w:spacing w:val="-13"/>
        </w:rPr>
        <w:t xml:space="preserve"> </w:t>
      </w:r>
      <w:r>
        <w:t>they were irrelevant to the calculation of dumping margin, no product control codes were attributed</w:t>
      </w:r>
      <w:r>
        <w:rPr>
          <w:spacing w:val="-3"/>
        </w:rPr>
        <w:t xml:space="preserve"> </w:t>
      </w:r>
      <w:r>
        <w:t>to</w:t>
      </w:r>
      <w:r>
        <w:rPr>
          <w:spacing w:val="-2"/>
        </w:rPr>
        <w:t xml:space="preserve"> </w:t>
      </w:r>
      <w:r>
        <w:t>them".</w:t>
      </w:r>
      <w:r>
        <w:rPr>
          <w:vertAlign w:val="superscript"/>
        </w:rPr>
        <w:t>392</w:t>
      </w:r>
      <w:r>
        <w:rPr>
          <w:spacing w:val="-3"/>
        </w:rPr>
        <w:t xml:space="preserve"> </w:t>
      </w:r>
      <w:r>
        <w:t>MOFCOM</w:t>
      </w:r>
      <w:r>
        <w:rPr>
          <w:spacing w:val="-2"/>
        </w:rPr>
        <w:t xml:space="preserve"> </w:t>
      </w:r>
      <w:r>
        <w:t>did</w:t>
      </w:r>
      <w:r>
        <w:rPr>
          <w:spacing w:val="-3"/>
        </w:rPr>
        <w:t xml:space="preserve"> </w:t>
      </w:r>
      <w:r>
        <w:t>not</w:t>
      </w:r>
      <w:r>
        <w:rPr>
          <w:spacing w:val="-2"/>
        </w:rPr>
        <w:t xml:space="preserve"> </w:t>
      </w:r>
      <w:r>
        <w:t>offer</w:t>
      </w:r>
      <w:r>
        <w:rPr>
          <w:spacing w:val="-2"/>
        </w:rPr>
        <w:t xml:space="preserve"> </w:t>
      </w:r>
      <w:r>
        <w:t>any</w:t>
      </w:r>
      <w:r>
        <w:rPr>
          <w:spacing w:val="-2"/>
        </w:rPr>
        <w:t xml:space="preserve"> </w:t>
      </w:r>
      <w:r>
        <w:t>reasons</w:t>
      </w:r>
      <w:r>
        <w:rPr>
          <w:spacing w:val="-4"/>
        </w:rPr>
        <w:t xml:space="preserve"> </w:t>
      </w:r>
      <w:r>
        <w:t>as</w:t>
      </w:r>
      <w:r>
        <w:rPr>
          <w:spacing w:val="-4"/>
        </w:rPr>
        <w:t xml:space="preserve"> </w:t>
      </w:r>
      <w:r>
        <w:t>to</w:t>
      </w:r>
      <w:r>
        <w:rPr>
          <w:spacing w:val="-2"/>
        </w:rPr>
        <w:t xml:space="preserve"> </w:t>
      </w:r>
      <w:r>
        <w:t>why</w:t>
      </w:r>
      <w:r>
        <w:rPr>
          <w:spacing w:val="-3"/>
        </w:rPr>
        <w:t xml:space="preserve"> </w:t>
      </w:r>
      <w:r>
        <w:t>it</w:t>
      </w:r>
      <w:r>
        <w:rPr>
          <w:spacing w:val="-3"/>
        </w:rPr>
        <w:t xml:space="preserve"> </w:t>
      </w:r>
      <w:r>
        <w:t>had</w:t>
      </w:r>
      <w:r>
        <w:rPr>
          <w:spacing w:val="-3"/>
        </w:rPr>
        <w:t xml:space="preserve"> </w:t>
      </w:r>
      <w:r>
        <w:t>not</w:t>
      </w:r>
      <w:r>
        <w:rPr>
          <w:spacing w:val="-2"/>
        </w:rPr>
        <w:t xml:space="preserve"> </w:t>
      </w:r>
      <w:r>
        <w:t>accepted</w:t>
      </w:r>
      <w:r>
        <w:rPr>
          <w:spacing w:val="-3"/>
        </w:rPr>
        <w:t xml:space="preserve"> </w:t>
      </w:r>
      <w:r>
        <w:t xml:space="preserve">this </w:t>
      </w:r>
      <w:r>
        <w:rPr>
          <w:spacing w:val="-2"/>
        </w:rPr>
        <w:t>explanation.</w:t>
      </w:r>
    </w:p>
    <w:p w14:paraId="51DE8862" w14:textId="77777777" w:rsidR="0010369C" w:rsidRDefault="0010369C">
      <w:pPr>
        <w:pStyle w:val="BodyText"/>
        <w:spacing w:before="11"/>
        <w:rPr>
          <w:sz w:val="8"/>
        </w:rPr>
      </w:pPr>
    </w:p>
    <w:p w14:paraId="51DE8863" w14:textId="77777777" w:rsidR="0010369C" w:rsidRDefault="008E43AE">
      <w:pPr>
        <w:pStyle w:val="BodyText"/>
        <w:spacing w:before="52" w:line="360" w:lineRule="auto"/>
        <w:ind w:left="238" w:right="613" w:firstLine="851"/>
        <w:jc w:val="both"/>
      </w:pPr>
      <w:r>
        <w:rPr>
          <w:noProof/>
        </w:rPr>
        <w:drawing>
          <wp:anchor distT="0" distB="0" distL="0" distR="0" simplePos="0" relativeHeight="251005440" behindDoc="1" locked="0" layoutInCell="1" allowOverlap="1" wp14:anchorId="51DEA245" wp14:editId="51DEA246">
            <wp:simplePos x="0" y="0"/>
            <wp:positionH relativeFrom="page">
              <wp:posOffset>905255</wp:posOffset>
            </wp:positionH>
            <wp:positionV relativeFrom="paragraph">
              <wp:posOffset>76785</wp:posOffset>
            </wp:positionV>
            <wp:extent cx="259079" cy="106679"/>
            <wp:effectExtent l="0" t="0" r="0" b="0"/>
            <wp:wrapNone/>
            <wp:docPr id="717" name="image3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 name="image369.png"/>
                    <pic:cNvPicPr/>
                  </pic:nvPicPr>
                  <pic:blipFill>
                    <a:blip r:embed="rId495" cstate="print"/>
                    <a:stretch>
                      <a:fillRect/>
                    </a:stretch>
                  </pic:blipFill>
                  <pic:spPr>
                    <a:xfrm>
                      <a:off x="0" y="0"/>
                      <a:ext cx="259079" cy="106679"/>
                    </a:xfrm>
                    <a:prstGeom prst="rect">
                      <a:avLst/>
                    </a:prstGeom>
                  </pic:spPr>
                </pic:pic>
              </a:graphicData>
            </a:graphic>
          </wp:anchor>
        </w:drawing>
      </w:r>
      <w:r>
        <w:t>It was unreasonable for MOFCOM to insist upon the provision of costs data for products</w:t>
      </w:r>
      <w:r>
        <w:rPr>
          <w:spacing w:val="-7"/>
        </w:rPr>
        <w:t xml:space="preserve"> </w:t>
      </w:r>
      <w:r>
        <w:t>that</w:t>
      </w:r>
      <w:r>
        <w:rPr>
          <w:spacing w:val="-7"/>
        </w:rPr>
        <w:t xml:space="preserve"> </w:t>
      </w:r>
      <w:r>
        <w:t>had</w:t>
      </w:r>
      <w:r>
        <w:rPr>
          <w:spacing w:val="-7"/>
        </w:rPr>
        <w:t xml:space="preserve"> </w:t>
      </w:r>
      <w:r>
        <w:t>not</w:t>
      </w:r>
      <w:r>
        <w:rPr>
          <w:spacing w:val="-7"/>
        </w:rPr>
        <w:t xml:space="preserve"> </w:t>
      </w:r>
      <w:r>
        <w:t>been</w:t>
      </w:r>
      <w:r>
        <w:rPr>
          <w:spacing w:val="-8"/>
        </w:rPr>
        <w:t xml:space="preserve"> </w:t>
      </w:r>
      <w:r>
        <w:t>sold</w:t>
      </w:r>
      <w:r>
        <w:rPr>
          <w:spacing w:val="-9"/>
        </w:rPr>
        <w:t xml:space="preserve"> </w:t>
      </w:r>
      <w:r>
        <w:t>in</w:t>
      </w:r>
      <w:r>
        <w:rPr>
          <w:spacing w:val="-8"/>
        </w:rPr>
        <w:t xml:space="preserve"> </w:t>
      </w:r>
      <w:r>
        <w:t>the</w:t>
      </w:r>
      <w:r>
        <w:rPr>
          <w:spacing w:val="-7"/>
        </w:rPr>
        <w:t xml:space="preserve"> </w:t>
      </w:r>
      <w:r>
        <w:t>investigation</w:t>
      </w:r>
      <w:r>
        <w:rPr>
          <w:spacing w:val="-6"/>
        </w:rPr>
        <w:t xml:space="preserve"> </w:t>
      </w:r>
      <w:r>
        <w:t>period,</w:t>
      </w:r>
      <w:r>
        <w:rPr>
          <w:spacing w:val="-8"/>
        </w:rPr>
        <w:t xml:space="preserve"> </w:t>
      </w:r>
      <w:r>
        <w:t>given</w:t>
      </w:r>
      <w:r>
        <w:rPr>
          <w:spacing w:val="-8"/>
        </w:rPr>
        <w:t xml:space="preserve"> </w:t>
      </w:r>
      <w:r>
        <w:t>how</w:t>
      </w:r>
      <w:r>
        <w:rPr>
          <w:spacing w:val="-7"/>
        </w:rPr>
        <w:t xml:space="preserve"> </w:t>
      </w:r>
      <w:r>
        <w:t>it</w:t>
      </w:r>
      <w:r>
        <w:rPr>
          <w:spacing w:val="-9"/>
        </w:rPr>
        <w:t xml:space="preserve"> </w:t>
      </w:r>
      <w:r>
        <w:t>had</w:t>
      </w:r>
      <w:r>
        <w:rPr>
          <w:spacing w:val="-7"/>
        </w:rPr>
        <w:t xml:space="preserve"> </w:t>
      </w:r>
      <w:r>
        <w:t>chosen</w:t>
      </w:r>
      <w:r>
        <w:rPr>
          <w:spacing w:val="-9"/>
        </w:rPr>
        <w:t xml:space="preserve"> </w:t>
      </w:r>
      <w:r>
        <w:t>to</w:t>
      </w:r>
      <w:r>
        <w:rPr>
          <w:spacing w:val="-7"/>
        </w:rPr>
        <w:t xml:space="preserve"> </w:t>
      </w:r>
      <w:r>
        <w:t>define the</w:t>
      </w:r>
      <w:r>
        <w:rPr>
          <w:spacing w:val="-3"/>
        </w:rPr>
        <w:t xml:space="preserve"> </w:t>
      </w:r>
      <w:r>
        <w:t>scope</w:t>
      </w:r>
      <w:r>
        <w:rPr>
          <w:spacing w:val="-3"/>
        </w:rPr>
        <w:t xml:space="preserve"> </w:t>
      </w:r>
      <w:r>
        <w:t>of</w:t>
      </w:r>
      <w:r>
        <w:rPr>
          <w:spacing w:val="-5"/>
        </w:rPr>
        <w:t xml:space="preserve"> </w:t>
      </w:r>
      <w:r>
        <w:t>its</w:t>
      </w:r>
      <w:r>
        <w:rPr>
          <w:spacing w:val="-4"/>
        </w:rPr>
        <w:t xml:space="preserve"> </w:t>
      </w:r>
      <w:r>
        <w:t>investigation.</w:t>
      </w:r>
      <w:r>
        <w:rPr>
          <w:spacing w:val="-1"/>
        </w:rPr>
        <w:t xml:space="preserve"> </w:t>
      </w:r>
      <w:r>
        <w:t>The</w:t>
      </w:r>
      <w:r>
        <w:rPr>
          <w:spacing w:val="-3"/>
        </w:rPr>
        <w:t xml:space="preserve"> </w:t>
      </w:r>
      <w:r>
        <w:t>Anti‐Dumping</w:t>
      </w:r>
      <w:r>
        <w:rPr>
          <w:spacing w:val="-2"/>
        </w:rPr>
        <w:t xml:space="preserve"> </w:t>
      </w:r>
      <w:r>
        <w:t>Questionnaire</w:t>
      </w:r>
      <w:r>
        <w:rPr>
          <w:spacing w:val="-4"/>
        </w:rPr>
        <w:t xml:space="preserve"> </w:t>
      </w:r>
      <w:r>
        <w:t>issued</w:t>
      </w:r>
      <w:r>
        <w:rPr>
          <w:spacing w:val="-4"/>
        </w:rPr>
        <w:t xml:space="preserve"> </w:t>
      </w:r>
      <w:r>
        <w:t>by</w:t>
      </w:r>
      <w:r>
        <w:rPr>
          <w:spacing w:val="-2"/>
        </w:rPr>
        <w:t xml:space="preserve"> </w:t>
      </w:r>
      <w:r>
        <w:t>MOFCOM</w:t>
      </w:r>
      <w:r>
        <w:rPr>
          <w:spacing w:val="-3"/>
        </w:rPr>
        <w:t xml:space="preserve"> </w:t>
      </w:r>
      <w:r>
        <w:t>exp</w:t>
      </w:r>
      <w:r>
        <w:t>ressly confined the requirement to provide information to the "products, production and sales of the product under investigation…during the investigation period".</w:t>
      </w:r>
      <w:r>
        <w:rPr>
          <w:vertAlign w:val="superscript"/>
        </w:rPr>
        <w:t>393</w:t>
      </w:r>
    </w:p>
    <w:p w14:paraId="51DE8864" w14:textId="77777777" w:rsidR="0010369C" w:rsidRDefault="0010369C">
      <w:pPr>
        <w:pStyle w:val="BodyText"/>
        <w:rPr>
          <w:sz w:val="20"/>
        </w:rPr>
      </w:pPr>
    </w:p>
    <w:p w14:paraId="51DE8865" w14:textId="77777777" w:rsidR="0010369C" w:rsidRDefault="0010369C">
      <w:pPr>
        <w:pStyle w:val="BodyText"/>
        <w:rPr>
          <w:sz w:val="20"/>
        </w:rPr>
      </w:pPr>
    </w:p>
    <w:p w14:paraId="51DE8866" w14:textId="77777777" w:rsidR="0010369C" w:rsidRDefault="008E43AE">
      <w:pPr>
        <w:pStyle w:val="BodyText"/>
        <w:spacing w:before="3"/>
        <w:rPr>
          <w:sz w:val="21"/>
        </w:rPr>
      </w:pPr>
      <w:r>
        <w:pict w14:anchorId="51DEA247">
          <v:rect id="docshape799" o:spid="_x0000_s1498" style="position:absolute;margin-left:70.9pt;margin-top:14.2pt;width:2in;height:.8pt;z-index:-250922496;mso-wrap-distance-left:0;mso-wrap-distance-right:0;mso-position-horizontal-relative:page" fillcolor="black" stroked="f">
            <w10:wrap type="topAndBottom" anchorx="page"/>
          </v:rect>
        </w:pict>
      </w:r>
    </w:p>
    <w:p w14:paraId="51DE8867" w14:textId="77777777" w:rsidR="0010369C" w:rsidRDefault="008E43AE">
      <w:pPr>
        <w:spacing w:before="110"/>
        <w:ind w:left="238"/>
        <w:rPr>
          <w:sz w:val="18"/>
        </w:rPr>
      </w:pPr>
      <w:r>
        <w:rPr>
          <w:sz w:val="18"/>
          <w:vertAlign w:val="superscript"/>
        </w:rPr>
        <w:t>390</w:t>
      </w:r>
      <w:r>
        <w:rPr>
          <w:spacing w:val="-9"/>
          <w:sz w:val="18"/>
        </w:rPr>
        <w:t xml:space="preserve"> </w:t>
      </w:r>
      <w:r>
        <w:rPr>
          <w:sz w:val="18"/>
        </w:rPr>
        <w:t>Anti‐Dumping</w:t>
      </w:r>
      <w:r>
        <w:rPr>
          <w:spacing w:val="-9"/>
          <w:sz w:val="18"/>
        </w:rPr>
        <w:t xml:space="preserve"> </w:t>
      </w:r>
      <w:r>
        <w:rPr>
          <w:sz w:val="18"/>
        </w:rPr>
        <w:t>Final</w:t>
      </w:r>
      <w:r>
        <w:rPr>
          <w:spacing w:val="-9"/>
          <w:sz w:val="18"/>
        </w:rPr>
        <w:t xml:space="preserve"> </w:t>
      </w:r>
      <w:r>
        <w:rPr>
          <w:sz w:val="18"/>
        </w:rPr>
        <w:t>Determination</w:t>
      </w:r>
      <w:r>
        <w:rPr>
          <w:spacing w:val="-8"/>
          <w:sz w:val="18"/>
        </w:rPr>
        <w:t xml:space="preserve"> </w:t>
      </w:r>
      <w:r>
        <w:rPr>
          <w:sz w:val="18"/>
        </w:rPr>
        <w:t>(Exhibit</w:t>
      </w:r>
      <w:r>
        <w:rPr>
          <w:spacing w:val="-9"/>
          <w:sz w:val="18"/>
        </w:rPr>
        <w:t xml:space="preserve"> </w:t>
      </w:r>
      <w:r>
        <w:rPr>
          <w:sz w:val="18"/>
        </w:rPr>
        <w:t>AUS‐2),</w:t>
      </w:r>
      <w:r>
        <w:rPr>
          <w:spacing w:val="-9"/>
          <w:sz w:val="18"/>
        </w:rPr>
        <w:t xml:space="preserve"> </w:t>
      </w:r>
      <w:r>
        <w:rPr>
          <w:sz w:val="18"/>
        </w:rPr>
        <w:t>p.</w:t>
      </w:r>
      <w:r>
        <w:rPr>
          <w:spacing w:val="-9"/>
          <w:sz w:val="18"/>
        </w:rPr>
        <w:t xml:space="preserve"> </w:t>
      </w:r>
      <w:r>
        <w:rPr>
          <w:spacing w:val="-5"/>
          <w:sz w:val="18"/>
        </w:rPr>
        <w:t>81.</w:t>
      </w:r>
    </w:p>
    <w:p w14:paraId="51DE8868" w14:textId="77777777" w:rsidR="0010369C" w:rsidRDefault="008E43AE">
      <w:pPr>
        <w:ind w:left="238"/>
        <w:rPr>
          <w:sz w:val="18"/>
        </w:rPr>
      </w:pPr>
      <w:r>
        <w:rPr>
          <w:sz w:val="18"/>
          <w:vertAlign w:val="superscript"/>
        </w:rPr>
        <w:t>391</w:t>
      </w:r>
      <w:r>
        <w:rPr>
          <w:spacing w:val="-9"/>
          <w:sz w:val="18"/>
        </w:rPr>
        <w:t xml:space="preserve"> </w:t>
      </w:r>
      <w:r>
        <w:rPr>
          <w:sz w:val="18"/>
        </w:rPr>
        <w:t>Anti‐Dumping</w:t>
      </w:r>
      <w:r>
        <w:rPr>
          <w:spacing w:val="-9"/>
          <w:sz w:val="18"/>
        </w:rPr>
        <w:t xml:space="preserve"> </w:t>
      </w:r>
      <w:r>
        <w:rPr>
          <w:sz w:val="18"/>
        </w:rPr>
        <w:t>Final</w:t>
      </w:r>
      <w:r>
        <w:rPr>
          <w:spacing w:val="-9"/>
          <w:sz w:val="18"/>
        </w:rPr>
        <w:t xml:space="preserve"> </w:t>
      </w:r>
      <w:r>
        <w:rPr>
          <w:sz w:val="18"/>
        </w:rPr>
        <w:t>Determination</w:t>
      </w:r>
      <w:r>
        <w:rPr>
          <w:spacing w:val="-8"/>
          <w:sz w:val="18"/>
        </w:rPr>
        <w:t xml:space="preserve"> </w:t>
      </w:r>
      <w:r>
        <w:rPr>
          <w:sz w:val="18"/>
        </w:rPr>
        <w:t>(Exhibit</w:t>
      </w:r>
      <w:r>
        <w:rPr>
          <w:spacing w:val="-9"/>
          <w:sz w:val="18"/>
        </w:rPr>
        <w:t xml:space="preserve"> </w:t>
      </w:r>
      <w:r>
        <w:rPr>
          <w:sz w:val="18"/>
        </w:rPr>
        <w:t>AUS‐2),</w:t>
      </w:r>
      <w:r>
        <w:rPr>
          <w:spacing w:val="-10"/>
          <w:sz w:val="18"/>
        </w:rPr>
        <w:t xml:space="preserve"> </w:t>
      </w:r>
      <w:r>
        <w:rPr>
          <w:sz w:val="18"/>
        </w:rPr>
        <w:t>pp.</w:t>
      </w:r>
      <w:r>
        <w:rPr>
          <w:spacing w:val="-9"/>
          <w:sz w:val="18"/>
        </w:rPr>
        <w:t xml:space="preserve"> </w:t>
      </w:r>
      <w:r>
        <w:rPr>
          <w:spacing w:val="-2"/>
          <w:sz w:val="18"/>
        </w:rPr>
        <w:t>83‐84.</w:t>
      </w:r>
    </w:p>
    <w:p w14:paraId="51DE8869" w14:textId="77777777" w:rsidR="0010369C" w:rsidRDefault="008E43AE">
      <w:pPr>
        <w:ind w:left="238"/>
        <w:rPr>
          <w:sz w:val="18"/>
        </w:rPr>
      </w:pPr>
      <w:r>
        <w:rPr>
          <w:sz w:val="18"/>
          <w:vertAlign w:val="superscript"/>
        </w:rPr>
        <w:t>392</w:t>
      </w:r>
      <w:r>
        <w:rPr>
          <w:spacing w:val="-9"/>
          <w:sz w:val="18"/>
        </w:rPr>
        <w:t xml:space="preserve"> </w:t>
      </w:r>
      <w:r>
        <w:rPr>
          <w:sz w:val="18"/>
        </w:rPr>
        <w:t>Anti‐Dumping</w:t>
      </w:r>
      <w:r>
        <w:rPr>
          <w:spacing w:val="-9"/>
          <w:sz w:val="18"/>
        </w:rPr>
        <w:t xml:space="preserve"> </w:t>
      </w:r>
      <w:r>
        <w:rPr>
          <w:sz w:val="18"/>
        </w:rPr>
        <w:t>Final</w:t>
      </w:r>
      <w:r>
        <w:rPr>
          <w:spacing w:val="-9"/>
          <w:sz w:val="18"/>
        </w:rPr>
        <w:t xml:space="preserve"> </w:t>
      </w:r>
      <w:r>
        <w:rPr>
          <w:sz w:val="18"/>
        </w:rPr>
        <w:t>Determination</w:t>
      </w:r>
      <w:r>
        <w:rPr>
          <w:spacing w:val="-8"/>
          <w:sz w:val="18"/>
        </w:rPr>
        <w:t xml:space="preserve"> </w:t>
      </w:r>
      <w:r>
        <w:rPr>
          <w:sz w:val="18"/>
        </w:rPr>
        <w:t>(Exhibit</w:t>
      </w:r>
      <w:r>
        <w:rPr>
          <w:spacing w:val="-9"/>
          <w:sz w:val="18"/>
        </w:rPr>
        <w:t xml:space="preserve"> </w:t>
      </w:r>
      <w:r>
        <w:rPr>
          <w:sz w:val="18"/>
        </w:rPr>
        <w:t>AUS‐2),</w:t>
      </w:r>
      <w:r>
        <w:rPr>
          <w:spacing w:val="-9"/>
          <w:sz w:val="18"/>
        </w:rPr>
        <w:t xml:space="preserve"> </w:t>
      </w:r>
      <w:r>
        <w:rPr>
          <w:sz w:val="18"/>
        </w:rPr>
        <w:t>p.</w:t>
      </w:r>
      <w:r>
        <w:rPr>
          <w:spacing w:val="-9"/>
          <w:sz w:val="18"/>
        </w:rPr>
        <w:t xml:space="preserve"> </w:t>
      </w:r>
      <w:r>
        <w:rPr>
          <w:spacing w:val="-5"/>
          <w:sz w:val="18"/>
        </w:rPr>
        <w:t>82.</w:t>
      </w:r>
    </w:p>
    <w:p w14:paraId="51DE886A" w14:textId="77777777" w:rsidR="0010369C" w:rsidRDefault="008E43AE">
      <w:pPr>
        <w:ind w:left="238"/>
        <w:rPr>
          <w:sz w:val="18"/>
        </w:rPr>
      </w:pPr>
      <w:r>
        <w:rPr>
          <w:sz w:val="18"/>
          <w:vertAlign w:val="superscript"/>
        </w:rPr>
        <w:t>393</w:t>
      </w:r>
      <w:r>
        <w:rPr>
          <w:spacing w:val="-9"/>
          <w:sz w:val="18"/>
        </w:rPr>
        <w:t xml:space="preserve"> </w:t>
      </w:r>
      <w:r>
        <w:rPr>
          <w:sz w:val="18"/>
        </w:rPr>
        <w:t>See</w:t>
      </w:r>
      <w:r>
        <w:rPr>
          <w:spacing w:val="-9"/>
          <w:sz w:val="18"/>
        </w:rPr>
        <w:t xml:space="preserve"> </w:t>
      </w:r>
      <w:r>
        <w:rPr>
          <w:sz w:val="18"/>
        </w:rPr>
        <w:t>Anti‐Dumping</w:t>
      </w:r>
      <w:r>
        <w:rPr>
          <w:spacing w:val="-8"/>
          <w:sz w:val="18"/>
        </w:rPr>
        <w:t xml:space="preserve"> </w:t>
      </w:r>
      <w:r>
        <w:rPr>
          <w:sz w:val="18"/>
        </w:rPr>
        <w:t>Questionnaire</w:t>
      </w:r>
      <w:r>
        <w:rPr>
          <w:spacing w:val="-9"/>
          <w:sz w:val="18"/>
        </w:rPr>
        <w:t xml:space="preserve"> </w:t>
      </w:r>
      <w:r>
        <w:rPr>
          <w:sz w:val="18"/>
        </w:rPr>
        <w:t>(Exhibit</w:t>
      </w:r>
      <w:r>
        <w:rPr>
          <w:spacing w:val="-9"/>
          <w:sz w:val="18"/>
        </w:rPr>
        <w:t xml:space="preserve"> </w:t>
      </w:r>
      <w:r>
        <w:rPr>
          <w:sz w:val="18"/>
        </w:rPr>
        <w:t>AUS‐3),</w:t>
      </w:r>
      <w:r>
        <w:rPr>
          <w:spacing w:val="-9"/>
          <w:sz w:val="18"/>
        </w:rPr>
        <w:t xml:space="preserve"> </w:t>
      </w:r>
      <w:r>
        <w:rPr>
          <w:sz w:val="18"/>
        </w:rPr>
        <w:t>p.</w:t>
      </w:r>
      <w:r>
        <w:rPr>
          <w:spacing w:val="-9"/>
          <w:sz w:val="18"/>
        </w:rPr>
        <w:t xml:space="preserve"> </w:t>
      </w:r>
      <w:r>
        <w:rPr>
          <w:spacing w:val="-5"/>
          <w:sz w:val="18"/>
        </w:rPr>
        <w:t>5.</w:t>
      </w:r>
    </w:p>
    <w:p w14:paraId="51DE886B" w14:textId="77777777" w:rsidR="0010369C" w:rsidRDefault="0010369C">
      <w:pPr>
        <w:rPr>
          <w:sz w:val="18"/>
        </w:rPr>
        <w:sectPr w:rsidR="0010369C">
          <w:pgSz w:w="11910" w:h="16840"/>
          <w:pgMar w:top="880" w:right="800" w:bottom="980" w:left="1180" w:header="569" w:footer="788" w:gutter="0"/>
          <w:cols w:space="720"/>
        </w:sectPr>
      </w:pPr>
    </w:p>
    <w:p w14:paraId="51DE886C" w14:textId="77777777" w:rsidR="0010369C" w:rsidRDefault="008E43AE">
      <w:pPr>
        <w:tabs>
          <w:tab w:val="left" w:pos="6426"/>
        </w:tabs>
        <w:ind w:left="238"/>
        <w:jc w:val="both"/>
        <w:rPr>
          <w:sz w:val="20"/>
        </w:rPr>
      </w:pPr>
      <w:r>
        <w:rPr>
          <w:i/>
          <w:sz w:val="20"/>
        </w:rPr>
        <w:lastRenderedPageBreak/>
        <w:t>China</w:t>
      </w:r>
      <w:r>
        <w:rPr>
          <w:i/>
          <w:spacing w:val="-5"/>
          <w:sz w:val="20"/>
        </w:rPr>
        <w:t xml:space="preserve"> </w:t>
      </w:r>
      <w:r>
        <w:rPr>
          <w:i/>
          <w:sz w:val="20"/>
        </w:rPr>
        <w:t>–</w:t>
      </w:r>
      <w:r>
        <w:rPr>
          <w:i/>
          <w:spacing w:val="-5"/>
          <w:sz w:val="20"/>
        </w:rPr>
        <w:t xml:space="preserve"> </w:t>
      </w:r>
      <w:r>
        <w:rPr>
          <w:i/>
          <w:sz w:val="20"/>
        </w:rPr>
        <w:t>Anti‐Dumping</w:t>
      </w:r>
      <w:r>
        <w:rPr>
          <w:i/>
          <w:spacing w:val="-4"/>
          <w:sz w:val="20"/>
        </w:rPr>
        <w:t xml:space="preserve"> </w:t>
      </w:r>
      <w:r>
        <w:rPr>
          <w:i/>
          <w:sz w:val="20"/>
        </w:rPr>
        <w:t>and</w:t>
      </w:r>
      <w:r>
        <w:rPr>
          <w:i/>
          <w:spacing w:val="-5"/>
          <w:sz w:val="20"/>
        </w:rPr>
        <w:t xml:space="preserve"> </w:t>
      </w:r>
      <w:r>
        <w:rPr>
          <w:i/>
          <w:sz w:val="20"/>
        </w:rPr>
        <w:t>Countervailing</w:t>
      </w:r>
      <w:r>
        <w:rPr>
          <w:i/>
          <w:spacing w:val="-5"/>
          <w:sz w:val="20"/>
        </w:rPr>
        <w:t xml:space="preserve"> </w:t>
      </w:r>
      <w:r>
        <w:rPr>
          <w:i/>
          <w:sz w:val="20"/>
        </w:rPr>
        <w:t>Duty</w:t>
      </w:r>
      <w:r>
        <w:rPr>
          <w:i/>
          <w:spacing w:val="-4"/>
          <w:sz w:val="20"/>
        </w:rPr>
        <w:t xml:space="preserve"> </w:t>
      </w:r>
      <w:r>
        <w:rPr>
          <w:i/>
          <w:spacing w:val="-2"/>
          <w:sz w:val="20"/>
        </w:rPr>
        <w:t>Measures</w:t>
      </w:r>
      <w:r>
        <w:rPr>
          <w:i/>
          <w:sz w:val="20"/>
        </w:rPr>
        <w:tab/>
      </w:r>
      <w:r>
        <w:rPr>
          <w:sz w:val="20"/>
        </w:rPr>
        <w:t>Australia's</w:t>
      </w:r>
      <w:r>
        <w:rPr>
          <w:spacing w:val="-7"/>
          <w:sz w:val="20"/>
        </w:rPr>
        <w:t xml:space="preserve"> </w:t>
      </w:r>
      <w:r>
        <w:rPr>
          <w:sz w:val="20"/>
        </w:rPr>
        <w:t>First</w:t>
      </w:r>
      <w:r>
        <w:rPr>
          <w:spacing w:val="-2"/>
          <w:sz w:val="20"/>
        </w:rPr>
        <w:t xml:space="preserve"> </w:t>
      </w:r>
      <w:r>
        <w:rPr>
          <w:sz w:val="20"/>
        </w:rPr>
        <w:t>Written</w:t>
      </w:r>
      <w:r>
        <w:rPr>
          <w:spacing w:val="-2"/>
          <w:sz w:val="20"/>
        </w:rPr>
        <w:t xml:space="preserve"> Submission</w:t>
      </w:r>
    </w:p>
    <w:p w14:paraId="51DE886D" w14:textId="77777777" w:rsidR="0010369C" w:rsidRDefault="008E43AE">
      <w:pPr>
        <w:tabs>
          <w:tab w:val="left" w:pos="8228"/>
        </w:tabs>
        <w:spacing w:before="1"/>
        <w:ind w:left="239"/>
        <w:jc w:val="both"/>
        <w:rPr>
          <w:sz w:val="20"/>
        </w:rPr>
      </w:pPr>
      <w:r>
        <w:rPr>
          <w:i/>
          <w:sz w:val="20"/>
        </w:rPr>
        <w:t>on</w:t>
      </w:r>
      <w:r>
        <w:rPr>
          <w:i/>
          <w:spacing w:val="-1"/>
          <w:sz w:val="20"/>
        </w:rPr>
        <w:t xml:space="preserve"> </w:t>
      </w:r>
      <w:r>
        <w:rPr>
          <w:i/>
          <w:sz w:val="20"/>
        </w:rPr>
        <w:t>Wine</w:t>
      </w:r>
      <w:r>
        <w:rPr>
          <w:i/>
          <w:spacing w:val="-1"/>
          <w:sz w:val="20"/>
        </w:rPr>
        <w:t xml:space="preserve"> </w:t>
      </w:r>
      <w:r>
        <w:rPr>
          <w:i/>
          <w:sz w:val="20"/>
        </w:rPr>
        <w:t>from</w:t>
      </w:r>
      <w:r>
        <w:rPr>
          <w:i/>
          <w:spacing w:val="-3"/>
          <w:sz w:val="20"/>
        </w:rPr>
        <w:t xml:space="preserve"> </w:t>
      </w:r>
      <w:r>
        <w:rPr>
          <w:i/>
          <w:sz w:val="20"/>
        </w:rPr>
        <w:t>Australia</w:t>
      </w:r>
      <w:r>
        <w:rPr>
          <w:i/>
          <w:spacing w:val="-1"/>
          <w:sz w:val="20"/>
        </w:rPr>
        <w:t xml:space="preserve"> </w:t>
      </w:r>
      <w:r>
        <w:rPr>
          <w:spacing w:val="-2"/>
          <w:sz w:val="20"/>
        </w:rPr>
        <w:t>(DS602)</w:t>
      </w:r>
      <w:r>
        <w:rPr>
          <w:sz w:val="20"/>
        </w:rPr>
        <w:tab/>
        <w:t>29</w:t>
      </w:r>
      <w:r>
        <w:rPr>
          <w:spacing w:val="-1"/>
          <w:sz w:val="20"/>
        </w:rPr>
        <w:t xml:space="preserve"> </w:t>
      </w:r>
      <w:r>
        <w:rPr>
          <w:sz w:val="20"/>
        </w:rPr>
        <w:t>April</w:t>
      </w:r>
      <w:r>
        <w:rPr>
          <w:spacing w:val="-2"/>
          <w:sz w:val="20"/>
        </w:rPr>
        <w:t xml:space="preserve"> </w:t>
      </w:r>
      <w:r>
        <w:rPr>
          <w:spacing w:val="-4"/>
          <w:sz w:val="20"/>
        </w:rPr>
        <w:t>2022</w:t>
      </w:r>
    </w:p>
    <w:p w14:paraId="51DE886E" w14:textId="77777777" w:rsidR="0010369C" w:rsidRDefault="008E43AE">
      <w:pPr>
        <w:pStyle w:val="BodyText"/>
        <w:spacing w:before="34" w:line="360" w:lineRule="auto"/>
        <w:ind w:left="237" w:right="613" w:firstLine="852"/>
        <w:jc w:val="both"/>
      </w:pPr>
      <w:r>
        <w:rPr>
          <w:noProof/>
        </w:rPr>
        <w:drawing>
          <wp:anchor distT="0" distB="0" distL="0" distR="0" simplePos="0" relativeHeight="251006464" behindDoc="1" locked="0" layoutInCell="1" allowOverlap="1" wp14:anchorId="51DEA248" wp14:editId="51DEA249">
            <wp:simplePos x="0" y="0"/>
            <wp:positionH relativeFrom="page">
              <wp:posOffset>905255</wp:posOffset>
            </wp:positionH>
            <wp:positionV relativeFrom="paragraph">
              <wp:posOffset>69165</wp:posOffset>
            </wp:positionV>
            <wp:extent cx="259079" cy="103631"/>
            <wp:effectExtent l="0" t="0" r="0" b="0"/>
            <wp:wrapNone/>
            <wp:docPr id="719" name="image3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 name="image370.png"/>
                    <pic:cNvPicPr/>
                  </pic:nvPicPr>
                  <pic:blipFill>
                    <a:blip r:embed="rId496" cstate="print"/>
                    <a:stretch>
                      <a:fillRect/>
                    </a:stretch>
                  </pic:blipFill>
                  <pic:spPr>
                    <a:xfrm>
                      <a:off x="0" y="0"/>
                      <a:ext cx="259079" cy="103631"/>
                    </a:xfrm>
                    <a:prstGeom prst="rect">
                      <a:avLst/>
                    </a:prstGeom>
                  </pic:spPr>
                </pic:pic>
              </a:graphicData>
            </a:graphic>
          </wp:anchor>
        </w:drawing>
      </w:r>
      <w:r>
        <w:t>It was unreasonable for MOFCOM to use the absence of such data as a reason to reject</w:t>
      </w:r>
      <w:r>
        <w:rPr>
          <w:spacing w:val="-11"/>
        </w:rPr>
        <w:t xml:space="preserve"> </w:t>
      </w:r>
      <w:r>
        <w:t>the</w:t>
      </w:r>
      <w:r>
        <w:rPr>
          <w:spacing w:val="-9"/>
        </w:rPr>
        <w:t xml:space="preserve"> </w:t>
      </w:r>
      <w:r>
        <w:t>costs</w:t>
      </w:r>
      <w:r>
        <w:rPr>
          <w:spacing w:val="-10"/>
        </w:rPr>
        <w:t xml:space="preserve"> </w:t>
      </w:r>
      <w:r>
        <w:t>data</w:t>
      </w:r>
      <w:r>
        <w:rPr>
          <w:spacing w:val="-9"/>
        </w:rPr>
        <w:t xml:space="preserve"> </w:t>
      </w:r>
      <w:r>
        <w:t>provided</w:t>
      </w:r>
      <w:r>
        <w:rPr>
          <w:spacing w:val="-10"/>
        </w:rPr>
        <w:t xml:space="preserve"> </w:t>
      </w:r>
      <w:r>
        <w:t>for</w:t>
      </w:r>
      <w:r>
        <w:rPr>
          <w:spacing w:val="-9"/>
        </w:rPr>
        <w:t xml:space="preserve"> </w:t>
      </w:r>
      <w:r>
        <w:t>products</w:t>
      </w:r>
      <w:r>
        <w:rPr>
          <w:spacing w:val="-9"/>
        </w:rPr>
        <w:t xml:space="preserve"> </w:t>
      </w:r>
      <w:r>
        <w:t>that</w:t>
      </w:r>
      <w:r>
        <w:rPr>
          <w:spacing w:val="-10"/>
        </w:rPr>
        <w:t xml:space="preserve"> </w:t>
      </w:r>
      <w:r>
        <w:t>were</w:t>
      </w:r>
      <w:r>
        <w:rPr>
          <w:spacing w:val="-9"/>
        </w:rPr>
        <w:t xml:space="preserve"> </w:t>
      </w:r>
      <w:r>
        <w:t>sold</w:t>
      </w:r>
      <w:r>
        <w:rPr>
          <w:spacing w:val="-10"/>
        </w:rPr>
        <w:t xml:space="preserve"> </w:t>
      </w:r>
      <w:r>
        <w:t>during</w:t>
      </w:r>
      <w:r>
        <w:rPr>
          <w:spacing w:val="-10"/>
        </w:rPr>
        <w:t xml:space="preserve"> </w:t>
      </w:r>
      <w:r>
        <w:t>the</w:t>
      </w:r>
      <w:r>
        <w:rPr>
          <w:spacing w:val="-9"/>
        </w:rPr>
        <w:t xml:space="preserve"> </w:t>
      </w:r>
      <w:r>
        <w:t>investigation</w:t>
      </w:r>
      <w:r>
        <w:rPr>
          <w:spacing w:val="-9"/>
        </w:rPr>
        <w:t xml:space="preserve"> </w:t>
      </w:r>
      <w:r>
        <w:t>pe</w:t>
      </w:r>
      <w:r>
        <w:t>riod,</w:t>
      </w:r>
      <w:r>
        <w:rPr>
          <w:spacing w:val="-9"/>
        </w:rPr>
        <w:t xml:space="preserve"> </w:t>
      </w:r>
      <w:r>
        <w:t>and instead resort to facts available. There is no basis on which MOFCOM could have concluded that costs data for products that were never sold within the investigation period could have been "necessary" information for the purpose of that investigat</w:t>
      </w:r>
      <w:r>
        <w:t>ion. Even if could have been "necessary" (which it clearly was not), no request for product costs outside the period of investigation been made, as required by paragraph 1 of Annex II.</w:t>
      </w:r>
    </w:p>
    <w:p w14:paraId="51DE886F" w14:textId="77777777" w:rsidR="0010369C" w:rsidRDefault="0010369C">
      <w:pPr>
        <w:pStyle w:val="BodyText"/>
        <w:spacing w:before="10"/>
        <w:rPr>
          <w:sz w:val="8"/>
        </w:rPr>
      </w:pPr>
    </w:p>
    <w:p w14:paraId="51DE8870" w14:textId="77777777" w:rsidR="0010369C" w:rsidRDefault="008E43AE">
      <w:pPr>
        <w:pStyle w:val="BodyText"/>
        <w:spacing w:before="52" w:line="360" w:lineRule="auto"/>
        <w:ind w:left="235" w:right="612" w:firstLine="853"/>
        <w:jc w:val="both"/>
      </w:pPr>
      <w:r>
        <w:rPr>
          <w:noProof/>
        </w:rPr>
        <w:drawing>
          <wp:anchor distT="0" distB="0" distL="0" distR="0" simplePos="0" relativeHeight="251007488" behindDoc="1" locked="0" layoutInCell="1" allowOverlap="1" wp14:anchorId="51DEA24A" wp14:editId="51DEA24B">
            <wp:simplePos x="0" y="0"/>
            <wp:positionH relativeFrom="page">
              <wp:posOffset>905255</wp:posOffset>
            </wp:positionH>
            <wp:positionV relativeFrom="paragraph">
              <wp:posOffset>80595</wp:posOffset>
            </wp:positionV>
            <wp:extent cx="259079" cy="103631"/>
            <wp:effectExtent l="0" t="0" r="0" b="0"/>
            <wp:wrapNone/>
            <wp:docPr id="721" name="image3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 name="image371.png"/>
                    <pic:cNvPicPr/>
                  </pic:nvPicPr>
                  <pic:blipFill>
                    <a:blip r:embed="rId497" cstate="print"/>
                    <a:stretch>
                      <a:fillRect/>
                    </a:stretch>
                  </pic:blipFill>
                  <pic:spPr>
                    <a:xfrm>
                      <a:off x="0" y="0"/>
                      <a:ext cx="259079" cy="103631"/>
                    </a:xfrm>
                    <a:prstGeom prst="rect">
                      <a:avLst/>
                    </a:prstGeom>
                  </pic:spPr>
                </pic:pic>
              </a:graphicData>
            </a:graphic>
          </wp:anchor>
        </w:drawing>
      </w:r>
      <w:r>
        <w:t>For the foregoing reasons, MOFCOM erred when it relied upon Casella Wines' response to Form 6‐4 as a basis to resort to facts available and, therefore, China acted inconsistently</w:t>
      </w:r>
      <w:r>
        <w:rPr>
          <w:spacing w:val="40"/>
        </w:rPr>
        <w:t xml:space="preserve"> </w:t>
      </w:r>
      <w:r>
        <w:t>with</w:t>
      </w:r>
      <w:r>
        <w:rPr>
          <w:spacing w:val="40"/>
        </w:rPr>
        <w:t xml:space="preserve"> </w:t>
      </w:r>
      <w:r>
        <w:t>Article</w:t>
      </w:r>
      <w:r>
        <w:rPr>
          <w:spacing w:val="40"/>
        </w:rPr>
        <w:t xml:space="preserve"> </w:t>
      </w:r>
      <w:r>
        <w:t>6.8</w:t>
      </w:r>
      <w:r>
        <w:rPr>
          <w:spacing w:val="40"/>
        </w:rPr>
        <w:t xml:space="preserve"> </w:t>
      </w:r>
      <w:r>
        <w:t>and</w:t>
      </w:r>
      <w:r>
        <w:rPr>
          <w:spacing w:val="40"/>
        </w:rPr>
        <w:t xml:space="preserve"> </w:t>
      </w:r>
      <w:r>
        <w:t>paragraphs</w:t>
      </w:r>
      <w:r>
        <w:rPr>
          <w:spacing w:val="40"/>
        </w:rPr>
        <w:t xml:space="preserve"> </w:t>
      </w:r>
      <w:r>
        <w:t>1,</w:t>
      </w:r>
      <w:r>
        <w:rPr>
          <w:spacing w:val="40"/>
        </w:rPr>
        <w:t xml:space="preserve"> </w:t>
      </w:r>
      <w:r>
        <w:t>3</w:t>
      </w:r>
      <w:r>
        <w:rPr>
          <w:spacing w:val="40"/>
        </w:rPr>
        <w:t xml:space="preserve"> </w:t>
      </w:r>
      <w:r>
        <w:t>and</w:t>
      </w:r>
      <w:r>
        <w:rPr>
          <w:spacing w:val="40"/>
        </w:rPr>
        <w:t xml:space="preserve"> </w:t>
      </w:r>
      <w:r>
        <w:t>5</w:t>
      </w:r>
      <w:r>
        <w:rPr>
          <w:spacing w:val="40"/>
        </w:rPr>
        <w:t xml:space="preserve"> </w:t>
      </w:r>
      <w:r>
        <w:t>of</w:t>
      </w:r>
      <w:r>
        <w:rPr>
          <w:spacing w:val="40"/>
        </w:rPr>
        <w:t xml:space="preserve"> </w:t>
      </w:r>
      <w:r>
        <w:t>Annex</w:t>
      </w:r>
      <w:r>
        <w:rPr>
          <w:spacing w:val="40"/>
        </w:rPr>
        <w:t xml:space="preserve"> </w:t>
      </w:r>
      <w:r>
        <w:t>II</w:t>
      </w:r>
      <w:r>
        <w:rPr>
          <w:spacing w:val="40"/>
        </w:rPr>
        <w:t xml:space="preserve"> </w:t>
      </w:r>
      <w:r>
        <w:t>of</w:t>
      </w:r>
      <w:r>
        <w:rPr>
          <w:spacing w:val="40"/>
        </w:rPr>
        <w:t xml:space="preserve"> </w:t>
      </w:r>
      <w:r>
        <w:t>the Anti‐Dumping Ag</w:t>
      </w:r>
      <w:r>
        <w:t>reement.</w:t>
      </w:r>
    </w:p>
    <w:p w14:paraId="51DE8871" w14:textId="77777777" w:rsidR="0010369C" w:rsidRDefault="008E43AE">
      <w:pPr>
        <w:pStyle w:val="ListParagraph"/>
        <w:numPr>
          <w:ilvl w:val="4"/>
          <w:numId w:val="75"/>
        </w:numPr>
        <w:tabs>
          <w:tab w:val="left" w:pos="4490"/>
          <w:tab w:val="left" w:pos="4492"/>
        </w:tabs>
        <w:spacing w:before="162"/>
        <w:ind w:left="4491" w:hanging="852"/>
        <w:jc w:val="both"/>
        <w:rPr>
          <w:i/>
          <w:sz w:val="24"/>
        </w:rPr>
      </w:pPr>
      <w:r>
        <w:rPr>
          <w:i/>
          <w:sz w:val="24"/>
        </w:rPr>
        <w:t>Reconciliation</w:t>
      </w:r>
      <w:r>
        <w:rPr>
          <w:i/>
          <w:spacing w:val="-8"/>
          <w:sz w:val="24"/>
        </w:rPr>
        <w:t xml:space="preserve"> </w:t>
      </w:r>
      <w:r>
        <w:rPr>
          <w:i/>
          <w:sz w:val="24"/>
        </w:rPr>
        <w:t>of</w:t>
      </w:r>
      <w:r>
        <w:rPr>
          <w:i/>
          <w:spacing w:val="-8"/>
          <w:sz w:val="24"/>
        </w:rPr>
        <w:t xml:space="preserve"> </w:t>
      </w:r>
      <w:r>
        <w:rPr>
          <w:i/>
          <w:sz w:val="24"/>
        </w:rPr>
        <w:t>Forms</w:t>
      </w:r>
      <w:r>
        <w:rPr>
          <w:i/>
          <w:spacing w:val="-8"/>
          <w:sz w:val="24"/>
        </w:rPr>
        <w:t xml:space="preserve"> </w:t>
      </w:r>
      <w:r>
        <w:rPr>
          <w:i/>
          <w:sz w:val="24"/>
        </w:rPr>
        <w:t>6‐1‐2,</w:t>
      </w:r>
      <w:r>
        <w:rPr>
          <w:i/>
          <w:spacing w:val="-8"/>
          <w:sz w:val="24"/>
        </w:rPr>
        <w:t xml:space="preserve"> </w:t>
      </w:r>
      <w:r>
        <w:rPr>
          <w:i/>
          <w:sz w:val="24"/>
        </w:rPr>
        <w:t>6‐3,</w:t>
      </w:r>
      <w:r>
        <w:rPr>
          <w:i/>
          <w:spacing w:val="-7"/>
          <w:sz w:val="24"/>
        </w:rPr>
        <w:t xml:space="preserve"> </w:t>
      </w:r>
      <w:r>
        <w:rPr>
          <w:i/>
          <w:sz w:val="24"/>
        </w:rPr>
        <w:t>and</w:t>
      </w:r>
      <w:r>
        <w:rPr>
          <w:i/>
          <w:spacing w:val="-7"/>
          <w:sz w:val="24"/>
        </w:rPr>
        <w:t xml:space="preserve"> </w:t>
      </w:r>
      <w:r>
        <w:rPr>
          <w:i/>
          <w:spacing w:val="-5"/>
          <w:sz w:val="24"/>
        </w:rPr>
        <w:t>6‐4</w:t>
      </w:r>
    </w:p>
    <w:p w14:paraId="51DE8872" w14:textId="77777777" w:rsidR="0010369C" w:rsidRDefault="0010369C">
      <w:pPr>
        <w:pStyle w:val="BodyText"/>
        <w:spacing w:before="9"/>
        <w:rPr>
          <w:i/>
          <w:sz w:val="20"/>
        </w:rPr>
      </w:pPr>
    </w:p>
    <w:p w14:paraId="51DE8873" w14:textId="77777777" w:rsidR="0010369C" w:rsidRDefault="008E43AE">
      <w:pPr>
        <w:pStyle w:val="BodyText"/>
        <w:spacing w:before="51" w:line="360" w:lineRule="auto"/>
        <w:ind w:left="237" w:right="613" w:firstLine="851"/>
        <w:jc w:val="both"/>
      </w:pPr>
      <w:r>
        <w:rPr>
          <w:noProof/>
        </w:rPr>
        <w:drawing>
          <wp:anchor distT="0" distB="0" distL="0" distR="0" simplePos="0" relativeHeight="251008512" behindDoc="1" locked="0" layoutInCell="1" allowOverlap="1" wp14:anchorId="51DEA24C" wp14:editId="51DEA24D">
            <wp:simplePos x="0" y="0"/>
            <wp:positionH relativeFrom="page">
              <wp:posOffset>905255</wp:posOffset>
            </wp:positionH>
            <wp:positionV relativeFrom="paragraph">
              <wp:posOffset>81315</wp:posOffset>
            </wp:positionV>
            <wp:extent cx="259079" cy="100753"/>
            <wp:effectExtent l="0" t="0" r="0" b="0"/>
            <wp:wrapNone/>
            <wp:docPr id="723" name="image3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 name="image372.png"/>
                    <pic:cNvPicPr/>
                  </pic:nvPicPr>
                  <pic:blipFill>
                    <a:blip r:embed="rId498" cstate="print"/>
                    <a:stretch>
                      <a:fillRect/>
                    </a:stretch>
                  </pic:blipFill>
                  <pic:spPr>
                    <a:xfrm>
                      <a:off x="0" y="0"/>
                      <a:ext cx="259079" cy="100753"/>
                    </a:xfrm>
                    <a:prstGeom prst="rect">
                      <a:avLst/>
                    </a:prstGeom>
                  </pic:spPr>
                </pic:pic>
              </a:graphicData>
            </a:graphic>
          </wp:anchor>
        </w:drawing>
      </w:r>
      <w:r>
        <w:t>MOFCOM made a number of allegations in the Final Determination that Casella Wines submitted certain responses to the Anti‐Dumping Questionnaire, which were inconsistent or irreconcilable with other responses it provided. MOFCOM used these alleged inconsist</w:t>
      </w:r>
      <w:r>
        <w:t>encies as a basis to have recourse to facts available.</w:t>
      </w:r>
    </w:p>
    <w:p w14:paraId="51DE8874" w14:textId="77777777" w:rsidR="0010369C" w:rsidRDefault="0010369C">
      <w:pPr>
        <w:pStyle w:val="BodyText"/>
        <w:rPr>
          <w:sz w:val="9"/>
        </w:rPr>
      </w:pPr>
    </w:p>
    <w:p w14:paraId="51DE8875" w14:textId="77777777" w:rsidR="0010369C" w:rsidRDefault="008E43AE">
      <w:pPr>
        <w:pStyle w:val="BodyText"/>
        <w:spacing w:before="51"/>
        <w:ind w:left="1089"/>
      </w:pPr>
      <w:r>
        <w:rPr>
          <w:noProof/>
        </w:rPr>
        <w:drawing>
          <wp:anchor distT="0" distB="0" distL="0" distR="0" simplePos="0" relativeHeight="250660352" behindDoc="0" locked="0" layoutInCell="1" allowOverlap="1" wp14:anchorId="51DEA24E" wp14:editId="51DEA24F">
            <wp:simplePos x="0" y="0"/>
            <wp:positionH relativeFrom="page">
              <wp:posOffset>905255</wp:posOffset>
            </wp:positionH>
            <wp:positionV relativeFrom="paragraph">
              <wp:posOffset>76150</wp:posOffset>
            </wp:positionV>
            <wp:extent cx="259079" cy="106679"/>
            <wp:effectExtent l="0" t="0" r="0" b="0"/>
            <wp:wrapNone/>
            <wp:docPr id="725" name="image3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 name="image373.png"/>
                    <pic:cNvPicPr/>
                  </pic:nvPicPr>
                  <pic:blipFill>
                    <a:blip r:embed="rId499" cstate="print"/>
                    <a:stretch>
                      <a:fillRect/>
                    </a:stretch>
                  </pic:blipFill>
                  <pic:spPr>
                    <a:xfrm>
                      <a:off x="0" y="0"/>
                      <a:ext cx="259079" cy="106679"/>
                    </a:xfrm>
                    <a:prstGeom prst="rect">
                      <a:avLst/>
                    </a:prstGeom>
                  </pic:spPr>
                </pic:pic>
              </a:graphicData>
            </a:graphic>
          </wp:anchor>
        </w:drawing>
      </w:r>
      <w:r>
        <w:t>MOFCOM</w:t>
      </w:r>
      <w:r>
        <w:rPr>
          <w:spacing w:val="-12"/>
        </w:rPr>
        <w:t xml:space="preserve"> </w:t>
      </w:r>
      <w:r>
        <w:t>made</w:t>
      </w:r>
      <w:r>
        <w:rPr>
          <w:spacing w:val="-11"/>
        </w:rPr>
        <w:t xml:space="preserve"> </w:t>
      </w:r>
      <w:r>
        <w:t>two</w:t>
      </w:r>
      <w:r>
        <w:rPr>
          <w:spacing w:val="-11"/>
        </w:rPr>
        <w:t xml:space="preserve"> </w:t>
      </w:r>
      <w:r>
        <w:t>findings</w:t>
      </w:r>
      <w:r>
        <w:rPr>
          <w:spacing w:val="-11"/>
        </w:rPr>
        <w:t xml:space="preserve"> </w:t>
      </w:r>
      <w:r>
        <w:t>with</w:t>
      </w:r>
      <w:r>
        <w:rPr>
          <w:spacing w:val="-12"/>
        </w:rPr>
        <w:t xml:space="preserve"> </w:t>
      </w:r>
      <w:r>
        <w:t>respect</w:t>
      </w:r>
      <w:r>
        <w:rPr>
          <w:spacing w:val="-12"/>
        </w:rPr>
        <w:t xml:space="preserve"> </w:t>
      </w:r>
      <w:r>
        <w:t>to</w:t>
      </w:r>
      <w:r>
        <w:rPr>
          <w:spacing w:val="-11"/>
        </w:rPr>
        <w:t xml:space="preserve"> </w:t>
      </w:r>
      <w:r>
        <w:t>the</w:t>
      </w:r>
      <w:r>
        <w:rPr>
          <w:spacing w:val="-11"/>
        </w:rPr>
        <w:t xml:space="preserve"> </w:t>
      </w:r>
      <w:r>
        <w:t>consistency</w:t>
      </w:r>
      <w:r>
        <w:rPr>
          <w:spacing w:val="-13"/>
        </w:rPr>
        <w:t xml:space="preserve"> </w:t>
      </w:r>
      <w:r>
        <w:t>of</w:t>
      </w:r>
      <w:r>
        <w:rPr>
          <w:spacing w:val="-12"/>
        </w:rPr>
        <w:t xml:space="preserve"> </w:t>
      </w:r>
      <w:r>
        <w:t>the</w:t>
      </w:r>
      <w:r>
        <w:rPr>
          <w:spacing w:val="-12"/>
        </w:rPr>
        <w:t xml:space="preserve"> </w:t>
      </w:r>
      <w:r>
        <w:t>data</w:t>
      </w:r>
      <w:r>
        <w:rPr>
          <w:spacing w:val="-11"/>
        </w:rPr>
        <w:t xml:space="preserve"> </w:t>
      </w:r>
      <w:r>
        <w:t>in</w:t>
      </w:r>
      <w:r>
        <w:rPr>
          <w:spacing w:val="-12"/>
        </w:rPr>
        <w:t xml:space="preserve"> </w:t>
      </w:r>
      <w:r>
        <w:t>Form</w:t>
      </w:r>
      <w:r>
        <w:rPr>
          <w:spacing w:val="-11"/>
        </w:rPr>
        <w:t xml:space="preserve"> </w:t>
      </w:r>
      <w:r>
        <w:rPr>
          <w:spacing w:val="-4"/>
        </w:rPr>
        <w:t>6‐4:</w:t>
      </w:r>
    </w:p>
    <w:p w14:paraId="51DE8876" w14:textId="77777777" w:rsidR="0010369C" w:rsidRDefault="0010369C">
      <w:pPr>
        <w:pStyle w:val="BodyText"/>
        <w:spacing w:before="1"/>
        <w:rPr>
          <w:sz w:val="25"/>
        </w:rPr>
      </w:pPr>
    </w:p>
    <w:p w14:paraId="51DE8877" w14:textId="77777777" w:rsidR="0010369C" w:rsidRDefault="008E43AE">
      <w:pPr>
        <w:pStyle w:val="ListParagraph"/>
        <w:numPr>
          <w:ilvl w:val="0"/>
          <w:numId w:val="9"/>
        </w:numPr>
        <w:tabs>
          <w:tab w:val="left" w:pos="1939"/>
          <w:tab w:val="left" w:pos="1940"/>
        </w:tabs>
        <w:spacing w:before="1" w:line="355" w:lineRule="auto"/>
        <w:ind w:left="1940" w:right="613" w:hanging="852"/>
        <w:jc w:val="left"/>
        <w:rPr>
          <w:sz w:val="24"/>
        </w:rPr>
      </w:pPr>
      <w:r>
        <w:rPr>
          <w:sz w:val="24"/>
        </w:rPr>
        <w:t>"[T]he</w:t>
      </w:r>
      <w:r>
        <w:rPr>
          <w:spacing w:val="-14"/>
          <w:sz w:val="24"/>
        </w:rPr>
        <w:t xml:space="preserve"> </w:t>
      </w:r>
      <w:r>
        <w:rPr>
          <w:sz w:val="24"/>
        </w:rPr>
        <w:t>unit</w:t>
      </w:r>
      <w:r>
        <w:rPr>
          <w:spacing w:val="-14"/>
          <w:sz w:val="24"/>
        </w:rPr>
        <w:t xml:space="preserve"> </w:t>
      </w:r>
      <w:r>
        <w:rPr>
          <w:sz w:val="24"/>
        </w:rPr>
        <w:t>prices</w:t>
      </w:r>
      <w:r>
        <w:rPr>
          <w:spacing w:val="-13"/>
          <w:sz w:val="24"/>
        </w:rPr>
        <w:t xml:space="preserve"> </w:t>
      </w:r>
      <w:r>
        <w:rPr>
          <w:sz w:val="24"/>
        </w:rPr>
        <w:t>of</w:t>
      </w:r>
      <w:r>
        <w:rPr>
          <w:spacing w:val="-14"/>
          <w:sz w:val="24"/>
        </w:rPr>
        <w:t xml:space="preserve"> </w:t>
      </w:r>
      <w:r>
        <w:rPr>
          <w:sz w:val="24"/>
        </w:rPr>
        <w:t>bulk</w:t>
      </w:r>
      <w:r>
        <w:rPr>
          <w:spacing w:val="-13"/>
          <w:sz w:val="24"/>
        </w:rPr>
        <w:t xml:space="preserve"> </w:t>
      </w:r>
      <w:r>
        <w:rPr>
          <w:sz w:val="24"/>
        </w:rPr>
        <w:t>wine</w:t>
      </w:r>
      <w:r>
        <w:rPr>
          <w:spacing w:val="-14"/>
          <w:sz w:val="24"/>
        </w:rPr>
        <w:t xml:space="preserve"> </w:t>
      </w:r>
      <w:r>
        <w:rPr>
          <w:sz w:val="24"/>
        </w:rPr>
        <w:t>for</w:t>
      </w:r>
      <w:r>
        <w:rPr>
          <w:spacing w:val="-13"/>
          <w:sz w:val="24"/>
        </w:rPr>
        <w:t xml:space="preserve"> </w:t>
      </w:r>
      <w:r>
        <w:rPr>
          <w:sz w:val="24"/>
        </w:rPr>
        <w:t>some</w:t>
      </w:r>
      <w:r>
        <w:rPr>
          <w:spacing w:val="-14"/>
          <w:sz w:val="24"/>
        </w:rPr>
        <w:t xml:space="preserve"> </w:t>
      </w:r>
      <w:r>
        <w:rPr>
          <w:sz w:val="24"/>
        </w:rPr>
        <w:t>types</w:t>
      </w:r>
      <w:r>
        <w:rPr>
          <w:spacing w:val="-14"/>
          <w:sz w:val="24"/>
        </w:rPr>
        <w:t xml:space="preserve"> </w:t>
      </w:r>
      <w:r>
        <w:rPr>
          <w:sz w:val="24"/>
        </w:rPr>
        <w:t>were</w:t>
      </w:r>
      <w:r>
        <w:rPr>
          <w:spacing w:val="-13"/>
          <w:sz w:val="24"/>
        </w:rPr>
        <w:t xml:space="preserve"> </w:t>
      </w:r>
      <w:r>
        <w:rPr>
          <w:sz w:val="24"/>
        </w:rPr>
        <w:t>not</w:t>
      </w:r>
      <w:r>
        <w:rPr>
          <w:spacing w:val="-14"/>
          <w:sz w:val="24"/>
        </w:rPr>
        <w:t xml:space="preserve"> </w:t>
      </w:r>
      <w:r>
        <w:rPr>
          <w:sz w:val="24"/>
        </w:rPr>
        <w:t>consistent</w:t>
      </w:r>
      <w:r>
        <w:rPr>
          <w:spacing w:val="-13"/>
          <w:sz w:val="24"/>
        </w:rPr>
        <w:t xml:space="preserve"> </w:t>
      </w:r>
      <w:r>
        <w:rPr>
          <w:sz w:val="24"/>
        </w:rPr>
        <w:t>with</w:t>
      </w:r>
      <w:r>
        <w:rPr>
          <w:spacing w:val="-14"/>
          <w:sz w:val="24"/>
        </w:rPr>
        <w:t xml:space="preserve"> </w:t>
      </w:r>
      <w:r>
        <w:rPr>
          <w:sz w:val="24"/>
        </w:rPr>
        <w:t>those in "Form 6‐1‐2 Production Cost Sheet for Raw Materials";</w:t>
      </w:r>
      <w:r>
        <w:rPr>
          <w:sz w:val="24"/>
          <w:vertAlign w:val="superscript"/>
        </w:rPr>
        <w:t>394</w:t>
      </w:r>
      <w:r>
        <w:rPr>
          <w:sz w:val="24"/>
        </w:rPr>
        <w:t xml:space="preserve"> and</w:t>
      </w:r>
    </w:p>
    <w:p w14:paraId="51DE8878" w14:textId="77777777" w:rsidR="0010369C" w:rsidRDefault="008E43AE">
      <w:pPr>
        <w:pStyle w:val="ListParagraph"/>
        <w:numPr>
          <w:ilvl w:val="0"/>
          <w:numId w:val="9"/>
        </w:numPr>
        <w:tabs>
          <w:tab w:val="left" w:pos="1939"/>
          <w:tab w:val="left" w:pos="1940"/>
        </w:tabs>
        <w:spacing w:before="131" w:line="355" w:lineRule="auto"/>
        <w:ind w:left="1940" w:right="614" w:hanging="852"/>
        <w:jc w:val="left"/>
        <w:rPr>
          <w:sz w:val="24"/>
        </w:rPr>
      </w:pPr>
      <w:r>
        <w:rPr>
          <w:sz w:val="24"/>
        </w:rPr>
        <w:t>"[T]he</w:t>
      </w:r>
      <w:r>
        <w:rPr>
          <w:spacing w:val="-12"/>
          <w:sz w:val="24"/>
        </w:rPr>
        <w:t xml:space="preserve"> </w:t>
      </w:r>
      <w:r>
        <w:rPr>
          <w:sz w:val="24"/>
        </w:rPr>
        <w:t>Company</w:t>
      </w:r>
      <w:r>
        <w:rPr>
          <w:spacing w:val="-11"/>
          <w:sz w:val="24"/>
        </w:rPr>
        <w:t xml:space="preserve"> </w:t>
      </w:r>
      <w:r>
        <w:rPr>
          <w:sz w:val="24"/>
        </w:rPr>
        <w:t>also</w:t>
      </w:r>
      <w:r>
        <w:rPr>
          <w:spacing w:val="-11"/>
          <w:sz w:val="24"/>
        </w:rPr>
        <w:t xml:space="preserve"> </w:t>
      </w:r>
      <w:r>
        <w:rPr>
          <w:sz w:val="24"/>
        </w:rPr>
        <w:t>did</w:t>
      </w:r>
      <w:r>
        <w:rPr>
          <w:spacing w:val="-13"/>
          <w:sz w:val="24"/>
        </w:rPr>
        <w:t xml:space="preserve"> </w:t>
      </w:r>
      <w:r>
        <w:rPr>
          <w:sz w:val="24"/>
        </w:rPr>
        <w:t>not</w:t>
      </w:r>
      <w:r>
        <w:rPr>
          <w:spacing w:val="-12"/>
          <w:sz w:val="24"/>
        </w:rPr>
        <w:t xml:space="preserve"> </w:t>
      </w:r>
      <w:r>
        <w:rPr>
          <w:sz w:val="24"/>
        </w:rPr>
        <w:t>elaborate</w:t>
      </w:r>
      <w:r>
        <w:rPr>
          <w:spacing w:val="-11"/>
          <w:sz w:val="24"/>
        </w:rPr>
        <w:t xml:space="preserve"> </w:t>
      </w:r>
      <w:r>
        <w:rPr>
          <w:sz w:val="24"/>
        </w:rPr>
        <w:t>the</w:t>
      </w:r>
      <w:r>
        <w:rPr>
          <w:spacing w:val="-11"/>
          <w:sz w:val="24"/>
        </w:rPr>
        <w:t xml:space="preserve"> </w:t>
      </w:r>
      <w:r>
        <w:rPr>
          <w:sz w:val="24"/>
        </w:rPr>
        <w:t>alignment</w:t>
      </w:r>
      <w:r>
        <w:rPr>
          <w:spacing w:val="-12"/>
          <w:sz w:val="24"/>
        </w:rPr>
        <w:t xml:space="preserve"> </w:t>
      </w:r>
      <w:r>
        <w:rPr>
          <w:sz w:val="24"/>
        </w:rPr>
        <w:t>between</w:t>
      </w:r>
      <w:r>
        <w:rPr>
          <w:spacing w:val="-11"/>
          <w:sz w:val="24"/>
        </w:rPr>
        <w:t xml:space="preserve"> </w:t>
      </w:r>
      <w:r>
        <w:rPr>
          <w:sz w:val="24"/>
        </w:rPr>
        <w:t>Form</w:t>
      </w:r>
      <w:r>
        <w:rPr>
          <w:spacing w:val="-11"/>
          <w:sz w:val="24"/>
        </w:rPr>
        <w:t xml:space="preserve"> </w:t>
      </w:r>
      <w:r>
        <w:rPr>
          <w:sz w:val="24"/>
        </w:rPr>
        <w:t>6‐3</w:t>
      </w:r>
      <w:r>
        <w:rPr>
          <w:spacing w:val="-13"/>
          <w:sz w:val="24"/>
        </w:rPr>
        <w:t xml:space="preserve"> </w:t>
      </w:r>
      <w:r>
        <w:rPr>
          <w:sz w:val="24"/>
        </w:rPr>
        <w:t>and Form 6‐4".</w:t>
      </w:r>
      <w:r>
        <w:rPr>
          <w:sz w:val="24"/>
          <w:vertAlign w:val="superscript"/>
        </w:rPr>
        <w:t>395</w:t>
      </w:r>
    </w:p>
    <w:p w14:paraId="51DE8879" w14:textId="77777777" w:rsidR="0010369C" w:rsidRDefault="008E43AE">
      <w:pPr>
        <w:pStyle w:val="BodyText"/>
        <w:spacing w:before="132"/>
        <w:ind w:left="1089"/>
      </w:pPr>
      <w:r>
        <w:rPr>
          <w:noProof/>
        </w:rPr>
        <w:drawing>
          <wp:anchor distT="0" distB="0" distL="0" distR="0" simplePos="0" relativeHeight="250661376" behindDoc="0" locked="0" layoutInCell="1" allowOverlap="1" wp14:anchorId="51DEA250" wp14:editId="51DEA251">
            <wp:simplePos x="0" y="0"/>
            <wp:positionH relativeFrom="page">
              <wp:posOffset>905255</wp:posOffset>
            </wp:positionH>
            <wp:positionV relativeFrom="paragraph">
              <wp:posOffset>132157</wp:posOffset>
            </wp:positionV>
            <wp:extent cx="259079" cy="103632"/>
            <wp:effectExtent l="0" t="0" r="0" b="0"/>
            <wp:wrapNone/>
            <wp:docPr id="727" name="image3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 name="image374.png"/>
                    <pic:cNvPicPr/>
                  </pic:nvPicPr>
                  <pic:blipFill>
                    <a:blip r:embed="rId500" cstate="print"/>
                    <a:stretch>
                      <a:fillRect/>
                    </a:stretch>
                  </pic:blipFill>
                  <pic:spPr>
                    <a:xfrm>
                      <a:off x="0" y="0"/>
                      <a:ext cx="259079" cy="103632"/>
                    </a:xfrm>
                    <a:prstGeom prst="rect">
                      <a:avLst/>
                    </a:prstGeom>
                  </pic:spPr>
                </pic:pic>
              </a:graphicData>
            </a:graphic>
          </wp:anchor>
        </w:drawing>
      </w:r>
      <w:r>
        <w:t>Each</w:t>
      </w:r>
      <w:r>
        <w:rPr>
          <w:spacing w:val="-8"/>
        </w:rPr>
        <w:t xml:space="preserve"> </w:t>
      </w:r>
      <w:r>
        <w:t>of</w:t>
      </w:r>
      <w:r>
        <w:rPr>
          <w:spacing w:val="-8"/>
        </w:rPr>
        <w:t xml:space="preserve"> </w:t>
      </w:r>
      <w:r>
        <w:t>these</w:t>
      </w:r>
      <w:r>
        <w:rPr>
          <w:spacing w:val="-7"/>
        </w:rPr>
        <w:t xml:space="preserve"> </w:t>
      </w:r>
      <w:r>
        <w:t>findings</w:t>
      </w:r>
      <w:r>
        <w:rPr>
          <w:spacing w:val="-8"/>
        </w:rPr>
        <w:t xml:space="preserve"> </w:t>
      </w:r>
      <w:r>
        <w:t>was</w:t>
      </w:r>
      <w:r>
        <w:rPr>
          <w:spacing w:val="-8"/>
        </w:rPr>
        <w:t xml:space="preserve"> </w:t>
      </w:r>
      <w:r>
        <w:t>in</w:t>
      </w:r>
      <w:r>
        <w:rPr>
          <w:spacing w:val="-8"/>
        </w:rPr>
        <w:t xml:space="preserve"> </w:t>
      </w:r>
      <w:r>
        <w:t>error.</w:t>
      </w:r>
      <w:r>
        <w:rPr>
          <w:spacing w:val="-7"/>
        </w:rPr>
        <w:t xml:space="preserve"> </w:t>
      </w:r>
      <w:r>
        <w:t>They</w:t>
      </w:r>
      <w:r>
        <w:rPr>
          <w:spacing w:val="-8"/>
        </w:rPr>
        <w:t xml:space="preserve"> </w:t>
      </w:r>
      <w:r>
        <w:t>are</w:t>
      </w:r>
      <w:r>
        <w:rPr>
          <w:spacing w:val="-7"/>
        </w:rPr>
        <w:t xml:space="preserve"> </w:t>
      </w:r>
      <w:r>
        <w:t>discussed</w:t>
      </w:r>
      <w:r>
        <w:rPr>
          <w:spacing w:val="-7"/>
        </w:rPr>
        <w:t xml:space="preserve"> </w:t>
      </w:r>
      <w:r>
        <w:t>separately</w:t>
      </w:r>
      <w:r>
        <w:rPr>
          <w:spacing w:val="-7"/>
        </w:rPr>
        <w:t xml:space="preserve"> </w:t>
      </w:r>
      <w:r>
        <w:rPr>
          <w:spacing w:val="-2"/>
        </w:rPr>
        <w:t>below.</w:t>
      </w:r>
    </w:p>
    <w:p w14:paraId="51DE887A" w14:textId="77777777" w:rsidR="0010369C" w:rsidRDefault="0010369C">
      <w:pPr>
        <w:pStyle w:val="BodyText"/>
        <w:rPr>
          <w:sz w:val="20"/>
        </w:rPr>
      </w:pPr>
    </w:p>
    <w:p w14:paraId="51DE887B" w14:textId="77777777" w:rsidR="0010369C" w:rsidRDefault="0010369C">
      <w:pPr>
        <w:pStyle w:val="BodyText"/>
        <w:rPr>
          <w:sz w:val="20"/>
        </w:rPr>
      </w:pPr>
    </w:p>
    <w:p w14:paraId="51DE887C" w14:textId="77777777" w:rsidR="0010369C" w:rsidRDefault="0010369C">
      <w:pPr>
        <w:pStyle w:val="BodyText"/>
        <w:rPr>
          <w:sz w:val="20"/>
        </w:rPr>
      </w:pPr>
    </w:p>
    <w:p w14:paraId="51DE887D" w14:textId="77777777" w:rsidR="0010369C" w:rsidRDefault="0010369C">
      <w:pPr>
        <w:pStyle w:val="BodyText"/>
        <w:rPr>
          <w:sz w:val="20"/>
        </w:rPr>
      </w:pPr>
    </w:p>
    <w:p w14:paraId="51DE887E" w14:textId="77777777" w:rsidR="0010369C" w:rsidRDefault="0010369C">
      <w:pPr>
        <w:pStyle w:val="BodyText"/>
        <w:rPr>
          <w:sz w:val="20"/>
        </w:rPr>
      </w:pPr>
    </w:p>
    <w:p w14:paraId="51DE887F" w14:textId="77777777" w:rsidR="0010369C" w:rsidRDefault="0010369C">
      <w:pPr>
        <w:pStyle w:val="BodyText"/>
        <w:rPr>
          <w:sz w:val="20"/>
        </w:rPr>
      </w:pPr>
    </w:p>
    <w:p w14:paraId="51DE8880" w14:textId="77777777" w:rsidR="0010369C" w:rsidRDefault="0010369C">
      <w:pPr>
        <w:pStyle w:val="BodyText"/>
        <w:rPr>
          <w:sz w:val="20"/>
        </w:rPr>
      </w:pPr>
    </w:p>
    <w:p w14:paraId="51DE8881" w14:textId="77777777" w:rsidR="0010369C" w:rsidRDefault="0010369C">
      <w:pPr>
        <w:pStyle w:val="BodyText"/>
        <w:rPr>
          <w:sz w:val="20"/>
        </w:rPr>
      </w:pPr>
    </w:p>
    <w:p w14:paraId="51DE8882" w14:textId="77777777" w:rsidR="0010369C" w:rsidRDefault="0010369C">
      <w:pPr>
        <w:pStyle w:val="BodyText"/>
        <w:rPr>
          <w:sz w:val="20"/>
        </w:rPr>
      </w:pPr>
    </w:p>
    <w:p w14:paraId="51DE8883" w14:textId="77777777" w:rsidR="0010369C" w:rsidRDefault="0010369C">
      <w:pPr>
        <w:pStyle w:val="BodyText"/>
        <w:rPr>
          <w:sz w:val="20"/>
        </w:rPr>
      </w:pPr>
    </w:p>
    <w:p w14:paraId="51DE8884" w14:textId="77777777" w:rsidR="0010369C" w:rsidRDefault="0010369C">
      <w:pPr>
        <w:pStyle w:val="BodyText"/>
        <w:rPr>
          <w:sz w:val="20"/>
        </w:rPr>
      </w:pPr>
    </w:p>
    <w:p w14:paraId="51DE8885" w14:textId="77777777" w:rsidR="0010369C" w:rsidRDefault="008E43AE">
      <w:pPr>
        <w:pStyle w:val="BodyText"/>
        <w:spacing w:before="6"/>
        <w:rPr>
          <w:sz w:val="11"/>
        </w:rPr>
      </w:pPr>
      <w:r>
        <w:pict w14:anchorId="51DEA252">
          <v:rect id="docshape800" o:spid="_x0000_s1497" style="position:absolute;margin-left:70.9pt;margin-top:8.25pt;width:2in;height:.8pt;z-index:-250921472;mso-wrap-distance-left:0;mso-wrap-distance-right:0;mso-position-horizontal-relative:page" fillcolor="black" stroked="f">
            <w10:wrap type="topAndBottom" anchorx="page"/>
          </v:rect>
        </w:pict>
      </w:r>
    </w:p>
    <w:p w14:paraId="51DE8886" w14:textId="77777777" w:rsidR="0010369C" w:rsidRDefault="008E43AE">
      <w:pPr>
        <w:spacing w:before="109"/>
        <w:ind w:left="238"/>
        <w:rPr>
          <w:sz w:val="18"/>
        </w:rPr>
      </w:pPr>
      <w:r>
        <w:rPr>
          <w:sz w:val="18"/>
          <w:vertAlign w:val="superscript"/>
        </w:rPr>
        <w:t>394</w:t>
      </w:r>
      <w:r>
        <w:rPr>
          <w:spacing w:val="-9"/>
          <w:sz w:val="18"/>
        </w:rPr>
        <w:t xml:space="preserve"> </w:t>
      </w:r>
      <w:r>
        <w:rPr>
          <w:sz w:val="18"/>
        </w:rPr>
        <w:t>Anti‐Dumping</w:t>
      </w:r>
      <w:r>
        <w:rPr>
          <w:spacing w:val="-9"/>
          <w:sz w:val="18"/>
        </w:rPr>
        <w:t xml:space="preserve"> </w:t>
      </w:r>
      <w:r>
        <w:rPr>
          <w:sz w:val="18"/>
        </w:rPr>
        <w:t>Final</w:t>
      </w:r>
      <w:r>
        <w:rPr>
          <w:spacing w:val="-9"/>
          <w:sz w:val="18"/>
        </w:rPr>
        <w:t xml:space="preserve"> </w:t>
      </w:r>
      <w:r>
        <w:rPr>
          <w:sz w:val="18"/>
        </w:rPr>
        <w:t>Determination</w:t>
      </w:r>
      <w:r>
        <w:rPr>
          <w:spacing w:val="-8"/>
          <w:sz w:val="18"/>
        </w:rPr>
        <w:t xml:space="preserve"> </w:t>
      </w:r>
      <w:r>
        <w:rPr>
          <w:sz w:val="18"/>
        </w:rPr>
        <w:t>(Exhibit</w:t>
      </w:r>
      <w:r>
        <w:rPr>
          <w:spacing w:val="-9"/>
          <w:sz w:val="18"/>
        </w:rPr>
        <w:t xml:space="preserve"> </w:t>
      </w:r>
      <w:r>
        <w:rPr>
          <w:sz w:val="18"/>
        </w:rPr>
        <w:t>AUS‐2),</w:t>
      </w:r>
      <w:r>
        <w:rPr>
          <w:spacing w:val="-9"/>
          <w:sz w:val="18"/>
        </w:rPr>
        <w:t xml:space="preserve"> </w:t>
      </w:r>
      <w:r>
        <w:rPr>
          <w:sz w:val="18"/>
        </w:rPr>
        <w:t>p.</w:t>
      </w:r>
      <w:r>
        <w:rPr>
          <w:spacing w:val="-9"/>
          <w:sz w:val="18"/>
        </w:rPr>
        <w:t xml:space="preserve"> </w:t>
      </w:r>
      <w:r>
        <w:rPr>
          <w:spacing w:val="-5"/>
          <w:sz w:val="18"/>
        </w:rPr>
        <w:t>81.</w:t>
      </w:r>
    </w:p>
    <w:p w14:paraId="51DE8887" w14:textId="77777777" w:rsidR="0010369C" w:rsidRDefault="008E43AE">
      <w:pPr>
        <w:ind w:left="238"/>
        <w:rPr>
          <w:sz w:val="18"/>
        </w:rPr>
      </w:pPr>
      <w:r>
        <w:rPr>
          <w:sz w:val="18"/>
          <w:vertAlign w:val="superscript"/>
        </w:rPr>
        <w:t>395</w:t>
      </w:r>
      <w:r>
        <w:rPr>
          <w:spacing w:val="-9"/>
          <w:sz w:val="18"/>
        </w:rPr>
        <w:t xml:space="preserve"> </w:t>
      </w:r>
      <w:r>
        <w:rPr>
          <w:sz w:val="18"/>
        </w:rPr>
        <w:t>Anti‐Dumping</w:t>
      </w:r>
      <w:r>
        <w:rPr>
          <w:spacing w:val="-9"/>
          <w:sz w:val="18"/>
        </w:rPr>
        <w:t xml:space="preserve"> </w:t>
      </w:r>
      <w:r>
        <w:rPr>
          <w:sz w:val="18"/>
        </w:rPr>
        <w:t>Final</w:t>
      </w:r>
      <w:r>
        <w:rPr>
          <w:spacing w:val="-9"/>
          <w:sz w:val="18"/>
        </w:rPr>
        <w:t xml:space="preserve"> </w:t>
      </w:r>
      <w:r>
        <w:rPr>
          <w:sz w:val="18"/>
        </w:rPr>
        <w:t>Determination</w:t>
      </w:r>
      <w:r>
        <w:rPr>
          <w:spacing w:val="-8"/>
          <w:sz w:val="18"/>
        </w:rPr>
        <w:t xml:space="preserve"> </w:t>
      </w:r>
      <w:r>
        <w:rPr>
          <w:sz w:val="18"/>
        </w:rPr>
        <w:t>(Exhibit</w:t>
      </w:r>
      <w:r>
        <w:rPr>
          <w:spacing w:val="-9"/>
          <w:sz w:val="18"/>
        </w:rPr>
        <w:t xml:space="preserve"> </w:t>
      </w:r>
      <w:r>
        <w:rPr>
          <w:sz w:val="18"/>
        </w:rPr>
        <w:t>AUS‐2),</w:t>
      </w:r>
      <w:r>
        <w:rPr>
          <w:spacing w:val="-9"/>
          <w:sz w:val="18"/>
        </w:rPr>
        <w:t xml:space="preserve"> </w:t>
      </w:r>
      <w:r>
        <w:rPr>
          <w:sz w:val="18"/>
        </w:rPr>
        <w:t>p.</w:t>
      </w:r>
      <w:r>
        <w:rPr>
          <w:spacing w:val="-9"/>
          <w:sz w:val="18"/>
        </w:rPr>
        <w:t xml:space="preserve"> </w:t>
      </w:r>
      <w:r>
        <w:rPr>
          <w:spacing w:val="-5"/>
          <w:sz w:val="18"/>
        </w:rPr>
        <w:t>81.</w:t>
      </w:r>
    </w:p>
    <w:p w14:paraId="51DE8888" w14:textId="77777777" w:rsidR="0010369C" w:rsidRDefault="0010369C">
      <w:pPr>
        <w:rPr>
          <w:sz w:val="18"/>
        </w:rPr>
        <w:sectPr w:rsidR="0010369C">
          <w:pgSz w:w="11910" w:h="16840"/>
          <w:pgMar w:top="880" w:right="800" w:bottom="980" w:left="1180" w:header="569" w:footer="788" w:gutter="0"/>
          <w:cols w:space="720"/>
        </w:sectPr>
      </w:pPr>
    </w:p>
    <w:tbl>
      <w:tblPr>
        <w:tblW w:w="0" w:type="auto"/>
        <w:tblInd w:w="131" w:type="dxa"/>
        <w:tblLayout w:type="fixed"/>
        <w:tblCellMar>
          <w:left w:w="0" w:type="dxa"/>
          <w:right w:w="0" w:type="dxa"/>
        </w:tblCellMar>
        <w:tblLook w:val="01E0" w:firstRow="1" w:lastRow="1" w:firstColumn="1" w:lastColumn="1" w:noHBand="0" w:noVBand="0"/>
      </w:tblPr>
      <w:tblGrid>
        <w:gridCol w:w="4978"/>
        <w:gridCol w:w="4241"/>
      </w:tblGrid>
      <w:tr w:rsidR="0010369C" w14:paraId="51DE888F" w14:textId="77777777">
        <w:trPr>
          <w:trHeight w:val="1227"/>
        </w:trPr>
        <w:tc>
          <w:tcPr>
            <w:tcW w:w="4978" w:type="dxa"/>
            <w:tcBorders>
              <w:top w:val="single" w:sz="4" w:space="0" w:color="000000"/>
            </w:tcBorders>
          </w:tcPr>
          <w:p w14:paraId="51DE8889" w14:textId="77777777" w:rsidR="0010369C" w:rsidRDefault="008E43AE">
            <w:pPr>
              <w:pStyle w:val="TableParagraph"/>
              <w:spacing w:before="19" w:line="252" w:lineRule="auto"/>
              <w:ind w:left="114" w:right="15" w:firstLine="2461"/>
              <w:rPr>
                <w:sz w:val="20"/>
              </w:rPr>
            </w:pPr>
            <w:r>
              <w:lastRenderedPageBreak/>
              <w:t>Business</w:t>
            </w:r>
            <w:r>
              <w:rPr>
                <w:spacing w:val="-13"/>
              </w:rPr>
              <w:t xml:space="preserve"> </w:t>
            </w:r>
            <w:r>
              <w:t>Confidential</w:t>
            </w:r>
            <w:r>
              <w:rPr>
                <w:spacing w:val="-12"/>
              </w:rPr>
              <w:t xml:space="preserve"> </w:t>
            </w:r>
            <w:r>
              <w:t xml:space="preserve">Infor </w:t>
            </w:r>
            <w:r>
              <w:rPr>
                <w:i/>
                <w:sz w:val="20"/>
              </w:rPr>
              <w:t>China – Anti‐Dumping and Countervailing Duty Measures</w:t>
            </w:r>
            <w:r>
              <w:rPr>
                <w:i/>
                <w:spacing w:val="40"/>
                <w:sz w:val="20"/>
              </w:rPr>
              <w:t xml:space="preserve"> </w:t>
            </w:r>
            <w:r>
              <w:rPr>
                <w:i/>
                <w:sz w:val="20"/>
              </w:rPr>
              <w:t xml:space="preserve">on Wine from Australia </w:t>
            </w:r>
            <w:r>
              <w:rPr>
                <w:sz w:val="20"/>
              </w:rPr>
              <w:t>(DS602)</w:t>
            </w:r>
          </w:p>
          <w:p w14:paraId="51DE888A" w14:textId="77777777" w:rsidR="0010369C" w:rsidRDefault="008E43AE">
            <w:pPr>
              <w:pStyle w:val="TableParagraph"/>
              <w:spacing w:before="25"/>
              <w:ind w:right="321"/>
              <w:jc w:val="right"/>
              <w:rPr>
                <w:sz w:val="24"/>
              </w:rPr>
            </w:pPr>
            <w:r>
              <w:rPr>
                <w:spacing w:val="-5"/>
                <w:sz w:val="24"/>
              </w:rPr>
              <w:t>(A)</w:t>
            </w:r>
          </w:p>
        </w:tc>
        <w:tc>
          <w:tcPr>
            <w:tcW w:w="4241" w:type="dxa"/>
            <w:tcBorders>
              <w:top w:val="single" w:sz="4" w:space="0" w:color="000000"/>
            </w:tcBorders>
          </w:tcPr>
          <w:p w14:paraId="51DE888B" w14:textId="77777777" w:rsidR="0010369C" w:rsidRDefault="008E43AE">
            <w:pPr>
              <w:pStyle w:val="TableParagraph"/>
              <w:spacing w:before="19"/>
              <w:ind w:left="-16"/>
            </w:pPr>
            <w:r>
              <w:t>mation</w:t>
            </w:r>
            <w:r>
              <w:rPr>
                <w:spacing w:val="-5"/>
              </w:rPr>
              <w:t xml:space="preserve"> </w:t>
            </w:r>
            <w:r>
              <w:t>‐</w:t>
            </w:r>
            <w:r>
              <w:rPr>
                <w:spacing w:val="-5"/>
              </w:rPr>
              <w:t xml:space="preserve"> </w:t>
            </w:r>
            <w:r>
              <w:rPr>
                <w:spacing w:val="-2"/>
              </w:rPr>
              <w:t>REDACTED</w:t>
            </w:r>
          </w:p>
          <w:p w14:paraId="51DE888C" w14:textId="77777777" w:rsidR="0010369C" w:rsidRDefault="008E43AE">
            <w:pPr>
              <w:pStyle w:val="TableParagraph"/>
              <w:spacing w:before="28"/>
              <w:ind w:right="34"/>
              <w:jc w:val="right"/>
              <w:rPr>
                <w:sz w:val="20"/>
              </w:rPr>
            </w:pPr>
            <w:r>
              <w:rPr>
                <w:sz w:val="20"/>
              </w:rPr>
              <w:t>Australia's</w:t>
            </w:r>
            <w:r>
              <w:rPr>
                <w:spacing w:val="-5"/>
                <w:sz w:val="20"/>
              </w:rPr>
              <w:t xml:space="preserve"> </w:t>
            </w:r>
            <w:r>
              <w:rPr>
                <w:sz w:val="20"/>
              </w:rPr>
              <w:t>First</w:t>
            </w:r>
            <w:r>
              <w:rPr>
                <w:spacing w:val="-2"/>
                <w:sz w:val="20"/>
              </w:rPr>
              <w:t xml:space="preserve"> </w:t>
            </w:r>
            <w:r>
              <w:rPr>
                <w:sz w:val="20"/>
              </w:rPr>
              <w:t>Written</w:t>
            </w:r>
            <w:r>
              <w:rPr>
                <w:spacing w:val="-2"/>
                <w:sz w:val="20"/>
              </w:rPr>
              <w:t xml:space="preserve"> Submission</w:t>
            </w:r>
          </w:p>
          <w:p w14:paraId="51DE888D" w14:textId="77777777" w:rsidR="0010369C" w:rsidRDefault="008E43AE">
            <w:pPr>
              <w:pStyle w:val="TableParagraph"/>
              <w:spacing w:before="1"/>
              <w:ind w:right="30"/>
              <w:jc w:val="right"/>
              <w:rPr>
                <w:sz w:val="20"/>
              </w:rPr>
            </w:pPr>
            <w:r>
              <w:rPr>
                <w:sz w:val="20"/>
              </w:rPr>
              <w:t>29</w:t>
            </w:r>
            <w:r>
              <w:rPr>
                <w:spacing w:val="-1"/>
                <w:sz w:val="20"/>
              </w:rPr>
              <w:t xml:space="preserve"> </w:t>
            </w:r>
            <w:r>
              <w:rPr>
                <w:sz w:val="20"/>
              </w:rPr>
              <w:t>April</w:t>
            </w:r>
            <w:r>
              <w:rPr>
                <w:spacing w:val="-2"/>
                <w:sz w:val="20"/>
              </w:rPr>
              <w:t xml:space="preserve"> </w:t>
            </w:r>
            <w:r>
              <w:rPr>
                <w:spacing w:val="-4"/>
                <w:sz w:val="20"/>
              </w:rPr>
              <w:t>2022</w:t>
            </w:r>
          </w:p>
          <w:p w14:paraId="51DE888E" w14:textId="77777777" w:rsidR="0010369C" w:rsidRDefault="008E43AE">
            <w:pPr>
              <w:pStyle w:val="TableParagraph"/>
              <w:spacing w:before="34"/>
              <w:ind w:right="33"/>
              <w:jc w:val="right"/>
              <w:rPr>
                <w:sz w:val="24"/>
              </w:rPr>
            </w:pPr>
            <w:r>
              <w:rPr>
                <w:sz w:val="24"/>
                <w:u w:val="single"/>
              </w:rPr>
              <w:t>Inconsistencies</w:t>
            </w:r>
            <w:r>
              <w:rPr>
                <w:spacing w:val="20"/>
                <w:sz w:val="24"/>
                <w:u w:val="single"/>
              </w:rPr>
              <w:t xml:space="preserve"> </w:t>
            </w:r>
            <w:r>
              <w:rPr>
                <w:sz w:val="24"/>
                <w:u w:val="single"/>
              </w:rPr>
              <w:t>between</w:t>
            </w:r>
            <w:r>
              <w:rPr>
                <w:spacing w:val="19"/>
                <w:sz w:val="24"/>
                <w:u w:val="single"/>
              </w:rPr>
              <w:t xml:space="preserve"> </w:t>
            </w:r>
            <w:r>
              <w:rPr>
                <w:sz w:val="24"/>
                <w:u w:val="single"/>
              </w:rPr>
              <w:t>Forms</w:t>
            </w:r>
            <w:r>
              <w:rPr>
                <w:spacing w:val="21"/>
                <w:sz w:val="24"/>
                <w:u w:val="single"/>
              </w:rPr>
              <w:t xml:space="preserve"> </w:t>
            </w:r>
            <w:r>
              <w:rPr>
                <w:sz w:val="24"/>
                <w:u w:val="single"/>
              </w:rPr>
              <w:t>6‐4</w:t>
            </w:r>
            <w:r>
              <w:rPr>
                <w:spacing w:val="20"/>
                <w:sz w:val="24"/>
                <w:u w:val="single"/>
              </w:rPr>
              <w:t xml:space="preserve"> </w:t>
            </w:r>
            <w:r>
              <w:rPr>
                <w:spacing w:val="-5"/>
                <w:sz w:val="24"/>
                <w:u w:val="single"/>
              </w:rPr>
              <w:t>and</w:t>
            </w:r>
          </w:p>
        </w:tc>
      </w:tr>
      <w:tr w:rsidR="0010369C" w14:paraId="51DE8892" w14:textId="77777777">
        <w:trPr>
          <w:trHeight w:val="439"/>
        </w:trPr>
        <w:tc>
          <w:tcPr>
            <w:tcW w:w="4978" w:type="dxa"/>
          </w:tcPr>
          <w:p w14:paraId="51DE8890" w14:textId="77777777" w:rsidR="0010369C" w:rsidRDefault="0010369C">
            <w:pPr>
              <w:pStyle w:val="TableParagraph"/>
              <w:rPr>
                <w:rFonts w:ascii="Times New Roman"/>
              </w:rPr>
            </w:pPr>
          </w:p>
        </w:tc>
        <w:tc>
          <w:tcPr>
            <w:tcW w:w="4241" w:type="dxa"/>
          </w:tcPr>
          <w:p w14:paraId="51DE8891" w14:textId="77777777" w:rsidR="0010369C" w:rsidRDefault="008E43AE">
            <w:pPr>
              <w:pStyle w:val="TableParagraph"/>
              <w:spacing w:before="51"/>
              <w:ind w:left="238"/>
              <w:rPr>
                <w:sz w:val="24"/>
              </w:rPr>
            </w:pPr>
            <w:r>
              <w:rPr>
                <w:sz w:val="24"/>
                <w:u w:val="single"/>
              </w:rPr>
              <w:t>6‐1‐2</w:t>
            </w:r>
            <w:r>
              <w:rPr>
                <w:spacing w:val="41"/>
                <w:sz w:val="24"/>
                <w:u w:val="single"/>
              </w:rPr>
              <w:t xml:space="preserve"> </w:t>
            </w:r>
            <w:r>
              <w:rPr>
                <w:sz w:val="24"/>
                <w:u w:val="single"/>
              </w:rPr>
              <w:t>regarding</w:t>
            </w:r>
            <w:r>
              <w:rPr>
                <w:spacing w:val="40"/>
                <w:sz w:val="24"/>
                <w:u w:val="single"/>
              </w:rPr>
              <w:t xml:space="preserve"> </w:t>
            </w:r>
            <w:r>
              <w:rPr>
                <w:sz w:val="24"/>
                <w:u w:val="single"/>
              </w:rPr>
              <w:t>the</w:t>
            </w:r>
            <w:r>
              <w:rPr>
                <w:spacing w:val="42"/>
                <w:sz w:val="24"/>
                <w:u w:val="single"/>
              </w:rPr>
              <w:t xml:space="preserve"> </w:t>
            </w:r>
            <w:r>
              <w:rPr>
                <w:sz w:val="24"/>
                <w:u w:val="single"/>
              </w:rPr>
              <w:t>unit</w:t>
            </w:r>
            <w:r>
              <w:rPr>
                <w:spacing w:val="41"/>
                <w:sz w:val="24"/>
                <w:u w:val="single"/>
              </w:rPr>
              <w:t xml:space="preserve"> </w:t>
            </w:r>
            <w:r>
              <w:rPr>
                <w:sz w:val="24"/>
                <w:u w:val="single"/>
              </w:rPr>
              <w:t>prices</w:t>
            </w:r>
            <w:r>
              <w:rPr>
                <w:spacing w:val="41"/>
                <w:sz w:val="24"/>
                <w:u w:val="single"/>
              </w:rPr>
              <w:t xml:space="preserve"> </w:t>
            </w:r>
            <w:r>
              <w:rPr>
                <w:sz w:val="24"/>
                <w:u w:val="single"/>
              </w:rPr>
              <w:t>of</w:t>
            </w:r>
            <w:r>
              <w:rPr>
                <w:spacing w:val="40"/>
                <w:sz w:val="24"/>
                <w:u w:val="single"/>
              </w:rPr>
              <w:t xml:space="preserve"> </w:t>
            </w:r>
            <w:r>
              <w:rPr>
                <w:spacing w:val="-4"/>
                <w:sz w:val="24"/>
                <w:u w:val="single"/>
              </w:rPr>
              <w:t>bulk</w:t>
            </w:r>
          </w:p>
        </w:tc>
      </w:tr>
      <w:tr w:rsidR="0010369C" w14:paraId="51DE8895" w14:textId="77777777">
        <w:trPr>
          <w:trHeight w:val="340"/>
        </w:trPr>
        <w:tc>
          <w:tcPr>
            <w:tcW w:w="4978" w:type="dxa"/>
          </w:tcPr>
          <w:p w14:paraId="51DE8893" w14:textId="77777777" w:rsidR="0010369C" w:rsidRDefault="0010369C">
            <w:pPr>
              <w:pStyle w:val="TableParagraph"/>
              <w:rPr>
                <w:rFonts w:ascii="Times New Roman"/>
              </w:rPr>
            </w:pPr>
          </w:p>
        </w:tc>
        <w:tc>
          <w:tcPr>
            <w:tcW w:w="4241" w:type="dxa"/>
          </w:tcPr>
          <w:p w14:paraId="51DE8894" w14:textId="77777777" w:rsidR="0010369C" w:rsidRDefault="008E43AE">
            <w:pPr>
              <w:pStyle w:val="TableParagraph"/>
              <w:spacing w:before="51" w:line="269" w:lineRule="exact"/>
              <w:ind w:left="238"/>
              <w:rPr>
                <w:sz w:val="24"/>
              </w:rPr>
            </w:pPr>
            <w:r>
              <w:rPr>
                <w:spacing w:val="-4"/>
                <w:sz w:val="24"/>
                <w:u w:val="single"/>
              </w:rPr>
              <w:t>wine</w:t>
            </w:r>
          </w:p>
        </w:tc>
      </w:tr>
    </w:tbl>
    <w:p w14:paraId="51DE8896" w14:textId="77777777" w:rsidR="0010369C" w:rsidRDefault="008E43AE">
      <w:pPr>
        <w:pStyle w:val="BodyText"/>
        <w:rPr>
          <w:sz w:val="22"/>
        </w:rPr>
      </w:pPr>
      <w:r>
        <w:pict w14:anchorId="51DEA253">
          <v:rect id="docshape803" o:spid="_x0000_s1496" style="position:absolute;margin-left:65pt;margin-top:44.2pt;width:461.4pt;height:.5pt;z-index:-251319808;mso-position-horizontal-relative:page;mso-position-vertical-relative:page" fillcolor="black" stroked="f">
            <w10:wrap anchorx="page" anchory="page"/>
          </v:rect>
        </w:pict>
      </w:r>
    </w:p>
    <w:p w14:paraId="51DE8897" w14:textId="77777777" w:rsidR="0010369C" w:rsidRDefault="008E43AE">
      <w:pPr>
        <w:pStyle w:val="BodyText"/>
        <w:spacing w:before="51" w:line="360" w:lineRule="auto"/>
        <w:ind w:left="237" w:right="614" w:firstLine="851"/>
        <w:jc w:val="both"/>
      </w:pPr>
      <w:r>
        <w:rPr>
          <w:noProof/>
        </w:rPr>
        <w:drawing>
          <wp:anchor distT="0" distB="0" distL="0" distR="0" simplePos="0" relativeHeight="251009536" behindDoc="1" locked="0" layoutInCell="1" allowOverlap="1" wp14:anchorId="51DEA254" wp14:editId="51DEA255">
            <wp:simplePos x="0" y="0"/>
            <wp:positionH relativeFrom="page">
              <wp:posOffset>905255</wp:posOffset>
            </wp:positionH>
            <wp:positionV relativeFrom="paragraph">
              <wp:posOffset>79960</wp:posOffset>
            </wp:positionV>
            <wp:extent cx="259079" cy="103631"/>
            <wp:effectExtent l="0" t="0" r="0" b="0"/>
            <wp:wrapNone/>
            <wp:docPr id="729" name="image3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 name="image375.png"/>
                    <pic:cNvPicPr/>
                  </pic:nvPicPr>
                  <pic:blipFill>
                    <a:blip r:embed="rId501" cstate="print"/>
                    <a:stretch>
                      <a:fillRect/>
                    </a:stretch>
                  </pic:blipFill>
                  <pic:spPr>
                    <a:xfrm>
                      <a:off x="0" y="0"/>
                      <a:ext cx="259079" cy="103631"/>
                    </a:xfrm>
                    <a:prstGeom prst="rect">
                      <a:avLst/>
                    </a:prstGeom>
                  </pic:spPr>
                </pic:pic>
              </a:graphicData>
            </a:graphic>
          </wp:anchor>
        </w:drawing>
      </w:r>
      <w:r>
        <w:t>In</w:t>
      </w:r>
      <w:r>
        <w:rPr>
          <w:spacing w:val="-9"/>
        </w:rPr>
        <w:t xml:space="preserve"> </w:t>
      </w:r>
      <w:r>
        <w:t>relation</w:t>
      </w:r>
      <w:r>
        <w:rPr>
          <w:spacing w:val="-10"/>
        </w:rPr>
        <w:t xml:space="preserve"> </w:t>
      </w:r>
      <w:r>
        <w:t>to</w:t>
      </w:r>
      <w:r>
        <w:rPr>
          <w:spacing w:val="-8"/>
        </w:rPr>
        <w:t xml:space="preserve"> </w:t>
      </w:r>
      <w:r>
        <w:t>the</w:t>
      </w:r>
      <w:r>
        <w:rPr>
          <w:spacing w:val="-8"/>
        </w:rPr>
        <w:t xml:space="preserve"> </w:t>
      </w:r>
      <w:r>
        <w:t>allegation</w:t>
      </w:r>
      <w:r>
        <w:rPr>
          <w:spacing w:val="-9"/>
        </w:rPr>
        <w:t xml:space="preserve"> </w:t>
      </w:r>
      <w:r>
        <w:t>that</w:t>
      </w:r>
      <w:r>
        <w:rPr>
          <w:spacing w:val="-9"/>
        </w:rPr>
        <w:t xml:space="preserve"> </w:t>
      </w:r>
      <w:r>
        <w:t>the</w:t>
      </w:r>
      <w:r>
        <w:rPr>
          <w:spacing w:val="-10"/>
        </w:rPr>
        <w:t xml:space="preserve"> </w:t>
      </w:r>
      <w:r>
        <w:t>unit</w:t>
      </w:r>
      <w:r>
        <w:rPr>
          <w:spacing w:val="-8"/>
        </w:rPr>
        <w:t xml:space="preserve"> </w:t>
      </w:r>
      <w:r>
        <w:t>prices</w:t>
      </w:r>
      <w:r>
        <w:rPr>
          <w:spacing w:val="-10"/>
        </w:rPr>
        <w:t xml:space="preserve"> </w:t>
      </w:r>
      <w:r>
        <w:t>of</w:t>
      </w:r>
      <w:r>
        <w:rPr>
          <w:spacing w:val="-9"/>
        </w:rPr>
        <w:t xml:space="preserve"> </w:t>
      </w:r>
      <w:r>
        <w:t>bulk</w:t>
      </w:r>
      <w:r>
        <w:rPr>
          <w:spacing w:val="-8"/>
        </w:rPr>
        <w:t xml:space="preserve"> </w:t>
      </w:r>
      <w:r>
        <w:t>wine</w:t>
      </w:r>
      <w:r>
        <w:rPr>
          <w:spacing w:val="-8"/>
        </w:rPr>
        <w:t xml:space="preserve"> </w:t>
      </w:r>
      <w:r>
        <w:t>"for</w:t>
      </w:r>
      <w:r>
        <w:rPr>
          <w:spacing w:val="-8"/>
        </w:rPr>
        <w:t xml:space="preserve"> </w:t>
      </w:r>
      <w:r>
        <w:t>some</w:t>
      </w:r>
      <w:r>
        <w:rPr>
          <w:spacing w:val="-7"/>
        </w:rPr>
        <w:t xml:space="preserve"> </w:t>
      </w:r>
      <w:r>
        <w:t>types"</w:t>
      </w:r>
      <w:r>
        <w:rPr>
          <w:spacing w:val="-9"/>
        </w:rPr>
        <w:t xml:space="preserve"> </w:t>
      </w:r>
      <w:r>
        <w:t>in</w:t>
      </w:r>
      <w:r>
        <w:rPr>
          <w:spacing w:val="-9"/>
        </w:rPr>
        <w:t xml:space="preserve"> </w:t>
      </w:r>
      <w:r>
        <w:t>Form 6‐4 were inconsistent with Form 6‐1‐2, it must be noted at the outset that MOFCOM did not specifically identify which specific aspects of the data submitted were allegedly inconsistent.</w:t>
      </w:r>
    </w:p>
    <w:p w14:paraId="51DE8898" w14:textId="77777777" w:rsidR="0010369C" w:rsidRDefault="008E43AE">
      <w:pPr>
        <w:pStyle w:val="BodyText"/>
        <w:spacing w:before="160" w:after="3" w:line="360" w:lineRule="auto"/>
        <w:ind w:left="237" w:right="613" w:firstLine="851"/>
        <w:jc w:val="both"/>
      </w:pPr>
      <w:r>
        <w:rPr>
          <w:noProof/>
        </w:rPr>
        <w:drawing>
          <wp:anchor distT="0" distB="0" distL="0" distR="0" simplePos="0" relativeHeight="251010560" behindDoc="1" locked="0" layoutInCell="1" allowOverlap="1" wp14:anchorId="51DEA256" wp14:editId="51DEA257">
            <wp:simplePos x="0" y="0"/>
            <wp:positionH relativeFrom="page">
              <wp:posOffset>905255</wp:posOffset>
            </wp:positionH>
            <wp:positionV relativeFrom="paragraph">
              <wp:posOffset>149175</wp:posOffset>
            </wp:positionV>
            <wp:extent cx="259079" cy="103631"/>
            <wp:effectExtent l="0" t="0" r="0" b="0"/>
            <wp:wrapNone/>
            <wp:docPr id="731" name="image3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 name="image376.png"/>
                    <pic:cNvPicPr/>
                  </pic:nvPicPr>
                  <pic:blipFill>
                    <a:blip r:embed="rId502" cstate="print"/>
                    <a:stretch>
                      <a:fillRect/>
                    </a:stretch>
                  </pic:blipFill>
                  <pic:spPr>
                    <a:xfrm>
                      <a:off x="0" y="0"/>
                      <a:ext cx="259079" cy="103631"/>
                    </a:xfrm>
                    <a:prstGeom prst="rect">
                      <a:avLst/>
                    </a:prstGeom>
                  </pic:spPr>
                </pic:pic>
              </a:graphicData>
            </a:graphic>
          </wp:anchor>
        </w:drawing>
      </w:r>
      <w:r>
        <w:pict w14:anchorId="51DEA258">
          <v:rect id="docshape804" o:spid="_x0000_s1495" style="position:absolute;left:0;text-align:left;margin-left:140.6pt;margin-top:95.95pt;width:382.85pt;height:16.05pt;z-index:-251318784;mso-position-horizontal-relative:page;mso-position-vertical-relative:text" fillcolor="black" stroked="f">
            <w10:wrap anchorx="page"/>
          </v:rect>
        </w:pict>
      </w:r>
      <w:r>
        <w:t>In the first instance, Australia submits that given a number of</w:t>
      </w:r>
      <w:r>
        <w:t xml:space="preserve"> the identified inconsistencies were between forms which did not contain "necessary" information, it is therefore</w:t>
      </w:r>
      <w:r>
        <w:rPr>
          <w:spacing w:val="-1"/>
        </w:rPr>
        <w:t xml:space="preserve"> </w:t>
      </w:r>
      <w:r>
        <w:t>unnecessary for</w:t>
      </w:r>
      <w:r>
        <w:rPr>
          <w:spacing w:val="-1"/>
        </w:rPr>
        <w:t xml:space="preserve"> </w:t>
      </w:r>
      <w:r>
        <w:t>those</w:t>
      </w:r>
      <w:r>
        <w:rPr>
          <w:spacing w:val="-1"/>
        </w:rPr>
        <w:t xml:space="preserve"> </w:t>
      </w:r>
      <w:r>
        <w:t>forms</w:t>
      </w:r>
      <w:r>
        <w:rPr>
          <w:spacing w:val="-1"/>
        </w:rPr>
        <w:t xml:space="preserve"> </w:t>
      </w:r>
      <w:r>
        <w:t>to</w:t>
      </w:r>
      <w:r>
        <w:rPr>
          <w:spacing w:val="-1"/>
        </w:rPr>
        <w:t xml:space="preserve"> </w:t>
      </w:r>
      <w:r>
        <w:t>be</w:t>
      </w:r>
      <w:r>
        <w:rPr>
          <w:spacing w:val="-1"/>
        </w:rPr>
        <w:t xml:space="preserve"> </w:t>
      </w:r>
      <w:r>
        <w:t>reconciled</w:t>
      </w:r>
      <w:r>
        <w:rPr>
          <w:spacing w:val="-2"/>
        </w:rPr>
        <w:t xml:space="preserve"> </w:t>
      </w:r>
      <w:r>
        <w:t>for</w:t>
      </w:r>
      <w:r>
        <w:rPr>
          <w:spacing w:val="-1"/>
        </w:rPr>
        <w:t xml:space="preserve"> </w:t>
      </w:r>
      <w:r>
        <w:t>calculation</w:t>
      </w:r>
      <w:r>
        <w:rPr>
          <w:spacing w:val="-1"/>
        </w:rPr>
        <w:t xml:space="preserve"> </w:t>
      </w:r>
      <w:r>
        <w:t>purposes. Specifically, as outlined above,</w:t>
      </w:r>
      <w:r>
        <w:rPr>
          <w:vertAlign w:val="superscript"/>
        </w:rPr>
        <w:t>396</w:t>
      </w:r>
      <w:r>
        <w:t xml:space="preserve"> Form 6‐1‐2 was not "necessary" for </w:t>
      </w:r>
      <w:r>
        <w:t>Casella Wines' normal value calculations. [[</w:t>
      </w:r>
    </w:p>
    <w:p w14:paraId="51DE8899" w14:textId="77777777" w:rsidR="0010369C" w:rsidRDefault="008E43AE">
      <w:pPr>
        <w:pStyle w:val="BodyText"/>
        <w:ind w:left="218"/>
        <w:rPr>
          <w:sz w:val="20"/>
        </w:rPr>
      </w:pPr>
      <w:r>
        <w:rPr>
          <w:sz w:val="20"/>
        </w:rPr>
      </w:r>
      <w:r>
        <w:rPr>
          <w:sz w:val="20"/>
        </w:rPr>
        <w:pict w14:anchorId="51DEA25A">
          <v:group id="docshapegroup805" o:spid="_x0000_s1493" style="width:453.55pt;height:16.1pt;mso-position-horizontal-relative:char;mso-position-vertical-relative:line" coordsize="9071,322">
            <v:rect id="docshape806" o:spid="_x0000_s1494" style="position:absolute;width:9071;height:322" fillcolor="black" stroked="f"/>
            <w10:anchorlock/>
          </v:group>
        </w:pict>
      </w:r>
    </w:p>
    <w:p w14:paraId="51DE889A" w14:textId="77777777" w:rsidR="0010369C" w:rsidRDefault="008E43AE">
      <w:pPr>
        <w:pStyle w:val="BodyText"/>
        <w:spacing w:before="82" w:line="360" w:lineRule="auto"/>
        <w:ind w:left="238" w:right="616" w:firstLine="1898"/>
        <w:jc w:val="both"/>
      </w:pPr>
      <w:r>
        <w:pict w14:anchorId="51DEA25B">
          <v:rect id="docshape807" o:spid="_x0000_s1492" style="position:absolute;left:0;text-align:left;margin-left:69.9pt;margin-top:4.2pt;width:94.95pt;height:16.05pt;z-index:-251317760;mso-position-horizontal-relative:page" fillcolor="black" stroked="f">
            <w10:wrap anchorx="page"/>
          </v:rect>
        </w:pict>
      </w:r>
      <w:r>
        <w:t>]]</w:t>
      </w:r>
      <w:r>
        <w:rPr>
          <w:spacing w:val="-3"/>
        </w:rPr>
        <w:t xml:space="preserve"> </w:t>
      </w:r>
      <w:r>
        <w:t>On</w:t>
      </w:r>
      <w:r>
        <w:rPr>
          <w:spacing w:val="-4"/>
        </w:rPr>
        <w:t xml:space="preserve"> </w:t>
      </w:r>
      <w:r>
        <w:t>this</w:t>
      </w:r>
      <w:r>
        <w:rPr>
          <w:spacing w:val="-4"/>
        </w:rPr>
        <w:t xml:space="preserve"> </w:t>
      </w:r>
      <w:r>
        <w:t>basis,</w:t>
      </w:r>
      <w:r>
        <w:rPr>
          <w:spacing w:val="-3"/>
        </w:rPr>
        <w:t xml:space="preserve"> </w:t>
      </w:r>
      <w:r>
        <w:t>Australia</w:t>
      </w:r>
      <w:r>
        <w:rPr>
          <w:spacing w:val="-4"/>
        </w:rPr>
        <w:t xml:space="preserve"> </w:t>
      </w:r>
      <w:r>
        <w:t>submits</w:t>
      </w:r>
      <w:r>
        <w:rPr>
          <w:spacing w:val="-4"/>
        </w:rPr>
        <w:t xml:space="preserve"> </w:t>
      </w:r>
      <w:r>
        <w:t>that</w:t>
      </w:r>
      <w:r>
        <w:rPr>
          <w:spacing w:val="-4"/>
        </w:rPr>
        <w:t xml:space="preserve"> </w:t>
      </w:r>
      <w:r>
        <w:t>it</w:t>
      </w:r>
      <w:r>
        <w:rPr>
          <w:spacing w:val="-4"/>
        </w:rPr>
        <w:t xml:space="preserve"> </w:t>
      </w:r>
      <w:r>
        <w:t>is</w:t>
      </w:r>
      <w:r>
        <w:rPr>
          <w:spacing w:val="-4"/>
        </w:rPr>
        <w:t xml:space="preserve"> </w:t>
      </w:r>
      <w:r>
        <w:t>unnecessary</w:t>
      </w:r>
      <w:r>
        <w:rPr>
          <w:spacing w:val="-2"/>
        </w:rPr>
        <w:t xml:space="preserve"> </w:t>
      </w:r>
      <w:r>
        <w:t>for</w:t>
      </w:r>
      <w:r>
        <w:rPr>
          <w:spacing w:val="-3"/>
        </w:rPr>
        <w:t xml:space="preserve"> </w:t>
      </w:r>
      <w:r>
        <w:t>Form</w:t>
      </w:r>
      <w:r>
        <w:rPr>
          <w:spacing w:val="-4"/>
        </w:rPr>
        <w:t xml:space="preserve"> </w:t>
      </w:r>
      <w:r>
        <w:t>6‐4</w:t>
      </w:r>
      <w:r>
        <w:rPr>
          <w:spacing w:val="-3"/>
        </w:rPr>
        <w:t xml:space="preserve"> </w:t>
      </w:r>
      <w:r>
        <w:t>to</w:t>
      </w:r>
      <w:r>
        <w:rPr>
          <w:spacing w:val="-3"/>
        </w:rPr>
        <w:t xml:space="preserve"> </w:t>
      </w:r>
      <w:r>
        <w:t>be reconciled with Form 6‐1‐2 for calculation purposes.</w:t>
      </w:r>
    </w:p>
    <w:p w14:paraId="51DE889B" w14:textId="77777777" w:rsidR="0010369C" w:rsidRDefault="008E43AE">
      <w:pPr>
        <w:pStyle w:val="BodyText"/>
        <w:spacing w:before="160" w:line="360" w:lineRule="auto"/>
        <w:ind w:left="237" w:right="612" w:firstLine="906"/>
        <w:jc w:val="both"/>
      </w:pPr>
      <w:r>
        <w:rPr>
          <w:noProof/>
        </w:rPr>
        <w:drawing>
          <wp:anchor distT="0" distB="0" distL="0" distR="0" simplePos="0" relativeHeight="251011584" behindDoc="1" locked="0" layoutInCell="1" allowOverlap="1" wp14:anchorId="51DEA25C" wp14:editId="51DEA25D">
            <wp:simplePos x="0" y="0"/>
            <wp:positionH relativeFrom="page">
              <wp:posOffset>905255</wp:posOffset>
            </wp:positionH>
            <wp:positionV relativeFrom="paragraph">
              <wp:posOffset>149937</wp:posOffset>
            </wp:positionV>
            <wp:extent cx="259079" cy="103631"/>
            <wp:effectExtent l="0" t="0" r="0" b="0"/>
            <wp:wrapNone/>
            <wp:docPr id="733" name="image3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 name="image377.png"/>
                    <pic:cNvPicPr/>
                  </pic:nvPicPr>
                  <pic:blipFill>
                    <a:blip r:embed="rId503" cstate="print"/>
                    <a:stretch>
                      <a:fillRect/>
                    </a:stretch>
                  </pic:blipFill>
                  <pic:spPr>
                    <a:xfrm>
                      <a:off x="0" y="0"/>
                      <a:ext cx="259079" cy="103631"/>
                    </a:xfrm>
                    <a:prstGeom prst="rect">
                      <a:avLst/>
                    </a:prstGeom>
                  </pic:spPr>
                </pic:pic>
              </a:graphicData>
            </a:graphic>
          </wp:anchor>
        </w:drawing>
      </w:r>
      <w:r>
        <w:t>Assuming,</w:t>
      </w:r>
      <w:r>
        <w:rPr>
          <w:spacing w:val="-1"/>
        </w:rPr>
        <w:t xml:space="preserve"> </w:t>
      </w:r>
      <w:r>
        <w:rPr>
          <w:i/>
        </w:rPr>
        <w:t>arguendo</w:t>
      </w:r>
      <w:r>
        <w:t>,</w:t>
      </w:r>
      <w:r>
        <w:rPr>
          <w:spacing w:val="-1"/>
        </w:rPr>
        <w:t xml:space="preserve"> </w:t>
      </w:r>
      <w:r>
        <w:t>that</w:t>
      </w:r>
      <w:r>
        <w:rPr>
          <w:spacing w:val="-1"/>
        </w:rPr>
        <w:t xml:space="preserve"> </w:t>
      </w:r>
      <w:r>
        <w:t>Form</w:t>
      </w:r>
      <w:r>
        <w:rPr>
          <w:spacing w:val="-1"/>
        </w:rPr>
        <w:t xml:space="preserve"> </w:t>
      </w:r>
      <w:r>
        <w:t>6‐1‐2</w:t>
      </w:r>
      <w:r>
        <w:rPr>
          <w:spacing w:val="-1"/>
        </w:rPr>
        <w:t xml:space="preserve"> </w:t>
      </w:r>
      <w:r>
        <w:t>contained</w:t>
      </w:r>
      <w:r>
        <w:rPr>
          <w:spacing w:val="-2"/>
        </w:rPr>
        <w:t xml:space="preserve"> </w:t>
      </w:r>
      <w:r>
        <w:t>"necessary</w:t>
      </w:r>
      <w:r>
        <w:rPr>
          <w:spacing w:val="-1"/>
        </w:rPr>
        <w:t xml:space="preserve"> </w:t>
      </w:r>
      <w:r>
        <w:t>information" within</w:t>
      </w:r>
      <w:r>
        <w:rPr>
          <w:spacing w:val="-2"/>
        </w:rPr>
        <w:t xml:space="preserve"> </w:t>
      </w:r>
      <w:r>
        <w:t>the meaning</w:t>
      </w:r>
      <w:r>
        <w:rPr>
          <w:spacing w:val="-7"/>
        </w:rPr>
        <w:t xml:space="preserve"> </w:t>
      </w:r>
      <w:r>
        <w:t>of</w:t>
      </w:r>
      <w:r>
        <w:rPr>
          <w:spacing w:val="-9"/>
        </w:rPr>
        <w:t xml:space="preserve"> </w:t>
      </w:r>
      <w:r>
        <w:t>Article</w:t>
      </w:r>
      <w:r>
        <w:rPr>
          <w:spacing w:val="-6"/>
        </w:rPr>
        <w:t xml:space="preserve"> </w:t>
      </w:r>
      <w:r>
        <w:t>6.8,</w:t>
      </w:r>
      <w:r>
        <w:rPr>
          <w:spacing w:val="-7"/>
        </w:rPr>
        <w:t xml:space="preserve"> </w:t>
      </w:r>
      <w:r>
        <w:t>Australia</w:t>
      </w:r>
      <w:r>
        <w:rPr>
          <w:spacing w:val="-7"/>
        </w:rPr>
        <w:t xml:space="preserve"> </w:t>
      </w:r>
      <w:r>
        <w:t>submits</w:t>
      </w:r>
      <w:r>
        <w:rPr>
          <w:spacing w:val="-6"/>
        </w:rPr>
        <w:t xml:space="preserve"> </w:t>
      </w:r>
      <w:r>
        <w:t>that</w:t>
      </w:r>
      <w:r>
        <w:rPr>
          <w:spacing w:val="-6"/>
        </w:rPr>
        <w:t xml:space="preserve"> </w:t>
      </w:r>
      <w:r>
        <w:t>the</w:t>
      </w:r>
      <w:r>
        <w:rPr>
          <w:spacing w:val="-6"/>
        </w:rPr>
        <w:t xml:space="preserve"> </w:t>
      </w:r>
      <w:r>
        <w:t>Anti‐Dumping</w:t>
      </w:r>
      <w:r>
        <w:rPr>
          <w:spacing w:val="-6"/>
        </w:rPr>
        <w:t xml:space="preserve"> </w:t>
      </w:r>
      <w:r>
        <w:t>Questionnaire</w:t>
      </w:r>
      <w:r>
        <w:rPr>
          <w:spacing w:val="-7"/>
        </w:rPr>
        <w:t xml:space="preserve"> </w:t>
      </w:r>
      <w:r>
        <w:t>did</w:t>
      </w:r>
      <w:r>
        <w:rPr>
          <w:spacing w:val="-6"/>
        </w:rPr>
        <w:t xml:space="preserve"> </w:t>
      </w:r>
      <w:r>
        <w:t>not</w:t>
      </w:r>
      <w:r>
        <w:rPr>
          <w:spacing w:val="-6"/>
        </w:rPr>
        <w:t xml:space="preserve"> </w:t>
      </w:r>
      <w:r>
        <w:t>specify that the information req</w:t>
      </w:r>
      <w:r>
        <w:t>uired must be reconciled for verification purposes. Paragraph 1 of Annex II</w:t>
      </w:r>
      <w:r>
        <w:rPr>
          <w:spacing w:val="-1"/>
        </w:rPr>
        <w:t xml:space="preserve"> </w:t>
      </w:r>
      <w:r>
        <w:t>clearly places</w:t>
      </w:r>
      <w:r>
        <w:rPr>
          <w:spacing w:val="-1"/>
        </w:rPr>
        <w:t xml:space="preserve"> </w:t>
      </w:r>
      <w:r>
        <w:t>the onus on MOFCOM to explain</w:t>
      </w:r>
      <w:r>
        <w:rPr>
          <w:spacing w:val="-1"/>
        </w:rPr>
        <w:t xml:space="preserve"> </w:t>
      </w:r>
      <w:r>
        <w:t>in detail the type of information that it</w:t>
      </w:r>
      <w:r>
        <w:rPr>
          <w:spacing w:val="-13"/>
        </w:rPr>
        <w:t xml:space="preserve"> </w:t>
      </w:r>
      <w:r>
        <w:t>is</w:t>
      </w:r>
      <w:r>
        <w:rPr>
          <w:spacing w:val="-14"/>
        </w:rPr>
        <w:t xml:space="preserve"> </w:t>
      </w:r>
      <w:r>
        <w:t>seeking,</w:t>
      </w:r>
      <w:r>
        <w:rPr>
          <w:spacing w:val="-11"/>
        </w:rPr>
        <w:t xml:space="preserve"> </w:t>
      </w:r>
      <w:r>
        <w:t>and</w:t>
      </w:r>
      <w:r>
        <w:rPr>
          <w:spacing w:val="-14"/>
        </w:rPr>
        <w:t xml:space="preserve"> </w:t>
      </w:r>
      <w:r>
        <w:t>the</w:t>
      </w:r>
      <w:r>
        <w:rPr>
          <w:spacing w:val="-12"/>
        </w:rPr>
        <w:t xml:space="preserve"> </w:t>
      </w:r>
      <w:r>
        <w:t>information</w:t>
      </w:r>
      <w:r>
        <w:rPr>
          <w:spacing w:val="-13"/>
        </w:rPr>
        <w:t xml:space="preserve"> </w:t>
      </w:r>
      <w:r>
        <w:t>it</w:t>
      </w:r>
      <w:r>
        <w:rPr>
          <w:spacing w:val="-13"/>
        </w:rPr>
        <w:t xml:space="preserve"> </w:t>
      </w:r>
      <w:r>
        <w:t>requires,</w:t>
      </w:r>
      <w:r>
        <w:rPr>
          <w:spacing w:val="-14"/>
        </w:rPr>
        <w:t xml:space="preserve"> </w:t>
      </w:r>
      <w:r>
        <w:t>in</w:t>
      </w:r>
      <w:r>
        <w:rPr>
          <w:spacing w:val="-13"/>
        </w:rPr>
        <w:t xml:space="preserve"> </w:t>
      </w:r>
      <w:r>
        <w:t>order</w:t>
      </w:r>
      <w:r>
        <w:rPr>
          <w:spacing w:val="-13"/>
        </w:rPr>
        <w:t xml:space="preserve"> </w:t>
      </w:r>
      <w:r>
        <w:t>to</w:t>
      </w:r>
      <w:r>
        <w:rPr>
          <w:spacing w:val="-13"/>
        </w:rPr>
        <w:t xml:space="preserve"> </w:t>
      </w:r>
      <w:r>
        <w:t>verify</w:t>
      </w:r>
      <w:r>
        <w:rPr>
          <w:spacing w:val="-14"/>
        </w:rPr>
        <w:t xml:space="preserve"> </w:t>
      </w:r>
      <w:r>
        <w:t>certain</w:t>
      </w:r>
      <w:r>
        <w:rPr>
          <w:spacing w:val="-13"/>
        </w:rPr>
        <w:t xml:space="preserve"> </w:t>
      </w:r>
      <w:r>
        <w:t>information.</w:t>
      </w:r>
      <w:r>
        <w:rPr>
          <w:spacing w:val="-12"/>
        </w:rPr>
        <w:t xml:space="preserve"> </w:t>
      </w:r>
      <w:r>
        <w:t>If</w:t>
      </w:r>
      <w:r>
        <w:rPr>
          <w:spacing w:val="-14"/>
        </w:rPr>
        <w:t xml:space="preserve"> </w:t>
      </w:r>
      <w:r>
        <w:t>MOFCOM needed certain data verified it should have specified what it required in the relevant forms attached</w:t>
      </w:r>
      <w:r>
        <w:rPr>
          <w:spacing w:val="-14"/>
        </w:rPr>
        <w:t xml:space="preserve"> </w:t>
      </w:r>
      <w:r>
        <w:t>to</w:t>
      </w:r>
      <w:r>
        <w:rPr>
          <w:spacing w:val="-14"/>
        </w:rPr>
        <w:t xml:space="preserve"> </w:t>
      </w:r>
      <w:r>
        <w:t>the</w:t>
      </w:r>
      <w:r>
        <w:rPr>
          <w:spacing w:val="-12"/>
        </w:rPr>
        <w:t xml:space="preserve"> </w:t>
      </w:r>
      <w:r>
        <w:t>Anti‐Dumping</w:t>
      </w:r>
      <w:r>
        <w:rPr>
          <w:spacing w:val="-12"/>
        </w:rPr>
        <w:t xml:space="preserve"> </w:t>
      </w:r>
      <w:r>
        <w:t>Questionnaire</w:t>
      </w:r>
      <w:r>
        <w:rPr>
          <w:spacing w:val="-13"/>
        </w:rPr>
        <w:t xml:space="preserve"> </w:t>
      </w:r>
      <w:r>
        <w:t>for</w:t>
      </w:r>
      <w:r>
        <w:rPr>
          <w:spacing w:val="-13"/>
        </w:rPr>
        <w:t xml:space="preserve"> </w:t>
      </w:r>
      <w:r>
        <w:t>verification</w:t>
      </w:r>
      <w:r>
        <w:rPr>
          <w:spacing w:val="-14"/>
        </w:rPr>
        <w:t xml:space="preserve"> </w:t>
      </w:r>
      <w:r>
        <w:t>purposes,</w:t>
      </w:r>
      <w:r>
        <w:rPr>
          <w:spacing w:val="-11"/>
        </w:rPr>
        <w:t xml:space="preserve"> </w:t>
      </w:r>
      <w:r>
        <w:t>rather</w:t>
      </w:r>
      <w:r>
        <w:rPr>
          <w:spacing w:val="-13"/>
        </w:rPr>
        <w:t xml:space="preserve"> </w:t>
      </w:r>
      <w:r>
        <w:t>than</w:t>
      </w:r>
      <w:r>
        <w:rPr>
          <w:spacing w:val="-13"/>
        </w:rPr>
        <w:t xml:space="preserve"> </w:t>
      </w:r>
      <w:r>
        <w:t>attempting to compare the data provided in different datas</w:t>
      </w:r>
      <w:r>
        <w:t>ets submitted by Casella Wines. MOFCOM failed to take all reasonable steps that might be expected from an unbiased and objective authority</w:t>
      </w:r>
      <w:r>
        <w:rPr>
          <w:spacing w:val="-1"/>
        </w:rPr>
        <w:t xml:space="preserve"> </w:t>
      </w:r>
      <w:r>
        <w:t>to</w:t>
      </w:r>
      <w:r>
        <w:rPr>
          <w:spacing w:val="-1"/>
        </w:rPr>
        <w:t xml:space="preserve"> </w:t>
      </w:r>
      <w:r>
        <w:t>specify</w:t>
      </w:r>
      <w:r>
        <w:rPr>
          <w:spacing w:val="-1"/>
        </w:rPr>
        <w:t xml:space="preserve"> </w:t>
      </w:r>
      <w:r>
        <w:t>in</w:t>
      </w:r>
      <w:r>
        <w:rPr>
          <w:spacing w:val="-2"/>
        </w:rPr>
        <w:t xml:space="preserve"> </w:t>
      </w:r>
      <w:r>
        <w:t>detail</w:t>
      </w:r>
      <w:r>
        <w:rPr>
          <w:spacing w:val="-1"/>
        </w:rPr>
        <w:t xml:space="preserve"> </w:t>
      </w:r>
      <w:r>
        <w:t>the</w:t>
      </w:r>
      <w:r>
        <w:rPr>
          <w:spacing w:val="-1"/>
        </w:rPr>
        <w:t xml:space="preserve"> </w:t>
      </w:r>
      <w:r>
        <w:t>information requested,</w:t>
      </w:r>
      <w:r>
        <w:rPr>
          <w:spacing w:val="-2"/>
        </w:rPr>
        <w:t xml:space="preserve"> </w:t>
      </w:r>
      <w:r>
        <w:t>as</w:t>
      </w:r>
      <w:r>
        <w:rPr>
          <w:spacing w:val="-2"/>
        </w:rPr>
        <w:t xml:space="preserve"> </w:t>
      </w:r>
      <w:r>
        <w:t>soon</w:t>
      </w:r>
      <w:r>
        <w:rPr>
          <w:spacing w:val="-2"/>
        </w:rPr>
        <w:t xml:space="preserve"> </w:t>
      </w:r>
      <w:r>
        <w:t>as</w:t>
      </w:r>
      <w:r>
        <w:rPr>
          <w:spacing w:val="-2"/>
        </w:rPr>
        <w:t xml:space="preserve"> </w:t>
      </w:r>
      <w:r>
        <w:t>possible after</w:t>
      </w:r>
      <w:r>
        <w:rPr>
          <w:spacing w:val="-1"/>
        </w:rPr>
        <w:t xml:space="preserve"> </w:t>
      </w:r>
      <w:r>
        <w:t>initiation</w:t>
      </w:r>
      <w:r>
        <w:rPr>
          <w:spacing w:val="-1"/>
        </w:rPr>
        <w:t xml:space="preserve"> </w:t>
      </w:r>
      <w:r>
        <w:t xml:space="preserve">of the investigation, and acted </w:t>
      </w:r>
      <w:r>
        <w:t>inconsistently with paragraph 1 of Annex II.</w:t>
      </w:r>
    </w:p>
    <w:p w14:paraId="51DE889C" w14:textId="77777777" w:rsidR="0010369C" w:rsidRDefault="008E43AE">
      <w:pPr>
        <w:pStyle w:val="BodyText"/>
        <w:spacing w:before="159" w:line="360" w:lineRule="auto"/>
        <w:ind w:left="237" w:right="613" w:firstLine="851"/>
        <w:jc w:val="both"/>
      </w:pPr>
      <w:r>
        <w:rPr>
          <w:noProof/>
        </w:rPr>
        <w:drawing>
          <wp:anchor distT="0" distB="0" distL="0" distR="0" simplePos="0" relativeHeight="251012608" behindDoc="1" locked="0" layoutInCell="1" allowOverlap="1" wp14:anchorId="51DEA25E" wp14:editId="51DEA25F">
            <wp:simplePos x="0" y="0"/>
            <wp:positionH relativeFrom="page">
              <wp:posOffset>905255</wp:posOffset>
            </wp:positionH>
            <wp:positionV relativeFrom="paragraph">
              <wp:posOffset>148540</wp:posOffset>
            </wp:positionV>
            <wp:extent cx="259079" cy="103631"/>
            <wp:effectExtent l="0" t="0" r="0" b="0"/>
            <wp:wrapNone/>
            <wp:docPr id="735" name="image3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 name="image378.png"/>
                    <pic:cNvPicPr/>
                  </pic:nvPicPr>
                  <pic:blipFill>
                    <a:blip r:embed="rId504" cstate="print"/>
                    <a:stretch>
                      <a:fillRect/>
                    </a:stretch>
                  </pic:blipFill>
                  <pic:spPr>
                    <a:xfrm>
                      <a:off x="0" y="0"/>
                      <a:ext cx="259079" cy="103631"/>
                    </a:xfrm>
                    <a:prstGeom prst="rect">
                      <a:avLst/>
                    </a:prstGeom>
                  </pic:spPr>
                </pic:pic>
              </a:graphicData>
            </a:graphic>
          </wp:anchor>
        </w:drawing>
      </w:r>
      <w:r>
        <w:t>Australia submits that Form 6‐4 was otherwise appropriately submitted so that it could</w:t>
      </w:r>
      <w:r>
        <w:rPr>
          <w:spacing w:val="-4"/>
        </w:rPr>
        <w:t xml:space="preserve"> </w:t>
      </w:r>
      <w:r>
        <w:t>be</w:t>
      </w:r>
      <w:r>
        <w:rPr>
          <w:spacing w:val="-3"/>
        </w:rPr>
        <w:t xml:space="preserve"> </w:t>
      </w:r>
      <w:r>
        <w:t>used</w:t>
      </w:r>
      <w:r>
        <w:rPr>
          <w:spacing w:val="-3"/>
        </w:rPr>
        <w:t xml:space="preserve"> </w:t>
      </w:r>
      <w:r>
        <w:t>without</w:t>
      </w:r>
      <w:r>
        <w:rPr>
          <w:spacing w:val="-4"/>
        </w:rPr>
        <w:t xml:space="preserve"> </w:t>
      </w:r>
      <w:r>
        <w:t>undue</w:t>
      </w:r>
      <w:r>
        <w:rPr>
          <w:spacing w:val="-3"/>
        </w:rPr>
        <w:t xml:space="preserve"> </w:t>
      </w:r>
      <w:r>
        <w:t>difficulties,</w:t>
      </w:r>
      <w:r>
        <w:rPr>
          <w:spacing w:val="-3"/>
        </w:rPr>
        <w:t xml:space="preserve"> </w:t>
      </w:r>
      <w:r>
        <w:t>in</w:t>
      </w:r>
      <w:r>
        <w:rPr>
          <w:spacing w:val="-4"/>
        </w:rPr>
        <w:t xml:space="preserve"> </w:t>
      </w:r>
      <w:r>
        <w:t>accordance</w:t>
      </w:r>
      <w:r>
        <w:rPr>
          <w:spacing w:val="-4"/>
        </w:rPr>
        <w:t xml:space="preserve"> </w:t>
      </w:r>
      <w:r>
        <w:t>with</w:t>
      </w:r>
      <w:r>
        <w:rPr>
          <w:spacing w:val="-5"/>
        </w:rPr>
        <w:t xml:space="preserve"> </w:t>
      </w:r>
      <w:r>
        <w:t>paragraph</w:t>
      </w:r>
      <w:r>
        <w:rPr>
          <w:spacing w:val="-3"/>
        </w:rPr>
        <w:t xml:space="preserve"> </w:t>
      </w:r>
      <w:r>
        <w:t>3</w:t>
      </w:r>
      <w:r>
        <w:rPr>
          <w:spacing w:val="-4"/>
        </w:rPr>
        <w:t xml:space="preserve"> </w:t>
      </w:r>
      <w:r>
        <w:t>of</w:t>
      </w:r>
      <w:r>
        <w:rPr>
          <w:spacing w:val="-4"/>
        </w:rPr>
        <w:t xml:space="preserve"> </w:t>
      </w:r>
      <w:r>
        <w:t>Annex</w:t>
      </w:r>
      <w:r>
        <w:rPr>
          <w:spacing w:val="-4"/>
        </w:rPr>
        <w:t xml:space="preserve"> </w:t>
      </w:r>
      <w:r>
        <w:t>II.</w:t>
      </w:r>
      <w:r>
        <w:rPr>
          <w:spacing w:val="-5"/>
        </w:rPr>
        <w:t xml:space="preserve"> </w:t>
      </w:r>
      <w:r>
        <w:t>There</w:t>
      </w:r>
      <w:r>
        <w:rPr>
          <w:spacing w:val="-3"/>
        </w:rPr>
        <w:t xml:space="preserve"> </w:t>
      </w:r>
      <w:r>
        <w:t>is no</w:t>
      </w:r>
      <w:r>
        <w:rPr>
          <w:spacing w:val="12"/>
        </w:rPr>
        <w:t xml:space="preserve"> </w:t>
      </w:r>
      <w:r>
        <w:t>evidence</w:t>
      </w:r>
      <w:r>
        <w:rPr>
          <w:spacing w:val="10"/>
        </w:rPr>
        <w:t xml:space="preserve"> </w:t>
      </w:r>
      <w:r>
        <w:t>on</w:t>
      </w:r>
      <w:r>
        <w:rPr>
          <w:spacing w:val="12"/>
        </w:rPr>
        <w:t xml:space="preserve"> </w:t>
      </w:r>
      <w:r>
        <w:t>the</w:t>
      </w:r>
      <w:r>
        <w:rPr>
          <w:spacing w:val="12"/>
        </w:rPr>
        <w:t xml:space="preserve"> </w:t>
      </w:r>
      <w:r>
        <w:t>record</w:t>
      </w:r>
      <w:r>
        <w:rPr>
          <w:spacing w:val="10"/>
        </w:rPr>
        <w:t xml:space="preserve"> </w:t>
      </w:r>
      <w:r>
        <w:t>to</w:t>
      </w:r>
      <w:r>
        <w:rPr>
          <w:spacing w:val="13"/>
        </w:rPr>
        <w:t xml:space="preserve"> </w:t>
      </w:r>
      <w:r>
        <w:t>indicate</w:t>
      </w:r>
      <w:r>
        <w:rPr>
          <w:spacing w:val="12"/>
        </w:rPr>
        <w:t xml:space="preserve"> </w:t>
      </w:r>
      <w:r>
        <w:t>to</w:t>
      </w:r>
      <w:r>
        <w:rPr>
          <w:spacing w:val="12"/>
        </w:rPr>
        <w:t xml:space="preserve"> </w:t>
      </w:r>
      <w:r>
        <w:t>the</w:t>
      </w:r>
      <w:r>
        <w:rPr>
          <w:spacing w:val="13"/>
        </w:rPr>
        <w:t xml:space="preserve"> </w:t>
      </w:r>
      <w:r>
        <w:t>contrary.</w:t>
      </w:r>
      <w:r>
        <w:rPr>
          <w:spacing w:val="11"/>
        </w:rPr>
        <w:t xml:space="preserve"> </w:t>
      </w:r>
      <w:r>
        <w:t>If</w:t>
      </w:r>
      <w:r>
        <w:rPr>
          <w:spacing w:val="11"/>
        </w:rPr>
        <w:t xml:space="preserve"> </w:t>
      </w:r>
      <w:r>
        <w:t>MOFCOM</w:t>
      </w:r>
      <w:r>
        <w:rPr>
          <w:spacing w:val="13"/>
        </w:rPr>
        <w:t xml:space="preserve"> </w:t>
      </w:r>
      <w:r>
        <w:t>was</w:t>
      </w:r>
      <w:r>
        <w:rPr>
          <w:spacing w:val="12"/>
        </w:rPr>
        <w:t xml:space="preserve"> </w:t>
      </w:r>
      <w:r>
        <w:t>not</w:t>
      </w:r>
      <w:r>
        <w:rPr>
          <w:spacing w:val="11"/>
        </w:rPr>
        <w:t xml:space="preserve"> </w:t>
      </w:r>
      <w:r>
        <w:t>able</w:t>
      </w:r>
      <w:r>
        <w:rPr>
          <w:spacing w:val="13"/>
        </w:rPr>
        <w:t xml:space="preserve"> </w:t>
      </w:r>
      <w:r>
        <w:t>to</w:t>
      </w:r>
      <w:r>
        <w:rPr>
          <w:spacing w:val="12"/>
        </w:rPr>
        <w:t xml:space="preserve"> </w:t>
      </w:r>
      <w:r>
        <w:t>use</w:t>
      </w:r>
      <w:r>
        <w:rPr>
          <w:spacing w:val="12"/>
        </w:rPr>
        <w:t xml:space="preserve"> </w:t>
      </w:r>
      <w:r>
        <w:rPr>
          <w:spacing w:val="-5"/>
        </w:rPr>
        <w:t>the</w:t>
      </w:r>
    </w:p>
    <w:p w14:paraId="51DE889D" w14:textId="77777777" w:rsidR="0010369C" w:rsidRDefault="0010369C">
      <w:pPr>
        <w:pStyle w:val="BodyText"/>
      </w:pPr>
    </w:p>
    <w:p w14:paraId="51DE889E" w14:textId="77777777" w:rsidR="0010369C" w:rsidRDefault="0010369C">
      <w:pPr>
        <w:pStyle w:val="BodyText"/>
        <w:spacing w:before="9"/>
        <w:rPr>
          <w:sz w:val="26"/>
        </w:rPr>
      </w:pPr>
    </w:p>
    <w:p w14:paraId="51DE889F" w14:textId="77777777" w:rsidR="0010369C" w:rsidRDefault="008E43AE">
      <w:pPr>
        <w:ind w:left="238"/>
        <w:rPr>
          <w:sz w:val="18"/>
        </w:rPr>
      </w:pPr>
      <w:r>
        <w:rPr>
          <w:sz w:val="18"/>
          <w:vertAlign w:val="superscript"/>
        </w:rPr>
        <w:t>396</w:t>
      </w:r>
      <w:r>
        <w:rPr>
          <w:spacing w:val="-6"/>
          <w:sz w:val="18"/>
        </w:rPr>
        <w:t xml:space="preserve"> </w:t>
      </w:r>
      <w:r>
        <w:rPr>
          <w:sz w:val="18"/>
        </w:rPr>
        <w:t>See</w:t>
      </w:r>
      <w:r>
        <w:rPr>
          <w:spacing w:val="-5"/>
          <w:sz w:val="18"/>
        </w:rPr>
        <w:t xml:space="preserve"> </w:t>
      </w:r>
      <w:r>
        <w:rPr>
          <w:sz w:val="18"/>
        </w:rPr>
        <w:t>above,</w:t>
      </w:r>
      <w:r>
        <w:rPr>
          <w:spacing w:val="-6"/>
          <w:sz w:val="18"/>
        </w:rPr>
        <w:t xml:space="preserve"> </w:t>
      </w:r>
      <w:r>
        <w:rPr>
          <w:sz w:val="18"/>
        </w:rPr>
        <w:t>section</w:t>
      </w:r>
      <w:r>
        <w:rPr>
          <w:spacing w:val="-5"/>
          <w:sz w:val="18"/>
        </w:rPr>
        <w:t xml:space="preserve"> </w:t>
      </w:r>
      <w:r>
        <w:rPr>
          <w:spacing w:val="-2"/>
          <w:sz w:val="18"/>
        </w:rPr>
        <w:t>II.E.2(a)(ii).</w:t>
      </w:r>
    </w:p>
    <w:p w14:paraId="51DE88A0" w14:textId="77777777" w:rsidR="0010369C" w:rsidRDefault="008E43AE">
      <w:pPr>
        <w:ind w:left="238"/>
        <w:rPr>
          <w:sz w:val="18"/>
        </w:rPr>
      </w:pPr>
      <w:r>
        <w:rPr>
          <w:sz w:val="18"/>
          <w:vertAlign w:val="superscript"/>
        </w:rPr>
        <w:t>397</w:t>
      </w:r>
      <w:r>
        <w:rPr>
          <w:spacing w:val="-6"/>
          <w:sz w:val="18"/>
        </w:rPr>
        <w:t xml:space="preserve"> </w:t>
      </w:r>
      <w:r>
        <w:rPr>
          <w:sz w:val="18"/>
        </w:rPr>
        <w:t>See</w:t>
      </w:r>
      <w:r>
        <w:rPr>
          <w:spacing w:val="-5"/>
          <w:sz w:val="18"/>
        </w:rPr>
        <w:t xml:space="preserve"> </w:t>
      </w:r>
      <w:r>
        <w:rPr>
          <w:sz w:val="18"/>
        </w:rPr>
        <w:t>above,</w:t>
      </w:r>
      <w:r>
        <w:rPr>
          <w:spacing w:val="-6"/>
          <w:sz w:val="18"/>
        </w:rPr>
        <w:t xml:space="preserve"> </w:t>
      </w:r>
      <w:r>
        <w:rPr>
          <w:sz w:val="18"/>
        </w:rPr>
        <w:t>section</w:t>
      </w:r>
      <w:r>
        <w:rPr>
          <w:spacing w:val="-5"/>
          <w:sz w:val="18"/>
        </w:rPr>
        <w:t xml:space="preserve"> </w:t>
      </w:r>
      <w:r>
        <w:rPr>
          <w:spacing w:val="-2"/>
          <w:sz w:val="18"/>
        </w:rPr>
        <w:t>II.E.2(a)(iv).</w:t>
      </w:r>
    </w:p>
    <w:p w14:paraId="51DE88A1" w14:textId="77777777" w:rsidR="0010369C" w:rsidRDefault="0010369C">
      <w:pPr>
        <w:rPr>
          <w:sz w:val="18"/>
        </w:rPr>
        <w:sectPr w:rsidR="0010369C">
          <w:headerReference w:type="default" r:id="rId505"/>
          <w:footerReference w:type="default" r:id="rId506"/>
          <w:pgSz w:w="11910" w:h="16840"/>
          <w:pgMar w:top="560" w:right="800" w:bottom="1340" w:left="1180" w:header="0" w:footer="1143" w:gutter="0"/>
          <w:cols w:space="720"/>
        </w:sectPr>
      </w:pPr>
    </w:p>
    <w:p w14:paraId="51DE88A2" w14:textId="77777777" w:rsidR="0010369C" w:rsidRDefault="008E43AE">
      <w:pPr>
        <w:tabs>
          <w:tab w:val="left" w:pos="6426"/>
        </w:tabs>
        <w:ind w:left="238"/>
        <w:rPr>
          <w:sz w:val="20"/>
        </w:rPr>
      </w:pPr>
      <w:r>
        <w:rPr>
          <w:i/>
          <w:sz w:val="20"/>
        </w:rPr>
        <w:lastRenderedPageBreak/>
        <w:t>China</w:t>
      </w:r>
      <w:r>
        <w:rPr>
          <w:i/>
          <w:spacing w:val="-5"/>
          <w:sz w:val="20"/>
        </w:rPr>
        <w:t xml:space="preserve"> </w:t>
      </w:r>
      <w:r>
        <w:rPr>
          <w:i/>
          <w:sz w:val="20"/>
        </w:rPr>
        <w:t>–</w:t>
      </w:r>
      <w:r>
        <w:rPr>
          <w:i/>
          <w:spacing w:val="-5"/>
          <w:sz w:val="20"/>
        </w:rPr>
        <w:t xml:space="preserve"> </w:t>
      </w:r>
      <w:r>
        <w:rPr>
          <w:i/>
          <w:sz w:val="20"/>
        </w:rPr>
        <w:t>Anti‐Dumping</w:t>
      </w:r>
      <w:r>
        <w:rPr>
          <w:i/>
          <w:spacing w:val="-4"/>
          <w:sz w:val="20"/>
        </w:rPr>
        <w:t xml:space="preserve"> </w:t>
      </w:r>
      <w:r>
        <w:rPr>
          <w:i/>
          <w:sz w:val="20"/>
        </w:rPr>
        <w:t>and</w:t>
      </w:r>
      <w:r>
        <w:rPr>
          <w:i/>
          <w:spacing w:val="-5"/>
          <w:sz w:val="20"/>
        </w:rPr>
        <w:t xml:space="preserve"> </w:t>
      </w:r>
      <w:r>
        <w:rPr>
          <w:i/>
          <w:sz w:val="20"/>
        </w:rPr>
        <w:t>Countervailing</w:t>
      </w:r>
      <w:r>
        <w:rPr>
          <w:i/>
          <w:spacing w:val="-5"/>
          <w:sz w:val="20"/>
        </w:rPr>
        <w:t xml:space="preserve"> </w:t>
      </w:r>
      <w:r>
        <w:rPr>
          <w:i/>
          <w:sz w:val="20"/>
        </w:rPr>
        <w:t>Duty</w:t>
      </w:r>
      <w:r>
        <w:rPr>
          <w:i/>
          <w:spacing w:val="-4"/>
          <w:sz w:val="20"/>
        </w:rPr>
        <w:t xml:space="preserve"> </w:t>
      </w:r>
      <w:r>
        <w:rPr>
          <w:i/>
          <w:spacing w:val="-2"/>
          <w:sz w:val="20"/>
        </w:rPr>
        <w:t>Measures</w:t>
      </w:r>
      <w:r>
        <w:rPr>
          <w:i/>
          <w:sz w:val="20"/>
        </w:rPr>
        <w:tab/>
      </w:r>
      <w:r>
        <w:rPr>
          <w:sz w:val="20"/>
        </w:rPr>
        <w:t>Australia's</w:t>
      </w:r>
      <w:r>
        <w:rPr>
          <w:spacing w:val="-7"/>
          <w:sz w:val="20"/>
        </w:rPr>
        <w:t xml:space="preserve"> </w:t>
      </w:r>
      <w:r>
        <w:rPr>
          <w:sz w:val="20"/>
        </w:rPr>
        <w:t>First</w:t>
      </w:r>
      <w:r>
        <w:rPr>
          <w:spacing w:val="-2"/>
          <w:sz w:val="20"/>
        </w:rPr>
        <w:t xml:space="preserve"> </w:t>
      </w:r>
      <w:r>
        <w:rPr>
          <w:sz w:val="20"/>
        </w:rPr>
        <w:t>Written</w:t>
      </w:r>
      <w:r>
        <w:rPr>
          <w:spacing w:val="-2"/>
          <w:sz w:val="20"/>
        </w:rPr>
        <w:t xml:space="preserve"> Submission</w:t>
      </w:r>
    </w:p>
    <w:p w14:paraId="51DE88A3" w14:textId="77777777" w:rsidR="0010369C" w:rsidRDefault="008E43AE">
      <w:pPr>
        <w:tabs>
          <w:tab w:val="left" w:pos="8228"/>
        </w:tabs>
        <w:spacing w:before="1"/>
        <w:ind w:left="239"/>
        <w:rPr>
          <w:sz w:val="20"/>
        </w:rPr>
      </w:pPr>
      <w:r>
        <w:rPr>
          <w:i/>
          <w:sz w:val="20"/>
        </w:rPr>
        <w:t>on</w:t>
      </w:r>
      <w:r>
        <w:rPr>
          <w:i/>
          <w:spacing w:val="-1"/>
          <w:sz w:val="20"/>
        </w:rPr>
        <w:t xml:space="preserve"> </w:t>
      </w:r>
      <w:r>
        <w:rPr>
          <w:i/>
          <w:sz w:val="20"/>
        </w:rPr>
        <w:t>Wine</w:t>
      </w:r>
      <w:r>
        <w:rPr>
          <w:i/>
          <w:spacing w:val="-1"/>
          <w:sz w:val="20"/>
        </w:rPr>
        <w:t xml:space="preserve"> </w:t>
      </w:r>
      <w:r>
        <w:rPr>
          <w:i/>
          <w:sz w:val="20"/>
        </w:rPr>
        <w:t>from</w:t>
      </w:r>
      <w:r>
        <w:rPr>
          <w:i/>
          <w:spacing w:val="-3"/>
          <w:sz w:val="20"/>
        </w:rPr>
        <w:t xml:space="preserve"> </w:t>
      </w:r>
      <w:r>
        <w:rPr>
          <w:i/>
          <w:sz w:val="20"/>
        </w:rPr>
        <w:t>Australia</w:t>
      </w:r>
      <w:r>
        <w:rPr>
          <w:i/>
          <w:spacing w:val="-1"/>
          <w:sz w:val="20"/>
        </w:rPr>
        <w:t xml:space="preserve"> </w:t>
      </w:r>
      <w:r>
        <w:rPr>
          <w:spacing w:val="-2"/>
          <w:sz w:val="20"/>
        </w:rPr>
        <w:t>(DS602)</w:t>
      </w:r>
      <w:r>
        <w:rPr>
          <w:sz w:val="20"/>
        </w:rPr>
        <w:tab/>
        <w:t>29</w:t>
      </w:r>
      <w:r>
        <w:rPr>
          <w:spacing w:val="-1"/>
          <w:sz w:val="20"/>
        </w:rPr>
        <w:t xml:space="preserve"> </w:t>
      </w:r>
      <w:r>
        <w:rPr>
          <w:sz w:val="20"/>
        </w:rPr>
        <w:t>April</w:t>
      </w:r>
      <w:r>
        <w:rPr>
          <w:spacing w:val="-2"/>
          <w:sz w:val="20"/>
        </w:rPr>
        <w:t xml:space="preserve"> </w:t>
      </w:r>
      <w:r>
        <w:rPr>
          <w:spacing w:val="-4"/>
          <w:sz w:val="20"/>
        </w:rPr>
        <w:t>2022</w:t>
      </w:r>
    </w:p>
    <w:p w14:paraId="51DE88A4" w14:textId="77777777" w:rsidR="0010369C" w:rsidRDefault="008E43AE">
      <w:pPr>
        <w:pStyle w:val="BodyText"/>
        <w:spacing w:before="34" w:line="360" w:lineRule="auto"/>
        <w:ind w:left="237"/>
      </w:pPr>
      <w:r>
        <w:t>information</w:t>
      </w:r>
      <w:r>
        <w:rPr>
          <w:spacing w:val="80"/>
        </w:rPr>
        <w:t xml:space="preserve"> </w:t>
      </w:r>
      <w:r>
        <w:t>submitted</w:t>
      </w:r>
      <w:r>
        <w:rPr>
          <w:spacing w:val="80"/>
        </w:rPr>
        <w:t xml:space="preserve"> </w:t>
      </w:r>
      <w:r>
        <w:t>in</w:t>
      </w:r>
      <w:r>
        <w:rPr>
          <w:spacing w:val="80"/>
        </w:rPr>
        <w:t xml:space="preserve"> </w:t>
      </w:r>
      <w:r>
        <w:t>Form</w:t>
      </w:r>
      <w:r>
        <w:rPr>
          <w:spacing w:val="80"/>
        </w:rPr>
        <w:t xml:space="preserve"> </w:t>
      </w:r>
      <w:r>
        <w:t>6‐4</w:t>
      </w:r>
      <w:r>
        <w:rPr>
          <w:spacing w:val="80"/>
        </w:rPr>
        <w:t xml:space="preserve"> </w:t>
      </w:r>
      <w:r>
        <w:t>without</w:t>
      </w:r>
      <w:r>
        <w:rPr>
          <w:spacing w:val="80"/>
        </w:rPr>
        <w:t xml:space="preserve"> </w:t>
      </w:r>
      <w:r>
        <w:t>experiencing</w:t>
      </w:r>
      <w:r>
        <w:rPr>
          <w:spacing w:val="80"/>
        </w:rPr>
        <w:t xml:space="preserve"> </w:t>
      </w:r>
      <w:r>
        <w:t>"undue</w:t>
      </w:r>
      <w:r>
        <w:rPr>
          <w:spacing w:val="80"/>
        </w:rPr>
        <w:t xml:space="preserve"> </w:t>
      </w:r>
      <w:r>
        <w:t>difficulties,"</w:t>
      </w:r>
      <w:r>
        <w:rPr>
          <w:spacing w:val="80"/>
        </w:rPr>
        <w:t xml:space="preserve"> </w:t>
      </w:r>
      <w:r>
        <w:t>it</w:t>
      </w:r>
      <w:r>
        <w:rPr>
          <w:spacing w:val="80"/>
        </w:rPr>
        <w:t xml:space="preserve"> </w:t>
      </w:r>
      <w:r>
        <w:t xml:space="preserve">was </w:t>
      </w:r>
      <w:r>
        <w:rPr>
          <w:w w:val="95"/>
        </w:rPr>
        <w:t>incumbent</w:t>
      </w:r>
      <w:r>
        <w:rPr>
          <w:spacing w:val="15"/>
        </w:rPr>
        <w:t xml:space="preserve"> </w:t>
      </w:r>
      <w:r>
        <w:rPr>
          <w:w w:val="95"/>
        </w:rPr>
        <w:t>on</w:t>
      </w:r>
      <w:r>
        <w:rPr>
          <w:spacing w:val="13"/>
        </w:rPr>
        <w:t xml:space="preserve"> </w:t>
      </w:r>
      <w:r>
        <w:rPr>
          <w:w w:val="95"/>
        </w:rPr>
        <w:t>MOFCOM</w:t>
      </w:r>
      <w:r>
        <w:rPr>
          <w:spacing w:val="17"/>
        </w:rPr>
        <w:t xml:space="preserve"> </w:t>
      </w:r>
      <w:r>
        <w:rPr>
          <w:w w:val="95"/>
        </w:rPr>
        <w:t>to</w:t>
      </w:r>
      <w:r>
        <w:rPr>
          <w:spacing w:val="15"/>
        </w:rPr>
        <w:t xml:space="preserve"> </w:t>
      </w:r>
      <w:r>
        <w:rPr>
          <w:w w:val="95"/>
        </w:rPr>
        <w:t>provide</w:t>
      </w:r>
      <w:r>
        <w:rPr>
          <w:spacing w:val="15"/>
        </w:rPr>
        <w:t xml:space="preserve"> </w:t>
      </w:r>
      <w:r>
        <w:rPr>
          <w:w w:val="95"/>
        </w:rPr>
        <w:t>an</w:t>
      </w:r>
      <w:r>
        <w:rPr>
          <w:spacing w:val="14"/>
        </w:rPr>
        <w:t xml:space="preserve"> </w:t>
      </w:r>
      <w:r>
        <w:rPr>
          <w:w w:val="95"/>
        </w:rPr>
        <w:t>explanation</w:t>
      </w:r>
      <w:r>
        <w:rPr>
          <w:spacing w:val="12"/>
        </w:rPr>
        <w:t xml:space="preserve"> </w:t>
      </w:r>
      <w:r>
        <w:rPr>
          <w:w w:val="95"/>
        </w:rPr>
        <w:t>of</w:t>
      </w:r>
      <w:r>
        <w:rPr>
          <w:spacing w:val="14"/>
        </w:rPr>
        <w:t xml:space="preserve"> </w:t>
      </w:r>
      <w:r>
        <w:rPr>
          <w:w w:val="95"/>
        </w:rPr>
        <w:t>the</w:t>
      </w:r>
      <w:r>
        <w:rPr>
          <w:spacing w:val="15"/>
        </w:rPr>
        <w:t xml:space="preserve"> </w:t>
      </w:r>
      <w:r>
        <w:rPr>
          <w:w w:val="95"/>
        </w:rPr>
        <w:t>problem.</w:t>
      </w:r>
      <w:r>
        <w:rPr>
          <w:w w:val="95"/>
          <w:vertAlign w:val="superscript"/>
        </w:rPr>
        <w:t>398</w:t>
      </w:r>
      <w:r>
        <w:rPr>
          <w:spacing w:val="13"/>
        </w:rPr>
        <w:t xml:space="preserve"> </w:t>
      </w:r>
      <w:r>
        <w:rPr>
          <w:w w:val="95"/>
        </w:rPr>
        <w:t>MOFCOM</w:t>
      </w:r>
      <w:r>
        <w:rPr>
          <w:spacing w:val="15"/>
        </w:rPr>
        <w:t xml:space="preserve"> </w:t>
      </w:r>
      <w:r>
        <w:rPr>
          <w:w w:val="95"/>
        </w:rPr>
        <w:t>did</w:t>
      </w:r>
      <w:r>
        <w:rPr>
          <w:spacing w:val="14"/>
        </w:rPr>
        <w:t xml:space="preserve"> </w:t>
      </w:r>
      <w:r>
        <w:rPr>
          <w:w w:val="95"/>
        </w:rPr>
        <w:t>not</w:t>
      </w:r>
      <w:r>
        <w:rPr>
          <w:spacing w:val="14"/>
        </w:rPr>
        <w:t xml:space="preserve"> </w:t>
      </w:r>
      <w:r>
        <w:rPr>
          <w:w w:val="95"/>
        </w:rPr>
        <w:t>do</w:t>
      </w:r>
      <w:r>
        <w:rPr>
          <w:spacing w:val="15"/>
        </w:rPr>
        <w:t xml:space="preserve"> </w:t>
      </w:r>
      <w:r>
        <w:rPr>
          <w:spacing w:val="-5"/>
          <w:w w:val="95"/>
        </w:rPr>
        <w:t>so.</w:t>
      </w:r>
    </w:p>
    <w:p w14:paraId="51DE88A5" w14:textId="77777777" w:rsidR="0010369C" w:rsidRDefault="0010369C">
      <w:pPr>
        <w:pStyle w:val="BodyText"/>
        <w:spacing w:before="10"/>
        <w:rPr>
          <w:sz w:val="8"/>
        </w:rPr>
      </w:pPr>
    </w:p>
    <w:p w14:paraId="51DE88A6" w14:textId="77777777" w:rsidR="0010369C" w:rsidRDefault="008E43AE">
      <w:pPr>
        <w:pStyle w:val="BodyText"/>
        <w:spacing w:before="52" w:after="3" w:line="360" w:lineRule="auto"/>
        <w:ind w:left="238" w:right="614" w:firstLine="850"/>
        <w:jc w:val="both"/>
      </w:pPr>
      <w:r>
        <w:rPr>
          <w:noProof/>
        </w:rPr>
        <w:drawing>
          <wp:anchor distT="0" distB="0" distL="0" distR="0" simplePos="0" relativeHeight="251013632" behindDoc="1" locked="0" layoutInCell="1" allowOverlap="1" wp14:anchorId="51DEA260" wp14:editId="51DEA261">
            <wp:simplePos x="0" y="0"/>
            <wp:positionH relativeFrom="page">
              <wp:posOffset>905255</wp:posOffset>
            </wp:positionH>
            <wp:positionV relativeFrom="paragraph">
              <wp:posOffset>76785</wp:posOffset>
            </wp:positionV>
            <wp:extent cx="259079" cy="106679"/>
            <wp:effectExtent l="0" t="0" r="0" b="0"/>
            <wp:wrapNone/>
            <wp:docPr id="737" name="image3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 name="image379.png"/>
                    <pic:cNvPicPr/>
                  </pic:nvPicPr>
                  <pic:blipFill>
                    <a:blip r:embed="rId507" cstate="print"/>
                    <a:stretch>
                      <a:fillRect/>
                    </a:stretch>
                  </pic:blipFill>
                  <pic:spPr>
                    <a:xfrm>
                      <a:off x="0" y="0"/>
                      <a:ext cx="259079" cy="106679"/>
                    </a:xfrm>
                    <a:prstGeom prst="rect">
                      <a:avLst/>
                    </a:prstGeom>
                  </pic:spPr>
                </pic:pic>
              </a:graphicData>
            </a:graphic>
          </wp:anchor>
        </w:drawing>
      </w:r>
      <w:r>
        <w:pict w14:anchorId="51DEA262">
          <v:rect id="docshape811" o:spid="_x0000_s1491" style="position:absolute;left:0;text-align:left;margin-left:77.25pt;margin-top:46.7pt;width:446.2pt;height:16.05pt;z-index:-251316736;mso-position-horizontal-relative:page;mso-position-vertical-relative:text" fillcolor="black" stroked="f">
            <w10:wrap anchorx="page"/>
          </v:rect>
        </w:pict>
      </w:r>
      <w:r>
        <w:pict w14:anchorId="51DEA263">
          <v:rect id="docshape812" o:spid="_x0000_s1490" style="position:absolute;left:0;text-align:left;margin-left:69.9pt;margin-top:156.6pt;width:26pt;height:16.05pt;z-index:251842048;mso-position-horizontal-relative:page;mso-position-vertical-relative:text" fillcolor="black" stroked="f">
            <w10:wrap anchorx="page"/>
          </v:rect>
        </w:pict>
      </w:r>
      <w:r>
        <w:t>Casella Wines provided reasonable explanations that the data and information in Form</w:t>
      </w:r>
      <w:r>
        <w:rPr>
          <w:spacing w:val="-14"/>
        </w:rPr>
        <w:t xml:space="preserve"> </w:t>
      </w:r>
      <w:r>
        <w:t>6‐4</w:t>
      </w:r>
      <w:r>
        <w:rPr>
          <w:spacing w:val="-14"/>
        </w:rPr>
        <w:t xml:space="preserve"> </w:t>
      </w:r>
      <w:r>
        <w:t>was</w:t>
      </w:r>
      <w:r>
        <w:rPr>
          <w:spacing w:val="-13"/>
        </w:rPr>
        <w:t xml:space="preserve"> </w:t>
      </w:r>
      <w:r>
        <w:t>reconcilable,</w:t>
      </w:r>
      <w:r>
        <w:rPr>
          <w:spacing w:val="-14"/>
        </w:rPr>
        <w:t xml:space="preserve"> </w:t>
      </w:r>
      <w:r>
        <w:t>and</w:t>
      </w:r>
      <w:r>
        <w:rPr>
          <w:spacing w:val="-13"/>
        </w:rPr>
        <w:t xml:space="preserve"> </w:t>
      </w:r>
      <w:r>
        <w:t>which</w:t>
      </w:r>
      <w:r>
        <w:rPr>
          <w:spacing w:val="-14"/>
        </w:rPr>
        <w:t xml:space="preserve"> </w:t>
      </w:r>
      <w:r>
        <w:t>would</w:t>
      </w:r>
      <w:r>
        <w:rPr>
          <w:spacing w:val="-13"/>
        </w:rPr>
        <w:t xml:space="preserve"> </w:t>
      </w:r>
      <w:r>
        <w:t>have</w:t>
      </w:r>
      <w:r>
        <w:rPr>
          <w:spacing w:val="-14"/>
        </w:rPr>
        <w:t xml:space="preserve"> </w:t>
      </w:r>
      <w:r>
        <w:t>allowed</w:t>
      </w:r>
      <w:r>
        <w:rPr>
          <w:spacing w:val="-14"/>
        </w:rPr>
        <w:t xml:space="preserve"> </w:t>
      </w:r>
      <w:r>
        <w:t>MOFCOM</w:t>
      </w:r>
      <w:r>
        <w:rPr>
          <w:spacing w:val="-13"/>
        </w:rPr>
        <w:t xml:space="preserve"> </w:t>
      </w:r>
      <w:r>
        <w:t>to</w:t>
      </w:r>
      <w:r>
        <w:rPr>
          <w:spacing w:val="-14"/>
        </w:rPr>
        <w:t xml:space="preserve"> </w:t>
      </w:r>
      <w:r>
        <w:t>verify</w:t>
      </w:r>
      <w:r>
        <w:rPr>
          <w:spacing w:val="-13"/>
        </w:rPr>
        <w:t xml:space="preserve"> </w:t>
      </w:r>
      <w:r>
        <w:t>the</w:t>
      </w:r>
      <w:r>
        <w:rPr>
          <w:spacing w:val="-14"/>
        </w:rPr>
        <w:t xml:space="preserve"> </w:t>
      </w:r>
      <w:r>
        <w:t xml:space="preserve">information. </w:t>
      </w:r>
      <w:r>
        <w:rPr>
          <w:spacing w:val="-6"/>
        </w:rPr>
        <w:t>[[</w:t>
      </w:r>
    </w:p>
    <w:p w14:paraId="51DE88A7" w14:textId="77777777" w:rsidR="0010369C" w:rsidRDefault="008E43AE">
      <w:pPr>
        <w:pStyle w:val="BodyText"/>
        <w:ind w:left="218"/>
        <w:rPr>
          <w:sz w:val="20"/>
        </w:rPr>
      </w:pPr>
      <w:r>
        <w:rPr>
          <w:sz w:val="20"/>
        </w:rPr>
      </w:r>
      <w:r>
        <w:rPr>
          <w:sz w:val="20"/>
        </w:rPr>
        <w:pict w14:anchorId="51DEA265">
          <v:group id="docshapegroup813" o:spid="_x0000_s1488" style="width:453.55pt;height:16.1pt;mso-position-horizontal-relative:char;mso-position-vertical-relative:line" coordsize="9071,322">
            <v:rect id="docshape814" o:spid="_x0000_s1489" style="position:absolute;width:9071;height:322" fillcolor="black" stroked="f"/>
            <w10:anchorlock/>
          </v:group>
        </w:pict>
      </w:r>
    </w:p>
    <w:p w14:paraId="51DE88A8" w14:textId="77777777" w:rsidR="0010369C" w:rsidRDefault="008E43AE">
      <w:pPr>
        <w:pStyle w:val="BodyText"/>
        <w:spacing w:before="11"/>
        <w:rPr>
          <w:sz w:val="4"/>
        </w:rPr>
      </w:pPr>
      <w:r>
        <w:pict w14:anchorId="51DEA266">
          <v:shape id="docshape815" o:spid="_x0000_s1487" style="position:absolute;margin-left:69.9pt;margin-top:4.2pt;width:453.55pt;height:16.1pt;z-index:-250920448;mso-wrap-distance-left:0;mso-wrap-distance-right:0;mso-position-horizontal-relative:page" coordorigin="1398,84" coordsize="9071,322" o:spt="100" adj="0,,0" path="m10226,84r-8828,l1398,406r8828,l10226,84xm10469,86r-242,l10227,300r242,l10469,86xe" fillcolor="black" stroked="f">
            <v:stroke joinstyle="round"/>
            <v:formulas/>
            <v:path arrowok="t" o:connecttype="segments"/>
            <w10:wrap type="topAndBottom" anchorx="page"/>
          </v:shape>
        </w:pict>
      </w:r>
      <w:r>
        <w:pict w14:anchorId="51DEA267">
          <v:rect id="docshape816" o:spid="_x0000_s1486" style="position:absolute;margin-left:69.9pt;margin-top:26.15pt;width:453.45pt;height:16.05pt;z-index:-250919424;mso-wrap-distance-left:0;mso-wrap-distance-right:0;mso-position-horizontal-relative:page" fillcolor="black" stroked="f">
            <w10:wrap type="topAndBottom" anchorx="page"/>
          </v:rect>
        </w:pict>
      </w:r>
      <w:r>
        <w:pict w14:anchorId="51DEA268">
          <v:rect id="docshape817" o:spid="_x0000_s1485" style="position:absolute;margin-left:69.9pt;margin-top:48.2pt;width:453.55pt;height:16.05pt;z-index:-250918400;mso-wrap-distance-left:0;mso-wrap-distance-right:0;mso-position-horizontal-relative:page" fillcolor="black" stroked="f">
            <w10:wrap type="topAndBottom" anchorx="page"/>
          </v:rect>
        </w:pict>
      </w:r>
    </w:p>
    <w:p w14:paraId="51DE88A9" w14:textId="77777777" w:rsidR="0010369C" w:rsidRDefault="0010369C">
      <w:pPr>
        <w:pStyle w:val="BodyText"/>
        <w:spacing w:before="8"/>
        <w:rPr>
          <w:sz w:val="7"/>
        </w:rPr>
      </w:pPr>
    </w:p>
    <w:p w14:paraId="51DE88AA" w14:textId="77777777" w:rsidR="0010369C" w:rsidRDefault="0010369C">
      <w:pPr>
        <w:pStyle w:val="BodyText"/>
        <w:spacing w:before="9"/>
        <w:rPr>
          <w:sz w:val="7"/>
        </w:rPr>
      </w:pPr>
    </w:p>
    <w:p w14:paraId="51DE88AB" w14:textId="77777777" w:rsidR="0010369C" w:rsidRDefault="008E43AE">
      <w:pPr>
        <w:spacing w:before="116"/>
        <w:ind w:left="758"/>
        <w:rPr>
          <w:sz w:val="24"/>
        </w:rPr>
      </w:pPr>
      <w:r>
        <w:rPr>
          <w:spacing w:val="-5"/>
          <w:sz w:val="24"/>
        </w:rPr>
        <w:t>]]</w:t>
      </w:r>
    </w:p>
    <w:p w14:paraId="51DE88AC" w14:textId="77777777" w:rsidR="0010369C" w:rsidRDefault="0010369C">
      <w:pPr>
        <w:pStyle w:val="BodyText"/>
        <w:spacing w:before="9"/>
        <w:rPr>
          <w:sz w:val="20"/>
        </w:rPr>
      </w:pPr>
    </w:p>
    <w:p w14:paraId="51DE88AD" w14:textId="77777777" w:rsidR="0010369C" w:rsidRDefault="008E43AE">
      <w:pPr>
        <w:pStyle w:val="BodyText"/>
        <w:spacing w:before="52" w:line="360" w:lineRule="auto"/>
        <w:ind w:left="236" w:right="612" w:firstLine="853"/>
        <w:jc w:val="both"/>
      </w:pPr>
      <w:r>
        <w:rPr>
          <w:noProof/>
        </w:rPr>
        <w:drawing>
          <wp:anchor distT="0" distB="0" distL="0" distR="0" simplePos="0" relativeHeight="251014656" behindDoc="1" locked="0" layoutInCell="1" allowOverlap="1" wp14:anchorId="51DEA269" wp14:editId="51DEA26A">
            <wp:simplePos x="0" y="0"/>
            <wp:positionH relativeFrom="page">
              <wp:posOffset>905255</wp:posOffset>
            </wp:positionH>
            <wp:positionV relativeFrom="paragraph">
              <wp:posOffset>80595</wp:posOffset>
            </wp:positionV>
            <wp:extent cx="259079" cy="103631"/>
            <wp:effectExtent l="0" t="0" r="0" b="0"/>
            <wp:wrapNone/>
            <wp:docPr id="739" name="image3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 name="image380.png"/>
                    <pic:cNvPicPr/>
                  </pic:nvPicPr>
                  <pic:blipFill>
                    <a:blip r:embed="rId508" cstate="print"/>
                    <a:stretch>
                      <a:fillRect/>
                    </a:stretch>
                  </pic:blipFill>
                  <pic:spPr>
                    <a:xfrm>
                      <a:off x="0" y="0"/>
                      <a:ext cx="259079" cy="103631"/>
                    </a:xfrm>
                    <a:prstGeom prst="rect">
                      <a:avLst/>
                    </a:prstGeom>
                  </pic:spPr>
                </pic:pic>
              </a:graphicData>
            </a:graphic>
          </wp:anchor>
        </w:drawing>
      </w:r>
      <w:r>
        <w:t>Despite providing a fulsome explanation that was sufficient to allow MOFCOM to verify the accuracy and reliability of this aspect of the information submitted in Form 6‐4, MOFCOM</w:t>
      </w:r>
      <w:r>
        <w:rPr>
          <w:spacing w:val="-7"/>
        </w:rPr>
        <w:t xml:space="preserve"> </w:t>
      </w:r>
      <w:r>
        <w:t>instead</w:t>
      </w:r>
      <w:r>
        <w:rPr>
          <w:spacing w:val="-7"/>
        </w:rPr>
        <w:t xml:space="preserve"> </w:t>
      </w:r>
      <w:r>
        <w:t>concluded</w:t>
      </w:r>
      <w:r>
        <w:rPr>
          <w:spacing w:val="-8"/>
        </w:rPr>
        <w:t xml:space="preserve"> </w:t>
      </w:r>
      <w:r>
        <w:t>that</w:t>
      </w:r>
      <w:r>
        <w:rPr>
          <w:spacing w:val="-8"/>
        </w:rPr>
        <w:t xml:space="preserve"> </w:t>
      </w:r>
      <w:r>
        <w:t>Casella</w:t>
      </w:r>
      <w:r>
        <w:rPr>
          <w:spacing w:val="-7"/>
        </w:rPr>
        <w:t xml:space="preserve"> </w:t>
      </w:r>
      <w:r>
        <w:t>Wines</w:t>
      </w:r>
      <w:r>
        <w:rPr>
          <w:spacing w:val="-8"/>
        </w:rPr>
        <w:t xml:space="preserve"> </w:t>
      </w:r>
      <w:r>
        <w:t>"did</w:t>
      </w:r>
      <w:r>
        <w:rPr>
          <w:spacing w:val="-7"/>
        </w:rPr>
        <w:t xml:space="preserve"> </w:t>
      </w:r>
      <w:r>
        <w:t>not</w:t>
      </w:r>
      <w:r>
        <w:rPr>
          <w:spacing w:val="-7"/>
        </w:rPr>
        <w:t xml:space="preserve"> </w:t>
      </w:r>
      <w:r>
        <w:t>give</w:t>
      </w:r>
      <w:r>
        <w:rPr>
          <w:spacing w:val="-7"/>
        </w:rPr>
        <w:t xml:space="preserve"> </w:t>
      </w:r>
      <w:r>
        <w:t>a</w:t>
      </w:r>
      <w:r>
        <w:rPr>
          <w:spacing w:val="-7"/>
        </w:rPr>
        <w:t xml:space="preserve"> </w:t>
      </w:r>
      <w:r>
        <w:t>convincing</w:t>
      </w:r>
      <w:r>
        <w:rPr>
          <w:spacing w:val="-9"/>
        </w:rPr>
        <w:t xml:space="preserve"> </w:t>
      </w:r>
      <w:r>
        <w:t>explanation</w:t>
      </w:r>
      <w:r>
        <w:rPr>
          <w:spacing w:val="-10"/>
        </w:rPr>
        <w:t xml:space="preserve"> </w:t>
      </w:r>
      <w:r>
        <w:t>f</w:t>
      </w:r>
      <w:r>
        <w:t>or</w:t>
      </w:r>
      <w:r>
        <w:rPr>
          <w:spacing w:val="-7"/>
        </w:rPr>
        <w:t xml:space="preserve"> </w:t>
      </w:r>
      <w:r>
        <w:t>the inconsistency in the unit</w:t>
      </w:r>
      <w:r>
        <w:rPr>
          <w:spacing w:val="-1"/>
        </w:rPr>
        <w:t xml:space="preserve"> </w:t>
      </w:r>
      <w:r>
        <w:t>prices</w:t>
      </w:r>
      <w:r>
        <w:rPr>
          <w:spacing w:val="-2"/>
        </w:rPr>
        <w:t xml:space="preserve"> </w:t>
      </w:r>
      <w:r>
        <w:t>of bulk wine".</w:t>
      </w:r>
      <w:r>
        <w:rPr>
          <w:vertAlign w:val="superscript"/>
        </w:rPr>
        <w:t>401</w:t>
      </w:r>
      <w:r>
        <w:rPr>
          <w:spacing w:val="-1"/>
        </w:rPr>
        <w:t xml:space="preserve"> </w:t>
      </w:r>
      <w:r>
        <w:t>This is</w:t>
      </w:r>
      <w:r>
        <w:rPr>
          <w:spacing w:val="-1"/>
        </w:rPr>
        <w:t xml:space="preserve"> </w:t>
      </w:r>
      <w:r>
        <w:t>despite Casella Wines</w:t>
      </w:r>
      <w:r>
        <w:rPr>
          <w:spacing w:val="-1"/>
        </w:rPr>
        <w:t xml:space="preserve"> </w:t>
      </w:r>
      <w:r>
        <w:t>having to</w:t>
      </w:r>
      <w:r>
        <w:rPr>
          <w:spacing w:val="-1"/>
        </w:rPr>
        <w:t xml:space="preserve"> </w:t>
      </w:r>
      <w:r>
        <w:t>guess at exactly what the</w:t>
      </w:r>
      <w:r>
        <w:rPr>
          <w:spacing w:val="40"/>
        </w:rPr>
        <w:t xml:space="preserve"> </w:t>
      </w:r>
      <w:r>
        <w:t>alleged "inconsistencies" MOFCOM identified in its Preliminary Determination, and then provide an explanation in the abstract. MOFCOM also sought no further</w:t>
      </w:r>
      <w:r>
        <w:rPr>
          <w:spacing w:val="-7"/>
        </w:rPr>
        <w:t xml:space="preserve"> </w:t>
      </w:r>
      <w:r>
        <w:t>explanations</w:t>
      </w:r>
      <w:r>
        <w:rPr>
          <w:spacing w:val="-8"/>
        </w:rPr>
        <w:t xml:space="preserve"> </w:t>
      </w:r>
      <w:r>
        <w:t>or</w:t>
      </w:r>
      <w:r>
        <w:rPr>
          <w:spacing w:val="-7"/>
        </w:rPr>
        <w:t xml:space="preserve"> </w:t>
      </w:r>
      <w:r>
        <w:t>information</w:t>
      </w:r>
      <w:r>
        <w:rPr>
          <w:spacing w:val="-7"/>
        </w:rPr>
        <w:t xml:space="preserve"> </w:t>
      </w:r>
      <w:r>
        <w:t>from</w:t>
      </w:r>
      <w:r>
        <w:rPr>
          <w:spacing w:val="-7"/>
        </w:rPr>
        <w:t xml:space="preserve"> </w:t>
      </w:r>
      <w:r>
        <w:t>Casella</w:t>
      </w:r>
      <w:r>
        <w:rPr>
          <w:spacing w:val="-8"/>
        </w:rPr>
        <w:t xml:space="preserve"> </w:t>
      </w:r>
      <w:r>
        <w:t>Wines</w:t>
      </w:r>
      <w:r>
        <w:rPr>
          <w:spacing w:val="-8"/>
        </w:rPr>
        <w:t xml:space="preserve"> </w:t>
      </w:r>
      <w:r>
        <w:t>relating</w:t>
      </w:r>
      <w:r>
        <w:rPr>
          <w:spacing w:val="-8"/>
        </w:rPr>
        <w:t xml:space="preserve"> </w:t>
      </w:r>
      <w:r>
        <w:t>to</w:t>
      </w:r>
      <w:r>
        <w:rPr>
          <w:spacing w:val="-7"/>
        </w:rPr>
        <w:t xml:space="preserve"> </w:t>
      </w:r>
      <w:r>
        <w:t>the</w:t>
      </w:r>
      <w:r>
        <w:rPr>
          <w:spacing w:val="-7"/>
        </w:rPr>
        <w:t xml:space="preserve"> </w:t>
      </w:r>
      <w:r>
        <w:t>alleged</w:t>
      </w:r>
      <w:r>
        <w:rPr>
          <w:spacing w:val="-8"/>
        </w:rPr>
        <w:t xml:space="preserve"> </w:t>
      </w:r>
      <w:r>
        <w:t>inconsistencies between Form</w:t>
      </w:r>
      <w:r>
        <w:t xml:space="preserve"> 6‐4 and Form 6‐1‐2 after receiving Casella Wines' response to its Preliminary Determination, as part of its "review" of the data and information. MOFCOM did not engage with</w:t>
      </w:r>
      <w:r>
        <w:rPr>
          <w:spacing w:val="-2"/>
        </w:rPr>
        <w:t xml:space="preserve"> </w:t>
      </w:r>
      <w:r>
        <w:t>Casella</w:t>
      </w:r>
      <w:r>
        <w:rPr>
          <w:spacing w:val="-2"/>
        </w:rPr>
        <w:t xml:space="preserve"> </w:t>
      </w:r>
      <w:r>
        <w:t>Wines'</w:t>
      </w:r>
      <w:r>
        <w:rPr>
          <w:spacing w:val="-2"/>
        </w:rPr>
        <w:t xml:space="preserve"> </w:t>
      </w:r>
      <w:r>
        <w:t>explanation</w:t>
      </w:r>
      <w:r>
        <w:rPr>
          <w:spacing w:val="-3"/>
        </w:rPr>
        <w:t xml:space="preserve"> </w:t>
      </w:r>
      <w:r>
        <w:t>in</w:t>
      </w:r>
      <w:r>
        <w:rPr>
          <w:spacing w:val="-2"/>
        </w:rPr>
        <w:t xml:space="preserve"> </w:t>
      </w:r>
      <w:r>
        <w:t>the</w:t>
      </w:r>
      <w:r>
        <w:rPr>
          <w:spacing w:val="-2"/>
        </w:rPr>
        <w:t xml:space="preserve"> </w:t>
      </w:r>
      <w:r>
        <w:t>Final</w:t>
      </w:r>
      <w:r>
        <w:rPr>
          <w:spacing w:val="-2"/>
        </w:rPr>
        <w:t xml:space="preserve"> </w:t>
      </w:r>
      <w:r>
        <w:t>Determination,</w:t>
      </w:r>
      <w:r>
        <w:rPr>
          <w:spacing w:val="-2"/>
        </w:rPr>
        <w:t xml:space="preserve"> </w:t>
      </w:r>
      <w:r>
        <w:t>and</w:t>
      </w:r>
      <w:r>
        <w:rPr>
          <w:spacing w:val="-2"/>
        </w:rPr>
        <w:t xml:space="preserve"> </w:t>
      </w:r>
      <w:r>
        <w:t>no</w:t>
      </w:r>
      <w:r>
        <w:rPr>
          <w:spacing w:val="-2"/>
        </w:rPr>
        <w:t xml:space="preserve"> </w:t>
      </w:r>
      <w:r>
        <w:t>reasons</w:t>
      </w:r>
      <w:r>
        <w:rPr>
          <w:spacing w:val="-3"/>
        </w:rPr>
        <w:t xml:space="preserve"> </w:t>
      </w:r>
      <w:r>
        <w:t>were</w:t>
      </w:r>
      <w:r>
        <w:rPr>
          <w:spacing w:val="-2"/>
        </w:rPr>
        <w:t xml:space="preserve"> </w:t>
      </w:r>
      <w:r>
        <w:t>provide</w:t>
      </w:r>
      <w:r>
        <w:t>d</w:t>
      </w:r>
      <w:r>
        <w:rPr>
          <w:spacing w:val="-2"/>
        </w:rPr>
        <w:t xml:space="preserve"> </w:t>
      </w:r>
      <w:r>
        <w:t>by MOFCOM as to why it did not accept Casella Wines' explanation.</w:t>
      </w:r>
    </w:p>
    <w:p w14:paraId="51DE88AE" w14:textId="77777777" w:rsidR="0010369C" w:rsidRDefault="0010369C">
      <w:pPr>
        <w:pStyle w:val="BodyText"/>
        <w:spacing w:before="11"/>
        <w:rPr>
          <w:sz w:val="8"/>
        </w:rPr>
      </w:pPr>
    </w:p>
    <w:p w14:paraId="51DE88AF" w14:textId="77777777" w:rsidR="0010369C" w:rsidRDefault="008E43AE">
      <w:pPr>
        <w:pStyle w:val="BodyText"/>
        <w:spacing w:before="52" w:line="360" w:lineRule="auto"/>
        <w:ind w:left="237" w:right="612" w:firstLine="851"/>
        <w:jc w:val="both"/>
      </w:pPr>
      <w:r>
        <w:rPr>
          <w:noProof/>
        </w:rPr>
        <w:drawing>
          <wp:anchor distT="0" distB="0" distL="0" distR="0" simplePos="0" relativeHeight="251015680" behindDoc="1" locked="0" layoutInCell="1" allowOverlap="1" wp14:anchorId="51DEA26B" wp14:editId="51DEA26C">
            <wp:simplePos x="0" y="0"/>
            <wp:positionH relativeFrom="page">
              <wp:posOffset>905255</wp:posOffset>
            </wp:positionH>
            <wp:positionV relativeFrom="paragraph">
              <wp:posOffset>81949</wp:posOffset>
            </wp:positionV>
            <wp:extent cx="259079" cy="100753"/>
            <wp:effectExtent l="0" t="0" r="0" b="0"/>
            <wp:wrapNone/>
            <wp:docPr id="741" name="image3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 name="image381.png"/>
                    <pic:cNvPicPr/>
                  </pic:nvPicPr>
                  <pic:blipFill>
                    <a:blip r:embed="rId509" cstate="print"/>
                    <a:stretch>
                      <a:fillRect/>
                    </a:stretch>
                  </pic:blipFill>
                  <pic:spPr>
                    <a:xfrm>
                      <a:off x="0" y="0"/>
                      <a:ext cx="259079" cy="100753"/>
                    </a:xfrm>
                    <a:prstGeom prst="rect">
                      <a:avLst/>
                    </a:prstGeom>
                  </pic:spPr>
                </pic:pic>
              </a:graphicData>
            </a:graphic>
          </wp:anchor>
        </w:drawing>
      </w:r>
      <w:r>
        <w:t>MOFCOM was required to examine that information in light of the criteria in paragraph 3 of Annex II.</w:t>
      </w:r>
      <w:r>
        <w:rPr>
          <w:vertAlign w:val="superscript"/>
        </w:rPr>
        <w:t>402</w:t>
      </w:r>
      <w:r>
        <w:t xml:space="preserve"> It was required to "actively make efforts" to use the information submitted.</w:t>
      </w:r>
      <w:r>
        <w:rPr>
          <w:vertAlign w:val="superscript"/>
        </w:rPr>
        <w:t>403</w:t>
      </w:r>
      <w:r>
        <w:rPr>
          <w:spacing w:val="-13"/>
        </w:rPr>
        <w:t xml:space="preserve"> </w:t>
      </w:r>
      <w:r>
        <w:t>Ha</w:t>
      </w:r>
      <w:r>
        <w:t>d</w:t>
      </w:r>
      <w:r>
        <w:rPr>
          <w:spacing w:val="-14"/>
        </w:rPr>
        <w:t xml:space="preserve"> </w:t>
      </w:r>
      <w:r>
        <w:t>it</w:t>
      </w:r>
      <w:r>
        <w:rPr>
          <w:spacing w:val="-13"/>
        </w:rPr>
        <w:t xml:space="preserve"> </w:t>
      </w:r>
      <w:r>
        <w:t>done</w:t>
      </w:r>
      <w:r>
        <w:rPr>
          <w:spacing w:val="-12"/>
        </w:rPr>
        <w:t xml:space="preserve"> </w:t>
      </w:r>
      <w:r>
        <w:t>so,</w:t>
      </w:r>
      <w:r>
        <w:rPr>
          <w:spacing w:val="-13"/>
        </w:rPr>
        <w:t xml:space="preserve"> </w:t>
      </w:r>
      <w:r>
        <w:t>MOFCOM</w:t>
      </w:r>
      <w:r>
        <w:rPr>
          <w:spacing w:val="-14"/>
        </w:rPr>
        <w:t xml:space="preserve"> </w:t>
      </w:r>
      <w:r>
        <w:t>would</w:t>
      </w:r>
      <w:r>
        <w:rPr>
          <w:spacing w:val="-14"/>
        </w:rPr>
        <w:t xml:space="preserve"> </w:t>
      </w:r>
      <w:r>
        <w:t>have</w:t>
      </w:r>
      <w:r>
        <w:rPr>
          <w:spacing w:val="-12"/>
        </w:rPr>
        <w:t xml:space="preserve"> </w:t>
      </w:r>
      <w:r>
        <w:t>concluded</w:t>
      </w:r>
      <w:r>
        <w:rPr>
          <w:spacing w:val="-14"/>
        </w:rPr>
        <w:t xml:space="preserve"> </w:t>
      </w:r>
      <w:r>
        <w:t>that</w:t>
      </w:r>
      <w:r>
        <w:rPr>
          <w:spacing w:val="-14"/>
        </w:rPr>
        <w:t xml:space="preserve"> </w:t>
      </w:r>
      <w:r>
        <w:t>the</w:t>
      </w:r>
      <w:r>
        <w:rPr>
          <w:spacing w:val="-12"/>
        </w:rPr>
        <w:t xml:space="preserve"> </w:t>
      </w:r>
      <w:r>
        <w:t>information</w:t>
      </w:r>
      <w:r>
        <w:rPr>
          <w:spacing w:val="-12"/>
        </w:rPr>
        <w:t xml:space="preserve"> </w:t>
      </w:r>
      <w:r>
        <w:t>submitted was, in fact, verifiable, appropriately submitted, timely and in an appropriate medium. MOFCOM</w:t>
      </w:r>
      <w:r>
        <w:rPr>
          <w:spacing w:val="-14"/>
        </w:rPr>
        <w:t xml:space="preserve"> </w:t>
      </w:r>
      <w:r>
        <w:t>was</w:t>
      </w:r>
      <w:r>
        <w:rPr>
          <w:spacing w:val="-14"/>
        </w:rPr>
        <w:t xml:space="preserve"> </w:t>
      </w:r>
      <w:r>
        <w:t>not</w:t>
      </w:r>
      <w:r>
        <w:rPr>
          <w:spacing w:val="-14"/>
        </w:rPr>
        <w:t xml:space="preserve"> </w:t>
      </w:r>
      <w:r>
        <w:t>entitled</w:t>
      </w:r>
      <w:r>
        <w:rPr>
          <w:spacing w:val="-15"/>
        </w:rPr>
        <w:t xml:space="preserve"> </w:t>
      </w:r>
      <w:r>
        <w:t>to</w:t>
      </w:r>
      <w:r>
        <w:rPr>
          <w:spacing w:val="-14"/>
        </w:rPr>
        <w:t xml:space="preserve"> </w:t>
      </w:r>
      <w:r>
        <w:t>reject</w:t>
      </w:r>
      <w:r>
        <w:rPr>
          <w:spacing w:val="-14"/>
        </w:rPr>
        <w:t xml:space="preserve"> </w:t>
      </w:r>
      <w:r>
        <w:t>the</w:t>
      </w:r>
      <w:r>
        <w:rPr>
          <w:spacing w:val="-13"/>
        </w:rPr>
        <w:t xml:space="preserve"> </w:t>
      </w:r>
      <w:r>
        <w:t>data</w:t>
      </w:r>
      <w:r>
        <w:rPr>
          <w:spacing w:val="-14"/>
        </w:rPr>
        <w:t xml:space="preserve"> </w:t>
      </w:r>
      <w:r>
        <w:t>solely</w:t>
      </w:r>
      <w:r>
        <w:rPr>
          <w:spacing w:val="-13"/>
        </w:rPr>
        <w:t xml:space="preserve"> </w:t>
      </w:r>
      <w:r>
        <w:t>on</w:t>
      </w:r>
      <w:r>
        <w:rPr>
          <w:spacing w:val="-14"/>
        </w:rPr>
        <w:t xml:space="preserve"> </w:t>
      </w:r>
      <w:r>
        <w:t>the</w:t>
      </w:r>
      <w:r>
        <w:rPr>
          <w:spacing w:val="-14"/>
        </w:rPr>
        <w:t xml:space="preserve"> </w:t>
      </w:r>
      <w:r>
        <w:t>basis</w:t>
      </w:r>
      <w:r>
        <w:rPr>
          <w:spacing w:val="-14"/>
        </w:rPr>
        <w:t xml:space="preserve"> </w:t>
      </w:r>
      <w:r>
        <w:t>that</w:t>
      </w:r>
      <w:r>
        <w:rPr>
          <w:spacing w:val="-14"/>
        </w:rPr>
        <w:t xml:space="preserve"> </w:t>
      </w:r>
      <w:r>
        <w:t>it,</w:t>
      </w:r>
      <w:r>
        <w:rPr>
          <w:spacing w:val="-13"/>
        </w:rPr>
        <w:t xml:space="preserve"> </w:t>
      </w:r>
      <w:r>
        <w:t>without</w:t>
      </w:r>
      <w:r>
        <w:rPr>
          <w:spacing w:val="-14"/>
        </w:rPr>
        <w:t xml:space="preserve"> </w:t>
      </w:r>
      <w:r>
        <w:t>any</w:t>
      </w:r>
      <w:r>
        <w:rPr>
          <w:spacing w:val="-14"/>
        </w:rPr>
        <w:t xml:space="preserve"> </w:t>
      </w:r>
      <w:r>
        <w:t>evidentiary</w:t>
      </w:r>
    </w:p>
    <w:p w14:paraId="51DE88B0" w14:textId="77777777" w:rsidR="0010369C" w:rsidRDefault="0010369C">
      <w:pPr>
        <w:pStyle w:val="BodyText"/>
        <w:rPr>
          <w:sz w:val="20"/>
        </w:rPr>
      </w:pPr>
    </w:p>
    <w:p w14:paraId="51DE88B1" w14:textId="77777777" w:rsidR="0010369C" w:rsidRDefault="0010369C">
      <w:pPr>
        <w:pStyle w:val="BodyText"/>
        <w:rPr>
          <w:sz w:val="20"/>
        </w:rPr>
      </w:pPr>
    </w:p>
    <w:p w14:paraId="51DE88B2" w14:textId="77777777" w:rsidR="0010369C" w:rsidRDefault="008E43AE">
      <w:pPr>
        <w:pStyle w:val="BodyText"/>
        <w:spacing w:before="6"/>
        <w:rPr>
          <w:sz w:val="11"/>
        </w:rPr>
      </w:pPr>
      <w:r>
        <w:pict w14:anchorId="51DEA26D">
          <v:rect id="docshape818" o:spid="_x0000_s1484" style="position:absolute;margin-left:70.9pt;margin-top:8.25pt;width:2in;height:.8pt;z-index:-250917376;mso-wrap-distance-left:0;mso-wrap-distance-right:0;mso-position-horizontal-relative:page" fillcolor="black" stroked="f">
            <w10:wrap type="topAndBottom" anchorx="page"/>
          </v:rect>
        </w:pict>
      </w:r>
    </w:p>
    <w:p w14:paraId="51DE88B3" w14:textId="77777777" w:rsidR="0010369C" w:rsidRDefault="008E43AE">
      <w:pPr>
        <w:spacing w:before="109"/>
        <w:ind w:left="238"/>
        <w:rPr>
          <w:sz w:val="18"/>
        </w:rPr>
      </w:pPr>
      <w:r>
        <w:rPr>
          <w:sz w:val="18"/>
          <w:vertAlign w:val="superscript"/>
        </w:rPr>
        <w:t>398</w:t>
      </w:r>
      <w:r>
        <w:rPr>
          <w:spacing w:val="-5"/>
          <w:sz w:val="18"/>
        </w:rPr>
        <w:t xml:space="preserve"> </w:t>
      </w:r>
      <w:r>
        <w:rPr>
          <w:sz w:val="18"/>
        </w:rPr>
        <w:t>See</w:t>
      </w:r>
      <w:r>
        <w:rPr>
          <w:spacing w:val="-5"/>
          <w:sz w:val="18"/>
        </w:rPr>
        <w:t xml:space="preserve"> </w:t>
      </w:r>
      <w:r>
        <w:rPr>
          <w:sz w:val="18"/>
        </w:rPr>
        <w:t>Panel</w:t>
      </w:r>
      <w:r>
        <w:rPr>
          <w:spacing w:val="-6"/>
          <w:sz w:val="18"/>
        </w:rPr>
        <w:t xml:space="preserve"> </w:t>
      </w:r>
      <w:r>
        <w:rPr>
          <w:sz w:val="18"/>
        </w:rPr>
        <w:t>Reports,</w:t>
      </w:r>
      <w:r>
        <w:rPr>
          <w:spacing w:val="-4"/>
          <w:sz w:val="18"/>
        </w:rPr>
        <w:t xml:space="preserve"> </w:t>
      </w:r>
      <w:r>
        <w:rPr>
          <w:i/>
          <w:sz w:val="18"/>
        </w:rPr>
        <w:t>US</w:t>
      </w:r>
      <w:r>
        <w:rPr>
          <w:i/>
          <w:spacing w:val="-5"/>
          <w:sz w:val="18"/>
        </w:rPr>
        <w:t xml:space="preserve"> </w:t>
      </w:r>
      <w:r>
        <w:rPr>
          <w:i/>
          <w:sz w:val="18"/>
        </w:rPr>
        <w:t>–</w:t>
      </w:r>
      <w:r>
        <w:rPr>
          <w:i/>
          <w:spacing w:val="-4"/>
          <w:sz w:val="18"/>
        </w:rPr>
        <w:t xml:space="preserve"> </w:t>
      </w:r>
      <w:r>
        <w:rPr>
          <w:i/>
          <w:sz w:val="18"/>
        </w:rPr>
        <w:t>Steel</w:t>
      </w:r>
      <w:r>
        <w:rPr>
          <w:i/>
          <w:spacing w:val="-6"/>
          <w:sz w:val="18"/>
        </w:rPr>
        <w:t xml:space="preserve"> </w:t>
      </w:r>
      <w:r>
        <w:rPr>
          <w:i/>
          <w:sz w:val="18"/>
        </w:rPr>
        <w:t>Plate</w:t>
      </w:r>
      <w:r>
        <w:rPr>
          <w:sz w:val="18"/>
        </w:rPr>
        <w:t>,</w:t>
      </w:r>
      <w:r>
        <w:rPr>
          <w:spacing w:val="-5"/>
          <w:sz w:val="18"/>
        </w:rPr>
        <w:t xml:space="preserve"> </w:t>
      </w:r>
      <w:r>
        <w:rPr>
          <w:sz w:val="18"/>
        </w:rPr>
        <w:t>paras.</w:t>
      </w:r>
      <w:r>
        <w:rPr>
          <w:spacing w:val="-5"/>
          <w:sz w:val="18"/>
        </w:rPr>
        <w:t xml:space="preserve"> </w:t>
      </w:r>
      <w:r>
        <w:rPr>
          <w:sz w:val="18"/>
        </w:rPr>
        <w:t>7.72</w:t>
      </w:r>
      <w:r>
        <w:rPr>
          <w:spacing w:val="-4"/>
          <w:sz w:val="18"/>
        </w:rPr>
        <w:t xml:space="preserve"> </w:t>
      </w:r>
      <w:r>
        <w:rPr>
          <w:sz w:val="18"/>
        </w:rPr>
        <w:t>and</w:t>
      </w:r>
      <w:r>
        <w:rPr>
          <w:spacing w:val="-5"/>
          <w:sz w:val="18"/>
        </w:rPr>
        <w:t xml:space="preserve"> </w:t>
      </w:r>
      <w:r>
        <w:rPr>
          <w:sz w:val="18"/>
        </w:rPr>
        <w:t>7.74</w:t>
      </w:r>
      <w:r>
        <w:rPr>
          <w:spacing w:val="-4"/>
          <w:sz w:val="18"/>
        </w:rPr>
        <w:t xml:space="preserve"> </w:t>
      </w:r>
      <w:r>
        <w:rPr>
          <w:sz w:val="18"/>
        </w:rPr>
        <w:t>and</w:t>
      </w:r>
      <w:r>
        <w:rPr>
          <w:spacing w:val="-5"/>
          <w:sz w:val="18"/>
        </w:rPr>
        <w:t xml:space="preserve"> </w:t>
      </w:r>
      <w:r>
        <w:rPr>
          <w:i/>
          <w:sz w:val="18"/>
        </w:rPr>
        <w:t>China</w:t>
      </w:r>
      <w:r>
        <w:rPr>
          <w:i/>
          <w:spacing w:val="-4"/>
          <w:sz w:val="18"/>
        </w:rPr>
        <w:t xml:space="preserve"> </w:t>
      </w:r>
      <w:r>
        <w:rPr>
          <w:i/>
          <w:sz w:val="18"/>
        </w:rPr>
        <w:t>–</w:t>
      </w:r>
      <w:r>
        <w:rPr>
          <w:i/>
          <w:spacing w:val="-5"/>
          <w:sz w:val="18"/>
        </w:rPr>
        <w:t xml:space="preserve"> </w:t>
      </w:r>
      <w:r>
        <w:rPr>
          <w:i/>
          <w:sz w:val="18"/>
        </w:rPr>
        <w:t>Broiler</w:t>
      </w:r>
      <w:r>
        <w:rPr>
          <w:i/>
          <w:spacing w:val="-5"/>
          <w:sz w:val="18"/>
        </w:rPr>
        <w:t xml:space="preserve"> </w:t>
      </w:r>
      <w:r>
        <w:rPr>
          <w:i/>
          <w:sz w:val="18"/>
        </w:rPr>
        <w:t>Products</w:t>
      </w:r>
      <w:r>
        <w:rPr>
          <w:i/>
          <w:spacing w:val="-6"/>
          <w:sz w:val="18"/>
        </w:rPr>
        <w:t xml:space="preserve"> </w:t>
      </w:r>
      <w:r>
        <w:rPr>
          <w:i/>
          <w:sz w:val="18"/>
        </w:rPr>
        <w:t>(Article</w:t>
      </w:r>
      <w:r>
        <w:rPr>
          <w:i/>
          <w:spacing w:val="-4"/>
          <w:sz w:val="18"/>
        </w:rPr>
        <w:t xml:space="preserve"> </w:t>
      </w:r>
      <w:r>
        <w:rPr>
          <w:i/>
          <w:sz w:val="18"/>
        </w:rPr>
        <w:t>21.5</w:t>
      </w:r>
      <w:r>
        <w:rPr>
          <w:i/>
          <w:spacing w:val="-5"/>
          <w:sz w:val="18"/>
        </w:rPr>
        <w:t xml:space="preserve"> </w:t>
      </w:r>
      <w:r>
        <w:rPr>
          <w:i/>
          <w:sz w:val="18"/>
        </w:rPr>
        <w:t>–</w:t>
      </w:r>
      <w:r>
        <w:rPr>
          <w:i/>
          <w:spacing w:val="-4"/>
          <w:sz w:val="18"/>
        </w:rPr>
        <w:t xml:space="preserve"> </w:t>
      </w:r>
      <w:r>
        <w:rPr>
          <w:i/>
          <w:sz w:val="18"/>
        </w:rPr>
        <w:t>US),</w:t>
      </w:r>
      <w:r>
        <w:rPr>
          <w:i/>
          <w:spacing w:val="-6"/>
          <w:sz w:val="18"/>
        </w:rPr>
        <w:t xml:space="preserve"> </w:t>
      </w:r>
      <w:r>
        <w:rPr>
          <w:sz w:val="18"/>
        </w:rPr>
        <w:t>para.</w:t>
      </w:r>
      <w:r>
        <w:rPr>
          <w:spacing w:val="-4"/>
          <w:sz w:val="18"/>
        </w:rPr>
        <w:t xml:space="preserve"> </w:t>
      </w:r>
      <w:r>
        <w:rPr>
          <w:spacing w:val="-2"/>
          <w:sz w:val="18"/>
        </w:rPr>
        <w:t>7.348.</w:t>
      </w:r>
    </w:p>
    <w:p w14:paraId="51DE88B4" w14:textId="77777777" w:rsidR="0010369C" w:rsidRDefault="008E43AE">
      <w:pPr>
        <w:tabs>
          <w:tab w:val="left" w:pos="6556"/>
          <w:tab w:val="left" w:pos="8491"/>
        </w:tabs>
        <w:ind w:left="238"/>
        <w:rPr>
          <w:sz w:val="18"/>
        </w:rPr>
      </w:pPr>
      <w:r>
        <w:pict w14:anchorId="51DEA26E">
          <v:shape id="docshape819" o:spid="_x0000_s1483" style="position:absolute;left:0;text-align:left;margin-left:86.65pt;margin-top:.35pt;width:297.1pt;height:23.1pt;z-index:-251315712;mso-position-horizontal-relative:page" coordorigin="1733,7" coordsize="5942,462" path="m7675,7l1733,7r,221l1733,248r,221l7675,469r,-221l7675,228r,-221xe" fillcolor="black" stroked="f">
            <v:path arrowok="t"/>
            <w10:wrap anchorx="page"/>
          </v:shape>
        </w:pict>
      </w:r>
      <w:r>
        <w:pict w14:anchorId="51DEA26F">
          <v:shape id="docshape820" o:spid="_x0000_s1482" style="position:absolute;left:0;text-align:left;margin-left:468.95pt;margin-top:.35pt;width:15.9pt;height:23.1pt;z-index:-251314688;mso-position-horizontal-relative:page" coordorigin="9379,7" coordsize="318,462" path="m9696,228r-45,l9651,7r-272,l9379,228r,20l9379,469r317,l9696,228xe" fillcolor="black" stroked="f">
            <v:path arrowok="t"/>
            <w10:wrap anchorx="page"/>
          </v:shape>
        </w:pict>
      </w:r>
      <w:r>
        <w:rPr>
          <w:color w:val="5E5E5E"/>
          <w:sz w:val="18"/>
          <w:vertAlign w:val="superscript"/>
        </w:rPr>
        <w:t>399</w:t>
      </w:r>
      <w:r>
        <w:rPr>
          <w:color w:val="5E5E5E"/>
          <w:spacing w:val="-2"/>
          <w:sz w:val="18"/>
        </w:rPr>
        <w:t xml:space="preserve"> </w:t>
      </w:r>
      <w:r>
        <w:rPr>
          <w:spacing w:val="-10"/>
          <w:sz w:val="18"/>
        </w:rPr>
        <w:t>[</w:t>
      </w:r>
      <w:r>
        <w:rPr>
          <w:sz w:val="18"/>
        </w:rPr>
        <w:tab/>
      </w:r>
      <w:r>
        <w:rPr>
          <w:color w:val="5E5E5E"/>
          <w:sz w:val="18"/>
        </w:rPr>
        <w:t>(Exhibit</w:t>
      </w:r>
      <w:r>
        <w:rPr>
          <w:color w:val="5E5E5E"/>
          <w:spacing w:val="-10"/>
          <w:sz w:val="18"/>
        </w:rPr>
        <w:t xml:space="preserve"> </w:t>
      </w:r>
      <w:r>
        <w:rPr>
          <w:color w:val="5E5E5E"/>
          <w:sz w:val="18"/>
        </w:rPr>
        <w:t>AUS‐29</w:t>
      </w:r>
      <w:r>
        <w:rPr>
          <w:color w:val="5E5E5E"/>
          <w:spacing w:val="-9"/>
          <w:sz w:val="18"/>
        </w:rPr>
        <w:t xml:space="preserve"> </w:t>
      </w:r>
      <w:r>
        <w:rPr>
          <w:color w:val="5E5E5E"/>
          <w:spacing w:val="-2"/>
          <w:sz w:val="18"/>
        </w:rPr>
        <w:t>(BCI)),</w:t>
      </w:r>
      <w:r>
        <w:rPr>
          <w:color w:val="5E5E5E"/>
          <w:sz w:val="18"/>
        </w:rPr>
        <w:tab/>
      </w:r>
      <w:r>
        <w:rPr>
          <w:color w:val="5E5E5E"/>
          <w:spacing w:val="-5"/>
          <w:sz w:val="18"/>
        </w:rPr>
        <w:t>.</w:t>
      </w:r>
      <w:r>
        <w:rPr>
          <w:spacing w:val="-5"/>
          <w:sz w:val="18"/>
        </w:rPr>
        <w:t>]]</w:t>
      </w:r>
    </w:p>
    <w:p w14:paraId="51DE88B5" w14:textId="77777777" w:rsidR="0010369C" w:rsidRDefault="008E43AE">
      <w:pPr>
        <w:tabs>
          <w:tab w:val="left" w:pos="6556"/>
          <w:tab w:val="left" w:pos="8536"/>
        </w:tabs>
        <w:spacing w:before="1"/>
        <w:ind w:left="238"/>
        <w:rPr>
          <w:sz w:val="18"/>
        </w:rPr>
      </w:pPr>
      <w:r>
        <w:rPr>
          <w:color w:val="5E5E5E"/>
          <w:sz w:val="18"/>
          <w:vertAlign w:val="superscript"/>
        </w:rPr>
        <w:t>400</w:t>
      </w:r>
      <w:r>
        <w:rPr>
          <w:color w:val="5E5E5E"/>
          <w:spacing w:val="-2"/>
          <w:sz w:val="18"/>
        </w:rPr>
        <w:t xml:space="preserve"> </w:t>
      </w:r>
      <w:r>
        <w:rPr>
          <w:spacing w:val="-10"/>
          <w:sz w:val="18"/>
        </w:rPr>
        <w:t>[</w:t>
      </w:r>
      <w:r>
        <w:rPr>
          <w:sz w:val="18"/>
        </w:rPr>
        <w:tab/>
      </w:r>
      <w:r>
        <w:rPr>
          <w:color w:val="5E5E5E"/>
          <w:sz w:val="18"/>
        </w:rPr>
        <w:t>(Exhibit</w:t>
      </w:r>
      <w:r>
        <w:rPr>
          <w:color w:val="5E5E5E"/>
          <w:spacing w:val="-10"/>
          <w:sz w:val="18"/>
        </w:rPr>
        <w:t xml:space="preserve"> </w:t>
      </w:r>
      <w:r>
        <w:rPr>
          <w:color w:val="5E5E5E"/>
          <w:sz w:val="18"/>
        </w:rPr>
        <w:t>AUS‐29</w:t>
      </w:r>
      <w:r>
        <w:rPr>
          <w:color w:val="5E5E5E"/>
          <w:spacing w:val="-9"/>
          <w:sz w:val="18"/>
        </w:rPr>
        <w:t xml:space="preserve"> </w:t>
      </w:r>
      <w:r>
        <w:rPr>
          <w:color w:val="5E5E5E"/>
          <w:spacing w:val="-2"/>
          <w:sz w:val="18"/>
        </w:rPr>
        <w:t>(BCI)),</w:t>
      </w:r>
      <w:r>
        <w:rPr>
          <w:color w:val="5E5E5E"/>
          <w:sz w:val="18"/>
        </w:rPr>
        <w:tab/>
      </w:r>
      <w:r>
        <w:rPr>
          <w:spacing w:val="-5"/>
          <w:sz w:val="18"/>
        </w:rPr>
        <w:t>]]</w:t>
      </w:r>
    </w:p>
    <w:p w14:paraId="51DE88B6" w14:textId="77777777" w:rsidR="0010369C" w:rsidRDefault="008E43AE">
      <w:pPr>
        <w:ind w:left="238"/>
        <w:rPr>
          <w:sz w:val="18"/>
        </w:rPr>
      </w:pPr>
      <w:r>
        <w:rPr>
          <w:sz w:val="18"/>
          <w:vertAlign w:val="superscript"/>
        </w:rPr>
        <w:t>401</w:t>
      </w:r>
      <w:r>
        <w:rPr>
          <w:spacing w:val="-9"/>
          <w:sz w:val="18"/>
        </w:rPr>
        <w:t xml:space="preserve"> </w:t>
      </w:r>
      <w:r>
        <w:rPr>
          <w:sz w:val="18"/>
        </w:rPr>
        <w:t>Anti‐Dumping</w:t>
      </w:r>
      <w:r>
        <w:rPr>
          <w:spacing w:val="-9"/>
          <w:sz w:val="18"/>
        </w:rPr>
        <w:t xml:space="preserve"> </w:t>
      </w:r>
      <w:r>
        <w:rPr>
          <w:sz w:val="18"/>
        </w:rPr>
        <w:t>Final</w:t>
      </w:r>
      <w:r>
        <w:rPr>
          <w:spacing w:val="-9"/>
          <w:sz w:val="18"/>
        </w:rPr>
        <w:t xml:space="preserve"> </w:t>
      </w:r>
      <w:r>
        <w:rPr>
          <w:sz w:val="18"/>
        </w:rPr>
        <w:t>Determination</w:t>
      </w:r>
      <w:r>
        <w:rPr>
          <w:spacing w:val="-8"/>
          <w:sz w:val="18"/>
        </w:rPr>
        <w:t xml:space="preserve"> </w:t>
      </w:r>
      <w:r>
        <w:rPr>
          <w:sz w:val="18"/>
        </w:rPr>
        <w:t>(Exhibit</w:t>
      </w:r>
      <w:r>
        <w:rPr>
          <w:spacing w:val="-9"/>
          <w:sz w:val="18"/>
        </w:rPr>
        <w:t xml:space="preserve"> </w:t>
      </w:r>
      <w:r>
        <w:rPr>
          <w:sz w:val="18"/>
        </w:rPr>
        <w:t>AUS‐2),</w:t>
      </w:r>
      <w:r>
        <w:rPr>
          <w:spacing w:val="-9"/>
          <w:sz w:val="18"/>
        </w:rPr>
        <w:t xml:space="preserve"> </w:t>
      </w:r>
      <w:r>
        <w:rPr>
          <w:sz w:val="18"/>
        </w:rPr>
        <w:t>p.</w:t>
      </w:r>
      <w:r>
        <w:rPr>
          <w:spacing w:val="-9"/>
          <w:sz w:val="18"/>
        </w:rPr>
        <w:t xml:space="preserve"> </w:t>
      </w:r>
      <w:r>
        <w:rPr>
          <w:spacing w:val="-5"/>
          <w:sz w:val="18"/>
        </w:rPr>
        <w:t>83.</w:t>
      </w:r>
    </w:p>
    <w:p w14:paraId="51DE88B7" w14:textId="77777777" w:rsidR="0010369C" w:rsidRDefault="008E43AE">
      <w:pPr>
        <w:ind w:left="238"/>
        <w:rPr>
          <w:sz w:val="18"/>
        </w:rPr>
      </w:pPr>
      <w:r>
        <w:rPr>
          <w:sz w:val="18"/>
          <w:vertAlign w:val="superscript"/>
        </w:rPr>
        <w:t>402</w:t>
      </w:r>
      <w:r>
        <w:rPr>
          <w:spacing w:val="-5"/>
          <w:sz w:val="18"/>
        </w:rPr>
        <w:t xml:space="preserve"> </w:t>
      </w:r>
      <w:r>
        <w:rPr>
          <w:sz w:val="18"/>
        </w:rPr>
        <w:t>Panel</w:t>
      </w:r>
      <w:r>
        <w:rPr>
          <w:spacing w:val="-5"/>
          <w:sz w:val="18"/>
        </w:rPr>
        <w:t xml:space="preserve"> </w:t>
      </w:r>
      <w:r>
        <w:rPr>
          <w:sz w:val="18"/>
        </w:rPr>
        <w:t>Report,</w:t>
      </w:r>
      <w:r>
        <w:rPr>
          <w:spacing w:val="-5"/>
          <w:sz w:val="18"/>
        </w:rPr>
        <w:t xml:space="preserve"> </w:t>
      </w:r>
      <w:r>
        <w:rPr>
          <w:i/>
          <w:sz w:val="18"/>
        </w:rPr>
        <w:t>US</w:t>
      </w:r>
      <w:r>
        <w:rPr>
          <w:i/>
          <w:spacing w:val="-4"/>
          <w:sz w:val="18"/>
        </w:rPr>
        <w:t xml:space="preserve"> </w:t>
      </w:r>
      <w:r>
        <w:rPr>
          <w:i/>
          <w:sz w:val="18"/>
        </w:rPr>
        <w:t>–</w:t>
      </w:r>
      <w:r>
        <w:rPr>
          <w:i/>
          <w:spacing w:val="-4"/>
          <w:sz w:val="18"/>
        </w:rPr>
        <w:t xml:space="preserve"> </w:t>
      </w:r>
      <w:r>
        <w:rPr>
          <w:i/>
          <w:sz w:val="18"/>
        </w:rPr>
        <w:t>Steel</w:t>
      </w:r>
      <w:r>
        <w:rPr>
          <w:i/>
          <w:spacing w:val="-7"/>
          <w:sz w:val="18"/>
        </w:rPr>
        <w:t xml:space="preserve"> </w:t>
      </w:r>
      <w:r>
        <w:rPr>
          <w:i/>
          <w:sz w:val="18"/>
        </w:rPr>
        <w:t>Plate</w:t>
      </w:r>
      <w:r>
        <w:rPr>
          <w:sz w:val="18"/>
        </w:rPr>
        <w:t>,</w:t>
      </w:r>
      <w:r>
        <w:rPr>
          <w:spacing w:val="-5"/>
          <w:sz w:val="18"/>
        </w:rPr>
        <w:t xml:space="preserve"> </w:t>
      </w:r>
      <w:r>
        <w:rPr>
          <w:sz w:val="18"/>
        </w:rPr>
        <w:t>para.</w:t>
      </w:r>
      <w:r>
        <w:rPr>
          <w:spacing w:val="-4"/>
          <w:sz w:val="18"/>
        </w:rPr>
        <w:t xml:space="preserve"> </w:t>
      </w:r>
      <w:r>
        <w:rPr>
          <w:sz w:val="18"/>
        </w:rPr>
        <w:t>7.58;</w:t>
      </w:r>
      <w:r>
        <w:rPr>
          <w:spacing w:val="-6"/>
          <w:sz w:val="18"/>
        </w:rPr>
        <w:t xml:space="preserve"> </w:t>
      </w:r>
      <w:r>
        <w:rPr>
          <w:sz w:val="18"/>
        </w:rPr>
        <w:t>see</w:t>
      </w:r>
      <w:r>
        <w:rPr>
          <w:spacing w:val="-5"/>
          <w:sz w:val="18"/>
        </w:rPr>
        <w:t xml:space="preserve"> </w:t>
      </w:r>
      <w:r>
        <w:rPr>
          <w:sz w:val="18"/>
        </w:rPr>
        <w:t>also</w:t>
      </w:r>
      <w:r>
        <w:rPr>
          <w:spacing w:val="-5"/>
          <w:sz w:val="18"/>
        </w:rPr>
        <w:t xml:space="preserve"> </w:t>
      </w:r>
      <w:r>
        <w:rPr>
          <w:sz w:val="18"/>
        </w:rPr>
        <w:t>section</w:t>
      </w:r>
      <w:r>
        <w:rPr>
          <w:spacing w:val="-5"/>
          <w:sz w:val="18"/>
        </w:rPr>
        <w:t xml:space="preserve"> </w:t>
      </w:r>
      <w:r>
        <w:rPr>
          <w:spacing w:val="-2"/>
          <w:sz w:val="18"/>
        </w:rPr>
        <w:t>II.B.1(b).</w:t>
      </w:r>
    </w:p>
    <w:p w14:paraId="51DE88B8" w14:textId="77777777" w:rsidR="0010369C" w:rsidRDefault="008E43AE">
      <w:pPr>
        <w:ind w:left="238"/>
        <w:rPr>
          <w:sz w:val="18"/>
        </w:rPr>
      </w:pPr>
      <w:r>
        <w:rPr>
          <w:sz w:val="18"/>
          <w:vertAlign w:val="superscript"/>
        </w:rPr>
        <w:t>403</w:t>
      </w:r>
      <w:r>
        <w:rPr>
          <w:spacing w:val="-5"/>
          <w:sz w:val="18"/>
        </w:rPr>
        <w:t xml:space="preserve"> </w:t>
      </w:r>
      <w:r>
        <w:rPr>
          <w:sz w:val="18"/>
        </w:rPr>
        <w:t>See</w:t>
      </w:r>
      <w:r>
        <w:rPr>
          <w:spacing w:val="-5"/>
          <w:sz w:val="18"/>
        </w:rPr>
        <w:t xml:space="preserve"> </w:t>
      </w:r>
      <w:r>
        <w:rPr>
          <w:sz w:val="18"/>
        </w:rPr>
        <w:t>Panel</w:t>
      </w:r>
      <w:r>
        <w:rPr>
          <w:spacing w:val="-5"/>
          <w:sz w:val="18"/>
        </w:rPr>
        <w:t xml:space="preserve"> </w:t>
      </w:r>
      <w:r>
        <w:rPr>
          <w:sz w:val="18"/>
        </w:rPr>
        <w:t>Report,</w:t>
      </w:r>
      <w:r>
        <w:rPr>
          <w:spacing w:val="-4"/>
          <w:sz w:val="18"/>
        </w:rPr>
        <w:t xml:space="preserve"> </w:t>
      </w:r>
      <w:r>
        <w:rPr>
          <w:i/>
          <w:sz w:val="18"/>
        </w:rPr>
        <w:t>US</w:t>
      </w:r>
      <w:r>
        <w:rPr>
          <w:i/>
          <w:spacing w:val="-4"/>
          <w:sz w:val="18"/>
        </w:rPr>
        <w:t xml:space="preserve"> </w:t>
      </w:r>
      <w:r>
        <w:rPr>
          <w:i/>
          <w:sz w:val="18"/>
        </w:rPr>
        <w:t>–</w:t>
      </w:r>
      <w:r>
        <w:rPr>
          <w:i/>
          <w:spacing w:val="-4"/>
          <w:sz w:val="18"/>
        </w:rPr>
        <w:t xml:space="preserve"> </w:t>
      </w:r>
      <w:r>
        <w:rPr>
          <w:i/>
          <w:sz w:val="18"/>
        </w:rPr>
        <w:t>Steel</w:t>
      </w:r>
      <w:r>
        <w:rPr>
          <w:i/>
          <w:spacing w:val="-5"/>
          <w:sz w:val="18"/>
        </w:rPr>
        <w:t xml:space="preserve"> </w:t>
      </w:r>
      <w:r>
        <w:rPr>
          <w:i/>
          <w:sz w:val="18"/>
        </w:rPr>
        <w:t>Plate</w:t>
      </w:r>
      <w:r>
        <w:rPr>
          <w:sz w:val="18"/>
        </w:rPr>
        <w:t>,</w:t>
      </w:r>
      <w:r>
        <w:rPr>
          <w:spacing w:val="-6"/>
          <w:sz w:val="18"/>
        </w:rPr>
        <w:t xml:space="preserve"> </w:t>
      </w:r>
      <w:r>
        <w:rPr>
          <w:sz w:val="18"/>
        </w:rPr>
        <w:t>para.</w:t>
      </w:r>
      <w:r>
        <w:rPr>
          <w:spacing w:val="-4"/>
          <w:sz w:val="18"/>
        </w:rPr>
        <w:t xml:space="preserve"> </w:t>
      </w:r>
      <w:r>
        <w:rPr>
          <w:spacing w:val="-2"/>
          <w:sz w:val="18"/>
        </w:rPr>
        <w:t>7.65.</w:t>
      </w:r>
    </w:p>
    <w:p w14:paraId="51DE88B9" w14:textId="77777777" w:rsidR="0010369C" w:rsidRDefault="0010369C">
      <w:pPr>
        <w:rPr>
          <w:sz w:val="18"/>
        </w:rPr>
        <w:sectPr w:rsidR="0010369C">
          <w:headerReference w:type="default" r:id="rId510"/>
          <w:footerReference w:type="default" r:id="rId511"/>
          <w:pgSz w:w="11910" w:h="16840"/>
          <w:pgMar w:top="880" w:right="800" w:bottom="980" w:left="1180" w:header="569" w:footer="788" w:gutter="0"/>
          <w:cols w:space="720"/>
        </w:sectPr>
      </w:pPr>
    </w:p>
    <w:p w14:paraId="51DE88BA" w14:textId="77777777" w:rsidR="0010369C" w:rsidRDefault="008E43AE">
      <w:pPr>
        <w:tabs>
          <w:tab w:val="left" w:pos="6426"/>
        </w:tabs>
        <w:ind w:left="238"/>
        <w:rPr>
          <w:sz w:val="20"/>
        </w:rPr>
      </w:pPr>
      <w:r>
        <w:rPr>
          <w:i/>
          <w:sz w:val="20"/>
        </w:rPr>
        <w:lastRenderedPageBreak/>
        <w:t>China</w:t>
      </w:r>
      <w:r>
        <w:rPr>
          <w:i/>
          <w:spacing w:val="-5"/>
          <w:sz w:val="20"/>
        </w:rPr>
        <w:t xml:space="preserve"> </w:t>
      </w:r>
      <w:r>
        <w:rPr>
          <w:i/>
          <w:sz w:val="20"/>
        </w:rPr>
        <w:t>–</w:t>
      </w:r>
      <w:r>
        <w:rPr>
          <w:i/>
          <w:spacing w:val="-5"/>
          <w:sz w:val="20"/>
        </w:rPr>
        <w:t xml:space="preserve"> </w:t>
      </w:r>
      <w:r>
        <w:rPr>
          <w:i/>
          <w:sz w:val="20"/>
        </w:rPr>
        <w:t>Anti‐Dumping</w:t>
      </w:r>
      <w:r>
        <w:rPr>
          <w:i/>
          <w:spacing w:val="-4"/>
          <w:sz w:val="20"/>
        </w:rPr>
        <w:t xml:space="preserve"> </w:t>
      </w:r>
      <w:r>
        <w:rPr>
          <w:i/>
          <w:sz w:val="20"/>
        </w:rPr>
        <w:t>and</w:t>
      </w:r>
      <w:r>
        <w:rPr>
          <w:i/>
          <w:spacing w:val="-5"/>
          <w:sz w:val="20"/>
        </w:rPr>
        <w:t xml:space="preserve"> </w:t>
      </w:r>
      <w:r>
        <w:rPr>
          <w:i/>
          <w:sz w:val="20"/>
        </w:rPr>
        <w:t>Countervailing</w:t>
      </w:r>
      <w:r>
        <w:rPr>
          <w:i/>
          <w:spacing w:val="-5"/>
          <w:sz w:val="20"/>
        </w:rPr>
        <w:t xml:space="preserve"> </w:t>
      </w:r>
      <w:r>
        <w:rPr>
          <w:i/>
          <w:sz w:val="20"/>
        </w:rPr>
        <w:t>Duty</w:t>
      </w:r>
      <w:r>
        <w:rPr>
          <w:i/>
          <w:spacing w:val="-4"/>
          <w:sz w:val="20"/>
        </w:rPr>
        <w:t xml:space="preserve"> </w:t>
      </w:r>
      <w:r>
        <w:rPr>
          <w:i/>
          <w:spacing w:val="-2"/>
          <w:sz w:val="20"/>
        </w:rPr>
        <w:t>Measures</w:t>
      </w:r>
      <w:r>
        <w:rPr>
          <w:i/>
          <w:sz w:val="20"/>
        </w:rPr>
        <w:tab/>
      </w:r>
      <w:r>
        <w:rPr>
          <w:sz w:val="20"/>
        </w:rPr>
        <w:t>Australia's</w:t>
      </w:r>
      <w:r>
        <w:rPr>
          <w:spacing w:val="-7"/>
          <w:sz w:val="20"/>
        </w:rPr>
        <w:t xml:space="preserve"> </w:t>
      </w:r>
      <w:r>
        <w:rPr>
          <w:sz w:val="20"/>
        </w:rPr>
        <w:t>First</w:t>
      </w:r>
      <w:r>
        <w:rPr>
          <w:spacing w:val="-2"/>
          <w:sz w:val="20"/>
        </w:rPr>
        <w:t xml:space="preserve"> </w:t>
      </w:r>
      <w:r>
        <w:rPr>
          <w:sz w:val="20"/>
        </w:rPr>
        <w:t>Written</w:t>
      </w:r>
      <w:r>
        <w:rPr>
          <w:spacing w:val="-2"/>
          <w:sz w:val="20"/>
        </w:rPr>
        <w:t xml:space="preserve"> Submission</w:t>
      </w:r>
    </w:p>
    <w:p w14:paraId="51DE88BB" w14:textId="77777777" w:rsidR="0010369C" w:rsidRDefault="008E43AE">
      <w:pPr>
        <w:tabs>
          <w:tab w:val="left" w:pos="8228"/>
        </w:tabs>
        <w:spacing w:before="1"/>
        <w:ind w:left="239"/>
        <w:rPr>
          <w:sz w:val="20"/>
        </w:rPr>
      </w:pPr>
      <w:r>
        <w:rPr>
          <w:i/>
          <w:sz w:val="20"/>
        </w:rPr>
        <w:t>on</w:t>
      </w:r>
      <w:r>
        <w:rPr>
          <w:i/>
          <w:spacing w:val="-1"/>
          <w:sz w:val="20"/>
        </w:rPr>
        <w:t xml:space="preserve"> </w:t>
      </w:r>
      <w:r>
        <w:rPr>
          <w:i/>
          <w:sz w:val="20"/>
        </w:rPr>
        <w:t>Wine</w:t>
      </w:r>
      <w:r>
        <w:rPr>
          <w:i/>
          <w:spacing w:val="-1"/>
          <w:sz w:val="20"/>
        </w:rPr>
        <w:t xml:space="preserve"> </w:t>
      </w:r>
      <w:r>
        <w:rPr>
          <w:i/>
          <w:sz w:val="20"/>
        </w:rPr>
        <w:t>from</w:t>
      </w:r>
      <w:r>
        <w:rPr>
          <w:i/>
          <w:spacing w:val="-3"/>
          <w:sz w:val="20"/>
        </w:rPr>
        <w:t xml:space="preserve"> </w:t>
      </w:r>
      <w:r>
        <w:rPr>
          <w:i/>
          <w:sz w:val="20"/>
        </w:rPr>
        <w:t>Australia</w:t>
      </w:r>
      <w:r>
        <w:rPr>
          <w:i/>
          <w:spacing w:val="-1"/>
          <w:sz w:val="20"/>
        </w:rPr>
        <w:t xml:space="preserve"> </w:t>
      </w:r>
      <w:r>
        <w:rPr>
          <w:spacing w:val="-2"/>
          <w:sz w:val="20"/>
        </w:rPr>
        <w:t>(DS602)</w:t>
      </w:r>
      <w:r>
        <w:rPr>
          <w:sz w:val="20"/>
        </w:rPr>
        <w:tab/>
        <w:t>29</w:t>
      </w:r>
      <w:r>
        <w:rPr>
          <w:spacing w:val="-1"/>
          <w:sz w:val="20"/>
        </w:rPr>
        <w:t xml:space="preserve"> </w:t>
      </w:r>
      <w:r>
        <w:rPr>
          <w:sz w:val="20"/>
        </w:rPr>
        <w:t>April</w:t>
      </w:r>
      <w:r>
        <w:rPr>
          <w:spacing w:val="-2"/>
          <w:sz w:val="20"/>
        </w:rPr>
        <w:t xml:space="preserve"> </w:t>
      </w:r>
      <w:r>
        <w:rPr>
          <w:spacing w:val="-4"/>
          <w:sz w:val="20"/>
        </w:rPr>
        <w:t>2022</w:t>
      </w:r>
    </w:p>
    <w:p w14:paraId="51DE88BC" w14:textId="77777777" w:rsidR="0010369C" w:rsidRDefault="008E43AE">
      <w:pPr>
        <w:pStyle w:val="BodyText"/>
        <w:spacing w:before="34" w:line="360" w:lineRule="auto"/>
        <w:ind w:left="238" w:right="611"/>
      </w:pPr>
      <w:r>
        <w:t>basis, had formed the view that Casella Wines' consumption data could not be reconciled,</w:t>
      </w:r>
      <w:r>
        <w:rPr>
          <w:spacing w:val="80"/>
        </w:rPr>
        <w:t xml:space="preserve"> </w:t>
      </w:r>
      <w:r>
        <w:t>when the evidentiary record demonstrates that it could be.</w:t>
      </w:r>
    </w:p>
    <w:p w14:paraId="51DE88BD" w14:textId="77777777" w:rsidR="0010369C" w:rsidRDefault="0010369C">
      <w:pPr>
        <w:pStyle w:val="BodyText"/>
        <w:spacing w:before="10"/>
        <w:rPr>
          <w:sz w:val="8"/>
        </w:rPr>
      </w:pPr>
    </w:p>
    <w:p w14:paraId="51DE88BE" w14:textId="77777777" w:rsidR="0010369C" w:rsidRDefault="008E43AE">
      <w:pPr>
        <w:pStyle w:val="BodyText"/>
        <w:spacing w:before="52" w:line="360" w:lineRule="auto"/>
        <w:ind w:left="237" w:right="614" w:firstLine="852"/>
        <w:jc w:val="both"/>
      </w:pPr>
      <w:r>
        <w:rPr>
          <w:noProof/>
        </w:rPr>
        <w:drawing>
          <wp:anchor distT="0" distB="0" distL="0" distR="0" simplePos="0" relativeHeight="251016704" behindDoc="1" locked="0" layoutInCell="1" allowOverlap="1" wp14:anchorId="51DEA270" wp14:editId="51DEA271">
            <wp:simplePos x="0" y="0"/>
            <wp:positionH relativeFrom="page">
              <wp:posOffset>905255</wp:posOffset>
            </wp:positionH>
            <wp:positionV relativeFrom="paragraph">
              <wp:posOffset>76785</wp:posOffset>
            </wp:positionV>
            <wp:extent cx="259079" cy="106679"/>
            <wp:effectExtent l="0" t="0" r="0" b="0"/>
            <wp:wrapNone/>
            <wp:docPr id="743" name="image3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 name="image382.png"/>
                    <pic:cNvPicPr/>
                  </pic:nvPicPr>
                  <pic:blipFill>
                    <a:blip r:embed="rId512" cstate="print"/>
                    <a:stretch>
                      <a:fillRect/>
                    </a:stretch>
                  </pic:blipFill>
                  <pic:spPr>
                    <a:xfrm>
                      <a:off x="0" y="0"/>
                      <a:ext cx="259079" cy="106679"/>
                    </a:xfrm>
                    <a:prstGeom prst="rect">
                      <a:avLst/>
                    </a:prstGeom>
                  </pic:spPr>
                </pic:pic>
              </a:graphicData>
            </a:graphic>
          </wp:anchor>
        </w:drawing>
      </w:r>
      <w:r>
        <w:t>MOFCOM</w:t>
      </w:r>
      <w:r>
        <w:rPr>
          <w:spacing w:val="-3"/>
        </w:rPr>
        <w:t xml:space="preserve"> </w:t>
      </w:r>
      <w:r>
        <w:t>was</w:t>
      </w:r>
      <w:r>
        <w:rPr>
          <w:spacing w:val="-4"/>
        </w:rPr>
        <w:t xml:space="preserve"> </w:t>
      </w:r>
      <w:r>
        <w:t>obliged</w:t>
      </w:r>
      <w:r>
        <w:rPr>
          <w:spacing w:val="-4"/>
        </w:rPr>
        <w:t xml:space="preserve"> </w:t>
      </w:r>
      <w:r>
        <w:t>by</w:t>
      </w:r>
      <w:r>
        <w:rPr>
          <w:spacing w:val="-3"/>
        </w:rPr>
        <w:t xml:space="preserve"> </w:t>
      </w:r>
      <w:r>
        <w:t>paragraph</w:t>
      </w:r>
      <w:r>
        <w:rPr>
          <w:spacing w:val="-3"/>
        </w:rPr>
        <w:t xml:space="preserve"> </w:t>
      </w:r>
      <w:r>
        <w:t>5</w:t>
      </w:r>
      <w:r>
        <w:rPr>
          <w:spacing w:val="-4"/>
        </w:rPr>
        <w:t xml:space="preserve"> </w:t>
      </w:r>
      <w:r>
        <w:t>of</w:t>
      </w:r>
      <w:r>
        <w:rPr>
          <w:spacing w:val="-4"/>
        </w:rPr>
        <w:t xml:space="preserve"> </w:t>
      </w:r>
      <w:r>
        <w:t>Annex</w:t>
      </w:r>
      <w:r>
        <w:rPr>
          <w:spacing w:val="-4"/>
        </w:rPr>
        <w:t xml:space="preserve"> </w:t>
      </w:r>
      <w:r>
        <w:t>II</w:t>
      </w:r>
      <w:r>
        <w:rPr>
          <w:spacing w:val="-3"/>
        </w:rPr>
        <w:t xml:space="preserve"> </w:t>
      </w:r>
      <w:r>
        <w:t>to</w:t>
      </w:r>
      <w:r>
        <w:rPr>
          <w:spacing w:val="-3"/>
        </w:rPr>
        <w:t xml:space="preserve"> </w:t>
      </w:r>
      <w:r>
        <w:t>use</w:t>
      </w:r>
      <w:r>
        <w:rPr>
          <w:spacing w:val="-3"/>
        </w:rPr>
        <w:t xml:space="preserve"> </w:t>
      </w:r>
      <w:r>
        <w:t>the</w:t>
      </w:r>
      <w:r>
        <w:rPr>
          <w:spacing w:val="-3"/>
        </w:rPr>
        <w:t xml:space="preserve"> </w:t>
      </w:r>
      <w:r>
        <w:t>information</w:t>
      </w:r>
      <w:r>
        <w:rPr>
          <w:spacing w:val="-3"/>
        </w:rPr>
        <w:t xml:space="preserve"> </w:t>
      </w:r>
      <w:r>
        <w:t>provided</w:t>
      </w:r>
      <w:r>
        <w:rPr>
          <w:spacing w:val="-4"/>
        </w:rPr>
        <w:t xml:space="preserve"> </w:t>
      </w:r>
      <w:r>
        <w:t>to it, even if not ideal in all respects, provided Casella Wines had acted to the best of its ability. Casella Wines had provided complete data, with full explanations regarding how it could be reconciled with different data</w:t>
      </w:r>
      <w:r>
        <w:t>sets. Accordingly, MOFCOM had no proper basis to refuse to make use of it.</w:t>
      </w:r>
    </w:p>
    <w:p w14:paraId="51DE88BF" w14:textId="77777777" w:rsidR="0010369C" w:rsidRDefault="0010369C">
      <w:pPr>
        <w:pStyle w:val="BodyText"/>
        <w:spacing w:before="11"/>
        <w:rPr>
          <w:sz w:val="8"/>
        </w:rPr>
      </w:pPr>
    </w:p>
    <w:p w14:paraId="51DE88C0" w14:textId="77777777" w:rsidR="0010369C" w:rsidRDefault="008E43AE">
      <w:pPr>
        <w:pStyle w:val="BodyText"/>
        <w:spacing w:before="52" w:line="360" w:lineRule="auto"/>
        <w:ind w:left="237" w:right="613" w:firstLine="851"/>
        <w:jc w:val="both"/>
      </w:pPr>
      <w:r>
        <w:rPr>
          <w:noProof/>
        </w:rPr>
        <w:drawing>
          <wp:anchor distT="0" distB="0" distL="0" distR="0" simplePos="0" relativeHeight="251017728" behindDoc="1" locked="0" layoutInCell="1" allowOverlap="1" wp14:anchorId="51DEA272" wp14:editId="51DEA273">
            <wp:simplePos x="0" y="0"/>
            <wp:positionH relativeFrom="page">
              <wp:posOffset>905255</wp:posOffset>
            </wp:positionH>
            <wp:positionV relativeFrom="paragraph">
              <wp:posOffset>81949</wp:posOffset>
            </wp:positionV>
            <wp:extent cx="259079" cy="100753"/>
            <wp:effectExtent l="0" t="0" r="0" b="0"/>
            <wp:wrapNone/>
            <wp:docPr id="745" name="image3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 name="image383.png"/>
                    <pic:cNvPicPr/>
                  </pic:nvPicPr>
                  <pic:blipFill>
                    <a:blip r:embed="rId513" cstate="print"/>
                    <a:stretch>
                      <a:fillRect/>
                    </a:stretch>
                  </pic:blipFill>
                  <pic:spPr>
                    <a:xfrm>
                      <a:off x="0" y="0"/>
                      <a:ext cx="259079" cy="100753"/>
                    </a:xfrm>
                    <a:prstGeom prst="rect">
                      <a:avLst/>
                    </a:prstGeom>
                  </pic:spPr>
                </pic:pic>
              </a:graphicData>
            </a:graphic>
          </wp:anchor>
        </w:drawing>
      </w:r>
      <w:r>
        <w:t>Further, pursuant to paragraph 6 of Annex II, MOFCOM was obliged to consider the explanations and data provided by Casella Wines in response to the Preliminary Determination</w:t>
      </w:r>
      <w:r>
        <w:rPr>
          <w:spacing w:val="-12"/>
        </w:rPr>
        <w:t xml:space="preserve"> </w:t>
      </w:r>
      <w:r>
        <w:t>and,</w:t>
      </w:r>
      <w:r>
        <w:rPr>
          <w:spacing w:val="-12"/>
        </w:rPr>
        <w:t xml:space="preserve"> </w:t>
      </w:r>
      <w:r>
        <w:t>if</w:t>
      </w:r>
      <w:r>
        <w:rPr>
          <w:spacing w:val="-12"/>
        </w:rPr>
        <w:t xml:space="preserve"> </w:t>
      </w:r>
      <w:r>
        <w:t>they</w:t>
      </w:r>
      <w:r>
        <w:rPr>
          <w:spacing w:val="-12"/>
        </w:rPr>
        <w:t xml:space="preserve"> </w:t>
      </w:r>
      <w:r>
        <w:t>were</w:t>
      </w:r>
      <w:r>
        <w:rPr>
          <w:spacing w:val="-11"/>
        </w:rPr>
        <w:t xml:space="preserve"> </w:t>
      </w:r>
      <w:r>
        <w:t>not</w:t>
      </w:r>
      <w:r>
        <w:rPr>
          <w:spacing w:val="-12"/>
        </w:rPr>
        <w:t xml:space="preserve"> </w:t>
      </w:r>
      <w:r>
        <w:t>considered</w:t>
      </w:r>
      <w:r>
        <w:rPr>
          <w:spacing w:val="-13"/>
        </w:rPr>
        <w:t xml:space="preserve"> </w:t>
      </w:r>
      <w:r>
        <w:t>satisfactory,</w:t>
      </w:r>
      <w:r>
        <w:rPr>
          <w:spacing w:val="-13"/>
        </w:rPr>
        <w:t xml:space="preserve"> </w:t>
      </w:r>
      <w:r>
        <w:t>MOFCOM</w:t>
      </w:r>
      <w:r>
        <w:rPr>
          <w:spacing w:val="-12"/>
        </w:rPr>
        <w:t xml:space="preserve"> </w:t>
      </w:r>
      <w:r>
        <w:t>was</w:t>
      </w:r>
      <w:r>
        <w:rPr>
          <w:spacing w:val="-13"/>
        </w:rPr>
        <w:t xml:space="preserve"> </w:t>
      </w:r>
      <w:r>
        <w:t>obliged</w:t>
      </w:r>
      <w:r>
        <w:rPr>
          <w:spacing w:val="-12"/>
        </w:rPr>
        <w:t xml:space="preserve"> </w:t>
      </w:r>
      <w:r>
        <w:t>to</w:t>
      </w:r>
      <w:r>
        <w:rPr>
          <w:spacing w:val="-12"/>
        </w:rPr>
        <w:t xml:space="preserve"> </w:t>
      </w:r>
      <w:r>
        <w:t>provide reaso</w:t>
      </w:r>
      <w:r>
        <w:t>ns</w:t>
      </w:r>
      <w:r>
        <w:rPr>
          <w:spacing w:val="-6"/>
        </w:rPr>
        <w:t xml:space="preserve"> </w:t>
      </w:r>
      <w:r>
        <w:t>for</w:t>
      </w:r>
      <w:r>
        <w:rPr>
          <w:spacing w:val="-5"/>
        </w:rPr>
        <w:t xml:space="preserve"> </w:t>
      </w:r>
      <w:r>
        <w:t>the</w:t>
      </w:r>
      <w:r>
        <w:rPr>
          <w:spacing w:val="-5"/>
        </w:rPr>
        <w:t xml:space="preserve"> </w:t>
      </w:r>
      <w:r>
        <w:t>rejection</w:t>
      </w:r>
      <w:r>
        <w:rPr>
          <w:spacing w:val="-6"/>
        </w:rPr>
        <w:t xml:space="preserve"> </w:t>
      </w:r>
      <w:r>
        <w:t>of</w:t>
      </w:r>
      <w:r>
        <w:rPr>
          <w:spacing w:val="-5"/>
        </w:rPr>
        <w:t xml:space="preserve"> </w:t>
      </w:r>
      <w:r>
        <w:t>the</w:t>
      </w:r>
      <w:r>
        <w:rPr>
          <w:spacing w:val="-5"/>
        </w:rPr>
        <w:t xml:space="preserve"> </w:t>
      </w:r>
      <w:r>
        <w:t>evidence</w:t>
      </w:r>
      <w:r>
        <w:rPr>
          <w:spacing w:val="-5"/>
        </w:rPr>
        <w:t xml:space="preserve"> </w:t>
      </w:r>
      <w:r>
        <w:t>and</w:t>
      </w:r>
      <w:r>
        <w:rPr>
          <w:spacing w:val="-5"/>
        </w:rPr>
        <w:t xml:space="preserve"> </w:t>
      </w:r>
      <w:r>
        <w:t>information</w:t>
      </w:r>
      <w:r>
        <w:rPr>
          <w:spacing w:val="-5"/>
        </w:rPr>
        <w:t xml:space="preserve"> </w:t>
      </w:r>
      <w:r>
        <w:t>in</w:t>
      </w:r>
      <w:r>
        <w:rPr>
          <w:spacing w:val="-5"/>
        </w:rPr>
        <w:t xml:space="preserve"> </w:t>
      </w:r>
      <w:r>
        <w:t>its</w:t>
      </w:r>
      <w:r>
        <w:rPr>
          <w:spacing w:val="-5"/>
        </w:rPr>
        <w:t xml:space="preserve"> </w:t>
      </w:r>
      <w:r>
        <w:t>published</w:t>
      </w:r>
      <w:r>
        <w:rPr>
          <w:spacing w:val="-4"/>
        </w:rPr>
        <w:t xml:space="preserve"> </w:t>
      </w:r>
      <w:r>
        <w:t>determinations</w:t>
      </w:r>
      <w:r>
        <w:rPr>
          <w:spacing w:val="-5"/>
        </w:rPr>
        <w:t xml:space="preserve"> </w:t>
      </w:r>
      <w:r>
        <w:t>and provide an opportunity for interested parties to give an explanation. It did not do so.</w:t>
      </w:r>
    </w:p>
    <w:p w14:paraId="51DE88C1" w14:textId="77777777" w:rsidR="0010369C" w:rsidRDefault="0010369C">
      <w:pPr>
        <w:pStyle w:val="BodyText"/>
        <w:spacing w:before="10"/>
        <w:rPr>
          <w:sz w:val="8"/>
        </w:rPr>
      </w:pPr>
    </w:p>
    <w:p w14:paraId="51DE88C2" w14:textId="77777777" w:rsidR="0010369C" w:rsidRDefault="008E43AE">
      <w:pPr>
        <w:pStyle w:val="BodyText"/>
        <w:spacing w:before="52" w:line="360" w:lineRule="auto"/>
        <w:ind w:left="238" w:right="612" w:firstLine="851"/>
        <w:jc w:val="both"/>
      </w:pPr>
      <w:r>
        <w:rPr>
          <w:noProof/>
        </w:rPr>
        <w:drawing>
          <wp:anchor distT="0" distB="0" distL="0" distR="0" simplePos="0" relativeHeight="251018752" behindDoc="1" locked="0" layoutInCell="1" allowOverlap="1" wp14:anchorId="51DEA274" wp14:editId="51DEA275">
            <wp:simplePos x="0" y="0"/>
            <wp:positionH relativeFrom="page">
              <wp:posOffset>905255</wp:posOffset>
            </wp:positionH>
            <wp:positionV relativeFrom="paragraph">
              <wp:posOffset>81950</wp:posOffset>
            </wp:positionV>
            <wp:extent cx="259079" cy="100753"/>
            <wp:effectExtent l="0" t="0" r="0" b="0"/>
            <wp:wrapNone/>
            <wp:docPr id="747" name="image3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 name="image384.png"/>
                    <pic:cNvPicPr/>
                  </pic:nvPicPr>
                  <pic:blipFill>
                    <a:blip r:embed="rId514" cstate="print"/>
                    <a:stretch>
                      <a:fillRect/>
                    </a:stretch>
                  </pic:blipFill>
                  <pic:spPr>
                    <a:xfrm>
                      <a:off x="0" y="0"/>
                      <a:ext cx="259079" cy="100753"/>
                    </a:xfrm>
                    <a:prstGeom prst="rect">
                      <a:avLst/>
                    </a:prstGeom>
                  </pic:spPr>
                </pic:pic>
              </a:graphicData>
            </a:graphic>
          </wp:anchor>
        </w:drawing>
      </w:r>
      <w:r>
        <w:t>For</w:t>
      </w:r>
      <w:r>
        <w:rPr>
          <w:spacing w:val="-4"/>
        </w:rPr>
        <w:t xml:space="preserve"> </w:t>
      </w:r>
      <w:r>
        <w:t>the</w:t>
      </w:r>
      <w:r>
        <w:rPr>
          <w:spacing w:val="-4"/>
        </w:rPr>
        <w:t xml:space="preserve"> </w:t>
      </w:r>
      <w:r>
        <w:t>foregoing</w:t>
      </w:r>
      <w:r>
        <w:rPr>
          <w:spacing w:val="-5"/>
        </w:rPr>
        <w:t xml:space="preserve"> </w:t>
      </w:r>
      <w:r>
        <w:t>reasons,</w:t>
      </w:r>
      <w:r>
        <w:rPr>
          <w:spacing w:val="-5"/>
        </w:rPr>
        <w:t xml:space="preserve"> </w:t>
      </w:r>
      <w:r>
        <w:t>MOFCOM</w:t>
      </w:r>
      <w:r>
        <w:rPr>
          <w:spacing w:val="-6"/>
        </w:rPr>
        <w:t xml:space="preserve"> </w:t>
      </w:r>
      <w:r>
        <w:t>erred</w:t>
      </w:r>
      <w:r>
        <w:rPr>
          <w:spacing w:val="-6"/>
        </w:rPr>
        <w:t xml:space="preserve"> </w:t>
      </w:r>
      <w:r>
        <w:t>when</w:t>
      </w:r>
      <w:r>
        <w:rPr>
          <w:spacing w:val="-6"/>
        </w:rPr>
        <w:t xml:space="preserve"> </w:t>
      </w:r>
      <w:r>
        <w:t>claiming</w:t>
      </w:r>
      <w:r>
        <w:rPr>
          <w:spacing w:val="-5"/>
        </w:rPr>
        <w:t xml:space="preserve"> </w:t>
      </w:r>
      <w:r>
        <w:t>Forms</w:t>
      </w:r>
      <w:r>
        <w:rPr>
          <w:spacing w:val="-5"/>
        </w:rPr>
        <w:t xml:space="preserve"> </w:t>
      </w:r>
      <w:r>
        <w:t>6‐4</w:t>
      </w:r>
      <w:r>
        <w:rPr>
          <w:spacing w:val="-6"/>
        </w:rPr>
        <w:t xml:space="preserve"> </w:t>
      </w:r>
      <w:r>
        <w:t>and</w:t>
      </w:r>
      <w:r>
        <w:rPr>
          <w:spacing w:val="-5"/>
        </w:rPr>
        <w:t xml:space="preserve"> </w:t>
      </w:r>
      <w:r>
        <w:t>6‐1‐2</w:t>
      </w:r>
      <w:r>
        <w:rPr>
          <w:spacing w:val="-4"/>
        </w:rPr>
        <w:t xml:space="preserve"> </w:t>
      </w:r>
      <w:r>
        <w:t>could not be reconciled and, therefore, China acted inconsistently with Article 6.8 and paragraphs 1, 3, 5 and 6 of Annex II of the Anti‐Dumping Agreement.</w:t>
      </w:r>
    </w:p>
    <w:p w14:paraId="51DE88C3" w14:textId="77777777" w:rsidR="0010369C" w:rsidRDefault="008E43AE">
      <w:pPr>
        <w:pStyle w:val="BodyText"/>
        <w:tabs>
          <w:tab w:val="left" w:pos="5340"/>
        </w:tabs>
        <w:spacing w:before="161"/>
        <w:ind w:left="4492"/>
        <w:jc w:val="both"/>
      </w:pPr>
      <w:r>
        <w:rPr>
          <w:spacing w:val="-5"/>
        </w:rPr>
        <w:t>(B)</w:t>
      </w:r>
      <w:r>
        <w:tab/>
      </w:r>
      <w:r>
        <w:rPr>
          <w:u w:val="single"/>
        </w:rPr>
        <w:t>'Alignment'</w:t>
      </w:r>
      <w:r>
        <w:rPr>
          <w:spacing w:val="-7"/>
          <w:u w:val="single"/>
        </w:rPr>
        <w:t xml:space="preserve"> </w:t>
      </w:r>
      <w:r>
        <w:rPr>
          <w:u w:val="single"/>
        </w:rPr>
        <w:t>of</w:t>
      </w:r>
      <w:r>
        <w:rPr>
          <w:spacing w:val="-7"/>
          <w:u w:val="single"/>
        </w:rPr>
        <w:t xml:space="preserve"> </w:t>
      </w:r>
      <w:r>
        <w:rPr>
          <w:u w:val="single"/>
        </w:rPr>
        <w:t>Forms</w:t>
      </w:r>
      <w:r>
        <w:rPr>
          <w:spacing w:val="-6"/>
          <w:u w:val="single"/>
        </w:rPr>
        <w:t xml:space="preserve"> </w:t>
      </w:r>
      <w:r>
        <w:rPr>
          <w:u w:val="single"/>
        </w:rPr>
        <w:t>6‐3</w:t>
      </w:r>
      <w:r>
        <w:rPr>
          <w:spacing w:val="-7"/>
          <w:u w:val="single"/>
        </w:rPr>
        <w:t xml:space="preserve"> </w:t>
      </w:r>
      <w:r>
        <w:rPr>
          <w:u w:val="single"/>
        </w:rPr>
        <w:t>and</w:t>
      </w:r>
      <w:r>
        <w:rPr>
          <w:spacing w:val="-7"/>
          <w:u w:val="single"/>
        </w:rPr>
        <w:t xml:space="preserve"> </w:t>
      </w:r>
      <w:r>
        <w:rPr>
          <w:spacing w:val="-5"/>
          <w:u w:val="single"/>
        </w:rPr>
        <w:t>6‐4</w:t>
      </w:r>
    </w:p>
    <w:p w14:paraId="51DE88C4" w14:textId="77777777" w:rsidR="0010369C" w:rsidRDefault="0010369C">
      <w:pPr>
        <w:pStyle w:val="BodyText"/>
        <w:spacing w:before="10"/>
        <w:rPr>
          <w:sz w:val="20"/>
        </w:rPr>
      </w:pPr>
    </w:p>
    <w:p w14:paraId="51DE88C5" w14:textId="77777777" w:rsidR="0010369C" w:rsidRDefault="008E43AE">
      <w:pPr>
        <w:pStyle w:val="BodyText"/>
        <w:spacing w:before="52" w:line="360" w:lineRule="auto"/>
        <w:ind w:left="237" w:right="612" w:firstLine="852"/>
        <w:jc w:val="both"/>
      </w:pPr>
      <w:r>
        <w:rPr>
          <w:noProof/>
        </w:rPr>
        <w:drawing>
          <wp:anchor distT="0" distB="0" distL="0" distR="0" simplePos="0" relativeHeight="251019776" behindDoc="1" locked="0" layoutInCell="1" allowOverlap="1" wp14:anchorId="51DEA276" wp14:editId="51DEA277">
            <wp:simplePos x="0" y="0"/>
            <wp:positionH relativeFrom="page">
              <wp:posOffset>905255</wp:posOffset>
            </wp:positionH>
            <wp:positionV relativeFrom="paragraph">
              <wp:posOffset>81949</wp:posOffset>
            </wp:positionV>
            <wp:extent cx="259079" cy="100753"/>
            <wp:effectExtent l="0" t="0" r="0" b="0"/>
            <wp:wrapNone/>
            <wp:docPr id="749" name="image3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 name="image385.png"/>
                    <pic:cNvPicPr/>
                  </pic:nvPicPr>
                  <pic:blipFill>
                    <a:blip r:embed="rId515" cstate="print"/>
                    <a:stretch>
                      <a:fillRect/>
                    </a:stretch>
                  </pic:blipFill>
                  <pic:spPr>
                    <a:xfrm>
                      <a:off x="0" y="0"/>
                      <a:ext cx="259079" cy="100753"/>
                    </a:xfrm>
                    <a:prstGeom prst="rect">
                      <a:avLst/>
                    </a:prstGeom>
                  </pic:spPr>
                </pic:pic>
              </a:graphicData>
            </a:graphic>
          </wp:anchor>
        </w:drawing>
      </w:r>
      <w:r>
        <w:t>In the Final Determination MOFCOM reiterated its findin</w:t>
      </w:r>
      <w:r>
        <w:t>g from the Preliminary Determination that Casella Wines "did not elaborate [on] the alignment between Form 6‐3 and Form 6‐4".</w:t>
      </w:r>
      <w:r>
        <w:rPr>
          <w:vertAlign w:val="superscript"/>
        </w:rPr>
        <w:t>404</w:t>
      </w:r>
      <w:r>
        <w:t xml:space="preserve"> Similar to other allegations above,</w:t>
      </w:r>
      <w:r>
        <w:rPr>
          <w:vertAlign w:val="superscript"/>
        </w:rPr>
        <w:t>405</w:t>
      </w:r>
      <w:r>
        <w:t xml:space="preserve"> although MOFCOM did not say so expressly,</w:t>
      </w:r>
      <w:r>
        <w:rPr>
          <w:spacing w:val="-7"/>
        </w:rPr>
        <w:t xml:space="preserve"> </w:t>
      </w:r>
      <w:r>
        <w:t>it</w:t>
      </w:r>
      <w:r>
        <w:rPr>
          <w:spacing w:val="-6"/>
        </w:rPr>
        <w:t xml:space="preserve"> </w:t>
      </w:r>
      <w:r>
        <w:t>appears</w:t>
      </w:r>
      <w:r>
        <w:rPr>
          <w:spacing w:val="-7"/>
        </w:rPr>
        <w:t xml:space="preserve"> </w:t>
      </w:r>
      <w:r>
        <w:t>it</w:t>
      </w:r>
      <w:r>
        <w:rPr>
          <w:spacing w:val="-6"/>
        </w:rPr>
        <w:t xml:space="preserve"> </w:t>
      </w:r>
      <w:r>
        <w:t>affirmed</w:t>
      </w:r>
      <w:r>
        <w:rPr>
          <w:spacing w:val="-7"/>
        </w:rPr>
        <w:t xml:space="preserve"> </w:t>
      </w:r>
      <w:r>
        <w:t>and</w:t>
      </w:r>
      <w:r>
        <w:rPr>
          <w:spacing w:val="-7"/>
        </w:rPr>
        <w:t xml:space="preserve"> </w:t>
      </w:r>
      <w:r>
        <w:t>relied</w:t>
      </w:r>
      <w:r>
        <w:rPr>
          <w:spacing w:val="-7"/>
        </w:rPr>
        <w:t xml:space="preserve"> </w:t>
      </w:r>
      <w:r>
        <w:t>upon</w:t>
      </w:r>
      <w:r>
        <w:rPr>
          <w:spacing w:val="-6"/>
        </w:rPr>
        <w:t xml:space="preserve"> </w:t>
      </w:r>
      <w:r>
        <w:t>this</w:t>
      </w:r>
      <w:r>
        <w:rPr>
          <w:spacing w:val="-7"/>
        </w:rPr>
        <w:t xml:space="preserve"> </w:t>
      </w:r>
      <w:r>
        <w:t>fi</w:t>
      </w:r>
      <w:r>
        <w:t>nding</w:t>
      </w:r>
      <w:r>
        <w:rPr>
          <w:spacing w:val="-5"/>
        </w:rPr>
        <w:t xml:space="preserve"> </w:t>
      </w:r>
      <w:r>
        <w:t>in</w:t>
      </w:r>
      <w:r>
        <w:rPr>
          <w:spacing w:val="-7"/>
        </w:rPr>
        <w:t xml:space="preserve"> </w:t>
      </w:r>
      <w:r>
        <w:t>the</w:t>
      </w:r>
      <w:r>
        <w:rPr>
          <w:spacing w:val="-6"/>
        </w:rPr>
        <w:t xml:space="preserve"> </w:t>
      </w:r>
      <w:r>
        <w:t>Final</w:t>
      </w:r>
      <w:r>
        <w:rPr>
          <w:spacing w:val="-6"/>
        </w:rPr>
        <w:t xml:space="preserve"> </w:t>
      </w:r>
      <w:r>
        <w:t>Determination</w:t>
      </w:r>
      <w:r>
        <w:rPr>
          <w:spacing w:val="-6"/>
        </w:rPr>
        <w:t xml:space="preserve"> </w:t>
      </w:r>
      <w:r>
        <w:t>as</w:t>
      </w:r>
      <w:r>
        <w:rPr>
          <w:spacing w:val="-7"/>
        </w:rPr>
        <w:t xml:space="preserve"> </w:t>
      </w:r>
      <w:r>
        <w:t xml:space="preserve">part of its decision to disregard the data submitted in Form 6‐4 and resort to the use of facts </w:t>
      </w:r>
      <w:r>
        <w:rPr>
          <w:spacing w:val="-2"/>
        </w:rPr>
        <w:t>available.</w:t>
      </w:r>
      <w:r>
        <w:rPr>
          <w:spacing w:val="-2"/>
          <w:vertAlign w:val="superscript"/>
        </w:rPr>
        <w:t>406</w:t>
      </w:r>
    </w:p>
    <w:p w14:paraId="51DE88C6" w14:textId="77777777" w:rsidR="0010369C" w:rsidRDefault="0010369C">
      <w:pPr>
        <w:pStyle w:val="BodyText"/>
        <w:spacing w:before="10"/>
        <w:rPr>
          <w:sz w:val="8"/>
        </w:rPr>
      </w:pPr>
    </w:p>
    <w:p w14:paraId="51DE88C7" w14:textId="77777777" w:rsidR="0010369C" w:rsidRDefault="008E43AE">
      <w:pPr>
        <w:spacing w:before="51"/>
        <w:ind w:left="1089"/>
        <w:rPr>
          <w:sz w:val="24"/>
        </w:rPr>
      </w:pPr>
      <w:r>
        <w:rPr>
          <w:noProof/>
        </w:rPr>
        <w:drawing>
          <wp:anchor distT="0" distB="0" distL="0" distR="0" simplePos="0" relativeHeight="250662400" behindDoc="0" locked="0" layoutInCell="1" allowOverlap="1" wp14:anchorId="51DEA278" wp14:editId="51DEA279">
            <wp:simplePos x="0" y="0"/>
            <wp:positionH relativeFrom="page">
              <wp:posOffset>905255</wp:posOffset>
            </wp:positionH>
            <wp:positionV relativeFrom="paragraph">
              <wp:posOffset>79960</wp:posOffset>
            </wp:positionV>
            <wp:extent cx="259079" cy="103631"/>
            <wp:effectExtent l="0" t="0" r="0" b="0"/>
            <wp:wrapNone/>
            <wp:docPr id="751" name="image3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 name="image386.png"/>
                    <pic:cNvPicPr/>
                  </pic:nvPicPr>
                  <pic:blipFill>
                    <a:blip r:embed="rId516" cstate="print"/>
                    <a:stretch>
                      <a:fillRect/>
                    </a:stretch>
                  </pic:blipFill>
                  <pic:spPr>
                    <a:xfrm>
                      <a:off x="0" y="0"/>
                      <a:ext cx="259079" cy="103631"/>
                    </a:xfrm>
                    <a:prstGeom prst="rect">
                      <a:avLst/>
                    </a:prstGeom>
                  </pic:spPr>
                </pic:pic>
              </a:graphicData>
            </a:graphic>
          </wp:anchor>
        </w:drawing>
      </w:r>
      <w:r>
        <w:pict w14:anchorId="51DEA27A">
          <v:rect id="docshape821" o:spid="_x0000_s1481" style="position:absolute;left:0;text-align:left;margin-left:119.8pt;margin-top:2.65pt;width:403.5pt;height:16.05pt;z-index:251843072;mso-position-horizontal-relative:page;mso-position-vertical-relative:text" fillcolor="black" stroked="f">
            <w10:wrap anchorx="page"/>
          </v:rect>
        </w:pict>
      </w:r>
      <w:r>
        <w:rPr>
          <w:spacing w:val="-5"/>
          <w:sz w:val="24"/>
        </w:rPr>
        <w:t>[[</w:t>
      </w:r>
    </w:p>
    <w:p w14:paraId="51DE88C8" w14:textId="77777777" w:rsidR="0010369C" w:rsidRDefault="008E43AE">
      <w:pPr>
        <w:pStyle w:val="BodyText"/>
        <w:spacing w:before="4"/>
        <w:rPr>
          <w:sz w:val="10"/>
        </w:rPr>
      </w:pPr>
      <w:r>
        <w:pict w14:anchorId="51DEA27B">
          <v:rect id="docshape822" o:spid="_x0000_s1480" style="position:absolute;margin-left:69.9pt;margin-top:7.5pt;width:453.5pt;height:16.05pt;z-index:-250916352;mso-wrap-distance-left:0;mso-wrap-distance-right:0;mso-position-horizontal-relative:page" fillcolor="black" stroked="f">
            <w10:wrap type="topAndBottom" anchorx="page"/>
          </v:rect>
        </w:pict>
      </w:r>
      <w:r>
        <w:pict w14:anchorId="51DEA27C">
          <v:shape id="docshape823" o:spid="_x0000_s1479" style="position:absolute;margin-left:69.9pt;margin-top:29.45pt;width:261.55pt;height:16.1pt;z-index:-250915328;mso-wrap-distance-left:0;mso-wrap-distance-right:0;mso-position-horizontal-relative:page" coordorigin="1398,589" coordsize="5231,322" o:spt="100" adj="0,,0" path="m6387,589r-4989,l1398,911r4989,l6387,589xm6629,592r-242,l6387,805r242,l6629,592xe" fillcolor="black" stroked="f">
            <v:stroke joinstyle="round"/>
            <v:formulas/>
            <v:path arrowok="t" o:connecttype="segments"/>
            <w10:wrap type="topAndBottom" anchorx="page"/>
          </v:shape>
        </w:pict>
      </w:r>
      <w:r>
        <w:pict w14:anchorId="51DEA27D">
          <v:rect id="docshape824" o:spid="_x0000_s1478" style="position:absolute;margin-left:335.05pt;margin-top:29.45pt;width:188.25pt;height:16.05pt;z-index:-250914304;mso-wrap-distance-left:0;mso-wrap-distance-right:0;mso-position-horizontal-relative:page" fillcolor="black" stroked="f">
            <w10:wrap type="topAndBottom" anchorx="page"/>
          </v:rect>
        </w:pict>
      </w:r>
      <w:r>
        <w:pict w14:anchorId="51DEA27E">
          <v:rect id="docshape825" o:spid="_x0000_s1477" style="position:absolute;margin-left:69.9pt;margin-top:51.45pt;width:453.5pt;height:16.05pt;z-index:-250913280;mso-wrap-distance-left:0;mso-wrap-distance-right:0;mso-position-horizontal-relative:page" fillcolor="black" stroked="f">
            <w10:wrap type="topAndBottom" anchorx="page"/>
          </v:rect>
        </w:pict>
      </w:r>
    </w:p>
    <w:p w14:paraId="51DE88C9" w14:textId="77777777" w:rsidR="0010369C" w:rsidRDefault="0010369C">
      <w:pPr>
        <w:pStyle w:val="BodyText"/>
        <w:spacing w:before="8"/>
        <w:rPr>
          <w:sz w:val="7"/>
        </w:rPr>
      </w:pPr>
    </w:p>
    <w:p w14:paraId="51DE88CA" w14:textId="77777777" w:rsidR="0010369C" w:rsidRDefault="0010369C">
      <w:pPr>
        <w:pStyle w:val="BodyText"/>
        <w:spacing w:before="8"/>
        <w:rPr>
          <w:sz w:val="7"/>
        </w:rPr>
      </w:pPr>
    </w:p>
    <w:p w14:paraId="51DE88CB" w14:textId="77777777" w:rsidR="0010369C" w:rsidRDefault="0010369C">
      <w:pPr>
        <w:pStyle w:val="BodyText"/>
        <w:rPr>
          <w:sz w:val="20"/>
        </w:rPr>
      </w:pPr>
    </w:p>
    <w:p w14:paraId="51DE88CC" w14:textId="77777777" w:rsidR="0010369C" w:rsidRDefault="008E43AE">
      <w:pPr>
        <w:pStyle w:val="BodyText"/>
        <w:spacing w:before="8"/>
        <w:rPr>
          <w:sz w:val="19"/>
        </w:rPr>
      </w:pPr>
      <w:r>
        <w:pict w14:anchorId="51DEA27F">
          <v:rect id="docshape826" o:spid="_x0000_s1476" style="position:absolute;margin-left:70.9pt;margin-top:13.2pt;width:2in;height:.8pt;z-index:-250912256;mso-wrap-distance-left:0;mso-wrap-distance-right:0;mso-position-horizontal-relative:page" fillcolor="black" stroked="f">
            <w10:wrap type="topAndBottom" anchorx="page"/>
          </v:rect>
        </w:pict>
      </w:r>
    </w:p>
    <w:p w14:paraId="51DE88CD" w14:textId="77777777" w:rsidR="0010369C" w:rsidRDefault="008E43AE">
      <w:pPr>
        <w:spacing w:before="109"/>
        <w:ind w:left="238"/>
        <w:rPr>
          <w:sz w:val="18"/>
        </w:rPr>
      </w:pPr>
      <w:r>
        <w:rPr>
          <w:sz w:val="18"/>
          <w:vertAlign w:val="superscript"/>
        </w:rPr>
        <w:t>404</w:t>
      </w:r>
      <w:r>
        <w:rPr>
          <w:spacing w:val="-11"/>
          <w:sz w:val="18"/>
        </w:rPr>
        <w:t xml:space="preserve"> </w:t>
      </w:r>
      <w:r>
        <w:rPr>
          <w:sz w:val="18"/>
        </w:rPr>
        <w:t>Anti‐Dumping</w:t>
      </w:r>
      <w:r>
        <w:rPr>
          <w:spacing w:val="-10"/>
          <w:sz w:val="18"/>
        </w:rPr>
        <w:t xml:space="preserve"> </w:t>
      </w:r>
      <w:r>
        <w:rPr>
          <w:sz w:val="18"/>
        </w:rPr>
        <w:t>Final</w:t>
      </w:r>
      <w:r>
        <w:rPr>
          <w:spacing w:val="-10"/>
          <w:sz w:val="18"/>
        </w:rPr>
        <w:t xml:space="preserve"> </w:t>
      </w:r>
      <w:r>
        <w:rPr>
          <w:sz w:val="18"/>
        </w:rPr>
        <w:t>Determination</w:t>
      </w:r>
      <w:r>
        <w:rPr>
          <w:spacing w:val="-9"/>
          <w:sz w:val="18"/>
        </w:rPr>
        <w:t xml:space="preserve"> </w:t>
      </w:r>
      <w:r>
        <w:rPr>
          <w:sz w:val="18"/>
        </w:rPr>
        <w:t>(Exhibit</w:t>
      </w:r>
      <w:r>
        <w:rPr>
          <w:spacing w:val="-11"/>
          <w:sz w:val="18"/>
        </w:rPr>
        <w:t xml:space="preserve"> </w:t>
      </w:r>
      <w:r>
        <w:rPr>
          <w:sz w:val="18"/>
        </w:rPr>
        <w:t>AUS‐2),</w:t>
      </w:r>
      <w:r>
        <w:rPr>
          <w:spacing w:val="-10"/>
          <w:sz w:val="18"/>
        </w:rPr>
        <w:t xml:space="preserve"> </w:t>
      </w:r>
      <w:r>
        <w:rPr>
          <w:spacing w:val="-2"/>
          <w:sz w:val="18"/>
        </w:rPr>
        <w:t>p.81.</w:t>
      </w:r>
    </w:p>
    <w:p w14:paraId="51DE88CE" w14:textId="77777777" w:rsidR="0010369C" w:rsidRDefault="008E43AE">
      <w:pPr>
        <w:spacing w:before="1"/>
        <w:ind w:left="237" w:right="611"/>
        <w:rPr>
          <w:sz w:val="18"/>
        </w:rPr>
      </w:pPr>
      <w:r>
        <w:rPr>
          <w:sz w:val="18"/>
          <w:vertAlign w:val="superscript"/>
        </w:rPr>
        <w:t>405</w:t>
      </w:r>
      <w:r>
        <w:rPr>
          <w:sz w:val="18"/>
        </w:rPr>
        <w:t xml:space="preserve"> Specifically, MOFCOM's allegation that some product control codes in Form 6‐4 submitted by Casella Wines "were not reported in the sheet (shown as #N/A), making it impossible for the Investigating Authority to compare these data."</w:t>
      </w:r>
    </w:p>
    <w:p w14:paraId="51DE88CF" w14:textId="77777777" w:rsidR="0010369C" w:rsidRDefault="008E43AE">
      <w:pPr>
        <w:spacing w:line="219" w:lineRule="exact"/>
        <w:ind w:left="238"/>
        <w:rPr>
          <w:sz w:val="18"/>
        </w:rPr>
      </w:pPr>
      <w:r>
        <w:rPr>
          <w:sz w:val="18"/>
          <w:vertAlign w:val="superscript"/>
        </w:rPr>
        <w:t>406</w:t>
      </w:r>
      <w:r>
        <w:rPr>
          <w:spacing w:val="-9"/>
          <w:sz w:val="18"/>
        </w:rPr>
        <w:t xml:space="preserve"> </w:t>
      </w:r>
      <w:r>
        <w:rPr>
          <w:sz w:val="18"/>
        </w:rPr>
        <w:t>Anti‐Dumping</w:t>
      </w:r>
      <w:r>
        <w:rPr>
          <w:spacing w:val="-9"/>
          <w:sz w:val="18"/>
        </w:rPr>
        <w:t xml:space="preserve"> </w:t>
      </w:r>
      <w:r>
        <w:rPr>
          <w:sz w:val="18"/>
        </w:rPr>
        <w:t>Final</w:t>
      </w:r>
      <w:r>
        <w:rPr>
          <w:spacing w:val="-9"/>
          <w:sz w:val="18"/>
        </w:rPr>
        <w:t xml:space="preserve"> </w:t>
      </w:r>
      <w:r>
        <w:rPr>
          <w:sz w:val="18"/>
        </w:rPr>
        <w:t>Determination</w:t>
      </w:r>
      <w:r>
        <w:rPr>
          <w:spacing w:val="-8"/>
          <w:sz w:val="18"/>
        </w:rPr>
        <w:t xml:space="preserve"> </w:t>
      </w:r>
      <w:r>
        <w:rPr>
          <w:sz w:val="18"/>
        </w:rPr>
        <w:t>(Exhibit</w:t>
      </w:r>
      <w:r>
        <w:rPr>
          <w:spacing w:val="-9"/>
          <w:sz w:val="18"/>
        </w:rPr>
        <w:t xml:space="preserve"> </w:t>
      </w:r>
      <w:r>
        <w:rPr>
          <w:sz w:val="18"/>
        </w:rPr>
        <w:t>AUS‐2),</w:t>
      </w:r>
      <w:r>
        <w:rPr>
          <w:spacing w:val="-10"/>
          <w:sz w:val="18"/>
        </w:rPr>
        <w:t xml:space="preserve"> </w:t>
      </w:r>
      <w:r>
        <w:rPr>
          <w:sz w:val="18"/>
        </w:rPr>
        <w:t>pp.</w:t>
      </w:r>
      <w:r>
        <w:rPr>
          <w:spacing w:val="-9"/>
          <w:sz w:val="18"/>
        </w:rPr>
        <w:t xml:space="preserve"> </w:t>
      </w:r>
      <w:r>
        <w:rPr>
          <w:spacing w:val="-2"/>
          <w:sz w:val="18"/>
        </w:rPr>
        <w:t>83‐84.</w:t>
      </w:r>
    </w:p>
    <w:p w14:paraId="51DE88D0" w14:textId="77777777" w:rsidR="0010369C" w:rsidRDefault="008E43AE">
      <w:pPr>
        <w:tabs>
          <w:tab w:val="left" w:pos="6848"/>
        </w:tabs>
        <w:ind w:left="238"/>
        <w:rPr>
          <w:sz w:val="18"/>
        </w:rPr>
      </w:pPr>
      <w:r>
        <w:pict w14:anchorId="51DEA280">
          <v:rect id="docshape827" o:spid="_x0000_s1475" style="position:absolute;left:0;text-align:left;margin-left:86.65pt;margin-top:.35pt;width:311.7pt;height:12.05pt;z-index:-251313664;mso-position-horizontal-relative:page" fillcolor="black" stroked="f">
            <w10:wrap anchorx="page"/>
          </v:rect>
        </w:pict>
      </w:r>
      <w:r>
        <w:rPr>
          <w:color w:val="5E5E5E"/>
          <w:sz w:val="18"/>
          <w:vertAlign w:val="superscript"/>
        </w:rPr>
        <w:t>407</w:t>
      </w:r>
      <w:r>
        <w:rPr>
          <w:color w:val="5E5E5E"/>
          <w:spacing w:val="-2"/>
          <w:sz w:val="18"/>
        </w:rPr>
        <w:t xml:space="preserve"> </w:t>
      </w:r>
      <w:r>
        <w:rPr>
          <w:spacing w:val="-10"/>
          <w:sz w:val="18"/>
        </w:rPr>
        <w:t>[</w:t>
      </w:r>
      <w:r>
        <w:rPr>
          <w:sz w:val="18"/>
        </w:rPr>
        <w:tab/>
      </w:r>
      <w:r>
        <w:rPr>
          <w:color w:val="5E5E5E"/>
          <w:sz w:val="18"/>
        </w:rPr>
        <w:t>(Exhibit</w:t>
      </w:r>
      <w:r>
        <w:rPr>
          <w:color w:val="5E5E5E"/>
          <w:spacing w:val="-10"/>
          <w:sz w:val="18"/>
        </w:rPr>
        <w:t xml:space="preserve"> </w:t>
      </w:r>
      <w:r>
        <w:rPr>
          <w:color w:val="5E5E5E"/>
          <w:sz w:val="18"/>
        </w:rPr>
        <w:t>AUS‐33</w:t>
      </w:r>
      <w:r>
        <w:rPr>
          <w:color w:val="5E5E5E"/>
          <w:spacing w:val="-9"/>
          <w:sz w:val="18"/>
        </w:rPr>
        <w:t xml:space="preserve"> </w:t>
      </w:r>
      <w:r>
        <w:rPr>
          <w:color w:val="5E5E5E"/>
          <w:spacing w:val="-2"/>
          <w:sz w:val="18"/>
        </w:rPr>
        <w:t>(BCI)).</w:t>
      </w:r>
      <w:r>
        <w:rPr>
          <w:spacing w:val="-2"/>
          <w:sz w:val="18"/>
        </w:rPr>
        <w:t>]]</w:t>
      </w:r>
    </w:p>
    <w:p w14:paraId="51DE88D1" w14:textId="77777777" w:rsidR="0010369C" w:rsidRDefault="0010369C">
      <w:pPr>
        <w:rPr>
          <w:sz w:val="18"/>
        </w:rPr>
        <w:sectPr w:rsidR="0010369C">
          <w:pgSz w:w="11910" w:h="16840"/>
          <w:pgMar w:top="880" w:right="800" w:bottom="980" w:left="1180" w:header="569" w:footer="788" w:gutter="0"/>
          <w:cols w:space="720"/>
        </w:sectPr>
      </w:pPr>
    </w:p>
    <w:p w14:paraId="51DE88D2" w14:textId="77777777" w:rsidR="0010369C" w:rsidRDefault="008E43AE">
      <w:pPr>
        <w:tabs>
          <w:tab w:val="left" w:pos="6425"/>
        </w:tabs>
        <w:ind w:left="238"/>
        <w:rPr>
          <w:sz w:val="20"/>
        </w:rPr>
      </w:pPr>
      <w:r>
        <w:rPr>
          <w:i/>
          <w:sz w:val="20"/>
        </w:rPr>
        <w:lastRenderedPageBreak/>
        <w:t>China</w:t>
      </w:r>
      <w:r>
        <w:rPr>
          <w:i/>
          <w:spacing w:val="-5"/>
          <w:sz w:val="20"/>
        </w:rPr>
        <w:t xml:space="preserve"> </w:t>
      </w:r>
      <w:r>
        <w:rPr>
          <w:i/>
          <w:sz w:val="20"/>
        </w:rPr>
        <w:t>–</w:t>
      </w:r>
      <w:r>
        <w:rPr>
          <w:i/>
          <w:spacing w:val="-5"/>
          <w:sz w:val="20"/>
        </w:rPr>
        <w:t xml:space="preserve"> </w:t>
      </w:r>
      <w:r>
        <w:rPr>
          <w:i/>
          <w:sz w:val="20"/>
        </w:rPr>
        <w:t>Anti‐Dumping</w:t>
      </w:r>
      <w:r>
        <w:rPr>
          <w:i/>
          <w:spacing w:val="-4"/>
          <w:sz w:val="20"/>
        </w:rPr>
        <w:t xml:space="preserve"> </w:t>
      </w:r>
      <w:r>
        <w:rPr>
          <w:i/>
          <w:sz w:val="20"/>
        </w:rPr>
        <w:t>and</w:t>
      </w:r>
      <w:r>
        <w:rPr>
          <w:i/>
          <w:spacing w:val="-5"/>
          <w:sz w:val="20"/>
        </w:rPr>
        <w:t xml:space="preserve"> </w:t>
      </w:r>
      <w:r>
        <w:rPr>
          <w:i/>
          <w:sz w:val="20"/>
        </w:rPr>
        <w:t>Countervailing</w:t>
      </w:r>
      <w:r>
        <w:rPr>
          <w:i/>
          <w:spacing w:val="-5"/>
          <w:sz w:val="20"/>
        </w:rPr>
        <w:t xml:space="preserve"> </w:t>
      </w:r>
      <w:r>
        <w:rPr>
          <w:i/>
          <w:sz w:val="20"/>
        </w:rPr>
        <w:t>Duty</w:t>
      </w:r>
      <w:r>
        <w:rPr>
          <w:i/>
          <w:spacing w:val="-4"/>
          <w:sz w:val="20"/>
        </w:rPr>
        <w:t xml:space="preserve"> </w:t>
      </w:r>
      <w:r>
        <w:rPr>
          <w:i/>
          <w:spacing w:val="-2"/>
          <w:sz w:val="20"/>
        </w:rPr>
        <w:t>Measures</w:t>
      </w:r>
      <w:r>
        <w:rPr>
          <w:i/>
          <w:sz w:val="20"/>
        </w:rPr>
        <w:tab/>
      </w:r>
      <w:r>
        <w:rPr>
          <w:sz w:val="20"/>
        </w:rPr>
        <w:t>Australia's</w:t>
      </w:r>
      <w:r>
        <w:rPr>
          <w:spacing w:val="-7"/>
          <w:sz w:val="20"/>
        </w:rPr>
        <w:t xml:space="preserve"> </w:t>
      </w:r>
      <w:r>
        <w:rPr>
          <w:sz w:val="20"/>
        </w:rPr>
        <w:t>First</w:t>
      </w:r>
      <w:r>
        <w:rPr>
          <w:spacing w:val="-2"/>
          <w:sz w:val="20"/>
        </w:rPr>
        <w:t xml:space="preserve"> </w:t>
      </w:r>
      <w:r>
        <w:rPr>
          <w:sz w:val="20"/>
        </w:rPr>
        <w:t>Written</w:t>
      </w:r>
      <w:r>
        <w:rPr>
          <w:spacing w:val="-2"/>
          <w:sz w:val="20"/>
        </w:rPr>
        <w:t xml:space="preserve"> Submission</w:t>
      </w:r>
    </w:p>
    <w:p w14:paraId="51DE88D3" w14:textId="77777777" w:rsidR="0010369C" w:rsidRDefault="008E43AE">
      <w:pPr>
        <w:tabs>
          <w:tab w:val="left" w:pos="8227"/>
        </w:tabs>
        <w:spacing w:before="1"/>
        <w:ind w:left="239"/>
        <w:rPr>
          <w:sz w:val="20"/>
        </w:rPr>
      </w:pPr>
      <w:r>
        <w:rPr>
          <w:i/>
          <w:sz w:val="20"/>
        </w:rPr>
        <w:t>on</w:t>
      </w:r>
      <w:r>
        <w:rPr>
          <w:i/>
          <w:spacing w:val="-1"/>
          <w:sz w:val="20"/>
        </w:rPr>
        <w:t xml:space="preserve"> </w:t>
      </w:r>
      <w:r>
        <w:rPr>
          <w:i/>
          <w:sz w:val="20"/>
        </w:rPr>
        <w:t>Wine</w:t>
      </w:r>
      <w:r>
        <w:rPr>
          <w:i/>
          <w:spacing w:val="-1"/>
          <w:sz w:val="20"/>
        </w:rPr>
        <w:t xml:space="preserve"> </w:t>
      </w:r>
      <w:r>
        <w:rPr>
          <w:i/>
          <w:sz w:val="20"/>
        </w:rPr>
        <w:t>from</w:t>
      </w:r>
      <w:r>
        <w:rPr>
          <w:i/>
          <w:spacing w:val="-3"/>
          <w:sz w:val="20"/>
        </w:rPr>
        <w:t xml:space="preserve"> </w:t>
      </w:r>
      <w:r>
        <w:rPr>
          <w:i/>
          <w:sz w:val="20"/>
        </w:rPr>
        <w:t>Australia</w:t>
      </w:r>
      <w:r>
        <w:rPr>
          <w:i/>
          <w:spacing w:val="-1"/>
          <w:sz w:val="20"/>
        </w:rPr>
        <w:t xml:space="preserve"> </w:t>
      </w:r>
      <w:r>
        <w:rPr>
          <w:spacing w:val="-2"/>
          <w:sz w:val="20"/>
        </w:rPr>
        <w:t>(DS602)</w:t>
      </w:r>
      <w:r>
        <w:rPr>
          <w:sz w:val="20"/>
        </w:rPr>
        <w:tab/>
        <w:t>29</w:t>
      </w:r>
      <w:r>
        <w:rPr>
          <w:spacing w:val="-1"/>
          <w:sz w:val="20"/>
        </w:rPr>
        <w:t xml:space="preserve"> </w:t>
      </w:r>
      <w:r>
        <w:rPr>
          <w:sz w:val="20"/>
        </w:rPr>
        <w:t>April</w:t>
      </w:r>
      <w:r>
        <w:rPr>
          <w:spacing w:val="-2"/>
          <w:sz w:val="20"/>
        </w:rPr>
        <w:t xml:space="preserve"> </w:t>
      </w:r>
      <w:r>
        <w:rPr>
          <w:spacing w:val="-4"/>
          <w:sz w:val="20"/>
        </w:rPr>
        <w:t>2022</w:t>
      </w:r>
    </w:p>
    <w:p w14:paraId="51DE88D4" w14:textId="77777777" w:rsidR="0010369C" w:rsidRDefault="008E43AE">
      <w:pPr>
        <w:pStyle w:val="BodyText"/>
        <w:spacing w:before="34" w:line="360" w:lineRule="auto"/>
        <w:ind w:left="238" w:firstLine="2047"/>
      </w:pPr>
      <w:r>
        <w:pict w14:anchorId="51DEA281">
          <v:rect id="docshape828" o:spid="_x0000_s1474" style="position:absolute;left:0;text-align:left;margin-left:69.9pt;margin-top:1.8pt;width:102.4pt;height:16.05pt;z-index:-251312640;mso-position-horizontal-relative:page" fillcolor="black" stroked="f">
            <w10:wrap anchorx="page"/>
          </v:rect>
        </w:pict>
      </w:r>
      <w:r>
        <w:t>]] Both Forms 6‐3 and 6‐4 contained 'necessary information' within the meaning of Article 6.8 of the Anti‐Dumping Agreement.</w:t>
      </w:r>
    </w:p>
    <w:p w14:paraId="51DE88D5" w14:textId="77777777" w:rsidR="0010369C" w:rsidRDefault="0010369C">
      <w:pPr>
        <w:pStyle w:val="BodyText"/>
        <w:spacing w:before="10"/>
        <w:rPr>
          <w:sz w:val="8"/>
        </w:rPr>
      </w:pPr>
    </w:p>
    <w:p w14:paraId="51DE88D6" w14:textId="77777777" w:rsidR="0010369C" w:rsidRDefault="008E43AE">
      <w:pPr>
        <w:spacing w:before="52"/>
        <w:ind w:left="1089"/>
        <w:rPr>
          <w:sz w:val="24"/>
        </w:rPr>
      </w:pPr>
      <w:r>
        <w:rPr>
          <w:noProof/>
        </w:rPr>
        <w:drawing>
          <wp:anchor distT="0" distB="0" distL="0" distR="0" simplePos="0" relativeHeight="250663424" behindDoc="0" locked="0" layoutInCell="1" allowOverlap="1" wp14:anchorId="51DEA282" wp14:editId="51DEA283">
            <wp:simplePos x="0" y="0"/>
            <wp:positionH relativeFrom="page">
              <wp:posOffset>905255</wp:posOffset>
            </wp:positionH>
            <wp:positionV relativeFrom="paragraph">
              <wp:posOffset>76785</wp:posOffset>
            </wp:positionV>
            <wp:extent cx="259079" cy="106679"/>
            <wp:effectExtent l="0" t="0" r="0" b="0"/>
            <wp:wrapNone/>
            <wp:docPr id="753" name="image3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 name="image387.png"/>
                    <pic:cNvPicPr/>
                  </pic:nvPicPr>
                  <pic:blipFill>
                    <a:blip r:embed="rId517" cstate="print"/>
                    <a:stretch>
                      <a:fillRect/>
                    </a:stretch>
                  </pic:blipFill>
                  <pic:spPr>
                    <a:xfrm>
                      <a:off x="0" y="0"/>
                      <a:ext cx="259079" cy="106679"/>
                    </a:xfrm>
                    <a:prstGeom prst="rect">
                      <a:avLst/>
                    </a:prstGeom>
                  </pic:spPr>
                </pic:pic>
              </a:graphicData>
            </a:graphic>
          </wp:anchor>
        </w:drawing>
      </w:r>
      <w:r>
        <w:pict w14:anchorId="51DEA284">
          <v:rect id="docshape829" o:spid="_x0000_s1473" style="position:absolute;left:0;text-align:left;margin-left:119.8pt;margin-top:2.7pt;width:403.65pt;height:16.05pt;z-index:251844096;mso-position-horizontal-relative:page;mso-position-vertical-relative:text" fillcolor="black" stroked="f">
            <w10:wrap anchorx="page"/>
          </v:rect>
        </w:pict>
      </w:r>
      <w:r>
        <w:pict w14:anchorId="51DEA285">
          <v:rect id="docshape830" o:spid="_x0000_s1472" style="position:absolute;left:0;text-align:left;margin-left:69.95pt;margin-top:46.7pt;width:65.7pt;height:16.05pt;z-index:-251311616;mso-position-horizontal-relative:page;mso-position-vertical-relative:text" fillcolor="black" stroked="f">
            <w10:wrap anchorx="page"/>
          </v:rect>
        </w:pict>
      </w:r>
      <w:r>
        <w:rPr>
          <w:spacing w:val="-5"/>
          <w:sz w:val="24"/>
        </w:rPr>
        <w:t>[[</w:t>
      </w:r>
    </w:p>
    <w:p w14:paraId="51DE88D7" w14:textId="77777777" w:rsidR="0010369C" w:rsidRDefault="008E43AE">
      <w:pPr>
        <w:pStyle w:val="BodyText"/>
        <w:spacing w:before="3"/>
        <w:rPr>
          <w:sz w:val="10"/>
        </w:rPr>
      </w:pPr>
      <w:r>
        <w:pict w14:anchorId="51DEA286">
          <v:rect id="docshape831" o:spid="_x0000_s1471" style="position:absolute;margin-left:69.9pt;margin-top:7.5pt;width:453.5pt;height:16.05pt;z-index:-250911232;mso-wrap-distance-left:0;mso-wrap-distance-right:0;mso-position-horizontal-relative:page" fillcolor="black" stroked="f">
            <w10:wrap type="topAndBottom" anchorx="page"/>
          </v:rect>
        </w:pict>
      </w:r>
    </w:p>
    <w:p w14:paraId="51DE88D8" w14:textId="77777777" w:rsidR="0010369C" w:rsidRDefault="008E43AE">
      <w:pPr>
        <w:pStyle w:val="BodyText"/>
        <w:spacing w:before="115" w:line="360" w:lineRule="auto"/>
        <w:ind w:left="237" w:right="613" w:firstLine="1315"/>
        <w:jc w:val="both"/>
      </w:pPr>
      <w:r>
        <w:t>]] It is therefore difficult to ascertain what data specifically in both Forms could not be "aligned" and exactly why Case</w:t>
      </w:r>
      <w:r>
        <w:t>lla Wines needed to "elaborate on the alignment" between Forms 6‐3 and 6‐4.</w:t>
      </w:r>
    </w:p>
    <w:p w14:paraId="51DE88D9" w14:textId="77777777" w:rsidR="0010369C" w:rsidRDefault="0010369C">
      <w:pPr>
        <w:pStyle w:val="BodyText"/>
        <w:spacing w:before="11"/>
        <w:rPr>
          <w:sz w:val="8"/>
        </w:rPr>
      </w:pPr>
    </w:p>
    <w:p w14:paraId="51DE88DA" w14:textId="77777777" w:rsidR="0010369C" w:rsidRDefault="008E43AE">
      <w:pPr>
        <w:spacing w:before="52"/>
        <w:ind w:left="1089"/>
        <w:rPr>
          <w:sz w:val="24"/>
        </w:rPr>
      </w:pPr>
      <w:r>
        <w:rPr>
          <w:noProof/>
        </w:rPr>
        <w:drawing>
          <wp:anchor distT="0" distB="0" distL="0" distR="0" simplePos="0" relativeHeight="250664448" behindDoc="0" locked="0" layoutInCell="1" allowOverlap="1" wp14:anchorId="51DEA287" wp14:editId="51DEA288">
            <wp:simplePos x="0" y="0"/>
            <wp:positionH relativeFrom="page">
              <wp:posOffset>905255</wp:posOffset>
            </wp:positionH>
            <wp:positionV relativeFrom="paragraph">
              <wp:posOffset>81949</wp:posOffset>
            </wp:positionV>
            <wp:extent cx="259079" cy="100753"/>
            <wp:effectExtent l="0" t="0" r="0" b="0"/>
            <wp:wrapNone/>
            <wp:docPr id="755" name="image3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 name="image388.png"/>
                    <pic:cNvPicPr/>
                  </pic:nvPicPr>
                  <pic:blipFill>
                    <a:blip r:embed="rId518" cstate="print"/>
                    <a:stretch>
                      <a:fillRect/>
                    </a:stretch>
                  </pic:blipFill>
                  <pic:spPr>
                    <a:xfrm>
                      <a:off x="0" y="0"/>
                      <a:ext cx="259079" cy="100753"/>
                    </a:xfrm>
                    <a:prstGeom prst="rect">
                      <a:avLst/>
                    </a:prstGeom>
                  </pic:spPr>
                </pic:pic>
              </a:graphicData>
            </a:graphic>
          </wp:anchor>
        </w:drawing>
      </w:r>
      <w:r>
        <w:pict w14:anchorId="51DEA289">
          <v:rect id="docshape832" o:spid="_x0000_s1470" style="position:absolute;left:0;text-align:left;margin-left:119.8pt;margin-top:2.7pt;width:403.6pt;height:16.05pt;z-index:251845120;mso-position-horizontal-relative:page;mso-position-vertical-relative:text" fillcolor="black" stroked="f">
            <w10:wrap anchorx="page"/>
          </v:rect>
        </w:pict>
      </w:r>
      <w:r>
        <w:rPr>
          <w:spacing w:val="-5"/>
          <w:sz w:val="24"/>
        </w:rPr>
        <w:t>[[</w:t>
      </w:r>
    </w:p>
    <w:p w14:paraId="51DE88DB" w14:textId="77777777" w:rsidR="0010369C" w:rsidRDefault="008E43AE">
      <w:pPr>
        <w:pStyle w:val="BodyText"/>
        <w:spacing w:before="2"/>
        <w:rPr>
          <w:sz w:val="10"/>
        </w:rPr>
      </w:pPr>
      <w:r>
        <w:pict w14:anchorId="51DEA28A">
          <v:rect id="docshape833" o:spid="_x0000_s1469" style="position:absolute;margin-left:69.9pt;margin-top:7.4pt;width:453.5pt;height:16.05pt;z-index:-250910208;mso-wrap-distance-left:0;mso-wrap-distance-right:0;mso-position-horizontal-relative:page" fillcolor="black" stroked="f">
            <w10:wrap type="topAndBottom" anchorx="page"/>
          </v:rect>
        </w:pict>
      </w:r>
      <w:r>
        <w:pict w14:anchorId="51DEA28B">
          <v:rect id="docshape834" o:spid="_x0000_s1468" style="position:absolute;margin-left:69.95pt;margin-top:29.4pt;width:453.5pt;height:16.05pt;z-index:-250909184;mso-wrap-distance-left:0;mso-wrap-distance-right:0;mso-position-horizontal-relative:page" fillcolor="black" stroked="f">
            <w10:wrap type="topAndBottom" anchorx="page"/>
          </v:rect>
        </w:pict>
      </w:r>
      <w:r>
        <w:pict w14:anchorId="51DEA28C">
          <v:shape id="docshape835" o:spid="_x0000_s1467" style="position:absolute;margin-left:69.95pt;margin-top:51.35pt;width:453.45pt;height:16.1pt;z-index:-250908160;mso-wrap-distance-left:0;mso-wrap-distance-right:0;mso-position-horizontal-relative:page" coordorigin="1399,1027" coordsize="9069,322" o:spt="100" adj="0,,0" path="m5731,1029r-242,l5489,1027r-4090,l1399,1348r4090,l5489,1243r242,l5731,1029xm10468,1027r-4676,l5792,1348r4676,l10468,1027xe" fillcolor="black" stroked="f">
            <v:stroke joinstyle="round"/>
            <v:formulas/>
            <v:path arrowok="t" o:connecttype="segments"/>
            <w10:wrap type="topAndBottom" anchorx="page"/>
          </v:shape>
        </w:pict>
      </w:r>
      <w:r>
        <w:pict w14:anchorId="51DEA28D">
          <v:rect id="docshape836" o:spid="_x0000_s1466" style="position:absolute;margin-left:69.9pt;margin-top:73.35pt;width:453.5pt;height:16.05pt;z-index:-250907136;mso-wrap-distance-left:0;mso-wrap-distance-right:0;mso-position-horizontal-relative:page" fillcolor="black" stroked="f">
            <w10:wrap type="topAndBottom" anchorx="page"/>
          </v:rect>
        </w:pict>
      </w:r>
    </w:p>
    <w:p w14:paraId="51DE88DC" w14:textId="77777777" w:rsidR="0010369C" w:rsidRDefault="0010369C">
      <w:pPr>
        <w:pStyle w:val="BodyText"/>
        <w:spacing w:before="8"/>
        <w:rPr>
          <w:sz w:val="7"/>
        </w:rPr>
      </w:pPr>
    </w:p>
    <w:p w14:paraId="51DE88DD" w14:textId="77777777" w:rsidR="0010369C" w:rsidRDefault="0010369C">
      <w:pPr>
        <w:pStyle w:val="BodyText"/>
        <w:spacing w:before="8"/>
        <w:rPr>
          <w:sz w:val="7"/>
        </w:rPr>
      </w:pPr>
    </w:p>
    <w:p w14:paraId="51DE88DE" w14:textId="77777777" w:rsidR="0010369C" w:rsidRDefault="0010369C">
      <w:pPr>
        <w:pStyle w:val="BodyText"/>
        <w:spacing w:before="9"/>
        <w:rPr>
          <w:sz w:val="7"/>
        </w:rPr>
      </w:pPr>
    </w:p>
    <w:p w14:paraId="51DE88DF" w14:textId="77777777" w:rsidR="0010369C" w:rsidRDefault="008E43AE">
      <w:pPr>
        <w:spacing w:before="116"/>
        <w:ind w:left="1201"/>
        <w:rPr>
          <w:sz w:val="24"/>
        </w:rPr>
      </w:pPr>
      <w:r>
        <w:rPr>
          <w:spacing w:val="-5"/>
          <w:sz w:val="24"/>
        </w:rPr>
        <w:t>]]</w:t>
      </w:r>
    </w:p>
    <w:p w14:paraId="51DE88E0" w14:textId="77777777" w:rsidR="0010369C" w:rsidRDefault="0010369C">
      <w:pPr>
        <w:pStyle w:val="BodyText"/>
        <w:spacing w:before="9"/>
        <w:rPr>
          <w:sz w:val="20"/>
        </w:rPr>
      </w:pPr>
    </w:p>
    <w:p w14:paraId="51DE88E1" w14:textId="77777777" w:rsidR="0010369C" w:rsidRDefault="008E43AE">
      <w:pPr>
        <w:pStyle w:val="BodyText"/>
        <w:spacing w:before="52" w:line="360" w:lineRule="auto"/>
        <w:ind w:left="236" w:right="614" w:firstLine="852"/>
        <w:jc w:val="both"/>
      </w:pPr>
      <w:r>
        <w:pict w14:anchorId="51DEA28E">
          <v:rect id="docshape837" o:spid="_x0000_s1465" style="position:absolute;left:0;text-align:left;margin-left:69.9pt;margin-top:-27.15pt;width:48.15pt;height:16.05pt;z-index:251846144;mso-position-horizontal-relative:page" fillcolor="black" stroked="f">
            <w10:wrap anchorx="page"/>
          </v:rect>
        </w:pict>
      </w:r>
      <w:r>
        <w:rPr>
          <w:noProof/>
        </w:rPr>
        <w:drawing>
          <wp:anchor distT="0" distB="0" distL="0" distR="0" simplePos="0" relativeHeight="251020800" behindDoc="1" locked="0" layoutInCell="1" allowOverlap="1" wp14:anchorId="51DEA28F" wp14:editId="51DEA290">
            <wp:simplePos x="0" y="0"/>
            <wp:positionH relativeFrom="page">
              <wp:posOffset>905255</wp:posOffset>
            </wp:positionH>
            <wp:positionV relativeFrom="paragraph">
              <wp:posOffset>80595</wp:posOffset>
            </wp:positionV>
            <wp:extent cx="259079" cy="103631"/>
            <wp:effectExtent l="0" t="0" r="0" b="0"/>
            <wp:wrapNone/>
            <wp:docPr id="757" name="image3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 name="image389.png"/>
                    <pic:cNvPicPr/>
                  </pic:nvPicPr>
                  <pic:blipFill>
                    <a:blip r:embed="rId519" cstate="print"/>
                    <a:stretch>
                      <a:fillRect/>
                    </a:stretch>
                  </pic:blipFill>
                  <pic:spPr>
                    <a:xfrm>
                      <a:off x="0" y="0"/>
                      <a:ext cx="259079" cy="103631"/>
                    </a:xfrm>
                    <a:prstGeom prst="rect">
                      <a:avLst/>
                    </a:prstGeom>
                  </pic:spPr>
                </pic:pic>
              </a:graphicData>
            </a:graphic>
          </wp:anchor>
        </w:drawing>
      </w:r>
      <w:r>
        <w:t>In circumstances where the data is clearly reconcilable between Forms 6‐3 and 6‐4, it</w:t>
      </w:r>
      <w:r>
        <w:rPr>
          <w:spacing w:val="-2"/>
        </w:rPr>
        <w:t xml:space="preserve"> </w:t>
      </w:r>
      <w:r>
        <w:t>was</w:t>
      </w:r>
      <w:r>
        <w:rPr>
          <w:spacing w:val="-2"/>
        </w:rPr>
        <w:t xml:space="preserve"> </w:t>
      </w:r>
      <w:r>
        <w:t>unreasonable</w:t>
      </w:r>
      <w:r>
        <w:rPr>
          <w:spacing w:val="-1"/>
        </w:rPr>
        <w:t xml:space="preserve"> </w:t>
      </w:r>
      <w:r>
        <w:t>for</w:t>
      </w:r>
      <w:r>
        <w:rPr>
          <w:spacing w:val="-2"/>
        </w:rPr>
        <w:t xml:space="preserve"> </w:t>
      </w:r>
      <w:r>
        <w:t>MOFCOM</w:t>
      </w:r>
      <w:r>
        <w:rPr>
          <w:spacing w:val="-2"/>
        </w:rPr>
        <w:t xml:space="preserve"> </w:t>
      </w:r>
      <w:r>
        <w:t>to</w:t>
      </w:r>
      <w:r>
        <w:rPr>
          <w:spacing w:val="-2"/>
        </w:rPr>
        <w:t xml:space="preserve"> </w:t>
      </w:r>
      <w:r>
        <w:t>insist</w:t>
      </w:r>
      <w:r>
        <w:rPr>
          <w:spacing w:val="-2"/>
        </w:rPr>
        <w:t xml:space="preserve"> </w:t>
      </w:r>
      <w:r>
        <w:t>that</w:t>
      </w:r>
      <w:r>
        <w:rPr>
          <w:spacing w:val="-3"/>
        </w:rPr>
        <w:t xml:space="preserve"> </w:t>
      </w:r>
      <w:r>
        <w:t>both</w:t>
      </w:r>
      <w:r>
        <w:rPr>
          <w:spacing w:val="-2"/>
        </w:rPr>
        <w:t xml:space="preserve"> </w:t>
      </w:r>
      <w:r>
        <w:t>datasets</w:t>
      </w:r>
      <w:r>
        <w:rPr>
          <w:spacing w:val="-2"/>
        </w:rPr>
        <w:t xml:space="preserve"> </w:t>
      </w:r>
      <w:r>
        <w:t>be</w:t>
      </w:r>
      <w:r>
        <w:rPr>
          <w:spacing w:val="-2"/>
        </w:rPr>
        <w:t xml:space="preserve"> </w:t>
      </w:r>
      <w:r>
        <w:t>"aligned".</w:t>
      </w:r>
      <w:r>
        <w:rPr>
          <w:spacing w:val="-2"/>
        </w:rPr>
        <w:t xml:space="preserve"> </w:t>
      </w:r>
      <w:r>
        <w:t>It</w:t>
      </w:r>
      <w:r>
        <w:rPr>
          <w:spacing w:val="-2"/>
        </w:rPr>
        <w:t xml:space="preserve"> </w:t>
      </w:r>
      <w:r>
        <w:t>was</w:t>
      </w:r>
      <w:r>
        <w:rPr>
          <w:spacing w:val="-2"/>
        </w:rPr>
        <w:t xml:space="preserve"> </w:t>
      </w:r>
      <w:r>
        <w:t xml:space="preserve">unfounded for MOFCOM to continue to allege an inconsistency which did not exist, or without </w:t>
      </w:r>
      <w:r>
        <w:t>proper specification, as a reason to reject the data provided, and instead resort to facts available.</w:t>
      </w:r>
    </w:p>
    <w:p w14:paraId="51DE88E2" w14:textId="77777777" w:rsidR="0010369C" w:rsidRDefault="0010369C">
      <w:pPr>
        <w:pStyle w:val="BodyText"/>
        <w:spacing w:before="12"/>
        <w:rPr>
          <w:sz w:val="8"/>
        </w:rPr>
      </w:pPr>
    </w:p>
    <w:p w14:paraId="51DE88E3" w14:textId="77777777" w:rsidR="0010369C" w:rsidRDefault="008E43AE">
      <w:pPr>
        <w:pStyle w:val="BodyText"/>
        <w:spacing w:before="51" w:line="360" w:lineRule="auto"/>
        <w:ind w:left="236" w:right="612" w:firstLine="852"/>
        <w:jc w:val="both"/>
      </w:pPr>
      <w:r>
        <w:rPr>
          <w:noProof/>
        </w:rPr>
        <w:drawing>
          <wp:anchor distT="0" distB="0" distL="0" distR="0" simplePos="0" relativeHeight="251021824" behindDoc="1" locked="0" layoutInCell="1" allowOverlap="1" wp14:anchorId="51DEA291" wp14:editId="51DEA292">
            <wp:simplePos x="0" y="0"/>
            <wp:positionH relativeFrom="page">
              <wp:posOffset>905255</wp:posOffset>
            </wp:positionH>
            <wp:positionV relativeFrom="paragraph">
              <wp:posOffset>80722</wp:posOffset>
            </wp:positionV>
            <wp:extent cx="259079" cy="103631"/>
            <wp:effectExtent l="0" t="0" r="0" b="0"/>
            <wp:wrapNone/>
            <wp:docPr id="759" name="image3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 name="image390.png"/>
                    <pic:cNvPicPr/>
                  </pic:nvPicPr>
                  <pic:blipFill>
                    <a:blip r:embed="rId520" cstate="print"/>
                    <a:stretch>
                      <a:fillRect/>
                    </a:stretch>
                  </pic:blipFill>
                  <pic:spPr>
                    <a:xfrm>
                      <a:off x="0" y="0"/>
                      <a:ext cx="259079" cy="103631"/>
                    </a:xfrm>
                    <a:prstGeom prst="rect">
                      <a:avLst/>
                    </a:prstGeom>
                  </pic:spPr>
                </pic:pic>
              </a:graphicData>
            </a:graphic>
          </wp:anchor>
        </w:drawing>
      </w:r>
      <w:r>
        <w:t>For the foregoing reasons, MOFCOM erred when it relied upon Casella Wines' response to Form 6‐4 as a basis to resort to facts available and, therefore, China acted inconsistently with Article 6.8 and paragraphs 1, 3, 5 and 6 of Annex II of the Anti‐Dumping</w:t>
      </w:r>
      <w:r>
        <w:t xml:space="preserve"> </w:t>
      </w:r>
      <w:r>
        <w:rPr>
          <w:spacing w:val="-2"/>
        </w:rPr>
        <w:t>Agreement.</w:t>
      </w:r>
    </w:p>
    <w:p w14:paraId="51DE88E4" w14:textId="77777777" w:rsidR="0010369C" w:rsidRDefault="008E43AE">
      <w:pPr>
        <w:pStyle w:val="ListParagraph"/>
        <w:numPr>
          <w:ilvl w:val="3"/>
          <w:numId w:val="75"/>
        </w:numPr>
        <w:tabs>
          <w:tab w:val="left" w:pos="3641"/>
          <w:tab w:val="left" w:pos="3642"/>
        </w:tabs>
        <w:spacing w:before="161"/>
        <w:ind w:left="3641" w:hanging="853"/>
        <w:jc w:val="both"/>
        <w:rPr>
          <w:sz w:val="24"/>
        </w:rPr>
      </w:pPr>
      <w:r>
        <w:rPr>
          <w:sz w:val="24"/>
          <w:u w:val="single"/>
        </w:rPr>
        <w:t>The</w:t>
      </w:r>
      <w:r>
        <w:rPr>
          <w:spacing w:val="-7"/>
          <w:sz w:val="24"/>
          <w:u w:val="single"/>
        </w:rPr>
        <w:t xml:space="preserve"> </w:t>
      </w:r>
      <w:r>
        <w:rPr>
          <w:sz w:val="24"/>
          <w:u w:val="single"/>
        </w:rPr>
        <w:t>Information</w:t>
      </w:r>
      <w:r>
        <w:rPr>
          <w:spacing w:val="-8"/>
          <w:sz w:val="24"/>
          <w:u w:val="single"/>
        </w:rPr>
        <w:t xml:space="preserve"> </w:t>
      </w:r>
      <w:r>
        <w:rPr>
          <w:sz w:val="24"/>
          <w:u w:val="single"/>
        </w:rPr>
        <w:t>Used</w:t>
      </w:r>
      <w:r>
        <w:rPr>
          <w:spacing w:val="-7"/>
          <w:sz w:val="24"/>
          <w:u w:val="single"/>
        </w:rPr>
        <w:t xml:space="preserve"> </w:t>
      </w:r>
      <w:r>
        <w:rPr>
          <w:sz w:val="24"/>
          <w:u w:val="single"/>
        </w:rPr>
        <w:t>was</w:t>
      </w:r>
      <w:r>
        <w:rPr>
          <w:spacing w:val="-8"/>
          <w:sz w:val="24"/>
          <w:u w:val="single"/>
        </w:rPr>
        <w:t xml:space="preserve"> </w:t>
      </w:r>
      <w:r>
        <w:rPr>
          <w:sz w:val="24"/>
          <w:u w:val="single"/>
        </w:rPr>
        <w:t>not</w:t>
      </w:r>
      <w:r>
        <w:rPr>
          <w:spacing w:val="-6"/>
          <w:sz w:val="24"/>
          <w:u w:val="single"/>
        </w:rPr>
        <w:t xml:space="preserve"> </w:t>
      </w:r>
      <w:r>
        <w:rPr>
          <w:sz w:val="24"/>
          <w:u w:val="single"/>
        </w:rPr>
        <w:t>the</w:t>
      </w:r>
      <w:r>
        <w:rPr>
          <w:spacing w:val="-7"/>
          <w:sz w:val="24"/>
          <w:u w:val="single"/>
        </w:rPr>
        <w:t xml:space="preserve"> </w:t>
      </w:r>
      <w:r>
        <w:rPr>
          <w:sz w:val="24"/>
          <w:u w:val="single"/>
        </w:rPr>
        <w:t>"Best</w:t>
      </w:r>
      <w:r>
        <w:rPr>
          <w:spacing w:val="-7"/>
          <w:sz w:val="24"/>
          <w:u w:val="single"/>
        </w:rPr>
        <w:t xml:space="preserve"> </w:t>
      </w:r>
      <w:r>
        <w:rPr>
          <w:spacing w:val="-2"/>
          <w:sz w:val="24"/>
          <w:u w:val="single"/>
        </w:rPr>
        <w:t>Available"</w:t>
      </w:r>
    </w:p>
    <w:p w14:paraId="51DE88E5" w14:textId="77777777" w:rsidR="0010369C" w:rsidRDefault="0010369C">
      <w:pPr>
        <w:pStyle w:val="BodyText"/>
        <w:spacing w:before="9"/>
        <w:rPr>
          <w:sz w:val="20"/>
        </w:rPr>
      </w:pPr>
    </w:p>
    <w:p w14:paraId="51DE88E6" w14:textId="77777777" w:rsidR="0010369C" w:rsidRDefault="008E43AE">
      <w:pPr>
        <w:pStyle w:val="BodyText"/>
        <w:spacing w:before="52" w:line="360" w:lineRule="auto"/>
        <w:ind w:left="238" w:right="614" w:firstLine="851"/>
        <w:jc w:val="both"/>
      </w:pPr>
      <w:r>
        <w:rPr>
          <w:noProof/>
        </w:rPr>
        <w:drawing>
          <wp:anchor distT="0" distB="0" distL="0" distR="0" simplePos="0" relativeHeight="251022848" behindDoc="1" locked="0" layoutInCell="1" allowOverlap="1" wp14:anchorId="51DEA293" wp14:editId="51DEA294">
            <wp:simplePos x="0" y="0"/>
            <wp:positionH relativeFrom="page">
              <wp:posOffset>905255</wp:posOffset>
            </wp:positionH>
            <wp:positionV relativeFrom="paragraph">
              <wp:posOffset>80595</wp:posOffset>
            </wp:positionV>
            <wp:extent cx="259079" cy="103631"/>
            <wp:effectExtent l="0" t="0" r="0" b="0"/>
            <wp:wrapNone/>
            <wp:docPr id="761" name="image3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 name="image391.png"/>
                    <pic:cNvPicPr/>
                  </pic:nvPicPr>
                  <pic:blipFill>
                    <a:blip r:embed="rId521" cstate="print"/>
                    <a:stretch>
                      <a:fillRect/>
                    </a:stretch>
                  </pic:blipFill>
                  <pic:spPr>
                    <a:xfrm>
                      <a:off x="0" y="0"/>
                      <a:ext cx="259079" cy="103631"/>
                    </a:xfrm>
                    <a:prstGeom prst="rect">
                      <a:avLst/>
                    </a:prstGeom>
                  </pic:spPr>
                </pic:pic>
              </a:graphicData>
            </a:graphic>
          </wp:anchor>
        </w:drawing>
      </w:r>
      <w:r>
        <w:t>In the alternative, if MOFCOM was entitled to resort to facts available, MOFCOM failed</w:t>
      </w:r>
      <w:r>
        <w:rPr>
          <w:spacing w:val="-6"/>
        </w:rPr>
        <w:t xml:space="preserve"> </w:t>
      </w:r>
      <w:r>
        <w:t>to</w:t>
      </w:r>
      <w:r>
        <w:rPr>
          <w:spacing w:val="-6"/>
        </w:rPr>
        <w:t xml:space="preserve"> </w:t>
      </w:r>
      <w:r>
        <w:t>select</w:t>
      </w:r>
      <w:r>
        <w:rPr>
          <w:spacing w:val="-6"/>
        </w:rPr>
        <w:t xml:space="preserve"> </w:t>
      </w:r>
      <w:r>
        <w:t>the</w:t>
      </w:r>
      <w:r>
        <w:rPr>
          <w:spacing w:val="-5"/>
        </w:rPr>
        <w:t xml:space="preserve"> </w:t>
      </w:r>
      <w:r>
        <w:t>"best</w:t>
      </w:r>
      <w:r>
        <w:rPr>
          <w:spacing w:val="-6"/>
        </w:rPr>
        <w:t xml:space="preserve"> </w:t>
      </w:r>
      <w:r>
        <w:t>information</w:t>
      </w:r>
      <w:r>
        <w:rPr>
          <w:spacing w:val="-4"/>
        </w:rPr>
        <w:t xml:space="preserve"> </w:t>
      </w:r>
      <w:r>
        <w:t>available"</w:t>
      </w:r>
      <w:r>
        <w:rPr>
          <w:spacing w:val="-8"/>
        </w:rPr>
        <w:t xml:space="preserve"> </w:t>
      </w:r>
      <w:r>
        <w:t>as</w:t>
      </w:r>
      <w:r>
        <w:rPr>
          <w:spacing w:val="-6"/>
        </w:rPr>
        <w:t xml:space="preserve"> </w:t>
      </w:r>
      <w:r>
        <w:t>a</w:t>
      </w:r>
      <w:r>
        <w:rPr>
          <w:spacing w:val="-6"/>
        </w:rPr>
        <w:t xml:space="preserve"> </w:t>
      </w:r>
      <w:r>
        <w:t>reasonable</w:t>
      </w:r>
      <w:r>
        <w:rPr>
          <w:spacing w:val="-5"/>
        </w:rPr>
        <w:t xml:space="preserve"> </w:t>
      </w:r>
      <w:r>
        <w:t>replacement</w:t>
      </w:r>
      <w:r>
        <w:rPr>
          <w:spacing w:val="-6"/>
        </w:rPr>
        <w:t xml:space="preserve"> </w:t>
      </w:r>
      <w:r>
        <w:t>for</w:t>
      </w:r>
      <w:r>
        <w:rPr>
          <w:spacing w:val="-7"/>
        </w:rPr>
        <w:t xml:space="preserve"> </w:t>
      </w:r>
      <w:r>
        <w:t>the</w:t>
      </w:r>
      <w:r>
        <w:rPr>
          <w:spacing w:val="-5"/>
        </w:rPr>
        <w:t xml:space="preserve"> </w:t>
      </w:r>
      <w:r>
        <w:t>allegedly missing</w:t>
      </w:r>
      <w:r>
        <w:rPr>
          <w:spacing w:val="-12"/>
        </w:rPr>
        <w:t xml:space="preserve"> </w:t>
      </w:r>
      <w:r>
        <w:t>informat</w:t>
      </w:r>
      <w:r>
        <w:t>ion.</w:t>
      </w:r>
      <w:r>
        <w:rPr>
          <w:vertAlign w:val="superscript"/>
        </w:rPr>
        <w:t>410</w:t>
      </w:r>
      <w:r>
        <w:rPr>
          <w:spacing w:val="-13"/>
        </w:rPr>
        <w:t xml:space="preserve"> </w:t>
      </w:r>
      <w:r>
        <w:t>MOFCOM</w:t>
      </w:r>
      <w:r>
        <w:rPr>
          <w:spacing w:val="-12"/>
        </w:rPr>
        <w:t xml:space="preserve"> </w:t>
      </w:r>
      <w:r>
        <w:t>used</w:t>
      </w:r>
      <w:r>
        <w:rPr>
          <w:spacing w:val="-12"/>
        </w:rPr>
        <w:t xml:space="preserve"> </w:t>
      </w:r>
      <w:r>
        <w:t>"the</w:t>
      </w:r>
      <w:r>
        <w:rPr>
          <w:spacing w:val="-12"/>
        </w:rPr>
        <w:t xml:space="preserve"> </w:t>
      </w:r>
      <w:r>
        <w:t>weighted</w:t>
      </w:r>
      <w:r>
        <w:rPr>
          <w:spacing w:val="-13"/>
        </w:rPr>
        <w:t xml:space="preserve"> </w:t>
      </w:r>
      <w:r>
        <w:t>average</w:t>
      </w:r>
      <w:r>
        <w:rPr>
          <w:spacing w:val="-13"/>
        </w:rPr>
        <w:t xml:space="preserve"> </w:t>
      </w:r>
      <w:r>
        <w:t>price</w:t>
      </w:r>
      <w:r>
        <w:rPr>
          <w:spacing w:val="-12"/>
        </w:rPr>
        <w:t xml:space="preserve"> </w:t>
      </w:r>
      <w:r>
        <w:t>of</w:t>
      </w:r>
      <w:r>
        <w:rPr>
          <w:spacing w:val="-12"/>
        </w:rPr>
        <w:t xml:space="preserve"> </w:t>
      </w:r>
      <w:r>
        <w:t>domestic</w:t>
      </w:r>
      <w:r>
        <w:rPr>
          <w:spacing w:val="-11"/>
        </w:rPr>
        <w:t xml:space="preserve"> </w:t>
      </w:r>
      <w:r>
        <w:t>sales</w:t>
      </w:r>
      <w:r>
        <w:rPr>
          <w:spacing w:val="-13"/>
        </w:rPr>
        <w:t xml:space="preserve"> </w:t>
      </w:r>
      <w:r>
        <w:t>of</w:t>
      </w:r>
      <w:r>
        <w:rPr>
          <w:spacing w:val="-13"/>
        </w:rPr>
        <w:t xml:space="preserve"> </w:t>
      </w:r>
      <w:r>
        <w:t>other respondents"</w:t>
      </w:r>
      <w:r>
        <w:rPr>
          <w:spacing w:val="51"/>
        </w:rPr>
        <w:t xml:space="preserve"> </w:t>
      </w:r>
      <w:r>
        <w:t>purportedly</w:t>
      </w:r>
      <w:r>
        <w:rPr>
          <w:spacing w:val="55"/>
        </w:rPr>
        <w:t xml:space="preserve"> </w:t>
      </w:r>
      <w:r>
        <w:t>adjusted</w:t>
      </w:r>
      <w:r>
        <w:rPr>
          <w:spacing w:val="51"/>
        </w:rPr>
        <w:t xml:space="preserve"> </w:t>
      </w:r>
      <w:r>
        <w:t>to</w:t>
      </w:r>
      <w:r>
        <w:rPr>
          <w:spacing w:val="54"/>
        </w:rPr>
        <w:t xml:space="preserve"> </w:t>
      </w:r>
      <w:r>
        <w:t>the</w:t>
      </w:r>
      <w:r>
        <w:rPr>
          <w:spacing w:val="54"/>
        </w:rPr>
        <w:t xml:space="preserve"> </w:t>
      </w:r>
      <w:r>
        <w:t>ex‐factory</w:t>
      </w:r>
      <w:r>
        <w:rPr>
          <w:spacing w:val="53"/>
        </w:rPr>
        <w:t xml:space="preserve"> </w:t>
      </w:r>
      <w:r>
        <w:t>level,</w:t>
      </w:r>
      <w:r>
        <w:rPr>
          <w:vertAlign w:val="superscript"/>
        </w:rPr>
        <w:t>411</w:t>
      </w:r>
      <w:r>
        <w:rPr>
          <w:spacing w:val="53"/>
        </w:rPr>
        <w:t xml:space="preserve"> </w:t>
      </w:r>
      <w:r>
        <w:t>to</w:t>
      </w:r>
      <w:r>
        <w:rPr>
          <w:spacing w:val="53"/>
        </w:rPr>
        <w:t xml:space="preserve"> </w:t>
      </w:r>
      <w:r>
        <w:t>calculate</w:t>
      </w:r>
      <w:r>
        <w:rPr>
          <w:spacing w:val="54"/>
        </w:rPr>
        <w:t xml:space="preserve"> </w:t>
      </w:r>
      <w:r>
        <w:t>normal</w:t>
      </w:r>
      <w:r>
        <w:rPr>
          <w:spacing w:val="53"/>
        </w:rPr>
        <w:t xml:space="preserve"> </w:t>
      </w:r>
      <w:r>
        <w:rPr>
          <w:spacing w:val="-2"/>
        </w:rPr>
        <w:t>value</w:t>
      </w:r>
    </w:p>
    <w:p w14:paraId="51DE88E7" w14:textId="77777777" w:rsidR="0010369C" w:rsidRDefault="008E43AE">
      <w:pPr>
        <w:pStyle w:val="BodyText"/>
        <w:spacing w:before="3"/>
        <w:rPr>
          <w:sz w:val="12"/>
        </w:rPr>
      </w:pPr>
      <w:r>
        <w:pict w14:anchorId="51DEA295">
          <v:rect id="docshape838" o:spid="_x0000_s1464" style="position:absolute;margin-left:70.9pt;margin-top:8.7pt;width:2in;height:.8pt;z-index:-250906112;mso-wrap-distance-left:0;mso-wrap-distance-right:0;mso-position-horizontal-relative:page" fillcolor="black" stroked="f">
            <w10:wrap type="topAndBottom" anchorx="page"/>
          </v:rect>
        </w:pict>
      </w:r>
    </w:p>
    <w:p w14:paraId="51DE88E8" w14:textId="77777777" w:rsidR="0010369C" w:rsidRDefault="0010369C">
      <w:pPr>
        <w:pStyle w:val="BodyText"/>
        <w:spacing w:before="8"/>
        <w:rPr>
          <w:sz w:val="5"/>
        </w:rPr>
      </w:pPr>
    </w:p>
    <w:p w14:paraId="51DE88E9" w14:textId="77777777" w:rsidR="0010369C" w:rsidRDefault="0010369C">
      <w:pPr>
        <w:rPr>
          <w:sz w:val="5"/>
        </w:rPr>
        <w:sectPr w:rsidR="0010369C">
          <w:pgSz w:w="11910" w:h="16840"/>
          <w:pgMar w:top="880" w:right="800" w:bottom="980" w:left="1180" w:header="569" w:footer="788" w:gutter="0"/>
          <w:cols w:space="720"/>
        </w:sectPr>
      </w:pPr>
    </w:p>
    <w:p w14:paraId="51DE88EA" w14:textId="77777777" w:rsidR="0010369C" w:rsidRDefault="008E43AE">
      <w:pPr>
        <w:spacing w:before="74" w:line="158" w:lineRule="auto"/>
        <w:ind w:left="238"/>
        <w:rPr>
          <w:sz w:val="18"/>
        </w:rPr>
      </w:pPr>
      <w:r>
        <w:pict w14:anchorId="51DEA296">
          <v:shape id="docshape839" o:spid="_x0000_s1463" style="position:absolute;left:0;text-align:left;margin-left:86.65pt;margin-top:2.35pt;width:311.7pt;height:23.05pt;z-index:-251310592;mso-position-horizontal-relative:page" coordorigin="1733,47" coordsize="6234,461" path="m7967,47r-6234,l1733,266r,22l1733,507r6130,l7863,288r104,l7967,47xe" fillcolor="black" stroked="f">
            <v:path arrowok="t"/>
            <w10:wrap anchorx="page"/>
          </v:shape>
        </w:pict>
      </w:r>
      <w:r>
        <w:rPr>
          <w:color w:val="5E5E5E"/>
          <w:sz w:val="12"/>
        </w:rPr>
        <w:t>408</w:t>
      </w:r>
      <w:r>
        <w:rPr>
          <w:color w:val="5E5E5E"/>
          <w:spacing w:val="11"/>
          <w:sz w:val="12"/>
        </w:rPr>
        <w:t xml:space="preserve"> </w:t>
      </w:r>
      <w:r>
        <w:rPr>
          <w:spacing w:val="-10"/>
          <w:position w:val="-5"/>
          <w:sz w:val="18"/>
        </w:rPr>
        <w:t>[</w:t>
      </w:r>
    </w:p>
    <w:p w14:paraId="51DE88EB" w14:textId="77777777" w:rsidR="0010369C" w:rsidRDefault="008E43AE">
      <w:pPr>
        <w:spacing w:before="33"/>
        <w:ind w:left="238"/>
        <w:rPr>
          <w:sz w:val="18"/>
        </w:rPr>
      </w:pPr>
      <w:r>
        <w:rPr>
          <w:sz w:val="12"/>
        </w:rPr>
        <w:t>409</w:t>
      </w:r>
      <w:r>
        <w:rPr>
          <w:spacing w:val="11"/>
          <w:sz w:val="12"/>
        </w:rPr>
        <w:t xml:space="preserve"> </w:t>
      </w:r>
      <w:r>
        <w:rPr>
          <w:spacing w:val="-10"/>
          <w:position w:val="-5"/>
          <w:sz w:val="18"/>
        </w:rPr>
        <w:t>[</w:t>
      </w:r>
    </w:p>
    <w:p w14:paraId="51DE88EC" w14:textId="77777777" w:rsidR="0010369C" w:rsidRDefault="008E43AE">
      <w:pPr>
        <w:spacing w:before="40"/>
        <w:ind w:left="383"/>
        <w:rPr>
          <w:sz w:val="18"/>
        </w:rPr>
      </w:pPr>
      <w:r>
        <w:br w:type="column"/>
      </w:r>
      <w:r>
        <w:rPr>
          <w:color w:val="5E5E5E"/>
          <w:sz w:val="18"/>
        </w:rPr>
        <w:t>(Exhibit</w:t>
      </w:r>
      <w:r>
        <w:rPr>
          <w:color w:val="5E5E5E"/>
          <w:spacing w:val="-10"/>
          <w:sz w:val="18"/>
        </w:rPr>
        <w:t xml:space="preserve"> </w:t>
      </w:r>
      <w:r>
        <w:rPr>
          <w:color w:val="5E5E5E"/>
          <w:sz w:val="18"/>
        </w:rPr>
        <w:t>AUS‐34</w:t>
      </w:r>
      <w:r>
        <w:rPr>
          <w:color w:val="5E5E5E"/>
          <w:spacing w:val="-9"/>
          <w:sz w:val="18"/>
        </w:rPr>
        <w:t xml:space="preserve"> </w:t>
      </w:r>
      <w:r>
        <w:rPr>
          <w:color w:val="5E5E5E"/>
          <w:spacing w:val="-2"/>
          <w:sz w:val="18"/>
        </w:rPr>
        <w:t>(BCI)).</w:t>
      </w:r>
      <w:r>
        <w:rPr>
          <w:spacing w:val="-2"/>
          <w:sz w:val="18"/>
        </w:rPr>
        <w:t>]]</w:t>
      </w:r>
    </w:p>
    <w:p w14:paraId="51DE88ED" w14:textId="77777777" w:rsidR="0010369C" w:rsidRDefault="008E43AE">
      <w:pPr>
        <w:ind w:left="238"/>
        <w:rPr>
          <w:sz w:val="18"/>
        </w:rPr>
      </w:pPr>
      <w:r>
        <w:rPr>
          <w:color w:val="5E5E5E"/>
          <w:sz w:val="18"/>
        </w:rPr>
        <w:t>(Exhibit</w:t>
      </w:r>
      <w:r>
        <w:rPr>
          <w:color w:val="5E5E5E"/>
          <w:spacing w:val="-9"/>
          <w:sz w:val="18"/>
        </w:rPr>
        <w:t xml:space="preserve"> </w:t>
      </w:r>
      <w:r>
        <w:rPr>
          <w:color w:val="5E5E5E"/>
          <w:sz w:val="18"/>
        </w:rPr>
        <w:t>AUS‐36</w:t>
      </w:r>
      <w:r>
        <w:rPr>
          <w:color w:val="5E5E5E"/>
          <w:spacing w:val="-9"/>
          <w:sz w:val="18"/>
        </w:rPr>
        <w:t xml:space="preserve"> </w:t>
      </w:r>
      <w:r>
        <w:rPr>
          <w:color w:val="5E5E5E"/>
          <w:spacing w:val="-2"/>
          <w:sz w:val="18"/>
        </w:rPr>
        <w:t>(BCI)).</w:t>
      </w:r>
      <w:r>
        <w:rPr>
          <w:spacing w:val="-2"/>
          <w:sz w:val="18"/>
        </w:rPr>
        <w:t>]]</w:t>
      </w:r>
    </w:p>
    <w:p w14:paraId="51DE88EE" w14:textId="77777777" w:rsidR="0010369C" w:rsidRDefault="0010369C">
      <w:pPr>
        <w:rPr>
          <w:sz w:val="18"/>
        </w:rPr>
        <w:sectPr w:rsidR="0010369C">
          <w:type w:val="continuous"/>
          <w:pgSz w:w="11910" w:h="16840"/>
          <w:pgMar w:top="1460" w:right="800" w:bottom="280" w:left="1180" w:header="569" w:footer="788" w:gutter="0"/>
          <w:cols w:num="2" w:space="720" w:equalWidth="0">
            <w:col w:w="559" w:space="5906"/>
            <w:col w:w="3465"/>
          </w:cols>
        </w:sectPr>
      </w:pPr>
    </w:p>
    <w:p w14:paraId="51DE88EF" w14:textId="77777777" w:rsidR="0010369C" w:rsidRDefault="008E43AE">
      <w:pPr>
        <w:spacing w:before="1"/>
        <w:ind w:left="237" w:right="615"/>
        <w:jc w:val="both"/>
        <w:rPr>
          <w:sz w:val="18"/>
        </w:rPr>
      </w:pPr>
      <w:r>
        <w:rPr>
          <w:sz w:val="18"/>
          <w:vertAlign w:val="superscript"/>
        </w:rPr>
        <w:t>410</w:t>
      </w:r>
      <w:r>
        <w:rPr>
          <w:sz w:val="18"/>
        </w:rPr>
        <w:t xml:space="preserve"> In the first instance, Australia submits that no necessary information was missing from the record. China acted inconsistently with Article 6.8, and paragraphs 1, 3, 5 and 6 of Annex II in making its determinations on the</w:t>
      </w:r>
      <w:r>
        <w:rPr>
          <w:sz w:val="18"/>
        </w:rPr>
        <w:t xml:space="preserve"> basis of facts </w:t>
      </w:r>
      <w:r>
        <w:rPr>
          <w:spacing w:val="-2"/>
          <w:sz w:val="18"/>
        </w:rPr>
        <w:t>available.</w:t>
      </w:r>
    </w:p>
    <w:p w14:paraId="51DE88F0" w14:textId="77777777" w:rsidR="0010369C" w:rsidRDefault="008E43AE">
      <w:pPr>
        <w:spacing w:line="219" w:lineRule="exact"/>
        <w:ind w:left="238"/>
        <w:jc w:val="both"/>
        <w:rPr>
          <w:sz w:val="18"/>
        </w:rPr>
      </w:pPr>
      <w:r>
        <w:rPr>
          <w:sz w:val="18"/>
          <w:vertAlign w:val="superscript"/>
        </w:rPr>
        <w:t>411</w:t>
      </w:r>
      <w:r>
        <w:rPr>
          <w:spacing w:val="-9"/>
          <w:sz w:val="18"/>
        </w:rPr>
        <w:t xml:space="preserve"> </w:t>
      </w:r>
      <w:r>
        <w:rPr>
          <w:sz w:val="18"/>
        </w:rPr>
        <w:t>Anti‐Dumping</w:t>
      </w:r>
      <w:r>
        <w:rPr>
          <w:spacing w:val="-9"/>
          <w:sz w:val="18"/>
        </w:rPr>
        <w:t xml:space="preserve"> </w:t>
      </w:r>
      <w:r>
        <w:rPr>
          <w:sz w:val="18"/>
        </w:rPr>
        <w:t>Final</w:t>
      </w:r>
      <w:r>
        <w:rPr>
          <w:spacing w:val="-9"/>
          <w:sz w:val="18"/>
        </w:rPr>
        <w:t xml:space="preserve"> </w:t>
      </w:r>
      <w:r>
        <w:rPr>
          <w:sz w:val="18"/>
        </w:rPr>
        <w:t>Determination</w:t>
      </w:r>
      <w:r>
        <w:rPr>
          <w:spacing w:val="-8"/>
          <w:sz w:val="18"/>
        </w:rPr>
        <w:t xml:space="preserve"> </w:t>
      </w:r>
      <w:r>
        <w:rPr>
          <w:sz w:val="18"/>
        </w:rPr>
        <w:t>(Exhibit</w:t>
      </w:r>
      <w:r>
        <w:rPr>
          <w:spacing w:val="-9"/>
          <w:sz w:val="18"/>
        </w:rPr>
        <w:t xml:space="preserve"> </w:t>
      </w:r>
      <w:r>
        <w:rPr>
          <w:sz w:val="18"/>
        </w:rPr>
        <w:t>AUS‐2),</w:t>
      </w:r>
      <w:r>
        <w:rPr>
          <w:spacing w:val="-10"/>
          <w:sz w:val="18"/>
        </w:rPr>
        <w:t xml:space="preserve"> </w:t>
      </w:r>
      <w:r>
        <w:rPr>
          <w:sz w:val="18"/>
        </w:rPr>
        <w:t>pp.</w:t>
      </w:r>
      <w:r>
        <w:rPr>
          <w:spacing w:val="-9"/>
          <w:sz w:val="18"/>
        </w:rPr>
        <w:t xml:space="preserve"> </w:t>
      </w:r>
      <w:r>
        <w:rPr>
          <w:spacing w:val="-2"/>
          <w:sz w:val="18"/>
        </w:rPr>
        <w:t>84‐85.</w:t>
      </w:r>
    </w:p>
    <w:p w14:paraId="51DE88F1" w14:textId="77777777" w:rsidR="0010369C" w:rsidRDefault="0010369C">
      <w:pPr>
        <w:spacing w:line="219" w:lineRule="exact"/>
        <w:jc w:val="both"/>
        <w:rPr>
          <w:sz w:val="18"/>
        </w:rPr>
        <w:sectPr w:rsidR="0010369C">
          <w:type w:val="continuous"/>
          <w:pgSz w:w="11910" w:h="16840"/>
          <w:pgMar w:top="1460" w:right="800" w:bottom="280" w:left="1180" w:header="569" w:footer="788" w:gutter="0"/>
          <w:cols w:space="720"/>
        </w:sectPr>
      </w:pPr>
    </w:p>
    <w:p w14:paraId="51DE88F2" w14:textId="77777777" w:rsidR="0010369C" w:rsidRDefault="008E43AE">
      <w:pPr>
        <w:tabs>
          <w:tab w:val="left" w:pos="6426"/>
        </w:tabs>
        <w:ind w:left="238"/>
        <w:jc w:val="both"/>
        <w:rPr>
          <w:sz w:val="20"/>
        </w:rPr>
      </w:pPr>
      <w:r>
        <w:rPr>
          <w:i/>
          <w:sz w:val="20"/>
        </w:rPr>
        <w:lastRenderedPageBreak/>
        <w:t>China</w:t>
      </w:r>
      <w:r>
        <w:rPr>
          <w:i/>
          <w:spacing w:val="-5"/>
          <w:sz w:val="20"/>
        </w:rPr>
        <w:t xml:space="preserve"> </w:t>
      </w:r>
      <w:r>
        <w:rPr>
          <w:i/>
          <w:sz w:val="20"/>
        </w:rPr>
        <w:t>–</w:t>
      </w:r>
      <w:r>
        <w:rPr>
          <w:i/>
          <w:spacing w:val="-5"/>
          <w:sz w:val="20"/>
        </w:rPr>
        <w:t xml:space="preserve"> </w:t>
      </w:r>
      <w:r>
        <w:rPr>
          <w:i/>
          <w:sz w:val="20"/>
        </w:rPr>
        <w:t>Anti‐Dumping</w:t>
      </w:r>
      <w:r>
        <w:rPr>
          <w:i/>
          <w:spacing w:val="-4"/>
          <w:sz w:val="20"/>
        </w:rPr>
        <w:t xml:space="preserve"> </w:t>
      </w:r>
      <w:r>
        <w:rPr>
          <w:i/>
          <w:sz w:val="20"/>
        </w:rPr>
        <w:t>and</w:t>
      </w:r>
      <w:r>
        <w:rPr>
          <w:i/>
          <w:spacing w:val="-5"/>
          <w:sz w:val="20"/>
        </w:rPr>
        <w:t xml:space="preserve"> </w:t>
      </w:r>
      <w:r>
        <w:rPr>
          <w:i/>
          <w:sz w:val="20"/>
        </w:rPr>
        <w:t>Countervailing</w:t>
      </w:r>
      <w:r>
        <w:rPr>
          <w:i/>
          <w:spacing w:val="-5"/>
          <w:sz w:val="20"/>
        </w:rPr>
        <w:t xml:space="preserve"> </w:t>
      </w:r>
      <w:r>
        <w:rPr>
          <w:i/>
          <w:sz w:val="20"/>
        </w:rPr>
        <w:t>Duty</w:t>
      </w:r>
      <w:r>
        <w:rPr>
          <w:i/>
          <w:spacing w:val="-4"/>
          <w:sz w:val="20"/>
        </w:rPr>
        <w:t xml:space="preserve"> </w:t>
      </w:r>
      <w:r>
        <w:rPr>
          <w:i/>
          <w:spacing w:val="-2"/>
          <w:sz w:val="20"/>
        </w:rPr>
        <w:t>Measures</w:t>
      </w:r>
      <w:r>
        <w:rPr>
          <w:i/>
          <w:sz w:val="20"/>
        </w:rPr>
        <w:tab/>
      </w:r>
      <w:r>
        <w:rPr>
          <w:sz w:val="20"/>
        </w:rPr>
        <w:t>Australia's</w:t>
      </w:r>
      <w:r>
        <w:rPr>
          <w:spacing w:val="-7"/>
          <w:sz w:val="20"/>
        </w:rPr>
        <w:t xml:space="preserve"> </w:t>
      </w:r>
      <w:r>
        <w:rPr>
          <w:sz w:val="20"/>
        </w:rPr>
        <w:t>First</w:t>
      </w:r>
      <w:r>
        <w:rPr>
          <w:spacing w:val="-2"/>
          <w:sz w:val="20"/>
        </w:rPr>
        <w:t xml:space="preserve"> </w:t>
      </w:r>
      <w:r>
        <w:rPr>
          <w:sz w:val="20"/>
        </w:rPr>
        <w:t>Written</w:t>
      </w:r>
      <w:r>
        <w:rPr>
          <w:spacing w:val="-2"/>
          <w:sz w:val="20"/>
        </w:rPr>
        <w:t xml:space="preserve"> Submission</w:t>
      </w:r>
    </w:p>
    <w:p w14:paraId="51DE88F3" w14:textId="77777777" w:rsidR="0010369C" w:rsidRDefault="008E43AE">
      <w:pPr>
        <w:tabs>
          <w:tab w:val="left" w:pos="8228"/>
        </w:tabs>
        <w:spacing w:before="1"/>
        <w:ind w:left="239"/>
        <w:jc w:val="both"/>
        <w:rPr>
          <w:sz w:val="20"/>
        </w:rPr>
      </w:pPr>
      <w:r>
        <w:rPr>
          <w:i/>
          <w:sz w:val="20"/>
        </w:rPr>
        <w:t>on</w:t>
      </w:r>
      <w:r>
        <w:rPr>
          <w:i/>
          <w:spacing w:val="-1"/>
          <w:sz w:val="20"/>
        </w:rPr>
        <w:t xml:space="preserve"> </w:t>
      </w:r>
      <w:r>
        <w:rPr>
          <w:i/>
          <w:sz w:val="20"/>
        </w:rPr>
        <w:t>Wine</w:t>
      </w:r>
      <w:r>
        <w:rPr>
          <w:i/>
          <w:spacing w:val="-1"/>
          <w:sz w:val="20"/>
        </w:rPr>
        <w:t xml:space="preserve"> </w:t>
      </w:r>
      <w:r>
        <w:rPr>
          <w:i/>
          <w:sz w:val="20"/>
        </w:rPr>
        <w:t>from</w:t>
      </w:r>
      <w:r>
        <w:rPr>
          <w:i/>
          <w:spacing w:val="-3"/>
          <w:sz w:val="20"/>
        </w:rPr>
        <w:t xml:space="preserve"> </w:t>
      </w:r>
      <w:r>
        <w:rPr>
          <w:i/>
          <w:sz w:val="20"/>
        </w:rPr>
        <w:t>Australia</w:t>
      </w:r>
      <w:r>
        <w:rPr>
          <w:i/>
          <w:spacing w:val="-1"/>
          <w:sz w:val="20"/>
        </w:rPr>
        <w:t xml:space="preserve"> </w:t>
      </w:r>
      <w:r>
        <w:rPr>
          <w:spacing w:val="-2"/>
          <w:sz w:val="20"/>
        </w:rPr>
        <w:t>(DS602)</w:t>
      </w:r>
      <w:r>
        <w:rPr>
          <w:sz w:val="20"/>
        </w:rPr>
        <w:tab/>
        <w:t>29</w:t>
      </w:r>
      <w:r>
        <w:rPr>
          <w:spacing w:val="-1"/>
          <w:sz w:val="20"/>
        </w:rPr>
        <w:t xml:space="preserve"> </w:t>
      </w:r>
      <w:r>
        <w:rPr>
          <w:sz w:val="20"/>
        </w:rPr>
        <w:t>April</w:t>
      </w:r>
      <w:r>
        <w:rPr>
          <w:spacing w:val="-2"/>
          <w:sz w:val="20"/>
        </w:rPr>
        <w:t xml:space="preserve"> </w:t>
      </w:r>
      <w:r>
        <w:rPr>
          <w:spacing w:val="-4"/>
          <w:sz w:val="20"/>
        </w:rPr>
        <w:t>2022</w:t>
      </w:r>
    </w:p>
    <w:p w14:paraId="51DE88F4" w14:textId="77777777" w:rsidR="0010369C" w:rsidRDefault="008E43AE">
      <w:pPr>
        <w:pStyle w:val="BodyText"/>
        <w:spacing w:before="34" w:line="360" w:lineRule="auto"/>
        <w:ind w:left="236" w:right="615" w:firstLine="1"/>
        <w:jc w:val="both"/>
      </w:pPr>
      <w:r>
        <w:t xml:space="preserve">without exercising special circumspection or undertaking a process of reasoning and evaluation of the record evidence, as required under Article 6.8 and paragraph 7 of Annex II. The resulting dumping margin for Casella Wines was 170.9%, the calculation of </w:t>
      </w:r>
      <w:r>
        <w:t>which was grossly flawed.</w:t>
      </w:r>
    </w:p>
    <w:p w14:paraId="51DE88F5" w14:textId="77777777" w:rsidR="0010369C" w:rsidRDefault="008E43AE">
      <w:pPr>
        <w:pStyle w:val="ListParagraph"/>
        <w:numPr>
          <w:ilvl w:val="4"/>
          <w:numId w:val="75"/>
        </w:numPr>
        <w:tabs>
          <w:tab w:val="left" w:pos="4491"/>
          <w:tab w:val="left" w:pos="4492"/>
        </w:tabs>
        <w:spacing w:before="160" w:line="360" w:lineRule="auto"/>
        <w:ind w:left="4491" w:right="616"/>
        <w:jc w:val="both"/>
        <w:rPr>
          <w:i/>
          <w:sz w:val="24"/>
        </w:rPr>
      </w:pPr>
      <w:r>
        <w:rPr>
          <w:i/>
          <w:sz w:val="24"/>
        </w:rPr>
        <w:t>MOFCOM'S Stated Methodology for Determining Normal</w:t>
      </w:r>
      <w:r>
        <w:rPr>
          <w:i/>
          <w:spacing w:val="-4"/>
          <w:sz w:val="24"/>
        </w:rPr>
        <w:t xml:space="preserve"> </w:t>
      </w:r>
      <w:r>
        <w:rPr>
          <w:i/>
          <w:sz w:val="24"/>
        </w:rPr>
        <w:t>Value</w:t>
      </w:r>
      <w:r>
        <w:rPr>
          <w:i/>
          <w:spacing w:val="-1"/>
          <w:sz w:val="24"/>
        </w:rPr>
        <w:t xml:space="preserve"> </w:t>
      </w:r>
      <w:r>
        <w:rPr>
          <w:i/>
          <w:sz w:val="24"/>
        </w:rPr>
        <w:t>Through</w:t>
      </w:r>
      <w:r>
        <w:rPr>
          <w:i/>
          <w:spacing w:val="-2"/>
          <w:sz w:val="24"/>
        </w:rPr>
        <w:t xml:space="preserve"> </w:t>
      </w:r>
      <w:r>
        <w:rPr>
          <w:i/>
          <w:sz w:val="24"/>
        </w:rPr>
        <w:t>Facts</w:t>
      </w:r>
      <w:r>
        <w:rPr>
          <w:i/>
          <w:spacing w:val="-1"/>
          <w:sz w:val="24"/>
        </w:rPr>
        <w:t xml:space="preserve"> </w:t>
      </w:r>
      <w:r>
        <w:rPr>
          <w:i/>
          <w:sz w:val="24"/>
        </w:rPr>
        <w:t>Available</w:t>
      </w:r>
      <w:r>
        <w:rPr>
          <w:i/>
          <w:spacing w:val="-2"/>
          <w:sz w:val="24"/>
        </w:rPr>
        <w:t xml:space="preserve"> </w:t>
      </w:r>
      <w:r>
        <w:rPr>
          <w:i/>
          <w:sz w:val="24"/>
        </w:rPr>
        <w:t>for</w:t>
      </w:r>
      <w:r>
        <w:rPr>
          <w:i/>
          <w:spacing w:val="-3"/>
          <w:sz w:val="24"/>
        </w:rPr>
        <w:t xml:space="preserve"> </w:t>
      </w:r>
      <w:r>
        <w:rPr>
          <w:i/>
          <w:sz w:val="24"/>
        </w:rPr>
        <w:t>Casella Wines and Swan Vintage Was Irrational</w:t>
      </w:r>
    </w:p>
    <w:p w14:paraId="51DE88F6" w14:textId="77777777" w:rsidR="0010369C" w:rsidRDefault="0010369C">
      <w:pPr>
        <w:pStyle w:val="BodyText"/>
        <w:spacing w:before="11"/>
        <w:rPr>
          <w:i/>
          <w:sz w:val="8"/>
        </w:rPr>
      </w:pPr>
    </w:p>
    <w:p w14:paraId="51DE88F7" w14:textId="77777777" w:rsidR="0010369C" w:rsidRDefault="008E43AE">
      <w:pPr>
        <w:pStyle w:val="BodyText"/>
        <w:spacing w:before="51" w:line="360" w:lineRule="auto"/>
        <w:ind w:left="237" w:right="613" w:firstLine="851"/>
        <w:jc w:val="both"/>
      </w:pPr>
      <w:r>
        <w:rPr>
          <w:noProof/>
        </w:rPr>
        <w:drawing>
          <wp:anchor distT="0" distB="0" distL="0" distR="0" simplePos="0" relativeHeight="251023872" behindDoc="1" locked="0" layoutInCell="1" allowOverlap="1" wp14:anchorId="51DEA297" wp14:editId="51DEA298">
            <wp:simplePos x="0" y="0"/>
            <wp:positionH relativeFrom="page">
              <wp:posOffset>905255</wp:posOffset>
            </wp:positionH>
            <wp:positionV relativeFrom="paragraph">
              <wp:posOffset>81314</wp:posOffset>
            </wp:positionV>
            <wp:extent cx="259079" cy="100753"/>
            <wp:effectExtent l="0" t="0" r="0" b="0"/>
            <wp:wrapNone/>
            <wp:docPr id="763" name="image3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 name="image392.png"/>
                    <pic:cNvPicPr/>
                  </pic:nvPicPr>
                  <pic:blipFill>
                    <a:blip r:embed="rId522" cstate="print"/>
                    <a:stretch>
                      <a:fillRect/>
                    </a:stretch>
                  </pic:blipFill>
                  <pic:spPr>
                    <a:xfrm>
                      <a:off x="0" y="0"/>
                      <a:ext cx="259079" cy="100753"/>
                    </a:xfrm>
                    <a:prstGeom prst="rect">
                      <a:avLst/>
                    </a:prstGeom>
                  </pic:spPr>
                </pic:pic>
              </a:graphicData>
            </a:graphic>
          </wp:anchor>
        </w:drawing>
      </w:r>
      <w:r>
        <w:t>In respect of both Casella Wines and Swan Vintage, MOFCOM had erroneous recourse</w:t>
      </w:r>
      <w:r>
        <w:rPr>
          <w:spacing w:val="-7"/>
        </w:rPr>
        <w:t xml:space="preserve"> </w:t>
      </w:r>
      <w:r>
        <w:t>to</w:t>
      </w:r>
      <w:r>
        <w:rPr>
          <w:spacing w:val="-7"/>
        </w:rPr>
        <w:t xml:space="preserve"> </w:t>
      </w:r>
      <w:r>
        <w:t>facts</w:t>
      </w:r>
      <w:r>
        <w:rPr>
          <w:spacing w:val="-7"/>
        </w:rPr>
        <w:t xml:space="preserve"> </w:t>
      </w:r>
      <w:r>
        <w:t>available</w:t>
      </w:r>
      <w:r>
        <w:rPr>
          <w:spacing w:val="-7"/>
        </w:rPr>
        <w:t xml:space="preserve"> </w:t>
      </w:r>
      <w:r>
        <w:t>to</w:t>
      </w:r>
      <w:r>
        <w:rPr>
          <w:spacing w:val="-7"/>
        </w:rPr>
        <w:t xml:space="preserve"> </w:t>
      </w:r>
      <w:r>
        <w:t>calculate</w:t>
      </w:r>
      <w:r>
        <w:rPr>
          <w:spacing w:val="-6"/>
        </w:rPr>
        <w:t xml:space="preserve"> </w:t>
      </w:r>
      <w:r>
        <w:t>normal</w:t>
      </w:r>
      <w:r>
        <w:rPr>
          <w:spacing w:val="-7"/>
        </w:rPr>
        <w:t xml:space="preserve"> </w:t>
      </w:r>
      <w:r>
        <w:t>values</w:t>
      </w:r>
      <w:r>
        <w:rPr>
          <w:spacing w:val="-8"/>
        </w:rPr>
        <w:t xml:space="preserve"> </w:t>
      </w:r>
      <w:r>
        <w:t>and</w:t>
      </w:r>
      <w:r>
        <w:rPr>
          <w:spacing w:val="-7"/>
        </w:rPr>
        <w:t xml:space="preserve"> </w:t>
      </w:r>
      <w:r>
        <w:t>chose</w:t>
      </w:r>
      <w:r>
        <w:rPr>
          <w:spacing w:val="-7"/>
        </w:rPr>
        <w:t xml:space="preserve"> </w:t>
      </w:r>
      <w:r>
        <w:t>to</w:t>
      </w:r>
      <w:r>
        <w:rPr>
          <w:spacing w:val="-7"/>
        </w:rPr>
        <w:t xml:space="preserve"> </w:t>
      </w:r>
      <w:r>
        <w:t>use</w:t>
      </w:r>
      <w:r>
        <w:rPr>
          <w:spacing w:val="-6"/>
        </w:rPr>
        <w:t xml:space="preserve"> </w:t>
      </w:r>
      <w:r>
        <w:t>the</w:t>
      </w:r>
      <w:r>
        <w:rPr>
          <w:spacing w:val="-7"/>
        </w:rPr>
        <w:t xml:space="preserve"> </w:t>
      </w:r>
      <w:r>
        <w:t>"weighted</w:t>
      </w:r>
      <w:r>
        <w:rPr>
          <w:spacing w:val="-8"/>
        </w:rPr>
        <w:t xml:space="preserve"> </w:t>
      </w:r>
      <w:r>
        <w:t>average price of domestic sales of other respondents".</w:t>
      </w:r>
      <w:r>
        <w:rPr>
          <w:vertAlign w:val="superscript"/>
        </w:rPr>
        <w:t>412</w:t>
      </w:r>
    </w:p>
    <w:p w14:paraId="51DE88F8" w14:textId="77777777" w:rsidR="0010369C" w:rsidRDefault="0010369C">
      <w:pPr>
        <w:pStyle w:val="BodyText"/>
        <w:spacing w:before="11"/>
        <w:rPr>
          <w:sz w:val="8"/>
        </w:rPr>
      </w:pPr>
    </w:p>
    <w:p w14:paraId="51DE88F9" w14:textId="77777777" w:rsidR="0010369C" w:rsidRDefault="008E43AE">
      <w:pPr>
        <w:pStyle w:val="BodyText"/>
        <w:spacing w:before="52" w:line="360" w:lineRule="auto"/>
        <w:ind w:left="238" w:right="613" w:firstLine="851"/>
        <w:jc w:val="both"/>
      </w:pPr>
      <w:r>
        <w:rPr>
          <w:noProof/>
        </w:rPr>
        <w:drawing>
          <wp:anchor distT="0" distB="0" distL="0" distR="0" simplePos="0" relativeHeight="251024896" behindDoc="1" locked="0" layoutInCell="1" allowOverlap="1" wp14:anchorId="51DEA299" wp14:editId="51DEA29A">
            <wp:simplePos x="0" y="0"/>
            <wp:positionH relativeFrom="page">
              <wp:posOffset>905255</wp:posOffset>
            </wp:positionH>
            <wp:positionV relativeFrom="paragraph">
              <wp:posOffset>81950</wp:posOffset>
            </wp:positionV>
            <wp:extent cx="259079" cy="100753"/>
            <wp:effectExtent l="0" t="0" r="0" b="0"/>
            <wp:wrapNone/>
            <wp:docPr id="765" name="image3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 name="image393.png"/>
                    <pic:cNvPicPr/>
                  </pic:nvPicPr>
                  <pic:blipFill>
                    <a:blip r:embed="rId523" cstate="print"/>
                    <a:stretch>
                      <a:fillRect/>
                    </a:stretch>
                  </pic:blipFill>
                  <pic:spPr>
                    <a:xfrm>
                      <a:off x="0" y="0"/>
                      <a:ext cx="259079" cy="100753"/>
                    </a:xfrm>
                    <a:prstGeom prst="rect">
                      <a:avLst/>
                    </a:prstGeom>
                  </pic:spPr>
                </pic:pic>
              </a:graphicData>
            </a:graphic>
          </wp:anchor>
        </w:drawing>
      </w:r>
      <w:r>
        <w:t>Taken on its face, this approach suggests that MOFCOM rejected the actual data reported</w:t>
      </w:r>
      <w:r>
        <w:rPr>
          <w:spacing w:val="-12"/>
        </w:rPr>
        <w:t xml:space="preserve"> </w:t>
      </w:r>
      <w:r>
        <w:t>by</w:t>
      </w:r>
      <w:r>
        <w:rPr>
          <w:spacing w:val="-12"/>
        </w:rPr>
        <w:t xml:space="preserve"> </w:t>
      </w:r>
      <w:r>
        <w:t>both</w:t>
      </w:r>
      <w:r>
        <w:rPr>
          <w:spacing w:val="-11"/>
        </w:rPr>
        <w:t xml:space="preserve"> </w:t>
      </w:r>
      <w:r>
        <w:t>of</w:t>
      </w:r>
      <w:r>
        <w:rPr>
          <w:spacing w:val="-11"/>
        </w:rPr>
        <w:t xml:space="preserve"> </w:t>
      </w:r>
      <w:r>
        <w:t>those</w:t>
      </w:r>
      <w:r>
        <w:rPr>
          <w:spacing w:val="-11"/>
        </w:rPr>
        <w:t xml:space="preserve"> </w:t>
      </w:r>
      <w:r>
        <w:t>companies,</w:t>
      </w:r>
      <w:r>
        <w:rPr>
          <w:spacing w:val="-11"/>
        </w:rPr>
        <w:t xml:space="preserve"> </w:t>
      </w:r>
      <w:r>
        <w:t>and</w:t>
      </w:r>
      <w:r>
        <w:rPr>
          <w:spacing w:val="-11"/>
        </w:rPr>
        <w:t xml:space="preserve"> </w:t>
      </w:r>
      <w:r>
        <w:t>instead</w:t>
      </w:r>
      <w:r>
        <w:rPr>
          <w:spacing w:val="-11"/>
        </w:rPr>
        <w:t xml:space="preserve"> </w:t>
      </w:r>
      <w:r>
        <w:t>calculated</w:t>
      </w:r>
      <w:r>
        <w:rPr>
          <w:spacing w:val="-12"/>
        </w:rPr>
        <w:t xml:space="preserve"> </w:t>
      </w:r>
      <w:r>
        <w:t>averages</w:t>
      </w:r>
      <w:r>
        <w:rPr>
          <w:spacing w:val="-12"/>
        </w:rPr>
        <w:t xml:space="preserve"> </w:t>
      </w:r>
      <w:r>
        <w:t>from</w:t>
      </w:r>
      <w:r>
        <w:rPr>
          <w:spacing w:val="-11"/>
        </w:rPr>
        <w:t xml:space="preserve"> </w:t>
      </w:r>
      <w:r>
        <w:t>the</w:t>
      </w:r>
      <w:r>
        <w:rPr>
          <w:spacing w:val="-10"/>
        </w:rPr>
        <w:t xml:space="preserve"> </w:t>
      </w:r>
      <w:r>
        <w:t>data</w:t>
      </w:r>
      <w:r>
        <w:rPr>
          <w:spacing w:val="-11"/>
        </w:rPr>
        <w:t xml:space="preserve"> </w:t>
      </w:r>
      <w:r>
        <w:t>provided by "other respondents".</w:t>
      </w:r>
    </w:p>
    <w:p w14:paraId="51DE88FA" w14:textId="77777777" w:rsidR="0010369C" w:rsidRDefault="0010369C">
      <w:pPr>
        <w:pStyle w:val="BodyText"/>
        <w:spacing w:before="11"/>
        <w:rPr>
          <w:sz w:val="8"/>
        </w:rPr>
      </w:pPr>
    </w:p>
    <w:p w14:paraId="51DE88FB" w14:textId="77777777" w:rsidR="0010369C" w:rsidRDefault="008E43AE">
      <w:pPr>
        <w:pStyle w:val="BodyText"/>
        <w:spacing w:before="51" w:line="360" w:lineRule="auto"/>
        <w:ind w:left="237" w:right="613" w:firstLine="851"/>
        <w:jc w:val="both"/>
      </w:pPr>
      <w:r>
        <w:rPr>
          <w:noProof/>
        </w:rPr>
        <w:drawing>
          <wp:anchor distT="0" distB="0" distL="0" distR="0" simplePos="0" relativeHeight="251025920" behindDoc="1" locked="0" layoutInCell="1" allowOverlap="1" wp14:anchorId="51DEA29B" wp14:editId="51DEA29C">
            <wp:simplePos x="0" y="0"/>
            <wp:positionH relativeFrom="page">
              <wp:posOffset>905255</wp:posOffset>
            </wp:positionH>
            <wp:positionV relativeFrom="paragraph">
              <wp:posOffset>81315</wp:posOffset>
            </wp:positionV>
            <wp:extent cx="259079" cy="100753"/>
            <wp:effectExtent l="0" t="0" r="0" b="0"/>
            <wp:wrapNone/>
            <wp:docPr id="767" name="image3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 name="image394.png"/>
                    <pic:cNvPicPr/>
                  </pic:nvPicPr>
                  <pic:blipFill>
                    <a:blip r:embed="rId524" cstate="print"/>
                    <a:stretch>
                      <a:fillRect/>
                    </a:stretch>
                  </pic:blipFill>
                  <pic:spPr>
                    <a:xfrm>
                      <a:off x="0" y="0"/>
                      <a:ext cx="259079" cy="100753"/>
                    </a:xfrm>
                    <a:prstGeom prst="rect">
                      <a:avLst/>
                    </a:prstGeom>
                  </pic:spPr>
                </pic:pic>
              </a:graphicData>
            </a:graphic>
          </wp:anchor>
        </w:drawing>
      </w:r>
      <w:r>
        <w:t>The</w:t>
      </w:r>
      <w:r>
        <w:rPr>
          <w:spacing w:val="-1"/>
        </w:rPr>
        <w:t xml:space="preserve"> </w:t>
      </w:r>
      <w:r>
        <w:t>obvious</w:t>
      </w:r>
      <w:r>
        <w:rPr>
          <w:spacing w:val="-1"/>
        </w:rPr>
        <w:t xml:space="preserve"> </w:t>
      </w:r>
      <w:r>
        <w:t>difficulty with</w:t>
      </w:r>
      <w:r>
        <w:rPr>
          <w:spacing w:val="-2"/>
        </w:rPr>
        <w:t xml:space="preserve"> </w:t>
      </w:r>
      <w:r>
        <w:t>this</w:t>
      </w:r>
      <w:r>
        <w:rPr>
          <w:spacing w:val="-2"/>
        </w:rPr>
        <w:t xml:space="preserve"> </w:t>
      </w:r>
      <w:r>
        <w:t>assertion</w:t>
      </w:r>
      <w:r>
        <w:rPr>
          <w:spacing w:val="-1"/>
        </w:rPr>
        <w:t xml:space="preserve"> </w:t>
      </w:r>
      <w:r>
        <w:t>is</w:t>
      </w:r>
      <w:r>
        <w:rPr>
          <w:spacing w:val="-2"/>
        </w:rPr>
        <w:t xml:space="preserve"> </w:t>
      </w:r>
      <w:r>
        <w:t>that</w:t>
      </w:r>
      <w:r>
        <w:rPr>
          <w:spacing w:val="-1"/>
        </w:rPr>
        <w:t xml:space="preserve"> </w:t>
      </w:r>
      <w:r>
        <w:t>only the</w:t>
      </w:r>
      <w:r>
        <w:rPr>
          <w:spacing w:val="-1"/>
        </w:rPr>
        <w:t xml:space="preserve"> </w:t>
      </w:r>
      <w:r>
        <w:t>three</w:t>
      </w:r>
      <w:r>
        <w:rPr>
          <w:spacing w:val="-1"/>
        </w:rPr>
        <w:t xml:space="preserve"> </w:t>
      </w:r>
      <w:r>
        <w:t>respondents</w:t>
      </w:r>
      <w:r>
        <w:rPr>
          <w:spacing w:val="-2"/>
        </w:rPr>
        <w:t xml:space="preserve"> </w:t>
      </w:r>
      <w:r>
        <w:t>included in</w:t>
      </w:r>
      <w:r>
        <w:rPr>
          <w:spacing w:val="-3"/>
        </w:rPr>
        <w:t xml:space="preserve"> </w:t>
      </w:r>
      <w:r>
        <w:t>the</w:t>
      </w:r>
      <w:r>
        <w:rPr>
          <w:spacing w:val="-2"/>
        </w:rPr>
        <w:t xml:space="preserve"> </w:t>
      </w:r>
      <w:r>
        <w:t>sample</w:t>
      </w:r>
      <w:r>
        <w:rPr>
          <w:spacing w:val="-2"/>
        </w:rPr>
        <w:t xml:space="preserve"> </w:t>
      </w:r>
      <w:r>
        <w:t>provided</w:t>
      </w:r>
      <w:r>
        <w:rPr>
          <w:spacing w:val="-2"/>
        </w:rPr>
        <w:t xml:space="preserve"> </w:t>
      </w:r>
      <w:r>
        <w:t>price</w:t>
      </w:r>
      <w:r>
        <w:rPr>
          <w:spacing w:val="-2"/>
        </w:rPr>
        <w:t xml:space="preserve"> </w:t>
      </w:r>
      <w:r>
        <w:t>data</w:t>
      </w:r>
      <w:r>
        <w:rPr>
          <w:spacing w:val="-3"/>
        </w:rPr>
        <w:t xml:space="preserve"> </w:t>
      </w:r>
      <w:r>
        <w:t>on</w:t>
      </w:r>
      <w:r>
        <w:rPr>
          <w:spacing w:val="-3"/>
        </w:rPr>
        <w:t xml:space="preserve"> </w:t>
      </w:r>
      <w:r>
        <w:t>domestic sales</w:t>
      </w:r>
      <w:r>
        <w:rPr>
          <w:spacing w:val="-3"/>
        </w:rPr>
        <w:t xml:space="preserve"> </w:t>
      </w:r>
      <w:r>
        <w:t>to</w:t>
      </w:r>
      <w:r>
        <w:rPr>
          <w:spacing w:val="-2"/>
        </w:rPr>
        <w:t xml:space="preserve"> </w:t>
      </w:r>
      <w:r>
        <w:t>MOFCOM</w:t>
      </w:r>
      <w:r>
        <w:rPr>
          <w:spacing w:val="-2"/>
        </w:rPr>
        <w:t xml:space="preserve"> </w:t>
      </w:r>
      <w:r>
        <w:t>as</w:t>
      </w:r>
      <w:r>
        <w:rPr>
          <w:spacing w:val="-3"/>
        </w:rPr>
        <w:t xml:space="preserve"> </w:t>
      </w:r>
      <w:r>
        <w:t>part</w:t>
      </w:r>
      <w:r>
        <w:rPr>
          <w:spacing w:val="-1"/>
        </w:rPr>
        <w:t xml:space="preserve"> </w:t>
      </w:r>
      <w:r>
        <w:t>of</w:t>
      </w:r>
      <w:r>
        <w:rPr>
          <w:spacing w:val="-3"/>
        </w:rPr>
        <w:t xml:space="preserve"> </w:t>
      </w:r>
      <w:r>
        <w:t>the</w:t>
      </w:r>
      <w:r>
        <w:rPr>
          <w:spacing w:val="-2"/>
        </w:rPr>
        <w:t xml:space="preserve"> </w:t>
      </w:r>
      <w:r>
        <w:t>investigation. Given that two of those companies were Casella Wines and Swan Vintage themselves, it is impossible to discern a rational methodology fro</w:t>
      </w:r>
      <w:r>
        <w:t>m MOFCOM's stated approach.</w:t>
      </w:r>
    </w:p>
    <w:p w14:paraId="51DE88FC" w14:textId="77777777" w:rsidR="0010369C" w:rsidRDefault="0010369C">
      <w:pPr>
        <w:pStyle w:val="BodyText"/>
        <w:spacing w:before="11"/>
        <w:rPr>
          <w:sz w:val="8"/>
        </w:rPr>
      </w:pPr>
    </w:p>
    <w:p w14:paraId="51DE88FD" w14:textId="77777777" w:rsidR="0010369C" w:rsidRDefault="008E43AE">
      <w:pPr>
        <w:pStyle w:val="BodyText"/>
        <w:spacing w:before="51" w:line="360" w:lineRule="auto"/>
        <w:ind w:left="236" w:right="612" w:firstLine="852"/>
        <w:jc w:val="both"/>
      </w:pPr>
      <w:r>
        <w:rPr>
          <w:noProof/>
        </w:rPr>
        <w:drawing>
          <wp:anchor distT="0" distB="0" distL="0" distR="0" simplePos="0" relativeHeight="251026944" behindDoc="1" locked="0" layoutInCell="1" allowOverlap="1" wp14:anchorId="51DEA29D" wp14:editId="51DEA29E">
            <wp:simplePos x="0" y="0"/>
            <wp:positionH relativeFrom="page">
              <wp:posOffset>905255</wp:posOffset>
            </wp:positionH>
            <wp:positionV relativeFrom="paragraph">
              <wp:posOffset>79960</wp:posOffset>
            </wp:positionV>
            <wp:extent cx="259079" cy="103631"/>
            <wp:effectExtent l="0" t="0" r="0" b="0"/>
            <wp:wrapNone/>
            <wp:docPr id="769" name="image3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 name="image395.png"/>
                    <pic:cNvPicPr/>
                  </pic:nvPicPr>
                  <pic:blipFill>
                    <a:blip r:embed="rId525" cstate="print"/>
                    <a:stretch>
                      <a:fillRect/>
                    </a:stretch>
                  </pic:blipFill>
                  <pic:spPr>
                    <a:xfrm>
                      <a:off x="0" y="0"/>
                      <a:ext cx="259079" cy="103631"/>
                    </a:xfrm>
                    <a:prstGeom prst="rect">
                      <a:avLst/>
                    </a:prstGeom>
                  </pic:spPr>
                </pic:pic>
              </a:graphicData>
            </a:graphic>
          </wp:anchor>
        </w:drawing>
      </w:r>
      <w:r>
        <w:t>MOFCOM provided no further explanation of what it meant by this concept of "weighted average" in the Final Determination. No explanation was given as to how, even at a conceptual level, MOFCOM purported to calculate a weighted average when only partial dat</w:t>
      </w:r>
      <w:r>
        <w:t>a from one company (i.e. Treasury Wines) was accepted. It is impossible to understand what a "weighted average" of sales from "other respondents" (in plural) could constitute when</w:t>
      </w:r>
      <w:r>
        <w:rPr>
          <w:spacing w:val="-7"/>
        </w:rPr>
        <w:t xml:space="preserve"> </w:t>
      </w:r>
      <w:r>
        <w:t>this</w:t>
      </w:r>
      <w:r>
        <w:rPr>
          <w:spacing w:val="-7"/>
        </w:rPr>
        <w:t xml:space="preserve"> </w:t>
      </w:r>
      <w:r>
        <w:t>average</w:t>
      </w:r>
      <w:r>
        <w:rPr>
          <w:spacing w:val="-6"/>
        </w:rPr>
        <w:t xml:space="preserve"> </w:t>
      </w:r>
      <w:r>
        <w:t>was,</w:t>
      </w:r>
      <w:r>
        <w:rPr>
          <w:spacing w:val="-6"/>
        </w:rPr>
        <w:t xml:space="preserve"> </w:t>
      </w:r>
      <w:r>
        <w:t>itself,</w:t>
      </w:r>
      <w:r>
        <w:rPr>
          <w:spacing w:val="-6"/>
        </w:rPr>
        <w:t xml:space="preserve"> </w:t>
      </w:r>
      <w:r>
        <w:t>the</w:t>
      </w:r>
      <w:r>
        <w:rPr>
          <w:spacing w:val="-6"/>
        </w:rPr>
        <w:t xml:space="preserve"> </w:t>
      </w:r>
      <w:r>
        <w:t>basis</w:t>
      </w:r>
      <w:r>
        <w:rPr>
          <w:spacing w:val="-6"/>
        </w:rPr>
        <w:t xml:space="preserve"> </w:t>
      </w:r>
      <w:r>
        <w:t>for</w:t>
      </w:r>
      <w:r>
        <w:rPr>
          <w:spacing w:val="-6"/>
        </w:rPr>
        <w:t xml:space="preserve"> </w:t>
      </w:r>
      <w:r>
        <w:t>the</w:t>
      </w:r>
      <w:r>
        <w:rPr>
          <w:spacing w:val="-6"/>
        </w:rPr>
        <w:t xml:space="preserve"> </w:t>
      </w:r>
      <w:r>
        <w:t>determination</w:t>
      </w:r>
      <w:r>
        <w:rPr>
          <w:spacing w:val="-6"/>
        </w:rPr>
        <w:t xml:space="preserve"> </w:t>
      </w:r>
      <w:r>
        <w:t>of</w:t>
      </w:r>
      <w:r>
        <w:rPr>
          <w:spacing w:val="-6"/>
        </w:rPr>
        <w:t xml:space="preserve"> </w:t>
      </w:r>
      <w:r>
        <w:t>the</w:t>
      </w:r>
      <w:r>
        <w:rPr>
          <w:spacing w:val="-6"/>
        </w:rPr>
        <w:t xml:space="preserve"> </w:t>
      </w:r>
      <w:r>
        <w:t>price</w:t>
      </w:r>
      <w:r>
        <w:rPr>
          <w:spacing w:val="-7"/>
        </w:rPr>
        <w:t xml:space="preserve"> </w:t>
      </w:r>
      <w:r>
        <w:t>of</w:t>
      </w:r>
      <w:r>
        <w:rPr>
          <w:spacing w:val="-6"/>
        </w:rPr>
        <w:t xml:space="preserve"> </w:t>
      </w:r>
      <w:r>
        <w:t>do</w:t>
      </w:r>
      <w:r>
        <w:t>mestic</w:t>
      </w:r>
      <w:r>
        <w:rPr>
          <w:spacing w:val="-4"/>
        </w:rPr>
        <w:t xml:space="preserve"> </w:t>
      </w:r>
      <w:r>
        <w:t>sales</w:t>
      </w:r>
      <w:r>
        <w:rPr>
          <w:spacing w:val="-6"/>
        </w:rPr>
        <w:t xml:space="preserve"> </w:t>
      </w:r>
      <w:r>
        <w:t>of all except one of the respondents.</w:t>
      </w:r>
    </w:p>
    <w:p w14:paraId="51DE88FE" w14:textId="77777777" w:rsidR="0010369C" w:rsidRDefault="0010369C">
      <w:pPr>
        <w:pStyle w:val="BodyText"/>
        <w:spacing w:before="11"/>
        <w:rPr>
          <w:sz w:val="8"/>
        </w:rPr>
      </w:pPr>
    </w:p>
    <w:p w14:paraId="51DE88FF" w14:textId="77777777" w:rsidR="0010369C" w:rsidRDefault="008E43AE">
      <w:pPr>
        <w:pStyle w:val="BodyText"/>
        <w:spacing w:before="52" w:line="360" w:lineRule="auto"/>
        <w:ind w:left="238" w:right="614" w:firstLine="850"/>
      </w:pPr>
      <w:r>
        <w:rPr>
          <w:noProof/>
        </w:rPr>
        <w:drawing>
          <wp:anchor distT="0" distB="0" distL="0" distR="0" simplePos="0" relativeHeight="251027968" behindDoc="1" locked="0" layoutInCell="1" allowOverlap="1" wp14:anchorId="51DEA29F" wp14:editId="51DEA2A0">
            <wp:simplePos x="0" y="0"/>
            <wp:positionH relativeFrom="page">
              <wp:posOffset>905255</wp:posOffset>
            </wp:positionH>
            <wp:positionV relativeFrom="paragraph">
              <wp:posOffset>76785</wp:posOffset>
            </wp:positionV>
            <wp:extent cx="259079" cy="106679"/>
            <wp:effectExtent l="0" t="0" r="0" b="0"/>
            <wp:wrapNone/>
            <wp:docPr id="771" name="image3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 name="image396.png"/>
                    <pic:cNvPicPr/>
                  </pic:nvPicPr>
                  <pic:blipFill>
                    <a:blip r:embed="rId526" cstate="print"/>
                    <a:stretch>
                      <a:fillRect/>
                    </a:stretch>
                  </pic:blipFill>
                  <pic:spPr>
                    <a:xfrm>
                      <a:off x="0" y="0"/>
                      <a:ext cx="259079" cy="106679"/>
                    </a:xfrm>
                    <a:prstGeom prst="rect">
                      <a:avLst/>
                    </a:prstGeom>
                  </pic:spPr>
                </pic:pic>
              </a:graphicData>
            </a:graphic>
          </wp:anchor>
        </w:drawing>
      </w:r>
      <w:r>
        <w:t>Australia submits that this statement of MOFCOM's approach must be given one of three potential interpretations, each of which involved error.</w:t>
      </w:r>
    </w:p>
    <w:p w14:paraId="51DE8900" w14:textId="77777777" w:rsidR="0010369C" w:rsidRDefault="0010369C">
      <w:pPr>
        <w:pStyle w:val="BodyText"/>
        <w:spacing w:before="10"/>
        <w:rPr>
          <w:sz w:val="8"/>
        </w:rPr>
      </w:pPr>
    </w:p>
    <w:p w14:paraId="51DE8901" w14:textId="77777777" w:rsidR="0010369C" w:rsidRDefault="008E43AE">
      <w:pPr>
        <w:pStyle w:val="BodyText"/>
        <w:spacing w:before="51" w:line="360" w:lineRule="auto"/>
        <w:ind w:left="238" w:firstLine="850"/>
      </w:pPr>
      <w:r>
        <w:rPr>
          <w:noProof/>
        </w:rPr>
        <w:drawing>
          <wp:anchor distT="0" distB="0" distL="0" distR="0" simplePos="0" relativeHeight="251028992" behindDoc="1" locked="0" layoutInCell="1" allowOverlap="1" wp14:anchorId="51DEA2A1" wp14:editId="51DEA2A2">
            <wp:simplePos x="0" y="0"/>
            <wp:positionH relativeFrom="page">
              <wp:posOffset>905255</wp:posOffset>
            </wp:positionH>
            <wp:positionV relativeFrom="paragraph">
              <wp:posOffset>81314</wp:posOffset>
            </wp:positionV>
            <wp:extent cx="259079" cy="100753"/>
            <wp:effectExtent l="0" t="0" r="0" b="0"/>
            <wp:wrapNone/>
            <wp:docPr id="773" name="image3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 name="image397.png"/>
                    <pic:cNvPicPr/>
                  </pic:nvPicPr>
                  <pic:blipFill>
                    <a:blip r:embed="rId527" cstate="print"/>
                    <a:stretch>
                      <a:fillRect/>
                    </a:stretch>
                  </pic:blipFill>
                  <pic:spPr>
                    <a:xfrm>
                      <a:off x="0" y="0"/>
                      <a:ext cx="259079" cy="100753"/>
                    </a:xfrm>
                    <a:prstGeom prst="rect">
                      <a:avLst/>
                    </a:prstGeom>
                  </pic:spPr>
                </pic:pic>
              </a:graphicData>
            </a:graphic>
          </wp:anchor>
        </w:drawing>
      </w:r>
      <w:r>
        <w:t xml:space="preserve">One interpretation is that, in the case of Casella Wines, </w:t>
      </w:r>
      <w:r>
        <w:t xml:space="preserve">MOFCOM used the prices it </w:t>
      </w:r>
      <w:r>
        <w:rPr>
          <w:w w:val="95"/>
        </w:rPr>
        <w:t>determined</w:t>
      </w:r>
      <w:r>
        <w:rPr>
          <w:spacing w:val="13"/>
        </w:rPr>
        <w:t xml:space="preserve"> </w:t>
      </w:r>
      <w:r>
        <w:rPr>
          <w:w w:val="95"/>
        </w:rPr>
        <w:t>for</w:t>
      </w:r>
      <w:r>
        <w:rPr>
          <w:spacing w:val="14"/>
        </w:rPr>
        <w:t xml:space="preserve"> </w:t>
      </w:r>
      <w:r>
        <w:rPr>
          <w:w w:val="95"/>
        </w:rPr>
        <w:t>domestic</w:t>
      </w:r>
      <w:r>
        <w:rPr>
          <w:spacing w:val="13"/>
        </w:rPr>
        <w:t xml:space="preserve"> </w:t>
      </w:r>
      <w:r>
        <w:rPr>
          <w:w w:val="95"/>
        </w:rPr>
        <w:t>sales</w:t>
      </w:r>
      <w:r>
        <w:rPr>
          <w:spacing w:val="14"/>
        </w:rPr>
        <w:t xml:space="preserve"> </w:t>
      </w:r>
      <w:r>
        <w:rPr>
          <w:w w:val="95"/>
        </w:rPr>
        <w:t>from</w:t>
      </w:r>
      <w:r>
        <w:rPr>
          <w:spacing w:val="14"/>
        </w:rPr>
        <w:t xml:space="preserve"> </w:t>
      </w:r>
      <w:r>
        <w:rPr>
          <w:w w:val="95"/>
        </w:rPr>
        <w:t>Swan</w:t>
      </w:r>
      <w:r>
        <w:rPr>
          <w:spacing w:val="13"/>
        </w:rPr>
        <w:t xml:space="preserve"> </w:t>
      </w:r>
      <w:r>
        <w:rPr>
          <w:w w:val="95"/>
        </w:rPr>
        <w:t>Vintage</w:t>
      </w:r>
      <w:r>
        <w:rPr>
          <w:spacing w:val="14"/>
        </w:rPr>
        <w:t xml:space="preserve"> </w:t>
      </w:r>
      <w:r>
        <w:rPr>
          <w:w w:val="95"/>
        </w:rPr>
        <w:t>and</w:t>
      </w:r>
      <w:r>
        <w:rPr>
          <w:spacing w:val="14"/>
        </w:rPr>
        <w:t xml:space="preserve"> </w:t>
      </w:r>
      <w:r>
        <w:rPr>
          <w:w w:val="95"/>
        </w:rPr>
        <w:t>Treasury</w:t>
      </w:r>
      <w:r>
        <w:rPr>
          <w:spacing w:val="15"/>
        </w:rPr>
        <w:t xml:space="preserve"> </w:t>
      </w:r>
      <w:r>
        <w:rPr>
          <w:w w:val="95"/>
        </w:rPr>
        <w:t>Wines</w:t>
      </w:r>
      <w:r>
        <w:rPr>
          <w:spacing w:val="12"/>
        </w:rPr>
        <w:t xml:space="preserve"> </w:t>
      </w:r>
      <w:r>
        <w:rPr>
          <w:w w:val="95"/>
        </w:rPr>
        <w:t>to</w:t>
      </w:r>
      <w:r>
        <w:rPr>
          <w:spacing w:val="14"/>
        </w:rPr>
        <w:t xml:space="preserve"> </w:t>
      </w:r>
      <w:r>
        <w:rPr>
          <w:w w:val="95"/>
        </w:rPr>
        <w:t>calculate</w:t>
      </w:r>
      <w:r>
        <w:rPr>
          <w:spacing w:val="13"/>
        </w:rPr>
        <w:t xml:space="preserve"> </w:t>
      </w:r>
      <w:r>
        <w:rPr>
          <w:w w:val="95"/>
        </w:rPr>
        <w:t>a</w:t>
      </w:r>
      <w:r>
        <w:rPr>
          <w:spacing w:val="14"/>
        </w:rPr>
        <w:t xml:space="preserve"> </w:t>
      </w:r>
      <w:r>
        <w:rPr>
          <w:spacing w:val="-2"/>
          <w:w w:val="95"/>
        </w:rPr>
        <w:t>weighted</w:t>
      </w:r>
    </w:p>
    <w:p w14:paraId="51DE8902" w14:textId="77777777" w:rsidR="0010369C" w:rsidRDefault="008E43AE">
      <w:pPr>
        <w:pStyle w:val="BodyText"/>
        <w:spacing w:before="3"/>
        <w:rPr>
          <w:sz w:val="17"/>
        </w:rPr>
      </w:pPr>
      <w:r>
        <w:pict w14:anchorId="51DEA2A3">
          <v:rect id="docshape840" o:spid="_x0000_s1462" style="position:absolute;margin-left:70.9pt;margin-top:11.75pt;width:2in;height:.8pt;z-index:-250905088;mso-wrap-distance-left:0;mso-wrap-distance-right:0;mso-position-horizontal-relative:page" fillcolor="black" stroked="f">
            <w10:wrap type="topAndBottom" anchorx="page"/>
          </v:rect>
        </w:pict>
      </w:r>
    </w:p>
    <w:p w14:paraId="51DE8903" w14:textId="77777777" w:rsidR="0010369C" w:rsidRDefault="008E43AE">
      <w:pPr>
        <w:spacing w:before="109"/>
        <w:ind w:left="238"/>
        <w:rPr>
          <w:sz w:val="18"/>
        </w:rPr>
      </w:pPr>
      <w:r>
        <w:rPr>
          <w:sz w:val="18"/>
          <w:vertAlign w:val="superscript"/>
        </w:rPr>
        <w:t>412</w:t>
      </w:r>
      <w:r>
        <w:rPr>
          <w:spacing w:val="-9"/>
          <w:sz w:val="18"/>
        </w:rPr>
        <w:t xml:space="preserve"> </w:t>
      </w:r>
      <w:r>
        <w:rPr>
          <w:sz w:val="18"/>
        </w:rPr>
        <w:t>Anti‐Dumping</w:t>
      </w:r>
      <w:r>
        <w:rPr>
          <w:spacing w:val="-8"/>
          <w:sz w:val="18"/>
        </w:rPr>
        <w:t xml:space="preserve"> </w:t>
      </w:r>
      <w:r>
        <w:rPr>
          <w:sz w:val="18"/>
        </w:rPr>
        <w:t>Final</w:t>
      </w:r>
      <w:r>
        <w:rPr>
          <w:spacing w:val="-8"/>
          <w:sz w:val="18"/>
        </w:rPr>
        <w:t xml:space="preserve"> </w:t>
      </w:r>
      <w:r>
        <w:rPr>
          <w:sz w:val="18"/>
        </w:rPr>
        <w:t>Determination</w:t>
      </w:r>
      <w:r>
        <w:rPr>
          <w:spacing w:val="-7"/>
          <w:sz w:val="18"/>
        </w:rPr>
        <w:t xml:space="preserve"> </w:t>
      </w:r>
      <w:r>
        <w:rPr>
          <w:sz w:val="18"/>
        </w:rPr>
        <w:t>(Exhibit</w:t>
      </w:r>
      <w:r>
        <w:rPr>
          <w:spacing w:val="-8"/>
          <w:sz w:val="18"/>
        </w:rPr>
        <w:t xml:space="preserve"> </w:t>
      </w:r>
      <w:r>
        <w:rPr>
          <w:sz w:val="18"/>
        </w:rPr>
        <w:t>AUS‐2),</w:t>
      </w:r>
      <w:r>
        <w:rPr>
          <w:spacing w:val="-9"/>
          <w:sz w:val="18"/>
        </w:rPr>
        <w:t xml:space="preserve"> </w:t>
      </w:r>
      <w:r>
        <w:rPr>
          <w:sz w:val="18"/>
        </w:rPr>
        <w:t>pp.</w:t>
      </w:r>
      <w:r>
        <w:rPr>
          <w:spacing w:val="-8"/>
          <w:sz w:val="18"/>
        </w:rPr>
        <w:t xml:space="preserve"> </w:t>
      </w:r>
      <w:r>
        <w:rPr>
          <w:sz w:val="18"/>
        </w:rPr>
        <w:t>85,</w:t>
      </w:r>
      <w:r>
        <w:rPr>
          <w:spacing w:val="-9"/>
          <w:sz w:val="18"/>
        </w:rPr>
        <w:t xml:space="preserve"> </w:t>
      </w:r>
      <w:r>
        <w:rPr>
          <w:spacing w:val="-5"/>
          <w:sz w:val="18"/>
        </w:rPr>
        <w:t>92.</w:t>
      </w:r>
    </w:p>
    <w:p w14:paraId="51DE8904" w14:textId="77777777" w:rsidR="0010369C" w:rsidRDefault="0010369C">
      <w:pPr>
        <w:rPr>
          <w:sz w:val="18"/>
        </w:rPr>
        <w:sectPr w:rsidR="0010369C">
          <w:pgSz w:w="11910" w:h="16840"/>
          <w:pgMar w:top="880" w:right="800" w:bottom="980" w:left="1180" w:header="569" w:footer="788" w:gutter="0"/>
          <w:cols w:space="720"/>
        </w:sectPr>
      </w:pPr>
    </w:p>
    <w:p w14:paraId="51DE8905" w14:textId="77777777" w:rsidR="0010369C" w:rsidRDefault="008E43AE">
      <w:pPr>
        <w:tabs>
          <w:tab w:val="left" w:pos="6426"/>
        </w:tabs>
        <w:ind w:left="238"/>
        <w:jc w:val="both"/>
        <w:rPr>
          <w:sz w:val="20"/>
        </w:rPr>
      </w:pPr>
      <w:r>
        <w:rPr>
          <w:i/>
          <w:sz w:val="20"/>
        </w:rPr>
        <w:lastRenderedPageBreak/>
        <w:t>China</w:t>
      </w:r>
      <w:r>
        <w:rPr>
          <w:i/>
          <w:spacing w:val="-5"/>
          <w:sz w:val="20"/>
        </w:rPr>
        <w:t xml:space="preserve"> </w:t>
      </w:r>
      <w:r>
        <w:rPr>
          <w:i/>
          <w:sz w:val="20"/>
        </w:rPr>
        <w:t>–</w:t>
      </w:r>
      <w:r>
        <w:rPr>
          <w:i/>
          <w:spacing w:val="-5"/>
          <w:sz w:val="20"/>
        </w:rPr>
        <w:t xml:space="preserve"> </w:t>
      </w:r>
      <w:r>
        <w:rPr>
          <w:i/>
          <w:sz w:val="20"/>
        </w:rPr>
        <w:t>Anti‐Dumping</w:t>
      </w:r>
      <w:r>
        <w:rPr>
          <w:i/>
          <w:spacing w:val="-4"/>
          <w:sz w:val="20"/>
        </w:rPr>
        <w:t xml:space="preserve"> </w:t>
      </w:r>
      <w:r>
        <w:rPr>
          <w:i/>
          <w:sz w:val="20"/>
        </w:rPr>
        <w:t>and</w:t>
      </w:r>
      <w:r>
        <w:rPr>
          <w:i/>
          <w:spacing w:val="-5"/>
          <w:sz w:val="20"/>
        </w:rPr>
        <w:t xml:space="preserve"> </w:t>
      </w:r>
      <w:r>
        <w:rPr>
          <w:i/>
          <w:sz w:val="20"/>
        </w:rPr>
        <w:t>Countervailing</w:t>
      </w:r>
      <w:r>
        <w:rPr>
          <w:i/>
          <w:spacing w:val="-5"/>
          <w:sz w:val="20"/>
        </w:rPr>
        <w:t xml:space="preserve"> </w:t>
      </w:r>
      <w:r>
        <w:rPr>
          <w:i/>
          <w:sz w:val="20"/>
        </w:rPr>
        <w:t>Duty</w:t>
      </w:r>
      <w:r>
        <w:rPr>
          <w:i/>
          <w:spacing w:val="-4"/>
          <w:sz w:val="20"/>
        </w:rPr>
        <w:t xml:space="preserve"> </w:t>
      </w:r>
      <w:r>
        <w:rPr>
          <w:i/>
          <w:spacing w:val="-2"/>
          <w:sz w:val="20"/>
        </w:rPr>
        <w:t>Measures</w:t>
      </w:r>
      <w:r>
        <w:rPr>
          <w:i/>
          <w:sz w:val="20"/>
        </w:rPr>
        <w:tab/>
      </w:r>
      <w:r>
        <w:rPr>
          <w:sz w:val="20"/>
        </w:rPr>
        <w:t>Australia's</w:t>
      </w:r>
      <w:r>
        <w:rPr>
          <w:spacing w:val="-7"/>
          <w:sz w:val="20"/>
        </w:rPr>
        <w:t xml:space="preserve"> </w:t>
      </w:r>
      <w:r>
        <w:rPr>
          <w:sz w:val="20"/>
        </w:rPr>
        <w:t>First</w:t>
      </w:r>
      <w:r>
        <w:rPr>
          <w:spacing w:val="-2"/>
          <w:sz w:val="20"/>
        </w:rPr>
        <w:t xml:space="preserve"> </w:t>
      </w:r>
      <w:r>
        <w:rPr>
          <w:sz w:val="20"/>
        </w:rPr>
        <w:t>Written</w:t>
      </w:r>
      <w:r>
        <w:rPr>
          <w:spacing w:val="-2"/>
          <w:sz w:val="20"/>
        </w:rPr>
        <w:t xml:space="preserve"> Submission</w:t>
      </w:r>
    </w:p>
    <w:p w14:paraId="51DE8906" w14:textId="77777777" w:rsidR="0010369C" w:rsidRDefault="008E43AE">
      <w:pPr>
        <w:tabs>
          <w:tab w:val="left" w:pos="8228"/>
        </w:tabs>
        <w:spacing w:before="1"/>
        <w:ind w:left="239"/>
        <w:jc w:val="both"/>
        <w:rPr>
          <w:sz w:val="20"/>
        </w:rPr>
      </w:pPr>
      <w:r>
        <w:rPr>
          <w:i/>
          <w:sz w:val="20"/>
        </w:rPr>
        <w:t>on</w:t>
      </w:r>
      <w:r>
        <w:rPr>
          <w:i/>
          <w:spacing w:val="-1"/>
          <w:sz w:val="20"/>
        </w:rPr>
        <w:t xml:space="preserve"> </w:t>
      </w:r>
      <w:r>
        <w:rPr>
          <w:i/>
          <w:sz w:val="20"/>
        </w:rPr>
        <w:t>Wine</w:t>
      </w:r>
      <w:r>
        <w:rPr>
          <w:i/>
          <w:spacing w:val="-1"/>
          <w:sz w:val="20"/>
        </w:rPr>
        <w:t xml:space="preserve"> </w:t>
      </w:r>
      <w:r>
        <w:rPr>
          <w:i/>
          <w:sz w:val="20"/>
        </w:rPr>
        <w:t>from</w:t>
      </w:r>
      <w:r>
        <w:rPr>
          <w:i/>
          <w:spacing w:val="-3"/>
          <w:sz w:val="20"/>
        </w:rPr>
        <w:t xml:space="preserve"> </w:t>
      </w:r>
      <w:r>
        <w:rPr>
          <w:i/>
          <w:sz w:val="20"/>
        </w:rPr>
        <w:t>Australia</w:t>
      </w:r>
      <w:r>
        <w:rPr>
          <w:i/>
          <w:spacing w:val="-1"/>
          <w:sz w:val="20"/>
        </w:rPr>
        <w:t xml:space="preserve"> </w:t>
      </w:r>
      <w:r>
        <w:rPr>
          <w:spacing w:val="-2"/>
          <w:sz w:val="20"/>
        </w:rPr>
        <w:t>(DS602)</w:t>
      </w:r>
      <w:r>
        <w:rPr>
          <w:sz w:val="20"/>
        </w:rPr>
        <w:tab/>
        <w:t>29</w:t>
      </w:r>
      <w:r>
        <w:rPr>
          <w:spacing w:val="-1"/>
          <w:sz w:val="20"/>
        </w:rPr>
        <w:t xml:space="preserve"> </w:t>
      </w:r>
      <w:r>
        <w:rPr>
          <w:sz w:val="20"/>
        </w:rPr>
        <w:t>April</w:t>
      </w:r>
      <w:r>
        <w:rPr>
          <w:spacing w:val="-2"/>
          <w:sz w:val="20"/>
        </w:rPr>
        <w:t xml:space="preserve"> </w:t>
      </w:r>
      <w:r>
        <w:rPr>
          <w:spacing w:val="-4"/>
          <w:sz w:val="20"/>
        </w:rPr>
        <w:t>2022</w:t>
      </w:r>
    </w:p>
    <w:p w14:paraId="51DE8907" w14:textId="77777777" w:rsidR="0010369C" w:rsidRDefault="008E43AE">
      <w:pPr>
        <w:pStyle w:val="BodyText"/>
        <w:spacing w:before="34" w:line="360" w:lineRule="auto"/>
        <w:ind w:left="237" w:right="613"/>
        <w:jc w:val="both"/>
      </w:pPr>
      <w:r>
        <w:t>average,</w:t>
      </w:r>
      <w:r>
        <w:rPr>
          <w:spacing w:val="-3"/>
        </w:rPr>
        <w:t xml:space="preserve"> </w:t>
      </w:r>
      <w:r>
        <w:t>and</w:t>
      </w:r>
      <w:r>
        <w:rPr>
          <w:spacing w:val="-3"/>
        </w:rPr>
        <w:t xml:space="preserve"> </w:t>
      </w:r>
      <w:r>
        <w:t>in</w:t>
      </w:r>
      <w:r>
        <w:rPr>
          <w:spacing w:val="-3"/>
        </w:rPr>
        <w:t xml:space="preserve"> </w:t>
      </w:r>
      <w:r>
        <w:t>the</w:t>
      </w:r>
      <w:r>
        <w:rPr>
          <w:spacing w:val="-2"/>
        </w:rPr>
        <w:t xml:space="preserve"> </w:t>
      </w:r>
      <w:r>
        <w:t>case</w:t>
      </w:r>
      <w:r>
        <w:rPr>
          <w:spacing w:val="-2"/>
        </w:rPr>
        <w:t xml:space="preserve"> </w:t>
      </w:r>
      <w:r>
        <w:t>of</w:t>
      </w:r>
      <w:r>
        <w:rPr>
          <w:spacing w:val="-3"/>
        </w:rPr>
        <w:t xml:space="preserve"> </w:t>
      </w:r>
      <w:r>
        <w:t>Swan</w:t>
      </w:r>
      <w:r>
        <w:rPr>
          <w:spacing w:val="-3"/>
        </w:rPr>
        <w:t xml:space="preserve"> </w:t>
      </w:r>
      <w:r>
        <w:t>Vintage,</w:t>
      </w:r>
      <w:r>
        <w:rPr>
          <w:spacing w:val="-2"/>
        </w:rPr>
        <w:t xml:space="preserve"> </w:t>
      </w:r>
      <w:r>
        <w:t>MOFCOM</w:t>
      </w:r>
      <w:r>
        <w:rPr>
          <w:spacing w:val="-2"/>
        </w:rPr>
        <w:t xml:space="preserve"> </w:t>
      </w:r>
      <w:r>
        <w:t>used</w:t>
      </w:r>
      <w:r>
        <w:rPr>
          <w:spacing w:val="-3"/>
        </w:rPr>
        <w:t xml:space="preserve"> </w:t>
      </w:r>
      <w:r>
        <w:t>the</w:t>
      </w:r>
      <w:r>
        <w:rPr>
          <w:spacing w:val="-2"/>
        </w:rPr>
        <w:t xml:space="preserve"> </w:t>
      </w:r>
      <w:r>
        <w:t>prices</w:t>
      </w:r>
      <w:r>
        <w:rPr>
          <w:spacing w:val="-3"/>
        </w:rPr>
        <w:t xml:space="preserve"> </w:t>
      </w:r>
      <w:r>
        <w:t>it</w:t>
      </w:r>
      <w:r>
        <w:rPr>
          <w:spacing w:val="-3"/>
        </w:rPr>
        <w:t xml:space="preserve"> </w:t>
      </w:r>
      <w:r>
        <w:t>determined</w:t>
      </w:r>
      <w:r>
        <w:rPr>
          <w:spacing w:val="-2"/>
        </w:rPr>
        <w:t xml:space="preserve"> </w:t>
      </w:r>
      <w:r>
        <w:t>for</w:t>
      </w:r>
      <w:r>
        <w:rPr>
          <w:spacing w:val="-2"/>
        </w:rPr>
        <w:t xml:space="preserve"> </w:t>
      </w:r>
      <w:r>
        <w:t>Casella Wines and Treasury Wines to calculate a weighted average. This would be logically and mathematically nonsensical because:</w:t>
      </w:r>
    </w:p>
    <w:p w14:paraId="51DE8908" w14:textId="77777777" w:rsidR="0010369C" w:rsidRDefault="008E43AE">
      <w:pPr>
        <w:pStyle w:val="ListParagraph"/>
        <w:numPr>
          <w:ilvl w:val="0"/>
          <w:numId w:val="9"/>
        </w:numPr>
        <w:tabs>
          <w:tab w:val="left" w:pos="1939"/>
          <w:tab w:val="left" w:pos="1940"/>
        </w:tabs>
        <w:spacing w:before="161" w:line="357" w:lineRule="auto"/>
        <w:ind w:left="1938" w:right="613" w:hanging="850"/>
        <w:rPr>
          <w:sz w:val="24"/>
        </w:rPr>
      </w:pPr>
      <w:r>
        <w:rPr>
          <w:sz w:val="24"/>
        </w:rPr>
        <w:t>In the case of Casella Wines, it would mean that the price was determined by</w:t>
      </w:r>
      <w:r>
        <w:rPr>
          <w:spacing w:val="-14"/>
          <w:sz w:val="24"/>
        </w:rPr>
        <w:t xml:space="preserve"> </w:t>
      </w:r>
      <w:r>
        <w:rPr>
          <w:sz w:val="24"/>
        </w:rPr>
        <w:t>an</w:t>
      </w:r>
      <w:r>
        <w:rPr>
          <w:spacing w:val="-14"/>
          <w:sz w:val="24"/>
        </w:rPr>
        <w:t xml:space="preserve"> </w:t>
      </w:r>
      <w:r>
        <w:rPr>
          <w:sz w:val="24"/>
        </w:rPr>
        <w:t>average</w:t>
      </w:r>
      <w:r>
        <w:rPr>
          <w:spacing w:val="-13"/>
          <w:sz w:val="24"/>
        </w:rPr>
        <w:t xml:space="preserve"> </w:t>
      </w:r>
      <w:r>
        <w:rPr>
          <w:sz w:val="24"/>
        </w:rPr>
        <w:t>where</w:t>
      </w:r>
      <w:r>
        <w:rPr>
          <w:spacing w:val="-14"/>
          <w:sz w:val="24"/>
        </w:rPr>
        <w:t xml:space="preserve"> </w:t>
      </w:r>
      <w:r>
        <w:rPr>
          <w:sz w:val="24"/>
        </w:rPr>
        <w:t>one</w:t>
      </w:r>
      <w:r>
        <w:rPr>
          <w:spacing w:val="-13"/>
          <w:sz w:val="24"/>
        </w:rPr>
        <w:t xml:space="preserve"> </w:t>
      </w:r>
      <w:r>
        <w:rPr>
          <w:sz w:val="24"/>
        </w:rPr>
        <w:t>of</w:t>
      </w:r>
      <w:r>
        <w:rPr>
          <w:spacing w:val="-14"/>
          <w:sz w:val="24"/>
        </w:rPr>
        <w:t xml:space="preserve"> </w:t>
      </w:r>
      <w:r>
        <w:rPr>
          <w:sz w:val="24"/>
        </w:rPr>
        <w:t>the</w:t>
      </w:r>
      <w:r>
        <w:rPr>
          <w:spacing w:val="-13"/>
          <w:sz w:val="24"/>
        </w:rPr>
        <w:t xml:space="preserve"> </w:t>
      </w:r>
      <w:r>
        <w:rPr>
          <w:sz w:val="24"/>
        </w:rPr>
        <w:t>data</w:t>
      </w:r>
      <w:r>
        <w:rPr>
          <w:spacing w:val="-14"/>
          <w:sz w:val="24"/>
        </w:rPr>
        <w:t xml:space="preserve"> </w:t>
      </w:r>
      <w:r>
        <w:rPr>
          <w:sz w:val="24"/>
        </w:rPr>
        <w:t>points</w:t>
      </w:r>
      <w:r>
        <w:rPr>
          <w:spacing w:val="-14"/>
          <w:sz w:val="24"/>
        </w:rPr>
        <w:t xml:space="preserve"> </w:t>
      </w:r>
      <w:r>
        <w:rPr>
          <w:sz w:val="24"/>
        </w:rPr>
        <w:t>used</w:t>
      </w:r>
      <w:r>
        <w:rPr>
          <w:spacing w:val="-13"/>
          <w:sz w:val="24"/>
        </w:rPr>
        <w:t xml:space="preserve"> </w:t>
      </w:r>
      <w:r>
        <w:rPr>
          <w:sz w:val="24"/>
        </w:rPr>
        <w:t>to</w:t>
      </w:r>
      <w:r>
        <w:rPr>
          <w:spacing w:val="-14"/>
          <w:sz w:val="24"/>
        </w:rPr>
        <w:t xml:space="preserve"> </w:t>
      </w:r>
      <w:r>
        <w:rPr>
          <w:sz w:val="24"/>
        </w:rPr>
        <w:t>c</w:t>
      </w:r>
      <w:r>
        <w:rPr>
          <w:sz w:val="24"/>
        </w:rPr>
        <w:t>reate</w:t>
      </w:r>
      <w:r>
        <w:rPr>
          <w:spacing w:val="-13"/>
          <w:sz w:val="24"/>
        </w:rPr>
        <w:t xml:space="preserve"> </w:t>
      </w:r>
      <w:r>
        <w:rPr>
          <w:sz w:val="24"/>
        </w:rPr>
        <w:t>the</w:t>
      </w:r>
      <w:r>
        <w:rPr>
          <w:spacing w:val="-14"/>
          <w:sz w:val="24"/>
        </w:rPr>
        <w:t xml:space="preserve"> </w:t>
      </w:r>
      <w:r>
        <w:rPr>
          <w:sz w:val="24"/>
        </w:rPr>
        <w:t>average</w:t>
      </w:r>
      <w:r>
        <w:rPr>
          <w:spacing w:val="-13"/>
          <w:sz w:val="24"/>
        </w:rPr>
        <w:t xml:space="preserve"> </w:t>
      </w:r>
      <w:r>
        <w:rPr>
          <w:sz w:val="24"/>
        </w:rPr>
        <w:t xml:space="preserve">(Swan Vintage's price) was itself an average purportedly calculated using, as an input, the </w:t>
      </w:r>
      <w:r>
        <w:rPr>
          <w:i/>
          <w:sz w:val="24"/>
        </w:rPr>
        <w:t xml:space="preserve">very average </w:t>
      </w:r>
      <w:r>
        <w:rPr>
          <w:sz w:val="24"/>
        </w:rPr>
        <w:t xml:space="preserve">that was to be determined by the equation being performed (because Swan Vintage's price was based on Casella Wines' </w:t>
      </w:r>
      <w:r>
        <w:rPr>
          <w:spacing w:val="-2"/>
          <w:sz w:val="24"/>
        </w:rPr>
        <w:t>price).</w:t>
      </w:r>
    </w:p>
    <w:p w14:paraId="51DE8909" w14:textId="77777777" w:rsidR="0010369C" w:rsidRDefault="008E43AE">
      <w:pPr>
        <w:pStyle w:val="ListParagraph"/>
        <w:numPr>
          <w:ilvl w:val="0"/>
          <w:numId w:val="9"/>
        </w:numPr>
        <w:tabs>
          <w:tab w:val="left" w:pos="1938"/>
          <w:tab w:val="left" w:pos="1939"/>
        </w:tabs>
        <w:spacing w:before="137" w:line="357" w:lineRule="auto"/>
        <w:ind w:left="1938" w:right="613"/>
        <w:rPr>
          <w:sz w:val="24"/>
        </w:rPr>
      </w:pPr>
      <w:r>
        <w:rPr>
          <w:sz w:val="24"/>
        </w:rPr>
        <w:t>In the ca</w:t>
      </w:r>
      <w:r>
        <w:rPr>
          <w:sz w:val="24"/>
        </w:rPr>
        <w:t>se of Swan Vintage, it would mean that the price was determined by an average where one of the data points used to create the average (Casella Wines' price) was itself an average purportedly calculated using, as an</w:t>
      </w:r>
      <w:r>
        <w:rPr>
          <w:spacing w:val="-5"/>
          <w:sz w:val="24"/>
        </w:rPr>
        <w:t xml:space="preserve"> </w:t>
      </w:r>
      <w:r>
        <w:rPr>
          <w:sz w:val="24"/>
        </w:rPr>
        <w:t>input,</w:t>
      </w:r>
      <w:r>
        <w:rPr>
          <w:spacing w:val="-4"/>
          <w:sz w:val="24"/>
        </w:rPr>
        <w:t xml:space="preserve"> </w:t>
      </w:r>
      <w:r>
        <w:rPr>
          <w:sz w:val="24"/>
        </w:rPr>
        <w:t>the</w:t>
      </w:r>
      <w:r>
        <w:rPr>
          <w:spacing w:val="-4"/>
          <w:sz w:val="24"/>
        </w:rPr>
        <w:t xml:space="preserve"> </w:t>
      </w:r>
      <w:r>
        <w:rPr>
          <w:i/>
          <w:sz w:val="24"/>
        </w:rPr>
        <w:t>very</w:t>
      </w:r>
      <w:r>
        <w:rPr>
          <w:i/>
          <w:spacing w:val="-6"/>
          <w:sz w:val="24"/>
        </w:rPr>
        <w:t xml:space="preserve"> </w:t>
      </w:r>
      <w:r>
        <w:rPr>
          <w:i/>
          <w:sz w:val="24"/>
        </w:rPr>
        <w:t>average</w:t>
      </w:r>
      <w:r>
        <w:rPr>
          <w:i/>
          <w:spacing w:val="-4"/>
          <w:sz w:val="24"/>
        </w:rPr>
        <w:t xml:space="preserve"> </w:t>
      </w:r>
      <w:r>
        <w:rPr>
          <w:sz w:val="24"/>
        </w:rPr>
        <w:t>that</w:t>
      </w:r>
      <w:r>
        <w:rPr>
          <w:spacing w:val="-5"/>
          <w:sz w:val="24"/>
        </w:rPr>
        <w:t xml:space="preserve"> </w:t>
      </w:r>
      <w:r>
        <w:rPr>
          <w:sz w:val="24"/>
        </w:rPr>
        <w:t>was</w:t>
      </w:r>
      <w:r>
        <w:rPr>
          <w:spacing w:val="-7"/>
          <w:sz w:val="24"/>
        </w:rPr>
        <w:t xml:space="preserve"> </w:t>
      </w:r>
      <w:r>
        <w:rPr>
          <w:sz w:val="24"/>
        </w:rPr>
        <w:t>to</w:t>
      </w:r>
      <w:r>
        <w:rPr>
          <w:spacing w:val="-5"/>
          <w:sz w:val="24"/>
        </w:rPr>
        <w:t xml:space="preserve"> </w:t>
      </w:r>
      <w:r>
        <w:rPr>
          <w:sz w:val="24"/>
        </w:rPr>
        <w:t>be</w:t>
      </w:r>
      <w:r>
        <w:rPr>
          <w:spacing w:val="-5"/>
          <w:sz w:val="24"/>
        </w:rPr>
        <w:t xml:space="preserve"> </w:t>
      </w:r>
      <w:r>
        <w:rPr>
          <w:sz w:val="24"/>
        </w:rPr>
        <w:t>determined</w:t>
      </w:r>
      <w:r>
        <w:rPr>
          <w:spacing w:val="-5"/>
          <w:sz w:val="24"/>
        </w:rPr>
        <w:t xml:space="preserve"> </w:t>
      </w:r>
      <w:r>
        <w:rPr>
          <w:sz w:val="24"/>
        </w:rPr>
        <w:t>by</w:t>
      </w:r>
      <w:r>
        <w:rPr>
          <w:spacing w:val="-5"/>
          <w:sz w:val="24"/>
        </w:rPr>
        <w:t xml:space="preserve"> </w:t>
      </w:r>
      <w:r>
        <w:rPr>
          <w:sz w:val="24"/>
        </w:rPr>
        <w:t>the</w:t>
      </w:r>
      <w:r>
        <w:rPr>
          <w:spacing w:val="-4"/>
          <w:sz w:val="24"/>
        </w:rPr>
        <w:t xml:space="preserve"> </w:t>
      </w:r>
      <w:r>
        <w:rPr>
          <w:sz w:val="24"/>
        </w:rPr>
        <w:t>equation</w:t>
      </w:r>
      <w:r>
        <w:rPr>
          <w:spacing w:val="-6"/>
          <w:sz w:val="24"/>
        </w:rPr>
        <w:t xml:space="preserve"> </w:t>
      </w:r>
      <w:r>
        <w:rPr>
          <w:sz w:val="24"/>
        </w:rPr>
        <w:t xml:space="preserve">being performed (because Casella Wines' price was based on Swan Vintage's </w:t>
      </w:r>
      <w:r>
        <w:rPr>
          <w:spacing w:val="-2"/>
          <w:sz w:val="24"/>
        </w:rPr>
        <w:t>price).</w:t>
      </w:r>
    </w:p>
    <w:p w14:paraId="51DE890A" w14:textId="77777777" w:rsidR="0010369C" w:rsidRDefault="008E43AE">
      <w:pPr>
        <w:pStyle w:val="BodyText"/>
        <w:spacing w:before="135" w:line="362" w:lineRule="auto"/>
        <w:ind w:left="237" w:right="614" w:firstLine="851"/>
      </w:pPr>
      <w:r>
        <w:rPr>
          <w:noProof/>
        </w:rPr>
        <w:drawing>
          <wp:anchor distT="0" distB="0" distL="0" distR="0" simplePos="0" relativeHeight="251030016" behindDoc="1" locked="0" layoutInCell="1" allowOverlap="1" wp14:anchorId="51DEA2A4" wp14:editId="51DEA2A5">
            <wp:simplePos x="0" y="0"/>
            <wp:positionH relativeFrom="page">
              <wp:posOffset>905255</wp:posOffset>
            </wp:positionH>
            <wp:positionV relativeFrom="paragraph">
              <wp:posOffset>134062</wp:posOffset>
            </wp:positionV>
            <wp:extent cx="259079" cy="103631"/>
            <wp:effectExtent l="0" t="0" r="0" b="0"/>
            <wp:wrapNone/>
            <wp:docPr id="775" name="image3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 name="image398.png"/>
                    <pic:cNvPicPr/>
                  </pic:nvPicPr>
                  <pic:blipFill>
                    <a:blip r:embed="rId528" cstate="print"/>
                    <a:stretch>
                      <a:fillRect/>
                    </a:stretch>
                  </pic:blipFill>
                  <pic:spPr>
                    <a:xfrm>
                      <a:off x="0" y="0"/>
                      <a:ext cx="259079" cy="103631"/>
                    </a:xfrm>
                    <a:prstGeom prst="rect">
                      <a:avLst/>
                    </a:prstGeom>
                  </pic:spPr>
                </pic:pic>
              </a:graphicData>
            </a:graphic>
          </wp:anchor>
        </w:drawing>
      </w:r>
      <w:r>
        <w:t>Such an approach would involve a recursion that would be incapable of leading to</w:t>
      </w:r>
      <w:r>
        <w:rPr>
          <w:spacing w:val="40"/>
        </w:rPr>
        <w:t xml:space="preserve"> </w:t>
      </w:r>
      <w:r>
        <w:t>the calculation of any mathematically valid figure.</w:t>
      </w:r>
    </w:p>
    <w:p w14:paraId="51DE890B" w14:textId="77777777" w:rsidR="0010369C" w:rsidRDefault="0010369C">
      <w:pPr>
        <w:pStyle w:val="BodyText"/>
        <w:spacing w:before="6"/>
        <w:rPr>
          <w:sz w:val="8"/>
        </w:rPr>
      </w:pPr>
    </w:p>
    <w:p w14:paraId="51DE890C" w14:textId="77777777" w:rsidR="0010369C" w:rsidRDefault="008E43AE">
      <w:pPr>
        <w:pStyle w:val="BodyText"/>
        <w:spacing w:before="51" w:line="360" w:lineRule="auto"/>
        <w:ind w:left="237" w:right="613" w:firstLine="851"/>
        <w:jc w:val="both"/>
      </w:pPr>
      <w:r>
        <w:rPr>
          <w:noProof/>
        </w:rPr>
        <w:drawing>
          <wp:anchor distT="0" distB="0" distL="0" distR="0" simplePos="0" relativeHeight="251031040" behindDoc="1" locked="0" layoutInCell="1" allowOverlap="1" wp14:anchorId="51DEA2A6" wp14:editId="51DEA2A7">
            <wp:simplePos x="0" y="0"/>
            <wp:positionH relativeFrom="page">
              <wp:posOffset>905255</wp:posOffset>
            </wp:positionH>
            <wp:positionV relativeFrom="paragraph">
              <wp:posOffset>76150</wp:posOffset>
            </wp:positionV>
            <wp:extent cx="259079" cy="106679"/>
            <wp:effectExtent l="0" t="0" r="0" b="0"/>
            <wp:wrapNone/>
            <wp:docPr id="777" name="image3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 name="image399.png"/>
                    <pic:cNvPicPr/>
                  </pic:nvPicPr>
                  <pic:blipFill>
                    <a:blip r:embed="rId529" cstate="print"/>
                    <a:stretch>
                      <a:fillRect/>
                    </a:stretch>
                  </pic:blipFill>
                  <pic:spPr>
                    <a:xfrm>
                      <a:off x="0" y="0"/>
                      <a:ext cx="259079" cy="106679"/>
                    </a:xfrm>
                    <a:prstGeom prst="rect">
                      <a:avLst/>
                    </a:prstGeom>
                  </pic:spPr>
                </pic:pic>
              </a:graphicData>
            </a:graphic>
          </wp:anchor>
        </w:drawing>
      </w:r>
      <w:r>
        <w:t xml:space="preserve">The second </w:t>
      </w:r>
      <w:r>
        <w:t>interpretation is</w:t>
      </w:r>
      <w:r>
        <w:rPr>
          <w:spacing w:val="-1"/>
        </w:rPr>
        <w:t xml:space="preserve"> </w:t>
      </w:r>
      <w:r>
        <w:t>that, in the case of Casella Wines,</w:t>
      </w:r>
      <w:r>
        <w:rPr>
          <w:spacing w:val="-1"/>
        </w:rPr>
        <w:t xml:space="preserve"> </w:t>
      </w:r>
      <w:r>
        <w:t>MOFCOM decided to calculate a weighted average using the actual price data submitted by Swan Vintage and Treasury Wines, and in the case of Swan Vintage, use the actual price data submitted by Casella W</w:t>
      </w:r>
      <w:r>
        <w:t>ines and Treasury Wines. The effect of this approach would be that:</w:t>
      </w:r>
    </w:p>
    <w:p w14:paraId="51DE890D" w14:textId="77777777" w:rsidR="0010369C" w:rsidRDefault="008E43AE">
      <w:pPr>
        <w:pStyle w:val="ListParagraph"/>
        <w:numPr>
          <w:ilvl w:val="0"/>
          <w:numId w:val="9"/>
        </w:numPr>
        <w:tabs>
          <w:tab w:val="left" w:pos="1939"/>
          <w:tab w:val="left" w:pos="1940"/>
        </w:tabs>
        <w:spacing w:before="160" w:line="357" w:lineRule="auto"/>
        <w:ind w:right="613" w:hanging="852"/>
        <w:rPr>
          <w:sz w:val="24"/>
        </w:rPr>
      </w:pPr>
      <w:r>
        <w:rPr>
          <w:sz w:val="24"/>
        </w:rPr>
        <w:t xml:space="preserve">MOFCOM decided that the data from Swan Vintage that it rejected for the purpose of calculating Swan Vintage's </w:t>
      </w:r>
      <w:r>
        <w:rPr>
          <w:i/>
          <w:sz w:val="24"/>
        </w:rPr>
        <w:t xml:space="preserve">own </w:t>
      </w:r>
      <w:r>
        <w:rPr>
          <w:sz w:val="24"/>
        </w:rPr>
        <w:t>normal value (due to the low volume</w:t>
      </w:r>
      <w:r>
        <w:rPr>
          <w:spacing w:val="-11"/>
          <w:sz w:val="24"/>
        </w:rPr>
        <w:t xml:space="preserve"> </w:t>
      </w:r>
      <w:r>
        <w:rPr>
          <w:sz w:val="24"/>
        </w:rPr>
        <w:t>of</w:t>
      </w:r>
      <w:r>
        <w:rPr>
          <w:spacing w:val="-11"/>
          <w:sz w:val="24"/>
        </w:rPr>
        <w:t xml:space="preserve"> </w:t>
      </w:r>
      <w:r>
        <w:rPr>
          <w:sz w:val="24"/>
        </w:rPr>
        <w:t>domestic</w:t>
      </w:r>
      <w:r>
        <w:rPr>
          <w:spacing w:val="-10"/>
          <w:sz w:val="24"/>
        </w:rPr>
        <w:t xml:space="preserve"> </w:t>
      </w:r>
      <w:r>
        <w:rPr>
          <w:sz w:val="24"/>
        </w:rPr>
        <w:t>sales)</w:t>
      </w:r>
      <w:r>
        <w:rPr>
          <w:sz w:val="24"/>
          <w:vertAlign w:val="superscript"/>
        </w:rPr>
        <w:t>413</w:t>
      </w:r>
      <w:r>
        <w:rPr>
          <w:spacing w:val="-11"/>
          <w:sz w:val="24"/>
        </w:rPr>
        <w:t xml:space="preserve"> </w:t>
      </w:r>
      <w:r>
        <w:rPr>
          <w:sz w:val="24"/>
        </w:rPr>
        <w:t>was</w:t>
      </w:r>
      <w:r>
        <w:rPr>
          <w:spacing w:val="-11"/>
          <w:sz w:val="24"/>
        </w:rPr>
        <w:t xml:space="preserve"> </w:t>
      </w:r>
      <w:r>
        <w:rPr>
          <w:sz w:val="24"/>
        </w:rPr>
        <w:t>sufficiently</w:t>
      </w:r>
      <w:r>
        <w:rPr>
          <w:spacing w:val="-10"/>
          <w:sz w:val="24"/>
        </w:rPr>
        <w:t xml:space="preserve"> </w:t>
      </w:r>
      <w:r>
        <w:rPr>
          <w:sz w:val="24"/>
        </w:rPr>
        <w:t>reliable</w:t>
      </w:r>
      <w:r>
        <w:rPr>
          <w:spacing w:val="-11"/>
          <w:sz w:val="24"/>
        </w:rPr>
        <w:t xml:space="preserve"> </w:t>
      </w:r>
      <w:r>
        <w:rPr>
          <w:sz w:val="24"/>
        </w:rPr>
        <w:t>and</w:t>
      </w:r>
      <w:r>
        <w:rPr>
          <w:spacing w:val="-11"/>
          <w:sz w:val="24"/>
        </w:rPr>
        <w:t xml:space="preserve"> </w:t>
      </w:r>
      <w:r>
        <w:rPr>
          <w:sz w:val="24"/>
        </w:rPr>
        <w:t>probative</w:t>
      </w:r>
      <w:r>
        <w:rPr>
          <w:spacing w:val="-9"/>
          <w:sz w:val="24"/>
        </w:rPr>
        <w:t xml:space="preserve"> </w:t>
      </w:r>
      <w:r>
        <w:rPr>
          <w:sz w:val="24"/>
        </w:rPr>
        <w:t>to</w:t>
      </w:r>
      <w:r>
        <w:rPr>
          <w:spacing w:val="-10"/>
          <w:sz w:val="24"/>
        </w:rPr>
        <w:t xml:space="preserve"> </w:t>
      </w:r>
      <w:r>
        <w:rPr>
          <w:sz w:val="24"/>
        </w:rPr>
        <w:t>use</w:t>
      </w:r>
      <w:r>
        <w:rPr>
          <w:spacing w:val="-10"/>
          <w:sz w:val="24"/>
        </w:rPr>
        <w:t xml:space="preserve"> </w:t>
      </w:r>
      <w:r>
        <w:rPr>
          <w:sz w:val="24"/>
        </w:rPr>
        <w:t>to calculate Casella Wines' normal value; and</w:t>
      </w:r>
    </w:p>
    <w:p w14:paraId="51DE890E" w14:textId="77777777" w:rsidR="0010369C" w:rsidRDefault="008E43AE">
      <w:pPr>
        <w:pStyle w:val="ListParagraph"/>
        <w:numPr>
          <w:ilvl w:val="0"/>
          <w:numId w:val="9"/>
        </w:numPr>
        <w:tabs>
          <w:tab w:val="left" w:pos="1940"/>
          <w:tab w:val="left" w:pos="1941"/>
        </w:tabs>
        <w:spacing w:before="132" w:line="357" w:lineRule="auto"/>
        <w:ind w:right="613"/>
        <w:rPr>
          <w:sz w:val="24"/>
        </w:rPr>
      </w:pPr>
      <w:r>
        <w:rPr>
          <w:sz w:val="24"/>
        </w:rPr>
        <w:t xml:space="preserve">MOFCOM decided that the data from Casella Wines that it rejected for the purpose of calculating Casella Wines' </w:t>
      </w:r>
      <w:r>
        <w:rPr>
          <w:i/>
          <w:sz w:val="24"/>
        </w:rPr>
        <w:t xml:space="preserve">own </w:t>
      </w:r>
      <w:r>
        <w:rPr>
          <w:sz w:val="24"/>
        </w:rPr>
        <w:t>normal value (due to an alleged inability</w:t>
      </w:r>
      <w:r>
        <w:rPr>
          <w:spacing w:val="80"/>
          <w:sz w:val="24"/>
        </w:rPr>
        <w:t xml:space="preserve"> </w:t>
      </w:r>
      <w:r>
        <w:rPr>
          <w:sz w:val="24"/>
        </w:rPr>
        <w:t>to</w:t>
      </w:r>
      <w:r>
        <w:rPr>
          <w:spacing w:val="80"/>
          <w:sz w:val="24"/>
        </w:rPr>
        <w:t xml:space="preserve"> </w:t>
      </w:r>
      <w:r>
        <w:rPr>
          <w:sz w:val="24"/>
        </w:rPr>
        <w:t>verify</w:t>
      </w:r>
      <w:r>
        <w:rPr>
          <w:spacing w:val="80"/>
          <w:sz w:val="24"/>
        </w:rPr>
        <w:t xml:space="preserve"> </w:t>
      </w:r>
      <w:r>
        <w:rPr>
          <w:sz w:val="24"/>
        </w:rPr>
        <w:t>the</w:t>
      </w:r>
      <w:r>
        <w:rPr>
          <w:spacing w:val="80"/>
          <w:sz w:val="24"/>
        </w:rPr>
        <w:t xml:space="preserve"> </w:t>
      </w:r>
      <w:r>
        <w:rPr>
          <w:sz w:val="24"/>
        </w:rPr>
        <w:t>completeness</w:t>
      </w:r>
      <w:r>
        <w:rPr>
          <w:spacing w:val="80"/>
          <w:sz w:val="24"/>
        </w:rPr>
        <w:t xml:space="preserve"> </w:t>
      </w:r>
      <w:r>
        <w:rPr>
          <w:sz w:val="24"/>
        </w:rPr>
        <w:t>and</w:t>
      </w:r>
      <w:r>
        <w:rPr>
          <w:spacing w:val="80"/>
          <w:sz w:val="24"/>
        </w:rPr>
        <w:t xml:space="preserve"> </w:t>
      </w:r>
      <w:r>
        <w:rPr>
          <w:sz w:val="24"/>
        </w:rPr>
        <w:t>accuracy</w:t>
      </w:r>
      <w:r>
        <w:rPr>
          <w:spacing w:val="80"/>
          <w:sz w:val="24"/>
        </w:rPr>
        <w:t xml:space="preserve"> </w:t>
      </w:r>
      <w:r>
        <w:rPr>
          <w:sz w:val="24"/>
        </w:rPr>
        <w:t>of</w:t>
      </w:r>
      <w:r>
        <w:rPr>
          <w:spacing w:val="80"/>
          <w:sz w:val="24"/>
        </w:rPr>
        <w:t xml:space="preserve"> </w:t>
      </w:r>
      <w:r>
        <w:rPr>
          <w:sz w:val="24"/>
        </w:rPr>
        <w:t>domestic</w:t>
      </w:r>
      <w:r>
        <w:rPr>
          <w:spacing w:val="80"/>
          <w:sz w:val="24"/>
        </w:rPr>
        <w:t xml:space="preserve"> </w:t>
      </w:r>
      <w:r>
        <w:rPr>
          <w:sz w:val="24"/>
        </w:rPr>
        <w:t>sales</w:t>
      </w:r>
    </w:p>
    <w:p w14:paraId="51DE890F" w14:textId="77777777" w:rsidR="0010369C" w:rsidRDefault="0010369C">
      <w:pPr>
        <w:pStyle w:val="BodyText"/>
        <w:rPr>
          <w:sz w:val="20"/>
        </w:rPr>
      </w:pPr>
    </w:p>
    <w:p w14:paraId="51DE8910" w14:textId="77777777" w:rsidR="0010369C" w:rsidRDefault="008E43AE">
      <w:pPr>
        <w:pStyle w:val="BodyText"/>
        <w:spacing w:before="7"/>
        <w:rPr>
          <w:sz w:val="16"/>
        </w:rPr>
      </w:pPr>
      <w:r>
        <w:pict w14:anchorId="51DEA2A8">
          <v:rect id="docshape844" o:spid="_x0000_s1461" style="position:absolute;margin-left:70.9pt;margin-top:11.3pt;width:2in;height:.8pt;z-index:-250904064;mso-wrap-distance-left:0;mso-wrap-distance-right:0;mso-position-horizontal-relative:page" fillcolor="black" stroked="f">
            <w10:wrap type="topAndBottom" anchorx="page"/>
          </v:rect>
        </w:pict>
      </w:r>
    </w:p>
    <w:p w14:paraId="51DE8911" w14:textId="77777777" w:rsidR="0010369C" w:rsidRDefault="008E43AE">
      <w:pPr>
        <w:spacing w:before="109"/>
        <w:ind w:left="238"/>
        <w:rPr>
          <w:sz w:val="18"/>
        </w:rPr>
      </w:pPr>
      <w:r>
        <w:rPr>
          <w:sz w:val="18"/>
          <w:vertAlign w:val="superscript"/>
        </w:rPr>
        <w:t>413</w:t>
      </w:r>
      <w:r>
        <w:rPr>
          <w:spacing w:val="-9"/>
          <w:sz w:val="18"/>
        </w:rPr>
        <w:t xml:space="preserve"> </w:t>
      </w:r>
      <w:r>
        <w:rPr>
          <w:sz w:val="18"/>
        </w:rPr>
        <w:t>Anti‐Dumping</w:t>
      </w:r>
      <w:r>
        <w:rPr>
          <w:spacing w:val="-9"/>
          <w:sz w:val="18"/>
        </w:rPr>
        <w:t xml:space="preserve"> </w:t>
      </w:r>
      <w:r>
        <w:rPr>
          <w:sz w:val="18"/>
        </w:rPr>
        <w:t>Final</w:t>
      </w:r>
      <w:r>
        <w:rPr>
          <w:spacing w:val="-9"/>
          <w:sz w:val="18"/>
        </w:rPr>
        <w:t xml:space="preserve"> </w:t>
      </w:r>
      <w:r>
        <w:rPr>
          <w:sz w:val="18"/>
        </w:rPr>
        <w:t>Determination</w:t>
      </w:r>
      <w:r>
        <w:rPr>
          <w:spacing w:val="-8"/>
          <w:sz w:val="18"/>
        </w:rPr>
        <w:t xml:space="preserve"> </w:t>
      </w:r>
      <w:r>
        <w:rPr>
          <w:sz w:val="18"/>
        </w:rPr>
        <w:t>(Exhibit</w:t>
      </w:r>
      <w:r>
        <w:rPr>
          <w:spacing w:val="-9"/>
          <w:sz w:val="18"/>
        </w:rPr>
        <w:t xml:space="preserve"> </w:t>
      </w:r>
      <w:r>
        <w:rPr>
          <w:sz w:val="18"/>
        </w:rPr>
        <w:t>AUS‐2),</w:t>
      </w:r>
      <w:r>
        <w:rPr>
          <w:spacing w:val="-9"/>
          <w:sz w:val="18"/>
        </w:rPr>
        <w:t xml:space="preserve"> </w:t>
      </w:r>
      <w:r>
        <w:rPr>
          <w:sz w:val="18"/>
        </w:rPr>
        <w:t>p.</w:t>
      </w:r>
      <w:r>
        <w:rPr>
          <w:spacing w:val="-9"/>
          <w:sz w:val="18"/>
        </w:rPr>
        <w:t xml:space="preserve"> </w:t>
      </w:r>
      <w:r>
        <w:rPr>
          <w:spacing w:val="-5"/>
          <w:sz w:val="18"/>
        </w:rPr>
        <w:t>88.</w:t>
      </w:r>
    </w:p>
    <w:p w14:paraId="51DE8912" w14:textId="77777777" w:rsidR="0010369C" w:rsidRDefault="0010369C">
      <w:pPr>
        <w:rPr>
          <w:sz w:val="18"/>
        </w:rPr>
        <w:sectPr w:rsidR="0010369C">
          <w:headerReference w:type="default" r:id="rId530"/>
          <w:footerReference w:type="default" r:id="rId531"/>
          <w:pgSz w:w="11910" w:h="16840"/>
          <w:pgMar w:top="880" w:right="800" w:bottom="980" w:left="1180" w:header="569" w:footer="788" w:gutter="0"/>
          <w:cols w:space="720"/>
        </w:sectPr>
      </w:pPr>
    </w:p>
    <w:p w14:paraId="51DE8913" w14:textId="77777777" w:rsidR="0010369C" w:rsidRDefault="008E43AE">
      <w:pPr>
        <w:tabs>
          <w:tab w:val="left" w:pos="6426"/>
        </w:tabs>
        <w:ind w:left="238"/>
        <w:rPr>
          <w:sz w:val="20"/>
        </w:rPr>
      </w:pPr>
      <w:r>
        <w:rPr>
          <w:i/>
          <w:sz w:val="20"/>
        </w:rPr>
        <w:lastRenderedPageBreak/>
        <w:t>China</w:t>
      </w:r>
      <w:r>
        <w:rPr>
          <w:i/>
          <w:spacing w:val="-5"/>
          <w:sz w:val="20"/>
        </w:rPr>
        <w:t xml:space="preserve"> </w:t>
      </w:r>
      <w:r>
        <w:rPr>
          <w:i/>
          <w:sz w:val="20"/>
        </w:rPr>
        <w:t>–</w:t>
      </w:r>
      <w:r>
        <w:rPr>
          <w:i/>
          <w:spacing w:val="-5"/>
          <w:sz w:val="20"/>
        </w:rPr>
        <w:t xml:space="preserve"> </w:t>
      </w:r>
      <w:r>
        <w:rPr>
          <w:i/>
          <w:sz w:val="20"/>
        </w:rPr>
        <w:t>Anti‐Dumping</w:t>
      </w:r>
      <w:r>
        <w:rPr>
          <w:i/>
          <w:spacing w:val="-4"/>
          <w:sz w:val="20"/>
        </w:rPr>
        <w:t xml:space="preserve"> </w:t>
      </w:r>
      <w:r>
        <w:rPr>
          <w:i/>
          <w:sz w:val="20"/>
        </w:rPr>
        <w:t>and</w:t>
      </w:r>
      <w:r>
        <w:rPr>
          <w:i/>
          <w:spacing w:val="-5"/>
          <w:sz w:val="20"/>
        </w:rPr>
        <w:t xml:space="preserve"> </w:t>
      </w:r>
      <w:r>
        <w:rPr>
          <w:i/>
          <w:sz w:val="20"/>
        </w:rPr>
        <w:t>Countervailing</w:t>
      </w:r>
      <w:r>
        <w:rPr>
          <w:i/>
          <w:spacing w:val="-5"/>
          <w:sz w:val="20"/>
        </w:rPr>
        <w:t xml:space="preserve"> </w:t>
      </w:r>
      <w:r>
        <w:rPr>
          <w:i/>
          <w:sz w:val="20"/>
        </w:rPr>
        <w:t>Duty</w:t>
      </w:r>
      <w:r>
        <w:rPr>
          <w:i/>
          <w:spacing w:val="-4"/>
          <w:sz w:val="20"/>
        </w:rPr>
        <w:t xml:space="preserve"> </w:t>
      </w:r>
      <w:r>
        <w:rPr>
          <w:i/>
          <w:spacing w:val="-2"/>
          <w:sz w:val="20"/>
        </w:rPr>
        <w:t>Measures</w:t>
      </w:r>
      <w:r>
        <w:rPr>
          <w:i/>
          <w:sz w:val="20"/>
        </w:rPr>
        <w:tab/>
      </w:r>
      <w:r>
        <w:rPr>
          <w:sz w:val="20"/>
        </w:rPr>
        <w:t>Australia's</w:t>
      </w:r>
      <w:r>
        <w:rPr>
          <w:spacing w:val="-7"/>
          <w:sz w:val="20"/>
        </w:rPr>
        <w:t xml:space="preserve"> </w:t>
      </w:r>
      <w:r>
        <w:rPr>
          <w:sz w:val="20"/>
        </w:rPr>
        <w:t>First</w:t>
      </w:r>
      <w:r>
        <w:rPr>
          <w:spacing w:val="-2"/>
          <w:sz w:val="20"/>
        </w:rPr>
        <w:t xml:space="preserve"> </w:t>
      </w:r>
      <w:r>
        <w:rPr>
          <w:sz w:val="20"/>
        </w:rPr>
        <w:t>Written</w:t>
      </w:r>
      <w:r>
        <w:rPr>
          <w:spacing w:val="-2"/>
          <w:sz w:val="20"/>
        </w:rPr>
        <w:t xml:space="preserve"> Submission</w:t>
      </w:r>
    </w:p>
    <w:p w14:paraId="51DE8914" w14:textId="77777777" w:rsidR="0010369C" w:rsidRDefault="008E43AE">
      <w:pPr>
        <w:tabs>
          <w:tab w:val="left" w:pos="8228"/>
        </w:tabs>
        <w:spacing w:before="1"/>
        <w:ind w:left="239"/>
        <w:rPr>
          <w:sz w:val="20"/>
        </w:rPr>
      </w:pPr>
      <w:r>
        <w:rPr>
          <w:i/>
          <w:sz w:val="20"/>
        </w:rPr>
        <w:t>on</w:t>
      </w:r>
      <w:r>
        <w:rPr>
          <w:i/>
          <w:spacing w:val="-1"/>
          <w:sz w:val="20"/>
        </w:rPr>
        <w:t xml:space="preserve"> </w:t>
      </w:r>
      <w:r>
        <w:rPr>
          <w:i/>
          <w:sz w:val="20"/>
        </w:rPr>
        <w:t>Wine</w:t>
      </w:r>
      <w:r>
        <w:rPr>
          <w:i/>
          <w:spacing w:val="-1"/>
          <w:sz w:val="20"/>
        </w:rPr>
        <w:t xml:space="preserve"> </w:t>
      </w:r>
      <w:r>
        <w:rPr>
          <w:i/>
          <w:sz w:val="20"/>
        </w:rPr>
        <w:t>from</w:t>
      </w:r>
      <w:r>
        <w:rPr>
          <w:i/>
          <w:spacing w:val="-3"/>
          <w:sz w:val="20"/>
        </w:rPr>
        <w:t xml:space="preserve"> </w:t>
      </w:r>
      <w:r>
        <w:rPr>
          <w:i/>
          <w:sz w:val="20"/>
        </w:rPr>
        <w:t>Australia</w:t>
      </w:r>
      <w:r>
        <w:rPr>
          <w:i/>
          <w:spacing w:val="-1"/>
          <w:sz w:val="20"/>
        </w:rPr>
        <w:t xml:space="preserve"> </w:t>
      </w:r>
      <w:r>
        <w:rPr>
          <w:spacing w:val="-2"/>
          <w:sz w:val="20"/>
        </w:rPr>
        <w:t>(DS602)</w:t>
      </w:r>
      <w:r>
        <w:rPr>
          <w:sz w:val="20"/>
        </w:rPr>
        <w:tab/>
        <w:t>29</w:t>
      </w:r>
      <w:r>
        <w:rPr>
          <w:spacing w:val="-1"/>
          <w:sz w:val="20"/>
        </w:rPr>
        <w:t xml:space="preserve"> </w:t>
      </w:r>
      <w:r>
        <w:rPr>
          <w:sz w:val="20"/>
        </w:rPr>
        <w:t>April</w:t>
      </w:r>
      <w:r>
        <w:rPr>
          <w:spacing w:val="-2"/>
          <w:sz w:val="20"/>
        </w:rPr>
        <w:t xml:space="preserve"> </w:t>
      </w:r>
      <w:r>
        <w:rPr>
          <w:spacing w:val="-4"/>
          <w:sz w:val="20"/>
        </w:rPr>
        <w:t>2022</w:t>
      </w:r>
    </w:p>
    <w:p w14:paraId="51DE8915" w14:textId="77777777" w:rsidR="0010369C" w:rsidRDefault="008E43AE">
      <w:pPr>
        <w:pStyle w:val="BodyText"/>
        <w:spacing w:before="34" w:line="360" w:lineRule="auto"/>
        <w:ind w:left="1939" w:right="611"/>
      </w:pPr>
      <w:r>
        <w:t>transactions and cost data)</w:t>
      </w:r>
      <w:r>
        <w:rPr>
          <w:vertAlign w:val="superscript"/>
        </w:rPr>
        <w:t>414</w:t>
      </w:r>
      <w:r>
        <w:t xml:space="preserve"> was sufficiently reliable and probative to use to calculate Swan Vintage's normal value.</w:t>
      </w:r>
    </w:p>
    <w:p w14:paraId="51DE8916" w14:textId="77777777" w:rsidR="0010369C" w:rsidRDefault="008E43AE">
      <w:pPr>
        <w:pStyle w:val="BodyText"/>
        <w:spacing w:before="120" w:line="360" w:lineRule="auto"/>
        <w:ind w:left="237" w:right="611" w:firstLine="851"/>
      </w:pPr>
      <w:r>
        <w:rPr>
          <w:noProof/>
        </w:rPr>
        <w:drawing>
          <wp:anchor distT="0" distB="0" distL="0" distR="0" simplePos="0" relativeHeight="251032064" behindDoc="1" locked="0" layoutInCell="1" allowOverlap="1" wp14:anchorId="51DEA2A9" wp14:editId="51DEA2AA">
            <wp:simplePos x="0" y="0"/>
            <wp:positionH relativeFrom="page">
              <wp:posOffset>905255</wp:posOffset>
            </wp:positionH>
            <wp:positionV relativeFrom="paragraph">
              <wp:posOffset>123775</wp:posOffset>
            </wp:positionV>
            <wp:extent cx="259079" cy="103631"/>
            <wp:effectExtent l="0" t="0" r="0" b="0"/>
            <wp:wrapNone/>
            <wp:docPr id="779" name="image4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 name="image400.png"/>
                    <pic:cNvPicPr/>
                  </pic:nvPicPr>
                  <pic:blipFill>
                    <a:blip r:embed="rId532" cstate="print"/>
                    <a:stretch>
                      <a:fillRect/>
                    </a:stretch>
                  </pic:blipFill>
                  <pic:spPr>
                    <a:xfrm>
                      <a:off x="0" y="0"/>
                      <a:ext cx="259079" cy="103631"/>
                    </a:xfrm>
                    <a:prstGeom prst="rect">
                      <a:avLst/>
                    </a:prstGeom>
                  </pic:spPr>
                </pic:pic>
              </a:graphicData>
            </a:graphic>
          </wp:anchor>
        </w:drawing>
      </w:r>
      <w:r>
        <w:t>Such an approach would be patently irrational as it would involve treating the same price data as both unreliable and reliable for a relevantly identical purpose.</w:t>
      </w:r>
    </w:p>
    <w:p w14:paraId="51DE8917" w14:textId="77777777" w:rsidR="0010369C" w:rsidRDefault="0010369C">
      <w:pPr>
        <w:pStyle w:val="BodyText"/>
        <w:spacing w:before="11"/>
        <w:rPr>
          <w:sz w:val="8"/>
        </w:rPr>
      </w:pPr>
    </w:p>
    <w:p w14:paraId="51DE8918" w14:textId="77777777" w:rsidR="0010369C" w:rsidRDefault="008E43AE">
      <w:pPr>
        <w:pStyle w:val="BodyText"/>
        <w:spacing w:before="51" w:line="360" w:lineRule="auto"/>
        <w:ind w:left="237" w:right="613" w:firstLine="852"/>
        <w:jc w:val="both"/>
      </w:pPr>
      <w:r>
        <w:rPr>
          <w:noProof/>
        </w:rPr>
        <w:drawing>
          <wp:anchor distT="0" distB="0" distL="0" distR="0" simplePos="0" relativeHeight="251033088" behindDoc="1" locked="0" layoutInCell="1" allowOverlap="1" wp14:anchorId="51DEA2AB" wp14:editId="51DEA2AC">
            <wp:simplePos x="0" y="0"/>
            <wp:positionH relativeFrom="page">
              <wp:posOffset>905255</wp:posOffset>
            </wp:positionH>
            <wp:positionV relativeFrom="paragraph">
              <wp:posOffset>81314</wp:posOffset>
            </wp:positionV>
            <wp:extent cx="259079" cy="100753"/>
            <wp:effectExtent l="0" t="0" r="0" b="0"/>
            <wp:wrapNone/>
            <wp:docPr id="781" name="image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 name="image401.png"/>
                    <pic:cNvPicPr/>
                  </pic:nvPicPr>
                  <pic:blipFill>
                    <a:blip r:embed="rId533" cstate="print"/>
                    <a:stretch>
                      <a:fillRect/>
                    </a:stretch>
                  </pic:blipFill>
                  <pic:spPr>
                    <a:xfrm>
                      <a:off x="0" y="0"/>
                      <a:ext cx="259079" cy="100753"/>
                    </a:xfrm>
                    <a:prstGeom prst="rect">
                      <a:avLst/>
                    </a:prstGeom>
                  </pic:spPr>
                </pic:pic>
              </a:graphicData>
            </a:graphic>
          </wp:anchor>
        </w:drawing>
      </w:r>
      <w:r>
        <w:t>The</w:t>
      </w:r>
      <w:r>
        <w:rPr>
          <w:spacing w:val="-7"/>
        </w:rPr>
        <w:t xml:space="preserve"> </w:t>
      </w:r>
      <w:r>
        <w:t>third</w:t>
      </w:r>
      <w:r>
        <w:rPr>
          <w:spacing w:val="-8"/>
        </w:rPr>
        <w:t xml:space="preserve"> </w:t>
      </w:r>
      <w:r>
        <w:t>interpretation</w:t>
      </w:r>
      <w:r>
        <w:rPr>
          <w:spacing w:val="-7"/>
        </w:rPr>
        <w:t xml:space="preserve"> </w:t>
      </w:r>
      <w:r>
        <w:t>is</w:t>
      </w:r>
      <w:r>
        <w:rPr>
          <w:spacing w:val="-8"/>
        </w:rPr>
        <w:t xml:space="preserve"> </w:t>
      </w:r>
      <w:r>
        <w:t>that</w:t>
      </w:r>
      <w:r>
        <w:rPr>
          <w:spacing w:val="-8"/>
        </w:rPr>
        <w:t xml:space="preserve"> </w:t>
      </w:r>
      <w:r>
        <w:t>despite</w:t>
      </w:r>
      <w:r>
        <w:rPr>
          <w:spacing w:val="-6"/>
        </w:rPr>
        <w:t xml:space="preserve"> </w:t>
      </w:r>
      <w:r>
        <w:t>claiming</w:t>
      </w:r>
      <w:r>
        <w:rPr>
          <w:spacing w:val="-8"/>
        </w:rPr>
        <w:t xml:space="preserve"> </w:t>
      </w:r>
      <w:r>
        <w:t>to</w:t>
      </w:r>
      <w:r>
        <w:rPr>
          <w:spacing w:val="-7"/>
        </w:rPr>
        <w:t xml:space="preserve"> </w:t>
      </w:r>
      <w:r>
        <w:t>use</w:t>
      </w:r>
      <w:r>
        <w:rPr>
          <w:spacing w:val="-7"/>
        </w:rPr>
        <w:t xml:space="preserve"> </w:t>
      </w:r>
      <w:r>
        <w:t>a</w:t>
      </w:r>
      <w:r>
        <w:rPr>
          <w:spacing w:val="-7"/>
        </w:rPr>
        <w:t xml:space="preserve"> </w:t>
      </w:r>
      <w:r>
        <w:t>"weighted</w:t>
      </w:r>
      <w:r>
        <w:rPr>
          <w:spacing w:val="-8"/>
        </w:rPr>
        <w:t xml:space="preserve"> </w:t>
      </w:r>
      <w:r>
        <w:t>average"</w:t>
      </w:r>
      <w:r>
        <w:rPr>
          <w:spacing w:val="-8"/>
        </w:rPr>
        <w:t xml:space="preserve"> </w:t>
      </w:r>
      <w:r>
        <w:t>of</w:t>
      </w:r>
      <w:r>
        <w:rPr>
          <w:spacing w:val="-8"/>
        </w:rPr>
        <w:t xml:space="preserve"> </w:t>
      </w:r>
      <w:r>
        <w:t>other respondents</w:t>
      </w:r>
      <w:r>
        <w:rPr>
          <w:spacing w:val="-12"/>
        </w:rPr>
        <w:t xml:space="preserve"> </w:t>
      </w:r>
      <w:r>
        <w:t>(in</w:t>
      </w:r>
      <w:r>
        <w:rPr>
          <w:spacing w:val="-10"/>
        </w:rPr>
        <w:t xml:space="preserve"> </w:t>
      </w:r>
      <w:r>
        <w:t>plural),</w:t>
      </w:r>
      <w:r>
        <w:rPr>
          <w:spacing w:val="-9"/>
        </w:rPr>
        <w:t xml:space="preserve"> </w:t>
      </w:r>
      <w:r>
        <w:t>MOFCOM</w:t>
      </w:r>
      <w:r>
        <w:rPr>
          <w:spacing w:val="-9"/>
        </w:rPr>
        <w:t xml:space="preserve"> </w:t>
      </w:r>
      <w:r>
        <w:t>in</w:t>
      </w:r>
      <w:r>
        <w:rPr>
          <w:spacing w:val="-9"/>
        </w:rPr>
        <w:t xml:space="preserve"> </w:t>
      </w:r>
      <w:r>
        <w:t>fact</w:t>
      </w:r>
      <w:r>
        <w:rPr>
          <w:spacing w:val="-10"/>
        </w:rPr>
        <w:t xml:space="preserve"> </w:t>
      </w:r>
      <w:r>
        <w:t>simply</w:t>
      </w:r>
      <w:r>
        <w:rPr>
          <w:spacing w:val="-9"/>
        </w:rPr>
        <w:t xml:space="preserve"> </w:t>
      </w:r>
      <w:r>
        <w:t>used</w:t>
      </w:r>
      <w:r>
        <w:rPr>
          <w:spacing w:val="-10"/>
        </w:rPr>
        <w:t xml:space="preserve"> </w:t>
      </w:r>
      <w:r>
        <w:t>the</w:t>
      </w:r>
      <w:r>
        <w:rPr>
          <w:spacing w:val="-9"/>
        </w:rPr>
        <w:t xml:space="preserve"> </w:t>
      </w:r>
      <w:r>
        <w:t>price</w:t>
      </w:r>
      <w:r>
        <w:rPr>
          <w:spacing w:val="-9"/>
        </w:rPr>
        <w:t xml:space="preserve"> </w:t>
      </w:r>
      <w:r>
        <w:t>data</w:t>
      </w:r>
      <w:r>
        <w:rPr>
          <w:spacing w:val="-9"/>
        </w:rPr>
        <w:t xml:space="preserve"> </w:t>
      </w:r>
      <w:r>
        <w:t>it</w:t>
      </w:r>
      <w:r>
        <w:rPr>
          <w:spacing w:val="-10"/>
        </w:rPr>
        <w:t xml:space="preserve"> </w:t>
      </w:r>
      <w:r>
        <w:t>relied</w:t>
      </w:r>
      <w:r>
        <w:rPr>
          <w:spacing w:val="-10"/>
        </w:rPr>
        <w:t xml:space="preserve"> </w:t>
      </w:r>
      <w:r>
        <w:t>upon</w:t>
      </w:r>
      <w:r>
        <w:rPr>
          <w:spacing w:val="-10"/>
        </w:rPr>
        <w:t xml:space="preserve"> </w:t>
      </w:r>
      <w:r>
        <w:t>for</w:t>
      </w:r>
      <w:r>
        <w:rPr>
          <w:spacing w:val="-11"/>
        </w:rPr>
        <w:t xml:space="preserve"> </w:t>
      </w:r>
      <w:r>
        <w:t>Treasury Wines and applied it to Casella Wines and Swan Vintage. This interpretation would involve treating MOFCOM's explanations of its methodology in the Final De</w:t>
      </w:r>
      <w:r>
        <w:t xml:space="preserve">termination as false, and inevitably would result in MOFCOM having violated its obligations of transparency and due </w:t>
      </w:r>
      <w:r>
        <w:rPr>
          <w:spacing w:val="-2"/>
        </w:rPr>
        <w:t>process.</w:t>
      </w:r>
    </w:p>
    <w:p w14:paraId="51DE8919" w14:textId="77777777" w:rsidR="0010369C" w:rsidRDefault="0010369C">
      <w:pPr>
        <w:pStyle w:val="BodyText"/>
        <w:spacing w:before="10"/>
        <w:rPr>
          <w:sz w:val="8"/>
        </w:rPr>
      </w:pPr>
    </w:p>
    <w:p w14:paraId="51DE891A" w14:textId="77777777" w:rsidR="0010369C" w:rsidRDefault="008E43AE">
      <w:pPr>
        <w:pStyle w:val="BodyText"/>
        <w:spacing w:before="52" w:line="360" w:lineRule="auto"/>
        <w:ind w:left="236" w:right="612" w:firstLine="852"/>
        <w:jc w:val="both"/>
      </w:pPr>
      <w:r>
        <w:rPr>
          <w:noProof/>
        </w:rPr>
        <w:drawing>
          <wp:anchor distT="0" distB="0" distL="0" distR="0" simplePos="0" relativeHeight="251034112" behindDoc="1" locked="0" layoutInCell="1" allowOverlap="1" wp14:anchorId="51DEA2AD" wp14:editId="51DEA2AE">
            <wp:simplePos x="0" y="0"/>
            <wp:positionH relativeFrom="page">
              <wp:posOffset>905255</wp:posOffset>
            </wp:positionH>
            <wp:positionV relativeFrom="paragraph">
              <wp:posOffset>80595</wp:posOffset>
            </wp:positionV>
            <wp:extent cx="259079" cy="103631"/>
            <wp:effectExtent l="0" t="0" r="0" b="0"/>
            <wp:wrapNone/>
            <wp:docPr id="783" name="image4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 name="image402.png"/>
                    <pic:cNvPicPr/>
                  </pic:nvPicPr>
                  <pic:blipFill>
                    <a:blip r:embed="rId534" cstate="print"/>
                    <a:stretch>
                      <a:fillRect/>
                    </a:stretch>
                  </pic:blipFill>
                  <pic:spPr>
                    <a:xfrm>
                      <a:off x="0" y="0"/>
                      <a:ext cx="259079" cy="103631"/>
                    </a:xfrm>
                    <a:prstGeom prst="rect">
                      <a:avLst/>
                    </a:prstGeom>
                  </pic:spPr>
                </pic:pic>
              </a:graphicData>
            </a:graphic>
          </wp:anchor>
        </w:drawing>
      </w:r>
      <w:r>
        <w:t>Nonetheless, Australia submits that in the absence of a compelling and evidence‐ based alternative explanation from China, the in</w:t>
      </w:r>
      <w:r>
        <w:t xml:space="preserve">ference that this is what occurred should be drawn given that it is impossible to give MOFCOM's stated methodology a rational interpretation if it is read literally. This interpretation would also explain how MOFCOM arrived at the absurdly high margins it </w:t>
      </w:r>
      <w:r>
        <w:t>calculated</w:t>
      </w:r>
      <w:r>
        <w:rPr>
          <w:spacing w:val="-1"/>
        </w:rPr>
        <w:t xml:space="preserve"> </w:t>
      </w:r>
      <w:r>
        <w:t>for each of</w:t>
      </w:r>
      <w:r>
        <w:rPr>
          <w:spacing w:val="-1"/>
        </w:rPr>
        <w:t xml:space="preserve"> </w:t>
      </w:r>
      <w:r>
        <w:t>the sampled</w:t>
      </w:r>
      <w:r>
        <w:rPr>
          <w:spacing w:val="-1"/>
        </w:rPr>
        <w:t xml:space="preserve"> </w:t>
      </w:r>
      <w:r>
        <w:t>companies, since it would</w:t>
      </w:r>
      <w:r>
        <w:rPr>
          <w:spacing w:val="-8"/>
        </w:rPr>
        <w:t xml:space="preserve"> </w:t>
      </w:r>
      <w:r>
        <w:t>carry</w:t>
      </w:r>
      <w:r>
        <w:rPr>
          <w:spacing w:val="-8"/>
        </w:rPr>
        <w:t xml:space="preserve"> </w:t>
      </w:r>
      <w:r>
        <w:t>across</w:t>
      </w:r>
      <w:r>
        <w:rPr>
          <w:spacing w:val="-7"/>
        </w:rPr>
        <w:t xml:space="preserve"> </w:t>
      </w:r>
      <w:r>
        <w:t>the</w:t>
      </w:r>
      <w:r>
        <w:rPr>
          <w:spacing w:val="-7"/>
        </w:rPr>
        <w:t xml:space="preserve"> </w:t>
      </w:r>
      <w:r>
        <w:t>highly</w:t>
      </w:r>
      <w:r>
        <w:rPr>
          <w:spacing w:val="-7"/>
        </w:rPr>
        <w:t xml:space="preserve"> </w:t>
      </w:r>
      <w:r>
        <w:t>selective</w:t>
      </w:r>
      <w:r>
        <w:rPr>
          <w:spacing w:val="-7"/>
        </w:rPr>
        <w:t xml:space="preserve"> </w:t>
      </w:r>
      <w:r>
        <w:t>use</w:t>
      </w:r>
      <w:r>
        <w:rPr>
          <w:spacing w:val="-7"/>
        </w:rPr>
        <w:t xml:space="preserve"> </w:t>
      </w:r>
      <w:r>
        <w:t>of</w:t>
      </w:r>
      <w:r>
        <w:rPr>
          <w:spacing w:val="-8"/>
        </w:rPr>
        <w:t xml:space="preserve"> </w:t>
      </w:r>
      <w:r>
        <w:t>unrepresentative</w:t>
      </w:r>
      <w:r>
        <w:rPr>
          <w:spacing w:val="-6"/>
        </w:rPr>
        <w:t xml:space="preserve"> </w:t>
      </w:r>
      <w:r>
        <w:t>data</w:t>
      </w:r>
      <w:r>
        <w:rPr>
          <w:spacing w:val="-7"/>
        </w:rPr>
        <w:t xml:space="preserve"> </w:t>
      </w:r>
      <w:r>
        <w:t>from</w:t>
      </w:r>
      <w:r>
        <w:rPr>
          <w:spacing w:val="-9"/>
        </w:rPr>
        <w:t xml:space="preserve"> </w:t>
      </w:r>
      <w:r>
        <w:t>Treasury</w:t>
      </w:r>
      <w:r>
        <w:rPr>
          <w:spacing w:val="-7"/>
        </w:rPr>
        <w:t xml:space="preserve"> </w:t>
      </w:r>
      <w:r>
        <w:t>Wines</w:t>
      </w:r>
      <w:r>
        <w:rPr>
          <w:spacing w:val="-8"/>
        </w:rPr>
        <w:t xml:space="preserve"> </w:t>
      </w:r>
      <w:r>
        <w:t>and apply it to each of the other sampled companies. If this is in fact what has occurred, then it necessarily</w:t>
      </w:r>
      <w:r>
        <w:rPr>
          <w:spacing w:val="-11"/>
        </w:rPr>
        <w:t xml:space="preserve"> </w:t>
      </w:r>
      <w:r>
        <w:t>follows</w:t>
      </w:r>
      <w:r>
        <w:rPr>
          <w:spacing w:val="-12"/>
        </w:rPr>
        <w:t xml:space="preserve"> </w:t>
      </w:r>
      <w:r>
        <w:t>that</w:t>
      </w:r>
      <w:r>
        <w:rPr>
          <w:spacing w:val="-12"/>
        </w:rPr>
        <w:t xml:space="preserve"> </w:t>
      </w:r>
      <w:r>
        <w:t>the</w:t>
      </w:r>
      <w:r>
        <w:rPr>
          <w:spacing w:val="-12"/>
        </w:rPr>
        <w:t xml:space="preserve"> </w:t>
      </w:r>
      <w:r>
        <w:t>errors</w:t>
      </w:r>
      <w:r>
        <w:rPr>
          <w:spacing w:val="-13"/>
        </w:rPr>
        <w:t xml:space="preserve"> </w:t>
      </w:r>
      <w:r>
        <w:t>made</w:t>
      </w:r>
      <w:r>
        <w:rPr>
          <w:spacing w:val="-12"/>
        </w:rPr>
        <w:t xml:space="preserve"> </w:t>
      </w:r>
      <w:r>
        <w:t>by</w:t>
      </w:r>
      <w:r>
        <w:rPr>
          <w:spacing w:val="-12"/>
        </w:rPr>
        <w:t xml:space="preserve"> </w:t>
      </w:r>
      <w:r>
        <w:t>MOFCOM</w:t>
      </w:r>
      <w:r>
        <w:rPr>
          <w:spacing w:val="-12"/>
        </w:rPr>
        <w:t xml:space="preserve"> </w:t>
      </w:r>
      <w:r>
        <w:t>in</w:t>
      </w:r>
      <w:r>
        <w:rPr>
          <w:spacing w:val="-12"/>
        </w:rPr>
        <w:t xml:space="preserve"> </w:t>
      </w:r>
      <w:r>
        <w:t>its</w:t>
      </w:r>
      <w:r>
        <w:rPr>
          <w:spacing w:val="-12"/>
        </w:rPr>
        <w:t xml:space="preserve"> </w:t>
      </w:r>
      <w:r>
        <w:t>treatment</w:t>
      </w:r>
      <w:r>
        <w:rPr>
          <w:spacing w:val="-14"/>
        </w:rPr>
        <w:t xml:space="preserve"> </w:t>
      </w:r>
      <w:r>
        <w:t>of</w:t>
      </w:r>
      <w:r>
        <w:rPr>
          <w:spacing w:val="-13"/>
        </w:rPr>
        <w:t xml:space="preserve"> </w:t>
      </w:r>
      <w:r>
        <w:t>Treasury</w:t>
      </w:r>
      <w:r>
        <w:rPr>
          <w:spacing w:val="-12"/>
        </w:rPr>
        <w:t xml:space="preserve"> </w:t>
      </w:r>
      <w:r>
        <w:t>Wines'</w:t>
      </w:r>
      <w:r>
        <w:rPr>
          <w:spacing w:val="-12"/>
        </w:rPr>
        <w:t xml:space="preserve"> </w:t>
      </w:r>
      <w:r>
        <w:t>price data invalidate its determinations for both Casella Wines and Sw</w:t>
      </w:r>
      <w:r>
        <w:t>an Vintage. The use of this methodology</w:t>
      </w:r>
      <w:r>
        <w:rPr>
          <w:spacing w:val="-4"/>
        </w:rPr>
        <w:t xml:space="preserve"> </w:t>
      </w:r>
      <w:r>
        <w:t>for</w:t>
      </w:r>
      <w:r>
        <w:rPr>
          <w:spacing w:val="-3"/>
        </w:rPr>
        <w:t xml:space="preserve"> </w:t>
      </w:r>
      <w:r>
        <w:t>two</w:t>
      </w:r>
      <w:r>
        <w:rPr>
          <w:spacing w:val="-4"/>
        </w:rPr>
        <w:t xml:space="preserve"> </w:t>
      </w:r>
      <w:r>
        <w:t>of</w:t>
      </w:r>
      <w:r>
        <w:rPr>
          <w:spacing w:val="-5"/>
        </w:rPr>
        <w:t xml:space="preserve"> </w:t>
      </w:r>
      <w:r>
        <w:t>the</w:t>
      </w:r>
      <w:r>
        <w:rPr>
          <w:spacing w:val="-3"/>
        </w:rPr>
        <w:t xml:space="preserve"> </w:t>
      </w:r>
      <w:r>
        <w:t>three</w:t>
      </w:r>
      <w:r>
        <w:rPr>
          <w:spacing w:val="-3"/>
        </w:rPr>
        <w:t xml:space="preserve"> </w:t>
      </w:r>
      <w:r>
        <w:t>sampled</w:t>
      </w:r>
      <w:r>
        <w:rPr>
          <w:spacing w:val="-4"/>
        </w:rPr>
        <w:t xml:space="preserve"> </w:t>
      </w:r>
      <w:r>
        <w:t>companies</w:t>
      </w:r>
      <w:r>
        <w:rPr>
          <w:spacing w:val="-4"/>
        </w:rPr>
        <w:t xml:space="preserve"> </w:t>
      </w:r>
      <w:r>
        <w:t>also</w:t>
      </w:r>
      <w:r>
        <w:rPr>
          <w:spacing w:val="-3"/>
        </w:rPr>
        <w:t xml:space="preserve"> </w:t>
      </w:r>
      <w:r>
        <w:t>had</w:t>
      </w:r>
      <w:r>
        <w:rPr>
          <w:spacing w:val="-4"/>
        </w:rPr>
        <w:t xml:space="preserve"> </w:t>
      </w:r>
      <w:r>
        <w:t>a</w:t>
      </w:r>
      <w:r>
        <w:rPr>
          <w:spacing w:val="-4"/>
        </w:rPr>
        <w:t xml:space="preserve"> </w:t>
      </w:r>
      <w:r>
        <w:t>highly</w:t>
      </w:r>
      <w:r>
        <w:rPr>
          <w:spacing w:val="-3"/>
        </w:rPr>
        <w:t xml:space="preserve"> </w:t>
      </w:r>
      <w:r>
        <w:t>detrimental</w:t>
      </w:r>
      <w:r>
        <w:rPr>
          <w:spacing w:val="-3"/>
        </w:rPr>
        <w:t xml:space="preserve"> </w:t>
      </w:r>
      <w:r>
        <w:t>effect</w:t>
      </w:r>
      <w:r>
        <w:rPr>
          <w:spacing w:val="-5"/>
        </w:rPr>
        <w:t xml:space="preserve"> </w:t>
      </w:r>
      <w:r>
        <w:t>on the calculation of the rates for other named Australian exporters and all others.</w:t>
      </w:r>
    </w:p>
    <w:p w14:paraId="51DE891B" w14:textId="77777777" w:rsidR="0010369C" w:rsidRDefault="008E43AE">
      <w:pPr>
        <w:pStyle w:val="ListParagraph"/>
        <w:numPr>
          <w:ilvl w:val="4"/>
          <w:numId w:val="75"/>
        </w:numPr>
        <w:tabs>
          <w:tab w:val="left" w:pos="4493"/>
          <w:tab w:val="left" w:pos="4494"/>
        </w:tabs>
        <w:spacing w:before="160" w:line="360" w:lineRule="auto"/>
        <w:ind w:right="612"/>
        <w:jc w:val="both"/>
        <w:rPr>
          <w:i/>
          <w:sz w:val="24"/>
        </w:rPr>
      </w:pPr>
      <w:r>
        <w:rPr>
          <w:i/>
          <w:sz w:val="24"/>
        </w:rPr>
        <w:t>MOFCOM did not check the information from "other respon</w:t>
      </w:r>
      <w:r>
        <w:rPr>
          <w:i/>
          <w:sz w:val="24"/>
        </w:rPr>
        <w:t>dents" against information obtained from the sampled companies, nor from other independent sources</w:t>
      </w:r>
    </w:p>
    <w:p w14:paraId="51DE891C" w14:textId="77777777" w:rsidR="0010369C" w:rsidRDefault="0010369C">
      <w:pPr>
        <w:pStyle w:val="BodyText"/>
        <w:spacing w:before="11"/>
        <w:rPr>
          <w:i/>
          <w:sz w:val="8"/>
        </w:rPr>
      </w:pPr>
    </w:p>
    <w:p w14:paraId="51DE891D" w14:textId="77777777" w:rsidR="0010369C" w:rsidRDefault="008E43AE">
      <w:pPr>
        <w:pStyle w:val="BodyText"/>
        <w:spacing w:before="52" w:line="360" w:lineRule="auto"/>
        <w:ind w:left="237" w:right="614" w:firstLine="851"/>
        <w:jc w:val="both"/>
      </w:pPr>
      <w:r>
        <w:rPr>
          <w:noProof/>
        </w:rPr>
        <w:drawing>
          <wp:anchor distT="0" distB="0" distL="0" distR="0" simplePos="0" relativeHeight="251035136" behindDoc="1" locked="0" layoutInCell="1" allowOverlap="1" wp14:anchorId="51DEA2AF" wp14:editId="51DEA2B0">
            <wp:simplePos x="0" y="0"/>
            <wp:positionH relativeFrom="page">
              <wp:posOffset>905255</wp:posOffset>
            </wp:positionH>
            <wp:positionV relativeFrom="paragraph">
              <wp:posOffset>80595</wp:posOffset>
            </wp:positionV>
            <wp:extent cx="259079" cy="103631"/>
            <wp:effectExtent l="0" t="0" r="0" b="0"/>
            <wp:wrapNone/>
            <wp:docPr id="785" name="image4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 name="image403.png"/>
                    <pic:cNvPicPr/>
                  </pic:nvPicPr>
                  <pic:blipFill>
                    <a:blip r:embed="rId535" cstate="print"/>
                    <a:stretch>
                      <a:fillRect/>
                    </a:stretch>
                  </pic:blipFill>
                  <pic:spPr>
                    <a:xfrm>
                      <a:off x="0" y="0"/>
                      <a:ext cx="259079" cy="103631"/>
                    </a:xfrm>
                    <a:prstGeom prst="rect">
                      <a:avLst/>
                    </a:prstGeom>
                  </pic:spPr>
                </pic:pic>
              </a:graphicData>
            </a:graphic>
          </wp:anchor>
        </w:drawing>
      </w:r>
      <w:r>
        <w:t>As stated above, MOFCOM decided to adjust the "expenses" to the ex‐factory level, based on the "weighted average price of domestic sales of the product und</w:t>
      </w:r>
      <w:r>
        <w:t>er investigation given</w:t>
      </w:r>
      <w:r>
        <w:rPr>
          <w:spacing w:val="22"/>
        </w:rPr>
        <w:t xml:space="preserve"> </w:t>
      </w:r>
      <w:r>
        <w:t>by</w:t>
      </w:r>
      <w:r>
        <w:rPr>
          <w:spacing w:val="24"/>
        </w:rPr>
        <w:t xml:space="preserve"> </w:t>
      </w:r>
      <w:r>
        <w:t>other</w:t>
      </w:r>
      <w:r>
        <w:rPr>
          <w:spacing w:val="24"/>
        </w:rPr>
        <w:t xml:space="preserve"> </w:t>
      </w:r>
      <w:r>
        <w:t>respondents"</w:t>
      </w:r>
      <w:r>
        <w:rPr>
          <w:spacing w:val="22"/>
        </w:rPr>
        <w:t xml:space="preserve"> </w:t>
      </w:r>
      <w:r>
        <w:t>to</w:t>
      </w:r>
      <w:r>
        <w:rPr>
          <w:spacing w:val="23"/>
        </w:rPr>
        <w:t xml:space="preserve"> </w:t>
      </w:r>
      <w:r>
        <w:t>determine</w:t>
      </w:r>
      <w:r>
        <w:rPr>
          <w:spacing w:val="25"/>
        </w:rPr>
        <w:t xml:space="preserve"> </w:t>
      </w:r>
      <w:r>
        <w:t>normal</w:t>
      </w:r>
      <w:r>
        <w:rPr>
          <w:spacing w:val="24"/>
        </w:rPr>
        <w:t xml:space="preserve"> </w:t>
      </w:r>
      <w:r>
        <w:t>value.</w:t>
      </w:r>
      <w:r>
        <w:rPr>
          <w:vertAlign w:val="superscript"/>
        </w:rPr>
        <w:t>415</w:t>
      </w:r>
      <w:r>
        <w:rPr>
          <w:spacing w:val="22"/>
        </w:rPr>
        <w:t xml:space="preserve"> </w:t>
      </w:r>
      <w:r>
        <w:t>MOFCOM</w:t>
      </w:r>
      <w:r>
        <w:rPr>
          <w:spacing w:val="24"/>
        </w:rPr>
        <w:t xml:space="preserve"> </w:t>
      </w:r>
      <w:r>
        <w:t>did</w:t>
      </w:r>
      <w:r>
        <w:rPr>
          <w:spacing w:val="23"/>
        </w:rPr>
        <w:t xml:space="preserve"> </w:t>
      </w:r>
      <w:r>
        <w:t>not</w:t>
      </w:r>
      <w:r>
        <w:rPr>
          <w:spacing w:val="23"/>
        </w:rPr>
        <w:t xml:space="preserve"> </w:t>
      </w:r>
      <w:r>
        <w:t>identify</w:t>
      </w:r>
      <w:r>
        <w:rPr>
          <w:spacing w:val="24"/>
        </w:rPr>
        <w:t xml:space="preserve"> </w:t>
      </w:r>
      <w:r>
        <w:rPr>
          <w:spacing w:val="-5"/>
        </w:rPr>
        <w:t>the</w:t>
      </w:r>
    </w:p>
    <w:p w14:paraId="51DE891E" w14:textId="77777777" w:rsidR="0010369C" w:rsidRDefault="008E43AE">
      <w:pPr>
        <w:pStyle w:val="BodyText"/>
        <w:spacing w:before="8"/>
        <w:rPr>
          <w:sz w:val="28"/>
        </w:rPr>
      </w:pPr>
      <w:r>
        <w:pict w14:anchorId="51DEA2B1">
          <v:rect id="docshape848" o:spid="_x0000_s1460" style="position:absolute;margin-left:70.9pt;margin-top:18.7pt;width:2in;height:.8pt;z-index:-250903040;mso-wrap-distance-left:0;mso-wrap-distance-right:0;mso-position-horizontal-relative:page" fillcolor="black" stroked="f">
            <w10:wrap type="topAndBottom" anchorx="page"/>
          </v:rect>
        </w:pict>
      </w:r>
    </w:p>
    <w:p w14:paraId="51DE891F" w14:textId="77777777" w:rsidR="0010369C" w:rsidRDefault="008E43AE">
      <w:pPr>
        <w:spacing w:before="109"/>
        <w:ind w:left="238"/>
        <w:rPr>
          <w:sz w:val="18"/>
        </w:rPr>
      </w:pPr>
      <w:r>
        <w:rPr>
          <w:sz w:val="18"/>
          <w:vertAlign w:val="superscript"/>
        </w:rPr>
        <w:t>414</w:t>
      </w:r>
      <w:r>
        <w:rPr>
          <w:spacing w:val="-9"/>
          <w:sz w:val="18"/>
        </w:rPr>
        <w:t xml:space="preserve"> </w:t>
      </w:r>
      <w:r>
        <w:rPr>
          <w:sz w:val="18"/>
        </w:rPr>
        <w:t>Anti‐Dumping</w:t>
      </w:r>
      <w:r>
        <w:rPr>
          <w:spacing w:val="-8"/>
          <w:sz w:val="18"/>
        </w:rPr>
        <w:t xml:space="preserve"> </w:t>
      </w:r>
      <w:r>
        <w:rPr>
          <w:sz w:val="18"/>
        </w:rPr>
        <w:t>Final</w:t>
      </w:r>
      <w:r>
        <w:rPr>
          <w:spacing w:val="-8"/>
          <w:sz w:val="18"/>
        </w:rPr>
        <w:t xml:space="preserve"> </w:t>
      </w:r>
      <w:r>
        <w:rPr>
          <w:sz w:val="18"/>
        </w:rPr>
        <w:t>Determination</w:t>
      </w:r>
      <w:r>
        <w:rPr>
          <w:spacing w:val="-7"/>
          <w:sz w:val="18"/>
        </w:rPr>
        <w:t xml:space="preserve"> </w:t>
      </w:r>
      <w:r>
        <w:rPr>
          <w:sz w:val="18"/>
        </w:rPr>
        <w:t>(Exhibit</w:t>
      </w:r>
      <w:r>
        <w:rPr>
          <w:spacing w:val="-8"/>
          <w:sz w:val="18"/>
        </w:rPr>
        <w:t xml:space="preserve"> </w:t>
      </w:r>
      <w:r>
        <w:rPr>
          <w:sz w:val="18"/>
        </w:rPr>
        <w:t>AUS‐2),</w:t>
      </w:r>
      <w:r>
        <w:rPr>
          <w:spacing w:val="-9"/>
          <w:sz w:val="18"/>
        </w:rPr>
        <w:t xml:space="preserve"> </w:t>
      </w:r>
      <w:r>
        <w:rPr>
          <w:sz w:val="18"/>
        </w:rPr>
        <w:t>pp.</w:t>
      </w:r>
      <w:r>
        <w:rPr>
          <w:spacing w:val="-8"/>
          <w:sz w:val="18"/>
        </w:rPr>
        <w:t xml:space="preserve"> </w:t>
      </w:r>
      <w:r>
        <w:rPr>
          <w:sz w:val="18"/>
        </w:rPr>
        <w:t>78,</w:t>
      </w:r>
      <w:r>
        <w:rPr>
          <w:spacing w:val="-9"/>
          <w:sz w:val="18"/>
        </w:rPr>
        <w:t xml:space="preserve"> </w:t>
      </w:r>
      <w:r>
        <w:rPr>
          <w:spacing w:val="-5"/>
          <w:sz w:val="18"/>
        </w:rPr>
        <w:t>84.</w:t>
      </w:r>
    </w:p>
    <w:p w14:paraId="51DE8920" w14:textId="77777777" w:rsidR="0010369C" w:rsidRDefault="008E43AE">
      <w:pPr>
        <w:ind w:left="238"/>
        <w:rPr>
          <w:sz w:val="18"/>
        </w:rPr>
      </w:pPr>
      <w:r>
        <w:rPr>
          <w:sz w:val="18"/>
          <w:vertAlign w:val="superscript"/>
        </w:rPr>
        <w:t>415</w:t>
      </w:r>
      <w:r>
        <w:rPr>
          <w:spacing w:val="-9"/>
          <w:sz w:val="18"/>
        </w:rPr>
        <w:t xml:space="preserve"> </w:t>
      </w:r>
      <w:r>
        <w:rPr>
          <w:sz w:val="18"/>
        </w:rPr>
        <w:t>Anti‐Dumping</w:t>
      </w:r>
      <w:r>
        <w:rPr>
          <w:spacing w:val="-8"/>
          <w:sz w:val="18"/>
        </w:rPr>
        <w:t xml:space="preserve"> </w:t>
      </w:r>
      <w:r>
        <w:rPr>
          <w:sz w:val="18"/>
        </w:rPr>
        <w:t>Final</w:t>
      </w:r>
      <w:r>
        <w:rPr>
          <w:spacing w:val="-8"/>
          <w:sz w:val="18"/>
        </w:rPr>
        <w:t xml:space="preserve"> </w:t>
      </w:r>
      <w:r>
        <w:rPr>
          <w:sz w:val="18"/>
        </w:rPr>
        <w:t>Determination</w:t>
      </w:r>
      <w:r>
        <w:rPr>
          <w:spacing w:val="-7"/>
          <w:sz w:val="18"/>
        </w:rPr>
        <w:t xml:space="preserve"> </w:t>
      </w:r>
      <w:r>
        <w:rPr>
          <w:sz w:val="18"/>
        </w:rPr>
        <w:t>(Exhibit</w:t>
      </w:r>
      <w:r>
        <w:rPr>
          <w:spacing w:val="-8"/>
          <w:sz w:val="18"/>
        </w:rPr>
        <w:t xml:space="preserve"> </w:t>
      </w:r>
      <w:r>
        <w:rPr>
          <w:sz w:val="18"/>
        </w:rPr>
        <w:t>AUS‐2),</w:t>
      </w:r>
      <w:r>
        <w:rPr>
          <w:spacing w:val="-9"/>
          <w:sz w:val="18"/>
        </w:rPr>
        <w:t xml:space="preserve"> </w:t>
      </w:r>
      <w:r>
        <w:rPr>
          <w:sz w:val="18"/>
        </w:rPr>
        <w:t>pp.</w:t>
      </w:r>
      <w:r>
        <w:rPr>
          <w:spacing w:val="-8"/>
          <w:sz w:val="18"/>
        </w:rPr>
        <w:t xml:space="preserve"> </w:t>
      </w:r>
      <w:r>
        <w:rPr>
          <w:sz w:val="18"/>
        </w:rPr>
        <w:t>85,</w:t>
      </w:r>
      <w:r>
        <w:rPr>
          <w:spacing w:val="-9"/>
          <w:sz w:val="18"/>
        </w:rPr>
        <w:t xml:space="preserve"> </w:t>
      </w:r>
      <w:r>
        <w:rPr>
          <w:spacing w:val="-5"/>
          <w:sz w:val="18"/>
        </w:rPr>
        <w:t>92.</w:t>
      </w:r>
    </w:p>
    <w:p w14:paraId="51DE8921" w14:textId="77777777" w:rsidR="0010369C" w:rsidRDefault="0010369C">
      <w:pPr>
        <w:rPr>
          <w:sz w:val="18"/>
        </w:rPr>
        <w:sectPr w:rsidR="0010369C">
          <w:headerReference w:type="default" r:id="rId536"/>
          <w:footerReference w:type="default" r:id="rId537"/>
          <w:pgSz w:w="11910" w:h="16840"/>
          <w:pgMar w:top="880" w:right="800" w:bottom="980" w:left="1180" w:header="569" w:footer="788" w:gutter="0"/>
          <w:pgNumType w:start="147"/>
          <w:cols w:space="720"/>
        </w:sectPr>
      </w:pPr>
    </w:p>
    <w:p w14:paraId="51DE8922" w14:textId="77777777" w:rsidR="0010369C" w:rsidRDefault="008E43AE">
      <w:pPr>
        <w:tabs>
          <w:tab w:val="left" w:pos="6426"/>
        </w:tabs>
        <w:ind w:left="238"/>
        <w:jc w:val="both"/>
        <w:rPr>
          <w:sz w:val="20"/>
        </w:rPr>
      </w:pPr>
      <w:r>
        <w:rPr>
          <w:i/>
          <w:sz w:val="20"/>
        </w:rPr>
        <w:lastRenderedPageBreak/>
        <w:t>China</w:t>
      </w:r>
      <w:r>
        <w:rPr>
          <w:i/>
          <w:spacing w:val="-5"/>
          <w:sz w:val="20"/>
        </w:rPr>
        <w:t xml:space="preserve"> </w:t>
      </w:r>
      <w:r>
        <w:rPr>
          <w:i/>
          <w:sz w:val="20"/>
        </w:rPr>
        <w:t>–</w:t>
      </w:r>
      <w:r>
        <w:rPr>
          <w:i/>
          <w:spacing w:val="-5"/>
          <w:sz w:val="20"/>
        </w:rPr>
        <w:t xml:space="preserve"> </w:t>
      </w:r>
      <w:r>
        <w:rPr>
          <w:i/>
          <w:sz w:val="20"/>
        </w:rPr>
        <w:t>Anti‐Dumping</w:t>
      </w:r>
      <w:r>
        <w:rPr>
          <w:i/>
          <w:spacing w:val="-4"/>
          <w:sz w:val="20"/>
        </w:rPr>
        <w:t xml:space="preserve"> </w:t>
      </w:r>
      <w:r>
        <w:rPr>
          <w:i/>
          <w:sz w:val="20"/>
        </w:rPr>
        <w:t>and</w:t>
      </w:r>
      <w:r>
        <w:rPr>
          <w:i/>
          <w:spacing w:val="-5"/>
          <w:sz w:val="20"/>
        </w:rPr>
        <w:t xml:space="preserve"> </w:t>
      </w:r>
      <w:r>
        <w:rPr>
          <w:i/>
          <w:sz w:val="20"/>
        </w:rPr>
        <w:t>Countervailing</w:t>
      </w:r>
      <w:r>
        <w:rPr>
          <w:i/>
          <w:spacing w:val="-5"/>
          <w:sz w:val="20"/>
        </w:rPr>
        <w:t xml:space="preserve"> </w:t>
      </w:r>
      <w:r>
        <w:rPr>
          <w:i/>
          <w:sz w:val="20"/>
        </w:rPr>
        <w:t>Duty</w:t>
      </w:r>
      <w:r>
        <w:rPr>
          <w:i/>
          <w:spacing w:val="-4"/>
          <w:sz w:val="20"/>
        </w:rPr>
        <w:t xml:space="preserve"> </w:t>
      </w:r>
      <w:r>
        <w:rPr>
          <w:i/>
          <w:spacing w:val="-2"/>
          <w:sz w:val="20"/>
        </w:rPr>
        <w:t>Measures</w:t>
      </w:r>
      <w:r>
        <w:rPr>
          <w:i/>
          <w:sz w:val="20"/>
        </w:rPr>
        <w:tab/>
      </w:r>
      <w:r>
        <w:rPr>
          <w:sz w:val="20"/>
        </w:rPr>
        <w:t>Australia's</w:t>
      </w:r>
      <w:r>
        <w:rPr>
          <w:spacing w:val="-7"/>
          <w:sz w:val="20"/>
        </w:rPr>
        <w:t xml:space="preserve"> </w:t>
      </w:r>
      <w:r>
        <w:rPr>
          <w:sz w:val="20"/>
        </w:rPr>
        <w:t>First</w:t>
      </w:r>
      <w:r>
        <w:rPr>
          <w:spacing w:val="-2"/>
          <w:sz w:val="20"/>
        </w:rPr>
        <w:t xml:space="preserve"> </w:t>
      </w:r>
      <w:r>
        <w:rPr>
          <w:sz w:val="20"/>
        </w:rPr>
        <w:t>Written</w:t>
      </w:r>
      <w:r>
        <w:rPr>
          <w:spacing w:val="-2"/>
          <w:sz w:val="20"/>
        </w:rPr>
        <w:t xml:space="preserve"> Submission</w:t>
      </w:r>
    </w:p>
    <w:p w14:paraId="51DE8923" w14:textId="77777777" w:rsidR="0010369C" w:rsidRDefault="008E43AE">
      <w:pPr>
        <w:tabs>
          <w:tab w:val="left" w:pos="8228"/>
        </w:tabs>
        <w:spacing w:before="1"/>
        <w:ind w:left="239"/>
        <w:jc w:val="both"/>
        <w:rPr>
          <w:sz w:val="20"/>
        </w:rPr>
      </w:pPr>
      <w:r>
        <w:rPr>
          <w:i/>
          <w:sz w:val="20"/>
        </w:rPr>
        <w:t>on</w:t>
      </w:r>
      <w:r>
        <w:rPr>
          <w:i/>
          <w:spacing w:val="-1"/>
          <w:sz w:val="20"/>
        </w:rPr>
        <w:t xml:space="preserve"> </w:t>
      </w:r>
      <w:r>
        <w:rPr>
          <w:i/>
          <w:sz w:val="20"/>
        </w:rPr>
        <w:t>Wine</w:t>
      </w:r>
      <w:r>
        <w:rPr>
          <w:i/>
          <w:spacing w:val="-1"/>
          <w:sz w:val="20"/>
        </w:rPr>
        <w:t xml:space="preserve"> </w:t>
      </w:r>
      <w:r>
        <w:rPr>
          <w:i/>
          <w:sz w:val="20"/>
        </w:rPr>
        <w:t>from</w:t>
      </w:r>
      <w:r>
        <w:rPr>
          <w:i/>
          <w:spacing w:val="-3"/>
          <w:sz w:val="20"/>
        </w:rPr>
        <w:t xml:space="preserve"> </w:t>
      </w:r>
      <w:r>
        <w:rPr>
          <w:i/>
          <w:sz w:val="20"/>
        </w:rPr>
        <w:t>Australia</w:t>
      </w:r>
      <w:r>
        <w:rPr>
          <w:i/>
          <w:spacing w:val="-1"/>
          <w:sz w:val="20"/>
        </w:rPr>
        <w:t xml:space="preserve"> </w:t>
      </w:r>
      <w:r>
        <w:rPr>
          <w:spacing w:val="-2"/>
          <w:sz w:val="20"/>
        </w:rPr>
        <w:t>(DS602)</w:t>
      </w:r>
      <w:r>
        <w:rPr>
          <w:sz w:val="20"/>
        </w:rPr>
        <w:tab/>
        <w:t>29</w:t>
      </w:r>
      <w:r>
        <w:rPr>
          <w:spacing w:val="-1"/>
          <w:sz w:val="20"/>
        </w:rPr>
        <w:t xml:space="preserve"> </w:t>
      </w:r>
      <w:r>
        <w:rPr>
          <w:sz w:val="20"/>
        </w:rPr>
        <w:t>April</w:t>
      </w:r>
      <w:r>
        <w:rPr>
          <w:spacing w:val="-2"/>
          <w:sz w:val="20"/>
        </w:rPr>
        <w:t xml:space="preserve"> </w:t>
      </w:r>
      <w:r>
        <w:rPr>
          <w:spacing w:val="-4"/>
          <w:sz w:val="20"/>
        </w:rPr>
        <w:t>2022</w:t>
      </w:r>
    </w:p>
    <w:p w14:paraId="51DE8924" w14:textId="77777777" w:rsidR="0010369C" w:rsidRDefault="008E43AE">
      <w:pPr>
        <w:pStyle w:val="BodyText"/>
        <w:spacing w:before="34" w:line="360" w:lineRule="auto"/>
        <w:ind w:left="238" w:right="613"/>
        <w:jc w:val="both"/>
      </w:pPr>
      <w:r>
        <w:t>"other respondents" nor the domestic sales data it relied on for calculation purposes. However, since Treasury Wines and Swan Vintage were the only "other respondents" and MOFCOM</w:t>
      </w:r>
      <w:r>
        <w:rPr>
          <w:spacing w:val="-12"/>
        </w:rPr>
        <w:t xml:space="preserve"> </w:t>
      </w:r>
      <w:r>
        <w:t>rejected</w:t>
      </w:r>
      <w:r>
        <w:rPr>
          <w:spacing w:val="-13"/>
        </w:rPr>
        <w:t xml:space="preserve"> </w:t>
      </w:r>
      <w:r>
        <w:t>Swan</w:t>
      </w:r>
      <w:r>
        <w:rPr>
          <w:spacing w:val="-12"/>
        </w:rPr>
        <w:t xml:space="preserve"> </w:t>
      </w:r>
      <w:r>
        <w:t>Vintage's</w:t>
      </w:r>
      <w:r>
        <w:rPr>
          <w:spacing w:val="-12"/>
        </w:rPr>
        <w:t xml:space="preserve"> </w:t>
      </w:r>
      <w:r>
        <w:t>domestic</w:t>
      </w:r>
      <w:r>
        <w:rPr>
          <w:spacing w:val="-11"/>
        </w:rPr>
        <w:t xml:space="preserve"> </w:t>
      </w:r>
      <w:r>
        <w:t>sales,</w:t>
      </w:r>
      <w:r>
        <w:rPr>
          <w:vertAlign w:val="superscript"/>
        </w:rPr>
        <w:t>416</w:t>
      </w:r>
      <w:r>
        <w:rPr>
          <w:spacing w:val="-13"/>
        </w:rPr>
        <w:t xml:space="preserve"> </w:t>
      </w:r>
      <w:r>
        <w:t>the</w:t>
      </w:r>
      <w:r>
        <w:rPr>
          <w:spacing w:val="-12"/>
        </w:rPr>
        <w:t xml:space="preserve"> </w:t>
      </w:r>
      <w:r>
        <w:t>reference</w:t>
      </w:r>
      <w:r>
        <w:rPr>
          <w:spacing w:val="-12"/>
        </w:rPr>
        <w:t xml:space="preserve"> </w:t>
      </w:r>
      <w:r>
        <w:t>to</w:t>
      </w:r>
      <w:r>
        <w:rPr>
          <w:spacing w:val="-12"/>
        </w:rPr>
        <w:t xml:space="preserve"> </w:t>
      </w:r>
      <w:r>
        <w:t>"other</w:t>
      </w:r>
      <w:r>
        <w:rPr>
          <w:spacing w:val="-14"/>
        </w:rPr>
        <w:t xml:space="preserve"> </w:t>
      </w:r>
      <w:r>
        <w:t>exporters"</w:t>
      </w:r>
      <w:r>
        <w:rPr>
          <w:spacing w:val="-13"/>
        </w:rPr>
        <w:t xml:space="preserve"> </w:t>
      </w:r>
      <w:r>
        <w:t>might refer only to Treasury Wines.</w:t>
      </w:r>
    </w:p>
    <w:p w14:paraId="51DE8925" w14:textId="77777777" w:rsidR="0010369C" w:rsidRDefault="0010369C">
      <w:pPr>
        <w:pStyle w:val="BodyText"/>
        <w:spacing w:before="11"/>
        <w:rPr>
          <w:sz w:val="8"/>
        </w:rPr>
      </w:pPr>
    </w:p>
    <w:p w14:paraId="51DE8926" w14:textId="77777777" w:rsidR="0010369C" w:rsidRDefault="008E43AE">
      <w:pPr>
        <w:pStyle w:val="BodyText"/>
        <w:spacing w:before="51" w:line="360" w:lineRule="auto"/>
        <w:ind w:left="237" w:right="613" w:firstLine="851"/>
        <w:jc w:val="both"/>
      </w:pPr>
      <w:r>
        <w:rPr>
          <w:noProof/>
        </w:rPr>
        <w:drawing>
          <wp:anchor distT="0" distB="0" distL="0" distR="0" simplePos="0" relativeHeight="251036160" behindDoc="1" locked="0" layoutInCell="1" allowOverlap="1" wp14:anchorId="51DEA2B2" wp14:editId="51DEA2B3">
            <wp:simplePos x="0" y="0"/>
            <wp:positionH relativeFrom="page">
              <wp:posOffset>905255</wp:posOffset>
            </wp:positionH>
            <wp:positionV relativeFrom="paragraph">
              <wp:posOffset>81314</wp:posOffset>
            </wp:positionV>
            <wp:extent cx="259079" cy="100753"/>
            <wp:effectExtent l="0" t="0" r="0" b="0"/>
            <wp:wrapNone/>
            <wp:docPr id="787" name="image4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 name="image404.png"/>
                    <pic:cNvPicPr/>
                  </pic:nvPicPr>
                  <pic:blipFill>
                    <a:blip r:embed="rId538" cstate="print"/>
                    <a:stretch>
                      <a:fillRect/>
                    </a:stretch>
                  </pic:blipFill>
                  <pic:spPr>
                    <a:xfrm>
                      <a:off x="0" y="0"/>
                      <a:ext cx="259079" cy="100753"/>
                    </a:xfrm>
                    <a:prstGeom prst="rect">
                      <a:avLst/>
                    </a:prstGeom>
                  </pic:spPr>
                </pic:pic>
              </a:graphicData>
            </a:graphic>
          </wp:anchor>
        </w:drawing>
      </w:r>
      <w:r>
        <w:t>MOFCOM</w:t>
      </w:r>
      <w:r>
        <w:rPr>
          <w:spacing w:val="-7"/>
        </w:rPr>
        <w:t xml:space="preserve"> </w:t>
      </w:r>
      <w:r>
        <w:t>claimed</w:t>
      </w:r>
      <w:r>
        <w:rPr>
          <w:spacing w:val="-8"/>
        </w:rPr>
        <w:t xml:space="preserve"> </w:t>
      </w:r>
      <w:r>
        <w:t>in</w:t>
      </w:r>
      <w:r>
        <w:rPr>
          <w:spacing w:val="-8"/>
        </w:rPr>
        <w:t xml:space="preserve"> </w:t>
      </w:r>
      <w:r>
        <w:t>the</w:t>
      </w:r>
      <w:r>
        <w:rPr>
          <w:spacing w:val="-7"/>
        </w:rPr>
        <w:t xml:space="preserve"> </w:t>
      </w:r>
      <w:r>
        <w:t>Final</w:t>
      </w:r>
      <w:r>
        <w:rPr>
          <w:spacing w:val="-7"/>
        </w:rPr>
        <w:t xml:space="preserve"> </w:t>
      </w:r>
      <w:r>
        <w:t>Determination</w:t>
      </w:r>
      <w:r>
        <w:rPr>
          <w:spacing w:val="-7"/>
        </w:rPr>
        <w:t xml:space="preserve"> </w:t>
      </w:r>
      <w:r>
        <w:t>that</w:t>
      </w:r>
      <w:r>
        <w:rPr>
          <w:spacing w:val="-8"/>
        </w:rPr>
        <w:t xml:space="preserve"> </w:t>
      </w:r>
      <w:r>
        <w:t>it</w:t>
      </w:r>
      <w:r>
        <w:rPr>
          <w:spacing w:val="-7"/>
        </w:rPr>
        <w:t xml:space="preserve"> </w:t>
      </w:r>
      <w:r>
        <w:t>"[took]</w:t>
      </w:r>
      <w:r>
        <w:rPr>
          <w:spacing w:val="-8"/>
        </w:rPr>
        <w:t xml:space="preserve"> </w:t>
      </w:r>
      <w:r>
        <w:t>into</w:t>
      </w:r>
      <w:r>
        <w:rPr>
          <w:spacing w:val="-7"/>
        </w:rPr>
        <w:t xml:space="preserve"> </w:t>
      </w:r>
      <w:r>
        <w:t>account</w:t>
      </w:r>
      <w:r>
        <w:rPr>
          <w:spacing w:val="-7"/>
        </w:rPr>
        <w:t xml:space="preserve"> </w:t>
      </w:r>
      <w:r>
        <w:t>the</w:t>
      </w:r>
      <w:r>
        <w:rPr>
          <w:spacing w:val="-7"/>
        </w:rPr>
        <w:t xml:space="preserve"> </w:t>
      </w:r>
      <w:r>
        <w:t>physical properties</w:t>
      </w:r>
      <w:r>
        <w:rPr>
          <w:spacing w:val="-12"/>
        </w:rPr>
        <w:t xml:space="preserve"> </w:t>
      </w:r>
      <w:r>
        <w:t>of</w:t>
      </w:r>
      <w:r>
        <w:rPr>
          <w:spacing w:val="-12"/>
        </w:rPr>
        <w:t xml:space="preserve"> </w:t>
      </w:r>
      <w:r>
        <w:t>the</w:t>
      </w:r>
      <w:r>
        <w:rPr>
          <w:spacing w:val="-11"/>
        </w:rPr>
        <w:t xml:space="preserve"> </w:t>
      </w:r>
      <w:r>
        <w:t>product</w:t>
      </w:r>
      <w:r>
        <w:rPr>
          <w:spacing w:val="-12"/>
        </w:rPr>
        <w:t xml:space="preserve"> </w:t>
      </w:r>
      <w:r>
        <w:t>under</w:t>
      </w:r>
      <w:r>
        <w:rPr>
          <w:spacing w:val="-11"/>
        </w:rPr>
        <w:t xml:space="preserve"> </w:t>
      </w:r>
      <w:r>
        <w:t>investigation,</w:t>
      </w:r>
      <w:r>
        <w:rPr>
          <w:spacing w:val="-10"/>
        </w:rPr>
        <w:t xml:space="preserve"> </w:t>
      </w:r>
      <w:r>
        <w:t>the</w:t>
      </w:r>
      <w:r>
        <w:rPr>
          <w:spacing w:val="-11"/>
        </w:rPr>
        <w:t xml:space="preserve"> </w:t>
      </w:r>
      <w:r>
        <w:t>costs</w:t>
      </w:r>
      <w:r>
        <w:rPr>
          <w:spacing w:val="-12"/>
        </w:rPr>
        <w:t xml:space="preserve"> </w:t>
      </w:r>
      <w:r>
        <w:t>differences</w:t>
      </w:r>
      <w:r>
        <w:rPr>
          <w:spacing w:val="-12"/>
        </w:rPr>
        <w:t xml:space="preserve"> </w:t>
      </w:r>
      <w:r>
        <w:t>in</w:t>
      </w:r>
      <w:r>
        <w:rPr>
          <w:spacing w:val="-12"/>
        </w:rPr>
        <w:t xml:space="preserve"> </w:t>
      </w:r>
      <w:r>
        <w:t>different</w:t>
      </w:r>
      <w:r>
        <w:rPr>
          <w:spacing w:val="-11"/>
        </w:rPr>
        <w:t xml:space="preserve"> </w:t>
      </w:r>
      <w:r>
        <w:t>product</w:t>
      </w:r>
      <w:r>
        <w:rPr>
          <w:spacing w:val="-12"/>
        </w:rPr>
        <w:t xml:space="preserve"> </w:t>
      </w:r>
      <w:r>
        <w:t>types, trade links and other influencing factors" before deciding to resort to use data submitted by "other respondents" as the best information available.</w:t>
      </w:r>
      <w:r>
        <w:rPr>
          <w:vertAlign w:val="superscript"/>
        </w:rPr>
        <w:t>417</w:t>
      </w:r>
    </w:p>
    <w:p w14:paraId="51DE8927" w14:textId="77777777" w:rsidR="0010369C" w:rsidRDefault="0010369C">
      <w:pPr>
        <w:pStyle w:val="BodyText"/>
        <w:spacing w:before="11"/>
        <w:rPr>
          <w:sz w:val="8"/>
        </w:rPr>
      </w:pPr>
    </w:p>
    <w:p w14:paraId="51DE8928" w14:textId="77777777" w:rsidR="0010369C" w:rsidRDefault="008E43AE">
      <w:pPr>
        <w:pStyle w:val="BodyText"/>
        <w:spacing w:before="52" w:line="360" w:lineRule="auto"/>
        <w:ind w:left="236" w:right="612" w:firstLine="852"/>
        <w:jc w:val="both"/>
      </w:pPr>
      <w:r>
        <w:rPr>
          <w:noProof/>
        </w:rPr>
        <w:drawing>
          <wp:anchor distT="0" distB="0" distL="0" distR="0" simplePos="0" relativeHeight="251037184" behindDoc="1" locked="0" layoutInCell="1" allowOverlap="1" wp14:anchorId="51DEA2B4" wp14:editId="51DEA2B5">
            <wp:simplePos x="0" y="0"/>
            <wp:positionH relativeFrom="page">
              <wp:posOffset>905255</wp:posOffset>
            </wp:positionH>
            <wp:positionV relativeFrom="paragraph">
              <wp:posOffset>80595</wp:posOffset>
            </wp:positionV>
            <wp:extent cx="259079" cy="103631"/>
            <wp:effectExtent l="0" t="0" r="0" b="0"/>
            <wp:wrapNone/>
            <wp:docPr id="789" name="image4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 name="image405.png"/>
                    <pic:cNvPicPr/>
                  </pic:nvPicPr>
                  <pic:blipFill>
                    <a:blip r:embed="rId539" cstate="print"/>
                    <a:stretch>
                      <a:fillRect/>
                    </a:stretch>
                  </pic:blipFill>
                  <pic:spPr>
                    <a:xfrm>
                      <a:off x="0" y="0"/>
                      <a:ext cx="259079" cy="103631"/>
                    </a:xfrm>
                    <a:prstGeom prst="rect">
                      <a:avLst/>
                    </a:prstGeom>
                  </pic:spPr>
                </pic:pic>
              </a:graphicData>
            </a:graphic>
          </wp:anchor>
        </w:drawing>
      </w:r>
      <w:r>
        <w:t>There is no evidence on the record to support the assertion that MOFCOM checked the data it used for the normal value against other independent sources, in the manner required</w:t>
      </w:r>
      <w:r>
        <w:rPr>
          <w:spacing w:val="-11"/>
        </w:rPr>
        <w:t xml:space="preserve"> </w:t>
      </w:r>
      <w:r>
        <w:t>by</w:t>
      </w:r>
      <w:r>
        <w:rPr>
          <w:spacing w:val="-11"/>
        </w:rPr>
        <w:t xml:space="preserve"> </w:t>
      </w:r>
      <w:r>
        <w:t>paragraph</w:t>
      </w:r>
      <w:r>
        <w:rPr>
          <w:spacing w:val="-9"/>
        </w:rPr>
        <w:t xml:space="preserve"> </w:t>
      </w:r>
      <w:r>
        <w:t>7</w:t>
      </w:r>
      <w:r>
        <w:rPr>
          <w:spacing w:val="-10"/>
        </w:rPr>
        <w:t xml:space="preserve"> </w:t>
      </w:r>
      <w:r>
        <w:t>of</w:t>
      </w:r>
      <w:r>
        <w:rPr>
          <w:spacing w:val="-10"/>
        </w:rPr>
        <w:t xml:space="preserve"> </w:t>
      </w:r>
      <w:r>
        <w:t>Annex</w:t>
      </w:r>
      <w:r>
        <w:rPr>
          <w:spacing w:val="-10"/>
        </w:rPr>
        <w:t xml:space="preserve"> </w:t>
      </w:r>
      <w:r>
        <w:t>II.</w:t>
      </w:r>
      <w:r>
        <w:rPr>
          <w:spacing w:val="-9"/>
        </w:rPr>
        <w:t xml:space="preserve"> </w:t>
      </w:r>
      <w:r>
        <w:t>As</w:t>
      </w:r>
      <w:r>
        <w:rPr>
          <w:spacing w:val="-10"/>
        </w:rPr>
        <w:t xml:space="preserve"> </w:t>
      </w:r>
      <w:r>
        <w:t>for</w:t>
      </w:r>
      <w:r>
        <w:rPr>
          <w:spacing w:val="-9"/>
        </w:rPr>
        <w:t xml:space="preserve"> </w:t>
      </w:r>
      <w:r>
        <w:t>"taking</w:t>
      </w:r>
      <w:r>
        <w:rPr>
          <w:spacing w:val="-10"/>
        </w:rPr>
        <w:t xml:space="preserve"> </w:t>
      </w:r>
      <w:r>
        <w:t>into</w:t>
      </w:r>
      <w:r>
        <w:rPr>
          <w:spacing w:val="-9"/>
        </w:rPr>
        <w:t xml:space="preserve"> </w:t>
      </w:r>
      <w:r>
        <w:t>account"</w:t>
      </w:r>
      <w:r>
        <w:rPr>
          <w:spacing w:val="-10"/>
        </w:rPr>
        <w:t xml:space="preserve"> </w:t>
      </w:r>
      <w:r>
        <w:t>the</w:t>
      </w:r>
      <w:r>
        <w:rPr>
          <w:spacing w:val="-9"/>
        </w:rPr>
        <w:t xml:space="preserve"> </w:t>
      </w:r>
      <w:r>
        <w:t>physical</w:t>
      </w:r>
      <w:r>
        <w:rPr>
          <w:spacing w:val="-9"/>
        </w:rPr>
        <w:t xml:space="preserve"> </w:t>
      </w:r>
      <w:r>
        <w:t>properties</w:t>
      </w:r>
      <w:r>
        <w:rPr>
          <w:spacing w:val="-10"/>
        </w:rPr>
        <w:t xml:space="preserve"> </w:t>
      </w:r>
      <w:r>
        <w:t>of</w:t>
      </w:r>
      <w:r>
        <w:rPr>
          <w:spacing w:val="-10"/>
        </w:rPr>
        <w:t xml:space="preserve"> </w:t>
      </w:r>
      <w:r>
        <w:t xml:space="preserve">the product under investigation, cost differences and trade links, MOFCOM provides no further elaboration. It is also unclear what "other influencing factors" were relevant to MOFCOM's assessment. The mere listing of these factors is not indicative of </w:t>
      </w:r>
      <w:r>
        <w:t xml:space="preserve">its analysis. As the Panel explained in </w:t>
      </w:r>
      <w:r>
        <w:rPr>
          <w:i/>
        </w:rPr>
        <w:t>Canada – Welded Pipe</w:t>
      </w:r>
      <w:r>
        <w:t xml:space="preserve">: </w:t>
      </w:r>
      <w:r>
        <w:rPr>
          <w:vertAlign w:val="superscript"/>
        </w:rPr>
        <w:t>418</w:t>
      </w:r>
    </w:p>
    <w:p w14:paraId="51DE8929" w14:textId="77777777" w:rsidR="0010369C" w:rsidRDefault="008E43AE">
      <w:pPr>
        <w:spacing w:before="161"/>
        <w:ind w:left="1090" w:right="613" w:hanging="1"/>
        <w:jc w:val="both"/>
      </w:pPr>
      <w:r>
        <w:t>Collecting</w:t>
      </w:r>
      <w:r>
        <w:rPr>
          <w:spacing w:val="-1"/>
        </w:rPr>
        <w:t xml:space="preserve"> </w:t>
      </w:r>
      <w:r>
        <w:t>data</w:t>
      </w:r>
      <w:r>
        <w:rPr>
          <w:spacing w:val="-2"/>
        </w:rPr>
        <w:t xml:space="preserve"> </w:t>
      </w:r>
      <w:r>
        <w:t>is</w:t>
      </w:r>
      <w:r>
        <w:rPr>
          <w:spacing w:val="-2"/>
        </w:rPr>
        <w:t xml:space="preserve"> </w:t>
      </w:r>
      <w:r>
        <w:t>not</w:t>
      </w:r>
      <w:r>
        <w:rPr>
          <w:spacing w:val="-3"/>
        </w:rPr>
        <w:t xml:space="preserve"> </w:t>
      </w:r>
      <w:r>
        <w:t>the</w:t>
      </w:r>
      <w:r>
        <w:rPr>
          <w:spacing w:val="-3"/>
        </w:rPr>
        <w:t xml:space="preserve"> </w:t>
      </w:r>
      <w:r>
        <w:t>same</w:t>
      </w:r>
      <w:r>
        <w:rPr>
          <w:spacing w:val="-2"/>
        </w:rPr>
        <w:t xml:space="preserve"> </w:t>
      </w:r>
      <w:r>
        <w:t>as</w:t>
      </w:r>
      <w:r>
        <w:rPr>
          <w:spacing w:val="-2"/>
        </w:rPr>
        <w:t xml:space="preserve"> </w:t>
      </w:r>
      <w:r>
        <w:t>undertaking</w:t>
      </w:r>
      <w:r>
        <w:rPr>
          <w:spacing w:val="-2"/>
        </w:rPr>
        <w:t xml:space="preserve"> </w:t>
      </w:r>
      <w:r>
        <w:t>a</w:t>
      </w:r>
      <w:r>
        <w:rPr>
          <w:spacing w:val="-1"/>
        </w:rPr>
        <w:t xml:space="preserve"> </w:t>
      </w:r>
      <w:r>
        <w:t>comparative</w:t>
      </w:r>
      <w:r>
        <w:rPr>
          <w:spacing w:val="-3"/>
        </w:rPr>
        <w:t xml:space="preserve"> </w:t>
      </w:r>
      <w:r>
        <w:t>and</w:t>
      </w:r>
      <w:r>
        <w:rPr>
          <w:spacing w:val="-2"/>
        </w:rPr>
        <w:t xml:space="preserve"> </w:t>
      </w:r>
      <w:r>
        <w:t>systematic</w:t>
      </w:r>
      <w:r>
        <w:rPr>
          <w:spacing w:val="-3"/>
        </w:rPr>
        <w:t xml:space="preserve"> </w:t>
      </w:r>
      <w:r>
        <w:t>evaluation</w:t>
      </w:r>
      <w:r>
        <w:rPr>
          <w:spacing w:val="-3"/>
        </w:rPr>
        <w:t xml:space="preserve"> </w:t>
      </w:r>
      <w:r>
        <w:t>and assessment of that data for the purpose of applying facts available. Nor does checking for anomalie</w:t>
      </w:r>
      <w:r>
        <w:t>s,</w:t>
      </w:r>
      <w:r>
        <w:rPr>
          <w:spacing w:val="-10"/>
        </w:rPr>
        <w:t xml:space="preserve"> </w:t>
      </w:r>
      <w:r>
        <w:t>aberrations,</w:t>
      </w:r>
      <w:r>
        <w:rPr>
          <w:spacing w:val="-10"/>
        </w:rPr>
        <w:t xml:space="preserve"> </w:t>
      </w:r>
      <w:r>
        <w:t>or</w:t>
      </w:r>
      <w:r>
        <w:rPr>
          <w:spacing w:val="-10"/>
        </w:rPr>
        <w:t xml:space="preserve"> </w:t>
      </w:r>
      <w:r>
        <w:t>the</w:t>
      </w:r>
      <w:r>
        <w:rPr>
          <w:spacing w:val="-9"/>
        </w:rPr>
        <w:t xml:space="preserve"> </w:t>
      </w:r>
      <w:r>
        <w:t>need</w:t>
      </w:r>
      <w:r>
        <w:rPr>
          <w:spacing w:val="-10"/>
        </w:rPr>
        <w:t xml:space="preserve"> </w:t>
      </w:r>
      <w:r>
        <w:t>for</w:t>
      </w:r>
      <w:r>
        <w:rPr>
          <w:spacing w:val="-7"/>
        </w:rPr>
        <w:t xml:space="preserve"> </w:t>
      </w:r>
      <w:r>
        <w:t>adjustments</w:t>
      </w:r>
      <w:r>
        <w:rPr>
          <w:spacing w:val="-8"/>
        </w:rPr>
        <w:t xml:space="preserve"> </w:t>
      </w:r>
      <w:r>
        <w:t>equate</w:t>
      </w:r>
      <w:r>
        <w:rPr>
          <w:spacing w:val="-9"/>
        </w:rPr>
        <w:t xml:space="preserve"> </w:t>
      </w:r>
      <w:r>
        <w:t>to</w:t>
      </w:r>
      <w:r>
        <w:rPr>
          <w:spacing w:val="-8"/>
        </w:rPr>
        <w:t xml:space="preserve"> </w:t>
      </w:r>
      <w:r>
        <w:t>a</w:t>
      </w:r>
      <w:r>
        <w:rPr>
          <w:spacing w:val="-8"/>
        </w:rPr>
        <w:t xml:space="preserve"> </w:t>
      </w:r>
      <w:r>
        <w:t>comparative</w:t>
      </w:r>
      <w:r>
        <w:rPr>
          <w:spacing w:val="-10"/>
        </w:rPr>
        <w:t xml:space="preserve"> </w:t>
      </w:r>
      <w:r>
        <w:t>evaluation</w:t>
      </w:r>
      <w:r>
        <w:rPr>
          <w:spacing w:val="-11"/>
        </w:rPr>
        <w:t xml:space="preserve"> </w:t>
      </w:r>
      <w:r>
        <w:t xml:space="preserve">and </w:t>
      </w:r>
      <w:r>
        <w:rPr>
          <w:spacing w:val="-2"/>
        </w:rPr>
        <w:t>assessment.</w:t>
      </w:r>
    </w:p>
    <w:p w14:paraId="51DE892A" w14:textId="77777777" w:rsidR="0010369C" w:rsidRDefault="0010369C">
      <w:pPr>
        <w:pStyle w:val="BodyText"/>
        <w:spacing w:before="4"/>
        <w:rPr>
          <w:sz w:val="15"/>
        </w:rPr>
      </w:pPr>
    </w:p>
    <w:p w14:paraId="51DE892B" w14:textId="77777777" w:rsidR="0010369C" w:rsidRDefault="008E43AE">
      <w:pPr>
        <w:pStyle w:val="BodyText"/>
        <w:spacing w:before="51" w:line="360" w:lineRule="auto"/>
        <w:ind w:left="236" w:right="613" w:firstLine="852"/>
        <w:jc w:val="both"/>
      </w:pPr>
      <w:r>
        <w:rPr>
          <w:noProof/>
        </w:rPr>
        <w:drawing>
          <wp:anchor distT="0" distB="0" distL="0" distR="0" simplePos="0" relativeHeight="251038208" behindDoc="1" locked="0" layoutInCell="1" allowOverlap="1" wp14:anchorId="51DEA2B6" wp14:editId="51DEA2B7">
            <wp:simplePos x="0" y="0"/>
            <wp:positionH relativeFrom="page">
              <wp:posOffset>905255</wp:posOffset>
            </wp:positionH>
            <wp:positionV relativeFrom="paragraph">
              <wp:posOffset>79960</wp:posOffset>
            </wp:positionV>
            <wp:extent cx="259079" cy="103631"/>
            <wp:effectExtent l="0" t="0" r="0" b="0"/>
            <wp:wrapNone/>
            <wp:docPr id="791" name="image4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 name="image406.png"/>
                    <pic:cNvPicPr/>
                  </pic:nvPicPr>
                  <pic:blipFill>
                    <a:blip r:embed="rId540" cstate="print"/>
                    <a:stretch>
                      <a:fillRect/>
                    </a:stretch>
                  </pic:blipFill>
                  <pic:spPr>
                    <a:xfrm>
                      <a:off x="0" y="0"/>
                      <a:ext cx="259079" cy="103631"/>
                    </a:xfrm>
                    <a:prstGeom prst="rect">
                      <a:avLst/>
                    </a:prstGeom>
                  </pic:spPr>
                </pic:pic>
              </a:graphicData>
            </a:graphic>
          </wp:anchor>
        </w:drawing>
      </w:r>
      <w:r>
        <w:t>MOFCOM does not explain what, if any, comparisons were made in respect of the data</w:t>
      </w:r>
      <w:r>
        <w:rPr>
          <w:spacing w:val="-10"/>
        </w:rPr>
        <w:t xml:space="preserve"> </w:t>
      </w:r>
      <w:r>
        <w:t>collected,</w:t>
      </w:r>
      <w:r>
        <w:rPr>
          <w:spacing w:val="-10"/>
        </w:rPr>
        <w:t xml:space="preserve"> </w:t>
      </w:r>
      <w:r>
        <w:t>and</w:t>
      </w:r>
      <w:r>
        <w:rPr>
          <w:spacing w:val="-11"/>
        </w:rPr>
        <w:t xml:space="preserve"> </w:t>
      </w:r>
      <w:r>
        <w:t>whether</w:t>
      </w:r>
      <w:r>
        <w:rPr>
          <w:spacing w:val="-11"/>
        </w:rPr>
        <w:t xml:space="preserve"> </w:t>
      </w:r>
      <w:r>
        <w:t>it</w:t>
      </w:r>
      <w:r>
        <w:rPr>
          <w:spacing w:val="-11"/>
        </w:rPr>
        <w:t xml:space="preserve"> </w:t>
      </w:r>
      <w:r>
        <w:t>evaluated</w:t>
      </w:r>
      <w:r>
        <w:rPr>
          <w:spacing w:val="-11"/>
        </w:rPr>
        <w:t xml:space="preserve"> </w:t>
      </w:r>
      <w:r>
        <w:t>prices,</w:t>
      </w:r>
      <w:r>
        <w:rPr>
          <w:spacing w:val="-11"/>
        </w:rPr>
        <w:t xml:space="preserve"> </w:t>
      </w:r>
      <w:r>
        <w:t>volumes,</w:t>
      </w:r>
      <w:r>
        <w:rPr>
          <w:spacing w:val="-11"/>
        </w:rPr>
        <w:t xml:space="preserve"> </w:t>
      </w:r>
      <w:r>
        <w:t>product</w:t>
      </w:r>
      <w:r>
        <w:rPr>
          <w:spacing w:val="-10"/>
        </w:rPr>
        <w:t xml:space="preserve"> </w:t>
      </w:r>
      <w:r>
        <w:t>specification,</w:t>
      </w:r>
      <w:r>
        <w:rPr>
          <w:spacing w:val="-11"/>
        </w:rPr>
        <w:t xml:space="preserve"> </w:t>
      </w:r>
      <w:r>
        <w:t>or</w:t>
      </w:r>
      <w:r>
        <w:rPr>
          <w:spacing w:val="-11"/>
        </w:rPr>
        <w:t xml:space="preserve"> </w:t>
      </w:r>
      <w:r>
        <w:t>differences in</w:t>
      </w:r>
      <w:r>
        <w:rPr>
          <w:spacing w:val="-9"/>
        </w:rPr>
        <w:t xml:space="preserve"> </w:t>
      </w:r>
      <w:r>
        <w:t>sales</w:t>
      </w:r>
      <w:r>
        <w:rPr>
          <w:spacing w:val="-9"/>
        </w:rPr>
        <w:t xml:space="preserve"> </w:t>
      </w:r>
      <w:r>
        <w:t>terms,</w:t>
      </w:r>
      <w:r>
        <w:rPr>
          <w:spacing w:val="-9"/>
        </w:rPr>
        <w:t xml:space="preserve"> </w:t>
      </w:r>
      <w:r>
        <w:t>shipping</w:t>
      </w:r>
      <w:r>
        <w:rPr>
          <w:spacing w:val="-9"/>
        </w:rPr>
        <w:t xml:space="preserve"> </w:t>
      </w:r>
      <w:r>
        <w:t>costs,</w:t>
      </w:r>
      <w:r>
        <w:rPr>
          <w:spacing w:val="-8"/>
        </w:rPr>
        <w:t xml:space="preserve"> </w:t>
      </w:r>
      <w:r>
        <w:t>and</w:t>
      </w:r>
      <w:r>
        <w:rPr>
          <w:spacing w:val="-11"/>
        </w:rPr>
        <w:t xml:space="preserve"> </w:t>
      </w:r>
      <w:r>
        <w:t>market</w:t>
      </w:r>
      <w:r>
        <w:rPr>
          <w:spacing w:val="-10"/>
        </w:rPr>
        <w:t xml:space="preserve"> </w:t>
      </w:r>
      <w:r>
        <w:t>structure</w:t>
      </w:r>
      <w:r>
        <w:rPr>
          <w:spacing w:val="-9"/>
        </w:rPr>
        <w:t xml:space="preserve"> </w:t>
      </w:r>
      <w:r>
        <w:t>in</w:t>
      </w:r>
      <w:r>
        <w:rPr>
          <w:spacing w:val="-9"/>
        </w:rPr>
        <w:t xml:space="preserve"> </w:t>
      </w:r>
      <w:r>
        <w:t>order</w:t>
      </w:r>
      <w:r>
        <w:rPr>
          <w:spacing w:val="-8"/>
        </w:rPr>
        <w:t xml:space="preserve"> </w:t>
      </w:r>
      <w:r>
        <w:t>to</w:t>
      </w:r>
      <w:r>
        <w:rPr>
          <w:spacing w:val="-8"/>
        </w:rPr>
        <w:t xml:space="preserve"> </w:t>
      </w:r>
      <w:r>
        <w:t>reconcile</w:t>
      </w:r>
      <w:r>
        <w:rPr>
          <w:spacing w:val="-8"/>
        </w:rPr>
        <w:t xml:space="preserve"> </w:t>
      </w:r>
      <w:r>
        <w:t>the</w:t>
      </w:r>
      <w:r>
        <w:rPr>
          <w:spacing w:val="-9"/>
        </w:rPr>
        <w:t xml:space="preserve"> </w:t>
      </w:r>
      <w:r>
        <w:t>information</w:t>
      </w:r>
      <w:r>
        <w:rPr>
          <w:spacing w:val="-8"/>
        </w:rPr>
        <w:t xml:space="preserve"> </w:t>
      </w:r>
      <w:r>
        <w:t>from that submitted by the "other respondents" with that submitted by Casella Wines. It is not sufficient</w:t>
      </w:r>
      <w:r>
        <w:rPr>
          <w:spacing w:val="-10"/>
        </w:rPr>
        <w:t xml:space="preserve"> </w:t>
      </w:r>
      <w:r>
        <w:t>for</w:t>
      </w:r>
      <w:r>
        <w:rPr>
          <w:spacing w:val="-9"/>
        </w:rPr>
        <w:t xml:space="preserve"> </w:t>
      </w:r>
      <w:r>
        <w:t>MOFCOM</w:t>
      </w:r>
      <w:r>
        <w:rPr>
          <w:spacing w:val="-9"/>
        </w:rPr>
        <w:t xml:space="preserve"> </w:t>
      </w:r>
      <w:r>
        <w:t>to</w:t>
      </w:r>
      <w:r>
        <w:rPr>
          <w:spacing w:val="-9"/>
        </w:rPr>
        <w:t xml:space="preserve"> </w:t>
      </w:r>
      <w:r>
        <w:t>merely</w:t>
      </w:r>
      <w:r>
        <w:rPr>
          <w:spacing w:val="-10"/>
        </w:rPr>
        <w:t xml:space="preserve"> </w:t>
      </w:r>
      <w:r>
        <w:t>assert</w:t>
      </w:r>
      <w:r>
        <w:rPr>
          <w:spacing w:val="-11"/>
        </w:rPr>
        <w:t xml:space="preserve"> </w:t>
      </w:r>
      <w:r>
        <w:t>it</w:t>
      </w:r>
      <w:r>
        <w:rPr>
          <w:spacing w:val="-10"/>
        </w:rPr>
        <w:t xml:space="preserve"> </w:t>
      </w:r>
      <w:r>
        <w:t>"[took]</w:t>
      </w:r>
      <w:r>
        <w:rPr>
          <w:spacing w:val="-11"/>
        </w:rPr>
        <w:t xml:space="preserve"> </w:t>
      </w:r>
      <w:r>
        <w:t>into</w:t>
      </w:r>
      <w:r>
        <w:rPr>
          <w:spacing w:val="-9"/>
        </w:rPr>
        <w:t xml:space="preserve"> </w:t>
      </w:r>
      <w:r>
        <w:t>account"</w:t>
      </w:r>
      <w:r>
        <w:rPr>
          <w:spacing w:val="-10"/>
        </w:rPr>
        <w:t xml:space="preserve"> </w:t>
      </w:r>
      <w:r>
        <w:t>specific</w:t>
      </w:r>
      <w:r>
        <w:rPr>
          <w:spacing w:val="-9"/>
        </w:rPr>
        <w:t xml:space="preserve"> </w:t>
      </w:r>
      <w:r>
        <w:t>factors</w:t>
      </w:r>
      <w:r>
        <w:rPr>
          <w:spacing w:val="-10"/>
        </w:rPr>
        <w:t xml:space="preserve"> </w:t>
      </w:r>
      <w:r>
        <w:t>in</w:t>
      </w:r>
      <w:r>
        <w:rPr>
          <w:spacing w:val="-10"/>
        </w:rPr>
        <w:t xml:space="preserve"> </w:t>
      </w:r>
      <w:r>
        <w:t>the</w:t>
      </w:r>
      <w:r>
        <w:rPr>
          <w:spacing w:val="-10"/>
        </w:rPr>
        <w:t xml:space="preserve"> </w:t>
      </w:r>
      <w:r>
        <w:t xml:space="preserve">absence of any further explanation or analysis. Explanations </w:t>
      </w:r>
      <w:r>
        <w:t>provided by an investigating authority must be sufficiently detailed to allow a panel to assess whether the facts available were a reasonable replacement for the missing necessary information.</w:t>
      </w:r>
      <w:r>
        <w:rPr>
          <w:vertAlign w:val="superscript"/>
        </w:rPr>
        <w:t>419</w:t>
      </w:r>
    </w:p>
    <w:p w14:paraId="51DE892C" w14:textId="77777777" w:rsidR="0010369C" w:rsidRDefault="0010369C">
      <w:pPr>
        <w:pStyle w:val="BodyText"/>
        <w:rPr>
          <w:sz w:val="20"/>
        </w:rPr>
      </w:pPr>
    </w:p>
    <w:p w14:paraId="51DE892D" w14:textId="77777777" w:rsidR="0010369C" w:rsidRDefault="0010369C">
      <w:pPr>
        <w:pStyle w:val="BodyText"/>
        <w:rPr>
          <w:sz w:val="20"/>
        </w:rPr>
      </w:pPr>
    </w:p>
    <w:p w14:paraId="51DE892E" w14:textId="77777777" w:rsidR="0010369C" w:rsidRDefault="008E43AE">
      <w:pPr>
        <w:pStyle w:val="BodyText"/>
        <w:spacing w:before="11"/>
        <w:rPr>
          <w:sz w:val="29"/>
        </w:rPr>
      </w:pPr>
      <w:r>
        <w:pict w14:anchorId="51DEA2B8">
          <v:rect id="docshape849" o:spid="_x0000_s1459" style="position:absolute;margin-left:70.9pt;margin-top:19.45pt;width:2in;height:.8pt;z-index:-250902016;mso-wrap-distance-left:0;mso-wrap-distance-right:0;mso-position-horizontal-relative:page" fillcolor="black" stroked="f">
            <w10:wrap type="topAndBottom" anchorx="page"/>
          </v:rect>
        </w:pict>
      </w:r>
    </w:p>
    <w:p w14:paraId="51DE892F" w14:textId="77777777" w:rsidR="0010369C" w:rsidRDefault="008E43AE">
      <w:pPr>
        <w:spacing w:before="109"/>
        <w:ind w:left="238"/>
        <w:rPr>
          <w:sz w:val="18"/>
        </w:rPr>
      </w:pPr>
      <w:r>
        <w:rPr>
          <w:sz w:val="18"/>
          <w:vertAlign w:val="superscript"/>
        </w:rPr>
        <w:t>416</w:t>
      </w:r>
      <w:r>
        <w:rPr>
          <w:spacing w:val="-9"/>
          <w:sz w:val="18"/>
        </w:rPr>
        <w:t xml:space="preserve"> </w:t>
      </w:r>
      <w:r>
        <w:rPr>
          <w:sz w:val="18"/>
        </w:rPr>
        <w:t>Anti‐Dumping</w:t>
      </w:r>
      <w:r>
        <w:rPr>
          <w:spacing w:val="-9"/>
          <w:sz w:val="18"/>
        </w:rPr>
        <w:t xml:space="preserve"> </w:t>
      </w:r>
      <w:r>
        <w:rPr>
          <w:sz w:val="18"/>
        </w:rPr>
        <w:t>Final</w:t>
      </w:r>
      <w:r>
        <w:rPr>
          <w:spacing w:val="-9"/>
          <w:sz w:val="18"/>
        </w:rPr>
        <w:t xml:space="preserve"> </w:t>
      </w:r>
      <w:r>
        <w:rPr>
          <w:sz w:val="18"/>
        </w:rPr>
        <w:t>Determination</w:t>
      </w:r>
      <w:r>
        <w:rPr>
          <w:spacing w:val="-8"/>
          <w:sz w:val="18"/>
        </w:rPr>
        <w:t xml:space="preserve"> </w:t>
      </w:r>
      <w:r>
        <w:rPr>
          <w:sz w:val="18"/>
        </w:rPr>
        <w:t>(Exhibit</w:t>
      </w:r>
      <w:r>
        <w:rPr>
          <w:spacing w:val="-9"/>
          <w:sz w:val="18"/>
        </w:rPr>
        <w:t xml:space="preserve"> </w:t>
      </w:r>
      <w:r>
        <w:rPr>
          <w:sz w:val="18"/>
        </w:rPr>
        <w:t>AUS‐2),</w:t>
      </w:r>
      <w:r>
        <w:rPr>
          <w:spacing w:val="-9"/>
          <w:sz w:val="18"/>
        </w:rPr>
        <w:t xml:space="preserve"> </w:t>
      </w:r>
      <w:r>
        <w:rPr>
          <w:sz w:val="18"/>
        </w:rPr>
        <w:t>p.</w:t>
      </w:r>
      <w:r>
        <w:rPr>
          <w:spacing w:val="-9"/>
          <w:sz w:val="18"/>
        </w:rPr>
        <w:t xml:space="preserve"> </w:t>
      </w:r>
      <w:r>
        <w:rPr>
          <w:spacing w:val="-5"/>
          <w:sz w:val="18"/>
        </w:rPr>
        <w:t>88.</w:t>
      </w:r>
    </w:p>
    <w:p w14:paraId="51DE8930" w14:textId="77777777" w:rsidR="0010369C" w:rsidRDefault="008E43AE">
      <w:pPr>
        <w:spacing w:before="1"/>
        <w:ind w:left="238"/>
        <w:rPr>
          <w:sz w:val="18"/>
        </w:rPr>
      </w:pPr>
      <w:r>
        <w:rPr>
          <w:sz w:val="18"/>
          <w:vertAlign w:val="superscript"/>
        </w:rPr>
        <w:t>417</w:t>
      </w:r>
      <w:r>
        <w:rPr>
          <w:spacing w:val="-9"/>
          <w:sz w:val="18"/>
        </w:rPr>
        <w:t xml:space="preserve"> </w:t>
      </w:r>
      <w:r>
        <w:rPr>
          <w:sz w:val="18"/>
        </w:rPr>
        <w:t>Anti‐Dumping</w:t>
      </w:r>
      <w:r>
        <w:rPr>
          <w:spacing w:val="-9"/>
          <w:sz w:val="18"/>
        </w:rPr>
        <w:t xml:space="preserve"> </w:t>
      </w:r>
      <w:r>
        <w:rPr>
          <w:sz w:val="18"/>
        </w:rPr>
        <w:t>Final</w:t>
      </w:r>
      <w:r>
        <w:rPr>
          <w:spacing w:val="-9"/>
          <w:sz w:val="18"/>
        </w:rPr>
        <w:t xml:space="preserve"> </w:t>
      </w:r>
      <w:r>
        <w:rPr>
          <w:sz w:val="18"/>
        </w:rPr>
        <w:t>Determination</w:t>
      </w:r>
      <w:r>
        <w:rPr>
          <w:spacing w:val="-8"/>
          <w:sz w:val="18"/>
        </w:rPr>
        <w:t xml:space="preserve"> </w:t>
      </w:r>
      <w:r>
        <w:rPr>
          <w:sz w:val="18"/>
        </w:rPr>
        <w:t>(Exhibit</w:t>
      </w:r>
      <w:r>
        <w:rPr>
          <w:spacing w:val="-9"/>
          <w:sz w:val="18"/>
        </w:rPr>
        <w:t xml:space="preserve"> </w:t>
      </w:r>
      <w:r>
        <w:rPr>
          <w:sz w:val="18"/>
        </w:rPr>
        <w:t>AUS‐2),</w:t>
      </w:r>
      <w:r>
        <w:rPr>
          <w:spacing w:val="-10"/>
          <w:sz w:val="18"/>
        </w:rPr>
        <w:t xml:space="preserve"> </w:t>
      </w:r>
      <w:r>
        <w:rPr>
          <w:sz w:val="18"/>
        </w:rPr>
        <w:t>pp.</w:t>
      </w:r>
      <w:r>
        <w:rPr>
          <w:spacing w:val="-9"/>
          <w:sz w:val="18"/>
        </w:rPr>
        <w:t xml:space="preserve"> </w:t>
      </w:r>
      <w:r>
        <w:rPr>
          <w:spacing w:val="-2"/>
          <w:sz w:val="18"/>
        </w:rPr>
        <w:t>84‐85.</w:t>
      </w:r>
    </w:p>
    <w:p w14:paraId="51DE8931" w14:textId="77777777" w:rsidR="0010369C" w:rsidRDefault="008E43AE">
      <w:pPr>
        <w:ind w:left="238"/>
        <w:rPr>
          <w:sz w:val="18"/>
        </w:rPr>
      </w:pPr>
      <w:r>
        <w:rPr>
          <w:sz w:val="18"/>
          <w:vertAlign w:val="superscript"/>
        </w:rPr>
        <w:t>418</w:t>
      </w:r>
      <w:r>
        <w:rPr>
          <w:spacing w:val="-6"/>
          <w:sz w:val="18"/>
        </w:rPr>
        <w:t xml:space="preserve"> </w:t>
      </w:r>
      <w:r>
        <w:rPr>
          <w:sz w:val="18"/>
        </w:rPr>
        <w:t>Panel</w:t>
      </w:r>
      <w:r>
        <w:rPr>
          <w:spacing w:val="-6"/>
          <w:sz w:val="18"/>
        </w:rPr>
        <w:t xml:space="preserve"> </w:t>
      </w:r>
      <w:r>
        <w:rPr>
          <w:sz w:val="18"/>
        </w:rPr>
        <w:t>Report,</w:t>
      </w:r>
      <w:r>
        <w:rPr>
          <w:spacing w:val="-6"/>
          <w:sz w:val="18"/>
        </w:rPr>
        <w:t xml:space="preserve"> </w:t>
      </w:r>
      <w:r>
        <w:rPr>
          <w:i/>
          <w:sz w:val="18"/>
        </w:rPr>
        <w:t>Canada</w:t>
      </w:r>
      <w:r>
        <w:rPr>
          <w:i/>
          <w:spacing w:val="-5"/>
          <w:sz w:val="18"/>
        </w:rPr>
        <w:t xml:space="preserve"> </w:t>
      </w:r>
      <w:r>
        <w:rPr>
          <w:i/>
          <w:sz w:val="18"/>
        </w:rPr>
        <w:t>–</w:t>
      </w:r>
      <w:r>
        <w:rPr>
          <w:i/>
          <w:spacing w:val="-6"/>
          <w:sz w:val="18"/>
        </w:rPr>
        <w:t xml:space="preserve"> </w:t>
      </w:r>
      <w:r>
        <w:rPr>
          <w:i/>
          <w:sz w:val="18"/>
        </w:rPr>
        <w:t>Welded</w:t>
      </w:r>
      <w:r>
        <w:rPr>
          <w:i/>
          <w:spacing w:val="-5"/>
          <w:sz w:val="18"/>
        </w:rPr>
        <w:t xml:space="preserve"> </w:t>
      </w:r>
      <w:r>
        <w:rPr>
          <w:i/>
          <w:sz w:val="18"/>
        </w:rPr>
        <w:t>Pipe</w:t>
      </w:r>
      <w:r>
        <w:rPr>
          <w:sz w:val="18"/>
        </w:rPr>
        <w:t>,</w:t>
      </w:r>
      <w:r>
        <w:rPr>
          <w:spacing w:val="-7"/>
          <w:sz w:val="18"/>
        </w:rPr>
        <w:t xml:space="preserve"> </w:t>
      </w:r>
      <w:r>
        <w:rPr>
          <w:sz w:val="18"/>
        </w:rPr>
        <w:t>para.</w:t>
      </w:r>
      <w:r>
        <w:rPr>
          <w:spacing w:val="-5"/>
          <w:sz w:val="18"/>
        </w:rPr>
        <w:t xml:space="preserve"> </w:t>
      </w:r>
      <w:r>
        <w:rPr>
          <w:spacing w:val="-2"/>
          <w:sz w:val="18"/>
        </w:rPr>
        <w:t>7.140.</w:t>
      </w:r>
    </w:p>
    <w:p w14:paraId="51DE8932" w14:textId="77777777" w:rsidR="0010369C" w:rsidRDefault="008E43AE">
      <w:pPr>
        <w:ind w:left="239" w:right="614" w:hanging="2"/>
        <w:rPr>
          <w:sz w:val="18"/>
        </w:rPr>
      </w:pPr>
      <w:r>
        <w:rPr>
          <w:sz w:val="18"/>
          <w:vertAlign w:val="superscript"/>
        </w:rPr>
        <w:t>419</w:t>
      </w:r>
      <w:r>
        <w:rPr>
          <w:spacing w:val="28"/>
          <w:sz w:val="18"/>
        </w:rPr>
        <w:t xml:space="preserve"> </w:t>
      </w:r>
      <w:r>
        <w:rPr>
          <w:sz w:val="18"/>
        </w:rPr>
        <w:t>See</w:t>
      </w:r>
      <w:r>
        <w:rPr>
          <w:spacing w:val="29"/>
          <w:sz w:val="18"/>
        </w:rPr>
        <w:t xml:space="preserve"> </w:t>
      </w:r>
      <w:r>
        <w:rPr>
          <w:sz w:val="18"/>
        </w:rPr>
        <w:t>Appellate</w:t>
      </w:r>
      <w:r>
        <w:rPr>
          <w:spacing w:val="27"/>
          <w:sz w:val="18"/>
        </w:rPr>
        <w:t xml:space="preserve"> </w:t>
      </w:r>
      <w:r>
        <w:rPr>
          <w:sz w:val="18"/>
        </w:rPr>
        <w:t>Body,</w:t>
      </w:r>
      <w:r>
        <w:rPr>
          <w:spacing w:val="28"/>
          <w:sz w:val="18"/>
        </w:rPr>
        <w:t xml:space="preserve"> </w:t>
      </w:r>
      <w:r>
        <w:rPr>
          <w:i/>
          <w:sz w:val="18"/>
        </w:rPr>
        <w:t>US</w:t>
      </w:r>
      <w:r>
        <w:rPr>
          <w:i/>
          <w:spacing w:val="28"/>
          <w:sz w:val="18"/>
        </w:rPr>
        <w:t xml:space="preserve"> </w:t>
      </w:r>
      <w:r>
        <w:rPr>
          <w:i/>
          <w:sz w:val="18"/>
        </w:rPr>
        <w:t>‐</w:t>
      </w:r>
      <w:r>
        <w:rPr>
          <w:i/>
          <w:spacing w:val="28"/>
          <w:sz w:val="18"/>
        </w:rPr>
        <w:t xml:space="preserve"> </w:t>
      </w:r>
      <w:r>
        <w:rPr>
          <w:i/>
          <w:sz w:val="18"/>
        </w:rPr>
        <w:t>Carbon</w:t>
      </w:r>
      <w:r>
        <w:rPr>
          <w:i/>
          <w:spacing w:val="28"/>
          <w:sz w:val="18"/>
        </w:rPr>
        <w:t xml:space="preserve"> </w:t>
      </w:r>
      <w:r>
        <w:rPr>
          <w:i/>
          <w:sz w:val="18"/>
        </w:rPr>
        <w:t>Steel</w:t>
      </w:r>
      <w:r>
        <w:rPr>
          <w:i/>
          <w:spacing w:val="27"/>
          <w:sz w:val="18"/>
        </w:rPr>
        <w:t xml:space="preserve"> </w:t>
      </w:r>
      <w:r>
        <w:rPr>
          <w:i/>
          <w:sz w:val="18"/>
        </w:rPr>
        <w:t>(India)</w:t>
      </w:r>
      <w:r>
        <w:rPr>
          <w:sz w:val="18"/>
        </w:rPr>
        <w:t>,</w:t>
      </w:r>
      <w:r>
        <w:rPr>
          <w:spacing w:val="28"/>
          <w:sz w:val="18"/>
        </w:rPr>
        <w:t xml:space="preserve"> </w:t>
      </w:r>
      <w:r>
        <w:rPr>
          <w:sz w:val="18"/>
        </w:rPr>
        <w:t>para.</w:t>
      </w:r>
      <w:r>
        <w:rPr>
          <w:spacing w:val="29"/>
          <w:sz w:val="18"/>
        </w:rPr>
        <w:t xml:space="preserve"> </w:t>
      </w:r>
      <w:r>
        <w:rPr>
          <w:sz w:val="18"/>
        </w:rPr>
        <w:t>4.421.</w:t>
      </w:r>
      <w:r>
        <w:rPr>
          <w:spacing w:val="28"/>
          <w:sz w:val="18"/>
        </w:rPr>
        <w:t xml:space="preserve"> </w:t>
      </w:r>
      <w:r>
        <w:rPr>
          <w:sz w:val="18"/>
        </w:rPr>
        <w:t>In</w:t>
      </w:r>
      <w:r>
        <w:rPr>
          <w:spacing w:val="27"/>
          <w:sz w:val="18"/>
        </w:rPr>
        <w:t xml:space="preserve"> </w:t>
      </w:r>
      <w:r>
        <w:rPr>
          <w:sz w:val="18"/>
        </w:rPr>
        <w:t>this</w:t>
      </w:r>
      <w:r>
        <w:rPr>
          <w:spacing w:val="29"/>
          <w:sz w:val="18"/>
        </w:rPr>
        <w:t xml:space="preserve"> </w:t>
      </w:r>
      <w:r>
        <w:rPr>
          <w:sz w:val="18"/>
        </w:rPr>
        <w:t>dispute,</w:t>
      </w:r>
      <w:r>
        <w:rPr>
          <w:spacing w:val="28"/>
          <w:sz w:val="18"/>
        </w:rPr>
        <w:t xml:space="preserve"> </w:t>
      </w:r>
      <w:r>
        <w:rPr>
          <w:sz w:val="18"/>
        </w:rPr>
        <w:t>the</w:t>
      </w:r>
      <w:r>
        <w:rPr>
          <w:spacing w:val="29"/>
          <w:sz w:val="18"/>
        </w:rPr>
        <w:t xml:space="preserve"> </w:t>
      </w:r>
      <w:r>
        <w:rPr>
          <w:sz w:val="18"/>
        </w:rPr>
        <w:t>Appellate</w:t>
      </w:r>
      <w:r>
        <w:rPr>
          <w:spacing w:val="28"/>
          <w:sz w:val="18"/>
        </w:rPr>
        <w:t xml:space="preserve"> </w:t>
      </w:r>
      <w:r>
        <w:rPr>
          <w:sz w:val="18"/>
        </w:rPr>
        <w:t>Body</w:t>
      </w:r>
      <w:r>
        <w:rPr>
          <w:spacing w:val="28"/>
          <w:sz w:val="18"/>
        </w:rPr>
        <w:t xml:space="preserve"> </w:t>
      </w:r>
      <w:r>
        <w:rPr>
          <w:sz w:val="18"/>
        </w:rPr>
        <w:t>was</w:t>
      </w:r>
      <w:r>
        <w:rPr>
          <w:spacing w:val="28"/>
          <w:sz w:val="18"/>
        </w:rPr>
        <w:t xml:space="preserve"> </w:t>
      </w:r>
      <w:r>
        <w:rPr>
          <w:sz w:val="18"/>
        </w:rPr>
        <w:t>considering</w:t>
      </w:r>
      <w:r>
        <w:rPr>
          <w:spacing w:val="28"/>
          <w:sz w:val="18"/>
        </w:rPr>
        <w:t xml:space="preserve"> </w:t>
      </w:r>
      <w:r>
        <w:rPr>
          <w:sz w:val="18"/>
        </w:rPr>
        <w:t>the equivalent provision in the SCM Agreement, Article 12.7.</w:t>
      </w:r>
    </w:p>
    <w:p w14:paraId="51DE8933" w14:textId="77777777" w:rsidR="0010369C" w:rsidRDefault="0010369C">
      <w:pPr>
        <w:rPr>
          <w:sz w:val="18"/>
        </w:rPr>
        <w:sectPr w:rsidR="0010369C">
          <w:pgSz w:w="11910" w:h="16840"/>
          <w:pgMar w:top="880" w:right="800" w:bottom="980" w:left="1180" w:header="569" w:footer="788" w:gutter="0"/>
          <w:cols w:space="720"/>
        </w:sectPr>
      </w:pPr>
    </w:p>
    <w:p w14:paraId="51DE8934" w14:textId="77777777" w:rsidR="0010369C" w:rsidRDefault="008E43AE">
      <w:pPr>
        <w:tabs>
          <w:tab w:val="left" w:pos="6426"/>
        </w:tabs>
        <w:ind w:left="238"/>
        <w:jc w:val="both"/>
        <w:rPr>
          <w:sz w:val="20"/>
        </w:rPr>
      </w:pPr>
      <w:r>
        <w:rPr>
          <w:i/>
          <w:sz w:val="20"/>
        </w:rPr>
        <w:lastRenderedPageBreak/>
        <w:t>China</w:t>
      </w:r>
      <w:r>
        <w:rPr>
          <w:i/>
          <w:spacing w:val="-5"/>
          <w:sz w:val="20"/>
        </w:rPr>
        <w:t xml:space="preserve"> </w:t>
      </w:r>
      <w:r>
        <w:rPr>
          <w:i/>
          <w:sz w:val="20"/>
        </w:rPr>
        <w:t>–</w:t>
      </w:r>
      <w:r>
        <w:rPr>
          <w:i/>
          <w:spacing w:val="-5"/>
          <w:sz w:val="20"/>
        </w:rPr>
        <w:t xml:space="preserve"> </w:t>
      </w:r>
      <w:r>
        <w:rPr>
          <w:i/>
          <w:sz w:val="20"/>
        </w:rPr>
        <w:t>Anti‐Dumping</w:t>
      </w:r>
      <w:r>
        <w:rPr>
          <w:i/>
          <w:spacing w:val="-4"/>
          <w:sz w:val="20"/>
        </w:rPr>
        <w:t xml:space="preserve"> </w:t>
      </w:r>
      <w:r>
        <w:rPr>
          <w:i/>
          <w:sz w:val="20"/>
        </w:rPr>
        <w:t>and</w:t>
      </w:r>
      <w:r>
        <w:rPr>
          <w:i/>
          <w:spacing w:val="-5"/>
          <w:sz w:val="20"/>
        </w:rPr>
        <w:t xml:space="preserve"> </w:t>
      </w:r>
      <w:r>
        <w:rPr>
          <w:i/>
          <w:sz w:val="20"/>
        </w:rPr>
        <w:t>Countervailing</w:t>
      </w:r>
      <w:r>
        <w:rPr>
          <w:i/>
          <w:spacing w:val="-5"/>
          <w:sz w:val="20"/>
        </w:rPr>
        <w:t xml:space="preserve"> </w:t>
      </w:r>
      <w:r>
        <w:rPr>
          <w:i/>
          <w:sz w:val="20"/>
        </w:rPr>
        <w:t>Duty</w:t>
      </w:r>
      <w:r>
        <w:rPr>
          <w:i/>
          <w:spacing w:val="-4"/>
          <w:sz w:val="20"/>
        </w:rPr>
        <w:t xml:space="preserve"> </w:t>
      </w:r>
      <w:r>
        <w:rPr>
          <w:i/>
          <w:spacing w:val="-2"/>
          <w:sz w:val="20"/>
        </w:rPr>
        <w:t>Measures</w:t>
      </w:r>
      <w:r>
        <w:rPr>
          <w:i/>
          <w:sz w:val="20"/>
        </w:rPr>
        <w:tab/>
      </w:r>
      <w:r>
        <w:rPr>
          <w:sz w:val="20"/>
        </w:rPr>
        <w:t>Australia's</w:t>
      </w:r>
      <w:r>
        <w:rPr>
          <w:spacing w:val="-7"/>
          <w:sz w:val="20"/>
        </w:rPr>
        <w:t xml:space="preserve"> </w:t>
      </w:r>
      <w:r>
        <w:rPr>
          <w:sz w:val="20"/>
        </w:rPr>
        <w:t>First</w:t>
      </w:r>
      <w:r>
        <w:rPr>
          <w:spacing w:val="-2"/>
          <w:sz w:val="20"/>
        </w:rPr>
        <w:t xml:space="preserve"> </w:t>
      </w:r>
      <w:r>
        <w:rPr>
          <w:sz w:val="20"/>
        </w:rPr>
        <w:t>Written</w:t>
      </w:r>
      <w:r>
        <w:rPr>
          <w:spacing w:val="-2"/>
          <w:sz w:val="20"/>
        </w:rPr>
        <w:t xml:space="preserve"> Submission</w:t>
      </w:r>
    </w:p>
    <w:p w14:paraId="51DE8935" w14:textId="77777777" w:rsidR="0010369C" w:rsidRDefault="008E43AE">
      <w:pPr>
        <w:tabs>
          <w:tab w:val="left" w:pos="8228"/>
        </w:tabs>
        <w:spacing w:before="1"/>
        <w:ind w:left="239"/>
        <w:jc w:val="both"/>
        <w:rPr>
          <w:sz w:val="20"/>
        </w:rPr>
      </w:pPr>
      <w:r>
        <w:rPr>
          <w:i/>
          <w:sz w:val="20"/>
        </w:rPr>
        <w:t>on</w:t>
      </w:r>
      <w:r>
        <w:rPr>
          <w:i/>
          <w:spacing w:val="-1"/>
          <w:sz w:val="20"/>
        </w:rPr>
        <w:t xml:space="preserve"> </w:t>
      </w:r>
      <w:r>
        <w:rPr>
          <w:i/>
          <w:sz w:val="20"/>
        </w:rPr>
        <w:t>Wine</w:t>
      </w:r>
      <w:r>
        <w:rPr>
          <w:i/>
          <w:spacing w:val="-1"/>
          <w:sz w:val="20"/>
        </w:rPr>
        <w:t xml:space="preserve"> </w:t>
      </w:r>
      <w:r>
        <w:rPr>
          <w:i/>
          <w:sz w:val="20"/>
        </w:rPr>
        <w:t>from</w:t>
      </w:r>
      <w:r>
        <w:rPr>
          <w:i/>
          <w:spacing w:val="-3"/>
          <w:sz w:val="20"/>
        </w:rPr>
        <w:t xml:space="preserve"> </w:t>
      </w:r>
      <w:r>
        <w:rPr>
          <w:i/>
          <w:sz w:val="20"/>
        </w:rPr>
        <w:t>Australia</w:t>
      </w:r>
      <w:r>
        <w:rPr>
          <w:i/>
          <w:spacing w:val="-1"/>
          <w:sz w:val="20"/>
        </w:rPr>
        <w:t xml:space="preserve"> </w:t>
      </w:r>
      <w:r>
        <w:rPr>
          <w:spacing w:val="-2"/>
          <w:sz w:val="20"/>
        </w:rPr>
        <w:t>(DS602)</w:t>
      </w:r>
      <w:r>
        <w:rPr>
          <w:sz w:val="20"/>
        </w:rPr>
        <w:tab/>
        <w:t>29</w:t>
      </w:r>
      <w:r>
        <w:rPr>
          <w:spacing w:val="-1"/>
          <w:sz w:val="20"/>
        </w:rPr>
        <w:t xml:space="preserve"> </w:t>
      </w:r>
      <w:r>
        <w:rPr>
          <w:sz w:val="20"/>
        </w:rPr>
        <w:t>April</w:t>
      </w:r>
      <w:r>
        <w:rPr>
          <w:spacing w:val="-2"/>
          <w:sz w:val="20"/>
        </w:rPr>
        <w:t xml:space="preserve"> </w:t>
      </w:r>
      <w:r>
        <w:rPr>
          <w:spacing w:val="-4"/>
          <w:sz w:val="20"/>
        </w:rPr>
        <w:t>2022</w:t>
      </w:r>
    </w:p>
    <w:p w14:paraId="51DE8936" w14:textId="77777777" w:rsidR="0010369C" w:rsidRDefault="008E43AE">
      <w:pPr>
        <w:pStyle w:val="BodyText"/>
        <w:spacing w:before="34" w:line="360" w:lineRule="auto"/>
        <w:ind w:left="237" w:right="614" w:firstLine="851"/>
        <w:jc w:val="both"/>
      </w:pPr>
      <w:r>
        <w:rPr>
          <w:noProof/>
        </w:rPr>
        <w:drawing>
          <wp:anchor distT="0" distB="0" distL="0" distR="0" simplePos="0" relativeHeight="251039232" behindDoc="1" locked="0" layoutInCell="1" allowOverlap="1" wp14:anchorId="51DEA2B9" wp14:editId="51DEA2BA">
            <wp:simplePos x="0" y="0"/>
            <wp:positionH relativeFrom="page">
              <wp:posOffset>905255</wp:posOffset>
            </wp:positionH>
            <wp:positionV relativeFrom="paragraph">
              <wp:posOffset>69165</wp:posOffset>
            </wp:positionV>
            <wp:extent cx="259079" cy="103631"/>
            <wp:effectExtent l="0" t="0" r="0" b="0"/>
            <wp:wrapNone/>
            <wp:docPr id="793" name="image4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 name="image407.png"/>
                    <pic:cNvPicPr/>
                  </pic:nvPicPr>
                  <pic:blipFill>
                    <a:blip r:embed="rId541" cstate="print"/>
                    <a:stretch>
                      <a:fillRect/>
                    </a:stretch>
                  </pic:blipFill>
                  <pic:spPr>
                    <a:xfrm>
                      <a:off x="0" y="0"/>
                      <a:ext cx="259079" cy="103631"/>
                    </a:xfrm>
                    <a:prstGeom prst="rect">
                      <a:avLst/>
                    </a:prstGeom>
                  </pic:spPr>
                </pic:pic>
              </a:graphicData>
            </a:graphic>
          </wp:anchor>
        </w:drawing>
      </w:r>
      <w:r>
        <w:t>Australia</w:t>
      </w:r>
      <w:r>
        <w:rPr>
          <w:spacing w:val="-10"/>
        </w:rPr>
        <w:t xml:space="preserve"> </w:t>
      </w:r>
      <w:r>
        <w:t>submits</w:t>
      </w:r>
      <w:r>
        <w:rPr>
          <w:spacing w:val="-10"/>
        </w:rPr>
        <w:t xml:space="preserve"> </w:t>
      </w:r>
      <w:r>
        <w:t>that</w:t>
      </w:r>
      <w:r>
        <w:rPr>
          <w:spacing w:val="-11"/>
        </w:rPr>
        <w:t xml:space="preserve"> </w:t>
      </w:r>
      <w:r>
        <w:t>MOFCOM's</w:t>
      </w:r>
      <w:r>
        <w:rPr>
          <w:spacing w:val="-10"/>
        </w:rPr>
        <w:t xml:space="preserve"> </w:t>
      </w:r>
      <w:r>
        <w:t>explanation</w:t>
      </w:r>
      <w:r>
        <w:rPr>
          <w:spacing w:val="-12"/>
        </w:rPr>
        <w:t xml:space="preserve"> </w:t>
      </w:r>
      <w:r>
        <w:t>was</w:t>
      </w:r>
      <w:r>
        <w:rPr>
          <w:spacing w:val="-10"/>
        </w:rPr>
        <w:t xml:space="preserve"> </w:t>
      </w:r>
      <w:r>
        <w:t>lacking</w:t>
      </w:r>
      <w:r>
        <w:rPr>
          <w:spacing w:val="-9"/>
        </w:rPr>
        <w:t xml:space="preserve"> </w:t>
      </w:r>
      <w:r>
        <w:t>in</w:t>
      </w:r>
      <w:r>
        <w:rPr>
          <w:spacing w:val="-10"/>
        </w:rPr>
        <w:t xml:space="preserve"> </w:t>
      </w:r>
      <w:r>
        <w:t>requisite</w:t>
      </w:r>
      <w:r>
        <w:rPr>
          <w:spacing w:val="-10"/>
        </w:rPr>
        <w:t xml:space="preserve"> </w:t>
      </w:r>
      <w:r>
        <w:t>detail</w:t>
      </w:r>
      <w:r>
        <w:rPr>
          <w:spacing w:val="-9"/>
        </w:rPr>
        <w:t xml:space="preserve"> </w:t>
      </w:r>
      <w:r>
        <w:t>because it is clear from the evidence on the record that MOFCOM did not check the information submitted by the "other respondents," with other independent sources as required by paragraph 7 of Annex II.</w:t>
      </w:r>
    </w:p>
    <w:p w14:paraId="51DE8937" w14:textId="77777777" w:rsidR="0010369C" w:rsidRDefault="0010369C">
      <w:pPr>
        <w:pStyle w:val="BodyText"/>
        <w:spacing w:before="11"/>
        <w:rPr>
          <w:sz w:val="8"/>
        </w:rPr>
      </w:pPr>
    </w:p>
    <w:p w14:paraId="51DE8938" w14:textId="77777777" w:rsidR="0010369C" w:rsidRDefault="008E43AE">
      <w:pPr>
        <w:pStyle w:val="BodyText"/>
        <w:spacing w:before="51" w:line="360" w:lineRule="auto"/>
        <w:ind w:left="237" w:right="615" w:firstLine="852"/>
        <w:jc w:val="both"/>
      </w:pPr>
      <w:r>
        <w:rPr>
          <w:noProof/>
        </w:rPr>
        <w:drawing>
          <wp:anchor distT="0" distB="0" distL="0" distR="0" simplePos="0" relativeHeight="251040256" behindDoc="1" locked="0" layoutInCell="1" allowOverlap="1" wp14:anchorId="51DEA2BB" wp14:editId="51DEA2BC">
            <wp:simplePos x="0" y="0"/>
            <wp:positionH relativeFrom="page">
              <wp:posOffset>905255</wp:posOffset>
            </wp:positionH>
            <wp:positionV relativeFrom="paragraph">
              <wp:posOffset>81314</wp:posOffset>
            </wp:positionV>
            <wp:extent cx="259079" cy="100753"/>
            <wp:effectExtent l="0" t="0" r="0" b="0"/>
            <wp:wrapNone/>
            <wp:docPr id="795" name="image4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 name="image408.png"/>
                    <pic:cNvPicPr/>
                  </pic:nvPicPr>
                  <pic:blipFill>
                    <a:blip r:embed="rId542" cstate="print"/>
                    <a:stretch>
                      <a:fillRect/>
                    </a:stretch>
                  </pic:blipFill>
                  <pic:spPr>
                    <a:xfrm>
                      <a:off x="0" y="0"/>
                      <a:ext cx="259079" cy="100753"/>
                    </a:xfrm>
                    <a:prstGeom prst="rect">
                      <a:avLst/>
                    </a:prstGeom>
                  </pic:spPr>
                </pic:pic>
              </a:graphicData>
            </a:graphic>
          </wp:anchor>
        </w:drawing>
      </w:r>
      <w:r>
        <w:t xml:space="preserve">MOFCOM </w:t>
      </w:r>
      <w:r>
        <w:t>could also have checked the data from "other respondents" against "information obtained from other interested parties during the investigation". The data submitted by Casella Wines on cost of production and expenses, which Australia submits MOFCOM unjustif</w:t>
      </w:r>
      <w:r>
        <w:t>iably disregarded,</w:t>
      </w:r>
      <w:r>
        <w:rPr>
          <w:vertAlign w:val="superscript"/>
        </w:rPr>
        <w:t>420</w:t>
      </w:r>
      <w:r>
        <w:t xml:space="preserve"> suggests that the information that should have been applied was before MOFCOM and could have been used to construct normal value.</w:t>
      </w:r>
    </w:p>
    <w:p w14:paraId="51DE8939" w14:textId="77777777" w:rsidR="0010369C" w:rsidRDefault="008E43AE">
      <w:pPr>
        <w:pStyle w:val="BodyText"/>
        <w:spacing w:before="160"/>
        <w:ind w:left="1089"/>
      </w:pPr>
      <w:r>
        <w:rPr>
          <w:noProof/>
        </w:rPr>
        <w:drawing>
          <wp:anchor distT="0" distB="0" distL="0" distR="0" simplePos="0" relativeHeight="250665472" behindDoc="0" locked="0" layoutInCell="1" allowOverlap="1" wp14:anchorId="51DEA2BD" wp14:editId="51DEA2BE">
            <wp:simplePos x="0" y="0"/>
            <wp:positionH relativeFrom="page">
              <wp:posOffset>899160</wp:posOffset>
            </wp:positionH>
            <wp:positionV relativeFrom="paragraph">
              <wp:posOffset>150530</wp:posOffset>
            </wp:positionV>
            <wp:extent cx="265175" cy="100753"/>
            <wp:effectExtent l="0" t="0" r="0" b="0"/>
            <wp:wrapNone/>
            <wp:docPr id="797" name="image4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 name="image409.png"/>
                    <pic:cNvPicPr/>
                  </pic:nvPicPr>
                  <pic:blipFill>
                    <a:blip r:embed="rId543" cstate="print"/>
                    <a:stretch>
                      <a:fillRect/>
                    </a:stretch>
                  </pic:blipFill>
                  <pic:spPr>
                    <a:xfrm>
                      <a:off x="0" y="0"/>
                      <a:ext cx="265175" cy="100753"/>
                    </a:xfrm>
                    <a:prstGeom prst="rect">
                      <a:avLst/>
                    </a:prstGeom>
                  </pic:spPr>
                </pic:pic>
              </a:graphicData>
            </a:graphic>
          </wp:anchor>
        </w:drawing>
      </w:r>
      <w:r>
        <w:pict w14:anchorId="51DEA2BF">
          <v:rect id="docshape850" o:spid="_x0000_s1458" style="position:absolute;left:0;text-align:left;margin-left:226.05pt;margin-top:8.1pt;width:297.35pt;height:16.05pt;z-index:251847168;mso-position-horizontal-relative:page;mso-position-vertical-relative:text" fillcolor="black" stroked="f">
            <w10:wrap anchorx="page"/>
          </v:rect>
        </w:pict>
      </w:r>
      <w:r>
        <w:t>As</w:t>
      </w:r>
      <w:r>
        <w:rPr>
          <w:spacing w:val="-3"/>
        </w:rPr>
        <w:t xml:space="preserve"> </w:t>
      </w:r>
      <w:r>
        <w:t>outlined</w:t>
      </w:r>
      <w:r>
        <w:rPr>
          <w:spacing w:val="-2"/>
        </w:rPr>
        <w:t xml:space="preserve"> </w:t>
      </w:r>
      <w:r>
        <w:t>above,</w:t>
      </w:r>
      <w:r>
        <w:rPr>
          <w:vertAlign w:val="superscript"/>
        </w:rPr>
        <w:t>421</w:t>
      </w:r>
      <w:r>
        <w:rPr>
          <w:spacing w:val="-3"/>
        </w:rPr>
        <w:t xml:space="preserve"> </w:t>
      </w:r>
      <w:r>
        <w:rPr>
          <w:spacing w:val="-5"/>
        </w:rPr>
        <w:t>[[</w:t>
      </w:r>
    </w:p>
    <w:p w14:paraId="51DE893A" w14:textId="77777777" w:rsidR="0010369C" w:rsidRDefault="008E43AE">
      <w:pPr>
        <w:pStyle w:val="BodyText"/>
        <w:spacing w:before="2"/>
        <w:rPr>
          <w:sz w:val="10"/>
        </w:rPr>
      </w:pPr>
      <w:r>
        <w:pict w14:anchorId="51DEA2C0">
          <v:rect id="docshape851" o:spid="_x0000_s1457" style="position:absolute;margin-left:69.9pt;margin-top:7.45pt;width:453.55pt;height:16.05pt;z-index:-250900992;mso-wrap-distance-left:0;mso-wrap-distance-right:0;mso-position-horizontal-relative:page" fillcolor="black" stroked="f">
            <w10:wrap type="topAndBottom" anchorx="page"/>
          </v:rect>
        </w:pict>
      </w:r>
      <w:r>
        <w:pict w14:anchorId="51DEA2C1">
          <v:shape id="docshape852" o:spid="_x0000_s1456" style="position:absolute;margin-left:69.9pt;margin-top:29.45pt;width:453.45pt;height:16.1pt;z-index:-250899968;mso-wrap-distance-left:0;mso-wrap-distance-right:0;mso-position-horizontal-relative:page" coordorigin="1398,589" coordsize="9069,322" o:spt="100" adj="0,,0" path="m7874,589r-6476,l1398,911r6476,l7874,589xm8117,591r-242,l7875,805r242,l8117,591xm10467,589r-2293,l8174,911r2293,l10467,589xe" fillcolor="black" stroked="f">
            <v:stroke joinstyle="round"/>
            <v:formulas/>
            <v:path arrowok="t" o:connecttype="segments"/>
            <w10:wrap type="topAndBottom" anchorx="page"/>
          </v:shape>
        </w:pict>
      </w:r>
    </w:p>
    <w:p w14:paraId="51DE893B" w14:textId="77777777" w:rsidR="0010369C" w:rsidRDefault="0010369C">
      <w:pPr>
        <w:pStyle w:val="BodyText"/>
        <w:spacing w:before="9"/>
        <w:rPr>
          <w:sz w:val="7"/>
        </w:rPr>
      </w:pPr>
    </w:p>
    <w:p w14:paraId="51DE893C" w14:textId="77777777" w:rsidR="0010369C" w:rsidRDefault="008E43AE">
      <w:pPr>
        <w:pStyle w:val="BodyText"/>
        <w:spacing w:before="115" w:line="360" w:lineRule="auto"/>
        <w:ind w:left="237" w:right="612" w:firstLine="5327"/>
        <w:jc w:val="both"/>
      </w:pPr>
      <w:r>
        <w:t>]] In both its Preliminary and Final Determinations, MOFCOM failed to disclose the basis upon which the weighted average of the</w:t>
      </w:r>
      <w:r>
        <w:rPr>
          <w:spacing w:val="-12"/>
        </w:rPr>
        <w:t xml:space="preserve"> </w:t>
      </w:r>
      <w:r>
        <w:t>"other</w:t>
      </w:r>
      <w:r>
        <w:rPr>
          <w:spacing w:val="-12"/>
        </w:rPr>
        <w:t xml:space="preserve"> </w:t>
      </w:r>
      <w:r>
        <w:t>respondents"</w:t>
      </w:r>
      <w:r>
        <w:rPr>
          <w:spacing w:val="-14"/>
        </w:rPr>
        <w:t xml:space="preserve"> </w:t>
      </w:r>
      <w:r>
        <w:t>data</w:t>
      </w:r>
      <w:r>
        <w:rPr>
          <w:spacing w:val="-11"/>
        </w:rPr>
        <w:t xml:space="preserve"> </w:t>
      </w:r>
      <w:r>
        <w:t>was</w:t>
      </w:r>
      <w:r>
        <w:rPr>
          <w:spacing w:val="-11"/>
        </w:rPr>
        <w:t xml:space="preserve"> </w:t>
      </w:r>
      <w:r>
        <w:t>chosen</w:t>
      </w:r>
      <w:r>
        <w:rPr>
          <w:spacing w:val="-13"/>
        </w:rPr>
        <w:t xml:space="preserve"> </w:t>
      </w:r>
      <w:r>
        <w:t>as</w:t>
      </w:r>
      <w:r>
        <w:rPr>
          <w:spacing w:val="-13"/>
        </w:rPr>
        <w:t xml:space="preserve"> </w:t>
      </w:r>
      <w:r>
        <w:t>the</w:t>
      </w:r>
      <w:r>
        <w:rPr>
          <w:spacing w:val="-12"/>
        </w:rPr>
        <w:t xml:space="preserve"> </w:t>
      </w:r>
      <w:r>
        <w:t>"best</w:t>
      </w:r>
      <w:r>
        <w:rPr>
          <w:spacing w:val="-12"/>
        </w:rPr>
        <w:t xml:space="preserve"> </w:t>
      </w:r>
      <w:r>
        <w:t>information</w:t>
      </w:r>
      <w:r>
        <w:rPr>
          <w:spacing w:val="-12"/>
        </w:rPr>
        <w:t xml:space="preserve"> </w:t>
      </w:r>
      <w:r>
        <w:t>available"</w:t>
      </w:r>
      <w:r>
        <w:rPr>
          <w:spacing w:val="-13"/>
        </w:rPr>
        <w:t xml:space="preserve"> </w:t>
      </w:r>
      <w:r>
        <w:t>in</w:t>
      </w:r>
      <w:r>
        <w:rPr>
          <w:spacing w:val="-12"/>
        </w:rPr>
        <w:t xml:space="preserve"> </w:t>
      </w:r>
      <w:r>
        <w:t xml:space="preserve">circumstances where Casella Wines provided extensive </w:t>
      </w:r>
      <w:r>
        <w:t>transaction level data throughout the investigation.</w:t>
      </w:r>
    </w:p>
    <w:p w14:paraId="51DE893D" w14:textId="77777777" w:rsidR="0010369C" w:rsidRDefault="008E43AE">
      <w:pPr>
        <w:pStyle w:val="ListParagraph"/>
        <w:numPr>
          <w:ilvl w:val="4"/>
          <w:numId w:val="75"/>
        </w:numPr>
        <w:tabs>
          <w:tab w:val="left" w:pos="4492"/>
          <w:tab w:val="left" w:pos="4493"/>
        </w:tabs>
        <w:spacing w:before="160" w:line="360" w:lineRule="auto"/>
        <w:ind w:left="4492" w:right="613"/>
        <w:jc w:val="both"/>
        <w:rPr>
          <w:i/>
          <w:sz w:val="24"/>
        </w:rPr>
      </w:pPr>
      <w:r>
        <w:pict w14:anchorId="51DEA2C2">
          <v:rect id="docshape853" o:spid="_x0000_s1455" style="position:absolute;left:0;text-align:left;margin-left:69.9pt;margin-top:-87.75pt;width:266.3pt;height:16.05pt;z-index:-251309568;mso-position-horizontal-relative:page" fillcolor="black" stroked="f">
            <w10:wrap anchorx="page"/>
          </v:rect>
        </w:pict>
      </w:r>
      <w:r>
        <w:rPr>
          <w:i/>
          <w:sz w:val="24"/>
        </w:rPr>
        <w:t>MOFCOM did not undertake a process of evaluation</w:t>
      </w:r>
      <w:r>
        <w:rPr>
          <w:i/>
          <w:spacing w:val="-4"/>
          <w:sz w:val="24"/>
        </w:rPr>
        <w:t xml:space="preserve"> </w:t>
      </w:r>
      <w:r>
        <w:rPr>
          <w:i/>
          <w:sz w:val="24"/>
        </w:rPr>
        <w:t>or</w:t>
      </w:r>
      <w:r>
        <w:rPr>
          <w:i/>
          <w:spacing w:val="-3"/>
          <w:sz w:val="24"/>
        </w:rPr>
        <w:t xml:space="preserve"> </w:t>
      </w:r>
      <w:r>
        <w:rPr>
          <w:i/>
          <w:sz w:val="24"/>
        </w:rPr>
        <w:t>reasoning</w:t>
      </w:r>
      <w:r>
        <w:rPr>
          <w:i/>
          <w:spacing w:val="-3"/>
          <w:sz w:val="24"/>
        </w:rPr>
        <w:t xml:space="preserve"> </w:t>
      </w:r>
      <w:r>
        <w:rPr>
          <w:i/>
          <w:sz w:val="24"/>
        </w:rPr>
        <w:t>of</w:t>
      </w:r>
      <w:r>
        <w:rPr>
          <w:i/>
          <w:spacing w:val="-4"/>
          <w:sz w:val="24"/>
        </w:rPr>
        <w:t xml:space="preserve"> </w:t>
      </w:r>
      <w:r>
        <w:rPr>
          <w:i/>
          <w:sz w:val="24"/>
        </w:rPr>
        <w:t>the</w:t>
      </w:r>
      <w:r>
        <w:rPr>
          <w:i/>
          <w:spacing w:val="-3"/>
          <w:sz w:val="24"/>
        </w:rPr>
        <w:t xml:space="preserve"> </w:t>
      </w:r>
      <w:r>
        <w:rPr>
          <w:i/>
          <w:sz w:val="24"/>
        </w:rPr>
        <w:t>facts</w:t>
      </w:r>
      <w:r>
        <w:rPr>
          <w:i/>
          <w:spacing w:val="-4"/>
          <w:sz w:val="24"/>
        </w:rPr>
        <w:t xml:space="preserve"> </w:t>
      </w:r>
      <w:r>
        <w:rPr>
          <w:i/>
          <w:sz w:val="24"/>
        </w:rPr>
        <w:t>on</w:t>
      </w:r>
      <w:r>
        <w:rPr>
          <w:i/>
          <w:spacing w:val="-3"/>
          <w:sz w:val="24"/>
        </w:rPr>
        <w:t xml:space="preserve"> </w:t>
      </w:r>
      <w:r>
        <w:rPr>
          <w:i/>
          <w:sz w:val="24"/>
        </w:rPr>
        <w:t>the</w:t>
      </w:r>
      <w:r>
        <w:rPr>
          <w:i/>
          <w:spacing w:val="-3"/>
          <w:sz w:val="24"/>
        </w:rPr>
        <w:t xml:space="preserve"> </w:t>
      </w:r>
      <w:r>
        <w:rPr>
          <w:i/>
          <w:sz w:val="24"/>
        </w:rPr>
        <w:t>record regarding normal value</w:t>
      </w:r>
    </w:p>
    <w:p w14:paraId="51DE893E" w14:textId="77777777" w:rsidR="0010369C" w:rsidRDefault="008E43AE">
      <w:pPr>
        <w:pStyle w:val="BodyText"/>
        <w:spacing w:before="160" w:line="360" w:lineRule="auto"/>
        <w:ind w:left="237" w:right="613" w:firstLine="851"/>
        <w:jc w:val="both"/>
      </w:pPr>
      <w:r>
        <w:rPr>
          <w:noProof/>
        </w:rPr>
        <w:drawing>
          <wp:anchor distT="0" distB="0" distL="0" distR="0" simplePos="0" relativeHeight="251041280" behindDoc="1" locked="0" layoutInCell="1" allowOverlap="1" wp14:anchorId="51DEA2C3" wp14:editId="51DEA2C4">
            <wp:simplePos x="0" y="0"/>
            <wp:positionH relativeFrom="page">
              <wp:posOffset>899160</wp:posOffset>
            </wp:positionH>
            <wp:positionV relativeFrom="paragraph">
              <wp:posOffset>149937</wp:posOffset>
            </wp:positionV>
            <wp:extent cx="265175" cy="103631"/>
            <wp:effectExtent l="0" t="0" r="0" b="0"/>
            <wp:wrapNone/>
            <wp:docPr id="799" name="image4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 name="image410.png"/>
                    <pic:cNvPicPr/>
                  </pic:nvPicPr>
                  <pic:blipFill>
                    <a:blip r:embed="rId544" cstate="print"/>
                    <a:stretch>
                      <a:fillRect/>
                    </a:stretch>
                  </pic:blipFill>
                  <pic:spPr>
                    <a:xfrm>
                      <a:off x="0" y="0"/>
                      <a:ext cx="265175" cy="103631"/>
                    </a:xfrm>
                    <a:prstGeom prst="rect">
                      <a:avLst/>
                    </a:prstGeom>
                  </pic:spPr>
                </pic:pic>
              </a:graphicData>
            </a:graphic>
          </wp:anchor>
        </w:drawing>
      </w:r>
      <w:r>
        <w:t>As foreshadowed above,</w:t>
      </w:r>
      <w:r>
        <w:rPr>
          <w:vertAlign w:val="superscript"/>
        </w:rPr>
        <w:t>423</w:t>
      </w:r>
      <w:r>
        <w:t xml:space="preserve"> in order to determine the selection of "best information available", an investigating authority must undertake a "comparative and systematic evaluation</w:t>
      </w:r>
      <w:r>
        <w:rPr>
          <w:spacing w:val="-4"/>
        </w:rPr>
        <w:t xml:space="preserve"> </w:t>
      </w:r>
      <w:r>
        <w:t>and</w:t>
      </w:r>
      <w:r>
        <w:rPr>
          <w:spacing w:val="-3"/>
        </w:rPr>
        <w:t xml:space="preserve"> </w:t>
      </w:r>
      <w:r>
        <w:t>assessment</w:t>
      </w:r>
      <w:r>
        <w:rPr>
          <w:spacing w:val="-3"/>
        </w:rPr>
        <w:t xml:space="preserve"> </w:t>
      </w:r>
      <w:r>
        <w:t>of</w:t>
      </w:r>
      <w:r>
        <w:rPr>
          <w:spacing w:val="-3"/>
        </w:rPr>
        <w:t xml:space="preserve"> </w:t>
      </w:r>
      <w:r>
        <w:t>that</w:t>
      </w:r>
      <w:r>
        <w:rPr>
          <w:spacing w:val="-3"/>
        </w:rPr>
        <w:t xml:space="preserve"> </w:t>
      </w:r>
      <w:r>
        <w:t>data".</w:t>
      </w:r>
      <w:r>
        <w:rPr>
          <w:vertAlign w:val="superscript"/>
        </w:rPr>
        <w:t>424</w:t>
      </w:r>
      <w:r>
        <w:rPr>
          <w:spacing w:val="-3"/>
        </w:rPr>
        <w:t xml:space="preserve"> </w:t>
      </w:r>
      <w:r>
        <w:t>MOFCOM's</w:t>
      </w:r>
      <w:r>
        <w:rPr>
          <w:spacing w:val="-3"/>
        </w:rPr>
        <w:t xml:space="preserve"> </w:t>
      </w:r>
      <w:r>
        <w:t>collection</w:t>
      </w:r>
      <w:r>
        <w:rPr>
          <w:spacing w:val="-3"/>
        </w:rPr>
        <w:t xml:space="preserve"> </w:t>
      </w:r>
      <w:r>
        <w:t>of</w:t>
      </w:r>
      <w:r>
        <w:rPr>
          <w:spacing w:val="-3"/>
        </w:rPr>
        <w:t xml:space="preserve"> </w:t>
      </w:r>
      <w:r>
        <w:t>data</w:t>
      </w:r>
      <w:r>
        <w:rPr>
          <w:spacing w:val="-2"/>
        </w:rPr>
        <w:t xml:space="preserve"> </w:t>
      </w:r>
      <w:r>
        <w:t>from</w:t>
      </w:r>
      <w:r>
        <w:rPr>
          <w:spacing w:val="-2"/>
        </w:rPr>
        <w:t xml:space="preserve"> </w:t>
      </w:r>
      <w:r>
        <w:t>Casella</w:t>
      </w:r>
      <w:r>
        <w:rPr>
          <w:spacing w:val="-2"/>
        </w:rPr>
        <w:t xml:space="preserve"> </w:t>
      </w:r>
      <w:r>
        <w:t>Wines is</w:t>
      </w:r>
      <w:r>
        <w:rPr>
          <w:spacing w:val="-7"/>
        </w:rPr>
        <w:t xml:space="preserve"> </w:t>
      </w:r>
      <w:r>
        <w:t>not</w:t>
      </w:r>
      <w:r>
        <w:rPr>
          <w:spacing w:val="-6"/>
        </w:rPr>
        <w:t xml:space="preserve"> </w:t>
      </w:r>
      <w:r>
        <w:t>the</w:t>
      </w:r>
      <w:r>
        <w:rPr>
          <w:spacing w:val="-6"/>
        </w:rPr>
        <w:t xml:space="preserve"> </w:t>
      </w:r>
      <w:r>
        <w:t>same</w:t>
      </w:r>
      <w:r>
        <w:rPr>
          <w:spacing w:val="-6"/>
        </w:rPr>
        <w:t xml:space="preserve"> </w:t>
      </w:r>
      <w:r>
        <w:t>conduct</w:t>
      </w:r>
      <w:r>
        <w:t>ing</w:t>
      </w:r>
      <w:r>
        <w:rPr>
          <w:spacing w:val="-6"/>
        </w:rPr>
        <w:t xml:space="preserve"> </w:t>
      </w:r>
      <w:r>
        <w:t>an</w:t>
      </w:r>
      <w:r>
        <w:rPr>
          <w:spacing w:val="-7"/>
        </w:rPr>
        <w:t xml:space="preserve"> </w:t>
      </w:r>
      <w:r>
        <w:t>evaluation</w:t>
      </w:r>
      <w:r>
        <w:rPr>
          <w:spacing w:val="-8"/>
        </w:rPr>
        <w:t xml:space="preserve"> </w:t>
      </w:r>
      <w:r>
        <w:t>and</w:t>
      </w:r>
      <w:r>
        <w:rPr>
          <w:spacing w:val="-6"/>
        </w:rPr>
        <w:t xml:space="preserve"> </w:t>
      </w:r>
      <w:r>
        <w:t>assessment</w:t>
      </w:r>
      <w:r>
        <w:rPr>
          <w:spacing w:val="-6"/>
        </w:rPr>
        <w:t xml:space="preserve"> </w:t>
      </w:r>
      <w:r>
        <w:t>of</w:t>
      </w:r>
      <w:r>
        <w:rPr>
          <w:spacing w:val="-6"/>
        </w:rPr>
        <w:t xml:space="preserve"> </w:t>
      </w:r>
      <w:r>
        <w:t>said</w:t>
      </w:r>
      <w:r>
        <w:rPr>
          <w:spacing w:val="-6"/>
        </w:rPr>
        <w:t xml:space="preserve"> </w:t>
      </w:r>
      <w:r>
        <w:t>data.</w:t>
      </w:r>
      <w:r>
        <w:rPr>
          <w:spacing w:val="-5"/>
        </w:rPr>
        <w:t xml:space="preserve"> </w:t>
      </w:r>
      <w:r>
        <w:t>Further,</w:t>
      </w:r>
      <w:r>
        <w:rPr>
          <w:spacing w:val="-6"/>
        </w:rPr>
        <w:t xml:space="preserve"> </w:t>
      </w:r>
      <w:r>
        <w:t>as</w:t>
      </w:r>
      <w:r>
        <w:rPr>
          <w:spacing w:val="-7"/>
        </w:rPr>
        <w:t xml:space="preserve"> </w:t>
      </w:r>
      <w:r>
        <w:t>outlined</w:t>
      </w:r>
      <w:r>
        <w:rPr>
          <w:spacing w:val="-6"/>
        </w:rPr>
        <w:t xml:space="preserve"> </w:t>
      </w:r>
      <w:r>
        <w:t xml:space="preserve">by the Panel in </w:t>
      </w:r>
      <w:r>
        <w:rPr>
          <w:i/>
        </w:rPr>
        <w:t xml:space="preserve">Canada – Welded Pipe </w:t>
      </w:r>
      <w:r>
        <w:t>"[n]or does checking for anomalies, aberrations, or the need for adjustments equate to a comparative evaluation and assessment".</w:t>
      </w:r>
      <w:r>
        <w:rPr>
          <w:vertAlign w:val="superscript"/>
        </w:rPr>
        <w:t>425</w:t>
      </w:r>
    </w:p>
    <w:p w14:paraId="51DE893F" w14:textId="77777777" w:rsidR="0010369C" w:rsidRDefault="0010369C">
      <w:pPr>
        <w:pStyle w:val="BodyText"/>
        <w:rPr>
          <w:sz w:val="20"/>
        </w:rPr>
      </w:pPr>
    </w:p>
    <w:p w14:paraId="51DE8940" w14:textId="77777777" w:rsidR="0010369C" w:rsidRDefault="0010369C">
      <w:pPr>
        <w:pStyle w:val="BodyText"/>
        <w:rPr>
          <w:sz w:val="20"/>
        </w:rPr>
      </w:pPr>
    </w:p>
    <w:p w14:paraId="51DE8941" w14:textId="77777777" w:rsidR="0010369C" w:rsidRDefault="0010369C">
      <w:pPr>
        <w:pStyle w:val="BodyText"/>
        <w:rPr>
          <w:sz w:val="20"/>
        </w:rPr>
      </w:pPr>
    </w:p>
    <w:p w14:paraId="51DE8942" w14:textId="77777777" w:rsidR="0010369C" w:rsidRDefault="008E43AE">
      <w:pPr>
        <w:pStyle w:val="BodyText"/>
        <w:spacing w:before="5"/>
        <w:rPr>
          <w:sz w:val="14"/>
        </w:rPr>
      </w:pPr>
      <w:r>
        <w:pict w14:anchorId="51DEA2C5">
          <v:rect id="docshape854" o:spid="_x0000_s1454" style="position:absolute;margin-left:70.9pt;margin-top:10.05pt;width:2in;height:.8pt;z-index:-250898944;mso-wrap-distance-left:0;mso-wrap-distance-right:0;mso-position-horizontal-relative:page" fillcolor="black" stroked="f">
            <w10:wrap type="topAndBottom" anchorx="page"/>
          </v:rect>
        </w:pict>
      </w:r>
    </w:p>
    <w:p w14:paraId="51DE8943" w14:textId="77777777" w:rsidR="0010369C" w:rsidRDefault="008E43AE">
      <w:pPr>
        <w:spacing w:before="109"/>
        <w:ind w:left="238"/>
        <w:rPr>
          <w:sz w:val="18"/>
        </w:rPr>
      </w:pPr>
      <w:r>
        <w:rPr>
          <w:sz w:val="18"/>
          <w:vertAlign w:val="superscript"/>
        </w:rPr>
        <w:t>420</w:t>
      </w:r>
      <w:r>
        <w:rPr>
          <w:spacing w:val="-6"/>
          <w:sz w:val="18"/>
        </w:rPr>
        <w:t xml:space="preserve"> </w:t>
      </w:r>
      <w:r>
        <w:rPr>
          <w:sz w:val="18"/>
        </w:rPr>
        <w:t>See</w:t>
      </w:r>
      <w:r>
        <w:rPr>
          <w:spacing w:val="-5"/>
          <w:sz w:val="18"/>
        </w:rPr>
        <w:t xml:space="preserve"> </w:t>
      </w:r>
      <w:r>
        <w:rPr>
          <w:sz w:val="18"/>
        </w:rPr>
        <w:t>above,</w:t>
      </w:r>
      <w:r>
        <w:rPr>
          <w:spacing w:val="-6"/>
          <w:sz w:val="18"/>
        </w:rPr>
        <w:t xml:space="preserve"> </w:t>
      </w:r>
      <w:r>
        <w:rPr>
          <w:sz w:val="18"/>
        </w:rPr>
        <w:t>section</w:t>
      </w:r>
      <w:r>
        <w:rPr>
          <w:spacing w:val="-5"/>
          <w:sz w:val="18"/>
        </w:rPr>
        <w:t xml:space="preserve"> </w:t>
      </w:r>
      <w:r>
        <w:rPr>
          <w:spacing w:val="-2"/>
          <w:sz w:val="18"/>
        </w:rPr>
        <w:t>II.F.2.</w:t>
      </w:r>
    </w:p>
    <w:p w14:paraId="51DE8944" w14:textId="77777777" w:rsidR="0010369C" w:rsidRDefault="008E43AE">
      <w:pPr>
        <w:ind w:left="238"/>
        <w:rPr>
          <w:sz w:val="18"/>
        </w:rPr>
      </w:pPr>
      <w:r>
        <w:rPr>
          <w:sz w:val="18"/>
          <w:vertAlign w:val="superscript"/>
        </w:rPr>
        <w:t>421</w:t>
      </w:r>
      <w:r>
        <w:rPr>
          <w:spacing w:val="-6"/>
          <w:sz w:val="18"/>
        </w:rPr>
        <w:t xml:space="preserve"> </w:t>
      </w:r>
      <w:r>
        <w:rPr>
          <w:sz w:val="18"/>
        </w:rPr>
        <w:t>See</w:t>
      </w:r>
      <w:r>
        <w:rPr>
          <w:spacing w:val="-5"/>
          <w:sz w:val="18"/>
        </w:rPr>
        <w:t xml:space="preserve"> </w:t>
      </w:r>
      <w:r>
        <w:rPr>
          <w:sz w:val="18"/>
        </w:rPr>
        <w:t>above,</w:t>
      </w:r>
      <w:r>
        <w:rPr>
          <w:spacing w:val="-6"/>
          <w:sz w:val="18"/>
        </w:rPr>
        <w:t xml:space="preserve"> </w:t>
      </w:r>
      <w:r>
        <w:rPr>
          <w:sz w:val="18"/>
        </w:rPr>
        <w:t>section</w:t>
      </w:r>
      <w:r>
        <w:rPr>
          <w:spacing w:val="-5"/>
          <w:sz w:val="18"/>
        </w:rPr>
        <w:t xml:space="preserve"> </w:t>
      </w:r>
      <w:r>
        <w:rPr>
          <w:spacing w:val="-2"/>
          <w:sz w:val="18"/>
        </w:rPr>
        <w:t>II.F.3(a)(ii).</w:t>
      </w:r>
    </w:p>
    <w:p w14:paraId="51DE8945" w14:textId="77777777" w:rsidR="0010369C" w:rsidRDefault="008E43AE">
      <w:pPr>
        <w:tabs>
          <w:tab w:val="left" w:pos="6848"/>
        </w:tabs>
        <w:spacing w:before="1"/>
        <w:ind w:left="238"/>
        <w:rPr>
          <w:sz w:val="18"/>
        </w:rPr>
      </w:pPr>
      <w:r>
        <w:pict w14:anchorId="51DEA2C6">
          <v:rect id="docshape855" o:spid="_x0000_s1453" style="position:absolute;left:0;text-align:left;margin-left:86.65pt;margin-top:.4pt;width:311.7pt;height:12.05pt;z-index:-251308544;mso-position-horizontal-relative:page" fillcolor="black" stroked="f">
            <w10:wrap anchorx="page"/>
          </v:rect>
        </w:pict>
      </w:r>
      <w:r>
        <w:rPr>
          <w:sz w:val="18"/>
          <w:vertAlign w:val="superscript"/>
        </w:rPr>
        <w:t>422</w:t>
      </w:r>
      <w:r>
        <w:rPr>
          <w:spacing w:val="-2"/>
          <w:sz w:val="18"/>
        </w:rPr>
        <w:t xml:space="preserve"> </w:t>
      </w:r>
      <w:r>
        <w:rPr>
          <w:spacing w:val="-10"/>
          <w:sz w:val="18"/>
        </w:rPr>
        <w:t>[</w:t>
      </w:r>
      <w:r>
        <w:rPr>
          <w:sz w:val="18"/>
        </w:rPr>
        <w:tab/>
      </w:r>
      <w:r>
        <w:rPr>
          <w:color w:val="5E5E5E"/>
          <w:sz w:val="18"/>
        </w:rPr>
        <w:t>(Exhibit</w:t>
      </w:r>
      <w:r>
        <w:rPr>
          <w:color w:val="5E5E5E"/>
          <w:spacing w:val="-10"/>
          <w:sz w:val="18"/>
        </w:rPr>
        <w:t xml:space="preserve"> </w:t>
      </w:r>
      <w:r>
        <w:rPr>
          <w:color w:val="5E5E5E"/>
          <w:sz w:val="18"/>
        </w:rPr>
        <w:t>AUS‐33</w:t>
      </w:r>
      <w:r>
        <w:rPr>
          <w:color w:val="5E5E5E"/>
          <w:spacing w:val="-9"/>
          <w:sz w:val="18"/>
        </w:rPr>
        <w:t xml:space="preserve"> </w:t>
      </w:r>
      <w:r>
        <w:rPr>
          <w:color w:val="5E5E5E"/>
          <w:spacing w:val="-2"/>
          <w:sz w:val="18"/>
        </w:rPr>
        <w:t>(BCI)).</w:t>
      </w:r>
      <w:r>
        <w:rPr>
          <w:spacing w:val="-2"/>
          <w:sz w:val="18"/>
        </w:rPr>
        <w:t>]]</w:t>
      </w:r>
    </w:p>
    <w:p w14:paraId="51DE8946" w14:textId="77777777" w:rsidR="0010369C" w:rsidRDefault="008E43AE">
      <w:pPr>
        <w:ind w:left="238"/>
        <w:rPr>
          <w:sz w:val="18"/>
        </w:rPr>
      </w:pPr>
      <w:r>
        <w:rPr>
          <w:sz w:val="18"/>
          <w:vertAlign w:val="superscript"/>
        </w:rPr>
        <w:t>423</w:t>
      </w:r>
      <w:r>
        <w:rPr>
          <w:spacing w:val="-6"/>
          <w:sz w:val="18"/>
        </w:rPr>
        <w:t xml:space="preserve"> </w:t>
      </w:r>
      <w:r>
        <w:rPr>
          <w:sz w:val="18"/>
        </w:rPr>
        <w:t>See</w:t>
      </w:r>
      <w:r>
        <w:rPr>
          <w:spacing w:val="-5"/>
          <w:sz w:val="18"/>
        </w:rPr>
        <w:t xml:space="preserve"> </w:t>
      </w:r>
      <w:r>
        <w:rPr>
          <w:sz w:val="18"/>
        </w:rPr>
        <w:t>above,</w:t>
      </w:r>
      <w:r>
        <w:rPr>
          <w:spacing w:val="-6"/>
          <w:sz w:val="18"/>
        </w:rPr>
        <w:t xml:space="preserve"> </w:t>
      </w:r>
      <w:r>
        <w:rPr>
          <w:sz w:val="18"/>
        </w:rPr>
        <w:t>section</w:t>
      </w:r>
      <w:r>
        <w:rPr>
          <w:spacing w:val="-5"/>
          <w:sz w:val="18"/>
        </w:rPr>
        <w:t xml:space="preserve"> </w:t>
      </w:r>
      <w:r>
        <w:rPr>
          <w:spacing w:val="-2"/>
          <w:sz w:val="18"/>
        </w:rPr>
        <w:t>II.E.2(b).</w:t>
      </w:r>
    </w:p>
    <w:p w14:paraId="51DE8947" w14:textId="77777777" w:rsidR="0010369C" w:rsidRDefault="008E43AE">
      <w:pPr>
        <w:ind w:left="238"/>
        <w:rPr>
          <w:sz w:val="18"/>
        </w:rPr>
      </w:pPr>
      <w:r>
        <w:rPr>
          <w:sz w:val="18"/>
          <w:vertAlign w:val="superscript"/>
        </w:rPr>
        <w:t>424</w:t>
      </w:r>
      <w:r>
        <w:rPr>
          <w:spacing w:val="-6"/>
          <w:sz w:val="18"/>
        </w:rPr>
        <w:t xml:space="preserve"> </w:t>
      </w:r>
      <w:r>
        <w:rPr>
          <w:sz w:val="18"/>
        </w:rPr>
        <w:t>Panel</w:t>
      </w:r>
      <w:r>
        <w:rPr>
          <w:spacing w:val="-6"/>
          <w:sz w:val="18"/>
        </w:rPr>
        <w:t xml:space="preserve"> </w:t>
      </w:r>
      <w:r>
        <w:rPr>
          <w:sz w:val="18"/>
        </w:rPr>
        <w:t>Report,</w:t>
      </w:r>
      <w:r>
        <w:rPr>
          <w:spacing w:val="-6"/>
          <w:sz w:val="18"/>
        </w:rPr>
        <w:t xml:space="preserve"> </w:t>
      </w:r>
      <w:r>
        <w:rPr>
          <w:i/>
          <w:sz w:val="18"/>
        </w:rPr>
        <w:t>Canada</w:t>
      </w:r>
      <w:r>
        <w:rPr>
          <w:i/>
          <w:spacing w:val="-5"/>
          <w:sz w:val="18"/>
        </w:rPr>
        <w:t xml:space="preserve"> </w:t>
      </w:r>
      <w:r>
        <w:rPr>
          <w:i/>
          <w:sz w:val="18"/>
        </w:rPr>
        <w:t>–</w:t>
      </w:r>
      <w:r>
        <w:rPr>
          <w:i/>
          <w:spacing w:val="-6"/>
          <w:sz w:val="18"/>
        </w:rPr>
        <w:t xml:space="preserve"> </w:t>
      </w:r>
      <w:r>
        <w:rPr>
          <w:i/>
          <w:sz w:val="18"/>
        </w:rPr>
        <w:t>Welded</w:t>
      </w:r>
      <w:r>
        <w:rPr>
          <w:i/>
          <w:spacing w:val="-5"/>
          <w:sz w:val="18"/>
        </w:rPr>
        <w:t xml:space="preserve"> </w:t>
      </w:r>
      <w:r>
        <w:rPr>
          <w:i/>
          <w:sz w:val="18"/>
        </w:rPr>
        <w:t>Pipe</w:t>
      </w:r>
      <w:r>
        <w:rPr>
          <w:sz w:val="18"/>
        </w:rPr>
        <w:t>,</w:t>
      </w:r>
      <w:r>
        <w:rPr>
          <w:spacing w:val="-7"/>
          <w:sz w:val="18"/>
        </w:rPr>
        <w:t xml:space="preserve"> </w:t>
      </w:r>
      <w:r>
        <w:rPr>
          <w:sz w:val="18"/>
        </w:rPr>
        <w:t>para.</w:t>
      </w:r>
      <w:r>
        <w:rPr>
          <w:spacing w:val="-5"/>
          <w:sz w:val="18"/>
        </w:rPr>
        <w:t xml:space="preserve"> </w:t>
      </w:r>
      <w:r>
        <w:rPr>
          <w:spacing w:val="-2"/>
          <w:sz w:val="18"/>
        </w:rPr>
        <w:t>7.140</w:t>
      </w:r>
    </w:p>
    <w:p w14:paraId="51DE8948" w14:textId="77777777" w:rsidR="0010369C" w:rsidRDefault="008E43AE">
      <w:pPr>
        <w:ind w:left="238"/>
        <w:rPr>
          <w:sz w:val="18"/>
        </w:rPr>
      </w:pPr>
      <w:r>
        <w:rPr>
          <w:sz w:val="18"/>
          <w:vertAlign w:val="superscript"/>
        </w:rPr>
        <w:t>425</w:t>
      </w:r>
      <w:r>
        <w:rPr>
          <w:spacing w:val="-6"/>
          <w:sz w:val="18"/>
        </w:rPr>
        <w:t xml:space="preserve"> </w:t>
      </w:r>
      <w:r>
        <w:rPr>
          <w:sz w:val="18"/>
        </w:rPr>
        <w:t>Panel</w:t>
      </w:r>
      <w:r>
        <w:rPr>
          <w:spacing w:val="-6"/>
          <w:sz w:val="18"/>
        </w:rPr>
        <w:t xml:space="preserve"> </w:t>
      </w:r>
      <w:r>
        <w:rPr>
          <w:sz w:val="18"/>
        </w:rPr>
        <w:t>Report,</w:t>
      </w:r>
      <w:r>
        <w:rPr>
          <w:spacing w:val="-6"/>
          <w:sz w:val="18"/>
        </w:rPr>
        <w:t xml:space="preserve"> </w:t>
      </w:r>
      <w:r>
        <w:rPr>
          <w:i/>
          <w:sz w:val="18"/>
        </w:rPr>
        <w:t>Canada</w:t>
      </w:r>
      <w:r>
        <w:rPr>
          <w:i/>
          <w:spacing w:val="-5"/>
          <w:sz w:val="18"/>
        </w:rPr>
        <w:t xml:space="preserve"> </w:t>
      </w:r>
      <w:r>
        <w:rPr>
          <w:i/>
          <w:sz w:val="18"/>
        </w:rPr>
        <w:t>–</w:t>
      </w:r>
      <w:r>
        <w:rPr>
          <w:i/>
          <w:spacing w:val="-6"/>
          <w:sz w:val="18"/>
        </w:rPr>
        <w:t xml:space="preserve"> </w:t>
      </w:r>
      <w:r>
        <w:rPr>
          <w:i/>
          <w:sz w:val="18"/>
        </w:rPr>
        <w:t>Welded</w:t>
      </w:r>
      <w:r>
        <w:rPr>
          <w:i/>
          <w:spacing w:val="-5"/>
          <w:sz w:val="18"/>
        </w:rPr>
        <w:t xml:space="preserve"> </w:t>
      </w:r>
      <w:r>
        <w:rPr>
          <w:i/>
          <w:sz w:val="18"/>
        </w:rPr>
        <w:t>Pipe</w:t>
      </w:r>
      <w:r>
        <w:rPr>
          <w:sz w:val="18"/>
        </w:rPr>
        <w:t>,</w:t>
      </w:r>
      <w:r>
        <w:rPr>
          <w:spacing w:val="-7"/>
          <w:sz w:val="18"/>
        </w:rPr>
        <w:t xml:space="preserve"> </w:t>
      </w:r>
      <w:r>
        <w:rPr>
          <w:sz w:val="18"/>
        </w:rPr>
        <w:t>para.</w:t>
      </w:r>
      <w:r>
        <w:rPr>
          <w:spacing w:val="-5"/>
          <w:sz w:val="18"/>
        </w:rPr>
        <w:t xml:space="preserve"> </w:t>
      </w:r>
      <w:r>
        <w:rPr>
          <w:spacing w:val="-2"/>
          <w:sz w:val="18"/>
        </w:rPr>
        <w:t>7.140.</w:t>
      </w:r>
    </w:p>
    <w:p w14:paraId="51DE8949" w14:textId="77777777" w:rsidR="0010369C" w:rsidRDefault="0010369C">
      <w:pPr>
        <w:rPr>
          <w:sz w:val="18"/>
        </w:rPr>
        <w:sectPr w:rsidR="0010369C">
          <w:pgSz w:w="11910" w:h="16840"/>
          <w:pgMar w:top="880" w:right="800" w:bottom="980" w:left="1180" w:header="569" w:footer="788" w:gutter="0"/>
          <w:cols w:space="720"/>
        </w:sectPr>
      </w:pPr>
    </w:p>
    <w:p w14:paraId="51DE894A" w14:textId="77777777" w:rsidR="0010369C" w:rsidRDefault="0010369C">
      <w:pPr>
        <w:pStyle w:val="BodyText"/>
        <w:spacing w:before="2"/>
        <w:rPr>
          <w:sz w:val="15"/>
        </w:rPr>
      </w:pPr>
    </w:p>
    <w:p w14:paraId="51DE894B" w14:textId="77777777" w:rsidR="0010369C" w:rsidRDefault="008E43AE">
      <w:pPr>
        <w:tabs>
          <w:tab w:val="left" w:pos="8227"/>
        </w:tabs>
        <w:spacing w:before="60"/>
        <w:ind w:left="239"/>
        <w:jc w:val="both"/>
        <w:rPr>
          <w:sz w:val="20"/>
        </w:rPr>
      </w:pPr>
      <w:r>
        <w:rPr>
          <w:i/>
          <w:sz w:val="20"/>
        </w:rPr>
        <w:t>on</w:t>
      </w:r>
      <w:r>
        <w:rPr>
          <w:i/>
          <w:spacing w:val="-1"/>
          <w:sz w:val="20"/>
        </w:rPr>
        <w:t xml:space="preserve"> </w:t>
      </w:r>
      <w:r>
        <w:rPr>
          <w:i/>
          <w:sz w:val="20"/>
        </w:rPr>
        <w:t>Wine</w:t>
      </w:r>
      <w:r>
        <w:rPr>
          <w:i/>
          <w:spacing w:val="-1"/>
          <w:sz w:val="20"/>
        </w:rPr>
        <w:t xml:space="preserve"> </w:t>
      </w:r>
      <w:r>
        <w:rPr>
          <w:i/>
          <w:sz w:val="20"/>
        </w:rPr>
        <w:t>from</w:t>
      </w:r>
      <w:r>
        <w:rPr>
          <w:i/>
          <w:spacing w:val="-3"/>
          <w:sz w:val="20"/>
        </w:rPr>
        <w:t xml:space="preserve"> </w:t>
      </w:r>
      <w:r>
        <w:rPr>
          <w:i/>
          <w:sz w:val="20"/>
        </w:rPr>
        <w:t>Australia</w:t>
      </w:r>
      <w:r>
        <w:rPr>
          <w:i/>
          <w:spacing w:val="-1"/>
          <w:sz w:val="20"/>
        </w:rPr>
        <w:t xml:space="preserve"> </w:t>
      </w:r>
      <w:r>
        <w:rPr>
          <w:spacing w:val="-2"/>
          <w:sz w:val="20"/>
        </w:rPr>
        <w:t>(DS602)</w:t>
      </w:r>
      <w:r>
        <w:rPr>
          <w:sz w:val="20"/>
        </w:rPr>
        <w:tab/>
        <w:t>29</w:t>
      </w:r>
      <w:r>
        <w:rPr>
          <w:spacing w:val="-1"/>
          <w:sz w:val="20"/>
        </w:rPr>
        <w:t xml:space="preserve"> </w:t>
      </w:r>
      <w:r>
        <w:rPr>
          <w:sz w:val="20"/>
        </w:rPr>
        <w:t>April</w:t>
      </w:r>
      <w:r>
        <w:rPr>
          <w:spacing w:val="-2"/>
          <w:sz w:val="20"/>
        </w:rPr>
        <w:t xml:space="preserve"> </w:t>
      </w:r>
      <w:r>
        <w:rPr>
          <w:spacing w:val="-4"/>
          <w:sz w:val="20"/>
        </w:rPr>
        <w:t>2022</w:t>
      </w:r>
    </w:p>
    <w:p w14:paraId="51DE894C" w14:textId="77777777" w:rsidR="0010369C" w:rsidRDefault="008E43AE">
      <w:pPr>
        <w:pStyle w:val="BodyText"/>
        <w:spacing w:before="34" w:line="360" w:lineRule="auto"/>
        <w:ind w:left="237" w:right="611" w:firstLine="851"/>
        <w:jc w:val="both"/>
      </w:pPr>
      <w:r>
        <w:rPr>
          <w:noProof/>
        </w:rPr>
        <w:drawing>
          <wp:anchor distT="0" distB="0" distL="0" distR="0" simplePos="0" relativeHeight="251042304" behindDoc="1" locked="0" layoutInCell="1" allowOverlap="1" wp14:anchorId="51DEA2C7" wp14:editId="51DEA2C8">
            <wp:simplePos x="0" y="0"/>
            <wp:positionH relativeFrom="page">
              <wp:posOffset>899160</wp:posOffset>
            </wp:positionH>
            <wp:positionV relativeFrom="paragraph">
              <wp:posOffset>69165</wp:posOffset>
            </wp:positionV>
            <wp:extent cx="265175" cy="103631"/>
            <wp:effectExtent l="0" t="0" r="0" b="0"/>
            <wp:wrapNone/>
            <wp:docPr id="801" name="image4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 name="image411.png"/>
                    <pic:cNvPicPr/>
                  </pic:nvPicPr>
                  <pic:blipFill>
                    <a:blip r:embed="rId545" cstate="print"/>
                    <a:stretch>
                      <a:fillRect/>
                    </a:stretch>
                  </pic:blipFill>
                  <pic:spPr>
                    <a:xfrm>
                      <a:off x="0" y="0"/>
                      <a:ext cx="265175" cy="103631"/>
                    </a:xfrm>
                    <a:prstGeom prst="rect">
                      <a:avLst/>
                    </a:prstGeom>
                  </pic:spPr>
                </pic:pic>
              </a:graphicData>
            </a:graphic>
          </wp:anchor>
        </w:drawing>
      </w:r>
      <w:r>
        <w:t>For example, in selecting the best information available MOFCOM should have accounted</w:t>
      </w:r>
      <w:r>
        <w:rPr>
          <w:spacing w:val="-6"/>
        </w:rPr>
        <w:t xml:space="preserve"> </w:t>
      </w:r>
      <w:r>
        <w:t>for</w:t>
      </w:r>
      <w:r>
        <w:rPr>
          <w:spacing w:val="-5"/>
        </w:rPr>
        <w:t xml:space="preserve"> </w:t>
      </w:r>
      <w:r>
        <w:t>Casella</w:t>
      </w:r>
      <w:r>
        <w:rPr>
          <w:spacing w:val="-5"/>
        </w:rPr>
        <w:t xml:space="preserve"> </w:t>
      </w:r>
      <w:r>
        <w:t>Wine's</w:t>
      </w:r>
      <w:r>
        <w:rPr>
          <w:spacing w:val="-6"/>
        </w:rPr>
        <w:t xml:space="preserve"> </w:t>
      </w:r>
      <w:r>
        <w:t>production</w:t>
      </w:r>
      <w:r>
        <w:rPr>
          <w:spacing w:val="-5"/>
        </w:rPr>
        <w:t xml:space="preserve"> </w:t>
      </w:r>
      <w:r>
        <w:t>situation</w:t>
      </w:r>
      <w:r>
        <w:rPr>
          <w:spacing w:val="-5"/>
        </w:rPr>
        <w:t xml:space="preserve"> </w:t>
      </w:r>
      <w:r>
        <w:t>and</w:t>
      </w:r>
      <w:r>
        <w:rPr>
          <w:spacing w:val="-5"/>
        </w:rPr>
        <w:t xml:space="preserve"> </w:t>
      </w:r>
      <w:r>
        <w:t>product</w:t>
      </w:r>
      <w:r>
        <w:rPr>
          <w:spacing w:val="-5"/>
        </w:rPr>
        <w:t xml:space="preserve"> </w:t>
      </w:r>
      <w:r>
        <w:t>structure,</w:t>
      </w:r>
      <w:r>
        <w:rPr>
          <w:spacing w:val="-6"/>
        </w:rPr>
        <w:t xml:space="preserve"> </w:t>
      </w:r>
      <w:r>
        <w:t>the</w:t>
      </w:r>
      <w:r>
        <w:rPr>
          <w:spacing w:val="-4"/>
        </w:rPr>
        <w:t xml:space="preserve"> </w:t>
      </w:r>
      <w:r>
        <w:t>cost</w:t>
      </w:r>
      <w:r>
        <w:rPr>
          <w:spacing w:val="-5"/>
        </w:rPr>
        <w:t xml:space="preserve"> </w:t>
      </w:r>
      <w:r>
        <w:t>differences between</w:t>
      </w:r>
      <w:r>
        <w:rPr>
          <w:spacing w:val="-3"/>
        </w:rPr>
        <w:t xml:space="preserve"> </w:t>
      </w:r>
      <w:r>
        <w:t>different</w:t>
      </w:r>
      <w:r>
        <w:rPr>
          <w:spacing w:val="-4"/>
        </w:rPr>
        <w:t xml:space="preserve"> </w:t>
      </w:r>
      <w:r>
        <w:t>types</w:t>
      </w:r>
      <w:r>
        <w:rPr>
          <w:spacing w:val="-5"/>
        </w:rPr>
        <w:t xml:space="preserve"> </w:t>
      </w:r>
      <w:r>
        <w:t>of</w:t>
      </w:r>
      <w:r>
        <w:rPr>
          <w:spacing w:val="-4"/>
        </w:rPr>
        <w:t xml:space="preserve"> </w:t>
      </w:r>
      <w:r>
        <w:t>wine</w:t>
      </w:r>
      <w:r>
        <w:rPr>
          <w:spacing w:val="-3"/>
        </w:rPr>
        <w:t xml:space="preserve"> </w:t>
      </w:r>
      <w:r>
        <w:t>products,</w:t>
      </w:r>
      <w:r>
        <w:rPr>
          <w:spacing w:val="-3"/>
        </w:rPr>
        <w:t xml:space="preserve"> </w:t>
      </w:r>
      <w:r>
        <w:t>and</w:t>
      </w:r>
      <w:r>
        <w:rPr>
          <w:spacing w:val="-4"/>
        </w:rPr>
        <w:t xml:space="preserve"> </w:t>
      </w:r>
      <w:r>
        <w:t>other</w:t>
      </w:r>
      <w:r>
        <w:rPr>
          <w:spacing w:val="-3"/>
        </w:rPr>
        <w:t xml:space="preserve"> </w:t>
      </w:r>
      <w:r>
        <w:t>factors</w:t>
      </w:r>
      <w:r>
        <w:rPr>
          <w:spacing w:val="-5"/>
        </w:rPr>
        <w:t xml:space="preserve"> </w:t>
      </w:r>
      <w:r>
        <w:t>affecting</w:t>
      </w:r>
      <w:r>
        <w:rPr>
          <w:spacing w:val="-4"/>
        </w:rPr>
        <w:t xml:space="preserve"> </w:t>
      </w:r>
      <w:r>
        <w:t>comparability</w:t>
      </w:r>
      <w:r>
        <w:rPr>
          <w:spacing w:val="-4"/>
        </w:rPr>
        <w:t xml:space="preserve"> </w:t>
      </w:r>
      <w:r>
        <w:t>between the company's wine products. MOFCOM's application of uniform cost and related expenses data</w:t>
      </w:r>
      <w:r>
        <w:rPr>
          <w:spacing w:val="-2"/>
        </w:rPr>
        <w:t xml:space="preserve"> </w:t>
      </w:r>
      <w:r>
        <w:t>based</w:t>
      </w:r>
      <w:r>
        <w:rPr>
          <w:spacing w:val="-2"/>
        </w:rPr>
        <w:t xml:space="preserve"> </w:t>
      </w:r>
      <w:r>
        <w:t>on</w:t>
      </w:r>
      <w:r>
        <w:rPr>
          <w:spacing w:val="-3"/>
        </w:rPr>
        <w:t xml:space="preserve"> </w:t>
      </w:r>
      <w:r>
        <w:t>a</w:t>
      </w:r>
      <w:r>
        <w:rPr>
          <w:spacing w:val="-3"/>
        </w:rPr>
        <w:t xml:space="preserve"> </w:t>
      </w:r>
      <w:r>
        <w:t>weighted</w:t>
      </w:r>
      <w:r>
        <w:rPr>
          <w:spacing w:val="-3"/>
        </w:rPr>
        <w:t xml:space="preserve"> </w:t>
      </w:r>
      <w:r>
        <w:t>average</w:t>
      </w:r>
      <w:r>
        <w:rPr>
          <w:spacing w:val="-3"/>
        </w:rPr>
        <w:t xml:space="preserve"> </w:t>
      </w:r>
      <w:r>
        <w:t>of</w:t>
      </w:r>
      <w:r>
        <w:rPr>
          <w:spacing w:val="-3"/>
        </w:rPr>
        <w:t xml:space="preserve"> </w:t>
      </w:r>
      <w:r>
        <w:t>"other</w:t>
      </w:r>
      <w:r>
        <w:rPr>
          <w:spacing w:val="-3"/>
        </w:rPr>
        <w:t xml:space="preserve"> </w:t>
      </w:r>
      <w:r>
        <w:t>respondents'"</w:t>
      </w:r>
      <w:r>
        <w:rPr>
          <w:spacing w:val="-4"/>
        </w:rPr>
        <w:t xml:space="preserve"> </w:t>
      </w:r>
      <w:r>
        <w:t>data</w:t>
      </w:r>
      <w:r>
        <w:rPr>
          <w:spacing w:val="-2"/>
        </w:rPr>
        <w:t xml:space="preserve"> </w:t>
      </w:r>
      <w:r>
        <w:t>to</w:t>
      </w:r>
      <w:r>
        <w:rPr>
          <w:spacing w:val="-2"/>
        </w:rPr>
        <w:t xml:space="preserve"> </w:t>
      </w:r>
      <w:r>
        <w:t>all</w:t>
      </w:r>
      <w:r>
        <w:rPr>
          <w:spacing w:val="-3"/>
        </w:rPr>
        <w:t xml:space="preserve"> </w:t>
      </w:r>
      <w:r>
        <w:t>products</w:t>
      </w:r>
      <w:r>
        <w:rPr>
          <w:spacing w:val="-2"/>
        </w:rPr>
        <w:t xml:space="preserve"> </w:t>
      </w:r>
      <w:r>
        <w:t>demonstrates that MOFCOM did no</w:t>
      </w:r>
      <w:r>
        <w:t>t conduct the required comparative systematic evaluation and assessment of the data submitted, as required by Article 6.8 and paragraph 7 of Annex II.</w:t>
      </w:r>
    </w:p>
    <w:p w14:paraId="51DE894D" w14:textId="77777777" w:rsidR="0010369C" w:rsidRDefault="0010369C">
      <w:pPr>
        <w:pStyle w:val="BodyText"/>
        <w:spacing w:before="10"/>
        <w:rPr>
          <w:sz w:val="8"/>
        </w:rPr>
      </w:pPr>
    </w:p>
    <w:p w14:paraId="51DE894E" w14:textId="77777777" w:rsidR="0010369C" w:rsidRDefault="008E43AE">
      <w:pPr>
        <w:pStyle w:val="BodyText"/>
        <w:spacing w:before="52" w:line="360" w:lineRule="auto"/>
        <w:ind w:left="236" w:right="614" w:firstLine="853"/>
        <w:jc w:val="both"/>
      </w:pPr>
      <w:r>
        <w:rPr>
          <w:noProof/>
        </w:rPr>
        <w:drawing>
          <wp:anchor distT="0" distB="0" distL="0" distR="0" simplePos="0" relativeHeight="251043328" behindDoc="1" locked="0" layoutInCell="1" allowOverlap="1" wp14:anchorId="51DEA2C9" wp14:editId="51DEA2CA">
            <wp:simplePos x="0" y="0"/>
            <wp:positionH relativeFrom="page">
              <wp:posOffset>899160</wp:posOffset>
            </wp:positionH>
            <wp:positionV relativeFrom="paragraph">
              <wp:posOffset>80595</wp:posOffset>
            </wp:positionV>
            <wp:extent cx="265175" cy="103631"/>
            <wp:effectExtent l="0" t="0" r="0" b="0"/>
            <wp:wrapNone/>
            <wp:docPr id="803" name="image4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 name="image412.png"/>
                    <pic:cNvPicPr/>
                  </pic:nvPicPr>
                  <pic:blipFill>
                    <a:blip r:embed="rId546" cstate="print"/>
                    <a:stretch>
                      <a:fillRect/>
                    </a:stretch>
                  </pic:blipFill>
                  <pic:spPr>
                    <a:xfrm>
                      <a:off x="0" y="0"/>
                      <a:ext cx="265175" cy="103631"/>
                    </a:xfrm>
                    <a:prstGeom prst="rect">
                      <a:avLst/>
                    </a:prstGeom>
                  </pic:spPr>
                </pic:pic>
              </a:graphicData>
            </a:graphic>
          </wp:anchor>
        </w:drawing>
      </w:r>
      <w:r>
        <w:t>By failing to consider the other information in its selection of facts to replace the allegedly missing</w:t>
      </w:r>
      <w:r>
        <w:t xml:space="preserve"> information, MOFCOM failed to undertake "a process of reasoning and evaluation"</w:t>
      </w:r>
      <w:r>
        <w:rPr>
          <w:spacing w:val="-2"/>
        </w:rPr>
        <w:t xml:space="preserve"> </w:t>
      </w:r>
      <w:r>
        <w:t>to select</w:t>
      </w:r>
      <w:r>
        <w:rPr>
          <w:spacing w:val="-1"/>
        </w:rPr>
        <w:t xml:space="preserve"> </w:t>
      </w:r>
      <w:r>
        <w:t>facts</w:t>
      </w:r>
      <w:r>
        <w:rPr>
          <w:spacing w:val="-1"/>
        </w:rPr>
        <w:t xml:space="preserve"> </w:t>
      </w:r>
      <w:r>
        <w:t>which</w:t>
      </w:r>
      <w:r>
        <w:rPr>
          <w:spacing w:val="-1"/>
        </w:rPr>
        <w:t xml:space="preserve"> </w:t>
      </w:r>
      <w:r>
        <w:t>reasonably</w:t>
      </w:r>
      <w:r>
        <w:rPr>
          <w:spacing w:val="-1"/>
        </w:rPr>
        <w:t xml:space="preserve"> </w:t>
      </w:r>
      <w:r>
        <w:t>replaced</w:t>
      </w:r>
      <w:r>
        <w:rPr>
          <w:spacing w:val="-1"/>
        </w:rPr>
        <w:t xml:space="preserve"> </w:t>
      </w:r>
      <w:r>
        <w:t>facts</w:t>
      </w:r>
      <w:r>
        <w:rPr>
          <w:spacing w:val="-1"/>
        </w:rPr>
        <w:t xml:space="preserve"> </w:t>
      </w:r>
      <w:r>
        <w:t>on</w:t>
      </w:r>
      <w:r>
        <w:rPr>
          <w:spacing w:val="-1"/>
        </w:rPr>
        <w:t xml:space="preserve"> </w:t>
      </w:r>
      <w:r>
        <w:t>the record</w:t>
      </w:r>
      <w:r>
        <w:rPr>
          <w:spacing w:val="-2"/>
        </w:rPr>
        <w:t xml:space="preserve"> </w:t>
      </w:r>
      <w:r>
        <w:t>in</w:t>
      </w:r>
      <w:r>
        <w:rPr>
          <w:spacing w:val="-1"/>
        </w:rPr>
        <w:t xml:space="preserve"> </w:t>
      </w:r>
      <w:r>
        <w:t>order to arrive at an accurate determination.</w:t>
      </w:r>
      <w:r>
        <w:rPr>
          <w:vertAlign w:val="superscript"/>
        </w:rPr>
        <w:t>426</w:t>
      </w:r>
    </w:p>
    <w:p w14:paraId="51DE894F" w14:textId="77777777" w:rsidR="0010369C" w:rsidRDefault="0010369C">
      <w:pPr>
        <w:pStyle w:val="BodyText"/>
        <w:spacing w:before="11"/>
        <w:rPr>
          <w:sz w:val="8"/>
        </w:rPr>
      </w:pPr>
    </w:p>
    <w:p w14:paraId="51DE8950" w14:textId="77777777" w:rsidR="0010369C" w:rsidRDefault="008E43AE">
      <w:pPr>
        <w:pStyle w:val="BodyText"/>
        <w:spacing w:before="52" w:line="360" w:lineRule="auto"/>
        <w:ind w:left="236" w:right="613" w:firstLine="852"/>
        <w:jc w:val="both"/>
      </w:pPr>
      <w:r>
        <w:rPr>
          <w:noProof/>
        </w:rPr>
        <w:drawing>
          <wp:anchor distT="0" distB="0" distL="0" distR="0" simplePos="0" relativeHeight="251044352" behindDoc="1" locked="0" layoutInCell="1" allowOverlap="1" wp14:anchorId="51DEA2CB" wp14:editId="51DEA2CC">
            <wp:simplePos x="0" y="0"/>
            <wp:positionH relativeFrom="page">
              <wp:posOffset>899160</wp:posOffset>
            </wp:positionH>
            <wp:positionV relativeFrom="paragraph">
              <wp:posOffset>81357</wp:posOffset>
            </wp:positionV>
            <wp:extent cx="265175" cy="103631"/>
            <wp:effectExtent l="0" t="0" r="0" b="0"/>
            <wp:wrapNone/>
            <wp:docPr id="805" name="image4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 name="image413.png"/>
                    <pic:cNvPicPr/>
                  </pic:nvPicPr>
                  <pic:blipFill>
                    <a:blip r:embed="rId547" cstate="print"/>
                    <a:stretch>
                      <a:fillRect/>
                    </a:stretch>
                  </pic:blipFill>
                  <pic:spPr>
                    <a:xfrm>
                      <a:off x="0" y="0"/>
                      <a:ext cx="265175" cy="103631"/>
                    </a:xfrm>
                    <a:prstGeom prst="rect">
                      <a:avLst/>
                    </a:prstGeom>
                  </pic:spPr>
                </pic:pic>
              </a:graphicData>
            </a:graphic>
          </wp:anchor>
        </w:drawing>
      </w:r>
      <w:r>
        <w:t>Further, the final sentence of paragraph 7 of Annex II provides that "if an interested party does not cooperate and thus relevant information is being withheld from the authorities,</w:t>
      </w:r>
      <w:r>
        <w:rPr>
          <w:spacing w:val="-9"/>
        </w:rPr>
        <w:t xml:space="preserve"> </w:t>
      </w:r>
      <w:r>
        <w:t>this</w:t>
      </w:r>
      <w:r>
        <w:rPr>
          <w:spacing w:val="-9"/>
        </w:rPr>
        <w:t xml:space="preserve"> </w:t>
      </w:r>
      <w:r>
        <w:t>situation</w:t>
      </w:r>
      <w:r>
        <w:rPr>
          <w:spacing w:val="-9"/>
        </w:rPr>
        <w:t xml:space="preserve"> </w:t>
      </w:r>
      <w:r>
        <w:t>could</w:t>
      </w:r>
      <w:r>
        <w:rPr>
          <w:spacing w:val="-9"/>
        </w:rPr>
        <w:t xml:space="preserve"> </w:t>
      </w:r>
      <w:r>
        <w:t>lead</w:t>
      </w:r>
      <w:r>
        <w:rPr>
          <w:spacing w:val="-10"/>
        </w:rPr>
        <w:t xml:space="preserve"> </w:t>
      </w:r>
      <w:r>
        <w:t>to</w:t>
      </w:r>
      <w:r>
        <w:rPr>
          <w:spacing w:val="-8"/>
        </w:rPr>
        <w:t xml:space="preserve"> </w:t>
      </w:r>
      <w:r>
        <w:t>a</w:t>
      </w:r>
      <w:r>
        <w:rPr>
          <w:spacing w:val="-9"/>
        </w:rPr>
        <w:t xml:space="preserve"> </w:t>
      </w:r>
      <w:r>
        <w:t>result</w:t>
      </w:r>
      <w:r>
        <w:rPr>
          <w:spacing w:val="-9"/>
        </w:rPr>
        <w:t xml:space="preserve"> </w:t>
      </w:r>
      <w:r>
        <w:t>which</w:t>
      </w:r>
      <w:r>
        <w:rPr>
          <w:spacing w:val="-9"/>
        </w:rPr>
        <w:t xml:space="preserve"> </w:t>
      </w:r>
      <w:r>
        <w:t>is</w:t>
      </w:r>
      <w:r>
        <w:rPr>
          <w:spacing w:val="-9"/>
        </w:rPr>
        <w:t xml:space="preserve"> </w:t>
      </w:r>
      <w:r>
        <w:t>less</w:t>
      </w:r>
      <w:r>
        <w:rPr>
          <w:spacing w:val="-8"/>
        </w:rPr>
        <w:t xml:space="preserve"> </w:t>
      </w:r>
      <w:r>
        <w:t>favourable</w:t>
      </w:r>
      <w:r>
        <w:rPr>
          <w:spacing w:val="-8"/>
        </w:rPr>
        <w:t xml:space="preserve"> </w:t>
      </w:r>
      <w:r>
        <w:t>to</w:t>
      </w:r>
      <w:r>
        <w:rPr>
          <w:spacing w:val="-8"/>
        </w:rPr>
        <w:t xml:space="preserve"> </w:t>
      </w:r>
      <w:r>
        <w:t>the</w:t>
      </w:r>
      <w:r>
        <w:rPr>
          <w:spacing w:val="-8"/>
        </w:rPr>
        <w:t xml:space="preserve"> </w:t>
      </w:r>
      <w:r>
        <w:t>part</w:t>
      </w:r>
      <w:r>
        <w:t>y</w:t>
      </w:r>
      <w:r>
        <w:rPr>
          <w:spacing w:val="-8"/>
        </w:rPr>
        <w:t xml:space="preserve"> </w:t>
      </w:r>
      <w:r>
        <w:t>than</w:t>
      </w:r>
      <w:r>
        <w:rPr>
          <w:spacing w:val="-9"/>
        </w:rPr>
        <w:t xml:space="preserve"> </w:t>
      </w:r>
      <w:r>
        <w:t>if</w:t>
      </w:r>
      <w:r>
        <w:rPr>
          <w:spacing w:val="-9"/>
        </w:rPr>
        <w:t xml:space="preserve"> </w:t>
      </w:r>
      <w:r>
        <w:t>the party did cooperate". MOFCOM made a groundless finding concerning a lack of cooperation on the part of both Casella Wines and Swan Vintage to effectively justify a "less favourable" result. Investigating authorities are not entitled to arrive</w:t>
      </w:r>
      <w:r>
        <w:t xml:space="preserve"> at a less favourable result simply because an interested party failed to furnish information if they otherwise cooperated.</w:t>
      </w:r>
      <w:r>
        <w:rPr>
          <w:vertAlign w:val="superscript"/>
        </w:rPr>
        <w:t>427</w:t>
      </w:r>
      <w:r>
        <w:t xml:space="preserve"> According to the Appellate Body:</w:t>
      </w:r>
      <w:r>
        <w:rPr>
          <w:vertAlign w:val="superscript"/>
        </w:rPr>
        <w:t>428</w:t>
      </w:r>
    </w:p>
    <w:p w14:paraId="51DE8951" w14:textId="77777777" w:rsidR="0010369C" w:rsidRDefault="008E43AE">
      <w:pPr>
        <w:spacing w:before="160"/>
        <w:ind w:left="1090" w:right="615" w:hanging="1"/>
        <w:jc w:val="both"/>
      </w:pPr>
      <w:r>
        <w:t>Determinations</w:t>
      </w:r>
      <w:r>
        <w:rPr>
          <w:spacing w:val="-12"/>
        </w:rPr>
        <w:t xml:space="preserve"> </w:t>
      </w:r>
      <w:r>
        <w:t>under</w:t>
      </w:r>
      <w:r>
        <w:rPr>
          <w:spacing w:val="-11"/>
        </w:rPr>
        <w:t xml:space="preserve"> </w:t>
      </w:r>
      <w:r>
        <w:t>Article</w:t>
      </w:r>
      <w:r>
        <w:rPr>
          <w:spacing w:val="-13"/>
        </w:rPr>
        <w:t xml:space="preserve"> </w:t>
      </w:r>
      <w:r>
        <w:t>6.8,</w:t>
      </w:r>
      <w:r>
        <w:rPr>
          <w:spacing w:val="-12"/>
        </w:rPr>
        <w:t xml:space="preserve"> </w:t>
      </w:r>
      <w:r>
        <w:t>however,</w:t>
      </w:r>
      <w:r>
        <w:rPr>
          <w:spacing w:val="-12"/>
        </w:rPr>
        <w:t xml:space="preserve"> </w:t>
      </w:r>
      <w:r>
        <w:t>must</w:t>
      </w:r>
      <w:r>
        <w:rPr>
          <w:spacing w:val="-13"/>
        </w:rPr>
        <w:t xml:space="preserve"> </w:t>
      </w:r>
      <w:r>
        <w:t>be</w:t>
      </w:r>
      <w:r>
        <w:rPr>
          <w:spacing w:val="-11"/>
        </w:rPr>
        <w:t xml:space="preserve"> </w:t>
      </w:r>
      <w:r>
        <w:t>based</w:t>
      </w:r>
      <w:r>
        <w:rPr>
          <w:spacing w:val="-12"/>
        </w:rPr>
        <w:t xml:space="preserve"> </w:t>
      </w:r>
      <w:r>
        <w:t>on</w:t>
      </w:r>
      <w:r>
        <w:rPr>
          <w:spacing w:val="-12"/>
        </w:rPr>
        <w:t xml:space="preserve"> </w:t>
      </w:r>
      <w:r>
        <w:t>"facts"</w:t>
      </w:r>
      <w:r>
        <w:rPr>
          <w:spacing w:val="-13"/>
        </w:rPr>
        <w:t xml:space="preserve"> </w:t>
      </w:r>
      <w:r>
        <w:t>that</w:t>
      </w:r>
      <w:r>
        <w:rPr>
          <w:spacing w:val="-12"/>
        </w:rPr>
        <w:t xml:space="preserve"> </w:t>
      </w:r>
      <w:r>
        <w:t>reasonably</w:t>
      </w:r>
      <w:r>
        <w:rPr>
          <w:spacing w:val="-12"/>
        </w:rPr>
        <w:t xml:space="preserve"> </w:t>
      </w:r>
      <w:r>
        <w:t>replace t</w:t>
      </w:r>
      <w:r>
        <w:t>he</w:t>
      </w:r>
      <w:r>
        <w:rPr>
          <w:spacing w:val="-13"/>
        </w:rPr>
        <w:t xml:space="preserve"> </w:t>
      </w:r>
      <w:r>
        <w:t>missing</w:t>
      </w:r>
      <w:r>
        <w:rPr>
          <w:spacing w:val="-12"/>
        </w:rPr>
        <w:t xml:space="preserve"> </w:t>
      </w:r>
      <w:r>
        <w:t>"necessary</w:t>
      </w:r>
      <w:r>
        <w:rPr>
          <w:spacing w:val="-13"/>
        </w:rPr>
        <w:t xml:space="preserve"> </w:t>
      </w:r>
      <w:r>
        <w:t>information"</w:t>
      </w:r>
      <w:r>
        <w:rPr>
          <w:spacing w:val="-12"/>
        </w:rPr>
        <w:t xml:space="preserve"> </w:t>
      </w:r>
      <w:r>
        <w:t>in</w:t>
      </w:r>
      <w:r>
        <w:rPr>
          <w:spacing w:val="-13"/>
        </w:rPr>
        <w:t xml:space="preserve"> </w:t>
      </w:r>
      <w:r>
        <w:t>order</w:t>
      </w:r>
      <w:r>
        <w:rPr>
          <w:spacing w:val="-12"/>
        </w:rPr>
        <w:t xml:space="preserve"> </w:t>
      </w:r>
      <w:r>
        <w:t>to</w:t>
      </w:r>
      <w:r>
        <w:rPr>
          <w:spacing w:val="-13"/>
        </w:rPr>
        <w:t xml:space="preserve"> </w:t>
      </w:r>
      <w:r>
        <w:t>arrive</w:t>
      </w:r>
      <w:r>
        <w:rPr>
          <w:spacing w:val="-12"/>
        </w:rPr>
        <w:t xml:space="preserve"> </w:t>
      </w:r>
      <w:r>
        <w:t>at</w:t>
      </w:r>
      <w:r>
        <w:rPr>
          <w:spacing w:val="-12"/>
        </w:rPr>
        <w:t xml:space="preserve"> </w:t>
      </w:r>
      <w:r>
        <w:t>an</w:t>
      </w:r>
      <w:r>
        <w:rPr>
          <w:spacing w:val="-13"/>
        </w:rPr>
        <w:t xml:space="preserve"> </w:t>
      </w:r>
      <w:r>
        <w:t>accurate</w:t>
      </w:r>
      <w:r>
        <w:rPr>
          <w:spacing w:val="-12"/>
        </w:rPr>
        <w:t xml:space="preserve"> </w:t>
      </w:r>
      <w:r>
        <w:t>determination,</w:t>
      </w:r>
      <w:r>
        <w:rPr>
          <w:spacing w:val="-12"/>
        </w:rPr>
        <w:t xml:space="preserve"> </w:t>
      </w:r>
      <w:r>
        <w:t>and</w:t>
      </w:r>
      <w:r>
        <w:rPr>
          <w:spacing w:val="-11"/>
        </w:rPr>
        <w:t xml:space="preserve"> </w:t>
      </w:r>
      <w:r>
        <w:t>thus cannot be made on the basis of procedural circumstances alone.</w:t>
      </w:r>
    </w:p>
    <w:p w14:paraId="51DE8952" w14:textId="77777777" w:rsidR="0010369C" w:rsidRDefault="0010369C">
      <w:pPr>
        <w:pStyle w:val="BodyText"/>
        <w:spacing w:before="5"/>
        <w:rPr>
          <w:sz w:val="15"/>
        </w:rPr>
      </w:pPr>
    </w:p>
    <w:p w14:paraId="51DE8953" w14:textId="77777777" w:rsidR="0010369C" w:rsidRDefault="008E43AE">
      <w:pPr>
        <w:pStyle w:val="BodyText"/>
        <w:spacing w:before="51" w:line="360" w:lineRule="auto"/>
        <w:ind w:left="237" w:right="612" w:firstLine="851"/>
        <w:jc w:val="both"/>
      </w:pPr>
      <w:r>
        <w:rPr>
          <w:noProof/>
        </w:rPr>
        <w:drawing>
          <wp:anchor distT="0" distB="0" distL="0" distR="0" simplePos="0" relativeHeight="251045376" behindDoc="1" locked="0" layoutInCell="1" allowOverlap="1" wp14:anchorId="51DEA2CD" wp14:editId="51DEA2CE">
            <wp:simplePos x="0" y="0"/>
            <wp:positionH relativeFrom="page">
              <wp:posOffset>899160</wp:posOffset>
            </wp:positionH>
            <wp:positionV relativeFrom="paragraph">
              <wp:posOffset>76150</wp:posOffset>
            </wp:positionV>
            <wp:extent cx="265175" cy="106679"/>
            <wp:effectExtent l="0" t="0" r="0" b="0"/>
            <wp:wrapNone/>
            <wp:docPr id="807" name="image4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 name="image414.png"/>
                    <pic:cNvPicPr/>
                  </pic:nvPicPr>
                  <pic:blipFill>
                    <a:blip r:embed="rId548" cstate="print"/>
                    <a:stretch>
                      <a:fillRect/>
                    </a:stretch>
                  </pic:blipFill>
                  <pic:spPr>
                    <a:xfrm>
                      <a:off x="0" y="0"/>
                      <a:ext cx="265175" cy="106679"/>
                    </a:xfrm>
                    <a:prstGeom prst="rect">
                      <a:avLst/>
                    </a:prstGeom>
                  </pic:spPr>
                </pic:pic>
              </a:graphicData>
            </a:graphic>
          </wp:anchor>
        </w:drawing>
      </w:r>
      <w:r>
        <w:t>For</w:t>
      </w:r>
      <w:r>
        <w:rPr>
          <w:spacing w:val="-5"/>
        </w:rPr>
        <w:t xml:space="preserve"> </w:t>
      </w:r>
      <w:r>
        <w:t>the</w:t>
      </w:r>
      <w:r>
        <w:rPr>
          <w:spacing w:val="-5"/>
        </w:rPr>
        <w:t xml:space="preserve"> </w:t>
      </w:r>
      <w:r>
        <w:t>reasons</w:t>
      </w:r>
      <w:r>
        <w:rPr>
          <w:spacing w:val="-6"/>
        </w:rPr>
        <w:t xml:space="preserve"> </w:t>
      </w:r>
      <w:r>
        <w:t>outlined</w:t>
      </w:r>
      <w:r>
        <w:rPr>
          <w:spacing w:val="-6"/>
        </w:rPr>
        <w:t xml:space="preserve"> </w:t>
      </w:r>
      <w:r>
        <w:t>above,</w:t>
      </w:r>
      <w:r>
        <w:rPr>
          <w:spacing w:val="-8"/>
        </w:rPr>
        <w:t xml:space="preserve"> </w:t>
      </w:r>
      <w:r>
        <w:t>Australia</w:t>
      </w:r>
      <w:r>
        <w:rPr>
          <w:spacing w:val="-7"/>
        </w:rPr>
        <w:t xml:space="preserve"> </w:t>
      </w:r>
      <w:r>
        <w:t>submits</w:t>
      </w:r>
      <w:r>
        <w:rPr>
          <w:spacing w:val="-6"/>
        </w:rPr>
        <w:t xml:space="preserve"> </w:t>
      </w:r>
      <w:r>
        <w:t>that</w:t>
      </w:r>
      <w:r>
        <w:rPr>
          <w:spacing w:val="-6"/>
        </w:rPr>
        <w:t xml:space="preserve"> </w:t>
      </w:r>
      <w:r>
        <w:t>the</w:t>
      </w:r>
      <w:r>
        <w:rPr>
          <w:spacing w:val="-5"/>
        </w:rPr>
        <w:t xml:space="preserve"> </w:t>
      </w:r>
      <w:r>
        <w:t>weighted</w:t>
      </w:r>
      <w:r>
        <w:rPr>
          <w:spacing w:val="-5"/>
        </w:rPr>
        <w:t xml:space="preserve"> </w:t>
      </w:r>
      <w:r>
        <w:t>average</w:t>
      </w:r>
      <w:r>
        <w:rPr>
          <w:spacing w:val="-6"/>
        </w:rPr>
        <w:t xml:space="preserve"> </w:t>
      </w:r>
      <w:r>
        <w:t>price</w:t>
      </w:r>
      <w:r>
        <w:rPr>
          <w:spacing w:val="-6"/>
        </w:rPr>
        <w:t xml:space="preserve"> </w:t>
      </w:r>
      <w:r>
        <w:t>of domestic sales provided by "other respondents", selected by MOFCOM as the basis for calculating normal value, could not constitute the "best information available" within the meaning of Article 6.8 and Annex II of the Anti‐Dumping Agreement.</w:t>
      </w:r>
    </w:p>
    <w:p w14:paraId="51DE8954" w14:textId="77777777" w:rsidR="0010369C" w:rsidRDefault="0010369C">
      <w:pPr>
        <w:pStyle w:val="BodyText"/>
        <w:rPr>
          <w:sz w:val="20"/>
        </w:rPr>
      </w:pPr>
    </w:p>
    <w:p w14:paraId="51DE8955" w14:textId="77777777" w:rsidR="0010369C" w:rsidRDefault="0010369C">
      <w:pPr>
        <w:pStyle w:val="BodyText"/>
        <w:rPr>
          <w:sz w:val="20"/>
        </w:rPr>
      </w:pPr>
    </w:p>
    <w:p w14:paraId="51DE8956" w14:textId="77777777" w:rsidR="0010369C" w:rsidRDefault="0010369C">
      <w:pPr>
        <w:pStyle w:val="BodyText"/>
        <w:rPr>
          <w:sz w:val="20"/>
        </w:rPr>
      </w:pPr>
    </w:p>
    <w:p w14:paraId="51DE8957" w14:textId="77777777" w:rsidR="0010369C" w:rsidRDefault="0010369C">
      <w:pPr>
        <w:pStyle w:val="BodyText"/>
        <w:rPr>
          <w:sz w:val="20"/>
        </w:rPr>
      </w:pPr>
    </w:p>
    <w:p w14:paraId="51DE8958" w14:textId="77777777" w:rsidR="0010369C" w:rsidRDefault="008E43AE">
      <w:pPr>
        <w:pStyle w:val="BodyText"/>
        <w:spacing w:before="11"/>
        <w:rPr>
          <w:sz w:val="29"/>
        </w:rPr>
      </w:pPr>
      <w:r>
        <w:pict w14:anchorId="51DEA2CF">
          <v:rect id="docshape861" o:spid="_x0000_s1452" style="position:absolute;margin-left:70.9pt;margin-top:19.45pt;width:2in;height:.8pt;z-index:-250897920;mso-wrap-distance-left:0;mso-wrap-distance-right:0;mso-position-horizontal-relative:page" fillcolor="black" stroked="f">
            <w10:wrap type="topAndBottom" anchorx="page"/>
          </v:rect>
        </w:pict>
      </w:r>
    </w:p>
    <w:p w14:paraId="51DE8959" w14:textId="77777777" w:rsidR="0010369C" w:rsidRDefault="008E43AE">
      <w:pPr>
        <w:spacing w:before="110"/>
        <w:ind w:left="238"/>
        <w:jc w:val="both"/>
        <w:rPr>
          <w:sz w:val="18"/>
        </w:rPr>
      </w:pPr>
      <w:r>
        <w:rPr>
          <w:sz w:val="18"/>
          <w:vertAlign w:val="superscript"/>
        </w:rPr>
        <w:t>426</w:t>
      </w:r>
      <w:r>
        <w:rPr>
          <w:spacing w:val="-9"/>
          <w:sz w:val="18"/>
        </w:rPr>
        <w:t xml:space="preserve"> </w:t>
      </w:r>
      <w:r>
        <w:rPr>
          <w:sz w:val="18"/>
        </w:rPr>
        <w:t>S</w:t>
      </w:r>
      <w:r>
        <w:rPr>
          <w:sz w:val="18"/>
        </w:rPr>
        <w:t>ee</w:t>
      </w:r>
      <w:r>
        <w:rPr>
          <w:spacing w:val="-9"/>
          <w:sz w:val="18"/>
        </w:rPr>
        <w:t xml:space="preserve"> </w:t>
      </w:r>
      <w:r>
        <w:rPr>
          <w:sz w:val="18"/>
        </w:rPr>
        <w:t>Appellate</w:t>
      </w:r>
      <w:r>
        <w:rPr>
          <w:spacing w:val="-8"/>
          <w:sz w:val="18"/>
        </w:rPr>
        <w:t xml:space="preserve"> </w:t>
      </w:r>
      <w:r>
        <w:rPr>
          <w:sz w:val="18"/>
        </w:rPr>
        <w:t>Body</w:t>
      </w:r>
      <w:r>
        <w:rPr>
          <w:spacing w:val="-9"/>
          <w:sz w:val="18"/>
        </w:rPr>
        <w:t xml:space="preserve"> </w:t>
      </w:r>
      <w:r>
        <w:rPr>
          <w:sz w:val="18"/>
        </w:rPr>
        <w:t>Report,</w:t>
      </w:r>
      <w:r>
        <w:rPr>
          <w:spacing w:val="-9"/>
          <w:sz w:val="18"/>
        </w:rPr>
        <w:t xml:space="preserve"> </w:t>
      </w:r>
      <w:r>
        <w:rPr>
          <w:i/>
          <w:sz w:val="18"/>
        </w:rPr>
        <w:t>US</w:t>
      </w:r>
      <w:r>
        <w:rPr>
          <w:i/>
          <w:spacing w:val="-8"/>
          <w:sz w:val="18"/>
        </w:rPr>
        <w:t xml:space="preserve"> </w:t>
      </w:r>
      <w:r>
        <w:rPr>
          <w:i/>
          <w:sz w:val="18"/>
        </w:rPr>
        <w:t>–</w:t>
      </w:r>
      <w:r>
        <w:rPr>
          <w:i/>
          <w:spacing w:val="-9"/>
          <w:sz w:val="18"/>
        </w:rPr>
        <w:t xml:space="preserve"> </w:t>
      </w:r>
      <w:r>
        <w:rPr>
          <w:i/>
          <w:sz w:val="18"/>
        </w:rPr>
        <w:t>Anti‐Dumping</w:t>
      </w:r>
      <w:r>
        <w:rPr>
          <w:i/>
          <w:spacing w:val="-8"/>
          <w:sz w:val="18"/>
        </w:rPr>
        <w:t xml:space="preserve"> </w:t>
      </w:r>
      <w:r>
        <w:rPr>
          <w:i/>
          <w:sz w:val="18"/>
        </w:rPr>
        <w:t>Methodologies</w:t>
      </w:r>
      <w:r>
        <w:rPr>
          <w:i/>
          <w:spacing w:val="-9"/>
          <w:sz w:val="18"/>
        </w:rPr>
        <w:t xml:space="preserve"> </w:t>
      </w:r>
      <w:r>
        <w:rPr>
          <w:i/>
          <w:sz w:val="18"/>
        </w:rPr>
        <w:t>(China)</w:t>
      </w:r>
      <w:r>
        <w:rPr>
          <w:sz w:val="18"/>
        </w:rPr>
        <w:t>,</w:t>
      </w:r>
      <w:r>
        <w:rPr>
          <w:spacing w:val="-10"/>
          <w:sz w:val="18"/>
        </w:rPr>
        <w:t xml:space="preserve"> </w:t>
      </w:r>
      <w:r>
        <w:rPr>
          <w:sz w:val="18"/>
        </w:rPr>
        <w:t>para.</w:t>
      </w:r>
      <w:r>
        <w:rPr>
          <w:spacing w:val="-8"/>
          <w:sz w:val="18"/>
        </w:rPr>
        <w:t xml:space="preserve"> </w:t>
      </w:r>
      <w:r>
        <w:rPr>
          <w:spacing w:val="-2"/>
          <w:sz w:val="18"/>
        </w:rPr>
        <w:t>5.172.</w:t>
      </w:r>
    </w:p>
    <w:p w14:paraId="51DE895A" w14:textId="77777777" w:rsidR="0010369C" w:rsidRDefault="008E43AE">
      <w:pPr>
        <w:ind w:left="238" w:right="612"/>
        <w:jc w:val="both"/>
        <w:rPr>
          <w:sz w:val="18"/>
        </w:rPr>
      </w:pPr>
      <w:r>
        <w:rPr>
          <w:sz w:val="18"/>
          <w:vertAlign w:val="superscript"/>
        </w:rPr>
        <w:t>427</w:t>
      </w:r>
      <w:r>
        <w:rPr>
          <w:spacing w:val="-6"/>
          <w:sz w:val="18"/>
        </w:rPr>
        <w:t xml:space="preserve"> </w:t>
      </w:r>
      <w:r>
        <w:rPr>
          <w:sz w:val="18"/>
        </w:rPr>
        <w:t>Appellate</w:t>
      </w:r>
      <w:r>
        <w:rPr>
          <w:spacing w:val="-6"/>
          <w:sz w:val="18"/>
        </w:rPr>
        <w:t xml:space="preserve"> </w:t>
      </w:r>
      <w:r>
        <w:rPr>
          <w:sz w:val="18"/>
        </w:rPr>
        <w:t>Body</w:t>
      </w:r>
      <w:r>
        <w:rPr>
          <w:spacing w:val="-6"/>
          <w:sz w:val="18"/>
        </w:rPr>
        <w:t xml:space="preserve"> </w:t>
      </w:r>
      <w:r>
        <w:rPr>
          <w:sz w:val="18"/>
        </w:rPr>
        <w:t>Report,</w:t>
      </w:r>
      <w:r>
        <w:rPr>
          <w:spacing w:val="-6"/>
          <w:sz w:val="18"/>
        </w:rPr>
        <w:t xml:space="preserve"> </w:t>
      </w:r>
      <w:r>
        <w:rPr>
          <w:i/>
          <w:sz w:val="18"/>
        </w:rPr>
        <w:t>US</w:t>
      </w:r>
      <w:r>
        <w:rPr>
          <w:i/>
          <w:spacing w:val="-6"/>
          <w:sz w:val="18"/>
        </w:rPr>
        <w:t xml:space="preserve"> </w:t>
      </w:r>
      <w:r>
        <w:rPr>
          <w:i/>
          <w:sz w:val="18"/>
        </w:rPr>
        <w:t>–</w:t>
      </w:r>
      <w:r>
        <w:rPr>
          <w:i/>
          <w:spacing w:val="-6"/>
          <w:sz w:val="18"/>
        </w:rPr>
        <w:t xml:space="preserve"> </w:t>
      </w:r>
      <w:r>
        <w:rPr>
          <w:i/>
          <w:sz w:val="18"/>
        </w:rPr>
        <w:t>Hot‐Rolled</w:t>
      </w:r>
      <w:r>
        <w:rPr>
          <w:i/>
          <w:spacing w:val="-6"/>
          <w:sz w:val="18"/>
        </w:rPr>
        <w:t xml:space="preserve"> </w:t>
      </w:r>
      <w:r>
        <w:rPr>
          <w:i/>
          <w:sz w:val="18"/>
        </w:rPr>
        <w:t>Steel</w:t>
      </w:r>
      <w:r>
        <w:rPr>
          <w:sz w:val="18"/>
        </w:rPr>
        <w:t>,</w:t>
      </w:r>
      <w:r>
        <w:rPr>
          <w:spacing w:val="-6"/>
          <w:sz w:val="18"/>
        </w:rPr>
        <w:t xml:space="preserve"> </w:t>
      </w:r>
      <w:r>
        <w:rPr>
          <w:sz w:val="18"/>
        </w:rPr>
        <w:t>para.</w:t>
      </w:r>
      <w:r>
        <w:rPr>
          <w:spacing w:val="-6"/>
          <w:sz w:val="18"/>
        </w:rPr>
        <w:t xml:space="preserve"> </w:t>
      </w:r>
      <w:r>
        <w:rPr>
          <w:sz w:val="18"/>
        </w:rPr>
        <w:t>99.</w:t>
      </w:r>
      <w:r>
        <w:rPr>
          <w:spacing w:val="-6"/>
          <w:sz w:val="18"/>
        </w:rPr>
        <w:t xml:space="preserve"> </w:t>
      </w:r>
      <w:r>
        <w:rPr>
          <w:sz w:val="18"/>
        </w:rPr>
        <w:t>See</w:t>
      </w:r>
      <w:r>
        <w:rPr>
          <w:spacing w:val="-6"/>
          <w:sz w:val="18"/>
        </w:rPr>
        <w:t xml:space="preserve"> </w:t>
      </w:r>
      <w:r>
        <w:rPr>
          <w:sz w:val="18"/>
        </w:rPr>
        <w:t>also,</w:t>
      </w:r>
      <w:r>
        <w:rPr>
          <w:spacing w:val="-6"/>
          <w:sz w:val="18"/>
        </w:rPr>
        <w:t xml:space="preserve"> </w:t>
      </w:r>
      <w:r>
        <w:rPr>
          <w:sz w:val="18"/>
        </w:rPr>
        <w:t>Panel</w:t>
      </w:r>
      <w:r>
        <w:rPr>
          <w:spacing w:val="-6"/>
          <w:sz w:val="18"/>
        </w:rPr>
        <w:t xml:space="preserve"> </w:t>
      </w:r>
      <w:r>
        <w:rPr>
          <w:sz w:val="18"/>
        </w:rPr>
        <w:t>Report,</w:t>
      </w:r>
      <w:r>
        <w:rPr>
          <w:spacing w:val="-6"/>
          <w:sz w:val="18"/>
        </w:rPr>
        <w:t xml:space="preserve"> </w:t>
      </w:r>
      <w:r>
        <w:rPr>
          <w:i/>
          <w:sz w:val="18"/>
        </w:rPr>
        <w:t>US</w:t>
      </w:r>
      <w:r>
        <w:rPr>
          <w:i/>
          <w:spacing w:val="-5"/>
          <w:sz w:val="18"/>
        </w:rPr>
        <w:t xml:space="preserve"> </w:t>
      </w:r>
      <w:r>
        <w:rPr>
          <w:i/>
          <w:sz w:val="18"/>
        </w:rPr>
        <w:t>–</w:t>
      </w:r>
      <w:r>
        <w:rPr>
          <w:i/>
          <w:spacing w:val="-6"/>
          <w:sz w:val="18"/>
        </w:rPr>
        <w:t xml:space="preserve"> </w:t>
      </w:r>
      <w:r>
        <w:rPr>
          <w:i/>
          <w:sz w:val="18"/>
        </w:rPr>
        <w:t>Coated</w:t>
      </w:r>
      <w:r>
        <w:rPr>
          <w:i/>
          <w:spacing w:val="-6"/>
          <w:sz w:val="18"/>
        </w:rPr>
        <w:t xml:space="preserve"> </w:t>
      </w:r>
      <w:r>
        <w:rPr>
          <w:i/>
          <w:sz w:val="18"/>
        </w:rPr>
        <w:t>Paper</w:t>
      </w:r>
      <w:r>
        <w:rPr>
          <w:i/>
          <w:spacing w:val="-6"/>
          <w:sz w:val="18"/>
        </w:rPr>
        <w:t xml:space="preserve"> </w:t>
      </w:r>
      <w:r>
        <w:rPr>
          <w:i/>
          <w:sz w:val="18"/>
        </w:rPr>
        <w:t>(Indonesia)</w:t>
      </w:r>
      <w:r>
        <w:rPr>
          <w:sz w:val="18"/>
        </w:rPr>
        <w:t>,</w:t>
      </w:r>
      <w:r>
        <w:rPr>
          <w:spacing w:val="-6"/>
          <w:sz w:val="18"/>
        </w:rPr>
        <w:t xml:space="preserve"> </w:t>
      </w:r>
      <w:r>
        <w:rPr>
          <w:sz w:val="18"/>
        </w:rPr>
        <w:t>para.</w:t>
      </w:r>
      <w:r>
        <w:rPr>
          <w:spacing w:val="-5"/>
          <w:sz w:val="18"/>
        </w:rPr>
        <w:t xml:space="preserve"> </w:t>
      </w:r>
      <w:r>
        <w:rPr>
          <w:sz w:val="18"/>
        </w:rPr>
        <w:t>7.115. See also</w:t>
      </w:r>
      <w:r>
        <w:rPr>
          <w:spacing w:val="-1"/>
          <w:sz w:val="18"/>
        </w:rPr>
        <w:t xml:space="preserve"> </w:t>
      </w:r>
      <w:r>
        <w:rPr>
          <w:sz w:val="18"/>
        </w:rPr>
        <w:t>Section</w:t>
      </w:r>
      <w:r>
        <w:rPr>
          <w:spacing w:val="-1"/>
          <w:sz w:val="18"/>
        </w:rPr>
        <w:t xml:space="preserve"> </w:t>
      </w:r>
      <w:r>
        <w:rPr>
          <w:sz w:val="18"/>
        </w:rPr>
        <w:t>II.C above where</w:t>
      </w:r>
      <w:r>
        <w:rPr>
          <w:spacing w:val="-1"/>
          <w:sz w:val="18"/>
        </w:rPr>
        <w:t xml:space="preserve"> </w:t>
      </w:r>
      <w:r>
        <w:rPr>
          <w:sz w:val="18"/>
        </w:rPr>
        <w:t>Australia demonstrates that</w:t>
      </w:r>
      <w:r>
        <w:rPr>
          <w:spacing w:val="-1"/>
          <w:sz w:val="18"/>
        </w:rPr>
        <w:t xml:space="preserve"> </w:t>
      </w:r>
      <w:r>
        <w:rPr>
          <w:sz w:val="18"/>
        </w:rPr>
        <w:t>the</w:t>
      </w:r>
      <w:r>
        <w:rPr>
          <w:spacing w:val="-1"/>
          <w:sz w:val="18"/>
        </w:rPr>
        <w:t xml:space="preserve"> </w:t>
      </w:r>
      <w:r>
        <w:rPr>
          <w:sz w:val="18"/>
        </w:rPr>
        <w:t xml:space="preserve">sampled companies fully cooperated in the investigation. </w:t>
      </w:r>
      <w:r>
        <w:rPr>
          <w:sz w:val="18"/>
          <w:vertAlign w:val="superscript"/>
        </w:rPr>
        <w:t>428</w:t>
      </w:r>
      <w:r>
        <w:rPr>
          <w:sz w:val="18"/>
        </w:rPr>
        <w:t xml:space="preserve"> Appellate Body Report, </w:t>
      </w:r>
      <w:r>
        <w:rPr>
          <w:i/>
          <w:sz w:val="18"/>
        </w:rPr>
        <w:t>US – Anti‐Dumping Methodologies (China)</w:t>
      </w:r>
      <w:r>
        <w:rPr>
          <w:sz w:val="18"/>
        </w:rPr>
        <w:t>, para. 5.172. (footnotes omitted)</w:t>
      </w:r>
    </w:p>
    <w:p w14:paraId="51DE895B" w14:textId="77777777" w:rsidR="0010369C" w:rsidRDefault="0010369C">
      <w:pPr>
        <w:jc w:val="both"/>
        <w:rPr>
          <w:sz w:val="18"/>
        </w:rPr>
        <w:sectPr w:rsidR="0010369C">
          <w:headerReference w:type="default" r:id="rId549"/>
          <w:footerReference w:type="default" r:id="rId550"/>
          <w:pgSz w:w="11910" w:h="16840"/>
          <w:pgMar w:top="880" w:right="800" w:bottom="980" w:left="1180" w:header="569" w:footer="788" w:gutter="0"/>
          <w:cols w:space="720"/>
        </w:sectPr>
      </w:pPr>
    </w:p>
    <w:p w14:paraId="51DE895C" w14:textId="77777777" w:rsidR="0010369C" w:rsidRDefault="0010369C">
      <w:pPr>
        <w:pStyle w:val="BodyText"/>
        <w:spacing w:before="4"/>
        <w:rPr>
          <w:sz w:val="23"/>
        </w:rPr>
      </w:pPr>
    </w:p>
    <w:tbl>
      <w:tblPr>
        <w:tblW w:w="0" w:type="auto"/>
        <w:tblInd w:w="196" w:type="dxa"/>
        <w:tblLayout w:type="fixed"/>
        <w:tblCellMar>
          <w:left w:w="0" w:type="dxa"/>
          <w:right w:w="0" w:type="dxa"/>
        </w:tblCellMar>
        <w:tblLook w:val="01E0" w:firstRow="1" w:lastRow="1" w:firstColumn="1" w:lastColumn="1" w:noHBand="0" w:noVBand="0"/>
      </w:tblPr>
      <w:tblGrid>
        <w:gridCol w:w="3152"/>
        <w:gridCol w:w="4977"/>
        <w:gridCol w:w="1044"/>
      </w:tblGrid>
      <w:tr w:rsidR="0010369C" w14:paraId="51DE895F" w14:textId="77777777">
        <w:trPr>
          <w:trHeight w:val="243"/>
        </w:trPr>
        <w:tc>
          <w:tcPr>
            <w:tcW w:w="3152" w:type="dxa"/>
          </w:tcPr>
          <w:p w14:paraId="51DE895D" w14:textId="77777777" w:rsidR="0010369C" w:rsidRDefault="008E43AE">
            <w:pPr>
              <w:pStyle w:val="TableParagraph"/>
              <w:spacing w:line="204" w:lineRule="exact"/>
              <w:ind w:left="50"/>
              <w:rPr>
                <w:sz w:val="20"/>
              </w:rPr>
            </w:pPr>
            <w:r>
              <w:rPr>
                <w:i/>
                <w:sz w:val="20"/>
              </w:rPr>
              <w:t>on</w:t>
            </w:r>
            <w:r>
              <w:rPr>
                <w:i/>
                <w:spacing w:val="-1"/>
                <w:sz w:val="20"/>
              </w:rPr>
              <w:t xml:space="preserve"> </w:t>
            </w:r>
            <w:r>
              <w:rPr>
                <w:i/>
                <w:sz w:val="20"/>
              </w:rPr>
              <w:t>Wine</w:t>
            </w:r>
            <w:r>
              <w:rPr>
                <w:i/>
                <w:spacing w:val="-1"/>
                <w:sz w:val="20"/>
              </w:rPr>
              <w:t xml:space="preserve"> </w:t>
            </w:r>
            <w:r>
              <w:rPr>
                <w:i/>
                <w:sz w:val="20"/>
              </w:rPr>
              <w:t>from</w:t>
            </w:r>
            <w:r>
              <w:rPr>
                <w:i/>
                <w:spacing w:val="-3"/>
                <w:sz w:val="20"/>
              </w:rPr>
              <w:t xml:space="preserve"> </w:t>
            </w:r>
            <w:r>
              <w:rPr>
                <w:i/>
                <w:sz w:val="20"/>
              </w:rPr>
              <w:t>Australia</w:t>
            </w:r>
            <w:r>
              <w:rPr>
                <w:i/>
                <w:spacing w:val="-1"/>
                <w:sz w:val="20"/>
              </w:rPr>
              <w:t xml:space="preserve"> </w:t>
            </w:r>
            <w:r>
              <w:rPr>
                <w:spacing w:val="-2"/>
                <w:sz w:val="20"/>
              </w:rPr>
              <w:t>(DS602)</w:t>
            </w:r>
          </w:p>
        </w:tc>
        <w:tc>
          <w:tcPr>
            <w:tcW w:w="6021" w:type="dxa"/>
            <w:gridSpan w:val="2"/>
          </w:tcPr>
          <w:p w14:paraId="51DE895E" w14:textId="77777777" w:rsidR="0010369C" w:rsidRDefault="008E43AE">
            <w:pPr>
              <w:pStyle w:val="TableParagraph"/>
              <w:spacing w:line="204" w:lineRule="exact"/>
              <w:ind w:right="49"/>
              <w:jc w:val="right"/>
              <w:rPr>
                <w:sz w:val="20"/>
              </w:rPr>
            </w:pPr>
            <w:r>
              <w:rPr>
                <w:sz w:val="20"/>
              </w:rPr>
              <w:t>29</w:t>
            </w:r>
            <w:r>
              <w:rPr>
                <w:spacing w:val="-1"/>
                <w:sz w:val="20"/>
              </w:rPr>
              <w:t xml:space="preserve"> </w:t>
            </w:r>
            <w:r>
              <w:rPr>
                <w:sz w:val="20"/>
              </w:rPr>
              <w:t>April</w:t>
            </w:r>
            <w:r>
              <w:rPr>
                <w:spacing w:val="-2"/>
                <w:sz w:val="20"/>
              </w:rPr>
              <w:t xml:space="preserve"> </w:t>
            </w:r>
            <w:r>
              <w:rPr>
                <w:spacing w:val="-4"/>
                <w:sz w:val="20"/>
              </w:rPr>
              <w:t>2022</w:t>
            </w:r>
          </w:p>
        </w:tc>
      </w:tr>
      <w:tr w:rsidR="0010369C" w14:paraId="51DE8963" w14:textId="77777777">
        <w:trPr>
          <w:trHeight w:val="383"/>
        </w:trPr>
        <w:tc>
          <w:tcPr>
            <w:tcW w:w="3152" w:type="dxa"/>
          </w:tcPr>
          <w:p w14:paraId="51DE8960" w14:textId="77777777" w:rsidR="0010369C" w:rsidRDefault="008E43AE">
            <w:pPr>
              <w:pStyle w:val="TableParagraph"/>
              <w:spacing w:line="288" w:lineRule="exact"/>
              <w:ind w:right="300"/>
              <w:jc w:val="right"/>
              <w:rPr>
                <w:sz w:val="24"/>
              </w:rPr>
            </w:pPr>
            <w:r>
              <w:rPr>
                <w:spacing w:val="-5"/>
                <w:sz w:val="24"/>
                <w:u w:val="single"/>
              </w:rPr>
              <w:t>(c)</w:t>
            </w:r>
          </w:p>
        </w:tc>
        <w:tc>
          <w:tcPr>
            <w:tcW w:w="4977" w:type="dxa"/>
          </w:tcPr>
          <w:p w14:paraId="51DE8961" w14:textId="77777777" w:rsidR="0010369C" w:rsidRDefault="008E43AE">
            <w:pPr>
              <w:pStyle w:val="TableParagraph"/>
              <w:spacing w:line="288" w:lineRule="exact"/>
              <w:ind w:left="301" w:right="-72"/>
              <w:rPr>
                <w:sz w:val="24"/>
              </w:rPr>
            </w:pPr>
            <w:r>
              <w:rPr>
                <w:sz w:val="24"/>
                <w:u w:val="single"/>
              </w:rPr>
              <w:t>MOFCOM</w:t>
            </w:r>
            <w:r>
              <w:rPr>
                <w:spacing w:val="53"/>
                <w:w w:val="150"/>
                <w:sz w:val="24"/>
                <w:u w:val="single"/>
              </w:rPr>
              <w:t xml:space="preserve"> </w:t>
            </w:r>
            <w:r>
              <w:rPr>
                <w:sz w:val="24"/>
                <w:u w:val="single"/>
              </w:rPr>
              <w:t>had</w:t>
            </w:r>
            <w:r>
              <w:rPr>
                <w:spacing w:val="53"/>
                <w:w w:val="150"/>
                <w:sz w:val="24"/>
                <w:u w:val="single"/>
              </w:rPr>
              <w:t xml:space="preserve"> </w:t>
            </w:r>
            <w:r>
              <w:rPr>
                <w:sz w:val="24"/>
                <w:u w:val="single"/>
              </w:rPr>
              <w:t>all</w:t>
            </w:r>
            <w:r>
              <w:rPr>
                <w:spacing w:val="79"/>
                <w:sz w:val="24"/>
                <w:u w:val="single"/>
              </w:rPr>
              <w:t xml:space="preserve"> </w:t>
            </w:r>
            <w:r>
              <w:rPr>
                <w:sz w:val="24"/>
                <w:u w:val="single"/>
              </w:rPr>
              <w:t>necessary</w:t>
            </w:r>
            <w:r>
              <w:rPr>
                <w:spacing w:val="54"/>
                <w:w w:val="150"/>
                <w:sz w:val="24"/>
                <w:u w:val="single"/>
              </w:rPr>
              <w:t xml:space="preserve"> </w:t>
            </w:r>
            <w:r>
              <w:rPr>
                <w:sz w:val="24"/>
                <w:u w:val="single"/>
              </w:rPr>
              <w:t>information</w:t>
            </w:r>
            <w:r>
              <w:rPr>
                <w:spacing w:val="53"/>
                <w:w w:val="150"/>
                <w:sz w:val="24"/>
                <w:u w:val="single"/>
              </w:rPr>
              <w:t xml:space="preserve"> </w:t>
            </w:r>
            <w:r>
              <w:rPr>
                <w:spacing w:val="-5"/>
                <w:sz w:val="24"/>
                <w:u w:val="single"/>
              </w:rPr>
              <w:t>to</w:t>
            </w:r>
            <w:r>
              <w:rPr>
                <w:spacing w:val="40"/>
                <w:sz w:val="24"/>
                <w:u w:val="single"/>
              </w:rPr>
              <w:t xml:space="preserve"> </w:t>
            </w:r>
          </w:p>
        </w:tc>
        <w:tc>
          <w:tcPr>
            <w:tcW w:w="1044" w:type="dxa"/>
          </w:tcPr>
          <w:p w14:paraId="51DE8962" w14:textId="77777777" w:rsidR="0010369C" w:rsidRDefault="008E43AE">
            <w:pPr>
              <w:pStyle w:val="TableParagraph"/>
              <w:spacing w:line="288" w:lineRule="exact"/>
              <w:ind w:left="70"/>
              <w:rPr>
                <w:sz w:val="24"/>
              </w:rPr>
            </w:pPr>
            <w:r>
              <w:rPr>
                <w:spacing w:val="-2"/>
                <w:sz w:val="24"/>
                <w:u w:val="single"/>
              </w:rPr>
              <w:t>construct</w:t>
            </w:r>
          </w:p>
        </w:tc>
      </w:tr>
      <w:tr w:rsidR="0010369C" w14:paraId="51DE8967" w14:textId="77777777">
        <w:trPr>
          <w:trHeight w:val="340"/>
        </w:trPr>
        <w:tc>
          <w:tcPr>
            <w:tcW w:w="3152" w:type="dxa"/>
          </w:tcPr>
          <w:p w14:paraId="51DE8964" w14:textId="77777777" w:rsidR="0010369C" w:rsidRDefault="0010369C">
            <w:pPr>
              <w:pStyle w:val="TableParagraph"/>
              <w:rPr>
                <w:rFonts w:ascii="Times New Roman"/>
              </w:rPr>
            </w:pPr>
          </w:p>
        </w:tc>
        <w:tc>
          <w:tcPr>
            <w:tcW w:w="4977" w:type="dxa"/>
          </w:tcPr>
          <w:p w14:paraId="51DE8965" w14:textId="77777777" w:rsidR="0010369C" w:rsidRDefault="008E43AE">
            <w:pPr>
              <w:pStyle w:val="TableParagraph"/>
              <w:spacing w:before="51" w:line="269" w:lineRule="exact"/>
              <w:ind w:left="301"/>
              <w:rPr>
                <w:sz w:val="24"/>
              </w:rPr>
            </w:pPr>
            <w:r>
              <w:rPr>
                <w:sz w:val="24"/>
                <w:u w:val="single"/>
              </w:rPr>
              <w:t>normal</w:t>
            </w:r>
            <w:r>
              <w:rPr>
                <w:spacing w:val="-7"/>
                <w:sz w:val="24"/>
                <w:u w:val="single"/>
              </w:rPr>
              <w:t xml:space="preserve"> </w:t>
            </w:r>
            <w:r>
              <w:rPr>
                <w:spacing w:val="-2"/>
                <w:sz w:val="24"/>
                <w:u w:val="single"/>
              </w:rPr>
              <w:t>value</w:t>
            </w:r>
          </w:p>
        </w:tc>
        <w:tc>
          <w:tcPr>
            <w:tcW w:w="1044" w:type="dxa"/>
          </w:tcPr>
          <w:p w14:paraId="51DE8966" w14:textId="77777777" w:rsidR="0010369C" w:rsidRDefault="0010369C">
            <w:pPr>
              <w:pStyle w:val="TableParagraph"/>
              <w:rPr>
                <w:rFonts w:ascii="Times New Roman"/>
              </w:rPr>
            </w:pPr>
          </w:p>
        </w:tc>
      </w:tr>
    </w:tbl>
    <w:p w14:paraId="51DE8968" w14:textId="77777777" w:rsidR="0010369C" w:rsidRDefault="0010369C">
      <w:pPr>
        <w:pStyle w:val="BodyText"/>
        <w:spacing w:before="2"/>
        <w:rPr>
          <w:sz w:val="21"/>
        </w:rPr>
      </w:pPr>
    </w:p>
    <w:p w14:paraId="51DE8969" w14:textId="77777777" w:rsidR="0010369C" w:rsidRDefault="008E43AE">
      <w:pPr>
        <w:pStyle w:val="BodyText"/>
        <w:spacing w:before="52" w:line="360" w:lineRule="auto"/>
        <w:ind w:left="238" w:right="613" w:firstLine="851"/>
        <w:jc w:val="both"/>
      </w:pPr>
      <w:r>
        <w:rPr>
          <w:noProof/>
        </w:rPr>
        <w:drawing>
          <wp:anchor distT="0" distB="0" distL="0" distR="0" simplePos="0" relativeHeight="251046400" behindDoc="1" locked="0" layoutInCell="1" allowOverlap="1" wp14:anchorId="51DEA2D0" wp14:editId="51DEA2D1">
            <wp:simplePos x="0" y="0"/>
            <wp:positionH relativeFrom="page">
              <wp:posOffset>899160</wp:posOffset>
            </wp:positionH>
            <wp:positionV relativeFrom="paragraph">
              <wp:posOffset>76785</wp:posOffset>
            </wp:positionV>
            <wp:extent cx="265175" cy="106679"/>
            <wp:effectExtent l="0" t="0" r="0" b="0"/>
            <wp:wrapNone/>
            <wp:docPr id="809" name="image4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 name="image415.png"/>
                    <pic:cNvPicPr/>
                  </pic:nvPicPr>
                  <pic:blipFill>
                    <a:blip r:embed="rId551" cstate="print"/>
                    <a:stretch>
                      <a:fillRect/>
                    </a:stretch>
                  </pic:blipFill>
                  <pic:spPr>
                    <a:xfrm>
                      <a:off x="0" y="0"/>
                      <a:ext cx="265175" cy="106679"/>
                    </a:xfrm>
                    <a:prstGeom prst="rect">
                      <a:avLst/>
                    </a:prstGeom>
                  </pic:spPr>
                </pic:pic>
              </a:graphicData>
            </a:graphic>
          </wp:anchor>
        </w:drawing>
      </w:r>
      <w:r>
        <w:t>For the foregoing reasons, Australia has demonstrated the weighted average ex‐ factory prices of "other respondents" domestic sales was not the best available information. Furthermore,</w:t>
      </w:r>
      <w:r>
        <w:rPr>
          <w:spacing w:val="-2"/>
        </w:rPr>
        <w:t xml:space="preserve"> </w:t>
      </w:r>
      <w:r>
        <w:t>MOFCOM</w:t>
      </w:r>
      <w:r>
        <w:rPr>
          <w:spacing w:val="-2"/>
        </w:rPr>
        <w:t xml:space="preserve"> </w:t>
      </w:r>
      <w:r>
        <w:t>had</w:t>
      </w:r>
      <w:r>
        <w:rPr>
          <w:spacing w:val="-2"/>
        </w:rPr>
        <w:t xml:space="preserve"> </w:t>
      </w:r>
      <w:r>
        <w:t>all</w:t>
      </w:r>
      <w:r>
        <w:rPr>
          <w:spacing w:val="-3"/>
        </w:rPr>
        <w:t xml:space="preserve"> </w:t>
      </w:r>
      <w:r>
        <w:t>necessary</w:t>
      </w:r>
      <w:r>
        <w:rPr>
          <w:spacing w:val="-1"/>
        </w:rPr>
        <w:t xml:space="preserve"> </w:t>
      </w:r>
      <w:r>
        <w:t>information</w:t>
      </w:r>
      <w:r>
        <w:rPr>
          <w:spacing w:val="-1"/>
        </w:rPr>
        <w:t xml:space="preserve"> </w:t>
      </w:r>
      <w:r>
        <w:t>to</w:t>
      </w:r>
      <w:r>
        <w:rPr>
          <w:spacing w:val="-2"/>
        </w:rPr>
        <w:t xml:space="preserve"> </w:t>
      </w:r>
      <w:r>
        <w:t>calculate</w:t>
      </w:r>
      <w:r>
        <w:rPr>
          <w:spacing w:val="-2"/>
        </w:rPr>
        <w:t xml:space="preserve"> </w:t>
      </w:r>
      <w:r>
        <w:t>constructed</w:t>
      </w:r>
      <w:r>
        <w:rPr>
          <w:spacing w:val="-3"/>
        </w:rPr>
        <w:t xml:space="preserve"> </w:t>
      </w:r>
      <w:r>
        <w:t>normal</w:t>
      </w:r>
      <w:r>
        <w:rPr>
          <w:spacing w:val="-2"/>
        </w:rPr>
        <w:t xml:space="preserve"> </w:t>
      </w:r>
      <w:r>
        <w:t>va</w:t>
      </w:r>
      <w:r>
        <w:t>lue. On</w:t>
      </w:r>
      <w:r>
        <w:rPr>
          <w:spacing w:val="-5"/>
        </w:rPr>
        <w:t xml:space="preserve"> </w:t>
      </w:r>
      <w:r>
        <w:t>this</w:t>
      </w:r>
      <w:r>
        <w:rPr>
          <w:spacing w:val="-5"/>
        </w:rPr>
        <w:t xml:space="preserve"> </w:t>
      </w:r>
      <w:r>
        <w:t>basis,</w:t>
      </w:r>
      <w:r>
        <w:rPr>
          <w:spacing w:val="-5"/>
        </w:rPr>
        <w:t xml:space="preserve"> </w:t>
      </w:r>
      <w:r>
        <w:t>Australia</w:t>
      </w:r>
      <w:r>
        <w:rPr>
          <w:spacing w:val="-6"/>
        </w:rPr>
        <w:t xml:space="preserve"> </w:t>
      </w:r>
      <w:r>
        <w:t>submits</w:t>
      </w:r>
      <w:r>
        <w:rPr>
          <w:spacing w:val="-5"/>
        </w:rPr>
        <w:t xml:space="preserve"> </w:t>
      </w:r>
      <w:r>
        <w:t>that</w:t>
      </w:r>
      <w:r>
        <w:rPr>
          <w:spacing w:val="-5"/>
        </w:rPr>
        <w:t xml:space="preserve"> </w:t>
      </w:r>
      <w:r>
        <w:t>even</w:t>
      </w:r>
      <w:r>
        <w:rPr>
          <w:spacing w:val="-6"/>
        </w:rPr>
        <w:t xml:space="preserve"> </w:t>
      </w:r>
      <w:r>
        <w:t>if</w:t>
      </w:r>
      <w:r>
        <w:rPr>
          <w:spacing w:val="-5"/>
        </w:rPr>
        <w:t xml:space="preserve"> </w:t>
      </w:r>
      <w:r>
        <w:t>MOFCOM</w:t>
      </w:r>
      <w:r>
        <w:rPr>
          <w:spacing w:val="-5"/>
        </w:rPr>
        <w:t xml:space="preserve"> </w:t>
      </w:r>
      <w:r>
        <w:t>had</w:t>
      </w:r>
      <w:r>
        <w:rPr>
          <w:spacing w:val="-5"/>
        </w:rPr>
        <w:t xml:space="preserve"> </w:t>
      </w:r>
      <w:r>
        <w:t>correctly</w:t>
      </w:r>
      <w:r>
        <w:rPr>
          <w:spacing w:val="-5"/>
        </w:rPr>
        <w:t xml:space="preserve"> </w:t>
      </w:r>
      <w:r>
        <w:t>determined</w:t>
      </w:r>
      <w:r>
        <w:rPr>
          <w:spacing w:val="-5"/>
        </w:rPr>
        <w:t xml:space="preserve"> </w:t>
      </w:r>
      <w:r>
        <w:t>it</w:t>
      </w:r>
      <w:r>
        <w:rPr>
          <w:spacing w:val="-5"/>
        </w:rPr>
        <w:t xml:space="preserve"> </w:t>
      </w:r>
      <w:r>
        <w:t>was</w:t>
      </w:r>
      <w:r>
        <w:rPr>
          <w:spacing w:val="-5"/>
        </w:rPr>
        <w:t xml:space="preserve"> </w:t>
      </w:r>
      <w:r>
        <w:t>unable to rely on the reported domestic sales to calculate normal value pursuant to Article 2.1, the necessary information was available to use constructed normal val</w:t>
      </w:r>
      <w:r>
        <w:t>ue as the alternative methodology under Article 2.2.</w:t>
      </w:r>
    </w:p>
    <w:p w14:paraId="51DE896A" w14:textId="77777777" w:rsidR="0010369C" w:rsidRDefault="008E43AE">
      <w:pPr>
        <w:pStyle w:val="Heading4"/>
        <w:numPr>
          <w:ilvl w:val="0"/>
          <w:numId w:val="11"/>
        </w:numPr>
        <w:tabs>
          <w:tab w:val="left" w:pos="2648"/>
          <w:tab w:val="left" w:pos="2649"/>
        </w:tabs>
        <w:spacing w:before="160" w:line="360" w:lineRule="auto"/>
        <w:ind w:right="614"/>
        <w:jc w:val="both"/>
      </w:pPr>
      <w:r>
        <w:t xml:space="preserve">MOFCOM selected export sales with characteristics affecting price </w:t>
      </w:r>
      <w:r>
        <w:rPr>
          <w:spacing w:val="-2"/>
        </w:rPr>
        <w:t>comparability</w:t>
      </w:r>
    </w:p>
    <w:p w14:paraId="51DE896B" w14:textId="77777777" w:rsidR="0010369C" w:rsidRDefault="008E43AE">
      <w:pPr>
        <w:pStyle w:val="BodyText"/>
        <w:spacing w:before="160" w:line="360" w:lineRule="auto"/>
        <w:ind w:left="237" w:right="612" w:firstLine="851"/>
        <w:jc w:val="both"/>
      </w:pPr>
      <w:r>
        <w:rPr>
          <w:noProof/>
        </w:rPr>
        <w:drawing>
          <wp:anchor distT="0" distB="0" distL="0" distR="0" simplePos="0" relativeHeight="251047424" behindDoc="1" locked="0" layoutInCell="1" allowOverlap="1" wp14:anchorId="51DEA2D2" wp14:editId="51DEA2D3">
            <wp:simplePos x="0" y="0"/>
            <wp:positionH relativeFrom="page">
              <wp:posOffset>899160</wp:posOffset>
            </wp:positionH>
            <wp:positionV relativeFrom="paragraph">
              <wp:posOffset>149175</wp:posOffset>
            </wp:positionV>
            <wp:extent cx="265175" cy="103631"/>
            <wp:effectExtent l="0" t="0" r="0" b="0"/>
            <wp:wrapNone/>
            <wp:docPr id="811" name="image4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 name="image416.png"/>
                    <pic:cNvPicPr/>
                  </pic:nvPicPr>
                  <pic:blipFill>
                    <a:blip r:embed="rId552" cstate="print"/>
                    <a:stretch>
                      <a:fillRect/>
                    </a:stretch>
                  </pic:blipFill>
                  <pic:spPr>
                    <a:xfrm>
                      <a:off x="0" y="0"/>
                      <a:ext cx="265175" cy="103631"/>
                    </a:xfrm>
                    <a:prstGeom prst="rect">
                      <a:avLst/>
                    </a:prstGeom>
                  </pic:spPr>
                </pic:pic>
              </a:graphicData>
            </a:graphic>
          </wp:anchor>
        </w:drawing>
      </w:r>
      <w:r>
        <w:t>As in the case of Treasury Wines, while MOFCOM's approach to determining export prices did not alone violate the Anti‐Dump</w:t>
      </w:r>
      <w:r>
        <w:t>ing Agreement, it required MOFCOM to make appropriate adjustments to ensure a fair comparison could be conducted with normal value.</w:t>
      </w:r>
    </w:p>
    <w:p w14:paraId="51DE896C" w14:textId="77777777" w:rsidR="0010369C" w:rsidRDefault="008E43AE">
      <w:pPr>
        <w:pStyle w:val="BodyText"/>
        <w:spacing w:before="160"/>
        <w:ind w:left="1089"/>
        <w:jc w:val="both"/>
      </w:pPr>
      <w:r>
        <w:rPr>
          <w:noProof/>
        </w:rPr>
        <w:drawing>
          <wp:anchor distT="0" distB="0" distL="0" distR="0" simplePos="0" relativeHeight="250666496" behindDoc="0" locked="0" layoutInCell="1" allowOverlap="1" wp14:anchorId="51DEA2D4" wp14:editId="51DEA2D5">
            <wp:simplePos x="0" y="0"/>
            <wp:positionH relativeFrom="page">
              <wp:posOffset>899160</wp:posOffset>
            </wp:positionH>
            <wp:positionV relativeFrom="paragraph">
              <wp:posOffset>149175</wp:posOffset>
            </wp:positionV>
            <wp:extent cx="265175" cy="103631"/>
            <wp:effectExtent l="0" t="0" r="0" b="0"/>
            <wp:wrapNone/>
            <wp:docPr id="813" name="image4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 name="image417.png"/>
                    <pic:cNvPicPr/>
                  </pic:nvPicPr>
                  <pic:blipFill>
                    <a:blip r:embed="rId553" cstate="print"/>
                    <a:stretch>
                      <a:fillRect/>
                    </a:stretch>
                  </pic:blipFill>
                  <pic:spPr>
                    <a:xfrm>
                      <a:off x="0" y="0"/>
                      <a:ext cx="265175" cy="103631"/>
                    </a:xfrm>
                    <a:prstGeom prst="rect">
                      <a:avLst/>
                    </a:prstGeom>
                  </pic:spPr>
                </pic:pic>
              </a:graphicData>
            </a:graphic>
          </wp:anchor>
        </w:drawing>
      </w:r>
      <w:r>
        <w:rPr>
          <w:w w:val="95"/>
        </w:rPr>
        <w:t>Australia</w:t>
      </w:r>
      <w:r>
        <w:rPr>
          <w:spacing w:val="8"/>
        </w:rPr>
        <w:t xml:space="preserve"> </w:t>
      </w:r>
      <w:r>
        <w:rPr>
          <w:w w:val="95"/>
        </w:rPr>
        <w:t>has</w:t>
      </w:r>
      <w:r>
        <w:rPr>
          <w:spacing w:val="10"/>
        </w:rPr>
        <w:t xml:space="preserve"> </w:t>
      </w:r>
      <w:r>
        <w:rPr>
          <w:w w:val="95"/>
        </w:rPr>
        <w:t>demonstrated</w:t>
      </w:r>
      <w:r>
        <w:rPr>
          <w:spacing w:val="10"/>
        </w:rPr>
        <w:t xml:space="preserve"> </w:t>
      </w:r>
      <w:r>
        <w:rPr>
          <w:w w:val="95"/>
        </w:rPr>
        <w:t>the</w:t>
      </w:r>
      <w:r>
        <w:rPr>
          <w:spacing w:val="10"/>
        </w:rPr>
        <w:t xml:space="preserve"> </w:t>
      </w:r>
      <w:r>
        <w:rPr>
          <w:w w:val="95"/>
        </w:rPr>
        <w:t>influence</w:t>
      </w:r>
      <w:r>
        <w:rPr>
          <w:spacing w:val="10"/>
        </w:rPr>
        <w:t xml:space="preserve"> </w:t>
      </w:r>
      <w:r>
        <w:rPr>
          <w:w w:val="95"/>
        </w:rPr>
        <w:t>of</w:t>
      </w:r>
      <w:r>
        <w:rPr>
          <w:spacing w:val="8"/>
        </w:rPr>
        <w:t xml:space="preserve"> </w:t>
      </w:r>
      <w:r>
        <w:rPr>
          <w:w w:val="95"/>
        </w:rPr>
        <w:t>product</w:t>
      </w:r>
      <w:r>
        <w:rPr>
          <w:spacing w:val="10"/>
        </w:rPr>
        <w:t xml:space="preserve"> </w:t>
      </w:r>
      <w:r>
        <w:rPr>
          <w:w w:val="95"/>
        </w:rPr>
        <w:t>mix</w:t>
      </w:r>
      <w:r>
        <w:rPr>
          <w:spacing w:val="10"/>
        </w:rPr>
        <w:t xml:space="preserve"> </w:t>
      </w:r>
      <w:r>
        <w:rPr>
          <w:w w:val="95"/>
        </w:rPr>
        <w:t>on</w:t>
      </w:r>
      <w:r>
        <w:rPr>
          <w:spacing w:val="8"/>
        </w:rPr>
        <w:t xml:space="preserve"> </w:t>
      </w:r>
      <w:r>
        <w:rPr>
          <w:w w:val="95"/>
        </w:rPr>
        <w:t>the</w:t>
      </w:r>
      <w:r>
        <w:rPr>
          <w:spacing w:val="10"/>
        </w:rPr>
        <w:t xml:space="preserve"> </w:t>
      </w:r>
      <w:r>
        <w:rPr>
          <w:w w:val="95"/>
        </w:rPr>
        <w:t>sales</w:t>
      </w:r>
      <w:r>
        <w:rPr>
          <w:spacing w:val="8"/>
        </w:rPr>
        <w:t xml:space="preserve"> </w:t>
      </w:r>
      <w:r>
        <w:rPr>
          <w:w w:val="95"/>
        </w:rPr>
        <w:t>prices</w:t>
      </w:r>
      <w:r>
        <w:rPr>
          <w:spacing w:val="9"/>
        </w:rPr>
        <w:t xml:space="preserve"> </w:t>
      </w:r>
      <w:r>
        <w:rPr>
          <w:w w:val="95"/>
        </w:rPr>
        <w:t>of</w:t>
      </w:r>
      <w:r>
        <w:rPr>
          <w:spacing w:val="8"/>
        </w:rPr>
        <w:t xml:space="preserve"> </w:t>
      </w:r>
      <w:r>
        <w:rPr>
          <w:spacing w:val="-2"/>
          <w:w w:val="95"/>
        </w:rPr>
        <w:t>Casella</w:t>
      </w:r>
    </w:p>
    <w:p w14:paraId="51DE896D" w14:textId="77777777" w:rsidR="0010369C" w:rsidRDefault="0010369C">
      <w:pPr>
        <w:pStyle w:val="BodyText"/>
        <w:spacing w:before="2"/>
        <w:rPr>
          <w:sz w:val="12"/>
        </w:rPr>
      </w:pPr>
    </w:p>
    <w:tbl>
      <w:tblPr>
        <w:tblW w:w="0" w:type="auto"/>
        <w:tblInd w:w="225" w:type="dxa"/>
        <w:tblLayout w:type="fixed"/>
        <w:tblCellMar>
          <w:left w:w="0" w:type="dxa"/>
          <w:right w:w="0" w:type="dxa"/>
        </w:tblCellMar>
        <w:tblLook w:val="01E0" w:firstRow="1" w:lastRow="1" w:firstColumn="1" w:lastColumn="1" w:noHBand="0" w:noVBand="0"/>
      </w:tblPr>
      <w:tblGrid>
        <w:gridCol w:w="2505"/>
        <w:gridCol w:w="3954"/>
        <w:gridCol w:w="2010"/>
        <w:gridCol w:w="662"/>
      </w:tblGrid>
      <w:tr w:rsidR="0010369C" w14:paraId="51DE8970" w14:textId="77777777">
        <w:trPr>
          <w:trHeight w:val="320"/>
        </w:trPr>
        <w:tc>
          <w:tcPr>
            <w:tcW w:w="2505" w:type="dxa"/>
            <w:tcBorders>
              <w:bottom w:val="single" w:sz="48" w:space="0" w:color="FFFFFF"/>
            </w:tcBorders>
          </w:tcPr>
          <w:p w14:paraId="51DE896E" w14:textId="77777777" w:rsidR="0010369C" w:rsidRDefault="008E43AE">
            <w:pPr>
              <w:pStyle w:val="TableParagraph"/>
              <w:spacing w:line="291" w:lineRule="exact"/>
              <w:ind w:left="20" w:right="-29"/>
              <w:rPr>
                <w:sz w:val="24"/>
              </w:rPr>
            </w:pPr>
            <w:r>
              <w:rPr>
                <w:sz w:val="24"/>
              </w:rPr>
              <w:t>Wines'</w:t>
            </w:r>
            <w:r>
              <w:rPr>
                <w:spacing w:val="27"/>
                <w:sz w:val="24"/>
              </w:rPr>
              <w:t xml:space="preserve"> </w:t>
            </w:r>
            <w:r>
              <w:rPr>
                <w:sz w:val="24"/>
              </w:rPr>
              <w:t>export</w:t>
            </w:r>
            <w:r>
              <w:rPr>
                <w:spacing w:val="27"/>
                <w:sz w:val="24"/>
              </w:rPr>
              <w:t xml:space="preserve"> </w:t>
            </w:r>
            <w:r>
              <w:rPr>
                <w:sz w:val="24"/>
              </w:rPr>
              <w:t>sales.</w:t>
            </w:r>
            <w:r>
              <w:rPr>
                <w:sz w:val="24"/>
                <w:vertAlign w:val="superscript"/>
              </w:rPr>
              <w:t>429</w:t>
            </w:r>
            <w:r>
              <w:rPr>
                <w:spacing w:val="27"/>
                <w:sz w:val="24"/>
              </w:rPr>
              <w:t xml:space="preserve"> </w:t>
            </w:r>
            <w:r>
              <w:rPr>
                <w:spacing w:val="-5"/>
                <w:sz w:val="24"/>
              </w:rPr>
              <w:t>[[</w:t>
            </w:r>
          </w:p>
        </w:tc>
        <w:tc>
          <w:tcPr>
            <w:tcW w:w="6626" w:type="dxa"/>
            <w:gridSpan w:val="3"/>
            <w:tcBorders>
              <w:bottom w:val="single" w:sz="48" w:space="0" w:color="FFFFFF"/>
            </w:tcBorders>
            <w:shd w:val="clear" w:color="auto" w:fill="000000"/>
          </w:tcPr>
          <w:p w14:paraId="51DE896F" w14:textId="77777777" w:rsidR="0010369C" w:rsidRDefault="0010369C">
            <w:pPr>
              <w:pStyle w:val="TableParagraph"/>
              <w:rPr>
                <w:rFonts w:ascii="Times New Roman"/>
              </w:rPr>
            </w:pPr>
          </w:p>
        </w:tc>
      </w:tr>
      <w:tr w:rsidR="0010369C" w14:paraId="51DE8973" w14:textId="77777777">
        <w:trPr>
          <w:trHeight w:val="319"/>
        </w:trPr>
        <w:tc>
          <w:tcPr>
            <w:tcW w:w="8469" w:type="dxa"/>
            <w:gridSpan w:val="3"/>
            <w:tcBorders>
              <w:top w:val="single" w:sz="48" w:space="0" w:color="FFFFFF"/>
              <w:bottom w:val="single" w:sz="48" w:space="0" w:color="FFFFFF"/>
              <w:right w:val="single" w:sz="18" w:space="0" w:color="FFFFFF"/>
            </w:tcBorders>
            <w:shd w:val="clear" w:color="auto" w:fill="000000"/>
          </w:tcPr>
          <w:p w14:paraId="51DE8971" w14:textId="77777777" w:rsidR="0010369C" w:rsidRDefault="0010369C">
            <w:pPr>
              <w:pStyle w:val="TableParagraph"/>
              <w:rPr>
                <w:rFonts w:ascii="Times New Roman"/>
              </w:rPr>
            </w:pPr>
          </w:p>
        </w:tc>
        <w:tc>
          <w:tcPr>
            <w:tcW w:w="662" w:type="dxa"/>
            <w:tcBorders>
              <w:top w:val="single" w:sz="48" w:space="0" w:color="FFFFFF"/>
              <w:left w:val="single" w:sz="18" w:space="0" w:color="FFFFFF"/>
              <w:bottom w:val="single" w:sz="48" w:space="0" w:color="FFFFFF"/>
            </w:tcBorders>
            <w:shd w:val="clear" w:color="auto" w:fill="000000"/>
          </w:tcPr>
          <w:p w14:paraId="51DE8972" w14:textId="77777777" w:rsidR="0010369C" w:rsidRDefault="0010369C">
            <w:pPr>
              <w:pStyle w:val="TableParagraph"/>
              <w:rPr>
                <w:rFonts w:ascii="Times New Roman"/>
              </w:rPr>
            </w:pPr>
          </w:p>
        </w:tc>
      </w:tr>
      <w:tr w:rsidR="0010369C" w14:paraId="51DE8975" w14:textId="77777777">
        <w:trPr>
          <w:trHeight w:val="319"/>
        </w:trPr>
        <w:tc>
          <w:tcPr>
            <w:tcW w:w="9131" w:type="dxa"/>
            <w:gridSpan w:val="4"/>
            <w:tcBorders>
              <w:top w:val="single" w:sz="48" w:space="0" w:color="FFFFFF"/>
              <w:bottom w:val="single" w:sz="48" w:space="0" w:color="FFFFFF"/>
            </w:tcBorders>
            <w:shd w:val="clear" w:color="auto" w:fill="000000"/>
          </w:tcPr>
          <w:p w14:paraId="51DE8974" w14:textId="77777777" w:rsidR="0010369C" w:rsidRDefault="0010369C">
            <w:pPr>
              <w:pStyle w:val="TableParagraph"/>
              <w:rPr>
                <w:rFonts w:ascii="Times New Roman"/>
              </w:rPr>
            </w:pPr>
          </w:p>
        </w:tc>
      </w:tr>
      <w:tr w:rsidR="0010369C" w14:paraId="51DE8977" w14:textId="77777777">
        <w:trPr>
          <w:trHeight w:val="319"/>
        </w:trPr>
        <w:tc>
          <w:tcPr>
            <w:tcW w:w="9131" w:type="dxa"/>
            <w:gridSpan w:val="4"/>
            <w:tcBorders>
              <w:top w:val="single" w:sz="48" w:space="0" w:color="FFFFFF"/>
              <w:bottom w:val="single" w:sz="48" w:space="0" w:color="FFFFFF"/>
            </w:tcBorders>
            <w:shd w:val="clear" w:color="auto" w:fill="000000"/>
          </w:tcPr>
          <w:p w14:paraId="51DE8976" w14:textId="77777777" w:rsidR="0010369C" w:rsidRDefault="0010369C">
            <w:pPr>
              <w:pStyle w:val="TableParagraph"/>
              <w:rPr>
                <w:rFonts w:ascii="Times New Roman"/>
              </w:rPr>
            </w:pPr>
          </w:p>
        </w:tc>
      </w:tr>
      <w:tr w:rsidR="0010369C" w14:paraId="51DE8979" w14:textId="77777777">
        <w:trPr>
          <w:trHeight w:val="319"/>
        </w:trPr>
        <w:tc>
          <w:tcPr>
            <w:tcW w:w="9131" w:type="dxa"/>
            <w:gridSpan w:val="4"/>
            <w:tcBorders>
              <w:top w:val="single" w:sz="48" w:space="0" w:color="FFFFFF"/>
              <w:bottom w:val="single" w:sz="48" w:space="0" w:color="FFFFFF"/>
            </w:tcBorders>
            <w:shd w:val="clear" w:color="auto" w:fill="000000"/>
          </w:tcPr>
          <w:p w14:paraId="51DE8978" w14:textId="77777777" w:rsidR="0010369C" w:rsidRDefault="0010369C">
            <w:pPr>
              <w:pStyle w:val="TableParagraph"/>
              <w:rPr>
                <w:rFonts w:ascii="Times New Roman"/>
              </w:rPr>
            </w:pPr>
          </w:p>
        </w:tc>
      </w:tr>
      <w:tr w:rsidR="0010369C" w14:paraId="51DE897C" w14:textId="77777777">
        <w:trPr>
          <w:trHeight w:val="320"/>
        </w:trPr>
        <w:tc>
          <w:tcPr>
            <w:tcW w:w="6459" w:type="dxa"/>
            <w:gridSpan w:val="2"/>
            <w:tcBorders>
              <w:top w:val="single" w:sz="48" w:space="0" w:color="FFFFFF"/>
            </w:tcBorders>
            <w:shd w:val="clear" w:color="auto" w:fill="000000"/>
          </w:tcPr>
          <w:p w14:paraId="51DE897A" w14:textId="77777777" w:rsidR="0010369C" w:rsidRDefault="0010369C">
            <w:pPr>
              <w:pStyle w:val="TableParagraph"/>
              <w:rPr>
                <w:rFonts w:ascii="Times New Roman"/>
              </w:rPr>
            </w:pPr>
          </w:p>
        </w:tc>
        <w:tc>
          <w:tcPr>
            <w:tcW w:w="2672" w:type="dxa"/>
            <w:gridSpan w:val="2"/>
            <w:tcBorders>
              <w:top w:val="single" w:sz="48" w:space="0" w:color="FFFFFF"/>
            </w:tcBorders>
          </w:tcPr>
          <w:p w14:paraId="51DE897B" w14:textId="77777777" w:rsidR="0010369C" w:rsidRDefault="008E43AE">
            <w:pPr>
              <w:pStyle w:val="TableParagraph"/>
              <w:spacing w:line="290" w:lineRule="exact"/>
              <w:ind w:left="19"/>
              <w:rPr>
                <w:sz w:val="24"/>
              </w:rPr>
            </w:pPr>
            <w:r>
              <w:rPr>
                <w:spacing w:val="-5"/>
                <w:sz w:val="24"/>
              </w:rPr>
              <w:t>]]</w:t>
            </w:r>
          </w:p>
        </w:tc>
      </w:tr>
    </w:tbl>
    <w:p w14:paraId="51DE897D" w14:textId="77777777" w:rsidR="0010369C" w:rsidRDefault="0010369C">
      <w:pPr>
        <w:pStyle w:val="BodyText"/>
        <w:spacing w:before="10"/>
        <w:rPr>
          <w:sz w:val="22"/>
        </w:rPr>
      </w:pPr>
    </w:p>
    <w:p w14:paraId="51DE897E" w14:textId="77777777" w:rsidR="0010369C" w:rsidRDefault="008E43AE">
      <w:pPr>
        <w:pStyle w:val="BodyText"/>
        <w:spacing w:after="3" w:line="360" w:lineRule="auto"/>
        <w:ind w:left="237" w:right="612" w:firstLine="852"/>
        <w:jc w:val="both"/>
      </w:pPr>
      <w:r>
        <w:rPr>
          <w:noProof/>
        </w:rPr>
        <w:drawing>
          <wp:anchor distT="0" distB="0" distL="0" distR="0" simplePos="0" relativeHeight="251048448" behindDoc="1" locked="0" layoutInCell="1" allowOverlap="1" wp14:anchorId="51DEA2D6" wp14:editId="51DEA2D7">
            <wp:simplePos x="0" y="0"/>
            <wp:positionH relativeFrom="page">
              <wp:posOffset>899160</wp:posOffset>
            </wp:positionH>
            <wp:positionV relativeFrom="paragraph">
              <wp:posOffset>43765</wp:posOffset>
            </wp:positionV>
            <wp:extent cx="265175" cy="106679"/>
            <wp:effectExtent l="0" t="0" r="0" b="0"/>
            <wp:wrapNone/>
            <wp:docPr id="815" name="image4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 name="image418.png"/>
                    <pic:cNvPicPr/>
                  </pic:nvPicPr>
                  <pic:blipFill>
                    <a:blip r:embed="rId554" cstate="print"/>
                    <a:stretch>
                      <a:fillRect/>
                    </a:stretch>
                  </pic:blipFill>
                  <pic:spPr>
                    <a:xfrm>
                      <a:off x="0" y="0"/>
                      <a:ext cx="265175" cy="106679"/>
                    </a:xfrm>
                    <a:prstGeom prst="rect">
                      <a:avLst/>
                    </a:prstGeom>
                  </pic:spPr>
                </pic:pic>
              </a:graphicData>
            </a:graphic>
          </wp:anchor>
        </w:drawing>
      </w:r>
      <w:r>
        <w:pict w14:anchorId="51DEA2D8">
          <v:rect id="docshape862" o:spid="_x0000_s1451" style="position:absolute;left:0;text-align:left;margin-left:220.4pt;margin-top:66pt;width:302.9pt;height:16.05pt;z-index:-251307520;mso-position-horizontal-relative:page;mso-position-vertical-relative:text" fillcolor="black" stroked="f">
            <w10:wrap anchorx="page"/>
          </v:rect>
        </w:pict>
      </w:r>
      <w:r>
        <w:t>Australia also submits MOFCOM was required to make adjustments to account for level of trade differences to ensure a proper comparison with normal value. MOFCOM relied upon the export sales prices reported by Casella Wines to "Chinese non‐relat</w:t>
      </w:r>
      <w:r>
        <w:t>ed clients" to determine</w:t>
      </w:r>
      <w:r>
        <w:rPr>
          <w:spacing w:val="40"/>
        </w:rPr>
        <w:t xml:space="preserve"> </w:t>
      </w:r>
      <w:r>
        <w:t>export</w:t>
      </w:r>
      <w:r>
        <w:rPr>
          <w:spacing w:val="40"/>
        </w:rPr>
        <w:t xml:space="preserve"> </w:t>
      </w:r>
      <w:r>
        <w:t>price.</w:t>
      </w:r>
      <w:r>
        <w:rPr>
          <w:vertAlign w:val="superscript"/>
        </w:rPr>
        <w:t>431</w:t>
      </w:r>
      <w:r>
        <w:rPr>
          <w:spacing w:val="40"/>
        </w:rPr>
        <w:t xml:space="preserve"> </w:t>
      </w:r>
      <w:r>
        <w:t>[[</w:t>
      </w:r>
    </w:p>
    <w:p w14:paraId="51DE897F" w14:textId="77777777" w:rsidR="0010369C" w:rsidRDefault="008E43AE">
      <w:pPr>
        <w:pStyle w:val="BodyText"/>
        <w:ind w:left="218"/>
        <w:rPr>
          <w:sz w:val="20"/>
        </w:rPr>
      </w:pPr>
      <w:r>
        <w:rPr>
          <w:sz w:val="20"/>
        </w:rPr>
      </w:r>
      <w:r>
        <w:rPr>
          <w:sz w:val="20"/>
        </w:rPr>
        <w:pict w14:anchorId="51DEA2DA">
          <v:group id="docshapegroup863" o:spid="_x0000_s1449" style="width:453.55pt;height:16.1pt;mso-position-horizontal-relative:char;mso-position-vertical-relative:line" coordsize="9071,322">
            <v:rect id="docshape864" o:spid="_x0000_s1450" style="position:absolute;width:9071;height:322" fillcolor="black" stroked="f"/>
            <w10:anchorlock/>
          </v:group>
        </w:pict>
      </w:r>
    </w:p>
    <w:p w14:paraId="51DE8980" w14:textId="77777777" w:rsidR="0010369C" w:rsidRDefault="008E43AE">
      <w:pPr>
        <w:pStyle w:val="BodyText"/>
        <w:spacing w:before="11"/>
        <w:rPr>
          <w:sz w:val="4"/>
        </w:rPr>
      </w:pPr>
      <w:r>
        <w:pict w14:anchorId="51DEA2DB">
          <v:shape id="docshape865" o:spid="_x0000_s1448" style="position:absolute;margin-left:69.9pt;margin-top:4.2pt;width:402.9pt;height:16.1pt;z-index:-250896896;mso-wrap-distance-left:0;mso-wrap-distance-right:0;mso-position-horizontal-relative:page" coordorigin="1398,84" coordsize="8058,322" path="m9456,86r-242,l9214,84r-7816,l1398,406r7816,l9214,300r242,l9456,86xe" fillcolor="black" stroked="f">
            <v:path arrowok="t"/>
            <w10:wrap type="topAndBottom" anchorx="page"/>
          </v:shape>
        </w:pict>
      </w:r>
      <w:r>
        <w:pict w14:anchorId="51DEA2DC">
          <v:rect id="docshape866" o:spid="_x0000_s1447" style="position:absolute;margin-left:476.3pt;margin-top:4.2pt;width:47.05pt;height:16.05pt;z-index:-250895872;mso-wrap-distance-left:0;mso-wrap-distance-right:0;mso-position-horizontal-relative:page" fillcolor="black" stroked="f">
            <w10:wrap type="topAndBottom" anchorx="page"/>
          </v:rect>
        </w:pict>
      </w:r>
    </w:p>
    <w:p w14:paraId="51DE8981" w14:textId="77777777" w:rsidR="0010369C" w:rsidRDefault="0010369C">
      <w:pPr>
        <w:pStyle w:val="BodyText"/>
        <w:rPr>
          <w:sz w:val="20"/>
        </w:rPr>
      </w:pPr>
    </w:p>
    <w:p w14:paraId="51DE8982" w14:textId="77777777" w:rsidR="0010369C" w:rsidRDefault="008E43AE">
      <w:pPr>
        <w:pStyle w:val="BodyText"/>
        <w:spacing w:before="9"/>
        <w:rPr>
          <w:sz w:val="14"/>
        </w:rPr>
      </w:pPr>
      <w:r>
        <w:pict w14:anchorId="51DEA2DD">
          <v:rect id="docshape867" o:spid="_x0000_s1446" style="position:absolute;margin-left:70.9pt;margin-top:10.2pt;width:2in;height:.8pt;z-index:-250894848;mso-wrap-distance-left:0;mso-wrap-distance-right:0;mso-position-horizontal-relative:page" fillcolor="black" stroked="f">
            <w10:wrap type="topAndBottom" anchorx="page"/>
          </v:rect>
        </w:pict>
      </w:r>
    </w:p>
    <w:p w14:paraId="51DE8983" w14:textId="77777777" w:rsidR="0010369C" w:rsidRDefault="008E43AE">
      <w:pPr>
        <w:spacing w:before="110"/>
        <w:ind w:left="238"/>
        <w:rPr>
          <w:sz w:val="18"/>
        </w:rPr>
      </w:pPr>
      <w:r>
        <w:rPr>
          <w:sz w:val="18"/>
          <w:vertAlign w:val="superscript"/>
        </w:rPr>
        <w:t>429</w:t>
      </w:r>
      <w:r>
        <w:rPr>
          <w:spacing w:val="-6"/>
          <w:sz w:val="18"/>
        </w:rPr>
        <w:t xml:space="preserve"> </w:t>
      </w:r>
      <w:r>
        <w:rPr>
          <w:sz w:val="18"/>
        </w:rPr>
        <w:t>See</w:t>
      </w:r>
      <w:r>
        <w:rPr>
          <w:spacing w:val="-5"/>
          <w:sz w:val="18"/>
        </w:rPr>
        <w:t xml:space="preserve"> </w:t>
      </w:r>
      <w:r>
        <w:rPr>
          <w:sz w:val="18"/>
        </w:rPr>
        <w:t>above,</w:t>
      </w:r>
      <w:r>
        <w:rPr>
          <w:spacing w:val="-6"/>
          <w:sz w:val="18"/>
        </w:rPr>
        <w:t xml:space="preserve"> </w:t>
      </w:r>
      <w:r>
        <w:rPr>
          <w:sz w:val="18"/>
        </w:rPr>
        <w:t>section</w:t>
      </w:r>
      <w:r>
        <w:rPr>
          <w:spacing w:val="-5"/>
          <w:sz w:val="18"/>
        </w:rPr>
        <w:t xml:space="preserve"> </w:t>
      </w:r>
      <w:r>
        <w:rPr>
          <w:spacing w:val="-2"/>
          <w:sz w:val="18"/>
        </w:rPr>
        <w:t>II.D.3.</w:t>
      </w:r>
    </w:p>
    <w:p w14:paraId="51DE8984" w14:textId="77777777" w:rsidR="0010369C" w:rsidRDefault="008E43AE">
      <w:pPr>
        <w:tabs>
          <w:tab w:val="left" w:pos="5844"/>
          <w:tab w:val="left" w:pos="7407"/>
        </w:tabs>
        <w:ind w:left="238"/>
        <w:rPr>
          <w:sz w:val="18"/>
        </w:rPr>
      </w:pPr>
      <w:r>
        <w:pict w14:anchorId="51DEA2DE">
          <v:rect id="docshape868" o:spid="_x0000_s1445" style="position:absolute;left:0;text-align:left;margin-left:86.65pt;margin-top:.35pt;width:261.45pt;height:12.05pt;z-index:-251306496;mso-position-horizontal-relative:page" fillcolor="black" stroked="f">
            <w10:wrap anchorx="page"/>
          </v:rect>
        </w:pict>
      </w:r>
      <w:r>
        <w:pict w14:anchorId="51DEA2DF">
          <v:rect id="docshape869" o:spid="_x0000_s1444" style="position:absolute;left:0;text-align:left;margin-left:401.8pt;margin-top:.35pt;width:26.6pt;height:12.05pt;z-index:-251305472;mso-position-horizontal-relative:page" fillcolor="black" stroked="f">
            <w10:wrap anchorx="page"/>
          </v:rect>
        </w:pict>
      </w:r>
      <w:r>
        <w:rPr>
          <w:sz w:val="18"/>
          <w:vertAlign w:val="superscript"/>
        </w:rPr>
        <w:t>430</w:t>
      </w:r>
      <w:r>
        <w:rPr>
          <w:spacing w:val="-2"/>
          <w:sz w:val="18"/>
        </w:rPr>
        <w:t xml:space="preserve"> </w:t>
      </w:r>
      <w:r>
        <w:rPr>
          <w:spacing w:val="-10"/>
          <w:sz w:val="18"/>
        </w:rPr>
        <w:t>[</w:t>
      </w:r>
      <w:r>
        <w:rPr>
          <w:sz w:val="18"/>
        </w:rPr>
        <w:tab/>
      </w:r>
      <w:r>
        <w:rPr>
          <w:color w:val="5E5E5E"/>
          <w:sz w:val="18"/>
        </w:rPr>
        <w:t>(AUS‐5</w:t>
      </w:r>
      <w:r>
        <w:rPr>
          <w:color w:val="5E5E5E"/>
          <w:spacing w:val="-11"/>
          <w:sz w:val="18"/>
        </w:rPr>
        <w:t xml:space="preserve"> </w:t>
      </w:r>
      <w:r>
        <w:rPr>
          <w:color w:val="5E5E5E"/>
          <w:spacing w:val="-2"/>
          <w:sz w:val="18"/>
        </w:rPr>
        <w:t>(BCI)),</w:t>
      </w:r>
      <w:r>
        <w:rPr>
          <w:color w:val="5E5E5E"/>
          <w:sz w:val="18"/>
        </w:rPr>
        <w:tab/>
      </w:r>
      <w:r>
        <w:rPr>
          <w:color w:val="5E5E5E"/>
          <w:spacing w:val="-5"/>
          <w:sz w:val="18"/>
        </w:rPr>
        <w:t>.</w:t>
      </w:r>
      <w:r>
        <w:rPr>
          <w:spacing w:val="-5"/>
          <w:sz w:val="18"/>
        </w:rPr>
        <w:t>]]</w:t>
      </w:r>
    </w:p>
    <w:p w14:paraId="51DE8985" w14:textId="77777777" w:rsidR="0010369C" w:rsidRDefault="008E43AE">
      <w:pPr>
        <w:ind w:left="238"/>
        <w:rPr>
          <w:sz w:val="18"/>
        </w:rPr>
      </w:pPr>
      <w:r>
        <w:rPr>
          <w:sz w:val="18"/>
          <w:vertAlign w:val="superscript"/>
        </w:rPr>
        <w:t>431</w:t>
      </w:r>
      <w:r>
        <w:rPr>
          <w:spacing w:val="-9"/>
          <w:sz w:val="18"/>
        </w:rPr>
        <w:t xml:space="preserve"> </w:t>
      </w:r>
      <w:r>
        <w:rPr>
          <w:sz w:val="18"/>
        </w:rPr>
        <w:t>Anti‐Dumping</w:t>
      </w:r>
      <w:r>
        <w:rPr>
          <w:spacing w:val="-9"/>
          <w:sz w:val="18"/>
        </w:rPr>
        <w:t xml:space="preserve"> </w:t>
      </w:r>
      <w:r>
        <w:rPr>
          <w:sz w:val="18"/>
        </w:rPr>
        <w:t>Final</w:t>
      </w:r>
      <w:r>
        <w:rPr>
          <w:spacing w:val="-9"/>
          <w:sz w:val="18"/>
        </w:rPr>
        <w:t xml:space="preserve"> </w:t>
      </w:r>
      <w:r>
        <w:rPr>
          <w:sz w:val="18"/>
        </w:rPr>
        <w:t>Determination</w:t>
      </w:r>
      <w:r>
        <w:rPr>
          <w:spacing w:val="-8"/>
          <w:sz w:val="18"/>
        </w:rPr>
        <w:t xml:space="preserve"> </w:t>
      </w:r>
      <w:r>
        <w:rPr>
          <w:sz w:val="18"/>
        </w:rPr>
        <w:t>(Exhibit</w:t>
      </w:r>
      <w:r>
        <w:rPr>
          <w:spacing w:val="-9"/>
          <w:sz w:val="18"/>
        </w:rPr>
        <w:t xml:space="preserve"> </w:t>
      </w:r>
      <w:r>
        <w:rPr>
          <w:sz w:val="18"/>
        </w:rPr>
        <w:t>AUS‐2),</w:t>
      </w:r>
      <w:r>
        <w:rPr>
          <w:spacing w:val="-9"/>
          <w:sz w:val="18"/>
        </w:rPr>
        <w:t xml:space="preserve"> </w:t>
      </w:r>
      <w:r>
        <w:rPr>
          <w:sz w:val="18"/>
        </w:rPr>
        <w:t>p.</w:t>
      </w:r>
      <w:r>
        <w:rPr>
          <w:spacing w:val="-9"/>
          <w:sz w:val="18"/>
        </w:rPr>
        <w:t xml:space="preserve"> </w:t>
      </w:r>
      <w:r>
        <w:rPr>
          <w:spacing w:val="-5"/>
          <w:sz w:val="18"/>
        </w:rPr>
        <w:t>86.</w:t>
      </w:r>
    </w:p>
    <w:p w14:paraId="51DE8986" w14:textId="77777777" w:rsidR="0010369C" w:rsidRDefault="008E43AE">
      <w:pPr>
        <w:tabs>
          <w:tab w:val="left" w:pos="6848"/>
        </w:tabs>
        <w:ind w:left="238"/>
        <w:rPr>
          <w:sz w:val="18"/>
        </w:rPr>
      </w:pPr>
      <w:r>
        <w:pict w14:anchorId="51DEA2E0">
          <v:rect id="docshape870" o:spid="_x0000_s1443" style="position:absolute;left:0;text-align:left;margin-left:86.65pt;margin-top:.35pt;width:311.7pt;height:12.05pt;z-index:-251304448;mso-position-horizontal-relative:page" fillcolor="black" stroked="f">
            <w10:wrap anchorx="page"/>
          </v:rect>
        </w:pict>
      </w:r>
      <w:r>
        <w:rPr>
          <w:sz w:val="18"/>
          <w:vertAlign w:val="superscript"/>
        </w:rPr>
        <w:t>432</w:t>
      </w:r>
      <w:r>
        <w:rPr>
          <w:spacing w:val="-2"/>
          <w:sz w:val="18"/>
        </w:rPr>
        <w:t xml:space="preserve"> </w:t>
      </w:r>
      <w:r>
        <w:rPr>
          <w:spacing w:val="-10"/>
          <w:sz w:val="18"/>
        </w:rPr>
        <w:t>[</w:t>
      </w:r>
      <w:r>
        <w:rPr>
          <w:sz w:val="18"/>
        </w:rPr>
        <w:tab/>
      </w:r>
      <w:r>
        <w:rPr>
          <w:color w:val="5E5E5E"/>
          <w:sz w:val="18"/>
        </w:rPr>
        <w:t>(Exhibit</w:t>
      </w:r>
      <w:r>
        <w:rPr>
          <w:color w:val="5E5E5E"/>
          <w:spacing w:val="-10"/>
          <w:sz w:val="18"/>
        </w:rPr>
        <w:t xml:space="preserve"> </w:t>
      </w:r>
      <w:r>
        <w:rPr>
          <w:color w:val="5E5E5E"/>
          <w:sz w:val="18"/>
        </w:rPr>
        <w:t>AUS‐37</w:t>
      </w:r>
      <w:r>
        <w:rPr>
          <w:color w:val="5E5E5E"/>
          <w:spacing w:val="-9"/>
          <w:sz w:val="18"/>
        </w:rPr>
        <w:t xml:space="preserve"> </w:t>
      </w:r>
      <w:r>
        <w:rPr>
          <w:color w:val="5E5E5E"/>
          <w:spacing w:val="-2"/>
          <w:sz w:val="18"/>
        </w:rPr>
        <w:t>(BCI)).]]</w:t>
      </w:r>
    </w:p>
    <w:p w14:paraId="51DE8987" w14:textId="77777777" w:rsidR="0010369C" w:rsidRDefault="0010369C">
      <w:pPr>
        <w:rPr>
          <w:sz w:val="18"/>
        </w:rPr>
        <w:sectPr w:rsidR="0010369C">
          <w:pgSz w:w="11910" w:h="16840"/>
          <w:pgMar w:top="880" w:right="800" w:bottom="980" w:left="1180" w:header="569" w:footer="788" w:gutter="0"/>
          <w:cols w:space="720"/>
        </w:sectPr>
      </w:pPr>
    </w:p>
    <w:p w14:paraId="51DE8988" w14:textId="77777777" w:rsidR="0010369C" w:rsidRDefault="0010369C">
      <w:pPr>
        <w:pStyle w:val="BodyText"/>
        <w:spacing w:before="2"/>
        <w:rPr>
          <w:sz w:val="15"/>
        </w:rPr>
      </w:pPr>
    </w:p>
    <w:p w14:paraId="51DE8989" w14:textId="77777777" w:rsidR="0010369C" w:rsidRDefault="008E43AE">
      <w:pPr>
        <w:tabs>
          <w:tab w:val="left" w:pos="8228"/>
        </w:tabs>
        <w:spacing w:before="60"/>
        <w:ind w:left="239"/>
        <w:rPr>
          <w:sz w:val="20"/>
        </w:rPr>
      </w:pPr>
      <w:r>
        <w:pict w14:anchorId="51DEA2E1">
          <v:rect id="docshape871" o:spid="_x0000_s1442" style="position:absolute;left:0;text-align:left;margin-left:69.9pt;margin-top:17.05pt;width:453.5pt;height:16.05pt;z-index:-250893824;mso-wrap-distance-left:0;mso-wrap-distance-right:0;mso-position-horizontal-relative:page" fillcolor="black" stroked="f">
            <w10:wrap type="topAndBottom" anchorx="page"/>
          </v:rect>
        </w:pict>
      </w:r>
      <w:r>
        <w:pict w14:anchorId="51DEA2E2">
          <v:rect id="docshape872" o:spid="_x0000_s1441" style="position:absolute;left:0;text-align:left;margin-left:69.9pt;margin-top:39pt;width:453.5pt;height:16.05pt;z-index:-250892800;mso-wrap-distance-left:0;mso-wrap-distance-right:0;mso-position-horizontal-relative:page" fillcolor="black" stroked="f">
            <w10:wrap type="topAndBottom" anchorx="page"/>
          </v:rect>
        </w:pict>
      </w:r>
      <w:r>
        <w:pict w14:anchorId="51DEA2E3">
          <v:rect id="docshape873" o:spid="_x0000_s1440" style="position:absolute;left:0;text-align:left;margin-left:69.9pt;margin-top:60.95pt;width:453.55pt;height:16.05pt;z-index:-250891776;mso-wrap-distance-left:0;mso-wrap-distance-right:0;mso-position-horizontal-relative:page" fillcolor="black" stroked="f">
            <w10:wrap type="topAndBottom" anchorx="page"/>
          </v:rect>
        </w:pict>
      </w:r>
      <w:r>
        <w:pict w14:anchorId="51DEA2E4">
          <v:rect id="docshape874" o:spid="_x0000_s1439" style="position:absolute;left:0;text-align:left;margin-left:69.9pt;margin-top:82.9pt;width:453.45pt;height:16.05pt;z-index:-250890752;mso-wrap-distance-left:0;mso-wrap-distance-right:0;mso-position-horizontal-relative:page" fillcolor="black" stroked="f">
            <w10:wrap type="topAndBottom" anchorx="page"/>
          </v:rect>
        </w:pict>
      </w:r>
      <w:r>
        <w:pict w14:anchorId="51DEA2E5">
          <v:rect id="docshape875" o:spid="_x0000_s1438" style="position:absolute;left:0;text-align:left;margin-left:69.9pt;margin-top:104.95pt;width:453.4pt;height:16.05pt;z-index:-250889728;mso-wrap-distance-left:0;mso-wrap-distance-right:0;mso-position-horizontal-relative:page" fillcolor="black" stroked="f">
            <w10:wrap type="topAndBottom" anchorx="page"/>
          </v:rect>
        </w:pict>
      </w:r>
      <w:r>
        <w:pict w14:anchorId="51DEA2E6">
          <v:rect id="docshape876" o:spid="_x0000_s1437" style="position:absolute;left:0;text-align:left;margin-left:69.9pt;margin-top:126.95pt;width:436.7pt;height:16.05pt;z-index:251848192;mso-position-horizontal-relative:page" fillcolor="black" stroked="f">
            <w10:wrap anchorx="page"/>
          </v:rect>
        </w:pict>
      </w:r>
      <w:r>
        <w:rPr>
          <w:i/>
          <w:sz w:val="20"/>
        </w:rPr>
        <w:t>on</w:t>
      </w:r>
      <w:r>
        <w:rPr>
          <w:i/>
          <w:spacing w:val="-1"/>
          <w:sz w:val="20"/>
        </w:rPr>
        <w:t xml:space="preserve"> </w:t>
      </w:r>
      <w:r>
        <w:rPr>
          <w:i/>
          <w:sz w:val="20"/>
        </w:rPr>
        <w:t>Wine</w:t>
      </w:r>
      <w:r>
        <w:rPr>
          <w:i/>
          <w:spacing w:val="-1"/>
          <w:sz w:val="20"/>
        </w:rPr>
        <w:t xml:space="preserve"> </w:t>
      </w:r>
      <w:r>
        <w:rPr>
          <w:i/>
          <w:sz w:val="20"/>
        </w:rPr>
        <w:t>from</w:t>
      </w:r>
      <w:r>
        <w:rPr>
          <w:i/>
          <w:spacing w:val="-3"/>
          <w:sz w:val="20"/>
        </w:rPr>
        <w:t xml:space="preserve"> </w:t>
      </w:r>
      <w:r>
        <w:rPr>
          <w:i/>
          <w:sz w:val="20"/>
        </w:rPr>
        <w:t>Australia</w:t>
      </w:r>
      <w:r>
        <w:rPr>
          <w:i/>
          <w:spacing w:val="-1"/>
          <w:sz w:val="20"/>
        </w:rPr>
        <w:t xml:space="preserve"> </w:t>
      </w:r>
      <w:r>
        <w:rPr>
          <w:spacing w:val="-2"/>
          <w:sz w:val="20"/>
        </w:rPr>
        <w:t>(DS602)</w:t>
      </w:r>
      <w:r>
        <w:rPr>
          <w:sz w:val="20"/>
        </w:rPr>
        <w:tab/>
        <w:t>29</w:t>
      </w:r>
      <w:r>
        <w:rPr>
          <w:spacing w:val="-1"/>
          <w:sz w:val="20"/>
        </w:rPr>
        <w:t xml:space="preserve"> </w:t>
      </w:r>
      <w:r>
        <w:rPr>
          <w:sz w:val="20"/>
        </w:rPr>
        <w:t>April</w:t>
      </w:r>
      <w:r>
        <w:rPr>
          <w:spacing w:val="-2"/>
          <w:sz w:val="20"/>
        </w:rPr>
        <w:t xml:space="preserve"> </w:t>
      </w:r>
      <w:r>
        <w:rPr>
          <w:spacing w:val="-4"/>
          <w:sz w:val="20"/>
        </w:rPr>
        <w:t>2022</w:t>
      </w:r>
    </w:p>
    <w:p w14:paraId="51DE898A" w14:textId="77777777" w:rsidR="0010369C" w:rsidRDefault="0010369C">
      <w:pPr>
        <w:pStyle w:val="BodyText"/>
        <w:spacing w:before="8"/>
        <w:rPr>
          <w:sz w:val="7"/>
        </w:rPr>
      </w:pPr>
    </w:p>
    <w:p w14:paraId="51DE898B" w14:textId="77777777" w:rsidR="0010369C" w:rsidRDefault="0010369C">
      <w:pPr>
        <w:pStyle w:val="BodyText"/>
        <w:spacing w:before="8"/>
        <w:rPr>
          <w:sz w:val="7"/>
        </w:rPr>
      </w:pPr>
    </w:p>
    <w:p w14:paraId="51DE898C" w14:textId="77777777" w:rsidR="0010369C" w:rsidRDefault="0010369C">
      <w:pPr>
        <w:pStyle w:val="BodyText"/>
        <w:spacing w:before="8"/>
        <w:rPr>
          <w:sz w:val="7"/>
        </w:rPr>
      </w:pPr>
    </w:p>
    <w:p w14:paraId="51DE898D" w14:textId="77777777" w:rsidR="0010369C" w:rsidRDefault="0010369C">
      <w:pPr>
        <w:pStyle w:val="BodyText"/>
        <w:spacing w:before="9"/>
        <w:rPr>
          <w:sz w:val="7"/>
        </w:rPr>
      </w:pPr>
    </w:p>
    <w:p w14:paraId="51DE898E" w14:textId="77777777" w:rsidR="0010369C" w:rsidRDefault="008E43AE">
      <w:pPr>
        <w:spacing w:before="116"/>
        <w:ind w:right="802"/>
        <w:jc w:val="right"/>
        <w:rPr>
          <w:sz w:val="24"/>
        </w:rPr>
      </w:pPr>
      <w:r>
        <w:rPr>
          <w:spacing w:val="-5"/>
          <w:sz w:val="24"/>
        </w:rPr>
        <w:t>]]</w:t>
      </w:r>
    </w:p>
    <w:p w14:paraId="51DE898F" w14:textId="77777777" w:rsidR="0010369C" w:rsidRDefault="0010369C">
      <w:pPr>
        <w:pStyle w:val="BodyText"/>
        <w:spacing w:before="9"/>
        <w:rPr>
          <w:sz w:val="20"/>
        </w:rPr>
      </w:pPr>
    </w:p>
    <w:p w14:paraId="51DE8990" w14:textId="77777777" w:rsidR="0010369C" w:rsidRDefault="008E43AE">
      <w:pPr>
        <w:pStyle w:val="BodyText"/>
        <w:spacing w:before="52" w:line="360" w:lineRule="auto"/>
        <w:ind w:left="236" w:right="613" w:firstLine="1"/>
        <w:jc w:val="both"/>
      </w:pPr>
      <w:r>
        <w:t>For</w:t>
      </w:r>
      <w:r>
        <w:rPr>
          <w:spacing w:val="-2"/>
        </w:rPr>
        <w:t xml:space="preserve"> </w:t>
      </w:r>
      <w:r>
        <w:t>completeness,</w:t>
      </w:r>
      <w:r>
        <w:rPr>
          <w:spacing w:val="-3"/>
        </w:rPr>
        <w:t xml:space="preserve"> </w:t>
      </w:r>
      <w:r>
        <w:t>an</w:t>
      </w:r>
      <w:r>
        <w:rPr>
          <w:spacing w:val="-3"/>
        </w:rPr>
        <w:t xml:space="preserve"> </w:t>
      </w:r>
      <w:r>
        <w:t>export</w:t>
      </w:r>
      <w:r>
        <w:rPr>
          <w:spacing w:val="-3"/>
        </w:rPr>
        <w:t xml:space="preserve"> </w:t>
      </w:r>
      <w:r>
        <w:t>price</w:t>
      </w:r>
      <w:r>
        <w:rPr>
          <w:spacing w:val="-2"/>
        </w:rPr>
        <w:t xml:space="preserve"> </w:t>
      </w:r>
      <w:r>
        <w:t>exclusively</w:t>
      </w:r>
      <w:r>
        <w:rPr>
          <w:spacing w:val="-3"/>
        </w:rPr>
        <w:t xml:space="preserve"> </w:t>
      </w:r>
      <w:r>
        <w:t>calculated</w:t>
      </w:r>
      <w:r>
        <w:rPr>
          <w:spacing w:val="-3"/>
        </w:rPr>
        <w:t xml:space="preserve"> </w:t>
      </w:r>
      <w:r>
        <w:t>on</w:t>
      </w:r>
      <w:r>
        <w:rPr>
          <w:spacing w:val="-3"/>
        </w:rPr>
        <w:t xml:space="preserve"> </w:t>
      </w:r>
      <w:r>
        <w:t>distributor</w:t>
      </w:r>
      <w:r>
        <w:rPr>
          <w:spacing w:val="-2"/>
        </w:rPr>
        <w:t xml:space="preserve"> </w:t>
      </w:r>
      <w:r>
        <w:t>level</w:t>
      </w:r>
      <w:r>
        <w:rPr>
          <w:spacing w:val="-2"/>
        </w:rPr>
        <w:t xml:space="preserve"> </w:t>
      </w:r>
      <w:r>
        <w:t>sales</w:t>
      </w:r>
      <w:r>
        <w:rPr>
          <w:spacing w:val="-3"/>
        </w:rPr>
        <w:t xml:space="preserve"> </w:t>
      </w:r>
      <w:r>
        <w:t>(the</w:t>
      </w:r>
      <w:r>
        <w:rPr>
          <w:spacing w:val="-2"/>
        </w:rPr>
        <w:t xml:space="preserve"> </w:t>
      </w:r>
      <w:r>
        <w:t>lowest level of trade) would</w:t>
      </w:r>
      <w:r>
        <w:rPr>
          <w:spacing w:val="-1"/>
        </w:rPr>
        <w:t xml:space="preserve"> </w:t>
      </w:r>
      <w:r>
        <w:t>not permit a proper comparison</w:t>
      </w:r>
      <w:r>
        <w:rPr>
          <w:spacing w:val="-1"/>
        </w:rPr>
        <w:t xml:space="preserve"> </w:t>
      </w:r>
      <w:r>
        <w:t>with a normal value calculated on high priced direct to consumer sales (the highest leve</w:t>
      </w:r>
      <w:r>
        <w:t xml:space="preserve">l of trade), especially where the domestic sales relied upon were made by a different company in materially different operating circumstances. MOFCOM was under a duty to account for differences affecting price which arise at different levels of trade. The </w:t>
      </w:r>
      <w:r>
        <w:t>public record and MOFCOM's own explanation of its methodology indicates it failed to do so.</w:t>
      </w:r>
    </w:p>
    <w:p w14:paraId="51DE8991" w14:textId="77777777" w:rsidR="0010369C" w:rsidRDefault="008E43AE">
      <w:pPr>
        <w:pStyle w:val="Heading4"/>
        <w:numPr>
          <w:ilvl w:val="0"/>
          <w:numId w:val="11"/>
        </w:numPr>
        <w:tabs>
          <w:tab w:val="left" w:pos="2647"/>
          <w:tab w:val="left" w:pos="2648"/>
        </w:tabs>
        <w:ind w:left="2647"/>
        <w:jc w:val="both"/>
      </w:pPr>
      <w:r>
        <w:rPr>
          <w:spacing w:val="-2"/>
        </w:rPr>
        <w:t>Conclusion</w:t>
      </w:r>
    </w:p>
    <w:p w14:paraId="51DE8992" w14:textId="77777777" w:rsidR="0010369C" w:rsidRDefault="0010369C">
      <w:pPr>
        <w:pStyle w:val="BodyText"/>
        <w:spacing w:before="10"/>
        <w:rPr>
          <w:b/>
          <w:sz w:val="20"/>
        </w:rPr>
      </w:pPr>
    </w:p>
    <w:p w14:paraId="51DE8993" w14:textId="77777777" w:rsidR="0010369C" w:rsidRDefault="008E43AE">
      <w:pPr>
        <w:pStyle w:val="BodyText"/>
        <w:spacing w:before="52" w:line="360" w:lineRule="auto"/>
        <w:ind w:left="237" w:right="613" w:firstLine="852"/>
        <w:jc w:val="both"/>
      </w:pPr>
      <w:r>
        <w:rPr>
          <w:noProof/>
        </w:rPr>
        <w:drawing>
          <wp:anchor distT="0" distB="0" distL="0" distR="0" simplePos="0" relativeHeight="251049472" behindDoc="1" locked="0" layoutInCell="1" allowOverlap="1" wp14:anchorId="51DEA2E7" wp14:editId="51DEA2E8">
            <wp:simplePos x="0" y="0"/>
            <wp:positionH relativeFrom="page">
              <wp:posOffset>899160</wp:posOffset>
            </wp:positionH>
            <wp:positionV relativeFrom="paragraph">
              <wp:posOffset>81357</wp:posOffset>
            </wp:positionV>
            <wp:extent cx="265175" cy="103631"/>
            <wp:effectExtent l="0" t="0" r="0" b="0"/>
            <wp:wrapNone/>
            <wp:docPr id="817" name="image4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 name="image419.png"/>
                    <pic:cNvPicPr/>
                  </pic:nvPicPr>
                  <pic:blipFill>
                    <a:blip r:embed="rId555" cstate="print"/>
                    <a:stretch>
                      <a:fillRect/>
                    </a:stretch>
                  </pic:blipFill>
                  <pic:spPr>
                    <a:xfrm>
                      <a:off x="0" y="0"/>
                      <a:ext cx="265175" cy="103631"/>
                    </a:xfrm>
                    <a:prstGeom prst="rect">
                      <a:avLst/>
                    </a:prstGeom>
                  </pic:spPr>
                </pic:pic>
              </a:graphicData>
            </a:graphic>
          </wp:anchor>
        </w:drawing>
      </w:r>
      <w:r>
        <w:t>For the reasons set out above, China acted inconsistently with Article 6.8 and paragraphs 1, 3, 5, 6, and 7 of Annex II of the Anti‐Dumping Agreement in its application of facts available, and Articles 2.1 and 2.2 of the Anti‐Dumping Agreement in its calcu</w:t>
      </w:r>
      <w:r>
        <w:t>lation of normal value.</w:t>
      </w:r>
    </w:p>
    <w:p w14:paraId="51DE8994" w14:textId="77777777" w:rsidR="0010369C" w:rsidRDefault="008E43AE">
      <w:pPr>
        <w:pStyle w:val="ListParagraph"/>
        <w:numPr>
          <w:ilvl w:val="1"/>
          <w:numId w:val="75"/>
        </w:numPr>
        <w:tabs>
          <w:tab w:val="left" w:pos="1939"/>
          <w:tab w:val="left" w:pos="1940"/>
        </w:tabs>
        <w:spacing w:before="160"/>
        <w:ind w:left="1939"/>
        <w:jc w:val="left"/>
        <w:rPr>
          <w:b/>
          <w:sz w:val="28"/>
        </w:rPr>
      </w:pPr>
      <w:r>
        <w:rPr>
          <w:b/>
          <w:sz w:val="28"/>
        </w:rPr>
        <w:t>A</w:t>
      </w:r>
      <w:r>
        <w:rPr>
          <w:b/>
        </w:rPr>
        <w:t>USTRALIA</w:t>
      </w:r>
      <w:r>
        <w:rPr>
          <w:b/>
          <w:spacing w:val="-9"/>
        </w:rPr>
        <w:t xml:space="preserve"> </w:t>
      </w:r>
      <w:r>
        <w:rPr>
          <w:b/>
          <w:sz w:val="28"/>
        </w:rPr>
        <w:t>S</w:t>
      </w:r>
      <w:r>
        <w:rPr>
          <w:b/>
        </w:rPr>
        <w:t>WAN</w:t>
      </w:r>
      <w:r>
        <w:rPr>
          <w:b/>
          <w:spacing w:val="-8"/>
        </w:rPr>
        <w:t xml:space="preserve"> </w:t>
      </w:r>
      <w:r>
        <w:rPr>
          <w:b/>
          <w:sz w:val="28"/>
        </w:rPr>
        <w:t>V</w:t>
      </w:r>
      <w:r>
        <w:rPr>
          <w:b/>
        </w:rPr>
        <w:t>INTAGE</w:t>
      </w:r>
      <w:r>
        <w:rPr>
          <w:b/>
          <w:spacing w:val="-10"/>
        </w:rPr>
        <w:t xml:space="preserve"> </w:t>
      </w:r>
      <w:r>
        <w:rPr>
          <w:b/>
          <w:sz w:val="28"/>
        </w:rPr>
        <w:t>P</w:t>
      </w:r>
      <w:r>
        <w:rPr>
          <w:b/>
        </w:rPr>
        <w:t>TY</w:t>
      </w:r>
      <w:r>
        <w:rPr>
          <w:b/>
          <w:spacing w:val="-9"/>
        </w:rPr>
        <w:t xml:space="preserve"> </w:t>
      </w:r>
      <w:r>
        <w:rPr>
          <w:b/>
          <w:spacing w:val="-5"/>
          <w:sz w:val="28"/>
        </w:rPr>
        <w:t>L</w:t>
      </w:r>
      <w:r>
        <w:rPr>
          <w:b/>
          <w:spacing w:val="-5"/>
        </w:rPr>
        <w:t>TD</w:t>
      </w:r>
    </w:p>
    <w:p w14:paraId="51DE8995" w14:textId="77777777" w:rsidR="0010369C" w:rsidRDefault="0010369C">
      <w:pPr>
        <w:pStyle w:val="BodyText"/>
        <w:spacing w:before="1"/>
        <w:rPr>
          <w:b/>
          <w:sz w:val="27"/>
        </w:rPr>
      </w:pPr>
    </w:p>
    <w:p w14:paraId="51DE8996" w14:textId="77777777" w:rsidR="0010369C" w:rsidRDefault="008E43AE">
      <w:pPr>
        <w:pStyle w:val="Heading4"/>
        <w:numPr>
          <w:ilvl w:val="2"/>
          <w:numId w:val="75"/>
        </w:numPr>
        <w:tabs>
          <w:tab w:val="left" w:pos="2649"/>
          <w:tab w:val="left" w:pos="2650"/>
        </w:tabs>
        <w:spacing w:before="1"/>
        <w:ind w:left="2649" w:hanging="852"/>
      </w:pPr>
      <w:r>
        <w:rPr>
          <w:spacing w:val="-2"/>
        </w:rPr>
        <w:t>Overview</w:t>
      </w:r>
    </w:p>
    <w:p w14:paraId="51DE8997" w14:textId="77777777" w:rsidR="0010369C" w:rsidRDefault="0010369C">
      <w:pPr>
        <w:pStyle w:val="BodyText"/>
        <w:spacing w:before="10"/>
        <w:rPr>
          <w:b/>
          <w:sz w:val="20"/>
        </w:rPr>
      </w:pPr>
    </w:p>
    <w:p w14:paraId="51DE8998" w14:textId="77777777" w:rsidR="0010369C" w:rsidRDefault="008E43AE">
      <w:pPr>
        <w:pStyle w:val="BodyText"/>
        <w:spacing w:before="51" w:line="360" w:lineRule="auto"/>
        <w:ind w:left="236" w:right="613" w:firstLine="852"/>
        <w:jc w:val="both"/>
      </w:pPr>
      <w:r>
        <w:rPr>
          <w:noProof/>
        </w:rPr>
        <w:drawing>
          <wp:anchor distT="0" distB="0" distL="0" distR="0" simplePos="0" relativeHeight="251050496" behindDoc="1" locked="0" layoutInCell="1" allowOverlap="1" wp14:anchorId="51DEA2E9" wp14:editId="51DEA2EA">
            <wp:simplePos x="0" y="0"/>
            <wp:positionH relativeFrom="page">
              <wp:posOffset>899160</wp:posOffset>
            </wp:positionH>
            <wp:positionV relativeFrom="paragraph">
              <wp:posOffset>82078</wp:posOffset>
            </wp:positionV>
            <wp:extent cx="265175" cy="100753"/>
            <wp:effectExtent l="0" t="0" r="0" b="0"/>
            <wp:wrapNone/>
            <wp:docPr id="819" name="image4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 name="image420.png"/>
                    <pic:cNvPicPr/>
                  </pic:nvPicPr>
                  <pic:blipFill>
                    <a:blip r:embed="rId556" cstate="print"/>
                    <a:stretch>
                      <a:fillRect/>
                    </a:stretch>
                  </pic:blipFill>
                  <pic:spPr>
                    <a:xfrm>
                      <a:off x="0" y="0"/>
                      <a:ext cx="265175" cy="100753"/>
                    </a:xfrm>
                    <a:prstGeom prst="rect">
                      <a:avLst/>
                    </a:prstGeom>
                  </pic:spPr>
                </pic:pic>
              </a:graphicData>
            </a:graphic>
          </wp:anchor>
        </w:drawing>
      </w:r>
      <w:r>
        <w:t>MOFCOM erred in its determination of normal value and the comparison of normal value to export price in relation to Swan Vintage. These errors led to an inflated dumping margin of 116.2%.</w:t>
      </w:r>
    </w:p>
    <w:p w14:paraId="51DE8999" w14:textId="77777777" w:rsidR="0010369C" w:rsidRDefault="0010369C">
      <w:pPr>
        <w:pStyle w:val="BodyText"/>
        <w:spacing w:before="11"/>
        <w:rPr>
          <w:sz w:val="8"/>
        </w:rPr>
      </w:pPr>
    </w:p>
    <w:p w14:paraId="51DE899A" w14:textId="77777777" w:rsidR="0010369C" w:rsidRDefault="008E43AE">
      <w:pPr>
        <w:pStyle w:val="BodyText"/>
        <w:spacing w:before="52" w:line="360" w:lineRule="auto"/>
        <w:ind w:left="237" w:right="613" w:firstLine="851"/>
        <w:jc w:val="both"/>
      </w:pPr>
      <w:r>
        <w:rPr>
          <w:noProof/>
        </w:rPr>
        <w:drawing>
          <wp:anchor distT="0" distB="0" distL="0" distR="0" simplePos="0" relativeHeight="251051520" behindDoc="1" locked="0" layoutInCell="1" allowOverlap="1" wp14:anchorId="51DEA2EB" wp14:editId="51DEA2EC">
            <wp:simplePos x="0" y="0"/>
            <wp:positionH relativeFrom="page">
              <wp:posOffset>899160</wp:posOffset>
            </wp:positionH>
            <wp:positionV relativeFrom="paragraph">
              <wp:posOffset>76785</wp:posOffset>
            </wp:positionV>
            <wp:extent cx="265175" cy="106679"/>
            <wp:effectExtent l="0" t="0" r="0" b="0"/>
            <wp:wrapNone/>
            <wp:docPr id="821" name="image4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 name="image421.png"/>
                    <pic:cNvPicPr/>
                  </pic:nvPicPr>
                  <pic:blipFill>
                    <a:blip r:embed="rId557" cstate="print"/>
                    <a:stretch>
                      <a:fillRect/>
                    </a:stretch>
                  </pic:blipFill>
                  <pic:spPr>
                    <a:xfrm>
                      <a:off x="0" y="0"/>
                      <a:ext cx="265175" cy="106679"/>
                    </a:xfrm>
                    <a:prstGeom prst="rect">
                      <a:avLst/>
                    </a:prstGeom>
                  </pic:spPr>
                </pic:pic>
              </a:graphicData>
            </a:graphic>
          </wp:anchor>
        </w:drawing>
      </w:r>
      <w:r>
        <w:t>With</w:t>
      </w:r>
      <w:r>
        <w:rPr>
          <w:spacing w:val="-9"/>
        </w:rPr>
        <w:t xml:space="preserve"> </w:t>
      </w:r>
      <w:r>
        <w:t>respect</w:t>
      </w:r>
      <w:r>
        <w:rPr>
          <w:spacing w:val="-9"/>
        </w:rPr>
        <w:t xml:space="preserve"> </w:t>
      </w:r>
      <w:r>
        <w:t>to</w:t>
      </w:r>
      <w:r>
        <w:rPr>
          <w:spacing w:val="-8"/>
        </w:rPr>
        <w:t xml:space="preserve"> </w:t>
      </w:r>
      <w:r>
        <w:t>normal</w:t>
      </w:r>
      <w:r>
        <w:rPr>
          <w:spacing w:val="-9"/>
        </w:rPr>
        <w:t xml:space="preserve"> </w:t>
      </w:r>
      <w:r>
        <w:t>value,</w:t>
      </w:r>
      <w:r>
        <w:rPr>
          <w:spacing w:val="-9"/>
        </w:rPr>
        <w:t xml:space="preserve"> </w:t>
      </w:r>
      <w:r>
        <w:t>MOFCOM</w:t>
      </w:r>
      <w:r>
        <w:rPr>
          <w:spacing w:val="-8"/>
        </w:rPr>
        <w:t xml:space="preserve"> </w:t>
      </w:r>
      <w:r>
        <w:t>improperly</w:t>
      </w:r>
      <w:r>
        <w:rPr>
          <w:spacing w:val="-8"/>
        </w:rPr>
        <w:t xml:space="preserve"> </w:t>
      </w:r>
      <w:r>
        <w:t>resorted</w:t>
      </w:r>
      <w:r>
        <w:rPr>
          <w:spacing w:val="-9"/>
        </w:rPr>
        <w:t xml:space="preserve"> </w:t>
      </w:r>
      <w:r>
        <w:t>to</w:t>
      </w:r>
      <w:r>
        <w:rPr>
          <w:spacing w:val="-8"/>
        </w:rPr>
        <w:t xml:space="preserve"> </w:t>
      </w:r>
      <w:r>
        <w:t>facts</w:t>
      </w:r>
      <w:r>
        <w:rPr>
          <w:spacing w:val="-9"/>
        </w:rPr>
        <w:t xml:space="preserve"> </w:t>
      </w:r>
      <w:r>
        <w:t>available</w:t>
      </w:r>
      <w:r>
        <w:rPr>
          <w:spacing w:val="-8"/>
        </w:rPr>
        <w:t xml:space="preserve"> </w:t>
      </w:r>
      <w:r>
        <w:t>under Article</w:t>
      </w:r>
      <w:r>
        <w:rPr>
          <w:spacing w:val="-11"/>
        </w:rPr>
        <w:t xml:space="preserve"> </w:t>
      </w:r>
      <w:r>
        <w:t>6.8</w:t>
      </w:r>
      <w:r>
        <w:rPr>
          <w:spacing w:val="-12"/>
        </w:rPr>
        <w:t xml:space="preserve"> </w:t>
      </w:r>
      <w:r>
        <w:t>because</w:t>
      </w:r>
      <w:r>
        <w:rPr>
          <w:spacing w:val="-11"/>
        </w:rPr>
        <w:t xml:space="preserve"> </w:t>
      </w:r>
      <w:r>
        <w:t>all</w:t>
      </w:r>
      <w:r>
        <w:rPr>
          <w:spacing w:val="-11"/>
        </w:rPr>
        <w:t xml:space="preserve"> </w:t>
      </w:r>
      <w:r>
        <w:t>necessary</w:t>
      </w:r>
      <w:r>
        <w:rPr>
          <w:spacing w:val="-9"/>
        </w:rPr>
        <w:t xml:space="preserve"> </w:t>
      </w:r>
      <w:r>
        <w:t>information</w:t>
      </w:r>
      <w:r>
        <w:rPr>
          <w:spacing w:val="-11"/>
        </w:rPr>
        <w:t xml:space="preserve"> </w:t>
      </w:r>
      <w:r>
        <w:t>was</w:t>
      </w:r>
      <w:r>
        <w:rPr>
          <w:spacing w:val="-11"/>
        </w:rPr>
        <w:t xml:space="preserve"> </w:t>
      </w:r>
      <w:r>
        <w:t>available</w:t>
      </w:r>
      <w:r>
        <w:rPr>
          <w:spacing w:val="-12"/>
        </w:rPr>
        <w:t xml:space="preserve"> </w:t>
      </w:r>
      <w:r>
        <w:t>to</w:t>
      </w:r>
      <w:r>
        <w:rPr>
          <w:spacing w:val="-11"/>
        </w:rPr>
        <w:t xml:space="preserve"> </w:t>
      </w:r>
      <w:r>
        <w:t>construct</w:t>
      </w:r>
      <w:r>
        <w:rPr>
          <w:spacing w:val="-13"/>
        </w:rPr>
        <w:t xml:space="preserve"> </w:t>
      </w:r>
      <w:r>
        <w:t>normal</w:t>
      </w:r>
      <w:r>
        <w:rPr>
          <w:spacing w:val="-11"/>
        </w:rPr>
        <w:t xml:space="preserve"> </w:t>
      </w:r>
      <w:r>
        <w:t>value.</w:t>
      </w:r>
      <w:r>
        <w:rPr>
          <w:spacing w:val="-12"/>
        </w:rPr>
        <w:t xml:space="preserve"> </w:t>
      </w:r>
      <w:r>
        <w:t>As</w:t>
      </w:r>
      <w:r>
        <w:rPr>
          <w:spacing w:val="-12"/>
        </w:rPr>
        <w:t xml:space="preserve"> </w:t>
      </w:r>
      <w:r>
        <w:t>such, MOFCOM</w:t>
      </w:r>
      <w:r>
        <w:rPr>
          <w:spacing w:val="-11"/>
        </w:rPr>
        <w:t xml:space="preserve"> </w:t>
      </w:r>
      <w:r>
        <w:t>was</w:t>
      </w:r>
      <w:r>
        <w:rPr>
          <w:spacing w:val="-12"/>
        </w:rPr>
        <w:t xml:space="preserve"> </w:t>
      </w:r>
      <w:r>
        <w:t>required</w:t>
      </w:r>
      <w:r>
        <w:rPr>
          <w:spacing w:val="-12"/>
        </w:rPr>
        <w:t xml:space="preserve"> </w:t>
      </w:r>
      <w:r>
        <w:t>to</w:t>
      </w:r>
      <w:r>
        <w:rPr>
          <w:spacing w:val="-11"/>
        </w:rPr>
        <w:t xml:space="preserve"> </w:t>
      </w:r>
      <w:r>
        <w:t>determine</w:t>
      </w:r>
      <w:r>
        <w:rPr>
          <w:spacing w:val="-11"/>
        </w:rPr>
        <w:t xml:space="preserve"> </w:t>
      </w:r>
      <w:r>
        <w:t>normal</w:t>
      </w:r>
      <w:r>
        <w:rPr>
          <w:spacing w:val="-11"/>
        </w:rPr>
        <w:t xml:space="preserve"> </w:t>
      </w:r>
      <w:r>
        <w:t>value</w:t>
      </w:r>
      <w:r>
        <w:rPr>
          <w:spacing w:val="-11"/>
        </w:rPr>
        <w:t xml:space="preserve"> </w:t>
      </w:r>
      <w:r>
        <w:t>in</w:t>
      </w:r>
      <w:r>
        <w:rPr>
          <w:spacing w:val="-11"/>
        </w:rPr>
        <w:t xml:space="preserve"> </w:t>
      </w:r>
      <w:r>
        <w:t>accordance</w:t>
      </w:r>
      <w:r>
        <w:rPr>
          <w:spacing w:val="-11"/>
        </w:rPr>
        <w:t xml:space="preserve"> </w:t>
      </w:r>
      <w:r>
        <w:t>with</w:t>
      </w:r>
      <w:r>
        <w:rPr>
          <w:spacing w:val="-11"/>
        </w:rPr>
        <w:t xml:space="preserve"> </w:t>
      </w:r>
      <w:r>
        <w:t>Articles</w:t>
      </w:r>
      <w:r>
        <w:rPr>
          <w:spacing w:val="-13"/>
        </w:rPr>
        <w:t xml:space="preserve"> </w:t>
      </w:r>
      <w:r>
        <w:t>2.1</w:t>
      </w:r>
      <w:r>
        <w:rPr>
          <w:spacing w:val="-12"/>
        </w:rPr>
        <w:t xml:space="preserve"> </w:t>
      </w:r>
      <w:r>
        <w:t>and</w:t>
      </w:r>
      <w:r>
        <w:rPr>
          <w:spacing w:val="-10"/>
        </w:rPr>
        <w:t xml:space="preserve"> </w:t>
      </w:r>
      <w:r>
        <w:t>2.2</w:t>
      </w:r>
      <w:r>
        <w:rPr>
          <w:spacing w:val="-11"/>
        </w:rPr>
        <w:t xml:space="preserve"> </w:t>
      </w:r>
      <w:r>
        <w:t>and failed to do so.</w:t>
      </w:r>
    </w:p>
    <w:p w14:paraId="51DE899B" w14:textId="77777777" w:rsidR="0010369C" w:rsidRDefault="0010369C">
      <w:pPr>
        <w:pStyle w:val="BodyText"/>
        <w:spacing w:before="10"/>
        <w:rPr>
          <w:sz w:val="8"/>
        </w:rPr>
      </w:pPr>
    </w:p>
    <w:p w14:paraId="51DE899C" w14:textId="77777777" w:rsidR="0010369C" w:rsidRDefault="008E43AE">
      <w:pPr>
        <w:pStyle w:val="BodyText"/>
        <w:spacing w:before="52" w:line="360" w:lineRule="auto"/>
        <w:ind w:left="238" w:firstLine="851"/>
      </w:pPr>
      <w:r>
        <w:rPr>
          <w:noProof/>
        </w:rPr>
        <w:drawing>
          <wp:anchor distT="0" distB="0" distL="0" distR="0" simplePos="0" relativeHeight="251052544" behindDoc="1" locked="0" layoutInCell="1" allowOverlap="1" wp14:anchorId="51DEA2ED" wp14:editId="51DEA2EE">
            <wp:simplePos x="0" y="0"/>
            <wp:positionH relativeFrom="page">
              <wp:posOffset>899160</wp:posOffset>
            </wp:positionH>
            <wp:positionV relativeFrom="paragraph">
              <wp:posOffset>81357</wp:posOffset>
            </wp:positionV>
            <wp:extent cx="265175" cy="103631"/>
            <wp:effectExtent l="0" t="0" r="0" b="0"/>
            <wp:wrapNone/>
            <wp:docPr id="823" name="image4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 name="image422.png"/>
                    <pic:cNvPicPr/>
                  </pic:nvPicPr>
                  <pic:blipFill>
                    <a:blip r:embed="rId558" cstate="print"/>
                    <a:stretch>
                      <a:fillRect/>
                    </a:stretch>
                  </pic:blipFill>
                  <pic:spPr>
                    <a:xfrm>
                      <a:off x="0" y="0"/>
                      <a:ext cx="265175" cy="103631"/>
                    </a:xfrm>
                    <a:prstGeom prst="rect">
                      <a:avLst/>
                    </a:prstGeom>
                  </pic:spPr>
                </pic:pic>
              </a:graphicData>
            </a:graphic>
          </wp:anchor>
        </w:drawing>
      </w:r>
      <w:r>
        <w:t>In</w:t>
      </w:r>
      <w:r>
        <w:rPr>
          <w:spacing w:val="-9"/>
        </w:rPr>
        <w:t xml:space="preserve"> </w:t>
      </w:r>
      <w:r>
        <w:t>the</w:t>
      </w:r>
      <w:r>
        <w:rPr>
          <w:spacing w:val="-8"/>
        </w:rPr>
        <w:t xml:space="preserve"> </w:t>
      </w:r>
      <w:r>
        <w:t>alternative,</w:t>
      </w:r>
      <w:r>
        <w:rPr>
          <w:spacing w:val="-9"/>
        </w:rPr>
        <w:t xml:space="preserve"> </w:t>
      </w:r>
      <w:r>
        <w:t>if</w:t>
      </w:r>
      <w:r>
        <w:rPr>
          <w:spacing w:val="-9"/>
        </w:rPr>
        <w:t xml:space="preserve"> </w:t>
      </w:r>
      <w:r>
        <w:t>MOFCOM</w:t>
      </w:r>
      <w:r>
        <w:rPr>
          <w:spacing w:val="-8"/>
        </w:rPr>
        <w:t xml:space="preserve"> </w:t>
      </w:r>
      <w:r>
        <w:t>did</w:t>
      </w:r>
      <w:r>
        <w:rPr>
          <w:spacing w:val="-9"/>
        </w:rPr>
        <w:t xml:space="preserve"> </w:t>
      </w:r>
      <w:r>
        <w:t>properly</w:t>
      </w:r>
      <w:r>
        <w:rPr>
          <w:spacing w:val="-7"/>
        </w:rPr>
        <w:t xml:space="preserve"> </w:t>
      </w:r>
      <w:r>
        <w:t>resort</w:t>
      </w:r>
      <w:r>
        <w:rPr>
          <w:spacing w:val="-9"/>
        </w:rPr>
        <w:t xml:space="preserve"> </w:t>
      </w:r>
      <w:r>
        <w:t>to</w:t>
      </w:r>
      <w:r>
        <w:rPr>
          <w:spacing w:val="-8"/>
        </w:rPr>
        <w:t xml:space="preserve"> </w:t>
      </w:r>
      <w:r>
        <w:t>facts</w:t>
      </w:r>
      <w:r>
        <w:rPr>
          <w:spacing w:val="-9"/>
        </w:rPr>
        <w:t xml:space="preserve"> </w:t>
      </w:r>
      <w:r>
        <w:t>available,</w:t>
      </w:r>
      <w:r>
        <w:rPr>
          <w:spacing w:val="-9"/>
        </w:rPr>
        <w:t xml:space="preserve"> </w:t>
      </w:r>
      <w:r>
        <w:t>it</w:t>
      </w:r>
      <w:r>
        <w:rPr>
          <w:spacing w:val="-9"/>
        </w:rPr>
        <w:t xml:space="preserve"> </w:t>
      </w:r>
      <w:r>
        <w:t>did</w:t>
      </w:r>
      <w:r>
        <w:rPr>
          <w:spacing w:val="-9"/>
        </w:rPr>
        <w:t xml:space="preserve"> </w:t>
      </w:r>
      <w:r>
        <w:t>not</w:t>
      </w:r>
      <w:r>
        <w:rPr>
          <w:spacing w:val="-8"/>
        </w:rPr>
        <w:t xml:space="preserve"> </w:t>
      </w:r>
      <w:r>
        <w:t>replace missing</w:t>
      </w:r>
      <w:r>
        <w:rPr>
          <w:spacing w:val="69"/>
        </w:rPr>
        <w:t xml:space="preserve"> </w:t>
      </w:r>
      <w:r>
        <w:t>necessary</w:t>
      </w:r>
      <w:r>
        <w:rPr>
          <w:spacing w:val="72"/>
        </w:rPr>
        <w:t xml:space="preserve"> </w:t>
      </w:r>
      <w:r>
        <w:t>information</w:t>
      </w:r>
      <w:r>
        <w:rPr>
          <w:spacing w:val="72"/>
        </w:rPr>
        <w:t xml:space="preserve"> </w:t>
      </w:r>
      <w:r>
        <w:t>with</w:t>
      </w:r>
      <w:r>
        <w:rPr>
          <w:spacing w:val="70"/>
        </w:rPr>
        <w:t xml:space="preserve"> </w:t>
      </w:r>
      <w:r>
        <w:t>the</w:t>
      </w:r>
      <w:r>
        <w:rPr>
          <w:spacing w:val="71"/>
        </w:rPr>
        <w:t xml:space="preserve"> </w:t>
      </w:r>
      <w:r>
        <w:t>best</w:t>
      </w:r>
      <w:r>
        <w:rPr>
          <w:spacing w:val="70"/>
        </w:rPr>
        <w:t xml:space="preserve"> </w:t>
      </w:r>
      <w:r>
        <w:t>available</w:t>
      </w:r>
      <w:r>
        <w:rPr>
          <w:spacing w:val="71"/>
        </w:rPr>
        <w:t xml:space="preserve"> </w:t>
      </w:r>
      <w:r>
        <w:t>information</w:t>
      </w:r>
      <w:r>
        <w:rPr>
          <w:spacing w:val="70"/>
        </w:rPr>
        <w:t xml:space="preserve"> </w:t>
      </w:r>
      <w:r>
        <w:t>and</w:t>
      </w:r>
      <w:r>
        <w:rPr>
          <w:spacing w:val="70"/>
        </w:rPr>
        <w:t xml:space="preserve"> </w:t>
      </w:r>
      <w:r>
        <w:t>thereby</w:t>
      </w:r>
      <w:r>
        <w:rPr>
          <w:spacing w:val="71"/>
        </w:rPr>
        <w:t xml:space="preserve"> </w:t>
      </w:r>
      <w:r>
        <w:rPr>
          <w:spacing w:val="-2"/>
        </w:rPr>
        <w:t>acted</w:t>
      </w:r>
    </w:p>
    <w:p w14:paraId="51DE899D" w14:textId="77777777" w:rsidR="0010369C" w:rsidRDefault="0010369C">
      <w:pPr>
        <w:spacing w:line="360" w:lineRule="auto"/>
        <w:sectPr w:rsidR="0010369C">
          <w:pgSz w:w="11910" w:h="16840"/>
          <w:pgMar w:top="880" w:right="800" w:bottom="980" w:left="1180" w:header="569" w:footer="788" w:gutter="0"/>
          <w:cols w:space="720"/>
        </w:sectPr>
      </w:pPr>
    </w:p>
    <w:p w14:paraId="51DE899E" w14:textId="77777777" w:rsidR="0010369C" w:rsidRDefault="008E43AE">
      <w:pPr>
        <w:tabs>
          <w:tab w:val="left" w:pos="6425"/>
        </w:tabs>
        <w:ind w:left="238"/>
        <w:jc w:val="both"/>
        <w:rPr>
          <w:sz w:val="20"/>
        </w:rPr>
      </w:pPr>
      <w:r>
        <w:rPr>
          <w:i/>
          <w:sz w:val="20"/>
        </w:rPr>
        <w:lastRenderedPageBreak/>
        <w:t>China</w:t>
      </w:r>
      <w:r>
        <w:rPr>
          <w:i/>
          <w:spacing w:val="-5"/>
          <w:sz w:val="20"/>
        </w:rPr>
        <w:t xml:space="preserve"> </w:t>
      </w:r>
      <w:r>
        <w:rPr>
          <w:i/>
          <w:sz w:val="20"/>
        </w:rPr>
        <w:t>–</w:t>
      </w:r>
      <w:r>
        <w:rPr>
          <w:i/>
          <w:spacing w:val="-5"/>
          <w:sz w:val="20"/>
        </w:rPr>
        <w:t xml:space="preserve"> </w:t>
      </w:r>
      <w:r>
        <w:rPr>
          <w:i/>
          <w:sz w:val="20"/>
        </w:rPr>
        <w:t>Anti‐Dumping</w:t>
      </w:r>
      <w:r>
        <w:rPr>
          <w:i/>
          <w:spacing w:val="-4"/>
          <w:sz w:val="20"/>
        </w:rPr>
        <w:t xml:space="preserve"> </w:t>
      </w:r>
      <w:r>
        <w:rPr>
          <w:i/>
          <w:sz w:val="20"/>
        </w:rPr>
        <w:t>and</w:t>
      </w:r>
      <w:r>
        <w:rPr>
          <w:i/>
          <w:spacing w:val="-5"/>
          <w:sz w:val="20"/>
        </w:rPr>
        <w:t xml:space="preserve"> </w:t>
      </w:r>
      <w:r>
        <w:rPr>
          <w:i/>
          <w:sz w:val="20"/>
        </w:rPr>
        <w:t>Countervailing</w:t>
      </w:r>
      <w:r>
        <w:rPr>
          <w:i/>
          <w:spacing w:val="-5"/>
          <w:sz w:val="20"/>
        </w:rPr>
        <w:t xml:space="preserve"> </w:t>
      </w:r>
      <w:r>
        <w:rPr>
          <w:i/>
          <w:sz w:val="20"/>
        </w:rPr>
        <w:t>Duty</w:t>
      </w:r>
      <w:r>
        <w:rPr>
          <w:i/>
          <w:spacing w:val="-4"/>
          <w:sz w:val="20"/>
        </w:rPr>
        <w:t xml:space="preserve"> </w:t>
      </w:r>
      <w:r>
        <w:rPr>
          <w:i/>
          <w:spacing w:val="-2"/>
          <w:sz w:val="20"/>
        </w:rPr>
        <w:t>Measures</w:t>
      </w:r>
      <w:r>
        <w:rPr>
          <w:i/>
          <w:sz w:val="20"/>
        </w:rPr>
        <w:tab/>
      </w:r>
      <w:r>
        <w:rPr>
          <w:sz w:val="20"/>
        </w:rPr>
        <w:t>Australia's</w:t>
      </w:r>
      <w:r>
        <w:rPr>
          <w:spacing w:val="-7"/>
          <w:sz w:val="20"/>
        </w:rPr>
        <w:t xml:space="preserve"> </w:t>
      </w:r>
      <w:r>
        <w:rPr>
          <w:sz w:val="20"/>
        </w:rPr>
        <w:t>First</w:t>
      </w:r>
      <w:r>
        <w:rPr>
          <w:spacing w:val="-2"/>
          <w:sz w:val="20"/>
        </w:rPr>
        <w:t xml:space="preserve"> </w:t>
      </w:r>
      <w:r>
        <w:rPr>
          <w:sz w:val="20"/>
        </w:rPr>
        <w:t>Written</w:t>
      </w:r>
      <w:r>
        <w:rPr>
          <w:spacing w:val="-2"/>
          <w:sz w:val="20"/>
        </w:rPr>
        <w:t xml:space="preserve"> Submission</w:t>
      </w:r>
    </w:p>
    <w:p w14:paraId="51DE899F" w14:textId="77777777" w:rsidR="0010369C" w:rsidRDefault="008E43AE">
      <w:pPr>
        <w:tabs>
          <w:tab w:val="left" w:pos="8227"/>
        </w:tabs>
        <w:spacing w:before="1"/>
        <w:ind w:left="239"/>
        <w:jc w:val="both"/>
        <w:rPr>
          <w:sz w:val="20"/>
        </w:rPr>
      </w:pPr>
      <w:r>
        <w:rPr>
          <w:i/>
          <w:sz w:val="20"/>
        </w:rPr>
        <w:t>on</w:t>
      </w:r>
      <w:r>
        <w:rPr>
          <w:i/>
          <w:spacing w:val="-1"/>
          <w:sz w:val="20"/>
        </w:rPr>
        <w:t xml:space="preserve"> </w:t>
      </w:r>
      <w:r>
        <w:rPr>
          <w:i/>
          <w:sz w:val="20"/>
        </w:rPr>
        <w:t>Wine</w:t>
      </w:r>
      <w:r>
        <w:rPr>
          <w:i/>
          <w:spacing w:val="-1"/>
          <w:sz w:val="20"/>
        </w:rPr>
        <w:t xml:space="preserve"> </w:t>
      </w:r>
      <w:r>
        <w:rPr>
          <w:i/>
          <w:sz w:val="20"/>
        </w:rPr>
        <w:t>from</w:t>
      </w:r>
      <w:r>
        <w:rPr>
          <w:i/>
          <w:spacing w:val="-3"/>
          <w:sz w:val="20"/>
        </w:rPr>
        <w:t xml:space="preserve"> </w:t>
      </w:r>
      <w:r>
        <w:rPr>
          <w:i/>
          <w:sz w:val="20"/>
        </w:rPr>
        <w:t>Australia</w:t>
      </w:r>
      <w:r>
        <w:rPr>
          <w:i/>
          <w:spacing w:val="-1"/>
          <w:sz w:val="20"/>
        </w:rPr>
        <w:t xml:space="preserve"> </w:t>
      </w:r>
      <w:r>
        <w:rPr>
          <w:spacing w:val="-2"/>
          <w:sz w:val="20"/>
        </w:rPr>
        <w:t>(DS602)</w:t>
      </w:r>
      <w:r>
        <w:rPr>
          <w:sz w:val="20"/>
        </w:rPr>
        <w:tab/>
        <w:t>29</w:t>
      </w:r>
      <w:r>
        <w:rPr>
          <w:spacing w:val="-1"/>
          <w:sz w:val="20"/>
        </w:rPr>
        <w:t xml:space="preserve"> </w:t>
      </w:r>
      <w:r>
        <w:rPr>
          <w:sz w:val="20"/>
        </w:rPr>
        <w:t>April</w:t>
      </w:r>
      <w:r>
        <w:rPr>
          <w:spacing w:val="-2"/>
          <w:sz w:val="20"/>
        </w:rPr>
        <w:t xml:space="preserve"> </w:t>
      </w:r>
      <w:r>
        <w:rPr>
          <w:spacing w:val="-4"/>
          <w:sz w:val="20"/>
        </w:rPr>
        <w:t>2022</w:t>
      </w:r>
    </w:p>
    <w:p w14:paraId="51DE89A0" w14:textId="77777777" w:rsidR="0010369C" w:rsidRDefault="008E43AE">
      <w:pPr>
        <w:pStyle w:val="BodyText"/>
        <w:spacing w:before="34" w:line="360" w:lineRule="auto"/>
        <w:ind w:left="236" w:right="612" w:firstLine="2"/>
        <w:jc w:val="both"/>
      </w:pPr>
      <w:r>
        <w:t>inconsistently</w:t>
      </w:r>
      <w:r>
        <w:rPr>
          <w:spacing w:val="-6"/>
        </w:rPr>
        <w:t xml:space="preserve"> </w:t>
      </w:r>
      <w:r>
        <w:t>with</w:t>
      </w:r>
      <w:r>
        <w:rPr>
          <w:spacing w:val="-8"/>
        </w:rPr>
        <w:t xml:space="preserve"> </w:t>
      </w:r>
      <w:r>
        <w:t>Article</w:t>
      </w:r>
      <w:r>
        <w:rPr>
          <w:spacing w:val="-8"/>
        </w:rPr>
        <w:t xml:space="preserve"> </w:t>
      </w:r>
      <w:r>
        <w:t>6.8</w:t>
      </w:r>
      <w:r>
        <w:rPr>
          <w:spacing w:val="-8"/>
        </w:rPr>
        <w:t xml:space="preserve"> </w:t>
      </w:r>
      <w:r>
        <w:t>and</w:t>
      </w:r>
      <w:r>
        <w:rPr>
          <w:spacing w:val="-8"/>
        </w:rPr>
        <w:t xml:space="preserve"> </w:t>
      </w:r>
      <w:r>
        <w:t>paragraphs</w:t>
      </w:r>
      <w:r>
        <w:rPr>
          <w:spacing w:val="-8"/>
        </w:rPr>
        <w:t xml:space="preserve"> </w:t>
      </w:r>
      <w:r>
        <w:t>3</w:t>
      </w:r>
      <w:r>
        <w:rPr>
          <w:spacing w:val="-8"/>
        </w:rPr>
        <w:t xml:space="preserve"> </w:t>
      </w:r>
      <w:r>
        <w:t>and</w:t>
      </w:r>
      <w:r>
        <w:rPr>
          <w:spacing w:val="-8"/>
        </w:rPr>
        <w:t xml:space="preserve"> </w:t>
      </w:r>
      <w:r>
        <w:t>5</w:t>
      </w:r>
      <w:r>
        <w:rPr>
          <w:spacing w:val="-8"/>
        </w:rPr>
        <w:t xml:space="preserve"> </w:t>
      </w:r>
      <w:r>
        <w:t>of</w:t>
      </w:r>
      <w:r>
        <w:rPr>
          <w:spacing w:val="-8"/>
        </w:rPr>
        <w:t xml:space="preserve"> </w:t>
      </w:r>
      <w:r>
        <w:t>Annex</w:t>
      </w:r>
      <w:r>
        <w:rPr>
          <w:spacing w:val="-8"/>
        </w:rPr>
        <w:t xml:space="preserve"> </w:t>
      </w:r>
      <w:r>
        <w:t>II.</w:t>
      </w:r>
      <w:r>
        <w:rPr>
          <w:spacing w:val="-7"/>
        </w:rPr>
        <w:t xml:space="preserve"> </w:t>
      </w:r>
      <w:r>
        <w:t>These</w:t>
      </w:r>
      <w:r>
        <w:rPr>
          <w:spacing w:val="-8"/>
        </w:rPr>
        <w:t xml:space="preserve"> </w:t>
      </w:r>
      <w:r>
        <w:t>errors</w:t>
      </w:r>
      <w:r>
        <w:rPr>
          <w:spacing w:val="-8"/>
        </w:rPr>
        <w:t xml:space="preserve"> </w:t>
      </w:r>
      <w:r>
        <w:t>reflect,</w:t>
      </w:r>
      <w:r>
        <w:rPr>
          <w:spacing w:val="-8"/>
        </w:rPr>
        <w:t xml:space="preserve"> </w:t>
      </w:r>
      <w:r>
        <w:t>in</w:t>
      </w:r>
      <w:r>
        <w:rPr>
          <w:spacing w:val="-8"/>
        </w:rPr>
        <w:t xml:space="preserve"> </w:t>
      </w:r>
      <w:r>
        <w:t>part, MOFCOM's</w:t>
      </w:r>
      <w:r>
        <w:rPr>
          <w:spacing w:val="-14"/>
        </w:rPr>
        <w:t xml:space="preserve"> </w:t>
      </w:r>
      <w:r>
        <w:t>failure</w:t>
      </w:r>
      <w:r>
        <w:rPr>
          <w:spacing w:val="-14"/>
        </w:rPr>
        <w:t xml:space="preserve"> </w:t>
      </w:r>
      <w:r>
        <w:t>to</w:t>
      </w:r>
      <w:r>
        <w:rPr>
          <w:spacing w:val="-13"/>
        </w:rPr>
        <w:t xml:space="preserve"> </w:t>
      </w:r>
      <w:r>
        <w:t>inform</w:t>
      </w:r>
      <w:r>
        <w:rPr>
          <w:spacing w:val="-13"/>
        </w:rPr>
        <w:t xml:space="preserve"> </w:t>
      </w:r>
      <w:r>
        <w:t>Swan</w:t>
      </w:r>
      <w:r>
        <w:rPr>
          <w:spacing w:val="-14"/>
        </w:rPr>
        <w:t xml:space="preserve"> </w:t>
      </w:r>
      <w:r>
        <w:t>Vintage</w:t>
      </w:r>
      <w:r>
        <w:rPr>
          <w:spacing w:val="-13"/>
        </w:rPr>
        <w:t xml:space="preserve"> </w:t>
      </w:r>
      <w:r>
        <w:t>forthwith</w:t>
      </w:r>
      <w:r>
        <w:rPr>
          <w:spacing w:val="-14"/>
        </w:rPr>
        <w:t xml:space="preserve"> </w:t>
      </w:r>
      <w:r>
        <w:t>of</w:t>
      </w:r>
      <w:r>
        <w:rPr>
          <w:spacing w:val="-13"/>
        </w:rPr>
        <w:t xml:space="preserve"> </w:t>
      </w:r>
      <w:r>
        <w:t>the</w:t>
      </w:r>
      <w:r>
        <w:rPr>
          <w:spacing w:val="-13"/>
        </w:rPr>
        <w:t xml:space="preserve"> </w:t>
      </w:r>
      <w:r>
        <w:t>reasons</w:t>
      </w:r>
      <w:r>
        <w:rPr>
          <w:spacing w:val="-13"/>
        </w:rPr>
        <w:t xml:space="preserve"> </w:t>
      </w:r>
      <w:r>
        <w:t>for</w:t>
      </w:r>
      <w:r>
        <w:rPr>
          <w:spacing w:val="-13"/>
        </w:rPr>
        <w:t xml:space="preserve"> </w:t>
      </w:r>
      <w:r>
        <w:t>not</w:t>
      </w:r>
      <w:r>
        <w:rPr>
          <w:spacing w:val="-13"/>
        </w:rPr>
        <w:t xml:space="preserve"> </w:t>
      </w:r>
      <w:r>
        <w:t>accepting</w:t>
      </w:r>
      <w:r>
        <w:rPr>
          <w:spacing w:val="-14"/>
        </w:rPr>
        <w:t xml:space="preserve"> </w:t>
      </w:r>
      <w:r>
        <w:t>evidence or</w:t>
      </w:r>
      <w:r>
        <w:rPr>
          <w:spacing w:val="-8"/>
        </w:rPr>
        <w:t xml:space="preserve"> </w:t>
      </w:r>
      <w:r>
        <w:t>information</w:t>
      </w:r>
      <w:r>
        <w:rPr>
          <w:spacing w:val="-7"/>
        </w:rPr>
        <w:t xml:space="preserve"> </w:t>
      </w:r>
      <w:r>
        <w:t>and</w:t>
      </w:r>
      <w:r>
        <w:rPr>
          <w:spacing w:val="-9"/>
        </w:rPr>
        <w:t xml:space="preserve"> </w:t>
      </w:r>
      <w:r>
        <w:t>provide</w:t>
      </w:r>
      <w:r>
        <w:rPr>
          <w:spacing w:val="-7"/>
        </w:rPr>
        <w:t xml:space="preserve"> </w:t>
      </w:r>
      <w:r>
        <w:t>Swan</w:t>
      </w:r>
      <w:r>
        <w:rPr>
          <w:spacing w:val="-8"/>
        </w:rPr>
        <w:t xml:space="preserve"> </w:t>
      </w:r>
      <w:r>
        <w:t>Vintage</w:t>
      </w:r>
      <w:r>
        <w:rPr>
          <w:spacing w:val="-8"/>
        </w:rPr>
        <w:t xml:space="preserve"> </w:t>
      </w:r>
      <w:r>
        <w:t>with</w:t>
      </w:r>
      <w:r>
        <w:rPr>
          <w:spacing w:val="-9"/>
        </w:rPr>
        <w:t xml:space="preserve"> </w:t>
      </w:r>
      <w:r>
        <w:t>an</w:t>
      </w:r>
      <w:r>
        <w:rPr>
          <w:spacing w:val="-9"/>
        </w:rPr>
        <w:t xml:space="preserve"> </w:t>
      </w:r>
      <w:r>
        <w:t>opportunity</w:t>
      </w:r>
      <w:r>
        <w:rPr>
          <w:spacing w:val="-8"/>
        </w:rPr>
        <w:t xml:space="preserve"> </w:t>
      </w:r>
      <w:r>
        <w:t>to</w:t>
      </w:r>
      <w:r>
        <w:rPr>
          <w:spacing w:val="-8"/>
        </w:rPr>
        <w:t xml:space="preserve"> </w:t>
      </w:r>
      <w:r>
        <w:t>provide</w:t>
      </w:r>
      <w:r>
        <w:rPr>
          <w:spacing w:val="-7"/>
        </w:rPr>
        <w:t xml:space="preserve"> </w:t>
      </w:r>
      <w:r>
        <w:t>further</w:t>
      </w:r>
      <w:r>
        <w:rPr>
          <w:spacing w:val="-8"/>
        </w:rPr>
        <w:t xml:space="preserve"> </w:t>
      </w:r>
      <w:r>
        <w:t>explanations with a reasonable period. This failure denied Swan Vintage a full opportunity to defend its interests in relation to the determination of normal value.</w:t>
      </w:r>
    </w:p>
    <w:p w14:paraId="51DE89A1" w14:textId="77777777" w:rsidR="0010369C" w:rsidRDefault="008E43AE">
      <w:pPr>
        <w:pStyle w:val="Heading4"/>
        <w:numPr>
          <w:ilvl w:val="2"/>
          <w:numId w:val="75"/>
        </w:numPr>
        <w:tabs>
          <w:tab w:val="left" w:pos="2648"/>
          <w:tab w:val="left" w:pos="2649"/>
        </w:tabs>
        <w:jc w:val="both"/>
      </w:pPr>
      <w:r>
        <w:t>MOF</w:t>
      </w:r>
      <w:r>
        <w:t>COM</w:t>
      </w:r>
      <w:r>
        <w:rPr>
          <w:spacing w:val="-8"/>
        </w:rPr>
        <w:t xml:space="preserve"> </w:t>
      </w:r>
      <w:r>
        <w:t>failed</w:t>
      </w:r>
      <w:r>
        <w:rPr>
          <w:spacing w:val="-9"/>
        </w:rPr>
        <w:t xml:space="preserve"> </w:t>
      </w:r>
      <w:r>
        <w:t>to</w:t>
      </w:r>
      <w:r>
        <w:rPr>
          <w:spacing w:val="-8"/>
        </w:rPr>
        <w:t xml:space="preserve"> </w:t>
      </w:r>
      <w:r>
        <w:t>comply</w:t>
      </w:r>
      <w:r>
        <w:rPr>
          <w:spacing w:val="-7"/>
        </w:rPr>
        <w:t xml:space="preserve"> </w:t>
      </w:r>
      <w:r>
        <w:t>with</w:t>
      </w:r>
      <w:r>
        <w:rPr>
          <w:spacing w:val="-9"/>
        </w:rPr>
        <w:t xml:space="preserve"> </w:t>
      </w:r>
      <w:r>
        <w:t>its</w:t>
      </w:r>
      <w:r>
        <w:rPr>
          <w:spacing w:val="-9"/>
        </w:rPr>
        <w:t xml:space="preserve"> </w:t>
      </w:r>
      <w:r>
        <w:t>disclosure</w:t>
      </w:r>
      <w:r>
        <w:rPr>
          <w:spacing w:val="-8"/>
        </w:rPr>
        <w:t xml:space="preserve"> </w:t>
      </w:r>
      <w:r>
        <w:rPr>
          <w:spacing w:val="-2"/>
        </w:rPr>
        <w:t>obligations</w:t>
      </w:r>
    </w:p>
    <w:p w14:paraId="51DE89A2" w14:textId="77777777" w:rsidR="0010369C" w:rsidRDefault="0010369C">
      <w:pPr>
        <w:pStyle w:val="BodyText"/>
        <w:spacing w:before="10"/>
        <w:rPr>
          <w:b/>
          <w:sz w:val="20"/>
        </w:rPr>
      </w:pPr>
    </w:p>
    <w:p w14:paraId="51DE89A3" w14:textId="77777777" w:rsidR="0010369C" w:rsidRDefault="008E43AE">
      <w:pPr>
        <w:pStyle w:val="BodyText"/>
        <w:spacing w:before="52" w:line="360" w:lineRule="auto"/>
        <w:ind w:left="238" w:right="612" w:firstLine="851"/>
        <w:jc w:val="both"/>
      </w:pPr>
      <w:r>
        <w:rPr>
          <w:noProof/>
        </w:rPr>
        <w:drawing>
          <wp:anchor distT="0" distB="0" distL="0" distR="0" simplePos="0" relativeHeight="251053568" behindDoc="1" locked="0" layoutInCell="1" allowOverlap="1" wp14:anchorId="51DEA2EF" wp14:editId="51DEA2F0">
            <wp:simplePos x="0" y="0"/>
            <wp:positionH relativeFrom="page">
              <wp:posOffset>899160</wp:posOffset>
            </wp:positionH>
            <wp:positionV relativeFrom="paragraph">
              <wp:posOffset>77547</wp:posOffset>
            </wp:positionV>
            <wp:extent cx="265175" cy="106679"/>
            <wp:effectExtent l="0" t="0" r="0" b="0"/>
            <wp:wrapNone/>
            <wp:docPr id="825" name="image4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 name="image423.png"/>
                    <pic:cNvPicPr/>
                  </pic:nvPicPr>
                  <pic:blipFill>
                    <a:blip r:embed="rId559" cstate="print"/>
                    <a:stretch>
                      <a:fillRect/>
                    </a:stretch>
                  </pic:blipFill>
                  <pic:spPr>
                    <a:xfrm>
                      <a:off x="0" y="0"/>
                      <a:ext cx="265175" cy="106679"/>
                    </a:xfrm>
                    <a:prstGeom prst="rect">
                      <a:avLst/>
                    </a:prstGeom>
                  </pic:spPr>
                </pic:pic>
              </a:graphicData>
            </a:graphic>
          </wp:anchor>
        </w:drawing>
      </w:r>
      <w:r>
        <w:t>MOFCOM's failures to comply with the procedural and disclosure obligations in Articles</w:t>
      </w:r>
      <w:r>
        <w:rPr>
          <w:spacing w:val="-11"/>
        </w:rPr>
        <w:t xml:space="preserve"> </w:t>
      </w:r>
      <w:r>
        <w:t>6.4</w:t>
      </w:r>
      <w:r>
        <w:rPr>
          <w:spacing w:val="-10"/>
        </w:rPr>
        <w:t xml:space="preserve"> </w:t>
      </w:r>
      <w:r>
        <w:t>and</w:t>
      </w:r>
      <w:r>
        <w:rPr>
          <w:spacing w:val="-10"/>
        </w:rPr>
        <w:t xml:space="preserve"> </w:t>
      </w:r>
      <w:r>
        <w:t>6.9</w:t>
      </w:r>
      <w:r>
        <w:rPr>
          <w:spacing w:val="-10"/>
        </w:rPr>
        <w:t xml:space="preserve"> </w:t>
      </w:r>
      <w:r>
        <w:t>and</w:t>
      </w:r>
      <w:r>
        <w:rPr>
          <w:spacing w:val="-9"/>
        </w:rPr>
        <w:t xml:space="preserve"> </w:t>
      </w:r>
      <w:r>
        <w:t>paragraph</w:t>
      </w:r>
      <w:r>
        <w:rPr>
          <w:spacing w:val="-9"/>
        </w:rPr>
        <w:t xml:space="preserve"> </w:t>
      </w:r>
      <w:r>
        <w:t>6</w:t>
      </w:r>
      <w:r>
        <w:rPr>
          <w:spacing w:val="-10"/>
        </w:rPr>
        <w:t xml:space="preserve"> </w:t>
      </w:r>
      <w:r>
        <w:t>of</w:t>
      </w:r>
      <w:r>
        <w:rPr>
          <w:spacing w:val="-10"/>
        </w:rPr>
        <w:t xml:space="preserve"> </w:t>
      </w:r>
      <w:r>
        <w:t>Annex</w:t>
      </w:r>
      <w:r>
        <w:rPr>
          <w:spacing w:val="-10"/>
        </w:rPr>
        <w:t xml:space="preserve"> </w:t>
      </w:r>
      <w:r>
        <w:t>II</w:t>
      </w:r>
      <w:r>
        <w:rPr>
          <w:spacing w:val="-10"/>
        </w:rPr>
        <w:t xml:space="preserve"> </w:t>
      </w:r>
      <w:r>
        <w:t>of</w:t>
      </w:r>
      <w:r>
        <w:rPr>
          <w:spacing w:val="-10"/>
        </w:rPr>
        <w:t xml:space="preserve"> </w:t>
      </w:r>
      <w:r>
        <w:t>the</w:t>
      </w:r>
      <w:r>
        <w:rPr>
          <w:spacing w:val="-9"/>
        </w:rPr>
        <w:t xml:space="preserve"> </w:t>
      </w:r>
      <w:r>
        <w:t>Anti‐Dumping</w:t>
      </w:r>
      <w:r>
        <w:rPr>
          <w:spacing w:val="-10"/>
        </w:rPr>
        <w:t xml:space="preserve"> </w:t>
      </w:r>
      <w:r>
        <w:t>Agreement</w:t>
      </w:r>
      <w:r>
        <w:rPr>
          <w:spacing w:val="-11"/>
        </w:rPr>
        <w:t xml:space="preserve"> </w:t>
      </w:r>
      <w:r>
        <w:t>underpin</w:t>
      </w:r>
      <w:r>
        <w:rPr>
          <w:spacing w:val="-9"/>
        </w:rPr>
        <w:t xml:space="preserve"> </w:t>
      </w:r>
      <w:r>
        <w:t>and compound</w:t>
      </w:r>
      <w:r>
        <w:rPr>
          <w:spacing w:val="-11"/>
        </w:rPr>
        <w:t xml:space="preserve"> </w:t>
      </w:r>
      <w:r>
        <w:t>the</w:t>
      </w:r>
      <w:r>
        <w:rPr>
          <w:spacing w:val="-10"/>
        </w:rPr>
        <w:t xml:space="preserve"> </w:t>
      </w:r>
      <w:r>
        <w:t>errors</w:t>
      </w:r>
      <w:r>
        <w:rPr>
          <w:spacing w:val="-11"/>
        </w:rPr>
        <w:t xml:space="preserve"> </w:t>
      </w:r>
      <w:r>
        <w:t>MOFCOM</w:t>
      </w:r>
      <w:r>
        <w:rPr>
          <w:spacing w:val="-11"/>
        </w:rPr>
        <w:t xml:space="preserve"> </w:t>
      </w:r>
      <w:r>
        <w:t>made</w:t>
      </w:r>
      <w:r>
        <w:rPr>
          <w:spacing w:val="-10"/>
        </w:rPr>
        <w:t xml:space="preserve"> </w:t>
      </w:r>
      <w:r>
        <w:t>in</w:t>
      </w:r>
      <w:r>
        <w:rPr>
          <w:spacing w:val="-11"/>
        </w:rPr>
        <w:t xml:space="preserve"> </w:t>
      </w:r>
      <w:r>
        <w:t>determining</w:t>
      </w:r>
      <w:r>
        <w:rPr>
          <w:spacing w:val="-10"/>
        </w:rPr>
        <w:t xml:space="preserve"> </w:t>
      </w:r>
      <w:r>
        <w:t>Swan</w:t>
      </w:r>
      <w:r>
        <w:rPr>
          <w:spacing w:val="-11"/>
        </w:rPr>
        <w:t xml:space="preserve"> </w:t>
      </w:r>
      <w:r>
        <w:t>Vintage's</w:t>
      </w:r>
      <w:r>
        <w:rPr>
          <w:spacing w:val="-12"/>
        </w:rPr>
        <w:t xml:space="preserve"> </w:t>
      </w:r>
      <w:r>
        <w:t>normal</w:t>
      </w:r>
      <w:r>
        <w:rPr>
          <w:spacing w:val="-10"/>
        </w:rPr>
        <w:t xml:space="preserve"> </w:t>
      </w:r>
      <w:r>
        <w:t>value</w:t>
      </w:r>
      <w:r>
        <w:rPr>
          <w:spacing w:val="-11"/>
        </w:rPr>
        <w:t xml:space="preserve"> </w:t>
      </w:r>
      <w:r>
        <w:t>and</w:t>
      </w:r>
      <w:r>
        <w:rPr>
          <w:spacing w:val="-11"/>
        </w:rPr>
        <w:t xml:space="preserve"> </w:t>
      </w:r>
      <w:r>
        <w:t>export price.</w:t>
      </w:r>
      <w:r>
        <w:rPr>
          <w:spacing w:val="-14"/>
        </w:rPr>
        <w:t xml:space="preserve"> </w:t>
      </w:r>
      <w:r>
        <w:t>In</w:t>
      </w:r>
      <w:r>
        <w:rPr>
          <w:spacing w:val="-14"/>
        </w:rPr>
        <w:t xml:space="preserve"> </w:t>
      </w:r>
      <w:r>
        <w:t>its</w:t>
      </w:r>
      <w:r>
        <w:rPr>
          <w:spacing w:val="-13"/>
        </w:rPr>
        <w:t xml:space="preserve"> </w:t>
      </w:r>
      <w:r>
        <w:t>comments</w:t>
      </w:r>
      <w:r>
        <w:rPr>
          <w:spacing w:val="-14"/>
        </w:rPr>
        <w:t xml:space="preserve"> </w:t>
      </w:r>
      <w:r>
        <w:t>on</w:t>
      </w:r>
      <w:r>
        <w:rPr>
          <w:spacing w:val="-13"/>
        </w:rPr>
        <w:t xml:space="preserve"> </w:t>
      </w:r>
      <w:r>
        <w:t>MOFCOM's</w:t>
      </w:r>
      <w:r>
        <w:rPr>
          <w:spacing w:val="-14"/>
        </w:rPr>
        <w:t xml:space="preserve"> </w:t>
      </w:r>
      <w:r>
        <w:t>disclosures</w:t>
      </w:r>
      <w:r>
        <w:rPr>
          <w:spacing w:val="-13"/>
        </w:rPr>
        <w:t xml:space="preserve"> </w:t>
      </w:r>
      <w:r>
        <w:t>for</w:t>
      </w:r>
      <w:r>
        <w:rPr>
          <w:spacing w:val="-14"/>
        </w:rPr>
        <w:t xml:space="preserve"> </w:t>
      </w:r>
      <w:r>
        <w:t>the</w:t>
      </w:r>
      <w:r>
        <w:rPr>
          <w:spacing w:val="-14"/>
        </w:rPr>
        <w:t xml:space="preserve"> </w:t>
      </w:r>
      <w:r>
        <w:t>Preliminary</w:t>
      </w:r>
      <w:r>
        <w:rPr>
          <w:spacing w:val="-13"/>
        </w:rPr>
        <w:t xml:space="preserve"> </w:t>
      </w:r>
      <w:r>
        <w:t>and</w:t>
      </w:r>
      <w:r>
        <w:rPr>
          <w:spacing w:val="-14"/>
        </w:rPr>
        <w:t xml:space="preserve"> </w:t>
      </w:r>
      <w:r>
        <w:t>Final</w:t>
      </w:r>
      <w:r>
        <w:rPr>
          <w:spacing w:val="-13"/>
        </w:rPr>
        <w:t xml:space="preserve"> </w:t>
      </w:r>
      <w:r>
        <w:t>Determinations, Swan Vintage made the following statements:</w:t>
      </w:r>
    </w:p>
    <w:p w14:paraId="51DE89A4" w14:textId="77777777" w:rsidR="0010369C" w:rsidRDefault="008E43AE">
      <w:pPr>
        <w:pStyle w:val="ListParagraph"/>
        <w:numPr>
          <w:ilvl w:val="0"/>
          <w:numId w:val="9"/>
        </w:numPr>
        <w:tabs>
          <w:tab w:val="left" w:pos="1939"/>
          <w:tab w:val="left" w:pos="1940"/>
        </w:tabs>
        <w:spacing w:before="160" w:line="360" w:lineRule="auto"/>
        <w:ind w:left="1938" w:right="613" w:hanging="850"/>
        <w:rPr>
          <w:sz w:val="24"/>
        </w:rPr>
      </w:pPr>
      <w:r>
        <w:rPr>
          <w:sz w:val="24"/>
        </w:rPr>
        <w:t>On the calculation of normal value, MOFCOM's Prelimin</w:t>
      </w:r>
      <w:r>
        <w:rPr>
          <w:sz w:val="24"/>
        </w:rPr>
        <w:t>ary Determination only discloses that it "temporarily decided to use the costs and expenses of some of the product under investigation reported by the Company, as well as the profit margin reported by the Company to calculate the constructed normal value a</w:t>
      </w:r>
      <w:r>
        <w:rPr>
          <w:sz w:val="24"/>
        </w:rPr>
        <w:t>nd determine the normal value of the Company accordingly".</w:t>
      </w:r>
      <w:r>
        <w:rPr>
          <w:sz w:val="24"/>
          <w:vertAlign w:val="superscript"/>
        </w:rPr>
        <w:t>433</w:t>
      </w:r>
      <w:r>
        <w:rPr>
          <w:sz w:val="24"/>
        </w:rPr>
        <w:t xml:space="preserve"> From the above disclosure, Swan Vintage informed MOFCOM</w:t>
      </w:r>
      <w:r>
        <w:rPr>
          <w:spacing w:val="-9"/>
          <w:sz w:val="24"/>
        </w:rPr>
        <w:t xml:space="preserve"> </w:t>
      </w:r>
      <w:r>
        <w:rPr>
          <w:sz w:val="24"/>
        </w:rPr>
        <w:t>that</w:t>
      </w:r>
      <w:r>
        <w:rPr>
          <w:spacing w:val="-10"/>
          <w:sz w:val="24"/>
        </w:rPr>
        <w:t xml:space="preserve"> </w:t>
      </w:r>
      <w:r>
        <w:rPr>
          <w:sz w:val="24"/>
        </w:rPr>
        <w:t>it</w:t>
      </w:r>
      <w:r>
        <w:rPr>
          <w:spacing w:val="-10"/>
          <w:sz w:val="24"/>
        </w:rPr>
        <w:t xml:space="preserve"> </w:t>
      </w:r>
      <w:r>
        <w:rPr>
          <w:sz w:val="24"/>
        </w:rPr>
        <w:t>was</w:t>
      </w:r>
      <w:r>
        <w:rPr>
          <w:spacing w:val="-10"/>
          <w:sz w:val="24"/>
        </w:rPr>
        <w:t xml:space="preserve"> </w:t>
      </w:r>
      <w:r>
        <w:rPr>
          <w:sz w:val="24"/>
        </w:rPr>
        <w:t>unable</w:t>
      </w:r>
      <w:r>
        <w:rPr>
          <w:spacing w:val="-9"/>
          <w:sz w:val="24"/>
        </w:rPr>
        <w:t xml:space="preserve"> </w:t>
      </w:r>
      <w:r>
        <w:rPr>
          <w:sz w:val="24"/>
        </w:rPr>
        <w:t>to</w:t>
      </w:r>
      <w:r>
        <w:rPr>
          <w:spacing w:val="-9"/>
          <w:sz w:val="24"/>
        </w:rPr>
        <w:t xml:space="preserve"> </w:t>
      </w:r>
      <w:r>
        <w:rPr>
          <w:sz w:val="24"/>
        </w:rPr>
        <w:t>know</w:t>
      </w:r>
      <w:r>
        <w:rPr>
          <w:spacing w:val="-11"/>
          <w:sz w:val="24"/>
        </w:rPr>
        <w:t xml:space="preserve"> </w:t>
      </w:r>
      <w:r>
        <w:rPr>
          <w:sz w:val="24"/>
        </w:rPr>
        <w:t>exactly</w:t>
      </w:r>
      <w:r>
        <w:rPr>
          <w:spacing w:val="-10"/>
          <w:sz w:val="24"/>
        </w:rPr>
        <w:t xml:space="preserve"> </w:t>
      </w:r>
      <w:r>
        <w:rPr>
          <w:sz w:val="24"/>
        </w:rPr>
        <w:t>what</w:t>
      </w:r>
      <w:r>
        <w:rPr>
          <w:spacing w:val="-11"/>
          <w:sz w:val="24"/>
        </w:rPr>
        <w:t xml:space="preserve"> </w:t>
      </w:r>
      <w:r>
        <w:rPr>
          <w:sz w:val="24"/>
        </w:rPr>
        <w:t>costs</w:t>
      </w:r>
      <w:r>
        <w:rPr>
          <w:spacing w:val="-10"/>
          <w:sz w:val="24"/>
        </w:rPr>
        <w:t xml:space="preserve"> </w:t>
      </w:r>
      <w:r>
        <w:rPr>
          <w:sz w:val="24"/>
        </w:rPr>
        <w:t>and</w:t>
      </w:r>
      <w:r>
        <w:rPr>
          <w:spacing w:val="-10"/>
          <w:sz w:val="24"/>
        </w:rPr>
        <w:t xml:space="preserve"> </w:t>
      </w:r>
      <w:r>
        <w:rPr>
          <w:sz w:val="24"/>
        </w:rPr>
        <w:t>expenses</w:t>
      </w:r>
      <w:r>
        <w:rPr>
          <w:spacing w:val="-11"/>
          <w:sz w:val="24"/>
        </w:rPr>
        <w:t xml:space="preserve"> </w:t>
      </w:r>
      <w:r>
        <w:rPr>
          <w:sz w:val="24"/>
        </w:rPr>
        <w:t>of</w:t>
      </w:r>
      <w:r>
        <w:rPr>
          <w:spacing w:val="-10"/>
          <w:sz w:val="24"/>
        </w:rPr>
        <w:t xml:space="preserve"> </w:t>
      </w:r>
      <w:r>
        <w:rPr>
          <w:sz w:val="24"/>
        </w:rPr>
        <w:t>the product under investigation were used by MOFCOM to determine the normal</w:t>
      </w:r>
      <w:r>
        <w:rPr>
          <w:spacing w:val="-12"/>
          <w:sz w:val="24"/>
        </w:rPr>
        <w:t xml:space="preserve"> </w:t>
      </w:r>
      <w:r>
        <w:rPr>
          <w:sz w:val="24"/>
        </w:rPr>
        <w:t>value</w:t>
      </w:r>
      <w:r>
        <w:rPr>
          <w:spacing w:val="-12"/>
          <w:sz w:val="24"/>
        </w:rPr>
        <w:t xml:space="preserve"> </w:t>
      </w:r>
      <w:r>
        <w:rPr>
          <w:sz w:val="24"/>
        </w:rPr>
        <w:t>of</w:t>
      </w:r>
      <w:r>
        <w:rPr>
          <w:spacing w:val="-12"/>
          <w:sz w:val="24"/>
        </w:rPr>
        <w:t xml:space="preserve"> </w:t>
      </w:r>
      <w:r>
        <w:rPr>
          <w:sz w:val="24"/>
        </w:rPr>
        <w:t>Swan</w:t>
      </w:r>
      <w:r>
        <w:rPr>
          <w:spacing w:val="-12"/>
          <w:sz w:val="24"/>
        </w:rPr>
        <w:t xml:space="preserve"> </w:t>
      </w:r>
      <w:r>
        <w:rPr>
          <w:sz w:val="24"/>
        </w:rPr>
        <w:t>Vintage</w:t>
      </w:r>
      <w:r>
        <w:rPr>
          <w:spacing w:val="-11"/>
          <w:sz w:val="24"/>
        </w:rPr>
        <w:t xml:space="preserve"> </w:t>
      </w:r>
      <w:r>
        <w:rPr>
          <w:sz w:val="24"/>
        </w:rPr>
        <w:t>as</w:t>
      </w:r>
      <w:r>
        <w:rPr>
          <w:spacing w:val="-13"/>
          <w:sz w:val="24"/>
        </w:rPr>
        <w:t xml:space="preserve"> </w:t>
      </w:r>
      <w:r>
        <w:rPr>
          <w:sz w:val="24"/>
        </w:rPr>
        <w:t>well</w:t>
      </w:r>
      <w:r>
        <w:rPr>
          <w:spacing w:val="-12"/>
          <w:sz w:val="24"/>
        </w:rPr>
        <w:t xml:space="preserve"> </w:t>
      </w:r>
      <w:r>
        <w:rPr>
          <w:sz w:val="24"/>
        </w:rPr>
        <w:t>as</w:t>
      </w:r>
      <w:r>
        <w:rPr>
          <w:spacing w:val="-13"/>
          <w:sz w:val="24"/>
        </w:rPr>
        <w:t xml:space="preserve"> </w:t>
      </w:r>
      <w:r>
        <w:rPr>
          <w:sz w:val="24"/>
        </w:rPr>
        <w:t>which</w:t>
      </w:r>
      <w:r>
        <w:rPr>
          <w:spacing w:val="-11"/>
          <w:sz w:val="24"/>
        </w:rPr>
        <w:t xml:space="preserve"> </w:t>
      </w:r>
      <w:r>
        <w:rPr>
          <w:sz w:val="24"/>
        </w:rPr>
        <w:t>method</w:t>
      </w:r>
      <w:r>
        <w:rPr>
          <w:spacing w:val="-13"/>
          <w:sz w:val="24"/>
        </w:rPr>
        <w:t xml:space="preserve"> </w:t>
      </w:r>
      <w:r>
        <w:rPr>
          <w:sz w:val="24"/>
        </w:rPr>
        <w:t>was</w:t>
      </w:r>
      <w:r>
        <w:rPr>
          <w:spacing w:val="-13"/>
          <w:sz w:val="24"/>
        </w:rPr>
        <w:t xml:space="preserve"> </w:t>
      </w:r>
      <w:r>
        <w:rPr>
          <w:sz w:val="24"/>
        </w:rPr>
        <w:t>used</w:t>
      </w:r>
      <w:r>
        <w:rPr>
          <w:spacing w:val="-12"/>
          <w:sz w:val="24"/>
        </w:rPr>
        <w:t xml:space="preserve"> </w:t>
      </w:r>
      <w:r>
        <w:rPr>
          <w:sz w:val="24"/>
        </w:rPr>
        <w:t>to</w:t>
      </w:r>
      <w:r>
        <w:rPr>
          <w:spacing w:val="-12"/>
          <w:sz w:val="24"/>
        </w:rPr>
        <w:t xml:space="preserve"> </w:t>
      </w:r>
      <w:r>
        <w:rPr>
          <w:sz w:val="24"/>
        </w:rPr>
        <w:t>calculate costs and expenses.</w:t>
      </w:r>
      <w:r>
        <w:rPr>
          <w:sz w:val="24"/>
          <w:vertAlign w:val="superscript"/>
        </w:rPr>
        <w:t>434</w:t>
      </w:r>
    </w:p>
    <w:p w14:paraId="51DE89A5" w14:textId="77777777" w:rsidR="0010369C" w:rsidRDefault="008E43AE">
      <w:pPr>
        <w:pStyle w:val="ListParagraph"/>
        <w:numPr>
          <w:ilvl w:val="0"/>
          <w:numId w:val="9"/>
        </w:numPr>
        <w:tabs>
          <w:tab w:val="left" w:pos="1940"/>
          <w:tab w:val="left" w:pos="1941"/>
        </w:tabs>
        <w:spacing w:before="119" w:line="357" w:lineRule="auto"/>
        <w:ind w:left="1938" w:right="612" w:hanging="850"/>
        <w:rPr>
          <w:sz w:val="24"/>
        </w:rPr>
      </w:pPr>
      <w:r>
        <w:rPr>
          <w:sz w:val="24"/>
        </w:rPr>
        <w:t>On the price adjustment of normal value, MOFCOM's Preliminary Determination</w:t>
      </w:r>
      <w:r>
        <w:rPr>
          <w:spacing w:val="-8"/>
          <w:sz w:val="24"/>
        </w:rPr>
        <w:t xml:space="preserve"> </w:t>
      </w:r>
      <w:r>
        <w:rPr>
          <w:sz w:val="24"/>
        </w:rPr>
        <w:t>only</w:t>
      </w:r>
      <w:r>
        <w:rPr>
          <w:spacing w:val="-8"/>
          <w:sz w:val="24"/>
        </w:rPr>
        <w:t xml:space="preserve"> </w:t>
      </w:r>
      <w:r>
        <w:rPr>
          <w:sz w:val="24"/>
        </w:rPr>
        <w:t>states</w:t>
      </w:r>
      <w:r>
        <w:rPr>
          <w:spacing w:val="-9"/>
          <w:sz w:val="24"/>
        </w:rPr>
        <w:t xml:space="preserve"> </w:t>
      </w:r>
      <w:r>
        <w:rPr>
          <w:sz w:val="24"/>
        </w:rPr>
        <w:t>"</w:t>
      </w:r>
      <w:r>
        <w:rPr>
          <w:sz w:val="24"/>
        </w:rPr>
        <w:t>In</w:t>
      </w:r>
      <w:r>
        <w:rPr>
          <w:spacing w:val="-9"/>
          <w:sz w:val="24"/>
        </w:rPr>
        <w:t xml:space="preserve"> </w:t>
      </w:r>
      <w:r>
        <w:rPr>
          <w:sz w:val="24"/>
        </w:rPr>
        <w:t>the</w:t>
      </w:r>
      <w:r>
        <w:rPr>
          <w:spacing w:val="-8"/>
          <w:sz w:val="24"/>
        </w:rPr>
        <w:t xml:space="preserve"> </w:t>
      </w:r>
      <w:r>
        <w:rPr>
          <w:sz w:val="24"/>
        </w:rPr>
        <w:t>part</w:t>
      </w:r>
      <w:r>
        <w:rPr>
          <w:spacing w:val="-8"/>
          <w:sz w:val="24"/>
        </w:rPr>
        <w:t xml:space="preserve"> </w:t>
      </w:r>
      <w:r>
        <w:rPr>
          <w:sz w:val="24"/>
        </w:rPr>
        <w:t>of</w:t>
      </w:r>
      <w:r>
        <w:rPr>
          <w:spacing w:val="-9"/>
          <w:sz w:val="24"/>
        </w:rPr>
        <w:t xml:space="preserve"> </w:t>
      </w:r>
      <w:r>
        <w:rPr>
          <w:sz w:val="24"/>
        </w:rPr>
        <w:t>price</w:t>
      </w:r>
      <w:r>
        <w:rPr>
          <w:spacing w:val="-8"/>
          <w:sz w:val="24"/>
        </w:rPr>
        <w:t xml:space="preserve"> </w:t>
      </w:r>
      <w:r>
        <w:rPr>
          <w:sz w:val="24"/>
        </w:rPr>
        <w:t>adjustment,</w:t>
      </w:r>
      <w:r>
        <w:rPr>
          <w:spacing w:val="-8"/>
          <w:sz w:val="24"/>
        </w:rPr>
        <w:t xml:space="preserve"> </w:t>
      </w:r>
      <w:r>
        <w:rPr>
          <w:sz w:val="24"/>
        </w:rPr>
        <w:t>the</w:t>
      </w:r>
      <w:r>
        <w:rPr>
          <w:spacing w:val="-8"/>
          <w:sz w:val="24"/>
        </w:rPr>
        <w:t xml:space="preserve"> </w:t>
      </w:r>
      <w:r>
        <w:rPr>
          <w:sz w:val="24"/>
        </w:rPr>
        <w:t>Investigating Authority adjusted the relevant sales expenses on the basis of the constructed normal value, so as to adjust the normal value to the factory price</w:t>
      </w:r>
      <w:r>
        <w:rPr>
          <w:spacing w:val="30"/>
          <w:sz w:val="24"/>
        </w:rPr>
        <w:t xml:space="preserve"> </w:t>
      </w:r>
      <w:r>
        <w:rPr>
          <w:sz w:val="24"/>
        </w:rPr>
        <w:t>level".</w:t>
      </w:r>
      <w:r>
        <w:rPr>
          <w:sz w:val="24"/>
          <w:vertAlign w:val="superscript"/>
        </w:rPr>
        <w:t>435</w:t>
      </w:r>
      <w:r>
        <w:rPr>
          <w:spacing w:val="29"/>
          <w:sz w:val="24"/>
        </w:rPr>
        <w:t xml:space="preserve"> </w:t>
      </w:r>
      <w:r>
        <w:rPr>
          <w:sz w:val="24"/>
        </w:rPr>
        <w:t>MOFCOM</w:t>
      </w:r>
      <w:r>
        <w:rPr>
          <w:spacing w:val="32"/>
          <w:sz w:val="24"/>
        </w:rPr>
        <w:t xml:space="preserve"> </w:t>
      </w:r>
      <w:r>
        <w:rPr>
          <w:sz w:val="24"/>
        </w:rPr>
        <w:t>did</w:t>
      </w:r>
      <w:r>
        <w:rPr>
          <w:spacing w:val="29"/>
          <w:sz w:val="24"/>
        </w:rPr>
        <w:t xml:space="preserve"> </w:t>
      </w:r>
      <w:r>
        <w:rPr>
          <w:sz w:val="24"/>
        </w:rPr>
        <w:t>not</w:t>
      </w:r>
      <w:r>
        <w:rPr>
          <w:spacing w:val="30"/>
          <w:sz w:val="24"/>
        </w:rPr>
        <w:t xml:space="preserve"> </w:t>
      </w:r>
      <w:r>
        <w:rPr>
          <w:sz w:val="24"/>
        </w:rPr>
        <w:t>disclose</w:t>
      </w:r>
      <w:r>
        <w:rPr>
          <w:spacing w:val="31"/>
          <w:sz w:val="24"/>
        </w:rPr>
        <w:t xml:space="preserve"> </w:t>
      </w:r>
      <w:r>
        <w:rPr>
          <w:sz w:val="24"/>
        </w:rPr>
        <w:t>the</w:t>
      </w:r>
      <w:r>
        <w:rPr>
          <w:spacing w:val="30"/>
          <w:sz w:val="24"/>
        </w:rPr>
        <w:t xml:space="preserve"> </w:t>
      </w:r>
      <w:r>
        <w:rPr>
          <w:sz w:val="24"/>
        </w:rPr>
        <w:t>specific</w:t>
      </w:r>
      <w:r>
        <w:rPr>
          <w:spacing w:val="31"/>
          <w:sz w:val="24"/>
        </w:rPr>
        <w:t xml:space="preserve"> </w:t>
      </w:r>
      <w:r>
        <w:rPr>
          <w:sz w:val="24"/>
        </w:rPr>
        <w:t>amount</w:t>
      </w:r>
      <w:r>
        <w:rPr>
          <w:spacing w:val="29"/>
          <w:sz w:val="24"/>
        </w:rPr>
        <w:t xml:space="preserve"> </w:t>
      </w:r>
      <w:r>
        <w:rPr>
          <w:sz w:val="24"/>
        </w:rPr>
        <w:t>or</w:t>
      </w:r>
      <w:r>
        <w:rPr>
          <w:spacing w:val="30"/>
          <w:sz w:val="24"/>
        </w:rPr>
        <w:t xml:space="preserve"> </w:t>
      </w:r>
      <w:r>
        <w:rPr>
          <w:sz w:val="24"/>
        </w:rPr>
        <w:t>ratio</w:t>
      </w:r>
      <w:r>
        <w:rPr>
          <w:spacing w:val="30"/>
          <w:sz w:val="24"/>
        </w:rPr>
        <w:t xml:space="preserve"> </w:t>
      </w:r>
      <w:r>
        <w:rPr>
          <w:sz w:val="24"/>
        </w:rPr>
        <w:t>of</w:t>
      </w:r>
    </w:p>
    <w:p w14:paraId="51DE89A6" w14:textId="77777777" w:rsidR="0010369C" w:rsidRDefault="0010369C">
      <w:pPr>
        <w:pStyle w:val="BodyText"/>
        <w:rPr>
          <w:sz w:val="20"/>
        </w:rPr>
      </w:pPr>
    </w:p>
    <w:p w14:paraId="51DE89A7" w14:textId="77777777" w:rsidR="0010369C" w:rsidRDefault="0010369C">
      <w:pPr>
        <w:pStyle w:val="BodyText"/>
        <w:rPr>
          <w:sz w:val="20"/>
        </w:rPr>
      </w:pPr>
    </w:p>
    <w:p w14:paraId="51DE89A8" w14:textId="77777777" w:rsidR="0010369C" w:rsidRDefault="0010369C">
      <w:pPr>
        <w:pStyle w:val="BodyText"/>
        <w:rPr>
          <w:sz w:val="20"/>
        </w:rPr>
      </w:pPr>
    </w:p>
    <w:p w14:paraId="51DE89A9" w14:textId="77777777" w:rsidR="0010369C" w:rsidRDefault="0010369C">
      <w:pPr>
        <w:pStyle w:val="BodyText"/>
        <w:rPr>
          <w:sz w:val="20"/>
        </w:rPr>
      </w:pPr>
    </w:p>
    <w:p w14:paraId="51DE89AA" w14:textId="77777777" w:rsidR="0010369C" w:rsidRDefault="008E43AE">
      <w:pPr>
        <w:pStyle w:val="BodyText"/>
        <w:spacing w:before="10"/>
        <w:rPr>
          <w:sz w:val="14"/>
        </w:rPr>
      </w:pPr>
      <w:r>
        <w:pict w14:anchorId="51DEA2F1">
          <v:rect id="docshape880" o:spid="_x0000_s1436" style="position:absolute;margin-left:70.9pt;margin-top:10.25pt;width:2in;height:.8pt;z-index:-250888704;mso-wrap-distance-left:0;mso-wrap-distance-right:0;mso-position-horizontal-relative:page" fillcolor="black" stroked="f">
            <w10:wrap type="topAndBottom" anchorx="page"/>
          </v:rect>
        </w:pict>
      </w:r>
    </w:p>
    <w:p w14:paraId="51DE89AB" w14:textId="77777777" w:rsidR="0010369C" w:rsidRDefault="008E43AE">
      <w:pPr>
        <w:spacing w:before="109"/>
        <w:ind w:left="238"/>
        <w:rPr>
          <w:sz w:val="18"/>
        </w:rPr>
      </w:pPr>
      <w:r>
        <w:rPr>
          <w:sz w:val="18"/>
          <w:vertAlign w:val="superscript"/>
        </w:rPr>
        <w:t>433</w:t>
      </w:r>
      <w:r>
        <w:rPr>
          <w:spacing w:val="-10"/>
          <w:sz w:val="18"/>
        </w:rPr>
        <w:t xml:space="preserve"> </w:t>
      </w:r>
      <w:r>
        <w:rPr>
          <w:sz w:val="18"/>
        </w:rPr>
        <w:t>Anti‐Dumping</w:t>
      </w:r>
      <w:r>
        <w:rPr>
          <w:spacing w:val="-9"/>
          <w:sz w:val="18"/>
        </w:rPr>
        <w:t xml:space="preserve"> </w:t>
      </w:r>
      <w:r>
        <w:rPr>
          <w:sz w:val="18"/>
        </w:rPr>
        <w:t>Preliminary</w:t>
      </w:r>
      <w:r>
        <w:rPr>
          <w:spacing w:val="-9"/>
          <w:sz w:val="18"/>
        </w:rPr>
        <w:t xml:space="preserve"> </w:t>
      </w:r>
      <w:r>
        <w:rPr>
          <w:sz w:val="18"/>
        </w:rPr>
        <w:t>Determination</w:t>
      </w:r>
      <w:r>
        <w:rPr>
          <w:spacing w:val="-9"/>
          <w:sz w:val="18"/>
        </w:rPr>
        <w:t xml:space="preserve"> </w:t>
      </w:r>
      <w:r>
        <w:rPr>
          <w:sz w:val="18"/>
        </w:rPr>
        <w:t>(Exhibit</w:t>
      </w:r>
      <w:r>
        <w:rPr>
          <w:spacing w:val="-10"/>
          <w:sz w:val="18"/>
        </w:rPr>
        <w:t xml:space="preserve"> </w:t>
      </w:r>
      <w:r>
        <w:rPr>
          <w:sz w:val="18"/>
        </w:rPr>
        <w:t>AUS‐35),</w:t>
      </w:r>
      <w:r>
        <w:rPr>
          <w:spacing w:val="-10"/>
          <w:sz w:val="18"/>
        </w:rPr>
        <w:t xml:space="preserve"> </w:t>
      </w:r>
      <w:r>
        <w:rPr>
          <w:sz w:val="18"/>
        </w:rPr>
        <w:t>p.</w:t>
      </w:r>
      <w:r>
        <w:rPr>
          <w:spacing w:val="-9"/>
          <w:sz w:val="18"/>
        </w:rPr>
        <w:t xml:space="preserve"> </w:t>
      </w:r>
      <w:r>
        <w:rPr>
          <w:spacing w:val="-5"/>
          <w:sz w:val="18"/>
        </w:rPr>
        <w:t>31.</w:t>
      </w:r>
    </w:p>
    <w:p w14:paraId="51DE89AC" w14:textId="77777777" w:rsidR="0010369C" w:rsidRDefault="008E43AE">
      <w:pPr>
        <w:ind w:left="238"/>
        <w:rPr>
          <w:sz w:val="18"/>
        </w:rPr>
      </w:pPr>
      <w:r>
        <w:rPr>
          <w:sz w:val="18"/>
          <w:vertAlign w:val="superscript"/>
        </w:rPr>
        <w:t>434</w:t>
      </w:r>
      <w:r>
        <w:rPr>
          <w:spacing w:val="-10"/>
          <w:sz w:val="18"/>
        </w:rPr>
        <w:t xml:space="preserve"> </w:t>
      </w:r>
      <w:r>
        <w:rPr>
          <w:sz w:val="18"/>
        </w:rPr>
        <w:t>Swan</w:t>
      </w:r>
      <w:r>
        <w:rPr>
          <w:spacing w:val="-9"/>
          <w:sz w:val="18"/>
        </w:rPr>
        <w:t xml:space="preserve"> </w:t>
      </w:r>
      <w:r>
        <w:rPr>
          <w:sz w:val="18"/>
        </w:rPr>
        <w:t>Vintage</w:t>
      </w:r>
      <w:r>
        <w:rPr>
          <w:spacing w:val="-8"/>
          <w:sz w:val="18"/>
        </w:rPr>
        <w:t xml:space="preserve"> </w:t>
      </w:r>
      <w:r>
        <w:rPr>
          <w:sz w:val="18"/>
        </w:rPr>
        <w:t>Comments</w:t>
      </w:r>
      <w:r>
        <w:rPr>
          <w:spacing w:val="-9"/>
          <w:sz w:val="18"/>
        </w:rPr>
        <w:t xml:space="preserve"> </w:t>
      </w:r>
      <w:r>
        <w:rPr>
          <w:sz w:val="18"/>
        </w:rPr>
        <w:t>on</w:t>
      </w:r>
      <w:r>
        <w:rPr>
          <w:spacing w:val="-10"/>
          <w:sz w:val="18"/>
        </w:rPr>
        <w:t xml:space="preserve"> </w:t>
      </w:r>
      <w:r>
        <w:rPr>
          <w:sz w:val="18"/>
        </w:rPr>
        <w:t>the</w:t>
      </w:r>
      <w:r>
        <w:rPr>
          <w:spacing w:val="-10"/>
          <w:sz w:val="18"/>
        </w:rPr>
        <w:t xml:space="preserve"> </w:t>
      </w:r>
      <w:r>
        <w:rPr>
          <w:sz w:val="18"/>
        </w:rPr>
        <w:t>Preliminary</w:t>
      </w:r>
      <w:r>
        <w:rPr>
          <w:spacing w:val="-9"/>
          <w:sz w:val="18"/>
        </w:rPr>
        <w:t xml:space="preserve"> </w:t>
      </w:r>
      <w:r>
        <w:rPr>
          <w:sz w:val="18"/>
        </w:rPr>
        <w:t>Determination</w:t>
      </w:r>
      <w:r>
        <w:rPr>
          <w:spacing w:val="-9"/>
          <w:sz w:val="18"/>
        </w:rPr>
        <w:t xml:space="preserve"> </w:t>
      </w:r>
      <w:r>
        <w:rPr>
          <w:sz w:val="18"/>
        </w:rPr>
        <w:t>(Exhibit</w:t>
      </w:r>
      <w:r>
        <w:rPr>
          <w:spacing w:val="-9"/>
          <w:sz w:val="18"/>
        </w:rPr>
        <w:t xml:space="preserve"> </w:t>
      </w:r>
      <w:r>
        <w:rPr>
          <w:sz w:val="18"/>
        </w:rPr>
        <w:t>AUS‐38),</w:t>
      </w:r>
      <w:r>
        <w:rPr>
          <w:spacing w:val="-10"/>
          <w:sz w:val="18"/>
        </w:rPr>
        <w:t xml:space="preserve"> </w:t>
      </w:r>
      <w:r>
        <w:rPr>
          <w:spacing w:val="-4"/>
          <w:sz w:val="18"/>
        </w:rPr>
        <w:t>p.2.</w:t>
      </w:r>
    </w:p>
    <w:p w14:paraId="51DE89AD" w14:textId="77777777" w:rsidR="0010369C" w:rsidRDefault="008E43AE">
      <w:pPr>
        <w:ind w:left="238"/>
        <w:rPr>
          <w:sz w:val="18"/>
        </w:rPr>
      </w:pPr>
      <w:r>
        <w:rPr>
          <w:sz w:val="18"/>
          <w:vertAlign w:val="superscript"/>
        </w:rPr>
        <w:t>435</w:t>
      </w:r>
      <w:r>
        <w:rPr>
          <w:spacing w:val="-10"/>
          <w:sz w:val="18"/>
        </w:rPr>
        <w:t xml:space="preserve"> </w:t>
      </w:r>
      <w:r>
        <w:rPr>
          <w:sz w:val="18"/>
        </w:rPr>
        <w:t>Anti‐Dumping</w:t>
      </w:r>
      <w:r>
        <w:rPr>
          <w:spacing w:val="-9"/>
          <w:sz w:val="18"/>
        </w:rPr>
        <w:t xml:space="preserve"> </w:t>
      </w:r>
      <w:r>
        <w:rPr>
          <w:sz w:val="18"/>
        </w:rPr>
        <w:t>Preliminary</w:t>
      </w:r>
      <w:r>
        <w:rPr>
          <w:spacing w:val="-9"/>
          <w:sz w:val="18"/>
        </w:rPr>
        <w:t xml:space="preserve"> </w:t>
      </w:r>
      <w:r>
        <w:rPr>
          <w:sz w:val="18"/>
        </w:rPr>
        <w:t>Determination</w:t>
      </w:r>
      <w:r>
        <w:rPr>
          <w:spacing w:val="-9"/>
          <w:sz w:val="18"/>
        </w:rPr>
        <w:t xml:space="preserve"> </w:t>
      </w:r>
      <w:r>
        <w:rPr>
          <w:sz w:val="18"/>
        </w:rPr>
        <w:t>(Exhibit</w:t>
      </w:r>
      <w:r>
        <w:rPr>
          <w:spacing w:val="-10"/>
          <w:sz w:val="18"/>
        </w:rPr>
        <w:t xml:space="preserve"> </w:t>
      </w:r>
      <w:r>
        <w:rPr>
          <w:sz w:val="18"/>
        </w:rPr>
        <w:t>AUS‐35),</w:t>
      </w:r>
      <w:r>
        <w:rPr>
          <w:spacing w:val="-10"/>
          <w:sz w:val="18"/>
        </w:rPr>
        <w:t xml:space="preserve"> </w:t>
      </w:r>
      <w:r>
        <w:rPr>
          <w:sz w:val="18"/>
        </w:rPr>
        <w:t>p.</w:t>
      </w:r>
      <w:r>
        <w:rPr>
          <w:spacing w:val="-9"/>
          <w:sz w:val="18"/>
        </w:rPr>
        <w:t xml:space="preserve"> </w:t>
      </w:r>
      <w:r>
        <w:rPr>
          <w:spacing w:val="-5"/>
          <w:sz w:val="18"/>
        </w:rPr>
        <w:t>32.</w:t>
      </w:r>
    </w:p>
    <w:p w14:paraId="51DE89AE" w14:textId="77777777" w:rsidR="0010369C" w:rsidRDefault="0010369C">
      <w:pPr>
        <w:rPr>
          <w:sz w:val="18"/>
        </w:rPr>
        <w:sectPr w:rsidR="0010369C">
          <w:headerReference w:type="default" r:id="rId560"/>
          <w:footerReference w:type="default" r:id="rId561"/>
          <w:pgSz w:w="11910" w:h="16840"/>
          <w:pgMar w:top="880" w:right="800" w:bottom="980" w:left="1180" w:header="569" w:footer="788" w:gutter="0"/>
          <w:cols w:space="720"/>
        </w:sectPr>
      </w:pPr>
    </w:p>
    <w:p w14:paraId="51DE89AF" w14:textId="77777777" w:rsidR="0010369C" w:rsidRDefault="008E43AE">
      <w:pPr>
        <w:tabs>
          <w:tab w:val="left" w:pos="6425"/>
        </w:tabs>
        <w:ind w:left="238"/>
        <w:rPr>
          <w:sz w:val="20"/>
        </w:rPr>
      </w:pPr>
      <w:r>
        <w:rPr>
          <w:i/>
          <w:sz w:val="20"/>
        </w:rPr>
        <w:lastRenderedPageBreak/>
        <w:t>China</w:t>
      </w:r>
      <w:r>
        <w:rPr>
          <w:i/>
          <w:spacing w:val="-5"/>
          <w:sz w:val="20"/>
        </w:rPr>
        <w:t xml:space="preserve"> </w:t>
      </w:r>
      <w:r>
        <w:rPr>
          <w:i/>
          <w:sz w:val="20"/>
        </w:rPr>
        <w:t>–</w:t>
      </w:r>
      <w:r>
        <w:rPr>
          <w:i/>
          <w:spacing w:val="-5"/>
          <w:sz w:val="20"/>
        </w:rPr>
        <w:t xml:space="preserve"> </w:t>
      </w:r>
      <w:r>
        <w:rPr>
          <w:i/>
          <w:sz w:val="20"/>
        </w:rPr>
        <w:t>Anti‐Dumping</w:t>
      </w:r>
      <w:r>
        <w:rPr>
          <w:i/>
          <w:spacing w:val="-4"/>
          <w:sz w:val="20"/>
        </w:rPr>
        <w:t xml:space="preserve"> </w:t>
      </w:r>
      <w:r>
        <w:rPr>
          <w:i/>
          <w:sz w:val="20"/>
        </w:rPr>
        <w:t>and</w:t>
      </w:r>
      <w:r>
        <w:rPr>
          <w:i/>
          <w:spacing w:val="-5"/>
          <w:sz w:val="20"/>
        </w:rPr>
        <w:t xml:space="preserve"> </w:t>
      </w:r>
      <w:r>
        <w:rPr>
          <w:i/>
          <w:sz w:val="20"/>
        </w:rPr>
        <w:t>Countervailing</w:t>
      </w:r>
      <w:r>
        <w:rPr>
          <w:i/>
          <w:spacing w:val="-5"/>
          <w:sz w:val="20"/>
        </w:rPr>
        <w:t xml:space="preserve"> </w:t>
      </w:r>
      <w:r>
        <w:rPr>
          <w:i/>
          <w:sz w:val="20"/>
        </w:rPr>
        <w:t>Duty</w:t>
      </w:r>
      <w:r>
        <w:rPr>
          <w:i/>
          <w:spacing w:val="-4"/>
          <w:sz w:val="20"/>
        </w:rPr>
        <w:t xml:space="preserve"> </w:t>
      </w:r>
      <w:r>
        <w:rPr>
          <w:i/>
          <w:spacing w:val="-2"/>
          <w:sz w:val="20"/>
        </w:rPr>
        <w:t>Measures</w:t>
      </w:r>
      <w:r>
        <w:rPr>
          <w:i/>
          <w:sz w:val="20"/>
        </w:rPr>
        <w:tab/>
      </w:r>
      <w:r>
        <w:rPr>
          <w:sz w:val="20"/>
        </w:rPr>
        <w:t>Australia's</w:t>
      </w:r>
      <w:r>
        <w:rPr>
          <w:spacing w:val="-7"/>
          <w:sz w:val="20"/>
        </w:rPr>
        <w:t xml:space="preserve"> </w:t>
      </w:r>
      <w:r>
        <w:rPr>
          <w:sz w:val="20"/>
        </w:rPr>
        <w:t>First</w:t>
      </w:r>
      <w:r>
        <w:rPr>
          <w:spacing w:val="-2"/>
          <w:sz w:val="20"/>
        </w:rPr>
        <w:t xml:space="preserve"> </w:t>
      </w:r>
      <w:r>
        <w:rPr>
          <w:sz w:val="20"/>
        </w:rPr>
        <w:t>Written</w:t>
      </w:r>
      <w:r>
        <w:rPr>
          <w:spacing w:val="-2"/>
          <w:sz w:val="20"/>
        </w:rPr>
        <w:t xml:space="preserve"> Submission</w:t>
      </w:r>
    </w:p>
    <w:p w14:paraId="51DE89B0" w14:textId="77777777" w:rsidR="0010369C" w:rsidRDefault="008E43AE">
      <w:pPr>
        <w:tabs>
          <w:tab w:val="left" w:pos="8227"/>
        </w:tabs>
        <w:spacing w:before="1"/>
        <w:ind w:left="239"/>
        <w:rPr>
          <w:sz w:val="20"/>
        </w:rPr>
      </w:pPr>
      <w:r>
        <w:rPr>
          <w:i/>
          <w:sz w:val="20"/>
        </w:rPr>
        <w:t>on</w:t>
      </w:r>
      <w:r>
        <w:rPr>
          <w:i/>
          <w:spacing w:val="-1"/>
          <w:sz w:val="20"/>
        </w:rPr>
        <w:t xml:space="preserve"> </w:t>
      </w:r>
      <w:r>
        <w:rPr>
          <w:i/>
          <w:sz w:val="20"/>
        </w:rPr>
        <w:t>Wine</w:t>
      </w:r>
      <w:r>
        <w:rPr>
          <w:i/>
          <w:spacing w:val="-1"/>
          <w:sz w:val="20"/>
        </w:rPr>
        <w:t xml:space="preserve"> </w:t>
      </w:r>
      <w:r>
        <w:rPr>
          <w:i/>
          <w:sz w:val="20"/>
        </w:rPr>
        <w:t>from</w:t>
      </w:r>
      <w:r>
        <w:rPr>
          <w:i/>
          <w:spacing w:val="-3"/>
          <w:sz w:val="20"/>
        </w:rPr>
        <w:t xml:space="preserve"> </w:t>
      </w:r>
      <w:r>
        <w:rPr>
          <w:i/>
          <w:sz w:val="20"/>
        </w:rPr>
        <w:t>Australia</w:t>
      </w:r>
      <w:r>
        <w:rPr>
          <w:i/>
          <w:spacing w:val="-1"/>
          <w:sz w:val="20"/>
        </w:rPr>
        <w:t xml:space="preserve"> </w:t>
      </w:r>
      <w:r>
        <w:rPr>
          <w:spacing w:val="-2"/>
          <w:sz w:val="20"/>
        </w:rPr>
        <w:t>(DS602)</w:t>
      </w:r>
      <w:r>
        <w:rPr>
          <w:sz w:val="20"/>
        </w:rPr>
        <w:tab/>
        <w:t>29</w:t>
      </w:r>
      <w:r>
        <w:rPr>
          <w:spacing w:val="-1"/>
          <w:sz w:val="20"/>
        </w:rPr>
        <w:t xml:space="preserve"> </w:t>
      </w:r>
      <w:r>
        <w:rPr>
          <w:sz w:val="20"/>
        </w:rPr>
        <w:t>April</w:t>
      </w:r>
      <w:r>
        <w:rPr>
          <w:spacing w:val="-2"/>
          <w:sz w:val="20"/>
        </w:rPr>
        <w:t xml:space="preserve"> </w:t>
      </w:r>
      <w:r>
        <w:rPr>
          <w:spacing w:val="-4"/>
          <w:sz w:val="20"/>
        </w:rPr>
        <w:t>2022</w:t>
      </w:r>
    </w:p>
    <w:p w14:paraId="51DE89B1" w14:textId="77777777" w:rsidR="0010369C" w:rsidRDefault="008E43AE">
      <w:pPr>
        <w:pStyle w:val="BodyText"/>
        <w:spacing w:before="34" w:line="360" w:lineRule="auto"/>
        <w:ind w:left="1939" w:right="611"/>
      </w:pPr>
      <w:r>
        <w:t>price</w:t>
      </w:r>
      <w:r>
        <w:rPr>
          <w:spacing w:val="-6"/>
        </w:rPr>
        <w:t xml:space="preserve"> </w:t>
      </w:r>
      <w:r>
        <w:t>adjustment,</w:t>
      </w:r>
      <w:r>
        <w:rPr>
          <w:spacing w:val="-7"/>
        </w:rPr>
        <w:t xml:space="preserve"> </w:t>
      </w:r>
      <w:r>
        <w:t>so</w:t>
      </w:r>
      <w:r>
        <w:rPr>
          <w:spacing w:val="-7"/>
        </w:rPr>
        <w:t xml:space="preserve"> </w:t>
      </w:r>
      <w:r>
        <w:t>Swan</w:t>
      </w:r>
      <w:r>
        <w:rPr>
          <w:spacing w:val="-7"/>
        </w:rPr>
        <w:t xml:space="preserve"> </w:t>
      </w:r>
      <w:r>
        <w:t>Vintage</w:t>
      </w:r>
      <w:r>
        <w:rPr>
          <w:spacing w:val="-6"/>
        </w:rPr>
        <w:t xml:space="preserve"> </w:t>
      </w:r>
      <w:r>
        <w:t>informed</w:t>
      </w:r>
      <w:r>
        <w:rPr>
          <w:spacing w:val="-7"/>
        </w:rPr>
        <w:t xml:space="preserve"> </w:t>
      </w:r>
      <w:r>
        <w:t>MOFCOM</w:t>
      </w:r>
      <w:r>
        <w:rPr>
          <w:spacing w:val="-7"/>
        </w:rPr>
        <w:t xml:space="preserve"> </w:t>
      </w:r>
      <w:r>
        <w:t>that</w:t>
      </w:r>
      <w:r>
        <w:rPr>
          <w:spacing w:val="-7"/>
        </w:rPr>
        <w:t xml:space="preserve"> </w:t>
      </w:r>
      <w:r>
        <w:t>it</w:t>
      </w:r>
      <w:r>
        <w:rPr>
          <w:spacing w:val="-7"/>
        </w:rPr>
        <w:t xml:space="preserve"> </w:t>
      </w:r>
      <w:r>
        <w:t>was</w:t>
      </w:r>
      <w:r>
        <w:rPr>
          <w:spacing w:val="-8"/>
        </w:rPr>
        <w:t xml:space="preserve"> </w:t>
      </w:r>
      <w:r>
        <w:t>unable</w:t>
      </w:r>
      <w:r>
        <w:rPr>
          <w:spacing w:val="-6"/>
        </w:rPr>
        <w:t xml:space="preserve"> </w:t>
      </w:r>
      <w:r>
        <w:t>to know the calculation method and basis for price adjustment.</w:t>
      </w:r>
      <w:r>
        <w:rPr>
          <w:vertAlign w:val="superscript"/>
        </w:rPr>
        <w:t>436</w:t>
      </w:r>
    </w:p>
    <w:p w14:paraId="51DE89B2" w14:textId="77777777" w:rsidR="0010369C" w:rsidRDefault="0010369C">
      <w:pPr>
        <w:pStyle w:val="BodyText"/>
        <w:spacing w:before="10"/>
        <w:rPr>
          <w:sz w:val="9"/>
        </w:rPr>
      </w:pPr>
    </w:p>
    <w:tbl>
      <w:tblPr>
        <w:tblW w:w="0" w:type="auto"/>
        <w:tblInd w:w="1046" w:type="dxa"/>
        <w:tblLayout w:type="fixed"/>
        <w:tblCellMar>
          <w:left w:w="0" w:type="dxa"/>
          <w:right w:w="0" w:type="dxa"/>
        </w:tblCellMar>
        <w:tblLook w:val="01E0" w:firstRow="1" w:lastRow="1" w:firstColumn="1" w:lastColumn="1" w:noHBand="0" w:noVBand="0"/>
      </w:tblPr>
      <w:tblGrid>
        <w:gridCol w:w="531"/>
        <w:gridCol w:w="1758"/>
        <w:gridCol w:w="1212"/>
        <w:gridCol w:w="465"/>
        <w:gridCol w:w="640"/>
        <w:gridCol w:w="1267"/>
        <w:gridCol w:w="434"/>
        <w:gridCol w:w="359"/>
        <w:gridCol w:w="480"/>
        <w:gridCol w:w="1185"/>
      </w:tblGrid>
      <w:tr w:rsidR="0010369C" w14:paraId="51DE89B5" w14:textId="77777777">
        <w:trPr>
          <w:trHeight w:val="400"/>
        </w:trPr>
        <w:tc>
          <w:tcPr>
            <w:tcW w:w="531" w:type="dxa"/>
          </w:tcPr>
          <w:p w14:paraId="51DE89B3" w14:textId="77777777" w:rsidR="0010369C" w:rsidRDefault="008E43AE">
            <w:pPr>
              <w:pStyle w:val="TableParagraph"/>
              <w:ind w:left="50"/>
              <w:rPr>
                <w:rFonts w:ascii="Symbol" w:hAnsi="Symbol"/>
                <w:sz w:val="24"/>
              </w:rPr>
            </w:pPr>
            <w:r>
              <w:rPr>
                <w:rFonts w:ascii="Symbol" w:hAnsi="Symbol"/>
                <w:w w:val="99"/>
                <w:sz w:val="24"/>
              </w:rPr>
              <w:t></w:t>
            </w:r>
          </w:p>
        </w:tc>
        <w:tc>
          <w:tcPr>
            <w:tcW w:w="7800" w:type="dxa"/>
            <w:gridSpan w:val="9"/>
          </w:tcPr>
          <w:p w14:paraId="51DE89B4" w14:textId="77777777" w:rsidR="0010369C" w:rsidRDefault="008E43AE">
            <w:pPr>
              <w:pStyle w:val="TableParagraph"/>
              <w:spacing w:before="12"/>
              <w:ind w:left="369"/>
              <w:rPr>
                <w:sz w:val="24"/>
              </w:rPr>
            </w:pPr>
            <w:r>
              <w:rPr>
                <w:sz w:val="24"/>
              </w:rPr>
              <w:t>Due</w:t>
            </w:r>
            <w:r>
              <w:rPr>
                <w:spacing w:val="3"/>
                <w:sz w:val="24"/>
              </w:rPr>
              <w:t xml:space="preserve"> </w:t>
            </w:r>
            <w:r>
              <w:rPr>
                <w:sz w:val="24"/>
              </w:rPr>
              <w:t>to</w:t>
            </w:r>
            <w:r>
              <w:rPr>
                <w:spacing w:val="4"/>
                <w:sz w:val="24"/>
              </w:rPr>
              <w:t xml:space="preserve"> </w:t>
            </w:r>
            <w:r>
              <w:rPr>
                <w:sz w:val="24"/>
              </w:rPr>
              <w:t>the</w:t>
            </w:r>
            <w:r>
              <w:rPr>
                <w:spacing w:val="4"/>
                <w:sz w:val="24"/>
              </w:rPr>
              <w:t xml:space="preserve"> </w:t>
            </w:r>
            <w:r>
              <w:rPr>
                <w:sz w:val="24"/>
              </w:rPr>
              <w:t>limited</w:t>
            </w:r>
            <w:r>
              <w:rPr>
                <w:spacing w:val="2"/>
                <w:sz w:val="24"/>
              </w:rPr>
              <w:t xml:space="preserve"> </w:t>
            </w:r>
            <w:r>
              <w:rPr>
                <w:sz w:val="24"/>
              </w:rPr>
              <w:t>information</w:t>
            </w:r>
            <w:r>
              <w:rPr>
                <w:spacing w:val="3"/>
                <w:sz w:val="24"/>
              </w:rPr>
              <w:t xml:space="preserve"> </w:t>
            </w:r>
            <w:r>
              <w:rPr>
                <w:sz w:val="24"/>
              </w:rPr>
              <w:t>disclosed</w:t>
            </w:r>
            <w:r>
              <w:rPr>
                <w:spacing w:val="4"/>
                <w:sz w:val="24"/>
              </w:rPr>
              <w:t xml:space="preserve"> </w:t>
            </w:r>
            <w:r>
              <w:rPr>
                <w:sz w:val="24"/>
              </w:rPr>
              <w:t>in</w:t>
            </w:r>
            <w:r>
              <w:rPr>
                <w:spacing w:val="3"/>
                <w:sz w:val="24"/>
              </w:rPr>
              <w:t xml:space="preserve"> </w:t>
            </w:r>
            <w:r>
              <w:rPr>
                <w:sz w:val="24"/>
              </w:rPr>
              <w:t>the</w:t>
            </w:r>
            <w:r>
              <w:rPr>
                <w:spacing w:val="3"/>
                <w:sz w:val="24"/>
              </w:rPr>
              <w:t xml:space="preserve"> </w:t>
            </w:r>
            <w:r>
              <w:rPr>
                <w:sz w:val="24"/>
              </w:rPr>
              <w:t>Preliminary</w:t>
            </w:r>
            <w:r>
              <w:rPr>
                <w:spacing w:val="2"/>
                <w:sz w:val="24"/>
              </w:rPr>
              <w:t xml:space="preserve"> </w:t>
            </w:r>
            <w:r>
              <w:rPr>
                <w:spacing w:val="-2"/>
                <w:sz w:val="24"/>
              </w:rPr>
              <w:t>Determination,</w:t>
            </w:r>
          </w:p>
        </w:tc>
      </w:tr>
      <w:tr w:rsidR="0010369C" w14:paraId="51DE89B7" w14:textId="77777777">
        <w:trPr>
          <w:trHeight w:val="439"/>
        </w:trPr>
        <w:tc>
          <w:tcPr>
            <w:tcW w:w="8331" w:type="dxa"/>
            <w:gridSpan w:val="10"/>
          </w:tcPr>
          <w:p w14:paraId="51DE89B6" w14:textId="77777777" w:rsidR="0010369C" w:rsidRDefault="008E43AE">
            <w:pPr>
              <w:pStyle w:val="TableParagraph"/>
              <w:spacing w:before="51"/>
              <w:ind w:left="900"/>
              <w:rPr>
                <w:sz w:val="24"/>
              </w:rPr>
            </w:pPr>
            <w:r>
              <w:rPr>
                <w:sz w:val="24"/>
              </w:rPr>
              <w:t>Swan</w:t>
            </w:r>
            <w:r>
              <w:rPr>
                <w:spacing w:val="6"/>
                <w:sz w:val="24"/>
              </w:rPr>
              <w:t xml:space="preserve"> </w:t>
            </w:r>
            <w:r>
              <w:rPr>
                <w:sz w:val="24"/>
              </w:rPr>
              <w:t>Vintage</w:t>
            </w:r>
            <w:r>
              <w:rPr>
                <w:spacing w:val="7"/>
                <w:sz w:val="24"/>
              </w:rPr>
              <w:t xml:space="preserve"> </w:t>
            </w:r>
            <w:r>
              <w:rPr>
                <w:sz w:val="24"/>
              </w:rPr>
              <w:t>was</w:t>
            </w:r>
            <w:r>
              <w:rPr>
                <w:spacing w:val="6"/>
                <w:sz w:val="24"/>
              </w:rPr>
              <w:t xml:space="preserve"> </w:t>
            </w:r>
            <w:r>
              <w:rPr>
                <w:sz w:val="24"/>
              </w:rPr>
              <w:t>"unable</w:t>
            </w:r>
            <w:r>
              <w:rPr>
                <w:spacing w:val="6"/>
                <w:sz w:val="24"/>
              </w:rPr>
              <w:t xml:space="preserve"> </w:t>
            </w:r>
            <w:r>
              <w:rPr>
                <w:sz w:val="24"/>
              </w:rPr>
              <w:t>to</w:t>
            </w:r>
            <w:r>
              <w:rPr>
                <w:spacing w:val="7"/>
                <w:sz w:val="24"/>
              </w:rPr>
              <w:t xml:space="preserve"> </w:t>
            </w:r>
            <w:r>
              <w:rPr>
                <w:sz w:val="24"/>
              </w:rPr>
              <w:t>reckon</w:t>
            </w:r>
            <w:r>
              <w:rPr>
                <w:spacing w:val="5"/>
                <w:sz w:val="24"/>
              </w:rPr>
              <w:t xml:space="preserve"> </w:t>
            </w:r>
            <w:r>
              <w:rPr>
                <w:sz w:val="24"/>
              </w:rPr>
              <w:t>the</w:t>
            </w:r>
            <w:r>
              <w:rPr>
                <w:spacing w:val="7"/>
                <w:sz w:val="24"/>
              </w:rPr>
              <w:t xml:space="preserve"> </w:t>
            </w:r>
            <w:r>
              <w:rPr>
                <w:sz w:val="24"/>
              </w:rPr>
              <w:t>dumping</w:t>
            </w:r>
            <w:r>
              <w:rPr>
                <w:spacing w:val="6"/>
                <w:sz w:val="24"/>
              </w:rPr>
              <w:t xml:space="preserve"> </w:t>
            </w:r>
            <w:r>
              <w:rPr>
                <w:sz w:val="24"/>
              </w:rPr>
              <w:t>margin</w:t>
            </w:r>
            <w:r>
              <w:rPr>
                <w:spacing w:val="6"/>
                <w:sz w:val="24"/>
              </w:rPr>
              <w:t xml:space="preserve"> </w:t>
            </w:r>
            <w:r>
              <w:rPr>
                <w:sz w:val="24"/>
              </w:rPr>
              <w:t>of</w:t>
            </w:r>
            <w:r>
              <w:rPr>
                <w:spacing w:val="5"/>
                <w:sz w:val="24"/>
              </w:rPr>
              <w:t xml:space="preserve"> </w:t>
            </w:r>
            <w:r>
              <w:rPr>
                <w:sz w:val="24"/>
              </w:rPr>
              <w:t>Swan</w:t>
            </w:r>
            <w:r>
              <w:rPr>
                <w:spacing w:val="7"/>
                <w:sz w:val="24"/>
              </w:rPr>
              <w:t xml:space="preserve"> </w:t>
            </w:r>
            <w:r>
              <w:rPr>
                <w:spacing w:val="-2"/>
                <w:sz w:val="24"/>
              </w:rPr>
              <w:t>Vintage</w:t>
            </w:r>
          </w:p>
        </w:tc>
      </w:tr>
      <w:tr w:rsidR="0010369C" w14:paraId="51DE89B9" w14:textId="77777777">
        <w:trPr>
          <w:trHeight w:val="439"/>
        </w:trPr>
        <w:tc>
          <w:tcPr>
            <w:tcW w:w="8331" w:type="dxa"/>
            <w:gridSpan w:val="10"/>
          </w:tcPr>
          <w:p w14:paraId="51DE89B8" w14:textId="77777777" w:rsidR="0010369C" w:rsidRDefault="008E43AE">
            <w:pPr>
              <w:pStyle w:val="TableParagraph"/>
              <w:spacing w:before="51"/>
              <w:ind w:left="900"/>
              <w:rPr>
                <w:sz w:val="24"/>
              </w:rPr>
            </w:pPr>
            <w:r>
              <w:rPr>
                <w:w w:val="95"/>
                <w:sz w:val="24"/>
              </w:rPr>
              <w:t>based</w:t>
            </w:r>
            <w:r>
              <w:rPr>
                <w:spacing w:val="11"/>
                <w:sz w:val="24"/>
              </w:rPr>
              <w:t xml:space="preserve"> </w:t>
            </w:r>
            <w:r>
              <w:rPr>
                <w:w w:val="95"/>
                <w:sz w:val="24"/>
              </w:rPr>
              <w:t>on</w:t>
            </w:r>
            <w:r>
              <w:rPr>
                <w:spacing w:val="12"/>
                <w:sz w:val="24"/>
              </w:rPr>
              <w:t xml:space="preserve"> </w:t>
            </w:r>
            <w:r>
              <w:rPr>
                <w:w w:val="95"/>
                <w:sz w:val="24"/>
              </w:rPr>
              <w:t>the</w:t>
            </w:r>
            <w:r>
              <w:rPr>
                <w:spacing w:val="14"/>
                <w:sz w:val="24"/>
              </w:rPr>
              <w:t xml:space="preserve"> </w:t>
            </w:r>
            <w:r>
              <w:rPr>
                <w:w w:val="95"/>
                <w:sz w:val="24"/>
              </w:rPr>
              <w:t>available</w:t>
            </w:r>
            <w:r>
              <w:rPr>
                <w:spacing w:val="13"/>
                <w:sz w:val="24"/>
              </w:rPr>
              <w:t xml:space="preserve"> </w:t>
            </w:r>
            <w:r>
              <w:rPr>
                <w:w w:val="95"/>
                <w:sz w:val="24"/>
              </w:rPr>
              <w:t>disclosures,"</w:t>
            </w:r>
            <w:r>
              <w:rPr>
                <w:spacing w:val="12"/>
                <w:sz w:val="24"/>
              </w:rPr>
              <w:t xml:space="preserve"> </w:t>
            </w:r>
            <w:r>
              <w:rPr>
                <w:w w:val="95"/>
                <w:sz w:val="24"/>
              </w:rPr>
              <w:t>and</w:t>
            </w:r>
            <w:r>
              <w:rPr>
                <w:spacing w:val="12"/>
                <w:sz w:val="24"/>
              </w:rPr>
              <w:t xml:space="preserve"> </w:t>
            </w:r>
            <w:r>
              <w:rPr>
                <w:w w:val="95"/>
                <w:sz w:val="24"/>
              </w:rPr>
              <w:t>therefore</w:t>
            </w:r>
            <w:r>
              <w:rPr>
                <w:spacing w:val="12"/>
                <w:sz w:val="24"/>
              </w:rPr>
              <w:t xml:space="preserve"> </w:t>
            </w:r>
            <w:r>
              <w:rPr>
                <w:w w:val="95"/>
                <w:sz w:val="24"/>
              </w:rPr>
              <w:t>was</w:t>
            </w:r>
            <w:r>
              <w:rPr>
                <w:spacing w:val="12"/>
                <w:sz w:val="24"/>
              </w:rPr>
              <w:t xml:space="preserve"> </w:t>
            </w:r>
            <w:r>
              <w:rPr>
                <w:w w:val="95"/>
                <w:sz w:val="24"/>
              </w:rPr>
              <w:t>unable</w:t>
            </w:r>
            <w:r>
              <w:rPr>
                <w:spacing w:val="13"/>
                <w:sz w:val="24"/>
              </w:rPr>
              <w:t xml:space="preserve"> </w:t>
            </w:r>
            <w:r>
              <w:rPr>
                <w:w w:val="95"/>
                <w:sz w:val="24"/>
              </w:rPr>
              <w:t>to</w:t>
            </w:r>
            <w:r>
              <w:rPr>
                <w:spacing w:val="12"/>
                <w:sz w:val="24"/>
              </w:rPr>
              <w:t xml:space="preserve"> </w:t>
            </w:r>
            <w:r>
              <w:rPr>
                <w:w w:val="95"/>
                <w:sz w:val="24"/>
              </w:rPr>
              <w:t>make</w:t>
            </w:r>
            <w:r>
              <w:rPr>
                <w:spacing w:val="12"/>
                <w:sz w:val="24"/>
              </w:rPr>
              <w:t xml:space="preserve"> </w:t>
            </w:r>
            <w:r>
              <w:rPr>
                <w:spacing w:val="-4"/>
                <w:w w:val="95"/>
                <w:sz w:val="24"/>
              </w:rPr>
              <w:t>more</w:t>
            </w:r>
          </w:p>
        </w:tc>
      </w:tr>
      <w:tr w:rsidR="0010369C" w14:paraId="51DE89BB" w14:textId="77777777">
        <w:trPr>
          <w:trHeight w:val="429"/>
        </w:trPr>
        <w:tc>
          <w:tcPr>
            <w:tcW w:w="8331" w:type="dxa"/>
            <w:gridSpan w:val="10"/>
          </w:tcPr>
          <w:p w14:paraId="51DE89BA" w14:textId="77777777" w:rsidR="0010369C" w:rsidRDefault="008E43AE">
            <w:pPr>
              <w:pStyle w:val="TableParagraph"/>
              <w:spacing w:before="51"/>
              <w:ind w:left="900"/>
              <w:rPr>
                <w:sz w:val="24"/>
              </w:rPr>
            </w:pPr>
            <w:r>
              <w:rPr>
                <w:sz w:val="24"/>
              </w:rPr>
              <w:t>specific</w:t>
            </w:r>
            <w:r>
              <w:rPr>
                <w:spacing w:val="36"/>
                <w:sz w:val="24"/>
              </w:rPr>
              <w:t xml:space="preserve"> </w:t>
            </w:r>
            <w:r>
              <w:rPr>
                <w:sz w:val="24"/>
              </w:rPr>
              <w:t>and</w:t>
            </w:r>
            <w:r>
              <w:rPr>
                <w:spacing w:val="34"/>
                <w:sz w:val="24"/>
              </w:rPr>
              <w:t xml:space="preserve"> </w:t>
            </w:r>
            <w:r>
              <w:rPr>
                <w:sz w:val="24"/>
              </w:rPr>
              <w:t>valid</w:t>
            </w:r>
            <w:r>
              <w:rPr>
                <w:spacing w:val="35"/>
                <w:sz w:val="24"/>
              </w:rPr>
              <w:t xml:space="preserve"> </w:t>
            </w:r>
            <w:r>
              <w:rPr>
                <w:sz w:val="24"/>
              </w:rPr>
              <w:t>comments,</w:t>
            </w:r>
            <w:r>
              <w:rPr>
                <w:spacing w:val="35"/>
                <w:sz w:val="24"/>
              </w:rPr>
              <w:t xml:space="preserve"> </w:t>
            </w:r>
            <w:r>
              <w:rPr>
                <w:sz w:val="24"/>
              </w:rPr>
              <w:t>which</w:t>
            </w:r>
            <w:r>
              <w:rPr>
                <w:spacing w:val="35"/>
                <w:sz w:val="24"/>
              </w:rPr>
              <w:t xml:space="preserve"> </w:t>
            </w:r>
            <w:r>
              <w:rPr>
                <w:sz w:val="24"/>
              </w:rPr>
              <w:t>seriously</w:t>
            </w:r>
            <w:r>
              <w:rPr>
                <w:spacing w:val="36"/>
                <w:sz w:val="24"/>
              </w:rPr>
              <w:t xml:space="preserve"> </w:t>
            </w:r>
            <w:r>
              <w:rPr>
                <w:sz w:val="24"/>
              </w:rPr>
              <w:t>affected</w:t>
            </w:r>
            <w:r>
              <w:rPr>
                <w:spacing w:val="34"/>
                <w:sz w:val="24"/>
              </w:rPr>
              <w:t xml:space="preserve"> </w:t>
            </w:r>
            <w:r>
              <w:rPr>
                <w:sz w:val="24"/>
              </w:rPr>
              <w:t>the</w:t>
            </w:r>
            <w:r>
              <w:rPr>
                <w:spacing w:val="36"/>
                <w:sz w:val="24"/>
              </w:rPr>
              <w:t xml:space="preserve"> </w:t>
            </w:r>
            <w:r>
              <w:rPr>
                <w:sz w:val="24"/>
              </w:rPr>
              <w:t>right</w:t>
            </w:r>
            <w:r>
              <w:rPr>
                <w:spacing w:val="36"/>
                <w:sz w:val="24"/>
              </w:rPr>
              <w:t xml:space="preserve"> </w:t>
            </w:r>
            <w:r>
              <w:rPr>
                <w:sz w:val="24"/>
              </w:rPr>
              <w:t>of</w:t>
            </w:r>
            <w:r>
              <w:rPr>
                <w:spacing w:val="35"/>
                <w:sz w:val="24"/>
              </w:rPr>
              <w:t xml:space="preserve"> </w:t>
            </w:r>
            <w:r>
              <w:rPr>
                <w:spacing w:val="-4"/>
                <w:sz w:val="24"/>
              </w:rPr>
              <w:t>Swan</w:t>
            </w:r>
          </w:p>
        </w:tc>
      </w:tr>
      <w:tr w:rsidR="0010369C" w14:paraId="51DE89BD" w14:textId="77777777">
        <w:trPr>
          <w:trHeight w:val="485"/>
        </w:trPr>
        <w:tc>
          <w:tcPr>
            <w:tcW w:w="8331" w:type="dxa"/>
            <w:gridSpan w:val="10"/>
          </w:tcPr>
          <w:p w14:paraId="51DE89BC" w14:textId="77777777" w:rsidR="0010369C" w:rsidRDefault="008E43AE">
            <w:pPr>
              <w:pStyle w:val="TableParagraph"/>
              <w:spacing w:before="61"/>
              <w:ind w:left="900"/>
              <w:rPr>
                <w:sz w:val="24"/>
              </w:rPr>
            </w:pPr>
            <w:r>
              <w:rPr>
                <w:sz w:val="24"/>
              </w:rPr>
              <w:t>Vintage</w:t>
            </w:r>
            <w:r>
              <w:rPr>
                <w:spacing w:val="-6"/>
                <w:sz w:val="24"/>
              </w:rPr>
              <w:t xml:space="preserve"> </w:t>
            </w:r>
            <w:r>
              <w:rPr>
                <w:sz w:val="24"/>
              </w:rPr>
              <w:t>to</w:t>
            </w:r>
            <w:r>
              <w:rPr>
                <w:spacing w:val="-5"/>
                <w:sz w:val="24"/>
              </w:rPr>
              <w:t xml:space="preserve"> </w:t>
            </w:r>
            <w:r>
              <w:rPr>
                <w:sz w:val="24"/>
              </w:rPr>
              <w:t>present</w:t>
            </w:r>
            <w:r>
              <w:rPr>
                <w:spacing w:val="-6"/>
                <w:sz w:val="24"/>
              </w:rPr>
              <w:t xml:space="preserve"> </w:t>
            </w:r>
            <w:r>
              <w:rPr>
                <w:sz w:val="24"/>
              </w:rPr>
              <w:t>a</w:t>
            </w:r>
            <w:r>
              <w:rPr>
                <w:spacing w:val="-6"/>
                <w:sz w:val="24"/>
              </w:rPr>
              <w:t xml:space="preserve"> </w:t>
            </w:r>
            <w:r>
              <w:rPr>
                <w:spacing w:val="-2"/>
                <w:sz w:val="24"/>
              </w:rPr>
              <w:t>defence.</w:t>
            </w:r>
            <w:r>
              <w:rPr>
                <w:spacing w:val="-2"/>
                <w:sz w:val="24"/>
                <w:vertAlign w:val="superscript"/>
              </w:rPr>
              <w:t>437</w:t>
            </w:r>
          </w:p>
        </w:tc>
      </w:tr>
      <w:tr w:rsidR="0010369C" w14:paraId="51DE89C0" w14:textId="77777777">
        <w:trPr>
          <w:trHeight w:val="536"/>
        </w:trPr>
        <w:tc>
          <w:tcPr>
            <w:tcW w:w="531" w:type="dxa"/>
          </w:tcPr>
          <w:p w14:paraId="51DE89BE" w14:textId="77777777" w:rsidR="0010369C" w:rsidRDefault="008E43AE">
            <w:pPr>
              <w:pStyle w:val="TableParagraph"/>
              <w:spacing w:before="135"/>
              <w:ind w:left="50"/>
              <w:rPr>
                <w:rFonts w:ascii="Symbol" w:hAnsi="Symbol"/>
                <w:sz w:val="24"/>
              </w:rPr>
            </w:pPr>
            <w:r>
              <w:rPr>
                <w:rFonts w:ascii="Symbol" w:hAnsi="Symbol"/>
                <w:w w:val="99"/>
                <w:sz w:val="24"/>
              </w:rPr>
              <w:t></w:t>
            </w:r>
          </w:p>
        </w:tc>
        <w:tc>
          <w:tcPr>
            <w:tcW w:w="7800" w:type="dxa"/>
            <w:gridSpan w:val="9"/>
          </w:tcPr>
          <w:p w14:paraId="51DE89BF" w14:textId="77777777" w:rsidR="0010369C" w:rsidRDefault="008E43AE">
            <w:pPr>
              <w:pStyle w:val="TableParagraph"/>
              <w:spacing w:before="148"/>
              <w:ind w:left="369"/>
              <w:rPr>
                <w:sz w:val="24"/>
              </w:rPr>
            </w:pPr>
            <w:r>
              <w:rPr>
                <w:w w:val="95"/>
                <w:sz w:val="24"/>
              </w:rPr>
              <w:t>The</w:t>
            </w:r>
            <w:r>
              <w:rPr>
                <w:spacing w:val="23"/>
                <w:sz w:val="24"/>
              </w:rPr>
              <w:t xml:space="preserve"> </w:t>
            </w:r>
            <w:r>
              <w:rPr>
                <w:w w:val="95"/>
                <w:sz w:val="24"/>
              </w:rPr>
              <w:t>Preliminary</w:t>
            </w:r>
            <w:r>
              <w:rPr>
                <w:spacing w:val="22"/>
                <w:sz w:val="24"/>
              </w:rPr>
              <w:t xml:space="preserve"> </w:t>
            </w:r>
            <w:r>
              <w:rPr>
                <w:w w:val="95"/>
                <w:sz w:val="24"/>
              </w:rPr>
              <w:t>Determination</w:t>
            </w:r>
            <w:r>
              <w:rPr>
                <w:spacing w:val="23"/>
                <w:sz w:val="24"/>
              </w:rPr>
              <w:t xml:space="preserve"> </w:t>
            </w:r>
            <w:r>
              <w:rPr>
                <w:w w:val="95"/>
                <w:sz w:val="24"/>
              </w:rPr>
              <w:t>of</w:t>
            </w:r>
            <w:r>
              <w:rPr>
                <w:spacing w:val="22"/>
                <w:sz w:val="24"/>
              </w:rPr>
              <w:t xml:space="preserve"> </w:t>
            </w:r>
            <w:r>
              <w:rPr>
                <w:w w:val="95"/>
                <w:sz w:val="24"/>
              </w:rPr>
              <w:t>MOFCOM</w:t>
            </w:r>
            <w:r>
              <w:rPr>
                <w:spacing w:val="22"/>
                <w:sz w:val="24"/>
              </w:rPr>
              <w:t xml:space="preserve"> </w:t>
            </w:r>
            <w:r>
              <w:rPr>
                <w:w w:val="95"/>
                <w:sz w:val="24"/>
              </w:rPr>
              <w:t>is</w:t>
            </w:r>
            <w:r>
              <w:rPr>
                <w:spacing w:val="21"/>
                <w:sz w:val="24"/>
              </w:rPr>
              <w:t xml:space="preserve"> </w:t>
            </w:r>
            <w:r>
              <w:rPr>
                <w:w w:val="95"/>
                <w:sz w:val="24"/>
              </w:rPr>
              <w:t>oversimplified,</w:t>
            </w:r>
            <w:r>
              <w:rPr>
                <w:spacing w:val="25"/>
                <w:sz w:val="24"/>
              </w:rPr>
              <w:t xml:space="preserve"> </w:t>
            </w:r>
            <w:r>
              <w:rPr>
                <w:w w:val="95"/>
                <w:sz w:val="24"/>
              </w:rPr>
              <w:t>which</w:t>
            </w:r>
            <w:r>
              <w:rPr>
                <w:spacing w:val="22"/>
                <w:sz w:val="24"/>
              </w:rPr>
              <w:t xml:space="preserve"> </w:t>
            </w:r>
            <w:r>
              <w:rPr>
                <w:w w:val="95"/>
                <w:sz w:val="24"/>
              </w:rPr>
              <w:t>made</w:t>
            </w:r>
            <w:r>
              <w:rPr>
                <w:spacing w:val="24"/>
                <w:sz w:val="24"/>
              </w:rPr>
              <w:t xml:space="preserve"> </w:t>
            </w:r>
            <w:r>
              <w:rPr>
                <w:spacing w:val="-5"/>
                <w:w w:val="95"/>
                <w:sz w:val="24"/>
              </w:rPr>
              <w:t>it</w:t>
            </w:r>
          </w:p>
        </w:tc>
      </w:tr>
      <w:tr w:rsidR="0010369C" w14:paraId="51DE89C2" w14:textId="77777777">
        <w:trPr>
          <w:trHeight w:val="439"/>
        </w:trPr>
        <w:tc>
          <w:tcPr>
            <w:tcW w:w="8331" w:type="dxa"/>
            <w:gridSpan w:val="10"/>
          </w:tcPr>
          <w:p w14:paraId="51DE89C1" w14:textId="77777777" w:rsidR="0010369C" w:rsidRDefault="008E43AE">
            <w:pPr>
              <w:pStyle w:val="TableParagraph"/>
              <w:spacing w:before="51"/>
              <w:ind w:left="900"/>
              <w:rPr>
                <w:sz w:val="24"/>
              </w:rPr>
            </w:pPr>
            <w:r>
              <w:rPr>
                <w:sz w:val="24"/>
              </w:rPr>
              <w:t>impossible</w:t>
            </w:r>
            <w:r>
              <w:rPr>
                <w:spacing w:val="58"/>
                <w:sz w:val="24"/>
              </w:rPr>
              <w:t xml:space="preserve"> </w:t>
            </w:r>
            <w:r>
              <w:rPr>
                <w:sz w:val="24"/>
              </w:rPr>
              <w:t>for</w:t>
            </w:r>
            <w:r>
              <w:rPr>
                <w:spacing w:val="58"/>
                <w:sz w:val="24"/>
              </w:rPr>
              <w:t xml:space="preserve"> </w:t>
            </w:r>
            <w:r>
              <w:rPr>
                <w:sz w:val="24"/>
              </w:rPr>
              <w:t>Swan</w:t>
            </w:r>
            <w:r>
              <w:rPr>
                <w:spacing w:val="57"/>
                <w:sz w:val="24"/>
              </w:rPr>
              <w:t xml:space="preserve"> </w:t>
            </w:r>
            <w:r>
              <w:rPr>
                <w:sz w:val="24"/>
              </w:rPr>
              <w:t>Vintage</w:t>
            </w:r>
            <w:r>
              <w:rPr>
                <w:spacing w:val="59"/>
                <w:sz w:val="24"/>
              </w:rPr>
              <w:t xml:space="preserve"> </w:t>
            </w:r>
            <w:r>
              <w:rPr>
                <w:sz w:val="24"/>
              </w:rPr>
              <w:t>to</w:t>
            </w:r>
            <w:r>
              <w:rPr>
                <w:spacing w:val="58"/>
                <w:sz w:val="24"/>
              </w:rPr>
              <w:t xml:space="preserve"> </w:t>
            </w:r>
            <w:r>
              <w:rPr>
                <w:sz w:val="24"/>
              </w:rPr>
              <w:t>understand</w:t>
            </w:r>
            <w:r>
              <w:rPr>
                <w:spacing w:val="58"/>
                <w:sz w:val="24"/>
              </w:rPr>
              <w:t xml:space="preserve"> </w:t>
            </w:r>
            <w:r>
              <w:rPr>
                <w:sz w:val="24"/>
              </w:rPr>
              <w:t>the</w:t>
            </w:r>
            <w:r>
              <w:rPr>
                <w:spacing w:val="59"/>
                <w:sz w:val="24"/>
              </w:rPr>
              <w:t xml:space="preserve"> </w:t>
            </w:r>
            <w:r>
              <w:rPr>
                <w:sz w:val="24"/>
              </w:rPr>
              <w:t>method</w:t>
            </w:r>
            <w:r>
              <w:rPr>
                <w:spacing w:val="55"/>
                <w:sz w:val="24"/>
              </w:rPr>
              <w:t xml:space="preserve"> </w:t>
            </w:r>
            <w:r>
              <w:rPr>
                <w:sz w:val="24"/>
              </w:rPr>
              <w:t>and</w:t>
            </w:r>
            <w:r>
              <w:rPr>
                <w:spacing w:val="58"/>
                <w:sz w:val="24"/>
              </w:rPr>
              <w:t xml:space="preserve"> </w:t>
            </w:r>
            <w:r>
              <w:rPr>
                <w:sz w:val="24"/>
              </w:rPr>
              <w:t>basis</w:t>
            </w:r>
            <w:r>
              <w:rPr>
                <w:spacing w:val="59"/>
                <w:sz w:val="24"/>
              </w:rPr>
              <w:t xml:space="preserve"> </w:t>
            </w:r>
            <w:r>
              <w:rPr>
                <w:spacing w:val="-5"/>
                <w:sz w:val="24"/>
              </w:rPr>
              <w:t>for</w:t>
            </w:r>
          </w:p>
        </w:tc>
      </w:tr>
      <w:tr w:rsidR="0010369C" w14:paraId="51DE89C4" w14:textId="77777777">
        <w:trPr>
          <w:trHeight w:val="439"/>
        </w:trPr>
        <w:tc>
          <w:tcPr>
            <w:tcW w:w="8331" w:type="dxa"/>
            <w:gridSpan w:val="10"/>
          </w:tcPr>
          <w:p w14:paraId="51DE89C3" w14:textId="77777777" w:rsidR="0010369C" w:rsidRDefault="008E43AE">
            <w:pPr>
              <w:pStyle w:val="TableParagraph"/>
              <w:spacing w:before="51"/>
              <w:ind w:left="900"/>
              <w:rPr>
                <w:sz w:val="24"/>
              </w:rPr>
            </w:pPr>
            <w:r>
              <w:rPr>
                <w:sz w:val="24"/>
              </w:rPr>
              <w:t>calculating</w:t>
            </w:r>
            <w:r>
              <w:rPr>
                <w:spacing w:val="11"/>
                <w:sz w:val="24"/>
              </w:rPr>
              <w:t xml:space="preserve"> </w:t>
            </w:r>
            <w:r>
              <w:rPr>
                <w:sz w:val="24"/>
              </w:rPr>
              <w:t>normal</w:t>
            </w:r>
            <w:r>
              <w:rPr>
                <w:spacing w:val="12"/>
                <w:sz w:val="24"/>
              </w:rPr>
              <w:t xml:space="preserve"> </w:t>
            </w:r>
            <w:r>
              <w:rPr>
                <w:sz w:val="24"/>
              </w:rPr>
              <w:t>value</w:t>
            </w:r>
            <w:r>
              <w:rPr>
                <w:spacing w:val="12"/>
                <w:sz w:val="24"/>
              </w:rPr>
              <w:t xml:space="preserve"> </w:t>
            </w:r>
            <w:r>
              <w:rPr>
                <w:sz w:val="24"/>
              </w:rPr>
              <w:t>and</w:t>
            </w:r>
            <w:r>
              <w:rPr>
                <w:spacing w:val="12"/>
                <w:sz w:val="24"/>
              </w:rPr>
              <w:t xml:space="preserve"> </w:t>
            </w:r>
            <w:r>
              <w:rPr>
                <w:sz w:val="24"/>
              </w:rPr>
              <w:t>export</w:t>
            </w:r>
            <w:r>
              <w:rPr>
                <w:spacing w:val="11"/>
                <w:sz w:val="24"/>
              </w:rPr>
              <w:t xml:space="preserve"> </w:t>
            </w:r>
            <w:r>
              <w:rPr>
                <w:sz w:val="24"/>
              </w:rPr>
              <w:t>price</w:t>
            </w:r>
            <w:r>
              <w:rPr>
                <w:spacing w:val="12"/>
                <w:sz w:val="24"/>
              </w:rPr>
              <w:t xml:space="preserve"> </w:t>
            </w:r>
            <w:r>
              <w:rPr>
                <w:sz w:val="24"/>
              </w:rPr>
              <w:t>on</w:t>
            </w:r>
            <w:r>
              <w:rPr>
                <w:spacing w:val="11"/>
                <w:sz w:val="24"/>
              </w:rPr>
              <w:t xml:space="preserve"> </w:t>
            </w:r>
            <w:r>
              <w:rPr>
                <w:sz w:val="24"/>
              </w:rPr>
              <w:t>the</w:t>
            </w:r>
            <w:r>
              <w:rPr>
                <w:spacing w:val="13"/>
                <w:sz w:val="24"/>
              </w:rPr>
              <w:t xml:space="preserve"> </w:t>
            </w:r>
            <w:r>
              <w:rPr>
                <w:sz w:val="24"/>
              </w:rPr>
              <w:t>basis</w:t>
            </w:r>
            <w:r>
              <w:rPr>
                <w:spacing w:val="11"/>
                <w:sz w:val="24"/>
              </w:rPr>
              <w:t xml:space="preserve"> </w:t>
            </w:r>
            <w:r>
              <w:rPr>
                <w:sz w:val="24"/>
              </w:rPr>
              <w:t>of</w:t>
            </w:r>
            <w:r>
              <w:rPr>
                <w:spacing w:val="12"/>
                <w:sz w:val="24"/>
              </w:rPr>
              <w:t xml:space="preserve"> </w:t>
            </w:r>
            <w:r>
              <w:rPr>
                <w:sz w:val="24"/>
              </w:rPr>
              <w:t>which</w:t>
            </w:r>
            <w:r>
              <w:rPr>
                <w:spacing w:val="11"/>
                <w:sz w:val="24"/>
              </w:rPr>
              <w:t xml:space="preserve"> </w:t>
            </w:r>
            <w:r>
              <w:rPr>
                <w:spacing w:val="-2"/>
                <w:sz w:val="24"/>
              </w:rPr>
              <w:t>MOFCOM</w:t>
            </w:r>
          </w:p>
        </w:tc>
      </w:tr>
      <w:tr w:rsidR="0010369C" w14:paraId="51DE89C6" w14:textId="77777777">
        <w:trPr>
          <w:trHeight w:val="429"/>
        </w:trPr>
        <w:tc>
          <w:tcPr>
            <w:tcW w:w="8331" w:type="dxa"/>
            <w:gridSpan w:val="10"/>
          </w:tcPr>
          <w:p w14:paraId="51DE89C5" w14:textId="77777777" w:rsidR="0010369C" w:rsidRDefault="008E43AE">
            <w:pPr>
              <w:pStyle w:val="TableParagraph"/>
              <w:spacing w:before="51"/>
              <w:ind w:left="900"/>
              <w:rPr>
                <w:sz w:val="24"/>
              </w:rPr>
            </w:pPr>
            <w:r>
              <w:rPr>
                <w:sz w:val="24"/>
              </w:rPr>
              <w:t>calculated</w:t>
            </w:r>
            <w:r>
              <w:rPr>
                <w:spacing w:val="2"/>
                <w:sz w:val="24"/>
              </w:rPr>
              <w:t xml:space="preserve"> </w:t>
            </w:r>
            <w:r>
              <w:rPr>
                <w:sz w:val="24"/>
              </w:rPr>
              <w:t>the</w:t>
            </w:r>
            <w:r>
              <w:rPr>
                <w:spacing w:val="4"/>
                <w:sz w:val="24"/>
              </w:rPr>
              <w:t xml:space="preserve"> </w:t>
            </w:r>
            <w:r>
              <w:rPr>
                <w:sz w:val="24"/>
              </w:rPr>
              <w:t>dumping</w:t>
            </w:r>
            <w:r>
              <w:rPr>
                <w:spacing w:val="4"/>
                <w:sz w:val="24"/>
              </w:rPr>
              <w:t xml:space="preserve"> </w:t>
            </w:r>
            <w:r>
              <w:rPr>
                <w:sz w:val="24"/>
              </w:rPr>
              <w:t>margin,</w:t>
            </w:r>
            <w:r>
              <w:rPr>
                <w:spacing w:val="2"/>
                <w:sz w:val="24"/>
              </w:rPr>
              <w:t xml:space="preserve"> </w:t>
            </w:r>
            <w:r>
              <w:rPr>
                <w:sz w:val="24"/>
              </w:rPr>
              <w:t>limiting</w:t>
            </w:r>
            <w:r>
              <w:rPr>
                <w:spacing w:val="4"/>
                <w:sz w:val="24"/>
              </w:rPr>
              <w:t xml:space="preserve"> </w:t>
            </w:r>
            <w:r>
              <w:rPr>
                <w:sz w:val="24"/>
              </w:rPr>
              <w:t>the</w:t>
            </w:r>
            <w:r>
              <w:rPr>
                <w:spacing w:val="4"/>
                <w:sz w:val="24"/>
              </w:rPr>
              <w:t xml:space="preserve"> </w:t>
            </w:r>
            <w:r>
              <w:rPr>
                <w:sz w:val="24"/>
              </w:rPr>
              <w:t>right</w:t>
            </w:r>
            <w:r>
              <w:rPr>
                <w:spacing w:val="2"/>
                <w:sz w:val="24"/>
              </w:rPr>
              <w:t xml:space="preserve"> </w:t>
            </w:r>
            <w:r>
              <w:rPr>
                <w:sz w:val="24"/>
              </w:rPr>
              <w:t>of</w:t>
            </w:r>
            <w:r>
              <w:rPr>
                <w:spacing w:val="3"/>
                <w:sz w:val="24"/>
              </w:rPr>
              <w:t xml:space="preserve"> </w:t>
            </w:r>
            <w:r>
              <w:rPr>
                <w:sz w:val="24"/>
              </w:rPr>
              <w:t>Swan</w:t>
            </w:r>
            <w:r>
              <w:rPr>
                <w:spacing w:val="3"/>
                <w:sz w:val="24"/>
              </w:rPr>
              <w:t xml:space="preserve"> </w:t>
            </w:r>
            <w:r>
              <w:rPr>
                <w:sz w:val="24"/>
              </w:rPr>
              <w:t>Vintage</w:t>
            </w:r>
            <w:r>
              <w:rPr>
                <w:spacing w:val="4"/>
                <w:sz w:val="24"/>
              </w:rPr>
              <w:t xml:space="preserve"> </w:t>
            </w:r>
            <w:r>
              <w:rPr>
                <w:sz w:val="24"/>
              </w:rPr>
              <w:t>to</w:t>
            </w:r>
            <w:r>
              <w:rPr>
                <w:spacing w:val="3"/>
                <w:sz w:val="24"/>
              </w:rPr>
              <w:t xml:space="preserve"> </w:t>
            </w:r>
            <w:r>
              <w:rPr>
                <w:spacing w:val="-4"/>
                <w:sz w:val="24"/>
              </w:rPr>
              <w:t>make</w:t>
            </w:r>
          </w:p>
        </w:tc>
      </w:tr>
      <w:tr w:rsidR="0010369C" w14:paraId="51DE89C8" w14:textId="77777777">
        <w:trPr>
          <w:trHeight w:val="485"/>
        </w:trPr>
        <w:tc>
          <w:tcPr>
            <w:tcW w:w="8331" w:type="dxa"/>
            <w:gridSpan w:val="10"/>
          </w:tcPr>
          <w:p w14:paraId="51DE89C7" w14:textId="77777777" w:rsidR="0010369C" w:rsidRDefault="008E43AE">
            <w:pPr>
              <w:pStyle w:val="TableParagraph"/>
              <w:spacing w:before="61"/>
              <w:ind w:left="899"/>
              <w:rPr>
                <w:sz w:val="24"/>
              </w:rPr>
            </w:pPr>
            <w:r>
              <w:rPr>
                <w:sz w:val="24"/>
              </w:rPr>
              <w:t>an</w:t>
            </w:r>
            <w:r>
              <w:rPr>
                <w:spacing w:val="-8"/>
                <w:sz w:val="24"/>
              </w:rPr>
              <w:t xml:space="preserve"> </w:t>
            </w:r>
            <w:r>
              <w:rPr>
                <w:sz w:val="24"/>
              </w:rPr>
              <w:t>effective</w:t>
            </w:r>
            <w:r>
              <w:rPr>
                <w:spacing w:val="-7"/>
                <w:sz w:val="24"/>
              </w:rPr>
              <w:t xml:space="preserve"> </w:t>
            </w:r>
            <w:r>
              <w:rPr>
                <w:spacing w:val="-2"/>
                <w:sz w:val="24"/>
              </w:rPr>
              <w:t>defence.</w:t>
            </w:r>
            <w:r>
              <w:rPr>
                <w:spacing w:val="-2"/>
                <w:sz w:val="24"/>
                <w:vertAlign w:val="superscript"/>
              </w:rPr>
              <w:t>438</w:t>
            </w:r>
          </w:p>
        </w:tc>
      </w:tr>
      <w:tr w:rsidR="0010369C" w14:paraId="51DE89CB" w14:textId="77777777">
        <w:trPr>
          <w:trHeight w:val="536"/>
        </w:trPr>
        <w:tc>
          <w:tcPr>
            <w:tcW w:w="531" w:type="dxa"/>
          </w:tcPr>
          <w:p w14:paraId="51DE89C9" w14:textId="77777777" w:rsidR="0010369C" w:rsidRDefault="008E43AE">
            <w:pPr>
              <w:pStyle w:val="TableParagraph"/>
              <w:spacing w:before="135"/>
              <w:ind w:left="50"/>
              <w:rPr>
                <w:rFonts w:ascii="Symbol" w:hAnsi="Symbol"/>
                <w:sz w:val="24"/>
              </w:rPr>
            </w:pPr>
            <w:r>
              <w:rPr>
                <w:rFonts w:ascii="Symbol" w:hAnsi="Symbol"/>
                <w:w w:val="99"/>
                <w:sz w:val="24"/>
              </w:rPr>
              <w:t></w:t>
            </w:r>
          </w:p>
        </w:tc>
        <w:tc>
          <w:tcPr>
            <w:tcW w:w="7800" w:type="dxa"/>
            <w:gridSpan w:val="9"/>
          </w:tcPr>
          <w:p w14:paraId="51DE89CA" w14:textId="77777777" w:rsidR="0010369C" w:rsidRDefault="008E43AE">
            <w:pPr>
              <w:pStyle w:val="TableParagraph"/>
              <w:spacing w:before="148"/>
              <w:ind w:left="369"/>
              <w:rPr>
                <w:sz w:val="24"/>
              </w:rPr>
            </w:pPr>
            <w:r>
              <w:rPr>
                <w:sz w:val="24"/>
              </w:rPr>
              <w:t>On</w:t>
            </w:r>
            <w:r>
              <w:rPr>
                <w:spacing w:val="20"/>
                <w:sz w:val="24"/>
              </w:rPr>
              <w:t xml:space="preserve"> </w:t>
            </w:r>
            <w:r>
              <w:rPr>
                <w:sz w:val="24"/>
              </w:rPr>
              <w:t>the</w:t>
            </w:r>
            <w:r>
              <w:rPr>
                <w:spacing w:val="21"/>
                <w:sz w:val="24"/>
              </w:rPr>
              <w:t xml:space="preserve"> </w:t>
            </w:r>
            <w:r>
              <w:rPr>
                <w:sz w:val="24"/>
              </w:rPr>
              <w:t>calculation</w:t>
            </w:r>
            <w:r>
              <w:rPr>
                <w:spacing w:val="19"/>
                <w:sz w:val="24"/>
              </w:rPr>
              <w:t xml:space="preserve"> </w:t>
            </w:r>
            <w:r>
              <w:rPr>
                <w:sz w:val="24"/>
              </w:rPr>
              <w:t>of</w:t>
            </w:r>
            <w:r>
              <w:rPr>
                <w:spacing w:val="21"/>
                <w:sz w:val="24"/>
              </w:rPr>
              <w:t xml:space="preserve"> </w:t>
            </w:r>
            <w:r>
              <w:rPr>
                <w:sz w:val="24"/>
              </w:rPr>
              <w:t>normal</w:t>
            </w:r>
            <w:r>
              <w:rPr>
                <w:spacing w:val="21"/>
                <w:sz w:val="24"/>
              </w:rPr>
              <w:t xml:space="preserve"> </w:t>
            </w:r>
            <w:r>
              <w:rPr>
                <w:sz w:val="24"/>
              </w:rPr>
              <w:t>value,</w:t>
            </w:r>
            <w:r>
              <w:rPr>
                <w:spacing w:val="20"/>
                <w:sz w:val="24"/>
              </w:rPr>
              <w:t xml:space="preserve"> </w:t>
            </w:r>
            <w:r>
              <w:rPr>
                <w:sz w:val="24"/>
              </w:rPr>
              <w:t>the</w:t>
            </w:r>
            <w:r>
              <w:rPr>
                <w:spacing w:val="21"/>
                <w:sz w:val="24"/>
              </w:rPr>
              <w:t xml:space="preserve"> </w:t>
            </w:r>
            <w:r>
              <w:rPr>
                <w:sz w:val="24"/>
              </w:rPr>
              <w:t>Anti‐Dumping</w:t>
            </w:r>
            <w:r>
              <w:rPr>
                <w:spacing w:val="20"/>
                <w:sz w:val="24"/>
              </w:rPr>
              <w:t xml:space="preserve"> </w:t>
            </w:r>
            <w:r>
              <w:rPr>
                <w:sz w:val="24"/>
              </w:rPr>
              <w:t>Final</w:t>
            </w:r>
            <w:r>
              <w:rPr>
                <w:spacing w:val="21"/>
                <w:sz w:val="24"/>
              </w:rPr>
              <w:t xml:space="preserve"> </w:t>
            </w:r>
            <w:r>
              <w:rPr>
                <w:sz w:val="24"/>
              </w:rPr>
              <w:t>Disclosure</w:t>
            </w:r>
            <w:r>
              <w:rPr>
                <w:spacing w:val="22"/>
                <w:sz w:val="24"/>
              </w:rPr>
              <w:t xml:space="preserve"> </w:t>
            </w:r>
            <w:r>
              <w:rPr>
                <w:spacing w:val="-5"/>
                <w:sz w:val="24"/>
              </w:rPr>
              <w:t>by</w:t>
            </w:r>
          </w:p>
        </w:tc>
      </w:tr>
      <w:tr w:rsidR="0010369C" w14:paraId="51DE89CE" w14:textId="77777777">
        <w:trPr>
          <w:trHeight w:val="439"/>
        </w:trPr>
        <w:tc>
          <w:tcPr>
            <w:tcW w:w="531" w:type="dxa"/>
          </w:tcPr>
          <w:p w14:paraId="51DE89CC" w14:textId="77777777" w:rsidR="0010369C" w:rsidRDefault="0010369C">
            <w:pPr>
              <w:pStyle w:val="TableParagraph"/>
              <w:rPr>
                <w:rFonts w:ascii="Times New Roman"/>
              </w:rPr>
            </w:pPr>
          </w:p>
        </w:tc>
        <w:tc>
          <w:tcPr>
            <w:tcW w:w="7800" w:type="dxa"/>
            <w:gridSpan w:val="9"/>
          </w:tcPr>
          <w:p w14:paraId="51DE89CD" w14:textId="77777777" w:rsidR="0010369C" w:rsidRDefault="008E43AE">
            <w:pPr>
              <w:pStyle w:val="TableParagraph"/>
              <w:spacing w:before="51"/>
              <w:ind w:left="369"/>
              <w:rPr>
                <w:sz w:val="24"/>
              </w:rPr>
            </w:pPr>
            <w:r>
              <w:rPr>
                <w:spacing w:val="-2"/>
                <w:sz w:val="24"/>
              </w:rPr>
              <w:t>MOFCOM</w:t>
            </w:r>
            <w:r>
              <w:rPr>
                <w:spacing w:val="-5"/>
                <w:sz w:val="24"/>
              </w:rPr>
              <w:t xml:space="preserve"> </w:t>
            </w:r>
            <w:r>
              <w:rPr>
                <w:spacing w:val="-2"/>
                <w:sz w:val="24"/>
              </w:rPr>
              <w:t>only</w:t>
            </w:r>
            <w:r>
              <w:rPr>
                <w:spacing w:val="-5"/>
                <w:sz w:val="24"/>
              </w:rPr>
              <w:t xml:space="preserve"> </w:t>
            </w:r>
            <w:r>
              <w:rPr>
                <w:spacing w:val="-2"/>
                <w:sz w:val="24"/>
              </w:rPr>
              <w:t>states,</w:t>
            </w:r>
            <w:r>
              <w:rPr>
                <w:spacing w:val="-6"/>
                <w:sz w:val="24"/>
              </w:rPr>
              <w:t xml:space="preserve"> </w:t>
            </w:r>
            <w:r>
              <w:rPr>
                <w:spacing w:val="-2"/>
                <w:sz w:val="24"/>
              </w:rPr>
              <w:t>"due</w:t>
            </w:r>
            <w:r>
              <w:rPr>
                <w:spacing w:val="-5"/>
                <w:sz w:val="24"/>
              </w:rPr>
              <w:t xml:space="preserve"> </w:t>
            </w:r>
            <w:r>
              <w:rPr>
                <w:spacing w:val="-2"/>
                <w:sz w:val="24"/>
              </w:rPr>
              <w:t>to</w:t>
            </w:r>
            <w:r>
              <w:rPr>
                <w:spacing w:val="-4"/>
                <w:sz w:val="24"/>
              </w:rPr>
              <w:t xml:space="preserve"> </w:t>
            </w:r>
            <w:r>
              <w:rPr>
                <w:spacing w:val="-2"/>
                <w:sz w:val="24"/>
              </w:rPr>
              <w:t>the</w:t>
            </w:r>
            <w:r>
              <w:rPr>
                <w:spacing w:val="-5"/>
                <w:sz w:val="24"/>
              </w:rPr>
              <w:t xml:space="preserve"> </w:t>
            </w:r>
            <w:r>
              <w:rPr>
                <w:spacing w:val="-2"/>
                <w:sz w:val="24"/>
              </w:rPr>
              <w:t>use</w:t>
            </w:r>
            <w:r>
              <w:rPr>
                <w:spacing w:val="-5"/>
                <w:sz w:val="24"/>
              </w:rPr>
              <w:t xml:space="preserve"> </w:t>
            </w:r>
            <w:r>
              <w:rPr>
                <w:spacing w:val="-2"/>
                <w:sz w:val="24"/>
              </w:rPr>
              <w:t>of</w:t>
            </w:r>
            <w:r>
              <w:rPr>
                <w:spacing w:val="-6"/>
                <w:sz w:val="24"/>
              </w:rPr>
              <w:t xml:space="preserve"> </w:t>
            </w:r>
            <w:r>
              <w:rPr>
                <w:spacing w:val="-2"/>
                <w:sz w:val="24"/>
              </w:rPr>
              <w:t>data</w:t>
            </w:r>
            <w:r>
              <w:rPr>
                <w:spacing w:val="-5"/>
                <w:sz w:val="24"/>
              </w:rPr>
              <w:t xml:space="preserve"> </w:t>
            </w:r>
            <w:r>
              <w:rPr>
                <w:spacing w:val="-2"/>
                <w:sz w:val="24"/>
              </w:rPr>
              <w:t>from</w:t>
            </w:r>
            <w:r>
              <w:rPr>
                <w:spacing w:val="-4"/>
                <w:sz w:val="24"/>
              </w:rPr>
              <w:t xml:space="preserve"> </w:t>
            </w:r>
            <w:r>
              <w:rPr>
                <w:spacing w:val="-2"/>
                <w:sz w:val="24"/>
              </w:rPr>
              <w:t>other</w:t>
            </w:r>
            <w:r>
              <w:rPr>
                <w:spacing w:val="-7"/>
                <w:sz w:val="24"/>
              </w:rPr>
              <w:t xml:space="preserve"> </w:t>
            </w:r>
            <w:r>
              <w:rPr>
                <w:spacing w:val="-2"/>
                <w:sz w:val="24"/>
              </w:rPr>
              <w:t>companies</w:t>
            </w:r>
            <w:r>
              <w:rPr>
                <w:spacing w:val="-6"/>
                <w:sz w:val="24"/>
              </w:rPr>
              <w:t xml:space="preserve"> </w:t>
            </w:r>
            <w:r>
              <w:rPr>
                <w:spacing w:val="-2"/>
                <w:sz w:val="24"/>
              </w:rPr>
              <w:t>and</w:t>
            </w:r>
            <w:r>
              <w:rPr>
                <w:spacing w:val="-6"/>
                <w:sz w:val="24"/>
              </w:rPr>
              <w:t xml:space="preserve"> </w:t>
            </w:r>
            <w:r>
              <w:rPr>
                <w:spacing w:val="-5"/>
                <w:sz w:val="24"/>
              </w:rPr>
              <w:t>the</w:t>
            </w:r>
          </w:p>
        </w:tc>
      </w:tr>
      <w:tr w:rsidR="0010369C" w14:paraId="51DE89D1" w14:textId="77777777">
        <w:trPr>
          <w:trHeight w:val="439"/>
        </w:trPr>
        <w:tc>
          <w:tcPr>
            <w:tcW w:w="531" w:type="dxa"/>
          </w:tcPr>
          <w:p w14:paraId="51DE89CF" w14:textId="77777777" w:rsidR="0010369C" w:rsidRDefault="0010369C">
            <w:pPr>
              <w:pStyle w:val="TableParagraph"/>
              <w:rPr>
                <w:rFonts w:ascii="Times New Roman"/>
              </w:rPr>
            </w:pPr>
          </w:p>
        </w:tc>
        <w:tc>
          <w:tcPr>
            <w:tcW w:w="7800" w:type="dxa"/>
            <w:gridSpan w:val="9"/>
          </w:tcPr>
          <w:p w14:paraId="51DE89D0" w14:textId="77777777" w:rsidR="0010369C" w:rsidRDefault="008E43AE">
            <w:pPr>
              <w:pStyle w:val="TableParagraph"/>
              <w:spacing w:before="51"/>
              <w:ind w:left="369"/>
              <w:rPr>
                <w:sz w:val="24"/>
              </w:rPr>
            </w:pPr>
            <w:r>
              <w:rPr>
                <w:sz w:val="24"/>
              </w:rPr>
              <w:t>need</w:t>
            </w:r>
            <w:r>
              <w:rPr>
                <w:spacing w:val="28"/>
                <w:sz w:val="24"/>
              </w:rPr>
              <w:t xml:space="preserve"> </w:t>
            </w:r>
            <w:r>
              <w:rPr>
                <w:sz w:val="24"/>
              </w:rPr>
              <w:t>for</w:t>
            </w:r>
            <w:r>
              <w:rPr>
                <w:spacing w:val="30"/>
                <w:sz w:val="24"/>
              </w:rPr>
              <w:t xml:space="preserve"> </w:t>
            </w:r>
            <w:r>
              <w:rPr>
                <w:sz w:val="24"/>
              </w:rPr>
              <w:t>maintaining</w:t>
            </w:r>
            <w:r>
              <w:rPr>
                <w:spacing w:val="28"/>
                <w:sz w:val="24"/>
              </w:rPr>
              <w:t xml:space="preserve"> </w:t>
            </w:r>
            <w:r>
              <w:rPr>
                <w:sz w:val="24"/>
              </w:rPr>
              <w:t>confidentiality,</w:t>
            </w:r>
            <w:r>
              <w:rPr>
                <w:spacing w:val="28"/>
                <w:sz w:val="24"/>
              </w:rPr>
              <w:t xml:space="preserve"> </w:t>
            </w:r>
            <w:r>
              <w:rPr>
                <w:sz w:val="24"/>
              </w:rPr>
              <w:t>the</w:t>
            </w:r>
            <w:r>
              <w:rPr>
                <w:spacing w:val="30"/>
                <w:sz w:val="24"/>
              </w:rPr>
              <w:t xml:space="preserve"> </w:t>
            </w:r>
            <w:r>
              <w:rPr>
                <w:sz w:val="24"/>
              </w:rPr>
              <w:t>weighted</w:t>
            </w:r>
            <w:r>
              <w:rPr>
                <w:spacing w:val="28"/>
                <w:sz w:val="24"/>
              </w:rPr>
              <w:t xml:space="preserve"> </w:t>
            </w:r>
            <w:r>
              <w:rPr>
                <w:sz w:val="24"/>
              </w:rPr>
              <w:t>average</w:t>
            </w:r>
            <w:r>
              <w:rPr>
                <w:spacing w:val="30"/>
                <w:sz w:val="24"/>
              </w:rPr>
              <w:t xml:space="preserve"> </w:t>
            </w:r>
            <w:r>
              <w:rPr>
                <w:sz w:val="24"/>
              </w:rPr>
              <w:t>normal</w:t>
            </w:r>
            <w:r>
              <w:rPr>
                <w:spacing w:val="29"/>
                <w:sz w:val="24"/>
              </w:rPr>
              <w:t xml:space="preserve"> </w:t>
            </w:r>
            <w:r>
              <w:rPr>
                <w:spacing w:val="-2"/>
                <w:sz w:val="24"/>
              </w:rPr>
              <w:t>value</w:t>
            </w:r>
          </w:p>
        </w:tc>
      </w:tr>
      <w:tr w:rsidR="0010369C" w14:paraId="51DE89D4" w14:textId="77777777">
        <w:trPr>
          <w:trHeight w:val="439"/>
        </w:trPr>
        <w:tc>
          <w:tcPr>
            <w:tcW w:w="531" w:type="dxa"/>
          </w:tcPr>
          <w:p w14:paraId="51DE89D2" w14:textId="77777777" w:rsidR="0010369C" w:rsidRDefault="0010369C">
            <w:pPr>
              <w:pStyle w:val="TableParagraph"/>
              <w:rPr>
                <w:rFonts w:ascii="Times New Roman"/>
              </w:rPr>
            </w:pPr>
          </w:p>
        </w:tc>
        <w:tc>
          <w:tcPr>
            <w:tcW w:w="7800" w:type="dxa"/>
            <w:gridSpan w:val="9"/>
          </w:tcPr>
          <w:p w14:paraId="51DE89D3" w14:textId="77777777" w:rsidR="0010369C" w:rsidRDefault="008E43AE">
            <w:pPr>
              <w:pStyle w:val="TableParagraph"/>
              <w:spacing w:before="51"/>
              <w:ind w:left="369"/>
              <w:rPr>
                <w:sz w:val="24"/>
              </w:rPr>
            </w:pPr>
            <w:r>
              <w:rPr>
                <w:sz w:val="24"/>
              </w:rPr>
              <w:t>range</w:t>
            </w:r>
            <w:r>
              <w:rPr>
                <w:spacing w:val="23"/>
                <w:sz w:val="24"/>
              </w:rPr>
              <w:t xml:space="preserve"> </w:t>
            </w:r>
            <w:r>
              <w:rPr>
                <w:sz w:val="24"/>
              </w:rPr>
              <w:t>which</w:t>
            </w:r>
            <w:r>
              <w:rPr>
                <w:spacing w:val="22"/>
                <w:sz w:val="24"/>
              </w:rPr>
              <w:t xml:space="preserve"> </w:t>
            </w:r>
            <w:r>
              <w:rPr>
                <w:sz w:val="24"/>
              </w:rPr>
              <w:t>was</w:t>
            </w:r>
            <w:r>
              <w:rPr>
                <w:spacing w:val="23"/>
                <w:sz w:val="24"/>
              </w:rPr>
              <w:t xml:space="preserve"> </w:t>
            </w:r>
            <w:r>
              <w:rPr>
                <w:sz w:val="24"/>
              </w:rPr>
              <w:t>adjusted</w:t>
            </w:r>
            <w:r>
              <w:rPr>
                <w:spacing w:val="22"/>
                <w:sz w:val="24"/>
              </w:rPr>
              <w:t xml:space="preserve"> </w:t>
            </w:r>
            <w:r>
              <w:rPr>
                <w:sz w:val="24"/>
              </w:rPr>
              <w:t>according</w:t>
            </w:r>
            <w:r>
              <w:rPr>
                <w:spacing w:val="23"/>
                <w:sz w:val="24"/>
              </w:rPr>
              <w:t xml:space="preserve"> </w:t>
            </w:r>
            <w:r>
              <w:rPr>
                <w:sz w:val="24"/>
              </w:rPr>
              <w:t>to</w:t>
            </w:r>
            <w:r>
              <w:rPr>
                <w:spacing w:val="24"/>
                <w:sz w:val="24"/>
              </w:rPr>
              <w:t xml:space="preserve"> </w:t>
            </w:r>
            <w:r>
              <w:rPr>
                <w:sz w:val="24"/>
              </w:rPr>
              <w:t>the</w:t>
            </w:r>
            <w:r>
              <w:rPr>
                <w:spacing w:val="24"/>
                <w:sz w:val="24"/>
              </w:rPr>
              <w:t xml:space="preserve"> </w:t>
            </w:r>
            <w:r>
              <w:rPr>
                <w:sz w:val="24"/>
              </w:rPr>
              <w:t>export</w:t>
            </w:r>
            <w:r>
              <w:rPr>
                <w:spacing w:val="23"/>
                <w:sz w:val="24"/>
              </w:rPr>
              <w:t xml:space="preserve"> </w:t>
            </w:r>
            <w:r>
              <w:rPr>
                <w:sz w:val="24"/>
              </w:rPr>
              <w:t>prices</w:t>
            </w:r>
            <w:r>
              <w:rPr>
                <w:spacing w:val="22"/>
                <w:sz w:val="24"/>
              </w:rPr>
              <w:t xml:space="preserve"> </w:t>
            </w:r>
            <w:r>
              <w:rPr>
                <w:sz w:val="24"/>
              </w:rPr>
              <w:t>adopted</w:t>
            </w:r>
            <w:r>
              <w:rPr>
                <w:spacing w:val="23"/>
                <w:sz w:val="24"/>
              </w:rPr>
              <w:t xml:space="preserve"> </w:t>
            </w:r>
            <w:r>
              <w:rPr>
                <w:sz w:val="24"/>
              </w:rPr>
              <w:t>by</w:t>
            </w:r>
            <w:r>
              <w:rPr>
                <w:spacing w:val="22"/>
                <w:sz w:val="24"/>
              </w:rPr>
              <w:t xml:space="preserve"> </w:t>
            </w:r>
            <w:r>
              <w:rPr>
                <w:spacing w:val="-5"/>
                <w:sz w:val="24"/>
              </w:rPr>
              <w:t>the</w:t>
            </w:r>
          </w:p>
        </w:tc>
      </w:tr>
      <w:tr w:rsidR="0010369C" w14:paraId="51DE89DF" w14:textId="77777777">
        <w:trPr>
          <w:trHeight w:val="429"/>
        </w:trPr>
        <w:tc>
          <w:tcPr>
            <w:tcW w:w="531" w:type="dxa"/>
          </w:tcPr>
          <w:p w14:paraId="51DE89D5" w14:textId="77777777" w:rsidR="0010369C" w:rsidRDefault="0010369C">
            <w:pPr>
              <w:pStyle w:val="TableParagraph"/>
              <w:rPr>
                <w:rFonts w:ascii="Times New Roman"/>
              </w:rPr>
            </w:pPr>
          </w:p>
        </w:tc>
        <w:tc>
          <w:tcPr>
            <w:tcW w:w="1758" w:type="dxa"/>
          </w:tcPr>
          <w:p w14:paraId="51DE89D6" w14:textId="77777777" w:rsidR="0010369C" w:rsidRDefault="008E43AE">
            <w:pPr>
              <w:pStyle w:val="TableParagraph"/>
              <w:spacing w:before="51"/>
              <w:ind w:left="369"/>
              <w:rPr>
                <w:sz w:val="24"/>
              </w:rPr>
            </w:pPr>
            <w:r>
              <w:rPr>
                <w:spacing w:val="-2"/>
                <w:sz w:val="24"/>
              </w:rPr>
              <w:t>Investigating</w:t>
            </w:r>
          </w:p>
        </w:tc>
        <w:tc>
          <w:tcPr>
            <w:tcW w:w="1212" w:type="dxa"/>
          </w:tcPr>
          <w:p w14:paraId="51DE89D7" w14:textId="77777777" w:rsidR="0010369C" w:rsidRDefault="008E43AE">
            <w:pPr>
              <w:pStyle w:val="TableParagraph"/>
              <w:spacing w:before="51"/>
              <w:ind w:left="140"/>
              <w:rPr>
                <w:sz w:val="24"/>
              </w:rPr>
            </w:pPr>
            <w:r>
              <w:rPr>
                <w:spacing w:val="-2"/>
                <w:sz w:val="24"/>
              </w:rPr>
              <w:t>Authority</w:t>
            </w:r>
          </w:p>
        </w:tc>
        <w:tc>
          <w:tcPr>
            <w:tcW w:w="465" w:type="dxa"/>
          </w:tcPr>
          <w:p w14:paraId="51DE89D8" w14:textId="77777777" w:rsidR="0010369C" w:rsidRDefault="008E43AE">
            <w:pPr>
              <w:pStyle w:val="TableParagraph"/>
              <w:spacing w:before="51"/>
              <w:ind w:left="139"/>
              <w:rPr>
                <w:sz w:val="24"/>
              </w:rPr>
            </w:pPr>
            <w:r>
              <w:rPr>
                <w:spacing w:val="-5"/>
                <w:sz w:val="24"/>
              </w:rPr>
              <w:t>in</w:t>
            </w:r>
          </w:p>
        </w:tc>
        <w:tc>
          <w:tcPr>
            <w:tcW w:w="640" w:type="dxa"/>
          </w:tcPr>
          <w:p w14:paraId="51DE89D9" w14:textId="77777777" w:rsidR="0010369C" w:rsidRDefault="008E43AE">
            <w:pPr>
              <w:pStyle w:val="TableParagraph"/>
              <w:spacing w:before="51"/>
              <w:ind w:left="139"/>
              <w:rPr>
                <w:sz w:val="24"/>
              </w:rPr>
            </w:pPr>
            <w:r>
              <w:rPr>
                <w:spacing w:val="-4"/>
                <w:sz w:val="24"/>
              </w:rPr>
              <w:t>this</w:t>
            </w:r>
          </w:p>
        </w:tc>
        <w:tc>
          <w:tcPr>
            <w:tcW w:w="1267" w:type="dxa"/>
          </w:tcPr>
          <w:p w14:paraId="51DE89DA" w14:textId="77777777" w:rsidR="0010369C" w:rsidRDefault="008E43AE">
            <w:pPr>
              <w:pStyle w:val="TableParagraph"/>
              <w:spacing w:before="51"/>
              <w:ind w:left="138"/>
              <w:rPr>
                <w:sz w:val="24"/>
              </w:rPr>
            </w:pPr>
            <w:r>
              <w:rPr>
                <w:spacing w:val="-2"/>
                <w:sz w:val="24"/>
              </w:rPr>
              <w:t>disclosure</w:t>
            </w:r>
          </w:p>
        </w:tc>
        <w:tc>
          <w:tcPr>
            <w:tcW w:w="434" w:type="dxa"/>
          </w:tcPr>
          <w:p w14:paraId="51DE89DB" w14:textId="77777777" w:rsidR="0010369C" w:rsidRDefault="008E43AE">
            <w:pPr>
              <w:pStyle w:val="TableParagraph"/>
              <w:spacing w:before="51"/>
              <w:ind w:left="138"/>
              <w:rPr>
                <w:sz w:val="24"/>
              </w:rPr>
            </w:pPr>
            <w:r>
              <w:rPr>
                <w:spacing w:val="-5"/>
                <w:sz w:val="24"/>
              </w:rPr>
              <w:t>is</w:t>
            </w:r>
          </w:p>
        </w:tc>
        <w:tc>
          <w:tcPr>
            <w:tcW w:w="359" w:type="dxa"/>
          </w:tcPr>
          <w:p w14:paraId="51DE89DC" w14:textId="77777777" w:rsidR="0010369C" w:rsidRDefault="008E43AE">
            <w:pPr>
              <w:pStyle w:val="TableParagraph"/>
              <w:spacing w:before="51"/>
              <w:ind w:right="11"/>
              <w:jc w:val="center"/>
              <w:rPr>
                <w:sz w:val="24"/>
              </w:rPr>
            </w:pPr>
            <w:r>
              <w:rPr>
                <w:w w:val="99"/>
                <w:sz w:val="24"/>
              </w:rPr>
              <w:t>[</w:t>
            </w:r>
          </w:p>
        </w:tc>
        <w:tc>
          <w:tcPr>
            <w:tcW w:w="480" w:type="dxa"/>
          </w:tcPr>
          <w:p w14:paraId="51DE89DD" w14:textId="77777777" w:rsidR="0010369C" w:rsidRDefault="008E43AE">
            <w:pPr>
              <w:pStyle w:val="TableParagraph"/>
              <w:spacing w:before="51"/>
              <w:ind w:left="135"/>
              <w:rPr>
                <w:sz w:val="24"/>
              </w:rPr>
            </w:pPr>
            <w:r>
              <w:rPr>
                <w:spacing w:val="-5"/>
                <w:sz w:val="24"/>
              </w:rPr>
              <w:t>]1</w:t>
            </w:r>
          </w:p>
        </w:tc>
        <w:tc>
          <w:tcPr>
            <w:tcW w:w="1185" w:type="dxa"/>
          </w:tcPr>
          <w:p w14:paraId="51DE89DE" w14:textId="77777777" w:rsidR="0010369C" w:rsidRDefault="008E43AE">
            <w:pPr>
              <w:pStyle w:val="TableParagraph"/>
              <w:spacing w:before="51"/>
              <w:ind w:left="133"/>
              <w:rPr>
                <w:sz w:val="24"/>
              </w:rPr>
            </w:pPr>
            <w:r>
              <w:rPr>
                <w:spacing w:val="-2"/>
                <w:sz w:val="24"/>
              </w:rPr>
              <w:t>Australian</w:t>
            </w:r>
          </w:p>
        </w:tc>
      </w:tr>
      <w:tr w:rsidR="0010369C" w14:paraId="51DE89E2" w14:textId="77777777">
        <w:trPr>
          <w:trHeight w:val="449"/>
        </w:trPr>
        <w:tc>
          <w:tcPr>
            <w:tcW w:w="531" w:type="dxa"/>
          </w:tcPr>
          <w:p w14:paraId="51DE89E0" w14:textId="77777777" w:rsidR="0010369C" w:rsidRDefault="0010369C">
            <w:pPr>
              <w:pStyle w:val="TableParagraph"/>
              <w:rPr>
                <w:rFonts w:ascii="Times New Roman"/>
              </w:rPr>
            </w:pPr>
          </w:p>
        </w:tc>
        <w:tc>
          <w:tcPr>
            <w:tcW w:w="7800" w:type="dxa"/>
            <w:gridSpan w:val="9"/>
          </w:tcPr>
          <w:p w14:paraId="51DE89E1" w14:textId="77777777" w:rsidR="0010369C" w:rsidRDefault="008E43AE">
            <w:pPr>
              <w:pStyle w:val="TableParagraph"/>
              <w:spacing w:before="61"/>
              <w:ind w:left="370"/>
              <w:rPr>
                <w:sz w:val="24"/>
              </w:rPr>
            </w:pPr>
            <w:r>
              <w:rPr>
                <w:sz w:val="24"/>
              </w:rPr>
              <w:t>dollar/[kilolitre]".</w:t>
            </w:r>
            <w:r>
              <w:rPr>
                <w:sz w:val="24"/>
                <w:vertAlign w:val="superscript"/>
              </w:rPr>
              <w:t>439</w:t>
            </w:r>
            <w:r>
              <w:rPr>
                <w:spacing w:val="-1"/>
                <w:sz w:val="24"/>
              </w:rPr>
              <w:t xml:space="preserve"> </w:t>
            </w:r>
            <w:r>
              <w:rPr>
                <w:sz w:val="24"/>
              </w:rPr>
              <w:t>From</w:t>
            </w:r>
            <w:r>
              <w:rPr>
                <w:spacing w:val="1"/>
                <w:sz w:val="24"/>
              </w:rPr>
              <w:t xml:space="preserve"> </w:t>
            </w:r>
            <w:r>
              <w:rPr>
                <w:sz w:val="24"/>
              </w:rPr>
              <w:t>this,</w:t>
            </w:r>
            <w:r>
              <w:rPr>
                <w:spacing w:val="1"/>
                <w:sz w:val="24"/>
              </w:rPr>
              <w:t xml:space="preserve"> </w:t>
            </w:r>
            <w:r>
              <w:rPr>
                <w:sz w:val="24"/>
              </w:rPr>
              <w:t>it</w:t>
            </w:r>
            <w:r>
              <w:rPr>
                <w:spacing w:val="1"/>
                <w:sz w:val="24"/>
              </w:rPr>
              <w:t xml:space="preserve"> </w:t>
            </w:r>
            <w:r>
              <w:rPr>
                <w:sz w:val="24"/>
              </w:rPr>
              <w:t>is</w:t>
            </w:r>
            <w:r>
              <w:rPr>
                <w:spacing w:val="1"/>
                <w:sz w:val="24"/>
              </w:rPr>
              <w:t xml:space="preserve"> </w:t>
            </w:r>
            <w:r>
              <w:rPr>
                <w:sz w:val="24"/>
              </w:rPr>
              <w:t>unclear</w:t>
            </w:r>
            <w:r>
              <w:rPr>
                <w:spacing w:val="2"/>
                <w:sz w:val="24"/>
              </w:rPr>
              <w:t xml:space="preserve"> </w:t>
            </w:r>
            <w:r>
              <w:rPr>
                <w:sz w:val="24"/>
              </w:rPr>
              <w:t>what costs and</w:t>
            </w:r>
            <w:r>
              <w:rPr>
                <w:spacing w:val="1"/>
                <w:sz w:val="24"/>
              </w:rPr>
              <w:t xml:space="preserve"> </w:t>
            </w:r>
            <w:r>
              <w:rPr>
                <w:sz w:val="24"/>
              </w:rPr>
              <w:t>expenses of</w:t>
            </w:r>
            <w:r>
              <w:rPr>
                <w:spacing w:val="1"/>
                <w:sz w:val="24"/>
              </w:rPr>
              <w:t xml:space="preserve"> </w:t>
            </w:r>
            <w:r>
              <w:rPr>
                <w:spacing w:val="-5"/>
                <w:sz w:val="24"/>
              </w:rPr>
              <w:t>the</w:t>
            </w:r>
          </w:p>
        </w:tc>
      </w:tr>
      <w:tr w:rsidR="0010369C" w14:paraId="51DE89E5" w14:textId="77777777">
        <w:trPr>
          <w:trHeight w:val="429"/>
        </w:trPr>
        <w:tc>
          <w:tcPr>
            <w:tcW w:w="531" w:type="dxa"/>
          </w:tcPr>
          <w:p w14:paraId="51DE89E3" w14:textId="77777777" w:rsidR="0010369C" w:rsidRDefault="0010369C">
            <w:pPr>
              <w:pStyle w:val="TableParagraph"/>
              <w:rPr>
                <w:rFonts w:ascii="Times New Roman"/>
              </w:rPr>
            </w:pPr>
          </w:p>
        </w:tc>
        <w:tc>
          <w:tcPr>
            <w:tcW w:w="7800" w:type="dxa"/>
            <w:gridSpan w:val="9"/>
          </w:tcPr>
          <w:p w14:paraId="51DE89E4" w14:textId="77777777" w:rsidR="0010369C" w:rsidRDefault="008E43AE">
            <w:pPr>
              <w:pStyle w:val="TableParagraph"/>
              <w:spacing w:before="51"/>
              <w:ind w:left="369"/>
              <w:rPr>
                <w:sz w:val="24"/>
              </w:rPr>
            </w:pPr>
            <w:r>
              <w:rPr>
                <w:sz w:val="24"/>
              </w:rPr>
              <w:t>product</w:t>
            </w:r>
            <w:r>
              <w:rPr>
                <w:spacing w:val="53"/>
                <w:sz w:val="24"/>
              </w:rPr>
              <w:t xml:space="preserve"> </w:t>
            </w:r>
            <w:r>
              <w:rPr>
                <w:sz w:val="24"/>
              </w:rPr>
              <w:t>under</w:t>
            </w:r>
            <w:r>
              <w:rPr>
                <w:spacing w:val="54"/>
                <w:sz w:val="24"/>
              </w:rPr>
              <w:t xml:space="preserve"> </w:t>
            </w:r>
            <w:r>
              <w:rPr>
                <w:sz w:val="24"/>
              </w:rPr>
              <w:t>investigation</w:t>
            </w:r>
            <w:r>
              <w:rPr>
                <w:spacing w:val="54"/>
                <w:sz w:val="24"/>
              </w:rPr>
              <w:t xml:space="preserve"> </w:t>
            </w:r>
            <w:r>
              <w:rPr>
                <w:sz w:val="24"/>
              </w:rPr>
              <w:t>were</w:t>
            </w:r>
            <w:r>
              <w:rPr>
                <w:spacing w:val="52"/>
                <w:sz w:val="24"/>
              </w:rPr>
              <w:t xml:space="preserve"> </w:t>
            </w:r>
            <w:r>
              <w:rPr>
                <w:sz w:val="24"/>
              </w:rPr>
              <w:t>used</w:t>
            </w:r>
            <w:r>
              <w:rPr>
                <w:spacing w:val="53"/>
                <w:sz w:val="24"/>
              </w:rPr>
              <w:t xml:space="preserve"> </w:t>
            </w:r>
            <w:r>
              <w:rPr>
                <w:sz w:val="24"/>
              </w:rPr>
              <w:t>by</w:t>
            </w:r>
            <w:r>
              <w:rPr>
                <w:spacing w:val="53"/>
                <w:sz w:val="24"/>
              </w:rPr>
              <w:t xml:space="preserve"> </w:t>
            </w:r>
            <w:r>
              <w:rPr>
                <w:sz w:val="24"/>
              </w:rPr>
              <w:t>MOFCOM</w:t>
            </w:r>
            <w:r>
              <w:rPr>
                <w:spacing w:val="54"/>
                <w:sz w:val="24"/>
              </w:rPr>
              <w:t xml:space="preserve"> </w:t>
            </w:r>
            <w:r>
              <w:rPr>
                <w:sz w:val="24"/>
              </w:rPr>
              <w:t>to</w:t>
            </w:r>
            <w:r>
              <w:rPr>
                <w:spacing w:val="54"/>
                <w:sz w:val="24"/>
              </w:rPr>
              <w:t xml:space="preserve"> </w:t>
            </w:r>
            <w:r>
              <w:rPr>
                <w:sz w:val="24"/>
              </w:rPr>
              <w:t>determine</w:t>
            </w:r>
            <w:r>
              <w:rPr>
                <w:spacing w:val="55"/>
                <w:sz w:val="24"/>
              </w:rPr>
              <w:t xml:space="preserve"> </w:t>
            </w:r>
            <w:r>
              <w:rPr>
                <w:spacing w:val="-5"/>
                <w:sz w:val="24"/>
              </w:rPr>
              <w:t>the</w:t>
            </w:r>
          </w:p>
        </w:tc>
      </w:tr>
      <w:tr w:rsidR="0010369C" w14:paraId="51DE89ED" w14:textId="77777777">
        <w:trPr>
          <w:trHeight w:val="350"/>
        </w:trPr>
        <w:tc>
          <w:tcPr>
            <w:tcW w:w="531" w:type="dxa"/>
          </w:tcPr>
          <w:p w14:paraId="51DE89E6" w14:textId="77777777" w:rsidR="0010369C" w:rsidRDefault="0010369C">
            <w:pPr>
              <w:pStyle w:val="TableParagraph"/>
              <w:rPr>
                <w:rFonts w:ascii="Times New Roman"/>
              </w:rPr>
            </w:pPr>
          </w:p>
        </w:tc>
        <w:tc>
          <w:tcPr>
            <w:tcW w:w="4075" w:type="dxa"/>
            <w:gridSpan w:val="4"/>
          </w:tcPr>
          <w:p w14:paraId="51DE89E7" w14:textId="77777777" w:rsidR="0010369C" w:rsidRDefault="008E43AE">
            <w:pPr>
              <w:pStyle w:val="TableParagraph"/>
              <w:spacing w:before="61" w:line="269" w:lineRule="exact"/>
              <w:ind w:left="369"/>
              <w:rPr>
                <w:sz w:val="24"/>
              </w:rPr>
            </w:pPr>
            <w:r>
              <w:rPr>
                <w:sz w:val="24"/>
              </w:rPr>
              <w:t>normal</w:t>
            </w:r>
            <w:r>
              <w:rPr>
                <w:spacing w:val="-6"/>
                <w:sz w:val="24"/>
              </w:rPr>
              <w:t xml:space="preserve"> </w:t>
            </w:r>
            <w:r>
              <w:rPr>
                <w:sz w:val="24"/>
              </w:rPr>
              <w:t>value</w:t>
            </w:r>
            <w:r>
              <w:rPr>
                <w:spacing w:val="-6"/>
                <w:sz w:val="24"/>
              </w:rPr>
              <w:t xml:space="preserve"> </w:t>
            </w:r>
            <w:r>
              <w:rPr>
                <w:sz w:val="24"/>
              </w:rPr>
              <w:t>of</w:t>
            </w:r>
            <w:r>
              <w:rPr>
                <w:spacing w:val="-7"/>
                <w:sz w:val="24"/>
              </w:rPr>
              <w:t xml:space="preserve"> </w:t>
            </w:r>
            <w:r>
              <w:rPr>
                <w:sz w:val="24"/>
              </w:rPr>
              <w:t>Swan</w:t>
            </w:r>
            <w:r>
              <w:rPr>
                <w:spacing w:val="-7"/>
                <w:sz w:val="24"/>
              </w:rPr>
              <w:t xml:space="preserve"> </w:t>
            </w:r>
            <w:r>
              <w:rPr>
                <w:spacing w:val="-2"/>
                <w:sz w:val="24"/>
              </w:rPr>
              <w:t>Vintage.</w:t>
            </w:r>
            <w:r>
              <w:rPr>
                <w:spacing w:val="-2"/>
                <w:sz w:val="24"/>
                <w:vertAlign w:val="superscript"/>
              </w:rPr>
              <w:t>440</w:t>
            </w:r>
          </w:p>
        </w:tc>
        <w:tc>
          <w:tcPr>
            <w:tcW w:w="1267" w:type="dxa"/>
          </w:tcPr>
          <w:p w14:paraId="51DE89E8" w14:textId="77777777" w:rsidR="0010369C" w:rsidRDefault="0010369C">
            <w:pPr>
              <w:pStyle w:val="TableParagraph"/>
              <w:rPr>
                <w:rFonts w:ascii="Times New Roman"/>
              </w:rPr>
            </w:pPr>
          </w:p>
        </w:tc>
        <w:tc>
          <w:tcPr>
            <w:tcW w:w="434" w:type="dxa"/>
          </w:tcPr>
          <w:p w14:paraId="51DE89E9" w14:textId="77777777" w:rsidR="0010369C" w:rsidRDefault="0010369C">
            <w:pPr>
              <w:pStyle w:val="TableParagraph"/>
              <w:rPr>
                <w:rFonts w:ascii="Times New Roman"/>
              </w:rPr>
            </w:pPr>
          </w:p>
        </w:tc>
        <w:tc>
          <w:tcPr>
            <w:tcW w:w="359" w:type="dxa"/>
          </w:tcPr>
          <w:p w14:paraId="51DE89EA" w14:textId="77777777" w:rsidR="0010369C" w:rsidRDefault="0010369C">
            <w:pPr>
              <w:pStyle w:val="TableParagraph"/>
              <w:rPr>
                <w:rFonts w:ascii="Times New Roman"/>
              </w:rPr>
            </w:pPr>
          </w:p>
        </w:tc>
        <w:tc>
          <w:tcPr>
            <w:tcW w:w="480" w:type="dxa"/>
          </w:tcPr>
          <w:p w14:paraId="51DE89EB" w14:textId="77777777" w:rsidR="0010369C" w:rsidRDefault="0010369C">
            <w:pPr>
              <w:pStyle w:val="TableParagraph"/>
              <w:rPr>
                <w:rFonts w:ascii="Times New Roman"/>
              </w:rPr>
            </w:pPr>
          </w:p>
        </w:tc>
        <w:tc>
          <w:tcPr>
            <w:tcW w:w="1185" w:type="dxa"/>
          </w:tcPr>
          <w:p w14:paraId="51DE89EC" w14:textId="77777777" w:rsidR="0010369C" w:rsidRDefault="0010369C">
            <w:pPr>
              <w:pStyle w:val="TableParagraph"/>
              <w:rPr>
                <w:rFonts w:ascii="Times New Roman"/>
              </w:rPr>
            </w:pPr>
          </w:p>
        </w:tc>
      </w:tr>
    </w:tbl>
    <w:p w14:paraId="51DE89EE" w14:textId="77777777" w:rsidR="0010369C" w:rsidRDefault="0010369C">
      <w:pPr>
        <w:pStyle w:val="BodyText"/>
        <w:spacing w:before="9"/>
        <w:rPr>
          <w:sz w:val="22"/>
        </w:rPr>
      </w:pPr>
    </w:p>
    <w:p w14:paraId="51DE89EF" w14:textId="77777777" w:rsidR="0010369C" w:rsidRDefault="008E43AE">
      <w:pPr>
        <w:pStyle w:val="BodyText"/>
        <w:spacing w:before="1" w:line="360" w:lineRule="auto"/>
        <w:ind w:left="237" w:right="615" w:firstLine="851"/>
        <w:jc w:val="both"/>
        <w:rPr>
          <w:rFonts w:ascii="Times New Roman"/>
        </w:rPr>
      </w:pPr>
      <w:r>
        <w:rPr>
          <w:noProof/>
        </w:rPr>
        <w:drawing>
          <wp:anchor distT="0" distB="0" distL="0" distR="0" simplePos="0" relativeHeight="251054592" behindDoc="1" locked="0" layoutInCell="1" allowOverlap="1" wp14:anchorId="51DEA2F2" wp14:editId="51DEA2F3">
            <wp:simplePos x="0" y="0"/>
            <wp:positionH relativeFrom="page">
              <wp:posOffset>899160</wp:posOffset>
            </wp:positionH>
            <wp:positionV relativeFrom="paragraph">
              <wp:posOffset>45162</wp:posOffset>
            </wp:positionV>
            <wp:extent cx="265175" cy="106679"/>
            <wp:effectExtent l="0" t="0" r="0" b="0"/>
            <wp:wrapNone/>
            <wp:docPr id="827" name="image4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 name="image424.png"/>
                    <pic:cNvPicPr/>
                  </pic:nvPicPr>
                  <pic:blipFill>
                    <a:blip r:embed="rId562" cstate="print"/>
                    <a:stretch>
                      <a:fillRect/>
                    </a:stretch>
                  </pic:blipFill>
                  <pic:spPr>
                    <a:xfrm>
                      <a:off x="0" y="0"/>
                      <a:ext cx="265175" cy="106679"/>
                    </a:xfrm>
                    <a:prstGeom prst="rect">
                      <a:avLst/>
                    </a:prstGeom>
                  </pic:spPr>
                </pic:pic>
              </a:graphicData>
            </a:graphic>
          </wp:anchor>
        </w:drawing>
      </w:r>
      <w:r>
        <w:t>Thus,</w:t>
      </w:r>
      <w:r>
        <w:rPr>
          <w:spacing w:val="-2"/>
        </w:rPr>
        <w:t xml:space="preserve"> </w:t>
      </w:r>
      <w:r>
        <w:t>MOFCOM's</w:t>
      </w:r>
      <w:r>
        <w:rPr>
          <w:spacing w:val="-3"/>
        </w:rPr>
        <w:t xml:space="preserve"> </w:t>
      </w:r>
      <w:r>
        <w:t>failures</w:t>
      </w:r>
      <w:r>
        <w:rPr>
          <w:spacing w:val="-3"/>
        </w:rPr>
        <w:t xml:space="preserve"> </w:t>
      </w:r>
      <w:r>
        <w:t>denied</w:t>
      </w:r>
      <w:r>
        <w:rPr>
          <w:spacing w:val="-2"/>
        </w:rPr>
        <w:t xml:space="preserve"> </w:t>
      </w:r>
      <w:r>
        <w:t>Swan</w:t>
      </w:r>
      <w:r>
        <w:rPr>
          <w:spacing w:val="-2"/>
        </w:rPr>
        <w:t xml:space="preserve"> </w:t>
      </w:r>
      <w:r>
        <w:t>Vintage</w:t>
      </w:r>
      <w:r>
        <w:rPr>
          <w:spacing w:val="-1"/>
        </w:rPr>
        <w:t xml:space="preserve"> </w:t>
      </w:r>
      <w:r>
        <w:t>the</w:t>
      </w:r>
      <w:r>
        <w:rPr>
          <w:spacing w:val="-2"/>
        </w:rPr>
        <w:t xml:space="preserve"> </w:t>
      </w:r>
      <w:r>
        <w:t>information</w:t>
      </w:r>
      <w:r>
        <w:rPr>
          <w:spacing w:val="-2"/>
        </w:rPr>
        <w:t xml:space="preserve"> </w:t>
      </w:r>
      <w:r>
        <w:t>it</w:t>
      </w:r>
      <w:r>
        <w:rPr>
          <w:spacing w:val="-2"/>
        </w:rPr>
        <w:t xml:space="preserve"> </w:t>
      </w:r>
      <w:r>
        <w:t>needed</w:t>
      </w:r>
      <w:r>
        <w:rPr>
          <w:spacing w:val="-2"/>
        </w:rPr>
        <w:t xml:space="preserve"> </w:t>
      </w:r>
      <w:r>
        <w:t>to</w:t>
      </w:r>
      <w:r>
        <w:rPr>
          <w:spacing w:val="-2"/>
        </w:rPr>
        <w:t xml:space="preserve"> </w:t>
      </w:r>
      <w:r>
        <w:t>identify and address MOFCOM's concerns regarding the information necessary to determine normal value and export price. The deficiencies alleged by MOFCOM must be viewed in this light</w:t>
      </w:r>
      <w:r>
        <w:rPr>
          <w:rFonts w:ascii="Times New Roman"/>
        </w:rPr>
        <w:t>.</w:t>
      </w:r>
    </w:p>
    <w:p w14:paraId="51DE89F0" w14:textId="77777777" w:rsidR="0010369C" w:rsidRDefault="0010369C">
      <w:pPr>
        <w:pStyle w:val="BodyText"/>
        <w:rPr>
          <w:rFonts w:ascii="Times New Roman"/>
          <w:sz w:val="20"/>
        </w:rPr>
      </w:pPr>
    </w:p>
    <w:p w14:paraId="51DE89F1" w14:textId="77777777" w:rsidR="0010369C" w:rsidRDefault="0010369C">
      <w:pPr>
        <w:pStyle w:val="BodyText"/>
        <w:rPr>
          <w:rFonts w:ascii="Times New Roman"/>
          <w:sz w:val="20"/>
        </w:rPr>
      </w:pPr>
    </w:p>
    <w:p w14:paraId="51DE89F2" w14:textId="77777777" w:rsidR="0010369C" w:rsidRDefault="0010369C">
      <w:pPr>
        <w:pStyle w:val="BodyText"/>
        <w:rPr>
          <w:rFonts w:ascii="Times New Roman"/>
          <w:sz w:val="20"/>
        </w:rPr>
      </w:pPr>
    </w:p>
    <w:p w14:paraId="51DE89F3" w14:textId="77777777" w:rsidR="0010369C" w:rsidRDefault="0010369C">
      <w:pPr>
        <w:pStyle w:val="BodyText"/>
        <w:rPr>
          <w:rFonts w:ascii="Times New Roman"/>
          <w:sz w:val="20"/>
        </w:rPr>
      </w:pPr>
    </w:p>
    <w:p w14:paraId="51DE89F4" w14:textId="77777777" w:rsidR="0010369C" w:rsidRDefault="0010369C">
      <w:pPr>
        <w:pStyle w:val="BodyText"/>
        <w:rPr>
          <w:rFonts w:ascii="Times New Roman"/>
          <w:sz w:val="20"/>
        </w:rPr>
      </w:pPr>
    </w:p>
    <w:p w14:paraId="51DE89F5" w14:textId="77777777" w:rsidR="0010369C" w:rsidRDefault="0010369C">
      <w:pPr>
        <w:pStyle w:val="BodyText"/>
        <w:rPr>
          <w:rFonts w:ascii="Times New Roman"/>
          <w:sz w:val="20"/>
        </w:rPr>
      </w:pPr>
    </w:p>
    <w:p w14:paraId="51DE89F6" w14:textId="77777777" w:rsidR="0010369C" w:rsidRDefault="0010369C">
      <w:pPr>
        <w:pStyle w:val="BodyText"/>
        <w:rPr>
          <w:rFonts w:ascii="Times New Roman"/>
          <w:sz w:val="20"/>
        </w:rPr>
      </w:pPr>
    </w:p>
    <w:p w14:paraId="51DE89F7" w14:textId="77777777" w:rsidR="0010369C" w:rsidRDefault="0010369C">
      <w:pPr>
        <w:pStyle w:val="BodyText"/>
        <w:rPr>
          <w:rFonts w:ascii="Times New Roman"/>
          <w:sz w:val="20"/>
        </w:rPr>
      </w:pPr>
    </w:p>
    <w:p w14:paraId="51DE89F8" w14:textId="77777777" w:rsidR="0010369C" w:rsidRDefault="008E43AE">
      <w:pPr>
        <w:pStyle w:val="BodyText"/>
        <w:spacing w:before="1"/>
        <w:rPr>
          <w:rFonts w:ascii="Times New Roman"/>
          <w:sz w:val="25"/>
        </w:rPr>
      </w:pPr>
      <w:r>
        <w:pict w14:anchorId="51DEA2F4">
          <v:rect id="docshape881" o:spid="_x0000_s1435" style="position:absolute;margin-left:70.9pt;margin-top:15.65pt;width:2in;height:.8pt;z-index:-250887680;mso-wrap-distance-left:0;mso-wrap-distance-right:0;mso-position-horizontal-relative:page" fillcolor="black" stroked="f">
            <w10:wrap type="topAndBottom" anchorx="page"/>
          </v:rect>
        </w:pict>
      </w:r>
    </w:p>
    <w:p w14:paraId="51DE89F9" w14:textId="77777777" w:rsidR="0010369C" w:rsidRDefault="008E43AE">
      <w:pPr>
        <w:spacing w:before="109"/>
        <w:ind w:left="238" w:right="3499"/>
        <w:jc w:val="both"/>
        <w:rPr>
          <w:sz w:val="18"/>
        </w:rPr>
      </w:pPr>
      <w:r>
        <w:rPr>
          <w:sz w:val="18"/>
          <w:vertAlign w:val="superscript"/>
        </w:rPr>
        <w:t>436</w:t>
      </w:r>
      <w:r>
        <w:rPr>
          <w:spacing w:val="-3"/>
          <w:sz w:val="18"/>
        </w:rPr>
        <w:t xml:space="preserve"> </w:t>
      </w:r>
      <w:r>
        <w:rPr>
          <w:sz w:val="18"/>
        </w:rPr>
        <w:t>Swan</w:t>
      </w:r>
      <w:r>
        <w:rPr>
          <w:spacing w:val="-3"/>
          <w:sz w:val="18"/>
        </w:rPr>
        <w:t xml:space="preserve"> </w:t>
      </w:r>
      <w:r>
        <w:rPr>
          <w:sz w:val="18"/>
        </w:rPr>
        <w:t>Vintage</w:t>
      </w:r>
      <w:r>
        <w:rPr>
          <w:spacing w:val="-2"/>
          <w:sz w:val="18"/>
        </w:rPr>
        <w:t xml:space="preserve"> </w:t>
      </w:r>
      <w:r>
        <w:rPr>
          <w:sz w:val="18"/>
        </w:rPr>
        <w:t>Comments</w:t>
      </w:r>
      <w:r>
        <w:rPr>
          <w:spacing w:val="-3"/>
          <w:sz w:val="18"/>
        </w:rPr>
        <w:t xml:space="preserve"> </w:t>
      </w:r>
      <w:r>
        <w:rPr>
          <w:sz w:val="18"/>
        </w:rPr>
        <w:t>on</w:t>
      </w:r>
      <w:r>
        <w:rPr>
          <w:spacing w:val="-3"/>
          <w:sz w:val="18"/>
        </w:rPr>
        <w:t xml:space="preserve"> </w:t>
      </w:r>
      <w:r>
        <w:rPr>
          <w:sz w:val="18"/>
        </w:rPr>
        <w:t>the</w:t>
      </w:r>
      <w:r>
        <w:rPr>
          <w:spacing w:val="-4"/>
          <w:sz w:val="18"/>
        </w:rPr>
        <w:t xml:space="preserve"> </w:t>
      </w:r>
      <w:r>
        <w:rPr>
          <w:sz w:val="18"/>
        </w:rPr>
        <w:t>Preliminary</w:t>
      </w:r>
      <w:r>
        <w:rPr>
          <w:spacing w:val="-3"/>
          <w:sz w:val="18"/>
        </w:rPr>
        <w:t xml:space="preserve"> </w:t>
      </w:r>
      <w:r>
        <w:rPr>
          <w:sz w:val="18"/>
        </w:rPr>
        <w:t>Determination</w:t>
      </w:r>
      <w:r>
        <w:rPr>
          <w:spacing w:val="-3"/>
          <w:sz w:val="18"/>
        </w:rPr>
        <w:t xml:space="preserve"> </w:t>
      </w:r>
      <w:r>
        <w:rPr>
          <w:sz w:val="18"/>
        </w:rPr>
        <w:t>(Ex</w:t>
      </w:r>
      <w:r>
        <w:rPr>
          <w:sz w:val="18"/>
        </w:rPr>
        <w:t>hibit</w:t>
      </w:r>
      <w:r>
        <w:rPr>
          <w:spacing w:val="-3"/>
          <w:sz w:val="18"/>
        </w:rPr>
        <w:t xml:space="preserve"> </w:t>
      </w:r>
      <w:r>
        <w:rPr>
          <w:sz w:val="18"/>
        </w:rPr>
        <w:t>AUS‐38),</w:t>
      </w:r>
      <w:r>
        <w:rPr>
          <w:spacing w:val="-4"/>
          <w:sz w:val="18"/>
        </w:rPr>
        <w:t xml:space="preserve"> </w:t>
      </w:r>
      <w:r>
        <w:rPr>
          <w:sz w:val="18"/>
        </w:rPr>
        <w:t>p.</w:t>
      </w:r>
      <w:r>
        <w:rPr>
          <w:spacing w:val="-3"/>
          <w:sz w:val="18"/>
        </w:rPr>
        <w:t xml:space="preserve"> </w:t>
      </w:r>
      <w:r>
        <w:rPr>
          <w:sz w:val="18"/>
        </w:rPr>
        <w:t xml:space="preserve">2. </w:t>
      </w:r>
      <w:r>
        <w:rPr>
          <w:sz w:val="18"/>
          <w:vertAlign w:val="superscript"/>
        </w:rPr>
        <w:t>437</w:t>
      </w:r>
      <w:r>
        <w:rPr>
          <w:spacing w:val="-3"/>
          <w:sz w:val="18"/>
        </w:rPr>
        <w:t xml:space="preserve"> </w:t>
      </w:r>
      <w:r>
        <w:rPr>
          <w:sz w:val="18"/>
        </w:rPr>
        <w:t>Swan</w:t>
      </w:r>
      <w:r>
        <w:rPr>
          <w:spacing w:val="-3"/>
          <w:sz w:val="18"/>
        </w:rPr>
        <w:t xml:space="preserve"> </w:t>
      </w:r>
      <w:r>
        <w:rPr>
          <w:sz w:val="18"/>
        </w:rPr>
        <w:t>Vintage</w:t>
      </w:r>
      <w:r>
        <w:rPr>
          <w:spacing w:val="-2"/>
          <w:sz w:val="18"/>
        </w:rPr>
        <w:t xml:space="preserve"> </w:t>
      </w:r>
      <w:r>
        <w:rPr>
          <w:sz w:val="18"/>
        </w:rPr>
        <w:t>Comments</w:t>
      </w:r>
      <w:r>
        <w:rPr>
          <w:spacing w:val="-3"/>
          <w:sz w:val="18"/>
        </w:rPr>
        <w:t xml:space="preserve"> </w:t>
      </w:r>
      <w:r>
        <w:rPr>
          <w:sz w:val="18"/>
        </w:rPr>
        <w:t>on</w:t>
      </w:r>
      <w:r>
        <w:rPr>
          <w:spacing w:val="-3"/>
          <w:sz w:val="18"/>
        </w:rPr>
        <w:t xml:space="preserve"> </w:t>
      </w:r>
      <w:r>
        <w:rPr>
          <w:sz w:val="18"/>
        </w:rPr>
        <w:t>the</w:t>
      </w:r>
      <w:r>
        <w:rPr>
          <w:spacing w:val="-4"/>
          <w:sz w:val="18"/>
        </w:rPr>
        <w:t xml:space="preserve"> </w:t>
      </w:r>
      <w:r>
        <w:rPr>
          <w:sz w:val="18"/>
        </w:rPr>
        <w:t>Preliminary</w:t>
      </w:r>
      <w:r>
        <w:rPr>
          <w:spacing w:val="-3"/>
          <w:sz w:val="18"/>
        </w:rPr>
        <w:t xml:space="preserve"> </w:t>
      </w:r>
      <w:r>
        <w:rPr>
          <w:sz w:val="18"/>
        </w:rPr>
        <w:t>Determination</w:t>
      </w:r>
      <w:r>
        <w:rPr>
          <w:spacing w:val="-3"/>
          <w:sz w:val="18"/>
        </w:rPr>
        <w:t xml:space="preserve"> </w:t>
      </w:r>
      <w:r>
        <w:rPr>
          <w:sz w:val="18"/>
        </w:rPr>
        <w:t>(Exhibit</w:t>
      </w:r>
      <w:r>
        <w:rPr>
          <w:spacing w:val="-3"/>
          <w:sz w:val="18"/>
        </w:rPr>
        <w:t xml:space="preserve"> </w:t>
      </w:r>
      <w:r>
        <w:rPr>
          <w:sz w:val="18"/>
        </w:rPr>
        <w:t>AUS‐38),</w:t>
      </w:r>
      <w:r>
        <w:rPr>
          <w:spacing w:val="-4"/>
          <w:sz w:val="18"/>
        </w:rPr>
        <w:t xml:space="preserve"> </w:t>
      </w:r>
      <w:r>
        <w:rPr>
          <w:sz w:val="18"/>
        </w:rPr>
        <w:t>p.</w:t>
      </w:r>
      <w:r>
        <w:rPr>
          <w:spacing w:val="-3"/>
          <w:sz w:val="18"/>
        </w:rPr>
        <w:t xml:space="preserve"> </w:t>
      </w:r>
      <w:r>
        <w:rPr>
          <w:sz w:val="18"/>
        </w:rPr>
        <w:t xml:space="preserve">2. </w:t>
      </w:r>
      <w:r>
        <w:rPr>
          <w:sz w:val="18"/>
          <w:vertAlign w:val="superscript"/>
        </w:rPr>
        <w:t>438</w:t>
      </w:r>
      <w:r>
        <w:rPr>
          <w:spacing w:val="-3"/>
          <w:sz w:val="18"/>
        </w:rPr>
        <w:t xml:space="preserve"> </w:t>
      </w:r>
      <w:r>
        <w:rPr>
          <w:sz w:val="18"/>
        </w:rPr>
        <w:t>Swan</w:t>
      </w:r>
      <w:r>
        <w:rPr>
          <w:spacing w:val="-3"/>
          <w:sz w:val="18"/>
        </w:rPr>
        <w:t xml:space="preserve"> </w:t>
      </w:r>
      <w:r>
        <w:rPr>
          <w:sz w:val="18"/>
        </w:rPr>
        <w:t>Vintage</w:t>
      </w:r>
      <w:r>
        <w:rPr>
          <w:spacing w:val="-2"/>
          <w:sz w:val="18"/>
        </w:rPr>
        <w:t xml:space="preserve"> </w:t>
      </w:r>
      <w:r>
        <w:rPr>
          <w:sz w:val="18"/>
        </w:rPr>
        <w:t>Comments</w:t>
      </w:r>
      <w:r>
        <w:rPr>
          <w:spacing w:val="-3"/>
          <w:sz w:val="18"/>
        </w:rPr>
        <w:t xml:space="preserve"> </w:t>
      </w:r>
      <w:r>
        <w:rPr>
          <w:sz w:val="18"/>
        </w:rPr>
        <w:t>on</w:t>
      </w:r>
      <w:r>
        <w:rPr>
          <w:spacing w:val="-3"/>
          <w:sz w:val="18"/>
        </w:rPr>
        <w:t xml:space="preserve"> </w:t>
      </w:r>
      <w:r>
        <w:rPr>
          <w:sz w:val="18"/>
        </w:rPr>
        <w:t>the</w:t>
      </w:r>
      <w:r>
        <w:rPr>
          <w:spacing w:val="-4"/>
          <w:sz w:val="18"/>
        </w:rPr>
        <w:t xml:space="preserve"> </w:t>
      </w:r>
      <w:r>
        <w:rPr>
          <w:sz w:val="18"/>
        </w:rPr>
        <w:t>Preliminary</w:t>
      </w:r>
      <w:r>
        <w:rPr>
          <w:spacing w:val="-3"/>
          <w:sz w:val="18"/>
        </w:rPr>
        <w:t xml:space="preserve"> </w:t>
      </w:r>
      <w:r>
        <w:rPr>
          <w:sz w:val="18"/>
        </w:rPr>
        <w:t>Determination</w:t>
      </w:r>
      <w:r>
        <w:rPr>
          <w:spacing w:val="-3"/>
          <w:sz w:val="18"/>
        </w:rPr>
        <w:t xml:space="preserve"> </w:t>
      </w:r>
      <w:r>
        <w:rPr>
          <w:sz w:val="18"/>
        </w:rPr>
        <w:t>(Exhibit</w:t>
      </w:r>
      <w:r>
        <w:rPr>
          <w:spacing w:val="-3"/>
          <w:sz w:val="18"/>
        </w:rPr>
        <w:t xml:space="preserve"> </w:t>
      </w:r>
      <w:r>
        <w:rPr>
          <w:sz w:val="18"/>
        </w:rPr>
        <w:t>AUS‐38),</w:t>
      </w:r>
      <w:r>
        <w:rPr>
          <w:spacing w:val="-4"/>
          <w:sz w:val="18"/>
        </w:rPr>
        <w:t xml:space="preserve"> </w:t>
      </w:r>
      <w:r>
        <w:rPr>
          <w:sz w:val="18"/>
        </w:rPr>
        <w:t>p.</w:t>
      </w:r>
      <w:r>
        <w:rPr>
          <w:spacing w:val="-3"/>
          <w:sz w:val="18"/>
        </w:rPr>
        <w:t xml:space="preserve"> </w:t>
      </w:r>
      <w:r>
        <w:rPr>
          <w:sz w:val="18"/>
        </w:rPr>
        <w:t xml:space="preserve">1. </w:t>
      </w:r>
      <w:r>
        <w:rPr>
          <w:sz w:val="18"/>
          <w:vertAlign w:val="superscript"/>
        </w:rPr>
        <w:t>439</w:t>
      </w:r>
      <w:r>
        <w:rPr>
          <w:sz w:val="18"/>
        </w:rPr>
        <w:t xml:space="preserve"> Swan Vintage Comments on the Final Disclosure (Exhibit AUS‐39), p.2.</w:t>
      </w:r>
    </w:p>
    <w:p w14:paraId="51DE89FA" w14:textId="77777777" w:rsidR="0010369C" w:rsidRDefault="008E43AE">
      <w:pPr>
        <w:spacing w:before="1"/>
        <w:ind w:left="238"/>
        <w:jc w:val="both"/>
        <w:rPr>
          <w:sz w:val="18"/>
        </w:rPr>
      </w:pPr>
      <w:r>
        <w:rPr>
          <w:sz w:val="18"/>
          <w:vertAlign w:val="superscript"/>
        </w:rPr>
        <w:t>440</w:t>
      </w:r>
      <w:r>
        <w:rPr>
          <w:spacing w:val="-10"/>
          <w:sz w:val="18"/>
        </w:rPr>
        <w:t xml:space="preserve"> </w:t>
      </w:r>
      <w:r>
        <w:rPr>
          <w:sz w:val="18"/>
        </w:rPr>
        <w:t>Swan</w:t>
      </w:r>
      <w:r>
        <w:rPr>
          <w:spacing w:val="-9"/>
          <w:sz w:val="18"/>
        </w:rPr>
        <w:t xml:space="preserve"> </w:t>
      </w:r>
      <w:r>
        <w:rPr>
          <w:sz w:val="18"/>
        </w:rPr>
        <w:t>Vintage</w:t>
      </w:r>
      <w:r>
        <w:rPr>
          <w:spacing w:val="-8"/>
          <w:sz w:val="18"/>
        </w:rPr>
        <w:t xml:space="preserve"> </w:t>
      </w:r>
      <w:r>
        <w:rPr>
          <w:sz w:val="18"/>
        </w:rPr>
        <w:t>Comments</w:t>
      </w:r>
      <w:r>
        <w:rPr>
          <w:spacing w:val="-9"/>
          <w:sz w:val="18"/>
        </w:rPr>
        <w:t xml:space="preserve"> </w:t>
      </w:r>
      <w:r>
        <w:rPr>
          <w:sz w:val="18"/>
        </w:rPr>
        <w:t>on</w:t>
      </w:r>
      <w:r>
        <w:rPr>
          <w:spacing w:val="-10"/>
          <w:sz w:val="18"/>
        </w:rPr>
        <w:t xml:space="preserve"> </w:t>
      </w:r>
      <w:r>
        <w:rPr>
          <w:sz w:val="18"/>
        </w:rPr>
        <w:t>the</w:t>
      </w:r>
      <w:r>
        <w:rPr>
          <w:spacing w:val="-10"/>
          <w:sz w:val="18"/>
        </w:rPr>
        <w:t xml:space="preserve"> </w:t>
      </w:r>
      <w:r>
        <w:rPr>
          <w:sz w:val="18"/>
        </w:rPr>
        <w:t>Preliminary</w:t>
      </w:r>
      <w:r>
        <w:rPr>
          <w:spacing w:val="-9"/>
          <w:sz w:val="18"/>
        </w:rPr>
        <w:t xml:space="preserve"> </w:t>
      </w:r>
      <w:r>
        <w:rPr>
          <w:sz w:val="18"/>
        </w:rPr>
        <w:t>Determination</w:t>
      </w:r>
      <w:r>
        <w:rPr>
          <w:spacing w:val="-9"/>
          <w:sz w:val="18"/>
        </w:rPr>
        <w:t xml:space="preserve"> </w:t>
      </w:r>
      <w:r>
        <w:rPr>
          <w:sz w:val="18"/>
        </w:rPr>
        <w:t>(Exhibit</w:t>
      </w:r>
      <w:r>
        <w:rPr>
          <w:spacing w:val="-9"/>
          <w:sz w:val="18"/>
        </w:rPr>
        <w:t xml:space="preserve"> </w:t>
      </w:r>
      <w:r>
        <w:rPr>
          <w:sz w:val="18"/>
        </w:rPr>
        <w:t>AUS‐38),</w:t>
      </w:r>
      <w:r>
        <w:rPr>
          <w:spacing w:val="-10"/>
          <w:sz w:val="18"/>
        </w:rPr>
        <w:t xml:space="preserve"> </w:t>
      </w:r>
      <w:r>
        <w:rPr>
          <w:spacing w:val="-4"/>
          <w:sz w:val="18"/>
        </w:rPr>
        <w:t>p.2.</w:t>
      </w:r>
    </w:p>
    <w:p w14:paraId="51DE89FB" w14:textId="77777777" w:rsidR="0010369C" w:rsidRDefault="0010369C">
      <w:pPr>
        <w:jc w:val="both"/>
        <w:rPr>
          <w:sz w:val="18"/>
        </w:rPr>
        <w:sectPr w:rsidR="0010369C">
          <w:pgSz w:w="11910" w:h="16840"/>
          <w:pgMar w:top="880" w:right="800" w:bottom="980" w:left="1180" w:header="569" w:footer="788" w:gutter="0"/>
          <w:cols w:space="720"/>
        </w:sectPr>
      </w:pPr>
    </w:p>
    <w:p w14:paraId="51DE89FC" w14:textId="77777777" w:rsidR="0010369C" w:rsidRDefault="008E43AE">
      <w:pPr>
        <w:tabs>
          <w:tab w:val="left" w:pos="6426"/>
        </w:tabs>
        <w:ind w:left="238"/>
        <w:rPr>
          <w:sz w:val="20"/>
        </w:rPr>
      </w:pPr>
      <w:r>
        <w:rPr>
          <w:i/>
          <w:sz w:val="20"/>
        </w:rPr>
        <w:lastRenderedPageBreak/>
        <w:t>China</w:t>
      </w:r>
      <w:r>
        <w:rPr>
          <w:i/>
          <w:spacing w:val="-5"/>
          <w:sz w:val="20"/>
        </w:rPr>
        <w:t xml:space="preserve"> </w:t>
      </w:r>
      <w:r>
        <w:rPr>
          <w:i/>
          <w:sz w:val="20"/>
        </w:rPr>
        <w:t>–</w:t>
      </w:r>
      <w:r>
        <w:rPr>
          <w:i/>
          <w:spacing w:val="-5"/>
          <w:sz w:val="20"/>
        </w:rPr>
        <w:t xml:space="preserve"> </w:t>
      </w:r>
      <w:r>
        <w:rPr>
          <w:i/>
          <w:sz w:val="20"/>
        </w:rPr>
        <w:t>Anti‐Dumping</w:t>
      </w:r>
      <w:r>
        <w:rPr>
          <w:i/>
          <w:spacing w:val="-4"/>
          <w:sz w:val="20"/>
        </w:rPr>
        <w:t xml:space="preserve"> </w:t>
      </w:r>
      <w:r>
        <w:rPr>
          <w:i/>
          <w:sz w:val="20"/>
        </w:rPr>
        <w:t>and</w:t>
      </w:r>
      <w:r>
        <w:rPr>
          <w:i/>
          <w:spacing w:val="-5"/>
          <w:sz w:val="20"/>
        </w:rPr>
        <w:t xml:space="preserve"> </w:t>
      </w:r>
      <w:r>
        <w:rPr>
          <w:i/>
          <w:sz w:val="20"/>
        </w:rPr>
        <w:t>Countervailing</w:t>
      </w:r>
      <w:r>
        <w:rPr>
          <w:i/>
          <w:spacing w:val="-5"/>
          <w:sz w:val="20"/>
        </w:rPr>
        <w:t xml:space="preserve"> </w:t>
      </w:r>
      <w:r>
        <w:rPr>
          <w:i/>
          <w:sz w:val="20"/>
        </w:rPr>
        <w:t>Duty</w:t>
      </w:r>
      <w:r>
        <w:rPr>
          <w:i/>
          <w:spacing w:val="-4"/>
          <w:sz w:val="20"/>
        </w:rPr>
        <w:t xml:space="preserve"> </w:t>
      </w:r>
      <w:r>
        <w:rPr>
          <w:i/>
          <w:spacing w:val="-2"/>
          <w:sz w:val="20"/>
        </w:rPr>
        <w:t>Measures</w:t>
      </w:r>
      <w:r>
        <w:rPr>
          <w:i/>
          <w:sz w:val="20"/>
        </w:rPr>
        <w:tab/>
      </w:r>
      <w:r>
        <w:rPr>
          <w:sz w:val="20"/>
        </w:rPr>
        <w:t>Australia's</w:t>
      </w:r>
      <w:r>
        <w:rPr>
          <w:spacing w:val="-7"/>
          <w:sz w:val="20"/>
        </w:rPr>
        <w:t xml:space="preserve"> </w:t>
      </w:r>
      <w:r>
        <w:rPr>
          <w:sz w:val="20"/>
        </w:rPr>
        <w:t>First</w:t>
      </w:r>
      <w:r>
        <w:rPr>
          <w:spacing w:val="-2"/>
          <w:sz w:val="20"/>
        </w:rPr>
        <w:t xml:space="preserve"> </w:t>
      </w:r>
      <w:r>
        <w:rPr>
          <w:sz w:val="20"/>
        </w:rPr>
        <w:t>Written</w:t>
      </w:r>
      <w:r>
        <w:rPr>
          <w:spacing w:val="-2"/>
          <w:sz w:val="20"/>
        </w:rPr>
        <w:t xml:space="preserve"> Submission</w:t>
      </w:r>
    </w:p>
    <w:p w14:paraId="51DE89FD" w14:textId="77777777" w:rsidR="0010369C" w:rsidRDefault="008E43AE">
      <w:pPr>
        <w:tabs>
          <w:tab w:val="left" w:pos="8228"/>
        </w:tabs>
        <w:spacing w:before="1"/>
        <w:ind w:left="239"/>
        <w:rPr>
          <w:sz w:val="20"/>
        </w:rPr>
      </w:pPr>
      <w:r>
        <w:rPr>
          <w:i/>
          <w:sz w:val="20"/>
        </w:rPr>
        <w:t>on</w:t>
      </w:r>
      <w:r>
        <w:rPr>
          <w:i/>
          <w:spacing w:val="-1"/>
          <w:sz w:val="20"/>
        </w:rPr>
        <w:t xml:space="preserve"> </w:t>
      </w:r>
      <w:r>
        <w:rPr>
          <w:i/>
          <w:sz w:val="20"/>
        </w:rPr>
        <w:t>Wine</w:t>
      </w:r>
      <w:r>
        <w:rPr>
          <w:i/>
          <w:spacing w:val="-1"/>
          <w:sz w:val="20"/>
        </w:rPr>
        <w:t xml:space="preserve"> </w:t>
      </w:r>
      <w:r>
        <w:rPr>
          <w:i/>
          <w:sz w:val="20"/>
        </w:rPr>
        <w:t>from</w:t>
      </w:r>
      <w:r>
        <w:rPr>
          <w:i/>
          <w:spacing w:val="-3"/>
          <w:sz w:val="20"/>
        </w:rPr>
        <w:t xml:space="preserve"> </w:t>
      </w:r>
      <w:r>
        <w:rPr>
          <w:i/>
          <w:sz w:val="20"/>
        </w:rPr>
        <w:t>Australia</w:t>
      </w:r>
      <w:r>
        <w:rPr>
          <w:i/>
          <w:spacing w:val="-1"/>
          <w:sz w:val="20"/>
        </w:rPr>
        <w:t xml:space="preserve"> </w:t>
      </w:r>
      <w:r>
        <w:rPr>
          <w:spacing w:val="-2"/>
          <w:sz w:val="20"/>
        </w:rPr>
        <w:t>(DS602)</w:t>
      </w:r>
      <w:r>
        <w:rPr>
          <w:sz w:val="20"/>
        </w:rPr>
        <w:tab/>
        <w:t>29</w:t>
      </w:r>
      <w:r>
        <w:rPr>
          <w:spacing w:val="-1"/>
          <w:sz w:val="20"/>
        </w:rPr>
        <w:t xml:space="preserve"> </w:t>
      </w:r>
      <w:r>
        <w:rPr>
          <w:sz w:val="20"/>
        </w:rPr>
        <w:t>April</w:t>
      </w:r>
      <w:r>
        <w:rPr>
          <w:spacing w:val="-2"/>
          <w:sz w:val="20"/>
        </w:rPr>
        <w:t xml:space="preserve"> </w:t>
      </w:r>
      <w:r>
        <w:rPr>
          <w:spacing w:val="-4"/>
          <w:sz w:val="20"/>
        </w:rPr>
        <w:t>2022</w:t>
      </w:r>
    </w:p>
    <w:p w14:paraId="51DE89FE" w14:textId="77777777" w:rsidR="0010369C" w:rsidRDefault="008E43AE">
      <w:pPr>
        <w:pStyle w:val="Heading4"/>
        <w:numPr>
          <w:ilvl w:val="2"/>
          <w:numId w:val="75"/>
        </w:numPr>
        <w:tabs>
          <w:tab w:val="left" w:pos="2649"/>
          <w:tab w:val="left" w:pos="2650"/>
        </w:tabs>
        <w:spacing w:before="35"/>
        <w:ind w:left="2649" w:hanging="852"/>
      </w:pPr>
      <w:r>
        <w:t>MOFCOM</w:t>
      </w:r>
      <w:r>
        <w:rPr>
          <w:spacing w:val="-12"/>
        </w:rPr>
        <w:t xml:space="preserve"> </w:t>
      </w:r>
      <w:r>
        <w:t>improperly</w:t>
      </w:r>
      <w:r>
        <w:rPr>
          <w:spacing w:val="-13"/>
        </w:rPr>
        <w:t xml:space="preserve"> </w:t>
      </w:r>
      <w:r>
        <w:t>calculated</w:t>
      </w:r>
      <w:r>
        <w:rPr>
          <w:spacing w:val="-11"/>
        </w:rPr>
        <w:t xml:space="preserve"> </w:t>
      </w:r>
      <w:r>
        <w:t>normal</w:t>
      </w:r>
      <w:r>
        <w:rPr>
          <w:spacing w:val="-13"/>
        </w:rPr>
        <w:t xml:space="preserve"> </w:t>
      </w:r>
      <w:r>
        <w:rPr>
          <w:spacing w:val="-2"/>
        </w:rPr>
        <w:t>value</w:t>
      </w:r>
    </w:p>
    <w:p w14:paraId="51DE89FF" w14:textId="77777777" w:rsidR="0010369C" w:rsidRDefault="0010369C">
      <w:pPr>
        <w:pStyle w:val="BodyText"/>
        <w:rPr>
          <w:b/>
          <w:sz w:val="25"/>
        </w:rPr>
      </w:pPr>
    </w:p>
    <w:p w14:paraId="51DE8A00" w14:textId="77777777" w:rsidR="0010369C" w:rsidRDefault="008E43AE">
      <w:pPr>
        <w:pStyle w:val="ListParagraph"/>
        <w:numPr>
          <w:ilvl w:val="3"/>
          <w:numId w:val="75"/>
        </w:numPr>
        <w:tabs>
          <w:tab w:val="left" w:pos="3642"/>
          <w:tab w:val="left" w:pos="3643"/>
        </w:tabs>
        <w:spacing w:before="0" w:line="360" w:lineRule="auto"/>
        <w:ind w:right="616" w:hanging="853"/>
        <w:rPr>
          <w:sz w:val="24"/>
        </w:rPr>
      </w:pPr>
      <w:r>
        <w:rPr>
          <w:sz w:val="24"/>
          <w:u w:val="single"/>
        </w:rPr>
        <w:t>MOFCOM</w:t>
      </w:r>
      <w:r>
        <w:rPr>
          <w:spacing w:val="-11"/>
          <w:sz w:val="24"/>
          <w:u w:val="single"/>
        </w:rPr>
        <w:t xml:space="preserve"> </w:t>
      </w:r>
      <w:r>
        <w:rPr>
          <w:sz w:val="24"/>
          <w:u w:val="single"/>
        </w:rPr>
        <w:t>erred</w:t>
      </w:r>
      <w:r>
        <w:rPr>
          <w:spacing w:val="-12"/>
          <w:sz w:val="24"/>
          <w:u w:val="single"/>
        </w:rPr>
        <w:t xml:space="preserve"> </w:t>
      </w:r>
      <w:r>
        <w:rPr>
          <w:sz w:val="24"/>
          <w:u w:val="single"/>
        </w:rPr>
        <w:t>in</w:t>
      </w:r>
      <w:r>
        <w:rPr>
          <w:spacing w:val="-12"/>
          <w:sz w:val="24"/>
          <w:u w:val="single"/>
        </w:rPr>
        <w:t xml:space="preserve"> </w:t>
      </w:r>
      <w:r>
        <w:rPr>
          <w:sz w:val="24"/>
          <w:u w:val="single"/>
        </w:rPr>
        <w:t>its</w:t>
      </w:r>
      <w:r>
        <w:rPr>
          <w:spacing w:val="-12"/>
          <w:sz w:val="24"/>
          <w:u w:val="single"/>
        </w:rPr>
        <w:t xml:space="preserve"> </w:t>
      </w:r>
      <w:r>
        <w:rPr>
          <w:sz w:val="24"/>
          <w:u w:val="single"/>
        </w:rPr>
        <w:t>use</w:t>
      </w:r>
      <w:r>
        <w:rPr>
          <w:spacing w:val="-12"/>
          <w:sz w:val="24"/>
          <w:u w:val="single"/>
        </w:rPr>
        <w:t xml:space="preserve"> </w:t>
      </w:r>
      <w:r>
        <w:rPr>
          <w:sz w:val="24"/>
          <w:u w:val="single"/>
        </w:rPr>
        <w:t>of</w:t>
      </w:r>
      <w:r>
        <w:rPr>
          <w:spacing w:val="-12"/>
          <w:sz w:val="24"/>
          <w:u w:val="single"/>
        </w:rPr>
        <w:t xml:space="preserve"> </w:t>
      </w:r>
      <w:r>
        <w:rPr>
          <w:sz w:val="24"/>
          <w:u w:val="single"/>
        </w:rPr>
        <w:t>"other</w:t>
      </w:r>
      <w:r>
        <w:rPr>
          <w:spacing w:val="-12"/>
          <w:sz w:val="24"/>
          <w:u w:val="single"/>
        </w:rPr>
        <w:t xml:space="preserve"> </w:t>
      </w:r>
      <w:r>
        <w:rPr>
          <w:sz w:val="24"/>
          <w:u w:val="single"/>
        </w:rPr>
        <w:t>respondents"</w:t>
      </w:r>
      <w:r>
        <w:rPr>
          <w:spacing w:val="-13"/>
          <w:sz w:val="24"/>
          <w:u w:val="single"/>
        </w:rPr>
        <w:t xml:space="preserve"> </w:t>
      </w:r>
      <w:r>
        <w:rPr>
          <w:sz w:val="24"/>
          <w:u w:val="single"/>
        </w:rPr>
        <w:t>domestic</w:t>
      </w:r>
      <w:r>
        <w:rPr>
          <w:sz w:val="24"/>
        </w:rPr>
        <w:t xml:space="preserve"> </w:t>
      </w:r>
      <w:r>
        <w:rPr>
          <w:sz w:val="24"/>
          <w:u w:val="single"/>
        </w:rPr>
        <w:t>sales data</w:t>
      </w:r>
    </w:p>
    <w:p w14:paraId="51DE8A01" w14:textId="77777777" w:rsidR="0010369C" w:rsidRDefault="0010369C">
      <w:pPr>
        <w:pStyle w:val="BodyText"/>
        <w:spacing w:before="11"/>
        <w:rPr>
          <w:sz w:val="8"/>
        </w:rPr>
      </w:pPr>
    </w:p>
    <w:p w14:paraId="51DE8A02" w14:textId="77777777" w:rsidR="0010369C" w:rsidRDefault="008E43AE">
      <w:pPr>
        <w:pStyle w:val="BodyText"/>
        <w:spacing w:before="52" w:line="360" w:lineRule="auto"/>
        <w:ind w:left="237" w:right="612" w:firstLine="851"/>
        <w:jc w:val="both"/>
      </w:pPr>
      <w:r>
        <w:rPr>
          <w:noProof/>
        </w:rPr>
        <w:drawing>
          <wp:anchor distT="0" distB="0" distL="0" distR="0" simplePos="0" relativeHeight="251055616" behindDoc="1" locked="0" layoutInCell="1" allowOverlap="1" wp14:anchorId="51DEA2F5" wp14:editId="51DEA2F6">
            <wp:simplePos x="0" y="0"/>
            <wp:positionH relativeFrom="page">
              <wp:posOffset>899160</wp:posOffset>
            </wp:positionH>
            <wp:positionV relativeFrom="paragraph">
              <wp:posOffset>76785</wp:posOffset>
            </wp:positionV>
            <wp:extent cx="265175" cy="106679"/>
            <wp:effectExtent l="0" t="0" r="0" b="0"/>
            <wp:wrapNone/>
            <wp:docPr id="829" name="image4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 name="image425.png"/>
                    <pic:cNvPicPr/>
                  </pic:nvPicPr>
                  <pic:blipFill>
                    <a:blip r:embed="rId563" cstate="print"/>
                    <a:stretch>
                      <a:fillRect/>
                    </a:stretch>
                  </pic:blipFill>
                  <pic:spPr>
                    <a:xfrm>
                      <a:off x="0" y="0"/>
                      <a:ext cx="265175" cy="106679"/>
                    </a:xfrm>
                    <a:prstGeom prst="rect">
                      <a:avLst/>
                    </a:prstGeom>
                  </pic:spPr>
                </pic:pic>
              </a:graphicData>
            </a:graphic>
          </wp:anchor>
        </w:drawing>
      </w:r>
      <w:r>
        <w:t>MOFCOM rejected Swan Vintage's domestic selling prices on the basis that these sales</w:t>
      </w:r>
      <w:r>
        <w:rPr>
          <w:spacing w:val="-9"/>
        </w:rPr>
        <w:t xml:space="preserve"> </w:t>
      </w:r>
      <w:r>
        <w:t>accounted</w:t>
      </w:r>
      <w:r>
        <w:rPr>
          <w:spacing w:val="-8"/>
        </w:rPr>
        <w:t xml:space="preserve"> </w:t>
      </w:r>
      <w:r>
        <w:t>for</w:t>
      </w:r>
      <w:r>
        <w:rPr>
          <w:spacing w:val="-8"/>
        </w:rPr>
        <w:t xml:space="preserve"> </w:t>
      </w:r>
      <w:r>
        <w:t>less</w:t>
      </w:r>
      <w:r>
        <w:rPr>
          <w:spacing w:val="-8"/>
        </w:rPr>
        <w:t xml:space="preserve"> </w:t>
      </w:r>
      <w:r>
        <w:t>than</w:t>
      </w:r>
      <w:r>
        <w:rPr>
          <w:spacing w:val="-9"/>
        </w:rPr>
        <w:t xml:space="preserve"> </w:t>
      </w:r>
      <w:r>
        <w:t>5%</w:t>
      </w:r>
      <w:r>
        <w:rPr>
          <w:spacing w:val="-8"/>
        </w:rPr>
        <w:t xml:space="preserve"> </w:t>
      </w:r>
      <w:r>
        <w:t>of</w:t>
      </w:r>
      <w:r>
        <w:rPr>
          <w:spacing w:val="-9"/>
        </w:rPr>
        <w:t xml:space="preserve"> </w:t>
      </w:r>
      <w:r>
        <w:t>the</w:t>
      </w:r>
      <w:r>
        <w:rPr>
          <w:spacing w:val="-8"/>
        </w:rPr>
        <w:t xml:space="preserve"> </w:t>
      </w:r>
      <w:r>
        <w:t>exports</w:t>
      </w:r>
      <w:r>
        <w:rPr>
          <w:spacing w:val="-10"/>
        </w:rPr>
        <w:t xml:space="preserve"> </w:t>
      </w:r>
      <w:r>
        <w:t>of</w:t>
      </w:r>
      <w:r>
        <w:rPr>
          <w:spacing w:val="-10"/>
        </w:rPr>
        <w:t xml:space="preserve"> </w:t>
      </w:r>
      <w:r>
        <w:t>the</w:t>
      </w:r>
      <w:r>
        <w:rPr>
          <w:spacing w:val="-8"/>
        </w:rPr>
        <w:t xml:space="preserve"> </w:t>
      </w:r>
      <w:r>
        <w:t>product</w:t>
      </w:r>
      <w:r>
        <w:rPr>
          <w:spacing w:val="-8"/>
        </w:rPr>
        <w:t xml:space="preserve"> </w:t>
      </w:r>
      <w:r>
        <w:t>under</w:t>
      </w:r>
      <w:r>
        <w:rPr>
          <w:spacing w:val="-8"/>
        </w:rPr>
        <w:t xml:space="preserve"> </w:t>
      </w:r>
      <w:r>
        <w:t>investigation</w:t>
      </w:r>
      <w:r>
        <w:rPr>
          <w:spacing w:val="-7"/>
        </w:rPr>
        <w:t xml:space="preserve"> </w:t>
      </w:r>
      <w:r>
        <w:t>to</w:t>
      </w:r>
      <w:r>
        <w:rPr>
          <w:spacing w:val="-8"/>
        </w:rPr>
        <w:t xml:space="preserve"> </w:t>
      </w:r>
      <w:r>
        <w:t>China.</w:t>
      </w:r>
      <w:r>
        <w:rPr>
          <w:vertAlign w:val="superscript"/>
        </w:rPr>
        <w:t>441</w:t>
      </w:r>
      <w:r>
        <w:t xml:space="preserve"> In such circumstances, Article 2.2 of the Anti‐Dumping Agreement provides two alternative bases to determine normal value: constructed</w:t>
      </w:r>
      <w:r>
        <w:rPr>
          <w:spacing w:val="-1"/>
        </w:rPr>
        <w:t xml:space="preserve"> </w:t>
      </w:r>
      <w:r>
        <w:t xml:space="preserve">normal value and the comparable price of the like product when exported to an appropriate third country. MOFCOM did not </w:t>
      </w:r>
      <w:r>
        <w:t>use either of these alternative bases, and it did not even consider basing normal value on export prices to a third country.</w:t>
      </w:r>
    </w:p>
    <w:p w14:paraId="51DE8A03" w14:textId="77777777" w:rsidR="0010369C" w:rsidRDefault="0010369C">
      <w:pPr>
        <w:pStyle w:val="BodyText"/>
        <w:spacing w:before="10"/>
        <w:rPr>
          <w:sz w:val="8"/>
        </w:rPr>
      </w:pPr>
    </w:p>
    <w:p w14:paraId="51DE8A04" w14:textId="77777777" w:rsidR="0010369C" w:rsidRDefault="008E43AE">
      <w:pPr>
        <w:pStyle w:val="BodyText"/>
        <w:spacing w:before="52" w:line="360" w:lineRule="auto"/>
        <w:ind w:left="237" w:right="612" w:firstLine="851"/>
        <w:jc w:val="both"/>
      </w:pPr>
      <w:r>
        <w:rPr>
          <w:noProof/>
        </w:rPr>
        <w:drawing>
          <wp:anchor distT="0" distB="0" distL="0" distR="0" simplePos="0" relativeHeight="251056640" behindDoc="1" locked="0" layoutInCell="1" allowOverlap="1" wp14:anchorId="51DEA2F7" wp14:editId="51DEA2F8">
            <wp:simplePos x="0" y="0"/>
            <wp:positionH relativeFrom="page">
              <wp:posOffset>899160</wp:posOffset>
            </wp:positionH>
            <wp:positionV relativeFrom="paragraph">
              <wp:posOffset>81950</wp:posOffset>
            </wp:positionV>
            <wp:extent cx="265175" cy="100753"/>
            <wp:effectExtent l="0" t="0" r="0" b="0"/>
            <wp:wrapNone/>
            <wp:docPr id="831" name="image4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 name="image426.png"/>
                    <pic:cNvPicPr/>
                  </pic:nvPicPr>
                  <pic:blipFill>
                    <a:blip r:embed="rId564" cstate="print"/>
                    <a:stretch>
                      <a:fillRect/>
                    </a:stretch>
                  </pic:blipFill>
                  <pic:spPr>
                    <a:xfrm>
                      <a:off x="0" y="0"/>
                      <a:ext cx="265175" cy="100753"/>
                    </a:xfrm>
                    <a:prstGeom prst="rect">
                      <a:avLst/>
                    </a:prstGeom>
                  </pic:spPr>
                </pic:pic>
              </a:graphicData>
            </a:graphic>
          </wp:anchor>
        </w:drawing>
      </w:r>
      <w:r>
        <w:t xml:space="preserve">Although MOFCOM did consider constructed normal value, it held that it could not rely on this basis because Swan Vintage did not </w:t>
      </w:r>
      <w:r>
        <w:t>provide accurate costs and expenses of the product under investigation.</w:t>
      </w:r>
      <w:r>
        <w:rPr>
          <w:vertAlign w:val="superscript"/>
        </w:rPr>
        <w:t>442</w:t>
      </w:r>
      <w:r>
        <w:t xml:space="preserve"> Specifically, MOFCOM held that Swan Vintage: (i) did not provide</w:t>
      </w:r>
      <w:r>
        <w:rPr>
          <w:spacing w:val="-13"/>
        </w:rPr>
        <w:t xml:space="preserve"> </w:t>
      </w:r>
      <w:r>
        <w:t>accurate</w:t>
      </w:r>
      <w:r>
        <w:rPr>
          <w:spacing w:val="-13"/>
        </w:rPr>
        <w:t xml:space="preserve"> </w:t>
      </w:r>
      <w:r>
        <w:t>information</w:t>
      </w:r>
      <w:r>
        <w:rPr>
          <w:spacing w:val="-12"/>
        </w:rPr>
        <w:t xml:space="preserve"> </w:t>
      </w:r>
      <w:r>
        <w:t>about</w:t>
      </w:r>
      <w:r>
        <w:rPr>
          <w:spacing w:val="-13"/>
        </w:rPr>
        <w:t xml:space="preserve"> </w:t>
      </w:r>
      <w:r>
        <w:t>the</w:t>
      </w:r>
      <w:r>
        <w:rPr>
          <w:spacing w:val="-13"/>
        </w:rPr>
        <w:t xml:space="preserve"> </w:t>
      </w:r>
      <w:r>
        <w:t>costs</w:t>
      </w:r>
      <w:r>
        <w:rPr>
          <w:spacing w:val="-14"/>
        </w:rPr>
        <w:t xml:space="preserve"> </w:t>
      </w:r>
      <w:r>
        <w:t>and</w:t>
      </w:r>
      <w:r>
        <w:rPr>
          <w:spacing w:val="-14"/>
        </w:rPr>
        <w:t xml:space="preserve"> </w:t>
      </w:r>
      <w:r>
        <w:t>expenses</w:t>
      </w:r>
      <w:r>
        <w:rPr>
          <w:spacing w:val="-13"/>
        </w:rPr>
        <w:t xml:space="preserve"> </w:t>
      </w:r>
      <w:r>
        <w:t>of</w:t>
      </w:r>
      <w:r>
        <w:rPr>
          <w:spacing w:val="-14"/>
        </w:rPr>
        <w:t xml:space="preserve"> </w:t>
      </w:r>
      <w:r>
        <w:t>the</w:t>
      </w:r>
      <w:r>
        <w:rPr>
          <w:spacing w:val="-12"/>
        </w:rPr>
        <w:t xml:space="preserve"> </w:t>
      </w:r>
      <w:r>
        <w:t>product</w:t>
      </w:r>
      <w:r>
        <w:rPr>
          <w:spacing w:val="-13"/>
        </w:rPr>
        <w:t xml:space="preserve"> </w:t>
      </w:r>
      <w:r>
        <w:t>under</w:t>
      </w:r>
      <w:r>
        <w:rPr>
          <w:spacing w:val="-13"/>
        </w:rPr>
        <w:t xml:space="preserve"> </w:t>
      </w:r>
      <w:r>
        <w:t>investigation and like product as required by</w:t>
      </w:r>
      <w:r>
        <w:t xml:space="preserve"> the questionnaire;</w:t>
      </w:r>
      <w:r>
        <w:rPr>
          <w:vertAlign w:val="superscript"/>
        </w:rPr>
        <w:t>443</w:t>
      </w:r>
      <w:r>
        <w:t xml:space="preserve"> (ii) reported the costs neither in accordance with product control codes given in the questionnaire nor in line with JDE codes commonly used in its daily operations without providing a reasonable explanation;</w:t>
      </w:r>
      <w:r>
        <w:rPr>
          <w:vertAlign w:val="superscript"/>
        </w:rPr>
        <w:t>444</w:t>
      </w:r>
      <w:r>
        <w:t xml:space="preserve"> (iii) provided</w:t>
      </w:r>
      <w:r>
        <w:rPr>
          <w:spacing w:val="-2"/>
        </w:rPr>
        <w:t xml:space="preserve"> </w:t>
      </w:r>
      <w:r>
        <w:t>produc</w:t>
      </w:r>
      <w:r>
        <w:t>tion</w:t>
      </w:r>
      <w:r>
        <w:rPr>
          <w:spacing w:val="-4"/>
        </w:rPr>
        <w:t xml:space="preserve"> </w:t>
      </w:r>
      <w:r>
        <w:t>costs</w:t>
      </w:r>
      <w:r>
        <w:rPr>
          <w:spacing w:val="-3"/>
        </w:rPr>
        <w:t xml:space="preserve"> </w:t>
      </w:r>
      <w:r>
        <w:t>based</w:t>
      </w:r>
      <w:r>
        <w:rPr>
          <w:spacing w:val="-2"/>
        </w:rPr>
        <w:t xml:space="preserve"> </w:t>
      </w:r>
      <w:r>
        <w:t>on</w:t>
      </w:r>
      <w:r>
        <w:rPr>
          <w:spacing w:val="-4"/>
        </w:rPr>
        <w:t xml:space="preserve"> </w:t>
      </w:r>
      <w:r>
        <w:t>the</w:t>
      </w:r>
      <w:r>
        <w:rPr>
          <w:spacing w:val="-2"/>
        </w:rPr>
        <w:t xml:space="preserve"> </w:t>
      </w:r>
      <w:r>
        <w:t>level</w:t>
      </w:r>
      <w:r>
        <w:rPr>
          <w:spacing w:val="-3"/>
        </w:rPr>
        <w:t xml:space="preserve"> </w:t>
      </w:r>
      <w:r>
        <w:t>of</w:t>
      </w:r>
      <w:r>
        <w:rPr>
          <w:spacing w:val="-4"/>
        </w:rPr>
        <w:t xml:space="preserve"> </w:t>
      </w:r>
      <w:r>
        <w:t>the</w:t>
      </w:r>
      <w:r>
        <w:rPr>
          <w:spacing w:val="-2"/>
        </w:rPr>
        <w:t xml:space="preserve"> </w:t>
      </w:r>
      <w:r>
        <w:t>product</w:t>
      </w:r>
      <w:r>
        <w:rPr>
          <w:spacing w:val="-3"/>
        </w:rPr>
        <w:t xml:space="preserve"> </w:t>
      </w:r>
      <w:r>
        <w:t>under</w:t>
      </w:r>
      <w:r>
        <w:rPr>
          <w:spacing w:val="-2"/>
        </w:rPr>
        <w:t xml:space="preserve"> </w:t>
      </w:r>
      <w:r>
        <w:t>investigation,</w:t>
      </w:r>
      <w:r>
        <w:rPr>
          <w:spacing w:val="-1"/>
        </w:rPr>
        <w:t xml:space="preserve"> </w:t>
      </w:r>
      <w:r>
        <w:t>which</w:t>
      </w:r>
      <w:r>
        <w:rPr>
          <w:spacing w:val="-3"/>
        </w:rPr>
        <w:t xml:space="preserve"> </w:t>
      </w:r>
      <w:r>
        <w:t>could not reasonably reflect the production and sales costs of the product under investigation and like products, without providing a reasonable explanation;</w:t>
      </w:r>
      <w:r>
        <w:rPr>
          <w:vertAlign w:val="superscript"/>
        </w:rPr>
        <w:t>445</w:t>
      </w:r>
      <w:r>
        <w:t xml:space="preserve"> (iv) did not provide completed questionnaires from suppliers who provided press services, filli</w:t>
      </w:r>
      <w:r>
        <w:t>ng services and bulk wine;</w:t>
      </w:r>
      <w:r>
        <w:rPr>
          <w:vertAlign w:val="superscript"/>
        </w:rPr>
        <w:t>446</w:t>
      </w:r>
      <w:r>
        <w:t xml:space="preserve"> and (v) did not answer a question related to cost sheets.</w:t>
      </w:r>
      <w:r>
        <w:rPr>
          <w:vertAlign w:val="superscript"/>
        </w:rPr>
        <w:t>447</w:t>
      </w:r>
    </w:p>
    <w:p w14:paraId="51DE8A05" w14:textId="77777777" w:rsidR="0010369C" w:rsidRDefault="0010369C">
      <w:pPr>
        <w:pStyle w:val="BodyText"/>
        <w:spacing w:before="11"/>
        <w:rPr>
          <w:sz w:val="8"/>
        </w:rPr>
      </w:pPr>
    </w:p>
    <w:p w14:paraId="51DE8A06" w14:textId="77777777" w:rsidR="0010369C" w:rsidRDefault="008E43AE">
      <w:pPr>
        <w:pStyle w:val="BodyText"/>
        <w:spacing w:before="52" w:line="360" w:lineRule="auto"/>
        <w:ind w:left="238" w:right="613" w:firstLine="851"/>
        <w:jc w:val="both"/>
      </w:pPr>
      <w:r>
        <w:rPr>
          <w:noProof/>
        </w:rPr>
        <w:drawing>
          <wp:anchor distT="0" distB="0" distL="0" distR="0" simplePos="0" relativeHeight="251057664" behindDoc="1" locked="0" layoutInCell="1" allowOverlap="1" wp14:anchorId="51DEA2F9" wp14:editId="51DEA2FA">
            <wp:simplePos x="0" y="0"/>
            <wp:positionH relativeFrom="page">
              <wp:posOffset>899160</wp:posOffset>
            </wp:positionH>
            <wp:positionV relativeFrom="paragraph">
              <wp:posOffset>81949</wp:posOffset>
            </wp:positionV>
            <wp:extent cx="265175" cy="100753"/>
            <wp:effectExtent l="0" t="0" r="0" b="0"/>
            <wp:wrapNone/>
            <wp:docPr id="833" name="image4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 name="image427.png"/>
                    <pic:cNvPicPr/>
                  </pic:nvPicPr>
                  <pic:blipFill>
                    <a:blip r:embed="rId565" cstate="print"/>
                    <a:stretch>
                      <a:fillRect/>
                    </a:stretch>
                  </pic:blipFill>
                  <pic:spPr>
                    <a:xfrm>
                      <a:off x="0" y="0"/>
                      <a:ext cx="265175" cy="100753"/>
                    </a:xfrm>
                    <a:prstGeom prst="rect">
                      <a:avLst/>
                    </a:prstGeom>
                  </pic:spPr>
                </pic:pic>
              </a:graphicData>
            </a:graphic>
          </wp:anchor>
        </w:drawing>
      </w:r>
      <w:r>
        <w:t xml:space="preserve">Ultimately, MOFCOM resorted to facts available, determining that the best information available to determine Swan Vintage's normal value was "the weighted average </w:t>
      </w:r>
      <w:r>
        <w:t>price</w:t>
      </w:r>
      <w:r>
        <w:rPr>
          <w:spacing w:val="22"/>
        </w:rPr>
        <w:t xml:space="preserve"> </w:t>
      </w:r>
      <w:r>
        <w:t>of</w:t>
      </w:r>
      <w:r>
        <w:rPr>
          <w:spacing w:val="23"/>
        </w:rPr>
        <w:t xml:space="preserve"> </w:t>
      </w:r>
      <w:r>
        <w:t>domestic</w:t>
      </w:r>
      <w:r>
        <w:rPr>
          <w:spacing w:val="24"/>
        </w:rPr>
        <w:t xml:space="preserve"> </w:t>
      </w:r>
      <w:r>
        <w:t>sales</w:t>
      </w:r>
      <w:r>
        <w:rPr>
          <w:spacing w:val="23"/>
        </w:rPr>
        <w:t xml:space="preserve"> </w:t>
      </w:r>
      <w:r>
        <w:t>of</w:t>
      </w:r>
      <w:r>
        <w:rPr>
          <w:spacing w:val="23"/>
        </w:rPr>
        <w:t xml:space="preserve"> </w:t>
      </w:r>
      <w:r>
        <w:t>the</w:t>
      </w:r>
      <w:r>
        <w:rPr>
          <w:spacing w:val="23"/>
        </w:rPr>
        <w:t xml:space="preserve"> </w:t>
      </w:r>
      <w:r>
        <w:t>product</w:t>
      </w:r>
      <w:r>
        <w:rPr>
          <w:spacing w:val="23"/>
        </w:rPr>
        <w:t xml:space="preserve"> </w:t>
      </w:r>
      <w:r>
        <w:t>under</w:t>
      </w:r>
      <w:r>
        <w:rPr>
          <w:spacing w:val="22"/>
        </w:rPr>
        <w:t xml:space="preserve"> </w:t>
      </w:r>
      <w:r>
        <w:t>investigation</w:t>
      </w:r>
      <w:r>
        <w:rPr>
          <w:spacing w:val="24"/>
        </w:rPr>
        <w:t xml:space="preserve"> </w:t>
      </w:r>
      <w:r>
        <w:t>given</w:t>
      </w:r>
      <w:r>
        <w:rPr>
          <w:spacing w:val="22"/>
        </w:rPr>
        <w:t xml:space="preserve"> </w:t>
      </w:r>
      <w:r>
        <w:t>by</w:t>
      </w:r>
      <w:r>
        <w:rPr>
          <w:spacing w:val="23"/>
        </w:rPr>
        <w:t xml:space="preserve"> </w:t>
      </w:r>
      <w:r>
        <w:t>other</w:t>
      </w:r>
      <w:r>
        <w:rPr>
          <w:spacing w:val="23"/>
        </w:rPr>
        <w:t xml:space="preserve"> </w:t>
      </w:r>
      <w:r>
        <w:t>respondents".</w:t>
      </w:r>
      <w:r>
        <w:rPr>
          <w:vertAlign w:val="superscript"/>
        </w:rPr>
        <w:t>448</w:t>
      </w:r>
    </w:p>
    <w:p w14:paraId="51DE8A07" w14:textId="77777777" w:rsidR="0010369C" w:rsidRDefault="0010369C">
      <w:pPr>
        <w:pStyle w:val="BodyText"/>
        <w:rPr>
          <w:sz w:val="20"/>
        </w:rPr>
      </w:pPr>
    </w:p>
    <w:p w14:paraId="51DE8A08" w14:textId="77777777" w:rsidR="0010369C" w:rsidRDefault="008E43AE">
      <w:pPr>
        <w:pStyle w:val="BodyText"/>
        <w:spacing w:before="5"/>
        <w:rPr>
          <w:sz w:val="18"/>
        </w:rPr>
      </w:pPr>
      <w:r>
        <w:pict w14:anchorId="51DEA2FB">
          <v:rect id="docshape882" o:spid="_x0000_s1434" style="position:absolute;margin-left:70.9pt;margin-top:12.45pt;width:2in;height:.8pt;z-index:-250886656;mso-wrap-distance-left:0;mso-wrap-distance-right:0;mso-position-horizontal-relative:page" fillcolor="black" stroked="f">
            <w10:wrap type="topAndBottom" anchorx="page"/>
          </v:rect>
        </w:pict>
      </w:r>
    </w:p>
    <w:p w14:paraId="51DE8A09" w14:textId="77777777" w:rsidR="0010369C" w:rsidRDefault="008E43AE">
      <w:pPr>
        <w:spacing w:before="109"/>
        <w:ind w:left="238" w:right="5311"/>
        <w:jc w:val="both"/>
        <w:rPr>
          <w:sz w:val="18"/>
        </w:rPr>
      </w:pPr>
      <w:r>
        <w:rPr>
          <w:sz w:val="18"/>
          <w:vertAlign w:val="superscript"/>
        </w:rPr>
        <w:t>441</w:t>
      </w:r>
      <w:r>
        <w:rPr>
          <w:spacing w:val="-5"/>
          <w:sz w:val="18"/>
        </w:rPr>
        <w:t xml:space="preserve"> </w:t>
      </w:r>
      <w:r>
        <w:rPr>
          <w:sz w:val="18"/>
        </w:rPr>
        <w:t>Anti‐Dumping</w:t>
      </w:r>
      <w:r>
        <w:rPr>
          <w:spacing w:val="-5"/>
          <w:sz w:val="18"/>
        </w:rPr>
        <w:t xml:space="preserve"> </w:t>
      </w:r>
      <w:r>
        <w:rPr>
          <w:sz w:val="18"/>
        </w:rPr>
        <w:t>Final</w:t>
      </w:r>
      <w:r>
        <w:rPr>
          <w:spacing w:val="-5"/>
          <w:sz w:val="18"/>
        </w:rPr>
        <w:t xml:space="preserve"> </w:t>
      </w:r>
      <w:r>
        <w:rPr>
          <w:sz w:val="18"/>
        </w:rPr>
        <w:t>Determination</w:t>
      </w:r>
      <w:r>
        <w:rPr>
          <w:spacing w:val="-4"/>
          <w:sz w:val="18"/>
        </w:rPr>
        <w:t xml:space="preserve"> </w:t>
      </w:r>
      <w:r>
        <w:rPr>
          <w:sz w:val="18"/>
        </w:rPr>
        <w:t>(Exhibit</w:t>
      </w:r>
      <w:r>
        <w:rPr>
          <w:spacing w:val="-5"/>
          <w:sz w:val="18"/>
        </w:rPr>
        <w:t xml:space="preserve"> </w:t>
      </w:r>
      <w:r>
        <w:rPr>
          <w:sz w:val="18"/>
        </w:rPr>
        <w:t>AUS‐2),</w:t>
      </w:r>
      <w:r>
        <w:rPr>
          <w:spacing w:val="-6"/>
          <w:sz w:val="18"/>
        </w:rPr>
        <w:t xml:space="preserve"> </w:t>
      </w:r>
      <w:r>
        <w:rPr>
          <w:sz w:val="18"/>
        </w:rPr>
        <w:t>p.</w:t>
      </w:r>
      <w:r>
        <w:rPr>
          <w:spacing w:val="-5"/>
          <w:sz w:val="18"/>
        </w:rPr>
        <w:t xml:space="preserve"> </w:t>
      </w:r>
      <w:r>
        <w:rPr>
          <w:sz w:val="18"/>
        </w:rPr>
        <w:t xml:space="preserve">88. </w:t>
      </w:r>
      <w:r>
        <w:rPr>
          <w:sz w:val="18"/>
          <w:vertAlign w:val="superscript"/>
        </w:rPr>
        <w:t>442</w:t>
      </w:r>
      <w:r>
        <w:rPr>
          <w:spacing w:val="-5"/>
          <w:sz w:val="18"/>
        </w:rPr>
        <w:t xml:space="preserve"> </w:t>
      </w:r>
      <w:r>
        <w:rPr>
          <w:sz w:val="18"/>
        </w:rPr>
        <w:t>Anti‐Dumping</w:t>
      </w:r>
      <w:r>
        <w:rPr>
          <w:spacing w:val="-5"/>
          <w:sz w:val="18"/>
        </w:rPr>
        <w:t xml:space="preserve"> </w:t>
      </w:r>
      <w:r>
        <w:rPr>
          <w:sz w:val="18"/>
        </w:rPr>
        <w:t>Final</w:t>
      </w:r>
      <w:r>
        <w:rPr>
          <w:spacing w:val="-5"/>
          <w:sz w:val="18"/>
        </w:rPr>
        <w:t xml:space="preserve"> </w:t>
      </w:r>
      <w:r>
        <w:rPr>
          <w:sz w:val="18"/>
        </w:rPr>
        <w:t>Determination</w:t>
      </w:r>
      <w:r>
        <w:rPr>
          <w:spacing w:val="-4"/>
          <w:sz w:val="18"/>
        </w:rPr>
        <w:t xml:space="preserve"> </w:t>
      </w:r>
      <w:r>
        <w:rPr>
          <w:sz w:val="18"/>
        </w:rPr>
        <w:t>(Exhibit</w:t>
      </w:r>
      <w:r>
        <w:rPr>
          <w:spacing w:val="-5"/>
          <w:sz w:val="18"/>
        </w:rPr>
        <w:t xml:space="preserve"> </w:t>
      </w:r>
      <w:r>
        <w:rPr>
          <w:sz w:val="18"/>
        </w:rPr>
        <w:t>AUS‐2),</w:t>
      </w:r>
      <w:r>
        <w:rPr>
          <w:spacing w:val="-6"/>
          <w:sz w:val="18"/>
        </w:rPr>
        <w:t xml:space="preserve"> </w:t>
      </w:r>
      <w:r>
        <w:rPr>
          <w:sz w:val="18"/>
        </w:rPr>
        <w:t>p.</w:t>
      </w:r>
      <w:r>
        <w:rPr>
          <w:spacing w:val="-5"/>
          <w:sz w:val="18"/>
        </w:rPr>
        <w:t xml:space="preserve"> </w:t>
      </w:r>
      <w:r>
        <w:rPr>
          <w:sz w:val="18"/>
        </w:rPr>
        <w:t xml:space="preserve">89. </w:t>
      </w:r>
      <w:r>
        <w:rPr>
          <w:sz w:val="18"/>
          <w:vertAlign w:val="superscript"/>
        </w:rPr>
        <w:t>443</w:t>
      </w:r>
      <w:r>
        <w:rPr>
          <w:spacing w:val="-9"/>
          <w:sz w:val="18"/>
        </w:rPr>
        <w:t xml:space="preserve"> </w:t>
      </w:r>
      <w:r>
        <w:rPr>
          <w:sz w:val="18"/>
        </w:rPr>
        <w:t>Anti‐Dumping</w:t>
      </w:r>
      <w:r>
        <w:rPr>
          <w:spacing w:val="-9"/>
          <w:sz w:val="18"/>
        </w:rPr>
        <w:t xml:space="preserve"> </w:t>
      </w:r>
      <w:r>
        <w:rPr>
          <w:sz w:val="18"/>
        </w:rPr>
        <w:t>Final</w:t>
      </w:r>
      <w:r>
        <w:rPr>
          <w:spacing w:val="-9"/>
          <w:sz w:val="18"/>
        </w:rPr>
        <w:t xml:space="preserve"> </w:t>
      </w:r>
      <w:r>
        <w:rPr>
          <w:sz w:val="18"/>
        </w:rPr>
        <w:t>Determination</w:t>
      </w:r>
      <w:r>
        <w:rPr>
          <w:spacing w:val="-8"/>
          <w:sz w:val="18"/>
        </w:rPr>
        <w:t xml:space="preserve"> </w:t>
      </w:r>
      <w:r>
        <w:rPr>
          <w:sz w:val="18"/>
        </w:rPr>
        <w:t>(Exhibit</w:t>
      </w:r>
      <w:r>
        <w:rPr>
          <w:spacing w:val="-9"/>
          <w:sz w:val="18"/>
        </w:rPr>
        <w:t xml:space="preserve"> </w:t>
      </w:r>
      <w:r>
        <w:rPr>
          <w:sz w:val="18"/>
        </w:rPr>
        <w:t>AUS‐2),</w:t>
      </w:r>
      <w:r>
        <w:rPr>
          <w:spacing w:val="-9"/>
          <w:sz w:val="18"/>
        </w:rPr>
        <w:t xml:space="preserve"> </w:t>
      </w:r>
      <w:r>
        <w:rPr>
          <w:sz w:val="18"/>
        </w:rPr>
        <w:t>p.</w:t>
      </w:r>
      <w:r>
        <w:rPr>
          <w:spacing w:val="-9"/>
          <w:sz w:val="18"/>
        </w:rPr>
        <w:t xml:space="preserve"> </w:t>
      </w:r>
      <w:r>
        <w:rPr>
          <w:spacing w:val="-5"/>
          <w:sz w:val="18"/>
        </w:rPr>
        <w:t>89.</w:t>
      </w:r>
    </w:p>
    <w:p w14:paraId="51DE8A0A" w14:textId="77777777" w:rsidR="0010369C" w:rsidRDefault="008E43AE">
      <w:pPr>
        <w:ind w:left="238" w:right="4977"/>
        <w:jc w:val="both"/>
        <w:rPr>
          <w:sz w:val="18"/>
        </w:rPr>
      </w:pPr>
      <w:r>
        <w:rPr>
          <w:sz w:val="18"/>
          <w:vertAlign w:val="superscript"/>
        </w:rPr>
        <w:t>444</w:t>
      </w:r>
      <w:r>
        <w:rPr>
          <w:spacing w:val="-5"/>
          <w:sz w:val="18"/>
        </w:rPr>
        <w:t xml:space="preserve"> </w:t>
      </w:r>
      <w:r>
        <w:rPr>
          <w:sz w:val="18"/>
        </w:rPr>
        <w:t>Anti‐Dumping</w:t>
      </w:r>
      <w:r>
        <w:rPr>
          <w:spacing w:val="-5"/>
          <w:sz w:val="18"/>
        </w:rPr>
        <w:t xml:space="preserve"> </w:t>
      </w:r>
      <w:r>
        <w:rPr>
          <w:sz w:val="18"/>
        </w:rPr>
        <w:t>Final</w:t>
      </w:r>
      <w:r>
        <w:rPr>
          <w:spacing w:val="-5"/>
          <w:sz w:val="18"/>
        </w:rPr>
        <w:t xml:space="preserve"> </w:t>
      </w:r>
      <w:r>
        <w:rPr>
          <w:sz w:val="18"/>
        </w:rPr>
        <w:t>Determination</w:t>
      </w:r>
      <w:r>
        <w:rPr>
          <w:spacing w:val="-4"/>
          <w:sz w:val="18"/>
        </w:rPr>
        <w:t xml:space="preserve"> </w:t>
      </w:r>
      <w:r>
        <w:rPr>
          <w:sz w:val="18"/>
        </w:rPr>
        <w:t>(Exhibit</w:t>
      </w:r>
      <w:r>
        <w:rPr>
          <w:spacing w:val="-5"/>
          <w:sz w:val="18"/>
        </w:rPr>
        <w:t xml:space="preserve"> </w:t>
      </w:r>
      <w:r>
        <w:rPr>
          <w:sz w:val="18"/>
        </w:rPr>
        <w:t>AUS‐2),</w:t>
      </w:r>
      <w:r>
        <w:rPr>
          <w:spacing w:val="-6"/>
          <w:sz w:val="18"/>
        </w:rPr>
        <w:t xml:space="preserve"> </w:t>
      </w:r>
      <w:r>
        <w:rPr>
          <w:sz w:val="18"/>
        </w:rPr>
        <w:t>pp.</w:t>
      </w:r>
      <w:r>
        <w:rPr>
          <w:spacing w:val="-5"/>
          <w:sz w:val="18"/>
        </w:rPr>
        <w:t xml:space="preserve"> </w:t>
      </w:r>
      <w:r>
        <w:rPr>
          <w:sz w:val="18"/>
        </w:rPr>
        <w:t xml:space="preserve">89‐90. </w:t>
      </w:r>
      <w:r>
        <w:rPr>
          <w:sz w:val="18"/>
          <w:vertAlign w:val="superscript"/>
        </w:rPr>
        <w:t>445</w:t>
      </w:r>
      <w:r>
        <w:rPr>
          <w:spacing w:val="-5"/>
          <w:sz w:val="18"/>
        </w:rPr>
        <w:t xml:space="preserve"> </w:t>
      </w:r>
      <w:r>
        <w:rPr>
          <w:sz w:val="18"/>
        </w:rPr>
        <w:t>Anti‐Dumping</w:t>
      </w:r>
      <w:r>
        <w:rPr>
          <w:spacing w:val="-5"/>
          <w:sz w:val="18"/>
        </w:rPr>
        <w:t xml:space="preserve"> </w:t>
      </w:r>
      <w:r>
        <w:rPr>
          <w:sz w:val="18"/>
        </w:rPr>
        <w:t>Final</w:t>
      </w:r>
      <w:r>
        <w:rPr>
          <w:spacing w:val="-5"/>
          <w:sz w:val="18"/>
        </w:rPr>
        <w:t xml:space="preserve"> </w:t>
      </w:r>
      <w:r>
        <w:rPr>
          <w:sz w:val="18"/>
        </w:rPr>
        <w:t>Determination</w:t>
      </w:r>
      <w:r>
        <w:rPr>
          <w:spacing w:val="-4"/>
          <w:sz w:val="18"/>
        </w:rPr>
        <w:t xml:space="preserve"> </w:t>
      </w:r>
      <w:r>
        <w:rPr>
          <w:sz w:val="18"/>
        </w:rPr>
        <w:t>(Exhibit</w:t>
      </w:r>
      <w:r>
        <w:rPr>
          <w:spacing w:val="-5"/>
          <w:sz w:val="18"/>
        </w:rPr>
        <w:t xml:space="preserve"> </w:t>
      </w:r>
      <w:r>
        <w:rPr>
          <w:sz w:val="18"/>
        </w:rPr>
        <w:t>AUS‐2),</w:t>
      </w:r>
      <w:r>
        <w:rPr>
          <w:spacing w:val="-6"/>
          <w:sz w:val="18"/>
        </w:rPr>
        <w:t xml:space="preserve"> </w:t>
      </w:r>
      <w:r>
        <w:rPr>
          <w:sz w:val="18"/>
        </w:rPr>
        <w:t>pp.</w:t>
      </w:r>
      <w:r>
        <w:rPr>
          <w:spacing w:val="-5"/>
          <w:sz w:val="18"/>
        </w:rPr>
        <w:t xml:space="preserve"> </w:t>
      </w:r>
      <w:r>
        <w:rPr>
          <w:sz w:val="18"/>
        </w:rPr>
        <w:t xml:space="preserve">89‐90. </w:t>
      </w:r>
      <w:r>
        <w:rPr>
          <w:sz w:val="18"/>
          <w:vertAlign w:val="superscript"/>
        </w:rPr>
        <w:t>446</w:t>
      </w:r>
      <w:r>
        <w:rPr>
          <w:spacing w:val="-5"/>
          <w:sz w:val="18"/>
        </w:rPr>
        <w:t xml:space="preserve"> </w:t>
      </w:r>
      <w:r>
        <w:rPr>
          <w:sz w:val="18"/>
        </w:rPr>
        <w:t>Anti‐Dumping</w:t>
      </w:r>
      <w:r>
        <w:rPr>
          <w:spacing w:val="-5"/>
          <w:sz w:val="18"/>
        </w:rPr>
        <w:t xml:space="preserve"> </w:t>
      </w:r>
      <w:r>
        <w:rPr>
          <w:sz w:val="18"/>
        </w:rPr>
        <w:t>Final</w:t>
      </w:r>
      <w:r>
        <w:rPr>
          <w:spacing w:val="-5"/>
          <w:sz w:val="18"/>
        </w:rPr>
        <w:t xml:space="preserve"> </w:t>
      </w:r>
      <w:r>
        <w:rPr>
          <w:sz w:val="18"/>
        </w:rPr>
        <w:t>Determination</w:t>
      </w:r>
      <w:r>
        <w:rPr>
          <w:spacing w:val="-4"/>
          <w:sz w:val="18"/>
        </w:rPr>
        <w:t xml:space="preserve"> </w:t>
      </w:r>
      <w:r>
        <w:rPr>
          <w:sz w:val="18"/>
        </w:rPr>
        <w:t>(Exhibit</w:t>
      </w:r>
      <w:r>
        <w:rPr>
          <w:spacing w:val="-5"/>
          <w:sz w:val="18"/>
        </w:rPr>
        <w:t xml:space="preserve"> </w:t>
      </w:r>
      <w:r>
        <w:rPr>
          <w:sz w:val="18"/>
        </w:rPr>
        <w:t>AUS‐2),</w:t>
      </w:r>
      <w:r>
        <w:rPr>
          <w:spacing w:val="-6"/>
          <w:sz w:val="18"/>
        </w:rPr>
        <w:t xml:space="preserve"> </w:t>
      </w:r>
      <w:r>
        <w:rPr>
          <w:sz w:val="18"/>
        </w:rPr>
        <w:t>pp.</w:t>
      </w:r>
      <w:r>
        <w:rPr>
          <w:spacing w:val="-5"/>
          <w:sz w:val="18"/>
        </w:rPr>
        <w:t xml:space="preserve"> </w:t>
      </w:r>
      <w:r>
        <w:rPr>
          <w:sz w:val="18"/>
        </w:rPr>
        <w:t xml:space="preserve">90‐91. </w:t>
      </w:r>
      <w:r>
        <w:rPr>
          <w:sz w:val="18"/>
          <w:vertAlign w:val="superscript"/>
        </w:rPr>
        <w:t>447</w:t>
      </w:r>
      <w:r>
        <w:rPr>
          <w:sz w:val="18"/>
        </w:rPr>
        <w:t xml:space="preserve"> Anti‐Dumping Final Determination (Exhibit AUS‐2), p. 91.</w:t>
      </w:r>
    </w:p>
    <w:p w14:paraId="51DE8A0B" w14:textId="77777777" w:rsidR="0010369C" w:rsidRDefault="008E43AE">
      <w:pPr>
        <w:ind w:left="238"/>
        <w:jc w:val="both"/>
        <w:rPr>
          <w:sz w:val="18"/>
        </w:rPr>
      </w:pPr>
      <w:r>
        <w:rPr>
          <w:sz w:val="18"/>
          <w:vertAlign w:val="superscript"/>
        </w:rPr>
        <w:t>448</w:t>
      </w:r>
      <w:r>
        <w:rPr>
          <w:spacing w:val="-9"/>
          <w:sz w:val="18"/>
        </w:rPr>
        <w:t xml:space="preserve"> </w:t>
      </w:r>
      <w:r>
        <w:rPr>
          <w:sz w:val="18"/>
        </w:rPr>
        <w:t>Anti‐Dumping</w:t>
      </w:r>
      <w:r>
        <w:rPr>
          <w:spacing w:val="-9"/>
          <w:sz w:val="18"/>
        </w:rPr>
        <w:t xml:space="preserve"> </w:t>
      </w:r>
      <w:r>
        <w:rPr>
          <w:sz w:val="18"/>
        </w:rPr>
        <w:t>Final</w:t>
      </w:r>
      <w:r>
        <w:rPr>
          <w:spacing w:val="-9"/>
          <w:sz w:val="18"/>
        </w:rPr>
        <w:t xml:space="preserve"> </w:t>
      </w:r>
      <w:r>
        <w:rPr>
          <w:sz w:val="18"/>
        </w:rPr>
        <w:t>Determination</w:t>
      </w:r>
      <w:r>
        <w:rPr>
          <w:spacing w:val="-8"/>
          <w:sz w:val="18"/>
        </w:rPr>
        <w:t xml:space="preserve"> </w:t>
      </w:r>
      <w:r>
        <w:rPr>
          <w:sz w:val="18"/>
        </w:rPr>
        <w:t>(Exhibit</w:t>
      </w:r>
      <w:r>
        <w:rPr>
          <w:spacing w:val="-9"/>
          <w:sz w:val="18"/>
        </w:rPr>
        <w:t xml:space="preserve"> </w:t>
      </w:r>
      <w:r>
        <w:rPr>
          <w:sz w:val="18"/>
        </w:rPr>
        <w:t>AUS‐2),</w:t>
      </w:r>
      <w:r>
        <w:rPr>
          <w:spacing w:val="-9"/>
          <w:sz w:val="18"/>
        </w:rPr>
        <w:t xml:space="preserve"> </w:t>
      </w:r>
      <w:r>
        <w:rPr>
          <w:sz w:val="18"/>
        </w:rPr>
        <w:t>p.</w:t>
      </w:r>
      <w:r>
        <w:rPr>
          <w:spacing w:val="-9"/>
          <w:sz w:val="18"/>
        </w:rPr>
        <w:t xml:space="preserve"> </w:t>
      </w:r>
      <w:r>
        <w:rPr>
          <w:spacing w:val="-5"/>
          <w:sz w:val="18"/>
        </w:rPr>
        <w:t>92.</w:t>
      </w:r>
    </w:p>
    <w:p w14:paraId="51DE8A0C" w14:textId="77777777" w:rsidR="0010369C" w:rsidRDefault="0010369C">
      <w:pPr>
        <w:jc w:val="both"/>
        <w:rPr>
          <w:sz w:val="18"/>
        </w:rPr>
        <w:sectPr w:rsidR="0010369C">
          <w:pgSz w:w="11910" w:h="16840"/>
          <w:pgMar w:top="880" w:right="800" w:bottom="980" w:left="1180" w:header="569" w:footer="788" w:gutter="0"/>
          <w:cols w:space="720"/>
        </w:sectPr>
      </w:pPr>
    </w:p>
    <w:p w14:paraId="51DE8A0D" w14:textId="77777777" w:rsidR="0010369C" w:rsidRDefault="008E43AE">
      <w:pPr>
        <w:tabs>
          <w:tab w:val="left" w:pos="6426"/>
        </w:tabs>
        <w:ind w:left="238"/>
        <w:rPr>
          <w:sz w:val="20"/>
        </w:rPr>
      </w:pPr>
      <w:r>
        <w:rPr>
          <w:i/>
          <w:sz w:val="20"/>
        </w:rPr>
        <w:lastRenderedPageBreak/>
        <w:t>China</w:t>
      </w:r>
      <w:r>
        <w:rPr>
          <w:i/>
          <w:spacing w:val="-5"/>
          <w:sz w:val="20"/>
        </w:rPr>
        <w:t xml:space="preserve"> </w:t>
      </w:r>
      <w:r>
        <w:rPr>
          <w:i/>
          <w:sz w:val="20"/>
        </w:rPr>
        <w:t>–</w:t>
      </w:r>
      <w:r>
        <w:rPr>
          <w:i/>
          <w:spacing w:val="-5"/>
          <w:sz w:val="20"/>
        </w:rPr>
        <w:t xml:space="preserve"> </w:t>
      </w:r>
      <w:r>
        <w:rPr>
          <w:i/>
          <w:sz w:val="20"/>
        </w:rPr>
        <w:t>Anti‐Dumping</w:t>
      </w:r>
      <w:r>
        <w:rPr>
          <w:i/>
          <w:spacing w:val="-4"/>
          <w:sz w:val="20"/>
        </w:rPr>
        <w:t xml:space="preserve"> </w:t>
      </w:r>
      <w:r>
        <w:rPr>
          <w:i/>
          <w:sz w:val="20"/>
        </w:rPr>
        <w:t>and</w:t>
      </w:r>
      <w:r>
        <w:rPr>
          <w:i/>
          <w:spacing w:val="-5"/>
          <w:sz w:val="20"/>
        </w:rPr>
        <w:t xml:space="preserve"> </w:t>
      </w:r>
      <w:r>
        <w:rPr>
          <w:i/>
          <w:sz w:val="20"/>
        </w:rPr>
        <w:t>Countervailing</w:t>
      </w:r>
      <w:r>
        <w:rPr>
          <w:i/>
          <w:spacing w:val="-5"/>
          <w:sz w:val="20"/>
        </w:rPr>
        <w:t xml:space="preserve"> </w:t>
      </w:r>
      <w:r>
        <w:rPr>
          <w:i/>
          <w:sz w:val="20"/>
        </w:rPr>
        <w:t>Duty</w:t>
      </w:r>
      <w:r>
        <w:rPr>
          <w:i/>
          <w:spacing w:val="-4"/>
          <w:sz w:val="20"/>
        </w:rPr>
        <w:t xml:space="preserve"> </w:t>
      </w:r>
      <w:r>
        <w:rPr>
          <w:i/>
          <w:spacing w:val="-2"/>
          <w:sz w:val="20"/>
        </w:rPr>
        <w:t>Measures</w:t>
      </w:r>
      <w:r>
        <w:rPr>
          <w:i/>
          <w:sz w:val="20"/>
        </w:rPr>
        <w:tab/>
      </w:r>
      <w:r>
        <w:rPr>
          <w:sz w:val="20"/>
        </w:rPr>
        <w:t>Australia's</w:t>
      </w:r>
      <w:r>
        <w:rPr>
          <w:spacing w:val="-7"/>
          <w:sz w:val="20"/>
        </w:rPr>
        <w:t xml:space="preserve"> </w:t>
      </w:r>
      <w:r>
        <w:rPr>
          <w:sz w:val="20"/>
        </w:rPr>
        <w:t>First</w:t>
      </w:r>
      <w:r>
        <w:rPr>
          <w:spacing w:val="-2"/>
          <w:sz w:val="20"/>
        </w:rPr>
        <w:t xml:space="preserve"> </w:t>
      </w:r>
      <w:r>
        <w:rPr>
          <w:sz w:val="20"/>
        </w:rPr>
        <w:t>Written</w:t>
      </w:r>
      <w:r>
        <w:rPr>
          <w:spacing w:val="-2"/>
          <w:sz w:val="20"/>
        </w:rPr>
        <w:t xml:space="preserve"> Submission</w:t>
      </w:r>
    </w:p>
    <w:p w14:paraId="51DE8A0E" w14:textId="77777777" w:rsidR="0010369C" w:rsidRDefault="008E43AE">
      <w:pPr>
        <w:tabs>
          <w:tab w:val="left" w:pos="8228"/>
        </w:tabs>
        <w:spacing w:before="1"/>
        <w:ind w:left="239"/>
        <w:rPr>
          <w:sz w:val="20"/>
        </w:rPr>
      </w:pPr>
      <w:r>
        <w:rPr>
          <w:i/>
          <w:sz w:val="20"/>
        </w:rPr>
        <w:t>on</w:t>
      </w:r>
      <w:r>
        <w:rPr>
          <w:i/>
          <w:spacing w:val="-1"/>
          <w:sz w:val="20"/>
        </w:rPr>
        <w:t xml:space="preserve"> </w:t>
      </w:r>
      <w:r>
        <w:rPr>
          <w:i/>
          <w:sz w:val="20"/>
        </w:rPr>
        <w:t>Wine</w:t>
      </w:r>
      <w:r>
        <w:rPr>
          <w:i/>
          <w:spacing w:val="-1"/>
          <w:sz w:val="20"/>
        </w:rPr>
        <w:t xml:space="preserve"> </w:t>
      </w:r>
      <w:r>
        <w:rPr>
          <w:i/>
          <w:sz w:val="20"/>
        </w:rPr>
        <w:t>from</w:t>
      </w:r>
      <w:r>
        <w:rPr>
          <w:i/>
          <w:spacing w:val="-3"/>
          <w:sz w:val="20"/>
        </w:rPr>
        <w:t xml:space="preserve"> </w:t>
      </w:r>
      <w:r>
        <w:rPr>
          <w:i/>
          <w:sz w:val="20"/>
        </w:rPr>
        <w:t>Australia</w:t>
      </w:r>
      <w:r>
        <w:rPr>
          <w:i/>
          <w:spacing w:val="-1"/>
          <w:sz w:val="20"/>
        </w:rPr>
        <w:t xml:space="preserve"> </w:t>
      </w:r>
      <w:r>
        <w:rPr>
          <w:spacing w:val="-2"/>
          <w:sz w:val="20"/>
        </w:rPr>
        <w:t>(DS602)</w:t>
      </w:r>
      <w:r>
        <w:rPr>
          <w:sz w:val="20"/>
        </w:rPr>
        <w:tab/>
        <w:t>29</w:t>
      </w:r>
      <w:r>
        <w:rPr>
          <w:spacing w:val="-1"/>
          <w:sz w:val="20"/>
        </w:rPr>
        <w:t xml:space="preserve"> </w:t>
      </w:r>
      <w:r>
        <w:rPr>
          <w:sz w:val="20"/>
        </w:rPr>
        <w:t>April</w:t>
      </w:r>
      <w:r>
        <w:rPr>
          <w:spacing w:val="-2"/>
          <w:sz w:val="20"/>
        </w:rPr>
        <w:t xml:space="preserve"> </w:t>
      </w:r>
      <w:r>
        <w:rPr>
          <w:spacing w:val="-4"/>
          <w:sz w:val="20"/>
        </w:rPr>
        <w:t>2022</w:t>
      </w:r>
    </w:p>
    <w:p w14:paraId="51DE8A0F" w14:textId="77777777" w:rsidR="0010369C" w:rsidRDefault="008E43AE">
      <w:pPr>
        <w:pStyle w:val="BodyText"/>
        <w:spacing w:before="34" w:line="360" w:lineRule="auto"/>
        <w:ind w:left="238" w:right="614" w:hanging="1"/>
      </w:pPr>
      <w:r>
        <w:t>MOFCOM</w:t>
      </w:r>
      <w:r>
        <w:rPr>
          <w:spacing w:val="-2"/>
        </w:rPr>
        <w:t xml:space="preserve"> </w:t>
      </w:r>
      <w:r>
        <w:t>did</w:t>
      </w:r>
      <w:r>
        <w:rPr>
          <w:spacing w:val="-3"/>
        </w:rPr>
        <w:t xml:space="preserve"> </w:t>
      </w:r>
      <w:r>
        <w:t>not</w:t>
      </w:r>
      <w:r>
        <w:rPr>
          <w:spacing w:val="-2"/>
        </w:rPr>
        <w:t xml:space="preserve"> </w:t>
      </w:r>
      <w:r>
        <w:t>identify</w:t>
      </w:r>
      <w:r>
        <w:rPr>
          <w:spacing w:val="-1"/>
        </w:rPr>
        <w:t xml:space="preserve"> </w:t>
      </w:r>
      <w:r>
        <w:t>the</w:t>
      </w:r>
      <w:r>
        <w:rPr>
          <w:spacing w:val="-2"/>
        </w:rPr>
        <w:t xml:space="preserve"> </w:t>
      </w:r>
      <w:r>
        <w:t>"other</w:t>
      </w:r>
      <w:r>
        <w:rPr>
          <w:spacing w:val="-4"/>
        </w:rPr>
        <w:t xml:space="preserve"> </w:t>
      </w:r>
      <w:r>
        <w:t>respondents"</w:t>
      </w:r>
      <w:r>
        <w:rPr>
          <w:spacing w:val="-4"/>
        </w:rPr>
        <w:t xml:space="preserve"> </w:t>
      </w:r>
      <w:r>
        <w:t>nor</w:t>
      </w:r>
      <w:r>
        <w:rPr>
          <w:spacing w:val="-2"/>
        </w:rPr>
        <w:t xml:space="preserve"> </w:t>
      </w:r>
      <w:r>
        <w:t>the</w:t>
      </w:r>
      <w:r>
        <w:rPr>
          <w:spacing w:val="-2"/>
        </w:rPr>
        <w:t xml:space="preserve"> </w:t>
      </w:r>
      <w:r>
        <w:t>domestic</w:t>
      </w:r>
      <w:r>
        <w:rPr>
          <w:spacing w:val="-2"/>
        </w:rPr>
        <w:t xml:space="preserve"> </w:t>
      </w:r>
      <w:r>
        <w:t>sales</w:t>
      </w:r>
      <w:r>
        <w:rPr>
          <w:spacing w:val="-3"/>
        </w:rPr>
        <w:t xml:space="preserve"> </w:t>
      </w:r>
      <w:r>
        <w:t>prices</w:t>
      </w:r>
      <w:r>
        <w:rPr>
          <w:spacing w:val="-3"/>
        </w:rPr>
        <w:t xml:space="preserve"> </w:t>
      </w:r>
      <w:r>
        <w:t>of</w:t>
      </w:r>
      <w:r>
        <w:rPr>
          <w:spacing w:val="-3"/>
        </w:rPr>
        <w:t xml:space="preserve"> </w:t>
      </w:r>
      <w:r>
        <w:t>the</w:t>
      </w:r>
      <w:r>
        <w:rPr>
          <w:spacing w:val="-2"/>
        </w:rPr>
        <w:t xml:space="preserve"> </w:t>
      </w:r>
      <w:r>
        <w:t>other respondents that were used in the weighted average.</w:t>
      </w:r>
    </w:p>
    <w:p w14:paraId="51DE8A10" w14:textId="77777777" w:rsidR="0010369C" w:rsidRDefault="0010369C">
      <w:pPr>
        <w:pStyle w:val="BodyText"/>
        <w:spacing w:before="10"/>
        <w:rPr>
          <w:sz w:val="8"/>
        </w:rPr>
      </w:pPr>
    </w:p>
    <w:p w14:paraId="51DE8A11" w14:textId="77777777" w:rsidR="0010369C" w:rsidRDefault="008E43AE">
      <w:pPr>
        <w:pStyle w:val="BodyText"/>
        <w:spacing w:before="52" w:line="360" w:lineRule="auto"/>
        <w:ind w:left="237" w:right="614" w:firstLine="851"/>
        <w:jc w:val="both"/>
      </w:pPr>
      <w:r>
        <w:rPr>
          <w:noProof/>
        </w:rPr>
        <w:drawing>
          <wp:anchor distT="0" distB="0" distL="0" distR="0" simplePos="0" relativeHeight="251058688" behindDoc="1" locked="0" layoutInCell="1" allowOverlap="1" wp14:anchorId="51DEA2FC" wp14:editId="51DEA2FD">
            <wp:simplePos x="0" y="0"/>
            <wp:positionH relativeFrom="page">
              <wp:posOffset>899160</wp:posOffset>
            </wp:positionH>
            <wp:positionV relativeFrom="paragraph">
              <wp:posOffset>76785</wp:posOffset>
            </wp:positionV>
            <wp:extent cx="265175" cy="106679"/>
            <wp:effectExtent l="0" t="0" r="0" b="0"/>
            <wp:wrapNone/>
            <wp:docPr id="835" name="image4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 name="image428.png"/>
                    <pic:cNvPicPr/>
                  </pic:nvPicPr>
                  <pic:blipFill>
                    <a:blip r:embed="rId566" cstate="print"/>
                    <a:stretch>
                      <a:fillRect/>
                    </a:stretch>
                  </pic:blipFill>
                  <pic:spPr>
                    <a:xfrm>
                      <a:off x="0" y="0"/>
                      <a:ext cx="265175" cy="106679"/>
                    </a:xfrm>
                    <a:prstGeom prst="rect">
                      <a:avLst/>
                    </a:prstGeom>
                  </pic:spPr>
                </pic:pic>
              </a:graphicData>
            </a:graphic>
          </wp:anchor>
        </w:drawing>
      </w:r>
      <w:r>
        <w:t>MOFCOM's reference to the domestic sales prices of "other respondents" is vague and difficult to understand given its approach to the other sampled companies.</w:t>
      </w:r>
      <w:r>
        <w:rPr>
          <w:vertAlign w:val="superscript"/>
        </w:rPr>
        <w:t>449</w:t>
      </w:r>
      <w:r>
        <w:t xml:space="preserve"> The only other respondents that provided domestic sales prices were Treasury Wines and Casella</w:t>
      </w:r>
      <w:r>
        <w:t xml:space="preserve"> Wines.</w:t>
      </w:r>
      <w:r>
        <w:rPr>
          <w:spacing w:val="-2"/>
        </w:rPr>
        <w:t xml:space="preserve"> </w:t>
      </w:r>
      <w:r>
        <w:t>However,</w:t>
      </w:r>
      <w:r>
        <w:rPr>
          <w:spacing w:val="-1"/>
        </w:rPr>
        <w:t xml:space="preserve"> </w:t>
      </w:r>
      <w:r>
        <w:t>in</w:t>
      </w:r>
      <w:r>
        <w:rPr>
          <w:spacing w:val="-3"/>
        </w:rPr>
        <w:t xml:space="preserve"> </w:t>
      </w:r>
      <w:r>
        <w:t>both instances,</w:t>
      </w:r>
      <w:r>
        <w:rPr>
          <w:spacing w:val="-1"/>
        </w:rPr>
        <w:t xml:space="preserve"> </w:t>
      </w:r>
      <w:r>
        <w:t>domestic selling</w:t>
      </w:r>
      <w:r>
        <w:rPr>
          <w:spacing w:val="-1"/>
        </w:rPr>
        <w:t xml:space="preserve"> </w:t>
      </w:r>
      <w:r>
        <w:t>prices</w:t>
      </w:r>
      <w:r>
        <w:rPr>
          <w:spacing w:val="-3"/>
        </w:rPr>
        <w:t xml:space="preserve"> </w:t>
      </w:r>
      <w:r>
        <w:t>were</w:t>
      </w:r>
      <w:r>
        <w:rPr>
          <w:spacing w:val="-2"/>
        </w:rPr>
        <w:t xml:space="preserve"> </w:t>
      </w:r>
      <w:r>
        <w:t>rejected</w:t>
      </w:r>
      <w:r>
        <w:rPr>
          <w:spacing w:val="-3"/>
        </w:rPr>
        <w:t xml:space="preserve"> </w:t>
      </w:r>
      <w:r>
        <w:t>by</w:t>
      </w:r>
      <w:r>
        <w:rPr>
          <w:spacing w:val="-1"/>
        </w:rPr>
        <w:t xml:space="preserve"> </w:t>
      </w:r>
      <w:r>
        <w:t>MOFCOM</w:t>
      </w:r>
      <w:r>
        <w:rPr>
          <w:spacing w:val="-1"/>
        </w:rPr>
        <w:t xml:space="preserve"> </w:t>
      </w:r>
      <w:r>
        <w:t>either in part (Treasury Wines)</w:t>
      </w:r>
      <w:r>
        <w:rPr>
          <w:vertAlign w:val="superscript"/>
        </w:rPr>
        <w:t>450</w:t>
      </w:r>
      <w:r>
        <w:t xml:space="preserve"> or as a whole (Casella Wines).</w:t>
      </w:r>
      <w:r>
        <w:rPr>
          <w:vertAlign w:val="superscript"/>
        </w:rPr>
        <w:t>451</w:t>
      </w:r>
    </w:p>
    <w:p w14:paraId="51DE8A12" w14:textId="77777777" w:rsidR="0010369C" w:rsidRDefault="0010369C">
      <w:pPr>
        <w:pStyle w:val="BodyText"/>
        <w:spacing w:before="11"/>
        <w:rPr>
          <w:sz w:val="8"/>
        </w:rPr>
      </w:pPr>
    </w:p>
    <w:p w14:paraId="51DE8A13" w14:textId="77777777" w:rsidR="0010369C" w:rsidRDefault="008E43AE">
      <w:pPr>
        <w:pStyle w:val="BodyText"/>
        <w:spacing w:before="52" w:line="360" w:lineRule="auto"/>
        <w:ind w:left="236" w:right="613" w:firstLine="852"/>
        <w:jc w:val="both"/>
      </w:pPr>
      <w:r>
        <w:rPr>
          <w:noProof/>
        </w:rPr>
        <w:drawing>
          <wp:anchor distT="0" distB="0" distL="0" distR="0" simplePos="0" relativeHeight="251059712" behindDoc="1" locked="0" layoutInCell="1" allowOverlap="1" wp14:anchorId="51DEA2FE" wp14:editId="51DEA2FF">
            <wp:simplePos x="0" y="0"/>
            <wp:positionH relativeFrom="page">
              <wp:posOffset>899160</wp:posOffset>
            </wp:positionH>
            <wp:positionV relativeFrom="paragraph">
              <wp:posOffset>81949</wp:posOffset>
            </wp:positionV>
            <wp:extent cx="265175" cy="100753"/>
            <wp:effectExtent l="0" t="0" r="0" b="0"/>
            <wp:wrapNone/>
            <wp:docPr id="837" name="image4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 name="image429.png"/>
                    <pic:cNvPicPr/>
                  </pic:nvPicPr>
                  <pic:blipFill>
                    <a:blip r:embed="rId567" cstate="print"/>
                    <a:stretch>
                      <a:fillRect/>
                    </a:stretch>
                  </pic:blipFill>
                  <pic:spPr>
                    <a:xfrm>
                      <a:off x="0" y="0"/>
                      <a:ext cx="265175" cy="100753"/>
                    </a:xfrm>
                    <a:prstGeom prst="rect">
                      <a:avLst/>
                    </a:prstGeom>
                  </pic:spPr>
                </pic:pic>
              </a:graphicData>
            </a:graphic>
          </wp:anchor>
        </w:drawing>
      </w:r>
      <w:r>
        <w:t>Moreover, in the case of Casella Wines, MOFCOM resorted to facts available for normal value and simil</w:t>
      </w:r>
      <w:r>
        <w:t>arly used "expenses</w:t>
      </w:r>
      <w:r>
        <w:rPr>
          <w:spacing w:val="-1"/>
        </w:rPr>
        <w:t xml:space="preserve"> </w:t>
      </w:r>
      <w:r>
        <w:t>properly adjusted based on the weighted</w:t>
      </w:r>
      <w:r>
        <w:rPr>
          <w:spacing w:val="-2"/>
        </w:rPr>
        <w:t xml:space="preserve"> </w:t>
      </w:r>
      <w:r>
        <w:t>average price of domestic sales of other respondents… adjust[ing] other respondents' weighted average prices of domestic sale of the product under investigation to the ex‐factory price level".</w:t>
      </w:r>
      <w:r>
        <w:rPr>
          <w:vertAlign w:val="superscript"/>
        </w:rPr>
        <w:t>452</w:t>
      </w:r>
      <w:r>
        <w:rPr>
          <w:spacing w:val="-4"/>
        </w:rPr>
        <w:t xml:space="preserve"> </w:t>
      </w:r>
      <w:r>
        <w:t>Since</w:t>
      </w:r>
      <w:r>
        <w:rPr>
          <w:spacing w:val="-4"/>
        </w:rPr>
        <w:t xml:space="preserve"> </w:t>
      </w:r>
      <w:r>
        <w:t>the</w:t>
      </w:r>
      <w:r>
        <w:rPr>
          <w:spacing w:val="-4"/>
        </w:rPr>
        <w:t xml:space="preserve"> </w:t>
      </w:r>
      <w:r>
        <w:t>only</w:t>
      </w:r>
      <w:r>
        <w:rPr>
          <w:spacing w:val="-4"/>
        </w:rPr>
        <w:t xml:space="preserve"> </w:t>
      </w:r>
      <w:r>
        <w:t>"other</w:t>
      </w:r>
      <w:r>
        <w:rPr>
          <w:spacing w:val="-4"/>
        </w:rPr>
        <w:t xml:space="preserve"> </w:t>
      </w:r>
      <w:r>
        <w:t>respondents"</w:t>
      </w:r>
      <w:r>
        <w:rPr>
          <w:spacing w:val="-5"/>
        </w:rPr>
        <w:t xml:space="preserve"> </w:t>
      </w:r>
      <w:r>
        <w:t>were</w:t>
      </w:r>
      <w:r>
        <w:rPr>
          <w:spacing w:val="-5"/>
        </w:rPr>
        <w:t xml:space="preserve"> </w:t>
      </w:r>
      <w:r>
        <w:t>Treasury</w:t>
      </w:r>
      <w:r>
        <w:rPr>
          <w:spacing w:val="-4"/>
        </w:rPr>
        <w:t xml:space="preserve"> </w:t>
      </w:r>
      <w:r>
        <w:t>Wines</w:t>
      </w:r>
      <w:r>
        <w:rPr>
          <w:spacing w:val="-4"/>
        </w:rPr>
        <w:t xml:space="preserve"> </w:t>
      </w:r>
      <w:r>
        <w:t>and</w:t>
      </w:r>
      <w:r>
        <w:rPr>
          <w:spacing w:val="-4"/>
        </w:rPr>
        <w:t xml:space="preserve"> </w:t>
      </w:r>
      <w:r>
        <w:t>Swan</w:t>
      </w:r>
      <w:r>
        <w:rPr>
          <w:spacing w:val="-4"/>
        </w:rPr>
        <w:t xml:space="preserve"> </w:t>
      </w:r>
      <w:r>
        <w:t>Vintage,</w:t>
      </w:r>
      <w:r>
        <w:rPr>
          <w:spacing w:val="-4"/>
        </w:rPr>
        <w:t xml:space="preserve"> </w:t>
      </w:r>
      <w:r>
        <w:t>there</w:t>
      </w:r>
      <w:r>
        <w:rPr>
          <w:spacing w:val="-4"/>
        </w:rPr>
        <w:t xml:space="preserve"> </w:t>
      </w:r>
      <w:r>
        <w:t>is a circularity and arbitrariness in MOFCOM's determinations whereby Swan Vintage's normal value was determined using Casella Wines' prices and Casella Wines' normal value was determined using Swan Vintage's prices. Such a conclusion would mean that Casel</w:t>
      </w:r>
      <w:r>
        <w:t>la Wines and Swan Vintage's domestic selling prices were acceptable for use for the other company, but not for itself.</w:t>
      </w:r>
    </w:p>
    <w:p w14:paraId="51DE8A14" w14:textId="77777777" w:rsidR="0010369C" w:rsidRDefault="0010369C">
      <w:pPr>
        <w:pStyle w:val="BodyText"/>
        <w:spacing w:before="10"/>
        <w:rPr>
          <w:sz w:val="8"/>
        </w:rPr>
      </w:pPr>
    </w:p>
    <w:p w14:paraId="51DE8A15" w14:textId="77777777" w:rsidR="0010369C" w:rsidRDefault="008E43AE">
      <w:pPr>
        <w:pStyle w:val="BodyText"/>
        <w:spacing w:before="52" w:line="360" w:lineRule="auto"/>
        <w:ind w:left="238" w:right="614" w:firstLine="851"/>
        <w:jc w:val="both"/>
      </w:pPr>
      <w:r>
        <w:rPr>
          <w:noProof/>
        </w:rPr>
        <w:drawing>
          <wp:anchor distT="0" distB="0" distL="0" distR="0" simplePos="0" relativeHeight="251060736" behindDoc="1" locked="0" layoutInCell="1" allowOverlap="1" wp14:anchorId="51DEA300" wp14:editId="51DEA301">
            <wp:simplePos x="0" y="0"/>
            <wp:positionH relativeFrom="page">
              <wp:posOffset>899160</wp:posOffset>
            </wp:positionH>
            <wp:positionV relativeFrom="paragraph">
              <wp:posOffset>76785</wp:posOffset>
            </wp:positionV>
            <wp:extent cx="265175" cy="106679"/>
            <wp:effectExtent l="0" t="0" r="0" b="0"/>
            <wp:wrapNone/>
            <wp:docPr id="839" name="image4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 name="image430.png"/>
                    <pic:cNvPicPr/>
                  </pic:nvPicPr>
                  <pic:blipFill>
                    <a:blip r:embed="rId568" cstate="print"/>
                    <a:stretch>
                      <a:fillRect/>
                    </a:stretch>
                  </pic:blipFill>
                  <pic:spPr>
                    <a:xfrm>
                      <a:off x="0" y="0"/>
                      <a:ext cx="265175" cy="106679"/>
                    </a:xfrm>
                    <a:prstGeom prst="rect">
                      <a:avLst/>
                    </a:prstGeom>
                  </pic:spPr>
                </pic:pic>
              </a:graphicData>
            </a:graphic>
          </wp:anchor>
        </w:drawing>
      </w:r>
      <w:r>
        <w:t>Australia</w:t>
      </w:r>
      <w:r>
        <w:rPr>
          <w:spacing w:val="-2"/>
        </w:rPr>
        <w:t xml:space="preserve"> </w:t>
      </w:r>
      <w:r>
        <w:t>submits</w:t>
      </w:r>
      <w:r>
        <w:rPr>
          <w:spacing w:val="-2"/>
        </w:rPr>
        <w:t xml:space="preserve"> </w:t>
      </w:r>
      <w:r>
        <w:t>that</w:t>
      </w:r>
      <w:r>
        <w:rPr>
          <w:spacing w:val="-1"/>
        </w:rPr>
        <w:t xml:space="preserve"> </w:t>
      </w:r>
      <w:r>
        <w:t>no</w:t>
      </w:r>
      <w:r>
        <w:rPr>
          <w:spacing w:val="-1"/>
        </w:rPr>
        <w:t xml:space="preserve"> </w:t>
      </w:r>
      <w:r>
        <w:t>unbiased</w:t>
      </w:r>
      <w:r>
        <w:rPr>
          <w:spacing w:val="-1"/>
        </w:rPr>
        <w:t xml:space="preserve"> </w:t>
      </w:r>
      <w:r>
        <w:t>and</w:t>
      </w:r>
      <w:r>
        <w:rPr>
          <w:spacing w:val="-1"/>
        </w:rPr>
        <w:t xml:space="preserve"> </w:t>
      </w:r>
      <w:r>
        <w:t>objective investigating authority</w:t>
      </w:r>
      <w:r>
        <w:rPr>
          <w:spacing w:val="-2"/>
        </w:rPr>
        <w:t xml:space="preserve"> </w:t>
      </w:r>
      <w:r>
        <w:t>would</w:t>
      </w:r>
      <w:r>
        <w:rPr>
          <w:spacing w:val="-2"/>
        </w:rPr>
        <w:t xml:space="preserve"> </w:t>
      </w:r>
      <w:r>
        <w:t>have calculated</w:t>
      </w:r>
      <w:r>
        <w:rPr>
          <w:spacing w:val="-14"/>
        </w:rPr>
        <w:t xml:space="preserve"> </w:t>
      </w:r>
      <w:r>
        <w:t>normal</w:t>
      </w:r>
      <w:r>
        <w:rPr>
          <w:spacing w:val="-14"/>
        </w:rPr>
        <w:t xml:space="preserve"> </w:t>
      </w:r>
      <w:r>
        <w:t>value</w:t>
      </w:r>
      <w:r>
        <w:rPr>
          <w:spacing w:val="-13"/>
        </w:rPr>
        <w:t xml:space="preserve"> </w:t>
      </w:r>
      <w:r>
        <w:t>for</w:t>
      </w:r>
      <w:r>
        <w:rPr>
          <w:spacing w:val="-14"/>
        </w:rPr>
        <w:t xml:space="preserve"> </w:t>
      </w:r>
      <w:r>
        <w:t>Swan</w:t>
      </w:r>
      <w:r>
        <w:rPr>
          <w:spacing w:val="-13"/>
        </w:rPr>
        <w:t xml:space="preserve"> </w:t>
      </w:r>
      <w:r>
        <w:t>Vintage</w:t>
      </w:r>
      <w:r>
        <w:rPr>
          <w:spacing w:val="-14"/>
        </w:rPr>
        <w:t xml:space="preserve"> </w:t>
      </w:r>
      <w:r>
        <w:t>in</w:t>
      </w:r>
      <w:r>
        <w:rPr>
          <w:spacing w:val="-13"/>
        </w:rPr>
        <w:t xml:space="preserve"> </w:t>
      </w:r>
      <w:r>
        <w:t>this</w:t>
      </w:r>
      <w:r>
        <w:rPr>
          <w:spacing w:val="-14"/>
        </w:rPr>
        <w:t xml:space="preserve"> </w:t>
      </w:r>
      <w:r>
        <w:t>ma</w:t>
      </w:r>
      <w:r>
        <w:t>nner.</w:t>
      </w:r>
      <w:r>
        <w:rPr>
          <w:spacing w:val="-14"/>
        </w:rPr>
        <w:t xml:space="preserve"> </w:t>
      </w:r>
      <w:r>
        <w:t>This</w:t>
      </w:r>
      <w:r>
        <w:rPr>
          <w:spacing w:val="-13"/>
        </w:rPr>
        <w:t xml:space="preserve"> </w:t>
      </w:r>
      <w:r>
        <w:t>approach</w:t>
      </w:r>
      <w:r>
        <w:rPr>
          <w:spacing w:val="-14"/>
        </w:rPr>
        <w:t xml:space="preserve"> </w:t>
      </w:r>
      <w:r>
        <w:t>also</w:t>
      </w:r>
      <w:r>
        <w:rPr>
          <w:spacing w:val="-13"/>
        </w:rPr>
        <w:t xml:space="preserve"> </w:t>
      </w:r>
      <w:r>
        <w:t>gave</w:t>
      </w:r>
      <w:r>
        <w:rPr>
          <w:spacing w:val="-14"/>
        </w:rPr>
        <w:t xml:space="preserve"> </w:t>
      </w:r>
      <w:r>
        <w:t>rise</w:t>
      </w:r>
      <w:r>
        <w:rPr>
          <w:spacing w:val="-13"/>
        </w:rPr>
        <w:t xml:space="preserve"> </w:t>
      </w:r>
      <w:r>
        <w:t>to</w:t>
      </w:r>
      <w:r>
        <w:rPr>
          <w:spacing w:val="-14"/>
        </w:rPr>
        <w:t xml:space="preserve"> </w:t>
      </w:r>
      <w:r>
        <w:t>issues as</w:t>
      </w:r>
      <w:r>
        <w:rPr>
          <w:spacing w:val="-14"/>
        </w:rPr>
        <w:t xml:space="preserve"> </w:t>
      </w:r>
      <w:r>
        <w:t>the</w:t>
      </w:r>
      <w:r>
        <w:rPr>
          <w:spacing w:val="-14"/>
        </w:rPr>
        <w:t xml:space="preserve"> </w:t>
      </w:r>
      <w:r>
        <w:t>selected</w:t>
      </w:r>
      <w:r>
        <w:rPr>
          <w:spacing w:val="-13"/>
        </w:rPr>
        <w:t xml:space="preserve"> </w:t>
      </w:r>
      <w:r>
        <w:t>sales</w:t>
      </w:r>
      <w:r>
        <w:rPr>
          <w:spacing w:val="-14"/>
        </w:rPr>
        <w:t xml:space="preserve"> </w:t>
      </w:r>
      <w:r>
        <w:t>had</w:t>
      </w:r>
      <w:r>
        <w:rPr>
          <w:spacing w:val="-13"/>
        </w:rPr>
        <w:t xml:space="preserve"> </w:t>
      </w:r>
      <w:r>
        <w:t>characteristics</w:t>
      </w:r>
      <w:r>
        <w:rPr>
          <w:spacing w:val="-14"/>
        </w:rPr>
        <w:t xml:space="preserve"> </w:t>
      </w:r>
      <w:r>
        <w:t>affecting</w:t>
      </w:r>
      <w:r>
        <w:rPr>
          <w:spacing w:val="-13"/>
        </w:rPr>
        <w:t xml:space="preserve"> </w:t>
      </w:r>
      <w:r>
        <w:t>price</w:t>
      </w:r>
      <w:r>
        <w:rPr>
          <w:spacing w:val="-13"/>
        </w:rPr>
        <w:t xml:space="preserve"> </w:t>
      </w:r>
      <w:r>
        <w:t>comparability,</w:t>
      </w:r>
      <w:r>
        <w:rPr>
          <w:spacing w:val="-13"/>
        </w:rPr>
        <w:t xml:space="preserve"> </w:t>
      </w:r>
      <w:r>
        <w:t>which</w:t>
      </w:r>
      <w:r>
        <w:rPr>
          <w:spacing w:val="-14"/>
        </w:rPr>
        <w:t xml:space="preserve"> </w:t>
      </w:r>
      <w:r>
        <w:t>Australia</w:t>
      </w:r>
      <w:r>
        <w:rPr>
          <w:spacing w:val="-14"/>
        </w:rPr>
        <w:t xml:space="preserve"> </w:t>
      </w:r>
      <w:r>
        <w:t>will</w:t>
      </w:r>
      <w:r>
        <w:rPr>
          <w:spacing w:val="-12"/>
        </w:rPr>
        <w:t xml:space="preserve"> </w:t>
      </w:r>
      <w:r>
        <w:t xml:space="preserve">now </w:t>
      </w:r>
      <w:r>
        <w:rPr>
          <w:spacing w:val="-2"/>
        </w:rPr>
        <w:t>address.</w:t>
      </w:r>
    </w:p>
    <w:p w14:paraId="51DE8A16" w14:textId="77777777" w:rsidR="0010369C" w:rsidRDefault="008E43AE">
      <w:pPr>
        <w:pStyle w:val="ListParagraph"/>
        <w:numPr>
          <w:ilvl w:val="3"/>
          <w:numId w:val="75"/>
        </w:numPr>
        <w:tabs>
          <w:tab w:val="left" w:pos="3642"/>
          <w:tab w:val="left" w:pos="3643"/>
        </w:tabs>
        <w:spacing w:before="161"/>
        <w:ind w:hanging="853"/>
        <w:jc w:val="both"/>
        <w:rPr>
          <w:sz w:val="24"/>
        </w:rPr>
      </w:pPr>
      <w:r>
        <w:rPr>
          <w:sz w:val="24"/>
          <w:u w:val="single"/>
        </w:rPr>
        <w:t>Characteristics</w:t>
      </w:r>
      <w:r>
        <w:rPr>
          <w:spacing w:val="-11"/>
          <w:sz w:val="24"/>
          <w:u w:val="single"/>
        </w:rPr>
        <w:t xml:space="preserve"> </w:t>
      </w:r>
      <w:r>
        <w:rPr>
          <w:sz w:val="24"/>
          <w:u w:val="single"/>
        </w:rPr>
        <w:t>affecting</w:t>
      </w:r>
      <w:r>
        <w:rPr>
          <w:spacing w:val="-13"/>
          <w:sz w:val="24"/>
          <w:u w:val="single"/>
        </w:rPr>
        <w:t xml:space="preserve"> </w:t>
      </w:r>
      <w:r>
        <w:rPr>
          <w:sz w:val="24"/>
          <w:u w:val="single"/>
        </w:rPr>
        <w:t>price</w:t>
      </w:r>
      <w:r>
        <w:rPr>
          <w:spacing w:val="-10"/>
          <w:sz w:val="24"/>
          <w:u w:val="single"/>
        </w:rPr>
        <w:t xml:space="preserve"> </w:t>
      </w:r>
      <w:r>
        <w:rPr>
          <w:spacing w:val="-2"/>
          <w:sz w:val="24"/>
          <w:u w:val="single"/>
        </w:rPr>
        <w:t>comparability</w:t>
      </w:r>
    </w:p>
    <w:p w14:paraId="51DE8A17" w14:textId="77777777" w:rsidR="0010369C" w:rsidRDefault="0010369C">
      <w:pPr>
        <w:pStyle w:val="BodyText"/>
        <w:spacing w:before="10"/>
        <w:rPr>
          <w:sz w:val="20"/>
        </w:rPr>
      </w:pPr>
    </w:p>
    <w:p w14:paraId="51DE8A18" w14:textId="77777777" w:rsidR="0010369C" w:rsidRDefault="008E43AE">
      <w:pPr>
        <w:pStyle w:val="BodyText"/>
        <w:tabs>
          <w:tab w:val="left" w:pos="9097"/>
        </w:tabs>
        <w:spacing w:before="51" w:line="360" w:lineRule="auto"/>
        <w:ind w:left="237" w:right="614" w:firstLine="852"/>
        <w:jc w:val="both"/>
      </w:pPr>
      <w:r>
        <w:rPr>
          <w:noProof/>
        </w:rPr>
        <w:drawing>
          <wp:anchor distT="0" distB="0" distL="0" distR="0" simplePos="0" relativeHeight="251061760" behindDoc="1" locked="0" layoutInCell="1" allowOverlap="1" wp14:anchorId="51DEA302" wp14:editId="51DEA303">
            <wp:simplePos x="0" y="0"/>
            <wp:positionH relativeFrom="page">
              <wp:posOffset>899160</wp:posOffset>
            </wp:positionH>
            <wp:positionV relativeFrom="paragraph">
              <wp:posOffset>80552</wp:posOffset>
            </wp:positionV>
            <wp:extent cx="265175" cy="100753"/>
            <wp:effectExtent l="0" t="0" r="0" b="0"/>
            <wp:wrapNone/>
            <wp:docPr id="841" name="image4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 name="image431.png"/>
                    <pic:cNvPicPr/>
                  </pic:nvPicPr>
                  <pic:blipFill>
                    <a:blip r:embed="rId569" cstate="print"/>
                    <a:stretch>
                      <a:fillRect/>
                    </a:stretch>
                  </pic:blipFill>
                  <pic:spPr>
                    <a:xfrm>
                      <a:off x="0" y="0"/>
                      <a:ext cx="265175" cy="100753"/>
                    </a:xfrm>
                    <a:prstGeom prst="rect">
                      <a:avLst/>
                    </a:prstGeom>
                  </pic:spPr>
                </pic:pic>
              </a:graphicData>
            </a:graphic>
          </wp:anchor>
        </w:drawing>
      </w:r>
      <w:r>
        <w:pict w14:anchorId="51DEA304">
          <v:rect id="docshape883" o:spid="_x0000_s1433" style="position:absolute;left:0;text-align:left;margin-left:317.05pt;margin-top:46.6pt;width:195.9pt;height:16.05pt;z-index:-251303424;mso-position-horizontal-relative:page;mso-position-vertical-relative:text" fillcolor="black" stroked="f">
            <w10:wrap anchorx="page"/>
          </v:rect>
        </w:pict>
      </w:r>
      <w:r>
        <w:t>MOFCOM's reliance on Treasury Wines' data, which it appears to have used under any plausible interpretation of "other respondents", means that MOFCOM used the "above cost" Treasury Wines' domestic sales that were [[</w:t>
      </w:r>
      <w:r>
        <w:tab/>
      </w:r>
      <w:r>
        <w:rPr>
          <w:spacing w:val="-4"/>
        </w:rPr>
        <w:t xml:space="preserve">]]. </w:t>
      </w:r>
      <w:r>
        <w:t>Consistent</w:t>
      </w:r>
      <w:r>
        <w:rPr>
          <w:spacing w:val="-2"/>
        </w:rPr>
        <w:t xml:space="preserve"> </w:t>
      </w:r>
      <w:r>
        <w:t>with</w:t>
      </w:r>
      <w:r>
        <w:rPr>
          <w:spacing w:val="-2"/>
        </w:rPr>
        <w:t xml:space="preserve"> </w:t>
      </w:r>
      <w:r>
        <w:t>other</w:t>
      </w:r>
      <w:r>
        <w:rPr>
          <w:spacing w:val="-1"/>
        </w:rPr>
        <w:t xml:space="preserve"> </w:t>
      </w:r>
      <w:r>
        <w:t>parts</w:t>
      </w:r>
      <w:r>
        <w:rPr>
          <w:spacing w:val="-2"/>
        </w:rPr>
        <w:t xml:space="preserve"> </w:t>
      </w:r>
      <w:r>
        <w:t>of</w:t>
      </w:r>
      <w:r>
        <w:rPr>
          <w:spacing w:val="-2"/>
        </w:rPr>
        <w:t xml:space="preserve"> </w:t>
      </w:r>
      <w:r>
        <w:t>Austr</w:t>
      </w:r>
      <w:r>
        <w:t>alia's</w:t>
      </w:r>
      <w:r>
        <w:rPr>
          <w:spacing w:val="-2"/>
        </w:rPr>
        <w:t xml:space="preserve"> </w:t>
      </w:r>
      <w:r>
        <w:t>submissions,</w:t>
      </w:r>
      <w:r>
        <w:rPr>
          <w:spacing w:val="-1"/>
        </w:rPr>
        <w:t xml:space="preserve"> </w:t>
      </w:r>
      <w:r>
        <w:t>MOFCOM</w:t>
      </w:r>
      <w:r>
        <w:rPr>
          <w:spacing w:val="-1"/>
        </w:rPr>
        <w:t xml:space="preserve"> </w:t>
      </w:r>
      <w:r>
        <w:t>was</w:t>
      </w:r>
      <w:r>
        <w:rPr>
          <w:spacing w:val="-2"/>
        </w:rPr>
        <w:t xml:space="preserve"> </w:t>
      </w:r>
      <w:r>
        <w:t>required</w:t>
      </w:r>
      <w:r>
        <w:rPr>
          <w:spacing w:val="-2"/>
        </w:rPr>
        <w:t xml:space="preserve"> </w:t>
      </w:r>
      <w:r>
        <w:t>to</w:t>
      </w:r>
      <w:r>
        <w:rPr>
          <w:spacing w:val="-1"/>
        </w:rPr>
        <w:t xml:space="preserve"> </w:t>
      </w:r>
      <w:r>
        <w:t>account</w:t>
      </w:r>
      <w:r>
        <w:rPr>
          <w:spacing w:val="-1"/>
        </w:rPr>
        <w:t xml:space="preserve"> </w:t>
      </w:r>
      <w:r>
        <w:t>for characteristics in this data that affected price comparability.</w:t>
      </w:r>
    </w:p>
    <w:p w14:paraId="51DE8A19" w14:textId="77777777" w:rsidR="0010369C" w:rsidRDefault="008E43AE">
      <w:pPr>
        <w:pStyle w:val="BodyText"/>
        <w:spacing w:before="4"/>
        <w:rPr>
          <w:sz w:val="25"/>
        </w:rPr>
      </w:pPr>
      <w:r>
        <w:pict w14:anchorId="51DEA305">
          <v:rect id="docshape884" o:spid="_x0000_s1432" style="position:absolute;margin-left:70.9pt;margin-top:16.65pt;width:2in;height:.8pt;z-index:-250885632;mso-wrap-distance-left:0;mso-wrap-distance-right:0;mso-position-horizontal-relative:page" fillcolor="black" stroked="f">
            <w10:wrap type="topAndBottom" anchorx="page"/>
          </v:rect>
        </w:pict>
      </w:r>
    </w:p>
    <w:p w14:paraId="51DE8A1A" w14:textId="77777777" w:rsidR="0010369C" w:rsidRDefault="008E43AE">
      <w:pPr>
        <w:spacing w:before="110"/>
        <w:ind w:left="238" w:right="4805"/>
        <w:rPr>
          <w:sz w:val="18"/>
        </w:rPr>
      </w:pPr>
      <w:r>
        <w:rPr>
          <w:sz w:val="18"/>
          <w:vertAlign w:val="superscript"/>
        </w:rPr>
        <w:t>449</w:t>
      </w:r>
      <w:r>
        <w:rPr>
          <w:spacing w:val="-3"/>
          <w:sz w:val="18"/>
        </w:rPr>
        <w:t xml:space="preserve"> </w:t>
      </w:r>
      <w:r>
        <w:rPr>
          <w:sz w:val="18"/>
        </w:rPr>
        <w:t>See</w:t>
      </w:r>
      <w:r>
        <w:rPr>
          <w:spacing w:val="-3"/>
          <w:sz w:val="18"/>
        </w:rPr>
        <w:t xml:space="preserve"> </w:t>
      </w:r>
      <w:r>
        <w:rPr>
          <w:sz w:val="18"/>
        </w:rPr>
        <w:t>above,</w:t>
      </w:r>
      <w:r>
        <w:rPr>
          <w:spacing w:val="-4"/>
          <w:sz w:val="18"/>
        </w:rPr>
        <w:t xml:space="preserve"> </w:t>
      </w:r>
      <w:r>
        <w:rPr>
          <w:sz w:val="18"/>
        </w:rPr>
        <w:t>section</w:t>
      </w:r>
      <w:r>
        <w:rPr>
          <w:spacing w:val="-3"/>
          <w:sz w:val="18"/>
        </w:rPr>
        <w:t xml:space="preserve"> </w:t>
      </w:r>
      <w:r>
        <w:rPr>
          <w:sz w:val="18"/>
        </w:rPr>
        <w:t>II.F.2,</w:t>
      </w:r>
      <w:r>
        <w:rPr>
          <w:spacing w:val="-4"/>
          <w:sz w:val="18"/>
        </w:rPr>
        <w:t xml:space="preserve"> </w:t>
      </w:r>
      <w:r>
        <w:rPr>
          <w:sz w:val="18"/>
        </w:rPr>
        <w:t>where</w:t>
      </w:r>
      <w:r>
        <w:rPr>
          <w:spacing w:val="-4"/>
          <w:sz w:val="18"/>
        </w:rPr>
        <w:t xml:space="preserve"> </w:t>
      </w:r>
      <w:r>
        <w:rPr>
          <w:sz w:val="18"/>
        </w:rPr>
        <w:t>this</w:t>
      </w:r>
      <w:r>
        <w:rPr>
          <w:spacing w:val="-3"/>
          <w:sz w:val="18"/>
        </w:rPr>
        <w:t xml:space="preserve"> </w:t>
      </w:r>
      <w:r>
        <w:rPr>
          <w:sz w:val="18"/>
        </w:rPr>
        <w:t>is</w:t>
      </w:r>
      <w:r>
        <w:rPr>
          <w:spacing w:val="-3"/>
          <w:sz w:val="18"/>
        </w:rPr>
        <w:t xml:space="preserve"> </w:t>
      </w:r>
      <w:r>
        <w:rPr>
          <w:sz w:val="18"/>
        </w:rPr>
        <w:t>outlined</w:t>
      </w:r>
      <w:r>
        <w:rPr>
          <w:spacing w:val="-3"/>
          <w:sz w:val="18"/>
        </w:rPr>
        <w:t xml:space="preserve"> </w:t>
      </w:r>
      <w:r>
        <w:rPr>
          <w:sz w:val="18"/>
        </w:rPr>
        <w:t>in</w:t>
      </w:r>
      <w:r>
        <w:rPr>
          <w:spacing w:val="-3"/>
          <w:sz w:val="18"/>
        </w:rPr>
        <w:t xml:space="preserve"> </w:t>
      </w:r>
      <w:r>
        <w:rPr>
          <w:sz w:val="18"/>
        </w:rPr>
        <w:t>further</w:t>
      </w:r>
      <w:r>
        <w:rPr>
          <w:spacing w:val="-3"/>
          <w:sz w:val="18"/>
        </w:rPr>
        <w:t xml:space="preserve"> </w:t>
      </w:r>
      <w:r>
        <w:rPr>
          <w:sz w:val="18"/>
        </w:rPr>
        <w:t xml:space="preserve">detail. </w:t>
      </w:r>
      <w:r>
        <w:rPr>
          <w:sz w:val="18"/>
          <w:vertAlign w:val="superscript"/>
        </w:rPr>
        <w:t>450</w:t>
      </w:r>
      <w:r>
        <w:rPr>
          <w:sz w:val="18"/>
        </w:rPr>
        <w:t xml:space="preserve"> Anti‐Dumping Final Determination (Exhibit AUS‐2), pp. 61, 65. </w:t>
      </w:r>
      <w:r>
        <w:rPr>
          <w:sz w:val="18"/>
          <w:vertAlign w:val="superscript"/>
        </w:rPr>
        <w:t>451</w:t>
      </w:r>
      <w:r>
        <w:rPr>
          <w:sz w:val="18"/>
        </w:rPr>
        <w:t xml:space="preserve"> Anti‐Dumping Final Determination (Exhibit AUS‐2), pp. 83‐84.</w:t>
      </w:r>
      <w:r>
        <w:rPr>
          <w:spacing w:val="40"/>
          <w:sz w:val="18"/>
        </w:rPr>
        <w:t xml:space="preserve"> </w:t>
      </w:r>
      <w:r>
        <w:rPr>
          <w:sz w:val="18"/>
          <w:vertAlign w:val="superscript"/>
        </w:rPr>
        <w:t>452</w:t>
      </w:r>
      <w:r>
        <w:rPr>
          <w:sz w:val="18"/>
        </w:rPr>
        <w:t xml:space="preserve"> Anti‐Dumping Final Determination (Exhibit AUS‐2), pp. 84‐85.</w:t>
      </w:r>
    </w:p>
    <w:p w14:paraId="51DE8A1B" w14:textId="77777777" w:rsidR="0010369C" w:rsidRDefault="0010369C">
      <w:pPr>
        <w:rPr>
          <w:sz w:val="18"/>
        </w:rPr>
        <w:sectPr w:rsidR="0010369C">
          <w:pgSz w:w="11910" w:h="16840"/>
          <w:pgMar w:top="880" w:right="800" w:bottom="980" w:left="1180" w:header="569" w:footer="788" w:gutter="0"/>
          <w:cols w:space="720"/>
        </w:sectPr>
      </w:pPr>
    </w:p>
    <w:p w14:paraId="51DE8A1C" w14:textId="77777777" w:rsidR="0010369C" w:rsidRDefault="008E43AE">
      <w:pPr>
        <w:tabs>
          <w:tab w:val="left" w:pos="6426"/>
        </w:tabs>
        <w:ind w:left="238"/>
        <w:rPr>
          <w:sz w:val="20"/>
        </w:rPr>
      </w:pPr>
      <w:r>
        <w:rPr>
          <w:i/>
          <w:sz w:val="20"/>
        </w:rPr>
        <w:lastRenderedPageBreak/>
        <w:t>China</w:t>
      </w:r>
      <w:r>
        <w:rPr>
          <w:i/>
          <w:spacing w:val="-5"/>
          <w:sz w:val="20"/>
        </w:rPr>
        <w:t xml:space="preserve"> </w:t>
      </w:r>
      <w:r>
        <w:rPr>
          <w:i/>
          <w:sz w:val="20"/>
        </w:rPr>
        <w:t>–</w:t>
      </w:r>
      <w:r>
        <w:rPr>
          <w:i/>
          <w:spacing w:val="-5"/>
          <w:sz w:val="20"/>
        </w:rPr>
        <w:t xml:space="preserve"> </w:t>
      </w:r>
      <w:r>
        <w:rPr>
          <w:i/>
          <w:sz w:val="20"/>
        </w:rPr>
        <w:t>Anti‐Dumping</w:t>
      </w:r>
      <w:r>
        <w:rPr>
          <w:i/>
          <w:spacing w:val="-4"/>
          <w:sz w:val="20"/>
        </w:rPr>
        <w:t xml:space="preserve"> </w:t>
      </w:r>
      <w:r>
        <w:rPr>
          <w:i/>
          <w:sz w:val="20"/>
        </w:rPr>
        <w:t>and</w:t>
      </w:r>
      <w:r>
        <w:rPr>
          <w:i/>
          <w:spacing w:val="-5"/>
          <w:sz w:val="20"/>
        </w:rPr>
        <w:t xml:space="preserve"> </w:t>
      </w:r>
      <w:r>
        <w:rPr>
          <w:i/>
          <w:sz w:val="20"/>
        </w:rPr>
        <w:t>Countervailing</w:t>
      </w:r>
      <w:r>
        <w:rPr>
          <w:i/>
          <w:spacing w:val="-5"/>
          <w:sz w:val="20"/>
        </w:rPr>
        <w:t xml:space="preserve"> </w:t>
      </w:r>
      <w:r>
        <w:rPr>
          <w:i/>
          <w:sz w:val="20"/>
        </w:rPr>
        <w:t>Duty</w:t>
      </w:r>
      <w:r>
        <w:rPr>
          <w:i/>
          <w:spacing w:val="-4"/>
          <w:sz w:val="20"/>
        </w:rPr>
        <w:t xml:space="preserve"> </w:t>
      </w:r>
      <w:r>
        <w:rPr>
          <w:i/>
          <w:spacing w:val="-2"/>
          <w:sz w:val="20"/>
        </w:rPr>
        <w:t>Measures</w:t>
      </w:r>
      <w:r>
        <w:rPr>
          <w:i/>
          <w:sz w:val="20"/>
        </w:rPr>
        <w:tab/>
      </w:r>
      <w:r>
        <w:rPr>
          <w:sz w:val="20"/>
        </w:rPr>
        <w:t>Australia's</w:t>
      </w:r>
      <w:r>
        <w:rPr>
          <w:spacing w:val="-7"/>
          <w:sz w:val="20"/>
        </w:rPr>
        <w:t xml:space="preserve"> </w:t>
      </w:r>
      <w:r>
        <w:rPr>
          <w:sz w:val="20"/>
        </w:rPr>
        <w:t>First</w:t>
      </w:r>
      <w:r>
        <w:rPr>
          <w:spacing w:val="-2"/>
          <w:sz w:val="20"/>
        </w:rPr>
        <w:t xml:space="preserve"> </w:t>
      </w:r>
      <w:r>
        <w:rPr>
          <w:sz w:val="20"/>
        </w:rPr>
        <w:t>Written</w:t>
      </w:r>
      <w:r>
        <w:rPr>
          <w:spacing w:val="-2"/>
          <w:sz w:val="20"/>
        </w:rPr>
        <w:t xml:space="preserve"> Submission</w:t>
      </w:r>
    </w:p>
    <w:p w14:paraId="51DE8A1D" w14:textId="77777777" w:rsidR="0010369C" w:rsidRDefault="008E43AE">
      <w:pPr>
        <w:tabs>
          <w:tab w:val="left" w:pos="8228"/>
        </w:tabs>
        <w:spacing w:before="1"/>
        <w:ind w:left="239"/>
        <w:rPr>
          <w:sz w:val="20"/>
        </w:rPr>
      </w:pPr>
      <w:r>
        <w:rPr>
          <w:i/>
          <w:sz w:val="20"/>
        </w:rPr>
        <w:t>on</w:t>
      </w:r>
      <w:r>
        <w:rPr>
          <w:i/>
          <w:spacing w:val="-1"/>
          <w:sz w:val="20"/>
        </w:rPr>
        <w:t xml:space="preserve"> </w:t>
      </w:r>
      <w:r>
        <w:rPr>
          <w:i/>
          <w:sz w:val="20"/>
        </w:rPr>
        <w:t>Wine</w:t>
      </w:r>
      <w:r>
        <w:rPr>
          <w:i/>
          <w:spacing w:val="-1"/>
          <w:sz w:val="20"/>
        </w:rPr>
        <w:t xml:space="preserve"> </w:t>
      </w:r>
      <w:r>
        <w:rPr>
          <w:i/>
          <w:sz w:val="20"/>
        </w:rPr>
        <w:t>from</w:t>
      </w:r>
      <w:r>
        <w:rPr>
          <w:i/>
          <w:spacing w:val="-3"/>
          <w:sz w:val="20"/>
        </w:rPr>
        <w:t xml:space="preserve"> </w:t>
      </w:r>
      <w:r>
        <w:rPr>
          <w:i/>
          <w:sz w:val="20"/>
        </w:rPr>
        <w:t>Australia</w:t>
      </w:r>
      <w:r>
        <w:rPr>
          <w:i/>
          <w:spacing w:val="-1"/>
          <w:sz w:val="20"/>
        </w:rPr>
        <w:t xml:space="preserve"> </w:t>
      </w:r>
      <w:r>
        <w:rPr>
          <w:spacing w:val="-2"/>
          <w:sz w:val="20"/>
        </w:rPr>
        <w:t>(DS602)</w:t>
      </w:r>
      <w:r>
        <w:rPr>
          <w:sz w:val="20"/>
        </w:rPr>
        <w:tab/>
        <w:t>29</w:t>
      </w:r>
      <w:r>
        <w:rPr>
          <w:spacing w:val="-1"/>
          <w:sz w:val="20"/>
        </w:rPr>
        <w:t xml:space="preserve"> </w:t>
      </w:r>
      <w:r>
        <w:rPr>
          <w:sz w:val="20"/>
        </w:rPr>
        <w:t>April</w:t>
      </w:r>
      <w:r>
        <w:rPr>
          <w:spacing w:val="-2"/>
          <w:sz w:val="20"/>
        </w:rPr>
        <w:t xml:space="preserve"> </w:t>
      </w:r>
      <w:r>
        <w:rPr>
          <w:spacing w:val="-4"/>
          <w:sz w:val="20"/>
        </w:rPr>
        <w:t>2022</w:t>
      </w:r>
    </w:p>
    <w:p w14:paraId="51DE8A1E" w14:textId="77777777" w:rsidR="0010369C" w:rsidRDefault="008E43AE">
      <w:pPr>
        <w:pStyle w:val="BodyText"/>
        <w:spacing w:before="34" w:line="360" w:lineRule="auto"/>
        <w:ind w:left="237" w:right="613" w:firstLine="852"/>
        <w:jc w:val="both"/>
      </w:pPr>
      <w:r>
        <w:rPr>
          <w:noProof/>
        </w:rPr>
        <w:drawing>
          <wp:anchor distT="0" distB="0" distL="0" distR="0" simplePos="0" relativeHeight="251062784" behindDoc="1" locked="0" layoutInCell="1" allowOverlap="1" wp14:anchorId="51DEA306" wp14:editId="51DEA307">
            <wp:simplePos x="0" y="0"/>
            <wp:positionH relativeFrom="page">
              <wp:posOffset>899160</wp:posOffset>
            </wp:positionH>
            <wp:positionV relativeFrom="paragraph">
              <wp:posOffset>69165</wp:posOffset>
            </wp:positionV>
            <wp:extent cx="265175" cy="103631"/>
            <wp:effectExtent l="0" t="0" r="0" b="0"/>
            <wp:wrapNone/>
            <wp:docPr id="843" name="image4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 name="image432.png"/>
                    <pic:cNvPicPr/>
                  </pic:nvPicPr>
                  <pic:blipFill>
                    <a:blip r:embed="rId570" cstate="print"/>
                    <a:stretch>
                      <a:fillRect/>
                    </a:stretch>
                  </pic:blipFill>
                  <pic:spPr>
                    <a:xfrm>
                      <a:off x="0" y="0"/>
                      <a:ext cx="265175" cy="103631"/>
                    </a:xfrm>
                    <a:prstGeom prst="rect">
                      <a:avLst/>
                    </a:prstGeom>
                  </pic:spPr>
                </pic:pic>
              </a:graphicData>
            </a:graphic>
          </wp:anchor>
        </w:drawing>
      </w:r>
      <w:r>
        <w:t>Australia</w:t>
      </w:r>
      <w:r>
        <w:rPr>
          <w:spacing w:val="-14"/>
        </w:rPr>
        <w:t xml:space="preserve"> </w:t>
      </w:r>
      <w:r>
        <w:t>has</w:t>
      </w:r>
      <w:r>
        <w:rPr>
          <w:spacing w:val="-14"/>
        </w:rPr>
        <w:t xml:space="preserve"> </w:t>
      </w:r>
      <w:r>
        <w:t>addressed</w:t>
      </w:r>
      <w:r>
        <w:rPr>
          <w:spacing w:val="-13"/>
        </w:rPr>
        <w:t xml:space="preserve"> </w:t>
      </w:r>
      <w:r>
        <w:t>these</w:t>
      </w:r>
      <w:r>
        <w:rPr>
          <w:spacing w:val="-14"/>
        </w:rPr>
        <w:t xml:space="preserve"> </w:t>
      </w:r>
      <w:r>
        <w:t>characteristics</w:t>
      </w:r>
      <w:r>
        <w:rPr>
          <w:spacing w:val="-13"/>
        </w:rPr>
        <w:t xml:space="preserve"> </w:t>
      </w:r>
      <w:r>
        <w:t>above.</w:t>
      </w:r>
      <w:r>
        <w:rPr>
          <w:vertAlign w:val="superscript"/>
        </w:rPr>
        <w:t>453</w:t>
      </w:r>
      <w:r>
        <w:rPr>
          <w:spacing w:val="-14"/>
        </w:rPr>
        <w:t xml:space="preserve"> </w:t>
      </w:r>
      <w:r>
        <w:t>While</w:t>
      </w:r>
      <w:r>
        <w:rPr>
          <w:spacing w:val="-13"/>
        </w:rPr>
        <w:t xml:space="preserve"> </w:t>
      </w:r>
      <w:r>
        <w:t>Australia</w:t>
      </w:r>
      <w:r>
        <w:rPr>
          <w:spacing w:val="-14"/>
        </w:rPr>
        <w:t xml:space="preserve"> </w:t>
      </w:r>
      <w:r>
        <w:t>will</w:t>
      </w:r>
      <w:r>
        <w:rPr>
          <w:spacing w:val="-14"/>
        </w:rPr>
        <w:t xml:space="preserve"> </w:t>
      </w:r>
      <w:r>
        <w:t>not</w:t>
      </w:r>
      <w:r>
        <w:rPr>
          <w:spacing w:val="-13"/>
        </w:rPr>
        <w:t xml:space="preserve"> </w:t>
      </w:r>
      <w:r>
        <w:t>repeat these submissions in full, the selected "above cost"</w:t>
      </w:r>
      <w:r>
        <w:rPr>
          <w:spacing w:val="-1"/>
        </w:rPr>
        <w:t xml:space="preserve"> </w:t>
      </w:r>
      <w:r>
        <w:t>sales of Treasury Wines</w:t>
      </w:r>
      <w:r>
        <w:rPr>
          <w:spacing w:val="-1"/>
        </w:rPr>
        <w:t xml:space="preserve"> </w:t>
      </w:r>
      <w:r>
        <w:t>were affected</w:t>
      </w:r>
      <w:r>
        <w:rPr>
          <w:spacing w:val="-1"/>
        </w:rPr>
        <w:t xml:space="preserve"> </w:t>
      </w:r>
      <w:r>
        <w:t>by product</w:t>
      </w:r>
      <w:r>
        <w:rPr>
          <w:spacing w:val="-13"/>
        </w:rPr>
        <w:t xml:space="preserve"> </w:t>
      </w:r>
      <w:r>
        <w:t>mix</w:t>
      </w:r>
      <w:r>
        <w:rPr>
          <w:spacing w:val="-14"/>
        </w:rPr>
        <w:t xml:space="preserve"> </w:t>
      </w:r>
      <w:r>
        <w:t>and</w:t>
      </w:r>
      <w:r>
        <w:rPr>
          <w:spacing w:val="-13"/>
        </w:rPr>
        <w:t xml:space="preserve"> </w:t>
      </w:r>
      <w:r>
        <w:t>level</w:t>
      </w:r>
      <w:r>
        <w:rPr>
          <w:spacing w:val="-13"/>
        </w:rPr>
        <w:t xml:space="preserve"> </w:t>
      </w:r>
      <w:r>
        <w:t>of</w:t>
      </w:r>
      <w:r>
        <w:rPr>
          <w:spacing w:val="-14"/>
        </w:rPr>
        <w:t xml:space="preserve"> </w:t>
      </w:r>
      <w:r>
        <w:t>trade</w:t>
      </w:r>
      <w:r>
        <w:rPr>
          <w:spacing w:val="-12"/>
        </w:rPr>
        <w:t xml:space="preserve"> </w:t>
      </w:r>
      <w:r>
        <w:t>differences</w:t>
      </w:r>
      <w:r>
        <w:rPr>
          <w:spacing w:val="-13"/>
        </w:rPr>
        <w:t xml:space="preserve"> </w:t>
      </w:r>
      <w:r>
        <w:t>that</w:t>
      </w:r>
      <w:r>
        <w:rPr>
          <w:spacing w:val="-14"/>
        </w:rPr>
        <w:t xml:space="preserve"> </w:t>
      </w:r>
      <w:r>
        <w:t>would</w:t>
      </w:r>
      <w:r>
        <w:rPr>
          <w:spacing w:val="-13"/>
        </w:rPr>
        <w:t xml:space="preserve"> </w:t>
      </w:r>
      <w:r>
        <w:t>not</w:t>
      </w:r>
      <w:r>
        <w:rPr>
          <w:spacing w:val="-13"/>
        </w:rPr>
        <w:t xml:space="preserve"> </w:t>
      </w:r>
      <w:r>
        <w:t>enable</w:t>
      </w:r>
      <w:r>
        <w:rPr>
          <w:spacing w:val="-13"/>
        </w:rPr>
        <w:t xml:space="preserve"> </w:t>
      </w:r>
      <w:r>
        <w:t>a</w:t>
      </w:r>
      <w:r>
        <w:rPr>
          <w:spacing w:val="-13"/>
        </w:rPr>
        <w:t xml:space="preserve"> </w:t>
      </w:r>
      <w:r>
        <w:t>proper</w:t>
      </w:r>
      <w:r>
        <w:rPr>
          <w:spacing w:val="-13"/>
        </w:rPr>
        <w:t xml:space="preserve"> </w:t>
      </w:r>
      <w:r>
        <w:t>comparison</w:t>
      </w:r>
      <w:r>
        <w:rPr>
          <w:spacing w:val="-14"/>
        </w:rPr>
        <w:t xml:space="preserve"> </w:t>
      </w:r>
      <w:r>
        <w:t>without adjustments being made. Furthermore, if Casella Wines' sales h</w:t>
      </w:r>
      <w:r>
        <w:t>ad been used in the calculation,</w:t>
      </w:r>
      <w:r>
        <w:rPr>
          <w:spacing w:val="-8"/>
        </w:rPr>
        <w:t xml:space="preserve"> </w:t>
      </w:r>
      <w:r>
        <w:t>Australia</w:t>
      </w:r>
      <w:r>
        <w:rPr>
          <w:spacing w:val="-8"/>
        </w:rPr>
        <w:t xml:space="preserve"> </w:t>
      </w:r>
      <w:r>
        <w:t>submits</w:t>
      </w:r>
      <w:r>
        <w:rPr>
          <w:spacing w:val="-8"/>
        </w:rPr>
        <w:t xml:space="preserve"> </w:t>
      </w:r>
      <w:r>
        <w:t>there</w:t>
      </w:r>
      <w:r>
        <w:rPr>
          <w:spacing w:val="-7"/>
        </w:rPr>
        <w:t xml:space="preserve"> </w:t>
      </w:r>
      <w:r>
        <w:t>was</w:t>
      </w:r>
      <w:r>
        <w:rPr>
          <w:spacing w:val="-8"/>
        </w:rPr>
        <w:t xml:space="preserve"> </w:t>
      </w:r>
      <w:r>
        <w:t>sufficient</w:t>
      </w:r>
      <w:r>
        <w:rPr>
          <w:spacing w:val="-7"/>
        </w:rPr>
        <w:t xml:space="preserve"> </w:t>
      </w:r>
      <w:r>
        <w:t>evidence</w:t>
      </w:r>
      <w:r>
        <w:rPr>
          <w:spacing w:val="-9"/>
        </w:rPr>
        <w:t xml:space="preserve"> </w:t>
      </w:r>
      <w:r>
        <w:t>that</w:t>
      </w:r>
      <w:r>
        <w:rPr>
          <w:spacing w:val="-8"/>
        </w:rPr>
        <w:t xml:space="preserve"> </w:t>
      </w:r>
      <w:r>
        <w:t>Casella</w:t>
      </w:r>
      <w:r>
        <w:rPr>
          <w:spacing w:val="-7"/>
        </w:rPr>
        <w:t xml:space="preserve"> </w:t>
      </w:r>
      <w:r>
        <w:t>Wines'</w:t>
      </w:r>
      <w:r>
        <w:rPr>
          <w:spacing w:val="-8"/>
        </w:rPr>
        <w:t xml:space="preserve"> </w:t>
      </w:r>
      <w:r>
        <w:t>reported</w:t>
      </w:r>
      <w:r>
        <w:rPr>
          <w:spacing w:val="-8"/>
        </w:rPr>
        <w:t xml:space="preserve"> </w:t>
      </w:r>
      <w:r>
        <w:t>sales were similarly affected by product mix and level of trade differences.</w:t>
      </w:r>
      <w:r>
        <w:rPr>
          <w:vertAlign w:val="superscript"/>
        </w:rPr>
        <w:t>454</w:t>
      </w:r>
      <w:r>
        <w:t xml:space="preserve"> It follows that any possible configuration of the reported domesti</w:t>
      </w:r>
      <w:r>
        <w:t>c sales data of "other respondents" required MOFCOM to consider these characteristics and make appropriate adjustments.</w:t>
      </w:r>
    </w:p>
    <w:p w14:paraId="51DE8A1F" w14:textId="77777777" w:rsidR="0010369C" w:rsidRDefault="008E43AE">
      <w:pPr>
        <w:pStyle w:val="Heading4"/>
        <w:numPr>
          <w:ilvl w:val="2"/>
          <w:numId w:val="75"/>
        </w:numPr>
        <w:tabs>
          <w:tab w:val="left" w:pos="2648"/>
          <w:tab w:val="left" w:pos="2649"/>
        </w:tabs>
        <w:ind w:hanging="852"/>
        <w:jc w:val="both"/>
      </w:pPr>
      <w:r>
        <w:t>MOFCOM</w:t>
      </w:r>
      <w:r>
        <w:rPr>
          <w:spacing w:val="-9"/>
        </w:rPr>
        <w:t xml:space="preserve"> </w:t>
      </w:r>
      <w:r>
        <w:t>improperly</w:t>
      </w:r>
      <w:r>
        <w:rPr>
          <w:spacing w:val="-9"/>
        </w:rPr>
        <w:t xml:space="preserve"> </w:t>
      </w:r>
      <w:r>
        <w:t>resorted</w:t>
      </w:r>
      <w:r>
        <w:rPr>
          <w:spacing w:val="-8"/>
        </w:rPr>
        <w:t xml:space="preserve"> </w:t>
      </w:r>
      <w:r>
        <w:t>to</w:t>
      </w:r>
      <w:r>
        <w:rPr>
          <w:spacing w:val="-8"/>
        </w:rPr>
        <w:t xml:space="preserve"> </w:t>
      </w:r>
      <w:r>
        <w:t>facts</w:t>
      </w:r>
      <w:r>
        <w:rPr>
          <w:spacing w:val="-9"/>
        </w:rPr>
        <w:t xml:space="preserve"> </w:t>
      </w:r>
      <w:r>
        <w:rPr>
          <w:spacing w:val="-2"/>
        </w:rPr>
        <w:t>available</w:t>
      </w:r>
    </w:p>
    <w:p w14:paraId="51DE8A20" w14:textId="77777777" w:rsidR="0010369C" w:rsidRDefault="0010369C">
      <w:pPr>
        <w:pStyle w:val="BodyText"/>
        <w:spacing w:before="9"/>
        <w:rPr>
          <w:b/>
          <w:sz w:val="20"/>
        </w:rPr>
      </w:pPr>
    </w:p>
    <w:p w14:paraId="51DE8A21" w14:textId="77777777" w:rsidR="0010369C" w:rsidRDefault="008E43AE">
      <w:pPr>
        <w:pStyle w:val="BodyText"/>
        <w:spacing w:before="52" w:line="360" w:lineRule="auto"/>
        <w:ind w:left="237" w:right="615" w:firstLine="851"/>
        <w:jc w:val="both"/>
      </w:pPr>
      <w:r>
        <w:rPr>
          <w:noProof/>
        </w:rPr>
        <w:drawing>
          <wp:anchor distT="0" distB="0" distL="0" distR="0" simplePos="0" relativeHeight="251063808" behindDoc="1" locked="0" layoutInCell="1" allowOverlap="1" wp14:anchorId="51DEA308" wp14:editId="51DEA309">
            <wp:simplePos x="0" y="0"/>
            <wp:positionH relativeFrom="page">
              <wp:posOffset>899160</wp:posOffset>
            </wp:positionH>
            <wp:positionV relativeFrom="paragraph">
              <wp:posOffset>81950</wp:posOffset>
            </wp:positionV>
            <wp:extent cx="265175" cy="100753"/>
            <wp:effectExtent l="0" t="0" r="0" b="0"/>
            <wp:wrapNone/>
            <wp:docPr id="845" name="image4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 name="image433.png"/>
                    <pic:cNvPicPr/>
                  </pic:nvPicPr>
                  <pic:blipFill>
                    <a:blip r:embed="rId571" cstate="print"/>
                    <a:stretch>
                      <a:fillRect/>
                    </a:stretch>
                  </pic:blipFill>
                  <pic:spPr>
                    <a:xfrm>
                      <a:off x="0" y="0"/>
                      <a:ext cx="265175" cy="100753"/>
                    </a:xfrm>
                    <a:prstGeom prst="rect">
                      <a:avLst/>
                    </a:prstGeom>
                  </pic:spPr>
                </pic:pic>
              </a:graphicData>
            </a:graphic>
          </wp:anchor>
        </w:drawing>
      </w:r>
      <w:r>
        <w:t xml:space="preserve">MOFCOM improperly resorted to facts available to calculate aspects of Swan Vintage's normal value. As Australia will demonstrate below, MOFCOM made the following </w:t>
      </w:r>
      <w:r>
        <w:rPr>
          <w:spacing w:val="-2"/>
        </w:rPr>
        <w:t>errors:</w:t>
      </w:r>
    </w:p>
    <w:p w14:paraId="51DE8A22" w14:textId="77777777" w:rsidR="0010369C" w:rsidRDefault="008E43AE">
      <w:pPr>
        <w:pStyle w:val="ListParagraph"/>
        <w:numPr>
          <w:ilvl w:val="0"/>
          <w:numId w:val="9"/>
        </w:numPr>
        <w:tabs>
          <w:tab w:val="left" w:pos="1938"/>
          <w:tab w:val="left" w:pos="1939"/>
        </w:tabs>
        <w:spacing w:before="160" w:line="357" w:lineRule="auto"/>
        <w:ind w:left="1938" w:right="614"/>
        <w:rPr>
          <w:sz w:val="24"/>
        </w:rPr>
      </w:pPr>
      <w:r>
        <w:rPr>
          <w:sz w:val="24"/>
        </w:rPr>
        <w:t>it identified deficiencies in the production costs and expenses forms that either</w:t>
      </w:r>
      <w:r>
        <w:rPr>
          <w:spacing w:val="-9"/>
          <w:sz w:val="24"/>
        </w:rPr>
        <w:t xml:space="preserve"> </w:t>
      </w:r>
      <w:r>
        <w:rPr>
          <w:sz w:val="24"/>
        </w:rPr>
        <w:t>did</w:t>
      </w:r>
      <w:r>
        <w:rPr>
          <w:spacing w:val="-8"/>
          <w:sz w:val="24"/>
        </w:rPr>
        <w:t xml:space="preserve"> </w:t>
      </w:r>
      <w:r>
        <w:rPr>
          <w:sz w:val="24"/>
        </w:rPr>
        <w:t>not</w:t>
      </w:r>
      <w:r>
        <w:rPr>
          <w:spacing w:val="-8"/>
          <w:sz w:val="24"/>
        </w:rPr>
        <w:t xml:space="preserve"> </w:t>
      </w:r>
      <w:r>
        <w:rPr>
          <w:sz w:val="24"/>
        </w:rPr>
        <w:t>exist,</w:t>
      </w:r>
      <w:r>
        <w:rPr>
          <w:spacing w:val="-9"/>
          <w:sz w:val="24"/>
        </w:rPr>
        <w:t xml:space="preserve"> </w:t>
      </w:r>
      <w:r>
        <w:rPr>
          <w:sz w:val="24"/>
        </w:rPr>
        <w:t>or</w:t>
      </w:r>
      <w:r>
        <w:rPr>
          <w:spacing w:val="-8"/>
          <w:sz w:val="24"/>
        </w:rPr>
        <w:t xml:space="preserve"> </w:t>
      </w:r>
      <w:r>
        <w:rPr>
          <w:sz w:val="24"/>
        </w:rPr>
        <w:t>the</w:t>
      </w:r>
      <w:r>
        <w:rPr>
          <w:spacing w:val="-8"/>
          <w:sz w:val="24"/>
        </w:rPr>
        <w:t xml:space="preserve"> </w:t>
      </w:r>
      <w:r>
        <w:rPr>
          <w:sz w:val="24"/>
        </w:rPr>
        <w:t>allegedly</w:t>
      </w:r>
      <w:r>
        <w:rPr>
          <w:spacing w:val="-11"/>
          <w:sz w:val="24"/>
        </w:rPr>
        <w:t xml:space="preserve"> </w:t>
      </w:r>
      <w:r>
        <w:rPr>
          <w:sz w:val="24"/>
        </w:rPr>
        <w:t>deficient</w:t>
      </w:r>
      <w:r>
        <w:rPr>
          <w:spacing w:val="-8"/>
          <w:sz w:val="24"/>
        </w:rPr>
        <w:t xml:space="preserve"> </w:t>
      </w:r>
      <w:r>
        <w:rPr>
          <w:sz w:val="24"/>
        </w:rPr>
        <w:t>information</w:t>
      </w:r>
      <w:r>
        <w:rPr>
          <w:spacing w:val="-9"/>
          <w:sz w:val="24"/>
        </w:rPr>
        <w:t xml:space="preserve"> </w:t>
      </w:r>
      <w:r>
        <w:rPr>
          <w:sz w:val="24"/>
        </w:rPr>
        <w:t>was</w:t>
      </w:r>
      <w:r>
        <w:rPr>
          <w:spacing w:val="-9"/>
          <w:sz w:val="24"/>
        </w:rPr>
        <w:t xml:space="preserve"> </w:t>
      </w:r>
      <w:r>
        <w:rPr>
          <w:sz w:val="24"/>
        </w:rPr>
        <w:t>not</w:t>
      </w:r>
      <w:r>
        <w:rPr>
          <w:spacing w:val="-8"/>
          <w:sz w:val="24"/>
        </w:rPr>
        <w:t xml:space="preserve"> </w:t>
      </w:r>
      <w:r>
        <w:rPr>
          <w:sz w:val="24"/>
        </w:rPr>
        <w:t>necessary for the purposes of constructing normal value, and which resulted in MOFCOM having incorrect recourse to facts available; and</w:t>
      </w:r>
    </w:p>
    <w:p w14:paraId="51DE8A23" w14:textId="77777777" w:rsidR="0010369C" w:rsidRDefault="008E43AE">
      <w:pPr>
        <w:pStyle w:val="ListParagraph"/>
        <w:numPr>
          <w:ilvl w:val="0"/>
          <w:numId w:val="9"/>
        </w:numPr>
        <w:tabs>
          <w:tab w:val="left" w:pos="1940"/>
          <w:tab w:val="left" w:pos="1941"/>
        </w:tabs>
        <w:spacing w:before="132"/>
        <w:ind w:left="1940" w:hanging="852"/>
        <w:rPr>
          <w:sz w:val="24"/>
        </w:rPr>
      </w:pPr>
      <w:r>
        <w:rPr>
          <w:sz w:val="24"/>
        </w:rPr>
        <w:t>it</w:t>
      </w:r>
      <w:r>
        <w:rPr>
          <w:spacing w:val="-8"/>
          <w:sz w:val="24"/>
        </w:rPr>
        <w:t xml:space="preserve"> </w:t>
      </w:r>
      <w:r>
        <w:rPr>
          <w:sz w:val="24"/>
        </w:rPr>
        <w:t>did</w:t>
      </w:r>
      <w:r>
        <w:rPr>
          <w:spacing w:val="-8"/>
          <w:sz w:val="24"/>
        </w:rPr>
        <w:t xml:space="preserve"> </w:t>
      </w:r>
      <w:r>
        <w:rPr>
          <w:sz w:val="24"/>
        </w:rPr>
        <w:t>not</w:t>
      </w:r>
      <w:r>
        <w:rPr>
          <w:spacing w:val="-7"/>
          <w:sz w:val="24"/>
        </w:rPr>
        <w:t xml:space="preserve"> </w:t>
      </w:r>
      <w:r>
        <w:rPr>
          <w:sz w:val="24"/>
        </w:rPr>
        <w:t>use</w:t>
      </w:r>
      <w:r>
        <w:rPr>
          <w:spacing w:val="-7"/>
          <w:sz w:val="24"/>
        </w:rPr>
        <w:t xml:space="preserve"> </w:t>
      </w:r>
      <w:r>
        <w:rPr>
          <w:sz w:val="24"/>
        </w:rPr>
        <w:t>the</w:t>
      </w:r>
      <w:r>
        <w:rPr>
          <w:spacing w:val="-6"/>
          <w:sz w:val="24"/>
        </w:rPr>
        <w:t xml:space="preserve"> </w:t>
      </w:r>
      <w:r>
        <w:rPr>
          <w:sz w:val="24"/>
        </w:rPr>
        <w:t>best</w:t>
      </w:r>
      <w:r>
        <w:rPr>
          <w:spacing w:val="-7"/>
          <w:sz w:val="24"/>
        </w:rPr>
        <w:t xml:space="preserve"> </w:t>
      </w:r>
      <w:r>
        <w:rPr>
          <w:sz w:val="24"/>
        </w:rPr>
        <w:t>available</w:t>
      </w:r>
      <w:r>
        <w:rPr>
          <w:spacing w:val="-7"/>
          <w:sz w:val="24"/>
        </w:rPr>
        <w:t xml:space="preserve"> </w:t>
      </w:r>
      <w:r>
        <w:rPr>
          <w:sz w:val="24"/>
        </w:rPr>
        <w:t>information</w:t>
      </w:r>
      <w:r>
        <w:rPr>
          <w:spacing w:val="-7"/>
          <w:sz w:val="24"/>
        </w:rPr>
        <w:t xml:space="preserve"> </w:t>
      </w:r>
      <w:r>
        <w:rPr>
          <w:sz w:val="24"/>
        </w:rPr>
        <w:t>when</w:t>
      </w:r>
      <w:r>
        <w:rPr>
          <w:spacing w:val="-8"/>
          <w:sz w:val="24"/>
        </w:rPr>
        <w:t xml:space="preserve"> </w:t>
      </w:r>
      <w:r>
        <w:rPr>
          <w:sz w:val="24"/>
        </w:rPr>
        <w:t>selecting</w:t>
      </w:r>
      <w:r>
        <w:rPr>
          <w:spacing w:val="-6"/>
          <w:sz w:val="24"/>
        </w:rPr>
        <w:t xml:space="preserve"> </w:t>
      </w:r>
      <w:r>
        <w:rPr>
          <w:sz w:val="24"/>
        </w:rPr>
        <w:t>f</w:t>
      </w:r>
      <w:r>
        <w:rPr>
          <w:sz w:val="24"/>
        </w:rPr>
        <w:t>acts</w:t>
      </w:r>
      <w:r>
        <w:rPr>
          <w:spacing w:val="-8"/>
          <w:sz w:val="24"/>
        </w:rPr>
        <w:t xml:space="preserve"> </w:t>
      </w:r>
      <w:r>
        <w:rPr>
          <w:spacing w:val="-2"/>
          <w:sz w:val="24"/>
        </w:rPr>
        <w:t>available.</w:t>
      </w:r>
    </w:p>
    <w:p w14:paraId="51DE8A24" w14:textId="77777777" w:rsidR="0010369C" w:rsidRDefault="008E43AE">
      <w:pPr>
        <w:pStyle w:val="ListParagraph"/>
        <w:numPr>
          <w:ilvl w:val="3"/>
          <w:numId w:val="75"/>
        </w:numPr>
        <w:tabs>
          <w:tab w:val="left" w:pos="3643"/>
          <w:tab w:val="left" w:pos="3644"/>
        </w:tabs>
        <w:spacing w:before="268"/>
        <w:ind w:left="3643" w:hanging="853"/>
        <w:rPr>
          <w:sz w:val="24"/>
        </w:rPr>
      </w:pPr>
      <w:r>
        <w:rPr>
          <w:sz w:val="24"/>
          <w:u w:val="single"/>
        </w:rPr>
        <w:t>Production</w:t>
      </w:r>
      <w:r>
        <w:rPr>
          <w:spacing w:val="-10"/>
          <w:sz w:val="24"/>
          <w:u w:val="single"/>
        </w:rPr>
        <w:t xml:space="preserve"> </w:t>
      </w:r>
      <w:r>
        <w:rPr>
          <w:sz w:val="24"/>
          <w:u w:val="single"/>
        </w:rPr>
        <w:t>costs</w:t>
      </w:r>
      <w:r>
        <w:rPr>
          <w:spacing w:val="-7"/>
          <w:sz w:val="24"/>
          <w:u w:val="single"/>
        </w:rPr>
        <w:t xml:space="preserve"> </w:t>
      </w:r>
      <w:r>
        <w:rPr>
          <w:sz w:val="24"/>
          <w:u w:val="single"/>
        </w:rPr>
        <w:t>and</w:t>
      </w:r>
      <w:r>
        <w:rPr>
          <w:spacing w:val="-8"/>
          <w:sz w:val="24"/>
          <w:u w:val="single"/>
        </w:rPr>
        <w:t xml:space="preserve"> </w:t>
      </w:r>
      <w:r>
        <w:rPr>
          <w:spacing w:val="-2"/>
          <w:sz w:val="24"/>
          <w:u w:val="single"/>
        </w:rPr>
        <w:t>expenses</w:t>
      </w:r>
    </w:p>
    <w:p w14:paraId="51DE8A25" w14:textId="77777777" w:rsidR="0010369C" w:rsidRDefault="0010369C">
      <w:pPr>
        <w:pStyle w:val="BodyText"/>
        <w:spacing w:before="8"/>
        <w:rPr>
          <w:sz w:val="20"/>
        </w:rPr>
      </w:pPr>
    </w:p>
    <w:p w14:paraId="51DE8A26" w14:textId="77777777" w:rsidR="0010369C" w:rsidRDefault="008E43AE">
      <w:pPr>
        <w:pStyle w:val="BodyText"/>
        <w:spacing w:before="52" w:line="360" w:lineRule="auto"/>
        <w:ind w:left="238" w:right="612" w:firstLine="851"/>
        <w:jc w:val="both"/>
      </w:pPr>
      <w:r>
        <w:rPr>
          <w:noProof/>
        </w:rPr>
        <w:drawing>
          <wp:anchor distT="0" distB="0" distL="0" distR="0" simplePos="0" relativeHeight="251064832" behindDoc="1" locked="0" layoutInCell="1" allowOverlap="1" wp14:anchorId="51DEA30A" wp14:editId="51DEA30B">
            <wp:simplePos x="0" y="0"/>
            <wp:positionH relativeFrom="page">
              <wp:posOffset>899160</wp:posOffset>
            </wp:positionH>
            <wp:positionV relativeFrom="paragraph">
              <wp:posOffset>81949</wp:posOffset>
            </wp:positionV>
            <wp:extent cx="265175" cy="100753"/>
            <wp:effectExtent l="0" t="0" r="0" b="0"/>
            <wp:wrapNone/>
            <wp:docPr id="847" name="image4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 name="image434.png"/>
                    <pic:cNvPicPr/>
                  </pic:nvPicPr>
                  <pic:blipFill>
                    <a:blip r:embed="rId572" cstate="print"/>
                    <a:stretch>
                      <a:fillRect/>
                    </a:stretch>
                  </pic:blipFill>
                  <pic:spPr>
                    <a:xfrm>
                      <a:off x="0" y="0"/>
                      <a:ext cx="265175" cy="100753"/>
                    </a:xfrm>
                    <a:prstGeom prst="rect">
                      <a:avLst/>
                    </a:prstGeom>
                  </pic:spPr>
                </pic:pic>
              </a:graphicData>
            </a:graphic>
          </wp:anchor>
        </w:drawing>
      </w:r>
      <w:r>
        <w:t>MOFCOM's use of facts available for</w:t>
      </w:r>
      <w:r>
        <w:rPr>
          <w:spacing w:val="-1"/>
        </w:rPr>
        <w:t xml:space="preserve"> </w:t>
      </w:r>
      <w:r>
        <w:t>Swan Vintage was</w:t>
      </w:r>
      <w:r>
        <w:rPr>
          <w:spacing w:val="-1"/>
        </w:rPr>
        <w:t xml:space="preserve"> </w:t>
      </w:r>
      <w:r>
        <w:t>limited to the determination of the company's production costs and expenses.</w:t>
      </w:r>
      <w:r>
        <w:rPr>
          <w:vertAlign w:val="superscript"/>
        </w:rPr>
        <w:t>455</w:t>
      </w:r>
      <w:r>
        <w:t xml:space="preserve"> MOFCOM found that Swan Vintage "did not provide accurate costs and expenses of the product under investigation" and that the company</w:t>
      </w:r>
      <w:r>
        <w:rPr>
          <w:spacing w:val="-8"/>
        </w:rPr>
        <w:t xml:space="preserve"> </w:t>
      </w:r>
      <w:r>
        <w:t>"did</w:t>
      </w:r>
      <w:r>
        <w:rPr>
          <w:spacing w:val="-8"/>
        </w:rPr>
        <w:t xml:space="preserve"> </w:t>
      </w:r>
      <w:r>
        <w:t>not</w:t>
      </w:r>
      <w:r>
        <w:rPr>
          <w:spacing w:val="-8"/>
        </w:rPr>
        <w:t xml:space="preserve"> </w:t>
      </w:r>
      <w:r>
        <w:t>give</w:t>
      </w:r>
      <w:r>
        <w:rPr>
          <w:spacing w:val="-8"/>
        </w:rPr>
        <w:t xml:space="preserve"> </w:t>
      </w:r>
      <w:r>
        <w:t>reasonable</w:t>
      </w:r>
      <w:r>
        <w:rPr>
          <w:spacing w:val="-10"/>
        </w:rPr>
        <w:t xml:space="preserve"> </w:t>
      </w:r>
      <w:r>
        <w:t>explanations"</w:t>
      </w:r>
      <w:r>
        <w:rPr>
          <w:spacing w:val="-11"/>
        </w:rPr>
        <w:t xml:space="preserve"> </w:t>
      </w:r>
      <w:r>
        <w:t>for</w:t>
      </w:r>
      <w:r>
        <w:rPr>
          <w:spacing w:val="-8"/>
        </w:rPr>
        <w:t xml:space="preserve"> </w:t>
      </w:r>
      <w:r>
        <w:t>the</w:t>
      </w:r>
      <w:r>
        <w:rPr>
          <w:spacing w:val="-8"/>
        </w:rPr>
        <w:t xml:space="preserve"> </w:t>
      </w:r>
      <w:r>
        <w:t>purported</w:t>
      </w:r>
      <w:r>
        <w:rPr>
          <w:spacing w:val="-9"/>
        </w:rPr>
        <w:t xml:space="preserve"> </w:t>
      </w:r>
      <w:r>
        <w:t>omissions</w:t>
      </w:r>
      <w:r>
        <w:rPr>
          <w:spacing w:val="-8"/>
        </w:rPr>
        <w:t xml:space="preserve"> </w:t>
      </w:r>
      <w:r>
        <w:t>and</w:t>
      </w:r>
      <w:r>
        <w:rPr>
          <w:spacing w:val="-9"/>
        </w:rPr>
        <w:t xml:space="preserve"> </w:t>
      </w:r>
      <w:r>
        <w:t>deficiencies in</w:t>
      </w:r>
      <w:r>
        <w:rPr>
          <w:spacing w:val="-14"/>
        </w:rPr>
        <w:t xml:space="preserve"> </w:t>
      </w:r>
      <w:r>
        <w:t>the</w:t>
      </w:r>
      <w:r>
        <w:rPr>
          <w:spacing w:val="-14"/>
        </w:rPr>
        <w:t xml:space="preserve"> </w:t>
      </w:r>
      <w:r>
        <w:t>information</w:t>
      </w:r>
      <w:r>
        <w:rPr>
          <w:spacing w:val="-13"/>
        </w:rPr>
        <w:t xml:space="preserve"> </w:t>
      </w:r>
      <w:r>
        <w:t>submitted.</w:t>
      </w:r>
      <w:r>
        <w:rPr>
          <w:vertAlign w:val="superscript"/>
        </w:rPr>
        <w:t>456</w:t>
      </w:r>
      <w:r>
        <w:rPr>
          <w:spacing w:val="-14"/>
        </w:rPr>
        <w:t xml:space="preserve"> </w:t>
      </w:r>
      <w:r>
        <w:t>On</w:t>
      </w:r>
      <w:r>
        <w:rPr>
          <w:spacing w:val="-13"/>
        </w:rPr>
        <w:t xml:space="preserve"> </w:t>
      </w:r>
      <w:r>
        <w:t>th</w:t>
      </w:r>
      <w:r>
        <w:t>is</w:t>
      </w:r>
      <w:r>
        <w:rPr>
          <w:spacing w:val="-14"/>
        </w:rPr>
        <w:t xml:space="preserve"> </w:t>
      </w:r>
      <w:r>
        <w:t>basis,</w:t>
      </w:r>
      <w:r>
        <w:rPr>
          <w:spacing w:val="-13"/>
        </w:rPr>
        <w:t xml:space="preserve"> </w:t>
      </w:r>
      <w:r>
        <w:t>MOFCOM</w:t>
      </w:r>
      <w:r>
        <w:rPr>
          <w:spacing w:val="-14"/>
        </w:rPr>
        <w:t xml:space="preserve"> </w:t>
      </w:r>
      <w:r>
        <w:t>determined</w:t>
      </w:r>
      <w:r>
        <w:rPr>
          <w:spacing w:val="-14"/>
        </w:rPr>
        <w:t xml:space="preserve"> </w:t>
      </w:r>
      <w:r>
        <w:t>these</w:t>
      </w:r>
      <w:r>
        <w:rPr>
          <w:spacing w:val="-13"/>
        </w:rPr>
        <w:t xml:space="preserve"> </w:t>
      </w:r>
      <w:r>
        <w:t>costs</w:t>
      </w:r>
      <w:r>
        <w:rPr>
          <w:spacing w:val="-14"/>
        </w:rPr>
        <w:t xml:space="preserve"> </w:t>
      </w:r>
      <w:r>
        <w:t>and</w:t>
      </w:r>
      <w:r>
        <w:rPr>
          <w:spacing w:val="-13"/>
        </w:rPr>
        <w:t xml:space="preserve"> </w:t>
      </w:r>
      <w:r>
        <w:t>expenses using facts available, which was said to be the "weighted average price of domestic sales of the product under investigation given by other respondents".</w:t>
      </w:r>
      <w:r>
        <w:rPr>
          <w:vertAlign w:val="superscript"/>
        </w:rPr>
        <w:t>457</w:t>
      </w:r>
    </w:p>
    <w:p w14:paraId="51DE8A27" w14:textId="77777777" w:rsidR="0010369C" w:rsidRDefault="0010369C">
      <w:pPr>
        <w:pStyle w:val="BodyText"/>
        <w:rPr>
          <w:sz w:val="20"/>
        </w:rPr>
      </w:pPr>
    </w:p>
    <w:p w14:paraId="51DE8A28" w14:textId="77777777" w:rsidR="0010369C" w:rsidRDefault="0010369C">
      <w:pPr>
        <w:pStyle w:val="BodyText"/>
        <w:rPr>
          <w:sz w:val="20"/>
        </w:rPr>
      </w:pPr>
    </w:p>
    <w:p w14:paraId="51DE8A29" w14:textId="77777777" w:rsidR="0010369C" w:rsidRDefault="0010369C">
      <w:pPr>
        <w:pStyle w:val="BodyText"/>
        <w:rPr>
          <w:sz w:val="20"/>
        </w:rPr>
      </w:pPr>
    </w:p>
    <w:p w14:paraId="51DE8A2A" w14:textId="77777777" w:rsidR="0010369C" w:rsidRDefault="008E43AE">
      <w:pPr>
        <w:pStyle w:val="BodyText"/>
        <w:spacing w:before="8"/>
        <w:rPr>
          <w:sz w:val="10"/>
        </w:rPr>
      </w:pPr>
      <w:r>
        <w:pict w14:anchorId="51DEA30C">
          <v:rect id="docshape885" o:spid="_x0000_s1431" style="position:absolute;margin-left:70.9pt;margin-top:7.75pt;width:2in;height:.8pt;z-index:-250884608;mso-wrap-distance-left:0;mso-wrap-distance-right:0;mso-position-horizontal-relative:page" fillcolor="black" stroked="f">
            <w10:wrap type="topAndBottom" anchorx="page"/>
          </v:rect>
        </w:pict>
      </w:r>
    </w:p>
    <w:p w14:paraId="51DE8A2B" w14:textId="77777777" w:rsidR="0010369C" w:rsidRDefault="008E43AE">
      <w:pPr>
        <w:spacing w:before="109"/>
        <w:ind w:left="238"/>
        <w:rPr>
          <w:sz w:val="18"/>
        </w:rPr>
      </w:pPr>
      <w:r>
        <w:rPr>
          <w:sz w:val="18"/>
          <w:vertAlign w:val="superscript"/>
        </w:rPr>
        <w:t>453</w:t>
      </w:r>
      <w:r>
        <w:rPr>
          <w:spacing w:val="-6"/>
          <w:sz w:val="18"/>
        </w:rPr>
        <w:t xml:space="preserve"> </w:t>
      </w:r>
      <w:r>
        <w:rPr>
          <w:sz w:val="18"/>
        </w:rPr>
        <w:t>See</w:t>
      </w:r>
      <w:r>
        <w:rPr>
          <w:spacing w:val="-5"/>
          <w:sz w:val="18"/>
        </w:rPr>
        <w:t xml:space="preserve"> </w:t>
      </w:r>
      <w:r>
        <w:rPr>
          <w:sz w:val="18"/>
        </w:rPr>
        <w:t>above,</w:t>
      </w:r>
      <w:r>
        <w:rPr>
          <w:spacing w:val="-6"/>
          <w:sz w:val="18"/>
        </w:rPr>
        <w:t xml:space="preserve"> </w:t>
      </w:r>
      <w:r>
        <w:rPr>
          <w:sz w:val="18"/>
        </w:rPr>
        <w:t>section</w:t>
      </w:r>
      <w:r>
        <w:rPr>
          <w:spacing w:val="-5"/>
          <w:sz w:val="18"/>
        </w:rPr>
        <w:t xml:space="preserve"> </w:t>
      </w:r>
      <w:r>
        <w:rPr>
          <w:spacing w:val="-2"/>
          <w:sz w:val="18"/>
        </w:rPr>
        <w:t>II.D.2.</w:t>
      </w:r>
    </w:p>
    <w:p w14:paraId="51DE8A2C" w14:textId="77777777" w:rsidR="0010369C" w:rsidRDefault="008E43AE">
      <w:pPr>
        <w:spacing w:before="1"/>
        <w:ind w:left="238"/>
        <w:rPr>
          <w:sz w:val="18"/>
        </w:rPr>
      </w:pPr>
      <w:r>
        <w:rPr>
          <w:sz w:val="18"/>
          <w:vertAlign w:val="superscript"/>
        </w:rPr>
        <w:t>454</w:t>
      </w:r>
      <w:r>
        <w:rPr>
          <w:spacing w:val="-5"/>
          <w:sz w:val="18"/>
        </w:rPr>
        <w:t xml:space="preserve"> </w:t>
      </w:r>
      <w:r>
        <w:rPr>
          <w:sz w:val="18"/>
        </w:rPr>
        <w:t>This</w:t>
      </w:r>
      <w:r>
        <w:rPr>
          <w:spacing w:val="-3"/>
          <w:sz w:val="18"/>
        </w:rPr>
        <w:t xml:space="preserve"> </w:t>
      </w:r>
      <w:r>
        <w:rPr>
          <w:sz w:val="18"/>
        </w:rPr>
        <w:t>has</w:t>
      </w:r>
      <w:r>
        <w:rPr>
          <w:spacing w:val="-4"/>
          <w:sz w:val="18"/>
        </w:rPr>
        <w:t xml:space="preserve"> </w:t>
      </w:r>
      <w:r>
        <w:rPr>
          <w:sz w:val="18"/>
        </w:rPr>
        <w:t>been</w:t>
      </w:r>
      <w:r>
        <w:rPr>
          <w:spacing w:val="-6"/>
          <w:sz w:val="18"/>
        </w:rPr>
        <w:t xml:space="preserve"> </w:t>
      </w:r>
      <w:r>
        <w:rPr>
          <w:sz w:val="18"/>
        </w:rPr>
        <w:t>set</w:t>
      </w:r>
      <w:r>
        <w:rPr>
          <w:spacing w:val="-5"/>
          <w:sz w:val="18"/>
        </w:rPr>
        <w:t xml:space="preserve"> </w:t>
      </w:r>
      <w:r>
        <w:rPr>
          <w:sz w:val="18"/>
        </w:rPr>
        <w:t>out</w:t>
      </w:r>
      <w:r>
        <w:rPr>
          <w:spacing w:val="-5"/>
          <w:sz w:val="18"/>
        </w:rPr>
        <w:t xml:space="preserve"> </w:t>
      </w:r>
      <w:r>
        <w:rPr>
          <w:sz w:val="18"/>
        </w:rPr>
        <w:t>in</w:t>
      </w:r>
      <w:r>
        <w:rPr>
          <w:spacing w:val="-4"/>
          <w:sz w:val="18"/>
        </w:rPr>
        <w:t xml:space="preserve"> </w:t>
      </w:r>
      <w:r>
        <w:rPr>
          <w:sz w:val="18"/>
        </w:rPr>
        <w:t>detail</w:t>
      </w:r>
      <w:r>
        <w:rPr>
          <w:spacing w:val="-4"/>
          <w:sz w:val="18"/>
        </w:rPr>
        <w:t xml:space="preserve"> </w:t>
      </w:r>
      <w:r>
        <w:rPr>
          <w:sz w:val="18"/>
        </w:rPr>
        <w:t>in</w:t>
      </w:r>
      <w:r>
        <w:rPr>
          <w:spacing w:val="-5"/>
          <w:sz w:val="18"/>
        </w:rPr>
        <w:t xml:space="preserve"> </w:t>
      </w:r>
      <w:r>
        <w:rPr>
          <w:sz w:val="18"/>
        </w:rPr>
        <w:t>section</w:t>
      </w:r>
      <w:r>
        <w:rPr>
          <w:spacing w:val="-4"/>
          <w:sz w:val="18"/>
        </w:rPr>
        <w:t xml:space="preserve"> </w:t>
      </w:r>
      <w:r>
        <w:rPr>
          <w:sz w:val="18"/>
        </w:rPr>
        <w:t>II.D.2</w:t>
      </w:r>
      <w:r>
        <w:rPr>
          <w:spacing w:val="-4"/>
          <w:sz w:val="18"/>
        </w:rPr>
        <w:t xml:space="preserve"> </w:t>
      </w:r>
      <w:r>
        <w:rPr>
          <w:spacing w:val="-2"/>
          <w:sz w:val="18"/>
        </w:rPr>
        <w:t>above.</w:t>
      </w:r>
    </w:p>
    <w:p w14:paraId="51DE8A2D" w14:textId="77777777" w:rsidR="0010369C" w:rsidRDefault="008E43AE">
      <w:pPr>
        <w:ind w:left="238"/>
        <w:rPr>
          <w:sz w:val="18"/>
        </w:rPr>
      </w:pPr>
      <w:r>
        <w:rPr>
          <w:sz w:val="18"/>
          <w:vertAlign w:val="superscript"/>
        </w:rPr>
        <w:t>455</w:t>
      </w:r>
      <w:r>
        <w:rPr>
          <w:spacing w:val="-9"/>
          <w:sz w:val="18"/>
        </w:rPr>
        <w:t xml:space="preserve"> </w:t>
      </w:r>
      <w:r>
        <w:rPr>
          <w:sz w:val="18"/>
        </w:rPr>
        <w:t>Anti‐Dumping</w:t>
      </w:r>
      <w:r>
        <w:rPr>
          <w:spacing w:val="-9"/>
          <w:sz w:val="18"/>
        </w:rPr>
        <w:t xml:space="preserve"> </w:t>
      </w:r>
      <w:r>
        <w:rPr>
          <w:sz w:val="18"/>
        </w:rPr>
        <w:t>Final</w:t>
      </w:r>
      <w:r>
        <w:rPr>
          <w:spacing w:val="-9"/>
          <w:sz w:val="18"/>
        </w:rPr>
        <w:t xml:space="preserve"> </w:t>
      </w:r>
      <w:r>
        <w:rPr>
          <w:sz w:val="18"/>
        </w:rPr>
        <w:t>Determination</w:t>
      </w:r>
      <w:r>
        <w:rPr>
          <w:spacing w:val="-8"/>
          <w:sz w:val="18"/>
        </w:rPr>
        <w:t xml:space="preserve"> </w:t>
      </w:r>
      <w:r>
        <w:rPr>
          <w:sz w:val="18"/>
        </w:rPr>
        <w:t>(Exhibit</w:t>
      </w:r>
      <w:r>
        <w:rPr>
          <w:spacing w:val="-9"/>
          <w:sz w:val="18"/>
        </w:rPr>
        <w:t xml:space="preserve"> </w:t>
      </w:r>
      <w:r>
        <w:rPr>
          <w:sz w:val="18"/>
        </w:rPr>
        <w:t>AUS‐2),</w:t>
      </w:r>
      <w:r>
        <w:rPr>
          <w:spacing w:val="-10"/>
          <w:sz w:val="18"/>
        </w:rPr>
        <w:t xml:space="preserve"> </w:t>
      </w:r>
      <w:r>
        <w:rPr>
          <w:sz w:val="18"/>
        </w:rPr>
        <w:t>pp.</w:t>
      </w:r>
      <w:r>
        <w:rPr>
          <w:spacing w:val="-9"/>
          <w:sz w:val="18"/>
        </w:rPr>
        <w:t xml:space="preserve"> </w:t>
      </w:r>
      <w:r>
        <w:rPr>
          <w:spacing w:val="-2"/>
          <w:sz w:val="18"/>
        </w:rPr>
        <w:t>89‐91.</w:t>
      </w:r>
    </w:p>
    <w:p w14:paraId="51DE8A2E" w14:textId="77777777" w:rsidR="0010369C" w:rsidRDefault="008E43AE">
      <w:pPr>
        <w:ind w:left="238"/>
        <w:rPr>
          <w:sz w:val="18"/>
        </w:rPr>
      </w:pPr>
      <w:r>
        <w:rPr>
          <w:sz w:val="18"/>
          <w:vertAlign w:val="superscript"/>
        </w:rPr>
        <w:t>456</w:t>
      </w:r>
      <w:r>
        <w:rPr>
          <w:spacing w:val="-9"/>
          <w:sz w:val="18"/>
        </w:rPr>
        <w:t xml:space="preserve"> </w:t>
      </w:r>
      <w:r>
        <w:rPr>
          <w:sz w:val="18"/>
        </w:rPr>
        <w:t>Anti‐Dumping</w:t>
      </w:r>
      <w:r>
        <w:rPr>
          <w:spacing w:val="-9"/>
          <w:sz w:val="18"/>
        </w:rPr>
        <w:t xml:space="preserve"> </w:t>
      </w:r>
      <w:r>
        <w:rPr>
          <w:sz w:val="18"/>
        </w:rPr>
        <w:t>Final</w:t>
      </w:r>
      <w:r>
        <w:rPr>
          <w:spacing w:val="-9"/>
          <w:sz w:val="18"/>
        </w:rPr>
        <w:t xml:space="preserve"> </w:t>
      </w:r>
      <w:r>
        <w:rPr>
          <w:sz w:val="18"/>
        </w:rPr>
        <w:t>Determination</w:t>
      </w:r>
      <w:r>
        <w:rPr>
          <w:spacing w:val="-8"/>
          <w:sz w:val="18"/>
        </w:rPr>
        <w:t xml:space="preserve"> </w:t>
      </w:r>
      <w:r>
        <w:rPr>
          <w:sz w:val="18"/>
        </w:rPr>
        <w:t>(Exhibit</w:t>
      </w:r>
      <w:r>
        <w:rPr>
          <w:spacing w:val="-9"/>
          <w:sz w:val="18"/>
        </w:rPr>
        <w:t xml:space="preserve"> </w:t>
      </w:r>
      <w:r>
        <w:rPr>
          <w:sz w:val="18"/>
        </w:rPr>
        <w:t>AUS‐2),</w:t>
      </w:r>
      <w:r>
        <w:rPr>
          <w:spacing w:val="-9"/>
          <w:sz w:val="18"/>
        </w:rPr>
        <w:t xml:space="preserve"> </w:t>
      </w:r>
      <w:r>
        <w:rPr>
          <w:sz w:val="18"/>
        </w:rPr>
        <w:t>p.</w:t>
      </w:r>
      <w:r>
        <w:rPr>
          <w:spacing w:val="-9"/>
          <w:sz w:val="18"/>
        </w:rPr>
        <w:t xml:space="preserve"> </w:t>
      </w:r>
      <w:r>
        <w:rPr>
          <w:spacing w:val="-5"/>
          <w:sz w:val="18"/>
        </w:rPr>
        <w:t>90.</w:t>
      </w:r>
    </w:p>
    <w:p w14:paraId="51DE8A2F" w14:textId="77777777" w:rsidR="0010369C" w:rsidRDefault="008E43AE">
      <w:pPr>
        <w:ind w:left="238"/>
        <w:rPr>
          <w:sz w:val="18"/>
        </w:rPr>
      </w:pPr>
      <w:r>
        <w:rPr>
          <w:sz w:val="18"/>
          <w:vertAlign w:val="superscript"/>
        </w:rPr>
        <w:t>457</w:t>
      </w:r>
      <w:r>
        <w:rPr>
          <w:spacing w:val="-9"/>
          <w:sz w:val="18"/>
        </w:rPr>
        <w:t xml:space="preserve"> </w:t>
      </w:r>
      <w:r>
        <w:rPr>
          <w:sz w:val="18"/>
        </w:rPr>
        <w:t>Anti‐Dumping</w:t>
      </w:r>
      <w:r>
        <w:rPr>
          <w:spacing w:val="-9"/>
          <w:sz w:val="18"/>
        </w:rPr>
        <w:t xml:space="preserve"> </w:t>
      </w:r>
      <w:r>
        <w:rPr>
          <w:sz w:val="18"/>
        </w:rPr>
        <w:t>Final</w:t>
      </w:r>
      <w:r>
        <w:rPr>
          <w:spacing w:val="-9"/>
          <w:sz w:val="18"/>
        </w:rPr>
        <w:t xml:space="preserve"> </w:t>
      </w:r>
      <w:r>
        <w:rPr>
          <w:sz w:val="18"/>
        </w:rPr>
        <w:t>Determination</w:t>
      </w:r>
      <w:r>
        <w:rPr>
          <w:spacing w:val="-8"/>
          <w:sz w:val="18"/>
        </w:rPr>
        <w:t xml:space="preserve"> </w:t>
      </w:r>
      <w:r>
        <w:rPr>
          <w:sz w:val="18"/>
        </w:rPr>
        <w:t>(Exhibit</w:t>
      </w:r>
      <w:r>
        <w:rPr>
          <w:spacing w:val="-9"/>
          <w:sz w:val="18"/>
        </w:rPr>
        <w:t xml:space="preserve"> </w:t>
      </w:r>
      <w:r>
        <w:rPr>
          <w:sz w:val="18"/>
        </w:rPr>
        <w:t>AUS‐2),</w:t>
      </w:r>
      <w:r>
        <w:rPr>
          <w:spacing w:val="-9"/>
          <w:sz w:val="18"/>
        </w:rPr>
        <w:t xml:space="preserve"> </w:t>
      </w:r>
      <w:r>
        <w:rPr>
          <w:sz w:val="18"/>
        </w:rPr>
        <w:t>p.</w:t>
      </w:r>
      <w:r>
        <w:rPr>
          <w:spacing w:val="-9"/>
          <w:sz w:val="18"/>
        </w:rPr>
        <w:t xml:space="preserve"> </w:t>
      </w:r>
      <w:r>
        <w:rPr>
          <w:spacing w:val="-5"/>
          <w:sz w:val="18"/>
        </w:rPr>
        <w:t>92.</w:t>
      </w:r>
    </w:p>
    <w:p w14:paraId="51DE8A30" w14:textId="77777777" w:rsidR="0010369C" w:rsidRDefault="0010369C">
      <w:pPr>
        <w:rPr>
          <w:sz w:val="18"/>
        </w:rPr>
        <w:sectPr w:rsidR="0010369C">
          <w:pgSz w:w="11910" w:h="16840"/>
          <w:pgMar w:top="880" w:right="800" w:bottom="980" w:left="1180" w:header="569" w:footer="788" w:gutter="0"/>
          <w:cols w:space="720"/>
        </w:sectPr>
      </w:pPr>
    </w:p>
    <w:p w14:paraId="51DE8A31" w14:textId="77777777" w:rsidR="0010369C" w:rsidRDefault="008E43AE">
      <w:pPr>
        <w:tabs>
          <w:tab w:val="left" w:pos="6426"/>
        </w:tabs>
        <w:ind w:left="238"/>
        <w:rPr>
          <w:sz w:val="20"/>
        </w:rPr>
      </w:pPr>
      <w:r>
        <w:rPr>
          <w:i/>
          <w:sz w:val="20"/>
        </w:rPr>
        <w:lastRenderedPageBreak/>
        <w:t>China</w:t>
      </w:r>
      <w:r>
        <w:rPr>
          <w:i/>
          <w:spacing w:val="-5"/>
          <w:sz w:val="20"/>
        </w:rPr>
        <w:t xml:space="preserve"> </w:t>
      </w:r>
      <w:r>
        <w:rPr>
          <w:i/>
          <w:sz w:val="20"/>
        </w:rPr>
        <w:t>–</w:t>
      </w:r>
      <w:r>
        <w:rPr>
          <w:i/>
          <w:spacing w:val="-5"/>
          <w:sz w:val="20"/>
        </w:rPr>
        <w:t xml:space="preserve"> </w:t>
      </w:r>
      <w:r>
        <w:rPr>
          <w:i/>
          <w:sz w:val="20"/>
        </w:rPr>
        <w:t>Anti‐Dumping</w:t>
      </w:r>
      <w:r>
        <w:rPr>
          <w:i/>
          <w:spacing w:val="-4"/>
          <w:sz w:val="20"/>
        </w:rPr>
        <w:t xml:space="preserve"> </w:t>
      </w:r>
      <w:r>
        <w:rPr>
          <w:i/>
          <w:sz w:val="20"/>
        </w:rPr>
        <w:t>and</w:t>
      </w:r>
      <w:r>
        <w:rPr>
          <w:i/>
          <w:spacing w:val="-5"/>
          <w:sz w:val="20"/>
        </w:rPr>
        <w:t xml:space="preserve"> </w:t>
      </w:r>
      <w:r>
        <w:rPr>
          <w:i/>
          <w:sz w:val="20"/>
        </w:rPr>
        <w:t>Countervailing</w:t>
      </w:r>
      <w:r>
        <w:rPr>
          <w:i/>
          <w:spacing w:val="-5"/>
          <w:sz w:val="20"/>
        </w:rPr>
        <w:t xml:space="preserve"> </w:t>
      </w:r>
      <w:r>
        <w:rPr>
          <w:i/>
          <w:sz w:val="20"/>
        </w:rPr>
        <w:t>Duty</w:t>
      </w:r>
      <w:r>
        <w:rPr>
          <w:i/>
          <w:spacing w:val="-4"/>
          <w:sz w:val="20"/>
        </w:rPr>
        <w:t xml:space="preserve"> </w:t>
      </w:r>
      <w:r>
        <w:rPr>
          <w:i/>
          <w:spacing w:val="-2"/>
          <w:sz w:val="20"/>
        </w:rPr>
        <w:t>Measures</w:t>
      </w:r>
      <w:r>
        <w:rPr>
          <w:i/>
          <w:sz w:val="20"/>
        </w:rPr>
        <w:tab/>
      </w:r>
      <w:r>
        <w:rPr>
          <w:sz w:val="20"/>
        </w:rPr>
        <w:t>Australia's</w:t>
      </w:r>
      <w:r>
        <w:rPr>
          <w:spacing w:val="-7"/>
          <w:sz w:val="20"/>
        </w:rPr>
        <w:t xml:space="preserve"> </w:t>
      </w:r>
      <w:r>
        <w:rPr>
          <w:sz w:val="20"/>
        </w:rPr>
        <w:t>First</w:t>
      </w:r>
      <w:r>
        <w:rPr>
          <w:spacing w:val="-2"/>
          <w:sz w:val="20"/>
        </w:rPr>
        <w:t xml:space="preserve"> </w:t>
      </w:r>
      <w:r>
        <w:rPr>
          <w:sz w:val="20"/>
        </w:rPr>
        <w:t>Written</w:t>
      </w:r>
      <w:r>
        <w:rPr>
          <w:spacing w:val="-2"/>
          <w:sz w:val="20"/>
        </w:rPr>
        <w:t xml:space="preserve"> Submission</w:t>
      </w:r>
    </w:p>
    <w:p w14:paraId="51DE8A32" w14:textId="77777777" w:rsidR="0010369C" w:rsidRDefault="008E43AE">
      <w:pPr>
        <w:tabs>
          <w:tab w:val="left" w:pos="8228"/>
        </w:tabs>
        <w:spacing w:before="1"/>
        <w:ind w:left="239"/>
        <w:rPr>
          <w:sz w:val="20"/>
        </w:rPr>
      </w:pPr>
      <w:r>
        <w:rPr>
          <w:i/>
          <w:sz w:val="20"/>
        </w:rPr>
        <w:t>on</w:t>
      </w:r>
      <w:r>
        <w:rPr>
          <w:i/>
          <w:spacing w:val="-1"/>
          <w:sz w:val="20"/>
        </w:rPr>
        <w:t xml:space="preserve"> </w:t>
      </w:r>
      <w:r>
        <w:rPr>
          <w:i/>
          <w:sz w:val="20"/>
        </w:rPr>
        <w:t>Wine</w:t>
      </w:r>
      <w:r>
        <w:rPr>
          <w:i/>
          <w:spacing w:val="-1"/>
          <w:sz w:val="20"/>
        </w:rPr>
        <w:t xml:space="preserve"> </w:t>
      </w:r>
      <w:r>
        <w:rPr>
          <w:i/>
          <w:sz w:val="20"/>
        </w:rPr>
        <w:t>from</w:t>
      </w:r>
      <w:r>
        <w:rPr>
          <w:i/>
          <w:spacing w:val="-3"/>
          <w:sz w:val="20"/>
        </w:rPr>
        <w:t xml:space="preserve"> </w:t>
      </w:r>
      <w:r>
        <w:rPr>
          <w:i/>
          <w:sz w:val="20"/>
        </w:rPr>
        <w:t>Australia</w:t>
      </w:r>
      <w:r>
        <w:rPr>
          <w:i/>
          <w:spacing w:val="-1"/>
          <w:sz w:val="20"/>
        </w:rPr>
        <w:t xml:space="preserve"> </w:t>
      </w:r>
      <w:r>
        <w:rPr>
          <w:spacing w:val="-2"/>
          <w:sz w:val="20"/>
        </w:rPr>
        <w:t>(DS602)</w:t>
      </w:r>
      <w:r>
        <w:rPr>
          <w:sz w:val="20"/>
        </w:rPr>
        <w:tab/>
        <w:t>29</w:t>
      </w:r>
      <w:r>
        <w:rPr>
          <w:spacing w:val="-1"/>
          <w:sz w:val="20"/>
        </w:rPr>
        <w:t xml:space="preserve"> </w:t>
      </w:r>
      <w:r>
        <w:rPr>
          <w:sz w:val="20"/>
        </w:rPr>
        <w:t>April</w:t>
      </w:r>
      <w:r>
        <w:rPr>
          <w:spacing w:val="-2"/>
          <w:sz w:val="20"/>
        </w:rPr>
        <w:t xml:space="preserve"> </w:t>
      </w:r>
      <w:r>
        <w:rPr>
          <w:spacing w:val="-4"/>
          <w:sz w:val="20"/>
        </w:rPr>
        <w:t>2022</w:t>
      </w:r>
    </w:p>
    <w:p w14:paraId="51DE8A33" w14:textId="77777777" w:rsidR="0010369C" w:rsidRDefault="008E43AE">
      <w:pPr>
        <w:pStyle w:val="BodyText"/>
        <w:spacing w:before="34" w:line="360" w:lineRule="auto"/>
        <w:ind w:left="236" w:right="613" w:firstLine="852"/>
        <w:jc w:val="both"/>
      </w:pPr>
      <w:r>
        <w:rPr>
          <w:noProof/>
        </w:rPr>
        <w:drawing>
          <wp:anchor distT="0" distB="0" distL="0" distR="0" simplePos="0" relativeHeight="251065856" behindDoc="1" locked="0" layoutInCell="1" allowOverlap="1" wp14:anchorId="51DEA30D" wp14:editId="51DEA30E">
            <wp:simplePos x="0" y="0"/>
            <wp:positionH relativeFrom="page">
              <wp:posOffset>899160</wp:posOffset>
            </wp:positionH>
            <wp:positionV relativeFrom="paragraph">
              <wp:posOffset>69165</wp:posOffset>
            </wp:positionV>
            <wp:extent cx="265175" cy="103631"/>
            <wp:effectExtent l="0" t="0" r="0" b="0"/>
            <wp:wrapNone/>
            <wp:docPr id="849" name="image4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 name="image435.png"/>
                    <pic:cNvPicPr/>
                  </pic:nvPicPr>
                  <pic:blipFill>
                    <a:blip r:embed="rId573" cstate="print"/>
                    <a:stretch>
                      <a:fillRect/>
                    </a:stretch>
                  </pic:blipFill>
                  <pic:spPr>
                    <a:xfrm>
                      <a:off x="0" y="0"/>
                      <a:ext cx="265175" cy="103631"/>
                    </a:xfrm>
                    <a:prstGeom prst="rect">
                      <a:avLst/>
                    </a:prstGeom>
                  </pic:spPr>
                </pic:pic>
              </a:graphicData>
            </a:graphic>
          </wp:anchor>
        </w:drawing>
      </w:r>
      <w:r>
        <w:t xml:space="preserve">MOFCOM alleged two purported deficiencies in the costs data submitted by Swan Vintage. First, MOFCOM </w:t>
      </w:r>
      <w:r>
        <w:t>alleged that Swan Vintage had not reported costs according to valid product control codes.</w:t>
      </w:r>
      <w:r>
        <w:rPr>
          <w:vertAlign w:val="superscript"/>
        </w:rPr>
        <w:t>458</w:t>
      </w:r>
      <w:r>
        <w:t xml:space="preserve"> Second, MOFCOM alleged that Swan Vintage had not coordinated with its bottling and pressing service providers to submit costs data that would corroborate Swan Vin</w:t>
      </w:r>
      <w:r>
        <w:t>tage's records.</w:t>
      </w:r>
      <w:r>
        <w:rPr>
          <w:vertAlign w:val="superscript"/>
        </w:rPr>
        <w:t>459</w:t>
      </w:r>
      <w:r>
        <w:t xml:space="preserve"> In relation to the second purported concern raised, MOFCOM further alleged in the Final Determination that Swan Vintage "did not answer the question related to cost sheets", which Australia can only assume relates to bottling and pressin</w:t>
      </w:r>
      <w:r>
        <w:t>g services.</w:t>
      </w:r>
      <w:r>
        <w:rPr>
          <w:vertAlign w:val="superscript"/>
        </w:rPr>
        <w:t>460</w:t>
      </w:r>
      <w:r>
        <w:t xml:space="preserve"> MOFCOM ultimately decided that, following receipt of comments from the company on the Preliminary Determination and conducting a "further review" of the company's costs data,</w:t>
      </w:r>
      <w:r>
        <w:rPr>
          <w:vertAlign w:val="superscript"/>
        </w:rPr>
        <w:t>461</w:t>
      </w:r>
      <w:r>
        <w:t xml:space="preserve"> MOFCOM still "could not secure accurate costs based on the info</w:t>
      </w:r>
      <w:r>
        <w:t>rmation provided by [Swan Vintage]".</w:t>
      </w:r>
      <w:r>
        <w:rPr>
          <w:vertAlign w:val="superscript"/>
        </w:rPr>
        <w:t>462</w:t>
      </w:r>
    </w:p>
    <w:p w14:paraId="51DE8A34" w14:textId="77777777" w:rsidR="0010369C" w:rsidRDefault="0010369C">
      <w:pPr>
        <w:pStyle w:val="BodyText"/>
        <w:spacing w:before="10"/>
        <w:rPr>
          <w:sz w:val="8"/>
        </w:rPr>
      </w:pPr>
    </w:p>
    <w:p w14:paraId="51DE8A35" w14:textId="77777777" w:rsidR="0010369C" w:rsidRDefault="008E43AE">
      <w:pPr>
        <w:pStyle w:val="BodyText"/>
        <w:spacing w:before="52" w:line="360" w:lineRule="auto"/>
        <w:ind w:left="237" w:right="614" w:firstLine="851"/>
        <w:jc w:val="both"/>
      </w:pPr>
      <w:r>
        <w:rPr>
          <w:noProof/>
        </w:rPr>
        <w:drawing>
          <wp:anchor distT="0" distB="0" distL="0" distR="0" simplePos="0" relativeHeight="251066880" behindDoc="1" locked="0" layoutInCell="1" allowOverlap="1" wp14:anchorId="51DEA30F" wp14:editId="51DEA310">
            <wp:simplePos x="0" y="0"/>
            <wp:positionH relativeFrom="page">
              <wp:posOffset>899160</wp:posOffset>
            </wp:positionH>
            <wp:positionV relativeFrom="paragraph">
              <wp:posOffset>76785</wp:posOffset>
            </wp:positionV>
            <wp:extent cx="265175" cy="106679"/>
            <wp:effectExtent l="0" t="0" r="0" b="0"/>
            <wp:wrapNone/>
            <wp:docPr id="851" name="image4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 name="image436.png"/>
                    <pic:cNvPicPr/>
                  </pic:nvPicPr>
                  <pic:blipFill>
                    <a:blip r:embed="rId574" cstate="print"/>
                    <a:stretch>
                      <a:fillRect/>
                    </a:stretch>
                  </pic:blipFill>
                  <pic:spPr>
                    <a:xfrm>
                      <a:off x="0" y="0"/>
                      <a:ext cx="265175" cy="106679"/>
                    </a:xfrm>
                    <a:prstGeom prst="rect">
                      <a:avLst/>
                    </a:prstGeom>
                  </pic:spPr>
                </pic:pic>
              </a:graphicData>
            </a:graphic>
          </wp:anchor>
        </w:drawing>
      </w:r>
      <w:r>
        <w:t>MOFCOM otherwise made no findings in the Final Determination as to the level of Swan Vintage's cooperation in the investigation, nor directly, the verifiability of the data and information submitted by Swan Vintage.</w:t>
      </w:r>
    </w:p>
    <w:p w14:paraId="51DE8A36" w14:textId="77777777" w:rsidR="0010369C" w:rsidRDefault="0010369C">
      <w:pPr>
        <w:pStyle w:val="BodyText"/>
        <w:spacing w:before="11"/>
        <w:rPr>
          <w:sz w:val="8"/>
        </w:rPr>
      </w:pPr>
    </w:p>
    <w:p w14:paraId="51DE8A37" w14:textId="77777777" w:rsidR="0010369C" w:rsidRDefault="008E43AE">
      <w:pPr>
        <w:pStyle w:val="BodyText"/>
        <w:spacing w:before="51" w:line="360" w:lineRule="auto"/>
        <w:ind w:left="237" w:right="613" w:firstLine="851"/>
        <w:jc w:val="both"/>
      </w:pPr>
      <w:r>
        <w:rPr>
          <w:noProof/>
        </w:rPr>
        <w:drawing>
          <wp:anchor distT="0" distB="0" distL="0" distR="0" simplePos="0" relativeHeight="251067904" behindDoc="1" locked="0" layoutInCell="1" allowOverlap="1" wp14:anchorId="51DEA311" wp14:editId="51DEA312">
            <wp:simplePos x="0" y="0"/>
            <wp:positionH relativeFrom="page">
              <wp:posOffset>899160</wp:posOffset>
            </wp:positionH>
            <wp:positionV relativeFrom="paragraph">
              <wp:posOffset>76150</wp:posOffset>
            </wp:positionV>
            <wp:extent cx="265175" cy="106679"/>
            <wp:effectExtent l="0" t="0" r="0" b="0"/>
            <wp:wrapNone/>
            <wp:docPr id="853" name="image4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 name="image437.png"/>
                    <pic:cNvPicPr/>
                  </pic:nvPicPr>
                  <pic:blipFill>
                    <a:blip r:embed="rId575" cstate="print"/>
                    <a:stretch>
                      <a:fillRect/>
                    </a:stretch>
                  </pic:blipFill>
                  <pic:spPr>
                    <a:xfrm>
                      <a:off x="0" y="0"/>
                      <a:ext cx="265175" cy="106679"/>
                    </a:xfrm>
                    <a:prstGeom prst="rect">
                      <a:avLst/>
                    </a:prstGeom>
                  </pic:spPr>
                </pic:pic>
              </a:graphicData>
            </a:graphic>
          </wp:anchor>
        </w:drawing>
      </w:r>
      <w:r>
        <w:t>MOFCOM</w:t>
      </w:r>
      <w:r>
        <w:rPr>
          <w:spacing w:val="-6"/>
        </w:rPr>
        <w:t xml:space="preserve"> </w:t>
      </w:r>
      <w:r>
        <w:t>improperly</w:t>
      </w:r>
      <w:r>
        <w:rPr>
          <w:spacing w:val="-5"/>
        </w:rPr>
        <w:t xml:space="preserve"> </w:t>
      </w:r>
      <w:r>
        <w:t>resorted</w:t>
      </w:r>
      <w:r>
        <w:rPr>
          <w:spacing w:val="-7"/>
        </w:rPr>
        <w:t xml:space="preserve"> </w:t>
      </w:r>
      <w:r>
        <w:t>to</w:t>
      </w:r>
      <w:r>
        <w:rPr>
          <w:spacing w:val="-6"/>
        </w:rPr>
        <w:t xml:space="preserve"> </w:t>
      </w:r>
      <w:r>
        <w:t>facts</w:t>
      </w:r>
      <w:r>
        <w:rPr>
          <w:spacing w:val="-6"/>
        </w:rPr>
        <w:t xml:space="preserve"> </w:t>
      </w:r>
      <w:r>
        <w:t>available.</w:t>
      </w:r>
      <w:r>
        <w:rPr>
          <w:spacing w:val="-6"/>
        </w:rPr>
        <w:t xml:space="preserve"> </w:t>
      </w:r>
      <w:r>
        <w:t>Swan</w:t>
      </w:r>
      <w:r>
        <w:rPr>
          <w:spacing w:val="-6"/>
        </w:rPr>
        <w:t xml:space="preserve"> </w:t>
      </w:r>
      <w:r>
        <w:t>Vintage</w:t>
      </w:r>
      <w:r>
        <w:rPr>
          <w:spacing w:val="-5"/>
        </w:rPr>
        <w:t xml:space="preserve"> </w:t>
      </w:r>
      <w:r>
        <w:t>was</w:t>
      </w:r>
      <w:r>
        <w:rPr>
          <w:spacing w:val="-6"/>
        </w:rPr>
        <w:t xml:space="preserve"> </w:t>
      </w:r>
      <w:r>
        <w:t>fully</w:t>
      </w:r>
      <w:r>
        <w:rPr>
          <w:spacing w:val="-5"/>
        </w:rPr>
        <w:t xml:space="preserve"> </w:t>
      </w:r>
      <w:r>
        <w:t>cooperative in the investigation and participated to the best of its abilities.</w:t>
      </w:r>
      <w:r>
        <w:rPr>
          <w:vertAlign w:val="superscript"/>
        </w:rPr>
        <w:t>463</w:t>
      </w:r>
      <w:r>
        <w:t xml:space="preserve"> Moreover, Swan Vintage provided the necessary information within a reasonable period of time, and which was verifiable by reference t</w:t>
      </w:r>
      <w:r>
        <w:t>o the company's accounting system. To the extent information was not provided, it was not necessary, and its absence was fully explained.</w:t>
      </w:r>
    </w:p>
    <w:p w14:paraId="51DE8A38" w14:textId="77777777" w:rsidR="0010369C" w:rsidRDefault="0010369C">
      <w:pPr>
        <w:pStyle w:val="BodyText"/>
        <w:spacing w:before="12"/>
        <w:rPr>
          <w:sz w:val="8"/>
        </w:rPr>
      </w:pPr>
    </w:p>
    <w:p w14:paraId="51DE8A39" w14:textId="77777777" w:rsidR="0010369C" w:rsidRDefault="008E43AE">
      <w:pPr>
        <w:pStyle w:val="BodyText"/>
        <w:spacing w:before="51" w:line="360" w:lineRule="auto"/>
        <w:ind w:left="238" w:right="613" w:firstLine="850"/>
        <w:jc w:val="both"/>
      </w:pPr>
      <w:r>
        <w:rPr>
          <w:noProof/>
        </w:rPr>
        <w:drawing>
          <wp:anchor distT="0" distB="0" distL="0" distR="0" simplePos="0" relativeHeight="251068928" behindDoc="1" locked="0" layoutInCell="1" allowOverlap="1" wp14:anchorId="51DEA313" wp14:editId="51DEA314">
            <wp:simplePos x="0" y="0"/>
            <wp:positionH relativeFrom="page">
              <wp:posOffset>899160</wp:posOffset>
            </wp:positionH>
            <wp:positionV relativeFrom="paragraph">
              <wp:posOffset>81314</wp:posOffset>
            </wp:positionV>
            <wp:extent cx="265175" cy="100753"/>
            <wp:effectExtent l="0" t="0" r="0" b="0"/>
            <wp:wrapNone/>
            <wp:docPr id="855" name="image4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 name="image438.png"/>
                    <pic:cNvPicPr/>
                  </pic:nvPicPr>
                  <pic:blipFill>
                    <a:blip r:embed="rId576" cstate="print"/>
                    <a:stretch>
                      <a:fillRect/>
                    </a:stretch>
                  </pic:blipFill>
                  <pic:spPr>
                    <a:xfrm>
                      <a:off x="0" y="0"/>
                      <a:ext cx="265175" cy="100753"/>
                    </a:xfrm>
                    <a:prstGeom prst="rect">
                      <a:avLst/>
                    </a:prstGeom>
                  </pic:spPr>
                </pic:pic>
              </a:graphicData>
            </a:graphic>
          </wp:anchor>
        </w:drawing>
      </w:r>
      <w:r>
        <w:t>Moreover, the information relied upon by MOFCOM was not the best information available.</w:t>
      </w:r>
      <w:r>
        <w:rPr>
          <w:spacing w:val="-14"/>
        </w:rPr>
        <w:t xml:space="preserve"> </w:t>
      </w:r>
      <w:r>
        <w:t>MOFCOM</w:t>
      </w:r>
      <w:r>
        <w:rPr>
          <w:spacing w:val="-14"/>
        </w:rPr>
        <w:t xml:space="preserve"> </w:t>
      </w:r>
      <w:r>
        <w:t>used</w:t>
      </w:r>
      <w:r>
        <w:rPr>
          <w:spacing w:val="-13"/>
        </w:rPr>
        <w:t xml:space="preserve"> </w:t>
      </w:r>
      <w:r>
        <w:t>"the</w:t>
      </w:r>
      <w:r>
        <w:rPr>
          <w:spacing w:val="-14"/>
        </w:rPr>
        <w:t xml:space="preserve"> </w:t>
      </w:r>
      <w:r>
        <w:t>weighted</w:t>
      </w:r>
      <w:r>
        <w:rPr>
          <w:spacing w:val="-13"/>
        </w:rPr>
        <w:t xml:space="preserve"> </w:t>
      </w:r>
      <w:r>
        <w:t>av</w:t>
      </w:r>
      <w:r>
        <w:t>erage</w:t>
      </w:r>
      <w:r>
        <w:rPr>
          <w:spacing w:val="-14"/>
        </w:rPr>
        <w:t xml:space="preserve"> </w:t>
      </w:r>
      <w:r>
        <w:t>price</w:t>
      </w:r>
      <w:r>
        <w:rPr>
          <w:spacing w:val="-13"/>
        </w:rPr>
        <w:t xml:space="preserve"> </w:t>
      </w:r>
      <w:r>
        <w:t>of</w:t>
      </w:r>
      <w:r>
        <w:rPr>
          <w:spacing w:val="-14"/>
        </w:rPr>
        <w:t xml:space="preserve"> </w:t>
      </w:r>
      <w:r>
        <w:t>domestic</w:t>
      </w:r>
      <w:r>
        <w:rPr>
          <w:spacing w:val="-14"/>
        </w:rPr>
        <w:t xml:space="preserve"> </w:t>
      </w:r>
      <w:r>
        <w:t>sales</w:t>
      </w:r>
      <w:r>
        <w:rPr>
          <w:spacing w:val="-13"/>
        </w:rPr>
        <w:t xml:space="preserve"> </w:t>
      </w:r>
      <w:r>
        <w:t>of</w:t>
      </w:r>
      <w:r>
        <w:rPr>
          <w:spacing w:val="-14"/>
        </w:rPr>
        <w:t xml:space="preserve"> </w:t>
      </w:r>
      <w:r>
        <w:t>other</w:t>
      </w:r>
      <w:r>
        <w:rPr>
          <w:spacing w:val="-13"/>
        </w:rPr>
        <w:t xml:space="preserve"> </w:t>
      </w:r>
      <w:r>
        <w:t>respondents" purportedly adjusted to the ex‐factory level,</w:t>
      </w:r>
      <w:r>
        <w:rPr>
          <w:vertAlign w:val="superscript"/>
        </w:rPr>
        <w:t>464</w:t>
      </w:r>
      <w:r>
        <w:rPr>
          <w:spacing w:val="40"/>
        </w:rPr>
        <w:t xml:space="preserve"> </w:t>
      </w:r>
      <w:r>
        <w:t>to calculate the normal value. The weighted average</w:t>
      </w:r>
      <w:r>
        <w:rPr>
          <w:spacing w:val="-13"/>
        </w:rPr>
        <w:t xml:space="preserve"> </w:t>
      </w:r>
      <w:r>
        <w:t>price</w:t>
      </w:r>
      <w:r>
        <w:rPr>
          <w:spacing w:val="-12"/>
        </w:rPr>
        <w:t xml:space="preserve"> </w:t>
      </w:r>
      <w:r>
        <w:t>of</w:t>
      </w:r>
      <w:r>
        <w:rPr>
          <w:spacing w:val="-12"/>
        </w:rPr>
        <w:t xml:space="preserve"> </w:t>
      </w:r>
      <w:r>
        <w:t>domestic</w:t>
      </w:r>
      <w:r>
        <w:rPr>
          <w:spacing w:val="-11"/>
        </w:rPr>
        <w:t xml:space="preserve"> </w:t>
      </w:r>
      <w:r>
        <w:t>sales</w:t>
      </w:r>
      <w:r>
        <w:rPr>
          <w:spacing w:val="-12"/>
        </w:rPr>
        <w:t xml:space="preserve"> </w:t>
      </w:r>
      <w:r>
        <w:t>of</w:t>
      </w:r>
      <w:r>
        <w:rPr>
          <w:spacing w:val="-12"/>
        </w:rPr>
        <w:t xml:space="preserve"> </w:t>
      </w:r>
      <w:r>
        <w:t>"other</w:t>
      </w:r>
      <w:r>
        <w:rPr>
          <w:spacing w:val="-13"/>
        </w:rPr>
        <w:t xml:space="preserve"> </w:t>
      </w:r>
      <w:r>
        <w:t>respondents,"</w:t>
      </w:r>
      <w:r>
        <w:rPr>
          <w:spacing w:val="-14"/>
        </w:rPr>
        <w:t xml:space="preserve"> </w:t>
      </w:r>
      <w:r>
        <w:t>who</w:t>
      </w:r>
      <w:r>
        <w:rPr>
          <w:spacing w:val="-12"/>
        </w:rPr>
        <w:t xml:space="preserve"> </w:t>
      </w:r>
      <w:r>
        <w:t>were</w:t>
      </w:r>
      <w:r>
        <w:rPr>
          <w:spacing w:val="-12"/>
        </w:rPr>
        <w:t xml:space="preserve"> </w:t>
      </w:r>
      <w:r>
        <w:t>not</w:t>
      </w:r>
      <w:r>
        <w:rPr>
          <w:spacing w:val="-12"/>
        </w:rPr>
        <w:t xml:space="preserve"> </w:t>
      </w:r>
      <w:r>
        <w:t>identified</w:t>
      </w:r>
      <w:r>
        <w:rPr>
          <w:spacing w:val="-12"/>
        </w:rPr>
        <w:t xml:space="preserve"> </w:t>
      </w:r>
      <w:r>
        <w:t>by</w:t>
      </w:r>
      <w:r>
        <w:rPr>
          <w:spacing w:val="-12"/>
        </w:rPr>
        <w:t xml:space="preserve"> </w:t>
      </w:r>
      <w:r>
        <w:t>MOFCOM, resulted in the absurd 116.2% margin of dumping for Swan Vintage.</w:t>
      </w:r>
    </w:p>
    <w:p w14:paraId="51DE8A3A" w14:textId="77777777" w:rsidR="0010369C" w:rsidRDefault="0010369C">
      <w:pPr>
        <w:pStyle w:val="BodyText"/>
        <w:rPr>
          <w:sz w:val="20"/>
        </w:rPr>
      </w:pPr>
    </w:p>
    <w:p w14:paraId="51DE8A3B" w14:textId="77777777" w:rsidR="0010369C" w:rsidRDefault="0010369C">
      <w:pPr>
        <w:pStyle w:val="BodyText"/>
        <w:rPr>
          <w:sz w:val="20"/>
        </w:rPr>
      </w:pPr>
    </w:p>
    <w:p w14:paraId="51DE8A3C" w14:textId="77777777" w:rsidR="0010369C" w:rsidRDefault="0010369C">
      <w:pPr>
        <w:pStyle w:val="BodyText"/>
        <w:rPr>
          <w:sz w:val="20"/>
        </w:rPr>
      </w:pPr>
    </w:p>
    <w:p w14:paraId="51DE8A3D" w14:textId="77777777" w:rsidR="0010369C" w:rsidRDefault="0010369C">
      <w:pPr>
        <w:pStyle w:val="BodyText"/>
        <w:rPr>
          <w:sz w:val="20"/>
        </w:rPr>
      </w:pPr>
    </w:p>
    <w:p w14:paraId="51DE8A3E" w14:textId="77777777" w:rsidR="0010369C" w:rsidRDefault="008E43AE">
      <w:pPr>
        <w:pStyle w:val="BodyText"/>
        <w:spacing w:before="6"/>
        <w:rPr>
          <w:sz w:val="25"/>
        </w:rPr>
      </w:pPr>
      <w:r>
        <w:pict w14:anchorId="51DEA315">
          <v:rect id="docshape886" o:spid="_x0000_s1430" style="position:absolute;margin-left:70.9pt;margin-top:16.8pt;width:2in;height:.8pt;z-index:-250883584;mso-wrap-distance-left:0;mso-wrap-distance-right:0;mso-position-horizontal-relative:page" fillcolor="black" stroked="f">
            <w10:wrap type="topAndBottom" anchorx="page"/>
          </v:rect>
        </w:pict>
      </w:r>
    </w:p>
    <w:p w14:paraId="51DE8A3F" w14:textId="77777777" w:rsidR="0010369C" w:rsidRDefault="008E43AE">
      <w:pPr>
        <w:spacing w:before="109"/>
        <w:ind w:left="238"/>
        <w:jc w:val="both"/>
        <w:rPr>
          <w:sz w:val="18"/>
        </w:rPr>
      </w:pPr>
      <w:r>
        <w:rPr>
          <w:sz w:val="18"/>
          <w:vertAlign w:val="superscript"/>
        </w:rPr>
        <w:t>458</w:t>
      </w:r>
      <w:r>
        <w:rPr>
          <w:spacing w:val="-9"/>
          <w:sz w:val="18"/>
        </w:rPr>
        <w:t xml:space="preserve"> </w:t>
      </w:r>
      <w:r>
        <w:rPr>
          <w:sz w:val="18"/>
        </w:rPr>
        <w:t>Anti‐Dumping</w:t>
      </w:r>
      <w:r>
        <w:rPr>
          <w:spacing w:val="-9"/>
          <w:sz w:val="18"/>
        </w:rPr>
        <w:t xml:space="preserve"> </w:t>
      </w:r>
      <w:r>
        <w:rPr>
          <w:sz w:val="18"/>
        </w:rPr>
        <w:t>Final</w:t>
      </w:r>
      <w:r>
        <w:rPr>
          <w:spacing w:val="-9"/>
          <w:sz w:val="18"/>
        </w:rPr>
        <w:t xml:space="preserve"> </w:t>
      </w:r>
      <w:r>
        <w:rPr>
          <w:sz w:val="18"/>
        </w:rPr>
        <w:t>Determination</w:t>
      </w:r>
      <w:r>
        <w:rPr>
          <w:spacing w:val="-8"/>
          <w:sz w:val="18"/>
        </w:rPr>
        <w:t xml:space="preserve"> </w:t>
      </w:r>
      <w:r>
        <w:rPr>
          <w:sz w:val="18"/>
        </w:rPr>
        <w:t>(Exhibit</w:t>
      </w:r>
      <w:r>
        <w:rPr>
          <w:spacing w:val="-9"/>
          <w:sz w:val="18"/>
        </w:rPr>
        <w:t xml:space="preserve"> </w:t>
      </w:r>
      <w:r>
        <w:rPr>
          <w:sz w:val="18"/>
        </w:rPr>
        <w:t>AUS‐2),</w:t>
      </w:r>
      <w:r>
        <w:rPr>
          <w:spacing w:val="-9"/>
          <w:sz w:val="18"/>
        </w:rPr>
        <w:t xml:space="preserve"> </w:t>
      </w:r>
      <w:r>
        <w:rPr>
          <w:sz w:val="18"/>
        </w:rPr>
        <w:t>p.</w:t>
      </w:r>
      <w:r>
        <w:rPr>
          <w:spacing w:val="-9"/>
          <w:sz w:val="18"/>
        </w:rPr>
        <w:t xml:space="preserve"> </w:t>
      </w:r>
      <w:r>
        <w:rPr>
          <w:spacing w:val="-5"/>
          <w:sz w:val="18"/>
        </w:rPr>
        <w:t>89.</w:t>
      </w:r>
    </w:p>
    <w:p w14:paraId="51DE8A40" w14:textId="77777777" w:rsidR="0010369C" w:rsidRDefault="008E43AE">
      <w:pPr>
        <w:ind w:left="238"/>
        <w:jc w:val="both"/>
        <w:rPr>
          <w:sz w:val="18"/>
        </w:rPr>
      </w:pPr>
      <w:r>
        <w:rPr>
          <w:sz w:val="18"/>
          <w:vertAlign w:val="superscript"/>
        </w:rPr>
        <w:t>459</w:t>
      </w:r>
      <w:r>
        <w:rPr>
          <w:spacing w:val="-9"/>
          <w:sz w:val="18"/>
        </w:rPr>
        <w:t xml:space="preserve"> </w:t>
      </w:r>
      <w:r>
        <w:rPr>
          <w:sz w:val="18"/>
        </w:rPr>
        <w:t>Anti‐Dumping</w:t>
      </w:r>
      <w:r>
        <w:rPr>
          <w:spacing w:val="-9"/>
          <w:sz w:val="18"/>
        </w:rPr>
        <w:t xml:space="preserve"> </w:t>
      </w:r>
      <w:r>
        <w:rPr>
          <w:sz w:val="18"/>
        </w:rPr>
        <w:t>Final</w:t>
      </w:r>
      <w:r>
        <w:rPr>
          <w:spacing w:val="-9"/>
          <w:sz w:val="18"/>
        </w:rPr>
        <w:t xml:space="preserve"> </w:t>
      </w:r>
      <w:r>
        <w:rPr>
          <w:sz w:val="18"/>
        </w:rPr>
        <w:t>Determination</w:t>
      </w:r>
      <w:r>
        <w:rPr>
          <w:spacing w:val="-8"/>
          <w:sz w:val="18"/>
        </w:rPr>
        <w:t xml:space="preserve"> </w:t>
      </w:r>
      <w:r>
        <w:rPr>
          <w:sz w:val="18"/>
        </w:rPr>
        <w:t>(Exhibit</w:t>
      </w:r>
      <w:r>
        <w:rPr>
          <w:spacing w:val="-9"/>
          <w:sz w:val="18"/>
        </w:rPr>
        <w:t xml:space="preserve"> </w:t>
      </w:r>
      <w:r>
        <w:rPr>
          <w:sz w:val="18"/>
        </w:rPr>
        <w:t>AUS‐2),</w:t>
      </w:r>
      <w:r>
        <w:rPr>
          <w:spacing w:val="-10"/>
          <w:sz w:val="18"/>
        </w:rPr>
        <w:t xml:space="preserve"> </w:t>
      </w:r>
      <w:r>
        <w:rPr>
          <w:sz w:val="18"/>
        </w:rPr>
        <w:t>pp.</w:t>
      </w:r>
      <w:r>
        <w:rPr>
          <w:spacing w:val="-9"/>
          <w:sz w:val="18"/>
        </w:rPr>
        <w:t xml:space="preserve"> </w:t>
      </w:r>
      <w:r>
        <w:rPr>
          <w:spacing w:val="-2"/>
          <w:sz w:val="18"/>
        </w:rPr>
        <w:t>90‐91.</w:t>
      </w:r>
    </w:p>
    <w:p w14:paraId="51DE8A41" w14:textId="77777777" w:rsidR="0010369C" w:rsidRDefault="008E43AE">
      <w:pPr>
        <w:ind w:left="238" w:right="5311"/>
        <w:jc w:val="both"/>
        <w:rPr>
          <w:sz w:val="18"/>
        </w:rPr>
      </w:pPr>
      <w:r>
        <w:rPr>
          <w:sz w:val="18"/>
          <w:vertAlign w:val="superscript"/>
        </w:rPr>
        <w:t>460</w:t>
      </w:r>
      <w:r>
        <w:rPr>
          <w:spacing w:val="-5"/>
          <w:sz w:val="18"/>
        </w:rPr>
        <w:t xml:space="preserve"> </w:t>
      </w:r>
      <w:r>
        <w:rPr>
          <w:sz w:val="18"/>
        </w:rPr>
        <w:t>Anti‐Dumping</w:t>
      </w:r>
      <w:r>
        <w:rPr>
          <w:spacing w:val="-5"/>
          <w:sz w:val="18"/>
        </w:rPr>
        <w:t xml:space="preserve"> </w:t>
      </w:r>
      <w:r>
        <w:rPr>
          <w:sz w:val="18"/>
        </w:rPr>
        <w:t>Final</w:t>
      </w:r>
      <w:r>
        <w:rPr>
          <w:spacing w:val="-5"/>
          <w:sz w:val="18"/>
        </w:rPr>
        <w:t xml:space="preserve"> </w:t>
      </w:r>
      <w:r>
        <w:rPr>
          <w:sz w:val="18"/>
        </w:rPr>
        <w:t>Determination</w:t>
      </w:r>
      <w:r>
        <w:rPr>
          <w:spacing w:val="-4"/>
          <w:sz w:val="18"/>
        </w:rPr>
        <w:t xml:space="preserve"> </w:t>
      </w:r>
      <w:r>
        <w:rPr>
          <w:sz w:val="18"/>
        </w:rPr>
        <w:t>(Exhibit</w:t>
      </w:r>
      <w:r>
        <w:rPr>
          <w:spacing w:val="-5"/>
          <w:sz w:val="18"/>
        </w:rPr>
        <w:t xml:space="preserve"> </w:t>
      </w:r>
      <w:r>
        <w:rPr>
          <w:sz w:val="18"/>
        </w:rPr>
        <w:t>AUS‐</w:t>
      </w:r>
      <w:r>
        <w:rPr>
          <w:sz w:val="18"/>
        </w:rPr>
        <w:t>2),</w:t>
      </w:r>
      <w:r>
        <w:rPr>
          <w:spacing w:val="-6"/>
          <w:sz w:val="18"/>
        </w:rPr>
        <w:t xml:space="preserve"> </w:t>
      </w:r>
      <w:r>
        <w:rPr>
          <w:sz w:val="18"/>
        </w:rPr>
        <w:t>p.</w:t>
      </w:r>
      <w:r>
        <w:rPr>
          <w:spacing w:val="-5"/>
          <w:sz w:val="18"/>
        </w:rPr>
        <w:t xml:space="preserve"> </w:t>
      </w:r>
      <w:r>
        <w:rPr>
          <w:sz w:val="18"/>
        </w:rPr>
        <w:t xml:space="preserve">91. </w:t>
      </w:r>
      <w:r>
        <w:rPr>
          <w:sz w:val="18"/>
          <w:vertAlign w:val="superscript"/>
        </w:rPr>
        <w:t>461</w:t>
      </w:r>
      <w:r>
        <w:rPr>
          <w:spacing w:val="-5"/>
          <w:sz w:val="18"/>
        </w:rPr>
        <w:t xml:space="preserve"> </w:t>
      </w:r>
      <w:r>
        <w:rPr>
          <w:sz w:val="18"/>
        </w:rPr>
        <w:t>Anti‐Dumping</w:t>
      </w:r>
      <w:r>
        <w:rPr>
          <w:spacing w:val="-5"/>
          <w:sz w:val="18"/>
        </w:rPr>
        <w:t xml:space="preserve"> </w:t>
      </w:r>
      <w:r>
        <w:rPr>
          <w:sz w:val="18"/>
        </w:rPr>
        <w:t>Final</w:t>
      </w:r>
      <w:r>
        <w:rPr>
          <w:spacing w:val="-5"/>
          <w:sz w:val="18"/>
        </w:rPr>
        <w:t xml:space="preserve"> </w:t>
      </w:r>
      <w:r>
        <w:rPr>
          <w:sz w:val="18"/>
        </w:rPr>
        <w:t>Determination</w:t>
      </w:r>
      <w:r>
        <w:rPr>
          <w:spacing w:val="-4"/>
          <w:sz w:val="18"/>
        </w:rPr>
        <w:t xml:space="preserve"> </w:t>
      </w:r>
      <w:r>
        <w:rPr>
          <w:sz w:val="18"/>
        </w:rPr>
        <w:t>(Exhibit</w:t>
      </w:r>
      <w:r>
        <w:rPr>
          <w:spacing w:val="-5"/>
          <w:sz w:val="18"/>
        </w:rPr>
        <w:t xml:space="preserve"> </w:t>
      </w:r>
      <w:r>
        <w:rPr>
          <w:sz w:val="18"/>
        </w:rPr>
        <w:t>AUS‐2),</w:t>
      </w:r>
      <w:r>
        <w:rPr>
          <w:spacing w:val="-6"/>
          <w:sz w:val="18"/>
        </w:rPr>
        <w:t xml:space="preserve"> </w:t>
      </w:r>
      <w:r>
        <w:rPr>
          <w:sz w:val="18"/>
        </w:rPr>
        <w:t>p.</w:t>
      </w:r>
      <w:r>
        <w:rPr>
          <w:spacing w:val="-5"/>
          <w:sz w:val="18"/>
        </w:rPr>
        <w:t xml:space="preserve"> </w:t>
      </w:r>
      <w:r>
        <w:rPr>
          <w:sz w:val="18"/>
        </w:rPr>
        <w:t xml:space="preserve">89. </w:t>
      </w:r>
      <w:r>
        <w:rPr>
          <w:sz w:val="18"/>
          <w:vertAlign w:val="superscript"/>
        </w:rPr>
        <w:t>462</w:t>
      </w:r>
      <w:r>
        <w:rPr>
          <w:spacing w:val="-5"/>
          <w:sz w:val="18"/>
        </w:rPr>
        <w:t xml:space="preserve"> </w:t>
      </w:r>
      <w:r>
        <w:rPr>
          <w:sz w:val="18"/>
        </w:rPr>
        <w:t>Anti‐Dumping</w:t>
      </w:r>
      <w:r>
        <w:rPr>
          <w:spacing w:val="-5"/>
          <w:sz w:val="18"/>
        </w:rPr>
        <w:t xml:space="preserve"> </w:t>
      </w:r>
      <w:r>
        <w:rPr>
          <w:sz w:val="18"/>
        </w:rPr>
        <w:t>Final</w:t>
      </w:r>
      <w:r>
        <w:rPr>
          <w:spacing w:val="-5"/>
          <w:sz w:val="18"/>
        </w:rPr>
        <w:t xml:space="preserve"> </w:t>
      </w:r>
      <w:r>
        <w:rPr>
          <w:sz w:val="18"/>
        </w:rPr>
        <w:t>Determination</w:t>
      </w:r>
      <w:r>
        <w:rPr>
          <w:spacing w:val="-4"/>
          <w:sz w:val="18"/>
        </w:rPr>
        <w:t xml:space="preserve"> </w:t>
      </w:r>
      <w:r>
        <w:rPr>
          <w:sz w:val="18"/>
        </w:rPr>
        <w:t>(Exhibit</w:t>
      </w:r>
      <w:r>
        <w:rPr>
          <w:spacing w:val="-5"/>
          <w:sz w:val="18"/>
        </w:rPr>
        <w:t xml:space="preserve"> </w:t>
      </w:r>
      <w:r>
        <w:rPr>
          <w:sz w:val="18"/>
        </w:rPr>
        <w:t>AUS‐2),</w:t>
      </w:r>
      <w:r>
        <w:rPr>
          <w:spacing w:val="-6"/>
          <w:sz w:val="18"/>
        </w:rPr>
        <w:t xml:space="preserve"> </w:t>
      </w:r>
      <w:r>
        <w:rPr>
          <w:sz w:val="18"/>
        </w:rPr>
        <w:t>p.</w:t>
      </w:r>
      <w:r>
        <w:rPr>
          <w:spacing w:val="-5"/>
          <w:sz w:val="18"/>
        </w:rPr>
        <w:t xml:space="preserve"> </w:t>
      </w:r>
      <w:r>
        <w:rPr>
          <w:sz w:val="18"/>
        </w:rPr>
        <w:t xml:space="preserve">91. </w:t>
      </w:r>
      <w:r>
        <w:rPr>
          <w:sz w:val="18"/>
          <w:vertAlign w:val="superscript"/>
        </w:rPr>
        <w:t>463</w:t>
      </w:r>
      <w:r>
        <w:rPr>
          <w:sz w:val="18"/>
        </w:rPr>
        <w:t xml:space="preserve"> See above, section II.C.</w:t>
      </w:r>
    </w:p>
    <w:p w14:paraId="51DE8A42" w14:textId="77777777" w:rsidR="0010369C" w:rsidRDefault="008E43AE">
      <w:pPr>
        <w:spacing w:before="1"/>
        <w:ind w:left="238"/>
        <w:jc w:val="both"/>
        <w:rPr>
          <w:sz w:val="18"/>
        </w:rPr>
      </w:pPr>
      <w:r>
        <w:rPr>
          <w:sz w:val="18"/>
          <w:vertAlign w:val="superscript"/>
        </w:rPr>
        <w:t>464</w:t>
      </w:r>
      <w:r>
        <w:rPr>
          <w:spacing w:val="-9"/>
          <w:sz w:val="18"/>
        </w:rPr>
        <w:t xml:space="preserve"> </w:t>
      </w:r>
      <w:r>
        <w:rPr>
          <w:sz w:val="18"/>
        </w:rPr>
        <w:t>Anti‐Dumping</w:t>
      </w:r>
      <w:r>
        <w:rPr>
          <w:spacing w:val="-9"/>
          <w:sz w:val="18"/>
        </w:rPr>
        <w:t xml:space="preserve"> </w:t>
      </w:r>
      <w:r>
        <w:rPr>
          <w:sz w:val="18"/>
        </w:rPr>
        <w:t>Final</w:t>
      </w:r>
      <w:r>
        <w:rPr>
          <w:spacing w:val="-9"/>
          <w:sz w:val="18"/>
        </w:rPr>
        <w:t xml:space="preserve"> </w:t>
      </w:r>
      <w:r>
        <w:rPr>
          <w:sz w:val="18"/>
        </w:rPr>
        <w:t>Determination</w:t>
      </w:r>
      <w:r>
        <w:rPr>
          <w:spacing w:val="-8"/>
          <w:sz w:val="18"/>
        </w:rPr>
        <w:t xml:space="preserve"> </w:t>
      </w:r>
      <w:r>
        <w:rPr>
          <w:sz w:val="18"/>
        </w:rPr>
        <w:t>(Exhibit</w:t>
      </w:r>
      <w:r>
        <w:rPr>
          <w:spacing w:val="-9"/>
          <w:sz w:val="18"/>
        </w:rPr>
        <w:t xml:space="preserve"> </w:t>
      </w:r>
      <w:r>
        <w:rPr>
          <w:sz w:val="18"/>
        </w:rPr>
        <w:t>AUS‐2),</w:t>
      </w:r>
      <w:r>
        <w:rPr>
          <w:spacing w:val="-10"/>
          <w:sz w:val="18"/>
        </w:rPr>
        <w:t xml:space="preserve"> </w:t>
      </w:r>
      <w:r>
        <w:rPr>
          <w:sz w:val="18"/>
        </w:rPr>
        <w:t>pp.</w:t>
      </w:r>
      <w:r>
        <w:rPr>
          <w:spacing w:val="-9"/>
          <w:sz w:val="18"/>
        </w:rPr>
        <w:t xml:space="preserve"> </w:t>
      </w:r>
      <w:r>
        <w:rPr>
          <w:spacing w:val="-2"/>
          <w:sz w:val="18"/>
        </w:rPr>
        <w:t>84‐85.</w:t>
      </w:r>
    </w:p>
    <w:p w14:paraId="51DE8A43" w14:textId="77777777" w:rsidR="0010369C" w:rsidRDefault="0010369C">
      <w:pPr>
        <w:jc w:val="both"/>
        <w:rPr>
          <w:sz w:val="18"/>
        </w:rPr>
        <w:sectPr w:rsidR="0010369C">
          <w:pgSz w:w="11910" w:h="16840"/>
          <w:pgMar w:top="880" w:right="800" w:bottom="980" w:left="1180" w:header="569" w:footer="788" w:gutter="0"/>
          <w:cols w:space="720"/>
        </w:sectPr>
      </w:pPr>
    </w:p>
    <w:p w14:paraId="51DE8A44" w14:textId="77777777" w:rsidR="0010369C" w:rsidRDefault="008E43AE">
      <w:pPr>
        <w:tabs>
          <w:tab w:val="left" w:pos="6426"/>
        </w:tabs>
        <w:ind w:left="238"/>
        <w:rPr>
          <w:sz w:val="20"/>
        </w:rPr>
      </w:pPr>
      <w:r>
        <w:rPr>
          <w:i/>
          <w:sz w:val="20"/>
        </w:rPr>
        <w:lastRenderedPageBreak/>
        <w:t>China</w:t>
      </w:r>
      <w:r>
        <w:rPr>
          <w:i/>
          <w:spacing w:val="-5"/>
          <w:sz w:val="20"/>
        </w:rPr>
        <w:t xml:space="preserve"> </w:t>
      </w:r>
      <w:r>
        <w:rPr>
          <w:i/>
          <w:sz w:val="20"/>
        </w:rPr>
        <w:t>–</w:t>
      </w:r>
      <w:r>
        <w:rPr>
          <w:i/>
          <w:spacing w:val="-5"/>
          <w:sz w:val="20"/>
        </w:rPr>
        <w:t xml:space="preserve"> </w:t>
      </w:r>
      <w:r>
        <w:rPr>
          <w:i/>
          <w:sz w:val="20"/>
        </w:rPr>
        <w:t>Anti‐Dumping</w:t>
      </w:r>
      <w:r>
        <w:rPr>
          <w:i/>
          <w:spacing w:val="-4"/>
          <w:sz w:val="20"/>
        </w:rPr>
        <w:t xml:space="preserve"> </w:t>
      </w:r>
      <w:r>
        <w:rPr>
          <w:i/>
          <w:sz w:val="20"/>
        </w:rPr>
        <w:t>and</w:t>
      </w:r>
      <w:r>
        <w:rPr>
          <w:i/>
          <w:spacing w:val="-5"/>
          <w:sz w:val="20"/>
        </w:rPr>
        <w:t xml:space="preserve"> </w:t>
      </w:r>
      <w:r>
        <w:rPr>
          <w:i/>
          <w:sz w:val="20"/>
        </w:rPr>
        <w:t>Countervailing</w:t>
      </w:r>
      <w:r>
        <w:rPr>
          <w:i/>
          <w:spacing w:val="-5"/>
          <w:sz w:val="20"/>
        </w:rPr>
        <w:t xml:space="preserve"> </w:t>
      </w:r>
      <w:r>
        <w:rPr>
          <w:i/>
          <w:sz w:val="20"/>
        </w:rPr>
        <w:t>Duty</w:t>
      </w:r>
      <w:r>
        <w:rPr>
          <w:i/>
          <w:spacing w:val="-4"/>
          <w:sz w:val="20"/>
        </w:rPr>
        <w:t xml:space="preserve"> </w:t>
      </w:r>
      <w:r>
        <w:rPr>
          <w:i/>
          <w:spacing w:val="-2"/>
          <w:sz w:val="20"/>
        </w:rPr>
        <w:t>Measures</w:t>
      </w:r>
      <w:r>
        <w:rPr>
          <w:i/>
          <w:sz w:val="20"/>
        </w:rPr>
        <w:tab/>
      </w:r>
      <w:r>
        <w:rPr>
          <w:sz w:val="20"/>
        </w:rPr>
        <w:t>Australia's</w:t>
      </w:r>
      <w:r>
        <w:rPr>
          <w:spacing w:val="-7"/>
          <w:sz w:val="20"/>
        </w:rPr>
        <w:t xml:space="preserve"> </w:t>
      </w:r>
      <w:r>
        <w:rPr>
          <w:sz w:val="20"/>
        </w:rPr>
        <w:t>First</w:t>
      </w:r>
      <w:r>
        <w:rPr>
          <w:spacing w:val="-2"/>
          <w:sz w:val="20"/>
        </w:rPr>
        <w:t xml:space="preserve"> </w:t>
      </w:r>
      <w:r>
        <w:rPr>
          <w:sz w:val="20"/>
        </w:rPr>
        <w:t>Written</w:t>
      </w:r>
      <w:r>
        <w:rPr>
          <w:spacing w:val="-2"/>
          <w:sz w:val="20"/>
        </w:rPr>
        <w:t xml:space="preserve"> Submission</w:t>
      </w:r>
    </w:p>
    <w:p w14:paraId="51DE8A45" w14:textId="77777777" w:rsidR="0010369C" w:rsidRDefault="008E43AE">
      <w:pPr>
        <w:tabs>
          <w:tab w:val="left" w:pos="8228"/>
        </w:tabs>
        <w:spacing w:before="1"/>
        <w:ind w:left="239"/>
        <w:rPr>
          <w:sz w:val="20"/>
        </w:rPr>
      </w:pPr>
      <w:r>
        <w:rPr>
          <w:i/>
          <w:sz w:val="20"/>
        </w:rPr>
        <w:t>on</w:t>
      </w:r>
      <w:r>
        <w:rPr>
          <w:i/>
          <w:spacing w:val="-1"/>
          <w:sz w:val="20"/>
        </w:rPr>
        <w:t xml:space="preserve"> </w:t>
      </w:r>
      <w:r>
        <w:rPr>
          <w:i/>
          <w:sz w:val="20"/>
        </w:rPr>
        <w:t>Wine</w:t>
      </w:r>
      <w:r>
        <w:rPr>
          <w:i/>
          <w:spacing w:val="-1"/>
          <w:sz w:val="20"/>
        </w:rPr>
        <w:t xml:space="preserve"> </w:t>
      </w:r>
      <w:r>
        <w:rPr>
          <w:i/>
          <w:sz w:val="20"/>
        </w:rPr>
        <w:t>from</w:t>
      </w:r>
      <w:r>
        <w:rPr>
          <w:i/>
          <w:spacing w:val="-3"/>
          <w:sz w:val="20"/>
        </w:rPr>
        <w:t xml:space="preserve"> </w:t>
      </w:r>
      <w:r>
        <w:rPr>
          <w:i/>
          <w:sz w:val="20"/>
        </w:rPr>
        <w:t>Australia</w:t>
      </w:r>
      <w:r>
        <w:rPr>
          <w:i/>
          <w:spacing w:val="-1"/>
          <w:sz w:val="20"/>
        </w:rPr>
        <w:t xml:space="preserve"> </w:t>
      </w:r>
      <w:r>
        <w:rPr>
          <w:spacing w:val="-2"/>
          <w:sz w:val="20"/>
        </w:rPr>
        <w:t>(DS602)</w:t>
      </w:r>
      <w:r>
        <w:rPr>
          <w:sz w:val="20"/>
        </w:rPr>
        <w:tab/>
        <w:t>29</w:t>
      </w:r>
      <w:r>
        <w:rPr>
          <w:spacing w:val="-1"/>
          <w:sz w:val="20"/>
        </w:rPr>
        <w:t xml:space="preserve"> </w:t>
      </w:r>
      <w:r>
        <w:rPr>
          <w:sz w:val="20"/>
        </w:rPr>
        <w:t>April</w:t>
      </w:r>
      <w:r>
        <w:rPr>
          <w:spacing w:val="-2"/>
          <w:sz w:val="20"/>
        </w:rPr>
        <w:t xml:space="preserve"> </w:t>
      </w:r>
      <w:r>
        <w:rPr>
          <w:spacing w:val="-4"/>
          <w:sz w:val="20"/>
        </w:rPr>
        <w:t>2022</w:t>
      </w:r>
    </w:p>
    <w:p w14:paraId="51DE8A46" w14:textId="77777777" w:rsidR="0010369C" w:rsidRDefault="008E43AE">
      <w:pPr>
        <w:pStyle w:val="ListParagraph"/>
        <w:numPr>
          <w:ilvl w:val="4"/>
          <w:numId w:val="75"/>
        </w:numPr>
        <w:tabs>
          <w:tab w:val="left" w:pos="4493"/>
          <w:tab w:val="left" w:pos="4494"/>
        </w:tabs>
        <w:spacing w:before="35"/>
        <w:ind w:hanging="852"/>
        <w:rPr>
          <w:i/>
          <w:sz w:val="24"/>
        </w:rPr>
      </w:pPr>
      <w:r>
        <w:rPr>
          <w:i/>
          <w:sz w:val="24"/>
        </w:rPr>
        <w:t>Product</w:t>
      </w:r>
      <w:r>
        <w:rPr>
          <w:i/>
          <w:spacing w:val="-9"/>
          <w:sz w:val="24"/>
        </w:rPr>
        <w:t xml:space="preserve"> </w:t>
      </w:r>
      <w:r>
        <w:rPr>
          <w:i/>
          <w:sz w:val="24"/>
        </w:rPr>
        <w:t>control</w:t>
      </w:r>
      <w:r>
        <w:rPr>
          <w:i/>
          <w:spacing w:val="-8"/>
          <w:sz w:val="24"/>
        </w:rPr>
        <w:t xml:space="preserve"> </w:t>
      </w:r>
      <w:r>
        <w:rPr>
          <w:i/>
          <w:spacing w:val="-2"/>
          <w:sz w:val="24"/>
        </w:rPr>
        <w:t>codes</w:t>
      </w:r>
    </w:p>
    <w:p w14:paraId="51DE8A47" w14:textId="77777777" w:rsidR="0010369C" w:rsidRDefault="0010369C">
      <w:pPr>
        <w:pStyle w:val="BodyText"/>
        <w:spacing w:before="9"/>
        <w:rPr>
          <w:i/>
          <w:sz w:val="20"/>
        </w:rPr>
      </w:pPr>
    </w:p>
    <w:p w14:paraId="51DE8A48" w14:textId="77777777" w:rsidR="0010369C" w:rsidRDefault="008E43AE">
      <w:pPr>
        <w:pStyle w:val="BodyText"/>
        <w:spacing w:before="52" w:line="360" w:lineRule="auto"/>
        <w:ind w:left="238" w:right="615" w:firstLine="850"/>
        <w:jc w:val="both"/>
      </w:pPr>
      <w:r>
        <w:rPr>
          <w:noProof/>
        </w:rPr>
        <w:drawing>
          <wp:anchor distT="0" distB="0" distL="0" distR="0" simplePos="0" relativeHeight="251069952" behindDoc="1" locked="0" layoutInCell="1" allowOverlap="1" wp14:anchorId="51DEA316" wp14:editId="51DEA317">
            <wp:simplePos x="0" y="0"/>
            <wp:positionH relativeFrom="page">
              <wp:posOffset>899160</wp:posOffset>
            </wp:positionH>
            <wp:positionV relativeFrom="paragraph">
              <wp:posOffset>81357</wp:posOffset>
            </wp:positionV>
            <wp:extent cx="265175" cy="103631"/>
            <wp:effectExtent l="0" t="0" r="0" b="0"/>
            <wp:wrapNone/>
            <wp:docPr id="857" name="image4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 name="image439.png"/>
                    <pic:cNvPicPr/>
                  </pic:nvPicPr>
                  <pic:blipFill>
                    <a:blip r:embed="rId577" cstate="print"/>
                    <a:stretch>
                      <a:fillRect/>
                    </a:stretch>
                  </pic:blipFill>
                  <pic:spPr>
                    <a:xfrm>
                      <a:off x="0" y="0"/>
                      <a:ext cx="265175" cy="103631"/>
                    </a:xfrm>
                    <a:prstGeom prst="rect">
                      <a:avLst/>
                    </a:prstGeom>
                  </pic:spPr>
                </pic:pic>
              </a:graphicData>
            </a:graphic>
          </wp:anchor>
        </w:drawing>
      </w:r>
      <w:r>
        <w:t>With</w:t>
      </w:r>
      <w:r>
        <w:rPr>
          <w:spacing w:val="-5"/>
        </w:rPr>
        <w:t xml:space="preserve"> </w:t>
      </w:r>
      <w:r>
        <w:t>respect</w:t>
      </w:r>
      <w:r>
        <w:rPr>
          <w:spacing w:val="-6"/>
        </w:rPr>
        <w:t xml:space="preserve"> </w:t>
      </w:r>
      <w:r>
        <w:t>to</w:t>
      </w:r>
      <w:r>
        <w:rPr>
          <w:spacing w:val="-5"/>
        </w:rPr>
        <w:t xml:space="preserve"> </w:t>
      </w:r>
      <w:r>
        <w:t>the</w:t>
      </w:r>
      <w:r>
        <w:rPr>
          <w:spacing w:val="-4"/>
        </w:rPr>
        <w:t xml:space="preserve"> </w:t>
      </w:r>
      <w:r>
        <w:t>reporting</w:t>
      </w:r>
      <w:r>
        <w:rPr>
          <w:spacing w:val="-6"/>
        </w:rPr>
        <w:t xml:space="preserve"> </w:t>
      </w:r>
      <w:r>
        <w:t>of</w:t>
      </w:r>
      <w:r>
        <w:rPr>
          <w:spacing w:val="-5"/>
        </w:rPr>
        <w:t xml:space="preserve"> </w:t>
      </w:r>
      <w:r>
        <w:t>costs</w:t>
      </w:r>
      <w:r>
        <w:rPr>
          <w:spacing w:val="-5"/>
        </w:rPr>
        <w:t xml:space="preserve"> </w:t>
      </w:r>
      <w:r>
        <w:t>and</w:t>
      </w:r>
      <w:r>
        <w:rPr>
          <w:spacing w:val="-5"/>
        </w:rPr>
        <w:t xml:space="preserve"> </w:t>
      </w:r>
      <w:r>
        <w:t>expenses</w:t>
      </w:r>
      <w:r>
        <w:rPr>
          <w:spacing w:val="-6"/>
        </w:rPr>
        <w:t xml:space="preserve"> </w:t>
      </w:r>
      <w:r>
        <w:t>information,</w:t>
      </w:r>
      <w:r>
        <w:rPr>
          <w:spacing w:val="-4"/>
        </w:rPr>
        <w:t xml:space="preserve"> </w:t>
      </w:r>
      <w:r>
        <w:t>MOFCOM</w:t>
      </w:r>
      <w:r>
        <w:rPr>
          <w:spacing w:val="-5"/>
        </w:rPr>
        <w:t xml:space="preserve"> </w:t>
      </w:r>
      <w:r>
        <w:t>stated</w:t>
      </w:r>
      <w:r>
        <w:rPr>
          <w:spacing w:val="-6"/>
        </w:rPr>
        <w:t xml:space="preserve"> </w:t>
      </w:r>
      <w:r>
        <w:t>in the Final Determination that Swan Vintage:</w:t>
      </w:r>
    </w:p>
    <w:p w14:paraId="51DE8A49" w14:textId="77777777" w:rsidR="0010369C" w:rsidRDefault="008E43AE">
      <w:pPr>
        <w:pStyle w:val="ListParagraph"/>
        <w:numPr>
          <w:ilvl w:val="0"/>
          <w:numId w:val="9"/>
        </w:numPr>
        <w:tabs>
          <w:tab w:val="left" w:pos="1939"/>
          <w:tab w:val="left" w:pos="1940"/>
        </w:tabs>
        <w:spacing w:before="161" w:line="357" w:lineRule="auto"/>
        <w:ind w:right="614"/>
        <w:rPr>
          <w:sz w:val="24"/>
        </w:rPr>
      </w:pPr>
      <w:r>
        <w:rPr>
          <w:sz w:val="24"/>
        </w:rPr>
        <w:t>"[R]eported the costs neither in accordance with product control codes given in the questionnaire nor in line with JDE codes commonly used in its daily operations";</w:t>
      </w:r>
      <w:r>
        <w:rPr>
          <w:sz w:val="24"/>
          <w:vertAlign w:val="superscript"/>
        </w:rPr>
        <w:t>465</w:t>
      </w:r>
      <w:r>
        <w:rPr>
          <w:sz w:val="24"/>
        </w:rPr>
        <w:t xml:space="preserve"> and</w:t>
      </w:r>
    </w:p>
    <w:p w14:paraId="51DE8A4A" w14:textId="77777777" w:rsidR="0010369C" w:rsidRDefault="008E43AE">
      <w:pPr>
        <w:pStyle w:val="ListParagraph"/>
        <w:numPr>
          <w:ilvl w:val="0"/>
          <w:numId w:val="9"/>
        </w:numPr>
        <w:tabs>
          <w:tab w:val="left" w:pos="1939"/>
          <w:tab w:val="left" w:pos="1941"/>
        </w:tabs>
        <w:spacing w:before="128" w:line="357" w:lineRule="auto"/>
        <w:ind w:right="613"/>
        <w:rPr>
          <w:sz w:val="24"/>
        </w:rPr>
      </w:pPr>
      <w:r>
        <w:rPr>
          <w:sz w:val="24"/>
        </w:rPr>
        <w:t>"[Reported costs] based on product lev</w:t>
      </w:r>
      <w:r>
        <w:rPr>
          <w:sz w:val="24"/>
        </w:rPr>
        <w:t>el only [that] could not reasonably reflect</w:t>
      </w:r>
      <w:r>
        <w:rPr>
          <w:spacing w:val="-14"/>
          <w:sz w:val="24"/>
        </w:rPr>
        <w:t xml:space="preserve"> </w:t>
      </w:r>
      <w:r>
        <w:rPr>
          <w:sz w:val="24"/>
        </w:rPr>
        <w:t>the</w:t>
      </w:r>
      <w:r>
        <w:rPr>
          <w:spacing w:val="-12"/>
          <w:sz w:val="24"/>
        </w:rPr>
        <w:t xml:space="preserve"> </w:t>
      </w:r>
      <w:r>
        <w:rPr>
          <w:sz w:val="24"/>
        </w:rPr>
        <w:t>production</w:t>
      </w:r>
      <w:r>
        <w:rPr>
          <w:spacing w:val="-13"/>
          <w:sz w:val="24"/>
        </w:rPr>
        <w:t xml:space="preserve"> </w:t>
      </w:r>
      <w:r>
        <w:rPr>
          <w:sz w:val="24"/>
        </w:rPr>
        <w:t>and</w:t>
      </w:r>
      <w:r>
        <w:rPr>
          <w:spacing w:val="-13"/>
          <w:sz w:val="24"/>
        </w:rPr>
        <w:t xml:space="preserve"> </w:t>
      </w:r>
      <w:r>
        <w:rPr>
          <w:sz w:val="24"/>
        </w:rPr>
        <w:t>sales</w:t>
      </w:r>
      <w:r>
        <w:rPr>
          <w:spacing w:val="-13"/>
          <w:sz w:val="24"/>
        </w:rPr>
        <w:t xml:space="preserve"> </w:t>
      </w:r>
      <w:r>
        <w:rPr>
          <w:sz w:val="24"/>
        </w:rPr>
        <w:t>costs</w:t>
      </w:r>
      <w:r>
        <w:rPr>
          <w:spacing w:val="-14"/>
          <w:sz w:val="24"/>
        </w:rPr>
        <w:t xml:space="preserve"> </w:t>
      </w:r>
      <w:r>
        <w:rPr>
          <w:sz w:val="24"/>
        </w:rPr>
        <w:t>of</w:t>
      </w:r>
      <w:r>
        <w:rPr>
          <w:spacing w:val="-12"/>
          <w:sz w:val="24"/>
        </w:rPr>
        <w:t xml:space="preserve"> </w:t>
      </w:r>
      <w:r>
        <w:rPr>
          <w:sz w:val="24"/>
        </w:rPr>
        <w:t>the</w:t>
      </w:r>
      <w:r>
        <w:rPr>
          <w:spacing w:val="-13"/>
          <w:sz w:val="24"/>
        </w:rPr>
        <w:t xml:space="preserve"> </w:t>
      </w:r>
      <w:r>
        <w:rPr>
          <w:sz w:val="24"/>
        </w:rPr>
        <w:t>product</w:t>
      </w:r>
      <w:r>
        <w:rPr>
          <w:spacing w:val="-13"/>
          <w:sz w:val="24"/>
        </w:rPr>
        <w:t xml:space="preserve"> </w:t>
      </w:r>
      <w:r>
        <w:rPr>
          <w:sz w:val="24"/>
        </w:rPr>
        <w:t>under</w:t>
      </w:r>
      <w:r>
        <w:rPr>
          <w:spacing w:val="-13"/>
          <w:sz w:val="24"/>
        </w:rPr>
        <w:t xml:space="preserve"> </w:t>
      </w:r>
      <w:r>
        <w:rPr>
          <w:sz w:val="24"/>
        </w:rPr>
        <w:t>investigation</w:t>
      </w:r>
      <w:r>
        <w:rPr>
          <w:spacing w:val="-12"/>
          <w:sz w:val="24"/>
        </w:rPr>
        <w:t xml:space="preserve"> </w:t>
      </w:r>
      <w:r>
        <w:rPr>
          <w:sz w:val="24"/>
        </w:rPr>
        <w:t>and like products".</w:t>
      </w:r>
      <w:r>
        <w:rPr>
          <w:sz w:val="24"/>
          <w:vertAlign w:val="superscript"/>
        </w:rPr>
        <w:t>466</w:t>
      </w:r>
    </w:p>
    <w:p w14:paraId="51DE8A4B" w14:textId="77777777" w:rsidR="0010369C" w:rsidRDefault="008E43AE">
      <w:pPr>
        <w:pStyle w:val="BodyText"/>
        <w:spacing w:before="128" w:line="360" w:lineRule="auto"/>
        <w:ind w:left="238" w:right="614" w:firstLine="851"/>
      </w:pPr>
      <w:r>
        <w:rPr>
          <w:noProof/>
        </w:rPr>
        <w:drawing>
          <wp:anchor distT="0" distB="0" distL="0" distR="0" simplePos="0" relativeHeight="251070976" behindDoc="1" locked="0" layoutInCell="1" allowOverlap="1" wp14:anchorId="51DEA318" wp14:editId="51DEA319">
            <wp:simplePos x="0" y="0"/>
            <wp:positionH relativeFrom="page">
              <wp:posOffset>899160</wp:posOffset>
            </wp:positionH>
            <wp:positionV relativeFrom="paragraph">
              <wp:posOffset>128855</wp:posOffset>
            </wp:positionV>
            <wp:extent cx="265175" cy="103631"/>
            <wp:effectExtent l="0" t="0" r="0" b="0"/>
            <wp:wrapNone/>
            <wp:docPr id="859" name="image4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 name="image440.png"/>
                    <pic:cNvPicPr/>
                  </pic:nvPicPr>
                  <pic:blipFill>
                    <a:blip r:embed="rId578" cstate="print"/>
                    <a:stretch>
                      <a:fillRect/>
                    </a:stretch>
                  </pic:blipFill>
                  <pic:spPr>
                    <a:xfrm>
                      <a:off x="0" y="0"/>
                      <a:ext cx="265175" cy="103631"/>
                    </a:xfrm>
                    <a:prstGeom prst="rect">
                      <a:avLst/>
                    </a:prstGeom>
                  </pic:spPr>
                </pic:pic>
              </a:graphicData>
            </a:graphic>
          </wp:anchor>
        </w:drawing>
      </w:r>
      <w:r>
        <w:t>MOFCOM</w:t>
      </w:r>
      <w:r>
        <w:rPr>
          <w:spacing w:val="31"/>
        </w:rPr>
        <w:t xml:space="preserve"> </w:t>
      </w:r>
      <w:r>
        <w:t>did</w:t>
      </w:r>
      <w:r>
        <w:rPr>
          <w:spacing w:val="31"/>
        </w:rPr>
        <w:t xml:space="preserve"> </w:t>
      </w:r>
      <w:r>
        <w:t>not</w:t>
      </w:r>
      <w:r>
        <w:rPr>
          <w:spacing w:val="31"/>
        </w:rPr>
        <w:t xml:space="preserve"> </w:t>
      </w:r>
      <w:r>
        <w:t>specify</w:t>
      </w:r>
      <w:r>
        <w:rPr>
          <w:spacing w:val="31"/>
        </w:rPr>
        <w:t xml:space="preserve"> </w:t>
      </w:r>
      <w:r>
        <w:t>which</w:t>
      </w:r>
      <w:r>
        <w:rPr>
          <w:spacing w:val="30"/>
        </w:rPr>
        <w:t xml:space="preserve"> </w:t>
      </w:r>
      <w:r>
        <w:t>forms</w:t>
      </w:r>
      <w:r>
        <w:rPr>
          <w:spacing w:val="31"/>
        </w:rPr>
        <w:t xml:space="preserve"> </w:t>
      </w:r>
      <w:r>
        <w:t>submitted</w:t>
      </w:r>
      <w:r>
        <w:rPr>
          <w:spacing w:val="31"/>
        </w:rPr>
        <w:t xml:space="preserve"> </w:t>
      </w:r>
      <w:r>
        <w:t>by</w:t>
      </w:r>
      <w:r>
        <w:rPr>
          <w:spacing w:val="31"/>
        </w:rPr>
        <w:t xml:space="preserve"> </w:t>
      </w:r>
      <w:r>
        <w:t>Swan</w:t>
      </w:r>
      <w:r>
        <w:rPr>
          <w:spacing w:val="31"/>
        </w:rPr>
        <w:t xml:space="preserve"> </w:t>
      </w:r>
      <w:r>
        <w:t>Vintage</w:t>
      </w:r>
      <w:r>
        <w:rPr>
          <w:spacing w:val="32"/>
        </w:rPr>
        <w:t xml:space="preserve"> </w:t>
      </w:r>
      <w:r>
        <w:t>as</w:t>
      </w:r>
      <w:r>
        <w:rPr>
          <w:spacing w:val="30"/>
        </w:rPr>
        <w:t xml:space="preserve"> </w:t>
      </w:r>
      <w:r>
        <w:t>part</w:t>
      </w:r>
      <w:r>
        <w:rPr>
          <w:spacing w:val="31"/>
        </w:rPr>
        <w:t xml:space="preserve"> </w:t>
      </w:r>
      <w:r>
        <w:t>of</w:t>
      </w:r>
      <w:r>
        <w:rPr>
          <w:spacing w:val="31"/>
        </w:rPr>
        <w:t xml:space="preserve"> </w:t>
      </w:r>
      <w:r>
        <w:t>the investigation contained the above purported deficiencies.</w:t>
      </w:r>
    </w:p>
    <w:p w14:paraId="51DE8A4C" w14:textId="77777777" w:rsidR="0010369C" w:rsidRDefault="0010369C">
      <w:pPr>
        <w:pStyle w:val="BodyText"/>
        <w:spacing w:before="10"/>
        <w:rPr>
          <w:sz w:val="8"/>
        </w:rPr>
      </w:pPr>
    </w:p>
    <w:p w14:paraId="51DE8A4D" w14:textId="77777777" w:rsidR="0010369C" w:rsidRDefault="008E43AE">
      <w:pPr>
        <w:pStyle w:val="BodyText"/>
        <w:spacing w:before="52" w:line="360" w:lineRule="auto"/>
        <w:ind w:left="237" w:right="613" w:firstLine="852"/>
        <w:jc w:val="both"/>
      </w:pPr>
      <w:r>
        <w:rPr>
          <w:noProof/>
        </w:rPr>
        <w:drawing>
          <wp:anchor distT="0" distB="0" distL="0" distR="0" simplePos="0" relativeHeight="251072000" behindDoc="1" locked="0" layoutInCell="1" allowOverlap="1" wp14:anchorId="51DEA31A" wp14:editId="51DEA31B">
            <wp:simplePos x="0" y="0"/>
            <wp:positionH relativeFrom="page">
              <wp:posOffset>899160</wp:posOffset>
            </wp:positionH>
            <wp:positionV relativeFrom="paragraph">
              <wp:posOffset>76785</wp:posOffset>
            </wp:positionV>
            <wp:extent cx="265175" cy="106679"/>
            <wp:effectExtent l="0" t="0" r="0" b="0"/>
            <wp:wrapNone/>
            <wp:docPr id="861" name="image4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 name="image441.png"/>
                    <pic:cNvPicPr/>
                  </pic:nvPicPr>
                  <pic:blipFill>
                    <a:blip r:embed="rId579" cstate="print"/>
                    <a:stretch>
                      <a:fillRect/>
                    </a:stretch>
                  </pic:blipFill>
                  <pic:spPr>
                    <a:xfrm>
                      <a:off x="0" y="0"/>
                      <a:ext cx="265175" cy="106679"/>
                    </a:xfrm>
                    <a:prstGeom prst="rect">
                      <a:avLst/>
                    </a:prstGeom>
                  </pic:spPr>
                </pic:pic>
              </a:graphicData>
            </a:graphic>
          </wp:anchor>
        </w:drawing>
      </w:r>
      <w:r>
        <w:t>Australia submits that Swan Vintage provided extensive cost and expenses data which were verifiable by reference to its financial systems,</w:t>
      </w:r>
      <w:r>
        <w:rPr>
          <w:vertAlign w:val="superscript"/>
        </w:rPr>
        <w:t>467</w:t>
      </w:r>
      <w:r>
        <w:rPr>
          <w:spacing w:val="40"/>
        </w:rPr>
        <w:t xml:space="preserve"> </w:t>
      </w:r>
      <w:r>
        <w:t>and which followed the Australian industry standard of wine classification. As Swan Vintage stated in its response</w:t>
      </w:r>
      <w:r>
        <w:t xml:space="preserve"> to the Final Disclosure, the "18‐digit product control number required by [MOFCOM] conflicts with industry norms in many ways", and thus producers were "unlikely to manage their daily accounts in accordance with the product control numbers established by </w:t>
      </w:r>
      <w:r>
        <w:t>[MOFCOM]".</w:t>
      </w:r>
      <w:r>
        <w:rPr>
          <w:vertAlign w:val="superscript"/>
        </w:rPr>
        <w:t>468</w:t>
      </w:r>
      <w:r>
        <w:t xml:space="preserve"> Swan Vintage relied upon the "Clarification Letter on Product Control Numbers in the Questionnaire for Relevant Foreign Exporters or Producers in the Anti‐Dumping Case" submitted by Treasury Wines in October 2020 as part of the investigation.</w:t>
      </w:r>
      <w:r>
        <w:rPr>
          <w:vertAlign w:val="superscript"/>
        </w:rPr>
        <w:t>469</w:t>
      </w:r>
    </w:p>
    <w:p w14:paraId="51DE8A4E" w14:textId="77777777" w:rsidR="0010369C" w:rsidRDefault="0010369C">
      <w:pPr>
        <w:pStyle w:val="BodyText"/>
        <w:spacing w:before="11"/>
        <w:rPr>
          <w:sz w:val="8"/>
        </w:rPr>
      </w:pPr>
    </w:p>
    <w:p w14:paraId="51DE8A4F" w14:textId="77777777" w:rsidR="0010369C" w:rsidRDefault="008E43AE">
      <w:pPr>
        <w:pStyle w:val="BodyText"/>
        <w:spacing w:before="52" w:line="360" w:lineRule="auto"/>
        <w:ind w:left="237" w:right="613" w:firstLine="852"/>
        <w:jc w:val="both"/>
      </w:pPr>
      <w:r>
        <w:rPr>
          <w:noProof/>
        </w:rPr>
        <w:drawing>
          <wp:anchor distT="0" distB="0" distL="0" distR="0" simplePos="0" relativeHeight="251073024" behindDoc="1" locked="0" layoutInCell="1" allowOverlap="1" wp14:anchorId="51DEA31C" wp14:editId="51DEA31D">
            <wp:simplePos x="0" y="0"/>
            <wp:positionH relativeFrom="page">
              <wp:posOffset>899160</wp:posOffset>
            </wp:positionH>
            <wp:positionV relativeFrom="paragraph">
              <wp:posOffset>81357</wp:posOffset>
            </wp:positionV>
            <wp:extent cx="265175" cy="103631"/>
            <wp:effectExtent l="0" t="0" r="0" b="0"/>
            <wp:wrapNone/>
            <wp:docPr id="863" name="image4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 name="image442.png"/>
                    <pic:cNvPicPr/>
                  </pic:nvPicPr>
                  <pic:blipFill>
                    <a:blip r:embed="rId580" cstate="print"/>
                    <a:stretch>
                      <a:fillRect/>
                    </a:stretch>
                  </pic:blipFill>
                  <pic:spPr>
                    <a:xfrm>
                      <a:off x="0" y="0"/>
                      <a:ext cx="265175" cy="103631"/>
                    </a:xfrm>
                    <a:prstGeom prst="rect">
                      <a:avLst/>
                    </a:prstGeom>
                  </pic:spPr>
                </pic:pic>
              </a:graphicData>
            </a:graphic>
          </wp:anchor>
        </w:drawing>
      </w:r>
      <w:r>
        <w:t>Swan Vintage also fully cooperated in the investigation and, where concerns were raised by MOFCOM, Swan Vintage used its best efforts to respond to MOFCOM's concerns and provide it with supplementary information. In particular, Swan Vintage submitted</w:t>
      </w:r>
      <w:r>
        <w:t xml:space="preserve"> Annexes 1 to 3 as part of its response to the Preliminary Determination,</w:t>
      </w:r>
      <w:r>
        <w:rPr>
          <w:vertAlign w:val="superscript"/>
        </w:rPr>
        <w:t>470</w:t>
      </w:r>
      <w:r>
        <w:t xml:space="preserve"> sought to match its</w:t>
      </w:r>
      <w:r>
        <w:rPr>
          <w:spacing w:val="15"/>
        </w:rPr>
        <w:t xml:space="preserve"> </w:t>
      </w:r>
      <w:r>
        <w:t>costs</w:t>
      </w:r>
      <w:r>
        <w:rPr>
          <w:spacing w:val="15"/>
        </w:rPr>
        <w:t xml:space="preserve"> </w:t>
      </w:r>
      <w:r>
        <w:t>to</w:t>
      </w:r>
      <w:r>
        <w:rPr>
          <w:spacing w:val="16"/>
        </w:rPr>
        <w:t xml:space="preserve"> </w:t>
      </w:r>
      <w:r>
        <w:t>the</w:t>
      </w:r>
      <w:r>
        <w:rPr>
          <w:spacing w:val="16"/>
        </w:rPr>
        <w:t xml:space="preserve"> </w:t>
      </w:r>
      <w:r>
        <w:t>product</w:t>
      </w:r>
      <w:r>
        <w:rPr>
          <w:spacing w:val="16"/>
        </w:rPr>
        <w:t xml:space="preserve"> </w:t>
      </w:r>
      <w:r>
        <w:t>control</w:t>
      </w:r>
      <w:r>
        <w:rPr>
          <w:spacing w:val="15"/>
        </w:rPr>
        <w:t xml:space="preserve"> </w:t>
      </w:r>
      <w:r>
        <w:t>numbers</w:t>
      </w:r>
      <w:r>
        <w:rPr>
          <w:spacing w:val="16"/>
        </w:rPr>
        <w:t xml:space="preserve"> </w:t>
      </w:r>
      <w:r>
        <w:t>identified</w:t>
      </w:r>
      <w:r>
        <w:rPr>
          <w:spacing w:val="17"/>
        </w:rPr>
        <w:t xml:space="preserve"> </w:t>
      </w:r>
      <w:r>
        <w:t>in</w:t>
      </w:r>
      <w:r>
        <w:rPr>
          <w:spacing w:val="15"/>
        </w:rPr>
        <w:t xml:space="preserve"> </w:t>
      </w:r>
      <w:r>
        <w:t>MOFCOM's</w:t>
      </w:r>
      <w:r>
        <w:rPr>
          <w:spacing w:val="16"/>
        </w:rPr>
        <w:t xml:space="preserve"> </w:t>
      </w:r>
      <w:r>
        <w:t>original</w:t>
      </w:r>
      <w:r>
        <w:rPr>
          <w:spacing w:val="16"/>
        </w:rPr>
        <w:t xml:space="preserve"> </w:t>
      </w:r>
      <w:r>
        <w:rPr>
          <w:spacing w:val="-2"/>
        </w:rPr>
        <w:t>questionnaire,</w:t>
      </w:r>
      <w:r>
        <w:rPr>
          <w:spacing w:val="-2"/>
          <w:vertAlign w:val="superscript"/>
        </w:rPr>
        <w:t>471</w:t>
      </w:r>
    </w:p>
    <w:p w14:paraId="51DE8A50" w14:textId="77777777" w:rsidR="0010369C" w:rsidRDefault="0010369C">
      <w:pPr>
        <w:pStyle w:val="BodyText"/>
        <w:rPr>
          <w:sz w:val="26"/>
        </w:rPr>
      </w:pPr>
    </w:p>
    <w:p w14:paraId="51DE8A51" w14:textId="77777777" w:rsidR="0010369C" w:rsidRDefault="0010369C">
      <w:pPr>
        <w:pStyle w:val="BodyText"/>
        <w:spacing w:before="10"/>
        <w:rPr>
          <w:sz w:val="20"/>
        </w:rPr>
      </w:pPr>
    </w:p>
    <w:p w14:paraId="51DE8A52" w14:textId="77777777" w:rsidR="0010369C" w:rsidRDefault="008E43AE">
      <w:pPr>
        <w:ind w:left="238"/>
        <w:rPr>
          <w:sz w:val="18"/>
        </w:rPr>
      </w:pPr>
      <w:r>
        <w:rPr>
          <w:sz w:val="18"/>
          <w:vertAlign w:val="superscript"/>
        </w:rPr>
        <w:t>465</w:t>
      </w:r>
      <w:r>
        <w:rPr>
          <w:spacing w:val="-9"/>
          <w:sz w:val="18"/>
        </w:rPr>
        <w:t xml:space="preserve"> </w:t>
      </w:r>
      <w:r>
        <w:rPr>
          <w:sz w:val="18"/>
        </w:rPr>
        <w:t>Anti‐Dumping</w:t>
      </w:r>
      <w:r>
        <w:rPr>
          <w:spacing w:val="-9"/>
          <w:sz w:val="18"/>
        </w:rPr>
        <w:t xml:space="preserve"> </w:t>
      </w:r>
      <w:r>
        <w:rPr>
          <w:sz w:val="18"/>
        </w:rPr>
        <w:t>Final</w:t>
      </w:r>
      <w:r>
        <w:rPr>
          <w:spacing w:val="-9"/>
          <w:sz w:val="18"/>
        </w:rPr>
        <w:t xml:space="preserve"> </w:t>
      </w:r>
      <w:r>
        <w:rPr>
          <w:sz w:val="18"/>
        </w:rPr>
        <w:t>Determination</w:t>
      </w:r>
      <w:r>
        <w:rPr>
          <w:spacing w:val="-8"/>
          <w:sz w:val="18"/>
        </w:rPr>
        <w:t xml:space="preserve"> </w:t>
      </w:r>
      <w:r>
        <w:rPr>
          <w:sz w:val="18"/>
        </w:rPr>
        <w:t>(Exhibit</w:t>
      </w:r>
      <w:r>
        <w:rPr>
          <w:spacing w:val="-9"/>
          <w:sz w:val="18"/>
        </w:rPr>
        <w:t xml:space="preserve"> </w:t>
      </w:r>
      <w:r>
        <w:rPr>
          <w:sz w:val="18"/>
        </w:rPr>
        <w:t>AUS‐2),</w:t>
      </w:r>
      <w:r>
        <w:rPr>
          <w:spacing w:val="-9"/>
          <w:sz w:val="18"/>
        </w:rPr>
        <w:t xml:space="preserve"> </w:t>
      </w:r>
      <w:r>
        <w:rPr>
          <w:sz w:val="18"/>
        </w:rPr>
        <w:t>p.</w:t>
      </w:r>
      <w:r>
        <w:rPr>
          <w:spacing w:val="-9"/>
          <w:sz w:val="18"/>
        </w:rPr>
        <w:t xml:space="preserve"> </w:t>
      </w:r>
      <w:r>
        <w:rPr>
          <w:spacing w:val="-5"/>
          <w:sz w:val="18"/>
        </w:rPr>
        <w:t>89.</w:t>
      </w:r>
    </w:p>
    <w:p w14:paraId="51DE8A53" w14:textId="77777777" w:rsidR="0010369C" w:rsidRDefault="008E43AE">
      <w:pPr>
        <w:ind w:left="238"/>
        <w:rPr>
          <w:sz w:val="18"/>
        </w:rPr>
      </w:pPr>
      <w:r>
        <w:rPr>
          <w:sz w:val="18"/>
          <w:vertAlign w:val="superscript"/>
        </w:rPr>
        <w:t>466</w:t>
      </w:r>
      <w:r>
        <w:rPr>
          <w:spacing w:val="-9"/>
          <w:sz w:val="18"/>
        </w:rPr>
        <w:t xml:space="preserve"> </w:t>
      </w:r>
      <w:r>
        <w:rPr>
          <w:sz w:val="18"/>
        </w:rPr>
        <w:t>Anti‐Dumping</w:t>
      </w:r>
      <w:r>
        <w:rPr>
          <w:spacing w:val="-9"/>
          <w:sz w:val="18"/>
        </w:rPr>
        <w:t xml:space="preserve"> </w:t>
      </w:r>
      <w:r>
        <w:rPr>
          <w:sz w:val="18"/>
        </w:rPr>
        <w:t>Final</w:t>
      </w:r>
      <w:r>
        <w:rPr>
          <w:spacing w:val="-9"/>
          <w:sz w:val="18"/>
        </w:rPr>
        <w:t xml:space="preserve"> </w:t>
      </w:r>
      <w:r>
        <w:rPr>
          <w:sz w:val="18"/>
        </w:rPr>
        <w:t>Determination</w:t>
      </w:r>
      <w:r>
        <w:rPr>
          <w:spacing w:val="-8"/>
          <w:sz w:val="18"/>
        </w:rPr>
        <w:t xml:space="preserve"> </w:t>
      </w:r>
      <w:r>
        <w:rPr>
          <w:sz w:val="18"/>
        </w:rPr>
        <w:t>(Exhibit</w:t>
      </w:r>
      <w:r>
        <w:rPr>
          <w:spacing w:val="-9"/>
          <w:sz w:val="18"/>
        </w:rPr>
        <w:t xml:space="preserve"> </w:t>
      </w:r>
      <w:r>
        <w:rPr>
          <w:sz w:val="18"/>
        </w:rPr>
        <w:t>AUS‐2),</w:t>
      </w:r>
      <w:r>
        <w:rPr>
          <w:spacing w:val="-9"/>
          <w:sz w:val="18"/>
        </w:rPr>
        <w:t xml:space="preserve"> </w:t>
      </w:r>
      <w:r>
        <w:rPr>
          <w:sz w:val="18"/>
        </w:rPr>
        <w:t>p.</w:t>
      </w:r>
      <w:r>
        <w:rPr>
          <w:spacing w:val="-9"/>
          <w:sz w:val="18"/>
        </w:rPr>
        <w:t xml:space="preserve"> </w:t>
      </w:r>
      <w:r>
        <w:rPr>
          <w:spacing w:val="-5"/>
          <w:sz w:val="18"/>
        </w:rPr>
        <w:t>90.</w:t>
      </w:r>
    </w:p>
    <w:p w14:paraId="51DE8A54" w14:textId="77777777" w:rsidR="0010369C" w:rsidRDefault="008E43AE">
      <w:pPr>
        <w:ind w:left="238"/>
        <w:rPr>
          <w:sz w:val="18"/>
        </w:rPr>
      </w:pPr>
      <w:r>
        <w:rPr>
          <w:sz w:val="18"/>
          <w:vertAlign w:val="superscript"/>
        </w:rPr>
        <w:t>467</w:t>
      </w:r>
      <w:r>
        <w:rPr>
          <w:spacing w:val="-9"/>
          <w:sz w:val="18"/>
        </w:rPr>
        <w:t xml:space="preserve"> </w:t>
      </w:r>
      <w:r>
        <w:rPr>
          <w:sz w:val="18"/>
        </w:rPr>
        <w:t>Swan</w:t>
      </w:r>
      <w:r>
        <w:rPr>
          <w:spacing w:val="-8"/>
          <w:sz w:val="18"/>
        </w:rPr>
        <w:t xml:space="preserve"> </w:t>
      </w:r>
      <w:r>
        <w:rPr>
          <w:sz w:val="18"/>
        </w:rPr>
        <w:t>Vintage</w:t>
      </w:r>
      <w:r>
        <w:rPr>
          <w:spacing w:val="-7"/>
          <w:sz w:val="18"/>
        </w:rPr>
        <w:t xml:space="preserve"> </w:t>
      </w:r>
      <w:r>
        <w:rPr>
          <w:sz w:val="18"/>
        </w:rPr>
        <w:t>Anti‐Dumping</w:t>
      </w:r>
      <w:r>
        <w:rPr>
          <w:spacing w:val="-8"/>
          <w:sz w:val="18"/>
        </w:rPr>
        <w:t xml:space="preserve"> </w:t>
      </w:r>
      <w:r>
        <w:rPr>
          <w:sz w:val="18"/>
        </w:rPr>
        <w:t>Questionnaire</w:t>
      </w:r>
      <w:r>
        <w:rPr>
          <w:spacing w:val="-8"/>
          <w:sz w:val="18"/>
        </w:rPr>
        <w:t xml:space="preserve"> </w:t>
      </w:r>
      <w:r>
        <w:rPr>
          <w:sz w:val="18"/>
        </w:rPr>
        <w:t>Response</w:t>
      </w:r>
      <w:r>
        <w:rPr>
          <w:spacing w:val="-8"/>
          <w:sz w:val="18"/>
        </w:rPr>
        <w:t xml:space="preserve"> </w:t>
      </w:r>
      <w:r>
        <w:rPr>
          <w:sz w:val="18"/>
        </w:rPr>
        <w:t>(Exhibit</w:t>
      </w:r>
      <w:r>
        <w:rPr>
          <w:spacing w:val="-8"/>
          <w:sz w:val="18"/>
        </w:rPr>
        <w:t xml:space="preserve"> </w:t>
      </w:r>
      <w:r>
        <w:rPr>
          <w:sz w:val="18"/>
        </w:rPr>
        <w:t>AUS‐40),</w:t>
      </w:r>
      <w:r>
        <w:rPr>
          <w:spacing w:val="-9"/>
          <w:sz w:val="18"/>
        </w:rPr>
        <w:t xml:space="preserve"> </w:t>
      </w:r>
      <w:r>
        <w:rPr>
          <w:sz w:val="18"/>
        </w:rPr>
        <w:t>p.</w:t>
      </w:r>
      <w:r>
        <w:rPr>
          <w:spacing w:val="-8"/>
          <w:sz w:val="18"/>
        </w:rPr>
        <w:t xml:space="preserve"> </w:t>
      </w:r>
      <w:r>
        <w:rPr>
          <w:spacing w:val="-5"/>
          <w:sz w:val="18"/>
        </w:rPr>
        <w:t>54.</w:t>
      </w:r>
    </w:p>
    <w:p w14:paraId="51DE8A55" w14:textId="77777777" w:rsidR="0010369C" w:rsidRDefault="008E43AE">
      <w:pPr>
        <w:spacing w:before="1"/>
        <w:ind w:left="238" w:right="3259"/>
        <w:rPr>
          <w:sz w:val="18"/>
        </w:rPr>
      </w:pPr>
      <w:r>
        <w:rPr>
          <w:sz w:val="18"/>
          <w:vertAlign w:val="superscript"/>
        </w:rPr>
        <w:t>468</w:t>
      </w:r>
      <w:r>
        <w:rPr>
          <w:sz w:val="18"/>
        </w:rPr>
        <w:t xml:space="preserve"> Swan Vintage Comments on the Preliminary Determination (Exhibit AUS‐38), p. 5.</w:t>
      </w:r>
      <w:r>
        <w:rPr>
          <w:spacing w:val="80"/>
          <w:sz w:val="18"/>
        </w:rPr>
        <w:t xml:space="preserve"> </w:t>
      </w:r>
      <w:r>
        <w:rPr>
          <w:sz w:val="18"/>
          <w:vertAlign w:val="superscript"/>
        </w:rPr>
        <w:t>469</w:t>
      </w:r>
      <w:r>
        <w:rPr>
          <w:sz w:val="18"/>
        </w:rPr>
        <w:t xml:space="preserve"> Swan Vintage Comments on the Preliminary Determination (Exhibit AUS‐38), p. 5.</w:t>
      </w:r>
      <w:r>
        <w:rPr>
          <w:spacing w:val="80"/>
          <w:sz w:val="18"/>
        </w:rPr>
        <w:t xml:space="preserve"> </w:t>
      </w:r>
      <w:r>
        <w:rPr>
          <w:sz w:val="18"/>
          <w:vertAlign w:val="superscript"/>
        </w:rPr>
        <w:t>470</w:t>
      </w:r>
      <w:r>
        <w:rPr>
          <w:spacing w:val="-3"/>
          <w:sz w:val="18"/>
        </w:rPr>
        <w:t xml:space="preserve"> </w:t>
      </w:r>
      <w:r>
        <w:rPr>
          <w:sz w:val="18"/>
        </w:rPr>
        <w:t>Swan</w:t>
      </w:r>
      <w:r>
        <w:rPr>
          <w:spacing w:val="-3"/>
          <w:sz w:val="18"/>
        </w:rPr>
        <w:t xml:space="preserve"> </w:t>
      </w:r>
      <w:r>
        <w:rPr>
          <w:sz w:val="18"/>
        </w:rPr>
        <w:t>Vintage</w:t>
      </w:r>
      <w:r>
        <w:rPr>
          <w:spacing w:val="-2"/>
          <w:sz w:val="18"/>
        </w:rPr>
        <w:t xml:space="preserve"> </w:t>
      </w:r>
      <w:r>
        <w:rPr>
          <w:sz w:val="18"/>
        </w:rPr>
        <w:t>Comments</w:t>
      </w:r>
      <w:r>
        <w:rPr>
          <w:spacing w:val="-3"/>
          <w:sz w:val="18"/>
        </w:rPr>
        <w:t xml:space="preserve"> </w:t>
      </w:r>
      <w:r>
        <w:rPr>
          <w:sz w:val="18"/>
        </w:rPr>
        <w:t>on</w:t>
      </w:r>
      <w:r>
        <w:rPr>
          <w:spacing w:val="-3"/>
          <w:sz w:val="18"/>
        </w:rPr>
        <w:t xml:space="preserve"> </w:t>
      </w:r>
      <w:r>
        <w:rPr>
          <w:sz w:val="18"/>
        </w:rPr>
        <w:t>the</w:t>
      </w:r>
      <w:r>
        <w:rPr>
          <w:spacing w:val="-4"/>
          <w:sz w:val="18"/>
        </w:rPr>
        <w:t xml:space="preserve"> </w:t>
      </w:r>
      <w:r>
        <w:rPr>
          <w:sz w:val="18"/>
        </w:rPr>
        <w:t>Preliminary</w:t>
      </w:r>
      <w:r>
        <w:rPr>
          <w:spacing w:val="-3"/>
          <w:sz w:val="18"/>
        </w:rPr>
        <w:t xml:space="preserve"> </w:t>
      </w:r>
      <w:r>
        <w:rPr>
          <w:sz w:val="18"/>
        </w:rPr>
        <w:t>Determination</w:t>
      </w:r>
      <w:r>
        <w:rPr>
          <w:spacing w:val="-3"/>
          <w:sz w:val="18"/>
        </w:rPr>
        <w:t xml:space="preserve"> </w:t>
      </w:r>
      <w:r>
        <w:rPr>
          <w:sz w:val="18"/>
        </w:rPr>
        <w:t>(Exhibit</w:t>
      </w:r>
      <w:r>
        <w:rPr>
          <w:spacing w:val="-3"/>
          <w:sz w:val="18"/>
        </w:rPr>
        <w:t xml:space="preserve"> </w:t>
      </w:r>
      <w:r>
        <w:rPr>
          <w:sz w:val="18"/>
        </w:rPr>
        <w:t>AUS‐38),</w:t>
      </w:r>
      <w:r>
        <w:rPr>
          <w:spacing w:val="-4"/>
          <w:sz w:val="18"/>
        </w:rPr>
        <w:t xml:space="preserve"> </w:t>
      </w:r>
      <w:r>
        <w:rPr>
          <w:sz w:val="18"/>
        </w:rPr>
        <w:t>pp.</w:t>
      </w:r>
      <w:r>
        <w:rPr>
          <w:spacing w:val="-4"/>
          <w:sz w:val="18"/>
        </w:rPr>
        <w:t xml:space="preserve"> </w:t>
      </w:r>
      <w:r>
        <w:rPr>
          <w:sz w:val="18"/>
        </w:rPr>
        <w:t xml:space="preserve">3‐4. </w:t>
      </w:r>
      <w:r>
        <w:rPr>
          <w:sz w:val="18"/>
          <w:vertAlign w:val="superscript"/>
        </w:rPr>
        <w:t>471</w:t>
      </w:r>
      <w:r>
        <w:rPr>
          <w:sz w:val="18"/>
        </w:rPr>
        <w:t xml:space="preserve"> Swa</w:t>
      </w:r>
      <w:r>
        <w:rPr>
          <w:sz w:val="18"/>
        </w:rPr>
        <w:t>n Vintage Comments on the Preliminary Determination (Exhibit AUS‐38), p. 4.</w:t>
      </w:r>
    </w:p>
    <w:p w14:paraId="51DE8A56" w14:textId="77777777" w:rsidR="0010369C" w:rsidRDefault="0010369C">
      <w:pPr>
        <w:rPr>
          <w:sz w:val="18"/>
        </w:rPr>
        <w:sectPr w:rsidR="0010369C">
          <w:headerReference w:type="default" r:id="rId581"/>
          <w:footerReference w:type="default" r:id="rId582"/>
          <w:pgSz w:w="11910" w:h="16840"/>
          <w:pgMar w:top="880" w:right="800" w:bottom="1340" w:left="1180" w:header="569" w:footer="1143" w:gutter="0"/>
          <w:cols w:space="720"/>
        </w:sectPr>
      </w:pPr>
    </w:p>
    <w:p w14:paraId="51DE8A57" w14:textId="77777777" w:rsidR="0010369C" w:rsidRDefault="008E43AE">
      <w:pPr>
        <w:tabs>
          <w:tab w:val="left" w:pos="6426"/>
        </w:tabs>
        <w:ind w:left="238"/>
        <w:rPr>
          <w:sz w:val="20"/>
        </w:rPr>
      </w:pPr>
      <w:r>
        <w:rPr>
          <w:i/>
          <w:sz w:val="20"/>
        </w:rPr>
        <w:lastRenderedPageBreak/>
        <w:t>China</w:t>
      </w:r>
      <w:r>
        <w:rPr>
          <w:i/>
          <w:spacing w:val="-5"/>
          <w:sz w:val="20"/>
        </w:rPr>
        <w:t xml:space="preserve"> </w:t>
      </w:r>
      <w:r>
        <w:rPr>
          <w:i/>
          <w:sz w:val="20"/>
        </w:rPr>
        <w:t>–</w:t>
      </w:r>
      <w:r>
        <w:rPr>
          <w:i/>
          <w:spacing w:val="-5"/>
          <w:sz w:val="20"/>
        </w:rPr>
        <w:t xml:space="preserve"> </w:t>
      </w:r>
      <w:r>
        <w:rPr>
          <w:i/>
          <w:sz w:val="20"/>
        </w:rPr>
        <w:t>Anti‐Dumping</w:t>
      </w:r>
      <w:r>
        <w:rPr>
          <w:i/>
          <w:spacing w:val="-4"/>
          <w:sz w:val="20"/>
        </w:rPr>
        <w:t xml:space="preserve"> </w:t>
      </w:r>
      <w:r>
        <w:rPr>
          <w:i/>
          <w:sz w:val="20"/>
        </w:rPr>
        <w:t>and</w:t>
      </w:r>
      <w:r>
        <w:rPr>
          <w:i/>
          <w:spacing w:val="-5"/>
          <w:sz w:val="20"/>
        </w:rPr>
        <w:t xml:space="preserve"> </w:t>
      </w:r>
      <w:r>
        <w:rPr>
          <w:i/>
          <w:sz w:val="20"/>
        </w:rPr>
        <w:t>Countervailing</w:t>
      </w:r>
      <w:r>
        <w:rPr>
          <w:i/>
          <w:spacing w:val="-5"/>
          <w:sz w:val="20"/>
        </w:rPr>
        <w:t xml:space="preserve"> </w:t>
      </w:r>
      <w:r>
        <w:rPr>
          <w:i/>
          <w:sz w:val="20"/>
        </w:rPr>
        <w:t>Duty</w:t>
      </w:r>
      <w:r>
        <w:rPr>
          <w:i/>
          <w:spacing w:val="-4"/>
          <w:sz w:val="20"/>
        </w:rPr>
        <w:t xml:space="preserve"> </w:t>
      </w:r>
      <w:r>
        <w:rPr>
          <w:i/>
          <w:spacing w:val="-2"/>
          <w:sz w:val="20"/>
        </w:rPr>
        <w:t>Measures</w:t>
      </w:r>
      <w:r>
        <w:rPr>
          <w:i/>
          <w:sz w:val="20"/>
        </w:rPr>
        <w:tab/>
      </w:r>
      <w:r>
        <w:rPr>
          <w:sz w:val="20"/>
        </w:rPr>
        <w:t>Australia's</w:t>
      </w:r>
      <w:r>
        <w:rPr>
          <w:spacing w:val="-7"/>
          <w:sz w:val="20"/>
        </w:rPr>
        <w:t xml:space="preserve"> </w:t>
      </w:r>
      <w:r>
        <w:rPr>
          <w:sz w:val="20"/>
        </w:rPr>
        <w:t>First</w:t>
      </w:r>
      <w:r>
        <w:rPr>
          <w:spacing w:val="-2"/>
          <w:sz w:val="20"/>
        </w:rPr>
        <w:t xml:space="preserve"> </w:t>
      </w:r>
      <w:r>
        <w:rPr>
          <w:sz w:val="20"/>
        </w:rPr>
        <w:t>Written</w:t>
      </w:r>
      <w:r>
        <w:rPr>
          <w:spacing w:val="-2"/>
          <w:sz w:val="20"/>
        </w:rPr>
        <w:t xml:space="preserve"> Submission</w:t>
      </w:r>
    </w:p>
    <w:p w14:paraId="51DE8A58" w14:textId="77777777" w:rsidR="0010369C" w:rsidRDefault="008E43AE">
      <w:pPr>
        <w:tabs>
          <w:tab w:val="left" w:pos="8228"/>
        </w:tabs>
        <w:spacing w:before="1"/>
        <w:ind w:left="239"/>
        <w:rPr>
          <w:sz w:val="20"/>
        </w:rPr>
      </w:pPr>
      <w:r>
        <w:rPr>
          <w:i/>
          <w:sz w:val="20"/>
        </w:rPr>
        <w:t>on</w:t>
      </w:r>
      <w:r>
        <w:rPr>
          <w:i/>
          <w:spacing w:val="-1"/>
          <w:sz w:val="20"/>
        </w:rPr>
        <w:t xml:space="preserve"> </w:t>
      </w:r>
      <w:r>
        <w:rPr>
          <w:i/>
          <w:sz w:val="20"/>
        </w:rPr>
        <w:t>Wine</w:t>
      </w:r>
      <w:r>
        <w:rPr>
          <w:i/>
          <w:spacing w:val="-1"/>
          <w:sz w:val="20"/>
        </w:rPr>
        <w:t xml:space="preserve"> </w:t>
      </w:r>
      <w:r>
        <w:rPr>
          <w:i/>
          <w:sz w:val="20"/>
        </w:rPr>
        <w:t>from</w:t>
      </w:r>
      <w:r>
        <w:rPr>
          <w:i/>
          <w:spacing w:val="-3"/>
          <w:sz w:val="20"/>
        </w:rPr>
        <w:t xml:space="preserve"> </w:t>
      </w:r>
      <w:r>
        <w:rPr>
          <w:i/>
          <w:sz w:val="20"/>
        </w:rPr>
        <w:t>Australia</w:t>
      </w:r>
      <w:r>
        <w:rPr>
          <w:i/>
          <w:spacing w:val="-1"/>
          <w:sz w:val="20"/>
        </w:rPr>
        <w:t xml:space="preserve"> </w:t>
      </w:r>
      <w:r>
        <w:rPr>
          <w:spacing w:val="-2"/>
          <w:sz w:val="20"/>
        </w:rPr>
        <w:t>(DS602)</w:t>
      </w:r>
      <w:r>
        <w:rPr>
          <w:sz w:val="20"/>
        </w:rPr>
        <w:tab/>
        <w:t>29</w:t>
      </w:r>
      <w:r>
        <w:rPr>
          <w:spacing w:val="-1"/>
          <w:sz w:val="20"/>
        </w:rPr>
        <w:t xml:space="preserve"> </w:t>
      </w:r>
      <w:r>
        <w:rPr>
          <w:sz w:val="20"/>
        </w:rPr>
        <w:t>April</w:t>
      </w:r>
      <w:r>
        <w:rPr>
          <w:spacing w:val="-2"/>
          <w:sz w:val="20"/>
        </w:rPr>
        <w:t xml:space="preserve"> </w:t>
      </w:r>
      <w:r>
        <w:rPr>
          <w:spacing w:val="-4"/>
          <w:sz w:val="20"/>
        </w:rPr>
        <w:t>2022</w:t>
      </w:r>
    </w:p>
    <w:p w14:paraId="51DE8A59" w14:textId="77777777" w:rsidR="0010369C" w:rsidRDefault="008E43AE">
      <w:pPr>
        <w:pStyle w:val="BodyText"/>
        <w:spacing w:before="34" w:line="360" w:lineRule="auto"/>
        <w:ind w:left="238"/>
      </w:pPr>
      <w:r>
        <w:t>and provided a "Comparison of JDE and Product Control Numbers".</w:t>
      </w:r>
      <w:r>
        <w:rPr>
          <w:vertAlign w:val="superscript"/>
        </w:rPr>
        <w:t>472</w:t>
      </w:r>
      <w:r>
        <w:rPr>
          <w:spacing w:val="40"/>
        </w:rPr>
        <w:t xml:space="preserve"> </w:t>
      </w:r>
      <w:r>
        <w:t>This was despite the challenges identified by Swan Vintage in the preceding paragraph.</w:t>
      </w:r>
    </w:p>
    <w:p w14:paraId="51DE8A5A" w14:textId="77777777" w:rsidR="0010369C" w:rsidRDefault="0010369C">
      <w:pPr>
        <w:pStyle w:val="BodyText"/>
        <w:spacing w:before="10"/>
        <w:rPr>
          <w:sz w:val="8"/>
        </w:rPr>
      </w:pPr>
    </w:p>
    <w:p w14:paraId="51DE8A5B" w14:textId="77777777" w:rsidR="0010369C" w:rsidRDefault="008E43AE">
      <w:pPr>
        <w:pStyle w:val="BodyText"/>
        <w:spacing w:before="52" w:line="360" w:lineRule="auto"/>
        <w:ind w:left="237" w:right="611" w:firstLine="851"/>
        <w:jc w:val="both"/>
      </w:pPr>
      <w:r>
        <w:rPr>
          <w:noProof/>
        </w:rPr>
        <w:drawing>
          <wp:anchor distT="0" distB="0" distL="0" distR="0" simplePos="0" relativeHeight="251074048" behindDoc="1" locked="0" layoutInCell="1" allowOverlap="1" wp14:anchorId="51DEA31E" wp14:editId="51DEA31F">
            <wp:simplePos x="0" y="0"/>
            <wp:positionH relativeFrom="page">
              <wp:posOffset>899160</wp:posOffset>
            </wp:positionH>
            <wp:positionV relativeFrom="paragraph">
              <wp:posOffset>76785</wp:posOffset>
            </wp:positionV>
            <wp:extent cx="265175" cy="106679"/>
            <wp:effectExtent l="0" t="0" r="0" b="0"/>
            <wp:wrapNone/>
            <wp:docPr id="865" name="image4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 name="image443.png"/>
                    <pic:cNvPicPr/>
                  </pic:nvPicPr>
                  <pic:blipFill>
                    <a:blip r:embed="rId583" cstate="print"/>
                    <a:stretch>
                      <a:fillRect/>
                    </a:stretch>
                  </pic:blipFill>
                  <pic:spPr>
                    <a:xfrm>
                      <a:off x="0" y="0"/>
                      <a:ext cx="265175" cy="106679"/>
                    </a:xfrm>
                    <a:prstGeom prst="rect">
                      <a:avLst/>
                    </a:prstGeom>
                  </pic:spPr>
                </pic:pic>
              </a:graphicData>
            </a:graphic>
          </wp:anchor>
        </w:drawing>
      </w:r>
      <w:r>
        <w:t>It is also unclear how MOFCOM concluded tha</w:t>
      </w:r>
      <w:r>
        <w:t>t Swan Vintage "did not give a reasonable explanation" for its approach to product classification, when Swan Vintage provided fulsome responses to all of MOFCOM's requests for information.</w:t>
      </w:r>
      <w:r>
        <w:rPr>
          <w:vertAlign w:val="superscript"/>
        </w:rPr>
        <w:t>473</w:t>
      </w:r>
      <w:r>
        <w:t xml:space="preserve"> Swan Vintage stated</w:t>
      </w:r>
      <w:r>
        <w:rPr>
          <w:spacing w:val="-12"/>
        </w:rPr>
        <w:t xml:space="preserve"> </w:t>
      </w:r>
      <w:r>
        <w:t>in</w:t>
      </w:r>
      <w:r>
        <w:rPr>
          <w:spacing w:val="-11"/>
        </w:rPr>
        <w:t xml:space="preserve"> </w:t>
      </w:r>
      <w:r>
        <w:t>its</w:t>
      </w:r>
      <w:r>
        <w:rPr>
          <w:spacing w:val="-9"/>
        </w:rPr>
        <w:t xml:space="preserve"> </w:t>
      </w:r>
      <w:r>
        <w:t>response</w:t>
      </w:r>
      <w:r>
        <w:rPr>
          <w:spacing w:val="-11"/>
        </w:rPr>
        <w:t xml:space="preserve"> </w:t>
      </w:r>
      <w:r>
        <w:t>to</w:t>
      </w:r>
      <w:r>
        <w:rPr>
          <w:spacing w:val="-11"/>
        </w:rPr>
        <w:t xml:space="preserve"> </w:t>
      </w:r>
      <w:r>
        <w:t>the</w:t>
      </w:r>
      <w:r>
        <w:rPr>
          <w:spacing w:val="-10"/>
        </w:rPr>
        <w:t xml:space="preserve"> </w:t>
      </w:r>
      <w:r>
        <w:t>Preliminary</w:t>
      </w:r>
      <w:r>
        <w:rPr>
          <w:spacing w:val="-11"/>
        </w:rPr>
        <w:t xml:space="preserve"> </w:t>
      </w:r>
      <w:r>
        <w:t>Determination</w:t>
      </w:r>
      <w:r>
        <w:rPr>
          <w:spacing w:val="-11"/>
        </w:rPr>
        <w:t xml:space="preserve"> </w:t>
      </w:r>
      <w:r>
        <w:t>that</w:t>
      </w:r>
      <w:r>
        <w:rPr>
          <w:spacing w:val="-11"/>
        </w:rPr>
        <w:t xml:space="preserve"> </w:t>
      </w:r>
      <w:r>
        <w:t>its</w:t>
      </w:r>
      <w:r>
        <w:rPr>
          <w:spacing w:val="-11"/>
        </w:rPr>
        <w:t xml:space="preserve"> </w:t>
      </w:r>
      <w:r>
        <w:t>production</w:t>
      </w:r>
      <w:r>
        <w:rPr>
          <w:spacing w:val="-10"/>
        </w:rPr>
        <w:t xml:space="preserve"> </w:t>
      </w:r>
      <w:r>
        <w:t>costs</w:t>
      </w:r>
      <w:r>
        <w:rPr>
          <w:spacing w:val="-11"/>
        </w:rPr>
        <w:t xml:space="preserve"> </w:t>
      </w:r>
      <w:r>
        <w:t>and</w:t>
      </w:r>
      <w:r>
        <w:rPr>
          <w:spacing w:val="-9"/>
        </w:rPr>
        <w:t xml:space="preserve"> </w:t>
      </w:r>
      <w:r>
        <w:t>expenses were</w:t>
      </w:r>
      <w:r>
        <w:rPr>
          <w:spacing w:val="-9"/>
        </w:rPr>
        <w:t xml:space="preserve"> </w:t>
      </w:r>
      <w:r>
        <w:t>reported</w:t>
      </w:r>
      <w:r>
        <w:rPr>
          <w:spacing w:val="-9"/>
        </w:rPr>
        <w:t xml:space="preserve"> </w:t>
      </w:r>
      <w:r>
        <w:t>according</w:t>
      </w:r>
      <w:r>
        <w:rPr>
          <w:spacing w:val="-10"/>
        </w:rPr>
        <w:t xml:space="preserve"> </w:t>
      </w:r>
      <w:r>
        <w:t>to</w:t>
      </w:r>
      <w:r>
        <w:rPr>
          <w:spacing w:val="-9"/>
        </w:rPr>
        <w:t xml:space="preserve"> </w:t>
      </w:r>
      <w:r>
        <w:t>the</w:t>
      </w:r>
      <w:r>
        <w:rPr>
          <w:spacing w:val="-9"/>
        </w:rPr>
        <w:t xml:space="preserve"> </w:t>
      </w:r>
      <w:r>
        <w:t>general</w:t>
      </w:r>
      <w:r>
        <w:rPr>
          <w:spacing w:val="-10"/>
        </w:rPr>
        <w:t xml:space="preserve"> </w:t>
      </w:r>
      <w:r>
        <w:t>accepted</w:t>
      </w:r>
      <w:r>
        <w:rPr>
          <w:spacing w:val="-9"/>
        </w:rPr>
        <w:t xml:space="preserve"> </w:t>
      </w:r>
      <w:r>
        <w:t>accounting</w:t>
      </w:r>
      <w:r>
        <w:rPr>
          <w:spacing w:val="-10"/>
        </w:rPr>
        <w:t xml:space="preserve"> </w:t>
      </w:r>
      <w:r>
        <w:t>principles</w:t>
      </w:r>
      <w:r>
        <w:rPr>
          <w:spacing w:val="-9"/>
        </w:rPr>
        <w:t xml:space="preserve"> </w:t>
      </w:r>
      <w:r>
        <w:t>(GAAP)</w:t>
      </w:r>
      <w:r>
        <w:rPr>
          <w:spacing w:val="-9"/>
        </w:rPr>
        <w:t xml:space="preserve"> </w:t>
      </w:r>
      <w:r>
        <w:t>of</w:t>
      </w:r>
      <w:r>
        <w:rPr>
          <w:spacing w:val="-10"/>
        </w:rPr>
        <w:t xml:space="preserve"> </w:t>
      </w:r>
      <w:r>
        <w:t>Australia.</w:t>
      </w:r>
      <w:r>
        <w:rPr>
          <w:vertAlign w:val="superscript"/>
        </w:rPr>
        <w:t>474</w:t>
      </w:r>
      <w:r>
        <w:t xml:space="preserve"> There is</w:t>
      </w:r>
      <w:r>
        <w:rPr>
          <w:spacing w:val="-1"/>
        </w:rPr>
        <w:t xml:space="preserve"> </w:t>
      </w:r>
      <w:r>
        <w:t>nothing on</w:t>
      </w:r>
      <w:r>
        <w:rPr>
          <w:spacing w:val="-1"/>
        </w:rPr>
        <w:t xml:space="preserve"> </w:t>
      </w:r>
      <w:r>
        <w:t>the record</w:t>
      </w:r>
      <w:r>
        <w:rPr>
          <w:spacing w:val="-1"/>
        </w:rPr>
        <w:t xml:space="preserve"> </w:t>
      </w:r>
      <w:r>
        <w:t>to show</w:t>
      </w:r>
      <w:r>
        <w:rPr>
          <w:spacing w:val="-1"/>
        </w:rPr>
        <w:t xml:space="preserve"> </w:t>
      </w:r>
      <w:r>
        <w:t>that</w:t>
      </w:r>
      <w:r>
        <w:rPr>
          <w:spacing w:val="-1"/>
        </w:rPr>
        <w:t xml:space="preserve"> </w:t>
      </w:r>
      <w:r>
        <w:t>MOFCOM disputed this</w:t>
      </w:r>
      <w:r>
        <w:rPr>
          <w:spacing w:val="-1"/>
        </w:rPr>
        <w:t xml:space="preserve"> </w:t>
      </w:r>
      <w:r>
        <w:t>characterisation.</w:t>
      </w:r>
      <w:r>
        <w:rPr>
          <w:spacing w:val="-2"/>
        </w:rPr>
        <w:t xml:space="preserve"> </w:t>
      </w:r>
      <w:r>
        <w:t>Rather, MOFCOM asserted th</w:t>
      </w:r>
      <w:r>
        <w:t>at Swan Vintage's use of product control codes meant that the company's reported costs "could not reasonably reflect" the true costs of production.</w:t>
      </w:r>
      <w:r>
        <w:rPr>
          <w:vertAlign w:val="superscript"/>
        </w:rPr>
        <w:t>475</w:t>
      </w:r>
      <w:r>
        <w:t xml:space="preserve"> MOFCOM did not elaborate further on why it took the view that the data was rendered unusable by Swan Vint</w:t>
      </w:r>
      <w:r>
        <w:t>age's approach to product control codes. Nothing on the record establishes any connection between Swan Vintage's classification of product types and MOFCOM's asserted concerns about the accuracy of the information the company provided. Strikingly, no expla</w:t>
      </w:r>
      <w:r>
        <w:t>nation was given for why MOFCOM considered that the use of these product</w:t>
      </w:r>
      <w:r>
        <w:rPr>
          <w:spacing w:val="-3"/>
        </w:rPr>
        <w:t xml:space="preserve"> </w:t>
      </w:r>
      <w:r>
        <w:t>control</w:t>
      </w:r>
      <w:r>
        <w:rPr>
          <w:spacing w:val="-4"/>
        </w:rPr>
        <w:t xml:space="preserve"> </w:t>
      </w:r>
      <w:r>
        <w:t>codes</w:t>
      </w:r>
      <w:r>
        <w:rPr>
          <w:spacing w:val="-3"/>
        </w:rPr>
        <w:t xml:space="preserve"> </w:t>
      </w:r>
      <w:r>
        <w:t>would</w:t>
      </w:r>
      <w:r>
        <w:rPr>
          <w:spacing w:val="-3"/>
        </w:rPr>
        <w:t xml:space="preserve"> </w:t>
      </w:r>
      <w:r>
        <w:t>render</w:t>
      </w:r>
      <w:r>
        <w:rPr>
          <w:spacing w:val="-4"/>
        </w:rPr>
        <w:t xml:space="preserve"> </w:t>
      </w:r>
      <w:r>
        <w:t>the</w:t>
      </w:r>
      <w:r>
        <w:rPr>
          <w:spacing w:val="-2"/>
        </w:rPr>
        <w:t xml:space="preserve"> </w:t>
      </w:r>
      <w:r>
        <w:t>data</w:t>
      </w:r>
      <w:r>
        <w:rPr>
          <w:spacing w:val="-2"/>
        </w:rPr>
        <w:t xml:space="preserve"> </w:t>
      </w:r>
      <w:r>
        <w:t>unusable</w:t>
      </w:r>
      <w:r>
        <w:rPr>
          <w:spacing w:val="-2"/>
        </w:rPr>
        <w:t xml:space="preserve"> </w:t>
      </w:r>
      <w:r>
        <w:t>in</w:t>
      </w:r>
      <w:r>
        <w:rPr>
          <w:spacing w:val="-3"/>
        </w:rPr>
        <w:t xml:space="preserve"> </w:t>
      </w:r>
      <w:r>
        <w:t>relation</w:t>
      </w:r>
      <w:r>
        <w:rPr>
          <w:spacing w:val="-2"/>
        </w:rPr>
        <w:t xml:space="preserve"> </w:t>
      </w:r>
      <w:r>
        <w:t>to</w:t>
      </w:r>
      <w:r>
        <w:rPr>
          <w:spacing w:val="-2"/>
        </w:rPr>
        <w:t xml:space="preserve"> </w:t>
      </w:r>
      <w:r>
        <w:t>costs,</w:t>
      </w:r>
      <w:r>
        <w:rPr>
          <w:spacing w:val="-3"/>
        </w:rPr>
        <w:t xml:space="preserve"> </w:t>
      </w:r>
      <w:r>
        <w:t>but</w:t>
      </w:r>
      <w:r>
        <w:rPr>
          <w:spacing w:val="-2"/>
        </w:rPr>
        <w:t xml:space="preserve"> </w:t>
      </w:r>
      <w:r>
        <w:t>not</w:t>
      </w:r>
      <w:r>
        <w:rPr>
          <w:spacing w:val="-2"/>
        </w:rPr>
        <w:t xml:space="preserve"> </w:t>
      </w:r>
      <w:r>
        <w:t>in</w:t>
      </w:r>
      <w:r>
        <w:rPr>
          <w:spacing w:val="-4"/>
        </w:rPr>
        <w:t xml:space="preserve"> </w:t>
      </w:r>
      <w:r>
        <w:t xml:space="preserve">relation to the company's reported export prices and CIF prices, which MOFCOM was prepared to </w:t>
      </w:r>
      <w:r>
        <w:rPr>
          <w:spacing w:val="-2"/>
        </w:rPr>
        <w:t>accept.</w:t>
      </w:r>
    </w:p>
    <w:p w14:paraId="51DE8A5C" w14:textId="77777777" w:rsidR="0010369C" w:rsidRDefault="0010369C">
      <w:pPr>
        <w:pStyle w:val="BodyText"/>
        <w:spacing w:before="11"/>
        <w:rPr>
          <w:sz w:val="8"/>
        </w:rPr>
      </w:pPr>
    </w:p>
    <w:p w14:paraId="51DE8A5D" w14:textId="77777777" w:rsidR="0010369C" w:rsidRDefault="008E43AE">
      <w:pPr>
        <w:pStyle w:val="BodyText"/>
        <w:spacing w:before="51" w:line="360" w:lineRule="auto"/>
        <w:ind w:left="237" w:right="612" w:firstLine="851"/>
        <w:jc w:val="both"/>
      </w:pPr>
      <w:r>
        <w:rPr>
          <w:noProof/>
        </w:rPr>
        <w:drawing>
          <wp:anchor distT="0" distB="0" distL="0" distR="0" simplePos="0" relativeHeight="251075072" behindDoc="1" locked="0" layoutInCell="1" allowOverlap="1" wp14:anchorId="51DEA320" wp14:editId="51DEA321">
            <wp:simplePos x="0" y="0"/>
            <wp:positionH relativeFrom="page">
              <wp:posOffset>899160</wp:posOffset>
            </wp:positionH>
            <wp:positionV relativeFrom="paragraph">
              <wp:posOffset>81314</wp:posOffset>
            </wp:positionV>
            <wp:extent cx="265175" cy="100753"/>
            <wp:effectExtent l="0" t="0" r="0" b="0"/>
            <wp:wrapNone/>
            <wp:docPr id="867" name="image4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 name="image444.png"/>
                    <pic:cNvPicPr/>
                  </pic:nvPicPr>
                  <pic:blipFill>
                    <a:blip r:embed="rId584" cstate="print"/>
                    <a:stretch>
                      <a:fillRect/>
                    </a:stretch>
                  </pic:blipFill>
                  <pic:spPr>
                    <a:xfrm>
                      <a:off x="0" y="0"/>
                      <a:ext cx="265175" cy="100753"/>
                    </a:xfrm>
                    <a:prstGeom prst="rect">
                      <a:avLst/>
                    </a:prstGeom>
                  </pic:spPr>
                </pic:pic>
              </a:graphicData>
            </a:graphic>
          </wp:anchor>
        </w:drawing>
      </w:r>
      <w:r>
        <w:t>It</w:t>
      </w:r>
      <w:r>
        <w:rPr>
          <w:spacing w:val="-14"/>
        </w:rPr>
        <w:t xml:space="preserve"> </w:t>
      </w:r>
      <w:r>
        <w:t>was</w:t>
      </w:r>
      <w:r>
        <w:rPr>
          <w:spacing w:val="-14"/>
        </w:rPr>
        <w:t xml:space="preserve"> </w:t>
      </w:r>
      <w:r>
        <w:t>not</w:t>
      </w:r>
      <w:r>
        <w:rPr>
          <w:spacing w:val="-13"/>
        </w:rPr>
        <w:t xml:space="preserve"> </w:t>
      </w:r>
      <w:r>
        <w:t>open</w:t>
      </w:r>
      <w:r>
        <w:rPr>
          <w:spacing w:val="-14"/>
        </w:rPr>
        <w:t xml:space="preserve"> </w:t>
      </w:r>
      <w:r>
        <w:t>to</w:t>
      </w:r>
      <w:r>
        <w:rPr>
          <w:spacing w:val="-13"/>
        </w:rPr>
        <w:t xml:space="preserve"> </w:t>
      </w:r>
      <w:r>
        <w:t>MOFCOM</w:t>
      </w:r>
      <w:r>
        <w:rPr>
          <w:spacing w:val="-14"/>
        </w:rPr>
        <w:t xml:space="preserve"> </w:t>
      </w:r>
      <w:r>
        <w:t>to</w:t>
      </w:r>
      <w:r>
        <w:rPr>
          <w:spacing w:val="-13"/>
        </w:rPr>
        <w:t xml:space="preserve"> </w:t>
      </w:r>
      <w:r>
        <w:t>disregard</w:t>
      </w:r>
      <w:r>
        <w:rPr>
          <w:spacing w:val="-14"/>
        </w:rPr>
        <w:t xml:space="preserve"> </w:t>
      </w:r>
      <w:r>
        <w:t>the</w:t>
      </w:r>
      <w:r>
        <w:rPr>
          <w:spacing w:val="-14"/>
        </w:rPr>
        <w:t xml:space="preserve"> </w:t>
      </w:r>
      <w:r>
        <w:t>production</w:t>
      </w:r>
      <w:r>
        <w:rPr>
          <w:spacing w:val="-13"/>
        </w:rPr>
        <w:t xml:space="preserve"> </w:t>
      </w:r>
      <w:r>
        <w:t>costs</w:t>
      </w:r>
      <w:r>
        <w:rPr>
          <w:spacing w:val="-14"/>
        </w:rPr>
        <w:t xml:space="preserve"> </w:t>
      </w:r>
      <w:r>
        <w:t>and</w:t>
      </w:r>
      <w:r>
        <w:rPr>
          <w:spacing w:val="-13"/>
        </w:rPr>
        <w:t xml:space="preserve"> </w:t>
      </w:r>
      <w:r>
        <w:t>expenses</w:t>
      </w:r>
      <w:r>
        <w:rPr>
          <w:spacing w:val="-14"/>
        </w:rPr>
        <w:t xml:space="preserve"> </w:t>
      </w:r>
      <w:r>
        <w:t>reported by Swan Vintage merely because the company used a different system to classify product types. As discussed above, the cost of production shall normally be calculated using th</w:t>
      </w:r>
      <w:r>
        <w:t>e records</w:t>
      </w:r>
      <w:r>
        <w:rPr>
          <w:spacing w:val="-4"/>
        </w:rPr>
        <w:t xml:space="preserve"> </w:t>
      </w:r>
      <w:r>
        <w:t>of</w:t>
      </w:r>
      <w:r>
        <w:rPr>
          <w:spacing w:val="-3"/>
        </w:rPr>
        <w:t xml:space="preserve"> </w:t>
      </w:r>
      <w:r>
        <w:t>the</w:t>
      </w:r>
      <w:r>
        <w:rPr>
          <w:spacing w:val="-2"/>
        </w:rPr>
        <w:t xml:space="preserve"> </w:t>
      </w:r>
      <w:r>
        <w:t>exporter</w:t>
      </w:r>
      <w:r>
        <w:rPr>
          <w:spacing w:val="-4"/>
        </w:rPr>
        <w:t xml:space="preserve"> </w:t>
      </w:r>
      <w:r>
        <w:t>or</w:t>
      </w:r>
      <w:r>
        <w:rPr>
          <w:spacing w:val="-2"/>
        </w:rPr>
        <w:t xml:space="preserve"> </w:t>
      </w:r>
      <w:r>
        <w:t>producer</w:t>
      </w:r>
      <w:r>
        <w:rPr>
          <w:spacing w:val="-3"/>
        </w:rPr>
        <w:t xml:space="preserve"> </w:t>
      </w:r>
      <w:r>
        <w:t>under</w:t>
      </w:r>
      <w:r>
        <w:rPr>
          <w:spacing w:val="-2"/>
        </w:rPr>
        <w:t xml:space="preserve"> </w:t>
      </w:r>
      <w:r>
        <w:t>investigation</w:t>
      </w:r>
      <w:r>
        <w:rPr>
          <w:spacing w:val="-2"/>
        </w:rPr>
        <w:t xml:space="preserve"> </w:t>
      </w:r>
      <w:r>
        <w:t>provided</w:t>
      </w:r>
      <w:r>
        <w:rPr>
          <w:spacing w:val="-3"/>
        </w:rPr>
        <w:t xml:space="preserve"> </w:t>
      </w:r>
      <w:r>
        <w:t>that</w:t>
      </w:r>
      <w:r>
        <w:rPr>
          <w:spacing w:val="-3"/>
        </w:rPr>
        <w:t xml:space="preserve"> </w:t>
      </w:r>
      <w:r>
        <w:t>they</w:t>
      </w:r>
      <w:r>
        <w:rPr>
          <w:spacing w:val="-2"/>
        </w:rPr>
        <w:t xml:space="preserve"> </w:t>
      </w:r>
      <w:r>
        <w:t>are</w:t>
      </w:r>
      <w:r>
        <w:rPr>
          <w:spacing w:val="-2"/>
        </w:rPr>
        <w:t xml:space="preserve"> </w:t>
      </w:r>
      <w:r>
        <w:t>in</w:t>
      </w:r>
      <w:r>
        <w:rPr>
          <w:spacing w:val="-3"/>
        </w:rPr>
        <w:t xml:space="preserve"> </w:t>
      </w:r>
      <w:r>
        <w:t>accordance with the generally accepted accounting principles of the exporting country and reasonably reflect</w:t>
      </w:r>
      <w:r>
        <w:rPr>
          <w:spacing w:val="-14"/>
        </w:rPr>
        <w:t xml:space="preserve"> </w:t>
      </w:r>
      <w:r>
        <w:t>the</w:t>
      </w:r>
      <w:r>
        <w:rPr>
          <w:spacing w:val="-13"/>
        </w:rPr>
        <w:t xml:space="preserve"> </w:t>
      </w:r>
      <w:r>
        <w:t>costs</w:t>
      </w:r>
      <w:r>
        <w:rPr>
          <w:spacing w:val="-13"/>
        </w:rPr>
        <w:t xml:space="preserve"> </w:t>
      </w:r>
      <w:r>
        <w:t>associated</w:t>
      </w:r>
      <w:r>
        <w:rPr>
          <w:spacing w:val="-14"/>
        </w:rPr>
        <w:t xml:space="preserve"> </w:t>
      </w:r>
      <w:r>
        <w:t>with</w:t>
      </w:r>
      <w:r>
        <w:rPr>
          <w:spacing w:val="-13"/>
        </w:rPr>
        <w:t xml:space="preserve"> </w:t>
      </w:r>
      <w:r>
        <w:t>the</w:t>
      </w:r>
      <w:r>
        <w:rPr>
          <w:spacing w:val="-13"/>
        </w:rPr>
        <w:t xml:space="preserve"> </w:t>
      </w:r>
      <w:r>
        <w:t>production</w:t>
      </w:r>
      <w:r>
        <w:rPr>
          <w:spacing w:val="-13"/>
        </w:rPr>
        <w:t xml:space="preserve"> </w:t>
      </w:r>
      <w:r>
        <w:t>and</w:t>
      </w:r>
      <w:r>
        <w:rPr>
          <w:spacing w:val="-14"/>
        </w:rPr>
        <w:t xml:space="preserve"> </w:t>
      </w:r>
      <w:r>
        <w:t>sale</w:t>
      </w:r>
      <w:r>
        <w:rPr>
          <w:spacing w:val="-13"/>
        </w:rPr>
        <w:t xml:space="preserve"> </w:t>
      </w:r>
      <w:r>
        <w:t>of</w:t>
      </w:r>
      <w:r>
        <w:rPr>
          <w:spacing w:val="-14"/>
        </w:rPr>
        <w:t xml:space="preserve"> </w:t>
      </w:r>
      <w:r>
        <w:t>the</w:t>
      </w:r>
      <w:r>
        <w:rPr>
          <w:spacing w:val="-12"/>
        </w:rPr>
        <w:t xml:space="preserve"> </w:t>
      </w:r>
      <w:r>
        <w:t>produc</w:t>
      </w:r>
      <w:r>
        <w:t>t</w:t>
      </w:r>
      <w:r>
        <w:rPr>
          <w:spacing w:val="-14"/>
        </w:rPr>
        <w:t xml:space="preserve"> </w:t>
      </w:r>
      <w:r>
        <w:t>under</w:t>
      </w:r>
      <w:r>
        <w:rPr>
          <w:spacing w:val="-13"/>
        </w:rPr>
        <w:t xml:space="preserve"> </w:t>
      </w:r>
      <w:r>
        <w:t>investigation.</w:t>
      </w:r>
      <w:r>
        <w:rPr>
          <w:vertAlign w:val="superscript"/>
        </w:rPr>
        <w:t>476</w:t>
      </w:r>
    </w:p>
    <w:p w14:paraId="51DE8A5E" w14:textId="77777777" w:rsidR="0010369C" w:rsidRDefault="0010369C">
      <w:pPr>
        <w:pStyle w:val="BodyText"/>
        <w:spacing w:before="12"/>
        <w:rPr>
          <w:sz w:val="8"/>
        </w:rPr>
      </w:pPr>
    </w:p>
    <w:p w14:paraId="51DE8A5F" w14:textId="77777777" w:rsidR="0010369C" w:rsidRDefault="008E43AE">
      <w:pPr>
        <w:pStyle w:val="BodyText"/>
        <w:spacing w:before="51" w:line="360" w:lineRule="auto"/>
        <w:ind w:left="238" w:right="613" w:firstLine="850"/>
        <w:jc w:val="both"/>
        <w:rPr>
          <w:i/>
        </w:rPr>
      </w:pPr>
      <w:r>
        <w:rPr>
          <w:noProof/>
        </w:rPr>
        <w:drawing>
          <wp:anchor distT="0" distB="0" distL="0" distR="0" simplePos="0" relativeHeight="251076096" behindDoc="1" locked="0" layoutInCell="1" allowOverlap="1" wp14:anchorId="51DEA322" wp14:editId="51DEA323">
            <wp:simplePos x="0" y="0"/>
            <wp:positionH relativeFrom="page">
              <wp:posOffset>899160</wp:posOffset>
            </wp:positionH>
            <wp:positionV relativeFrom="paragraph">
              <wp:posOffset>76150</wp:posOffset>
            </wp:positionV>
            <wp:extent cx="265175" cy="106679"/>
            <wp:effectExtent l="0" t="0" r="0" b="0"/>
            <wp:wrapNone/>
            <wp:docPr id="869" name="image4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 name="image445.png"/>
                    <pic:cNvPicPr/>
                  </pic:nvPicPr>
                  <pic:blipFill>
                    <a:blip r:embed="rId585" cstate="print"/>
                    <a:stretch>
                      <a:fillRect/>
                    </a:stretch>
                  </pic:blipFill>
                  <pic:spPr>
                    <a:xfrm>
                      <a:off x="0" y="0"/>
                      <a:ext cx="265175" cy="106679"/>
                    </a:xfrm>
                    <a:prstGeom prst="rect">
                      <a:avLst/>
                    </a:prstGeom>
                  </pic:spPr>
                </pic:pic>
              </a:graphicData>
            </a:graphic>
          </wp:anchor>
        </w:drawing>
      </w:r>
      <w:r>
        <w:t>Given</w:t>
      </w:r>
      <w:r>
        <w:rPr>
          <w:spacing w:val="-13"/>
        </w:rPr>
        <w:t xml:space="preserve"> </w:t>
      </w:r>
      <w:r>
        <w:t>the</w:t>
      </w:r>
      <w:r>
        <w:rPr>
          <w:spacing w:val="-12"/>
        </w:rPr>
        <w:t xml:space="preserve"> </w:t>
      </w:r>
      <w:r>
        <w:t>information</w:t>
      </w:r>
      <w:r>
        <w:rPr>
          <w:spacing w:val="-13"/>
        </w:rPr>
        <w:t xml:space="preserve"> </w:t>
      </w:r>
      <w:r>
        <w:t>was</w:t>
      </w:r>
      <w:r>
        <w:rPr>
          <w:spacing w:val="-13"/>
        </w:rPr>
        <w:t xml:space="preserve"> </w:t>
      </w:r>
      <w:r>
        <w:t>drawn</w:t>
      </w:r>
      <w:r>
        <w:rPr>
          <w:spacing w:val="-13"/>
        </w:rPr>
        <w:t xml:space="preserve"> </w:t>
      </w:r>
      <w:r>
        <w:t>from</w:t>
      </w:r>
      <w:r>
        <w:rPr>
          <w:spacing w:val="-12"/>
        </w:rPr>
        <w:t xml:space="preserve"> </w:t>
      </w:r>
      <w:r>
        <w:t>Swan</w:t>
      </w:r>
      <w:r>
        <w:rPr>
          <w:spacing w:val="-13"/>
        </w:rPr>
        <w:t xml:space="preserve"> </w:t>
      </w:r>
      <w:r>
        <w:t>Vintage's</w:t>
      </w:r>
      <w:r>
        <w:rPr>
          <w:spacing w:val="-13"/>
        </w:rPr>
        <w:t xml:space="preserve"> </w:t>
      </w:r>
      <w:r>
        <w:t>respective</w:t>
      </w:r>
      <w:r>
        <w:rPr>
          <w:spacing w:val="-13"/>
        </w:rPr>
        <w:t xml:space="preserve"> </w:t>
      </w:r>
      <w:r>
        <w:t>accounting</w:t>
      </w:r>
      <w:r>
        <w:rPr>
          <w:spacing w:val="-13"/>
        </w:rPr>
        <w:t xml:space="preserve"> </w:t>
      </w:r>
      <w:r>
        <w:t>system, which is compliant with the International Financial Reporting Standards (IFRS),</w:t>
      </w:r>
      <w:r>
        <w:rPr>
          <w:vertAlign w:val="superscript"/>
        </w:rPr>
        <w:t>477</w:t>
      </w:r>
      <w:r>
        <w:t xml:space="preserve"> the information</w:t>
      </w:r>
      <w:r>
        <w:rPr>
          <w:spacing w:val="18"/>
        </w:rPr>
        <w:t xml:space="preserve"> </w:t>
      </w:r>
      <w:r>
        <w:t>submitted</w:t>
      </w:r>
      <w:r>
        <w:rPr>
          <w:spacing w:val="18"/>
        </w:rPr>
        <w:t xml:space="preserve"> </w:t>
      </w:r>
      <w:r>
        <w:t>by</w:t>
      </w:r>
      <w:r>
        <w:rPr>
          <w:spacing w:val="19"/>
        </w:rPr>
        <w:t xml:space="preserve"> </w:t>
      </w:r>
      <w:r>
        <w:t>Swan</w:t>
      </w:r>
      <w:r>
        <w:rPr>
          <w:spacing w:val="20"/>
        </w:rPr>
        <w:t xml:space="preserve"> </w:t>
      </w:r>
      <w:r>
        <w:t>Vintage,</w:t>
      </w:r>
      <w:r>
        <w:rPr>
          <w:spacing w:val="19"/>
        </w:rPr>
        <w:t xml:space="preserve"> </w:t>
      </w:r>
      <w:r>
        <w:t>and</w:t>
      </w:r>
      <w:r>
        <w:rPr>
          <w:spacing w:val="17"/>
        </w:rPr>
        <w:t xml:space="preserve"> </w:t>
      </w:r>
      <w:r>
        <w:t>which</w:t>
      </w:r>
      <w:r>
        <w:rPr>
          <w:spacing w:val="19"/>
        </w:rPr>
        <w:t xml:space="preserve"> </w:t>
      </w:r>
      <w:r>
        <w:t>was</w:t>
      </w:r>
      <w:r>
        <w:rPr>
          <w:spacing w:val="18"/>
        </w:rPr>
        <w:t xml:space="preserve"> </w:t>
      </w:r>
      <w:r>
        <w:t>rejected</w:t>
      </w:r>
      <w:r>
        <w:rPr>
          <w:spacing w:val="19"/>
        </w:rPr>
        <w:t xml:space="preserve"> </w:t>
      </w:r>
      <w:r>
        <w:t>by</w:t>
      </w:r>
      <w:r>
        <w:rPr>
          <w:spacing w:val="18"/>
        </w:rPr>
        <w:t xml:space="preserve"> </w:t>
      </w:r>
      <w:r>
        <w:t>MOFCOM,</w:t>
      </w:r>
      <w:r>
        <w:rPr>
          <w:spacing w:val="19"/>
        </w:rPr>
        <w:t xml:space="preserve"> </w:t>
      </w:r>
      <w:r>
        <w:t>was</w:t>
      </w:r>
      <w:r>
        <w:rPr>
          <w:spacing w:val="18"/>
        </w:rPr>
        <w:t xml:space="preserve"> </w:t>
      </w:r>
      <w:r>
        <w:rPr>
          <w:i/>
        </w:rPr>
        <w:t>per</w:t>
      </w:r>
      <w:r>
        <w:rPr>
          <w:i/>
          <w:spacing w:val="19"/>
        </w:rPr>
        <w:t xml:space="preserve"> </w:t>
      </w:r>
      <w:r>
        <w:rPr>
          <w:i/>
          <w:spacing w:val="-5"/>
        </w:rPr>
        <w:t>se</w:t>
      </w:r>
    </w:p>
    <w:p w14:paraId="51DE8A60" w14:textId="77777777" w:rsidR="0010369C" w:rsidRDefault="008E43AE">
      <w:pPr>
        <w:pStyle w:val="BodyText"/>
        <w:spacing w:before="6"/>
        <w:rPr>
          <w:i/>
          <w:sz w:val="15"/>
        </w:rPr>
      </w:pPr>
      <w:r>
        <w:pict w14:anchorId="51DEA324">
          <v:rect id="docshape894" o:spid="_x0000_s1429" style="position:absolute;margin-left:70.9pt;margin-top:10.7pt;width:2in;height:.8pt;z-index:-250882560;mso-wrap-distance-left:0;mso-wrap-distance-right:0;mso-position-horizontal-relative:page" fillcolor="black" stroked="f">
            <w10:wrap type="topAndBottom" anchorx="page"/>
          </v:rect>
        </w:pict>
      </w:r>
    </w:p>
    <w:p w14:paraId="51DE8A61" w14:textId="77777777" w:rsidR="0010369C" w:rsidRDefault="008E43AE">
      <w:pPr>
        <w:spacing w:before="109"/>
        <w:ind w:left="238"/>
        <w:rPr>
          <w:sz w:val="18"/>
        </w:rPr>
      </w:pPr>
      <w:r>
        <w:rPr>
          <w:sz w:val="18"/>
          <w:vertAlign w:val="superscript"/>
        </w:rPr>
        <w:t>472</w:t>
      </w:r>
      <w:r>
        <w:rPr>
          <w:spacing w:val="-11"/>
          <w:sz w:val="18"/>
        </w:rPr>
        <w:t xml:space="preserve"> </w:t>
      </w:r>
      <w:r>
        <w:rPr>
          <w:sz w:val="18"/>
        </w:rPr>
        <w:t>Swan</w:t>
      </w:r>
      <w:r>
        <w:rPr>
          <w:spacing w:val="-8"/>
          <w:sz w:val="18"/>
        </w:rPr>
        <w:t xml:space="preserve"> </w:t>
      </w:r>
      <w:r>
        <w:rPr>
          <w:sz w:val="18"/>
        </w:rPr>
        <w:t>Vintage</w:t>
      </w:r>
      <w:r>
        <w:rPr>
          <w:spacing w:val="-8"/>
          <w:sz w:val="18"/>
        </w:rPr>
        <w:t xml:space="preserve"> </w:t>
      </w:r>
      <w:r>
        <w:rPr>
          <w:sz w:val="18"/>
        </w:rPr>
        <w:t>Comments</w:t>
      </w:r>
      <w:r>
        <w:rPr>
          <w:spacing w:val="-9"/>
          <w:sz w:val="18"/>
        </w:rPr>
        <w:t xml:space="preserve"> </w:t>
      </w:r>
      <w:r>
        <w:rPr>
          <w:sz w:val="18"/>
        </w:rPr>
        <w:t>on</w:t>
      </w:r>
      <w:r>
        <w:rPr>
          <w:spacing w:val="-8"/>
          <w:sz w:val="18"/>
        </w:rPr>
        <w:t xml:space="preserve"> </w:t>
      </w:r>
      <w:r>
        <w:rPr>
          <w:sz w:val="18"/>
        </w:rPr>
        <w:t>the</w:t>
      </w:r>
      <w:r>
        <w:rPr>
          <w:spacing w:val="-9"/>
          <w:sz w:val="18"/>
        </w:rPr>
        <w:t xml:space="preserve"> </w:t>
      </w:r>
      <w:r>
        <w:rPr>
          <w:sz w:val="18"/>
        </w:rPr>
        <w:t>Preliminary</w:t>
      </w:r>
      <w:r>
        <w:rPr>
          <w:spacing w:val="-9"/>
          <w:sz w:val="18"/>
        </w:rPr>
        <w:t xml:space="preserve"> </w:t>
      </w:r>
      <w:r>
        <w:rPr>
          <w:sz w:val="18"/>
        </w:rPr>
        <w:t>Determination</w:t>
      </w:r>
      <w:r>
        <w:rPr>
          <w:spacing w:val="-8"/>
          <w:sz w:val="18"/>
        </w:rPr>
        <w:t xml:space="preserve"> </w:t>
      </w:r>
      <w:r>
        <w:rPr>
          <w:sz w:val="18"/>
        </w:rPr>
        <w:t>(Exhibit</w:t>
      </w:r>
      <w:r>
        <w:rPr>
          <w:spacing w:val="-9"/>
          <w:sz w:val="18"/>
        </w:rPr>
        <w:t xml:space="preserve"> </w:t>
      </w:r>
      <w:r>
        <w:rPr>
          <w:sz w:val="18"/>
        </w:rPr>
        <w:t>AUS‐38),</w:t>
      </w:r>
      <w:r>
        <w:rPr>
          <w:spacing w:val="-9"/>
          <w:sz w:val="18"/>
        </w:rPr>
        <w:t xml:space="preserve"> </w:t>
      </w:r>
      <w:r>
        <w:rPr>
          <w:sz w:val="18"/>
        </w:rPr>
        <w:t>p.</w:t>
      </w:r>
      <w:r>
        <w:rPr>
          <w:spacing w:val="-8"/>
          <w:sz w:val="18"/>
        </w:rPr>
        <w:t xml:space="preserve"> </w:t>
      </w:r>
      <w:r>
        <w:rPr>
          <w:spacing w:val="-5"/>
          <w:sz w:val="18"/>
        </w:rPr>
        <w:t>4.</w:t>
      </w:r>
    </w:p>
    <w:p w14:paraId="51DE8A62" w14:textId="77777777" w:rsidR="0010369C" w:rsidRDefault="008E43AE">
      <w:pPr>
        <w:ind w:left="238"/>
        <w:rPr>
          <w:sz w:val="18"/>
        </w:rPr>
      </w:pPr>
      <w:r>
        <w:rPr>
          <w:sz w:val="18"/>
          <w:vertAlign w:val="superscript"/>
        </w:rPr>
        <w:t>473</w:t>
      </w:r>
      <w:r>
        <w:rPr>
          <w:spacing w:val="-9"/>
          <w:sz w:val="18"/>
        </w:rPr>
        <w:t xml:space="preserve"> </w:t>
      </w:r>
      <w:r>
        <w:rPr>
          <w:sz w:val="18"/>
        </w:rPr>
        <w:t>Anti‐Dumping</w:t>
      </w:r>
      <w:r>
        <w:rPr>
          <w:spacing w:val="-9"/>
          <w:sz w:val="18"/>
        </w:rPr>
        <w:t xml:space="preserve"> </w:t>
      </w:r>
      <w:r>
        <w:rPr>
          <w:sz w:val="18"/>
        </w:rPr>
        <w:t>Final</w:t>
      </w:r>
      <w:r>
        <w:rPr>
          <w:spacing w:val="-9"/>
          <w:sz w:val="18"/>
        </w:rPr>
        <w:t xml:space="preserve"> </w:t>
      </w:r>
      <w:r>
        <w:rPr>
          <w:sz w:val="18"/>
        </w:rPr>
        <w:t>Determination</w:t>
      </w:r>
      <w:r>
        <w:rPr>
          <w:spacing w:val="-8"/>
          <w:sz w:val="18"/>
        </w:rPr>
        <w:t xml:space="preserve"> </w:t>
      </w:r>
      <w:r>
        <w:rPr>
          <w:sz w:val="18"/>
        </w:rPr>
        <w:t>(Exhibit</w:t>
      </w:r>
      <w:r>
        <w:rPr>
          <w:spacing w:val="-9"/>
          <w:sz w:val="18"/>
        </w:rPr>
        <w:t xml:space="preserve"> </w:t>
      </w:r>
      <w:r>
        <w:rPr>
          <w:sz w:val="18"/>
        </w:rPr>
        <w:t>AUS‐2),</w:t>
      </w:r>
      <w:r>
        <w:rPr>
          <w:spacing w:val="-9"/>
          <w:sz w:val="18"/>
        </w:rPr>
        <w:t xml:space="preserve"> </w:t>
      </w:r>
      <w:r>
        <w:rPr>
          <w:sz w:val="18"/>
        </w:rPr>
        <w:t>p.</w:t>
      </w:r>
      <w:r>
        <w:rPr>
          <w:spacing w:val="-9"/>
          <w:sz w:val="18"/>
        </w:rPr>
        <w:t xml:space="preserve"> </w:t>
      </w:r>
      <w:r>
        <w:rPr>
          <w:spacing w:val="-5"/>
          <w:sz w:val="18"/>
        </w:rPr>
        <w:t>90.</w:t>
      </w:r>
    </w:p>
    <w:p w14:paraId="51DE8A63" w14:textId="77777777" w:rsidR="0010369C" w:rsidRDefault="008E43AE">
      <w:pPr>
        <w:spacing w:before="1"/>
        <w:ind w:left="238"/>
        <w:rPr>
          <w:sz w:val="18"/>
        </w:rPr>
      </w:pPr>
      <w:r>
        <w:rPr>
          <w:sz w:val="18"/>
          <w:vertAlign w:val="superscript"/>
        </w:rPr>
        <w:t>474</w:t>
      </w:r>
      <w:r>
        <w:rPr>
          <w:spacing w:val="-11"/>
          <w:sz w:val="18"/>
        </w:rPr>
        <w:t xml:space="preserve"> </w:t>
      </w:r>
      <w:r>
        <w:rPr>
          <w:sz w:val="18"/>
        </w:rPr>
        <w:t>Swan</w:t>
      </w:r>
      <w:r>
        <w:rPr>
          <w:spacing w:val="-8"/>
          <w:sz w:val="18"/>
        </w:rPr>
        <w:t xml:space="preserve"> </w:t>
      </w:r>
      <w:r>
        <w:rPr>
          <w:sz w:val="18"/>
        </w:rPr>
        <w:t>Vintage</w:t>
      </w:r>
      <w:r>
        <w:rPr>
          <w:spacing w:val="-8"/>
          <w:sz w:val="18"/>
        </w:rPr>
        <w:t xml:space="preserve"> </w:t>
      </w:r>
      <w:r>
        <w:rPr>
          <w:sz w:val="18"/>
        </w:rPr>
        <w:t>Comments</w:t>
      </w:r>
      <w:r>
        <w:rPr>
          <w:spacing w:val="-9"/>
          <w:sz w:val="18"/>
        </w:rPr>
        <w:t xml:space="preserve"> </w:t>
      </w:r>
      <w:r>
        <w:rPr>
          <w:sz w:val="18"/>
        </w:rPr>
        <w:t>on</w:t>
      </w:r>
      <w:r>
        <w:rPr>
          <w:spacing w:val="-8"/>
          <w:sz w:val="18"/>
        </w:rPr>
        <w:t xml:space="preserve"> </w:t>
      </w:r>
      <w:r>
        <w:rPr>
          <w:sz w:val="18"/>
        </w:rPr>
        <w:t>the</w:t>
      </w:r>
      <w:r>
        <w:rPr>
          <w:spacing w:val="-9"/>
          <w:sz w:val="18"/>
        </w:rPr>
        <w:t xml:space="preserve"> </w:t>
      </w:r>
      <w:r>
        <w:rPr>
          <w:sz w:val="18"/>
        </w:rPr>
        <w:t>Preliminary</w:t>
      </w:r>
      <w:r>
        <w:rPr>
          <w:spacing w:val="-9"/>
          <w:sz w:val="18"/>
        </w:rPr>
        <w:t xml:space="preserve"> </w:t>
      </w:r>
      <w:r>
        <w:rPr>
          <w:sz w:val="18"/>
        </w:rPr>
        <w:t>Determination</w:t>
      </w:r>
      <w:r>
        <w:rPr>
          <w:spacing w:val="-8"/>
          <w:sz w:val="18"/>
        </w:rPr>
        <w:t xml:space="preserve"> </w:t>
      </w:r>
      <w:r>
        <w:rPr>
          <w:sz w:val="18"/>
        </w:rPr>
        <w:t>(Exhibit</w:t>
      </w:r>
      <w:r>
        <w:rPr>
          <w:spacing w:val="-9"/>
          <w:sz w:val="18"/>
        </w:rPr>
        <w:t xml:space="preserve"> </w:t>
      </w:r>
      <w:r>
        <w:rPr>
          <w:sz w:val="18"/>
        </w:rPr>
        <w:t>AUS‐38),</w:t>
      </w:r>
      <w:r>
        <w:rPr>
          <w:spacing w:val="-9"/>
          <w:sz w:val="18"/>
        </w:rPr>
        <w:t xml:space="preserve"> </w:t>
      </w:r>
      <w:r>
        <w:rPr>
          <w:sz w:val="18"/>
        </w:rPr>
        <w:t>p.</w:t>
      </w:r>
      <w:r>
        <w:rPr>
          <w:spacing w:val="-8"/>
          <w:sz w:val="18"/>
        </w:rPr>
        <w:t xml:space="preserve"> </w:t>
      </w:r>
      <w:r>
        <w:rPr>
          <w:spacing w:val="-5"/>
          <w:sz w:val="18"/>
        </w:rPr>
        <w:t>7.</w:t>
      </w:r>
    </w:p>
    <w:p w14:paraId="51DE8A64" w14:textId="77777777" w:rsidR="0010369C" w:rsidRDefault="008E43AE">
      <w:pPr>
        <w:ind w:left="238"/>
        <w:rPr>
          <w:sz w:val="18"/>
        </w:rPr>
      </w:pPr>
      <w:r>
        <w:rPr>
          <w:sz w:val="18"/>
          <w:vertAlign w:val="superscript"/>
        </w:rPr>
        <w:t>475</w:t>
      </w:r>
      <w:r>
        <w:rPr>
          <w:spacing w:val="-9"/>
          <w:sz w:val="18"/>
        </w:rPr>
        <w:t xml:space="preserve"> </w:t>
      </w:r>
      <w:r>
        <w:rPr>
          <w:sz w:val="18"/>
        </w:rPr>
        <w:t>Anti‐Dumping</w:t>
      </w:r>
      <w:r>
        <w:rPr>
          <w:spacing w:val="-9"/>
          <w:sz w:val="18"/>
        </w:rPr>
        <w:t xml:space="preserve"> </w:t>
      </w:r>
      <w:r>
        <w:rPr>
          <w:sz w:val="18"/>
        </w:rPr>
        <w:t>Final</w:t>
      </w:r>
      <w:r>
        <w:rPr>
          <w:spacing w:val="-9"/>
          <w:sz w:val="18"/>
        </w:rPr>
        <w:t xml:space="preserve"> </w:t>
      </w:r>
      <w:r>
        <w:rPr>
          <w:sz w:val="18"/>
        </w:rPr>
        <w:t>Determination</w:t>
      </w:r>
      <w:r>
        <w:rPr>
          <w:spacing w:val="-8"/>
          <w:sz w:val="18"/>
        </w:rPr>
        <w:t xml:space="preserve"> </w:t>
      </w:r>
      <w:r>
        <w:rPr>
          <w:sz w:val="18"/>
        </w:rPr>
        <w:t>(Exhibit</w:t>
      </w:r>
      <w:r>
        <w:rPr>
          <w:spacing w:val="-9"/>
          <w:sz w:val="18"/>
        </w:rPr>
        <w:t xml:space="preserve"> </w:t>
      </w:r>
      <w:r>
        <w:rPr>
          <w:sz w:val="18"/>
        </w:rPr>
        <w:t>AUS‐2),</w:t>
      </w:r>
      <w:r>
        <w:rPr>
          <w:spacing w:val="-9"/>
          <w:sz w:val="18"/>
        </w:rPr>
        <w:t xml:space="preserve"> </w:t>
      </w:r>
      <w:r>
        <w:rPr>
          <w:sz w:val="18"/>
        </w:rPr>
        <w:t>p.</w:t>
      </w:r>
      <w:r>
        <w:rPr>
          <w:spacing w:val="-9"/>
          <w:sz w:val="18"/>
        </w:rPr>
        <w:t xml:space="preserve"> </w:t>
      </w:r>
      <w:r>
        <w:rPr>
          <w:spacing w:val="-5"/>
          <w:sz w:val="18"/>
        </w:rPr>
        <w:t>90</w:t>
      </w:r>
    </w:p>
    <w:p w14:paraId="51DE8A65" w14:textId="77777777" w:rsidR="0010369C" w:rsidRDefault="008E43AE">
      <w:pPr>
        <w:ind w:left="238"/>
        <w:rPr>
          <w:sz w:val="18"/>
        </w:rPr>
      </w:pPr>
      <w:r>
        <w:rPr>
          <w:sz w:val="18"/>
          <w:vertAlign w:val="superscript"/>
        </w:rPr>
        <w:t>476</w:t>
      </w:r>
      <w:r>
        <w:rPr>
          <w:spacing w:val="-6"/>
          <w:sz w:val="18"/>
        </w:rPr>
        <w:t xml:space="preserve"> </w:t>
      </w:r>
      <w:r>
        <w:rPr>
          <w:sz w:val="18"/>
        </w:rPr>
        <w:t>Article</w:t>
      </w:r>
      <w:r>
        <w:rPr>
          <w:spacing w:val="-6"/>
          <w:sz w:val="18"/>
        </w:rPr>
        <w:t xml:space="preserve"> </w:t>
      </w:r>
      <w:r>
        <w:rPr>
          <w:sz w:val="18"/>
        </w:rPr>
        <w:t>2.2.1.1</w:t>
      </w:r>
      <w:r>
        <w:rPr>
          <w:spacing w:val="-5"/>
          <w:sz w:val="18"/>
        </w:rPr>
        <w:t xml:space="preserve"> </w:t>
      </w:r>
      <w:r>
        <w:rPr>
          <w:sz w:val="18"/>
        </w:rPr>
        <w:t>of</w:t>
      </w:r>
      <w:r>
        <w:rPr>
          <w:spacing w:val="-6"/>
          <w:sz w:val="18"/>
        </w:rPr>
        <w:t xml:space="preserve"> </w:t>
      </w:r>
      <w:r>
        <w:rPr>
          <w:sz w:val="18"/>
        </w:rPr>
        <w:t>the</w:t>
      </w:r>
      <w:r>
        <w:rPr>
          <w:spacing w:val="-6"/>
          <w:sz w:val="18"/>
        </w:rPr>
        <w:t xml:space="preserve"> </w:t>
      </w:r>
      <w:r>
        <w:rPr>
          <w:sz w:val="18"/>
        </w:rPr>
        <w:t>Anti‐Dumping</w:t>
      </w:r>
      <w:r>
        <w:rPr>
          <w:spacing w:val="-5"/>
          <w:sz w:val="18"/>
        </w:rPr>
        <w:t xml:space="preserve"> </w:t>
      </w:r>
      <w:r>
        <w:rPr>
          <w:spacing w:val="-2"/>
          <w:sz w:val="18"/>
        </w:rPr>
        <w:t>Agreement.</w:t>
      </w:r>
    </w:p>
    <w:p w14:paraId="51DE8A66" w14:textId="77777777" w:rsidR="0010369C" w:rsidRDefault="008E43AE">
      <w:pPr>
        <w:ind w:left="238"/>
        <w:rPr>
          <w:sz w:val="18"/>
        </w:rPr>
      </w:pPr>
      <w:r>
        <w:rPr>
          <w:sz w:val="18"/>
          <w:vertAlign w:val="superscript"/>
        </w:rPr>
        <w:t>477</w:t>
      </w:r>
      <w:r>
        <w:rPr>
          <w:spacing w:val="-7"/>
          <w:sz w:val="18"/>
        </w:rPr>
        <w:t xml:space="preserve"> </w:t>
      </w:r>
      <w:r>
        <w:rPr>
          <w:sz w:val="18"/>
        </w:rPr>
        <w:t>The</w:t>
      </w:r>
      <w:r>
        <w:rPr>
          <w:spacing w:val="-8"/>
          <w:sz w:val="18"/>
        </w:rPr>
        <w:t xml:space="preserve"> </w:t>
      </w:r>
      <w:r>
        <w:rPr>
          <w:sz w:val="18"/>
        </w:rPr>
        <w:t>IFRS</w:t>
      </w:r>
      <w:r>
        <w:rPr>
          <w:spacing w:val="-7"/>
          <w:sz w:val="18"/>
        </w:rPr>
        <w:t xml:space="preserve"> </w:t>
      </w:r>
      <w:r>
        <w:rPr>
          <w:sz w:val="18"/>
        </w:rPr>
        <w:t>is</w:t>
      </w:r>
      <w:r>
        <w:rPr>
          <w:spacing w:val="-7"/>
          <w:sz w:val="18"/>
        </w:rPr>
        <w:t xml:space="preserve"> </w:t>
      </w:r>
      <w:r>
        <w:rPr>
          <w:sz w:val="18"/>
        </w:rPr>
        <w:t>the</w:t>
      </w:r>
      <w:r>
        <w:rPr>
          <w:spacing w:val="-7"/>
          <w:sz w:val="18"/>
        </w:rPr>
        <w:t xml:space="preserve"> </w:t>
      </w:r>
      <w:r>
        <w:rPr>
          <w:sz w:val="18"/>
        </w:rPr>
        <w:t>Australian</w:t>
      </w:r>
      <w:r>
        <w:rPr>
          <w:spacing w:val="-8"/>
          <w:sz w:val="18"/>
        </w:rPr>
        <w:t xml:space="preserve"> </w:t>
      </w:r>
      <w:r>
        <w:rPr>
          <w:sz w:val="18"/>
        </w:rPr>
        <w:t>equivalent</w:t>
      </w:r>
      <w:r>
        <w:rPr>
          <w:spacing w:val="-8"/>
          <w:sz w:val="18"/>
        </w:rPr>
        <w:t xml:space="preserve"> </w:t>
      </w:r>
      <w:r>
        <w:rPr>
          <w:sz w:val="18"/>
        </w:rPr>
        <w:t>of</w:t>
      </w:r>
      <w:r>
        <w:rPr>
          <w:spacing w:val="-7"/>
          <w:sz w:val="18"/>
        </w:rPr>
        <w:t xml:space="preserve"> </w:t>
      </w:r>
      <w:r>
        <w:rPr>
          <w:sz w:val="18"/>
        </w:rPr>
        <w:t>the</w:t>
      </w:r>
      <w:r>
        <w:rPr>
          <w:spacing w:val="-7"/>
          <w:sz w:val="18"/>
        </w:rPr>
        <w:t xml:space="preserve"> </w:t>
      </w:r>
      <w:r>
        <w:rPr>
          <w:sz w:val="18"/>
        </w:rPr>
        <w:t>American</w:t>
      </w:r>
      <w:r>
        <w:rPr>
          <w:spacing w:val="-8"/>
          <w:sz w:val="18"/>
        </w:rPr>
        <w:t xml:space="preserve"> </w:t>
      </w:r>
      <w:r>
        <w:rPr>
          <w:sz w:val="18"/>
        </w:rPr>
        <w:t>Generally</w:t>
      </w:r>
      <w:r>
        <w:rPr>
          <w:spacing w:val="-7"/>
          <w:sz w:val="18"/>
        </w:rPr>
        <w:t xml:space="preserve"> </w:t>
      </w:r>
      <w:r>
        <w:rPr>
          <w:sz w:val="18"/>
        </w:rPr>
        <w:t>Accepted</w:t>
      </w:r>
      <w:r>
        <w:rPr>
          <w:spacing w:val="-7"/>
          <w:sz w:val="18"/>
        </w:rPr>
        <w:t xml:space="preserve"> </w:t>
      </w:r>
      <w:r>
        <w:rPr>
          <w:sz w:val="18"/>
        </w:rPr>
        <w:t>Accounting</w:t>
      </w:r>
      <w:r>
        <w:rPr>
          <w:spacing w:val="-7"/>
          <w:sz w:val="18"/>
        </w:rPr>
        <w:t xml:space="preserve"> </w:t>
      </w:r>
      <w:r>
        <w:rPr>
          <w:sz w:val="18"/>
        </w:rPr>
        <w:t>Principles</w:t>
      </w:r>
      <w:r>
        <w:rPr>
          <w:spacing w:val="-7"/>
          <w:sz w:val="18"/>
        </w:rPr>
        <w:t xml:space="preserve"> </w:t>
      </w:r>
      <w:r>
        <w:rPr>
          <w:spacing w:val="-2"/>
          <w:sz w:val="18"/>
        </w:rPr>
        <w:t>(GAAP).</w:t>
      </w:r>
    </w:p>
    <w:p w14:paraId="51DE8A67" w14:textId="77777777" w:rsidR="0010369C" w:rsidRDefault="0010369C">
      <w:pPr>
        <w:rPr>
          <w:sz w:val="18"/>
        </w:rPr>
        <w:sectPr w:rsidR="0010369C">
          <w:headerReference w:type="default" r:id="rId586"/>
          <w:footerReference w:type="default" r:id="rId587"/>
          <w:pgSz w:w="11910" w:h="16840"/>
          <w:pgMar w:top="880" w:right="800" w:bottom="980" w:left="1180" w:header="569" w:footer="788" w:gutter="0"/>
          <w:cols w:space="720"/>
        </w:sectPr>
      </w:pPr>
    </w:p>
    <w:p w14:paraId="51DE8A68" w14:textId="77777777" w:rsidR="0010369C" w:rsidRDefault="008E43AE">
      <w:pPr>
        <w:tabs>
          <w:tab w:val="left" w:pos="6426"/>
        </w:tabs>
        <w:ind w:left="238"/>
        <w:jc w:val="both"/>
        <w:rPr>
          <w:sz w:val="20"/>
        </w:rPr>
      </w:pPr>
      <w:r>
        <w:rPr>
          <w:i/>
          <w:sz w:val="20"/>
        </w:rPr>
        <w:lastRenderedPageBreak/>
        <w:t>China</w:t>
      </w:r>
      <w:r>
        <w:rPr>
          <w:i/>
          <w:spacing w:val="-5"/>
          <w:sz w:val="20"/>
        </w:rPr>
        <w:t xml:space="preserve"> </w:t>
      </w:r>
      <w:r>
        <w:rPr>
          <w:i/>
          <w:sz w:val="20"/>
        </w:rPr>
        <w:t>–</w:t>
      </w:r>
      <w:r>
        <w:rPr>
          <w:i/>
          <w:spacing w:val="-5"/>
          <w:sz w:val="20"/>
        </w:rPr>
        <w:t xml:space="preserve"> </w:t>
      </w:r>
      <w:r>
        <w:rPr>
          <w:i/>
          <w:sz w:val="20"/>
        </w:rPr>
        <w:t>Anti‐Dumping</w:t>
      </w:r>
      <w:r>
        <w:rPr>
          <w:i/>
          <w:spacing w:val="-4"/>
          <w:sz w:val="20"/>
        </w:rPr>
        <w:t xml:space="preserve"> </w:t>
      </w:r>
      <w:r>
        <w:rPr>
          <w:i/>
          <w:sz w:val="20"/>
        </w:rPr>
        <w:t>and</w:t>
      </w:r>
      <w:r>
        <w:rPr>
          <w:i/>
          <w:spacing w:val="-5"/>
          <w:sz w:val="20"/>
        </w:rPr>
        <w:t xml:space="preserve"> </w:t>
      </w:r>
      <w:r>
        <w:rPr>
          <w:i/>
          <w:sz w:val="20"/>
        </w:rPr>
        <w:t>Countervailing</w:t>
      </w:r>
      <w:r>
        <w:rPr>
          <w:i/>
          <w:spacing w:val="-5"/>
          <w:sz w:val="20"/>
        </w:rPr>
        <w:t xml:space="preserve"> </w:t>
      </w:r>
      <w:r>
        <w:rPr>
          <w:i/>
          <w:sz w:val="20"/>
        </w:rPr>
        <w:t>Duty</w:t>
      </w:r>
      <w:r>
        <w:rPr>
          <w:i/>
          <w:spacing w:val="-4"/>
          <w:sz w:val="20"/>
        </w:rPr>
        <w:t xml:space="preserve"> </w:t>
      </w:r>
      <w:r>
        <w:rPr>
          <w:i/>
          <w:spacing w:val="-2"/>
          <w:sz w:val="20"/>
        </w:rPr>
        <w:t>Measures</w:t>
      </w:r>
      <w:r>
        <w:rPr>
          <w:i/>
          <w:sz w:val="20"/>
        </w:rPr>
        <w:tab/>
      </w:r>
      <w:r>
        <w:rPr>
          <w:sz w:val="20"/>
        </w:rPr>
        <w:t>Australia's</w:t>
      </w:r>
      <w:r>
        <w:rPr>
          <w:spacing w:val="-7"/>
          <w:sz w:val="20"/>
        </w:rPr>
        <w:t xml:space="preserve"> </w:t>
      </w:r>
      <w:r>
        <w:rPr>
          <w:sz w:val="20"/>
        </w:rPr>
        <w:t>First</w:t>
      </w:r>
      <w:r>
        <w:rPr>
          <w:spacing w:val="-2"/>
          <w:sz w:val="20"/>
        </w:rPr>
        <w:t xml:space="preserve"> </w:t>
      </w:r>
      <w:r>
        <w:rPr>
          <w:sz w:val="20"/>
        </w:rPr>
        <w:t>Written</w:t>
      </w:r>
      <w:r>
        <w:rPr>
          <w:spacing w:val="-2"/>
          <w:sz w:val="20"/>
        </w:rPr>
        <w:t xml:space="preserve"> Submission</w:t>
      </w:r>
    </w:p>
    <w:p w14:paraId="51DE8A69" w14:textId="77777777" w:rsidR="0010369C" w:rsidRDefault="008E43AE">
      <w:pPr>
        <w:tabs>
          <w:tab w:val="left" w:pos="8228"/>
        </w:tabs>
        <w:spacing w:before="1"/>
        <w:ind w:left="239"/>
        <w:jc w:val="both"/>
        <w:rPr>
          <w:sz w:val="20"/>
        </w:rPr>
      </w:pPr>
      <w:r>
        <w:rPr>
          <w:i/>
          <w:sz w:val="20"/>
        </w:rPr>
        <w:t>on</w:t>
      </w:r>
      <w:r>
        <w:rPr>
          <w:i/>
          <w:spacing w:val="-1"/>
          <w:sz w:val="20"/>
        </w:rPr>
        <w:t xml:space="preserve"> </w:t>
      </w:r>
      <w:r>
        <w:rPr>
          <w:i/>
          <w:sz w:val="20"/>
        </w:rPr>
        <w:t>Wine</w:t>
      </w:r>
      <w:r>
        <w:rPr>
          <w:i/>
          <w:spacing w:val="-1"/>
          <w:sz w:val="20"/>
        </w:rPr>
        <w:t xml:space="preserve"> </w:t>
      </w:r>
      <w:r>
        <w:rPr>
          <w:i/>
          <w:sz w:val="20"/>
        </w:rPr>
        <w:t>from</w:t>
      </w:r>
      <w:r>
        <w:rPr>
          <w:i/>
          <w:spacing w:val="-3"/>
          <w:sz w:val="20"/>
        </w:rPr>
        <w:t xml:space="preserve"> </w:t>
      </w:r>
      <w:r>
        <w:rPr>
          <w:i/>
          <w:sz w:val="20"/>
        </w:rPr>
        <w:t>Australia</w:t>
      </w:r>
      <w:r>
        <w:rPr>
          <w:i/>
          <w:spacing w:val="-1"/>
          <w:sz w:val="20"/>
        </w:rPr>
        <w:t xml:space="preserve"> </w:t>
      </w:r>
      <w:r>
        <w:rPr>
          <w:spacing w:val="-2"/>
          <w:sz w:val="20"/>
        </w:rPr>
        <w:t>(DS602)</w:t>
      </w:r>
      <w:r>
        <w:rPr>
          <w:sz w:val="20"/>
        </w:rPr>
        <w:tab/>
        <w:t>29</w:t>
      </w:r>
      <w:r>
        <w:rPr>
          <w:spacing w:val="-1"/>
          <w:sz w:val="20"/>
        </w:rPr>
        <w:t xml:space="preserve"> </w:t>
      </w:r>
      <w:r>
        <w:rPr>
          <w:sz w:val="20"/>
        </w:rPr>
        <w:t>April</w:t>
      </w:r>
      <w:r>
        <w:rPr>
          <w:spacing w:val="-2"/>
          <w:sz w:val="20"/>
        </w:rPr>
        <w:t xml:space="preserve"> </w:t>
      </w:r>
      <w:r>
        <w:rPr>
          <w:spacing w:val="-4"/>
          <w:sz w:val="20"/>
        </w:rPr>
        <w:t>2022</w:t>
      </w:r>
    </w:p>
    <w:p w14:paraId="51DE8A6A" w14:textId="77777777" w:rsidR="0010369C" w:rsidRDefault="008E43AE">
      <w:pPr>
        <w:pStyle w:val="BodyText"/>
        <w:spacing w:before="34" w:line="360" w:lineRule="auto"/>
        <w:ind w:left="236" w:right="613" w:firstLine="1"/>
        <w:jc w:val="both"/>
      </w:pPr>
      <w:r>
        <w:t>verifiable</w:t>
      </w:r>
      <w:r>
        <w:rPr>
          <w:spacing w:val="-4"/>
        </w:rPr>
        <w:t xml:space="preserve"> </w:t>
      </w:r>
      <w:r>
        <w:t>within</w:t>
      </w:r>
      <w:r>
        <w:rPr>
          <w:spacing w:val="-3"/>
        </w:rPr>
        <w:t xml:space="preserve"> </w:t>
      </w:r>
      <w:r>
        <w:t>the</w:t>
      </w:r>
      <w:r>
        <w:rPr>
          <w:spacing w:val="-2"/>
        </w:rPr>
        <w:t xml:space="preserve"> </w:t>
      </w:r>
      <w:r>
        <w:t>meaning</w:t>
      </w:r>
      <w:r>
        <w:rPr>
          <w:spacing w:val="-3"/>
        </w:rPr>
        <w:t xml:space="preserve"> </w:t>
      </w:r>
      <w:r>
        <w:t>of</w:t>
      </w:r>
      <w:r>
        <w:rPr>
          <w:spacing w:val="-3"/>
        </w:rPr>
        <w:t xml:space="preserve"> </w:t>
      </w:r>
      <w:r>
        <w:t>paragraph</w:t>
      </w:r>
      <w:r>
        <w:rPr>
          <w:spacing w:val="-2"/>
        </w:rPr>
        <w:t xml:space="preserve"> </w:t>
      </w:r>
      <w:r>
        <w:t>3</w:t>
      </w:r>
      <w:r>
        <w:rPr>
          <w:spacing w:val="-3"/>
        </w:rPr>
        <w:t xml:space="preserve"> </w:t>
      </w:r>
      <w:r>
        <w:t>of</w:t>
      </w:r>
      <w:r>
        <w:rPr>
          <w:spacing w:val="-4"/>
        </w:rPr>
        <w:t xml:space="preserve"> </w:t>
      </w:r>
      <w:r>
        <w:t>Annex</w:t>
      </w:r>
      <w:r>
        <w:rPr>
          <w:spacing w:val="-3"/>
        </w:rPr>
        <w:t xml:space="preserve"> </w:t>
      </w:r>
      <w:r>
        <w:t>II.</w:t>
      </w:r>
      <w:r>
        <w:rPr>
          <w:spacing w:val="-3"/>
        </w:rPr>
        <w:t xml:space="preserve"> </w:t>
      </w:r>
      <w:r>
        <w:t>There</w:t>
      </w:r>
      <w:r>
        <w:rPr>
          <w:spacing w:val="-2"/>
        </w:rPr>
        <w:t xml:space="preserve"> </w:t>
      </w:r>
      <w:r>
        <w:t>is</w:t>
      </w:r>
      <w:r>
        <w:rPr>
          <w:spacing w:val="-3"/>
        </w:rPr>
        <w:t xml:space="preserve"> </w:t>
      </w:r>
      <w:r>
        <w:t>no</w:t>
      </w:r>
      <w:r>
        <w:rPr>
          <w:spacing w:val="-2"/>
        </w:rPr>
        <w:t xml:space="preserve"> </w:t>
      </w:r>
      <w:r>
        <w:t>evidence</w:t>
      </w:r>
      <w:r>
        <w:rPr>
          <w:spacing w:val="-3"/>
        </w:rPr>
        <w:t xml:space="preserve"> </w:t>
      </w:r>
      <w:r>
        <w:t>to</w:t>
      </w:r>
      <w:r>
        <w:rPr>
          <w:spacing w:val="-2"/>
        </w:rPr>
        <w:t xml:space="preserve"> </w:t>
      </w:r>
      <w:r>
        <w:t>suggest</w:t>
      </w:r>
      <w:r>
        <w:rPr>
          <w:spacing w:val="-3"/>
        </w:rPr>
        <w:t xml:space="preserve"> </w:t>
      </w:r>
      <w:r>
        <w:t>that MOFCOM made any meaningful effort to verify the substantial amount of information and data submitted by Swan Vintage. MOFCOM's decision not to take steps to verify the information,</w:t>
      </w:r>
      <w:r>
        <w:rPr>
          <w:spacing w:val="-3"/>
        </w:rPr>
        <w:t xml:space="preserve"> </w:t>
      </w:r>
      <w:r>
        <w:t>while</w:t>
      </w:r>
      <w:r>
        <w:rPr>
          <w:spacing w:val="-3"/>
        </w:rPr>
        <w:t xml:space="preserve"> </w:t>
      </w:r>
      <w:r>
        <w:t>seemingly</w:t>
      </w:r>
      <w:r>
        <w:rPr>
          <w:spacing w:val="-3"/>
        </w:rPr>
        <w:t xml:space="preserve"> </w:t>
      </w:r>
      <w:r>
        <w:t>harbouring</w:t>
      </w:r>
      <w:r>
        <w:rPr>
          <w:spacing w:val="-4"/>
        </w:rPr>
        <w:t xml:space="preserve"> </w:t>
      </w:r>
      <w:r>
        <w:t>concerns,</w:t>
      </w:r>
      <w:r>
        <w:rPr>
          <w:spacing w:val="-3"/>
        </w:rPr>
        <w:t xml:space="preserve"> </w:t>
      </w:r>
      <w:r>
        <w:t>cannot</w:t>
      </w:r>
      <w:r>
        <w:rPr>
          <w:spacing w:val="-4"/>
        </w:rPr>
        <w:t xml:space="preserve"> </w:t>
      </w:r>
      <w:r>
        <w:t>reasonably</w:t>
      </w:r>
      <w:r>
        <w:rPr>
          <w:spacing w:val="-4"/>
        </w:rPr>
        <w:t xml:space="preserve"> </w:t>
      </w:r>
      <w:r>
        <w:t>have</w:t>
      </w:r>
      <w:r>
        <w:rPr>
          <w:spacing w:val="-3"/>
        </w:rPr>
        <w:t xml:space="preserve"> </w:t>
      </w:r>
      <w:r>
        <w:t>the</w:t>
      </w:r>
      <w:r>
        <w:rPr>
          <w:spacing w:val="-3"/>
        </w:rPr>
        <w:t xml:space="preserve"> </w:t>
      </w:r>
      <w:r>
        <w:t>conseq</w:t>
      </w:r>
      <w:r>
        <w:t>uence of meaning the "necessary" information was missing or withheld.</w:t>
      </w:r>
    </w:p>
    <w:p w14:paraId="51DE8A6B" w14:textId="77777777" w:rsidR="0010369C" w:rsidRDefault="0010369C">
      <w:pPr>
        <w:pStyle w:val="BodyText"/>
        <w:spacing w:before="11"/>
        <w:rPr>
          <w:sz w:val="8"/>
        </w:rPr>
      </w:pPr>
    </w:p>
    <w:p w14:paraId="51DE8A6C" w14:textId="77777777" w:rsidR="0010369C" w:rsidRDefault="008E43AE">
      <w:pPr>
        <w:pStyle w:val="BodyText"/>
        <w:spacing w:before="51" w:line="360" w:lineRule="auto"/>
        <w:ind w:left="237" w:right="613" w:firstLine="851"/>
        <w:jc w:val="both"/>
      </w:pPr>
      <w:r>
        <w:rPr>
          <w:noProof/>
        </w:rPr>
        <w:drawing>
          <wp:anchor distT="0" distB="0" distL="0" distR="0" simplePos="0" relativeHeight="251077120" behindDoc="1" locked="0" layoutInCell="1" allowOverlap="1" wp14:anchorId="51DEA325" wp14:editId="51DEA326">
            <wp:simplePos x="0" y="0"/>
            <wp:positionH relativeFrom="page">
              <wp:posOffset>899160</wp:posOffset>
            </wp:positionH>
            <wp:positionV relativeFrom="paragraph">
              <wp:posOffset>79960</wp:posOffset>
            </wp:positionV>
            <wp:extent cx="265175" cy="103631"/>
            <wp:effectExtent l="0" t="0" r="0" b="0"/>
            <wp:wrapNone/>
            <wp:docPr id="871" name="image4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 name="image446.png"/>
                    <pic:cNvPicPr/>
                  </pic:nvPicPr>
                  <pic:blipFill>
                    <a:blip r:embed="rId588" cstate="print"/>
                    <a:stretch>
                      <a:fillRect/>
                    </a:stretch>
                  </pic:blipFill>
                  <pic:spPr>
                    <a:xfrm>
                      <a:off x="0" y="0"/>
                      <a:ext cx="265175" cy="103631"/>
                    </a:xfrm>
                    <a:prstGeom prst="rect">
                      <a:avLst/>
                    </a:prstGeom>
                  </pic:spPr>
                </pic:pic>
              </a:graphicData>
            </a:graphic>
          </wp:anchor>
        </w:drawing>
      </w:r>
      <w:r>
        <w:t xml:space="preserve">The Panel in </w:t>
      </w:r>
      <w:r>
        <w:rPr>
          <w:i/>
        </w:rPr>
        <w:t xml:space="preserve">US – Steel Plate </w:t>
      </w:r>
      <w:r>
        <w:t>found that information is "verifiable" if "the accuracy and reliability</w:t>
      </w:r>
      <w:r>
        <w:rPr>
          <w:spacing w:val="-1"/>
        </w:rPr>
        <w:t xml:space="preserve"> </w:t>
      </w:r>
      <w:r>
        <w:t>of the information</w:t>
      </w:r>
      <w:r>
        <w:rPr>
          <w:spacing w:val="-1"/>
        </w:rPr>
        <w:t xml:space="preserve"> </w:t>
      </w:r>
      <w:r>
        <w:t>can</w:t>
      </w:r>
      <w:r>
        <w:rPr>
          <w:spacing w:val="-2"/>
        </w:rPr>
        <w:t xml:space="preserve"> </w:t>
      </w:r>
      <w:r>
        <w:t>be assessed by an</w:t>
      </w:r>
      <w:r>
        <w:rPr>
          <w:spacing w:val="-1"/>
        </w:rPr>
        <w:t xml:space="preserve"> </w:t>
      </w:r>
      <w:r>
        <w:t>objective process of examination".</w:t>
      </w:r>
      <w:r>
        <w:rPr>
          <w:vertAlign w:val="superscript"/>
        </w:rPr>
        <w:t>478</w:t>
      </w:r>
      <w:r>
        <w:t xml:space="preserve"> That is, the information must be </w:t>
      </w:r>
      <w:r>
        <w:rPr>
          <w:i/>
        </w:rPr>
        <w:t xml:space="preserve">susceptible </w:t>
      </w:r>
      <w:r>
        <w:t>of verification. Minor flaws do not mean that information is unverifiable, "so long as the submitter has acted to the best of its ability".</w:t>
      </w:r>
      <w:r>
        <w:rPr>
          <w:vertAlign w:val="superscript"/>
        </w:rPr>
        <w:t>479</w:t>
      </w:r>
    </w:p>
    <w:p w14:paraId="51DE8A6D" w14:textId="77777777" w:rsidR="0010369C" w:rsidRDefault="0010369C">
      <w:pPr>
        <w:pStyle w:val="BodyText"/>
        <w:spacing w:before="11"/>
        <w:rPr>
          <w:sz w:val="8"/>
        </w:rPr>
      </w:pPr>
    </w:p>
    <w:p w14:paraId="51DE8A6E" w14:textId="77777777" w:rsidR="0010369C" w:rsidRDefault="008E43AE">
      <w:pPr>
        <w:pStyle w:val="BodyText"/>
        <w:spacing w:before="51" w:line="360" w:lineRule="auto"/>
        <w:ind w:left="237" w:right="613" w:firstLine="852"/>
        <w:jc w:val="both"/>
      </w:pPr>
      <w:r>
        <w:rPr>
          <w:noProof/>
        </w:rPr>
        <w:drawing>
          <wp:anchor distT="0" distB="0" distL="0" distR="0" simplePos="0" relativeHeight="251078144" behindDoc="1" locked="0" layoutInCell="1" allowOverlap="1" wp14:anchorId="51DEA327" wp14:editId="51DEA328">
            <wp:simplePos x="0" y="0"/>
            <wp:positionH relativeFrom="page">
              <wp:posOffset>899160</wp:posOffset>
            </wp:positionH>
            <wp:positionV relativeFrom="paragraph">
              <wp:posOffset>81315</wp:posOffset>
            </wp:positionV>
            <wp:extent cx="265175" cy="100753"/>
            <wp:effectExtent l="0" t="0" r="0" b="0"/>
            <wp:wrapNone/>
            <wp:docPr id="873" name="image4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 name="image447.png"/>
                    <pic:cNvPicPr/>
                  </pic:nvPicPr>
                  <pic:blipFill>
                    <a:blip r:embed="rId589" cstate="print"/>
                    <a:stretch>
                      <a:fillRect/>
                    </a:stretch>
                  </pic:blipFill>
                  <pic:spPr>
                    <a:xfrm>
                      <a:off x="0" y="0"/>
                      <a:ext cx="265175" cy="100753"/>
                    </a:xfrm>
                    <a:prstGeom prst="rect">
                      <a:avLst/>
                    </a:prstGeom>
                  </pic:spPr>
                </pic:pic>
              </a:graphicData>
            </a:graphic>
          </wp:anchor>
        </w:drawing>
      </w:r>
      <w:r>
        <w:t>Swan Vintage's system of cla</w:t>
      </w:r>
      <w:r>
        <w:t>ssifying product types according to its usual accounting practices could not have rendered the entirety of the costs data unverifiable and unusable. According</w:t>
      </w:r>
      <w:r>
        <w:rPr>
          <w:spacing w:val="-6"/>
        </w:rPr>
        <w:t xml:space="preserve"> </w:t>
      </w:r>
      <w:r>
        <w:t>to</w:t>
      </w:r>
      <w:r>
        <w:rPr>
          <w:spacing w:val="-5"/>
        </w:rPr>
        <w:t xml:space="preserve"> </w:t>
      </w:r>
      <w:r>
        <w:t>Article</w:t>
      </w:r>
      <w:r>
        <w:rPr>
          <w:spacing w:val="-5"/>
        </w:rPr>
        <w:t xml:space="preserve"> </w:t>
      </w:r>
      <w:r>
        <w:t>2.2.1.1,</w:t>
      </w:r>
      <w:r>
        <w:rPr>
          <w:spacing w:val="-5"/>
        </w:rPr>
        <w:t xml:space="preserve"> </w:t>
      </w:r>
      <w:r>
        <w:t>costs</w:t>
      </w:r>
      <w:r>
        <w:rPr>
          <w:spacing w:val="-6"/>
        </w:rPr>
        <w:t xml:space="preserve"> </w:t>
      </w:r>
      <w:r>
        <w:t>are</w:t>
      </w:r>
      <w:r>
        <w:rPr>
          <w:spacing w:val="-5"/>
        </w:rPr>
        <w:t xml:space="preserve"> </w:t>
      </w:r>
      <w:r>
        <w:t>normally</w:t>
      </w:r>
      <w:r>
        <w:rPr>
          <w:spacing w:val="-4"/>
        </w:rPr>
        <w:t xml:space="preserve"> </w:t>
      </w:r>
      <w:r>
        <w:t>"calculated</w:t>
      </w:r>
      <w:r>
        <w:rPr>
          <w:spacing w:val="-6"/>
        </w:rPr>
        <w:t xml:space="preserve"> </w:t>
      </w:r>
      <w:r>
        <w:t>on</w:t>
      </w:r>
      <w:r>
        <w:rPr>
          <w:spacing w:val="-5"/>
        </w:rPr>
        <w:t xml:space="preserve"> </w:t>
      </w:r>
      <w:r>
        <w:t>the</w:t>
      </w:r>
      <w:r>
        <w:rPr>
          <w:spacing w:val="-5"/>
        </w:rPr>
        <w:t xml:space="preserve"> </w:t>
      </w:r>
      <w:r>
        <w:t>basis</w:t>
      </w:r>
      <w:r>
        <w:rPr>
          <w:spacing w:val="-4"/>
        </w:rPr>
        <w:t xml:space="preserve"> </w:t>
      </w:r>
      <w:r>
        <w:t>of</w:t>
      </w:r>
      <w:r>
        <w:rPr>
          <w:spacing w:val="-5"/>
        </w:rPr>
        <w:t xml:space="preserve"> </w:t>
      </w:r>
      <w:r>
        <w:t>the</w:t>
      </w:r>
      <w:r>
        <w:rPr>
          <w:spacing w:val="-5"/>
        </w:rPr>
        <w:t xml:space="preserve"> </w:t>
      </w:r>
      <w:r>
        <w:t>records</w:t>
      </w:r>
      <w:r>
        <w:rPr>
          <w:spacing w:val="-6"/>
        </w:rPr>
        <w:t xml:space="preserve"> </w:t>
      </w:r>
      <w:r>
        <w:t>kept</w:t>
      </w:r>
      <w:r>
        <w:rPr>
          <w:spacing w:val="-5"/>
        </w:rPr>
        <w:t xml:space="preserve"> </w:t>
      </w:r>
      <w:r>
        <w:t>by the export</w:t>
      </w:r>
      <w:r>
        <w:t xml:space="preserve">er or producer under investigation". To uphold an argument that the exporter's records are not susceptible of verification simply because they do not match MOFCOM's preferred system of classification would entirely undermine the effect of this Article. If </w:t>
      </w:r>
      <w:r>
        <w:t>MOFCOM</w:t>
      </w:r>
      <w:r>
        <w:rPr>
          <w:spacing w:val="-3"/>
        </w:rPr>
        <w:t xml:space="preserve"> </w:t>
      </w:r>
      <w:r>
        <w:t>considered</w:t>
      </w:r>
      <w:r>
        <w:rPr>
          <w:spacing w:val="-5"/>
        </w:rPr>
        <w:t xml:space="preserve"> </w:t>
      </w:r>
      <w:r>
        <w:t>the</w:t>
      </w:r>
      <w:r>
        <w:rPr>
          <w:spacing w:val="-3"/>
        </w:rPr>
        <w:t xml:space="preserve"> </w:t>
      </w:r>
      <w:r>
        <w:t>information</w:t>
      </w:r>
      <w:r>
        <w:rPr>
          <w:spacing w:val="-3"/>
        </w:rPr>
        <w:t xml:space="preserve"> </w:t>
      </w:r>
      <w:r>
        <w:t>to</w:t>
      </w:r>
      <w:r>
        <w:rPr>
          <w:spacing w:val="-3"/>
        </w:rPr>
        <w:t xml:space="preserve"> </w:t>
      </w:r>
      <w:r>
        <w:t>be</w:t>
      </w:r>
      <w:r>
        <w:rPr>
          <w:spacing w:val="-3"/>
        </w:rPr>
        <w:t xml:space="preserve"> </w:t>
      </w:r>
      <w:r>
        <w:t>potentially</w:t>
      </w:r>
      <w:r>
        <w:rPr>
          <w:spacing w:val="-2"/>
        </w:rPr>
        <w:t xml:space="preserve"> </w:t>
      </w:r>
      <w:r>
        <w:t>unreliable,</w:t>
      </w:r>
      <w:r>
        <w:rPr>
          <w:spacing w:val="-3"/>
        </w:rPr>
        <w:t xml:space="preserve"> </w:t>
      </w:r>
      <w:r>
        <w:t>Australia</w:t>
      </w:r>
      <w:r>
        <w:rPr>
          <w:spacing w:val="-4"/>
        </w:rPr>
        <w:t xml:space="preserve"> </w:t>
      </w:r>
      <w:r>
        <w:t>is</w:t>
      </w:r>
      <w:r>
        <w:rPr>
          <w:spacing w:val="-4"/>
        </w:rPr>
        <w:t xml:space="preserve"> </w:t>
      </w:r>
      <w:r>
        <w:t>not</w:t>
      </w:r>
      <w:r>
        <w:rPr>
          <w:spacing w:val="-3"/>
        </w:rPr>
        <w:t xml:space="preserve"> </w:t>
      </w:r>
      <w:r>
        <w:t>aware</w:t>
      </w:r>
      <w:r>
        <w:rPr>
          <w:spacing w:val="-4"/>
        </w:rPr>
        <w:t xml:space="preserve"> </w:t>
      </w:r>
      <w:r>
        <w:t>that MOFCOM took any steps to examine and test the data, for example, by conducting on‐the‐ spot</w:t>
      </w:r>
      <w:r>
        <w:rPr>
          <w:spacing w:val="-2"/>
        </w:rPr>
        <w:t xml:space="preserve"> </w:t>
      </w:r>
      <w:r>
        <w:t>or</w:t>
      </w:r>
      <w:r>
        <w:rPr>
          <w:spacing w:val="-1"/>
        </w:rPr>
        <w:t xml:space="preserve"> </w:t>
      </w:r>
      <w:r>
        <w:t>virtual</w:t>
      </w:r>
      <w:r>
        <w:rPr>
          <w:spacing w:val="-2"/>
        </w:rPr>
        <w:t xml:space="preserve"> </w:t>
      </w:r>
      <w:r>
        <w:t>verification</w:t>
      </w:r>
      <w:r>
        <w:rPr>
          <w:spacing w:val="-2"/>
        </w:rPr>
        <w:t xml:space="preserve"> </w:t>
      </w:r>
      <w:r>
        <w:t>pursuant</w:t>
      </w:r>
      <w:r>
        <w:rPr>
          <w:spacing w:val="-1"/>
        </w:rPr>
        <w:t xml:space="preserve"> </w:t>
      </w:r>
      <w:r>
        <w:t>to</w:t>
      </w:r>
      <w:r>
        <w:rPr>
          <w:spacing w:val="-1"/>
        </w:rPr>
        <w:t xml:space="preserve"> </w:t>
      </w:r>
      <w:r>
        <w:t>Article</w:t>
      </w:r>
      <w:r>
        <w:rPr>
          <w:spacing w:val="-2"/>
        </w:rPr>
        <w:t xml:space="preserve"> </w:t>
      </w:r>
      <w:r>
        <w:t>6.7.</w:t>
      </w:r>
      <w:r>
        <w:rPr>
          <w:spacing w:val="-1"/>
        </w:rPr>
        <w:t xml:space="preserve"> </w:t>
      </w:r>
      <w:r>
        <w:t>It</w:t>
      </w:r>
      <w:r>
        <w:rPr>
          <w:spacing w:val="-2"/>
        </w:rPr>
        <w:t xml:space="preserve"> </w:t>
      </w:r>
      <w:r>
        <w:t>is</w:t>
      </w:r>
      <w:r>
        <w:rPr>
          <w:spacing w:val="-1"/>
        </w:rPr>
        <w:t xml:space="preserve"> </w:t>
      </w:r>
      <w:r>
        <w:t>significant</w:t>
      </w:r>
      <w:r>
        <w:rPr>
          <w:spacing w:val="-1"/>
        </w:rPr>
        <w:t xml:space="preserve"> </w:t>
      </w:r>
      <w:r>
        <w:t>that</w:t>
      </w:r>
      <w:r>
        <w:rPr>
          <w:spacing w:val="-2"/>
        </w:rPr>
        <w:t xml:space="preserve"> </w:t>
      </w:r>
      <w:r>
        <w:t>MOFCOM</w:t>
      </w:r>
      <w:r>
        <w:rPr>
          <w:spacing w:val="-1"/>
        </w:rPr>
        <w:t xml:space="preserve"> </w:t>
      </w:r>
      <w:r>
        <w:t>was</w:t>
      </w:r>
      <w:r>
        <w:rPr>
          <w:spacing w:val="-2"/>
        </w:rPr>
        <w:t xml:space="preserve"> </w:t>
      </w:r>
      <w:r>
        <w:t>satisfied with</w:t>
      </w:r>
      <w:r>
        <w:rPr>
          <w:spacing w:val="-14"/>
        </w:rPr>
        <w:t xml:space="preserve"> </w:t>
      </w:r>
      <w:r>
        <w:t>the</w:t>
      </w:r>
      <w:r>
        <w:rPr>
          <w:spacing w:val="-14"/>
        </w:rPr>
        <w:t xml:space="preserve"> </w:t>
      </w:r>
      <w:r>
        <w:t>verifiability</w:t>
      </w:r>
      <w:r>
        <w:rPr>
          <w:spacing w:val="-13"/>
        </w:rPr>
        <w:t xml:space="preserve"> </w:t>
      </w:r>
      <w:r>
        <w:t>of</w:t>
      </w:r>
      <w:r>
        <w:rPr>
          <w:spacing w:val="-14"/>
        </w:rPr>
        <w:t xml:space="preserve"> </w:t>
      </w:r>
      <w:r>
        <w:t>Swan</w:t>
      </w:r>
      <w:r>
        <w:rPr>
          <w:spacing w:val="-13"/>
        </w:rPr>
        <w:t xml:space="preserve"> </w:t>
      </w:r>
      <w:r>
        <w:t>Vintage's</w:t>
      </w:r>
      <w:r>
        <w:rPr>
          <w:spacing w:val="-14"/>
        </w:rPr>
        <w:t xml:space="preserve"> </w:t>
      </w:r>
      <w:r>
        <w:t>export</w:t>
      </w:r>
      <w:r>
        <w:rPr>
          <w:spacing w:val="-13"/>
        </w:rPr>
        <w:t xml:space="preserve"> </w:t>
      </w:r>
      <w:r>
        <w:t>and</w:t>
      </w:r>
      <w:r>
        <w:rPr>
          <w:spacing w:val="-14"/>
        </w:rPr>
        <w:t xml:space="preserve"> </w:t>
      </w:r>
      <w:r>
        <w:t>CIF</w:t>
      </w:r>
      <w:r>
        <w:rPr>
          <w:spacing w:val="-14"/>
        </w:rPr>
        <w:t xml:space="preserve"> </w:t>
      </w:r>
      <w:r>
        <w:t>prices,</w:t>
      </w:r>
      <w:r>
        <w:rPr>
          <w:spacing w:val="-13"/>
        </w:rPr>
        <w:t xml:space="preserve"> </w:t>
      </w:r>
      <w:r>
        <w:t>no</w:t>
      </w:r>
      <w:r>
        <w:t>twithstanding</w:t>
      </w:r>
      <w:r>
        <w:rPr>
          <w:spacing w:val="-14"/>
        </w:rPr>
        <w:t xml:space="preserve"> </w:t>
      </w:r>
      <w:r>
        <w:t>that</w:t>
      </w:r>
      <w:r>
        <w:rPr>
          <w:spacing w:val="-13"/>
        </w:rPr>
        <w:t xml:space="preserve"> </w:t>
      </w:r>
      <w:r>
        <w:t>those</w:t>
      </w:r>
      <w:r>
        <w:rPr>
          <w:spacing w:val="-14"/>
        </w:rPr>
        <w:t xml:space="preserve"> </w:t>
      </w:r>
      <w:r>
        <w:t>prices were seemingly structured according to the same system of product classification. Even if MOFCOM considered that Swan Vintage's product control codes posed some challenges, the difficulties</w:t>
      </w:r>
      <w:r>
        <w:rPr>
          <w:spacing w:val="-2"/>
        </w:rPr>
        <w:t xml:space="preserve"> </w:t>
      </w:r>
      <w:r>
        <w:t>were</w:t>
      </w:r>
      <w:r>
        <w:rPr>
          <w:spacing w:val="-1"/>
        </w:rPr>
        <w:t xml:space="preserve"> </w:t>
      </w:r>
      <w:r>
        <w:t>not</w:t>
      </w:r>
      <w:r>
        <w:rPr>
          <w:spacing w:val="-1"/>
        </w:rPr>
        <w:t xml:space="preserve"> </w:t>
      </w:r>
      <w:r>
        <w:t>"undue"</w:t>
      </w:r>
      <w:r>
        <w:rPr>
          <w:spacing w:val="-2"/>
        </w:rPr>
        <w:t xml:space="preserve"> </w:t>
      </w:r>
      <w:r>
        <w:t>or</w:t>
      </w:r>
      <w:r>
        <w:rPr>
          <w:spacing w:val="-2"/>
        </w:rPr>
        <w:t xml:space="preserve"> </w:t>
      </w:r>
      <w:r>
        <w:t>excessive.</w:t>
      </w:r>
      <w:r>
        <w:rPr>
          <w:spacing w:val="-3"/>
        </w:rPr>
        <w:t xml:space="preserve"> </w:t>
      </w:r>
      <w:r>
        <w:t>Swa</w:t>
      </w:r>
      <w:r>
        <w:t>n</w:t>
      </w:r>
      <w:r>
        <w:rPr>
          <w:spacing w:val="-1"/>
        </w:rPr>
        <w:t xml:space="preserve"> </w:t>
      </w:r>
      <w:r>
        <w:t>Vintage had</w:t>
      </w:r>
      <w:r>
        <w:rPr>
          <w:spacing w:val="-1"/>
        </w:rPr>
        <w:t xml:space="preserve"> </w:t>
      </w:r>
      <w:r>
        <w:t>gone</w:t>
      </w:r>
      <w:r>
        <w:rPr>
          <w:spacing w:val="-1"/>
        </w:rPr>
        <w:t xml:space="preserve"> </w:t>
      </w:r>
      <w:r>
        <w:t>to</w:t>
      </w:r>
      <w:r>
        <w:rPr>
          <w:spacing w:val="-1"/>
        </w:rPr>
        <w:t xml:space="preserve"> </w:t>
      </w:r>
      <w:r>
        <w:t>considerable</w:t>
      </w:r>
      <w:r>
        <w:rPr>
          <w:spacing w:val="-1"/>
        </w:rPr>
        <w:t xml:space="preserve"> </w:t>
      </w:r>
      <w:r>
        <w:t>lengths to explain its product classification and sought to match its costs against MOFCOM's codes.</w:t>
      </w:r>
    </w:p>
    <w:p w14:paraId="51DE8A6F" w14:textId="77777777" w:rsidR="0010369C" w:rsidRDefault="0010369C">
      <w:pPr>
        <w:pStyle w:val="BodyText"/>
        <w:rPr>
          <w:sz w:val="9"/>
        </w:rPr>
      </w:pPr>
    </w:p>
    <w:p w14:paraId="51DE8A70" w14:textId="77777777" w:rsidR="0010369C" w:rsidRDefault="008E43AE">
      <w:pPr>
        <w:pStyle w:val="BodyText"/>
        <w:spacing w:before="51" w:line="360" w:lineRule="auto"/>
        <w:ind w:left="237" w:right="613" w:firstLine="851"/>
        <w:jc w:val="both"/>
      </w:pPr>
      <w:r>
        <w:rPr>
          <w:noProof/>
        </w:rPr>
        <w:drawing>
          <wp:anchor distT="0" distB="0" distL="0" distR="0" simplePos="0" relativeHeight="251079168" behindDoc="1" locked="0" layoutInCell="1" allowOverlap="1" wp14:anchorId="51DEA329" wp14:editId="51DEA32A">
            <wp:simplePos x="0" y="0"/>
            <wp:positionH relativeFrom="page">
              <wp:posOffset>899160</wp:posOffset>
            </wp:positionH>
            <wp:positionV relativeFrom="paragraph">
              <wp:posOffset>80722</wp:posOffset>
            </wp:positionV>
            <wp:extent cx="265175" cy="103631"/>
            <wp:effectExtent l="0" t="0" r="0" b="0"/>
            <wp:wrapNone/>
            <wp:docPr id="875" name="image4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 name="image448.png"/>
                    <pic:cNvPicPr/>
                  </pic:nvPicPr>
                  <pic:blipFill>
                    <a:blip r:embed="rId590" cstate="print"/>
                    <a:stretch>
                      <a:fillRect/>
                    </a:stretch>
                  </pic:blipFill>
                  <pic:spPr>
                    <a:xfrm>
                      <a:off x="0" y="0"/>
                      <a:ext cx="265175" cy="103631"/>
                    </a:xfrm>
                    <a:prstGeom prst="rect">
                      <a:avLst/>
                    </a:prstGeom>
                  </pic:spPr>
                </pic:pic>
              </a:graphicData>
            </a:graphic>
          </wp:anchor>
        </w:drawing>
      </w:r>
      <w:r>
        <w:t>To the extent that MOFCOM was dissatisfied with the information submitted, it was required</w:t>
      </w:r>
      <w:r>
        <w:rPr>
          <w:spacing w:val="-2"/>
        </w:rPr>
        <w:t xml:space="preserve"> </w:t>
      </w:r>
      <w:r>
        <w:t>to</w:t>
      </w:r>
      <w:r>
        <w:rPr>
          <w:spacing w:val="-1"/>
        </w:rPr>
        <w:t xml:space="preserve"> </w:t>
      </w:r>
      <w:r>
        <w:t>examine</w:t>
      </w:r>
      <w:r>
        <w:rPr>
          <w:spacing w:val="-1"/>
        </w:rPr>
        <w:t xml:space="preserve"> </w:t>
      </w:r>
      <w:r>
        <w:t>that</w:t>
      </w:r>
      <w:r>
        <w:rPr>
          <w:spacing w:val="-1"/>
        </w:rPr>
        <w:t xml:space="preserve"> </w:t>
      </w:r>
      <w:r>
        <w:t>information in</w:t>
      </w:r>
      <w:r>
        <w:rPr>
          <w:spacing w:val="-2"/>
        </w:rPr>
        <w:t xml:space="preserve"> </w:t>
      </w:r>
      <w:r>
        <w:t>light</w:t>
      </w:r>
      <w:r>
        <w:rPr>
          <w:spacing w:val="-1"/>
        </w:rPr>
        <w:t xml:space="preserve"> </w:t>
      </w:r>
      <w:r>
        <w:t>of the</w:t>
      </w:r>
      <w:r>
        <w:rPr>
          <w:spacing w:val="-1"/>
        </w:rPr>
        <w:t xml:space="preserve"> </w:t>
      </w:r>
      <w:r>
        <w:t>criteria</w:t>
      </w:r>
      <w:r>
        <w:rPr>
          <w:spacing w:val="-2"/>
        </w:rPr>
        <w:t xml:space="preserve"> </w:t>
      </w:r>
      <w:r>
        <w:t>in</w:t>
      </w:r>
      <w:r>
        <w:rPr>
          <w:spacing w:val="-2"/>
        </w:rPr>
        <w:t xml:space="preserve"> </w:t>
      </w:r>
      <w:r>
        <w:t>paragraph</w:t>
      </w:r>
      <w:r>
        <w:rPr>
          <w:spacing w:val="-1"/>
        </w:rPr>
        <w:t xml:space="preserve"> </w:t>
      </w:r>
      <w:r>
        <w:t>3</w:t>
      </w:r>
      <w:r>
        <w:rPr>
          <w:spacing w:val="-2"/>
        </w:rPr>
        <w:t xml:space="preserve"> </w:t>
      </w:r>
      <w:r>
        <w:t>of</w:t>
      </w:r>
      <w:r>
        <w:rPr>
          <w:spacing w:val="-2"/>
        </w:rPr>
        <w:t xml:space="preserve"> </w:t>
      </w:r>
      <w:r>
        <w:t>Annex</w:t>
      </w:r>
      <w:r>
        <w:rPr>
          <w:spacing w:val="-1"/>
        </w:rPr>
        <w:t xml:space="preserve"> </w:t>
      </w:r>
      <w:r>
        <w:t>II,</w:t>
      </w:r>
      <w:r>
        <w:rPr>
          <w:vertAlign w:val="superscript"/>
        </w:rPr>
        <w:t>480</w:t>
      </w:r>
      <w:r>
        <w:rPr>
          <w:spacing w:val="-2"/>
        </w:rPr>
        <w:t xml:space="preserve"> </w:t>
      </w:r>
      <w:r>
        <w:t>and at a minimum, explain in what way the information it rejected did not meet th</w:t>
      </w:r>
      <w:r>
        <w:t>e requirements.</w:t>
      </w:r>
      <w:r>
        <w:rPr>
          <w:vertAlign w:val="superscript"/>
        </w:rPr>
        <w:t>481</w:t>
      </w:r>
      <w:r>
        <w:rPr>
          <w:spacing w:val="28"/>
        </w:rPr>
        <w:t xml:space="preserve"> </w:t>
      </w:r>
      <w:r>
        <w:t>Moreover,</w:t>
      </w:r>
      <w:r>
        <w:rPr>
          <w:spacing w:val="29"/>
        </w:rPr>
        <w:t xml:space="preserve"> </w:t>
      </w:r>
      <w:r>
        <w:t>MOFCOM</w:t>
      </w:r>
      <w:r>
        <w:rPr>
          <w:spacing w:val="29"/>
        </w:rPr>
        <w:t xml:space="preserve"> </w:t>
      </w:r>
      <w:r>
        <w:t>was</w:t>
      </w:r>
      <w:r>
        <w:rPr>
          <w:spacing w:val="29"/>
        </w:rPr>
        <w:t xml:space="preserve"> </w:t>
      </w:r>
      <w:r>
        <w:t>required</w:t>
      </w:r>
      <w:r>
        <w:rPr>
          <w:spacing w:val="29"/>
        </w:rPr>
        <w:t xml:space="preserve"> </w:t>
      </w:r>
      <w:r>
        <w:t>to</w:t>
      </w:r>
      <w:r>
        <w:rPr>
          <w:spacing w:val="29"/>
        </w:rPr>
        <w:t xml:space="preserve"> </w:t>
      </w:r>
      <w:r>
        <w:t>"actively</w:t>
      </w:r>
      <w:r>
        <w:rPr>
          <w:spacing w:val="30"/>
        </w:rPr>
        <w:t xml:space="preserve"> </w:t>
      </w:r>
      <w:r>
        <w:t>make</w:t>
      </w:r>
      <w:r>
        <w:rPr>
          <w:spacing w:val="29"/>
        </w:rPr>
        <w:t xml:space="preserve"> </w:t>
      </w:r>
      <w:r>
        <w:t>efforts"</w:t>
      </w:r>
      <w:r>
        <w:rPr>
          <w:spacing w:val="29"/>
        </w:rPr>
        <w:t xml:space="preserve"> </w:t>
      </w:r>
      <w:r>
        <w:t>to</w:t>
      </w:r>
      <w:r>
        <w:rPr>
          <w:spacing w:val="30"/>
        </w:rPr>
        <w:t xml:space="preserve"> </w:t>
      </w:r>
      <w:r>
        <w:t>use</w:t>
      </w:r>
      <w:r>
        <w:rPr>
          <w:spacing w:val="29"/>
        </w:rPr>
        <w:t xml:space="preserve"> </w:t>
      </w:r>
      <w:r>
        <w:rPr>
          <w:spacing w:val="-5"/>
        </w:rPr>
        <w:t>the</w:t>
      </w:r>
    </w:p>
    <w:p w14:paraId="51DE8A71" w14:textId="77777777" w:rsidR="0010369C" w:rsidRDefault="0010369C">
      <w:pPr>
        <w:pStyle w:val="BodyText"/>
        <w:rPr>
          <w:sz w:val="20"/>
        </w:rPr>
      </w:pPr>
    </w:p>
    <w:p w14:paraId="51DE8A72" w14:textId="77777777" w:rsidR="0010369C" w:rsidRDefault="0010369C">
      <w:pPr>
        <w:pStyle w:val="BodyText"/>
        <w:rPr>
          <w:sz w:val="20"/>
        </w:rPr>
      </w:pPr>
    </w:p>
    <w:p w14:paraId="51DE8A73" w14:textId="77777777" w:rsidR="0010369C" w:rsidRDefault="008E43AE">
      <w:pPr>
        <w:pStyle w:val="BodyText"/>
        <w:spacing w:before="6"/>
        <w:rPr>
          <w:sz w:val="11"/>
        </w:rPr>
      </w:pPr>
      <w:r>
        <w:pict w14:anchorId="51DEA32B">
          <v:rect id="docshape895" o:spid="_x0000_s1428" style="position:absolute;margin-left:70.9pt;margin-top:8.25pt;width:2in;height:.8pt;z-index:-250881536;mso-wrap-distance-left:0;mso-wrap-distance-right:0;mso-position-horizontal-relative:page" fillcolor="black" stroked="f">
            <w10:wrap type="topAndBottom" anchorx="page"/>
          </v:rect>
        </w:pict>
      </w:r>
    </w:p>
    <w:p w14:paraId="51DE8A74" w14:textId="77777777" w:rsidR="0010369C" w:rsidRDefault="008E43AE">
      <w:pPr>
        <w:spacing w:before="110"/>
        <w:ind w:left="238"/>
        <w:rPr>
          <w:sz w:val="18"/>
        </w:rPr>
      </w:pPr>
      <w:r>
        <w:rPr>
          <w:sz w:val="18"/>
          <w:vertAlign w:val="superscript"/>
        </w:rPr>
        <w:t>478</w:t>
      </w:r>
      <w:r>
        <w:rPr>
          <w:spacing w:val="-5"/>
          <w:sz w:val="18"/>
        </w:rPr>
        <w:t xml:space="preserve"> </w:t>
      </w:r>
      <w:r>
        <w:rPr>
          <w:sz w:val="18"/>
        </w:rPr>
        <w:t>Panel</w:t>
      </w:r>
      <w:r>
        <w:rPr>
          <w:spacing w:val="-5"/>
          <w:sz w:val="18"/>
        </w:rPr>
        <w:t xml:space="preserve"> </w:t>
      </w:r>
      <w:r>
        <w:rPr>
          <w:sz w:val="18"/>
        </w:rPr>
        <w:t>Report,</w:t>
      </w:r>
      <w:r>
        <w:rPr>
          <w:spacing w:val="-4"/>
          <w:sz w:val="18"/>
        </w:rPr>
        <w:t xml:space="preserve"> </w:t>
      </w:r>
      <w:r>
        <w:rPr>
          <w:i/>
          <w:sz w:val="18"/>
        </w:rPr>
        <w:t>US</w:t>
      </w:r>
      <w:r>
        <w:rPr>
          <w:i/>
          <w:spacing w:val="-4"/>
          <w:sz w:val="18"/>
        </w:rPr>
        <w:t xml:space="preserve"> </w:t>
      </w:r>
      <w:r>
        <w:rPr>
          <w:i/>
          <w:sz w:val="18"/>
        </w:rPr>
        <w:t>–</w:t>
      </w:r>
      <w:r>
        <w:rPr>
          <w:i/>
          <w:spacing w:val="-5"/>
          <w:sz w:val="18"/>
        </w:rPr>
        <w:t xml:space="preserve"> </w:t>
      </w:r>
      <w:r>
        <w:rPr>
          <w:i/>
          <w:sz w:val="18"/>
        </w:rPr>
        <w:t>Steel</w:t>
      </w:r>
      <w:r>
        <w:rPr>
          <w:i/>
          <w:spacing w:val="-6"/>
          <w:sz w:val="18"/>
        </w:rPr>
        <w:t xml:space="preserve"> </w:t>
      </w:r>
      <w:r>
        <w:rPr>
          <w:i/>
          <w:sz w:val="18"/>
        </w:rPr>
        <w:t>Plate</w:t>
      </w:r>
      <w:r>
        <w:rPr>
          <w:sz w:val="18"/>
        </w:rPr>
        <w:t>,</w:t>
      </w:r>
      <w:r>
        <w:rPr>
          <w:spacing w:val="-5"/>
          <w:sz w:val="18"/>
        </w:rPr>
        <w:t xml:space="preserve"> </w:t>
      </w:r>
      <w:r>
        <w:rPr>
          <w:sz w:val="18"/>
        </w:rPr>
        <w:t>para.</w:t>
      </w:r>
      <w:r>
        <w:rPr>
          <w:spacing w:val="-4"/>
          <w:sz w:val="18"/>
        </w:rPr>
        <w:t xml:space="preserve"> </w:t>
      </w:r>
      <w:r>
        <w:rPr>
          <w:spacing w:val="-2"/>
          <w:sz w:val="18"/>
        </w:rPr>
        <w:t>7.71.</w:t>
      </w:r>
    </w:p>
    <w:p w14:paraId="51DE8A75" w14:textId="77777777" w:rsidR="0010369C" w:rsidRDefault="008E43AE">
      <w:pPr>
        <w:ind w:left="238"/>
        <w:rPr>
          <w:sz w:val="18"/>
        </w:rPr>
      </w:pPr>
      <w:r>
        <w:rPr>
          <w:sz w:val="18"/>
          <w:vertAlign w:val="superscript"/>
        </w:rPr>
        <w:t>479</w:t>
      </w:r>
      <w:r>
        <w:rPr>
          <w:spacing w:val="-6"/>
          <w:sz w:val="18"/>
        </w:rPr>
        <w:t xml:space="preserve"> </w:t>
      </w:r>
      <w:r>
        <w:rPr>
          <w:sz w:val="18"/>
        </w:rPr>
        <w:t>Panel</w:t>
      </w:r>
      <w:r>
        <w:rPr>
          <w:spacing w:val="-6"/>
          <w:sz w:val="18"/>
        </w:rPr>
        <w:t xml:space="preserve"> </w:t>
      </w:r>
      <w:r>
        <w:rPr>
          <w:sz w:val="18"/>
        </w:rPr>
        <w:t>Report,</w:t>
      </w:r>
      <w:r>
        <w:rPr>
          <w:spacing w:val="-5"/>
          <w:sz w:val="18"/>
        </w:rPr>
        <w:t xml:space="preserve"> </w:t>
      </w:r>
      <w:r>
        <w:rPr>
          <w:i/>
          <w:sz w:val="18"/>
        </w:rPr>
        <w:t>Egypt</w:t>
      </w:r>
      <w:r>
        <w:rPr>
          <w:i/>
          <w:spacing w:val="-6"/>
          <w:sz w:val="18"/>
        </w:rPr>
        <w:t xml:space="preserve"> </w:t>
      </w:r>
      <w:r>
        <w:rPr>
          <w:i/>
          <w:sz w:val="18"/>
        </w:rPr>
        <w:t>–</w:t>
      </w:r>
      <w:r>
        <w:rPr>
          <w:i/>
          <w:spacing w:val="-5"/>
          <w:sz w:val="18"/>
        </w:rPr>
        <w:t xml:space="preserve"> </w:t>
      </w:r>
      <w:r>
        <w:rPr>
          <w:i/>
          <w:sz w:val="18"/>
        </w:rPr>
        <w:t>Steel</w:t>
      </w:r>
      <w:r>
        <w:rPr>
          <w:i/>
          <w:spacing w:val="-6"/>
          <w:sz w:val="18"/>
        </w:rPr>
        <w:t xml:space="preserve"> </w:t>
      </w:r>
      <w:r>
        <w:rPr>
          <w:i/>
          <w:sz w:val="18"/>
        </w:rPr>
        <w:t>Rebar</w:t>
      </w:r>
      <w:r>
        <w:rPr>
          <w:sz w:val="18"/>
        </w:rPr>
        <w:t>,</w:t>
      </w:r>
      <w:r>
        <w:rPr>
          <w:spacing w:val="-7"/>
          <w:sz w:val="18"/>
        </w:rPr>
        <w:t xml:space="preserve"> </w:t>
      </w:r>
      <w:r>
        <w:rPr>
          <w:sz w:val="18"/>
        </w:rPr>
        <w:t>para.</w:t>
      </w:r>
      <w:r>
        <w:rPr>
          <w:spacing w:val="-5"/>
          <w:sz w:val="18"/>
        </w:rPr>
        <w:t xml:space="preserve"> </w:t>
      </w:r>
      <w:r>
        <w:rPr>
          <w:spacing w:val="-2"/>
          <w:sz w:val="18"/>
        </w:rPr>
        <w:t>7.161.</w:t>
      </w:r>
    </w:p>
    <w:p w14:paraId="51DE8A76" w14:textId="77777777" w:rsidR="0010369C" w:rsidRDefault="008E43AE">
      <w:pPr>
        <w:ind w:left="238"/>
        <w:rPr>
          <w:sz w:val="18"/>
        </w:rPr>
      </w:pPr>
      <w:r>
        <w:rPr>
          <w:sz w:val="18"/>
          <w:vertAlign w:val="superscript"/>
        </w:rPr>
        <w:t>480</w:t>
      </w:r>
      <w:r>
        <w:rPr>
          <w:spacing w:val="-5"/>
          <w:sz w:val="18"/>
        </w:rPr>
        <w:t xml:space="preserve"> </w:t>
      </w:r>
      <w:r>
        <w:rPr>
          <w:sz w:val="18"/>
        </w:rPr>
        <w:t>Panel</w:t>
      </w:r>
      <w:r>
        <w:rPr>
          <w:spacing w:val="-5"/>
          <w:sz w:val="18"/>
        </w:rPr>
        <w:t xml:space="preserve"> </w:t>
      </w:r>
      <w:r>
        <w:rPr>
          <w:sz w:val="18"/>
        </w:rPr>
        <w:t>Report,</w:t>
      </w:r>
      <w:r>
        <w:rPr>
          <w:spacing w:val="-4"/>
          <w:sz w:val="18"/>
        </w:rPr>
        <w:t xml:space="preserve"> </w:t>
      </w:r>
      <w:r>
        <w:rPr>
          <w:i/>
          <w:sz w:val="18"/>
        </w:rPr>
        <w:t>US</w:t>
      </w:r>
      <w:r>
        <w:rPr>
          <w:i/>
          <w:spacing w:val="-4"/>
          <w:sz w:val="18"/>
        </w:rPr>
        <w:t xml:space="preserve"> </w:t>
      </w:r>
      <w:r>
        <w:rPr>
          <w:i/>
          <w:sz w:val="18"/>
        </w:rPr>
        <w:t>–</w:t>
      </w:r>
      <w:r>
        <w:rPr>
          <w:i/>
          <w:spacing w:val="-5"/>
          <w:sz w:val="18"/>
        </w:rPr>
        <w:t xml:space="preserve"> </w:t>
      </w:r>
      <w:r>
        <w:rPr>
          <w:i/>
          <w:sz w:val="18"/>
        </w:rPr>
        <w:t>Steel</w:t>
      </w:r>
      <w:r>
        <w:rPr>
          <w:i/>
          <w:spacing w:val="-6"/>
          <w:sz w:val="18"/>
        </w:rPr>
        <w:t xml:space="preserve"> </w:t>
      </w:r>
      <w:r>
        <w:rPr>
          <w:i/>
          <w:sz w:val="18"/>
        </w:rPr>
        <w:t>Plate</w:t>
      </w:r>
      <w:r>
        <w:rPr>
          <w:sz w:val="18"/>
        </w:rPr>
        <w:t>,</w:t>
      </w:r>
      <w:r>
        <w:rPr>
          <w:spacing w:val="-5"/>
          <w:sz w:val="18"/>
        </w:rPr>
        <w:t xml:space="preserve"> </w:t>
      </w:r>
      <w:r>
        <w:rPr>
          <w:sz w:val="18"/>
        </w:rPr>
        <w:t>para.</w:t>
      </w:r>
      <w:r>
        <w:rPr>
          <w:spacing w:val="-4"/>
          <w:sz w:val="18"/>
        </w:rPr>
        <w:t xml:space="preserve"> </w:t>
      </w:r>
      <w:r>
        <w:rPr>
          <w:spacing w:val="-2"/>
          <w:sz w:val="18"/>
        </w:rPr>
        <w:t>7.58.</w:t>
      </w:r>
    </w:p>
    <w:p w14:paraId="51DE8A77" w14:textId="77777777" w:rsidR="0010369C" w:rsidRDefault="008E43AE">
      <w:pPr>
        <w:ind w:left="238"/>
        <w:rPr>
          <w:sz w:val="18"/>
        </w:rPr>
      </w:pPr>
      <w:r>
        <w:rPr>
          <w:sz w:val="18"/>
          <w:vertAlign w:val="superscript"/>
        </w:rPr>
        <w:t>481</w:t>
      </w:r>
      <w:r>
        <w:rPr>
          <w:spacing w:val="-6"/>
          <w:sz w:val="18"/>
        </w:rPr>
        <w:t xml:space="preserve"> </w:t>
      </w:r>
      <w:r>
        <w:rPr>
          <w:sz w:val="18"/>
        </w:rPr>
        <w:t>Panel</w:t>
      </w:r>
      <w:r>
        <w:rPr>
          <w:spacing w:val="-5"/>
          <w:sz w:val="18"/>
        </w:rPr>
        <w:t xml:space="preserve"> </w:t>
      </w:r>
      <w:r>
        <w:rPr>
          <w:sz w:val="18"/>
        </w:rPr>
        <w:t>Report,</w:t>
      </w:r>
      <w:r>
        <w:rPr>
          <w:spacing w:val="-6"/>
          <w:sz w:val="18"/>
        </w:rPr>
        <w:t xml:space="preserve"> </w:t>
      </w:r>
      <w:r>
        <w:rPr>
          <w:i/>
          <w:sz w:val="18"/>
        </w:rPr>
        <w:t>China</w:t>
      </w:r>
      <w:r>
        <w:rPr>
          <w:i/>
          <w:spacing w:val="-5"/>
          <w:sz w:val="18"/>
        </w:rPr>
        <w:t xml:space="preserve"> </w:t>
      </w:r>
      <w:r>
        <w:rPr>
          <w:i/>
          <w:sz w:val="18"/>
        </w:rPr>
        <w:t>–</w:t>
      </w:r>
      <w:r>
        <w:rPr>
          <w:i/>
          <w:spacing w:val="-5"/>
          <w:sz w:val="18"/>
        </w:rPr>
        <w:t xml:space="preserve"> </w:t>
      </w:r>
      <w:r>
        <w:rPr>
          <w:i/>
          <w:sz w:val="18"/>
        </w:rPr>
        <w:t>Broiler</w:t>
      </w:r>
      <w:r>
        <w:rPr>
          <w:i/>
          <w:spacing w:val="-6"/>
          <w:sz w:val="18"/>
        </w:rPr>
        <w:t xml:space="preserve"> </w:t>
      </w:r>
      <w:r>
        <w:rPr>
          <w:i/>
          <w:sz w:val="18"/>
        </w:rPr>
        <w:t>Products</w:t>
      </w:r>
      <w:r>
        <w:rPr>
          <w:i/>
          <w:spacing w:val="-6"/>
          <w:sz w:val="18"/>
        </w:rPr>
        <w:t xml:space="preserve"> </w:t>
      </w:r>
      <w:r>
        <w:rPr>
          <w:i/>
          <w:sz w:val="18"/>
        </w:rPr>
        <w:t>(Article</w:t>
      </w:r>
      <w:r>
        <w:rPr>
          <w:i/>
          <w:spacing w:val="-5"/>
          <w:sz w:val="18"/>
        </w:rPr>
        <w:t xml:space="preserve"> </w:t>
      </w:r>
      <w:r>
        <w:rPr>
          <w:i/>
          <w:sz w:val="18"/>
        </w:rPr>
        <w:t>21.5</w:t>
      </w:r>
      <w:r>
        <w:rPr>
          <w:i/>
          <w:spacing w:val="-5"/>
          <w:sz w:val="18"/>
        </w:rPr>
        <w:t xml:space="preserve"> </w:t>
      </w:r>
      <w:r>
        <w:rPr>
          <w:i/>
          <w:sz w:val="18"/>
        </w:rPr>
        <w:t>‐</w:t>
      </w:r>
      <w:r>
        <w:rPr>
          <w:i/>
          <w:spacing w:val="-5"/>
          <w:sz w:val="18"/>
        </w:rPr>
        <w:t xml:space="preserve"> </w:t>
      </w:r>
      <w:r>
        <w:rPr>
          <w:i/>
          <w:sz w:val="18"/>
        </w:rPr>
        <w:t>US)</w:t>
      </w:r>
      <w:r>
        <w:rPr>
          <w:sz w:val="18"/>
        </w:rPr>
        <w:t>,</w:t>
      </w:r>
      <w:r>
        <w:rPr>
          <w:spacing w:val="-6"/>
          <w:sz w:val="18"/>
        </w:rPr>
        <w:t xml:space="preserve"> </w:t>
      </w:r>
      <w:r>
        <w:rPr>
          <w:sz w:val="18"/>
        </w:rPr>
        <w:t>para.</w:t>
      </w:r>
      <w:r>
        <w:rPr>
          <w:spacing w:val="-5"/>
          <w:sz w:val="18"/>
        </w:rPr>
        <w:t xml:space="preserve"> </w:t>
      </w:r>
      <w:r>
        <w:rPr>
          <w:sz w:val="18"/>
        </w:rPr>
        <w:t>7.343;</w:t>
      </w:r>
      <w:r>
        <w:rPr>
          <w:spacing w:val="-6"/>
          <w:sz w:val="18"/>
        </w:rPr>
        <w:t xml:space="preserve"> </w:t>
      </w:r>
      <w:r>
        <w:rPr>
          <w:sz w:val="18"/>
        </w:rPr>
        <w:t>see</w:t>
      </w:r>
      <w:r>
        <w:rPr>
          <w:spacing w:val="-5"/>
          <w:sz w:val="18"/>
        </w:rPr>
        <w:t xml:space="preserve"> </w:t>
      </w:r>
      <w:r>
        <w:rPr>
          <w:sz w:val="18"/>
        </w:rPr>
        <w:t>also</w:t>
      </w:r>
      <w:r>
        <w:rPr>
          <w:spacing w:val="-7"/>
          <w:sz w:val="18"/>
        </w:rPr>
        <w:t xml:space="preserve"> </w:t>
      </w:r>
      <w:r>
        <w:rPr>
          <w:sz w:val="18"/>
        </w:rPr>
        <w:t>section</w:t>
      </w:r>
      <w:r>
        <w:rPr>
          <w:spacing w:val="-5"/>
          <w:sz w:val="18"/>
        </w:rPr>
        <w:t xml:space="preserve"> </w:t>
      </w:r>
      <w:r>
        <w:rPr>
          <w:sz w:val="18"/>
        </w:rPr>
        <w:t>II.B.1</w:t>
      </w:r>
      <w:r>
        <w:rPr>
          <w:spacing w:val="-5"/>
          <w:sz w:val="18"/>
        </w:rPr>
        <w:t xml:space="preserve"> </w:t>
      </w:r>
      <w:r>
        <w:rPr>
          <w:spacing w:val="-2"/>
          <w:sz w:val="18"/>
        </w:rPr>
        <w:t>above.</w:t>
      </w:r>
    </w:p>
    <w:p w14:paraId="51DE8A78" w14:textId="77777777" w:rsidR="0010369C" w:rsidRDefault="0010369C">
      <w:pPr>
        <w:rPr>
          <w:sz w:val="18"/>
        </w:rPr>
        <w:sectPr w:rsidR="0010369C">
          <w:pgSz w:w="11910" w:h="16840"/>
          <w:pgMar w:top="880" w:right="800" w:bottom="980" w:left="1180" w:header="569" w:footer="788" w:gutter="0"/>
          <w:cols w:space="720"/>
        </w:sectPr>
      </w:pPr>
    </w:p>
    <w:p w14:paraId="51DE8A79" w14:textId="77777777" w:rsidR="0010369C" w:rsidRDefault="008E43AE">
      <w:pPr>
        <w:tabs>
          <w:tab w:val="left" w:pos="6426"/>
        </w:tabs>
        <w:ind w:left="238"/>
        <w:jc w:val="both"/>
        <w:rPr>
          <w:sz w:val="20"/>
        </w:rPr>
      </w:pPr>
      <w:r>
        <w:rPr>
          <w:i/>
          <w:sz w:val="20"/>
        </w:rPr>
        <w:lastRenderedPageBreak/>
        <w:t>China</w:t>
      </w:r>
      <w:r>
        <w:rPr>
          <w:i/>
          <w:spacing w:val="-5"/>
          <w:sz w:val="20"/>
        </w:rPr>
        <w:t xml:space="preserve"> </w:t>
      </w:r>
      <w:r>
        <w:rPr>
          <w:i/>
          <w:sz w:val="20"/>
        </w:rPr>
        <w:t>–</w:t>
      </w:r>
      <w:r>
        <w:rPr>
          <w:i/>
          <w:spacing w:val="-5"/>
          <w:sz w:val="20"/>
        </w:rPr>
        <w:t xml:space="preserve"> </w:t>
      </w:r>
      <w:r>
        <w:rPr>
          <w:i/>
          <w:sz w:val="20"/>
        </w:rPr>
        <w:t>Anti‐Dumping</w:t>
      </w:r>
      <w:r>
        <w:rPr>
          <w:i/>
          <w:spacing w:val="-4"/>
          <w:sz w:val="20"/>
        </w:rPr>
        <w:t xml:space="preserve"> </w:t>
      </w:r>
      <w:r>
        <w:rPr>
          <w:i/>
          <w:sz w:val="20"/>
        </w:rPr>
        <w:t>and</w:t>
      </w:r>
      <w:r>
        <w:rPr>
          <w:i/>
          <w:spacing w:val="-5"/>
          <w:sz w:val="20"/>
        </w:rPr>
        <w:t xml:space="preserve"> </w:t>
      </w:r>
      <w:r>
        <w:rPr>
          <w:i/>
          <w:sz w:val="20"/>
        </w:rPr>
        <w:t>Countervailing</w:t>
      </w:r>
      <w:r>
        <w:rPr>
          <w:i/>
          <w:spacing w:val="-5"/>
          <w:sz w:val="20"/>
        </w:rPr>
        <w:t xml:space="preserve"> </w:t>
      </w:r>
      <w:r>
        <w:rPr>
          <w:i/>
          <w:sz w:val="20"/>
        </w:rPr>
        <w:t>Duty</w:t>
      </w:r>
      <w:r>
        <w:rPr>
          <w:i/>
          <w:spacing w:val="-4"/>
          <w:sz w:val="20"/>
        </w:rPr>
        <w:t xml:space="preserve"> </w:t>
      </w:r>
      <w:r>
        <w:rPr>
          <w:i/>
          <w:spacing w:val="-2"/>
          <w:sz w:val="20"/>
        </w:rPr>
        <w:t>Measures</w:t>
      </w:r>
      <w:r>
        <w:rPr>
          <w:i/>
          <w:sz w:val="20"/>
        </w:rPr>
        <w:tab/>
      </w:r>
      <w:r>
        <w:rPr>
          <w:sz w:val="20"/>
        </w:rPr>
        <w:t>Australia's</w:t>
      </w:r>
      <w:r>
        <w:rPr>
          <w:spacing w:val="-7"/>
          <w:sz w:val="20"/>
        </w:rPr>
        <w:t xml:space="preserve"> </w:t>
      </w:r>
      <w:r>
        <w:rPr>
          <w:sz w:val="20"/>
        </w:rPr>
        <w:t>First</w:t>
      </w:r>
      <w:r>
        <w:rPr>
          <w:spacing w:val="-2"/>
          <w:sz w:val="20"/>
        </w:rPr>
        <w:t xml:space="preserve"> </w:t>
      </w:r>
      <w:r>
        <w:rPr>
          <w:sz w:val="20"/>
        </w:rPr>
        <w:t>Written</w:t>
      </w:r>
      <w:r>
        <w:rPr>
          <w:spacing w:val="-2"/>
          <w:sz w:val="20"/>
        </w:rPr>
        <w:t xml:space="preserve"> Submission</w:t>
      </w:r>
    </w:p>
    <w:p w14:paraId="51DE8A7A" w14:textId="77777777" w:rsidR="0010369C" w:rsidRDefault="008E43AE">
      <w:pPr>
        <w:tabs>
          <w:tab w:val="left" w:pos="8228"/>
        </w:tabs>
        <w:spacing w:before="1"/>
        <w:ind w:left="239"/>
        <w:jc w:val="both"/>
        <w:rPr>
          <w:sz w:val="20"/>
        </w:rPr>
      </w:pPr>
      <w:r>
        <w:rPr>
          <w:i/>
          <w:sz w:val="20"/>
        </w:rPr>
        <w:t>on</w:t>
      </w:r>
      <w:r>
        <w:rPr>
          <w:i/>
          <w:spacing w:val="-1"/>
          <w:sz w:val="20"/>
        </w:rPr>
        <w:t xml:space="preserve"> </w:t>
      </w:r>
      <w:r>
        <w:rPr>
          <w:i/>
          <w:sz w:val="20"/>
        </w:rPr>
        <w:t>Wine</w:t>
      </w:r>
      <w:r>
        <w:rPr>
          <w:i/>
          <w:spacing w:val="-1"/>
          <w:sz w:val="20"/>
        </w:rPr>
        <w:t xml:space="preserve"> </w:t>
      </w:r>
      <w:r>
        <w:rPr>
          <w:i/>
          <w:sz w:val="20"/>
        </w:rPr>
        <w:t>from</w:t>
      </w:r>
      <w:r>
        <w:rPr>
          <w:i/>
          <w:spacing w:val="-3"/>
          <w:sz w:val="20"/>
        </w:rPr>
        <w:t xml:space="preserve"> </w:t>
      </w:r>
      <w:r>
        <w:rPr>
          <w:i/>
          <w:sz w:val="20"/>
        </w:rPr>
        <w:t>Australia</w:t>
      </w:r>
      <w:r>
        <w:rPr>
          <w:i/>
          <w:spacing w:val="-1"/>
          <w:sz w:val="20"/>
        </w:rPr>
        <w:t xml:space="preserve"> </w:t>
      </w:r>
      <w:r>
        <w:rPr>
          <w:spacing w:val="-2"/>
          <w:sz w:val="20"/>
        </w:rPr>
        <w:t>(DS602)</w:t>
      </w:r>
      <w:r>
        <w:rPr>
          <w:sz w:val="20"/>
        </w:rPr>
        <w:tab/>
        <w:t>29</w:t>
      </w:r>
      <w:r>
        <w:rPr>
          <w:spacing w:val="-1"/>
          <w:sz w:val="20"/>
        </w:rPr>
        <w:t xml:space="preserve"> </w:t>
      </w:r>
      <w:r>
        <w:rPr>
          <w:sz w:val="20"/>
        </w:rPr>
        <w:t>April</w:t>
      </w:r>
      <w:r>
        <w:rPr>
          <w:spacing w:val="-2"/>
          <w:sz w:val="20"/>
        </w:rPr>
        <w:t xml:space="preserve"> </w:t>
      </w:r>
      <w:r>
        <w:rPr>
          <w:spacing w:val="-4"/>
          <w:sz w:val="20"/>
        </w:rPr>
        <w:t>2022</w:t>
      </w:r>
    </w:p>
    <w:p w14:paraId="51DE8A7B" w14:textId="77777777" w:rsidR="0010369C" w:rsidRDefault="008E43AE">
      <w:pPr>
        <w:pStyle w:val="BodyText"/>
        <w:spacing w:before="34" w:line="360" w:lineRule="auto"/>
        <w:ind w:left="237" w:right="614"/>
        <w:jc w:val="both"/>
      </w:pPr>
      <w:r>
        <w:t>information submitted.</w:t>
      </w:r>
      <w:r>
        <w:rPr>
          <w:vertAlign w:val="superscript"/>
        </w:rPr>
        <w:t>482</w:t>
      </w:r>
      <w:r>
        <w:t xml:space="preserve"> Had it done so, MOFCOM would have concluded that the information submitted was, in fact, verifiable, appropriately submitted, timely and in an appropriate</w:t>
      </w:r>
      <w:r>
        <w:rPr>
          <w:spacing w:val="-7"/>
        </w:rPr>
        <w:t xml:space="preserve"> </w:t>
      </w:r>
      <w:r>
        <w:t>medium.</w:t>
      </w:r>
      <w:r>
        <w:rPr>
          <w:spacing w:val="-7"/>
        </w:rPr>
        <w:t xml:space="preserve"> </w:t>
      </w:r>
      <w:r>
        <w:t>An</w:t>
      </w:r>
      <w:r>
        <w:rPr>
          <w:spacing w:val="-6"/>
        </w:rPr>
        <w:t xml:space="preserve"> </w:t>
      </w:r>
      <w:r>
        <w:t>unbiased</w:t>
      </w:r>
      <w:r>
        <w:rPr>
          <w:spacing w:val="-6"/>
        </w:rPr>
        <w:t xml:space="preserve"> </w:t>
      </w:r>
      <w:r>
        <w:t>and</w:t>
      </w:r>
      <w:r>
        <w:rPr>
          <w:spacing w:val="-6"/>
        </w:rPr>
        <w:t xml:space="preserve"> </w:t>
      </w:r>
      <w:r>
        <w:t>objective</w:t>
      </w:r>
      <w:r>
        <w:rPr>
          <w:spacing w:val="-6"/>
        </w:rPr>
        <w:t xml:space="preserve"> </w:t>
      </w:r>
      <w:r>
        <w:t>investigating</w:t>
      </w:r>
      <w:r>
        <w:rPr>
          <w:spacing w:val="-5"/>
        </w:rPr>
        <w:t xml:space="preserve"> </w:t>
      </w:r>
      <w:r>
        <w:t>authority</w:t>
      </w:r>
      <w:r>
        <w:rPr>
          <w:spacing w:val="-5"/>
        </w:rPr>
        <w:t xml:space="preserve"> </w:t>
      </w:r>
      <w:r>
        <w:t>could</w:t>
      </w:r>
      <w:r>
        <w:rPr>
          <w:spacing w:val="-6"/>
        </w:rPr>
        <w:t xml:space="preserve"> </w:t>
      </w:r>
      <w:r>
        <w:t>not</w:t>
      </w:r>
      <w:r>
        <w:rPr>
          <w:spacing w:val="-6"/>
        </w:rPr>
        <w:t xml:space="preserve"> </w:t>
      </w:r>
      <w:r>
        <w:t>have</w:t>
      </w:r>
      <w:r>
        <w:rPr>
          <w:spacing w:val="-5"/>
        </w:rPr>
        <w:t xml:space="preserve"> </w:t>
      </w:r>
      <w:r>
        <w:t>fo</w:t>
      </w:r>
      <w:r>
        <w:t>und otherwise.</w:t>
      </w:r>
      <w:r>
        <w:rPr>
          <w:vertAlign w:val="superscript"/>
        </w:rPr>
        <w:t>483</w:t>
      </w:r>
      <w:r>
        <w:t xml:space="preserve"> As outlined above,</w:t>
      </w:r>
      <w:r>
        <w:rPr>
          <w:vertAlign w:val="superscript"/>
        </w:rPr>
        <w:t>484</w:t>
      </w:r>
      <w:r>
        <w:t xml:space="preserve"> once again, there is no "unlimited right" for MOFCOM to reject</w:t>
      </w:r>
      <w:r>
        <w:rPr>
          <w:spacing w:val="-1"/>
        </w:rPr>
        <w:t xml:space="preserve"> </w:t>
      </w:r>
      <w:r>
        <w:t>all information and ascertain the normal value entirely</w:t>
      </w:r>
      <w:r>
        <w:rPr>
          <w:spacing w:val="-1"/>
        </w:rPr>
        <w:t xml:space="preserve"> </w:t>
      </w:r>
      <w:r>
        <w:t xml:space="preserve">on the basis of facts available if </w:t>
      </w:r>
      <w:r>
        <w:rPr>
          <w:i/>
        </w:rPr>
        <w:t xml:space="preserve">some </w:t>
      </w:r>
      <w:r>
        <w:t xml:space="preserve">information was not provided, or if </w:t>
      </w:r>
      <w:r>
        <w:rPr>
          <w:i/>
        </w:rPr>
        <w:t xml:space="preserve">some </w:t>
      </w:r>
      <w:r>
        <w:t xml:space="preserve">information did </w:t>
      </w:r>
      <w:r>
        <w:t>not meet the criteria in paragraph 3 of Annex II.</w:t>
      </w:r>
      <w:r>
        <w:rPr>
          <w:vertAlign w:val="superscript"/>
        </w:rPr>
        <w:t>485</w:t>
      </w:r>
    </w:p>
    <w:p w14:paraId="51DE8A7C" w14:textId="77777777" w:rsidR="0010369C" w:rsidRDefault="0010369C">
      <w:pPr>
        <w:pStyle w:val="BodyText"/>
        <w:spacing w:before="10"/>
        <w:rPr>
          <w:sz w:val="8"/>
        </w:rPr>
      </w:pPr>
    </w:p>
    <w:p w14:paraId="51DE8A7D" w14:textId="77777777" w:rsidR="0010369C" w:rsidRDefault="008E43AE">
      <w:pPr>
        <w:pStyle w:val="BodyText"/>
        <w:spacing w:before="52" w:line="360" w:lineRule="auto"/>
        <w:ind w:left="237" w:right="614" w:firstLine="851"/>
        <w:jc w:val="both"/>
      </w:pPr>
      <w:r>
        <w:rPr>
          <w:noProof/>
        </w:rPr>
        <w:drawing>
          <wp:anchor distT="0" distB="0" distL="0" distR="0" simplePos="0" relativeHeight="251080192" behindDoc="1" locked="0" layoutInCell="1" allowOverlap="1" wp14:anchorId="51DEA32C" wp14:editId="51DEA32D">
            <wp:simplePos x="0" y="0"/>
            <wp:positionH relativeFrom="page">
              <wp:posOffset>899160</wp:posOffset>
            </wp:positionH>
            <wp:positionV relativeFrom="paragraph">
              <wp:posOffset>80595</wp:posOffset>
            </wp:positionV>
            <wp:extent cx="265175" cy="103631"/>
            <wp:effectExtent l="0" t="0" r="0" b="0"/>
            <wp:wrapNone/>
            <wp:docPr id="877" name="image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 name="image449.png"/>
                    <pic:cNvPicPr/>
                  </pic:nvPicPr>
                  <pic:blipFill>
                    <a:blip r:embed="rId591" cstate="print"/>
                    <a:stretch>
                      <a:fillRect/>
                    </a:stretch>
                  </pic:blipFill>
                  <pic:spPr>
                    <a:xfrm>
                      <a:off x="0" y="0"/>
                      <a:ext cx="265175" cy="103631"/>
                    </a:xfrm>
                    <a:prstGeom prst="rect">
                      <a:avLst/>
                    </a:prstGeom>
                  </pic:spPr>
                </pic:pic>
              </a:graphicData>
            </a:graphic>
          </wp:anchor>
        </w:drawing>
      </w:r>
      <w:r>
        <w:t>MOFCOM was further obliged by paragraph 5 of Annex II to use the information provided</w:t>
      </w:r>
      <w:r>
        <w:rPr>
          <w:spacing w:val="-6"/>
        </w:rPr>
        <w:t xml:space="preserve"> </w:t>
      </w:r>
      <w:r>
        <w:t>to</w:t>
      </w:r>
      <w:r>
        <w:rPr>
          <w:spacing w:val="-8"/>
        </w:rPr>
        <w:t xml:space="preserve"> </w:t>
      </w:r>
      <w:r>
        <w:t>it,</w:t>
      </w:r>
      <w:r>
        <w:rPr>
          <w:spacing w:val="-6"/>
        </w:rPr>
        <w:t xml:space="preserve"> </w:t>
      </w:r>
      <w:r>
        <w:t>even</w:t>
      </w:r>
      <w:r>
        <w:rPr>
          <w:spacing w:val="-7"/>
        </w:rPr>
        <w:t xml:space="preserve"> </w:t>
      </w:r>
      <w:r>
        <w:t>if</w:t>
      </w:r>
      <w:r>
        <w:rPr>
          <w:spacing w:val="-6"/>
        </w:rPr>
        <w:t xml:space="preserve"> </w:t>
      </w:r>
      <w:r>
        <w:t>not</w:t>
      </w:r>
      <w:r>
        <w:rPr>
          <w:spacing w:val="-6"/>
        </w:rPr>
        <w:t xml:space="preserve"> </w:t>
      </w:r>
      <w:r>
        <w:t>ideal</w:t>
      </w:r>
      <w:r>
        <w:rPr>
          <w:spacing w:val="-6"/>
        </w:rPr>
        <w:t xml:space="preserve"> </w:t>
      </w:r>
      <w:r>
        <w:t>in</w:t>
      </w:r>
      <w:r>
        <w:rPr>
          <w:spacing w:val="-6"/>
        </w:rPr>
        <w:t xml:space="preserve"> </w:t>
      </w:r>
      <w:r>
        <w:t>all</w:t>
      </w:r>
      <w:r>
        <w:rPr>
          <w:spacing w:val="-7"/>
        </w:rPr>
        <w:t xml:space="preserve"> </w:t>
      </w:r>
      <w:r>
        <w:t>respects,</w:t>
      </w:r>
      <w:r>
        <w:rPr>
          <w:spacing w:val="-7"/>
        </w:rPr>
        <w:t xml:space="preserve"> </w:t>
      </w:r>
      <w:r>
        <w:t>provided</w:t>
      </w:r>
      <w:r>
        <w:rPr>
          <w:spacing w:val="-6"/>
        </w:rPr>
        <w:t xml:space="preserve"> </w:t>
      </w:r>
      <w:r>
        <w:t>Swan</w:t>
      </w:r>
      <w:r>
        <w:rPr>
          <w:spacing w:val="-6"/>
        </w:rPr>
        <w:t xml:space="preserve"> </w:t>
      </w:r>
      <w:r>
        <w:t>Vintage</w:t>
      </w:r>
      <w:r>
        <w:rPr>
          <w:spacing w:val="-5"/>
        </w:rPr>
        <w:t xml:space="preserve"> </w:t>
      </w:r>
      <w:r>
        <w:t>had</w:t>
      </w:r>
      <w:r>
        <w:rPr>
          <w:spacing w:val="-6"/>
        </w:rPr>
        <w:t xml:space="preserve"> </w:t>
      </w:r>
      <w:r>
        <w:t>acted</w:t>
      </w:r>
      <w:r>
        <w:rPr>
          <w:spacing w:val="-6"/>
        </w:rPr>
        <w:t xml:space="preserve"> </w:t>
      </w:r>
      <w:r>
        <w:t>to</w:t>
      </w:r>
      <w:r>
        <w:rPr>
          <w:spacing w:val="-6"/>
        </w:rPr>
        <w:t xml:space="preserve"> </w:t>
      </w:r>
      <w:r>
        <w:t>the</w:t>
      </w:r>
      <w:r>
        <w:rPr>
          <w:spacing w:val="-6"/>
        </w:rPr>
        <w:t xml:space="preserve"> </w:t>
      </w:r>
      <w:r>
        <w:t>best</w:t>
      </w:r>
      <w:r>
        <w:rPr>
          <w:spacing w:val="-6"/>
        </w:rPr>
        <w:t xml:space="preserve"> </w:t>
      </w:r>
      <w:r>
        <w:t>of its ability. Swan Vintage had provided complete data, with full explanations of why it was presented in the way chosen. Accordingly, MOFCOM had no proper basis to refuse to make use of it.</w:t>
      </w:r>
    </w:p>
    <w:p w14:paraId="51DE8A7E" w14:textId="77777777" w:rsidR="0010369C" w:rsidRDefault="0010369C">
      <w:pPr>
        <w:pStyle w:val="BodyText"/>
        <w:spacing w:before="11"/>
        <w:rPr>
          <w:sz w:val="8"/>
        </w:rPr>
      </w:pPr>
    </w:p>
    <w:p w14:paraId="51DE8A7F" w14:textId="77777777" w:rsidR="0010369C" w:rsidRDefault="008E43AE">
      <w:pPr>
        <w:pStyle w:val="BodyText"/>
        <w:spacing w:before="52" w:line="360" w:lineRule="auto"/>
        <w:ind w:left="236" w:right="613" w:firstLine="853"/>
        <w:jc w:val="both"/>
      </w:pPr>
      <w:r>
        <w:rPr>
          <w:noProof/>
        </w:rPr>
        <w:drawing>
          <wp:anchor distT="0" distB="0" distL="0" distR="0" simplePos="0" relativeHeight="251081216" behindDoc="1" locked="0" layoutInCell="1" allowOverlap="1" wp14:anchorId="51DEA32E" wp14:editId="51DEA32F">
            <wp:simplePos x="0" y="0"/>
            <wp:positionH relativeFrom="page">
              <wp:posOffset>899160</wp:posOffset>
            </wp:positionH>
            <wp:positionV relativeFrom="paragraph">
              <wp:posOffset>82711</wp:posOffset>
            </wp:positionV>
            <wp:extent cx="265175" cy="100753"/>
            <wp:effectExtent l="0" t="0" r="0" b="0"/>
            <wp:wrapNone/>
            <wp:docPr id="879" name="image4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 name="image450.png"/>
                    <pic:cNvPicPr/>
                  </pic:nvPicPr>
                  <pic:blipFill>
                    <a:blip r:embed="rId592" cstate="print"/>
                    <a:stretch>
                      <a:fillRect/>
                    </a:stretch>
                  </pic:blipFill>
                  <pic:spPr>
                    <a:xfrm>
                      <a:off x="0" y="0"/>
                      <a:ext cx="265175" cy="100753"/>
                    </a:xfrm>
                    <a:prstGeom prst="rect">
                      <a:avLst/>
                    </a:prstGeom>
                  </pic:spPr>
                </pic:pic>
              </a:graphicData>
            </a:graphic>
          </wp:anchor>
        </w:drawing>
      </w:r>
      <w:r>
        <w:t>MOFCOM did not inform Swan Vintage of the reasons for not acce</w:t>
      </w:r>
      <w:r>
        <w:t>pting the information submitted in Swan Vintage's response to the Preliminary Determination or the Supplementary Questionnaire, and did not provide an opportunity to provide further explanations and did not provide reasons for the rejection of information,</w:t>
      </w:r>
      <w:r>
        <w:t xml:space="preserve"> as required by paragraph 6 of Annex II. It is inexplicable that MOFCOM would have harboured profound concerns about the reliability of Swan Vintage's costs and expenses data without at least raising those concerns in the Supplementary Questionnaire or in </w:t>
      </w:r>
      <w:r>
        <w:t>other correspondence with the company, prior to publishing the Final Determination.</w:t>
      </w:r>
    </w:p>
    <w:p w14:paraId="51DE8A80" w14:textId="77777777" w:rsidR="0010369C" w:rsidRDefault="0010369C">
      <w:pPr>
        <w:pStyle w:val="BodyText"/>
        <w:spacing w:before="10"/>
        <w:rPr>
          <w:sz w:val="8"/>
        </w:rPr>
      </w:pPr>
    </w:p>
    <w:p w14:paraId="51DE8A81" w14:textId="77777777" w:rsidR="0010369C" w:rsidRDefault="008E43AE">
      <w:pPr>
        <w:pStyle w:val="BodyText"/>
        <w:spacing w:before="52" w:line="360" w:lineRule="auto"/>
        <w:ind w:left="236" w:right="613" w:firstLine="852"/>
        <w:jc w:val="both"/>
      </w:pPr>
      <w:r>
        <w:rPr>
          <w:noProof/>
        </w:rPr>
        <w:drawing>
          <wp:anchor distT="0" distB="0" distL="0" distR="0" simplePos="0" relativeHeight="251082240" behindDoc="1" locked="0" layoutInCell="1" allowOverlap="1" wp14:anchorId="51DEA330" wp14:editId="51DEA331">
            <wp:simplePos x="0" y="0"/>
            <wp:positionH relativeFrom="page">
              <wp:posOffset>899160</wp:posOffset>
            </wp:positionH>
            <wp:positionV relativeFrom="paragraph">
              <wp:posOffset>80596</wp:posOffset>
            </wp:positionV>
            <wp:extent cx="265175" cy="103631"/>
            <wp:effectExtent l="0" t="0" r="0" b="0"/>
            <wp:wrapNone/>
            <wp:docPr id="881" name="image4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 name="image451.png"/>
                    <pic:cNvPicPr/>
                  </pic:nvPicPr>
                  <pic:blipFill>
                    <a:blip r:embed="rId593" cstate="print"/>
                    <a:stretch>
                      <a:fillRect/>
                    </a:stretch>
                  </pic:blipFill>
                  <pic:spPr>
                    <a:xfrm>
                      <a:off x="0" y="0"/>
                      <a:ext cx="265175" cy="103631"/>
                    </a:xfrm>
                    <a:prstGeom prst="rect">
                      <a:avLst/>
                    </a:prstGeom>
                  </pic:spPr>
                </pic:pic>
              </a:graphicData>
            </a:graphic>
          </wp:anchor>
        </w:drawing>
      </w:r>
      <w:r>
        <w:t>Purported inconsistencies between Swan Vintage's categorisation of PCNs and MOFCOM's preferred system would not have prevented MOFCOM from calculating the comparable pric</w:t>
      </w:r>
      <w:r>
        <w:t>e in the ordinary course of trade, or constructing normal value based on production and sales data in the company's accounting system. It is not uncommon when establishing normal values and export prices for investigating authorities to use the product cla</w:t>
      </w:r>
      <w:r>
        <w:t>ssification codes utilised by a company in its normal course of business.</w:t>
      </w:r>
    </w:p>
    <w:p w14:paraId="51DE8A82" w14:textId="77777777" w:rsidR="0010369C" w:rsidRDefault="0010369C">
      <w:pPr>
        <w:pStyle w:val="BodyText"/>
        <w:rPr>
          <w:sz w:val="20"/>
        </w:rPr>
      </w:pPr>
    </w:p>
    <w:p w14:paraId="51DE8A83" w14:textId="77777777" w:rsidR="0010369C" w:rsidRDefault="0010369C">
      <w:pPr>
        <w:pStyle w:val="BodyText"/>
        <w:rPr>
          <w:sz w:val="20"/>
        </w:rPr>
      </w:pPr>
    </w:p>
    <w:p w14:paraId="51DE8A84" w14:textId="77777777" w:rsidR="0010369C" w:rsidRDefault="008E43AE">
      <w:pPr>
        <w:pStyle w:val="BodyText"/>
        <w:spacing w:before="6"/>
        <w:rPr>
          <w:sz w:val="11"/>
        </w:rPr>
      </w:pPr>
      <w:r>
        <w:pict w14:anchorId="51DEA332">
          <v:rect id="docshape896" o:spid="_x0000_s1427" style="position:absolute;margin-left:70.9pt;margin-top:8.25pt;width:2in;height:.8pt;z-index:-250880512;mso-wrap-distance-left:0;mso-wrap-distance-right:0;mso-position-horizontal-relative:page" fillcolor="black" stroked="f">
            <w10:wrap type="topAndBottom" anchorx="page"/>
          </v:rect>
        </w:pict>
      </w:r>
    </w:p>
    <w:p w14:paraId="51DE8A85" w14:textId="77777777" w:rsidR="0010369C" w:rsidRDefault="008E43AE">
      <w:pPr>
        <w:spacing w:before="109"/>
        <w:ind w:left="238"/>
        <w:jc w:val="both"/>
        <w:rPr>
          <w:sz w:val="18"/>
        </w:rPr>
      </w:pPr>
      <w:r>
        <w:rPr>
          <w:sz w:val="18"/>
          <w:vertAlign w:val="superscript"/>
        </w:rPr>
        <w:t>482</w:t>
      </w:r>
      <w:r>
        <w:rPr>
          <w:spacing w:val="-5"/>
          <w:sz w:val="18"/>
        </w:rPr>
        <w:t xml:space="preserve"> </w:t>
      </w:r>
      <w:r>
        <w:rPr>
          <w:sz w:val="18"/>
        </w:rPr>
        <w:t>See</w:t>
      </w:r>
      <w:r>
        <w:rPr>
          <w:spacing w:val="-5"/>
          <w:sz w:val="18"/>
        </w:rPr>
        <w:t xml:space="preserve"> </w:t>
      </w:r>
      <w:r>
        <w:rPr>
          <w:sz w:val="18"/>
        </w:rPr>
        <w:t>Panel</w:t>
      </w:r>
      <w:r>
        <w:rPr>
          <w:spacing w:val="-5"/>
          <w:sz w:val="18"/>
        </w:rPr>
        <w:t xml:space="preserve"> </w:t>
      </w:r>
      <w:r>
        <w:rPr>
          <w:sz w:val="18"/>
        </w:rPr>
        <w:t>Report,</w:t>
      </w:r>
      <w:r>
        <w:rPr>
          <w:spacing w:val="-4"/>
          <w:sz w:val="18"/>
        </w:rPr>
        <w:t xml:space="preserve"> </w:t>
      </w:r>
      <w:r>
        <w:rPr>
          <w:i/>
          <w:sz w:val="18"/>
        </w:rPr>
        <w:t>US</w:t>
      </w:r>
      <w:r>
        <w:rPr>
          <w:i/>
          <w:spacing w:val="-4"/>
          <w:sz w:val="18"/>
        </w:rPr>
        <w:t xml:space="preserve"> </w:t>
      </w:r>
      <w:r>
        <w:rPr>
          <w:i/>
          <w:sz w:val="18"/>
        </w:rPr>
        <w:t>–</w:t>
      </w:r>
      <w:r>
        <w:rPr>
          <w:i/>
          <w:spacing w:val="-4"/>
          <w:sz w:val="18"/>
        </w:rPr>
        <w:t xml:space="preserve"> </w:t>
      </w:r>
      <w:r>
        <w:rPr>
          <w:i/>
          <w:sz w:val="18"/>
        </w:rPr>
        <w:t>Steel</w:t>
      </w:r>
      <w:r>
        <w:rPr>
          <w:i/>
          <w:spacing w:val="-5"/>
          <w:sz w:val="18"/>
        </w:rPr>
        <w:t xml:space="preserve"> </w:t>
      </w:r>
      <w:r>
        <w:rPr>
          <w:i/>
          <w:sz w:val="18"/>
        </w:rPr>
        <w:t>Plate</w:t>
      </w:r>
      <w:r>
        <w:rPr>
          <w:sz w:val="18"/>
        </w:rPr>
        <w:t>,</w:t>
      </w:r>
      <w:r>
        <w:rPr>
          <w:spacing w:val="-6"/>
          <w:sz w:val="18"/>
        </w:rPr>
        <w:t xml:space="preserve"> </w:t>
      </w:r>
      <w:r>
        <w:rPr>
          <w:sz w:val="18"/>
        </w:rPr>
        <w:t>para.</w:t>
      </w:r>
      <w:r>
        <w:rPr>
          <w:spacing w:val="-4"/>
          <w:sz w:val="18"/>
        </w:rPr>
        <w:t xml:space="preserve"> </w:t>
      </w:r>
      <w:r>
        <w:rPr>
          <w:spacing w:val="-2"/>
          <w:sz w:val="18"/>
        </w:rPr>
        <w:t>7.65.</w:t>
      </w:r>
    </w:p>
    <w:p w14:paraId="51DE8A86" w14:textId="77777777" w:rsidR="0010369C" w:rsidRDefault="008E43AE">
      <w:pPr>
        <w:ind w:left="237" w:right="613" w:firstLine="1"/>
        <w:jc w:val="both"/>
        <w:rPr>
          <w:sz w:val="18"/>
        </w:rPr>
      </w:pPr>
      <w:r>
        <w:rPr>
          <w:sz w:val="18"/>
          <w:vertAlign w:val="superscript"/>
        </w:rPr>
        <w:t>483</w:t>
      </w:r>
      <w:r>
        <w:rPr>
          <w:sz w:val="18"/>
        </w:rPr>
        <w:t xml:space="preserve"> See section II.B.1 above which outlined the standard of review required of an investigating authority to evaluate informat</w:t>
      </w:r>
      <w:r>
        <w:rPr>
          <w:sz w:val="18"/>
        </w:rPr>
        <w:t xml:space="preserve">ion submitted by interested parties in an 'unbiased and objective manner'; see Panel Report, </w:t>
      </w:r>
      <w:r>
        <w:rPr>
          <w:i/>
          <w:sz w:val="18"/>
        </w:rPr>
        <w:t>Mexico – Steel Pipes and Tubes</w:t>
      </w:r>
      <w:r>
        <w:rPr>
          <w:sz w:val="18"/>
        </w:rPr>
        <w:t>, para. 7.5.</w:t>
      </w:r>
    </w:p>
    <w:p w14:paraId="51DE8A87" w14:textId="77777777" w:rsidR="0010369C" w:rsidRDefault="008E43AE">
      <w:pPr>
        <w:spacing w:before="1"/>
        <w:ind w:left="238"/>
        <w:jc w:val="both"/>
        <w:rPr>
          <w:sz w:val="18"/>
        </w:rPr>
      </w:pPr>
      <w:r>
        <w:rPr>
          <w:sz w:val="18"/>
          <w:vertAlign w:val="superscript"/>
        </w:rPr>
        <w:t>484</w:t>
      </w:r>
      <w:r>
        <w:rPr>
          <w:spacing w:val="-6"/>
          <w:sz w:val="18"/>
        </w:rPr>
        <w:t xml:space="preserve"> </w:t>
      </w:r>
      <w:r>
        <w:rPr>
          <w:sz w:val="18"/>
        </w:rPr>
        <w:t>See</w:t>
      </w:r>
      <w:r>
        <w:rPr>
          <w:spacing w:val="-5"/>
          <w:sz w:val="18"/>
        </w:rPr>
        <w:t xml:space="preserve"> </w:t>
      </w:r>
      <w:r>
        <w:rPr>
          <w:sz w:val="18"/>
        </w:rPr>
        <w:t>section</w:t>
      </w:r>
      <w:r>
        <w:rPr>
          <w:spacing w:val="-5"/>
          <w:sz w:val="18"/>
        </w:rPr>
        <w:t xml:space="preserve"> </w:t>
      </w:r>
      <w:r>
        <w:rPr>
          <w:sz w:val="18"/>
        </w:rPr>
        <w:t>II.B.1</w:t>
      </w:r>
      <w:r>
        <w:rPr>
          <w:spacing w:val="-6"/>
          <w:sz w:val="18"/>
        </w:rPr>
        <w:t xml:space="preserve"> </w:t>
      </w:r>
      <w:r>
        <w:rPr>
          <w:spacing w:val="-2"/>
          <w:sz w:val="18"/>
        </w:rPr>
        <w:t>above.</w:t>
      </w:r>
    </w:p>
    <w:p w14:paraId="51DE8A88" w14:textId="77777777" w:rsidR="0010369C" w:rsidRDefault="008E43AE">
      <w:pPr>
        <w:ind w:left="238"/>
        <w:jc w:val="both"/>
        <w:rPr>
          <w:sz w:val="18"/>
        </w:rPr>
      </w:pPr>
      <w:r>
        <w:rPr>
          <w:sz w:val="18"/>
          <w:vertAlign w:val="superscript"/>
        </w:rPr>
        <w:t>485</w:t>
      </w:r>
      <w:r>
        <w:rPr>
          <w:spacing w:val="-5"/>
          <w:sz w:val="18"/>
        </w:rPr>
        <w:t xml:space="preserve"> </w:t>
      </w:r>
      <w:r>
        <w:rPr>
          <w:sz w:val="18"/>
        </w:rPr>
        <w:t>Panel</w:t>
      </w:r>
      <w:r>
        <w:rPr>
          <w:spacing w:val="-5"/>
          <w:sz w:val="18"/>
        </w:rPr>
        <w:t xml:space="preserve"> </w:t>
      </w:r>
      <w:r>
        <w:rPr>
          <w:sz w:val="18"/>
        </w:rPr>
        <w:t>Reports,</w:t>
      </w:r>
      <w:r>
        <w:rPr>
          <w:spacing w:val="-5"/>
          <w:sz w:val="18"/>
        </w:rPr>
        <w:t xml:space="preserve"> </w:t>
      </w:r>
      <w:r>
        <w:rPr>
          <w:i/>
          <w:sz w:val="18"/>
        </w:rPr>
        <w:t>US</w:t>
      </w:r>
      <w:r>
        <w:rPr>
          <w:i/>
          <w:spacing w:val="-4"/>
          <w:sz w:val="18"/>
        </w:rPr>
        <w:t xml:space="preserve"> </w:t>
      </w:r>
      <w:r>
        <w:rPr>
          <w:i/>
          <w:sz w:val="18"/>
        </w:rPr>
        <w:t>–</w:t>
      </w:r>
      <w:r>
        <w:rPr>
          <w:i/>
          <w:spacing w:val="-5"/>
          <w:sz w:val="18"/>
        </w:rPr>
        <w:t xml:space="preserve"> </w:t>
      </w:r>
      <w:r>
        <w:rPr>
          <w:i/>
          <w:sz w:val="18"/>
        </w:rPr>
        <w:t>Steel</w:t>
      </w:r>
      <w:r>
        <w:rPr>
          <w:i/>
          <w:spacing w:val="-5"/>
          <w:sz w:val="18"/>
        </w:rPr>
        <w:t xml:space="preserve"> </w:t>
      </w:r>
      <w:r>
        <w:rPr>
          <w:i/>
          <w:sz w:val="18"/>
        </w:rPr>
        <w:t>Plate</w:t>
      </w:r>
      <w:r>
        <w:rPr>
          <w:sz w:val="18"/>
        </w:rPr>
        <w:t>,</w:t>
      </w:r>
      <w:r>
        <w:rPr>
          <w:spacing w:val="-6"/>
          <w:sz w:val="18"/>
        </w:rPr>
        <w:t xml:space="preserve"> </w:t>
      </w:r>
      <w:r>
        <w:rPr>
          <w:sz w:val="18"/>
        </w:rPr>
        <w:t>para.</w:t>
      </w:r>
      <w:r>
        <w:rPr>
          <w:spacing w:val="-5"/>
          <w:sz w:val="18"/>
        </w:rPr>
        <w:t xml:space="preserve"> </w:t>
      </w:r>
      <w:r>
        <w:rPr>
          <w:sz w:val="18"/>
        </w:rPr>
        <w:t>7.57;</w:t>
      </w:r>
      <w:r>
        <w:rPr>
          <w:spacing w:val="-5"/>
          <w:sz w:val="18"/>
        </w:rPr>
        <w:t xml:space="preserve"> </w:t>
      </w:r>
      <w:r>
        <w:rPr>
          <w:i/>
          <w:sz w:val="18"/>
        </w:rPr>
        <w:t>China</w:t>
      </w:r>
      <w:r>
        <w:rPr>
          <w:i/>
          <w:spacing w:val="-5"/>
          <w:sz w:val="18"/>
        </w:rPr>
        <w:t xml:space="preserve"> </w:t>
      </w:r>
      <w:r>
        <w:rPr>
          <w:i/>
          <w:sz w:val="18"/>
        </w:rPr>
        <w:t>–</w:t>
      </w:r>
      <w:r>
        <w:rPr>
          <w:i/>
          <w:spacing w:val="-4"/>
          <w:sz w:val="18"/>
        </w:rPr>
        <w:t xml:space="preserve"> </w:t>
      </w:r>
      <w:r>
        <w:rPr>
          <w:i/>
          <w:sz w:val="18"/>
        </w:rPr>
        <w:t>Broiler</w:t>
      </w:r>
      <w:r>
        <w:rPr>
          <w:i/>
          <w:spacing w:val="-6"/>
          <w:sz w:val="18"/>
        </w:rPr>
        <w:t xml:space="preserve"> </w:t>
      </w:r>
      <w:r>
        <w:rPr>
          <w:i/>
          <w:sz w:val="18"/>
        </w:rPr>
        <w:t>Products</w:t>
      </w:r>
      <w:r>
        <w:rPr>
          <w:i/>
          <w:spacing w:val="-5"/>
          <w:sz w:val="18"/>
        </w:rPr>
        <w:t xml:space="preserve"> </w:t>
      </w:r>
      <w:r>
        <w:rPr>
          <w:i/>
          <w:sz w:val="18"/>
        </w:rPr>
        <w:t>(Article</w:t>
      </w:r>
      <w:r>
        <w:rPr>
          <w:i/>
          <w:spacing w:val="-5"/>
          <w:sz w:val="18"/>
        </w:rPr>
        <w:t xml:space="preserve"> </w:t>
      </w:r>
      <w:r>
        <w:rPr>
          <w:i/>
          <w:sz w:val="18"/>
        </w:rPr>
        <w:t>21.5</w:t>
      </w:r>
      <w:r>
        <w:rPr>
          <w:i/>
          <w:spacing w:val="-4"/>
          <w:sz w:val="18"/>
        </w:rPr>
        <w:t xml:space="preserve"> </w:t>
      </w:r>
      <w:r>
        <w:rPr>
          <w:i/>
          <w:sz w:val="18"/>
        </w:rPr>
        <w:t>‐</w:t>
      </w:r>
      <w:r>
        <w:rPr>
          <w:i/>
          <w:spacing w:val="-4"/>
          <w:sz w:val="18"/>
        </w:rPr>
        <w:t xml:space="preserve"> </w:t>
      </w:r>
      <w:r>
        <w:rPr>
          <w:i/>
          <w:sz w:val="18"/>
        </w:rPr>
        <w:t>US)</w:t>
      </w:r>
      <w:r>
        <w:rPr>
          <w:sz w:val="18"/>
        </w:rPr>
        <w:t>,</w:t>
      </w:r>
      <w:r>
        <w:rPr>
          <w:spacing w:val="-6"/>
          <w:sz w:val="18"/>
        </w:rPr>
        <w:t xml:space="preserve"> </w:t>
      </w:r>
      <w:r>
        <w:rPr>
          <w:sz w:val="18"/>
        </w:rPr>
        <w:t>para.</w:t>
      </w:r>
      <w:r>
        <w:rPr>
          <w:spacing w:val="-4"/>
          <w:sz w:val="18"/>
        </w:rPr>
        <w:t xml:space="preserve"> </w:t>
      </w:r>
      <w:r>
        <w:rPr>
          <w:sz w:val="18"/>
        </w:rPr>
        <w:t>7.</w:t>
      </w:r>
      <w:r>
        <w:rPr>
          <w:spacing w:val="-5"/>
          <w:sz w:val="18"/>
        </w:rPr>
        <w:t xml:space="preserve"> </w:t>
      </w:r>
      <w:r>
        <w:rPr>
          <w:spacing w:val="-4"/>
          <w:sz w:val="18"/>
        </w:rPr>
        <w:t>343.</w:t>
      </w:r>
    </w:p>
    <w:p w14:paraId="51DE8A89" w14:textId="77777777" w:rsidR="0010369C" w:rsidRDefault="0010369C">
      <w:pPr>
        <w:jc w:val="both"/>
        <w:rPr>
          <w:sz w:val="18"/>
        </w:rPr>
        <w:sectPr w:rsidR="0010369C">
          <w:pgSz w:w="11910" w:h="16840"/>
          <w:pgMar w:top="880" w:right="800" w:bottom="980" w:left="1180" w:header="569" w:footer="788" w:gutter="0"/>
          <w:cols w:space="720"/>
        </w:sectPr>
      </w:pPr>
    </w:p>
    <w:p w14:paraId="51DE8A8A" w14:textId="77777777" w:rsidR="0010369C" w:rsidRDefault="008E43AE">
      <w:pPr>
        <w:tabs>
          <w:tab w:val="left" w:pos="6426"/>
        </w:tabs>
        <w:ind w:left="238"/>
        <w:jc w:val="both"/>
        <w:rPr>
          <w:sz w:val="20"/>
        </w:rPr>
      </w:pPr>
      <w:r>
        <w:rPr>
          <w:i/>
          <w:sz w:val="20"/>
        </w:rPr>
        <w:lastRenderedPageBreak/>
        <w:t>China</w:t>
      </w:r>
      <w:r>
        <w:rPr>
          <w:i/>
          <w:spacing w:val="-5"/>
          <w:sz w:val="20"/>
        </w:rPr>
        <w:t xml:space="preserve"> </w:t>
      </w:r>
      <w:r>
        <w:rPr>
          <w:i/>
          <w:sz w:val="20"/>
        </w:rPr>
        <w:t>–</w:t>
      </w:r>
      <w:r>
        <w:rPr>
          <w:i/>
          <w:spacing w:val="-5"/>
          <w:sz w:val="20"/>
        </w:rPr>
        <w:t xml:space="preserve"> </w:t>
      </w:r>
      <w:r>
        <w:rPr>
          <w:i/>
          <w:sz w:val="20"/>
        </w:rPr>
        <w:t>Anti‐Dumping</w:t>
      </w:r>
      <w:r>
        <w:rPr>
          <w:i/>
          <w:spacing w:val="-4"/>
          <w:sz w:val="20"/>
        </w:rPr>
        <w:t xml:space="preserve"> </w:t>
      </w:r>
      <w:r>
        <w:rPr>
          <w:i/>
          <w:sz w:val="20"/>
        </w:rPr>
        <w:t>and</w:t>
      </w:r>
      <w:r>
        <w:rPr>
          <w:i/>
          <w:spacing w:val="-5"/>
          <w:sz w:val="20"/>
        </w:rPr>
        <w:t xml:space="preserve"> </w:t>
      </w:r>
      <w:r>
        <w:rPr>
          <w:i/>
          <w:sz w:val="20"/>
        </w:rPr>
        <w:t>Countervailing</w:t>
      </w:r>
      <w:r>
        <w:rPr>
          <w:i/>
          <w:spacing w:val="-5"/>
          <w:sz w:val="20"/>
        </w:rPr>
        <w:t xml:space="preserve"> </w:t>
      </w:r>
      <w:r>
        <w:rPr>
          <w:i/>
          <w:sz w:val="20"/>
        </w:rPr>
        <w:t>Duty</w:t>
      </w:r>
      <w:r>
        <w:rPr>
          <w:i/>
          <w:spacing w:val="-4"/>
          <w:sz w:val="20"/>
        </w:rPr>
        <w:t xml:space="preserve"> </w:t>
      </w:r>
      <w:r>
        <w:rPr>
          <w:i/>
          <w:spacing w:val="-2"/>
          <w:sz w:val="20"/>
        </w:rPr>
        <w:t>Measures</w:t>
      </w:r>
      <w:r>
        <w:rPr>
          <w:i/>
          <w:sz w:val="20"/>
        </w:rPr>
        <w:tab/>
      </w:r>
      <w:r>
        <w:rPr>
          <w:sz w:val="20"/>
        </w:rPr>
        <w:t>Australia's</w:t>
      </w:r>
      <w:r>
        <w:rPr>
          <w:spacing w:val="-7"/>
          <w:sz w:val="20"/>
        </w:rPr>
        <w:t xml:space="preserve"> </w:t>
      </w:r>
      <w:r>
        <w:rPr>
          <w:sz w:val="20"/>
        </w:rPr>
        <w:t>First</w:t>
      </w:r>
      <w:r>
        <w:rPr>
          <w:spacing w:val="-2"/>
          <w:sz w:val="20"/>
        </w:rPr>
        <w:t xml:space="preserve"> </w:t>
      </w:r>
      <w:r>
        <w:rPr>
          <w:sz w:val="20"/>
        </w:rPr>
        <w:t>Written</w:t>
      </w:r>
      <w:r>
        <w:rPr>
          <w:spacing w:val="-2"/>
          <w:sz w:val="20"/>
        </w:rPr>
        <w:t xml:space="preserve"> Submission</w:t>
      </w:r>
    </w:p>
    <w:p w14:paraId="51DE8A8B" w14:textId="77777777" w:rsidR="0010369C" w:rsidRDefault="008E43AE">
      <w:pPr>
        <w:tabs>
          <w:tab w:val="left" w:pos="8228"/>
        </w:tabs>
        <w:spacing w:before="1"/>
        <w:ind w:left="239"/>
        <w:jc w:val="both"/>
        <w:rPr>
          <w:sz w:val="20"/>
        </w:rPr>
      </w:pPr>
      <w:r>
        <w:rPr>
          <w:i/>
          <w:sz w:val="20"/>
        </w:rPr>
        <w:t>on</w:t>
      </w:r>
      <w:r>
        <w:rPr>
          <w:i/>
          <w:spacing w:val="-1"/>
          <w:sz w:val="20"/>
        </w:rPr>
        <w:t xml:space="preserve"> </w:t>
      </w:r>
      <w:r>
        <w:rPr>
          <w:i/>
          <w:sz w:val="20"/>
        </w:rPr>
        <w:t>Wine</w:t>
      </w:r>
      <w:r>
        <w:rPr>
          <w:i/>
          <w:spacing w:val="-1"/>
          <w:sz w:val="20"/>
        </w:rPr>
        <w:t xml:space="preserve"> </w:t>
      </w:r>
      <w:r>
        <w:rPr>
          <w:i/>
          <w:sz w:val="20"/>
        </w:rPr>
        <w:t>from</w:t>
      </w:r>
      <w:r>
        <w:rPr>
          <w:i/>
          <w:spacing w:val="-3"/>
          <w:sz w:val="20"/>
        </w:rPr>
        <w:t xml:space="preserve"> </w:t>
      </w:r>
      <w:r>
        <w:rPr>
          <w:i/>
          <w:sz w:val="20"/>
        </w:rPr>
        <w:t>Australia</w:t>
      </w:r>
      <w:r>
        <w:rPr>
          <w:i/>
          <w:spacing w:val="-1"/>
          <w:sz w:val="20"/>
        </w:rPr>
        <w:t xml:space="preserve"> </w:t>
      </w:r>
      <w:r>
        <w:rPr>
          <w:spacing w:val="-2"/>
          <w:sz w:val="20"/>
        </w:rPr>
        <w:t>(DS602)</w:t>
      </w:r>
      <w:r>
        <w:rPr>
          <w:sz w:val="20"/>
        </w:rPr>
        <w:tab/>
        <w:t>29</w:t>
      </w:r>
      <w:r>
        <w:rPr>
          <w:spacing w:val="-1"/>
          <w:sz w:val="20"/>
        </w:rPr>
        <w:t xml:space="preserve"> </w:t>
      </w:r>
      <w:r>
        <w:rPr>
          <w:sz w:val="20"/>
        </w:rPr>
        <w:t>April</w:t>
      </w:r>
      <w:r>
        <w:rPr>
          <w:spacing w:val="-2"/>
          <w:sz w:val="20"/>
        </w:rPr>
        <w:t xml:space="preserve"> </w:t>
      </w:r>
      <w:r>
        <w:rPr>
          <w:spacing w:val="-4"/>
          <w:sz w:val="20"/>
        </w:rPr>
        <w:t>2022</w:t>
      </w:r>
    </w:p>
    <w:p w14:paraId="51DE8A8C" w14:textId="77777777" w:rsidR="0010369C" w:rsidRDefault="008E43AE">
      <w:pPr>
        <w:pStyle w:val="BodyText"/>
        <w:spacing w:before="34" w:line="360" w:lineRule="auto"/>
        <w:ind w:left="238" w:right="613" w:firstLine="851"/>
        <w:jc w:val="both"/>
      </w:pPr>
      <w:r>
        <w:rPr>
          <w:noProof/>
        </w:rPr>
        <w:drawing>
          <wp:anchor distT="0" distB="0" distL="0" distR="0" simplePos="0" relativeHeight="251083264" behindDoc="1" locked="0" layoutInCell="1" allowOverlap="1" wp14:anchorId="51DEA333" wp14:editId="51DEA334">
            <wp:simplePos x="0" y="0"/>
            <wp:positionH relativeFrom="page">
              <wp:posOffset>899160</wp:posOffset>
            </wp:positionH>
            <wp:positionV relativeFrom="paragraph">
              <wp:posOffset>69165</wp:posOffset>
            </wp:positionV>
            <wp:extent cx="265175" cy="103631"/>
            <wp:effectExtent l="0" t="0" r="0" b="0"/>
            <wp:wrapNone/>
            <wp:docPr id="883" name="image4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 name="image452.png"/>
                    <pic:cNvPicPr/>
                  </pic:nvPicPr>
                  <pic:blipFill>
                    <a:blip r:embed="rId594" cstate="print"/>
                    <a:stretch>
                      <a:fillRect/>
                    </a:stretch>
                  </pic:blipFill>
                  <pic:spPr>
                    <a:xfrm>
                      <a:off x="0" y="0"/>
                      <a:ext cx="265175" cy="103631"/>
                    </a:xfrm>
                    <a:prstGeom prst="rect">
                      <a:avLst/>
                    </a:prstGeom>
                  </pic:spPr>
                </pic:pic>
              </a:graphicData>
            </a:graphic>
          </wp:anchor>
        </w:drawing>
      </w:r>
      <w:r>
        <w:t>For</w:t>
      </w:r>
      <w:r>
        <w:rPr>
          <w:spacing w:val="-1"/>
        </w:rPr>
        <w:t xml:space="preserve"> </w:t>
      </w:r>
      <w:r>
        <w:t>the</w:t>
      </w:r>
      <w:r>
        <w:rPr>
          <w:spacing w:val="-1"/>
        </w:rPr>
        <w:t xml:space="preserve"> </w:t>
      </w:r>
      <w:r>
        <w:t>foregoing</w:t>
      </w:r>
      <w:r>
        <w:rPr>
          <w:spacing w:val="-1"/>
        </w:rPr>
        <w:t xml:space="preserve"> </w:t>
      </w:r>
      <w:r>
        <w:t>reasons,</w:t>
      </w:r>
      <w:r>
        <w:rPr>
          <w:spacing w:val="-2"/>
        </w:rPr>
        <w:t xml:space="preserve"> </w:t>
      </w:r>
      <w:r>
        <w:t>MOFCOM</w:t>
      </w:r>
      <w:r>
        <w:rPr>
          <w:spacing w:val="-2"/>
        </w:rPr>
        <w:t xml:space="preserve"> </w:t>
      </w:r>
      <w:r>
        <w:t>erred</w:t>
      </w:r>
      <w:r>
        <w:rPr>
          <w:spacing w:val="-2"/>
        </w:rPr>
        <w:t xml:space="preserve"> </w:t>
      </w:r>
      <w:r>
        <w:t>when</w:t>
      </w:r>
      <w:r>
        <w:rPr>
          <w:spacing w:val="-2"/>
        </w:rPr>
        <w:t xml:space="preserve"> </w:t>
      </w:r>
      <w:r>
        <w:t>it</w:t>
      </w:r>
      <w:r>
        <w:rPr>
          <w:spacing w:val="-1"/>
        </w:rPr>
        <w:t xml:space="preserve"> </w:t>
      </w:r>
      <w:r>
        <w:t>relied</w:t>
      </w:r>
      <w:r>
        <w:rPr>
          <w:spacing w:val="-2"/>
        </w:rPr>
        <w:t xml:space="preserve"> </w:t>
      </w:r>
      <w:r>
        <w:t>upon</w:t>
      </w:r>
      <w:r>
        <w:rPr>
          <w:spacing w:val="-1"/>
        </w:rPr>
        <w:t xml:space="preserve"> </w:t>
      </w:r>
      <w:r>
        <w:t>Swan</w:t>
      </w:r>
      <w:r>
        <w:rPr>
          <w:spacing w:val="-1"/>
        </w:rPr>
        <w:t xml:space="preserve"> </w:t>
      </w:r>
      <w:r>
        <w:t>Vintage's</w:t>
      </w:r>
      <w:r>
        <w:rPr>
          <w:spacing w:val="-1"/>
        </w:rPr>
        <w:t xml:space="preserve"> </w:t>
      </w:r>
      <w:r>
        <w:t>costs and</w:t>
      </w:r>
      <w:r>
        <w:rPr>
          <w:spacing w:val="-9"/>
        </w:rPr>
        <w:t xml:space="preserve"> </w:t>
      </w:r>
      <w:r>
        <w:t>expenses</w:t>
      </w:r>
      <w:r>
        <w:rPr>
          <w:spacing w:val="-9"/>
        </w:rPr>
        <w:t xml:space="preserve"> </w:t>
      </w:r>
      <w:r>
        <w:t>data</w:t>
      </w:r>
      <w:r>
        <w:rPr>
          <w:spacing w:val="-8"/>
        </w:rPr>
        <w:t xml:space="preserve"> </w:t>
      </w:r>
      <w:r>
        <w:t>and</w:t>
      </w:r>
      <w:r>
        <w:rPr>
          <w:spacing w:val="-8"/>
        </w:rPr>
        <w:t xml:space="preserve"> </w:t>
      </w:r>
      <w:r>
        <w:t>information</w:t>
      </w:r>
      <w:r>
        <w:rPr>
          <w:spacing w:val="-8"/>
        </w:rPr>
        <w:t xml:space="preserve"> </w:t>
      </w:r>
      <w:r>
        <w:t>as</w:t>
      </w:r>
      <w:r>
        <w:rPr>
          <w:spacing w:val="-9"/>
        </w:rPr>
        <w:t xml:space="preserve"> </w:t>
      </w:r>
      <w:r>
        <w:t>a</w:t>
      </w:r>
      <w:r>
        <w:rPr>
          <w:spacing w:val="-9"/>
        </w:rPr>
        <w:t xml:space="preserve"> </w:t>
      </w:r>
      <w:r>
        <w:t>basis</w:t>
      </w:r>
      <w:r>
        <w:rPr>
          <w:spacing w:val="-8"/>
        </w:rPr>
        <w:t xml:space="preserve"> </w:t>
      </w:r>
      <w:r>
        <w:t>to</w:t>
      </w:r>
      <w:r>
        <w:rPr>
          <w:spacing w:val="-8"/>
        </w:rPr>
        <w:t xml:space="preserve"> </w:t>
      </w:r>
      <w:r>
        <w:t>resort</w:t>
      </w:r>
      <w:r>
        <w:rPr>
          <w:spacing w:val="-8"/>
        </w:rPr>
        <w:t xml:space="preserve"> </w:t>
      </w:r>
      <w:r>
        <w:t>to</w:t>
      </w:r>
      <w:r>
        <w:rPr>
          <w:spacing w:val="-8"/>
        </w:rPr>
        <w:t xml:space="preserve"> </w:t>
      </w:r>
      <w:r>
        <w:t>facts</w:t>
      </w:r>
      <w:r>
        <w:rPr>
          <w:spacing w:val="-9"/>
        </w:rPr>
        <w:t xml:space="preserve"> </w:t>
      </w:r>
      <w:r>
        <w:t>available</w:t>
      </w:r>
      <w:r>
        <w:rPr>
          <w:spacing w:val="-8"/>
        </w:rPr>
        <w:t xml:space="preserve"> </w:t>
      </w:r>
      <w:r>
        <w:t>and,</w:t>
      </w:r>
      <w:r>
        <w:rPr>
          <w:spacing w:val="-8"/>
        </w:rPr>
        <w:t xml:space="preserve"> </w:t>
      </w:r>
      <w:r>
        <w:t>therefore,</w:t>
      </w:r>
      <w:r>
        <w:rPr>
          <w:spacing w:val="-9"/>
        </w:rPr>
        <w:t xml:space="preserve"> </w:t>
      </w:r>
      <w:r>
        <w:t>China acted</w:t>
      </w:r>
      <w:r>
        <w:rPr>
          <w:spacing w:val="-11"/>
        </w:rPr>
        <w:t xml:space="preserve"> </w:t>
      </w:r>
      <w:r>
        <w:t>inconsistently</w:t>
      </w:r>
      <w:r>
        <w:rPr>
          <w:spacing w:val="-9"/>
        </w:rPr>
        <w:t xml:space="preserve"> </w:t>
      </w:r>
      <w:r>
        <w:t>with</w:t>
      </w:r>
      <w:r>
        <w:rPr>
          <w:spacing w:val="-12"/>
        </w:rPr>
        <w:t xml:space="preserve"> </w:t>
      </w:r>
      <w:r>
        <w:t>Article</w:t>
      </w:r>
      <w:r>
        <w:rPr>
          <w:spacing w:val="-11"/>
        </w:rPr>
        <w:t xml:space="preserve"> </w:t>
      </w:r>
      <w:r>
        <w:t>6.8</w:t>
      </w:r>
      <w:r>
        <w:rPr>
          <w:spacing w:val="-12"/>
        </w:rPr>
        <w:t xml:space="preserve"> </w:t>
      </w:r>
      <w:r>
        <w:t>and</w:t>
      </w:r>
      <w:r>
        <w:rPr>
          <w:spacing w:val="-11"/>
        </w:rPr>
        <w:t xml:space="preserve"> </w:t>
      </w:r>
      <w:r>
        <w:t>paragraphs</w:t>
      </w:r>
      <w:r>
        <w:rPr>
          <w:spacing w:val="-10"/>
        </w:rPr>
        <w:t xml:space="preserve"> </w:t>
      </w:r>
      <w:r>
        <w:t>3,</w:t>
      </w:r>
      <w:r>
        <w:rPr>
          <w:spacing w:val="-11"/>
        </w:rPr>
        <w:t xml:space="preserve"> </w:t>
      </w:r>
      <w:r>
        <w:t>5</w:t>
      </w:r>
      <w:r>
        <w:rPr>
          <w:spacing w:val="-12"/>
        </w:rPr>
        <w:t xml:space="preserve"> </w:t>
      </w:r>
      <w:r>
        <w:t>and</w:t>
      </w:r>
      <w:r>
        <w:rPr>
          <w:spacing w:val="-10"/>
        </w:rPr>
        <w:t xml:space="preserve"> </w:t>
      </w:r>
      <w:r>
        <w:t>6</w:t>
      </w:r>
      <w:r>
        <w:rPr>
          <w:spacing w:val="-10"/>
        </w:rPr>
        <w:t xml:space="preserve"> </w:t>
      </w:r>
      <w:r>
        <w:t>of</w:t>
      </w:r>
      <w:r>
        <w:rPr>
          <w:spacing w:val="-11"/>
        </w:rPr>
        <w:t xml:space="preserve"> </w:t>
      </w:r>
      <w:r>
        <w:t>Annex</w:t>
      </w:r>
      <w:r>
        <w:rPr>
          <w:spacing w:val="-11"/>
        </w:rPr>
        <w:t xml:space="preserve"> </w:t>
      </w:r>
      <w:r>
        <w:t>II</w:t>
      </w:r>
      <w:r>
        <w:rPr>
          <w:spacing w:val="-12"/>
        </w:rPr>
        <w:t xml:space="preserve"> </w:t>
      </w:r>
      <w:r>
        <w:t>of</w:t>
      </w:r>
      <w:r>
        <w:rPr>
          <w:spacing w:val="-11"/>
        </w:rPr>
        <w:t xml:space="preserve"> </w:t>
      </w:r>
      <w:r>
        <w:t>the</w:t>
      </w:r>
      <w:r>
        <w:rPr>
          <w:spacing w:val="-10"/>
        </w:rPr>
        <w:t xml:space="preserve"> </w:t>
      </w:r>
      <w:r>
        <w:t xml:space="preserve">Anti‐Dumping </w:t>
      </w:r>
      <w:r>
        <w:rPr>
          <w:spacing w:val="-2"/>
        </w:rPr>
        <w:t>Agreement.</w:t>
      </w:r>
    </w:p>
    <w:p w14:paraId="51DE8A8D" w14:textId="77777777" w:rsidR="0010369C" w:rsidRDefault="008E43AE">
      <w:pPr>
        <w:pStyle w:val="ListParagraph"/>
        <w:numPr>
          <w:ilvl w:val="4"/>
          <w:numId w:val="75"/>
        </w:numPr>
        <w:tabs>
          <w:tab w:val="left" w:pos="4493"/>
          <w:tab w:val="left" w:pos="4494"/>
        </w:tabs>
        <w:spacing w:before="161"/>
        <w:ind w:hanging="852"/>
        <w:jc w:val="both"/>
        <w:rPr>
          <w:i/>
          <w:sz w:val="24"/>
        </w:rPr>
      </w:pPr>
      <w:r>
        <w:rPr>
          <w:i/>
          <w:sz w:val="24"/>
        </w:rPr>
        <w:t>Data</w:t>
      </w:r>
      <w:r>
        <w:rPr>
          <w:i/>
          <w:spacing w:val="-9"/>
          <w:sz w:val="24"/>
        </w:rPr>
        <w:t xml:space="preserve"> </w:t>
      </w:r>
      <w:r>
        <w:rPr>
          <w:i/>
          <w:sz w:val="24"/>
        </w:rPr>
        <w:t>from</w:t>
      </w:r>
      <w:r>
        <w:rPr>
          <w:i/>
          <w:spacing w:val="-9"/>
          <w:sz w:val="24"/>
        </w:rPr>
        <w:t xml:space="preserve"> </w:t>
      </w:r>
      <w:r>
        <w:rPr>
          <w:i/>
          <w:sz w:val="24"/>
        </w:rPr>
        <w:t>non‐affiliated</w:t>
      </w:r>
      <w:r>
        <w:rPr>
          <w:i/>
          <w:spacing w:val="-8"/>
          <w:sz w:val="24"/>
        </w:rPr>
        <w:t xml:space="preserve"> </w:t>
      </w:r>
      <w:r>
        <w:rPr>
          <w:i/>
          <w:sz w:val="24"/>
        </w:rPr>
        <w:t>service</w:t>
      </w:r>
      <w:r>
        <w:rPr>
          <w:i/>
          <w:spacing w:val="-8"/>
          <w:sz w:val="24"/>
        </w:rPr>
        <w:t xml:space="preserve"> </w:t>
      </w:r>
      <w:r>
        <w:rPr>
          <w:i/>
          <w:spacing w:val="-2"/>
          <w:sz w:val="24"/>
        </w:rPr>
        <w:t>providers</w:t>
      </w:r>
    </w:p>
    <w:p w14:paraId="51DE8A8E" w14:textId="77777777" w:rsidR="0010369C" w:rsidRDefault="0010369C">
      <w:pPr>
        <w:pStyle w:val="BodyText"/>
        <w:rPr>
          <w:i/>
          <w:sz w:val="25"/>
        </w:rPr>
      </w:pPr>
    </w:p>
    <w:p w14:paraId="51DE8A8F" w14:textId="77777777" w:rsidR="0010369C" w:rsidRDefault="008E43AE">
      <w:pPr>
        <w:pStyle w:val="BodyText"/>
        <w:spacing w:line="362" w:lineRule="auto"/>
        <w:ind w:left="238" w:right="615" w:firstLine="850"/>
        <w:jc w:val="both"/>
      </w:pPr>
      <w:r>
        <w:rPr>
          <w:noProof/>
        </w:rPr>
        <w:drawing>
          <wp:anchor distT="0" distB="0" distL="0" distR="0" simplePos="0" relativeHeight="251084288" behindDoc="1" locked="0" layoutInCell="1" allowOverlap="1" wp14:anchorId="51DEA335" wp14:editId="51DEA336">
            <wp:simplePos x="0" y="0"/>
            <wp:positionH relativeFrom="page">
              <wp:posOffset>899160</wp:posOffset>
            </wp:positionH>
            <wp:positionV relativeFrom="paragraph">
              <wp:posOffset>49691</wp:posOffset>
            </wp:positionV>
            <wp:extent cx="265175" cy="100753"/>
            <wp:effectExtent l="0" t="0" r="0" b="0"/>
            <wp:wrapNone/>
            <wp:docPr id="885" name="image4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 name="image453.png"/>
                    <pic:cNvPicPr/>
                  </pic:nvPicPr>
                  <pic:blipFill>
                    <a:blip r:embed="rId595" cstate="print"/>
                    <a:stretch>
                      <a:fillRect/>
                    </a:stretch>
                  </pic:blipFill>
                  <pic:spPr>
                    <a:xfrm>
                      <a:off x="0" y="0"/>
                      <a:ext cx="265175" cy="100753"/>
                    </a:xfrm>
                    <a:prstGeom prst="rect">
                      <a:avLst/>
                    </a:prstGeom>
                  </pic:spPr>
                </pic:pic>
              </a:graphicData>
            </a:graphic>
          </wp:anchor>
        </w:drawing>
      </w:r>
      <w:r>
        <w:t>With</w:t>
      </w:r>
      <w:r>
        <w:rPr>
          <w:spacing w:val="-5"/>
        </w:rPr>
        <w:t xml:space="preserve"> </w:t>
      </w:r>
      <w:r>
        <w:t>respect</w:t>
      </w:r>
      <w:r>
        <w:rPr>
          <w:spacing w:val="-6"/>
        </w:rPr>
        <w:t xml:space="preserve"> </w:t>
      </w:r>
      <w:r>
        <w:t>to</w:t>
      </w:r>
      <w:r>
        <w:rPr>
          <w:spacing w:val="-5"/>
        </w:rPr>
        <w:t xml:space="preserve"> </w:t>
      </w:r>
      <w:r>
        <w:t>the</w:t>
      </w:r>
      <w:r>
        <w:rPr>
          <w:spacing w:val="-4"/>
        </w:rPr>
        <w:t xml:space="preserve"> </w:t>
      </w:r>
      <w:r>
        <w:t>reporting</w:t>
      </w:r>
      <w:r>
        <w:rPr>
          <w:spacing w:val="-6"/>
        </w:rPr>
        <w:t xml:space="preserve"> </w:t>
      </w:r>
      <w:r>
        <w:t>of</w:t>
      </w:r>
      <w:r>
        <w:rPr>
          <w:spacing w:val="-5"/>
        </w:rPr>
        <w:t xml:space="preserve"> </w:t>
      </w:r>
      <w:r>
        <w:t>costs</w:t>
      </w:r>
      <w:r>
        <w:rPr>
          <w:spacing w:val="-5"/>
        </w:rPr>
        <w:t xml:space="preserve"> </w:t>
      </w:r>
      <w:r>
        <w:t>and</w:t>
      </w:r>
      <w:r>
        <w:rPr>
          <w:spacing w:val="-5"/>
        </w:rPr>
        <w:t xml:space="preserve"> </w:t>
      </w:r>
      <w:r>
        <w:t>expenses</w:t>
      </w:r>
      <w:r>
        <w:rPr>
          <w:spacing w:val="-6"/>
        </w:rPr>
        <w:t xml:space="preserve"> </w:t>
      </w:r>
      <w:r>
        <w:t>information,</w:t>
      </w:r>
      <w:r>
        <w:rPr>
          <w:spacing w:val="-4"/>
        </w:rPr>
        <w:t xml:space="preserve"> </w:t>
      </w:r>
      <w:r>
        <w:t>MOFCOM</w:t>
      </w:r>
      <w:r>
        <w:rPr>
          <w:spacing w:val="-5"/>
        </w:rPr>
        <w:t xml:space="preserve"> </w:t>
      </w:r>
      <w:r>
        <w:t>stated</w:t>
      </w:r>
      <w:r>
        <w:rPr>
          <w:spacing w:val="-6"/>
        </w:rPr>
        <w:t xml:space="preserve"> </w:t>
      </w:r>
      <w:r>
        <w:t>in the Final Determination that Swan Vintage:</w:t>
      </w:r>
    </w:p>
    <w:p w14:paraId="51DE8A90" w14:textId="77777777" w:rsidR="0010369C" w:rsidRDefault="0010369C">
      <w:pPr>
        <w:pStyle w:val="BodyText"/>
        <w:spacing w:before="8"/>
        <w:rPr>
          <w:sz w:val="12"/>
        </w:rPr>
      </w:pPr>
    </w:p>
    <w:tbl>
      <w:tblPr>
        <w:tblW w:w="0" w:type="auto"/>
        <w:tblInd w:w="1046" w:type="dxa"/>
        <w:tblLayout w:type="fixed"/>
        <w:tblCellMar>
          <w:left w:w="0" w:type="dxa"/>
          <w:right w:w="0" w:type="dxa"/>
        </w:tblCellMar>
        <w:tblLook w:val="01E0" w:firstRow="1" w:lastRow="1" w:firstColumn="1" w:lastColumn="1" w:noHBand="0" w:noVBand="0"/>
      </w:tblPr>
      <w:tblGrid>
        <w:gridCol w:w="530"/>
        <w:gridCol w:w="2652"/>
        <w:gridCol w:w="766"/>
        <w:gridCol w:w="1290"/>
        <w:gridCol w:w="540"/>
        <w:gridCol w:w="567"/>
        <w:gridCol w:w="1037"/>
        <w:gridCol w:w="441"/>
        <w:gridCol w:w="494"/>
      </w:tblGrid>
      <w:tr w:rsidR="0010369C" w14:paraId="51DE8A94" w14:textId="77777777">
        <w:trPr>
          <w:trHeight w:val="2198"/>
        </w:trPr>
        <w:tc>
          <w:tcPr>
            <w:tcW w:w="530" w:type="dxa"/>
          </w:tcPr>
          <w:p w14:paraId="51DE8A91" w14:textId="77777777" w:rsidR="0010369C" w:rsidRDefault="008E43AE">
            <w:pPr>
              <w:pStyle w:val="TableParagraph"/>
              <w:ind w:left="50"/>
              <w:rPr>
                <w:rFonts w:ascii="Symbol" w:hAnsi="Symbol"/>
                <w:sz w:val="24"/>
              </w:rPr>
            </w:pPr>
            <w:r>
              <w:rPr>
                <w:rFonts w:ascii="Symbol" w:hAnsi="Symbol"/>
                <w:w w:val="99"/>
                <w:sz w:val="24"/>
              </w:rPr>
              <w:t></w:t>
            </w:r>
          </w:p>
        </w:tc>
        <w:tc>
          <w:tcPr>
            <w:tcW w:w="7787" w:type="dxa"/>
            <w:gridSpan w:val="8"/>
          </w:tcPr>
          <w:p w14:paraId="51DE8A92" w14:textId="77777777" w:rsidR="0010369C" w:rsidRDefault="008E43AE">
            <w:pPr>
              <w:pStyle w:val="TableParagraph"/>
              <w:spacing w:before="12" w:line="360" w:lineRule="auto"/>
              <w:ind w:left="370" w:right="45"/>
              <w:jc w:val="both"/>
              <w:rPr>
                <w:sz w:val="24"/>
              </w:rPr>
            </w:pPr>
            <w:r>
              <w:rPr>
                <w:sz w:val="24"/>
              </w:rPr>
              <w:t>"[E]ntrusted</w:t>
            </w:r>
            <w:r>
              <w:rPr>
                <w:spacing w:val="-14"/>
                <w:sz w:val="24"/>
              </w:rPr>
              <w:t xml:space="preserve"> </w:t>
            </w:r>
            <w:r>
              <w:rPr>
                <w:sz w:val="24"/>
              </w:rPr>
              <w:t>local</w:t>
            </w:r>
            <w:r>
              <w:rPr>
                <w:spacing w:val="-14"/>
                <w:sz w:val="24"/>
              </w:rPr>
              <w:t xml:space="preserve"> </w:t>
            </w:r>
            <w:r>
              <w:rPr>
                <w:sz w:val="24"/>
              </w:rPr>
              <w:t>companies</w:t>
            </w:r>
            <w:r>
              <w:rPr>
                <w:spacing w:val="-13"/>
                <w:sz w:val="24"/>
              </w:rPr>
              <w:t xml:space="preserve"> </w:t>
            </w:r>
            <w:r>
              <w:rPr>
                <w:sz w:val="24"/>
              </w:rPr>
              <w:t>to</w:t>
            </w:r>
            <w:r>
              <w:rPr>
                <w:spacing w:val="-14"/>
                <w:sz w:val="24"/>
              </w:rPr>
              <w:t xml:space="preserve"> </w:t>
            </w:r>
            <w:r>
              <w:rPr>
                <w:sz w:val="24"/>
              </w:rPr>
              <w:t>provide</w:t>
            </w:r>
            <w:r>
              <w:rPr>
                <w:spacing w:val="-12"/>
                <w:sz w:val="24"/>
              </w:rPr>
              <w:t xml:space="preserve"> </w:t>
            </w:r>
            <w:r>
              <w:rPr>
                <w:sz w:val="24"/>
              </w:rPr>
              <w:t>press</w:t>
            </w:r>
            <w:r>
              <w:rPr>
                <w:spacing w:val="-14"/>
                <w:sz w:val="24"/>
              </w:rPr>
              <w:t xml:space="preserve"> </w:t>
            </w:r>
            <w:r>
              <w:rPr>
                <w:sz w:val="24"/>
              </w:rPr>
              <w:t>service</w:t>
            </w:r>
            <w:r>
              <w:rPr>
                <w:spacing w:val="-13"/>
                <w:sz w:val="24"/>
              </w:rPr>
              <w:t xml:space="preserve"> </w:t>
            </w:r>
            <w:r>
              <w:rPr>
                <w:sz w:val="24"/>
              </w:rPr>
              <w:t>and</w:t>
            </w:r>
            <w:r>
              <w:rPr>
                <w:spacing w:val="-14"/>
                <w:sz w:val="24"/>
              </w:rPr>
              <w:t xml:space="preserve"> </w:t>
            </w:r>
            <w:r>
              <w:rPr>
                <w:sz w:val="24"/>
              </w:rPr>
              <w:t>produce</w:t>
            </w:r>
            <w:r>
              <w:rPr>
                <w:spacing w:val="-12"/>
                <w:sz w:val="24"/>
              </w:rPr>
              <w:t xml:space="preserve"> </w:t>
            </w:r>
            <w:r>
              <w:rPr>
                <w:sz w:val="24"/>
              </w:rPr>
              <w:t>bulk</w:t>
            </w:r>
            <w:r>
              <w:rPr>
                <w:spacing w:val="-14"/>
                <w:sz w:val="24"/>
              </w:rPr>
              <w:t xml:space="preserve"> </w:t>
            </w:r>
            <w:r>
              <w:rPr>
                <w:sz w:val="24"/>
              </w:rPr>
              <w:t>wine and asked other companies to offer filling services. One of the press companies filled in response but just reported overall data and did not provide</w:t>
            </w:r>
            <w:r>
              <w:rPr>
                <w:spacing w:val="69"/>
                <w:w w:val="150"/>
                <w:sz w:val="24"/>
              </w:rPr>
              <w:t xml:space="preserve"> </w:t>
            </w:r>
            <w:r>
              <w:rPr>
                <w:sz w:val="24"/>
              </w:rPr>
              <w:t>detailed</w:t>
            </w:r>
            <w:r>
              <w:rPr>
                <w:spacing w:val="69"/>
                <w:w w:val="150"/>
                <w:sz w:val="24"/>
              </w:rPr>
              <w:t xml:space="preserve"> </w:t>
            </w:r>
            <w:r>
              <w:rPr>
                <w:sz w:val="24"/>
              </w:rPr>
              <w:t>costs</w:t>
            </w:r>
            <w:r>
              <w:rPr>
                <w:spacing w:val="68"/>
                <w:w w:val="150"/>
                <w:sz w:val="24"/>
              </w:rPr>
              <w:t xml:space="preserve"> </w:t>
            </w:r>
            <w:r>
              <w:rPr>
                <w:sz w:val="24"/>
              </w:rPr>
              <w:t>in</w:t>
            </w:r>
            <w:r>
              <w:rPr>
                <w:spacing w:val="68"/>
                <w:w w:val="150"/>
                <w:sz w:val="24"/>
              </w:rPr>
              <w:t xml:space="preserve"> </w:t>
            </w:r>
            <w:r>
              <w:rPr>
                <w:sz w:val="24"/>
              </w:rPr>
              <w:t>accordance</w:t>
            </w:r>
            <w:r>
              <w:rPr>
                <w:spacing w:val="69"/>
                <w:w w:val="150"/>
                <w:sz w:val="24"/>
              </w:rPr>
              <w:t xml:space="preserve"> </w:t>
            </w:r>
            <w:r>
              <w:rPr>
                <w:sz w:val="24"/>
              </w:rPr>
              <w:t>with</w:t>
            </w:r>
            <w:r>
              <w:rPr>
                <w:spacing w:val="68"/>
                <w:w w:val="150"/>
                <w:sz w:val="24"/>
              </w:rPr>
              <w:t xml:space="preserve"> </w:t>
            </w:r>
            <w:r>
              <w:rPr>
                <w:sz w:val="24"/>
              </w:rPr>
              <w:t>the</w:t>
            </w:r>
            <w:r>
              <w:rPr>
                <w:spacing w:val="70"/>
                <w:w w:val="150"/>
                <w:sz w:val="24"/>
              </w:rPr>
              <w:t xml:space="preserve"> </w:t>
            </w:r>
            <w:r>
              <w:rPr>
                <w:sz w:val="24"/>
              </w:rPr>
              <w:t>requirements</w:t>
            </w:r>
            <w:r>
              <w:rPr>
                <w:spacing w:val="67"/>
                <w:w w:val="150"/>
                <w:sz w:val="24"/>
              </w:rPr>
              <w:t xml:space="preserve"> </w:t>
            </w:r>
            <w:r>
              <w:rPr>
                <w:sz w:val="24"/>
              </w:rPr>
              <w:t>of</w:t>
            </w:r>
            <w:r>
              <w:rPr>
                <w:spacing w:val="69"/>
                <w:w w:val="150"/>
                <w:sz w:val="24"/>
              </w:rPr>
              <w:t xml:space="preserve"> </w:t>
            </w:r>
            <w:r>
              <w:rPr>
                <w:spacing w:val="-5"/>
                <w:sz w:val="24"/>
              </w:rPr>
              <w:t>the</w:t>
            </w:r>
          </w:p>
          <w:p w14:paraId="51DE8A93" w14:textId="77777777" w:rsidR="0010369C" w:rsidRDefault="008E43AE">
            <w:pPr>
              <w:pStyle w:val="TableParagraph"/>
              <w:spacing w:before="1"/>
              <w:ind w:left="370"/>
              <w:jc w:val="both"/>
              <w:rPr>
                <w:sz w:val="24"/>
              </w:rPr>
            </w:pPr>
            <w:r>
              <w:rPr>
                <w:w w:val="95"/>
                <w:sz w:val="24"/>
              </w:rPr>
              <w:t>questionnaire,"</w:t>
            </w:r>
            <w:r>
              <w:rPr>
                <w:w w:val="95"/>
                <w:sz w:val="24"/>
                <w:vertAlign w:val="superscript"/>
              </w:rPr>
              <w:t>486</w:t>
            </w:r>
            <w:r>
              <w:rPr>
                <w:spacing w:val="67"/>
                <w:sz w:val="24"/>
              </w:rPr>
              <w:t xml:space="preserve"> </w:t>
            </w:r>
            <w:r>
              <w:rPr>
                <w:spacing w:val="-5"/>
                <w:sz w:val="24"/>
              </w:rPr>
              <w:t>and</w:t>
            </w:r>
          </w:p>
        </w:tc>
      </w:tr>
      <w:tr w:rsidR="0010369C" w14:paraId="51DE8A9E" w14:textId="77777777">
        <w:trPr>
          <w:trHeight w:val="859"/>
        </w:trPr>
        <w:tc>
          <w:tcPr>
            <w:tcW w:w="530" w:type="dxa"/>
          </w:tcPr>
          <w:p w14:paraId="51DE8A95" w14:textId="77777777" w:rsidR="0010369C" w:rsidRDefault="008E43AE">
            <w:pPr>
              <w:pStyle w:val="TableParagraph"/>
              <w:spacing w:before="139"/>
              <w:ind w:left="50"/>
              <w:rPr>
                <w:rFonts w:ascii="Symbol" w:hAnsi="Symbol"/>
              </w:rPr>
            </w:pPr>
            <w:r>
              <w:rPr>
                <w:rFonts w:ascii="Symbol" w:hAnsi="Symbol"/>
                <w:w w:val="99"/>
              </w:rPr>
              <w:t></w:t>
            </w:r>
          </w:p>
        </w:tc>
        <w:tc>
          <w:tcPr>
            <w:tcW w:w="2652" w:type="dxa"/>
          </w:tcPr>
          <w:p w14:paraId="51DE8A96" w14:textId="77777777" w:rsidR="0010369C" w:rsidRDefault="008E43AE">
            <w:pPr>
              <w:pStyle w:val="TableParagraph"/>
              <w:tabs>
                <w:tab w:val="left" w:pos="1415"/>
                <w:tab w:val="left" w:pos="2168"/>
              </w:tabs>
              <w:spacing w:line="440" w:lineRule="exact"/>
              <w:ind w:left="370" w:right="114"/>
              <w:rPr>
                <w:sz w:val="24"/>
              </w:rPr>
            </w:pPr>
            <w:r>
              <w:rPr>
                <w:spacing w:val="-2"/>
                <w:sz w:val="24"/>
              </w:rPr>
              <w:t>"[O]ther</w:t>
            </w:r>
            <w:r>
              <w:rPr>
                <w:sz w:val="24"/>
              </w:rPr>
              <w:tab/>
            </w:r>
            <w:r>
              <w:rPr>
                <w:spacing w:val="-4"/>
                <w:sz w:val="24"/>
              </w:rPr>
              <w:t>press</w:t>
            </w:r>
            <w:r>
              <w:rPr>
                <w:sz w:val="24"/>
              </w:rPr>
              <w:tab/>
            </w:r>
            <w:r>
              <w:rPr>
                <w:spacing w:val="-4"/>
                <w:sz w:val="24"/>
              </w:rPr>
              <w:t xml:space="preserve">and </w:t>
            </w:r>
            <w:r>
              <w:rPr>
                <w:spacing w:val="-2"/>
                <w:sz w:val="24"/>
              </w:rPr>
              <w:t>questionnaire".</w:t>
            </w:r>
            <w:r>
              <w:rPr>
                <w:spacing w:val="-2"/>
                <w:sz w:val="24"/>
                <w:vertAlign w:val="superscript"/>
              </w:rPr>
              <w:t>487</w:t>
            </w:r>
          </w:p>
        </w:tc>
        <w:tc>
          <w:tcPr>
            <w:tcW w:w="766" w:type="dxa"/>
          </w:tcPr>
          <w:p w14:paraId="51DE8A97" w14:textId="77777777" w:rsidR="0010369C" w:rsidRDefault="008E43AE">
            <w:pPr>
              <w:pStyle w:val="TableParagraph"/>
              <w:spacing w:before="131"/>
              <w:ind w:left="117"/>
              <w:rPr>
                <w:sz w:val="24"/>
              </w:rPr>
            </w:pPr>
            <w:r>
              <w:rPr>
                <w:spacing w:val="-2"/>
                <w:sz w:val="24"/>
              </w:rPr>
              <w:t>filling</w:t>
            </w:r>
          </w:p>
        </w:tc>
        <w:tc>
          <w:tcPr>
            <w:tcW w:w="1290" w:type="dxa"/>
          </w:tcPr>
          <w:p w14:paraId="51DE8A98" w14:textId="77777777" w:rsidR="0010369C" w:rsidRDefault="008E43AE">
            <w:pPr>
              <w:pStyle w:val="TableParagraph"/>
              <w:spacing w:before="131"/>
              <w:ind w:left="118"/>
              <w:rPr>
                <w:sz w:val="24"/>
              </w:rPr>
            </w:pPr>
            <w:r>
              <w:rPr>
                <w:spacing w:val="-2"/>
                <w:sz w:val="24"/>
              </w:rPr>
              <w:t>companies</w:t>
            </w:r>
          </w:p>
        </w:tc>
        <w:tc>
          <w:tcPr>
            <w:tcW w:w="540" w:type="dxa"/>
          </w:tcPr>
          <w:p w14:paraId="51DE8A99" w14:textId="77777777" w:rsidR="0010369C" w:rsidRDefault="008E43AE">
            <w:pPr>
              <w:pStyle w:val="TableParagraph"/>
              <w:spacing w:before="131"/>
              <w:ind w:left="118"/>
              <w:rPr>
                <w:sz w:val="24"/>
              </w:rPr>
            </w:pPr>
            <w:r>
              <w:rPr>
                <w:spacing w:val="-5"/>
                <w:sz w:val="24"/>
              </w:rPr>
              <w:t>did</w:t>
            </w:r>
          </w:p>
        </w:tc>
        <w:tc>
          <w:tcPr>
            <w:tcW w:w="567" w:type="dxa"/>
          </w:tcPr>
          <w:p w14:paraId="51DE8A9A" w14:textId="77777777" w:rsidR="0010369C" w:rsidRDefault="008E43AE">
            <w:pPr>
              <w:pStyle w:val="TableParagraph"/>
              <w:spacing w:before="131"/>
              <w:ind w:left="119"/>
              <w:rPr>
                <w:sz w:val="24"/>
              </w:rPr>
            </w:pPr>
            <w:r>
              <w:rPr>
                <w:spacing w:val="-5"/>
                <w:sz w:val="24"/>
              </w:rPr>
              <w:t>not</w:t>
            </w:r>
          </w:p>
        </w:tc>
        <w:tc>
          <w:tcPr>
            <w:tcW w:w="1037" w:type="dxa"/>
          </w:tcPr>
          <w:p w14:paraId="51DE8A9B" w14:textId="77777777" w:rsidR="0010369C" w:rsidRDefault="008E43AE">
            <w:pPr>
              <w:pStyle w:val="TableParagraph"/>
              <w:spacing w:before="131"/>
              <w:ind w:left="119"/>
              <w:rPr>
                <w:sz w:val="24"/>
              </w:rPr>
            </w:pPr>
            <w:r>
              <w:rPr>
                <w:spacing w:val="-2"/>
                <w:sz w:val="24"/>
              </w:rPr>
              <w:t>respond</w:t>
            </w:r>
          </w:p>
        </w:tc>
        <w:tc>
          <w:tcPr>
            <w:tcW w:w="441" w:type="dxa"/>
          </w:tcPr>
          <w:p w14:paraId="51DE8A9C" w14:textId="77777777" w:rsidR="0010369C" w:rsidRDefault="008E43AE">
            <w:pPr>
              <w:pStyle w:val="TableParagraph"/>
              <w:spacing w:before="131"/>
              <w:ind w:left="119"/>
              <w:rPr>
                <w:sz w:val="24"/>
              </w:rPr>
            </w:pPr>
            <w:r>
              <w:rPr>
                <w:spacing w:val="-5"/>
                <w:sz w:val="24"/>
              </w:rPr>
              <w:t>to</w:t>
            </w:r>
          </w:p>
        </w:tc>
        <w:tc>
          <w:tcPr>
            <w:tcW w:w="494" w:type="dxa"/>
          </w:tcPr>
          <w:p w14:paraId="51DE8A9D" w14:textId="77777777" w:rsidR="0010369C" w:rsidRDefault="008E43AE">
            <w:pPr>
              <w:pStyle w:val="TableParagraph"/>
              <w:spacing w:before="131"/>
              <w:ind w:left="120"/>
              <w:rPr>
                <w:sz w:val="24"/>
              </w:rPr>
            </w:pPr>
            <w:r>
              <w:rPr>
                <w:spacing w:val="-5"/>
                <w:sz w:val="24"/>
              </w:rPr>
              <w:t>the</w:t>
            </w:r>
          </w:p>
        </w:tc>
      </w:tr>
    </w:tbl>
    <w:p w14:paraId="51DE8A9F" w14:textId="77777777" w:rsidR="0010369C" w:rsidRDefault="0010369C">
      <w:pPr>
        <w:pStyle w:val="BodyText"/>
        <w:spacing w:before="2"/>
        <w:rPr>
          <w:sz w:val="22"/>
        </w:rPr>
      </w:pPr>
    </w:p>
    <w:p w14:paraId="51DE8AA0" w14:textId="77777777" w:rsidR="0010369C" w:rsidRDefault="008E43AE">
      <w:pPr>
        <w:pStyle w:val="BodyText"/>
        <w:spacing w:before="1" w:line="360" w:lineRule="auto"/>
        <w:ind w:left="237" w:right="614" w:firstLine="851"/>
        <w:jc w:val="both"/>
      </w:pPr>
      <w:r>
        <w:rPr>
          <w:noProof/>
        </w:rPr>
        <w:drawing>
          <wp:anchor distT="0" distB="0" distL="0" distR="0" simplePos="0" relativeHeight="251085312" behindDoc="1" locked="0" layoutInCell="1" allowOverlap="1" wp14:anchorId="51DEA337" wp14:editId="51DEA338">
            <wp:simplePos x="0" y="0"/>
            <wp:positionH relativeFrom="page">
              <wp:posOffset>899160</wp:posOffset>
            </wp:positionH>
            <wp:positionV relativeFrom="paragraph">
              <wp:posOffset>50326</wp:posOffset>
            </wp:positionV>
            <wp:extent cx="265175" cy="100753"/>
            <wp:effectExtent l="0" t="0" r="0" b="0"/>
            <wp:wrapNone/>
            <wp:docPr id="887" name="image4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 name="image454.png"/>
                    <pic:cNvPicPr/>
                  </pic:nvPicPr>
                  <pic:blipFill>
                    <a:blip r:embed="rId596" cstate="print"/>
                    <a:stretch>
                      <a:fillRect/>
                    </a:stretch>
                  </pic:blipFill>
                  <pic:spPr>
                    <a:xfrm>
                      <a:off x="0" y="0"/>
                      <a:ext cx="265175" cy="100753"/>
                    </a:xfrm>
                    <a:prstGeom prst="rect">
                      <a:avLst/>
                    </a:prstGeom>
                  </pic:spPr>
                </pic:pic>
              </a:graphicData>
            </a:graphic>
          </wp:anchor>
        </w:drawing>
      </w:r>
      <w:r>
        <w:t>Swan Vintage stated in its response to the Supplementary Questionnaire that it sources</w:t>
      </w:r>
      <w:r>
        <w:rPr>
          <w:spacing w:val="-14"/>
        </w:rPr>
        <w:t xml:space="preserve"> </w:t>
      </w:r>
      <w:r>
        <w:t>grapes</w:t>
      </w:r>
      <w:r>
        <w:rPr>
          <w:spacing w:val="-14"/>
        </w:rPr>
        <w:t xml:space="preserve"> </w:t>
      </w:r>
      <w:r>
        <w:t>locally</w:t>
      </w:r>
      <w:r>
        <w:rPr>
          <w:spacing w:val="-12"/>
        </w:rPr>
        <w:t xml:space="preserve"> </w:t>
      </w:r>
      <w:r>
        <w:t>from</w:t>
      </w:r>
      <w:r>
        <w:rPr>
          <w:spacing w:val="-12"/>
        </w:rPr>
        <w:t xml:space="preserve"> </w:t>
      </w:r>
      <w:r>
        <w:t>a</w:t>
      </w:r>
      <w:r>
        <w:rPr>
          <w:spacing w:val="-13"/>
        </w:rPr>
        <w:t xml:space="preserve"> </w:t>
      </w:r>
      <w:r>
        <w:t>number</w:t>
      </w:r>
      <w:r>
        <w:rPr>
          <w:spacing w:val="-13"/>
        </w:rPr>
        <w:t xml:space="preserve"> </w:t>
      </w:r>
      <w:r>
        <w:t>of</w:t>
      </w:r>
      <w:r>
        <w:rPr>
          <w:spacing w:val="-14"/>
        </w:rPr>
        <w:t xml:space="preserve"> </w:t>
      </w:r>
      <w:r>
        <w:t>suppliers</w:t>
      </w:r>
      <w:r>
        <w:rPr>
          <w:spacing w:val="-13"/>
        </w:rPr>
        <w:t xml:space="preserve"> </w:t>
      </w:r>
      <w:r>
        <w:t>in</w:t>
      </w:r>
      <w:r>
        <w:rPr>
          <w:spacing w:val="-14"/>
        </w:rPr>
        <w:t xml:space="preserve"> </w:t>
      </w:r>
      <w:r>
        <w:t>Australia,</w:t>
      </w:r>
      <w:r>
        <w:rPr>
          <w:spacing w:val="-13"/>
        </w:rPr>
        <w:t xml:space="preserve"> </w:t>
      </w:r>
      <w:r>
        <w:t>and</w:t>
      </w:r>
      <w:r>
        <w:rPr>
          <w:spacing w:val="-14"/>
        </w:rPr>
        <w:t xml:space="preserve"> </w:t>
      </w:r>
      <w:r>
        <w:t>also</w:t>
      </w:r>
      <w:r>
        <w:rPr>
          <w:spacing w:val="-12"/>
        </w:rPr>
        <w:t xml:space="preserve"> </w:t>
      </w:r>
      <w:r>
        <w:t>commissions</w:t>
      </w:r>
      <w:r>
        <w:rPr>
          <w:spacing w:val="-14"/>
        </w:rPr>
        <w:t xml:space="preserve"> </w:t>
      </w:r>
      <w:r>
        <w:t>a</w:t>
      </w:r>
      <w:r>
        <w:rPr>
          <w:spacing w:val="-12"/>
        </w:rPr>
        <w:t xml:space="preserve"> </w:t>
      </w:r>
      <w:r>
        <w:t>number of</w:t>
      </w:r>
      <w:r>
        <w:rPr>
          <w:spacing w:val="-12"/>
        </w:rPr>
        <w:t xml:space="preserve"> </w:t>
      </w:r>
      <w:r>
        <w:t>companies</w:t>
      </w:r>
      <w:r>
        <w:rPr>
          <w:spacing w:val="-13"/>
        </w:rPr>
        <w:t xml:space="preserve"> </w:t>
      </w:r>
      <w:r>
        <w:t>to</w:t>
      </w:r>
      <w:r>
        <w:rPr>
          <w:spacing w:val="-12"/>
        </w:rPr>
        <w:t xml:space="preserve"> </w:t>
      </w:r>
      <w:r>
        <w:t>provide</w:t>
      </w:r>
      <w:r>
        <w:rPr>
          <w:spacing w:val="-12"/>
        </w:rPr>
        <w:t xml:space="preserve"> </w:t>
      </w:r>
      <w:r>
        <w:t>bottling</w:t>
      </w:r>
      <w:r>
        <w:rPr>
          <w:spacing w:val="-12"/>
        </w:rPr>
        <w:t xml:space="preserve"> </w:t>
      </w:r>
      <w:r>
        <w:t>services.</w:t>
      </w:r>
      <w:r>
        <w:rPr>
          <w:vertAlign w:val="superscript"/>
        </w:rPr>
        <w:t>488</w:t>
      </w:r>
      <w:r>
        <w:rPr>
          <w:spacing w:val="-13"/>
        </w:rPr>
        <w:t xml:space="preserve"> </w:t>
      </w:r>
      <w:r>
        <w:t>One</w:t>
      </w:r>
      <w:r>
        <w:rPr>
          <w:spacing w:val="-12"/>
        </w:rPr>
        <w:t xml:space="preserve"> </w:t>
      </w:r>
      <w:r>
        <w:t>of</w:t>
      </w:r>
      <w:r>
        <w:rPr>
          <w:spacing w:val="-14"/>
        </w:rPr>
        <w:t xml:space="preserve"> </w:t>
      </w:r>
      <w:r>
        <w:t>the</w:t>
      </w:r>
      <w:r>
        <w:rPr>
          <w:spacing w:val="-12"/>
        </w:rPr>
        <w:t xml:space="preserve"> </w:t>
      </w:r>
      <w:r>
        <w:t>affiliated</w:t>
      </w:r>
      <w:r>
        <w:rPr>
          <w:spacing w:val="-12"/>
        </w:rPr>
        <w:t xml:space="preserve"> </w:t>
      </w:r>
      <w:r>
        <w:t>companies</w:t>
      </w:r>
      <w:r>
        <w:rPr>
          <w:spacing w:val="-13"/>
        </w:rPr>
        <w:t xml:space="preserve"> </w:t>
      </w:r>
      <w:r>
        <w:t>engaged</w:t>
      </w:r>
      <w:r>
        <w:rPr>
          <w:spacing w:val="-13"/>
        </w:rPr>
        <w:t xml:space="preserve"> </w:t>
      </w:r>
      <w:r>
        <w:t>by</w:t>
      </w:r>
      <w:r>
        <w:rPr>
          <w:spacing w:val="-13"/>
        </w:rPr>
        <w:t xml:space="preserve"> </w:t>
      </w:r>
      <w:r>
        <w:t>Swan Vintage</w:t>
      </w:r>
      <w:r>
        <w:rPr>
          <w:spacing w:val="-10"/>
        </w:rPr>
        <w:t xml:space="preserve"> </w:t>
      </w:r>
      <w:r>
        <w:t>for</w:t>
      </w:r>
      <w:r>
        <w:rPr>
          <w:spacing w:val="-11"/>
        </w:rPr>
        <w:t xml:space="preserve"> </w:t>
      </w:r>
      <w:r>
        <w:t>bottling</w:t>
      </w:r>
      <w:r>
        <w:rPr>
          <w:spacing w:val="-11"/>
        </w:rPr>
        <w:t xml:space="preserve"> </w:t>
      </w:r>
      <w:r>
        <w:t>services</w:t>
      </w:r>
      <w:r>
        <w:rPr>
          <w:spacing w:val="-12"/>
        </w:rPr>
        <w:t xml:space="preserve"> </w:t>
      </w:r>
      <w:r>
        <w:t>was</w:t>
      </w:r>
      <w:r>
        <w:rPr>
          <w:spacing w:val="-11"/>
        </w:rPr>
        <w:t xml:space="preserve"> </w:t>
      </w:r>
      <w:r>
        <w:t>"Growers</w:t>
      </w:r>
      <w:r>
        <w:rPr>
          <w:spacing w:val="-12"/>
        </w:rPr>
        <w:t xml:space="preserve"> </w:t>
      </w:r>
      <w:r>
        <w:t>Wine",</w:t>
      </w:r>
      <w:r>
        <w:rPr>
          <w:spacing w:val="-11"/>
        </w:rPr>
        <w:t xml:space="preserve"> </w:t>
      </w:r>
      <w:r>
        <w:t>with</w:t>
      </w:r>
      <w:r>
        <w:rPr>
          <w:spacing w:val="-11"/>
        </w:rPr>
        <w:t xml:space="preserve"> </w:t>
      </w:r>
      <w:r>
        <w:t>four</w:t>
      </w:r>
      <w:r>
        <w:rPr>
          <w:spacing w:val="-10"/>
        </w:rPr>
        <w:t xml:space="preserve"> </w:t>
      </w:r>
      <w:r>
        <w:t>non‐affiliated</w:t>
      </w:r>
      <w:r>
        <w:rPr>
          <w:spacing w:val="-11"/>
        </w:rPr>
        <w:t xml:space="preserve"> </w:t>
      </w:r>
      <w:r>
        <w:t>companies</w:t>
      </w:r>
      <w:r>
        <w:rPr>
          <w:spacing w:val="-13"/>
        </w:rPr>
        <w:t xml:space="preserve"> </w:t>
      </w:r>
      <w:r>
        <w:t>(original equipment manufacturers, or "OEMs") providing processing and bottling services.</w:t>
      </w:r>
      <w:r>
        <w:rPr>
          <w:vertAlign w:val="superscript"/>
        </w:rPr>
        <w:t>489</w:t>
      </w:r>
      <w:r>
        <w:t xml:space="preserve"> Swan Vintage explained the relationship between itself and these companies to MOFCOM as part of the investigation.</w:t>
      </w:r>
    </w:p>
    <w:p w14:paraId="51DE8AA1" w14:textId="77777777" w:rsidR="0010369C" w:rsidRDefault="008E43AE">
      <w:pPr>
        <w:pStyle w:val="BodyText"/>
        <w:spacing w:before="161"/>
        <w:ind w:left="1089"/>
        <w:jc w:val="both"/>
      </w:pPr>
      <w:r>
        <w:rPr>
          <w:noProof/>
        </w:rPr>
        <w:drawing>
          <wp:anchor distT="0" distB="0" distL="0" distR="0" simplePos="0" relativeHeight="250667520" behindDoc="0" locked="0" layoutInCell="1" allowOverlap="1" wp14:anchorId="51DEA339" wp14:editId="51DEA33A">
            <wp:simplePos x="0" y="0"/>
            <wp:positionH relativeFrom="page">
              <wp:posOffset>899160</wp:posOffset>
            </wp:positionH>
            <wp:positionV relativeFrom="paragraph">
              <wp:posOffset>150573</wp:posOffset>
            </wp:positionV>
            <wp:extent cx="265175" cy="103631"/>
            <wp:effectExtent l="0" t="0" r="0" b="0"/>
            <wp:wrapNone/>
            <wp:docPr id="889" name="image4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 name="image455.png"/>
                    <pic:cNvPicPr/>
                  </pic:nvPicPr>
                  <pic:blipFill>
                    <a:blip r:embed="rId597" cstate="print"/>
                    <a:stretch>
                      <a:fillRect/>
                    </a:stretch>
                  </pic:blipFill>
                  <pic:spPr>
                    <a:xfrm>
                      <a:off x="0" y="0"/>
                      <a:ext cx="265175" cy="103631"/>
                    </a:xfrm>
                    <a:prstGeom prst="rect">
                      <a:avLst/>
                    </a:prstGeom>
                  </pic:spPr>
                </pic:pic>
              </a:graphicData>
            </a:graphic>
          </wp:anchor>
        </w:drawing>
      </w:r>
      <w:r>
        <w:t>In</w:t>
      </w:r>
      <w:r>
        <w:rPr>
          <w:spacing w:val="-14"/>
        </w:rPr>
        <w:t xml:space="preserve"> </w:t>
      </w:r>
      <w:r>
        <w:t>the</w:t>
      </w:r>
      <w:r>
        <w:rPr>
          <w:spacing w:val="-13"/>
        </w:rPr>
        <w:t xml:space="preserve"> </w:t>
      </w:r>
      <w:r>
        <w:t>Supplementary</w:t>
      </w:r>
      <w:r>
        <w:rPr>
          <w:spacing w:val="-11"/>
        </w:rPr>
        <w:t xml:space="preserve"> </w:t>
      </w:r>
      <w:r>
        <w:t>Questionnaire,</w:t>
      </w:r>
      <w:r>
        <w:rPr>
          <w:spacing w:val="-14"/>
        </w:rPr>
        <w:t xml:space="preserve"> </w:t>
      </w:r>
      <w:r>
        <w:t>MOFCOM</w:t>
      </w:r>
      <w:r>
        <w:rPr>
          <w:spacing w:val="-12"/>
        </w:rPr>
        <w:t xml:space="preserve"> </w:t>
      </w:r>
      <w:r>
        <w:rPr>
          <w:spacing w:val="-2"/>
        </w:rPr>
        <w:t>aske</w:t>
      </w:r>
      <w:r>
        <w:rPr>
          <w:spacing w:val="-2"/>
        </w:rPr>
        <w:t>d:</w:t>
      </w:r>
      <w:r>
        <w:rPr>
          <w:spacing w:val="-2"/>
          <w:vertAlign w:val="superscript"/>
        </w:rPr>
        <w:t>490</w:t>
      </w:r>
    </w:p>
    <w:p w14:paraId="51DE8AA2" w14:textId="77777777" w:rsidR="0010369C" w:rsidRDefault="0010369C">
      <w:pPr>
        <w:pStyle w:val="BodyText"/>
        <w:rPr>
          <w:sz w:val="25"/>
        </w:rPr>
      </w:pPr>
    </w:p>
    <w:p w14:paraId="51DE8AA3" w14:textId="77777777" w:rsidR="0010369C" w:rsidRDefault="008E43AE">
      <w:pPr>
        <w:ind w:left="1089" w:right="612"/>
        <w:jc w:val="both"/>
      </w:pPr>
      <w:r>
        <w:t>You said in the original response that you purchase grapes and entrust two winemaking service</w:t>
      </w:r>
      <w:r>
        <w:rPr>
          <w:spacing w:val="-2"/>
        </w:rPr>
        <w:t xml:space="preserve"> </w:t>
      </w:r>
      <w:r>
        <w:t>providers</w:t>
      </w:r>
      <w:r>
        <w:rPr>
          <w:spacing w:val="-1"/>
        </w:rPr>
        <w:t xml:space="preserve"> </w:t>
      </w:r>
      <w:r>
        <w:t>to provide</w:t>
      </w:r>
      <w:r>
        <w:rPr>
          <w:spacing w:val="-1"/>
        </w:rPr>
        <w:t xml:space="preserve"> </w:t>
      </w:r>
      <w:r>
        <w:t>pressing</w:t>
      </w:r>
      <w:r>
        <w:rPr>
          <w:spacing w:val="-2"/>
        </w:rPr>
        <w:t xml:space="preserve"> </w:t>
      </w:r>
      <w:r>
        <w:t>services</w:t>
      </w:r>
      <w:r>
        <w:rPr>
          <w:spacing w:val="-1"/>
        </w:rPr>
        <w:t xml:space="preserve"> </w:t>
      </w:r>
      <w:r>
        <w:t>and</w:t>
      </w:r>
      <w:r>
        <w:rPr>
          <w:spacing w:val="-1"/>
        </w:rPr>
        <w:t xml:space="preserve"> </w:t>
      </w:r>
      <w:r>
        <w:t>produce crude</w:t>
      </w:r>
      <w:r>
        <w:rPr>
          <w:spacing w:val="-1"/>
        </w:rPr>
        <w:t xml:space="preserve"> </w:t>
      </w:r>
      <w:r>
        <w:t>wines.</w:t>
      </w:r>
      <w:r>
        <w:rPr>
          <w:spacing w:val="-1"/>
        </w:rPr>
        <w:t xml:space="preserve"> </w:t>
      </w:r>
      <w:r>
        <w:t>One</w:t>
      </w:r>
      <w:r>
        <w:rPr>
          <w:spacing w:val="-2"/>
        </w:rPr>
        <w:t xml:space="preserve"> </w:t>
      </w:r>
      <w:r>
        <w:t>of</w:t>
      </w:r>
      <w:r>
        <w:rPr>
          <w:spacing w:val="-1"/>
        </w:rPr>
        <w:t xml:space="preserve"> </w:t>
      </w:r>
      <w:r>
        <w:t>them</w:t>
      </w:r>
      <w:r>
        <w:rPr>
          <w:spacing w:val="-2"/>
        </w:rPr>
        <w:t xml:space="preserve"> </w:t>
      </w:r>
      <w:r>
        <w:t>serves as</w:t>
      </w:r>
      <w:r>
        <w:rPr>
          <w:spacing w:val="-13"/>
        </w:rPr>
        <w:t xml:space="preserve"> </w:t>
      </w:r>
      <w:r>
        <w:t>your</w:t>
      </w:r>
      <w:r>
        <w:rPr>
          <w:spacing w:val="-11"/>
        </w:rPr>
        <w:t xml:space="preserve"> </w:t>
      </w:r>
      <w:r>
        <w:t>affiliate.</w:t>
      </w:r>
      <w:r>
        <w:rPr>
          <w:spacing w:val="-13"/>
        </w:rPr>
        <w:t xml:space="preserve"> </w:t>
      </w:r>
      <w:r>
        <w:t>Please</w:t>
      </w:r>
      <w:r>
        <w:rPr>
          <w:spacing w:val="-12"/>
        </w:rPr>
        <w:t xml:space="preserve"> </w:t>
      </w:r>
      <w:r>
        <w:t>explain</w:t>
      </w:r>
      <w:r>
        <w:rPr>
          <w:spacing w:val="-13"/>
        </w:rPr>
        <w:t xml:space="preserve"> </w:t>
      </w:r>
      <w:r>
        <w:t>why</w:t>
      </w:r>
      <w:r>
        <w:rPr>
          <w:spacing w:val="-10"/>
        </w:rPr>
        <w:t xml:space="preserve"> </w:t>
      </w:r>
      <w:r>
        <w:t>these</w:t>
      </w:r>
      <w:r>
        <w:rPr>
          <w:spacing w:val="-13"/>
        </w:rPr>
        <w:t xml:space="preserve"> </w:t>
      </w:r>
      <w:r>
        <w:t>two</w:t>
      </w:r>
      <w:r>
        <w:rPr>
          <w:spacing w:val="-11"/>
        </w:rPr>
        <w:t xml:space="preserve"> </w:t>
      </w:r>
      <w:r>
        <w:t>companies</w:t>
      </w:r>
      <w:r>
        <w:rPr>
          <w:spacing w:val="-12"/>
        </w:rPr>
        <w:t xml:space="preserve"> </w:t>
      </w:r>
      <w:r>
        <w:t>do</w:t>
      </w:r>
      <w:r>
        <w:rPr>
          <w:spacing w:val="-12"/>
        </w:rPr>
        <w:t xml:space="preserve"> </w:t>
      </w:r>
      <w:r>
        <w:t>not</w:t>
      </w:r>
      <w:r>
        <w:rPr>
          <w:spacing w:val="-13"/>
        </w:rPr>
        <w:t xml:space="preserve"> </w:t>
      </w:r>
      <w:r>
        <w:t>submit</w:t>
      </w:r>
      <w:r>
        <w:rPr>
          <w:spacing w:val="-12"/>
        </w:rPr>
        <w:t xml:space="preserve"> </w:t>
      </w:r>
      <w:r>
        <w:t>their</w:t>
      </w:r>
      <w:r>
        <w:rPr>
          <w:spacing w:val="-12"/>
        </w:rPr>
        <w:t xml:space="preserve"> </w:t>
      </w:r>
      <w:r>
        <w:t>own</w:t>
      </w:r>
      <w:r>
        <w:rPr>
          <w:spacing w:val="-13"/>
        </w:rPr>
        <w:t xml:space="preserve"> </w:t>
      </w:r>
      <w:r>
        <w:t>responses. Besides, you also entrust another company for bottling. Please explain why the bottling company does not submit its own response.</w:t>
      </w:r>
    </w:p>
    <w:p w14:paraId="51DE8AA4" w14:textId="77777777" w:rsidR="0010369C" w:rsidRDefault="0010369C">
      <w:pPr>
        <w:pStyle w:val="BodyText"/>
        <w:rPr>
          <w:sz w:val="20"/>
        </w:rPr>
      </w:pPr>
    </w:p>
    <w:p w14:paraId="51DE8AA5" w14:textId="77777777" w:rsidR="0010369C" w:rsidRDefault="0010369C">
      <w:pPr>
        <w:pStyle w:val="BodyText"/>
        <w:rPr>
          <w:sz w:val="20"/>
        </w:rPr>
      </w:pPr>
    </w:p>
    <w:p w14:paraId="51DE8AA6" w14:textId="77777777" w:rsidR="0010369C" w:rsidRDefault="008E43AE">
      <w:pPr>
        <w:pStyle w:val="BodyText"/>
        <w:spacing w:before="7"/>
        <w:rPr>
          <w:sz w:val="16"/>
        </w:rPr>
      </w:pPr>
      <w:r>
        <w:pict w14:anchorId="51DEA33B">
          <v:rect id="docshape897" o:spid="_x0000_s1426" style="position:absolute;margin-left:70.9pt;margin-top:11.35pt;width:2in;height:.8pt;z-index:-250879488;mso-wrap-distance-left:0;mso-wrap-distance-right:0;mso-position-horizontal-relative:page" fillcolor="black" stroked="f">
            <w10:wrap type="topAndBottom" anchorx="page"/>
          </v:rect>
        </w:pict>
      </w:r>
    </w:p>
    <w:p w14:paraId="51DE8AA7" w14:textId="77777777" w:rsidR="0010369C" w:rsidRDefault="008E43AE">
      <w:pPr>
        <w:spacing w:before="109"/>
        <w:ind w:left="238"/>
        <w:rPr>
          <w:sz w:val="18"/>
        </w:rPr>
      </w:pPr>
      <w:r>
        <w:rPr>
          <w:sz w:val="18"/>
          <w:vertAlign w:val="superscript"/>
        </w:rPr>
        <w:t>486</w:t>
      </w:r>
      <w:r>
        <w:rPr>
          <w:spacing w:val="-9"/>
          <w:sz w:val="18"/>
        </w:rPr>
        <w:t xml:space="preserve"> </w:t>
      </w:r>
      <w:r>
        <w:rPr>
          <w:sz w:val="18"/>
        </w:rPr>
        <w:t>Anti‐Dumping</w:t>
      </w:r>
      <w:r>
        <w:rPr>
          <w:spacing w:val="-9"/>
          <w:sz w:val="18"/>
        </w:rPr>
        <w:t xml:space="preserve"> </w:t>
      </w:r>
      <w:r>
        <w:rPr>
          <w:sz w:val="18"/>
        </w:rPr>
        <w:t>Final</w:t>
      </w:r>
      <w:r>
        <w:rPr>
          <w:spacing w:val="-9"/>
          <w:sz w:val="18"/>
        </w:rPr>
        <w:t xml:space="preserve"> </w:t>
      </w:r>
      <w:r>
        <w:rPr>
          <w:sz w:val="18"/>
        </w:rPr>
        <w:t>Determination</w:t>
      </w:r>
      <w:r>
        <w:rPr>
          <w:spacing w:val="-8"/>
          <w:sz w:val="18"/>
        </w:rPr>
        <w:t xml:space="preserve"> </w:t>
      </w:r>
      <w:r>
        <w:rPr>
          <w:sz w:val="18"/>
        </w:rPr>
        <w:t>(Exhibit</w:t>
      </w:r>
      <w:r>
        <w:rPr>
          <w:spacing w:val="-9"/>
          <w:sz w:val="18"/>
        </w:rPr>
        <w:t xml:space="preserve"> </w:t>
      </w:r>
      <w:r>
        <w:rPr>
          <w:sz w:val="18"/>
        </w:rPr>
        <w:t>AUS‐2),</w:t>
      </w:r>
      <w:r>
        <w:rPr>
          <w:spacing w:val="-10"/>
          <w:sz w:val="18"/>
        </w:rPr>
        <w:t xml:space="preserve"> </w:t>
      </w:r>
      <w:r>
        <w:rPr>
          <w:sz w:val="18"/>
        </w:rPr>
        <w:t>pp.</w:t>
      </w:r>
      <w:r>
        <w:rPr>
          <w:spacing w:val="-9"/>
          <w:sz w:val="18"/>
        </w:rPr>
        <w:t xml:space="preserve"> </w:t>
      </w:r>
      <w:r>
        <w:rPr>
          <w:spacing w:val="-2"/>
          <w:sz w:val="18"/>
        </w:rPr>
        <w:t>90‐91.</w:t>
      </w:r>
    </w:p>
    <w:p w14:paraId="51DE8AA8" w14:textId="77777777" w:rsidR="0010369C" w:rsidRDefault="008E43AE">
      <w:pPr>
        <w:spacing w:before="1"/>
        <w:ind w:left="238"/>
        <w:rPr>
          <w:sz w:val="18"/>
        </w:rPr>
      </w:pPr>
      <w:r>
        <w:rPr>
          <w:sz w:val="18"/>
          <w:vertAlign w:val="superscript"/>
        </w:rPr>
        <w:t>487</w:t>
      </w:r>
      <w:r>
        <w:rPr>
          <w:spacing w:val="-9"/>
          <w:sz w:val="18"/>
        </w:rPr>
        <w:t xml:space="preserve"> </w:t>
      </w:r>
      <w:r>
        <w:rPr>
          <w:sz w:val="18"/>
        </w:rPr>
        <w:t>Anti‐Dumping</w:t>
      </w:r>
      <w:r>
        <w:rPr>
          <w:spacing w:val="-9"/>
          <w:sz w:val="18"/>
        </w:rPr>
        <w:t xml:space="preserve"> </w:t>
      </w:r>
      <w:r>
        <w:rPr>
          <w:sz w:val="18"/>
        </w:rPr>
        <w:t>Final</w:t>
      </w:r>
      <w:r>
        <w:rPr>
          <w:spacing w:val="-9"/>
          <w:sz w:val="18"/>
        </w:rPr>
        <w:t xml:space="preserve"> </w:t>
      </w:r>
      <w:r>
        <w:rPr>
          <w:sz w:val="18"/>
        </w:rPr>
        <w:t>Determination</w:t>
      </w:r>
      <w:r>
        <w:rPr>
          <w:spacing w:val="-8"/>
          <w:sz w:val="18"/>
        </w:rPr>
        <w:t xml:space="preserve"> </w:t>
      </w:r>
      <w:r>
        <w:rPr>
          <w:sz w:val="18"/>
        </w:rPr>
        <w:t>(Exhibit</w:t>
      </w:r>
      <w:r>
        <w:rPr>
          <w:spacing w:val="-9"/>
          <w:sz w:val="18"/>
        </w:rPr>
        <w:t xml:space="preserve"> </w:t>
      </w:r>
      <w:r>
        <w:rPr>
          <w:sz w:val="18"/>
        </w:rPr>
        <w:t>AUS‐2),</w:t>
      </w:r>
      <w:r>
        <w:rPr>
          <w:spacing w:val="-10"/>
          <w:sz w:val="18"/>
        </w:rPr>
        <w:t xml:space="preserve"> </w:t>
      </w:r>
      <w:r>
        <w:rPr>
          <w:sz w:val="18"/>
        </w:rPr>
        <w:t>pp.</w:t>
      </w:r>
      <w:r>
        <w:rPr>
          <w:spacing w:val="-9"/>
          <w:sz w:val="18"/>
        </w:rPr>
        <w:t xml:space="preserve"> </w:t>
      </w:r>
      <w:r>
        <w:rPr>
          <w:spacing w:val="-2"/>
          <w:sz w:val="18"/>
        </w:rPr>
        <w:t>90‐91.</w:t>
      </w:r>
    </w:p>
    <w:p w14:paraId="51DE8AA9" w14:textId="77777777" w:rsidR="0010369C" w:rsidRDefault="008E43AE">
      <w:pPr>
        <w:ind w:left="238"/>
        <w:rPr>
          <w:sz w:val="18"/>
        </w:rPr>
      </w:pPr>
      <w:r>
        <w:rPr>
          <w:sz w:val="18"/>
          <w:vertAlign w:val="superscript"/>
        </w:rPr>
        <w:t>488</w:t>
      </w:r>
      <w:r>
        <w:rPr>
          <w:spacing w:val="-9"/>
          <w:sz w:val="18"/>
        </w:rPr>
        <w:t xml:space="preserve"> </w:t>
      </w:r>
      <w:r>
        <w:rPr>
          <w:sz w:val="18"/>
        </w:rPr>
        <w:t>Swan</w:t>
      </w:r>
      <w:r>
        <w:rPr>
          <w:spacing w:val="-8"/>
          <w:sz w:val="18"/>
        </w:rPr>
        <w:t xml:space="preserve"> </w:t>
      </w:r>
      <w:r>
        <w:rPr>
          <w:sz w:val="18"/>
        </w:rPr>
        <w:t>Vintage</w:t>
      </w:r>
      <w:r>
        <w:rPr>
          <w:spacing w:val="-8"/>
          <w:sz w:val="18"/>
        </w:rPr>
        <w:t xml:space="preserve"> </w:t>
      </w:r>
      <w:r>
        <w:rPr>
          <w:sz w:val="18"/>
        </w:rPr>
        <w:t>Supplementary</w:t>
      </w:r>
      <w:r>
        <w:rPr>
          <w:spacing w:val="-7"/>
          <w:sz w:val="18"/>
        </w:rPr>
        <w:t xml:space="preserve"> </w:t>
      </w:r>
      <w:r>
        <w:rPr>
          <w:sz w:val="18"/>
        </w:rPr>
        <w:t>Questionnaire</w:t>
      </w:r>
      <w:r>
        <w:rPr>
          <w:spacing w:val="-10"/>
          <w:sz w:val="18"/>
        </w:rPr>
        <w:t xml:space="preserve"> </w:t>
      </w:r>
      <w:r>
        <w:rPr>
          <w:sz w:val="18"/>
        </w:rPr>
        <w:t>Response</w:t>
      </w:r>
      <w:r>
        <w:rPr>
          <w:spacing w:val="-9"/>
          <w:sz w:val="18"/>
        </w:rPr>
        <w:t xml:space="preserve"> </w:t>
      </w:r>
      <w:r>
        <w:rPr>
          <w:sz w:val="18"/>
        </w:rPr>
        <w:t>(Exhibit</w:t>
      </w:r>
      <w:r>
        <w:rPr>
          <w:spacing w:val="-8"/>
          <w:sz w:val="18"/>
        </w:rPr>
        <w:t xml:space="preserve"> </w:t>
      </w:r>
      <w:r>
        <w:rPr>
          <w:sz w:val="18"/>
        </w:rPr>
        <w:t>AUS‐41),</w:t>
      </w:r>
      <w:r>
        <w:rPr>
          <w:spacing w:val="-9"/>
          <w:sz w:val="18"/>
        </w:rPr>
        <w:t xml:space="preserve"> </w:t>
      </w:r>
      <w:r>
        <w:rPr>
          <w:sz w:val="18"/>
        </w:rPr>
        <w:t>p.</w:t>
      </w:r>
      <w:r>
        <w:rPr>
          <w:spacing w:val="-9"/>
          <w:sz w:val="18"/>
        </w:rPr>
        <w:t xml:space="preserve"> </w:t>
      </w:r>
      <w:r>
        <w:rPr>
          <w:spacing w:val="-5"/>
          <w:sz w:val="18"/>
        </w:rPr>
        <w:t>3.</w:t>
      </w:r>
    </w:p>
    <w:p w14:paraId="51DE8AAA" w14:textId="77777777" w:rsidR="0010369C" w:rsidRDefault="008E43AE">
      <w:pPr>
        <w:ind w:left="238"/>
        <w:rPr>
          <w:sz w:val="18"/>
        </w:rPr>
      </w:pPr>
      <w:r>
        <w:rPr>
          <w:sz w:val="18"/>
          <w:vertAlign w:val="superscript"/>
        </w:rPr>
        <w:t>489</w:t>
      </w:r>
      <w:r>
        <w:rPr>
          <w:spacing w:val="-8"/>
          <w:sz w:val="18"/>
        </w:rPr>
        <w:t xml:space="preserve"> </w:t>
      </w:r>
      <w:r>
        <w:rPr>
          <w:sz w:val="18"/>
        </w:rPr>
        <w:t>Swan</w:t>
      </w:r>
      <w:r>
        <w:rPr>
          <w:spacing w:val="-7"/>
          <w:sz w:val="18"/>
        </w:rPr>
        <w:t xml:space="preserve"> </w:t>
      </w:r>
      <w:r>
        <w:rPr>
          <w:sz w:val="18"/>
        </w:rPr>
        <w:t>Vintage</w:t>
      </w:r>
      <w:r>
        <w:rPr>
          <w:spacing w:val="-6"/>
          <w:sz w:val="18"/>
        </w:rPr>
        <w:t xml:space="preserve"> </w:t>
      </w:r>
      <w:r>
        <w:rPr>
          <w:sz w:val="18"/>
        </w:rPr>
        <w:t>Supplementary</w:t>
      </w:r>
      <w:r>
        <w:rPr>
          <w:spacing w:val="-7"/>
          <w:sz w:val="18"/>
        </w:rPr>
        <w:t xml:space="preserve"> </w:t>
      </w:r>
      <w:r>
        <w:rPr>
          <w:sz w:val="18"/>
        </w:rPr>
        <w:t>Questionnaire</w:t>
      </w:r>
      <w:r>
        <w:rPr>
          <w:spacing w:val="-8"/>
          <w:sz w:val="18"/>
        </w:rPr>
        <w:t xml:space="preserve"> </w:t>
      </w:r>
      <w:r>
        <w:rPr>
          <w:sz w:val="18"/>
        </w:rPr>
        <w:t>Response</w:t>
      </w:r>
      <w:r>
        <w:rPr>
          <w:spacing w:val="-8"/>
          <w:sz w:val="18"/>
        </w:rPr>
        <w:t xml:space="preserve"> </w:t>
      </w:r>
      <w:r>
        <w:rPr>
          <w:sz w:val="18"/>
        </w:rPr>
        <w:t>(Exhibit</w:t>
      </w:r>
      <w:r>
        <w:rPr>
          <w:spacing w:val="-7"/>
          <w:sz w:val="18"/>
        </w:rPr>
        <w:t xml:space="preserve"> </w:t>
      </w:r>
      <w:r>
        <w:rPr>
          <w:sz w:val="18"/>
        </w:rPr>
        <w:t>AUS‐41),</w:t>
      </w:r>
      <w:r>
        <w:rPr>
          <w:spacing w:val="-8"/>
          <w:sz w:val="18"/>
        </w:rPr>
        <w:t xml:space="preserve"> </w:t>
      </w:r>
      <w:r>
        <w:rPr>
          <w:sz w:val="18"/>
        </w:rPr>
        <w:t>p.</w:t>
      </w:r>
      <w:r>
        <w:rPr>
          <w:spacing w:val="-8"/>
          <w:sz w:val="18"/>
        </w:rPr>
        <w:t xml:space="preserve"> </w:t>
      </w:r>
      <w:r>
        <w:rPr>
          <w:sz w:val="18"/>
        </w:rPr>
        <w:t>2</w:t>
      </w:r>
      <w:r>
        <w:rPr>
          <w:spacing w:val="-7"/>
          <w:sz w:val="18"/>
        </w:rPr>
        <w:t xml:space="preserve"> </w:t>
      </w:r>
      <w:r>
        <w:rPr>
          <w:sz w:val="18"/>
        </w:rPr>
        <w:t>(see</w:t>
      </w:r>
      <w:r>
        <w:rPr>
          <w:spacing w:val="-8"/>
          <w:sz w:val="18"/>
        </w:rPr>
        <w:t xml:space="preserve"> </w:t>
      </w:r>
      <w:r>
        <w:rPr>
          <w:sz w:val="18"/>
        </w:rPr>
        <w:t>question</w:t>
      </w:r>
      <w:r>
        <w:rPr>
          <w:spacing w:val="-7"/>
          <w:sz w:val="18"/>
        </w:rPr>
        <w:t xml:space="preserve"> </w:t>
      </w:r>
      <w:r>
        <w:rPr>
          <w:spacing w:val="-5"/>
          <w:sz w:val="18"/>
        </w:rPr>
        <w:t>3).</w:t>
      </w:r>
    </w:p>
    <w:p w14:paraId="51DE8AAB" w14:textId="77777777" w:rsidR="0010369C" w:rsidRDefault="008E43AE">
      <w:pPr>
        <w:ind w:left="238"/>
        <w:rPr>
          <w:sz w:val="18"/>
        </w:rPr>
      </w:pPr>
      <w:r>
        <w:rPr>
          <w:sz w:val="18"/>
          <w:vertAlign w:val="superscript"/>
        </w:rPr>
        <w:t>490</w:t>
      </w:r>
      <w:r>
        <w:rPr>
          <w:spacing w:val="-9"/>
          <w:sz w:val="18"/>
        </w:rPr>
        <w:t xml:space="preserve"> </w:t>
      </w:r>
      <w:r>
        <w:rPr>
          <w:sz w:val="18"/>
        </w:rPr>
        <w:t>Swan</w:t>
      </w:r>
      <w:r>
        <w:rPr>
          <w:spacing w:val="-8"/>
          <w:sz w:val="18"/>
        </w:rPr>
        <w:t xml:space="preserve"> </w:t>
      </w:r>
      <w:r>
        <w:rPr>
          <w:sz w:val="18"/>
        </w:rPr>
        <w:t>Vintage</w:t>
      </w:r>
      <w:r>
        <w:rPr>
          <w:spacing w:val="-8"/>
          <w:sz w:val="18"/>
        </w:rPr>
        <w:t xml:space="preserve"> </w:t>
      </w:r>
      <w:r>
        <w:rPr>
          <w:sz w:val="18"/>
        </w:rPr>
        <w:t>Supplementary</w:t>
      </w:r>
      <w:r>
        <w:rPr>
          <w:spacing w:val="-7"/>
          <w:sz w:val="18"/>
        </w:rPr>
        <w:t xml:space="preserve"> </w:t>
      </w:r>
      <w:r>
        <w:rPr>
          <w:sz w:val="18"/>
        </w:rPr>
        <w:t>Questionnaire</w:t>
      </w:r>
      <w:r>
        <w:rPr>
          <w:spacing w:val="-10"/>
          <w:sz w:val="18"/>
        </w:rPr>
        <w:t xml:space="preserve"> </w:t>
      </w:r>
      <w:r>
        <w:rPr>
          <w:sz w:val="18"/>
        </w:rPr>
        <w:t>Response</w:t>
      </w:r>
      <w:r>
        <w:rPr>
          <w:spacing w:val="-9"/>
          <w:sz w:val="18"/>
        </w:rPr>
        <w:t xml:space="preserve"> </w:t>
      </w:r>
      <w:r>
        <w:rPr>
          <w:sz w:val="18"/>
        </w:rPr>
        <w:t>(Exhibit</w:t>
      </w:r>
      <w:r>
        <w:rPr>
          <w:spacing w:val="-8"/>
          <w:sz w:val="18"/>
        </w:rPr>
        <w:t xml:space="preserve"> </w:t>
      </w:r>
      <w:r>
        <w:rPr>
          <w:sz w:val="18"/>
        </w:rPr>
        <w:t>AUS‐41),</w:t>
      </w:r>
      <w:r>
        <w:rPr>
          <w:spacing w:val="-9"/>
          <w:sz w:val="18"/>
        </w:rPr>
        <w:t xml:space="preserve"> </w:t>
      </w:r>
      <w:r>
        <w:rPr>
          <w:sz w:val="18"/>
        </w:rPr>
        <w:t>p.</w:t>
      </w:r>
      <w:r>
        <w:rPr>
          <w:spacing w:val="-9"/>
          <w:sz w:val="18"/>
        </w:rPr>
        <w:t xml:space="preserve"> </w:t>
      </w:r>
      <w:r>
        <w:rPr>
          <w:spacing w:val="-5"/>
          <w:sz w:val="18"/>
        </w:rPr>
        <w:t>3.</w:t>
      </w:r>
    </w:p>
    <w:p w14:paraId="51DE8AAC" w14:textId="77777777" w:rsidR="0010369C" w:rsidRDefault="0010369C">
      <w:pPr>
        <w:rPr>
          <w:sz w:val="18"/>
        </w:rPr>
        <w:sectPr w:rsidR="0010369C">
          <w:pgSz w:w="11910" w:h="16840"/>
          <w:pgMar w:top="880" w:right="800" w:bottom="980" w:left="1180" w:header="569" w:footer="788" w:gutter="0"/>
          <w:cols w:space="720"/>
        </w:sectPr>
      </w:pPr>
    </w:p>
    <w:p w14:paraId="51DE8AAD" w14:textId="77777777" w:rsidR="0010369C" w:rsidRDefault="008E43AE">
      <w:pPr>
        <w:tabs>
          <w:tab w:val="left" w:pos="6426"/>
        </w:tabs>
        <w:ind w:left="238"/>
        <w:rPr>
          <w:sz w:val="20"/>
        </w:rPr>
      </w:pPr>
      <w:r>
        <w:rPr>
          <w:i/>
          <w:sz w:val="20"/>
        </w:rPr>
        <w:lastRenderedPageBreak/>
        <w:t>China</w:t>
      </w:r>
      <w:r>
        <w:rPr>
          <w:i/>
          <w:spacing w:val="-5"/>
          <w:sz w:val="20"/>
        </w:rPr>
        <w:t xml:space="preserve"> </w:t>
      </w:r>
      <w:r>
        <w:rPr>
          <w:i/>
          <w:sz w:val="20"/>
        </w:rPr>
        <w:t>–</w:t>
      </w:r>
      <w:r>
        <w:rPr>
          <w:i/>
          <w:spacing w:val="-5"/>
          <w:sz w:val="20"/>
        </w:rPr>
        <w:t xml:space="preserve"> </w:t>
      </w:r>
      <w:r>
        <w:rPr>
          <w:i/>
          <w:sz w:val="20"/>
        </w:rPr>
        <w:t>Anti‐Dumping</w:t>
      </w:r>
      <w:r>
        <w:rPr>
          <w:i/>
          <w:spacing w:val="-4"/>
          <w:sz w:val="20"/>
        </w:rPr>
        <w:t xml:space="preserve"> </w:t>
      </w:r>
      <w:r>
        <w:rPr>
          <w:i/>
          <w:sz w:val="20"/>
        </w:rPr>
        <w:t>and</w:t>
      </w:r>
      <w:r>
        <w:rPr>
          <w:i/>
          <w:spacing w:val="-5"/>
          <w:sz w:val="20"/>
        </w:rPr>
        <w:t xml:space="preserve"> </w:t>
      </w:r>
      <w:r>
        <w:rPr>
          <w:i/>
          <w:sz w:val="20"/>
        </w:rPr>
        <w:t>Countervailing</w:t>
      </w:r>
      <w:r>
        <w:rPr>
          <w:i/>
          <w:spacing w:val="-5"/>
          <w:sz w:val="20"/>
        </w:rPr>
        <w:t xml:space="preserve"> </w:t>
      </w:r>
      <w:r>
        <w:rPr>
          <w:i/>
          <w:sz w:val="20"/>
        </w:rPr>
        <w:t>Duty</w:t>
      </w:r>
      <w:r>
        <w:rPr>
          <w:i/>
          <w:spacing w:val="-4"/>
          <w:sz w:val="20"/>
        </w:rPr>
        <w:t xml:space="preserve"> </w:t>
      </w:r>
      <w:r>
        <w:rPr>
          <w:i/>
          <w:spacing w:val="-2"/>
          <w:sz w:val="20"/>
        </w:rPr>
        <w:t>Measures</w:t>
      </w:r>
      <w:r>
        <w:rPr>
          <w:i/>
          <w:sz w:val="20"/>
        </w:rPr>
        <w:tab/>
      </w:r>
      <w:r>
        <w:rPr>
          <w:sz w:val="20"/>
        </w:rPr>
        <w:t>Australia's</w:t>
      </w:r>
      <w:r>
        <w:rPr>
          <w:spacing w:val="-7"/>
          <w:sz w:val="20"/>
        </w:rPr>
        <w:t xml:space="preserve"> </w:t>
      </w:r>
      <w:r>
        <w:rPr>
          <w:sz w:val="20"/>
        </w:rPr>
        <w:t>First</w:t>
      </w:r>
      <w:r>
        <w:rPr>
          <w:spacing w:val="-2"/>
          <w:sz w:val="20"/>
        </w:rPr>
        <w:t xml:space="preserve"> </w:t>
      </w:r>
      <w:r>
        <w:rPr>
          <w:sz w:val="20"/>
        </w:rPr>
        <w:t>Written</w:t>
      </w:r>
      <w:r>
        <w:rPr>
          <w:spacing w:val="-2"/>
          <w:sz w:val="20"/>
        </w:rPr>
        <w:t xml:space="preserve"> Submission</w:t>
      </w:r>
    </w:p>
    <w:p w14:paraId="51DE8AAE" w14:textId="77777777" w:rsidR="0010369C" w:rsidRDefault="008E43AE">
      <w:pPr>
        <w:tabs>
          <w:tab w:val="left" w:pos="8228"/>
        </w:tabs>
        <w:spacing w:before="1"/>
        <w:ind w:left="239"/>
        <w:rPr>
          <w:sz w:val="20"/>
        </w:rPr>
      </w:pPr>
      <w:r>
        <w:rPr>
          <w:i/>
          <w:sz w:val="20"/>
        </w:rPr>
        <w:t>on</w:t>
      </w:r>
      <w:r>
        <w:rPr>
          <w:i/>
          <w:spacing w:val="-1"/>
          <w:sz w:val="20"/>
        </w:rPr>
        <w:t xml:space="preserve"> </w:t>
      </w:r>
      <w:r>
        <w:rPr>
          <w:i/>
          <w:sz w:val="20"/>
        </w:rPr>
        <w:t>Wine</w:t>
      </w:r>
      <w:r>
        <w:rPr>
          <w:i/>
          <w:spacing w:val="-1"/>
          <w:sz w:val="20"/>
        </w:rPr>
        <w:t xml:space="preserve"> </w:t>
      </w:r>
      <w:r>
        <w:rPr>
          <w:i/>
          <w:sz w:val="20"/>
        </w:rPr>
        <w:t>from</w:t>
      </w:r>
      <w:r>
        <w:rPr>
          <w:i/>
          <w:spacing w:val="-3"/>
          <w:sz w:val="20"/>
        </w:rPr>
        <w:t xml:space="preserve"> </w:t>
      </w:r>
      <w:r>
        <w:rPr>
          <w:i/>
          <w:sz w:val="20"/>
        </w:rPr>
        <w:t>Australia</w:t>
      </w:r>
      <w:r>
        <w:rPr>
          <w:i/>
          <w:spacing w:val="-1"/>
          <w:sz w:val="20"/>
        </w:rPr>
        <w:t xml:space="preserve"> </w:t>
      </w:r>
      <w:r>
        <w:rPr>
          <w:spacing w:val="-2"/>
          <w:sz w:val="20"/>
        </w:rPr>
        <w:t>(DS602)</w:t>
      </w:r>
      <w:r>
        <w:rPr>
          <w:sz w:val="20"/>
        </w:rPr>
        <w:tab/>
        <w:t>29</w:t>
      </w:r>
      <w:r>
        <w:rPr>
          <w:spacing w:val="-1"/>
          <w:sz w:val="20"/>
        </w:rPr>
        <w:t xml:space="preserve"> </w:t>
      </w:r>
      <w:r>
        <w:rPr>
          <w:sz w:val="20"/>
        </w:rPr>
        <w:t>April</w:t>
      </w:r>
      <w:r>
        <w:rPr>
          <w:spacing w:val="-2"/>
          <w:sz w:val="20"/>
        </w:rPr>
        <w:t xml:space="preserve"> </w:t>
      </w:r>
      <w:r>
        <w:rPr>
          <w:spacing w:val="-4"/>
          <w:sz w:val="20"/>
        </w:rPr>
        <w:t>2022</w:t>
      </w:r>
    </w:p>
    <w:p w14:paraId="51DE8AAF" w14:textId="77777777" w:rsidR="0010369C" w:rsidRDefault="008E43AE">
      <w:pPr>
        <w:pStyle w:val="BodyText"/>
        <w:spacing w:before="34" w:line="360" w:lineRule="auto"/>
        <w:ind w:left="237" w:right="612" w:firstLine="851"/>
        <w:jc w:val="both"/>
      </w:pPr>
      <w:r>
        <w:rPr>
          <w:noProof/>
        </w:rPr>
        <w:drawing>
          <wp:anchor distT="0" distB="0" distL="0" distR="0" simplePos="0" relativeHeight="251086336" behindDoc="1" locked="0" layoutInCell="1" allowOverlap="1" wp14:anchorId="51DEA33C" wp14:editId="51DEA33D">
            <wp:simplePos x="0" y="0"/>
            <wp:positionH relativeFrom="page">
              <wp:posOffset>899160</wp:posOffset>
            </wp:positionH>
            <wp:positionV relativeFrom="paragraph">
              <wp:posOffset>72043</wp:posOffset>
            </wp:positionV>
            <wp:extent cx="265175" cy="100753"/>
            <wp:effectExtent l="0" t="0" r="0" b="0"/>
            <wp:wrapNone/>
            <wp:docPr id="891" name="image4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 name="image456.png"/>
                    <pic:cNvPicPr/>
                  </pic:nvPicPr>
                  <pic:blipFill>
                    <a:blip r:embed="rId598" cstate="print"/>
                    <a:stretch>
                      <a:fillRect/>
                    </a:stretch>
                  </pic:blipFill>
                  <pic:spPr>
                    <a:xfrm>
                      <a:off x="0" y="0"/>
                      <a:ext cx="265175" cy="100753"/>
                    </a:xfrm>
                    <a:prstGeom prst="rect">
                      <a:avLst/>
                    </a:prstGeom>
                  </pic:spPr>
                </pic:pic>
              </a:graphicData>
            </a:graphic>
          </wp:anchor>
        </w:drawing>
      </w:r>
      <w:r>
        <w:t>Swan</w:t>
      </w:r>
      <w:r>
        <w:rPr>
          <w:spacing w:val="-10"/>
        </w:rPr>
        <w:t xml:space="preserve"> </w:t>
      </w:r>
      <w:r>
        <w:t>Vintage</w:t>
      </w:r>
      <w:r>
        <w:rPr>
          <w:spacing w:val="-9"/>
        </w:rPr>
        <w:t xml:space="preserve"> </w:t>
      </w:r>
      <w:r>
        <w:t>responded</w:t>
      </w:r>
      <w:r>
        <w:rPr>
          <w:spacing w:val="-12"/>
        </w:rPr>
        <w:t xml:space="preserve"> </w:t>
      </w:r>
      <w:r>
        <w:t>that</w:t>
      </w:r>
      <w:r>
        <w:rPr>
          <w:spacing w:val="-10"/>
        </w:rPr>
        <w:t xml:space="preserve"> </w:t>
      </w:r>
      <w:r>
        <w:t>it</w:t>
      </w:r>
      <w:r>
        <w:rPr>
          <w:spacing w:val="-9"/>
        </w:rPr>
        <w:t xml:space="preserve"> </w:t>
      </w:r>
      <w:r>
        <w:t>had</w:t>
      </w:r>
      <w:r>
        <w:rPr>
          <w:spacing w:val="-9"/>
        </w:rPr>
        <w:t xml:space="preserve"> </w:t>
      </w:r>
      <w:r>
        <w:t>submitted</w:t>
      </w:r>
      <w:r>
        <w:rPr>
          <w:spacing w:val="-10"/>
        </w:rPr>
        <w:t xml:space="preserve"> </w:t>
      </w:r>
      <w:r>
        <w:t>a</w:t>
      </w:r>
      <w:r>
        <w:rPr>
          <w:spacing w:val="-10"/>
        </w:rPr>
        <w:t xml:space="preserve"> </w:t>
      </w:r>
      <w:r>
        <w:t>separate</w:t>
      </w:r>
      <w:r>
        <w:rPr>
          <w:spacing w:val="-9"/>
        </w:rPr>
        <w:t xml:space="preserve"> </w:t>
      </w:r>
      <w:r>
        <w:t>response</w:t>
      </w:r>
      <w:r>
        <w:rPr>
          <w:spacing w:val="-10"/>
        </w:rPr>
        <w:t xml:space="preserve"> </w:t>
      </w:r>
      <w:r>
        <w:t>from</w:t>
      </w:r>
      <w:r>
        <w:rPr>
          <w:spacing w:val="-10"/>
        </w:rPr>
        <w:t xml:space="preserve"> </w:t>
      </w:r>
      <w:r>
        <w:t>its</w:t>
      </w:r>
      <w:r>
        <w:rPr>
          <w:spacing w:val="-10"/>
        </w:rPr>
        <w:t xml:space="preserve"> </w:t>
      </w:r>
      <w:r>
        <w:t>affiliated company, Growers Wine, which provided a complete Anti‐Dumping Questionnaire response for MOFCOM.</w:t>
      </w:r>
      <w:r>
        <w:rPr>
          <w:vertAlign w:val="superscript"/>
        </w:rPr>
        <w:t>491</w:t>
      </w:r>
      <w:r>
        <w:t xml:space="preserve"> Swan Vintage alluded to the instructions in the original Anti‐Dumping Questionnaire from MOFCOM, which sta</w:t>
      </w:r>
      <w:r>
        <w:t>ted that:</w:t>
      </w:r>
      <w:r>
        <w:rPr>
          <w:vertAlign w:val="superscript"/>
        </w:rPr>
        <w:t>492</w:t>
      </w:r>
    </w:p>
    <w:p w14:paraId="51DE8AB0" w14:textId="77777777" w:rsidR="0010369C" w:rsidRDefault="0010369C">
      <w:pPr>
        <w:pStyle w:val="BodyText"/>
        <w:spacing w:before="8"/>
        <w:rPr>
          <w:sz w:val="8"/>
        </w:rPr>
      </w:pPr>
    </w:p>
    <w:p w14:paraId="51DE8AB1" w14:textId="77777777" w:rsidR="0010369C" w:rsidRDefault="008E43AE">
      <w:pPr>
        <w:spacing w:before="55"/>
        <w:ind w:left="1088" w:right="613"/>
        <w:jc w:val="both"/>
      </w:pPr>
      <w:r>
        <w:t>If</w:t>
      </w:r>
      <w:r>
        <w:rPr>
          <w:spacing w:val="-4"/>
        </w:rPr>
        <w:t xml:space="preserve"> </w:t>
      </w:r>
      <w:r>
        <w:t>you</w:t>
      </w:r>
      <w:r>
        <w:rPr>
          <w:spacing w:val="-4"/>
        </w:rPr>
        <w:t xml:space="preserve"> </w:t>
      </w:r>
      <w:r>
        <w:t>conduct</w:t>
      </w:r>
      <w:r>
        <w:rPr>
          <w:spacing w:val="-5"/>
        </w:rPr>
        <w:t xml:space="preserve"> </w:t>
      </w:r>
      <w:r>
        <w:t>consigned</w:t>
      </w:r>
      <w:r>
        <w:rPr>
          <w:spacing w:val="-4"/>
        </w:rPr>
        <w:t xml:space="preserve"> </w:t>
      </w:r>
      <w:r>
        <w:t>processing</w:t>
      </w:r>
      <w:r>
        <w:rPr>
          <w:spacing w:val="-3"/>
        </w:rPr>
        <w:t xml:space="preserve"> </w:t>
      </w:r>
      <w:r>
        <w:t>in</w:t>
      </w:r>
      <w:r>
        <w:rPr>
          <w:spacing w:val="-4"/>
        </w:rPr>
        <w:t xml:space="preserve"> </w:t>
      </w:r>
      <w:r>
        <w:t>the</w:t>
      </w:r>
      <w:r>
        <w:rPr>
          <w:spacing w:val="-4"/>
        </w:rPr>
        <w:t xml:space="preserve"> </w:t>
      </w:r>
      <w:r>
        <w:t>course</w:t>
      </w:r>
      <w:r>
        <w:rPr>
          <w:spacing w:val="-5"/>
        </w:rPr>
        <w:t xml:space="preserve"> </w:t>
      </w:r>
      <w:r>
        <w:t>of</w:t>
      </w:r>
      <w:r>
        <w:rPr>
          <w:spacing w:val="-4"/>
        </w:rPr>
        <w:t xml:space="preserve"> </w:t>
      </w:r>
      <w:r>
        <w:t>production</w:t>
      </w:r>
      <w:r>
        <w:rPr>
          <w:spacing w:val="-4"/>
        </w:rPr>
        <w:t xml:space="preserve"> </w:t>
      </w:r>
      <w:r>
        <w:t>and</w:t>
      </w:r>
      <w:r>
        <w:rPr>
          <w:spacing w:val="-4"/>
        </w:rPr>
        <w:t xml:space="preserve"> </w:t>
      </w:r>
      <w:r>
        <w:t>operation,</w:t>
      </w:r>
      <w:r>
        <w:rPr>
          <w:spacing w:val="-1"/>
        </w:rPr>
        <w:t xml:space="preserve"> </w:t>
      </w:r>
      <w:r>
        <w:t>namely,</w:t>
      </w:r>
      <w:r>
        <w:rPr>
          <w:spacing w:val="-3"/>
        </w:rPr>
        <w:t xml:space="preserve"> </w:t>
      </w:r>
      <w:r>
        <w:t>you entrust</w:t>
      </w:r>
      <w:r>
        <w:rPr>
          <w:spacing w:val="-1"/>
        </w:rPr>
        <w:t xml:space="preserve"> </w:t>
      </w:r>
      <w:r>
        <w:t>other companies</w:t>
      </w:r>
      <w:r>
        <w:rPr>
          <w:spacing w:val="-1"/>
        </w:rPr>
        <w:t xml:space="preserve"> </w:t>
      </w:r>
      <w:r>
        <w:t>to</w:t>
      </w:r>
      <w:r>
        <w:rPr>
          <w:spacing w:val="-1"/>
        </w:rPr>
        <w:t xml:space="preserve"> </w:t>
      </w:r>
      <w:r>
        <w:t>complete</w:t>
      </w:r>
      <w:r>
        <w:rPr>
          <w:spacing w:val="-2"/>
        </w:rPr>
        <w:t xml:space="preserve"> </w:t>
      </w:r>
      <w:r>
        <w:t>some</w:t>
      </w:r>
      <w:r>
        <w:rPr>
          <w:spacing w:val="-2"/>
        </w:rPr>
        <w:t xml:space="preserve"> </w:t>
      </w:r>
      <w:r>
        <w:t>links in producing</w:t>
      </w:r>
      <w:r>
        <w:rPr>
          <w:spacing w:val="-1"/>
        </w:rPr>
        <w:t xml:space="preserve"> </w:t>
      </w:r>
      <w:r>
        <w:t>and</w:t>
      </w:r>
      <w:r>
        <w:rPr>
          <w:spacing w:val="-2"/>
        </w:rPr>
        <w:t xml:space="preserve"> </w:t>
      </w:r>
      <w:r>
        <w:t>selling</w:t>
      </w:r>
      <w:r>
        <w:rPr>
          <w:spacing w:val="-1"/>
        </w:rPr>
        <w:t xml:space="preserve"> </w:t>
      </w:r>
      <w:r>
        <w:t>the product under investigation and</w:t>
      </w:r>
      <w:r>
        <w:rPr>
          <w:spacing w:val="-4"/>
        </w:rPr>
        <w:t xml:space="preserve"> </w:t>
      </w:r>
      <w:r>
        <w:t>its</w:t>
      </w:r>
      <w:r>
        <w:rPr>
          <w:spacing w:val="-3"/>
        </w:rPr>
        <w:t xml:space="preserve"> </w:t>
      </w:r>
      <w:r>
        <w:t>like</w:t>
      </w:r>
      <w:r>
        <w:rPr>
          <w:spacing w:val="-3"/>
        </w:rPr>
        <w:t xml:space="preserve"> </w:t>
      </w:r>
      <w:r>
        <w:t>product,</w:t>
      </w:r>
      <w:r>
        <w:rPr>
          <w:spacing w:val="-3"/>
        </w:rPr>
        <w:t xml:space="preserve"> </w:t>
      </w:r>
      <w:r>
        <w:t>such</w:t>
      </w:r>
      <w:r>
        <w:rPr>
          <w:spacing w:val="-2"/>
        </w:rPr>
        <w:t xml:space="preserve"> </w:t>
      </w:r>
      <w:r>
        <w:t>links</w:t>
      </w:r>
      <w:r>
        <w:rPr>
          <w:spacing w:val="-3"/>
        </w:rPr>
        <w:t xml:space="preserve"> </w:t>
      </w:r>
      <w:r>
        <w:t>remain</w:t>
      </w:r>
      <w:r>
        <w:rPr>
          <w:spacing w:val="-5"/>
        </w:rPr>
        <w:t xml:space="preserve"> </w:t>
      </w:r>
      <w:r>
        <w:t>parts</w:t>
      </w:r>
      <w:r>
        <w:rPr>
          <w:spacing w:val="-3"/>
        </w:rPr>
        <w:t xml:space="preserve"> </w:t>
      </w:r>
      <w:r>
        <w:t>the</w:t>
      </w:r>
      <w:r>
        <w:rPr>
          <w:spacing w:val="-3"/>
        </w:rPr>
        <w:t xml:space="preserve"> </w:t>
      </w:r>
      <w:r>
        <w:t>overall</w:t>
      </w:r>
      <w:r>
        <w:rPr>
          <w:spacing w:val="-4"/>
        </w:rPr>
        <w:t xml:space="preserve"> </w:t>
      </w:r>
      <w:r>
        <w:t>production</w:t>
      </w:r>
      <w:r>
        <w:rPr>
          <w:spacing w:val="-3"/>
        </w:rPr>
        <w:t xml:space="preserve"> </w:t>
      </w:r>
      <w:r>
        <w:t>and</w:t>
      </w:r>
      <w:r>
        <w:rPr>
          <w:spacing w:val="-3"/>
        </w:rPr>
        <w:t xml:space="preserve"> </w:t>
      </w:r>
      <w:r>
        <w:t>sales</w:t>
      </w:r>
      <w:r>
        <w:rPr>
          <w:spacing w:val="-4"/>
        </w:rPr>
        <w:t xml:space="preserve"> </w:t>
      </w:r>
      <w:r>
        <w:t>of your company. For the sake of the investigation and acquisition of necessary information, you and such companies shall complete the Questionnaire together.</w:t>
      </w:r>
    </w:p>
    <w:p w14:paraId="51DE8AB2" w14:textId="77777777" w:rsidR="0010369C" w:rsidRDefault="0010369C">
      <w:pPr>
        <w:pStyle w:val="BodyText"/>
        <w:spacing w:before="5"/>
        <w:rPr>
          <w:sz w:val="15"/>
        </w:rPr>
      </w:pPr>
    </w:p>
    <w:p w14:paraId="51DE8AB3" w14:textId="77777777" w:rsidR="0010369C" w:rsidRDefault="008E43AE">
      <w:pPr>
        <w:pStyle w:val="BodyText"/>
        <w:spacing w:before="51" w:line="360" w:lineRule="auto"/>
        <w:ind w:left="237" w:right="613" w:firstLine="851"/>
        <w:jc w:val="both"/>
      </w:pPr>
      <w:r>
        <w:rPr>
          <w:noProof/>
        </w:rPr>
        <w:drawing>
          <wp:anchor distT="0" distB="0" distL="0" distR="0" simplePos="0" relativeHeight="251087360" behindDoc="1" locked="0" layoutInCell="1" allowOverlap="1" wp14:anchorId="51DEA33E" wp14:editId="51DEA33F">
            <wp:simplePos x="0" y="0"/>
            <wp:positionH relativeFrom="page">
              <wp:posOffset>899160</wp:posOffset>
            </wp:positionH>
            <wp:positionV relativeFrom="paragraph">
              <wp:posOffset>76150</wp:posOffset>
            </wp:positionV>
            <wp:extent cx="265175" cy="106679"/>
            <wp:effectExtent l="0" t="0" r="0" b="0"/>
            <wp:wrapNone/>
            <wp:docPr id="893" name="image4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 name="image457.png"/>
                    <pic:cNvPicPr/>
                  </pic:nvPicPr>
                  <pic:blipFill>
                    <a:blip r:embed="rId599" cstate="print"/>
                    <a:stretch>
                      <a:fillRect/>
                    </a:stretch>
                  </pic:blipFill>
                  <pic:spPr>
                    <a:xfrm>
                      <a:off x="0" y="0"/>
                      <a:ext cx="265175" cy="106679"/>
                    </a:xfrm>
                    <a:prstGeom prst="rect">
                      <a:avLst/>
                    </a:prstGeom>
                  </pic:spPr>
                </pic:pic>
              </a:graphicData>
            </a:graphic>
          </wp:anchor>
        </w:drawing>
      </w:r>
      <w:r>
        <w:t>The information submitted by Growers Wine included compl</w:t>
      </w:r>
      <w:r>
        <w:t>ete data and information</w:t>
      </w:r>
      <w:r>
        <w:rPr>
          <w:spacing w:val="-4"/>
        </w:rPr>
        <w:t xml:space="preserve"> </w:t>
      </w:r>
      <w:r>
        <w:t>in</w:t>
      </w:r>
      <w:r>
        <w:rPr>
          <w:spacing w:val="-5"/>
        </w:rPr>
        <w:t xml:space="preserve"> </w:t>
      </w:r>
      <w:r>
        <w:t>respect</w:t>
      </w:r>
      <w:r>
        <w:rPr>
          <w:spacing w:val="-6"/>
        </w:rPr>
        <w:t xml:space="preserve"> </w:t>
      </w:r>
      <w:r>
        <w:t>of</w:t>
      </w:r>
      <w:r>
        <w:rPr>
          <w:spacing w:val="-6"/>
        </w:rPr>
        <w:t xml:space="preserve"> </w:t>
      </w:r>
      <w:r>
        <w:t>its</w:t>
      </w:r>
      <w:r>
        <w:rPr>
          <w:spacing w:val="-4"/>
        </w:rPr>
        <w:t xml:space="preserve"> </w:t>
      </w:r>
      <w:r>
        <w:t>production</w:t>
      </w:r>
      <w:r>
        <w:rPr>
          <w:spacing w:val="-5"/>
        </w:rPr>
        <w:t xml:space="preserve"> </w:t>
      </w:r>
      <w:r>
        <w:t>costs.</w:t>
      </w:r>
      <w:r>
        <w:rPr>
          <w:vertAlign w:val="superscript"/>
        </w:rPr>
        <w:t>493</w:t>
      </w:r>
      <w:r>
        <w:rPr>
          <w:spacing w:val="-6"/>
        </w:rPr>
        <w:t xml:space="preserve"> </w:t>
      </w:r>
      <w:r>
        <w:t>Swan</w:t>
      </w:r>
      <w:r>
        <w:rPr>
          <w:spacing w:val="-5"/>
        </w:rPr>
        <w:t xml:space="preserve"> </w:t>
      </w:r>
      <w:r>
        <w:t>Vintage</w:t>
      </w:r>
      <w:r>
        <w:rPr>
          <w:spacing w:val="-4"/>
        </w:rPr>
        <w:t xml:space="preserve"> </w:t>
      </w:r>
      <w:r>
        <w:t>also</w:t>
      </w:r>
      <w:r>
        <w:rPr>
          <w:spacing w:val="-4"/>
        </w:rPr>
        <w:t xml:space="preserve"> </w:t>
      </w:r>
      <w:r>
        <w:t>explained</w:t>
      </w:r>
      <w:r>
        <w:rPr>
          <w:spacing w:val="-6"/>
        </w:rPr>
        <w:t xml:space="preserve"> </w:t>
      </w:r>
      <w:r>
        <w:t>that,</w:t>
      </w:r>
      <w:r>
        <w:rPr>
          <w:spacing w:val="-5"/>
        </w:rPr>
        <w:t xml:space="preserve"> </w:t>
      </w:r>
      <w:r>
        <w:t>despite</w:t>
      </w:r>
      <w:r>
        <w:rPr>
          <w:spacing w:val="-4"/>
        </w:rPr>
        <w:t xml:space="preserve"> </w:t>
      </w:r>
      <w:r>
        <w:t>its best efforts, it unsuccessfully sought the cooperation of the four non‐affiliated companies, and provided MOFCOM with evidence of its communications with the companies in question.</w:t>
      </w:r>
      <w:r>
        <w:rPr>
          <w:vertAlign w:val="superscript"/>
        </w:rPr>
        <w:t>494</w:t>
      </w:r>
      <w:r>
        <w:rPr>
          <w:spacing w:val="-6"/>
        </w:rPr>
        <w:t xml:space="preserve"> </w:t>
      </w:r>
      <w:r>
        <w:t>The</w:t>
      </w:r>
      <w:r>
        <w:rPr>
          <w:spacing w:val="-4"/>
        </w:rPr>
        <w:t xml:space="preserve"> </w:t>
      </w:r>
      <w:r>
        <w:t>costs</w:t>
      </w:r>
      <w:r>
        <w:rPr>
          <w:spacing w:val="-5"/>
        </w:rPr>
        <w:t xml:space="preserve"> </w:t>
      </w:r>
      <w:r>
        <w:t>and</w:t>
      </w:r>
      <w:r>
        <w:rPr>
          <w:spacing w:val="-5"/>
        </w:rPr>
        <w:t xml:space="preserve"> </w:t>
      </w:r>
      <w:r>
        <w:t>expenses</w:t>
      </w:r>
      <w:r>
        <w:rPr>
          <w:spacing w:val="-6"/>
        </w:rPr>
        <w:t xml:space="preserve"> </w:t>
      </w:r>
      <w:r>
        <w:t>associated</w:t>
      </w:r>
      <w:r>
        <w:rPr>
          <w:spacing w:val="-5"/>
        </w:rPr>
        <w:t xml:space="preserve"> </w:t>
      </w:r>
      <w:r>
        <w:t>with</w:t>
      </w:r>
      <w:r>
        <w:rPr>
          <w:spacing w:val="-5"/>
        </w:rPr>
        <w:t xml:space="preserve"> </w:t>
      </w:r>
      <w:r>
        <w:t>these</w:t>
      </w:r>
      <w:r>
        <w:rPr>
          <w:spacing w:val="-5"/>
        </w:rPr>
        <w:t xml:space="preserve"> </w:t>
      </w:r>
      <w:r>
        <w:t>companies</w:t>
      </w:r>
      <w:r>
        <w:rPr>
          <w:spacing w:val="-5"/>
        </w:rPr>
        <w:t xml:space="preserve"> </w:t>
      </w:r>
      <w:r>
        <w:t>would</w:t>
      </w:r>
      <w:r>
        <w:rPr>
          <w:spacing w:val="-5"/>
        </w:rPr>
        <w:t xml:space="preserve"> </w:t>
      </w:r>
      <w:r>
        <w:t>be</w:t>
      </w:r>
      <w:r>
        <w:rPr>
          <w:spacing w:val="-5"/>
        </w:rPr>
        <w:t xml:space="preserve"> </w:t>
      </w:r>
      <w:r>
        <w:t>reco</w:t>
      </w:r>
      <w:r>
        <w:t>rded</w:t>
      </w:r>
      <w:r>
        <w:rPr>
          <w:spacing w:val="-6"/>
        </w:rPr>
        <w:t xml:space="preserve"> </w:t>
      </w:r>
      <w:r>
        <w:t xml:space="preserve">and reasonably reflected in Swan Vintage's GAAP‐consistent accounting system. Since the companies are non‐affiliated, it would not be necessary to go further for the purpose of the dumping determination. Thus, the production cost data of unaffiliated </w:t>
      </w:r>
      <w:r>
        <w:t>companies was not "necessary information".</w:t>
      </w:r>
    </w:p>
    <w:p w14:paraId="51DE8AB4" w14:textId="77777777" w:rsidR="0010369C" w:rsidRDefault="0010369C">
      <w:pPr>
        <w:pStyle w:val="BodyText"/>
        <w:spacing w:before="11"/>
        <w:rPr>
          <w:sz w:val="8"/>
        </w:rPr>
      </w:pPr>
    </w:p>
    <w:p w14:paraId="51DE8AB5" w14:textId="77777777" w:rsidR="0010369C" w:rsidRDefault="008E43AE">
      <w:pPr>
        <w:pStyle w:val="BodyText"/>
        <w:spacing w:before="51" w:line="360" w:lineRule="auto"/>
        <w:ind w:left="237" w:right="613" w:firstLine="852"/>
        <w:jc w:val="both"/>
      </w:pPr>
      <w:r>
        <w:rPr>
          <w:noProof/>
        </w:rPr>
        <w:drawing>
          <wp:anchor distT="0" distB="0" distL="0" distR="0" simplePos="0" relativeHeight="251088384" behindDoc="1" locked="0" layoutInCell="1" allowOverlap="1" wp14:anchorId="51DEA340" wp14:editId="51DEA341">
            <wp:simplePos x="0" y="0"/>
            <wp:positionH relativeFrom="page">
              <wp:posOffset>899160</wp:posOffset>
            </wp:positionH>
            <wp:positionV relativeFrom="paragraph">
              <wp:posOffset>81314</wp:posOffset>
            </wp:positionV>
            <wp:extent cx="265175" cy="100753"/>
            <wp:effectExtent l="0" t="0" r="0" b="0"/>
            <wp:wrapNone/>
            <wp:docPr id="895" name="image4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 name="image458.png"/>
                    <pic:cNvPicPr/>
                  </pic:nvPicPr>
                  <pic:blipFill>
                    <a:blip r:embed="rId600" cstate="print"/>
                    <a:stretch>
                      <a:fillRect/>
                    </a:stretch>
                  </pic:blipFill>
                  <pic:spPr>
                    <a:xfrm>
                      <a:off x="0" y="0"/>
                      <a:ext cx="265175" cy="100753"/>
                    </a:xfrm>
                    <a:prstGeom prst="rect">
                      <a:avLst/>
                    </a:prstGeom>
                  </pic:spPr>
                </pic:pic>
              </a:graphicData>
            </a:graphic>
          </wp:anchor>
        </w:drawing>
      </w:r>
      <w:r>
        <w:t>Notwithstanding the irrelevance of the information, Swan Vintage made good faith efforts to obtain it. MOFCOM did not address Swan Vintage's explanations of its attempts to obtain</w:t>
      </w:r>
      <w:r>
        <w:rPr>
          <w:spacing w:val="-2"/>
        </w:rPr>
        <w:t xml:space="preserve"> </w:t>
      </w:r>
      <w:r>
        <w:t>information</w:t>
      </w:r>
      <w:r>
        <w:rPr>
          <w:spacing w:val="-2"/>
        </w:rPr>
        <w:t xml:space="preserve"> </w:t>
      </w:r>
      <w:r>
        <w:t>from</w:t>
      </w:r>
      <w:r>
        <w:rPr>
          <w:spacing w:val="-4"/>
        </w:rPr>
        <w:t xml:space="preserve"> </w:t>
      </w:r>
      <w:r>
        <w:t>the</w:t>
      </w:r>
      <w:r>
        <w:rPr>
          <w:spacing w:val="-2"/>
        </w:rPr>
        <w:t xml:space="preserve"> </w:t>
      </w:r>
      <w:r>
        <w:t>unaffiliat</w:t>
      </w:r>
      <w:r>
        <w:t>ed</w:t>
      </w:r>
      <w:r>
        <w:rPr>
          <w:spacing w:val="-2"/>
        </w:rPr>
        <w:t xml:space="preserve"> </w:t>
      </w:r>
      <w:r>
        <w:t>companies,</w:t>
      </w:r>
      <w:r>
        <w:rPr>
          <w:spacing w:val="-2"/>
        </w:rPr>
        <w:t xml:space="preserve"> </w:t>
      </w:r>
      <w:r>
        <w:t>and</w:t>
      </w:r>
      <w:r>
        <w:rPr>
          <w:spacing w:val="-3"/>
        </w:rPr>
        <w:t xml:space="preserve"> </w:t>
      </w:r>
      <w:r>
        <w:t>instead</w:t>
      </w:r>
      <w:r>
        <w:rPr>
          <w:spacing w:val="-2"/>
        </w:rPr>
        <w:t xml:space="preserve"> </w:t>
      </w:r>
      <w:r>
        <w:t>concluded</w:t>
      </w:r>
      <w:r>
        <w:rPr>
          <w:spacing w:val="-2"/>
        </w:rPr>
        <w:t xml:space="preserve"> </w:t>
      </w:r>
      <w:r>
        <w:t>that</w:t>
      </w:r>
      <w:r>
        <w:rPr>
          <w:spacing w:val="-3"/>
        </w:rPr>
        <w:t xml:space="preserve"> </w:t>
      </w:r>
      <w:r>
        <w:t>it</w:t>
      </w:r>
      <w:r>
        <w:rPr>
          <w:spacing w:val="-3"/>
        </w:rPr>
        <w:t xml:space="preserve"> </w:t>
      </w:r>
      <w:r>
        <w:t>"could</w:t>
      </w:r>
      <w:r>
        <w:rPr>
          <w:spacing w:val="-3"/>
        </w:rPr>
        <w:t xml:space="preserve"> </w:t>
      </w:r>
      <w:r>
        <w:t>not acquire</w:t>
      </w:r>
      <w:r>
        <w:rPr>
          <w:spacing w:val="-6"/>
        </w:rPr>
        <w:t xml:space="preserve"> </w:t>
      </w:r>
      <w:r>
        <w:t>accurate</w:t>
      </w:r>
      <w:r>
        <w:rPr>
          <w:spacing w:val="-6"/>
        </w:rPr>
        <w:t xml:space="preserve"> </w:t>
      </w:r>
      <w:r>
        <w:t>costs</w:t>
      </w:r>
      <w:r>
        <w:rPr>
          <w:spacing w:val="-7"/>
        </w:rPr>
        <w:t xml:space="preserve"> </w:t>
      </w:r>
      <w:r>
        <w:t>and</w:t>
      </w:r>
      <w:r>
        <w:rPr>
          <w:spacing w:val="-6"/>
        </w:rPr>
        <w:t xml:space="preserve"> </w:t>
      </w:r>
      <w:r>
        <w:t>expenses</w:t>
      </w:r>
      <w:r>
        <w:rPr>
          <w:spacing w:val="-9"/>
        </w:rPr>
        <w:t xml:space="preserve"> </w:t>
      </w:r>
      <w:r>
        <w:t>of</w:t>
      </w:r>
      <w:r>
        <w:rPr>
          <w:spacing w:val="-6"/>
        </w:rPr>
        <w:t xml:space="preserve"> </w:t>
      </w:r>
      <w:r>
        <w:t>the</w:t>
      </w:r>
      <w:r>
        <w:rPr>
          <w:spacing w:val="-6"/>
        </w:rPr>
        <w:t xml:space="preserve"> </w:t>
      </w:r>
      <w:r>
        <w:t>product</w:t>
      </w:r>
      <w:r>
        <w:rPr>
          <w:spacing w:val="-6"/>
        </w:rPr>
        <w:t xml:space="preserve"> </w:t>
      </w:r>
      <w:r>
        <w:t>under</w:t>
      </w:r>
      <w:r>
        <w:rPr>
          <w:spacing w:val="-6"/>
        </w:rPr>
        <w:t xml:space="preserve"> </w:t>
      </w:r>
      <w:r>
        <w:t>investigation</w:t>
      </w:r>
      <w:r>
        <w:rPr>
          <w:spacing w:val="-5"/>
        </w:rPr>
        <w:t xml:space="preserve"> </w:t>
      </w:r>
      <w:r>
        <w:t>produced</w:t>
      </w:r>
      <w:r>
        <w:rPr>
          <w:spacing w:val="-6"/>
        </w:rPr>
        <w:t xml:space="preserve"> </w:t>
      </w:r>
      <w:r>
        <w:t>and</w:t>
      </w:r>
      <w:r>
        <w:rPr>
          <w:spacing w:val="-6"/>
        </w:rPr>
        <w:t xml:space="preserve"> </w:t>
      </w:r>
      <w:r>
        <w:t>sold</w:t>
      </w:r>
      <w:r>
        <w:rPr>
          <w:spacing w:val="-6"/>
        </w:rPr>
        <w:t xml:space="preserve"> </w:t>
      </w:r>
      <w:r>
        <w:t>by the Company".</w:t>
      </w:r>
      <w:r>
        <w:rPr>
          <w:vertAlign w:val="superscript"/>
        </w:rPr>
        <w:t>495</w:t>
      </w:r>
      <w:r>
        <w:t xml:space="preserve"> Further, MOFCOM did not explain the basis on which it concluded that the failure of the unaffiliated companies to submit the requested information were attributable to Swan Vintage, or why the absence of this information meant it could not rely upon the e</w:t>
      </w:r>
      <w:r>
        <w:t>xtensive costs and expenses data and information provided by Swan Vintage.</w:t>
      </w:r>
    </w:p>
    <w:p w14:paraId="51DE8AB6" w14:textId="77777777" w:rsidR="0010369C" w:rsidRDefault="0010369C">
      <w:pPr>
        <w:pStyle w:val="BodyText"/>
        <w:spacing w:before="11"/>
        <w:rPr>
          <w:sz w:val="8"/>
        </w:rPr>
      </w:pPr>
    </w:p>
    <w:p w14:paraId="51DE8AB7" w14:textId="77777777" w:rsidR="0010369C" w:rsidRDefault="008E43AE">
      <w:pPr>
        <w:pStyle w:val="BodyText"/>
        <w:spacing w:before="52" w:line="360" w:lineRule="auto"/>
        <w:ind w:left="237" w:right="615" w:firstLine="851"/>
        <w:jc w:val="both"/>
      </w:pPr>
      <w:r>
        <w:rPr>
          <w:noProof/>
        </w:rPr>
        <w:drawing>
          <wp:anchor distT="0" distB="0" distL="0" distR="0" simplePos="0" relativeHeight="251089408" behindDoc="1" locked="0" layoutInCell="1" allowOverlap="1" wp14:anchorId="51DEA342" wp14:editId="51DEA343">
            <wp:simplePos x="0" y="0"/>
            <wp:positionH relativeFrom="page">
              <wp:posOffset>899160</wp:posOffset>
            </wp:positionH>
            <wp:positionV relativeFrom="paragraph">
              <wp:posOffset>76785</wp:posOffset>
            </wp:positionV>
            <wp:extent cx="265175" cy="106679"/>
            <wp:effectExtent l="0" t="0" r="0" b="0"/>
            <wp:wrapNone/>
            <wp:docPr id="897" name="image4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 name="image459.png"/>
                    <pic:cNvPicPr/>
                  </pic:nvPicPr>
                  <pic:blipFill>
                    <a:blip r:embed="rId601" cstate="print"/>
                    <a:stretch>
                      <a:fillRect/>
                    </a:stretch>
                  </pic:blipFill>
                  <pic:spPr>
                    <a:xfrm>
                      <a:off x="0" y="0"/>
                      <a:ext cx="265175" cy="106679"/>
                    </a:xfrm>
                    <a:prstGeom prst="rect">
                      <a:avLst/>
                    </a:prstGeom>
                  </pic:spPr>
                </pic:pic>
              </a:graphicData>
            </a:graphic>
          </wp:anchor>
        </w:drawing>
      </w:r>
      <w:r>
        <w:t>In the first instance, MOFCOM failed to specify in detail the information it required for the purposes of the investigation, as</w:t>
      </w:r>
      <w:r>
        <w:rPr>
          <w:spacing w:val="-1"/>
        </w:rPr>
        <w:t xml:space="preserve"> </w:t>
      </w:r>
      <w:r>
        <w:t>required</w:t>
      </w:r>
      <w:r>
        <w:rPr>
          <w:spacing w:val="-2"/>
        </w:rPr>
        <w:t xml:space="preserve"> </w:t>
      </w:r>
      <w:r>
        <w:t>under paragraph 1</w:t>
      </w:r>
      <w:r>
        <w:rPr>
          <w:spacing w:val="-1"/>
        </w:rPr>
        <w:t xml:space="preserve"> </w:t>
      </w:r>
      <w:r>
        <w:t>of Annex II. Paragraph 1 of</w:t>
      </w:r>
      <w:r>
        <w:rPr>
          <w:spacing w:val="9"/>
        </w:rPr>
        <w:t xml:space="preserve"> </w:t>
      </w:r>
      <w:r>
        <w:t>Annex</w:t>
      </w:r>
      <w:r>
        <w:rPr>
          <w:spacing w:val="10"/>
        </w:rPr>
        <w:t xml:space="preserve"> </w:t>
      </w:r>
      <w:r>
        <w:t>II</w:t>
      </w:r>
      <w:r>
        <w:rPr>
          <w:spacing w:val="8"/>
        </w:rPr>
        <w:t xml:space="preserve"> </w:t>
      </w:r>
      <w:r>
        <w:t>clearly</w:t>
      </w:r>
      <w:r>
        <w:rPr>
          <w:spacing w:val="9"/>
        </w:rPr>
        <w:t xml:space="preserve"> </w:t>
      </w:r>
      <w:r>
        <w:t>places</w:t>
      </w:r>
      <w:r>
        <w:rPr>
          <w:spacing w:val="10"/>
        </w:rPr>
        <w:t xml:space="preserve"> </w:t>
      </w:r>
      <w:r>
        <w:t>the</w:t>
      </w:r>
      <w:r>
        <w:rPr>
          <w:spacing w:val="11"/>
        </w:rPr>
        <w:t xml:space="preserve"> </w:t>
      </w:r>
      <w:r>
        <w:t>onus</w:t>
      </w:r>
      <w:r>
        <w:rPr>
          <w:spacing w:val="8"/>
        </w:rPr>
        <w:t xml:space="preserve"> </w:t>
      </w:r>
      <w:r>
        <w:t>on</w:t>
      </w:r>
      <w:r>
        <w:rPr>
          <w:spacing w:val="10"/>
        </w:rPr>
        <w:t xml:space="preserve"> </w:t>
      </w:r>
      <w:r>
        <w:t>MOFCOM</w:t>
      </w:r>
      <w:r>
        <w:rPr>
          <w:spacing w:val="10"/>
        </w:rPr>
        <w:t xml:space="preserve"> </w:t>
      </w:r>
      <w:r>
        <w:t>to</w:t>
      </w:r>
      <w:r>
        <w:rPr>
          <w:spacing w:val="8"/>
        </w:rPr>
        <w:t xml:space="preserve"> </w:t>
      </w:r>
      <w:r>
        <w:t>explain</w:t>
      </w:r>
      <w:r>
        <w:rPr>
          <w:spacing w:val="8"/>
        </w:rPr>
        <w:t xml:space="preserve"> </w:t>
      </w:r>
      <w:r>
        <w:t>in</w:t>
      </w:r>
      <w:r>
        <w:rPr>
          <w:spacing w:val="10"/>
        </w:rPr>
        <w:t xml:space="preserve"> </w:t>
      </w:r>
      <w:r>
        <w:t>detail</w:t>
      </w:r>
      <w:r>
        <w:rPr>
          <w:spacing w:val="10"/>
        </w:rPr>
        <w:t xml:space="preserve"> </w:t>
      </w:r>
      <w:r>
        <w:t>the</w:t>
      </w:r>
      <w:r>
        <w:rPr>
          <w:spacing w:val="9"/>
        </w:rPr>
        <w:t xml:space="preserve"> </w:t>
      </w:r>
      <w:r>
        <w:t>type</w:t>
      </w:r>
      <w:r>
        <w:rPr>
          <w:spacing w:val="9"/>
        </w:rPr>
        <w:t xml:space="preserve"> </w:t>
      </w:r>
      <w:r>
        <w:t>of</w:t>
      </w:r>
      <w:r>
        <w:rPr>
          <w:spacing w:val="9"/>
        </w:rPr>
        <w:t xml:space="preserve"> </w:t>
      </w:r>
      <w:r>
        <w:rPr>
          <w:spacing w:val="-2"/>
        </w:rPr>
        <w:t>information</w:t>
      </w:r>
    </w:p>
    <w:p w14:paraId="51DE8AB8" w14:textId="77777777" w:rsidR="0010369C" w:rsidRDefault="0010369C">
      <w:pPr>
        <w:pStyle w:val="BodyText"/>
        <w:spacing w:before="1"/>
      </w:pPr>
    </w:p>
    <w:p w14:paraId="51DE8AB9" w14:textId="77777777" w:rsidR="0010369C" w:rsidRDefault="008E43AE">
      <w:pPr>
        <w:ind w:left="238"/>
        <w:jc w:val="both"/>
        <w:rPr>
          <w:sz w:val="18"/>
        </w:rPr>
      </w:pPr>
      <w:r>
        <w:rPr>
          <w:sz w:val="18"/>
          <w:vertAlign w:val="superscript"/>
        </w:rPr>
        <w:t>491</w:t>
      </w:r>
      <w:r>
        <w:rPr>
          <w:spacing w:val="-9"/>
          <w:sz w:val="18"/>
        </w:rPr>
        <w:t xml:space="preserve"> </w:t>
      </w:r>
      <w:r>
        <w:rPr>
          <w:sz w:val="18"/>
        </w:rPr>
        <w:t>Swan</w:t>
      </w:r>
      <w:r>
        <w:rPr>
          <w:spacing w:val="-8"/>
          <w:sz w:val="18"/>
        </w:rPr>
        <w:t xml:space="preserve"> </w:t>
      </w:r>
      <w:r>
        <w:rPr>
          <w:sz w:val="18"/>
        </w:rPr>
        <w:t>Vintage</w:t>
      </w:r>
      <w:r>
        <w:rPr>
          <w:spacing w:val="-8"/>
          <w:sz w:val="18"/>
        </w:rPr>
        <w:t xml:space="preserve"> </w:t>
      </w:r>
      <w:r>
        <w:rPr>
          <w:sz w:val="18"/>
        </w:rPr>
        <w:t>Supplementary</w:t>
      </w:r>
      <w:r>
        <w:rPr>
          <w:spacing w:val="-7"/>
          <w:sz w:val="18"/>
        </w:rPr>
        <w:t xml:space="preserve"> </w:t>
      </w:r>
      <w:r>
        <w:rPr>
          <w:sz w:val="18"/>
        </w:rPr>
        <w:t>Questionnaire</w:t>
      </w:r>
      <w:r>
        <w:rPr>
          <w:spacing w:val="-10"/>
          <w:sz w:val="18"/>
        </w:rPr>
        <w:t xml:space="preserve"> </w:t>
      </w:r>
      <w:r>
        <w:rPr>
          <w:sz w:val="18"/>
        </w:rPr>
        <w:t>Response</w:t>
      </w:r>
      <w:r>
        <w:rPr>
          <w:spacing w:val="-9"/>
          <w:sz w:val="18"/>
        </w:rPr>
        <w:t xml:space="preserve"> </w:t>
      </w:r>
      <w:r>
        <w:rPr>
          <w:sz w:val="18"/>
        </w:rPr>
        <w:t>(Exhibit</w:t>
      </w:r>
      <w:r>
        <w:rPr>
          <w:spacing w:val="-8"/>
          <w:sz w:val="18"/>
        </w:rPr>
        <w:t xml:space="preserve"> </w:t>
      </w:r>
      <w:r>
        <w:rPr>
          <w:sz w:val="18"/>
        </w:rPr>
        <w:t>AUS‐41),</w:t>
      </w:r>
      <w:r>
        <w:rPr>
          <w:spacing w:val="-9"/>
          <w:sz w:val="18"/>
        </w:rPr>
        <w:t xml:space="preserve"> </w:t>
      </w:r>
      <w:r>
        <w:rPr>
          <w:sz w:val="18"/>
        </w:rPr>
        <w:t>p.</w:t>
      </w:r>
      <w:r>
        <w:rPr>
          <w:spacing w:val="-9"/>
          <w:sz w:val="18"/>
        </w:rPr>
        <w:t xml:space="preserve"> </w:t>
      </w:r>
      <w:r>
        <w:rPr>
          <w:spacing w:val="-5"/>
          <w:sz w:val="18"/>
        </w:rPr>
        <w:t>3.</w:t>
      </w:r>
    </w:p>
    <w:p w14:paraId="51DE8ABA" w14:textId="77777777" w:rsidR="0010369C" w:rsidRDefault="008E43AE">
      <w:pPr>
        <w:spacing w:before="1"/>
        <w:ind w:left="238"/>
        <w:jc w:val="both"/>
        <w:rPr>
          <w:sz w:val="18"/>
        </w:rPr>
      </w:pPr>
      <w:r>
        <w:rPr>
          <w:sz w:val="18"/>
          <w:vertAlign w:val="superscript"/>
        </w:rPr>
        <w:t>492</w:t>
      </w:r>
      <w:r>
        <w:rPr>
          <w:spacing w:val="-9"/>
          <w:sz w:val="18"/>
        </w:rPr>
        <w:t xml:space="preserve"> </w:t>
      </w:r>
      <w:r>
        <w:rPr>
          <w:sz w:val="18"/>
        </w:rPr>
        <w:t>Anti‐Dumping</w:t>
      </w:r>
      <w:r>
        <w:rPr>
          <w:spacing w:val="-8"/>
          <w:sz w:val="18"/>
        </w:rPr>
        <w:t xml:space="preserve"> </w:t>
      </w:r>
      <w:r>
        <w:rPr>
          <w:sz w:val="18"/>
        </w:rPr>
        <w:t>Questionnaire</w:t>
      </w:r>
      <w:r>
        <w:rPr>
          <w:spacing w:val="-9"/>
          <w:sz w:val="18"/>
        </w:rPr>
        <w:t xml:space="preserve"> </w:t>
      </w:r>
      <w:r>
        <w:rPr>
          <w:sz w:val="18"/>
        </w:rPr>
        <w:t>(Exhibit</w:t>
      </w:r>
      <w:r>
        <w:rPr>
          <w:spacing w:val="-8"/>
          <w:sz w:val="18"/>
        </w:rPr>
        <w:t xml:space="preserve"> </w:t>
      </w:r>
      <w:r>
        <w:rPr>
          <w:sz w:val="18"/>
        </w:rPr>
        <w:t>AUS‐3),</w:t>
      </w:r>
      <w:r>
        <w:rPr>
          <w:spacing w:val="-9"/>
          <w:sz w:val="18"/>
        </w:rPr>
        <w:t xml:space="preserve"> </w:t>
      </w:r>
      <w:r>
        <w:rPr>
          <w:sz w:val="18"/>
        </w:rPr>
        <w:t>p.</w:t>
      </w:r>
      <w:r>
        <w:rPr>
          <w:spacing w:val="-8"/>
          <w:sz w:val="18"/>
        </w:rPr>
        <w:t xml:space="preserve"> </w:t>
      </w:r>
      <w:r>
        <w:rPr>
          <w:sz w:val="18"/>
        </w:rPr>
        <w:t>7</w:t>
      </w:r>
      <w:r>
        <w:rPr>
          <w:spacing w:val="-8"/>
          <w:sz w:val="18"/>
        </w:rPr>
        <w:t xml:space="preserve"> </w:t>
      </w:r>
      <w:r>
        <w:rPr>
          <w:sz w:val="18"/>
        </w:rPr>
        <w:t>(Instruction</w:t>
      </w:r>
      <w:r>
        <w:rPr>
          <w:spacing w:val="-8"/>
          <w:sz w:val="18"/>
        </w:rPr>
        <w:t xml:space="preserve"> </w:t>
      </w:r>
      <w:r>
        <w:rPr>
          <w:spacing w:val="-5"/>
          <w:sz w:val="18"/>
        </w:rPr>
        <w:t>9).</w:t>
      </w:r>
    </w:p>
    <w:p w14:paraId="51DE8ABB" w14:textId="77777777" w:rsidR="0010369C" w:rsidRDefault="008E43AE">
      <w:pPr>
        <w:ind w:left="238" w:right="3855"/>
        <w:jc w:val="both"/>
        <w:rPr>
          <w:sz w:val="18"/>
        </w:rPr>
      </w:pPr>
      <w:r>
        <w:rPr>
          <w:sz w:val="18"/>
          <w:vertAlign w:val="superscript"/>
        </w:rPr>
        <w:t>493</w:t>
      </w:r>
      <w:r>
        <w:rPr>
          <w:spacing w:val="-4"/>
          <w:sz w:val="18"/>
        </w:rPr>
        <w:t xml:space="preserve"> </w:t>
      </w:r>
      <w:r>
        <w:rPr>
          <w:sz w:val="18"/>
        </w:rPr>
        <w:t>Swan</w:t>
      </w:r>
      <w:r>
        <w:rPr>
          <w:spacing w:val="-4"/>
          <w:sz w:val="18"/>
        </w:rPr>
        <w:t xml:space="preserve"> </w:t>
      </w:r>
      <w:r>
        <w:rPr>
          <w:sz w:val="18"/>
        </w:rPr>
        <w:t>Vintage</w:t>
      </w:r>
      <w:r>
        <w:rPr>
          <w:spacing w:val="-3"/>
          <w:sz w:val="18"/>
        </w:rPr>
        <w:t xml:space="preserve"> </w:t>
      </w:r>
      <w:r>
        <w:rPr>
          <w:sz w:val="18"/>
        </w:rPr>
        <w:t>Supplementary</w:t>
      </w:r>
      <w:r>
        <w:rPr>
          <w:spacing w:val="-3"/>
          <w:sz w:val="18"/>
        </w:rPr>
        <w:t xml:space="preserve"> </w:t>
      </w:r>
      <w:r>
        <w:rPr>
          <w:sz w:val="18"/>
        </w:rPr>
        <w:t>Questionnaire</w:t>
      </w:r>
      <w:r>
        <w:rPr>
          <w:spacing w:val="-5"/>
          <w:sz w:val="18"/>
        </w:rPr>
        <w:t xml:space="preserve"> </w:t>
      </w:r>
      <w:r>
        <w:rPr>
          <w:sz w:val="18"/>
        </w:rPr>
        <w:t>Response</w:t>
      </w:r>
      <w:r>
        <w:rPr>
          <w:spacing w:val="-5"/>
          <w:sz w:val="18"/>
        </w:rPr>
        <w:t xml:space="preserve"> </w:t>
      </w:r>
      <w:r>
        <w:rPr>
          <w:sz w:val="18"/>
        </w:rPr>
        <w:t>(Exhibit</w:t>
      </w:r>
      <w:r>
        <w:rPr>
          <w:spacing w:val="-4"/>
          <w:sz w:val="18"/>
        </w:rPr>
        <w:t xml:space="preserve"> </w:t>
      </w:r>
      <w:r>
        <w:rPr>
          <w:sz w:val="18"/>
        </w:rPr>
        <w:t>AUS‐41),</w:t>
      </w:r>
      <w:r>
        <w:rPr>
          <w:spacing w:val="-5"/>
          <w:sz w:val="18"/>
        </w:rPr>
        <w:t xml:space="preserve"> </w:t>
      </w:r>
      <w:r>
        <w:rPr>
          <w:sz w:val="18"/>
        </w:rPr>
        <w:t>p.</w:t>
      </w:r>
      <w:r>
        <w:rPr>
          <w:spacing w:val="-4"/>
          <w:sz w:val="18"/>
        </w:rPr>
        <w:t xml:space="preserve"> </w:t>
      </w:r>
      <w:r>
        <w:rPr>
          <w:sz w:val="18"/>
        </w:rPr>
        <w:t xml:space="preserve">3. </w:t>
      </w:r>
      <w:r>
        <w:rPr>
          <w:sz w:val="18"/>
          <w:vertAlign w:val="superscript"/>
        </w:rPr>
        <w:t>494</w:t>
      </w:r>
      <w:r>
        <w:rPr>
          <w:spacing w:val="-4"/>
          <w:sz w:val="18"/>
        </w:rPr>
        <w:t xml:space="preserve"> </w:t>
      </w:r>
      <w:r>
        <w:rPr>
          <w:sz w:val="18"/>
        </w:rPr>
        <w:t>Swan</w:t>
      </w:r>
      <w:r>
        <w:rPr>
          <w:spacing w:val="-4"/>
          <w:sz w:val="18"/>
        </w:rPr>
        <w:t xml:space="preserve"> </w:t>
      </w:r>
      <w:r>
        <w:rPr>
          <w:sz w:val="18"/>
        </w:rPr>
        <w:t>Vintage</w:t>
      </w:r>
      <w:r>
        <w:rPr>
          <w:spacing w:val="-3"/>
          <w:sz w:val="18"/>
        </w:rPr>
        <w:t xml:space="preserve"> </w:t>
      </w:r>
      <w:r>
        <w:rPr>
          <w:sz w:val="18"/>
        </w:rPr>
        <w:t>Supplementary</w:t>
      </w:r>
      <w:r>
        <w:rPr>
          <w:spacing w:val="-3"/>
          <w:sz w:val="18"/>
        </w:rPr>
        <w:t xml:space="preserve"> </w:t>
      </w:r>
      <w:r>
        <w:rPr>
          <w:sz w:val="18"/>
        </w:rPr>
        <w:t>Questionnaire</w:t>
      </w:r>
      <w:r>
        <w:rPr>
          <w:spacing w:val="-5"/>
          <w:sz w:val="18"/>
        </w:rPr>
        <w:t xml:space="preserve"> </w:t>
      </w:r>
      <w:r>
        <w:rPr>
          <w:sz w:val="18"/>
        </w:rPr>
        <w:t>Response</w:t>
      </w:r>
      <w:r>
        <w:rPr>
          <w:spacing w:val="-5"/>
          <w:sz w:val="18"/>
        </w:rPr>
        <w:t xml:space="preserve"> </w:t>
      </w:r>
      <w:r>
        <w:rPr>
          <w:sz w:val="18"/>
        </w:rPr>
        <w:t>(Exhibit</w:t>
      </w:r>
      <w:r>
        <w:rPr>
          <w:spacing w:val="-4"/>
          <w:sz w:val="18"/>
        </w:rPr>
        <w:t xml:space="preserve"> </w:t>
      </w:r>
      <w:r>
        <w:rPr>
          <w:sz w:val="18"/>
        </w:rPr>
        <w:t>AUS‐41),</w:t>
      </w:r>
      <w:r>
        <w:rPr>
          <w:spacing w:val="-5"/>
          <w:sz w:val="18"/>
        </w:rPr>
        <w:t xml:space="preserve"> </w:t>
      </w:r>
      <w:r>
        <w:rPr>
          <w:sz w:val="18"/>
        </w:rPr>
        <w:t>p.</w:t>
      </w:r>
      <w:r>
        <w:rPr>
          <w:spacing w:val="-4"/>
          <w:sz w:val="18"/>
        </w:rPr>
        <w:t xml:space="preserve"> </w:t>
      </w:r>
      <w:r>
        <w:rPr>
          <w:sz w:val="18"/>
        </w:rPr>
        <w:t xml:space="preserve">3. </w:t>
      </w:r>
      <w:r>
        <w:rPr>
          <w:sz w:val="18"/>
          <w:vertAlign w:val="superscript"/>
        </w:rPr>
        <w:t>495</w:t>
      </w:r>
      <w:r>
        <w:rPr>
          <w:sz w:val="18"/>
        </w:rPr>
        <w:t xml:space="preserve"> Anti‐Dumping Final Determination (Exhibit AUS‐2), p. 91.</w:t>
      </w:r>
    </w:p>
    <w:p w14:paraId="51DE8ABC" w14:textId="77777777" w:rsidR="0010369C" w:rsidRDefault="0010369C">
      <w:pPr>
        <w:jc w:val="both"/>
        <w:rPr>
          <w:sz w:val="18"/>
        </w:rPr>
        <w:sectPr w:rsidR="0010369C">
          <w:headerReference w:type="default" r:id="rId602"/>
          <w:footerReference w:type="default" r:id="rId603"/>
          <w:pgSz w:w="11910" w:h="16840"/>
          <w:pgMar w:top="880" w:right="800" w:bottom="1340" w:left="1180" w:header="569" w:footer="1143" w:gutter="0"/>
          <w:cols w:space="720"/>
        </w:sectPr>
      </w:pPr>
    </w:p>
    <w:p w14:paraId="51DE8ABD" w14:textId="77777777" w:rsidR="0010369C" w:rsidRDefault="008E43AE">
      <w:pPr>
        <w:tabs>
          <w:tab w:val="left" w:pos="6426"/>
        </w:tabs>
        <w:ind w:left="238"/>
        <w:rPr>
          <w:sz w:val="20"/>
        </w:rPr>
      </w:pPr>
      <w:r>
        <w:rPr>
          <w:i/>
          <w:sz w:val="20"/>
        </w:rPr>
        <w:lastRenderedPageBreak/>
        <w:t>China</w:t>
      </w:r>
      <w:r>
        <w:rPr>
          <w:i/>
          <w:spacing w:val="-5"/>
          <w:sz w:val="20"/>
        </w:rPr>
        <w:t xml:space="preserve"> </w:t>
      </w:r>
      <w:r>
        <w:rPr>
          <w:i/>
          <w:sz w:val="20"/>
        </w:rPr>
        <w:t>–</w:t>
      </w:r>
      <w:r>
        <w:rPr>
          <w:i/>
          <w:spacing w:val="-5"/>
          <w:sz w:val="20"/>
        </w:rPr>
        <w:t xml:space="preserve"> </w:t>
      </w:r>
      <w:r>
        <w:rPr>
          <w:i/>
          <w:sz w:val="20"/>
        </w:rPr>
        <w:t>Anti‐Dumping</w:t>
      </w:r>
      <w:r>
        <w:rPr>
          <w:i/>
          <w:spacing w:val="-4"/>
          <w:sz w:val="20"/>
        </w:rPr>
        <w:t xml:space="preserve"> </w:t>
      </w:r>
      <w:r>
        <w:rPr>
          <w:i/>
          <w:sz w:val="20"/>
        </w:rPr>
        <w:t>and</w:t>
      </w:r>
      <w:r>
        <w:rPr>
          <w:i/>
          <w:spacing w:val="-5"/>
          <w:sz w:val="20"/>
        </w:rPr>
        <w:t xml:space="preserve"> </w:t>
      </w:r>
      <w:r>
        <w:rPr>
          <w:i/>
          <w:sz w:val="20"/>
        </w:rPr>
        <w:t>Countervailing</w:t>
      </w:r>
      <w:r>
        <w:rPr>
          <w:i/>
          <w:spacing w:val="-5"/>
          <w:sz w:val="20"/>
        </w:rPr>
        <w:t xml:space="preserve"> </w:t>
      </w:r>
      <w:r>
        <w:rPr>
          <w:i/>
          <w:sz w:val="20"/>
        </w:rPr>
        <w:t>Duty</w:t>
      </w:r>
      <w:r>
        <w:rPr>
          <w:i/>
          <w:spacing w:val="-4"/>
          <w:sz w:val="20"/>
        </w:rPr>
        <w:t xml:space="preserve"> </w:t>
      </w:r>
      <w:r>
        <w:rPr>
          <w:i/>
          <w:spacing w:val="-2"/>
          <w:sz w:val="20"/>
        </w:rPr>
        <w:t>Measures</w:t>
      </w:r>
      <w:r>
        <w:rPr>
          <w:i/>
          <w:sz w:val="20"/>
        </w:rPr>
        <w:tab/>
      </w:r>
      <w:r>
        <w:rPr>
          <w:sz w:val="20"/>
        </w:rPr>
        <w:t>Australia's</w:t>
      </w:r>
      <w:r>
        <w:rPr>
          <w:spacing w:val="-7"/>
          <w:sz w:val="20"/>
        </w:rPr>
        <w:t xml:space="preserve"> </w:t>
      </w:r>
      <w:r>
        <w:rPr>
          <w:sz w:val="20"/>
        </w:rPr>
        <w:t>First</w:t>
      </w:r>
      <w:r>
        <w:rPr>
          <w:spacing w:val="-2"/>
          <w:sz w:val="20"/>
        </w:rPr>
        <w:t xml:space="preserve"> </w:t>
      </w:r>
      <w:r>
        <w:rPr>
          <w:sz w:val="20"/>
        </w:rPr>
        <w:t>Written</w:t>
      </w:r>
      <w:r>
        <w:rPr>
          <w:spacing w:val="-2"/>
          <w:sz w:val="20"/>
        </w:rPr>
        <w:t xml:space="preserve"> Submission</w:t>
      </w:r>
    </w:p>
    <w:p w14:paraId="51DE8ABE" w14:textId="77777777" w:rsidR="0010369C" w:rsidRDefault="008E43AE">
      <w:pPr>
        <w:tabs>
          <w:tab w:val="left" w:pos="8228"/>
        </w:tabs>
        <w:spacing w:before="1"/>
        <w:ind w:left="239"/>
        <w:rPr>
          <w:sz w:val="20"/>
        </w:rPr>
      </w:pPr>
      <w:r>
        <w:rPr>
          <w:i/>
          <w:sz w:val="20"/>
        </w:rPr>
        <w:t>on</w:t>
      </w:r>
      <w:r>
        <w:rPr>
          <w:i/>
          <w:spacing w:val="-1"/>
          <w:sz w:val="20"/>
        </w:rPr>
        <w:t xml:space="preserve"> </w:t>
      </w:r>
      <w:r>
        <w:rPr>
          <w:i/>
          <w:sz w:val="20"/>
        </w:rPr>
        <w:t>Wine</w:t>
      </w:r>
      <w:r>
        <w:rPr>
          <w:i/>
          <w:spacing w:val="-1"/>
          <w:sz w:val="20"/>
        </w:rPr>
        <w:t xml:space="preserve"> </w:t>
      </w:r>
      <w:r>
        <w:rPr>
          <w:i/>
          <w:sz w:val="20"/>
        </w:rPr>
        <w:t>from</w:t>
      </w:r>
      <w:r>
        <w:rPr>
          <w:i/>
          <w:spacing w:val="-3"/>
          <w:sz w:val="20"/>
        </w:rPr>
        <w:t xml:space="preserve"> </w:t>
      </w:r>
      <w:r>
        <w:rPr>
          <w:i/>
          <w:sz w:val="20"/>
        </w:rPr>
        <w:t>Australia</w:t>
      </w:r>
      <w:r>
        <w:rPr>
          <w:i/>
          <w:spacing w:val="-1"/>
          <w:sz w:val="20"/>
        </w:rPr>
        <w:t xml:space="preserve"> </w:t>
      </w:r>
      <w:r>
        <w:rPr>
          <w:spacing w:val="-2"/>
          <w:sz w:val="20"/>
        </w:rPr>
        <w:t>(DS602)</w:t>
      </w:r>
      <w:r>
        <w:rPr>
          <w:sz w:val="20"/>
        </w:rPr>
        <w:tab/>
        <w:t>29</w:t>
      </w:r>
      <w:r>
        <w:rPr>
          <w:spacing w:val="-1"/>
          <w:sz w:val="20"/>
        </w:rPr>
        <w:t xml:space="preserve"> </w:t>
      </w:r>
      <w:r>
        <w:rPr>
          <w:sz w:val="20"/>
        </w:rPr>
        <w:t>April</w:t>
      </w:r>
      <w:r>
        <w:rPr>
          <w:spacing w:val="-2"/>
          <w:sz w:val="20"/>
        </w:rPr>
        <w:t xml:space="preserve"> </w:t>
      </w:r>
      <w:r>
        <w:rPr>
          <w:spacing w:val="-4"/>
          <w:sz w:val="20"/>
        </w:rPr>
        <w:t>2022</w:t>
      </w:r>
    </w:p>
    <w:p w14:paraId="51DE8ABF" w14:textId="77777777" w:rsidR="0010369C" w:rsidRDefault="008E43AE">
      <w:pPr>
        <w:pStyle w:val="BodyText"/>
        <w:spacing w:before="34" w:line="360" w:lineRule="auto"/>
        <w:ind w:left="237" w:right="611"/>
      </w:pPr>
      <w:r>
        <w:t>that</w:t>
      </w:r>
      <w:r>
        <w:rPr>
          <w:spacing w:val="-14"/>
        </w:rPr>
        <w:t xml:space="preserve"> </w:t>
      </w:r>
      <w:r>
        <w:t>it</w:t>
      </w:r>
      <w:r>
        <w:rPr>
          <w:spacing w:val="-14"/>
        </w:rPr>
        <w:t xml:space="preserve"> </w:t>
      </w:r>
      <w:r>
        <w:t>is</w:t>
      </w:r>
      <w:r>
        <w:rPr>
          <w:spacing w:val="-14"/>
        </w:rPr>
        <w:t xml:space="preserve"> </w:t>
      </w:r>
      <w:r>
        <w:t>seeking.</w:t>
      </w:r>
      <w:r>
        <w:rPr>
          <w:spacing w:val="-14"/>
        </w:rPr>
        <w:t xml:space="preserve"> </w:t>
      </w:r>
      <w:r>
        <w:t>It</w:t>
      </w:r>
      <w:r>
        <w:rPr>
          <w:spacing w:val="-14"/>
        </w:rPr>
        <w:t xml:space="preserve"> </w:t>
      </w:r>
      <w:r>
        <w:t>is</w:t>
      </w:r>
      <w:r>
        <w:rPr>
          <w:spacing w:val="-14"/>
        </w:rPr>
        <w:t xml:space="preserve"> </w:t>
      </w:r>
      <w:r>
        <w:t>not</w:t>
      </w:r>
      <w:r>
        <w:rPr>
          <w:spacing w:val="-14"/>
        </w:rPr>
        <w:t xml:space="preserve"> </w:t>
      </w:r>
      <w:r>
        <w:t>incumbent</w:t>
      </w:r>
      <w:r>
        <w:rPr>
          <w:spacing w:val="-14"/>
        </w:rPr>
        <w:t xml:space="preserve"> </w:t>
      </w:r>
      <w:r>
        <w:t>upon</w:t>
      </w:r>
      <w:r>
        <w:rPr>
          <w:spacing w:val="-14"/>
        </w:rPr>
        <w:t xml:space="preserve"> </w:t>
      </w:r>
      <w:r>
        <w:t>interested</w:t>
      </w:r>
      <w:r>
        <w:rPr>
          <w:spacing w:val="-14"/>
        </w:rPr>
        <w:t xml:space="preserve"> </w:t>
      </w:r>
      <w:r>
        <w:t>parties</w:t>
      </w:r>
      <w:r>
        <w:rPr>
          <w:spacing w:val="-14"/>
        </w:rPr>
        <w:t xml:space="preserve"> </w:t>
      </w:r>
      <w:r>
        <w:t>to</w:t>
      </w:r>
      <w:r>
        <w:rPr>
          <w:spacing w:val="-13"/>
        </w:rPr>
        <w:t xml:space="preserve"> </w:t>
      </w:r>
      <w:r>
        <w:t>guess</w:t>
      </w:r>
      <w:r>
        <w:rPr>
          <w:spacing w:val="-14"/>
        </w:rPr>
        <w:t xml:space="preserve"> </w:t>
      </w:r>
      <w:r>
        <w:t>what</w:t>
      </w:r>
      <w:r>
        <w:rPr>
          <w:spacing w:val="-14"/>
        </w:rPr>
        <w:t xml:space="preserve"> </w:t>
      </w:r>
      <w:r>
        <w:t>MOFCOM</w:t>
      </w:r>
      <w:r>
        <w:rPr>
          <w:spacing w:val="-14"/>
        </w:rPr>
        <w:t xml:space="preserve"> </w:t>
      </w:r>
      <w:r>
        <w:t>is</w:t>
      </w:r>
      <w:r>
        <w:rPr>
          <w:spacing w:val="-14"/>
        </w:rPr>
        <w:t xml:space="preserve"> </w:t>
      </w:r>
      <w:r>
        <w:t>looking for in its investigation.</w:t>
      </w:r>
    </w:p>
    <w:p w14:paraId="51DE8AC0" w14:textId="77777777" w:rsidR="0010369C" w:rsidRDefault="0010369C">
      <w:pPr>
        <w:pStyle w:val="BodyText"/>
        <w:spacing w:before="10"/>
        <w:rPr>
          <w:sz w:val="8"/>
        </w:rPr>
      </w:pPr>
    </w:p>
    <w:p w14:paraId="51DE8AC1" w14:textId="77777777" w:rsidR="0010369C" w:rsidRDefault="008E43AE">
      <w:pPr>
        <w:pStyle w:val="BodyText"/>
        <w:spacing w:before="52" w:line="360" w:lineRule="auto"/>
        <w:ind w:left="238" w:right="613" w:firstLine="851"/>
        <w:jc w:val="both"/>
      </w:pPr>
      <w:r>
        <w:rPr>
          <w:noProof/>
        </w:rPr>
        <w:drawing>
          <wp:anchor distT="0" distB="0" distL="0" distR="0" simplePos="0" relativeHeight="251090432" behindDoc="1" locked="0" layoutInCell="1" allowOverlap="1" wp14:anchorId="51DEA344" wp14:editId="51DEA345">
            <wp:simplePos x="0" y="0"/>
            <wp:positionH relativeFrom="page">
              <wp:posOffset>899160</wp:posOffset>
            </wp:positionH>
            <wp:positionV relativeFrom="paragraph">
              <wp:posOffset>82711</wp:posOffset>
            </wp:positionV>
            <wp:extent cx="265175" cy="100753"/>
            <wp:effectExtent l="0" t="0" r="0" b="0"/>
            <wp:wrapNone/>
            <wp:docPr id="899" name="image4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 name="image460.png"/>
                    <pic:cNvPicPr/>
                  </pic:nvPicPr>
                  <pic:blipFill>
                    <a:blip r:embed="rId604" cstate="print"/>
                    <a:stretch>
                      <a:fillRect/>
                    </a:stretch>
                  </pic:blipFill>
                  <pic:spPr>
                    <a:xfrm>
                      <a:off x="0" y="0"/>
                      <a:ext cx="265175" cy="100753"/>
                    </a:xfrm>
                    <a:prstGeom prst="rect">
                      <a:avLst/>
                    </a:prstGeom>
                  </pic:spPr>
                </pic:pic>
              </a:graphicData>
            </a:graphic>
          </wp:anchor>
        </w:drawing>
      </w:r>
      <w:r>
        <w:t xml:space="preserve">In the Preliminary Determination, MOFCOM expressed its view that the affiliate company "filled out part of the response and reported only the overall data, which did not correspond to the data reported by Australia Swan </w:t>
      </w:r>
      <w:r>
        <w:t>Vintage Pty Ltd".</w:t>
      </w:r>
      <w:r>
        <w:rPr>
          <w:vertAlign w:val="superscript"/>
        </w:rPr>
        <w:t>496</w:t>
      </w:r>
      <w:r>
        <w:t xml:space="preserve"> However, in the Supplementary Questionnaire that followed, MOFCOM merely requested that Swan Vintage "explain why the bottling company [Growers Wine] does not submit its own response".</w:t>
      </w:r>
      <w:r>
        <w:rPr>
          <w:vertAlign w:val="superscript"/>
        </w:rPr>
        <w:t>497</w:t>
      </w:r>
    </w:p>
    <w:p w14:paraId="51DE8AC2" w14:textId="77777777" w:rsidR="0010369C" w:rsidRDefault="0010369C">
      <w:pPr>
        <w:pStyle w:val="BodyText"/>
        <w:spacing w:before="11"/>
        <w:rPr>
          <w:sz w:val="8"/>
        </w:rPr>
      </w:pPr>
    </w:p>
    <w:p w14:paraId="51DE8AC3" w14:textId="77777777" w:rsidR="0010369C" w:rsidRDefault="008E43AE">
      <w:pPr>
        <w:pStyle w:val="BodyText"/>
        <w:spacing w:before="52" w:line="360" w:lineRule="auto"/>
        <w:ind w:left="237" w:right="612" w:firstLine="851"/>
        <w:jc w:val="both"/>
      </w:pPr>
      <w:r>
        <w:rPr>
          <w:noProof/>
        </w:rPr>
        <w:drawing>
          <wp:anchor distT="0" distB="0" distL="0" distR="0" simplePos="0" relativeHeight="251091456" behindDoc="1" locked="0" layoutInCell="1" allowOverlap="1" wp14:anchorId="51DEA346" wp14:editId="51DEA347">
            <wp:simplePos x="0" y="0"/>
            <wp:positionH relativeFrom="page">
              <wp:posOffset>899160</wp:posOffset>
            </wp:positionH>
            <wp:positionV relativeFrom="paragraph">
              <wp:posOffset>81949</wp:posOffset>
            </wp:positionV>
            <wp:extent cx="265175" cy="100753"/>
            <wp:effectExtent l="0" t="0" r="0" b="0"/>
            <wp:wrapNone/>
            <wp:docPr id="901" name="image4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 name="image461.png"/>
                    <pic:cNvPicPr/>
                  </pic:nvPicPr>
                  <pic:blipFill>
                    <a:blip r:embed="rId605" cstate="print"/>
                    <a:stretch>
                      <a:fillRect/>
                    </a:stretch>
                  </pic:blipFill>
                  <pic:spPr>
                    <a:xfrm>
                      <a:off x="0" y="0"/>
                      <a:ext cx="265175" cy="100753"/>
                    </a:xfrm>
                    <a:prstGeom prst="rect">
                      <a:avLst/>
                    </a:prstGeom>
                  </pic:spPr>
                </pic:pic>
              </a:graphicData>
            </a:graphic>
          </wp:anchor>
        </w:drawing>
      </w:r>
      <w:r>
        <w:t>As Swan Vintage noted, repeatedly, the bottli</w:t>
      </w:r>
      <w:r>
        <w:t>ng and pressing service providers that did not provide responses were independent companies, not under the direction of Swan Vintage. Australia submits that the record shows that Swan Vintage nonetheless made best efforts to solicit responses from the inde</w:t>
      </w:r>
      <w:r>
        <w:t>pendent OEMs, issuing them with letters of request on "several" occasions,</w:t>
      </w:r>
      <w:r>
        <w:rPr>
          <w:vertAlign w:val="superscript"/>
        </w:rPr>
        <w:t>498</w:t>
      </w:r>
      <w:r>
        <w:t xml:space="preserve"> but ultimately was not able to persuade the firms to release their confidential data. Swan Vintage submitted to MOFCOM that Swan Vintage's contracts with the OEM service provider</w:t>
      </w:r>
      <w:r>
        <w:t>s only accounted for a "very small proportion" of the turnover of those companies,</w:t>
      </w:r>
      <w:r>
        <w:rPr>
          <w:vertAlign w:val="superscript"/>
        </w:rPr>
        <w:t>499</w:t>
      </w:r>
      <w:r>
        <w:t xml:space="preserve"> and thus Swan Vintage's influence over them was limited.</w:t>
      </w:r>
    </w:p>
    <w:p w14:paraId="51DE8AC4" w14:textId="77777777" w:rsidR="0010369C" w:rsidRDefault="0010369C">
      <w:pPr>
        <w:pStyle w:val="BodyText"/>
        <w:spacing w:before="10"/>
        <w:rPr>
          <w:sz w:val="8"/>
        </w:rPr>
      </w:pPr>
    </w:p>
    <w:p w14:paraId="51DE8AC5" w14:textId="77777777" w:rsidR="0010369C" w:rsidRDefault="008E43AE">
      <w:pPr>
        <w:pStyle w:val="BodyText"/>
        <w:spacing w:before="52" w:line="360" w:lineRule="auto"/>
        <w:ind w:left="236" w:right="614" w:firstLine="852"/>
        <w:jc w:val="both"/>
      </w:pPr>
      <w:r>
        <w:rPr>
          <w:noProof/>
        </w:rPr>
        <w:drawing>
          <wp:anchor distT="0" distB="0" distL="0" distR="0" simplePos="0" relativeHeight="251092480" behindDoc="1" locked="0" layoutInCell="1" allowOverlap="1" wp14:anchorId="51DEA348" wp14:editId="51DEA349">
            <wp:simplePos x="0" y="0"/>
            <wp:positionH relativeFrom="page">
              <wp:posOffset>899160</wp:posOffset>
            </wp:positionH>
            <wp:positionV relativeFrom="paragraph">
              <wp:posOffset>76785</wp:posOffset>
            </wp:positionV>
            <wp:extent cx="265175" cy="106679"/>
            <wp:effectExtent l="0" t="0" r="0" b="0"/>
            <wp:wrapNone/>
            <wp:docPr id="903" name="image4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 name="image462.png"/>
                    <pic:cNvPicPr/>
                  </pic:nvPicPr>
                  <pic:blipFill>
                    <a:blip r:embed="rId606" cstate="print"/>
                    <a:stretch>
                      <a:fillRect/>
                    </a:stretch>
                  </pic:blipFill>
                  <pic:spPr>
                    <a:xfrm>
                      <a:off x="0" y="0"/>
                      <a:ext cx="265175" cy="106679"/>
                    </a:xfrm>
                    <a:prstGeom prst="rect">
                      <a:avLst/>
                    </a:prstGeom>
                  </pic:spPr>
                </pic:pic>
              </a:graphicData>
            </a:graphic>
          </wp:anchor>
        </w:drawing>
      </w:r>
      <w:r>
        <w:t>If MOFCOM required Growers Wine to submit a separate response, it should have specified what it required in the</w:t>
      </w:r>
      <w:r>
        <w:t xml:space="preserve"> questionnaire. Conversely, if MOFCOM needed certain data submitted</w:t>
      </w:r>
      <w:r>
        <w:rPr>
          <w:spacing w:val="-14"/>
        </w:rPr>
        <w:t xml:space="preserve"> </w:t>
      </w:r>
      <w:r>
        <w:t>by</w:t>
      </w:r>
      <w:r>
        <w:rPr>
          <w:spacing w:val="-14"/>
        </w:rPr>
        <w:t xml:space="preserve"> </w:t>
      </w:r>
      <w:r>
        <w:t>the</w:t>
      </w:r>
      <w:r>
        <w:rPr>
          <w:spacing w:val="-13"/>
        </w:rPr>
        <w:t xml:space="preserve"> </w:t>
      </w:r>
      <w:r>
        <w:t>affiliated</w:t>
      </w:r>
      <w:r>
        <w:rPr>
          <w:spacing w:val="-13"/>
        </w:rPr>
        <w:t xml:space="preserve"> </w:t>
      </w:r>
      <w:r>
        <w:t>company</w:t>
      </w:r>
      <w:r>
        <w:rPr>
          <w:spacing w:val="-14"/>
        </w:rPr>
        <w:t xml:space="preserve"> </w:t>
      </w:r>
      <w:r>
        <w:t>to</w:t>
      </w:r>
      <w:r>
        <w:rPr>
          <w:spacing w:val="-13"/>
        </w:rPr>
        <w:t xml:space="preserve"> </w:t>
      </w:r>
      <w:r>
        <w:t>be</w:t>
      </w:r>
      <w:r>
        <w:rPr>
          <w:spacing w:val="-13"/>
        </w:rPr>
        <w:t xml:space="preserve"> </w:t>
      </w:r>
      <w:r>
        <w:t>verified</w:t>
      </w:r>
      <w:r>
        <w:rPr>
          <w:spacing w:val="-14"/>
        </w:rPr>
        <w:t xml:space="preserve"> </w:t>
      </w:r>
      <w:r>
        <w:t>by</w:t>
      </w:r>
      <w:r>
        <w:rPr>
          <w:spacing w:val="-13"/>
        </w:rPr>
        <w:t xml:space="preserve"> </w:t>
      </w:r>
      <w:r>
        <w:t>reference</w:t>
      </w:r>
      <w:r>
        <w:rPr>
          <w:spacing w:val="-13"/>
        </w:rPr>
        <w:t xml:space="preserve"> </w:t>
      </w:r>
      <w:r>
        <w:t>to</w:t>
      </w:r>
      <w:r>
        <w:rPr>
          <w:spacing w:val="-14"/>
        </w:rPr>
        <w:t xml:space="preserve"> </w:t>
      </w:r>
      <w:r>
        <w:t>the</w:t>
      </w:r>
      <w:r>
        <w:rPr>
          <w:spacing w:val="-13"/>
        </w:rPr>
        <w:t xml:space="preserve"> </w:t>
      </w:r>
      <w:r>
        <w:t>data</w:t>
      </w:r>
      <w:r>
        <w:rPr>
          <w:spacing w:val="-12"/>
        </w:rPr>
        <w:t xml:space="preserve"> </w:t>
      </w:r>
      <w:r>
        <w:t>submitted</w:t>
      </w:r>
      <w:r>
        <w:rPr>
          <w:spacing w:val="-14"/>
        </w:rPr>
        <w:t xml:space="preserve"> </w:t>
      </w:r>
      <w:r>
        <w:t>by</w:t>
      </w:r>
      <w:r>
        <w:rPr>
          <w:spacing w:val="-13"/>
        </w:rPr>
        <w:t xml:space="preserve"> </w:t>
      </w:r>
      <w:r>
        <w:t>Swan Vintage, MOFCOM should have specified what it required in the relevant forms attached to the questionnaire for verification purposes, rather than attempting to compare the data provided in different datasets submitted by the different companies. MOFCO</w:t>
      </w:r>
      <w:r>
        <w:t>M otherwise took no steps to verify the information it considered unreliable, apart from the request for Swan Vintage to "explain" the situation with the OEMs in the Supplementary Questionnaire.</w:t>
      </w:r>
    </w:p>
    <w:p w14:paraId="51DE8AC6" w14:textId="77777777" w:rsidR="0010369C" w:rsidRDefault="0010369C">
      <w:pPr>
        <w:pStyle w:val="BodyText"/>
        <w:spacing w:before="11"/>
        <w:rPr>
          <w:sz w:val="8"/>
        </w:rPr>
      </w:pPr>
    </w:p>
    <w:p w14:paraId="51DE8AC7" w14:textId="77777777" w:rsidR="0010369C" w:rsidRDefault="008E43AE">
      <w:pPr>
        <w:pStyle w:val="BodyText"/>
        <w:spacing w:before="51" w:line="360" w:lineRule="auto"/>
        <w:ind w:left="237" w:right="614" w:firstLine="851"/>
        <w:jc w:val="both"/>
      </w:pPr>
      <w:r>
        <w:rPr>
          <w:noProof/>
        </w:rPr>
        <w:drawing>
          <wp:anchor distT="0" distB="0" distL="0" distR="0" simplePos="0" relativeHeight="251093504" behindDoc="1" locked="0" layoutInCell="1" allowOverlap="1" wp14:anchorId="51DEA34A" wp14:editId="51DEA34B">
            <wp:simplePos x="0" y="0"/>
            <wp:positionH relativeFrom="page">
              <wp:posOffset>899160</wp:posOffset>
            </wp:positionH>
            <wp:positionV relativeFrom="paragraph">
              <wp:posOffset>82838</wp:posOffset>
            </wp:positionV>
            <wp:extent cx="265175" cy="100753"/>
            <wp:effectExtent l="0" t="0" r="0" b="0"/>
            <wp:wrapNone/>
            <wp:docPr id="905" name="image4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 name="image463.png"/>
                    <pic:cNvPicPr/>
                  </pic:nvPicPr>
                  <pic:blipFill>
                    <a:blip r:embed="rId607" cstate="print"/>
                    <a:stretch>
                      <a:fillRect/>
                    </a:stretch>
                  </pic:blipFill>
                  <pic:spPr>
                    <a:xfrm>
                      <a:off x="0" y="0"/>
                      <a:ext cx="265175" cy="100753"/>
                    </a:xfrm>
                    <a:prstGeom prst="rect">
                      <a:avLst/>
                    </a:prstGeom>
                  </pic:spPr>
                </pic:pic>
              </a:graphicData>
            </a:graphic>
          </wp:anchor>
        </w:drawing>
      </w:r>
      <w:r>
        <w:t>MOFCOM</w:t>
      </w:r>
      <w:r>
        <w:rPr>
          <w:spacing w:val="-7"/>
        </w:rPr>
        <w:t xml:space="preserve"> </w:t>
      </w:r>
      <w:r>
        <w:t>was</w:t>
      </w:r>
      <w:r>
        <w:rPr>
          <w:spacing w:val="-8"/>
        </w:rPr>
        <w:t xml:space="preserve"> </w:t>
      </w:r>
      <w:r>
        <w:t>obliged</w:t>
      </w:r>
      <w:r>
        <w:rPr>
          <w:spacing w:val="-7"/>
        </w:rPr>
        <w:t xml:space="preserve"> </w:t>
      </w:r>
      <w:r>
        <w:t>by</w:t>
      </w:r>
      <w:r>
        <w:rPr>
          <w:spacing w:val="-7"/>
        </w:rPr>
        <w:t xml:space="preserve"> </w:t>
      </w:r>
      <w:r>
        <w:t>paragraphs</w:t>
      </w:r>
      <w:r>
        <w:rPr>
          <w:spacing w:val="-6"/>
        </w:rPr>
        <w:t xml:space="preserve"> </w:t>
      </w:r>
      <w:r>
        <w:t>3</w:t>
      </w:r>
      <w:r>
        <w:rPr>
          <w:spacing w:val="-8"/>
        </w:rPr>
        <w:t xml:space="preserve"> </w:t>
      </w:r>
      <w:r>
        <w:t>and</w:t>
      </w:r>
      <w:r>
        <w:rPr>
          <w:spacing w:val="-8"/>
        </w:rPr>
        <w:t xml:space="preserve"> </w:t>
      </w:r>
      <w:r>
        <w:t>5</w:t>
      </w:r>
      <w:r>
        <w:rPr>
          <w:spacing w:val="-8"/>
        </w:rPr>
        <w:t xml:space="preserve"> </w:t>
      </w:r>
      <w:r>
        <w:t>of</w:t>
      </w:r>
      <w:r>
        <w:rPr>
          <w:spacing w:val="-8"/>
        </w:rPr>
        <w:t xml:space="preserve"> </w:t>
      </w:r>
      <w:r>
        <w:t>Annex</w:t>
      </w:r>
      <w:r>
        <w:rPr>
          <w:spacing w:val="-7"/>
        </w:rPr>
        <w:t xml:space="preserve"> </w:t>
      </w:r>
      <w:r>
        <w:t>II</w:t>
      </w:r>
      <w:r>
        <w:rPr>
          <w:spacing w:val="-8"/>
        </w:rPr>
        <w:t xml:space="preserve"> </w:t>
      </w:r>
      <w:r>
        <w:t>to</w:t>
      </w:r>
      <w:r>
        <w:rPr>
          <w:spacing w:val="-7"/>
        </w:rPr>
        <w:t xml:space="preserve"> </w:t>
      </w:r>
      <w:r>
        <w:t>"ac</w:t>
      </w:r>
      <w:r>
        <w:t>tively</w:t>
      </w:r>
      <w:r>
        <w:rPr>
          <w:spacing w:val="-8"/>
        </w:rPr>
        <w:t xml:space="preserve"> </w:t>
      </w:r>
      <w:r>
        <w:t>make</w:t>
      </w:r>
      <w:r>
        <w:rPr>
          <w:spacing w:val="-7"/>
        </w:rPr>
        <w:t xml:space="preserve"> </w:t>
      </w:r>
      <w:r>
        <w:t>efforts"</w:t>
      </w:r>
      <w:r>
        <w:rPr>
          <w:spacing w:val="-8"/>
        </w:rPr>
        <w:t xml:space="preserve"> </w:t>
      </w:r>
      <w:r>
        <w:t>to use the information provided to it,</w:t>
      </w:r>
      <w:r>
        <w:rPr>
          <w:vertAlign w:val="superscript"/>
        </w:rPr>
        <w:t>500</w:t>
      </w:r>
      <w:r>
        <w:rPr>
          <w:spacing w:val="40"/>
        </w:rPr>
        <w:t xml:space="preserve"> </w:t>
      </w:r>
      <w:r>
        <w:t>even</w:t>
      </w:r>
      <w:r>
        <w:rPr>
          <w:spacing w:val="-1"/>
        </w:rPr>
        <w:t xml:space="preserve"> </w:t>
      </w:r>
      <w:r>
        <w:t>if not</w:t>
      </w:r>
      <w:r>
        <w:rPr>
          <w:spacing w:val="-1"/>
        </w:rPr>
        <w:t xml:space="preserve"> </w:t>
      </w:r>
      <w:r>
        <w:t>ideal in all</w:t>
      </w:r>
      <w:r>
        <w:rPr>
          <w:spacing w:val="-2"/>
        </w:rPr>
        <w:t xml:space="preserve"> </w:t>
      </w:r>
      <w:r>
        <w:t>respects,</w:t>
      </w:r>
      <w:r>
        <w:rPr>
          <w:spacing w:val="-1"/>
        </w:rPr>
        <w:t xml:space="preserve"> </w:t>
      </w:r>
      <w:r>
        <w:t>provided Swan</w:t>
      </w:r>
      <w:r>
        <w:rPr>
          <w:spacing w:val="-1"/>
        </w:rPr>
        <w:t xml:space="preserve"> </w:t>
      </w:r>
      <w:r>
        <w:t>Vintage had acted to the best of its ability. Had it done so, MOFCOM would have concluded that the information</w:t>
      </w:r>
      <w:r>
        <w:rPr>
          <w:spacing w:val="37"/>
        </w:rPr>
        <w:t xml:space="preserve"> </w:t>
      </w:r>
      <w:r>
        <w:t>submitted</w:t>
      </w:r>
      <w:r>
        <w:rPr>
          <w:spacing w:val="37"/>
        </w:rPr>
        <w:t xml:space="preserve"> </w:t>
      </w:r>
      <w:r>
        <w:t>was,</w:t>
      </w:r>
      <w:r>
        <w:rPr>
          <w:spacing w:val="37"/>
        </w:rPr>
        <w:t xml:space="preserve"> </w:t>
      </w:r>
      <w:r>
        <w:t>in</w:t>
      </w:r>
      <w:r>
        <w:rPr>
          <w:spacing w:val="37"/>
        </w:rPr>
        <w:t xml:space="preserve"> </w:t>
      </w:r>
      <w:r>
        <w:t>fact,</w:t>
      </w:r>
      <w:r>
        <w:rPr>
          <w:spacing w:val="37"/>
        </w:rPr>
        <w:t xml:space="preserve"> </w:t>
      </w:r>
      <w:r>
        <w:t>verifiabl</w:t>
      </w:r>
      <w:r>
        <w:t>e,</w:t>
      </w:r>
      <w:r>
        <w:rPr>
          <w:spacing w:val="36"/>
        </w:rPr>
        <w:t xml:space="preserve"> </w:t>
      </w:r>
      <w:r>
        <w:t>appropriately</w:t>
      </w:r>
      <w:r>
        <w:rPr>
          <w:spacing w:val="37"/>
        </w:rPr>
        <w:t xml:space="preserve"> </w:t>
      </w:r>
      <w:r>
        <w:t>submitted,</w:t>
      </w:r>
      <w:r>
        <w:rPr>
          <w:spacing w:val="37"/>
        </w:rPr>
        <w:t xml:space="preserve"> </w:t>
      </w:r>
      <w:r>
        <w:t>timely</w:t>
      </w:r>
      <w:r>
        <w:rPr>
          <w:spacing w:val="37"/>
        </w:rPr>
        <w:t xml:space="preserve"> </w:t>
      </w:r>
      <w:r>
        <w:t>and</w:t>
      </w:r>
      <w:r>
        <w:rPr>
          <w:spacing w:val="37"/>
        </w:rPr>
        <w:t xml:space="preserve"> </w:t>
      </w:r>
      <w:r>
        <w:t>in</w:t>
      </w:r>
      <w:r>
        <w:rPr>
          <w:spacing w:val="37"/>
        </w:rPr>
        <w:t xml:space="preserve"> </w:t>
      </w:r>
      <w:r>
        <w:rPr>
          <w:spacing w:val="-5"/>
        </w:rPr>
        <w:t>an</w:t>
      </w:r>
    </w:p>
    <w:p w14:paraId="51DE8AC8" w14:textId="77777777" w:rsidR="0010369C" w:rsidRDefault="0010369C">
      <w:pPr>
        <w:pStyle w:val="BodyText"/>
        <w:spacing w:before="8"/>
        <w:rPr>
          <w:sz w:val="32"/>
        </w:rPr>
      </w:pPr>
    </w:p>
    <w:p w14:paraId="51DE8AC9" w14:textId="77777777" w:rsidR="0010369C" w:rsidRDefault="008E43AE">
      <w:pPr>
        <w:ind w:left="238"/>
        <w:jc w:val="both"/>
        <w:rPr>
          <w:sz w:val="18"/>
        </w:rPr>
      </w:pPr>
      <w:r>
        <w:rPr>
          <w:sz w:val="18"/>
          <w:vertAlign w:val="superscript"/>
        </w:rPr>
        <w:t>496</w:t>
      </w:r>
      <w:r>
        <w:rPr>
          <w:spacing w:val="-10"/>
          <w:sz w:val="18"/>
        </w:rPr>
        <w:t xml:space="preserve"> </w:t>
      </w:r>
      <w:r>
        <w:rPr>
          <w:sz w:val="18"/>
        </w:rPr>
        <w:t>Anti‐Dumping</w:t>
      </w:r>
      <w:r>
        <w:rPr>
          <w:spacing w:val="-9"/>
          <w:sz w:val="18"/>
        </w:rPr>
        <w:t xml:space="preserve"> </w:t>
      </w:r>
      <w:r>
        <w:rPr>
          <w:sz w:val="18"/>
        </w:rPr>
        <w:t>Preliminary</w:t>
      </w:r>
      <w:r>
        <w:rPr>
          <w:spacing w:val="-9"/>
          <w:sz w:val="18"/>
        </w:rPr>
        <w:t xml:space="preserve"> </w:t>
      </w:r>
      <w:r>
        <w:rPr>
          <w:sz w:val="18"/>
        </w:rPr>
        <w:t>Determination</w:t>
      </w:r>
      <w:r>
        <w:rPr>
          <w:spacing w:val="-9"/>
          <w:sz w:val="18"/>
        </w:rPr>
        <w:t xml:space="preserve"> </w:t>
      </w:r>
      <w:r>
        <w:rPr>
          <w:sz w:val="18"/>
        </w:rPr>
        <w:t>(Exhibit</w:t>
      </w:r>
      <w:r>
        <w:rPr>
          <w:spacing w:val="-10"/>
          <w:sz w:val="18"/>
        </w:rPr>
        <w:t xml:space="preserve"> </w:t>
      </w:r>
      <w:r>
        <w:rPr>
          <w:sz w:val="18"/>
        </w:rPr>
        <w:t>AUS‐35),</w:t>
      </w:r>
      <w:r>
        <w:rPr>
          <w:spacing w:val="-10"/>
          <w:sz w:val="18"/>
        </w:rPr>
        <w:t xml:space="preserve"> </w:t>
      </w:r>
      <w:r>
        <w:rPr>
          <w:sz w:val="18"/>
        </w:rPr>
        <w:t>p.</w:t>
      </w:r>
      <w:r>
        <w:rPr>
          <w:spacing w:val="-9"/>
          <w:sz w:val="18"/>
        </w:rPr>
        <w:t xml:space="preserve"> </w:t>
      </w:r>
      <w:r>
        <w:rPr>
          <w:spacing w:val="-5"/>
          <w:sz w:val="18"/>
        </w:rPr>
        <w:t>31.</w:t>
      </w:r>
    </w:p>
    <w:p w14:paraId="51DE8ACA" w14:textId="77777777" w:rsidR="0010369C" w:rsidRDefault="008E43AE">
      <w:pPr>
        <w:spacing w:before="1"/>
        <w:ind w:left="238"/>
        <w:jc w:val="both"/>
        <w:rPr>
          <w:sz w:val="18"/>
        </w:rPr>
      </w:pPr>
      <w:r>
        <w:rPr>
          <w:sz w:val="18"/>
          <w:vertAlign w:val="superscript"/>
        </w:rPr>
        <w:t>497</w:t>
      </w:r>
      <w:r>
        <w:rPr>
          <w:spacing w:val="-8"/>
          <w:sz w:val="18"/>
        </w:rPr>
        <w:t xml:space="preserve"> </w:t>
      </w:r>
      <w:r>
        <w:rPr>
          <w:sz w:val="18"/>
        </w:rPr>
        <w:t>Swan</w:t>
      </w:r>
      <w:r>
        <w:rPr>
          <w:spacing w:val="-7"/>
          <w:sz w:val="18"/>
        </w:rPr>
        <w:t xml:space="preserve"> </w:t>
      </w:r>
      <w:r>
        <w:rPr>
          <w:sz w:val="18"/>
        </w:rPr>
        <w:t>Vintage</w:t>
      </w:r>
      <w:r>
        <w:rPr>
          <w:spacing w:val="-6"/>
          <w:sz w:val="18"/>
        </w:rPr>
        <w:t xml:space="preserve"> </w:t>
      </w:r>
      <w:r>
        <w:rPr>
          <w:sz w:val="18"/>
        </w:rPr>
        <w:t>Supplementary</w:t>
      </w:r>
      <w:r>
        <w:rPr>
          <w:spacing w:val="-7"/>
          <w:sz w:val="18"/>
        </w:rPr>
        <w:t xml:space="preserve"> </w:t>
      </w:r>
      <w:r>
        <w:rPr>
          <w:sz w:val="18"/>
        </w:rPr>
        <w:t>Questionnaire</w:t>
      </w:r>
      <w:r>
        <w:rPr>
          <w:spacing w:val="-8"/>
          <w:sz w:val="18"/>
        </w:rPr>
        <w:t xml:space="preserve"> </w:t>
      </w:r>
      <w:r>
        <w:rPr>
          <w:sz w:val="18"/>
        </w:rPr>
        <w:t>Response</w:t>
      </w:r>
      <w:r>
        <w:rPr>
          <w:spacing w:val="-8"/>
          <w:sz w:val="18"/>
        </w:rPr>
        <w:t xml:space="preserve"> </w:t>
      </w:r>
      <w:r>
        <w:rPr>
          <w:sz w:val="18"/>
        </w:rPr>
        <w:t>(Exhibit</w:t>
      </w:r>
      <w:r>
        <w:rPr>
          <w:spacing w:val="-7"/>
          <w:sz w:val="18"/>
        </w:rPr>
        <w:t xml:space="preserve"> </w:t>
      </w:r>
      <w:r>
        <w:rPr>
          <w:sz w:val="18"/>
        </w:rPr>
        <w:t>AUS‐41),</w:t>
      </w:r>
      <w:r>
        <w:rPr>
          <w:spacing w:val="-8"/>
          <w:sz w:val="18"/>
        </w:rPr>
        <w:t xml:space="preserve"> </w:t>
      </w:r>
      <w:r>
        <w:rPr>
          <w:sz w:val="18"/>
        </w:rPr>
        <w:t>p.</w:t>
      </w:r>
      <w:r>
        <w:rPr>
          <w:spacing w:val="-8"/>
          <w:sz w:val="18"/>
        </w:rPr>
        <w:t xml:space="preserve"> </w:t>
      </w:r>
      <w:r>
        <w:rPr>
          <w:sz w:val="18"/>
        </w:rPr>
        <w:t>2</w:t>
      </w:r>
      <w:r>
        <w:rPr>
          <w:spacing w:val="-7"/>
          <w:sz w:val="18"/>
        </w:rPr>
        <w:t xml:space="preserve"> </w:t>
      </w:r>
      <w:r>
        <w:rPr>
          <w:sz w:val="18"/>
        </w:rPr>
        <w:t>(see</w:t>
      </w:r>
      <w:r>
        <w:rPr>
          <w:spacing w:val="-8"/>
          <w:sz w:val="18"/>
        </w:rPr>
        <w:t xml:space="preserve"> </w:t>
      </w:r>
      <w:r>
        <w:rPr>
          <w:sz w:val="18"/>
        </w:rPr>
        <w:t>question</w:t>
      </w:r>
      <w:r>
        <w:rPr>
          <w:spacing w:val="-7"/>
          <w:sz w:val="18"/>
        </w:rPr>
        <w:t xml:space="preserve"> </w:t>
      </w:r>
      <w:r>
        <w:rPr>
          <w:spacing w:val="-5"/>
          <w:sz w:val="18"/>
        </w:rPr>
        <w:t>3).</w:t>
      </w:r>
    </w:p>
    <w:p w14:paraId="51DE8ACB" w14:textId="77777777" w:rsidR="0010369C" w:rsidRDefault="008E43AE">
      <w:pPr>
        <w:ind w:left="238" w:right="3855"/>
        <w:jc w:val="both"/>
        <w:rPr>
          <w:sz w:val="18"/>
        </w:rPr>
      </w:pPr>
      <w:r>
        <w:rPr>
          <w:sz w:val="18"/>
          <w:vertAlign w:val="superscript"/>
        </w:rPr>
        <w:t>498</w:t>
      </w:r>
      <w:r>
        <w:rPr>
          <w:spacing w:val="-4"/>
          <w:sz w:val="18"/>
        </w:rPr>
        <w:t xml:space="preserve"> </w:t>
      </w:r>
      <w:r>
        <w:rPr>
          <w:sz w:val="18"/>
        </w:rPr>
        <w:t>Swan</w:t>
      </w:r>
      <w:r>
        <w:rPr>
          <w:spacing w:val="-4"/>
          <w:sz w:val="18"/>
        </w:rPr>
        <w:t xml:space="preserve"> </w:t>
      </w:r>
      <w:r>
        <w:rPr>
          <w:sz w:val="18"/>
        </w:rPr>
        <w:t>Vintage</w:t>
      </w:r>
      <w:r>
        <w:rPr>
          <w:spacing w:val="-3"/>
          <w:sz w:val="18"/>
        </w:rPr>
        <w:t xml:space="preserve"> </w:t>
      </w:r>
      <w:r>
        <w:rPr>
          <w:sz w:val="18"/>
        </w:rPr>
        <w:t>Supplementary</w:t>
      </w:r>
      <w:r>
        <w:rPr>
          <w:spacing w:val="-3"/>
          <w:sz w:val="18"/>
        </w:rPr>
        <w:t xml:space="preserve"> </w:t>
      </w:r>
      <w:r>
        <w:rPr>
          <w:sz w:val="18"/>
        </w:rPr>
        <w:t>Questionnaire</w:t>
      </w:r>
      <w:r>
        <w:rPr>
          <w:spacing w:val="-5"/>
          <w:sz w:val="18"/>
        </w:rPr>
        <w:t xml:space="preserve"> </w:t>
      </w:r>
      <w:r>
        <w:rPr>
          <w:sz w:val="18"/>
        </w:rPr>
        <w:t>Response</w:t>
      </w:r>
      <w:r>
        <w:rPr>
          <w:spacing w:val="-5"/>
          <w:sz w:val="18"/>
        </w:rPr>
        <w:t xml:space="preserve"> </w:t>
      </w:r>
      <w:r>
        <w:rPr>
          <w:sz w:val="18"/>
        </w:rPr>
        <w:t>(Exhibit</w:t>
      </w:r>
      <w:r>
        <w:rPr>
          <w:spacing w:val="-4"/>
          <w:sz w:val="18"/>
        </w:rPr>
        <w:t xml:space="preserve"> </w:t>
      </w:r>
      <w:r>
        <w:rPr>
          <w:sz w:val="18"/>
        </w:rPr>
        <w:t>AUS‐41),</w:t>
      </w:r>
      <w:r>
        <w:rPr>
          <w:spacing w:val="-5"/>
          <w:sz w:val="18"/>
        </w:rPr>
        <w:t xml:space="preserve"> </w:t>
      </w:r>
      <w:r>
        <w:rPr>
          <w:sz w:val="18"/>
        </w:rPr>
        <w:t>p.</w:t>
      </w:r>
      <w:r>
        <w:rPr>
          <w:spacing w:val="-4"/>
          <w:sz w:val="18"/>
        </w:rPr>
        <w:t xml:space="preserve"> </w:t>
      </w:r>
      <w:r>
        <w:rPr>
          <w:sz w:val="18"/>
        </w:rPr>
        <w:t xml:space="preserve">3. </w:t>
      </w:r>
      <w:r>
        <w:rPr>
          <w:sz w:val="18"/>
          <w:vertAlign w:val="superscript"/>
        </w:rPr>
        <w:t>499</w:t>
      </w:r>
      <w:r>
        <w:rPr>
          <w:spacing w:val="-4"/>
          <w:sz w:val="18"/>
        </w:rPr>
        <w:t xml:space="preserve"> </w:t>
      </w:r>
      <w:r>
        <w:rPr>
          <w:sz w:val="18"/>
        </w:rPr>
        <w:t>Swan</w:t>
      </w:r>
      <w:r>
        <w:rPr>
          <w:spacing w:val="-4"/>
          <w:sz w:val="18"/>
        </w:rPr>
        <w:t xml:space="preserve"> </w:t>
      </w:r>
      <w:r>
        <w:rPr>
          <w:sz w:val="18"/>
        </w:rPr>
        <w:t>Vintage</w:t>
      </w:r>
      <w:r>
        <w:rPr>
          <w:spacing w:val="-3"/>
          <w:sz w:val="18"/>
        </w:rPr>
        <w:t xml:space="preserve"> </w:t>
      </w:r>
      <w:r>
        <w:rPr>
          <w:sz w:val="18"/>
        </w:rPr>
        <w:t>Supplementary</w:t>
      </w:r>
      <w:r>
        <w:rPr>
          <w:spacing w:val="-3"/>
          <w:sz w:val="18"/>
        </w:rPr>
        <w:t xml:space="preserve"> </w:t>
      </w:r>
      <w:r>
        <w:rPr>
          <w:sz w:val="18"/>
        </w:rPr>
        <w:t>Questionnaire</w:t>
      </w:r>
      <w:r>
        <w:rPr>
          <w:spacing w:val="-5"/>
          <w:sz w:val="18"/>
        </w:rPr>
        <w:t xml:space="preserve"> </w:t>
      </w:r>
      <w:r>
        <w:rPr>
          <w:sz w:val="18"/>
        </w:rPr>
        <w:t>Response</w:t>
      </w:r>
      <w:r>
        <w:rPr>
          <w:spacing w:val="-5"/>
          <w:sz w:val="18"/>
        </w:rPr>
        <w:t xml:space="preserve"> </w:t>
      </w:r>
      <w:r>
        <w:rPr>
          <w:sz w:val="18"/>
        </w:rPr>
        <w:t>(Exhibit</w:t>
      </w:r>
      <w:r>
        <w:rPr>
          <w:spacing w:val="-4"/>
          <w:sz w:val="18"/>
        </w:rPr>
        <w:t xml:space="preserve"> </w:t>
      </w:r>
      <w:r>
        <w:rPr>
          <w:sz w:val="18"/>
        </w:rPr>
        <w:t>AUS‐41),</w:t>
      </w:r>
      <w:r>
        <w:rPr>
          <w:spacing w:val="-5"/>
          <w:sz w:val="18"/>
        </w:rPr>
        <w:t xml:space="preserve"> </w:t>
      </w:r>
      <w:r>
        <w:rPr>
          <w:sz w:val="18"/>
        </w:rPr>
        <w:t>p.</w:t>
      </w:r>
      <w:r>
        <w:rPr>
          <w:spacing w:val="-4"/>
          <w:sz w:val="18"/>
        </w:rPr>
        <w:t xml:space="preserve"> </w:t>
      </w:r>
      <w:r>
        <w:rPr>
          <w:sz w:val="18"/>
        </w:rPr>
        <w:t xml:space="preserve">3. </w:t>
      </w:r>
      <w:r>
        <w:rPr>
          <w:sz w:val="18"/>
          <w:vertAlign w:val="superscript"/>
        </w:rPr>
        <w:t>500</w:t>
      </w:r>
      <w:r>
        <w:rPr>
          <w:sz w:val="18"/>
        </w:rPr>
        <w:t xml:space="preserve"> See Panel Report, </w:t>
      </w:r>
      <w:r>
        <w:rPr>
          <w:i/>
          <w:sz w:val="18"/>
        </w:rPr>
        <w:t>US – Steel Plate</w:t>
      </w:r>
      <w:r>
        <w:rPr>
          <w:sz w:val="18"/>
        </w:rPr>
        <w:t>, para. 7.65.</w:t>
      </w:r>
    </w:p>
    <w:p w14:paraId="51DE8ACC" w14:textId="77777777" w:rsidR="0010369C" w:rsidRDefault="0010369C">
      <w:pPr>
        <w:jc w:val="both"/>
        <w:rPr>
          <w:sz w:val="18"/>
        </w:rPr>
        <w:sectPr w:rsidR="0010369C">
          <w:pgSz w:w="11910" w:h="16840"/>
          <w:pgMar w:top="880" w:right="800" w:bottom="1340" w:left="1180" w:header="569" w:footer="1143" w:gutter="0"/>
          <w:cols w:space="720"/>
        </w:sectPr>
      </w:pPr>
    </w:p>
    <w:p w14:paraId="51DE8ACD" w14:textId="77777777" w:rsidR="0010369C" w:rsidRDefault="008E43AE">
      <w:pPr>
        <w:tabs>
          <w:tab w:val="left" w:pos="6426"/>
        </w:tabs>
        <w:ind w:left="238"/>
        <w:rPr>
          <w:sz w:val="20"/>
        </w:rPr>
      </w:pPr>
      <w:r>
        <w:rPr>
          <w:i/>
          <w:sz w:val="20"/>
        </w:rPr>
        <w:lastRenderedPageBreak/>
        <w:t>China</w:t>
      </w:r>
      <w:r>
        <w:rPr>
          <w:i/>
          <w:spacing w:val="-5"/>
          <w:sz w:val="20"/>
        </w:rPr>
        <w:t xml:space="preserve"> </w:t>
      </w:r>
      <w:r>
        <w:rPr>
          <w:i/>
          <w:sz w:val="20"/>
        </w:rPr>
        <w:t>–</w:t>
      </w:r>
      <w:r>
        <w:rPr>
          <w:i/>
          <w:spacing w:val="-5"/>
          <w:sz w:val="20"/>
        </w:rPr>
        <w:t xml:space="preserve"> </w:t>
      </w:r>
      <w:r>
        <w:rPr>
          <w:i/>
          <w:sz w:val="20"/>
        </w:rPr>
        <w:t>Anti‐Dumping</w:t>
      </w:r>
      <w:r>
        <w:rPr>
          <w:i/>
          <w:spacing w:val="-4"/>
          <w:sz w:val="20"/>
        </w:rPr>
        <w:t xml:space="preserve"> </w:t>
      </w:r>
      <w:r>
        <w:rPr>
          <w:i/>
          <w:sz w:val="20"/>
        </w:rPr>
        <w:t>and</w:t>
      </w:r>
      <w:r>
        <w:rPr>
          <w:i/>
          <w:spacing w:val="-5"/>
          <w:sz w:val="20"/>
        </w:rPr>
        <w:t xml:space="preserve"> </w:t>
      </w:r>
      <w:r>
        <w:rPr>
          <w:i/>
          <w:sz w:val="20"/>
        </w:rPr>
        <w:t>Countervailing</w:t>
      </w:r>
      <w:r>
        <w:rPr>
          <w:i/>
          <w:spacing w:val="-5"/>
          <w:sz w:val="20"/>
        </w:rPr>
        <w:t xml:space="preserve"> </w:t>
      </w:r>
      <w:r>
        <w:rPr>
          <w:i/>
          <w:sz w:val="20"/>
        </w:rPr>
        <w:t>Duty</w:t>
      </w:r>
      <w:r>
        <w:rPr>
          <w:i/>
          <w:spacing w:val="-4"/>
          <w:sz w:val="20"/>
        </w:rPr>
        <w:t xml:space="preserve"> </w:t>
      </w:r>
      <w:r>
        <w:rPr>
          <w:i/>
          <w:spacing w:val="-2"/>
          <w:sz w:val="20"/>
        </w:rPr>
        <w:t>Measures</w:t>
      </w:r>
      <w:r>
        <w:rPr>
          <w:i/>
          <w:sz w:val="20"/>
        </w:rPr>
        <w:tab/>
      </w:r>
      <w:r>
        <w:rPr>
          <w:sz w:val="20"/>
        </w:rPr>
        <w:t>Australia's</w:t>
      </w:r>
      <w:r>
        <w:rPr>
          <w:spacing w:val="-7"/>
          <w:sz w:val="20"/>
        </w:rPr>
        <w:t xml:space="preserve"> </w:t>
      </w:r>
      <w:r>
        <w:rPr>
          <w:sz w:val="20"/>
        </w:rPr>
        <w:t>First</w:t>
      </w:r>
      <w:r>
        <w:rPr>
          <w:spacing w:val="-2"/>
          <w:sz w:val="20"/>
        </w:rPr>
        <w:t xml:space="preserve"> </w:t>
      </w:r>
      <w:r>
        <w:rPr>
          <w:sz w:val="20"/>
        </w:rPr>
        <w:t>Written</w:t>
      </w:r>
      <w:r>
        <w:rPr>
          <w:spacing w:val="-2"/>
          <w:sz w:val="20"/>
        </w:rPr>
        <w:t xml:space="preserve"> Submission</w:t>
      </w:r>
    </w:p>
    <w:p w14:paraId="51DE8ACE" w14:textId="77777777" w:rsidR="0010369C" w:rsidRDefault="008E43AE">
      <w:pPr>
        <w:tabs>
          <w:tab w:val="left" w:pos="8228"/>
        </w:tabs>
        <w:spacing w:before="1"/>
        <w:ind w:left="239"/>
        <w:rPr>
          <w:sz w:val="20"/>
        </w:rPr>
      </w:pPr>
      <w:r>
        <w:rPr>
          <w:i/>
          <w:sz w:val="20"/>
        </w:rPr>
        <w:t>on</w:t>
      </w:r>
      <w:r>
        <w:rPr>
          <w:i/>
          <w:spacing w:val="-1"/>
          <w:sz w:val="20"/>
        </w:rPr>
        <w:t xml:space="preserve"> </w:t>
      </w:r>
      <w:r>
        <w:rPr>
          <w:i/>
          <w:sz w:val="20"/>
        </w:rPr>
        <w:t>Wine</w:t>
      </w:r>
      <w:r>
        <w:rPr>
          <w:i/>
          <w:spacing w:val="-1"/>
          <w:sz w:val="20"/>
        </w:rPr>
        <w:t xml:space="preserve"> </w:t>
      </w:r>
      <w:r>
        <w:rPr>
          <w:i/>
          <w:sz w:val="20"/>
        </w:rPr>
        <w:t>from</w:t>
      </w:r>
      <w:r>
        <w:rPr>
          <w:i/>
          <w:spacing w:val="-3"/>
          <w:sz w:val="20"/>
        </w:rPr>
        <w:t xml:space="preserve"> </w:t>
      </w:r>
      <w:r>
        <w:rPr>
          <w:i/>
          <w:sz w:val="20"/>
        </w:rPr>
        <w:t>Australia</w:t>
      </w:r>
      <w:r>
        <w:rPr>
          <w:i/>
          <w:spacing w:val="-1"/>
          <w:sz w:val="20"/>
        </w:rPr>
        <w:t xml:space="preserve"> </w:t>
      </w:r>
      <w:r>
        <w:rPr>
          <w:spacing w:val="-2"/>
          <w:sz w:val="20"/>
        </w:rPr>
        <w:t>(DS602)</w:t>
      </w:r>
      <w:r>
        <w:rPr>
          <w:sz w:val="20"/>
        </w:rPr>
        <w:tab/>
        <w:t>29</w:t>
      </w:r>
      <w:r>
        <w:rPr>
          <w:spacing w:val="-1"/>
          <w:sz w:val="20"/>
        </w:rPr>
        <w:t xml:space="preserve"> </w:t>
      </w:r>
      <w:r>
        <w:rPr>
          <w:sz w:val="20"/>
        </w:rPr>
        <w:t>April</w:t>
      </w:r>
      <w:r>
        <w:rPr>
          <w:spacing w:val="-2"/>
          <w:sz w:val="20"/>
        </w:rPr>
        <w:t xml:space="preserve"> </w:t>
      </w:r>
      <w:r>
        <w:rPr>
          <w:spacing w:val="-4"/>
          <w:sz w:val="20"/>
        </w:rPr>
        <w:t>2022</w:t>
      </w:r>
    </w:p>
    <w:p w14:paraId="51DE8ACF" w14:textId="77777777" w:rsidR="0010369C" w:rsidRDefault="008E43AE">
      <w:pPr>
        <w:pStyle w:val="BodyText"/>
        <w:spacing w:before="34" w:line="360" w:lineRule="auto"/>
        <w:ind w:left="237" w:right="614"/>
      </w:pPr>
      <w:r>
        <w:t>appropriate medium having regard to the explanation provided by MOFCOM. An unbiased</w:t>
      </w:r>
      <w:r>
        <w:rPr>
          <w:spacing w:val="40"/>
        </w:rPr>
        <w:t xml:space="preserve"> </w:t>
      </w:r>
      <w:r>
        <w:t>and objective investigating authority could not have found otherwise.</w:t>
      </w:r>
    </w:p>
    <w:p w14:paraId="51DE8AD0" w14:textId="77777777" w:rsidR="0010369C" w:rsidRDefault="0010369C">
      <w:pPr>
        <w:pStyle w:val="BodyText"/>
        <w:spacing w:before="10"/>
        <w:rPr>
          <w:sz w:val="8"/>
        </w:rPr>
      </w:pPr>
    </w:p>
    <w:p w14:paraId="51DE8AD1" w14:textId="77777777" w:rsidR="0010369C" w:rsidRDefault="008E43AE">
      <w:pPr>
        <w:pStyle w:val="BodyText"/>
        <w:spacing w:before="52" w:line="360" w:lineRule="auto"/>
        <w:ind w:left="237" w:right="611" w:firstLine="852"/>
        <w:jc w:val="both"/>
      </w:pPr>
      <w:r>
        <w:rPr>
          <w:noProof/>
        </w:rPr>
        <w:drawing>
          <wp:anchor distT="0" distB="0" distL="0" distR="0" simplePos="0" relativeHeight="251094528" behindDoc="1" locked="0" layoutInCell="1" allowOverlap="1" wp14:anchorId="51DEA34C" wp14:editId="51DEA34D">
            <wp:simplePos x="0" y="0"/>
            <wp:positionH relativeFrom="page">
              <wp:posOffset>899160</wp:posOffset>
            </wp:positionH>
            <wp:positionV relativeFrom="paragraph">
              <wp:posOffset>82711</wp:posOffset>
            </wp:positionV>
            <wp:extent cx="265175" cy="100753"/>
            <wp:effectExtent l="0" t="0" r="0" b="0"/>
            <wp:wrapNone/>
            <wp:docPr id="907" name="image4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 name="image464.png"/>
                    <pic:cNvPicPr/>
                  </pic:nvPicPr>
                  <pic:blipFill>
                    <a:blip r:embed="rId608" cstate="print"/>
                    <a:stretch>
                      <a:fillRect/>
                    </a:stretch>
                  </pic:blipFill>
                  <pic:spPr>
                    <a:xfrm>
                      <a:off x="0" y="0"/>
                      <a:ext cx="265175" cy="100753"/>
                    </a:xfrm>
                    <a:prstGeom prst="rect">
                      <a:avLst/>
                    </a:prstGeom>
                  </pic:spPr>
                </pic:pic>
              </a:graphicData>
            </a:graphic>
          </wp:anchor>
        </w:drawing>
      </w:r>
      <w:r>
        <w:t>Given the comprehensive explanations provided by Swan Vintage, MOFCOM should have found that Swan Vintage had acted to the best of its ability. MOFCOM was not entitled to insist the information</w:t>
      </w:r>
      <w:r>
        <w:rPr>
          <w:spacing w:val="-1"/>
        </w:rPr>
        <w:t xml:space="preserve"> </w:t>
      </w:r>
      <w:r>
        <w:t>be provided</w:t>
      </w:r>
      <w:r>
        <w:rPr>
          <w:spacing w:val="-1"/>
        </w:rPr>
        <w:t xml:space="preserve"> </w:t>
      </w:r>
      <w:r>
        <w:t>by the OEMs</w:t>
      </w:r>
      <w:r>
        <w:rPr>
          <w:spacing w:val="-1"/>
        </w:rPr>
        <w:t xml:space="preserve"> </w:t>
      </w:r>
      <w:r>
        <w:t>in circumstances</w:t>
      </w:r>
      <w:r>
        <w:rPr>
          <w:spacing w:val="-1"/>
        </w:rPr>
        <w:t xml:space="preserve"> </w:t>
      </w:r>
      <w:r>
        <w:t>where Swan Vintage ha</w:t>
      </w:r>
      <w:r>
        <w:t>d clearly articulated the unreasonableness of that requirement in light of the uncooperative nature of the OEMs in question, and the fact that those companies did not want to disclose confidential information as part of the investigation.</w:t>
      </w:r>
    </w:p>
    <w:p w14:paraId="51DE8AD2" w14:textId="77777777" w:rsidR="0010369C" w:rsidRDefault="0010369C">
      <w:pPr>
        <w:pStyle w:val="BodyText"/>
        <w:spacing w:before="11"/>
        <w:rPr>
          <w:sz w:val="8"/>
        </w:rPr>
      </w:pPr>
    </w:p>
    <w:p w14:paraId="51DE8AD3" w14:textId="77777777" w:rsidR="0010369C" w:rsidRDefault="008E43AE">
      <w:pPr>
        <w:pStyle w:val="BodyText"/>
        <w:spacing w:before="52" w:line="360" w:lineRule="auto"/>
        <w:ind w:left="236" w:right="613" w:firstLine="852"/>
        <w:jc w:val="both"/>
      </w:pPr>
      <w:r>
        <w:rPr>
          <w:noProof/>
        </w:rPr>
        <w:drawing>
          <wp:anchor distT="0" distB="0" distL="0" distR="0" simplePos="0" relativeHeight="251095552" behindDoc="1" locked="0" layoutInCell="1" allowOverlap="1" wp14:anchorId="51DEA34E" wp14:editId="51DEA34F">
            <wp:simplePos x="0" y="0"/>
            <wp:positionH relativeFrom="page">
              <wp:posOffset>899160</wp:posOffset>
            </wp:positionH>
            <wp:positionV relativeFrom="paragraph">
              <wp:posOffset>80595</wp:posOffset>
            </wp:positionV>
            <wp:extent cx="265175" cy="103631"/>
            <wp:effectExtent l="0" t="0" r="0" b="0"/>
            <wp:wrapNone/>
            <wp:docPr id="909" name="image4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 name="image465.png"/>
                    <pic:cNvPicPr/>
                  </pic:nvPicPr>
                  <pic:blipFill>
                    <a:blip r:embed="rId609" cstate="print"/>
                    <a:stretch>
                      <a:fillRect/>
                    </a:stretch>
                  </pic:blipFill>
                  <pic:spPr>
                    <a:xfrm>
                      <a:off x="0" y="0"/>
                      <a:ext cx="265175" cy="103631"/>
                    </a:xfrm>
                    <a:prstGeom prst="rect">
                      <a:avLst/>
                    </a:prstGeom>
                  </pic:spPr>
                </pic:pic>
              </a:graphicData>
            </a:graphic>
          </wp:anchor>
        </w:drawing>
      </w:r>
      <w:r>
        <w:t>Further,</w:t>
      </w:r>
      <w:r>
        <w:rPr>
          <w:spacing w:val="-9"/>
        </w:rPr>
        <w:t xml:space="preserve"> </w:t>
      </w:r>
      <w:r>
        <w:t>MOFCOM</w:t>
      </w:r>
      <w:r>
        <w:rPr>
          <w:spacing w:val="-9"/>
        </w:rPr>
        <w:t xml:space="preserve"> </w:t>
      </w:r>
      <w:r>
        <w:t>failed</w:t>
      </w:r>
      <w:r>
        <w:rPr>
          <w:spacing w:val="-11"/>
        </w:rPr>
        <w:t xml:space="preserve"> </w:t>
      </w:r>
      <w:r>
        <w:t>to</w:t>
      </w:r>
      <w:r>
        <w:rPr>
          <w:spacing w:val="-9"/>
        </w:rPr>
        <w:t xml:space="preserve"> </w:t>
      </w:r>
      <w:r>
        <w:t>inform</w:t>
      </w:r>
      <w:r>
        <w:rPr>
          <w:spacing w:val="-8"/>
        </w:rPr>
        <w:t xml:space="preserve"> </w:t>
      </w:r>
      <w:r>
        <w:t>Swan</w:t>
      </w:r>
      <w:r>
        <w:rPr>
          <w:spacing w:val="-9"/>
        </w:rPr>
        <w:t xml:space="preserve"> </w:t>
      </w:r>
      <w:r>
        <w:t>Vintage</w:t>
      </w:r>
      <w:r>
        <w:rPr>
          <w:spacing w:val="-10"/>
        </w:rPr>
        <w:t xml:space="preserve"> </w:t>
      </w:r>
      <w:r>
        <w:t>of</w:t>
      </w:r>
      <w:r>
        <w:rPr>
          <w:spacing w:val="-10"/>
        </w:rPr>
        <w:t xml:space="preserve"> </w:t>
      </w:r>
      <w:r>
        <w:t>the</w:t>
      </w:r>
      <w:r>
        <w:rPr>
          <w:spacing w:val="-9"/>
        </w:rPr>
        <w:t xml:space="preserve"> </w:t>
      </w:r>
      <w:r>
        <w:t>reasons</w:t>
      </w:r>
      <w:r>
        <w:rPr>
          <w:spacing w:val="-10"/>
        </w:rPr>
        <w:t xml:space="preserve"> </w:t>
      </w:r>
      <w:r>
        <w:t>for</w:t>
      </w:r>
      <w:r>
        <w:rPr>
          <w:spacing w:val="-9"/>
        </w:rPr>
        <w:t xml:space="preserve"> </w:t>
      </w:r>
      <w:r>
        <w:t>not</w:t>
      </w:r>
      <w:r>
        <w:rPr>
          <w:spacing w:val="-9"/>
        </w:rPr>
        <w:t xml:space="preserve"> </w:t>
      </w:r>
      <w:r>
        <w:t>accepting</w:t>
      </w:r>
      <w:r>
        <w:rPr>
          <w:spacing w:val="-10"/>
        </w:rPr>
        <w:t xml:space="preserve"> </w:t>
      </w:r>
      <w:r>
        <w:t>the information submitted in Swan Vintage's response to Supplementary Questionnaire, and did not provide an opportunity for the company to provide further explanations and did not provide reas</w:t>
      </w:r>
      <w:r>
        <w:t>ons for the rejection of information, as required by paragraph 6 of Annex II. MOFCOM</w:t>
      </w:r>
      <w:r>
        <w:rPr>
          <w:spacing w:val="-14"/>
        </w:rPr>
        <w:t xml:space="preserve"> </w:t>
      </w:r>
      <w:r>
        <w:t>merely</w:t>
      </w:r>
      <w:r>
        <w:rPr>
          <w:spacing w:val="-14"/>
        </w:rPr>
        <w:t xml:space="preserve"> </w:t>
      </w:r>
      <w:r>
        <w:t>argued</w:t>
      </w:r>
      <w:r>
        <w:rPr>
          <w:spacing w:val="-13"/>
        </w:rPr>
        <w:t xml:space="preserve"> </w:t>
      </w:r>
      <w:r>
        <w:t>that</w:t>
      </w:r>
      <w:r>
        <w:rPr>
          <w:spacing w:val="-14"/>
        </w:rPr>
        <w:t xml:space="preserve"> </w:t>
      </w:r>
      <w:r>
        <w:t>the</w:t>
      </w:r>
      <w:r>
        <w:rPr>
          <w:spacing w:val="-13"/>
        </w:rPr>
        <w:t xml:space="preserve"> </w:t>
      </w:r>
      <w:r>
        <w:t>company</w:t>
      </w:r>
      <w:r>
        <w:rPr>
          <w:spacing w:val="-14"/>
        </w:rPr>
        <w:t xml:space="preserve"> </w:t>
      </w:r>
      <w:r>
        <w:t>had</w:t>
      </w:r>
      <w:r>
        <w:rPr>
          <w:spacing w:val="-13"/>
        </w:rPr>
        <w:t xml:space="preserve"> </w:t>
      </w:r>
      <w:r>
        <w:t>"just</w:t>
      </w:r>
      <w:r>
        <w:rPr>
          <w:spacing w:val="-14"/>
        </w:rPr>
        <w:t xml:space="preserve"> </w:t>
      </w:r>
      <w:r>
        <w:t>reported</w:t>
      </w:r>
      <w:r>
        <w:rPr>
          <w:spacing w:val="-14"/>
        </w:rPr>
        <w:t xml:space="preserve"> </w:t>
      </w:r>
      <w:r>
        <w:t>overall</w:t>
      </w:r>
      <w:r>
        <w:rPr>
          <w:spacing w:val="-13"/>
        </w:rPr>
        <w:t xml:space="preserve"> </w:t>
      </w:r>
      <w:r>
        <w:t>data</w:t>
      </w:r>
      <w:r>
        <w:rPr>
          <w:spacing w:val="-14"/>
        </w:rPr>
        <w:t xml:space="preserve"> </w:t>
      </w:r>
      <w:r>
        <w:t>and</w:t>
      </w:r>
      <w:r>
        <w:rPr>
          <w:spacing w:val="-13"/>
        </w:rPr>
        <w:t xml:space="preserve"> </w:t>
      </w:r>
      <w:r>
        <w:t>did</w:t>
      </w:r>
      <w:r>
        <w:rPr>
          <w:spacing w:val="-14"/>
        </w:rPr>
        <w:t xml:space="preserve"> </w:t>
      </w:r>
      <w:r>
        <w:t>not</w:t>
      </w:r>
      <w:r>
        <w:rPr>
          <w:spacing w:val="-13"/>
        </w:rPr>
        <w:t xml:space="preserve"> </w:t>
      </w:r>
      <w:r>
        <w:t>provide detailed costs in accordance with the requirements of the questionnaire".</w:t>
      </w:r>
      <w:r>
        <w:rPr>
          <w:vertAlign w:val="superscript"/>
        </w:rPr>
        <w:t>501</w:t>
      </w:r>
      <w:r>
        <w:t xml:space="preserve"> MOFCOM prov</w:t>
      </w:r>
      <w:r>
        <w:t>ided</w:t>
      </w:r>
      <w:r>
        <w:rPr>
          <w:spacing w:val="-12"/>
        </w:rPr>
        <w:t xml:space="preserve"> </w:t>
      </w:r>
      <w:r>
        <w:t>no</w:t>
      </w:r>
      <w:r>
        <w:rPr>
          <w:spacing w:val="-11"/>
        </w:rPr>
        <w:t xml:space="preserve"> </w:t>
      </w:r>
      <w:r>
        <w:t>indication</w:t>
      </w:r>
      <w:r>
        <w:rPr>
          <w:spacing w:val="-12"/>
        </w:rPr>
        <w:t xml:space="preserve"> </w:t>
      </w:r>
      <w:r>
        <w:t>of</w:t>
      </w:r>
      <w:r>
        <w:rPr>
          <w:spacing w:val="-13"/>
        </w:rPr>
        <w:t xml:space="preserve"> </w:t>
      </w:r>
      <w:r>
        <w:t>whether</w:t>
      </w:r>
      <w:r>
        <w:rPr>
          <w:spacing w:val="-12"/>
        </w:rPr>
        <w:t xml:space="preserve"> </w:t>
      </w:r>
      <w:r>
        <w:t>Swan</w:t>
      </w:r>
      <w:r>
        <w:rPr>
          <w:spacing w:val="-12"/>
        </w:rPr>
        <w:t xml:space="preserve"> </w:t>
      </w:r>
      <w:r>
        <w:t>Vintage's</w:t>
      </w:r>
      <w:r>
        <w:rPr>
          <w:spacing w:val="-12"/>
        </w:rPr>
        <w:t xml:space="preserve"> </w:t>
      </w:r>
      <w:r>
        <w:t>Supplementary</w:t>
      </w:r>
      <w:r>
        <w:rPr>
          <w:spacing w:val="-10"/>
        </w:rPr>
        <w:t xml:space="preserve"> </w:t>
      </w:r>
      <w:r>
        <w:t>Questionnaire</w:t>
      </w:r>
      <w:r>
        <w:rPr>
          <w:spacing w:val="-12"/>
        </w:rPr>
        <w:t xml:space="preserve"> </w:t>
      </w:r>
      <w:r>
        <w:t>had</w:t>
      </w:r>
      <w:r>
        <w:rPr>
          <w:spacing w:val="-12"/>
        </w:rPr>
        <w:t xml:space="preserve"> </w:t>
      </w:r>
      <w:r>
        <w:t>resolved the alleged inconsistency between its data and that of Growers Wine, and if it had not, provided an opportunity for Swan Vintage to provide further information.</w:t>
      </w:r>
    </w:p>
    <w:p w14:paraId="51DE8AD4" w14:textId="77777777" w:rsidR="0010369C" w:rsidRDefault="0010369C">
      <w:pPr>
        <w:pStyle w:val="BodyText"/>
        <w:spacing w:before="10"/>
        <w:rPr>
          <w:sz w:val="8"/>
        </w:rPr>
      </w:pPr>
    </w:p>
    <w:p w14:paraId="51DE8AD5" w14:textId="77777777" w:rsidR="0010369C" w:rsidRDefault="008E43AE">
      <w:pPr>
        <w:pStyle w:val="BodyText"/>
        <w:spacing w:before="52" w:line="360" w:lineRule="auto"/>
        <w:ind w:left="235" w:right="613" w:firstLine="853"/>
        <w:jc w:val="both"/>
      </w:pPr>
      <w:r>
        <w:rPr>
          <w:noProof/>
        </w:rPr>
        <w:drawing>
          <wp:anchor distT="0" distB="0" distL="0" distR="0" simplePos="0" relativeHeight="251096576" behindDoc="1" locked="0" layoutInCell="1" allowOverlap="1" wp14:anchorId="51DEA350" wp14:editId="51DEA351">
            <wp:simplePos x="0" y="0"/>
            <wp:positionH relativeFrom="page">
              <wp:posOffset>899160</wp:posOffset>
            </wp:positionH>
            <wp:positionV relativeFrom="paragraph">
              <wp:posOffset>82711</wp:posOffset>
            </wp:positionV>
            <wp:extent cx="265175" cy="100753"/>
            <wp:effectExtent l="0" t="0" r="0" b="0"/>
            <wp:wrapNone/>
            <wp:docPr id="911" name="image4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 name="image466.png"/>
                    <pic:cNvPicPr/>
                  </pic:nvPicPr>
                  <pic:blipFill>
                    <a:blip r:embed="rId610" cstate="print"/>
                    <a:stretch>
                      <a:fillRect/>
                    </a:stretch>
                  </pic:blipFill>
                  <pic:spPr>
                    <a:xfrm>
                      <a:off x="0" y="0"/>
                      <a:ext cx="265175" cy="100753"/>
                    </a:xfrm>
                    <a:prstGeom prst="rect">
                      <a:avLst/>
                    </a:prstGeom>
                  </pic:spPr>
                </pic:pic>
              </a:graphicData>
            </a:graphic>
          </wp:anchor>
        </w:drawing>
      </w:r>
      <w:r>
        <w:t>In particular, Australia submits that MOFCOM failed to take into account the responses provided by Swan Vintage in its totality. MOFCOM's Final Determination repeated almost</w:t>
      </w:r>
      <w:r>
        <w:rPr>
          <w:spacing w:val="-5"/>
        </w:rPr>
        <w:t xml:space="preserve"> </w:t>
      </w:r>
      <w:r>
        <w:t>verbatim</w:t>
      </w:r>
      <w:r>
        <w:rPr>
          <w:spacing w:val="-5"/>
        </w:rPr>
        <w:t xml:space="preserve"> </w:t>
      </w:r>
      <w:r>
        <w:t>the</w:t>
      </w:r>
      <w:r>
        <w:rPr>
          <w:spacing w:val="-5"/>
        </w:rPr>
        <w:t xml:space="preserve"> </w:t>
      </w:r>
      <w:r>
        <w:t>complaints</w:t>
      </w:r>
      <w:r>
        <w:rPr>
          <w:spacing w:val="-5"/>
        </w:rPr>
        <w:t xml:space="preserve"> </w:t>
      </w:r>
      <w:r>
        <w:t>made</w:t>
      </w:r>
      <w:r>
        <w:rPr>
          <w:spacing w:val="-4"/>
        </w:rPr>
        <w:t xml:space="preserve"> </w:t>
      </w:r>
      <w:r>
        <w:t>in</w:t>
      </w:r>
      <w:r>
        <w:rPr>
          <w:spacing w:val="-5"/>
        </w:rPr>
        <w:t xml:space="preserve"> </w:t>
      </w:r>
      <w:r>
        <w:t>the</w:t>
      </w:r>
      <w:r>
        <w:rPr>
          <w:spacing w:val="-4"/>
        </w:rPr>
        <w:t xml:space="preserve"> </w:t>
      </w:r>
      <w:r>
        <w:t>Preliminary</w:t>
      </w:r>
      <w:r>
        <w:rPr>
          <w:spacing w:val="-5"/>
        </w:rPr>
        <w:t xml:space="preserve"> </w:t>
      </w:r>
      <w:r>
        <w:t>Determination</w:t>
      </w:r>
      <w:r>
        <w:rPr>
          <w:spacing w:val="-5"/>
        </w:rPr>
        <w:t xml:space="preserve"> </w:t>
      </w:r>
      <w:r>
        <w:t>and</w:t>
      </w:r>
      <w:r>
        <w:rPr>
          <w:spacing w:val="-5"/>
        </w:rPr>
        <w:t xml:space="preserve"> </w:t>
      </w:r>
      <w:r>
        <w:t>the</w:t>
      </w:r>
      <w:r>
        <w:rPr>
          <w:spacing w:val="-4"/>
        </w:rPr>
        <w:t xml:space="preserve"> </w:t>
      </w:r>
      <w:r>
        <w:t>Disclosure</w:t>
      </w:r>
      <w:r>
        <w:rPr>
          <w:spacing w:val="-5"/>
        </w:rPr>
        <w:t xml:space="preserve"> </w:t>
      </w:r>
      <w:r>
        <w:t>o</w:t>
      </w:r>
      <w:r>
        <w:t>f Basic Facts, notwithstanding that Swan Vintage had provided detailed responses on those issues in the intervening period. For example, in relation to the fees paid to bottling and service companies, Swan Vintage explained in both its response to the Supp</w:t>
      </w:r>
      <w:r>
        <w:t>lementary Questionnaire and Preliminary Determination that it was unable to direct independent companies to provide confidential data, although Swan Vintage had made best efforts to solicit the information.</w:t>
      </w:r>
      <w:r>
        <w:rPr>
          <w:vertAlign w:val="superscript"/>
        </w:rPr>
        <w:t>502</w:t>
      </w:r>
      <w:r>
        <w:t xml:space="preserve"> MOFCOM engaged no further on this issue with t</w:t>
      </w:r>
      <w:r>
        <w:t>he company, before</w:t>
      </w:r>
      <w:r>
        <w:rPr>
          <w:spacing w:val="24"/>
        </w:rPr>
        <w:t xml:space="preserve"> </w:t>
      </w:r>
      <w:r>
        <w:t>restating</w:t>
      </w:r>
      <w:r>
        <w:rPr>
          <w:spacing w:val="22"/>
        </w:rPr>
        <w:t xml:space="preserve"> </w:t>
      </w:r>
      <w:r>
        <w:t>the</w:t>
      </w:r>
      <w:r>
        <w:rPr>
          <w:spacing w:val="23"/>
        </w:rPr>
        <w:t xml:space="preserve"> </w:t>
      </w:r>
      <w:r>
        <w:t>same</w:t>
      </w:r>
      <w:r>
        <w:rPr>
          <w:spacing w:val="24"/>
        </w:rPr>
        <w:t xml:space="preserve"> </w:t>
      </w:r>
      <w:r>
        <w:t>allegations</w:t>
      </w:r>
      <w:r>
        <w:rPr>
          <w:spacing w:val="22"/>
        </w:rPr>
        <w:t xml:space="preserve"> </w:t>
      </w:r>
      <w:r>
        <w:t>made</w:t>
      </w:r>
      <w:r>
        <w:rPr>
          <w:spacing w:val="23"/>
        </w:rPr>
        <w:t xml:space="preserve"> </w:t>
      </w:r>
      <w:r>
        <w:t>in</w:t>
      </w:r>
      <w:r>
        <w:rPr>
          <w:spacing w:val="23"/>
        </w:rPr>
        <w:t xml:space="preserve"> </w:t>
      </w:r>
      <w:r>
        <w:t>the</w:t>
      </w:r>
      <w:r>
        <w:rPr>
          <w:spacing w:val="23"/>
        </w:rPr>
        <w:t xml:space="preserve"> </w:t>
      </w:r>
      <w:r>
        <w:t>Preliminary</w:t>
      </w:r>
      <w:r>
        <w:rPr>
          <w:spacing w:val="22"/>
        </w:rPr>
        <w:t xml:space="preserve"> </w:t>
      </w:r>
      <w:r>
        <w:t>Determination,</w:t>
      </w:r>
      <w:r>
        <w:rPr>
          <w:spacing w:val="22"/>
        </w:rPr>
        <w:t xml:space="preserve"> </w:t>
      </w:r>
      <w:r>
        <w:t>in</w:t>
      </w:r>
      <w:r>
        <w:rPr>
          <w:spacing w:val="22"/>
        </w:rPr>
        <w:t xml:space="preserve"> </w:t>
      </w:r>
      <w:r>
        <w:t>the</w:t>
      </w:r>
      <w:r>
        <w:rPr>
          <w:spacing w:val="24"/>
        </w:rPr>
        <w:t xml:space="preserve"> </w:t>
      </w:r>
      <w:r>
        <w:rPr>
          <w:spacing w:val="-2"/>
        </w:rPr>
        <w:t>Final</w:t>
      </w:r>
    </w:p>
    <w:p w14:paraId="51DE8AD6" w14:textId="77777777" w:rsidR="0010369C" w:rsidRDefault="0010369C">
      <w:pPr>
        <w:pStyle w:val="BodyText"/>
        <w:rPr>
          <w:sz w:val="20"/>
        </w:rPr>
      </w:pPr>
    </w:p>
    <w:p w14:paraId="51DE8AD7" w14:textId="77777777" w:rsidR="0010369C" w:rsidRDefault="0010369C">
      <w:pPr>
        <w:pStyle w:val="BodyText"/>
        <w:rPr>
          <w:sz w:val="20"/>
        </w:rPr>
      </w:pPr>
    </w:p>
    <w:p w14:paraId="51DE8AD8" w14:textId="77777777" w:rsidR="0010369C" w:rsidRDefault="008E43AE">
      <w:pPr>
        <w:pStyle w:val="BodyText"/>
        <w:spacing w:before="7"/>
        <w:rPr>
          <w:sz w:val="29"/>
        </w:rPr>
      </w:pPr>
      <w:r>
        <w:pict w14:anchorId="51DEA352">
          <v:rect id="docshape905" o:spid="_x0000_s1425" style="position:absolute;margin-left:70.9pt;margin-top:19.3pt;width:2in;height:.8pt;z-index:-250878464;mso-wrap-distance-left:0;mso-wrap-distance-right:0;mso-position-horizontal-relative:page" fillcolor="black" stroked="f">
            <w10:wrap type="topAndBottom" anchorx="page"/>
          </v:rect>
        </w:pict>
      </w:r>
    </w:p>
    <w:p w14:paraId="51DE8AD9" w14:textId="77777777" w:rsidR="0010369C" w:rsidRDefault="008E43AE">
      <w:pPr>
        <w:spacing w:before="109"/>
        <w:ind w:left="238"/>
        <w:rPr>
          <w:sz w:val="18"/>
        </w:rPr>
      </w:pPr>
      <w:r>
        <w:rPr>
          <w:sz w:val="18"/>
          <w:vertAlign w:val="superscript"/>
        </w:rPr>
        <w:t>501</w:t>
      </w:r>
      <w:r>
        <w:rPr>
          <w:spacing w:val="-9"/>
          <w:sz w:val="18"/>
        </w:rPr>
        <w:t xml:space="preserve"> </w:t>
      </w:r>
      <w:r>
        <w:rPr>
          <w:sz w:val="18"/>
        </w:rPr>
        <w:t>Anti‐Dumping</w:t>
      </w:r>
      <w:r>
        <w:rPr>
          <w:spacing w:val="-9"/>
          <w:sz w:val="18"/>
        </w:rPr>
        <w:t xml:space="preserve"> </w:t>
      </w:r>
      <w:r>
        <w:rPr>
          <w:sz w:val="18"/>
        </w:rPr>
        <w:t>Final</w:t>
      </w:r>
      <w:r>
        <w:rPr>
          <w:spacing w:val="-9"/>
          <w:sz w:val="18"/>
        </w:rPr>
        <w:t xml:space="preserve"> </w:t>
      </w:r>
      <w:r>
        <w:rPr>
          <w:sz w:val="18"/>
        </w:rPr>
        <w:t>Determination</w:t>
      </w:r>
      <w:r>
        <w:rPr>
          <w:spacing w:val="-8"/>
          <w:sz w:val="18"/>
        </w:rPr>
        <w:t xml:space="preserve"> </w:t>
      </w:r>
      <w:r>
        <w:rPr>
          <w:sz w:val="18"/>
        </w:rPr>
        <w:t>(Exhibit</w:t>
      </w:r>
      <w:r>
        <w:rPr>
          <w:spacing w:val="-9"/>
          <w:sz w:val="18"/>
        </w:rPr>
        <w:t xml:space="preserve"> </w:t>
      </w:r>
      <w:r>
        <w:rPr>
          <w:sz w:val="18"/>
        </w:rPr>
        <w:t>AUS‐2),</w:t>
      </w:r>
      <w:r>
        <w:rPr>
          <w:spacing w:val="-10"/>
          <w:sz w:val="18"/>
        </w:rPr>
        <w:t xml:space="preserve"> </w:t>
      </w:r>
      <w:r>
        <w:rPr>
          <w:sz w:val="18"/>
        </w:rPr>
        <w:t>pp.</w:t>
      </w:r>
      <w:r>
        <w:rPr>
          <w:spacing w:val="-9"/>
          <w:sz w:val="18"/>
        </w:rPr>
        <w:t xml:space="preserve"> </w:t>
      </w:r>
      <w:r>
        <w:rPr>
          <w:spacing w:val="-2"/>
          <w:sz w:val="18"/>
        </w:rPr>
        <w:t>90‐91.</w:t>
      </w:r>
    </w:p>
    <w:p w14:paraId="51DE8ADA" w14:textId="77777777" w:rsidR="0010369C" w:rsidRDefault="008E43AE">
      <w:pPr>
        <w:ind w:left="237"/>
        <w:rPr>
          <w:sz w:val="18"/>
        </w:rPr>
      </w:pPr>
      <w:r>
        <w:rPr>
          <w:sz w:val="18"/>
          <w:vertAlign w:val="superscript"/>
        </w:rPr>
        <w:t>502</w:t>
      </w:r>
      <w:r>
        <w:rPr>
          <w:spacing w:val="40"/>
          <w:sz w:val="18"/>
        </w:rPr>
        <w:t xml:space="preserve"> </w:t>
      </w:r>
      <w:r>
        <w:rPr>
          <w:sz w:val="18"/>
        </w:rPr>
        <w:t>Swan</w:t>
      </w:r>
      <w:r>
        <w:rPr>
          <w:spacing w:val="40"/>
          <w:sz w:val="18"/>
        </w:rPr>
        <w:t xml:space="preserve"> </w:t>
      </w:r>
      <w:r>
        <w:rPr>
          <w:sz w:val="18"/>
        </w:rPr>
        <w:t>Vintage</w:t>
      </w:r>
      <w:r>
        <w:rPr>
          <w:spacing w:val="40"/>
          <w:sz w:val="18"/>
        </w:rPr>
        <w:t xml:space="preserve"> </w:t>
      </w:r>
      <w:r>
        <w:rPr>
          <w:sz w:val="18"/>
        </w:rPr>
        <w:t>Comments</w:t>
      </w:r>
      <w:r>
        <w:rPr>
          <w:spacing w:val="40"/>
          <w:sz w:val="18"/>
        </w:rPr>
        <w:t xml:space="preserve"> </w:t>
      </w:r>
      <w:r>
        <w:rPr>
          <w:sz w:val="18"/>
        </w:rPr>
        <w:t>on</w:t>
      </w:r>
      <w:r>
        <w:rPr>
          <w:spacing w:val="40"/>
          <w:sz w:val="18"/>
        </w:rPr>
        <w:t xml:space="preserve"> </w:t>
      </w:r>
      <w:r>
        <w:rPr>
          <w:sz w:val="18"/>
        </w:rPr>
        <w:t>the</w:t>
      </w:r>
      <w:r>
        <w:rPr>
          <w:spacing w:val="40"/>
          <w:sz w:val="18"/>
        </w:rPr>
        <w:t xml:space="preserve"> </w:t>
      </w:r>
      <w:r>
        <w:rPr>
          <w:sz w:val="18"/>
        </w:rPr>
        <w:t>Preliminary</w:t>
      </w:r>
      <w:r>
        <w:rPr>
          <w:spacing w:val="40"/>
          <w:sz w:val="18"/>
        </w:rPr>
        <w:t xml:space="preserve"> </w:t>
      </w:r>
      <w:r>
        <w:rPr>
          <w:sz w:val="18"/>
        </w:rPr>
        <w:t>Determination</w:t>
      </w:r>
      <w:r>
        <w:rPr>
          <w:spacing w:val="40"/>
          <w:sz w:val="18"/>
        </w:rPr>
        <w:t xml:space="preserve"> </w:t>
      </w:r>
      <w:r>
        <w:rPr>
          <w:sz w:val="18"/>
        </w:rPr>
        <w:t>(Exhibit</w:t>
      </w:r>
      <w:r>
        <w:rPr>
          <w:spacing w:val="40"/>
          <w:sz w:val="18"/>
        </w:rPr>
        <w:t xml:space="preserve"> </w:t>
      </w:r>
      <w:r>
        <w:rPr>
          <w:sz w:val="18"/>
        </w:rPr>
        <w:t>AUS‐38),</w:t>
      </w:r>
      <w:r>
        <w:rPr>
          <w:spacing w:val="40"/>
          <w:sz w:val="18"/>
        </w:rPr>
        <w:t xml:space="preserve"> </w:t>
      </w:r>
      <w:r>
        <w:rPr>
          <w:sz w:val="18"/>
        </w:rPr>
        <w:t>p.</w:t>
      </w:r>
      <w:r>
        <w:rPr>
          <w:spacing w:val="40"/>
          <w:sz w:val="18"/>
        </w:rPr>
        <w:t xml:space="preserve"> </w:t>
      </w:r>
      <w:r>
        <w:rPr>
          <w:sz w:val="18"/>
        </w:rPr>
        <w:t>8;</w:t>
      </w:r>
      <w:r>
        <w:rPr>
          <w:spacing w:val="40"/>
          <w:sz w:val="18"/>
        </w:rPr>
        <w:t xml:space="preserve"> </w:t>
      </w:r>
      <w:r>
        <w:rPr>
          <w:sz w:val="18"/>
        </w:rPr>
        <w:t>Swan</w:t>
      </w:r>
      <w:r>
        <w:rPr>
          <w:spacing w:val="40"/>
          <w:sz w:val="18"/>
        </w:rPr>
        <w:t xml:space="preserve"> </w:t>
      </w:r>
      <w:r>
        <w:rPr>
          <w:sz w:val="18"/>
        </w:rPr>
        <w:t>Vintage</w:t>
      </w:r>
      <w:r>
        <w:rPr>
          <w:spacing w:val="40"/>
          <w:sz w:val="18"/>
        </w:rPr>
        <w:t xml:space="preserve"> </w:t>
      </w:r>
      <w:r>
        <w:rPr>
          <w:sz w:val="18"/>
        </w:rPr>
        <w:t>Supplementary Questionnaire Response (Exhibit AUS‐41), pp. 3‐4.</w:t>
      </w:r>
    </w:p>
    <w:p w14:paraId="51DE8ADB" w14:textId="77777777" w:rsidR="0010369C" w:rsidRDefault="0010369C">
      <w:pPr>
        <w:rPr>
          <w:sz w:val="18"/>
        </w:rPr>
        <w:sectPr w:rsidR="0010369C">
          <w:headerReference w:type="default" r:id="rId611"/>
          <w:footerReference w:type="default" r:id="rId612"/>
          <w:pgSz w:w="11910" w:h="16840"/>
          <w:pgMar w:top="880" w:right="800" w:bottom="980" w:left="1180" w:header="569" w:footer="788" w:gutter="0"/>
          <w:cols w:space="720"/>
        </w:sectPr>
      </w:pPr>
    </w:p>
    <w:p w14:paraId="51DE8ADC" w14:textId="77777777" w:rsidR="0010369C" w:rsidRDefault="008E43AE">
      <w:pPr>
        <w:tabs>
          <w:tab w:val="left" w:pos="6426"/>
        </w:tabs>
        <w:ind w:left="238"/>
        <w:rPr>
          <w:sz w:val="20"/>
        </w:rPr>
      </w:pPr>
      <w:r>
        <w:rPr>
          <w:i/>
          <w:sz w:val="20"/>
        </w:rPr>
        <w:lastRenderedPageBreak/>
        <w:t>China</w:t>
      </w:r>
      <w:r>
        <w:rPr>
          <w:i/>
          <w:spacing w:val="-5"/>
          <w:sz w:val="20"/>
        </w:rPr>
        <w:t xml:space="preserve"> </w:t>
      </w:r>
      <w:r>
        <w:rPr>
          <w:i/>
          <w:sz w:val="20"/>
        </w:rPr>
        <w:t>–</w:t>
      </w:r>
      <w:r>
        <w:rPr>
          <w:i/>
          <w:spacing w:val="-5"/>
          <w:sz w:val="20"/>
        </w:rPr>
        <w:t xml:space="preserve"> </w:t>
      </w:r>
      <w:r>
        <w:rPr>
          <w:i/>
          <w:sz w:val="20"/>
        </w:rPr>
        <w:t>Anti‐Dumping</w:t>
      </w:r>
      <w:r>
        <w:rPr>
          <w:i/>
          <w:spacing w:val="-4"/>
          <w:sz w:val="20"/>
        </w:rPr>
        <w:t xml:space="preserve"> </w:t>
      </w:r>
      <w:r>
        <w:rPr>
          <w:i/>
          <w:sz w:val="20"/>
        </w:rPr>
        <w:t>and</w:t>
      </w:r>
      <w:r>
        <w:rPr>
          <w:i/>
          <w:spacing w:val="-5"/>
          <w:sz w:val="20"/>
        </w:rPr>
        <w:t xml:space="preserve"> </w:t>
      </w:r>
      <w:r>
        <w:rPr>
          <w:i/>
          <w:sz w:val="20"/>
        </w:rPr>
        <w:t>Countervailing</w:t>
      </w:r>
      <w:r>
        <w:rPr>
          <w:i/>
          <w:spacing w:val="-5"/>
          <w:sz w:val="20"/>
        </w:rPr>
        <w:t xml:space="preserve"> </w:t>
      </w:r>
      <w:r>
        <w:rPr>
          <w:i/>
          <w:sz w:val="20"/>
        </w:rPr>
        <w:t>Duty</w:t>
      </w:r>
      <w:r>
        <w:rPr>
          <w:i/>
          <w:spacing w:val="-4"/>
          <w:sz w:val="20"/>
        </w:rPr>
        <w:t xml:space="preserve"> </w:t>
      </w:r>
      <w:r>
        <w:rPr>
          <w:i/>
          <w:spacing w:val="-2"/>
          <w:sz w:val="20"/>
        </w:rPr>
        <w:t>Measures</w:t>
      </w:r>
      <w:r>
        <w:rPr>
          <w:i/>
          <w:sz w:val="20"/>
        </w:rPr>
        <w:tab/>
      </w:r>
      <w:r>
        <w:rPr>
          <w:sz w:val="20"/>
        </w:rPr>
        <w:t>Australia's</w:t>
      </w:r>
      <w:r>
        <w:rPr>
          <w:spacing w:val="-7"/>
          <w:sz w:val="20"/>
        </w:rPr>
        <w:t xml:space="preserve"> </w:t>
      </w:r>
      <w:r>
        <w:rPr>
          <w:sz w:val="20"/>
        </w:rPr>
        <w:t>First</w:t>
      </w:r>
      <w:r>
        <w:rPr>
          <w:spacing w:val="-2"/>
          <w:sz w:val="20"/>
        </w:rPr>
        <w:t xml:space="preserve"> </w:t>
      </w:r>
      <w:r>
        <w:rPr>
          <w:sz w:val="20"/>
        </w:rPr>
        <w:t>Written</w:t>
      </w:r>
      <w:r>
        <w:rPr>
          <w:spacing w:val="-2"/>
          <w:sz w:val="20"/>
        </w:rPr>
        <w:t xml:space="preserve"> Submission</w:t>
      </w:r>
    </w:p>
    <w:p w14:paraId="51DE8ADD" w14:textId="77777777" w:rsidR="0010369C" w:rsidRDefault="008E43AE">
      <w:pPr>
        <w:tabs>
          <w:tab w:val="left" w:pos="8228"/>
        </w:tabs>
        <w:spacing w:before="1"/>
        <w:ind w:left="239"/>
        <w:rPr>
          <w:sz w:val="20"/>
        </w:rPr>
      </w:pPr>
      <w:r>
        <w:rPr>
          <w:i/>
          <w:sz w:val="20"/>
        </w:rPr>
        <w:t>on</w:t>
      </w:r>
      <w:r>
        <w:rPr>
          <w:i/>
          <w:spacing w:val="-1"/>
          <w:sz w:val="20"/>
        </w:rPr>
        <w:t xml:space="preserve"> </w:t>
      </w:r>
      <w:r>
        <w:rPr>
          <w:i/>
          <w:sz w:val="20"/>
        </w:rPr>
        <w:t>Wine</w:t>
      </w:r>
      <w:r>
        <w:rPr>
          <w:i/>
          <w:spacing w:val="-1"/>
          <w:sz w:val="20"/>
        </w:rPr>
        <w:t xml:space="preserve"> </w:t>
      </w:r>
      <w:r>
        <w:rPr>
          <w:i/>
          <w:sz w:val="20"/>
        </w:rPr>
        <w:t>from</w:t>
      </w:r>
      <w:r>
        <w:rPr>
          <w:i/>
          <w:spacing w:val="-3"/>
          <w:sz w:val="20"/>
        </w:rPr>
        <w:t xml:space="preserve"> </w:t>
      </w:r>
      <w:r>
        <w:rPr>
          <w:i/>
          <w:sz w:val="20"/>
        </w:rPr>
        <w:t>Australia</w:t>
      </w:r>
      <w:r>
        <w:rPr>
          <w:i/>
          <w:spacing w:val="-1"/>
          <w:sz w:val="20"/>
        </w:rPr>
        <w:t xml:space="preserve"> </w:t>
      </w:r>
      <w:r>
        <w:rPr>
          <w:spacing w:val="-2"/>
          <w:sz w:val="20"/>
        </w:rPr>
        <w:t>(DS602)</w:t>
      </w:r>
      <w:r>
        <w:rPr>
          <w:sz w:val="20"/>
        </w:rPr>
        <w:tab/>
        <w:t>29</w:t>
      </w:r>
      <w:r>
        <w:rPr>
          <w:spacing w:val="-1"/>
          <w:sz w:val="20"/>
        </w:rPr>
        <w:t xml:space="preserve"> </w:t>
      </w:r>
      <w:r>
        <w:rPr>
          <w:sz w:val="20"/>
        </w:rPr>
        <w:t>April</w:t>
      </w:r>
      <w:r>
        <w:rPr>
          <w:spacing w:val="-2"/>
          <w:sz w:val="20"/>
        </w:rPr>
        <w:t xml:space="preserve"> </w:t>
      </w:r>
      <w:r>
        <w:rPr>
          <w:spacing w:val="-4"/>
          <w:sz w:val="20"/>
        </w:rPr>
        <w:t>2022</w:t>
      </w:r>
    </w:p>
    <w:p w14:paraId="51DE8ADE" w14:textId="77777777" w:rsidR="0010369C" w:rsidRDefault="008E43AE">
      <w:pPr>
        <w:pStyle w:val="BodyText"/>
        <w:spacing w:before="34" w:line="360" w:lineRule="auto"/>
        <w:ind w:left="237" w:right="614"/>
      </w:pPr>
      <w:r>
        <w:t>Determination. MOFCOM seemingly failed to consider much of the explanatory information supplied by the company.</w:t>
      </w:r>
    </w:p>
    <w:p w14:paraId="51DE8ADF" w14:textId="77777777" w:rsidR="0010369C" w:rsidRDefault="008E43AE">
      <w:pPr>
        <w:pStyle w:val="BodyText"/>
        <w:spacing w:before="159" w:line="360" w:lineRule="auto"/>
        <w:ind w:left="236" w:right="614" w:firstLine="853"/>
        <w:jc w:val="both"/>
      </w:pPr>
      <w:r>
        <w:rPr>
          <w:noProof/>
        </w:rPr>
        <w:drawing>
          <wp:anchor distT="0" distB="0" distL="0" distR="0" simplePos="0" relativeHeight="251097600" behindDoc="1" locked="0" layoutInCell="1" allowOverlap="1" wp14:anchorId="51DEA353" wp14:editId="51DEA354">
            <wp:simplePos x="0" y="0"/>
            <wp:positionH relativeFrom="page">
              <wp:posOffset>899160</wp:posOffset>
            </wp:positionH>
            <wp:positionV relativeFrom="paragraph">
              <wp:posOffset>144730</wp:posOffset>
            </wp:positionV>
            <wp:extent cx="265175" cy="106679"/>
            <wp:effectExtent l="0" t="0" r="0" b="0"/>
            <wp:wrapNone/>
            <wp:docPr id="913" name="image4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 name="image467.png"/>
                    <pic:cNvPicPr/>
                  </pic:nvPicPr>
                  <pic:blipFill>
                    <a:blip r:embed="rId613" cstate="print"/>
                    <a:stretch>
                      <a:fillRect/>
                    </a:stretch>
                  </pic:blipFill>
                  <pic:spPr>
                    <a:xfrm>
                      <a:off x="0" y="0"/>
                      <a:ext cx="265175" cy="106679"/>
                    </a:xfrm>
                    <a:prstGeom prst="rect">
                      <a:avLst/>
                    </a:prstGeom>
                  </pic:spPr>
                </pic:pic>
              </a:graphicData>
            </a:graphic>
          </wp:anchor>
        </w:drawing>
      </w:r>
      <w:r>
        <w:t>As outlined above,</w:t>
      </w:r>
      <w:r>
        <w:rPr>
          <w:vertAlign w:val="superscript"/>
        </w:rPr>
        <w:t>503</w:t>
      </w:r>
      <w:r>
        <w:t xml:space="preserve"> in </w:t>
      </w:r>
      <w:r>
        <w:rPr>
          <w:i/>
        </w:rPr>
        <w:t xml:space="preserve">US – Anti‐Dumping and Countervailing Duties (Korea), </w:t>
      </w:r>
      <w:r>
        <w:t>the Panel held that paragraph 6 of Annex II requires an investigating authority to inform an interested</w:t>
      </w:r>
      <w:r>
        <w:rPr>
          <w:spacing w:val="-14"/>
        </w:rPr>
        <w:t xml:space="preserve"> </w:t>
      </w:r>
      <w:r>
        <w:t>party</w:t>
      </w:r>
      <w:r>
        <w:rPr>
          <w:spacing w:val="-14"/>
        </w:rPr>
        <w:t xml:space="preserve"> </w:t>
      </w:r>
      <w:r>
        <w:t>why</w:t>
      </w:r>
      <w:r>
        <w:rPr>
          <w:spacing w:val="-13"/>
        </w:rPr>
        <w:t xml:space="preserve"> </w:t>
      </w:r>
      <w:r>
        <w:t>its</w:t>
      </w:r>
      <w:r>
        <w:rPr>
          <w:spacing w:val="-14"/>
        </w:rPr>
        <w:t xml:space="preserve"> </w:t>
      </w:r>
      <w:r>
        <w:t>submitted</w:t>
      </w:r>
      <w:r>
        <w:rPr>
          <w:spacing w:val="-13"/>
        </w:rPr>
        <w:t xml:space="preserve"> </w:t>
      </w:r>
      <w:r>
        <w:t>information,</w:t>
      </w:r>
      <w:r>
        <w:rPr>
          <w:spacing w:val="-14"/>
        </w:rPr>
        <w:t xml:space="preserve"> </w:t>
      </w:r>
      <w:r>
        <w:t>including</w:t>
      </w:r>
      <w:r>
        <w:rPr>
          <w:spacing w:val="-13"/>
        </w:rPr>
        <w:t xml:space="preserve"> </w:t>
      </w:r>
      <w:r>
        <w:t>supplementary</w:t>
      </w:r>
      <w:r>
        <w:rPr>
          <w:spacing w:val="-14"/>
        </w:rPr>
        <w:t xml:space="preserve"> </w:t>
      </w:r>
      <w:r>
        <w:t>information,</w:t>
      </w:r>
      <w:r>
        <w:rPr>
          <w:spacing w:val="-14"/>
        </w:rPr>
        <w:t xml:space="preserve"> </w:t>
      </w:r>
      <w:r>
        <w:t>had</w:t>
      </w:r>
      <w:r>
        <w:rPr>
          <w:spacing w:val="-13"/>
        </w:rPr>
        <w:t xml:space="preserve"> </w:t>
      </w:r>
      <w:r>
        <w:t>not been accepted, thereby</w:t>
      </w:r>
      <w:r>
        <w:rPr>
          <w:spacing w:val="-1"/>
        </w:rPr>
        <w:t xml:space="preserve"> </w:t>
      </w:r>
      <w:r>
        <w:t>providing an interested party with an opportuni</w:t>
      </w:r>
      <w:r>
        <w:t>ty to provide further explanations within a reasonable period.</w:t>
      </w:r>
      <w:r>
        <w:rPr>
          <w:vertAlign w:val="superscript"/>
        </w:rPr>
        <w:t>504</w:t>
      </w:r>
      <w:r>
        <w:t xml:space="preserve"> It is clear that information provided by Swan Vintage in response to the Supplementary Questionnaire was ultimately not accepted by MOFCOM in its Final Determination. Given the length of tim</w:t>
      </w:r>
      <w:r>
        <w:t>e between receipt of Treasury Wines'</w:t>
      </w:r>
      <w:r>
        <w:rPr>
          <w:spacing w:val="-2"/>
        </w:rPr>
        <w:t xml:space="preserve"> </w:t>
      </w:r>
      <w:r>
        <w:t>supplementary</w:t>
      </w:r>
      <w:r>
        <w:rPr>
          <w:spacing w:val="-1"/>
        </w:rPr>
        <w:t xml:space="preserve"> </w:t>
      </w:r>
      <w:r>
        <w:t>questionnaire</w:t>
      </w:r>
      <w:r>
        <w:rPr>
          <w:spacing w:val="-1"/>
        </w:rPr>
        <w:t xml:space="preserve"> </w:t>
      </w:r>
      <w:r>
        <w:t>response,</w:t>
      </w:r>
      <w:r>
        <w:rPr>
          <w:spacing w:val="-2"/>
        </w:rPr>
        <w:t xml:space="preserve"> </w:t>
      </w:r>
      <w:r>
        <w:t>and</w:t>
      </w:r>
      <w:r>
        <w:rPr>
          <w:spacing w:val="-1"/>
        </w:rPr>
        <w:t xml:space="preserve"> </w:t>
      </w:r>
      <w:r>
        <w:t>publication of</w:t>
      </w:r>
      <w:r>
        <w:rPr>
          <w:spacing w:val="-1"/>
        </w:rPr>
        <w:t xml:space="preserve"> </w:t>
      </w:r>
      <w:r>
        <w:t>the</w:t>
      </w:r>
      <w:r>
        <w:rPr>
          <w:spacing w:val="-1"/>
        </w:rPr>
        <w:t xml:space="preserve"> </w:t>
      </w:r>
      <w:r>
        <w:t>Final</w:t>
      </w:r>
      <w:r>
        <w:rPr>
          <w:spacing w:val="-1"/>
        </w:rPr>
        <w:t xml:space="preserve"> </w:t>
      </w:r>
      <w:r>
        <w:t xml:space="preserve">Determination, it is clear that MOFCOM failed to notify Swan Vintage </w:t>
      </w:r>
      <w:r>
        <w:rPr>
          <w:i/>
        </w:rPr>
        <w:t xml:space="preserve">immediately </w:t>
      </w:r>
      <w:r>
        <w:t xml:space="preserve">and </w:t>
      </w:r>
      <w:r>
        <w:rPr>
          <w:i/>
        </w:rPr>
        <w:t>without delay</w:t>
      </w:r>
      <w:r>
        <w:t>.</w:t>
      </w:r>
    </w:p>
    <w:p w14:paraId="51DE8AE0" w14:textId="77777777" w:rsidR="0010369C" w:rsidRDefault="0010369C">
      <w:pPr>
        <w:pStyle w:val="BodyText"/>
        <w:rPr>
          <w:sz w:val="9"/>
        </w:rPr>
      </w:pPr>
    </w:p>
    <w:p w14:paraId="51DE8AE1" w14:textId="77777777" w:rsidR="0010369C" w:rsidRDefault="008E43AE">
      <w:pPr>
        <w:pStyle w:val="BodyText"/>
        <w:spacing w:before="51" w:line="360" w:lineRule="auto"/>
        <w:ind w:left="236" w:right="614" w:firstLine="852"/>
        <w:jc w:val="both"/>
      </w:pPr>
      <w:r>
        <w:rPr>
          <w:noProof/>
        </w:rPr>
        <w:drawing>
          <wp:anchor distT="0" distB="0" distL="0" distR="0" simplePos="0" relativeHeight="251098624" behindDoc="1" locked="0" layoutInCell="1" allowOverlap="1" wp14:anchorId="51DEA355" wp14:editId="51DEA356">
            <wp:simplePos x="0" y="0"/>
            <wp:positionH relativeFrom="page">
              <wp:posOffset>899160</wp:posOffset>
            </wp:positionH>
            <wp:positionV relativeFrom="paragraph">
              <wp:posOffset>80722</wp:posOffset>
            </wp:positionV>
            <wp:extent cx="265175" cy="103631"/>
            <wp:effectExtent l="0" t="0" r="0" b="0"/>
            <wp:wrapNone/>
            <wp:docPr id="915" name="image4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 name="image468.png"/>
                    <pic:cNvPicPr/>
                  </pic:nvPicPr>
                  <pic:blipFill>
                    <a:blip r:embed="rId614" cstate="print"/>
                    <a:stretch>
                      <a:fillRect/>
                    </a:stretch>
                  </pic:blipFill>
                  <pic:spPr>
                    <a:xfrm>
                      <a:off x="0" y="0"/>
                      <a:ext cx="265175" cy="103631"/>
                    </a:xfrm>
                    <a:prstGeom prst="rect">
                      <a:avLst/>
                    </a:prstGeom>
                  </pic:spPr>
                </pic:pic>
              </a:graphicData>
            </a:graphic>
          </wp:anchor>
        </w:drawing>
      </w:r>
      <w:r>
        <w:t>Further, paragraph 6 of Annex II required MOFCOM t</w:t>
      </w:r>
      <w:r>
        <w:t>o provide an opportunity for Swan Vintage to provide further explanations within a reasonable period, due account being taken</w:t>
      </w:r>
      <w:r>
        <w:rPr>
          <w:spacing w:val="-13"/>
        </w:rPr>
        <w:t xml:space="preserve"> </w:t>
      </w:r>
      <w:r>
        <w:t>of</w:t>
      </w:r>
      <w:r>
        <w:rPr>
          <w:spacing w:val="-14"/>
        </w:rPr>
        <w:t xml:space="preserve"> </w:t>
      </w:r>
      <w:r>
        <w:t>the</w:t>
      </w:r>
      <w:r>
        <w:rPr>
          <w:spacing w:val="-13"/>
        </w:rPr>
        <w:t xml:space="preserve"> </w:t>
      </w:r>
      <w:r>
        <w:t>time</w:t>
      </w:r>
      <w:r>
        <w:rPr>
          <w:spacing w:val="-13"/>
        </w:rPr>
        <w:t xml:space="preserve"> </w:t>
      </w:r>
      <w:r>
        <w:t>limits</w:t>
      </w:r>
      <w:r>
        <w:rPr>
          <w:spacing w:val="-13"/>
        </w:rPr>
        <w:t xml:space="preserve"> </w:t>
      </w:r>
      <w:r>
        <w:t>of</w:t>
      </w:r>
      <w:r>
        <w:rPr>
          <w:spacing w:val="-13"/>
        </w:rPr>
        <w:t xml:space="preserve"> </w:t>
      </w:r>
      <w:r>
        <w:t>the</w:t>
      </w:r>
      <w:r>
        <w:rPr>
          <w:spacing w:val="-13"/>
        </w:rPr>
        <w:t xml:space="preserve"> </w:t>
      </w:r>
      <w:r>
        <w:t>investigation.</w:t>
      </w:r>
      <w:r>
        <w:rPr>
          <w:spacing w:val="-12"/>
        </w:rPr>
        <w:t xml:space="preserve"> </w:t>
      </w:r>
      <w:r>
        <w:t>However,</w:t>
      </w:r>
      <w:r>
        <w:rPr>
          <w:spacing w:val="-13"/>
        </w:rPr>
        <w:t xml:space="preserve"> </w:t>
      </w:r>
      <w:r>
        <w:t>MOFCOM</w:t>
      </w:r>
      <w:r>
        <w:rPr>
          <w:spacing w:val="-13"/>
        </w:rPr>
        <w:t xml:space="preserve"> </w:t>
      </w:r>
      <w:r>
        <w:t>never</w:t>
      </w:r>
      <w:r>
        <w:rPr>
          <w:spacing w:val="-13"/>
        </w:rPr>
        <w:t xml:space="preserve"> </w:t>
      </w:r>
      <w:r>
        <w:t>provided</w:t>
      </w:r>
      <w:r>
        <w:rPr>
          <w:spacing w:val="-13"/>
        </w:rPr>
        <w:t xml:space="preserve"> </w:t>
      </w:r>
      <w:r>
        <w:t>Swan</w:t>
      </w:r>
      <w:r>
        <w:rPr>
          <w:spacing w:val="-13"/>
        </w:rPr>
        <w:t xml:space="preserve"> </w:t>
      </w:r>
      <w:r>
        <w:t>Vintage with such an opportunity.</w:t>
      </w:r>
    </w:p>
    <w:p w14:paraId="51DE8AE2" w14:textId="77777777" w:rsidR="0010369C" w:rsidRDefault="0010369C">
      <w:pPr>
        <w:pStyle w:val="BodyText"/>
        <w:spacing w:before="11"/>
        <w:rPr>
          <w:sz w:val="8"/>
        </w:rPr>
      </w:pPr>
    </w:p>
    <w:p w14:paraId="51DE8AE3" w14:textId="77777777" w:rsidR="0010369C" w:rsidRDefault="008E43AE">
      <w:pPr>
        <w:pStyle w:val="BodyText"/>
        <w:spacing w:before="52" w:line="360" w:lineRule="auto"/>
        <w:ind w:left="237" w:right="613" w:firstLine="851"/>
        <w:jc w:val="both"/>
      </w:pPr>
      <w:r>
        <w:rPr>
          <w:noProof/>
        </w:rPr>
        <w:drawing>
          <wp:anchor distT="0" distB="0" distL="0" distR="0" simplePos="0" relativeHeight="251099648" behindDoc="1" locked="0" layoutInCell="1" allowOverlap="1" wp14:anchorId="51DEA357" wp14:editId="51DEA358">
            <wp:simplePos x="0" y="0"/>
            <wp:positionH relativeFrom="page">
              <wp:posOffset>899160</wp:posOffset>
            </wp:positionH>
            <wp:positionV relativeFrom="paragraph">
              <wp:posOffset>76785</wp:posOffset>
            </wp:positionV>
            <wp:extent cx="265175" cy="106679"/>
            <wp:effectExtent l="0" t="0" r="0" b="0"/>
            <wp:wrapNone/>
            <wp:docPr id="917" name="image4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 name="image469.png"/>
                    <pic:cNvPicPr/>
                  </pic:nvPicPr>
                  <pic:blipFill>
                    <a:blip r:embed="rId615" cstate="print"/>
                    <a:stretch>
                      <a:fillRect/>
                    </a:stretch>
                  </pic:blipFill>
                  <pic:spPr>
                    <a:xfrm>
                      <a:off x="0" y="0"/>
                      <a:ext cx="265175" cy="106679"/>
                    </a:xfrm>
                    <a:prstGeom prst="rect">
                      <a:avLst/>
                    </a:prstGeom>
                  </pic:spPr>
                </pic:pic>
              </a:graphicData>
            </a:graphic>
          </wp:anchor>
        </w:drawing>
      </w:r>
      <w:r>
        <w:t>For</w:t>
      </w:r>
      <w:r>
        <w:rPr>
          <w:spacing w:val="-1"/>
        </w:rPr>
        <w:t xml:space="preserve"> </w:t>
      </w:r>
      <w:r>
        <w:t>the</w:t>
      </w:r>
      <w:r>
        <w:rPr>
          <w:spacing w:val="-1"/>
        </w:rPr>
        <w:t xml:space="preserve"> </w:t>
      </w:r>
      <w:r>
        <w:t>foregoing</w:t>
      </w:r>
      <w:r>
        <w:rPr>
          <w:spacing w:val="-1"/>
        </w:rPr>
        <w:t xml:space="preserve"> </w:t>
      </w:r>
      <w:r>
        <w:t>reasons,</w:t>
      </w:r>
      <w:r>
        <w:rPr>
          <w:spacing w:val="-2"/>
        </w:rPr>
        <w:t xml:space="preserve"> </w:t>
      </w:r>
      <w:r>
        <w:t>MOFCOM</w:t>
      </w:r>
      <w:r>
        <w:rPr>
          <w:spacing w:val="-2"/>
        </w:rPr>
        <w:t xml:space="preserve"> </w:t>
      </w:r>
      <w:r>
        <w:t>erred</w:t>
      </w:r>
      <w:r>
        <w:rPr>
          <w:spacing w:val="-2"/>
        </w:rPr>
        <w:t xml:space="preserve"> </w:t>
      </w:r>
      <w:r>
        <w:t>when</w:t>
      </w:r>
      <w:r>
        <w:rPr>
          <w:spacing w:val="-2"/>
        </w:rPr>
        <w:t xml:space="preserve"> </w:t>
      </w:r>
      <w:r>
        <w:t>it</w:t>
      </w:r>
      <w:r>
        <w:rPr>
          <w:spacing w:val="-1"/>
        </w:rPr>
        <w:t xml:space="preserve"> </w:t>
      </w:r>
      <w:r>
        <w:t>relied</w:t>
      </w:r>
      <w:r>
        <w:rPr>
          <w:spacing w:val="-2"/>
        </w:rPr>
        <w:t xml:space="preserve"> </w:t>
      </w:r>
      <w:r>
        <w:t>upon</w:t>
      </w:r>
      <w:r>
        <w:rPr>
          <w:spacing w:val="-1"/>
        </w:rPr>
        <w:t xml:space="preserve"> </w:t>
      </w:r>
      <w:r>
        <w:t>Swan</w:t>
      </w:r>
      <w:r>
        <w:rPr>
          <w:spacing w:val="-1"/>
        </w:rPr>
        <w:t xml:space="preserve"> </w:t>
      </w:r>
      <w:r>
        <w:t>Vintage's</w:t>
      </w:r>
      <w:r>
        <w:rPr>
          <w:spacing w:val="-1"/>
        </w:rPr>
        <w:t xml:space="preserve"> </w:t>
      </w:r>
      <w:r>
        <w:t>costs data as a basis to resort to facts available and, therefore, China acted inconsistently with Article 6.8 and paragraphs 1, 3, 5 and 6 of Annex II of the Anti‐Dumping Agreement.</w:t>
      </w:r>
    </w:p>
    <w:p w14:paraId="51DE8AE4" w14:textId="77777777" w:rsidR="0010369C" w:rsidRDefault="008E43AE">
      <w:pPr>
        <w:pStyle w:val="ListParagraph"/>
        <w:numPr>
          <w:ilvl w:val="4"/>
          <w:numId w:val="75"/>
        </w:numPr>
        <w:tabs>
          <w:tab w:val="left" w:pos="4492"/>
          <w:tab w:val="left" w:pos="4493"/>
        </w:tabs>
        <w:spacing w:before="161"/>
        <w:ind w:left="4492"/>
        <w:jc w:val="both"/>
        <w:rPr>
          <w:i/>
          <w:sz w:val="24"/>
        </w:rPr>
      </w:pPr>
      <w:r>
        <w:rPr>
          <w:i/>
          <w:sz w:val="24"/>
        </w:rPr>
        <w:t>Cost</w:t>
      </w:r>
      <w:r>
        <w:rPr>
          <w:i/>
          <w:spacing w:val="-5"/>
          <w:sz w:val="24"/>
        </w:rPr>
        <w:t xml:space="preserve"> </w:t>
      </w:r>
      <w:r>
        <w:rPr>
          <w:i/>
          <w:spacing w:val="-2"/>
          <w:sz w:val="24"/>
        </w:rPr>
        <w:t>s</w:t>
      </w:r>
      <w:r>
        <w:rPr>
          <w:i/>
          <w:spacing w:val="-2"/>
          <w:sz w:val="24"/>
        </w:rPr>
        <w:t>heets</w:t>
      </w:r>
    </w:p>
    <w:p w14:paraId="51DE8AE5" w14:textId="77777777" w:rsidR="0010369C" w:rsidRDefault="0010369C">
      <w:pPr>
        <w:pStyle w:val="BodyText"/>
        <w:spacing w:before="9"/>
        <w:rPr>
          <w:i/>
          <w:sz w:val="20"/>
        </w:rPr>
      </w:pPr>
    </w:p>
    <w:p w14:paraId="51DE8AE6" w14:textId="77777777" w:rsidR="0010369C" w:rsidRDefault="008E43AE">
      <w:pPr>
        <w:pStyle w:val="BodyText"/>
        <w:spacing w:before="51" w:line="360" w:lineRule="auto"/>
        <w:ind w:left="238" w:right="613" w:firstLine="850"/>
        <w:jc w:val="both"/>
      </w:pPr>
      <w:r>
        <w:rPr>
          <w:noProof/>
        </w:rPr>
        <w:drawing>
          <wp:anchor distT="0" distB="0" distL="0" distR="0" simplePos="0" relativeHeight="251100672" behindDoc="1" locked="0" layoutInCell="1" allowOverlap="1" wp14:anchorId="51DEA359" wp14:editId="51DEA35A">
            <wp:simplePos x="0" y="0"/>
            <wp:positionH relativeFrom="page">
              <wp:posOffset>899160</wp:posOffset>
            </wp:positionH>
            <wp:positionV relativeFrom="paragraph">
              <wp:posOffset>79961</wp:posOffset>
            </wp:positionV>
            <wp:extent cx="265175" cy="103631"/>
            <wp:effectExtent l="0" t="0" r="0" b="0"/>
            <wp:wrapNone/>
            <wp:docPr id="919" name="image4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 name="image470.png"/>
                    <pic:cNvPicPr/>
                  </pic:nvPicPr>
                  <pic:blipFill>
                    <a:blip r:embed="rId616" cstate="print"/>
                    <a:stretch>
                      <a:fillRect/>
                    </a:stretch>
                  </pic:blipFill>
                  <pic:spPr>
                    <a:xfrm>
                      <a:off x="0" y="0"/>
                      <a:ext cx="265175" cy="103631"/>
                    </a:xfrm>
                    <a:prstGeom prst="rect">
                      <a:avLst/>
                    </a:prstGeom>
                  </pic:spPr>
                </pic:pic>
              </a:graphicData>
            </a:graphic>
          </wp:anchor>
        </w:drawing>
      </w:r>
      <w:r>
        <w:t>With</w:t>
      </w:r>
      <w:r>
        <w:rPr>
          <w:spacing w:val="-5"/>
        </w:rPr>
        <w:t xml:space="preserve"> </w:t>
      </w:r>
      <w:r>
        <w:t>respect</w:t>
      </w:r>
      <w:r>
        <w:rPr>
          <w:spacing w:val="-6"/>
        </w:rPr>
        <w:t xml:space="preserve"> </w:t>
      </w:r>
      <w:r>
        <w:t>to</w:t>
      </w:r>
      <w:r>
        <w:rPr>
          <w:spacing w:val="-5"/>
        </w:rPr>
        <w:t xml:space="preserve"> </w:t>
      </w:r>
      <w:r>
        <w:t>the</w:t>
      </w:r>
      <w:r>
        <w:rPr>
          <w:spacing w:val="-4"/>
        </w:rPr>
        <w:t xml:space="preserve"> </w:t>
      </w:r>
      <w:r>
        <w:t>reporting</w:t>
      </w:r>
      <w:r>
        <w:rPr>
          <w:spacing w:val="-6"/>
        </w:rPr>
        <w:t xml:space="preserve"> </w:t>
      </w:r>
      <w:r>
        <w:t>of</w:t>
      </w:r>
      <w:r>
        <w:rPr>
          <w:spacing w:val="-5"/>
        </w:rPr>
        <w:t xml:space="preserve"> </w:t>
      </w:r>
      <w:r>
        <w:t>costs</w:t>
      </w:r>
      <w:r>
        <w:rPr>
          <w:spacing w:val="-5"/>
        </w:rPr>
        <w:t xml:space="preserve"> </w:t>
      </w:r>
      <w:r>
        <w:t>and</w:t>
      </w:r>
      <w:r>
        <w:rPr>
          <w:spacing w:val="-5"/>
        </w:rPr>
        <w:t xml:space="preserve"> </w:t>
      </w:r>
      <w:r>
        <w:t>expenses</w:t>
      </w:r>
      <w:r>
        <w:rPr>
          <w:spacing w:val="-6"/>
        </w:rPr>
        <w:t xml:space="preserve"> </w:t>
      </w:r>
      <w:r>
        <w:t>information,</w:t>
      </w:r>
      <w:r>
        <w:rPr>
          <w:spacing w:val="-4"/>
        </w:rPr>
        <w:t xml:space="preserve"> </w:t>
      </w:r>
      <w:r>
        <w:t>MOFCOM</w:t>
      </w:r>
      <w:r>
        <w:rPr>
          <w:spacing w:val="-5"/>
        </w:rPr>
        <w:t xml:space="preserve"> </w:t>
      </w:r>
      <w:r>
        <w:t>stated</w:t>
      </w:r>
      <w:r>
        <w:rPr>
          <w:spacing w:val="-6"/>
        </w:rPr>
        <w:t xml:space="preserve"> </w:t>
      </w:r>
      <w:r>
        <w:t xml:space="preserve">in the Final Determination that Swan Vintage "did not answer the question related to cost </w:t>
      </w:r>
      <w:r>
        <w:rPr>
          <w:spacing w:val="-2"/>
        </w:rPr>
        <w:t>sheets".</w:t>
      </w:r>
      <w:r>
        <w:rPr>
          <w:spacing w:val="-2"/>
          <w:vertAlign w:val="superscript"/>
        </w:rPr>
        <w:t>505</w:t>
      </w:r>
    </w:p>
    <w:p w14:paraId="51DE8AE7" w14:textId="77777777" w:rsidR="0010369C" w:rsidRDefault="0010369C">
      <w:pPr>
        <w:pStyle w:val="BodyText"/>
        <w:spacing w:before="11"/>
        <w:rPr>
          <w:sz w:val="8"/>
        </w:rPr>
      </w:pPr>
    </w:p>
    <w:p w14:paraId="51DE8AE8" w14:textId="77777777" w:rsidR="0010369C" w:rsidRDefault="008E43AE">
      <w:pPr>
        <w:pStyle w:val="BodyText"/>
        <w:spacing w:before="52" w:line="360" w:lineRule="auto"/>
        <w:ind w:left="236" w:right="613" w:firstLine="852"/>
        <w:jc w:val="both"/>
      </w:pPr>
      <w:r>
        <w:rPr>
          <w:noProof/>
        </w:rPr>
        <w:drawing>
          <wp:anchor distT="0" distB="0" distL="0" distR="0" simplePos="0" relativeHeight="251101696" behindDoc="1" locked="0" layoutInCell="1" allowOverlap="1" wp14:anchorId="51DEA35B" wp14:editId="51DEA35C">
            <wp:simplePos x="0" y="0"/>
            <wp:positionH relativeFrom="page">
              <wp:posOffset>899160</wp:posOffset>
            </wp:positionH>
            <wp:positionV relativeFrom="paragraph">
              <wp:posOffset>80595</wp:posOffset>
            </wp:positionV>
            <wp:extent cx="265175" cy="103631"/>
            <wp:effectExtent l="0" t="0" r="0" b="0"/>
            <wp:wrapNone/>
            <wp:docPr id="921" name="image4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 name="image471.png"/>
                    <pic:cNvPicPr/>
                  </pic:nvPicPr>
                  <pic:blipFill>
                    <a:blip r:embed="rId617" cstate="print"/>
                    <a:stretch>
                      <a:fillRect/>
                    </a:stretch>
                  </pic:blipFill>
                  <pic:spPr>
                    <a:xfrm>
                      <a:off x="0" y="0"/>
                      <a:ext cx="265175" cy="103631"/>
                    </a:xfrm>
                    <a:prstGeom prst="rect">
                      <a:avLst/>
                    </a:prstGeom>
                  </pic:spPr>
                </pic:pic>
              </a:graphicData>
            </a:graphic>
          </wp:anchor>
        </w:drawing>
      </w:r>
      <w:r>
        <w:t>MOFCOM did not elaborate on which "question related to cost sheet</w:t>
      </w:r>
      <w:r>
        <w:t>s" it was referring</w:t>
      </w:r>
      <w:r>
        <w:rPr>
          <w:spacing w:val="-14"/>
        </w:rPr>
        <w:t xml:space="preserve"> </w:t>
      </w:r>
      <w:r>
        <w:t>to,</w:t>
      </w:r>
      <w:r>
        <w:rPr>
          <w:spacing w:val="-14"/>
        </w:rPr>
        <w:t xml:space="preserve"> </w:t>
      </w:r>
      <w:r>
        <w:t>or</w:t>
      </w:r>
      <w:r>
        <w:rPr>
          <w:spacing w:val="-11"/>
        </w:rPr>
        <w:t xml:space="preserve"> </w:t>
      </w:r>
      <w:r>
        <w:t>in</w:t>
      </w:r>
      <w:r>
        <w:rPr>
          <w:spacing w:val="-12"/>
        </w:rPr>
        <w:t xml:space="preserve"> </w:t>
      </w:r>
      <w:r>
        <w:t>what</w:t>
      </w:r>
      <w:r>
        <w:rPr>
          <w:spacing w:val="-13"/>
        </w:rPr>
        <w:t xml:space="preserve"> </w:t>
      </w:r>
      <w:r>
        <w:t>sense</w:t>
      </w:r>
      <w:r>
        <w:rPr>
          <w:spacing w:val="-12"/>
        </w:rPr>
        <w:t xml:space="preserve"> </w:t>
      </w:r>
      <w:r>
        <w:t>Swan</w:t>
      </w:r>
      <w:r>
        <w:rPr>
          <w:spacing w:val="-13"/>
        </w:rPr>
        <w:t xml:space="preserve"> </w:t>
      </w:r>
      <w:r>
        <w:t>Vintage's</w:t>
      </w:r>
      <w:r>
        <w:rPr>
          <w:spacing w:val="-12"/>
        </w:rPr>
        <w:t xml:space="preserve"> </w:t>
      </w:r>
      <w:r>
        <w:t>responses</w:t>
      </w:r>
      <w:r>
        <w:rPr>
          <w:spacing w:val="-13"/>
        </w:rPr>
        <w:t xml:space="preserve"> </w:t>
      </w:r>
      <w:r>
        <w:t>were</w:t>
      </w:r>
      <w:r>
        <w:rPr>
          <w:spacing w:val="-12"/>
        </w:rPr>
        <w:t xml:space="preserve"> </w:t>
      </w:r>
      <w:r>
        <w:t>either</w:t>
      </w:r>
      <w:r>
        <w:rPr>
          <w:spacing w:val="-13"/>
        </w:rPr>
        <w:t xml:space="preserve"> </w:t>
      </w:r>
      <w:r>
        <w:t>insufficient</w:t>
      </w:r>
      <w:r>
        <w:rPr>
          <w:spacing w:val="-12"/>
        </w:rPr>
        <w:t xml:space="preserve"> </w:t>
      </w:r>
      <w:r>
        <w:t>or</w:t>
      </w:r>
      <w:r>
        <w:rPr>
          <w:spacing w:val="-12"/>
        </w:rPr>
        <w:t xml:space="preserve"> </w:t>
      </w:r>
      <w:r>
        <w:t>incomplete. In the Preliminary Determination, MOFCOM offered a slightly different formulation of this alleged deficiency to the effect that Swan Vintage "did not respond to the questions on cost accounting</w:t>
      </w:r>
      <w:r>
        <w:rPr>
          <w:spacing w:val="8"/>
        </w:rPr>
        <w:t xml:space="preserve"> </w:t>
      </w:r>
      <w:r>
        <w:t>in</w:t>
      </w:r>
      <w:r>
        <w:rPr>
          <w:spacing w:val="8"/>
        </w:rPr>
        <w:t xml:space="preserve"> </w:t>
      </w:r>
      <w:r>
        <w:t>the</w:t>
      </w:r>
      <w:r>
        <w:rPr>
          <w:spacing w:val="9"/>
        </w:rPr>
        <w:t xml:space="preserve"> </w:t>
      </w:r>
      <w:r>
        <w:t>questionnaire,</w:t>
      </w:r>
      <w:r>
        <w:rPr>
          <w:spacing w:val="11"/>
        </w:rPr>
        <w:t xml:space="preserve"> </w:t>
      </w:r>
      <w:r>
        <w:t>and</w:t>
      </w:r>
      <w:r>
        <w:rPr>
          <w:spacing w:val="8"/>
        </w:rPr>
        <w:t xml:space="preserve"> </w:t>
      </w:r>
      <w:r>
        <w:t>the</w:t>
      </w:r>
      <w:r>
        <w:rPr>
          <w:spacing w:val="9"/>
        </w:rPr>
        <w:t xml:space="preserve"> </w:t>
      </w:r>
      <w:r>
        <w:t>Company</w:t>
      </w:r>
      <w:r>
        <w:rPr>
          <w:spacing w:val="10"/>
        </w:rPr>
        <w:t xml:space="preserve"> </w:t>
      </w:r>
      <w:r>
        <w:t>did</w:t>
      </w:r>
      <w:r>
        <w:rPr>
          <w:spacing w:val="8"/>
        </w:rPr>
        <w:t xml:space="preserve"> </w:t>
      </w:r>
      <w:r>
        <w:t>not</w:t>
      </w:r>
      <w:r>
        <w:rPr>
          <w:spacing w:val="9"/>
        </w:rPr>
        <w:t xml:space="preserve"> </w:t>
      </w:r>
      <w:r>
        <w:t>subm</w:t>
      </w:r>
      <w:r>
        <w:t>it</w:t>
      </w:r>
      <w:r>
        <w:rPr>
          <w:spacing w:val="8"/>
        </w:rPr>
        <w:t xml:space="preserve"> </w:t>
      </w:r>
      <w:r>
        <w:t>a</w:t>
      </w:r>
      <w:r>
        <w:rPr>
          <w:spacing w:val="9"/>
        </w:rPr>
        <w:t xml:space="preserve"> </w:t>
      </w:r>
      <w:r>
        <w:t>financial</w:t>
      </w:r>
      <w:r>
        <w:rPr>
          <w:spacing w:val="8"/>
        </w:rPr>
        <w:t xml:space="preserve"> </w:t>
      </w:r>
      <w:r>
        <w:t>report</w:t>
      </w:r>
      <w:r>
        <w:rPr>
          <w:spacing w:val="9"/>
        </w:rPr>
        <w:t xml:space="preserve"> </w:t>
      </w:r>
      <w:r>
        <w:t>for</w:t>
      </w:r>
      <w:r>
        <w:rPr>
          <w:spacing w:val="8"/>
        </w:rPr>
        <w:t xml:space="preserve"> </w:t>
      </w:r>
      <w:r>
        <w:rPr>
          <w:spacing w:val="-5"/>
        </w:rPr>
        <w:t>the</w:t>
      </w:r>
    </w:p>
    <w:p w14:paraId="51DE8AE9" w14:textId="77777777" w:rsidR="0010369C" w:rsidRDefault="0010369C">
      <w:pPr>
        <w:pStyle w:val="BodyText"/>
      </w:pPr>
    </w:p>
    <w:p w14:paraId="51DE8AEA" w14:textId="77777777" w:rsidR="0010369C" w:rsidRDefault="0010369C">
      <w:pPr>
        <w:pStyle w:val="BodyText"/>
        <w:spacing w:before="6"/>
        <w:rPr>
          <w:sz w:val="18"/>
        </w:rPr>
      </w:pPr>
    </w:p>
    <w:p w14:paraId="51DE8AEB" w14:textId="77777777" w:rsidR="0010369C" w:rsidRDefault="008E43AE">
      <w:pPr>
        <w:ind w:left="238"/>
        <w:rPr>
          <w:sz w:val="18"/>
        </w:rPr>
      </w:pPr>
      <w:r>
        <w:rPr>
          <w:sz w:val="18"/>
          <w:vertAlign w:val="superscript"/>
        </w:rPr>
        <w:t>503</w:t>
      </w:r>
      <w:r>
        <w:rPr>
          <w:spacing w:val="-6"/>
          <w:sz w:val="18"/>
        </w:rPr>
        <w:t xml:space="preserve"> </w:t>
      </w:r>
      <w:r>
        <w:rPr>
          <w:sz w:val="18"/>
        </w:rPr>
        <w:t>See</w:t>
      </w:r>
      <w:r>
        <w:rPr>
          <w:spacing w:val="-5"/>
          <w:sz w:val="18"/>
        </w:rPr>
        <w:t xml:space="preserve"> </w:t>
      </w:r>
      <w:r>
        <w:rPr>
          <w:sz w:val="18"/>
        </w:rPr>
        <w:t>section</w:t>
      </w:r>
      <w:r>
        <w:rPr>
          <w:spacing w:val="-5"/>
          <w:sz w:val="18"/>
        </w:rPr>
        <w:t xml:space="preserve"> </w:t>
      </w:r>
      <w:r>
        <w:rPr>
          <w:sz w:val="18"/>
        </w:rPr>
        <w:t>II.B.1</w:t>
      </w:r>
      <w:r>
        <w:rPr>
          <w:spacing w:val="-6"/>
          <w:sz w:val="18"/>
        </w:rPr>
        <w:t xml:space="preserve"> </w:t>
      </w:r>
      <w:r>
        <w:rPr>
          <w:spacing w:val="-2"/>
          <w:sz w:val="18"/>
        </w:rPr>
        <w:t>above.</w:t>
      </w:r>
    </w:p>
    <w:p w14:paraId="51DE8AEC" w14:textId="77777777" w:rsidR="0010369C" w:rsidRDefault="008E43AE">
      <w:pPr>
        <w:ind w:left="238"/>
        <w:rPr>
          <w:sz w:val="18"/>
        </w:rPr>
      </w:pPr>
      <w:r>
        <w:rPr>
          <w:sz w:val="18"/>
          <w:vertAlign w:val="superscript"/>
        </w:rPr>
        <w:t>504</w:t>
      </w:r>
      <w:r>
        <w:rPr>
          <w:spacing w:val="-8"/>
          <w:sz w:val="18"/>
        </w:rPr>
        <w:t xml:space="preserve"> </w:t>
      </w:r>
      <w:r>
        <w:rPr>
          <w:sz w:val="18"/>
        </w:rPr>
        <w:t>Panel</w:t>
      </w:r>
      <w:r>
        <w:rPr>
          <w:spacing w:val="-8"/>
          <w:sz w:val="18"/>
        </w:rPr>
        <w:t xml:space="preserve"> </w:t>
      </w:r>
      <w:r>
        <w:rPr>
          <w:sz w:val="18"/>
        </w:rPr>
        <w:t>Report,</w:t>
      </w:r>
      <w:r>
        <w:rPr>
          <w:spacing w:val="-8"/>
          <w:sz w:val="18"/>
        </w:rPr>
        <w:t xml:space="preserve"> </w:t>
      </w:r>
      <w:r>
        <w:rPr>
          <w:i/>
          <w:sz w:val="18"/>
        </w:rPr>
        <w:t>US</w:t>
      </w:r>
      <w:r>
        <w:rPr>
          <w:i/>
          <w:spacing w:val="-7"/>
          <w:sz w:val="18"/>
        </w:rPr>
        <w:t xml:space="preserve"> </w:t>
      </w:r>
      <w:r>
        <w:rPr>
          <w:i/>
          <w:sz w:val="18"/>
        </w:rPr>
        <w:t>–</w:t>
      </w:r>
      <w:r>
        <w:rPr>
          <w:i/>
          <w:spacing w:val="-8"/>
          <w:sz w:val="18"/>
        </w:rPr>
        <w:t xml:space="preserve"> </w:t>
      </w:r>
      <w:r>
        <w:rPr>
          <w:i/>
          <w:sz w:val="18"/>
        </w:rPr>
        <w:t>Anti‐Dumping</w:t>
      </w:r>
      <w:r>
        <w:rPr>
          <w:i/>
          <w:spacing w:val="-7"/>
          <w:sz w:val="18"/>
        </w:rPr>
        <w:t xml:space="preserve"> </w:t>
      </w:r>
      <w:r>
        <w:rPr>
          <w:i/>
          <w:sz w:val="18"/>
        </w:rPr>
        <w:t>and</w:t>
      </w:r>
      <w:r>
        <w:rPr>
          <w:i/>
          <w:spacing w:val="-9"/>
          <w:sz w:val="18"/>
        </w:rPr>
        <w:t xml:space="preserve"> </w:t>
      </w:r>
      <w:r>
        <w:rPr>
          <w:i/>
          <w:sz w:val="18"/>
        </w:rPr>
        <w:t>Countervailing</w:t>
      </w:r>
      <w:r>
        <w:rPr>
          <w:i/>
          <w:spacing w:val="-7"/>
          <w:sz w:val="18"/>
        </w:rPr>
        <w:t xml:space="preserve"> </w:t>
      </w:r>
      <w:r>
        <w:rPr>
          <w:i/>
          <w:sz w:val="18"/>
        </w:rPr>
        <w:t>Duties</w:t>
      </w:r>
      <w:r>
        <w:rPr>
          <w:i/>
          <w:spacing w:val="-8"/>
          <w:sz w:val="18"/>
        </w:rPr>
        <w:t xml:space="preserve"> </w:t>
      </w:r>
      <w:r>
        <w:rPr>
          <w:i/>
          <w:sz w:val="18"/>
        </w:rPr>
        <w:t>(Korea)</w:t>
      </w:r>
      <w:r>
        <w:rPr>
          <w:sz w:val="18"/>
        </w:rPr>
        <w:t>,</w:t>
      </w:r>
      <w:r>
        <w:rPr>
          <w:spacing w:val="-9"/>
          <w:sz w:val="18"/>
        </w:rPr>
        <w:t xml:space="preserve"> </w:t>
      </w:r>
      <w:r>
        <w:rPr>
          <w:sz w:val="18"/>
        </w:rPr>
        <w:t>paras.</w:t>
      </w:r>
      <w:r>
        <w:rPr>
          <w:spacing w:val="-7"/>
          <w:sz w:val="18"/>
        </w:rPr>
        <w:t xml:space="preserve"> </w:t>
      </w:r>
      <w:r>
        <w:rPr>
          <w:spacing w:val="-2"/>
          <w:sz w:val="18"/>
        </w:rPr>
        <w:t>7.471‐7.472.</w:t>
      </w:r>
    </w:p>
    <w:p w14:paraId="51DE8AED" w14:textId="77777777" w:rsidR="0010369C" w:rsidRDefault="008E43AE">
      <w:pPr>
        <w:ind w:left="238"/>
        <w:rPr>
          <w:sz w:val="18"/>
        </w:rPr>
      </w:pPr>
      <w:r>
        <w:rPr>
          <w:sz w:val="18"/>
          <w:vertAlign w:val="superscript"/>
        </w:rPr>
        <w:t>505</w:t>
      </w:r>
      <w:r>
        <w:rPr>
          <w:spacing w:val="-9"/>
          <w:sz w:val="18"/>
        </w:rPr>
        <w:t xml:space="preserve"> </w:t>
      </w:r>
      <w:r>
        <w:rPr>
          <w:sz w:val="18"/>
        </w:rPr>
        <w:t>Anti‐Dumping</w:t>
      </w:r>
      <w:r>
        <w:rPr>
          <w:spacing w:val="-9"/>
          <w:sz w:val="18"/>
        </w:rPr>
        <w:t xml:space="preserve"> </w:t>
      </w:r>
      <w:r>
        <w:rPr>
          <w:sz w:val="18"/>
        </w:rPr>
        <w:t>Final</w:t>
      </w:r>
      <w:r>
        <w:rPr>
          <w:spacing w:val="-9"/>
          <w:sz w:val="18"/>
        </w:rPr>
        <w:t xml:space="preserve"> </w:t>
      </w:r>
      <w:r>
        <w:rPr>
          <w:sz w:val="18"/>
        </w:rPr>
        <w:t>Determination</w:t>
      </w:r>
      <w:r>
        <w:rPr>
          <w:spacing w:val="-8"/>
          <w:sz w:val="18"/>
        </w:rPr>
        <w:t xml:space="preserve"> </w:t>
      </w:r>
      <w:r>
        <w:rPr>
          <w:sz w:val="18"/>
        </w:rPr>
        <w:t>(Exhibit</w:t>
      </w:r>
      <w:r>
        <w:rPr>
          <w:spacing w:val="-9"/>
          <w:sz w:val="18"/>
        </w:rPr>
        <w:t xml:space="preserve"> </w:t>
      </w:r>
      <w:r>
        <w:rPr>
          <w:sz w:val="18"/>
        </w:rPr>
        <w:t>AUS‐2),</w:t>
      </w:r>
      <w:r>
        <w:rPr>
          <w:spacing w:val="-9"/>
          <w:sz w:val="18"/>
        </w:rPr>
        <w:t xml:space="preserve"> </w:t>
      </w:r>
      <w:r>
        <w:rPr>
          <w:sz w:val="18"/>
        </w:rPr>
        <w:t>p.</w:t>
      </w:r>
      <w:r>
        <w:rPr>
          <w:spacing w:val="-9"/>
          <w:sz w:val="18"/>
        </w:rPr>
        <w:t xml:space="preserve"> </w:t>
      </w:r>
      <w:r>
        <w:rPr>
          <w:spacing w:val="-5"/>
          <w:sz w:val="18"/>
        </w:rPr>
        <w:t>91.</w:t>
      </w:r>
    </w:p>
    <w:p w14:paraId="51DE8AEE" w14:textId="77777777" w:rsidR="0010369C" w:rsidRDefault="0010369C">
      <w:pPr>
        <w:rPr>
          <w:sz w:val="18"/>
        </w:rPr>
        <w:sectPr w:rsidR="0010369C">
          <w:headerReference w:type="default" r:id="rId618"/>
          <w:footerReference w:type="default" r:id="rId619"/>
          <w:pgSz w:w="11910" w:h="16840"/>
          <w:pgMar w:top="880" w:right="800" w:bottom="1340" w:left="1180" w:header="569" w:footer="1143" w:gutter="0"/>
          <w:cols w:space="720"/>
        </w:sectPr>
      </w:pPr>
    </w:p>
    <w:p w14:paraId="51DE8AEF" w14:textId="77777777" w:rsidR="0010369C" w:rsidRDefault="008E43AE">
      <w:pPr>
        <w:tabs>
          <w:tab w:val="left" w:pos="6426"/>
        </w:tabs>
        <w:ind w:left="238"/>
        <w:jc w:val="both"/>
        <w:rPr>
          <w:sz w:val="20"/>
        </w:rPr>
      </w:pPr>
      <w:r>
        <w:rPr>
          <w:i/>
          <w:sz w:val="20"/>
        </w:rPr>
        <w:lastRenderedPageBreak/>
        <w:t>China</w:t>
      </w:r>
      <w:r>
        <w:rPr>
          <w:i/>
          <w:spacing w:val="-5"/>
          <w:sz w:val="20"/>
        </w:rPr>
        <w:t xml:space="preserve"> </w:t>
      </w:r>
      <w:r>
        <w:rPr>
          <w:i/>
          <w:sz w:val="20"/>
        </w:rPr>
        <w:t>–</w:t>
      </w:r>
      <w:r>
        <w:rPr>
          <w:i/>
          <w:spacing w:val="-5"/>
          <w:sz w:val="20"/>
        </w:rPr>
        <w:t xml:space="preserve"> </w:t>
      </w:r>
      <w:r>
        <w:rPr>
          <w:i/>
          <w:sz w:val="20"/>
        </w:rPr>
        <w:t>Anti‐Dumping</w:t>
      </w:r>
      <w:r>
        <w:rPr>
          <w:i/>
          <w:spacing w:val="-4"/>
          <w:sz w:val="20"/>
        </w:rPr>
        <w:t xml:space="preserve"> </w:t>
      </w:r>
      <w:r>
        <w:rPr>
          <w:i/>
          <w:sz w:val="20"/>
        </w:rPr>
        <w:t>and</w:t>
      </w:r>
      <w:r>
        <w:rPr>
          <w:i/>
          <w:spacing w:val="-5"/>
          <w:sz w:val="20"/>
        </w:rPr>
        <w:t xml:space="preserve"> </w:t>
      </w:r>
      <w:r>
        <w:rPr>
          <w:i/>
          <w:sz w:val="20"/>
        </w:rPr>
        <w:t>Countervailing</w:t>
      </w:r>
      <w:r>
        <w:rPr>
          <w:i/>
          <w:spacing w:val="-5"/>
          <w:sz w:val="20"/>
        </w:rPr>
        <w:t xml:space="preserve"> </w:t>
      </w:r>
      <w:r>
        <w:rPr>
          <w:i/>
          <w:sz w:val="20"/>
        </w:rPr>
        <w:t>Duty</w:t>
      </w:r>
      <w:r>
        <w:rPr>
          <w:i/>
          <w:spacing w:val="-4"/>
          <w:sz w:val="20"/>
        </w:rPr>
        <w:t xml:space="preserve"> </w:t>
      </w:r>
      <w:r>
        <w:rPr>
          <w:i/>
          <w:spacing w:val="-2"/>
          <w:sz w:val="20"/>
        </w:rPr>
        <w:t>Measures</w:t>
      </w:r>
      <w:r>
        <w:rPr>
          <w:i/>
          <w:sz w:val="20"/>
        </w:rPr>
        <w:tab/>
      </w:r>
      <w:r>
        <w:rPr>
          <w:sz w:val="20"/>
        </w:rPr>
        <w:t>Australia's</w:t>
      </w:r>
      <w:r>
        <w:rPr>
          <w:spacing w:val="-7"/>
          <w:sz w:val="20"/>
        </w:rPr>
        <w:t xml:space="preserve"> </w:t>
      </w:r>
      <w:r>
        <w:rPr>
          <w:sz w:val="20"/>
        </w:rPr>
        <w:t>First</w:t>
      </w:r>
      <w:r>
        <w:rPr>
          <w:spacing w:val="-2"/>
          <w:sz w:val="20"/>
        </w:rPr>
        <w:t xml:space="preserve"> </w:t>
      </w:r>
      <w:r>
        <w:rPr>
          <w:sz w:val="20"/>
        </w:rPr>
        <w:t>Written</w:t>
      </w:r>
      <w:r>
        <w:rPr>
          <w:spacing w:val="-2"/>
          <w:sz w:val="20"/>
        </w:rPr>
        <w:t xml:space="preserve"> Submission</w:t>
      </w:r>
    </w:p>
    <w:p w14:paraId="51DE8AF0" w14:textId="77777777" w:rsidR="0010369C" w:rsidRDefault="008E43AE">
      <w:pPr>
        <w:tabs>
          <w:tab w:val="left" w:pos="8228"/>
        </w:tabs>
        <w:spacing w:before="1"/>
        <w:ind w:left="239"/>
        <w:jc w:val="both"/>
        <w:rPr>
          <w:sz w:val="20"/>
        </w:rPr>
      </w:pPr>
      <w:r>
        <w:rPr>
          <w:i/>
          <w:sz w:val="20"/>
        </w:rPr>
        <w:t>on</w:t>
      </w:r>
      <w:r>
        <w:rPr>
          <w:i/>
          <w:spacing w:val="-1"/>
          <w:sz w:val="20"/>
        </w:rPr>
        <w:t xml:space="preserve"> </w:t>
      </w:r>
      <w:r>
        <w:rPr>
          <w:i/>
          <w:sz w:val="20"/>
        </w:rPr>
        <w:t>Wine</w:t>
      </w:r>
      <w:r>
        <w:rPr>
          <w:i/>
          <w:spacing w:val="-1"/>
          <w:sz w:val="20"/>
        </w:rPr>
        <w:t xml:space="preserve"> </w:t>
      </w:r>
      <w:r>
        <w:rPr>
          <w:i/>
          <w:sz w:val="20"/>
        </w:rPr>
        <w:t>from</w:t>
      </w:r>
      <w:r>
        <w:rPr>
          <w:i/>
          <w:spacing w:val="-3"/>
          <w:sz w:val="20"/>
        </w:rPr>
        <w:t xml:space="preserve"> </w:t>
      </w:r>
      <w:r>
        <w:rPr>
          <w:i/>
          <w:sz w:val="20"/>
        </w:rPr>
        <w:t>Australia</w:t>
      </w:r>
      <w:r>
        <w:rPr>
          <w:i/>
          <w:spacing w:val="-1"/>
          <w:sz w:val="20"/>
        </w:rPr>
        <w:t xml:space="preserve"> </w:t>
      </w:r>
      <w:r>
        <w:rPr>
          <w:spacing w:val="-2"/>
          <w:sz w:val="20"/>
        </w:rPr>
        <w:t>(DS602)</w:t>
      </w:r>
      <w:r>
        <w:rPr>
          <w:sz w:val="20"/>
        </w:rPr>
        <w:tab/>
        <w:t>29</w:t>
      </w:r>
      <w:r>
        <w:rPr>
          <w:spacing w:val="-1"/>
          <w:sz w:val="20"/>
        </w:rPr>
        <w:t xml:space="preserve"> </w:t>
      </w:r>
      <w:r>
        <w:rPr>
          <w:sz w:val="20"/>
        </w:rPr>
        <w:t>April</w:t>
      </w:r>
      <w:r>
        <w:rPr>
          <w:spacing w:val="-2"/>
          <w:sz w:val="20"/>
        </w:rPr>
        <w:t xml:space="preserve"> </w:t>
      </w:r>
      <w:r>
        <w:rPr>
          <w:spacing w:val="-4"/>
          <w:sz w:val="20"/>
        </w:rPr>
        <w:t>2022</w:t>
      </w:r>
    </w:p>
    <w:p w14:paraId="51DE8AF1" w14:textId="77777777" w:rsidR="0010369C" w:rsidRDefault="008E43AE">
      <w:pPr>
        <w:pStyle w:val="BodyText"/>
        <w:spacing w:before="34" w:line="360" w:lineRule="auto"/>
        <w:ind w:left="237" w:right="614" w:firstLine="1"/>
        <w:jc w:val="both"/>
      </w:pPr>
      <w:r>
        <w:t>period of investigation for dumping".</w:t>
      </w:r>
      <w:r>
        <w:rPr>
          <w:vertAlign w:val="superscript"/>
        </w:rPr>
        <w:t>506</w:t>
      </w:r>
      <w:r>
        <w:t xml:space="preserve"> ' Swan Vintage subsequently provided its financial reports for the period of the investigation with its comments on the Preliminary </w:t>
      </w:r>
      <w:r>
        <w:rPr>
          <w:spacing w:val="-2"/>
        </w:rPr>
        <w:t>Determination.</w:t>
      </w:r>
      <w:r>
        <w:rPr>
          <w:spacing w:val="-2"/>
          <w:vertAlign w:val="superscript"/>
        </w:rPr>
        <w:t>507</w:t>
      </w:r>
    </w:p>
    <w:p w14:paraId="51DE8AF2" w14:textId="77777777" w:rsidR="0010369C" w:rsidRDefault="0010369C">
      <w:pPr>
        <w:pStyle w:val="BodyText"/>
        <w:spacing w:before="11"/>
        <w:rPr>
          <w:sz w:val="8"/>
        </w:rPr>
      </w:pPr>
    </w:p>
    <w:p w14:paraId="51DE8AF3" w14:textId="77777777" w:rsidR="0010369C" w:rsidRDefault="008E43AE">
      <w:pPr>
        <w:pStyle w:val="BodyText"/>
        <w:spacing w:before="52" w:line="360" w:lineRule="auto"/>
        <w:ind w:left="237" w:right="612" w:firstLine="851"/>
        <w:jc w:val="both"/>
      </w:pPr>
      <w:r>
        <w:rPr>
          <w:noProof/>
        </w:rPr>
        <w:drawing>
          <wp:anchor distT="0" distB="0" distL="0" distR="0" simplePos="0" relativeHeight="251102720" behindDoc="1" locked="0" layoutInCell="1" allowOverlap="1" wp14:anchorId="51DEA35D" wp14:editId="51DEA35E">
            <wp:simplePos x="0" y="0"/>
            <wp:positionH relativeFrom="page">
              <wp:posOffset>899160</wp:posOffset>
            </wp:positionH>
            <wp:positionV relativeFrom="paragraph">
              <wp:posOffset>80595</wp:posOffset>
            </wp:positionV>
            <wp:extent cx="265175" cy="103631"/>
            <wp:effectExtent l="0" t="0" r="0" b="0"/>
            <wp:wrapNone/>
            <wp:docPr id="923" name="image4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 name="image472.png"/>
                    <pic:cNvPicPr/>
                  </pic:nvPicPr>
                  <pic:blipFill>
                    <a:blip r:embed="rId620" cstate="print"/>
                    <a:stretch>
                      <a:fillRect/>
                    </a:stretch>
                  </pic:blipFill>
                  <pic:spPr>
                    <a:xfrm>
                      <a:off x="0" y="0"/>
                      <a:ext cx="265175" cy="103631"/>
                    </a:xfrm>
                    <a:prstGeom prst="rect">
                      <a:avLst/>
                    </a:prstGeom>
                  </pic:spPr>
                </pic:pic>
              </a:graphicData>
            </a:graphic>
          </wp:anchor>
        </w:drawing>
      </w:r>
      <w:r>
        <w:t>Australia submits that Swan Vintage responded in full to the questions put to the company in the Questionnaire and the Supplementary Questionnaire, and that to the extent that</w:t>
      </w:r>
      <w:r>
        <w:rPr>
          <w:spacing w:val="-14"/>
        </w:rPr>
        <w:t xml:space="preserve"> </w:t>
      </w:r>
      <w:r>
        <w:t>any</w:t>
      </w:r>
      <w:r>
        <w:rPr>
          <w:spacing w:val="-14"/>
        </w:rPr>
        <w:t xml:space="preserve"> </w:t>
      </w:r>
      <w:r>
        <w:t>cost</w:t>
      </w:r>
      <w:r>
        <w:rPr>
          <w:spacing w:val="-13"/>
        </w:rPr>
        <w:t xml:space="preserve"> </w:t>
      </w:r>
      <w:r>
        <w:t>sheets</w:t>
      </w:r>
      <w:r>
        <w:rPr>
          <w:spacing w:val="-14"/>
        </w:rPr>
        <w:t xml:space="preserve"> </w:t>
      </w:r>
      <w:r>
        <w:t>were</w:t>
      </w:r>
      <w:r>
        <w:rPr>
          <w:spacing w:val="-13"/>
        </w:rPr>
        <w:t xml:space="preserve"> </w:t>
      </w:r>
      <w:r>
        <w:t>not</w:t>
      </w:r>
      <w:r>
        <w:rPr>
          <w:spacing w:val="-14"/>
        </w:rPr>
        <w:t xml:space="preserve"> </w:t>
      </w:r>
      <w:r>
        <w:t>provided,</w:t>
      </w:r>
      <w:r>
        <w:rPr>
          <w:spacing w:val="-13"/>
        </w:rPr>
        <w:t xml:space="preserve"> </w:t>
      </w:r>
      <w:r>
        <w:t>such</w:t>
      </w:r>
      <w:r>
        <w:rPr>
          <w:spacing w:val="-14"/>
        </w:rPr>
        <w:t xml:space="preserve"> </w:t>
      </w:r>
      <w:r>
        <w:t>information</w:t>
      </w:r>
      <w:r>
        <w:rPr>
          <w:spacing w:val="-14"/>
        </w:rPr>
        <w:t xml:space="preserve"> </w:t>
      </w:r>
      <w:r>
        <w:t>was</w:t>
      </w:r>
      <w:r>
        <w:rPr>
          <w:spacing w:val="-13"/>
        </w:rPr>
        <w:t xml:space="preserve"> </w:t>
      </w:r>
      <w:r>
        <w:t>not</w:t>
      </w:r>
      <w:r>
        <w:rPr>
          <w:spacing w:val="-14"/>
        </w:rPr>
        <w:t xml:space="preserve"> </w:t>
      </w:r>
      <w:r>
        <w:t>"necessary"</w:t>
      </w:r>
      <w:r>
        <w:rPr>
          <w:spacing w:val="-13"/>
        </w:rPr>
        <w:t xml:space="preserve"> </w:t>
      </w:r>
      <w:r>
        <w:t>for</w:t>
      </w:r>
      <w:r>
        <w:rPr>
          <w:spacing w:val="-14"/>
        </w:rPr>
        <w:t xml:space="preserve"> </w:t>
      </w:r>
      <w:r>
        <w:t>cons</w:t>
      </w:r>
      <w:r>
        <w:t>tructing normal value. Cost sheets are redundant when verifiable cost information can be extracted from a company's accounting system. Thus, MOFCOM could have constructed normal value for</w:t>
      </w:r>
      <w:r>
        <w:rPr>
          <w:spacing w:val="-9"/>
        </w:rPr>
        <w:t xml:space="preserve"> </w:t>
      </w:r>
      <w:r>
        <w:t>Swan</w:t>
      </w:r>
      <w:r>
        <w:rPr>
          <w:spacing w:val="-10"/>
        </w:rPr>
        <w:t xml:space="preserve"> </w:t>
      </w:r>
      <w:r>
        <w:t>Vintage</w:t>
      </w:r>
      <w:r>
        <w:rPr>
          <w:spacing w:val="-9"/>
        </w:rPr>
        <w:t xml:space="preserve"> </w:t>
      </w:r>
      <w:r>
        <w:t>without</w:t>
      </w:r>
      <w:r>
        <w:rPr>
          <w:spacing w:val="-11"/>
        </w:rPr>
        <w:t xml:space="preserve"> </w:t>
      </w:r>
      <w:r>
        <w:t>the</w:t>
      </w:r>
      <w:r>
        <w:rPr>
          <w:spacing w:val="-9"/>
        </w:rPr>
        <w:t xml:space="preserve"> </w:t>
      </w:r>
      <w:r>
        <w:t>cost</w:t>
      </w:r>
      <w:r>
        <w:rPr>
          <w:spacing w:val="-10"/>
        </w:rPr>
        <w:t xml:space="preserve"> </w:t>
      </w:r>
      <w:r>
        <w:t>sheets</w:t>
      </w:r>
      <w:r>
        <w:rPr>
          <w:spacing w:val="-10"/>
        </w:rPr>
        <w:t xml:space="preserve"> </w:t>
      </w:r>
      <w:r>
        <w:t>and</w:t>
      </w:r>
      <w:r>
        <w:rPr>
          <w:spacing w:val="-10"/>
        </w:rPr>
        <w:t xml:space="preserve"> </w:t>
      </w:r>
      <w:r>
        <w:t>without</w:t>
      </w:r>
      <w:r>
        <w:rPr>
          <w:spacing w:val="-10"/>
        </w:rPr>
        <w:t xml:space="preserve"> </w:t>
      </w:r>
      <w:r>
        <w:t>sourcing</w:t>
      </w:r>
      <w:r>
        <w:rPr>
          <w:spacing w:val="-9"/>
        </w:rPr>
        <w:t xml:space="preserve"> </w:t>
      </w:r>
      <w:r>
        <w:t>processing</w:t>
      </w:r>
      <w:r>
        <w:rPr>
          <w:spacing w:val="-10"/>
        </w:rPr>
        <w:t xml:space="preserve"> </w:t>
      </w:r>
      <w:r>
        <w:t>costs</w:t>
      </w:r>
      <w:r>
        <w:rPr>
          <w:spacing w:val="-10"/>
        </w:rPr>
        <w:t xml:space="preserve"> </w:t>
      </w:r>
      <w:r>
        <w:t>data</w:t>
      </w:r>
      <w:r>
        <w:rPr>
          <w:spacing w:val="-9"/>
        </w:rPr>
        <w:t xml:space="preserve"> </w:t>
      </w:r>
      <w:r>
        <w:t>from</w:t>
      </w:r>
      <w:r>
        <w:rPr>
          <w:spacing w:val="-10"/>
        </w:rPr>
        <w:t xml:space="preserve"> </w:t>
      </w:r>
      <w:r>
        <w:t>the independent OEMs.</w:t>
      </w:r>
    </w:p>
    <w:p w14:paraId="51DE8AF4" w14:textId="77777777" w:rsidR="0010369C" w:rsidRDefault="0010369C">
      <w:pPr>
        <w:pStyle w:val="BodyText"/>
        <w:spacing w:before="9"/>
        <w:rPr>
          <w:sz w:val="8"/>
        </w:rPr>
      </w:pPr>
    </w:p>
    <w:p w14:paraId="51DE8AF5" w14:textId="77777777" w:rsidR="0010369C" w:rsidRDefault="008E43AE">
      <w:pPr>
        <w:pStyle w:val="BodyText"/>
        <w:spacing w:before="52" w:line="360" w:lineRule="auto"/>
        <w:ind w:left="237" w:right="612" w:firstLine="852"/>
        <w:jc w:val="both"/>
      </w:pPr>
      <w:r>
        <w:rPr>
          <w:noProof/>
        </w:rPr>
        <w:drawing>
          <wp:anchor distT="0" distB="0" distL="0" distR="0" simplePos="0" relativeHeight="251103744" behindDoc="1" locked="0" layoutInCell="1" allowOverlap="1" wp14:anchorId="51DEA35F" wp14:editId="51DEA360">
            <wp:simplePos x="0" y="0"/>
            <wp:positionH relativeFrom="page">
              <wp:posOffset>899160</wp:posOffset>
            </wp:positionH>
            <wp:positionV relativeFrom="paragraph">
              <wp:posOffset>80595</wp:posOffset>
            </wp:positionV>
            <wp:extent cx="265175" cy="103631"/>
            <wp:effectExtent l="0" t="0" r="0" b="0"/>
            <wp:wrapNone/>
            <wp:docPr id="925" name="image4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 name="image473.png"/>
                    <pic:cNvPicPr/>
                  </pic:nvPicPr>
                  <pic:blipFill>
                    <a:blip r:embed="rId621" cstate="print"/>
                    <a:stretch>
                      <a:fillRect/>
                    </a:stretch>
                  </pic:blipFill>
                  <pic:spPr>
                    <a:xfrm>
                      <a:off x="0" y="0"/>
                      <a:ext cx="265175" cy="103631"/>
                    </a:xfrm>
                    <a:prstGeom prst="rect">
                      <a:avLst/>
                    </a:prstGeom>
                  </pic:spPr>
                </pic:pic>
              </a:graphicData>
            </a:graphic>
          </wp:anchor>
        </w:drawing>
      </w:r>
      <w:r>
        <w:t>Further, MOFCOM's assertion that, due to the absence of supporting information from the OEMs, it "could not acquire accurate costs" was not adequate reasoning</w:t>
      </w:r>
      <w:r>
        <w:rPr>
          <w:spacing w:val="-1"/>
        </w:rPr>
        <w:t xml:space="preserve"> </w:t>
      </w:r>
      <w:r>
        <w:t>to support a claim that MOFCOM lacked the "necessary" in</w:t>
      </w:r>
      <w:r>
        <w:t>formation to determine normal value. MOFCOM</w:t>
      </w:r>
      <w:r>
        <w:rPr>
          <w:spacing w:val="-13"/>
        </w:rPr>
        <w:t xml:space="preserve"> </w:t>
      </w:r>
      <w:r>
        <w:t>was</w:t>
      </w:r>
      <w:r>
        <w:rPr>
          <w:spacing w:val="-13"/>
        </w:rPr>
        <w:t xml:space="preserve"> </w:t>
      </w:r>
      <w:r>
        <w:t>not</w:t>
      </w:r>
      <w:r>
        <w:rPr>
          <w:spacing w:val="-12"/>
        </w:rPr>
        <w:t xml:space="preserve"> </w:t>
      </w:r>
      <w:r>
        <w:t>entitled</w:t>
      </w:r>
      <w:r>
        <w:rPr>
          <w:spacing w:val="-14"/>
        </w:rPr>
        <w:t xml:space="preserve"> </w:t>
      </w:r>
      <w:r>
        <w:t>to</w:t>
      </w:r>
      <w:r>
        <w:rPr>
          <w:spacing w:val="-12"/>
        </w:rPr>
        <w:t xml:space="preserve"> </w:t>
      </w:r>
      <w:r>
        <w:t>"infer,</w:t>
      </w:r>
      <w:r>
        <w:rPr>
          <w:spacing w:val="-14"/>
        </w:rPr>
        <w:t xml:space="preserve"> </w:t>
      </w:r>
      <w:r>
        <w:t>without</w:t>
      </w:r>
      <w:r>
        <w:rPr>
          <w:spacing w:val="-13"/>
        </w:rPr>
        <w:t xml:space="preserve"> </w:t>
      </w:r>
      <w:r>
        <w:t>further</w:t>
      </w:r>
      <w:r>
        <w:rPr>
          <w:spacing w:val="-12"/>
        </w:rPr>
        <w:t xml:space="preserve"> </w:t>
      </w:r>
      <w:r>
        <w:t>clarification,</w:t>
      </w:r>
      <w:r>
        <w:rPr>
          <w:spacing w:val="-12"/>
        </w:rPr>
        <w:t xml:space="preserve"> </w:t>
      </w:r>
      <w:r>
        <w:t>that</w:t>
      </w:r>
      <w:r>
        <w:rPr>
          <w:spacing w:val="-12"/>
        </w:rPr>
        <w:t xml:space="preserve"> </w:t>
      </w:r>
      <w:r>
        <w:t>the</w:t>
      </w:r>
      <w:r>
        <w:rPr>
          <w:spacing w:val="-13"/>
        </w:rPr>
        <w:t xml:space="preserve"> </w:t>
      </w:r>
      <w:r>
        <w:t>missing</w:t>
      </w:r>
      <w:r>
        <w:rPr>
          <w:spacing w:val="-13"/>
        </w:rPr>
        <w:t xml:space="preserve"> </w:t>
      </w:r>
      <w:r>
        <w:t>information [was] 'necessary'".</w:t>
      </w:r>
      <w:r>
        <w:rPr>
          <w:vertAlign w:val="superscript"/>
        </w:rPr>
        <w:t>508</w:t>
      </w:r>
      <w:r>
        <w:t xml:space="preserve"> There was no proper basis for MOFCOM to conclude that the lack of secondary information</w:t>
      </w:r>
      <w:r>
        <w:rPr>
          <w:spacing w:val="-1"/>
        </w:rPr>
        <w:t xml:space="preserve"> </w:t>
      </w:r>
      <w:r>
        <w:t>from the OEMs</w:t>
      </w:r>
      <w:r>
        <w:rPr>
          <w:spacing w:val="-1"/>
        </w:rPr>
        <w:t xml:space="preserve"> </w:t>
      </w:r>
      <w:r>
        <w:t>had the</w:t>
      </w:r>
      <w:r>
        <w:rPr>
          <w:spacing w:val="-1"/>
        </w:rPr>
        <w:t xml:space="preserve"> </w:t>
      </w:r>
      <w:r>
        <w:t>effect</w:t>
      </w:r>
      <w:r>
        <w:rPr>
          <w:spacing w:val="-2"/>
        </w:rPr>
        <w:t xml:space="preserve"> </w:t>
      </w:r>
      <w:r>
        <w:t>of</w:t>
      </w:r>
      <w:r>
        <w:rPr>
          <w:spacing w:val="-2"/>
        </w:rPr>
        <w:t xml:space="preserve"> </w:t>
      </w:r>
      <w:r>
        <w:t>rendering</w:t>
      </w:r>
      <w:r>
        <w:rPr>
          <w:spacing w:val="-1"/>
        </w:rPr>
        <w:t xml:space="preserve"> </w:t>
      </w:r>
      <w:r>
        <w:t>all</w:t>
      </w:r>
      <w:r>
        <w:rPr>
          <w:spacing w:val="-2"/>
        </w:rPr>
        <w:t xml:space="preserve"> </w:t>
      </w:r>
      <w:r>
        <w:t>of</w:t>
      </w:r>
      <w:r>
        <w:rPr>
          <w:spacing w:val="-2"/>
        </w:rPr>
        <w:t xml:space="preserve"> </w:t>
      </w:r>
      <w:r>
        <w:t>Swan Vintage's costs data unverifiable or unusable.</w:t>
      </w:r>
    </w:p>
    <w:p w14:paraId="51DE8AF6" w14:textId="77777777" w:rsidR="0010369C" w:rsidRDefault="0010369C">
      <w:pPr>
        <w:pStyle w:val="BodyText"/>
        <w:spacing w:before="11"/>
        <w:rPr>
          <w:sz w:val="8"/>
        </w:rPr>
      </w:pPr>
    </w:p>
    <w:p w14:paraId="51DE8AF7" w14:textId="77777777" w:rsidR="0010369C" w:rsidRDefault="008E43AE">
      <w:pPr>
        <w:pStyle w:val="BodyText"/>
        <w:spacing w:before="52" w:line="360" w:lineRule="auto"/>
        <w:ind w:left="237" w:right="614" w:firstLine="851"/>
        <w:jc w:val="both"/>
      </w:pPr>
      <w:r>
        <w:rPr>
          <w:noProof/>
        </w:rPr>
        <w:drawing>
          <wp:anchor distT="0" distB="0" distL="0" distR="0" simplePos="0" relativeHeight="251104768" behindDoc="1" locked="0" layoutInCell="1" allowOverlap="1" wp14:anchorId="51DEA361" wp14:editId="51DEA362">
            <wp:simplePos x="0" y="0"/>
            <wp:positionH relativeFrom="page">
              <wp:posOffset>899160</wp:posOffset>
            </wp:positionH>
            <wp:positionV relativeFrom="paragraph">
              <wp:posOffset>76785</wp:posOffset>
            </wp:positionV>
            <wp:extent cx="265175" cy="106679"/>
            <wp:effectExtent l="0" t="0" r="0" b="0"/>
            <wp:wrapNone/>
            <wp:docPr id="927" name="image4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 name="image474.png"/>
                    <pic:cNvPicPr/>
                  </pic:nvPicPr>
                  <pic:blipFill>
                    <a:blip r:embed="rId622" cstate="print"/>
                    <a:stretch>
                      <a:fillRect/>
                    </a:stretch>
                  </pic:blipFill>
                  <pic:spPr>
                    <a:xfrm>
                      <a:off x="0" y="0"/>
                      <a:ext cx="265175" cy="106679"/>
                    </a:xfrm>
                    <a:prstGeom prst="rect">
                      <a:avLst/>
                    </a:prstGeom>
                  </pic:spPr>
                </pic:pic>
              </a:graphicData>
            </a:graphic>
          </wp:anchor>
        </w:drawing>
      </w:r>
      <w:r>
        <w:t>If MOFCOM was dissatisfied with the information submitted, it wa</w:t>
      </w:r>
      <w:r>
        <w:t>s required to examine that information in light of the criteria in paragraph 3 of Annex II.</w:t>
      </w:r>
      <w:r>
        <w:rPr>
          <w:vertAlign w:val="superscript"/>
        </w:rPr>
        <w:t>509</w:t>
      </w:r>
      <w:r>
        <w:t xml:space="preserve"> In particular, MOFCOM was obliged to explain in what way the information it rejected did not meet the requirements.</w:t>
      </w:r>
      <w:r>
        <w:rPr>
          <w:vertAlign w:val="superscript"/>
        </w:rPr>
        <w:t>510</w:t>
      </w:r>
      <w:r>
        <w:t xml:space="preserve"> Had it done so, MOFCOM would have conclude</w:t>
      </w:r>
      <w:r>
        <w:t xml:space="preserve">d that the information submitted was, in fact, verifiable, appropriately submitted, timely and in an appropriate medium. MOFCOM did not have unlimited discretion to reject </w:t>
      </w:r>
      <w:r>
        <w:rPr>
          <w:i/>
        </w:rPr>
        <w:t xml:space="preserve">all </w:t>
      </w:r>
      <w:r>
        <w:t xml:space="preserve">of Swan Vintage's data on the grounds that MOFCOM objected to a few elements of </w:t>
      </w:r>
      <w:r>
        <w:t>the company's submission.</w:t>
      </w:r>
      <w:r>
        <w:rPr>
          <w:vertAlign w:val="superscript"/>
        </w:rPr>
        <w:t>511</w:t>
      </w:r>
    </w:p>
    <w:p w14:paraId="51DE8AF8" w14:textId="77777777" w:rsidR="0010369C" w:rsidRDefault="0010369C">
      <w:pPr>
        <w:pStyle w:val="BodyText"/>
        <w:spacing w:before="11"/>
        <w:rPr>
          <w:sz w:val="8"/>
        </w:rPr>
      </w:pPr>
    </w:p>
    <w:p w14:paraId="51DE8AF9" w14:textId="77777777" w:rsidR="0010369C" w:rsidRDefault="008E43AE">
      <w:pPr>
        <w:pStyle w:val="BodyText"/>
        <w:spacing w:before="51" w:line="360" w:lineRule="auto"/>
        <w:ind w:left="238" w:right="614" w:firstLine="851"/>
      </w:pPr>
      <w:r>
        <w:rPr>
          <w:noProof/>
        </w:rPr>
        <w:drawing>
          <wp:anchor distT="0" distB="0" distL="0" distR="0" simplePos="0" relativeHeight="251105792" behindDoc="1" locked="0" layoutInCell="1" allowOverlap="1" wp14:anchorId="51DEA363" wp14:editId="51DEA364">
            <wp:simplePos x="0" y="0"/>
            <wp:positionH relativeFrom="page">
              <wp:posOffset>899160</wp:posOffset>
            </wp:positionH>
            <wp:positionV relativeFrom="paragraph">
              <wp:posOffset>81314</wp:posOffset>
            </wp:positionV>
            <wp:extent cx="265175" cy="100753"/>
            <wp:effectExtent l="0" t="0" r="0" b="0"/>
            <wp:wrapNone/>
            <wp:docPr id="929" name="image4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 name="image475.png"/>
                    <pic:cNvPicPr/>
                  </pic:nvPicPr>
                  <pic:blipFill>
                    <a:blip r:embed="rId623" cstate="print"/>
                    <a:stretch>
                      <a:fillRect/>
                    </a:stretch>
                  </pic:blipFill>
                  <pic:spPr>
                    <a:xfrm>
                      <a:off x="0" y="0"/>
                      <a:ext cx="265175" cy="100753"/>
                    </a:xfrm>
                    <a:prstGeom prst="rect">
                      <a:avLst/>
                    </a:prstGeom>
                  </pic:spPr>
                </pic:pic>
              </a:graphicData>
            </a:graphic>
          </wp:anchor>
        </w:drawing>
      </w:r>
      <w:r>
        <w:t>MOFCOM</w:t>
      </w:r>
      <w:r>
        <w:rPr>
          <w:spacing w:val="-3"/>
        </w:rPr>
        <w:t xml:space="preserve"> </w:t>
      </w:r>
      <w:r>
        <w:t>was</w:t>
      </w:r>
      <w:r>
        <w:rPr>
          <w:spacing w:val="-4"/>
        </w:rPr>
        <w:t xml:space="preserve"> </w:t>
      </w:r>
      <w:r>
        <w:t>obliged</w:t>
      </w:r>
      <w:r>
        <w:rPr>
          <w:spacing w:val="-4"/>
        </w:rPr>
        <w:t xml:space="preserve"> </w:t>
      </w:r>
      <w:r>
        <w:t>by</w:t>
      </w:r>
      <w:r>
        <w:rPr>
          <w:spacing w:val="-3"/>
        </w:rPr>
        <w:t xml:space="preserve"> </w:t>
      </w:r>
      <w:r>
        <w:t>paragraph</w:t>
      </w:r>
      <w:r>
        <w:rPr>
          <w:spacing w:val="-3"/>
        </w:rPr>
        <w:t xml:space="preserve"> </w:t>
      </w:r>
      <w:r>
        <w:t>5</w:t>
      </w:r>
      <w:r>
        <w:rPr>
          <w:spacing w:val="-4"/>
        </w:rPr>
        <w:t xml:space="preserve"> </w:t>
      </w:r>
      <w:r>
        <w:t>of</w:t>
      </w:r>
      <w:r>
        <w:rPr>
          <w:spacing w:val="-4"/>
        </w:rPr>
        <w:t xml:space="preserve"> </w:t>
      </w:r>
      <w:r>
        <w:t>Annex</w:t>
      </w:r>
      <w:r>
        <w:rPr>
          <w:spacing w:val="-4"/>
        </w:rPr>
        <w:t xml:space="preserve"> </w:t>
      </w:r>
      <w:r>
        <w:t>II</w:t>
      </w:r>
      <w:r>
        <w:rPr>
          <w:spacing w:val="-3"/>
        </w:rPr>
        <w:t xml:space="preserve"> </w:t>
      </w:r>
      <w:r>
        <w:t>to</w:t>
      </w:r>
      <w:r>
        <w:rPr>
          <w:spacing w:val="-3"/>
        </w:rPr>
        <w:t xml:space="preserve"> </w:t>
      </w:r>
      <w:r>
        <w:t>use</w:t>
      </w:r>
      <w:r>
        <w:rPr>
          <w:spacing w:val="-3"/>
        </w:rPr>
        <w:t xml:space="preserve"> </w:t>
      </w:r>
      <w:r>
        <w:t>the</w:t>
      </w:r>
      <w:r>
        <w:rPr>
          <w:spacing w:val="-3"/>
        </w:rPr>
        <w:t xml:space="preserve"> </w:t>
      </w:r>
      <w:r>
        <w:t>information</w:t>
      </w:r>
      <w:r>
        <w:rPr>
          <w:spacing w:val="-3"/>
        </w:rPr>
        <w:t xml:space="preserve"> </w:t>
      </w:r>
      <w:r>
        <w:t>provided</w:t>
      </w:r>
      <w:r>
        <w:rPr>
          <w:spacing w:val="-4"/>
        </w:rPr>
        <w:t xml:space="preserve"> </w:t>
      </w:r>
      <w:r>
        <w:t>to it,</w:t>
      </w:r>
      <w:r>
        <w:rPr>
          <w:spacing w:val="1"/>
        </w:rPr>
        <w:t xml:space="preserve"> </w:t>
      </w:r>
      <w:r>
        <w:t>even if</w:t>
      </w:r>
      <w:r>
        <w:rPr>
          <w:spacing w:val="1"/>
        </w:rPr>
        <w:t xml:space="preserve"> </w:t>
      </w:r>
      <w:r>
        <w:t>not</w:t>
      </w:r>
      <w:r>
        <w:rPr>
          <w:spacing w:val="1"/>
        </w:rPr>
        <w:t xml:space="preserve"> </w:t>
      </w:r>
      <w:r>
        <w:t>ideal</w:t>
      </w:r>
      <w:r>
        <w:rPr>
          <w:spacing w:val="2"/>
        </w:rPr>
        <w:t xml:space="preserve"> </w:t>
      </w:r>
      <w:r>
        <w:t>in all</w:t>
      </w:r>
      <w:r>
        <w:rPr>
          <w:spacing w:val="1"/>
        </w:rPr>
        <w:t xml:space="preserve"> </w:t>
      </w:r>
      <w:r>
        <w:t>respects,</w:t>
      </w:r>
      <w:r>
        <w:rPr>
          <w:spacing w:val="1"/>
        </w:rPr>
        <w:t xml:space="preserve"> </w:t>
      </w:r>
      <w:r>
        <w:t>provided</w:t>
      </w:r>
      <w:r>
        <w:rPr>
          <w:spacing w:val="1"/>
        </w:rPr>
        <w:t xml:space="preserve"> </w:t>
      </w:r>
      <w:r>
        <w:t>Swan</w:t>
      </w:r>
      <w:r>
        <w:rPr>
          <w:spacing w:val="1"/>
        </w:rPr>
        <w:t xml:space="preserve"> </w:t>
      </w:r>
      <w:r>
        <w:t>Vintage</w:t>
      </w:r>
      <w:r>
        <w:rPr>
          <w:spacing w:val="3"/>
        </w:rPr>
        <w:t xml:space="preserve"> </w:t>
      </w:r>
      <w:r>
        <w:t>had</w:t>
      </w:r>
      <w:r>
        <w:rPr>
          <w:spacing w:val="1"/>
        </w:rPr>
        <w:t xml:space="preserve"> </w:t>
      </w:r>
      <w:r>
        <w:t>acted</w:t>
      </w:r>
      <w:r>
        <w:rPr>
          <w:spacing w:val="1"/>
        </w:rPr>
        <w:t xml:space="preserve"> </w:t>
      </w:r>
      <w:r>
        <w:t>to the</w:t>
      </w:r>
      <w:r>
        <w:rPr>
          <w:spacing w:val="2"/>
        </w:rPr>
        <w:t xml:space="preserve"> </w:t>
      </w:r>
      <w:r>
        <w:t>best</w:t>
      </w:r>
      <w:r>
        <w:rPr>
          <w:spacing w:val="1"/>
        </w:rPr>
        <w:t xml:space="preserve"> </w:t>
      </w:r>
      <w:r>
        <w:t xml:space="preserve">of its </w:t>
      </w:r>
      <w:r>
        <w:rPr>
          <w:spacing w:val="-2"/>
        </w:rPr>
        <w:t>ability.</w:t>
      </w:r>
    </w:p>
    <w:p w14:paraId="51DE8AFA" w14:textId="77777777" w:rsidR="0010369C" w:rsidRDefault="0010369C">
      <w:pPr>
        <w:pStyle w:val="BodyText"/>
        <w:rPr>
          <w:sz w:val="20"/>
        </w:rPr>
      </w:pPr>
    </w:p>
    <w:p w14:paraId="51DE8AFB" w14:textId="77777777" w:rsidR="0010369C" w:rsidRDefault="008E43AE">
      <w:pPr>
        <w:pStyle w:val="BodyText"/>
        <w:spacing w:before="5"/>
        <w:rPr>
          <w:sz w:val="18"/>
        </w:rPr>
      </w:pPr>
      <w:r>
        <w:pict w14:anchorId="51DEA365">
          <v:rect id="docshape913" o:spid="_x0000_s1424" style="position:absolute;margin-left:70.9pt;margin-top:12.5pt;width:2in;height:.8pt;z-index:-250877440;mso-wrap-distance-left:0;mso-wrap-distance-right:0;mso-position-horizontal-relative:page" fillcolor="black" stroked="f">
            <w10:wrap type="topAndBottom" anchorx="page"/>
          </v:rect>
        </w:pict>
      </w:r>
    </w:p>
    <w:p w14:paraId="51DE8AFC" w14:textId="77777777" w:rsidR="0010369C" w:rsidRDefault="008E43AE">
      <w:pPr>
        <w:spacing w:before="109"/>
        <w:ind w:left="238"/>
        <w:rPr>
          <w:sz w:val="18"/>
        </w:rPr>
      </w:pPr>
      <w:r>
        <w:rPr>
          <w:sz w:val="18"/>
          <w:vertAlign w:val="superscript"/>
        </w:rPr>
        <w:t>506</w:t>
      </w:r>
      <w:r>
        <w:rPr>
          <w:spacing w:val="-10"/>
          <w:sz w:val="18"/>
        </w:rPr>
        <w:t xml:space="preserve"> </w:t>
      </w:r>
      <w:r>
        <w:rPr>
          <w:sz w:val="18"/>
        </w:rPr>
        <w:t>Anti‐Dumping</w:t>
      </w:r>
      <w:r>
        <w:rPr>
          <w:spacing w:val="-9"/>
          <w:sz w:val="18"/>
        </w:rPr>
        <w:t xml:space="preserve"> </w:t>
      </w:r>
      <w:r>
        <w:rPr>
          <w:sz w:val="18"/>
        </w:rPr>
        <w:t>Preliminary</w:t>
      </w:r>
      <w:r>
        <w:rPr>
          <w:spacing w:val="-9"/>
          <w:sz w:val="18"/>
        </w:rPr>
        <w:t xml:space="preserve"> </w:t>
      </w:r>
      <w:r>
        <w:rPr>
          <w:sz w:val="18"/>
        </w:rPr>
        <w:t>Determination</w:t>
      </w:r>
      <w:r>
        <w:rPr>
          <w:spacing w:val="-9"/>
          <w:sz w:val="18"/>
        </w:rPr>
        <w:t xml:space="preserve"> </w:t>
      </w:r>
      <w:r>
        <w:rPr>
          <w:sz w:val="18"/>
        </w:rPr>
        <w:t>(Exhibit</w:t>
      </w:r>
      <w:r>
        <w:rPr>
          <w:spacing w:val="-10"/>
          <w:sz w:val="18"/>
        </w:rPr>
        <w:t xml:space="preserve"> </w:t>
      </w:r>
      <w:r>
        <w:rPr>
          <w:sz w:val="18"/>
        </w:rPr>
        <w:t>AUS‐35),</w:t>
      </w:r>
      <w:r>
        <w:rPr>
          <w:spacing w:val="-10"/>
          <w:sz w:val="18"/>
        </w:rPr>
        <w:t xml:space="preserve"> </w:t>
      </w:r>
      <w:r>
        <w:rPr>
          <w:sz w:val="18"/>
        </w:rPr>
        <w:t>p.</w:t>
      </w:r>
      <w:r>
        <w:rPr>
          <w:spacing w:val="-9"/>
          <w:sz w:val="18"/>
        </w:rPr>
        <w:t xml:space="preserve"> </w:t>
      </w:r>
      <w:r>
        <w:rPr>
          <w:spacing w:val="-5"/>
          <w:sz w:val="18"/>
        </w:rPr>
        <w:t>31.</w:t>
      </w:r>
    </w:p>
    <w:p w14:paraId="51DE8AFD" w14:textId="77777777" w:rsidR="0010369C" w:rsidRDefault="008E43AE">
      <w:pPr>
        <w:ind w:left="238"/>
        <w:rPr>
          <w:sz w:val="18"/>
        </w:rPr>
      </w:pPr>
      <w:r>
        <w:rPr>
          <w:sz w:val="18"/>
          <w:vertAlign w:val="superscript"/>
        </w:rPr>
        <w:t>507</w:t>
      </w:r>
      <w:r>
        <w:rPr>
          <w:spacing w:val="-11"/>
          <w:sz w:val="18"/>
        </w:rPr>
        <w:t xml:space="preserve"> </w:t>
      </w:r>
      <w:r>
        <w:rPr>
          <w:sz w:val="18"/>
        </w:rPr>
        <w:t>Swan</w:t>
      </w:r>
      <w:r>
        <w:rPr>
          <w:spacing w:val="-8"/>
          <w:sz w:val="18"/>
        </w:rPr>
        <w:t xml:space="preserve"> </w:t>
      </w:r>
      <w:r>
        <w:rPr>
          <w:sz w:val="18"/>
        </w:rPr>
        <w:t>Vintage</w:t>
      </w:r>
      <w:r>
        <w:rPr>
          <w:spacing w:val="-8"/>
          <w:sz w:val="18"/>
        </w:rPr>
        <w:t xml:space="preserve"> </w:t>
      </w:r>
      <w:r>
        <w:rPr>
          <w:sz w:val="18"/>
        </w:rPr>
        <w:t>Comments</w:t>
      </w:r>
      <w:r>
        <w:rPr>
          <w:spacing w:val="-9"/>
          <w:sz w:val="18"/>
        </w:rPr>
        <w:t xml:space="preserve"> </w:t>
      </w:r>
      <w:r>
        <w:rPr>
          <w:sz w:val="18"/>
        </w:rPr>
        <w:t>on</w:t>
      </w:r>
      <w:r>
        <w:rPr>
          <w:spacing w:val="-8"/>
          <w:sz w:val="18"/>
        </w:rPr>
        <w:t xml:space="preserve"> </w:t>
      </w:r>
      <w:r>
        <w:rPr>
          <w:sz w:val="18"/>
        </w:rPr>
        <w:t>the</w:t>
      </w:r>
      <w:r>
        <w:rPr>
          <w:spacing w:val="-9"/>
          <w:sz w:val="18"/>
        </w:rPr>
        <w:t xml:space="preserve"> </w:t>
      </w:r>
      <w:r>
        <w:rPr>
          <w:sz w:val="18"/>
        </w:rPr>
        <w:t>Preliminary</w:t>
      </w:r>
      <w:r>
        <w:rPr>
          <w:spacing w:val="-9"/>
          <w:sz w:val="18"/>
        </w:rPr>
        <w:t xml:space="preserve"> </w:t>
      </w:r>
      <w:r>
        <w:rPr>
          <w:sz w:val="18"/>
        </w:rPr>
        <w:t>Determination</w:t>
      </w:r>
      <w:r>
        <w:rPr>
          <w:spacing w:val="-8"/>
          <w:sz w:val="18"/>
        </w:rPr>
        <w:t xml:space="preserve"> </w:t>
      </w:r>
      <w:r>
        <w:rPr>
          <w:sz w:val="18"/>
        </w:rPr>
        <w:t>(Exhibit</w:t>
      </w:r>
      <w:r>
        <w:rPr>
          <w:spacing w:val="-9"/>
          <w:sz w:val="18"/>
        </w:rPr>
        <w:t xml:space="preserve"> </w:t>
      </w:r>
      <w:r>
        <w:rPr>
          <w:sz w:val="18"/>
        </w:rPr>
        <w:t>AUS‐38),</w:t>
      </w:r>
      <w:r>
        <w:rPr>
          <w:spacing w:val="-9"/>
          <w:sz w:val="18"/>
        </w:rPr>
        <w:t xml:space="preserve"> </w:t>
      </w:r>
      <w:r>
        <w:rPr>
          <w:sz w:val="18"/>
        </w:rPr>
        <w:t>p.</w:t>
      </w:r>
      <w:r>
        <w:rPr>
          <w:spacing w:val="-8"/>
          <w:sz w:val="18"/>
        </w:rPr>
        <w:t xml:space="preserve"> </w:t>
      </w:r>
      <w:r>
        <w:rPr>
          <w:spacing w:val="-5"/>
          <w:sz w:val="18"/>
        </w:rPr>
        <w:t>12.</w:t>
      </w:r>
    </w:p>
    <w:p w14:paraId="51DE8AFE" w14:textId="77777777" w:rsidR="0010369C" w:rsidRDefault="008E43AE">
      <w:pPr>
        <w:spacing w:before="1"/>
        <w:ind w:left="238"/>
        <w:rPr>
          <w:sz w:val="18"/>
        </w:rPr>
      </w:pPr>
      <w:r>
        <w:rPr>
          <w:sz w:val="18"/>
          <w:vertAlign w:val="superscript"/>
        </w:rPr>
        <w:t>508</w:t>
      </w:r>
      <w:r>
        <w:rPr>
          <w:spacing w:val="-7"/>
          <w:sz w:val="18"/>
        </w:rPr>
        <w:t xml:space="preserve"> </w:t>
      </w:r>
      <w:r>
        <w:rPr>
          <w:sz w:val="18"/>
        </w:rPr>
        <w:t>Appellate</w:t>
      </w:r>
      <w:r>
        <w:rPr>
          <w:spacing w:val="-7"/>
          <w:sz w:val="18"/>
        </w:rPr>
        <w:t xml:space="preserve"> </w:t>
      </w:r>
      <w:r>
        <w:rPr>
          <w:sz w:val="18"/>
        </w:rPr>
        <w:t>Body</w:t>
      </w:r>
      <w:r>
        <w:rPr>
          <w:spacing w:val="-9"/>
          <w:sz w:val="18"/>
        </w:rPr>
        <w:t xml:space="preserve"> </w:t>
      </w:r>
      <w:r>
        <w:rPr>
          <w:sz w:val="18"/>
        </w:rPr>
        <w:t>Report,</w:t>
      </w:r>
      <w:r>
        <w:rPr>
          <w:spacing w:val="-7"/>
          <w:sz w:val="18"/>
        </w:rPr>
        <w:t xml:space="preserve"> </w:t>
      </w:r>
      <w:r>
        <w:rPr>
          <w:i/>
          <w:sz w:val="18"/>
        </w:rPr>
        <w:t>US</w:t>
      </w:r>
      <w:r>
        <w:rPr>
          <w:i/>
          <w:spacing w:val="-7"/>
          <w:sz w:val="18"/>
        </w:rPr>
        <w:t xml:space="preserve"> </w:t>
      </w:r>
      <w:r>
        <w:rPr>
          <w:i/>
          <w:sz w:val="18"/>
        </w:rPr>
        <w:t>–</w:t>
      </w:r>
      <w:r>
        <w:rPr>
          <w:i/>
          <w:spacing w:val="-7"/>
          <w:sz w:val="18"/>
        </w:rPr>
        <w:t xml:space="preserve"> </w:t>
      </w:r>
      <w:r>
        <w:rPr>
          <w:i/>
          <w:sz w:val="18"/>
        </w:rPr>
        <w:t>Supercalendered</w:t>
      </w:r>
      <w:r>
        <w:rPr>
          <w:i/>
          <w:spacing w:val="-7"/>
          <w:sz w:val="18"/>
        </w:rPr>
        <w:t xml:space="preserve"> </w:t>
      </w:r>
      <w:r>
        <w:rPr>
          <w:i/>
          <w:sz w:val="18"/>
        </w:rPr>
        <w:t>Paper</w:t>
      </w:r>
      <w:r>
        <w:rPr>
          <w:sz w:val="18"/>
        </w:rPr>
        <w:t>,</w:t>
      </w:r>
      <w:r>
        <w:rPr>
          <w:spacing w:val="-8"/>
          <w:sz w:val="18"/>
        </w:rPr>
        <w:t xml:space="preserve"> </w:t>
      </w:r>
      <w:r>
        <w:rPr>
          <w:sz w:val="18"/>
        </w:rPr>
        <w:t>para.</w:t>
      </w:r>
      <w:r>
        <w:rPr>
          <w:spacing w:val="-7"/>
          <w:sz w:val="18"/>
        </w:rPr>
        <w:t xml:space="preserve"> </w:t>
      </w:r>
      <w:r>
        <w:rPr>
          <w:spacing w:val="-2"/>
          <w:sz w:val="18"/>
        </w:rPr>
        <w:t>5.81.</w:t>
      </w:r>
    </w:p>
    <w:p w14:paraId="51DE8AFF" w14:textId="77777777" w:rsidR="0010369C" w:rsidRDefault="008E43AE">
      <w:pPr>
        <w:ind w:left="238"/>
        <w:rPr>
          <w:sz w:val="18"/>
        </w:rPr>
      </w:pPr>
      <w:r>
        <w:rPr>
          <w:sz w:val="18"/>
          <w:vertAlign w:val="superscript"/>
        </w:rPr>
        <w:t>509</w:t>
      </w:r>
      <w:r>
        <w:rPr>
          <w:spacing w:val="-5"/>
          <w:sz w:val="18"/>
        </w:rPr>
        <w:t xml:space="preserve"> </w:t>
      </w:r>
      <w:r>
        <w:rPr>
          <w:sz w:val="18"/>
        </w:rPr>
        <w:t>Panel</w:t>
      </w:r>
      <w:r>
        <w:rPr>
          <w:spacing w:val="-5"/>
          <w:sz w:val="18"/>
        </w:rPr>
        <w:t xml:space="preserve"> </w:t>
      </w:r>
      <w:r>
        <w:rPr>
          <w:sz w:val="18"/>
        </w:rPr>
        <w:t>Report,</w:t>
      </w:r>
      <w:r>
        <w:rPr>
          <w:spacing w:val="-4"/>
          <w:sz w:val="18"/>
        </w:rPr>
        <w:t xml:space="preserve"> </w:t>
      </w:r>
      <w:r>
        <w:rPr>
          <w:i/>
          <w:sz w:val="18"/>
        </w:rPr>
        <w:t>US</w:t>
      </w:r>
      <w:r>
        <w:rPr>
          <w:i/>
          <w:spacing w:val="-4"/>
          <w:sz w:val="18"/>
        </w:rPr>
        <w:t xml:space="preserve"> </w:t>
      </w:r>
      <w:r>
        <w:rPr>
          <w:i/>
          <w:sz w:val="18"/>
        </w:rPr>
        <w:t>–</w:t>
      </w:r>
      <w:r>
        <w:rPr>
          <w:i/>
          <w:spacing w:val="-5"/>
          <w:sz w:val="18"/>
        </w:rPr>
        <w:t xml:space="preserve"> </w:t>
      </w:r>
      <w:r>
        <w:rPr>
          <w:i/>
          <w:sz w:val="18"/>
        </w:rPr>
        <w:t>Steel</w:t>
      </w:r>
      <w:r>
        <w:rPr>
          <w:i/>
          <w:spacing w:val="-6"/>
          <w:sz w:val="18"/>
        </w:rPr>
        <w:t xml:space="preserve"> </w:t>
      </w:r>
      <w:r>
        <w:rPr>
          <w:i/>
          <w:sz w:val="18"/>
        </w:rPr>
        <w:t>Plate</w:t>
      </w:r>
      <w:r>
        <w:rPr>
          <w:sz w:val="18"/>
        </w:rPr>
        <w:t>,</w:t>
      </w:r>
      <w:r>
        <w:rPr>
          <w:spacing w:val="-5"/>
          <w:sz w:val="18"/>
        </w:rPr>
        <w:t xml:space="preserve"> </w:t>
      </w:r>
      <w:r>
        <w:rPr>
          <w:sz w:val="18"/>
        </w:rPr>
        <w:t>para.</w:t>
      </w:r>
      <w:r>
        <w:rPr>
          <w:spacing w:val="-4"/>
          <w:sz w:val="18"/>
        </w:rPr>
        <w:t xml:space="preserve"> </w:t>
      </w:r>
      <w:r>
        <w:rPr>
          <w:spacing w:val="-2"/>
          <w:sz w:val="18"/>
        </w:rPr>
        <w:t>7.58.</w:t>
      </w:r>
    </w:p>
    <w:p w14:paraId="51DE8B00" w14:textId="77777777" w:rsidR="0010369C" w:rsidRDefault="008E43AE">
      <w:pPr>
        <w:ind w:left="238"/>
        <w:rPr>
          <w:sz w:val="18"/>
        </w:rPr>
      </w:pPr>
      <w:r>
        <w:rPr>
          <w:sz w:val="18"/>
          <w:vertAlign w:val="superscript"/>
        </w:rPr>
        <w:t>510</w:t>
      </w:r>
      <w:r>
        <w:rPr>
          <w:spacing w:val="-5"/>
          <w:sz w:val="18"/>
        </w:rPr>
        <w:t xml:space="preserve"> </w:t>
      </w:r>
      <w:r>
        <w:rPr>
          <w:sz w:val="18"/>
        </w:rPr>
        <w:t>Panel</w:t>
      </w:r>
      <w:r>
        <w:rPr>
          <w:spacing w:val="-6"/>
          <w:sz w:val="18"/>
        </w:rPr>
        <w:t xml:space="preserve"> </w:t>
      </w:r>
      <w:r>
        <w:rPr>
          <w:sz w:val="18"/>
        </w:rPr>
        <w:t>Report,</w:t>
      </w:r>
      <w:r>
        <w:rPr>
          <w:spacing w:val="-5"/>
          <w:sz w:val="18"/>
        </w:rPr>
        <w:t xml:space="preserve"> </w:t>
      </w:r>
      <w:r>
        <w:rPr>
          <w:i/>
          <w:sz w:val="18"/>
        </w:rPr>
        <w:t>China</w:t>
      </w:r>
      <w:r>
        <w:rPr>
          <w:i/>
          <w:spacing w:val="-5"/>
          <w:sz w:val="18"/>
        </w:rPr>
        <w:t xml:space="preserve"> </w:t>
      </w:r>
      <w:r>
        <w:rPr>
          <w:i/>
          <w:sz w:val="18"/>
        </w:rPr>
        <w:t>–</w:t>
      </w:r>
      <w:r>
        <w:rPr>
          <w:i/>
          <w:spacing w:val="-5"/>
          <w:sz w:val="18"/>
        </w:rPr>
        <w:t xml:space="preserve"> </w:t>
      </w:r>
      <w:r>
        <w:rPr>
          <w:i/>
          <w:sz w:val="18"/>
        </w:rPr>
        <w:t>Broiler</w:t>
      </w:r>
      <w:r>
        <w:rPr>
          <w:i/>
          <w:spacing w:val="-6"/>
          <w:sz w:val="18"/>
        </w:rPr>
        <w:t xml:space="preserve"> </w:t>
      </w:r>
      <w:r>
        <w:rPr>
          <w:i/>
          <w:sz w:val="18"/>
        </w:rPr>
        <w:t>Products</w:t>
      </w:r>
      <w:r>
        <w:rPr>
          <w:i/>
          <w:spacing w:val="-6"/>
          <w:sz w:val="18"/>
        </w:rPr>
        <w:t xml:space="preserve"> </w:t>
      </w:r>
      <w:r>
        <w:rPr>
          <w:i/>
          <w:sz w:val="18"/>
        </w:rPr>
        <w:t>(Article</w:t>
      </w:r>
      <w:r>
        <w:rPr>
          <w:i/>
          <w:spacing w:val="-5"/>
          <w:sz w:val="18"/>
        </w:rPr>
        <w:t xml:space="preserve"> </w:t>
      </w:r>
      <w:r>
        <w:rPr>
          <w:i/>
          <w:sz w:val="18"/>
        </w:rPr>
        <w:t>21.5</w:t>
      </w:r>
      <w:r>
        <w:rPr>
          <w:i/>
          <w:spacing w:val="-5"/>
          <w:sz w:val="18"/>
        </w:rPr>
        <w:t xml:space="preserve"> </w:t>
      </w:r>
      <w:r>
        <w:rPr>
          <w:i/>
          <w:sz w:val="18"/>
        </w:rPr>
        <w:t>‐</w:t>
      </w:r>
      <w:r>
        <w:rPr>
          <w:i/>
          <w:spacing w:val="-5"/>
          <w:sz w:val="18"/>
        </w:rPr>
        <w:t xml:space="preserve"> </w:t>
      </w:r>
      <w:r>
        <w:rPr>
          <w:i/>
          <w:sz w:val="18"/>
        </w:rPr>
        <w:t>US)</w:t>
      </w:r>
      <w:r>
        <w:rPr>
          <w:sz w:val="18"/>
        </w:rPr>
        <w:t>,</w:t>
      </w:r>
      <w:r>
        <w:rPr>
          <w:spacing w:val="-6"/>
          <w:sz w:val="18"/>
        </w:rPr>
        <w:t xml:space="preserve"> </w:t>
      </w:r>
      <w:r>
        <w:rPr>
          <w:sz w:val="18"/>
        </w:rPr>
        <w:t>para.</w:t>
      </w:r>
      <w:r>
        <w:rPr>
          <w:spacing w:val="-5"/>
          <w:sz w:val="18"/>
        </w:rPr>
        <w:t xml:space="preserve"> </w:t>
      </w:r>
      <w:r>
        <w:rPr>
          <w:spacing w:val="-2"/>
          <w:sz w:val="18"/>
        </w:rPr>
        <w:t>7.343.</w:t>
      </w:r>
    </w:p>
    <w:p w14:paraId="51DE8B01" w14:textId="77777777" w:rsidR="0010369C" w:rsidRDefault="008E43AE">
      <w:pPr>
        <w:ind w:left="238"/>
        <w:rPr>
          <w:sz w:val="18"/>
        </w:rPr>
      </w:pPr>
      <w:r>
        <w:rPr>
          <w:sz w:val="18"/>
          <w:vertAlign w:val="superscript"/>
        </w:rPr>
        <w:t>511</w:t>
      </w:r>
      <w:r>
        <w:rPr>
          <w:spacing w:val="-5"/>
          <w:sz w:val="18"/>
        </w:rPr>
        <w:t xml:space="preserve"> </w:t>
      </w:r>
      <w:r>
        <w:rPr>
          <w:sz w:val="18"/>
        </w:rPr>
        <w:t>Panel</w:t>
      </w:r>
      <w:r>
        <w:rPr>
          <w:spacing w:val="-5"/>
          <w:sz w:val="18"/>
        </w:rPr>
        <w:t xml:space="preserve"> </w:t>
      </w:r>
      <w:r>
        <w:rPr>
          <w:sz w:val="18"/>
        </w:rPr>
        <w:t>Reports,</w:t>
      </w:r>
      <w:r>
        <w:rPr>
          <w:spacing w:val="-5"/>
          <w:sz w:val="18"/>
        </w:rPr>
        <w:t xml:space="preserve"> </w:t>
      </w:r>
      <w:r>
        <w:rPr>
          <w:i/>
          <w:sz w:val="18"/>
        </w:rPr>
        <w:t>US</w:t>
      </w:r>
      <w:r>
        <w:rPr>
          <w:i/>
          <w:spacing w:val="-4"/>
          <w:sz w:val="18"/>
        </w:rPr>
        <w:t xml:space="preserve"> </w:t>
      </w:r>
      <w:r>
        <w:rPr>
          <w:i/>
          <w:sz w:val="18"/>
        </w:rPr>
        <w:t>–</w:t>
      </w:r>
      <w:r>
        <w:rPr>
          <w:i/>
          <w:spacing w:val="-5"/>
          <w:sz w:val="18"/>
        </w:rPr>
        <w:t xml:space="preserve"> </w:t>
      </w:r>
      <w:r>
        <w:rPr>
          <w:i/>
          <w:sz w:val="18"/>
        </w:rPr>
        <w:t>Steel</w:t>
      </w:r>
      <w:r>
        <w:rPr>
          <w:i/>
          <w:spacing w:val="-5"/>
          <w:sz w:val="18"/>
        </w:rPr>
        <w:t xml:space="preserve"> </w:t>
      </w:r>
      <w:r>
        <w:rPr>
          <w:i/>
          <w:sz w:val="18"/>
        </w:rPr>
        <w:t>Plate</w:t>
      </w:r>
      <w:r>
        <w:rPr>
          <w:sz w:val="18"/>
        </w:rPr>
        <w:t>,</w:t>
      </w:r>
      <w:r>
        <w:rPr>
          <w:spacing w:val="-6"/>
          <w:sz w:val="18"/>
        </w:rPr>
        <w:t xml:space="preserve"> </w:t>
      </w:r>
      <w:r>
        <w:rPr>
          <w:sz w:val="18"/>
        </w:rPr>
        <w:t>para.</w:t>
      </w:r>
      <w:r>
        <w:rPr>
          <w:spacing w:val="-5"/>
          <w:sz w:val="18"/>
        </w:rPr>
        <w:t xml:space="preserve"> </w:t>
      </w:r>
      <w:r>
        <w:rPr>
          <w:sz w:val="18"/>
        </w:rPr>
        <w:t>7.57;</w:t>
      </w:r>
      <w:r>
        <w:rPr>
          <w:spacing w:val="-5"/>
          <w:sz w:val="18"/>
        </w:rPr>
        <w:t xml:space="preserve"> </w:t>
      </w:r>
      <w:r>
        <w:rPr>
          <w:i/>
          <w:sz w:val="18"/>
        </w:rPr>
        <w:t>China</w:t>
      </w:r>
      <w:r>
        <w:rPr>
          <w:i/>
          <w:spacing w:val="-5"/>
          <w:sz w:val="18"/>
        </w:rPr>
        <w:t xml:space="preserve"> </w:t>
      </w:r>
      <w:r>
        <w:rPr>
          <w:i/>
          <w:sz w:val="18"/>
        </w:rPr>
        <w:t>–</w:t>
      </w:r>
      <w:r>
        <w:rPr>
          <w:i/>
          <w:spacing w:val="-4"/>
          <w:sz w:val="18"/>
        </w:rPr>
        <w:t xml:space="preserve"> </w:t>
      </w:r>
      <w:r>
        <w:rPr>
          <w:i/>
          <w:sz w:val="18"/>
        </w:rPr>
        <w:t>Broiler</w:t>
      </w:r>
      <w:r>
        <w:rPr>
          <w:i/>
          <w:spacing w:val="-6"/>
          <w:sz w:val="18"/>
        </w:rPr>
        <w:t xml:space="preserve"> </w:t>
      </w:r>
      <w:r>
        <w:rPr>
          <w:i/>
          <w:sz w:val="18"/>
        </w:rPr>
        <w:t>Products</w:t>
      </w:r>
      <w:r>
        <w:rPr>
          <w:i/>
          <w:spacing w:val="-5"/>
          <w:sz w:val="18"/>
        </w:rPr>
        <w:t xml:space="preserve"> </w:t>
      </w:r>
      <w:r>
        <w:rPr>
          <w:i/>
          <w:sz w:val="18"/>
        </w:rPr>
        <w:t>(Article</w:t>
      </w:r>
      <w:r>
        <w:rPr>
          <w:i/>
          <w:spacing w:val="-5"/>
          <w:sz w:val="18"/>
        </w:rPr>
        <w:t xml:space="preserve"> </w:t>
      </w:r>
      <w:r>
        <w:rPr>
          <w:i/>
          <w:sz w:val="18"/>
        </w:rPr>
        <w:t>21.5</w:t>
      </w:r>
      <w:r>
        <w:rPr>
          <w:i/>
          <w:spacing w:val="-4"/>
          <w:sz w:val="18"/>
        </w:rPr>
        <w:t xml:space="preserve"> </w:t>
      </w:r>
      <w:r>
        <w:rPr>
          <w:i/>
          <w:sz w:val="18"/>
        </w:rPr>
        <w:t>‐</w:t>
      </w:r>
      <w:r>
        <w:rPr>
          <w:i/>
          <w:spacing w:val="-4"/>
          <w:sz w:val="18"/>
        </w:rPr>
        <w:t xml:space="preserve"> </w:t>
      </w:r>
      <w:r>
        <w:rPr>
          <w:i/>
          <w:sz w:val="18"/>
        </w:rPr>
        <w:t>US)</w:t>
      </w:r>
      <w:r>
        <w:rPr>
          <w:sz w:val="18"/>
        </w:rPr>
        <w:t>,</w:t>
      </w:r>
      <w:r>
        <w:rPr>
          <w:spacing w:val="-6"/>
          <w:sz w:val="18"/>
        </w:rPr>
        <w:t xml:space="preserve"> </w:t>
      </w:r>
      <w:r>
        <w:rPr>
          <w:sz w:val="18"/>
        </w:rPr>
        <w:t>para.</w:t>
      </w:r>
      <w:r>
        <w:rPr>
          <w:spacing w:val="-4"/>
          <w:sz w:val="18"/>
        </w:rPr>
        <w:t xml:space="preserve"> </w:t>
      </w:r>
      <w:r>
        <w:rPr>
          <w:sz w:val="18"/>
        </w:rPr>
        <w:t>7.</w:t>
      </w:r>
      <w:r>
        <w:rPr>
          <w:spacing w:val="-5"/>
          <w:sz w:val="18"/>
        </w:rPr>
        <w:t xml:space="preserve"> </w:t>
      </w:r>
      <w:r>
        <w:rPr>
          <w:spacing w:val="-4"/>
          <w:sz w:val="18"/>
        </w:rPr>
        <w:t>343.</w:t>
      </w:r>
    </w:p>
    <w:p w14:paraId="51DE8B02" w14:textId="77777777" w:rsidR="0010369C" w:rsidRDefault="0010369C">
      <w:pPr>
        <w:rPr>
          <w:sz w:val="18"/>
        </w:rPr>
        <w:sectPr w:rsidR="0010369C">
          <w:headerReference w:type="default" r:id="rId624"/>
          <w:footerReference w:type="default" r:id="rId625"/>
          <w:pgSz w:w="11910" w:h="16840"/>
          <w:pgMar w:top="880" w:right="800" w:bottom="980" w:left="1180" w:header="569" w:footer="788" w:gutter="0"/>
          <w:cols w:space="720"/>
        </w:sectPr>
      </w:pPr>
    </w:p>
    <w:p w14:paraId="51DE8B03" w14:textId="77777777" w:rsidR="0010369C" w:rsidRDefault="008E43AE">
      <w:pPr>
        <w:tabs>
          <w:tab w:val="left" w:pos="6426"/>
        </w:tabs>
        <w:ind w:left="238"/>
        <w:jc w:val="both"/>
        <w:rPr>
          <w:sz w:val="20"/>
        </w:rPr>
      </w:pPr>
      <w:r>
        <w:rPr>
          <w:i/>
          <w:sz w:val="20"/>
        </w:rPr>
        <w:lastRenderedPageBreak/>
        <w:t>China</w:t>
      </w:r>
      <w:r>
        <w:rPr>
          <w:i/>
          <w:spacing w:val="-5"/>
          <w:sz w:val="20"/>
        </w:rPr>
        <w:t xml:space="preserve"> </w:t>
      </w:r>
      <w:r>
        <w:rPr>
          <w:i/>
          <w:sz w:val="20"/>
        </w:rPr>
        <w:t>–</w:t>
      </w:r>
      <w:r>
        <w:rPr>
          <w:i/>
          <w:spacing w:val="-5"/>
          <w:sz w:val="20"/>
        </w:rPr>
        <w:t xml:space="preserve"> </w:t>
      </w:r>
      <w:r>
        <w:rPr>
          <w:i/>
          <w:sz w:val="20"/>
        </w:rPr>
        <w:t>Anti‐Dumping</w:t>
      </w:r>
      <w:r>
        <w:rPr>
          <w:i/>
          <w:spacing w:val="-4"/>
          <w:sz w:val="20"/>
        </w:rPr>
        <w:t xml:space="preserve"> </w:t>
      </w:r>
      <w:r>
        <w:rPr>
          <w:i/>
          <w:sz w:val="20"/>
        </w:rPr>
        <w:t>and</w:t>
      </w:r>
      <w:r>
        <w:rPr>
          <w:i/>
          <w:spacing w:val="-5"/>
          <w:sz w:val="20"/>
        </w:rPr>
        <w:t xml:space="preserve"> </w:t>
      </w:r>
      <w:r>
        <w:rPr>
          <w:i/>
          <w:sz w:val="20"/>
        </w:rPr>
        <w:t>Countervailing</w:t>
      </w:r>
      <w:r>
        <w:rPr>
          <w:i/>
          <w:spacing w:val="-5"/>
          <w:sz w:val="20"/>
        </w:rPr>
        <w:t xml:space="preserve"> </w:t>
      </w:r>
      <w:r>
        <w:rPr>
          <w:i/>
          <w:sz w:val="20"/>
        </w:rPr>
        <w:t>Duty</w:t>
      </w:r>
      <w:r>
        <w:rPr>
          <w:i/>
          <w:spacing w:val="-4"/>
          <w:sz w:val="20"/>
        </w:rPr>
        <w:t xml:space="preserve"> </w:t>
      </w:r>
      <w:r>
        <w:rPr>
          <w:i/>
          <w:spacing w:val="-2"/>
          <w:sz w:val="20"/>
        </w:rPr>
        <w:t>Measures</w:t>
      </w:r>
      <w:r>
        <w:rPr>
          <w:i/>
          <w:sz w:val="20"/>
        </w:rPr>
        <w:tab/>
      </w:r>
      <w:r>
        <w:rPr>
          <w:sz w:val="20"/>
        </w:rPr>
        <w:t>Australia's</w:t>
      </w:r>
      <w:r>
        <w:rPr>
          <w:spacing w:val="-7"/>
          <w:sz w:val="20"/>
        </w:rPr>
        <w:t xml:space="preserve"> </w:t>
      </w:r>
      <w:r>
        <w:rPr>
          <w:sz w:val="20"/>
        </w:rPr>
        <w:t>First</w:t>
      </w:r>
      <w:r>
        <w:rPr>
          <w:spacing w:val="-2"/>
          <w:sz w:val="20"/>
        </w:rPr>
        <w:t xml:space="preserve"> </w:t>
      </w:r>
      <w:r>
        <w:rPr>
          <w:sz w:val="20"/>
        </w:rPr>
        <w:t>Written</w:t>
      </w:r>
      <w:r>
        <w:rPr>
          <w:spacing w:val="-2"/>
          <w:sz w:val="20"/>
        </w:rPr>
        <w:t xml:space="preserve"> Submission</w:t>
      </w:r>
    </w:p>
    <w:p w14:paraId="51DE8B04" w14:textId="77777777" w:rsidR="0010369C" w:rsidRDefault="008E43AE">
      <w:pPr>
        <w:tabs>
          <w:tab w:val="left" w:pos="8228"/>
        </w:tabs>
        <w:spacing w:before="1"/>
        <w:ind w:left="239"/>
        <w:jc w:val="both"/>
        <w:rPr>
          <w:sz w:val="20"/>
        </w:rPr>
      </w:pPr>
      <w:r>
        <w:rPr>
          <w:i/>
          <w:sz w:val="20"/>
        </w:rPr>
        <w:t>on</w:t>
      </w:r>
      <w:r>
        <w:rPr>
          <w:i/>
          <w:spacing w:val="-1"/>
          <w:sz w:val="20"/>
        </w:rPr>
        <w:t xml:space="preserve"> </w:t>
      </w:r>
      <w:r>
        <w:rPr>
          <w:i/>
          <w:sz w:val="20"/>
        </w:rPr>
        <w:t>Wine</w:t>
      </w:r>
      <w:r>
        <w:rPr>
          <w:i/>
          <w:spacing w:val="-1"/>
          <w:sz w:val="20"/>
        </w:rPr>
        <w:t xml:space="preserve"> </w:t>
      </w:r>
      <w:r>
        <w:rPr>
          <w:i/>
          <w:sz w:val="20"/>
        </w:rPr>
        <w:t>from</w:t>
      </w:r>
      <w:r>
        <w:rPr>
          <w:i/>
          <w:spacing w:val="-3"/>
          <w:sz w:val="20"/>
        </w:rPr>
        <w:t xml:space="preserve"> </w:t>
      </w:r>
      <w:r>
        <w:rPr>
          <w:i/>
          <w:sz w:val="20"/>
        </w:rPr>
        <w:t>Australia</w:t>
      </w:r>
      <w:r>
        <w:rPr>
          <w:i/>
          <w:spacing w:val="-1"/>
          <w:sz w:val="20"/>
        </w:rPr>
        <w:t xml:space="preserve"> </w:t>
      </w:r>
      <w:r>
        <w:rPr>
          <w:spacing w:val="-2"/>
          <w:sz w:val="20"/>
        </w:rPr>
        <w:t>(DS602)</w:t>
      </w:r>
      <w:r>
        <w:rPr>
          <w:sz w:val="20"/>
        </w:rPr>
        <w:tab/>
        <w:t>29</w:t>
      </w:r>
      <w:r>
        <w:rPr>
          <w:spacing w:val="-1"/>
          <w:sz w:val="20"/>
        </w:rPr>
        <w:t xml:space="preserve"> </w:t>
      </w:r>
      <w:r>
        <w:rPr>
          <w:sz w:val="20"/>
        </w:rPr>
        <w:t>April</w:t>
      </w:r>
      <w:r>
        <w:rPr>
          <w:spacing w:val="-2"/>
          <w:sz w:val="20"/>
        </w:rPr>
        <w:t xml:space="preserve"> </w:t>
      </w:r>
      <w:r>
        <w:rPr>
          <w:spacing w:val="-4"/>
          <w:sz w:val="20"/>
        </w:rPr>
        <w:t>2022</w:t>
      </w:r>
    </w:p>
    <w:p w14:paraId="51DE8B05" w14:textId="77777777" w:rsidR="0010369C" w:rsidRDefault="008E43AE">
      <w:pPr>
        <w:pStyle w:val="BodyText"/>
        <w:spacing w:before="34" w:line="360" w:lineRule="auto"/>
        <w:ind w:left="237" w:right="613"/>
        <w:jc w:val="both"/>
      </w:pPr>
      <w:r>
        <w:t>Given the comprehensive explanations, and resubmissions of data and information in different</w:t>
      </w:r>
      <w:r>
        <w:rPr>
          <w:spacing w:val="-8"/>
        </w:rPr>
        <w:t xml:space="preserve"> </w:t>
      </w:r>
      <w:r>
        <w:t>formats</w:t>
      </w:r>
      <w:r>
        <w:rPr>
          <w:spacing w:val="-9"/>
        </w:rPr>
        <w:t xml:space="preserve"> </w:t>
      </w:r>
      <w:r>
        <w:t>b</w:t>
      </w:r>
      <w:r>
        <w:t>y</w:t>
      </w:r>
      <w:r>
        <w:rPr>
          <w:spacing w:val="-8"/>
        </w:rPr>
        <w:t xml:space="preserve"> </w:t>
      </w:r>
      <w:r>
        <w:t>Swan</w:t>
      </w:r>
      <w:r>
        <w:rPr>
          <w:spacing w:val="-8"/>
        </w:rPr>
        <w:t xml:space="preserve"> </w:t>
      </w:r>
      <w:r>
        <w:t>Vintage,</w:t>
      </w:r>
      <w:r>
        <w:rPr>
          <w:spacing w:val="-9"/>
        </w:rPr>
        <w:t xml:space="preserve"> </w:t>
      </w:r>
      <w:r>
        <w:t>MOFCOM</w:t>
      </w:r>
      <w:r>
        <w:rPr>
          <w:spacing w:val="-8"/>
        </w:rPr>
        <w:t xml:space="preserve"> </w:t>
      </w:r>
      <w:r>
        <w:t>should</w:t>
      </w:r>
      <w:r>
        <w:rPr>
          <w:spacing w:val="-8"/>
        </w:rPr>
        <w:t xml:space="preserve"> </w:t>
      </w:r>
      <w:r>
        <w:t>have</w:t>
      </w:r>
      <w:r>
        <w:rPr>
          <w:spacing w:val="-7"/>
        </w:rPr>
        <w:t xml:space="preserve"> </w:t>
      </w:r>
      <w:r>
        <w:t>found</w:t>
      </w:r>
      <w:r>
        <w:rPr>
          <w:spacing w:val="-8"/>
        </w:rPr>
        <w:t xml:space="preserve"> </w:t>
      </w:r>
      <w:r>
        <w:t>that</w:t>
      </w:r>
      <w:r>
        <w:rPr>
          <w:spacing w:val="-9"/>
        </w:rPr>
        <w:t xml:space="preserve"> </w:t>
      </w:r>
      <w:r>
        <w:t>Swan</w:t>
      </w:r>
      <w:r>
        <w:rPr>
          <w:spacing w:val="-8"/>
        </w:rPr>
        <w:t xml:space="preserve"> </w:t>
      </w:r>
      <w:r>
        <w:t>Vintage</w:t>
      </w:r>
      <w:r>
        <w:rPr>
          <w:spacing w:val="-9"/>
        </w:rPr>
        <w:t xml:space="preserve"> </w:t>
      </w:r>
      <w:r>
        <w:t>had</w:t>
      </w:r>
      <w:r>
        <w:rPr>
          <w:spacing w:val="-8"/>
        </w:rPr>
        <w:t xml:space="preserve"> </w:t>
      </w:r>
      <w:r>
        <w:t>acted to the best of its ability.</w:t>
      </w:r>
    </w:p>
    <w:p w14:paraId="51DE8B06" w14:textId="77777777" w:rsidR="0010369C" w:rsidRDefault="0010369C">
      <w:pPr>
        <w:pStyle w:val="BodyText"/>
        <w:spacing w:before="11"/>
        <w:rPr>
          <w:sz w:val="8"/>
        </w:rPr>
      </w:pPr>
    </w:p>
    <w:p w14:paraId="51DE8B07" w14:textId="77777777" w:rsidR="0010369C" w:rsidRDefault="008E43AE">
      <w:pPr>
        <w:pStyle w:val="BodyText"/>
        <w:spacing w:before="52" w:line="360" w:lineRule="auto"/>
        <w:ind w:left="236" w:right="614" w:firstLine="852"/>
        <w:jc w:val="both"/>
      </w:pPr>
      <w:r>
        <w:rPr>
          <w:noProof/>
        </w:rPr>
        <w:drawing>
          <wp:anchor distT="0" distB="0" distL="0" distR="0" simplePos="0" relativeHeight="251106816" behindDoc="1" locked="0" layoutInCell="1" allowOverlap="1" wp14:anchorId="51DEA366" wp14:editId="51DEA367">
            <wp:simplePos x="0" y="0"/>
            <wp:positionH relativeFrom="page">
              <wp:posOffset>899160</wp:posOffset>
            </wp:positionH>
            <wp:positionV relativeFrom="paragraph">
              <wp:posOffset>80595</wp:posOffset>
            </wp:positionV>
            <wp:extent cx="265175" cy="103631"/>
            <wp:effectExtent l="0" t="0" r="0" b="0"/>
            <wp:wrapNone/>
            <wp:docPr id="931" name="image4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 name="image476.png"/>
                    <pic:cNvPicPr/>
                  </pic:nvPicPr>
                  <pic:blipFill>
                    <a:blip r:embed="rId626" cstate="print"/>
                    <a:stretch>
                      <a:fillRect/>
                    </a:stretch>
                  </pic:blipFill>
                  <pic:spPr>
                    <a:xfrm>
                      <a:off x="0" y="0"/>
                      <a:ext cx="265175" cy="103631"/>
                    </a:xfrm>
                    <a:prstGeom prst="rect">
                      <a:avLst/>
                    </a:prstGeom>
                  </pic:spPr>
                </pic:pic>
              </a:graphicData>
            </a:graphic>
          </wp:anchor>
        </w:drawing>
      </w:r>
      <w:r>
        <w:t>MOFCOM otherwise did not inform Swan Vintage of the reasons for not accepting the information submitted in Swan Vintage's response to the Supplementary Questionnaire, did not provide an opportunity to provide further explanations and did not provide reason</w:t>
      </w:r>
      <w:r>
        <w:t>s for the rejection of information, as required by paragraph 6 of Annex II. MOFCOM stated in the Disclosure of Basic Facts published on 12</w:t>
      </w:r>
      <w:r>
        <w:rPr>
          <w:spacing w:val="-3"/>
        </w:rPr>
        <w:t xml:space="preserve"> </w:t>
      </w:r>
      <w:r>
        <w:t>March</w:t>
      </w:r>
      <w:r>
        <w:rPr>
          <w:spacing w:val="-3"/>
        </w:rPr>
        <w:t xml:space="preserve"> </w:t>
      </w:r>
      <w:r>
        <w:t>2021, which was published 14 calendar days prior to the Final Determination, that it "decided in the Preliminar</w:t>
      </w:r>
      <w:r>
        <w:t>y Ruling to conduct a review and evaluation on the basis of the facts already obtained and the best information available" for the purposes of determining normal value.</w:t>
      </w:r>
      <w:r>
        <w:rPr>
          <w:vertAlign w:val="superscript"/>
        </w:rPr>
        <w:t>512</w:t>
      </w:r>
    </w:p>
    <w:p w14:paraId="51DE8B08" w14:textId="77777777" w:rsidR="0010369C" w:rsidRDefault="0010369C">
      <w:pPr>
        <w:pStyle w:val="BodyText"/>
        <w:spacing w:before="10"/>
        <w:rPr>
          <w:sz w:val="8"/>
        </w:rPr>
      </w:pPr>
    </w:p>
    <w:p w14:paraId="51DE8B09" w14:textId="77777777" w:rsidR="0010369C" w:rsidRDefault="008E43AE">
      <w:pPr>
        <w:pStyle w:val="BodyText"/>
        <w:spacing w:before="52" w:line="360" w:lineRule="auto"/>
        <w:ind w:left="237" w:right="612" w:firstLine="851"/>
        <w:jc w:val="both"/>
      </w:pPr>
      <w:r>
        <w:rPr>
          <w:noProof/>
        </w:rPr>
        <w:drawing>
          <wp:anchor distT="0" distB="0" distL="0" distR="0" simplePos="0" relativeHeight="251107840" behindDoc="1" locked="0" layoutInCell="1" allowOverlap="1" wp14:anchorId="51DEA368" wp14:editId="51DEA369">
            <wp:simplePos x="0" y="0"/>
            <wp:positionH relativeFrom="page">
              <wp:posOffset>899160</wp:posOffset>
            </wp:positionH>
            <wp:positionV relativeFrom="paragraph">
              <wp:posOffset>81357</wp:posOffset>
            </wp:positionV>
            <wp:extent cx="265175" cy="103631"/>
            <wp:effectExtent l="0" t="0" r="0" b="0"/>
            <wp:wrapNone/>
            <wp:docPr id="933" name="image4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 name="image477.png"/>
                    <pic:cNvPicPr/>
                  </pic:nvPicPr>
                  <pic:blipFill>
                    <a:blip r:embed="rId627" cstate="print"/>
                    <a:stretch>
                      <a:fillRect/>
                    </a:stretch>
                  </pic:blipFill>
                  <pic:spPr>
                    <a:xfrm>
                      <a:off x="0" y="0"/>
                      <a:ext cx="265175" cy="103631"/>
                    </a:xfrm>
                    <a:prstGeom prst="rect">
                      <a:avLst/>
                    </a:prstGeom>
                  </pic:spPr>
                </pic:pic>
              </a:graphicData>
            </a:graphic>
          </wp:anchor>
        </w:drawing>
      </w:r>
      <w:r>
        <w:t>MOFCOM's ambiguity in articulating the purported deficiencies in Swan Vintage's costs</w:t>
      </w:r>
      <w:r>
        <w:rPr>
          <w:spacing w:val="-3"/>
        </w:rPr>
        <w:t xml:space="preserve"> </w:t>
      </w:r>
      <w:r>
        <w:t>data</w:t>
      </w:r>
      <w:r>
        <w:rPr>
          <w:spacing w:val="-2"/>
        </w:rPr>
        <w:t xml:space="preserve"> </w:t>
      </w:r>
      <w:r>
        <w:t>not</w:t>
      </w:r>
      <w:r>
        <w:rPr>
          <w:spacing w:val="-2"/>
        </w:rPr>
        <w:t xml:space="preserve"> </w:t>
      </w:r>
      <w:r>
        <w:t>only</w:t>
      </w:r>
      <w:r>
        <w:rPr>
          <w:spacing w:val="-2"/>
        </w:rPr>
        <w:t xml:space="preserve"> </w:t>
      </w:r>
      <w:r>
        <w:t>calls</w:t>
      </w:r>
      <w:r>
        <w:rPr>
          <w:spacing w:val="-3"/>
        </w:rPr>
        <w:t xml:space="preserve"> </w:t>
      </w:r>
      <w:r>
        <w:t>into</w:t>
      </w:r>
      <w:r>
        <w:rPr>
          <w:spacing w:val="-2"/>
        </w:rPr>
        <w:t xml:space="preserve"> </w:t>
      </w:r>
      <w:r>
        <w:t>question</w:t>
      </w:r>
      <w:r>
        <w:rPr>
          <w:spacing w:val="-2"/>
        </w:rPr>
        <w:t xml:space="preserve"> </w:t>
      </w:r>
      <w:r>
        <w:t>MOFCOM's</w:t>
      </w:r>
      <w:r>
        <w:rPr>
          <w:spacing w:val="-4"/>
        </w:rPr>
        <w:t xml:space="preserve"> </w:t>
      </w:r>
      <w:r>
        <w:t>justification</w:t>
      </w:r>
      <w:r>
        <w:rPr>
          <w:spacing w:val="-2"/>
        </w:rPr>
        <w:t xml:space="preserve"> </w:t>
      </w:r>
      <w:r>
        <w:t>for</w:t>
      </w:r>
      <w:r>
        <w:rPr>
          <w:spacing w:val="-2"/>
        </w:rPr>
        <w:t xml:space="preserve"> </w:t>
      </w:r>
      <w:r>
        <w:t>resorting</w:t>
      </w:r>
      <w:r>
        <w:rPr>
          <w:spacing w:val="-3"/>
        </w:rPr>
        <w:t xml:space="preserve"> </w:t>
      </w:r>
      <w:r>
        <w:t>to</w:t>
      </w:r>
      <w:r>
        <w:rPr>
          <w:spacing w:val="-2"/>
        </w:rPr>
        <w:t xml:space="preserve"> </w:t>
      </w:r>
      <w:r>
        <w:t>facts</w:t>
      </w:r>
      <w:r>
        <w:rPr>
          <w:spacing w:val="-3"/>
        </w:rPr>
        <w:t xml:space="preserve"> </w:t>
      </w:r>
      <w:r>
        <w:t>available, but</w:t>
      </w:r>
      <w:r>
        <w:rPr>
          <w:spacing w:val="-6"/>
        </w:rPr>
        <w:t xml:space="preserve"> </w:t>
      </w:r>
      <w:r>
        <w:t>it</w:t>
      </w:r>
      <w:r>
        <w:rPr>
          <w:spacing w:val="-6"/>
        </w:rPr>
        <w:t xml:space="preserve"> </w:t>
      </w:r>
      <w:r>
        <w:t>also</w:t>
      </w:r>
      <w:r>
        <w:rPr>
          <w:spacing w:val="-5"/>
        </w:rPr>
        <w:t xml:space="preserve"> </w:t>
      </w:r>
      <w:r>
        <w:t>impeded</w:t>
      </w:r>
      <w:r>
        <w:rPr>
          <w:spacing w:val="-5"/>
        </w:rPr>
        <w:t xml:space="preserve"> </w:t>
      </w:r>
      <w:r>
        <w:t>Swan</w:t>
      </w:r>
      <w:r>
        <w:rPr>
          <w:spacing w:val="-6"/>
        </w:rPr>
        <w:t xml:space="preserve"> </w:t>
      </w:r>
      <w:r>
        <w:t>Vintage's</w:t>
      </w:r>
      <w:r>
        <w:rPr>
          <w:spacing w:val="-7"/>
        </w:rPr>
        <w:t xml:space="preserve"> </w:t>
      </w:r>
      <w:r>
        <w:t>engagement</w:t>
      </w:r>
      <w:r>
        <w:rPr>
          <w:spacing w:val="-6"/>
        </w:rPr>
        <w:t xml:space="preserve"> </w:t>
      </w:r>
      <w:r>
        <w:t>with</w:t>
      </w:r>
      <w:r>
        <w:rPr>
          <w:spacing w:val="-6"/>
        </w:rPr>
        <w:t xml:space="preserve"> </w:t>
      </w:r>
      <w:r>
        <w:t>MOFCOM</w:t>
      </w:r>
      <w:r>
        <w:rPr>
          <w:spacing w:val="-6"/>
        </w:rPr>
        <w:t xml:space="preserve"> </w:t>
      </w:r>
      <w:r>
        <w:t>throughout</w:t>
      </w:r>
      <w:r>
        <w:rPr>
          <w:spacing w:val="-6"/>
        </w:rPr>
        <w:t xml:space="preserve"> </w:t>
      </w:r>
      <w:r>
        <w:t>the</w:t>
      </w:r>
      <w:r>
        <w:rPr>
          <w:spacing w:val="-5"/>
        </w:rPr>
        <w:t xml:space="preserve"> </w:t>
      </w:r>
      <w:r>
        <w:t>proces</w:t>
      </w:r>
      <w:r>
        <w:t>s,</w:t>
      </w:r>
      <w:r>
        <w:rPr>
          <w:spacing w:val="-5"/>
        </w:rPr>
        <w:t xml:space="preserve"> </w:t>
      </w:r>
      <w:r>
        <w:t>such that</w:t>
      </w:r>
      <w:r>
        <w:rPr>
          <w:spacing w:val="-4"/>
        </w:rPr>
        <w:t xml:space="preserve"> </w:t>
      </w:r>
      <w:r>
        <w:t>the</w:t>
      </w:r>
      <w:r>
        <w:rPr>
          <w:spacing w:val="-3"/>
        </w:rPr>
        <w:t xml:space="preserve"> </w:t>
      </w:r>
      <w:r>
        <w:t>company</w:t>
      </w:r>
      <w:r>
        <w:rPr>
          <w:spacing w:val="-3"/>
        </w:rPr>
        <w:t xml:space="preserve"> </w:t>
      </w:r>
      <w:r>
        <w:t>faced</w:t>
      </w:r>
      <w:r>
        <w:rPr>
          <w:spacing w:val="-4"/>
        </w:rPr>
        <w:t xml:space="preserve"> </w:t>
      </w:r>
      <w:r>
        <w:t>undue</w:t>
      </w:r>
      <w:r>
        <w:rPr>
          <w:spacing w:val="-3"/>
        </w:rPr>
        <w:t xml:space="preserve"> </w:t>
      </w:r>
      <w:r>
        <w:t>difficulty</w:t>
      </w:r>
      <w:r>
        <w:rPr>
          <w:spacing w:val="-2"/>
        </w:rPr>
        <w:t xml:space="preserve"> </w:t>
      </w:r>
      <w:r>
        <w:t>in</w:t>
      </w:r>
      <w:r>
        <w:rPr>
          <w:spacing w:val="-5"/>
        </w:rPr>
        <w:t xml:space="preserve"> </w:t>
      </w:r>
      <w:r>
        <w:t>resolving</w:t>
      </w:r>
      <w:r>
        <w:rPr>
          <w:spacing w:val="-4"/>
        </w:rPr>
        <w:t xml:space="preserve"> </w:t>
      </w:r>
      <w:r>
        <w:t>deficiencies,</w:t>
      </w:r>
      <w:r>
        <w:rPr>
          <w:spacing w:val="-5"/>
        </w:rPr>
        <w:t xml:space="preserve"> </w:t>
      </w:r>
      <w:r>
        <w:t>if</w:t>
      </w:r>
      <w:r>
        <w:rPr>
          <w:spacing w:val="-4"/>
        </w:rPr>
        <w:t xml:space="preserve"> </w:t>
      </w:r>
      <w:r>
        <w:t>they</w:t>
      </w:r>
      <w:r>
        <w:rPr>
          <w:spacing w:val="-3"/>
        </w:rPr>
        <w:t xml:space="preserve"> </w:t>
      </w:r>
      <w:r>
        <w:t>indeed</w:t>
      </w:r>
      <w:r>
        <w:rPr>
          <w:spacing w:val="-5"/>
        </w:rPr>
        <w:t xml:space="preserve"> </w:t>
      </w:r>
      <w:r>
        <w:t>existed,</w:t>
      </w:r>
      <w:r>
        <w:rPr>
          <w:spacing w:val="-4"/>
        </w:rPr>
        <w:t xml:space="preserve"> </w:t>
      </w:r>
      <w:r>
        <w:t>at</w:t>
      </w:r>
      <w:r>
        <w:rPr>
          <w:spacing w:val="-5"/>
        </w:rPr>
        <w:t xml:space="preserve"> </w:t>
      </w:r>
      <w:r>
        <w:t>an early</w:t>
      </w:r>
      <w:r>
        <w:rPr>
          <w:spacing w:val="-11"/>
        </w:rPr>
        <w:t xml:space="preserve"> </w:t>
      </w:r>
      <w:r>
        <w:t>stage.</w:t>
      </w:r>
      <w:r>
        <w:rPr>
          <w:spacing w:val="-12"/>
        </w:rPr>
        <w:t xml:space="preserve"> </w:t>
      </w:r>
      <w:r>
        <w:t>For</w:t>
      </w:r>
      <w:r>
        <w:rPr>
          <w:spacing w:val="-10"/>
        </w:rPr>
        <w:t xml:space="preserve"> </w:t>
      </w:r>
      <w:r>
        <w:t>example,</w:t>
      </w:r>
      <w:r>
        <w:rPr>
          <w:spacing w:val="-11"/>
        </w:rPr>
        <w:t xml:space="preserve"> </w:t>
      </w:r>
      <w:r>
        <w:t>in</w:t>
      </w:r>
      <w:r>
        <w:rPr>
          <w:spacing w:val="-11"/>
        </w:rPr>
        <w:t xml:space="preserve"> </w:t>
      </w:r>
      <w:r>
        <w:t>its</w:t>
      </w:r>
      <w:r>
        <w:rPr>
          <w:spacing w:val="-11"/>
        </w:rPr>
        <w:t xml:space="preserve"> </w:t>
      </w:r>
      <w:r>
        <w:t>response</w:t>
      </w:r>
      <w:r>
        <w:rPr>
          <w:spacing w:val="-11"/>
        </w:rPr>
        <w:t xml:space="preserve"> </w:t>
      </w:r>
      <w:r>
        <w:t>to</w:t>
      </w:r>
      <w:r>
        <w:rPr>
          <w:spacing w:val="-11"/>
        </w:rPr>
        <w:t xml:space="preserve"> </w:t>
      </w:r>
      <w:r>
        <w:t>the</w:t>
      </w:r>
      <w:r>
        <w:rPr>
          <w:spacing w:val="-10"/>
        </w:rPr>
        <w:t xml:space="preserve"> </w:t>
      </w:r>
      <w:r>
        <w:t>Final</w:t>
      </w:r>
      <w:r>
        <w:rPr>
          <w:spacing w:val="-11"/>
        </w:rPr>
        <w:t xml:space="preserve"> </w:t>
      </w:r>
      <w:r>
        <w:t>Disclosure,</w:t>
      </w:r>
      <w:r>
        <w:rPr>
          <w:spacing w:val="-10"/>
        </w:rPr>
        <w:t xml:space="preserve"> </w:t>
      </w:r>
      <w:r>
        <w:t>Swan</w:t>
      </w:r>
      <w:r>
        <w:rPr>
          <w:spacing w:val="-11"/>
        </w:rPr>
        <w:t xml:space="preserve"> </w:t>
      </w:r>
      <w:r>
        <w:t>Vintage</w:t>
      </w:r>
      <w:r>
        <w:rPr>
          <w:spacing w:val="-10"/>
        </w:rPr>
        <w:t xml:space="preserve"> </w:t>
      </w:r>
      <w:r>
        <w:t>noted</w:t>
      </w:r>
      <w:r>
        <w:rPr>
          <w:spacing w:val="-11"/>
        </w:rPr>
        <w:t xml:space="preserve"> </w:t>
      </w:r>
      <w:r>
        <w:t>it</w:t>
      </w:r>
      <w:r>
        <w:rPr>
          <w:spacing w:val="-12"/>
        </w:rPr>
        <w:t xml:space="preserve"> </w:t>
      </w:r>
      <w:r>
        <w:t>"cannot understand</w:t>
      </w:r>
      <w:r>
        <w:rPr>
          <w:spacing w:val="-14"/>
        </w:rPr>
        <w:t xml:space="preserve"> </w:t>
      </w:r>
      <w:r>
        <w:t>exactly</w:t>
      </w:r>
      <w:r>
        <w:rPr>
          <w:spacing w:val="-14"/>
        </w:rPr>
        <w:t xml:space="preserve"> </w:t>
      </w:r>
      <w:r>
        <w:t>what</w:t>
      </w:r>
      <w:r>
        <w:rPr>
          <w:spacing w:val="-13"/>
        </w:rPr>
        <w:t xml:space="preserve"> </w:t>
      </w:r>
      <w:r>
        <w:t>information</w:t>
      </w:r>
      <w:r>
        <w:rPr>
          <w:spacing w:val="-14"/>
        </w:rPr>
        <w:t xml:space="preserve"> </w:t>
      </w:r>
      <w:r>
        <w:t>is</w:t>
      </w:r>
      <w:r>
        <w:rPr>
          <w:spacing w:val="-13"/>
        </w:rPr>
        <w:t xml:space="preserve"> </w:t>
      </w:r>
      <w:r>
        <w:t>being</w:t>
      </w:r>
      <w:r>
        <w:rPr>
          <w:spacing w:val="-14"/>
        </w:rPr>
        <w:t xml:space="preserve"> </w:t>
      </w:r>
      <w:r>
        <w:t>referred</w:t>
      </w:r>
      <w:r>
        <w:rPr>
          <w:spacing w:val="-13"/>
        </w:rPr>
        <w:t xml:space="preserve"> </w:t>
      </w:r>
      <w:r>
        <w:t>to</w:t>
      </w:r>
      <w:r>
        <w:rPr>
          <w:spacing w:val="-14"/>
        </w:rPr>
        <w:t xml:space="preserve"> </w:t>
      </w:r>
      <w:r>
        <w:t>in</w:t>
      </w:r>
      <w:r>
        <w:rPr>
          <w:spacing w:val="-14"/>
        </w:rPr>
        <w:t xml:space="preserve"> </w:t>
      </w:r>
      <w:r>
        <w:t>the</w:t>
      </w:r>
      <w:r>
        <w:rPr>
          <w:spacing w:val="-13"/>
        </w:rPr>
        <w:t xml:space="preserve"> </w:t>
      </w:r>
      <w:r>
        <w:t>Bureau's</w:t>
      </w:r>
      <w:r>
        <w:rPr>
          <w:spacing w:val="-14"/>
        </w:rPr>
        <w:t xml:space="preserve"> </w:t>
      </w:r>
      <w:r>
        <w:t>statement:</w:t>
      </w:r>
      <w:r>
        <w:rPr>
          <w:spacing w:val="-13"/>
        </w:rPr>
        <w:t xml:space="preserve"> </w:t>
      </w:r>
      <w:r>
        <w:t>'…without providing detailed cost information as required by the questionnaire'".</w:t>
      </w:r>
      <w:r>
        <w:rPr>
          <w:vertAlign w:val="superscript"/>
        </w:rPr>
        <w:t>513</w:t>
      </w:r>
      <w:r>
        <w:t xml:space="preserve"> Similarly, in its comments on the Final Disclosure, Swan Vintage explained that it was unable to discern the link</w:t>
      </w:r>
      <w:r>
        <w:rPr>
          <w:spacing w:val="-7"/>
        </w:rPr>
        <w:t xml:space="preserve"> </w:t>
      </w:r>
      <w:r>
        <w:t>between</w:t>
      </w:r>
      <w:r>
        <w:rPr>
          <w:spacing w:val="-6"/>
        </w:rPr>
        <w:t xml:space="preserve"> </w:t>
      </w:r>
      <w:r>
        <w:t>the</w:t>
      </w:r>
      <w:r>
        <w:rPr>
          <w:spacing w:val="-7"/>
        </w:rPr>
        <w:t xml:space="preserve"> </w:t>
      </w:r>
      <w:r>
        <w:t>eviden</w:t>
      </w:r>
      <w:r>
        <w:t>ce</w:t>
      </w:r>
      <w:r>
        <w:rPr>
          <w:spacing w:val="-8"/>
        </w:rPr>
        <w:t xml:space="preserve"> </w:t>
      </w:r>
      <w:r>
        <w:t>it</w:t>
      </w:r>
      <w:r>
        <w:rPr>
          <w:spacing w:val="-7"/>
        </w:rPr>
        <w:t xml:space="preserve"> </w:t>
      </w:r>
      <w:r>
        <w:t>supplied</w:t>
      </w:r>
      <w:r>
        <w:rPr>
          <w:spacing w:val="-7"/>
        </w:rPr>
        <w:t xml:space="preserve"> </w:t>
      </w:r>
      <w:r>
        <w:t>and</w:t>
      </w:r>
      <w:r>
        <w:rPr>
          <w:spacing w:val="-8"/>
        </w:rPr>
        <w:t xml:space="preserve"> </w:t>
      </w:r>
      <w:r>
        <w:t>the</w:t>
      </w:r>
      <w:r>
        <w:rPr>
          <w:spacing w:val="-7"/>
        </w:rPr>
        <w:t xml:space="preserve"> </w:t>
      </w:r>
      <w:r>
        <w:t>margins</w:t>
      </w:r>
      <w:r>
        <w:rPr>
          <w:spacing w:val="-8"/>
        </w:rPr>
        <w:t xml:space="preserve"> </w:t>
      </w:r>
      <w:r>
        <w:t>proposed</w:t>
      </w:r>
      <w:r>
        <w:rPr>
          <w:spacing w:val="-7"/>
        </w:rPr>
        <w:t xml:space="preserve"> </w:t>
      </w:r>
      <w:r>
        <w:t>by</w:t>
      </w:r>
      <w:r>
        <w:rPr>
          <w:spacing w:val="-7"/>
        </w:rPr>
        <w:t xml:space="preserve"> </w:t>
      </w:r>
      <w:r>
        <w:t>MOFCOM,</w:t>
      </w:r>
      <w:r>
        <w:rPr>
          <w:spacing w:val="-7"/>
        </w:rPr>
        <w:t xml:space="preserve"> </w:t>
      </w:r>
      <w:r>
        <w:t>"and</w:t>
      </w:r>
      <w:r>
        <w:rPr>
          <w:spacing w:val="-8"/>
        </w:rPr>
        <w:t xml:space="preserve"> </w:t>
      </w:r>
      <w:r>
        <w:t>therefore is</w:t>
      </w:r>
      <w:r>
        <w:rPr>
          <w:spacing w:val="-8"/>
        </w:rPr>
        <w:t xml:space="preserve"> </w:t>
      </w:r>
      <w:r>
        <w:t>unable</w:t>
      </w:r>
      <w:r>
        <w:rPr>
          <w:spacing w:val="-6"/>
        </w:rPr>
        <w:t xml:space="preserve"> </w:t>
      </w:r>
      <w:r>
        <w:t>to</w:t>
      </w:r>
      <w:r>
        <w:rPr>
          <w:spacing w:val="-8"/>
        </w:rPr>
        <w:t xml:space="preserve"> </w:t>
      </w:r>
      <w:r>
        <w:t>make</w:t>
      </w:r>
      <w:r>
        <w:rPr>
          <w:spacing w:val="-7"/>
        </w:rPr>
        <w:t xml:space="preserve"> </w:t>
      </w:r>
      <w:r>
        <w:t>more</w:t>
      </w:r>
      <w:r>
        <w:rPr>
          <w:spacing w:val="-8"/>
        </w:rPr>
        <w:t xml:space="preserve"> </w:t>
      </w:r>
      <w:r>
        <w:t>specific</w:t>
      </w:r>
      <w:r>
        <w:rPr>
          <w:spacing w:val="-7"/>
        </w:rPr>
        <w:t xml:space="preserve"> </w:t>
      </w:r>
      <w:r>
        <w:t>and</w:t>
      </w:r>
      <w:r>
        <w:rPr>
          <w:spacing w:val="-9"/>
        </w:rPr>
        <w:t xml:space="preserve"> </w:t>
      </w:r>
      <w:r>
        <w:t>valid</w:t>
      </w:r>
      <w:r>
        <w:rPr>
          <w:spacing w:val="-8"/>
        </w:rPr>
        <w:t xml:space="preserve"> </w:t>
      </w:r>
      <w:r>
        <w:t>comments,</w:t>
      </w:r>
      <w:r>
        <w:rPr>
          <w:spacing w:val="-8"/>
        </w:rPr>
        <w:t xml:space="preserve"> </w:t>
      </w:r>
      <w:r>
        <w:t>which</w:t>
      </w:r>
      <w:r>
        <w:rPr>
          <w:spacing w:val="-8"/>
        </w:rPr>
        <w:t xml:space="preserve"> </w:t>
      </w:r>
      <w:r>
        <w:t>seriously</w:t>
      </w:r>
      <w:r>
        <w:rPr>
          <w:spacing w:val="-8"/>
        </w:rPr>
        <w:t xml:space="preserve"> </w:t>
      </w:r>
      <w:r>
        <w:t>affects</w:t>
      </w:r>
      <w:r>
        <w:rPr>
          <w:spacing w:val="-8"/>
        </w:rPr>
        <w:t xml:space="preserve"> </w:t>
      </w:r>
      <w:r>
        <w:t>the</w:t>
      </w:r>
      <w:r>
        <w:rPr>
          <w:spacing w:val="-7"/>
        </w:rPr>
        <w:t xml:space="preserve"> </w:t>
      </w:r>
      <w:r>
        <w:t>right</w:t>
      </w:r>
      <w:r>
        <w:rPr>
          <w:spacing w:val="-8"/>
        </w:rPr>
        <w:t xml:space="preserve"> </w:t>
      </w:r>
      <w:r>
        <w:t>of</w:t>
      </w:r>
      <w:r>
        <w:rPr>
          <w:spacing w:val="-8"/>
        </w:rPr>
        <w:t xml:space="preserve"> </w:t>
      </w:r>
      <w:r>
        <w:t>Swan Vintage to present a defence".</w:t>
      </w:r>
      <w:r>
        <w:rPr>
          <w:vertAlign w:val="superscript"/>
        </w:rPr>
        <w:t>514</w:t>
      </w:r>
      <w:r>
        <w:t xml:space="preserve"> It was wholly unreasonable for MOFCOM to fail to particularise</w:t>
      </w:r>
      <w:r>
        <w:rPr>
          <w:spacing w:val="-8"/>
        </w:rPr>
        <w:t xml:space="preserve"> </w:t>
      </w:r>
      <w:r>
        <w:t>its</w:t>
      </w:r>
      <w:r>
        <w:rPr>
          <w:spacing w:val="-9"/>
        </w:rPr>
        <w:t xml:space="preserve"> </w:t>
      </w:r>
      <w:r>
        <w:t>complaints</w:t>
      </w:r>
      <w:r>
        <w:rPr>
          <w:spacing w:val="-9"/>
        </w:rPr>
        <w:t xml:space="preserve"> </w:t>
      </w:r>
      <w:r>
        <w:t>over</w:t>
      </w:r>
      <w:r>
        <w:rPr>
          <w:spacing w:val="-8"/>
        </w:rPr>
        <w:t xml:space="preserve"> </w:t>
      </w:r>
      <w:r>
        <w:t>the</w:t>
      </w:r>
      <w:r>
        <w:rPr>
          <w:spacing w:val="-8"/>
        </w:rPr>
        <w:t xml:space="preserve"> </w:t>
      </w:r>
      <w:r>
        <w:t>course</w:t>
      </w:r>
      <w:r>
        <w:rPr>
          <w:spacing w:val="-8"/>
        </w:rPr>
        <w:t xml:space="preserve"> </w:t>
      </w:r>
      <w:r>
        <w:t>of</w:t>
      </w:r>
      <w:r>
        <w:rPr>
          <w:spacing w:val="-9"/>
        </w:rPr>
        <w:t xml:space="preserve"> </w:t>
      </w:r>
      <w:r>
        <w:t>the</w:t>
      </w:r>
      <w:r>
        <w:rPr>
          <w:spacing w:val="-9"/>
        </w:rPr>
        <w:t xml:space="preserve"> </w:t>
      </w:r>
      <w:r>
        <w:t>investigation,</w:t>
      </w:r>
      <w:r>
        <w:rPr>
          <w:spacing w:val="-7"/>
        </w:rPr>
        <w:t xml:space="preserve"> </w:t>
      </w:r>
      <w:r>
        <w:t>before</w:t>
      </w:r>
      <w:r>
        <w:rPr>
          <w:spacing w:val="-8"/>
        </w:rPr>
        <w:t xml:space="preserve"> </w:t>
      </w:r>
      <w:r>
        <w:t>concluding</w:t>
      </w:r>
      <w:r>
        <w:rPr>
          <w:spacing w:val="-9"/>
        </w:rPr>
        <w:t xml:space="preserve"> </w:t>
      </w:r>
      <w:r>
        <w:t>in</w:t>
      </w:r>
      <w:r>
        <w:rPr>
          <w:spacing w:val="-9"/>
        </w:rPr>
        <w:t xml:space="preserve"> </w:t>
      </w:r>
      <w:r>
        <w:t>the</w:t>
      </w:r>
      <w:r>
        <w:rPr>
          <w:spacing w:val="-8"/>
        </w:rPr>
        <w:t xml:space="preserve"> </w:t>
      </w:r>
      <w:r>
        <w:t>Final Determination that the company had not remedied perceived deficiencies.</w:t>
      </w:r>
    </w:p>
    <w:p w14:paraId="51DE8B0A" w14:textId="77777777" w:rsidR="0010369C" w:rsidRDefault="0010369C">
      <w:pPr>
        <w:pStyle w:val="BodyText"/>
        <w:spacing w:before="11"/>
        <w:rPr>
          <w:sz w:val="8"/>
        </w:rPr>
      </w:pPr>
    </w:p>
    <w:p w14:paraId="51DE8B0B" w14:textId="77777777" w:rsidR="0010369C" w:rsidRDefault="008E43AE">
      <w:pPr>
        <w:pStyle w:val="BodyText"/>
        <w:spacing w:before="51" w:line="360" w:lineRule="auto"/>
        <w:ind w:left="237" w:right="613" w:firstLine="851"/>
        <w:jc w:val="both"/>
      </w:pPr>
      <w:r>
        <w:rPr>
          <w:noProof/>
        </w:rPr>
        <w:drawing>
          <wp:anchor distT="0" distB="0" distL="0" distR="0" simplePos="0" relativeHeight="251108864" behindDoc="1" locked="0" layoutInCell="1" allowOverlap="1" wp14:anchorId="51DEA36A" wp14:editId="51DEA36B">
            <wp:simplePos x="0" y="0"/>
            <wp:positionH relativeFrom="page">
              <wp:posOffset>899160</wp:posOffset>
            </wp:positionH>
            <wp:positionV relativeFrom="paragraph">
              <wp:posOffset>76150</wp:posOffset>
            </wp:positionV>
            <wp:extent cx="265175" cy="106679"/>
            <wp:effectExtent l="0" t="0" r="0" b="0"/>
            <wp:wrapNone/>
            <wp:docPr id="935" name="image4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 name="image478.png"/>
                    <pic:cNvPicPr/>
                  </pic:nvPicPr>
                  <pic:blipFill>
                    <a:blip r:embed="rId628" cstate="print"/>
                    <a:stretch>
                      <a:fillRect/>
                    </a:stretch>
                  </pic:blipFill>
                  <pic:spPr>
                    <a:xfrm>
                      <a:off x="0" y="0"/>
                      <a:ext cx="265175" cy="106679"/>
                    </a:xfrm>
                    <a:prstGeom prst="rect">
                      <a:avLst/>
                    </a:prstGeom>
                  </pic:spPr>
                </pic:pic>
              </a:graphicData>
            </a:graphic>
          </wp:anchor>
        </w:drawing>
      </w:r>
      <w:r>
        <w:t>Paragraph 6 of Annex II also requi</w:t>
      </w:r>
      <w:r>
        <w:t>red MOFCOM to provide an opportunity for Swan Vintage to provide further explanations</w:t>
      </w:r>
      <w:r>
        <w:rPr>
          <w:spacing w:val="-1"/>
        </w:rPr>
        <w:t xml:space="preserve"> </w:t>
      </w:r>
      <w:r>
        <w:t>within a reasonable</w:t>
      </w:r>
      <w:r>
        <w:rPr>
          <w:spacing w:val="-1"/>
        </w:rPr>
        <w:t xml:space="preserve"> </w:t>
      </w:r>
      <w:r>
        <w:t>period, due account being taken of</w:t>
      </w:r>
      <w:r>
        <w:rPr>
          <w:spacing w:val="-4"/>
        </w:rPr>
        <w:t xml:space="preserve"> </w:t>
      </w:r>
      <w:r>
        <w:t>the</w:t>
      </w:r>
      <w:r>
        <w:rPr>
          <w:spacing w:val="-3"/>
        </w:rPr>
        <w:t xml:space="preserve"> </w:t>
      </w:r>
      <w:r>
        <w:t>time</w:t>
      </w:r>
      <w:r>
        <w:rPr>
          <w:spacing w:val="-3"/>
        </w:rPr>
        <w:t xml:space="preserve"> </w:t>
      </w:r>
      <w:r>
        <w:t>limits</w:t>
      </w:r>
      <w:r>
        <w:rPr>
          <w:spacing w:val="-4"/>
        </w:rPr>
        <w:t xml:space="preserve"> </w:t>
      </w:r>
      <w:r>
        <w:t>of</w:t>
      </w:r>
      <w:r>
        <w:rPr>
          <w:spacing w:val="-4"/>
        </w:rPr>
        <w:t xml:space="preserve"> </w:t>
      </w:r>
      <w:r>
        <w:t>the</w:t>
      </w:r>
      <w:r>
        <w:rPr>
          <w:spacing w:val="-3"/>
        </w:rPr>
        <w:t xml:space="preserve"> </w:t>
      </w:r>
      <w:r>
        <w:t>investigation.</w:t>
      </w:r>
      <w:r>
        <w:rPr>
          <w:spacing w:val="-2"/>
        </w:rPr>
        <w:t xml:space="preserve"> </w:t>
      </w:r>
      <w:r>
        <w:t>However,</w:t>
      </w:r>
      <w:r>
        <w:rPr>
          <w:spacing w:val="-5"/>
        </w:rPr>
        <w:t xml:space="preserve"> </w:t>
      </w:r>
      <w:r>
        <w:t>MOFCOM</w:t>
      </w:r>
      <w:r>
        <w:rPr>
          <w:spacing w:val="-3"/>
        </w:rPr>
        <w:t xml:space="preserve"> </w:t>
      </w:r>
      <w:r>
        <w:t>never</w:t>
      </w:r>
      <w:r>
        <w:rPr>
          <w:spacing w:val="-3"/>
        </w:rPr>
        <w:t xml:space="preserve"> </w:t>
      </w:r>
      <w:r>
        <w:t>provided</w:t>
      </w:r>
      <w:r>
        <w:rPr>
          <w:spacing w:val="-4"/>
        </w:rPr>
        <w:t xml:space="preserve"> </w:t>
      </w:r>
      <w:r>
        <w:t>Swan</w:t>
      </w:r>
      <w:r>
        <w:rPr>
          <w:spacing w:val="-4"/>
        </w:rPr>
        <w:t xml:space="preserve"> </w:t>
      </w:r>
      <w:r>
        <w:t>Vintage</w:t>
      </w:r>
      <w:r>
        <w:rPr>
          <w:spacing w:val="-3"/>
        </w:rPr>
        <w:t xml:space="preserve"> </w:t>
      </w:r>
      <w:r>
        <w:t>with such an opportunity.</w:t>
      </w:r>
    </w:p>
    <w:p w14:paraId="51DE8B0C" w14:textId="77777777" w:rsidR="0010369C" w:rsidRDefault="0010369C">
      <w:pPr>
        <w:pStyle w:val="BodyText"/>
        <w:rPr>
          <w:sz w:val="20"/>
        </w:rPr>
      </w:pPr>
    </w:p>
    <w:p w14:paraId="51DE8B0D" w14:textId="77777777" w:rsidR="0010369C" w:rsidRDefault="008E43AE">
      <w:pPr>
        <w:pStyle w:val="BodyText"/>
        <w:spacing w:before="7"/>
        <w:rPr>
          <w:sz w:val="13"/>
        </w:rPr>
      </w:pPr>
      <w:r>
        <w:pict w14:anchorId="51DEA36C">
          <v:rect id="docshape914" o:spid="_x0000_s1423" style="position:absolute;margin-left:70.9pt;margin-top:9.5pt;width:2in;height:.8pt;z-index:-250876416;mso-wrap-distance-left:0;mso-wrap-distance-right:0;mso-position-horizontal-relative:page" fillcolor="black" stroked="f">
            <w10:wrap type="topAndBottom" anchorx="page"/>
          </v:rect>
        </w:pict>
      </w:r>
    </w:p>
    <w:p w14:paraId="51DE8B0E" w14:textId="77777777" w:rsidR="0010369C" w:rsidRDefault="008E43AE">
      <w:pPr>
        <w:spacing w:before="109"/>
        <w:ind w:left="238"/>
        <w:rPr>
          <w:sz w:val="18"/>
        </w:rPr>
      </w:pPr>
      <w:r>
        <w:rPr>
          <w:sz w:val="18"/>
          <w:vertAlign w:val="superscript"/>
        </w:rPr>
        <w:t>512</w:t>
      </w:r>
      <w:r>
        <w:rPr>
          <w:spacing w:val="-8"/>
          <w:sz w:val="18"/>
        </w:rPr>
        <w:t xml:space="preserve"> </w:t>
      </w:r>
      <w:r>
        <w:rPr>
          <w:sz w:val="18"/>
        </w:rPr>
        <w:t>Anti‐Dumping</w:t>
      </w:r>
      <w:r>
        <w:rPr>
          <w:spacing w:val="-8"/>
          <w:sz w:val="18"/>
        </w:rPr>
        <w:t xml:space="preserve"> </w:t>
      </w:r>
      <w:r>
        <w:rPr>
          <w:sz w:val="18"/>
        </w:rPr>
        <w:t>Final</w:t>
      </w:r>
      <w:r>
        <w:rPr>
          <w:spacing w:val="-8"/>
          <w:sz w:val="18"/>
        </w:rPr>
        <w:t xml:space="preserve"> </w:t>
      </w:r>
      <w:r>
        <w:rPr>
          <w:sz w:val="18"/>
        </w:rPr>
        <w:t>Disclosure</w:t>
      </w:r>
      <w:r>
        <w:rPr>
          <w:spacing w:val="-8"/>
          <w:sz w:val="18"/>
        </w:rPr>
        <w:t xml:space="preserve"> </w:t>
      </w:r>
      <w:r>
        <w:rPr>
          <w:sz w:val="18"/>
        </w:rPr>
        <w:t>(Exhibit</w:t>
      </w:r>
      <w:r>
        <w:rPr>
          <w:spacing w:val="-8"/>
          <w:sz w:val="18"/>
        </w:rPr>
        <w:t xml:space="preserve"> </w:t>
      </w:r>
      <w:r>
        <w:rPr>
          <w:sz w:val="18"/>
        </w:rPr>
        <w:t>AUS‐16),</w:t>
      </w:r>
      <w:r>
        <w:rPr>
          <w:spacing w:val="-9"/>
          <w:sz w:val="18"/>
        </w:rPr>
        <w:t xml:space="preserve"> </w:t>
      </w:r>
      <w:r>
        <w:rPr>
          <w:sz w:val="18"/>
        </w:rPr>
        <w:t>pp.</w:t>
      </w:r>
      <w:r>
        <w:rPr>
          <w:spacing w:val="-8"/>
          <w:sz w:val="18"/>
        </w:rPr>
        <w:t xml:space="preserve"> </w:t>
      </w:r>
      <w:r>
        <w:rPr>
          <w:spacing w:val="-2"/>
          <w:sz w:val="18"/>
        </w:rPr>
        <w:t>29‐30.</w:t>
      </w:r>
    </w:p>
    <w:p w14:paraId="51DE8B0F" w14:textId="77777777" w:rsidR="0010369C" w:rsidRDefault="008E43AE">
      <w:pPr>
        <w:ind w:left="238"/>
        <w:rPr>
          <w:sz w:val="18"/>
        </w:rPr>
      </w:pPr>
      <w:r>
        <w:rPr>
          <w:sz w:val="18"/>
          <w:vertAlign w:val="superscript"/>
        </w:rPr>
        <w:t>513</w:t>
      </w:r>
      <w:r>
        <w:rPr>
          <w:spacing w:val="-8"/>
          <w:sz w:val="18"/>
        </w:rPr>
        <w:t xml:space="preserve"> </w:t>
      </w:r>
      <w:r>
        <w:rPr>
          <w:sz w:val="18"/>
        </w:rPr>
        <w:t>Swan</w:t>
      </w:r>
      <w:r>
        <w:rPr>
          <w:spacing w:val="-7"/>
          <w:sz w:val="18"/>
        </w:rPr>
        <w:t xml:space="preserve"> </w:t>
      </w:r>
      <w:r>
        <w:rPr>
          <w:sz w:val="18"/>
        </w:rPr>
        <w:t>Vintage</w:t>
      </w:r>
      <w:r>
        <w:rPr>
          <w:spacing w:val="-6"/>
          <w:sz w:val="18"/>
        </w:rPr>
        <w:t xml:space="preserve"> </w:t>
      </w:r>
      <w:r>
        <w:rPr>
          <w:sz w:val="18"/>
        </w:rPr>
        <w:t>Comments</w:t>
      </w:r>
      <w:r>
        <w:rPr>
          <w:spacing w:val="-8"/>
          <w:sz w:val="18"/>
        </w:rPr>
        <w:t xml:space="preserve"> </w:t>
      </w:r>
      <w:r>
        <w:rPr>
          <w:sz w:val="18"/>
        </w:rPr>
        <w:t>on</w:t>
      </w:r>
      <w:r>
        <w:rPr>
          <w:spacing w:val="-7"/>
          <w:sz w:val="18"/>
        </w:rPr>
        <w:t xml:space="preserve"> </w:t>
      </w:r>
      <w:r>
        <w:rPr>
          <w:sz w:val="18"/>
        </w:rPr>
        <w:t>Final</w:t>
      </w:r>
      <w:r>
        <w:rPr>
          <w:spacing w:val="-8"/>
          <w:sz w:val="18"/>
        </w:rPr>
        <w:t xml:space="preserve"> </w:t>
      </w:r>
      <w:r>
        <w:rPr>
          <w:sz w:val="18"/>
        </w:rPr>
        <w:t>Disclosure</w:t>
      </w:r>
      <w:r>
        <w:rPr>
          <w:spacing w:val="-7"/>
          <w:sz w:val="18"/>
        </w:rPr>
        <w:t xml:space="preserve"> </w:t>
      </w:r>
      <w:r>
        <w:rPr>
          <w:sz w:val="18"/>
        </w:rPr>
        <w:t>(Exhibit</w:t>
      </w:r>
      <w:r>
        <w:rPr>
          <w:spacing w:val="-8"/>
          <w:sz w:val="18"/>
        </w:rPr>
        <w:t xml:space="preserve"> </w:t>
      </w:r>
      <w:r>
        <w:rPr>
          <w:sz w:val="18"/>
        </w:rPr>
        <w:t>AUS‐39),</w:t>
      </w:r>
      <w:r>
        <w:rPr>
          <w:spacing w:val="-8"/>
          <w:sz w:val="18"/>
        </w:rPr>
        <w:t xml:space="preserve"> </w:t>
      </w:r>
      <w:r>
        <w:rPr>
          <w:sz w:val="18"/>
        </w:rPr>
        <w:t>p.</w:t>
      </w:r>
      <w:r>
        <w:rPr>
          <w:spacing w:val="-7"/>
          <w:sz w:val="18"/>
        </w:rPr>
        <w:t xml:space="preserve"> </w:t>
      </w:r>
      <w:r>
        <w:rPr>
          <w:spacing w:val="-5"/>
          <w:sz w:val="18"/>
        </w:rPr>
        <w:t>9.</w:t>
      </w:r>
    </w:p>
    <w:p w14:paraId="51DE8B10" w14:textId="77777777" w:rsidR="0010369C" w:rsidRDefault="008E43AE">
      <w:pPr>
        <w:ind w:left="238"/>
        <w:rPr>
          <w:sz w:val="18"/>
        </w:rPr>
      </w:pPr>
      <w:r>
        <w:rPr>
          <w:sz w:val="18"/>
          <w:vertAlign w:val="superscript"/>
        </w:rPr>
        <w:t>514</w:t>
      </w:r>
      <w:r>
        <w:rPr>
          <w:spacing w:val="-8"/>
          <w:sz w:val="18"/>
        </w:rPr>
        <w:t xml:space="preserve"> </w:t>
      </w:r>
      <w:r>
        <w:rPr>
          <w:sz w:val="18"/>
        </w:rPr>
        <w:t>Swan</w:t>
      </w:r>
      <w:r>
        <w:rPr>
          <w:spacing w:val="-7"/>
          <w:sz w:val="18"/>
        </w:rPr>
        <w:t xml:space="preserve"> </w:t>
      </w:r>
      <w:r>
        <w:rPr>
          <w:sz w:val="18"/>
        </w:rPr>
        <w:t>Vintage</w:t>
      </w:r>
      <w:r>
        <w:rPr>
          <w:spacing w:val="-6"/>
          <w:sz w:val="18"/>
        </w:rPr>
        <w:t xml:space="preserve"> </w:t>
      </w:r>
      <w:r>
        <w:rPr>
          <w:sz w:val="18"/>
        </w:rPr>
        <w:t>Comments</w:t>
      </w:r>
      <w:r>
        <w:rPr>
          <w:spacing w:val="-8"/>
          <w:sz w:val="18"/>
        </w:rPr>
        <w:t xml:space="preserve"> </w:t>
      </w:r>
      <w:r>
        <w:rPr>
          <w:sz w:val="18"/>
        </w:rPr>
        <w:t>on</w:t>
      </w:r>
      <w:r>
        <w:rPr>
          <w:spacing w:val="-7"/>
          <w:sz w:val="18"/>
        </w:rPr>
        <w:t xml:space="preserve"> </w:t>
      </w:r>
      <w:r>
        <w:rPr>
          <w:sz w:val="18"/>
        </w:rPr>
        <w:t>Final</w:t>
      </w:r>
      <w:r>
        <w:rPr>
          <w:spacing w:val="-8"/>
          <w:sz w:val="18"/>
        </w:rPr>
        <w:t xml:space="preserve"> </w:t>
      </w:r>
      <w:r>
        <w:rPr>
          <w:sz w:val="18"/>
        </w:rPr>
        <w:t>Disclosure</w:t>
      </w:r>
      <w:r>
        <w:rPr>
          <w:spacing w:val="-7"/>
          <w:sz w:val="18"/>
        </w:rPr>
        <w:t xml:space="preserve"> </w:t>
      </w:r>
      <w:r>
        <w:rPr>
          <w:sz w:val="18"/>
        </w:rPr>
        <w:t>(Exhibit</w:t>
      </w:r>
      <w:r>
        <w:rPr>
          <w:spacing w:val="-8"/>
          <w:sz w:val="18"/>
        </w:rPr>
        <w:t xml:space="preserve"> </w:t>
      </w:r>
      <w:r>
        <w:rPr>
          <w:sz w:val="18"/>
        </w:rPr>
        <w:t>AUS‐39),</w:t>
      </w:r>
      <w:r>
        <w:rPr>
          <w:spacing w:val="-8"/>
          <w:sz w:val="18"/>
        </w:rPr>
        <w:t xml:space="preserve"> </w:t>
      </w:r>
      <w:r>
        <w:rPr>
          <w:sz w:val="18"/>
        </w:rPr>
        <w:t>p.</w:t>
      </w:r>
      <w:r>
        <w:rPr>
          <w:spacing w:val="-7"/>
          <w:sz w:val="18"/>
        </w:rPr>
        <w:t xml:space="preserve"> </w:t>
      </w:r>
      <w:r>
        <w:rPr>
          <w:spacing w:val="-5"/>
          <w:sz w:val="18"/>
        </w:rPr>
        <w:t>2.</w:t>
      </w:r>
    </w:p>
    <w:p w14:paraId="51DE8B11" w14:textId="77777777" w:rsidR="0010369C" w:rsidRDefault="0010369C">
      <w:pPr>
        <w:rPr>
          <w:sz w:val="18"/>
        </w:rPr>
        <w:sectPr w:rsidR="0010369C">
          <w:pgSz w:w="11910" w:h="16840"/>
          <w:pgMar w:top="880" w:right="800" w:bottom="980" w:left="1180" w:header="569" w:footer="788" w:gutter="0"/>
          <w:cols w:space="720"/>
        </w:sectPr>
      </w:pPr>
    </w:p>
    <w:p w14:paraId="51DE8B12" w14:textId="77777777" w:rsidR="0010369C" w:rsidRDefault="008E43AE">
      <w:pPr>
        <w:tabs>
          <w:tab w:val="left" w:pos="6426"/>
        </w:tabs>
        <w:ind w:left="238"/>
        <w:jc w:val="both"/>
        <w:rPr>
          <w:sz w:val="20"/>
        </w:rPr>
      </w:pPr>
      <w:r>
        <w:rPr>
          <w:i/>
          <w:sz w:val="20"/>
        </w:rPr>
        <w:lastRenderedPageBreak/>
        <w:t>China</w:t>
      </w:r>
      <w:r>
        <w:rPr>
          <w:i/>
          <w:spacing w:val="-5"/>
          <w:sz w:val="20"/>
        </w:rPr>
        <w:t xml:space="preserve"> </w:t>
      </w:r>
      <w:r>
        <w:rPr>
          <w:i/>
          <w:sz w:val="20"/>
        </w:rPr>
        <w:t>–</w:t>
      </w:r>
      <w:r>
        <w:rPr>
          <w:i/>
          <w:spacing w:val="-5"/>
          <w:sz w:val="20"/>
        </w:rPr>
        <w:t xml:space="preserve"> </w:t>
      </w:r>
      <w:r>
        <w:rPr>
          <w:i/>
          <w:sz w:val="20"/>
        </w:rPr>
        <w:t>Anti‐Dumping</w:t>
      </w:r>
      <w:r>
        <w:rPr>
          <w:i/>
          <w:spacing w:val="-4"/>
          <w:sz w:val="20"/>
        </w:rPr>
        <w:t xml:space="preserve"> </w:t>
      </w:r>
      <w:r>
        <w:rPr>
          <w:i/>
          <w:sz w:val="20"/>
        </w:rPr>
        <w:t>and</w:t>
      </w:r>
      <w:r>
        <w:rPr>
          <w:i/>
          <w:spacing w:val="-5"/>
          <w:sz w:val="20"/>
        </w:rPr>
        <w:t xml:space="preserve"> </w:t>
      </w:r>
      <w:r>
        <w:rPr>
          <w:i/>
          <w:sz w:val="20"/>
        </w:rPr>
        <w:t>Countervailing</w:t>
      </w:r>
      <w:r>
        <w:rPr>
          <w:i/>
          <w:spacing w:val="-5"/>
          <w:sz w:val="20"/>
        </w:rPr>
        <w:t xml:space="preserve"> </w:t>
      </w:r>
      <w:r>
        <w:rPr>
          <w:i/>
          <w:sz w:val="20"/>
        </w:rPr>
        <w:t>Duty</w:t>
      </w:r>
      <w:r>
        <w:rPr>
          <w:i/>
          <w:spacing w:val="-4"/>
          <w:sz w:val="20"/>
        </w:rPr>
        <w:t xml:space="preserve"> </w:t>
      </w:r>
      <w:r>
        <w:rPr>
          <w:i/>
          <w:spacing w:val="-2"/>
          <w:sz w:val="20"/>
        </w:rPr>
        <w:t>Measures</w:t>
      </w:r>
      <w:r>
        <w:rPr>
          <w:i/>
          <w:sz w:val="20"/>
        </w:rPr>
        <w:tab/>
      </w:r>
      <w:r>
        <w:rPr>
          <w:sz w:val="20"/>
        </w:rPr>
        <w:t>Australia's</w:t>
      </w:r>
      <w:r>
        <w:rPr>
          <w:spacing w:val="-7"/>
          <w:sz w:val="20"/>
        </w:rPr>
        <w:t xml:space="preserve"> </w:t>
      </w:r>
      <w:r>
        <w:rPr>
          <w:sz w:val="20"/>
        </w:rPr>
        <w:t>First</w:t>
      </w:r>
      <w:r>
        <w:rPr>
          <w:spacing w:val="-2"/>
          <w:sz w:val="20"/>
        </w:rPr>
        <w:t xml:space="preserve"> </w:t>
      </w:r>
      <w:r>
        <w:rPr>
          <w:sz w:val="20"/>
        </w:rPr>
        <w:t>Written</w:t>
      </w:r>
      <w:r>
        <w:rPr>
          <w:spacing w:val="-2"/>
          <w:sz w:val="20"/>
        </w:rPr>
        <w:t xml:space="preserve"> Submission</w:t>
      </w:r>
    </w:p>
    <w:p w14:paraId="51DE8B13" w14:textId="77777777" w:rsidR="0010369C" w:rsidRDefault="008E43AE">
      <w:pPr>
        <w:tabs>
          <w:tab w:val="left" w:pos="8228"/>
        </w:tabs>
        <w:spacing w:before="1"/>
        <w:ind w:left="239"/>
        <w:jc w:val="both"/>
        <w:rPr>
          <w:sz w:val="20"/>
        </w:rPr>
      </w:pPr>
      <w:r>
        <w:rPr>
          <w:i/>
          <w:sz w:val="20"/>
        </w:rPr>
        <w:t>on</w:t>
      </w:r>
      <w:r>
        <w:rPr>
          <w:i/>
          <w:spacing w:val="-1"/>
          <w:sz w:val="20"/>
        </w:rPr>
        <w:t xml:space="preserve"> </w:t>
      </w:r>
      <w:r>
        <w:rPr>
          <w:i/>
          <w:sz w:val="20"/>
        </w:rPr>
        <w:t>Wine</w:t>
      </w:r>
      <w:r>
        <w:rPr>
          <w:i/>
          <w:spacing w:val="-1"/>
          <w:sz w:val="20"/>
        </w:rPr>
        <w:t xml:space="preserve"> </w:t>
      </w:r>
      <w:r>
        <w:rPr>
          <w:i/>
          <w:sz w:val="20"/>
        </w:rPr>
        <w:t>from</w:t>
      </w:r>
      <w:r>
        <w:rPr>
          <w:i/>
          <w:spacing w:val="-3"/>
          <w:sz w:val="20"/>
        </w:rPr>
        <w:t xml:space="preserve"> </w:t>
      </w:r>
      <w:r>
        <w:rPr>
          <w:i/>
          <w:sz w:val="20"/>
        </w:rPr>
        <w:t>Australia</w:t>
      </w:r>
      <w:r>
        <w:rPr>
          <w:i/>
          <w:spacing w:val="-1"/>
          <w:sz w:val="20"/>
        </w:rPr>
        <w:t xml:space="preserve"> </w:t>
      </w:r>
      <w:r>
        <w:rPr>
          <w:spacing w:val="-2"/>
          <w:sz w:val="20"/>
        </w:rPr>
        <w:t>(DS602)</w:t>
      </w:r>
      <w:r>
        <w:rPr>
          <w:sz w:val="20"/>
        </w:rPr>
        <w:tab/>
        <w:t>29</w:t>
      </w:r>
      <w:r>
        <w:rPr>
          <w:spacing w:val="-1"/>
          <w:sz w:val="20"/>
        </w:rPr>
        <w:t xml:space="preserve"> </w:t>
      </w:r>
      <w:r>
        <w:rPr>
          <w:sz w:val="20"/>
        </w:rPr>
        <w:t>April</w:t>
      </w:r>
      <w:r>
        <w:rPr>
          <w:spacing w:val="-2"/>
          <w:sz w:val="20"/>
        </w:rPr>
        <w:t xml:space="preserve"> </w:t>
      </w:r>
      <w:r>
        <w:rPr>
          <w:spacing w:val="-4"/>
          <w:sz w:val="20"/>
        </w:rPr>
        <w:t>2022</w:t>
      </w:r>
    </w:p>
    <w:p w14:paraId="51DE8B14" w14:textId="77777777" w:rsidR="0010369C" w:rsidRDefault="008E43AE">
      <w:pPr>
        <w:pStyle w:val="BodyText"/>
        <w:spacing w:before="34" w:line="360" w:lineRule="auto"/>
        <w:ind w:left="237" w:right="613" w:firstLine="851"/>
        <w:jc w:val="both"/>
      </w:pPr>
      <w:r>
        <w:rPr>
          <w:noProof/>
        </w:rPr>
        <w:drawing>
          <wp:anchor distT="0" distB="0" distL="0" distR="0" simplePos="0" relativeHeight="251109888" behindDoc="1" locked="0" layoutInCell="1" allowOverlap="1" wp14:anchorId="51DEA36D" wp14:editId="51DEA36E">
            <wp:simplePos x="0" y="0"/>
            <wp:positionH relativeFrom="page">
              <wp:posOffset>899160</wp:posOffset>
            </wp:positionH>
            <wp:positionV relativeFrom="paragraph">
              <wp:posOffset>69165</wp:posOffset>
            </wp:positionV>
            <wp:extent cx="265175" cy="103631"/>
            <wp:effectExtent l="0" t="0" r="0" b="0"/>
            <wp:wrapNone/>
            <wp:docPr id="937" name="image4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 name="image479.png"/>
                    <pic:cNvPicPr/>
                  </pic:nvPicPr>
                  <pic:blipFill>
                    <a:blip r:embed="rId629" cstate="print"/>
                    <a:stretch>
                      <a:fillRect/>
                    </a:stretch>
                  </pic:blipFill>
                  <pic:spPr>
                    <a:xfrm>
                      <a:off x="0" y="0"/>
                      <a:ext cx="265175" cy="103631"/>
                    </a:xfrm>
                    <a:prstGeom prst="rect">
                      <a:avLst/>
                    </a:prstGeom>
                  </pic:spPr>
                </pic:pic>
              </a:graphicData>
            </a:graphic>
          </wp:anchor>
        </w:drawing>
      </w:r>
      <w:r>
        <w:t>For</w:t>
      </w:r>
      <w:r>
        <w:rPr>
          <w:spacing w:val="-1"/>
        </w:rPr>
        <w:t xml:space="preserve"> </w:t>
      </w:r>
      <w:r>
        <w:t>the</w:t>
      </w:r>
      <w:r>
        <w:rPr>
          <w:spacing w:val="-1"/>
        </w:rPr>
        <w:t xml:space="preserve"> </w:t>
      </w:r>
      <w:r>
        <w:t>foregoing</w:t>
      </w:r>
      <w:r>
        <w:rPr>
          <w:spacing w:val="-1"/>
        </w:rPr>
        <w:t xml:space="preserve"> </w:t>
      </w:r>
      <w:r>
        <w:t>reasons,</w:t>
      </w:r>
      <w:r>
        <w:rPr>
          <w:spacing w:val="-2"/>
        </w:rPr>
        <w:t xml:space="preserve"> </w:t>
      </w:r>
      <w:r>
        <w:t>MOFCOM</w:t>
      </w:r>
      <w:r>
        <w:rPr>
          <w:spacing w:val="-2"/>
        </w:rPr>
        <w:t xml:space="preserve"> </w:t>
      </w:r>
      <w:r>
        <w:t>erred</w:t>
      </w:r>
      <w:r>
        <w:rPr>
          <w:spacing w:val="-2"/>
        </w:rPr>
        <w:t xml:space="preserve"> </w:t>
      </w:r>
      <w:r>
        <w:t>when</w:t>
      </w:r>
      <w:r>
        <w:rPr>
          <w:spacing w:val="-2"/>
        </w:rPr>
        <w:t xml:space="preserve"> </w:t>
      </w:r>
      <w:r>
        <w:t>it</w:t>
      </w:r>
      <w:r>
        <w:rPr>
          <w:spacing w:val="-1"/>
        </w:rPr>
        <w:t xml:space="preserve"> </w:t>
      </w:r>
      <w:r>
        <w:t>relied</w:t>
      </w:r>
      <w:r>
        <w:rPr>
          <w:spacing w:val="-2"/>
        </w:rPr>
        <w:t xml:space="preserve"> </w:t>
      </w:r>
      <w:r>
        <w:t>upon</w:t>
      </w:r>
      <w:r>
        <w:rPr>
          <w:spacing w:val="-1"/>
        </w:rPr>
        <w:t xml:space="preserve"> </w:t>
      </w:r>
      <w:r>
        <w:t>Swan</w:t>
      </w:r>
      <w:r>
        <w:rPr>
          <w:spacing w:val="-1"/>
        </w:rPr>
        <w:t xml:space="preserve"> </w:t>
      </w:r>
      <w:r>
        <w:t>Vintage's</w:t>
      </w:r>
      <w:r>
        <w:rPr>
          <w:spacing w:val="-1"/>
        </w:rPr>
        <w:t xml:space="preserve"> </w:t>
      </w:r>
      <w:r>
        <w:t>costs data as a basis to resort to facts available and, therefore, China acted inconsistently with Article 6.8 and paragraphs 3, 5 and 6 of Annex II of the Anti‐Dumping Agreement.</w:t>
      </w:r>
    </w:p>
    <w:p w14:paraId="51DE8B15" w14:textId="77777777" w:rsidR="0010369C" w:rsidRDefault="008E43AE">
      <w:pPr>
        <w:pStyle w:val="ListParagraph"/>
        <w:numPr>
          <w:ilvl w:val="3"/>
          <w:numId w:val="75"/>
        </w:numPr>
        <w:tabs>
          <w:tab w:val="left" w:pos="3642"/>
          <w:tab w:val="left" w:pos="3643"/>
        </w:tabs>
        <w:spacing w:before="162"/>
        <w:ind w:hanging="853"/>
        <w:jc w:val="both"/>
        <w:rPr>
          <w:sz w:val="24"/>
        </w:rPr>
      </w:pPr>
      <w:r>
        <w:rPr>
          <w:sz w:val="24"/>
          <w:u w:val="single"/>
        </w:rPr>
        <w:t>The</w:t>
      </w:r>
      <w:r>
        <w:rPr>
          <w:spacing w:val="-6"/>
          <w:sz w:val="24"/>
          <w:u w:val="single"/>
        </w:rPr>
        <w:t xml:space="preserve"> </w:t>
      </w:r>
      <w:r>
        <w:rPr>
          <w:sz w:val="24"/>
          <w:u w:val="single"/>
        </w:rPr>
        <w:t>information</w:t>
      </w:r>
      <w:r>
        <w:rPr>
          <w:spacing w:val="-6"/>
          <w:sz w:val="24"/>
          <w:u w:val="single"/>
        </w:rPr>
        <w:t xml:space="preserve"> </w:t>
      </w:r>
      <w:r>
        <w:rPr>
          <w:sz w:val="24"/>
          <w:u w:val="single"/>
        </w:rPr>
        <w:t>used</w:t>
      </w:r>
      <w:r>
        <w:rPr>
          <w:spacing w:val="-7"/>
          <w:sz w:val="24"/>
          <w:u w:val="single"/>
        </w:rPr>
        <w:t xml:space="preserve"> </w:t>
      </w:r>
      <w:r>
        <w:rPr>
          <w:sz w:val="24"/>
          <w:u w:val="single"/>
        </w:rPr>
        <w:t>was</w:t>
      </w:r>
      <w:r>
        <w:rPr>
          <w:spacing w:val="-6"/>
          <w:sz w:val="24"/>
          <w:u w:val="single"/>
        </w:rPr>
        <w:t xml:space="preserve"> </w:t>
      </w:r>
      <w:r>
        <w:rPr>
          <w:sz w:val="24"/>
          <w:u w:val="single"/>
        </w:rPr>
        <w:t>not</w:t>
      </w:r>
      <w:r>
        <w:rPr>
          <w:spacing w:val="-5"/>
          <w:sz w:val="24"/>
          <w:u w:val="single"/>
        </w:rPr>
        <w:t xml:space="preserve"> </w:t>
      </w:r>
      <w:r>
        <w:rPr>
          <w:sz w:val="24"/>
          <w:u w:val="single"/>
        </w:rPr>
        <w:t>the</w:t>
      </w:r>
      <w:r>
        <w:rPr>
          <w:spacing w:val="-6"/>
          <w:sz w:val="24"/>
          <w:u w:val="single"/>
        </w:rPr>
        <w:t xml:space="preserve"> </w:t>
      </w:r>
      <w:r>
        <w:rPr>
          <w:sz w:val="24"/>
          <w:u w:val="single"/>
        </w:rPr>
        <w:t>"Best</w:t>
      </w:r>
      <w:r>
        <w:rPr>
          <w:spacing w:val="-6"/>
          <w:sz w:val="24"/>
          <w:u w:val="single"/>
        </w:rPr>
        <w:t xml:space="preserve"> </w:t>
      </w:r>
      <w:r>
        <w:rPr>
          <w:spacing w:val="-2"/>
          <w:sz w:val="24"/>
          <w:u w:val="single"/>
        </w:rPr>
        <w:t>Available"</w:t>
      </w:r>
    </w:p>
    <w:p w14:paraId="51DE8B16" w14:textId="77777777" w:rsidR="0010369C" w:rsidRDefault="0010369C">
      <w:pPr>
        <w:pStyle w:val="BodyText"/>
        <w:spacing w:before="8"/>
        <w:rPr>
          <w:sz w:val="20"/>
        </w:rPr>
      </w:pPr>
    </w:p>
    <w:p w14:paraId="51DE8B17" w14:textId="77777777" w:rsidR="0010369C" w:rsidRDefault="008E43AE">
      <w:pPr>
        <w:pStyle w:val="BodyText"/>
        <w:spacing w:before="52" w:line="360" w:lineRule="auto"/>
        <w:ind w:left="236" w:right="613" w:firstLine="852"/>
        <w:jc w:val="both"/>
      </w:pPr>
      <w:r>
        <w:rPr>
          <w:noProof/>
        </w:rPr>
        <w:drawing>
          <wp:anchor distT="0" distB="0" distL="0" distR="0" simplePos="0" relativeHeight="251110912" behindDoc="1" locked="0" layoutInCell="1" allowOverlap="1" wp14:anchorId="51DEA36F" wp14:editId="51DEA370">
            <wp:simplePos x="0" y="0"/>
            <wp:positionH relativeFrom="page">
              <wp:posOffset>899160</wp:posOffset>
            </wp:positionH>
            <wp:positionV relativeFrom="paragraph">
              <wp:posOffset>81187</wp:posOffset>
            </wp:positionV>
            <wp:extent cx="265175" cy="100753"/>
            <wp:effectExtent l="0" t="0" r="0" b="0"/>
            <wp:wrapNone/>
            <wp:docPr id="939" name="image4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 name="image480.png"/>
                    <pic:cNvPicPr/>
                  </pic:nvPicPr>
                  <pic:blipFill>
                    <a:blip r:embed="rId630" cstate="print"/>
                    <a:stretch>
                      <a:fillRect/>
                    </a:stretch>
                  </pic:blipFill>
                  <pic:spPr>
                    <a:xfrm>
                      <a:off x="0" y="0"/>
                      <a:ext cx="265175" cy="100753"/>
                    </a:xfrm>
                    <a:prstGeom prst="rect">
                      <a:avLst/>
                    </a:prstGeom>
                  </pic:spPr>
                </pic:pic>
              </a:graphicData>
            </a:graphic>
          </wp:anchor>
        </w:drawing>
      </w:r>
      <w:r>
        <w:t>Assuming</w:t>
      </w:r>
      <w:r>
        <w:rPr>
          <w:spacing w:val="-14"/>
        </w:rPr>
        <w:t xml:space="preserve"> </w:t>
      </w:r>
      <w:r>
        <w:rPr>
          <w:i/>
        </w:rPr>
        <w:t>arguendo</w:t>
      </w:r>
      <w:r>
        <w:rPr>
          <w:i/>
          <w:spacing w:val="-14"/>
        </w:rPr>
        <w:t xml:space="preserve"> </w:t>
      </w:r>
      <w:r>
        <w:t>that</w:t>
      </w:r>
      <w:r>
        <w:rPr>
          <w:spacing w:val="-13"/>
        </w:rPr>
        <w:t xml:space="preserve"> </w:t>
      </w:r>
      <w:r>
        <w:t>MOFCOM</w:t>
      </w:r>
      <w:r>
        <w:rPr>
          <w:spacing w:val="-14"/>
        </w:rPr>
        <w:t xml:space="preserve"> </w:t>
      </w:r>
      <w:r>
        <w:t>was</w:t>
      </w:r>
      <w:r>
        <w:rPr>
          <w:spacing w:val="-13"/>
        </w:rPr>
        <w:t xml:space="preserve"> </w:t>
      </w:r>
      <w:r>
        <w:t>entitled</w:t>
      </w:r>
      <w:r>
        <w:rPr>
          <w:spacing w:val="-14"/>
        </w:rPr>
        <w:t xml:space="preserve"> </w:t>
      </w:r>
      <w:r>
        <w:t>to</w:t>
      </w:r>
      <w:r>
        <w:rPr>
          <w:spacing w:val="-13"/>
        </w:rPr>
        <w:t xml:space="preserve"> </w:t>
      </w:r>
      <w:r>
        <w:t>resort</w:t>
      </w:r>
      <w:r>
        <w:rPr>
          <w:spacing w:val="-14"/>
        </w:rPr>
        <w:t xml:space="preserve"> </w:t>
      </w:r>
      <w:r>
        <w:t>to</w:t>
      </w:r>
      <w:r>
        <w:rPr>
          <w:spacing w:val="-14"/>
        </w:rPr>
        <w:t xml:space="preserve"> </w:t>
      </w:r>
      <w:r>
        <w:t>facts</w:t>
      </w:r>
      <w:r>
        <w:rPr>
          <w:spacing w:val="-13"/>
        </w:rPr>
        <w:t xml:space="preserve"> </w:t>
      </w:r>
      <w:r>
        <w:t>available,</w:t>
      </w:r>
      <w:r>
        <w:rPr>
          <w:spacing w:val="-14"/>
        </w:rPr>
        <w:t xml:space="preserve"> </w:t>
      </w:r>
      <w:r>
        <w:t>MOFCOM failed</w:t>
      </w:r>
      <w:r>
        <w:rPr>
          <w:spacing w:val="-6"/>
        </w:rPr>
        <w:t xml:space="preserve"> </w:t>
      </w:r>
      <w:r>
        <w:t>to</w:t>
      </w:r>
      <w:r>
        <w:rPr>
          <w:spacing w:val="-6"/>
        </w:rPr>
        <w:t xml:space="preserve"> </w:t>
      </w:r>
      <w:r>
        <w:t>select</w:t>
      </w:r>
      <w:r>
        <w:rPr>
          <w:spacing w:val="-6"/>
        </w:rPr>
        <w:t xml:space="preserve"> </w:t>
      </w:r>
      <w:r>
        <w:t>the</w:t>
      </w:r>
      <w:r>
        <w:rPr>
          <w:spacing w:val="-5"/>
        </w:rPr>
        <w:t xml:space="preserve"> </w:t>
      </w:r>
      <w:r>
        <w:t>"best</w:t>
      </w:r>
      <w:r>
        <w:rPr>
          <w:spacing w:val="-6"/>
        </w:rPr>
        <w:t xml:space="preserve"> </w:t>
      </w:r>
      <w:r>
        <w:t>information</w:t>
      </w:r>
      <w:r>
        <w:rPr>
          <w:spacing w:val="-4"/>
        </w:rPr>
        <w:t xml:space="preserve"> </w:t>
      </w:r>
      <w:r>
        <w:t>available"</w:t>
      </w:r>
      <w:r>
        <w:rPr>
          <w:spacing w:val="-8"/>
        </w:rPr>
        <w:t xml:space="preserve"> </w:t>
      </w:r>
      <w:r>
        <w:t>as</w:t>
      </w:r>
      <w:r>
        <w:rPr>
          <w:spacing w:val="-6"/>
        </w:rPr>
        <w:t xml:space="preserve"> </w:t>
      </w:r>
      <w:r>
        <w:t>a</w:t>
      </w:r>
      <w:r>
        <w:rPr>
          <w:spacing w:val="-6"/>
        </w:rPr>
        <w:t xml:space="preserve"> </w:t>
      </w:r>
      <w:r>
        <w:t>reasonable</w:t>
      </w:r>
      <w:r>
        <w:rPr>
          <w:spacing w:val="-5"/>
        </w:rPr>
        <w:t xml:space="preserve"> </w:t>
      </w:r>
      <w:r>
        <w:t>replacement</w:t>
      </w:r>
      <w:r>
        <w:rPr>
          <w:spacing w:val="-6"/>
        </w:rPr>
        <w:t xml:space="preserve"> </w:t>
      </w:r>
      <w:r>
        <w:t>for</w:t>
      </w:r>
      <w:r>
        <w:rPr>
          <w:spacing w:val="-7"/>
        </w:rPr>
        <w:t xml:space="preserve"> </w:t>
      </w:r>
      <w:r>
        <w:t>the</w:t>
      </w:r>
      <w:r>
        <w:rPr>
          <w:spacing w:val="-5"/>
        </w:rPr>
        <w:t xml:space="preserve"> </w:t>
      </w:r>
      <w:r>
        <w:t>allegedly missing information. MOFCOM used "the weighted average price of domestic sales of other respondents" purportedly adjusted to the ex‐factory level,</w:t>
      </w:r>
      <w:r>
        <w:rPr>
          <w:vertAlign w:val="superscript"/>
        </w:rPr>
        <w:t>515</w:t>
      </w:r>
      <w:r>
        <w:t xml:space="preserve"> to calculate normal value without exercising special circumspection or undertaking a process of </w:t>
      </w:r>
      <w:r>
        <w:t>reasoning and evaluation of the record evidence, as required under Article 6.8 and paragraph 7 of Annex II. The resulting dumping margin for Swan Vintage was 116.2%, the calculation of which was grossly flawed.</w:t>
      </w:r>
    </w:p>
    <w:p w14:paraId="51DE8B18" w14:textId="77777777" w:rsidR="0010369C" w:rsidRDefault="0010369C">
      <w:pPr>
        <w:pStyle w:val="BodyText"/>
        <w:spacing w:before="11"/>
        <w:rPr>
          <w:sz w:val="8"/>
        </w:rPr>
      </w:pPr>
    </w:p>
    <w:p w14:paraId="51DE8B19" w14:textId="77777777" w:rsidR="0010369C" w:rsidRDefault="008E43AE">
      <w:pPr>
        <w:pStyle w:val="BodyText"/>
        <w:spacing w:before="51" w:line="360" w:lineRule="auto"/>
        <w:ind w:left="237" w:right="611" w:firstLine="851"/>
        <w:jc w:val="both"/>
      </w:pPr>
      <w:r>
        <w:rPr>
          <w:noProof/>
        </w:rPr>
        <w:drawing>
          <wp:anchor distT="0" distB="0" distL="0" distR="0" simplePos="0" relativeHeight="251111936" behindDoc="1" locked="0" layoutInCell="1" allowOverlap="1" wp14:anchorId="51DEA371" wp14:editId="51DEA372">
            <wp:simplePos x="0" y="0"/>
            <wp:positionH relativeFrom="page">
              <wp:posOffset>899160</wp:posOffset>
            </wp:positionH>
            <wp:positionV relativeFrom="paragraph">
              <wp:posOffset>81315</wp:posOffset>
            </wp:positionV>
            <wp:extent cx="265175" cy="100753"/>
            <wp:effectExtent l="0" t="0" r="0" b="0"/>
            <wp:wrapNone/>
            <wp:docPr id="941" name="image4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 name="image481.png"/>
                    <pic:cNvPicPr/>
                  </pic:nvPicPr>
                  <pic:blipFill>
                    <a:blip r:embed="rId631" cstate="print"/>
                    <a:stretch>
                      <a:fillRect/>
                    </a:stretch>
                  </pic:blipFill>
                  <pic:spPr>
                    <a:xfrm>
                      <a:off x="0" y="0"/>
                      <a:ext cx="265175" cy="100753"/>
                    </a:xfrm>
                    <a:prstGeom prst="rect">
                      <a:avLst/>
                    </a:prstGeom>
                  </pic:spPr>
                </pic:pic>
              </a:graphicData>
            </a:graphic>
          </wp:anchor>
        </w:drawing>
      </w:r>
      <w:r>
        <w:t>MOFCOM did not identify the "other responde</w:t>
      </w:r>
      <w:r>
        <w:t>nts" nor the domestic sales data it relied</w:t>
      </w:r>
      <w:r>
        <w:rPr>
          <w:spacing w:val="-14"/>
        </w:rPr>
        <w:t xml:space="preserve"> </w:t>
      </w:r>
      <w:r>
        <w:t>on</w:t>
      </w:r>
      <w:r>
        <w:rPr>
          <w:spacing w:val="-14"/>
        </w:rPr>
        <w:t xml:space="preserve"> </w:t>
      </w:r>
      <w:r>
        <w:t>for</w:t>
      </w:r>
      <w:r>
        <w:rPr>
          <w:spacing w:val="-13"/>
        </w:rPr>
        <w:t xml:space="preserve"> </w:t>
      </w:r>
      <w:r>
        <w:t>calculation</w:t>
      </w:r>
      <w:r>
        <w:rPr>
          <w:spacing w:val="-14"/>
        </w:rPr>
        <w:t xml:space="preserve"> </w:t>
      </w:r>
      <w:r>
        <w:t>purposes.</w:t>
      </w:r>
      <w:r>
        <w:rPr>
          <w:spacing w:val="-13"/>
        </w:rPr>
        <w:t xml:space="preserve"> </w:t>
      </w:r>
      <w:r>
        <w:t>Given</w:t>
      </w:r>
      <w:r>
        <w:rPr>
          <w:spacing w:val="-14"/>
        </w:rPr>
        <w:t xml:space="preserve"> </w:t>
      </w:r>
      <w:r>
        <w:t>that</w:t>
      </w:r>
      <w:r>
        <w:rPr>
          <w:spacing w:val="-13"/>
        </w:rPr>
        <w:t xml:space="preserve"> </w:t>
      </w:r>
      <w:r>
        <w:t>there</w:t>
      </w:r>
      <w:r>
        <w:rPr>
          <w:spacing w:val="-14"/>
        </w:rPr>
        <w:t xml:space="preserve"> </w:t>
      </w:r>
      <w:r>
        <w:t>were</w:t>
      </w:r>
      <w:r>
        <w:rPr>
          <w:spacing w:val="-14"/>
        </w:rPr>
        <w:t xml:space="preserve"> </w:t>
      </w:r>
      <w:r>
        <w:t>only</w:t>
      </w:r>
      <w:r>
        <w:rPr>
          <w:spacing w:val="-13"/>
        </w:rPr>
        <w:t xml:space="preserve"> </w:t>
      </w:r>
      <w:r>
        <w:t>two</w:t>
      </w:r>
      <w:r>
        <w:rPr>
          <w:spacing w:val="-14"/>
        </w:rPr>
        <w:t xml:space="preserve"> </w:t>
      </w:r>
      <w:r>
        <w:t>other</w:t>
      </w:r>
      <w:r>
        <w:rPr>
          <w:spacing w:val="-13"/>
        </w:rPr>
        <w:t xml:space="preserve"> </w:t>
      </w:r>
      <w:r>
        <w:t>sampled</w:t>
      </w:r>
      <w:r>
        <w:rPr>
          <w:spacing w:val="-14"/>
        </w:rPr>
        <w:t xml:space="preserve"> </w:t>
      </w:r>
      <w:r>
        <w:t>respondents, Treasury Wines and Casella Wines, and numerous "other respondents, " and that MOFCOM also relied on the "weighted average pric</w:t>
      </w:r>
      <w:r>
        <w:t>e of domestic sales of other respondents" to determine the normal value for Casella Wines, it is impossible to discern which prices MOFCOM purportedly used to calculate a "weighted average" if MOFCOM's explanation is taken at face value.</w:t>
      </w:r>
    </w:p>
    <w:p w14:paraId="51DE8B1A" w14:textId="77777777" w:rsidR="0010369C" w:rsidRDefault="0010369C">
      <w:pPr>
        <w:pStyle w:val="BodyText"/>
        <w:spacing w:before="11"/>
        <w:rPr>
          <w:sz w:val="8"/>
        </w:rPr>
      </w:pPr>
    </w:p>
    <w:p w14:paraId="51DE8B1B" w14:textId="77777777" w:rsidR="0010369C" w:rsidRDefault="008E43AE">
      <w:pPr>
        <w:pStyle w:val="BodyText"/>
        <w:spacing w:before="52" w:line="360" w:lineRule="auto"/>
        <w:ind w:left="236" w:right="614" w:firstLine="852"/>
        <w:jc w:val="both"/>
      </w:pPr>
      <w:r>
        <w:rPr>
          <w:noProof/>
        </w:rPr>
        <w:drawing>
          <wp:anchor distT="0" distB="0" distL="0" distR="0" simplePos="0" relativeHeight="251112960" behindDoc="1" locked="0" layoutInCell="1" allowOverlap="1" wp14:anchorId="51DEA373" wp14:editId="51DEA374">
            <wp:simplePos x="0" y="0"/>
            <wp:positionH relativeFrom="page">
              <wp:posOffset>899160</wp:posOffset>
            </wp:positionH>
            <wp:positionV relativeFrom="paragraph">
              <wp:posOffset>81357</wp:posOffset>
            </wp:positionV>
            <wp:extent cx="265175" cy="103631"/>
            <wp:effectExtent l="0" t="0" r="0" b="0"/>
            <wp:wrapNone/>
            <wp:docPr id="943" name="image4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 name="image482.png"/>
                    <pic:cNvPicPr/>
                  </pic:nvPicPr>
                  <pic:blipFill>
                    <a:blip r:embed="rId632" cstate="print"/>
                    <a:stretch>
                      <a:fillRect/>
                    </a:stretch>
                  </pic:blipFill>
                  <pic:spPr>
                    <a:xfrm>
                      <a:off x="0" y="0"/>
                      <a:ext cx="265175" cy="103631"/>
                    </a:xfrm>
                    <a:prstGeom prst="rect">
                      <a:avLst/>
                    </a:prstGeom>
                  </pic:spPr>
                </pic:pic>
              </a:graphicData>
            </a:graphic>
          </wp:anchor>
        </w:drawing>
      </w:r>
      <w:r>
        <w:t>There is no evid</w:t>
      </w:r>
      <w:r>
        <w:t>ence on the record that MOFCOM checked the data it used for the normal value against other independent sources, in the manner required by paragraph 7 of Annex</w:t>
      </w:r>
      <w:r>
        <w:rPr>
          <w:spacing w:val="-4"/>
        </w:rPr>
        <w:t xml:space="preserve"> </w:t>
      </w:r>
      <w:r>
        <w:t>II.</w:t>
      </w:r>
      <w:r>
        <w:rPr>
          <w:spacing w:val="-3"/>
        </w:rPr>
        <w:t xml:space="preserve"> </w:t>
      </w:r>
      <w:r>
        <w:t>It</w:t>
      </w:r>
      <w:r>
        <w:rPr>
          <w:spacing w:val="-4"/>
        </w:rPr>
        <w:t xml:space="preserve"> </w:t>
      </w:r>
      <w:r>
        <w:t>is</w:t>
      </w:r>
      <w:r>
        <w:rPr>
          <w:spacing w:val="-4"/>
        </w:rPr>
        <w:t xml:space="preserve"> </w:t>
      </w:r>
      <w:r>
        <w:t>also</w:t>
      </w:r>
      <w:r>
        <w:rPr>
          <w:spacing w:val="-3"/>
        </w:rPr>
        <w:t xml:space="preserve"> </w:t>
      </w:r>
      <w:r>
        <w:t>unclear</w:t>
      </w:r>
      <w:r>
        <w:rPr>
          <w:spacing w:val="-3"/>
        </w:rPr>
        <w:t xml:space="preserve"> </w:t>
      </w:r>
      <w:r>
        <w:t>what</w:t>
      </w:r>
      <w:r>
        <w:rPr>
          <w:spacing w:val="-4"/>
        </w:rPr>
        <w:t xml:space="preserve"> </w:t>
      </w:r>
      <w:r>
        <w:t>factors</w:t>
      </w:r>
      <w:r>
        <w:rPr>
          <w:spacing w:val="-4"/>
        </w:rPr>
        <w:t xml:space="preserve"> </w:t>
      </w:r>
      <w:r>
        <w:t>were</w:t>
      </w:r>
      <w:r>
        <w:rPr>
          <w:spacing w:val="-3"/>
        </w:rPr>
        <w:t xml:space="preserve"> </w:t>
      </w:r>
      <w:r>
        <w:t>relevant</w:t>
      </w:r>
      <w:r>
        <w:rPr>
          <w:spacing w:val="-4"/>
        </w:rPr>
        <w:t xml:space="preserve"> </w:t>
      </w:r>
      <w:r>
        <w:t>to</w:t>
      </w:r>
      <w:r>
        <w:rPr>
          <w:spacing w:val="-3"/>
        </w:rPr>
        <w:t xml:space="preserve"> </w:t>
      </w:r>
      <w:r>
        <w:t>MOFCOM's</w:t>
      </w:r>
      <w:r>
        <w:rPr>
          <w:spacing w:val="-4"/>
        </w:rPr>
        <w:t xml:space="preserve"> </w:t>
      </w:r>
      <w:r>
        <w:t>assessment.</w:t>
      </w:r>
      <w:r>
        <w:rPr>
          <w:spacing w:val="-3"/>
        </w:rPr>
        <w:t xml:space="preserve"> </w:t>
      </w:r>
      <w:r>
        <w:t>As</w:t>
      </w:r>
      <w:r>
        <w:rPr>
          <w:spacing w:val="-4"/>
        </w:rPr>
        <w:t xml:space="preserve"> </w:t>
      </w:r>
      <w:r>
        <w:t>the</w:t>
      </w:r>
      <w:r>
        <w:rPr>
          <w:spacing w:val="-3"/>
        </w:rPr>
        <w:t xml:space="preserve"> </w:t>
      </w:r>
      <w:r>
        <w:t xml:space="preserve">Panel explained in </w:t>
      </w:r>
      <w:r>
        <w:rPr>
          <w:i/>
        </w:rPr>
        <w:t>Canada – Welded Pipe</w:t>
      </w:r>
      <w:r>
        <w:t>:</w:t>
      </w:r>
      <w:r>
        <w:rPr>
          <w:vertAlign w:val="superscript"/>
        </w:rPr>
        <w:t>516</w:t>
      </w:r>
    </w:p>
    <w:p w14:paraId="51DE8B1C" w14:textId="77777777" w:rsidR="0010369C" w:rsidRDefault="008E43AE">
      <w:pPr>
        <w:spacing w:before="161"/>
        <w:ind w:left="1090" w:right="613" w:hanging="1"/>
        <w:jc w:val="both"/>
      </w:pPr>
      <w:r>
        <w:t>Collecting</w:t>
      </w:r>
      <w:r>
        <w:rPr>
          <w:spacing w:val="-1"/>
        </w:rPr>
        <w:t xml:space="preserve"> </w:t>
      </w:r>
      <w:r>
        <w:t>data</w:t>
      </w:r>
      <w:r>
        <w:rPr>
          <w:spacing w:val="-2"/>
        </w:rPr>
        <w:t xml:space="preserve"> </w:t>
      </w:r>
      <w:r>
        <w:t>is</w:t>
      </w:r>
      <w:r>
        <w:rPr>
          <w:spacing w:val="-2"/>
        </w:rPr>
        <w:t xml:space="preserve"> </w:t>
      </w:r>
      <w:r>
        <w:t>not</w:t>
      </w:r>
      <w:r>
        <w:rPr>
          <w:spacing w:val="-3"/>
        </w:rPr>
        <w:t xml:space="preserve"> </w:t>
      </w:r>
      <w:r>
        <w:t>the</w:t>
      </w:r>
      <w:r>
        <w:rPr>
          <w:spacing w:val="-3"/>
        </w:rPr>
        <w:t xml:space="preserve"> </w:t>
      </w:r>
      <w:r>
        <w:t>same</w:t>
      </w:r>
      <w:r>
        <w:rPr>
          <w:spacing w:val="-2"/>
        </w:rPr>
        <w:t xml:space="preserve"> </w:t>
      </w:r>
      <w:r>
        <w:t>as</w:t>
      </w:r>
      <w:r>
        <w:rPr>
          <w:spacing w:val="-2"/>
        </w:rPr>
        <w:t xml:space="preserve"> </w:t>
      </w:r>
      <w:r>
        <w:t>undertaking</w:t>
      </w:r>
      <w:r>
        <w:rPr>
          <w:spacing w:val="-2"/>
        </w:rPr>
        <w:t xml:space="preserve"> </w:t>
      </w:r>
      <w:r>
        <w:t>a</w:t>
      </w:r>
      <w:r>
        <w:rPr>
          <w:spacing w:val="-1"/>
        </w:rPr>
        <w:t xml:space="preserve"> </w:t>
      </w:r>
      <w:r>
        <w:t>comparative</w:t>
      </w:r>
      <w:r>
        <w:rPr>
          <w:spacing w:val="-3"/>
        </w:rPr>
        <w:t xml:space="preserve"> </w:t>
      </w:r>
      <w:r>
        <w:t>and</w:t>
      </w:r>
      <w:r>
        <w:rPr>
          <w:spacing w:val="-2"/>
        </w:rPr>
        <w:t xml:space="preserve"> </w:t>
      </w:r>
      <w:r>
        <w:t>systematic</w:t>
      </w:r>
      <w:r>
        <w:rPr>
          <w:spacing w:val="-3"/>
        </w:rPr>
        <w:t xml:space="preserve"> </w:t>
      </w:r>
      <w:r>
        <w:t>evaluation</w:t>
      </w:r>
      <w:r>
        <w:rPr>
          <w:spacing w:val="-3"/>
        </w:rPr>
        <w:t xml:space="preserve"> </w:t>
      </w:r>
      <w:r>
        <w:t>and assessment of that data for the purpose of applying facts available. Nor does checking for anomalies,</w:t>
      </w:r>
      <w:r>
        <w:rPr>
          <w:spacing w:val="-10"/>
        </w:rPr>
        <w:t xml:space="preserve"> </w:t>
      </w:r>
      <w:r>
        <w:t>aberrations,</w:t>
      </w:r>
      <w:r>
        <w:rPr>
          <w:spacing w:val="-10"/>
        </w:rPr>
        <w:t xml:space="preserve"> </w:t>
      </w:r>
      <w:r>
        <w:t>or</w:t>
      </w:r>
      <w:r>
        <w:rPr>
          <w:spacing w:val="-10"/>
        </w:rPr>
        <w:t xml:space="preserve"> </w:t>
      </w:r>
      <w:r>
        <w:t>the</w:t>
      </w:r>
      <w:r>
        <w:rPr>
          <w:spacing w:val="-9"/>
        </w:rPr>
        <w:t xml:space="preserve"> </w:t>
      </w:r>
      <w:r>
        <w:t>need</w:t>
      </w:r>
      <w:r>
        <w:rPr>
          <w:spacing w:val="-10"/>
        </w:rPr>
        <w:t xml:space="preserve"> </w:t>
      </w:r>
      <w:r>
        <w:t>for</w:t>
      </w:r>
      <w:r>
        <w:rPr>
          <w:spacing w:val="-7"/>
        </w:rPr>
        <w:t xml:space="preserve"> </w:t>
      </w:r>
      <w:r>
        <w:t>adjustments</w:t>
      </w:r>
      <w:r>
        <w:rPr>
          <w:spacing w:val="-8"/>
        </w:rPr>
        <w:t xml:space="preserve"> </w:t>
      </w:r>
      <w:r>
        <w:t>equate</w:t>
      </w:r>
      <w:r>
        <w:rPr>
          <w:spacing w:val="-9"/>
        </w:rPr>
        <w:t xml:space="preserve"> </w:t>
      </w:r>
      <w:r>
        <w:t>to</w:t>
      </w:r>
      <w:r>
        <w:rPr>
          <w:spacing w:val="-8"/>
        </w:rPr>
        <w:t xml:space="preserve"> </w:t>
      </w:r>
      <w:r>
        <w:t>a</w:t>
      </w:r>
      <w:r>
        <w:rPr>
          <w:spacing w:val="-8"/>
        </w:rPr>
        <w:t xml:space="preserve"> </w:t>
      </w:r>
      <w:r>
        <w:t>comparative</w:t>
      </w:r>
      <w:r>
        <w:rPr>
          <w:spacing w:val="-10"/>
        </w:rPr>
        <w:t xml:space="preserve"> </w:t>
      </w:r>
      <w:r>
        <w:t>evaluation</w:t>
      </w:r>
      <w:r>
        <w:rPr>
          <w:spacing w:val="-11"/>
        </w:rPr>
        <w:t xml:space="preserve"> </w:t>
      </w:r>
      <w:r>
        <w:t xml:space="preserve">and </w:t>
      </w:r>
      <w:r>
        <w:rPr>
          <w:spacing w:val="-2"/>
        </w:rPr>
        <w:t>assessment.</w:t>
      </w:r>
    </w:p>
    <w:p w14:paraId="51DE8B1D" w14:textId="77777777" w:rsidR="0010369C" w:rsidRDefault="0010369C">
      <w:pPr>
        <w:pStyle w:val="BodyText"/>
        <w:spacing w:before="4"/>
        <w:rPr>
          <w:sz w:val="15"/>
        </w:rPr>
      </w:pPr>
    </w:p>
    <w:p w14:paraId="51DE8B1E" w14:textId="77777777" w:rsidR="0010369C" w:rsidRDefault="008E43AE">
      <w:pPr>
        <w:pStyle w:val="BodyText"/>
        <w:spacing w:before="51" w:line="360" w:lineRule="auto"/>
        <w:ind w:left="238" w:right="611" w:firstLine="851"/>
      </w:pPr>
      <w:r>
        <w:rPr>
          <w:noProof/>
        </w:rPr>
        <w:drawing>
          <wp:anchor distT="0" distB="0" distL="0" distR="0" simplePos="0" relativeHeight="251113984" behindDoc="1" locked="0" layoutInCell="1" allowOverlap="1" wp14:anchorId="51DEA375" wp14:editId="51DEA376">
            <wp:simplePos x="0" y="0"/>
            <wp:positionH relativeFrom="page">
              <wp:posOffset>899160</wp:posOffset>
            </wp:positionH>
            <wp:positionV relativeFrom="paragraph">
              <wp:posOffset>82840</wp:posOffset>
            </wp:positionV>
            <wp:extent cx="265175" cy="100753"/>
            <wp:effectExtent l="0" t="0" r="0" b="0"/>
            <wp:wrapNone/>
            <wp:docPr id="945" name="image4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 name="image483.png"/>
                    <pic:cNvPicPr/>
                  </pic:nvPicPr>
                  <pic:blipFill>
                    <a:blip r:embed="rId633" cstate="print"/>
                    <a:stretch>
                      <a:fillRect/>
                    </a:stretch>
                  </pic:blipFill>
                  <pic:spPr>
                    <a:xfrm>
                      <a:off x="0" y="0"/>
                      <a:ext cx="265175" cy="100753"/>
                    </a:xfrm>
                    <a:prstGeom prst="rect">
                      <a:avLst/>
                    </a:prstGeom>
                  </pic:spPr>
                </pic:pic>
              </a:graphicData>
            </a:graphic>
          </wp:anchor>
        </w:drawing>
      </w:r>
      <w:r>
        <w:t>MOFCOM does not explain what, if any, comparisons were made in respect of the</w:t>
      </w:r>
      <w:r>
        <w:rPr>
          <w:spacing w:val="40"/>
        </w:rPr>
        <w:t xml:space="preserve"> </w:t>
      </w:r>
      <w:r>
        <w:rPr>
          <w:w w:val="95"/>
        </w:rPr>
        <w:t>data</w:t>
      </w:r>
      <w:r>
        <w:rPr>
          <w:spacing w:val="18"/>
        </w:rPr>
        <w:t xml:space="preserve"> </w:t>
      </w:r>
      <w:r>
        <w:rPr>
          <w:w w:val="95"/>
        </w:rPr>
        <w:t>collected,</w:t>
      </w:r>
      <w:r>
        <w:rPr>
          <w:spacing w:val="19"/>
        </w:rPr>
        <w:t xml:space="preserve"> </w:t>
      </w:r>
      <w:r>
        <w:rPr>
          <w:w w:val="95"/>
        </w:rPr>
        <w:t>and</w:t>
      </w:r>
      <w:r>
        <w:rPr>
          <w:spacing w:val="17"/>
        </w:rPr>
        <w:t xml:space="preserve"> </w:t>
      </w:r>
      <w:r>
        <w:rPr>
          <w:w w:val="95"/>
        </w:rPr>
        <w:t>whether</w:t>
      </w:r>
      <w:r>
        <w:rPr>
          <w:spacing w:val="17"/>
        </w:rPr>
        <w:t xml:space="preserve"> </w:t>
      </w:r>
      <w:r>
        <w:rPr>
          <w:w w:val="95"/>
        </w:rPr>
        <w:t>it</w:t>
      </w:r>
      <w:r>
        <w:rPr>
          <w:spacing w:val="17"/>
        </w:rPr>
        <w:t xml:space="preserve"> </w:t>
      </w:r>
      <w:r>
        <w:rPr>
          <w:w w:val="95"/>
        </w:rPr>
        <w:t>evaluated</w:t>
      </w:r>
      <w:r>
        <w:rPr>
          <w:spacing w:val="18"/>
        </w:rPr>
        <w:t xml:space="preserve"> </w:t>
      </w:r>
      <w:r>
        <w:rPr>
          <w:w w:val="95"/>
        </w:rPr>
        <w:t>prices,</w:t>
      </w:r>
      <w:r>
        <w:rPr>
          <w:spacing w:val="17"/>
        </w:rPr>
        <w:t xml:space="preserve"> </w:t>
      </w:r>
      <w:r>
        <w:rPr>
          <w:w w:val="95"/>
        </w:rPr>
        <w:t>volumes,</w:t>
      </w:r>
      <w:r>
        <w:rPr>
          <w:spacing w:val="17"/>
        </w:rPr>
        <w:t xml:space="preserve"> </w:t>
      </w:r>
      <w:r>
        <w:rPr>
          <w:w w:val="95"/>
        </w:rPr>
        <w:t>product</w:t>
      </w:r>
      <w:r>
        <w:rPr>
          <w:spacing w:val="19"/>
        </w:rPr>
        <w:t xml:space="preserve"> </w:t>
      </w:r>
      <w:r>
        <w:rPr>
          <w:w w:val="95"/>
        </w:rPr>
        <w:t>specification,</w:t>
      </w:r>
      <w:r>
        <w:rPr>
          <w:spacing w:val="17"/>
        </w:rPr>
        <w:t xml:space="preserve"> </w:t>
      </w:r>
      <w:r>
        <w:rPr>
          <w:w w:val="95"/>
        </w:rPr>
        <w:t>or</w:t>
      </w:r>
      <w:r>
        <w:rPr>
          <w:spacing w:val="17"/>
        </w:rPr>
        <w:t xml:space="preserve"> </w:t>
      </w:r>
      <w:r>
        <w:rPr>
          <w:spacing w:val="-2"/>
          <w:w w:val="95"/>
        </w:rPr>
        <w:t>differences</w:t>
      </w:r>
    </w:p>
    <w:p w14:paraId="51DE8B1F" w14:textId="77777777" w:rsidR="0010369C" w:rsidRDefault="008E43AE">
      <w:pPr>
        <w:pStyle w:val="BodyText"/>
        <w:spacing w:before="9"/>
        <w:rPr>
          <w:sz w:val="25"/>
        </w:rPr>
      </w:pPr>
      <w:r>
        <w:pict w14:anchorId="51DEA377">
          <v:rect id="docshape915" o:spid="_x0000_s1422" style="position:absolute;margin-left:70.9pt;margin-top:16.95pt;width:2in;height:.8pt;z-index:-250875392;mso-wrap-distance-left:0;mso-wrap-distance-right:0;mso-position-horizontal-relative:page" fillcolor="black" stroked="f">
            <w10:wrap type="topAndBottom" anchorx="page"/>
          </v:rect>
        </w:pict>
      </w:r>
    </w:p>
    <w:p w14:paraId="51DE8B20" w14:textId="77777777" w:rsidR="0010369C" w:rsidRDefault="008E43AE">
      <w:pPr>
        <w:spacing w:before="109"/>
        <w:ind w:left="238"/>
        <w:rPr>
          <w:sz w:val="18"/>
        </w:rPr>
      </w:pPr>
      <w:r>
        <w:rPr>
          <w:sz w:val="18"/>
          <w:vertAlign w:val="superscript"/>
        </w:rPr>
        <w:t>515</w:t>
      </w:r>
      <w:r>
        <w:rPr>
          <w:spacing w:val="-9"/>
          <w:sz w:val="18"/>
        </w:rPr>
        <w:t xml:space="preserve"> </w:t>
      </w:r>
      <w:r>
        <w:rPr>
          <w:sz w:val="18"/>
        </w:rPr>
        <w:t>Anti‐Dumping</w:t>
      </w:r>
      <w:r>
        <w:rPr>
          <w:spacing w:val="-9"/>
          <w:sz w:val="18"/>
        </w:rPr>
        <w:t xml:space="preserve"> </w:t>
      </w:r>
      <w:r>
        <w:rPr>
          <w:sz w:val="18"/>
        </w:rPr>
        <w:t>Final</w:t>
      </w:r>
      <w:r>
        <w:rPr>
          <w:spacing w:val="-9"/>
          <w:sz w:val="18"/>
        </w:rPr>
        <w:t xml:space="preserve"> </w:t>
      </w:r>
      <w:r>
        <w:rPr>
          <w:sz w:val="18"/>
        </w:rPr>
        <w:t>Determination</w:t>
      </w:r>
      <w:r>
        <w:rPr>
          <w:spacing w:val="-8"/>
          <w:sz w:val="18"/>
        </w:rPr>
        <w:t xml:space="preserve"> </w:t>
      </w:r>
      <w:r>
        <w:rPr>
          <w:sz w:val="18"/>
        </w:rPr>
        <w:t>(Exhibit</w:t>
      </w:r>
      <w:r>
        <w:rPr>
          <w:spacing w:val="-9"/>
          <w:sz w:val="18"/>
        </w:rPr>
        <w:t xml:space="preserve"> </w:t>
      </w:r>
      <w:r>
        <w:rPr>
          <w:sz w:val="18"/>
        </w:rPr>
        <w:t>AUS‐2),</w:t>
      </w:r>
      <w:r>
        <w:rPr>
          <w:spacing w:val="-9"/>
          <w:sz w:val="18"/>
        </w:rPr>
        <w:t xml:space="preserve"> </w:t>
      </w:r>
      <w:r>
        <w:rPr>
          <w:sz w:val="18"/>
        </w:rPr>
        <w:t>p.</w:t>
      </w:r>
      <w:r>
        <w:rPr>
          <w:spacing w:val="-9"/>
          <w:sz w:val="18"/>
        </w:rPr>
        <w:t xml:space="preserve"> </w:t>
      </w:r>
      <w:r>
        <w:rPr>
          <w:spacing w:val="-5"/>
          <w:sz w:val="18"/>
        </w:rPr>
        <w:t>92.</w:t>
      </w:r>
    </w:p>
    <w:p w14:paraId="51DE8B21" w14:textId="77777777" w:rsidR="0010369C" w:rsidRDefault="008E43AE">
      <w:pPr>
        <w:ind w:left="238"/>
        <w:rPr>
          <w:sz w:val="18"/>
        </w:rPr>
      </w:pPr>
      <w:r>
        <w:rPr>
          <w:sz w:val="18"/>
          <w:vertAlign w:val="superscript"/>
        </w:rPr>
        <w:t>516</w:t>
      </w:r>
      <w:r>
        <w:rPr>
          <w:spacing w:val="-6"/>
          <w:sz w:val="18"/>
        </w:rPr>
        <w:t xml:space="preserve"> </w:t>
      </w:r>
      <w:r>
        <w:rPr>
          <w:sz w:val="18"/>
        </w:rPr>
        <w:t>Panel</w:t>
      </w:r>
      <w:r>
        <w:rPr>
          <w:spacing w:val="-6"/>
          <w:sz w:val="18"/>
        </w:rPr>
        <w:t xml:space="preserve"> </w:t>
      </w:r>
      <w:r>
        <w:rPr>
          <w:sz w:val="18"/>
        </w:rPr>
        <w:t>Report,</w:t>
      </w:r>
      <w:r>
        <w:rPr>
          <w:spacing w:val="-6"/>
          <w:sz w:val="18"/>
        </w:rPr>
        <w:t xml:space="preserve"> </w:t>
      </w:r>
      <w:r>
        <w:rPr>
          <w:i/>
          <w:sz w:val="18"/>
        </w:rPr>
        <w:t>Canada</w:t>
      </w:r>
      <w:r>
        <w:rPr>
          <w:i/>
          <w:spacing w:val="-5"/>
          <w:sz w:val="18"/>
        </w:rPr>
        <w:t xml:space="preserve"> </w:t>
      </w:r>
      <w:r>
        <w:rPr>
          <w:i/>
          <w:sz w:val="18"/>
        </w:rPr>
        <w:t>–</w:t>
      </w:r>
      <w:r>
        <w:rPr>
          <w:i/>
          <w:spacing w:val="-6"/>
          <w:sz w:val="18"/>
        </w:rPr>
        <w:t xml:space="preserve"> </w:t>
      </w:r>
      <w:r>
        <w:rPr>
          <w:i/>
          <w:sz w:val="18"/>
        </w:rPr>
        <w:t>Welded</w:t>
      </w:r>
      <w:r>
        <w:rPr>
          <w:i/>
          <w:spacing w:val="-5"/>
          <w:sz w:val="18"/>
        </w:rPr>
        <w:t xml:space="preserve"> </w:t>
      </w:r>
      <w:r>
        <w:rPr>
          <w:i/>
          <w:sz w:val="18"/>
        </w:rPr>
        <w:t>Pipe</w:t>
      </w:r>
      <w:r>
        <w:rPr>
          <w:sz w:val="18"/>
        </w:rPr>
        <w:t>,</w:t>
      </w:r>
      <w:r>
        <w:rPr>
          <w:spacing w:val="-7"/>
          <w:sz w:val="18"/>
        </w:rPr>
        <w:t xml:space="preserve"> </w:t>
      </w:r>
      <w:r>
        <w:rPr>
          <w:sz w:val="18"/>
        </w:rPr>
        <w:t>para.</w:t>
      </w:r>
      <w:r>
        <w:rPr>
          <w:spacing w:val="-5"/>
          <w:sz w:val="18"/>
        </w:rPr>
        <w:t xml:space="preserve"> </w:t>
      </w:r>
      <w:r>
        <w:rPr>
          <w:spacing w:val="-2"/>
          <w:sz w:val="18"/>
        </w:rPr>
        <w:t>7.140.</w:t>
      </w:r>
    </w:p>
    <w:p w14:paraId="51DE8B22" w14:textId="77777777" w:rsidR="0010369C" w:rsidRDefault="0010369C">
      <w:pPr>
        <w:rPr>
          <w:sz w:val="18"/>
        </w:rPr>
        <w:sectPr w:rsidR="0010369C">
          <w:pgSz w:w="11910" w:h="16840"/>
          <w:pgMar w:top="880" w:right="800" w:bottom="980" w:left="1180" w:header="569" w:footer="788" w:gutter="0"/>
          <w:cols w:space="720"/>
        </w:sectPr>
      </w:pPr>
    </w:p>
    <w:p w14:paraId="51DE8B23" w14:textId="77777777" w:rsidR="0010369C" w:rsidRDefault="008E43AE">
      <w:pPr>
        <w:tabs>
          <w:tab w:val="left" w:pos="6426"/>
        </w:tabs>
        <w:ind w:left="238"/>
        <w:jc w:val="both"/>
        <w:rPr>
          <w:sz w:val="20"/>
        </w:rPr>
      </w:pPr>
      <w:r>
        <w:rPr>
          <w:i/>
          <w:sz w:val="20"/>
        </w:rPr>
        <w:lastRenderedPageBreak/>
        <w:t>China</w:t>
      </w:r>
      <w:r>
        <w:rPr>
          <w:i/>
          <w:spacing w:val="-5"/>
          <w:sz w:val="20"/>
        </w:rPr>
        <w:t xml:space="preserve"> </w:t>
      </w:r>
      <w:r>
        <w:rPr>
          <w:i/>
          <w:sz w:val="20"/>
        </w:rPr>
        <w:t>–</w:t>
      </w:r>
      <w:r>
        <w:rPr>
          <w:i/>
          <w:spacing w:val="-5"/>
          <w:sz w:val="20"/>
        </w:rPr>
        <w:t xml:space="preserve"> </w:t>
      </w:r>
      <w:r>
        <w:rPr>
          <w:i/>
          <w:sz w:val="20"/>
        </w:rPr>
        <w:t>Anti‐Dumping</w:t>
      </w:r>
      <w:r>
        <w:rPr>
          <w:i/>
          <w:spacing w:val="-4"/>
          <w:sz w:val="20"/>
        </w:rPr>
        <w:t xml:space="preserve"> </w:t>
      </w:r>
      <w:r>
        <w:rPr>
          <w:i/>
          <w:sz w:val="20"/>
        </w:rPr>
        <w:t>and</w:t>
      </w:r>
      <w:r>
        <w:rPr>
          <w:i/>
          <w:spacing w:val="-5"/>
          <w:sz w:val="20"/>
        </w:rPr>
        <w:t xml:space="preserve"> </w:t>
      </w:r>
      <w:r>
        <w:rPr>
          <w:i/>
          <w:sz w:val="20"/>
        </w:rPr>
        <w:t>Countervailing</w:t>
      </w:r>
      <w:r>
        <w:rPr>
          <w:i/>
          <w:spacing w:val="-5"/>
          <w:sz w:val="20"/>
        </w:rPr>
        <w:t xml:space="preserve"> </w:t>
      </w:r>
      <w:r>
        <w:rPr>
          <w:i/>
          <w:sz w:val="20"/>
        </w:rPr>
        <w:t>Duty</w:t>
      </w:r>
      <w:r>
        <w:rPr>
          <w:i/>
          <w:spacing w:val="-4"/>
          <w:sz w:val="20"/>
        </w:rPr>
        <w:t xml:space="preserve"> </w:t>
      </w:r>
      <w:r>
        <w:rPr>
          <w:i/>
          <w:spacing w:val="-2"/>
          <w:sz w:val="20"/>
        </w:rPr>
        <w:t>Measures</w:t>
      </w:r>
      <w:r>
        <w:rPr>
          <w:i/>
          <w:sz w:val="20"/>
        </w:rPr>
        <w:tab/>
      </w:r>
      <w:r>
        <w:rPr>
          <w:sz w:val="20"/>
        </w:rPr>
        <w:t>Australia's</w:t>
      </w:r>
      <w:r>
        <w:rPr>
          <w:spacing w:val="-7"/>
          <w:sz w:val="20"/>
        </w:rPr>
        <w:t xml:space="preserve"> </w:t>
      </w:r>
      <w:r>
        <w:rPr>
          <w:sz w:val="20"/>
        </w:rPr>
        <w:t>First</w:t>
      </w:r>
      <w:r>
        <w:rPr>
          <w:spacing w:val="-2"/>
          <w:sz w:val="20"/>
        </w:rPr>
        <w:t xml:space="preserve"> </w:t>
      </w:r>
      <w:r>
        <w:rPr>
          <w:sz w:val="20"/>
        </w:rPr>
        <w:t>Written</w:t>
      </w:r>
      <w:r>
        <w:rPr>
          <w:spacing w:val="-2"/>
          <w:sz w:val="20"/>
        </w:rPr>
        <w:t xml:space="preserve"> Submission</w:t>
      </w:r>
    </w:p>
    <w:p w14:paraId="51DE8B24" w14:textId="77777777" w:rsidR="0010369C" w:rsidRDefault="008E43AE">
      <w:pPr>
        <w:tabs>
          <w:tab w:val="left" w:pos="8228"/>
        </w:tabs>
        <w:spacing w:before="1"/>
        <w:ind w:left="239"/>
        <w:jc w:val="both"/>
        <w:rPr>
          <w:sz w:val="20"/>
        </w:rPr>
      </w:pPr>
      <w:r>
        <w:rPr>
          <w:i/>
          <w:sz w:val="20"/>
        </w:rPr>
        <w:t>on</w:t>
      </w:r>
      <w:r>
        <w:rPr>
          <w:i/>
          <w:spacing w:val="-1"/>
          <w:sz w:val="20"/>
        </w:rPr>
        <w:t xml:space="preserve"> </w:t>
      </w:r>
      <w:r>
        <w:rPr>
          <w:i/>
          <w:sz w:val="20"/>
        </w:rPr>
        <w:t>Wine</w:t>
      </w:r>
      <w:r>
        <w:rPr>
          <w:i/>
          <w:spacing w:val="-1"/>
          <w:sz w:val="20"/>
        </w:rPr>
        <w:t xml:space="preserve"> </w:t>
      </w:r>
      <w:r>
        <w:rPr>
          <w:i/>
          <w:sz w:val="20"/>
        </w:rPr>
        <w:t>from</w:t>
      </w:r>
      <w:r>
        <w:rPr>
          <w:i/>
          <w:spacing w:val="-3"/>
          <w:sz w:val="20"/>
        </w:rPr>
        <w:t xml:space="preserve"> </w:t>
      </w:r>
      <w:r>
        <w:rPr>
          <w:i/>
          <w:sz w:val="20"/>
        </w:rPr>
        <w:t>Australia</w:t>
      </w:r>
      <w:r>
        <w:rPr>
          <w:i/>
          <w:spacing w:val="-1"/>
          <w:sz w:val="20"/>
        </w:rPr>
        <w:t xml:space="preserve"> </w:t>
      </w:r>
      <w:r>
        <w:rPr>
          <w:spacing w:val="-2"/>
          <w:sz w:val="20"/>
        </w:rPr>
        <w:t>(DS602)</w:t>
      </w:r>
      <w:r>
        <w:rPr>
          <w:sz w:val="20"/>
        </w:rPr>
        <w:tab/>
        <w:t>29</w:t>
      </w:r>
      <w:r>
        <w:rPr>
          <w:spacing w:val="-1"/>
          <w:sz w:val="20"/>
        </w:rPr>
        <w:t xml:space="preserve"> </w:t>
      </w:r>
      <w:r>
        <w:rPr>
          <w:sz w:val="20"/>
        </w:rPr>
        <w:t>April</w:t>
      </w:r>
      <w:r>
        <w:rPr>
          <w:spacing w:val="-2"/>
          <w:sz w:val="20"/>
        </w:rPr>
        <w:t xml:space="preserve"> </w:t>
      </w:r>
      <w:r>
        <w:rPr>
          <w:spacing w:val="-4"/>
          <w:sz w:val="20"/>
        </w:rPr>
        <w:t>2022</w:t>
      </w:r>
    </w:p>
    <w:p w14:paraId="51DE8B25" w14:textId="77777777" w:rsidR="0010369C" w:rsidRDefault="008E43AE">
      <w:pPr>
        <w:pStyle w:val="BodyText"/>
        <w:spacing w:before="34" w:line="360" w:lineRule="auto"/>
        <w:ind w:left="237" w:right="613" w:firstLine="1"/>
        <w:jc w:val="both"/>
      </w:pPr>
      <w:r>
        <w:t>in</w:t>
      </w:r>
      <w:r>
        <w:rPr>
          <w:spacing w:val="-9"/>
        </w:rPr>
        <w:t xml:space="preserve"> </w:t>
      </w:r>
      <w:r>
        <w:t>sales</w:t>
      </w:r>
      <w:r>
        <w:rPr>
          <w:spacing w:val="-9"/>
        </w:rPr>
        <w:t xml:space="preserve"> </w:t>
      </w:r>
      <w:r>
        <w:t>terms,</w:t>
      </w:r>
      <w:r>
        <w:rPr>
          <w:spacing w:val="-9"/>
        </w:rPr>
        <w:t xml:space="preserve"> </w:t>
      </w:r>
      <w:r>
        <w:t>shipping</w:t>
      </w:r>
      <w:r>
        <w:rPr>
          <w:spacing w:val="-9"/>
        </w:rPr>
        <w:t xml:space="preserve"> </w:t>
      </w:r>
      <w:r>
        <w:t>costs,</w:t>
      </w:r>
      <w:r>
        <w:rPr>
          <w:spacing w:val="-8"/>
        </w:rPr>
        <w:t xml:space="preserve"> </w:t>
      </w:r>
      <w:r>
        <w:t>and</w:t>
      </w:r>
      <w:r>
        <w:rPr>
          <w:spacing w:val="-11"/>
        </w:rPr>
        <w:t xml:space="preserve"> </w:t>
      </w:r>
      <w:r>
        <w:t>market</w:t>
      </w:r>
      <w:r>
        <w:rPr>
          <w:spacing w:val="-10"/>
        </w:rPr>
        <w:t xml:space="preserve"> </w:t>
      </w:r>
      <w:r>
        <w:t>structure</w:t>
      </w:r>
      <w:r>
        <w:rPr>
          <w:spacing w:val="-9"/>
        </w:rPr>
        <w:t xml:space="preserve"> </w:t>
      </w:r>
      <w:r>
        <w:t>in</w:t>
      </w:r>
      <w:r>
        <w:rPr>
          <w:spacing w:val="-9"/>
        </w:rPr>
        <w:t xml:space="preserve"> </w:t>
      </w:r>
      <w:r>
        <w:t>order</w:t>
      </w:r>
      <w:r>
        <w:rPr>
          <w:spacing w:val="-8"/>
        </w:rPr>
        <w:t xml:space="preserve"> </w:t>
      </w:r>
      <w:r>
        <w:t>to</w:t>
      </w:r>
      <w:r>
        <w:rPr>
          <w:spacing w:val="-8"/>
        </w:rPr>
        <w:t xml:space="preserve"> </w:t>
      </w:r>
      <w:r>
        <w:t>reconcile</w:t>
      </w:r>
      <w:r>
        <w:rPr>
          <w:spacing w:val="-8"/>
        </w:rPr>
        <w:t xml:space="preserve"> </w:t>
      </w:r>
      <w:r>
        <w:t>the</w:t>
      </w:r>
      <w:r>
        <w:rPr>
          <w:spacing w:val="-9"/>
        </w:rPr>
        <w:t xml:space="preserve"> </w:t>
      </w:r>
      <w:r>
        <w:t>information</w:t>
      </w:r>
      <w:r>
        <w:rPr>
          <w:spacing w:val="-8"/>
        </w:rPr>
        <w:t xml:space="preserve"> </w:t>
      </w:r>
      <w:r>
        <w:t>from that submitted by "other respondents" with that submitted by Swan Vintage. It is not sufficient</w:t>
      </w:r>
      <w:r>
        <w:rPr>
          <w:spacing w:val="-11"/>
        </w:rPr>
        <w:t xml:space="preserve"> </w:t>
      </w:r>
      <w:r>
        <w:t>for</w:t>
      </w:r>
      <w:r>
        <w:rPr>
          <w:spacing w:val="-11"/>
        </w:rPr>
        <w:t xml:space="preserve"> </w:t>
      </w:r>
      <w:r>
        <w:t>MOFCOM</w:t>
      </w:r>
      <w:r>
        <w:rPr>
          <w:spacing w:val="-11"/>
        </w:rPr>
        <w:t xml:space="preserve"> </w:t>
      </w:r>
      <w:r>
        <w:t>to</w:t>
      </w:r>
      <w:r>
        <w:rPr>
          <w:spacing w:val="-11"/>
        </w:rPr>
        <w:t xml:space="preserve"> </w:t>
      </w:r>
      <w:r>
        <w:t>merely</w:t>
      </w:r>
      <w:r>
        <w:rPr>
          <w:spacing w:val="-12"/>
        </w:rPr>
        <w:t xml:space="preserve"> </w:t>
      </w:r>
      <w:r>
        <w:t>assert</w:t>
      </w:r>
      <w:r>
        <w:rPr>
          <w:spacing w:val="-11"/>
        </w:rPr>
        <w:t xml:space="preserve"> </w:t>
      </w:r>
      <w:r>
        <w:t>it</w:t>
      </w:r>
      <w:r>
        <w:rPr>
          <w:spacing w:val="-11"/>
        </w:rPr>
        <w:t xml:space="preserve"> </w:t>
      </w:r>
      <w:r>
        <w:t>"decided</w:t>
      </w:r>
      <w:r>
        <w:rPr>
          <w:spacing w:val="-11"/>
        </w:rPr>
        <w:t xml:space="preserve"> </w:t>
      </w:r>
      <w:r>
        <w:t>to</w:t>
      </w:r>
      <w:r>
        <w:rPr>
          <w:spacing w:val="-11"/>
        </w:rPr>
        <w:t xml:space="preserve"> </w:t>
      </w:r>
      <w:r>
        <w:t>determine</w:t>
      </w:r>
      <w:r>
        <w:rPr>
          <w:spacing w:val="-10"/>
        </w:rPr>
        <w:t xml:space="preserve"> </w:t>
      </w:r>
      <w:r>
        <w:t>the</w:t>
      </w:r>
      <w:r>
        <w:rPr>
          <w:spacing w:val="-10"/>
        </w:rPr>
        <w:t xml:space="preserve"> </w:t>
      </w:r>
      <w:r>
        <w:t>Company's</w:t>
      </w:r>
      <w:r>
        <w:rPr>
          <w:spacing w:val="-11"/>
        </w:rPr>
        <w:t xml:space="preserve"> </w:t>
      </w:r>
      <w:r>
        <w:t>normal</w:t>
      </w:r>
      <w:r>
        <w:rPr>
          <w:spacing w:val="-11"/>
        </w:rPr>
        <w:t xml:space="preserve"> </w:t>
      </w:r>
      <w:r>
        <w:t>value based</w:t>
      </w:r>
      <w:r>
        <w:rPr>
          <w:spacing w:val="-6"/>
        </w:rPr>
        <w:t xml:space="preserve"> </w:t>
      </w:r>
      <w:r>
        <w:t>on</w:t>
      </w:r>
      <w:r>
        <w:rPr>
          <w:spacing w:val="-6"/>
        </w:rPr>
        <w:t xml:space="preserve"> </w:t>
      </w:r>
      <w:r>
        <w:t>other</w:t>
      </w:r>
      <w:r>
        <w:rPr>
          <w:spacing w:val="-6"/>
        </w:rPr>
        <w:t xml:space="preserve"> </w:t>
      </w:r>
      <w:r>
        <w:t>respondents'</w:t>
      </w:r>
      <w:r>
        <w:rPr>
          <w:spacing w:val="-7"/>
        </w:rPr>
        <w:t xml:space="preserve"> </w:t>
      </w:r>
      <w:r>
        <w:t>domestic</w:t>
      </w:r>
      <w:r>
        <w:rPr>
          <w:spacing w:val="-5"/>
        </w:rPr>
        <w:t xml:space="preserve"> </w:t>
      </w:r>
      <w:r>
        <w:t>sale</w:t>
      </w:r>
      <w:r>
        <w:rPr>
          <w:spacing w:val="-6"/>
        </w:rPr>
        <w:t xml:space="preserve"> </w:t>
      </w:r>
      <w:r>
        <w:t>data"</w:t>
      </w:r>
      <w:r>
        <w:rPr>
          <w:spacing w:val="-6"/>
        </w:rPr>
        <w:t xml:space="preserve"> </w:t>
      </w:r>
      <w:r>
        <w:t>in</w:t>
      </w:r>
      <w:r>
        <w:rPr>
          <w:spacing w:val="-7"/>
        </w:rPr>
        <w:t xml:space="preserve"> </w:t>
      </w:r>
      <w:r>
        <w:t>the</w:t>
      </w:r>
      <w:r>
        <w:rPr>
          <w:spacing w:val="-6"/>
        </w:rPr>
        <w:t xml:space="preserve"> </w:t>
      </w:r>
      <w:r>
        <w:t>absence</w:t>
      </w:r>
      <w:r>
        <w:rPr>
          <w:spacing w:val="-6"/>
        </w:rPr>
        <w:t xml:space="preserve"> </w:t>
      </w:r>
      <w:r>
        <w:t>of</w:t>
      </w:r>
      <w:r>
        <w:rPr>
          <w:spacing w:val="-6"/>
        </w:rPr>
        <w:t xml:space="preserve"> </w:t>
      </w:r>
      <w:r>
        <w:t>any</w:t>
      </w:r>
      <w:r>
        <w:rPr>
          <w:spacing w:val="-6"/>
        </w:rPr>
        <w:t xml:space="preserve"> </w:t>
      </w:r>
      <w:r>
        <w:t>furth</w:t>
      </w:r>
      <w:r>
        <w:t>er</w:t>
      </w:r>
      <w:r>
        <w:rPr>
          <w:spacing w:val="-6"/>
        </w:rPr>
        <w:t xml:space="preserve"> </w:t>
      </w:r>
      <w:r>
        <w:t>explanation</w:t>
      </w:r>
      <w:r>
        <w:rPr>
          <w:spacing w:val="-8"/>
        </w:rPr>
        <w:t xml:space="preserve"> </w:t>
      </w:r>
      <w:r>
        <w:t>or analysis. Explanations provided by an investigating authority must be sufficiently detailed to allow a panel to assess whether the facts available were a reasonable replacement for the missing necessary information.</w:t>
      </w:r>
      <w:r>
        <w:rPr>
          <w:vertAlign w:val="superscript"/>
        </w:rPr>
        <w:t>517</w:t>
      </w:r>
    </w:p>
    <w:p w14:paraId="51DE8B26" w14:textId="77777777" w:rsidR="0010369C" w:rsidRDefault="0010369C">
      <w:pPr>
        <w:pStyle w:val="BodyText"/>
        <w:spacing w:before="10"/>
        <w:rPr>
          <w:sz w:val="8"/>
        </w:rPr>
      </w:pPr>
    </w:p>
    <w:p w14:paraId="51DE8B27" w14:textId="77777777" w:rsidR="0010369C" w:rsidRDefault="008E43AE">
      <w:pPr>
        <w:pStyle w:val="BodyText"/>
        <w:spacing w:before="52" w:line="360" w:lineRule="auto"/>
        <w:ind w:left="237" w:right="612" w:firstLine="851"/>
        <w:jc w:val="both"/>
      </w:pPr>
      <w:r>
        <w:rPr>
          <w:noProof/>
        </w:rPr>
        <w:drawing>
          <wp:anchor distT="0" distB="0" distL="0" distR="0" simplePos="0" relativeHeight="251115008" behindDoc="1" locked="0" layoutInCell="1" allowOverlap="1" wp14:anchorId="51DEA378" wp14:editId="51DEA379">
            <wp:simplePos x="0" y="0"/>
            <wp:positionH relativeFrom="page">
              <wp:posOffset>899160</wp:posOffset>
            </wp:positionH>
            <wp:positionV relativeFrom="paragraph">
              <wp:posOffset>83473</wp:posOffset>
            </wp:positionV>
            <wp:extent cx="265175" cy="100753"/>
            <wp:effectExtent l="0" t="0" r="0" b="0"/>
            <wp:wrapNone/>
            <wp:docPr id="947" name="image4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 name="image484.png"/>
                    <pic:cNvPicPr/>
                  </pic:nvPicPr>
                  <pic:blipFill>
                    <a:blip r:embed="rId634" cstate="print"/>
                    <a:stretch>
                      <a:fillRect/>
                    </a:stretch>
                  </pic:blipFill>
                  <pic:spPr>
                    <a:xfrm>
                      <a:off x="0" y="0"/>
                      <a:ext cx="265175" cy="100753"/>
                    </a:xfrm>
                    <a:prstGeom prst="rect">
                      <a:avLst/>
                    </a:prstGeom>
                  </pic:spPr>
                </pic:pic>
              </a:graphicData>
            </a:graphic>
          </wp:anchor>
        </w:drawing>
      </w:r>
      <w:r>
        <w:t>Australia submits</w:t>
      </w:r>
      <w:r>
        <w:t xml:space="preserve"> that, in selecting the best information available MOFCOM should have accounted for Swan Vintage's production situation and product structure, the cost differences between different types of wine products, and other factors affecting comparability between </w:t>
      </w:r>
      <w:r>
        <w:t>the company's wine products. MOFCOM's application of cost and related</w:t>
      </w:r>
      <w:r>
        <w:rPr>
          <w:spacing w:val="-11"/>
        </w:rPr>
        <w:t xml:space="preserve"> </w:t>
      </w:r>
      <w:r>
        <w:t>expenses</w:t>
      </w:r>
      <w:r>
        <w:rPr>
          <w:spacing w:val="-11"/>
        </w:rPr>
        <w:t xml:space="preserve"> </w:t>
      </w:r>
      <w:r>
        <w:t>data</w:t>
      </w:r>
      <w:r>
        <w:rPr>
          <w:spacing w:val="-9"/>
        </w:rPr>
        <w:t xml:space="preserve"> </w:t>
      </w:r>
      <w:r>
        <w:t>based</w:t>
      </w:r>
      <w:r>
        <w:rPr>
          <w:spacing w:val="-10"/>
        </w:rPr>
        <w:t xml:space="preserve"> </w:t>
      </w:r>
      <w:r>
        <w:t>on</w:t>
      </w:r>
      <w:r>
        <w:rPr>
          <w:spacing w:val="-10"/>
        </w:rPr>
        <w:t xml:space="preserve"> </w:t>
      </w:r>
      <w:r>
        <w:t>a</w:t>
      </w:r>
      <w:r>
        <w:rPr>
          <w:spacing w:val="-10"/>
        </w:rPr>
        <w:t xml:space="preserve"> </w:t>
      </w:r>
      <w:r>
        <w:t>weighted</w:t>
      </w:r>
      <w:r>
        <w:rPr>
          <w:spacing w:val="-11"/>
        </w:rPr>
        <w:t xml:space="preserve"> </w:t>
      </w:r>
      <w:r>
        <w:t>average</w:t>
      </w:r>
      <w:r>
        <w:rPr>
          <w:spacing w:val="-9"/>
        </w:rPr>
        <w:t xml:space="preserve"> </w:t>
      </w:r>
      <w:r>
        <w:t>of</w:t>
      </w:r>
      <w:r>
        <w:rPr>
          <w:spacing w:val="-10"/>
        </w:rPr>
        <w:t xml:space="preserve"> </w:t>
      </w:r>
      <w:r>
        <w:t>other</w:t>
      </w:r>
      <w:r>
        <w:rPr>
          <w:spacing w:val="-9"/>
        </w:rPr>
        <w:t xml:space="preserve"> </w:t>
      </w:r>
      <w:r>
        <w:t>respondents'</w:t>
      </w:r>
      <w:r>
        <w:rPr>
          <w:spacing w:val="-12"/>
        </w:rPr>
        <w:t xml:space="preserve"> </w:t>
      </w:r>
      <w:r>
        <w:t>data</w:t>
      </w:r>
      <w:r>
        <w:rPr>
          <w:spacing w:val="-9"/>
        </w:rPr>
        <w:t xml:space="preserve"> </w:t>
      </w:r>
      <w:r>
        <w:t>to</w:t>
      </w:r>
      <w:r>
        <w:rPr>
          <w:spacing w:val="-9"/>
        </w:rPr>
        <w:t xml:space="preserve"> </w:t>
      </w:r>
      <w:r>
        <w:t>all</w:t>
      </w:r>
      <w:r>
        <w:rPr>
          <w:spacing w:val="-10"/>
        </w:rPr>
        <w:t xml:space="preserve"> </w:t>
      </w:r>
      <w:r>
        <w:t>products demonstrates</w:t>
      </w:r>
      <w:r>
        <w:rPr>
          <w:spacing w:val="-12"/>
        </w:rPr>
        <w:t xml:space="preserve"> </w:t>
      </w:r>
      <w:r>
        <w:t>that</w:t>
      </w:r>
      <w:r>
        <w:rPr>
          <w:spacing w:val="-12"/>
        </w:rPr>
        <w:t xml:space="preserve"> </w:t>
      </w:r>
      <w:r>
        <w:t>MOFCOM</w:t>
      </w:r>
      <w:r>
        <w:rPr>
          <w:spacing w:val="-12"/>
        </w:rPr>
        <w:t xml:space="preserve"> </w:t>
      </w:r>
      <w:r>
        <w:t>did</w:t>
      </w:r>
      <w:r>
        <w:rPr>
          <w:spacing w:val="-12"/>
        </w:rPr>
        <w:t xml:space="preserve"> </w:t>
      </w:r>
      <w:r>
        <w:t>not</w:t>
      </w:r>
      <w:r>
        <w:rPr>
          <w:spacing w:val="-11"/>
        </w:rPr>
        <w:t xml:space="preserve"> </w:t>
      </w:r>
      <w:r>
        <w:t>conduct</w:t>
      </w:r>
      <w:r>
        <w:rPr>
          <w:spacing w:val="-12"/>
        </w:rPr>
        <w:t xml:space="preserve"> </w:t>
      </w:r>
      <w:r>
        <w:t>the</w:t>
      </w:r>
      <w:r>
        <w:rPr>
          <w:spacing w:val="-13"/>
        </w:rPr>
        <w:t xml:space="preserve"> </w:t>
      </w:r>
      <w:r>
        <w:t>required</w:t>
      </w:r>
      <w:r>
        <w:rPr>
          <w:spacing w:val="-13"/>
        </w:rPr>
        <w:t xml:space="preserve"> </w:t>
      </w:r>
      <w:r>
        <w:t>comparative</w:t>
      </w:r>
      <w:r>
        <w:rPr>
          <w:spacing w:val="-12"/>
        </w:rPr>
        <w:t xml:space="preserve"> </w:t>
      </w:r>
      <w:r>
        <w:t>systematic</w:t>
      </w:r>
      <w:r>
        <w:rPr>
          <w:spacing w:val="-10"/>
        </w:rPr>
        <w:t xml:space="preserve"> </w:t>
      </w:r>
      <w:r>
        <w:t>evaluation and</w:t>
      </w:r>
      <w:r>
        <w:rPr>
          <w:spacing w:val="-8"/>
        </w:rPr>
        <w:t xml:space="preserve"> </w:t>
      </w:r>
      <w:r>
        <w:t>assessment</w:t>
      </w:r>
      <w:r>
        <w:rPr>
          <w:spacing w:val="-7"/>
        </w:rPr>
        <w:t xml:space="preserve"> </w:t>
      </w:r>
      <w:r>
        <w:t>of</w:t>
      </w:r>
      <w:r>
        <w:rPr>
          <w:spacing w:val="-7"/>
        </w:rPr>
        <w:t xml:space="preserve"> </w:t>
      </w:r>
      <w:r>
        <w:t>the</w:t>
      </w:r>
      <w:r>
        <w:rPr>
          <w:spacing w:val="-7"/>
        </w:rPr>
        <w:t xml:space="preserve"> </w:t>
      </w:r>
      <w:r>
        <w:t>data</w:t>
      </w:r>
      <w:r>
        <w:rPr>
          <w:spacing w:val="-6"/>
        </w:rPr>
        <w:t xml:space="preserve"> </w:t>
      </w:r>
      <w:r>
        <w:t>submitted,</w:t>
      </w:r>
      <w:r>
        <w:rPr>
          <w:spacing w:val="-6"/>
        </w:rPr>
        <w:t xml:space="preserve"> </w:t>
      </w:r>
      <w:r>
        <w:t>as</w:t>
      </w:r>
      <w:r>
        <w:rPr>
          <w:spacing w:val="-8"/>
        </w:rPr>
        <w:t xml:space="preserve"> </w:t>
      </w:r>
      <w:r>
        <w:t>required</w:t>
      </w:r>
      <w:r>
        <w:rPr>
          <w:spacing w:val="-8"/>
        </w:rPr>
        <w:t xml:space="preserve"> </w:t>
      </w:r>
      <w:r>
        <w:t>by</w:t>
      </w:r>
      <w:r>
        <w:rPr>
          <w:spacing w:val="-6"/>
        </w:rPr>
        <w:t xml:space="preserve"> </w:t>
      </w:r>
      <w:r>
        <w:t>Article</w:t>
      </w:r>
      <w:r>
        <w:rPr>
          <w:spacing w:val="-8"/>
        </w:rPr>
        <w:t xml:space="preserve"> </w:t>
      </w:r>
      <w:r>
        <w:t>6.8</w:t>
      </w:r>
      <w:r>
        <w:rPr>
          <w:spacing w:val="-8"/>
        </w:rPr>
        <w:t xml:space="preserve"> </w:t>
      </w:r>
      <w:r>
        <w:t>and</w:t>
      </w:r>
      <w:r>
        <w:rPr>
          <w:spacing w:val="-7"/>
        </w:rPr>
        <w:t xml:space="preserve"> </w:t>
      </w:r>
      <w:r>
        <w:t>paragraph</w:t>
      </w:r>
      <w:r>
        <w:rPr>
          <w:spacing w:val="-6"/>
        </w:rPr>
        <w:t xml:space="preserve"> </w:t>
      </w:r>
      <w:r>
        <w:t>7</w:t>
      </w:r>
      <w:r>
        <w:rPr>
          <w:spacing w:val="-7"/>
        </w:rPr>
        <w:t xml:space="preserve"> </w:t>
      </w:r>
      <w:r>
        <w:t>of</w:t>
      </w:r>
      <w:r>
        <w:rPr>
          <w:spacing w:val="-8"/>
        </w:rPr>
        <w:t xml:space="preserve"> </w:t>
      </w:r>
      <w:r>
        <w:t>Annex</w:t>
      </w:r>
      <w:r>
        <w:rPr>
          <w:spacing w:val="-7"/>
        </w:rPr>
        <w:t xml:space="preserve"> </w:t>
      </w:r>
      <w:r>
        <w:rPr>
          <w:spacing w:val="-5"/>
        </w:rPr>
        <w:t>II.</w:t>
      </w:r>
    </w:p>
    <w:p w14:paraId="51DE8B28" w14:textId="77777777" w:rsidR="0010369C" w:rsidRDefault="0010369C">
      <w:pPr>
        <w:pStyle w:val="BodyText"/>
        <w:spacing w:before="11"/>
        <w:rPr>
          <w:sz w:val="8"/>
        </w:rPr>
      </w:pPr>
    </w:p>
    <w:p w14:paraId="51DE8B29" w14:textId="77777777" w:rsidR="0010369C" w:rsidRDefault="008E43AE">
      <w:pPr>
        <w:pStyle w:val="BodyText"/>
        <w:spacing w:before="51" w:line="360" w:lineRule="auto"/>
        <w:ind w:left="236" w:right="614" w:firstLine="853"/>
        <w:jc w:val="both"/>
      </w:pPr>
      <w:r>
        <w:rPr>
          <w:noProof/>
        </w:rPr>
        <w:drawing>
          <wp:anchor distT="0" distB="0" distL="0" distR="0" simplePos="0" relativeHeight="251116032" behindDoc="1" locked="0" layoutInCell="1" allowOverlap="1" wp14:anchorId="51DEA37A" wp14:editId="51DEA37B">
            <wp:simplePos x="0" y="0"/>
            <wp:positionH relativeFrom="page">
              <wp:posOffset>899160</wp:posOffset>
            </wp:positionH>
            <wp:positionV relativeFrom="paragraph">
              <wp:posOffset>76150</wp:posOffset>
            </wp:positionV>
            <wp:extent cx="265175" cy="106679"/>
            <wp:effectExtent l="0" t="0" r="0" b="0"/>
            <wp:wrapNone/>
            <wp:docPr id="949" name="image4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 name="image485.png"/>
                    <pic:cNvPicPr/>
                  </pic:nvPicPr>
                  <pic:blipFill>
                    <a:blip r:embed="rId635" cstate="print"/>
                    <a:stretch>
                      <a:fillRect/>
                    </a:stretch>
                  </pic:blipFill>
                  <pic:spPr>
                    <a:xfrm>
                      <a:off x="0" y="0"/>
                      <a:ext cx="265175" cy="106679"/>
                    </a:xfrm>
                    <a:prstGeom prst="rect">
                      <a:avLst/>
                    </a:prstGeom>
                  </pic:spPr>
                </pic:pic>
              </a:graphicData>
            </a:graphic>
          </wp:anchor>
        </w:drawing>
      </w:r>
      <w:r>
        <w:t>By failing to consider the other information in its selection of facts to replace the allegedly missing information, MOFCOM failed to undertake "a pr</w:t>
      </w:r>
      <w:r>
        <w:t>ocess of reasoning and evaluation"</w:t>
      </w:r>
      <w:r>
        <w:rPr>
          <w:spacing w:val="-2"/>
        </w:rPr>
        <w:t xml:space="preserve"> </w:t>
      </w:r>
      <w:r>
        <w:t>to select</w:t>
      </w:r>
      <w:r>
        <w:rPr>
          <w:spacing w:val="-1"/>
        </w:rPr>
        <w:t xml:space="preserve"> </w:t>
      </w:r>
      <w:r>
        <w:t>facts</w:t>
      </w:r>
      <w:r>
        <w:rPr>
          <w:spacing w:val="-1"/>
        </w:rPr>
        <w:t xml:space="preserve"> </w:t>
      </w:r>
      <w:r>
        <w:t>which</w:t>
      </w:r>
      <w:r>
        <w:rPr>
          <w:spacing w:val="-1"/>
        </w:rPr>
        <w:t xml:space="preserve"> </w:t>
      </w:r>
      <w:r>
        <w:t>reasonably</w:t>
      </w:r>
      <w:r>
        <w:rPr>
          <w:spacing w:val="-1"/>
        </w:rPr>
        <w:t xml:space="preserve"> </w:t>
      </w:r>
      <w:r>
        <w:t>replaced</w:t>
      </w:r>
      <w:r>
        <w:rPr>
          <w:spacing w:val="-1"/>
        </w:rPr>
        <w:t xml:space="preserve"> </w:t>
      </w:r>
      <w:r>
        <w:t>facts</w:t>
      </w:r>
      <w:r>
        <w:rPr>
          <w:spacing w:val="-1"/>
        </w:rPr>
        <w:t xml:space="preserve"> </w:t>
      </w:r>
      <w:r>
        <w:t>on</w:t>
      </w:r>
      <w:r>
        <w:rPr>
          <w:spacing w:val="-1"/>
        </w:rPr>
        <w:t xml:space="preserve"> </w:t>
      </w:r>
      <w:r>
        <w:t>the record</w:t>
      </w:r>
      <w:r>
        <w:rPr>
          <w:spacing w:val="-2"/>
        </w:rPr>
        <w:t xml:space="preserve"> </w:t>
      </w:r>
      <w:r>
        <w:t>in</w:t>
      </w:r>
      <w:r>
        <w:rPr>
          <w:spacing w:val="-1"/>
        </w:rPr>
        <w:t xml:space="preserve"> </w:t>
      </w:r>
      <w:r>
        <w:t>order to arrive at an accurate determination.</w:t>
      </w:r>
      <w:r>
        <w:rPr>
          <w:vertAlign w:val="superscript"/>
        </w:rPr>
        <w:t>518</w:t>
      </w:r>
    </w:p>
    <w:p w14:paraId="51DE8B2A" w14:textId="77777777" w:rsidR="0010369C" w:rsidRDefault="008E43AE">
      <w:pPr>
        <w:pStyle w:val="Heading4"/>
        <w:numPr>
          <w:ilvl w:val="2"/>
          <w:numId w:val="75"/>
        </w:numPr>
        <w:tabs>
          <w:tab w:val="left" w:pos="2649"/>
          <w:tab w:val="left" w:pos="2650"/>
        </w:tabs>
        <w:ind w:left="2649" w:hanging="852"/>
        <w:jc w:val="both"/>
      </w:pPr>
      <w:r>
        <w:t>MOFCOM</w:t>
      </w:r>
      <w:r>
        <w:rPr>
          <w:spacing w:val="-9"/>
        </w:rPr>
        <w:t xml:space="preserve"> </w:t>
      </w:r>
      <w:r>
        <w:t>had</w:t>
      </w:r>
      <w:r>
        <w:rPr>
          <w:spacing w:val="-9"/>
        </w:rPr>
        <w:t xml:space="preserve"> </w:t>
      </w:r>
      <w:r>
        <w:t>all</w:t>
      </w:r>
      <w:r>
        <w:rPr>
          <w:spacing w:val="-9"/>
        </w:rPr>
        <w:t xml:space="preserve"> </w:t>
      </w:r>
      <w:r>
        <w:t>necessary</w:t>
      </w:r>
      <w:r>
        <w:rPr>
          <w:spacing w:val="-9"/>
        </w:rPr>
        <w:t xml:space="preserve"> </w:t>
      </w:r>
      <w:r>
        <w:t>information</w:t>
      </w:r>
      <w:r>
        <w:rPr>
          <w:spacing w:val="-10"/>
        </w:rPr>
        <w:t xml:space="preserve"> </w:t>
      </w:r>
      <w:r>
        <w:t>to</w:t>
      </w:r>
      <w:r>
        <w:rPr>
          <w:spacing w:val="-8"/>
        </w:rPr>
        <w:t xml:space="preserve"> </w:t>
      </w:r>
      <w:r>
        <w:t>construct</w:t>
      </w:r>
      <w:r>
        <w:rPr>
          <w:spacing w:val="-9"/>
        </w:rPr>
        <w:t xml:space="preserve"> </w:t>
      </w:r>
      <w:r>
        <w:t>normal</w:t>
      </w:r>
      <w:r>
        <w:rPr>
          <w:spacing w:val="-10"/>
        </w:rPr>
        <w:t xml:space="preserve"> </w:t>
      </w:r>
      <w:r>
        <w:rPr>
          <w:spacing w:val="-2"/>
        </w:rPr>
        <w:t>value</w:t>
      </w:r>
    </w:p>
    <w:p w14:paraId="51DE8B2B" w14:textId="77777777" w:rsidR="0010369C" w:rsidRDefault="0010369C">
      <w:pPr>
        <w:pStyle w:val="BodyText"/>
        <w:spacing w:before="10"/>
        <w:rPr>
          <w:b/>
          <w:sz w:val="20"/>
        </w:rPr>
      </w:pPr>
    </w:p>
    <w:p w14:paraId="51DE8B2C" w14:textId="77777777" w:rsidR="0010369C" w:rsidRDefault="008E43AE">
      <w:pPr>
        <w:pStyle w:val="BodyText"/>
        <w:spacing w:before="52" w:line="360" w:lineRule="auto"/>
        <w:ind w:left="237" w:right="613" w:firstLine="851"/>
        <w:jc w:val="both"/>
      </w:pPr>
      <w:r>
        <w:rPr>
          <w:noProof/>
        </w:rPr>
        <w:drawing>
          <wp:anchor distT="0" distB="0" distL="0" distR="0" simplePos="0" relativeHeight="251117056" behindDoc="1" locked="0" layoutInCell="1" allowOverlap="1" wp14:anchorId="51DEA37C" wp14:editId="51DEA37D">
            <wp:simplePos x="0" y="0"/>
            <wp:positionH relativeFrom="page">
              <wp:posOffset>899160</wp:posOffset>
            </wp:positionH>
            <wp:positionV relativeFrom="paragraph">
              <wp:posOffset>78309</wp:posOffset>
            </wp:positionV>
            <wp:extent cx="265175" cy="103631"/>
            <wp:effectExtent l="0" t="0" r="0" b="0"/>
            <wp:wrapNone/>
            <wp:docPr id="951" name="image4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 name="image486.png"/>
                    <pic:cNvPicPr/>
                  </pic:nvPicPr>
                  <pic:blipFill>
                    <a:blip r:embed="rId636" cstate="print"/>
                    <a:stretch>
                      <a:fillRect/>
                    </a:stretch>
                  </pic:blipFill>
                  <pic:spPr>
                    <a:xfrm>
                      <a:off x="0" y="0"/>
                      <a:ext cx="265175" cy="103631"/>
                    </a:xfrm>
                    <a:prstGeom prst="rect">
                      <a:avLst/>
                    </a:prstGeom>
                  </pic:spPr>
                </pic:pic>
              </a:graphicData>
            </a:graphic>
          </wp:anchor>
        </w:drawing>
      </w:r>
      <w:r>
        <w:t>For the foregoing reasons, Australia has demonstrated the weighted average ex‐factory prices of "other respondents" domestic sales was not the best available information. Furthermore, MOFCOM had all necessary information to calculate constructed normal</w:t>
      </w:r>
      <w:r>
        <w:rPr>
          <w:spacing w:val="-8"/>
        </w:rPr>
        <w:t xml:space="preserve"> </w:t>
      </w:r>
      <w:r>
        <w:t>val</w:t>
      </w:r>
      <w:r>
        <w:t>ue.</w:t>
      </w:r>
      <w:r>
        <w:rPr>
          <w:spacing w:val="-9"/>
        </w:rPr>
        <w:t xml:space="preserve"> </w:t>
      </w:r>
      <w:r>
        <w:t>On</w:t>
      </w:r>
      <w:r>
        <w:rPr>
          <w:spacing w:val="-9"/>
        </w:rPr>
        <w:t xml:space="preserve"> </w:t>
      </w:r>
      <w:r>
        <w:t>this</w:t>
      </w:r>
      <w:r>
        <w:rPr>
          <w:spacing w:val="-9"/>
        </w:rPr>
        <w:t xml:space="preserve"> </w:t>
      </w:r>
      <w:r>
        <w:t>basis,</w:t>
      </w:r>
      <w:r>
        <w:rPr>
          <w:spacing w:val="-8"/>
        </w:rPr>
        <w:t xml:space="preserve"> </w:t>
      </w:r>
      <w:r>
        <w:t>Australia</w:t>
      </w:r>
      <w:r>
        <w:rPr>
          <w:spacing w:val="-9"/>
        </w:rPr>
        <w:t xml:space="preserve"> </w:t>
      </w:r>
      <w:r>
        <w:t>submits</w:t>
      </w:r>
      <w:r>
        <w:rPr>
          <w:spacing w:val="-9"/>
        </w:rPr>
        <w:t xml:space="preserve"> </w:t>
      </w:r>
      <w:r>
        <w:t>that</w:t>
      </w:r>
      <w:r>
        <w:rPr>
          <w:spacing w:val="-9"/>
        </w:rPr>
        <w:t xml:space="preserve"> </w:t>
      </w:r>
      <w:r>
        <w:t>even</w:t>
      </w:r>
      <w:r>
        <w:rPr>
          <w:spacing w:val="-9"/>
        </w:rPr>
        <w:t xml:space="preserve"> </w:t>
      </w:r>
      <w:r>
        <w:t>if</w:t>
      </w:r>
      <w:r>
        <w:rPr>
          <w:spacing w:val="-9"/>
        </w:rPr>
        <w:t xml:space="preserve"> </w:t>
      </w:r>
      <w:r>
        <w:t>MOFCOM</w:t>
      </w:r>
      <w:r>
        <w:rPr>
          <w:spacing w:val="-8"/>
        </w:rPr>
        <w:t xml:space="preserve"> </w:t>
      </w:r>
      <w:r>
        <w:t>had</w:t>
      </w:r>
      <w:r>
        <w:rPr>
          <w:spacing w:val="-9"/>
        </w:rPr>
        <w:t xml:space="preserve"> </w:t>
      </w:r>
      <w:r>
        <w:t>correctly</w:t>
      </w:r>
      <w:r>
        <w:rPr>
          <w:spacing w:val="-8"/>
        </w:rPr>
        <w:t xml:space="preserve"> </w:t>
      </w:r>
      <w:r>
        <w:t>determined it was unable to rely on the reported domestic sales to calculate normal value pursuant to Article 2.1, the necessary information was available to use constructed normal valu</w:t>
      </w:r>
      <w:r>
        <w:t>e as the alternative methodology under Article 2.2.</w:t>
      </w:r>
    </w:p>
    <w:p w14:paraId="51DE8B2D" w14:textId="77777777" w:rsidR="0010369C" w:rsidRDefault="0010369C">
      <w:pPr>
        <w:pStyle w:val="BodyText"/>
        <w:rPr>
          <w:sz w:val="20"/>
        </w:rPr>
      </w:pPr>
    </w:p>
    <w:p w14:paraId="51DE8B2E" w14:textId="77777777" w:rsidR="0010369C" w:rsidRDefault="0010369C">
      <w:pPr>
        <w:pStyle w:val="BodyText"/>
        <w:rPr>
          <w:sz w:val="20"/>
        </w:rPr>
      </w:pPr>
    </w:p>
    <w:p w14:paraId="51DE8B2F" w14:textId="77777777" w:rsidR="0010369C" w:rsidRDefault="0010369C">
      <w:pPr>
        <w:pStyle w:val="BodyText"/>
        <w:rPr>
          <w:sz w:val="20"/>
        </w:rPr>
      </w:pPr>
    </w:p>
    <w:p w14:paraId="51DE8B30" w14:textId="77777777" w:rsidR="0010369C" w:rsidRDefault="0010369C">
      <w:pPr>
        <w:pStyle w:val="BodyText"/>
        <w:rPr>
          <w:sz w:val="20"/>
        </w:rPr>
      </w:pPr>
    </w:p>
    <w:p w14:paraId="51DE8B31" w14:textId="77777777" w:rsidR="0010369C" w:rsidRDefault="008E43AE">
      <w:pPr>
        <w:pStyle w:val="BodyText"/>
        <w:spacing w:before="6"/>
        <w:rPr>
          <w:sz w:val="12"/>
        </w:rPr>
      </w:pPr>
      <w:r>
        <w:pict w14:anchorId="51DEA37E">
          <v:rect id="docshape916" o:spid="_x0000_s1421" style="position:absolute;margin-left:70.9pt;margin-top:8.85pt;width:2in;height:.8pt;z-index:-250874368;mso-wrap-distance-left:0;mso-wrap-distance-right:0;mso-position-horizontal-relative:page" fillcolor="black" stroked="f">
            <w10:wrap type="topAndBottom" anchorx="page"/>
          </v:rect>
        </w:pict>
      </w:r>
    </w:p>
    <w:p w14:paraId="51DE8B32" w14:textId="77777777" w:rsidR="0010369C" w:rsidRDefault="008E43AE">
      <w:pPr>
        <w:spacing w:before="109"/>
        <w:ind w:left="239" w:right="614" w:hanging="2"/>
        <w:rPr>
          <w:sz w:val="18"/>
        </w:rPr>
      </w:pPr>
      <w:r>
        <w:rPr>
          <w:sz w:val="18"/>
          <w:vertAlign w:val="superscript"/>
        </w:rPr>
        <w:t>517</w:t>
      </w:r>
      <w:r>
        <w:rPr>
          <w:spacing w:val="28"/>
          <w:sz w:val="18"/>
        </w:rPr>
        <w:t xml:space="preserve"> </w:t>
      </w:r>
      <w:r>
        <w:rPr>
          <w:sz w:val="18"/>
        </w:rPr>
        <w:t>See</w:t>
      </w:r>
      <w:r>
        <w:rPr>
          <w:spacing w:val="29"/>
          <w:sz w:val="18"/>
        </w:rPr>
        <w:t xml:space="preserve"> </w:t>
      </w:r>
      <w:r>
        <w:rPr>
          <w:sz w:val="18"/>
        </w:rPr>
        <w:t>Appellate</w:t>
      </w:r>
      <w:r>
        <w:rPr>
          <w:spacing w:val="27"/>
          <w:sz w:val="18"/>
        </w:rPr>
        <w:t xml:space="preserve"> </w:t>
      </w:r>
      <w:r>
        <w:rPr>
          <w:sz w:val="18"/>
        </w:rPr>
        <w:t>Body,</w:t>
      </w:r>
      <w:r>
        <w:rPr>
          <w:spacing w:val="28"/>
          <w:sz w:val="18"/>
        </w:rPr>
        <w:t xml:space="preserve"> </w:t>
      </w:r>
      <w:r>
        <w:rPr>
          <w:i/>
          <w:sz w:val="18"/>
        </w:rPr>
        <w:t>US</w:t>
      </w:r>
      <w:r>
        <w:rPr>
          <w:i/>
          <w:spacing w:val="28"/>
          <w:sz w:val="18"/>
        </w:rPr>
        <w:t xml:space="preserve"> </w:t>
      </w:r>
      <w:r>
        <w:rPr>
          <w:i/>
          <w:sz w:val="18"/>
        </w:rPr>
        <w:t>‐</w:t>
      </w:r>
      <w:r>
        <w:rPr>
          <w:i/>
          <w:spacing w:val="28"/>
          <w:sz w:val="18"/>
        </w:rPr>
        <w:t xml:space="preserve"> </w:t>
      </w:r>
      <w:r>
        <w:rPr>
          <w:i/>
          <w:sz w:val="18"/>
        </w:rPr>
        <w:t>Carbon</w:t>
      </w:r>
      <w:r>
        <w:rPr>
          <w:i/>
          <w:spacing w:val="28"/>
          <w:sz w:val="18"/>
        </w:rPr>
        <w:t xml:space="preserve"> </w:t>
      </w:r>
      <w:r>
        <w:rPr>
          <w:i/>
          <w:sz w:val="18"/>
        </w:rPr>
        <w:t>Steel</w:t>
      </w:r>
      <w:r>
        <w:rPr>
          <w:i/>
          <w:spacing w:val="27"/>
          <w:sz w:val="18"/>
        </w:rPr>
        <w:t xml:space="preserve"> </w:t>
      </w:r>
      <w:r>
        <w:rPr>
          <w:i/>
          <w:sz w:val="18"/>
        </w:rPr>
        <w:t>(India)</w:t>
      </w:r>
      <w:r>
        <w:rPr>
          <w:sz w:val="18"/>
        </w:rPr>
        <w:t>,</w:t>
      </w:r>
      <w:r>
        <w:rPr>
          <w:spacing w:val="28"/>
          <w:sz w:val="18"/>
        </w:rPr>
        <w:t xml:space="preserve"> </w:t>
      </w:r>
      <w:r>
        <w:rPr>
          <w:sz w:val="18"/>
        </w:rPr>
        <w:t>para.</w:t>
      </w:r>
      <w:r>
        <w:rPr>
          <w:spacing w:val="29"/>
          <w:sz w:val="18"/>
        </w:rPr>
        <w:t xml:space="preserve"> </w:t>
      </w:r>
      <w:r>
        <w:rPr>
          <w:sz w:val="18"/>
        </w:rPr>
        <w:t>4.421.</w:t>
      </w:r>
      <w:r>
        <w:rPr>
          <w:spacing w:val="28"/>
          <w:sz w:val="18"/>
        </w:rPr>
        <w:t xml:space="preserve"> </w:t>
      </w:r>
      <w:r>
        <w:rPr>
          <w:sz w:val="18"/>
        </w:rPr>
        <w:t>In</w:t>
      </w:r>
      <w:r>
        <w:rPr>
          <w:spacing w:val="27"/>
          <w:sz w:val="18"/>
        </w:rPr>
        <w:t xml:space="preserve"> </w:t>
      </w:r>
      <w:r>
        <w:rPr>
          <w:sz w:val="18"/>
        </w:rPr>
        <w:t>this</w:t>
      </w:r>
      <w:r>
        <w:rPr>
          <w:spacing w:val="29"/>
          <w:sz w:val="18"/>
        </w:rPr>
        <w:t xml:space="preserve"> </w:t>
      </w:r>
      <w:r>
        <w:rPr>
          <w:sz w:val="18"/>
        </w:rPr>
        <w:t>dispute,</w:t>
      </w:r>
      <w:r>
        <w:rPr>
          <w:spacing w:val="28"/>
          <w:sz w:val="18"/>
        </w:rPr>
        <w:t xml:space="preserve"> </w:t>
      </w:r>
      <w:r>
        <w:rPr>
          <w:sz w:val="18"/>
        </w:rPr>
        <w:t>the</w:t>
      </w:r>
      <w:r>
        <w:rPr>
          <w:spacing w:val="29"/>
          <w:sz w:val="18"/>
        </w:rPr>
        <w:t xml:space="preserve"> </w:t>
      </w:r>
      <w:r>
        <w:rPr>
          <w:sz w:val="18"/>
        </w:rPr>
        <w:t>Appellate</w:t>
      </w:r>
      <w:r>
        <w:rPr>
          <w:spacing w:val="28"/>
          <w:sz w:val="18"/>
        </w:rPr>
        <w:t xml:space="preserve"> </w:t>
      </w:r>
      <w:r>
        <w:rPr>
          <w:sz w:val="18"/>
        </w:rPr>
        <w:t>Body</w:t>
      </w:r>
      <w:r>
        <w:rPr>
          <w:spacing w:val="28"/>
          <w:sz w:val="18"/>
        </w:rPr>
        <w:t xml:space="preserve"> </w:t>
      </w:r>
      <w:r>
        <w:rPr>
          <w:sz w:val="18"/>
        </w:rPr>
        <w:t>was</w:t>
      </w:r>
      <w:r>
        <w:rPr>
          <w:spacing w:val="28"/>
          <w:sz w:val="18"/>
        </w:rPr>
        <w:t xml:space="preserve"> </w:t>
      </w:r>
      <w:r>
        <w:rPr>
          <w:sz w:val="18"/>
        </w:rPr>
        <w:t>considering</w:t>
      </w:r>
      <w:r>
        <w:rPr>
          <w:spacing w:val="28"/>
          <w:sz w:val="18"/>
        </w:rPr>
        <w:t xml:space="preserve"> </w:t>
      </w:r>
      <w:r>
        <w:rPr>
          <w:sz w:val="18"/>
        </w:rPr>
        <w:t>the equivalent provision in the SCM Agreement, Article 12.7.</w:t>
      </w:r>
    </w:p>
    <w:p w14:paraId="51DE8B33" w14:textId="77777777" w:rsidR="0010369C" w:rsidRDefault="008E43AE">
      <w:pPr>
        <w:spacing w:line="219" w:lineRule="exact"/>
        <w:ind w:left="238"/>
        <w:rPr>
          <w:sz w:val="18"/>
        </w:rPr>
      </w:pPr>
      <w:r>
        <w:rPr>
          <w:sz w:val="18"/>
          <w:vertAlign w:val="superscript"/>
        </w:rPr>
        <w:t>518</w:t>
      </w:r>
      <w:r>
        <w:rPr>
          <w:spacing w:val="-9"/>
          <w:sz w:val="18"/>
        </w:rPr>
        <w:t xml:space="preserve"> </w:t>
      </w:r>
      <w:r>
        <w:rPr>
          <w:sz w:val="18"/>
        </w:rPr>
        <w:t>See</w:t>
      </w:r>
      <w:r>
        <w:rPr>
          <w:spacing w:val="-9"/>
          <w:sz w:val="18"/>
        </w:rPr>
        <w:t xml:space="preserve"> </w:t>
      </w:r>
      <w:r>
        <w:rPr>
          <w:sz w:val="18"/>
        </w:rPr>
        <w:t>Appellate</w:t>
      </w:r>
      <w:r>
        <w:rPr>
          <w:spacing w:val="-8"/>
          <w:sz w:val="18"/>
        </w:rPr>
        <w:t xml:space="preserve"> </w:t>
      </w:r>
      <w:r>
        <w:rPr>
          <w:sz w:val="18"/>
        </w:rPr>
        <w:t>Body</w:t>
      </w:r>
      <w:r>
        <w:rPr>
          <w:spacing w:val="-9"/>
          <w:sz w:val="18"/>
        </w:rPr>
        <w:t xml:space="preserve"> </w:t>
      </w:r>
      <w:r>
        <w:rPr>
          <w:sz w:val="18"/>
        </w:rPr>
        <w:t>Report,</w:t>
      </w:r>
      <w:r>
        <w:rPr>
          <w:spacing w:val="-9"/>
          <w:sz w:val="18"/>
        </w:rPr>
        <w:t xml:space="preserve"> </w:t>
      </w:r>
      <w:r>
        <w:rPr>
          <w:i/>
          <w:sz w:val="18"/>
        </w:rPr>
        <w:t>US</w:t>
      </w:r>
      <w:r>
        <w:rPr>
          <w:i/>
          <w:spacing w:val="-8"/>
          <w:sz w:val="18"/>
        </w:rPr>
        <w:t xml:space="preserve"> </w:t>
      </w:r>
      <w:r>
        <w:rPr>
          <w:i/>
          <w:sz w:val="18"/>
        </w:rPr>
        <w:t>–</w:t>
      </w:r>
      <w:r>
        <w:rPr>
          <w:i/>
          <w:spacing w:val="-9"/>
          <w:sz w:val="18"/>
        </w:rPr>
        <w:t xml:space="preserve"> </w:t>
      </w:r>
      <w:r>
        <w:rPr>
          <w:i/>
          <w:sz w:val="18"/>
        </w:rPr>
        <w:t>Anti‐Dumping</w:t>
      </w:r>
      <w:r>
        <w:rPr>
          <w:i/>
          <w:spacing w:val="-8"/>
          <w:sz w:val="18"/>
        </w:rPr>
        <w:t xml:space="preserve"> </w:t>
      </w:r>
      <w:r>
        <w:rPr>
          <w:i/>
          <w:sz w:val="18"/>
        </w:rPr>
        <w:t>Methodologies</w:t>
      </w:r>
      <w:r>
        <w:rPr>
          <w:i/>
          <w:spacing w:val="-9"/>
          <w:sz w:val="18"/>
        </w:rPr>
        <w:t xml:space="preserve"> </w:t>
      </w:r>
      <w:r>
        <w:rPr>
          <w:i/>
          <w:sz w:val="18"/>
        </w:rPr>
        <w:t>(China)</w:t>
      </w:r>
      <w:r>
        <w:rPr>
          <w:sz w:val="18"/>
        </w:rPr>
        <w:t>,</w:t>
      </w:r>
      <w:r>
        <w:rPr>
          <w:spacing w:val="-10"/>
          <w:sz w:val="18"/>
        </w:rPr>
        <w:t xml:space="preserve"> </w:t>
      </w:r>
      <w:r>
        <w:rPr>
          <w:sz w:val="18"/>
        </w:rPr>
        <w:t>para.</w:t>
      </w:r>
      <w:r>
        <w:rPr>
          <w:spacing w:val="-8"/>
          <w:sz w:val="18"/>
        </w:rPr>
        <w:t xml:space="preserve"> </w:t>
      </w:r>
      <w:r>
        <w:rPr>
          <w:spacing w:val="-2"/>
          <w:sz w:val="18"/>
        </w:rPr>
        <w:t>5.172.</w:t>
      </w:r>
    </w:p>
    <w:p w14:paraId="51DE8B34" w14:textId="77777777" w:rsidR="0010369C" w:rsidRDefault="0010369C">
      <w:pPr>
        <w:spacing w:line="219" w:lineRule="exact"/>
        <w:rPr>
          <w:sz w:val="18"/>
        </w:rPr>
        <w:sectPr w:rsidR="0010369C">
          <w:pgSz w:w="11910" w:h="16840"/>
          <w:pgMar w:top="880" w:right="800" w:bottom="980" w:left="1180" w:header="569" w:footer="788" w:gutter="0"/>
          <w:cols w:space="720"/>
        </w:sectPr>
      </w:pPr>
    </w:p>
    <w:p w14:paraId="51DE8B35" w14:textId="77777777" w:rsidR="0010369C" w:rsidRDefault="008E43AE">
      <w:pPr>
        <w:tabs>
          <w:tab w:val="left" w:pos="6426"/>
        </w:tabs>
        <w:ind w:left="238"/>
        <w:rPr>
          <w:sz w:val="20"/>
        </w:rPr>
      </w:pPr>
      <w:r>
        <w:rPr>
          <w:i/>
          <w:sz w:val="20"/>
        </w:rPr>
        <w:lastRenderedPageBreak/>
        <w:t>China</w:t>
      </w:r>
      <w:r>
        <w:rPr>
          <w:i/>
          <w:spacing w:val="-5"/>
          <w:sz w:val="20"/>
        </w:rPr>
        <w:t xml:space="preserve"> </w:t>
      </w:r>
      <w:r>
        <w:rPr>
          <w:i/>
          <w:sz w:val="20"/>
        </w:rPr>
        <w:t>–</w:t>
      </w:r>
      <w:r>
        <w:rPr>
          <w:i/>
          <w:spacing w:val="-5"/>
          <w:sz w:val="20"/>
        </w:rPr>
        <w:t xml:space="preserve"> </w:t>
      </w:r>
      <w:r>
        <w:rPr>
          <w:i/>
          <w:sz w:val="20"/>
        </w:rPr>
        <w:t>Anti‐Dumping</w:t>
      </w:r>
      <w:r>
        <w:rPr>
          <w:i/>
          <w:spacing w:val="-4"/>
          <w:sz w:val="20"/>
        </w:rPr>
        <w:t xml:space="preserve"> </w:t>
      </w:r>
      <w:r>
        <w:rPr>
          <w:i/>
          <w:sz w:val="20"/>
        </w:rPr>
        <w:t>and</w:t>
      </w:r>
      <w:r>
        <w:rPr>
          <w:i/>
          <w:spacing w:val="-5"/>
          <w:sz w:val="20"/>
        </w:rPr>
        <w:t xml:space="preserve"> </w:t>
      </w:r>
      <w:r>
        <w:rPr>
          <w:i/>
          <w:sz w:val="20"/>
        </w:rPr>
        <w:t>Countervailing</w:t>
      </w:r>
      <w:r>
        <w:rPr>
          <w:i/>
          <w:spacing w:val="-5"/>
          <w:sz w:val="20"/>
        </w:rPr>
        <w:t xml:space="preserve"> </w:t>
      </w:r>
      <w:r>
        <w:rPr>
          <w:i/>
          <w:sz w:val="20"/>
        </w:rPr>
        <w:t>Duty</w:t>
      </w:r>
      <w:r>
        <w:rPr>
          <w:i/>
          <w:spacing w:val="-4"/>
          <w:sz w:val="20"/>
        </w:rPr>
        <w:t xml:space="preserve"> </w:t>
      </w:r>
      <w:r>
        <w:rPr>
          <w:i/>
          <w:spacing w:val="-2"/>
          <w:sz w:val="20"/>
        </w:rPr>
        <w:t>Measures</w:t>
      </w:r>
      <w:r>
        <w:rPr>
          <w:i/>
          <w:sz w:val="20"/>
        </w:rPr>
        <w:tab/>
      </w:r>
      <w:r>
        <w:rPr>
          <w:sz w:val="20"/>
        </w:rPr>
        <w:t>Australia's</w:t>
      </w:r>
      <w:r>
        <w:rPr>
          <w:spacing w:val="-7"/>
          <w:sz w:val="20"/>
        </w:rPr>
        <w:t xml:space="preserve"> </w:t>
      </w:r>
      <w:r>
        <w:rPr>
          <w:sz w:val="20"/>
        </w:rPr>
        <w:t>First</w:t>
      </w:r>
      <w:r>
        <w:rPr>
          <w:spacing w:val="-2"/>
          <w:sz w:val="20"/>
        </w:rPr>
        <w:t xml:space="preserve"> </w:t>
      </w:r>
      <w:r>
        <w:rPr>
          <w:sz w:val="20"/>
        </w:rPr>
        <w:t>Written</w:t>
      </w:r>
      <w:r>
        <w:rPr>
          <w:spacing w:val="-2"/>
          <w:sz w:val="20"/>
        </w:rPr>
        <w:t xml:space="preserve"> Submission</w:t>
      </w:r>
    </w:p>
    <w:p w14:paraId="51DE8B36" w14:textId="77777777" w:rsidR="0010369C" w:rsidRDefault="008E43AE">
      <w:pPr>
        <w:tabs>
          <w:tab w:val="left" w:pos="8228"/>
        </w:tabs>
        <w:spacing w:before="1"/>
        <w:ind w:left="239"/>
        <w:rPr>
          <w:sz w:val="20"/>
        </w:rPr>
      </w:pPr>
      <w:r>
        <w:rPr>
          <w:i/>
          <w:sz w:val="20"/>
        </w:rPr>
        <w:t>on</w:t>
      </w:r>
      <w:r>
        <w:rPr>
          <w:i/>
          <w:spacing w:val="-1"/>
          <w:sz w:val="20"/>
        </w:rPr>
        <w:t xml:space="preserve"> </w:t>
      </w:r>
      <w:r>
        <w:rPr>
          <w:i/>
          <w:sz w:val="20"/>
        </w:rPr>
        <w:t>Wine</w:t>
      </w:r>
      <w:r>
        <w:rPr>
          <w:i/>
          <w:spacing w:val="-1"/>
          <w:sz w:val="20"/>
        </w:rPr>
        <w:t xml:space="preserve"> </w:t>
      </w:r>
      <w:r>
        <w:rPr>
          <w:i/>
          <w:sz w:val="20"/>
        </w:rPr>
        <w:t>from</w:t>
      </w:r>
      <w:r>
        <w:rPr>
          <w:i/>
          <w:spacing w:val="-3"/>
          <w:sz w:val="20"/>
        </w:rPr>
        <w:t xml:space="preserve"> </w:t>
      </w:r>
      <w:r>
        <w:rPr>
          <w:i/>
          <w:sz w:val="20"/>
        </w:rPr>
        <w:t>Australia</w:t>
      </w:r>
      <w:r>
        <w:rPr>
          <w:i/>
          <w:spacing w:val="-1"/>
          <w:sz w:val="20"/>
        </w:rPr>
        <w:t xml:space="preserve"> </w:t>
      </w:r>
      <w:r>
        <w:rPr>
          <w:spacing w:val="-2"/>
          <w:sz w:val="20"/>
        </w:rPr>
        <w:t>(DS602)</w:t>
      </w:r>
      <w:r>
        <w:rPr>
          <w:sz w:val="20"/>
        </w:rPr>
        <w:tab/>
        <w:t>29</w:t>
      </w:r>
      <w:r>
        <w:rPr>
          <w:spacing w:val="-1"/>
          <w:sz w:val="20"/>
        </w:rPr>
        <w:t xml:space="preserve"> </w:t>
      </w:r>
      <w:r>
        <w:rPr>
          <w:sz w:val="20"/>
        </w:rPr>
        <w:t>April</w:t>
      </w:r>
      <w:r>
        <w:rPr>
          <w:spacing w:val="-2"/>
          <w:sz w:val="20"/>
        </w:rPr>
        <w:t xml:space="preserve"> </w:t>
      </w:r>
      <w:r>
        <w:rPr>
          <w:spacing w:val="-4"/>
          <w:sz w:val="20"/>
        </w:rPr>
        <w:t>2022</w:t>
      </w:r>
    </w:p>
    <w:p w14:paraId="51DE8B37" w14:textId="77777777" w:rsidR="0010369C" w:rsidRDefault="008E43AE">
      <w:pPr>
        <w:pStyle w:val="Heading4"/>
        <w:numPr>
          <w:ilvl w:val="2"/>
          <w:numId w:val="75"/>
        </w:numPr>
        <w:tabs>
          <w:tab w:val="left" w:pos="2649"/>
          <w:tab w:val="left" w:pos="2650"/>
        </w:tabs>
        <w:spacing w:before="34" w:line="360" w:lineRule="auto"/>
        <w:ind w:left="2649" w:right="614"/>
      </w:pPr>
      <w:r>
        <w:t xml:space="preserve">MOFCOM selected export sales with characteristics affecting price </w:t>
      </w:r>
      <w:r>
        <w:rPr>
          <w:spacing w:val="-2"/>
        </w:rPr>
        <w:t>comparability</w:t>
      </w:r>
    </w:p>
    <w:p w14:paraId="51DE8B38" w14:textId="77777777" w:rsidR="0010369C" w:rsidRDefault="0010369C">
      <w:pPr>
        <w:pStyle w:val="BodyText"/>
        <w:spacing w:before="10"/>
        <w:rPr>
          <w:b/>
          <w:sz w:val="8"/>
        </w:rPr>
      </w:pPr>
    </w:p>
    <w:p w14:paraId="51DE8B39" w14:textId="77777777" w:rsidR="0010369C" w:rsidRDefault="008E43AE">
      <w:pPr>
        <w:pStyle w:val="BodyText"/>
        <w:spacing w:before="52" w:line="360" w:lineRule="auto"/>
        <w:ind w:left="237" w:right="612" w:firstLine="851"/>
        <w:jc w:val="both"/>
      </w:pPr>
      <w:r>
        <w:rPr>
          <w:noProof/>
        </w:rPr>
        <w:drawing>
          <wp:anchor distT="0" distB="0" distL="0" distR="0" simplePos="0" relativeHeight="251118080" behindDoc="1" locked="0" layoutInCell="1" allowOverlap="1" wp14:anchorId="51DEA37F" wp14:editId="51DEA380">
            <wp:simplePos x="0" y="0"/>
            <wp:positionH relativeFrom="page">
              <wp:posOffset>899160</wp:posOffset>
            </wp:positionH>
            <wp:positionV relativeFrom="paragraph">
              <wp:posOffset>76785</wp:posOffset>
            </wp:positionV>
            <wp:extent cx="265175" cy="106679"/>
            <wp:effectExtent l="0" t="0" r="0" b="0"/>
            <wp:wrapNone/>
            <wp:docPr id="953" name="image4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 name="image487.png"/>
                    <pic:cNvPicPr/>
                  </pic:nvPicPr>
                  <pic:blipFill>
                    <a:blip r:embed="rId637" cstate="print"/>
                    <a:stretch>
                      <a:fillRect/>
                    </a:stretch>
                  </pic:blipFill>
                  <pic:spPr>
                    <a:xfrm>
                      <a:off x="0" y="0"/>
                      <a:ext cx="265175" cy="106679"/>
                    </a:xfrm>
                    <a:prstGeom prst="rect">
                      <a:avLst/>
                    </a:prstGeom>
                  </pic:spPr>
                </pic:pic>
              </a:graphicData>
            </a:graphic>
          </wp:anchor>
        </w:drawing>
      </w:r>
      <w:r>
        <w:t>As in the case of Treasury Wines and Casella Wines, while MOFCOM's approach to determining export prices alone did no</w:t>
      </w:r>
      <w:r>
        <w:t>t violate the Anti‐Dumping Agreement, it required MOFCOM to make appropriate adjustments to ensure a fair comparison could be conducted with normal value.</w:t>
      </w:r>
    </w:p>
    <w:p w14:paraId="51DE8B3A" w14:textId="77777777" w:rsidR="0010369C" w:rsidRDefault="0010369C">
      <w:pPr>
        <w:pStyle w:val="BodyText"/>
        <w:spacing w:before="11"/>
        <w:rPr>
          <w:sz w:val="8"/>
        </w:rPr>
      </w:pPr>
    </w:p>
    <w:p w14:paraId="51DE8B3B" w14:textId="77777777" w:rsidR="0010369C" w:rsidRDefault="008E43AE">
      <w:pPr>
        <w:pStyle w:val="BodyText"/>
        <w:spacing w:before="52" w:line="360" w:lineRule="auto"/>
        <w:ind w:left="237" w:right="613" w:firstLine="852"/>
        <w:jc w:val="both"/>
      </w:pPr>
      <w:r>
        <w:rPr>
          <w:noProof/>
        </w:rPr>
        <w:drawing>
          <wp:anchor distT="0" distB="0" distL="0" distR="0" simplePos="0" relativeHeight="251119104" behindDoc="1" locked="0" layoutInCell="1" allowOverlap="1" wp14:anchorId="51DEA381" wp14:editId="51DEA382">
            <wp:simplePos x="0" y="0"/>
            <wp:positionH relativeFrom="page">
              <wp:posOffset>899160</wp:posOffset>
            </wp:positionH>
            <wp:positionV relativeFrom="paragraph">
              <wp:posOffset>80595</wp:posOffset>
            </wp:positionV>
            <wp:extent cx="265175" cy="103631"/>
            <wp:effectExtent l="0" t="0" r="0" b="0"/>
            <wp:wrapNone/>
            <wp:docPr id="955" name="image4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 name="image488.png"/>
                    <pic:cNvPicPr/>
                  </pic:nvPicPr>
                  <pic:blipFill>
                    <a:blip r:embed="rId638" cstate="print"/>
                    <a:stretch>
                      <a:fillRect/>
                    </a:stretch>
                  </pic:blipFill>
                  <pic:spPr>
                    <a:xfrm>
                      <a:off x="0" y="0"/>
                      <a:ext cx="265175" cy="103631"/>
                    </a:xfrm>
                    <a:prstGeom prst="rect">
                      <a:avLst/>
                    </a:prstGeom>
                  </pic:spPr>
                </pic:pic>
              </a:graphicData>
            </a:graphic>
          </wp:anchor>
        </w:drawing>
      </w:r>
      <w:r>
        <w:t>MOFCOM stated in its Final Determination that Swan Vintage sold some of the products</w:t>
      </w:r>
      <w:r>
        <w:rPr>
          <w:spacing w:val="-10"/>
        </w:rPr>
        <w:t xml:space="preserve"> </w:t>
      </w:r>
      <w:r>
        <w:t>under</w:t>
      </w:r>
      <w:r>
        <w:rPr>
          <w:spacing w:val="-10"/>
        </w:rPr>
        <w:t xml:space="preserve"> </w:t>
      </w:r>
      <w:r>
        <w:t>investigation</w:t>
      </w:r>
      <w:r>
        <w:rPr>
          <w:spacing w:val="-10"/>
        </w:rPr>
        <w:t xml:space="preserve"> </w:t>
      </w:r>
      <w:r>
        <w:t>directly</w:t>
      </w:r>
      <w:r>
        <w:rPr>
          <w:spacing w:val="-9"/>
        </w:rPr>
        <w:t xml:space="preserve"> </w:t>
      </w:r>
      <w:r>
        <w:t>to</w:t>
      </w:r>
      <w:r>
        <w:rPr>
          <w:spacing w:val="-11"/>
        </w:rPr>
        <w:t xml:space="preserve"> </w:t>
      </w:r>
      <w:r>
        <w:t>Chinese</w:t>
      </w:r>
      <w:r>
        <w:rPr>
          <w:spacing w:val="-10"/>
        </w:rPr>
        <w:t xml:space="preserve"> </w:t>
      </w:r>
      <w:r>
        <w:t>non‐related</w:t>
      </w:r>
      <w:r>
        <w:rPr>
          <w:spacing w:val="-12"/>
        </w:rPr>
        <w:t xml:space="preserve"> </w:t>
      </w:r>
      <w:r>
        <w:t>clients</w:t>
      </w:r>
      <w:r>
        <w:rPr>
          <w:spacing w:val="-12"/>
        </w:rPr>
        <w:t xml:space="preserve"> </w:t>
      </w:r>
      <w:r>
        <w:t>and</w:t>
      </w:r>
      <w:r>
        <w:rPr>
          <w:spacing w:val="-11"/>
        </w:rPr>
        <w:t xml:space="preserve"> </w:t>
      </w:r>
      <w:r>
        <w:t>some</w:t>
      </w:r>
      <w:r>
        <w:rPr>
          <w:spacing w:val="-10"/>
        </w:rPr>
        <w:t xml:space="preserve"> </w:t>
      </w:r>
      <w:r>
        <w:t>to</w:t>
      </w:r>
      <w:r>
        <w:rPr>
          <w:spacing w:val="-11"/>
        </w:rPr>
        <w:t xml:space="preserve"> </w:t>
      </w:r>
      <w:r>
        <w:t>Chinese</w:t>
      </w:r>
      <w:r>
        <w:rPr>
          <w:spacing w:val="-11"/>
        </w:rPr>
        <w:t xml:space="preserve"> </w:t>
      </w:r>
      <w:r>
        <w:t>non‐ related clients through non‐related traders.</w:t>
      </w:r>
      <w:r>
        <w:rPr>
          <w:vertAlign w:val="superscript"/>
        </w:rPr>
        <w:t>519</w:t>
      </w:r>
      <w:r>
        <w:t xml:space="preserve"> Accordingly, MOFCOM acknowledged that Swan Vintage's export sales occurred at two levels of trade: "end‐consumer" sales and "trader"</w:t>
      </w:r>
      <w:r>
        <w:rPr>
          <w:spacing w:val="-3"/>
        </w:rPr>
        <w:t xml:space="preserve"> </w:t>
      </w:r>
      <w:r>
        <w:t>sales.</w:t>
      </w:r>
      <w:r>
        <w:rPr>
          <w:spacing w:val="-2"/>
        </w:rPr>
        <w:t xml:space="preserve"> </w:t>
      </w:r>
      <w:r>
        <w:t>MOFCOM</w:t>
      </w:r>
      <w:r>
        <w:rPr>
          <w:spacing w:val="-2"/>
        </w:rPr>
        <w:t xml:space="preserve"> </w:t>
      </w:r>
      <w:r>
        <w:t>concluded</w:t>
      </w:r>
      <w:r>
        <w:rPr>
          <w:spacing w:val="-3"/>
        </w:rPr>
        <w:t xml:space="preserve"> </w:t>
      </w:r>
      <w:r>
        <w:t>that</w:t>
      </w:r>
      <w:r>
        <w:rPr>
          <w:spacing w:val="-3"/>
        </w:rPr>
        <w:t xml:space="preserve"> </w:t>
      </w:r>
      <w:r>
        <w:t>"the</w:t>
      </w:r>
      <w:r>
        <w:rPr>
          <w:spacing w:val="-2"/>
        </w:rPr>
        <w:t xml:space="preserve"> </w:t>
      </w:r>
      <w:r>
        <w:t>sales</w:t>
      </w:r>
      <w:r>
        <w:rPr>
          <w:spacing w:val="-3"/>
        </w:rPr>
        <w:t xml:space="preserve"> </w:t>
      </w:r>
      <w:r>
        <w:t>prices</w:t>
      </w:r>
      <w:r>
        <w:rPr>
          <w:spacing w:val="-3"/>
        </w:rPr>
        <w:t xml:space="preserve"> </w:t>
      </w:r>
      <w:r>
        <w:t>for</w:t>
      </w:r>
      <w:r>
        <w:rPr>
          <w:spacing w:val="-2"/>
        </w:rPr>
        <w:t xml:space="preserve"> </w:t>
      </w:r>
      <w:r>
        <w:t>the</w:t>
      </w:r>
      <w:r>
        <w:rPr>
          <w:spacing w:val="-3"/>
        </w:rPr>
        <w:t xml:space="preserve"> </w:t>
      </w:r>
      <w:r>
        <w:t>product</w:t>
      </w:r>
      <w:r>
        <w:rPr>
          <w:spacing w:val="-2"/>
        </w:rPr>
        <w:t xml:space="preserve"> </w:t>
      </w:r>
      <w:r>
        <w:t>under</w:t>
      </w:r>
      <w:r>
        <w:rPr>
          <w:spacing w:val="-2"/>
        </w:rPr>
        <w:t xml:space="preserve"> </w:t>
      </w:r>
      <w:r>
        <w:t>i</w:t>
      </w:r>
      <w:r>
        <w:t>nvestigation directly sold to non‐related or related traders were used as the basis for determining export price".</w:t>
      </w:r>
      <w:r>
        <w:rPr>
          <w:vertAlign w:val="superscript"/>
        </w:rPr>
        <w:t>520</w:t>
      </w:r>
      <w:r>
        <w:rPr>
          <w:spacing w:val="-14"/>
        </w:rPr>
        <w:t xml:space="preserve"> </w:t>
      </w:r>
      <w:r>
        <w:t>Australia</w:t>
      </w:r>
      <w:r>
        <w:rPr>
          <w:spacing w:val="-14"/>
        </w:rPr>
        <w:t xml:space="preserve"> </w:t>
      </w:r>
      <w:r>
        <w:t>understands</w:t>
      </w:r>
      <w:r>
        <w:rPr>
          <w:spacing w:val="-13"/>
        </w:rPr>
        <w:t xml:space="preserve"> </w:t>
      </w:r>
      <w:r>
        <w:t>"end‐consumer"</w:t>
      </w:r>
      <w:r>
        <w:rPr>
          <w:spacing w:val="-14"/>
        </w:rPr>
        <w:t xml:space="preserve"> </w:t>
      </w:r>
      <w:r>
        <w:t>and</w:t>
      </w:r>
      <w:r>
        <w:rPr>
          <w:spacing w:val="-13"/>
        </w:rPr>
        <w:t xml:space="preserve"> </w:t>
      </w:r>
      <w:r>
        <w:t>"trader"</w:t>
      </w:r>
      <w:r>
        <w:rPr>
          <w:spacing w:val="-14"/>
        </w:rPr>
        <w:t xml:space="preserve"> </w:t>
      </w:r>
      <w:r>
        <w:t>to</w:t>
      </w:r>
      <w:r>
        <w:rPr>
          <w:spacing w:val="-13"/>
        </w:rPr>
        <w:t xml:space="preserve"> </w:t>
      </w:r>
      <w:r>
        <w:t>mean</w:t>
      </w:r>
      <w:r>
        <w:rPr>
          <w:spacing w:val="-14"/>
        </w:rPr>
        <w:t xml:space="preserve"> </w:t>
      </w:r>
      <w:r>
        <w:t>direct</w:t>
      </w:r>
      <w:r>
        <w:rPr>
          <w:spacing w:val="-14"/>
        </w:rPr>
        <w:t xml:space="preserve"> </w:t>
      </w:r>
      <w:r>
        <w:t>to</w:t>
      </w:r>
      <w:r>
        <w:rPr>
          <w:spacing w:val="-13"/>
        </w:rPr>
        <w:t xml:space="preserve"> </w:t>
      </w:r>
      <w:r>
        <w:t>consumer</w:t>
      </w:r>
      <w:r>
        <w:rPr>
          <w:spacing w:val="-14"/>
        </w:rPr>
        <w:t xml:space="preserve"> </w:t>
      </w:r>
      <w:r>
        <w:t>and wholesaler/distributor respectively.</w:t>
      </w:r>
    </w:p>
    <w:p w14:paraId="51DE8B3C" w14:textId="77777777" w:rsidR="0010369C" w:rsidRDefault="0010369C">
      <w:pPr>
        <w:pStyle w:val="BodyText"/>
        <w:spacing w:before="11"/>
        <w:rPr>
          <w:sz w:val="8"/>
        </w:rPr>
      </w:pPr>
    </w:p>
    <w:p w14:paraId="51DE8B3D" w14:textId="77777777" w:rsidR="0010369C" w:rsidRDefault="008E43AE">
      <w:pPr>
        <w:pStyle w:val="BodyText"/>
        <w:spacing w:before="51" w:line="360" w:lineRule="auto"/>
        <w:ind w:left="237" w:right="612" w:firstLine="852"/>
        <w:jc w:val="both"/>
      </w:pPr>
      <w:r>
        <w:rPr>
          <w:noProof/>
        </w:rPr>
        <w:drawing>
          <wp:anchor distT="0" distB="0" distL="0" distR="0" simplePos="0" relativeHeight="251120128" behindDoc="1" locked="0" layoutInCell="1" allowOverlap="1" wp14:anchorId="51DEA383" wp14:editId="51DEA384">
            <wp:simplePos x="0" y="0"/>
            <wp:positionH relativeFrom="page">
              <wp:posOffset>899160</wp:posOffset>
            </wp:positionH>
            <wp:positionV relativeFrom="paragraph">
              <wp:posOffset>80722</wp:posOffset>
            </wp:positionV>
            <wp:extent cx="265175" cy="103631"/>
            <wp:effectExtent l="0" t="0" r="0" b="0"/>
            <wp:wrapNone/>
            <wp:docPr id="957" name="image4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 name="image489.png"/>
                    <pic:cNvPicPr/>
                  </pic:nvPicPr>
                  <pic:blipFill>
                    <a:blip r:embed="rId639" cstate="print"/>
                    <a:stretch>
                      <a:fillRect/>
                    </a:stretch>
                  </pic:blipFill>
                  <pic:spPr>
                    <a:xfrm>
                      <a:off x="0" y="0"/>
                      <a:ext cx="265175" cy="103631"/>
                    </a:xfrm>
                    <a:prstGeom prst="rect">
                      <a:avLst/>
                    </a:prstGeom>
                  </pic:spPr>
                </pic:pic>
              </a:graphicData>
            </a:graphic>
          </wp:anchor>
        </w:drawing>
      </w:r>
      <w:r>
        <w:t xml:space="preserve">Australia submits </w:t>
      </w:r>
      <w:r>
        <w:t xml:space="preserve">that MOFCOM intentionally relied upon export sales to a lower level of trade to artificially deflate the calculation of export price and thus increase the resulting margin. As Australia has previously explained, in the ordinary course of trade, sales made </w:t>
      </w:r>
      <w:r>
        <w:t>directly to non‐related wholesaler/distributors are at a lower level and therefore a lower price than sales made directly to consumers. Wholesaler/distributors pay producers lower</w:t>
      </w:r>
      <w:r>
        <w:rPr>
          <w:spacing w:val="-5"/>
        </w:rPr>
        <w:t xml:space="preserve"> </w:t>
      </w:r>
      <w:r>
        <w:t>prices</w:t>
      </w:r>
      <w:r>
        <w:rPr>
          <w:spacing w:val="-8"/>
        </w:rPr>
        <w:t xml:space="preserve"> </w:t>
      </w:r>
      <w:r>
        <w:t>for</w:t>
      </w:r>
      <w:r>
        <w:rPr>
          <w:spacing w:val="-6"/>
        </w:rPr>
        <w:t xml:space="preserve"> </w:t>
      </w:r>
      <w:r>
        <w:t>identical</w:t>
      </w:r>
      <w:r>
        <w:rPr>
          <w:spacing w:val="-7"/>
        </w:rPr>
        <w:t xml:space="preserve"> </w:t>
      </w:r>
      <w:r>
        <w:t>products</w:t>
      </w:r>
      <w:r>
        <w:rPr>
          <w:spacing w:val="-6"/>
        </w:rPr>
        <w:t xml:space="preserve"> </w:t>
      </w:r>
      <w:r>
        <w:t>because</w:t>
      </w:r>
      <w:r>
        <w:rPr>
          <w:spacing w:val="-5"/>
        </w:rPr>
        <w:t xml:space="preserve"> </w:t>
      </w:r>
      <w:r>
        <w:t>they</w:t>
      </w:r>
      <w:r>
        <w:rPr>
          <w:spacing w:val="-5"/>
        </w:rPr>
        <w:t xml:space="preserve"> </w:t>
      </w:r>
      <w:r>
        <w:t>must</w:t>
      </w:r>
      <w:r>
        <w:rPr>
          <w:spacing w:val="-6"/>
        </w:rPr>
        <w:t xml:space="preserve"> </w:t>
      </w:r>
      <w:r>
        <w:t>be</w:t>
      </w:r>
      <w:r>
        <w:rPr>
          <w:spacing w:val="-6"/>
        </w:rPr>
        <w:t xml:space="preserve"> </w:t>
      </w:r>
      <w:r>
        <w:t>able</w:t>
      </w:r>
      <w:r>
        <w:rPr>
          <w:spacing w:val="-6"/>
        </w:rPr>
        <w:t xml:space="preserve"> </w:t>
      </w:r>
      <w:r>
        <w:t>to</w:t>
      </w:r>
      <w:r>
        <w:rPr>
          <w:spacing w:val="-6"/>
        </w:rPr>
        <w:t xml:space="preserve"> </w:t>
      </w:r>
      <w:r>
        <w:t>make</w:t>
      </w:r>
      <w:r>
        <w:rPr>
          <w:spacing w:val="-6"/>
        </w:rPr>
        <w:t xml:space="preserve"> </w:t>
      </w:r>
      <w:r>
        <w:t>a</w:t>
      </w:r>
      <w:r>
        <w:rPr>
          <w:spacing w:val="-6"/>
        </w:rPr>
        <w:t xml:space="preserve"> </w:t>
      </w:r>
      <w:r>
        <w:t>margin</w:t>
      </w:r>
      <w:r>
        <w:rPr>
          <w:spacing w:val="-7"/>
        </w:rPr>
        <w:t xml:space="preserve"> </w:t>
      </w:r>
      <w:r>
        <w:t>to</w:t>
      </w:r>
      <w:r>
        <w:rPr>
          <w:spacing w:val="-6"/>
        </w:rPr>
        <w:t xml:space="preserve"> </w:t>
      </w:r>
      <w:r>
        <w:t>cover</w:t>
      </w:r>
      <w:r>
        <w:rPr>
          <w:spacing w:val="-6"/>
        </w:rPr>
        <w:t xml:space="preserve"> </w:t>
      </w:r>
      <w:r>
        <w:t>their costs</w:t>
      </w:r>
      <w:r>
        <w:rPr>
          <w:spacing w:val="-8"/>
        </w:rPr>
        <w:t xml:space="preserve"> </w:t>
      </w:r>
      <w:r>
        <w:t>and</w:t>
      </w:r>
      <w:r>
        <w:rPr>
          <w:spacing w:val="-8"/>
        </w:rPr>
        <w:t xml:space="preserve"> </w:t>
      </w:r>
      <w:r>
        <w:t>a</w:t>
      </w:r>
      <w:r>
        <w:rPr>
          <w:spacing w:val="-7"/>
        </w:rPr>
        <w:t xml:space="preserve"> </w:t>
      </w:r>
      <w:r>
        <w:t>profit</w:t>
      </w:r>
      <w:r>
        <w:rPr>
          <w:spacing w:val="-7"/>
        </w:rPr>
        <w:t xml:space="preserve"> </w:t>
      </w:r>
      <w:r>
        <w:t>on</w:t>
      </w:r>
      <w:r>
        <w:rPr>
          <w:spacing w:val="-8"/>
        </w:rPr>
        <w:t xml:space="preserve"> </w:t>
      </w:r>
      <w:r>
        <w:t>resale</w:t>
      </w:r>
      <w:r>
        <w:rPr>
          <w:spacing w:val="-7"/>
        </w:rPr>
        <w:t xml:space="preserve"> </w:t>
      </w:r>
      <w:r>
        <w:t>to</w:t>
      </w:r>
      <w:r>
        <w:rPr>
          <w:spacing w:val="-7"/>
        </w:rPr>
        <w:t xml:space="preserve"> </w:t>
      </w:r>
      <w:r>
        <w:t>their</w:t>
      </w:r>
      <w:r>
        <w:rPr>
          <w:spacing w:val="-7"/>
        </w:rPr>
        <w:t xml:space="preserve"> </w:t>
      </w:r>
      <w:r>
        <w:t>clients.</w:t>
      </w:r>
      <w:r>
        <w:rPr>
          <w:spacing w:val="-7"/>
        </w:rPr>
        <w:t xml:space="preserve"> </w:t>
      </w:r>
      <w:r>
        <w:t>However,</w:t>
      </w:r>
      <w:r>
        <w:rPr>
          <w:spacing w:val="-8"/>
        </w:rPr>
        <w:t xml:space="preserve"> </w:t>
      </w:r>
      <w:r>
        <w:t>if</w:t>
      </w:r>
      <w:r>
        <w:rPr>
          <w:spacing w:val="-8"/>
        </w:rPr>
        <w:t xml:space="preserve"> </w:t>
      </w:r>
      <w:r>
        <w:t>a</w:t>
      </w:r>
      <w:r>
        <w:rPr>
          <w:spacing w:val="-7"/>
        </w:rPr>
        <w:t xml:space="preserve"> </w:t>
      </w:r>
      <w:r>
        <w:t>producer</w:t>
      </w:r>
      <w:r>
        <w:rPr>
          <w:spacing w:val="-7"/>
        </w:rPr>
        <w:t xml:space="preserve"> </w:t>
      </w:r>
      <w:r>
        <w:t>sells</w:t>
      </w:r>
      <w:r>
        <w:rPr>
          <w:spacing w:val="-8"/>
        </w:rPr>
        <w:t xml:space="preserve"> </w:t>
      </w:r>
      <w:r>
        <w:t>directly</w:t>
      </w:r>
      <w:r>
        <w:rPr>
          <w:spacing w:val="-5"/>
        </w:rPr>
        <w:t xml:space="preserve"> </w:t>
      </w:r>
      <w:r>
        <w:t>to</w:t>
      </w:r>
      <w:r>
        <w:rPr>
          <w:spacing w:val="-7"/>
        </w:rPr>
        <w:t xml:space="preserve"> </w:t>
      </w:r>
      <w:r>
        <w:t>consumers, it can sell at</w:t>
      </w:r>
      <w:r>
        <w:rPr>
          <w:spacing w:val="-2"/>
        </w:rPr>
        <w:t xml:space="preserve"> </w:t>
      </w:r>
      <w:r>
        <w:t>the higher price prevailing</w:t>
      </w:r>
      <w:r>
        <w:rPr>
          <w:spacing w:val="-1"/>
        </w:rPr>
        <w:t xml:space="preserve"> </w:t>
      </w:r>
      <w:r>
        <w:t>in that market</w:t>
      </w:r>
      <w:r>
        <w:rPr>
          <w:spacing w:val="-1"/>
        </w:rPr>
        <w:t xml:space="preserve"> </w:t>
      </w:r>
      <w:r>
        <w:t>segment. MOFCOM did not provide an adequate</w:t>
      </w:r>
      <w:r>
        <w:rPr>
          <w:spacing w:val="-10"/>
        </w:rPr>
        <w:t xml:space="preserve"> </w:t>
      </w:r>
      <w:r>
        <w:t>explanation</w:t>
      </w:r>
      <w:r>
        <w:rPr>
          <w:spacing w:val="-11"/>
        </w:rPr>
        <w:t xml:space="preserve"> </w:t>
      </w:r>
      <w:r>
        <w:t>as</w:t>
      </w:r>
      <w:r>
        <w:rPr>
          <w:spacing w:val="-11"/>
        </w:rPr>
        <w:t xml:space="preserve"> </w:t>
      </w:r>
      <w:r>
        <w:t>to</w:t>
      </w:r>
      <w:r>
        <w:rPr>
          <w:spacing w:val="-9"/>
        </w:rPr>
        <w:t xml:space="preserve"> </w:t>
      </w:r>
      <w:r>
        <w:t>why</w:t>
      </w:r>
      <w:r>
        <w:rPr>
          <w:spacing w:val="-9"/>
        </w:rPr>
        <w:t xml:space="preserve"> </w:t>
      </w:r>
      <w:r>
        <w:t>it</w:t>
      </w:r>
      <w:r>
        <w:rPr>
          <w:spacing w:val="-10"/>
        </w:rPr>
        <w:t xml:space="preserve"> </w:t>
      </w:r>
      <w:r>
        <w:t>did</w:t>
      </w:r>
      <w:r>
        <w:rPr>
          <w:spacing w:val="-11"/>
        </w:rPr>
        <w:t xml:space="preserve"> </w:t>
      </w:r>
      <w:r>
        <w:t>so,</w:t>
      </w:r>
      <w:r>
        <w:rPr>
          <w:spacing w:val="-10"/>
        </w:rPr>
        <w:t xml:space="preserve"> </w:t>
      </w:r>
      <w:r>
        <w:t>other</w:t>
      </w:r>
      <w:r>
        <w:rPr>
          <w:spacing w:val="-9"/>
        </w:rPr>
        <w:t xml:space="preserve"> </w:t>
      </w:r>
      <w:r>
        <w:t>than</w:t>
      </w:r>
      <w:r>
        <w:rPr>
          <w:spacing w:val="-10"/>
        </w:rPr>
        <w:t xml:space="preserve"> </w:t>
      </w:r>
      <w:r>
        <w:t>to</w:t>
      </w:r>
      <w:r>
        <w:rPr>
          <w:spacing w:val="-9"/>
        </w:rPr>
        <w:t xml:space="preserve"> </w:t>
      </w:r>
      <w:r>
        <w:t>say</w:t>
      </w:r>
      <w:r>
        <w:rPr>
          <w:spacing w:val="-9"/>
        </w:rPr>
        <w:t xml:space="preserve"> </w:t>
      </w:r>
      <w:r>
        <w:t>that</w:t>
      </w:r>
      <w:r>
        <w:rPr>
          <w:spacing w:val="-9"/>
        </w:rPr>
        <w:t xml:space="preserve"> </w:t>
      </w:r>
      <w:r>
        <w:t>"the</w:t>
      </w:r>
      <w:r>
        <w:rPr>
          <w:spacing w:val="-9"/>
        </w:rPr>
        <w:t xml:space="preserve"> </w:t>
      </w:r>
      <w:r>
        <w:t>pricing</w:t>
      </w:r>
      <w:r>
        <w:rPr>
          <w:spacing w:val="-9"/>
        </w:rPr>
        <w:t xml:space="preserve"> </w:t>
      </w:r>
      <w:r>
        <w:t>mechanisms</w:t>
      </w:r>
      <w:r>
        <w:rPr>
          <w:spacing w:val="-10"/>
        </w:rPr>
        <w:t xml:space="preserve"> </w:t>
      </w:r>
      <w:r>
        <w:t>were basically the same" at both levels of trade.</w:t>
      </w:r>
      <w:r>
        <w:rPr>
          <w:vertAlign w:val="superscript"/>
        </w:rPr>
        <w:t>521</w:t>
      </w:r>
      <w:r>
        <w:t xml:space="preserve"> An unbiased and objective investigating authority would not have disregarded export prices to a higher‐priced level of trade on such a basis, without proper justification.</w:t>
      </w:r>
    </w:p>
    <w:p w14:paraId="51DE8B3E" w14:textId="77777777" w:rsidR="0010369C" w:rsidRDefault="0010369C">
      <w:pPr>
        <w:pStyle w:val="BodyText"/>
      </w:pPr>
    </w:p>
    <w:p w14:paraId="51DE8B3F" w14:textId="77777777" w:rsidR="0010369C" w:rsidRDefault="0010369C">
      <w:pPr>
        <w:pStyle w:val="BodyText"/>
      </w:pPr>
    </w:p>
    <w:p w14:paraId="51DE8B40" w14:textId="77777777" w:rsidR="0010369C" w:rsidRDefault="0010369C">
      <w:pPr>
        <w:pStyle w:val="BodyText"/>
      </w:pPr>
    </w:p>
    <w:p w14:paraId="51DE8B41" w14:textId="77777777" w:rsidR="0010369C" w:rsidRDefault="0010369C">
      <w:pPr>
        <w:pStyle w:val="BodyText"/>
      </w:pPr>
    </w:p>
    <w:p w14:paraId="51DE8B42" w14:textId="77777777" w:rsidR="0010369C" w:rsidRDefault="0010369C">
      <w:pPr>
        <w:pStyle w:val="BodyText"/>
        <w:spacing w:before="10"/>
        <w:rPr>
          <w:sz w:val="21"/>
        </w:rPr>
      </w:pPr>
    </w:p>
    <w:p w14:paraId="51DE8B43" w14:textId="77777777" w:rsidR="0010369C" w:rsidRDefault="008E43AE">
      <w:pPr>
        <w:ind w:left="238" w:right="5311"/>
        <w:jc w:val="both"/>
        <w:rPr>
          <w:sz w:val="18"/>
        </w:rPr>
      </w:pPr>
      <w:r>
        <w:rPr>
          <w:sz w:val="18"/>
          <w:vertAlign w:val="superscript"/>
        </w:rPr>
        <w:t>519</w:t>
      </w:r>
      <w:r>
        <w:rPr>
          <w:spacing w:val="-5"/>
          <w:sz w:val="18"/>
        </w:rPr>
        <w:t xml:space="preserve"> </w:t>
      </w:r>
      <w:r>
        <w:rPr>
          <w:sz w:val="18"/>
        </w:rPr>
        <w:t>Anti‐Dumping</w:t>
      </w:r>
      <w:r>
        <w:rPr>
          <w:spacing w:val="-5"/>
          <w:sz w:val="18"/>
        </w:rPr>
        <w:t xml:space="preserve"> </w:t>
      </w:r>
      <w:r>
        <w:rPr>
          <w:sz w:val="18"/>
        </w:rPr>
        <w:t>Final</w:t>
      </w:r>
      <w:r>
        <w:rPr>
          <w:spacing w:val="-5"/>
          <w:sz w:val="18"/>
        </w:rPr>
        <w:t xml:space="preserve"> </w:t>
      </w:r>
      <w:r>
        <w:rPr>
          <w:sz w:val="18"/>
        </w:rPr>
        <w:t>Determination</w:t>
      </w:r>
      <w:r>
        <w:rPr>
          <w:spacing w:val="-4"/>
          <w:sz w:val="18"/>
        </w:rPr>
        <w:t xml:space="preserve"> </w:t>
      </w:r>
      <w:r>
        <w:rPr>
          <w:sz w:val="18"/>
        </w:rPr>
        <w:t>(Exhibit</w:t>
      </w:r>
      <w:r>
        <w:rPr>
          <w:spacing w:val="-5"/>
          <w:sz w:val="18"/>
        </w:rPr>
        <w:t xml:space="preserve"> </w:t>
      </w:r>
      <w:r>
        <w:rPr>
          <w:sz w:val="18"/>
        </w:rPr>
        <w:t>AUS‐2),</w:t>
      </w:r>
      <w:r>
        <w:rPr>
          <w:spacing w:val="-6"/>
          <w:sz w:val="18"/>
        </w:rPr>
        <w:t xml:space="preserve"> </w:t>
      </w:r>
      <w:r>
        <w:rPr>
          <w:sz w:val="18"/>
        </w:rPr>
        <w:t>p.</w:t>
      </w:r>
      <w:r>
        <w:rPr>
          <w:spacing w:val="-5"/>
          <w:sz w:val="18"/>
        </w:rPr>
        <w:t xml:space="preserve"> </w:t>
      </w:r>
      <w:r>
        <w:rPr>
          <w:sz w:val="18"/>
        </w:rPr>
        <w:t xml:space="preserve">92. </w:t>
      </w:r>
      <w:r>
        <w:rPr>
          <w:sz w:val="18"/>
          <w:vertAlign w:val="superscript"/>
        </w:rPr>
        <w:t>520</w:t>
      </w:r>
      <w:r>
        <w:rPr>
          <w:spacing w:val="-5"/>
          <w:sz w:val="18"/>
        </w:rPr>
        <w:t xml:space="preserve"> </w:t>
      </w:r>
      <w:r>
        <w:rPr>
          <w:sz w:val="18"/>
        </w:rPr>
        <w:t>Anti‐Dumping</w:t>
      </w:r>
      <w:r>
        <w:rPr>
          <w:spacing w:val="-5"/>
          <w:sz w:val="18"/>
        </w:rPr>
        <w:t xml:space="preserve"> </w:t>
      </w:r>
      <w:r>
        <w:rPr>
          <w:sz w:val="18"/>
        </w:rPr>
        <w:t>Final</w:t>
      </w:r>
      <w:r>
        <w:rPr>
          <w:spacing w:val="-5"/>
          <w:sz w:val="18"/>
        </w:rPr>
        <w:t xml:space="preserve"> </w:t>
      </w:r>
      <w:r>
        <w:rPr>
          <w:sz w:val="18"/>
        </w:rPr>
        <w:t>Determination</w:t>
      </w:r>
      <w:r>
        <w:rPr>
          <w:spacing w:val="-4"/>
          <w:sz w:val="18"/>
        </w:rPr>
        <w:t xml:space="preserve"> </w:t>
      </w:r>
      <w:r>
        <w:rPr>
          <w:sz w:val="18"/>
        </w:rPr>
        <w:t>(Exhibit</w:t>
      </w:r>
      <w:r>
        <w:rPr>
          <w:spacing w:val="-5"/>
          <w:sz w:val="18"/>
        </w:rPr>
        <w:t xml:space="preserve"> </w:t>
      </w:r>
      <w:r>
        <w:rPr>
          <w:sz w:val="18"/>
        </w:rPr>
        <w:t>AUS‐2),</w:t>
      </w:r>
      <w:r>
        <w:rPr>
          <w:spacing w:val="-6"/>
          <w:sz w:val="18"/>
        </w:rPr>
        <w:t xml:space="preserve"> </w:t>
      </w:r>
      <w:r>
        <w:rPr>
          <w:sz w:val="18"/>
        </w:rPr>
        <w:t>p.</w:t>
      </w:r>
      <w:r>
        <w:rPr>
          <w:spacing w:val="-5"/>
          <w:sz w:val="18"/>
        </w:rPr>
        <w:t xml:space="preserve"> </w:t>
      </w:r>
      <w:r>
        <w:rPr>
          <w:sz w:val="18"/>
        </w:rPr>
        <w:t xml:space="preserve">93. </w:t>
      </w:r>
      <w:r>
        <w:rPr>
          <w:sz w:val="18"/>
          <w:vertAlign w:val="superscript"/>
        </w:rPr>
        <w:t>521</w:t>
      </w:r>
      <w:r>
        <w:rPr>
          <w:spacing w:val="-9"/>
          <w:sz w:val="18"/>
        </w:rPr>
        <w:t xml:space="preserve"> </w:t>
      </w:r>
      <w:r>
        <w:rPr>
          <w:sz w:val="18"/>
        </w:rPr>
        <w:t>Anti‐Dumping</w:t>
      </w:r>
      <w:r>
        <w:rPr>
          <w:spacing w:val="-9"/>
          <w:sz w:val="18"/>
        </w:rPr>
        <w:t xml:space="preserve"> </w:t>
      </w:r>
      <w:r>
        <w:rPr>
          <w:sz w:val="18"/>
        </w:rPr>
        <w:t>Final</w:t>
      </w:r>
      <w:r>
        <w:rPr>
          <w:spacing w:val="-9"/>
          <w:sz w:val="18"/>
        </w:rPr>
        <w:t xml:space="preserve"> </w:t>
      </w:r>
      <w:r>
        <w:rPr>
          <w:sz w:val="18"/>
        </w:rPr>
        <w:t>Determination</w:t>
      </w:r>
      <w:r>
        <w:rPr>
          <w:spacing w:val="-8"/>
          <w:sz w:val="18"/>
        </w:rPr>
        <w:t xml:space="preserve"> </w:t>
      </w:r>
      <w:r>
        <w:rPr>
          <w:sz w:val="18"/>
        </w:rPr>
        <w:t>(Exhibit</w:t>
      </w:r>
      <w:r>
        <w:rPr>
          <w:spacing w:val="-9"/>
          <w:sz w:val="18"/>
        </w:rPr>
        <w:t xml:space="preserve"> </w:t>
      </w:r>
      <w:r>
        <w:rPr>
          <w:sz w:val="18"/>
        </w:rPr>
        <w:t>AUS‐2),</w:t>
      </w:r>
      <w:r>
        <w:rPr>
          <w:spacing w:val="-9"/>
          <w:sz w:val="18"/>
        </w:rPr>
        <w:t xml:space="preserve"> </w:t>
      </w:r>
      <w:r>
        <w:rPr>
          <w:sz w:val="18"/>
        </w:rPr>
        <w:t>p.</w:t>
      </w:r>
      <w:r>
        <w:rPr>
          <w:spacing w:val="-9"/>
          <w:sz w:val="18"/>
        </w:rPr>
        <w:t xml:space="preserve"> </w:t>
      </w:r>
      <w:r>
        <w:rPr>
          <w:spacing w:val="-5"/>
          <w:sz w:val="18"/>
        </w:rPr>
        <w:t>93.</w:t>
      </w:r>
    </w:p>
    <w:p w14:paraId="51DE8B44" w14:textId="77777777" w:rsidR="0010369C" w:rsidRDefault="0010369C">
      <w:pPr>
        <w:jc w:val="both"/>
        <w:rPr>
          <w:sz w:val="18"/>
        </w:rPr>
        <w:sectPr w:rsidR="0010369C">
          <w:headerReference w:type="default" r:id="rId640"/>
          <w:footerReference w:type="default" r:id="rId641"/>
          <w:pgSz w:w="11910" w:h="16840"/>
          <w:pgMar w:top="880" w:right="800" w:bottom="1340" w:left="1180" w:header="569" w:footer="1143" w:gutter="0"/>
          <w:cols w:space="720"/>
        </w:sectPr>
      </w:pPr>
    </w:p>
    <w:p w14:paraId="51DE8B45" w14:textId="77777777" w:rsidR="0010369C" w:rsidRDefault="008E43AE">
      <w:pPr>
        <w:tabs>
          <w:tab w:val="left" w:pos="6426"/>
        </w:tabs>
        <w:ind w:left="238"/>
        <w:rPr>
          <w:sz w:val="20"/>
        </w:rPr>
      </w:pPr>
      <w:r>
        <w:rPr>
          <w:i/>
          <w:sz w:val="20"/>
        </w:rPr>
        <w:lastRenderedPageBreak/>
        <w:t>China</w:t>
      </w:r>
      <w:r>
        <w:rPr>
          <w:i/>
          <w:spacing w:val="-5"/>
          <w:sz w:val="20"/>
        </w:rPr>
        <w:t xml:space="preserve"> </w:t>
      </w:r>
      <w:r>
        <w:rPr>
          <w:i/>
          <w:sz w:val="20"/>
        </w:rPr>
        <w:t>–</w:t>
      </w:r>
      <w:r>
        <w:rPr>
          <w:i/>
          <w:spacing w:val="-5"/>
          <w:sz w:val="20"/>
        </w:rPr>
        <w:t xml:space="preserve"> </w:t>
      </w:r>
      <w:r>
        <w:rPr>
          <w:i/>
          <w:sz w:val="20"/>
        </w:rPr>
        <w:t>Anti‐Dumping</w:t>
      </w:r>
      <w:r>
        <w:rPr>
          <w:i/>
          <w:spacing w:val="-4"/>
          <w:sz w:val="20"/>
        </w:rPr>
        <w:t xml:space="preserve"> </w:t>
      </w:r>
      <w:r>
        <w:rPr>
          <w:i/>
          <w:sz w:val="20"/>
        </w:rPr>
        <w:t>and</w:t>
      </w:r>
      <w:r>
        <w:rPr>
          <w:i/>
          <w:spacing w:val="-5"/>
          <w:sz w:val="20"/>
        </w:rPr>
        <w:t xml:space="preserve"> </w:t>
      </w:r>
      <w:r>
        <w:rPr>
          <w:i/>
          <w:sz w:val="20"/>
        </w:rPr>
        <w:t>Countervailing</w:t>
      </w:r>
      <w:r>
        <w:rPr>
          <w:i/>
          <w:spacing w:val="-5"/>
          <w:sz w:val="20"/>
        </w:rPr>
        <w:t xml:space="preserve"> </w:t>
      </w:r>
      <w:r>
        <w:rPr>
          <w:i/>
          <w:sz w:val="20"/>
        </w:rPr>
        <w:t>Duty</w:t>
      </w:r>
      <w:r>
        <w:rPr>
          <w:i/>
          <w:spacing w:val="-4"/>
          <w:sz w:val="20"/>
        </w:rPr>
        <w:t xml:space="preserve"> </w:t>
      </w:r>
      <w:r>
        <w:rPr>
          <w:i/>
          <w:spacing w:val="-2"/>
          <w:sz w:val="20"/>
        </w:rPr>
        <w:t>Measures</w:t>
      </w:r>
      <w:r>
        <w:rPr>
          <w:i/>
          <w:sz w:val="20"/>
        </w:rPr>
        <w:tab/>
      </w:r>
      <w:r>
        <w:rPr>
          <w:sz w:val="20"/>
        </w:rPr>
        <w:t>Australia's</w:t>
      </w:r>
      <w:r>
        <w:rPr>
          <w:spacing w:val="-7"/>
          <w:sz w:val="20"/>
        </w:rPr>
        <w:t xml:space="preserve"> </w:t>
      </w:r>
      <w:r>
        <w:rPr>
          <w:sz w:val="20"/>
        </w:rPr>
        <w:t>First</w:t>
      </w:r>
      <w:r>
        <w:rPr>
          <w:spacing w:val="-2"/>
          <w:sz w:val="20"/>
        </w:rPr>
        <w:t xml:space="preserve"> </w:t>
      </w:r>
      <w:r>
        <w:rPr>
          <w:sz w:val="20"/>
        </w:rPr>
        <w:t>Written</w:t>
      </w:r>
      <w:r>
        <w:rPr>
          <w:spacing w:val="-2"/>
          <w:sz w:val="20"/>
        </w:rPr>
        <w:t xml:space="preserve"> Submission</w:t>
      </w:r>
    </w:p>
    <w:p w14:paraId="51DE8B46" w14:textId="77777777" w:rsidR="0010369C" w:rsidRDefault="008E43AE">
      <w:pPr>
        <w:tabs>
          <w:tab w:val="left" w:pos="8228"/>
        </w:tabs>
        <w:spacing w:before="1"/>
        <w:ind w:left="239"/>
        <w:rPr>
          <w:sz w:val="20"/>
        </w:rPr>
      </w:pPr>
      <w:r>
        <w:rPr>
          <w:i/>
          <w:sz w:val="20"/>
        </w:rPr>
        <w:t>on</w:t>
      </w:r>
      <w:r>
        <w:rPr>
          <w:i/>
          <w:spacing w:val="-1"/>
          <w:sz w:val="20"/>
        </w:rPr>
        <w:t xml:space="preserve"> </w:t>
      </w:r>
      <w:r>
        <w:rPr>
          <w:i/>
          <w:sz w:val="20"/>
        </w:rPr>
        <w:t>Wine</w:t>
      </w:r>
      <w:r>
        <w:rPr>
          <w:i/>
          <w:spacing w:val="-1"/>
          <w:sz w:val="20"/>
        </w:rPr>
        <w:t xml:space="preserve"> </w:t>
      </w:r>
      <w:r>
        <w:rPr>
          <w:i/>
          <w:sz w:val="20"/>
        </w:rPr>
        <w:t>from</w:t>
      </w:r>
      <w:r>
        <w:rPr>
          <w:i/>
          <w:spacing w:val="-3"/>
          <w:sz w:val="20"/>
        </w:rPr>
        <w:t xml:space="preserve"> </w:t>
      </w:r>
      <w:r>
        <w:rPr>
          <w:i/>
          <w:sz w:val="20"/>
        </w:rPr>
        <w:t>Australia</w:t>
      </w:r>
      <w:r>
        <w:rPr>
          <w:i/>
          <w:spacing w:val="-1"/>
          <w:sz w:val="20"/>
        </w:rPr>
        <w:t xml:space="preserve"> </w:t>
      </w:r>
      <w:r>
        <w:rPr>
          <w:spacing w:val="-2"/>
          <w:sz w:val="20"/>
        </w:rPr>
        <w:t>(DS602)</w:t>
      </w:r>
      <w:r>
        <w:rPr>
          <w:sz w:val="20"/>
        </w:rPr>
        <w:tab/>
        <w:t>29</w:t>
      </w:r>
      <w:r>
        <w:rPr>
          <w:spacing w:val="-1"/>
          <w:sz w:val="20"/>
        </w:rPr>
        <w:t xml:space="preserve"> </w:t>
      </w:r>
      <w:r>
        <w:rPr>
          <w:sz w:val="20"/>
        </w:rPr>
        <w:t>April</w:t>
      </w:r>
      <w:r>
        <w:rPr>
          <w:spacing w:val="-2"/>
          <w:sz w:val="20"/>
        </w:rPr>
        <w:t xml:space="preserve"> </w:t>
      </w:r>
      <w:r>
        <w:rPr>
          <w:spacing w:val="-4"/>
          <w:sz w:val="20"/>
        </w:rPr>
        <w:t>2022</w:t>
      </w:r>
    </w:p>
    <w:p w14:paraId="51DE8B47" w14:textId="77777777" w:rsidR="0010369C" w:rsidRDefault="008E43AE">
      <w:pPr>
        <w:pStyle w:val="BodyText"/>
        <w:spacing w:before="34" w:after="2" w:line="360" w:lineRule="auto"/>
        <w:ind w:left="237" w:right="614" w:firstLine="851"/>
        <w:jc w:val="both"/>
      </w:pPr>
      <w:r>
        <w:rPr>
          <w:noProof/>
        </w:rPr>
        <w:drawing>
          <wp:anchor distT="0" distB="0" distL="0" distR="0" simplePos="0" relativeHeight="251121152" behindDoc="1" locked="0" layoutInCell="1" allowOverlap="1" wp14:anchorId="51DEA385" wp14:editId="51DEA386">
            <wp:simplePos x="0" y="0"/>
            <wp:positionH relativeFrom="page">
              <wp:posOffset>899160</wp:posOffset>
            </wp:positionH>
            <wp:positionV relativeFrom="paragraph">
              <wp:posOffset>69165</wp:posOffset>
            </wp:positionV>
            <wp:extent cx="265175" cy="103631"/>
            <wp:effectExtent l="0" t="0" r="0" b="0"/>
            <wp:wrapNone/>
            <wp:docPr id="959" name="image4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 name="image490.png"/>
                    <pic:cNvPicPr/>
                  </pic:nvPicPr>
                  <pic:blipFill>
                    <a:blip r:embed="rId642" cstate="print"/>
                    <a:stretch>
                      <a:fillRect/>
                    </a:stretch>
                  </pic:blipFill>
                  <pic:spPr>
                    <a:xfrm>
                      <a:off x="0" y="0"/>
                      <a:ext cx="265175" cy="103631"/>
                    </a:xfrm>
                    <a:prstGeom prst="rect">
                      <a:avLst/>
                    </a:prstGeom>
                  </pic:spPr>
                </pic:pic>
              </a:graphicData>
            </a:graphic>
          </wp:anchor>
        </w:drawing>
      </w:r>
      <w:r>
        <w:pict w14:anchorId="51DEA387">
          <v:rect id="docshape926" o:spid="_x0000_s1420" style="position:absolute;left:0;text-align:left;margin-left:363.55pt;margin-top:45.75pt;width:159.85pt;height:16.05pt;z-index:-251302400;mso-position-horizontal-relative:page;mso-position-vertical-relative:text" fillcolor="black" stroked="f">
            <w10:wrap anchorx="page"/>
          </v:rect>
        </w:pict>
      </w:r>
      <w:r>
        <w:t>Furthermore, consistent with Australia's submissions for Casella Wines above,</w:t>
      </w:r>
      <w:r>
        <w:rPr>
          <w:vertAlign w:val="superscript"/>
        </w:rPr>
        <w:t>522</w:t>
      </w:r>
      <w:r>
        <w:t xml:space="preserve"> limiting Swan Vintage's</w:t>
      </w:r>
      <w:r>
        <w:rPr>
          <w:spacing w:val="-1"/>
        </w:rPr>
        <w:t xml:space="preserve"> </w:t>
      </w:r>
      <w:r>
        <w:t>export</w:t>
      </w:r>
      <w:r>
        <w:rPr>
          <w:spacing w:val="-1"/>
        </w:rPr>
        <w:t xml:space="preserve"> </w:t>
      </w:r>
      <w:r>
        <w:t>prices to a lower‐priced level</w:t>
      </w:r>
      <w:r>
        <w:rPr>
          <w:spacing w:val="-1"/>
        </w:rPr>
        <w:t xml:space="preserve"> </w:t>
      </w:r>
      <w:r>
        <w:t>of trade</w:t>
      </w:r>
      <w:r>
        <w:rPr>
          <w:spacing w:val="-1"/>
        </w:rPr>
        <w:t xml:space="preserve"> </w:t>
      </w:r>
      <w:r>
        <w:t>further exaggerated</w:t>
      </w:r>
      <w:r>
        <w:rPr>
          <w:spacing w:val="-1"/>
        </w:rPr>
        <w:t xml:space="preserve"> </w:t>
      </w:r>
      <w:r>
        <w:t>the non‐comparability</w:t>
      </w:r>
      <w:r>
        <w:rPr>
          <w:spacing w:val="40"/>
        </w:rPr>
        <w:t xml:space="preserve"> </w:t>
      </w:r>
      <w:r>
        <w:t>with</w:t>
      </w:r>
      <w:r>
        <w:rPr>
          <w:spacing w:val="40"/>
        </w:rPr>
        <w:t xml:space="preserve"> </w:t>
      </w:r>
      <w:r>
        <w:t>a</w:t>
      </w:r>
      <w:r>
        <w:rPr>
          <w:spacing w:val="40"/>
        </w:rPr>
        <w:t xml:space="preserve"> </w:t>
      </w:r>
      <w:r>
        <w:t>normal</w:t>
      </w:r>
      <w:r>
        <w:rPr>
          <w:spacing w:val="40"/>
        </w:rPr>
        <w:t xml:space="preserve"> </w:t>
      </w:r>
      <w:r>
        <w:t>value</w:t>
      </w:r>
      <w:r>
        <w:rPr>
          <w:spacing w:val="40"/>
        </w:rPr>
        <w:t xml:space="preserve"> </w:t>
      </w:r>
      <w:r>
        <w:t>calculated</w:t>
      </w:r>
      <w:r>
        <w:rPr>
          <w:spacing w:val="40"/>
        </w:rPr>
        <w:t xml:space="preserve"> </w:t>
      </w:r>
      <w:r>
        <w:t>using</w:t>
      </w:r>
      <w:r>
        <w:rPr>
          <w:spacing w:val="40"/>
        </w:rPr>
        <w:t xml:space="preserve"> </w:t>
      </w:r>
      <w:r>
        <w:t>[[</w:t>
      </w:r>
    </w:p>
    <w:p w14:paraId="51DE8B48" w14:textId="77777777" w:rsidR="0010369C" w:rsidRDefault="008E43AE">
      <w:pPr>
        <w:pStyle w:val="BodyText"/>
        <w:ind w:left="218"/>
        <w:rPr>
          <w:sz w:val="20"/>
        </w:rPr>
      </w:pPr>
      <w:r>
        <w:rPr>
          <w:sz w:val="20"/>
        </w:rPr>
      </w:r>
      <w:r>
        <w:rPr>
          <w:sz w:val="20"/>
        </w:rPr>
        <w:pict w14:anchorId="51DEA389">
          <v:group id="docshapegroup927" o:spid="_x0000_s1418" style="width:453.45pt;height:16.1pt;mso-position-horizontal-relative:char;mso-position-vertical-relative:line" coordsize="9069,322">
            <v:rect id="docshape928" o:spid="_x0000_s1419" style="position:absolute;width:9069;height:322" fillcolor="black" stroked="f"/>
            <w10:anchorlock/>
          </v:group>
        </w:pict>
      </w:r>
    </w:p>
    <w:p w14:paraId="51DE8B49" w14:textId="77777777" w:rsidR="0010369C" w:rsidRDefault="008E43AE">
      <w:pPr>
        <w:pStyle w:val="BodyText"/>
        <w:rPr>
          <w:sz w:val="5"/>
        </w:rPr>
      </w:pPr>
      <w:r>
        <w:pict w14:anchorId="51DEA38A">
          <v:rect id="docshape929" o:spid="_x0000_s1417" style="position:absolute;margin-left:69.95pt;margin-top:4.25pt;width:453.5pt;height:16.05pt;z-index:-250873344;mso-wrap-distance-left:0;mso-wrap-distance-right:0;mso-position-horizontal-relative:page" fillcolor="black" stroked="f">
            <w10:wrap type="topAndBottom" anchorx="page"/>
          </v:rect>
        </w:pict>
      </w:r>
    </w:p>
    <w:p w14:paraId="51DE8B4A" w14:textId="77777777" w:rsidR="0010369C" w:rsidRDefault="008E43AE">
      <w:pPr>
        <w:spacing w:before="116"/>
        <w:ind w:left="2078" w:right="2465"/>
        <w:jc w:val="center"/>
        <w:rPr>
          <w:sz w:val="24"/>
        </w:rPr>
      </w:pPr>
      <w:r>
        <w:rPr>
          <w:spacing w:val="-5"/>
          <w:sz w:val="24"/>
        </w:rPr>
        <w:t>]]</w:t>
      </w:r>
    </w:p>
    <w:p w14:paraId="51DE8B4B" w14:textId="77777777" w:rsidR="0010369C" w:rsidRDefault="0010369C">
      <w:pPr>
        <w:pStyle w:val="BodyText"/>
        <w:spacing w:before="10"/>
        <w:rPr>
          <w:sz w:val="20"/>
        </w:rPr>
      </w:pPr>
    </w:p>
    <w:p w14:paraId="51DE8B4C" w14:textId="77777777" w:rsidR="0010369C" w:rsidRDefault="008E43AE">
      <w:pPr>
        <w:pStyle w:val="Heading4"/>
        <w:numPr>
          <w:ilvl w:val="2"/>
          <w:numId w:val="75"/>
        </w:numPr>
        <w:tabs>
          <w:tab w:val="left" w:pos="2647"/>
          <w:tab w:val="left" w:pos="2649"/>
        </w:tabs>
        <w:spacing w:before="52"/>
        <w:ind w:hanging="852"/>
      </w:pPr>
      <w:r>
        <w:pict w14:anchorId="51DEA38B">
          <v:rect id="docshape930" o:spid="_x0000_s1416" style="position:absolute;left:0;text-align:left;margin-left:69.9pt;margin-top:-27.25pt;width:222.8pt;height:16.05pt;z-index:251849216;mso-position-horizontal-relative:page" fillcolor="black" stroked="f">
            <w10:wrap anchorx="page"/>
          </v:rect>
        </w:pict>
      </w:r>
      <w:r>
        <w:rPr>
          <w:spacing w:val="-2"/>
        </w:rPr>
        <w:t>Conclusion</w:t>
      </w:r>
    </w:p>
    <w:p w14:paraId="51DE8B4D" w14:textId="77777777" w:rsidR="0010369C" w:rsidRDefault="0010369C">
      <w:pPr>
        <w:pStyle w:val="BodyText"/>
        <w:spacing w:before="10"/>
        <w:rPr>
          <w:b/>
          <w:sz w:val="20"/>
        </w:rPr>
      </w:pPr>
    </w:p>
    <w:p w14:paraId="51DE8B4E" w14:textId="77777777" w:rsidR="0010369C" w:rsidRDefault="008E43AE">
      <w:pPr>
        <w:pStyle w:val="BodyText"/>
        <w:spacing w:before="52" w:line="360" w:lineRule="auto"/>
        <w:ind w:left="236" w:right="613" w:firstLine="852"/>
        <w:jc w:val="both"/>
      </w:pPr>
      <w:r>
        <w:rPr>
          <w:noProof/>
        </w:rPr>
        <w:drawing>
          <wp:anchor distT="0" distB="0" distL="0" distR="0" simplePos="0" relativeHeight="251122176" behindDoc="1" locked="0" layoutInCell="1" allowOverlap="1" wp14:anchorId="51DEA38C" wp14:editId="51DEA38D">
            <wp:simplePos x="0" y="0"/>
            <wp:positionH relativeFrom="page">
              <wp:posOffset>899160</wp:posOffset>
            </wp:positionH>
            <wp:positionV relativeFrom="paragraph">
              <wp:posOffset>81949</wp:posOffset>
            </wp:positionV>
            <wp:extent cx="265175" cy="100753"/>
            <wp:effectExtent l="0" t="0" r="0" b="0"/>
            <wp:wrapNone/>
            <wp:docPr id="961" name="image4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 name="image491.png"/>
                    <pic:cNvPicPr/>
                  </pic:nvPicPr>
                  <pic:blipFill>
                    <a:blip r:embed="rId643" cstate="print"/>
                    <a:stretch>
                      <a:fillRect/>
                    </a:stretch>
                  </pic:blipFill>
                  <pic:spPr>
                    <a:xfrm>
                      <a:off x="0" y="0"/>
                      <a:ext cx="265175" cy="100753"/>
                    </a:xfrm>
                    <a:prstGeom prst="rect">
                      <a:avLst/>
                    </a:prstGeom>
                  </pic:spPr>
                </pic:pic>
              </a:graphicData>
            </a:graphic>
          </wp:anchor>
        </w:drawing>
      </w:r>
      <w:r>
        <w:t>For the reasons set out above, China acted inconsistently with Article 6.8 and paragraph</w:t>
      </w:r>
      <w:r>
        <w:t>s 1, 3, 5, 6, and 7 of Annex II of the Anti‐Dumping Agreement in its application of facts available, and Articles 2.1, 2.2 and 2.2.1.1 of the Anti‐Dumping Agreement in its calculation of normal value.</w:t>
      </w:r>
    </w:p>
    <w:p w14:paraId="51DE8B4F" w14:textId="77777777" w:rsidR="0010369C" w:rsidRDefault="008E43AE">
      <w:pPr>
        <w:pStyle w:val="ListParagraph"/>
        <w:numPr>
          <w:ilvl w:val="1"/>
          <w:numId w:val="75"/>
        </w:numPr>
        <w:tabs>
          <w:tab w:val="left" w:pos="1940"/>
          <w:tab w:val="left" w:pos="1941"/>
        </w:tabs>
        <w:spacing w:before="160"/>
        <w:ind w:left="1940" w:hanging="852"/>
        <w:jc w:val="left"/>
        <w:rPr>
          <w:b/>
          <w:sz w:val="28"/>
        </w:rPr>
      </w:pPr>
      <w:r>
        <w:rPr>
          <w:b/>
          <w:sz w:val="28"/>
        </w:rPr>
        <w:t>O</w:t>
      </w:r>
      <w:r>
        <w:rPr>
          <w:b/>
        </w:rPr>
        <w:t>THER</w:t>
      </w:r>
      <w:r>
        <w:rPr>
          <w:b/>
          <w:spacing w:val="-12"/>
        </w:rPr>
        <w:t xml:space="preserve"> </w:t>
      </w:r>
      <w:r>
        <w:rPr>
          <w:b/>
          <w:sz w:val="28"/>
        </w:rPr>
        <w:t>N</w:t>
      </w:r>
      <w:r>
        <w:rPr>
          <w:b/>
        </w:rPr>
        <w:t>AMED</w:t>
      </w:r>
      <w:r>
        <w:rPr>
          <w:b/>
          <w:spacing w:val="-10"/>
        </w:rPr>
        <w:t xml:space="preserve"> </w:t>
      </w:r>
      <w:r>
        <w:rPr>
          <w:b/>
          <w:sz w:val="28"/>
        </w:rPr>
        <w:t>A</w:t>
      </w:r>
      <w:r>
        <w:rPr>
          <w:b/>
        </w:rPr>
        <w:t>USTRALIAN</w:t>
      </w:r>
      <w:r>
        <w:rPr>
          <w:b/>
          <w:spacing w:val="-12"/>
        </w:rPr>
        <w:t xml:space="preserve"> </w:t>
      </w:r>
      <w:r>
        <w:rPr>
          <w:b/>
          <w:spacing w:val="-2"/>
          <w:sz w:val="28"/>
        </w:rPr>
        <w:t>E</w:t>
      </w:r>
      <w:r>
        <w:rPr>
          <w:b/>
          <w:spacing w:val="-2"/>
        </w:rPr>
        <w:t>XPORTERS</w:t>
      </w:r>
    </w:p>
    <w:p w14:paraId="51DE8B50" w14:textId="77777777" w:rsidR="0010369C" w:rsidRDefault="0010369C">
      <w:pPr>
        <w:pStyle w:val="BodyText"/>
        <w:spacing w:before="11"/>
        <w:rPr>
          <w:b/>
          <w:sz w:val="22"/>
        </w:rPr>
      </w:pPr>
    </w:p>
    <w:p w14:paraId="51DE8B51" w14:textId="77777777" w:rsidR="0010369C" w:rsidRDefault="008E43AE">
      <w:pPr>
        <w:pStyle w:val="BodyText"/>
        <w:spacing w:before="51" w:line="360" w:lineRule="auto"/>
        <w:ind w:left="238" w:right="614" w:firstLine="850"/>
        <w:jc w:val="both"/>
      </w:pPr>
      <w:r>
        <w:rPr>
          <w:noProof/>
        </w:rPr>
        <w:drawing>
          <wp:anchor distT="0" distB="0" distL="0" distR="0" simplePos="0" relativeHeight="251123200" behindDoc="1" locked="0" layoutInCell="1" allowOverlap="1" wp14:anchorId="51DEA38E" wp14:editId="51DEA38F">
            <wp:simplePos x="0" y="0"/>
            <wp:positionH relativeFrom="page">
              <wp:posOffset>899160</wp:posOffset>
            </wp:positionH>
            <wp:positionV relativeFrom="paragraph">
              <wp:posOffset>76150</wp:posOffset>
            </wp:positionV>
            <wp:extent cx="265175" cy="106679"/>
            <wp:effectExtent l="0" t="0" r="0" b="0"/>
            <wp:wrapNone/>
            <wp:docPr id="963" name="image4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 name="image492.png"/>
                    <pic:cNvPicPr/>
                  </pic:nvPicPr>
                  <pic:blipFill>
                    <a:blip r:embed="rId644" cstate="print"/>
                    <a:stretch>
                      <a:fillRect/>
                    </a:stretch>
                  </pic:blipFill>
                  <pic:spPr>
                    <a:xfrm>
                      <a:off x="0" y="0"/>
                      <a:ext cx="265175" cy="106679"/>
                    </a:xfrm>
                    <a:prstGeom prst="rect">
                      <a:avLst/>
                    </a:prstGeom>
                  </pic:spPr>
                </pic:pic>
              </a:graphicData>
            </a:graphic>
          </wp:anchor>
        </w:drawing>
      </w:r>
      <w:r>
        <w:t>MOFCOM identified a dumping margin of 167.1% for "other Australian producers cooperative</w:t>
      </w:r>
      <w:r>
        <w:rPr>
          <w:spacing w:val="80"/>
          <w:w w:val="150"/>
        </w:rPr>
        <w:t xml:space="preserve">  </w:t>
      </w:r>
      <w:r>
        <w:t>with</w:t>
      </w:r>
      <w:r>
        <w:rPr>
          <w:spacing w:val="80"/>
          <w:w w:val="150"/>
        </w:rPr>
        <w:t xml:space="preserve">  </w:t>
      </w:r>
      <w:r>
        <w:t>the</w:t>
      </w:r>
      <w:r>
        <w:rPr>
          <w:spacing w:val="80"/>
          <w:w w:val="150"/>
        </w:rPr>
        <w:t xml:space="preserve">  </w:t>
      </w:r>
      <w:r>
        <w:t>investigation".</w:t>
      </w:r>
      <w:r>
        <w:rPr>
          <w:vertAlign w:val="superscript"/>
        </w:rPr>
        <w:t>523</w:t>
      </w:r>
      <w:r>
        <w:rPr>
          <w:spacing w:val="80"/>
          <w:w w:val="150"/>
        </w:rPr>
        <w:t xml:space="preserve">  </w:t>
      </w:r>
      <w:r>
        <w:t>MOFCOM</w:t>
      </w:r>
      <w:r>
        <w:rPr>
          <w:spacing w:val="80"/>
          <w:w w:val="150"/>
        </w:rPr>
        <w:t xml:space="preserve">  </w:t>
      </w:r>
      <w:r>
        <w:t>explained</w:t>
      </w:r>
      <w:r>
        <w:rPr>
          <w:spacing w:val="80"/>
          <w:w w:val="150"/>
        </w:rPr>
        <w:t xml:space="preserve">  </w:t>
      </w:r>
      <w:r>
        <w:t>that</w:t>
      </w:r>
      <w:r>
        <w:rPr>
          <w:spacing w:val="80"/>
          <w:w w:val="150"/>
        </w:rPr>
        <w:t xml:space="preserve">  </w:t>
      </w:r>
      <w:r>
        <w:t>this margin</w:t>
      </w:r>
      <w:r>
        <w:rPr>
          <w:spacing w:val="-9"/>
        </w:rPr>
        <w:t xml:space="preserve"> </w:t>
      </w:r>
      <w:r>
        <w:t>was</w:t>
      </w:r>
      <w:r>
        <w:rPr>
          <w:spacing w:val="-2"/>
        </w:rPr>
        <w:t xml:space="preserve"> </w:t>
      </w:r>
      <w:r>
        <w:t>determined</w:t>
      </w:r>
      <w:r>
        <w:rPr>
          <w:spacing w:val="-4"/>
        </w:rPr>
        <w:t xml:space="preserve"> </w:t>
      </w:r>
      <w:r>
        <w:t>"based</w:t>
      </w:r>
      <w:r>
        <w:rPr>
          <w:spacing w:val="-14"/>
        </w:rPr>
        <w:t xml:space="preserve"> </w:t>
      </w:r>
      <w:r>
        <w:t>on</w:t>
      </w:r>
      <w:r>
        <w:rPr>
          <w:spacing w:val="-14"/>
        </w:rPr>
        <w:t xml:space="preserve"> </w:t>
      </w:r>
      <w:r>
        <w:t>the</w:t>
      </w:r>
      <w:r>
        <w:rPr>
          <w:spacing w:val="-13"/>
        </w:rPr>
        <w:t xml:space="preserve"> </w:t>
      </w:r>
      <w:r>
        <w:t>weighted</w:t>
      </w:r>
      <w:r>
        <w:rPr>
          <w:spacing w:val="-14"/>
        </w:rPr>
        <w:t xml:space="preserve"> </w:t>
      </w:r>
      <w:r>
        <w:t>average</w:t>
      </w:r>
      <w:r>
        <w:rPr>
          <w:spacing w:val="-13"/>
        </w:rPr>
        <w:t xml:space="preserve"> </w:t>
      </w:r>
      <w:r>
        <w:t>margin</w:t>
      </w:r>
      <w:r>
        <w:rPr>
          <w:spacing w:val="-14"/>
        </w:rPr>
        <w:t xml:space="preserve"> </w:t>
      </w:r>
      <w:r>
        <w:t>of</w:t>
      </w:r>
      <w:r>
        <w:rPr>
          <w:spacing w:val="-13"/>
        </w:rPr>
        <w:t xml:space="preserve"> </w:t>
      </w:r>
      <w:r>
        <w:t>the</w:t>
      </w:r>
      <w:r>
        <w:rPr>
          <w:spacing w:val="-14"/>
        </w:rPr>
        <w:t xml:space="preserve"> </w:t>
      </w:r>
      <w:r>
        <w:t>selected</w:t>
      </w:r>
      <w:r>
        <w:rPr>
          <w:spacing w:val="-14"/>
        </w:rPr>
        <w:t xml:space="preserve"> </w:t>
      </w:r>
      <w:r>
        <w:t>exporters</w:t>
      </w:r>
      <w:r>
        <w:rPr>
          <w:spacing w:val="-13"/>
        </w:rPr>
        <w:t xml:space="preserve"> </w:t>
      </w:r>
      <w:r>
        <w:t>and producers".</w:t>
      </w:r>
      <w:r>
        <w:rPr>
          <w:vertAlign w:val="superscript"/>
        </w:rPr>
        <w:t>524</w:t>
      </w:r>
      <w:r>
        <w:t xml:space="preserve"> </w:t>
      </w:r>
      <w:r>
        <w:t>No explanation was provided about the weighting or weightings used.</w:t>
      </w:r>
    </w:p>
    <w:p w14:paraId="51DE8B52" w14:textId="77777777" w:rsidR="0010369C" w:rsidRDefault="0010369C">
      <w:pPr>
        <w:pStyle w:val="BodyText"/>
        <w:spacing w:before="11"/>
        <w:rPr>
          <w:sz w:val="8"/>
        </w:rPr>
      </w:pPr>
    </w:p>
    <w:p w14:paraId="51DE8B53" w14:textId="77777777" w:rsidR="0010369C" w:rsidRDefault="008E43AE">
      <w:pPr>
        <w:pStyle w:val="BodyText"/>
        <w:spacing w:before="52" w:line="360" w:lineRule="auto"/>
        <w:ind w:left="237" w:right="614" w:firstLine="852"/>
        <w:jc w:val="both"/>
      </w:pPr>
      <w:r>
        <w:rPr>
          <w:noProof/>
        </w:rPr>
        <w:drawing>
          <wp:anchor distT="0" distB="0" distL="0" distR="0" simplePos="0" relativeHeight="251124224" behindDoc="1" locked="0" layoutInCell="1" allowOverlap="1" wp14:anchorId="51DEA390" wp14:editId="51DEA391">
            <wp:simplePos x="0" y="0"/>
            <wp:positionH relativeFrom="page">
              <wp:posOffset>899160</wp:posOffset>
            </wp:positionH>
            <wp:positionV relativeFrom="paragraph">
              <wp:posOffset>81357</wp:posOffset>
            </wp:positionV>
            <wp:extent cx="265175" cy="103631"/>
            <wp:effectExtent l="0" t="0" r="0" b="0"/>
            <wp:wrapNone/>
            <wp:docPr id="965" name="image4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 name="image493.png"/>
                    <pic:cNvPicPr/>
                  </pic:nvPicPr>
                  <pic:blipFill>
                    <a:blip r:embed="rId645" cstate="print"/>
                    <a:stretch>
                      <a:fillRect/>
                    </a:stretch>
                  </pic:blipFill>
                  <pic:spPr>
                    <a:xfrm>
                      <a:off x="0" y="0"/>
                      <a:ext cx="265175" cy="103631"/>
                    </a:xfrm>
                    <a:prstGeom prst="rect">
                      <a:avLst/>
                    </a:prstGeom>
                  </pic:spPr>
                </pic:pic>
              </a:graphicData>
            </a:graphic>
          </wp:anchor>
        </w:drawing>
      </w:r>
      <w:r>
        <w:t>The inevitable consequence of this approach is that the deficiencies in MOFCOM's determination of the normal value and margins of dumping for the sampled companies set out above also, in</w:t>
      </w:r>
      <w:r>
        <w:t>evitably, undermines its determination of the margin for these producers. Inherent in the use of an average is that an error in the determination of any one of the component figures will cause error in the average.</w:t>
      </w:r>
    </w:p>
    <w:p w14:paraId="51DE8B54" w14:textId="77777777" w:rsidR="0010369C" w:rsidRDefault="0010369C">
      <w:pPr>
        <w:pStyle w:val="BodyText"/>
        <w:spacing w:before="10"/>
        <w:rPr>
          <w:sz w:val="8"/>
        </w:rPr>
      </w:pPr>
    </w:p>
    <w:p w14:paraId="51DE8B55" w14:textId="77777777" w:rsidR="0010369C" w:rsidRDefault="008E43AE">
      <w:pPr>
        <w:pStyle w:val="BodyText"/>
        <w:spacing w:before="51" w:line="360" w:lineRule="auto"/>
        <w:ind w:left="238" w:right="613" w:firstLine="850"/>
        <w:jc w:val="both"/>
      </w:pPr>
      <w:r>
        <w:rPr>
          <w:noProof/>
        </w:rPr>
        <w:drawing>
          <wp:anchor distT="0" distB="0" distL="0" distR="0" simplePos="0" relativeHeight="251125248" behindDoc="1" locked="0" layoutInCell="1" allowOverlap="1" wp14:anchorId="51DEA392" wp14:editId="51DEA393">
            <wp:simplePos x="0" y="0"/>
            <wp:positionH relativeFrom="page">
              <wp:posOffset>899160</wp:posOffset>
            </wp:positionH>
            <wp:positionV relativeFrom="paragraph">
              <wp:posOffset>80722</wp:posOffset>
            </wp:positionV>
            <wp:extent cx="265175" cy="103631"/>
            <wp:effectExtent l="0" t="0" r="0" b="0"/>
            <wp:wrapNone/>
            <wp:docPr id="967" name="image4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 name="image494.png"/>
                    <pic:cNvPicPr/>
                  </pic:nvPicPr>
                  <pic:blipFill>
                    <a:blip r:embed="rId646" cstate="print"/>
                    <a:stretch>
                      <a:fillRect/>
                    </a:stretch>
                  </pic:blipFill>
                  <pic:spPr>
                    <a:xfrm>
                      <a:off x="0" y="0"/>
                      <a:ext cx="265175" cy="103631"/>
                    </a:xfrm>
                    <a:prstGeom prst="rect">
                      <a:avLst/>
                    </a:prstGeom>
                  </pic:spPr>
                </pic:pic>
              </a:graphicData>
            </a:graphic>
          </wp:anchor>
        </w:drawing>
      </w:r>
      <w:r>
        <w:t>For this reason, Australia submits that the errors discussed above in relation to Treasury</w:t>
      </w:r>
      <w:r>
        <w:rPr>
          <w:spacing w:val="-2"/>
        </w:rPr>
        <w:t xml:space="preserve"> </w:t>
      </w:r>
      <w:r>
        <w:t>Wines,</w:t>
      </w:r>
      <w:r>
        <w:rPr>
          <w:spacing w:val="-2"/>
        </w:rPr>
        <w:t xml:space="preserve"> </w:t>
      </w:r>
      <w:r>
        <w:t>Casella</w:t>
      </w:r>
      <w:r>
        <w:rPr>
          <w:spacing w:val="-3"/>
        </w:rPr>
        <w:t xml:space="preserve"> </w:t>
      </w:r>
      <w:r>
        <w:t>Wines</w:t>
      </w:r>
      <w:r>
        <w:rPr>
          <w:spacing w:val="-3"/>
        </w:rPr>
        <w:t xml:space="preserve"> </w:t>
      </w:r>
      <w:r>
        <w:t>and</w:t>
      </w:r>
      <w:r>
        <w:rPr>
          <w:spacing w:val="-3"/>
        </w:rPr>
        <w:t xml:space="preserve"> </w:t>
      </w:r>
      <w:r>
        <w:t>Swan</w:t>
      </w:r>
      <w:r>
        <w:rPr>
          <w:spacing w:val="-3"/>
        </w:rPr>
        <w:t xml:space="preserve"> </w:t>
      </w:r>
      <w:r>
        <w:t>Vintage</w:t>
      </w:r>
      <w:r>
        <w:rPr>
          <w:spacing w:val="-3"/>
        </w:rPr>
        <w:t xml:space="preserve"> </w:t>
      </w:r>
      <w:r>
        <w:t>carried</w:t>
      </w:r>
      <w:r>
        <w:rPr>
          <w:spacing w:val="-3"/>
        </w:rPr>
        <w:t xml:space="preserve"> </w:t>
      </w:r>
      <w:r>
        <w:t>forward</w:t>
      </w:r>
      <w:r>
        <w:rPr>
          <w:spacing w:val="-3"/>
        </w:rPr>
        <w:t xml:space="preserve"> </w:t>
      </w:r>
      <w:r>
        <w:t>to</w:t>
      </w:r>
      <w:r>
        <w:rPr>
          <w:spacing w:val="-2"/>
        </w:rPr>
        <w:t xml:space="preserve"> </w:t>
      </w:r>
      <w:r>
        <w:t>the</w:t>
      </w:r>
      <w:r>
        <w:rPr>
          <w:spacing w:val="-2"/>
        </w:rPr>
        <w:t xml:space="preserve"> </w:t>
      </w:r>
      <w:r>
        <w:t>dumping</w:t>
      </w:r>
      <w:r>
        <w:rPr>
          <w:spacing w:val="-2"/>
        </w:rPr>
        <w:t xml:space="preserve"> </w:t>
      </w:r>
      <w:r>
        <w:t>margins</w:t>
      </w:r>
      <w:r>
        <w:rPr>
          <w:spacing w:val="-3"/>
        </w:rPr>
        <w:t xml:space="preserve"> </w:t>
      </w:r>
      <w:r>
        <w:t>for these producers.</w:t>
      </w:r>
    </w:p>
    <w:p w14:paraId="51DE8B56" w14:textId="77777777" w:rsidR="0010369C" w:rsidRDefault="0010369C">
      <w:pPr>
        <w:spacing w:line="360" w:lineRule="auto"/>
        <w:jc w:val="both"/>
        <w:sectPr w:rsidR="0010369C">
          <w:headerReference w:type="default" r:id="rId647"/>
          <w:footerReference w:type="default" r:id="rId648"/>
          <w:pgSz w:w="11910" w:h="16840"/>
          <w:pgMar w:top="880" w:right="800" w:bottom="2200" w:left="1180" w:header="569" w:footer="2004" w:gutter="0"/>
          <w:cols w:space="720"/>
        </w:sectPr>
      </w:pPr>
    </w:p>
    <w:p w14:paraId="51DE8B57" w14:textId="77777777" w:rsidR="0010369C" w:rsidRDefault="008E43AE">
      <w:pPr>
        <w:tabs>
          <w:tab w:val="left" w:pos="6425"/>
        </w:tabs>
        <w:ind w:left="238"/>
        <w:rPr>
          <w:sz w:val="20"/>
        </w:rPr>
      </w:pPr>
      <w:r>
        <w:rPr>
          <w:i/>
          <w:sz w:val="20"/>
        </w:rPr>
        <w:lastRenderedPageBreak/>
        <w:t>China</w:t>
      </w:r>
      <w:r>
        <w:rPr>
          <w:i/>
          <w:spacing w:val="-5"/>
          <w:sz w:val="20"/>
        </w:rPr>
        <w:t xml:space="preserve"> </w:t>
      </w:r>
      <w:r>
        <w:rPr>
          <w:i/>
          <w:sz w:val="20"/>
        </w:rPr>
        <w:t>–</w:t>
      </w:r>
      <w:r>
        <w:rPr>
          <w:i/>
          <w:spacing w:val="-5"/>
          <w:sz w:val="20"/>
        </w:rPr>
        <w:t xml:space="preserve"> </w:t>
      </w:r>
      <w:r>
        <w:rPr>
          <w:i/>
          <w:sz w:val="20"/>
        </w:rPr>
        <w:t>Anti‐Dumping</w:t>
      </w:r>
      <w:r>
        <w:rPr>
          <w:i/>
          <w:spacing w:val="-4"/>
          <w:sz w:val="20"/>
        </w:rPr>
        <w:t xml:space="preserve"> </w:t>
      </w:r>
      <w:r>
        <w:rPr>
          <w:i/>
          <w:sz w:val="20"/>
        </w:rPr>
        <w:t>and</w:t>
      </w:r>
      <w:r>
        <w:rPr>
          <w:i/>
          <w:spacing w:val="-5"/>
          <w:sz w:val="20"/>
        </w:rPr>
        <w:t xml:space="preserve"> </w:t>
      </w:r>
      <w:r>
        <w:rPr>
          <w:i/>
          <w:sz w:val="20"/>
        </w:rPr>
        <w:t>Countervailing</w:t>
      </w:r>
      <w:r>
        <w:rPr>
          <w:i/>
          <w:spacing w:val="-5"/>
          <w:sz w:val="20"/>
        </w:rPr>
        <w:t xml:space="preserve"> </w:t>
      </w:r>
      <w:r>
        <w:rPr>
          <w:i/>
          <w:sz w:val="20"/>
        </w:rPr>
        <w:t>Duty</w:t>
      </w:r>
      <w:r>
        <w:rPr>
          <w:i/>
          <w:spacing w:val="-4"/>
          <w:sz w:val="20"/>
        </w:rPr>
        <w:t xml:space="preserve"> </w:t>
      </w:r>
      <w:r>
        <w:rPr>
          <w:i/>
          <w:spacing w:val="-2"/>
          <w:sz w:val="20"/>
        </w:rPr>
        <w:t>Measures</w:t>
      </w:r>
      <w:r>
        <w:rPr>
          <w:i/>
          <w:sz w:val="20"/>
        </w:rPr>
        <w:tab/>
      </w:r>
      <w:r>
        <w:rPr>
          <w:sz w:val="20"/>
        </w:rPr>
        <w:t>Australia's</w:t>
      </w:r>
      <w:r>
        <w:rPr>
          <w:spacing w:val="-7"/>
          <w:sz w:val="20"/>
        </w:rPr>
        <w:t xml:space="preserve"> </w:t>
      </w:r>
      <w:r>
        <w:rPr>
          <w:sz w:val="20"/>
        </w:rPr>
        <w:t>First</w:t>
      </w:r>
      <w:r>
        <w:rPr>
          <w:spacing w:val="-2"/>
          <w:sz w:val="20"/>
        </w:rPr>
        <w:t xml:space="preserve"> </w:t>
      </w:r>
      <w:r>
        <w:rPr>
          <w:sz w:val="20"/>
        </w:rPr>
        <w:t>Written</w:t>
      </w:r>
      <w:r>
        <w:rPr>
          <w:spacing w:val="-2"/>
          <w:sz w:val="20"/>
        </w:rPr>
        <w:t xml:space="preserve"> Submission</w:t>
      </w:r>
    </w:p>
    <w:p w14:paraId="51DE8B58" w14:textId="77777777" w:rsidR="0010369C" w:rsidRDefault="008E43AE">
      <w:pPr>
        <w:tabs>
          <w:tab w:val="left" w:pos="8227"/>
        </w:tabs>
        <w:spacing w:before="1"/>
        <w:ind w:left="239"/>
        <w:rPr>
          <w:sz w:val="20"/>
        </w:rPr>
      </w:pPr>
      <w:r>
        <w:rPr>
          <w:i/>
          <w:sz w:val="20"/>
        </w:rPr>
        <w:t>on</w:t>
      </w:r>
      <w:r>
        <w:rPr>
          <w:i/>
          <w:spacing w:val="-1"/>
          <w:sz w:val="20"/>
        </w:rPr>
        <w:t xml:space="preserve"> </w:t>
      </w:r>
      <w:r>
        <w:rPr>
          <w:i/>
          <w:sz w:val="20"/>
        </w:rPr>
        <w:t>Wine</w:t>
      </w:r>
      <w:r>
        <w:rPr>
          <w:i/>
          <w:spacing w:val="-1"/>
          <w:sz w:val="20"/>
        </w:rPr>
        <w:t xml:space="preserve"> </w:t>
      </w:r>
      <w:r>
        <w:rPr>
          <w:i/>
          <w:sz w:val="20"/>
        </w:rPr>
        <w:t>from</w:t>
      </w:r>
      <w:r>
        <w:rPr>
          <w:i/>
          <w:spacing w:val="-3"/>
          <w:sz w:val="20"/>
        </w:rPr>
        <w:t xml:space="preserve"> </w:t>
      </w:r>
      <w:r>
        <w:rPr>
          <w:i/>
          <w:sz w:val="20"/>
        </w:rPr>
        <w:t>Australia</w:t>
      </w:r>
      <w:r>
        <w:rPr>
          <w:i/>
          <w:spacing w:val="-1"/>
          <w:sz w:val="20"/>
        </w:rPr>
        <w:t xml:space="preserve"> </w:t>
      </w:r>
      <w:r>
        <w:rPr>
          <w:spacing w:val="-2"/>
          <w:sz w:val="20"/>
        </w:rPr>
        <w:t>(DS602)</w:t>
      </w:r>
      <w:r>
        <w:rPr>
          <w:sz w:val="20"/>
        </w:rPr>
        <w:tab/>
        <w:t>29</w:t>
      </w:r>
      <w:r>
        <w:rPr>
          <w:spacing w:val="-1"/>
          <w:sz w:val="20"/>
        </w:rPr>
        <w:t xml:space="preserve"> </w:t>
      </w:r>
      <w:r>
        <w:rPr>
          <w:sz w:val="20"/>
        </w:rPr>
        <w:t>April</w:t>
      </w:r>
      <w:r>
        <w:rPr>
          <w:spacing w:val="-2"/>
          <w:sz w:val="20"/>
        </w:rPr>
        <w:t xml:space="preserve"> </w:t>
      </w:r>
      <w:r>
        <w:rPr>
          <w:spacing w:val="-4"/>
          <w:sz w:val="20"/>
        </w:rPr>
        <w:t>2022</w:t>
      </w:r>
    </w:p>
    <w:p w14:paraId="51DE8B59" w14:textId="77777777" w:rsidR="0010369C" w:rsidRDefault="008E43AE">
      <w:pPr>
        <w:pStyle w:val="ListParagraph"/>
        <w:numPr>
          <w:ilvl w:val="1"/>
          <w:numId w:val="75"/>
        </w:numPr>
        <w:tabs>
          <w:tab w:val="left" w:pos="1939"/>
          <w:tab w:val="left" w:pos="1940"/>
        </w:tabs>
        <w:spacing w:before="35"/>
        <w:ind w:left="1939"/>
        <w:jc w:val="left"/>
        <w:rPr>
          <w:b/>
          <w:sz w:val="28"/>
        </w:rPr>
      </w:pPr>
      <w:r>
        <w:rPr>
          <w:b/>
          <w:sz w:val="28"/>
        </w:rPr>
        <w:t>A</w:t>
      </w:r>
      <w:r>
        <w:rPr>
          <w:b/>
        </w:rPr>
        <w:t>LL</w:t>
      </w:r>
      <w:r>
        <w:rPr>
          <w:b/>
          <w:spacing w:val="-6"/>
        </w:rPr>
        <w:t xml:space="preserve"> </w:t>
      </w:r>
      <w:r>
        <w:rPr>
          <w:b/>
          <w:spacing w:val="-2"/>
          <w:sz w:val="28"/>
        </w:rPr>
        <w:t>O</w:t>
      </w:r>
      <w:r>
        <w:rPr>
          <w:b/>
          <w:spacing w:val="-2"/>
        </w:rPr>
        <w:t>THERS</w:t>
      </w:r>
    </w:p>
    <w:p w14:paraId="51DE8B5A" w14:textId="77777777" w:rsidR="0010369C" w:rsidRDefault="0010369C">
      <w:pPr>
        <w:pStyle w:val="BodyText"/>
        <w:spacing w:before="9"/>
        <w:rPr>
          <w:b/>
          <w:sz w:val="22"/>
        </w:rPr>
      </w:pPr>
    </w:p>
    <w:p w14:paraId="51DE8B5B" w14:textId="77777777" w:rsidR="0010369C" w:rsidRDefault="008E43AE">
      <w:pPr>
        <w:pStyle w:val="BodyText"/>
        <w:spacing w:before="52" w:line="360" w:lineRule="auto"/>
        <w:ind w:left="238" w:right="612" w:firstLine="850"/>
        <w:jc w:val="both"/>
      </w:pPr>
      <w:r>
        <w:rPr>
          <w:noProof/>
        </w:rPr>
        <w:drawing>
          <wp:anchor distT="0" distB="0" distL="0" distR="0" simplePos="0" relativeHeight="251126272" behindDoc="1" locked="0" layoutInCell="1" allowOverlap="1" wp14:anchorId="51DEA394" wp14:editId="51DEA395">
            <wp:simplePos x="0" y="0"/>
            <wp:positionH relativeFrom="page">
              <wp:posOffset>899160</wp:posOffset>
            </wp:positionH>
            <wp:positionV relativeFrom="paragraph">
              <wp:posOffset>80595</wp:posOffset>
            </wp:positionV>
            <wp:extent cx="265175" cy="103631"/>
            <wp:effectExtent l="0" t="0" r="0" b="0"/>
            <wp:wrapNone/>
            <wp:docPr id="969" name="image4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 name="image495.png"/>
                    <pic:cNvPicPr/>
                  </pic:nvPicPr>
                  <pic:blipFill>
                    <a:blip r:embed="rId649" cstate="print"/>
                    <a:stretch>
                      <a:fillRect/>
                    </a:stretch>
                  </pic:blipFill>
                  <pic:spPr>
                    <a:xfrm>
                      <a:off x="0" y="0"/>
                      <a:ext cx="265175" cy="103631"/>
                    </a:xfrm>
                    <a:prstGeom prst="rect">
                      <a:avLst/>
                    </a:prstGeom>
                  </pic:spPr>
                </pic:pic>
              </a:graphicData>
            </a:graphic>
          </wp:anchor>
        </w:drawing>
      </w:r>
      <w:r>
        <w:t>MOFCOM identified a dumping margin of 218.4% for</w:t>
      </w:r>
      <w:r>
        <w:rPr>
          <w:spacing w:val="-1"/>
        </w:rPr>
        <w:t xml:space="preserve"> </w:t>
      </w:r>
      <w:r>
        <w:t>the category of producers described</w:t>
      </w:r>
      <w:r>
        <w:rPr>
          <w:spacing w:val="-13"/>
        </w:rPr>
        <w:t xml:space="preserve"> </w:t>
      </w:r>
      <w:r>
        <w:t>as</w:t>
      </w:r>
      <w:r>
        <w:rPr>
          <w:spacing w:val="-13"/>
        </w:rPr>
        <w:t xml:space="preserve"> </w:t>
      </w:r>
      <w:r>
        <w:t>"All</w:t>
      </w:r>
      <w:r>
        <w:rPr>
          <w:spacing w:val="-12"/>
        </w:rPr>
        <w:t xml:space="preserve"> </w:t>
      </w:r>
      <w:r>
        <w:t>Others,"</w:t>
      </w:r>
      <w:r>
        <w:rPr>
          <w:spacing w:val="-12"/>
        </w:rPr>
        <w:t xml:space="preserve"> </w:t>
      </w:r>
      <w:r>
        <w:t>which</w:t>
      </w:r>
      <w:r>
        <w:rPr>
          <w:spacing w:val="-13"/>
        </w:rPr>
        <w:t xml:space="preserve"> </w:t>
      </w:r>
      <w:r>
        <w:t>were</w:t>
      </w:r>
      <w:r>
        <w:rPr>
          <w:spacing w:val="-11"/>
        </w:rPr>
        <w:t xml:space="preserve"> </w:t>
      </w:r>
      <w:r>
        <w:t>the</w:t>
      </w:r>
      <w:r>
        <w:rPr>
          <w:spacing w:val="-12"/>
        </w:rPr>
        <w:t xml:space="preserve"> </w:t>
      </w:r>
      <w:r>
        <w:t>companies</w:t>
      </w:r>
      <w:r>
        <w:rPr>
          <w:spacing w:val="-13"/>
        </w:rPr>
        <w:t xml:space="preserve"> </w:t>
      </w:r>
      <w:r>
        <w:t>that</w:t>
      </w:r>
      <w:r>
        <w:rPr>
          <w:spacing w:val="-12"/>
        </w:rPr>
        <w:t xml:space="preserve"> </w:t>
      </w:r>
      <w:r>
        <w:t>MOFCOM</w:t>
      </w:r>
      <w:r>
        <w:rPr>
          <w:spacing w:val="-12"/>
        </w:rPr>
        <w:t xml:space="preserve"> </w:t>
      </w:r>
      <w:r>
        <w:t>deemed</w:t>
      </w:r>
      <w:r>
        <w:rPr>
          <w:spacing w:val="-12"/>
        </w:rPr>
        <w:t xml:space="preserve"> </w:t>
      </w:r>
      <w:r>
        <w:t>to</w:t>
      </w:r>
      <w:r>
        <w:rPr>
          <w:spacing w:val="-12"/>
        </w:rPr>
        <w:t xml:space="preserve"> </w:t>
      </w:r>
      <w:r>
        <w:t>have</w:t>
      </w:r>
      <w:r>
        <w:rPr>
          <w:spacing w:val="-13"/>
        </w:rPr>
        <w:t xml:space="preserve"> </w:t>
      </w:r>
      <w:r>
        <w:t>not</w:t>
      </w:r>
      <w:r>
        <w:rPr>
          <w:spacing w:val="-12"/>
        </w:rPr>
        <w:t xml:space="preserve"> </w:t>
      </w:r>
      <w:r>
        <w:t>been cooperative</w:t>
      </w:r>
      <w:r>
        <w:rPr>
          <w:spacing w:val="-5"/>
        </w:rPr>
        <w:t xml:space="preserve"> </w:t>
      </w:r>
      <w:r>
        <w:t>because</w:t>
      </w:r>
      <w:r>
        <w:rPr>
          <w:spacing w:val="-2"/>
        </w:rPr>
        <w:t xml:space="preserve"> </w:t>
      </w:r>
      <w:r>
        <w:t>they</w:t>
      </w:r>
      <w:r>
        <w:rPr>
          <w:spacing w:val="-2"/>
        </w:rPr>
        <w:t xml:space="preserve"> </w:t>
      </w:r>
      <w:r>
        <w:t>did</w:t>
      </w:r>
      <w:r>
        <w:rPr>
          <w:spacing w:val="-3"/>
        </w:rPr>
        <w:t xml:space="preserve"> </w:t>
      </w:r>
      <w:r>
        <w:t>not</w:t>
      </w:r>
      <w:r>
        <w:rPr>
          <w:spacing w:val="-9"/>
        </w:rPr>
        <w:t xml:space="preserve"> </w:t>
      </w:r>
      <w:r>
        <w:t>complete</w:t>
      </w:r>
      <w:r>
        <w:rPr>
          <w:spacing w:val="41"/>
        </w:rPr>
        <w:t xml:space="preserve"> </w:t>
      </w:r>
      <w:r>
        <w:t>the</w:t>
      </w:r>
      <w:r>
        <w:rPr>
          <w:spacing w:val="-3"/>
        </w:rPr>
        <w:t xml:space="preserve"> </w:t>
      </w:r>
      <w:r>
        <w:t>registration</w:t>
      </w:r>
      <w:r>
        <w:rPr>
          <w:spacing w:val="-5"/>
        </w:rPr>
        <w:t xml:space="preserve"> </w:t>
      </w:r>
      <w:r>
        <w:t>form</w:t>
      </w:r>
      <w:r>
        <w:rPr>
          <w:spacing w:val="-3"/>
        </w:rPr>
        <w:t xml:space="preserve"> </w:t>
      </w:r>
      <w:r>
        <w:t>issued</w:t>
      </w:r>
      <w:r>
        <w:rPr>
          <w:spacing w:val="-4"/>
        </w:rPr>
        <w:t xml:space="preserve"> </w:t>
      </w:r>
      <w:r>
        <w:t>by</w:t>
      </w:r>
      <w:r>
        <w:rPr>
          <w:spacing w:val="-2"/>
        </w:rPr>
        <w:t xml:space="preserve"> </w:t>
      </w:r>
      <w:r>
        <w:t>MOFCOM</w:t>
      </w:r>
      <w:r>
        <w:rPr>
          <w:spacing w:val="-2"/>
        </w:rPr>
        <w:t xml:space="preserve"> within</w:t>
      </w:r>
    </w:p>
    <w:p w14:paraId="51DE8B5C" w14:textId="77777777" w:rsidR="0010369C" w:rsidRDefault="008E43AE">
      <w:pPr>
        <w:pStyle w:val="BodyText"/>
        <w:spacing w:line="360" w:lineRule="auto"/>
        <w:ind w:left="237" w:right="613"/>
        <w:jc w:val="both"/>
      </w:pPr>
      <w:r>
        <w:t>20 days of the initiation of the investigation and did not respond to any other questionnaires.</w:t>
      </w:r>
      <w:r>
        <w:rPr>
          <w:vertAlign w:val="superscript"/>
        </w:rPr>
        <w:t>525</w:t>
      </w:r>
      <w:r>
        <w:t xml:space="preserve"> MOFCOM</w:t>
      </w:r>
      <w:r>
        <w:rPr>
          <w:spacing w:val="40"/>
        </w:rPr>
        <w:t xml:space="preserve"> </w:t>
      </w:r>
      <w:r>
        <w:t>explained that the dumping margins for these producers were determined on the basis of "best information available" by a comparison of "the weighted a</w:t>
      </w:r>
      <w:r>
        <w:t xml:space="preserve">verage normal value with the weighted average export price to obtain the dumping </w:t>
      </w:r>
      <w:r>
        <w:rPr>
          <w:spacing w:val="-2"/>
        </w:rPr>
        <w:t>margin".</w:t>
      </w:r>
      <w:r>
        <w:rPr>
          <w:spacing w:val="-2"/>
          <w:vertAlign w:val="superscript"/>
        </w:rPr>
        <w:t>526</w:t>
      </w:r>
    </w:p>
    <w:p w14:paraId="51DE8B5D" w14:textId="77777777" w:rsidR="0010369C" w:rsidRDefault="0010369C">
      <w:pPr>
        <w:pStyle w:val="BodyText"/>
        <w:spacing w:before="11"/>
        <w:rPr>
          <w:sz w:val="8"/>
        </w:rPr>
      </w:pPr>
    </w:p>
    <w:p w14:paraId="51DE8B5E" w14:textId="77777777" w:rsidR="0010369C" w:rsidRDefault="008E43AE">
      <w:pPr>
        <w:pStyle w:val="BodyText"/>
        <w:spacing w:before="51" w:line="360" w:lineRule="auto"/>
        <w:ind w:left="238" w:right="613" w:firstLine="851"/>
        <w:jc w:val="both"/>
      </w:pPr>
      <w:r>
        <w:rPr>
          <w:noProof/>
        </w:rPr>
        <w:drawing>
          <wp:anchor distT="0" distB="0" distL="0" distR="0" simplePos="0" relativeHeight="251127296" behindDoc="1" locked="0" layoutInCell="1" allowOverlap="1" wp14:anchorId="51DEA396" wp14:editId="51DEA397">
            <wp:simplePos x="0" y="0"/>
            <wp:positionH relativeFrom="page">
              <wp:posOffset>899160</wp:posOffset>
            </wp:positionH>
            <wp:positionV relativeFrom="paragraph">
              <wp:posOffset>80722</wp:posOffset>
            </wp:positionV>
            <wp:extent cx="265175" cy="103631"/>
            <wp:effectExtent l="0" t="0" r="0" b="0"/>
            <wp:wrapNone/>
            <wp:docPr id="971" name="image4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 name="image496.png"/>
                    <pic:cNvPicPr/>
                  </pic:nvPicPr>
                  <pic:blipFill>
                    <a:blip r:embed="rId650" cstate="print"/>
                    <a:stretch>
                      <a:fillRect/>
                    </a:stretch>
                  </pic:blipFill>
                  <pic:spPr>
                    <a:xfrm>
                      <a:off x="0" y="0"/>
                      <a:ext cx="265175" cy="103631"/>
                    </a:xfrm>
                    <a:prstGeom prst="rect">
                      <a:avLst/>
                    </a:prstGeom>
                  </pic:spPr>
                </pic:pic>
              </a:graphicData>
            </a:graphic>
          </wp:anchor>
        </w:drawing>
      </w:r>
      <w:r>
        <w:t>No explanation was provided about the weighting or weightings used. Nor was an explanation provided as to why the margin calculated significantly exceeded not only the weighted</w:t>
      </w:r>
      <w:r>
        <w:rPr>
          <w:spacing w:val="-12"/>
        </w:rPr>
        <w:t xml:space="preserve"> </w:t>
      </w:r>
      <w:r>
        <w:t>average</w:t>
      </w:r>
      <w:r>
        <w:rPr>
          <w:spacing w:val="-12"/>
        </w:rPr>
        <w:t xml:space="preserve"> </w:t>
      </w:r>
      <w:r>
        <w:t>margin</w:t>
      </w:r>
      <w:r>
        <w:rPr>
          <w:spacing w:val="-11"/>
        </w:rPr>
        <w:t xml:space="preserve"> </w:t>
      </w:r>
      <w:r>
        <w:t>determined</w:t>
      </w:r>
      <w:r>
        <w:rPr>
          <w:spacing w:val="-10"/>
        </w:rPr>
        <w:t xml:space="preserve"> </w:t>
      </w:r>
      <w:r>
        <w:t>for</w:t>
      </w:r>
      <w:r>
        <w:rPr>
          <w:spacing w:val="-10"/>
        </w:rPr>
        <w:t xml:space="preserve"> </w:t>
      </w:r>
      <w:r>
        <w:t>the</w:t>
      </w:r>
      <w:r>
        <w:rPr>
          <w:spacing w:val="-10"/>
        </w:rPr>
        <w:t xml:space="preserve"> </w:t>
      </w:r>
      <w:r>
        <w:t>producers</w:t>
      </w:r>
      <w:r>
        <w:rPr>
          <w:spacing w:val="-10"/>
        </w:rPr>
        <w:t xml:space="preserve"> </w:t>
      </w:r>
      <w:r>
        <w:t>classified</w:t>
      </w:r>
      <w:r>
        <w:rPr>
          <w:spacing w:val="-12"/>
        </w:rPr>
        <w:t xml:space="preserve"> </w:t>
      </w:r>
      <w:r>
        <w:t>as</w:t>
      </w:r>
      <w:r>
        <w:rPr>
          <w:spacing w:val="-11"/>
        </w:rPr>
        <w:t xml:space="preserve"> </w:t>
      </w:r>
      <w:r>
        <w:t>"other</w:t>
      </w:r>
      <w:r>
        <w:rPr>
          <w:spacing w:val="-10"/>
        </w:rPr>
        <w:t xml:space="preserve"> </w:t>
      </w:r>
      <w:r>
        <w:t>cooperative</w:t>
      </w:r>
      <w:r>
        <w:rPr>
          <w:spacing w:val="-11"/>
        </w:rPr>
        <w:t xml:space="preserve"> </w:t>
      </w:r>
      <w:r>
        <w:t>in</w:t>
      </w:r>
      <w:r>
        <w:rPr>
          <w:spacing w:val="-11"/>
        </w:rPr>
        <w:t xml:space="preserve"> </w:t>
      </w:r>
      <w:r>
        <w:t>the investigation," but also the highest margin determined for any individual company.</w:t>
      </w:r>
    </w:p>
    <w:p w14:paraId="51DE8B5F" w14:textId="77777777" w:rsidR="0010369C" w:rsidRDefault="0010369C">
      <w:pPr>
        <w:pStyle w:val="BodyText"/>
        <w:spacing w:before="11"/>
        <w:rPr>
          <w:sz w:val="8"/>
        </w:rPr>
      </w:pPr>
    </w:p>
    <w:p w14:paraId="51DE8B60" w14:textId="77777777" w:rsidR="0010369C" w:rsidRDefault="008E43AE">
      <w:pPr>
        <w:pStyle w:val="BodyText"/>
        <w:spacing w:before="51" w:line="360" w:lineRule="auto"/>
        <w:ind w:left="237" w:right="612" w:firstLine="851"/>
        <w:jc w:val="both"/>
      </w:pPr>
      <w:r>
        <w:rPr>
          <w:noProof/>
        </w:rPr>
        <w:drawing>
          <wp:anchor distT="0" distB="0" distL="0" distR="0" simplePos="0" relativeHeight="251128320" behindDoc="1" locked="0" layoutInCell="1" allowOverlap="1" wp14:anchorId="51DEA398" wp14:editId="51DEA399">
            <wp:simplePos x="0" y="0"/>
            <wp:positionH relativeFrom="page">
              <wp:posOffset>899160</wp:posOffset>
            </wp:positionH>
            <wp:positionV relativeFrom="paragraph">
              <wp:posOffset>76150</wp:posOffset>
            </wp:positionV>
            <wp:extent cx="265175" cy="106679"/>
            <wp:effectExtent l="0" t="0" r="0" b="0"/>
            <wp:wrapNone/>
            <wp:docPr id="973" name="image4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 name="image497.png"/>
                    <pic:cNvPicPr/>
                  </pic:nvPicPr>
                  <pic:blipFill>
                    <a:blip r:embed="rId651" cstate="print"/>
                    <a:stretch>
                      <a:fillRect/>
                    </a:stretch>
                  </pic:blipFill>
                  <pic:spPr>
                    <a:xfrm>
                      <a:off x="0" y="0"/>
                      <a:ext cx="265175" cy="106679"/>
                    </a:xfrm>
                    <a:prstGeom prst="rect">
                      <a:avLst/>
                    </a:prstGeom>
                  </pic:spPr>
                </pic:pic>
              </a:graphicData>
            </a:graphic>
          </wp:anchor>
        </w:drawing>
      </w:r>
      <w:r>
        <w:t>To</w:t>
      </w:r>
      <w:r>
        <w:rPr>
          <w:spacing w:val="-5"/>
        </w:rPr>
        <w:t xml:space="preserve"> </w:t>
      </w:r>
      <w:r>
        <w:t>the</w:t>
      </w:r>
      <w:r>
        <w:rPr>
          <w:spacing w:val="-4"/>
        </w:rPr>
        <w:t xml:space="preserve"> </w:t>
      </w:r>
      <w:r>
        <w:t>extent</w:t>
      </w:r>
      <w:r>
        <w:rPr>
          <w:spacing w:val="-6"/>
        </w:rPr>
        <w:t xml:space="preserve"> </w:t>
      </w:r>
      <w:r>
        <w:t>that</w:t>
      </w:r>
      <w:r>
        <w:rPr>
          <w:spacing w:val="-5"/>
        </w:rPr>
        <w:t xml:space="preserve"> </w:t>
      </w:r>
      <w:r>
        <w:t>the</w:t>
      </w:r>
      <w:r>
        <w:rPr>
          <w:spacing w:val="-4"/>
        </w:rPr>
        <w:t xml:space="preserve"> </w:t>
      </w:r>
      <w:r>
        <w:t>weighted</w:t>
      </w:r>
      <w:r>
        <w:rPr>
          <w:spacing w:val="-5"/>
        </w:rPr>
        <w:t xml:space="preserve"> </w:t>
      </w:r>
      <w:r>
        <w:t>average</w:t>
      </w:r>
      <w:r>
        <w:rPr>
          <w:spacing w:val="-5"/>
        </w:rPr>
        <w:t xml:space="preserve"> </w:t>
      </w:r>
      <w:r>
        <w:t>normal</w:t>
      </w:r>
      <w:r>
        <w:rPr>
          <w:spacing w:val="-6"/>
        </w:rPr>
        <w:t xml:space="preserve"> </w:t>
      </w:r>
      <w:r>
        <w:t>value</w:t>
      </w:r>
      <w:r>
        <w:rPr>
          <w:spacing w:val="-5"/>
        </w:rPr>
        <w:t xml:space="preserve"> </w:t>
      </w:r>
      <w:r>
        <w:t>relied</w:t>
      </w:r>
      <w:r>
        <w:rPr>
          <w:spacing w:val="-7"/>
        </w:rPr>
        <w:t xml:space="preserve"> </w:t>
      </w:r>
      <w:r>
        <w:t>upon</w:t>
      </w:r>
      <w:r>
        <w:rPr>
          <w:spacing w:val="-5"/>
        </w:rPr>
        <w:t xml:space="preserve"> </w:t>
      </w:r>
      <w:r>
        <w:t>the</w:t>
      </w:r>
      <w:r>
        <w:rPr>
          <w:spacing w:val="-4"/>
        </w:rPr>
        <w:t xml:space="preserve"> </w:t>
      </w:r>
      <w:r>
        <w:t>normal</w:t>
      </w:r>
      <w:r>
        <w:rPr>
          <w:spacing w:val="-5"/>
        </w:rPr>
        <w:t xml:space="preserve"> </w:t>
      </w:r>
      <w:r>
        <w:t>values determined for the sampled companies and to the extent that the comparison between the weighted average normal value and weighted average export price was not fair, the errors discussed above in relation to Treasury Wines, Casella Wines and Swan Vin</w:t>
      </w:r>
      <w:r>
        <w:t>tage carried forward to the dumping margins for these producers.</w:t>
      </w:r>
    </w:p>
    <w:p w14:paraId="51DE8B61" w14:textId="77777777" w:rsidR="0010369C" w:rsidRDefault="0010369C">
      <w:pPr>
        <w:pStyle w:val="BodyText"/>
        <w:rPr>
          <w:sz w:val="9"/>
        </w:rPr>
      </w:pPr>
    </w:p>
    <w:p w14:paraId="51DE8B62" w14:textId="77777777" w:rsidR="0010369C" w:rsidRDefault="008E43AE">
      <w:pPr>
        <w:pStyle w:val="BodyText"/>
        <w:spacing w:before="51" w:line="360" w:lineRule="auto"/>
        <w:ind w:left="237" w:right="612" w:firstLine="851"/>
        <w:jc w:val="both"/>
      </w:pPr>
      <w:r>
        <w:rPr>
          <w:noProof/>
        </w:rPr>
        <w:drawing>
          <wp:anchor distT="0" distB="0" distL="0" distR="0" simplePos="0" relativeHeight="251129344" behindDoc="1" locked="0" layoutInCell="1" allowOverlap="1" wp14:anchorId="51DEA39A" wp14:editId="51DEA39B">
            <wp:simplePos x="0" y="0"/>
            <wp:positionH relativeFrom="page">
              <wp:posOffset>899160</wp:posOffset>
            </wp:positionH>
            <wp:positionV relativeFrom="paragraph">
              <wp:posOffset>81315</wp:posOffset>
            </wp:positionV>
            <wp:extent cx="265175" cy="100753"/>
            <wp:effectExtent l="0" t="0" r="0" b="0"/>
            <wp:wrapNone/>
            <wp:docPr id="975" name="image4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 name="image498.png"/>
                    <pic:cNvPicPr/>
                  </pic:nvPicPr>
                  <pic:blipFill>
                    <a:blip r:embed="rId652" cstate="print"/>
                    <a:stretch>
                      <a:fillRect/>
                    </a:stretch>
                  </pic:blipFill>
                  <pic:spPr>
                    <a:xfrm>
                      <a:off x="0" y="0"/>
                      <a:ext cx="265175" cy="100753"/>
                    </a:xfrm>
                    <a:prstGeom prst="rect">
                      <a:avLst/>
                    </a:prstGeom>
                  </pic:spPr>
                </pic:pic>
              </a:graphicData>
            </a:graphic>
          </wp:anchor>
        </w:drawing>
      </w:r>
      <w:r>
        <w:t xml:space="preserve">Further, irrespective of whether the weighted average normal value relied upon the normal values determined for the sampled companies, Australia submits that MOFCOM's determination of this </w:t>
      </w:r>
      <w:r>
        <w:t>dumping margin was inconsistent with the obligations imposed by Article 6.8 and Annex II. Australia does not know, because MOFCOM did not divulge, the information</w:t>
      </w:r>
      <w:r>
        <w:rPr>
          <w:spacing w:val="-5"/>
        </w:rPr>
        <w:t xml:space="preserve"> </w:t>
      </w:r>
      <w:r>
        <w:t>that</w:t>
      </w:r>
      <w:r>
        <w:rPr>
          <w:spacing w:val="-5"/>
        </w:rPr>
        <w:t xml:space="preserve"> </w:t>
      </w:r>
      <w:r>
        <w:t>was</w:t>
      </w:r>
      <w:r>
        <w:rPr>
          <w:spacing w:val="-5"/>
        </w:rPr>
        <w:t xml:space="preserve"> </w:t>
      </w:r>
      <w:r>
        <w:t>relied</w:t>
      </w:r>
      <w:r>
        <w:rPr>
          <w:spacing w:val="-6"/>
        </w:rPr>
        <w:t xml:space="preserve"> </w:t>
      </w:r>
      <w:r>
        <w:t>upon</w:t>
      </w:r>
      <w:r>
        <w:rPr>
          <w:spacing w:val="-5"/>
        </w:rPr>
        <w:t xml:space="preserve"> </w:t>
      </w:r>
      <w:r>
        <w:t>to</w:t>
      </w:r>
      <w:r>
        <w:rPr>
          <w:spacing w:val="-7"/>
        </w:rPr>
        <w:t xml:space="preserve"> </w:t>
      </w:r>
      <w:r>
        <w:t>determine</w:t>
      </w:r>
      <w:r>
        <w:rPr>
          <w:spacing w:val="-4"/>
        </w:rPr>
        <w:t xml:space="preserve"> </w:t>
      </w:r>
      <w:r>
        <w:t>a</w:t>
      </w:r>
      <w:r>
        <w:rPr>
          <w:spacing w:val="-6"/>
        </w:rPr>
        <w:t xml:space="preserve"> </w:t>
      </w:r>
      <w:r>
        <w:t>margin</w:t>
      </w:r>
      <w:r>
        <w:rPr>
          <w:spacing w:val="-5"/>
        </w:rPr>
        <w:t xml:space="preserve"> </w:t>
      </w:r>
      <w:r>
        <w:t>of</w:t>
      </w:r>
      <w:r>
        <w:rPr>
          <w:spacing w:val="-5"/>
        </w:rPr>
        <w:t xml:space="preserve"> </w:t>
      </w:r>
      <w:r>
        <w:t>218.4%.</w:t>
      </w:r>
      <w:r>
        <w:rPr>
          <w:spacing w:val="-5"/>
        </w:rPr>
        <w:t xml:space="preserve"> </w:t>
      </w:r>
      <w:r>
        <w:t>But</w:t>
      </w:r>
      <w:r>
        <w:rPr>
          <w:spacing w:val="-5"/>
        </w:rPr>
        <w:t xml:space="preserve"> </w:t>
      </w:r>
      <w:r>
        <w:t>the</w:t>
      </w:r>
      <w:r>
        <w:rPr>
          <w:spacing w:val="-4"/>
        </w:rPr>
        <w:t xml:space="preserve"> </w:t>
      </w:r>
      <w:r>
        <w:t>bare</w:t>
      </w:r>
      <w:r>
        <w:rPr>
          <w:spacing w:val="-6"/>
        </w:rPr>
        <w:t xml:space="preserve"> </w:t>
      </w:r>
      <w:r>
        <w:t>fact</w:t>
      </w:r>
      <w:r>
        <w:rPr>
          <w:spacing w:val="-6"/>
        </w:rPr>
        <w:t xml:space="preserve"> </w:t>
      </w:r>
      <w:r>
        <w:t>that</w:t>
      </w:r>
      <w:r>
        <w:rPr>
          <w:spacing w:val="-5"/>
        </w:rPr>
        <w:t xml:space="preserve"> </w:t>
      </w:r>
      <w:r>
        <w:t>this rate</w:t>
      </w:r>
      <w:r>
        <w:rPr>
          <w:spacing w:val="-3"/>
        </w:rPr>
        <w:t xml:space="preserve"> </w:t>
      </w:r>
      <w:r>
        <w:t>signif</w:t>
      </w:r>
      <w:r>
        <w:t>icantly</w:t>
      </w:r>
      <w:r>
        <w:rPr>
          <w:spacing w:val="-3"/>
        </w:rPr>
        <w:t xml:space="preserve"> </w:t>
      </w:r>
      <w:r>
        <w:t>exceeds</w:t>
      </w:r>
      <w:r>
        <w:rPr>
          <w:spacing w:val="-5"/>
        </w:rPr>
        <w:t xml:space="preserve"> </w:t>
      </w:r>
      <w:r>
        <w:t>the</w:t>
      </w:r>
      <w:r>
        <w:rPr>
          <w:spacing w:val="-3"/>
        </w:rPr>
        <w:t xml:space="preserve"> </w:t>
      </w:r>
      <w:r>
        <w:t>highest</w:t>
      </w:r>
      <w:r>
        <w:rPr>
          <w:spacing w:val="-3"/>
        </w:rPr>
        <w:t xml:space="preserve"> </w:t>
      </w:r>
      <w:r>
        <w:t>margin</w:t>
      </w:r>
      <w:r>
        <w:rPr>
          <w:spacing w:val="-4"/>
        </w:rPr>
        <w:t xml:space="preserve"> </w:t>
      </w:r>
      <w:r>
        <w:t>determined</w:t>
      </w:r>
      <w:r>
        <w:rPr>
          <w:spacing w:val="-4"/>
        </w:rPr>
        <w:t xml:space="preserve"> </w:t>
      </w:r>
      <w:r>
        <w:t>for</w:t>
      </w:r>
      <w:r>
        <w:rPr>
          <w:spacing w:val="-3"/>
        </w:rPr>
        <w:t xml:space="preserve"> </w:t>
      </w:r>
      <w:r>
        <w:t>any</w:t>
      </w:r>
      <w:r>
        <w:rPr>
          <w:spacing w:val="-3"/>
        </w:rPr>
        <w:t xml:space="preserve"> </w:t>
      </w:r>
      <w:r>
        <w:t>individual</w:t>
      </w:r>
      <w:r>
        <w:rPr>
          <w:spacing w:val="-3"/>
        </w:rPr>
        <w:t xml:space="preserve"> </w:t>
      </w:r>
      <w:r>
        <w:t>company</w:t>
      </w:r>
      <w:r>
        <w:rPr>
          <w:spacing w:val="-3"/>
        </w:rPr>
        <w:t xml:space="preserve"> </w:t>
      </w:r>
      <w:r>
        <w:t>(175.6% for</w:t>
      </w:r>
      <w:r>
        <w:rPr>
          <w:spacing w:val="-2"/>
        </w:rPr>
        <w:t xml:space="preserve"> </w:t>
      </w:r>
      <w:r>
        <w:t>Treasury</w:t>
      </w:r>
      <w:r>
        <w:rPr>
          <w:spacing w:val="-2"/>
        </w:rPr>
        <w:t xml:space="preserve"> </w:t>
      </w:r>
      <w:r>
        <w:t>Wines)</w:t>
      </w:r>
      <w:r>
        <w:rPr>
          <w:spacing w:val="-2"/>
        </w:rPr>
        <w:t xml:space="preserve"> </w:t>
      </w:r>
      <w:r>
        <w:t>and</w:t>
      </w:r>
      <w:r>
        <w:rPr>
          <w:spacing w:val="-4"/>
        </w:rPr>
        <w:t xml:space="preserve"> </w:t>
      </w:r>
      <w:r>
        <w:t>the</w:t>
      </w:r>
      <w:r>
        <w:rPr>
          <w:spacing w:val="-2"/>
        </w:rPr>
        <w:t xml:space="preserve"> </w:t>
      </w:r>
      <w:r>
        <w:t>weighted</w:t>
      </w:r>
      <w:r>
        <w:rPr>
          <w:spacing w:val="-2"/>
        </w:rPr>
        <w:t xml:space="preserve"> </w:t>
      </w:r>
      <w:r>
        <w:t>average</w:t>
      </w:r>
      <w:r>
        <w:rPr>
          <w:spacing w:val="-3"/>
        </w:rPr>
        <w:t xml:space="preserve"> </w:t>
      </w:r>
      <w:r>
        <w:t>margin</w:t>
      </w:r>
      <w:r>
        <w:rPr>
          <w:spacing w:val="-3"/>
        </w:rPr>
        <w:t xml:space="preserve"> </w:t>
      </w:r>
      <w:r>
        <w:t>(167.1%)</w:t>
      </w:r>
      <w:r>
        <w:rPr>
          <w:spacing w:val="-2"/>
        </w:rPr>
        <w:t xml:space="preserve"> </w:t>
      </w:r>
      <w:r>
        <w:t>appears</w:t>
      </w:r>
      <w:r>
        <w:rPr>
          <w:spacing w:val="-3"/>
        </w:rPr>
        <w:t xml:space="preserve"> </w:t>
      </w:r>
      <w:r>
        <w:t>irreconcilable</w:t>
      </w:r>
      <w:r>
        <w:rPr>
          <w:spacing w:val="-1"/>
        </w:rPr>
        <w:t xml:space="preserve"> </w:t>
      </w:r>
      <w:r>
        <w:t>with</w:t>
      </w:r>
      <w:r>
        <w:rPr>
          <w:spacing w:val="-3"/>
        </w:rPr>
        <w:t xml:space="preserve"> </w:t>
      </w:r>
      <w:r>
        <w:t>it purportedly being based on weighted averages drawn from the sampled companies' data.</w:t>
      </w:r>
    </w:p>
    <w:p w14:paraId="51DE8B63" w14:textId="77777777" w:rsidR="0010369C" w:rsidRDefault="0010369C">
      <w:pPr>
        <w:pStyle w:val="BodyText"/>
        <w:rPr>
          <w:sz w:val="9"/>
        </w:rPr>
      </w:pPr>
    </w:p>
    <w:p w14:paraId="51DE8B64" w14:textId="77777777" w:rsidR="0010369C" w:rsidRDefault="008E43AE">
      <w:pPr>
        <w:pStyle w:val="BodyText"/>
        <w:spacing w:before="52"/>
        <w:ind w:left="1089"/>
      </w:pPr>
      <w:r>
        <w:rPr>
          <w:noProof/>
        </w:rPr>
        <w:drawing>
          <wp:anchor distT="0" distB="0" distL="0" distR="0" simplePos="0" relativeHeight="250668544" behindDoc="0" locked="0" layoutInCell="1" allowOverlap="1" wp14:anchorId="51DEA39C" wp14:editId="51DEA39D">
            <wp:simplePos x="0" y="0"/>
            <wp:positionH relativeFrom="page">
              <wp:posOffset>899160</wp:posOffset>
            </wp:positionH>
            <wp:positionV relativeFrom="paragraph">
              <wp:posOffset>81949</wp:posOffset>
            </wp:positionV>
            <wp:extent cx="265175" cy="100753"/>
            <wp:effectExtent l="0" t="0" r="0" b="0"/>
            <wp:wrapNone/>
            <wp:docPr id="977" name="image4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 name="image499.png"/>
                    <pic:cNvPicPr/>
                  </pic:nvPicPr>
                  <pic:blipFill>
                    <a:blip r:embed="rId653" cstate="print"/>
                    <a:stretch>
                      <a:fillRect/>
                    </a:stretch>
                  </pic:blipFill>
                  <pic:spPr>
                    <a:xfrm>
                      <a:off x="0" y="0"/>
                      <a:ext cx="265175" cy="100753"/>
                    </a:xfrm>
                    <a:prstGeom prst="rect">
                      <a:avLst/>
                    </a:prstGeom>
                  </pic:spPr>
                </pic:pic>
              </a:graphicData>
            </a:graphic>
          </wp:anchor>
        </w:drawing>
      </w:r>
      <w:r>
        <w:t>Australia</w:t>
      </w:r>
      <w:r>
        <w:rPr>
          <w:spacing w:val="-8"/>
        </w:rPr>
        <w:t xml:space="preserve"> </w:t>
      </w:r>
      <w:r>
        <w:t>submits</w:t>
      </w:r>
      <w:r>
        <w:rPr>
          <w:spacing w:val="-7"/>
        </w:rPr>
        <w:t xml:space="preserve"> </w:t>
      </w:r>
      <w:r>
        <w:t>that</w:t>
      </w:r>
      <w:r>
        <w:rPr>
          <w:spacing w:val="-7"/>
        </w:rPr>
        <w:t xml:space="preserve"> </w:t>
      </w:r>
      <w:r>
        <w:t>the</w:t>
      </w:r>
      <w:r>
        <w:rPr>
          <w:spacing w:val="-6"/>
        </w:rPr>
        <w:t xml:space="preserve"> </w:t>
      </w:r>
      <w:r>
        <w:t>inference</w:t>
      </w:r>
      <w:r>
        <w:rPr>
          <w:spacing w:val="-6"/>
        </w:rPr>
        <w:t xml:space="preserve"> </w:t>
      </w:r>
      <w:r>
        <w:t>the</w:t>
      </w:r>
      <w:r>
        <w:rPr>
          <w:spacing w:val="-6"/>
        </w:rPr>
        <w:t xml:space="preserve"> </w:t>
      </w:r>
      <w:r>
        <w:t>Panel</w:t>
      </w:r>
      <w:r>
        <w:rPr>
          <w:spacing w:val="-7"/>
        </w:rPr>
        <w:t xml:space="preserve"> </w:t>
      </w:r>
      <w:r>
        <w:t>must</w:t>
      </w:r>
      <w:r>
        <w:rPr>
          <w:spacing w:val="-7"/>
        </w:rPr>
        <w:t xml:space="preserve"> </w:t>
      </w:r>
      <w:r>
        <w:t>draw</w:t>
      </w:r>
      <w:r>
        <w:rPr>
          <w:spacing w:val="-7"/>
        </w:rPr>
        <w:t xml:space="preserve"> </w:t>
      </w:r>
      <w:r>
        <w:t>is</w:t>
      </w:r>
      <w:r>
        <w:rPr>
          <w:spacing w:val="-7"/>
        </w:rPr>
        <w:t xml:space="preserve"> </w:t>
      </w:r>
      <w:r>
        <w:t>that</w:t>
      </w:r>
      <w:r>
        <w:rPr>
          <w:spacing w:val="-7"/>
        </w:rPr>
        <w:t xml:space="preserve"> </w:t>
      </w:r>
      <w:r>
        <w:t>MOFCOM</w:t>
      </w:r>
      <w:r>
        <w:rPr>
          <w:spacing w:val="-6"/>
        </w:rPr>
        <w:t xml:space="preserve"> </w:t>
      </w:r>
      <w:r>
        <w:rPr>
          <w:spacing w:val="-2"/>
        </w:rPr>
        <w:t>either:</w:t>
      </w:r>
    </w:p>
    <w:p w14:paraId="51DE8B65" w14:textId="77777777" w:rsidR="0010369C" w:rsidRDefault="0010369C">
      <w:pPr>
        <w:pStyle w:val="BodyText"/>
        <w:rPr>
          <w:sz w:val="20"/>
        </w:rPr>
      </w:pPr>
    </w:p>
    <w:p w14:paraId="51DE8B66" w14:textId="77777777" w:rsidR="0010369C" w:rsidRDefault="0010369C">
      <w:pPr>
        <w:pStyle w:val="BodyText"/>
        <w:rPr>
          <w:sz w:val="20"/>
        </w:rPr>
      </w:pPr>
    </w:p>
    <w:p w14:paraId="51DE8B67" w14:textId="77777777" w:rsidR="0010369C" w:rsidRDefault="008E43AE">
      <w:pPr>
        <w:pStyle w:val="BodyText"/>
        <w:spacing w:before="3"/>
        <w:rPr>
          <w:sz w:val="27"/>
        </w:rPr>
      </w:pPr>
      <w:r>
        <w:pict w14:anchorId="51DEA39E">
          <v:rect id="docshape935" o:spid="_x0000_s1415" style="position:absolute;margin-left:70.9pt;margin-top:17.85pt;width:2in;height:.8pt;z-index:-250872320;mso-wrap-distance-left:0;mso-wrap-distance-right:0;mso-position-horizontal-relative:page" fillcolor="black" stroked="f">
            <w10:wrap type="topAndBottom" anchorx="page"/>
          </v:rect>
        </w:pict>
      </w:r>
    </w:p>
    <w:p w14:paraId="51DE8B68" w14:textId="77777777" w:rsidR="0010369C" w:rsidRDefault="0010369C">
      <w:pPr>
        <w:rPr>
          <w:sz w:val="27"/>
        </w:rPr>
        <w:sectPr w:rsidR="0010369C">
          <w:headerReference w:type="default" r:id="rId654"/>
          <w:footerReference w:type="default" r:id="rId655"/>
          <w:pgSz w:w="11910" w:h="16840"/>
          <w:pgMar w:top="880" w:right="800" w:bottom="1820" w:left="1180" w:header="569" w:footer="1638" w:gutter="0"/>
          <w:cols w:space="720"/>
        </w:sectPr>
      </w:pPr>
    </w:p>
    <w:p w14:paraId="51DE8B69" w14:textId="77777777" w:rsidR="0010369C" w:rsidRDefault="008E43AE">
      <w:pPr>
        <w:tabs>
          <w:tab w:val="left" w:pos="6426"/>
        </w:tabs>
        <w:ind w:left="238"/>
        <w:rPr>
          <w:sz w:val="20"/>
        </w:rPr>
      </w:pPr>
      <w:r>
        <w:rPr>
          <w:i/>
          <w:sz w:val="20"/>
        </w:rPr>
        <w:lastRenderedPageBreak/>
        <w:t>China</w:t>
      </w:r>
      <w:r>
        <w:rPr>
          <w:i/>
          <w:spacing w:val="-5"/>
          <w:sz w:val="20"/>
        </w:rPr>
        <w:t xml:space="preserve"> </w:t>
      </w:r>
      <w:r>
        <w:rPr>
          <w:i/>
          <w:sz w:val="20"/>
        </w:rPr>
        <w:t>–</w:t>
      </w:r>
      <w:r>
        <w:rPr>
          <w:i/>
          <w:spacing w:val="-5"/>
          <w:sz w:val="20"/>
        </w:rPr>
        <w:t xml:space="preserve"> </w:t>
      </w:r>
      <w:r>
        <w:rPr>
          <w:i/>
          <w:sz w:val="20"/>
        </w:rPr>
        <w:t>Anti‐Dumping</w:t>
      </w:r>
      <w:r>
        <w:rPr>
          <w:i/>
          <w:spacing w:val="-4"/>
          <w:sz w:val="20"/>
        </w:rPr>
        <w:t xml:space="preserve"> </w:t>
      </w:r>
      <w:r>
        <w:rPr>
          <w:i/>
          <w:sz w:val="20"/>
        </w:rPr>
        <w:t>and</w:t>
      </w:r>
      <w:r>
        <w:rPr>
          <w:i/>
          <w:spacing w:val="-5"/>
          <w:sz w:val="20"/>
        </w:rPr>
        <w:t xml:space="preserve"> </w:t>
      </w:r>
      <w:r>
        <w:rPr>
          <w:i/>
          <w:sz w:val="20"/>
        </w:rPr>
        <w:t>Countervailing</w:t>
      </w:r>
      <w:r>
        <w:rPr>
          <w:i/>
          <w:spacing w:val="-5"/>
          <w:sz w:val="20"/>
        </w:rPr>
        <w:t xml:space="preserve"> </w:t>
      </w:r>
      <w:r>
        <w:rPr>
          <w:i/>
          <w:sz w:val="20"/>
        </w:rPr>
        <w:t>Duty</w:t>
      </w:r>
      <w:r>
        <w:rPr>
          <w:i/>
          <w:spacing w:val="-4"/>
          <w:sz w:val="20"/>
        </w:rPr>
        <w:t xml:space="preserve"> </w:t>
      </w:r>
      <w:r>
        <w:rPr>
          <w:i/>
          <w:spacing w:val="-2"/>
          <w:sz w:val="20"/>
        </w:rPr>
        <w:t>Measures</w:t>
      </w:r>
      <w:r>
        <w:rPr>
          <w:i/>
          <w:sz w:val="20"/>
        </w:rPr>
        <w:tab/>
      </w:r>
      <w:r>
        <w:rPr>
          <w:sz w:val="20"/>
        </w:rPr>
        <w:t>Australia's</w:t>
      </w:r>
      <w:r>
        <w:rPr>
          <w:spacing w:val="-7"/>
          <w:sz w:val="20"/>
        </w:rPr>
        <w:t xml:space="preserve"> </w:t>
      </w:r>
      <w:r>
        <w:rPr>
          <w:sz w:val="20"/>
        </w:rPr>
        <w:t>First</w:t>
      </w:r>
      <w:r>
        <w:rPr>
          <w:spacing w:val="-2"/>
          <w:sz w:val="20"/>
        </w:rPr>
        <w:t xml:space="preserve"> </w:t>
      </w:r>
      <w:r>
        <w:rPr>
          <w:sz w:val="20"/>
        </w:rPr>
        <w:t>Written</w:t>
      </w:r>
      <w:r>
        <w:rPr>
          <w:spacing w:val="-2"/>
          <w:sz w:val="20"/>
        </w:rPr>
        <w:t xml:space="preserve"> Submission</w:t>
      </w:r>
    </w:p>
    <w:p w14:paraId="51DE8B6A" w14:textId="77777777" w:rsidR="0010369C" w:rsidRDefault="008E43AE">
      <w:pPr>
        <w:tabs>
          <w:tab w:val="left" w:pos="8228"/>
        </w:tabs>
        <w:spacing w:before="1"/>
        <w:ind w:left="239"/>
        <w:rPr>
          <w:sz w:val="20"/>
        </w:rPr>
      </w:pPr>
      <w:r>
        <w:rPr>
          <w:i/>
          <w:sz w:val="20"/>
        </w:rPr>
        <w:t>on</w:t>
      </w:r>
      <w:r>
        <w:rPr>
          <w:i/>
          <w:spacing w:val="-1"/>
          <w:sz w:val="20"/>
        </w:rPr>
        <w:t xml:space="preserve"> </w:t>
      </w:r>
      <w:r>
        <w:rPr>
          <w:i/>
          <w:sz w:val="20"/>
        </w:rPr>
        <w:t>Wine</w:t>
      </w:r>
      <w:r>
        <w:rPr>
          <w:i/>
          <w:spacing w:val="-1"/>
          <w:sz w:val="20"/>
        </w:rPr>
        <w:t xml:space="preserve"> </w:t>
      </w:r>
      <w:r>
        <w:rPr>
          <w:i/>
          <w:sz w:val="20"/>
        </w:rPr>
        <w:t>from</w:t>
      </w:r>
      <w:r>
        <w:rPr>
          <w:i/>
          <w:spacing w:val="-3"/>
          <w:sz w:val="20"/>
        </w:rPr>
        <w:t xml:space="preserve"> </w:t>
      </w:r>
      <w:r>
        <w:rPr>
          <w:i/>
          <w:sz w:val="20"/>
        </w:rPr>
        <w:t>Australia</w:t>
      </w:r>
      <w:r>
        <w:rPr>
          <w:i/>
          <w:spacing w:val="-1"/>
          <w:sz w:val="20"/>
        </w:rPr>
        <w:t xml:space="preserve"> </w:t>
      </w:r>
      <w:r>
        <w:rPr>
          <w:spacing w:val="-2"/>
          <w:sz w:val="20"/>
        </w:rPr>
        <w:t>(DS602)</w:t>
      </w:r>
      <w:r>
        <w:rPr>
          <w:sz w:val="20"/>
        </w:rPr>
        <w:tab/>
        <w:t>29</w:t>
      </w:r>
      <w:r>
        <w:rPr>
          <w:spacing w:val="-1"/>
          <w:sz w:val="20"/>
        </w:rPr>
        <w:t xml:space="preserve"> </w:t>
      </w:r>
      <w:r>
        <w:rPr>
          <w:sz w:val="20"/>
        </w:rPr>
        <w:t>April</w:t>
      </w:r>
      <w:r>
        <w:rPr>
          <w:spacing w:val="-2"/>
          <w:sz w:val="20"/>
        </w:rPr>
        <w:t xml:space="preserve"> </w:t>
      </w:r>
      <w:r>
        <w:rPr>
          <w:spacing w:val="-4"/>
          <w:sz w:val="20"/>
        </w:rPr>
        <w:t>2022</w:t>
      </w:r>
    </w:p>
    <w:p w14:paraId="51DE8B6B" w14:textId="77777777" w:rsidR="0010369C" w:rsidRDefault="008E43AE">
      <w:pPr>
        <w:pStyle w:val="ListParagraph"/>
        <w:numPr>
          <w:ilvl w:val="0"/>
          <w:numId w:val="67"/>
        </w:numPr>
        <w:tabs>
          <w:tab w:val="left" w:pos="1940"/>
          <w:tab w:val="left" w:pos="1941"/>
        </w:tabs>
        <w:spacing w:before="35" w:line="357" w:lineRule="auto"/>
        <w:ind w:right="613" w:hanging="850"/>
        <w:rPr>
          <w:sz w:val="24"/>
        </w:rPr>
      </w:pPr>
      <w:r>
        <w:rPr>
          <w:sz w:val="24"/>
        </w:rPr>
        <w:t>made</w:t>
      </w:r>
      <w:r>
        <w:rPr>
          <w:spacing w:val="-5"/>
          <w:sz w:val="24"/>
        </w:rPr>
        <w:t xml:space="preserve"> </w:t>
      </w:r>
      <w:r>
        <w:rPr>
          <w:sz w:val="24"/>
        </w:rPr>
        <w:t>material</w:t>
      </w:r>
      <w:r>
        <w:rPr>
          <w:spacing w:val="-7"/>
          <w:sz w:val="24"/>
        </w:rPr>
        <w:t xml:space="preserve"> </w:t>
      </w:r>
      <w:r>
        <w:rPr>
          <w:sz w:val="24"/>
        </w:rPr>
        <w:t>errors</w:t>
      </w:r>
      <w:r>
        <w:rPr>
          <w:spacing w:val="-7"/>
          <w:sz w:val="24"/>
        </w:rPr>
        <w:t xml:space="preserve"> </w:t>
      </w:r>
      <w:r>
        <w:rPr>
          <w:sz w:val="24"/>
        </w:rPr>
        <w:t>in</w:t>
      </w:r>
      <w:r>
        <w:rPr>
          <w:spacing w:val="-7"/>
          <w:sz w:val="24"/>
        </w:rPr>
        <w:t xml:space="preserve"> </w:t>
      </w:r>
      <w:r>
        <w:rPr>
          <w:sz w:val="24"/>
        </w:rPr>
        <w:t>the</w:t>
      </w:r>
      <w:r>
        <w:rPr>
          <w:spacing w:val="-5"/>
          <w:sz w:val="24"/>
        </w:rPr>
        <w:t xml:space="preserve"> </w:t>
      </w:r>
      <w:r>
        <w:rPr>
          <w:sz w:val="24"/>
        </w:rPr>
        <w:t>selection</w:t>
      </w:r>
      <w:r>
        <w:rPr>
          <w:spacing w:val="-6"/>
          <w:sz w:val="24"/>
        </w:rPr>
        <w:t xml:space="preserve"> </w:t>
      </w:r>
      <w:r>
        <w:rPr>
          <w:sz w:val="24"/>
        </w:rPr>
        <w:t>of</w:t>
      </w:r>
      <w:r>
        <w:rPr>
          <w:spacing w:val="-6"/>
          <w:sz w:val="24"/>
        </w:rPr>
        <w:t xml:space="preserve"> </w:t>
      </w:r>
      <w:r>
        <w:rPr>
          <w:sz w:val="24"/>
        </w:rPr>
        <w:t>data</w:t>
      </w:r>
      <w:r>
        <w:rPr>
          <w:spacing w:val="-6"/>
          <w:sz w:val="24"/>
        </w:rPr>
        <w:t xml:space="preserve"> </w:t>
      </w:r>
      <w:r>
        <w:rPr>
          <w:sz w:val="24"/>
        </w:rPr>
        <w:t>identified</w:t>
      </w:r>
      <w:r>
        <w:rPr>
          <w:spacing w:val="-5"/>
          <w:sz w:val="24"/>
        </w:rPr>
        <w:t xml:space="preserve"> </w:t>
      </w:r>
      <w:r>
        <w:rPr>
          <w:sz w:val="24"/>
        </w:rPr>
        <w:t>as</w:t>
      </w:r>
      <w:r>
        <w:rPr>
          <w:spacing w:val="-6"/>
          <w:sz w:val="24"/>
        </w:rPr>
        <w:t xml:space="preserve"> </w:t>
      </w:r>
      <w:r>
        <w:rPr>
          <w:sz w:val="24"/>
        </w:rPr>
        <w:t>"best</w:t>
      </w:r>
      <w:r>
        <w:rPr>
          <w:spacing w:val="-6"/>
          <w:sz w:val="24"/>
        </w:rPr>
        <w:t xml:space="preserve"> </w:t>
      </w:r>
      <w:r>
        <w:rPr>
          <w:sz w:val="24"/>
        </w:rPr>
        <w:t xml:space="preserve">information available" or in the calculations conducted that led to an inexplicably high margin, but despite the obvious anomalous result chose not to verify </w:t>
      </w:r>
      <w:r>
        <w:rPr>
          <w:sz w:val="24"/>
        </w:rPr>
        <w:t xml:space="preserve">its </w:t>
      </w:r>
      <w:r>
        <w:rPr>
          <w:spacing w:val="-2"/>
          <w:sz w:val="24"/>
        </w:rPr>
        <w:t>calculations;</w:t>
      </w:r>
    </w:p>
    <w:p w14:paraId="51DE8B6C" w14:textId="77777777" w:rsidR="0010369C" w:rsidRDefault="008E43AE">
      <w:pPr>
        <w:pStyle w:val="ListParagraph"/>
        <w:numPr>
          <w:ilvl w:val="0"/>
          <w:numId w:val="67"/>
        </w:numPr>
        <w:tabs>
          <w:tab w:val="left" w:pos="1939"/>
          <w:tab w:val="left" w:pos="1940"/>
        </w:tabs>
        <w:spacing w:before="130" w:line="357" w:lineRule="auto"/>
        <w:ind w:left="1938" w:right="615"/>
        <w:rPr>
          <w:sz w:val="24"/>
        </w:rPr>
      </w:pPr>
      <w:r>
        <w:rPr>
          <w:sz w:val="24"/>
        </w:rPr>
        <w:t>deliberately,</w:t>
      </w:r>
      <w:r>
        <w:rPr>
          <w:spacing w:val="-14"/>
          <w:sz w:val="24"/>
        </w:rPr>
        <w:t xml:space="preserve"> </w:t>
      </w:r>
      <w:r>
        <w:rPr>
          <w:sz w:val="24"/>
        </w:rPr>
        <w:t>in</w:t>
      </w:r>
      <w:r>
        <w:rPr>
          <w:spacing w:val="-14"/>
          <w:sz w:val="24"/>
        </w:rPr>
        <w:t xml:space="preserve"> </w:t>
      </w:r>
      <w:r>
        <w:rPr>
          <w:sz w:val="24"/>
        </w:rPr>
        <w:t>its</w:t>
      </w:r>
      <w:r>
        <w:rPr>
          <w:spacing w:val="-13"/>
          <w:sz w:val="24"/>
        </w:rPr>
        <w:t xml:space="preserve"> </w:t>
      </w:r>
      <w:r>
        <w:rPr>
          <w:sz w:val="24"/>
        </w:rPr>
        <w:t>selection</w:t>
      </w:r>
      <w:r>
        <w:rPr>
          <w:spacing w:val="-14"/>
          <w:sz w:val="24"/>
        </w:rPr>
        <w:t xml:space="preserve"> </w:t>
      </w:r>
      <w:r>
        <w:rPr>
          <w:sz w:val="24"/>
        </w:rPr>
        <w:t>of</w:t>
      </w:r>
      <w:r>
        <w:rPr>
          <w:spacing w:val="-13"/>
          <w:sz w:val="24"/>
        </w:rPr>
        <w:t xml:space="preserve"> </w:t>
      </w:r>
      <w:r>
        <w:rPr>
          <w:sz w:val="24"/>
        </w:rPr>
        <w:t>"best</w:t>
      </w:r>
      <w:r>
        <w:rPr>
          <w:spacing w:val="-14"/>
          <w:sz w:val="24"/>
        </w:rPr>
        <w:t xml:space="preserve"> </w:t>
      </w:r>
      <w:r>
        <w:rPr>
          <w:sz w:val="24"/>
        </w:rPr>
        <w:t>information</w:t>
      </w:r>
      <w:r>
        <w:rPr>
          <w:spacing w:val="-13"/>
          <w:sz w:val="24"/>
        </w:rPr>
        <w:t xml:space="preserve"> </w:t>
      </w:r>
      <w:r>
        <w:rPr>
          <w:sz w:val="24"/>
        </w:rPr>
        <w:t>available",</w:t>
      </w:r>
      <w:r>
        <w:rPr>
          <w:spacing w:val="-14"/>
          <w:sz w:val="24"/>
        </w:rPr>
        <w:t xml:space="preserve"> </w:t>
      </w:r>
      <w:r>
        <w:rPr>
          <w:sz w:val="24"/>
        </w:rPr>
        <w:t>selected</w:t>
      </w:r>
      <w:r>
        <w:rPr>
          <w:spacing w:val="-14"/>
          <w:sz w:val="24"/>
        </w:rPr>
        <w:t xml:space="preserve"> </w:t>
      </w:r>
      <w:r>
        <w:rPr>
          <w:sz w:val="24"/>
        </w:rPr>
        <w:t>adverse facts to ensure it reached an otherwise unjustifiably high margin to punish the companies that did not respond to the registration questionnaire.</w:t>
      </w:r>
    </w:p>
    <w:p w14:paraId="51DE8B6D" w14:textId="77777777" w:rsidR="0010369C" w:rsidRDefault="008E43AE">
      <w:pPr>
        <w:pStyle w:val="BodyText"/>
        <w:spacing w:before="128" w:line="360" w:lineRule="auto"/>
        <w:ind w:left="237" w:right="613" w:firstLine="851"/>
        <w:jc w:val="both"/>
      </w:pPr>
      <w:r>
        <w:rPr>
          <w:noProof/>
        </w:rPr>
        <w:drawing>
          <wp:anchor distT="0" distB="0" distL="0" distR="0" simplePos="0" relativeHeight="251130368" behindDoc="1" locked="0" layoutInCell="1" allowOverlap="1" wp14:anchorId="51DEA39F" wp14:editId="51DEA3A0">
            <wp:simplePos x="0" y="0"/>
            <wp:positionH relativeFrom="page">
              <wp:posOffset>899160</wp:posOffset>
            </wp:positionH>
            <wp:positionV relativeFrom="paragraph">
              <wp:posOffset>128855</wp:posOffset>
            </wp:positionV>
            <wp:extent cx="265175" cy="103631"/>
            <wp:effectExtent l="0" t="0" r="0" b="0"/>
            <wp:wrapNone/>
            <wp:docPr id="979" name="image5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 name="image500.png"/>
                    <pic:cNvPicPr/>
                  </pic:nvPicPr>
                  <pic:blipFill>
                    <a:blip r:embed="rId656" cstate="print"/>
                    <a:stretch>
                      <a:fillRect/>
                    </a:stretch>
                  </pic:blipFill>
                  <pic:spPr>
                    <a:xfrm>
                      <a:off x="0" y="0"/>
                      <a:ext cx="265175" cy="103631"/>
                    </a:xfrm>
                    <a:prstGeom prst="rect">
                      <a:avLst/>
                    </a:prstGeom>
                  </pic:spPr>
                </pic:pic>
              </a:graphicData>
            </a:graphic>
          </wp:anchor>
        </w:drawing>
      </w:r>
      <w:r>
        <w:t>While Para</w:t>
      </w:r>
      <w:r>
        <w:t>graph 7 of Annex II recognises that if an interested party does not cooperate</w:t>
      </w:r>
      <w:r>
        <w:rPr>
          <w:spacing w:val="-5"/>
        </w:rPr>
        <w:t xml:space="preserve"> </w:t>
      </w:r>
      <w:r>
        <w:t>such</w:t>
      </w:r>
      <w:r>
        <w:rPr>
          <w:spacing w:val="-6"/>
        </w:rPr>
        <w:t xml:space="preserve"> </w:t>
      </w:r>
      <w:r>
        <w:t>that</w:t>
      </w:r>
      <w:r>
        <w:rPr>
          <w:spacing w:val="-5"/>
        </w:rPr>
        <w:t xml:space="preserve"> </w:t>
      </w:r>
      <w:r>
        <w:t>relevant</w:t>
      </w:r>
      <w:r>
        <w:rPr>
          <w:spacing w:val="-5"/>
        </w:rPr>
        <w:t xml:space="preserve"> </w:t>
      </w:r>
      <w:r>
        <w:t>information</w:t>
      </w:r>
      <w:r>
        <w:rPr>
          <w:spacing w:val="-4"/>
        </w:rPr>
        <w:t xml:space="preserve"> </w:t>
      </w:r>
      <w:r>
        <w:t>is</w:t>
      </w:r>
      <w:r>
        <w:rPr>
          <w:spacing w:val="-6"/>
        </w:rPr>
        <w:t xml:space="preserve"> </w:t>
      </w:r>
      <w:r>
        <w:t>withheld,</w:t>
      </w:r>
      <w:r>
        <w:rPr>
          <w:spacing w:val="-5"/>
        </w:rPr>
        <w:t xml:space="preserve"> </w:t>
      </w:r>
      <w:r>
        <w:t>that</w:t>
      </w:r>
      <w:r>
        <w:rPr>
          <w:spacing w:val="-5"/>
        </w:rPr>
        <w:t xml:space="preserve"> </w:t>
      </w:r>
      <w:r>
        <w:t>"could</w:t>
      </w:r>
      <w:r>
        <w:rPr>
          <w:spacing w:val="-5"/>
        </w:rPr>
        <w:t xml:space="preserve"> </w:t>
      </w:r>
      <w:r>
        <w:t>lead</w:t>
      </w:r>
      <w:r>
        <w:rPr>
          <w:spacing w:val="-5"/>
        </w:rPr>
        <w:t xml:space="preserve"> </w:t>
      </w:r>
      <w:r>
        <w:t>to</w:t>
      </w:r>
      <w:r>
        <w:rPr>
          <w:spacing w:val="-5"/>
        </w:rPr>
        <w:t xml:space="preserve"> </w:t>
      </w:r>
      <w:r>
        <w:t>a</w:t>
      </w:r>
      <w:r>
        <w:rPr>
          <w:spacing w:val="-5"/>
        </w:rPr>
        <w:t xml:space="preserve"> </w:t>
      </w:r>
      <w:r>
        <w:t>result</w:t>
      </w:r>
      <w:r>
        <w:rPr>
          <w:spacing w:val="-6"/>
        </w:rPr>
        <w:t xml:space="preserve"> </w:t>
      </w:r>
      <w:r>
        <w:t>which</w:t>
      </w:r>
      <w:r>
        <w:rPr>
          <w:spacing w:val="-6"/>
        </w:rPr>
        <w:t xml:space="preserve"> </w:t>
      </w:r>
      <w:r>
        <w:t>is</w:t>
      </w:r>
      <w:r>
        <w:rPr>
          <w:spacing w:val="-6"/>
        </w:rPr>
        <w:t xml:space="preserve"> </w:t>
      </w:r>
      <w:r>
        <w:t>less favourable to the party", that does not give a license to authorities to select "adverse" facts or</w:t>
      </w:r>
      <w:r>
        <w:rPr>
          <w:spacing w:val="-13"/>
        </w:rPr>
        <w:t xml:space="preserve"> </w:t>
      </w:r>
      <w:r>
        <w:t>to</w:t>
      </w:r>
      <w:r>
        <w:rPr>
          <w:spacing w:val="-12"/>
        </w:rPr>
        <w:t xml:space="preserve"> </w:t>
      </w:r>
      <w:r>
        <w:t>manufacture</w:t>
      </w:r>
      <w:r>
        <w:rPr>
          <w:spacing w:val="-13"/>
        </w:rPr>
        <w:t xml:space="preserve"> </w:t>
      </w:r>
      <w:r>
        <w:t>high</w:t>
      </w:r>
      <w:r>
        <w:rPr>
          <w:spacing w:val="-13"/>
        </w:rPr>
        <w:t xml:space="preserve"> </w:t>
      </w:r>
      <w:r>
        <w:t>dumping</w:t>
      </w:r>
      <w:r>
        <w:rPr>
          <w:spacing w:val="-12"/>
        </w:rPr>
        <w:t xml:space="preserve"> </w:t>
      </w:r>
      <w:r>
        <w:t>margins</w:t>
      </w:r>
      <w:r>
        <w:rPr>
          <w:spacing w:val="-13"/>
        </w:rPr>
        <w:t xml:space="preserve"> </w:t>
      </w:r>
      <w:r>
        <w:t>unsupported</w:t>
      </w:r>
      <w:r>
        <w:rPr>
          <w:spacing w:val="-12"/>
        </w:rPr>
        <w:t xml:space="preserve"> </w:t>
      </w:r>
      <w:r>
        <w:t>by</w:t>
      </w:r>
      <w:r>
        <w:rPr>
          <w:spacing w:val="-12"/>
        </w:rPr>
        <w:t xml:space="preserve"> </w:t>
      </w:r>
      <w:r>
        <w:t>the</w:t>
      </w:r>
      <w:r>
        <w:rPr>
          <w:spacing w:val="-12"/>
        </w:rPr>
        <w:t xml:space="preserve"> </w:t>
      </w:r>
      <w:r>
        <w:t>evidence.</w:t>
      </w:r>
      <w:r>
        <w:rPr>
          <w:spacing w:val="-14"/>
        </w:rPr>
        <w:t xml:space="preserve"> </w:t>
      </w:r>
      <w:r>
        <w:t>As</w:t>
      </w:r>
      <w:r>
        <w:rPr>
          <w:spacing w:val="-13"/>
        </w:rPr>
        <w:t xml:space="preserve"> </w:t>
      </w:r>
      <w:r>
        <w:t>the</w:t>
      </w:r>
      <w:r>
        <w:rPr>
          <w:spacing w:val="-12"/>
        </w:rPr>
        <w:t xml:space="preserve"> </w:t>
      </w:r>
      <w:r>
        <w:t>Panel</w:t>
      </w:r>
      <w:r>
        <w:rPr>
          <w:spacing w:val="-14"/>
        </w:rPr>
        <w:t xml:space="preserve"> </w:t>
      </w:r>
      <w:r>
        <w:t xml:space="preserve">observed in </w:t>
      </w:r>
      <w:r>
        <w:rPr>
          <w:i/>
        </w:rPr>
        <w:t>China – GOES:</w:t>
      </w:r>
      <w:r>
        <w:rPr>
          <w:vertAlign w:val="superscript"/>
        </w:rPr>
        <w:t>527</w:t>
      </w:r>
    </w:p>
    <w:p w14:paraId="51DE8B6E" w14:textId="77777777" w:rsidR="0010369C" w:rsidRDefault="008E43AE">
      <w:pPr>
        <w:spacing w:before="162"/>
        <w:ind w:left="1088" w:right="614"/>
        <w:jc w:val="both"/>
      </w:pPr>
      <w:r>
        <w:t>In</w:t>
      </w:r>
      <w:r>
        <w:rPr>
          <w:spacing w:val="-10"/>
        </w:rPr>
        <w:t xml:space="preserve"> </w:t>
      </w:r>
      <w:r>
        <w:t>our</w:t>
      </w:r>
      <w:r>
        <w:rPr>
          <w:spacing w:val="-10"/>
        </w:rPr>
        <w:t xml:space="preserve"> </w:t>
      </w:r>
      <w:r>
        <w:t>view,</w:t>
      </w:r>
      <w:r>
        <w:rPr>
          <w:spacing w:val="-10"/>
        </w:rPr>
        <w:t xml:space="preserve"> </w:t>
      </w:r>
      <w:r>
        <w:t>the</w:t>
      </w:r>
      <w:r>
        <w:rPr>
          <w:spacing w:val="-10"/>
        </w:rPr>
        <w:t xml:space="preserve"> </w:t>
      </w:r>
      <w:r>
        <w:t>use</w:t>
      </w:r>
      <w:r>
        <w:rPr>
          <w:spacing w:val="-10"/>
        </w:rPr>
        <w:t xml:space="preserve"> </w:t>
      </w:r>
      <w:r>
        <w:t>of</w:t>
      </w:r>
      <w:r>
        <w:rPr>
          <w:spacing w:val="-10"/>
        </w:rPr>
        <w:t xml:space="preserve"> </w:t>
      </w:r>
      <w:r>
        <w:t>facts</w:t>
      </w:r>
      <w:r>
        <w:rPr>
          <w:spacing w:val="-10"/>
        </w:rPr>
        <w:t xml:space="preserve"> </w:t>
      </w:r>
      <w:r>
        <w:t>available</w:t>
      </w:r>
      <w:r>
        <w:rPr>
          <w:spacing w:val="-10"/>
        </w:rPr>
        <w:t xml:space="preserve"> </w:t>
      </w:r>
      <w:r>
        <w:t>shoul</w:t>
      </w:r>
      <w:r>
        <w:t>d</w:t>
      </w:r>
      <w:r>
        <w:rPr>
          <w:spacing w:val="-10"/>
        </w:rPr>
        <w:t xml:space="preserve"> </w:t>
      </w:r>
      <w:r>
        <w:t>be</w:t>
      </w:r>
      <w:r>
        <w:rPr>
          <w:spacing w:val="-9"/>
        </w:rPr>
        <w:t xml:space="preserve"> </w:t>
      </w:r>
      <w:r>
        <w:t>distinguished</w:t>
      </w:r>
      <w:r>
        <w:rPr>
          <w:spacing w:val="-10"/>
        </w:rPr>
        <w:t xml:space="preserve"> </w:t>
      </w:r>
      <w:r>
        <w:t>from</w:t>
      </w:r>
      <w:r>
        <w:rPr>
          <w:spacing w:val="-8"/>
        </w:rPr>
        <w:t xml:space="preserve"> </w:t>
      </w:r>
      <w:r>
        <w:t>the</w:t>
      </w:r>
      <w:r>
        <w:rPr>
          <w:spacing w:val="-10"/>
        </w:rPr>
        <w:t xml:space="preserve"> </w:t>
      </w:r>
      <w:r>
        <w:t>application</w:t>
      </w:r>
      <w:r>
        <w:rPr>
          <w:spacing w:val="-10"/>
        </w:rPr>
        <w:t xml:space="preserve"> </w:t>
      </w:r>
      <w:r>
        <w:t>of</w:t>
      </w:r>
      <w:r>
        <w:rPr>
          <w:spacing w:val="-10"/>
        </w:rPr>
        <w:t xml:space="preserve"> </w:t>
      </w:r>
      <w:r>
        <w:t>adverse inferences. […] While noncooperation triggers the use of facts available, non‐cooperation does not justify the drawing of adverse inferences. Nor does non‐cooperation justify determinations that are devoid of any factual foundation.</w:t>
      </w:r>
    </w:p>
    <w:p w14:paraId="51DE8B6F" w14:textId="77777777" w:rsidR="0010369C" w:rsidRDefault="008E43AE">
      <w:pPr>
        <w:pStyle w:val="BodyText"/>
        <w:spacing w:before="158" w:line="360" w:lineRule="auto"/>
        <w:ind w:left="237" w:right="613" w:firstLine="852"/>
        <w:jc w:val="both"/>
        <w:rPr>
          <w:rFonts w:ascii="Times New Roman"/>
        </w:rPr>
      </w:pPr>
      <w:r>
        <w:rPr>
          <w:noProof/>
        </w:rPr>
        <w:drawing>
          <wp:anchor distT="0" distB="0" distL="0" distR="0" simplePos="0" relativeHeight="251131392" behindDoc="1" locked="0" layoutInCell="1" allowOverlap="1" wp14:anchorId="51DEA3A1" wp14:editId="51DEA3A2">
            <wp:simplePos x="0" y="0"/>
            <wp:positionH relativeFrom="page">
              <wp:posOffset>899160</wp:posOffset>
            </wp:positionH>
            <wp:positionV relativeFrom="paragraph">
              <wp:posOffset>144095</wp:posOffset>
            </wp:positionV>
            <wp:extent cx="265175" cy="106679"/>
            <wp:effectExtent l="0" t="0" r="0" b="0"/>
            <wp:wrapNone/>
            <wp:docPr id="981" name="image5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 name="image501.png"/>
                    <pic:cNvPicPr/>
                  </pic:nvPicPr>
                  <pic:blipFill>
                    <a:blip r:embed="rId657" cstate="print"/>
                    <a:stretch>
                      <a:fillRect/>
                    </a:stretch>
                  </pic:blipFill>
                  <pic:spPr>
                    <a:xfrm>
                      <a:off x="0" y="0"/>
                      <a:ext cx="265175" cy="106679"/>
                    </a:xfrm>
                    <a:prstGeom prst="rect">
                      <a:avLst/>
                    </a:prstGeom>
                  </pic:spPr>
                </pic:pic>
              </a:graphicData>
            </a:graphic>
          </wp:anchor>
        </w:drawing>
      </w:r>
      <w:r>
        <w:t>A dumping margin determined based on best information must have a logical relationship with the facts on the record, and be a result of an evaluative, comparative assessment</w:t>
      </w:r>
      <w:r>
        <w:rPr>
          <w:spacing w:val="-4"/>
        </w:rPr>
        <w:t xml:space="preserve"> </w:t>
      </w:r>
      <w:r>
        <w:t>of</w:t>
      </w:r>
      <w:r>
        <w:rPr>
          <w:spacing w:val="-4"/>
        </w:rPr>
        <w:t xml:space="preserve"> </w:t>
      </w:r>
      <w:r>
        <w:t>those</w:t>
      </w:r>
      <w:r>
        <w:rPr>
          <w:spacing w:val="-3"/>
        </w:rPr>
        <w:t xml:space="preserve"> </w:t>
      </w:r>
      <w:r>
        <w:t>facts.</w:t>
      </w:r>
      <w:r>
        <w:rPr>
          <w:vertAlign w:val="superscript"/>
        </w:rPr>
        <w:t>528</w:t>
      </w:r>
      <w:r>
        <w:rPr>
          <w:spacing w:val="-4"/>
        </w:rPr>
        <w:t xml:space="preserve"> </w:t>
      </w:r>
      <w:r>
        <w:t>The</w:t>
      </w:r>
      <w:r>
        <w:rPr>
          <w:spacing w:val="-3"/>
        </w:rPr>
        <w:t xml:space="preserve"> </w:t>
      </w:r>
      <w:r>
        <w:t>rate</w:t>
      </w:r>
      <w:r>
        <w:rPr>
          <w:spacing w:val="-3"/>
        </w:rPr>
        <w:t xml:space="preserve"> </w:t>
      </w:r>
      <w:r>
        <w:t>reached</w:t>
      </w:r>
      <w:r>
        <w:rPr>
          <w:spacing w:val="-4"/>
        </w:rPr>
        <w:t xml:space="preserve"> </w:t>
      </w:r>
      <w:r>
        <w:t>appears</w:t>
      </w:r>
      <w:r>
        <w:rPr>
          <w:spacing w:val="-4"/>
        </w:rPr>
        <w:t xml:space="preserve"> </w:t>
      </w:r>
      <w:r>
        <w:t>to</w:t>
      </w:r>
      <w:r>
        <w:rPr>
          <w:spacing w:val="-3"/>
        </w:rPr>
        <w:t xml:space="preserve"> </w:t>
      </w:r>
      <w:r>
        <w:t>be</w:t>
      </w:r>
      <w:r>
        <w:rPr>
          <w:spacing w:val="-3"/>
        </w:rPr>
        <w:t xml:space="preserve"> </w:t>
      </w:r>
      <w:r>
        <w:t>logically</w:t>
      </w:r>
      <w:r>
        <w:rPr>
          <w:spacing w:val="-2"/>
        </w:rPr>
        <w:t xml:space="preserve"> </w:t>
      </w:r>
      <w:r>
        <w:t>divorced</w:t>
      </w:r>
      <w:r>
        <w:rPr>
          <w:spacing w:val="-4"/>
        </w:rPr>
        <w:t xml:space="preserve"> </w:t>
      </w:r>
      <w:r>
        <w:t>from</w:t>
      </w:r>
      <w:r>
        <w:rPr>
          <w:spacing w:val="-4"/>
        </w:rPr>
        <w:t xml:space="preserve"> </w:t>
      </w:r>
      <w:r>
        <w:t>the</w:t>
      </w:r>
      <w:r>
        <w:rPr>
          <w:spacing w:val="-3"/>
        </w:rPr>
        <w:t xml:space="preserve"> </w:t>
      </w:r>
      <w:r>
        <w:t>fact</w:t>
      </w:r>
      <w:r>
        <w:t>s on</w:t>
      </w:r>
      <w:r>
        <w:rPr>
          <w:spacing w:val="-14"/>
        </w:rPr>
        <w:t xml:space="preserve"> </w:t>
      </w:r>
      <w:r>
        <w:t>the</w:t>
      </w:r>
      <w:r>
        <w:rPr>
          <w:spacing w:val="-12"/>
        </w:rPr>
        <w:t xml:space="preserve"> </w:t>
      </w:r>
      <w:r>
        <w:t>record,</w:t>
      </w:r>
      <w:r>
        <w:rPr>
          <w:spacing w:val="-14"/>
        </w:rPr>
        <w:t xml:space="preserve"> </w:t>
      </w:r>
      <w:r>
        <w:t>and</w:t>
      </w:r>
      <w:r>
        <w:rPr>
          <w:spacing w:val="-13"/>
        </w:rPr>
        <w:t xml:space="preserve"> </w:t>
      </w:r>
      <w:r>
        <w:t>there</w:t>
      </w:r>
      <w:r>
        <w:rPr>
          <w:spacing w:val="-13"/>
        </w:rPr>
        <w:t xml:space="preserve"> </w:t>
      </w:r>
      <w:r>
        <w:t>is</w:t>
      </w:r>
      <w:r>
        <w:rPr>
          <w:spacing w:val="-14"/>
        </w:rPr>
        <w:t xml:space="preserve"> </w:t>
      </w:r>
      <w:r>
        <w:t>no</w:t>
      </w:r>
      <w:r>
        <w:rPr>
          <w:spacing w:val="-12"/>
        </w:rPr>
        <w:t xml:space="preserve"> </w:t>
      </w:r>
      <w:r>
        <w:t>evidence</w:t>
      </w:r>
      <w:r>
        <w:rPr>
          <w:spacing w:val="-14"/>
        </w:rPr>
        <w:t xml:space="preserve"> </w:t>
      </w:r>
      <w:r>
        <w:t>of</w:t>
      </w:r>
      <w:r>
        <w:rPr>
          <w:spacing w:val="-13"/>
        </w:rPr>
        <w:t xml:space="preserve"> </w:t>
      </w:r>
      <w:r>
        <w:t>any</w:t>
      </w:r>
      <w:r>
        <w:rPr>
          <w:spacing w:val="-13"/>
        </w:rPr>
        <w:t xml:space="preserve"> </w:t>
      </w:r>
      <w:r>
        <w:t>evaluative</w:t>
      </w:r>
      <w:r>
        <w:rPr>
          <w:spacing w:val="-13"/>
        </w:rPr>
        <w:t xml:space="preserve"> </w:t>
      </w:r>
      <w:r>
        <w:t>assessment</w:t>
      </w:r>
      <w:r>
        <w:rPr>
          <w:spacing w:val="-13"/>
        </w:rPr>
        <w:t xml:space="preserve"> </w:t>
      </w:r>
      <w:r>
        <w:t>having</w:t>
      </w:r>
      <w:r>
        <w:rPr>
          <w:spacing w:val="-13"/>
        </w:rPr>
        <w:t xml:space="preserve"> </w:t>
      </w:r>
      <w:r>
        <w:t>been</w:t>
      </w:r>
      <w:r>
        <w:rPr>
          <w:spacing w:val="-13"/>
        </w:rPr>
        <w:t xml:space="preserve"> </w:t>
      </w:r>
      <w:r>
        <w:t>undertaken. The Panel should infer that the "All Others" rate was not the result of such an evaluative process,</w:t>
      </w:r>
      <w:r>
        <w:rPr>
          <w:spacing w:val="-3"/>
        </w:rPr>
        <w:t xml:space="preserve"> </w:t>
      </w:r>
      <w:r>
        <w:t>but</w:t>
      </w:r>
      <w:r>
        <w:rPr>
          <w:spacing w:val="-3"/>
        </w:rPr>
        <w:t xml:space="preserve"> </w:t>
      </w:r>
      <w:r>
        <w:t>rather</w:t>
      </w:r>
      <w:r>
        <w:rPr>
          <w:spacing w:val="-4"/>
        </w:rPr>
        <w:t xml:space="preserve"> </w:t>
      </w:r>
      <w:r>
        <w:t>based</w:t>
      </w:r>
      <w:r>
        <w:rPr>
          <w:spacing w:val="-3"/>
        </w:rPr>
        <w:t xml:space="preserve"> </w:t>
      </w:r>
      <w:r>
        <w:t>on</w:t>
      </w:r>
      <w:r>
        <w:rPr>
          <w:spacing w:val="-3"/>
        </w:rPr>
        <w:t xml:space="preserve"> </w:t>
      </w:r>
      <w:r>
        <w:t>either</w:t>
      </w:r>
      <w:r>
        <w:rPr>
          <w:spacing w:val="-6"/>
        </w:rPr>
        <w:t xml:space="preserve"> </w:t>
      </w:r>
      <w:r>
        <w:t>obvious</w:t>
      </w:r>
      <w:r>
        <w:rPr>
          <w:spacing w:val="-3"/>
        </w:rPr>
        <w:t xml:space="preserve"> </w:t>
      </w:r>
      <w:r>
        <w:t>error</w:t>
      </w:r>
      <w:r>
        <w:rPr>
          <w:spacing w:val="-4"/>
        </w:rPr>
        <w:t xml:space="preserve"> </w:t>
      </w:r>
      <w:r>
        <w:t>or</w:t>
      </w:r>
      <w:r>
        <w:rPr>
          <w:spacing w:val="-3"/>
        </w:rPr>
        <w:t xml:space="preserve"> </w:t>
      </w:r>
      <w:r>
        <w:t>the</w:t>
      </w:r>
      <w:r>
        <w:rPr>
          <w:spacing w:val="-3"/>
        </w:rPr>
        <w:t xml:space="preserve"> </w:t>
      </w:r>
      <w:r>
        <w:t>impermissible</w:t>
      </w:r>
      <w:r>
        <w:rPr>
          <w:spacing w:val="-3"/>
        </w:rPr>
        <w:t xml:space="preserve"> </w:t>
      </w:r>
      <w:r>
        <w:t>application</w:t>
      </w:r>
      <w:r>
        <w:rPr>
          <w:spacing w:val="-4"/>
        </w:rPr>
        <w:t xml:space="preserve"> </w:t>
      </w:r>
      <w:r>
        <w:t>of</w:t>
      </w:r>
      <w:r>
        <w:rPr>
          <w:spacing w:val="-3"/>
        </w:rPr>
        <w:t xml:space="preserve"> </w:t>
      </w:r>
      <w:r>
        <w:t>adverse facts. The sparse explanation given by MOFCOM on the record of the basis for the determination</w:t>
      </w:r>
      <w:r>
        <w:rPr>
          <w:spacing w:val="-5"/>
        </w:rPr>
        <w:t xml:space="preserve"> </w:t>
      </w:r>
      <w:r>
        <w:t>of</w:t>
      </w:r>
      <w:r>
        <w:rPr>
          <w:spacing w:val="-6"/>
        </w:rPr>
        <w:t xml:space="preserve"> </w:t>
      </w:r>
      <w:r>
        <w:t>these</w:t>
      </w:r>
      <w:r>
        <w:rPr>
          <w:spacing w:val="-6"/>
        </w:rPr>
        <w:t xml:space="preserve"> </w:t>
      </w:r>
      <w:r>
        <w:t>rates</w:t>
      </w:r>
      <w:r>
        <w:rPr>
          <w:spacing w:val="-7"/>
        </w:rPr>
        <w:t xml:space="preserve"> </w:t>
      </w:r>
      <w:r>
        <w:t>does</w:t>
      </w:r>
      <w:r>
        <w:rPr>
          <w:spacing w:val="-6"/>
        </w:rPr>
        <w:t xml:space="preserve"> </w:t>
      </w:r>
      <w:r>
        <w:t>not</w:t>
      </w:r>
      <w:r>
        <w:rPr>
          <w:spacing w:val="-6"/>
        </w:rPr>
        <w:t xml:space="preserve"> </w:t>
      </w:r>
      <w:r>
        <w:t>allow</w:t>
      </w:r>
      <w:r>
        <w:rPr>
          <w:spacing w:val="-6"/>
        </w:rPr>
        <w:t xml:space="preserve"> </w:t>
      </w:r>
      <w:r>
        <w:t>for</w:t>
      </w:r>
      <w:r>
        <w:rPr>
          <w:spacing w:val="-7"/>
        </w:rPr>
        <w:t xml:space="preserve"> </w:t>
      </w:r>
      <w:r>
        <w:t>any</w:t>
      </w:r>
      <w:r>
        <w:rPr>
          <w:spacing w:val="-6"/>
        </w:rPr>
        <w:t xml:space="preserve"> </w:t>
      </w:r>
      <w:r>
        <w:t>other</w:t>
      </w:r>
      <w:r>
        <w:rPr>
          <w:spacing w:val="-5"/>
        </w:rPr>
        <w:t xml:space="preserve"> </w:t>
      </w:r>
      <w:r>
        <w:t>interpretation</w:t>
      </w:r>
      <w:r>
        <w:rPr>
          <w:spacing w:val="-7"/>
        </w:rPr>
        <w:t xml:space="preserve"> </w:t>
      </w:r>
      <w:r>
        <w:t>to</w:t>
      </w:r>
      <w:r>
        <w:rPr>
          <w:spacing w:val="-6"/>
        </w:rPr>
        <w:t xml:space="preserve"> </w:t>
      </w:r>
      <w:r>
        <w:t>be</w:t>
      </w:r>
      <w:r>
        <w:rPr>
          <w:spacing w:val="-6"/>
        </w:rPr>
        <w:t xml:space="preserve"> </w:t>
      </w:r>
      <w:r>
        <w:t>reached</w:t>
      </w:r>
      <w:r>
        <w:rPr>
          <w:spacing w:val="-7"/>
        </w:rPr>
        <w:t xml:space="preserve"> </w:t>
      </w:r>
      <w:r>
        <w:t>by</w:t>
      </w:r>
      <w:r>
        <w:rPr>
          <w:spacing w:val="-6"/>
        </w:rPr>
        <w:t xml:space="preserve"> </w:t>
      </w:r>
      <w:r>
        <w:t xml:space="preserve">the </w:t>
      </w:r>
      <w:r>
        <w:rPr>
          <w:spacing w:val="-2"/>
        </w:rPr>
        <w:t>Panel</w:t>
      </w:r>
      <w:r>
        <w:rPr>
          <w:rFonts w:ascii="Times New Roman"/>
          <w:spacing w:val="-2"/>
        </w:rPr>
        <w:t>.</w:t>
      </w:r>
    </w:p>
    <w:p w14:paraId="51DE8B70" w14:textId="77777777" w:rsidR="0010369C" w:rsidRDefault="0010369C">
      <w:pPr>
        <w:pStyle w:val="BodyText"/>
        <w:rPr>
          <w:rFonts w:ascii="Times New Roman"/>
          <w:sz w:val="20"/>
        </w:rPr>
      </w:pPr>
    </w:p>
    <w:p w14:paraId="51DE8B71" w14:textId="77777777" w:rsidR="0010369C" w:rsidRDefault="0010369C">
      <w:pPr>
        <w:pStyle w:val="BodyText"/>
        <w:rPr>
          <w:rFonts w:ascii="Times New Roman"/>
          <w:sz w:val="20"/>
        </w:rPr>
      </w:pPr>
    </w:p>
    <w:p w14:paraId="51DE8B72" w14:textId="77777777" w:rsidR="0010369C" w:rsidRDefault="0010369C">
      <w:pPr>
        <w:pStyle w:val="BodyText"/>
        <w:rPr>
          <w:rFonts w:ascii="Times New Roman"/>
          <w:sz w:val="20"/>
        </w:rPr>
      </w:pPr>
    </w:p>
    <w:p w14:paraId="51DE8B73" w14:textId="77777777" w:rsidR="0010369C" w:rsidRDefault="0010369C">
      <w:pPr>
        <w:pStyle w:val="BodyText"/>
        <w:rPr>
          <w:rFonts w:ascii="Times New Roman"/>
          <w:sz w:val="20"/>
        </w:rPr>
      </w:pPr>
    </w:p>
    <w:p w14:paraId="51DE8B74" w14:textId="77777777" w:rsidR="0010369C" w:rsidRDefault="0010369C">
      <w:pPr>
        <w:pStyle w:val="BodyText"/>
        <w:rPr>
          <w:rFonts w:ascii="Times New Roman"/>
          <w:sz w:val="20"/>
        </w:rPr>
      </w:pPr>
    </w:p>
    <w:p w14:paraId="51DE8B75" w14:textId="77777777" w:rsidR="0010369C" w:rsidRDefault="0010369C">
      <w:pPr>
        <w:pStyle w:val="BodyText"/>
        <w:rPr>
          <w:rFonts w:ascii="Times New Roman"/>
          <w:sz w:val="20"/>
        </w:rPr>
      </w:pPr>
    </w:p>
    <w:p w14:paraId="51DE8B76" w14:textId="77777777" w:rsidR="0010369C" w:rsidRDefault="0010369C">
      <w:pPr>
        <w:pStyle w:val="BodyText"/>
        <w:rPr>
          <w:rFonts w:ascii="Times New Roman"/>
          <w:sz w:val="20"/>
        </w:rPr>
      </w:pPr>
    </w:p>
    <w:p w14:paraId="51DE8B77" w14:textId="77777777" w:rsidR="0010369C" w:rsidRDefault="0010369C">
      <w:pPr>
        <w:pStyle w:val="BodyText"/>
        <w:rPr>
          <w:rFonts w:ascii="Times New Roman"/>
          <w:sz w:val="20"/>
        </w:rPr>
      </w:pPr>
    </w:p>
    <w:p w14:paraId="51DE8B78" w14:textId="77777777" w:rsidR="0010369C" w:rsidRDefault="0010369C">
      <w:pPr>
        <w:pStyle w:val="BodyText"/>
        <w:rPr>
          <w:rFonts w:ascii="Times New Roman"/>
          <w:sz w:val="20"/>
        </w:rPr>
      </w:pPr>
    </w:p>
    <w:p w14:paraId="51DE8B79" w14:textId="77777777" w:rsidR="0010369C" w:rsidRDefault="008E43AE">
      <w:pPr>
        <w:pStyle w:val="BodyText"/>
        <w:spacing w:before="7"/>
        <w:rPr>
          <w:rFonts w:ascii="Times New Roman"/>
          <w:sz w:val="20"/>
        </w:rPr>
      </w:pPr>
      <w:r>
        <w:pict w14:anchorId="51DEA3A3">
          <v:rect id="docshape940" o:spid="_x0000_s1414" style="position:absolute;margin-left:70.9pt;margin-top:13.05pt;width:2in;height:.8pt;z-index:-250871296;mso-wrap-distance-left:0;mso-wrap-distance-right:0;mso-position-horizontal-relative:page" fillcolor="black" stroked="f">
            <w10:wrap type="topAndBottom" anchorx="page"/>
          </v:rect>
        </w:pict>
      </w:r>
    </w:p>
    <w:p w14:paraId="51DE8B7A" w14:textId="77777777" w:rsidR="0010369C" w:rsidRDefault="008E43AE">
      <w:pPr>
        <w:spacing w:before="109"/>
        <w:ind w:left="238"/>
        <w:rPr>
          <w:i/>
          <w:sz w:val="18"/>
        </w:rPr>
      </w:pPr>
      <w:r>
        <w:rPr>
          <w:sz w:val="18"/>
          <w:vertAlign w:val="superscript"/>
        </w:rPr>
        <w:t>527</w:t>
      </w:r>
      <w:r>
        <w:rPr>
          <w:spacing w:val="-4"/>
          <w:sz w:val="18"/>
        </w:rPr>
        <w:t xml:space="preserve"> </w:t>
      </w:r>
      <w:r>
        <w:rPr>
          <w:sz w:val="18"/>
        </w:rPr>
        <w:t>Panel</w:t>
      </w:r>
      <w:r>
        <w:rPr>
          <w:spacing w:val="-5"/>
          <w:sz w:val="18"/>
        </w:rPr>
        <w:t xml:space="preserve"> </w:t>
      </w:r>
      <w:r>
        <w:rPr>
          <w:sz w:val="18"/>
        </w:rPr>
        <w:t>Report,</w:t>
      </w:r>
      <w:r>
        <w:rPr>
          <w:spacing w:val="-4"/>
          <w:sz w:val="18"/>
        </w:rPr>
        <w:t xml:space="preserve"> </w:t>
      </w:r>
      <w:r>
        <w:rPr>
          <w:i/>
          <w:sz w:val="18"/>
        </w:rPr>
        <w:t>China</w:t>
      </w:r>
      <w:r>
        <w:rPr>
          <w:i/>
          <w:spacing w:val="-4"/>
          <w:sz w:val="18"/>
        </w:rPr>
        <w:t xml:space="preserve"> </w:t>
      </w:r>
      <w:r>
        <w:rPr>
          <w:i/>
          <w:sz w:val="18"/>
        </w:rPr>
        <w:t>–</w:t>
      </w:r>
      <w:r>
        <w:rPr>
          <w:i/>
          <w:spacing w:val="-3"/>
          <w:sz w:val="18"/>
        </w:rPr>
        <w:t xml:space="preserve"> </w:t>
      </w:r>
      <w:r>
        <w:rPr>
          <w:i/>
          <w:sz w:val="18"/>
        </w:rPr>
        <w:t>GOES</w:t>
      </w:r>
      <w:r>
        <w:rPr>
          <w:sz w:val="18"/>
        </w:rPr>
        <w:t>,</w:t>
      </w:r>
      <w:r>
        <w:rPr>
          <w:spacing w:val="-5"/>
          <w:sz w:val="18"/>
        </w:rPr>
        <w:t xml:space="preserve"> </w:t>
      </w:r>
      <w:r>
        <w:rPr>
          <w:sz w:val="18"/>
        </w:rPr>
        <w:t>para.</w:t>
      </w:r>
      <w:r>
        <w:rPr>
          <w:spacing w:val="-4"/>
          <w:sz w:val="18"/>
        </w:rPr>
        <w:t xml:space="preserve"> </w:t>
      </w:r>
      <w:r>
        <w:rPr>
          <w:sz w:val="18"/>
        </w:rPr>
        <w:t>7.302;</w:t>
      </w:r>
      <w:r>
        <w:rPr>
          <w:spacing w:val="-4"/>
          <w:sz w:val="18"/>
        </w:rPr>
        <w:t xml:space="preserve"> </w:t>
      </w:r>
      <w:r>
        <w:rPr>
          <w:sz w:val="18"/>
        </w:rPr>
        <w:t>this</w:t>
      </w:r>
      <w:r>
        <w:rPr>
          <w:spacing w:val="-4"/>
          <w:sz w:val="18"/>
        </w:rPr>
        <w:t xml:space="preserve"> </w:t>
      </w:r>
      <w:r>
        <w:rPr>
          <w:sz w:val="18"/>
        </w:rPr>
        <w:t>passage</w:t>
      </w:r>
      <w:r>
        <w:rPr>
          <w:spacing w:val="-2"/>
          <w:sz w:val="18"/>
        </w:rPr>
        <w:t xml:space="preserve"> </w:t>
      </w:r>
      <w:r>
        <w:rPr>
          <w:sz w:val="18"/>
        </w:rPr>
        <w:t>was</w:t>
      </w:r>
      <w:r>
        <w:rPr>
          <w:spacing w:val="-4"/>
          <w:sz w:val="18"/>
        </w:rPr>
        <w:t xml:space="preserve"> </w:t>
      </w:r>
      <w:r>
        <w:rPr>
          <w:sz w:val="18"/>
        </w:rPr>
        <w:t>cited</w:t>
      </w:r>
      <w:r>
        <w:rPr>
          <w:spacing w:val="-4"/>
          <w:sz w:val="18"/>
        </w:rPr>
        <w:t xml:space="preserve"> </w:t>
      </w:r>
      <w:r>
        <w:rPr>
          <w:sz w:val="18"/>
        </w:rPr>
        <w:t>with</w:t>
      </w:r>
      <w:r>
        <w:rPr>
          <w:spacing w:val="-4"/>
          <w:sz w:val="18"/>
        </w:rPr>
        <w:t xml:space="preserve"> </w:t>
      </w:r>
      <w:r>
        <w:rPr>
          <w:sz w:val="18"/>
        </w:rPr>
        <w:t>approval</w:t>
      </w:r>
      <w:r>
        <w:rPr>
          <w:spacing w:val="-5"/>
          <w:sz w:val="18"/>
        </w:rPr>
        <w:t xml:space="preserve"> </w:t>
      </w:r>
      <w:r>
        <w:rPr>
          <w:sz w:val="18"/>
        </w:rPr>
        <w:t>and</w:t>
      </w:r>
      <w:r>
        <w:rPr>
          <w:spacing w:val="-3"/>
          <w:sz w:val="18"/>
        </w:rPr>
        <w:t xml:space="preserve"> </w:t>
      </w:r>
      <w:r>
        <w:rPr>
          <w:sz w:val="18"/>
        </w:rPr>
        <w:t>applied</w:t>
      </w:r>
      <w:r>
        <w:rPr>
          <w:spacing w:val="-4"/>
          <w:sz w:val="18"/>
        </w:rPr>
        <w:t xml:space="preserve"> </w:t>
      </w:r>
      <w:r>
        <w:rPr>
          <w:sz w:val="18"/>
        </w:rPr>
        <w:t>by</w:t>
      </w:r>
      <w:r>
        <w:rPr>
          <w:spacing w:val="-4"/>
          <w:sz w:val="18"/>
        </w:rPr>
        <w:t xml:space="preserve"> </w:t>
      </w:r>
      <w:r>
        <w:rPr>
          <w:sz w:val="18"/>
        </w:rPr>
        <w:t>the</w:t>
      </w:r>
      <w:r>
        <w:rPr>
          <w:spacing w:val="-4"/>
          <w:sz w:val="18"/>
        </w:rPr>
        <w:t xml:space="preserve"> </w:t>
      </w:r>
      <w:r>
        <w:rPr>
          <w:sz w:val="18"/>
        </w:rPr>
        <w:t>Panel</w:t>
      </w:r>
      <w:r>
        <w:rPr>
          <w:spacing w:val="-5"/>
          <w:sz w:val="18"/>
        </w:rPr>
        <w:t xml:space="preserve"> </w:t>
      </w:r>
      <w:r>
        <w:rPr>
          <w:sz w:val="18"/>
        </w:rPr>
        <w:t>in</w:t>
      </w:r>
      <w:r>
        <w:rPr>
          <w:spacing w:val="-3"/>
          <w:sz w:val="18"/>
        </w:rPr>
        <w:t xml:space="preserve"> </w:t>
      </w:r>
      <w:r>
        <w:rPr>
          <w:i/>
          <w:sz w:val="18"/>
        </w:rPr>
        <w:t>China</w:t>
      </w:r>
      <w:r>
        <w:rPr>
          <w:i/>
          <w:spacing w:val="-3"/>
          <w:sz w:val="18"/>
        </w:rPr>
        <w:t xml:space="preserve"> </w:t>
      </w:r>
      <w:r>
        <w:rPr>
          <w:i/>
          <w:sz w:val="18"/>
        </w:rPr>
        <w:t>–</w:t>
      </w:r>
      <w:r>
        <w:rPr>
          <w:i/>
          <w:spacing w:val="-4"/>
          <w:sz w:val="18"/>
        </w:rPr>
        <w:t xml:space="preserve"> </w:t>
      </w:r>
      <w:r>
        <w:rPr>
          <w:i/>
          <w:spacing w:val="-2"/>
          <w:sz w:val="18"/>
        </w:rPr>
        <w:t>Broiler</w:t>
      </w:r>
    </w:p>
    <w:p w14:paraId="51DE8B7B" w14:textId="77777777" w:rsidR="0010369C" w:rsidRDefault="0010369C">
      <w:pPr>
        <w:rPr>
          <w:sz w:val="18"/>
        </w:rPr>
        <w:sectPr w:rsidR="0010369C">
          <w:headerReference w:type="default" r:id="rId658"/>
          <w:footerReference w:type="default" r:id="rId659"/>
          <w:pgSz w:w="11910" w:h="16840"/>
          <w:pgMar w:top="880" w:right="800" w:bottom="1780" w:left="1180" w:header="569" w:footer="1582" w:gutter="0"/>
          <w:cols w:space="720"/>
        </w:sectPr>
      </w:pPr>
    </w:p>
    <w:p w14:paraId="51DE8B7C" w14:textId="77777777" w:rsidR="0010369C" w:rsidRDefault="008E43AE">
      <w:pPr>
        <w:tabs>
          <w:tab w:val="left" w:pos="6425"/>
        </w:tabs>
        <w:ind w:left="238"/>
        <w:rPr>
          <w:sz w:val="20"/>
        </w:rPr>
      </w:pPr>
      <w:r>
        <w:rPr>
          <w:i/>
          <w:sz w:val="20"/>
        </w:rPr>
        <w:lastRenderedPageBreak/>
        <w:t>China</w:t>
      </w:r>
      <w:r>
        <w:rPr>
          <w:i/>
          <w:spacing w:val="-5"/>
          <w:sz w:val="20"/>
        </w:rPr>
        <w:t xml:space="preserve"> </w:t>
      </w:r>
      <w:r>
        <w:rPr>
          <w:i/>
          <w:sz w:val="20"/>
        </w:rPr>
        <w:t>–</w:t>
      </w:r>
      <w:r>
        <w:rPr>
          <w:i/>
          <w:spacing w:val="-5"/>
          <w:sz w:val="20"/>
        </w:rPr>
        <w:t xml:space="preserve"> </w:t>
      </w:r>
      <w:r>
        <w:rPr>
          <w:i/>
          <w:sz w:val="20"/>
        </w:rPr>
        <w:t>Anti‐Dumping</w:t>
      </w:r>
      <w:r>
        <w:rPr>
          <w:i/>
          <w:spacing w:val="-4"/>
          <w:sz w:val="20"/>
        </w:rPr>
        <w:t xml:space="preserve"> </w:t>
      </w:r>
      <w:r>
        <w:rPr>
          <w:i/>
          <w:sz w:val="20"/>
        </w:rPr>
        <w:t>and</w:t>
      </w:r>
      <w:r>
        <w:rPr>
          <w:i/>
          <w:spacing w:val="-5"/>
          <w:sz w:val="20"/>
        </w:rPr>
        <w:t xml:space="preserve"> </w:t>
      </w:r>
      <w:r>
        <w:rPr>
          <w:i/>
          <w:sz w:val="20"/>
        </w:rPr>
        <w:t>Countervailing</w:t>
      </w:r>
      <w:r>
        <w:rPr>
          <w:i/>
          <w:spacing w:val="-5"/>
          <w:sz w:val="20"/>
        </w:rPr>
        <w:t xml:space="preserve"> </w:t>
      </w:r>
      <w:r>
        <w:rPr>
          <w:i/>
          <w:sz w:val="20"/>
        </w:rPr>
        <w:t>Duty</w:t>
      </w:r>
      <w:r>
        <w:rPr>
          <w:i/>
          <w:spacing w:val="-4"/>
          <w:sz w:val="20"/>
        </w:rPr>
        <w:t xml:space="preserve"> </w:t>
      </w:r>
      <w:r>
        <w:rPr>
          <w:i/>
          <w:spacing w:val="-2"/>
          <w:sz w:val="20"/>
        </w:rPr>
        <w:t>Measures</w:t>
      </w:r>
      <w:r>
        <w:rPr>
          <w:i/>
          <w:sz w:val="20"/>
        </w:rPr>
        <w:tab/>
      </w:r>
      <w:r>
        <w:rPr>
          <w:sz w:val="20"/>
        </w:rPr>
        <w:t>Australia's</w:t>
      </w:r>
      <w:r>
        <w:rPr>
          <w:spacing w:val="-7"/>
          <w:sz w:val="20"/>
        </w:rPr>
        <w:t xml:space="preserve"> </w:t>
      </w:r>
      <w:r>
        <w:rPr>
          <w:sz w:val="20"/>
        </w:rPr>
        <w:t>First</w:t>
      </w:r>
      <w:r>
        <w:rPr>
          <w:spacing w:val="-2"/>
          <w:sz w:val="20"/>
        </w:rPr>
        <w:t xml:space="preserve"> </w:t>
      </w:r>
      <w:r>
        <w:rPr>
          <w:sz w:val="20"/>
        </w:rPr>
        <w:t>Written</w:t>
      </w:r>
      <w:r>
        <w:rPr>
          <w:spacing w:val="-2"/>
          <w:sz w:val="20"/>
        </w:rPr>
        <w:t xml:space="preserve"> Submission</w:t>
      </w:r>
    </w:p>
    <w:p w14:paraId="51DE8B7D" w14:textId="77777777" w:rsidR="0010369C" w:rsidRDefault="008E43AE">
      <w:pPr>
        <w:tabs>
          <w:tab w:val="left" w:pos="8227"/>
        </w:tabs>
        <w:spacing w:before="1"/>
        <w:ind w:left="239"/>
        <w:rPr>
          <w:sz w:val="20"/>
        </w:rPr>
      </w:pPr>
      <w:r>
        <w:rPr>
          <w:i/>
          <w:sz w:val="20"/>
        </w:rPr>
        <w:t>on</w:t>
      </w:r>
      <w:r>
        <w:rPr>
          <w:i/>
          <w:spacing w:val="-1"/>
          <w:sz w:val="20"/>
        </w:rPr>
        <w:t xml:space="preserve"> </w:t>
      </w:r>
      <w:r>
        <w:rPr>
          <w:i/>
          <w:sz w:val="20"/>
        </w:rPr>
        <w:t>Wine</w:t>
      </w:r>
      <w:r>
        <w:rPr>
          <w:i/>
          <w:spacing w:val="-1"/>
          <w:sz w:val="20"/>
        </w:rPr>
        <w:t xml:space="preserve"> </w:t>
      </w:r>
      <w:r>
        <w:rPr>
          <w:i/>
          <w:sz w:val="20"/>
        </w:rPr>
        <w:t>from</w:t>
      </w:r>
      <w:r>
        <w:rPr>
          <w:i/>
          <w:spacing w:val="-3"/>
          <w:sz w:val="20"/>
        </w:rPr>
        <w:t xml:space="preserve"> </w:t>
      </w:r>
      <w:r>
        <w:rPr>
          <w:i/>
          <w:sz w:val="20"/>
        </w:rPr>
        <w:t>Australia</w:t>
      </w:r>
      <w:r>
        <w:rPr>
          <w:i/>
          <w:spacing w:val="-1"/>
          <w:sz w:val="20"/>
        </w:rPr>
        <w:t xml:space="preserve"> </w:t>
      </w:r>
      <w:r>
        <w:rPr>
          <w:spacing w:val="-2"/>
          <w:sz w:val="20"/>
        </w:rPr>
        <w:t>(DS602)</w:t>
      </w:r>
      <w:r>
        <w:rPr>
          <w:sz w:val="20"/>
        </w:rPr>
        <w:tab/>
        <w:t>29</w:t>
      </w:r>
      <w:r>
        <w:rPr>
          <w:spacing w:val="-1"/>
          <w:sz w:val="20"/>
        </w:rPr>
        <w:t xml:space="preserve"> </w:t>
      </w:r>
      <w:r>
        <w:rPr>
          <w:sz w:val="20"/>
        </w:rPr>
        <w:t>April</w:t>
      </w:r>
      <w:r>
        <w:rPr>
          <w:spacing w:val="-2"/>
          <w:sz w:val="20"/>
        </w:rPr>
        <w:t xml:space="preserve"> </w:t>
      </w:r>
      <w:r>
        <w:rPr>
          <w:spacing w:val="-4"/>
          <w:sz w:val="20"/>
        </w:rPr>
        <w:t>2022</w:t>
      </w:r>
    </w:p>
    <w:p w14:paraId="51DE8B7E" w14:textId="77777777" w:rsidR="0010369C" w:rsidRDefault="008E43AE">
      <w:pPr>
        <w:pStyle w:val="ListParagraph"/>
        <w:numPr>
          <w:ilvl w:val="1"/>
          <w:numId w:val="75"/>
        </w:numPr>
        <w:tabs>
          <w:tab w:val="left" w:pos="1939"/>
          <w:tab w:val="left" w:pos="1940"/>
        </w:tabs>
        <w:spacing w:before="35" w:line="400" w:lineRule="auto"/>
        <w:ind w:left="1940" w:right="612" w:hanging="852"/>
        <w:jc w:val="left"/>
        <w:rPr>
          <w:b/>
          <w:sz w:val="28"/>
        </w:rPr>
      </w:pPr>
      <w:r>
        <w:rPr>
          <w:b/>
          <w:sz w:val="28"/>
        </w:rPr>
        <w:t xml:space="preserve">MOFCOM </w:t>
      </w:r>
      <w:r>
        <w:rPr>
          <w:b/>
        </w:rPr>
        <w:t>FAILED TO MAKE A FAIR COMPARISON BETWEEN NORMAL VALUE AND EXPORT PRICE</w:t>
      </w:r>
    </w:p>
    <w:p w14:paraId="51DE8B7F" w14:textId="77777777" w:rsidR="0010369C" w:rsidRDefault="0010369C">
      <w:pPr>
        <w:pStyle w:val="BodyText"/>
        <w:spacing w:before="3"/>
        <w:rPr>
          <w:b/>
          <w:sz w:val="9"/>
        </w:rPr>
      </w:pPr>
    </w:p>
    <w:p w14:paraId="51DE8B80" w14:textId="77777777" w:rsidR="0010369C" w:rsidRDefault="008E43AE">
      <w:pPr>
        <w:pStyle w:val="BodyText"/>
        <w:spacing w:before="52" w:line="360" w:lineRule="auto"/>
        <w:ind w:left="237" w:right="612" w:firstLine="851"/>
        <w:jc w:val="both"/>
      </w:pPr>
      <w:r>
        <w:rPr>
          <w:noProof/>
        </w:rPr>
        <w:drawing>
          <wp:anchor distT="0" distB="0" distL="0" distR="0" simplePos="0" relativeHeight="251132416" behindDoc="1" locked="0" layoutInCell="1" allowOverlap="1" wp14:anchorId="51DEA3A4" wp14:editId="51DEA3A5">
            <wp:simplePos x="0" y="0"/>
            <wp:positionH relativeFrom="page">
              <wp:posOffset>899160</wp:posOffset>
            </wp:positionH>
            <wp:positionV relativeFrom="paragraph">
              <wp:posOffset>81357</wp:posOffset>
            </wp:positionV>
            <wp:extent cx="265175" cy="103631"/>
            <wp:effectExtent l="0" t="0" r="0" b="0"/>
            <wp:wrapNone/>
            <wp:docPr id="983" name="image5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 name="image502.png"/>
                    <pic:cNvPicPr/>
                  </pic:nvPicPr>
                  <pic:blipFill>
                    <a:blip r:embed="rId660" cstate="print"/>
                    <a:stretch>
                      <a:fillRect/>
                    </a:stretch>
                  </pic:blipFill>
                  <pic:spPr>
                    <a:xfrm>
                      <a:off x="0" y="0"/>
                      <a:ext cx="265175" cy="103631"/>
                    </a:xfrm>
                    <a:prstGeom prst="rect">
                      <a:avLst/>
                    </a:prstGeom>
                  </pic:spPr>
                </pic:pic>
              </a:graphicData>
            </a:graphic>
          </wp:anchor>
        </w:drawing>
      </w:r>
      <w:r>
        <w:t>Australia</w:t>
      </w:r>
      <w:r>
        <w:rPr>
          <w:spacing w:val="-2"/>
        </w:rPr>
        <w:t xml:space="preserve"> </w:t>
      </w:r>
      <w:r>
        <w:t>submits</w:t>
      </w:r>
      <w:r>
        <w:rPr>
          <w:spacing w:val="-2"/>
        </w:rPr>
        <w:t xml:space="preserve"> </w:t>
      </w:r>
      <w:r>
        <w:t>that MOFCOM</w:t>
      </w:r>
      <w:r>
        <w:rPr>
          <w:spacing w:val="-1"/>
        </w:rPr>
        <w:t xml:space="preserve"> </w:t>
      </w:r>
      <w:r>
        <w:t>determined</w:t>
      </w:r>
      <w:r>
        <w:rPr>
          <w:spacing w:val="-1"/>
        </w:rPr>
        <w:t xml:space="preserve"> </w:t>
      </w:r>
      <w:r>
        <w:t>normal</w:t>
      </w:r>
      <w:r>
        <w:rPr>
          <w:spacing w:val="-1"/>
        </w:rPr>
        <w:t xml:space="preserve"> </w:t>
      </w:r>
      <w:r>
        <w:t>value</w:t>
      </w:r>
      <w:r>
        <w:rPr>
          <w:spacing w:val="-2"/>
        </w:rPr>
        <w:t xml:space="preserve"> </w:t>
      </w:r>
      <w:r>
        <w:t>and</w:t>
      </w:r>
      <w:r>
        <w:rPr>
          <w:spacing w:val="-2"/>
        </w:rPr>
        <w:t xml:space="preserve"> </w:t>
      </w:r>
      <w:r>
        <w:t>export</w:t>
      </w:r>
      <w:r>
        <w:rPr>
          <w:spacing w:val="-3"/>
        </w:rPr>
        <w:t xml:space="preserve"> </w:t>
      </w:r>
      <w:r>
        <w:t>price</w:t>
      </w:r>
      <w:r>
        <w:rPr>
          <w:spacing w:val="-1"/>
        </w:rPr>
        <w:t xml:space="preserve"> </w:t>
      </w:r>
      <w:r>
        <w:t>for</w:t>
      </w:r>
      <w:r>
        <w:rPr>
          <w:spacing w:val="-1"/>
        </w:rPr>
        <w:t xml:space="preserve"> </w:t>
      </w:r>
      <w:r>
        <w:t>each sampled company in a manner inconsistent with Article 6.8 and Annex II, and failed to make its determin</w:t>
      </w:r>
      <w:r>
        <w:t xml:space="preserve">ations in accordance with Article 2 of the Anti‐Dumping Agreement. As a consequence, it did not correctly establish the two "component elements" of a fair comparison and could not then have made a fair comparison between these values to determine accurate </w:t>
      </w:r>
      <w:r>
        <w:t>margins of dumping for each sampled company.</w:t>
      </w:r>
      <w:r>
        <w:rPr>
          <w:vertAlign w:val="superscript"/>
        </w:rPr>
        <w:t>529</w:t>
      </w:r>
    </w:p>
    <w:p w14:paraId="51DE8B81" w14:textId="77777777" w:rsidR="0010369C" w:rsidRDefault="0010369C">
      <w:pPr>
        <w:pStyle w:val="BodyText"/>
        <w:spacing w:before="11"/>
        <w:rPr>
          <w:sz w:val="8"/>
        </w:rPr>
      </w:pPr>
    </w:p>
    <w:p w14:paraId="51DE8B82" w14:textId="77777777" w:rsidR="0010369C" w:rsidRDefault="008E43AE">
      <w:pPr>
        <w:pStyle w:val="BodyText"/>
        <w:spacing w:before="51" w:line="360" w:lineRule="auto"/>
        <w:ind w:left="237" w:right="611" w:firstLine="852"/>
        <w:jc w:val="both"/>
      </w:pPr>
      <w:r>
        <w:rPr>
          <w:noProof/>
        </w:rPr>
        <w:drawing>
          <wp:anchor distT="0" distB="0" distL="0" distR="0" simplePos="0" relativeHeight="251133440" behindDoc="1" locked="0" layoutInCell="1" allowOverlap="1" wp14:anchorId="51DEA3A6" wp14:editId="51DEA3A7">
            <wp:simplePos x="0" y="0"/>
            <wp:positionH relativeFrom="page">
              <wp:posOffset>899160</wp:posOffset>
            </wp:positionH>
            <wp:positionV relativeFrom="paragraph">
              <wp:posOffset>81314</wp:posOffset>
            </wp:positionV>
            <wp:extent cx="265175" cy="100753"/>
            <wp:effectExtent l="0" t="0" r="0" b="0"/>
            <wp:wrapNone/>
            <wp:docPr id="985" name="image5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 name="image503.png"/>
                    <pic:cNvPicPr/>
                  </pic:nvPicPr>
                  <pic:blipFill>
                    <a:blip r:embed="rId661" cstate="print"/>
                    <a:stretch>
                      <a:fillRect/>
                    </a:stretch>
                  </pic:blipFill>
                  <pic:spPr>
                    <a:xfrm>
                      <a:off x="0" y="0"/>
                      <a:ext cx="265175" cy="100753"/>
                    </a:xfrm>
                    <a:prstGeom prst="rect">
                      <a:avLst/>
                    </a:prstGeom>
                  </pic:spPr>
                </pic:pic>
              </a:graphicData>
            </a:graphic>
          </wp:anchor>
        </w:drawing>
      </w:r>
      <w:r>
        <w:t xml:space="preserve">Assuming, </w:t>
      </w:r>
      <w:r>
        <w:rPr>
          <w:i/>
        </w:rPr>
        <w:t>arguendo</w:t>
      </w:r>
      <w:r>
        <w:t>, that the Panel finds MOFCOM's calculation of normal values and export prices for each sampled company to be WTO‐consistent, Australia submits that MOFCOM failed to make a fair comparison</w:t>
      </w:r>
      <w:r>
        <w:t xml:space="preserve"> between the normal values and export prices as required by Article 2.4 of the Anti‐Dumping Agreement. That provision applies to margins of dumping determined by MOFCOM for the three sampled companies.</w:t>
      </w:r>
    </w:p>
    <w:p w14:paraId="51DE8B83" w14:textId="77777777" w:rsidR="0010369C" w:rsidRDefault="0010369C">
      <w:pPr>
        <w:pStyle w:val="BodyText"/>
        <w:spacing w:before="11"/>
        <w:rPr>
          <w:sz w:val="8"/>
        </w:rPr>
      </w:pPr>
    </w:p>
    <w:p w14:paraId="51DE8B84" w14:textId="77777777" w:rsidR="0010369C" w:rsidRDefault="008E43AE">
      <w:pPr>
        <w:pStyle w:val="BodyText"/>
        <w:spacing w:before="51" w:after="3" w:line="360" w:lineRule="auto"/>
        <w:ind w:left="237" w:right="614" w:firstLine="851"/>
        <w:jc w:val="both"/>
      </w:pPr>
      <w:r>
        <w:rPr>
          <w:noProof/>
        </w:rPr>
        <w:drawing>
          <wp:anchor distT="0" distB="0" distL="0" distR="0" simplePos="0" relativeHeight="251134464" behindDoc="1" locked="0" layoutInCell="1" allowOverlap="1" wp14:anchorId="51DEA3A8" wp14:editId="51DEA3A9">
            <wp:simplePos x="0" y="0"/>
            <wp:positionH relativeFrom="page">
              <wp:posOffset>899160</wp:posOffset>
            </wp:positionH>
            <wp:positionV relativeFrom="paragraph">
              <wp:posOffset>81315</wp:posOffset>
            </wp:positionV>
            <wp:extent cx="265175" cy="100753"/>
            <wp:effectExtent l="0" t="0" r="0" b="0"/>
            <wp:wrapNone/>
            <wp:docPr id="987" name="image5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 name="image504.png"/>
                    <pic:cNvPicPr/>
                  </pic:nvPicPr>
                  <pic:blipFill>
                    <a:blip r:embed="rId662" cstate="print"/>
                    <a:stretch>
                      <a:fillRect/>
                    </a:stretch>
                  </pic:blipFill>
                  <pic:spPr>
                    <a:xfrm>
                      <a:off x="0" y="0"/>
                      <a:ext cx="265175" cy="100753"/>
                    </a:xfrm>
                    <a:prstGeom prst="rect">
                      <a:avLst/>
                    </a:prstGeom>
                  </pic:spPr>
                </pic:pic>
              </a:graphicData>
            </a:graphic>
          </wp:anchor>
        </w:drawing>
      </w:r>
      <w:r>
        <w:pict w14:anchorId="51DEA3AA">
          <v:rect id="docshape944" o:spid="_x0000_s1413" style="position:absolute;left:0;text-align:left;margin-left:279.9pt;margin-top:46.65pt;width:243.4pt;height:16.05pt;z-index:-251301376;mso-position-horizontal-relative:page;mso-position-vertical-relative:text" fillcolor="black" stroked="f">
            <w10:wrap anchorx="page"/>
          </v:rect>
        </w:pict>
      </w:r>
      <w:r>
        <w:t xml:space="preserve">The adjustments required by MOFCOM to make a fair comparison for the three sampled companies were affected by, </w:t>
      </w:r>
      <w:r>
        <w:rPr>
          <w:i/>
        </w:rPr>
        <w:t>inter alia</w:t>
      </w:r>
      <w:r>
        <w:t>, the methodologies used to establish their normal values.</w:t>
      </w:r>
      <w:r>
        <w:rPr>
          <w:vertAlign w:val="superscript"/>
        </w:rPr>
        <w:t>530</w:t>
      </w:r>
      <w:r>
        <w:t xml:space="preserve"> As explained above</w:t>
      </w:r>
      <w:r>
        <w:rPr>
          <w:vertAlign w:val="superscript"/>
        </w:rPr>
        <w:t>531</w:t>
      </w:r>
      <w:r>
        <w:t>, [[</w:t>
      </w:r>
    </w:p>
    <w:p w14:paraId="51DE8B85" w14:textId="77777777" w:rsidR="0010369C" w:rsidRDefault="008E43AE">
      <w:pPr>
        <w:pStyle w:val="BodyText"/>
        <w:ind w:left="218"/>
        <w:rPr>
          <w:sz w:val="20"/>
        </w:rPr>
      </w:pPr>
      <w:r>
        <w:rPr>
          <w:sz w:val="20"/>
        </w:rPr>
      </w:r>
      <w:r>
        <w:rPr>
          <w:sz w:val="20"/>
        </w:rPr>
        <w:pict w14:anchorId="51DEA3AC">
          <v:group id="docshapegroup945" o:spid="_x0000_s1411" style="width:453.55pt;height:16.1pt;mso-position-horizontal-relative:char;mso-position-vertical-relative:line" coordsize="9071,322">
            <v:rect id="docshape946" o:spid="_x0000_s1412" style="position:absolute;width:9071;height:322" fillcolor="black" stroked="f"/>
            <w10:anchorlock/>
          </v:group>
        </w:pict>
      </w:r>
    </w:p>
    <w:p w14:paraId="51DE8B86" w14:textId="77777777" w:rsidR="0010369C" w:rsidRDefault="0010369C">
      <w:pPr>
        <w:pStyle w:val="BodyText"/>
        <w:spacing w:before="8"/>
        <w:rPr>
          <w:sz w:val="5"/>
        </w:rPr>
      </w:pPr>
    </w:p>
    <w:p w14:paraId="51DE8B87" w14:textId="77777777" w:rsidR="0010369C" w:rsidRDefault="0010369C">
      <w:pPr>
        <w:rPr>
          <w:sz w:val="5"/>
        </w:rPr>
        <w:sectPr w:rsidR="0010369C">
          <w:headerReference w:type="default" r:id="rId663"/>
          <w:footerReference w:type="default" r:id="rId664"/>
          <w:pgSz w:w="11910" w:h="16840"/>
          <w:pgMar w:top="880" w:right="800" w:bottom="980" w:left="1180" w:header="569" w:footer="788" w:gutter="0"/>
          <w:pgNumType w:start="176"/>
          <w:cols w:space="720"/>
        </w:sectPr>
      </w:pPr>
    </w:p>
    <w:p w14:paraId="51DE8B88" w14:textId="77777777" w:rsidR="0010369C" w:rsidRDefault="0010369C">
      <w:pPr>
        <w:pStyle w:val="BodyText"/>
      </w:pPr>
    </w:p>
    <w:p w14:paraId="51DE8B89" w14:textId="77777777" w:rsidR="0010369C" w:rsidRDefault="008E43AE">
      <w:pPr>
        <w:pStyle w:val="BodyText"/>
        <w:spacing w:before="160"/>
        <w:ind w:left="237"/>
      </w:pPr>
      <w:r>
        <w:t>not</w:t>
      </w:r>
      <w:r>
        <w:rPr>
          <w:spacing w:val="-6"/>
        </w:rPr>
        <w:t xml:space="preserve"> </w:t>
      </w:r>
      <w:r>
        <w:t>pass</w:t>
      </w:r>
      <w:r>
        <w:rPr>
          <w:spacing w:val="-5"/>
        </w:rPr>
        <w:t xml:space="preserve"> </w:t>
      </w:r>
      <w:r>
        <w:t>the</w:t>
      </w:r>
      <w:r>
        <w:rPr>
          <w:spacing w:val="-7"/>
        </w:rPr>
        <w:t xml:space="preserve"> </w:t>
      </w:r>
      <w:r>
        <w:t>"below</w:t>
      </w:r>
      <w:r>
        <w:rPr>
          <w:spacing w:val="-7"/>
        </w:rPr>
        <w:t xml:space="preserve"> </w:t>
      </w:r>
      <w:r>
        <w:t>cost"</w:t>
      </w:r>
      <w:r>
        <w:rPr>
          <w:spacing w:val="-6"/>
        </w:rPr>
        <w:t xml:space="preserve"> </w:t>
      </w:r>
      <w:r>
        <w:t>and</w:t>
      </w:r>
      <w:r>
        <w:rPr>
          <w:spacing w:val="-6"/>
        </w:rPr>
        <w:t xml:space="preserve"> </w:t>
      </w:r>
      <w:r>
        <w:t>"low</w:t>
      </w:r>
      <w:r>
        <w:rPr>
          <w:spacing w:val="-6"/>
        </w:rPr>
        <w:t xml:space="preserve"> </w:t>
      </w:r>
      <w:r>
        <w:t>volume"</w:t>
      </w:r>
      <w:r>
        <w:rPr>
          <w:spacing w:val="-7"/>
        </w:rPr>
        <w:t xml:space="preserve"> </w:t>
      </w:r>
      <w:r>
        <w:t>tests,</w:t>
      </w:r>
      <w:r>
        <w:rPr>
          <w:spacing w:val="-6"/>
        </w:rPr>
        <w:t xml:space="preserve"> </w:t>
      </w:r>
      <w:r>
        <w:t>MOFCOM</w:t>
      </w:r>
      <w:r>
        <w:rPr>
          <w:spacing w:val="-6"/>
        </w:rPr>
        <w:t xml:space="preserve"> </w:t>
      </w:r>
      <w:r>
        <w:t>used</w:t>
      </w:r>
      <w:r>
        <w:rPr>
          <w:spacing w:val="-6"/>
        </w:rPr>
        <w:t xml:space="preserve"> </w:t>
      </w:r>
      <w:r>
        <w:t>the</w:t>
      </w:r>
      <w:r>
        <w:rPr>
          <w:spacing w:val="-6"/>
        </w:rPr>
        <w:t xml:space="preserve"> </w:t>
      </w:r>
      <w:r>
        <w:rPr>
          <w:spacing w:val="-5"/>
        </w:rPr>
        <w:t>[[</w:t>
      </w:r>
    </w:p>
    <w:p w14:paraId="51DE8B8A" w14:textId="77777777" w:rsidR="0010369C" w:rsidRDefault="008E43AE">
      <w:pPr>
        <w:pStyle w:val="BodyText"/>
        <w:spacing w:before="13"/>
        <w:ind w:right="615"/>
        <w:jc w:val="right"/>
      </w:pPr>
      <w:r>
        <w:br w:type="column"/>
      </w:r>
      <w:r>
        <w:t>]].</w:t>
      </w:r>
      <w:r>
        <w:rPr>
          <w:spacing w:val="6"/>
        </w:rPr>
        <w:t xml:space="preserve"> </w:t>
      </w:r>
      <w:r>
        <w:t>Where</w:t>
      </w:r>
      <w:r>
        <w:rPr>
          <w:spacing w:val="6"/>
        </w:rPr>
        <w:t xml:space="preserve"> </w:t>
      </w:r>
      <w:r>
        <w:t>a</w:t>
      </w:r>
      <w:r>
        <w:rPr>
          <w:spacing w:val="7"/>
        </w:rPr>
        <w:t xml:space="preserve"> </w:t>
      </w:r>
      <w:r>
        <w:t>PCN</w:t>
      </w:r>
      <w:r>
        <w:rPr>
          <w:spacing w:val="6"/>
        </w:rPr>
        <w:t xml:space="preserve"> </w:t>
      </w:r>
      <w:r>
        <w:rPr>
          <w:spacing w:val="-5"/>
        </w:rPr>
        <w:t>did</w:t>
      </w:r>
    </w:p>
    <w:p w14:paraId="51DE8B8B" w14:textId="77777777" w:rsidR="0010369C" w:rsidRDefault="008E43AE">
      <w:pPr>
        <w:pStyle w:val="BodyText"/>
        <w:spacing w:before="147"/>
        <w:ind w:right="615"/>
        <w:jc w:val="right"/>
      </w:pPr>
      <w:r>
        <w:pict w14:anchorId="51DEA3AD">
          <v:rect id="docshape947" o:spid="_x0000_s1410" style="position:absolute;left:0;text-align:left;margin-left:69.9pt;margin-top:-14.55pt;width:355.45pt;height:16.05pt;z-index:251850240;mso-position-horizontal-relative:page" fillcolor="black" stroked="f">
            <w10:wrap anchorx="page"/>
          </v:rect>
        </w:pict>
      </w:r>
      <w:r>
        <w:pict w14:anchorId="51DEA3AE">
          <v:rect id="docshape948" o:spid="_x0000_s1409" style="position:absolute;left:0;text-align:left;margin-left:420.6pt;margin-top:7.45pt;width:54.8pt;height:16.05pt;z-index:251851264;mso-position-horizontal-relative:page" fillcolor="black" stroked="f">
            <w10:wrap anchorx="page"/>
          </v:rect>
        </w:pict>
      </w:r>
      <w:r>
        <w:t>]]</w:t>
      </w:r>
      <w:r>
        <w:rPr>
          <w:spacing w:val="-5"/>
        </w:rPr>
        <w:t xml:space="preserve"> </w:t>
      </w:r>
      <w:r>
        <w:t>costs</w:t>
      </w:r>
      <w:r>
        <w:rPr>
          <w:spacing w:val="-4"/>
        </w:rPr>
        <w:t xml:space="preserve"> </w:t>
      </w:r>
      <w:r>
        <w:rPr>
          <w:spacing w:val="-5"/>
        </w:rPr>
        <w:t>to</w:t>
      </w:r>
    </w:p>
    <w:p w14:paraId="51DE8B8C" w14:textId="77777777" w:rsidR="0010369C" w:rsidRDefault="0010369C">
      <w:pPr>
        <w:jc w:val="right"/>
        <w:sectPr w:rsidR="0010369C">
          <w:type w:val="continuous"/>
          <w:pgSz w:w="11910" w:h="16840"/>
          <w:pgMar w:top="1460" w:right="800" w:bottom="280" w:left="1180" w:header="569" w:footer="788" w:gutter="0"/>
          <w:cols w:num="2" w:space="720" w:equalWidth="0">
            <w:col w:w="7253" w:space="40"/>
            <w:col w:w="2637"/>
          </w:cols>
        </w:sectPr>
      </w:pPr>
    </w:p>
    <w:p w14:paraId="51DE8B8D" w14:textId="77777777" w:rsidR="0010369C" w:rsidRDefault="008E43AE">
      <w:pPr>
        <w:pStyle w:val="BodyText"/>
        <w:tabs>
          <w:tab w:val="left" w:pos="4834"/>
        </w:tabs>
        <w:spacing w:before="146" w:line="360" w:lineRule="auto"/>
        <w:ind w:left="237" w:right="613"/>
        <w:jc w:val="both"/>
      </w:pPr>
      <w:r>
        <w:pict w14:anchorId="51DEA3AF">
          <v:rect id="docshape949" o:spid="_x0000_s1408" style="position:absolute;left:0;text-align:left;margin-left:144.6pt;margin-top:29.35pt;width:155.1pt;height:16.05pt;z-index:-251300352;mso-position-horizontal-relative:page" fillcolor="black" stroked="f">
            <w10:wrap anchorx="page"/>
          </v:rect>
        </w:pict>
      </w:r>
      <w:r>
        <w:t>construct</w:t>
      </w:r>
      <w:r>
        <w:rPr>
          <w:spacing w:val="-11"/>
        </w:rPr>
        <w:t xml:space="preserve"> </w:t>
      </w:r>
      <w:r>
        <w:t>normal</w:t>
      </w:r>
      <w:r>
        <w:rPr>
          <w:spacing w:val="-11"/>
        </w:rPr>
        <w:t xml:space="preserve"> </w:t>
      </w:r>
      <w:r>
        <w:t>value.</w:t>
      </w:r>
      <w:r>
        <w:rPr>
          <w:spacing w:val="-13"/>
        </w:rPr>
        <w:t xml:space="preserve"> </w:t>
      </w:r>
      <w:r>
        <w:t>Those</w:t>
      </w:r>
      <w:r>
        <w:rPr>
          <w:spacing w:val="-10"/>
        </w:rPr>
        <w:t xml:space="preserve"> </w:t>
      </w:r>
      <w:r>
        <w:t>constructed</w:t>
      </w:r>
      <w:r>
        <w:rPr>
          <w:spacing w:val="-12"/>
        </w:rPr>
        <w:t xml:space="preserve"> </w:t>
      </w:r>
      <w:r>
        <w:t>normal</w:t>
      </w:r>
      <w:r>
        <w:rPr>
          <w:spacing w:val="-11"/>
        </w:rPr>
        <w:t xml:space="preserve"> </w:t>
      </w:r>
      <w:r>
        <w:t>values</w:t>
      </w:r>
      <w:r>
        <w:rPr>
          <w:spacing w:val="-12"/>
        </w:rPr>
        <w:t xml:space="preserve"> </w:t>
      </w:r>
      <w:r>
        <w:t>were</w:t>
      </w:r>
      <w:r>
        <w:rPr>
          <w:spacing w:val="-11"/>
        </w:rPr>
        <w:t xml:space="preserve"> </w:t>
      </w:r>
      <w:r>
        <w:t>similarly</w:t>
      </w:r>
      <w:r>
        <w:rPr>
          <w:spacing w:val="-10"/>
        </w:rPr>
        <w:t xml:space="preserve"> </w:t>
      </w:r>
      <w:r>
        <w:t>inflated</w:t>
      </w:r>
      <w:r>
        <w:rPr>
          <w:spacing w:val="-11"/>
        </w:rPr>
        <w:t xml:space="preserve"> </w:t>
      </w:r>
      <w:r>
        <w:t>because</w:t>
      </w:r>
      <w:r>
        <w:rPr>
          <w:spacing w:val="-10"/>
        </w:rPr>
        <w:t xml:space="preserve"> </w:t>
      </w:r>
      <w:r>
        <w:t>they reflected the [[</w:t>
      </w:r>
      <w:r>
        <w:tab/>
        <w:t>]]. The Treasury Wines' domestic "sales" that passed</w:t>
      </w:r>
      <w:r>
        <w:rPr>
          <w:spacing w:val="-14"/>
        </w:rPr>
        <w:t xml:space="preserve"> </w:t>
      </w:r>
      <w:r>
        <w:t>the</w:t>
      </w:r>
      <w:r>
        <w:rPr>
          <w:spacing w:val="-14"/>
        </w:rPr>
        <w:t xml:space="preserve"> </w:t>
      </w:r>
      <w:r>
        <w:t>tests</w:t>
      </w:r>
      <w:r>
        <w:rPr>
          <w:spacing w:val="-13"/>
        </w:rPr>
        <w:t xml:space="preserve"> </w:t>
      </w:r>
      <w:r>
        <w:t>then</w:t>
      </w:r>
      <w:r>
        <w:rPr>
          <w:spacing w:val="-14"/>
        </w:rPr>
        <w:t xml:space="preserve"> </w:t>
      </w:r>
      <w:r>
        <w:t>formed</w:t>
      </w:r>
      <w:r>
        <w:rPr>
          <w:spacing w:val="-13"/>
        </w:rPr>
        <w:t xml:space="preserve"> </w:t>
      </w:r>
      <w:r>
        <w:t>part,</w:t>
      </w:r>
      <w:r>
        <w:rPr>
          <w:spacing w:val="-14"/>
        </w:rPr>
        <w:t xml:space="preserve"> </w:t>
      </w:r>
      <w:r>
        <w:t>or</w:t>
      </w:r>
      <w:r>
        <w:rPr>
          <w:spacing w:val="-13"/>
        </w:rPr>
        <w:t xml:space="preserve"> </w:t>
      </w:r>
      <w:r>
        <w:t>potentially</w:t>
      </w:r>
      <w:r>
        <w:rPr>
          <w:spacing w:val="-14"/>
        </w:rPr>
        <w:t xml:space="preserve"> </w:t>
      </w:r>
      <w:r>
        <w:t>the</w:t>
      </w:r>
      <w:r>
        <w:rPr>
          <w:spacing w:val="-14"/>
        </w:rPr>
        <w:t xml:space="preserve"> </w:t>
      </w:r>
      <w:r>
        <w:t>entirety</w:t>
      </w:r>
      <w:r>
        <w:rPr>
          <w:spacing w:val="-13"/>
        </w:rPr>
        <w:t xml:space="preserve"> </w:t>
      </w:r>
      <w:r>
        <w:t>of,</w:t>
      </w:r>
      <w:r>
        <w:rPr>
          <w:spacing w:val="-14"/>
        </w:rPr>
        <w:t xml:space="preserve"> </w:t>
      </w:r>
      <w:r>
        <w:t>t</w:t>
      </w:r>
      <w:r>
        <w:t>he</w:t>
      </w:r>
      <w:r>
        <w:rPr>
          <w:spacing w:val="-13"/>
        </w:rPr>
        <w:t xml:space="preserve"> </w:t>
      </w:r>
      <w:r>
        <w:t>"other</w:t>
      </w:r>
      <w:r>
        <w:rPr>
          <w:spacing w:val="-14"/>
        </w:rPr>
        <w:t xml:space="preserve"> </w:t>
      </w:r>
      <w:r>
        <w:t>respondents"</w:t>
      </w:r>
      <w:r>
        <w:rPr>
          <w:spacing w:val="-13"/>
        </w:rPr>
        <w:t xml:space="preserve"> </w:t>
      </w:r>
      <w:r>
        <w:t>sales that</w:t>
      </w:r>
      <w:r>
        <w:rPr>
          <w:spacing w:val="-8"/>
        </w:rPr>
        <w:t xml:space="preserve"> </w:t>
      </w:r>
      <w:r>
        <w:t>MOFCOM</w:t>
      </w:r>
      <w:r>
        <w:rPr>
          <w:spacing w:val="-7"/>
        </w:rPr>
        <w:t xml:space="preserve"> </w:t>
      </w:r>
      <w:r>
        <w:t>used</w:t>
      </w:r>
      <w:r>
        <w:rPr>
          <w:spacing w:val="-8"/>
        </w:rPr>
        <w:t xml:space="preserve"> </w:t>
      </w:r>
      <w:r>
        <w:t>to</w:t>
      </w:r>
      <w:r>
        <w:rPr>
          <w:spacing w:val="-7"/>
        </w:rPr>
        <w:t xml:space="preserve"> </w:t>
      </w:r>
      <w:r>
        <w:t>calculate</w:t>
      </w:r>
      <w:r>
        <w:rPr>
          <w:spacing w:val="-7"/>
        </w:rPr>
        <w:t xml:space="preserve"> </w:t>
      </w:r>
      <w:r>
        <w:t>the</w:t>
      </w:r>
      <w:r>
        <w:rPr>
          <w:spacing w:val="-8"/>
        </w:rPr>
        <w:t xml:space="preserve"> </w:t>
      </w:r>
      <w:r>
        <w:t>normal</w:t>
      </w:r>
      <w:r>
        <w:rPr>
          <w:spacing w:val="-7"/>
        </w:rPr>
        <w:t xml:space="preserve"> </w:t>
      </w:r>
      <w:r>
        <w:t>values</w:t>
      </w:r>
      <w:r>
        <w:rPr>
          <w:spacing w:val="-9"/>
        </w:rPr>
        <w:t xml:space="preserve"> </w:t>
      </w:r>
      <w:r>
        <w:t>for</w:t>
      </w:r>
      <w:r>
        <w:rPr>
          <w:spacing w:val="-7"/>
        </w:rPr>
        <w:t xml:space="preserve"> </w:t>
      </w:r>
      <w:r>
        <w:t>Casella</w:t>
      </w:r>
      <w:r>
        <w:rPr>
          <w:spacing w:val="-7"/>
        </w:rPr>
        <w:t xml:space="preserve"> </w:t>
      </w:r>
      <w:r>
        <w:t>Wines</w:t>
      </w:r>
      <w:r>
        <w:rPr>
          <w:spacing w:val="-8"/>
        </w:rPr>
        <w:t xml:space="preserve"> </w:t>
      </w:r>
      <w:r>
        <w:t>and</w:t>
      </w:r>
      <w:r>
        <w:rPr>
          <w:spacing w:val="-9"/>
        </w:rPr>
        <w:t xml:space="preserve"> </w:t>
      </w:r>
      <w:r>
        <w:t>Swan</w:t>
      </w:r>
      <w:r>
        <w:rPr>
          <w:spacing w:val="-7"/>
        </w:rPr>
        <w:t xml:space="preserve"> </w:t>
      </w:r>
      <w:r>
        <w:t>Vintage.</w:t>
      </w:r>
      <w:r>
        <w:rPr>
          <w:spacing w:val="-7"/>
        </w:rPr>
        <w:t xml:space="preserve"> </w:t>
      </w:r>
      <w:r>
        <w:t>Given MOFCOM's</w:t>
      </w:r>
      <w:r>
        <w:rPr>
          <w:spacing w:val="-1"/>
        </w:rPr>
        <w:t xml:space="preserve"> </w:t>
      </w:r>
      <w:r>
        <w:t>methodologies,</w:t>
      </w:r>
      <w:r>
        <w:rPr>
          <w:spacing w:val="-1"/>
        </w:rPr>
        <w:t xml:space="preserve"> </w:t>
      </w:r>
      <w:r>
        <w:t>these</w:t>
      </w:r>
      <w:r>
        <w:rPr>
          <w:spacing w:val="-2"/>
        </w:rPr>
        <w:t xml:space="preserve"> </w:t>
      </w:r>
      <w:r>
        <w:t>sales</w:t>
      </w:r>
      <w:r>
        <w:rPr>
          <w:spacing w:val="-1"/>
        </w:rPr>
        <w:t xml:space="preserve"> </w:t>
      </w:r>
      <w:r>
        <w:t>were not</w:t>
      </w:r>
      <w:r>
        <w:rPr>
          <w:spacing w:val="-2"/>
        </w:rPr>
        <w:t xml:space="preserve"> </w:t>
      </w:r>
      <w:r>
        <w:t>representative</w:t>
      </w:r>
      <w:r>
        <w:rPr>
          <w:spacing w:val="-1"/>
        </w:rPr>
        <w:t xml:space="preserve"> </w:t>
      </w:r>
      <w:r>
        <w:t>of</w:t>
      </w:r>
      <w:r>
        <w:rPr>
          <w:spacing w:val="-3"/>
        </w:rPr>
        <w:t xml:space="preserve"> </w:t>
      </w:r>
      <w:r>
        <w:t>Treasury</w:t>
      </w:r>
      <w:r>
        <w:rPr>
          <w:spacing w:val="-1"/>
        </w:rPr>
        <w:t xml:space="preserve"> </w:t>
      </w:r>
      <w:r>
        <w:t>Wines'</w:t>
      </w:r>
      <w:r>
        <w:rPr>
          <w:spacing w:val="-2"/>
        </w:rPr>
        <w:t xml:space="preserve"> </w:t>
      </w:r>
      <w:r>
        <w:t>domestic</w:t>
      </w:r>
    </w:p>
    <w:p w14:paraId="51DE8B8E" w14:textId="77777777" w:rsidR="0010369C" w:rsidRDefault="0010369C">
      <w:pPr>
        <w:pStyle w:val="BodyText"/>
        <w:rPr>
          <w:sz w:val="20"/>
        </w:rPr>
      </w:pPr>
    </w:p>
    <w:p w14:paraId="51DE8B8F" w14:textId="77777777" w:rsidR="0010369C" w:rsidRDefault="008E43AE">
      <w:pPr>
        <w:pStyle w:val="BodyText"/>
        <w:spacing w:before="7"/>
        <w:rPr>
          <w:sz w:val="19"/>
        </w:rPr>
      </w:pPr>
      <w:r>
        <w:pict w14:anchorId="51DEA3B0">
          <v:rect id="docshape950" o:spid="_x0000_s1407" style="position:absolute;margin-left:70.9pt;margin-top:13.15pt;width:2in;height:.8pt;z-index:-250870272;mso-wrap-distance-left:0;mso-wrap-distance-right:0;mso-position-horizontal-relative:page" fillcolor="black" stroked="f">
            <w10:wrap type="topAndBottom" anchorx="page"/>
          </v:rect>
        </w:pict>
      </w:r>
    </w:p>
    <w:p w14:paraId="51DE8B90" w14:textId="77777777" w:rsidR="0010369C" w:rsidRDefault="008E43AE">
      <w:pPr>
        <w:spacing w:before="109"/>
        <w:ind w:left="239" w:right="611" w:hanging="1"/>
        <w:jc w:val="both"/>
        <w:rPr>
          <w:sz w:val="18"/>
        </w:rPr>
      </w:pPr>
      <w:r>
        <w:rPr>
          <w:sz w:val="18"/>
          <w:vertAlign w:val="superscript"/>
        </w:rPr>
        <w:t>529</w:t>
      </w:r>
      <w:r>
        <w:rPr>
          <w:sz w:val="18"/>
        </w:rPr>
        <w:t xml:space="preserve"> The requirement to make a fair comparison, set out in the first sentence of Article 2.4, presupposes that the component elements</w:t>
      </w:r>
      <w:r>
        <w:rPr>
          <w:spacing w:val="-5"/>
          <w:sz w:val="18"/>
        </w:rPr>
        <w:t xml:space="preserve"> </w:t>
      </w:r>
      <w:r>
        <w:rPr>
          <w:sz w:val="18"/>
        </w:rPr>
        <w:t>of</w:t>
      </w:r>
      <w:r>
        <w:rPr>
          <w:spacing w:val="-3"/>
          <w:sz w:val="18"/>
        </w:rPr>
        <w:t xml:space="preserve"> </w:t>
      </w:r>
      <w:r>
        <w:rPr>
          <w:sz w:val="18"/>
        </w:rPr>
        <w:t>the</w:t>
      </w:r>
      <w:r>
        <w:rPr>
          <w:spacing w:val="-4"/>
          <w:sz w:val="18"/>
        </w:rPr>
        <w:t xml:space="preserve"> </w:t>
      </w:r>
      <w:r>
        <w:rPr>
          <w:sz w:val="18"/>
        </w:rPr>
        <w:t>comparison</w:t>
      </w:r>
      <w:r>
        <w:rPr>
          <w:spacing w:val="-4"/>
          <w:sz w:val="18"/>
        </w:rPr>
        <w:t xml:space="preserve"> </w:t>
      </w:r>
      <w:r>
        <w:rPr>
          <w:sz w:val="18"/>
        </w:rPr>
        <w:t>–</w:t>
      </w:r>
      <w:r>
        <w:rPr>
          <w:spacing w:val="-3"/>
          <w:sz w:val="18"/>
        </w:rPr>
        <w:t xml:space="preserve"> </w:t>
      </w:r>
      <w:r>
        <w:rPr>
          <w:sz w:val="18"/>
        </w:rPr>
        <w:t>i.e.</w:t>
      </w:r>
      <w:r>
        <w:rPr>
          <w:spacing w:val="-3"/>
          <w:sz w:val="18"/>
        </w:rPr>
        <w:t xml:space="preserve"> </w:t>
      </w:r>
      <w:r>
        <w:rPr>
          <w:sz w:val="18"/>
        </w:rPr>
        <w:t>the</w:t>
      </w:r>
      <w:r>
        <w:rPr>
          <w:spacing w:val="-4"/>
          <w:sz w:val="18"/>
        </w:rPr>
        <w:t xml:space="preserve"> </w:t>
      </w:r>
      <w:r>
        <w:rPr>
          <w:sz w:val="18"/>
        </w:rPr>
        <w:t>normal</w:t>
      </w:r>
      <w:r>
        <w:rPr>
          <w:spacing w:val="-4"/>
          <w:sz w:val="18"/>
        </w:rPr>
        <w:t xml:space="preserve"> </w:t>
      </w:r>
      <w:r>
        <w:rPr>
          <w:sz w:val="18"/>
        </w:rPr>
        <w:t>value</w:t>
      </w:r>
      <w:r>
        <w:rPr>
          <w:spacing w:val="-3"/>
          <w:sz w:val="18"/>
        </w:rPr>
        <w:t xml:space="preserve"> </w:t>
      </w:r>
      <w:r>
        <w:rPr>
          <w:sz w:val="18"/>
        </w:rPr>
        <w:t>and</w:t>
      </w:r>
      <w:r>
        <w:rPr>
          <w:spacing w:val="-3"/>
          <w:sz w:val="18"/>
        </w:rPr>
        <w:t xml:space="preserve"> </w:t>
      </w:r>
      <w:r>
        <w:rPr>
          <w:sz w:val="18"/>
        </w:rPr>
        <w:t>the</w:t>
      </w:r>
      <w:r>
        <w:rPr>
          <w:spacing w:val="-4"/>
          <w:sz w:val="18"/>
        </w:rPr>
        <w:t xml:space="preserve"> </w:t>
      </w:r>
      <w:r>
        <w:rPr>
          <w:sz w:val="18"/>
        </w:rPr>
        <w:t>export</w:t>
      </w:r>
      <w:r>
        <w:rPr>
          <w:spacing w:val="-4"/>
          <w:sz w:val="18"/>
        </w:rPr>
        <w:t xml:space="preserve"> </w:t>
      </w:r>
      <w:r>
        <w:rPr>
          <w:sz w:val="18"/>
        </w:rPr>
        <w:t>price</w:t>
      </w:r>
      <w:r>
        <w:rPr>
          <w:spacing w:val="-3"/>
          <w:sz w:val="18"/>
        </w:rPr>
        <w:t xml:space="preserve"> </w:t>
      </w:r>
      <w:r>
        <w:rPr>
          <w:sz w:val="18"/>
        </w:rPr>
        <w:t>‐</w:t>
      </w:r>
      <w:r>
        <w:rPr>
          <w:spacing w:val="-3"/>
          <w:sz w:val="18"/>
        </w:rPr>
        <w:t xml:space="preserve"> </w:t>
      </w:r>
      <w:r>
        <w:rPr>
          <w:sz w:val="18"/>
        </w:rPr>
        <w:t>have</w:t>
      </w:r>
      <w:r>
        <w:rPr>
          <w:spacing w:val="-3"/>
          <w:sz w:val="18"/>
        </w:rPr>
        <w:t xml:space="preserve"> </w:t>
      </w:r>
      <w:r>
        <w:rPr>
          <w:sz w:val="18"/>
        </w:rPr>
        <w:t>already</w:t>
      </w:r>
      <w:r>
        <w:rPr>
          <w:spacing w:val="-4"/>
          <w:sz w:val="18"/>
        </w:rPr>
        <w:t xml:space="preserve"> </w:t>
      </w:r>
      <w:r>
        <w:rPr>
          <w:sz w:val="18"/>
        </w:rPr>
        <w:t>been</w:t>
      </w:r>
      <w:r>
        <w:rPr>
          <w:spacing w:val="-4"/>
          <w:sz w:val="18"/>
        </w:rPr>
        <w:t xml:space="preserve"> </w:t>
      </w:r>
      <w:r>
        <w:rPr>
          <w:sz w:val="18"/>
        </w:rPr>
        <w:t>established.</w:t>
      </w:r>
      <w:r>
        <w:rPr>
          <w:spacing w:val="-4"/>
          <w:sz w:val="18"/>
        </w:rPr>
        <w:t xml:space="preserve"> </w:t>
      </w:r>
      <w:r>
        <w:rPr>
          <w:sz w:val="18"/>
        </w:rPr>
        <w:t>The</w:t>
      </w:r>
      <w:r>
        <w:rPr>
          <w:spacing w:val="-3"/>
          <w:sz w:val="18"/>
        </w:rPr>
        <w:t xml:space="preserve"> </w:t>
      </w:r>
      <w:r>
        <w:rPr>
          <w:sz w:val="18"/>
        </w:rPr>
        <w:t>focus</w:t>
      </w:r>
      <w:r>
        <w:rPr>
          <w:spacing w:val="-3"/>
          <w:sz w:val="18"/>
        </w:rPr>
        <w:t xml:space="preserve"> </w:t>
      </w:r>
      <w:r>
        <w:rPr>
          <w:sz w:val="18"/>
        </w:rPr>
        <w:t>of</w:t>
      </w:r>
      <w:r>
        <w:rPr>
          <w:spacing w:val="-4"/>
          <w:sz w:val="18"/>
        </w:rPr>
        <w:t xml:space="preserve"> </w:t>
      </w:r>
      <w:r>
        <w:rPr>
          <w:sz w:val="18"/>
        </w:rPr>
        <w:t>Article</w:t>
      </w:r>
    </w:p>
    <w:p w14:paraId="51DE8B91" w14:textId="77777777" w:rsidR="0010369C" w:rsidRDefault="008E43AE">
      <w:pPr>
        <w:pStyle w:val="ListParagraph"/>
        <w:numPr>
          <w:ilvl w:val="1"/>
          <w:numId w:val="66"/>
        </w:numPr>
        <w:tabs>
          <w:tab w:val="left" w:pos="501"/>
        </w:tabs>
        <w:spacing w:before="0"/>
        <w:ind w:right="613" w:firstLine="0"/>
        <w:jc w:val="both"/>
        <w:rPr>
          <w:sz w:val="18"/>
        </w:rPr>
      </w:pPr>
      <w:r>
        <w:rPr>
          <w:sz w:val="18"/>
        </w:rPr>
        <w:t>is</w:t>
      </w:r>
      <w:r>
        <w:rPr>
          <w:spacing w:val="-9"/>
          <w:sz w:val="18"/>
        </w:rPr>
        <w:t xml:space="preserve"> </w:t>
      </w:r>
      <w:r>
        <w:rPr>
          <w:sz w:val="18"/>
        </w:rPr>
        <w:t>not</w:t>
      </w:r>
      <w:r>
        <w:rPr>
          <w:spacing w:val="-10"/>
          <w:sz w:val="18"/>
        </w:rPr>
        <w:t xml:space="preserve"> </w:t>
      </w:r>
      <w:r>
        <w:rPr>
          <w:sz w:val="18"/>
        </w:rPr>
        <w:t>merely</w:t>
      </w:r>
      <w:r>
        <w:rPr>
          <w:spacing w:val="-8"/>
          <w:sz w:val="18"/>
        </w:rPr>
        <w:t xml:space="preserve"> </w:t>
      </w:r>
      <w:r>
        <w:rPr>
          <w:sz w:val="18"/>
        </w:rPr>
        <w:t>on</w:t>
      </w:r>
      <w:r>
        <w:rPr>
          <w:spacing w:val="-9"/>
          <w:sz w:val="18"/>
        </w:rPr>
        <w:t xml:space="preserve"> </w:t>
      </w:r>
      <w:r>
        <w:rPr>
          <w:sz w:val="18"/>
        </w:rPr>
        <w:t>a</w:t>
      </w:r>
      <w:r>
        <w:rPr>
          <w:spacing w:val="-9"/>
          <w:sz w:val="18"/>
        </w:rPr>
        <w:t xml:space="preserve"> </w:t>
      </w:r>
      <w:r>
        <w:rPr>
          <w:sz w:val="18"/>
        </w:rPr>
        <w:t>comparison</w:t>
      </w:r>
      <w:r>
        <w:rPr>
          <w:spacing w:val="-10"/>
          <w:sz w:val="18"/>
        </w:rPr>
        <w:t xml:space="preserve"> </w:t>
      </w:r>
      <w:r>
        <w:rPr>
          <w:sz w:val="18"/>
        </w:rPr>
        <w:t>between</w:t>
      </w:r>
      <w:r>
        <w:rPr>
          <w:spacing w:val="-9"/>
          <w:sz w:val="18"/>
        </w:rPr>
        <w:t xml:space="preserve"> </w:t>
      </w:r>
      <w:r>
        <w:rPr>
          <w:sz w:val="18"/>
        </w:rPr>
        <w:t>the</w:t>
      </w:r>
      <w:r>
        <w:rPr>
          <w:spacing w:val="-9"/>
          <w:sz w:val="18"/>
        </w:rPr>
        <w:t xml:space="preserve"> </w:t>
      </w:r>
      <w:r>
        <w:rPr>
          <w:sz w:val="18"/>
        </w:rPr>
        <w:t>normal</w:t>
      </w:r>
      <w:r>
        <w:rPr>
          <w:spacing w:val="-10"/>
          <w:sz w:val="18"/>
        </w:rPr>
        <w:t xml:space="preserve"> </w:t>
      </w:r>
      <w:r>
        <w:rPr>
          <w:sz w:val="18"/>
        </w:rPr>
        <w:t>value</w:t>
      </w:r>
      <w:r>
        <w:rPr>
          <w:spacing w:val="-9"/>
          <w:sz w:val="18"/>
        </w:rPr>
        <w:t xml:space="preserve"> </w:t>
      </w:r>
      <w:r>
        <w:rPr>
          <w:sz w:val="18"/>
        </w:rPr>
        <w:t>and</w:t>
      </w:r>
      <w:r>
        <w:rPr>
          <w:spacing w:val="-8"/>
          <w:sz w:val="18"/>
        </w:rPr>
        <w:t xml:space="preserve"> </w:t>
      </w:r>
      <w:r>
        <w:rPr>
          <w:sz w:val="18"/>
        </w:rPr>
        <w:t>the</w:t>
      </w:r>
      <w:r>
        <w:rPr>
          <w:spacing w:val="-9"/>
          <w:sz w:val="18"/>
        </w:rPr>
        <w:t xml:space="preserve"> </w:t>
      </w:r>
      <w:r>
        <w:rPr>
          <w:sz w:val="18"/>
        </w:rPr>
        <w:t>export</w:t>
      </w:r>
      <w:r>
        <w:rPr>
          <w:spacing w:val="-10"/>
          <w:sz w:val="18"/>
        </w:rPr>
        <w:t xml:space="preserve"> </w:t>
      </w:r>
      <w:r>
        <w:rPr>
          <w:sz w:val="18"/>
        </w:rPr>
        <w:t>price,</w:t>
      </w:r>
      <w:r>
        <w:rPr>
          <w:spacing w:val="-8"/>
          <w:sz w:val="18"/>
        </w:rPr>
        <w:t xml:space="preserve"> </w:t>
      </w:r>
      <w:r>
        <w:rPr>
          <w:sz w:val="18"/>
        </w:rPr>
        <w:t>but</w:t>
      </w:r>
      <w:r>
        <w:rPr>
          <w:spacing w:val="-10"/>
          <w:sz w:val="18"/>
        </w:rPr>
        <w:t xml:space="preserve"> </w:t>
      </w:r>
      <w:r>
        <w:rPr>
          <w:sz w:val="18"/>
        </w:rPr>
        <w:t>predominantly</w:t>
      </w:r>
      <w:r>
        <w:rPr>
          <w:spacing w:val="-8"/>
          <w:sz w:val="18"/>
        </w:rPr>
        <w:t xml:space="preserve"> </w:t>
      </w:r>
      <w:r>
        <w:rPr>
          <w:sz w:val="18"/>
        </w:rPr>
        <w:t>on</w:t>
      </w:r>
      <w:r>
        <w:rPr>
          <w:spacing w:val="-8"/>
          <w:sz w:val="18"/>
        </w:rPr>
        <w:t xml:space="preserve"> </w:t>
      </w:r>
      <w:r>
        <w:rPr>
          <w:sz w:val="18"/>
        </w:rPr>
        <w:t>the</w:t>
      </w:r>
      <w:r>
        <w:rPr>
          <w:spacing w:val="-9"/>
          <w:sz w:val="18"/>
        </w:rPr>
        <w:t xml:space="preserve"> </w:t>
      </w:r>
      <w:r>
        <w:rPr>
          <w:sz w:val="18"/>
        </w:rPr>
        <w:t>means</w:t>
      </w:r>
      <w:r>
        <w:rPr>
          <w:spacing w:val="-10"/>
          <w:sz w:val="18"/>
        </w:rPr>
        <w:t xml:space="preserve"> </w:t>
      </w:r>
      <w:r>
        <w:rPr>
          <w:sz w:val="18"/>
        </w:rPr>
        <w:t>to</w:t>
      </w:r>
      <w:r>
        <w:rPr>
          <w:spacing w:val="-10"/>
          <w:sz w:val="18"/>
        </w:rPr>
        <w:t xml:space="preserve"> </w:t>
      </w:r>
      <w:r>
        <w:rPr>
          <w:sz w:val="18"/>
        </w:rPr>
        <w:t>ensure the</w:t>
      </w:r>
      <w:r>
        <w:rPr>
          <w:spacing w:val="-9"/>
          <w:sz w:val="18"/>
        </w:rPr>
        <w:t xml:space="preserve"> </w:t>
      </w:r>
      <w:r>
        <w:rPr>
          <w:sz w:val="18"/>
        </w:rPr>
        <w:t>fairness</w:t>
      </w:r>
      <w:r>
        <w:rPr>
          <w:spacing w:val="-9"/>
          <w:sz w:val="18"/>
        </w:rPr>
        <w:t xml:space="preserve"> </w:t>
      </w:r>
      <w:r>
        <w:rPr>
          <w:sz w:val="18"/>
        </w:rPr>
        <w:t>of</w:t>
      </w:r>
      <w:r>
        <w:rPr>
          <w:spacing w:val="-9"/>
          <w:sz w:val="18"/>
        </w:rPr>
        <w:t xml:space="preserve"> </w:t>
      </w:r>
      <w:r>
        <w:rPr>
          <w:sz w:val="18"/>
        </w:rPr>
        <w:t>that</w:t>
      </w:r>
      <w:r>
        <w:rPr>
          <w:spacing w:val="-10"/>
          <w:sz w:val="18"/>
        </w:rPr>
        <w:t xml:space="preserve"> </w:t>
      </w:r>
      <w:r>
        <w:rPr>
          <w:sz w:val="18"/>
        </w:rPr>
        <w:t>comparison.</w:t>
      </w:r>
      <w:r>
        <w:rPr>
          <w:spacing w:val="-10"/>
          <w:sz w:val="18"/>
        </w:rPr>
        <w:t xml:space="preserve"> </w:t>
      </w:r>
      <w:r>
        <w:rPr>
          <w:sz w:val="18"/>
        </w:rPr>
        <w:t>For</w:t>
      </w:r>
      <w:r>
        <w:rPr>
          <w:spacing w:val="-10"/>
          <w:sz w:val="18"/>
        </w:rPr>
        <w:t xml:space="preserve"> </w:t>
      </w:r>
      <w:r>
        <w:rPr>
          <w:sz w:val="18"/>
        </w:rPr>
        <w:t>a</w:t>
      </w:r>
      <w:r>
        <w:rPr>
          <w:spacing w:val="-9"/>
          <w:sz w:val="18"/>
        </w:rPr>
        <w:t xml:space="preserve"> </w:t>
      </w:r>
      <w:r>
        <w:rPr>
          <w:sz w:val="18"/>
        </w:rPr>
        <w:t>comparison</w:t>
      </w:r>
      <w:r>
        <w:rPr>
          <w:spacing w:val="-8"/>
          <w:sz w:val="18"/>
        </w:rPr>
        <w:t xml:space="preserve"> </w:t>
      </w:r>
      <w:r>
        <w:rPr>
          <w:sz w:val="18"/>
        </w:rPr>
        <w:t>to</w:t>
      </w:r>
      <w:r>
        <w:rPr>
          <w:spacing w:val="-10"/>
          <w:sz w:val="18"/>
        </w:rPr>
        <w:t xml:space="preserve"> </w:t>
      </w:r>
      <w:r>
        <w:rPr>
          <w:sz w:val="18"/>
        </w:rPr>
        <w:t>be</w:t>
      </w:r>
      <w:r>
        <w:rPr>
          <w:spacing w:val="-9"/>
          <w:sz w:val="18"/>
        </w:rPr>
        <w:t xml:space="preserve"> </w:t>
      </w:r>
      <w:r>
        <w:rPr>
          <w:sz w:val="18"/>
        </w:rPr>
        <w:t>fair,</w:t>
      </w:r>
      <w:r>
        <w:rPr>
          <w:spacing w:val="-9"/>
          <w:sz w:val="18"/>
        </w:rPr>
        <w:t xml:space="preserve"> </w:t>
      </w:r>
      <w:r>
        <w:rPr>
          <w:sz w:val="18"/>
        </w:rPr>
        <w:t>it</w:t>
      </w:r>
      <w:r>
        <w:rPr>
          <w:spacing w:val="-10"/>
          <w:sz w:val="18"/>
        </w:rPr>
        <w:t xml:space="preserve"> </w:t>
      </w:r>
      <w:r>
        <w:rPr>
          <w:sz w:val="18"/>
        </w:rPr>
        <w:t>must</w:t>
      </w:r>
      <w:r>
        <w:rPr>
          <w:spacing w:val="-10"/>
          <w:sz w:val="18"/>
        </w:rPr>
        <w:t xml:space="preserve"> </w:t>
      </w:r>
      <w:r>
        <w:rPr>
          <w:sz w:val="18"/>
        </w:rPr>
        <w:t>be</w:t>
      </w:r>
      <w:r>
        <w:rPr>
          <w:spacing w:val="-9"/>
          <w:sz w:val="18"/>
        </w:rPr>
        <w:t xml:space="preserve"> </w:t>
      </w:r>
      <w:r>
        <w:rPr>
          <w:sz w:val="18"/>
        </w:rPr>
        <w:t>unbiased,</w:t>
      </w:r>
      <w:r>
        <w:rPr>
          <w:spacing w:val="-9"/>
          <w:sz w:val="18"/>
        </w:rPr>
        <w:t xml:space="preserve"> </w:t>
      </w:r>
      <w:r>
        <w:rPr>
          <w:sz w:val="18"/>
        </w:rPr>
        <w:t>objective,</w:t>
      </w:r>
      <w:r>
        <w:rPr>
          <w:spacing w:val="-10"/>
          <w:sz w:val="18"/>
        </w:rPr>
        <w:t xml:space="preserve"> </w:t>
      </w:r>
      <w:r>
        <w:rPr>
          <w:sz w:val="18"/>
        </w:rPr>
        <w:t>and</w:t>
      </w:r>
      <w:r>
        <w:rPr>
          <w:spacing w:val="-9"/>
          <w:sz w:val="18"/>
        </w:rPr>
        <w:t xml:space="preserve"> </w:t>
      </w:r>
      <w:r>
        <w:rPr>
          <w:sz w:val="18"/>
        </w:rPr>
        <w:t>even‐handed:</w:t>
      </w:r>
      <w:r>
        <w:rPr>
          <w:spacing w:val="-9"/>
          <w:sz w:val="18"/>
        </w:rPr>
        <w:t xml:space="preserve"> </w:t>
      </w:r>
      <w:r>
        <w:rPr>
          <w:sz w:val="18"/>
        </w:rPr>
        <w:t>Appellate</w:t>
      </w:r>
      <w:r>
        <w:rPr>
          <w:spacing w:val="-9"/>
          <w:sz w:val="18"/>
        </w:rPr>
        <w:t xml:space="preserve"> </w:t>
      </w:r>
      <w:r>
        <w:rPr>
          <w:sz w:val="18"/>
        </w:rPr>
        <w:t xml:space="preserve">Body Report, </w:t>
      </w:r>
      <w:r>
        <w:rPr>
          <w:i/>
          <w:sz w:val="18"/>
        </w:rPr>
        <w:t xml:space="preserve">EU — Fatty Alcohols (Indonesia) </w:t>
      </w:r>
      <w:r>
        <w:rPr>
          <w:sz w:val="18"/>
        </w:rPr>
        <w:t xml:space="preserve">para. 5.21 citing Appellate Body Report, </w:t>
      </w:r>
      <w:r>
        <w:rPr>
          <w:i/>
          <w:sz w:val="18"/>
        </w:rPr>
        <w:t>US – Softwood Lumber V (Article 21.5 – Canada)</w:t>
      </w:r>
      <w:r>
        <w:rPr>
          <w:sz w:val="18"/>
        </w:rPr>
        <w:t>, para. 138.</w:t>
      </w:r>
    </w:p>
    <w:p w14:paraId="51DE8B92" w14:textId="77777777" w:rsidR="0010369C" w:rsidRDefault="008E43AE">
      <w:pPr>
        <w:spacing w:before="1"/>
        <w:ind w:left="239" w:right="611" w:hanging="2"/>
        <w:jc w:val="both"/>
        <w:rPr>
          <w:sz w:val="18"/>
        </w:rPr>
      </w:pPr>
      <w:r>
        <w:rPr>
          <w:sz w:val="18"/>
          <w:vertAlign w:val="superscript"/>
        </w:rPr>
        <w:t>530</w:t>
      </w:r>
      <w:r>
        <w:rPr>
          <w:sz w:val="18"/>
        </w:rPr>
        <w:t xml:space="preserve"> The manner in which the normal value or export price is determined, including constructed normal value, cou</w:t>
      </w:r>
      <w:r>
        <w:rPr>
          <w:sz w:val="18"/>
        </w:rPr>
        <w:t xml:space="preserve">ld be pertinent to the question whether the authority is conducting a "fair comparison" within the meaning of Article 2.4: Panel Report, </w:t>
      </w:r>
      <w:r>
        <w:rPr>
          <w:i/>
          <w:sz w:val="18"/>
        </w:rPr>
        <w:t>EU Biodiesel (Argentina)</w:t>
      </w:r>
      <w:r>
        <w:rPr>
          <w:sz w:val="18"/>
        </w:rPr>
        <w:t>, para. 7.297.</w:t>
      </w:r>
    </w:p>
    <w:p w14:paraId="51DE8B93" w14:textId="77777777" w:rsidR="0010369C" w:rsidRDefault="008E43AE">
      <w:pPr>
        <w:spacing w:line="219" w:lineRule="exact"/>
        <w:ind w:left="238"/>
        <w:jc w:val="both"/>
        <w:rPr>
          <w:sz w:val="18"/>
        </w:rPr>
      </w:pPr>
      <w:r>
        <w:rPr>
          <w:sz w:val="18"/>
          <w:vertAlign w:val="superscript"/>
        </w:rPr>
        <w:t>531</w:t>
      </w:r>
      <w:r>
        <w:rPr>
          <w:spacing w:val="-5"/>
          <w:sz w:val="18"/>
        </w:rPr>
        <w:t xml:space="preserve"> </w:t>
      </w:r>
      <w:r>
        <w:rPr>
          <w:sz w:val="18"/>
        </w:rPr>
        <w:t>As</w:t>
      </w:r>
      <w:r>
        <w:rPr>
          <w:spacing w:val="-5"/>
          <w:sz w:val="18"/>
        </w:rPr>
        <w:t xml:space="preserve"> </w:t>
      </w:r>
      <w:r>
        <w:rPr>
          <w:sz w:val="18"/>
        </w:rPr>
        <w:t>discussed</w:t>
      </w:r>
      <w:r>
        <w:rPr>
          <w:spacing w:val="-4"/>
          <w:sz w:val="18"/>
        </w:rPr>
        <w:t xml:space="preserve"> </w:t>
      </w:r>
      <w:r>
        <w:rPr>
          <w:sz w:val="18"/>
        </w:rPr>
        <w:t>at</w:t>
      </w:r>
      <w:r>
        <w:rPr>
          <w:spacing w:val="-6"/>
          <w:sz w:val="18"/>
        </w:rPr>
        <w:t xml:space="preserve"> </w:t>
      </w:r>
      <w:r>
        <w:rPr>
          <w:sz w:val="18"/>
        </w:rPr>
        <w:t>section</w:t>
      </w:r>
      <w:r>
        <w:rPr>
          <w:spacing w:val="-5"/>
          <w:sz w:val="18"/>
        </w:rPr>
        <w:t xml:space="preserve"> </w:t>
      </w:r>
      <w:r>
        <w:rPr>
          <w:spacing w:val="-2"/>
          <w:sz w:val="18"/>
        </w:rPr>
        <w:t>II.E(3).</w:t>
      </w:r>
    </w:p>
    <w:p w14:paraId="51DE8B94" w14:textId="77777777" w:rsidR="0010369C" w:rsidRDefault="0010369C">
      <w:pPr>
        <w:spacing w:line="219" w:lineRule="exact"/>
        <w:jc w:val="both"/>
        <w:rPr>
          <w:sz w:val="18"/>
        </w:rPr>
        <w:sectPr w:rsidR="0010369C">
          <w:type w:val="continuous"/>
          <w:pgSz w:w="11910" w:h="16840"/>
          <w:pgMar w:top="1460" w:right="800" w:bottom="280" w:left="1180" w:header="569" w:footer="788" w:gutter="0"/>
          <w:cols w:space="720"/>
        </w:sectPr>
      </w:pPr>
    </w:p>
    <w:p w14:paraId="51DE8B95" w14:textId="77777777" w:rsidR="0010369C" w:rsidRDefault="008E43AE">
      <w:pPr>
        <w:tabs>
          <w:tab w:val="left" w:pos="6425"/>
        </w:tabs>
        <w:ind w:left="238"/>
        <w:rPr>
          <w:sz w:val="20"/>
        </w:rPr>
      </w:pPr>
      <w:r>
        <w:rPr>
          <w:i/>
          <w:sz w:val="20"/>
        </w:rPr>
        <w:lastRenderedPageBreak/>
        <w:t>China</w:t>
      </w:r>
      <w:r>
        <w:rPr>
          <w:i/>
          <w:spacing w:val="-5"/>
          <w:sz w:val="20"/>
        </w:rPr>
        <w:t xml:space="preserve"> </w:t>
      </w:r>
      <w:r>
        <w:rPr>
          <w:i/>
          <w:sz w:val="20"/>
        </w:rPr>
        <w:t>–</w:t>
      </w:r>
      <w:r>
        <w:rPr>
          <w:i/>
          <w:spacing w:val="-5"/>
          <w:sz w:val="20"/>
        </w:rPr>
        <w:t xml:space="preserve"> </w:t>
      </w:r>
      <w:r>
        <w:rPr>
          <w:i/>
          <w:sz w:val="20"/>
        </w:rPr>
        <w:t>Anti‐Dumping</w:t>
      </w:r>
      <w:r>
        <w:rPr>
          <w:i/>
          <w:spacing w:val="-4"/>
          <w:sz w:val="20"/>
        </w:rPr>
        <w:t xml:space="preserve"> </w:t>
      </w:r>
      <w:r>
        <w:rPr>
          <w:i/>
          <w:sz w:val="20"/>
        </w:rPr>
        <w:t>an</w:t>
      </w:r>
      <w:r>
        <w:rPr>
          <w:i/>
          <w:sz w:val="20"/>
        </w:rPr>
        <w:t>d</w:t>
      </w:r>
      <w:r>
        <w:rPr>
          <w:i/>
          <w:spacing w:val="-5"/>
          <w:sz w:val="20"/>
        </w:rPr>
        <w:t xml:space="preserve"> </w:t>
      </w:r>
      <w:r>
        <w:rPr>
          <w:i/>
          <w:sz w:val="20"/>
        </w:rPr>
        <w:t>Countervailing</w:t>
      </w:r>
      <w:r>
        <w:rPr>
          <w:i/>
          <w:spacing w:val="-5"/>
          <w:sz w:val="20"/>
        </w:rPr>
        <w:t xml:space="preserve"> </w:t>
      </w:r>
      <w:r>
        <w:rPr>
          <w:i/>
          <w:sz w:val="20"/>
        </w:rPr>
        <w:t>Duty</w:t>
      </w:r>
      <w:r>
        <w:rPr>
          <w:i/>
          <w:spacing w:val="-4"/>
          <w:sz w:val="20"/>
        </w:rPr>
        <w:t xml:space="preserve"> </w:t>
      </w:r>
      <w:r>
        <w:rPr>
          <w:i/>
          <w:spacing w:val="-2"/>
          <w:sz w:val="20"/>
        </w:rPr>
        <w:t>Measures</w:t>
      </w:r>
      <w:r>
        <w:rPr>
          <w:i/>
          <w:sz w:val="20"/>
        </w:rPr>
        <w:tab/>
      </w:r>
      <w:r>
        <w:rPr>
          <w:sz w:val="20"/>
        </w:rPr>
        <w:t>Australia's</w:t>
      </w:r>
      <w:r>
        <w:rPr>
          <w:spacing w:val="-7"/>
          <w:sz w:val="20"/>
        </w:rPr>
        <w:t xml:space="preserve"> </w:t>
      </w:r>
      <w:r>
        <w:rPr>
          <w:sz w:val="20"/>
        </w:rPr>
        <w:t>First</w:t>
      </w:r>
      <w:r>
        <w:rPr>
          <w:spacing w:val="-2"/>
          <w:sz w:val="20"/>
        </w:rPr>
        <w:t xml:space="preserve"> </w:t>
      </w:r>
      <w:r>
        <w:rPr>
          <w:sz w:val="20"/>
        </w:rPr>
        <w:t>Written</w:t>
      </w:r>
      <w:r>
        <w:rPr>
          <w:spacing w:val="-2"/>
          <w:sz w:val="20"/>
        </w:rPr>
        <w:t xml:space="preserve"> Submission</w:t>
      </w:r>
    </w:p>
    <w:p w14:paraId="51DE8B96" w14:textId="77777777" w:rsidR="0010369C" w:rsidRDefault="008E43AE">
      <w:pPr>
        <w:tabs>
          <w:tab w:val="left" w:pos="8227"/>
        </w:tabs>
        <w:spacing w:before="1"/>
        <w:ind w:left="239"/>
        <w:rPr>
          <w:sz w:val="20"/>
        </w:rPr>
      </w:pPr>
      <w:r>
        <w:rPr>
          <w:i/>
          <w:sz w:val="20"/>
        </w:rPr>
        <w:t>on</w:t>
      </w:r>
      <w:r>
        <w:rPr>
          <w:i/>
          <w:spacing w:val="-1"/>
          <w:sz w:val="20"/>
        </w:rPr>
        <w:t xml:space="preserve"> </w:t>
      </w:r>
      <w:r>
        <w:rPr>
          <w:i/>
          <w:sz w:val="20"/>
        </w:rPr>
        <w:t>Wine</w:t>
      </w:r>
      <w:r>
        <w:rPr>
          <w:i/>
          <w:spacing w:val="-1"/>
          <w:sz w:val="20"/>
        </w:rPr>
        <w:t xml:space="preserve"> </w:t>
      </w:r>
      <w:r>
        <w:rPr>
          <w:i/>
          <w:sz w:val="20"/>
        </w:rPr>
        <w:t>from</w:t>
      </w:r>
      <w:r>
        <w:rPr>
          <w:i/>
          <w:spacing w:val="-3"/>
          <w:sz w:val="20"/>
        </w:rPr>
        <w:t xml:space="preserve"> </w:t>
      </w:r>
      <w:r>
        <w:rPr>
          <w:i/>
          <w:sz w:val="20"/>
        </w:rPr>
        <w:t>Australia</w:t>
      </w:r>
      <w:r>
        <w:rPr>
          <w:i/>
          <w:spacing w:val="-1"/>
          <w:sz w:val="20"/>
        </w:rPr>
        <w:t xml:space="preserve"> </w:t>
      </w:r>
      <w:r>
        <w:rPr>
          <w:spacing w:val="-2"/>
          <w:sz w:val="20"/>
        </w:rPr>
        <w:t>(DS602)</w:t>
      </w:r>
      <w:r>
        <w:rPr>
          <w:sz w:val="20"/>
        </w:rPr>
        <w:tab/>
        <w:t>29</w:t>
      </w:r>
      <w:r>
        <w:rPr>
          <w:spacing w:val="-1"/>
          <w:sz w:val="20"/>
        </w:rPr>
        <w:t xml:space="preserve"> </w:t>
      </w:r>
      <w:r>
        <w:rPr>
          <w:sz w:val="20"/>
        </w:rPr>
        <w:t>April</w:t>
      </w:r>
      <w:r>
        <w:rPr>
          <w:spacing w:val="-2"/>
          <w:sz w:val="20"/>
        </w:rPr>
        <w:t xml:space="preserve"> </w:t>
      </w:r>
      <w:r>
        <w:rPr>
          <w:spacing w:val="-4"/>
          <w:sz w:val="20"/>
        </w:rPr>
        <w:t>2022</w:t>
      </w:r>
    </w:p>
    <w:p w14:paraId="51DE8B97" w14:textId="77777777" w:rsidR="0010369C" w:rsidRDefault="008E43AE">
      <w:pPr>
        <w:pStyle w:val="BodyText"/>
        <w:spacing w:before="34" w:line="360" w:lineRule="auto"/>
        <w:ind w:left="237" w:right="614"/>
      </w:pPr>
      <w:r>
        <w:t>sales in the ordinary course of trade, let alone representative of two companies in different commercial positions and did not provide the basis for a fair comparison.</w:t>
      </w:r>
    </w:p>
    <w:p w14:paraId="51DE8B98" w14:textId="77777777" w:rsidR="0010369C" w:rsidRDefault="0010369C">
      <w:pPr>
        <w:pStyle w:val="BodyText"/>
        <w:spacing w:before="10"/>
        <w:rPr>
          <w:sz w:val="8"/>
        </w:rPr>
      </w:pPr>
    </w:p>
    <w:p w14:paraId="51DE8B99" w14:textId="77777777" w:rsidR="0010369C" w:rsidRDefault="008E43AE">
      <w:pPr>
        <w:pStyle w:val="BodyText"/>
        <w:spacing w:before="52" w:line="360" w:lineRule="auto"/>
        <w:ind w:left="237" w:right="613" w:firstLine="852"/>
        <w:jc w:val="both"/>
      </w:pPr>
      <w:r>
        <w:rPr>
          <w:noProof/>
        </w:rPr>
        <w:drawing>
          <wp:anchor distT="0" distB="0" distL="0" distR="0" simplePos="0" relativeHeight="251135488" behindDoc="1" locked="0" layoutInCell="1" allowOverlap="1" wp14:anchorId="51DEA3B1" wp14:editId="51DEA3B2">
            <wp:simplePos x="0" y="0"/>
            <wp:positionH relativeFrom="page">
              <wp:posOffset>899160</wp:posOffset>
            </wp:positionH>
            <wp:positionV relativeFrom="paragraph">
              <wp:posOffset>76785</wp:posOffset>
            </wp:positionV>
            <wp:extent cx="265175" cy="106679"/>
            <wp:effectExtent l="0" t="0" r="0" b="0"/>
            <wp:wrapNone/>
            <wp:docPr id="989" name="image5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 name="image505.png"/>
                    <pic:cNvPicPr/>
                  </pic:nvPicPr>
                  <pic:blipFill>
                    <a:blip r:embed="rId665" cstate="print"/>
                    <a:stretch>
                      <a:fillRect/>
                    </a:stretch>
                  </pic:blipFill>
                  <pic:spPr>
                    <a:xfrm>
                      <a:off x="0" y="0"/>
                      <a:ext cx="265175" cy="106679"/>
                    </a:xfrm>
                    <a:prstGeom prst="rect">
                      <a:avLst/>
                    </a:prstGeom>
                  </pic:spPr>
                </pic:pic>
              </a:graphicData>
            </a:graphic>
          </wp:anchor>
        </w:drawing>
      </w:r>
      <w:r>
        <w:t>In order to conduct a fair comparison between normal values determined in this manner and</w:t>
      </w:r>
      <w:r>
        <w:rPr>
          <w:spacing w:val="-2"/>
        </w:rPr>
        <w:t xml:space="preserve"> </w:t>
      </w:r>
      <w:r>
        <w:t>the export</w:t>
      </w:r>
      <w:r>
        <w:rPr>
          <w:spacing w:val="-2"/>
        </w:rPr>
        <w:t xml:space="preserve"> </w:t>
      </w:r>
      <w:r>
        <w:t>prices</w:t>
      </w:r>
      <w:r>
        <w:rPr>
          <w:spacing w:val="-2"/>
        </w:rPr>
        <w:t xml:space="preserve"> </w:t>
      </w:r>
      <w:r>
        <w:t>of the</w:t>
      </w:r>
      <w:r>
        <w:rPr>
          <w:spacing w:val="-1"/>
        </w:rPr>
        <w:t xml:space="preserve"> </w:t>
      </w:r>
      <w:r>
        <w:t>sampled companies,</w:t>
      </w:r>
      <w:r>
        <w:rPr>
          <w:spacing w:val="-1"/>
        </w:rPr>
        <w:t xml:space="preserve"> </w:t>
      </w:r>
      <w:r>
        <w:t>significant adjustments to ensure</w:t>
      </w:r>
      <w:r>
        <w:rPr>
          <w:spacing w:val="-1"/>
        </w:rPr>
        <w:t xml:space="preserve"> </w:t>
      </w:r>
      <w:r>
        <w:t>a fair comparison</w:t>
      </w:r>
      <w:r>
        <w:rPr>
          <w:spacing w:val="-1"/>
        </w:rPr>
        <w:t xml:space="preserve"> </w:t>
      </w:r>
      <w:r>
        <w:t>were necessary, none of which</w:t>
      </w:r>
      <w:r>
        <w:rPr>
          <w:spacing w:val="-2"/>
        </w:rPr>
        <w:t xml:space="preserve"> </w:t>
      </w:r>
      <w:r>
        <w:t>MOFCOM made. In the case of Casella Wine</w:t>
      </w:r>
      <w:r>
        <w:t>s and Swan Vintage, MOFCOM's failure to indicate the bases for the determination of their normal values in a timely manner deprived those companies of the ability to request adjustments for differences that could have affected price comparability.</w:t>
      </w:r>
    </w:p>
    <w:p w14:paraId="51DE8B9A" w14:textId="77777777" w:rsidR="0010369C" w:rsidRDefault="0010369C">
      <w:pPr>
        <w:pStyle w:val="BodyText"/>
        <w:spacing w:before="11"/>
        <w:rPr>
          <w:sz w:val="8"/>
        </w:rPr>
      </w:pPr>
    </w:p>
    <w:p w14:paraId="51DE8B9B" w14:textId="77777777" w:rsidR="0010369C" w:rsidRDefault="008E43AE">
      <w:pPr>
        <w:pStyle w:val="BodyText"/>
        <w:spacing w:before="52" w:line="360" w:lineRule="auto"/>
        <w:ind w:left="237" w:right="612" w:firstLine="851"/>
        <w:jc w:val="both"/>
      </w:pPr>
      <w:r>
        <w:rPr>
          <w:noProof/>
        </w:rPr>
        <w:drawing>
          <wp:anchor distT="0" distB="0" distL="0" distR="0" simplePos="0" relativeHeight="251136512" behindDoc="1" locked="0" layoutInCell="1" allowOverlap="1" wp14:anchorId="51DEA3B3" wp14:editId="51DEA3B4">
            <wp:simplePos x="0" y="0"/>
            <wp:positionH relativeFrom="page">
              <wp:posOffset>899160</wp:posOffset>
            </wp:positionH>
            <wp:positionV relativeFrom="paragraph">
              <wp:posOffset>80595</wp:posOffset>
            </wp:positionV>
            <wp:extent cx="265175" cy="103631"/>
            <wp:effectExtent l="0" t="0" r="0" b="0"/>
            <wp:wrapNone/>
            <wp:docPr id="991" name="image5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 name="image506.png"/>
                    <pic:cNvPicPr/>
                  </pic:nvPicPr>
                  <pic:blipFill>
                    <a:blip r:embed="rId666" cstate="print"/>
                    <a:stretch>
                      <a:fillRect/>
                    </a:stretch>
                  </pic:blipFill>
                  <pic:spPr>
                    <a:xfrm>
                      <a:off x="0" y="0"/>
                      <a:ext cx="265175" cy="103631"/>
                    </a:xfrm>
                    <a:prstGeom prst="rect">
                      <a:avLst/>
                    </a:prstGeom>
                  </pic:spPr>
                </pic:pic>
              </a:graphicData>
            </a:graphic>
          </wp:anchor>
        </w:drawing>
      </w:r>
      <w:r>
        <w:t>For th</w:t>
      </w:r>
      <w:r>
        <w:t>ese reasons, China is in breach of its obligations under Article 2.4 of the Anti‐ Dumping Agreement. The impact of these errors is exacerbated by MOFCOM using the subsequent</w:t>
      </w:r>
      <w:r>
        <w:rPr>
          <w:spacing w:val="-2"/>
        </w:rPr>
        <w:t xml:space="preserve"> </w:t>
      </w:r>
      <w:r>
        <w:t>erroneous</w:t>
      </w:r>
      <w:r>
        <w:rPr>
          <w:spacing w:val="-3"/>
        </w:rPr>
        <w:t xml:space="preserve"> </w:t>
      </w:r>
      <w:r>
        <w:t>dumping</w:t>
      </w:r>
      <w:r>
        <w:rPr>
          <w:spacing w:val="-2"/>
        </w:rPr>
        <w:t xml:space="preserve"> </w:t>
      </w:r>
      <w:r>
        <w:t>margins</w:t>
      </w:r>
      <w:r>
        <w:rPr>
          <w:spacing w:val="-3"/>
        </w:rPr>
        <w:t xml:space="preserve"> </w:t>
      </w:r>
      <w:r>
        <w:t>for</w:t>
      </w:r>
      <w:r>
        <w:rPr>
          <w:spacing w:val="-2"/>
        </w:rPr>
        <w:t xml:space="preserve"> </w:t>
      </w:r>
      <w:r>
        <w:t>the</w:t>
      </w:r>
      <w:r>
        <w:rPr>
          <w:spacing w:val="-3"/>
        </w:rPr>
        <w:t xml:space="preserve"> </w:t>
      </w:r>
      <w:r>
        <w:t>three</w:t>
      </w:r>
      <w:r>
        <w:rPr>
          <w:spacing w:val="-2"/>
        </w:rPr>
        <w:t xml:space="preserve"> </w:t>
      </w:r>
      <w:r>
        <w:t>sampled</w:t>
      </w:r>
      <w:r>
        <w:rPr>
          <w:spacing w:val="-2"/>
        </w:rPr>
        <w:t xml:space="preserve"> </w:t>
      </w:r>
      <w:r>
        <w:t>companies</w:t>
      </w:r>
      <w:r>
        <w:rPr>
          <w:spacing w:val="-2"/>
        </w:rPr>
        <w:t xml:space="preserve"> </w:t>
      </w:r>
      <w:r>
        <w:t>in</w:t>
      </w:r>
      <w:r>
        <w:rPr>
          <w:spacing w:val="-3"/>
        </w:rPr>
        <w:t xml:space="preserve"> </w:t>
      </w:r>
      <w:r>
        <w:t>the</w:t>
      </w:r>
      <w:r>
        <w:rPr>
          <w:spacing w:val="-3"/>
        </w:rPr>
        <w:t xml:space="preserve"> </w:t>
      </w:r>
      <w:r>
        <w:t>calculations of t</w:t>
      </w:r>
      <w:r>
        <w:t>he "other cooperative Australian companies" (i.e. the other named Australian exporters) and the "all others" category of Australian companies.</w:t>
      </w:r>
    </w:p>
    <w:p w14:paraId="51DE8B9C" w14:textId="77777777" w:rsidR="0010369C" w:rsidRDefault="008E43AE">
      <w:pPr>
        <w:pStyle w:val="Heading4"/>
        <w:numPr>
          <w:ilvl w:val="2"/>
          <w:numId w:val="66"/>
        </w:numPr>
        <w:tabs>
          <w:tab w:val="left" w:pos="2649"/>
          <w:tab w:val="left" w:pos="2650"/>
        </w:tabs>
        <w:spacing w:before="160"/>
        <w:ind w:hanging="852"/>
        <w:jc w:val="both"/>
      </w:pPr>
      <w:r>
        <w:t>Legal</w:t>
      </w:r>
      <w:r>
        <w:rPr>
          <w:spacing w:val="-7"/>
        </w:rPr>
        <w:t xml:space="preserve"> </w:t>
      </w:r>
      <w:r>
        <w:rPr>
          <w:spacing w:val="-2"/>
        </w:rPr>
        <w:t>framework</w:t>
      </w:r>
    </w:p>
    <w:p w14:paraId="51DE8B9D" w14:textId="77777777" w:rsidR="0010369C" w:rsidRDefault="0010369C">
      <w:pPr>
        <w:pStyle w:val="BodyText"/>
        <w:spacing w:before="10"/>
        <w:rPr>
          <w:b/>
          <w:sz w:val="20"/>
        </w:rPr>
      </w:pPr>
    </w:p>
    <w:p w14:paraId="51DE8B9E" w14:textId="77777777" w:rsidR="0010369C" w:rsidRDefault="008E43AE">
      <w:pPr>
        <w:pStyle w:val="BodyText"/>
        <w:spacing w:before="52" w:line="360" w:lineRule="auto"/>
        <w:ind w:left="238" w:right="614" w:firstLine="850"/>
        <w:jc w:val="both"/>
      </w:pPr>
      <w:r>
        <w:rPr>
          <w:noProof/>
        </w:rPr>
        <w:drawing>
          <wp:anchor distT="0" distB="0" distL="0" distR="0" simplePos="0" relativeHeight="251137536" behindDoc="1" locked="0" layoutInCell="1" allowOverlap="1" wp14:anchorId="51DEA3B5" wp14:editId="51DEA3B6">
            <wp:simplePos x="0" y="0"/>
            <wp:positionH relativeFrom="page">
              <wp:posOffset>899160</wp:posOffset>
            </wp:positionH>
            <wp:positionV relativeFrom="paragraph">
              <wp:posOffset>80595</wp:posOffset>
            </wp:positionV>
            <wp:extent cx="265175" cy="103631"/>
            <wp:effectExtent l="0" t="0" r="0" b="0"/>
            <wp:wrapNone/>
            <wp:docPr id="993" name="image5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 name="image507.png"/>
                    <pic:cNvPicPr/>
                  </pic:nvPicPr>
                  <pic:blipFill>
                    <a:blip r:embed="rId667" cstate="print"/>
                    <a:stretch>
                      <a:fillRect/>
                    </a:stretch>
                  </pic:blipFill>
                  <pic:spPr>
                    <a:xfrm>
                      <a:off x="0" y="0"/>
                      <a:ext cx="265175" cy="103631"/>
                    </a:xfrm>
                    <a:prstGeom prst="rect">
                      <a:avLst/>
                    </a:prstGeom>
                  </pic:spPr>
                </pic:pic>
              </a:graphicData>
            </a:graphic>
          </wp:anchor>
        </w:drawing>
      </w:r>
      <w:r>
        <w:t>Article 2.4 imposes an obligation on investigating authorities to ensure a fair comparison betw</w:t>
      </w:r>
      <w:r>
        <w:t>een the export price and the normal value and, to this end, to make due allowance, or adjustments, for differences affecting price comparability.</w:t>
      </w:r>
      <w:r>
        <w:rPr>
          <w:color w:val="323232"/>
          <w:vertAlign w:val="superscript"/>
        </w:rPr>
        <w:t>532</w:t>
      </w:r>
      <w:r>
        <w:rPr>
          <w:color w:val="323232"/>
        </w:rPr>
        <w:t xml:space="preserve"> </w:t>
      </w:r>
      <w:r>
        <w:t>In order to facilitate this requirement, Article 2.4 mandates investigating authorities to indicate to interested parties what information is necessary to ensure a fair comparison. These requirements apply to all anti‐dumping investigations, irrespective o</w:t>
      </w:r>
      <w:r>
        <w:t>f the methodology used to determine normal value.</w:t>
      </w:r>
      <w:r>
        <w:rPr>
          <w:color w:val="323232"/>
          <w:vertAlign w:val="superscript"/>
        </w:rPr>
        <w:t>533</w:t>
      </w:r>
      <w:r>
        <w:rPr>
          <w:color w:val="323232"/>
          <w:spacing w:val="-1"/>
        </w:rPr>
        <w:t xml:space="preserve"> </w:t>
      </w:r>
      <w:r>
        <w:t>Thus, they apply to the margins</w:t>
      </w:r>
      <w:r>
        <w:rPr>
          <w:spacing w:val="-1"/>
        </w:rPr>
        <w:t xml:space="preserve"> </w:t>
      </w:r>
      <w:r>
        <w:t>of dumping determined for all three of the sampled companies.</w:t>
      </w:r>
    </w:p>
    <w:p w14:paraId="51DE8B9F" w14:textId="77777777" w:rsidR="0010369C" w:rsidRDefault="0010369C">
      <w:pPr>
        <w:pStyle w:val="BodyText"/>
        <w:spacing w:before="11"/>
        <w:rPr>
          <w:sz w:val="8"/>
        </w:rPr>
      </w:pPr>
    </w:p>
    <w:p w14:paraId="51DE8BA0" w14:textId="77777777" w:rsidR="0010369C" w:rsidRDefault="008E43AE">
      <w:pPr>
        <w:pStyle w:val="BodyText"/>
        <w:spacing w:before="51" w:line="360" w:lineRule="auto"/>
        <w:ind w:left="237" w:right="615" w:firstLine="851"/>
        <w:jc w:val="both"/>
      </w:pPr>
      <w:r>
        <w:rPr>
          <w:noProof/>
        </w:rPr>
        <w:drawing>
          <wp:anchor distT="0" distB="0" distL="0" distR="0" simplePos="0" relativeHeight="251138560" behindDoc="1" locked="0" layoutInCell="1" allowOverlap="1" wp14:anchorId="51DEA3B7" wp14:editId="51DEA3B8">
            <wp:simplePos x="0" y="0"/>
            <wp:positionH relativeFrom="page">
              <wp:posOffset>899160</wp:posOffset>
            </wp:positionH>
            <wp:positionV relativeFrom="paragraph">
              <wp:posOffset>80722</wp:posOffset>
            </wp:positionV>
            <wp:extent cx="265175" cy="103631"/>
            <wp:effectExtent l="0" t="0" r="0" b="0"/>
            <wp:wrapNone/>
            <wp:docPr id="995" name="image5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 name="image508.png"/>
                    <pic:cNvPicPr/>
                  </pic:nvPicPr>
                  <pic:blipFill>
                    <a:blip r:embed="rId668" cstate="print"/>
                    <a:stretch>
                      <a:fillRect/>
                    </a:stretch>
                  </pic:blipFill>
                  <pic:spPr>
                    <a:xfrm>
                      <a:off x="0" y="0"/>
                      <a:ext cx="265175" cy="103631"/>
                    </a:xfrm>
                    <a:prstGeom prst="rect">
                      <a:avLst/>
                    </a:prstGeom>
                  </pic:spPr>
                </pic:pic>
              </a:graphicData>
            </a:graphic>
          </wp:anchor>
        </w:drawing>
      </w:r>
      <w:r>
        <w:t>In</w:t>
      </w:r>
      <w:r>
        <w:rPr>
          <w:spacing w:val="-14"/>
        </w:rPr>
        <w:t xml:space="preserve"> </w:t>
      </w:r>
      <w:r>
        <w:t>the</w:t>
      </w:r>
      <w:r>
        <w:rPr>
          <w:spacing w:val="-14"/>
        </w:rPr>
        <w:t xml:space="preserve"> </w:t>
      </w:r>
      <w:r>
        <w:t>Final</w:t>
      </w:r>
      <w:r>
        <w:rPr>
          <w:spacing w:val="-13"/>
        </w:rPr>
        <w:t xml:space="preserve"> </w:t>
      </w:r>
      <w:r>
        <w:t>Determination,</w:t>
      </w:r>
      <w:r>
        <w:rPr>
          <w:spacing w:val="-14"/>
        </w:rPr>
        <w:t xml:space="preserve"> </w:t>
      </w:r>
      <w:r>
        <w:t>MOFCOM</w:t>
      </w:r>
      <w:r>
        <w:rPr>
          <w:spacing w:val="-13"/>
        </w:rPr>
        <w:t xml:space="preserve"> </w:t>
      </w:r>
      <w:r>
        <w:t>made</w:t>
      </w:r>
      <w:r>
        <w:rPr>
          <w:spacing w:val="-14"/>
        </w:rPr>
        <w:t xml:space="preserve"> </w:t>
      </w:r>
      <w:r>
        <w:t>various</w:t>
      </w:r>
      <w:r>
        <w:rPr>
          <w:spacing w:val="-13"/>
        </w:rPr>
        <w:t xml:space="preserve"> </w:t>
      </w:r>
      <w:r>
        <w:t>adjustments</w:t>
      </w:r>
      <w:r>
        <w:rPr>
          <w:spacing w:val="-14"/>
        </w:rPr>
        <w:t xml:space="preserve"> </w:t>
      </w:r>
      <w:r>
        <w:t>to</w:t>
      </w:r>
      <w:r>
        <w:rPr>
          <w:spacing w:val="-14"/>
        </w:rPr>
        <w:t xml:space="preserve"> </w:t>
      </w:r>
      <w:r>
        <w:t>the</w:t>
      </w:r>
      <w:r>
        <w:rPr>
          <w:spacing w:val="-13"/>
        </w:rPr>
        <w:t xml:space="preserve"> </w:t>
      </w:r>
      <w:r>
        <w:t>normal</w:t>
      </w:r>
      <w:r>
        <w:rPr>
          <w:spacing w:val="-14"/>
        </w:rPr>
        <w:t xml:space="preserve"> </w:t>
      </w:r>
      <w:r>
        <w:t>values and export prices "in orde</w:t>
      </w:r>
      <w:r>
        <w:t>r to make a fair and reasonable comparison". While MOFCOM did not</w:t>
      </w:r>
      <w:r>
        <w:rPr>
          <w:spacing w:val="-10"/>
        </w:rPr>
        <w:t xml:space="preserve"> </w:t>
      </w:r>
      <w:r>
        <w:t>disclose</w:t>
      </w:r>
      <w:r>
        <w:rPr>
          <w:spacing w:val="-10"/>
        </w:rPr>
        <w:t xml:space="preserve"> </w:t>
      </w:r>
      <w:r>
        <w:t>in</w:t>
      </w:r>
      <w:r>
        <w:rPr>
          <w:spacing w:val="-10"/>
        </w:rPr>
        <w:t xml:space="preserve"> </w:t>
      </w:r>
      <w:r>
        <w:t>the</w:t>
      </w:r>
      <w:r>
        <w:rPr>
          <w:spacing w:val="-9"/>
        </w:rPr>
        <w:t xml:space="preserve"> </w:t>
      </w:r>
      <w:r>
        <w:t>Final</w:t>
      </w:r>
      <w:r>
        <w:rPr>
          <w:spacing w:val="-9"/>
        </w:rPr>
        <w:t xml:space="preserve"> </w:t>
      </w:r>
      <w:r>
        <w:t>Determination</w:t>
      </w:r>
      <w:r>
        <w:rPr>
          <w:spacing w:val="-9"/>
        </w:rPr>
        <w:t xml:space="preserve"> </w:t>
      </w:r>
      <w:r>
        <w:t>all</w:t>
      </w:r>
      <w:r>
        <w:rPr>
          <w:spacing w:val="-10"/>
        </w:rPr>
        <w:t xml:space="preserve"> </w:t>
      </w:r>
      <w:r>
        <w:t>of</w:t>
      </w:r>
      <w:r>
        <w:rPr>
          <w:spacing w:val="-10"/>
        </w:rPr>
        <w:t xml:space="preserve"> </w:t>
      </w:r>
      <w:r>
        <w:t>the</w:t>
      </w:r>
      <w:r>
        <w:rPr>
          <w:spacing w:val="-10"/>
        </w:rPr>
        <w:t xml:space="preserve"> </w:t>
      </w:r>
      <w:r>
        <w:t>adjustments</w:t>
      </w:r>
      <w:r>
        <w:rPr>
          <w:spacing w:val="-10"/>
        </w:rPr>
        <w:t xml:space="preserve"> </w:t>
      </w:r>
      <w:r>
        <w:t>that</w:t>
      </w:r>
      <w:r>
        <w:rPr>
          <w:spacing w:val="-10"/>
        </w:rPr>
        <w:t xml:space="preserve"> </w:t>
      </w:r>
      <w:r>
        <w:t>it</w:t>
      </w:r>
      <w:r>
        <w:rPr>
          <w:spacing w:val="-10"/>
        </w:rPr>
        <w:t xml:space="preserve"> </w:t>
      </w:r>
      <w:r>
        <w:t>considered,</w:t>
      </w:r>
      <w:r>
        <w:rPr>
          <w:vertAlign w:val="superscript"/>
        </w:rPr>
        <w:t>534</w:t>
      </w:r>
      <w:r>
        <w:rPr>
          <w:spacing w:val="-10"/>
        </w:rPr>
        <w:t xml:space="preserve"> </w:t>
      </w:r>
      <w:r>
        <w:t>it</w:t>
      </w:r>
      <w:r>
        <w:rPr>
          <w:spacing w:val="-10"/>
        </w:rPr>
        <w:t xml:space="preserve"> </w:t>
      </w:r>
      <w:r>
        <w:t xml:space="preserve">disclosed </w:t>
      </w:r>
      <w:r>
        <w:rPr>
          <w:w w:val="95"/>
        </w:rPr>
        <w:t>those</w:t>
      </w:r>
      <w:r>
        <w:rPr>
          <w:spacing w:val="15"/>
        </w:rPr>
        <w:t xml:space="preserve"> </w:t>
      </w:r>
      <w:r>
        <w:rPr>
          <w:w w:val="95"/>
        </w:rPr>
        <w:t>it</w:t>
      </w:r>
      <w:r>
        <w:rPr>
          <w:spacing w:val="13"/>
        </w:rPr>
        <w:t xml:space="preserve"> </w:t>
      </w:r>
      <w:r>
        <w:rPr>
          <w:w w:val="95"/>
        </w:rPr>
        <w:t>considered:</w:t>
      </w:r>
      <w:r>
        <w:rPr>
          <w:spacing w:val="16"/>
        </w:rPr>
        <w:t xml:space="preserve"> </w:t>
      </w:r>
      <w:r>
        <w:rPr>
          <w:w w:val="95"/>
        </w:rPr>
        <w:t>adjustments</w:t>
      </w:r>
      <w:r>
        <w:rPr>
          <w:spacing w:val="14"/>
        </w:rPr>
        <w:t xml:space="preserve"> </w:t>
      </w:r>
      <w:r>
        <w:rPr>
          <w:w w:val="95"/>
        </w:rPr>
        <w:t>to</w:t>
      </w:r>
      <w:r>
        <w:rPr>
          <w:spacing w:val="13"/>
        </w:rPr>
        <w:t xml:space="preserve"> </w:t>
      </w:r>
      <w:r>
        <w:rPr>
          <w:w w:val="95"/>
        </w:rPr>
        <w:t>convert</w:t>
      </w:r>
      <w:r>
        <w:rPr>
          <w:spacing w:val="14"/>
        </w:rPr>
        <w:t xml:space="preserve"> </w:t>
      </w:r>
      <w:r>
        <w:rPr>
          <w:w w:val="95"/>
        </w:rPr>
        <w:t>domestic</w:t>
      </w:r>
      <w:r>
        <w:rPr>
          <w:spacing w:val="16"/>
        </w:rPr>
        <w:t xml:space="preserve"> </w:t>
      </w:r>
      <w:r>
        <w:rPr>
          <w:w w:val="95"/>
        </w:rPr>
        <w:t>sales</w:t>
      </w:r>
      <w:r>
        <w:rPr>
          <w:spacing w:val="15"/>
        </w:rPr>
        <w:t xml:space="preserve"> </w:t>
      </w:r>
      <w:r>
        <w:rPr>
          <w:w w:val="95"/>
        </w:rPr>
        <w:t>prices</w:t>
      </w:r>
      <w:r>
        <w:rPr>
          <w:spacing w:val="14"/>
        </w:rPr>
        <w:t xml:space="preserve"> </w:t>
      </w:r>
      <w:r>
        <w:rPr>
          <w:w w:val="95"/>
        </w:rPr>
        <w:t>to</w:t>
      </w:r>
      <w:r>
        <w:rPr>
          <w:spacing w:val="16"/>
        </w:rPr>
        <w:t xml:space="preserve"> </w:t>
      </w:r>
      <w:r>
        <w:rPr>
          <w:w w:val="95"/>
        </w:rPr>
        <w:t>the</w:t>
      </w:r>
      <w:r>
        <w:rPr>
          <w:spacing w:val="11"/>
        </w:rPr>
        <w:t xml:space="preserve"> </w:t>
      </w:r>
      <w:r>
        <w:rPr>
          <w:w w:val="95"/>
        </w:rPr>
        <w:t>ex‐factory</w:t>
      </w:r>
      <w:r>
        <w:rPr>
          <w:spacing w:val="16"/>
        </w:rPr>
        <w:t xml:space="preserve"> </w:t>
      </w:r>
      <w:r>
        <w:rPr>
          <w:w w:val="95"/>
        </w:rPr>
        <w:t>price</w:t>
      </w:r>
      <w:r>
        <w:rPr>
          <w:spacing w:val="14"/>
        </w:rPr>
        <w:t xml:space="preserve"> </w:t>
      </w:r>
      <w:r>
        <w:rPr>
          <w:spacing w:val="-2"/>
          <w:w w:val="95"/>
        </w:rPr>
        <w:t>level;</w:t>
      </w:r>
    </w:p>
    <w:p w14:paraId="51DE8BA1" w14:textId="77777777" w:rsidR="0010369C" w:rsidRDefault="0010369C">
      <w:pPr>
        <w:pStyle w:val="BodyText"/>
        <w:rPr>
          <w:sz w:val="20"/>
        </w:rPr>
      </w:pPr>
    </w:p>
    <w:p w14:paraId="51DE8BA2" w14:textId="77777777" w:rsidR="0010369C" w:rsidRDefault="008E43AE">
      <w:pPr>
        <w:pStyle w:val="BodyText"/>
        <w:spacing w:before="4"/>
        <w:rPr>
          <w:sz w:val="23"/>
        </w:rPr>
      </w:pPr>
      <w:r>
        <w:pict w14:anchorId="51DEA3B9">
          <v:rect id="docshape951" o:spid="_x0000_s1406" style="position:absolute;margin-left:70.9pt;margin-top:15.45pt;width:2in;height:.8pt;z-index:-250869248;mso-wrap-distance-left:0;mso-wrap-distance-right:0;mso-position-horizontal-relative:page" fillcolor="black" stroked="f">
            <w10:wrap type="topAndBottom" anchorx="page"/>
          </v:rect>
        </w:pict>
      </w:r>
    </w:p>
    <w:p w14:paraId="51DE8BA3" w14:textId="77777777" w:rsidR="0010369C" w:rsidRDefault="008E43AE">
      <w:pPr>
        <w:spacing w:before="109"/>
        <w:ind w:left="238" w:right="614" w:hanging="1"/>
        <w:rPr>
          <w:sz w:val="18"/>
        </w:rPr>
      </w:pPr>
      <w:r>
        <w:rPr>
          <w:sz w:val="18"/>
          <w:vertAlign w:val="superscript"/>
        </w:rPr>
        <w:t>532</w:t>
      </w:r>
      <w:r>
        <w:rPr>
          <w:sz w:val="18"/>
        </w:rPr>
        <w:t xml:space="preserve"> Appellate Body Report, </w:t>
      </w:r>
      <w:r>
        <w:rPr>
          <w:i/>
          <w:sz w:val="18"/>
        </w:rPr>
        <w:t>EU – Fatty Alcohols (Indonesia</w:t>
      </w:r>
      <w:r>
        <w:rPr>
          <w:sz w:val="18"/>
        </w:rPr>
        <w:t>)</w:t>
      </w:r>
      <w:r>
        <w:rPr>
          <w:i/>
          <w:sz w:val="18"/>
        </w:rPr>
        <w:t xml:space="preserve">, </w:t>
      </w:r>
      <w:r>
        <w:rPr>
          <w:sz w:val="18"/>
        </w:rPr>
        <w:t>para. 5.20 citing Appellate Body Report</w:t>
      </w:r>
      <w:r>
        <w:rPr>
          <w:i/>
          <w:sz w:val="18"/>
        </w:rPr>
        <w:t>, EC – Fasteners (China) (Article 21.5 – China)</w:t>
      </w:r>
      <w:r>
        <w:rPr>
          <w:sz w:val="18"/>
        </w:rPr>
        <w:t>, para. 5.204.</w:t>
      </w:r>
    </w:p>
    <w:p w14:paraId="51DE8BA4" w14:textId="77777777" w:rsidR="0010369C" w:rsidRDefault="008E43AE">
      <w:pPr>
        <w:spacing w:before="1"/>
        <w:ind w:left="238"/>
        <w:rPr>
          <w:sz w:val="18"/>
        </w:rPr>
      </w:pPr>
      <w:r>
        <w:rPr>
          <w:sz w:val="18"/>
          <w:vertAlign w:val="superscript"/>
        </w:rPr>
        <w:t>533</w:t>
      </w:r>
      <w:r>
        <w:rPr>
          <w:spacing w:val="-6"/>
          <w:sz w:val="18"/>
        </w:rPr>
        <w:t xml:space="preserve"> </w:t>
      </w:r>
      <w:r>
        <w:rPr>
          <w:sz w:val="18"/>
        </w:rPr>
        <w:t>Appellate</w:t>
      </w:r>
      <w:r>
        <w:rPr>
          <w:spacing w:val="-5"/>
          <w:sz w:val="18"/>
        </w:rPr>
        <w:t xml:space="preserve"> </w:t>
      </w:r>
      <w:r>
        <w:rPr>
          <w:sz w:val="18"/>
        </w:rPr>
        <w:t>Body</w:t>
      </w:r>
      <w:r>
        <w:rPr>
          <w:spacing w:val="-7"/>
          <w:sz w:val="18"/>
        </w:rPr>
        <w:t xml:space="preserve"> </w:t>
      </w:r>
      <w:r>
        <w:rPr>
          <w:sz w:val="18"/>
        </w:rPr>
        <w:t>Report,</w:t>
      </w:r>
      <w:r>
        <w:rPr>
          <w:spacing w:val="-5"/>
          <w:sz w:val="18"/>
        </w:rPr>
        <w:t xml:space="preserve"> </w:t>
      </w:r>
      <w:r>
        <w:rPr>
          <w:i/>
          <w:sz w:val="18"/>
        </w:rPr>
        <w:t>EC</w:t>
      </w:r>
      <w:r>
        <w:rPr>
          <w:i/>
          <w:spacing w:val="-6"/>
          <w:sz w:val="18"/>
        </w:rPr>
        <w:t xml:space="preserve"> </w:t>
      </w:r>
      <w:r>
        <w:rPr>
          <w:i/>
          <w:sz w:val="18"/>
        </w:rPr>
        <w:t>–</w:t>
      </w:r>
      <w:r>
        <w:rPr>
          <w:i/>
          <w:spacing w:val="-5"/>
          <w:sz w:val="18"/>
        </w:rPr>
        <w:t xml:space="preserve"> </w:t>
      </w:r>
      <w:r>
        <w:rPr>
          <w:i/>
          <w:sz w:val="18"/>
        </w:rPr>
        <w:t>Fasteners</w:t>
      </w:r>
      <w:r>
        <w:rPr>
          <w:i/>
          <w:spacing w:val="-6"/>
          <w:sz w:val="18"/>
        </w:rPr>
        <w:t xml:space="preserve"> </w:t>
      </w:r>
      <w:r>
        <w:rPr>
          <w:i/>
          <w:sz w:val="18"/>
        </w:rPr>
        <w:t>(China)</w:t>
      </w:r>
      <w:r>
        <w:rPr>
          <w:i/>
          <w:spacing w:val="-5"/>
          <w:sz w:val="18"/>
        </w:rPr>
        <w:t xml:space="preserve"> </w:t>
      </w:r>
      <w:r>
        <w:rPr>
          <w:i/>
          <w:sz w:val="18"/>
        </w:rPr>
        <w:t>(Article</w:t>
      </w:r>
      <w:r>
        <w:rPr>
          <w:i/>
          <w:spacing w:val="-5"/>
          <w:sz w:val="18"/>
        </w:rPr>
        <w:t xml:space="preserve"> </w:t>
      </w:r>
      <w:r>
        <w:rPr>
          <w:i/>
          <w:sz w:val="18"/>
        </w:rPr>
        <w:t>21.5</w:t>
      </w:r>
      <w:r>
        <w:rPr>
          <w:i/>
          <w:spacing w:val="-5"/>
          <w:sz w:val="18"/>
        </w:rPr>
        <w:t xml:space="preserve"> </w:t>
      </w:r>
      <w:r>
        <w:rPr>
          <w:i/>
          <w:sz w:val="18"/>
        </w:rPr>
        <w:t>–</w:t>
      </w:r>
      <w:r>
        <w:rPr>
          <w:i/>
          <w:spacing w:val="-6"/>
          <w:sz w:val="18"/>
        </w:rPr>
        <w:t xml:space="preserve"> </w:t>
      </w:r>
      <w:r>
        <w:rPr>
          <w:i/>
          <w:sz w:val="18"/>
        </w:rPr>
        <w:t>China)</w:t>
      </w:r>
      <w:r>
        <w:rPr>
          <w:sz w:val="18"/>
        </w:rPr>
        <w:t>,</w:t>
      </w:r>
      <w:r>
        <w:rPr>
          <w:spacing w:val="-6"/>
          <w:sz w:val="18"/>
        </w:rPr>
        <w:t xml:space="preserve"> </w:t>
      </w:r>
      <w:r>
        <w:rPr>
          <w:sz w:val="18"/>
        </w:rPr>
        <w:t>paras.</w:t>
      </w:r>
      <w:r>
        <w:rPr>
          <w:spacing w:val="-5"/>
          <w:sz w:val="18"/>
        </w:rPr>
        <w:t xml:space="preserve"> </w:t>
      </w:r>
      <w:r>
        <w:rPr>
          <w:sz w:val="18"/>
        </w:rPr>
        <w:t>5.205</w:t>
      </w:r>
      <w:r>
        <w:rPr>
          <w:spacing w:val="-7"/>
          <w:sz w:val="18"/>
        </w:rPr>
        <w:t xml:space="preserve"> </w:t>
      </w:r>
      <w:r>
        <w:rPr>
          <w:sz w:val="18"/>
        </w:rPr>
        <w:t>and</w:t>
      </w:r>
      <w:r>
        <w:rPr>
          <w:spacing w:val="-5"/>
          <w:sz w:val="18"/>
        </w:rPr>
        <w:t xml:space="preserve"> </w:t>
      </w:r>
      <w:r>
        <w:rPr>
          <w:spacing w:val="-2"/>
          <w:sz w:val="18"/>
        </w:rPr>
        <w:t>5.207.</w:t>
      </w:r>
    </w:p>
    <w:p w14:paraId="51DE8BA5" w14:textId="77777777" w:rsidR="0010369C" w:rsidRDefault="008E43AE">
      <w:pPr>
        <w:ind w:left="238" w:right="614" w:hanging="1"/>
        <w:rPr>
          <w:sz w:val="18"/>
        </w:rPr>
      </w:pPr>
      <w:r>
        <w:rPr>
          <w:sz w:val="18"/>
          <w:vertAlign w:val="superscript"/>
        </w:rPr>
        <w:t>534</w:t>
      </w:r>
      <w:r>
        <w:rPr>
          <w:sz w:val="18"/>
        </w:rPr>
        <w:t xml:space="preserve"> The Anti‐Dumping Final Determination uses the</w:t>
      </w:r>
      <w:r>
        <w:rPr>
          <w:spacing w:val="-1"/>
          <w:sz w:val="18"/>
        </w:rPr>
        <w:t xml:space="preserve"> </w:t>
      </w:r>
      <w:r>
        <w:rPr>
          <w:sz w:val="18"/>
        </w:rPr>
        <w:t>qualifying language "and other adjustment items", "such as", pp. 70, 72, 86‐87,</w:t>
      </w:r>
      <w:r>
        <w:rPr>
          <w:spacing w:val="-2"/>
          <w:sz w:val="18"/>
        </w:rPr>
        <w:t xml:space="preserve"> </w:t>
      </w:r>
      <w:r>
        <w:rPr>
          <w:sz w:val="18"/>
        </w:rPr>
        <w:t>93‐94.</w:t>
      </w:r>
    </w:p>
    <w:p w14:paraId="51DE8BA6" w14:textId="77777777" w:rsidR="0010369C" w:rsidRDefault="0010369C">
      <w:pPr>
        <w:rPr>
          <w:sz w:val="18"/>
        </w:rPr>
        <w:sectPr w:rsidR="0010369C">
          <w:pgSz w:w="11910" w:h="16840"/>
          <w:pgMar w:top="880" w:right="800" w:bottom="980" w:left="1180" w:header="569" w:footer="788" w:gutter="0"/>
          <w:cols w:space="720"/>
        </w:sectPr>
      </w:pPr>
    </w:p>
    <w:p w14:paraId="51DE8BA7" w14:textId="77777777" w:rsidR="0010369C" w:rsidRDefault="0010369C">
      <w:pPr>
        <w:pStyle w:val="BodyText"/>
        <w:spacing w:before="2"/>
        <w:rPr>
          <w:sz w:val="15"/>
        </w:rPr>
      </w:pPr>
    </w:p>
    <w:p w14:paraId="51DE8BA8" w14:textId="77777777" w:rsidR="0010369C" w:rsidRDefault="008E43AE">
      <w:pPr>
        <w:tabs>
          <w:tab w:val="left" w:pos="8228"/>
        </w:tabs>
        <w:spacing w:before="60"/>
        <w:ind w:left="239"/>
        <w:jc w:val="both"/>
        <w:rPr>
          <w:sz w:val="20"/>
        </w:rPr>
      </w:pPr>
      <w:r>
        <w:rPr>
          <w:i/>
          <w:sz w:val="20"/>
        </w:rPr>
        <w:t>on</w:t>
      </w:r>
      <w:r>
        <w:rPr>
          <w:i/>
          <w:spacing w:val="-1"/>
          <w:sz w:val="20"/>
        </w:rPr>
        <w:t xml:space="preserve"> </w:t>
      </w:r>
      <w:r>
        <w:rPr>
          <w:i/>
          <w:sz w:val="20"/>
        </w:rPr>
        <w:t>Wine</w:t>
      </w:r>
      <w:r>
        <w:rPr>
          <w:i/>
          <w:spacing w:val="-1"/>
          <w:sz w:val="20"/>
        </w:rPr>
        <w:t xml:space="preserve"> </w:t>
      </w:r>
      <w:r>
        <w:rPr>
          <w:i/>
          <w:sz w:val="20"/>
        </w:rPr>
        <w:t>from</w:t>
      </w:r>
      <w:r>
        <w:rPr>
          <w:i/>
          <w:spacing w:val="-3"/>
          <w:sz w:val="20"/>
        </w:rPr>
        <w:t xml:space="preserve"> </w:t>
      </w:r>
      <w:r>
        <w:rPr>
          <w:i/>
          <w:sz w:val="20"/>
        </w:rPr>
        <w:t>Australia</w:t>
      </w:r>
      <w:r>
        <w:rPr>
          <w:i/>
          <w:spacing w:val="-1"/>
          <w:sz w:val="20"/>
        </w:rPr>
        <w:t xml:space="preserve"> </w:t>
      </w:r>
      <w:r>
        <w:rPr>
          <w:spacing w:val="-2"/>
          <w:sz w:val="20"/>
        </w:rPr>
        <w:t>(DS602)</w:t>
      </w:r>
      <w:r>
        <w:rPr>
          <w:sz w:val="20"/>
        </w:rPr>
        <w:tab/>
        <w:t>29</w:t>
      </w:r>
      <w:r>
        <w:rPr>
          <w:spacing w:val="-1"/>
          <w:sz w:val="20"/>
        </w:rPr>
        <w:t xml:space="preserve"> </w:t>
      </w:r>
      <w:r>
        <w:rPr>
          <w:sz w:val="20"/>
        </w:rPr>
        <w:t>April</w:t>
      </w:r>
      <w:r>
        <w:rPr>
          <w:spacing w:val="-2"/>
          <w:sz w:val="20"/>
        </w:rPr>
        <w:t xml:space="preserve"> </w:t>
      </w:r>
      <w:r>
        <w:rPr>
          <w:spacing w:val="-4"/>
          <w:sz w:val="20"/>
        </w:rPr>
        <w:t>2022</w:t>
      </w:r>
    </w:p>
    <w:p w14:paraId="51DE8BA9" w14:textId="77777777" w:rsidR="0010369C" w:rsidRDefault="008E43AE">
      <w:pPr>
        <w:pStyle w:val="BodyText"/>
        <w:spacing w:before="34" w:line="360" w:lineRule="auto"/>
        <w:ind w:left="237" w:right="613"/>
        <w:jc w:val="both"/>
      </w:pPr>
      <w:r>
        <w:t>discounts</w:t>
      </w:r>
      <w:r>
        <w:rPr>
          <w:spacing w:val="-1"/>
        </w:rPr>
        <w:t xml:space="preserve"> </w:t>
      </w:r>
      <w:r>
        <w:t>to</w:t>
      </w:r>
      <w:r>
        <w:rPr>
          <w:spacing w:val="-2"/>
        </w:rPr>
        <w:t xml:space="preserve"> </w:t>
      </w:r>
      <w:r>
        <w:t>invoice prices; re</w:t>
      </w:r>
      <w:r>
        <w:t>bates;</w:t>
      </w:r>
      <w:r>
        <w:rPr>
          <w:spacing w:val="-2"/>
        </w:rPr>
        <w:t xml:space="preserve"> </w:t>
      </w:r>
      <w:r>
        <w:t>tax</w:t>
      </w:r>
      <w:r>
        <w:rPr>
          <w:spacing w:val="-1"/>
        </w:rPr>
        <w:t xml:space="preserve"> </w:t>
      </w:r>
      <w:r>
        <w:t>adjustments; inland</w:t>
      </w:r>
      <w:r>
        <w:rPr>
          <w:spacing w:val="-2"/>
        </w:rPr>
        <w:t xml:space="preserve"> </w:t>
      </w:r>
      <w:r>
        <w:t>freight;</w:t>
      </w:r>
      <w:r>
        <w:rPr>
          <w:spacing w:val="-1"/>
        </w:rPr>
        <w:t xml:space="preserve"> </w:t>
      </w:r>
      <w:r>
        <w:t>international</w:t>
      </w:r>
      <w:r>
        <w:rPr>
          <w:spacing w:val="-2"/>
        </w:rPr>
        <w:t xml:space="preserve"> </w:t>
      </w:r>
      <w:r>
        <w:t>freight</w:t>
      </w:r>
      <w:r>
        <w:rPr>
          <w:spacing w:val="-1"/>
        </w:rPr>
        <w:t xml:space="preserve"> </w:t>
      </w:r>
      <w:r>
        <w:t>and insurance; load‐unload charges; pre‐sale warehousing costs; credit and currency exchange fees; advertising expenses and other items.</w:t>
      </w:r>
      <w:r>
        <w:rPr>
          <w:vertAlign w:val="superscript"/>
        </w:rPr>
        <w:t>535</w:t>
      </w:r>
      <w:r>
        <w:t xml:space="preserve"> Under the section of the Final Determination entitled </w:t>
      </w:r>
      <w:r>
        <w:t>"Price Comparison", MOFCOM states:</w:t>
      </w:r>
    </w:p>
    <w:p w14:paraId="51DE8BAA" w14:textId="77777777" w:rsidR="0010369C" w:rsidRDefault="008E43AE">
      <w:pPr>
        <w:spacing w:before="161" w:line="276" w:lineRule="auto"/>
        <w:ind w:left="1089" w:right="612"/>
        <w:jc w:val="both"/>
      </w:pPr>
      <w:r>
        <w:t>In accordance with Article 6 of the Anti‐Dumping Regulations, on the basis of considering various</w:t>
      </w:r>
      <w:r>
        <w:rPr>
          <w:spacing w:val="-7"/>
        </w:rPr>
        <w:t xml:space="preserve"> </w:t>
      </w:r>
      <w:r>
        <w:t>comparable</w:t>
      </w:r>
      <w:r>
        <w:rPr>
          <w:spacing w:val="-8"/>
        </w:rPr>
        <w:t xml:space="preserve"> </w:t>
      </w:r>
      <w:r>
        <w:t>factors</w:t>
      </w:r>
      <w:r>
        <w:rPr>
          <w:spacing w:val="-7"/>
        </w:rPr>
        <w:t xml:space="preserve"> </w:t>
      </w:r>
      <w:r>
        <w:t>affecting</w:t>
      </w:r>
      <w:r>
        <w:rPr>
          <w:spacing w:val="-5"/>
        </w:rPr>
        <w:t xml:space="preserve"> </w:t>
      </w:r>
      <w:r>
        <w:t>price,</w:t>
      </w:r>
      <w:r>
        <w:rPr>
          <w:spacing w:val="-6"/>
        </w:rPr>
        <w:t xml:space="preserve"> </w:t>
      </w:r>
      <w:r>
        <w:t>the</w:t>
      </w:r>
      <w:r>
        <w:rPr>
          <w:spacing w:val="-6"/>
        </w:rPr>
        <w:t xml:space="preserve"> </w:t>
      </w:r>
      <w:r>
        <w:t>Investigating</w:t>
      </w:r>
      <w:r>
        <w:rPr>
          <w:spacing w:val="-7"/>
        </w:rPr>
        <w:t xml:space="preserve"> </w:t>
      </w:r>
      <w:r>
        <w:t>Authority</w:t>
      </w:r>
      <w:r>
        <w:rPr>
          <w:spacing w:val="-7"/>
        </w:rPr>
        <w:t xml:space="preserve"> </w:t>
      </w:r>
      <w:r>
        <w:t>compared</w:t>
      </w:r>
      <w:r>
        <w:rPr>
          <w:spacing w:val="-7"/>
        </w:rPr>
        <w:t xml:space="preserve"> </w:t>
      </w:r>
      <w:r>
        <w:t>the</w:t>
      </w:r>
      <w:r>
        <w:rPr>
          <w:spacing w:val="-6"/>
        </w:rPr>
        <w:t xml:space="preserve"> </w:t>
      </w:r>
      <w:r>
        <w:t>normal value</w:t>
      </w:r>
      <w:r>
        <w:rPr>
          <w:spacing w:val="-1"/>
        </w:rPr>
        <w:t xml:space="preserve"> </w:t>
      </w:r>
      <w:r>
        <w:t>and export price at the ex‐factory</w:t>
      </w:r>
      <w:r>
        <w:rPr>
          <w:spacing w:val="-1"/>
        </w:rPr>
        <w:t xml:space="preserve"> </w:t>
      </w:r>
      <w:r>
        <w:t>level in</w:t>
      </w:r>
      <w:r>
        <w:rPr>
          <w:spacing w:val="-1"/>
        </w:rPr>
        <w:t xml:space="preserve"> </w:t>
      </w:r>
      <w:r>
        <w:t>a fair</w:t>
      </w:r>
      <w:r>
        <w:rPr>
          <w:spacing w:val="-1"/>
        </w:rPr>
        <w:t xml:space="preserve"> </w:t>
      </w:r>
      <w:r>
        <w:t>and reasonable manner. In calculating the dumping margin, the Investigating Authority compared the weighted average normal value with the weighted average export price to obtain the dumping margin.</w:t>
      </w:r>
      <w:r>
        <w:rPr>
          <w:vertAlign w:val="superscript"/>
        </w:rPr>
        <w:t>536</w:t>
      </w:r>
    </w:p>
    <w:p w14:paraId="51DE8BAB" w14:textId="77777777" w:rsidR="0010369C" w:rsidRDefault="0010369C">
      <w:pPr>
        <w:pStyle w:val="BodyText"/>
        <w:spacing w:before="5"/>
        <w:rPr>
          <w:sz w:val="15"/>
        </w:rPr>
      </w:pPr>
    </w:p>
    <w:p w14:paraId="51DE8BAC" w14:textId="77777777" w:rsidR="0010369C" w:rsidRDefault="008E43AE">
      <w:pPr>
        <w:pStyle w:val="BodyText"/>
        <w:spacing w:before="51" w:line="360" w:lineRule="auto"/>
        <w:ind w:left="238" w:right="616" w:firstLine="851"/>
        <w:jc w:val="both"/>
      </w:pPr>
      <w:r>
        <w:rPr>
          <w:noProof/>
        </w:rPr>
        <w:drawing>
          <wp:anchor distT="0" distB="0" distL="0" distR="0" simplePos="0" relativeHeight="251139584" behindDoc="1" locked="0" layoutInCell="1" allowOverlap="1" wp14:anchorId="51DEA3BA" wp14:editId="51DEA3BB">
            <wp:simplePos x="0" y="0"/>
            <wp:positionH relativeFrom="page">
              <wp:posOffset>902208</wp:posOffset>
            </wp:positionH>
            <wp:positionV relativeFrom="paragraph">
              <wp:posOffset>76150</wp:posOffset>
            </wp:positionV>
            <wp:extent cx="262127" cy="106679"/>
            <wp:effectExtent l="0" t="0" r="0" b="0"/>
            <wp:wrapNone/>
            <wp:docPr id="997" name="image5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 name="image509.png"/>
                    <pic:cNvPicPr/>
                  </pic:nvPicPr>
                  <pic:blipFill>
                    <a:blip r:embed="rId669" cstate="print"/>
                    <a:stretch>
                      <a:fillRect/>
                    </a:stretch>
                  </pic:blipFill>
                  <pic:spPr>
                    <a:xfrm>
                      <a:off x="0" y="0"/>
                      <a:ext cx="262127" cy="106679"/>
                    </a:xfrm>
                    <a:prstGeom prst="rect">
                      <a:avLst/>
                    </a:prstGeom>
                  </pic:spPr>
                </pic:pic>
              </a:graphicData>
            </a:graphic>
          </wp:anchor>
        </w:drawing>
      </w:r>
      <w:r>
        <w:t>No</w:t>
      </w:r>
      <w:r>
        <w:t xml:space="preserve">twithstanding the foregoing actions, Australia submits that MOFCOM failed to make a fair comparison for each sampled company by, </w:t>
      </w:r>
      <w:r>
        <w:rPr>
          <w:i/>
        </w:rPr>
        <w:t>inter alia</w:t>
      </w:r>
      <w:r>
        <w:t>:</w:t>
      </w:r>
    </w:p>
    <w:p w14:paraId="51DE8BAD" w14:textId="77777777" w:rsidR="0010369C" w:rsidRDefault="008E43AE">
      <w:pPr>
        <w:pStyle w:val="ListParagraph"/>
        <w:numPr>
          <w:ilvl w:val="0"/>
          <w:numId w:val="65"/>
        </w:numPr>
        <w:tabs>
          <w:tab w:val="left" w:pos="1940"/>
          <w:tab w:val="left" w:pos="1941"/>
        </w:tabs>
        <w:spacing w:before="160" w:line="355" w:lineRule="auto"/>
        <w:ind w:right="612"/>
        <w:rPr>
          <w:sz w:val="24"/>
        </w:rPr>
      </w:pPr>
      <w:r>
        <w:rPr>
          <w:sz w:val="24"/>
        </w:rPr>
        <w:t>failing</w:t>
      </w:r>
      <w:r>
        <w:rPr>
          <w:spacing w:val="-3"/>
          <w:sz w:val="24"/>
        </w:rPr>
        <w:t xml:space="preserve"> </w:t>
      </w:r>
      <w:r>
        <w:rPr>
          <w:sz w:val="24"/>
        </w:rPr>
        <w:t>to</w:t>
      </w:r>
      <w:r>
        <w:rPr>
          <w:spacing w:val="-2"/>
          <w:sz w:val="24"/>
        </w:rPr>
        <w:t xml:space="preserve"> </w:t>
      </w:r>
      <w:r>
        <w:rPr>
          <w:sz w:val="24"/>
        </w:rPr>
        <w:t>compare</w:t>
      </w:r>
      <w:r>
        <w:rPr>
          <w:spacing w:val="-2"/>
          <w:sz w:val="24"/>
        </w:rPr>
        <w:t xml:space="preserve"> </w:t>
      </w:r>
      <w:r>
        <w:rPr>
          <w:sz w:val="24"/>
        </w:rPr>
        <w:t>normal</w:t>
      </w:r>
      <w:r>
        <w:rPr>
          <w:spacing w:val="-3"/>
          <w:sz w:val="24"/>
        </w:rPr>
        <w:t xml:space="preserve"> </w:t>
      </w:r>
      <w:r>
        <w:rPr>
          <w:sz w:val="24"/>
        </w:rPr>
        <w:t>value</w:t>
      </w:r>
      <w:r>
        <w:rPr>
          <w:spacing w:val="-2"/>
          <w:sz w:val="24"/>
        </w:rPr>
        <w:t xml:space="preserve"> </w:t>
      </w:r>
      <w:r>
        <w:rPr>
          <w:sz w:val="24"/>
        </w:rPr>
        <w:t>and</w:t>
      </w:r>
      <w:r>
        <w:rPr>
          <w:spacing w:val="-3"/>
          <w:sz w:val="24"/>
        </w:rPr>
        <w:t xml:space="preserve"> </w:t>
      </w:r>
      <w:r>
        <w:rPr>
          <w:sz w:val="24"/>
        </w:rPr>
        <w:t>export</w:t>
      </w:r>
      <w:r>
        <w:rPr>
          <w:spacing w:val="-3"/>
          <w:sz w:val="24"/>
        </w:rPr>
        <w:t xml:space="preserve"> </w:t>
      </w:r>
      <w:r>
        <w:rPr>
          <w:sz w:val="24"/>
        </w:rPr>
        <w:t>price</w:t>
      </w:r>
      <w:r>
        <w:rPr>
          <w:spacing w:val="-3"/>
          <w:sz w:val="24"/>
        </w:rPr>
        <w:t xml:space="preserve"> </w:t>
      </w:r>
      <w:r>
        <w:rPr>
          <w:sz w:val="24"/>
        </w:rPr>
        <w:t>at</w:t>
      </w:r>
      <w:r>
        <w:rPr>
          <w:spacing w:val="-3"/>
          <w:sz w:val="24"/>
        </w:rPr>
        <w:t xml:space="preserve"> </w:t>
      </w:r>
      <w:r>
        <w:rPr>
          <w:sz w:val="24"/>
        </w:rPr>
        <w:t>the</w:t>
      </w:r>
      <w:r>
        <w:rPr>
          <w:spacing w:val="-2"/>
          <w:sz w:val="24"/>
        </w:rPr>
        <w:t xml:space="preserve"> </w:t>
      </w:r>
      <w:r>
        <w:rPr>
          <w:sz w:val="24"/>
        </w:rPr>
        <w:t>same</w:t>
      </w:r>
      <w:r>
        <w:rPr>
          <w:spacing w:val="-2"/>
          <w:sz w:val="24"/>
        </w:rPr>
        <w:t xml:space="preserve"> </w:t>
      </w:r>
      <w:r>
        <w:rPr>
          <w:sz w:val="24"/>
        </w:rPr>
        <w:t>level</w:t>
      </w:r>
      <w:r>
        <w:rPr>
          <w:spacing w:val="-2"/>
          <w:sz w:val="24"/>
        </w:rPr>
        <w:t xml:space="preserve"> </w:t>
      </w:r>
      <w:r>
        <w:rPr>
          <w:sz w:val="24"/>
        </w:rPr>
        <w:t>of</w:t>
      </w:r>
      <w:r>
        <w:rPr>
          <w:spacing w:val="-3"/>
          <w:sz w:val="24"/>
        </w:rPr>
        <w:t xml:space="preserve"> </w:t>
      </w:r>
      <w:r>
        <w:rPr>
          <w:sz w:val="24"/>
        </w:rPr>
        <w:t>trade, and for sales made at as nearly as pos</w:t>
      </w:r>
      <w:r>
        <w:rPr>
          <w:sz w:val="24"/>
        </w:rPr>
        <w:t>sible the same time;</w:t>
      </w:r>
    </w:p>
    <w:p w14:paraId="51DE8BAE" w14:textId="77777777" w:rsidR="0010369C" w:rsidRDefault="008E43AE">
      <w:pPr>
        <w:pStyle w:val="ListParagraph"/>
        <w:numPr>
          <w:ilvl w:val="0"/>
          <w:numId w:val="65"/>
        </w:numPr>
        <w:tabs>
          <w:tab w:val="left" w:pos="1939"/>
          <w:tab w:val="left" w:pos="1940"/>
        </w:tabs>
        <w:spacing w:before="172" w:line="357" w:lineRule="auto"/>
        <w:ind w:right="614"/>
        <w:rPr>
          <w:sz w:val="24"/>
        </w:rPr>
      </w:pPr>
      <w:r>
        <w:rPr>
          <w:sz w:val="24"/>
        </w:rPr>
        <w:t xml:space="preserve">failing to make due allowance for differences in products' physical characteristics (including quality) and quantity that affected price </w:t>
      </w:r>
      <w:r>
        <w:rPr>
          <w:spacing w:val="-2"/>
          <w:sz w:val="24"/>
        </w:rPr>
        <w:t>comparability;</w:t>
      </w:r>
    </w:p>
    <w:p w14:paraId="51DE8BAF" w14:textId="77777777" w:rsidR="0010369C" w:rsidRDefault="008E43AE">
      <w:pPr>
        <w:pStyle w:val="ListParagraph"/>
        <w:numPr>
          <w:ilvl w:val="0"/>
          <w:numId w:val="65"/>
        </w:numPr>
        <w:tabs>
          <w:tab w:val="left" w:pos="1939"/>
          <w:tab w:val="left" w:pos="1940"/>
        </w:tabs>
        <w:spacing w:before="167"/>
        <w:ind w:hanging="852"/>
        <w:rPr>
          <w:sz w:val="24"/>
        </w:rPr>
      </w:pPr>
      <w:r>
        <w:rPr>
          <w:sz w:val="24"/>
        </w:rPr>
        <w:t>improperly</w:t>
      </w:r>
      <w:r>
        <w:rPr>
          <w:spacing w:val="-12"/>
          <w:sz w:val="24"/>
        </w:rPr>
        <w:t xml:space="preserve"> </w:t>
      </w:r>
      <w:r>
        <w:rPr>
          <w:sz w:val="24"/>
        </w:rPr>
        <w:t>rejecting</w:t>
      </w:r>
      <w:r>
        <w:rPr>
          <w:spacing w:val="-13"/>
          <w:sz w:val="24"/>
        </w:rPr>
        <w:t xml:space="preserve"> </w:t>
      </w:r>
      <w:r>
        <w:rPr>
          <w:sz w:val="24"/>
        </w:rPr>
        <w:t>requests</w:t>
      </w:r>
      <w:r>
        <w:rPr>
          <w:spacing w:val="-13"/>
          <w:sz w:val="24"/>
        </w:rPr>
        <w:t xml:space="preserve"> </w:t>
      </w:r>
      <w:r>
        <w:rPr>
          <w:sz w:val="24"/>
        </w:rPr>
        <w:t>for</w:t>
      </w:r>
      <w:r>
        <w:rPr>
          <w:spacing w:val="-12"/>
          <w:sz w:val="24"/>
        </w:rPr>
        <w:t xml:space="preserve"> </w:t>
      </w:r>
      <w:r>
        <w:rPr>
          <w:sz w:val="24"/>
        </w:rPr>
        <w:t>adjustments;</w:t>
      </w:r>
      <w:r>
        <w:rPr>
          <w:spacing w:val="-13"/>
          <w:sz w:val="24"/>
        </w:rPr>
        <w:t xml:space="preserve"> </w:t>
      </w:r>
      <w:r>
        <w:rPr>
          <w:spacing w:val="-5"/>
          <w:sz w:val="24"/>
        </w:rPr>
        <w:t>and</w:t>
      </w:r>
    </w:p>
    <w:p w14:paraId="51DE8BB0" w14:textId="77777777" w:rsidR="0010369C" w:rsidRDefault="0010369C">
      <w:pPr>
        <w:pStyle w:val="BodyText"/>
        <w:spacing w:before="2"/>
        <w:rPr>
          <w:sz w:val="25"/>
        </w:rPr>
      </w:pPr>
    </w:p>
    <w:p w14:paraId="51DE8BB1" w14:textId="77777777" w:rsidR="0010369C" w:rsidRDefault="008E43AE">
      <w:pPr>
        <w:pStyle w:val="ListParagraph"/>
        <w:numPr>
          <w:ilvl w:val="0"/>
          <w:numId w:val="65"/>
        </w:numPr>
        <w:tabs>
          <w:tab w:val="left" w:pos="1939"/>
          <w:tab w:val="left" w:pos="1940"/>
        </w:tabs>
        <w:spacing w:before="0" w:line="357" w:lineRule="auto"/>
        <w:ind w:left="1938" w:right="613"/>
        <w:rPr>
          <w:sz w:val="24"/>
        </w:rPr>
      </w:pPr>
      <w:r>
        <w:rPr>
          <w:sz w:val="24"/>
        </w:rPr>
        <w:t>failing to indicate in a timely manner information that was necessary to ensure a fair comparison, in particular the bases for the determinations of normal</w:t>
      </w:r>
      <w:r>
        <w:rPr>
          <w:spacing w:val="-1"/>
          <w:sz w:val="24"/>
        </w:rPr>
        <w:t xml:space="preserve"> </w:t>
      </w:r>
      <w:r>
        <w:rPr>
          <w:sz w:val="24"/>
        </w:rPr>
        <w:t>value</w:t>
      </w:r>
      <w:r>
        <w:rPr>
          <w:spacing w:val="-1"/>
          <w:sz w:val="24"/>
        </w:rPr>
        <w:t xml:space="preserve"> </w:t>
      </w:r>
      <w:r>
        <w:rPr>
          <w:sz w:val="24"/>
        </w:rPr>
        <w:t>and</w:t>
      </w:r>
      <w:r>
        <w:rPr>
          <w:spacing w:val="-1"/>
          <w:sz w:val="24"/>
        </w:rPr>
        <w:t xml:space="preserve"> </w:t>
      </w:r>
      <w:r>
        <w:rPr>
          <w:sz w:val="24"/>
        </w:rPr>
        <w:t>export</w:t>
      </w:r>
      <w:r>
        <w:rPr>
          <w:spacing w:val="-2"/>
          <w:sz w:val="24"/>
        </w:rPr>
        <w:t xml:space="preserve"> </w:t>
      </w:r>
      <w:r>
        <w:rPr>
          <w:sz w:val="24"/>
        </w:rPr>
        <w:t>price, so</w:t>
      </w:r>
      <w:r>
        <w:rPr>
          <w:spacing w:val="-1"/>
          <w:sz w:val="24"/>
        </w:rPr>
        <w:t xml:space="preserve"> </w:t>
      </w:r>
      <w:r>
        <w:rPr>
          <w:sz w:val="24"/>
        </w:rPr>
        <w:t>that</w:t>
      </w:r>
      <w:r>
        <w:rPr>
          <w:spacing w:val="-1"/>
          <w:sz w:val="24"/>
        </w:rPr>
        <w:t xml:space="preserve"> </w:t>
      </w:r>
      <w:r>
        <w:rPr>
          <w:sz w:val="24"/>
        </w:rPr>
        <w:t>the</w:t>
      </w:r>
      <w:r>
        <w:rPr>
          <w:spacing w:val="-1"/>
          <w:sz w:val="24"/>
        </w:rPr>
        <w:t xml:space="preserve"> </w:t>
      </w:r>
      <w:r>
        <w:rPr>
          <w:sz w:val="24"/>
        </w:rPr>
        <w:t>companies</w:t>
      </w:r>
      <w:r>
        <w:rPr>
          <w:spacing w:val="-2"/>
          <w:sz w:val="24"/>
        </w:rPr>
        <w:t xml:space="preserve"> </w:t>
      </w:r>
      <w:r>
        <w:rPr>
          <w:sz w:val="24"/>
        </w:rPr>
        <w:t>could</w:t>
      </w:r>
      <w:r>
        <w:rPr>
          <w:spacing w:val="-2"/>
          <w:sz w:val="24"/>
        </w:rPr>
        <w:t xml:space="preserve"> </w:t>
      </w:r>
      <w:r>
        <w:rPr>
          <w:sz w:val="24"/>
        </w:rPr>
        <w:t>make</w:t>
      </w:r>
      <w:r>
        <w:rPr>
          <w:spacing w:val="-1"/>
          <w:sz w:val="24"/>
        </w:rPr>
        <w:t xml:space="preserve"> </w:t>
      </w:r>
      <w:r>
        <w:rPr>
          <w:sz w:val="24"/>
        </w:rPr>
        <w:t>informed decisions regarding possible reque</w:t>
      </w:r>
      <w:r>
        <w:rPr>
          <w:sz w:val="24"/>
        </w:rPr>
        <w:t>sts for adjustments.</w:t>
      </w:r>
    </w:p>
    <w:p w14:paraId="51DE8BB2" w14:textId="77777777" w:rsidR="0010369C" w:rsidRDefault="0010369C">
      <w:pPr>
        <w:pStyle w:val="BodyText"/>
        <w:spacing w:before="10"/>
        <w:rPr>
          <w:sz w:val="9"/>
        </w:rPr>
      </w:pPr>
    </w:p>
    <w:p w14:paraId="51DE8BB3" w14:textId="77777777" w:rsidR="0010369C" w:rsidRDefault="008E43AE">
      <w:pPr>
        <w:pStyle w:val="BodyText"/>
        <w:spacing w:before="52"/>
        <w:ind w:left="1089"/>
      </w:pPr>
      <w:r>
        <w:rPr>
          <w:noProof/>
        </w:rPr>
        <w:drawing>
          <wp:anchor distT="0" distB="0" distL="0" distR="0" simplePos="0" relativeHeight="250669568" behindDoc="0" locked="0" layoutInCell="1" allowOverlap="1" wp14:anchorId="51DEA3BC" wp14:editId="51DEA3BD">
            <wp:simplePos x="0" y="0"/>
            <wp:positionH relativeFrom="page">
              <wp:posOffset>902208</wp:posOffset>
            </wp:positionH>
            <wp:positionV relativeFrom="paragraph">
              <wp:posOffset>76785</wp:posOffset>
            </wp:positionV>
            <wp:extent cx="262127" cy="106679"/>
            <wp:effectExtent l="0" t="0" r="0" b="0"/>
            <wp:wrapNone/>
            <wp:docPr id="999" name="image5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 name="image510.png"/>
                    <pic:cNvPicPr/>
                  </pic:nvPicPr>
                  <pic:blipFill>
                    <a:blip r:embed="rId670" cstate="print"/>
                    <a:stretch>
                      <a:fillRect/>
                    </a:stretch>
                  </pic:blipFill>
                  <pic:spPr>
                    <a:xfrm>
                      <a:off x="0" y="0"/>
                      <a:ext cx="262127" cy="106679"/>
                    </a:xfrm>
                    <a:prstGeom prst="rect">
                      <a:avLst/>
                    </a:prstGeom>
                  </pic:spPr>
                </pic:pic>
              </a:graphicData>
            </a:graphic>
          </wp:anchor>
        </w:drawing>
      </w:r>
      <w:r>
        <w:t>Each</w:t>
      </w:r>
      <w:r>
        <w:rPr>
          <w:spacing w:val="-7"/>
        </w:rPr>
        <w:t xml:space="preserve"> </w:t>
      </w:r>
      <w:r>
        <w:t>category</w:t>
      </w:r>
      <w:r>
        <w:rPr>
          <w:spacing w:val="-6"/>
        </w:rPr>
        <w:t xml:space="preserve"> </w:t>
      </w:r>
      <w:r>
        <w:t>of</w:t>
      </w:r>
      <w:r>
        <w:rPr>
          <w:spacing w:val="-6"/>
        </w:rPr>
        <w:t xml:space="preserve"> </w:t>
      </w:r>
      <w:r>
        <w:t>errors</w:t>
      </w:r>
      <w:r>
        <w:rPr>
          <w:spacing w:val="-7"/>
        </w:rPr>
        <w:t xml:space="preserve"> </w:t>
      </w:r>
      <w:r>
        <w:t>is</w:t>
      </w:r>
      <w:r>
        <w:rPr>
          <w:spacing w:val="-6"/>
        </w:rPr>
        <w:t xml:space="preserve"> </w:t>
      </w:r>
      <w:r>
        <w:t>addressed</w:t>
      </w:r>
      <w:r>
        <w:rPr>
          <w:spacing w:val="-7"/>
        </w:rPr>
        <w:t xml:space="preserve"> </w:t>
      </w:r>
      <w:r>
        <w:t>in</w:t>
      </w:r>
      <w:r>
        <w:rPr>
          <w:spacing w:val="-6"/>
        </w:rPr>
        <w:t xml:space="preserve"> </w:t>
      </w:r>
      <w:r>
        <w:rPr>
          <w:spacing w:val="-2"/>
        </w:rPr>
        <w:t>turn.</w:t>
      </w:r>
    </w:p>
    <w:p w14:paraId="51DE8BB4" w14:textId="77777777" w:rsidR="0010369C" w:rsidRDefault="0010369C">
      <w:pPr>
        <w:pStyle w:val="BodyText"/>
        <w:rPr>
          <w:sz w:val="25"/>
        </w:rPr>
      </w:pPr>
    </w:p>
    <w:p w14:paraId="51DE8BB5" w14:textId="77777777" w:rsidR="0010369C" w:rsidRDefault="008E43AE">
      <w:pPr>
        <w:pStyle w:val="Heading4"/>
        <w:numPr>
          <w:ilvl w:val="2"/>
          <w:numId w:val="66"/>
        </w:numPr>
        <w:tabs>
          <w:tab w:val="left" w:pos="2649"/>
          <w:tab w:val="left" w:pos="2650"/>
        </w:tabs>
        <w:spacing w:before="0" w:line="360" w:lineRule="auto"/>
        <w:ind w:left="2648" w:right="615"/>
      </w:pPr>
      <w:r>
        <w:t>Obligation</w:t>
      </w:r>
      <w:r>
        <w:rPr>
          <w:spacing w:val="-3"/>
        </w:rPr>
        <w:t xml:space="preserve"> </w:t>
      </w:r>
      <w:r>
        <w:t>to</w:t>
      </w:r>
      <w:r>
        <w:rPr>
          <w:spacing w:val="-2"/>
        </w:rPr>
        <w:t xml:space="preserve"> </w:t>
      </w:r>
      <w:r>
        <w:t>compare</w:t>
      </w:r>
      <w:r>
        <w:rPr>
          <w:spacing w:val="-2"/>
        </w:rPr>
        <w:t xml:space="preserve"> </w:t>
      </w:r>
      <w:r>
        <w:t>sales</w:t>
      </w:r>
      <w:r>
        <w:rPr>
          <w:spacing w:val="-3"/>
        </w:rPr>
        <w:t xml:space="preserve"> </w:t>
      </w:r>
      <w:r>
        <w:t>"at</w:t>
      </w:r>
      <w:r>
        <w:rPr>
          <w:spacing w:val="-3"/>
        </w:rPr>
        <w:t xml:space="preserve"> </w:t>
      </w:r>
      <w:r>
        <w:t>the</w:t>
      </w:r>
      <w:r>
        <w:rPr>
          <w:spacing w:val="-2"/>
        </w:rPr>
        <w:t xml:space="preserve"> </w:t>
      </w:r>
      <w:r>
        <w:t>same</w:t>
      </w:r>
      <w:r>
        <w:rPr>
          <w:spacing w:val="-2"/>
        </w:rPr>
        <w:t xml:space="preserve"> </w:t>
      </w:r>
      <w:r>
        <w:t>level</w:t>
      </w:r>
      <w:r>
        <w:rPr>
          <w:spacing w:val="-4"/>
        </w:rPr>
        <w:t xml:space="preserve"> </w:t>
      </w:r>
      <w:r>
        <w:t>of</w:t>
      </w:r>
      <w:r>
        <w:rPr>
          <w:spacing w:val="-3"/>
        </w:rPr>
        <w:t xml:space="preserve"> </w:t>
      </w:r>
      <w:r>
        <w:t>trade"</w:t>
      </w:r>
      <w:r>
        <w:rPr>
          <w:spacing w:val="-3"/>
        </w:rPr>
        <w:t xml:space="preserve"> </w:t>
      </w:r>
      <w:r>
        <w:t>and</w:t>
      </w:r>
      <w:r>
        <w:rPr>
          <w:spacing w:val="-3"/>
        </w:rPr>
        <w:t xml:space="preserve"> </w:t>
      </w:r>
      <w:r>
        <w:t>"at</w:t>
      </w:r>
      <w:r>
        <w:rPr>
          <w:spacing w:val="-3"/>
        </w:rPr>
        <w:t xml:space="preserve"> </w:t>
      </w:r>
      <w:r>
        <w:t>as nearly as possible the same time"</w:t>
      </w:r>
    </w:p>
    <w:p w14:paraId="51DE8BB6" w14:textId="77777777" w:rsidR="0010369C" w:rsidRDefault="0010369C">
      <w:pPr>
        <w:pStyle w:val="BodyText"/>
        <w:spacing w:before="11"/>
        <w:rPr>
          <w:b/>
          <w:sz w:val="8"/>
        </w:rPr>
      </w:pPr>
    </w:p>
    <w:p w14:paraId="51DE8BB7" w14:textId="77777777" w:rsidR="0010369C" w:rsidRDefault="008E43AE">
      <w:pPr>
        <w:pStyle w:val="BodyText"/>
        <w:spacing w:before="52" w:line="360" w:lineRule="auto"/>
        <w:ind w:left="238" w:right="611" w:firstLine="850"/>
      </w:pPr>
      <w:r>
        <w:rPr>
          <w:noProof/>
        </w:rPr>
        <w:drawing>
          <wp:anchor distT="0" distB="0" distL="0" distR="0" simplePos="0" relativeHeight="251140608" behindDoc="1" locked="0" layoutInCell="1" allowOverlap="1" wp14:anchorId="51DEA3BE" wp14:editId="51DEA3BF">
            <wp:simplePos x="0" y="0"/>
            <wp:positionH relativeFrom="page">
              <wp:posOffset>902208</wp:posOffset>
            </wp:positionH>
            <wp:positionV relativeFrom="paragraph">
              <wp:posOffset>81949</wp:posOffset>
            </wp:positionV>
            <wp:extent cx="262127" cy="100753"/>
            <wp:effectExtent l="0" t="0" r="0" b="0"/>
            <wp:wrapNone/>
            <wp:docPr id="1001" name="image5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image511.png"/>
                    <pic:cNvPicPr/>
                  </pic:nvPicPr>
                  <pic:blipFill>
                    <a:blip r:embed="rId671" cstate="print"/>
                    <a:stretch>
                      <a:fillRect/>
                    </a:stretch>
                  </pic:blipFill>
                  <pic:spPr>
                    <a:xfrm>
                      <a:off x="0" y="0"/>
                      <a:ext cx="262127" cy="100753"/>
                    </a:xfrm>
                    <a:prstGeom prst="rect">
                      <a:avLst/>
                    </a:prstGeom>
                  </pic:spPr>
                </pic:pic>
              </a:graphicData>
            </a:graphic>
          </wp:anchor>
        </w:drawing>
      </w:r>
      <w:r>
        <w:t>The second</w:t>
      </w:r>
      <w:r>
        <w:rPr>
          <w:spacing w:val="-1"/>
        </w:rPr>
        <w:t xml:space="preserve"> </w:t>
      </w:r>
      <w:r>
        <w:t>sentence of</w:t>
      </w:r>
      <w:r>
        <w:rPr>
          <w:spacing w:val="-1"/>
        </w:rPr>
        <w:t xml:space="preserve"> </w:t>
      </w:r>
      <w:r>
        <w:t>Article 2.4</w:t>
      </w:r>
      <w:r>
        <w:rPr>
          <w:spacing w:val="-1"/>
        </w:rPr>
        <w:t xml:space="preserve"> </w:t>
      </w:r>
      <w:r>
        <w:t>requires</w:t>
      </w:r>
      <w:r>
        <w:rPr>
          <w:spacing w:val="-1"/>
        </w:rPr>
        <w:t xml:space="preserve"> </w:t>
      </w:r>
      <w:r>
        <w:t>investigating authorities to compare the export</w:t>
      </w:r>
      <w:r>
        <w:rPr>
          <w:spacing w:val="-14"/>
        </w:rPr>
        <w:t xml:space="preserve"> </w:t>
      </w:r>
      <w:r>
        <w:t>price</w:t>
      </w:r>
      <w:r>
        <w:rPr>
          <w:spacing w:val="-14"/>
        </w:rPr>
        <w:t xml:space="preserve"> </w:t>
      </w:r>
      <w:r>
        <w:t>and</w:t>
      </w:r>
      <w:r>
        <w:rPr>
          <w:spacing w:val="-13"/>
        </w:rPr>
        <w:t xml:space="preserve"> </w:t>
      </w:r>
      <w:r>
        <w:t>the</w:t>
      </w:r>
      <w:r>
        <w:rPr>
          <w:spacing w:val="-14"/>
        </w:rPr>
        <w:t xml:space="preserve"> </w:t>
      </w:r>
      <w:r>
        <w:t>normal</w:t>
      </w:r>
      <w:r>
        <w:rPr>
          <w:spacing w:val="-13"/>
        </w:rPr>
        <w:t xml:space="preserve"> </w:t>
      </w:r>
      <w:r>
        <w:t>value</w:t>
      </w:r>
      <w:r>
        <w:rPr>
          <w:spacing w:val="-14"/>
        </w:rPr>
        <w:t xml:space="preserve"> </w:t>
      </w:r>
      <w:r>
        <w:t>"at</w:t>
      </w:r>
      <w:r>
        <w:rPr>
          <w:spacing w:val="-13"/>
        </w:rPr>
        <w:t xml:space="preserve"> </w:t>
      </w:r>
      <w:r>
        <w:t>the</w:t>
      </w:r>
      <w:r>
        <w:rPr>
          <w:spacing w:val="-14"/>
        </w:rPr>
        <w:t xml:space="preserve"> </w:t>
      </w:r>
      <w:r>
        <w:t>same</w:t>
      </w:r>
      <w:r>
        <w:rPr>
          <w:spacing w:val="-14"/>
        </w:rPr>
        <w:t xml:space="preserve"> </w:t>
      </w:r>
      <w:r>
        <w:t>level</w:t>
      </w:r>
      <w:r>
        <w:rPr>
          <w:spacing w:val="-13"/>
        </w:rPr>
        <w:t xml:space="preserve"> </w:t>
      </w:r>
      <w:r>
        <w:t>of</w:t>
      </w:r>
      <w:r>
        <w:rPr>
          <w:spacing w:val="-14"/>
        </w:rPr>
        <w:t xml:space="preserve"> </w:t>
      </w:r>
      <w:r>
        <w:t>trade,</w:t>
      </w:r>
      <w:r>
        <w:rPr>
          <w:spacing w:val="-13"/>
        </w:rPr>
        <w:t xml:space="preserve"> </w:t>
      </w:r>
      <w:r>
        <w:t>normally</w:t>
      </w:r>
      <w:r>
        <w:rPr>
          <w:spacing w:val="-14"/>
        </w:rPr>
        <w:t xml:space="preserve"> </w:t>
      </w:r>
      <w:r>
        <w:t>at</w:t>
      </w:r>
      <w:r>
        <w:rPr>
          <w:spacing w:val="-13"/>
        </w:rPr>
        <w:t xml:space="preserve"> </w:t>
      </w:r>
      <w:r>
        <w:t>the</w:t>
      </w:r>
      <w:r>
        <w:rPr>
          <w:spacing w:val="-14"/>
        </w:rPr>
        <w:t xml:space="preserve"> </w:t>
      </w:r>
      <w:r>
        <w:t>ex‐factory</w:t>
      </w:r>
      <w:r>
        <w:rPr>
          <w:spacing w:val="-12"/>
        </w:rPr>
        <w:t xml:space="preserve"> </w:t>
      </w:r>
      <w:r>
        <w:rPr>
          <w:spacing w:val="-2"/>
        </w:rPr>
        <w:t>level,</w:t>
      </w:r>
    </w:p>
    <w:p w14:paraId="51DE8BB8" w14:textId="77777777" w:rsidR="0010369C" w:rsidRDefault="0010369C">
      <w:pPr>
        <w:pStyle w:val="BodyText"/>
        <w:rPr>
          <w:sz w:val="20"/>
        </w:rPr>
      </w:pPr>
    </w:p>
    <w:p w14:paraId="51DE8BB9" w14:textId="77777777" w:rsidR="0010369C" w:rsidRDefault="0010369C">
      <w:pPr>
        <w:pStyle w:val="BodyText"/>
        <w:rPr>
          <w:sz w:val="20"/>
        </w:rPr>
      </w:pPr>
    </w:p>
    <w:p w14:paraId="51DE8BBA" w14:textId="77777777" w:rsidR="0010369C" w:rsidRDefault="008E43AE">
      <w:pPr>
        <w:pStyle w:val="BodyText"/>
        <w:spacing w:before="8"/>
        <w:rPr>
          <w:sz w:val="29"/>
        </w:rPr>
      </w:pPr>
      <w:r>
        <w:pict w14:anchorId="51DEA3C0">
          <v:rect id="docshape957" o:spid="_x0000_s1405" style="position:absolute;margin-left:70.9pt;margin-top:19.35pt;width:2in;height:.8pt;z-index:-250868224;mso-wrap-distance-left:0;mso-wrap-distance-right:0;mso-position-horizontal-relative:page" fillcolor="black" stroked="f">
            <w10:wrap type="topAndBottom" anchorx="page"/>
          </v:rect>
        </w:pict>
      </w:r>
    </w:p>
    <w:p w14:paraId="51DE8BBB" w14:textId="77777777" w:rsidR="0010369C" w:rsidRDefault="008E43AE">
      <w:pPr>
        <w:spacing w:before="109"/>
        <w:ind w:left="237" w:right="619" w:firstLine="1"/>
        <w:rPr>
          <w:sz w:val="18"/>
        </w:rPr>
      </w:pPr>
      <w:r>
        <w:rPr>
          <w:sz w:val="18"/>
          <w:vertAlign w:val="superscript"/>
        </w:rPr>
        <w:t>535</w:t>
      </w:r>
      <w:r>
        <w:rPr>
          <w:sz w:val="18"/>
        </w:rPr>
        <w:t xml:space="preserve"> For Treasury Wines: Anti‐Dumping Final Determination (Exhibit AUS‐2), pp. 70‐72; for Casella Wines: Anti‐Dumpi</w:t>
      </w:r>
      <w:r>
        <w:rPr>
          <w:sz w:val="18"/>
        </w:rPr>
        <w:t>ng Final Determination (Exhibit AUS‐2), pp. 86‐87; for Swan Vintage: Anti‐Dumping Final Determination (Exhibit AUS‐2), pp. 93‐94.</w:t>
      </w:r>
      <w:r>
        <w:rPr>
          <w:spacing w:val="40"/>
          <w:sz w:val="18"/>
        </w:rPr>
        <w:t xml:space="preserve"> </w:t>
      </w:r>
      <w:r>
        <w:rPr>
          <w:sz w:val="18"/>
          <w:vertAlign w:val="superscript"/>
        </w:rPr>
        <w:t>536</w:t>
      </w:r>
      <w:r>
        <w:rPr>
          <w:sz w:val="18"/>
        </w:rPr>
        <w:t xml:space="preserve"> Anti‐Dumping Final Determination (Exhibit AUS‐2), p. 100.</w:t>
      </w:r>
    </w:p>
    <w:p w14:paraId="51DE8BBC" w14:textId="77777777" w:rsidR="0010369C" w:rsidRDefault="0010369C">
      <w:pPr>
        <w:rPr>
          <w:sz w:val="18"/>
        </w:rPr>
        <w:sectPr w:rsidR="0010369C">
          <w:headerReference w:type="default" r:id="rId672"/>
          <w:footerReference w:type="default" r:id="rId673"/>
          <w:pgSz w:w="11910" w:h="16840"/>
          <w:pgMar w:top="880" w:right="800" w:bottom="980" w:left="1180" w:header="569" w:footer="788" w:gutter="0"/>
          <w:cols w:space="720"/>
        </w:sectPr>
      </w:pPr>
    </w:p>
    <w:p w14:paraId="51DE8BBD" w14:textId="77777777" w:rsidR="0010369C" w:rsidRDefault="0010369C">
      <w:pPr>
        <w:pStyle w:val="BodyText"/>
        <w:spacing w:before="4"/>
        <w:rPr>
          <w:sz w:val="23"/>
        </w:rPr>
      </w:pPr>
    </w:p>
    <w:tbl>
      <w:tblPr>
        <w:tblW w:w="0" w:type="auto"/>
        <w:tblInd w:w="195" w:type="dxa"/>
        <w:tblLayout w:type="fixed"/>
        <w:tblCellMar>
          <w:left w:w="0" w:type="dxa"/>
          <w:right w:w="0" w:type="dxa"/>
        </w:tblCellMar>
        <w:tblLook w:val="01E0" w:firstRow="1" w:lastRow="1" w:firstColumn="1" w:lastColumn="1" w:noHBand="0" w:noVBand="0"/>
      </w:tblPr>
      <w:tblGrid>
        <w:gridCol w:w="3159"/>
        <w:gridCol w:w="3168"/>
        <w:gridCol w:w="1615"/>
        <w:gridCol w:w="1230"/>
      </w:tblGrid>
      <w:tr w:rsidR="0010369C" w14:paraId="51DE8BC4" w14:textId="77777777">
        <w:trPr>
          <w:trHeight w:val="1146"/>
        </w:trPr>
        <w:tc>
          <w:tcPr>
            <w:tcW w:w="6327" w:type="dxa"/>
            <w:gridSpan w:val="2"/>
          </w:tcPr>
          <w:p w14:paraId="51DE8BBE" w14:textId="77777777" w:rsidR="0010369C" w:rsidRDefault="008E43AE">
            <w:pPr>
              <w:pStyle w:val="TableParagraph"/>
              <w:spacing w:line="204" w:lineRule="exact"/>
              <w:ind w:left="51"/>
              <w:rPr>
                <w:sz w:val="20"/>
              </w:rPr>
            </w:pPr>
            <w:r>
              <w:rPr>
                <w:i/>
                <w:sz w:val="20"/>
              </w:rPr>
              <w:t>on</w:t>
            </w:r>
            <w:r>
              <w:rPr>
                <w:i/>
                <w:spacing w:val="-1"/>
                <w:sz w:val="20"/>
              </w:rPr>
              <w:t xml:space="preserve"> </w:t>
            </w:r>
            <w:r>
              <w:rPr>
                <w:i/>
                <w:sz w:val="20"/>
              </w:rPr>
              <w:t>Wine</w:t>
            </w:r>
            <w:r>
              <w:rPr>
                <w:i/>
                <w:spacing w:val="-1"/>
                <w:sz w:val="20"/>
              </w:rPr>
              <w:t xml:space="preserve"> </w:t>
            </w:r>
            <w:r>
              <w:rPr>
                <w:i/>
                <w:sz w:val="20"/>
              </w:rPr>
              <w:t>from</w:t>
            </w:r>
            <w:r>
              <w:rPr>
                <w:i/>
                <w:spacing w:val="-3"/>
                <w:sz w:val="20"/>
              </w:rPr>
              <w:t xml:space="preserve"> </w:t>
            </w:r>
            <w:r>
              <w:rPr>
                <w:i/>
                <w:sz w:val="20"/>
              </w:rPr>
              <w:t>Australia</w:t>
            </w:r>
            <w:r>
              <w:rPr>
                <w:i/>
                <w:spacing w:val="-1"/>
                <w:sz w:val="20"/>
              </w:rPr>
              <w:t xml:space="preserve"> </w:t>
            </w:r>
            <w:r>
              <w:rPr>
                <w:spacing w:val="-2"/>
                <w:sz w:val="20"/>
              </w:rPr>
              <w:t>(DS602)</w:t>
            </w:r>
          </w:p>
          <w:p w14:paraId="51DE8BBF" w14:textId="77777777" w:rsidR="0010369C" w:rsidRDefault="008E43AE">
            <w:pPr>
              <w:pStyle w:val="TableParagraph"/>
              <w:spacing w:before="34" w:line="360" w:lineRule="auto"/>
              <w:ind w:left="50"/>
              <w:rPr>
                <w:sz w:val="24"/>
              </w:rPr>
            </w:pPr>
            <w:r>
              <w:rPr>
                <w:sz w:val="24"/>
              </w:rPr>
              <w:t>and</w:t>
            </w:r>
            <w:r>
              <w:rPr>
                <w:spacing w:val="40"/>
                <w:sz w:val="24"/>
              </w:rPr>
              <w:t xml:space="preserve"> </w:t>
            </w:r>
            <w:r>
              <w:rPr>
                <w:sz w:val="24"/>
              </w:rPr>
              <w:t>in</w:t>
            </w:r>
            <w:r>
              <w:rPr>
                <w:spacing w:val="40"/>
                <w:sz w:val="24"/>
              </w:rPr>
              <w:t xml:space="preserve"> </w:t>
            </w:r>
            <w:r>
              <w:rPr>
                <w:sz w:val="24"/>
              </w:rPr>
              <w:t>respect</w:t>
            </w:r>
            <w:r>
              <w:rPr>
                <w:spacing w:val="40"/>
                <w:sz w:val="24"/>
              </w:rPr>
              <w:t xml:space="preserve"> </w:t>
            </w:r>
            <w:r>
              <w:rPr>
                <w:sz w:val="24"/>
              </w:rPr>
              <w:t>of</w:t>
            </w:r>
            <w:r>
              <w:rPr>
                <w:spacing w:val="40"/>
                <w:sz w:val="24"/>
              </w:rPr>
              <w:t xml:space="preserve"> </w:t>
            </w:r>
            <w:r>
              <w:rPr>
                <w:sz w:val="24"/>
              </w:rPr>
              <w:t>sales</w:t>
            </w:r>
            <w:r>
              <w:rPr>
                <w:spacing w:val="40"/>
                <w:sz w:val="24"/>
              </w:rPr>
              <w:t xml:space="preserve"> </w:t>
            </w:r>
            <w:r>
              <w:rPr>
                <w:sz w:val="24"/>
              </w:rPr>
              <w:t>made</w:t>
            </w:r>
            <w:r>
              <w:rPr>
                <w:spacing w:val="40"/>
                <w:sz w:val="24"/>
              </w:rPr>
              <w:t xml:space="preserve"> </w:t>
            </w:r>
            <w:r>
              <w:rPr>
                <w:sz w:val="24"/>
              </w:rPr>
              <w:t>at</w:t>
            </w:r>
            <w:r>
              <w:rPr>
                <w:spacing w:val="40"/>
                <w:sz w:val="24"/>
              </w:rPr>
              <w:t xml:space="preserve"> </w:t>
            </w:r>
            <w:r>
              <w:rPr>
                <w:sz w:val="24"/>
              </w:rPr>
              <w:t>as</w:t>
            </w:r>
            <w:r>
              <w:rPr>
                <w:spacing w:val="40"/>
                <w:sz w:val="24"/>
              </w:rPr>
              <w:t xml:space="preserve"> </w:t>
            </w:r>
            <w:r>
              <w:rPr>
                <w:sz w:val="24"/>
              </w:rPr>
              <w:t>nearly</w:t>
            </w:r>
            <w:r>
              <w:rPr>
                <w:spacing w:val="69"/>
                <w:sz w:val="24"/>
              </w:rPr>
              <w:t xml:space="preserve"> </w:t>
            </w:r>
            <w:r>
              <w:rPr>
                <w:sz w:val="24"/>
              </w:rPr>
              <w:t>as</w:t>
            </w:r>
            <w:r>
              <w:rPr>
                <w:spacing w:val="40"/>
                <w:sz w:val="24"/>
              </w:rPr>
              <w:t xml:space="preserve"> </w:t>
            </w:r>
            <w:r>
              <w:rPr>
                <w:sz w:val="24"/>
              </w:rPr>
              <w:t>possible</w:t>
            </w:r>
            <w:r>
              <w:rPr>
                <w:spacing w:val="68"/>
                <w:sz w:val="24"/>
              </w:rPr>
              <w:t xml:space="preserve"> </w:t>
            </w:r>
            <w:r>
              <w:rPr>
                <w:sz w:val="24"/>
              </w:rPr>
              <w:t>the</w:t>
            </w:r>
            <w:r>
              <w:rPr>
                <w:spacing w:val="40"/>
                <w:sz w:val="24"/>
              </w:rPr>
              <w:t xml:space="preserve"> </w:t>
            </w:r>
            <w:r>
              <w:rPr>
                <w:sz w:val="24"/>
              </w:rPr>
              <w:t>determinations do not comply with these requirements.</w:t>
            </w:r>
          </w:p>
        </w:tc>
        <w:tc>
          <w:tcPr>
            <w:tcW w:w="1615" w:type="dxa"/>
          </w:tcPr>
          <w:p w14:paraId="51DE8BC0" w14:textId="77777777" w:rsidR="0010369C" w:rsidRDefault="0010369C">
            <w:pPr>
              <w:pStyle w:val="TableParagraph"/>
              <w:spacing w:before="6"/>
              <w:rPr>
                <w:sz w:val="19"/>
              </w:rPr>
            </w:pPr>
          </w:p>
          <w:p w14:paraId="51DE8BC1" w14:textId="77777777" w:rsidR="0010369C" w:rsidRDefault="008E43AE">
            <w:pPr>
              <w:pStyle w:val="TableParagraph"/>
              <w:ind w:left="63"/>
              <w:rPr>
                <w:sz w:val="24"/>
              </w:rPr>
            </w:pPr>
            <w:r>
              <w:rPr>
                <w:sz w:val="24"/>
              </w:rPr>
              <w:t>same</w:t>
            </w:r>
            <w:r>
              <w:rPr>
                <w:spacing w:val="64"/>
                <w:sz w:val="24"/>
              </w:rPr>
              <w:t xml:space="preserve"> </w:t>
            </w:r>
            <w:r>
              <w:rPr>
                <w:spacing w:val="-2"/>
                <w:sz w:val="24"/>
              </w:rPr>
              <w:t>time".</w:t>
            </w:r>
            <w:r>
              <w:rPr>
                <w:spacing w:val="-2"/>
                <w:sz w:val="24"/>
                <w:vertAlign w:val="superscript"/>
              </w:rPr>
              <w:t>537</w:t>
            </w:r>
          </w:p>
        </w:tc>
        <w:tc>
          <w:tcPr>
            <w:tcW w:w="1230" w:type="dxa"/>
          </w:tcPr>
          <w:p w14:paraId="51DE8BC2" w14:textId="77777777" w:rsidR="0010369C" w:rsidRDefault="008E43AE">
            <w:pPr>
              <w:pStyle w:val="TableParagraph"/>
              <w:spacing w:line="204" w:lineRule="exact"/>
              <w:ind w:left="98"/>
              <w:rPr>
                <w:sz w:val="20"/>
              </w:rPr>
            </w:pPr>
            <w:r>
              <w:rPr>
                <w:sz w:val="20"/>
              </w:rPr>
              <w:t>29</w:t>
            </w:r>
            <w:r>
              <w:rPr>
                <w:spacing w:val="-1"/>
                <w:sz w:val="20"/>
              </w:rPr>
              <w:t xml:space="preserve"> </w:t>
            </w:r>
            <w:r>
              <w:rPr>
                <w:sz w:val="20"/>
              </w:rPr>
              <w:t>April</w:t>
            </w:r>
            <w:r>
              <w:rPr>
                <w:spacing w:val="-2"/>
                <w:sz w:val="20"/>
              </w:rPr>
              <w:t xml:space="preserve"> </w:t>
            </w:r>
            <w:r>
              <w:rPr>
                <w:spacing w:val="-4"/>
                <w:sz w:val="20"/>
              </w:rPr>
              <w:t>2022</w:t>
            </w:r>
          </w:p>
          <w:p w14:paraId="51DE8BC3" w14:textId="77777777" w:rsidR="0010369C" w:rsidRDefault="008E43AE">
            <w:pPr>
              <w:pStyle w:val="TableParagraph"/>
              <w:spacing w:before="34"/>
              <w:ind w:left="62"/>
              <w:rPr>
                <w:sz w:val="24"/>
              </w:rPr>
            </w:pPr>
            <w:r>
              <w:rPr>
                <w:spacing w:val="-2"/>
                <w:sz w:val="24"/>
              </w:rPr>
              <w:t>MOFCOM's</w:t>
            </w:r>
          </w:p>
        </w:tc>
      </w:tr>
      <w:tr w:rsidR="0010369C" w14:paraId="51DE8BC9" w14:textId="77777777">
        <w:trPr>
          <w:trHeight w:val="419"/>
        </w:trPr>
        <w:tc>
          <w:tcPr>
            <w:tcW w:w="3159" w:type="dxa"/>
          </w:tcPr>
          <w:p w14:paraId="51DE8BC5" w14:textId="77777777" w:rsidR="0010369C" w:rsidRDefault="008E43AE">
            <w:pPr>
              <w:pStyle w:val="TableParagraph"/>
              <w:spacing w:before="131" w:line="269" w:lineRule="exact"/>
              <w:ind w:right="293"/>
              <w:jc w:val="right"/>
              <w:rPr>
                <w:sz w:val="24"/>
              </w:rPr>
            </w:pPr>
            <w:r>
              <w:rPr>
                <w:spacing w:val="-5"/>
                <w:sz w:val="24"/>
                <w:u w:val="single"/>
              </w:rPr>
              <w:t>(a)</w:t>
            </w:r>
          </w:p>
        </w:tc>
        <w:tc>
          <w:tcPr>
            <w:tcW w:w="3168" w:type="dxa"/>
          </w:tcPr>
          <w:p w14:paraId="51DE8BC6" w14:textId="77777777" w:rsidR="0010369C" w:rsidRDefault="008E43AE">
            <w:pPr>
              <w:pStyle w:val="TableParagraph"/>
              <w:spacing w:before="131" w:line="269" w:lineRule="exact"/>
              <w:ind w:left="295"/>
              <w:rPr>
                <w:sz w:val="24"/>
              </w:rPr>
            </w:pPr>
            <w:r>
              <w:rPr>
                <w:sz w:val="24"/>
                <w:u w:val="single"/>
              </w:rPr>
              <w:t>"at</w:t>
            </w:r>
            <w:r>
              <w:rPr>
                <w:spacing w:val="-5"/>
                <w:sz w:val="24"/>
                <w:u w:val="single"/>
              </w:rPr>
              <w:t xml:space="preserve"> </w:t>
            </w:r>
            <w:r>
              <w:rPr>
                <w:sz w:val="24"/>
                <w:u w:val="single"/>
              </w:rPr>
              <w:t>the</w:t>
            </w:r>
            <w:r>
              <w:rPr>
                <w:spacing w:val="-4"/>
                <w:sz w:val="24"/>
                <w:u w:val="single"/>
              </w:rPr>
              <w:t xml:space="preserve"> </w:t>
            </w:r>
            <w:r>
              <w:rPr>
                <w:sz w:val="24"/>
                <w:u w:val="single"/>
              </w:rPr>
              <w:t>same</w:t>
            </w:r>
            <w:r>
              <w:rPr>
                <w:spacing w:val="-3"/>
                <w:sz w:val="24"/>
                <w:u w:val="single"/>
              </w:rPr>
              <w:t xml:space="preserve"> </w:t>
            </w:r>
            <w:r>
              <w:rPr>
                <w:sz w:val="24"/>
                <w:u w:val="single"/>
              </w:rPr>
              <w:t>level</w:t>
            </w:r>
            <w:r>
              <w:rPr>
                <w:spacing w:val="-4"/>
                <w:sz w:val="24"/>
                <w:u w:val="single"/>
              </w:rPr>
              <w:t xml:space="preserve"> </w:t>
            </w:r>
            <w:r>
              <w:rPr>
                <w:sz w:val="24"/>
                <w:u w:val="single"/>
              </w:rPr>
              <w:t>of</w:t>
            </w:r>
            <w:r>
              <w:rPr>
                <w:spacing w:val="-4"/>
                <w:sz w:val="24"/>
                <w:u w:val="single"/>
              </w:rPr>
              <w:t xml:space="preserve"> </w:t>
            </w:r>
            <w:r>
              <w:rPr>
                <w:spacing w:val="-2"/>
                <w:sz w:val="24"/>
                <w:u w:val="single"/>
              </w:rPr>
              <w:t>trade"</w:t>
            </w:r>
          </w:p>
        </w:tc>
        <w:tc>
          <w:tcPr>
            <w:tcW w:w="1615" w:type="dxa"/>
          </w:tcPr>
          <w:p w14:paraId="51DE8BC7" w14:textId="77777777" w:rsidR="0010369C" w:rsidRDefault="0010369C">
            <w:pPr>
              <w:pStyle w:val="TableParagraph"/>
              <w:rPr>
                <w:rFonts w:ascii="Times New Roman"/>
                <w:sz w:val="20"/>
              </w:rPr>
            </w:pPr>
          </w:p>
        </w:tc>
        <w:tc>
          <w:tcPr>
            <w:tcW w:w="1230" w:type="dxa"/>
          </w:tcPr>
          <w:p w14:paraId="51DE8BC8" w14:textId="77777777" w:rsidR="0010369C" w:rsidRDefault="0010369C">
            <w:pPr>
              <w:pStyle w:val="TableParagraph"/>
              <w:rPr>
                <w:rFonts w:ascii="Times New Roman"/>
                <w:sz w:val="20"/>
              </w:rPr>
            </w:pPr>
          </w:p>
        </w:tc>
      </w:tr>
    </w:tbl>
    <w:p w14:paraId="51DE8BCA" w14:textId="77777777" w:rsidR="0010369C" w:rsidRDefault="0010369C">
      <w:pPr>
        <w:pStyle w:val="BodyText"/>
        <w:spacing w:before="3"/>
        <w:rPr>
          <w:sz w:val="21"/>
        </w:rPr>
      </w:pPr>
    </w:p>
    <w:p w14:paraId="51DE8BCB" w14:textId="77777777" w:rsidR="0010369C" w:rsidRDefault="008E43AE">
      <w:pPr>
        <w:pStyle w:val="BodyText"/>
        <w:spacing w:before="52" w:line="360" w:lineRule="auto"/>
        <w:ind w:left="237" w:right="612" w:firstLine="851"/>
        <w:jc w:val="both"/>
      </w:pPr>
      <w:r>
        <w:rPr>
          <w:noProof/>
        </w:rPr>
        <w:drawing>
          <wp:anchor distT="0" distB="0" distL="0" distR="0" simplePos="0" relativeHeight="251141632" behindDoc="1" locked="0" layoutInCell="1" allowOverlap="1" wp14:anchorId="51DEA3C1" wp14:editId="51DEA3C2">
            <wp:simplePos x="0" y="0"/>
            <wp:positionH relativeFrom="page">
              <wp:posOffset>902208</wp:posOffset>
            </wp:positionH>
            <wp:positionV relativeFrom="paragraph">
              <wp:posOffset>76785</wp:posOffset>
            </wp:positionV>
            <wp:extent cx="262127" cy="106679"/>
            <wp:effectExtent l="0" t="0" r="0" b="0"/>
            <wp:wrapNone/>
            <wp:docPr id="1003" name="image5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image512.png"/>
                    <pic:cNvPicPr/>
                  </pic:nvPicPr>
                  <pic:blipFill>
                    <a:blip r:embed="rId674" cstate="print"/>
                    <a:stretch>
                      <a:fillRect/>
                    </a:stretch>
                  </pic:blipFill>
                  <pic:spPr>
                    <a:xfrm>
                      <a:off x="0" y="0"/>
                      <a:ext cx="262127" cy="106679"/>
                    </a:xfrm>
                    <a:prstGeom prst="rect">
                      <a:avLst/>
                    </a:prstGeom>
                  </pic:spPr>
                </pic:pic>
              </a:graphicData>
            </a:graphic>
          </wp:anchor>
        </w:drawing>
      </w:r>
      <w:r>
        <w:t>The evidence on MOFCOM's record provided by Treasury Wines, Casella Wines and Swan Vintage demonstrates that domestic and export sales were made by each company at various levels of trade, namely wholesalers, distributors, retailers and direct‐to‐consumer.</w:t>
      </w:r>
      <w:r>
        <w:rPr>
          <w:vertAlign w:val="superscript"/>
        </w:rPr>
        <w:t>538</w:t>
      </w:r>
      <w:r>
        <w:t xml:space="preserve"> Prices differed between these levels of trade. In the Final Determination, MOFCOM recognised the fact that sales were made at various levels of trade in the context of its injury analysis.</w:t>
      </w:r>
      <w:r>
        <w:rPr>
          <w:vertAlign w:val="superscript"/>
        </w:rPr>
        <w:t>539</w:t>
      </w:r>
      <w:r>
        <w:rPr>
          <w:spacing w:val="-1"/>
        </w:rPr>
        <w:t xml:space="preserve"> </w:t>
      </w:r>
      <w:r>
        <w:t>Thus, it was</w:t>
      </w:r>
      <w:r>
        <w:rPr>
          <w:spacing w:val="-1"/>
        </w:rPr>
        <w:t xml:space="preserve"> </w:t>
      </w:r>
      <w:r>
        <w:t>obvious from the record</w:t>
      </w:r>
      <w:r>
        <w:rPr>
          <w:spacing w:val="-1"/>
        </w:rPr>
        <w:t xml:space="preserve"> </w:t>
      </w:r>
      <w:r>
        <w:t>that MOFCOM was</w:t>
      </w:r>
      <w:r>
        <w:rPr>
          <w:spacing w:val="-1"/>
        </w:rPr>
        <w:t xml:space="preserve"> </w:t>
      </w:r>
      <w:r>
        <w:t>aware</w:t>
      </w:r>
      <w:r>
        <w:rPr>
          <w:spacing w:val="-1"/>
        </w:rPr>
        <w:t xml:space="preserve"> </w:t>
      </w:r>
      <w:r>
        <w:t>o</w:t>
      </w:r>
      <w:r>
        <w:t>f the differences in</w:t>
      </w:r>
      <w:r>
        <w:rPr>
          <w:spacing w:val="-8"/>
        </w:rPr>
        <w:t xml:space="preserve"> </w:t>
      </w:r>
      <w:r>
        <w:t>levels</w:t>
      </w:r>
      <w:r>
        <w:rPr>
          <w:spacing w:val="-7"/>
        </w:rPr>
        <w:t xml:space="preserve"> </w:t>
      </w:r>
      <w:r>
        <w:t>of</w:t>
      </w:r>
      <w:r>
        <w:rPr>
          <w:spacing w:val="-8"/>
        </w:rPr>
        <w:t xml:space="preserve"> </w:t>
      </w:r>
      <w:r>
        <w:t>trade,</w:t>
      </w:r>
      <w:r>
        <w:rPr>
          <w:spacing w:val="-7"/>
        </w:rPr>
        <w:t xml:space="preserve"> </w:t>
      </w:r>
      <w:r>
        <w:t>that</w:t>
      </w:r>
      <w:r>
        <w:rPr>
          <w:spacing w:val="-8"/>
        </w:rPr>
        <w:t xml:space="preserve"> </w:t>
      </w:r>
      <w:r>
        <w:t>the</w:t>
      </w:r>
      <w:r>
        <w:rPr>
          <w:spacing w:val="-7"/>
        </w:rPr>
        <w:t xml:space="preserve"> </w:t>
      </w:r>
      <w:r>
        <w:t>differences</w:t>
      </w:r>
      <w:r>
        <w:rPr>
          <w:spacing w:val="-8"/>
        </w:rPr>
        <w:t xml:space="preserve"> </w:t>
      </w:r>
      <w:r>
        <w:t>affected</w:t>
      </w:r>
      <w:r>
        <w:rPr>
          <w:spacing w:val="-8"/>
        </w:rPr>
        <w:t xml:space="preserve"> </w:t>
      </w:r>
      <w:r>
        <w:t>a</w:t>
      </w:r>
      <w:r>
        <w:rPr>
          <w:spacing w:val="-9"/>
        </w:rPr>
        <w:t xml:space="preserve"> </w:t>
      </w:r>
      <w:r>
        <w:t>fair</w:t>
      </w:r>
      <w:r>
        <w:rPr>
          <w:spacing w:val="-7"/>
        </w:rPr>
        <w:t xml:space="preserve"> </w:t>
      </w:r>
      <w:r>
        <w:t>comparison,</w:t>
      </w:r>
      <w:r>
        <w:rPr>
          <w:spacing w:val="-8"/>
        </w:rPr>
        <w:t xml:space="preserve"> </w:t>
      </w:r>
      <w:r>
        <w:t>that</w:t>
      </w:r>
      <w:r>
        <w:rPr>
          <w:spacing w:val="-8"/>
        </w:rPr>
        <w:t xml:space="preserve"> </w:t>
      </w:r>
      <w:r>
        <w:t>MOFCOM</w:t>
      </w:r>
      <w:r>
        <w:rPr>
          <w:spacing w:val="-7"/>
        </w:rPr>
        <w:t xml:space="preserve"> </w:t>
      </w:r>
      <w:r>
        <w:t>was</w:t>
      </w:r>
      <w:r>
        <w:rPr>
          <w:spacing w:val="-8"/>
        </w:rPr>
        <w:t xml:space="preserve"> </w:t>
      </w:r>
      <w:r>
        <w:t>required to indicate what information was necessary to ensure a fair comparison in light of these differences, and that MOFCOM was required to make the n</w:t>
      </w:r>
      <w:r>
        <w:t>ecessary adjustments.</w:t>
      </w:r>
    </w:p>
    <w:p w14:paraId="51DE8BCC" w14:textId="77777777" w:rsidR="0010369C" w:rsidRDefault="008E43AE">
      <w:pPr>
        <w:pStyle w:val="BodyText"/>
        <w:spacing w:before="160" w:line="360" w:lineRule="auto"/>
        <w:ind w:left="237" w:right="614" w:firstLine="852"/>
        <w:jc w:val="both"/>
      </w:pPr>
      <w:r>
        <w:rPr>
          <w:noProof/>
        </w:rPr>
        <w:drawing>
          <wp:anchor distT="0" distB="0" distL="0" distR="0" simplePos="0" relativeHeight="251142656" behindDoc="1" locked="0" layoutInCell="1" allowOverlap="1" wp14:anchorId="51DEA3C3" wp14:editId="51DEA3C4">
            <wp:simplePos x="0" y="0"/>
            <wp:positionH relativeFrom="page">
              <wp:posOffset>902208</wp:posOffset>
            </wp:positionH>
            <wp:positionV relativeFrom="paragraph">
              <wp:posOffset>150530</wp:posOffset>
            </wp:positionV>
            <wp:extent cx="262127" cy="100753"/>
            <wp:effectExtent l="0" t="0" r="0" b="0"/>
            <wp:wrapNone/>
            <wp:docPr id="1005" name="image5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image513.png"/>
                    <pic:cNvPicPr/>
                  </pic:nvPicPr>
                  <pic:blipFill>
                    <a:blip r:embed="rId675" cstate="print"/>
                    <a:stretch>
                      <a:fillRect/>
                    </a:stretch>
                  </pic:blipFill>
                  <pic:spPr>
                    <a:xfrm>
                      <a:off x="0" y="0"/>
                      <a:ext cx="262127" cy="100753"/>
                    </a:xfrm>
                    <a:prstGeom prst="rect">
                      <a:avLst/>
                    </a:prstGeom>
                  </pic:spPr>
                </pic:pic>
              </a:graphicData>
            </a:graphic>
          </wp:anchor>
        </w:drawing>
      </w:r>
      <w:r>
        <w:t>The Final Determination does not mention level of trade in the context of the determination of margins of dumping and there is no evidence that MOFCOM considered or made any adjustments to account for differences in levels of trade i</w:t>
      </w:r>
      <w:r>
        <w:t>n that context.</w:t>
      </w:r>
      <w:r>
        <w:rPr>
          <w:vertAlign w:val="superscript"/>
        </w:rPr>
        <w:t>540</w:t>
      </w:r>
      <w:r>
        <w:t xml:space="preserve"> In the context of injury, MOFCOM states in respect of level of trade:</w:t>
      </w:r>
    </w:p>
    <w:p w14:paraId="51DE8BCD" w14:textId="77777777" w:rsidR="0010369C" w:rsidRDefault="008E43AE">
      <w:pPr>
        <w:spacing w:before="160" w:line="276" w:lineRule="auto"/>
        <w:ind w:left="1089" w:right="613" w:hanging="1"/>
        <w:jc w:val="both"/>
      </w:pPr>
      <w:r>
        <w:t>The</w:t>
      </w:r>
      <w:r>
        <w:rPr>
          <w:spacing w:val="-7"/>
        </w:rPr>
        <w:t xml:space="preserve"> </w:t>
      </w:r>
      <w:r>
        <w:t>prices</w:t>
      </w:r>
      <w:r>
        <w:rPr>
          <w:spacing w:val="-7"/>
        </w:rPr>
        <w:t xml:space="preserve"> </w:t>
      </w:r>
      <w:r>
        <w:t>of</w:t>
      </w:r>
      <w:r>
        <w:rPr>
          <w:spacing w:val="-6"/>
        </w:rPr>
        <w:t xml:space="preserve"> </w:t>
      </w:r>
      <w:r>
        <w:t>the</w:t>
      </w:r>
      <w:r>
        <w:rPr>
          <w:spacing w:val="-8"/>
        </w:rPr>
        <w:t xml:space="preserve"> </w:t>
      </w:r>
      <w:r>
        <w:t>dumped</w:t>
      </w:r>
      <w:r>
        <w:rPr>
          <w:spacing w:val="-8"/>
        </w:rPr>
        <w:t xml:space="preserve"> </w:t>
      </w:r>
      <w:r>
        <w:t>imported</w:t>
      </w:r>
      <w:r>
        <w:rPr>
          <w:spacing w:val="-6"/>
        </w:rPr>
        <w:t xml:space="preserve"> </w:t>
      </w:r>
      <w:r>
        <w:t>product</w:t>
      </w:r>
      <w:r>
        <w:rPr>
          <w:spacing w:val="-7"/>
        </w:rPr>
        <w:t xml:space="preserve"> </w:t>
      </w:r>
      <w:r>
        <w:t>and</w:t>
      </w:r>
      <w:r>
        <w:rPr>
          <w:spacing w:val="-7"/>
        </w:rPr>
        <w:t xml:space="preserve"> </w:t>
      </w:r>
      <w:r>
        <w:t>domestic</w:t>
      </w:r>
      <w:r>
        <w:rPr>
          <w:spacing w:val="-6"/>
        </w:rPr>
        <w:t xml:space="preserve"> </w:t>
      </w:r>
      <w:r>
        <w:t>like</w:t>
      </w:r>
      <w:r>
        <w:rPr>
          <w:spacing w:val="-6"/>
        </w:rPr>
        <w:t xml:space="preserve"> </w:t>
      </w:r>
      <w:r>
        <w:t>products</w:t>
      </w:r>
      <w:r>
        <w:rPr>
          <w:spacing w:val="-6"/>
        </w:rPr>
        <w:t xml:space="preserve"> </w:t>
      </w:r>
      <w:r>
        <w:t>should</w:t>
      </w:r>
      <w:r>
        <w:rPr>
          <w:spacing w:val="-8"/>
        </w:rPr>
        <w:t xml:space="preserve"> </w:t>
      </w:r>
      <w:r>
        <w:t>be</w:t>
      </w:r>
      <w:r>
        <w:rPr>
          <w:spacing w:val="-6"/>
        </w:rPr>
        <w:t xml:space="preserve"> </w:t>
      </w:r>
      <w:r>
        <w:t>compared at</w:t>
      </w:r>
      <w:r>
        <w:rPr>
          <w:spacing w:val="-2"/>
        </w:rPr>
        <w:t xml:space="preserve"> </w:t>
      </w:r>
      <w:r>
        <w:t>the</w:t>
      </w:r>
      <w:r>
        <w:rPr>
          <w:spacing w:val="-1"/>
        </w:rPr>
        <w:t xml:space="preserve"> </w:t>
      </w:r>
      <w:r>
        <w:t>same level</w:t>
      </w:r>
      <w:r>
        <w:rPr>
          <w:spacing w:val="-2"/>
        </w:rPr>
        <w:t xml:space="preserve"> </w:t>
      </w:r>
      <w:r>
        <w:t>of trade to</w:t>
      </w:r>
      <w:r>
        <w:rPr>
          <w:spacing w:val="-1"/>
        </w:rPr>
        <w:t xml:space="preserve"> </w:t>
      </w:r>
      <w:r>
        <w:t>ensure</w:t>
      </w:r>
      <w:r>
        <w:rPr>
          <w:spacing w:val="-1"/>
        </w:rPr>
        <w:t xml:space="preserve"> </w:t>
      </w:r>
      <w:r>
        <w:t>that</w:t>
      </w:r>
      <w:r>
        <w:rPr>
          <w:spacing w:val="-1"/>
        </w:rPr>
        <w:t xml:space="preserve"> </w:t>
      </w:r>
      <w:r>
        <w:t>they were comparable.</w:t>
      </w:r>
      <w:r>
        <w:rPr>
          <w:spacing w:val="-1"/>
        </w:rPr>
        <w:t xml:space="preserve"> </w:t>
      </w:r>
      <w:r>
        <w:rPr>
          <w:i/>
        </w:rPr>
        <w:t>The</w:t>
      </w:r>
      <w:r>
        <w:rPr>
          <w:i/>
          <w:spacing w:val="-1"/>
        </w:rPr>
        <w:t xml:space="preserve"> </w:t>
      </w:r>
      <w:r>
        <w:rPr>
          <w:i/>
        </w:rPr>
        <w:t>Investigating</w:t>
      </w:r>
      <w:r>
        <w:rPr>
          <w:i/>
          <w:spacing w:val="-2"/>
        </w:rPr>
        <w:t xml:space="preserve"> </w:t>
      </w:r>
      <w:r>
        <w:rPr>
          <w:i/>
        </w:rPr>
        <w:t>Authority identified</w:t>
      </w:r>
      <w:r>
        <w:rPr>
          <w:i/>
          <w:spacing w:val="-10"/>
        </w:rPr>
        <w:t xml:space="preserve"> </w:t>
      </w:r>
      <w:r>
        <w:rPr>
          <w:i/>
        </w:rPr>
        <w:t>that</w:t>
      </w:r>
      <w:r>
        <w:rPr>
          <w:i/>
          <w:spacing w:val="-12"/>
        </w:rPr>
        <w:t xml:space="preserve"> </w:t>
      </w:r>
      <w:r>
        <w:rPr>
          <w:i/>
        </w:rPr>
        <w:t>the</w:t>
      </w:r>
      <w:r>
        <w:rPr>
          <w:i/>
          <w:spacing w:val="-12"/>
        </w:rPr>
        <w:t xml:space="preserve"> </w:t>
      </w:r>
      <w:r>
        <w:rPr>
          <w:i/>
        </w:rPr>
        <w:t>domestic</w:t>
      </w:r>
      <w:r>
        <w:rPr>
          <w:i/>
          <w:spacing w:val="-12"/>
        </w:rPr>
        <w:t xml:space="preserve"> </w:t>
      </w:r>
      <w:r>
        <w:rPr>
          <w:i/>
        </w:rPr>
        <w:t>customs</w:t>
      </w:r>
      <w:r>
        <w:rPr>
          <w:i/>
          <w:spacing w:val="-12"/>
        </w:rPr>
        <w:t xml:space="preserve"> </w:t>
      </w:r>
      <w:r>
        <w:rPr>
          <w:i/>
        </w:rPr>
        <w:t>clearance</w:t>
      </w:r>
      <w:r>
        <w:rPr>
          <w:i/>
          <w:spacing w:val="-11"/>
        </w:rPr>
        <w:t xml:space="preserve"> </w:t>
      </w:r>
      <w:r>
        <w:rPr>
          <w:i/>
        </w:rPr>
        <w:t>price</w:t>
      </w:r>
      <w:r>
        <w:rPr>
          <w:i/>
          <w:spacing w:val="-11"/>
        </w:rPr>
        <w:t xml:space="preserve"> </w:t>
      </w:r>
      <w:r>
        <w:rPr>
          <w:i/>
        </w:rPr>
        <w:t>of</w:t>
      </w:r>
      <w:r>
        <w:rPr>
          <w:i/>
          <w:spacing w:val="-12"/>
        </w:rPr>
        <w:t xml:space="preserve"> </w:t>
      </w:r>
      <w:r>
        <w:rPr>
          <w:i/>
        </w:rPr>
        <w:t>the</w:t>
      </w:r>
      <w:r>
        <w:rPr>
          <w:i/>
          <w:spacing w:val="-12"/>
        </w:rPr>
        <w:t xml:space="preserve"> </w:t>
      </w:r>
      <w:r>
        <w:rPr>
          <w:i/>
        </w:rPr>
        <w:t>dumped</w:t>
      </w:r>
      <w:r>
        <w:rPr>
          <w:i/>
          <w:spacing w:val="-13"/>
        </w:rPr>
        <w:t xml:space="preserve"> </w:t>
      </w:r>
      <w:r>
        <w:rPr>
          <w:i/>
        </w:rPr>
        <w:t>imported</w:t>
      </w:r>
      <w:r>
        <w:rPr>
          <w:i/>
          <w:spacing w:val="-12"/>
        </w:rPr>
        <w:t xml:space="preserve"> </w:t>
      </w:r>
      <w:r>
        <w:rPr>
          <w:i/>
        </w:rPr>
        <w:t>product</w:t>
      </w:r>
      <w:r>
        <w:rPr>
          <w:i/>
          <w:spacing w:val="-11"/>
        </w:rPr>
        <w:t xml:space="preserve"> </w:t>
      </w:r>
      <w:r>
        <w:rPr>
          <w:i/>
        </w:rPr>
        <w:t>and</w:t>
      </w:r>
      <w:r>
        <w:rPr>
          <w:i/>
          <w:spacing w:val="-11"/>
        </w:rPr>
        <w:t xml:space="preserve"> </w:t>
      </w:r>
      <w:r>
        <w:rPr>
          <w:i/>
        </w:rPr>
        <w:t>the factory price of domestic like products were basically at the same level of trade</w:t>
      </w:r>
      <w:r>
        <w:t>, and both prices</w:t>
      </w:r>
      <w:r>
        <w:rPr>
          <w:spacing w:val="-3"/>
        </w:rPr>
        <w:t xml:space="preserve"> </w:t>
      </w:r>
      <w:r>
        <w:t>did</w:t>
      </w:r>
      <w:r>
        <w:rPr>
          <w:spacing w:val="-3"/>
        </w:rPr>
        <w:t xml:space="preserve"> </w:t>
      </w:r>
      <w:r>
        <w:t>not</w:t>
      </w:r>
      <w:r>
        <w:rPr>
          <w:spacing w:val="-4"/>
        </w:rPr>
        <w:t xml:space="preserve"> </w:t>
      </w:r>
      <w:r>
        <w:t>include</w:t>
      </w:r>
      <w:r>
        <w:rPr>
          <w:spacing w:val="-3"/>
        </w:rPr>
        <w:t xml:space="preserve"> </w:t>
      </w:r>
      <w:r>
        <w:t>VAT,</w:t>
      </w:r>
      <w:r>
        <w:rPr>
          <w:spacing w:val="-2"/>
        </w:rPr>
        <w:t xml:space="preserve"> </w:t>
      </w:r>
      <w:r>
        <w:t>inland</w:t>
      </w:r>
      <w:r>
        <w:rPr>
          <w:spacing w:val="-3"/>
        </w:rPr>
        <w:t xml:space="preserve"> </w:t>
      </w:r>
      <w:r>
        <w:t>freight,</w:t>
      </w:r>
      <w:r>
        <w:rPr>
          <w:spacing w:val="-4"/>
        </w:rPr>
        <w:t xml:space="preserve"> </w:t>
      </w:r>
      <w:r>
        <w:t>insurance</w:t>
      </w:r>
      <w:r>
        <w:rPr>
          <w:spacing w:val="-3"/>
        </w:rPr>
        <w:t xml:space="preserve"> </w:t>
      </w:r>
      <w:r>
        <w:t>cost,</w:t>
      </w:r>
      <w:r>
        <w:rPr>
          <w:spacing w:val="-5"/>
        </w:rPr>
        <w:t xml:space="preserve"> </w:t>
      </w:r>
      <w:r>
        <w:t>secondary</w:t>
      </w:r>
      <w:r>
        <w:rPr>
          <w:spacing w:val="-5"/>
        </w:rPr>
        <w:t xml:space="preserve"> </w:t>
      </w:r>
      <w:r>
        <w:t>sales</w:t>
      </w:r>
      <w:r>
        <w:rPr>
          <w:spacing w:val="-4"/>
        </w:rPr>
        <w:t xml:space="preserve"> </w:t>
      </w:r>
      <w:r>
        <w:t>channels</w:t>
      </w:r>
      <w:r>
        <w:rPr>
          <w:spacing w:val="-4"/>
        </w:rPr>
        <w:t xml:space="preserve"> </w:t>
      </w:r>
      <w:r>
        <w:t>cost,</w:t>
      </w:r>
      <w:r>
        <w:rPr>
          <w:spacing w:val="-4"/>
        </w:rPr>
        <w:t xml:space="preserve"> </w:t>
      </w:r>
      <w:r>
        <w:t>etc. Based on the CIF price of the dumped imported product provided by China Customs, the Investigating</w:t>
      </w:r>
      <w:r>
        <w:rPr>
          <w:spacing w:val="-8"/>
        </w:rPr>
        <w:t xml:space="preserve"> </w:t>
      </w:r>
      <w:r>
        <w:t>Authority</w:t>
      </w:r>
      <w:r>
        <w:rPr>
          <w:spacing w:val="-9"/>
        </w:rPr>
        <w:t xml:space="preserve"> </w:t>
      </w:r>
      <w:r>
        <w:t>further</w:t>
      </w:r>
      <w:r>
        <w:rPr>
          <w:spacing w:val="-8"/>
        </w:rPr>
        <w:t xml:space="preserve"> </w:t>
      </w:r>
      <w:r>
        <w:t>considered</w:t>
      </w:r>
      <w:r>
        <w:rPr>
          <w:spacing w:val="-9"/>
        </w:rPr>
        <w:t xml:space="preserve"> </w:t>
      </w:r>
      <w:r>
        <w:t>exchange</w:t>
      </w:r>
      <w:r>
        <w:rPr>
          <w:spacing w:val="-9"/>
        </w:rPr>
        <w:t xml:space="preserve"> </w:t>
      </w:r>
      <w:r>
        <w:t>rates,</w:t>
      </w:r>
      <w:r>
        <w:rPr>
          <w:spacing w:val="-9"/>
        </w:rPr>
        <w:t xml:space="preserve"> </w:t>
      </w:r>
      <w:r>
        <w:t>tariff</w:t>
      </w:r>
      <w:r>
        <w:rPr>
          <w:spacing w:val="-9"/>
        </w:rPr>
        <w:t xml:space="preserve"> </w:t>
      </w:r>
      <w:r>
        <w:t>rates</w:t>
      </w:r>
      <w:r>
        <w:rPr>
          <w:spacing w:val="-9"/>
        </w:rPr>
        <w:t xml:space="preserve"> </w:t>
      </w:r>
      <w:r>
        <w:t>and</w:t>
      </w:r>
      <w:r>
        <w:rPr>
          <w:spacing w:val="-9"/>
        </w:rPr>
        <w:t xml:space="preserve"> </w:t>
      </w:r>
      <w:r>
        <w:t>imported</w:t>
      </w:r>
      <w:r>
        <w:rPr>
          <w:spacing w:val="-9"/>
        </w:rPr>
        <w:t xml:space="preserve"> </w:t>
      </w:r>
      <w:r>
        <w:t>customs clearance costs during the investigation period, adjusted the import pric</w:t>
      </w:r>
      <w:r>
        <w:t>e of the product under investigation accordingly, and saw the adjusted price as the import price of such dumped imported product. Among them, the exchange rate was calculated on the basis of</w:t>
      </w:r>
    </w:p>
    <w:p w14:paraId="51DE8BCE" w14:textId="77777777" w:rsidR="0010369C" w:rsidRDefault="0010369C">
      <w:pPr>
        <w:pStyle w:val="BodyText"/>
        <w:rPr>
          <w:sz w:val="20"/>
        </w:rPr>
      </w:pPr>
    </w:p>
    <w:p w14:paraId="51DE8BCF" w14:textId="77777777" w:rsidR="0010369C" w:rsidRDefault="0010369C">
      <w:pPr>
        <w:pStyle w:val="BodyText"/>
        <w:rPr>
          <w:sz w:val="20"/>
        </w:rPr>
      </w:pPr>
    </w:p>
    <w:p w14:paraId="51DE8BD0" w14:textId="77777777" w:rsidR="0010369C" w:rsidRDefault="0010369C">
      <w:pPr>
        <w:pStyle w:val="BodyText"/>
        <w:rPr>
          <w:sz w:val="20"/>
        </w:rPr>
      </w:pPr>
    </w:p>
    <w:p w14:paraId="51DE8BD1" w14:textId="77777777" w:rsidR="0010369C" w:rsidRDefault="0010369C">
      <w:pPr>
        <w:pStyle w:val="BodyText"/>
        <w:rPr>
          <w:sz w:val="20"/>
        </w:rPr>
      </w:pPr>
    </w:p>
    <w:p w14:paraId="51DE8BD2" w14:textId="77777777" w:rsidR="0010369C" w:rsidRDefault="008E43AE">
      <w:pPr>
        <w:pStyle w:val="BodyText"/>
        <w:spacing w:before="5"/>
        <w:rPr>
          <w:sz w:val="11"/>
        </w:rPr>
      </w:pPr>
      <w:r>
        <w:pict w14:anchorId="51DEA3C5">
          <v:rect id="docshape958" o:spid="_x0000_s1404" style="position:absolute;margin-left:70.9pt;margin-top:8.2pt;width:2in;height:.8pt;z-index:-250867200;mso-wrap-distance-left:0;mso-wrap-distance-right:0;mso-position-horizontal-relative:page" fillcolor="black" stroked="f">
            <w10:wrap type="topAndBottom" anchorx="page"/>
          </v:rect>
        </w:pict>
      </w:r>
    </w:p>
    <w:p w14:paraId="51DE8BD3" w14:textId="77777777" w:rsidR="0010369C" w:rsidRDefault="008E43AE">
      <w:pPr>
        <w:spacing w:before="109"/>
        <w:ind w:left="237" w:right="615"/>
        <w:jc w:val="both"/>
        <w:rPr>
          <w:sz w:val="18"/>
        </w:rPr>
      </w:pPr>
      <w:r>
        <w:rPr>
          <w:sz w:val="18"/>
          <w:vertAlign w:val="superscript"/>
        </w:rPr>
        <w:t>537</w:t>
      </w:r>
      <w:r>
        <w:rPr>
          <w:sz w:val="18"/>
        </w:rPr>
        <w:t>This</w:t>
      </w:r>
      <w:r>
        <w:rPr>
          <w:spacing w:val="-4"/>
          <w:sz w:val="18"/>
        </w:rPr>
        <w:t xml:space="preserve"> </w:t>
      </w:r>
      <w:r>
        <w:rPr>
          <w:sz w:val="18"/>
        </w:rPr>
        <w:t>sentence</w:t>
      </w:r>
      <w:r>
        <w:rPr>
          <w:spacing w:val="-4"/>
          <w:sz w:val="18"/>
        </w:rPr>
        <w:t xml:space="preserve"> </w:t>
      </w:r>
      <w:r>
        <w:rPr>
          <w:sz w:val="18"/>
        </w:rPr>
        <w:t>has</w:t>
      </w:r>
      <w:r>
        <w:rPr>
          <w:spacing w:val="-4"/>
          <w:sz w:val="18"/>
        </w:rPr>
        <w:t xml:space="preserve"> </w:t>
      </w:r>
      <w:r>
        <w:rPr>
          <w:sz w:val="18"/>
        </w:rPr>
        <w:t>been</w:t>
      </w:r>
      <w:r>
        <w:rPr>
          <w:spacing w:val="-4"/>
          <w:sz w:val="18"/>
        </w:rPr>
        <w:t xml:space="preserve"> </w:t>
      </w:r>
      <w:r>
        <w:rPr>
          <w:sz w:val="18"/>
        </w:rPr>
        <w:t>described</w:t>
      </w:r>
      <w:r>
        <w:rPr>
          <w:spacing w:val="-6"/>
          <w:sz w:val="18"/>
        </w:rPr>
        <w:t xml:space="preserve"> </w:t>
      </w:r>
      <w:r>
        <w:rPr>
          <w:sz w:val="18"/>
        </w:rPr>
        <w:t>as</w:t>
      </w:r>
      <w:r>
        <w:rPr>
          <w:spacing w:val="-4"/>
          <w:sz w:val="18"/>
        </w:rPr>
        <w:t xml:space="preserve"> </w:t>
      </w:r>
      <w:r>
        <w:rPr>
          <w:sz w:val="18"/>
        </w:rPr>
        <w:t>the</w:t>
      </w:r>
      <w:r>
        <w:rPr>
          <w:spacing w:val="-4"/>
          <w:sz w:val="18"/>
        </w:rPr>
        <w:t xml:space="preserve"> </w:t>
      </w:r>
      <w:r>
        <w:rPr>
          <w:sz w:val="18"/>
        </w:rPr>
        <w:t>"basic</w:t>
      </w:r>
      <w:r>
        <w:rPr>
          <w:spacing w:val="-5"/>
          <w:sz w:val="18"/>
        </w:rPr>
        <w:t xml:space="preserve"> </w:t>
      </w:r>
      <w:r>
        <w:rPr>
          <w:sz w:val="18"/>
        </w:rPr>
        <w:t>parameter</w:t>
      </w:r>
      <w:r>
        <w:rPr>
          <w:sz w:val="18"/>
        </w:rPr>
        <w:t>s</w:t>
      </w:r>
      <w:r>
        <w:rPr>
          <w:spacing w:val="-5"/>
          <w:sz w:val="18"/>
        </w:rPr>
        <w:t xml:space="preserve"> </w:t>
      </w:r>
      <w:r>
        <w:rPr>
          <w:sz w:val="18"/>
        </w:rPr>
        <w:t>that</w:t>
      </w:r>
      <w:r>
        <w:rPr>
          <w:spacing w:val="-5"/>
          <w:sz w:val="18"/>
        </w:rPr>
        <w:t xml:space="preserve"> </w:t>
      </w:r>
      <w:r>
        <w:rPr>
          <w:sz w:val="18"/>
        </w:rPr>
        <w:t>further</w:t>
      </w:r>
      <w:r>
        <w:rPr>
          <w:spacing w:val="-5"/>
          <w:sz w:val="18"/>
        </w:rPr>
        <w:t xml:space="preserve"> </w:t>
      </w:r>
      <w:r>
        <w:rPr>
          <w:sz w:val="18"/>
        </w:rPr>
        <w:t>the</w:t>
      </w:r>
      <w:r>
        <w:rPr>
          <w:spacing w:val="-4"/>
          <w:sz w:val="18"/>
        </w:rPr>
        <w:t xml:space="preserve"> </w:t>
      </w:r>
      <w:r>
        <w:rPr>
          <w:sz w:val="18"/>
        </w:rPr>
        <w:t>goal</w:t>
      </w:r>
      <w:r>
        <w:rPr>
          <w:spacing w:val="-6"/>
          <w:sz w:val="18"/>
        </w:rPr>
        <w:t xml:space="preserve"> </w:t>
      </w:r>
      <w:r>
        <w:rPr>
          <w:sz w:val="18"/>
        </w:rPr>
        <w:t>of</w:t>
      </w:r>
      <w:r>
        <w:rPr>
          <w:spacing w:val="-7"/>
          <w:sz w:val="18"/>
        </w:rPr>
        <w:t xml:space="preserve"> </w:t>
      </w:r>
      <w:r>
        <w:rPr>
          <w:sz w:val="18"/>
        </w:rPr>
        <w:t>achieving</w:t>
      </w:r>
      <w:r>
        <w:rPr>
          <w:spacing w:val="-4"/>
          <w:sz w:val="18"/>
        </w:rPr>
        <w:t xml:space="preserve"> </w:t>
      </w:r>
      <w:r>
        <w:rPr>
          <w:sz w:val="18"/>
        </w:rPr>
        <w:t>a</w:t>
      </w:r>
      <w:r>
        <w:rPr>
          <w:spacing w:val="-5"/>
          <w:sz w:val="18"/>
        </w:rPr>
        <w:t xml:space="preserve"> </w:t>
      </w:r>
      <w:r>
        <w:rPr>
          <w:sz w:val="18"/>
        </w:rPr>
        <w:t>fair</w:t>
      </w:r>
      <w:r>
        <w:rPr>
          <w:spacing w:val="-5"/>
          <w:sz w:val="18"/>
        </w:rPr>
        <w:t xml:space="preserve"> </w:t>
      </w:r>
      <w:r>
        <w:rPr>
          <w:sz w:val="18"/>
        </w:rPr>
        <w:t>comparison":</w:t>
      </w:r>
      <w:r>
        <w:rPr>
          <w:spacing w:val="-5"/>
          <w:sz w:val="18"/>
        </w:rPr>
        <w:t xml:space="preserve"> </w:t>
      </w:r>
      <w:r>
        <w:rPr>
          <w:sz w:val="18"/>
        </w:rPr>
        <w:t xml:space="preserve">Appellate Body Report, </w:t>
      </w:r>
      <w:r>
        <w:rPr>
          <w:i/>
          <w:sz w:val="18"/>
        </w:rPr>
        <w:t xml:space="preserve">EU — Fatty Alcohols (Indonesia) </w:t>
      </w:r>
      <w:r>
        <w:rPr>
          <w:sz w:val="18"/>
        </w:rPr>
        <w:t>para. 5.21.</w:t>
      </w:r>
    </w:p>
    <w:p w14:paraId="51DE8BD4" w14:textId="77777777" w:rsidR="0010369C" w:rsidRDefault="008E43AE">
      <w:pPr>
        <w:spacing w:line="219" w:lineRule="exact"/>
        <w:ind w:left="238"/>
        <w:jc w:val="both"/>
        <w:rPr>
          <w:sz w:val="18"/>
        </w:rPr>
      </w:pPr>
      <w:r>
        <w:rPr>
          <w:sz w:val="18"/>
          <w:vertAlign w:val="superscript"/>
        </w:rPr>
        <w:t>538</w:t>
      </w:r>
      <w:r>
        <w:rPr>
          <w:spacing w:val="-5"/>
          <w:sz w:val="18"/>
        </w:rPr>
        <w:t xml:space="preserve"> </w:t>
      </w:r>
      <w:r>
        <w:rPr>
          <w:sz w:val="18"/>
        </w:rPr>
        <w:t>As</w:t>
      </w:r>
      <w:r>
        <w:rPr>
          <w:spacing w:val="-5"/>
          <w:sz w:val="18"/>
        </w:rPr>
        <w:t xml:space="preserve"> </w:t>
      </w:r>
      <w:r>
        <w:rPr>
          <w:sz w:val="18"/>
        </w:rPr>
        <w:t>discussed</w:t>
      </w:r>
      <w:r>
        <w:rPr>
          <w:spacing w:val="-4"/>
          <w:sz w:val="18"/>
        </w:rPr>
        <w:t xml:space="preserve"> </w:t>
      </w:r>
      <w:r>
        <w:rPr>
          <w:sz w:val="18"/>
        </w:rPr>
        <w:t>at</w:t>
      </w:r>
      <w:r>
        <w:rPr>
          <w:spacing w:val="-6"/>
          <w:sz w:val="18"/>
        </w:rPr>
        <w:t xml:space="preserve"> </w:t>
      </w:r>
      <w:r>
        <w:rPr>
          <w:sz w:val="18"/>
        </w:rPr>
        <w:t>section</w:t>
      </w:r>
      <w:r>
        <w:rPr>
          <w:spacing w:val="-5"/>
          <w:sz w:val="18"/>
        </w:rPr>
        <w:t xml:space="preserve"> </w:t>
      </w:r>
      <w:r>
        <w:rPr>
          <w:spacing w:val="-2"/>
          <w:sz w:val="18"/>
        </w:rPr>
        <w:t>II.B.2.</w:t>
      </w:r>
    </w:p>
    <w:p w14:paraId="51DE8BD5" w14:textId="77777777" w:rsidR="0010369C" w:rsidRDefault="008E43AE">
      <w:pPr>
        <w:ind w:left="238"/>
        <w:jc w:val="both"/>
        <w:rPr>
          <w:sz w:val="18"/>
        </w:rPr>
      </w:pPr>
      <w:r>
        <w:rPr>
          <w:sz w:val="18"/>
          <w:vertAlign w:val="superscript"/>
        </w:rPr>
        <w:t>539</w:t>
      </w:r>
      <w:r>
        <w:rPr>
          <w:spacing w:val="-9"/>
          <w:sz w:val="18"/>
        </w:rPr>
        <w:t xml:space="preserve"> </w:t>
      </w:r>
      <w:r>
        <w:rPr>
          <w:sz w:val="18"/>
        </w:rPr>
        <w:t>Anti‐Dumping</w:t>
      </w:r>
      <w:r>
        <w:rPr>
          <w:spacing w:val="-9"/>
          <w:sz w:val="18"/>
        </w:rPr>
        <w:t xml:space="preserve"> </w:t>
      </w:r>
      <w:r>
        <w:rPr>
          <w:sz w:val="18"/>
        </w:rPr>
        <w:t>Final</w:t>
      </w:r>
      <w:r>
        <w:rPr>
          <w:spacing w:val="-9"/>
          <w:sz w:val="18"/>
        </w:rPr>
        <w:t xml:space="preserve"> </w:t>
      </w:r>
      <w:r>
        <w:rPr>
          <w:sz w:val="18"/>
        </w:rPr>
        <w:t>Determination</w:t>
      </w:r>
      <w:r>
        <w:rPr>
          <w:spacing w:val="-8"/>
          <w:sz w:val="18"/>
        </w:rPr>
        <w:t xml:space="preserve"> </w:t>
      </w:r>
      <w:r>
        <w:rPr>
          <w:sz w:val="18"/>
        </w:rPr>
        <w:t>(Exhibit</w:t>
      </w:r>
      <w:r>
        <w:rPr>
          <w:spacing w:val="-9"/>
          <w:sz w:val="18"/>
        </w:rPr>
        <w:t xml:space="preserve"> </w:t>
      </w:r>
      <w:r>
        <w:rPr>
          <w:sz w:val="18"/>
        </w:rPr>
        <w:t>AUS‐2),</w:t>
      </w:r>
      <w:r>
        <w:rPr>
          <w:spacing w:val="-9"/>
          <w:sz w:val="18"/>
        </w:rPr>
        <w:t xml:space="preserve"> </w:t>
      </w:r>
      <w:r>
        <w:rPr>
          <w:sz w:val="18"/>
        </w:rPr>
        <w:t>p.</w:t>
      </w:r>
      <w:r>
        <w:rPr>
          <w:spacing w:val="-9"/>
          <w:sz w:val="18"/>
        </w:rPr>
        <w:t xml:space="preserve"> </w:t>
      </w:r>
      <w:r>
        <w:rPr>
          <w:spacing w:val="-4"/>
          <w:sz w:val="18"/>
        </w:rPr>
        <w:t>118.</w:t>
      </w:r>
    </w:p>
    <w:p w14:paraId="51DE8BD6" w14:textId="77777777" w:rsidR="0010369C" w:rsidRDefault="008E43AE">
      <w:pPr>
        <w:ind w:left="237" w:right="614" w:firstLine="1"/>
        <w:jc w:val="both"/>
        <w:rPr>
          <w:sz w:val="18"/>
        </w:rPr>
      </w:pPr>
      <w:r>
        <w:rPr>
          <w:sz w:val="18"/>
          <w:vertAlign w:val="superscript"/>
        </w:rPr>
        <w:t>540</w:t>
      </w:r>
      <w:r>
        <w:rPr>
          <w:sz w:val="18"/>
        </w:rPr>
        <w:t xml:space="preserve"> It is mentioned in the context of injury in relation to the comparison of prices of the dumped imported production and like domestic products: Anti‐Dumping Final Determination (Exhibit AUS‐2), pp. 112‐113, 118, 139. Although the Final Determination mentio</w:t>
      </w:r>
      <w:r>
        <w:rPr>
          <w:sz w:val="18"/>
        </w:rPr>
        <w:t>ns adjusting domestic prices to the ex‐factory level (pp. 87, 92, 94, 100), making no explicit mentions of doing the same for export prices, adjusting prices to the ex‐factory level does not address different levels of trade. For example, prices at each le</w:t>
      </w:r>
      <w:r>
        <w:rPr>
          <w:sz w:val="18"/>
        </w:rPr>
        <w:t>vel of trade can be expressed in ex‐factory terms or other terms (e.g. CIF).</w:t>
      </w:r>
    </w:p>
    <w:p w14:paraId="51DE8BD7" w14:textId="77777777" w:rsidR="0010369C" w:rsidRDefault="0010369C">
      <w:pPr>
        <w:jc w:val="both"/>
        <w:rPr>
          <w:sz w:val="18"/>
        </w:rPr>
        <w:sectPr w:rsidR="0010369C">
          <w:pgSz w:w="11910" w:h="16840"/>
          <w:pgMar w:top="880" w:right="800" w:bottom="980" w:left="1180" w:header="569" w:footer="788" w:gutter="0"/>
          <w:cols w:space="720"/>
        </w:sectPr>
      </w:pPr>
    </w:p>
    <w:p w14:paraId="51DE8BD8" w14:textId="77777777" w:rsidR="0010369C" w:rsidRDefault="0010369C">
      <w:pPr>
        <w:pStyle w:val="BodyText"/>
        <w:spacing w:before="2"/>
        <w:rPr>
          <w:sz w:val="15"/>
        </w:rPr>
      </w:pPr>
    </w:p>
    <w:p w14:paraId="51DE8BD9" w14:textId="77777777" w:rsidR="0010369C" w:rsidRDefault="008E43AE">
      <w:pPr>
        <w:tabs>
          <w:tab w:val="left" w:pos="8228"/>
        </w:tabs>
        <w:spacing w:before="60"/>
        <w:ind w:left="239"/>
        <w:rPr>
          <w:sz w:val="20"/>
        </w:rPr>
      </w:pPr>
      <w:r>
        <w:rPr>
          <w:i/>
          <w:sz w:val="20"/>
        </w:rPr>
        <w:t>on</w:t>
      </w:r>
      <w:r>
        <w:rPr>
          <w:i/>
          <w:spacing w:val="-1"/>
          <w:sz w:val="20"/>
        </w:rPr>
        <w:t xml:space="preserve"> </w:t>
      </w:r>
      <w:r>
        <w:rPr>
          <w:i/>
          <w:sz w:val="20"/>
        </w:rPr>
        <w:t>Wine</w:t>
      </w:r>
      <w:r>
        <w:rPr>
          <w:i/>
          <w:spacing w:val="-1"/>
          <w:sz w:val="20"/>
        </w:rPr>
        <w:t xml:space="preserve"> </w:t>
      </w:r>
      <w:r>
        <w:rPr>
          <w:i/>
          <w:sz w:val="20"/>
        </w:rPr>
        <w:t>from</w:t>
      </w:r>
      <w:r>
        <w:rPr>
          <w:i/>
          <w:spacing w:val="-3"/>
          <w:sz w:val="20"/>
        </w:rPr>
        <w:t xml:space="preserve"> </w:t>
      </w:r>
      <w:r>
        <w:rPr>
          <w:i/>
          <w:sz w:val="20"/>
        </w:rPr>
        <w:t>Australia</w:t>
      </w:r>
      <w:r>
        <w:rPr>
          <w:i/>
          <w:spacing w:val="-1"/>
          <w:sz w:val="20"/>
        </w:rPr>
        <w:t xml:space="preserve"> </w:t>
      </w:r>
      <w:r>
        <w:rPr>
          <w:spacing w:val="-2"/>
          <w:sz w:val="20"/>
        </w:rPr>
        <w:t>(DS602)</w:t>
      </w:r>
      <w:r>
        <w:rPr>
          <w:sz w:val="20"/>
        </w:rPr>
        <w:tab/>
        <w:t>29</w:t>
      </w:r>
      <w:r>
        <w:rPr>
          <w:spacing w:val="-1"/>
          <w:sz w:val="20"/>
        </w:rPr>
        <w:t xml:space="preserve"> </w:t>
      </w:r>
      <w:r>
        <w:rPr>
          <w:sz w:val="20"/>
        </w:rPr>
        <w:t>April</w:t>
      </w:r>
      <w:r>
        <w:rPr>
          <w:spacing w:val="-2"/>
          <w:sz w:val="20"/>
        </w:rPr>
        <w:t xml:space="preserve"> </w:t>
      </w:r>
      <w:r>
        <w:rPr>
          <w:spacing w:val="-4"/>
          <w:sz w:val="20"/>
        </w:rPr>
        <w:t>2022</w:t>
      </w:r>
    </w:p>
    <w:p w14:paraId="51DE8BDA" w14:textId="77777777" w:rsidR="0010369C" w:rsidRDefault="008E43AE">
      <w:pPr>
        <w:spacing w:before="35" w:line="276" w:lineRule="auto"/>
        <w:ind w:left="1088" w:right="611"/>
      </w:pPr>
      <w:r>
        <w:t>the arithmetic average of the monthly average exchange rate of the year published by the People's Bank of China.</w:t>
      </w:r>
      <w:r>
        <w:rPr>
          <w:vertAlign w:val="superscript"/>
        </w:rPr>
        <w:t>541</w:t>
      </w:r>
      <w:r>
        <w:t xml:space="preserve"> (emphasis original)</w:t>
      </w:r>
    </w:p>
    <w:p w14:paraId="51DE8BDB" w14:textId="77777777" w:rsidR="0010369C" w:rsidRDefault="0010369C">
      <w:pPr>
        <w:pStyle w:val="BodyText"/>
        <w:spacing w:before="4"/>
        <w:rPr>
          <w:sz w:val="15"/>
        </w:rPr>
      </w:pPr>
    </w:p>
    <w:p w14:paraId="51DE8BDC" w14:textId="77777777" w:rsidR="0010369C" w:rsidRDefault="008E43AE">
      <w:pPr>
        <w:pStyle w:val="BodyText"/>
        <w:spacing w:before="51" w:line="362" w:lineRule="auto"/>
        <w:ind w:left="238" w:right="614" w:firstLine="850"/>
      </w:pPr>
      <w:r>
        <w:rPr>
          <w:noProof/>
        </w:rPr>
        <w:drawing>
          <wp:anchor distT="0" distB="0" distL="0" distR="0" simplePos="0" relativeHeight="251143680" behindDoc="1" locked="0" layoutInCell="1" allowOverlap="1" wp14:anchorId="51DEA3C6" wp14:editId="51DEA3C7">
            <wp:simplePos x="0" y="0"/>
            <wp:positionH relativeFrom="page">
              <wp:posOffset>902208</wp:posOffset>
            </wp:positionH>
            <wp:positionV relativeFrom="paragraph">
              <wp:posOffset>81314</wp:posOffset>
            </wp:positionV>
            <wp:extent cx="262127" cy="100753"/>
            <wp:effectExtent l="0" t="0" r="0" b="0"/>
            <wp:wrapNone/>
            <wp:docPr id="1007" name="image5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image514.png"/>
                    <pic:cNvPicPr/>
                  </pic:nvPicPr>
                  <pic:blipFill>
                    <a:blip r:embed="rId676" cstate="print"/>
                    <a:stretch>
                      <a:fillRect/>
                    </a:stretch>
                  </pic:blipFill>
                  <pic:spPr>
                    <a:xfrm>
                      <a:off x="0" y="0"/>
                      <a:ext cx="262127" cy="100753"/>
                    </a:xfrm>
                    <a:prstGeom prst="rect">
                      <a:avLst/>
                    </a:prstGeom>
                  </pic:spPr>
                </pic:pic>
              </a:graphicData>
            </a:graphic>
          </wp:anchor>
        </w:drawing>
      </w:r>
      <w:r>
        <w:t>It</w:t>
      </w:r>
      <w:r>
        <w:rPr>
          <w:spacing w:val="-14"/>
        </w:rPr>
        <w:t xml:space="preserve"> </w:t>
      </w:r>
      <w:r>
        <w:t>appears</w:t>
      </w:r>
      <w:r>
        <w:rPr>
          <w:spacing w:val="-14"/>
        </w:rPr>
        <w:t xml:space="preserve"> </w:t>
      </w:r>
      <w:r>
        <w:t>from</w:t>
      </w:r>
      <w:r>
        <w:rPr>
          <w:spacing w:val="-13"/>
        </w:rPr>
        <w:t xml:space="preserve"> </w:t>
      </w:r>
      <w:r>
        <w:t>this</w:t>
      </w:r>
      <w:r>
        <w:rPr>
          <w:spacing w:val="-14"/>
        </w:rPr>
        <w:t xml:space="preserve"> </w:t>
      </w:r>
      <w:r>
        <w:t>statement</w:t>
      </w:r>
      <w:r>
        <w:rPr>
          <w:spacing w:val="-13"/>
        </w:rPr>
        <w:t xml:space="preserve"> </w:t>
      </w:r>
      <w:r>
        <w:t>that</w:t>
      </w:r>
      <w:r>
        <w:rPr>
          <w:spacing w:val="-14"/>
        </w:rPr>
        <w:t xml:space="preserve"> </w:t>
      </w:r>
      <w:r>
        <w:t>MOFCOM</w:t>
      </w:r>
      <w:r>
        <w:rPr>
          <w:spacing w:val="-13"/>
        </w:rPr>
        <w:t xml:space="preserve"> </w:t>
      </w:r>
      <w:r>
        <w:t>simply</w:t>
      </w:r>
      <w:r>
        <w:rPr>
          <w:spacing w:val="-14"/>
        </w:rPr>
        <w:t xml:space="preserve"> </w:t>
      </w:r>
      <w:r>
        <w:t>assumed</w:t>
      </w:r>
      <w:r>
        <w:rPr>
          <w:spacing w:val="-14"/>
        </w:rPr>
        <w:t xml:space="preserve"> </w:t>
      </w:r>
      <w:r>
        <w:t>that</w:t>
      </w:r>
      <w:r>
        <w:rPr>
          <w:spacing w:val="-13"/>
        </w:rPr>
        <w:t xml:space="preserve"> </w:t>
      </w:r>
      <w:r>
        <w:t>normal</w:t>
      </w:r>
      <w:r>
        <w:rPr>
          <w:spacing w:val="-14"/>
        </w:rPr>
        <w:t xml:space="preserve"> </w:t>
      </w:r>
      <w:r>
        <w:t>values</w:t>
      </w:r>
      <w:r>
        <w:rPr>
          <w:spacing w:val="-14"/>
        </w:rPr>
        <w:t xml:space="preserve"> </w:t>
      </w:r>
      <w:r>
        <w:t xml:space="preserve">and export prices were at the same level </w:t>
      </w:r>
      <w:r>
        <w:t>of trade without assessing the record evidence.</w:t>
      </w:r>
      <w:r>
        <w:rPr>
          <w:vertAlign w:val="superscript"/>
        </w:rPr>
        <w:t>542</w:t>
      </w:r>
    </w:p>
    <w:p w14:paraId="51DE8BDD" w14:textId="77777777" w:rsidR="0010369C" w:rsidRDefault="0010369C">
      <w:pPr>
        <w:pStyle w:val="BodyText"/>
        <w:spacing w:before="5"/>
        <w:rPr>
          <w:sz w:val="8"/>
        </w:rPr>
      </w:pPr>
    </w:p>
    <w:p w14:paraId="51DE8BDE" w14:textId="77777777" w:rsidR="0010369C" w:rsidRDefault="008E43AE">
      <w:pPr>
        <w:pStyle w:val="BodyText"/>
        <w:spacing w:before="52" w:line="360" w:lineRule="auto"/>
        <w:ind w:left="237" w:right="612" w:firstLine="851"/>
        <w:jc w:val="both"/>
      </w:pPr>
      <w:r>
        <w:rPr>
          <w:noProof/>
        </w:rPr>
        <w:drawing>
          <wp:anchor distT="0" distB="0" distL="0" distR="0" simplePos="0" relativeHeight="251144704" behindDoc="1" locked="0" layoutInCell="1" allowOverlap="1" wp14:anchorId="51DEA3C8" wp14:editId="51DEA3C9">
            <wp:simplePos x="0" y="0"/>
            <wp:positionH relativeFrom="page">
              <wp:posOffset>902208</wp:posOffset>
            </wp:positionH>
            <wp:positionV relativeFrom="paragraph">
              <wp:posOffset>80595</wp:posOffset>
            </wp:positionV>
            <wp:extent cx="262127" cy="103631"/>
            <wp:effectExtent l="0" t="0" r="0" b="0"/>
            <wp:wrapNone/>
            <wp:docPr id="1009" name="image5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image515.png"/>
                    <pic:cNvPicPr/>
                  </pic:nvPicPr>
                  <pic:blipFill>
                    <a:blip r:embed="rId677" cstate="print"/>
                    <a:stretch>
                      <a:fillRect/>
                    </a:stretch>
                  </pic:blipFill>
                  <pic:spPr>
                    <a:xfrm>
                      <a:off x="0" y="0"/>
                      <a:ext cx="262127" cy="103631"/>
                    </a:xfrm>
                    <a:prstGeom prst="rect">
                      <a:avLst/>
                    </a:prstGeom>
                  </pic:spPr>
                </pic:pic>
              </a:graphicData>
            </a:graphic>
          </wp:anchor>
        </w:drawing>
      </w:r>
      <w:r>
        <w:t>Given</w:t>
      </w:r>
      <w:r>
        <w:rPr>
          <w:spacing w:val="-3"/>
        </w:rPr>
        <w:t xml:space="preserve"> </w:t>
      </w:r>
      <w:r>
        <w:t>the</w:t>
      </w:r>
      <w:r>
        <w:rPr>
          <w:spacing w:val="-2"/>
        </w:rPr>
        <w:t xml:space="preserve"> </w:t>
      </w:r>
      <w:r>
        <w:t>complete</w:t>
      </w:r>
      <w:r>
        <w:rPr>
          <w:spacing w:val="-2"/>
        </w:rPr>
        <w:t xml:space="preserve"> </w:t>
      </w:r>
      <w:r>
        <w:t>absence</w:t>
      </w:r>
      <w:r>
        <w:rPr>
          <w:spacing w:val="-2"/>
        </w:rPr>
        <w:t xml:space="preserve"> </w:t>
      </w:r>
      <w:r>
        <w:t>of</w:t>
      </w:r>
      <w:r>
        <w:rPr>
          <w:spacing w:val="-3"/>
        </w:rPr>
        <w:t xml:space="preserve"> </w:t>
      </w:r>
      <w:r>
        <w:t>consideration</w:t>
      </w:r>
      <w:r>
        <w:rPr>
          <w:spacing w:val="-2"/>
        </w:rPr>
        <w:t xml:space="preserve"> </w:t>
      </w:r>
      <w:r>
        <w:t>by</w:t>
      </w:r>
      <w:r>
        <w:rPr>
          <w:spacing w:val="-2"/>
        </w:rPr>
        <w:t xml:space="preserve"> </w:t>
      </w:r>
      <w:r>
        <w:t>MOFCOM</w:t>
      </w:r>
      <w:r>
        <w:rPr>
          <w:spacing w:val="-2"/>
        </w:rPr>
        <w:t xml:space="preserve"> </w:t>
      </w:r>
      <w:r>
        <w:t>of</w:t>
      </w:r>
      <w:r>
        <w:rPr>
          <w:spacing w:val="-3"/>
        </w:rPr>
        <w:t xml:space="preserve"> </w:t>
      </w:r>
      <w:r>
        <w:t>differences</w:t>
      </w:r>
      <w:r>
        <w:rPr>
          <w:spacing w:val="-3"/>
        </w:rPr>
        <w:t xml:space="preserve"> </w:t>
      </w:r>
      <w:r>
        <w:t>in</w:t>
      </w:r>
      <w:r>
        <w:rPr>
          <w:spacing w:val="-3"/>
        </w:rPr>
        <w:t xml:space="preserve"> </w:t>
      </w:r>
      <w:r>
        <w:t>levels</w:t>
      </w:r>
      <w:r>
        <w:rPr>
          <w:spacing w:val="-2"/>
        </w:rPr>
        <w:t xml:space="preserve"> </w:t>
      </w:r>
      <w:r>
        <w:t>of trade between normal values and export prices and of any adjustments to account for these differences, China is in breach</w:t>
      </w:r>
      <w:r>
        <w:t xml:space="preserve"> of the second sentence of Article 2.4.</w:t>
      </w:r>
    </w:p>
    <w:p w14:paraId="51DE8BDF" w14:textId="77777777" w:rsidR="0010369C" w:rsidRDefault="008E43AE">
      <w:pPr>
        <w:tabs>
          <w:tab w:val="left" w:pos="3641"/>
        </w:tabs>
        <w:spacing w:before="161"/>
        <w:ind w:left="2789"/>
        <w:jc w:val="both"/>
        <w:rPr>
          <w:i/>
          <w:sz w:val="24"/>
        </w:rPr>
      </w:pPr>
      <w:r>
        <w:rPr>
          <w:spacing w:val="-5"/>
          <w:sz w:val="24"/>
          <w:u w:val="single"/>
        </w:rPr>
        <w:t>(b)</w:t>
      </w:r>
      <w:r>
        <w:rPr>
          <w:sz w:val="24"/>
        </w:rPr>
        <w:tab/>
      </w:r>
      <w:r>
        <w:rPr>
          <w:sz w:val="24"/>
          <w:u w:val="single"/>
        </w:rPr>
        <w:t>"</w:t>
      </w:r>
      <w:r>
        <w:rPr>
          <w:i/>
          <w:sz w:val="24"/>
          <w:u w:val="single"/>
        </w:rPr>
        <w:t>at</w:t>
      </w:r>
      <w:r>
        <w:rPr>
          <w:i/>
          <w:spacing w:val="-6"/>
          <w:sz w:val="24"/>
          <w:u w:val="single"/>
        </w:rPr>
        <w:t xml:space="preserve"> </w:t>
      </w:r>
      <w:r>
        <w:rPr>
          <w:i/>
          <w:sz w:val="24"/>
          <w:u w:val="single"/>
        </w:rPr>
        <w:t>as</w:t>
      </w:r>
      <w:r>
        <w:rPr>
          <w:i/>
          <w:spacing w:val="-5"/>
          <w:sz w:val="24"/>
          <w:u w:val="single"/>
        </w:rPr>
        <w:t xml:space="preserve"> </w:t>
      </w:r>
      <w:r>
        <w:rPr>
          <w:i/>
          <w:sz w:val="24"/>
          <w:u w:val="single"/>
        </w:rPr>
        <w:t>nearly</w:t>
      </w:r>
      <w:r>
        <w:rPr>
          <w:i/>
          <w:spacing w:val="-5"/>
          <w:sz w:val="24"/>
          <w:u w:val="single"/>
        </w:rPr>
        <w:t xml:space="preserve"> </w:t>
      </w:r>
      <w:r>
        <w:rPr>
          <w:i/>
          <w:sz w:val="24"/>
          <w:u w:val="single"/>
        </w:rPr>
        <w:t>as</w:t>
      </w:r>
      <w:r>
        <w:rPr>
          <w:i/>
          <w:spacing w:val="-5"/>
          <w:sz w:val="24"/>
          <w:u w:val="single"/>
        </w:rPr>
        <w:t xml:space="preserve"> </w:t>
      </w:r>
      <w:r>
        <w:rPr>
          <w:i/>
          <w:sz w:val="24"/>
          <w:u w:val="single"/>
        </w:rPr>
        <w:t>possible</w:t>
      </w:r>
      <w:r>
        <w:rPr>
          <w:i/>
          <w:spacing w:val="-6"/>
          <w:sz w:val="24"/>
          <w:u w:val="single"/>
        </w:rPr>
        <w:t xml:space="preserve"> </w:t>
      </w:r>
      <w:r>
        <w:rPr>
          <w:i/>
          <w:sz w:val="24"/>
          <w:u w:val="single"/>
        </w:rPr>
        <w:t>the</w:t>
      </w:r>
      <w:r>
        <w:rPr>
          <w:i/>
          <w:spacing w:val="-4"/>
          <w:sz w:val="24"/>
          <w:u w:val="single"/>
        </w:rPr>
        <w:t xml:space="preserve"> </w:t>
      </w:r>
      <w:r>
        <w:rPr>
          <w:i/>
          <w:sz w:val="24"/>
          <w:u w:val="single"/>
        </w:rPr>
        <w:t>same</w:t>
      </w:r>
      <w:r>
        <w:rPr>
          <w:i/>
          <w:spacing w:val="-5"/>
          <w:sz w:val="24"/>
          <w:u w:val="single"/>
        </w:rPr>
        <w:t xml:space="preserve"> </w:t>
      </w:r>
      <w:r>
        <w:rPr>
          <w:i/>
          <w:spacing w:val="-2"/>
          <w:sz w:val="24"/>
          <w:u w:val="single"/>
        </w:rPr>
        <w:t>time"</w:t>
      </w:r>
    </w:p>
    <w:p w14:paraId="51DE8BE0" w14:textId="77777777" w:rsidR="0010369C" w:rsidRDefault="0010369C">
      <w:pPr>
        <w:pStyle w:val="BodyText"/>
        <w:spacing w:before="10"/>
        <w:rPr>
          <w:i/>
          <w:sz w:val="20"/>
        </w:rPr>
      </w:pPr>
    </w:p>
    <w:p w14:paraId="51DE8BE1" w14:textId="77777777" w:rsidR="0010369C" w:rsidRDefault="008E43AE">
      <w:pPr>
        <w:pStyle w:val="BodyText"/>
        <w:spacing w:before="52" w:line="360" w:lineRule="auto"/>
        <w:ind w:left="237" w:right="614" w:firstLine="852"/>
        <w:jc w:val="both"/>
      </w:pPr>
      <w:r>
        <w:rPr>
          <w:noProof/>
        </w:rPr>
        <w:drawing>
          <wp:anchor distT="0" distB="0" distL="0" distR="0" simplePos="0" relativeHeight="251145728" behindDoc="1" locked="0" layoutInCell="1" allowOverlap="1" wp14:anchorId="51DEA3CA" wp14:editId="51DEA3CB">
            <wp:simplePos x="0" y="0"/>
            <wp:positionH relativeFrom="page">
              <wp:posOffset>902208</wp:posOffset>
            </wp:positionH>
            <wp:positionV relativeFrom="paragraph">
              <wp:posOffset>80595</wp:posOffset>
            </wp:positionV>
            <wp:extent cx="262127" cy="103631"/>
            <wp:effectExtent l="0" t="0" r="0" b="0"/>
            <wp:wrapNone/>
            <wp:docPr id="1011" name="image5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image516.png"/>
                    <pic:cNvPicPr/>
                  </pic:nvPicPr>
                  <pic:blipFill>
                    <a:blip r:embed="rId678" cstate="print"/>
                    <a:stretch>
                      <a:fillRect/>
                    </a:stretch>
                  </pic:blipFill>
                  <pic:spPr>
                    <a:xfrm>
                      <a:off x="0" y="0"/>
                      <a:ext cx="262127" cy="103631"/>
                    </a:xfrm>
                    <a:prstGeom prst="rect">
                      <a:avLst/>
                    </a:prstGeom>
                  </pic:spPr>
                </pic:pic>
              </a:graphicData>
            </a:graphic>
          </wp:anchor>
        </w:drawing>
      </w:r>
      <w:r>
        <w:t>The second sentence of Article 2.4 requires investigating authorities to compare "sales</w:t>
      </w:r>
      <w:r>
        <w:rPr>
          <w:spacing w:val="-11"/>
        </w:rPr>
        <w:t xml:space="preserve"> </w:t>
      </w:r>
      <w:r>
        <w:t>made</w:t>
      </w:r>
      <w:r>
        <w:rPr>
          <w:spacing w:val="-10"/>
        </w:rPr>
        <w:t xml:space="preserve"> </w:t>
      </w:r>
      <w:r>
        <w:t>at</w:t>
      </w:r>
      <w:r>
        <w:rPr>
          <w:spacing w:val="-10"/>
        </w:rPr>
        <w:t xml:space="preserve"> </w:t>
      </w:r>
      <w:r>
        <w:t>as</w:t>
      </w:r>
      <w:r>
        <w:rPr>
          <w:spacing w:val="-10"/>
        </w:rPr>
        <w:t xml:space="preserve"> </w:t>
      </w:r>
      <w:r>
        <w:t>nearly</w:t>
      </w:r>
      <w:r>
        <w:rPr>
          <w:spacing w:val="-10"/>
        </w:rPr>
        <w:t xml:space="preserve"> </w:t>
      </w:r>
      <w:r>
        <w:t>as</w:t>
      </w:r>
      <w:r>
        <w:rPr>
          <w:spacing w:val="-10"/>
        </w:rPr>
        <w:t xml:space="preserve"> </w:t>
      </w:r>
      <w:r>
        <w:t>possible</w:t>
      </w:r>
      <w:r>
        <w:rPr>
          <w:spacing w:val="-9"/>
        </w:rPr>
        <w:t xml:space="preserve"> </w:t>
      </w:r>
      <w:r>
        <w:t>the</w:t>
      </w:r>
      <w:r>
        <w:rPr>
          <w:spacing w:val="-9"/>
        </w:rPr>
        <w:t xml:space="preserve"> </w:t>
      </w:r>
      <w:r>
        <w:t>same</w:t>
      </w:r>
      <w:r>
        <w:rPr>
          <w:spacing w:val="-9"/>
        </w:rPr>
        <w:t xml:space="preserve"> </w:t>
      </w:r>
      <w:r>
        <w:t>time".</w:t>
      </w:r>
      <w:r>
        <w:rPr>
          <w:spacing w:val="-9"/>
        </w:rPr>
        <w:t xml:space="preserve"> </w:t>
      </w:r>
      <w:r>
        <w:t>The</w:t>
      </w:r>
      <w:r>
        <w:rPr>
          <w:spacing w:val="-9"/>
        </w:rPr>
        <w:t xml:space="preserve"> </w:t>
      </w:r>
      <w:r>
        <w:t>timing</w:t>
      </w:r>
      <w:r>
        <w:rPr>
          <w:spacing w:val="-10"/>
        </w:rPr>
        <w:t xml:space="preserve"> </w:t>
      </w:r>
      <w:r>
        <w:t>of</w:t>
      </w:r>
      <w:r>
        <w:rPr>
          <w:spacing w:val="-10"/>
        </w:rPr>
        <w:t xml:space="preserve"> </w:t>
      </w:r>
      <w:r>
        <w:t>sales</w:t>
      </w:r>
      <w:r>
        <w:rPr>
          <w:spacing w:val="-10"/>
        </w:rPr>
        <w:t xml:space="preserve"> </w:t>
      </w:r>
      <w:r>
        <w:t>may</w:t>
      </w:r>
      <w:r>
        <w:rPr>
          <w:spacing w:val="-9"/>
        </w:rPr>
        <w:t xml:space="preserve"> </w:t>
      </w:r>
      <w:r>
        <w:t>have</w:t>
      </w:r>
      <w:r>
        <w:rPr>
          <w:spacing w:val="-9"/>
        </w:rPr>
        <w:t xml:space="preserve"> </w:t>
      </w:r>
      <w:r>
        <w:t>implications in respect of the comparability of export and home market transactions.</w:t>
      </w:r>
      <w:r>
        <w:rPr>
          <w:vertAlign w:val="superscript"/>
        </w:rPr>
        <w:t>543</w:t>
      </w:r>
      <w:r>
        <w:t xml:space="preserve"> Where</w:t>
      </w:r>
      <w:r>
        <w:t xml:space="preserve"> there are timing differences that affect price comparability, appropriate adjustments must be made. There is no evidence to indicate that MOFCOM considered this issue or made appropriate adjustments, thereby breaching the second sentence of Article 2.4.</w:t>
      </w:r>
    </w:p>
    <w:p w14:paraId="51DE8BE2" w14:textId="77777777" w:rsidR="0010369C" w:rsidRDefault="008E43AE">
      <w:pPr>
        <w:pStyle w:val="Heading4"/>
        <w:numPr>
          <w:ilvl w:val="2"/>
          <w:numId w:val="66"/>
        </w:numPr>
        <w:tabs>
          <w:tab w:val="left" w:pos="2647"/>
          <w:tab w:val="left" w:pos="2648"/>
        </w:tabs>
        <w:spacing w:before="159" w:line="360" w:lineRule="auto"/>
        <w:ind w:left="2647" w:right="617"/>
        <w:jc w:val="both"/>
      </w:pPr>
      <w:r>
        <w:t>O</w:t>
      </w:r>
      <w:r>
        <w:t>bligation to make "due allowance […] in each case, on its merits, for differences which affect price comparability"</w:t>
      </w:r>
    </w:p>
    <w:p w14:paraId="51DE8BE3" w14:textId="77777777" w:rsidR="0010369C" w:rsidRDefault="0010369C">
      <w:pPr>
        <w:pStyle w:val="BodyText"/>
        <w:spacing w:before="11"/>
        <w:rPr>
          <w:b/>
          <w:sz w:val="8"/>
        </w:rPr>
      </w:pPr>
    </w:p>
    <w:p w14:paraId="51DE8BE4" w14:textId="77777777" w:rsidR="0010369C" w:rsidRDefault="008E43AE">
      <w:pPr>
        <w:pStyle w:val="BodyText"/>
        <w:spacing w:before="52" w:line="360" w:lineRule="auto"/>
        <w:ind w:left="238" w:firstLine="851"/>
      </w:pPr>
      <w:r>
        <w:rPr>
          <w:noProof/>
        </w:rPr>
        <w:drawing>
          <wp:anchor distT="0" distB="0" distL="0" distR="0" simplePos="0" relativeHeight="251146752" behindDoc="1" locked="0" layoutInCell="1" allowOverlap="1" wp14:anchorId="51DEA3CC" wp14:editId="51DEA3CD">
            <wp:simplePos x="0" y="0"/>
            <wp:positionH relativeFrom="page">
              <wp:posOffset>902208</wp:posOffset>
            </wp:positionH>
            <wp:positionV relativeFrom="paragraph">
              <wp:posOffset>80595</wp:posOffset>
            </wp:positionV>
            <wp:extent cx="262127" cy="103631"/>
            <wp:effectExtent l="0" t="0" r="0" b="0"/>
            <wp:wrapNone/>
            <wp:docPr id="1013" name="image5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image517.png"/>
                    <pic:cNvPicPr/>
                  </pic:nvPicPr>
                  <pic:blipFill>
                    <a:blip r:embed="rId679" cstate="print"/>
                    <a:stretch>
                      <a:fillRect/>
                    </a:stretch>
                  </pic:blipFill>
                  <pic:spPr>
                    <a:xfrm>
                      <a:off x="0" y="0"/>
                      <a:ext cx="262127" cy="103631"/>
                    </a:xfrm>
                    <a:prstGeom prst="rect">
                      <a:avLst/>
                    </a:prstGeom>
                  </pic:spPr>
                </pic:pic>
              </a:graphicData>
            </a:graphic>
          </wp:anchor>
        </w:drawing>
      </w:r>
      <w:r>
        <w:t>The</w:t>
      </w:r>
      <w:r>
        <w:rPr>
          <w:spacing w:val="40"/>
        </w:rPr>
        <w:t xml:space="preserve"> </w:t>
      </w:r>
      <w:r>
        <w:t>third</w:t>
      </w:r>
      <w:r>
        <w:rPr>
          <w:spacing w:val="40"/>
        </w:rPr>
        <w:t xml:space="preserve"> </w:t>
      </w:r>
      <w:r>
        <w:t>sentence</w:t>
      </w:r>
      <w:r>
        <w:rPr>
          <w:spacing w:val="40"/>
        </w:rPr>
        <w:t xml:space="preserve"> </w:t>
      </w:r>
      <w:r>
        <w:t>of</w:t>
      </w:r>
      <w:r>
        <w:rPr>
          <w:spacing w:val="40"/>
        </w:rPr>
        <w:t xml:space="preserve"> </w:t>
      </w:r>
      <w:r>
        <w:t>Article</w:t>
      </w:r>
      <w:r>
        <w:rPr>
          <w:spacing w:val="40"/>
        </w:rPr>
        <w:t xml:space="preserve"> </w:t>
      </w:r>
      <w:r>
        <w:t>2.4</w:t>
      </w:r>
      <w:r>
        <w:rPr>
          <w:spacing w:val="40"/>
        </w:rPr>
        <w:t xml:space="preserve"> </w:t>
      </w:r>
      <w:r>
        <w:t>requires</w:t>
      </w:r>
      <w:r>
        <w:rPr>
          <w:spacing w:val="40"/>
        </w:rPr>
        <w:t xml:space="preserve"> </w:t>
      </w:r>
      <w:r>
        <w:t>investigating</w:t>
      </w:r>
      <w:r>
        <w:rPr>
          <w:spacing w:val="40"/>
        </w:rPr>
        <w:t xml:space="preserve"> </w:t>
      </w:r>
      <w:r>
        <w:t>authorities</w:t>
      </w:r>
      <w:r>
        <w:rPr>
          <w:spacing w:val="40"/>
        </w:rPr>
        <w:t xml:space="preserve"> </w:t>
      </w:r>
      <w:r>
        <w:t>to</w:t>
      </w:r>
      <w:r>
        <w:rPr>
          <w:spacing w:val="40"/>
        </w:rPr>
        <w:t xml:space="preserve"> </w:t>
      </w:r>
      <w:r>
        <w:t>make</w:t>
      </w:r>
      <w:r>
        <w:rPr>
          <w:spacing w:val="40"/>
        </w:rPr>
        <w:t xml:space="preserve"> </w:t>
      </w:r>
      <w:r>
        <w:t>due allowance, on the merits, for all differences affecting price comparability.</w:t>
      </w:r>
    </w:p>
    <w:p w14:paraId="51DE8BE5" w14:textId="77777777" w:rsidR="0010369C" w:rsidRDefault="008E43AE">
      <w:pPr>
        <w:pStyle w:val="ListParagraph"/>
        <w:numPr>
          <w:ilvl w:val="3"/>
          <w:numId w:val="66"/>
        </w:numPr>
        <w:tabs>
          <w:tab w:val="left" w:pos="3642"/>
          <w:tab w:val="left" w:pos="3643"/>
        </w:tabs>
        <w:spacing w:before="161"/>
        <w:ind w:hanging="853"/>
        <w:rPr>
          <w:sz w:val="24"/>
        </w:rPr>
      </w:pPr>
      <w:r>
        <w:rPr>
          <w:sz w:val="24"/>
          <w:u w:val="single"/>
        </w:rPr>
        <w:t>Physical</w:t>
      </w:r>
      <w:r>
        <w:rPr>
          <w:spacing w:val="-11"/>
          <w:sz w:val="24"/>
          <w:u w:val="single"/>
        </w:rPr>
        <w:t xml:space="preserve"> </w:t>
      </w:r>
      <w:r>
        <w:rPr>
          <w:sz w:val="24"/>
          <w:u w:val="single"/>
        </w:rPr>
        <w:t>characteristics</w:t>
      </w:r>
      <w:r>
        <w:rPr>
          <w:spacing w:val="-11"/>
          <w:sz w:val="24"/>
          <w:u w:val="single"/>
        </w:rPr>
        <w:t xml:space="preserve"> </w:t>
      </w:r>
      <w:r>
        <w:rPr>
          <w:sz w:val="24"/>
          <w:u w:val="single"/>
        </w:rPr>
        <w:t>and</w:t>
      </w:r>
      <w:r>
        <w:rPr>
          <w:spacing w:val="-11"/>
          <w:sz w:val="24"/>
          <w:u w:val="single"/>
        </w:rPr>
        <w:t xml:space="preserve"> </w:t>
      </w:r>
      <w:r>
        <w:rPr>
          <w:sz w:val="24"/>
          <w:u w:val="single"/>
        </w:rPr>
        <w:t>consumer</w:t>
      </w:r>
      <w:r>
        <w:rPr>
          <w:spacing w:val="-10"/>
          <w:sz w:val="24"/>
          <w:u w:val="single"/>
        </w:rPr>
        <w:t xml:space="preserve"> </w:t>
      </w:r>
      <w:r>
        <w:rPr>
          <w:spacing w:val="-2"/>
          <w:sz w:val="24"/>
          <w:u w:val="single"/>
        </w:rPr>
        <w:t>preferences</w:t>
      </w:r>
    </w:p>
    <w:p w14:paraId="51DE8BE6" w14:textId="77777777" w:rsidR="0010369C" w:rsidRDefault="0010369C">
      <w:pPr>
        <w:pStyle w:val="BodyText"/>
        <w:spacing w:before="9"/>
        <w:rPr>
          <w:sz w:val="20"/>
        </w:rPr>
      </w:pPr>
    </w:p>
    <w:p w14:paraId="51DE8BE7" w14:textId="77777777" w:rsidR="0010369C" w:rsidRDefault="008E43AE">
      <w:pPr>
        <w:pStyle w:val="BodyText"/>
        <w:spacing w:before="52" w:line="360" w:lineRule="auto"/>
        <w:ind w:left="237" w:right="614" w:firstLine="851"/>
        <w:jc w:val="both"/>
      </w:pPr>
      <w:r>
        <w:rPr>
          <w:noProof/>
        </w:rPr>
        <w:drawing>
          <wp:anchor distT="0" distB="0" distL="0" distR="0" simplePos="0" relativeHeight="251147776" behindDoc="1" locked="0" layoutInCell="1" allowOverlap="1" wp14:anchorId="51DEA3CE" wp14:editId="51DEA3CF">
            <wp:simplePos x="0" y="0"/>
            <wp:positionH relativeFrom="page">
              <wp:posOffset>902208</wp:posOffset>
            </wp:positionH>
            <wp:positionV relativeFrom="paragraph">
              <wp:posOffset>76786</wp:posOffset>
            </wp:positionV>
            <wp:extent cx="262127" cy="106679"/>
            <wp:effectExtent l="0" t="0" r="0" b="0"/>
            <wp:wrapNone/>
            <wp:docPr id="1015" name="image5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image518.png"/>
                    <pic:cNvPicPr/>
                  </pic:nvPicPr>
                  <pic:blipFill>
                    <a:blip r:embed="rId680" cstate="print"/>
                    <a:stretch>
                      <a:fillRect/>
                    </a:stretch>
                  </pic:blipFill>
                  <pic:spPr>
                    <a:xfrm>
                      <a:off x="0" y="0"/>
                      <a:ext cx="262127" cy="106679"/>
                    </a:xfrm>
                    <a:prstGeom prst="rect">
                      <a:avLst/>
                    </a:prstGeom>
                  </pic:spPr>
                </pic:pic>
              </a:graphicData>
            </a:graphic>
          </wp:anchor>
        </w:drawing>
      </w:r>
      <w:r>
        <w:pict w14:anchorId="51DEA3D0">
          <v:rect id="docshape959" o:spid="_x0000_s1403" style="position:absolute;left:0;text-align:left;margin-left:374.5pt;margin-top:112.55pt;width:148.9pt;height:16.05pt;z-index:-251299328;mso-position-horizontal-relative:page;mso-position-vertical-relative:text" fillcolor="black" stroked="f">
            <w10:wrap anchorx="page"/>
          </v:rect>
        </w:pict>
      </w:r>
      <w:r>
        <w:t>The evidence before MOFCOM demonstrated significant physical differences between</w:t>
      </w:r>
      <w:r>
        <w:rPr>
          <w:spacing w:val="-7"/>
        </w:rPr>
        <w:t xml:space="preserve"> </w:t>
      </w:r>
      <w:r>
        <w:t>wines,</w:t>
      </w:r>
      <w:r>
        <w:rPr>
          <w:spacing w:val="-6"/>
        </w:rPr>
        <w:t xml:space="preserve"> </w:t>
      </w:r>
      <w:r>
        <w:t>including</w:t>
      </w:r>
      <w:r>
        <w:rPr>
          <w:spacing w:val="-4"/>
        </w:rPr>
        <w:t xml:space="preserve"> </w:t>
      </w:r>
      <w:r>
        <w:t>the</w:t>
      </w:r>
      <w:r>
        <w:rPr>
          <w:spacing w:val="-5"/>
        </w:rPr>
        <w:t xml:space="preserve"> </w:t>
      </w:r>
      <w:r>
        <w:t>quality</w:t>
      </w:r>
      <w:r>
        <w:rPr>
          <w:spacing w:val="-6"/>
        </w:rPr>
        <w:t xml:space="preserve"> </w:t>
      </w:r>
      <w:r>
        <w:t>of</w:t>
      </w:r>
      <w:r>
        <w:rPr>
          <w:spacing w:val="-6"/>
        </w:rPr>
        <w:t xml:space="preserve"> </w:t>
      </w:r>
      <w:r>
        <w:t>the</w:t>
      </w:r>
      <w:r>
        <w:rPr>
          <w:spacing w:val="-5"/>
        </w:rPr>
        <w:t xml:space="preserve"> </w:t>
      </w:r>
      <w:r>
        <w:t>wines</w:t>
      </w:r>
      <w:r>
        <w:t>,</w:t>
      </w:r>
      <w:r>
        <w:rPr>
          <w:spacing w:val="-6"/>
        </w:rPr>
        <w:t xml:space="preserve"> </w:t>
      </w:r>
      <w:r>
        <w:t>that</w:t>
      </w:r>
      <w:r>
        <w:rPr>
          <w:spacing w:val="-6"/>
        </w:rPr>
        <w:t xml:space="preserve"> </w:t>
      </w:r>
      <w:r>
        <w:t>affected</w:t>
      </w:r>
      <w:r>
        <w:rPr>
          <w:spacing w:val="-7"/>
        </w:rPr>
        <w:t xml:space="preserve"> </w:t>
      </w:r>
      <w:r>
        <w:t>price</w:t>
      </w:r>
      <w:r>
        <w:rPr>
          <w:spacing w:val="-5"/>
        </w:rPr>
        <w:t xml:space="preserve"> </w:t>
      </w:r>
      <w:r>
        <w:t>comparability.</w:t>
      </w:r>
      <w:r>
        <w:rPr>
          <w:vertAlign w:val="superscript"/>
        </w:rPr>
        <w:t>544</w:t>
      </w:r>
      <w:r>
        <w:rPr>
          <w:spacing w:val="-7"/>
        </w:rPr>
        <w:t xml:space="preserve"> </w:t>
      </w:r>
      <w:r>
        <w:t>For</w:t>
      </w:r>
      <w:r>
        <w:rPr>
          <w:spacing w:val="-5"/>
        </w:rPr>
        <w:t xml:space="preserve"> </w:t>
      </w:r>
      <w:r>
        <w:t>all three sampled companies, their domestic and export sales comprised a diverse product mix with products with different physical characteristics, including qualities and consumer preferences. In the case of Tre</w:t>
      </w:r>
      <w:r>
        <w:t>asury Wines, these differences are described above and in Tables 1 and 3 of Exhibit AUS‐5 (BCI).</w:t>
      </w:r>
      <w:r>
        <w:rPr>
          <w:vertAlign w:val="superscript"/>
        </w:rPr>
        <w:t>545</w:t>
      </w:r>
      <w:r>
        <w:t xml:space="preserve"> They encompassed [[</w:t>
      </w:r>
    </w:p>
    <w:p w14:paraId="51DE8BE8" w14:textId="77777777" w:rsidR="0010369C" w:rsidRDefault="0010369C">
      <w:pPr>
        <w:pStyle w:val="BodyText"/>
        <w:rPr>
          <w:sz w:val="20"/>
        </w:rPr>
      </w:pPr>
    </w:p>
    <w:p w14:paraId="51DE8BE9" w14:textId="77777777" w:rsidR="0010369C" w:rsidRDefault="008E43AE">
      <w:pPr>
        <w:pStyle w:val="BodyText"/>
        <w:spacing w:before="11"/>
        <w:rPr>
          <w:sz w:val="16"/>
        </w:rPr>
      </w:pPr>
      <w:r>
        <w:pict w14:anchorId="51DEA3D1">
          <v:rect id="docshape960" o:spid="_x0000_s1402" style="position:absolute;margin-left:70.9pt;margin-top:11.5pt;width:2in;height:.8pt;z-index:-250866176;mso-wrap-distance-left:0;mso-wrap-distance-right:0;mso-position-horizontal-relative:page" fillcolor="black" stroked="f">
            <w10:wrap type="topAndBottom" anchorx="page"/>
          </v:rect>
        </w:pict>
      </w:r>
    </w:p>
    <w:p w14:paraId="51DE8BEA" w14:textId="77777777" w:rsidR="0010369C" w:rsidRDefault="008E43AE">
      <w:pPr>
        <w:spacing w:before="109"/>
        <w:ind w:left="238"/>
        <w:rPr>
          <w:sz w:val="18"/>
        </w:rPr>
      </w:pPr>
      <w:r>
        <w:rPr>
          <w:sz w:val="18"/>
          <w:vertAlign w:val="superscript"/>
        </w:rPr>
        <w:t>541</w:t>
      </w:r>
      <w:r>
        <w:rPr>
          <w:spacing w:val="-9"/>
          <w:sz w:val="18"/>
        </w:rPr>
        <w:t xml:space="preserve"> </w:t>
      </w:r>
      <w:r>
        <w:rPr>
          <w:sz w:val="18"/>
        </w:rPr>
        <w:t>Anti‐Dumping</w:t>
      </w:r>
      <w:r>
        <w:rPr>
          <w:spacing w:val="-9"/>
          <w:sz w:val="18"/>
        </w:rPr>
        <w:t xml:space="preserve"> </w:t>
      </w:r>
      <w:r>
        <w:rPr>
          <w:sz w:val="18"/>
        </w:rPr>
        <w:t>Final</w:t>
      </w:r>
      <w:r>
        <w:rPr>
          <w:spacing w:val="-9"/>
          <w:sz w:val="18"/>
        </w:rPr>
        <w:t xml:space="preserve"> </w:t>
      </w:r>
      <w:r>
        <w:rPr>
          <w:sz w:val="18"/>
        </w:rPr>
        <w:t>Determination</w:t>
      </w:r>
      <w:r>
        <w:rPr>
          <w:spacing w:val="-8"/>
          <w:sz w:val="18"/>
        </w:rPr>
        <w:t xml:space="preserve"> </w:t>
      </w:r>
      <w:r>
        <w:rPr>
          <w:sz w:val="18"/>
        </w:rPr>
        <w:t>(Exhibit</w:t>
      </w:r>
      <w:r>
        <w:rPr>
          <w:spacing w:val="-9"/>
          <w:sz w:val="18"/>
        </w:rPr>
        <w:t xml:space="preserve"> </w:t>
      </w:r>
      <w:r>
        <w:rPr>
          <w:sz w:val="18"/>
        </w:rPr>
        <w:t>AUS‐2),</w:t>
      </w:r>
      <w:r>
        <w:rPr>
          <w:spacing w:val="-10"/>
          <w:sz w:val="18"/>
        </w:rPr>
        <w:t xml:space="preserve"> </w:t>
      </w:r>
      <w:r>
        <w:rPr>
          <w:sz w:val="18"/>
        </w:rPr>
        <w:t>pp.</w:t>
      </w:r>
      <w:r>
        <w:rPr>
          <w:spacing w:val="-9"/>
          <w:sz w:val="18"/>
        </w:rPr>
        <w:t xml:space="preserve"> </w:t>
      </w:r>
      <w:r>
        <w:rPr>
          <w:spacing w:val="-2"/>
          <w:sz w:val="18"/>
        </w:rPr>
        <w:t>112‐113.</w:t>
      </w:r>
    </w:p>
    <w:p w14:paraId="51DE8BEB" w14:textId="77777777" w:rsidR="0010369C" w:rsidRDefault="008E43AE">
      <w:pPr>
        <w:ind w:left="238"/>
        <w:rPr>
          <w:sz w:val="18"/>
        </w:rPr>
      </w:pPr>
      <w:r>
        <w:rPr>
          <w:sz w:val="18"/>
          <w:vertAlign w:val="superscript"/>
        </w:rPr>
        <w:t>542</w:t>
      </w:r>
      <w:r>
        <w:rPr>
          <w:spacing w:val="-6"/>
          <w:sz w:val="18"/>
        </w:rPr>
        <w:t xml:space="preserve"> </w:t>
      </w:r>
      <w:r>
        <w:rPr>
          <w:sz w:val="18"/>
        </w:rPr>
        <w:t>The</w:t>
      </w:r>
      <w:r>
        <w:rPr>
          <w:spacing w:val="-6"/>
          <w:sz w:val="18"/>
        </w:rPr>
        <w:t xml:space="preserve"> </w:t>
      </w:r>
      <w:r>
        <w:rPr>
          <w:sz w:val="18"/>
        </w:rPr>
        <w:t>factors</w:t>
      </w:r>
      <w:r>
        <w:rPr>
          <w:spacing w:val="-6"/>
          <w:sz w:val="18"/>
        </w:rPr>
        <w:t xml:space="preserve"> </w:t>
      </w:r>
      <w:r>
        <w:rPr>
          <w:sz w:val="18"/>
        </w:rPr>
        <w:t>MOFCOM</w:t>
      </w:r>
      <w:r>
        <w:rPr>
          <w:spacing w:val="-5"/>
          <w:sz w:val="18"/>
        </w:rPr>
        <w:t xml:space="preserve"> </w:t>
      </w:r>
      <w:r>
        <w:rPr>
          <w:sz w:val="18"/>
        </w:rPr>
        <w:t>refers</w:t>
      </w:r>
      <w:r>
        <w:rPr>
          <w:spacing w:val="-6"/>
          <w:sz w:val="18"/>
        </w:rPr>
        <w:t xml:space="preserve"> </w:t>
      </w:r>
      <w:r>
        <w:rPr>
          <w:sz w:val="18"/>
        </w:rPr>
        <w:t>to</w:t>
      </w:r>
      <w:r>
        <w:rPr>
          <w:spacing w:val="-6"/>
          <w:sz w:val="18"/>
        </w:rPr>
        <w:t xml:space="preserve"> </w:t>
      </w:r>
      <w:r>
        <w:rPr>
          <w:sz w:val="18"/>
        </w:rPr>
        <w:t>in</w:t>
      </w:r>
      <w:r>
        <w:rPr>
          <w:spacing w:val="-6"/>
          <w:sz w:val="18"/>
        </w:rPr>
        <w:t xml:space="preserve"> </w:t>
      </w:r>
      <w:r>
        <w:rPr>
          <w:sz w:val="18"/>
        </w:rPr>
        <w:t>this</w:t>
      </w:r>
      <w:r>
        <w:rPr>
          <w:spacing w:val="-5"/>
          <w:sz w:val="18"/>
        </w:rPr>
        <w:t xml:space="preserve"> </w:t>
      </w:r>
      <w:r>
        <w:rPr>
          <w:sz w:val="18"/>
        </w:rPr>
        <w:t>statement</w:t>
      </w:r>
      <w:r>
        <w:rPr>
          <w:spacing w:val="-8"/>
          <w:sz w:val="18"/>
        </w:rPr>
        <w:t xml:space="preserve"> </w:t>
      </w:r>
      <w:r>
        <w:rPr>
          <w:sz w:val="18"/>
        </w:rPr>
        <w:t>relate</w:t>
      </w:r>
      <w:r>
        <w:rPr>
          <w:spacing w:val="-6"/>
          <w:sz w:val="18"/>
        </w:rPr>
        <w:t xml:space="preserve"> </w:t>
      </w:r>
      <w:r>
        <w:rPr>
          <w:sz w:val="18"/>
        </w:rPr>
        <w:t>to</w:t>
      </w:r>
      <w:r>
        <w:rPr>
          <w:spacing w:val="-5"/>
          <w:sz w:val="18"/>
        </w:rPr>
        <w:t xml:space="preserve"> </w:t>
      </w:r>
      <w:r>
        <w:rPr>
          <w:sz w:val="18"/>
        </w:rPr>
        <w:t>adjustments</w:t>
      </w:r>
      <w:r>
        <w:rPr>
          <w:spacing w:val="-6"/>
          <w:sz w:val="18"/>
        </w:rPr>
        <w:t xml:space="preserve"> </w:t>
      </w:r>
      <w:r>
        <w:rPr>
          <w:sz w:val="18"/>
        </w:rPr>
        <w:t>other</w:t>
      </w:r>
      <w:r>
        <w:rPr>
          <w:spacing w:val="-6"/>
          <w:sz w:val="18"/>
        </w:rPr>
        <w:t xml:space="preserve"> </w:t>
      </w:r>
      <w:r>
        <w:rPr>
          <w:sz w:val="18"/>
        </w:rPr>
        <w:t>than</w:t>
      </w:r>
      <w:r>
        <w:rPr>
          <w:spacing w:val="-6"/>
          <w:sz w:val="18"/>
        </w:rPr>
        <w:t xml:space="preserve"> </w:t>
      </w:r>
      <w:r>
        <w:rPr>
          <w:sz w:val="18"/>
        </w:rPr>
        <w:t>level</w:t>
      </w:r>
      <w:r>
        <w:rPr>
          <w:spacing w:val="-6"/>
          <w:sz w:val="18"/>
        </w:rPr>
        <w:t xml:space="preserve"> </w:t>
      </w:r>
      <w:r>
        <w:rPr>
          <w:sz w:val="18"/>
        </w:rPr>
        <w:t>of</w:t>
      </w:r>
      <w:r>
        <w:rPr>
          <w:spacing w:val="-6"/>
          <w:sz w:val="18"/>
        </w:rPr>
        <w:t xml:space="preserve"> </w:t>
      </w:r>
      <w:r>
        <w:rPr>
          <w:spacing w:val="-2"/>
          <w:sz w:val="18"/>
        </w:rPr>
        <w:t>trade.</w:t>
      </w:r>
    </w:p>
    <w:p w14:paraId="51DE8BEC" w14:textId="77777777" w:rsidR="0010369C" w:rsidRDefault="008E43AE">
      <w:pPr>
        <w:spacing w:before="1"/>
        <w:ind w:left="238"/>
        <w:rPr>
          <w:sz w:val="18"/>
        </w:rPr>
      </w:pPr>
      <w:r>
        <w:rPr>
          <w:sz w:val="18"/>
          <w:vertAlign w:val="superscript"/>
        </w:rPr>
        <w:t>543</w:t>
      </w:r>
      <w:r>
        <w:rPr>
          <w:spacing w:val="-6"/>
          <w:sz w:val="18"/>
        </w:rPr>
        <w:t xml:space="preserve"> </w:t>
      </w:r>
      <w:r>
        <w:rPr>
          <w:sz w:val="18"/>
        </w:rPr>
        <w:t>Panel</w:t>
      </w:r>
      <w:r>
        <w:rPr>
          <w:spacing w:val="-6"/>
          <w:sz w:val="18"/>
        </w:rPr>
        <w:t xml:space="preserve"> </w:t>
      </w:r>
      <w:r>
        <w:rPr>
          <w:sz w:val="18"/>
        </w:rPr>
        <w:t>Report,</w:t>
      </w:r>
      <w:r>
        <w:rPr>
          <w:spacing w:val="-6"/>
          <w:sz w:val="18"/>
        </w:rPr>
        <w:t xml:space="preserve"> </w:t>
      </w:r>
      <w:r>
        <w:rPr>
          <w:i/>
          <w:sz w:val="18"/>
        </w:rPr>
        <w:t>US</w:t>
      </w:r>
      <w:r>
        <w:rPr>
          <w:i/>
          <w:spacing w:val="-5"/>
          <w:sz w:val="18"/>
        </w:rPr>
        <w:t xml:space="preserve"> </w:t>
      </w:r>
      <w:r>
        <w:rPr>
          <w:i/>
          <w:sz w:val="18"/>
        </w:rPr>
        <w:t>–</w:t>
      </w:r>
      <w:r>
        <w:rPr>
          <w:i/>
          <w:spacing w:val="-6"/>
          <w:sz w:val="18"/>
        </w:rPr>
        <w:t xml:space="preserve"> </w:t>
      </w:r>
      <w:r>
        <w:rPr>
          <w:i/>
          <w:sz w:val="18"/>
        </w:rPr>
        <w:t>Stainless</w:t>
      </w:r>
      <w:r>
        <w:rPr>
          <w:i/>
          <w:spacing w:val="-6"/>
          <w:sz w:val="18"/>
        </w:rPr>
        <w:t xml:space="preserve"> </w:t>
      </w:r>
      <w:r>
        <w:rPr>
          <w:i/>
          <w:sz w:val="18"/>
        </w:rPr>
        <w:t>Steel</w:t>
      </w:r>
      <w:r>
        <w:rPr>
          <w:i/>
          <w:spacing w:val="-6"/>
          <w:sz w:val="18"/>
        </w:rPr>
        <w:t xml:space="preserve"> </w:t>
      </w:r>
      <w:r>
        <w:rPr>
          <w:i/>
          <w:sz w:val="18"/>
        </w:rPr>
        <w:t>(Korea)</w:t>
      </w:r>
      <w:r>
        <w:rPr>
          <w:sz w:val="18"/>
        </w:rPr>
        <w:t>,</w:t>
      </w:r>
      <w:r>
        <w:rPr>
          <w:spacing w:val="-7"/>
          <w:sz w:val="18"/>
        </w:rPr>
        <w:t xml:space="preserve"> </w:t>
      </w:r>
      <w:r>
        <w:rPr>
          <w:sz w:val="18"/>
        </w:rPr>
        <w:t>para.</w:t>
      </w:r>
      <w:r>
        <w:rPr>
          <w:spacing w:val="-6"/>
          <w:sz w:val="18"/>
        </w:rPr>
        <w:t xml:space="preserve"> </w:t>
      </w:r>
      <w:r>
        <w:rPr>
          <w:spacing w:val="-2"/>
          <w:sz w:val="18"/>
        </w:rPr>
        <w:t>6.120.</w:t>
      </w:r>
    </w:p>
    <w:p w14:paraId="51DE8BED" w14:textId="77777777" w:rsidR="0010369C" w:rsidRDefault="008E43AE">
      <w:pPr>
        <w:ind w:left="238"/>
        <w:rPr>
          <w:sz w:val="18"/>
        </w:rPr>
      </w:pPr>
      <w:r>
        <w:rPr>
          <w:sz w:val="18"/>
          <w:vertAlign w:val="superscript"/>
        </w:rPr>
        <w:t>544</w:t>
      </w:r>
      <w:r>
        <w:rPr>
          <w:spacing w:val="-5"/>
          <w:sz w:val="18"/>
        </w:rPr>
        <w:t xml:space="preserve"> </w:t>
      </w:r>
      <w:r>
        <w:rPr>
          <w:sz w:val="18"/>
        </w:rPr>
        <w:t>As</w:t>
      </w:r>
      <w:r>
        <w:rPr>
          <w:spacing w:val="-5"/>
          <w:sz w:val="18"/>
        </w:rPr>
        <w:t xml:space="preserve"> </w:t>
      </w:r>
      <w:r>
        <w:rPr>
          <w:sz w:val="18"/>
        </w:rPr>
        <w:t>discussed</w:t>
      </w:r>
      <w:r>
        <w:rPr>
          <w:spacing w:val="-4"/>
          <w:sz w:val="18"/>
        </w:rPr>
        <w:t xml:space="preserve"> </w:t>
      </w:r>
      <w:r>
        <w:rPr>
          <w:sz w:val="18"/>
        </w:rPr>
        <w:t>at</w:t>
      </w:r>
      <w:r>
        <w:rPr>
          <w:spacing w:val="-6"/>
          <w:sz w:val="18"/>
        </w:rPr>
        <w:t xml:space="preserve"> </w:t>
      </w:r>
      <w:r>
        <w:rPr>
          <w:sz w:val="18"/>
        </w:rPr>
        <w:t>section</w:t>
      </w:r>
      <w:r>
        <w:rPr>
          <w:spacing w:val="-5"/>
          <w:sz w:val="18"/>
        </w:rPr>
        <w:t xml:space="preserve"> </w:t>
      </w:r>
      <w:r>
        <w:rPr>
          <w:spacing w:val="-2"/>
          <w:sz w:val="18"/>
        </w:rPr>
        <w:t>II.D.1.</w:t>
      </w:r>
    </w:p>
    <w:p w14:paraId="51DE8BEE" w14:textId="77777777" w:rsidR="0010369C" w:rsidRDefault="008E43AE">
      <w:pPr>
        <w:tabs>
          <w:tab w:val="left" w:pos="7792"/>
        </w:tabs>
        <w:ind w:left="238"/>
        <w:rPr>
          <w:sz w:val="18"/>
        </w:rPr>
      </w:pPr>
      <w:r>
        <w:pict w14:anchorId="51DEA3D2">
          <v:rect id="docshape961" o:spid="_x0000_s1401" style="position:absolute;left:0;text-align:left;margin-left:186.75pt;margin-top:.35pt;width:260.9pt;height:12.05pt;z-index:-251298304;mso-position-horizontal-relative:page" fillcolor="black" stroked="f">
            <w10:wrap anchorx="page"/>
          </v:rect>
        </w:pict>
      </w:r>
      <w:r>
        <w:rPr>
          <w:w w:val="95"/>
          <w:sz w:val="18"/>
          <w:vertAlign w:val="superscript"/>
        </w:rPr>
        <w:t>545</w:t>
      </w:r>
      <w:r>
        <w:rPr>
          <w:spacing w:val="8"/>
          <w:sz w:val="18"/>
        </w:rPr>
        <w:t xml:space="preserve"> </w:t>
      </w:r>
      <w:r>
        <w:rPr>
          <w:w w:val="95"/>
          <w:sz w:val="18"/>
        </w:rPr>
        <w:t>See</w:t>
      </w:r>
      <w:r>
        <w:rPr>
          <w:spacing w:val="9"/>
          <w:sz w:val="18"/>
        </w:rPr>
        <w:t xml:space="preserve"> </w:t>
      </w:r>
      <w:r>
        <w:rPr>
          <w:w w:val="95"/>
          <w:sz w:val="18"/>
        </w:rPr>
        <w:t>Section</w:t>
      </w:r>
      <w:r>
        <w:rPr>
          <w:spacing w:val="8"/>
          <w:sz w:val="18"/>
        </w:rPr>
        <w:t xml:space="preserve"> </w:t>
      </w:r>
      <w:r>
        <w:rPr>
          <w:w w:val="95"/>
          <w:sz w:val="18"/>
        </w:rPr>
        <w:t>II.E.3(a)(ii);</w:t>
      </w:r>
      <w:r>
        <w:rPr>
          <w:spacing w:val="7"/>
          <w:sz w:val="18"/>
        </w:rPr>
        <w:t xml:space="preserve"> </w:t>
      </w:r>
      <w:r>
        <w:rPr>
          <w:w w:val="95"/>
          <w:sz w:val="18"/>
        </w:rPr>
        <w:t>and</w:t>
      </w:r>
      <w:r>
        <w:rPr>
          <w:spacing w:val="9"/>
          <w:sz w:val="18"/>
        </w:rPr>
        <w:t xml:space="preserve"> </w:t>
      </w:r>
      <w:r>
        <w:rPr>
          <w:spacing w:val="-10"/>
          <w:w w:val="95"/>
          <w:sz w:val="18"/>
        </w:rPr>
        <w:t>[</w:t>
      </w:r>
      <w:r>
        <w:rPr>
          <w:sz w:val="18"/>
        </w:rPr>
        <w:tab/>
      </w:r>
      <w:r>
        <w:rPr>
          <w:color w:val="5E5E5E"/>
          <w:w w:val="95"/>
          <w:sz w:val="18"/>
        </w:rPr>
        <w:t>(Exhibit</w:t>
      </w:r>
      <w:r>
        <w:rPr>
          <w:color w:val="5E5E5E"/>
          <w:spacing w:val="9"/>
          <w:sz w:val="18"/>
        </w:rPr>
        <w:t xml:space="preserve"> </w:t>
      </w:r>
      <w:r>
        <w:rPr>
          <w:color w:val="5E5E5E"/>
          <w:w w:val="95"/>
          <w:sz w:val="18"/>
        </w:rPr>
        <w:t>AUS‐5</w:t>
      </w:r>
      <w:r>
        <w:rPr>
          <w:color w:val="5E5E5E"/>
          <w:spacing w:val="9"/>
          <w:sz w:val="18"/>
        </w:rPr>
        <w:t xml:space="preserve"> </w:t>
      </w:r>
      <w:r>
        <w:rPr>
          <w:color w:val="5E5E5E"/>
          <w:spacing w:val="-2"/>
          <w:w w:val="95"/>
          <w:sz w:val="18"/>
        </w:rPr>
        <w:t>(BCI)),</w:t>
      </w:r>
    </w:p>
    <w:p w14:paraId="51DE8BEF" w14:textId="77777777" w:rsidR="0010369C" w:rsidRDefault="008E43AE">
      <w:pPr>
        <w:ind w:left="1335"/>
        <w:rPr>
          <w:sz w:val="18"/>
        </w:rPr>
      </w:pPr>
      <w:r>
        <w:pict w14:anchorId="51DEA3D3">
          <v:rect id="docshape962" o:spid="_x0000_s1400" style="position:absolute;left:0;text-align:left;margin-left:69.9pt;margin-top:.35pt;width:54.85pt;height:12.05pt;z-index:251852288;mso-position-horizontal-relative:page" fillcolor="black" stroked="f">
            <w10:wrap anchorx="page"/>
          </v:rect>
        </w:pict>
      </w:r>
      <w:r>
        <w:rPr>
          <w:spacing w:val="-5"/>
          <w:sz w:val="18"/>
        </w:rPr>
        <w:t>]]</w:t>
      </w:r>
    </w:p>
    <w:p w14:paraId="51DE8BF0" w14:textId="77777777" w:rsidR="0010369C" w:rsidRDefault="0010369C">
      <w:pPr>
        <w:rPr>
          <w:sz w:val="18"/>
        </w:rPr>
        <w:sectPr w:rsidR="0010369C">
          <w:pgSz w:w="11910" w:h="16840"/>
          <w:pgMar w:top="880" w:right="800" w:bottom="980" w:left="1180" w:header="569" w:footer="788" w:gutter="0"/>
          <w:cols w:space="720"/>
        </w:sectPr>
      </w:pPr>
    </w:p>
    <w:p w14:paraId="51DE8BF1" w14:textId="77777777" w:rsidR="0010369C" w:rsidRDefault="008E43AE">
      <w:pPr>
        <w:tabs>
          <w:tab w:val="left" w:pos="6426"/>
        </w:tabs>
        <w:ind w:left="238"/>
        <w:rPr>
          <w:sz w:val="20"/>
        </w:rPr>
      </w:pPr>
      <w:r>
        <w:rPr>
          <w:i/>
          <w:sz w:val="20"/>
        </w:rPr>
        <w:lastRenderedPageBreak/>
        <w:t>China</w:t>
      </w:r>
      <w:r>
        <w:rPr>
          <w:i/>
          <w:spacing w:val="-5"/>
          <w:sz w:val="20"/>
        </w:rPr>
        <w:t xml:space="preserve"> </w:t>
      </w:r>
      <w:r>
        <w:rPr>
          <w:i/>
          <w:sz w:val="20"/>
        </w:rPr>
        <w:t>–</w:t>
      </w:r>
      <w:r>
        <w:rPr>
          <w:i/>
          <w:spacing w:val="-5"/>
          <w:sz w:val="20"/>
        </w:rPr>
        <w:t xml:space="preserve"> </w:t>
      </w:r>
      <w:r>
        <w:rPr>
          <w:i/>
          <w:sz w:val="20"/>
        </w:rPr>
        <w:t>Anti‐Dumping</w:t>
      </w:r>
      <w:r>
        <w:rPr>
          <w:i/>
          <w:spacing w:val="-4"/>
          <w:sz w:val="20"/>
        </w:rPr>
        <w:t xml:space="preserve"> </w:t>
      </w:r>
      <w:r>
        <w:rPr>
          <w:i/>
          <w:sz w:val="20"/>
        </w:rPr>
        <w:t>and</w:t>
      </w:r>
      <w:r>
        <w:rPr>
          <w:i/>
          <w:spacing w:val="-5"/>
          <w:sz w:val="20"/>
        </w:rPr>
        <w:t xml:space="preserve"> </w:t>
      </w:r>
      <w:r>
        <w:rPr>
          <w:i/>
          <w:sz w:val="20"/>
        </w:rPr>
        <w:t>Countervailing</w:t>
      </w:r>
      <w:r>
        <w:rPr>
          <w:i/>
          <w:spacing w:val="-5"/>
          <w:sz w:val="20"/>
        </w:rPr>
        <w:t xml:space="preserve"> </w:t>
      </w:r>
      <w:r>
        <w:rPr>
          <w:i/>
          <w:sz w:val="20"/>
        </w:rPr>
        <w:t>Duty</w:t>
      </w:r>
      <w:r>
        <w:rPr>
          <w:i/>
          <w:spacing w:val="-4"/>
          <w:sz w:val="20"/>
        </w:rPr>
        <w:t xml:space="preserve"> </w:t>
      </w:r>
      <w:r>
        <w:rPr>
          <w:i/>
          <w:spacing w:val="-2"/>
          <w:sz w:val="20"/>
        </w:rPr>
        <w:t>Measures</w:t>
      </w:r>
      <w:r>
        <w:rPr>
          <w:i/>
          <w:sz w:val="20"/>
        </w:rPr>
        <w:tab/>
      </w:r>
      <w:r>
        <w:rPr>
          <w:sz w:val="20"/>
        </w:rPr>
        <w:t>Australia's</w:t>
      </w:r>
      <w:r>
        <w:rPr>
          <w:spacing w:val="-7"/>
          <w:sz w:val="20"/>
        </w:rPr>
        <w:t xml:space="preserve"> </w:t>
      </w:r>
      <w:r>
        <w:rPr>
          <w:sz w:val="20"/>
        </w:rPr>
        <w:t>First</w:t>
      </w:r>
      <w:r>
        <w:rPr>
          <w:spacing w:val="-2"/>
          <w:sz w:val="20"/>
        </w:rPr>
        <w:t xml:space="preserve"> </w:t>
      </w:r>
      <w:r>
        <w:rPr>
          <w:sz w:val="20"/>
        </w:rPr>
        <w:t>Written</w:t>
      </w:r>
      <w:r>
        <w:rPr>
          <w:spacing w:val="-2"/>
          <w:sz w:val="20"/>
        </w:rPr>
        <w:t xml:space="preserve"> Submission</w:t>
      </w:r>
    </w:p>
    <w:p w14:paraId="51DE8BF2" w14:textId="77777777" w:rsidR="0010369C" w:rsidRDefault="008E43AE">
      <w:pPr>
        <w:tabs>
          <w:tab w:val="left" w:pos="8228"/>
        </w:tabs>
        <w:spacing w:before="1" w:after="37"/>
        <w:ind w:left="239"/>
        <w:rPr>
          <w:sz w:val="20"/>
        </w:rPr>
      </w:pPr>
      <w:r>
        <w:rPr>
          <w:i/>
          <w:sz w:val="20"/>
        </w:rPr>
        <w:t>on</w:t>
      </w:r>
      <w:r>
        <w:rPr>
          <w:i/>
          <w:spacing w:val="-1"/>
          <w:sz w:val="20"/>
        </w:rPr>
        <w:t xml:space="preserve"> </w:t>
      </w:r>
      <w:r>
        <w:rPr>
          <w:i/>
          <w:sz w:val="20"/>
        </w:rPr>
        <w:t>Wine</w:t>
      </w:r>
      <w:r>
        <w:rPr>
          <w:i/>
          <w:spacing w:val="-1"/>
          <w:sz w:val="20"/>
        </w:rPr>
        <w:t xml:space="preserve"> </w:t>
      </w:r>
      <w:r>
        <w:rPr>
          <w:i/>
          <w:sz w:val="20"/>
        </w:rPr>
        <w:t>from</w:t>
      </w:r>
      <w:r>
        <w:rPr>
          <w:i/>
          <w:spacing w:val="-3"/>
          <w:sz w:val="20"/>
        </w:rPr>
        <w:t xml:space="preserve"> </w:t>
      </w:r>
      <w:r>
        <w:rPr>
          <w:i/>
          <w:sz w:val="20"/>
        </w:rPr>
        <w:t>Australia</w:t>
      </w:r>
      <w:r>
        <w:rPr>
          <w:i/>
          <w:spacing w:val="-1"/>
          <w:sz w:val="20"/>
        </w:rPr>
        <w:t xml:space="preserve"> </w:t>
      </w:r>
      <w:r>
        <w:rPr>
          <w:spacing w:val="-2"/>
          <w:sz w:val="20"/>
        </w:rPr>
        <w:t>(DS602)</w:t>
      </w:r>
      <w:r>
        <w:rPr>
          <w:sz w:val="20"/>
        </w:rPr>
        <w:tab/>
        <w:t>29</w:t>
      </w:r>
      <w:r>
        <w:rPr>
          <w:spacing w:val="-1"/>
          <w:sz w:val="20"/>
        </w:rPr>
        <w:t xml:space="preserve"> </w:t>
      </w:r>
      <w:r>
        <w:rPr>
          <w:sz w:val="20"/>
        </w:rPr>
        <w:t>April</w:t>
      </w:r>
      <w:r>
        <w:rPr>
          <w:spacing w:val="-2"/>
          <w:sz w:val="20"/>
        </w:rPr>
        <w:t xml:space="preserve"> </w:t>
      </w:r>
      <w:r>
        <w:rPr>
          <w:spacing w:val="-4"/>
          <w:sz w:val="20"/>
        </w:rPr>
        <w:t>2022</w:t>
      </w:r>
    </w:p>
    <w:tbl>
      <w:tblPr>
        <w:tblW w:w="0" w:type="auto"/>
        <w:tblInd w:w="225" w:type="dxa"/>
        <w:tblLayout w:type="fixed"/>
        <w:tblCellMar>
          <w:left w:w="0" w:type="dxa"/>
          <w:right w:w="0" w:type="dxa"/>
        </w:tblCellMar>
        <w:tblLook w:val="01E0" w:firstRow="1" w:lastRow="1" w:firstColumn="1" w:lastColumn="1" w:noHBand="0" w:noVBand="0"/>
      </w:tblPr>
      <w:tblGrid>
        <w:gridCol w:w="710"/>
        <w:gridCol w:w="273"/>
        <w:gridCol w:w="3712"/>
        <w:gridCol w:w="3763"/>
        <w:gridCol w:w="607"/>
      </w:tblGrid>
      <w:tr w:rsidR="0010369C" w14:paraId="51DE8BF5" w14:textId="77777777">
        <w:trPr>
          <w:trHeight w:val="320"/>
        </w:trPr>
        <w:tc>
          <w:tcPr>
            <w:tcW w:w="8458" w:type="dxa"/>
            <w:gridSpan w:val="4"/>
            <w:tcBorders>
              <w:bottom w:val="single" w:sz="48" w:space="0" w:color="FFFFFF"/>
              <w:right w:val="single" w:sz="36" w:space="0" w:color="FFFFFF"/>
            </w:tcBorders>
            <w:shd w:val="clear" w:color="auto" w:fill="000000"/>
          </w:tcPr>
          <w:p w14:paraId="51DE8BF3" w14:textId="77777777" w:rsidR="0010369C" w:rsidRDefault="0010369C">
            <w:pPr>
              <w:pStyle w:val="TableParagraph"/>
              <w:rPr>
                <w:rFonts w:ascii="Times New Roman"/>
              </w:rPr>
            </w:pPr>
          </w:p>
        </w:tc>
        <w:tc>
          <w:tcPr>
            <w:tcW w:w="607" w:type="dxa"/>
            <w:tcBorders>
              <w:left w:val="single" w:sz="36" w:space="0" w:color="FFFFFF"/>
              <w:bottom w:val="single" w:sz="48" w:space="0" w:color="FFFFFF"/>
            </w:tcBorders>
            <w:shd w:val="clear" w:color="auto" w:fill="000000"/>
          </w:tcPr>
          <w:p w14:paraId="51DE8BF4" w14:textId="77777777" w:rsidR="0010369C" w:rsidRDefault="0010369C">
            <w:pPr>
              <w:pStyle w:val="TableParagraph"/>
              <w:rPr>
                <w:rFonts w:ascii="Times New Roman"/>
              </w:rPr>
            </w:pPr>
          </w:p>
        </w:tc>
      </w:tr>
      <w:tr w:rsidR="0010369C" w14:paraId="51DE8BF7" w14:textId="77777777">
        <w:trPr>
          <w:trHeight w:val="319"/>
        </w:trPr>
        <w:tc>
          <w:tcPr>
            <w:tcW w:w="9065" w:type="dxa"/>
            <w:gridSpan w:val="5"/>
            <w:tcBorders>
              <w:top w:val="single" w:sz="48" w:space="0" w:color="FFFFFF"/>
              <w:bottom w:val="single" w:sz="48" w:space="0" w:color="FFFFFF"/>
            </w:tcBorders>
            <w:shd w:val="clear" w:color="auto" w:fill="000000"/>
          </w:tcPr>
          <w:p w14:paraId="51DE8BF6" w14:textId="77777777" w:rsidR="0010369C" w:rsidRDefault="0010369C">
            <w:pPr>
              <w:pStyle w:val="TableParagraph"/>
              <w:rPr>
                <w:rFonts w:ascii="Times New Roman"/>
              </w:rPr>
            </w:pPr>
          </w:p>
        </w:tc>
      </w:tr>
      <w:tr w:rsidR="0010369C" w14:paraId="51DE8BF9" w14:textId="77777777">
        <w:trPr>
          <w:trHeight w:val="319"/>
        </w:trPr>
        <w:tc>
          <w:tcPr>
            <w:tcW w:w="9065" w:type="dxa"/>
            <w:gridSpan w:val="5"/>
            <w:tcBorders>
              <w:top w:val="single" w:sz="48" w:space="0" w:color="FFFFFF"/>
              <w:bottom w:val="single" w:sz="48" w:space="0" w:color="FFFFFF"/>
            </w:tcBorders>
            <w:shd w:val="clear" w:color="auto" w:fill="000000"/>
          </w:tcPr>
          <w:p w14:paraId="51DE8BF8" w14:textId="77777777" w:rsidR="0010369C" w:rsidRDefault="0010369C">
            <w:pPr>
              <w:pStyle w:val="TableParagraph"/>
              <w:rPr>
                <w:rFonts w:ascii="Times New Roman"/>
              </w:rPr>
            </w:pPr>
          </w:p>
        </w:tc>
      </w:tr>
      <w:tr w:rsidR="0010369C" w14:paraId="51DE8BFB" w14:textId="77777777">
        <w:trPr>
          <w:trHeight w:val="319"/>
        </w:trPr>
        <w:tc>
          <w:tcPr>
            <w:tcW w:w="9065" w:type="dxa"/>
            <w:gridSpan w:val="5"/>
            <w:tcBorders>
              <w:top w:val="single" w:sz="48" w:space="0" w:color="FFFFFF"/>
              <w:bottom w:val="single" w:sz="48" w:space="0" w:color="FFFFFF"/>
            </w:tcBorders>
            <w:shd w:val="clear" w:color="auto" w:fill="000000"/>
          </w:tcPr>
          <w:p w14:paraId="51DE8BFA" w14:textId="77777777" w:rsidR="0010369C" w:rsidRDefault="0010369C">
            <w:pPr>
              <w:pStyle w:val="TableParagraph"/>
              <w:rPr>
                <w:rFonts w:ascii="Times New Roman"/>
              </w:rPr>
            </w:pPr>
          </w:p>
        </w:tc>
      </w:tr>
      <w:tr w:rsidR="0010369C" w14:paraId="51DE8BFF" w14:textId="77777777">
        <w:trPr>
          <w:trHeight w:val="155"/>
        </w:trPr>
        <w:tc>
          <w:tcPr>
            <w:tcW w:w="710" w:type="dxa"/>
            <w:vMerge w:val="restart"/>
            <w:tcBorders>
              <w:top w:val="single" w:sz="48" w:space="0" w:color="FFFFFF"/>
              <w:bottom w:val="single" w:sz="48" w:space="0" w:color="FFFFFF"/>
            </w:tcBorders>
            <w:shd w:val="clear" w:color="auto" w:fill="000000"/>
          </w:tcPr>
          <w:p w14:paraId="51DE8BFC" w14:textId="77777777" w:rsidR="0010369C" w:rsidRDefault="0010369C">
            <w:pPr>
              <w:pStyle w:val="TableParagraph"/>
              <w:rPr>
                <w:rFonts w:ascii="Times New Roman"/>
              </w:rPr>
            </w:pPr>
          </w:p>
        </w:tc>
        <w:tc>
          <w:tcPr>
            <w:tcW w:w="273" w:type="dxa"/>
            <w:tcBorders>
              <w:top w:val="single" w:sz="48" w:space="0" w:color="FFFFFF"/>
              <w:right w:val="single" w:sz="36" w:space="0" w:color="FFFFFF"/>
            </w:tcBorders>
            <w:shd w:val="clear" w:color="auto" w:fill="000000"/>
          </w:tcPr>
          <w:p w14:paraId="51DE8BFD" w14:textId="77777777" w:rsidR="0010369C" w:rsidRDefault="0010369C">
            <w:pPr>
              <w:pStyle w:val="TableParagraph"/>
              <w:rPr>
                <w:rFonts w:ascii="Times New Roman"/>
                <w:sz w:val="10"/>
              </w:rPr>
            </w:pPr>
          </w:p>
        </w:tc>
        <w:tc>
          <w:tcPr>
            <w:tcW w:w="8082" w:type="dxa"/>
            <w:gridSpan w:val="3"/>
            <w:vMerge w:val="restart"/>
            <w:tcBorders>
              <w:top w:val="single" w:sz="48" w:space="0" w:color="FFFFFF"/>
              <w:left w:val="single" w:sz="36" w:space="0" w:color="FFFFFF"/>
              <w:bottom w:val="single" w:sz="48" w:space="0" w:color="FFFFFF"/>
            </w:tcBorders>
            <w:shd w:val="clear" w:color="auto" w:fill="000000"/>
          </w:tcPr>
          <w:p w14:paraId="51DE8BFE" w14:textId="77777777" w:rsidR="0010369C" w:rsidRDefault="0010369C">
            <w:pPr>
              <w:pStyle w:val="TableParagraph"/>
              <w:rPr>
                <w:rFonts w:ascii="Times New Roman"/>
              </w:rPr>
            </w:pPr>
          </w:p>
        </w:tc>
      </w:tr>
      <w:tr w:rsidR="0010369C" w14:paraId="51DE8C03" w14:textId="77777777">
        <w:trPr>
          <w:trHeight w:val="44"/>
        </w:trPr>
        <w:tc>
          <w:tcPr>
            <w:tcW w:w="710" w:type="dxa"/>
            <w:vMerge/>
            <w:tcBorders>
              <w:top w:val="nil"/>
              <w:bottom w:val="single" w:sz="48" w:space="0" w:color="FFFFFF"/>
            </w:tcBorders>
            <w:shd w:val="clear" w:color="auto" w:fill="000000"/>
          </w:tcPr>
          <w:p w14:paraId="51DE8C00" w14:textId="77777777" w:rsidR="0010369C" w:rsidRDefault="0010369C">
            <w:pPr>
              <w:rPr>
                <w:sz w:val="2"/>
                <w:szCs w:val="2"/>
              </w:rPr>
            </w:pPr>
          </w:p>
        </w:tc>
        <w:tc>
          <w:tcPr>
            <w:tcW w:w="273" w:type="dxa"/>
            <w:tcBorders>
              <w:bottom w:val="single" w:sz="48" w:space="0" w:color="FFFFFF"/>
              <w:right w:val="single" w:sz="36" w:space="0" w:color="FFFFFF"/>
            </w:tcBorders>
          </w:tcPr>
          <w:p w14:paraId="51DE8C01" w14:textId="77777777" w:rsidR="0010369C" w:rsidRDefault="0010369C">
            <w:pPr>
              <w:pStyle w:val="TableParagraph"/>
              <w:rPr>
                <w:rFonts w:ascii="Times New Roman"/>
                <w:sz w:val="2"/>
              </w:rPr>
            </w:pPr>
          </w:p>
        </w:tc>
        <w:tc>
          <w:tcPr>
            <w:tcW w:w="8082" w:type="dxa"/>
            <w:gridSpan w:val="3"/>
            <w:vMerge/>
            <w:tcBorders>
              <w:top w:val="nil"/>
              <w:left w:val="single" w:sz="36" w:space="0" w:color="FFFFFF"/>
              <w:bottom w:val="single" w:sz="48" w:space="0" w:color="FFFFFF"/>
            </w:tcBorders>
            <w:shd w:val="clear" w:color="auto" w:fill="000000"/>
          </w:tcPr>
          <w:p w14:paraId="51DE8C02" w14:textId="77777777" w:rsidR="0010369C" w:rsidRDefault="0010369C">
            <w:pPr>
              <w:rPr>
                <w:sz w:val="2"/>
                <w:szCs w:val="2"/>
              </w:rPr>
            </w:pPr>
          </w:p>
        </w:tc>
      </w:tr>
      <w:tr w:rsidR="0010369C" w14:paraId="51DE8C06" w14:textId="77777777">
        <w:trPr>
          <w:trHeight w:val="320"/>
        </w:trPr>
        <w:tc>
          <w:tcPr>
            <w:tcW w:w="4695" w:type="dxa"/>
            <w:gridSpan w:val="3"/>
            <w:tcBorders>
              <w:top w:val="single" w:sz="48" w:space="0" w:color="FFFFFF"/>
            </w:tcBorders>
            <w:shd w:val="clear" w:color="auto" w:fill="000000"/>
          </w:tcPr>
          <w:p w14:paraId="51DE8C04" w14:textId="77777777" w:rsidR="0010369C" w:rsidRDefault="0010369C">
            <w:pPr>
              <w:pStyle w:val="TableParagraph"/>
              <w:rPr>
                <w:rFonts w:ascii="Times New Roman"/>
              </w:rPr>
            </w:pPr>
          </w:p>
        </w:tc>
        <w:tc>
          <w:tcPr>
            <w:tcW w:w="4370" w:type="dxa"/>
            <w:gridSpan w:val="2"/>
            <w:tcBorders>
              <w:top w:val="single" w:sz="48" w:space="0" w:color="FFFFFF"/>
            </w:tcBorders>
          </w:tcPr>
          <w:p w14:paraId="51DE8C05" w14:textId="77777777" w:rsidR="0010369C" w:rsidRDefault="008E43AE">
            <w:pPr>
              <w:pStyle w:val="TableParagraph"/>
              <w:spacing w:line="290" w:lineRule="exact"/>
              <w:ind w:left="20" w:right="-29"/>
              <w:rPr>
                <w:sz w:val="24"/>
              </w:rPr>
            </w:pPr>
            <w:r>
              <w:rPr>
                <w:sz w:val="24"/>
              </w:rPr>
              <w:t>]]</w:t>
            </w:r>
            <w:r>
              <w:rPr>
                <w:spacing w:val="-11"/>
                <w:sz w:val="24"/>
              </w:rPr>
              <w:t xml:space="preserve"> </w:t>
            </w:r>
            <w:r>
              <w:rPr>
                <w:sz w:val="24"/>
              </w:rPr>
              <w:t>In</w:t>
            </w:r>
            <w:r>
              <w:rPr>
                <w:spacing w:val="-11"/>
                <w:sz w:val="24"/>
              </w:rPr>
              <w:t xml:space="preserve"> </w:t>
            </w:r>
            <w:r>
              <w:rPr>
                <w:sz w:val="24"/>
              </w:rPr>
              <w:t>the</w:t>
            </w:r>
            <w:r>
              <w:rPr>
                <w:spacing w:val="-11"/>
                <w:sz w:val="24"/>
              </w:rPr>
              <w:t xml:space="preserve"> </w:t>
            </w:r>
            <w:r>
              <w:rPr>
                <w:sz w:val="24"/>
              </w:rPr>
              <w:t>case</w:t>
            </w:r>
            <w:r>
              <w:rPr>
                <w:spacing w:val="-10"/>
                <w:sz w:val="24"/>
              </w:rPr>
              <w:t xml:space="preserve"> </w:t>
            </w:r>
            <w:r>
              <w:rPr>
                <w:sz w:val="24"/>
              </w:rPr>
              <w:t>of</w:t>
            </w:r>
            <w:r>
              <w:rPr>
                <w:spacing w:val="-11"/>
                <w:sz w:val="24"/>
              </w:rPr>
              <w:t xml:space="preserve"> </w:t>
            </w:r>
            <w:r>
              <w:rPr>
                <w:sz w:val="24"/>
              </w:rPr>
              <w:t>Swan</w:t>
            </w:r>
            <w:r>
              <w:rPr>
                <w:spacing w:val="-11"/>
                <w:sz w:val="24"/>
              </w:rPr>
              <w:t xml:space="preserve"> </w:t>
            </w:r>
            <w:r>
              <w:rPr>
                <w:sz w:val="24"/>
              </w:rPr>
              <w:t>Vintage,</w:t>
            </w:r>
            <w:r>
              <w:rPr>
                <w:spacing w:val="-10"/>
                <w:sz w:val="24"/>
              </w:rPr>
              <w:t xml:space="preserve"> </w:t>
            </w:r>
            <w:r>
              <w:rPr>
                <w:sz w:val="24"/>
              </w:rPr>
              <w:t>MOFCOM</w:t>
            </w:r>
            <w:r>
              <w:rPr>
                <w:spacing w:val="-10"/>
                <w:sz w:val="24"/>
              </w:rPr>
              <w:t xml:space="preserve"> </w:t>
            </w:r>
            <w:r>
              <w:rPr>
                <w:spacing w:val="-4"/>
                <w:sz w:val="24"/>
              </w:rPr>
              <w:t>also</w:t>
            </w:r>
          </w:p>
        </w:tc>
      </w:tr>
    </w:tbl>
    <w:p w14:paraId="51DE8C07" w14:textId="77777777" w:rsidR="0010369C" w:rsidRDefault="008E43AE">
      <w:pPr>
        <w:pStyle w:val="BodyText"/>
        <w:spacing w:before="118" w:line="360" w:lineRule="auto"/>
        <w:ind w:left="237" w:right="614"/>
      </w:pPr>
      <w:r>
        <w:t>treated its export sales as if they pertained to a bulk commodity, making no allowance for</w:t>
      </w:r>
      <w:r>
        <w:rPr>
          <w:spacing w:val="80"/>
          <w:w w:val="150"/>
        </w:rPr>
        <w:t xml:space="preserve"> </w:t>
      </w:r>
      <w:r>
        <w:t>differentiation in product grades or physical characteristics of bottled wine.</w:t>
      </w:r>
    </w:p>
    <w:p w14:paraId="51DE8C08" w14:textId="77777777" w:rsidR="0010369C" w:rsidRDefault="008E43AE">
      <w:pPr>
        <w:pStyle w:val="BodyText"/>
        <w:spacing w:before="160" w:line="360" w:lineRule="auto"/>
        <w:ind w:left="237" w:right="614" w:firstLine="851"/>
        <w:jc w:val="both"/>
      </w:pPr>
      <w:r>
        <w:rPr>
          <w:noProof/>
        </w:rPr>
        <w:drawing>
          <wp:anchor distT="0" distB="0" distL="0" distR="0" simplePos="0" relativeHeight="251148800" behindDoc="1" locked="0" layoutInCell="1" allowOverlap="1" wp14:anchorId="51DEA3D4" wp14:editId="51DEA3D5">
            <wp:simplePos x="0" y="0"/>
            <wp:positionH relativeFrom="page">
              <wp:posOffset>902208</wp:posOffset>
            </wp:positionH>
            <wp:positionV relativeFrom="paragraph">
              <wp:posOffset>149937</wp:posOffset>
            </wp:positionV>
            <wp:extent cx="262127" cy="103631"/>
            <wp:effectExtent l="0" t="0" r="0" b="0"/>
            <wp:wrapNone/>
            <wp:docPr id="1017" name="image5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image519.png"/>
                    <pic:cNvPicPr/>
                  </pic:nvPicPr>
                  <pic:blipFill>
                    <a:blip r:embed="rId681" cstate="print"/>
                    <a:stretch>
                      <a:fillRect/>
                    </a:stretch>
                  </pic:blipFill>
                  <pic:spPr>
                    <a:xfrm>
                      <a:off x="0" y="0"/>
                      <a:ext cx="262127" cy="103631"/>
                    </a:xfrm>
                    <a:prstGeom prst="rect">
                      <a:avLst/>
                    </a:prstGeom>
                  </pic:spPr>
                </pic:pic>
              </a:graphicData>
            </a:graphic>
          </wp:anchor>
        </w:drawing>
      </w:r>
      <w:r>
        <w:t>In</w:t>
      </w:r>
      <w:r>
        <w:rPr>
          <w:spacing w:val="-10"/>
        </w:rPr>
        <w:t xml:space="preserve"> </w:t>
      </w:r>
      <w:r>
        <w:t>the</w:t>
      </w:r>
      <w:r>
        <w:rPr>
          <w:spacing w:val="-9"/>
        </w:rPr>
        <w:t xml:space="preserve"> </w:t>
      </w:r>
      <w:r>
        <w:t>context</w:t>
      </w:r>
      <w:r>
        <w:rPr>
          <w:spacing w:val="-10"/>
        </w:rPr>
        <w:t xml:space="preserve"> </w:t>
      </w:r>
      <w:r>
        <w:t>of</w:t>
      </w:r>
      <w:r>
        <w:rPr>
          <w:spacing w:val="-10"/>
        </w:rPr>
        <w:t xml:space="preserve"> </w:t>
      </w:r>
      <w:r>
        <w:t>its</w:t>
      </w:r>
      <w:r>
        <w:rPr>
          <w:spacing w:val="-10"/>
        </w:rPr>
        <w:t xml:space="preserve"> </w:t>
      </w:r>
      <w:r>
        <w:t>injury</w:t>
      </w:r>
      <w:r>
        <w:rPr>
          <w:spacing w:val="-9"/>
        </w:rPr>
        <w:t xml:space="preserve"> </w:t>
      </w:r>
      <w:r>
        <w:t>assessment,</w:t>
      </w:r>
      <w:r>
        <w:rPr>
          <w:spacing w:val="-10"/>
        </w:rPr>
        <w:t xml:space="preserve"> </w:t>
      </w:r>
      <w:r>
        <w:t>MOFCOM</w:t>
      </w:r>
      <w:r>
        <w:rPr>
          <w:spacing w:val="-8"/>
        </w:rPr>
        <w:t xml:space="preserve"> </w:t>
      </w:r>
      <w:r>
        <w:t>acknowledged</w:t>
      </w:r>
      <w:r>
        <w:rPr>
          <w:spacing w:val="-10"/>
        </w:rPr>
        <w:t xml:space="preserve"> </w:t>
      </w:r>
      <w:r>
        <w:t>these</w:t>
      </w:r>
      <w:r>
        <w:rPr>
          <w:spacing w:val="-9"/>
        </w:rPr>
        <w:t xml:space="preserve"> </w:t>
      </w:r>
      <w:r>
        <w:t>differences.</w:t>
      </w:r>
      <w:r>
        <w:rPr>
          <w:vertAlign w:val="superscript"/>
        </w:rPr>
        <w:t>549</w:t>
      </w:r>
      <w:r>
        <w:t xml:space="preserve"> Ho</w:t>
      </w:r>
      <w:r>
        <w:t xml:space="preserve">wever, no consideration was given nor adjustments made for these differences in the context of MOFCOM's comparison of normal values and export prices in its dumping </w:t>
      </w:r>
      <w:r>
        <w:rPr>
          <w:spacing w:val="-2"/>
        </w:rPr>
        <w:t>determination.</w:t>
      </w:r>
    </w:p>
    <w:p w14:paraId="51DE8C09" w14:textId="77777777" w:rsidR="0010369C" w:rsidRDefault="0010369C">
      <w:pPr>
        <w:pStyle w:val="BodyText"/>
        <w:spacing w:before="11"/>
        <w:rPr>
          <w:sz w:val="8"/>
        </w:rPr>
      </w:pPr>
    </w:p>
    <w:p w14:paraId="51DE8C0A" w14:textId="77777777" w:rsidR="0010369C" w:rsidRDefault="008E43AE">
      <w:pPr>
        <w:pStyle w:val="BodyText"/>
        <w:spacing w:before="51" w:after="2" w:line="360" w:lineRule="auto"/>
        <w:ind w:left="238" w:firstLine="850"/>
      </w:pPr>
      <w:r>
        <w:rPr>
          <w:noProof/>
        </w:rPr>
        <w:drawing>
          <wp:anchor distT="0" distB="0" distL="0" distR="0" simplePos="0" relativeHeight="251149824" behindDoc="1" locked="0" layoutInCell="1" allowOverlap="1" wp14:anchorId="51DEA3D6" wp14:editId="51DEA3D7">
            <wp:simplePos x="0" y="0"/>
            <wp:positionH relativeFrom="page">
              <wp:posOffset>902208</wp:posOffset>
            </wp:positionH>
            <wp:positionV relativeFrom="paragraph">
              <wp:posOffset>82076</wp:posOffset>
            </wp:positionV>
            <wp:extent cx="262127" cy="100753"/>
            <wp:effectExtent l="0" t="0" r="0" b="0"/>
            <wp:wrapNone/>
            <wp:docPr id="1019" name="image5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image520.png"/>
                    <pic:cNvPicPr/>
                  </pic:nvPicPr>
                  <pic:blipFill>
                    <a:blip r:embed="rId682" cstate="print"/>
                    <a:stretch>
                      <a:fillRect/>
                    </a:stretch>
                  </pic:blipFill>
                  <pic:spPr>
                    <a:xfrm>
                      <a:off x="0" y="0"/>
                      <a:ext cx="262127" cy="100753"/>
                    </a:xfrm>
                    <a:prstGeom prst="rect">
                      <a:avLst/>
                    </a:prstGeom>
                  </pic:spPr>
                </pic:pic>
              </a:graphicData>
            </a:graphic>
          </wp:anchor>
        </w:drawing>
      </w:r>
      <w:r>
        <w:pict w14:anchorId="51DEA3D8">
          <v:rect id="docshape966" o:spid="_x0000_s1399" style="position:absolute;left:0;text-align:left;margin-left:456.75pt;margin-top:24.6pt;width:66.7pt;height:16.05pt;z-index:-251297280;mso-position-horizontal-relative:page;mso-position-vertical-relative:text" fillcolor="black" stroked="f">
            <w10:wrap anchorx="page"/>
          </v:rect>
        </w:pict>
      </w:r>
      <w:r>
        <w:t>This</w:t>
      </w:r>
      <w:r>
        <w:rPr>
          <w:spacing w:val="-14"/>
        </w:rPr>
        <w:t xml:space="preserve"> </w:t>
      </w:r>
      <w:r>
        <w:t>deficiency</w:t>
      </w:r>
      <w:r>
        <w:rPr>
          <w:spacing w:val="-14"/>
        </w:rPr>
        <w:t xml:space="preserve"> </w:t>
      </w:r>
      <w:r>
        <w:t>is</w:t>
      </w:r>
      <w:r>
        <w:rPr>
          <w:spacing w:val="-13"/>
        </w:rPr>
        <w:t xml:space="preserve"> </w:t>
      </w:r>
      <w:r>
        <w:t>exacerbated</w:t>
      </w:r>
      <w:r>
        <w:rPr>
          <w:spacing w:val="-14"/>
        </w:rPr>
        <w:t xml:space="preserve"> </w:t>
      </w:r>
      <w:r>
        <w:t>by</w:t>
      </w:r>
      <w:r>
        <w:rPr>
          <w:spacing w:val="-13"/>
        </w:rPr>
        <w:t xml:space="preserve"> </w:t>
      </w:r>
      <w:r>
        <w:t>the</w:t>
      </w:r>
      <w:r>
        <w:rPr>
          <w:spacing w:val="-14"/>
        </w:rPr>
        <w:t xml:space="preserve"> </w:t>
      </w:r>
      <w:r>
        <w:t>methodologies</w:t>
      </w:r>
      <w:r>
        <w:rPr>
          <w:spacing w:val="-13"/>
        </w:rPr>
        <w:t xml:space="preserve"> </w:t>
      </w:r>
      <w:r>
        <w:t>MOFCOM</w:t>
      </w:r>
      <w:r>
        <w:rPr>
          <w:spacing w:val="-14"/>
        </w:rPr>
        <w:t xml:space="preserve"> </w:t>
      </w:r>
      <w:r>
        <w:t>used</w:t>
      </w:r>
      <w:r>
        <w:rPr>
          <w:spacing w:val="-14"/>
        </w:rPr>
        <w:t xml:space="preserve"> </w:t>
      </w:r>
      <w:r>
        <w:t>to</w:t>
      </w:r>
      <w:r>
        <w:rPr>
          <w:spacing w:val="-13"/>
        </w:rPr>
        <w:t xml:space="preserve"> </w:t>
      </w:r>
      <w:r>
        <w:t>determ</w:t>
      </w:r>
      <w:r>
        <w:t>ine</w:t>
      </w:r>
      <w:r>
        <w:rPr>
          <w:spacing w:val="-14"/>
        </w:rPr>
        <w:t xml:space="preserve"> </w:t>
      </w:r>
      <w:r>
        <w:t>the normal values of the three sampled companies, in particular the reliance on [[</w:t>
      </w:r>
    </w:p>
    <w:p w14:paraId="51DE8C0B" w14:textId="77777777" w:rsidR="0010369C" w:rsidRDefault="008E43AE">
      <w:pPr>
        <w:pStyle w:val="BodyText"/>
        <w:ind w:left="218"/>
        <w:rPr>
          <w:sz w:val="20"/>
        </w:rPr>
      </w:pPr>
      <w:r>
        <w:rPr>
          <w:sz w:val="20"/>
        </w:rPr>
      </w:r>
      <w:r>
        <w:rPr>
          <w:sz w:val="20"/>
        </w:rPr>
        <w:pict w14:anchorId="51DEA3DA">
          <v:group id="docshapegroup967" o:spid="_x0000_s1397" style="width:453.5pt;height:16.1pt;mso-position-horizontal-relative:char;mso-position-vertical-relative:line" coordsize="9070,322">
            <v:rect id="docshape968" o:spid="_x0000_s1398" style="position:absolute;width:9070;height:322" fillcolor="black" stroked="f"/>
            <w10:anchorlock/>
          </v:group>
        </w:pict>
      </w:r>
    </w:p>
    <w:p w14:paraId="51DE8C0C" w14:textId="77777777" w:rsidR="0010369C" w:rsidRDefault="008E43AE">
      <w:pPr>
        <w:pStyle w:val="BodyText"/>
        <w:spacing w:before="11"/>
        <w:rPr>
          <w:sz w:val="4"/>
        </w:rPr>
      </w:pPr>
      <w:r>
        <w:pict w14:anchorId="51DEA3DB">
          <v:rect id="docshape969" o:spid="_x0000_s1396" style="position:absolute;margin-left:69.9pt;margin-top:4.2pt;width:453.5pt;height:16.05pt;z-index:-250865152;mso-wrap-distance-left:0;mso-wrap-distance-right:0;mso-position-horizontal-relative:page" fillcolor="black" stroked="f">
            <w10:wrap type="topAndBottom" anchorx="page"/>
          </v:rect>
        </w:pict>
      </w:r>
    </w:p>
    <w:p w14:paraId="51DE8C0D" w14:textId="77777777" w:rsidR="0010369C" w:rsidRDefault="008E43AE">
      <w:pPr>
        <w:pStyle w:val="BodyText"/>
        <w:spacing w:before="116" w:line="360" w:lineRule="auto"/>
        <w:ind w:left="237" w:firstLine="746"/>
      </w:pPr>
      <w:r>
        <w:t>]].</w:t>
      </w:r>
      <w:r>
        <w:rPr>
          <w:spacing w:val="24"/>
        </w:rPr>
        <w:t xml:space="preserve"> </w:t>
      </w:r>
      <w:r>
        <w:t>The</w:t>
      </w:r>
      <w:r>
        <w:rPr>
          <w:spacing w:val="25"/>
        </w:rPr>
        <w:t xml:space="preserve"> </w:t>
      </w:r>
      <w:r>
        <w:t>comparisons</w:t>
      </w:r>
      <w:r>
        <w:rPr>
          <w:spacing w:val="25"/>
        </w:rPr>
        <w:t xml:space="preserve"> </w:t>
      </w:r>
      <w:r>
        <w:t>of</w:t>
      </w:r>
      <w:r>
        <w:rPr>
          <w:spacing w:val="25"/>
        </w:rPr>
        <w:t xml:space="preserve"> </w:t>
      </w:r>
      <w:r>
        <w:t>the</w:t>
      </w:r>
      <w:r>
        <w:rPr>
          <w:spacing w:val="24"/>
        </w:rPr>
        <w:t xml:space="preserve"> </w:t>
      </w:r>
      <w:r>
        <w:t>normal</w:t>
      </w:r>
      <w:r>
        <w:rPr>
          <w:spacing w:val="25"/>
        </w:rPr>
        <w:t xml:space="preserve"> </w:t>
      </w:r>
      <w:r>
        <w:t>values</w:t>
      </w:r>
      <w:r>
        <w:rPr>
          <w:spacing w:val="24"/>
        </w:rPr>
        <w:t xml:space="preserve"> </w:t>
      </w:r>
      <w:r>
        <w:t>to</w:t>
      </w:r>
      <w:r>
        <w:rPr>
          <w:spacing w:val="25"/>
        </w:rPr>
        <w:t xml:space="preserve"> </w:t>
      </w:r>
      <w:r>
        <w:t>the</w:t>
      </w:r>
      <w:r>
        <w:rPr>
          <w:spacing w:val="25"/>
        </w:rPr>
        <w:t xml:space="preserve"> </w:t>
      </w:r>
      <w:r>
        <w:t>export</w:t>
      </w:r>
      <w:r>
        <w:rPr>
          <w:spacing w:val="24"/>
        </w:rPr>
        <w:t xml:space="preserve"> </w:t>
      </w:r>
      <w:r>
        <w:t>prices</w:t>
      </w:r>
      <w:r>
        <w:rPr>
          <w:spacing w:val="23"/>
        </w:rPr>
        <w:t xml:space="preserve"> </w:t>
      </w:r>
      <w:r>
        <w:t>of</w:t>
      </w:r>
      <w:r>
        <w:rPr>
          <w:spacing w:val="25"/>
        </w:rPr>
        <w:t xml:space="preserve"> </w:t>
      </w:r>
      <w:r>
        <w:t>all</w:t>
      </w:r>
      <w:r>
        <w:rPr>
          <w:spacing w:val="25"/>
        </w:rPr>
        <w:t xml:space="preserve"> </w:t>
      </w:r>
      <w:r>
        <w:t>three</w:t>
      </w:r>
      <w:r>
        <w:rPr>
          <w:spacing w:val="23"/>
        </w:rPr>
        <w:t xml:space="preserve"> </w:t>
      </w:r>
      <w:r>
        <w:t>sampled companies would have required adjustments to account for this.</w:t>
      </w:r>
    </w:p>
    <w:p w14:paraId="51DE8C0E" w14:textId="77777777" w:rsidR="0010369C" w:rsidRDefault="0010369C">
      <w:pPr>
        <w:pStyle w:val="BodyText"/>
        <w:spacing w:before="10"/>
        <w:rPr>
          <w:sz w:val="8"/>
        </w:rPr>
      </w:pPr>
    </w:p>
    <w:p w14:paraId="51DE8C0F" w14:textId="77777777" w:rsidR="0010369C" w:rsidRDefault="008E43AE">
      <w:pPr>
        <w:pStyle w:val="BodyText"/>
        <w:spacing w:before="52" w:line="360" w:lineRule="auto"/>
        <w:ind w:left="237" w:right="614" w:firstLine="851"/>
        <w:jc w:val="both"/>
      </w:pPr>
      <w:r>
        <w:pict w14:anchorId="51DEA3DC">
          <v:rect id="docshape970" o:spid="_x0000_s1395" style="position:absolute;left:0;text-align:left;margin-left:69.9pt;margin-top:-49.2pt;width:37.3pt;height:16.05pt;z-index:-251296256;mso-position-horizontal-relative:page" fillcolor="black" stroked="f">
            <w10:wrap anchorx="page"/>
          </v:rect>
        </w:pict>
      </w:r>
      <w:r>
        <w:rPr>
          <w:noProof/>
        </w:rPr>
        <w:drawing>
          <wp:anchor distT="0" distB="0" distL="0" distR="0" simplePos="0" relativeHeight="251150848" behindDoc="1" locked="0" layoutInCell="1" allowOverlap="1" wp14:anchorId="51DEA3DD" wp14:editId="51DEA3DE">
            <wp:simplePos x="0" y="0"/>
            <wp:positionH relativeFrom="page">
              <wp:posOffset>902208</wp:posOffset>
            </wp:positionH>
            <wp:positionV relativeFrom="paragraph">
              <wp:posOffset>81357</wp:posOffset>
            </wp:positionV>
            <wp:extent cx="262127" cy="103631"/>
            <wp:effectExtent l="0" t="0" r="0" b="0"/>
            <wp:wrapNone/>
            <wp:docPr id="1021" name="image5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image521.png"/>
                    <pic:cNvPicPr/>
                  </pic:nvPicPr>
                  <pic:blipFill>
                    <a:blip r:embed="rId683" cstate="print"/>
                    <a:stretch>
                      <a:fillRect/>
                    </a:stretch>
                  </pic:blipFill>
                  <pic:spPr>
                    <a:xfrm>
                      <a:off x="0" y="0"/>
                      <a:ext cx="262127" cy="103631"/>
                    </a:xfrm>
                    <a:prstGeom prst="rect">
                      <a:avLst/>
                    </a:prstGeom>
                  </pic:spPr>
                </pic:pic>
              </a:graphicData>
            </a:graphic>
          </wp:anchor>
        </w:drawing>
      </w:r>
      <w:r>
        <w:t xml:space="preserve">Given the complete absence of consideration by MOFCOM of differences </w:t>
      </w:r>
      <w:r>
        <w:t>in the physical</w:t>
      </w:r>
      <w:r>
        <w:rPr>
          <w:spacing w:val="-1"/>
        </w:rPr>
        <w:t xml:space="preserve"> </w:t>
      </w:r>
      <w:r>
        <w:t>characteristics</w:t>
      </w:r>
      <w:r>
        <w:rPr>
          <w:spacing w:val="-3"/>
        </w:rPr>
        <w:t xml:space="preserve"> </w:t>
      </w:r>
      <w:r>
        <w:t>of</w:t>
      </w:r>
      <w:r>
        <w:rPr>
          <w:spacing w:val="-2"/>
        </w:rPr>
        <w:t xml:space="preserve"> </w:t>
      </w:r>
      <w:r>
        <w:t>the</w:t>
      </w:r>
      <w:r>
        <w:rPr>
          <w:spacing w:val="-1"/>
        </w:rPr>
        <w:t xml:space="preserve"> </w:t>
      </w:r>
      <w:r>
        <w:t>products</w:t>
      </w:r>
      <w:r>
        <w:rPr>
          <w:spacing w:val="-1"/>
        </w:rPr>
        <w:t xml:space="preserve"> </w:t>
      </w:r>
      <w:r>
        <w:t>and</w:t>
      </w:r>
      <w:r>
        <w:rPr>
          <w:spacing w:val="-2"/>
        </w:rPr>
        <w:t xml:space="preserve"> </w:t>
      </w:r>
      <w:r>
        <w:t>any</w:t>
      </w:r>
      <w:r>
        <w:rPr>
          <w:spacing w:val="-1"/>
        </w:rPr>
        <w:t xml:space="preserve"> </w:t>
      </w:r>
      <w:r>
        <w:t>adjustments</w:t>
      </w:r>
      <w:r>
        <w:rPr>
          <w:spacing w:val="-2"/>
        </w:rPr>
        <w:t xml:space="preserve"> </w:t>
      </w:r>
      <w:r>
        <w:t>to</w:t>
      </w:r>
      <w:r>
        <w:rPr>
          <w:spacing w:val="-1"/>
        </w:rPr>
        <w:t xml:space="preserve"> </w:t>
      </w:r>
      <w:r>
        <w:t>account</w:t>
      </w:r>
      <w:r>
        <w:rPr>
          <w:spacing w:val="-1"/>
        </w:rPr>
        <w:t xml:space="preserve"> </w:t>
      </w:r>
      <w:r>
        <w:t>for</w:t>
      </w:r>
      <w:r>
        <w:rPr>
          <w:spacing w:val="-1"/>
        </w:rPr>
        <w:t xml:space="preserve"> </w:t>
      </w:r>
      <w:r>
        <w:t>these</w:t>
      </w:r>
      <w:r>
        <w:rPr>
          <w:spacing w:val="-1"/>
        </w:rPr>
        <w:t xml:space="preserve"> </w:t>
      </w:r>
      <w:r>
        <w:t>differences which</w:t>
      </w:r>
      <w:r>
        <w:rPr>
          <w:spacing w:val="-4"/>
        </w:rPr>
        <w:t xml:space="preserve"> </w:t>
      </w:r>
      <w:r>
        <w:t>affect</w:t>
      </w:r>
      <w:r>
        <w:rPr>
          <w:spacing w:val="-5"/>
        </w:rPr>
        <w:t xml:space="preserve"> </w:t>
      </w:r>
      <w:r>
        <w:t>price</w:t>
      </w:r>
      <w:r>
        <w:rPr>
          <w:spacing w:val="-3"/>
        </w:rPr>
        <w:t xml:space="preserve"> </w:t>
      </w:r>
      <w:r>
        <w:t>comparability</w:t>
      </w:r>
      <w:r>
        <w:rPr>
          <w:spacing w:val="-4"/>
        </w:rPr>
        <w:t xml:space="preserve"> </w:t>
      </w:r>
      <w:r>
        <w:t>between</w:t>
      </w:r>
      <w:r>
        <w:rPr>
          <w:spacing w:val="-4"/>
        </w:rPr>
        <w:t xml:space="preserve"> </w:t>
      </w:r>
      <w:r>
        <w:t>the</w:t>
      </w:r>
      <w:r>
        <w:rPr>
          <w:spacing w:val="-3"/>
        </w:rPr>
        <w:t xml:space="preserve"> </w:t>
      </w:r>
      <w:r>
        <w:t>three</w:t>
      </w:r>
      <w:r>
        <w:rPr>
          <w:spacing w:val="-3"/>
        </w:rPr>
        <w:t xml:space="preserve"> </w:t>
      </w:r>
      <w:r>
        <w:t>sampled</w:t>
      </w:r>
      <w:r>
        <w:rPr>
          <w:spacing w:val="-5"/>
        </w:rPr>
        <w:t xml:space="preserve"> </w:t>
      </w:r>
      <w:r>
        <w:t>companies,</w:t>
      </w:r>
      <w:r>
        <w:rPr>
          <w:spacing w:val="-4"/>
        </w:rPr>
        <w:t xml:space="preserve"> </w:t>
      </w:r>
      <w:r>
        <w:t>China</w:t>
      </w:r>
      <w:r>
        <w:rPr>
          <w:spacing w:val="-4"/>
        </w:rPr>
        <w:t xml:space="preserve"> </w:t>
      </w:r>
      <w:r>
        <w:t>is</w:t>
      </w:r>
      <w:r>
        <w:rPr>
          <w:spacing w:val="-4"/>
        </w:rPr>
        <w:t xml:space="preserve"> </w:t>
      </w:r>
      <w:r>
        <w:t>in</w:t>
      </w:r>
      <w:r>
        <w:rPr>
          <w:spacing w:val="-4"/>
        </w:rPr>
        <w:t xml:space="preserve"> </w:t>
      </w:r>
      <w:r>
        <w:t>breach</w:t>
      </w:r>
      <w:r>
        <w:rPr>
          <w:spacing w:val="-5"/>
        </w:rPr>
        <w:t xml:space="preserve"> </w:t>
      </w:r>
      <w:r>
        <w:t>of the third sentence of Article 2.4.</w:t>
      </w:r>
    </w:p>
    <w:p w14:paraId="51DE8C10" w14:textId="77777777" w:rsidR="0010369C" w:rsidRDefault="008E43AE">
      <w:pPr>
        <w:pStyle w:val="ListParagraph"/>
        <w:numPr>
          <w:ilvl w:val="3"/>
          <w:numId w:val="66"/>
        </w:numPr>
        <w:tabs>
          <w:tab w:val="left" w:pos="3641"/>
          <w:tab w:val="left" w:pos="3643"/>
        </w:tabs>
        <w:spacing w:before="162"/>
        <w:ind w:hanging="854"/>
        <w:jc w:val="both"/>
        <w:rPr>
          <w:sz w:val="24"/>
        </w:rPr>
      </w:pPr>
      <w:r>
        <w:rPr>
          <w:spacing w:val="-2"/>
          <w:sz w:val="24"/>
          <w:u w:val="single"/>
        </w:rPr>
        <w:t>Quantities</w:t>
      </w:r>
    </w:p>
    <w:p w14:paraId="51DE8C11" w14:textId="77777777" w:rsidR="0010369C" w:rsidRDefault="0010369C">
      <w:pPr>
        <w:pStyle w:val="BodyText"/>
        <w:spacing w:before="9"/>
        <w:rPr>
          <w:sz w:val="20"/>
        </w:rPr>
      </w:pPr>
    </w:p>
    <w:p w14:paraId="51DE8C12" w14:textId="77777777" w:rsidR="0010369C" w:rsidRDefault="008E43AE">
      <w:pPr>
        <w:pStyle w:val="BodyText"/>
        <w:spacing w:before="52" w:line="360" w:lineRule="auto"/>
        <w:ind w:left="238" w:right="614" w:firstLine="851"/>
      </w:pPr>
      <w:r>
        <w:rPr>
          <w:noProof/>
        </w:rPr>
        <w:drawing>
          <wp:anchor distT="0" distB="0" distL="0" distR="0" simplePos="0" relativeHeight="251151872" behindDoc="1" locked="0" layoutInCell="1" allowOverlap="1" wp14:anchorId="51DEA3DF" wp14:editId="51DEA3E0">
            <wp:simplePos x="0" y="0"/>
            <wp:positionH relativeFrom="page">
              <wp:posOffset>902208</wp:posOffset>
            </wp:positionH>
            <wp:positionV relativeFrom="paragraph">
              <wp:posOffset>76785</wp:posOffset>
            </wp:positionV>
            <wp:extent cx="262127" cy="106679"/>
            <wp:effectExtent l="0" t="0" r="0" b="0"/>
            <wp:wrapNone/>
            <wp:docPr id="1023" name="image5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image522.png"/>
                    <pic:cNvPicPr/>
                  </pic:nvPicPr>
                  <pic:blipFill>
                    <a:blip r:embed="rId684" cstate="print"/>
                    <a:stretch>
                      <a:fillRect/>
                    </a:stretch>
                  </pic:blipFill>
                  <pic:spPr>
                    <a:xfrm>
                      <a:off x="0" y="0"/>
                      <a:ext cx="262127" cy="106679"/>
                    </a:xfrm>
                    <a:prstGeom prst="rect">
                      <a:avLst/>
                    </a:prstGeom>
                  </pic:spPr>
                </pic:pic>
              </a:graphicData>
            </a:graphic>
          </wp:anchor>
        </w:drawing>
      </w:r>
      <w:r>
        <w:t>The</w:t>
      </w:r>
      <w:r>
        <w:rPr>
          <w:spacing w:val="80"/>
        </w:rPr>
        <w:t xml:space="preserve"> </w:t>
      </w:r>
      <w:r>
        <w:t>evidence</w:t>
      </w:r>
      <w:r>
        <w:rPr>
          <w:spacing w:val="80"/>
        </w:rPr>
        <w:t xml:space="preserve"> </w:t>
      </w:r>
      <w:r>
        <w:t>before</w:t>
      </w:r>
      <w:r>
        <w:rPr>
          <w:spacing w:val="80"/>
        </w:rPr>
        <w:t xml:space="preserve"> </w:t>
      </w:r>
      <w:r>
        <w:t>MOFCOM</w:t>
      </w:r>
      <w:r>
        <w:rPr>
          <w:spacing w:val="80"/>
        </w:rPr>
        <w:t xml:space="preserve"> </w:t>
      </w:r>
      <w:r>
        <w:t>demonstrated</w:t>
      </w:r>
      <w:r>
        <w:rPr>
          <w:spacing w:val="80"/>
        </w:rPr>
        <w:t xml:space="preserve"> </w:t>
      </w:r>
      <w:r>
        <w:t>significant</w:t>
      </w:r>
      <w:r>
        <w:rPr>
          <w:spacing w:val="80"/>
        </w:rPr>
        <w:t xml:space="preserve"> </w:t>
      </w:r>
      <w:r>
        <w:t>quantity</w:t>
      </w:r>
      <w:r>
        <w:rPr>
          <w:spacing w:val="80"/>
        </w:rPr>
        <w:t xml:space="preserve"> </w:t>
      </w:r>
      <w:r>
        <w:t>differences associated</w:t>
      </w:r>
      <w:r>
        <w:rPr>
          <w:spacing w:val="-4"/>
        </w:rPr>
        <w:t xml:space="preserve"> </w:t>
      </w:r>
      <w:r>
        <w:t>with</w:t>
      </w:r>
      <w:r>
        <w:rPr>
          <w:spacing w:val="-3"/>
        </w:rPr>
        <w:t xml:space="preserve"> </w:t>
      </w:r>
      <w:r>
        <w:t>domestic</w:t>
      </w:r>
      <w:r>
        <w:rPr>
          <w:spacing w:val="-1"/>
        </w:rPr>
        <w:t xml:space="preserve"> </w:t>
      </w:r>
      <w:r>
        <w:t>sales,</w:t>
      </w:r>
      <w:r>
        <w:rPr>
          <w:spacing w:val="-2"/>
        </w:rPr>
        <w:t xml:space="preserve"> </w:t>
      </w:r>
      <w:r>
        <w:t>normal</w:t>
      </w:r>
      <w:r>
        <w:rPr>
          <w:spacing w:val="-2"/>
        </w:rPr>
        <w:t xml:space="preserve"> </w:t>
      </w:r>
      <w:r>
        <w:t>values</w:t>
      </w:r>
      <w:r>
        <w:rPr>
          <w:spacing w:val="-5"/>
        </w:rPr>
        <w:t xml:space="preserve"> </w:t>
      </w:r>
      <w:r>
        <w:t>and</w:t>
      </w:r>
      <w:r>
        <w:rPr>
          <w:spacing w:val="-3"/>
        </w:rPr>
        <w:t xml:space="preserve"> </w:t>
      </w:r>
      <w:r>
        <w:t>export</w:t>
      </w:r>
      <w:r>
        <w:rPr>
          <w:spacing w:val="-5"/>
        </w:rPr>
        <w:t xml:space="preserve"> </w:t>
      </w:r>
      <w:r>
        <w:t>prices</w:t>
      </w:r>
      <w:r>
        <w:rPr>
          <w:spacing w:val="-3"/>
        </w:rPr>
        <w:t xml:space="preserve"> </w:t>
      </w:r>
      <w:r>
        <w:t>related</w:t>
      </w:r>
      <w:r>
        <w:rPr>
          <w:spacing w:val="-2"/>
        </w:rPr>
        <w:t xml:space="preserve"> </w:t>
      </w:r>
      <w:r>
        <w:t>to</w:t>
      </w:r>
      <w:r>
        <w:rPr>
          <w:spacing w:val="-2"/>
        </w:rPr>
        <w:t xml:space="preserve"> </w:t>
      </w:r>
      <w:r>
        <w:t>different</w:t>
      </w:r>
      <w:r>
        <w:rPr>
          <w:spacing w:val="-2"/>
        </w:rPr>
        <w:t xml:space="preserve"> PCNs.</w:t>
      </w:r>
      <w:r>
        <w:rPr>
          <w:spacing w:val="-2"/>
          <w:vertAlign w:val="superscript"/>
        </w:rPr>
        <w:t>550</w:t>
      </w:r>
    </w:p>
    <w:p w14:paraId="51DE8C13" w14:textId="77777777" w:rsidR="0010369C" w:rsidRDefault="0010369C">
      <w:pPr>
        <w:pStyle w:val="BodyText"/>
        <w:spacing w:before="4" w:after="1"/>
        <w:rPr>
          <w:sz w:val="27"/>
        </w:rPr>
      </w:pPr>
    </w:p>
    <w:tbl>
      <w:tblPr>
        <w:tblW w:w="0" w:type="auto"/>
        <w:tblInd w:w="127" w:type="dxa"/>
        <w:tblLayout w:type="fixed"/>
        <w:tblCellMar>
          <w:left w:w="0" w:type="dxa"/>
          <w:right w:w="0" w:type="dxa"/>
        </w:tblCellMar>
        <w:tblLook w:val="01E0" w:firstRow="1" w:lastRow="1" w:firstColumn="1" w:lastColumn="1" w:noHBand="0" w:noVBand="0"/>
      </w:tblPr>
      <w:tblGrid>
        <w:gridCol w:w="617"/>
        <w:gridCol w:w="2381"/>
        <w:gridCol w:w="6169"/>
      </w:tblGrid>
      <w:tr w:rsidR="0010369C" w14:paraId="51DE8C17" w14:textId="77777777">
        <w:trPr>
          <w:trHeight w:val="113"/>
        </w:trPr>
        <w:tc>
          <w:tcPr>
            <w:tcW w:w="617" w:type="dxa"/>
            <w:tcBorders>
              <w:top w:val="single" w:sz="8" w:space="0" w:color="000000"/>
            </w:tcBorders>
          </w:tcPr>
          <w:p w14:paraId="51DE8C14" w14:textId="77777777" w:rsidR="0010369C" w:rsidRDefault="0010369C">
            <w:pPr>
              <w:pStyle w:val="TableParagraph"/>
              <w:rPr>
                <w:rFonts w:ascii="Times New Roman"/>
                <w:sz w:val="6"/>
              </w:rPr>
            </w:pPr>
          </w:p>
        </w:tc>
        <w:tc>
          <w:tcPr>
            <w:tcW w:w="2381" w:type="dxa"/>
            <w:tcBorders>
              <w:top w:val="single" w:sz="8" w:space="0" w:color="000000"/>
            </w:tcBorders>
          </w:tcPr>
          <w:p w14:paraId="51DE8C15" w14:textId="77777777" w:rsidR="0010369C" w:rsidRDefault="0010369C">
            <w:pPr>
              <w:pStyle w:val="TableParagraph"/>
              <w:rPr>
                <w:rFonts w:ascii="Times New Roman"/>
                <w:sz w:val="6"/>
              </w:rPr>
            </w:pPr>
          </w:p>
        </w:tc>
        <w:tc>
          <w:tcPr>
            <w:tcW w:w="6169" w:type="dxa"/>
          </w:tcPr>
          <w:p w14:paraId="51DE8C16" w14:textId="77777777" w:rsidR="0010369C" w:rsidRDefault="0010369C">
            <w:pPr>
              <w:pStyle w:val="TableParagraph"/>
              <w:rPr>
                <w:rFonts w:ascii="Times New Roman"/>
                <w:sz w:val="6"/>
              </w:rPr>
            </w:pPr>
          </w:p>
        </w:tc>
      </w:tr>
      <w:tr w:rsidR="0010369C" w14:paraId="51DE8C1B" w14:textId="77777777">
        <w:trPr>
          <w:trHeight w:val="229"/>
        </w:trPr>
        <w:tc>
          <w:tcPr>
            <w:tcW w:w="617" w:type="dxa"/>
          </w:tcPr>
          <w:p w14:paraId="51DE8C18" w14:textId="77777777" w:rsidR="0010369C" w:rsidRDefault="008E43AE">
            <w:pPr>
              <w:pStyle w:val="TableParagraph"/>
              <w:spacing w:before="36" w:line="156" w:lineRule="auto"/>
              <w:ind w:left="107" w:right="118"/>
              <w:jc w:val="center"/>
              <w:rPr>
                <w:sz w:val="18"/>
              </w:rPr>
            </w:pPr>
            <w:r>
              <w:rPr>
                <w:sz w:val="12"/>
              </w:rPr>
              <w:t>546</w:t>
            </w:r>
            <w:r>
              <w:rPr>
                <w:spacing w:val="42"/>
                <w:sz w:val="12"/>
              </w:rPr>
              <w:t xml:space="preserve"> </w:t>
            </w:r>
            <w:r>
              <w:rPr>
                <w:spacing w:val="-5"/>
                <w:position w:val="-5"/>
                <w:sz w:val="18"/>
              </w:rPr>
              <w:t>[[</w:t>
            </w:r>
          </w:p>
        </w:tc>
        <w:tc>
          <w:tcPr>
            <w:tcW w:w="2381" w:type="dxa"/>
            <w:shd w:val="clear" w:color="auto" w:fill="000000"/>
          </w:tcPr>
          <w:p w14:paraId="51DE8C19" w14:textId="77777777" w:rsidR="0010369C" w:rsidRDefault="0010369C">
            <w:pPr>
              <w:pStyle w:val="TableParagraph"/>
              <w:rPr>
                <w:rFonts w:ascii="Times New Roman"/>
                <w:sz w:val="16"/>
              </w:rPr>
            </w:pPr>
          </w:p>
        </w:tc>
        <w:tc>
          <w:tcPr>
            <w:tcW w:w="6169" w:type="dxa"/>
            <w:shd w:val="clear" w:color="auto" w:fill="000000"/>
          </w:tcPr>
          <w:p w14:paraId="51DE8C1A" w14:textId="77777777" w:rsidR="0010369C" w:rsidRDefault="0010369C">
            <w:pPr>
              <w:pStyle w:val="TableParagraph"/>
              <w:rPr>
                <w:rFonts w:ascii="Times New Roman"/>
                <w:sz w:val="16"/>
              </w:rPr>
            </w:pPr>
          </w:p>
        </w:tc>
      </w:tr>
      <w:tr w:rsidR="0010369C" w14:paraId="51DE8C20" w14:textId="77777777">
        <w:trPr>
          <w:trHeight w:val="439"/>
        </w:trPr>
        <w:tc>
          <w:tcPr>
            <w:tcW w:w="617" w:type="dxa"/>
            <w:shd w:val="clear" w:color="auto" w:fill="000000"/>
          </w:tcPr>
          <w:p w14:paraId="51DE8C1C" w14:textId="77777777" w:rsidR="0010369C" w:rsidRDefault="0010369C">
            <w:pPr>
              <w:pStyle w:val="TableParagraph"/>
              <w:spacing w:before="11"/>
              <w:rPr>
                <w:sz w:val="19"/>
              </w:rPr>
            </w:pPr>
          </w:p>
          <w:p w14:paraId="51DE8C1D" w14:textId="77777777" w:rsidR="0010369C" w:rsidRDefault="008E43AE">
            <w:pPr>
              <w:pStyle w:val="TableParagraph"/>
              <w:spacing w:line="158" w:lineRule="auto"/>
              <w:ind w:left="107" w:right="118"/>
              <w:jc w:val="center"/>
              <w:rPr>
                <w:sz w:val="18"/>
              </w:rPr>
            </w:pPr>
            <w:r>
              <w:rPr>
                <w:sz w:val="12"/>
              </w:rPr>
              <w:t>547</w:t>
            </w:r>
            <w:r>
              <w:rPr>
                <w:spacing w:val="42"/>
                <w:sz w:val="12"/>
              </w:rPr>
              <w:t xml:space="preserve"> </w:t>
            </w:r>
            <w:r>
              <w:rPr>
                <w:spacing w:val="-5"/>
                <w:position w:val="-5"/>
                <w:sz w:val="18"/>
              </w:rPr>
              <w:t>[[</w:t>
            </w:r>
          </w:p>
        </w:tc>
        <w:tc>
          <w:tcPr>
            <w:tcW w:w="2381" w:type="dxa"/>
            <w:shd w:val="clear" w:color="auto" w:fill="000000"/>
          </w:tcPr>
          <w:p w14:paraId="51DE8C1E" w14:textId="77777777" w:rsidR="0010369C" w:rsidRDefault="008E43AE">
            <w:pPr>
              <w:pStyle w:val="TableParagraph"/>
              <w:spacing w:line="210" w:lineRule="exact"/>
              <w:ind w:left="133"/>
              <w:rPr>
                <w:sz w:val="18"/>
              </w:rPr>
            </w:pPr>
            <w:r>
              <w:rPr>
                <w:color w:val="5E5E5E"/>
                <w:sz w:val="18"/>
              </w:rPr>
              <w:t>(Exhibit</w:t>
            </w:r>
            <w:r>
              <w:rPr>
                <w:color w:val="5E5E5E"/>
                <w:spacing w:val="-10"/>
                <w:sz w:val="18"/>
              </w:rPr>
              <w:t xml:space="preserve"> </w:t>
            </w:r>
            <w:r>
              <w:rPr>
                <w:color w:val="5E5E5E"/>
                <w:sz w:val="18"/>
              </w:rPr>
              <w:t>AUS‐5</w:t>
            </w:r>
            <w:r>
              <w:rPr>
                <w:color w:val="5E5E5E"/>
                <w:spacing w:val="-9"/>
                <w:sz w:val="18"/>
              </w:rPr>
              <w:t xml:space="preserve"> </w:t>
            </w:r>
            <w:r>
              <w:rPr>
                <w:color w:val="5E5E5E"/>
                <w:spacing w:val="-2"/>
                <w:sz w:val="18"/>
              </w:rPr>
              <w:t>(BCI)),</w:t>
            </w:r>
          </w:p>
        </w:tc>
        <w:tc>
          <w:tcPr>
            <w:tcW w:w="6169" w:type="dxa"/>
            <w:shd w:val="clear" w:color="auto" w:fill="000000"/>
          </w:tcPr>
          <w:p w14:paraId="51DE8C1F" w14:textId="77777777" w:rsidR="0010369C" w:rsidRDefault="008E43AE">
            <w:pPr>
              <w:pStyle w:val="TableParagraph"/>
              <w:spacing w:line="210" w:lineRule="exact"/>
              <w:ind w:left="372"/>
              <w:rPr>
                <w:sz w:val="18"/>
              </w:rPr>
            </w:pPr>
            <w:r>
              <w:rPr>
                <w:color w:val="5E5E5E"/>
                <w:spacing w:val="-5"/>
                <w:sz w:val="18"/>
              </w:rPr>
              <w:t>.</w:t>
            </w:r>
            <w:r>
              <w:rPr>
                <w:spacing w:val="-5"/>
                <w:sz w:val="18"/>
              </w:rPr>
              <w:t>]]</w:t>
            </w:r>
          </w:p>
        </w:tc>
      </w:tr>
      <w:tr w:rsidR="0010369C" w14:paraId="51DE8C24" w14:textId="77777777">
        <w:trPr>
          <w:trHeight w:val="212"/>
        </w:trPr>
        <w:tc>
          <w:tcPr>
            <w:tcW w:w="617" w:type="dxa"/>
            <w:shd w:val="clear" w:color="auto" w:fill="000000"/>
          </w:tcPr>
          <w:p w14:paraId="51DE8C21" w14:textId="77777777" w:rsidR="0010369C" w:rsidRDefault="0010369C">
            <w:pPr>
              <w:pStyle w:val="TableParagraph"/>
              <w:rPr>
                <w:rFonts w:ascii="Times New Roman"/>
                <w:sz w:val="14"/>
              </w:rPr>
            </w:pPr>
          </w:p>
        </w:tc>
        <w:tc>
          <w:tcPr>
            <w:tcW w:w="2381" w:type="dxa"/>
          </w:tcPr>
          <w:p w14:paraId="51DE8C22" w14:textId="77777777" w:rsidR="0010369C" w:rsidRDefault="008E43AE">
            <w:pPr>
              <w:pStyle w:val="TableParagraph"/>
              <w:spacing w:line="193" w:lineRule="exact"/>
              <w:ind w:left="133"/>
              <w:rPr>
                <w:sz w:val="18"/>
              </w:rPr>
            </w:pPr>
            <w:r>
              <w:rPr>
                <w:color w:val="5E5E5E"/>
                <w:sz w:val="18"/>
              </w:rPr>
              <w:t>(Exhibit</w:t>
            </w:r>
            <w:r>
              <w:rPr>
                <w:color w:val="5E5E5E"/>
                <w:spacing w:val="-10"/>
                <w:sz w:val="18"/>
              </w:rPr>
              <w:t xml:space="preserve"> </w:t>
            </w:r>
            <w:r>
              <w:rPr>
                <w:color w:val="5E5E5E"/>
                <w:sz w:val="18"/>
              </w:rPr>
              <w:t>AUS‐5</w:t>
            </w:r>
            <w:r>
              <w:rPr>
                <w:color w:val="5E5E5E"/>
                <w:spacing w:val="-9"/>
                <w:sz w:val="18"/>
              </w:rPr>
              <w:t xml:space="preserve"> </w:t>
            </w:r>
            <w:r>
              <w:rPr>
                <w:color w:val="5E5E5E"/>
                <w:spacing w:val="-2"/>
                <w:sz w:val="18"/>
              </w:rPr>
              <w:t>(BCI)),</w:t>
            </w:r>
          </w:p>
        </w:tc>
        <w:tc>
          <w:tcPr>
            <w:tcW w:w="6169" w:type="dxa"/>
          </w:tcPr>
          <w:p w14:paraId="51DE8C23" w14:textId="77777777" w:rsidR="0010369C" w:rsidRDefault="008E43AE">
            <w:pPr>
              <w:pStyle w:val="TableParagraph"/>
              <w:spacing w:line="193" w:lineRule="exact"/>
              <w:ind w:left="372"/>
              <w:rPr>
                <w:sz w:val="18"/>
              </w:rPr>
            </w:pPr>
            <w:r>
              <w:rPr>
                <w:spacing w:val="-5"/>
                <w:sz w:val="18"/>
              </w:rPr>
              <w:t>.]]</w:t>
            </w:r>
          </w:p>
        </w:tc>
      </w:tr>
      <w:tr w:rsidR="0010369C" w14:paraId="51DE8C28" w14:textId="77777777">
        <w:trPr>
          <w:trHeight w:val="227"/>
        </w:trPr>
        <w:tc>
          <w:tcPr>
            <w:tcW w:w="617" w:type="dxa"/>
          </w:tcPr>
          <w:p w14:paraId="51DE8C25" w14:textId="77777777" w:rsidR="0010369C" w:rsidRDefault="008E43AE">
            <w:pPr>
              <w:pStyle w:val="TableParagraph"/>
              <w:spacing w:before="35" w:line="151" w:lineRule="auto"/>
              <w:ind w:left="107" w:right="118"/>
              <w:jc w:val="center"/>
              <w:rPr>
                <w:sz w:val="18"/>
              </w:rPr>
            </w:pPr>
            <w:r>
              <w:rPr>
                <w:sz w:val="12"/>
              </w:rPr>
              <w:t>548</w:t>
            </w:r>
            <w:r>
              <w:rPr>
                <w:spacing w:val="42"/>
                <w:sz w:val="12"/>
              </w:rPr>
              <w:t xml:space="preserve"> </w:t>
            </w:r>
            <w:r>
              <w:rPr>
                <w:spacing w:val="-5"/>
                <w:position w:val="-5"/>
                <w:sz w:val="18"/>
              </w:rPr>
              <w:t>[[</w:t>
            </w:r>
          </w:p>
        </w:tc>
        <w:tc>
          <w:tcPr>
            <w:tcW w:w="2381" w:type="dxa"/>
            <w:shd w:val="clear" w:color="auto" w:fill="000000"/>
          </w:tcPr>
          <w:p w14:paraId="51DE8C26" w14:textId="77777777" w:rsidR="0010369C" w:rsidRDefault="0010369C">
            <w:pPr>
              <w:pStyle w:val="TableParagraph"/>
              <w:rPr>
                <w:rFonts w:ascii="Times New Roman"/>
                <w:sz w:val="16"/>
              </w:rPr>
            </w:pPr>
          </w:p>
        </w:tc>
        <w:tc>
          <w:tcPr>
            <w:tcW w:w="6169" w:type="dxa"/>
            <w:shd w:val="clear" w:color="auto" w:fill="000000"/>
          </w:tcPr>
          <w:p w14:paraId="51DE8C27" w14:textId="77777777" w:rsidR="0010369C" w:rsidRDefault="0010369C">
            <w:pPr>
              <w:pStyle w:val="TableParagraph"/>
              <w:rPr>
                <w:rFonts w:ascii="Times New Roman"/>
                <w:sz w:val="16"/>
              </w:rPr>
            </w:pPr>
          </w:p>
        </w:tc>
      </w:tr>
      <w:tr w:rsidR="0010369C" w14:paraId="51DE8C2C" w14:textId="77777777">
        <w:trPr>
          <w:trHeight w:val="231"/>
        </w:trPr>
        <w:tc>
          <w:tcPr>
            <w:tcW w:w="617" w:type="dxa"/>
            <w:shd w:val="clear" w:color="auto" w:fill="000000"/>
          </w:tcPr>
          <w:p w14:paraId="51DE8C29" w14:textId="77777777" w:rsidR="0010369C" w:rsidRDefault="0010369C">
            <w:pPr>
              <w:pStyle w:val="TableParagraph"/>
              <w:rPr>
                <w:rFonts w:ascii="Times New Roman"/>
                <w:sz w:val="16"/>
              </w:rPr>
            </w:pPr>
          </w:p>
        </w:tc>
        <w:tc>
          <w:tcPr>
            <w:tcW w:w="2381" w:type="dxa"/>
          </w:tcPr>
          <w:p w14:paraId="51DE8C2A" w14:textId="77777777" w:rsidR="0010369C" w:rsidRDefault="008E43AE">
            <w:pPr>
              <w:pStyle w:val="TableParagraph"/>
              <w:spacing w:line="210" w:lineRule="exact"/>
              <w:ind w:left="133"/>
              <w:rPr>
                <w:sz w:val="18"/>
              </w:rPr>
            </w:pPr>
            <w:r>
              <w:rPr>
                <w:color w:val="5E5E5E"/>
                <w:sz w:val="18"/>
              </w:rPr>
              <w:t>(Exhibit</w:t>
            </w:r>
            <w:r>
              <w:rPr>
                <w:color w:val="5E5E5E"/>
                <w:spacing w:val="-10"/>
                <w:sz w:val="18"/>
              </w:rPr>
              <w:t xml:space="preserve"> </w:t>
            </w:r>
            <w:r>
              <w:rPr>
                <w:color w:val="5E5E5E"/>
                <w:sz w:val="18"/>
              </w:rPr>
              <w:t>AUS‐5</w:t>
            </w:r>
            <w:r>
              <w:rPr>
                <w:color w:val="5E5E5E"/>
                <w:spacing w:val="-9"/>
                <w:sz w:val="18"/>
              </w:rPr>
              <w:t xml:space="preserve"> </w:t>
            </w:r>
            <w:r>
              <w:rPr>
                <w:color w:val="5E5E5E"/>
                <w:spacing w:val="-2"/>
                <w:sz w:val="18"/>
              </w:rPr>
              <w:t>(BCI)),</w:t>
            </w:r>
          </w:p>
        </w:tc>
        <w:tc>
          <w:tcPr>
            <w:tcW w:w="6169" w:type="dxa"/>
          </w:tcPr>
          <w:p w14:paraId="51DE8C2B" w14:textId="77777777" w:rsidR="0010369C" w:rsidRDefault="008E43AE">
            <w:pPr>
              <w:pStyle w:val="TableParagraph"/>
              <w:spacing w:line="210" w:lineRule="exact"/>
              <w:ind w:left="372"/>
              <w:rPr>
                <w:sz w:val="18"/>
              </w:rPr>
            </w:pPr>
            <w:r>
              <w:rPr>
                <w:spacing w:val="-5"/>
                <w:sz w:val="18"/>
              </w:rPr>
              <w:t>.]]</w:t>
            </w:r>
          </w:p>
        </w:tc>
      </w:tr>
    </w:tbl>
    <w:p w14:paraId="51DE8C2D" w14:textId="77777777" w:rsidR="0010369C" w:rsidRDefault="008E43AE">
      <w:pPr>
        <w:spacing w:line="191" w:lineRule="exact"/>
        <w:ind w:left="238"/>
        <w:rPr>
          <w:sz w:val="18"/>
        </w:rPr>
      </w:pPr>
      <w:r>
        <w:rPr>
          <w:sz w:val="18"/>
          <w:vertAlign w:val="superscript"/>
        </w:rPr>
        <w:t>549</w:t>
      </w:r>
      <w:r>
        <w:rPr>
          <w:spacing w:val="-9"/>
          <w:sz w:val="18"/>
        </w:rPr>
        <w:t xml:space="preserve"> </w:t>
      </w:r>
      <w:r>
        <w:rPr>
          <w:sz w:val="18"/>
        </w:rPr>
        <w:t>Anti‐Dumping</w:t>
      </w:r>
      <w:r>
        <w:rPr>
          <w:spacing w:val="-9"/>
          <w:sz w:val="18"/>
        </w:rPr>
        <w:t xml:space="preserve"> </w:t>
      </w:r>
      <w:r>
        <w:rPr>
          <w:sz w:val="18"/>
        </w:rPr>
        <w:t>Final</w:t>
      </w:r>
      <w:r>
        <w:rPr>
          <w:spacing w:val="-9"/>
          <w:sz w:val="18"/>
        </w:rPr>
        <w:t xml:space="preserve"> </w:t>
      </w:r>
      <w:r>
        <w:rPr>
          <w:sz w:val="18"/>
        </w:rPr>
        <w:t>Determination</w:t>
      </w:r>
      <w:r>
        <w:rPr>
          <w:spacing w:val="-8"/>
          <w:sz w:val="18"/>
        </w:rPr>
        <w:t xml:space="preserve"> </w:t>
      </w:r>
      <w:r>
        <w:rPr>
          <w:sz w:val="18"/>
        </w:rPr>
        <w:t>(Exhibit</w:t>
      </w:r>
      <w:r>
        <w:rPr>
          <w:spacing w:val="-9"/>
          <w:sz w:val="18"/>
        </w:rPr>
        <w:t xml:space="preserve"> </w:t>
      </w:r>
      <w:r>
        <w:rPr>
          <w:sz w:val="18"/>
        </w:rPr>
        <w:t>AUS‐2),</w:t>
      </w:r>
      <w:r>
        <w:rPr>
          <w:spacing w:val="-10"/>
          <w:sz w:val="18"/>
        </w:rPr>
        <w:t xml:space="preserve"> </w:t>
      </w:r>
      <w:r>
        <w:rPr>
          <w:sz w:val="18"/>
        </w:rPr>
        <w:t>pp.</w:t>
      </w:r>
      <w:r>
        <w:rPr>
          <w:spacing w:val="-9"/>
          <w:sz w:val="18"/>
        </w:rPr>
        <w:t xml:space="preserve"> </w:t>
      </w:r>
      <w:r>
        <w:rPr>
          <w:spacing w:val="-2"/>
          <w:sz w:val="18"/>
        </w:rPr>
        <w:t>103‐108.</w:t>
      </w:r>
    </w:p>
    <w:p w14:paraId="51DE8C2E" w14:textId="77777777" w:rsidR="0010369C" w:rsidRDefault="008E43AE">
      <w:pPr>
        <w:ind w:left="238"/>
        <w:rPr>
          <w:sz w:val="18"/>
        </w:rPr>
      </w:pPr>
      <w:r>
        <w:rPr>
          <w:sz w:val="18"/>
          <w:vertAlign w:val="superscript"/>
        </w:rPr>
        <w:t>550</w:t>
      </w:r>
      <w:r>
        <w:rPr>
          <w:spacing w:val="-5"/>
          <w:sz w:val="18"/>
        </w:rPr>
        <w:t xml:space="preserve"> </w:t>
      </w:r>
      <w:r>
        <w:rPr>
          <w:sz w:val="18"/>
        </w:rPr>
        <w:t>As</w:t>
      </w:r>
      <w:r>
        <w:rPr>
          <w:spacing w:val="-5"/>
          <w:sz w:val="18"/>
        </w:rPr>
        <w:t xml:space="preserve"> </w:t>
      </w:r>
      <w:r>
        <w:rPr>
          <w:sz w:val="18"/>
        </w:rPr>
        <w:t>discussed</w:t>
      </w:r>
      <w:r>
        <w:rPr>
          <w:spacing w:val="-4"/>
          <w:sz w:val="18"/>
        </w:rPr>
        <w:t xml:space="preserve"> </w:t>
      </w:r>
      <w:r>
        <w:rPr>
          <w:sz w:val="18"/>
        </w:rPr>
        <w:t>at</w:t>
      </w:r>
      <w:r>
        <w:rPr>
          <w:spacing w:val="-6"/>
          <w:sz w:val="18"/>
        </w:rPr>
        <w:t xml:space="preserve"> </w:t>
      </w:r>
      <w:r>
        <w:rPr>
          <w:sz w:val="18"/>
        </w:rPr>
        <w:t>section</w:t>
      </w:r>
      <w:r>
        <w:rPr>
          <w:spacing w:val="-5"/>
          <w:sz w:val="18"/>
        </w:rPr>
        <w:t xml:space="preserve"> </w:t>
      </w:r>
      <w:r>
        <w:rPr>
          <w:spacing w:val="-2"/>
          <w:sz w:val="18"/>
        </w:rPr>
        <w:t>II.D.1.</w:t>
      </w:r>
    </w:p>
    <w:p w14:paraId="51DE8C2F" w14:textId="77777777" w:rsidR="0010369C" w:rsidRDefault="0010369C">
      <w:pPr>
        <w:rPr>
          <w:sz w:val="18"/>
        </w:rPr>
        <w:sectPr w:rsidR="0010369C">
          <w:headerReference w:type="default" r:id="rId685"/>
          <w:footerReference w:type="default" r:id="rId686"/>
          <w:pgSz w:w="11910" w:h="16840"/>
          <w:pgMar w:top="880" w:right="800" w:bottom="980" w:left="1180" w:header="569" w:footer="788" w:gutter="0"/>
          <w:cols w:space="720"/>
        </w:sectPr>
      </w:pPr>
    </w:p>
    <w:p w14:paraId="51DE8C30" w14:textId="77777777" w:rsidR="0010369C" w:rsidRDefault="008E43AE">
      <w:pPr>
        <w:pStyle w:val="BodyText"/>
        <w:spacing w:line="20" w:lineRule="exact"/>
        <w:ind w:left="104"/>
        <w:rPr>
          <w:sz w:val="2"/>
        </w:rPr>
      </w:pPr>
      <w:r>
        <w:rPr>
          <w:sz w:val="2"/>
        </w:rPr>
      </w:r>
      <w:r>
        <w:rPr>
          <w:sz w:val="2"/>
        </w:rPr>
        <w:pict w14:anchorId="51DEA3E2">
          <v:group id="docshapegroup972" o:spid="_x0000_s1393" style="width:464.6pt;height:1.05pt;mso-position-horizontal-relative:char;mso-position-vertical-relative:line" coordsize="9292,21">
            <v:line id="_x0000_s1394" style="position:absolute" from="0,10" to="9291,10" strokeweight=".35361mm"/>
            <w10:anchorlock/>
          </v:group>
        </w:pict>
      </w:r>
    </w:p>
    <w:p w14:paraId="51DE8C31" w14:textId="77777777" w:rsidR="0010369C" w:rsidRDefault="008E43AE">
      <w:pPr>
        <w:spacing w:before="54"/>
        <w:ind w:right="345"/>
        <w:jc w:val="center"/>
        <w:rPr>
          <w:rFonts w:ascii="Arial"/>
          <w:sz w:val="20"/>
        </w:rPr>
      </w:pPr>
      <w:r>
        <w:pict w14:anchorId="51DEA3E3">
          <v:line id="_x0000_s1392" style="position:absolute;left:0;text-align:left;z-index:251853312;mso-position-horizontal-relative:page" from="64.2pt,16.1pt" to="528.75pt,16.1pt" strokeweight=".35361mm">
            <w10:wrap anchorx="page"/>
          </v:line>
        </w:pict>
      </w:r>
      <w:r>
        <w:rPr>
          <w:rFonts w:ascii="Arial"/>
          <w:color w:val="1D1D1D"/>
          <w:sz w:val="20"/>
        </w:rPr>
        <w:t>Business</w:t>
      </w:r>
      <w:r>
        <w:rPr>
          <w:rFonts w:ascii="Arial"/>
          <w:color w:val="1D1D1D"/>
          <w:spacing w:val="8"/>
          <w:sz w:val="20"/>
        </w:rPr>
        <w:t xml:space="preserve"> </w:t>
      </w:r>
      <w:r>
        <w:rPr>
          <w:rFonts w:ascii="Arial"/>
          <w:color w:val="1D1D1D"/>
          <w:sz w:val="20"/>
        </w:rPr>
        <w:t>Confidential</w:t>
      </w:r>
      <w:r>
        <w:rPr>
          <w:rFonts w:ascii="Arial"/>
          <w:color w:val="1D1D1D"/>
          <w:spacing w:val="-3"/>
          <w:sz w:val="20"/>
        </w:rPr>
        <w:t xml:space="preserve"> </w:t>
      </w:r>
      <w:r>
        <w:rPr>
          <w:rFonts w:ascii="Arial"/>
          <w:color w:val="0C0C0C"/>
          <w:sz w:val="20"/>
        </w:rPr>
        <w:t>Information</w:t>
      </w:r>
      <w:r>
        <w:rPr>
          <w:rFonts w:ascii="Arial"/>
          <w:color w:val="0C0C0C"/>
          <w:spacing w:val="-3"/>
          <w:sz w:val="20"/>
        </w:rPr>
        <w:t xml:space="preserve"> </w:t>
      </w:r>
      <w:r>
        <w:rPr>
          <w:rFonts w:ascii="Arial"/>
          <w:color w:val="1D1D1D"/>
          <w:sz w:val="20"/>
        </w:rPr>
        <w:t>-</w:t>
      </w:r>
      <w:r>
        <w:rPr>
          <w:rFonts w:ascii="Arial"/>
          <w:color w:val="1D1D1D"/>
          <w:spacing w:val="4"/>
          <w:sz w:val="20"/>
        </w:rPr>
        <w:t xml:space="preserve"> </w:t>
      </w:r>
      <w:r>
        <w:rPr>
          <w:rFonts w:ascii="Arial"/>
          <w:color w:val="1D1D1D"/>
          <w:spacing w:val="-2"/>
          <w:sz w:val="20"/>
        </w:rPr>
        <w:t>REDACTED</w:t>
      </w:r>
    </w:p>
    <w:p w14:paraId="51DE8C32" w14:textId="77777777" w:rsidR="0010369C" w:rsidRDefault="0010369C">
      <w:pPr>
        <w:jc w:val="center"/>
        <w:rPr>
          <w:rFonts w:ascii="Arial"/>
          <w:sz w:val="20"/>
        </w:rPr>
        <w:sectPr w:rsidR="0010369C">
          <w:headerReference w:type="default" r:id="rId687"/>
          <w:footerReference w:type="default" r:id="rId688"/>
          <w:pgSz w:w="11910" w:h="16840"/>
          <w:pgMar w:top="480" w:right="800" w:bottom="1020" w:left="1180" w:header="0" w:footer="826" w:gutter="0"/>
          <w:cols w:space="720"/>
        </w:sectPr>
      </w:pPr>
    </w:p>
    <w:p w14:paraId="51DE8C33" w14:textId="77777777" w:rsidR="0010369C" w:rsidRDefault="008E43AE">
      <w:pPr>
        <w:spacing w:before="69" w:line="290" w:lineRule="auto"/>
        <w:ind w:left="235" w:right="578" w:hanging="8"/>
        <w:rPr>
          <w:rFonts w:ascii="Arial"/>
          <w:sz w:val="18"/>
        </w:rPr>
      </w:pPr>
      <w:r>
        <w:rPr>
          <w:rFonts w:ascii="Arial"/>
          <w:i/>
          <w:color w:val="1D1D1D"/>
          <w:spacing w:val="-2"/>
          <w:w w:val="105"/>
          <w:sz w:val="18"/>
        </w:rPr>
        <w:t>China</w:t>
      </w:r>
      <w:r>
        <w:rPr>
          <w:rFonts w:ascii="Arial"/>
          <w:i/>
          <w:color w:val="1D1D1D"/>
          <w:spacing w:val="-17"/>
          <w:w w:val="105"/>
          <w:sz w:val="18"/>
        </w:rPr>
        <w:t xml:space="preserve"> </w:t>
      </w:r>
      <w:r>
        <w:rPr>
          <w:rFonts w:ascii="Arial"/>
          <w:color w:val="1D1D1D"/>
          <w:spacing w:val="-2"/>
          <w:w w:val="105"/>
          <w:sz w:val="18"/>
        </w:rPr>
        <w:t>-</w:t>
      </w:r>
      <w:r>
        <w:rPr>
          <w:rFonts w:ascii="Arial"/>
          <w:color w:val="1D1D1D"/>
          <w:spacing w:val="19"/>
          <w:w w:val="105"/>
          <w:sz w:val="18"/>
        </w:rPr>
        <w:t xml:space="preserve"> </w:t>
      </w:r>
      <w:r>
        <w:rPr>
          <w:rFonts w:ascii="Arial"/>
          <w:i/>
          <w:color w:val="0C0C0C"/>
          <w:spacing w:val="-2"/>
          <w:w w:val="105"/>
          <w:sz w:val="18"/>
        </w:rPr>
        <w:t>Anti-Dumping</w:t>
      </w:r>
      <w:r>
        <w:rPr>
          <w:rFonts w:ascii="Arial"/>
          <w:i/>
          <w:color w:val="0C0C0C"/>
          <w:spacing w:val="-9"/>
          <w:w w:val="105"/>
          <w:sz w:val="18"/>
        </w:rPr>
        <w:t xml:space="preserve"> </w:t>
      </w:r>
      <w:r>
        <w:rPr>
          <w:rFonts w:ascii="Arial"/>
          <w:i/>
          <w:color w:val="1D1D1D"/>
          <w:spacing w:val="-2"/>
          <w:w w:val="105"/>
          <w:sz w:val="18"/>
        </w:rPr>
        <w:t>and</w:t>
      </w:r>
      <w:r>
        <w:rPr>
          <w:rFonts w:ascii="Arial"/>
          <w:i/>
          <w:color w:val="1D1D1D"/>
          <w:spacing w:val="-26"/>
          <w:w w:val="105"/>
          <w:sz w:val="18"/>
        </w:rPr>
        <w:t xml:space="preserve"> </w:t>
      </w:r>
      <w:r>
        <w:rPr>
          <w:rFonts w:ascii="Arial"/>
          <w:i/>
          <w:color w:val="1D1D1D"/>
          <w:spacing w:val="-2"/>
          <w:w w:val="105"/>
          <w:sz w:val="18"/>
        </w:rPr>
        <w:t>Countervailing</w:t>
      </w:r>
      <w:r>
        <w:rPr>
          <w:rFonts w:ascii="Arial"/>
          <w:i/>
          <w:color w:val="1D1D1D"/>
          <w:spacing w:val="-11"/>
          <w:w w:val="105"/>
          <w:sz w:val="18"/>
        </w:rPr>
        <w:t xml:space="preserve"> </w:t>
      </w:r>
      <w:r>
        <w:rPr>
          <w:rFonts w:ascii="Arial"/>
          <w:i/>
          <w:color w:val="1D1D1D"/>
          <w:spacing w:val="-2"/>
          <w:w w:val="105"/>
          <w:sz w:val="18"/>
        </w:rPr>
        <w:t>Duty</w:t>
      </w:r>
      <w:r>
        <w:rPr>
          <w:rFonts w:ascii="Arial"/>
          <w:i/>
          <w:color w:val="1D1D1D"/>
          <w:spacing w:val="-16"/>
          <w:w w:val="105"/>
          <w:sz w:val="18"/>
        </w:rPr>
        <w:t xml:space="preserve"> </w:t>
      </w:r>
      <w:r>
        <w:rPr>
          <w:rFonts w:ascii="Arial"/>
          <w:i/>
          <w:color w:val="0C0C0C"/>
          <w:spacing w:val="-2"/>
          <w:w w:val="105"/>
          <w:sz w:val="18"/>
        </w:rPr>
        <w:t xml:space="preserve">Measures </w:t>
      </w:r>
      <w:r>
        <w:rPr>
          <w:rFonts w:ascii="Arial"/>
          <w:i/>
          <w:color w:val="1D1D1D"/>
          <w:w w:val="105"/>
          <w:sz w:val="18"/>
        </w:rPr>
        <w:t>on</w:t>
      </w:r>
      <w:r>
        <w:rPr>
          <w:rFonts w:ascii="Arial"/>
          <w:i/>
          <w:color w:val="1D1D1D"/>
          <w:spacing w:val="-11"/>
          <w:w w:val="105"/>
          <w:sz w:val="18"/>
        </w:rPr>
        <w:t xml:space="preserve"> </w:t>
      </w:r>
      <w:r>
        <w:rPr>
          <w:rFonts w:ascii="Arial"/>
          <w:i/>
          <w:color w:val="1D1D1D"/>
          <w:w w:val="105"/>
          <w:sz w:val="18"/>
        </w:rPr>
        <w:t xml:space="preserve">Winefrom Australia </w:t>
      </w:r>
      <w:r>
        <w:rPr>
          <w:rFonts w:ascii="Arial"/>
          <w:color w:val="1D1D1D"/>
          <w:w w:val="105"/>
          <w:sz w:val="18"/>
        </w:rPr>
        <w:t>(0S602)</w:t>
      </w:r>
    </w:p>
    <w:p w14:paraId="51DE8C34" w14:textId="77777777" w:rsidR="0010369C" w:rsidRDefault="008E43AE">
      <w:pPr>
        <w:spacing w:before="33"/>
        <w:ind w:left="239"/>
        <w:rPr>
          <w:rFonts w:ascii="Arial"/>
          <w:sz w:val="21"/>
        </w:rPr>
      </w:pPr>
      <w:r>
        <w:rPr>
          <w:rFonts w:ascii="Arial"/>
          <w:color w:val="0C0C0C"/>
          <w:w w:val="105"/>
          <w:sz w:val="21"/>
        </w:rPr>
        <w:t>MOFCOM's</w:t>
      </w:r>
      <w:r>
        <w:rPr>
          <w:rFonts w:ascii="Arial"/>
          <w:color w:val="0C0C0C"/>
          <w:spacing w:val="78"/>
          <w:w w:val="105"/>
          <w:sz w:val="21"/>
        </w:rPr>
        <w:t xml:space="preserve"> </w:t>
      </w:r>
      <w:r>
        <w:rPr>
          <w:rFonts w:ascii="Arial"/>
          <w:color w:val="1D1D1D"/>
          <w:w w:val="105"/>
          <w:sz w:val="21"/>
        </w:rPr>
        <w:t>failure</w:t>
      </w:r>
      <w:r>
        <w:rPr>
          <w:rFonts w:ascii="Arial"/>
          <w:color w:val="1D1D1D"/>
          <w:spacing w:val="57"/>
          <w:w w:val="105"/>
          <w:sz w:val="21"/>
        </w:rPr>
        <w:t xml:space="preserve"> </w:t>
      </w:r>
      <w:r>
        <w:rPr>
          <w:rFonts w:ascii="Arial"/>
          <w:color w:val="0C0C0C"/>
          <w:w w:val="105"/>
          <w:sz w:val="21"/>
        </w:rPr>
        <w:t>to</w:t>
      </w:r>
      <w:r>
        <w:rPr>
          <w:rFonts w:ascii="Arial"/>
          <w:color w:val="0C0C0C"/>
          <w:spacing w:val="78"/>
          <w:w w:val="105"/>
          <w:sz w:val="21"/>
        </w:rPr>
        <w:t xml:space="preserve"> </w:t>
      </w:r>
      <w:r>
        <w:rPr>
          <w:rFonts w:ascii="Arial"/>
          <w:color w:val="1D1D1D"/>
          <w:w w:val="105"/>
          <w:sz w:val="21"/>
        </w:rPr>
        <w:t>consider</w:t>
      </w:r>
      <w:r>
        <w:rPr>
          <w:rFonts w:ascii="Arial"/>
          <w:color w:val="1D1D1D"/>
          <w:spacing w:val="59"/>
          <w:w w:val="105"/>
          <w:sz w:val="21"/>
        </w:rPr>
        <w:t xml:space="preserve"> </w:t>
      </w:r>
      <w:r>
        <w:rPr>
          <w:rFonts w:ascii="Arial"/>
          <w:color w:val="0C0C0C"/>
          <w:w w:val="105"/>
          <w:sz w:val="21"/>
        </w:rPr>
        <w:t>these</w:t>
      </w:r>
      <w:r>
        <w:rPr>
          <w:rFonts w:ascii="Arial"/>
          <w:color w:val="0C0C0C"/>
          <w:spacing w:val="59"/>
          <w:w w:val="105"/>
          <w:sz w:val="21"/>
        </w:rPr>
        <w:t xml:space="preserve"> </w:t>
      </w:r>
      <w:r>
        <w:rPr>
          <w:rFonts w:ascii="Arial"/>
          <w:color w:val="1D1D1D"/>
          <w:w w:val="105"/>
          <w:sz w:val="21"/>
        </w:rPr>
        <w:t>differences</w:t>
      </w:r>
      <w:r>
        <w:rPr>
          <w:rFonts w:ascii="Arial"/>
          <w:color w:val="1D1D1D"/>
          <w:spacing w:val="71"/>
          <w:w w:val="105"/>
          <w:sz w:val="21"/>
        </w:rPr>
        <w:t xml:space="preserve"> </w:t>
      </w:r>
      <w:r>
        <w:rPr>
          <w:rFonts w:ascii="Arial"/>
          <w:color w:val="0C0C0C"/>
          <w:spacing w:val="-5"/>
          <w:w w:val="105"/>
          <w:sz w:val="21"/>
        </w:rPr>
        <w:t>is</w:t>
      </w:r>
    </w:p>
    <w:p w14:paraId="51DE8C35" w14:textId="77777777" w:rsidR="0010369C" w:rsidRDefault="008E43AE">
      <w:pPr>
        <w:spacing w:before="69"/>
        <w:ind w:right="586"/>
        <w:jc w:val="right"/>
        <w:rPr>
          <w:rFonts w:ascii="Arial"/>
          <w:sz w:val="18"/>
        </w:rPr>
      </w:pPr>
      <w:r>
        <w:br w:type="column"/>
      </w:r>
      <w:r>
        <w:rPr>
          <w:rFonts w:ascii="Arial"/>
          <w:color w:val="1D1D1D"/>
          <w:sz w:val="18"/>
        </w:rPr>
        <w:t>Australia's</w:t>
      </w:r>
      <w:r>
        <w:rPr>
          <w:rFonts w:ascii="Arial"/>
          <w:color w:val="1D1D1D"/>
          <w:spacing w:val="22"/>
          <w:sz w:val="18"/>
        </w:rPr>
        <w:t xml:space="preserve"> </w:t>
      </w:r>
      <w:r>
        <w:rPr>
          <w:rFonts w:ascii="Arial"/>
          <w:color w:val="0C0C0C"/>
          <w:sz w:val="18"/>
        </w:rPr>
        <w:t>First</w:t>
      </w:r>
      <w:r>
        <w:rPr>
          <w:rFonts w:ascii="Arial"/>
          <w:color w:val="0C0C0C"/>
          <w:spacing w:val="18"/>
          <w:sz w:val="18"/>
        </w:rPr>
        <w:t xml:space="preserve"> </w:t>
      </w:r>
      <w:r>
        <w:rPr>
          <w:rFonts w:ascii="Arial"/>
          <w:color w:val="1D1D1D"/>
          <w:sz w:val="18"/>
        </w:rPr>
        <w:t>Written</w:t>
      </w:r>
      <w:r>
        <w:rPr>
          <w:rFonts w:ascii="Arial"/>
          <w:color w:val="1D1D1D"/>
          <w:spacing w:val="8"/>
          <w:sz w:val="18"/>
        </w:rPr>
        <w:t xml:space="preserve"> </w:t>
      </w:r>
      <w:r>
        <w:rPr>
          <w:rFonts w:ascii="Arial"/>
          <w:color w:val="1D1D1D"/>
          <w:spacing w:val="-2"/>
          <w:sz w:val="18"/>
        </w:rPr>
        <w:t>Submission</w:t>
      </w:r>
    </w:p>
    <w:p w14:paraId="51DE8C36" w14:textId="77777777" w:rsidR="0010369C" w:rsidRDefault="008E43AE">
      <w:pPr>
        <w:spacing w:before="44"/>
        <w:ind w:right="573"/>
        <w:jc w:val="right"/>
        <w:rPr>
          <w:rFonts w:ascii="Arial"/>
          <w:sz w:val="18"/>
        </w:rPr>
      </w:pPr>
      <w:r>
        <w:rPr>
          <w:rFonts w:ascii="Arial"/>
          <w:color w:val="1D1D1D"/>
          <w:spacing w:val="-2"/>
          <w:w w:val="110"/>
          <w:sz w:val="18"/>
        </w:rPr>
        <w:t>29</w:t>
      </w:r>
      <w:r>
        <w:rPr>
          <w:rFonts w:ascii="Arial"/>
          <w:color w:val="1D1D1D"/>
          <w:spacing w:val="-29"/>
          <w:w w:val="110"/>
          <w:sz w:val="18"/>
        </w:rPr>
        <w:t xml:space="preserve"> </w:t>
      </w:r>
      <w:r>
        <w:rPr>
          <w:rFonts w:ascii="Arial"/>
          <w:color w:val="1D1D1D"/>
          <w:spacing w:val="-2"/>
          <w:w w:val="110"/>
          <w:sz w:val="18"/>
        </w:rPr>
        <w:t>April</w:t>
      </w:r>
      <w:r>
        <w:rPr>
          <w:rFonts w:ascii="Arial"/>
          <w:color w:val="1D1D1D"/>
          <w:spacing w:val="-10"/>
          <w:w w:val="110"/>
          <w:sz w:val="18"/>
        </w:rPr>
        <w:t xml:space="preserve"> </w:t>
      </w:r>
      <w:r>
        <w:rPr>
          <w:rFonts w:ascii="Arial"/>
          <w:color w:val="1D1D1D"/>
          <w:spacing w:val="-4"/>
          <w:w w:val="110"/>
          <w:sz w:val="18"/>
        </w:rPr>
        <w:t>2022</w:t>
      </w:r>
    </w:p>
    <w:p w14:paraId="51DE8C37" w14:textId="77777777" w:rsidR="0010369C" w:rsidRDefault="008E43AE">
      <w:pPr>
        <w:spacing w:before="76"/>
        <w:ind w:right="593"/>
        <w:jc w:val="right"/>
        <w:rPr>
          <w:rFonts w:ascii="Arial"/>
          <w:sz w:val="21"/>
        </w:rPr>
      </w:pPr>
      <w:r>
        <w:rPr>
          <w:rFonts w:ascii="Arial"/>
          <w:color w:val="1D1D1D"/>
          <w:w w:val="105"/>
          <w:sz w:val="21"/>
        </w:rPr>
        <w:t>exacerbated</w:t>
      </w:r>
      <w:r>
        <w:rPr>
          <w:rFonts w:ascii="Arial"/>
          <w:color w:val="1D1D1D"/>
          <w:spacing w:val="61"/>
          <w:w w:val="105"/>
          <w:sz w:val="21"/>
        </w:rPr>
        <w:t xml:space="preserve"> </w:t>
      </w:r>
      <w:r>
        <w:rPr>
          <w:rFonts w:ascii="Arial"/>
          <w:color w:val="1D1D1D"/>
          <w:w w:val="105"/>
          <w:sz w:val="21"/>
        </w:rPr>
        <w:t>by</w:t>
      </w:r>
      <w:r>
        <w:rPr>
          <w:rFonts w:ascii="Arial"/>
          <w:color w:val="1D1D1D"/>
          <w:spacing w:val="59"/>
          <w:w w:val="105"/>
          <w:sz w:val="21"/>
        </w:rPr>
        <w:t xml:space="preserve"> </w:t>
      </w:r>
      <w:r>
        <w:rPr>
          <w:rFonts w:ascii="Arial"/>
          <w:color w:val="1D1D1D"/>
          <w:w w:val="105"/>
          <w:sz w:val="21"/>
        </w:rPr>
        <w:t>the</w:t>
      </w:r>
      <w:r>
        <w:rPr>
          <w:rFonts w:ascii="Arial"/>
          <w:color w:val="1D1D1D"/>
          <w:spacing w:val="57"/>
          <w:w w:val="150"/>
          <w:sz w:val="21"/>
        </w:rPr>
        <w:t xml:space="preserve"> </w:t>
      </w:r>
      <w:r>
        <w:rPr>
          <w:rFonts w:ascii="Arial"/>
          <w:color w:val="0C0C0C"/>
          <w:spacing w:val="-2"/>
          <w:w w:val="105"/>
          <w:sz w:val="21"/>
        </w:rPr>
        <w:t>methodologies</w:t>
      </w:r>
    </w:p>
    <w:p w14:paraId="51DE8C38" w14:textId="77777777" w:rsidR="0010369C" w:rsidRDefault="0010369C">
      <w:pPr>
        <w:jc w:val="right"/>
        <w:rPr>
          <w:rFonts w:ascii="Arial"/>
          <w:sz w:val="21"/>
        </w:rPr>
        <w:sectPr w:rsidR="0010369C">
          <w:type w:val="continuous"/>
          <w:pgSz w:w="11910" w:h="16840"/>
          <w:pgMar w:top="1460" w:right="800" w:bottom="280" w:left="1180" w:header="0" w:footer="826" w:gutter="0"/>
          <w:cols w:num="2" w:space="720" w:equalWidth="0">
            <w:col w:w="5600" w:space="40"/>
            <w:col w:w="4290"/>
          </w:cols>
        </w:sectPr>
      </w:pPr>
    </w:p>
    <w:p w14:paraId="51DE8C39" w14:textId="77777777" w:rsidR="0010369C" w:rsidRDefault="0010369C">
      <w:pPr>
        <w:pStyle w:val="BodyText"/>
        <w:rPr>
          <w:rFonts w:ascii="Arial"/>
          <w:sz w:val="10"/>
        </w:rPr>
      </w:pPr>
    </w:p>
    <w:p w14:paraId="51DE8C3A" w14:textId="77777777" w:rsidR="0010369C" w:rsidRDefault="008E43AE">
      <w:pPr>
        <w:spacing w:before="94"/>
        <w:ind w:left="239"/>
        <w:rPr>
          <w:rFonts w:ascii="Arial"/>
          <w:sz w:val="21"/>
        </w:rPr>
      </w:pPr>
      <w:r>
        <w:rPr>
          <w:rFonts w:ascii="Arial"/>
          <w:color w:val="0C0C0C"/>
          <w:w w:val="105"/>
          <w:sz w:val="21"/>
        </w:rPr>
        <w:t>MOFCOM</w:t>
      </w:r>
      <w:r>
        <w:rPr>
          <w:rFonts w:ascii="Arial"/>
          <w:color w:val="0C0C0C"/>
          <w:spacing w:val="-11"/>
          <w:w w:val="105"/>
          <w:sz w:val="21"/>
        </w:rPr>
        <w:t xml:space="preserve"> </w:t>
      </w:r>
      <w:r>
        <w:rPr>
          <w:rFonts w:ascii="Arial"/>
          <w:color w:val="0C0C0C"/>
          <w:w w:val="105"/>
          <w:sz w:val="21"/>
        </w:rPr>
        <w:t>used</w:t>
      </w:r>
      <w:r>
        <w:rPr>
          <w:rFonts w:ascii="Arial"/>
          <w:color w:val="0C0C0C"/>
          <w:spacing w:val="-32"/>
          <w:w w:val="105"/>
          <w:sz w:val="21"/>
        </w:rPr>
        <w:t xml:space="preserve"> </w:t>
      </w:r>
      <w:r>
        <w:rPr>
          <w:rFonts w:ascii="Arial"/>
          <w:color w:val="1D1D1D"/>
          <w:w w:val="105"/>
          <w:sz w:val="21"/>
        </w:rPr>
        <w:t>to</w:t>
      </w:r>
      <w:r>
        <w:rPr>
          <w:rFonts w:ascii="Arial"/>
          <w:color w:val="1D1D1D"/>
          <w:spacing w:val="21"/>
          <w:w w:val="105"/>
          <w:sz w:val="21"/>
        </w:rPr>
        <w:t xml:space="preserve"> </w:t>
      </w:r>
      <w:r>
        <w:rPr>
          <w:rFonts w:ascii="Arial"/>
          <w:color w:val="1D1D1D"/>
          <w:w w:val="105"/>
          <w:sz w:val="21"/>
        </w:rPr>
        <w:t>determine</w:t>
      </w:r>
      <w:r>
        <w:rPr>
          <w:rFonts w:ascii="Arial"/>
          <w:color w:val="1D1D1D"/>
          <w:spacing w:val="-12"/>
          <w:w w:val="105"/>
          <w:sz w:val="21"/>
        </w:rPr>
        <w:t xml:space="preserve"> </w:t>
      </w:r>
      <w:r>
        <w:rPr>
          <w:rFonts w:ascii="Arial"/>
          <w:color w:val="0C0C0C"/>
          <w:w w:val="105"/>
          <w:sz w:val="21"/>
        </w:rPr>
        <w:t>the</w:t>
      </w:r>
      <w:r>
        <w:rPr>
          <w:rFonts w:ascii="Arial"/>
          <w:color w:val="0C0C0C"/>
          <w:spacing w:val="-4"/>
          <w:w w:val="105"/>
          <w:sz w:val="21"/>
        </w:rPr>
        <w:t xml:space="preserve"> </w:t>
      </w:r>
      <w:r>
        <w:rPr>
          <w:rFonts w:ascii="Arial"/>
          <w:color w:val="1D1D1D"/>
          <w:w w:val="105"/>
          <w:sz w:val="21"/>
        </w:rPr>
        <w:t>normal</w:t>
      </w:r>
      <w:r>
        <w:rPr>
          <w:rFonts w:ascii="Arial"/>
          <w:color w:val="1D1D1D"/>
          <w:spacing w:val="-30"/>
          <w:w w:val="105"/>
          <w:sz w:val="21"/>
        </w:rPr>
        <w:t xml:space="preserve"> </w:t>
      </w:r>
      <w:r>
        <w:rPr>
          <w:rFonts w:ascii="Arial"/>
          <w:color w:val="1D1D1D"/>
          <w:w w:val="105"/>
          <w:sz w:val="21"/>
        </w:rPr>
        <w:t>values</w:t>
      </w:r>
      <w:r>
        <w:rPr>
          <w:rFonts w:ascii="Arial"/>
          <w:color w:val="1D1D1D"/>
          <w:spacing w:val="-24"/>
          <w:w w:val="105"/>
          <w:sz w:val="21"/>
        </w:rPr>
        <w:t xml:space="preserve"> </w:t>
      </w:r>
      <w:r>
        <w:rPr>
          <w:rFonts w:ascii="Arial"/>
          <w:color w:val="1D1D1D"/>
          <w:w w:val="105"/>
          <w:sz w:val="21"/>
        </w:rPr>
        <w:t>of</w:t>
      </w:r>
      <w:r>
        <w:rPr>
          <w:rFonts w:ascii="Arial"/>
          <w:color w:val="1D1D1D"/>
          <w:spacing w:val="6"/>
          <w:w w:val="105"/>
          <w:sz w:val="21"/>
        </w:rPr>
        <w:t xml:space="preserve"> </w:t>
      </w:r>
      <w:r>
        <w:rPr>
          <w:rFonts w:ascii="Arial"/>
          <w:color w:val="0C0C0C"/>
          <w:w w:val="105"/>
          <w:sz w:val="21"/>
        </w:rPr>
        <w:t>the</w:t>
      </w:r>
      <w:r>
        <w:rPr>
          <w:rFonts w:ascii="Arial"/>
          <w:color w:val="0C0C0C"/>
          <w:spacing w:val="12"/>
          <w:w w:val="105"/>
          <w:sz w:val="21"/>
        </w:rPr>
        <w:t xml:space="preserve"> </w:t>
      </w:r>
      <w:r>
        <w:rPr>
          <w:rFonts w:ascii="Arial"/>
          <w:color w:val="1D1D1D"/>
          <w:w w:val="105"/>
          <w:sz w:val="21"/>
        </w:rPr>
        <w:t>three</w:t>
      </w:r>
      <w:r>
        <w:rPr>
          <w:rFonts w:ascii="Arial"/>
          <w:color w:val="1D1D1D"/>
          <w:spacing w:val="-15"/>
          <w:w w:val="105"/>
          <w:sz w:val="21"/>
        </w:rPr>
        <w:t xml:space="preserve"> </w:t>
      </w:r>
      <w:r>
        <w:rPr>
          <w:rFonts w:ascii="Arial"/>
          <w:color w:val="1D1D1D"/>
          <w:w w:val="105"/>
          <w:sz w:val="21"/>
        </w:rPr>
        <w:t>sampled</w:t>
      </w:r>
      <w:r>
        <w:rPr>
          <w:rFonts w:ascii="Arial"/>
          <w:color w:val="1D1D1D"/>
          <w:spacing w:val="-15"/>
          <w:w w:val="105"/>
          <w:sz w:val="21"/>
        </w:rPr>
        <w:t xml:space="preserve"> </w:t>
      </w:r>
      <w:r>
        <w:rPr>
          <w:rFonts w:ascii="Arial"/>
          <w:color w:val="1D1D1D"/>
          <w:w w:val="105"/>
          <w:sz w:val="21"/>
        </w:rPr>
        <w:t>companies.</w:t>
      </w:r>
      <w:r>
        <w:rPr>
          <w:rFonts w:ascii="Arial"/>
          <w:color w:val="1D1D1D"/>
          <w:spacing w:val="-8"/>
          <w:w w:val="105"/>
          <w:sz w:val="21"/>
        </w:rPr>
        <w:t xml:space="preserve"> </w:t>
      </w:r>
      <w:r>
        <w:rPr>
          <w:rFonts w:ascii="Arial"/>
          <w:color w:val="1D1D1D"/>
          <w:w w:val="105"/>
          <w:sz w:val="21"/>
        </w:rPr>
        <w:t>With</w:t>
      </w:r>
      <w:r>
        <w:rPr>
          <w:rFonts w:ascii="Arial"/>
          <w:color w:val="1D1D1D"/>
          <w:spacing w:val="-32"/>
          <w:w w:val="105"/>
          <w:sz w:val="21"/>
        </w:rPr>
        <w:t xml:space="preserve"> </w:t>
      </w:r>
      <w:r>
        <w:rPr>
          <w:rFonts w:ascii="Arial"/>
          <w:color w:val="1D1D1D"/>
          <w:spacing w:val="-2"/>
          <w:w w:val="105"/>
          <w:sz w:val="21"/>
        </w:rPr>
        <w:t>respect</w:t>
      </w:r>
    </w:p>
    <w:p w14:paraId="51DE8C3B" w14:textId="77777777" w:rsidR="0010369C" w:rsidRDefault="008E43AE">
      <w:pPr>
        <w:pStyle w:val="BodyText"/>
        <w:spacing w:before="1"/>
        <w:rPr>
          <w:rFonts w:ascii="Arial"/>
          <w:sz w:val="14"/>
        </w:rPr>
      </w:pPr>
      <w:r>
        <w:pict w14:anchorId="51DEA3E4">
          <v:group id="docshapegroup973" o:spid="_x0000_s1389" style="position:absolute;margin-left:70.25pt;margin-top:9.35pt;width:455.55pt;height:169.45pt;z-index:-250864128;mso-wrap-distance-left:0;mso-wrap-distance-right:0;mso-position-horizontal-relative:page" coordorigin="1405,187" coordsize="9111,3389">
            <v:shape id="docshape974" o:spid="_x0000_s1391" type="#_x0000_t75" style="position:absolute;left:1404;top:186;width:9111;height:3389">
              <v:imagedata r:id="rId689" o:title=""/>
            </v:shape>
            <v:shape id="docshape975" o:spid="_x0000_s1390" type="#_x0000_t202" style="position:absolute;left:1404;top:186;width:9111;height:3389" filled="f" stroked="f">
              <v:textbox inset="0,0,0,0">
                <w:txbxContent>
                  <w:p w14:paraId="51DEAC66" w14:textId="77777777" w:rsidR="0010369C" w:rsidRDefault="008E43AE">
                    <w:pPr>
                      <w:spacing w:before="3"/>
                      <w:ind w:left="16"/>
                      <w:rPr>
                        <w:rFonts w:ascii="Arial"/>
                        <w:sz w:val="21"/>
                      </w:rPr>
                    </w:pPr>
                    <w:r>
                      <w:rPr>
                        <w:rFonts w:ascii="Arial"/>
                        <w:color w:val="1D1D1D"/>
                        <w:w w:val="105"/>
                        <w:sz w:val="21"/>
                      </w:rPr>
                      <w:t>to</w:t>
                    </w:r>
                    <w:r>
                      <w:rPr>
                        <w:rFonts w:ascii="Arial"/>
                        <w:color w:val="1D1D1D"/>
                        <w:spacing w:val="16"/>
                        <w:w w:val="105"/>
                        <w:sz w:val="21"/>
                      </w:rPr>
                      <w:t xml:space="preserve"> </w:t>
                    </w:r>
                    <w:r>
                      <w:rPr>
                        <w:rFonts w:ascii="Arial"/>
                        <w:color w:val="0C0C0C"/>
                        <w:w w:val="105"/>
                        <w:sz w:val="21"/>
                      </w:rPr>
                      <w:t>normal</w:t>
                    </w:r>
                    <w:r>
                      <w:rPr>
                        <w:rFonts w:ascii="Arial"/>
                        <w:color w:val="0C0C0C"/>
                        <w:spacing w:val="-18"/>
                        <w:w w:val="105"/>
                        <w:sz w:val="21"/>
                      </w:rPr>
                      <w:t xml:space="preserve"> </w:t>
                    </w:r>
                    <w:r>
                      <w:rPr>
                        <w:rFonts w:ascii="Arial"/>
                        <w:color w:val="1D1D1D"/>
                        <w:w w:val="105"/>
                        <w:sz w:val="21"/>
                      </w:rPr>
                      <w:t>values</w:t>
                    </w:r>
                    <w:r>
                      <w:rPr>
                        <w:rFonts w:ascii="Arial"/>
                        <w:color w:val="1D1D1D"/>
                        <w:spacing w:val="-14"/>
                        <w:w w:val="105"/>
                        <w:sz w:val="21"/>
                      </w:rPr>
                      <w:t xml:space="preserve"> </w:t>
                    </w:r>
                    <w:r>
                      <w:rPr>
                        <w:rFonts w:ascii="Arial"/>
                        <w:color w:val="0C0C0C"/>
                        <w:w w:val="105"/>
                        <w:sz w:val="21"/>
                      </w:rPr>
                      <w:t>determined</w:t>
                    </w:r>
                    <w:r>
                      <w:rPr>
                        <w:rFonts w:ascii="Arial"/>
                        <w:color w:val="0C0C0C"/>
                        <w:spacing w:val="-10"/>
                        <w:w w:val="105"/>
                        <w:sz w:val="21"/>
                      </w:rPr>
                      <w:t xml:space="preserve"> </w:t>
                    </w:r>
                    <w:r>
                      <w:rPr>
                        <w:rFonts w:ascii="Arial"/>
                        <w:color w:val="0C0C0C"/>
                        <w:w w:val="105"/>
                        <w:sz w:val="21"/>
                      </w:rPr>
                      <w:t>using</w:t>
                    </w:r>
                    <w:r>
                      <w:rPr>
                        <w:rFonts w:ascii="Arial"/>
                        <w:color w:val="0C0C0C"/>
                        <w:spacing w:val="-25"/>
                        <w:w w:val="105"/>
                        <w:sz w:val="21"/>
                      </w:rPr>
                      <w:t xml:space="preserve"> </w:t>
                    </w:r>
                    <w:r>
                      <w:rPr>
                        <w:rFonts w:ascii="Arial"/>
                        <w:color w:val="1D1D1D"/>
                        <w:w w:val="105"/>
                        <w:sz w:val="21"/>
                      </w:rPr>
                      <w:t>domestic</w:t>
                    </w:r>
                    <w:r>
                      <w:rPr>
                        <w:rFonts w:ascii="Arial"/>
                        <w:color w:val="1D1D1D"/>
                        <w:spacing w:val="1"/>
                        <w:w w:val="105"/>
                        <w:sz w:val="21"/>
                      </w:rPr>
                      <w:t xml:space="preserve"> </w:t>
                    </w:r>
                    <w:r>
                      <w:rPr>
                        <w:rFonts w:ascii="Arial"/>
                        <w:color w:val="1D1D1D"/>
                        <w:w w:val="105"/>
                        <w:sz w:val="21"/>
                      </w:rPr>
                      <w:t>sales</w:t>
                    </w:r>
                    <w:r>
                      <w:rPr>
                        <w:rFonts w:ascii="Arial"/>
                        <w:color w:val="1D1D1D"/>
                        <w:spacing w:val="-11"/>
                        <w:w w:val="105"/>
                        <w:sz w:val="21"/>
                      </w:rPr>
                      <w:t xml:space="preserve"> </w:t>
                    </w:r>
                    <w:r>
                      <w:rPr>
                        <w:rFonts w:ascii="Arial"/>
                        <w:color w:val="1D1D1D"/>
                        <w:w w:val="105"/>
                        <w:sz w:val="21"/>
                      </w:rPr>
                      <w:t>prices,</w:t>
                    </w:r>
                    <w:r>
                      <w:rPr>
                        <w:rFonts w:ascii="Arial"/>
                        <w:color w:val="1D1D1D"/>
                        <w:spacing w:val="-16"/>
                        <w:w w:val="105"/>
                        <w:sz w:val="21"/>
                      </w:rPr>
                      <w:t xml:space="preserve"> </w:t>
                    </w:r>
                    <w:r>
                      <w:rPr>
                        <w:rFonts w:ascii="Arial"/>
                        <w:color w:val="0C0C0C"/>
                        <w:spacing w:val="-10"/>
                        <w:w w:val="105"/>
                        <w:sz w:val="21"/>
                      </w:rPr>
                      <w:t>[</w:t>
                    </w:r>
                  </w:p>
                </w:txbxContent>
              </v:textbox>
            </v:shape>
            <w10:wrap type="topAndBottom" anchorx="page"/>
          </v:group>
        </w:pict>
      </w:r>
    </w:p>
    <w:p w14:paraId="51DE8C3C" w14:textId="77777777" w:rsidR="0010369C" w:rsidRDefault="008E43AE">
      <w:pPr>
        <w:spacing w:before="154"/>
        <w:ind w:left="197"/>
        <w:rPr>
          <w:rFonts w:ascii="Arial"/>
        </w:rPr>
      </w:pPr>
      <w:r>
        <w:rPr>
          <w:rFonts w:ascii="Arial"/>
          <w:color w:val="0C0C0C"/>
          <w:w w:val="105"/>
        </w:rPr>
        <w:t>-</w:t>
      </w:r>
      <w:r>
        <w:rPr>
          <w:rFonts w:ascii="Arial"/>
          <w:color w:val="0C0C0C"/>
          <w:spacing w:val="-5"/>
          <w:w w:val="105"/>
        </w:rPr>
        <w:t>]]</w:t>
      </w:r>
    </w:p>
    <w:p w14:paraId="51DE8C3D" w14:textId="77777777" w:rsidR="0010369C" w:rsidRDefault="008E43AE">
      <w:pPr>
        <w:pStyle w:val="BodyText"/>
        <w:spacing w:before="1"/>
        <w:rPr>
          <w:rFonts w:ascii="Arial"/>
          <w:sz w:val="26"/>
        </w:rPr>
      </w:pPr>
      <w:r>
        <w:rPr>
          <w:noProof/>
        </w:rPr>
        <w:drawing>
          <wp:anchor distT="0" distB="0" distL="0" distR="0" simplePos="0" relativeHeight="250598912" behindDoc="0" locked="0" layoutInCell="1" allowOverlap="1" wp14:anchorId="51DEA3E5" wp14:editId="51DEA3E6">
            <wp:simplePos x="0" y="0"/>
            <wp:positionH relativeFrom="page">
              <wp:posOffset>891988</wp:posOffset>
            </wp:positionH>
            <wp:positionV relativeFrom="paragraph">
              <wp:posOffset>206219</wp:posOffset>
            </wp:positionV>
            <wp:extent cx="5864209" cy="1601819"/>
            <wp:effectExtent l="0" t="0" r="0" b="0"/>
            <wp:wrapTopAndBottom/>
            <wp:docPr id="1025" name="image5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image524.png"/>
                    <pic:cNvPicPr/>
                  </pic:nvPicPr>
                  <pic:blipFill>
                    <a:blip r:embed="rId690" cstate="print"/>
                    <a:stretch>
                      <a:fillRect/>
                    </a:stretch>
                  </pic:blipFill>
                  <pic:spPr>
                    <a:xfrm>
                      <a:off x="0" y="0"/>
                      <a:ext cx="5864209" cy="1601819"/>
                    </a:xfrm>
                    <a:prstGeom prst="rect">
                      <a:avLst/>
                    </a:prstGeom>
                  </pic:spPr>
                </pic:pic>
              </a:graphicData>
            </a:graphic>
          </wp:anchor>
        </w:drawing>
      </w:r>
    </w:p>
    <w:p w14:paraId="51DE8C3E" w14:textId="77777777" w:rsidR="0010369C" w:rsidRDefault="0010369C">
      <w:pPr>
        <w:pStyle w:val="BodyText"/>
        <w:spacing w:before="1"/>
        <w:rPr>
          <w:rFonts w:ascii="Arial"/>
        </w:rPr>
      </w:pPr>
    </w:p>
    <w:p w14:paraId="51DE8C3F" w14:textId="77777777" w:rsidR="0010369C" w:rsidRDefault="008E43AE">
      <w:pPr>
        <w:spacing w:line="439" w:lineRule="auto"/>
        <w:ind w:left="236" w:right="576" w:hanging="1"/>
        <w:jc w:val="both"/>
        <w:rPr>
          <w:rFonts w:ascii="Arial"/>
          <w:sz w:val="21"/>
        </w:rPr>
      </w:pPr>
      <w:r>
        <w:rPr>
          <w:rFonts w:ascii="Arial"/>
          <w:color w:val="1D1D1D"/>
          <w:w w:val="105"/>
          <w:sz w:val="21"/>
        </w:rPr>
        <w:t>515.</w:t>
      </w:r>
      <w:r>
        <w:rPr>
          <w:rFonts w:ascii="Arial"/>
          <w:color w:val="1D1D1D"/>
          <w:spacing w:val="80"/>
          <w:w w:val="105"/>
          <w:sz w:val="21"/>
        </w:rPr>
        <w:t xml:space="preserve">  </w:t>
      </w:r>
      <w:r>
        <w:rPr>
          <w:rFonts w:ascii="Arial"/>
          <w:color w:val="1D1D1D"/>
          <w:w w:val="105"/>
          <w:sz w:val="21"/>
        </w:rPr>
        <w:t>Accordingly,</w:t>
      </w:r>
      <w:r>
        <w:rPr>
          <w:rFonts w:ascii="Arial"/>
          <w:color w:val="1D1D1D"/>
          <w:spacing w:val="40"/>
          <w:w w:val="105"/>
          <w:sz w:val="21"/>
        </w:rPr>
        <w:t xml:space="preserve"> </w:t>
      </w:r>
      <w:r>
        <w:rPr>
          <w:rFonts w:ascii="Arial"/>
          <w:color w:val="0C0C0C"/>
          <w:w w:val="105"/>
          <w:sz w:val="21"/>
        </w:rPr>
        <w:t>quantity</w:t>
      </w:r>
      <w:r>
        <w:rPr>
          <w:rFonts w:ascii="Arial"/>
          <w:color w:val="0C0C0C"/>
          <w:spacing w:val="40"/>
          <w:w w:val="105"/>
          <w:sz w:val="21"/>
        </w:rPr>
        <w:t xml:space="preserve"> </w:t>
      </w:r>
      <w:r>
        <w:rPr>
          <w:rFonts w:ascii="Arial"/>
          <w:color w:val="1D1D1D"/>
          <w:w w:val="105"/>
          <w:sz w:val="21"/>
        </w:rPr>
        <w:t>was a</w:t>
      </w:r>
      <w:r>
        <w:rPr>
          <w:rFonts w:ascii="Arial"/>
          <w:color w:val="1D1D1D"/>
          <w:spacing w:val="40"/>
          <w:w w:val="105"/>
          <w:sz w:val="21"/>
        </w:rPr>
        <w:t xml:space="preserve"> </w:t>
      </w:r>
      <w:r>
        <w:rPr>
          <w:rFonts w:ascii="Arial"/>
          <w:color w:val="1D1D1D"/>
          <w:w w:val="105"/>
          <w:sz w:val="21"/>
        </w:rPr>
        <w:t>relevant</w:t>
      </w:r>
      <w:r>
        <w:rPr>
          <w:rFonts w:ascii="Arial"/>
          <w:color w:val="1D1D1D"/>
          <w:spacing w:val="40"/>
          <w:w w:val="105"/>
          <w:sz w:val="21"/>
        </w:rPr>
        <w:t xml:space="preserve"> </w:t>
      </w:r>
      <w:r>
        <w:rPr>
          <w:rFonts w:ascii="Arial"/>
          <w:color w:val="1D1D1D"/>
          <w:w w:val="105"/>
          <w:sz w:val="21"/>
        </w:rPr>
        <w:t>factor</w:t>
      </w:r>
      <w:r>
        <w:rPr>
          <w:rFonts w:ascii="Arial"/>
          <w:color w:val="1D1D1D"/>
          <w:spacing w:val="40"/>
          <w:w w:val="105"/>
          <w:sz w:val="21"/>
        </w:rPr>
        <w:t xml:space="preserve"> </w:t>
      </w:r>
      <w:r>
        <w:rPr>
          <w:rFonts w:ascii="Arial"/>
          <w:color w:val="1D1D1D"/>
          <w:w w:val="105"/>
          <w:sz w:val="21"/>
        </w:rPr>
        <w:t>that</w:t>
      </w:r>
      <w:r>
        <w:rPr>
          <w:rFonts w:ascii="Arial"/>
          <w:color w:val="1D1D1D"/>
          <w:spacing w:val="40"/>
          <w:w w:val="105"/>
          <w:sz w:val="21"/>
        </w:rPr>
        <w:t xml:space="preserve"> </w:t>
      </w:r>
      <w:r>
        <w:rPr>
          <w:rFonts w:ascii="Arial"/>
          <w:color w:val="1D1D1D"/>
          <w:w w:val="105"/>
          <w:sz w:val="21"/>
        </w:rPr>
        <w:t>affected</w:t>
      </w:r>
      <w:r>
        <w:rPr>
          <w:rFonts w:ascii="Arial"/>
          <w:color w:val="1D1D1D"/>
          <w:spacing w:val="40"/>
          <w:w w:val="105"/>
          <w:sz w:val="21"/>
        </w:rPr>
        <w:t xml:space="preserve"> </w:t>
      </w:r>
      <w:r>
        <w:rPr>
          <w:rFonts w:ascii="Arial"/>
          <w:color w:val="0C0C0C"/>
          <w:w w:val="105"/>
          <w:sz w:val="21"/>
        </w:rPr>
        <w:t>price</w:t>
      </w:r>
      <w:r>
        <w:rPr>
          <w:rFonts w:ascii="Arial"/>
          <w:color w:val="0C0C0C"/>
          <w:spacing w:val="40"/>
          <w:w w:val="105"/>
          <w:sz w:val="21"/>
        </w:rPr>
        <w:t xml:space="preserve"> </w:t>
      </w:r>
      <w:r>
        <w:rPr>
          <w:rFonts w:ascii="Arial"/>
          <w:color w:val="1D1D1D"/>
          <w:w w:val="105"/>
          <w:sz w:val="21"/>
        </w:rPr>
        <w:t>comparability</w:t>
      </w:r>
      <w:r>
        <w:rPr>
          <w:rFonts w:ascii="Arial"/>
          <w:color w:val="1D1D1D"/>
          <w:spacing w:val="40"/>
          <w:w w:val="105"/>
          <w:sz w:val="21"/>
        </w:rPr>
        <w:t xml:space="preserve"> </w:t>
      </w:r>
      <w:r>
        <w:rPr>
          <w:rFonts w:ascii="Arial"/>
          <w:color w:val="1D1D1D"/>
          <w:w w:val="105"/>
          <w:sz w:val="21"/>
        </w:rPr>
        <w:t>of normal</w:t>
      </w:r>
      <w:r>
        <w:rPr>
          <w:rFonts w:ascii="Arial"/>
          <w:color w:val="1D1D1D"/>
          <w:spacing w:val="-6"/>
          <w:w w:val="105"/>
          <w:sz w:val="21"/>
        </w:rPr>
        <w:t xml:space="preserve"> </w:t>
      </w:r>
      <w:r>
        <w:rPr>
          <w:rFonts w:ascii="Arial"/>
          <w:color w:val="1D1D1D"/>
          <w:w w:val="105"/>
          <w:sz w:val="21"/>
        </w:rPr>
        <w:t>value</w:t>
      </w:r>
      <w:r>
        <w:rPr>
          <w:rFonts w:ascii="Arial"/>
          <w:color w:val="1D1D1D"/>
          <w:spacing w:val="-10"/>
          <w:w w:val="105"/>
          <w:sz w:val="21"/>
        </w:rPr>
        <w:t xml:space="preserve"> </w:t>
      </w:r>
      <w:r>
        <w:rPr>
          <w:rFonts w:ascii="Arial"/>
          <w:color w:val="0C0C0C"/>
          <w:w w:val="105"/>
          <w:sz w:val="21"/>
        </w:rPr>
        <w:t>to</w:t>
      </w:r>
      <w:r>
        <w:rPr>
          <w:rFonts w:ascii="Arial"/>
          <w:color w:val="0C0C0C"/>
          <w:spacing w:val="24"/>
          <w:w w:val="105"/>
          <w:sz w:val="21"/>
        </w:rPr>
        <w:t xml:space="preserve"> </w:t>
      </w:r>
      <w:r>
        <w:rPr>
          <w:rFonts w:ascii="Arial"/>
          <w:color w:val="1D1D1D"/>
          <w:w w:val="105"/>
          <w:sz w:val="21"/>
        </w:rPr>
        <w:t>export</w:t>
      </w:r>
      <w:r>
        <w:rPr>
          <w:rFonts w:ascii="Arial"/>
          <w:color w:val="1D1D1D"/>
          <w:spacing w:val="-7"/>
          <w:w w:val="105"/>
          <w:sz w:val="21"/>
        </w:rPr>
        <w:t xml:space="preserve"> </w:t>
      </w:r>
      <w:r>
        <w:rPr>
          <w:rFonts w:ascii="Arial"/>
          <w:color w:val="1D1D1D"/>
          <w:w w:val="105"/>
          <w:sz w:val="21"/>
        </w:rPr>
        <w:t>sales</w:t>
      </w:r>
      <w:r>
        <w:rPr>
          <w:rFonts w:ascii="Arial"/>
          <w:color w:val="1D1D1D"/>
          <w:spacing w:val="-8"/>
          <w:w w:val="105"/>
          <w:sz w:val="21"/>
        </w:rPr>
        <w:t xml:space="preserve"> </w:t>
      </w:r>
      <w:r>
        <w:rPr>
          <w:rFonts w:ascii="Arial"/>
          <w:color w:val="1D1D1D"/>
          <w:w w:val="105"/>
          <w:sz w:val="21"/>
        </w:rPr>
        <w:t>for</w:t>
      </w:r>
      <w:r>
        <w:rPr>
          <w:rFonts w:ascii="Arial"/>
          <w:color w:val="1D1D1D"/>
          <w:spacing w:val="29"/>
          <w:w w:val="105"/>
          <w:sz w:val="21"/>
        </w:rPr>
        <w:t xml:space="preserve"> </w:t>
      </w:r>
      <w:r>
        <w:rPr>
          <w:rFonts w:ascii="Arial"/>
          <w:color w:val="0C0C0C"/>
          <w:w w:val="105"/>
          <w:sz w:val="21"/>
        </w:rPr>
        <w:t>Treasury</w:t>
      </w:r>
      <w:r>
        <w:rPr>
          <w:rFonts w:ascii="Arial"/>
          <w:color w:val="0C0C0C"/>
          <w:spacing w:val="-6"/>
          <w:w w:val="105"/>
          <w:sz w:val="21"/>
        </w:rPr>
        <w:t xml:space="preserve"> </w:t>
      </w:r>
      <w:r>
        <w:rPr>
          <w:rFonts w:ascii="Arial"/>
          <w:color w:val="1D1D1D"/>
          <w:w w:val="105"/>
          <w:sz w:val="21"/>
        </w:rPr>
        <w:t>Wines,</w:t>
      </w:r>
      <w:r>
        <w:rPr>
          <w:rFonts w:ascii="Arial"/>
          <w:color w:val="1D1D1D"/>
          <w:spacing w:val="-14"/>
          <w:w w:val="105"/>
          <w:sz w:val="21"/>
        </w:rPr>
        <w:t xml:space="preserve"> </w:t>
      </w:r>
      <w:r>
        <w:rPr>
          <w:rFonts w:ascii="Arial"/>
          <w:color w:val="1D1D1D"/>
          <w:w w:val="105"/>
          <w:sz w:val="21"/>
        </w:rPr>
        <w:t>Casella Wines</w:t>
      </w:r>
      <w:r>
        <w:rPr>
          <w:rFonts w:ascii="Arial"/>
          <w:color w:val="1D1D1D"/>
          <w:spacing w:val="-14"/>
          <w:w w:val="105"/>
          <w:sz w:val="21"/>
        </w:rPr>
        <w:t xml:space="preserve"> </w:t>
      </w:r>
      <w:r>
        <w:rPr>
          <w:rFonts w:ascii="Arial"/>
          <w:color w:val="1D1D1D"/>
          <w:w w:val="105"/>
          <w:sz w:val="21"/>
        </w:rPr>
        <w:t>and</w:t>
      </w:r>
      <w:r>
        <w:rPr>
          <w:rFonts w:ascii="Arial"/>
          <w:color w:val="1D1D1D"/>
          <w:spacing w:val="-16"/>
          <w:w w:val="105"/>
          <w:sz w:val="21"/>
        </w:rPr>
        <w:t xml:space="preserve"> </w:t>
      </w:r>
      <w:r>
        <w:rPr>
          <w:rFonts w:ascii="Arial"/>
          <w:color w:val="1D1D1D"/>
          <w:w w:val="105"/>
          <w:sz w:val="21"/>
        </w:rPr>
        <w:t>Swan</w:t>
      </w:r>
      <w:r>
        <w:rPr>
          <w:rFonts w:ascii="Arial"/>
          <w:color w:val="1D1D1D"/>
          <w:spacing w:val="-12"/>
          <w:w w:val="105"/>
          <w:sz w:val="21"/>
        </w:rPr>
        <w:t xml:space="preserve"> </w:t>
      </w:r>
      <w:r>
        <w:rPr>
          <w:rFonts w:ascii="Arial"/>
          <w:color w:val="1D1D1D"/>
          <w:w w:val="105"/>
          <w:sz w:val="21"/>
        </w:rPr>
        <w:t>Vintage.</w:t>
      </w:r>
      <w:r>
        <w:rPr>
          <w:rFonts w:ascii="Arial"/>
          <w:color w:val="1D1D1D"/>
          <w:spacing w:val="-12"/>
          <w:w w:val="105"/>
          <w:sz w:val="21"/>
        </w:rPr>
        <w:t xml:space="preserve"> </w:t>
      </w:r>
      <w:r>
        <w:rPr>
          <w:rFonts w:ascii="Arial"/>
          <w:color w:val="0C0C0C"/>
          <w:w w:val="105"/>
          <w:sz w:val="21"/>
        </w:rPr>
        <w:t>Given</w:t>
      </w:r>
      <w:r>
        <w:rPr>
          <w:rFonts w:ascii="Arial"/>
          <w:color w:val="0C0C0C"/>
          <w:spacing w:val="-13"/>
          <w:w w:val="105"/>
          <w:sz w:val="21"/>
        </w:rPr>
        <w:t xml:space="preserve"> </w:t>
      </w:r>
      <w:r>
        <w:rPr>
          <w:rFonts w:ascii="Arial"/>
          <w:color w:val="0C0C0C"/>
          <w:w w:val="105"/>
          <w:sz w:val="21"/>
        </w:rPr>
        <w:t xml:space="preserve">the </w:t>
      </w:r>
      <w:r>
        <w:rPr>
          <w:rFonts w:ascii="Arial"/>
          <w:color w:val="1D1D1D"/>
          <w:w w:val="105"/>
          <w:sz w:val="21"/>
        </w:rPr>
        <w:t>complete</w:t>
      </w:r>
      <w:r>
        <w:rPr>
          <w:rFonts w:ascii="Arial"/>
          <w:color w:val="1D1D1D"/>
          <w:spacing w:val="-2"/>
          <w:w w:val="105"/>
          <w:sz w:val="21"/>
        </w:rPr>
        <w:t xml:space="preserve"> </w:t>
      </w:r>
      <w:r>
        <w:rPr>
          <w:rFonts w:ascii="Arial"/>
          <w:color w:val="1D1D1D"/>
          <w:w w:val="105"/>
          <w:sz w:val="21"/>
        </w:rPr>
        <w:t>absence</w:t>
      </w:r>
      <w:r>
        <w:rPr>
          <w:rFonts w:ascii="Arial"/>
          <w:color w:val="1D1D1D"/>
          <w:spacing w:val="-4"/>
          <w:w w:val="105"/>
          <w:sz w:val="21"/>
        </w:rPr>
        <w:t xml:space="preserve"> </w:t>
      </w:r>
      <w:r>
        <w:rPr>
          <w:rFonts w:ascii="Arial"/>
          <w:color w:val="1D1D1D"/>
          <w:w w:val="105"/>
          <w:sz w:val="21"/>
        </w:rPr>
        <w:t>of</w:t>
      </w:r>
      <w:r>
        <w:rPr>
          <w:rFonts w:ascii="Arial"/>
          <w:color w:val="1D1D1D"/>
          <w:spacing w:val="28"/>
          <w:w w:val="105"/>
          <w:sz w:val="21"/>
        </w:rPr>
        <w:t xml:space="preserve"> </w:t>
      </w:r>
      <w:r>
        <w:rPr>
          <w:rFonts w:ascii="Arial"/>
          <w:color w:val="1D1D1D"/>
          <w:w w:val="105"/>
          <w:sz w:val="21"/>
        </w:rPr>
        <w:t xml:space="preserve">consideration </w:t>
      </w:r>
      <w:r>
        <w:rPr>
          <w:rFonts w:ascii="Arial"/>
          <w:color w:val="0C0C0C"/>
          <w:w w:val="105"/>
          <w:sz w:val="21"/>
        </w:rPr>
        <w:t>by</w:t>
      </w:r>
      <w:r>
        <w:rPr>
          <w:rFonts w:ascii="Arial"/>
          <w:color w:val="0C0C0C"/>
          <w:spacing w:val="-9"/>
          <w:w w:val="105"/>
          <w:sz w:val="21"/>
        </w:rPr>
        <w:t xml:space="preserve"> </w:t>
      </w:r>
      <w:r>
        <w:rPr>
          <w:rFonts w:ascii="Arial"/>
          <w:color w:val="0C0C0C"/>
          <w:w w:val="105"/>
          <w:sz w:val="21"/>
        </w:rPr>
        <w:t xml:space="preserve">MOFCOM </w:t>
      </w:r>
      <w:r>
        <w:rPr>
          <w:rFonts w:ascii="Arial"/>
          <w:color w:val="1D1D1D"/>
          <w:w w:val="105"/>
          <w:sz w:val="21"/>
        </w:rPr>
        <w:t xml:space="preserve">of </w:t>
      </w:r>
      <w:r>
        <w:rPr>
          <w:rFonts w:ascii="Arial"/>
          <w:color w:val="0C0C0C"/>
          <w:w w:val="105"/>
          <w:sz w:val="21"/>
        </w:rPr>
        <w:t xml:space="preserve">differences in </w:t>
      </w:r>
      <w:r>
        <w:rPr>
          <w:rFonts w:ascii="Arial"/>
          <w:color w:val="1D1D1D"/>
          <w:w w:val="105"/>
          <w:sz w:val="21"/>
        </w:rPr>
        <w:t xml:space="preserve">the </w:t>
      </w:r>
      <w:r>
        <w:rPr>
          <w:rFonts w:ascii="Arial"/>
          <w:color w:val="0C0C0C"/>
          <w:w w:val="105"/>
          <w:sz w:val="21"/>
        </w:rPr>
        <w:t>quantities</w:t>
      </w:r>
      <w:r>
        <w:rPr>
          <w:rFonts w:ascii="Arial"/>
          <w:color w:val="0C0C0C"/>
          <w:spacing w:val="-2"/>
          <w:w w:val="105"/>
          <w:sz w:val="21"/>
        </w:rPr>
        <w:t xml:space="preserve"> </w:t>
      </w:r>
      <w:r>
        <w:rPr>
          <w:rFonts w:ascii="Arial"/>
          <w:color w:val="1D1D1D"/>
          <w:w w:val="105"/>
          <w:sz w:val="21"/>
        </w:rPr>
        <w:t>of sales</w:t>
      </w:r>
      <w:r>
        <w:rPr>
          <w:rFonts w:ascii="Arial"/>
          <w:color w:val="1D1D1D"/>
          <w:spacing w:val="-9"/>
          <w:w w:val="105"/>
          <w:sz w:val="21"/>
        </w:rPr>
        <w:t xml:space="preserve"> </w:t>
      </w:r>
      <w:r>
        <w:rPr>
          <w:rFonts w:ascii="Arial"/>
          <w:color w:val="1D1D1D"/>
          <w:w w:val="105"/>
          <w:sz w:val="21"/>
        </w:rPr>
        <w:t>and any</w:t>
      </w:r>
      <w:r>
        <w:rPr>
          <w:rFonts w:ascii="Arial"/>
          <w:color w:val="1D1D1D"/>
          <w:spacing w:val="-11"/>
          <w:w w:val="105"/>
          <w:sz w:val="21"/>
        </w:rPr>
        <w:t xml:space="preserve"> </w:t>
      </w:r>
      <w:r>
        <w:rPr>
          <w:rFonts w:ascii="Arial"/>
          <w:color w:val="1D1D1D"/>
          <w:w w:val="105"/>
          <w:sz w:val="21"/>
        </w:rPr>
        <w:t>adjustments to</w:t>
      </w:r>
      <w:r>
        <w:rPr>
          <w:rFonts w:ascii="Arial"/>
          <w:color w:val="1D1D1D"/>
          <w:spacing w:val="24"/>
          <w:w w:val="105"/>
          <w:sz w:val="21"/>
        </w:rPr>
        <w:t xml:space="preserve"> </w:t>
      </w:r>
      <w:r>
        <w:rPr>
          <w:rFonts w:ascii="Arial"/>
          <w:color w:val="1D1D1D"/>
          <w:w w:val="105"/>
          <w:sz w:val="21"/>
        </w:rPr>
        <w:t>account for</w:t>
      </w:r>
      <w:r>
        <w:rPr>
          <w:rFonts w:ascii="Arial"/>
          <w:color w:val="1D1D1D"/>
          <w:spacing w:val="28"/>
          <w:w w:val="105"/>
          <w:sz w:val="21"/>
        </w:rPr>
        <w:t xml:space="preserve"> </w:t>
      </w:r>
      <w:r>
        <w:rPr>
          <w:rFonts w:ascii="Arial"/>
          <w:color w:val="0C0C0C"/>
          <w:w w:val="105"/>
          <w:sz w:val="21"/>
        </w:rPr>
        <w:t>these</w:t>
      </w:r>
      <w:r>
        <w:rPr>
          <w:rFonts w:ascii="Arial"/>
          <w:color w:val="0C0C0C"/>
          <w:spacing w:val="-6"/>
          <w:w w:val="105"/>
          <w:sz w:val="21"/>
        </w:rPr>
        <w:t xml:space="preserve"> </w:t>
      </w:r>
      <w:r>
        <w:rPr>
          <w:rFonts w:ascii="Arial"/>
          <w:color w:val="0C0C0C"/>
          <w:w w:val="105"/>
          <w:sz w:val="21"/>
        </w:rPr>
        <w:t>differences,</w:t>
      </w:r>
      <w:r>
        <w:rPr>
          <w:rFonts w:ascii="Arial"/>
          <w:color w:val="0C0C0C"/>
          <w:spacing w:val="-1"/>
          <w:w w:val="105"/>
          <w:sz w:val="21"/>
        </w:rPr>
        <w:t xml:space="preserve"> </w:t>
      </w:r>
      <w:r>
        <w:rPr>
          <w:rFonts w:ascii="Arial"/>
          <w:color w:val="1D1D1D"/>
          <w:w w:val="105"/>
          <w:sz w:val="21"/>
        </w:rPr>
        <w:t>Australia submits</w:t>
      </w:r>
      <w:r>
        <w:rPr>
          <w:rFonts w:ascii="Arial"/>
          <w:color w:val="1D1D1D"/>
          <w:spacing w:val="-10"/>
          <w:w w:val="105"/>
          <w:sz w:val="21"/>
        </w:rPr>
        <w:t xml:space="preserve"> </w:t>
      </w:r>
      <w:r>
        <w:rPr>
          <w:rFonts w:ascii="Arial"/>
          <w:color w:val="1D1D1D"/>
          <w:w w:val="105"/>
          <w:sz w:val="21"/>
        </w:rPr>
        <w:t>that</w:t>
      </w:r>
      <w:r>
        <w:rPr>
          <w:rFonts w:ascii="Arial"/>
          <w:color w:val="1D1D1D"/>
          <w:spacing w:val="-15"/>
          <w:w w:val="105"/>
          <w:sz w:val="21"/>
        </w:rPr>
        <w:t xml:space="preserve"> </w:t>
      </w:r>
      <w:r>
        <w:rPr>
          <w:rFonts w:ascii="Arial"/>
          <w:color w:val="1D1D1D"/>
          <w:w w:val="105"/>
          <w:sz w:val="21"/>
        </w:rPr>
        <w:t xml:space="preserve">China is </w:t>
      </w:r>
      <w:r>
        <w:rPr>
          <w:rFonts w:ascii="Arial"/>
          <w:color w:val="0C0C0C"/>
          <w:w w:val="105"/>
          <w:sz w:val="21"/>
        </w:rPr>
        <w:t xml:space="preserve">in </w:t>
      </w:r>
      <w:r>
        <w:rPr>
          <w:rFonts w:ascii="Arial"/>
          <w:color w:val="1D1D1D"/>
          <w:w w:val="105"/>
          <w:sz w:val="21"/>
        </w:rPr>
        <w:t>breach</w:t>
      </w:r>
      <w:r>
        <w:rPr>
          <w:rFonts w:ascii="Arial"/>
          <w:color w:val="1D1D1D"/>
          <w:spacing w:val="-12"/>
          <w:w w:val="105"/>
          <w:sz w:val="21"/>
        </w:rPr>
        <w:t xml:space="preserve"> </w:t>
      </w:r>
      <w:r>
        <w:rPr>
          <w:rFonts w:ascii="Arial"/>
          <w:color w:val="1D1D1D"/>
          <w:w w:val="105"/>
          <w:sz w:val="21"/>
        </w:rPr>
        <w:t>of the third sentence of Article 2.4.</w:t>
      </w:r>
    </w:p>
    <w:p w14:paraId="51DE8C40" w14:textId="77777777" w:rsidR="0010369C" w:rsidRDefault="008E43AE">
      <w:pPr>
        <w:pStyle w:val="ListParagraph"/>
        <w:numPr>
          <w:ilvl w:val="3"/>
          <w:numId w:val="66"/>
        </w:numPr>
        <w:tabs>
          <w:tab w:val="left" w:pos="3656"/>
          <w:tab w:val="left" w:pos="3657"/>
        </w:tabs>
        <w:spacing w:before="128"/>
        <w:ind w:left="3656" w:hanging="859"/>
        <w:rPr>
          <w:rFonts w:ascii="Arial"/>
          <w:color w:val="1D1D1D"/>
          <w:sz w:val="24"/>
        </w:rPr>
      </w:pPr>
      <w:r>
        <w:rPr>
          <w:rFonts w:ascii="Arial"/>
          <w:color w:val="1D1D1D"/>
          <w:w w:val="105"/>
          <w:sz w:val="21"/>
          <w:u w:val="thick" w:color="000000"/>
        </w:rPr>
        <w:t>Other</w:t>
      </w:r>
      <w:r>
        <w:rPr>
          <w:rFonts w:ascii="Arial"/>
          <w:color w:val="1D1D1D"/>
          <w:spacing w:val="10"/>
          <w:w w:val="105"/>
          <w:sz w:val="21"/>
          <w:u w:val="thick" w:color="000000"/>
        </w:rPr>
        <w:t xml:space="preserve"> </w:t>
      </w:r>
      <w:r>
        <w:rPr>
          <w:rFonts w:ascii="Arial"/>
          <w:color w:val="1D1D1D"/>
          <w:spacing w:val="-2"/>
          <w:w w:val="105"/>
          <w:sz w:val="21"/>
          <w:u w:val="thick" w:color="000000"/>
        </w:rPr>
        <w:t>adjustments</w:t>
      </w:r>
    </w:p>
    <w:p w14:paraId="51DE8C41" w14:textId="77777777" w:rsidR="0010369C" w:rsidRDefault="0010369C">
      <w:pPr>
        <w:pStyle w:val="BodyText"/>
        <w:spacing w:before="10"/>
        <w:rPr>
          <w:rFonts w:ascii="Arial"/>
          <w:sz w:val="29"/>
        </w:rPr>
      </w:pPr>
    </w:p>
    <w:p w14:paraId="51DE8C42" w14:textId="77777777" w:rsidR="0010369C" w:rsidRDefault="008E43AE">
      <w:pPr>
        <w:spacing w:line="422" w:lineRule="auto"/>
        <w:ind w:left="237" w:right="577" w:hanging="2"/>
        <w:jc w:val="both"/>
        <w:rPr>
          <w:rFonts w:ascii="Arial"/>
          <w:sz w:val="21"/>
        </w:rPr>
      </w:pPr>
      <w:r>
        <w:rPr>
          <w:rFonts w:ascii="Arial"/>
          <w:color w:val="1D1D1D"/>
          <w:w w:val="105"/>
          <w:sz w:val="21"/>
        </w:rPr>
        <w:t>516.</w:t>
      </w:r>
      <w:r>
        <w:rPr>
          <w:rFonts w:ascii="Arial"/>
          <w:color w:val="1D1D1D"/>
          <w:spacing w:val="80"/>
          <w:w w:val="105"/>
          <w:sz w:val="21"/>
        </w:rPr>
        <w:t xml:space="preserve">  </w:t>
      </w:r>
      <w:r>
        <w:rPr>
          <w:rFonts w:ascii="Arial"/>
          <w:color w:val="0C0C0C"/>
          <w:w w:val="105"/>
          <w:sz w:val="21"/>
        </w:rPr>
        <w:t>MOFCOM</w:t>
      </w:r>
      <w:r>
        <w:rPr>
          <w:rFonts w:ascii="Arial"/>
          <w:color w:val="0C0C0C"/>
          <w:spacing w:val="-12"/>
          <w:w w:val="105"/>
          <w:sz w:val="21"/>
        </w:rPr>
        <w:t xml:space="preserve"> </w:t>
      </w:r>
      <w:r>
        <w:rPr>
          <w:rFonts w:ascii="Arial"/>
          <w:color w:val="1D1D1D"/>
          <w:w w:val="105"/>
          <w:sz w:val="21"/>
        </w:rPr>
        <w:t>rejected</w:t>
      </w:r>
      <w:r>
        <w:rPr>
          <w:rFonts w:ascii="Arial"/>
          <w:color w:val="1D1D1D"/>
          <w:spacing w:val="-16"/>
          <w:w w:val="105"/>
          <w:sz w:val="21"/>
        </w:rPr>
        <w:t xml:space="preserve"> </w:t>
      </w:r>
      <w:r>
        <w:rPr>
          <w:rFonts w:ascii="Arial"/>
          <w:color w:val="0C0C0C"/>
          <w:w w:val="105"/>
          <w:sz w:val="21"/>
        </w:rPr>
        <w:t>Treasury</w:t>
      </w:r>
      <w:r>
        <w:rPr>
          <w:rFonts w:ascii="Arial"/>
          <w:color w:val="0C0C0C"/>
          <w:spacing w:val="-6"/>
          <w:w w:val="105"/>
          <w:sz w:val="21"/>
        </w:rPr>
        <w:t xml:space="preserve"> </w:t>
      </w:r>
      <w:r>
        <w:rPr>
          <w:rFonts w:ascii="Arial"/>
          <w:color w:val="1D1D1D"/>
          <w:w w:val="105"/>
          <w:sz w:val="21"/>
        </w:rPr>
        <w:t>Wines'</w:t>
      </w:r>
      <w:r>
        <w:rPr>
          <w:rFonts w:ascii="Arial"/>
          <w:color w:val="1D1D1D"/>
          <w:spacing w:val="-16"/>
          <w:w w:val="105"/>
          <w:sz w:val="21"/>
        </w:rPr>
        <w:t xml:space="preserve"> </w:t>
      </w:r>
      <w:r>
        <w:rPr>
          <w:rFonts w:ascii="Arial"/>
          <w:color w:val="1D1D1D"/>
          <w:w w:val="105"/>
          <w:sz w:val="21"/>
        </w:rPr>
        <w:t>request</w:t>
      </w:r>
      <w:r>
        <w:rPr>
          <w:rFonts w:ascii="Arial"/>
          <w:color w:val="1D1D1D"/>
          <w:spacing w:val="-11"/>
          <w:w w:val="105"/>
          <w:sz w:val="21"/>
        </w:rPr>
        <w:t xml:space="preserve"> </w:t>
      </w:r>
      <w:r>
        <w:rPr>
          <w:rFonts w:ascii="Arial"/>
          <w:color w:val="1D1D1D"/>
          <w:w w:val="105"/>
          <w:sz w:val="21"/>
        </w:rPr>
        <w:t>for relevant adjustments</w:t>
      </w:r>
      <w:r>
        <w:rPr>
          <w:rFonts w:ascii="Arial"/>
          <w:color w:val="1D1D1D"/>
          <w:spacing w:val="-13"/>
          <w:w w:val="105"/>
          <w:sz w:val="21"/>
        </w:rPr>
        <w:t xml:space="preserve"> </w:t>
      </w:r>
      <w:r>
        <w:rPr>
          <w:rFonts w:ascii="Arial"/>
          <w:color w:val="1D1D1D"/>
          <w:w w:val="105"/>
          <w:sz w:val="21"/>
        </w:rPr>
        <w:t>to normal</w:t>
      </w:r>
      <w:r>
        <w:rPr>
          <w:rFonts w:ascii="Arial"/>
          <w:color w:val="1D1D1D"/>
          <w:spacing w:val="-16"/>
          <w:w w:val="105"/>
          <w:sz w:val="21"/>
        </w:rPr>
        <w:t xml:space="preserve"> </w:t>
      </w:r>
      <w:r>
        <w:rPr>
          <w:rFonts w:ascii="Arial"/>
          <w:color w:val="1D1D1D"/>
          <w:w w:val="105"/>
          <w:sz w:val="21"/>
        </w:rPr>
        <w:t xml:space="preserve">value regarding "other </w:t>
      </w:r>
      <w:r>
        <w:rPr>
          <w:rFonts w:ascii="Arial"/>
          <w:color w:val="0C0C0C"/>
          <w:w w:val="105"/>
          <w:sz w:val="21"/>
        </w:rPr>
        <w:t xml:space="preserve">discounts, </w:t>
      </w:r>
      <w:r>
        <w:rPr>
          <w:rFonts w:ascii="Arial"/>
          <w:color w:val="1D1D1D"/>
          <w:w w:val="105"/>
          <w:sz w:val="21"/>
        </w:rPr>
        <w:t xml:space="preserve">rebates and advertising fees" and export </w:t>
      </w:r>
      <w:r>
        <w:rPr>
          <w:rFonts w:ascii="Arial"/>
          <w:color w:val="0C0C0C"/>
          <w:w w:val="105"/>
          <w:sz w:val="21"/>
        </w:rPr>
        <w:t xml:space="preserve">price </w:t>
      </w:r>
      <w:r>
        <w:rPr>
          <w:rFonts w:ascii="Arial"/>
          <w:color w:val="1D1D1D"/>
          <w:w w:val="105"/>
          <w:sz w:val="21"/>
        </w:rPr>
        <w:t>regarding "other discounts and</w:t>
      </w:r>
      <w:r>
        <w:rPr>
          <w:rFonts w:ascii="Arial"/>
          <w:color w:val="1D1D1D"/>
          <w:spacing w:val="-6"/>
          <w:w w:val="105"/>
          <w:sz w:val="21"/>
        </w:rPr>
        <w:t xml:space="preserve"> </w:t>
      </w:r>
      <w:r>
        <w:rPr>
          <w:rFonts w:ascii="Arial"/>
          <w:color w:val="1D1D1D"/>
          <w:w w:val="105"/>
          <w:sz w:val="21"/>
        </w:rPr>
        <w:t>rebates</w:t>
      </w:r>
      <w:r>
        <w:rPr>
          <w:rFonts w:ascii="Arial"/>
          <w:color w:val="1D1D1D"/>
          <w:spacing w:val="-5"/>
          <w:w w:val="105"/>
          <w:sz w:val="21"/>
        </w:rPr>
        <w:t xml:space="preserve"> </w:t>
      </w:r>
      <w:r>
        <w:rPr>
          <w:rFonts w:ascii="Arial"/>
          <w:color w:val="1D1D1D"/>
          <w:w w:val="105"/>
          <w:sz w:val="21"/>
        </w:rPr>
        <w:t>and</w:t>
      </w:r>
      <w:r>
        <w:rPr>
          <w:rFonts w:ascii="Arial"/>
          <w:color w:val="1D1D1D"/>
          <w:spacing w:val="-11"/>
          <w:w w:val="105"/>
          <w:sz w:val="21"/>
        </w:rPr>
        <w:t xml:space="preserve"> </w:t>
      </w:r>
      <w:r>
        <w:rPr>
          <w:rFonts w:ascii="Arial"/>
          <w:color w:val="1D1D1D"/>
          <w:w w:val="105"/>
          <w:sz w:val="21"/>
        </w:rPr>
        <w:t>advertising</w:t>
      </w:r>
      <w:r>
        <w:rPr>
          <w:rFonts w:ascii="Arial"/>
          <w:color w:val="1D1D1D"/>
          <w:spacing w:val="-2"/>
          <w:w w:val="105"/>
          <w:sz w:val="21"/>
        </w:rPr>
        <w:t xml:space="preserve"> </w:t>
      </w:r>
      <w:r>
        <w:rPr>
          <w:rFonts w:ascii="Arial"/>
          <w:color w:val="1D1D1D"/>
          <w:w w:val="105"/>
          <w:sz w:val="21"/>
        </w:rPr>
        <w:t>fees".ss</w:t>
      </w:r>
      <w:r>
        <w:rPr>
          <w:rFonts w:ascii="Arial"/>
          <w:color w:val="1D1D1D"/>
          <w:w w:val="105"/>
          <w:position w:val="7"/>
          <w:sz w:val="15"/>
        </w:rPr>
        <w:t xml:space="preserve">3 </w:t>
      </w:r>
      <w:r>
        <w:rPr>
          <w:rFonts w:ascii="Arial"/>
          <w:color w:val="1D1D1D"/>
          <w:w w:val="105"/>
          <w:sz w:val="21"/>
        </w:rPr>
        <w:t>In</w:t>
      </w:r>
      <w:r>
        <w:rPr>
          <w:rFonts w:ascii="Arial"/>
          <w:color w:val="1D1D1D"/>
          <w:spacing w:val="40"/>
          <w:w w:val="105"/>
          <w:sz w:val="21"/>
        </w:rPr>
        <w:t xml:space="preserve"> </w:t>
      </w:r>
      <w:r>
        <w:rPr>
          <w:rFonts w:ascii="Arial"/>
          <w:color w:val="0C0C0C"/>
          <w:w w:val="105"/>
          <w:sz w:val="21"/>
        </w:rPr>
        <w:t>its</w:t>
      </w:r>
      <w:r>
        <w:rPr>
          <w:rFonts w:ascii="Arial"/>
          <w:color w:val="0C0C0C"/>
          <w:spacing w:val="40"/>
          <w:w w:val="105"/>
          <w:sz w:val="21"/>
        </w:rPr>
        <w:t xml:space="preserve"> </w:t>
      </w:r>
      <w:r>
        <w:rPr>
          <w:rFonts w:ascii="Arial"/>
          <w:color w:val="0C0C0C"/>
          <w:w w:val="105"/>
          <w:sz w:val="21"/>
        </w:rPr>
        <w:t>Final</w:t>
      </w:r>
      <w:r>
        <w:rPr>
          <w:rFonts w:ascii="Arial"/>
          <w:color w:val="0C0C0C"/>
          <w:spacing w:val="-3"/>
          <w:w w:val="105"/>
          <w:sz w:val="21"/>
        </w:rPr>
        <w:t xml:space="preserve"> </w:t>
      </w:r>
      <w:r>
        <w:rPr>
          <w:rFonts w:ascii="Arial"/>
          <w:color w:val="1D1D1D"/>
          <w:w w:val="105"/>
          <w:sz w:val="21"/>
        </w:rPr>
        <w:t>Determination,</w:t>
      </w:r>
      <w:r>
        <w:rPr>
          <w:rFonts w:ascii="Arial"/>
          <w:color w:val="1D1D1D"/>
          <w:spacing w:val="-32"/>
          <w:w w:val="105"/>
          <w:sz w:val="21"/>
        </w:rPr>
        <w:t xml:space="preserve"> </w:t>
      </w:r>
      <w:r>
        <w:rPr>
          <w:rFonts w:ascii="Arial"/>
          <w:color w:val="0C0C0C"/>
          <w:w w:val="105"/>
          <w:sz w:val="21"/>
        </w:rPr>
        <w:t xml:space="preserve">MOFCOM </w:t>
      </w:r>
      <w:r>
        <w:rPr>
          <w:rFonts w:ascii="Arial"/>
          <w:color w:val="1D1D1D"/>
          <w:w w:val="105"/>
          <w:sz w:val="21"/>
        </w:rPr>
        <w:t>stated:</w:t>
      </w:r>
    </w:p>
    <w:p w14:paraId="51DE8C43" w14:textId="77777777" w:rsidR="0010369C" w:rsidRDefault="008E43AE">
      <w:pPr>
        <w:spacing w:before="194" w:line="324" w:lineRule="auto"/>
        <w:ind w:left="1092" w:right="581"/>
        <w:jc w:val="both"/>
        <w:rPr>
          <w:rFonts w:ascii="Arial"/>
          <w:sz w:val="20"/>
        </w:rPr>
      </w:pPr>
      <w:r>
        <w:rPr>
          <w:rFonts w:ascii="Arial"/>
          <w:color w:val="0C0C0C"/>
          <w:w w:val="105"/>
          <w:sz w:val="20"/>
        </w:rPr>
        <w:t xml:space="preserve">The </w:t>
      </w:r>
      <w:r>
        <w:rPr>
          <w:rFonts w:ascii="Arial"/>
          <w:color w:val="1D1D1D"/>
          <w:w w:val="105"/>
          <w:sz w:val="20"/>
        </w:rPr>
        <w:t>Company also claimed other discounts and rebates and advertising fees. In the Preliminary</w:t>
      </w:r>
      <w:r>
        <w:rPr>
          <w:rFonts w:ascii="Arial"/>
          <w:color w:val="1D1D1D"/>
          <w:spacing w:val="36"/>
          <w:w w:val="105"/>
          <w:sz w:val="20"/>
        </w:rPr>
        <w:t xml:space="preserve"> </w:t>
      </w:r>
      <w:r>
        <w:rPr>
          <w:rFonts w:ascii="Arial"/>
          <w:color w:val="1D1D1D"/>
          <w:w w:val="105"/>
          <w:sz w:val="20"/>
        </w:rPr>
        <w:t>Ruling,</w:t>
      </w:r>
      <w:r>
        <w:rPr>
          <w:rFonts w:ascii="Arial"/>
          <w:color w:val="1D1D1D"/>
          <w:spacing w:val="26"/>
          <w:w w:val="105"/>
          <w:sz w:val="20"/>
        </w:rPr>
        <w:t xml:space="preserve"> </w:t>
      </w:r>
      <w:r>
        <w:rPr>
          <w:rFonts w:ascii="Arial"/>
          <w:color w:val="1D1D1D"/>
          <w:w w:val="105"/>
          <w:sz w:val="20"/>
        </w:rPr>
        <w:t>the</w:t>
      </w:r>
      <w:r>
        <w:rPr>
          <w:rFonts w:ascii="Arial"/>
          <w:color w:val="1D1D1D"/>
          <w:spacing w:val="40"/>
          <w:w w:val="105"/>
          <w:sz w:val="20"/>
        </w:rPr>
        <w:t xml:space="preserve"> </w:t>
      </w:r>
      <w:r>
        <w:rPr>
          <w:rFonts w:ascii="Arial"/>
          <w:color w:val="0C0C0C"/>
          <w:w w:val="105"/>
          <w:sz w:val="20"/>
        </w:rPr>
        <w:t>Investigating</w:t>
      </w:r>
      <w:r>
        <w:rPr>
          <w:rFonts w:ascii="Arial"/>
          <w:color w:val="0C0C0C"/>
          <w:spacing w:val="30"/>
          <w:w w:val="105"/>
          <w:sz w:val="20"/>
        </w:rPr>
        <w:t xml:space="preserve"> </w:t>
      </w:r>
      <w:r>
        <w:rPr>
          <w:rFonts w:ascii="Arial"/>
          <w:color w:val="1D1D1D"/>
          <w:w w:val="105"/>
          <w:sz w:val="20"/>
        </w:rPr>
        <w:t>Authority</w:t>
      </w:r>
      <w:r>
        <w:rPr>
          <w:rFonts w:ascii="Arial"/>
          <w:color w:val="1D1D1D"/>
          <w:spacing w:val="38"/>
          <w:w w:val="105"/>
          <w:sz w:val="20"/>
        </w:rPr>
        <w:t xml:space="preserve"> </w:t>
      </w:r>
      <w:r>
        <w:rPr>
          <w:rFonts w:ascii="Arial"/>
          <w:color w:val="0C0C0C"/>
          <w:w w:val="105"/>
          <w:sz w:val="20"/>
        </w:rPr>
        <w:t>held</w:t>
      </w:r>
      <w:r>
        <w:rPr>
          <w:rFonts w:ascii="Arial"/>
          <w:color w:val="0C0C0C"/>
          <w:spacing w:val="21"/>
          <w:w w:val="105"/>
          <w:sz w:val="20"/>
        </w:rPr>
        <w:t xml:space="preserve"> </w:t>
      </w:r>
      <w:r>
        <w:rPr>
          <w:rFonts w:ascii="Arial"/>
          <w:color w:val="1D1D1D"/>
          <w:w w:val="105"/>
          <w:sz w:val="20"/>
        </w:rPr>
        <w:t>that</w:t>
      </w:r>
      <w:r>
        <w:rPr>
          <w:rFonts w:ascii="Arial"/>
          <w:color w:val="1D1D1D"/>
          <w:spacing w:val="26"/>
          <w:w w:val="105"/>
          <w:sz w:val="20"/>
        </w:rPr>
        <w:t xml:space="preserve"> </w:t>
      </w:r>
      <w:r>
        <w:rPr>
          <w:rFonts w:ascii="Arial"/>
          <w:color w:val="1D1D1D"/>
          <w:w w:val="105"/>
          <w:sz w:val="20"/>
        </w:rPr>
        <w:t>the</w:t>
      </w:r>
      <w:r>
        <w:rPr>
          <w:rFonts w:ascii="Arial"/>
          <w:color w:val="1D1D1D"/>
          <w:spacing w:val="22"/>
          <w:w w:val="105"/>
          <w:sz w:val="20"/>
        </w:rPr>
        <w:t xml:space="preserve"> </w:t>
      </w:r>
      <w:r>
        <w:rPr>
          <w:rFonts w:ascii="Arial"/>
          <w:color w:val="1D1D1D"/>
          <w:w w:val="105"/>
          <w:sz w:val="20"/>
        </w:rPr>
        <w:t>Company</w:t>
      </w:r>
      <w:r>
        <w:rPr>
          <w:rFonts w:ascii="Arial"/>
          <w:color w:val="1D1D1D"/>
          <w:spacing w:val="40"/>
          <w:w w:val="105"/>
          <w:sz w:val="20"/>
        </w:rPr>
        <w:t xml:space="preserve"> </w:t>
      </w:r>
      <w:r>
        <w:rPr>
          <w:rFonts w:ascii="Arial"/>
          <w:color w:val="0C0C0C"/>
          <w:w w:val="105"/>
          <w:sz w:val="20"/>
        </w:rPr>
        <w:t>did</w:t>
      </w:r>
      <w:r>
        <w:rPr>
          <w:rFonts w:ascii="Arial"/>
          <w:color w:val="0C0C0C"/>
          <w:spacing w:val="31"/>
          <w:w w:val="105"/>
          <w:sz w:val="20"/>
        </w:rPr>
        <w:t xml:space="preserve"> </w:t>
      </w:r>
      <w:r>
        <w:rPr>
          <w:rFonts w:ascii="Arial"/>
          <w:color w:val="1D1D1D"/>
          <w:w w:val="105"/>
          <w:sz w:val="20"/>
        </w:rPr>
        <w:t>not</w:t>
      </w:r>
      <w:r>
        <w:rPr>
          <w:rFonts w:ascii="Arial"/>
          <w:color w:val="1D1D1D"/>
          <w:spacing w:val="35"/>
          <w:w w:val="105"/>
          <w:sz w:val="20"/>
        </w:rPr>
        <w:t xml:space="preserve"> </w:t>
      </w:r>
      <w:r>
        <w:rPr>
          <w:rFonts w:ascii="Arial"/>
          <w:color w:val="1D1D1D"/>
          <w:w w:val="105"/>
          <w:sz w:val="20"/>
        </w:rPr>
        <w:t>provide</w:t>
      </w:r>
    </w:p>
    <w:p w14:paraId="51DE8C44" w14:textId="77777777" w:rsidR="0010369C" w:rsidRDefault="0010369C">
      <w:pPr>
        <w:pStyle w:val="BodyText"/>
        <w:rPr>
          <w:rFonts w:ascii="Arial"/>
          <w:sz w:val="20"/>
        </w:rPr>
      </w:pPr>
    </w:p>
    <w:p w14:paraId="51DE8C45" w14:textId="77777777" w:rsidR="0010369C" w:rsidRDefault="008E43AE">
      <w:pPr>
        <w:pStyle w:val="BodyText"/>
        <w:rPr>
          <w:rFonts w:ascii="Arial"/>
          <w:sz w:val="10"/>
        </w:rPr>
      </w:pPr>
      <w:r>
        <w:pict w14:anchorId="51DEA3E7">
          <v:shape id="docshape976" o:spid="_x0000_s1388" style="position:absolute;margin-left:70.25pt;margin-top:6.95pt;width:145.5pt;height:.1pt;z-index:-250863104;mso-wrap-distance-left:0;mso-wrap-distance-right:0;mso-position-horizontal-relative:page" coordorigin="1405,139" coordsize="2910,0" path="m1405,139r2909,e" filled="f" strokeweight=".53042mm">
            <v:path arrowok="t"/>
            <w10:wrap type="topAndBottom" anchorx="page"/>
          </v:shape>
        </w:pict>
      </w:r>
    </w:p>
    <w:p w14:paraId="51DE8C46" w14:textId="77777777" w:rsidR="0010369C" w:rsidRDefault="0010369C">
      <w:pPr>
        <w:pStyle w:val="BodyText"/>
        <w:spacing w:before="1"/>
        <w:rPr>
          <w:rFonts w:ascii="Arial"/>
          <w:sz w:val="6"/>
        </w:rPr>
      </w:pPr>
    </w:p>
    <w:p w14:paraId="51DE8C47" w14:textId="77777777" w:rsidR="0010369C" w:rsidRDefault="0010369C">
      <w:pPr>
        <w:rPr>
          <w:rFonts w:ascii="Arial"/>
          <w:sz w:val="6"/>
        </w:rPr>
        <w:sectPr w:rsidR="0010369C">
          <w:type w:val="continuous"/>
          <w:pgSz w:w="11910" w:h="16840"/>
          <w:pgMar w:top="1460" w:right="800" w:bottom="280" w:left="1180" w:header="0" w:footer="826" w:gutter="0"/>
          <w:cols w:space="720"/>
        </w:sectPr>
      </w:pPr>
    </w:p>
    <w:p w14:paraId="51DE8C48" w14:textId="77777777" w:rsidR="0010369C" w:rsidRDefault="008E43AE">
      <w:pPr>
        <w:spacing w:before="33" w:line="175" w:lineRule="exact"/>
        <w:ind w:left="238"/>
        <w:rPr>
          <w:rFonts w:ascii="Arial"/>
          <w:sz w:val="15"/>
        </w:rPr>
      </w:pPr>
      <w:r>
        <w:rPr>
          <w:rFonts w:ascii="Times New Roman"/>
          <w:color w:val="3A3A3A"/>
          <w:w w:val="105"/>
          <w:position w:val="6"/>
          <w:sz w:val="12"/>
        </w:rPr>
        <w:t>551</w:t>
      </w:r>
      <w:r>
        <w:rPr>
          <w:rFonts w:ascii="Times New Roman"/>
          <w:color w:val="3A3A3A"/>
          <w:spacing w:val="17"/>
          <w:w w:val="105"/>
          <w:position w:val="6"/>
          <w:sz w:val="12"/>
        </w:rPr>
        <w:t xml:space="preserve"> </w:t>
      </w:r>
      <w:r>
        <w:rPr>
          <w:rFonts w:ascii="Arial"/>
          <w:color w:val="1D1D1D"/>
          <w:w w:val="105"/>
          <w:sz w:val="15"/>
        </w:rPr>
        <w:t>Australia</w:t>
      </w:r>
      <w:r>
        <w:rPr>
          <w:rFonts w:ascii="Arial"/>
          <w:color w:val="1D1D1D"/>
          <w:spacing w:val="6"/>
          <w:w w:val="105"/>
          <w:sz w:val="15"/>
        </w:rPr>
        <w:t xml:space="preserve"> </w:t>
      </w:r>
      <w:r>
        <w:rPr>
          <w:rFonts w:ascii="Arial"/>
          <w:color w:val="1D1D1D"/>
          <w:w w:val="105"/>
          <w:sz w:val="15"/>
        </w:rPr>
        <w:t>addresses</w:t>
      </w:r>
      <w:r>
        <w:rPr>
          <w:rFonts w:ascii="Arial"/>
          <w:color w:val="1D1D1D"/>
          <w:spacing w:val="-1"/>
          <w:w w:val="105"/>
          <w:sz w:val="15"/>
        </w:rPr>
        <w:t xml:space="preserve"> </w:t>
      </w:r>
      <w:r>
        <w:rPr>
          <w:rFonts w:ascii="Arial"/>
          <w:color w:val="1D1D1D"/>
          <w:w w:val="105"/>
          <w:sz w:val="15"/>
        </w:rPr>
        <w:t>this</w:t>
      </w:r>
      <w:r>
        <w:rPr>
          <w:rFonts w:ascii="Arial"/>
          <w:color w:val="1D1D1D"/>
          <w:spacing w:val="-9"/>
          <w:w w:val="105"/>
          <w:sz w:val="15"/>
        </w:rPr>
        <w:t xml:space="preserve"> </w:t>
      </w:r>
      <w:r>
        <w:rPr>
          <w:rFonts w:ascii="Arial"/>
          <w:color w:val="1D1D1D"/>
          <w:w w:val="105"/>
          <w:sz w:val="15"/>
        </w:rPr>
        <w:t>in</w:t>
      </w:r>
      <w:r>
        <w:rPr>
          <w:rFonts w:ascii="Arial"/>
          <w:color w:val="1D1D1D"/>
          <w:spacing w:val="5"/>
          <w:w w:val="105"/>
          <w:sz w:val="15"/>
        </w:rPr>
        <w:t xml:space="preserve"> </w:t>
      </w:r>
      <w:r>
        <w:rPr>
          <w:rFonts w:ascii="Arial"/>
          <w:color w:val="1D1D1D"/>
          <w:w w:val="105"/>
          <w:sz w:val="15"/>
        </w:rPr>
        <w:t>detail</w:t>
      </w:r>
      <w:r>
        <w:rPr>
          <w:rFonts w:ascii="Arial"/>
          <w:color w:val="1D1D1D"/>
          <w:spacing w:val="-6"/>
          <w:w w:val="105"/>
          <w:sz w:val="15"/>
        </w:rPr>
        <w:t xml:space="preserve"> </w:t>
      </w:r>
      <w:r>
        <w:rPr>
          <w:rFonts w:ascii="Arial"/>
          <w:color w:val="1D1D1D"/>
          <w:w w:val="105"/>
          <w:sz w:val="15"/>
        </w:rPr>
        <w:t>at</w:t>
      </w:r>
      <w:r>
        <w:rPr>
          <w:rFonts w:ascii="Arial"/>
          <w:color w:val="1D1D1D"/>
          <w:spacing w:val="-3"/>
          <w:w w:val="105"/>
          <w:sz w:val="15"/>
        </w:rPr>
        <w:t xml:space="preserve"> </w:t>
      </w:r>
      <w:r>
        <w:rPr>
          <w:rFonts w:ascii="Arial"/>
          <w:color w:val="1D1D1D"/>
          <w:w w:val="105"/>
          <w:sz w:val="15"/>
        </w:rPr>
        <w:t>section</w:t>
      </w:r>
      <w:r>
        <w:rPr>
          <w:rFonts w:ascii="Arial"/>
          <w:color w:val="1D1D1D"/>
          <w:spacing w:val="-4"/>
          <w:w w:val="105"/>
          <w:sz w:val="15"/>
        </w:rPr>
        <w:t xml:space="preserve"> </w:t>
      </w:r>
      <w:r>
        <w:rPr>
          <w:rFonts w:ascii="Arial"/>
          <w:color w:val="1D1D1D"/>
          <w:w w:val="105"/>
          <w:sz w:val="15"/>
        </w:rPr>
        <w:t>11.E.3</w:t>
      </w:r>
      <w:r>
        <w:rPr>
          <w:rFonts w:ascii="Arial"/>
          <w:color w:val="1D1D1D"/>
          <w:spacing w:val="-7"/>
          <w:w w:val="105"/>
          <w:sz w:val="15"/>
        </w:rPr>
        <w:t xml:space="preserve"> </w:t>
      </w:r>
      <w:r>
        <w:rPr>
          <w:rFonts w:ascii="Arial"/>
          <w:color w:val="1D1D1D"/>
          <w:spacing w:val="-2"/>
          <w:w w:val="105"/>
          <w:sz w:val="15"/>
        </w:rPr>
        <w:t>above.</w:t>
      </w:r>
    </w:p>
    <w:p w14:paraId="51DE8C49" w14:textId="77777777" w:rsidR="0010369C" w:rsidRDefault="008E43AE">
      <w:pPr>
        <w:spacing w:line="225" w:lineRule="exact"/>
        <w:ind w:left="238"/>
        <w:rPr>
          <w:rFonts w:ascii="Times New Roman"/>
        </w:rPr>
      </w:pPr>
      <w:r>
        <w:rPr>
          <w:noProof/>
        </w:rPr>
        <w:drawing>
          <wp:anchor distT="0" distB="0" distL="0" distR="0" simplePos="0" relativeHeight="251152896" behindDoc="1" locked="0" layoutInCell="1" allowOverlap="1" wp14:anchorId="51DEA3E8" wp14:editId="51DEA3E9">
            <wp:simplePos x="0" y="0"/>
            <wp:positionH relativeFrom="page">
              <wp:posOffset>1108614</wp:posOffset>
            </wp:positionH>
            <wp:positionV relativeFrom="paragraph">
              <wp:posOffset>42388</wp:posOffset>
            </wp:positionV>
            <wp:extent cx="3516982" cy="152762"/>
            <wp:effectExtent l="0" t="0" r="0" b="0"/>
            <wp:wrapNone/>
            <wp:docPr id="1027" name="image5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image525.png"/>
                    <pic:cNvPicPr/>
                  </pic:nvPicPr>
                  <pic:blipFill>
                    <a:blip r:embed="rId691" cstate="print"/>
                    <a:stretch>
                      <a:fillRect/>
                    </a:stretch>
                  </pic:blipFill>
                  <pic:spPr>
                    <a:xfrm>
                      <a:off x="0" y="0"/>
                      <a:ext cx="3516982" cy="152762"/>
                    </a:xfrm>
                    <a:prstGeom prst="rect">
                      <a:avLst/>
                    </a:prstGeom>
                  </pic:spPr>
                </pic:pic>
              </a:graphicData>
            </a:graphic>
          </wp:anchor>
        </w:drawing>
      </w:r>
      <w:r>
        <w:rPr>
          <w:rFonts w:ascii="Times New Roman"/>
          <w:color w:val="3A3A3A"/>
          <w:spacing w:val="7"/>
          <w:w w:val="119"/>
          <w:sz w:val="12"/>
        </w:rPr>
        <w:t>55</w:t>
      </w:r>
      <w:r>
        <w:rPr>
          <w:rFonts w:ascii="Times New Roman"/>
          <w:color w:val="3A3A3A"/>
          <w:spacing w:val="-39"/>
          <w:w w:val="119"/>
          <w:sz w:val="12"/>
        </w:rPr>
        <w:t>2</w:t>
      </w:r>
      <w:r>
        <w:rPr>
          <w:rFonts w:ascii="Times New Roman"/>
          <w:color w:val="1D1D1D"/>
          <w:spacing w:val="7"/>
          <w:w w:val="43"/>
        </w:rPr>
        <w:t>I</w:t>
      </w:r>
    </w:p>
    <w:p w14:paraId="51DE8C4A" w14:textId="77777777" w:rsidR="0010369C" w:rsidRDefault="008E43AE">
      <w:pPr>
        <w:spacing w:before="41"/>
        <w:ind w:left="238"/>
        <w:rPr>
          <w:rFonts w:ascii="Arial"/>
          <w:sz w:val="15"/>
        </w:rPr>
      </w:pPr>
      <w:r>
        <w:rPr>
          <w:rFonts w:ascii="Times New Roman"/>
          <w:color w:val="3A3A3A"/>
          <w:w w:val="75"/>
          <w:position w:val="5"/>
          <w:sz w:val="12"/>
        </w:rPr>
        <w:t>553</w:t>
      </w:r>
      <w:r>
        <w:rPr>
          <w:rFonts w:ascii="Times New Roman"/>
          <w:color w:val="3A3A3A"/>
          <w:spacing w:val="72"/>
          <w:w w:val="105"/>
          <w:position w:val="5"/>
          <w:sz w:val="12"/>
        </w:rPr>
        <w:t xml:space="preserve">  </w:t>
      </w:r>
      <w:r>
        <w:rPr>
          <w:rFonts w:ascii="Arial"/>
          <w:color w:val="1D1D1D"/>
          <w:w w:val="105"/>
          <w:sz w:val="15"/>
        </w:rPr>
        <w:t>Anti-Dumping</w:t>
      </w:r>
      <w:r>
        <w:rPr>
          <w:rFonts w:ascii="Arial"/>
          <w:color w:val="1D1D1D"/>
          <w:spacing w:val="-4"/>
          <w:w w:val="105"/>
          <w:sz w:val="15"/>
        </w:rPr>
        <w:t xml:space="preserve"> </w:t>
      </w:r>
      <w:r>
        <w:rPr>
          <w:rFonts w:ascii="Arial"/>
          <w:color w:val="1D1D1D"/>
          <w:w w:val="105"/>
          <w:sz w:val="15"/>
        </w:rPr>
        <w:t>Final</w:t>
      </w:r>
      <w:r>
        <w:rPr>
          <w:rFonts w:ascii="Arial"/>
          <w:color w:val="1D1D1D"/>
          <w:spacing w:val="-6"/>
          <w:w w:val="105"/>
          <w:sz w:val="15"/>
        </w:rPr>
        <w:t xml:space="preserve"> </w:t>
      </w:r>
      <w:r>
        <w:rPr>
          <w:rFonts w:ascii="Arial"/>
          <w:color w:val="1D1D1D"/>
          <w:w w:val="105"/>
          <w:sz w:val="15"/>
        </w:rPr>
        <w:t>Determination</w:t>
      </w:r>
      <w:r>
        <w:rPr>
          <w:rFonts w:ascii="Arial"/>
          <w:color w:val="1D1D1D"/>
          <w:spacing w:val="4"/>
          <w:w w:val="105"/>
          <w:sz w:val="15"/>
        </w:rPr>
        <w:t xml:space="preserve"> </w:t>
      </w:r>
      <w:r>
        <w:rPr>
          <w:rFonts w:ascii="Arial"/>
          <w:color w:val="1D1D1D"/>
          <w:w w:val="105"/>
          <w:sz w:val="15"/>
        </w:rPr>
        <w:t>(Exhibit</w:t>
      </w:r>
      <w:r>
        <w:rPr>
          <w:rFonts w:ascii="Arial"/>
          <w:color w:val="1D1D1D"/>
          <w:spacing w:val="6"/>
          <w:w w:val="105"/>
          <w:sz w:val="15"/>
        </w:rPr>
        <w:t xml:space="preserve"> </w:t>
      </w:r>
      <w:r>
        <w:rPr>
          <w:rFonts w:ascii="Arial"/>
          <w:color w:val="1D1D1D"/>
          <w:w w:val="105"/>
          <w:sz w:val="15"/>
        </w:rPr>
        <w:t>AUS-2),</w:t>
      </w:r>
      <w:r>
        <w:rPr>
          <w:rFonts w:ascii="Arial"/>
          <w:color w:val="1D1D1D"/>
          <w:spacing w:val="1"/>
          <w:w w:val="105"/>
          <w:sz w:val="15"/>
        </w:rPr>
        <w:t xml:space="preserve"> </w:t>
      </w:r>
      <w:r>
        <w:rPr>
          <w:rFonts w:ascii="Arial"/>
          <w:color w:val="0C0C0C"/>
          <w:w w:val="105"/>
          <w:sz w:val="15"/>
        </w:rPr>
        <w:t>pp.</w:t>
      </w:r>
      <w:r>
        <w:rPr>
          <w:rFonts w:ascii="Arial"/>
          <w:color w:val="0C0C0C"/>
          <w:spacing w:val="26"/>
          <w:w w:val="105"/>
          <w:sz w:val="15"/>
        </w:rPr>
        <w:t xml:space="preserve"> </w:t>
      </w:r>
      <w:r>
        <w:rPr>
          <w:rFonts w:ascii="Arial"/>
          <w:color w:val="1D1D1D"/>
          <w:w w:val="105"/>
          <w:sz w:val="15"/>
        </w:rPr>
        <w:t>71-</w:t>
      </w:r>
      <w:r>
        <w:rPr>
          <w:rFonts w:ascii="Arial"/>
          <w:color w:val="1D1D1D"/>
          <w:spacing w:val="-5"/>
          <w:w w:val="105"/>
          <w:sz w:val="15"/>
        </w:rPr>
        <w:t>72.</w:t>
      </w:r>
    </w:p>
    <w:p w14:paraId="51DE8C4B" w14:textId="77777777" w:rsidR="0010369C" w:rsidRDefault="008E43AE">
      <w:pPr>
        <w:rPr>
          <w:rFonts w:ascii="Arial"/>
          <w:sz w:val="16"/>
        </w:rPr>
      </w:pPr>
      <w:r>
        <w:br w:type="column"/>
      </w:r>
    </w:p>
    <w:p w14:paraId="51DE8C4C" w14:textId="77777777" w:rsidR="0010369C" w:rsidRDefault="008E43AE">
      <w:pPr>
        <w:spacing w:before="101"/>
        <w:ind w:left="11"/>
        <w:rPr>
          <w:rFonts w:ascii="Arial"/>
          <w:sz w:val="15"/>
        </w:rPr>
      </w:pPr>
      <w:r>
        <w:rPr>
          <w:rFonts w:ascii="Arial"/>
          <w:color w:val="696969"/>
          <w:w w:val="105"/>
          <w:sz w:val="15"/>
        </w:rPr>
        <w:t>(Exhibit</w:t>
      </w:r>
      <w:r>
        <w:rPr>
          <w:rFonts w:ascii="Arial"/>
          <w:color w:val="696969"/>
          <w:spacing w:val="8"/>
          <w:w w:val="105"/>
          <w:sz w:val="15"/>
        </w:rPr>
        <w:t xml:space="preserve"> </w:t>
      </w:r>
      <w:r>
        <w:rPr>
          <w:rFonts w:ascii="Arial"/>
          <w:color w:val="696969"/>
          <w:w w:val="105"/>
          <w:sz w:val="15"/>
        </w:rPr>
        <w:t>AUS-4</w:t>
      </w:r>
      <w:r>
        <w:rPr>
          <w:rFonts w:ascii="Arial"/>
          <w:color w:val="696969"/>
          <w:spacing w:val="-14"/>
          <w:w w:val="105"/>
          <w:sz w:val="15"/>
        </w:rPr>
        <w:t xml:space="preserve"> </w:t>
      </w:r>
      <w:r>
        <w:rPr>
          <w:rFonts w:ascii="Arial"/>
          <w:color w:val="696969"/>
          <w:spacing w:val="-2"/>
          <w:w w:val="105"/>
          <w:sz w:val="15"/>
        </w:rPr>
        <w:t>(BCI)).</w:t>
      </w:r>
      <w:r>
        <w:rPr>
          <w:rFonts w:ascii="Arial"/>
          <w:color w:val="1D1D1D"/>
          <w:spacing w:val="-2"/>
          <w:w w:val="105"/>
          <w:sz w:val="15"/>
        </w:rPr>
        <w:t>]</w:t>
      </w:r>
      <w:r>
        <w:rPr>
          <w:rFonts w:ascii="Arial"/>
          <w:color w:val="3A3A3A"/>
          <w:spacing w:val="-2"/>
          <w:w w:val="105"/>
          <w:sz w:val="15"/>
        </w:rPr>
        <w:t>)</w:t>
      </w:r>
    </w:p>
    <w:p w14:paraId="51DE8C4D" w14:textId="77777777" w:rsidR="0010369C" w:rsidRDefault="0010369C">
      <w:pPr>
        <w:rPr>
          <w:rFonts w:ascii="Arial"/>
          <w:sz w:val="15"/>
        </w:rPr>
        <w:sectPr w:rsidR="0010369C">
          <w:type w:val="continuous"/>
          <w:pgSz w:w="11910" w:h="16840"/>
          <w:pgMar w:top="1460" w:right="800" w:bottom="280" w:left="1180" w:header="0" w:footer="826" w:gutter="0"/>
          <w:cols w:num="2" w:space="720" w:equalWidth="0">
            <w:col w:w="6105" w:space="40"/>
            <w:col w:w="3785"/>
          </w:cols>
        </w:sectPr>
      </w:pPr>
    </w:p>
    <w:p w14:paraId="51DE8C4E" w14:textId="77777777" w:rsidR="0010369C" w:rsidRDefault="008E43AE">
      <w:pPr>
        <w:tabs>
          <w:tab w:val="left" w:pos="6425"/>
        </w:tabs>
        <w:ind w:left="238"/>
        <w:jc w:val="both"/>
        <w:rPr>
          <w:sz w:val="20"/>
        </w:rPr>
      </w:pPr>
      <w:r>
        <w:rPr>
          <w:i/>
          <w:sz w:val="20"/>
        </w:rPr>
        <w:lastRenderedPageBreak/>
        <w:t>China</w:t>
      </w:r>
      <w:r>
        <w:rPr>
          <w:i/>
          <w:spacing w:val="-5"/>
          <w:sz w:val="20"/>
        </w:rPr>
        <w:t xml:space="preserve"> </w:t>
      </w:r>
      <w:r>
        <w:rPr>
          <w:i/>
          <w:sz w:val="20"/>
        </w:rPr>
        <w:t>–</w:t>
      </w:r>
      <w:r>
        <w:rPr>
          <w:i/>
          <w:spacing w:val="-5"/>
          <w:sz w:val="20"/>
        </w:rPr>
        <w:t xml:space="preserve"> </w:t>
      </w:r>
      <w:r>
        <w:rPr>
          <w:i/>
          <w:sz w:val="20"/>
        </w:rPr>
        <w:t>Anti‐Dumping</w:t>
      </w:r>
      <w:r>
        <w:rPr>
          <w:i/>
          <w:spacing w:val="-4"/>
          <w:sz w:val="20"/>
        </w:rPr>
        <w:t xml:space="preserve"> </w:t>
      </w:r>
      <w:r>
        <w:rPr>
          <w:i/>
          <w:sz w:val="20"/>
        </w:rPr>
        <w:t>and</w:t>
      </w:r>
      <w:r>
        <w:rPr>
          <w:i/>
          <w:spacing w:val="-5"/>
          <w:sz w:val="20"/>
        </w:rPr>
        <w:t xml:space="preserve"> </w:t>
      </w:r>
      <w:r>
        <w:rPr>
          <w:i/>
          <w:sz w:val="20"/>
        </w:rPr>
        <w:t>Countervailing</w:t>
      </w:r>
      <w:r>
        <w:rPr>
          <w:i/>
          <w:spacing w:val="-5"/>
          <w:sz w:val="20"/>
        </w:rPr>
        <w:t xml:space="preserve"> </w:t>
      </w:r>
      <w:r>
        <w:rPr>
          <w:i/>
          <w:sz w:val="20"/>
        </w:rPr>
        <w:t>Duty</w:t>
      </w:r>
      <w:r>
        <w:rPr>
          <w:i/>
          <w:spacing w:val="-4"/>
          <w:sz w:val="20"/>
        </w:rPr>
        <w:t xml:space="preserve"> </w:t>
      </w:r>
      <w:r>
        <w:rPr>
          <w:i/>
          <w:spacing w:val="-2"/>
          <w:sz w:val="20"/>
        </w:rPr>
        <w:t>Measures</w:t>
      </w:r>
      <w:r>
        <w:rPr>
          <w:i/>
          <w:sz w:val="20"/>
        </w:rPr>
        <w:tab/>
      </w:r>
      <w:r>
        <w:rPr>
          <w:sz w:val="20"/>
        </w:rPr>
        <w:t>Australia's</w:t>
      </w:r>
      <w:r>
        <w:rPr>
          <w:spacing w:val="-7"/>
          <w:sz w:val="20"/>
        </w:rPr>
        <w:t xml:space="preserve"> </w:t>
      </w:r>
      <w:r>
        <w:rPr>
          <w:sz w:val="20"/>
        </w:rPr>
        <w:t>First</w:t>
      </w:r>
      <w:r>
        <w:rPr>
          <w:spacing w:val="-2"/>
          <w:sz w:val="20"/>
        </w:rPr>
        <w:t xml:space="preserve"> </w:t>
      </w:r>
      <w:r>
        <w:rPr>
          <w:sz w:val="20"/>
        </w:rPr>
        <w:t>Written</w:t>
      </w:r>
      <w:r>
        <w:rPr>
          <w:spacing w:val="-2"/>
          <w:sz w:val="20"/>
        </w:rPr>
        <w:t xml:space="preserve"> Submission</w:t>
      </w:r>
    </w:p>
    <w:p w14:paraId="51DE8C4F" w14:textId="77777777" w:rsidR="0010369C" w:rsidRDefault="008E43AE">
      <w:pPr>
        <w:tabs>
          <w:tab w:val="left" w:pos="8227"/>
        </w:tabs>
        <w:spacing w:before="1"/>
        <w:ind w:left="239"/>
        <w:jc w:val="both"/>
        <w:rPr>
          <w:sz w:val="20"/>
        </w:rPr>
      </w:pPr>
      <w:r>
        <w:rPr>
          <w:i/>
          <w:sz w:val="20"/>
        </w:rPr>
        <w:t>on</w:t>
      </w:r>
      <w:r>
        <w:rPr>
          <w:i/>
          <w:spacing w:val="-1"/>
          <w:sz w:val="20"/>
        </w:rPr>
        <w:t xml:space="preserve"> </w:t>
      </w:r>
      <w:r>
        <w:rPr>
          <w:i/>
          <w:sz w:val="20"/>
        </w:rPr>
        <w:t>Wine</w:t>
      </w:r>
      <w:r>
        <w:rPr>
          <w:i/>
          <w:spacing w:val="-1"/>
          <w:sz w:val="20"/>
        </w:rPr>
        <w:t xml:space="preserve"> </w:t>
      </w:r>
      <w:r>
        <w:rPr>
          <w:i/>
          <w:sz w:val="20"/>
        </w:rPr>
        <w:t>from</w:t>
      </w:r>
      <w:r>
        <w:rPr>
          <w:i/>
          <w:spacing w:val="-3"/>
          <w:sz w:val="20"/>
        </w:rPr>
        <w:t xml:space="preserve"> </w:t>
      </w:r>
      <w:r>
        <w:rPr>
          <w:i/>
          <w:sz w:val="20"/>
        </w:rPr>
        <w:t>Australia</w:t>
      </w:r>
      <w:r>
        <w:rPr>
          <w:i/>
          <w:spacing w:val="-1"/>
          <w:sz w:val="20"/>
        </w:rPr>
        <w:t xml:space="preserve"> </w:t>
      </w:r>
      <w:r>
        <w:rPr>
          <w:spacing w:val="-2"/>
          <w:sz w:val="20"/>
        </w:rPr>
        <w:t>(DS602)</w:t>
      </w:r>
      <w:r>
        <w:rPr>
          <w:sz w:val="20"/>
        </w:rPr>
        <w:tab/>
        <w:t>29</w:t>
      </w:r>
      <w:r>
        <w:rPr>
          <w:spacing w:val="-1"/>
          <w:sz w:val="20"/>
        </w:rPr>
        <w:t xml:space="preserve"> </w:t>
      </w:r>
      <w:r>
        <w:rPr>
          <w:sz w:val="20"/>
        </w:rPr>
        <w:t>April</w:t>
      </w:r>
      <w:r>
        <w:rPr>
          <w:spacing w:val="-2"/>
          <w:sz w:val="20"/>
        </w:rPr>
        <w:t xml:space="preserve"> </w:t>
      </w:r>
      <w:r>
        <w:rPr>
          <w:spacing w:val="-4"/>
          <w:sz w:val="20"/>
        </w:rPr>
        <w:t>2022</w:t>
      </w:r>
    </w:p>
    <w:p w14:paraId="51DE8C50" w14:textId="77777777" w:rsidR="0010369C" w:rsidRDefault="008E43AE">
      <w:pPr>
        <w:spacing w:before="35" w:line="276" w:lineRule="auto"/>
        <w:ind w:left="1089" w:right="614"/>
        <w:jc w:val="both"/>
      </w:pPr>
      <w:r>
        <w:t>sufficient evidence to support the above claims and decided not to accept them. The Company</w:t>
      </w:r>
      <w:r>
        <w:rPr>
          <w:spacing w:val="-10"/>
        </w:rPr>
        <w:t xml:space="preserve"> </w:t>
      </w:r>
      <w:r>
        <w:t>claimed</w:t>
      </w:r>
      <w:r>
        <w:rPr>
          <w:spacing w:val="-11"/>
        </w:rPr>
        <w:t xml:space="preserve"> </w:t>
      </w:r>
      <w:r>
        <w:t>in</w:t>
      </w:r>
      <w:r>
        <w:rPr>
          <w:spacing w:val="-10"/>
        </w:rPr>
        <w:t xml:space="preserve"> </w:t>
      </w:r>
      <w:r>
        <w:t>its</w:t>
      </w:r>
      <w:r>
        <w:rPr>
          <w:spacing w:val="-9"/>
        </w:rPr>
        <w:t xml:space="preserve"> </w:t>
      </w:r>
      <w:r>
        <w:t>comments</w:t>
      </w:r>
      <w:r>
        <w:rPr>
          <w:spacing w:val="-10"/>
        </w:rPr>
        <w:t xml:space="preserve"> </w:t>
      </w:r>
      <w:r>
        <w:t>on</w:t>
      </w:r>
      <w:r>
        <w:rPr>
          <w:spacing w:val="-10"/>
        </w:rPr>
        <w:t xml:space="preserve"> </w:t>
      </w:r>
      <w:r>
        <w:t>the</w:t>
      </w:r>
      <w:r>
        <w:rPr>
          <w:spacing w:val="-10"/>
        </w:rPr>
        <w:t xml:space="preserve"> </w:t>
      </w:r>
      <w:r>
        <w:t>Preliminary</w:t>
      </w:r>
      <w:r>
        <w:rPr>
          <w:spacing w:val="-10"/>
        </w:rPr>
        <w:t xml:space="preserve"> </w:t>
      </w:r>
      <w:r>
        <w:t>Ruling</w:t>
      </w:r>
      <w:r>
        <w:rPr>
          <w:spacing w:val="-10"/>
        </w:rPr>
        <w:t xml:space="preserve"> </w:t>
      </w:r>
      <w:r>
        <w:t>and</w:t>
      </w:r>
      <w:r>
        <w:rPr>
          <w:spacing w:val="-10"/>
        </w:rPr>
        <w:t xml:space="preserve"> </w:t>
      </w:r>
      <w:r>
        <w:t>the</w:t>
      </w:r>
      <w:r>
        <w:rPr>
          <w:spacing w:val="-10"/>
        </w:rPr>
        <w:t xml:space="preserve"> </w:t>
      </w:r>
      <w:r>
        <w:t>Disclosure</w:t>
      </w:r>
      <w:r>
        <w:rPr>
          <w:spacing w:val="-10"/>
        </w:rPr>
        <w:t xml:space="preserve"> </w:t>
      </w:r>
      <w:r>
        <w:t>of</w:t>
      </w:r>
      <w:r>
        <w:rPr>
          <w:spacing w:val="-10"/>
        </w:rPr>
        <w:t xml:space="preserve"> </w:t>
      </w:r>
      <w:r>
        <w:t>Basic</w:t>
      </w:r>
      <w:r>
        <w:rPr>
          <w:spacing w:val="-11"/>
        </w:rPr>
        <w:t xml:space="preserve"> </w:t>
      </w:r>
      <w:r>
        <w:t>Facts Relied on by the Final Ruling that other discoun</w:t>
      </w:r>
      <w:r>
        <w:t>ts, rebates and advertising fees were the direct expenses resulting from the daily sale, correlated with the sales market and included in the invoices issued to the clients, and the Company supplemented some information in the comments to describe relevant</w:t>
      </w:r>
      <w:r>
        <w:t xml:space="preserve"> alignment and apportionment methods.</w:t>
      </w:r>
      <w:r>
        <w:rPr>
          <w:vertAlign w:val="superscript"/>
        </w:rPr>
        <w:t>554</w:t>
      </w:r>
    </w:p>
    <w:p w14:paraId="51DE8C51" w14:textId="77777777" w:rsidR="0010369C" w:rsidRDefault="0010369C">
      <w:pPr>
        <w:pStyle w:val="BodyText"/>
        <w:spacing w:before="8"/>
        <w:rPr>
          <w:sz w:val="19"/>
        </w:rPr>
      </w:pPr>
    </w:p>
    <w:p w14:paraId="51DE8C52" w14:textId="77777777" w:rsidR="0010369C" w:rsidRDefault="008E43AE">
      <w:pPr>
        <w:spacing w:line="276" w:lineRule="auto"/>
        <w:ind w:left="1088" w:right="611"/>
        <w:jc w:val="both"/>
      </w:pPr>
      <w:r>
        <w:t>After</w:t>
      </w:r>
      <w:r>
        <w:rPr>
          <w:spacing w:val="-13"/>
        </w:rPr>
        <w:t xml:space="preserve"> </w:t>
      </w:r>
      <w:r>
        <w:t>the</w:t>
      </w:r>
      <w:r>
        <w:rPr>
          <w:spacing w:val="-12"/>
        </w:rPr>
        <w:t xml:space="preserve"> </w:t>
      </w:r>
      <w:r>
        <w:t>review,</w:t>
      </w:r>
      <w:r>
        <w:rPr>
          <w:spacing w:val="-13"/>
        </w:rPr>
        <w:t xml:space="preserve"> </w:t>
      </w:r>
      <w:r>
        <w:t>the</w:t>
      </w:r>
      <w:r>
        <w:rPr>
          <w:spacing w:val="-12"/>
        </w:rPr>
        <w:t xml:space="preserve"> </w:t>
      </w:r>
      <w:r>
        <w:t>Investigating</w:t>
      </w:r>
      <w:r>
        <w:rPr>
          <w:spacing w:val="-13"/>
        </w:rPr>
        <w:t xml:space="preserve"> </w:t>
      </w:r>
      <w:r>
        <w:t>Authority</w:t>
      </w:r>
      <w:r>
        <w:rPr>
          <w:spacing w:val="-12"/>
        </w:rPr>
        <w:t xml:space="preserve"> </w:t>
      </w:r>
      <w:r>
        <w:t>held</w:t>
      </w:r>
      <w:r>
        <w:rPr>
          <w:spacing w:val="-13"/>
        </w:rPr>
        <w:t xml:space="preserve"> </w:t>
      </w:r>
      <w:r>
        <w:t>that,</w:t>
      </w:r>
      <w:r>
        <w:rPr>
          <w:spacing w:val="-12"/>
        </w:rPr>
        <w:t xml:space="preserve"> </w:t>
      </w:r>
      <w:r>
        <w:t>firstly,</w:t>
      </w:r>
      <w:r>
        <w:rPr>
          <w:spacing w:val="-12"/>
        </w:rPr>
        <w:t xml:space="preserve"> </w:t>
      </w:r>
      <w:r>
        <w:t>no</w:t>
      </w:r>
      <w:r>
        <w:rPr>
          <w:spacing w:val="-13"/>
        </w:rPr>
        <w:t xml:space="preserve"> </w:t>
      </w:r>
      <w:r>
        <w:t>sufficient</w:t>
      </w:r>
      <w:r>
        <w:rPr>
          <w:spacing w:val="-12"/>
        </w:rPr>
        <w:t xml:space="preserve"> </w:t>
      </w:r>
      <w:r>
        <w:t>evidence</w:t>
      </w:r>
      <w:r>
        <w:rPr>
          <w:spacing w:val="-13"/>
        </w:rPr>
        <w:t xml:space="preserve"> </w:t>
      </w:r>
      <w:r>
        <w:t>indicated that the above expenses were really realized; secondly, as for other discounts and rebates, the Company did not elaborate the discount standards and bases and the methods for determining the discounts as required by the questionnaire; thirdly, as</w:t>
      </w:r>
      <w:r>
        <w:t xml:space="preserve"> for the advertising fees, the Company did not explain the method of determining advertising fees as required by</w:t>
      </w:r>
      <w:r>
        <w:rPr>
          <w:spacing w:val="-6"/>
        </w:rPr>
        <w:t xml:space="preserve"> </w:t>
      </w:r>
      <w:r>
        <w:t>the</w:t>
      </w:r>
      <w:r>
        <w:rPr>
          <w:spacing w:val="-6"/>
        </w:rPr>
        <w:t xml:space="preserve"> </w:t>
      </w:r>
      <w:r>
        <w:t>questionnaire</w:t>
      </w:r>
      <w:r>
        <w:rPr>
          <w:spacing w:val="-6"/>
        </w:rPr>
        <w:t xml:space="preserve"> </w:t>
      </w:r>
      <w:r>
        <w:t>and</w:t>
      </w:r>
      <w:r>
        <w:rPr>
          <w:spacing w:val="-6"/>
        </w:rPr>
        <w:t xml:space="preserve"> </w:t>
      </w:r>
      <w:r>
        <w:t>also</w:t>
      </w:r>
      <w:r>
        <w:rPr>
          <w:spacing w:val="-6"/>
        </w:rPr>
        <w:t xml:space="preserve"> </w:t>
      </w:r>
      <w:r>
        <w:t>did</w:t>
      </w:r>
      <w:r>
        <w:rPr>
          <w:spacing w:val="-5"/>
        </w:rPr>
        <w:t xml:space="preserve"> </w:t>
      </w:r>
      <w:r>
        <w:t>not</w:t>
      </w:r>
      <w:r>
        <w:rPr>
          <w:spacing w:val="-7"/>
        </w:rPr>
        <w:t xml:space="preserve"> </w:t>
      </w:r>
      <w:r>
        <w:t>indicate</w:t>
      </w:r>
      <w:r>
        <w:rPr>
          <w:spacing w:val="-5"/>
        </w:rPr>
        <w:t xml:space="preserve"> </w:t>
      </w:r>
      <w:r>
        <w:t>whether</w:t>
      </w:r>
      <w:r>
        <w:rPr>
          <w:spacing w:val="-7"/>
        </w:rPr>
        <w:t xml:space="preserve"> </w:t>
      </w:r>
      <w:r>
        <w:t>relevant</w:t>
      </w:r>
      <w:r>
        <w:rPr>
          <w:spacing w:val="-6"/>
        </w:rPr>
        <w:t xml:space="preserve"> </w:t>
      </w:r>
      <w:r>
        <w:t>fees</w:t>
      </w:r>
      <w:r>
        <w:rPr>
          <w:spacing w:val="-6"/>
        </w:rPr>
        <w:t xml:space="preserve"> </w:t>
      </w:r>
      <w:r>
        <w:t>were</w:t>
      </w:r>
      <w:r>
        <w:rPr>
          <w:spacing w:val="-6"/>
        </w:rPr>
        <w:t xml:space="preserve"> </w:t>
      </w:r>
      <w:r>
        <w:t>directly</w:t>
      </w:r>
      <w:r>
        <w:rPr>
          <w:spacing w:val="-6"/>
        </w:rPr>
        <w:t xml:space="preserve"> </w:t>
      </w:r>
      <w:r>
        <w:t>related</w:t>
      </w:r>
      <w:r>
        <w:rPr>
          <w:spacing w:val="-6"/>
        </w:rPr>
        <w:t xml:space="preserve"> </w:t>
      </w:r>
      <w:r>
        <w:t>to the sales of the product under investigation and lik</w:t>
      </w:r>
      <w:r>
        <w:t>e products.</w:t>
      </w:r>
      <w:r>
        <w:rPr>
          <w:vertAlign w:val="superscript"/>
        </w:rPr>
        <w:t>555</w:t>
      </w:r>
    </w:p>
    <w:p w14:paraId="51DE8C53" w14:textId="77777777" w:rsidR="0010369C" w:rsidRDefault="0010369C">
      <w:pPr>
        <w:pStyle w:val="BodyText"/>
        <w:spacing w:before="7"/>
        <w:rPr>
          <w:sz w:val="19"/>
        </w:rPr>
      </w:pPr>
    </w:p>
    <w:p w14:paraId="51DE8C54" w14:textId="77777777" w:rsidR="0010369C" w:rsidRDefault="008E43AE">
      <w:pPr>
        <w:spacing w:before="1" w:line="276" w:lineRule="auto"/>
        <w:ind w:left="1088" w:right="613"/>
        <w:jc w:val="both"/>
      </w:pPr>
      <w:r>
        <w:t>The Company also claimed other discounts and rebates and advertising fees [in respect of export price]. In the Preliminary Ruling, the Investigating Authority held that the Company did not provide sufficient evidence to support the above cl</w:t>
      </w:r>
      <w:r>
        <w:t>aims and decided not to accept them.</w:t>
      </w:r>
      <w:r>
        <w:rPr>
          <w:spacing w:val="-7"/>
        </w:rPr>
        <w:t xml:space="preserve"> </w:t>
      </w:r>
      <w:r>
        <w:t>The</w:t>
      </w:r>
      <w:r>
        <w:rPr>
          <w:spacing w:val="-7"/>
        </w:rPr>
        <w:t xml:space="preserve"> </w:t>
      </w:r>
      <w:r>
        <w:t>Company's</w:t>
      </w:r>
      <w:r>
        <w:rPr>
          <w:spacing w:val="-6"/>
        </w:rPr>
        <w:t xml:space="preserve"> </w:t>
      </w:r>
      <w:r>
        <w:t>claims</w:t>
      </w:r>
      <w:r>
        <w:rPr>
          <w:spacing w:val="-7"/>
        </w:rPr>
        <w:t xml:space="preserve"> </w:t>
      </w:r>
      <w:r>
        <w:t>after</w:t>
      </w:r>
      <w:r>
        <w:rPr>
          <w:spacing w:val="-5"/>
        </w:rPr>
        <w:t xml:space="preserve"> </w:t>
      </w:r>
      <w:r>
        <w:t>the</w:t>
      </w:r>
      <w:r>
        <w:rPr>
          <w:spacing w:val="-5"/>
        </w:rPr>
        <w:t xml:space="preserve"> </w:t>
      </w:r>
      <w:r>
        <w:t>release</w:t>
      </w:r>
      <w:r>
        <w:rPr>
          <w:spacing w:val="-7"/>
        </w:rPr>
        <w:t xml:space="preserve"> </w:t>
      </w:r>
      <w:r>
        <w:t>of</w:t>
      </w:r>
      <w:r>
        <w:rPr>
          <w:spacing w:val="-6"/>
        </w:rPr>
        <w:t xml:space="preserve"> </w:t>
      </w:r>
      <w:r>
        <w:t>the</w:t>
      </w:r>
      <w:r>
        <w:rPr>
          <w:spacing w:val="-6"/>
        </w:rPr>
        <w:t xml:space="preserve"> </w:t>
      </w:r>
      <w:r>
        <w:t>Preliminary</w:t>
      </w:r>
      <w:r>
        <w:rPr>
          <w:spacing w:val="-7"/>
        </w:rPr>
        <w:t xml:space="preserve"> </w:t>
      </w:r>
      <w:r>
        <w:t>Ruling</w:t>
      </w:r>
      <w:r>
        <w:rPr>
          <w:spacing w:val="-7"/>
        </w:rPr>
        <w:t xml:space="preserve"> </w:t>
      </w:r>
      <w:r>
        <w:t>and</w:t>
      </w:r>
      <w:r>
        <w:rPr>
          <w:spacing w:val="-6"/>
        </w:rPr>
        <w:t xml:space="preserve"> </w:t>
      </w:r>
      <w:r>
        <w:t>the</w:t>
      </w:r>
      <w:r>
        <w:rPr>
          <w:spacing w:val="-4"/>
        </w:rPr>
        <w:t xml:space="preserve"> </w:t>
      </w:r>
      <w:r>
        <w:t>Investigating Authority's</w:t>
      </w:r>
      <w:r>
        <w:rPr>
          <w:spacing w:val="-11"/>
        </w:rPr>
        <w:t xml:space="preserve"> </w:t>
      </w:r>
      <w:r>
        <w:t>review</w:t>
      </w:r>
      <w:r>
        <w:rPr>
          <w:spacing w:val="-10"/>
        </w:rPr>
        <w:t xml:space="preserve"> </w:t>
      </w:r>
      <w:r>
        <w:t>and</w:t>
      </w:r>
      <w:r>
        <w:rPr>
          <w:spacing w:val="-10"/>
        </w:rPr>
        <w:t xml:space="preserve"> </w:t>
      </w:r>
      <w:r>
        <w:t>identification</w:t>
      </w:r>
      <w:r>
        <w:rPr>
          <w:spacing w:val="-10"/>
        </w:rPr>
        <w:t xml:space="preserve"> </w:t>
      </w:r>
      <w:r>
        <w:t>were</w:t>
      </w:r>
      <w:r>
        <w:rPr>
          <w:spacing w:val="-10"/>
        </w:rPr>
        <w:t xml:space="preserve"> </w:t>
      </w:r>
      <w:r>
        <w:t>the</w:t>
      </w:r>
      <w:r>
        <w:rPr>
          <w:spacing w:val="-10"/>
        </w:rPr>
        <w:t xml:space="preserve"> </w:t>
      </w:r>
      <w:r>
        <w:t>same</w:t>
      </w:r>
      <w:r>
        <w:rPr>
          <w:spacing w:val="-11"/>
        </w:rPr>
        <w:t xml:space="preserve"> </w:t>
      </w:r>
      <w:r>
        <w:t>as</w:t>
      </w:r>
      <w:r>
        <w:rPr>
          <w:spacing w:val="-10"/>
        </w:rPr>
        <w:t xml:space="preserve"> </w:t>
      </w:r>
      <w:r>
        <w:t>those</w:t>
      </w:r>
      <w:r>
        <w:rPr>
          <w:spacing w:val="-10"/>
        </w:rPr>
        <w:t xml:space="preserve"> </w:t>
      </w:r>
      <w:r>
        <w:t>in</w:t>
      </w:r>
      <w:r>
        <w:rPr>
          <w:spacing w:val="-9"/>
        </w:rPr>
        <w:t xml:space="preserve"> </w:t>
      </w:r>
      <w:r>
        <w:t>"Normal</w:t>
      </w:r>
      <w:r>
        <w:rPr>
          <w:spacing w:val="-10"/>
        </w:rPr>
        <w:t xml:space="preserve"> </w:t>
      </w:r>
      <w:r>
        <w:t>price</w:t>
      </w:r>
      <w:r>
        <w:rPr>
          <w:spacing w:val="-9"/>
        </w:rPr>
        <w:t xml:space="preserve"> </w:t>
      </w:r>
      <w:r>
        <w:t>part"</w:t>
      </w:r>
      <w:r>
        <w:rPr>
          <w:spacing w:val="-11"/>
        </w:rPr>
        <w:t xml:space="preserve"> </w:t>
      </w:r>
      <w:r>
        <w:t>above.</w:t>
      </w:r>
      <w:r>
        <w:rPr>
          <w:vertAlign w:val="superscript"/>
        </w:rPr>
        <w:t>556</w:t>
      </w:r>
    </w:p>
    <w:p w14:paraId="51DE8C55" w14:textId="77777777" w:rsidR="0010369C" w:rsidRDefault="0010369C">
      <w:pPr>
        <w:pStyle w:val="BodyText"/>
        <w:spacing w:before="8"/>
        <w:rPr>
          <w:sz w:val="13"/>
        </w:rPr>
      </w:pPr>
    </w:p>
    <w:p w14:paraId="51DE8C56" w14:textId="77777777" w:rsidR="0010369C" w:rsidRDefault="008E43AE">
      <w:pPr>
        <w:pStyle w:val="BodyText"/>
        <w:spacing w:before="72"/>
        <w:ind w:left="1089"/>
      </w:pPr>
      <w:r>
        <w:rPr>
          <w:noProof/>
        </w:rPr>
        <w:drawing>
          <wp:anchor distT="0" distB="0" distL="0" distR="0" simplePos="0" relativeHeight="250670592" behindDoc="0" locked="0" layoutInCell="1" allowOverlap="1" wp14:anchorId="51DEA3EA" wp14:editId="51DEA3EB">
            <wp:simplePos x="0" y="0"/>
            <wp:positionH relativeFrom="page">
              <wp:posOffset>902208</wp:posOffset>
            </wp:positionH>
            <wp:positionV relativeFrom="paragraph">
              <wp:posOffset>90247</wp:posOffset>
            </wp:positionV>
            <wp:extent cx="262127" cy="106679"/>
            <wp:effectExtent l="0" t="0" r="0" b="0"/>
            <wp:wrapNone/>
            <wp:docPr id="1029" name="image5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image526.png"/>
                    <pic:cNvPicPr/>
                  </pic:nvPicPr>
                  <pic:blipFill>
                    <a:blip r:embed="rId692" cstate="print"/>
                    <a:stretch>
                      <a:fillRect/>
                    </a:stretch>
                  </pic:blipFill>
                  <pic:spPr>
                    <a:xfrm>
                      <a:off x="0" y="0"/>
                      <a:ext cx="262127" cy="106679"/>
                    </a:xfrm>
                    <a:prstGeom prst="rect">
                      <a:avLst/>
                    </a:prstGeom>
                  </pic:spPr>
                </pic:pic>
              </a:graphicData>
            </a:graphic>
          </wp:anchor>
        </w:drawing>
      </w:r>
      <w:r>
        <w:pict w14:anchorId="51DEA3EC">
          <v:rect id="docshape980" o:spid="_x0000_s1387" style="position:absolute;left:0;text-align:left;margin-left:457.3pt;margin-top:3.7pt;width:66.05pt;height:16.05pt;z-index:251854336;mso-position-horizontal-relative:page;mso-position-vertical-relative:text" fillcolor="black" stroked="f">
            <w10:wrap anchorx="page"/>
          </v:rect>
        </w:pict>
      </w:r>
      <w:r>
        <w:pict w14:anchorId="51DEA3ED">
          <v:rect id="docshape981" o:spid="_x0000_s1386" style="position:absolute;left:0;text-align:left;margin-left:69.9pt;margin-top:91.6pt;width:162.05pt;height:16.05pt;z-index:-251295232;mso-position-horizontal-relative:page;mso-position-vertical-relative:text" fillcolor="black" stroked="f">
            <w10:wrap anchorx="page"/>
          </v:rect>
        </w:pict>
      </w:r>
      <w:r>
        <w:rPr>
          <w:w w:val="95"/>
        </w:rPr>
        <w:t>In</w:t>
      </w:r>
      <w:r>
        <w:rPr>
          <w:spacing w:val="19"/>
        </w:rPr>
        <w:t xml:space="preserve"> </w:t>
      </w:r>
      <w:r>
        <w:rPr>
          <w:w w:val="95"/>
        </w:rPr>
        <w:t>its</w:t>
      </w:r>
      <w:r>
        <w:rPr>
          <w:spacing w:val="19"/>
        </w:rPr>
        <w:t xml:space="preserve"> </w:t>
      </w:r>
      <w:r>
        <w:rPr>
          <w:w w:val="95"/>
        </w:rPr>
        <w:t>comments</w:t>
      </w:r>
      <w:r>
        <w:rPr>
          <w:spacing w:val="20"/>
        </w:rPr>
        <w:t xml:space="preserve"> </w:t>
      </w:r>
      <w:r>
        <w:rPr>
          <w:w w:val="95"/>
        </w:rPr>
        <w:t>on</w:t>
      </w:r>
      <w:r>
        <w:rPr>
          <w:spacing w:val="19"/>
        </w:rPr>
        <w:t xml:space="preserve"> </w:t>
      </w:r>
      <w:r>
        <w:rPr>
          <w:w w:val="95"/>
        </w:rPr>
        <w:t>the</w:t>
      </w:r>
      <w:r>
        <w:rPr>
          <w:spacing w:val="21"/>
        </w:rPr>
        <w:t xml:space="preserve"> </w:t>
      </w:r>
      <w:r>
        <w:rPr>
          <w:w w:val="95"/>
        </w:rPr>
        <w:t>Preliminary</w:t>
      </w:r>
      <w:r>
        <w:rPr>
          <w:spacing w:val="17"/>
        </w:rPr>
        <w:t xml:space="preserve"> </w:t>
      </w:r>
      <w:r>
        <w:rPr>
          <w:w w:val="95"/>
        </w:rPr>
        <w:t>Determination</w:t>
      </w:r>
      <w:r>
        <w:rPr>
          <w:w w:val="95"/>
          <w:vertAlign w:val="superscript"/>
        </w:rPr>
        <w:t>557</w:t>
      </w:r>
      <w:r>
        <w:rPr>
          <w:w w:val="95"/>
        </w:rPr>
        <w:t>,</w:t>
      </w:r>
      <w:r>
        <w:rPr>
          <w:spacing w:val="19"/>
        </w:rPr>
        <w:t xml:space="preserve"> </w:t>
      </w:r>
      <w:r>
        <w:rPr>
          <w:w w:val="95"/>
        </w:rPr>
        <w:t>Treasury</w:t>
      </w:r>
      <w:r>
        <w:rPr>
          <w:spacing w:val="18"/>
        </w:rPr>
        <w:t xml:space="preserve"> </w:t>
      </w:r>
      <w:r>
        <w:rPr>
          <w:w w:val="95"/>
        </w:rPr>
        <w:t>Wines</w:t>
      </w:r>
      <w:r>
        <w:rPr>
          <w:spacing w:val="20"/>
        </w:rPr>
        <w:t xml:space="preserve"> </w:t>
      </w:r>
      <w:r>
        <w:rPr>
          <w:spacing w:val="-5"/>
          <w:w w:val="95"/>
        </w:rPr>
        <w:t>[[</w:t>
      </w:r>
    </w:p>
    <w:p w14:paraId="51DE8C57" w14:textId="77777777" w:rsidR="0010369C" w:rsidRDefault="008E43AE">
      <w:pPr>
        <w:pStyle w:val="BodyText"/>
        <w:spacing w:before="2"/>
        <w:rPr>
          <w:sz w:val="10"/>
        </w:rPr>
      </w:pPr>
      <w:r>
        <w:pict w14:anchorId="51DEA3EE">
          <v:rect id="docshape982" o:spid="_x0000_s1385" style="position:absolute;margin-left:69.9pt;margin-top:7.45pt;width:453.5pt;height:16.05pt;z-index:-250862080;mso-wrap-distance-left:0;mso-wrap-distance-right:0;mso-position-horizontal-relative:page" fillcolor="black" stroked="f">
            <w10:wrap type="topAndBottom" anchorx="page"/>
          </v:rect>
        </w:pict>
      </w:r>
      <w:r>
        <w:pict w14:anchorId="51DEA3EF">
          <v:rect id="docshape983" o:spid="_x0000_s1384" style="position:absolute;margin-left:69.9pt;margin-top:29.45pt;width:453.55pt;height:16.05pt;z-index:-250861056;mso-wrap-distance-left:0;mso-wrap-distance-right:0;mso-position-horizontal-relative:page" fillcolor="black" stroked="f">
            <w10:wrap type="topAndBottom" anchorx="page"/>
          </v:rect>
        </w:pict>
      </w:r>
      <w:r>
        <w:pict w14:anchorId="51DEA3F0">
          <v:rect id="docshape984" o:spid="_x0000_s1383" style="position:absolute;margin-left:69.9pt;margin-top:51.4pt;width:453.5pt;height:16.05pt;z-index:-250860032;mso-wrap-distance-left:0;mso-wrap-distance-right:0;mso-position-horizontal-relative:page" fillcolor="black" stroked="f">
            <w10:wrap type="topAndBottom" anchorx="page"/>
          </v:rect>
        </w:pict>
      </w:r>
    </w:p>
    <w:p w14:paraId="51DE8C58" w14:textId="77777777" w:rsidR="0010369C" w:rsidRDefault="0010369C">
      <w:pPr>
        <w:pStyle w:val="BodyText"/>
        <w:spacing w:before="9"/>
        <w:rPr>
          <w:sz w:val="7"/>
        </w:rPr>
      </w:pPr>
    </w:p>
    <w:p w14:paraId="51DE8C59" w14:textId="77777777" w:rsidR="0010369C" w:rsidRDefault="0010369C">
      <w:pPr>
        <w:pStyle w:val="BodyText"/>
        <w:spacing w:before="8"/>
        <w:rPr>
          <w:sz w:val="7"/>
        </w:rPr>
      </w:pPr>
    </w:p>
    <w:p w14:paraId="51DE8C5A" w14:textId="77777777" w:rsidR="0010369C" w:rsidRDefault="008E43AE">
      <w:pPr>
        <w:pStyle w:val="BodyText"/>
        <w:spacing w:before="115" w:line="360" w:lineRule="auto"/>
        <w:ind w:left="238" w:firstLine="3240"/>
      </w:pPr>
      <w:r>
        <w:t>]] There is no evidence that this information was taken into account by MOFCOM when making its decision to disregard the requests for adjustments.</w:t>
      </w:r>
    </w:p>
    <w:p w14:paraId="51DE8C5B" w14:textId="77777777" w:rsidR="0010369C" w:rsidRDefault="0010369C">
      <w:pPr>
        <w:pStyle w:val="BodyText"/>
        <w:rPr>
          <w:sz w:val="20"/>
        </w:rPr>
      </w:pPr>
    </w:p>
    <w:p w14:paraId="51DE8C5C" w14:textId="77777777" w:rsidR="0010369C" w:rsidRDefault="0010369C">
      <w:pPr>
        <w:pStyle w:val="BodyText"/>
        <w:rPr>
          <w:sz w:val="20"/>
        </w:rPr>
      </w:pPr>
    </w:p>
    <w:p w14:paraId="51DE8C5D" w14:textId="77777777" w:rsidR="0010369C" w:rsidRDefault="0010369C">
      <w:pPr>
        <w:pStyle w:val="BodyText"/>
        <w:rPr>
          <w:sz w:val="20"/>
        </w:rPr>
      </w:pPr>
    </w:p>
    <w:p w14:paraId="51DE8C5E" w14:textId="77777777" w:rsidR="0010369C" w:rsidRDefault="0010369C">
      <w:pPr>
        <w:pStyle w:val="BodyText"/>
        <w:rPr>
          <w:sz w:val="20"/>
        </w:rPr>
      </w:pPr>
    </w:p>
    <w:p w14:paraId="51DE8C5F" w14:textId="77777777" w:rsidR="0010369C" w:rsidRDefault="0010369C">
      <w:pPr>
        <w:pStyle w:val="BodyText"/>
        <w:rPr>
          <w:sz w:val="20"/>
        </w:rPr>
      </w:pPr>
    </w:p>
    <w:p w14:paraId="51DE8C60" w14:textId="77777777" w:rsidR="0010369C" w:rsidRDefault="008E43AE">
      <w:pPr>
        <w:pStyle w:val="BodyText"/>
        <w:spacing w:before="6"/>
        <w:rPr>
          <w:sz w:val="12"/>
        </w:rPr>
      </w:pPr>
      <w:r>
        <w:pict w14:anchorId="51DEA3F1">
          <v:rect id="docshape985" o:spid="_x0000_s1382" style="position:absolute;margin-left:70.9pt;margin-top:8.85pt;width:2in;height:.8pt;z-index:-250859008;mso-wrap-distance-left:0;mso-wrap-distance-right:0;mso-position-horizontal-relative:page" fillcolor="black" stroked="f">
            <w10:wrap type="topAndBottom" anchorx="page"/>
          </v:rect>
        </w:pict>
      </w:r>
    </w:p>
    <w:p w14:paraId="51DE8C61" w14:textId="77777777" w:rsidR="0010369C" w:rsidRDefault="008E43AE">
      <w:pPr>
        <w:spacing w:before="110" w:after="7"/>
        <w:ind w:left="238" w:right="5311"/>
        <w:jc w:val="both"/>
        <w:rPr>
          <w:sz w:val="18"/>
        </w:rPr>
      </w:pPr>
      <w:r>
        <w:rPr>
          <w:sz w:val="18"/>
          <w:vertAlign w:val="superscript"/>
        </w:rPr>
        <w:t>554</w:t>
      </w:r>
      <w:r>
        <w:rPr>
          <w:spacing w:val="-5"/>
          <w:sz w:val="18"/>
        </w:rPr>
        <w:t xml:space="preserve"> </w:t>
      </w:r>
      <w:r>
        <w:rPr>
          <w:sz w:val="18"/>
        </w:rPr>
        <w:t>Anti‐Dumping</w:t>
      </w:r>
      <w:r>
        <w:rPr>
          <w:spacing w:val="-5"/>
          <w:sz w:val="18"/>
        </w:rPr>
        <w:t xml:space="preserve"> </w:t>
      </w:r>
      <w:r>
        <w:rPr>
          <w:sz w:val="18"/>
        </w:rPr>
        <w:t>Final</w:t>
      </w:r>
      <w:r>
        <w:rPr>
          <w:spacing w:val="-5"/>
          <w:sz w:val="18"/>
        </w:rPr>
        <w:t xml:space="preserve"> </w:t>
      </w:r>
      <w:r>
        <w:rPr>
          <w:sz w:val="18"/>
        </w:rPr>
        <w:t>Determination</w:t>
      </w:r>
      <w:r>
        <w:rPr>
          <w:spacing w:val="-4"/>
          <w:sz w:val="18"/>
        </w:rPr>
        <w:t xml:space="preserve"> </w:t>
      </w:r>
      <w:r>
        <w:rPr>
          <w:sz w:val="18"/>
        </w:rPr>
        <w:t>(Exhibit</w:t>
      </w:r>
      <w:r>
        <w:rPr>
          <w:spacing w:val="-5"/>
          <w:sz w:val="18"/>
        </w:rPr>
        <w:t xml:space="preserve"> </w:t>
      </w:r>
      <w:r>
        <w:rPr>
          <w:sz w:val="18"/>
        </w:rPr>
        <w:t>AUS‐2),</w:t>
      </w:r>
      <w:r>
        <w:rPr>
          <w:spacing w:val="-6"/>
          <w:sz w:val="18"/>
        </w:rPr>
        <w:t xml:space="preserve"> </w:t>
      </w:r>
      <w:r>
        <w:rPr>
          <w:sz w:val="18"/>
        </w:rPr>
        <w:t>p.</w:t>
      </w:r>
      <w:r>
        <w:rPr>
          <w:spacing w:val="-5"/>
          <w:sz w:val="18"/>
        </w:rPr>
        <w:t xml:space="preserve"> </w:t>
      </w:r>
      <w:r>
        <w:rPr>
          <w:sz w:val="18"/>
        </w:rPr>
        <w:t xml:space="preserve">71. </w:t>
      </w:r>
      <w:r>
        <w:rPr>
          <w:sz w:val="18"/>
          <w:vertAlign w:val="superscript"/>
        </w:rPr>
        <w:t>555</w:t>
      </w:r>
      <w:r>
        <w:rPr>
          <w:spacing w:val="-5"/>
          <w:sz w:val="18"/>
        </w:rPr>
        <w:t xml:space="preserve"> </w:t>
      </w:r>
      <w:r>
        <w:rPr>
          <w:sz w:val="18"/>
        </w:rPr>
        <w:t>Anti‐Dumping</w:t>
      </w:r>
      <w:r>
        <w:rPr>
          <w:spacing w:val="-5"/>
          <w:sz w:val="18"/>
        </w:rPr>
        <w:t xml:space="preserve"> </w:t>
      </w:r>
      <w:r>
        <w:rPr>
          <w:sz w:val="18"/>
        </w:rPr>
        <w:t>Final</w:t>
      </w:r>
      <w:r>
        <w:rPr>
          <w:spacing w:val="-5"/>
          <w:sz w:val="18"/>
        </w:rPr>
        <w:t xml:space="preserve"> </w:t>
      </w:r>
      <w:r>
        <w:rPr>
          <w:sz w:val="18"/>
        </w:rPr>
        <w:t>Determination</w:t>
      </w:r>
      <w:r>
        <w:rPr>
          <w:spacing w:val="-4"/>
          <w:sz w:val="18"/>
        </w:rPr>
        <w:t xml:space="preserve"> </w:t>
      </w:r>
      <w:r>
        <w:rPr>
          <w:sz w:val="18"/>
        </w:rPr>
        <w:t>(Exhibit</w:t>
      </w:r>
      <w:r>
        <w:rPr>
          <w:spacing w:val="-5"/>
          <w:sz w:val="18"/>
        </w:rPr>
        <w:t xml:space="preserve"> </w:t>
      </w:r>
      <w:r>
        <w:rPr>
          <w:sz w:val="18"/>
        </w:rPr>
        <w:t>AUS‐2),</w:t>
      </w:r>
      <w:r>
        <w:rPr>
          <w:spacing w:val="-6"/>
          <w:sz w:val="18"/>
        </w:rPr>
        <w:t xml:space="preserve"> </w:t>
      </w:r>
      <w:r>
        <w:rPr>
          <w:sz w:val="18"/>
        </w:rPr>
        <w:t>p.</w:t>
      </w:r>
      <w:r>
        <w:rPr>
          <w:spacing w:val="-5"/>
          <w:sz w:val="18"/>
        </w:rPr>
        <w:t xml:space="preserve"> </w:t>
      </w:r>
      <w:r>
        <w:rPr>
          <w:sz w:val="18"/>
        </w:rPr>
        <w:t xml:space="preserve">71. </w:t>
      </w:r>
      <w:r>
        <w:rPr>
          <w:sz w:val="18"/>
          <w:vertAlign w:val="superscript"/>
        </w:rPr>
        <w:t>556</w:t>
      </w:r>
      <w:r>
        <w:rPr>
          <w:spacing w:val="-9"/>
          <w:sz w:val="18"/>
        </w:rPr>
        <w:t xml:space="preserve"> </w:t>
      </w:r>
      <w:r>
        <w:rPr>
          <w:sz w:val="18"/>
        </w:rPr>
        <w:t>Anti‐Dumping</w:t>
      </w:r>
      <w:r>
        <w:rPr>
          <w:spacing w:val="-9"/>
          <w:sz w:val="18"/>
        </w:rPr>
        <w:t xml:space="preserve"> </w:t>
      </w:r>
      <w:r>
        <w:rPr>
          <w:sz w:val="18"/>
        </w:rPr>
        <w:t>Final</w:t>
      </w:r>
      <w:r>
        <w:rPr>
          <w:spacing w:val="-9"/>
          <w:sz w:val="18"/>
        </w:rPr>
        <w:t xml:space="preserve"> </w:t>
      </w:r>
      <w:r>
        <w:rPr>
          <w:sz w:val="18"/>
        </w:rPr>
        <w:t>Determination</w:t>
      </w:r>
      <w:r>
        <w:rPr>
          <w:spacing w:val="-8"/>
          <w:sz w:val="18"/>
        </w:rPr>
        <w:t xml:space="preserve"> </w:t>
      </w:r>
      <w:r>
        <w:rPr>
          <w:sz w:val="18"/>
        </w:rPr>
        <w:t>(Exhibit</w:t>
      </w:r>
      <w:r>
        <w:rPr>
          <w:spacing w:val="-9"/>
          <w:sz w:val="18"/>
        </w:rPr>
        <w:t xml:space="preserve"> </w:t>
      </w:r>
      <w:r>
        <w:rPr>
          <w:sz w:val="18"/>
        </w:rPr>
        <w:t>AUS‐2),</w:t>
      </w:r>
      <w:r>
        <w:rPr>
          <w:spacing w:val="-9"/>
          <w:sz w:val="18"/>
        </w:rPr>
        <w:t xml:space="preserve"> </w:t>
      </w:r>
      <w:r>
        <w:rPr>
          <w:sz w:val="18"/>
        </w:rPr>
        <w:t>p.</w:t>
      </w:r>
      <w:r>
        <w:rPr>
          <w:spacing w:val="-9"/>
          <w:sz w:val="18"/>
        </w:rPr>
        <w:t xml:space="preserve"> </w:t>
      </w:r>
      <w:r>
        <w:rPr>
          <w:spacing w:val="-5"/>
          <w:sz w:val="18"/>
        </w:rPr>
        <w:t>72.</w:t>
      </w:r>
    </w:p>
    <w:p w14:paraId="51DE8C62" w14:textId="77777777" w:rsidR="0010369C" w:rsidRDefault="008E43AE">
      <w:pPr>
        <w:pStyle w:val="BodyText"/>
        <w:ind w:left="218"/>
        <w:rPr>
          <w:sz w:val="20"/>
        </w:rPr>
      </w:pPr>
      <w:r>
        <w:rPr>
          <w:sz w:val="20"/>
        </w:rPr>
      </w:r>
      <w:r>
        <w:rPr>
          <w:sz w:val="20"/>
        </w:rPr>
        <w:pict w14:anchorId="51DEA3F3">
          <v:group id="docshapegroup986" o:spid="_x0000_s1374" style="width:455.55pt;height:146.35pt;mso-position-horizontal-relative:char;mso-position-vertical-relative:line" coordsize="9111,2927">
            <v:shape id="docshape987" o:spid="_x0000_s1381" style="position:absolute;width:9071;height:2927" coordsize="9071,2927" o:spt="100" adj="0,,0" path="m631,2686l,2686r,241l631,2927r,-241xm1596,1758r-1006,l590,1538,,1538r,241l,1779r,220l1596,1999r,-241xm8956,2246r-768,l8188,2016r-7792,l396,2257r768,l1164,2487r594,l1758,2707r7157,l8915,2487r41,l8956,2246xm9071,l8312,r,220l6575,220,6575,,354,r,220l,220,,461r1474,l1474,659r-1143,l331,900r459,l790,1119r391,l1181,1339r566,l1747,1560r727,l2474,1779r6596,l9070,1538r,l9070,1319r-2,l9068,1098r-583,l8485,878r-400,l8085,659r-5063,l3022,461r6047,l9069,241r2,l9071,xe" fillcolor="black" stroked="f">
              <v:stroke joinstyle="round"/>
              <v:formulas/>
              <v:path arrowok="t" o:connecttype="segments"/>
            </v:shape>
            <v:shape id="docshape988" o:spid="_x0000_s1380" type="#_x0000_t202" style="position:absolute;left:19;top:14;width:319;height:195" filled="f" stroked="f">
              <v:textbox inset="0,0,0,0">
                <w:txbxContent>
                  <w:p w14:paraId="51DEAC67" w14:textId="77777777" w:rsidR="0010369C" w:rsidRDefault="008E43AE">
                    <w:pPr>
                      <w:spacing w:before="28" w:line="124" w:lineRule="auto"/>
                      <w:rPr>
                        <w:sz w:val="18"/>
                      </w:rPr>
                    </w:pPr>
                    <w:r>
                      <w:rPr>
                        <w:sz w:val="12"/>
                      </w:rPr>
                      <w:t>557</w:t>
                    </w:r>
                    <w:r>
                      <w:rPr>
                        <w:spacing w:val="31"/>
                        <w:sz w:val="12"/>
                      </w:rPr>
                      <w:t xml:space="preserve"> </w:t>
                    </w:r>
                    <w:r>
                      <w:rPr>
                        <w:spacing w:val="-10"/>
                        <w:position w:val="-5"/>
                        <w:sz w:val="18"/>
                      </w:rPr>
                      <w:t>[</w:t>
                    </w:r>
                  </w:p>
                </w:txbxContent>
              </v:textbox>
            </v:shape>
            <v:shape id="docshape989" o:spid="_x0000_s1379" type="#_x0000_t202" style="position:absolute;left:6656;top:29;width:1636;height:180" filled="f" stroked="f">
              <v:textbox inset="0,0,0,0">
                <w:txbxContent>
                  <w:p w14:paraId="51DEAC68" w14:textId="77777777" w:rsidR="0010369C" w:rsidRDefault="008E43AE">
                    <w:pPr>
                      <w:spacing w:line="180" w:lineRule="exact"/>
                      <w:rPr>
                        <w:sz w:val="18"/>
                      </w:rPr>
                    </w:pPr>
                    <w:r>
                      <w:rPr>
                        <w:color w:val="5E5E5E"/>
                        <w:sz w:val="18"/>
                      </w:rPr>
                      <w:t>(Exhibit</w:t>
                    </w:r>
                    <w:r>
                      <w:rPr>
                        <w:color w:val="5E5E5E"/>
                        <w:spacing w:val="10"/>
                        <w:sz w:val="18"/>
                      </w:rPr>
                      <w:t xml:space="preserve"> </w:t>
                    </w:r>
                    <w:r>
                      <w:rPr>
                        <w:color w:val="5E5E5E"/>
                        <w:sz w:val="18"/>
                      </w:rPr>
                      <w:t>AUS‐11</w:t>
                    </w:r>
                    <w:r>
                      <w:rPr>
                        <w:color w:val="5E5E5E"/>
                        <w:spacing w:val="10"/>
                        <w:sz w:val="18"/>
                      </w:rPr>
                      <w:t xml:space="preserve"> </w:t>
                    </w:r>
                    <w:r>
                      <w:rPr>
                        <w:color w:val="5E5E5E"/>
                        <w:spacing w:val="-2"/>
                        <w:sz w:val="18"/>
                      </w:rPr>
                      <w:t>(BCI))</w:t>
                    </w:r>
                  </w:p>
                </w:txbxContent>
              </v:textbox>
            </v:shape>
            <v:shape id="docshape990" o:spid="_x0000_s1378" type="#_x0000_t202" style="position:absolute;left:19;top:468;width:3442;height:2427" filled="f" stroked="f">
              <v:textbox inset="0,0,0,0">
                <w:txbxContent>
                  <w:p w14:paraId="51DEAC69" w14:textId="77777777" w:rsidR="0010369C" w:rsidRDefault="008E43AE">
                    <w:pPr>
                      <w:spacing w:line="182" w:lineRule="exact"/>
                      <w:ind w:left="3024"/>
                      <w:rPr>
                        <w:sz w:val="18"/>
                      </w:rPr>
                    </w:pPr>
                    <w:r>
                      <w:rPr>
                        <w:color w:val="5E5E5E"/>
                        <w:spacing w:val="-5"/>
                        <w:sz w:val="18"/>
                      </w:rPr>
                      <w:t>]]</w:t>
                    </w:r>
                  </w:p>
                  <w:p w14:paraId="51DEAC6A" w14:textId="77777777" w:rsidR="0010369C" w:rsidRDefault="008E43AE">
                    <w:pPr>
                      <w:spacing w:before="36" w:line="156" w:lineRule="auto"/>
                      <w:rPr>
                        <w:sz w:val="18"/>
                      </w:rPr>
                    </w:pPr>
                    <w:r>
                      <w:rPr>
                        <w:sz w:val="12"/>
                      </w:rPr>
                      <w:t>558</w:t>
                    </w:r>
                    <w:r>
                      <w:rPr>
                        <w:spacing w:val="8"/>
                        <w:sz w:val="12"/>
                      </w:rPr>
                      <w:t xml:space="preserve"> </w:t>
                    </w:r>
                    <w:r>
                      <w:rPr>
                        <w:spacing w:val="-10"/>
                        <w:position w:val="-5"/>
                        <w:sz w:val="18"/>
                      </w:rPr>
                      <w:t>[</w:t>
                    </w:r>
                  </w:p>
                  <w:p w14:paraId="51DEAC6B" w14:textId="77777777" w:rsidR="0010369C" w:rsidRDefault="008E43AE">
                    <w:pPr>
                      <w:spacing w:before="37"/>
                      <w:ind w:right="2076"/>
                      <w:rPr>
                        <w:sz w:val="18"/>
                      </w:rPr>
                    </w:pPr>
                    <w:r>
                      <w:rPr>
                        <w:color w:val="5E5E5E"/>
                        <w:sz w:val="18"/>
                      </w:rPr>
                      <w:t>104</w:t>
                    </w:r>
                    <w:r>
                      <w:rPr>
                        <w:color w:val="5E5E5E"/>
                        <w:spacing w:val="-11"/>
                        <w:sz w:val="18"/>
                      </w:rPr>
                      <w:t xml:space="preserve"> </w:t>
                    </w:r>
                    <w:r>
                      <w:rPr>
                        <w:color w:val="5E5E5E"/>
                        <w:sz w:val="18"/>
                      </w:rPr>
                      <w:t>(BCI)); AUS‐105</w:t>
                    </w:r>
                    <w:r>
                      <w:rPr>
                        <w:color w:val="5E5E5E"/>
                        <w:spacing w:val="-11"/>
                        <w:sz w:val="18"/>
                      </w:rPr>
                      <w:t xml:space="preserve"> </w:t>
                    </w:r>
                    <w:r>
                      <w:rPr>
                        <w:color w:val="5E5E5E"/>
                        <w:sz w:val="18"/>
                      </w:rPr>
                      <w:t>(BCI));</w:t>
                    </w:r>
                  </w:p>
                  <w:p w14:paraId="51DEAC6C" w14:textId="77777777" w:rsidR="0010369C" w:rsidRDefault="008E43AE">
                    <w:pPr>
                      <w:spacing w:before="1"/>
                      <w:rPr>
                        <w:sz w:val="18"/>
                      </w:rPr>
                    </w:pPr>
                    <w:r>
                      <w:rPr>
                        <w:color w:val="5E5E5E"/>
                        <w:w w:val="95"/>
                        <w:sz w:val="18"/>
                      </w:rPr>
                      <w:t>(Exhibit</w:t>
                    </w:r>
                    <w:r>
                      <w:rPr>
                        <w:color w:val="5E5E5E"/>
                        <w:spacing w:val="16"/>
                        <w:sz w:val="18"/>
                      </w:rPr>
                      <w:t xml:space="preserve"> </w:t>
                    </w:r>
                    <w:r>
                      <w:rPr>
                        <w:color w:val="5E5E5E"/>
                        <w:w w:val="95"/>
                        <w:sz w:val="18"/>
                      </w:rPr>
                      <w:t>AUS‐106</w:t>
                    </w:r>
                    <w:r>
                      <w:rPr>
                        <w:color w:val="5E5E5E"/>
                        <w:spacing w:val="16"/>
                        <w:sz w:val="18"/>
                      </w:rPr>
                      <w:t xml:space="preserve"> </w:t>
                    </w:r>
                    <w:r>
                      <w:rPr>
                        <w:color w:val="5E5E5E"/>
                        <w:spacing w:val="-2"/>
                        <w:w w:val="95"/>
                        <w:sz w:val="18"/>
                      </w:rPr>
                      <w:t>(BCI));</w:t>
                    </w:r>
                  </w:p>
                  <w:p w14:paraId="51DEAC6D" w14:textId="77777777" w:rsidR="0010369C" w:rsidRDefault="008E43AE">
                    <w:pPr>
                      <w:ind w:left="653"/>
                      <w:rPr>
                        <w:sz w:val="18"/>
                      </w:rPr>
                    </w:pPr>
                    <w:r>
                      <w:rPr>
                        <w:color w:val="5E5E5E"/>
                        <w:sz w:val="18"/>
                      </w:rPr>
                      <w:t>(Exhibit</w:t>
                    </w:r>
                    <w:r>
                      <w:rPr>
                        <w:color w:val="5E5E5E"/>
                        <w:spacing w:val="11"/>
                        <w:sz w:val="18"/>
                      </w:rPr>
                      <w:t xml:space="preserve"> </w:t>
                    </w:r>
                    <w:r>
                      <w:rPr>
                        <w:color w:val="5E5E5E"/>
                        <w:sz w:val="18"/>
                      </w:rPr>
                      <w:t>AUS‐107</w:t>
                    </w:r>
                    <w:r>
                      <w:rPr>
                        <w:color w:val="5E5E5E"/>
                        <w:spacing w:val="11"/>
                        <w:sz w:val="18"/>
                      </w:rPr>
                      <w:t xml:space="preserve"> </w:t>
                    </w:r>
                    <w:r>
                      <w:rPr>
                        <w:color w:val="5E5E5E"/>
                        <w:spacing w:val="-2"/>
                        <w:sz w:val="18"/>
                      </w:rPr>
                      <w:t>(BCI));</w:t>
                    </w:r>
                  </w:p>
                  <w:p w14:paraId="51DEAC6E" w14:textId="77777777" w:rsidR="0010369C" w:rsidRDefault="008E43AE">
                    <w:pPr>
                      <w:spacing w:line="218" w:lineRule="exact"/>
                      <w:ind w:left="1597"/>
                      <w:rPr>
                        <w:sz w:val="18"/>
                      </w:rPr>
                    </w:pPr>
                    <w:r>
                      <w:rPr>
                        <w:color w:val="5E5E5E"/>
                        <w:sz w:val="18"/>
                      </w:rPr>
                      <w:t>(Exhibit</w:t>
                    </w:r>
                    <w:r>
                      <w:rPr>
                        <w:color w:val="5E5E5E"/>
                        <w:spacing w:val="-10"/>
                        <w:sz w:val="18"/>
                      </w:rPr>
                      <w:t xml:space="preserve"> </w:t>
                    </w:r>
                    <w:r>
                      <w:rPr>
                        <w:color w:val="5E5E5E"/>
                        <w:sz w:val="18"/>
                      </w:rPr>
                      <w:t>AUS‐108</w:t>
                    </w:r>
                    <w:r>
                      <w:rPr>
                        <w:color w:val="5E5E5E"/>
                        <w:spacing w:val="-10"/>
                        <w:sz w:val="18"/>
                      </w:rPr>
                      <w:t xml:space="preserve"> </w:t>
                    </w:r>
                    <w:r>
                      <w:rPr>
                        <w:color w:val="5E5E5E"/>
                        <w:spacing w:val="-2"/>
                        <w:sz w:val="18"/>
                      </w:rPr>
                      <w:t>(BCI)).]]</w:t>
                    </w:r>
                  </w:p>
                  <w:p w14:paraId="51DEAC6F" w14:textId="77777777" w:rsidR="0010369C" w:rsidRDefault="008E43AE">
                    <w:pPr>
                      <w:spacing w:before="46" w:line="148" w:lineRule="auto"/>
                    </w:pPr>
                    <w:r>
                      <w:rPr>
                        <w:sz w:val="14"/>
                      </w:rPr>
                      <w:t>559</w:t>
                    </w:r>
                    <w:r>
                      <w:rPr>
                        <w:spacing w:val="14"/>
                        <w:sz w:val="14"/>
                      </w:rPr>
                      <w:t xml:space="preserve"> </w:t>
                    </w:r>
                    <w:r>
                      <w:rPr>
                        <w:spacing w:val="-7"/>
                        <w:position w:val="-7"/>
                      </w:rPr>
                      <w:t>[[</w:t>
                    </w:r>
                  </w:p>
                  <w:p w14:paraId="51DEAC70" w14:textId="77777777" w:rsidR="0010369C" w:rsidRDefault="008E43AE">
                    <w:pPr>
                      <w:spacing w:before="51"/>
                      <w:rPr>
                        <w:sz w:val="18"/>
                      </w:rPr>
                    </w:pPr>
                    <w:r>
                      <w:rPr>
                        <w:color w:val="5E5E5E"/>
                        <w:sz w:val="18"/>
                      </w:rPr>
                      <w:t>AUS‐109</w:t>
                    </w:r>
                    <w:r>
                      <w:rPr>
                        <w:color w:val="5E5E5E"/>
                        <w:spacing w:val="-9"/>
                        <w:sz w:val="18"/>
                      </w:rPr>
                      <w:t xml:space="preserve"> </w:t>
                    </w:r>
                    <w:r>
                      <w:rPr>
                        <w:color w:val="5E5E5E"/>
                        <w:spacing w:val="-2"/>
                        <w:sz w:val="18"/>
                      </w:rPr>
                      <w:t>(BCI));</w:t>
                    </w:r>
                  </w:p>
                  <w:p w14:paraId="51DEAC71" w14:textId="77777777" w:rsidR="0010369C" w:rsidRDefault="008E43AE">
                    <w:pPr>
                      <w:rPr>
                        <w:sz w:val="18"/>
                      </w:rPr>
                    </w:pPr>
                    <w:r>
                      <w:rPr>
                        <w:color w:val="5E5E5E"/>
                        <w:sz w:val="18"/>
                      </w:rPr>
                      <w:t>(Exhibit</w:t>
                    </w:r>
                    <w:r>
                      <w:rPr>
                        <w:color w:val="5E5E5E"/>
                        <w:spacing w:val="-10"/>
                        <w:sz w:val="18"/>
                      </w:rPr>
                      <w:t xml:space="preserve"> </w:t>
                    </w:r>
                    <w:r>
                      <w:rPr>
                        <w:color w:val="5E5E5E"/>
                        <w:sz w:val="18"/>
                      </w:rPr>
                      <w:t>AUS‐110</w:t>
                    </w:r>
                    <w:r>
                      <w:rPr>
                        <w:color w:val="5E5E5E"/>
                        <w:spacing w:val="-10"/>
                        <w:sz w:val="18"/>
                      </w:rPr>
                      <w:t xml:space="preserve"> </w:t>
                    </w:r>
                    <w:r>
                      <w:rPr>
                        <w:color w:val="5E5E5E"/>
                        <w:spacing w:val="-2"/>
                        <w:sz w:val="18"/>
                      </w:rPr>
                      <w:t>(BCI));</w:t>
                    </w:r>
                  </w:p>
                  <w:p w14:paraId="51DEAC72" w14:textId="77777777" w:rsidR="0010369C" w:rsidRDefault="008E43AE">
                    <w:pPr>
                      <w:spacing w:line="216" w:lineRule="exact"/>
                      <w:ind w:left="632"/>
                      <w:rPr>
                        <w:sz w:val="18"/>
                      </w:rPr>
                    </w:pPr>
                    <w:r>
                      <w:rPr>
                        <w:color w:val="5E5E5E"/>
                        <w:spacing w:val="-2"/>
                        <w:sz w:val="18"/>
                      </w:rPr>
                      <w:t>(Exhibit</w:t>
                    </w:r>
                    <w:r>
                      <w:rPr>
                        <w:color w:val="5E5E5E"/>
                        <w:spacing w:val="4"/>
                        <w:sz w:val="18"/>
                      </w:rPr>
                      <w:t xml:space="preserve"> </w:t>
                    </w:r>
                    <w:r>
                      <w:rPr>
                        <w:color w:val="5E5E5E"/>
                        <w:spacing w:val="-2"/>
                        <w:sz w:val="18"/>
                      </w:rPr>
                      <w:t>AUS‐111</w:t>
                    </w:r>
                    <w:r>
                      <w:rPr>
                        <w:color w:val="5E5E5E"/>
                        <w:spacing w:val="5"/>
                        <w:sz w:val="18"/>
                      </w:rPr>
                      <w:t xml:space="preserve"> </w:t>
                    </w:r>
                    <w:r>
                      <w:rPr>
                        <w:color w:val="5E5E5E"/>
                        <w:spacing w:val="-2"/>
                        <w:sz w:val="18"/>
                      </w:rPr>
                      <w:t>(BCI)).]]</w:t>
                    </w:r>
                  </w:p>
                </w:txbxContent>
              </v:textbox>
            </v:shape>
            <v:shape id="docshape991" o:spid="_x0000_s1377" type="#_x0000_t202" style="position:absolute;left:8143;top:688;width:967;height:400" filled="f" stroked="f">
              <v:textbox inset="0,0,0,0">
                <w:txbxContent>
                  <w:p w14:paraId="51DEAC73" w14:textId="77777777" w:rsidR="0010369C" w:rsidRDefault="008E43AE">
                    <w:pPr>
                      <w:spacing w:line="183" w:lineRule="exact"/>
                      <w:rPr>
                        <w:sz w:val="18"/>
                      </w:rPr>
                    </w:pPr>
                    <w:r>
                      <w:rPr>
                        <w:color w:val="5E5E5E"/>
                        <w:w w:val="95"/>
                        <w:sz w:val="18"/>
                      </w:rPr>
                      <w:t>(Exhibit</w:t>
                    </w:r>
                    <w:r>
                      <w:rPr>
                        <w:color w:val="5E5E5E"/>
                        <w:spacing w:val="12"/>
                        <w:sz w:val="18"/>
                      </w:rPr>
                      <w:t xml:space="preserve"> </w:t>
                    </w:r>
                    <w:r>
                      <w:rPr>
                        <w:color w:val="5E5E5E"/>
                        <w:spacing w:val="-4"/>
                        <w:sz w:val="18"/>
                      </w:rPr>
                      <w:t>AUS‐</w:t>
                    </w:r>
                  </w:p>
                  <w:p w14:paraId="51DEAC74" w14:textId="77777777" w:rsidR="0010369C" w:rsidRDefault="008E43AE">
                    <w:pPr>
                      <w:spacing w:line="216" w:lineRule="exact"/>
                      <w:ind w:left="394"/>
                      <w:rPr>
                        <w:sz w:val="18"/>
                      </w:rPr>
                    </w:pPr>
                    <w:r>
                      <w:rPr>
                        <w:color w:val="5E5E5E"/>
                        <w:spacing w:val="-2"/>
                        <w:sz w:val="18"/>
                      </w:rPr>
                      <w:t>(Exhibit</w:t>
                    </w:r>
                  </w:p>
                </w:txbxContent>
              </v:textbox>
            </v:shape>
            <v:shape id="docshape992" o:spid="_x0000_s1376" type="#_x0000_t202" style="position:absolute;left:8249;top:2045;width:572;height:180" filled="f" stroked="f">
              <v:textbox inset="0,0,0,0">
                <w:txbxContent>
                  <w:p w14:paraId="51DEAC75" w14:textId="77777777" w:rsidR="0010369C" w:rsidRDefault="008E43AE">
                    <w:pPr>
                      <w:spacing w:line="180" w:lineRule="exact"/>
                      <w:rPr>
                        <w:sz w:val="18"/>
                      </w:rPr>
                    </w:pPr>
                    <w:r>
                      <w:rPr>
                        <w:color w:val="5E5E5E"/>
                        <w:spacing w:val="-2"/>
                        <w:sz w:val="18"/>
                      </w:rPr>
                      <w:t>(Exhibit</w:t>
                    </w:r>
                  </w:p>
                </w:txbxContent>
              </v:textbox>
            </v:shape>
            <v:shape id="docshape993" o:spid="_x0000_s1375" type="#_x0000_t202" style="position:absolute;top:460;width:1474;height:199" filled="f" stroked="f">
              <v:textbox inset="0,0,0,0">
                <w:txbxContent>
                  <w:p w14:paraId="51DEAC76" w14:textId="77777777" w:rsidR="0010369C" w:rsidRDefault="008E43AE">
                    <w:pPr>
                      <w:spacing w:line="192" w:lineRule="exact"/>
                      <w:ind w:left="21"/>
                      <w:rPr>
                        <w:sz w:val="18"/>
                      </w:rPr>
                    </w:pPr>
                    <w:r>
                      <w:rPr>
                        <w:color w:val="5E5E5E"/>
                        <w:sz w:val="18"/>
                      </w:rPr>
                      <w:t>(Exhibit</w:t>
                    </w:r>
                    <w:r>
                      <w:rPr>
                        <w:color w:val="5E5E5E"/>
                        <w:spacing w:val="-9"/>
                        <w:sz w:val="18"/>
                      </w:rPr>
                      <w:t xml:space="preserve"> </w:t>
                    </w:r>
                    <w:r>
                      <w:rPr>
                        <w:color w:val="5E5E5E"/>
                        <w:sz w:val="18"/>
                      </w:rPr>
                      <w:t>AUS‐8</w:t>
                    </w:r>
                    <w:r>
                      <w:rPr>
                        <w:color w:val="5E5E5E"/>
                        <w:spacing w:val="-9"/>
                        <w:sz w:val="18"/>
                      </w:rPr>
                      <w:t xml:space="preserve"> </w:t>
                    </w:r>
                    <w:r>
                      <w:rPr>
                        <w:color w:val="5E5E5E"/>
                        <w:spacing w:val="-2"/>
                        <w:sz w:val="18"/>
                      </w:rPr>
                      <w:t>(BCI)</w:t>
                    </w:r>
                  </w:p>
                </w:txbxContent>
              </v:textbox>
            </v:shape>
            <w10:anchorlock/>
          </v:group>
        </w:pict>
      </w:r>
    </w:p>
    <w:p w14:paraId="51DE8C63" w14:textId="77777777" w:rsidR="0010369C" w:rsidRDefault="0010369C">
      <w:pPr>
        <w:rPr>
          <w:sz w:val="20"/>
        </w:rPr>
        <w:sectPr w:rsidR="0010369C">
          <w:headerReference w:type="default" r:id="rId693"/>
          <w:footerReference w:type="default" r:id="rId694"/>
          <w:pgSz w:w="11910" w:h="16840"/>
          <w:pgMar w:top="880" w:right="800" w:bottom="980" w:left="1180" w:header="569" w:footer="788" w:gutter="0"/>
          <w:cols w:space="720"/>
        </w:sectPr>
      </w:pPr>
    </w:p>
    <w:p w14:paraId="51DE8C64" w14:textId="77777777" w:rsidR="0010369C" w:rsidRDefault="008E43AE">
      <w:pPr>
        <w:tabs>
          <w:tab w:val="left" w:pos="6426"/>
        </w:tabs>
        <w:ind w:left="238"/>
        <w:rPr>
          <w:sz w:val="20"/>
        </w:rPr>
      </w:pPr>
      <w:r>
        <w:rPr>
          <w:i/>
          <w:sz w:val="20"/>
        </w:rPr>
        <w:lastRenderedPageBreak/>
        <w:t>China</w:t>
      </w:r>
      <w:r>
        <w:rPr>
          <w:i/>
          <w:spacing w:val="-5"/>
          <w:sz w:val="20"/>
        </w:rPr>
        <w:t xml:space="preserve"> </w:t>
      </w:r>
      <w:r>
        <w:rPr>
          <w:i/>
          <w:sz w:val="20"/>
        </w:rPr>
        <w:t>–</w:t>
      </w:r>
      <w:r>
        <w:rPr>
          <w:i/>
          <w:spacing w:val="-5"/>
          <w:sz w:val="20"/>
        </w:rPr>
        <w:t xml:space="preserve"> </w:t>
      </w:r>
      <w:r>
        <w:rPr>
          <w:i/>
          <w:sz w:val="20"/>
        </w:rPr>
        <w:t>Anti‐Dumping</w:t>
      </w:r>
      <w:r>
        <w:rPr>
          <w:i/>
          <w:spacing w:val="-4"/>
          <w:sz w:val="20"/>
        </w:rPr>
        <w:t xml:space="preserve"> </w:t>
      </w:r>
      <w:r>
        <w:rPr>
          <w:i/>
          <w:sz w:val="20"/>
        </w:rPr>
        <w:t>and</w:t>
      </w:r>
      <w:r>
        <w:rPr>
          <w:i/>
          <w:spacing w:val="-5"/>
          <w:sz w:val="20"/>
        </w:rPr>
        <w:t xml:space="preserve"> </w:t>
      </w:r>
      <w:r>
        <w:rPr>
          <w:i/>
          <w:sz w:val="20"/>
        </w:rPr>
        <w:t>Countervailing</w:t>
      </w:r>
      <w:r>
        <w:rPr>
          <w:i/>
          <w:spacing w:val="-5"/>
          <w:sz w:val="20"/>
        </w:rPr>
        <w:t xml:space="preserve"> </w:t>
      </w:r>
      <w:r>
        <w:rPr>
          <w:i/>
          <w:sz w:val="20"/>
        </w:rPr>
        <w:t>Duty</w:t>
      </w:r>
      <w:r>
        <w:rPr>
          <w:i/>
          <w:spacing w:val="-4"/>
          <w:sz w:val="20"/>
        </w:rPr>
        <w:t xml:space="preserve"> </w:t>
      </w:r>
      <w:r>
        <w:rPr>
          <w:i/>
          <w:spacing w:val="-2"/>
          <w:sz w:val="20"/>
        </w:rPr>
        <w:t>Measures</w:t>
      </w:r>
      <w:r>
        <w:rPr>
          <w:i/>
          <w:sz w:val="20"/>
        </w:rPr>
        <w:tab/>
      </w:r>
      <w:r>
        <w:rPr>
          <w:sz w:val="20"/>
        </w:rPr>
        <w:t>Australia's</w:t>
      </w:r>
      <w:r>
        <w:rPr>
          <w:spacing w:val="-7"/>
          <w:sz w:val="20"/>
        </w:rPr>
        <w:t xml:space="preserve"> </w:t>
      </w:r>
      <w:r>
        <w:rPr>
          <w:sz w:val="20"/>
        </w:rPr>
        <w:t>First</w:t>
      </w:r>
      <w:r>
        <w:rPr>
          <w:spacing w:val="-2"/>
          <w:sz w:val="20"/>
        </w:rPr>
        <w:t xml:space="preserve"> </w:t>
      </w:r>
      <w:r>
        <w:rPr>
          <w:sz w:val="20"/>
        </w:rPr>
        <w:t>Written</w:t>
      </w:r>
      <w:r>
        <w:rPr>
          <w:spacing w:val="-2"/>
          <w:sz w:val="20"/>
        </w:rPr>
        <w:t xml:space="preserve"> Submission</w:t>
      </w:r>
    </w:p>
    <w:p w14:paraId="51DE8C65" w14:textId="77777777" w:rsidR="0010369C" w:rsidRDefault="008E43AE">
      <w:pPr>
        <w:tabs>
          <w:tab w:val="left" w:pos="8228"/>
        </w:tabs>
        <w:spacing w:before="1"/>
        <w:ind w:left="239"/>
        <w:rPr>
          <w:sz w:val="20"/>
        </w:rPr>
      </w:pPr>
      <w:r>
        <w:rPr>
          <w:i/>
          <w:sz w:val="20"/>
        </w:rPr>
        <w:t>on</w:t>
      </w:r>
      <w:r>
        <w:rPr>
          <w:i/>
          <w:spacing w:val="-1"/>
          <w:sz w:val="20"/>
        </w:rPr>
        <w:t xml:space="preserve"> </w:t>
      </w:r>
      <w:r>
        <w:rPr>
          <w:i/>
          <w:sz w:val="20"/>
        </w:rPr>
        <w:t>Wine</w:t>
      </w:r>
      <w:r>
        <w:rPr>
          <w:i/>
          <w:spacing w:val="-1"/>
          <w:sz w:val="20"/>
        </w:rPr>
        <w:t xml:space="preserve"> </w:t>
      </w:r>
      <w:r>
        <w:rPr>
          <w:i/>
          <w:sz w:val="20"/>
        </w:rPr>
        <w:t>from</w:t>
      </w:r>
      <w:r>
        <w:rPr>
          <w:i/>
          <w:spacing w:val="-3"/>
          <w:sz w:val="20"/>
        </w:rPr>
        <w:t xml:space="preserve"> </w:t>
      </w:r>
      <w:r>
        <w:rPr>
          <w:i/>
          <w:sz w:val="20"/>
        </w:rPr>
        <w:t>Australia</w:t>
      </w:r>
      <w:r>
        <w:rPr>
          <w:i/>
          <w:spacing w:val="-1"/>
          <w:sz w:val="20"/>
        </w:rPr>
        <w:t xml:space="preserve"> </w:t>
      </w:r>
      <w:r>
        <w:rPr>
          <w:spacing w:val="-2"/>
          <w:sz w:val="20"/>
        </w:rPr>
        <w:t>(DS602)</w:t>
      </w:r>
      <w:r>
        <w:rPr>
          <w:sz w:val="20"/>
        </w:rPr>
        <w:tab/>
        <w:t>29</w:t>
      </w:r>
      <w:r>
        <w:rPr>
          <w:spacing w:val="-1"/>
          <w:sz w:val="20"/>
        </w:rPr>
        <w:t xml:space="preserve"> </w:t>
      </w:r>
      <w:r>
        <w:rPr>
          <w:sz w:val="20"/>
        </w:rPr>
        <w:t>April</w:t>
      </w:r>
      <w:r>
        <w:rPr>
          <w:spacing w:val="-2"/>
          <w:sz w:val="20"/>
        </w:rPr>
        <w:t xml:space="preserve"> </w:t>
      </w:r>
      <w:r>
        <w:rPr>
          <w:spacing w:val="-4"/>
          <w:sz w:val="20"/>
        </w:rPr>
        <w:t>2022</w:t>
      </w:r>
    </w:p>
    <w:p w14:paraId="51DE8C66" w14:textId="77777777" w:rsidR="0010369C" w:rsidRDefault="008E43AE">
      <w:pPr>
        <w:pStyle w:val="Heading4"/>
        <w:numPr>
          <w:ilvl w:val="0"/>
          <w:numId w:val="8"/>
        </w:numPr>
        <w:tabs>
          <w:tab w:val="left" w:pos="2649"/>
          <w:tab w:val="left" w:pos="2650"/>
        </w:tabs>
        <w:spacing w:before="34" w:line="360" w:lineRule="auto"/>
        <w:ind w:right="615" w:hanging="850"/>
      </w:pPr>
      <w:r>
        <w:t>Obligation</w:t>
      </w:r>
      <w:r>
        <w:rPr>
          <w:spacing w:val="40"/>
        </w:rPr>
        <w:t xml:space="preserve"> </w:t>
      </w:r>
      <w:r>
        <w:t>to</w:t>
      </w:r>
      <w:r>
        <w:rPr>
          <w:spacing w:val="40"/>
        </w:rPr>
        <w:t xml:space="preserve"> </w:t>
      </w:r>
      <w:r>
        <w:t>indicate</w:t>
      </w:r>
      <w:r>
        <w:rPr>
          <w:spacing w:val="40"/>
        </w:rPr>
        <w:t xml:space="preserve"> </w:t>
      </w:r>
      <w:r>
        <w:t>in</w:t>
      </w:r>
      <w:r>
        <w:rPr>
          <w:spacing w:val="40"/>
        </w:rPr>
        <w:t xml:space="preserve"> </w:t>
      </w:r>
      <w:r>
        <w:t>a</w:t>
      </w:r>
      <w:r>
        <w:rPr>
          <w:spacing w:val="40"/>
        </w:rPr>
        <w:t xml:space="preserve"> </w:t>
      </w:r>
      <w:r>
        <w:t>timely</w:t>
      </w:r>
      <w:r>
        <w:rPr>
          <w:spacing w:val="40"/>
        </w:rPr>
        <w:t xml:space="preserve"> </w:t>
      </w:r>
      <w:r>
        <w:t>manner</w:t>
      </w:r>
      <w:r>
        <w:rPr>
          <w:spacing w:val="40"/>
        </w:rPr>
        <w:t xml:space="preserve"> </w:t>
      </w:r>
      <w:r>
        <w:t>information</w:t>
      </w:r>
      <w:r>
        <w:rPr>
          <w:spacing w:val="40"/>
        </w:rPr>
        <w:t xml:space="preserve"> </w:t>
      </w:r>
      <w:r>
        <w:t>that</w:t>
      </w:r>
      <w:r>
        <w:rPr>
          <w:spacing w:val="40"/>
        </w:rPr>
        <w:t xml:space="preserve"> </w:t>
      </w:r>
      <w:r>
        <w:t>was necessary to ensure a fair comparison</w:t>
      </w:r>
    </w:p>
    <w:p w14:paraId="51DE8C67" w14:textId="77777777" w:rsidR="0010369C" w:rsidRDefault="0010369C">
      <w:pPr>
        <w:pStyle w:val="BodyText"/>
        <w:spacing w:before="10"/>
        <w:rPr>
          <w:b/>
          <w:sz w:val="8"/>
        </w:rPr>
      </w:pPr>
    </w:p>
    <w:p w14:paraId="51DE8C68" w14:textId="77777777" w:rsidR="0010369C" w:rsidRDefault="008E43AE">
      <w:pPr>
        <w:pStyle w:val="BodyText"/>
        <w:spacing w:before="52" w:line="360" w:lineRule="auto"/>
        <w:ind w:left="237" w:right="613" w:firstLine="851"/>
        <w:jc w:val="both"/>
      </w:pPr>
      <w:r>
        <w:rPr>
          <w:noProof/>
        </w:rPr>
        <w:drawing>
          <wp:anchor distT="0" distB="0" distL="0" distR="0" simplePos="0" relativeHeight="251153920" behindDoc="1" locked="0" layoutInCell="1" allowOverlap="1" wp14:anchorId="51DEA3F4" wp14:editId="51DEA3F5">
            <wp:simplePos x="0" y="0"/>
            <wp:positionH relativeFrom="page">
              <wp:posOffset>902208</wp:posOffset>
            </wp:positionH>
            <wp:positionV relativeFrom="paragraph">
              <wp:posOffset>76785</wp:posOffset>
            </wp:positionV>
            <wp:extent cx="262127" cy="106679"/>
            <wp:effectExtent l="0" t="0" r="0" b="0"/>
            <wp:wrapNone/>
            <wp:docPr id="1031" name="image5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image527.png"/>
                    <pic:cNvPicPr/>
                  </pic:nvPicPr>
                  <pic:blipFill>
                    <a:blip r:embed="rId695" cstate="print"/>
                    <a:stretch>
                      <a:fillRect/>
                    </a:stretch>
                  </pic:blipFill>
                  <pic:spPr>
                    <a:xfrm>
                      <a:off x="0" y="0"/>
                      <a:ext cx="262127" cy="106679"/>
                    </a:xfrm>
                    <a:prstGeom prst="rect">
                      <a:avLst/>
                    </a:prstGeom>
                  </pic:spPr>
                </pic:pic>
              </a:graphicData>
            </a:graphic>
          </wp:anchor>
        </w:drawing>
      </w:r>
      <w:r>
        <w:t>The</w:t>
      </w:r>
      <w:r>
        <w:rPr>
          <w:spacing w:val="-3"/>
        </w:rPr>
        <w:t xml:space="preserve"> </w:t>
      </w:r>
      <w:r>
        <w:t>sixth</w:t>
      </w:r>
      <w:r>
        <w:rPr>
          <w:spacing w:val="-3"/>
        </w:rPr>
        <w:t xml:space="preserve"> </w:t>
      </w:r>
      <w:r>
        <w:t>sentence</w:t>
      </w:r>
      <w:r>
        <w:rPr>
          <w:spacing w:val="-4"/>
        </w:rPr>
        <w:t xml:space="preserve"> </w:t>
      </w:r>
      <w:r>
        <w:t>of</w:t>
      </w:r>
      <w:r>
        <w:rPr>
          <w:spacing w:val="-3"/>
        </w:rPr>
        <w:t xml:space="preserve"> </w:t>
      </w:r>
      <w:r>
        <w:t>Article</w:t>
      </w:r>
      <w:r>
        <w:rPr>
          <w:spacing w:val="-4"/>
        </w:rPr>
        <w:t xml:space="preserve"> </w:t>
      </w:r>
      <w:r>
        <w:t>2.4</w:t>
      </w:r>
      <w:r>
        <w:rPr>
          <w:spacing w:val="-3"/>
        </w:rPr>
        <w:t xml:space="preserve"> </w:t>
      </w:r>
      <w:r>
        <w:t>requires</w:t>
      </w:r>
      <w:r>
        <w:rPr>
          <w:spacing w:val="-4"/>
        </w:rPr>
        <w:t xml:space="preserve"> </w:t>
      </w:r>
      <w:r>
        <w:t>investigating</w:t>
      </w:r>
      <w:r>
        <w:rPr>
          <w:spacing w:val="-2"/>
        </w:rPr>
        <w:t xml:space="preserve"> </w:t>
      </w:r>
      <w:r>
        <w:t>authorities</w:t>
      </w:r>
      <w:r>
        <w:rPr>
          <w:spacing w:val="-3"/>
        </w:rPr>
        <w:t xml:space="preserve"> </w:t>
      </w:r>
      <w:r>
        <w:t>to</w:t>
      </w:r>
      <w:r>
        <w:rPr>
          <w:spacing w:val="-3"/>
        </w:rPr>
        <w:t xml:space="preserve"> </w:t>
      </w:r>
      <w:r>
        <w:t>"indicate</w:t>
      </w:r>
      <w:r>
        <w:rPr>
          <w:spacing w:val="-3"/>
        </w:rPr>
        <w:t xml:space="preserve"> </w:t>
      </w:r>
      <w:r>
        <w:t>to</w:t>
      </w:r>
      <w:r>
        <w:rPr>
          <w:spacing w:val="-3"/>
        </w:rPr>
        <w:t xml:space="preserve"> </w:t>
      </w:r>
      <w:r>
        <w:t>the parties in question what information is necessary to ensure a fair comparison". Such information</w:t>
      </w:r>
      <w:r>
        <w:rPr>
          <w:spacing w:val="-3"/>
        </w:rPr>
        <w:t xml:space="preserve"> </w:t>
      </w:r>
      <w:r>
        <w:t>must</w:t>
      </w:r>
      <w:r>
        <w:rPr>
          <w:spacing w:val="-3"/>
        </w:rPr>
        <w:t xml:space="preserve"> </w:t>
      </w:r>
      <w:r>
        <w:t>be</w:t>
      </w:r>
      <w:r>
        <w:rPr>
          <w:spacing w:val="-3"/>
        </w:rPr>
        <w:t xml:space="preserve"> </w:t>
      </w:r>
      <w:r>
        <w:t>indicated</w:t>
      </w:r>
      <w:r>
        <w:rPr>
          <w:spacing w:val="-3"/>
        </w:rPr>
        <w:t xml:space="preserve"> </w:t>
      </w:r>
      <w:r>
        <w:t>early</w:t>
      </w:r>
      <w:r>
        <w:rPr>
          <w:spacing w:val="-3"/>
        </w:rPr>
        <w:t xml:space="preserve"> </w:t>
      </w:r>
      <w:r>
        <w:t>enough</w:t>
      </w:r>
      <w:r>
        <w:rPr>
          <w:spacing w:val="-3"/>
        </w:rPr>
        <w:t xml:space="preserve"> </w:t>
      </w:r>
      <w:r>
        <w:t>so</w:t>
      </w:r>
      <w:r>
        <w:rPr>
          <w:spacing w:val="-3"/>
        </w:rPr>
        <w:t xml:space="preserve"> </w:t>
      </w:r>
      <w:r>
        <w:t>that</w:t>
      </w:r>
      <w:r>
        <w:rPr>
          <w:spacing w:val="-3"/>
        </w:rPr>
        <w:t xml:space="preserve"> </w:t>
      </w:r>
      <w:r>
        <w:t>the</w:t>
      </w:r>
      <w:r>
        <w:rPr>
          <w:spacing w:val="-3"/>
        </w:rPr>
        <w:t xml:space="preserve"> </w:t>
      </w:r>
      <w:r>
        <w:t>interested</w:t>
      </w:r>
      <w:r>
        <w:rPr>
          <w:spacing w:val="-3"/>
        </w:rPr>
        <w:t xml:space="preserve"> </w:t>
      </w:r>
      <w:r>
        <w:t>parties</w:t>
      </w:r>
      <w:r>
        <w:rPr>
          <w:spacing w:val="-3"/>
        </w:rPr>
        <w:t xml:space="preserve"> </w:t>
      </w:r>
      <w:r>
        <w:t>can</w:t>
      </w:r>
      <w:r>
        <w:rPr>
          <w:spacing w:val="-3"/>
        </w:rPr>
        <w:t xml:space="preserve"> </w:t>
      </w:r>
      <w:r>
        <w:t>make</w:t>
      </w:r>
      <w:r>
        <w:rPr>
          <w:spacing w:val="-3"/>
        </w:rPr>
        <w:t xml:space="preserve"> </w:t>
      </w:r>
      <w:r>
        <w:t>requests for adjustments to ensure a fair comparison between normal value and export</w:t>
      </w:r>
      <w:r>
        <w:t xml:space="preserve"> price before the</w:t>
      </w:r>
      <w:r>
        <w:rPr>
          <w:spacing w:val="-9"/>
        </w:rPr>
        <w:t xml:space="preserve"> </w:t>
      </w:r>
      <w:r>
        <w:t>dumping</w:t>
      </w:r>
      <w:r>
        <w:rPr>
          <w:spacing w:val="-8"/>
        </w:rPr>
        <w:t xml:space="preserve"> </w:t>
      </w:r>
      <w:r>
        <w:t>margin</w:t>
      </w:r>
      <w:r>
        <w:rPr>
          <w:spacing w:val="-10"/>
        </w:rPr>
        <w:t xml:space="preserve"> </w:t>
      </w:r>
      <w:r>
        <w:t>is</w:t>
      </w:r>
      <w:r>
        <w:rPr>
          <w:spacing w:val="-10"/>
        </w:rPr>
        <w:t xml:space="preserve"> </w:t>
      </w:r>
      <w:r>
        <w:t>determined.</w:t>
      </w:r>
      <w:r>
        <w:rPr>
          <w:vertAlign w:val="superscript"/>
        </w:rPr>
        <w:t>560</w:t>
      </w:r>
      <w:r>
        <w:rPr>
          <w:spacing w:val="-11"/>
        </w:rPr>
        <w:t xml:space="preserve"> </w:t>
      </w:r>
      <w:r>
        <w:t>Even</w:t>
      </w:r>
      <w:r>
        <w:rPr>
          <w:spacing w:val="-10"/>
        </w:rPr>
        <w:t xml:space="preserve"> </w:t>
      </w:r>
      <w:r>
        <w:t>if</w:t>
      </w:r>
      <w:r>
        <w:rPr>
          <w:spacing w:val="-10"/>
        </w:rPr>
        <w:t xml:space="preserve"> </w:t>
      </w:r>
      <w:r>
        <w:t>the</w:t>
      </w:r>
      <w:r>
        <w:rPr>
          <w:spacing w:val="-9"/>
        </w:rPr>
        <w:t xml:space="preserve"> </w:t>
      </w:r>
      <w:r>
        <w:t>information</w:t>
      </w:r>
      <w:r>
        <w:rPr>
          <w:spacing w:val="-9"/>
        </w:rPr>
        <w:t xml:space="preserve"> </w:t>
      </w:r>
      <w:r>
        <w:t>is</w:t>
      </w:r>
      <w:r>
        <w:rPr>
          <w:spacing w:val="-10"/>
        </w:rPr>
        <w:t xml:space="preserve"> </w:t>
      </w:r>
      <w:r>
        <w:t>confidential,</w:t>
      </w:r>
      <w:r>
        <w:rPr>
          <w:spacing w:val="-10"/>
        </w:rPr>
        <w:t xml:space="preserve"> </w:t>
      </w:r>
      <w:r>
        <w:t>the</w:t>
      </w:r>
      <w:r>
        <w:rPr>
          <w:spacing w:val="-9"/>
        </w:rPr>
        <w:t xml:space="preserve"> </w:t>
      </w:r>
      <w:r>
        <w:t>investigating authority</w:t>
      </w:r>
      <w:r>
        <w:rPr>
          <w:spacing w:val="-9"/>
        </w:rPr>
        <w:t xml:space="preserve"> </w:t>
      </w:r>
      <w:r>
        <w:t>still</w:t>
      </w:r>
      <w:r>
        <w:rPr>
          <w:spacing w:val="-10"/>
        </w:rPr>
        <w:t xml:space="preserve"> </w:t>
      </w:r>
      <w:r>
        <w:t>needs</w:t>
      </w:r>
      <w:r>
        <w:rPr>
          <w:spacing w:val="-10"/>
        </w:rPr>
        <w:t xml:space="preserve"> </w:t>
      </w:r>
      <w:r>
        <w:t>to</w:t>
      </w:r>
      <w:r>
        <w:rPr>
          <w:spacing w:val="-9"/>
        </w:rPr>
        <w:t xml:space="preserve"> </w:t>
      </w:r>
      <w:r>
        <w:t>make</w:t>
      </w:r>
      <w:r>
        <w:rPr>
          <w:spacing w:val="-9"/>
        </w:rPr>
        <w:t xml:space="preserve"> </w:t>
      </w:r>
      <w:r>
        <w:t>its</w:t>
      </w:r>
      <w:r>
        <w:rPr>
          <w:spacing w:val="-10"/>
        </w:rPr>
        <w:t xml:space="preserve"> </w:t>
      </w:r>
      <w:r>
        <w:t>best</w:t>
      </w:r>
      <w:r>
        <w:rPr>
          <w:spacing w:val="-9"/>
        </w:rPr>
        <w:t xml:space="preserve"> </w:t>
      </w:r>
      <w:r>
        <w:t>efforts</w:t>
      </w:r>
      <w:r>
        <w:rPr>
          <w:spacing w:val="-11"/>
        </w:rPr>
        <w:t xml:space="preserve"> </w:t>
      </w:r>
      <w:r>
        <w:t>to</w:t>
      </w:r>
      <w:r>
        <w:rPr>
          <w:spacing w:val="-9"/>
        </w:rPr>
        <w:t xml:space="preserve"> </w:t>
      </w:r>
      <w:r>
        <w:t>disclose</w:t>
      </w:r>
      <w:r>
        <w:rPr>
          <w:spacing w:val="-8"/>
        </w:rPr>
        <w:t xml:space="preserve"> </w:t>
      </w:r>
      <w:r>
        <w:t>the</w:t>
      </w:r>
      <w:r>
        <w:rPr>
          <w:spacing w:val="-9"/>
        </w:rPr>
        <w:t xml:space="preserve"> </w:t>
      </w:r>
      <w:r>
        <w:t>information</w:t>
      </w:r>
      <w:r>
        <w:rPr>
          <w:spacing w:val="-10"/>
        </w:rPr>
        <w:t xml:space="preserve"> </w:t>
      </w:r>
      <w:r>
        <w:t>that</w:t>
      </w:r>
      <w:r>
        <w:rPr>
          <w:spacing w:val="-10"/>
        </w:rPr>
        <w:t xml:space="preserve"> </w:t>
      </w:r>
      <w:r>
        <w:t>was</w:t>
      </w:r>
      <w:r>
        <w:rPr>
          <w:spacing w:val="-10"/>
        </w:rPr>
        <w:t xml:space="preserve"> </w:t>
      </w:r>
      <w:r>
        <w:t>necessary</w:t>
      </w:r>
      <w:r>
        <w:rPr>
          <w:spacing w:val="-9"/>
        </w:rPr>
        <w:t xml:space="preserve"> </w:t>
      </w:r>
      <w:r>
        <w:t>for the interested parties to meaningfully participate in the fair comparison process.</w:t>
      </w:r>
      <w:r>
        <w:rPr>
          <w:vertAlign w:val="superscript"/>
        </w:rPr>
        <w:t>561</w:t>
      </w:r>
      <w:r>
        <w:t xml:space="preserve"> For example, the investigating authority could prepare a non‐confidential summary.</w:t>
      </w:r>
      <w:r>
        <w:rPr>
          <w:vertAlign w:val="superscript"/>
        </w:rPr>
        <w:t>562</w:t>
      </w:r>
    </w:p>
    <w:p w14:paraId="51DE8C69" w14:textId="77777777" w:rsidR="0010369C" w:rsidRDefault="0010369C">
      <w:pPr>
        <w:pStyle w:val="BodyText"/>
        <w:spacing w:before="10"/>
        <w:rPr>
          <w:sz w:val="8"/>
        </w:rPr>
      </w:pPr>
    </w:p>
    <w:p w14:paraId="51DE8C6A" w14:textId="77777777" w:rsidR="0010369C" w:rsidRDefault="008E43AE">
      <w:pPr>
        <w:spacing w:before="52" w:line="360" w:lineRule="auto"/>
        <w:ind w:left="237" w:right="613" w:firstLine="851"/>
        <w:jc w:val="both"/>
        <w:rPr>
          <w:sz w:val="24"/>
        </w:rPr>
      </w:pPr>
      <w:r>
        <w:rPr>
          <w:noProof/>
        </w:rPr>
        <w:drawing>
          <wp:anchor distT="0" distB="0" distL="0" distR="0" simplePos="0" relativeHeight="251154944" behindDoc="1" locked="0" layoutInCell="1" allowOverlap="1" wp14:anchorId="51DEA3F6" wp14:editId="51DEA3F7">
            <wp:simplePos x="0" y="0"/>
            <wp:positionH relativeFrom="page">
              <wp:posOffset>902208</wp:posOffset>
            </wp:positionH>
            <wp:positionV relativeFrom="paragraph">
              <wp:posOffset>80595</wp:posOffset>
            </wp:positionV>
            <wp:extent cx="262127" cy="103631"/>
            <wp:effectExtent l="0" t="0" r="0" b="0"/>
            <wp:wrapNone/>
            <wp:docPr id="1033" name="image5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image528.png"/>
                    <pic:cNvPicPr/>
                  </pic:nvPicPr>
                  <pic:blipFill>
                    <a:blip r:embed="rId696" cstate="print"/>
                    <a:stretch>
                      <a:fillRect/>
                    </a:stretch>
                  </pic:blipFill>
                  <pic:spPr>
                    <a:xfrm>
                      <a:off x="0" y="0"/>
                      <a:ext cx="262127" cy="103631"/>
                    </a:xfrm>
                    <a:prstGeom prst="rect">
                      <a:avLst/>
                    </a:prstGeom>
                  </pic:spPr>
                </pic:pic>
              </a:graphicData>
            </a:graphic>
          </wp:anchor>
        </w:drawing>
      </w:r>
      <w:r>
        <w:rPr>
          <w:sz w:val="24"/>
        </w:rPr>
        <w:t>In most cases, a disclosure of essential facts under Article 6.9 will not fulf</w:t>
      </w:r>
      <w:r>
        <w:rPr>
          <w:sz w:val="24"/>
        </w:rPr>
        <w:t xml:space="preserve">il the requirements of Article 2.4. However, as the Appellate Body explained in </w:t>
      </w:r>
      <w:r>
        <w:rPr>
          <w:i/>
          <w:sz w:val="24"/>
        </w:rPr>
        <w:t>EC – Fasteners (China) (Article 21.5 China)</w:t>
      </w:r>
      <w:r>
        <w:rPr>
          <w:sz w:val="24"/>
        </w:rPr>
        <w:t>:</w:t>
      </w:r>
    </w:p>
    <w:p w14:paraId="51DE8C6B" w14:textId="77777777" w:rsidR="0010369C" w:rsidRDefault="008E43AE">
      <w:pPr>
        <w:spacing w:before="161" w:line="276" w:lineRule="auto"/>
        <w:ind w:left="1088" w:right="613"/>
        <w:jc w:val="both"/>
      </w:pPr>
      <w:r>
        <w:t>whether information shared at the end of an on‐going dialogue under Article 2.4 is timely enough</w:t>
      </w:r>
      <w:r>
        <w:rPr>
          <w:spacing w:val="-13"/>
        </w:rPr>
        <w:t xml:space="preserve"> </w:t>
      </w:r>
      <w:r>
        <w:t>to</w:t>
      </w:r>
      <w:r>
        <w:rPr>
          <w:spacing w:val="-12"/>
        </w:rPr>
        <w:t xml:space="preserve"> </w:t>
      </w:r>
      <w:r>
        <w:t>ensure</w:t>
      </w:r>
      <w:r>
        <w:rPr>
          <w:spacing w:val="-13"/>
        </w:rPr>
        <w:t xml:space="preserve"> </w:t>
      </w:r>
      <w:r>
        <w:t>a</w:t>
      </w:r>
      <w:r>
        <w:rPr>
          <w:spacing w:val="-12"/>
        </w:rPr>
        <w:t xml:space="preserve"> </w:t>
      </w:r>
      <w:r>
        <w:t>fair</w:t>
      </w:r>
      <w:r>
        <w:rPr>
          <w:spacing w:val="-13"/>
        </w:rPr>
        <w:t xml:space="preserve"> </w:t>
      </w:r>
      <w:r>
        <w:t>comparison</w:t>
      </w:r>
      <w:r>
        <w:rPr>
          <w:spacing w:val="-12"/>
        </w:rPr>
        <w:t xml:space="preserve"> </w:t>
      </w:r>
      <w:r>
        <w:t>betwee</w:t>
      </w:r>
      <w:r>
        <w:t>n</w:t>
      </w:r>
      <w:r>
        <w:rPr>
          <w:spacing w:val="-13"/>
        </w:rPr>
        <w:t xml:space="preserve"> </w:t>
      </w:r>
      <w:r>
        <w:t>normal</w:t>
      </w:r>
      <w:r>
        <w:rPr>
          <w:spacing w:val="-12"/>
        </w:rPr>
        <w:t xml:space="preserve"> </w:t>
      </w:r>
      <w:r>
        <w:t>value</w:t>
      </w:r>
      <w:r>
        <w:rPr>
          <w:spacing w:val="-12"/>
        </w:rPr>
        <w:t xml:space="preserve"> </w:t>
      </w:r>
      <w:r>
        <w:t>and</w:t>
      </w:r>
      <w:r>
        <w:rPr>
          <w:spacing w:val="-13"/>
        </w:rPr>
        <w:t xml:space="preserve"> </w:t>
      </w:r>
      <w:r>
        <w:t>export</w:t>
      </w:r>
      <w:r>
        <w:rPr>
          <w:spacing w:val="-12"/>
        </w:rPr>
        <w:t xml:space="preserve"> </w:t>
      </w:r>
      <w:r>
        <w:t>price</w:t>
      </w:r>
      <w:r>
        <w:rPr>
          <w:spacing w:val="-13"/>
        </w:rPr>
        <w:t xml:space="preserve"> </w:t>
      </w:r>
      <w:r>
        <w:t>must</w:t>
      </w:r>
      <w:r>
        <w:rPr>
          <w:spacing w:val="-12"/>
        </w:rPr>
        <w:t xml:space="preserve"> </w:t>
      </w:r>
      <w:r>
        <w:t>be</w:t>
      </w:r>
      <w:r>
        <w:rPr>
          <w:spacing w:val="-13"/>
        </w:rPr>
        <w:t xml:space="preserve"> </w:t>
      </w:r>
      <w:r>
        <w:t>assessed on a case‐by‐case basis, by assessing whether interested parties had a meaningful opportunity</w:t>
      </w:r>
      <w:r>
        <w:rPr>
          <w:spacing w:val="-13"/>
        </w:rPr>
        <w:t xml:space="preserve"> </w:t>
      </w:r>
      <w:r>
        <w:t>to</w:t>
      </w:r>
      <w:r>
        <w:rPr>
          <w:spacing w:val="-12"/>
        </w:rPr>
        <w:t xml:space="preserve"> </w:t>
      </w:r>
      <w:r>
        <w:t>request</w:t>
      </w:r>
      <w:r>
        <w:rPr>
          <w:spacing w:val="-13"/>
        </w:rPr>
        <w:t xml:space="preserve"> </w:t>
      </w:r>
      <w:r>
        <w:t>adjustments</w:t>
      </w:r>
      <w:r>
        <w:rPr>
          <w:spacing w:val="-12"/>
        </w:rPr>
        <w:t xml:space="preserve"> </w:t>
      </w:r>
      <w:r>
        <w:t>in</w:t>
      </w:r>
      <w:r>
        <w:rPr>
          <w:spacing w:val="-13"/>
        </w:rPr>
        <w:t xml:space="preserve"> </w:t>
      </w:r>
      <w:r>
        <w:t>the</w:t>
      </w:r>
      <w:r>
        <w:rPr>
          <w:spacing w:val="-12"/>
        </w:rPr>
        <w:t xml:space="preserve"> </w:t>
      </w:r>
      <w:r>
        <w:t>light</w:t>
      </w:r>
      <w:r>
        <w:rPr>
          <w:spacing w:val="-13"/>
        </w:rPr>
        <w:t xml:space="preserve"> </w:t>
      </w:r>
      <w:r>
        <w:t>of</w:t>
      </w:r>
      <w:r>
        <w:rPr>
          <w:spacing w:val="-12"/>
        </w:rPr>
        <w:t xml:space="preserve"> </w:t>
      </w:r>
      <w:r>
        <w:t>the</w:t>
      </w:r>
      <w:r>
        <w:rPr>
          <w:spacing w:val="-12"/>
        </w:rPr>
        <w:t xml:space="preserve"> </w:t>
      </w:r>
      <w:r>
        <w:t>information</w:t>
      </w:r>
      <w:r>
        <w:rPr>
          <w:spacing w:val="-13"/>
        </w:rPr>
        <w:t xml:space="preserve"> </w:t>
      </w:r>
      <w:r>
        <w:t>shared</w:t>
      </w:r>
      <w:r>
        <w:rPr>
          <w:spacing w:val="-12"/>
        </w:rPr>
        <w:t xml:space="preserve"> </w:t>
      </w:r>
      <w:r>
        <w:t>by</w:t>
      </w:r>
      <w:r>
        <w:rPr>
          <w:spacing w:val="-13"/>
        </w:rPr>
        <w:t xml:space="preserve"> </w:t>
      </w:r>
      <w:r>
        <w:t>the</w:t>
      </w:r>
      <w:r>
        <w:rPr>
          <w:spacing w:val="-12"/>
        </w:rPr>
        <w:t xml:space="preserve"> </w:t>
      </w:r>
      <w:r>
        <w:t>investigating authority towards the end of that dialogue.</w:t>
      </w:r>
      <w:r>
        <w:rPr>
          <w:vertAlign w:val="superscript"/>
        </w:rPr>
        <w:t>563</w:t>
      </w:r>
    </w:p>
    <w:p w14:paraId="51DE8C6C" w14:textId="77777777" w:rsidR="0010369C" w:rsidRDefault="0010369C">
      <w:pPr>
        <w:pStyle w:val="BodyText"/>
        <w:spacing w:before="5"/>
        <w:rPr>
          <w:sz w:val="15"/>
        </w:rPr>
      </w:pPr>
    </w:p>
    <w:p w14:paraId="51DE8C6D" w14:textId="77777777" w:rsidR="0010369C" w:rsidRDefault="008E43AE">
      <w:pPr>
        <w:pStyle w:val="BodyText"/>
        <w:spacing w:before="51" w:line="360" w:lineRule="auto"/>
        <w:ind w:left="236" w:right="613" w:firstLine="852"/>
        <w:jc w:val="both"/>
      </w:pPr>
      <w:r>
        <w:rPr>
          <w:noProof/>
        </w:rPr>
        <w:drawing>
          <wp:anchor distT="0" distB="0" distL="0" distR="0" simplePos="0" relativeHeight="251155968" behindDoc="1" locked="0" layoutInCell="1" allowOverlap="1" wp14:anchorId="51DEA3F8" wp14:editId="51DEA3F9">
            <wp:simplePos x="0" y="0"/>
            <wp:positionH relativeFrom="page">
              <wp:posOffset>902208</wp:posOffset>
            </wp:positionH>
            <wp:positionV relativeFrom="paragraph">
              <wp:posOffset>80722</wp:posOffset>
            </wp:positionV>
            <wp:extent cx="262127" cy="103631"/>
            <wp:effectExtent l="0" t="0" r="0" b="0"/>
            <wp:wrapNone/>
            <wp:docPr id="1035" name="image5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 name="image529.png"/>
                    <pic:cNvPicPr/>
                  </pic:nvPicPr>
                  <pic:blipFill>
                    <a:blip r:embed="rId697" cstate="print"/>
                    <a:stretch>
                      <a:fillRect/>
                    </a:stretch>
                  </pic:blipFill>
                  <pic:spPr>
                    <a:xfrm>
                      <a:off x="0" y="0"/>
                      <a:ext cx="262127" cy="103631"/>
                    </a:xfrm>
                    <a:prstGeom prst="rect">
                      <a:avLst/>
                    </a:prstGeom>
                  </pic:spPr>
                </pic:pic>
              </a:graphicData>
            </a:graphic>
          </wp:anchor>
        </w:drawing>
      </w:r>
      <w:r>
        <w:t>Which specific allowances should be made in any case depends very much on the facts surrounding the calculation of export price and normal value.</w:t>
      </w:r>
      <w:r>
        <w:rPr>
          <w:vertAlign w:val="superscript"/>
        </w:rPr>
        <w:t>564</w:t>
      </w:r>
      <w:r>
        <w:t xml:space="preserve"> Thus, the manner in which a normal value or </w:t>
      </w:r>
      <w:r>
        <w:t>export price is determined could be pertinent to the question of whether the investigating authority is conducting a fair comparison within the meaning of Article 2.4. As discussed above, the facts surrounding the calculation of normal values for Casella</w:t>
      </w:r>
      <w:r>
        <w:rPr>
          <w:spacing w:val="-5"/>
        </w:rPr>
        <w:t xml:space="preserve"> </w:t>
      </w:r>
      <w:r>
        <w:t>W</w:t>
      </w:r>
      <w:r>
        <w:t>ines</w:t>
      </w:r>
      <w:r>
        <w:rPr>
          <w:spacing w:val="-7"/>
        </w:rPr>
        <w:t xml:space="preserve"> </w:t>
      </w:r>
      <w:r>
        <w:t>and</w:t>
      </w:r>
      <w:r>
        <w:rPr>
          <w:spacing w:val="-6"/>
        </w:rPr>
        <w:t xml:space="preserve"> </w:t>
      </w:r>
      <w:r>
        <w:t>Swan</w:t>
      </w:r>
      <w:r>
        <w:rPr>
          <w:spacing w:val="-6"/>
        </w:rPr>
        <w:t xml:space="preserve"> </w:t>
      </w:r>
      <w:r>
        <w:t>Vintage</w:t>
      </w:r>
      <w:r>
        <w:rPr>
          <w:spacing w:val="-5"/>
        </w:rPr>
        <w:t xml:space="preserve"> </w:t>
      </w:r>
      <w:r>
        <w:t>were</w:t>
      </w:r>
      <w:r>
        <w:rPr>
          <w:spacing w:val="-5"/>
        </w:rPr>
        <w:t xml:space="preserve"> </w:t>
      </w:r>
      <w:r>
        <w:t>clearly</w:t>
      </w:r>
      <w:r>
        <w:rPr>
          <w:spacing w:val="-6"/>
        </w:rPr>
        <w:t xml:space="preserve"> </w:t>
      </w:r>
      <w:r>
        <w:t>pertinent</w:t>
      </w:r>
      <w:r>
        <w:rPr>
          <w:spacing w:val="-6"/>
        </w:rPr>
        <w:t xml:space="preserve"> </w:t>
      </w:r>
      <w:r>
        <w:t>to</w:t>
      </w:r>
      <w:r>
        <w:rPr>
          <w:spacing w:val="-6"/>
        </w:rPr>
        <w:t xml:space="preserve"> </w:t>
      </w:r>
      <w:r>
        <w:t>whether</w:t>
      </w:r>
      <w:r>
        <w:rPr>
          <w:spacing w:val="-6"/>
        </w:rPr>
        <w:t xml:space="preserve"> </w:t>
      </w:r>
      <w:r>
        <w:t>adjustments</w:t>
      </w:r>
      <w:r>
        <w:rPr>
          <w:spacing w:val="-6"/>
        </w:rPr>
        <w:t xml:space="preserve"> </w:t>
      </w:r>
      <w:r>
        <w:t>were</w:t>
      </w:r>
      <w:r>
        <w:rPr>
          <w:spacing w:val="-5"/>
        </w:rPr>
        <w:t xml:space="preserve"> </w:t>
      </w:r>
      <w:r>
        <w:t xml:space="preserve">needed for, </w:t>
      </w:r>
      <w:r>
        <w:rPr>
          <w:i/>
        </w:rPr>
        <w:t>inter alia</w:t>
      </w:r>
      <w:r>
        <w:t>, level of trade, timing, and physical characteristics, including product quality.</w:t>
      </w:r>
    </w:p>
    <w:p w14:paraId="51DE8C6E" w14:textId="77777777" w:rsidR="0010369C" w:rsidRDefault="0010369C">
      <w:pPr>
        <w:pStyle w:val="BodyText"/>
        <w:spacing w:before="11"/>
        <w:rPr>
          <w:sz w:val="8"/>
        </w:rPr>
      </w:pPr>
    </w:p>
    <w:p w14:paraId="51DE8C6F" w14:textId="77777777" w:rsidR="0010369C" w:rsidRDefault="008E43AE">
      <w:pPr>
        <w:pStyle w:val="BodyText"/>
        <w:spacing w:before="52" w:line="360" w:lineRule="auto"/>
        <w:ind w:left="237" w:right="613" w:firstLine="851"/>
        <w:jc w:val="both"/>
      </w:pPr>
      <w:r>
        <w:rPr>
          <w:noProof/>
        </w:rPr>
        <w:drawing>
          <wp:anchor distT="0" distB="0" distL="0" distR="0" simplePos="0" relativeHeight="251156992" behindDoc="1" locked="0" layoutInCell="1" allowOverlap="1" wp14:anchorId="51DEA3FA" wp14:editId="51DEA3FB">
            <wp:simplePos x="0" y="0"/>
            <wp:positionH relativeFrom="page">
              <wp:posOffset>902208</wp:posOffset>
            </wp:positionH>
            <wp:positionV relativeFrom="paragraph">
              <wp:posOffset>80595</wp:posOffset>
            </wp:positionV>
            <wp:extent cx="262127" cy="103632"/>
            <wp:effectExtent l="0" t="0" r="0" b="0"/>
            <wp:wrapNone/>
            <wp:docPr id="1037" name="image5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 name="image530.png"/>
                    <pic:cNvPicPr/>
                  </pic:nvPicPr>
                  <pic:blipFill>
                    <a:blip r:embed="rId698" cstate="print"/>
                    <a:stretch>
                      <a:fillRect/>
                    </a:stretch>
                  </pic:blipFill>
                  <pic:spPr>
                    <a:xfrm>
                      <a:off x="0" y="0"/>
                      <a:ext cx="262127" cy="103632"/>
                    </a:xfrm>
                    <a:prstGeom prst="rect">
                      <a:avLst/>
                    </a:prstGeom>
                  </pic:spPr>
                </pic:pic>
              </a:graphicData>
            </a:graphic>
          </wp:anchor>
        </w:drawing>
      </w:r>
      <w:r>
        <w:t>MOFCOM first disclosed the methods of calculation for Casella Wines' and Swan Vintage's</w:t>
      </w:r>
      <w:r>
        <w:rPr>
          <w:spacing w:val="-2"/>
        </w:rPr>
        <w:t xml:space="preserve"> </w:t>
      </w:r>
      <w:r>
        <w:t>normal</w:t>
      </w:r>
      <w:r>
        <w:rPr>
          <w:spacing w:val="-2"/>
        </w:rPr>
        <w:t xml:space="preserve"> </w:t>
      </w:r>
      <w:r>
        <w:t>values</w:t>
      </w:r>
      <w:r>
        <w:rPr>
          <w:spacing w:val="-4"/>
        </w:rPr>
        <w:t xml:space="preserve"> </w:t>
      </w:r>
      <w:r>
        <w:t>in</w:t>
      </w:r>
      <w:r>
        <w:rPr>
          <w:spacing w:val="-3"/>
        </w:rPr>
        <w:t xml:space="preserve"> </w:t>
      </w:r>
      <w:r>
        <w:t>the</w:t>
      </w:r>
      <w:r>
        <w:rPr>
          <w:spacing w:val="-2"/>
        </w:rPr>
        <w:t xml:space="preserve"> </w:t>
      </w:r>
      <w:r>
        <w:t>Final</w:t>
      </w:r>
      <w:r>
        <w:rPr>
          <w:spacing w:val="-2"/>
        </w:rPr>
        <w:t xml:space="preserve"> </w:t>
      </w:r>
      <w:r>
        <w:t>Disclosure</w:t>
      </w:r>
      <w:r>
        <w:rPr>
          <w:spacing w:val="-1"/>
        </w:rPr>
        <w:t xml:space="preserve"> </w:t>
      </w:r>
      <w:r>
        <w:t>issued</w:t>
      </w:r>
      <w:r>
        <w:rPr>
          <w:spacing w:val="-3"/>
        </w:rPr>
        <w:t xml:space="preserve"> </w:t>
      </w:r>
      <w:r>
        <w:t>on</w:t>
      </w:r>
      <w:r>
        <w:rPr>
          <w:spacing w:val="-3"/>
        </w:rPr>
        <w:t xml:space="preserve"> </w:t>
      </w:r>
      <w:r>
        <w:t>12</w:t>
      </w:r>
      <w:r>
        <w:rPr>
          <w:spacing w:val="-1"/>
        </w:rPr>
        <w:t xml:space="preserve"> </w:t>
      </w:r>
      <w:r>
        <w:t>March</w:t>
      </w:r>
      <w:r>
        <w:rPr>
          <w:spacing w:val="-3"/>
        </w:rPr>
        <w:t xml:space="preserve"> </w:t>
      </w:r>
      <w:r>
        <w:t>2021,</w:t>
      </w:r>
      <w:r>
        <w:rPr>
          <w:spacing w:val="-3"/>
        </w:rPr>
        <w:t xml:space="preserve"> </w:t>
      </w:r>
      <w:r>
        <w:t>with</w:t>
      </w:r>
      <w:r>
        <w:rPr>
          <w:spacing w:val="-3"/>
        </w:rPr>
        <w:t xml:space="preserve"> </w:t>
      </w:r>
      <w:r>
        <w:t>comments</w:t>
      </w:r>
      <w:r>
        <w:rPr>
          <w:spacing w:val="-3"/>
        </w:rPr>
        <w:t xml:space="preserve"> </w:t>
      </w:r>
      <w:r>
        <w:t>due 10</w:t>
      </w:r>
      <w:r>
        <w:rPr>
          <w:spacing w:val="-2"/>
        </w:rPr>
        <w:t xml:space="preserve"> </w:t>
      </w:r>
      <w:r>
        <w:t>days</w:t>
      </w:r>
      <w:r>
        <w:rPr>
          <w:spacing w:val="-2"/>
        </w:rPr>
        <w:t xml:space="preserve"> </w:t>
      </w:r>
      <w:r>
        <w:t>later</w:t>
      </w:r>
      <w:r>
        <w:rPr>
          <w:spacing w:val="-1"/>
        </w:rPr>
        <w:t xml:space="preserve"> </w:t>
      </w:r>
      <w:r>
        <w:t>on</w:t>
      </w:r>
      <w:r>
        <w:rPr>
          <w:spacing w:val="-2"/>
        </w:rPr>
        <w:t xml:space="preserve"> </w:t>
      </w:r>
      <w:r>
        <w:t>22</w:t>
      </w:r>
      <w:r>
        <w:rPr>
          <w:spacing w:val="-6"/>
        </w:rPr>
        <w:t xml:space="preserve"> </w:t>
      </w:r>
      <w:r>
        <w:t>March</w:t>
      </w:r>
      <w:r>
        <w:rPr>
          <w:spacing w:val="-7"/>
        </w:rPr>
        <w:t xml:space="preserve"> </w:t>
      </w:r>
      <w:r>
        <w:t>2021,</w:t>
      </w:r>
      <w:r>
        <w:rPr>
          <w:spacing w:val="-1"/>
        </w:rPr>
        <w:t xml:space="preserve"> </w:t>
      </w:r>
      <w:r>
        <w:t>just</w:t>
      </w:r>
      <w:r>
        <w:rPr>
          <w:spacing w:val="-2"/>
        </w:rPr>
        <w:t xml:space="preserve"> </w:t>
      </w:r>
      <w:r>
        <w:t>four</w:t>
      </w:r>
      <w:r>
        <w:rPr>
          <w:spacing w:val="-1"/>
        </w:rPr>
        <w:t xml:space="preserve"> </w:t>
      </w:r>
      <w:r>
        <w:t>days</w:t>
      </w:r>
      <w:r>
        <w:rPr>
          <w:spacing w:val="-2"/>
        </w:rPr>
        <w:t xml:space="preserve"> </w:t>
      </w:r>
      <w:r>
        <w:t>before the</w:t>
      </w:r>
      <w:r>
        <w:rPr>
          <w:spacing w:val="-1"/>
        </w:rPr>
        <w:t xml:space="preserve"> </w:t>
      </w:r>
      <w:r>
        <w:t>Final</w:t>
      </w:r>
      <w:r>
        <w:rPr>
          <w:spacing w:val="-2"/>
        </w:rPr>
        <w:t xml:space="preserve"> </w:t>
      </w:r>
      <w:r>
        <w:t>Determination</w:t>
      </w:r>
      <w:r>
        <w:rPr>
          <w:spacing w:val="-1"/>
        </w:rPr>
        <w:t xml:space="preserve"> </w:t>
      </w:r>
      <w:r>
        <w:t>was</w:t>
      </w:r>
      <w:r>
        <w:rPr>
          <w:spacing w:val="-1"/>
        </w:rPr>
        <w:t xml:space="preserve"> </w:t>
      </w:r>
      <w:r>
        <w:t>issued</w:t>
      </w:r>
      <w:r>
        <w:rPr>
          <w:spacing w:val="-2"/>
        </w:rPr>
        <w:t xml:space="preserve"> </w:t>
      </w:r>
      <w:r>
        <w:rPr>
          <w:spacing w:val="-5"/>
        </w:rPr>
        <w:t>on</w:t>
      </w:r>
    </w:p>
    <w:p w14:paraId="51DE8C70" w14:textId="77777777" w:rsidR="0010369C" w:rsidRDefault="008E43AE">
      <w:pPr>
        <w:pStyle w:val="BodyText"/>
        <w:spacing w:before="3"/>
        <w:rPr>
          <w:sz w:val="18"/>
        </w:rPr>
      </w:pPr>
      <w:r>
        <w:pict w14:anchorId="51DEA3FC">
          <v:rect id="docshape994" o:spid="_x0000_s1373" style="position:absolute;margin-left:70.9pt;margin-top:12.35pt;width:2in;height:.8pt;z-index:-250857984;mso-wrap-distance-left:0;mso-wrap-distance-right:0;mso-position-horizontal-relative:page" fillcolor="black" stroked="f">
            <w10:wrap type="topAndBottom" anchorx="page"/>
          </v:rect>
        </w:pict>
      </w:r>
    </w:p>
    <w:p w14:paraId="51DE8C71" w14:textId="77777777" w:rsidR="0010369C" w:rsidRDefault="008E43AE">
      <w:pPr>
        <w:spacing w:before="109"/>
        <w:ind w:left="238" w:right="3713"/>
        <w:jc w:val="both"/>
        <w:rPr>
          <w:sz w:val="18"/>
        </w:rPr>
      </w:pPr>
      <w:r>
        <w:rPr>
          <w:sz w:val="18"/>
          <w:vertAlign w:val="superscript"/>
        </w:rPr>
        <w:t>560</w:t>
      </w:r>
      <w:r>
        <w:rPr>
          <w:spacing w:val="-3"/>
          <w:sz w:val="18"/>
        </w:rPr>
        <w:t xml:space="preserve"> </w:t>
      </w:r>
      <w:r>
        <w:rPr>
          <w:sz w:val="18"/>
        </w:rPr>
        <w:t>Appellate</w:t>
      </w:r>
      <w:r>
        <w:rPr>
          <w:spacing w:val="-3"/>
          <w:sz w:val="18"/>
        </w:rPr>
        <w:t xml:space="preserve"> </w:t>
      </w:r>
      <w:r>
        <w:rPr>
          <w:sz w:val="18"/>
        </w:rPr>
        <w:t>Body</w:t>
      </w:r>
      <w:r>
        <w:rPr>
          <w:spacing w:val="-5"/>
          <w:sz w:val="18"/>
        </w:rPr>
        <w:t xml:space="preserve"> </w:t>
      </w:r>
      <w:r>
        <w:rPr>
          <w:sz w:val="18"/>
        </w:rPr>
        <w:t>Report,</w:t>
      </w:r>
      <w:r>
        <w:rPr>
          <w:spacing w:val="-3"/>
          <w:sz w:val="18"/>
        </w:rPr>
        <w:t xml:space="preserve"> </w:t>
      </w:r>
      <w:r>
        <w:rPr>
          <w:i/>
          <w:sz w:val="18"/>
        </w:rPr>
        <w:t>EC</w:t>
      </w:r>
      <w:r>
        <w:rPr>
          <w:i/>
          <w:spacing w:val="-4"/>
          <w:sz w:val="18"/>
        </w:rPr>
        <w:t xml:space="preserve"> </w:t>
      </w:r>
      <w:r>
        <w:rPr>
          <w:i/>
          <w:sz w:val="18"/>
        </w:rPr>
        <w:t>–</w:t>
      </w:r>
      <w:r>
        <w:rPr>
          <w:i/>
          <w:spacing w:val="-3"/>
          <w:sz w:val="18"/>
        </w:rPr>
        <w:t xml:space="preserve"> </w:t>
      </w:r>
      <w:r>
        <w:rPr>
          <w:i/>
          <w:sz w:val="18"/>
        </w:rPr>
        <w:t>Fasteners</w:t>
      </w:r>
      <w:r>
        <w:rPr>
          <w:i/>
          <w:spacing w:val="-3"/>
          <w:sz w:val="18"/>
        </w:rPr>
        <w:t xml:space="preserve"> </w:t>
      </w:r>
      <w:r>
        <w:rPr>
          <w:i/>
          <w:sz w:val="18"/>
        </w:rPr>
        <w:t>(China)</w:t>
      </w:r>
      <w:r>
        <w:rPr>
          <w:i/>
          <w:spacing w:val="-3"/>
          <w:sz w:val="18"/>
        </w:rPr>
        <w:t xml:space="preserve"> </w:t>
      </w:r>
      <w:r>
        <w:rPr>
          <w:i/>
          <w:sz w:val="18"/>
        </w:rPr>
        <w:t>(Article</w:t>
      </w:r>
      <w:r>
        <w:rPr>
          <w:i/>
          <w:spacing w:val="-3"/>
          <w:sz w:val="18"/>
        </w:rPr>
        <w:t xml:space="preserve"> </w:t>
      </w:r>
      <w:r>
        <w:rPr>
          <w:i/>
          <w:sz w:val="18"/>
        </w:rPr>
        <w:t>21.5</w:t>
      </w:r>
      <w:r>
        <w:rPr>
          <w:i/>
          <w:spacing w:val="-3"/>
          <w:sz w:val="18"/>
        </w:rPr>
        <w:t xml:space="preserve"> </w:t>
      </w:r>
      <w:r>
        <w:rPr>
          <w:i/>
          <w:sz w:val="18"/>
        </w:rPr>
        <w:t>China),</w:t>
      </w:r>
      <w:r>
        <w:rPr>
          <w:i/>
          <w:spacing w:val="-3"/>
          <w:sz w:val="18"/>
        </w:rPr>
        <w:t xml:space="preserve"> </w:t>
      </w:r>
      <w:r>
        <w:rPr>
          <w:sz w:val="18"/>
        </w:rPr>
        <w:t>para.</w:t>
      </w:r>
      <w:r>
        <w:rPr>
          <w:spacing w:val="-3"/>
          <w:sz w:val="18"/>
        </w:rPr>
        <w:t xml:space="preserve"> </w:t>
      </w:r>
      <w:r>
        <w:rPr>
          <w:sz w:val="18"/>
        </w:rPr>
        <w:t xml:space="preserve">5.191. </w:t>
      </w:r>
      <w:r>
        <w:rPr>
          <w:sz w:val="18"/>
          <w:vertAlign w:val="superscript"/>
        </w:rPr>
        <w:t>561</w:t>
      </w:r>
      <w:r>
        <w:rPr>
          <w:spacing w:val="-3"/>
          <w:sz w:val="18"/>
        </w:rPr>
        <w:t xml:space="preserve"> </w:t>
      </w:r>
      <w:r>
        <w:rPr>
          <w:sz w:val="18"/>
        </w:rPr>
        <w:t>Appellate</w:t>
      </w:r>
      <w:r>
        <w:rPr>
          <w:spacing w:val="-3"/>
          <w:sz w:val="18"/>
        </w:rPr>
        <w:t xml:space="preserve"> </w:t>
      </w:r>
      <w:r>
        <w:rPr>
          <w:sz w:val="18"/>
        </w:rPr>
        <w:t>Body</w:t>
      </w:r>
      <w:r>
        <w:rPr>
          <w:spacing w:val="-5"/>
          <w:sz w:val="18"/>
        </w:rPr>
        <w:t xml:space="preserve"> </w:t>
      </w:r>
      <w:r>
        <w:rPr>
          <w:sz w:val="18"/>
        </w:rPr>
        <w:t>Report,</w:t>
      </w:r>
      <w:r>
        <w:rPr>
          <w:spacing w:val="-3"/>
          <w:sz w:val="18"/>
        </w:rPr>
        <w:t xml:space="preserve"> </w:t>
      </w:r>
      <w:r>
        <w:rPr>
          <w:i/>
          <w:sz w:val="18"/>
        </w:rPr>
        <w:t>EC</w:t>
      </w:r>
      <w:r>
        <w:rPr>
          <w:i/>
          <w:spacing w:val="-4"/>
          <w:sz w:val="18"/>
        </w:rPr>
        <w:t xml:space="preserve"> </w:t>
      </w:r>
      <w:r>
        <w:rPr>
          <w:i/>
          <w:sz w:val="18"/>
        </w:rPr>
        <w:t>–</w:t>
      </w:r>
      <w:r>
        <w:rPr>
          <w:i/>
          <w:spacing w:val="-3"/>
          <w:sz w:val="18"/>
        </w:rPr>
        <w:t xml:space="preserve"> </w:t>
      </w:r>
      <w:r>
        <w:rPr>
          <w:i/>
          <w:sz w:val="18"/>
        </w:rPr>
        <w:t>Fasteners</w:t>
      </w:r>
      <w:r>
        <w:rPr>
          <w:i/>
          <w:spacing w:val="-3"/>
          <w:sz w:val="18"/>
        </w:rPr>
        <w:t xml:space="preserve"> </w:t>
      </w:r>
      <w:r>
        <w:rPr>
          <w:i/>
          <w:sz w:val="18"/>
        </w:rPr>
        <w:t>(China)</w:t>
      </w:r>
      <w:r>
        <w:rPr>
          <w:i/>
          <w:spacing w:val="-3"/>
          <w:sz w:val="18"/>
        </w:rPr>
        <w:t xml:space="preserve"> </w:t>
      </w:r>
      <w:r>
        <w:rPr>
          <w:i/>
          <w:sz w:val="18"/>
        </w:rPr>
        <w:t>(Article</w:t>
      </w:r>
      <w:r>
        <w:rPr>
          <w:i/>
          <w:spacing w:val="-3"/>
          <w:sz w:val="18"/>
        </w:rPr>
        <w:t xml:space="preserve"> </w:t>
      </w:r>
      <w:r>
        <w:rPr>
          <w:i/>
          <w:sz w:val="18"/>
        </w:rPr>
        <w:t>21.5</w:t>
      </w:r>
      <w:r>
        <w:rPr>
          <w:i/>
          <w:spacing w:val="-3"/>
          <w:sz w:val="18"/>
        </w:rPr>
        <w:t xml:space="preserve"> </w:t>
      </w:r>
      <w:r>
        <w:rPr>
          <w:i/>
          <w:sz w:val="18"/>
        </w:rPr>
        <w:t>China),</w:t>
      </w:r>
      <w:r>
        <w:rPr>
          <w:i/>
          <w:spacing w:val="-3"/>
          <w:sz w:val="18"/>
        </w:rPr>
        <w:t xml:space="preserve"> </w:t>
      </w:r>
      <w:r>
        <w:rPr>
          <w:sz w:val="18"/>
        </w:rPr>
        <w:t>para.</w:t>
      </w:r>
      <w:r>
        <w:rPr>
          <w:spacing w:val="-3"/>
          <w:sz w:val="18"/>
        </w:rPr>
        <w:t xml:space="preserve"> </w:t>
      </w:r>
      <w:r>
        <w:rPr>
          <w:sz w:val="18"/>
        </w:rPr>
        <w:t xml:space="preserve">5.195. </w:t>
      </w:r>
      <w:r>
        <w:rPr>
          <w:sz w:val="18"/>
          <w:vertAlign w:val="superscript"/>
        </w:rPr>
        <w:t>562</w:t>
      </w:r>
      <w:r>
        <w:rPr>
          <w:spacing w:val="-3"/>
          <w:sz w:val="18"/>
        </w:rPr>
        <w:t xml:space="preserve"> </w:t>
      </w:r>
      <w:r>
        <w:rPr>
          <w:sz w:val="18"/>
        </w:rPr>
        <w:t>Appellate</w:t>
      </w:r>
      <w:r>
        <w:rPr>
          <w:spacing w:val="-3"/>
          <w:sz w:val="18"/>
        </w:rPr>
        <w:t xml:space="preserve"> </w:t>
      </w:r>
      <w:r>
        <w:rPr>
          <w:sz w:val="18"/>
        </w:rPr>
        <w:t>Body</w:t>
      </w:r>
      <w:r>
        <w:rPr>
          <w:spacing w:val="-5"/>
          <w:sz w:val="18"/>
        </w:rPr>
        <w:t xml:space="preserve"> </w:t>
      </w:r>
      <w:r>
        <w:rPr>
          <w:sz w:val="18"/>
        </w:rPr>
        <w:t>Report,</w:t>
      </w:r>
      <w:r>
        <w:rPr>
          <w:spacing w:val="-3"/>
          <w:sz w:val="18"/>
        </w:rPr>
        <w:t xml:space="preserve"> </w:t>
      </w:r>
      <w:r>
        <w:rPr>
          <w:i/>
          <w:sz w:val="18"/>
        </w:rPr>
        <w:t>EC</w:t>
      </w:r>
      <w:r>
        <w:rPr>
          <w:i/>
          <w:spacing w:val="-4"/>
          <w:sz w:val="18"/>
        </w:rPr>
        <w:t xml:space="preserve"> </w:t>
      </w:r>
      <w:r>
        <w:rPr>
          <w:i/>
          <w:sz w:val="18"/>
        </w:rPr>
        <w:t>–</w:t>
      </w:r>
      <w:r>
        <w:rPr>
          <w:i/>
          <w:spacing w:val="-3"/>
          <w:sz w:val="18"/>
        </w:rPr>
        <w:t xml:space="preserve"> </w:t>
      </w:r>
      <w:r>
        <w:rPr>
          <w:i/>
          <w:sz w:val="18"/>
        </w:rPr>
        <w:t>Fasteners</w:t>
      </w:r>
      <w:r>
        <w:rPr>
          <w:i/>
          <w:spacing w:val="-3"/>
          <w:sz w:val="18"/>
        </w:rPr>
        <w:t xml:space="preserve"> </w:t>
      </w:r>
      <w:r>
        <w:rPr>
          <w:i/>
          <w:sz w:val="18"/>
        </w:rPr>
        <w:t>(China)</w:t>
      </w:r>
      <w:r>
        <w:rPr>
          <w:i/>
          <w:spacing w:val="-3"/>
          <w:sz w:val="18"/>
        </w:rPr>
        <w:t xml:space="preserve"> </w:t>
      </w:r>
      <w:r>
        <w:rPr>
          <w:i/>
          <w:sz w:val="18"/>
        </w:rPr>
        <w:t>(Article</w:t>
      </w:r>
      <w:r>
        <w:rPr>
          <w:i/>
          <w:spacing w:val="-3"/>
          <w:sz w:val="18"/>
        </w:rPr>
        <w:t xml:space="preserve"> </w:t>
      </w:r>
      <w:r>
        <w:rPr>
          <w:i/>
          <w:sz w:val="18"/>
        </w:rPr>
        <w:t>21.5</w:t>
      </w:r>
      <w:r>
        <w:rPr>
          <w:i/>
          <w:spacing w:val="-3"/>
          <w:sz w:val="18"/>
        </w:rPr>
        <w:t xml:space="preserve"> </w:t>
      </w:r>
      <w:r>
        <w:rPr>
          <w:i/>
          <w:sz w:val="18"/>
        </w:rPr>
        <w:t>China),</w:t>
      </w:r>
      <w:r>
        <w:rPr>
          <w:i/>
          <w:spacing w:val="-3"/>
          <w:sz w:val="18"/>
        </w:rPr>
        <w:t xml:space="preserve"> </w:t>
      </w:r>
      <w:r>
        <w:rPr>
          <w:sz w:val="18"/>
        </w:rPr>
        <w:t>para.</w:t>
      </w:r>
      <w:r>
        <w:rPr>
          <w:spacing w:val="-3"/>
          <w:sz w:val="18"/>
        </w:rPr>
        <w:t xml:space="preserve"> </w:t>
      </w:r>
      <w:r>
        <w:rPr>
          <w:sz w:val="18"/>
        </w:rPr>
        <w:t xml:space="preserve">5.195. </w:t>
      </w:r>
      <w:r>
        <w:rPr>
          <w:sz w:val="18"/>
          <w:vertAlign w:val="superscript"/>
        </w:rPr>
        <w:t>563</w:t>
      </w:r>
      <w:r>
        <w:rPr>
          <w:spacing w:val="-3"/>
          <w:sz w:val="18"/>
        </w:rPr>
        <w:t xml:space="preserve"> </w:t>
      </w:r>
      <w:r>
        <w:rPr>
          <w:sz w:val="18"/>
        </w:rPr>
        <w:t>Appellate</w:t>
      </w:r>
      <w:r>
        <w:rPr>
          <w:spacing w:val="-3"/>
          <w:sz w:val="18"/>
        </w:rPr>
        <w:t xml:space="preserve"> </w:t>
      </w:r>
      <w:r>
        <w:rPr>
          <w:sz w:val="18"/>
        </w:rPr>
        <w:t>Body</w:t>
      </w:r>
      <w:r>
        <w:rPr>
          <w:spacing w:val="-5"/>
          <w:sz w:val="18"/>
        </w:rPr>
        <w:t xml:space="preserve"> </w:t>
      </w:r>
      <w:r>
        <w:rPr>
          <w:sz w:val="18"/>
        </w:rPr>
        <w:t>Report,</w:t>
      </w:r>
      <w:r>
        <w:rPr>
          <w:spacing w:val="-3"/>
          <w:sz w:val="18"/>
        </w:rPr>
        <w:t xml:space="preserve"> </w:t>
      </w:r>
      <w:r>
        <w:rPr>
          <w:i/>
          <w:sz w:val="18"/>
        </w:rPr>
        <w:t>EC</w:t>
      </w:r>
      <w:r>
        <w:rPr>
          <w:i/>
          <w:spacing w:val="-4"/>
          <w:sz w:val="18"/>
        </w:rPr>
        <w:t xml:space="preserve"> </w:t>
      </w:r>
      <w:r>
        <w:rPr>
          <w:i/>
          <w:sz w:val="18"/>
        </w:rPr>
        <w:t>–</w:t>
      </w:r>
      <w:r>
        <w:rPr>
          <w:i/>
          <w:spacing w:val="-3"/>
          <w:sz w:val="18"/>
        </w:rPr>
        <w:t xml:space="preserve"> </w:t>
      </w:r>
      <w:r>
        <w:rPr>
          <w:i/>
          <w:sz w:val="18"/>
        </w:rPr>
        <w:t>Fasteners</w:t>
      </w:r>
      <w:r>
        <w:rPr>
          <w:i/>
          <w:spacing w:val="-3"/>
          <w:sz w:val="18"/>
        </w:rPr>
        <w:t xml:space="preserve"> </w:t>
      </w:r>
      <w:r>
        <w:rPr>
          <w:i/>
          <w:sz w:val="18"/>
        </w:rPr>
        <w:t>(China)</w:t>
      </w:r>
      <w:r>
        <w:rPr>
          <w:i/>
          <w:spacing w:val="-3"/>
          <w:sz w:val="18"/>
        </w:rPr>
        <w:t xml:space="preserve"> </w:t>
      </w:r>
      <w:r>
        <w:rPr>
          <w:i/>
          <w:sz w:val="18"/>
        </w:rPr>
        <w:t>(Article</w:t>
      </w:r>
      <w:r>
        <w:rPr>
          <w:i/>
          <w:spacing w:val="-3"/>
          <w:sz w:val="18"/>
        </w:rPr>
        <w:t xml:space="preserve"> </w:t>
      </w:r>
      <w:r>
        <w:rPr>
          <w:i/>
          <w:sz w:val="18"/>
        </w:rPr>
        <w:t>21.5</w:t>
      </w:r>
      <w:r>
        <w:rPr>
          <w:i/>
          <w:spacing w:val="-3"/>
          <w:sz w:val="18"/>
        </w:rPr>
        <w:t xml:space="preserve"> </w:t>
      </w:r>
      <w:r>
        <w:rPr>
          <w:i/>
          <w:sz w:val="18"/>
        </w:rPr>
        <w:t>China),</w:t>
      </w:r>
      <w:r>
        <w:rPr>
          <w:i/>
          <w:spacing w:val="-3"/>
          <w:sz w:val="18"/>
        </w:rPr>
        <w:t xml:space="preserve"> </w:t>
      </w:r>
      <w:r>
        <w:rPr>
          <w:sz w:val="18"/>
        </w:rPr>
        <w:t>para.</w:t>
      </w:r>
      <w:r>
        <w:rPr>
          <w:spacing w:val="-3"/>
          <w:sz w:val="18"/>
        </w:rPr>
        <w:t xml:space="preserve"> </w:t>
      </w:r>
      <w:r>
        <w:rPr>
          <w:sz w:val="18"/>
        </w:rPr>
        <w:t xml:space="preserve">5.191. </w:t>
      </w:r>
      <w:r>
        <w:rPr>
          <w:sz w:val="18"/>
          <w:vertAlign w:val="superscript"/>
        </w:rPr>
        <w:t>564</w:t>
      </w:r>
      <w:r>
        <w:rPr>
          <w:sz w:val="18"/>
        </w:rPr>
        <w:t xml:space="preserve"> Appellate Body, </w:t>
      </w:r>
      <w:r>
        <w:rPr>
          <w:i/>
          <w:sz w:val="18"/>
        </w:rPr>
        <w:t>US – Hot‐Rolled Steel</w:t>
      </w:r>
      <w:r>
        <w:rPr>
          <w:sz w:val="18"/>
        </w:rPr>
        <w:t>, para. 179.</w:t>
      </w:r>
    </w:p>
    <w:p w14:paraId="51DE8C72" w14:textId="77777777" w:rsidR="0010369C" w:rsidRDefault="0010369C">
      <w:pPr>
        <w:jc w:val="both"/>
        <w:rPr>
          <w:sz w:val="18"/>
        </w:rPr>
        <w:sectPr w:rsidR="0010369C">
          <w:pgSz w:w="11910" w:h="16840"/>
          <w:pgMar w:top="880" w:right="800" w:bottom="980" w:left="1180" w:header="569" w:footer="788" w:gutter="0"/>
          <w:cols w:space="720"/>
        </w:sectPr>
      </w:pPr>
    </w:p>
    <w:p w14:paraId="51DE8C73" w14:textId="77777777" w:rsidR="0010369C" w:rsidRDefault="008E43AE">
      <w:pPr>
        <w:tabs>
          <w:tab w:val="left" w:pos="6426"/>
        </w:tabs>
        <w:ind w:left="238"/>
        <w:jc w:val="both"/>
        <w:rPr>
          <w:sz w:val="20"/>
        </w:rPr>
      </w:pPr>
      <w:r>
        <w:rPr>
          <w:i/>
          <w:sz w:val="20"/>
        </w:rPr>
        <w:lastRenderedPageBreak/>
        <w:t>China</w:t>
      </w:r>
      <w:r>
        <w:rPr>
          <w:i/>
          <w:spacing w:val="-5"/>
          <w:sz w:val="20"/>
        </w:rPr>
        <w:t xml:space="preserve"> </w:t>
      </w:r>
      <w:r>
        <w:rPr>
          <w:i/>
          <w:sz w:val="20"/>
        </w:rPr>
        <w:t>–</w:t>
      </w:r>
      <w:r>
        <w:rPr>
          <w:i/>
          <w:spacing w:val="-5"/>
          <w:sz w:val="20"/>
        </w:rPr>
        <w:t xml:space="preserve"> </w:t>
      </w:r>
      <w:r>
        <w:rPr>
          <w:i/>
          <w:sz w:val="20"/>
        </w:rPr>
        <w:t>Anti‐Dumping</w:t>
      </w:r>
      <w:r>
        <w:rPr>
          <w:i/>
          <w:spacing w:val="-4"/>
          <w:sz w:val="20"/>
        </w:rPr>
        <w:t xml:space="preserve"> </w:t>
      </w:r>
      <w:r>
        <w:rPr>
          <w:i/>
          <w:sz w:val="20"/>
        </w:rPr>
        <w:t>and</w:t>
      </w:r>
      <w:r>
        <w:rPr>
          <w:i/>
          <w:spacing w:val="-5"/>
          <w:sz w:val="20"/>
        </w:rPr>
        <w:t xml:space="preserve"> </w:t>
      </w:r>
      <w:r>
        <w:rPr>
          <w:i/>
          <w:sz w:val="20"/>
        </w:rPr>
        <w:t>Countervailing</w:t>
      </w:r>
      <w:r>
        <w:rPr>
          <w:i/>
          <w:spacing w:val="-5"/>
          <w:sz w:val="20"/>
        </w:rPr>
        <w:t xml:space="preserve"> </w:t>
      </w:r>
      <w:r>
        <w:rPr>
          <w:i/>
          <w:sz w:val="20"/>
        </w:rPr>
        <w:t>Duty</w:t>
      </w:r>
      <w:r>
        <w:rPr>
          <w:i/>
          <w:spacing w:val="-4"/>
          <w:sz w:val="20"/>
        </w:rPr>
        <w:t xml:space="preserve"> </w:t>
      </w:r>
      <w:r>
        <w:rPr>
          <w:i/>
          <w:spacing w:val="-2"/>
          <w:sz w:val="20"/>
        </w:rPr>
        <w:t>Measures</w:t>
      </w:r>
      <w:r>
        <w:rPr>
          <w:i/>
          <w:sz w:val="20"/>
        </w:rPr>
        <w:tab/>
      </w:r>
      <w:r>
        <w:rPr>
          <w:sz w:val="20"/>
        </w:rPr>
        <w:t>Australia's</w:t>
      </w:r>
      <w:r>
        <w:rPr>
          <w:spacing w:val="-7"/>
          <w:sz w:val="20"/>
        </w:rPr>
        <w:t xml:space="preserve"> </w:t>
      </w:r>
      <w:r>
        <w:rPr>
          <w:sz w:val="20"/>
        </w:rPr>
        <w:t>First</w:t>
      </w:r>
      <w:r>
        <w:rPr>
          <w:spacing w:val="-2"/>
          <w:sz w:val="20"/>
        </w:rPr>
        <w:t xml:space="preserve"> </w:t>
      </w:r>
      <w:r>
        <w:rPr>
          <w:sz w:val="20"/>
        </w:rPr>
        <w:t>Written</w:t>
      </w:r>
      <w:r>
        <w:rPr>
          <w:spacing w:val="-2"/>
          <w:sz w:val="20"/>
        </w:rPr>
        <w:t xml:space="preserve"> Submission</w:t>
      </w:r>
    </w:p>
    <w:p w14:paraId="51DE8C74" w14:textId="77777777" w:rsidR="0010369C" w:rsidRDefault="008E43AE">
      <w:pPr>
        <w:tabs>
          <w:tab w:val="left" w:pos="8228"/>
        </w:tabs>
        <w:spacing w:before="1"/>
        <w:ind w:left="239"/>
        <w:jc w:val="both"/>
        <w:rPr>
          <w:sz w:val="20"/>
        </w:rPr>
      </w:pPr>
      <w:r>
        <w:rPr>
          <w:i/>
          <w:sz w:val="20"/>
        </w:rPr>
        <w:t>on</w:t>
      </w:r>
      <w:r>
        <w:rPr>
          <w:i/>
          <w:spacing w:val="-1"/>
          <w:sz w:val="20"/>
        </w:rPr>
        <w:t xml:space="preserve"> </w:t>
      </w:r>
      <w:r>
        <w:rPr>
          <w:i/>
          <w:sz w:val="20"/>
        </w:rPr>
        <w:t>Wine</w:t>
      </w:r>
      <w:r>
        <w:rPr>
          <w:i/>
          <w:spacing w:val="-1"/>
          <w:sz w:val="20"/>
        </w:rPr>
        <w:t xml:space="preserve"> </w:t>
      </w:r>
      <w:r>
        <w:rPr>
          <w:i/>
          <w:sz w:val="20"/>
        </w:rPr>
        <w:t>from</w:t>
      </w:r>
      <w:r>
        <w:rPr>
          <w:i/>
          <w:spacing w:val="-3"/>
          <w:sz w:val="20"/>
        </w:rPr>
        <w:t xml:space="preserve"> </w:t>
      </w:r>
      <w:r>
        <w:rPr>
          <w:i/>
          <w:sz w:val="20"/>
        </w:rPr>
        <w:t>Australia</w:t>
      </w:r>
      <w:r>
        <w:rPr>
          <w:i/>
          <w:spacing w:val="-1"/>
          <w:sz w:val="20"/>
        </w:rPr>
        <w:t xml:space="preserve"> </w:t>
      </w:r>
      <w:r>
        <w:rPr>
          <w:spacing w:val="-2"/>
          <w:sz w:val="20"/>
        </w:rPr>
        <w:t>(DS602)</w:t>
      </w:r>
      <w:r>
        <w:rPr>
          <w:sz w:val="20"/>
        </w:rPr>
        <w:tab/>
        <w:t>29</w:t>
      </w:r>
      <w:r>
        <w:rPr>
          <w:spacing w:val="-1"/>
          <w:sz w:val="20"/>
        </w:rPr>
        <w:t xml:space="preserve"> </w:t>
      </w:r>
      <w:r>
        <w:rPr>
          <w:sz w:val="20"/>
        </w:rPr>
        <w:t>April</w:t>
      </w:r>
      <w:r>
        <w:rPr>
          <w:spacing w:val="-2"/>
          <w:sz w:val="20"/>
        </w:rPr>
        <w:t xml:space="preserve"> </w:t>
      </w:r>
      <w:r>
        <w:rPr>
          <w:spacing w:val="-4"/>
          <w:sz w:val="20"/>
        </w:rPr>
        <w:t>2022</w:t>
      </w:r>
    </w:p>
    <w:p w14:paraId="51DE8C75" w14:textId="77777777" w:rsidR="0010369C" w:rsidRDefault="008E43AE">
      <w:pPr>
        <w:pStyle w:val="BodyText"/>
        <w:spacing w:before="34" w:line="360" w:lineRule="auto"/>
        <w:ind w:left="236" w:right="613" w:firstLine="1"/>
        <w:jc w:val="both"/>
      </w:pPr>
      <w:r>
        <w:t>26</w:t>
      </w:r>
      <w:r>
        <w:rPr>
          <w:spacing w:val="-2"/>
        </w:rPr>
        <w:t xml:space="preserve"> </w:t>
      </w:r>
      <w:r>
        <w:t>March</w:t>
      </w:r>
      <w:r>
        <w:rPr>
          <w:spacing w:val="-2"/>
        </w:rPr>
        <w:t xml:space="preserve"> </w:t>
      </w:r>
      <w:r>
        <w:t>2021.</w:t>
      </w:r>
      <w:r>
        <w:rPr>
          <w:vertAlign w:val="superscript"/>
        </w:rPr>
        <w:t>565</w:t>
      </w:r>
      <w:r>
        <w:t xml:space="preserve"> In the statement, Casella Wines' normal value was based upon "the expenses properly adjusted based on weighted average prices of domestic sales of other res</w:t>
      </w:r>
      <w:r>
        <w:t>pondents</w:t>
      </w:r>
      <w:r>
        <w:rPr>
          <w:spacing w:val="-10"/>
        </w:rPr>
        <w:t xml:space="preserve"> </w:t>
      </w:r>
      <w:r>
        <w:t>could</w:t>
      </w:r>
      <w:r>
        <w:rPr>
          <w:spacing w:val="-8"/>
        </w:rPr>
        <w:t xml:space="preserve"> </w:t>
      </w:r>
      <w:r>
        <w:t>be</w:t>
      </w:r>
      <w:r>
        <w:rPr>
          <w:spacing w:val="-7"/>
        </w:rPr>
        <w:t xml:space="preserve"> </w:t>
      </w:r>
      <w:r>
        <w:t>used</w:t>
      </w:r>
      <w:r>
        <w:rPr>
          <w:spacing w:val="-7"/>
        </w:rPr>
        <w:t xml:space="preserve"> </w:t>
      </w:r>
      <w:r>
        <w:t>to</w:t>
      </w:r>
      <w:r>
        <w:rPr>
          <w:spacing w:val="-7"/>
        </w:rPr>
        <w:t xml:space="preserve"> </w:t>
      </w:r>
      <w:r>
        <w:t>determine</w:t>
      </w:r>
      <w:r>
        <w:rPr>
          <w:spacing w:val="-6"/>
        </w:rPr>
        <w:t xml:space="preserve"> </w:t>
      </w:r>
      <w:r>
        <w:t>the</w:t>
      </w:r>
      <w:r>
        <w:rPr>
          <w:spacing w:val="-7"/>
        </w:rPr>
        <w:t xml:space="preserve"> </w:t>
      </w:r>
      <w:r>
        <w:t>normal</w:t>
      </w:r>
      <w:r>
        <w:rPr>
          <w:spacing w:val="-7"/>
        </w:rPr>
        <w:t xml:space="preserve"> </w:t>
      </w:r>
      <w:r>
        <w:t>value</w:t>
      </w:r>
      <w:r>
        <w:rPr>
          <w:spacing w:val="-7"/>
        </w:rPr>
        <w:t xml:space="preserve"> </w:t>
      </w:r>
      <w:r>
        <w:t>that</w:t>
      </w:r>
      <w:r>
        <w:rPr>
          <w:spacing w:val="-8"/>
        </w:rPr>
        <w:t xml:space="preserve"> </w:t>
      </w:r>
      <w:r>
        <w:t>reflected</w:t>
      </w:r>
      <w:r>
        <w:rPr>
          <w:spacing w:val="-8"/>
        </w:rPr>
        <w:t xml:space="preserve"> </w:t>
      </w:r>
      <w:r>
        <w:t>market</w:t>
      </w:r>
      <w:r>
        <w:rPr>
          <w:spacing w:val="-8"/>
        </w:rPr>
        <w:t xml:space="preserve"> </w:t>
      </w:r>
      <w:r>
        <w:t>conditions</w:t>
      </w:r>
      <w:r>
        <w:rPr>
          <w:spacing w:val="-8"/>
        </w:rPr>
        <w:t xml:space="preserve"> </w:t>
      </w:r>
      <w:r>
        <w:t>in a reasonable manner" and Swan Vintage's normal value was based upon the "weighted average prices of typical domestic sales of the product under investigation given by other respondents".</w:t>
      </w:r>
      <w:r>
        <w:rPr>
          <w:vertAlign w:val="superscript"/>
        </w:rPr>
        <w:t>566</w:t>
      </w:r>
      <w:r>
        <w:t xml:space="preserve"> This was effectively unchanged in the Final Determination.</w:t>
      </w:r>
      <w:r>
        <w:rPr>
          <w:vertAlign w:val="superscript"/>
        </w:rPr>
        <w:t>567</w:t>
      </w:r>
      <w:r>
        <w:t xml:space="preserve"> G</w:t>
      </w:r>
      <w:r>
        <w:t>iven the methodologies</w:t>
      </w:r>
      <w:r>
        <w:rPr>
          <w:spacing w:val="-5"/>
        </w:rPr>
        <w:t xml:space="preserve"> </w:t>
      </w:r>
      <w:r>
        <w:t>utilised</w:t>
      </w:r>
      <w:r>
        <w:rPr>
          <w:spacing w:val="-5"/>
        </w:rPr>
        <w:t xml:space="preserve"> </w:t>
      </w:r>
      <w:r>
        <w:t>by</w:t>
      </w:r>
      <w:r>
        <w:rPr>
          <w:spacing w:val="-4"/>
        </w:rPr>
        <w:t xml:space="preserve"> </w:t>
      </w:r>
      <w:r>
        <w:t>MOFCOM</w:t>
      </w:r>
      <w:r>
        <w:rPr>
          <w:spacing w:val="-4"/>
        </w:rPr>
        <w:t xml:space="preserve"> </w:t>
      </w:r>
      <w:r>
        <w:t>for</w:t>
      </w:r>
      <w:r>
        <w:rPr>
          <w:spacing w:val="-4"/>
        </w:rPr>
        <w:t xml:space="preserve"> </w:t>
      </w:r>
      <w:r>
        <w:t>determining</w:t>
      </w:r>
      <w:r>
        <w:rPr>
          <w:spacing w:val="-4"/>
        </w:rPr>
        <w:t xml:space="preserve"> </w:t>
      </w:r>
      <w:r>
        <w:t>the</w:t>
      </w:r>
      <w:r>
        <w:rPr>
          <w:spacing w:val="-4"/>
        </w:rPr>
        <w:t xml:space="preserve"> </w:t>
      </w:r>
      <w:r>
        <w:t>normal</w:t>
      </w:r>
      <w:r>
        <w:rPr>
          <w:spacing w:val="-5"/>
        </w:rPr>
        <w:t xml:space="preserve"> </w:t>
      </w:r>
      <w:r>
        <w:t>values</w:t>
      </w:r>
      <w:r>
        <w:rPr>
          <w:spacing w:val="-5"/>
        </w:rPr>
        <w:t xml:space="preserve"> </w:t>
      </w:r>
      <w:r>
        <w:t>for</w:t>
      </w:r>
      <w:r>
        <w:rPr>
          <w:spacing w:val="-4"/>
        </w:rPr>
        <w:t xml:space="preserve"> </w:t>
      </w:r>
      <w:r>
        <w:t>Casella</w:t>
      </w:r>
      <w:r>
        <w:rPr>
          <w:spacing w:val="-4"/>
        </w:rPr>
        <w:t xml:space="preserve"> </w:t>
      </w:r>
      <w:r>
        <w:t>Wines</w:t>
      </w:r>
      <w:r>
        <w:rPr>
          <w:spacing w:val="-5"/>
        </w:rPr>
        <w:t xml:space="preserve"> </w:t>
      </w:r>
      <w:r>
        <w:t>and Swan</w:t>
      </w:r>
      <w:r>
        <w:rPr>
          <w:spacing w:val="-14"/>
        </w:rPr>
        <w:t xml:space="preserve"> </w:t>
      </w:r>
      <w:r>
        <w:t>Vintage</w:t>
      </w:r>
      <w:r>
        <w:rPr>
          <w:spacing w:val="-14"/>
        </w:rPr>
        <w:t xml:space="preserve"> </w:t>
      </w:r>
      <w:r>
        <w:t>directly</w:t>
      </w:r>
      <w:r>
        <w:rPr>
          <w:spacing w:val="-10"/>
        </w:rPr>
        <w:t xml:space="preserve"> </w:t>
      </w:r>
      <w:r>
        <w:t>impacted</w:t>
      </w:r>
      <w:r>
        <w:rPr>
          <w:spacing w:val="-13"/>
        </w:rPr>
        <w:t xml:space="preserve"> </w:t>
      </w:r>
      <w:r>
        <w:t>the</w:t>
      </w:r>
      <w:r>
        <w:rPr>
          <w:spacing w:val="-13"/>
        </w:rPr>
        <w:t xml:space="preserve"> </w:t>
      </w:r>
      <w:r>
        <w:t>necessary</w:t>
      </w:r>
      <w:r>
        <w:rPr>
          <w:spacing w:val="-11"/>
        </w:rPr>
        <w:t xml:space="preserve"> </w:t>
      </w:r>
      <w:r>
        <w:t>adjustments</w:t>
      </w:r>
      <w:r>
        <w:rPr>
          <w:spacing w:val="-13"/>
        </w:rPr>
        <w:t xml:space="preserve"> </w:t>
      </w:r>
      <w:r>
        <w:t>(e.g.</w:t>
      </w:r>
      <w:r>
        <w:rPr>
          <w:spacing w:val="-12"/>
        </w:rPr>
        <w:t xml:space="preserve"> </w:t>
      </w:r>
      <w:r>
        <w:t>level</w:t>
      </w:r>
      <w:r>
        <w:rPr>
          <w:spacing w:val="-13"/>
        </w:rPr>
        <w:t xml:space="preserve"> </w:t>
      </w:r>
      <w:r>
        <w:t>of</w:t>
      </w:r>
      <w:r>
        <w:rPr>
          <w:spacing w:val="-14"/>
        </w:rPr>
        <w:t xml:space="preserve"> </w:t>
      </w:r>
      <w:r>
        <w:t>trade,</w:t>
      </w:r>
      <w:r>
        <w:rPr>
          <w:spacing w:val="-14"/>
        </w:rPr>
        <w:t xml:space="preserve"> </w:t>
      </w:r>
      <w:r>
        <w:t>timing,</w:t>
      </w:r>
      <w:r>
        <w:rPr>
          <w:spacing w:val="-13"/>
        </w:rPr>
        <w:t xml:space="preserve"> </w:t>
      </w:r>
      <w:r>
        <w:t>physical characteristics and other adjustments), this disclosure was to</w:t>
      </w:r>
      <w:r>
        <w:t>o ambiguous (i.e. it did not disclose</w:t>
      </w:r>
      <w:r>
        <w:rPr>
          <w:spacing w:val="-8"/>
        </w:rPr>
        <w:t xml:space="preserve"> </w:t>
      </w:r>
      <w:r>
        <w:t>the</w:t>
      </w:r>
      <w:r>
        <w:rPr>
          <w:spacing w:val="-10"/>
        </w:rPr>
        <w:t xml:space="preserve"> </w:t>
      </w:r>
      <w:r>
        <w:t>nature</w:t>
      </w:r>
      <w:r>
        <w:rPr>
          <w:spacing w:val="-9"/>
        </w:rPr>
        <w:t xml:space="preserve"> </w:t>
      </w:r>
      <w:r>
        <w:t>of</w:t>
      </w:r>
      <w:r>
        <w:rPr>
          <w:spacing w:val="-10"/>
        </w:rPr>
        <w:t xml:space="preserve"> </w:t>
      </w:r>
      <w:r>
        <w:t>the</w:t>
      </w:r>
      <w:r>
        <w:rPr>
          <w:spacing w:val="-9"/>
        </w:rPr>
        <w:t xml:space="preserve"> </w:t>
      </w:r>
      <w:r>
        <w:t>calculations)</w:t>
      </w:r>
      <w:r>
        <w:rPr>
          <w:spacing w:val="-9"/>
        </w:rPr>
        <w:t xml:space="preserve"> </w:t>
      </w:r>
      <w:r>
        <w:t>and</w:t>
      </w:r>
      <w:r>
        <w:rPr>
          <w:spacing w:val="-10"/>
        </w:rPr>
        <w:t xml:space="preserve"> </w:t>
      </w:r>
      <w:r>
        <w:t>too</w:t>
      </w:r>
      <w:r>
        <w:rPr>
          <w:spacing w:val="-9"/>
        </w:rPr>
        <w:t xml:space="preserve"> </w:t>
      </w:r>
      <w:r>
        <w:t>late</w:t>
      </w:r>
      <w:r>
        <w:rPr>
          <w:spacing w:val="-9"/>
        </w:rPr>
        <w:t xml:space="preserve"> </w:t>
      </w:r>
      <w:r>
        <w:t>to</w:t>
      </w:r>
      <w:r>
        <w:rPr>
          <w:spacing w:val="-9"/>
        </w:rPr>
        <w:t xml:space="preserve"> </w:t>
      </w:r>
      <w:r>
        <w:t>enable</w:t>
      </w:r>
      <w:r>
        <w:rPr>
          <w:spacing w:val="-11"/>
        </w:rPr>
        <w:t xml:space="preserve"> </w:t>
      </w:r>
      <w:r>
        <w:t>Casella</w:t>
      </w:r>
      <w:r>
        <w:rPr>
          <w:spacing w:val="-9"/>
        </w:rPr>
        <w:t xml:space="preserve"> </w:t>
      </w:r>
      <w:r>
        <w:t>Wines</w:t>
      </w:r>
      <w:r>
        <w:rPr>
          <w:spacing w:val="-11"/>
        </w:rPr>
        <w:t xml:space="preserve"> </w:t>
      </w:r>
      <w:r>
        <w:t>and</w:t>
      </w:r>
      <w:r>
        <w:rPr>
          <w:spacing w:val="-10"/>
        </w:rPr>
        <w:t xml:space="preserve"> </w:t>
      </w:r>
      <w:r>
        <w:t>Swan</w:t>
      </w:r>
      <w:r>
        <w:rPr>
          <w:spacing w:val="-10"/>
        </w:rPr>
        <w:t xml:space="preserve"> </w:t>
      </w:r>
      <w:r>
        <w:t>Vintage to make meaningful requests for adjustments to ensure a fair comparison between their normal values and export prices before their dumping margins were determined.</w:t>
      </w:r>
    </w:p>
    <w:p w14:paraId="51DE8C76" w14:textId="77777777" w:rsidR="0010369C" w:rsidRDefault="0010369C">
      <w:pPr>
        <w:pStyle w:val="BodyText"/>
        <w:spacing w:before="11"/>
        <w:rPr>
          <w:sz w:val="8"/>
        </w:rPr>
      </w:pPr>
    </w:p>
    <w:p w14:paraId="51DE8C77" w14:textId="77777777" w:rsidR="0010369C" w:rsidRDefault="008E43AE">
      <w:pPr>
        <w:pStyle w:val="BodyText"/>
        <w:spacing w:before="52" w:line="360" w:lineRule="auto"/>
        <w:ind w:left="238" w:right="613" w:firstLine="851"/>
        <w:jc w:val="both"/>
      </w:pPr>
      <w:r>
        <w:rPr>
          <w:noProof/>
        </w:rPr>
        <w:drawing>
          <wp:anchor distT="0" distB="0" distL="0" distR="0" simplePos="0" relativeHeight="251158016" behindDoc="1" locked="0" layoutInCell="1" allowOverlap="1" wp14:anchorId="51DEA3FD" wp14:editId="51DEA3FE">
            <wp:simplePos x="0" y="0"/>
            <wp:positionH relativeFrom="page">
              <wp:posOffset>902208</wp:posOffset>
            </wp:positionH>
            <wp:positionV relativeFrom="paragraph">
              <wp:posOffset>80595</wp:posOffset>
            </wp:positionV>
            <wp:extent cx="262127" cy="103631"/>
            <wp:effectExtent l="0" t="0" r="0" b="0"/>
            <wp:wrapNone/>
            <wp:docPr id="1039" name="image5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 name="image531.png"/>
                    <pic:cNvPicPr/>
                  </pic:nvPicPr>
                  <pic:blipFill>
                    <a:blip r:embed="rId699" cstate="print"/>
                    <a:stretch>
                      <a:fillRect/>
                    </a:stretch>
                  </pic:blipFill>
                  <pic:spPr>
                    <a:xfrm>
                      <a:off x="0" y="0"/>
                      <a:ext cx="262127" cy="103631"/>
                    </a:xfrm>
                    <a:prstGeom prst="rect">
                      <a:avLst/>
                    </a:prstGeom>
                  </pic:spPr>
                </pic:pic>
              </a:graphicData>
            </a:graphic>
          </wp:anchor>
        </w:drawing>
      </w:r>
      <w:r>
        <w:t>Given</w:t>
      </w:r>
      <w:r>
        <w:rPr>
          <w:spacing w:val="-11"/>
        </w:rPr>
        <w:t xml:space="preserve"> </w:t>
      </w:r>
      <w:r>
        <w:t>the</w:t>
      </w:r>
      <w:r>
        <w:rPr>
          <w:spacing w:val="-10"/>
        </w:rPr>
        <w:t xml:space="preserve"> </w:t>
      </w:r>
      <w:r>
        <w:t>deficient</w:t>
      </w:r>
      <w:r>
        <w:rPr>
          <w:spacing w:val="-10"/>
        </w:rPr>
        <w:t xml:space="preserve"> </w:t>
      </w:r>
      <w:r>
        <w:t>and</w:t>
      </w:r>
      <w:r>
        <w:rPr>
          <w:spacing w:val="-11"/>
        </w:rPr>
        <w:t xml:space="preserve"> </w:t>
      </w:r>
      <w:r>
        <w:t>untimely</w:t>
      </w:r>
      <w:r>
        <w:rPr>
          <w:spacing w:val="-10"/>
        </w:rPr>
        <w:t xml:space="preserve"> </w:t>
      </w:r>
      <w:r>
        <w:t>disclosure</w:t>
      </w:r>
      <w:r>
        <w:rPr>
          <w:spacing w:val="-10"/>
        </w:rPr>
        <w:t xml:space="preserve"> </w:t>
      </w:r>
      <w:r>
        <w:t>to</w:t>
      </w:r>
      <w:r>
        <w:rPr>
          <w:spacing w:val="-10"/>
        </w:rPr>
        <w:t xml:space="preserve"> </w:t>
      </w:r>
      <w:r>
        <w:t>Casella</w:t>
      </w:r>
      <w:r>
        <w:rPr>
          <w:spacing w:val="-10"/>
        </w:rPr>
        <w:t xml:space="preserve"> </w:t>
      </w:r>
      <w:r>
        <w:t>Wines</w:t>
      </w:r>
      <w:r>
        <w:rPr>
          <w:spacing w:val="-11"/>
        </w:rPr>
        <w:t xml:space="preserve"> </w:t>
      </w:r>
      <w:r>
        <w:t>and</w:t>
      </w:r>
      <w:r>
        <w:rPr>
          <w:spacing w:val="-11"/>
        </w:rPr>
        <w:t xml:space="preserve"> </w:t>
      </w:r>
      <w:r>
        <w:t>Swan</w:t>
      </w:r>
      <w:r>
        <w:rPr>
          <w:spacing w:val="-11"/>
        </w:rPr>
        <w:t xml:space="preserve"> </w:t>
      </w:r>
      <w:r>
        <w:t>Vintage</w:t>
      </w:r>
      <w:r>
        <w:rPr>
          <w:spacing w:val="-10"/>
        </w:rPr>
        <w:t xml:space="preserve"> </w:t>
      </w:r>
      <w:r>
        <w:t>of</w:t>
      </w:r>
      <w:r>
        <w:rPr>
          <w:spacing w:val="-11"/>
        </w:rPr>
        <w:t xml:space="preserve"> </w:t>
      </w:r>
      <w:r>
        <w:t>t</w:t>
      </w:r>
      <w:r>
        <w:t>he methodologies for determining their normal values, China is in breach of the sixth sentence of Article 2.4.</w:t>
      </w:r>
    </w:p>
    <w:p w14:paraId="51DE8C78" w14:textId="77777777" w:rsidR="0010369C" w:rsidRDefault="008E43AE">
      <w:pPr>
        <w:pStyle w:val="Heading4"/>
        <w:numPr>
          <w:ilvl w:val="0"/>
          <w:numId w:val="8"/>
        </w:numPr>
        <w:tabs>
          <w:tab w:val="left" w:pos="2648"/>
          <w:tab w:val="left" w:pos="2649"/>
        </w:tabs>
        <w:spacing w:before="160"/>
        <w:ind w:hanging="852"/>
        <w:jc w:val="both"/>
      </w:pPr>
      <w:r>
        <w:rPr>
          <w:spacing w:val="-2"/>
        </w:rPr>
        <w:t>Conclusions</w:t>
      </w:r>
    </w:p>
    <w:p w14:paraId="51DE8C79" w14:textId="77777777" w:rsidR="0010369C" w:rsidRDefault="0010369C">
      <w:pPr>
        <w:pStyle w:val="BodyText"/>
        <w:spacing w:before="10"/>
        <w:rPr>
          <w:b/>
          <w:sz w:val="20"/>
        </w:rPr>
      </w:pPr>
    </w:p>
    <w:p w14:paraId="51DE8C7A" w14:textId="77777777" w:rsidR="0010369C" w:rsidRDefault="008E43AE">
      <w:pPr>
        <w:pStyle w:val="BodyText"/>
        <w:spacing w:before="52" w:line="360" w:lineRule="auto"/>
        <w:ind w:left="238" w:firstLine="850"/>
      </w:pPr>
      <w:r>
        <w:rPr>
          <w:noProof/>
        </w:rPr>
        <w:drawing>
          <wp:anchor distT="0" distB="0" distL="0" distR="0" simplePos="0" relativeHeight="251159040" behindDoc="1" locked="0" layoutInCell="1" allowOverlap="1" wp14:anchorId="51DEA3FF" wp14:editId="51DEA400">
            <wp:simplePos x="0" y="0"/>
            <wp:positionH relativeFrom="page">
              <wp:posOffset>902208</wp:posOffset>
            </wp:positionH>
            <wp:positionV relativeFrom="paragraph">
              <wp:posOffset>81357</wp:posOffset>
            </wp:positionV>
            <wp:extent cx="262127" cy="103631"/>
            <wp:effectExtent l="0" t="0" r="0" b="0"/>
            <wp:wrapNone/>
            <wp:docPr id="1041" name="image5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 name="image532.png"/>
                    <pic:cNvPicPr/>
                  </pic:nvPicPr>
                  <pic:blipFill>
                    <a:blip r:embed="rId700" cstate="print"/>
                    <a:stretch>
                      <a:fillRect/>
                    </a:stretch>
                  </pic:blipFill>
                  <pic:spPr>
                    <a:xfrm>
                      <a:off x="0" y="0"/>
                      <a:ext cx="262127" cy="103631"/>
                    </a:xfrm>
                    <a:prstGeom prst="rect">
                      <a:avLst/>
                    </a:prstGeom>
                  </pic:spPr>
                </pic:pic>
              </a:graphicData>
            </a:graphic>
          </wp:anchor>
        </w:drawing>
      </w:r>
      <w:r>
        <w:t>For</w:t>
      </w:r>
      <w:r>
        <w:rPr>
          <w:spacing w:val="28"/>
        </w:rPr>
        <w:t xml:space="preserve"> </w:t>
      </w:r>
      <w:r>
        <w:t>the</w:t>
      </w:r>
      <w:r>
        <w:rPr>
          <w:spacing w:val="28"/>
        </w:rPr>
        <w:t xml:space="preserve"> </w:t>
      </w:r>
      <w:r>
        <w:t>foregoing</w:t>
      </w:r>
      <w:r>
        <w:rPr>
          <w:spacing w:val="27"/>
        </w:rPr>
        <w:t xml:space="preserve"> </w:t>
      </w:r>
      <w:r>
        <w:t>reasons,</w:t>
      </w:r>
      <w:r>
        <w:rPr>
          <w:spacing w:val="27"/>
        </w:rPr>
        <w:t xml:space="preserve"> </w:t>
      </w:r>
      <w:r>
        <w:t>MOFCOM's</w:t>
      </w:r>
      <w:r>
        <w:rPr>
          <w:spacing w:val="27"/>
        </w:rPr>
        <w:t xml:space="preserve"> </w:t>
      </w:r>
      <w:r>
        <w:t>determinations</w:t>
      </w:r>
      <w:r>
        <w:rPr>
          <w:spacing w:val="28"/>
        </w:rPr>
        <w:t xml:space="preserve"> </w:t>
      </w:r>
      <w:r>
        <w:t>were</w:t>
      </w:r>
      <w:r>
        <w:rPr>
          <w:spacing w:val="28"/>
        </w:rPr>
        <w:t xml:space="preserve"> </w:t>
      </w:r>
      <w:r>
        <w:t>inconsistent</w:t>
      </w:r>
      <w:r>
        <w:rPr>
          <w:spacing w:val="29"/>
        </w:rPr>
        <w:t xml:space="preserve"> </w:t>
      </w:r>
      <w:r>
        <w:t>with</w:t>
      </w:r>
      <w:r>
        <w:rPr>
          <w:spacing w:val="27"/>
        </w:rPr>
        <w:t xml:space="preserve"> </w:t>
      </w:r>
      <w:r>
        <w:t>the requirements of Article 2.4 and, therefore, China is in breach of that provision.</w:t>
      </w:r>
    </w:p>
    <w:p w14:paraId="51DE8C7B" w14:textId="77777777" w:rsidR="0010369C" w:rsidRDefault="008E43AE">
      <w:pPr>
        <w:pStyle w:val="ListParagraph"/>
        <w:numPr>
          <w:ilvl w:val="1"/>
          <w:numId w:val="75"/>
        </w:numPr>
        <w:tabs>
          <w:tab w:val="left" w:pos="1939"/>
          <w:tab w:val="left" w:pos="1940"/>
        </w:tabs>
        <w:spacing w:before="160"/>
        <w:ind w:left="1939"/>
        <w:jc w:val="left"/>
        <w:rPr>
          <w:b/>
          <w:sz w:val="28"/>
        </w:rPr>
      </w:pPr>
      <w:r>
        <w:rPr>
          <w:b/>
          <w:spacing w:val="-2"/>
          <w:sz w:val="28"/>
        </w:rPr>
        <w:t>C</w:t>
      </w:r>
      <w:r>
        <w:rPr>
          <w:b/>
          <w:spacing w:val="-2"/>
        </w:rPr>
        <w:t>ONCLUSION</w:t>
      </w:r>
    </w:p>
    <w:p w14:paraId="51DE8C7C" w14:textId="77777777" w:rsidR="0010369C" w:rsidRDefault="0010369C">
      <w:pPr>
        <w:pStyle w:val="BodyText"/>
        <w:spacing w:before="10"/>
        <w:rPr>
          <w:b/>
          <w:sz w:val="22"/>
        </w:rPr>
      </w:pPr>
    </w:p>
    <w:p w14:paraId="51DE8C7D" w14:textId="77777777" w:rsidR="0010369C" w:rsidRDefault="008E43AE">
      <w:pPr>
        <w:pStyle w:val="BodyText"/>
        <w:spacing w:before="51" w:line="360" w:lineRule="auto"/>
        <w:ind w:left="238" w:right="614" w:firstLine="851"/>
      </w:pPr>
      <w:r>
        <w:rPr>
          <w:noProof/>
        </w:rPr>
        <w:drawing>
          <wp:anchor distT="0" distB="0" distL="0" distR="0" simplePos="0" relativeHeight="251160064" behindDoc="1" locked="0" layoutInCell="1" allowOverlap="1" wp14:anchorId="51DEA401" wp14:editId="51DEA402">
            <wp:simplePos x="0" y="0"/>
            <wp:positionH relativeFrom="page">
              <wp:posOffset>902208</wp:posOffset>
            </wp:positionH>
            <wp:positionV relativeFrom="paragraph">
              <wp:posOffset>76151</wp:posOffset>
            </wp:positionV>
            <wp:extent cx="262127" cy="106679"/>
            <wp:effectExtent l="0" t="0" r="0" b="0"/>
            <wp:wrapNone/>
            <wp:docPr id="1043" name="image5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 name="image533.png"/>
                    <pic:cNvPicPr/>
                  </pic:nvPicPr>
                  <pic:blipFill>
                    <a:blip r:embed="rId701" cstate="print"/>
                    <a:stretch>
                      <a:fillRect/>
                    </a:stretch>
                  </pic:blipFill>
                  <pic:spPr>
                    <a:xfrm>
                      <a:off x="0" y="0"/>
                      <a:ext cx="262127" cy="106679"/>
                    </a:xfrm>
                    <a:prstGeom prst="rect">
                      <a:avLst/>
                    </a:prstGeom>
                  </pic:spPr>
                </pic:pic>
              </a:graphicData>
            </a:graphic>
          </wp:anchor>
        </w:drawing>
      </w:r>
      <w:r>
        <w:t>For</w:t>
      </w:r>
      <w:r>
        <w:rPr>
          <w:spacing w:val="80"/>
        </w:rPr>
        <w:t xml:space="preserve"> </w:t>
      </w:r>
      <w:r>
        <w:t>the</w:t>
      </w:r>
      <w:r>
        <w:rPr>
          <w:spacing w:val="80"/>
        </w:rPr>
        <w:t xml:space="preserve"> </w:t>
      </w:r>
      <w:r>
        <w:t>reasons</w:t>
      </w:r>
      <w:r>
        <w:rPr>
          <w:spacing w:val="80"/>
        </w:rPr>
        <w:t xml:space="preserve"> </w:t>
      </w:r>
      <w:r>
        <w:t>set</w:t>
      </w:r>
      <w:r>
        <w:rPr>
          <w:spacing w:val="80"/>
        </w:rPr>
        <w:t xml:space="preserve"> </w:t>
      </w:r>
      <w:r>
        <w:t>out</w:t>
      </w:r>
      <w:r>
        <w:rPr>
          <w:spacing w:val="80"/>
        </w:rPr>
        <w:t xml:space="preserve"> </w:t>
      </w:r>
      <w:r>
        <w:t>above,</w:t>
      </w:r>
      <w:r>
        <w:rPr>
          <w:spacing w:val="80"/>
        </w:rPr>
        <w:t xml:space="preserve"> </w:t>
      </w:r>
      <w:r>
        <w:t>Australia</w:t>
      </w:r>
      <w:r>
        <w:rPr>
          <w:spacing w:val="80"/>
        </w:rPr>
        <w:t xml:space="preserve"> </w:t>
      </w:r>
      <w:r>
        <w:t>has</w:t>
      </w:r>
      <w:r>
        <w:rPr>
          <w:spacing w:val="80"/>
        </w:rPr>
        <w:t xml:space="preserve"> </w:t>
      </w:r>
      <w:r>
        <w:t>established</w:t>
      </w:r>
      <w:r>
        <w:rPr>
          <w:spacing w:val="80"/>
        </w:rPr>
        <w:t xml:space="preserve"> </w:t>
      </w:r>
      <w:r>
        <w:t>that</w:t>
      </w:r>
      <w:r>
        <w:rPr>
          <w:spacing w:val="80"/>
        </w:rPr>
        <w:t xml:space="preserve"> </w:t>
      </w:r>
      <w:r>
        <w:t>China</w:t>
      </w:r>
      <w:r>
        <w:rPr>
          <w:spacing w:val="80"/>
        </w:rPr>
        <w:t xml:space="preserve"> </w:t>
      </w:r>
      <w:r>
        <w:t>acted</w:t>
      </w:r>
      <w:r>
        <w:rPr>
          <w:spacing w:val="40"/>
        </w:rPr>
        <w:t xml:space="preserve"> </w:t>
      </w:r>
      <w:r>
        <w:t>inconsistently</w:t>
      </w:r>
      <w:r>
        <w:rPr>
          <w:spacing w:val="-5"/>
        </w:rPr>
        <w:t xml:space="preserve"> </w:t>
      </w:r>
      <w:r>
        <w:t>with</w:t>
      </w:r>
      <w:r>
        <w:rPr>
          <w:spacing w:val="-6"/>
        </w:rPr>
        <w:t xml:space="preserve"> </w:t>
      </w:r>
      <w:r>
        <w:t>Article</w:t>
      </w:r>
      <w:r>
        <w:rPr>
          <w:spacing w:val="-7"/>
        </w:rPr>
        <w:t xml:space="preserve"> </w:t>
      </w:r>
      <w:r>
        <w:t>6.8</w:t>
      </w:r>
      <w:r>
        <w:rPr>
          <w:spacing w:val="-6"/>
        </w:rPr>
        <w:t xml:space="preserve"> </w:t>
      </w:r>
      <w:r>
        <w:t>and</w:t>
      </w:r>
      <w:r>
        <w:rPr>
          <w:spacing w:val="-6"/>
        </w:rPr>
        <w:t xml:space="preserve"> </w:t>
      </w:r>
      <w:r>
        <w:t>paragraphs</w:t>
      </w:r>
      <w:r>
        <w:rPr>
          <w:spacing w:val="-5"/>
        </w:rPr>
        <w:t xml:space="preserve"> </w:t>
      </w:r>
      <w:r>
        <w:t>1,</w:t>
      </w:r>
      <w:r>
        <w:rPr>
          <w:spacing w:val="-5"/>
        </w:rPr>
        <w:t xml:space="preserve"> </w:t>
      </w:r>
      <w:r>
        <w:t>3,</w:t>
      </w:r>
      <w:r>
        <w:rPr>
          <w:spacing w:val="-7"/>
        </w:rPr>
        <w:t xml:space="preserve"> </w:t>
      </w:r>
      <w:r>
        <w:t>5,</w:t>
      </w:r>
      <w:r>
        <w:rPr>
          <w:spacing w:val="-5"/>
        </w:rPr>
        <w:t xml:space="preserve"> </w:t>
      </w:r>
      <w:r>
        <w:t>6</w:t>
      </w:r>
      <w:r>
        <w:rPr>
          <w:spacing w:val="-6"/>
        </w:rPr>
        <w:t xml:space="preserve"> </w:t>
      </w:r>
      <w:r>
        <w:t>and</w:t>
      </w:r>
      <w:r>
        <w:rPr>
          <w:spacing w:val="-5"/>
        </w:rPr>
        <w:t xml:space="preserve"> </w:t>
      </w:r>
      <w:r>
        <w:t>7</w:t>
      </w:r>
      <w:r>
        <w:rPr>
          <w:spacing w:val="-5"/>
        </w:rPr>
        <w:t xml:space="preserve"> </w:t>
      </w:r>
      <w:r>
        <w:t>of</w:t>
      </w:r>
      <w:r>
        <w:rPr>
          <w:spacing w:val="-7"/>
        </w:rPr>
        <w:t xml:space="preserve"> </w:t>
      </w:r>
      <w:r>
        <w:t>Annex</w:t>
      </w:r>
      <w:r>
        <w:rPr>
          <w:spacing w:val="-6"/>
        </w:rPr>
        <w:t xml:space="preserve"> </w:t>
      </w:r>
      <w:r>
        <w:t>II</w:t>
      </w:r>
      <w:r>
        <w:rPr>
          <w:spacing w:val="-5"/>
        </w:rPr>
        <w:t xml:space="preserve"> </w:t>
      </w:r>
      <w:r>
        <w:t>of</w:t>
      </w:r>
      <w:r>
        <w:rPr>
          <w:spacing w:val="-6"/>
        </w:rPr>
        <w:t xml:space="preserve"> </w:t>
      </w:r>
      <w:r>
        <w:t>the</w:t>
      </w:r>
      <w:r>
        <w:rPr>
          <w:spacing w:val="-5"/>
        </w:rPr>
        <w:t xml:space="preserve"> </w:t>
      </w:r>
      <w:r>
        <w:rPr>
          <w:spacing w:val="-2"/>
        </w:rPr>
        <w:t>Anti‐Dumping</w:t>
      </w:r>
    </w:p>
    <w:p w14:paraId="51DE8C7E" w14:textId="77777777" w:rsidR="0010369C" w:rsidRDefault="0010369C">
      <w:pPr>
        <w:pStyle w:val="BodyText"/>
        <w:rPr>
          <w:sz w:val="20"/>
        </w:rPr>
      </w:pPr>
    </w:p>
    <w:p w14:paraId="51DE8C7F" w14:textId="77777777" w:rsidR="0010369C" w:rsidRDefault="0010369C">
      <w:pPr>
        <w:pStyle w:val="BodyText"/>
        <w:rPr>
          <w:sz w:val="20"/>
        </w:rPr>
      </w:pPr>
    </w:p>
    <w:p w14:paraId="51DE8C80" w14:textId="77777777" w:rsidR="0010369C" w:rsidRDefault="0010369C">
      <w:pPr>
        <w:pStyle w:val="BodyText"/>
        <w:rPr>
          <w:sz w:val="20"/>
        </w:rPr>
      </w:pPr>
    </w:p>
    <w:p w14:paraId="51DE8C81" w14:textId="77777777" w:rsidR="0010369C" w:rsidRDefault="0010369C">
      <w:pPr>
        <w:pStyle w:val="BodyText"/>
        <w:rPr>
          <w:sz w:val="20"/>
        </w:rPr>
      </w:pPr>
    </w:p>
    <w:p w14:paraId="51DE8C82" w14:textId="77777777" w:rsidR="0010369C" w:rsidRDefault="008E43AE">
      <w:pPr>
        <w:pStyle w:val="BodyText"/>
        <w:spacing w:before="5"/>
        <w:rPr>
          <w:sz w:val="11"/>
        </w:rPr>
      </w:pPr>
      <w:r>
        <w:pict w14:anchorId="51DEA403">
          <v:rect id="docshape995" o:spid="_x0000_s1372" style="position:absolute;margin-left:70.9pt;margin-top:8.2pt;width:2in;height:.8pt;z-index:-250856960;mso-wrap-distance-left:0;mso-wrap-distance-right:0;mso-position-horizontal-relative:page" fillcolor="black" stroked="f">
            <w10:wrap type="topAndBottom" anchorx="page"/>
          </v:rect>
        </w:pict>
      </w:r>
    </w:p>
    <w:p w14:paraId="51DE8C83" w14:textId="77777777" w:rsidR="0010369C" w:rsidRDefault="008E43AE">
      <w:pPr>
        <w:spacing w:before="109"/>
        <w:ind w:left="238" w:right="612"/>
        <w:jc w:val="both"/>
        <w:rPr>
          <w:sz w:val="18"/>
        </w:rPr>
      </w:pPr>
      <w:r>
        <w:rPr>
          <w:sz w:val="18"/>
          <w:vertAlign w:val="superscript"/>
        </w:rPr>
        <w:t>565</w:t>
      </w:r>
      <w:r>
        <w:rPr>
          <w:sz w:val="18"/>
        </w:rPr>
        <w:t xml:space="preserve"> Anti‐Dumping Final Disclosure (Exhibit AUS‐16), pp. 60, 66. The methods for determining normal value for the two companies were different from those utilised in the Preliminary Determination. For Casella Wines see Anti‐Dumping Preliminary Determination (E</w:t>
      </w:r>
      <w:r>
        <w:rPr>
          <w:sz w:val="18"/>
        </w:rPr>
        <w:t>xhibit AUS‐35), p. 29 ("the Investigating Authority decided to temporarily use the sales price between the Company and Chinese non‐related</w:t>
      </w:r>
      <w:r>
        <w:rPr>
          <w:spacing w:val="-1"/>
          <w:sz w:val="18"/>
        </w:rPr>
        <w:t xml:space="preserve"> </w:t>
      </w:r>
      <w:r>
        <w:rPr>
          <w:sz w:val="18"/>
        </w:rPr>
        <w:t>clients as the basis for determining the</w:t>
      </w:r>
      <w:r>
        <w:rPr>
          <w:spacing w:val="-1"/>
          <w:sz w:val="18"/>
        </w:rPr>
        <w:t xml:space="preserve"> </w:t>
      </w:r>
      <w:r>
        <w:rPr>
          <w:sz w:val="18"/>
        </w:rPr>
        <w:t xml:space="preserve">export price") and for Swan Vintage see p. 31 ("the Investigating Authority </w:t>
      </w:r>
      <w:r>
        <w:rPr>
          <w:sz w:val="18"/>
        </w:rPr>
        <w:t>temporarily decided to use the costs and expenses of some of the product under investigation reported by the Company, as well as the profit margin reported by the Company to calculate the constructed normal value and determine the normal value of the Compa</w:t>
      </w:r>
      <w:r>
        <w:rPr>
          <w:sz w:val="18"/>
        </w:rPr>
        <w:t>ny accordingly").</w:t>
      </w:r>
    </w:p>
    <w:p w14:paraId="51DE8C84" w14:textId="77777777" w:rsidR="0010369C" w:rsidRDefault="008E43AE">
      <w:pPr>
        <w:spacing w:line="219" w:lineRule="exact"/>
        <w:ind w:left="238"/>
        <w:jc w:val="both"/>
        <w:rPr>
          <w:sz w:val="18"/>
        </w:rPr>
      </w:pPr>
      <w:r>
        <w:rPr>
          <w:sz w:val="18"/>
          <w:vertAlign w:val="superscript"/>
        </w:rPr>
        <w:t>566</w:t>
      </w:r>
      <w:r>
        <w:rPr>
          <w:spacing w:val="-8"/>
          <w:sz w:val="18"/>
        </w:rPr>
        <w:t xml:space="preserve"> </w:t>
      </w:r>
      <w:r>
        <w:rPr>
          <w:sz w:val="18"/>
        </w:rPr>
        <w:t>Anti‐Dumping</w:t>
      </w:r>
      <w:r>
        <w:rPr>
          <w:spacing w:val="-7"/>
          <w:sz w:val="18"/>
        </w:rPr>
        <w:t xml:space="preserve"> </w:t>
      </w:r>
      <w:r>
        <w:rPr>
          <w:sz w:val="18"/>
        </w:rPr>
        <w:t>Final</w:t>
      </w:r>
      <w:r>
        <w:rPr>
          <w:spacing w:val="-7"/>
          <w:sz w:val="18"/>
        </w:rPr>
        <w:t xml:space="preserve"> </w:t>
      </w:r>
      <w:r>
        <w:rPr>
          <w:sz w:val="18"/>
        </w:rPr>
        <w:t>Disclosure</w:t>
      </w:r>
      <w:r>
        <w:rPr>
          <w:spacing w:val="-7"/>
          <w:sz w:val="18"/>
        </w:rPr>
        <w:t xml:space="preserve"> </w:t>
      </w:r>
      <w:r>
        <w:rPr>
          <w:sz w:val="18"/>
        </w:rPr>
        <w:t>(Exhibit</w:t>
      </w:r>
      <w:r>
        <w:rPr>
          <w:spacing w:val="-8"/>
          <w:sz w:val="18"/>
        </w:rPr>
        <w:t xml:space="preserve"> </w:t>
      </w:r>
      <w:r>
        <w:rPr>
          <w:sz w:val="18"/>
        </w:rPr>
        <w:t>AUS‐16),</w:t>
      </w:r>
      <w:r>
        <w:rPr>
          <w:spacing w:val="-8"/>
          <w:sz w:val="18"/>
        </w:rPr>
        <w:t xml:space="preserve"> </w:t>
      </w:r>
      <w:r>
        <w:rPr>
          <w:sz w:val="18"/>
        </w:rPr>
        <w:t>pp.</w:t>
      </w:r>
      <w:r>
        <w:rPr>
          <w:spacing w:val="-7"/>
          <w:sz w:val="18"/>
        </w:rPr>
        <w:t xml:space="preserve"> </w:t>
      </w:r>
      <w:r>
        <w:rPr>
          <w:sz w:val="18"/>
        </w:rPr>
        <w:t>60,</w:t>
      </w:r>
      <w:r>
        <w:rPr>
          <w:spacing w:val="-8"/>
          <w:sz w:val="18"/>
        </w:rPr>
        <w:t xml:space="preserve"> </w:t>
      </w:r>
      <w:r>
        <w:rPr>
          <w:spacing w:val="-5"/>
          <w:sz w:val="18"/>
        </w:rPr>
        <w:t>66.</w:t>
      </w:r>
    </w:p>
    <w:p w14:paraId="51DE8C85" w14:textId="77777777" w:rsidR="0010369C" w:rsidRDefault="008E43AE">
      <w:pPr>
        <w:spacing w:before="1"/>
        <w:ind w:left="237" w:right="613"/>
        <w:jc w:val="both"/>
        <w:rPr>
          <w:sz w:val="18"/>
        </w:rPr>
      </w:pPr>
      <w:r>
        <w:rPr>
          <w:sz w:val="18"/>
          <w:vertAlign w:val="superscript"/>
        </w:rPr>
        <w:t>567</w:t>
      </w:r>
      <w:r>
        <w:rPr>
          <w:sz w:val="18"/>
        </w:rPr>
        <w:t xml:space="preserve"> Anti‐Dumping Final Determination (Exhibit AUS‐2), pp. 84‐85 and 92. The principal difference is that, for Swan Vintage, the</w:t>
      </w:r>
      <w:r>
        <w:rPr>
          <w:spacing w:val="-1"/>
          <w:sz w:val="18"/>
        </w:rPr>
        <w:t xml:space="preserve"> </w:t>
      </w:r>
      <w:r>
        <w:rPr>
          <w:sz w:val="18"/>
        </w:rPr>
        <w:t>Anti‐Dumping</w:t>
      </w:r>
      <w:r>
        <w:rPr>
          <w:spacing w:val="-1"/>
          <w:sz w:val="18"/>
        </w:rPr>
        <w:t xml:space="preserve"> </w:t>
      </w:r>
      <w:r>
        <w:rPr>
          <w:sz w:val="18"/>
        </w:rPr>
        <w:t>Final</w:t>
      </w:r>
      <w:r>
        <w:rPr>
          <w:spacing w:val="-1"/>
          <w:sz w:val="18"/>
        </w:rPr>
        <w:t xml:space="preserve"> </w:t>
      </w:r>
      <w:r>
        <w:rPr>
          <w:sz w:val="18"/>
        </w:rPr>
        <w:t>Determination</w:t>
      </w:r>
      <w:r>
        <w:rPr>
          <w:spacing w:val="-1"/>
          <w:sz w:val="18"/>
        </w:rPr>
        <w:t xml:space="preserve"> </w:t>
      </w:r>
      <w:r>
        <w:rPr>
          <w:sz w:val="18"/>
        </w:rPr>
        <w:t>refers</w:t>
      </w:r>
      <w:r>
        <w:rPr>
          <w:spacing w:val="-1"/>
          <w:sz w:val="18"/>
        </w:rPr>
        <w:t xml:space="preserve"> </w:t>
      </w:r>
      <w:r>
        <w:rPr>
          <w:sz w:val="18"/>
        </w:rPr>
        <w:t>to</w:t>
      </w:r>
      <w:r>
        <w:rPr>
          <w:spacing w:val="-1"/>
          <w:sz w:val="18"/>
        </w:rPr>
        <w:t xml:space="preserve"> </w:t>
      </w:r>
      <w:r>
        <w:rPr>
          <w:sz w:val="18"/>
        </w:rPr>
        <w:t>the</w:t>
      </w:r>
      <w:r>
        <w:rPr>
          <w:spacing w:val="-1"/>
          <w:sz w:val="18"/>
        </w:rPr>
        <w:t xml:space="preserve"> </w:t>
      </w:r>
      <w:r>
        <w:rPr>
          <w:sz w:val="18"/>
        </w:rPr>
        <w:t>"weighted</w:t>
      </w:r>
      <w:r>
        <w:rPr>
          <w:spacing w:val="-1"/>
          <w:sz w:val="18"/>
        </w:rPr>
        <w:t xml:space="preserve"> </w:t>
      </w:r>
      <w:r>
        <w:rPr>
          <w:sz w:val="18"/>
        </w:rPr>
        <w:t>average</w:t>
      </w:r>
      <w:r>
        <w:rPr>
          <w:spacing w:val="-1"/>
          <w:sz w:val="18"/>
        </w:rPr>
        <w:t xml:space="preserve"> </w:t>
      </w:r>
      <w:r>
        <w:rPr>
          <w:sz w:val="18"/>
        </w:rPr>
        <w:t>prices of</w:t>
      </w:r>
      <w:r>
        <w:rPr>
          <w:spacing w:val="-1"/>
          <w:sz w:val="18"/>
        </w:rPr>
        <w:t xml:space="preserve"> </w:t>
      </w:r>
      <w:r>
        <w:rPr>
          <w:sz w:val="18"/>
        </w:rPr>
        <w:t>typical</w:t>
      </w:r>
      <w:r>
        <w:rPr>
          <w:spacing w:val="-2"/>
          <w:sz w:val="18"/>
        </w:rPr>
        <w:t xml:space="preserve"> </w:t>
      </w:r>
      <w:r>
        <w:rPr>
          <w:sz w:val="18"/>
        </w:rPr>
        <w:t>domestic sales</w:t>
      </w:r>
      <w:r>
        <w:rPr>
          <w:spacing w:val="-1"/>
          <w:sz w:val="18"/>
        </w:rPr>
        <w:t xml:space="preserve"> </w:t>
      </w:r>
      <w:r>
        <w:rPr>
          <w:sz w:val="18"/>
        </w:rPr>
        <w:t>of</w:t>
      </w:r>
      <w:r>
        <w:rPr>
          <w:spacing w:val="-1"/>
          <w:sz w:val="18"/>
        </w:rPr>
        <w:t xml:space="preserve"> </w:t>
      </w:r>
      <w:r>
        <w:rPr>
          <w:sz w:val="18"/>
        </w:rPr>
        <w:t>the</w:t>
      </w:r>
      <w:r>
        <w:rPr>
          <w:spacing w:val="-1"/>
          <w:sz w:val="18"/>
        </w:rPr>
        <w:t xml:space="preserve"> </w:t>
      </w:r>
      <w:r>
        <w:rPr>
          <w:sz w:val="18"/>
        </w:rPr>
        <w:t>product</w:t>
      </w:r>
      <w:r>
        <w:rPr>
          <w:spacing w:val="-1"/>
          <w:sz w:val="18"/>
        </w:rPr>
        <w:t xml:space="preserve"> </w:t>
      </w:r>
      <w:r>
        <w:rPr>
          <w:sz w:val="18"/>
        </w:rPr>
        <w:t xml:space="preserve">under investigation given by other respondents", omitting the reference to "typical" domestic sales that appears in the Final </w:t>
      </w:r>
      <w:r>
        <w:rPr>
          <w:spacing w:val="-2"/>
          <w:sz w:val="18"/>
        </w:rPr>
        <w:t>Disclosure.</w:t>
      </w:r>
    </w:p>
    <w:p w14:paraId="51DE8C86" w14:textId="77777777" w:rsidR="0010369C" w:rsidRDefault="0010369C">
      <w:pPr>
        <w:jc w:val="both"/>
        <w:rPr>
          <w:sz w:val="18"/>
        </w:rPr>
        <w:sectPr w:rsidR="0010369C">
          <w:pgSz w:w="11910" w:h="16840"/>
          <w:pgMar w:top="880" w:right="800" w:bottom="980" w:left="1180" w:header="569" w:footer="788" w:gutter="0"/>
          <w:cols w:space="720"/>
        </w:sectPr>
      </w:pPr>
    </w:p>
    <w:p w14:paraId="51DE8C87" w14:textId="77777777" w:rsidR="0010369C" w:rsidRDefault="008E43AE">
      <w:pPr>
        <w:tabs>
          <w:tab w:val="left" w:pos="6425"/>
        </w:tabs>
        <w:ind w:left="238"/>
        <w:rPr>
          <w:sz w:val="20"/>
        </w:rPr>
      </w:pPr>
      <w:r>
        <w:rPr>
          <w:i/>
          <w:sz w:val="20"/>
        </w:rPr>
        <w:lastRenderedPageBreak/>
        <w:t>China</w:t>
      </w:r>
      <w:r>
        <w:rPr>
          <w:i/>
          <w:spacing w:val="-5"/>
          <w:sz w:val="20"/>
        </w:rPr>
        <w:t xml:space="preserve"> </w:t>
      </w:r>
      <w:r>
        <w:rPr>
          <w:i/>
          <w:sz w:val="20"/>
        </w:rPr>
        <w:t>–</w:t>
      </w:r>
      <w:r>
        <w:rPr>
          <w:i/>
          <w:spacing w:val="-5"/>
          <w:sz w:val="20"/>
        </w:rPr>
        <w:t xml:space="preserve"> </w:t>
      </w:r>
      <w:r>
        <w:rPr>
          <w:i/>
          <w:sz w:val="20"/>
        </w:rPr>
        <w:t>Anti‐Dumping</w:t>
      </w:r>
      <w:r>
        <w:rPr>
          <w:i/>
          <w:spacing w:val="-4"/>
          <w:sz w:val="20"/>
        </w:rPr>
        <w:t xml:space="preserve"> </w:t>
      </w:r>
      <w:r>
        <w:rPr>
          <w:i/>
          <w:sz w:val="20"/>
        </w:rPr>
        <w:t>and</w:t>
      </w:r>
      <w:r>
        <w:rPr>
          <w:i/>
          <w:spacing w:val="-5"/>
          <w:sz w:val="20"/>
        </w:rPr>
        <w:t xml:space="preserve"> </w:t>
      </w:r>
      <w:r>
        <w:rPr>
          <w:i/>
          <w:sz w:val="20"/>
        </w:rPr>
        <w:t>Counterv</w:t>
      </w:r>
      <w:r>
        <w:rPr>
          <w:i/>
          <w:sz w:val="20"/>
        </w:rPr>
        <w:t>ailing</w:t>
      </w:r>
      <w:r>
        <w:rPr>
          <w:i/>
          <w:spacing w:val="-5"/>
          <w:sz w:val="20"/>
        </w:rPr>
        <w:t xml:space="preserve"> </w:t>
      </w:r>
      <w:r>
        <w:rPr>
          <w:i/>
          <w:sz w:val="20"/>
        </w:rPr>
        <w:t>Duty</w:t>
      </w:r>
      <w:r>
        <w:rPr>
          <w:i/>
          <w:spacing w:val="-4"/>
          <w:sz w:val="20"/>
        </w:rPr>
        <w:t xml:space="preserve"> </w:t>
      </w:r>
      <w:r>
        <w:rPr>
          <w:i/>
          <w:spacing w:val="-2"/>
          <w:sz w:val="20"/>
        </w:rPr>
        <w:t>Measures</w:t>
      </w:r>
      <w:r>
        <w:rPr>
          <w:i/>
          <w:sz w:val="20"/>
        </w:rPr>
        <w:tab/>
      </w:r>
      <w:r>
        <w:rPr>
          <w:sz w:val="20"/>
        </w:rPr>
        <w:t>Australia's</w:t>
      </w:r>
      <w:r>
        <w:rPr>
          <w:spacing w:val="-7"/>
          <w:sz w:val="20"/>
        </w:rPr>
        <w:t xml:space="preserve"> </w:t>
      </w:r>
      <w:r>
        <w:rPr>
          <w:sz w:val="20"/>
        </w:rPr>
        <w:t>First</w:t>
      </w:r>
      <w:r>
        <w:rPr>
          <w:spacing w:val="-2"/>
          <w:sz w:val="20"/>
        </w:rPr>
        <w:t xml:space="preserve"> </w:t>
      </w:r>
      <w:r>
        <w:rPr>
          <w:sz w:val="20"/>
        </w:rPr>
        <w:t>Written</w:t>
      </w:r>
      <w:r>
        <w:rPr>
          <w:spacing w:val="-2"/>
          <w:sz w:val="20"/>
        </w:rPr>
        <w:t xml:space="preserve"> Submission</w:t>
      </w:r>
    </w:p>
    <w:p w14:paraId="51DE8C88" w14:textId="77777777" w:rsidR="0010369C" w:rsidRDefault="008E43AE">
      <w:pPr>
        <w:tabs>
          <w:tab w:val="left" w:pos="8227"/>
        </w:tabs>
        <w:spacing w:before="1"/>
        <w:ind w:left="239"/>
        <w:rPr>
          <w:sz w:val="20"/>
        </w:rPr>
      </w:pPr>
      <w:r>
        <w:rPr>
          <w:i/>
          <w:sz w:val="20"/>
        </w:rPr>
        <w:t>on</w:t>
      </w:r>
      <w:r>
        <w:rPr>
          <w:i/>
          <w:spacing w:val="-1"/>
          <w:sz w:val="20"/>
        </w:rPr>
        <w:t xml:space="preserve"> </w:t>
      </w:r>
      <w:r>
        <w:rPr>
          <w:i/>
          <w:sz w:val="20"/>
        </w:rPr>
        <w:t>Wine</w:t>
      </w:r>
      <w:r>
        <w:rPr>
          <w:i/>
          <w:spacing w:val="-1"/>
          <w:sz w:val="20"/>
        </w:rPr>
        <w:t xml:space="preserve"> </w:t>
      </w:r>
      <w:r>
        <w:rPr>
          <w:i/>
          <w:sz w:val="20"/>
        </w:rPr>
        <w:t>from</w:t>
      </w:r>
      <w:r>
        <w:rPr>
          <w:i/>
          <w:spacing w:val="-3"/>
          <w:sz w:val="20"/>
        </w:rPr>
        <w:t xml:space="preserve"> </w:t>
      </w:r>
      <w:r>
        <w:rPr>
          <w:i/>
          <w:sz w:val="20"/>
        </w:rPr>
        <w:t>Australia</w:t>
      </w:r>
      <w:r>
        <w:rPr>
          <w:i/>
          <w:spacing w:val="-1"/>
          <w:sz w:val="20"/>
        </w:rPr>
        <w:t xml:space="preserve"> </w:t>
      </w:r>
      <w:r>
        <w:rPr>
          <w:spacing w:val="-2"/>
          <w:sz w:val="20"/>
        </w:rPr>
        <w:t>(DS602)</w:t>
      </w:r>
      <w:r>
        <w:rPr>
          <w:sz w:val="20"/>
        </w:rPr>
        <w:tab/>
        <w:t>29</w:t>
      </w:r>
      <w:r>
        <w:rPr>
          <w:spacing w:val="-1"/>
          <w:sz w:val="20"/>
        </w:rPr>
        <w:t xml:space="preserve"> </w:t>
      </w:r>
      <w:r>
        <w:rPr>
          <w:sz w:val="20"/>
        </w:rPr>
        <w:t>April</w:t>
      </w:r>
      <w:r>
        <w:rPr>
          <w:spacing w:val="-2"/>
          <w:sz w:val="20"/>
        </w:rPr>
        <w:t xml:space="preserve"> </w:t>
      </w:r>
      <w:r>
        <w:rPr>
          <w:spacing w:val="-4"/>
          <w:sz w:val="20"/>
        </w:rPr>
        <w:t>2022</w:t>
      </w:r>
    </w:p>
    <w:p w14:paraId="51DE8C89" w14:textId="77777777" w:rsidR="0010369C" w:rsidRDefault="008E43AE">
      <w:pPr>
        <w:pStyle w:val="BodyText"/>
        <w:spacing w:before="34" w:line="360" w:lineRule="auto"/>
        <w:ind w:left="238" w:right="614"/>
      </w:pPr>
      <w:r>
        <w:t>Agreement</w:t>
      </w:r>
      <w:r>
        <w:rPr>
          <w:spacing w:val="35"/>
        </w:rPr>
        <w:t xml:space="preserve"> </w:t>
      </w:r>
      <w:r>
        <w:t>in</w:t>
      </w:r>
      <w:r>
        <w:rPr>
          <w:spacing w:val="36"/>
        </w:rPr>
        <w:t xml:space="preserve"> </w:t>
      </w:r>
      <w:r>
        <w:t>respect</w:t>
      </w:r>
      <w:r>
        <w:rPr>
          <w:spacing w:val="35"/>
        </w:rPr>
        <w:t xml:space="preserve"> </w:t>
      </w:r>
      <w:r>
        <w:t>of</w:t>
      </w:r>
      <w:r>
        <w:rPr>
          <w:spacing w:val="35"/>
        </w:rPr>
        <w:t xml:space="preserve"> </w:t>
      </w:r>
      <w:r>
        <w:t>MOFCOM's</w:t>
      </w:r>
      <w:r>
        <w:rPr>
          <w:spacing w:val="34"/>
        </w:rPr>
        <w:t xml:space="preserve"> </w:t>
      </w:r>
      <w:r>
        <w:t>application</w:t>
      </w:r>
      <w:r>
        <w:rPr>
          <w:spacing w:val="35"/>
        </w:rPr>
        <w:t xml:space="preserve"> </w:t>
      </w:r>
      <w:r>
        <w:t>of</w:t>
      </w:r>
      <w:r>
        <w:rPr>
          <w:spacing w:val="35"/>
        </w:rPr>
        <w:t xml:space="preserve"> </w:t>
      </w:r>
      <w:r>
        <w:t>facts</w:t>
      </w:r>
      <w:r>
        <w:rPr>
          <w:spacing w:val="35"/>
        </w:rPr>
        <w:t xml:space="preserve"> </w:t>
      </w:r>
      <w:r>
        <w:t>available</w:t>
      </w:r>
      <w:r>
        <w:rPr>
          <w:spacing w:val="36"/>
        </w:rPr>
        <w:t xml:space="preserve"> </w:t>
      </w:r>
      <w:r>
        <w:t>in</w:t>
      </w:r>
      <w:r>
        <w:rPr>
          <w:spacing w:val="36"/>
        </w:rPr>
        <w:t xml:space="preserve"> </w:t>
      </w:r>
      <w:r>
        <w:t>its</w:t>
      </w:r>
      <w:r>
        <w:rPr>
          <w:spacing w:val="35"/>
        </w:rPr>
        <w:t xml:space="preserve"> </w:t>
      </w:r>
      <w:r>
        <w:t>investigation</w:t>
      </w:r>
      <w:r>
        <w:rPr>
          <w:spacing w:val="37"/>
        </w:rPr>
        <w:t xml:space="preserve"> </w:t>
      </w:r>
      <w:r>
        <w:t>and Article 2 of the Anti‐Dumping Agreement in relation to the determination of dumping.</w:t>
      </w:r>
    </w:p>
    <w:p w14:paraId="51DE8C8A" w14:textId="77777777" w:rsidR="0010369C" w:rsidRDefault="0010369C">
      <w:pPr>
        <w:pStyle w:val="BodyText"/>
      </w:pPr>
    </w:p>
    <w:p w14:paraId="51DE8C8B" w14:textId="77777777" w:rsidR="0010369C" w:rsidRDefault="0010369C">
      <w:pPr>
        <w:pStyle w:val="BodyText"/>
      </w:pPr>
    </w:p>
    <w:p w14:paraId="51DE8C8C" w14:textId="77777777" w:rsidR="0010369C" w:rsidRDefault="0010369C">
      <w:pPr>
        <w:pStyle w:val="BodyText"/>
        <w:spacing w:before="10"/>
        <w:rPr>
          <w:sz w:val="20"/>
        </w:rPr>
      </w:pPr>
    </w:p>
    <w:p w14:paraId="51DE8C8D" w14:textId="77777777" w:rsidR="0010369C" w:rsidRDefault="008E43AE">
      <w:pPr>
        <w:pStyle w:val="Heading3"/>
        <w:numPr>
          <w:ilvl w:val="0"/>
          <w:numId w:val="75"/>
        </w:numPr>
        <w:tabs>
          <w:tab w:val="left" w:pos="1089"/>
          <w:tab w:val="left" w:pos="1090"/>
        </w:tabs>
        <w:spacing w:before="0" w:line="360" w:lineRule="auto"/>
        <w:ind w:left="1088" w:right="616"/>
        <w:jc w:val="left"/>
      </w:pPr>
      <w:r>
        <w:t>AUSTRALIA'S</w:t>
      </w:r>
      <w:r>
        <w:rPr>
          <w:spacing w:val="40"/>
        </w:rPr>
        <w:t xml:space="preserve"> </w:t>
      </w:r>
      <w:r>
        <w:t>CLAIMS</w:t>
      </w:r>
      <w:r>
        <w:rPr>
          <w:spacing w:val="40"/>
        </w:rPr>
        <w:t xml:space="preserve"> </w:t>
      </w:r>
      <w:r>
        <w:t>CONCERNING</w:t>
      </w:r>
      <w:r>
        <w:rPr>
          <w:spacing w:val="40"/>
        </w:rPr>
        <w:t xml:space="preserve"> </w:t>
      </w:r>
      <w:r>
        <w:t>THE</w:t>
      </w:r>
      <w:r>
        <w:rPr>
          <w:spacing w:val="40"/>
        </w:rPr>
        <w:t xml:space="preserve"> </w:t>
      </w:r>
      <w:r>
        <w:t>DEFINITION</w:t>
      </w:r>
      <w:r>
        <w:rPr>
          <w:spacing w:val="40"/>
        </w:rPr>
        <w:t xml:space="preserve"> </w:t>
      </w:r>
      <w:r>
        <w:t>OF</w:t>
      </w:r>
      <w:r>
        <w:rPr>
          <w:spacing w:val="40"/>
        </w:rPr>
        <w:t xml:space="preserve"> </w:t>
      </w:r>
      <w:r>
        <w:t xml:space="preserve">"DOMESTIC </w:t>
      </w:r>
      <w:r>
        <w:rPr>
          <w:spacing w:val="-2"/>
        </w:rPr>
        <w:t>INDUSTRY"</w:t>
      </w:r>
    </w:p>
    <w:p w14:paraId="51DE8C8E" w14:textId="77777777" w:rsidR="0010369C" w:rsidRDefault="0010369C">
      <w:pPr>
        <w:pStyle w:val="BodyText"/>
        <w:spacing w:before="9"/>
        <w:rPr>
          <w:b/>
          <w:sz w:val="8"/>
        </w:rPr>
      </w:pPr>
    </w:p>
    <w:p w14:paraId="51DE8C8F" w14:textId="77777777" w:rsidR="0010369C" w:rsidRDefault="008E43AE">
      <w:pPr>
        <w:pStyle w:val="BodyText"/>
        <w:spacing w:before="52" w:line="360" w:lineRule="auto"/>
        <w:ind w:left="237" w:right="613" w:firstLine="851"/>
        <w:jc w:val="both"/>
      </w:pPr>
      <w:r>
        <w:rPr>
          <w:noProof/>
        </w:rPr>
        <w:drawing>
          <wp:anchor distT="0" distB="0" distL="0" distR="0" simplePos="0" relativeHeight="251161088" behindDoc="1" locked="0" layoutInCell="1" allowOverlap="1" wp14:anchorId="51DEA404" wp14:editId="51DEA405">
            <wp:simplePos x="0" y="0"/>
            <wp:positionH relativeFrom="page">
              <wp:posOffset>902208</wp:posOffset>
            </wp:positionH>
            <wp:positionV relativeFrom="paragraph">
              <wp:posOffset>81357</wp:posOffset>
            </wp:positionV>
            <wp:extent cx="262127" cy="103631"/>
            <wp:effectExtent l="0" t="0" r="0" b="0"/>
            <wp:wrapNone/>
            <wp:docPr id="1045" name="image5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 name="image534.png"/>
                    <pic:cNvPicPr/>
                  </pic:nvPicPr>
                  <pic:blipFill>
                    <a:blip r:embed="rId702" cstate="print"/>
                    <a:stretch>
                      <a:fillRect/>
                    </a:stretch>
                  </pic:blipFill>
                  <pic:spPr>
                    <a:xfrm>
                      <a:off x="0" y="0"/>
                      <a:ext cx="262127" cy="103631"/>
                    </a:xfrm>
                    <a:prstGeom prst="rect">
                      <a:avLst/>
                    </a:prstGeom>
                  </pic:spPr>
                </pic:pic>
              </a:graphicData>
            </a:graphic>
          </wp:anchor>
        </w:drawing>
      </w:r>
      <w:r>
        <w:t>MOFCOM's</w:t>
      </w:r>
      <w:r>
        <w:rPr>
          <w:spacing w:val="-5"/>
        </w:rPr>
        <w:t xml:space="preserve"> </w:t>
      </w:r>
      <w:r>
        <w:t>determination</w:t>
      </w:r>
      <w:r>
        <w:rPr>
          <w:spacing w:val="-5"/>
        </w:rPr>
        <w:t xml:space="preserve"> </w:t>
      </w:r>
      <w:r>
        <w:t>of</w:t>
      </w:r>
      <w:r>
        <w:rPr>
          <w:spacing w:val="-6"/>
        </w:rPr>
        <w:t xml:space="preserve"> </w:t>
      </w:r>
      <w:r>
        <w:t>the</w:t>
      </w:r>
      <w:r>
        <w:rPr>
          <w:spacing w:val="-5"/>
        </w:rPr>
        <w:t xml:space="preserve"> </w:t>
      </w:r>
      <w:r>
        <w:t>domestic</w:t>
      </w:r>
      <w:r>
        <w:rPr>
          <w:spacing w:val="-5"/>
        </w:rPr>
        <w:t xml:space="preserve"> </w:t>
      </w:r>
      <w:r>
        <w:t>industry</w:t>
      </w:r>
      <w:r>
        <w:rPr>
          <w:spacing w:val="-5"/>
        </w:rPr>
        <w:t xml:space="preserve"> </w:t>
      </w:r>
      <w:r>
        <w:t>is</w:t>
      </w:r>
      <w:r>
        <w:rPr>
          <w:spacing w:val="-6"/>
        </w:rPr>
        <w:t xml:space="preserve"> </w:t>
      </w:r>
      <w:r>
        <w:t>inconsistent</w:t>
      </w:r>
      <w:r>
        <w:rPr>
          <w:spacing w:val="-5"/>
        </w:rPr>
        <w:t xml:space="preserve"> </w:t>
      </w:r>
      <w:r>
        <w:t>with</w:t>
      </w:r>
      <w:r>
        <w:rPr>
          <w:spacing w:val="-6"/>
        </w:rPr>
        <w:t xml:space="preserve"> </w:t>
      </w:r>
      <w:r>
        <w:t>Article</w:t>
      </w:r>
      <w:r>
        <w:rPr>
          <w:spacing w:val="-6"/>
        </w:rPr>
        <w:t xml:space="preserve"> </w:t>
      </w:r>
      <w:r>
        <w:t>4.1</w:t>
      </w:r>
      <w:r>
        <w:rPr>
          <w:spacing w:val="-6"/>
        </w:rPr>
        <w:t xml:space="preserve"> </w:t>
      </w:r>
      <w:r>
        <w:t>of the Anti‐Dumping Agreement because it fails to establish "a major proportion of total domestic production" of the like product in accordance with the definition of "domestic industry". As a consequence, MOFCOM's injury and causation analyses are fundame</w:t>
      </w:r>
      <w:r>
        <w:t>ntally flawed and, therefore, also inconsistent with the requirements of Article 3 of the Anti‐ Dumping Agreement.</w:t>
      </w:r>
    </w:p>
    <w:p w14:paraId="51DE8C90" w14:textId="77777777" w:rsidR="0010369C" w:rsidRDefault="008E43AE">
      <w:pPr>
        <w:pStyle w:val="ListParagraph"/>
        <w:numPr>
          <w:ilvl w:val="1"/>
          <w:numId w:val="75"/>
        </w:numPr>
        <w:tabs>
          <w:tab w:val="left" w:pos="1939"/>
          <w:tab w:val="left" w:pos="1940"/>
        </w:tabs>
        <w:spacing w:before="161"/>
        <w:ind w:left="1939"/>
        <w:jc w:val="left"/>
        <w:rPr>
          <w:b/>
          <w:sz w:val="28"/>
        </w:rPr>
      </w:pPr>
      <w:r>
        <w:rPr>
          <w:b/>
          <w:sz w:val="28"/>
        </w:rPr>
        <w:t>C</w:t>
      </w:r>
      <w:r>
        <w:rPr>
          <w:b/>
        </w:rPr>
        <w:t>HINA</w:t>
      </w:r>
      <w:r>
        <w:rPr>
          <w:b/>
          <w:spacing w:val="-13"/>
        </w:rPr>
        <w:t xml:space="preserve"> </w:t>
      </w:r>
      <w:r>
        <w:rPr>
          <w:b/>
        </w:rPr>
        <w:t>HAS</w:t>
      </w:r>
      <w:r>
        <w:rPr>
          <w:b/>
          <w:spacing w:val="-9"/>
        </w:rPr>
        <w:t xml:space="preserve"> </w:t>
      </w:r>
      <w:r>
        <w:rPr>
          <w:b/>
        </w:rPr>
        <w:t>BREACHED</w:t>
      </w:r>
      <w:r>
        <w:rPr>
          <w:b/>
          <w:spacing w:val="-7"/>
        </w:rPr>
        <w:t xml:space="preserve"> </w:t>
      </w:r>
      <w:r>
        <w:rPr>
          <w:b/>
          <w:sz w:val="28"/>
        </w:rPr>
        <w:t>A</w:t>
      </w:r>
      <w:r>
        <w:rPr>
          <w:b/>
        </w:rPr>
        <w:t>RTICLE</w:t>
      </w:r>
      <w:r>
        <w:rPr>
          <w:b/>
          <w:spacing w:val="-8"/>
        </w:rPr>
        <w:t xml:space="preserve"> </w:t>
      </w:r>
      <w:r>
        <w:rPr>
          <w:b/>
          <w:sz w:val="28"/>
        </w:rPr>
        <w:t>4.1</w:t>
      </w:r>
      <w:r>
        <w:rPr>
          <w:b/>
          <w:spacing w:val="-16"/>
          <w:sz w:val="28"/>
        </w:rPr>
        <w:t xml:space="preserve"> </w:t>
      </w:r>
      <w:r>
        <w:rPr>
          <w:b/>
        </w:rPr>
        <w:t>OF</w:t>
      </w:r>
      <w:r>
        <w:rPr>
          <w:b/>
          <w:spacing w:val="-8"/>
        </w:rPr>
        <w:t xml:space="preserve"> </w:t>
      </w:r>
      <w:r>
        <w:rPr>
          <w:b/>
        </w:rPr>
        <w:t>THE</w:t>
      </w:r>
      <w:r>
        <w:rPr>
          <w:b/>
          <w:spacing w:val="-7"/>
        </w:rPr>
        <w:t xml:space="preserve"> </w:t>
      </w:r>
      <w:r>
        <w:rPr>
          <w:b/>
          <w:sz w:val="28"/>
        </w:rPr>
        <w:t>A</w:t>
      </w:r>
      <w:r>
        <w:rPr>
          <w:b/>
        </w:rPr>
        <w:t>NTI</w:t>
      </w:r>
      <w:r>
        <w:rPr>
          <w:b/>
          <w:sz w:val="28"/>
        </w:rPr>
        <w:t>‐D</w:t>
      </w:r>
      <w:r>
        <w:rPr>
          <w:b/>
        </w:rPr>
        <w:t>UMPING</w:t>
      </w:r>
      <w:r>
        <w:rPr>
          <w:b/>
          <w:spacing w:val="-8"/>
        </w:rPr>
        <w:t xml:space="preserve"> </w:t>
      </w:r>
      <w:r>
        <w:rPr>
          <w:b/>
          <w:spacing w:val="-2"/>
          <w:sz w:val="28"/>
        </w:rPr>
        <w:t>A</w:t>
      </w:r>
      <w:r>
        <w:rPr>
          <w:b/>
          <w:spacing w:val="-2"/>
        </w:rPr>
        <w:t>GREEMENT</w:t>
      </w:r>
    </w:p>
    <w:p w14:paraId="51DE8C91" w14:textId="77777777" w:rsidR="0010369C" w:rsidRDefault="0010369C">
      <w:pPr>
        <w:pStyle w:val="BodyText"/>
        <w:spacing w:before="11"/>
        <w:rPr>
          <w:b/>
          <w:sz w:val="22"/>
        </w:rPr>
      </w:pPr>
    </w:p>
    <w:p w14:paraId="51DE8C92" w14:textId="77777777" w:rsidR="0010369C" w:rsidRDefault="008E43AE">
      <w:pPr>
        <w:pStyle w:val="BodyText"/>
        <w:spacing w:before="51" w:line="360" w:lineRule="auto"/>
        <w:ind w:left="237" w:right="614" w:firstLine="851"/>
        <w:jc w:val="both"/>
      </w:pPr>
      <w:r>
        <w:rPr>
          <w:noProof/>
        </w:rPr>
        <w:drawing>
          <wp:anchor distT="0" distB="0" distL="0" distR="0" simplePos="0" relativeHeight="251162112" behindDoc="1" locked="0" layoutInCell="1" allowOverlap="1" wp14:anchorId="51DEA406" wp14:editId="51DEA407">
            <wp:simplePos x="0" y="0"/>
            <wp:positionH relativeFrom="page">
              <wp:posOffset>902208</wp:posOffset>
            </wp:positionH>
            <wp:positionV relativeFrom="paragraph">
              <wp:posOffset>80722</wp:posOffset>
            </wp:positionV>
            <wp:extent cx="262127" cy="103631"/>
            <wp:effectExtent l="0" t="0" r="0" b="0"/>
            <wp:wrapNone/>
            <wp:docPr id="1047" name="image5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 name="image535.png"/>
                    <pic:cNvPicPr/>
                  </pic:nvPicPr>
                  <pic:blipFill>
                    <a:blip r:embed="rId703" cstate="print"/>
                    <a:stretch>
                      <a:fillRect/>
                    </a:stretch>
                  </pic:blipFill>
                  <pic:spPr>
                    <a:xfrm>
                      <a:off x="0" y="0"/>
                      <a:ext cx="262127" cy="103631"/>
                    </a:xfrm>
                    <a:prstGeom prst="rect">
                      <a:avLst/>
                    </a:prstGeom>
                  </pic:spPr>
                </pic:pic>
              </a:graphicData>
            </a:graphic>
          </wp:anchor>
        </w:drawing>
      </w:r>
      <w:r>
        <w:t>The definition of the "domestic industry" under Article 4.1 of the Anti‐Dumpin</w:t>
      </w:r>
      <w:r>
        <w:t>g Agreement lays the foundation for the injury and causation analyses required under the provisions of Article 3. It is</w:t>
      </w:r>
      <w:r>
        <w:rPr>
          <w:spacing w:val="-1"/>
        </w:rPr>
        <w:t xml:space="preserve"> </w:t>
      </w:r>
      <w:r>
        <w:t>a "keystone"</w:t>
      </w:r>
      <w:r>
        <w:rPr>
          <w:spacing w:val="-1"/>
        </w:rPr>
        <w:t xml:space="preserve"> </w:t>
      </w:r>
      <w:r>
        <w:t>of an</w:t>
      </w:r>
      <w:r>
        <w:rPr>
          <w:spacing w:val="-1"/>
        </w:rPr>
        <w:t xml:space="preserve"> </w:t>
      </w:r>
      <w:r>
        <w:t>investigation.</w:t>
      </w:r>
      <w:r>
        <w:rPr>
          <w:vertAlign w:val="superscript"/>
        </w:rPr>
        <w:t>568</w:t>
      </w:r>
      <w:r>
        <w:rPr>
          <w:spacing w:val="-1"/>
        </w:rPr>
        <w:t xml:space="preserve"> </w:t>
      </w:r>
      <w:r>
        <w:t>Article 4.1</w:t>
      </w:r>
      <w:r>
        <w:rPr>
          <w:spacing w:val="-1"/>
        </w:rPr>
        <w:t xml:space="preserve"> </w:t>
      </w:r>
      <w:r>
        <w:t>imposes an</w:t>
      </w:r>
      <w:r>
        <w:rPr>
          <w:spacing w:val="-1"/>
        </w:rPr>
        <w:t xml:space="preserve"> </w:t>
      </w:r>
      <w:r>
        <w:t>express obligation on Members to interpret the term "domestic industry" in a specific manner.</w:t>
      </w:r>
      <w:r>
        <w:rPr>
          <w:vertAlign w:val="superscript"/>
        </w:rPr>
        <w:t>569</w:t>
      </w:r>
      <w:r>
        <w:t xml:space="preserve"> Failure to do so can be the basis of a finding of a violation.</w:t>
      </w:r>
      <w:r>
        <w:rPr>
          <w:vertAlign w:val="superscript"/>
        </w:rPr>
        <w:t>570</w:t>
      </w:r>
    </w:p>
    <w:p w14:paraId="51DE8C93" w14:textId="77777777" w:rsidR="0010369C" w:rsidRDefault="0010369C">
      <w:pPr>
        <w:pStyle w:val="BodyText"/>
        <w:spacing w:before="11"/>
        <w:rPr>
          <w:sz w:val="8"/>
        </w:rPr>
      </w:pPr>
    </w:p>
    <w:p w14:paraId="51DE8C94" w14:textId="77777777" w:rsidR="0010369C" w:rsidRDefault="008E43AE">
      <w:pPr>
        <w:pStyle w:val="BodyText"/>
        <w:spacing w:before="51" w:line="360" w:lineRule="auto"/>
        <w:ind w:left="237" w:right="612" w:firstLine="851"/>
        <w:jc w:val="both"/>
      </w:pPr>
      <w:r>
        <w:rPr>
          <w:noProof/>
        </w:rPr>
        <w:drawing>
          <wp:anchor distT="0" distB="0" distL="0" distR="0" simplePos="0" relativeHeight="251163136" behindDoc="1" locked="0" layoutInCell="1" allowOverlap="1" wp14:anchorId="51DEA408" wp14:editId="51DEA409">
            <wp:simplePos x="0" y="0"/>
            <wp:positionH relativeFrom="page">
              <wp:posOffset>902208</wp:posOffset>
            </wp:positionH>
            <wp:positionV relativeFrom="paragraph">
              <wp:posOffset>80723</wp:posOffset>
            </wp:positionV>
            <wp:extent cx="262127" cy="103631"/>
            <wp:effectExtent l="0" t="0" r="0" b="0"/>
            <wp:wrapNone/>
            <wp:docPr id="1049" name="image5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 name="image536.png"/>
                    <pic:cNvPicPr/>
                  </pic:nvPicPr>
                  <pic:blipFill>
                    <a:blip r:embed="rId704" cstate="print"/>
                    <a:stretch>
                      <a:fillRect/>
                    </a:stretch>
                  </pic:blipFill>
                  <pic:spPr>
                    <a:xfrm>
                      <a:off x="0" y="0"/>
                      <a:ext cx="262127" cy="103631"/>
                    </a:xfrm>
                    <a:prstGeom prst="rect">
                      <a:avLst/>
                    </a:prstGeom>
                  </pic:spPr>
                </pic:pic>
              </a:graphicData>
            </a:graphic>
          </wp:anchor>
        </w:drawing>
      </w:r>
      <w:r>
        <w:t>The Appellate Body has read the requirement that domestic producers' output constitutes</w:t>
      </w:r>
      <w:r>
        <w:rPr>
          <w:spacing w:val="-4"/>
        </w:rPr>
        <w:t xml:space="preserve"> </w:t>
      </w:r>
      <w:r>
        <w:t>a</w:t>
      </w:r>
      <w:r>
        <w:rPr>
          <w:spacing w:val="-2"/>
        </w:rPr>
        <w:t xml:space="preserve"> </w:t>
      </w:r>
      <w:r>
        <w:t>"major</w:t>
      </w:r>
      <w:r>
        <w:rPr>
          <w:spacing w:val="-3"/>
        </w:rPr>
        <w:t xml:space="preserve"> </w:t>
      </w:r>
      <w:r>
        <w:t>proportion"</w:t>
      </w:r>
      <w:r>
        <w:rPr>
          <w:spacing w:val="-1"/>
        </w:rPr>
        <w:t xml:space="preserve"> </w:t>
      </w:r>
      <w:r>
        <w:t>as</w:t>
      </w:r>
      <w:r>
        <w:rPr>
          <w:spacing w:val="-4"/>
        </w:rPr>
        <w:t xml:space="preserve"> </w:t>
      </w:r>
      <w:r>
        <w:t>having</w:t>
      </w:r>
      <w:r>
        <w:rPr>
          <w:spacing w:val="-2"/>
        </w:rPr>
        <w:t xml:space="preserve"> </w:t>
      </w:r>
      <w:r>
        <w:t>both</w:t>
      </w:r>
      <w:r>
        <w:rPr>
          <w:spacing w:val="-2"/>
        </w:rPr>
        <w:t xml:space="preserve"> </w:t>
      </w:r>
      <w:r>
        <w:t>quantitative</w:t>
      </w:r>
      <w:r>
        <w:rPr>
          <w:spacing w:val="-1"/>
        </w:rPr>
        <w:t xml:space="preserve"> </w:t>
      </w:r>
      <w:r>
        <w:t>and</w:t>
      </w:r>
      <w:r>
        <w:rPr>
          <w:spacing w:val="-3"/>
        </w:rPr>
        <w:t xml:space="preserve"> </w:t>
      </w:r>
      <w:r>
        <w:t>qualitative</w:t>
      </w:r>
      <w:r>
        <w:rPr>
          <w:spacing w:val="-1"/>
        </w:rPr>
        <w:t xml:space="preserve"> </w:t>
      </w:r>
      <w:r>
        <w:t>connotations.</w:t>
      </w:r>
      <w:r>
        <w:rPr>
          <w:vertAlign w:val="superscript"/>
        </w:rPr>
        <w:t>571</w:t>
      </w:r>
      <w:r>
        <w:t xml:space="preserve"> Regarding the quantitative element, the Appellate Body has considered that "'a major p</w:t>
      </w:r>
      <w:r>
        <w:t>roportion' should be properly understood as a relatively high proportion of the total domestic</w:t>
      </w:r>
      <w:r>
        <w:rPr>
          <w:spacing w:val="40"/>
        </w:rPr>
        <w:t xml:space="preserve"> </w:t>
      </w:r>
      <w:r>
        <w:t>production"</w:t>
      </w:r>
      <w:r>
        <w:rPr>
          <w:spacing w:val="40"/>
        </w:rPr>
        <w:t xml:space="preserve"> </w:t>
      </w:r>
      <w:r>
        <w:t>that</w:t>
      </w:r>
      <w:r>
        <w:rPr>
          <w:spacing w:val="40"/>
        </w:rPr>
        <w:t xml:space="preserve"> </w:t>
      </w:r>
      <w:r>
        <w:t>"substantially</w:t>
      </w:r>
      <w:r>
        <w:rPr>
          <w:spacing w:val="40"/>
        </w:rPr>
        <w:t xml:space="preserve"> </w:t>
      </w:r>
      <w:r>
        <w:t>reflects</w:t>
      </w:r>
      <w:r>
        <w:rPr>
          <w:spacing w:val="40"/>
        </w:rPr>
        <w:t xml:space="preserve"> </w:t>
      </w:r>
      <w:r>
        <w:t>the</w:t>
      </w:r>
      <w:r>
        <w:rPr>
          <w:spacing w:val="40"/>
        </w:rPr>
        <w:t xml:space="preserve"> </w:t>
      </w:r>
      <w:r>
        <w:t>total</w:t>
      </w:r>
      <w:r>
        <w:rPr>
          <w:spacing w:val="40"/>
        </w:rPr>
        <w:t xml:space="preserve"> </w:t>
      </w:r>
      <w:r>
        <w:t>domestic</w:t>
      </w:r>
      <w:r>
        <w:rPr>
          <w:spacing w:val="40"/>
        </w:rPr>
        <w:t xml:space="preserve"> </w:t>
      </w:r>
      <w:r>
        <w:t>production".</w:t>
      </w:r>
      <w:r>
        <w:rPr>
          <w:vertAlign w:val="superscript"/>
        </w:rPr>
        <w:t>572</w:t>
      </w:r>
      <w:r>
        <w:rPr>
          <w:spacing w:val="40"/>
        </w:rPr>
        <w:t xml:space="preserve"> </w:t>
      </w:r>
      <w:r>
        <w:t>This</w:t>
      </w:r>
    </w:p>
    <w:p w14:paraId="51DE8C95" w14:textId="77777777" w:rsidR="0010369C" w:rsidRDefault="0010369C">
      <w:pPr>
        <w:pStyle w:val="BodyText"/>
        <w:rPr>
          <w:sz w:val="20"/>
        </w:rPr>
      </w:pPr>
    </w:p>
    <w:p w14:paraId="51DE8C96" w14:textId="77777777" w:rsidR="0010369C" w:rsidRDefault="008E43AE">
      <w:pPr>
        <w:pStyle w:val="BodyText"/>
        <w:spacing w:before="9"/>
        <w:rPr>
          <w:sz w:val="15"/>
        </w:rPr>
      </w:pPr>
      <w:r>
        <w:pict w14:anchorId="51DEA40A">
          <v:rect id="docshape996" o:spid="_x0000_s1371" style="position:absolute;margin-left:70.9pt;margin-top:10.8pt;width:2in;height:.8pt;z-index:-250855936;mso-wrap-distance-left:0;mso-wrap-distance-right:0;mso-position-horizontal-relative:page" fillcolor="black" stroked="f">
            <w10:wrap type="topAndBottom" anchorx="page"/>
          </v:rect>
        </w:pict>
      </w:r>
    </w:p>
    <w:p w14:paraId="51DE8C97" w14:textId="77777777" w:rsidR="0010369C" w:rsidRDefault="008E43AE">
      <w:pPr>
        <w:spacing w:before="109"/>
        <w:ind w:left="238"/>
        <w:jc w:val="both"/>
        <w:rPr>
          <w:sz w:val="18"/>
        </w:rPr>
      </w:pPr>
      <w:r>
        <w:rPr>
          <w:sz w:val="18"/>
          <w:vertAlign w:val="superscript"/>
        </w:rPr>
        <w:t>568</w:t>
      </w:r>
      <w:r>
        <w:rPr>
          <w:spacing w:val="-5"/>
          <w:sz w:val="18"/>
        </w:rPr>
        <w:t xml:space="preserve"> </w:t>
      </w:r>
      <w:r>
        <w:rPr>
          <w:sz w:val="18"/>
        </w:rPr>
        <w:t>Panel</w:t>
      </w:r>
      <w:r>
        <w:rPr>
          <w:spacing w:val="-6"/>
          <w:sz w:val="18"/>
        </w:rPr>
        <w:t xml:space="preserve"> </w:t>
      </w:r>
      <w:r>
        <w:rPr>
          <w:sz w:val="18"/>
        </w:rPr>
        <w:t>Report,</w:t>
      </w:r>
      <w:r>
        <w:rPr>
          <w:spacing w:val="-5"/>
          <w:sz w:val="18"/>
        </w:rPr>
        <w:t xml:space="preserve"> </w:t>
      </w:r>
      <w:r>
        <w:rPr>
          <w:i/>
          <w:sz w:val="18"/>
        </w:rPr>
        <w:t>EC</w:t>
      </w:r>
      <w:r>
        <w:rPr>
          <w:i/>
          <w:spacing w:val="-6"/>
          <w:sz w:val="18"/>
        </w:rPr>
        <w:t xml:space="preserve"> </w:t>
      </w:r>
      <w:r>
        <w:rPr>
          <w:i/>
          <w:sz w:val="18"/>
        </w:rPr>
        <w:t>–</w:t>
      </w:r>
      <w:r>
        <w:rPr>
          <w:i/>
          <w:spacing w:val="-4"/>
          <w:sz w:val="18"/>
        </w:rPr>
        <w:t xml:space="preserve"> </w:t>
      </w:r>
      <w:r>
        <w:rPr>
          <w:i/>
          <w:sz w:val="18"/>
        </w:rPr>
        <w:t>Tube</w:t>
      </w:r>
      <w:r>
        <w:rPr>
          <w:i/>
          <w:spacing w:val="-5"/>
          <w:sz w:val="18"/>
        </w:rPr>
        <w:t xml:space="preserve"> </w:t>
      </w:r>
      <w:r>
        <w:rPr>
          <w:i/>
          <w:sz w:val="18"/>
        </w:rPr>
        <w:t>or</w:t>
      </w:r>
      <w:r>
        <w:rPr>
          <w:i/>
          <w:spacing w:val="-6"/>
          <w:sz w:val="18"/>
        </w:rPr>
        <w:t xml:space="preserve"> </w:t>
      </w:r>
      <w:r>
        <w:rPr>
          <w:i/>
          <w:sz w:val="18"/>
        </w:rPr>
        <w:t>Pipe</w:t>
      </w:r>
      <w:r>
        <w:rPr>
          <w:i/>
          <w:spacing w:val="-5"/>
          <w:sz w:val="18"/>
        </w:rPr>
        <w:t xml:space="preserve"> </w:t>
      </w:r>
      <w:r>
        <w:rPr>
          <w:i/>
          <w:sz w:val="18"/>
        </w:rPr>
        <w:t>Fittings</w:t>
      </w:r>
      <w:r>
        <w:rPr>
          <w:sz w:val="18"/>
        </w:rPr>
        <w:t>,</w:t>
      </w:r>
      <w:r>
        <w:rPr>
          <w:spacing w:val="-6"/>
          <w:sz w:val="18"/>
        </w:rPr>
        <w:t xml:space="preserve"> </w:t>
      </w:r>
      <w:r>
        <w:rPr>
          <w:sz w:val="18"/>
        </w:rPr>
        <w:t>para.</w:t>
      </w:r>
      <w:r>
        <w:rPr>
          <w:spacing w:val="-4"/>
          <w:sz w:val="18"/>
        </w:rPr>
        <w:t xml:space="preserve"> </w:t>
      </w:r>
      <w:r>
        <w:rPr>
          <w:spacing w:val="-2"/>
          <w:sz w:val="18"/>
        </w:rPr>
        <w:t>7.397.</w:t>
      </w:r>
    </w:p>
    <w:p w14:paraId="51DE8C98" w14:textId="77777777" w:rsidR="0010369C" w:rsidRDefault="008E43AE">
      <w:pPr>
        <w:ind w:left="238"/>
        <w:jc w:val="both"/>
        <w:rPr>
          <w:sz w:val="18"/>
        </w:rPr>
      </w:pPr>
      <w:r>
        <w:rPr>
          <w:sz w:val="18"/>
          <w:vertAlign w:val="superscript"/>
        </w:rPr>
        <w:t>569</w:t>
      </w:r>
      <w:r>
        <w:rPr>
          <w:spacing w:val="-9"/>
          <w:sz w:val="18"/>
        </w:rPr>
        <w:t xml:space="preserve"> </w:t>
      </w:r>
      <w:r>
        <w:rPr>
          <w:sz w:val="18"/>
        </w:rPr>
        <w:t>Panel</w:t>
      </w:r>
      <w:r>
        <w:rPr>
          <w:spacing w:val="-9"/>
          <w:sz w:val="18"/>
        </w:rPr>
        <w:t xml:space="preserve"> </w:t>
      </w:r>
      <w:r>
        <w:rPr>
          <w:sz w:val="18"/>
        </w:rPr>
        <w:t>Report,</w:t>
      </w:r>
      <w:r>
        <w:rPr>
          <w:spacing w:val="-8"/>
          <w:sz w:val="18"/>
        </w:rPr>
        <w:t xml:space="preserve"> </w:t>
      </w:r>
      <w:r>
        <w:rPr>
          <w:i/>
          <w:sz w:val="18"/>
        </w:rPr>
        <w:t>Argentina</w:t>
      </w:r>
      <w:r>
        <w:rPr>
          <w:i/>
          <w:spacing w:val="-9"/>
          <w:sz w:val="18"/>
        </w:rPr>
        <w:t xml:space="preserve"> </w:t>
      </w:r>
      <w:r>
        <w:rPr>
          <w:i/>
          <w:sz w:val="18"/>
        </w:rPr>
        <w:t>–</w:t>
      </w:r>
      <w:r>
        <w:rPr>
          <w:i/>
          <w:spacing w:val="-8"/>
          <w:sz w:val="18"/>
        </w:rPr>
        <w:t xml:space="preserve"> </w:t>
      </w:r>
      <w:r>
        <w:rPr>
          <w:i/>
          <w:sz w:val="18"/>
        </w:rPr>
        <w:t>Poultry</w:t>
      </w:r>
      <w:r>
        <w:rPr>
          <w:i/>
          <w:spacing w:val="-9"/>
          <w:sz w:val="18"/>
        </w:rPr>
        <w:t xml:space="preserve"> </w:t>
      </w:r>
      <w:r>
        <w:rPr>
          <w:i/>
          <w:sz w:val="18"/>
        </w:rPr>
        <w:t>Anti‐Dumping</w:t>
      </w:r>
      <w:r>
        <w:rPr>
          <w:i/>
          <w:spacing w:val="-7"/>
          <w:sz w:val="18"/>
        </w:rPr>
        <w:t xml:space="preserve"> </w:t>
      </w:r>
      <w:r>
        <w:rPr>
          <w:i/>
          <w:sz w:val="18"/>
        </w:rPr>
        <w:t>Duties</w:t>
      </w:r>
      <w:r>
        <w:rPr>
          <w:sz w:val="18"/>
        </w:rPr>
        <w:t>,</w:t>
      </w:r>
      <w:r>
        <w:rPr>
          <w:spacing w:val="-9"/>
          <w:sz w:val="18"/>
        </w:rPr>
        <w:t xml:space="preserve"> </w:t>
      </w:r>
      <w:r>
        <w:rPr>
          <w:sz w:val="18"/>
        </w:rPr>
        <w:t>para.</w:t>
      </w:r>
      <w:r>
        <w:rPr>
          <w:spacing w:val="-8"/>
          <w:sz w:val="18"/>
        </w:rPr>
        <w:t xml:space="preserve"> </w:t>
      </w:r>
      <w:r>
        <w:rPr>
          <w:spacing w:val="-2"/>
          <w:sz w:val="18"/>
        </w:rPr>
        <w:t>7.338.</w:t>
      </w:r>
    </w:p>
    <w:p w14:paraId="51DE8C99" w14:textId="77777777" w:rsidR="0010369C" w:rsidRDefault="008E43AE">
      <w:pPr>
        <w:ind w:left="236" w:right="612" w:firstLine="1"/>
        <w:jc w:val="both"/>
        <w:rPr>
          <w:sz w:val="18"/>
        </w:rPr>
      </w:pPr>
      <w:r>
        <w:rPr>
          <w:sz w:val="18"/>
          <w:vertAlign w:val="superscript"/>
        </w:rPr>
        <w:t>570</w:t>
      </w:r>
      <w:r>
        <w:rPr>
          <w:sz w:val="18"/>
        </w:rPr>
        <w:t xml:space="preserve"> Panel</w:t>
      </w:r>
      <w:r>
        <w:rPr>
          <w:spacing w:val="-1"/>
          <w:sz w:val="18"/>
        </w:rPr>
        <w:t xml:space="preserve"> </w:t>
      </w:r>
      <w:r>
        <w:rPr>
          <w:sz w:val="18"/>
        </w:rPr>
        <w:t xml:space="preserve">Reports, </w:t>
      </w:r>
      <w:r>
        <w:rPr>
          <w:i/>
          <w:sz w:val="18"/>
        </w:rPr>
        <w:t>EC</w:t>
      </w:r>
      <w:r>
        <w:rPr>
          <w:i/>
          <w:spacing w:val="-1"/>
          <w:sz w:val="18"/>
        </w:rPr>
        <w:t xml:space="preserve"> </w:t>
      </w:r>
      <w:r>
        <w:rPr>
          <w:i/>
          <w:sz w:val="18"/>
        </w:rPr>
        <w:t>– Salmon (Norway)</w:t>
      </w:r>
      <w:r>
        <w:rPr>
          <w:sz w:val="18"/>
        </w:rPr>
        <w:t>,</w:t>
      </w:r>
      <w:r>
        <w:rPr>
          <w:spacing w:val="-1"/>
          <w:sz w:val="18"/>
        </w:rPr>
        <w:t xml:space="preserve"> </w:t>
      </w:r>
      <w:r>
        <w:rPr>
          <w:sz w:val="18"/>
        </w:rPr>
        <w:t>paras. 7.117‐7.119 ("If the</w:t>
      </w:r>
      <w:r>
        <w:rPr>
          <w:spacing w:val="-1"/>
          <w:sz w:val="18"/>
        </w:rPr>
        <w:t xml:space="preserve"> </w:t>
      </w:r>
      <w:r>
        <w:rPr>
          <w:sz w:val="18"/>
        </w:rPr>
        <w:t>EC's approach to defining domestic industry in this case resulted in an investigation concerning a domestic industry that did</w:t>
      </w:r>
      <w:r>
        <w:rPr>
          <w:sz w:val="18"/>
        </w:rPr>
        <w:t xml:space="preserve"> not comport with the definition set forth in Article 4.1, then</w:t>
      </w:r>
      <w:r>
        <w:rPr>
          <w:spacing w:val="-2"/>
          <w:sz w:val="18"/>
        </w:rPr>
        <w:t xml:space="preserve"> </w:t>
      </w:r>
      <w:r>
        <w:rPr>
          <w:sz w:val="18"/>
        </w:rPr>
        <w:t>it</w:t>
      </w:r>
      <w:r>
        <w:rPr>
          <w:spacing w:val="-2"/>
          <w:sz w:val="18"/>
        </w:rPr>
        <w:t xml:space="preserve"> </w:t>
      </w:r>
      <w:r>
        <w:rPr>
          <w:sz w:val="18"/>
        </w:rPr>
        <w:t>seems</w:t>
      </w:r>
      <w:r>
        <w:rPr>
          <w:spacing w:val="-2"/>
          <w:sz w:val="18"/>
        </w:rPr>
        <w:t xml:space="preserve"> </w:t>
      </w:r>
      <w:r>
        <w:rPr>
          <w:sz w:val="18"/>
        </w:rPr>
        <w:t>clear</w:t>
      </w:r>
      <w:r>
        <w:rPr>
          <w:spacing w:val="-2"/>
          <w:sz w:val="18"/>
        </w:rPr>
        <w:t xml:space="preserve"> </w:t>
      </w:r>
      <w:r>
        <w:rPr>
          <w:sz w:val="18"/>
        </w:rPr>
        <w:t>to</w:t>
      </w:r>
      <w:r>
        <w:rPr>
          <w:spacing w:val="-2"/>
          <w:sz w:val="18"/>
        </w:rPr>
        <w:t xml:space="preserve"> </w:t>
      </w:r>
      <w:r>
        <w:rPr>
          <w:sz w:val="18"/>
        </w:rPr>
        <w:t>us</w:t>
      </w:r>
      <w:r>
        <w:rPr>
          <w:spacing w:val="-2"/>
          <w:sz w:val="18"/>
        </w:rPr>
        <w:t xml:space="preserve"> </w:t>
      </w:r>
      <w:r>
        <w:rPr>
          <w:sz w:val="18"/>
        </w:rPr>
        <w:t>the</w:t>
      </w:r>
      <w:r>
        <w:rPr>
          <w:spacing w:val="-2"/>
          <w:sz w:val="18"/>
        </w:rPr>
        <w:t xml:space="preserve"> </w:t>
      </w:r>
      <w:r>
        <w:rPr>
          <w:sz w:val="18"/>
        </w:rPr>
        <w:t>EC</w:t>
      </w:r>
      <w:r>
        <w:rPr>
          <w:spacing w:val="-3"/>
          <w:sz w:val="18"/>
        </w:rPr>
        <w:t xml:space="preserve"> </w:t>
      </w:r>
      <w:r>
        <w:rPr>
          <w:sz w:val="18"/>
        </w:rPr>
        <w:t>analysed</w:t>
      </w:r>
      <w:r>
        <w:rPr>
          <w:spacing w:val="-2"/>
          <w:sz w:val="18"/>
        </w:rPr>
        <w:t xml:space="preserve"> </w:t>
      </w:r>
      <w:r>
        <w:rPr>
          <w:sz w:val="18"/>
        </w:rPr>
        <w:t>the</w:t>
      </w:r>
      <w:r>
        <w:rPr>
          <w:spacing w:val="-2"/>
          <w:sz w:val="18"/>
        </w:rPr>
        <w:t xml:space="preserve"> </w:t>
      </w:r>
      <w:r>
        <w:rPr>
          <w:sz w:val="18"/>
        </w:rPr>
        <w:t>wrong</w:t>
      </w:r>
      <w:r>
        <w:rPr>
          <w:spacing w:val="-2"/>
          <w:sz w:val="18"/>
        </w:rPr>
        <w:t xml:space="preserve"> </w:t>
      </w:r>
      <w:r>
        <w:rPr>
          <w:sz w:val="18"/>
        </w:rPr>
        <w:t>industry</w:t>
      </w:r>
      <w:r>
        <w:rPr>
          <w:spacing w:val="-1"/>
          <w:sz w:val="18"/>
        </w:rPr>
        <w:t xml:space="preserve"> </w:t>
      </w:r>
      <w:r>
        <w:rPr>
          <w:sz w:val="18"/>
        </w:rPr>
        <w:t>in</w:t>
      </w:r>
      <w:r>
        <w:rPr>
          <w:spacing w:val="-2"/>
          <w:sz w:val="18"/>
        </w:rPr>
        <w:t xml:space="preserve"> </w:t>
      </w:r>
      <w:r>
        <w:rPr>
          <w:sz w:val="18"/>
        </w:rPr>
        <w:t>determining</w:t>
      </w:r>
      <w:r>
        <w:rPr>
          <w:spacing w:val="-1"/>
          <w:sz w:val="18"/>
        </w:rPr>
        <w:t xml:space="preserve"> </w:t>
      </w:r>
      <w:r>
        <w:rPr>
          <w:sz w:val="18"/>
        </w:rPr>
        <w:t>the</w:t>
      </w:r>
      <w:r>
        <w:rPr>
          <w:spacing w:val="-2"/>
          <w:sz w:val="18"/>
        </w:rPr>
        <w:t xml:space="preserve"> </w:t>
      </w:r>
      <w:r>
        <w:rPr>
          <w:sz w:val="18"/>
        </w:rPr>
        <w:t>adequacy</w:t>
      </w:r>
      <w:r>
        <w:rPr>
          <w:spacing w:val="-2"/>
          <w:sz w:val="18"/>
        </w:rPr>
        <w:t xml:space="preserve"> </w:t>
      </w:r>
      <w:r>
        <w:rPr>
          <w:sz w:val="18"/>
        </w:rPr>
        <w:t>of</w:t>
      </w:r>
      <w:r>
        <w:rPr>
          <w:spacing w:val="-2"/>
          <w:sz w:val="18"/>
        </w:rPr>
        <w:t xml:space="preserve"> </w:t>
      </w:r>
      <w:r>
        <w:rPr>
          <w:sz w:val="18"/>
        </w:rPr>
        <w:t>support</w:t>
      </w:r>
      <w:r>
        <w:rPr>
          <w:spacing w:val="-2"/>
          <w:sz w:val="18"/>
        </w:rPr>
        <w:t xml:space="preserve"> </w:t>
      </w:r>
      <w:r>
        <w:rPr>
          <w:sz w:val="18"/>
        </w:rPr>
        <w:t>for</w:t>
      </w:r>
      <w:r>
        <w:rPr>
          <w:spacing w:val="-2"/>
          <w:sz w:val="18"/>
        </w:rPr>
        <w:t xml:space="preserve"> </w:t>
      </w:r>
      <w:r>
        <w:rPr>
          <w:sz w:val="18"/>
        </w:rPr>
        <w:t>the</w:t>
      </w:r>
      <w:r>
        <w:rPr>
          <w:spacing w:val="-2"/>
          <w:sz w:val="18"/>
        </w:rPr>
        <w:t xml:space="preserve"> </w:t>
      </w:r>
      <w:r>
        <w:rPr>
          <w:sz w:val="18"/>
        </w:rPr>
        <w:t>initiation</w:t>
      </w:r>
      <w:r>
        <w:rPr>
          <w:spacing w:val="-1"/>
          <w:sz w:val="18"/>
        </w:rPr>
        <w:t xml:space="preserve"> </w:t>
      </w:r>
      <w:r>
        <w:rPr>
          <w:sz w:val="18"/>
        </w:rPr>
        <w:t>of</w:t>
      </w:r>
      <w:r>
        <w:rPr>
          <w:spacing w:val="-2"/>
          <w:sz w:val="18"/>
        </w:rPr>
        <w:t xml:space="preserve"> </w:t>
      </w:r>
      <w:r>
        <w:rPr>
          <w:sz w:val="18"/>
        </w:rPr>
        <w:t xml:space="preserve">the investigation under Article 5.4 of the AD Agreement, and in considering injury and causation under Article 3, committing an error which is potentially fatal to the WTO‐consistency of the investigating authority's determinations on those issues"); </w:t>
      </w:r>
      <w:r>
        <w:rPr>
          <w:i/>
          <w:sz w:val="18"/>
        </w:rPr>
        <w:t>Argen</w:t>
      </w:r>
      <w:r>
        <w:rPr>
          <w:i/>
          <w:sz w:val="18"/>
        </w:rPr>
        <w:t>tina – Poultry Anti‐Dumping Duties</w:t>
      </w:r>
      <w:r>
        <w:rPr>
          <w:sz w:val="18"/>
        </w:rPr>
        <w:t xml:space="preserve">, para. 7.338; </w:t>
      </w:r>
      <w:r>
        <w:rPr>
          <w:i/>
          <w:sz w:val="18"/>
        </w:rPr>
        <w:t>Russia – Commercial Vehicles</w:t>
      </w:r>
      <w:r>
        <w:rPr>
          <w:sz w:val="18"/>
        </w:rPr>
        <w:t xml:space="preserve">, paras. </w:t>
      </w:r>
      <w:hyperlink r:id="rId705">
        <w:r>
          <w:rPr>
            <w:sz w:val="18"/>
          </w:rPr>
          <w:t>7.10‐7.11</w:t>
        </w:r>
      </w:hyperlink>
      <w:r>
        <w:rPr>
          <w:sz w:val="18"/>
        </w:rPr>
        <w:t>.</w:t>
      </w:r>
    </w:p>
    <w:p w14:paraId="51DE8C9A" w14:textId="77777777" w:rsidR="0010369C" w:rsidRDefault="008E43AE">
      <w:pPr>
        <w:ind w:left="238"/>
        <w:jc w:val="both"/>
        <w:rPr>
          <w:sz w:val="18"/>
        </w:rPr>
      </w:pPr>
      <w:r>
        <w:rPr>
          <w:sz w:val="18"/>
          <w:vertAlign w:val="superscript"/>
        </w:rPr>
        <w:t>571</w:t>
      </w:r>
      <w:r>
        <w:rPr>
          <w:spacing w:val="-6"/>
          <w:sz w:val="18"/>
        </w:rPr>
        <w:t xml:space="preserve"> </w:t>
      </w:r>
      <w:r>
        <w:rPr>
          <w:sz w:val="18"/>
        </w:rPr>
        <w:t>Appellate</w:t>
      </w:r>
      <w:r>
        <w:rPr>
          <w:spacing w:val="-5"/>
          <w:sz w:val="18"/>
        </w:rPr>
        <w:t xml:space="preserve"> </w:t>
      </w:r>
      <w:r>
        <w:rPr>
          <w:sz w:val="18"/>
        </w:rPr>
        <w:t>Body</w:t>
      </w:r>
      <w:r>
        <w:rPr>
          <w:spacing w:val="-7"/>
          <w:sz w:val="18"/>
        </w:rPr>
        <w:t xml:space="preserve"> </w:t>
      </w:r>
      <w:r>
        <w:rPr>
          <w:sz w:val="18"/>
        </w:rPr>
        <w:t>Report,</w:t>
      </w:r>
      <w:r>
        <w:rPr>
          <w:spacing w:val="-5"/>
          <w:sz w:val="18"/>
        </w:rPr>
        <w:t xml:space="preserve"> </w:t>
      </w:r>
      <w:r>
        <w:rPr>
          <w:i/>
          <w:sz w:val="18"/>
        </w:rPr>
        <w:t>EC</w:t>
      </w:r>
      <w:r>
        <w:rPr>
          <w:i/>
          <w:spacing w:val="-6"/>
          <w:sz w:val="18"/>
        </w:rPr>
        <w:t xml:space="preserve"> </w:t>
      </w:r>
      <w:r>
        <w:rPr>
          <w:i/>
          <w:sz w:val="18"/>
        </w:rPr>
        <w:t>–</w:t>
      </w:r>
      <w:r>
        <w:rPr>
          <w:i/>
          <w:spacing w:val="-5"/>
          <w:sz w:val="18"/>
        </w:rPr>
        <w:t xml:space="preserve"> </w:t>
      </w:r>
      <w:r>
        <w:rPr>
          <w:i/>
          <w:sz w:val="18"/>
        </w:rPr>
        <w:t>Fasteners</w:t>
      </w:r>
      <w:r>
        <w:rPr>
          <w:i/>
          <w:spacing w:val="-5"/>
          <w:sz w:val="18"/>
        </w:rPr>
        <w:t xml:space="preserve"> </w:t>
      </w:r>
      <w:r>
        <w:rPr>
          <w:i/>
          <w:sz w:val="18"/>
        </w:rPr>
        <w:t>(China),</w:t>
      </w:r>
      <w:r>
        <w:rPr>
          <w:i/>
          <w:spacing w:val="-6"/>
          <w:sz w:val="18"/>
        </w:rPr>
        <w:t xml:space="preserve"> </w:t>
      </w:r>
      <w:r>
        <w:rPr>
          <w:sz w:val="18"/>
        </w:rPr>
        <w:t>Recourse</w:t>
      </w:r>
      <w:r>
        <w:rPr>
          <w:spacing w:val="-5"/>
          <w:sz w:val="18"/>
        </w:rPr>
        <w:t xml:space="preserve"> </w:t>
      </w:r>
      <w:r>
        <w:rPr>
          <w:sz w:val="18"/>
        </w:rPr>
        <w:t>to</w:t>
      </w:r>
      <w:r>
        <w:rPr>
          <w:spacing w:val="-5"/>
          <w:sz w:val="18"/>
        </w:rPr>
        <w:t xml:space="preserve"> </w:t>
      </w:r>
      <w:r>
        <w:rPr>
          <w:sz w:val="18"/>
        </w:rPr>
        <w:t>Article</w:t>
      </w:r>
      <w:r>
        <w:rPr>
          <w:spacing w:val="-5"/>
          <w:sz w:val="18"/>
        </w:rPr>
        <w:t xml:space="preserve"> </w:t>
      </w:r>
      <w:r>
        <w:rPr>
          <w:sz w:val="18"/>
        </w:rPr>
        <w:t>21.5</w:t>
      </w:r>
      <w:r>
        <w:rPr>
          <w:spacing w:val="-5"/>
          <w:sz w:val="18"/>
        </w:rPr>
        <w:t xml:space="preserve"> </w:t>
      </w:r>
      <w:r>
        <w:rPr>
          <w:sz w:val="18"/>
        </w:rPr>
        <w:t>of</w:t>
      </w:r>
      <w:r>
        <w:rPr>
          <w:spacing w:val="-6"/>
          <w:sz w:val="18"/>
        </w:rPr>
        <w:t xml:space="preserve"> </w:t>
      </w:r>
      <w:r>
        <w:rPr>
          <w:sz w:val="18"/>
        </w:rPr>
        <w:t>the</w:t>
      </w:r>
      <w:r>
        <w:rPr>
          <w:spacing w:val="-5"/>
          <w:sz w:val="18"/>
        </w:rPr>
        <w:t xml:space="preserve"> </w:t>
      </w:r>
      <w:r>
        <w:rPr>
          <w:sz w:val="18"/>
        </w:rPr>
        <w:t>DSU</w:t>
      </w:r>
      <w:r>
        <w:rPr>
          <w:spacing w:val="-6"/>
          <w:sz w:val="18"/>
        </w:rPr>
        <w:t xml:space="preserve"> </w:t>
      </w:r>
      <w:r>
        <w:rPr>
          <w:sz w:val="18"/>
        </w:rPr>
        <w:t>by</w:t>
      </w:r>
      <w:r>
        <w:rPr>
          <w:spacing w:val="-5"/>
          <w:sz w:val="18"/>
        </w:rPr>
        <w:t xml:space="preserve"> </w:t>
      </w:r>
      <w:r>
        <w:rPr>
          <w:sz w:val="18"/>
        </w:rPr>
        <w:t>China,</w:t>
      </w:r>
      <w:r>
        <w:rPr>
          <w:spacing w:val="-6"/>
          <w:sz w:val="18"/>
        </w:rPr>
        <w:t xml:space="preserve"> </w:t>
      </w:r>
      <w:r>
        <w:rPr>
          <w:sz w:val="18"/>
        </w:rPr>
        <w:t>para.</w:t>
      </w:r>
      <w:r>
        <w:rPr>
          <w:spacing w:val="-5"/>
          <w:sz w:val="18"/>
        </w:rPr>
        <w:t xml:space="preserve"> </w:t>
      </w:r>
      <w:r>
        <w:rPr>
          <w:spacing w:val="-2"/>
          <w:sz w:val="18"/>
        </w:rPr>
        <w:t>5.302.</w:t>
      </w:r>
    </w:p>
    <w:p w14:paraId="51DE8C9B" w14:textId="77777777" w:rsidR="0010369C" w:rsidRDefault="008E43AE">
      <w:pPr>
        <w:ind w:left="238"/>
        <w:jc w:val="both"/>
        <w:rPr>
          <w:sz w:val="18"/>
        </w:rPr>
      </w:pPr>
      <w:r>
        <w:rPr>
          <w:sz w:val="18"/>
          <w:vertAlign w:val="superscript"/>
        </w:rPr>
        <w:t>572</w:t>
      </w:r>
      <w:r>
        <w:rPr>
          <w:spacing w:val="-6"/>
          <w:sz w:val="18"/>
        </w:rPr>
        <w:t xml:space="preserve"> </w:t>
      </w:r>
      <w:r>
        <w:rPr>
          <w:sz w:val="18"/>
        </w:rPr>
        <w:t>See</w:t>
      </w:r>
      <w:r>
        <w:rPr>
          <w:spacing w:val="-6"/>
          <w:sz w:val="18"/>
        </w:rPr>
        <w:t xml:space="preserve"> </w:t>
      </w:r>
      <w:r>
        <w:rPr>
          <w:sz w:val="18"/>
        </w:rPr>
        <w:t>Appellate</w:t>
      </w:r>
      <w:r>
        <w:rPr>
          <w:spacing w:val="-5"/>
          <w:sz w:val="18"/>
        </w:rPr>
        <w:t xml:space="preserve"> </w:t>
      </w:r>
      <w:r>
        <w:rPr>
          <w:sz w:val="18"/>
        </w:rPr>
        <w:t>Body</w:t>
      </w:r>
      <w:r>
        <w:rPr>
          <w:spacing w:val="-6"/>
          <w:sz w:val="18"/>
        </w:rPr>
        <w:t xml:space="preserve"> </w:t>
      </w:r>
      <w:r>
        <w:rPr>
          <w:sz w:val="18"/>
        </w:rPr>
        <w:t>Report</w:t>
      </w:r>
      <w:r>
        <w:rPr>
          <w:i/>
          <w:sz w:val="18"/>
        </w:rPr>
        <w:t>,</w:t>
      </w:r>
      <w:r>
        <w:rPr>
          <w:i/>
          <w:spacing w:val="-6"/>
          <w:sz w:val="18"/>
        </w:rPr>
        <w:t xml:space="preserve"> </w:t>
      </w:r>
      <w:r>
        <w:rPr>
          <w:i/>
          <w:sz w:val="18"/>
        </w:rPr>
        <w:t>EC</w:t>
      </w:r>
      <w:r>
        <w:rPr>
          <w:i/>
          <w:spacing w:val="-7"/>
          <w:sz w:val="18"/>
        </w:rPr>
        <w:t xml:space="preserve"> </w:t>
      </w:r>
      <w:r>
        <w:rPr>
          <w:i/>
          <w:sz w:val="18"/>
        </w:rPr>
        <w:t>–</w:t>
      </w:r>
      <w:r>
        <w:rPr>
          <w:i/>
          <w:spacing w:val="-5"/>
          <w:sz w:val="18"/>
        </w:rPr>
        <w:t xml:space="preserve"> </w:t>
      </w:r>
      <w:r>
        <w:rPr>
          <w:i/>
          <w:sz w:val="18"/>
        </w:rPr>
        <w:t>Fasteners</w:t>
      </w:r>
      <w:r>
        <w:rPr>
          <w:i/>
          <w:spacing w:val="-6"/>
          <w:sz w:val="18"/>
        </w:rPr>
        <w:t xml:space="preserve"> </w:t>
      </w:r>
      <w:r>
        <w:rPr>
          <w:i/>
          <w:sz w:val="18"/>
        </w:rPr>
        <w:t>(China)</w:t>
      </w:r>
      <w:r>
        <w:rPr>
          <w:sz w:val="18"/>
        </w:rPr>
        <w:t>,</w:t>
      </w:r>
      <w:r>
        <w:rPr>
          <w:spacing w:val="-7"/>
          <w:sz w:val="18"/>
        </w:rPr>
        <w:t xml:space="preserve"> </w:t>
      </w:r>
      <w:r>
        <w:rPr>
          <w:sz w:val="18"/>
        </w:rPr>
        <w:t>para.</w:t>
      </w:r>
      <w:r>
        <w:rPr>
          <w:spacing w:val="-5"/>
          <w:sz w:val="18"/>
        </w:rPr>
        <w:t xml:space="preserve"> </w:t>
      </w:r>
      <w:r>
        <w:rPr>
          <w:spacing w:val="-4"/>
          <w:sz w:val="18"/>
        </w:rPr>
        <w:t>412:</w:t>
      </w:r>
    </w:p>
    <w:p w14:paraId="51DE8C9C" w14:textId="77777777" w:rsidR="0010369C" w:rsidRDefault="0010369C">
      <w:pPr>
        <w:jc w:val="both"/>
        <w:rPr>
          <w:sz w:val="18"/>
        </w:rPr>
        <w:sectPr w:rsidR="0010369C">
          <w:pgSz w:w="11910" w:h="16840"/>
          <w:pgMar w:top="880" w:right="800" w:bottom="980" w:left="1180" w:header="569" w:footer="788" w:gutter="0"/>
          <w:cols w:space="720"/>
        </w:sectPr>
      </w:pPr>
    </w:p>
    <w:p w14:paraId="51DE8C9D" w14:textId="77777777" w:rsidR="0010369C" w:rsidRDefault="008E43AE">
      <w:pPr>
        <w:tabs>
          <w:tab w:val="left" w:pos="6425"/>
        </w:tabs>
        <w:ind w:left="238"/>
        <w:jc w:val="both"/>
        <w:rPr>
          <w:sz w:val="20"/>
        </w:rPr>
      </w:pPr>
      <w:r>
        <w:rPr>
          <w:i/>
          <w:sz w:val="20"/>
        </w:rPr>
        <w:lastRenderedPageBreak/>
        <w:t>China</w:t>
      </w:r>
      <w:r>
        <w:rPr>
          <w:i/>
          <w:spacing w:val="-5"/>
          <w:sz w:val="20"/>
        </w:rPr>
        <w:t xml:space="preserve"> </w:t>
      </w:r>
      <w:r>
        <w:rPr>
          <w:i/>
          <w:sz w:val="20"/>
        </w:rPr>
        <w:t>–</w:t>
      </w:r>
      <w:r>
        <w:rPr>
          <w:i/>
          <w:spacing w:val="-5"/>
          <w:sz w:val="20"/>
        </w:rPr>
        <w:t xml:space="preserve"> </w:t>
      </w:r>
      <w:r>
        <w:rPr>
          <w:i/>
          <w:sz w:val="20"/>
        </w:rPr>
        <w:t>Anti‐Dumping</w:t>
      </w:r>
      <w:r>
        <w:rPr>
          <w:i/>
          <w:spacing w:val="-4"/>
          <w:sz w:val="20"/>
        </w:rPr>
        <w:t xml:space="preserve"> </w:t>
      </w:r>
      <w:r>
        <w:rPr>
          <w:i/>
          <w:sz w:val="20"/>
        </w:rPr>
        <w:t>and</w:t>
      </w:r>
      <w:r>
        <w:rPr>
          <w:i/>
          <w:spacing w:val="-5"/>
          <w:sz w:val="20"/>
        </w:rPr>
        <w:t xml:space="preserve"> </w:t>
      </w:r>
      <w:r>
        <w:rPr>
          <w:i/>
          <w:sz w:val="20"/>
        </w:rPr>
        <w:t>Countervailing</w:t>
      </w:r>
      <w:r>
        <w:rPr>
          <w:i/>
          <w:spacing w:val="-5"/>
          <w:sz w:val="20"/>
        </w:rPr>
        <w:t xml:space="preserve"> </w:t>
      </w:r>
      <w:r>
        <w:rPr>
          <w:i/>
          <w:sz w:val="20"/>
        </w:rPr>
        <w:t>Duty</w:t>
      </w:r>
      <w:r>
        <w:rPr>
          <w:i/>
          <w:spacing w:val="-4"/>
          <w:sz w:val="20"/>
        </w:rPr>
        <w:t xml:space="preserve"> </w:t>
      </w:r>
      <w:r>
        <w:rPr>
          <w:i/>
          <w:spacing w:val="-2"/>
          <w:sz w:val="20"/>
        </w:rPr>
        <w:t>Measures</w:t>
      </w:r>
      <w:r>
        <w:rPr>
          <w:i/>
          <w:sz w:val="20"/>
        </w:rPr>
        <w:tab/>
      </w:r>
      <w:r>
        <w:rPr>
          <w:sz w:val="20"/>
        </w:rPr>
        <w:t>Australia's</w:t>
      </w:r>
      <w:r>
        <w:rPr>
          <w:spacing w:val="-7"/>
          <w:sz w:val="20"/>
        </w:rPr>
        <w:t xml:space="preserve"> </w:t>
      </w:r>
      <w:r>
        <w:rPr>
          <w:sz w:val="20"/>
        </w:rPr>
        <w:t>First</w:t>
      </w:r>
      <w:r>
        <w:rPr>
          <w:spacing w:val="-2"/>
          <w:sz w:val="20"/>
        </w:rPr>
        <w:t xml:space="preserve"> </w:t>
      </w:r>
      <w:r>
        <w:rPr>
          <w:sz w:val="20"/>
        </w:rPr>
        <w:t>Written</w:t>
      </w:r>
      <w:r>
        <w:rPr>
          <w:spacing w:val="-2"/>
          <w:sz w:val="20"/>
        </w:rPr>
        <w:t xml:space="preserve"> Submission</w:t>
      </w:r>
    </w:p>
    <w:p w14:paraId="51DE8C9E" w14:textId="77777777" w:rsidR="0010369C" w:rsidRDefault="008E43AE">
      <w:pPr>
        <w:tabs>
          <w:tab w:val="left" w:pos="8227"/>
        </w:tabs>
        <w:spacing w:before="1"/>
        <w:ind w:left="239"/>
        <w:jc w:val="both"/>
        <w:rPr>
          <w:sz w:val="20"/>
        </w:rPr>
      </w:pPr>
      <w:r>
        <w:rPr>
          <w:i/>
          <w:sz w:val="20"/>
        </w:rPr>
        <w:t>on</w:t>
      </w:r>
      <w:r>
        <w:rPr>
          <w:i/>
          <w:spacing w:val="-1"/>
          <w:sz w:val="20"/>
        </w:rPr>
        <w:t xml:space="preserve"> </w:t>
      </w:r>
      <w:r>
        <w:rPr>
          <w:i/>
          <w:sz w:val="20"/>
        </w:rPr>
        <w:t>Wine</w:t>
      </w:r>
      <w:r>
        <w:rPr>
          <w:i/>
          <w:spacing w:val="-1"/>
          <w:sz w:val="20"/>
        </w:rPr>
        <w:t xml:space="preserve"> </w:t>
      </w:r>
      <w:r>
        <w:rPr>
          <w:i/>
          <w:sz w:val="20"/>
        </w:rPr>
        <w:t>from</w:t>
      </w:r>
      <w:r>
        <w:rPr>
          <w:i/>
          <w:spacing w:val="-3"/>
          <w:sz w:val="20"/>
        </w:rPr>
        <w:t xml:space="preserve"> </w:t>
      </w:r>
      <w:r>
        <w:rPr>
          <w:i/>
          <w:sz w:val="20"/>
        </w:rPr>
        <w:t>Australia</w:t>
      </w:r>
      <w:r>
        <w:rPr>
          <w:i/>
          <w:spacing w:val="-1"/>
          <w:sz w:val="20"/>
        </w:rPr>
        <w:t xml:space="preserve"> </w:t>
      </w:r>
      <w:r>
        <w:rPr>
          <w:spacing w:val="-2"/>
          <w:sz w:val="20"/>
        </w:rPr>
        <w:t>(DS602)</w:t>
      </w:r>
      <w:r>
        <w:rPr>
          <w:sz w:val="20"/>
        </w:rPr>
        <w:tab/>
        <w:t>29</w:t>
      </w:r>
      <w:r>
        <w:rPr>
          <w:spacing w:val="-1"/>
          <w:sz w:val="20"/>
        </w:rPr>
        <w:t xml:space="preserve"> </w:t>
      </w:r>
      <w:r>
        <w:rPr>
          <w:sz w:val="20"/>
        </w:rPr>
        <w:t>April</w:t>
      </w:r>
      <w:r>
        <w:rPr>
          <w:spacing w:val="-2"/>
          <w:sz w:val="20"/>
        </w:rPr>
        <w:t xml:space="preserve"> </w:t>
      </w:r>
      <w:r>
        <w:rPr>
          <w:spacing w:val="-4"/>
          <w:sz w:val="20"/>
        </w:rPr>
        <w:t>2022</w:t>
      </w:r>
    </w:p>
    <w:p w14:paraId="51DE8C9F" w14:textId="77777777" w:rsidR="0010369C" w:rsidRDefault="008E43AE">
      <w:pPr>
        <w:pStyle w:val="BodyText"/>
        <w:spacing w:before="34" w:line="360" w:lineRule="auto"/>
        <w:ind w:left="237" w:right="615"/>
        <w:jc w:val="both"/>
      </w:pPr>
      <w:r>
        <w:t>ensures that the injury determination is based on wide‐ranging information regarding domestic</w:t>
      </w:r>
      <w:r>
        <w:rPr>
          <w:spacing w:val="-4"/>
        </w:rPr>
        <w:t xml:space="preserve"> </w:t>
      </w:r>
      <w:r>
        <w:t>producers</w:t>
      </w:r>
      <w:r>
        <w:rPr>
          <w:spacing w:val="-6"/>
        </w:rPr>
        <w:t xml:space="preserve"> </w:t>
      </w:r>
      <w:r>
        <w:t>and</w:t>
      </w:r>
      <w:r>
        <w:rPr>
          <w:spacing w:val="-6"/>
        </w:rPr>
        <w:t xml:space="preserve"> </w:t>
      </w:r>
      <w:r>
        <w:t>is</w:t>
      </w:r>
      <w:r>
        <w:rPr>
          <w:spacing w:val="-7"/>
        </w:rPr>
        <w:t xml:space="preserve"> </w:t>
      </w:r>
      <w:r>
        <w:t>not</w:t>
      </w:r>
      <w:r>
        <w:rPr>
          <w:spacing w:val="-6"/>
        </w:rPr>
        <w:t xml:space="preserve"> </w:t>
      </w:r>
      <w:r>
        <w:t>distorted</w:t>
      </w:r>
      <w:r>
        <w:rPr>
          <w:spacing w:val="-6"/>
        </w:rPr>
        <w:t xml:space="preserve"> </w:t>
      </w:r>
      <w:r>
        <w:t>or</w:t>
      </w:r>
      <w:r>
        <w:rPr>
          <w:spacing w:val="-6"/>
        </w:rPr>
        <w:t xml:space="preserve"> </w:t>
      </w:r>
      <w:r>
        <w:t>skewed".</w:t>
      </w:r>
      <w:r>
        <w:rPr>
          <w:vertAlign w:val="superscript"/>
        </w:rPr>
        <w:t>573</w:t>
      </w:r>
      <w:r>
        <w:rPr>
          <w:spacing w:val="-7"/>
        </w:rPr>
        <w:t xml:space="preserve"> </w:t>
      </w:r>
      <w:r>
        <w:t>The</w:t>
      </w:r>
      <w:r>
        <w:rPr>
          <w:spacing w:val="-6"/>
        </w:rPr>
        <w:t xml:space="preserve"> </w:t>
      </w:r>
      <w:r>
        <w:t>qualitative</w:t>
      </w:r>
      <w:r>
        <w:rPr>
          <w:spacing w:val="-5"/>
        </w:rPr>
        <w:t xml:space="preserve"> </w:t>
      </w:r>
      <w:r>
        <w:t>element</w:t>
      </w:r>
      <w:r>
        <w:rPr>
          <w:spacing w:val="-7"/>
        </w:rPr>
        <w:t xml:space="preserve"> </w:t>
      </w:r>
      <w:r>
        <w:t>"is</w:t>
      </w:r>
      <w:r>
        <w:rPr>
          <w:spacing w:val="-7"/>
        </w:rPr>
        <w:t xml:space="preserve"> </w:t>
      </w:r>
      <w:r>
        <w:t>concerned with ensuring that the domestic producers of the like product that are include</w:t>
      </w:r>
      <w:r>
        <w:t>d in the definition of domestic industry are representative of the total domestic production".</w:t>
      </w:r>
      <w:r>
        <w:rPr>
          <w:vertAlign w:val="superscript"/>
        </w:rPr>
        <w:t>574</w:t>
      </w:r>
      <w:r>
        <w:t xml:space="preserve"> The quantitative and qualitative aspects of the domestic industry are closely connected, in that the lower the proportion, the more sensitive an investigating</w:t>
      </w:r>
      <w:r>
        <w:t xml:space="preserve"> authority will have to be to ensure that the proportion used substantially reflects the total production of the producers as a whole.</w:t>
      </w:r>
      <w:r>
        <w:rPr>
          <w:vertAlign w:val="superscript"/>
        </w:rPr>
        <w:t>575</w:t>
      </w:r>
    </w:p>
    <w:p w14:paraId="51DE8CA0" w14:textId="77777777" w:rsidR="0010369C" w:rsidRDefault="0010369C">
      <w:pPr>
        <w:pStyle w:val="BodyText"/>
        <w:spacing w:before="11"/>
        <w:rPr>
          <w:sz w:val="8"/>
        </w:rPr>
      </w:pPr>
    </w:p>
    <w:p w14:paraId="51DE8CA1" w14:textId="77777777" w:rsidR="0010369C" w:rsidRDefault="008E43AE">
      <w:pPr>
        <w:pStyle w:val="BodyText"/>
        <w:spacing w:before="52" w:line="360" w:lineRule="auto"/>
        <w:ind w:left="237" w:right="614" w:firstLine="852"/>
        <w:jc w:val="both"/>
      </w:pPr>
      <w:r>
        <w:rPr>
          <w:noProof/>
        </w:rPr>
        <w:drawing>
          <wp:anchor distT="0" distB="0" distL="0" distR="0" simplePos="0" relativeHeight="251164160" behindDoc="1" locked="0" layoutInCell="1" allowOverlap="1" wp14:anchorId="51DEA40B" wp14:editId="51DEA40C">
            <wp:simplePos x="0" y="0"/>
            <wp:positionH relativeFrom="page">
              <wp:posOffset>902208</wp:posOffset>
            </wp:positionH>
            <wp:positionV relativeFrom="paragraph">
              <wp:posOffset>81357</wp:posOffset>
            </wp:positionV>
            <wp:extent cx="262127" cy="103631"/>
            <wp:effectExtent l="0" t="0" r="0" b="0"/>
            <wp:wrapNone/>
            <wp:docPr id="1051" name="image5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 name="image537.png"/>
                    <pic:cNvPicPr/>
                  </pic:nvPicPr>
                  <pic:blipFill>
                    <a:blip r:embed="rId706" cstate="print"/>
                    <a:stretch>
                      <a:fillRect/>
                    </a:stretch>
                  </pic:blipFill>
                  <pic:spPr>
                    <a:xfrm>
                      <a:off x="0" y="0"/>
                      <a:ext cx="262127" cy="103631"/>
                    </a:xfrm>
                    <a:prstGeom prst="rect">
                      <a:avLst/>
                    </a:prstGeom>
                  </pic:spPr>
                </pic:pic>
              </a:graphicData>
            </a:graphic>
          </wp:anchor>
        </w:drawing>
      </w:r>
      <w:r>
        <w:t>As discussed below, MOFCOM's determination of the domestic industry is inconsistent</w:t>
      </w:r>
      <w:r>
        <w:rPr>
          <w:spacing w:val="-11"/>
        </w:rPr>
        <w:t xml:space="preserve"> </w:t>
      </w:r>
      <w:r>
        <w:t>with</w:t>
      </w:r>
      <w:r>
        <w:rPr>
          <w:spacing w:val="-11"/>
        </w:rPr>
        <w:t xml:space="preserve"> </w:t>
      </w:r>
      <w:r>
        <w:t>Article</w:t>
      </w:r>
      <w:r>
        <w:rPr>
          <w:spacing w:val="-12"/>
        </w:rPr>
        <w:t xml:space="preserve"> </w:t>
      </w:r>
      <w:r>
        <w:t>4.1</w:t>
      </w:r>
      <w:r>
        <w:rPr>
          <w:spacing w:val="-12"/>
        </w:rPr>
        <w:t xml:space="preserve"> </w:t>
      </w:r>
      <w:r>
        <w:t>because</w:t>
      </w:r>
      <w:r>
        <w:rPr>
          <w:spacing w:val="-11"/>
        </w:rPr>
        <w:t xml:space="preserve"> </w:t>
      </w:r>
      <w:r>
        <w:t>(i)</w:t>
      </w:r>
      <w:r>
        <w:rPr>
          <w:spacing w:val="-11"/>
        </w:rPr>
        <w:t xml:space="preserve"> </w:t>
      </w:r>
      <w:r>
        <w:t>the</w:t>
      </w:r>
      <w:r>
        <w:rPr>
          <w:spacing w:val="-10"/>
        </w:rPr>
        <w:t xml:space="preserve"> </w:t>
      </w:r>
      <w:r>
        <w:t>process</w:t>
      </w:r>
      <w:r>
        <w:rPr>
          <w:spacing w:val="-11"/>
        </w:rPr>
        <w:t xml:space="preserve"> </w:t>
      </w:r>
      <w:r>
        <w:t>it</w:t>
      </w:r>
      <w:r>
        <w:rPr>
          <w:spacing w:val="-11"/>
        </w:rPr>
        <w:t xml:space="preserve"> </w:t>
      </w:r>
      <w:r>
        <w:t>used</w:t>
      </w:r>
      <w:r>
        <w:rPr>
          <w:spacing w:val="-11"/>
        </w:rPr>
        <w:t xml:space="preserve"> </w:t>
      </w:r>
      <w:r>
        <w:t>to</w:t>
      </w:r>
      <w:r>
        <w:rPr>
          <w:spacing w:val="-12"/>
        </w:rPr>
        <w:t xml:space="preserve"> </w:t>
      </w:r>
      <w:r>
        <w:t>identify</w:t>
      </w:r>
      <w:r>
        <w:rPr>
          <w:spacing w:val="-10"/>
        </w:rPr>
        <w:t xml:space="preserve"> </w:t>
      </w:r>
      <w:r>
        <w:t>and</w:t>
      </w:r>
      <w:r>
        <w:rPr>
          <w:spacing w:val="-12"/>
        </w:rPr>
        <w:t xml:space="preserve"> </w:t>
      </w:r>
      <w:r>
        <w:t>define</w:t>
      </w:r>
      <w:r>
        <w:rPr>
          <w:spacing w:val="-10"/>
        </w:rPr>
        <w:t xml:space="preserve"> </w:t>
      </w:r>
      <w:r>
        <w:t>the</w:t>
      </w:r>
      <w:r>
        <w:rPr>
          <w:spacing w:val="-10"/>
        </w:rPr>
        <w:t xml:space="preserve"> </w:t>
      </w:r>
      <w:r>
        <w:t>domestic industry introduced material risks of distortion; (ii) it is not based on positive evidence; and</w:t>
      </w:r>
    </w:p>
    <w:p w14:paraId="51DE8CA2" w14:textId="77777777" w:rsidR="0010369C" w:rsidRDefault="008E43AE">
      <w:pPr>
        <w:pStyle w:val="BodyText"/>
        <w:spacing w:line="362" w:lineRule="auto"/>
        <w:ind w:left="238" w:right="614" w:hanging="2"/>
        <w:jc w:val="both"/>
      </w:pPr>
      <w:r>
        <w:t>(iii) it introduced a material risk of skewing the economic data and, consequently, distorting its analysis of the state of the industry.</w:t>
      </w:r>
    </w:p>
    <w:p w14:paraId="51DE8CA3" w14:textId="77777777" w:rsidR="0010369C" w:rsidRDefault="0010369C">
      <w:pPr>
        <w:pStyle w:val="BodyText"/>
        <w:spacing w:before="4"/>
        <w:rPr>
          <w:sz w:val="8"/>
        </w:rPr>
      </w:pPr>
    </w:p>
    <w:p w14:paraId="51DE8CA4" w14:textId="77777777" w:rsidR="0010369C" w:rsidRDefault="008E43AE">
      <w:pPr>
        <w:pStyle w:val="BodyText"/>
        <w:spacing w:before="52" w:line="360" w:lineRule="auto"/>
        <w:ind w:left="237" w:right="614" w:firstLine="851"/>
        <w:jc w:val="both"/>
      </w:pPr>
      <w:r>
        <w:rPr>
          <w:noProof/>
        </w:rPr>
        <w:drawing>
          <wp:anchor distT="0" distB="0" distL="0" distR="0" simplePos="0" relativeHeight="251165184" behindDoc="1" locked="0" layoutInCell="1" allowOverlap="1" wp14:anchorId="51DEA40D" wp14:editId="51DEA40E">
            <wp:simplePos x="0" y="0"/>
            <wp:positionH relativeFrom="page">
              <wp:posOffset>902208</wp:posOffset>
            </wp:positionH>
            <wp:positionV relativeFrom="paragraph">
              <wp:posOffset>81357</wp:posOffset>
            </wp:positionV>
            <wp:extent cx="262127" cy="103631"/>
            <wp:effectExtent l="0" t="0" r="0" b="0"/>
            <wp:wrapNone/>
            <wp:docPr id="1053" name="image5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 name="image538.png"/>
                    <pic:cNvPicPr/>
                  </pic:nvPicPr>
                  <pic:blipFill>
                    <a:blip r:embed="rId707" cstate="print"/>
                    <a:stretch>
                      <a:fillRect/>
                    </a:stretch>
                  </pic:blipFill>
                  <pic:spPr>
                    <a:xfrm>
                      <a:off x="0" y="0"/>
                      <a:ext cx="262127" cy="103631"/>
                    </a:xfrm>
                    <a:prstGeom prst="rect">
                      <a:avLst/>
                    </a:prstGeom>
                  </pic:spPr>
                </pic:pic>
              </a:graphicData>
            </a:graphic>
          </wp:anchor>
        </w:drawing>
      </w:r>
      <w:r>
        <w:t>As a conse</w:t>
      </w:r>
      <w:r>
        <w:t>quence of those errors, MOFCOM failed to establish "a major proportion of total domestic production" with respect to both the quantitative and the qualitative elements, as it could not reasonably conclude that the "21 producers who submitted the response t</w:t>
      </w:r>
      <w:r>
        <w:t>o the Questionnaire on Domestic Producers"</w:t>
      </w:r>
      <w:r>
        <w:rPr>
          <w:vertAlign w:val="superscript"/>
        </w:rPr>
        <w:t>576</w:t>
      </w:r>
      <w:r>
        <w:t xml:space="preserve"> represent a "relatively high proportion of the total domestic production" that "substantially reflects the total domestic production"</w:t>
      </w:r>
      <w:r>
        <w:rPr>
          <w:vertAlign w:val="superscript"/>
        </w:rPr>
        <w:t>577</w:t>
      </w:r>
      <w:r>
        <w:t>,</w:t>
      </w:r>
      <w:r>
        <w:rPr>
          <w:spacing w:val="-13"/>
        </w:rPr>
        <w:t xml:space="preserve"> </w:t>
      </w:r>
      <w:r>
        <w:t>nor</w:t>
      </w:r>
      <w:r>
        <w:rPr>
          <w:spacing w:val="-13"/>
        </w:rPr>
        <w:t xml:space="preserve"> </w:t>
      </w:r>
      <w:r>
        <w:t>that</w:t>
      </w:r>
      <w:r>
        <w:rPr>
          <w:spacing w:val="-13"/>
        </w:rPr>
        <w:t xml:space="preserve"> </w:t>
      </w:r>
      <w:r>
        <w:t>those</w:t>
      </w:r>
      <w:r>
        <w:rPr>
          <w:spacing w:val="-13"/>
        </w:rPr>
        <w:t xml:space="preserve"> </w:t>
      </w:r>
      <w:r>
        <w:t>producers</w:t>
      </w:r>
      <w:r>
        <w:rPr>
          <w:spacing w:val="-12"/>
        </w:rPr>
        <w:t xml:space="preserve"> </w:t>
      </w:r>
      <w:r>
        <w:t>are</w:t>
      </w:r>
      <w:r>
        <w:rPr>
          <w:spacing w:val="-13"/>
        </w:rPr>
        <w:t xml:space="preserve"> </w:t>
      </w:r>
      <w:r>
        <w:t>representative</w:t>
      </w:r>
      <w:r>
        <w:rPr>
          <w:spacing w:val="-13"/>
        </w:rPr>
        <w:t xml:space="preserve"> </w:t>
      </w:r>
      <w:r>
        <w:t>of</w:t>
      </w:r>
      <w:r>
        <w:rPr>
          <w:spacing w:val="-13"/>
        </w:rPr>
        <w:t xml:space="preserve"> </w:t>
      </w:r>
      <w:r>
        <w:t>the</w:t>
      </w:r>
      <w:r>
        <w:rPr>
          <w:spacing w:val="-13"/>
        </w:rPr>
        <w:t xml:space="preserve"> </w:t>
      </w:r>
      <w:r>
        <w:t>total</w:t>
      </w:r>
      <w:r>
        <w:rPr>
          <w:spacing w:val="-12"/>
        </w:rPr>
        <w:t xml:space="preserve"> </w:t>
      </w:r>
      <w:r>
        <w:t>domestic</w:t>
      </w:r>
      <w:r>
        <w:rPr>
          <w:spacing w:val="-12"/>
        </w:rPr>
        <w:t xml:space="preserve"> </w:t>
      </w:r>
      <w:r>
        <w:rPr>
          <w:spacing w:val="-2"/>
        </w:rPr>
        <w:t>produc</w:t>
      </w:r>
      <w:r>
        <w:rPr>
          <w:spacing w:val="-2"/>
        </w:rPr>
        <w:t>tion.</w:t>
      </w:r>
    </w:p>
    <w:p w14:paraId="51DE8CA5" w14:textId="77777777" w:rsidR="0010369C" w:rsidRDefault="008E43AE">
      <w:pPr>
        <w:pStyle w:val="BodyText"/>
        <w:spacing w:before="160" w:line="360" w:lineRule="auto"/>
        <w:ind w:left="237" w:right="611" w:firstLine="851"/>
      </w:pPr>
      <w:r>
        <w:rPr>
          <w:noProof/>
        </w:rPr>
        <w:drawing>
          <wp:anchor distT="0" distB="0" distL="0" distR="0" simplePos="0" relativeHeight="251166208" behindDoc="1" locked="0" layoutInCell="1" allowOverlap="1" wp14:anchorId="51DEA40F" wp14:editId="51DEA410">
            <wp:simplePos x="0" y="0"/>
            <wp:positionH relativeFrom="page">
              <wp:posOffset>902208</wp:posOffset>
            </wp:positionH>
            <wp:positionV relativeFrom="paragraph">
              <wp:posOffset>150529</wp:posOffset>
            </wp:positionV>
            <wp:extent cx="262127" cy="100753"/>
            <wp:effectExtent l="0" t="0" r="0" b="0"/>
            <wp:wrapNone/>
            <wp:docPr id="1055" name="image5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 name="image539.png"/>
                    <pic:cNvPicPr/>
                  </pic:nvPicPr>
                  <pic:blipFill>
                    <a:blip r:embed="rId708" cstate="print"/>
                    <a:stretch>
                      <a:fillRect/>
                    </a:stretch>
                  </pic:blipFill>
                  <pic:spPr>
                    <a:xfrm>
                      <a:off x="0" y="0"/>
                      <a:ext cx="262127" cy="100753"/>
                    </a:xfrm>
                    <a:prstGeom prst="rect">
                      <a:avLst/>
                    </a:prstGeom>
                  </pic:spPr>
                </pic:pic>
              </a:graphicData>
            </a:graphic>
          </wp:anchor>
        </w:drawing>
      </w:r>
      <w:r>
        <w:t>As</w:t>
      </w:r>
      <w:r>
        <w:rPr>
          <w:spacing w:val="28"/>
        </w:rPr>
        <w:t xml:space="preserve"> </w:t>
      </w:r>
      <w:r>
        <w:t>discussed,</w:t>
      </w:r>
      <w:r>
        <w:rPr>
          <w:vertAlign w:val="superscript"/>
        </w:rPr>
        <w:t>578</w:t>
      </w:r>
      <w:r>
        <w:rPr>
          <w:spacing w:val="28"/>
        </w:rPr>
        <w:t xml:space="preserve"> </w:t>
      </w:r>
      <w:r>
        <w:t>this</w:t>
      </w:r>
      <w:r>
        <w:rPr>
          <w:spacing w:val="28"/>
        </w:rPr>
        <w:t xml:space="preserve"> </w:t>
      </w:r>
      <w:r>
        <w:t>further</w:t>
      </w:r>
      <w:r>
        <w:rPr>
          <w:spacing w:val="29"/>
        </w:rPr>
        <w:t xml:space="preserve"> </w:t>
      </w:r>
      <w:r>
        <w:t>resulted in</w:t>
      </w:r>
      <w:r>
        <w:rPr>
          <w:spacing w:val="28"/>
        </w:rPr>
        <w:t xml:space="preserve"> </w:t>
      </w:r>
      <w:r>
        <w:t>errors</w:t>
      </w:r>
      <w:r>
        <w:rPr>
          <w:spacing w:val="28"/>
        </w:rPr>
        <w:t xml:space="preserve"> </w:t>
      </w:r>
      <w:r>
        <w:t>fatal</w:t>
      </w:r>
      <w:r>
        <w:rPr>
          <w:spacing w:val="29"/>
        </w:rPr>
        <w:t xml:space="preserve"> </w:t>
      </w:r>
      <w:r>
        <w:t>to</w:t>
      </w:r>
      <w:r>
        <w:rPr>
          <w:spacing w:val="29"/>
        </w:rPr>
        <w:t xml:space="preserve"> </w:t>
      </w:r>
      <w:r>
        <w:t>MOFCOM's</w:t>
      </w:r>
      <w:r>
        <w:rPr>
          <w:spacing w:val="28"/>
        </w:rPr>
        <w:t xml:space="preserve"> </w:t>
      </w:r>
      <w:r>
        <w:t>determinations with respect to injury and causation.</w:t>
      </w:r>
    </w:p>
    <w:p w14:paraId="51DE8CA6" w14:textId="77777777" w:rsidR="0010369C" w:rsidRDefault="0010369C">
      <w:pPr>
        <w:pStyle w:val="BodyText"/>
        <w:rPr>
          <w:sz w:val="20"/>
        </w:rPr>
      </w:pPr>
    </w:p>
    <w:p w14:paraId="51DE8CA7" w14:textId="77777777" w:rsidR="0010369C" w:rsidRDefault="0010369C">
      <w:pPr>
        <w:pStyle w:val="BodyText"/>
        <w:rPr>
          <w:sz w:val="20"/>
        </w:rPr>
      </w:pPr>
    </w:p>
    <w:p w14:paraId="51DE8CA8" w14:textId="77777777" w:rsidR="0010369C" w:rsidRDefault="0010369C">
      <w:pPr>
        <w:pStyle w:val="BodyText"/>
        <w:rPr>
          <w:sz w:val="20"/>
        </w:rPr>
      </w:pPr>
    </w:p>
    <w:p w14:paraId="51DE8CA9" w14:textId="77777777" w:rsidR="0010369C" w:rsidRDefault="0010369C">
      <w:pPr>
        <w:pStyle w:val="BodyText"/>
        <w:rPr>
          <w:sz w:val="20"/>
        </w:rPr>
      </w:pPr>
    </w:p>
    <w:p w14:paraId="51DE8CAA" w14:textId="77777777" w:rsidR="0010369C" w:rsidRDefault="0010369C">
      <w:pPr>
        <w:pStyle w:val="BodyText"/>
        <w:rPr>
          <w:sz w:val="20"/>
        </w:rPr>
      </w:pPr>
    </w:p>
    <w:p w14:paraId="51DE8CAB" w14:textId="77777777" w:rsidR="0010369C" w:rsidRDefault="008E43AE">
      <w:pPr>
        <w:pStyle w:val="BodyText"/>
        <w:spacing w:before="7"/>
        <w:rPr>
          <w:sz w:val="23"/>
        </w:rPr>
      </w:pPr>
      <w:r>
        <w:pict w14:anchorId="51DEA411">
          <v:rect id="docshape997" o:spid="_x0000_s1370" style="position:absolute;margin-left:70.9pt;margin-top:15.6pt;width:2in;height:.8pt;z-index:-250854912;mso-wrap-distance-left:0;mso-wrap-distance-right:0;mso-position-horizontal-relative:page" fillcolor="black" stroked="f">
            <w10:wrap type="topAndBottom" anchorx="page"/>
          </v:rect>
        </w:pict>
      </w:r>
    </w:p>
    <w:p w14:paraId="51DE8CAC" w14:textId="77777777" w:rsidR="0010369C" w:rsidRDefault="008E43AE">
      <w:pPr>
        <w:pStyle w:val="ListParagraph"/>
        <w:numPr>
          <w:ilvl w:val="0"/>
          <w:numId w:val="64"/>
        </w:numPr>
        <w:tabs>
          <w:tab w:val="left" w:pos="1158"/>
        </w:tabs>
        <w:spacing w:before="109"/>
        <w:ind w:right="612" w:firstLine="1"/>
        <w:jc w:val="both"/>
        <w:rPr>
          <w:sz w:val="18"/>
        </w:rPr>
      </w:pPr>
      <w:r>
        <w:rPr>
          <w:sz w:val="18"/>
        </w:rPr>
        <w:t>he term 'a major proportion' is immediately followed by the words 'of the total domestic production'. 'A major proportion', therefore, should be understood as a proportion defined by reference to the total production of domestic</w:t>
      </w:r>
      <w:r>
        <w:rPr>
          <w:spacing w:val="-2"/>
          <w:sz w:val="18"/>
        </w:rPr>
        <w:t xml:space="preserve"> </w:t>
      </w:r>
      <w:r>
        <w:rPr>
          <w:sz w:val="18"/>
        </w:rPr>
        <w:t>producers</w:t>
      </w:r>
      <w:r>
        <w:rPr>
          <w:spacing w:val="-1"/>
          <w:sz w:val="18"/>
        </w:rPr>
        <w:t xml:space="preserve"> </w:t>
      </w:r>
      <w:r>
        <w:rPr>
          <w:sz w:val="18"/>
        </w:rPr>
        <w:t>as</w:t>
      </w:r>
      <w:r>
        <w:rPr>
          <w:spacing w:val="-2"/>
          <w:sz w:val="18"/>
        </w:rPr>
        <w:t xml:space="preserve"> </w:t>
      </w:r>
      <w:r>
        <w:rPr>
          <w:sz w:val="18"/>
        </w:rPr>
        <w:t>a</w:t>
      </w:r>
      <w:r>
        <w:rPr>
          <w:spacing w:val="-2"/>
          <w:sz w:val="18"/>
        </w:rPr>
        <w:t xml:space="preserve"> </w:t>
      </w:r>
      <w:r>
        <w:rPr>
          <w:sz w:val="18"/>
        </w:rPr>
        <w:t>whole.</w:t>
      </w:r>
      <w:r>
        <w:rPr>
          <w:spacing w:val="-4"/>
          <w:sz w:val="18"/>
        </w:rPr>
        <w:t xml:space="preserve"> </w:t>
      </w:r>
      <w:r>
        <w:rPr>
          <w:sz w:val="18"/>
        </w:rPr>
        <w:t>'A</w:t>
      </w:r>
      <w:r>
        <w:rPr>
          <w:spacing w:val="-2"/>
          <w:sz w:val="18"/>
        </w:rPr>
        <w:t xml:space="preserve"> </w:t>
      </w:r>
      <w:r>
        <w:rPr>
          <w:sz w:val="18"/>
        </w:rPr>
        <w:t>ma</w:t>
      </w:r>
      <w:r>
        <w:rPr>
          <w:sz w:val="18"/>
        </w:rPr>
        <w:t>jor</w:t>
      </w:r>
      <w:r>
        <w:rPr>
          <w:spacing w:val="-3"/>
          <w:sz w:val="18"/>
        </w:rPr>
        <w:t xml:space="preserve"> </w:t>
      </w:r>
      <w:r>
        <w:rPr>
          <w:sz w:val="18"/>
        </w:rPr>
        <w:t>proportion'</w:t>
      </w:r>
      <w:r>
        <w:rPr>
          <w:spacing w:val="-2"/>
          <w:sz w:val="18"/>
        </w:rPr>
        <w:t xml:space="preserve"> </w:t>
      </w:r>
      <w:r>
        <w:rPr>
          <w:sz w:val="18"/>
        </w:rPr>
        <w:t>of</w:t>
      </w:r>
      <w:r>
        <w:rPr>
          <w:spacing w:val="-2"/>
          <w:sz w:val="18"/>
        </w:rPr>
        <w:t xml:space="preserve"> </w:t>
      </w:r>
      <w:r>
        <w:rPr>
          <w:sz w:val="18"/>
        </w:rPr>
        <w:t>such</w:t>
      </w:r>
      <w:r>
        <w:rPr>
          <w:spacing w:val="-2"/>
          <w:sz w:val="18"/>
        </w:rPr>
        <w:t xml:space="preserve"> </w:t>
      </w:r>
      <w:r>
        <w:rPr>
          <w:i/>
          <w:sz w:val="18"/>
        </w:rPr>
        <w:t>total</w:t>
      </w:r>
      <w:r>
        <w:rPr>
          <w:i/>
          <w:spacing w:val="-3"/>
          <w:sz w:val="18"/>
        </w:rPr>
        <w:t xml:space="preserve"> </w:t>
      </w:r>
      <w:r>
        <w:rPr>
          <w:sz w:val="18"/>
        </w:rPr>
        <w:t>production</w:t>
      </w:r>
      <w:r>
        <w:rPr>
          <w:spacing w:val="-1"/>
          <w:sz w:val="18"/>
        </w:rPr>
        <w:t xml:space="preserve"> </w:t>
      </w:r>
      <w:r>
        <w:rPr>
          <w:sz w:val="18"/>
        </w:rPr>
        <w:t>will</w:t>
      </w:r>
      <w:r>
        <w:rPr>
          <w:spacing w:val="-2"/>
          <w:sz w:val="18"/>
        </w:rPr>
        <w:t xml:space="preserve"> </w:t>
      </w:r>
      <w:r>
        <w:rPr>
          <w:sz w:val="18"/>
        </w:rPr>
        <w:t>standardly</w:t>
      </w:r>
      <w:r>
        <w:rPr>
          <w:spacing w:val="-2"/>
          <w:sz w:val="18"/>
        </w:rPr>
        <w:t xml:space="preserve"> </w:t>
      </w:r>
      <w:r>
        <w:rPr>
          <w:sz w:val="18"/>
        </w:rPr>
        <w:t>serve</w:t>
      </w:r>
      <w:r>
        <w:rPr>
          <w:spacing w:val="-3"/>
          <w:sz w:val="18"/>
        </w:rPr>
        <w:t xml:space="preserve"> </w:t>
      </w:r>
      <w:r>
        <w:rPr>
          <w:sz w:val="18"/>
        </w:rPr>
        <w:t>as</w:t>
      </w:r>
      <w:r>
        <w:rPr>
          <w:spacing w:val="-2"/>
          <w:sz w:val="18"/>
        </w:rPr>
        <w:t xml:space="preserve"> </w:t>
      </w:r>
      <w:r>
        <w:rPr>
          <w:sz w:val="18"/>
        </w:rPr>
        <w:t>a</w:t>
      </w:r>
      <w:r>
        <w:rPr>
          <w:spacing w:val="-3"/>
          <w:sz w:val="18"/>
        </w:rPr>
        <w:t xml:space="preserve"> </w:t>
      </w:r>
      <w:r>
        <w:rPr>
          <w:sz w:val="18"/>
        </w:rPr>
        <w:t xml:space="preserve">substantial reflection of the total domestic production. Indeed, the lower the proportion, the more sensitive an investigating authority will have to be to ensure that the proportion used </w:t>
      </w:r>
      <w:r>
        <w:rPr>
          <w:sz w:val="18"/>
        </w:rPr>
        <w:t>substantially reflects the total production of the producers as a whole. (emphasis original).</w:t>
      </w:r>
    </w:p>
    <w:p w14:paraId="51DE8CAD" w14:textId="77777777" w:rsidR="0010369C" w:rsidRDefault="008E43AE">
      <w:pPr>
        <w:spacing w:line="219" w:lineRule="exact"/>
        <w:ind w:left="238"/>
        <w:rPr>
          <w:sz w:val="18"/>
        </w:rPr>
      </w:pPr>
      <w:r>
        <w:rPr>
          <w:sz w:val="18"/>
          <w:vertAlign w:val="superscript"/>
        </w:rPr>
        <w:t>573</w:t>
      </w:r>
      <w:r>
        <w:rPr>
          <w:spacing w:val="-6"/>
          <w:sz w:val="18"/>
        </w:rPr>
        <w:t xml:space="preserve"> </w:t>
      </w:r>
      <w:r>
        <w:rPr>
          <w:sz w:val="18"/>
        </w:rPr>
        <w:t>Appellate</w:t>
      </w:r>
      <w:r>
        <w:rPr>
          <w:spacing w:val="-6"/>
          <w:sz w:val="18"/>
        </w:rPr>
        <w:t xml:space="preserve"> </w:t>
      </w:r>
      <w:r>
        <w:rPr>
          <w:sz w:val="18"/>
        </w:rPr>
        <w:t>Body</w:t>
      </w:r>
      <w:r>
        <w:rPr>
          <w:spacing w:val="-7"/>
          <w:sz w:val="18"/>
        </w:rPr>
        <w:t xml:space="preserve"> </w:t>
      </w:r>
      <w:r>
        <w:rPr>
          <w:sz w:val="18"/>
        </w:rPr>
        <w:t>Report,</w:t>
      </w:r>
      <w:r>
        <w:rPr>
          <w:spacing w:val="-6"/>
          <w:sz w:val="18"/>
        </w:rPr>
        <w:t xml:space="preserve"> </w:t>
      </w:r>
      <w:r>
        <w:rPr>
          <w:i/>
          <w:sz w:val="18"/>
        </w:rPr>
        <w:t>EC</w:t>
      </w:r>
      <w:r>
        <w:rPr>
          <w:i/>
          <w:spacing w:val="-6"/>
          <w:sz w:val="18"/>
        </w:rPr>
        <w:t xml:space="preserve"> </w:t>
      </w:r>
      <w:r>
        <w:rPr>
          <w:i/>
          <w:sz w:val="18"/>
        </w:rPr>
        <w:t>–</w:t>
      </w:r>
      <w:r>
        <w:rPr>
          <w:i/>
          <w:spacing w:val="-6"/>
          <w:sz w:val="18"/>
        </w:rPr>
        <w:t xml:space="preserve"> </w:t>
      </w:r>
      <w:r>
        <w:rPr>
          <w:i/>
          <w:sz w:val="18"/>
        </w:rPr>
        <w:t>Fasteners</w:t>
      </w:r>
      <w:r>
        <w:rPr>
          <w:i/>
          <w:spacing w:val="-5"/>
          <w:sz w:val="18"/>
        </w:rPr>
        <w:t xml:space="preserve"> </w:t>
      </w:r>
      <w:r>
        <w:rPr>
          <w:i/>
          <w:sz w:val="18"/>
        </w:rPr>
        <w:t>(China)</w:t>
      </w:r>
      <w:r>
        <w:rPr>
          <w:sz w:val="18"/>
        </w:rPr>
        <w:t>,</w:t>
      </w:r>
      <w:r>
        <w:rPr>
          <w:spacing w:val="-7"/>
          <w:sz w:val="18"/>
        </w:rPr>
        <w:t xml:space="preserve"> </w:t>
      </w:r>
      <w:r>
        <w:rPr>
          <w:sz w:val="18"/>
        </w:rPr>
        <w:t>para.</w:t>
      </w:r>
      <w:r>
        <w:rPr>
          <w:spacing w:val="-6"/>
          <w:sz w:val="18"/>
        </w:rPr>
        <w:t xml:space="preserve"> </w:t>
      </w:r>
      <w:r>
        <w:rPr>
          <w:spacing w:val="-4"/>
          <w:sz w:val="18"/>
        </w:rPr>
        <w:t>419.</w:t>
      </w:r>
    </w:p>
    <w:p w14:paraId="51DE8CAE" w14:textId="77777777" w:rsidR="0010369C" w:rsidRDefault="008E43AE">
      <w:pPr>
        <w:ind w:left="238"/>
        <w:rPr>
          <w:sz w:val="18"/>
        </w:rPr>
      </w:pPr>
      <w:r>
        <w:rPr>
          <w:sz w:val="18"/>
          <w:vertAlign w:val="superscript"/>
        </w:rPr>
        <w:t>574</w:t>
      </w:r>
      <w:r>
        <w:rPr>
          <w:spacing w:val="-7"/>
          <w:sz w:val="18"/>
        </w:rPr>
        <w:t xml:space="preserve"> </w:t>
      </w:r>
      <w:r>
        <w:rPr>
          <w:sz w:val="18"/>
        </w:rPr>
        <w:t>Appellate</w:t>
      </w:r>
      <w:r>
        <w:rPr>
          <w:spacing w:val="-7"/>
          <w:sz w:val="18"/>
        </w:rPr>
        <w:t xml:space="preserve"> </w:t>
      </w:r>
      <w:r>
        <w:rPr>
          <w:sz w:val="18"/>
        </w:rPr>
        <w:t>Body</w:t>
      </w:r>
      <w:r>
        <w:rPr>
          <w:spacing w:val="-8"/>
          <w:sz w:val="18"/>
        </w:rPr>
        <w:t xml:space="preserve"> </w:t>
      </w:r>
      <w:r>
        <w:rPr>
          <w:sz w:val="18"/>
        </w:rPr>
        <w:t>Report,</w:t>
      </w:r>
      <w:r>
        <w:rPr>
          <w:spacing w:val="-7"/>
          <w:sz w:val="18"/>
        </w:rPr>
        <w:t xml:space="preserve"> </w:t>
      </w:r>
      <w:r>
        <w:rPr>
          <w:i/>
          <w:sz w:val="18"/>
        </w:rPr>
        <w:t>Russia</w:t>
      </w:r>
      <w:r>
        <w:rPr>
          <w:i/>
          <w:spacing w:val="-5"/>
          <w:sz w:val="18"/>
        </w:rPr>
        <w:t xml:space="preserve"> </w:t>
      </w:r>
      <w:r>
        <w:rPr>
          <w:i/>
          <w:sz w:val="18"/>
        </w:rPr>
        <w:t>—</w:t>
      </w:r>
      <w:r>
        <w:rPr>
          <w:i/>
          <w:spacing w:val="-7"/>
          <w:sz w:val="18"/>
        </w:rPr>
        <w:t xml:space="preserve"> </w:t>
      </w:r>
      <w:r>
        <w:rPr>
          <w:i/>
          <w:sz w:val="18"/>
        </w:rPr>
        <w:t>Commercial</w:t>
      </w:r>
      <w:r>
        <w:rPr>
          <w:i/>
          <w:spacing w:val="-7"/>
          <w:sz w:val="18"/>
        </w:rPr>
        <w:t xml:space="preserve"> </w:t>
      </w:r>
      <w:r>
        <w:rPr>
          <w:i/>
          <w:sz w:val="18"/>
        </w:rPr>
        <w:t>Vehicles</w:t>
      </w:r>
      <w:r>
        <w:rPr>
          <w:sz w:val="18"/>
        </w:rPr>
        <w:t>,</w:t>
      </w:r>
      <w:r>
        <w:rPr>
          <w:spacing w:val="-7"/>
          <w:sz w:val="18"/>
        </w:rPr>
        <w:t xml:space="preserve"> </w:t>
      </w:r>
      <w:r>
        <w:rPr>
          <w:sz w:val="18"/>
        </w:rPr>
        <w:t>para.</w:t>
      </w:r>
      <w:r>
        <w:rPr>
          <w:spacing w:val="-7"/>
          <w:sz w:val="18"/>
        </w:rPr>
        <w:t xml:space="preserve"> </w:t>
      </w:r>
      <w:r>
        <w:rPr>
          <w:spacing w:val="-4"/>
          <w:sz w:val="18"/>
        </w:rPr>
        <w:t>5.13.</w:t>
      </w:r>
    </w:p>
    <w:p w14:paraId="51DE8CAF" w14:textId="77777777" w:rsidR="0010369C" w:rsidRDefault="008E43AE">
      <w:pPr>
        <w:spacing w:before="1"/>
        <w:ind w:left="238"/>
        <w:rPr>
          <w:sz w:val="18"/>
        </w:rPr>
      </w:pPr>
      <w:r>
        <w:rPr>
          <w:sz w:val="18"/>
          <w:vertAlign w:val="superscript"/>
        </w:rPr>
        <w:t>575</w:t>
      </w:r>
      <w:r>
        <w:rPr>
          <w:spacing w:val="-6"/>
          <w:sz w:val="18"/>
        </w:rPr>
        <w:t xml:space="preserve"> </w:t>
      </w:r>
      <w:r>
        <w:rPr>
          <w:sz w:val="18"/>
        </w:rPr>
        <w:t>Appellate</w:t>
      </w:r>
      <w:r>
        <w:rPr>
          <w:spacing w:val="-6"/>
          <w:sz w:val="18"/>
        </w:rPr>
        <w:t xml:space="preserve"> </w:t>
      </w:r>
      <w:r>
        <w:rPr>
          <w:sz w:val="18"/>
        </w:rPr>
        <w:t>Body</w:t>
      </w:r>
      <w:r>
        <w:rPr>
          <w:spacing w:val="-7"/>
          <w:sz w:val="18"/>
        </w:rPr>
        <w:t xml:space="preserve"> </w:t>
      </w:r>
      <w:r>
        <w:rPr>
          <w:sz w:val="18"/>
        </w:rPr>
        <w:t>Report,</w:t>
      </w:r>
      <w:r>
        <w:rPr>
          <w:spacing w:val="-6"/>
          <w:sz w:val="18"/>
        </w:rPr>
        <w:t xml:space="preserve"> </w:t>
      </w:r>
      <w:r>
        <w:rPr>
          <w:i/>
          <w:sz w:val="18"/>
        </w:rPr>
        <w:t>EC</w:t>
      </w:r>
      <w:r>
        <w:rPr>
          <w:i/>
          <w:spacing w:val="-7"/>
          <w:sz w:val="18"/>
        </w:rPr>
        <w:t xml:space="preserve"> </w:t>
      </w:r>
      <w:r>
        <w:rPr>
          <w:i/>
          <w:sz w:val="18"/>
        </w:rPr>
        <w:t>–</w:t>
      </w:r>
      <w:r>
        <w:rPr>
          <w:i/>
          <w:spacing w:val="-6"/>
          <w:sz w:val="18"/>
        </w:rPr>
        <w:t xml:space="preserve"> </w:t>
      </w:r>
      <w:r>
        <w:rPr>
          <w:i/>
          <w:sz w:val="18"/>
        </w:rPr>
        <w:t>Fasteners</w:t>
      </w:r>
      <w:r>
        <w:rPr>
          <w:i/>
          <w:spacing w:val="-5"/>
          <w:sz w:val="18"/>
        </w:rPr>
        <w:t xml:space="preserve"> </w:t>
      </w:r>
      <w:r>
        <w:rPr>
          <w:i/>
          <w:sz w:val="18"/>
        </w:rPr>
        <w:t>(China),</w:t>
      </w:r>
      <w:r>
        <w:rPr>
          <w:i/>
          <w:spacing w:val="-7"/>
          <w:sz w:val="18"/>
        </w:rPr>
        <w:t xml:space="preserve"> </w:t>
      </w:r>
      <w:r>
        <w:rPr>
          <w:sz w:val="18"/>
        </w:rPr>
        <w:t>para.</w:t>
      </w:r>
      <w:r>
        <w:rPr>
          <w:spacing w:val="-6"/>
          <w:sz w:val="18"/>
        </w:rPr>
        <w:t xml:space="preserve"> </w:t>
      </w:r>
      <w:r>
        <w:rPr>
          <w:spacing w:val="-4"/>
          <w:sz w:val="18"/>
        </w:rPr>
        <w:t>412.</w:t>
      </w:r>
    </w:p>
    <w:p w14:paraId="51DE8CB0" w14:textId="77777777" w:rsidR="0010369C" w:rsidRDefault="008E43AE">
      <w:pPr>
        <w:ind w:left="238" w:right="4980"/>
        <w:rPr>
          <w:sz w:val="18"/>
        </w:rPr>
      </w:pPr>
      <w:r>
        <w:rPr>
          <w:sz w:val="18"/>
          <w:vertAlign w:val="superscript"/>
        </w:rPr>
        <w:t>576</w:t>
      </w:r>
      <w:r>
        <w:rPr>
          <w:sz w:val="18"/>
        </w:rPr>
        <w:t xml:space="preserve"> Anti‐Dumping Final Determination (Exhibit AUS‐2), p. 108.</w:t>
      </w:r>
      <w:r>
        <w:rPr>
          <w:spacing w:val="80"/>
          <w:sz w:val="18"/>
        </w:rPr>
        <w:t xml:space="preserve"> </w:t>
      </w:r>
      <w:r>
        <w:rPr>
          <w:sz w:val="18"/>
          <w:vertAlign w:val="superscript"/>
        </w:rPr>
        <w:t>577</w:t>
      </w:r>
      <w:r>
        <w:rPr>
          <w:spacing w:val="-3"/>
          <w:sz w:val="18"/>
        </w:rPr>
        <w:t xml:space="preserve"> </w:t>
      </w:r>
      <w:r>
        <w:rPr>
          <w:sz w:val="18"/>
        </w:rPr>
        <w:t>See</w:t>
      </w:r>
      <w:r>
        <w:rPr>
          <w:spacing w:val="-3"/>
          <w:sz w:val="18"/>
        </w:rPr>
        <w:t xml:space="preserve"> </w:t>
      </w:r>
      <w:r>
        <w:rPr>
          <w:sz w:val="18"/>
        </w:rPr>
        <w:t>Appellate</w:t>
      </w:r>
      <w:r>
        <w:rPr>
          <w:spacing w:val="-3"/>
          <w:sz w:val="18"/>
        </w:rPr>
        <w:t xml:space="preserve"> </w:t>
      </w:r>
      <w:r>
        <w:rPr>
          <w:sz w:val="18"/>
        </w:rPr>
        <w:t>Body</w:t>
      </w:r>
      <w:r>
        <w:rPr>
          <w:spacing w:val="-3"/>
          <w:sz w:val="18"/>
        </w:rPr>
        <w:t xml:space="preserve"> </w:t>
      </w:r>
      <w:r>
        <w:rPr>
          <w:sz w:val="18"/>
        </w:rPr>
        <w:t>Report</w:t>
      </w:r>
      <w:r>
        <w:rPr>
          <w:i/>
          <w:sz w:val="18"/>
        </w:rPr>
        <w:t>,</w:t>
      </w:r>
      <w:r>
        <w:rPr>
          <w:i/>
          <w:spacing w:val="-4"/>
          <w:sz w:val="18"/>
        </w:rPr>
        <w:t xml:space="preserve"> </w:t>
      </w:r>
      <w:r>
        <w:rPr>
          <w:i/>
          <w:sz w:val="18"/>
        </w:rPr>
        <w:t>EC</w:t>
      </w:r>
      <w:r>
        <w:rPr>
          <w:i/>
          <w:spacing w:val="-4"/>
          <w:sz w:val="18"/>
        </w:rPr>
        <w:t xml:space="preserve"> </w:t>
      </w:r>
      <w:r>
        <w:rPr>
          <w:i/>
          <w:sz w:val="18"/>
        </w:rPr>
        <w:t>–</w:t>
      </w:r>
      <w:r>
        <w:rPr>
          <w:i/>
          <w:spacing w:val="-2"/>
          <w:sz w:val="18"/>
        </w:rPr>
        <w:t xml:space="preserve"> </w:t>
      </w:r>
      <w:r>
        <w:rPr>
          <w:i/>
          <w:sz w:val="18"/>
        </w:rPr>
        <w:t>Fasteners</w:t>
      </w:r>
      <w:r>
        <w:rPr>
          <w:i/>
          <w:spacing w:val="-4"/>
          <w:sz w:val="18"/>
        </w:rPr>
        <w:t xml:space="preserve"> </w:t>
      </w:r>
      <w:r>
        <w:rPr>
          <w:i/>
          <w:sz w:val="18"/>
        </w:rPr>
        <w:t>(China)</w:t>
      </w:r>
      <w:r>
        <w:rPr>
          <w:sz w:val="18"/>
        </w:rPr>
        <w:t>,</w:t>
      </w:r>
      <w:r>
        <w:rPr>
          <w:spacing w:val="-4"/>
          <w:sz w:val="18"/>
        </w:rPr>
        <w:t xml:space="preserve"> </w:t>
      </w:r>
      <w:r>
        <w:rPr>
          <w:sz w:val="18"/>
        </w:rPr>
        <w:t>para.</w:t>
      </w:r>
      <w:r>
        <w:rPr>
          <w:spacing w:val="-3"/>
          <w:sz w:val="18"/>
        </w:rPr>
        <w:t xml:space="preserve"> </w:t>
      </w:r>
      <w:r>
        <w:rPr>
          <w:sz w:val="18"/>
        </w:rPr>
        <w:t xml:space="preserve">412. </w:t>
      </w:r>
      <w:r>
        <w:rPr>
          <w:sz w:val="18"/>
          <w:vertAlign w:val="superscript"/>
        </w:rPr>
        <w:t>578</w:t>
      </w:r>
      <w:r>
        <w:rPr>
          <w:sz w:val="18"/>
        </w:rPr>
        <w:t xml:space="preserve"> See below Section IV.D.2.</w:t>
      </w:r>
    </w:p>
    <w:p w14:paraId="51DE8CB1" w14:textId="77777777" w:rsidR="0010369C" w:rsidRDefault="0010369C">
      <w:pPr>
        <w:rPr>
          <w:sz w:val="18"/>
        </w:rPr>
        <w:sectPr w:rsidR="0010369C">
          <w:pgSz w:w="11910" w:h="16840"/>
          <w:pgMar w:top="880" w:right="800" w:bottom="980" w:left="1180" w:header="569" w:footer="788" w:gutter="0"/>
          <w:cols w:space="720"/>
        </w:sectPr>
      </w:pPr>
    </w:p>
    <w:p w14:paraId="51DE8CB2" w14:textId="77777777" w:rsidR="0010369C" w:rsidRDefault="008E43AE">
      <w:pPr>
        <w:tabs>
          <w:tab w:val="left" w:pos="6426"/>
        </w:tabs>
        <w:ind w:left="238"/>
        <w:rPr>
          <w:sz w:val="20"/>
        </w:rPr>
      </w:pPr>
      <w:r>
        <w:rPr>
          <w:i/>
          <w:sz w:val="20"/>
        </w:rPr>
        <w:lastRenderedPageBreak/>
        <w:t>China</w:t>
      </w:r>
      <w:r>
        <w:rPr>
          <w:i/>
          <w:spacing w:val="-5"/>
          <w:sz w:val="20"/>
        </w:rPr>
        <w:t xml:space="preserve"> </w:t>
      </w:r>
      <w:r>
        <w:rPr>
          <w:i/>
          <w:sz w:val="20"/>
        </w:rPr>
        <w:t>–</w:t>
      </w:r>
      <w:r>
        <w:rPr>
          <w:i/>
          <w:spacing w:val="-5"/>
          <w:sz w:val="20"/>
        </w:rPr>
        <w:t xml:space="preserve"> </w:t>
      </w:r>
      <w:r>
        <w:rPr>
          <w:i/>
          <w:sz w:val="20"/>
        </w:rPr>
        <w:t>Anti‐Dumping</w:t>
      </w:r>
      <w:r>
        <w:rPr>
          <w:i/>
          <w:spacing w:val="-4"/>
          <w:sz w:val="20"/>
        </w:rPr>
        <w:t xml:space="preserve"> </w:t>
      </w:r>
      <w:r>
        <w:rPr>
          <w:i/>
          <w:sz w:val="20"/>
        </w:rPr>
        <w:t>and</w:t>
      </w:r>
      <w:r>
        <w:rPr>
          <w:i/>
          <w:spacing w:val="-5"/>
          <w:sz w:val="20"/>
        </w:rPr>
        <w:t xml:space="preserve"> </w:t>
      </w:r>
      <w:r>
        <w:rPr>
          <w:i/>
          <w:sz w:val="20"/>
        </w:rPr>
        <w:t>Countervailing</w:t>
      </w:r>
      <w:r>
        <w:rPr>
          <w:i/>
          <w:spacing w:val="-5"/>
          <w:sz w:val="20"/>
        </w:rPr>
        <w:t xml:space="preserve"> </w:t>
      </w:r>
      <w:r>
        <w:rPr>
          <w:i/>
          <w:sz w:val="20"/>
        </w:rPr>
        <w:t>Duty</w:t>
      </w:r>
      <w:r>
        <w:rPr>
          <w:i/>
          <w:spacing w:val="-4"/>
          <w:sz w:val="20"/>
        </w:rPr>
        <w:t xml:space="preserve"> </w:t>
      </w:r>
      <w:r>
        <w:rPr>
          <w:i/>
          <w:spacing w:val="-2"/>
          <w:sz w:val="20"/>
        </w:rPr>
        <w:t>Measures</w:t>
      </w:r>
      <w:r>
        <w:rPr>
          <w:i/>
          <w:sz w:val="20"/>
        </w:rPr>
        <w:tab/>
      </w:r>
      <w:r>
        <w:rPr>
          <w:sz w:val="20"/>
        </w:rPr>
        <w:t>Australia's</w:t>
      </w:r>
      <w:r>
        <w:rPr>
          <w:spacing w:val="-7"/>
          <w:sz w:val="20"/>
        </w:rPr>
        <w:t xml:space="preserve"> </w:t>
      </w:r>
      <w:r>
        <w:rPr>
          <w:sz w:val="20"/>
        </w:rPr>
        <w:t>First</w:t>
      </w:r>
      <w:r>
        <w:rPr>
          <w:spacing w:val="-2"/>
          <w:sz w:val="20"/>
        </w:rPr>
        <w:t xml:space="preserve"> </w:t>
      </w:r>
      <w:r>
        <w:rPr>
          <w:sz w:val="20"/>
        </w:rPr>
        <w:t>Written</w:t>
      </w:r>
      <w:r>
        <w:rPr>
          <w:spacing w:val="-2"/>
          <w:sz w:val="20"/>
        </w:rPr>
        <w:t xml:space="preserve"> Submission</w:t>
      </w:r>
    </w:p>
    <w:p w14:paraId="51DE8CB3" w14:textId="77777777" w:rsidR="0010369C" w:rsidRDefault="008E43AE">
      <w:pPr>
        <w:tabs>
          <w:tab w:val="left" w:pos="8228"/>
        </w:tabs>
        <w:spacing w:before="1"/>
        <w:ind w:left="239"/>
        <w:rPr>
          <w:sz w:val="20"/>
        </w:rPr>
      </w:pPr>
      <w:r>
        <w:rPr>
          <w:i/>
          <w:sz w:val="20"/>
        </w:rPr>
        <w:t>on</w:t>
      </w:r>
      <w:r>
        <w:rPr>
          <w:i/>
          <w:spacing w:val="-1"/>
          <w:sz w:val="20"/>
        </w:rPr>
        <w:t xml:space="preserve"> </w:t>
      </w:r>
      <w:r>
        <w:rPr>
          <w:i/>
          <w:sz w:val="20"/>
        </w:rPr>
        <w:t>Wine</w:t>
      </w:r>
      <w:r>
        <w:rPr>
          <w:i/>
          <w:spacing w:val="-1"/>
          <w:sz w:val="20"/>
        </w:rPr>
        <w:t xml:space="preserve"> </w:t>
      </w:r>
      <w:r>
        <w:rPr>
          <w:i/>
          <w:sz w:val="20"/>
        </w:rPr>
        <w:t>from</w:t>
      </w:r>
      <w:r>
        <w:rPr>
          <w:i/>
          <w:spacing w:val="-3"/>
          <w:sz w:val="20"/>
        </w:rPr>
        <w:t xml:space="preserve"> </w:t>
      </w:r>
      <w:r>
        <w:rPr>
          <w:i/>
          <w:sz w:val="20"/>
        </w:rPr>
        <w:t>Australia</w:t>
      </w:r>
      <w:r>
        <w:rPr>
          <w:i/>
          <w:spacing w:val="-1"/>
          <w:sz w:val="20"/>
        </w:rPr>
        <w:t xml:space="preserve"> </w:t>
      </w:r>
      <w:r>
        <w:rPr>
          <w:spacing w:val="-2"/>
          <w:sz w:val="20"/>
        </w:rPr>
        <w:t>(DS602)</w:t>
      </w:r>
      <w:r>
        <w:rPr>
          <w:sz w:val="20"/>
        </w:rPr>
        <w:tab/>
        <w:t>29</w:t>
      </w:r>
      <w:r>
        <w:rPr>
          <w:spacing w:val="-1"/>
          <w:sz w:val="20"/>
        </w:rPr>
        <w:t xml:space="preserve"> </w:t>
      </w:r>
      <w:r>
        <w:rPr>
          <w:sz w:val="20"/>
        </w:rPr>
        <w:t>April</w:t>
      </w:r>
      <w:r>
        <w:rPr>
          <w:spacing w:val="-2"/>
          <w:sz w:val="20"/>
        </w:rPr>
        <w:t xml:space="preserve"> </w:t>
      </w:r>
      <w:r>
        <w:rPr>
          <w:spacing w:val="-4"/>
          <w:sz w:val="20"/>
        </w:rPr>
        <w:t>2022</w:t>
      </w:r>
    </w:p>
    <w:p w14:paraId="51DE8CB4" w14:textId="77777777" w:rsidR="0010369C" w:rsidRDefault="008E43AE">
      <w:pPr>
        <w:pStyle w:val="Heading4"/>
        <w:numPr>
          <w:ilvl w:val="1"/>
          <w:numId w:val="64"/>
        </w:numPr>
        <w:tabs>
          <w:tab w:val="left" w:pos="2649"/>
          <w:tab w:val="left" w:pos="2650"/>
        </w:tabs>
        <w:spacing w:before="35"/>
      </w:pPr>
      <w:r>
        <w:t>MOFCOM's</w:t>
      </w:r>
      <w:r>
        <w:rPr>
          <w:spacing w:val="-11"/>
        </w:rPr>
        <w:t xml:space="preserve"> </w:t>
      </w:r>
      <w:r>
        <w:t>process</w:t>
      </w:r>
      <w:r>
        <w:rPr>
          <w:spacing w:val="-9"/>
        </w:rPr>
        <w:t xml:space="preserve"> </w:t>
      </w:r>
      <w:r>
        <w:t>for</w:t>
      </w:r>
      <w:r>
        <w:rPr>
          <w:spacing w:val="-11"/>
        </w:rPr>
        <w:t xml:space="preserve"> </w:t>
      </w:r>
      <w:r>
        <w:t>defining</w:t>
      </w:r>
      <w:r>
        <w:rPr>
          <w:spacing w:val="-8"/>
        </w:rPr>
        <w:t xml:space="preserve"> </w:t>
      </w:r>
      <w:r>
        <w:t>the</w:t>
      </w:r>
      <w:r>
        <w:rPr>
          <w:spacing w:val="-8"/>
        </w:rPr>
        <w:t xml:space="preserve"> </w:t>
      </w:r>
      <w:r>
        <w:t>domestic</w:t>
      </w:r>
      <w:r>
        <w:rPr>
          <w:spacing w:val="-10"/>
        </w:rPr>
        <w:t xml:space="preserve"> </w:t>
      </w:r>
      <w:r>
        <w:rPr>
          <w:spacing w:val="-2"/>
        </w:rPr>
        <w:t>industry</w:t>
      </w:r>
    </w:p>
    <w:p w14:paraId="51DE8CB5" w14:textId="77777777" w:rsidR="0010369C" w:rsidRDefault="0010369C">
      <w:pPr>
        <w:pStyle w:val="BodyText"/>
        <w:spacing w:before="9"/>
        <w:rPr>
          <w:b/>
          <w:sz w:val="20"/>
        </w:rPr>
      </w:pPr>
    </w:p>
    <w:p w14:paraId="51DE8CB6" w14:textId="77777777" w:rsidR="0010369C" w:rsidRDefault="008E43AE">
      <w:pPr>
        <w:pStyle w:val="BodyText"/>
        <w:spacing w:before="52" w:line="360" w:lineRule="auto"/>
        <w:ind w:left="237" w:right="614" w:firstLine="851"/>
        <w:jc w:val="both"/>
      </w:pPr>
      <w:r>
        <w:rPr>
          <w:noProof/>
        </w:rPr>
        <w:drawing>
          <wp:anchor distT="0" distB="0" distL="0" distR="0" simplePos="0" relativeHeight="251167232" behindDoc="1" locked="0" layoutInCell="1" allowOverlap="1" wp14:anchorId="51DEA412" wp14:editId="51DEA413">
            <wp:simplePos x="0" y="0"/>
            <wp:positionH relativeFrom="page">
              <wp:posOffset>902208</wp:posOffset>
            </wp:positionH>
            <wp:positionV relativeFrom="paragraph">
              <wp:posOffset>81357</wp:posOffset>
            </wp:positionV>
            <wp:extent cx="262127" cy="103631"/>
            <wp:effectExtent l="0" t="0" r="0" b="0"/>
            <wp:wrapNone/>
            <wp:docPr id="1057" name="image5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 name="image540.png"/>
                    <pic:cNvPicPr/>
                  </pic:nvPicPr>
                  <pic:blipFill>
                    <a:blip r:embed="rId709" cstate="print"/>
                    <a:stretch>
                      <a:fillRect/>
                    </a:stretch>
                  </pic:blipFill>
                  <pic:spPr>
                    <a:xfrm>
                      <a:off x="0" y="0"/>
                      <a:ext cx="262127" cy="103631"/>
                    </a:xfrm>
                    <a:prstGeom prst="rect">
                      <a:avLst/>
                    </a:prstGeom>
                  </pic:spPr>
                </pic:pic>
              </a:graphicData>
            </a:graphic>
          </wp:anchor>
        </w:drawing>
      </w:r>
      <w:r>
        <w:t>In the Final Determination, MOFCOM defines "domestic industry" as the "21 producers who submitted the response to the Questionnaire on Domestic Producers".</w:t>
      </w:r>
      <w:r>
        <w:rPr>
          <w:vertAlign w:val="superscript"/>
        </w:rPr>
        <w:t>579</w:t>
      </w:r>
      <w:r>
        <w:t xml:space="preserve"> MOFCOM determined that these domestic producers represented 66.95%, 68.27%, 60.75%, 62.76%, and 6</w:t>
      </w:r>
      <w:r>
        <w:t xml:space="preserve">0.72% of the output of the domestic like products between 2015 and 2019 </w:t>
      </w:r>
      <w:r>
        <w:rPr>
          <w:spacing w:val="-2"/>
        </w:rPr>
        <w:t>respectively.</w:t>
      </w:r>
      <w:r>
        <w:rPr>
          <w:spacing w:val="-2"/>
          <w:vertAlign w:val="superscript"/>
        </w:rPr>
        <w:t>580</w:t>
      </w:r>
    </w:p>
    <w:p w14:paraId="51DE8CB7" w14:textId="77777777" w:rsidR="0010369C" w:rsidRDefault="0010369C">
      <w:pPr>
        <w:pStyle w:val="BodyText"/>
        <w:spacing w:before="11"/>
        <w:rPr>
          <w:sz w:val="8"/>
        </w:rPr>
      </w:pPr>
    </w:p>
    <w:p w14:paraId="51DE8CB8" w14:textId="77777777" w:rsidR="0010369C" w:rsidRDefault="008E43AE">
      <w:pPr>
        <w:pStyle w:val="BodyText"/>
        <w:spacing w:before="52" w:line="360" w:lineRule="auto"/>
        <w:ind w:left="238" w:right="615" w:firstLine="850"/>
        <w:jc w:val="both"/>
      </w:pPr>
      <w:r>
        <w:rPr>
          <w:noProof/>
        </w:rPr>
        <w:drawing>
          <wp:anchor distT="0" distB="0" distL="0" distR="0" simplePos="0" relativeHeight="251168256" behindDoc="1" locked="0" layoutInCell="1" allowOverlap="1" wp14:anchorId="51DEA414" wp14:editId="51DEA415">
            <wp:simplePos x="0" y="0"/>
            <wp:positionH relativeFrom="page">
              <wp:posOffset>902208</wp:posOffset>
            </wp:positionH>
            <wp:positionV relativeFrom="paragraph">
              <wp:posOffset>80595</wp:posOffset>
            </wp:positionV>
            <wp:extent cx="262127" cy="103631"/>
            <wp:effectExtent l="0" t="0" r="0" b="0"/>
            <wp:wrapNone/>
            <wp:docPr id="1059" name="image5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 name="image541.png"/>
                    <pic:cNvPicPr/>
                  </pic:nvPicPr>
                  <pic:blipFill>
                    <a:blip r:embed="rId710" cstate="print"/>
                    <a:stretch>
                      <a:fillRect/>
                    </a:stretch>
                  </pic:blipFill>
                  <pic:spPr>
                    <a:xfrm>
                      <a:off x="0" y="0"/>
                      <a:ext cx="262127" cy="103631"/>
                    </a:xfrm>
                    <a:prstGeom prst="rect">
                      <a:avLst/>
                    </a:prstGeom>
                  </pic:spPr>
                </pic:pic>
              </a:graphicData>
            </a:graphic>
          </wp:anchor>
        </w:drawing>
      </w:r>
      <w:r>
        <w:t>MOFCOM's process for identifying and defining the "domestic industry" can be summarised as follows:</w:t>
      </w:r>
    </w:p>
    <w:p w14:paraId="51DE8CB9" w14:textId="77777777" w:rsidR="0010369C" w:rsidRDefault="008E43AE">
      <w:pPr>
        <w:pStyle w:val="ListParagraph"/>
        <w:numPr>
          <w:ilvl w:val="0"/>
          <w:numId w:val="63"/>
        </w:numPr>
        <w:tabs>
          <w:tab w:val="left" w:pos="1939"/>
          <w:tab w:val="left" w:pos="1940"/>
        </w:tabs>
        <w:spacing w:before="160" w:line="360" w:lineRule="auto"/>
        <w:ind w:right="612"/>
        <w:rPr>
          <w:sz w:val="24"/>
        </w:rPr>
      </w:pPr>
      <w:r>
        <w:rPr>
          <w:sz w:val="24"/>
        </w:rPr>
        <w:t>On 10 October 2020, MOFCOM posted its questionnaires on its websi</w:t>
      </w:r>
      <w:r>
        <w:rPr>
          <w:sz w:val="24"/>
        </w:rPr>
        <w:t>te for stakeholders to download, including an Domestic Producer Questionnaire.</w:t>
      </w:r>
      <w:r>
        <w:rPr>
          <w:sz w:val="24"/>
          <w:vertAlign w:val="superscript"/>
        </w:rPr>
        <w:t>581</w:t>
      </w:r>
      <w:r>
        <w:rPr>
          <w:sz w:val="24"/>
        </w:rPr>
        <w:t xml:space="preserve"> The Final Determination provides no detail as to (i) the names of all domestic producers identified by MOFCOM, (ii) how many domestic producers were identified by MOFCOM, oth</w:t>
      </w:r>
      <w:r>
        <w:rPr>
          <w:sz w:val="24"/>
        </w:rPr>
        <w:t>er than an indication that CADA, the Applicant, purportedly represents 122 domestic producers and</w:t>
      </w:r>
      <w:r>
        <w:rPr>
          <w:spacing w:val="-3"/>
          <w:sz w:val="24"/>
        </w:rPr>
        <w:t xml:space="preserve"> </w:t>
      </w:r>
      <w:r>
        <w:rPr>
          <w:sz w:val="24"/>
        </w:rPr>
        <w:t>that</w:t>
      </w:r>
      <w:r>
        <w:rPr>
          <w:spacing w:val="-3"/>
          <w:sz w:val="24"/>
        </w:rPr>
        <w:t xml:space="preserve"> </w:t>
      </w:r>
      <w:r>
        <w:rPr>
          <w:sz w:val="24"/>
        </w:rPr>
        <w:t>there</w:t>
      </w:r>
      <w:r>
        <w:rPr>
          <w:spacing w:val="-2"/>
          <w:sz w:val="24"/>
        </w:rPr>
        <w:t xml:space="preserve"> </w:t>
      </w:r>
      <w:r>
        <w:rPr>
          <w:sz w:val="24"/>
        </w:rPr>
        <w:t>are</w:t>
      </w:r>
      <w:r>
        <w:rPr>
          <w:spacing w:val="-2"/>
          <w:sz w:val="24"/>
        </w:rPr>
        <w:t xml:space="preserve"> </w:t>
      </w:r>
      <w:r>
        <w:rPr>
          <w:sz w:val="24"/>
        </w:rPr>
        <w:t>"several</w:t>
      </w:r>
      <w:r>
        <w:rPr>
          <w:spacing w:val="-3"/>
          <w:sz w:val="24"/>
        </w:rPr>
        <w:t xml:space="preserve"> </w:t>
      </w:r>
      <w:r>
        <w:rPr>
          <w:sz w:val="24"/>
        </w:rPr>
        <w:t>hundreds"</w:t>
      </w:r>
      <w:r>
        <w:rPr>
          <w:spacing w:val="-2"/>
          <w:sz w:val="24"/>
        </w:rPr>
        <w:t xml:space="preserve"> </w:t>
      </w:r>
      <w:r>
        <w:rPr>
          <w:sz w:val="24"/>
        </w:rPr>
        <w:t>more;</w:t>
      </w:r>
      <w:r>
        <w:rPr>
          <w:spacing w:val="-2"/>
          <w:sz w:val="24"/>
        </w:rPr>
        <w:t xml:space="preserve"> </w:t>
      </w:r>
      <w:r>
        <w:rPr>
          <w:sz w:val="24"/>
        </w:rPr>
        <w:t>and</w:t>
      </w:r>
      <w:r>
        <w:rPr>
          <w:spacing w:val="-3"/>
          <w:sz w:val="24"/>
        </w:rPr>
        <w:t xml:space="preserve"> </w:t>
      </w:r>
      <w:r>
        <w:rPr>
          <w:sz w:val="24"/>
        </w:rPr>
        <w:t>(iii)</w:t>
      </w:r>
      <w:r>
        <w:rPr>
          <w:spacing w:val="-2"/>
          <w:sz w:val="24"/>
        </w:rPr>
        <w:t xml:space="preserve"> </w:t>
      </w:r>
      <w:r>
        <w:rPr>
          <w:sz w:val="24"/>
        </w:rPr>
        <w:t>whether</w:t>
      </w:r>
      <w:r>
        <w:rPr>
          <w:spacing w:val="-2"/>
          <w:sz w:val="24"/>
        </w:rPr>
        <w:t xml:space="preserve"> </w:t>
      </w:r>
      <w:r>
        <w:rPr>
          <w:sz w:val="24"/>
        </w:rPr>
        <w:t>the</w:t>
      </w:r>
      <w:r>
        <w:rPr>
          <w:spacing w:val="-2"/>
          <w:sz w:val="24"/>
        </w:rPr>
        <w:t xml:space="preserve"> </w:t>
      </w:r>
      <w:r>
        <w:rPr>
          <w:sz w:val="24"/>
        </w:rPr>
        <w:t>Domestic Producer Questionnaire was actually distributed, or whether notice was provided, to tho</w:t>
      </w:r>
      <w:r>
        <w:rPr>
          <w:sz w:val="24"/>
        </w:rPr>
        <w:t>se domestic producers identified by MOFCOM. MOFCOM received 21 questionnaire responses from domestic producers. The record shows</w:t>
      </w:r>
      <w:r>
        <w:rPr>
          <w:spacing w:val="-9"/>
          <w:sz w:val="24"/>
        </w:rPr>
        <w:t xml:space="preserve"> </w:t>
      </w:r>
      <w:r>
        <w:rPr>
          <w:sz w:val="24"/>
        </w:rPr>
        <w:t>that</w:t>
      </w:r>
      <w:r>
        <w:rPr>
          <w:spacing w:val="-10"/>
          <w:sz w:val="24"/>
        </w:rPr>
        <w:t xml:space="preserve"> </w:t>
      </w:r>
      <w:r>
        <w:rPr>
          <w:sz w:val="24"/>
        </w:rPr>
        <w:t>MOFCOM</w:t>
      </w:r>
      <w:r>
        <w:rPr>
          <w:spacing w:val="-9"/>
          <w:sz w:val="24"/>
        </w:rPr>
        <w:t xml:space="preserve"> </w:t>
      </w:r>
      <w:r>
        <w:rPr>
          <w:sz w:val="24"/>
        </w:rPr>
        <w:t>sought</w:t>
      </w:r>
      <w:r>
        <w:rPr>
          <w:spacing w:val="-9"/>
          <w:sz w:val="24"/>
        </w:rPr>
        <w:t xml:space="preserve"> </w:t>
      </w:r>
      <w:r>
        <w:rPr>
          <w:sz w:val="24"/>
        </w:rPr>
        <w:t>to</w:t>
      </w:r>
      <w:r>
        <w:rPr>
          <w:spacing w:val="-9"/>
          <w:sz w:val="24"/>
        </w:rPr>
        <w:t xml:space="preserve"> </w:t>
      </w:r>
      <w:r>
        <w:rPr>
          <w:sz w:val="24"/>
        </w:rPr>
        <w:t>verify</w:t>
      </w:r>
      <w:r>
        <w:rPr>
          <w:spacing w:val="-9"/>
          <w:sz w:val="24"/>
        </w:rPr>
        <w:t xml:space="preserve"> </w:t>
      </w:r>
      <w:r>
        <w:rPr>
          <w:sz w:val="24"/>
        </w:rPr>
        <w:t>the</w:t>
      </w:r>
      <w:r>
        <w:rPr>
          <w:spacing w:val="-9"/>
          <w:sz w:val="24"/>
        </w:rPr>
        <w:t xml:space="preserve"> </w:t>
      </w:r>
      <w:r>
        <w:rPr>
          <w:sz w:val="24"/>
        </w:rPr>
        <w:t>accuracy</w:t>
      </w:r>
      <w:r>
        <w:rPr>
          <w:spacing w:val="-10"/>
          <w:sz w:val="24"/>
        </w:rPr>
        <w:t xml:space="preserve"> </w:t>
      </w:r>
      <w:r>
        <w:rPr>
          <w:sz w:val="24"/>
        </w:rPr>
        <w:t>of</w:t>
      </w:r>
      <w:r>
        <w:rPr>
          <w:spacing w:val="-9"/>
          <w:sz w:val="24"/>
        </w:rPr>
        <w:t xml:space="preserve"> </w:t>
      </w:r>
      <w:r>
        <w:rPr>
          <w:sz w:val="24"/>
        </w:rPr>
        <w:t>the</w:t>
      </w:r>
      <w:r>
        <w:rPr>
          <w:spacing w:val="-9"/>
          <w:sz w:val="24"/>
        </w:rPr>
        <w:t xml:space="preserve"> </w:t>
      </w:r>
      <w:r>
        <w:rPr>
          <w:sz w:val="24"/>
        </w:rPr>
        <w:t>responses</w:t>
      </w:r>
      <w:r>
        <w:rPr>
          <w:spacing w:val="-9"/>
          <w:sz w:val="24"/>
        </w:rPr>
        <w:t xml:space="preserve"> </w:t>
      </w:r>
      <w:r>
        <w:rPr>
          <w:sz w:val="24"/>
        </w:rPr>
        <w:t>given</w:t>
      </w:r>
      <w:r>
        <w:rPr>
          <w:spacing w:val="-10"/>
          <w:sz w:val="24"/>
        </w:rPr>
        <w:t xml:space="preserve"> </w:t>
      </w:r>
      <w:r>
        <w:rPr>
          <w:sz w:val="24"/>
        </w:rPr>
        <w:t>in only 2 of the 21 questionnaire responses it received.</w:t>
      </w:r>
      <w:r>
        <w:rPr>
          <w:sz w:val="24"/>
          <w:vertAlign w:val="superscript"/>
        </w:rPr>
        <w:t>582</w:t>
      </w:r>
    </w:p>
    <w:p w14:paraId="51DE8CBA" w14:textId="77777777" w:rsidR="0010369C" w:rsidRDefault="008E43AE">
      <w:pPr>
        <w:pStyle w:val="ListParagraph"/>
        <w:numPr>
          <w:ilvl w:val="0"/>
          <w:numId w:val="63"/>
        </w:numPr>
        <w:tabs>
          <w:tab w:val="left" w:pos="1939"/>
          <w:tab w:val="left" w:pos="1941"/>
        </w:tabs>
        <w:spacing w:line="357" w:lineRule="auto"/>
        <w:ind w:right="613" w:hanging="850"/>
        <w:rPr>
          <w:sz w:val="24"/>
        </w:rPr>
      </w:pPr>
      <w:r>
        <w:rPr>
          <w:sz w:val="24"/>
        </w:rPr>
        <w:t>When MOFCOM sought to verify the statistics of the overall output of the Chinese</w:t>
      </w:r>
      <w:r>
        <w:rPr>
          <w:spacing w:val="-14"/>
          <w:sz w:val="24"/>
        </w:rPr>
        <w:t xml:space="preserve"> </w:t>
      </w:r>
      <w:r>
        <w:rPr>
          <w:sz w:val="24"/>
        </w:rPr>
        <w:t>wine</w:t>
      </w:r>
      <w:r>
        <w:rPr>
          <w:spacing w:val="-14"/>
          <w:sz w:val="24"/>
        </w:rPr>
        <w:t xml:space="preserve"> </w:t>
      </w:r>
      <w:r>
        <w:rPr>
          <w:sz w:val="24"/>
        </w:rPr>
        <w:t>producers</w:t>
      </w:r>
      <w:r>
        <w:rPr>
          <w:spacing w:val="-13"/>
          <w:sz w:val="24"/>
        </w:rPr>
        <w:t xml:space="preserve"> </w:t>
      </w:r>
      <w:r>
        <w:rPr>
          <w:sz w:val="24"/>
        </w:rPr>
        <w:t>in</w:t>
      </w:r>
      <w:r>
        <w:rPr>
          <w:spacing w:val="-14"/>
          <w:sz w:val="24"/>
        </w:rPr>
        <w:t xml:space="preserve"> </w:t>
      </w:r>
      <w:r>
        <w:rPr>
          <w:sz w:val="24"/>
        </w:rPr>
        <w:t>CADA's</w:t>
      </w:r>
      <w:r>
        <w:rPr>
          <w:spacing w:val="-13"/>
          <w:sz w:val="24"/>
        </w:rPr>
        <w:t xml:space="preserve"> </w:t>
      </w:r>
      <w:r>
        <w:rPr>
          <w:sz w:val="24"/>
        </w:rPr>
        <w:t>written</w:t>
      </w:r>
      <w:r>
        <w:rPr>
          <w:spacing w:val="-14"/>
          <w:sz w:val="24"/>
        </w:rPr>
        <w:t xml:space="preserve"> </w:t>
      </w:r>
      <w:r>
        <w:rPr>
          <w:sz w:val="24"/>
        </w:rPr>
        <w:t>application</w:t>
      </w:r>
      <w:r>
        <w:rPr>
          <w:spacing w:val="-13"/>
          <w:sz w:val="24"/>
        </w:rPr>
        <w:t xml:space="preserve"> </w:t>
      </w:r>
      <w:r>
        <w:rPr>
          <w:sz w:val="24"/>
        </w:rPr>
        <w:t>(i.e.</w:t>
      </w:r>
      <w:r>
        <w:rPr>
          <w:spacing w:val="-14"/>
          <w:sz w:val="24"/>
        </w:rPr>
        <w:t xml:space="preserve"> </w:t>
      </w:r>
      <w:r>
        <w:rPr>
          <w:sz w:val="24"/>
        </w:rPr>
        <w:t>the</w:t>
      </w:r>
      <w:r>
        <w:rPr>
          <w:spacing w:val="-14"/>
          <w:sz w:val="24"/>
        </w:rPr>
        <w:t xml:space="preserve"> </w:t>
      </w:r>
      <w:r>
        <w:rPr>
          <w:sz w:val="24"/>
        </w:rPr>
        <w:t>output</w:t>
      </w:r>
      <w:r>
        <w:rPr>
          <w:spacing w:val="-13"/>
          <w:sz w:val="24"/>
        </w:rPr>
        <w:t xml:space="preserve"> </w:t>
      </w:r>
      <w:r>
        <w:rPr>
          <w:sz w:val="24"/>
        </w:rPr>
        <w:t>figures that MOFCOM had relied upon to initiate the investigation), it found that those</w:t>
      </w:r>
      <w:r>
        <w:rPr>
          <w:spacing w:val="-7"/>
          <w:sz w:val="24"/>
        </w:rPr>
        <w:t xml:space="preserve"> </w:t>
      </w:r>
      <w:r>
        <w:rPr>
          <w:sz w:val="24"/>
        </w:rPr>
        <w:t>statistics</w:t>
      </w:r>
      <w:r>
        <w:rPr>
          <w:spacing w:val="-8"/>
          <w:sz w:val="24"/>
        </w:rPr>
        <w:t xml:space="preserve"> </w:t>
      </w:r>
      <w:r>
        <w:rPr>
          <w:sz w:val="24"/>
        </w:rPr>
        <w:t>were</w:t>
      </w:r>
      <w:r>
        <w:rPr>
          <w:spacing w:val="-6"/>
          <w:sz w:val="24"/>
        </w:rPr>
        <w:t xml:space="preserve"> </w:t>
      </w:r>
      <w:r>
        <w:rPr>
          <w:sz w:val="24"/>
        </w:rPr>
        <w:t>unreliabl</w:t>
      </w:r>
      <w:r>
        <w:rPr>
          <w:sz w:val="24"/>
        </w:rPr>
        <w:t>e</w:t>
      </w:r>
      <w:r>
        <w:rPr>
          <w:spacing w:val="-7"/>
          <w:sz w:val="24"/>
        </w:rPr>
        <w:t xml:space="preserve"> </w:t>
      </w:r>
      <w:r>
        <w:rPr>
          <w:sz w:val="24"/>
        </w:rPr>
        <w:t>as</w:t>
      </w:r>
      <w:r>
        <w:rPr>
          <w:spacing w:val="-8"/>
          <w:sz w:val="24"/>
        </w:rPr>
        <w:t xml:space="preserve"> </w:t>
      </w:r>
      <w:r>
        <w:rPr>
          <w:sz w:val="24"/>
        </w:rPr>
        <w:t>they</w:t>
      </w:r>
      <w:r>
        <w:rPr>
          <w:spacing w:val="-7"/>
          <w:sz w:val="24"/>
        </w:rPr>
        <w:t xml:space="preserve"> </w:t>
      </w:r>
      <w:r>
        <w:rPr>
          <w:sz w:val="24"/>
        </w:rPr>
        <w:t>included</w:t>
      </w:r>
      <w:r>
        <w:rPr>
          <w:spacing w:val="-8"/>
          <w:sz w:val="24"/>
        </w:rPr>
        <w:t xml:space="preserve"> </w:t>
      </w:r>
      <w:r>
        <w:rPr>
          <w:sz w:val="24"/>
        </w:rPr>
        <w:t>a</w:t>
      </w:r>
      <w:r>
        <w:rPr>
          <w:spacing w:val="-7"/>
          <w:sz w:val="24"/>
        </w:rPr>
        <w:t xml:space="preserve"> </w:t>
      </w:r>
      <w:r>
        <w:rPr>
          <w:sz w:val="24"/>
        </w:rPr>
        <w:t>range</w:t>
      </w:r>
      <w:r>
        <w:rPr>
          <w:spacing w:val="-7"/>
          <w:sz w:val="24"/>
        </w:rPr>
        <w:t xml:space="preserve"> </w:t>
      </w:r>
      <w:r>
        <w:rPr>
          <w:sz w:val="24"/>
        </w:rPr>
        <w:t>of</w:t>
      </w:r>
      <w:r>
        <w:rPr>
          <w:spacing w:val="-7"/>
          <w:sz w:val="24"/>
        </w:rPr>
        <w:t xml:space="preserve"> </w:t>
      </w:r>
      <w:r>
        <w:rPr>
          <w:sz w:val="24"/>
        </w:rPr>
        <w:t>products</w:t>
      </w:r>
      <w:r>
        <w:rPr>
          <w:spacing w:val="-7"/>
          <w:sz w:val="24"/>
        </w:rPr>
        <w:t xml:space="preserve"> </w:t>
      </w:r>
      <w:r>
        <w:rPr>
          <w:sz w:val="24"/>
        </w:rPr>
        <w:t>outside the scope of the investigation "including liqueur wines, highly carbonated wines, gasified wine, flavoured wines, distilled wines and bulk wines".</w:t>
      </w:r>
      <w:r>
        <w:rPr>
          <w:sz w:val="24"/>
          <w:vertAlign w:val="superscript"/>
        </w:rPr>
        <w:t>583</w:t>
      </w:r>
    </w:p>
    <w:p w14:paraId="51DE8CBB" w14:textId="77777777" w:rsidR="0010369C" w:rsidRDefault="0010369C">
      <w:pPr>
        <w:pStyle w:val="BodyText"/>
        <w:rPr>
          <w:sz w:val="20"/>
        </w:rPr>
      </w:pPr>
    </w:p>
    <w:p w14:paraId="51DE8CBC" w14:textId="77777777" w:rsidR="0010369C" w:rsidRDefault="008E43AE">
      <w:pPr>
        <w:pStyle w:val="BodyText"/>
        <w:spacing w:before="11"/>
        <w:rPr>
          <w:sz w:val="20"/>
        </w:rPr>
      </w:pPr>
      <w:r>
        <w:pict w14:anchorId="51DEA416">
          <v:rect id="docshape998" o:spid="_x0000_s1369" style="position:absolute;margin-left:70.9pt;margin-top:14pt;width:2in;height:.8pt;z-index:-250853888;mso-wrap-distance-left:0;mso-wrap-distance-right:0;mso-position-horizontal-relative:page" fillcolor="black" stroked="f">
            <w10:wrap type="topAndBottom" anchorx="page"/>
          </v:rect>
        </w:pict>
      </w:r>
    </w:p>
    <w:p w14:paraId="51DE8CBD" w14:textId="77777777" w:rsidR="0010369C" w:rsidRDefault="008E43AE">
      <w:pPr>
        <w:spacing w:before="109"/>
        <w:ind w:left="238"/>
        <w:rPr>
          <w:sz w:val="18"/>
        </w:rPr>
      </w:pPr>
      <w:r>
        <w:rPr>
          <w:sz w:val="18"/>
          <w:vertAlign w:val="superscript"/>
        </w:rPr>
        <w:t>579</w:t>
      </w:r>
      <w:r>
        <w:rPr>
          <w:spacing w:val="-9"/>
          <w:sz w:val="18"/>
        </w:rPr>
        <w:t xml:space="preserve"> </w:t>
      </w:r>
      <w:r>
        <w:rPr>
          <w:sz w:val="18"/>
        </w:rPr>
        <w:t>Anti‐Dumping</w:t>
      </w:r>
      <w:r>
        <w:rPr>
          <w:spacing w:val="-9"/>
          <w:sz w:val="18"/>
        </w:rPr>
        <w:t xml:space="preserve"> </w:t>
      </w:r>
      <w:r>
        <w:rPr>
          <w:sz w:val="18"/>
        </w:rPr>
        <w:t>Final</w:t>
      </w:r>
      <w:r>
        <w:rPr>
          <w:spacing w:val="-9"/>
          <w:sz w:val="18"/>
        </w:rPr>
        <w:t xml:space="preserve"> </w:t>
      </w:r>
      <w:r>
        <w:rPr>
          <w:sz w:val="18"/>
        </w:rPr>
        <w:t>Determination</w:t>
      </w:r>
      <w:r>
        <w:rPr>
          <w:spacing w:val="-8"/>
          <w:sz w:val="18"/>
        </w:rPr>
        <w:t xml:space="preserve"> </w:t>
      </w:r>
      <w:r>
        <w:rPr>
          <w:sz w:val="18"/>
        </w:rPr>
        <w:t>(Exhibit</w:t>
      </w:r>
      <w:r>
        <w:rPr>
          <w:spacing w:val="-9"/>
          <w:sz w:val="18"/>
        </w:rPr>
        <w:t xml:space="preserve"> </w:t>
      </w:r>
      <w:r>
        <w:rPr>
          <w:sz w:val="18"/>
        </w:rPr>
        <w:t>AUS‐2),</w:t>
      </w:r>
      <w:r>
        <w:rPr>
          <w:spacing w:val="-9"/>
          <w:sz w:val="18"/>
        </w:rPr>
        <w:t xml:space="preserve"> </w:t>
      </w:r>
      <w:r>
        <w:rPr>
          <w:sz w:val="18"/>
        </w:rPr>
        <w:t>p.</w:t>
      </w:r>
      <w:r>
        <w:rPr>
          <w:spacing w:val="-9"/>
          <w:sz w:val="18"/>
        </w:rPr>
        <w:t xml:space="preserve"> </w:t>
      </w:r>
      <w:r>
        <w:rPr>
          <w:spacing w:val="-4"/>
          <w:sz w:val="18"/>
        </w:rPr>
        <w:t>108.</w:t>
      </w:r>
    </w:p>
    <w:p w14:paraId="51DE8CBE" w14:textId="77777777" w:rsidR="0010369C" w:rsidRDefault="008E43AE">
      <w:pPr>
        <w:ind w:left="238"/>
        <w:rPr>
          <w:sz w:val="18"/>
        </w:rPr>
      </w:pPr>
      <w:r>
        <w:rPr>
          <w:sz w:val="18"/>
          <w:vertAlign w:val="superscript"/>
        </w:rPr>
        <w:t>580</w:t>
      </w:r>
      <w:r>
        <w:rPr>
          <w:spacing w:val="-9"/>
          <w:sz w:val="18"/>
        </w:rPr>
        <w:t xml:space="preserve"> </w:t>
      </w:r>
      <w:r>
        <w:rPr>
          <w:sz w:val="18"/>
        </w:rPr>
        <w:t>Anti‐Dumping</w:t>
      </w:r>
      <w:r>
        <w:rPr>
          <w:spacing w:val="-9"/>
          <w:sz w:val="18"/>
        </w:rPr>
        <w:t xml:space="preserve"> </w:t>
      </w:r>
      <w:r>
        <w:rPr>
          <w:sz w:val="18"/>
        </w:rPr>
        <w:t>Final</w:t>
      </w:r>
      <w:r>
        <w:rPr>
          <w:spacing w:val="-9"/>
          <w:sz w:val="18"/>
        </w:rPr>
        <w:t xml:space="preserve"> </w:t>
      </w:r>
      <w:r>
        <w:rPr>
          <w:sz w:val="18"/>
        </w:rPr>
        <w:t>Determination</w:t>
      </w:r>
      <w:r>
        <w:rPr>
          <w:spacing w:val="-8"/>
          <w:sz w:val="18"/>
        </w:rPr>
        <w:t xml:space="preserve"> </w:t>
      </w:r>
      <w:r>
        <w:rPr>
          <w:sz w:val="18"/>
        </w:rPr>
        <w:t>(Exhibit</w:t>
      </w:r>
      <w:r>
        <w:rPr>
          <w:spacing w:val="-9"/>
          <w:sz w:val="18"/>
        </w:rPr>
        <w:t xml:space="preserve"> </w:t>
      </w:r>
      <w:r>
        <w:rPr>
          <w:sz w:val="18"/>
        </w:rPr>
        <w:t>AUS‐2),</w:t>
      </w:r>
      <w:r>
        <w:rPr>
          <w:spacing w:val="-9"/>
          <w:sz w:val="18"/>
        </w:rPr>
        <w:t xml:space="preserve"> </w:t>
      </w:r>
      <w:r>
        <w:rPr>
          <w:sz w:val="18"/>
        </w:rPr>
        <w:t>p.</w:t>
      </w:r>
      <w:r>
        <w:rPr>
          <w:spacing w:val="-9"/>
          <w:sz w:val="18"/>
        </w:rPr>
        <w:t xml:space="preserve"> </w:t>
      </w:r>
      <w:r>
        <w:rPr>
          <w:spacing w:val="-4"/>
          <w:sz w:val="18"/>
        </w:rPr>
        <w:t>108.</w:t>
      </w:r>
    </w:p>
    <w:p w14:paraId="51DE8CBF" w14:textId="77777777" w:rsidR="0010369C" w:rsidRDefault="008E43AE">
      <w:pPr>
        <w:spacing w:before="1"/>
        <w:ind w:left="238" w:right="614" w:hanging="1"/>
        <w:rPr>
          <w:sz w:val="18"/>
        </w:rPr>
      </w:pPr>
      <w:r>
        <w:rPr>
          <w:sz w:val="18"/>
          <w:vertAlign w:val="superscript"/>
        </w:rPr>
        <w:t>581</w:t>
      </w:r>
      <w:r>
        <w:rPr>
          <w:sz w:val="18"/>
        </w:rPr>
        <w:t xml:space="preserve"> Anti‐Dumping Final Determination (Exhibit AUS‐2), pp. 97‐98; Issuance of Anti‐Dumping Questionnaire Notice (Exhibit</w:t>
      </w:r>
      <w:r>
        <w:rPr>
          <w:spacing w:val="40"/>
          <w:sz w:val="18"/>
        </w:rPr>
        <w:t xml:space="preserve"> </w:t>
      </w:r>
      <w:r>
        <w:rPr>
          <w:spacing w:val="-2"/>
          <w:sz w:val="18"/>
        </w:rPr>
        <w:t>AUS‐42).</w:t>
      </w:r>
    </w:p>
    <w:p w14:paraId="51DE8CC0" w14:textId="77777777" w:rsidR="0010369C" w:rsidRDefault="008E43AE">
      <w:pPr>
        <w:spacing w:line="219" w:lineRule="exact"/>
        <w:ind w:left="238"/>
        <w:rPr>
          <w:sz w:val="18"/>
        </w:rPr>
      </w:pPr>
      <w:r>
        <w:rPr>
          <w:sz w:val="18"/>
          <w:vertAlign w:val="superscript"/>
        </w:rPr>
        <w:t>582</w:t>
      </w:r>
      <w:r>
        <w:rPr>
          <w:spacing w:val="-9"/>
          <w:sz w:val="18"/>
        </w:rPr>
        <w:t xml:space="preserve"> </w:t>
      </w:r>
      <w:r>
        <w:rPr>
          <w:sz w:val="18"/>
        </w:rPr>
        <w:t>Anti‐Dumping</w:t>
      </w:r>
      <w:r>
        <w:rPr>
          <w:spacing w:val="-9"/>
          <w:sz w:val="18"/>
        </w:rPr>
        <w:t xml:space="preserve"> </w:t>
      </w:r>
      <w:r>
        <w:rPr>
          <w:sz w:val="18"/>
        </w:rPr>
        <w:t>Final</w:t>
      </w:r>
      <w:r>
        <w:rPr>
          <w:spacing w:val="-9"/>
          <w:sz w:val="18"/>
        </w:rPr>
        <w:t xml:space="preserve"> </w:t>
      </w:r>
      <w:r>
        <w:rPr>
          <w:sz w:val="18"/>
        </w:rPr>
        <w:t>Determination</w:t>
      </w:r>
      <w:r>
        <w:rPr>
          <w:spacing w:val="-8"/>
          <w:sz w:val="18"/>
        </w:rPr>
        <w:t xml:space="preserve"> </w:t>
      </w:r>
      <w:r>
        <w:rPr>
          <w:sz w:val="18"/>
        </w:rPr>
        <w:t>(Exhibit</w:t>
      </w:r>
      <w:r>
        <w:rPr>
          <w:spacing w:val="-9"/>
          <w:sz w:val="18"/>
        </w:rPr>
        <w:t xml:space="preserve"> </w:t>
      </w:r>
      <w:r>
        <w:rPr>
          <w:sz w:val="18"/>
        </w:rPr>
        <w:t>AUS‐2),</w:t>
      </w:r>
      <w:r>
        <w:rPr>
          <w:spacing w:val="-9"/>
          <w:sz w:val="18"/>
        </w:rPr>
        <w:t xml:space="preserve"> </w:t>
      </w:r>
      <w:r>
        <w:rPr>
          <w:sz w:val="18"/>
        </w:rPr>
        <w:t>p.</w:t>
      </w:r>
      <w:r>
        <w:rPr>
          <w:spacing w:val="-9"/>
          <w:sz w:val="18"/>
        </w:rPr>
        <w:t xml:space="preserve"> </w:t>
      </w:r>
      <w:r>
        <w:rPr>
          <w:spacing w:val="-5"/>
          <w:sz w:val="18"/>
        </w:rPr>
        <w:t>28.</w:t>
      </w:r>
    </w:p>
    <w:p w14:paraId="51DE8CC1" w14:textId="77777777" w:rsidR="0010369C" w:rsidRDefault="008E43AE">
      <w:pPr>
        <w:ind w:left="238"/>
        <w:rPr>
          <w:sz w:val="18"/>
        </w:rPr>
      </w:pPr>
      <w:r>
        <w:rPr>
          <w:sz w:val="18"/>
          <w:vertAlign w:val="superscript"/>
        </w:rPr>
        <w:t>583</w:t>
      </w:r>
      <w:r>
        <w:rPr>
          <w:spacing w:val="-9"/>
          <w:sz w:val="18"/>
        </w:rPr>
        <w:t xml:space="preserve"> </w:t>
      </w:r>
      <w:r>
        <w:rPr>
          <w:sz w:val="18"/>
        </w:rPr>
        <w:t>Anti‐Dumping</w:t>
      </w:r>
      <w:r>
        <w:rPr>
          <w:spacing w:val="-9"/>
          <w:sz w:val="18"/>
        </w:rPr>
        <w:t xml:space="preserve"> </w:t>
      </w:r>
      <w:r>
        <w:rPr>
          <w:sz w:val="18"/>
        </w:rPr>
        <w:t>Final</w:t>
      </w:r>
      <w:r>
        <w:rPr>
          <w:spacing w:val="-9"/>
          <w:sz w:val="18"/>
        </w:rPr>
        <w:t xml:space="preserve"> </w:t>
      </w:r>
      <w:r>
        <w:rPr>
          <w:sz w:val="18"/>
        </w:rPr>
        <w:t>Determination</w:t>
      </w:r>
      <w:r>
        <w:rPr>
          <w:spacing w:val="-8"/>
          <w:sz w:val="18"/>
        </w:rPr>
        <w:t xml:space="preserve"> </w:t>
      </w:r>
      <w:r>
        <w:rPr>
          <w:sz w:val="18"/>
        </w:rPr>
        <w:t>(Exhibit</w:t>
      </w:r>
      <w:r>
        <w:rPr>
          <w:spacing w:val="-9"/>
          <w:sz w:val="18"/>
        </w:rPr>
        <w:t xml:space="preserve"> </w:t>
      </w:r>
      <w:r>
        <w:rPr>
          <w:sz w:val="18"/>
        </w:rPr>
        <w:t>AUS‐2),</w:t>
      </w:r>
      <w:r>
        <w:rPr>
          <w:spacing w:val="-9"/>
          <w:sz w:val="18"/>
        </w:rPr>
        <w:t xml:space="preserve"> </w:t>
      </w:r>
      <w:r>
        <w:rPr>
          <w:sz w:val="18"/>
        </w:rPr>
        <w:t>p.</w:t>
      </w:r>
      <w:r>
        <w:rPr>
          <w:spacing w:val="-9"/>
          <w:sz w:val="18"/>
        </w:rPr>
        <w:t xml:space="preserve"> </w:t>
      </w:r>
      <w:r>
        <w:rPr>
          <w:spacing w:val="-4"/>
          <w:sz w:val="18"/>
        </w:rPr>
        <w:t>109.</w:t>
      </w:r>
    </w:p>
    <w:p w14:paraId="51DE8CC2" w14:textId="77777777" w:rsidR="0010369C" w:rsidRDefault="0010369C">
      <w:pPr>
        <w:rPr>
          <w:sz w:val="18"/>
        </w:rPr>
        <w:sectPr w:rsidR="0010369C">
          <w:pgSz w:w="11910" w:h="16840"/>
          <w:pgMar w:top="880" w:right="800" w:bottom="980" w:left="1180" w:header="569" w:footer="788" w:gutter="0"/>
          <w:cols w:space="720"/>
        </w:sectPr>
      </w:pPr>
    </w:p>
    <w:p w14:paraId="51DE8CC3" w14:textId="77777777" w:rsidR="0010369C" w:rsidRDefault="008E43AE">
      <w:pPr>
        <w:tabs>
          <w:tab w:val="left" w:pos="6426"/>
        </w:tabs>
        <w:ind w:left="238"/>
        <w:rPr>
          <w:sz w:val="20"/>
        </w:rPr>
      </w:pPr>
      <w:r>
        <w:rPr>
          <w:i/>
          <w:sz w:val="20"/>
        </w:rPr>
        <w:lastRenderedPageBreak/>
        <w:t>China</w:t>
      </w:r>
      <w:r>
        <w:rPr>
          <w:i/>
          <w:spacing w:val="-5"/>
          <w:sz w:val="20"/>
        </w:rPr>
        <w:t xml:space="preserve"> </w:t>
      </w:r>
      <w:r>
        <w:rPr>
          <w:i/>
          <w:sz w:val="20"/>
        </w:rPr>
        <w:t>–</w:t>
      </w:r>
      <w:r>
        <w:rPr>
          <w:i/>
          <w:spacing w:val="-5"/>
          <w:sz w:val="20"/>
        </w:rPr>
        <w:t xml:space="preserve"> </w:t>
      </w:r>
      <w:r>
        <w:rPr>
          <w:i/>
          <w:sz w:val="20"/>
        </w:rPr>
        <w:t>Anti‐Dumping</w:t>
      </w:r>
      <w:r>
        <w:rPr>
          <w:i/>
          <w:spacing w:val="-4"/>
          <w:sz w:val="20"/>
        </w:rPr>
        <w:t xml:space="preserve"> </w:t>
      </w:r>
      <w:r>
        <w:rPr>
          <w:i/>
          <w:sz w:val="20"/>
        </w:rPr>
        <w:t>and</w:t>
      </w:r>
      <w:r>
        <w:rPr>
          <w:i/>
          <w:spacing w:val="-5"/>
          <w:sz w:val="20"/>
        </w:rPr>
        <w:t xml:space="preserve"> </w:t>
      </w:r>
      <w:r>
        <w:rPr>
          <w:i/>
          <w:sz w:val="20"/>
        </w:rPr>
        <w:t>Countervailing</w:t>
      </w:r>
      <w:r>
        <w:rPr>
          <w:i/>
          <w:spacing w:val="-5"/>
          <w:sz w:val="20"/>
        </w:rPr>
        <w:t xml:space="preserve"> </w:t>
      </w:r>
      <w:r>
        <w:rPr>
          <w:i/>
          <w:sz w:val="20"/>
        </w:rPr>
        <w:t>Duty</w:t>
      </w:r>
      <w:r>
        <w:rPr>
          <w:i/>
          <w:spacing w:val="-4"/>
          <w:sz w:val="20"/>
        </w:rPr>
        <w:t xml:space="preserve"> </w:t>
      </w:r>
      <w:r>
        <w:rPr>
          <w:i/>
          <w:spacing w:val="-2"/>
          <w:sz w:val="20"/>
        </w:rPr>
        <w:t>Measures</w:t>
      </w:r>
      <w:r>
        <w:rPr>
          <w:i/>
          <w:sz w:val="20"/>
        </w:rPr>
        <w:tab/>
      </w:r>
      <w:r>
        <w:rPr>
          <w:sz w:val="20"/>
        </w:rPr>
        <w:t>Australia's</w:t>
      </w:r>
      <w:r>
        <w:rPr>
          <w:spacing w:val="-6"/>
          <w:sz w:val="20"/>
        </w:rPr>
        <w:t xml:space="preserve"> </w:t>
      </w:r>
      <w:r>
        <w:rPr>
          <w:sz w:val="20"/>
        </w:rPr>
        <w:t>First</w:t>
      </w:r>
      <w:r>
        <w:rPr>
          <w:spacing w:val="-2"/>
          <w:sz w:val="20"/>
        </w:rPr>
        <w:t xml:space="preserve"> </w:t>
      </w:r>
      <w:r>
        <w:rPr>
          <w:sz w:val="20"/>
        </w:rPr>
        <w:t>Written</w:t>
      </w:r>
      <w:r>
        <w:rPr>
          <w:spacing w:val="-2"/>
          <w:sz w:val="20"/>
        </w:rPr>
        <w:t xml:space="preserve"> Submission</w:t>
      </w:r>
    </w:p>
    <w:p w14:paraId="51DE8CC4" w14:textId="77777777" w:rsidR="0010369C" w:rsidRDefault="008E43AE">
      <w:pPr>
        <w:tabs>
          <w:tab w:val="left" w:pos="8228"/>
        </w:tabs>
        <w:spacing w:before="1"/>
        <w:ind w:left="239"/>
        <w:rPr>
          <w:sz w:val="20"/>
        </w:rPr>
      </w:pPr>
      <w:r>
        <w:rPr>
          <w:i/>
          <w:sz w:val="20"/>
        </w:rPr>
        <w:t>on</w:t>
      </w:r>
      <w:r>
        <w:rPr>
          <w:i/>
          <w:spacing w:val="-1"/>
          <w:sz w:val="20"/>
        </w:rPr>
        <w:t xml:space="preserve"> </w:t>
      </w:r>
      <w:r>
        <w:rPr>
          <w:i/>
          <w:sz w:val="20"/>
        </w:rPr>
        <w:t>Wine</w:t>
      </w:r>
      <w:r>
        <w:rPr>
          <w:i/>
          <w:spacing w:val="-1"/>
          <w:sz w:val="20"/>
        </w:rPr>
        <w:t xml:space="preserve"> </w:t>
      </w:r>
      <w:r>
        <w:rPr>
          <w:i/>
          <w:sz w:val="20"/>
        </w:rPr>
        <w:t>from</w:t>
      </w:r>
      <w:r>
        <w:rPr>
          <w:i/>
          <w:spacing w:val="-3"/>
          <w:sz w:val="20"/>
        </w:rPr>
        <w:t xml:space="preserve"> </w:t>
      </w:r>
      <w:r>
        <w:rPr>
          <w:i/>
          <w:sz w:val="20"/>
        </w:rPr>
        <w:t>Australia</w:t>
      </w:r>
      <w:r>
        <w:rPr>
          <w:i/>
          <w:spacing w:val="-1"/>
          <w:sz w:val="20"/>
        </w:rPr>
        <w:t xml:space="preserve"> </w:t>
      </w:r>
      <w:r>
        <w:rPr>
          <w:spacing w:val="-2"/>
          <w:sz w:val="20"/>
        </w:rPr>
        <w:t>(DS602)</w:t>
      </w:r>
      <w:r>
        <w:rPr>
          <w:sz w:val="20"/>
        </w:rPr>
        <w:tab/>
        <w:t>29</w:t>
      </w:r>
      <w:r>
        <w:rPr>
          <w:spacing w:val="-1"/>
          <w:sz w:val="20"/>
        </w:rPr>
        <w:t xml:space="preserve"> </w:t>
      </w:r>
      <w:r>
        <w:rPr>
          <w:sz w:val="20"/>
        </w:rPr>
        <w:t>April</w:t>
      </w:r>
      <w:r>
        <w:rPr>
          <w:spacing w:val="-2"/>
          <w:sz w:val="20"/>
        </w:rPr>
        <w:t xml:space="preserve"> </w:t>
      </w:r>
      <w:r>
        <w:rPr>
          <w:spacing w:val="-4"/>
          <w:sz w:val="20"/>
        </w:rPr>
        <w:t>2022</w:t>
      </w:r>
    </w:p>
    <w:p w14:paraId="51DE8CC5" w14:textId="77777777" w:rsidR="0010369C" w:rsidRDefault="008E43AE">
      <w:pPr>
        <w:pStyle w:val="ListParagraph"/>
        <w:numPr>
          <w:ilvl w:val="0"/>
          <w:numId w:val="63"/>
        </w:numPr>
        <w:tabs>
          <w:tab w:val="left" w:pos="1939"/>
          <w:tab w:val="left" w:pos="1940"/>
        </w:tabs>
        <w:spacing w:before="35" w:line="360" w:lineRule="auto"/>
        <w:ind w:right="612"/>
        <w:rPr>
          <w:sz w:val="24"/>
        </w:rPr>
      </w:pPr>
      <w:r>
        <w:rPr>
          <w:sz w:val="24"/>
        </w:rPr>
        <w:t xml:space="preserve">Unable to rely on the statistics provided to it, MOFCOM "surveyed the real domestic output through different parties" and concluded that it was reasonable to calculate the overall output of the Chinese wine industry "by the area of wine grapes, output per </w:t>
      </w:r>
      <w:r>
        <w:rPr>
          <w:sz w:val="24"/>
        </w:rPr>
        <w:t>acre, wine yield, output and loss of finished wines made from imported wines, and the production proportion of different wines".</w:t>
      </w:r>
      <w:r>
        <w:rPr>
          <w:sz w:val="24"/>
          <w:vertAlign w:val="superscript"/>
        </w:rPr>
        <w:t>584</w:t>
      </w:r>
      <w:r>
        <w:rPr>
          <w:sz w:val="24"/>
        </w:rPr>
        <w:t xml:space="preserve"> MOFCOM provided no explanation of how it made these</w:t>
      </w:r>
      <w:r>
        <w:rPr>
          <w:spacing w:val="-2"/>
          <w:sz w:val="24"/>
        </w:rPr>
        <w:t xml:space="preserve"> </w:t>
      </w:r>
      <w:r>
        <w:rPr>
          <w:sz w:val="24"/>
        </w:rPr>
        <w:t>calculations,</w:t>
      </w:r>
      <w:r>
        <w:rPr>
          <w:spacing w:val="-3"/>
          <w:sz w:val="24"/>
        </w:rPr>
        <w:t xml:space="preserve"> </w:t>
      </w:r>
      <w:r>
        <w:rPr>
          <w:sz w:val="24"/>
        </w:rPr>
        <w:t>other</w:t>
      </w:r>
      <w:r>
        <w:rPr>
          <w:spacing w:val="-2"/>
          <w:sz w:val="24"/>
        </w:rPr>
        <w:t xml:space="preserve"> </w:t>
      </w:r>
      <w:r>
        <w:rPr>
          <w:sz w:val="24"/>
        </w:rPr>
        <w:t>than</w:t>
      </w:r>
      <w:r>
        <w:rPr>
          <w:spacing w:val="-3"/>
          <w:sz w:val="24"/>
        </w:rPr>
        <w:t xml:space="preserve"> </w:t>
      </w:r>
      <w:r>
        <w:rPr>
          <w:sz w:val="24"/>
        </w:rPr>
        <w:t>the</w:t>
      </w:r>
      <w:r>
        <w:rPr>
          <w:spacing w:val="-3"/>
          <w:sz w:val="24"/>
        </w:rPr>
        <w:t xml:space="preserve"> </w:t>
      </w:r>
      <w:r>
        <w:rPr>
          <w:sz w:val="24"/>
        </w:rPr>
        <w:t>statement</w:t>
      </w:r>
      <w:r>
        <w:rPr>
          <w:spacing w:val="-4"/>
          <w:sz w:val="24"/>
        </w:rPr>
        <w:t xml:space="preserve"> </w:t>
      </w:r>
      <w:r>
        <w:rPr>
          <w:sz w:val="24"/>
        </w:rPr>
        <w:t>that</w:t>
      </w:r>
      <w:r>
        <w:rPr>
          <w:spacing w:val="-2"/>
          <w:sz w:val="24"/>
        </w:rPr>
        <w:t xml:space="preserve"> </w:t>
      </w:r>
      <w:r>
        <w:rPr>
          <w:sz w:val="24"/>
        </w:rPr>
        <w:t>it</w:t>
      </w:r>
      <w:r>
        <w:rPr>
          <w:spacing w:val="-2"/>
          <w:sz w:val="24"/>
        </w:rPr>
        <w:t xml:space="preserve"> </w:t>
      </w:r>
      <w:r>
        <w:rPr>
          <w:sz w:val="24"/>
        </w:rPr>
        <w:t>had</w:t>
      </w:r>
      <w:r>
        <w:rPr>
          <w:spacing w:val="-2"/>
          <w:sz w:val="24"/>
        </w:rPr>
        <w:t xml:space="preserve"> </w:t>
      </w:r>
      <w:r>
        <w:rPr>
          <w:sz w:val="24"/>
        </w:rPr>
        <w:t>regard</w:t>
      </w:r>
      <w:r>
        <w:rPr>
          <w:spacing w:val="-3"/>
          <w:sz w:val="24"/>
        </w:rPr>
        <w:t xml:space="preserve"> </w:t>
      </w:r>
      <w:r>
        <w:rPr>
          <w:sz w:val="24"/>
        </w:rPr>
        <w:t>to</w:t>
      </w:r>
      <w:r>
        <w:rPr>
          <w:spacing w:val="-2"/>
          <w:sz w:val="24"/>
        </w:rPr>
        <w:t xml:space="preserve"> </w:t>
      </w:r>
      <w:r>
        <w:rPr>
          <w:sz w:val="24"/>
        </w:rPr>
        <w:t>"statistics</w:t>
      </w:r>
      <w:r>
        <w:rPr>
          <w:sz w:val="24"/>
        </w:rPr>
        <w:t xml:space="preserve"> from authoritative domestic organizations".</w:t>
      </w:r>
      <w:r>
        <w:rPr>
          <w:sz w:val="24"/>
          <w:vertAlign w:val="superscript"/>
        </w:rPr>
        <w:t>585</w:t>
      </w:r>
      <w:r>
        <w:rPr>
          <w:sz w:val="24"/>
        </w:rPr>
        <w:t xml:space="preserve"> The sources of the data that MOFCOM relied upon are unknown. No explanation is given as to who the "different</w:t>
      </w:r>
      <w:r>
        <w:rPr>
          <w:spacing w:val="-11"/>
          <w:sz w:val="24"/>
        </w:rPr>
        <w:t xml:space="preserve"> </w:t>
      </w:r>
      <w:r>
        <w:rPr>
          <w:sz w:val="24"/>
        </w:rPr>
        <w:t>parties"</w:t>
      </w:r>
      <w:r>
        <w:rPr>
          <w:spacing w:val="-10"/>
          <w:sz w:val="24"/>
        </w:rPr>
        <w:t xml:space="preserve"> </w:t>
      </w:r>
      <w:r>
        <w:rPr>
          <w:sz w:val="24"/>
        </w:rPr>
        <w:t>surveyed</w:t>
      </w:r>
      <w:r>
        <w:rPr>
          <w:spacing w:val="-11"/>
          <w:sz w:val="24"/>
        </w:rPr>
        <w:t xml:space="preserve"> </w:t>
      </w:r>
      <w:r>
        <w:rPr>
          <w:sz w:val="24"/>
        </w:rPr>
        <w:t>for</w:t>
      </w:r>
      <w:r>
        <w:rPr>
          <w:spacing w:val="-11"/>
          <w:sz w:val="24"/>
        </w:rPr>
        <w:t xml:space="preserve"> </w:t>
      </w:r>
      <w:r>
        <w:rPr>
          <w:sz w:val="24"/>
        </w:rPr>
        <w:t>the</w:t>
      </w:r>
      <w:r>
        <w:rPr>
          <w:spacing w:val="-11"/>
          <w:sz w:val="24"/>
        </w:rPr>
        <w:t xml:space="preserve"> </w:t>
      </w:r>
      <w:r>
        <w:rPr>
          <w:sz w:val="24"/>
        </w:rPr>
        <w:t>"real</w:t>
      </w:r>
      <w:r>
        <w:rPr>
          <w:spacing w:val="-11"/>
          <w:sz w:val="24"/>
        </w:rPr>
        <w:t xml:space="preserve"> </w:t>
      </w:r>
      <w:r>
        <w:rPr>
          <w:sz w:val="24"/>
        </w:rPr>
        <w:t>domestic</w:t>
      </w:r>
      <w:r>
        <w:rPr>
          <w:spacing w:val="-10"/>
          <w:sz w:val="24"/>
        </w:rPr>
        <w:t xml:space="preserve"> </w:t>
      </w:r>
      <w:r>
        <w:rPr>
          <w:sz w:val="24"/>
        </w:rPr>
        <w:t>output"</w:t>
      </w:r>
      <w:r>
        <w:rPr>
          <w:spacing w:val="-11"/>
          <w:sz w:val="24"/>
        </w:rPr>
        <w:t xml:space="preserve"> </w:t>
      </w:r>
      <w:r>
        <w:rPr>
          <w:sz w:val="24"/>
        </w:rPr>
        <w:t>were,</w:t>
      </w:r>
      <w:r>
        <w:rPr>
          <w:spacing w:val="-11"/>
          <w:sz w:val="24"/>
        </w:rPr>
        <w:t xml:space="preserve"> </w:t>
      </w:r>
      <w:r>
        <w:rPr>
          <w:sz w:val="24"/>
        </w:rPr>
        <w:t>or</w:t>
      </w:r>
      <w:r>
        <w:rPr>
          <w:spacing w:val="-11"/>
          <w:sz w:val="24"/>
        </w:rPr>
        <w:t xml:space="preserve"> </w:t>
      </w:r>
      <w:r>
        <w:rPr>
          <w:sz w:val="24"/>
        </w:rPr>
        <w:t>who</w:t>
      </w:r>
      <w:r>
        <w:rPr>
          <w:spacing w:val="-11"/>
          <w:sz w:val="24"/>
        </w:rPr>
        <w:t xml:space="preserve"> </w:t>
      </w:r>
      <w:r>
        <w:rPr>
          <w:sz w:val="24"/>
        </w:rPr>
        <w:t>the "authoritative</w:t>
      </w:r>
      <w:r>
        <w:rPr>
          <w:spacing w:val="-9"/>
          <w:sz w:val="24"/>
        </w:rPr>
        <w:t xml:space="preserve"> </w:t>
      </w:r>
      <w:r>
        <w:rPr>
          <w:sz w:val="24"/>
        </w:rPr>
        <w:t>domestic</w:t>
      </w:r>
      <w:r>
        <w:rPr>
          <w:spacing w:val="-8"/>
          <w:sz w:val="24"/>
        </w:rPr>
        <w:t xml:space="preserve"> </w:t>
      </w:r>
      <w:r>
        <w:rPr>
          <w:sz w:val="24"/>
        </w:rPr>
        <w:t>organizations"</w:t>
      </w:r>
      <w:r>
        <w:rPr>
          <w:spacing w:val="-9"/>
          <w:sz w:val="24"/>
        </w:rPr>
        <w:t xml:space="preserve"> </w:t>
      </w:r>
      <w:r>
        <w:rPr>
          <w:sz w:val="24"/>
        </w:rPr>
        <w:t>were.</w:t>
      </w:r>
      <w:r>
        <w:rPr>
          <w:spacing w:val="-9"/>
          <w:sz w:val="24"/>
        </w:rPr>
        <w:t xml:space="preserve"> </w:t>
      </w:r>
      <w:r>
        <w:rPr>
          <w:sz w:val="24"/>
        </w:rPr>
        <w:t>There</w:t>
      </w:r>
      <w:r>
        <w:rPr>
          <w:spacing w:val="-9"/>
          <w:sz w:val="24"/>
        </w:rPr>
        <w:t xml:space="preserve"> </w:t>
      </w:r>
      <w:r>
        <w:rPr>
          <w:sz w:val="24"/>
        </w:rPr>
        <w:t>is</w:t>
      </w:r>
      <w:r>
        <w:rPr>
          <w:spacing w:val="-10"/>
          <w:sz w:val="24"/>
        </w:rPr>
        <w:t xml:space="preserve"> </w:t>
      </w:r>
      <w:r>
        <w:rPr>
          <w:sz w:val="24"/>
        </w:rPr>
        <w:t>no</w:t>
      </w:r>
      <w:r>
        <w:rPr>
          <w:spacing w:val="-9"/>
          <w:sz w:val="24"/>
        </w:rPr>
        <w:t xml:space="preserve"> </w:t>
      </w:r>
      <w:r>
        <w:rPr>
          <w:sz w:val="24"/>
        </w:rPr>
        <w:t>information</w:t>
      </w:r>
      <w:r>
        <w:rPr>
          <w:spacing w:val="-9"/>
          <w:sz w:val="24"/>
        </w:rPr>
        <w:t xml:space="preserve"> </w:t>
      </w:r>
      <w:r>
        <w:rPr>
          <w:sz w:val="24"/>
        </w:rPr>
        <w:t>on</w:t>
      </w:r>
      <w:r>
        <w:rPr>
          <w:spacing w:val="-10"/>
          <w:sz w:val="24"/>
        </w:rPr>
        <w:t xml:space="preserve"> </w:t>
      </w:r>
      <w:r>
        <w:rPr>
          <w:sz w:val="24"/>
        </w:rPr>
        <w:t>the record as to how the data were gathered, determined, estimated, constructed,</w:t>
      </w:r>
      <w:r>
        <w:rPr>
          <w:spacing w:val="-14"/>
          <w:sz w:val="24"/>
        </w:rPr>
        <w:t xml:space="preserve"> </w:t>
      </w:r>
      <w:r>
        <w:rPr>
          <w:sz w:val="24"/>
        </w:rPr>
        <w:t>calculated,</w:t>
      </w:r>
      <w:r>
        <w:rPr>
          <w:spacing w:val="-14"/>
          <w:sz w:val="24"/>
        </w:rPr>
        <w:t xml:space="preserve"> </w:t>
      </w:r>
      <w:r>
        <w:rPr>
          <w:sz w:val="24"/>
        </w:rPr>
        <w:t>and/or</w:t>
      </w:r>
      <w:r>
        <w:rPr>
          <w:spacing w:val="-13"/>
          <w:sz w:val="24"/>
        </w:rPr>
        <w:t xml:space="preserve"> </w:t>
      </w:r>
      <w:r>
        <w:rPr>
          <w:sz w:val="24"/>
        </w:rPr>
        <w:t>adjusted,</w:t>
      </w:r>
      <w:r>
        <w:rPr>
          <w:spacing w:val="-14"/>
          <w:sz w:val="24"/>
        </w:rPr>
        <w:t xml:space="preserve"> </w:t>
      </w:r>
      <w:r>
        <w:rPr>
          <w:sz w:val="24"/>
        </w:rPr>
        <w:t>what</w:t>
      </w:r>
      <w:r>
        <w:rPr>
          <w:spacing w:val="-13"/>
          <w:sz w:val="24"/>
        </w:rPr>
        <w:t xml:space="preserve"> </w:t>
      </w:r>
      <w:r>
        <w:rPr>
          <w:sz w:val="24"/>
        </w:rPr>
        <w:t>information</w:t>
      </w:r>
      <w:r>
        <w:rPr>
          <w:spacing w:val="-14"/>
          <w:sz w:val="24"/>
        </w:rPr>
        <w:t xml:space="preserve"> </w:t>
      </w:r>
      <w:r>
        <w:rPr>
          <w:sz w:val="24"/>
        </w:rPr>
        <w:t>they</w:t>
      </w:r>
      <w:r>
        <w:rPr>
          <w:spacing w:val="-13"/>
          <w:sz w:val="24"/>
        </w:rPr>
        <w:t xml:space="preserve"> </w:t>
      </w:r>
      <w:r>
        <w:rPr>
          <w:sz w:val="24"/>
        </w:rPr>
        <w:t>include</w:t>
      </w:r>
      <w:r>
        <w:rPr>
          <w:spacing w:val="-14"/>
          <w:sz w:val="24"/>
        </w:rPr>
        <w:t xml:space="preserve"> </w:t>
      </w:r>
      <w:r>
        <w:rPr>
          <w:sz w:val="24"/>
        </w:rPr>
        <w:t>and what information they exclude, and what steps MOFCOM took to ens</w:t>
      </w:r>
      <w:r>
        <w:rPr>
          <w:sz w:val="24"/>
        </w:rPr>
        <w:t>ure that they to specifically cover like products, to the exclusion of products outside the scope of the investigation. There is no explanation as to how MOFCOM was able to segregate the relevant data relating to domestic like products</w:t>
      </w:r>
      <w:r>
        <w:rPr>
          <w:spacing w:val="-1"/>
          <w:sz w:val="24"/>
        </w:rPr>
        <w:t xml:space="preserve"> </w:t>
      </w:r>
      <w:r>
        <w:rPr>
          <w:sz w:val="24"/>
        </w:rPr>
        <w:t>‐</w:t>
      </w:r>
      <w:r>
        <w:rPr>
          <w:spacing w:val="-2"/>
          <w:sz w:val="24"/>
        </w:rPr>
        <w:t xml:space="preserve"> </w:t>
      </w:r>
      <w:r>
        <w:rPr>
          <w:sz w:val="24"/>
        </w:rPr>
        <w:t>such</w:t>
      </w:r>
      <w:r>
        <w:rPr>
          <w:spacing w:val="-1"/>
          <w:sz w:val="24"/>
        </w:rPr>
        <w:t xml:space="preserve"> </w:t>
      </w:r>
      <w:r>
        <w:rPr>
          <w:sz w:val="24"/>
        </w:rPr>
        <w:t>as</w:t>
      </w:r>
      <w:r>
        <w:rPr>
          <w:spacing w:val="-2"/>
          <w:sz w:val="24"/>
        </w:rPr>
        <w:t xml:space="preserve"> </w:t>
      </w:r>
      <w:r>
        <w:rPr>
          <w:sz w:val="24"/>
        </w:rPr>
        <w:t>"area</w:t>
      </w:r>
      <w:r>
        <w:rPr>
          <w:spacing w:val="-1"/>
          <w:sz w:val="24"/>
        </w:rPr>
        <w:t xml:space="preserve"> </w:t>
      </w:r>
      <w:r>
        <w:rPr>
          <w:sz w:val="24"/>
        </w:rPr>
        <w:t>of</w:t>
      </w:r>
      <w:r>
        <w:rPr>
          <w:spacing w:val="-2"/>
          <w:sz w:val="24"/>
        </w:rPr>
        <w:t xml:space="preserve"> </w:t>
      </w:r>
      <w:r>
        <w:rPr>
          <w:sz w:val="24"/>
        </w:rPr>
        <w:t>w</w:t>
      </w:r>
      <w:r>
        <w:rPr>
          <w:sz w:val="24"/>
        </w:rPr>
        <w:t>ine</w:t>
      </w:r>
      <w:r>
        <w:rPr>
          <w:spacing w:val="-1"/>
          <w:sz w:val="24"/>
        </w:rPr>
        <w:t xml:space="preserve"> </w:t>
      </w:r>
      <w:r>
        <w:rPr>
          <w:sz w:val="24"/>
        </w:rPr>
        <w:t>grapes,</w:t>
      </w:r>
      <w:r>
        <w:rPr>
          <w:spacing w:val="-2"/>
          <w:sz w:val="24"/>
        </w:rPr>
        <w:t xml:space="preserve"> </w:t>
      </w:r>
      <w:r>
        <w:rPr>
          <w:sz w:val="24"/>
        </w:rPr>
        <w:t>output</w:t>
      </w:r>
      <w:r>
        <w:rPr>
          <w:spacing w:val="-1"/>
          <w:sz w:val="24"/>
        </w:rPr>
        <w:t xml:space="preserve"> </w:t>
      </w:r>
      <w:r>
        <w:rPr>
          <w:sz w:val="24"/>
        </w:rPr>
        <w:t>per</w:t>
      </w:r>
      <w:r>
        <w:rPr>
          <w:spacing w:val="-1"/>
          <w:sz w:val="24"/>
        </w:rPr>
        <w:t xml:space="preserve"> </w:t>
      </w:r>
      <w:r>
        <w:rPr>
          <w:sz w:val="24"/>
        </w:rPr>
        <w:t>acre,</w:t>
      </w:r>
      <w:r>
        <w:rPr>
          <w:spacing w:val="-1"/>
          <w:sz w:val="24"/>
        </w:rPr>
        <w:t xml:space="preserve"> </w:t>
      </w:r>
      <w:r>
        <w:rPr>
          <w:sz w:val="24"/>
        </w:rPr>
        <w:t>wine</w:t>
      </w:r>
      <w:r>
        <w:rPr>
          <w:spacing w:val="-1"/>
          <w:sz w:val="24"/>
        </w:rPr>
        <w:t xml:space="preserve"> </w:t>
      </w:r>
      <w:r>
        <w:rPr>
          <w:sz w:val="24"/>
        </w:rPr>
        <w:t>yield,</w:t>
      </w:r>
      <w:r>
        <w:rPr>
          <w:spacing w:val="-2"/>
          <w:sz w:val="24"/>
        </w:rPr>
        <w:t xml:space="preserve"> </w:t>
      </w:r>
      <w:r>
        <w:rPr>
          <w:sz w:val="24"/>
        </w:rPr>
        <w:t>output and loss of finished wines made from imported wines, and the production proportion of different wines" from the data relating to wine products outside the scope of the investigation.</w:t>
      </w:r>
    </w:p>
    <w:p w14:paraId="51DE8CC6" w14:textId="77777777" w:rsidR="0010369C" w:rsidRDefault="008E43AE">
      <w:pPr>
        <w:pStyle w:val="BodyText"/>
        <w:spacing w:before="119" w:line="360" w:lineRule="auto"/>
        <w:ind w:left="1940" w:right="612" w:hanging="851"/>
        <w:jc w:val="both"/>
      </w:pPr>
      <w:r>
        <w:t xml:space="preserve">Thus, MOFCOM prepared an </w:t>
      </w:r>
      <w:r>
        <w:t>estimate of the "overall output" of like products produced</w:t>
      </w:r>
      <w:r>
        <w:rPr>
          <w:spacing w:val="-14"/>
        </w:rPr>
        <w:t xml:space="preserve"> </w:t>
      </w:r>
      <w:r>
        <w:t>by</w:t>
      </w:r>
      <w:r>
        <w:rPr>
          <w:spacing w:val="-14"/>
        </w:rPr>
        <w:t xml:space="preserve"> </w:t>
      </w:r>
      <w:r>
        <w:t>the</w:t>
      </w:r>
      <w:r>
        <w:rPr>
          <w:spacing w:val="-13"/>
        </w:rPr>
        <w:t xml:space="preserve"> </w:t>
      </w:r>
      <w:r>
        <w:t>Chinese</w:t>
      </w:r>
      <w:r>
        <w:rPr>
          <w:spacing w:val="-14"/>
        </w:rPr>
        <w:t xml:space="preserve"> </w:t>
      </w:r>
      <w:r>
        <w:t>wine</w:t>
      </w:r>
      <w:r>
        <w:rPr>
          <w:spacing w:val="-13"/>
        </w:rPr>
        <w:t xml:space="preserve"> </w:t>
      </w:r>
      <w:r>
        <w:t>industry</w:t>
      </w:r>
      <w:r>
        <w:rPr>
          <w:spacing w:val="-14"/>
        </w:rPr>
        <w:t xml:space="preserve"> </w:t>
      </w:r>
      <w:r>
        <w:t>on</w:t>
      </w:r>
      <w:r>
        <w:rPr>
          <w:spacing w:val="-13"/>
        </w:rPr>
        <w:t xml:space="preserve"> </w:t>
      </w:r>
      <w:r>
        <w:t>the</w:t>
      </w:r>
      <w:r>
        <w:rPr>
          <w:spacing w:val="-14"/>
        </w:rPr>
        <w:t xml:space="preserve"> </w:t>
      </w:r>
      <w:r>
        <w:t>basis</w:t>
      </w:r>
      <w:r>
        <w:rPr>
          <w:spacing w:val="-14"/>
        </w:rPr>
        <w:t xml:space="preserve"> </w:t>
      </w:r>
      <w:r>
        <w:t>of</w:t>
      </w:r>
      <w:r>
        <w:rPr>
          <w:spacing w:val="-13"/>
        </w:rPr>
        <w:t xml:space="preserve"> </w:t>
      </w:r>
      <w:r>
        <w:t>undisclosed</w:t>
      </w:r>
      <w:r>
        <w:rPr>
          <w:spacing w:val="-14"/>
        </w:rPr>
        <w:t xml:space="preserve"> </w:t>
      </w:r>
      <w:r>
        <w:t>data</w:t>
      </w:r>
      <w:r>
        <w:rPr>
          <w:spacing w:val="-13"/>
        </w:rPr>
        <w:t xml:space="preserve"> </w:t>
      </w:r>
      <w:r>
        <w:t>from undisclosed sources. As such, neither the data nor MOFCOM's estimate on the</w:t>
      </w:r>
      <w:r>
        <w:rPr>
          <w:spacing w:val="-9"/>
        </w:rPr>
        <w:t xml:space="preserve"> </w:t>
      </w:r>
      <w:r>
        <w:t>basis</w:t>
      </w:r>
      <w:r>
        <w:rPr>
          <w:spacing w:val="-10"/>
        </w:rPr>
        <w:t xml:space="preserve"> </w:t>
      </w:r>
      <w:r>
        <w:t>of</w:t>
      </w:r>
      <w:r>
        <w:rPr>
          <w:spacing w:val="-9"/>
        </w:rPr>
        <w:t xml:space="preserve"> </w:t>
      </w:r>
      <w:r>
        <w:t>that</w:t>
      </w:r>
      <w:r>
        <w:rPr>
          <w:spacing w:val="-10"/>
        </w:rPr>
        <w:t xml:space="preserve"> </w:t>
      </w:r>
      <w:r>
        <w:t>data</w:t>
      </w:r>
      <w:r>
        <w:rPr>
          <w:spacing w:val="-9"/>
        </w:rPr>
        <w:t xml:space="preserve"> </w:t>
      </w:r>
      <w:r>
        <w:t>could</w:t>
      </w:r>
      <w:r>
        <w:rPr>
          <w:spacing w:val="-10"/>
        </w:rPr>
        <w:t xml:space="preserve"> </w:t>
      </w:r>
      <w:r>
        <w:t>be</w:t>
      </w:r>
      <w:r>
        <w:rPr>
          <w:spacing w:val="-9"/>
        </w:rPr>
        <w:t xml:space="preserve"> </w:t>
      </w:r>
      <w:r>
        <w:t>checked,</w:t>
      </w:r>
      <w:r>
        <w:rPr>
          <w:spacing w:val="-10"/>
        </w:rPr>
        <w:t xml:space="preserve"> </w:t>
      </w:r>
      <w:r>
        <w:t>verified,</w:t>
      </w:r>
      <w:r>
        <w:rPr>
          <w:spacing w:val="-12"/>
        </w:rPr>
        <w:t xml:space="preserve"> </w:t>
      </w:r>
      <w:r>
        <w:t>or</w:t>
      </w:r>
      <w:r>
        <w:rPr>
          <w:spacing w:val="-10"/>
        </w:rPr>
        <w:t xml:space="preserve"> </w:t>
      </w:r>
      <w:r>
        <w:t>challenged</w:t>
      </w:r>
      <w:r>
        <w:rPr>
          <w:spacing w:val="-9"/>
        </w:rPr>
        <w:t xml:space="preserve"> </w:t>
      </w:r>
      <w:r>
        <w:t>substantively by the interested parties. The fact that MOFCOM had to undertake such an exercise indicates that nei</w:t>
      </w:r>
      <w:r>
        <w:t>ther the applicant, CADA, nor MOFCOM knew or understood the true scope, identity, or definition of the domestic industry of</w:t>
      </w:r>
      <w:r>
        <w:rPr>
          <w:spacing w:val="76"/>
        </w:rPr>
        <w:t xml:space="preserve"> </w:t>
      </w:r>
      <w:r>
        <w:t>like</w:t>
      </w:r>
      <w:r>
        <w:rPr>
          <w:spacing w:val="77"/>
        </w:rPr>
        <w:t xml:space="preserve"> </w:t>
      </w:r>
      <w:r>
        <w:t>wine</w:t>
      </w:r>
      <w:r>
        <w:rPr>
          <w:spacing w:val="76"/>
        </w:rPr>
        <w:t xml:space="preserve"> </w:t>
      </w:r>
      <w:r>
        <w:t>products.</w:t>
      </w:r>
      <w:r>
        <w:rPr>
          <w:spacing w:val="76"/>
        </w:rPr>
        <w:t xml:space="preserve"> </w:t>
      </w:r>
      <w:r>
        <w:t>This</w:t>
      </w:r>
      <w:r>
        <w:rPr>
          <w:spacing w:val="76"/>
        </w:rPr>
        <w:t xml:space="preserve"> </w:t>
      </w:r>
      <w:r>
        <w:t>is</w:t>
      </w:r>
      <w:r>
        <w:rPr>
          <w:spacing w:val="76"/>
        </w:rPr>
        <w:t xml:space="preserve"> </w:t>
      </w:r>
      <w:r>
        <w:t>a</w:t>
      </w:r>
      <w:r>
        <w:rPr>
          <w:spacing w:val="77"/>
        </w:rPr>
        <w:t xml:space="preserve"> </w:t>
      </w:r>
      <w:r>
        <w:t>remarkable</w:t>
      </w:r>
      <w:r>
        <w:rPr>
          <w:spacing w:val="74"/>
        </w:rPr>
        <w:t xml:space="preserve"> </w:t>
      </w:r>
      <w:r>
        <w:t>gap</w:t>
      </w:r>
      <w:r>
        <w:rPr>
          <w:spacing w:val="76"/>
        </w:rPr>
        <w:t xml:space="preserve"> </w:t>
      </w:r>
      <w:r>
        <w:t>in</w:t>
      </w:r>
      <w:r>
        <w:rPr>
          <w:spacing w:val="76"/>
        </w:rPr>
        <w:t xml:space="preserve"> </w:t>
      </w:r>
      <w:r>
        <w:t>a</w:t>
      </w:r>
      <w:r>
        <w:rPr>
          <w:spacing w:val="78"/>
        </w:rPr>
        <w:t xml:space="preserve"> </w:t>
      </w:r>
      <w:r>
        <w:t>trade</w:t>
      </w:r>
      <w:r>
        <w:rPr>
          <w:spacing w:val="76"/>
        </w:rPr>
        <w:t xml:space="preserve"> </w:t>
      </w:r>
      <w:r>
        <w:rPr>
          <w:spacing w:val="-2"/>
        </w:rPr>
        <w:t>remedies</w:t>
      </w:r>
    </w:p>
    <w:p w14:paraId="51DE8CC7" w14:textId="77777777" w:rsidR="0010369C" w:rsidRDefault="0010369C">
      <w:pPr>
        <w:pStyle w:val="BodyText"/>
        <w:rPr>
          <w:sz w:val="20"/>
        </w:rPr>
      </w:pPr>
    </w:p>
    <w:p w14:paraId="51DE8CC8" w14:textId="77777777" w:rsidR="0010369C" w:rsidRDefault="008E43AE">
      <w:pPr>
        <w:pStyle w:val="BodyText"/>
      </w:pPr>
      <w:r>
        <w:pict w14:anchorId="51DEA417">
          <v:rect id="docshape999" o:spid="_x0000_s1368" style="position:absolute;margin-left:70.9pt;margin-top:15.85pt;width:2in;height:.8pt;z-index:-250852864;mso-wrap-distance-left:0;mso-wrap-distance-right:0;mso-position-horizontal-relative:page" fillcolor="black" stroked="f">
            <w10:wrap type="topAndBottom" anchorx="page"/>
          </v:rect>
        </w:pict>
      </w:r>
    </w:p>
    <w:p w14:paraId="51DE8CC9" w14:textId="77777777" w:rsidR="0010369C" w:rsidRDefault="008E43AE">
      <w:pPr>
        <w:spacing w:before="109"/>
        <w:ind w:left="238"/>
        <w:rPr>
          <w:sz w:val="18"/>
        </w:rPr>
      </w:pPr>
      <w:r>
        <w:rPr>
          <w:sz w:val="18"/>
          <w:vertAlign w:val="superscript"/>
        </w:rPr>
        <w:t>584</w:t>
      </w:r>
      <w:r>
        <w:rPr>
          <w:spacing w:val="-6"/>
          <w:sz w:val="18"/>
        </w:rPr>
        <w:t xml:space="preserve"> </w:t>
      </w:r>
      <w:r>
        <w:rPr>
          <w:sz w:val="18"/>
        </w:rPr>
        <w:t>Anti‐Dumping</w:t>
      </w:r>
      <w:r>
        <w:rPr>
          <w:spacing w:val="-4"/>
          <w:sz w:val="18"/>
        </w:rPr>
        <w:t xml:space="preserve"> </w:t>
      </w:r>
      <w:r>
        <w:rPr>
          <w:sz w:val="18"/>
        </w:rPr>
        <w:t>Final</w:t>
      </w:r>
      <w:r>
        <w:rPr>
          <w:spacing w:val="-4"/>
          <w:sz w:val="18"/>
        </w:rPr>
        <w:t xml:space="preserve"> </w:t>
      </w:r>
      <w:r>
        <w:rPr>
          <w:sz w:val="18"/>
        </w:rPr>
        <w:t>Determination</w:t>
      </w:r>
      <w:r>
        <w:rPr>
          <w:spacing w:val="-4"/>
          <w:sz w:val="18"/>
        </w:rPr>
        <w:t xml:space="preserve"> </w:t>
      </w:r>
      <w:r>
        <w:rPr>
          <w:sz w:val="18"/>
        </w:rPr>
        <w:t>(Exhibit</w:t>
      </w:r>
      <w:r>
        <w:rPr>
          <w:spacing w:val="-4"/>
          <w:sz w:val="18"/>
        </w:rPr>
        <w:t xml:space="preserve"> </w:t>
      </w:r>
      <w:r>
        <w:rPr>
          <w:sz w:val="18"/>
        </w:rPr>
        <w:t>AUS‐2),</w:t>
      </w:r>
      <w:r>
        <w:rPr>
          <w:spacing w:val="-4"/>
          <w:sz w:val="18"/>
        </w:rPr>
        <w:t xml:space="preserve"> </w:t>
      </w:r>
      <w:r>
        <w:rPr>
          <w:sz w:val="18"/>
        </w:rPr>
        <w:t>p.</w:t>
      </w:r>
      <w:r>
        <w:rPr>
          <w:spacing w:val="-4"/>
          <w:sz w:val="18"/>
        </w:rPr>
        <w:t xml:space="preserve"> 109.</w:t>
      </w:r>
    </w:p>
    <w:p w14:paraId="51DE8CCA" w14:textId="77777777" w:rsidR="0010369C" w:rsidRDefault="008E43AE">
      <w:pPr>
        <w:ind w:left="238"/>
        <w:rPr>
          <w:sz w:val="18"/>
        </w:rPr>
      </w:pPr>
      <w:r>
        <w:rPr>
          <w:sz w:val="18"/>
          <w:vertAlign w:val="superscript"/>
        </w:rPr>
        <w:t>585</w:t>
      </w:r>
      <w:r>
        <w:rPr>
          <w:spacing w:val="-6"/>
          <w:sz w:val="18"/>
        </w:rPr>
        <w:t xml:space="preserve"> </w:t>
      </w:r>
      <w:r>
        <w:rPr>
          <w:sz w:val="18"/>
        </w:rPr>
        <w:t>Anti‐Dumping</w:t>
      </w:r>
      <w:r>
        <w:rPr>
          <w:spacing w:val="-4"/>
          <w:sz w:val="18"/>
        </w:rPr>
        <w:t xml:space="preserve"> </w:t>
      </w:r>
      <w:r>
        <w:rPr>
          <w:sz w:val="18"/>
        </w:rPr>
        <w:t>Final</w:t>
      </w:r>
      <w:r>
        <w:rPr>
          <w:spacing w:val="-4"/>
          <w:sz w:val="18"/>
        </w:rPr>
        <w:t xml:space="preserve"> </w:t>
      </w:r>
      <w:r>
        <w:rPr>
          <w:sz w:val="18"/>
        </w:rPr>
        <w:t>Determination</w:t>
      </w:r>
      <w:r>
        <w:rPr>
          <w:spacing w:val="-4"/>
          <w:sz w:val="18"/>
        </w:rPr>
        <w:t xml:space="preserve"> </w:t>
      </w:r>
      <w:r>
        <w:rPr>
          <w:sz w:val="18"/>
        </w:rPr>
        <w:t>(Exhibit</w:t>
      </w:r>
      <w:r>
        <w:rPr>
          <w:spacing w:val="-4"/>
          <w:sz w:val="18"/>
        </w:rPr>
        <w:t xml:space="preserve"> </w:t>
      </w:r>
      <w:r>
        <w:rPr>
          <w:sz w:val="18"/>
        </w:rPr>
        <w:t>AUS‐2),</w:t>
      </w:r>
      <w:r>
        <w:rPr>
          <w:spacing w:val="-4"/>
          <w:sz w:val="18"/>
        </w:rPr>
        <w:t xml:space="preserve"> </w:t>
      </w:r>
      <w:r>
        <w:rPr>
          <w:sz w:val="18"/>
        </w:rPr>
        <w:t>p.</w:t>
      </w:r>
      <w:r>
        <w:rPr>
          <w:spacing w:val="-4"/>
          <w:sz w:val="18"/>
        </w:rPr>
        <w:t xml:space="preserve"> 109.</w:t>
      </w:r>
    </w:p>
    <w:p w14:paraId="51DE8CCB" w14:textId="77777777" w:rsidR="0010369C" w:rsidRDefault="0010369C">
      <w:pPr>
        <w:rPr>
          <w:sz w:val="18"/>
        </w:rPr>
        <w:sectPr w:rsidR="0010369C">
          <w:pgSz w:w="11910" w:h="16840"/>
          <w:pgMar w:top="880" w:right="800" w:bottom="980" w:left="1180" w:header="569" w:footer="788" w:gutter="0"/>
          <w:cols w:space="720"/>
        </w:sectPr>
      </w:pPr>
    </w:p>
    <w:p w14:paraId="51DE8CCC" w14:textId="77777777" w:rsidR="0010369C" w:rsidRDefault="008E43AE">
      <w:pPr>
        <w:tabs>
          <w:tab w:val="left" w:pos="6425"/>
        </w:tabs>
        <w:ind w:left="238"/>
        <w:jc w:val="both"/>
        <w:rPr>
          <w:sz w:val="20"/>
        </w:rPr>
      </w:pPr>
      <w:r>
        <w:rPr>
          <w:i/>
          <w:sz w:val="20"/>
        </w:rPr>
        <w:lastRenderedPageBreak/>
        <w:t>China</w:t>
      </w:r>
      <w:r>
        <w:rPr>
          <w:i/>
          <w:spacing w:val="-5"/>
          <w:sz w:val="20"/>
        </w:rPr>
        <w:t xml:space="preserve"> </w:t>
      </w:r>
      <w:r>
        <w:rPr>
          <w:i/>
          <w:sz w:val="20"/>
        </w:rPr>
        <w:t>–</w:t>
      </w:r>
      <w:r>
        <w:rPr>
          <w:i/>
          <w:spacing w:val="-5"/>
          <w:sz w:val="20"/>
        </w:rPr>
        <w:t xml:space="preserve"> </w:t>
      </w:r>
      <w:r>
        <w:rPr>
          <w:i/>
          <w:sz w:val="20"/>
        </w:rPr>
        <w:t>Anti‐Dumping</w:t>
      </w:r>
      <w:r>
        <w:rPr>
          <w:i/>
          <w:spacing w:val="-4"/>
          <w:sz w:val="20"/>
        </w:rPr>
        <w:t xml:space="preserve"> </w:t>
      </w:r>
      <w:r>
        <w:rPr>
          <w:i/>
          <w:sz w:val="20"/>
        </w:rPr>
        <w:t>and</w:t>
      </w:r>
      <w:r>
        <w:rPr>
          <w:i/>
          <w:spacing w:val="-5"/>
          <w:sz w:val="20"/>
        </w:rPr>
        <w:t xml:space="preserve"> </w:t>
      </w:r>
      <w:r>
        <w:rPr>
          <w:i/>
          <w:sz w:val="20"/>
        </w:rPr>
        <w:t>Countervailing</w:t>
      </w:r>
      <w:r>
        <w:rPr>
          <w:i/>
          <w:spacing w:val="-5"/>
          <w:sz w:val="20"/>
        </w:rPr>
        <w:t xml:space="preserve"> </w:t>
      </w:r>
      <w:r>
        <w:rPr>
          <w:i/>
          <w:sz w:val="20"/>
        </w:rPr>
        <w:t>Duty</w:t>
      </w:r>
      <w:r>
        <w:rPr>
          <w:i/>
          <w:spacing w:val="-4"/>
          <w:sz w:val="20"/>
        </w:rPr>
        <w:t xml:space="preserve"> </w:t>
      </w:r>
      <w:r>
        <w:rPr>
          <w:i/>
          <w:spacing w:val="-2"/>
          <w:sz w:val="20"/>
        </w:rPr>
        <w:t>Measures</w:t>
      </w:r>
      <w:r>
        <w:rPr>
          <w:i/>
          <w:sz w:val="20"/>
        </w:rPr>
        <w:tab/>
      </w:r>
      <w:r>
        <w:rPr>
          <w:sz w:val="20"/>
        </w:rPr>
        <w:t>Australia's</w:t>
      </w:r>
      <w:r>
        <w:rPr>
          <w:spacing w:val="-7"/>
          <w:sz w:val="20"/>
        </w:rPr>
        <w:t xml:space="preserve"> </w:t>
      </w:r>
      <w:r>
        <w:rPr>
          <w:sz w:val="20"/>
        </w:rPr>
        <w:t>First</w:t>
      </w:r>
      <w:r>
        <w:rPr>
          <w:spacing w:val="-2"/>
          <w:sz w:val="20"/>
        </w:rPr>
        <w:t xml:space="preserve"> </w:t>
      </w:r>
      <w:r>
        <w:rPr>
          <w:sz w:val="20"/>
        </w:rPr>
        <w:t>Written</w:t>
      </w:r>
      <w:r>
        <w:rPr>
          <w:spacing w:val="-2"/>
          <w:sz w:val="20"/>
        </w:rPr>
        <w:t xml:space="preserve"> Submission</w:t>
      </w:r>
    </w:p>
    <w:p w14:paraId="51DE8CCD" w14:textId="77777777" w:rsidR="0010369C" w:rsidRDefault="008E43AE">
      <w:pPr>
        <w:tabs>
          <w:tab w:val="left" w:pos="8227"/>
        </w:tabs>
        <w:spacing w:before="1"/>
        <w:ind w:left="239"/>
        <w:jc w:val="both"/>
        <w:rPr>
          <w:sz w:val="20"/>
        </w:rPr>
      </w:pPr>
      <w:r>
        <w:rPr>
          <w:i/>
          <w:sz w:val="20"/>
        </w:rPr>
        <w:t>on</w:t>
      </w:r>
      <w:r>
        <w:rPr>
          <w:i/>
          <w:spacing w:val="-1"/>
          <w:sz w:val="20"/>
        </w:rPr>
        <w:t xml:space="preserve"> </w:t>
      </w:r>
      <w:r>
        <w:rPr>
          <w:i/>
          <w:sz w:val="20"/>
        </w:rPr>
        <w:t>Wine</w:t>
      </w:r>
      <w:r>
        <w:rPr>
          <w:i/>
          <w:spacing w:val="-1"/>
          <w:sz w:val="20"/>
        </w:rPr>
        <w:t xml:space="preserve"> </w:t>
      </w:r>
      <w:r>
        <w:rPr>
          <w:i/>
          <w:sz w:val="20"/>
        </w:rPr>
        <w:t>from</w:t>
      </w:r>
      <w:r>
        <w:rPr>
          <w:i/>
          <w:spacing w:val="-3"/>
          <w:sz w:val="20"/>
        </w:rPr>
        <w:t xml:space="preserve"> </w:t>
      </w:r>
      <w:r>
        <w:rPr>
          <w:i/>
          <w:sz w:val="20"/>
        </w:rPr>
        <w:t>Australia</w:t>
      </w:r>
      <w:r>
        <w:rPr>
          <w:i/>
          <w:spacing w:val="-1"/>
          <w:sz w:val="20"/>
        </w:rPr>
        <w:t xml:space="preserve"> </w:t>
      </w:r>
      <w:r>
        <w:rPr>
          <w:spacing w:val="-2"/>
          <w:sz w:val="20"/>
        </w:rPr>
        <w:t>(DS602)</w:t>
      </w:r>
      <w:r>
        <w:rPr>
          <w:sz w:val="20"/>
        </w:rPr>
        <w:tab/>
        <w:t>29</w:t>
      </w:r>
      <w:r>
        <w:rPr>
          <w:spacing w:val="-1"/>
          <w:sz w:val="20"/>
        </w:rPr>
        <w:t xml:space="preserve"> </w:t>
      </w:r>
      <w:r>
        <w:rPr>
          <w:sz w:val="20"/>
        </w:rPr>
        <w:t>April</w:t>
      </w:r>
      <w:r>
        <w:rPr>
          <w:spacing w:val="-2"/>
          <w:sz w:val="20"/>
        </w:rPr>
        <w:t xml:space="preserve"> </w:t>
      </w:r>
      <w:r>
        <w:rPr>
          <w:spacing w:val="-4"/>
          <w:sz w:val="20"/>
        </w:rPr>
        <w:t>2022</w:t>
      </w:r>
    </w:p>
    <w:p w14:paraId="51DE8CCE" w14:textId="77777777" w:rsidR="0010369C" w:rsidRDefault="008E43AE">
      <w:pPr>
        <w:pStyle w:val="BodyText"/>
        <w:spacing w:before="34" w:line="360" w:lineRule="auto"/>
        <w:ind w:left="1939" w:right="614"/>
        <w:jc w:val="both"/>
      </w:pPr>
      <w:r>
        <w:t>investigation that is purportedly initiated by or on behalf of the same domestic industry.</w:t>
      </w:r>
    </w:p>
    <w:p w14:paraId="51DE8CCF" w14:textId="77777777" w:rsidR="0010369C" w:rsidRDefault="008E43AE">
      <w:pPr>
        <w:pStyle w:val="ListParagraph"/>
        <w:numPr>
          <w:ilvl w:val="0"/>
          <w:numId w:val="63"/>
        </w:numPr>
        <w:tabs>
          <w:tab w:val="left" w:pos="1939"/>
          <w:tab w:val="left" w:pos="1940"/>
        </w:tabs>
        <w:spacing w:line="360" w:lineRule="auto"/>
        <w:ind w:right="612"/>
        <w:rPr>
          <w:sz w:val="24"/>
        </w:rPr>
      </w:pPr>
      <w:r>
        <w:rPr>
          <w:sz w:val="24"/>
        </w:rPr>
        <w:t>Finally,</w:t>
      </w:r>
      <w:r>
        <w:rPr>
          <w:spacing w:val="-12"/>
          <w:sz w:val="24"/>
        </w:rPr>
        <w:t xml:space="preserve"> </w:t>
      </w:r>
      <w:r>
        <w:rPr>
          <w:sz w:val="24"/>
        </w:rPr>
        <w:t>MOFCOM</w:t>
      </w:r>
      <w:r>
        <w:rPr>
          <w:spacing w:val="-12"/>
          <w:sz w:val="24"/>
        </w:rPr>
        <w:t xml:space="preserve"> </w:t>
      </w:r>
      <w:r>
        <w:rPr>
          <w:sz w:val="24"/>
        </w:rPr>
        <w:t>compared</w:t>
      </w:r>
      <w:r>
        <w:rPr>
          <w:spacing w:val="-13"/>
          <w:sz w:val="24"/>
        </w:rPr>
        <w:t xml:space="preserve"> </w:t>
      </w:r>
      <w:r>
        <w:rPr>
          <w:sz w:val="24"/>
        </w:rPr>
        <w:t>the</w:t>
      </w:r>
      <w:r>
        <w:rPr>
          <w:spacing w:val="-12"/>
          <w:sz w:val="24"/>
        </w:rPr>
        <w:t xml:space="preserve"> </w:t>
      </w:r>
      <w:r>
        <w:rPr>
          <w:sz w:val="24"/>
        </w:rPr>
        <w:t>sum</w:t>
      </w:r>
      <w:r>
        <w:rPr>
          <w:spacing w:val="-11"/>
          <w:sz w:val="24"/>
        </w:rPr>
        <w:t xml:space="preserve"> </w:t>
      </w:r>
      <w:r>
        <w:rPr>
          <w:sz w:val="24"/>
        </w:rPr>
        <w:t>of</w:t>
      </w:r>
      <w:r>
        <w:rPr>
          <w:spacing w:val="-12"/>
          <w:sz w:val="24"/>
        </w:rPr>
        <w:t xml:space="preserve"> </w:t>
      </w:r>
      <w:r>
        <w:rPr>
          <w:sz w:val="24"/>
        </w:rPr>
        <w:t>the</w:t>
      </w:r>
      <w:r>
        <w:rPr>
          <w:spacing w:val="-12"/>
          <w:sz w:val="24"/>
        </w:rPr>
        <w:t xml:space="preserve"> </w:t>
      </w:r>
      <w:r>
        <w:rPr>
          <w:sz w:val="24"/>
        </w:rPr>
        <w:t>production</w:t>
      </w:r>
      <w:r>
        <w:rPr>
          <w:spacing w:val="-12"/>
          <w:sz w:val="24"/>
        </w:rPr>
        <w:t xml:space="preserve"> </w:t>
      </w:r>
      <w:r>
        <w:rPr>
          <w:sz w:val="24"/>
        </w:rPr>
        <w:t>reported</w:t>
      </w:r>
      <w:r>
        <w:rPr>
          <w:spacing w:val="-13"/>
          <w:sz w:val="24"/>
        </w:rPr>
        <w:t xml:space="preserve"> </w:t>
      </w:r>
      <w:r>
        <w:rPr>
          <w:sz w:val="24"/>
        </w:rPr>
        <w:t>by</w:t>
      </w:r>
      <w:r>
        <w:rPr>
          <w:spacing w:val="-12"/>
          <w:sz w:val="24"/>
        </w:rPr>
        <w:t xml:space="preserve"> </w:t>
      </w:r>
      <w:r>
        <w:rPr>
          <w:sz w:val="24"/>
        </w:rPr>
        <w:t>those</w:t>
      </w:r>
      <w:r>
        <w:rPr>
          <w:spacing w:val="-12"/>
          <w:sz w:val="24"/>
        </w:rPr>
        <w:t xml:space="preserve"> </w:t>
      </w:r>
      <w:r>
        <w:rPr>
          <w:sz w:val="24"/>
        </w:rPr>
        <w:t>21 companies who chose to respond to the domestic producer questionnaire with</w:t>
      </w:r>
      <w:r>
        <w:rPr>
          <w:spacing w:val="-14"/>
          <w:sz w:val="24"/>
        </w:rPr>
        <w:t xml:space="preserve"> </w:t>
      </w:r>
      <w:r>
        <w:rPr>
          <w:sz w:val="24"/>
        </w:rPr>
        <w:t>the</w:t>
      </w:r>
      <w:r>
        <w:rPr>
          <w:spacing w:val="-14"/>
          <w:sz w:val="24"/>
        </w:rPr>
        <w:t xml:space="preserve"> </w:t>
      </w:r>
      <w:r>
        <w:rPr>
          <w:sz w:val="24"/>
        </w:rPr>
        <w:t>estimate</w:t>
      </w:r>
      <w:r>
        <w:rPr>
          <w:spacing w:val="-13"/>
          <w:sz w:val="24"/>
        </w:rPr>
        <w:t xml:space="preserve"> </w:t>
      </w:r>
      <w:r>
        <w:rPr>
          <w:sz w:val="24"/>
        </w:rPr>
        <w:t>it</w:t>
      </w:r>
      <w:r>
        <w:rPr>
          <w:spacing w:val="-14"/>
          <w:sz w:val="24"/>
        </w:rPr>
        <w:t xml:space="preserve"> </w:t>
      </w:r>
      <w:r>
        <w:rPr>
          <w:sz w:val="24"/>
        </w:rPr>
        <w:t>had</w:t>
      </w:r>
      <w:r>
        <w:rPr>
          <w:spacing w:val="-13"/>
          <w:sz w:val="24"/>
        </w:rPr>
        <w:t xml:space="preserve"> </w:t>
      </w:r>
      <w:r>
        <w:rPr>
          <w:sz w:val="24"/>
        </w:rPr>
        <w:t>calculated</w:t>
      </w:r>
      <w:r>
        <w:rPr>
          <w:spacing w:val="-14"/>
          <w:sz w:val="24"/>
        </w:rPr>
        <w:t xml:space="preserve"> </w:t>
      </w:r>
      <w:r>
        <w:rPr>
          <w:sz w:val="24"/>
        </w:rPr>
        <w:t>for</w:t>
      </w:r>
      <w:r>
        <w:rPr>
          <w:spacing w:val="-13"/>
          <w:sz w:val="24"/>
        </w:rPr>
        <w:t xml:space="preserve"> </w:t>
      </w:r>
      <w:r>
        <w:rPr>
          <w:sz w:val="24"/>
        </w:rPr>
        <w:t>the</w:t>
      </w:r>
      <w:r>
        <w:rPr>
          <w:spacing w:val="-14"/>
          <w:sz w:val="24"/>
        </w:rPr>
        <w:t xml:space="preserve"> </w:t>
      </w:r>
      <w:r>
        <w:rPr>
          <w:sz w:val="24"/>
        </w:rPr>
        <w:t>overall</w:t>
      </w:r>
      <w:r>
        <w:rPr>
          <w:spacing w:val="-14"/>
          <w:sz w:val="24"/>
        </w:rPr>
        <w:t xml:space="preserve"> </w:t>
      </w:r>
      <w:r>
        <w:rPr>
          <w:sz w:val="24"/>
        </w:rPr>
        <w:t>output</w:t>
      </w:r>
      <w:r>
        <w:rPr>
          <w:spacing w:val="-13"/>
          <w:sz w:val="24"/>
        </w:rPr>
        <w:t xml:space="preserve"> </w:t>
      </w:r>
      <w:r>
        <w:rPr>
          <w:sz w:val="24"/>
        </w:rPr>
        <w:t>of</w:t>
      </w:r>
      <w:r>
        <w:rPr>
          <w:spacing w:val="-14"/>
          <w:sz w:val="24"/>
        </w:rPr>
        <w:t xml:space="preserve"> </w:t>
      </w:r>
      <w:r>
        <w:rPr>
          <w:sz w:val="24"/>
        </w:rPr>
        <w:t>the</w:t>
      </w:r>
      <w:r>
        <w:rPr>
          <w:spacing w:val="-13"/>
          <w:sz w:val="24"/>
        </w:rPr>
        <w:t xml:space="preserve"> </w:t>
      </w:r>
      <w:r>
        <w:rPr>
          <w:sz w:val="24"/>
        </w:rPr>
        <w:t>Chinese</w:t>
      </w:r>
      <w:r>
        <w:rPr>
          <w:spacing w:val="-14"/>
          <w:sz w:val="24"/>
        </w:rPr>
        <w:t xml:space="preserve"> </w:t>
      </w:r>
      <w:r>
        <w:rPr>
          <w:sz w:val="24"/>
        </w:rPr>
        <w:t>wine industry. There is no evidence that MOFCOM considered anything other than these percentages in identifyi</w:t>
      </w:r>
      <w:r>
        <w:rPr>
          <w:sz w:val="24"/>
        </w:rPr>
        <w:t xml:space="preserve">ng the respondent companies as the "domestic industry", including whether those 21 companies (out of hundreds of domestic producers) were representative of the domestic industry as a whole. According to the record, </w:t>
      </w:r>
      <w:r>
        <w:rPr>
          <w:i/>
          <w:sz w:val="24"/>
        </w:rPr>
        <w:t xml:space="preserve">all </w:t>
      </w:r>
      <w:r>
        <w:rPr>
          <w:sz w:val="24"/>
        </w:rPr>
        <w:t>21 companies themselves reported</w:t>
      </w:r>
      <w:r>
        <w:rPr>
          <w:spacing w:val="-7"/>
          <w:sz w:val="24"/>
        </w:rPr>
        <w:t xml:space="preserve"> </w:t>
      </w:r>
      <w:r>
        <w:rPr>
          <w:sz w:val="24"/>
        </w:rPr>
        <w:t>that</w:t>
      </w:r>
      <w:r>
        <w:rPr>
          <w:spacing w:val="-6"/>
          <w:sz w:val="24"/>
        </w:rPr>
        <w:t xml:space="preserve"> </w:t>
      </w:r>
      <w:r>
        <w:rPr>
          <w:sz w:val="24"/>
        </w:rPr>
        <w:t>there</w:t>
      </w:r>
      <w:r>
        <w:rPr>
          <w:spacing w:val="-6"/>
          <w:sz w:val="24"/>
        </w:rPr>
        <w:t xml:space="preserve"> </w:t>
      </w:r>
      <w:r>
        <w:rPr>
          <w:sz w:val="24"/>
        </w:rPr>
        <w:t>were</w:t>
      </w:r>
      <w:r>
        <w:rPr>
          <w:spacing w:val="-6"/>
          <w:sz w:val="24"/>
        </w:rPr>
        <w:t xml:space="preserve"> </w:t>
      </w:r>
      <w:r>
        <w:rPr>
          <w:sz w:val="24"/>
        </w:rPr>
        <w:t>"several</w:t>
      </w:r>
      <w:r>
        <w:rPr>
          <w:spacing w:val="-7"/>
          <w:sz w:val="24"/>
        </w:rPr>
        <w:t xml:space="preserve"> </w:t>
      </w:r>
      <w:r>
        <w:rPr>
          <w:sz w:val="24"/>
        </w:rPr>
        <w:t>hundred</w:t>
      </w:r>
      <w:r>
        <w:rPr>
          <w:spacing w:val="-6"/>
          <w:sz w:val="24"/>
        </w:rPr>
        <w:t xml:space="preserve"> </w:t>
      </w:r>
      <w:r>
        <w:rPr>
          <w:sz w:val="24"/>
        </w:rPr>
        <w:t>wine</w:t>
      </w:r>
      <w:r>
        <w:rPr>
          <w:spacing w:val="-6"/>
          <w:sz w:val="24"/>
        </w:rPr>
        <w:t xml:space="preserve"> </w:t>
      </w:r>
      <w:r>
        <w:rPr>
          <w:sz w:val="24"/>
        </w:rPr>
        <w:t>producers</w:t>
      </w:r>
      <w:r>
        <w:rPr>
          <w:spacing w:val="-6"/>
          <w:sz w:val="24"/>
        </w:rPr>
        <w:t xml:space="preserve"> </w:t>
      </w:r>
      <w:r>
        <w:rPr>
          <w:sz w:val="24"/>
        </w:rPr>
        <w:t>in</w:t>
      </w:r>
      <w:r>
        <w:rPr>
          <w:spacing w:val="-6"/>
          <w:sz w:val="24"/>
        </w:rPr>
        <w:t xml:space="preserve"> </w:t>
      </w:r>
      <w:r>
        <w:rPr>
          <w:sz w:val="24"/>
        </w:rPr>
        <w:t>China</w:t>
      </w:r>
      <w:r>
        <w:rPr>
          <w:spacing w:val="-6"/>
          <w:sz w:val="24"/>
        </w:rPr>
        <w:t xml:space="preserve"> </w:t>
      </w:r>
      <w:r>
        <w:rPr>
          <w:sz w:val="24"/>
        </w:rPr>
        <w:t>in</w:t>
      </w:r>
      <w:r>
        <w:rPr>
          <w:spacing w:val="-6"/>
          <w:sz w:val="24"/>
        </w:rPr>
        <w:t xml:space="preserve"> </w:t>
      </w:r>
      <w:r>
        <w:rPr>
          <w:sz w:val="24"/>
        </w:rPr>
        <w:t>more than 20 provinces".</w:t>
      </w:r>
      <w:r>
        <w:rPr>
          <w:sz w:val="24"/>
          <w:vertAlign w:val="superscript"/>
        </w:rPr>
        <w:t>586</w:t>
      </w:r>
    </w:p>
    <w:p w14:paraId="51DE8CD0" w14:textId="77777777" w:rsidR="0010369C" w:rsidRDefault="008E43AE">
      <w:pPr>
        <w:pStyle w:val="Heading4"/>
        <w:numPr>
          <w:ilvl w:val="1"/>
          <w:numId w:val="64"/>
        </w:numPr>
        <w:tabs>
          <w:tab w:val="left" w:pos="2650"/>
        </w:tabs>
        <w:spacing w:before="120" w:line="360" w:lineRule="auto"/>
        <w:ind w:left="2790" w:right="612" w:hanging="851"/>
        <w:jc w:val="both"/>
      </w:pPr>
      <w:r>
        <w:t>The process MOFCOM used to identify and define the domestic industry introduced material risks of distortion</w:t>
      </w:r>
    </w:p>
    <w:p w14:paraId="51DE8CD1" w14:textId="77777777" w:rsidR="0010369C" w:rsidRDefault="0010369C">
      <w:pPr>
        <w:pStyle w:val="BodyText"/>
        <w:spacing w:before="11"/>
        <w:rPr>
          <w:b/>
          <w:sz w:val="8"/>
        </w:rPr>
      </w:pPr>
    </w:p>
    <w:p w14:paraId="51DE8CD2" w14:textId="77777777" w:rsidR="0010369C" w:rsidRDefault="008E43AE">
      <w:pPr>
        <w:pStyle w:val="BodyText"/>
        <w:spacing w:before="51" w:line="360" w:lineRule="auto"/>
        <w:ind w:left="237" w:right="612" w:firstLine="851"/>
        <w:jc w:val="both"/>
      </w:pPr>
      <w:r>
        <w:rPr>
          <w:noProof/>
        </w:rPr>
        <w:drawing>
          <wp:anchor distT="0" distB="0" distL="0" distR="0" simplePos="0" relativeHeight="251169280" behindDoc="1" locked="0" layoutInCell="1" allowOverlap="1" wp14:anchorId="51DEA418" wp14:editId="51DEA419">
            <wp:simplePos x="0" y="0"/>
            <wp:positionH relativeFrom="page">
              <wp:posOffset>902208</wp:posOffset>
            </wp:positionH>
            <wp:positionV relativeFrom="paragraph">
              <wp:posOffset>80722</wp:posOffset>
            </wp:positionV>
            <wp:extent cx="262127" cy="103631"/>
            <wp:effectExtent l="0" t="0" r="0" b="0"/>
            <wp:wrapNone/>
            <wp:docPr id="1061" name="image5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 name="image542.png"/>
                    <pic:cNvPicPr/>
                  </pic:nvPicPr>
                  <pic:blipFill>
                    <a:blip r:embed="rId711" cstate="print"/>
                    <a:stretch>
                      <a:fillRect/>
                    </a:stretch>
                  </pic:blipFill>
                  <pic:spPr>
                    <a:xfrm>
                      <a:off x="0" y="0"/>
                      <a:ext cx="262127" cy="103631"/>
                    </a:xfrm>
                    <a:prstGeom prst="rect">
                      <a:avLst/>
                    </a:prstGeom>
                  </pic:spPr>
                </pic:pic>
              </a:graphicData>
            </a:graphic>
          </wp:anchor>
        </w:drawing>
      </w:r>
      <w:r>
        <w:t>The</w:t>
      </w:r>
      <w:r>
        <w:rPr>
          <w:spacing w:val="-6"/>
        </w:rPr>
        <w:t xml:space="preserve"> </w:t>
      </w:r>
      <w:r>
        <w:t>Appellate</w:t>
      </w:r>
      <w:r>
        <w:rPr>
          <w:spacing w:val="-6"/>
        </w:rPr>
        <w:t xml:space="preserve"> </w:t>
      </w:r>
      <w:r>
        <w:t>Body</w:t>
      </w:r>
      <w:r>
        <w:rPr>
          <w:spacing w:val="-6"/>
        </w:rPr>
        <w:t xml:space="preserve"> </w:t>
      </w:r>
      <w:r>
        <w:t>has</w:t>
      </w:r>
      <w:r>
        <w:rPr>
          <w:spacing w:val="-8"/>
        </w:rPr>
        <w:t xml:space="preserve"> </w:t>
      </w:r>
      <w:r>
        <w:t>held</w:t>
      </w:r>
      <w:r>
        <w:rPr>
          <w:spacing w:val="-6"/>
        </w:rPr>
        <w:t xml:space="preserve"> </w:t>
      </w:r>
      <w:r>
        <w:t>that</w:t>
      </w:r>
      <w:r>
        <w:rPr>
          <w:spacing w:val="-6"/>
        </w:rPr>
        <w:t xml:space="preserve"> </w:t>
      </w:r>
      <w:r>
        <w:t>"to</w:t>
      </w:r>
      <w:r>
        <w:rPr>
          <w:spacing w:val="-6"/>
        </w:rPr>
        <w:t xml:space="preserve"> </w:t>
      </w:r>
      <w:r>
        <w:t>ensure</w:t>
      </w:r>
      <w:r>
        <w:rPr>
          <w:spacing w:val="-6"/>
        </w:rPr>
        <w:t xml:space="preserve"> </w:t>
      </w:r>
      <w:r>
        <w:t>the</w:t>
      </w:r>
      <w:r>
        <w:rPr>
          <w:spacing w:val="-7"/>
        </w:rPr>
        <w:t xml:space="preserve"> </w:t>
      </w:r>
      <w:r>
        <w:t>accuracy</w:t>
      </w:r>
      <w:r>
        <w:rPr>
          <w:spacing w:val="-6"/>
        </w:rPr>
        <w:t xml:space="preserve"> </w:t>
      </w:r>
      <w:r>
        <w:t>of</w:t>
      </w:r>
      <w:r>
        <w:rPr>
          <w:spacing w:val="-8"/>
        </w:rPr>
        <w:t xml:space="preserve"> </w:t>
      </w:r>
      <w:r>
        <w:t>an</w:t>
      </w:r>
      <w:r>
        <w:rPr>
          <w:spacing w:val="-7"/>
        </w:rPr>
        <w:t xml:space="preserve"> </w:t>
      </w:r>
      <w:r>
        <w:t>injury</w:t>
      </w:r>
      <w:r>
        <w:rPr>
          <w:spacing w:val="-6"/>
        </w:rPr>
        <w:t xml:space="preserve"> </w:t>
      </w:r>
      <w:r>
        <w:t>determination, an investigating authority must not act so as to give rise to a material risk of distortion in defining the domestic industry, for example, by excluding a whole category of producers of the</w:t>
      </w:r>
      <w:r>
        <w:rPr>
          <w:spacing w:val="-6"/>
        </w:rPr>
        <w:t xml:space="preserve"> </w:t>
      </w:r>
      <w:r>
        <w:t>like</w:t>
      </w:r>
      <w:r>
        <w:rPr>
          <w:spacing w:val="-5"/>
        </w:rPr>
        <w:t xml:space="preserve"> </w:t>
      </w:r>
      <w:r>
        <w:t>product".</w:t>
      </w:r>
      <w:r>
        <w:rPr>
          <w:vertAlign w:val="superscript"/>
        </w:rPr>
        <w:t>587</w:t>
      </w:r>
      <w:r>
        <w:rPr>
          <w:spacing w:val="-7"/>
        </w:rPr>
        <w:t xml:space="preserve"> </w:t>
      </w:r>
      <w:r>
        <w:t>An</w:t>
      </w:r>
      <w:r>
        <w:rPr>
          <w:spacing w:val="-7"/>
        </w:rPr>
        <w:t xml:space="preserve"> </w:t>
      </w:r>
      <w:r>
        <w:t>investig</w:t>
      </w:r>
      <w:r>
        <w:t>ating</w:t>
      </w:r>
      <w:r>
        <w:rPr>
          <w:spacing w:val="-5"/>
        </w:rPr>
        <w:t xml:space="preserve"> </w:t>
      </w:r>
      <w:r>
        <w:t>authority</w:t>
      </w:r>
      <w:r>
        <w:rPr>
          <w:spacing w:val="-6"/>
        </w:rPr>
        <w:t xml:space="preserve"> </w:t>
      </w:r>
      <w:r>
        <w:t>"bears</w:t>
      </w:r>
      <w:r>
        <w:rPr>
          <w:spacing w:val="-7"/>
        </w:rPr>
        <w:t xml:space="preserve"> </w:t>
      </w:r>
      <w:r>
        <w:t>the</w:t>
      </w:r>
      <w:r>
        <w:rPr>
          <w:spacing w:val="-6"/>
        </w:rPr>
        <w:t xml:space="preserve"> </w:t>
      </w:r>
      <w:r>
        <w:t>obligation</w:t>
      </w:r>
      <w:r>
        <w:rPr>
          <w:spacing w:val="-6"/>
        </w:rPr>
        <w:t xml:space="preserve"> </w:t>
      </w:r>
      <w:r>
        <w:t>to</w:t>
      </w:r>
      <w:r>
        <w:rPr>
          <w:spacing w:val="-6"/>
        </w:rPr>
        <w:t xml:space="preserve"> </w:t>
      </w:r>
      <w:r>
        <w:t>ensure</w:t>
      </w:r>
      <w:r>
        <w:rPr>
          <w:spacing w:val="-6"/>
        </w:rPr>
        <w:t xml:space="preserve"> </w:t>
      </w:r>
      <w:r>
        <w:t>that</w:t>
      </w:r>
      <w:r>
        <w:rPr>
          <w:spacing w:val="-6"/>
        </w:rPr>
        <w:t xml:space="preserve"> </w:t>
      </w:r>
      <w:r>
        <w:t>the</w:t>
      </w:r>
      <w:r>
        <w:rPr>
          <w:spacing w:val="-7"/>
        </w:rPr>
        <w:t xml:space="preserve"> </w:t>
      </w:r>
      <w:r>
        <w:t>way</w:t>
      </w:r>
      <w:r>
        <w:rPr>
          <w:spacing w:val="-6"/>
        </w:rPr>
        <w:t xml:space="preserve"> </w:t>
      </w:r>
      <w:r>
        <w:t>in which it defines the domestic industry does not introduce a material risk of skewing the economic data and, consequently, distorting its analysis of the state of the industry".</w:t>
      </w:r>
      <w:r>
        <w:rPr>
          <w:vertAlign w:val="superscript"/>
        </w:rPr>
        <w:t>588</w:t>
      </w:r>
    </w:p>
    <w:p w14:paraId="51DE8CD3" w14:textId="77777777" w:rsidR="0010369C" w:rsidRDefault="0010369C">
      <w:pPr>
        <w:pStyle w:val="BodyText"/>
        <w:rPr>
          <w:sz w:val="20"/>
        </w:rPr>
      </w:pPr>
    </w:p>
    <w:p w14:paraId="51DE8CD4" w14:textId="77777777" w:rsidR="0010369C" w:rsidRDefault="0010369C">
      <w:pPr>
        <w:pStyle w:val="BodyText"/>
        <w:rPr>
          <w:sz w:val="20"/>
        </w:rPr>
      </w:pPr>
    </w:p>
    <w:p w14:paraId="51DE8CD5" w14:textId="77777777" w:rsidR="0010369C" w:rsidRDefault="0010369C">
      <w:pPr>
        <w:pStyle w:val="BodyText"/>
        <w:rPr>
          <w:sz w:val="20"/>
        </w:rPr>
      </w:pPr>
    </w:p>
    <w:p w14:paraId="51DE8CD6" w14:textId="77777777" w:rsidR="0010369C" w:rsidRDefault="008E43AE">
      <w:pPr>
        <w:pStyle w:val="BodyText"/>
        <w:rPr>
          <w:sz w:val="15"/>
        </w:rPr>
      </w:pPr>
      <w:r>
        <w:pict w14:anchorId="51DEA41A">
          <v:rect id="docshape1000" o:spid="_x0000_s1367" style="position:absolute;margin-left:70.9pt;margin-top:10.4pt;width:2in;height:.8pt;z-index:-250851840;mso-wrap-distance-left:0;mso-wrap-distance-right:0;mso-position-horizontal-relative:page" fillcolor="black" stroked="f">
            <w10:wrap type="topAndBottom" anchorx="page"/>
          </v:rect>
        </w:pict>
      </w:r>
    </w:p>
    <w:p w14:paraId="51DE8CD7" w14:textId="77777777" w:rsidR="0010369C" w:rsidRDefault="008E43AE">
      <w:pPr>
        <w:spacing w:before="150" w:line="177" w:lineRule="auto"/>
        <w:ind w:left="238" w:hanging="1"/>
        <w:rPr>
          <w:sz w:val="18"/>
        </w:rPr>
      </w:pPr>
      <w:r>
        <w:rPr>
          <w:sz w:val="18"/>
          <w:vertAlign w:val="superscript"/>
        </w:rPr>
        <w:t>586</w:t>
      </w:r>
      <w:r>
        <w:rPr>
          <w:sz w:val="18"/>
        </w:rPr>
        <w:t xml:space="preserve"> COF</w:t>
      </w:r>
      <w:r>
        <w:rPr>
          <w:sz w:val="18"/>
        </w:rPr>
        <w:t>CO Anti‐Dumping Questionnaire Response (Exhibit AUS‐44),p.38; Turpan Louland Wine Anti‐Dumping Questionnaire Response</w:t>
      </w:r>
      <w:r>
        <w:rPr>
          <w:spacing w:val="-5"/>
          <w:sz w:val="18"/>
        </w:rPr>
        <w:t xml:space="preserve"> </w:t>
      </w:r>
      <w:r>
        <w:rPr>
          <w:sz w:val="18"/>
        </w:rPr>
        <w:t>(Exhibit</w:t>
      </w:r>
      <w:r>
        <w:rPr>
          <w:spacing w:val="-3"/>
          <w:sz w:val="18"/>
        </w:rPr>
        <w:t xml:space="preserve"> </w:t>
      </w:r>
      <w:r>
        <w:rPr>
          <w:sz w:val="18"/>
        </w:rPr>
        <w:t>AUS‐54),</w:t>
      </w:r>
      <w:r>
        <w:rPr>
          <w:spacing w:val="-3"/>
          <w:sz w:val="18"/>
        </w:rPr>
        <w:t xml:space="preserve"> </w:t>
      </w:r>
      <w:r>
        <w:rPr>
          <w:sz w:val="18"/>
        </w:rPr>
        <w:t>p.</w:t>
      </w:r>
      <w:r>
        <w:rPr>
          <w:spacing w:val="-3"/>
          <w:sz w:val="18"/>
        </w:rPr>
        <w:t xml:space="preserve"> </w:t>
      </w:r>
      <w:r>
        <w:rPr>
          <w:sz w:val="18"/>
        </w:rPr>
        <w:t>36;</w:t>
      </w:r>
      <w:r>
        <w:rPr>
          <w:spacing w:val="-4"/>
          <w:sz w:val="18"/>
        </w:rPr>
        <w:t xml:space="preserve"> </w:t>
      </w:r>
      <w:r>
        <w:rPr>
          <w:sz w:val="18"/>
        </w:rPr>
        <w:t>Ningxia</w:t>
      </w:r>
      <w:r>
        <w:rPr>
          <w:spacing w:val="-3"/>
          <w:sz w:val="18"/>
        </w:rPr>
        <w:t xml:space="preserve"> </w:t>
      </w:r>
      <w:r>
        <w:rPr>
          <w:sz w:val="18"/>
        </w:rPr>
        <w:t>Anti‐Dumping</w:t>
      </w:r>
      <w:r>
        <w:rPr>
          <w:spacing w:val="-3"/>
          <w:sz w:val="18"/>
        </w:rPr>
        <w:t xml:space="preserve"> </w:t>
      </w:r>
      <w:r>
        <w:rPr>
          <w:sz w:val="18"/>
        </w:rPr>
        <w:t>Questionnaire</w:t>
      </w:r>
      <w:r>
        <w:rPr>
          <w:spacing w:val="-3"/>
          <w:sz w:val="18"/>
        </w:rPr>
        <w:t xml:space="preserve"> </w:t>
      </w:r>
      <w:r>
        <w:rPr>
          <w:sz w:val="18"/>
        </w:rPr>
        <w:t>Response</w:t>
      </w:r>
      <w:r>
        <w:rPr>
          <w:spacing w:val="-3"/>
          <w:sz w:val="18"/>
        </w:rPr>
        <w:t xml:space="preserve"> </w:t>
      </w:r>
      <w:r>
        <w:rPr>
          <w:sz w:val="18"/>
        </w:rPr>
        <w:t>(Exhibit</w:t>
      </w:r>
      <w:r>
        <w:rPr>
          <w:spacing w:val="-3"/>
          <w:sz w:val="18"/>
        </w:rPr>
        <w:t xml:space="preserve"> </w:t>
      </w:r>
      <w:r>
        <w:rPr>
          <w:sz w:val="18"/>
        </w:rPr>
        <w:t>AUS‐57),</w:t>
      </w:r>
      <w:r>
        <w:rPr>
          <w:spacing w:val="-4"/>
          <w:sz w:val="18"/>
        </w:rPr>
        <w:t xml:space="preserve"> </w:t>
      </w:r>
      <w:r>
        <w:rPr>
          <w:sz w:val="18"/>
        </w:rPr>
        <w:t>pp.</w:t>
      </w:r>
      <w:r>
        <w:rPr>
          <w:spacing w:val="-3"/>
          <w:sz w:val="18"/>
        </w:rPr>
        <w:t xml:space="preserve"> </w:t>
      </w:r>
      <w:r>
        <w:rPr>
          <w:sz w:val="18"/>
        </w:rPr>
        <w:t>36‐37;</w:t>
      </w:r>
      <w:r>
        <w:rPr>
          <w:spacing w:val="-4"/>
          <w:sz w:val="18"/>
        </w:rPr>
        <w:t xml:space="preserve"> </w:t>
      </w:r>
      <w:r>
        <w:rPr>
          <w:sz w:val="18"/>
        </w:rPr>
        <w:t>Gansu</w:t>
      </w:r>
      <w:r>
        <w:rPr>
          <w:spacing w:val="-3"/>
          <w:sz w:val="18"/>
        </w:rPr>
        <w:t xml:space="preserve"> </w:t>
      </w:r>
      <w:r>
        <w:rPr>
          <w:spacing w:val="-2"/>
          <w:sz w:val="18"/>
        </w:rPr>
        <w:t>Mogao</w:t>
      </w:r>
    </w:p>
    <w:p w14:paraId="51DE8CD8" w14:textId="77777777" w:rsidR="0010369C" w:rsidRDefault="008E43AE">
      <w:pPr>
        <w:spacing w:before="13"/>
        <w:ind w:left="237" w:right="611"/>
        <w:rPr>
          <w:sz w:val="18"/>
        </w:rPr>
      </w:pPr>
      <w:r>
        <w:rPr>
          <w:sz w:val="18"/>
        </w:rPr>
        <w:t>Industrial Development Anti‐Dumping Questionnaire Response (Exhibit AUS‐58), p. 38; Gansu Zixuan Wine Anti‐Dumping Questionnaire Response (Exhibit AUS‐59), p. 36;</w:t>
      </w:r>
      <w:r>
        <w:rPr>
          <w:spacing w:val="-1"/>
          <w:sz w:val="18"/>
        </w:rPr>
        <w:t xml:space="preserve"> </w:t>
      </w:r>
      <w:r>
        <w:rPr>
          <w:sz w:val="18"/>
        </w:rPr>
        <w:t>Kweichow Moutai Distillery Anti‐Dumping Questionnaire Response (Exhibit AUS‐60), pp. 37‐38; Q</w:t>
      </w:r>
      <w:r>
        <w:rPr>
          <w:sz w:val="18"/>
        </w:rPr>
        <w:t>ingdao Huadong Winery Anti‐Dumping Questionnaire Response (Exhibit AUS‐61), p. 36;</w:t>
      </w:r>
      <w:r>
        <w:rPr>
          <w:spacing w:val="40"/>
          <w:sz w:val="18"/>
        </w:rPr>
        <w:t xml:space="preserve"> </w:t>
      </w:r>
      <w:r>
        <w:rPr>
          <w:sz w:val="18"/>
        </w:rPr>
        <w:t>Shangri‐La</w:t>
      </w:r>
      <w:r>
        <w:rPr>
          <w:spacing w:val="40"/>
          <w:sz w:val="18"/>
        </w:rPr>
        <w:t xml:space="preserve"> </w:t>
      </w:r>
      <w:r>
        <w:rPr>
          <w:sz w:val="18"/>
        </w:rPr>
        <w:t>Wine</w:t>
      </w:r>
      <w:r>
        <w:rPr>
          <w:spacing w:val="24"/>
          <w:sz w:val="18"/>
        </w:rPr>
        <w:t xml:space="preserve"> </w:t>
      </w:r>
      <w:r>
        <w:rPr>
          <w:sz w:val="18"/>
        </w:rPr>
        <w:t>Anti‐Dumping</w:t>
      </w:r>
      <w:r>
        <w:rPr>
          <w:spacing w:val="24"/>
          <w:sz w:val="18"/>
        </w:rPr>
        <w:t xml:space="preserve"> </w:t>
      </w:r>
      <w:r>
        <w:rPr>
          <w:sz w:val="18"/>
        </w:rPr>
        <w:t>Questionnaire</w:t>
      </w:r>
      <w:r>
        <w:rPr>
          <w:spacing w:val="24"/>
          <w:sz w:val="18"/>
        </w:rPr>
        <w:t xml:space="preserve"> </w:t>
      </w:r>
      <w:r>
        <w:rPr>
          <w:sz w:val="18"/>
        </w:rPr>
        <w:t>Response</w:t>
      </w:r>
      <w:r>
        <w:rPr>
          <w:spacing w:val="23"/>
          <w:sz w:val="18"/>
        </w:rPr>
        <w:t xml:space="preserve"> </w:t>
      </w:r>
      <w:r>
        <w:rPr>
          <w:sz w:val="18"/>
        </w:rPr>
        <w:t>(Exhibit</w:t>
      </w:r>
      <w:r>
        <w:rPr>
          <w:spacing w:val="24"/>
          <w:sz w:val="18"/>
        </w:rPr>
        <w:t xml:space="preserve"> </w:t>
      </w:r>
      <w:r>
        <w:rPr>
          <w:sz w:val="18"/>
        </w:rPr>
        <w:t>AUS‐62),</w:t>
      </w:r>
      <w:r>
        <w:rPr>
          <w:spacing w:val="24"/>
          <w:sz w:val="18"/>
        </w:rPr>
        <w:t xml:space="preserve"> </w:t>
      </w:r>
      <w:r>
        <w:rPr>
          <w:sz w:val="18"/>
        </w:rPr>
        <w:t>p.</w:t>
      </w:r>
      <w:r>
        <w:rPr>
          <w:spacing w:val="25"/>
          <w:sz w:val="18"/>
        </w:rPr>
        <w:t xml:space="preserve"> </w:t>
      </w:r>
      <w:r>
        <w:rPr>
          <w:sz w:val="18"/>
        </w:rPr>
        <w:t>37;</w:t>
      </w:r>
      <w:r>
        <w:rPr>
          <w:spacing w:val="24"/>
          <w:sz w:val="18"/>
        </w:rPr>
        <w:t xml:space="preserve"> </w:t>
      </w:r>
      <w:r>
        <w:rPr>
          <w:sz w:val="18"/>
        </w:rPr>
        <w:t>Shanxi</w:t>
      </w:r>
      <w:r>
        <w:rPr>
          <w:spacing w:val="25"/>
          <w:sz w:val="18"/>
        </w:rPr>
        <w:t xml:space="preserve"> </w:t>
      </w:r>
      <w:r>
        <w:rPr>
          <w:sz w:val="18"/>
        </w:rPr>
        <w:t>Rongzi</w:t>
      </w:r>
      <w:r>
        <w:rPr>
          <w:spacing w:val="24"/>
          <w:sz w:val="18"/>
        </w:rPr>
        <w:t xml:space="preserve"> </w:t>
      </w:r>
      <w:r>
        <w:rPr>
          <w:sz w:val="18"/>
        </w:rPr>
        <w:t>Winery</w:t>
      </w:r>
      <w:r>
        <w:rPr>
          <w:spacing w:val="24"/>
          <w:sz w:val="18"/>
        </w:rPr>
        <w:t xml:space="preserve"> </w:t>
      </w:r>
      <w:r>
        <w:rPr>
          <w:sz w:val="18"/>
        </w:rPr>
        <w:t>Anti‐Dumping</w:t>
      </w:r>
      <w:r>
        <w:rPr>
          <w:spacing w:val="24"/>
          <w:sz w:val="18"/>
        </w:rPr>
        <w:t xml:space="preserve"> </w:t>
      </w:r>
      <w:r>
        <w:rPr>
          <w:sz w:val="18"/>
        </w:rPr>
        <w:t>Questionnaire Response (Exhibit AUS‐63), p. 37; Tonghua Winery</w:t>
      </w:r>
      <w:r>
        <w:rPr>
          <w:sz w:val="18"/>
        </w:rPr>
        <w:t xml:space="preserve"> Anti‐Dumping Questionnaire Response (Exhibit AUS‐43), p.38; Xinjiang West</w:t>
      </w:r>
      <w:r>
        <w:rPr>
          <w:spacing w:val="-11"/>
          <w:sz w:val="18"/>
        </w:rPr>
        <w:t xml:space="preserve"> </w:t>
      </w:r>
      <w:r>
        <w:rPr>
          <w:sz w:val="18"/>
        </w:rPr>
        <w:t>Region</w:t>
      </w:r>
      <w:r>
        <w:rPr>
          <w:spacing w:val="-10"/>
          <w:sz w:val="18"/>
        </w:rPr>
        <w:t xml:space="preserve"> </w:t>
      </w:r>
      <w:r>
        <w:rPr>
          <w:sz w:val="18"/>
        </w:rPr>
        <w:t>Pearl</w:t>
      </w:r>
      <w:r>
        <w:rPr>
          <w:spacing w:val="-10"/>
          <w:sz w:val="18"/>
        </w:rPr>
        <w:t xml:space="preserve"> </w:t>
      </w:r>
      <w:r>
        <w:rPr>
          <w:sz w:val="18"/>
        </w:rPr>
        <w:t>Winery</w:t>
      </w:r>
      <w:r>
        <w:rPr>
          <w:spacing w:val="-10"/>
          <w:sz w:val="18"/>
        </w:rPr>
        <w:t xml:space="preserve"> </w:t>
      </w:r>
      <w:r>
        <w:rPr>
          <w:sz w:val="18"/>
        </w:rPr>
        <w:t>Anti‐dumping</w:t>
      </w:r>
      <w:r>
        <w:rPr>
          <w:spacing w:val="-9"/>
          <w:sz w:val="18"/>
        </w:rPr>
        <w:t xml:space="preserve"> </w:t>
      </w:r>
      <w:r>
        <w:rPr>
          <w:sz w:val="18"/>
        </w:rPr>
        <w:t>Questionnaire</w:t>
      </w:r>
      <w:r>
        <w:rPr>
          <w:spacing w:val="-10"/>
          <w:sz w:val="18"/>
        </w:rPr>
        <w:t xml:space="preserve"> </w:t>
      </w:r>
      <w:r>
        <w:rPr>
          <w:sz w:val="18"/>
        </w:rPr>
        <w:t>Response</w:t>
      </w:r>
      <w:r>
        <w:rPr>
          <w:spacing w:val="-10"/>
          <w:sz w:val="18"/>
        </w:rPr>
        <w:t xml:space="preserve"> </w:t>
      </w:r>
      <w:r>
        <w:rPr>
          <w:sz w:val="18"/>
        </w:rPr>
        <w:t>(Exhibit</w:t>
      </w:r>
      <w:r>
        <w:rPr>
          <w:spacing w:val="-9"/>
          <w:sz w:val="18"/>
        </w:rPr>
        <w:t xml:space="preserve"> </w:t>
      </w:r>
      <w:r>
        <w:rPr>
          <w:sz w:val="18"/>
        </w:rPr>
        <w:t>AUS‐45),</w:t>
      </w:r>
      <w:r>
        <w:rPr>
          <w:spacing w:val="-10"/>
          <w:sz w:val="18"/>
        </w:rPr>
        <w:t xml:space="preserve"> </w:t>
      </w:r>
      <w:r>
        <w:rPr>
          <w:sz w:val="18"/>
        </w:rPr>
        <w:t>p.</w:t>
      </w:r>
      <w:r>
        <w:rPr>
          <w:spacing w:val="-10"/>
          <w:sz w:val="18"/>
        </w:rPr>
        <w:t xml:space="preserve"> </w:t>
      </w:r>
      <w:r>
        <w:rPr>
          <w:sz w:val="18"/>
        </w:rPr>
        <w:t>35;</w:t>
      </w:r>
      <w:r>
        <w:rPr>
          <w:spacing w:val="-10"/>
          <w:sz w:val="18"/>
        </w:rPr>
        <w:t xml:space="preserve"> </w:t>
      </w:r>
      <w:r>
        <w:rPr>
          <w:sz w:val="18"/>
        </w:rPr>
        <w:t>Yunan</w:t>
      </w:r>
      <w:r>
        <w:rPr>
          <w:spacing w:val="-10"/>
          <w:sz w:val="18"/>
        </w:rPr>
        <w:t xml:space="preserve"> </w:t>
      </w:r>
      <w:r>
        <w:rPr>
          <w:sz w:val="18"/>
        </w:rPr>
        <w:t>Gaoyuan</w:t>
      </w:r>
      <w:r>
        <w:rPr>
          <w:spacing w:val="-9"/>
          <w:sz w:val="18"/>
        </w:rPr>
        <w:t xml:space="preserve"> </w:t>
      </w:r>
      <w:r>
        <w:rPr>
          <w:sz w:val="18"/>
        </w:rPr>
        <w:t>Wine</w:t>
      </w:r>
      <w:r>
        <w:rPr>
          <w:spacing w:val="-11"/>
          <w:sz w:val="18"/>
        </w:rPr>
        <w:t xml:space="preserve"> </w:t>
      </w:r>
      <w:r>
        <w:rPr>
          <w:sz w:val="18"/>
        </w:rPr>
        <w:t>Anti‐Dumping Questionnaire Response (Exhibit AUS‐46), p. 35; CITIC Guoan Wine Anti‐Dumping Questionnaire Response (Exhibit AUS‐47),</w:t>
      </w:r>
    </w:p>
    <w:p w14:paraId="51DE8CD9" w14:textId="77777777" w:rsidR="0010369C" w:rsidRDefault="008E43AE">
      <w:pPr>
        <w:spacing w:before="1"/>
        <w:ind w:left="236" w:right="612"/>
        <w:jc w:val="both"/>
        <w:rPr>
          <w:sz w:val="18"/>
        </w:rPr>
      </w:pPr>
      <w:r>
        <w:rPr>
          <w:sz w:val="18"/>
        </w:rPr>
        <w:t>p. 37; Chateau Junding Anti‐Dumping Questionnaire Response (Exhibit AUS‐48), p. 37; Xinjiang Sunyard Wine Anti‐Dumping Quest</w:t>
      </w:r>
      <w:r>
        <w:rPr>
          <w:sz w:val="18"/>
        </w:rPr>
        <w:t>ionnaire</w:t>
      </w:r>
      <w:r>
        <w:rPr>
          <w:spacing w:val="-4"/>
          <w:sz w:val="18"/>
        </w:rPr>
        <w:t xml:space="preserve"> </w:t>
      </w:r>
      <w:r>
        <w:rPr>
          <w:sz w:val="18"/>
        </w:rPr>
        <w:t>Response</w:t>
      </w:r>
      <w:r>
        <w:rPr>
          <w:spacing w:val="-5"/>
          <w:sz w:val="18"/>
        </w:rPr>
        <w:t xml:space="preserve"> </w:t>
      </w:r>
      <w:r>
        <w:rPr>
          <w:sz w:val="18"/>
        </w:rPr>
        <w:t>(Exhibit</w:t>
      </w:r>
      <w:r>
        <w:rPr>
          <w:spacing w:val="-4"/>
          <w:sz w:val="18"/>
        </w:rPr>
        <w:t xml:space="preserve"> </w:t>
      </w:r>
      <w:r>
        <w:rPr>
          <w:sz w:val="18"/>
        </w:rPr>
        <w:t>AUS‐49),</w:t>
      </w:r>
      <w:r>
        <w:rPr>
          <w:spacing w:val="-5"/>
          <w:sz w:val="18"/>
        </w:rPr>
        <w:t xml:space="preserve"> </w:t>
      </w:r>
      <w:r>
        <w:rPr>
          <w:sz w:val="18"/>
        </w:rPr>
        <w:t>p.</w:t>
      </w:r>
      <w:r>
        <w:rPr>
          <w:spacing w:val="-4"/>
          <w:sz w:val="18"/>
        </w:rPr>
        <w:t xml:space="preserve"> </w:t>
      </w:r>
      <w:r>
        <w:rPr>
          <w:sz w:val="18"/>
        </w:rPr>
        <w:t>36;</w:t>
      </w:r>
      <w:r>
        <w:rPr>
          <w:spacing w:val="-7"/>
          <w:sz w:val="18"/>
        </w:rPr>
        <w:t xml:space="preserve"> </w:t>
      </w:r>
      <w:r>
        <w:rPr>
          <w:sz w:val="18"/>
        </w:rPr>
        <w:t>Tonghua</w:t>
      </w:r>
      <w:r>
        <w:rPr>
          <w:spacing w:val="-4"/>
          <w:sz w:val="18"/>
        </w:rPr>
        <w:t xml:space="preserve"> </w:t>
      </w:r>
      <w:r>
        <w:rPr>
          <w:sz w:val="18"/>
        </w:rPr>
        <w:t>Tontine</w:t>
      </w:r>
      <w:r>
        <w:rPr>
          <w:spacing w:val="-4"/>
          <w:sz w:val="18"/>
        </w:rPr>
        <w:t xml:space="preserve"> </w:t>
      </w:r>
      <w:r>
        <w:rPr>
          <w:sz w:val="18"/>
        </w:rPr>
        <w:t>Wine</w:t>
      </w:r>
      <w:r>
        <w:rPr>
          <w:spacing w:val="-5"/>
          <w:sz w:val="18"/>
        </w:rPr>
        <w:t xml:space="preserve"> </w:t>
      </w:r>
      <w:r>
        <w:rPr>
          <w:sz w:val="18"/>
        </w:rPr>
        <w:t>Anti‐Dumping</w:t>
      </w:r>
      <w:r>
        <w:rPr>
          <w:spacing w:val="-4"/>
          <w:sz w:val="18"/>
        </w:rPr>
        <w:t xml:space="preserve"> </w:t>
      </w:r>
      <w:r>
        <w:rPr>
          <w:sz w:val="18"/>
        </w:rPr>
        <w:t>Questionnaire</w:t>
      </w:r>
      <w:r>
        <w:rPr>
          <w:spacing w:val="-5"/>
          <w:sz w:val="18"/>
        </w:rPr>
        <w:t xml:space="preserve"> </w:t>
      </w:r>
      <w:r>
        <w:rPr>
          <w:sz w:val="18"/>
        </w:rPr>
        <w:t>Response</w:t>
      </w:r>
      <w:r>
        <w:rPr>
          <w:spacing w:val="-5"/>
          <w:sz w:val="18"/>
        </w:rPr>
        <w:t xml:space="preserve"> </w:t>
      </w:r>
      <w:r>
        <w:rPr>
          <w:sz w:val="18"/>
        </w:rPr>
        <w:t>(Exhibit</w:t>
      </w:r>
      <w:r>
        <w:rPr>
          <w:spacing w:val="-4"/>
          <w:sz w:val="18"/>
        </w:rPr>
        <w:t xml:space="preserve"> </w:t>
      </w:r>
      <w:r>
        <w:rPr>
          <w:sz w:val="18"/>
        </w:rPr>
        <w:t>AUS‐ 50),</w:t>
      </w:r>
      <w:r>
        <w:rPr>
          <w:spacing w:val="-2"/>
          <w:sz w:val="18"/>
        </w:rPr>
        <w:t xml:space="preserve"> </w:t>
      </w:r>
      <w:r>
        <w:rPr>
          <w:sz w:val="18"/>
        </w:rPr>
        <w:t>p.</w:t>
      </w:r>
      <w:r>
        <w:rPr>
          <w:spacing w:val="-1"/>
          <w:sz w:val="18"/>
        </w:rPr>
        <w:t xml:space="preserve"> </w:t>
      </w:r>
      <w:r>
        <w:rPr>
          <w:sz w:val="18"/>
        </w:rPr>
        <w:t>38;</w:t>
      </w:r>
      <w:r>
        <w:rPr>
          <w:spacing w:val="-2"/>
          <w:sz w:val="18"/>
        </w:rPr>
        <w:t xml:space="preserve"> </w:t>
      </w:r>
      <w:r>
        <w:rPr>
          <w:sz w:val="18"/>
        </w:rPr>
        <w:t>Grand</w:t>
      </w:r>
      <w:r>
        <w:rPr>
          <w:spacing w:val="-1"/>
          <w:sz w:val="18"/>
        </w:rPr>
        <w:t xml:space="preserve"> </w:t>
      </w:r>
      <w:r>
        <w:rPr>
          <w:sz w:val="18"/>
        </w:rPr>
        <w:t>Dragon Wine Anti‐Dumping Questionnaire</w:t>
      </w:r>
      <w:r>
        <w:rPr>
          <w:spacing w:val="-1"/>
          <w:sz w:val="18"/>
        </w:rPr>
        <w:t xml:space="preserve"> </w:t>
      </w:r>
      <w:r>
        <w:rPr>
          <w:sz w:val="18"/>
        </w:rPr>
        <w:t>Response</w:t>
      </w:r>
      <w:r>
        <w:rPr>
          <w:spacing w:val="-1"/>
          <w:sz w:val="18"/>
        </w:rPr>
        <w:t xml:space="preserve"> </w:t>
      </w:r>
      <w:r>
        <w:rPr>
          <w:sz w:val="18"/>
        </w:rPr>
        <w:t>(Exhibit AUS‐51),</w:t>
      </w:r>
      <w:r>
        <w:rPr>
          <w:spacing w:val="-2"/>
          <w:sz w:val="18"/>
        </w:rPr>
        <w:t xml:space="preserve"> </w:t>
      </w:r>
      <w:r>
        <w:rPr>
          <w:sz w:val="18"/>
        </w:rPr>
        <w:t>p.</w:t>
      </w:r>
      <w:r>
        <w:rPr>
          <w:spacing w:val="-1"/>
          <w:sz w:val="18"/>
        </w:rPr>
        <w:t xml:space="preserve"> </w:t>
      </w:r>
      <w:r>
        <w:rPr>
          <w:sz w:val="18"/>
        </w:rPr>
        <w:t>39;</w:t>
      </w:r>
      <w:r>
        <w:rPr>
          <w:spacing w:val="-2"/>
          <w:sz w:val="18"/>
        </w:rPr>
        <w:t xml:space="preserve"> </w:t>
      </w:r>
      <w:r>
        <w:rPr>
          <w:sz w:val="18"/>
        </w:rPr>
        <w:t>Yantai</w:t>
      </w:r>
      <w:r>
        <w:rPr>
          <w:spacing w:val="-1"/>
          <w:sz w:val="18"/>
        </w:rPr>
        <w:t xml:space="preserve"> </w:t>
      </w:r>
      <w:r>
        <w:rPr>
          <w:sz w:val="18"/>
        </w:rPr>
        <w:t xml:space="preserve">Landsun Anti‐Dumping Questionnaire Response </w:t>
      </w:r>
      <w:r>
        <w:rPr>
          <w:sz w:val="18"/>
        </w:rPr>
        <w:t>(Exhibit AUS‐52), p. 3; Changyu Wines Anti‐Dumping Questionnaire Response</w:t>
      </w:r>
      <w:r>
        <w:rPr>
          <w:spacing w:val="-3"/>
          <w:sz w:val="18"/>
        </w:rPr>
        <w:t xml:space="preserve"> </w:t>
      </w:r>
      <w:r>
        <w:rPr>
          <w:sz w:val="18"/>
        </w:rPr>
        <w:t>(Exhibit AUS‐53), p. 38; Dynasty Fine Wine Anti‐Dumping Questionnaire Response (Exhibit AUS‐55); p. 38; and Beijing Fengshou Wine Anti‐ Dumping Questionnaire Response (Exhibit AUS‐56</w:t>
      </w:r>
      <w:r>
        <w:rPr>
          <w:sz w:val="18"/>
        </w:rPr>
        <w:t>), p. 41.</w:t>
      </w:r>
    </w:p>
    <w:p w14:paraId="51DE8CDA" w14:textId="77777777" w:rsidR="0010369C" w:rsidRDefault="008E43AE">
      <w:pPr>
        <w:spacing w:before="56"/>
        <w:ind w:left="238"/>
        <w:jc w:val="both"/>
        <w:rPr>
          <w:sz w:val="18"/>
        </w:rPr>
      </w:pPr>
      <w:r>
        <w:rPr>
          <w:sz w:val="18"/>
          <w:vertAlign w:val="superscript"/>
        </w:rPr>
        <w:t>587</w:t>
      </w:r>
      <w:r>
        <w:rPr>
          <w:sz w:val="18"/>
        </w:rPr>
        <w:t>Appellate</w:t>
      </w:r>
      <w:r>
        <w:rPr>
          <w:spacing w:val="-7"/>
          <w:sz w:val="18"/>
        </w:rPr>
        <w:t xml:space="preserve"> </w:t>
      </w:r>
      <w:r>
        <w:rPr>
          <w:sz w:val="18"/>
        </w:rPr>
        <w:t>Body</w:t>
      </w:r>
      <w:r>
        <w:rPr>
          <w:spacing w:val="-7"/>
          <w:sz w:val="18"/>
        </w:rPr>
        <w:t xml:space="preserve"> </w:t>
      </w:r>
      <w:r>
        <w:rPr>
          <w:sz w:val="18"/>
        </w:rPr>
        <w:t>Report,</w:t>
      </w:r>
      <w:r>
        <w:rPr>
          <w:spacing w:val="-6"/>
          <w:sz w:val="18"/>
        </w:rPr>
        <w:t xml:space="preserve"> </w:t>
      </w:r>
      <w:r>
        <w:rPr>
          <w:i/>
          <w:sz w:val="18"/>
        </w:rPr>
        <w:t>EC</w:t>
      </w:r>
      <w:r>
        <w:rPr>
          <w:i/>
          <w:spacing w:val="-7"/>
          <w:sz w:val="18"/>
        </w:rPr>
        <w:t xml:space="preserve"> </w:t>
      </w:r>
      <w:r>
        <w:rPr>
          <w:i/>
          <w:sz w:val="18"/>
        </w:rPr>
        <w:t>–</w:t>
      </w:r>
      <w:r>
        <w:rPr>
          <w:i/>
          <w:spacing w:val="-6"/>
          <w:sz w:val="18"/>
        </w:rPr>
        <w:t xml:space="preserve"> </w:t>
      </w:r>
      <w:r>
        <w:rPr>
          <w:i/>
          <w:sz w:val="18"/>
        </w:rPr>
        <w:t>Fasteners</w:t>
      </w:r>
      <w:r>
        <w:rPr>
          <w:i/>
          <w:spacing w:val="-6"/>
          <w:sz w:val="18"/>
        </w:rPr>
        <w:t xml:space="preserve"> </w:t>
      </w:r>
      <w:r>
        <w:rPr>
          <w:i/>
          <w:sz w:val="18"/>
        </w:rPr>
        <w:t>(China)</w:t>
      </w:r>
      <w:r>
        <w:rPr>
          <w:sz w:val="18"/>
        </w:rPr>
        <w:t>,</w:t>
      </w:r>
      <w:r>
        <w:rPr>
          <w:spacing w:val="-7"/>
          <w:sz w:val="18"/>
        </w:rPr>
        <w:t xml:space="preserve"> </w:t>
      </w:r>
      <w:r>
        <w:rPr>
          <w:sz w:val="18"/>
        </w:rPr>
        <w:t>para.</w:t>
      </w:r>
      <w:r>
        <w:rPr>
          <w:spacing w:val="-7"/>
          <w:sz w:val="18"/>
        </w:rPr>
        <w:t xml:space="preserve"> </w:t>
      </w:r>
      <w:r>
        <w:rPr>
          <w:spacing w:val="-4"/>
          <w:sz w:val="18"/>
        </w:rPr>
        <w:t>414.</w:t>
      </w:r>
    </w:p>
    <w:p w14:paraId="51DE8CDB" w14:textId="77777777" w:rsidR="0010369C" w:rsidRDefault="008E43AE">
      <w:pPr>
        <w:ind w:left="238"/>
        <w:jc w:val="both"/>
        <w:rPr>
          <w:sz w:val="18"/>
        </w:rPr>
      </w:pPr>
      <w:r>
        <w:rPr>
          <w:sz w:val="18"/>
          <w:vertAlign w:val="superscript"/>
        </w:rPr>
        <w:t>588</w:t>
      </w:r>
      <w:r>
        <w:rPr>
          <w:spacing w:val="-6"/>
          <w:sz w:val="18"/>
        </w:rPr>
        <w:t xml:space="preserve"> </w:t>
      </w:r>
      <w:r>
        <w:rPr>
          <w:sz w:val="18"/>
        </w:rPr>
        <w:t>Appellate</w:t>
      </w:r>
      <w:r>
        <w:rPr>
          <w:spacing w:val="-5"/>
          <w:sz w:val="18"/>
        </w:rPr>
        <w:t xml:space="preserve"> </w:t>
      </w:r>
      <w:r>
        <w:rPr>
          <w:sz w:val="18"/>
        </w:rPr>
        <w:t>Body</w:t>
      </w:r>
      <w:r>
        <w:rPr>
          <w:spacing w:val="-7"/>
          <w:sz w:val="18"/>
        </w:rPr>
        <w:t xml:space="preserve"> </w:t>
      </w:r>
      <w:r>
        <w:rPr>
          <w:sz w:val="18"/>
        </w:rPr>
        <w:t>Report,</w:t>
      </w:r>
      <w:r>
        <w:rPr>
          <w:spacing w:val="-5"/>
          <w:sz w:val="18"/>
        </w:rPr>
        <w:t xml:space="preserve"> </w:t>
      </w:r>
      <w:r>
        <w:rPr>
          <w:i/>
          <w:sz w:val="18"/>
        </w:rPr>
        <w:t>EC</w:t>
      </w:r>
      <w:r>
        <w:rPr>
          <w:i/>
          <w:spacing w:val="-7"/>
          <w:sz w:val="18"/>
        </w:rPr>
        <w:t xml:space="preserve"> </w:t>
      </w:r>
      <w:r>
        <w:rPr>
          <w:i/>
          <w:sz w:val="18"/>
        </w:rPr>
        <w:t>–</w:t>
      </w:r>
      <w:r>
        <w:rPr>
          <w:i/>
          <w:spacing w:val="-5"/>
          <w:sz w:val="18"/>
        </w:rPr>
        <w:t xml:space="preserve"> </w:t>
      </w:r>
      <w:r>
        <w:rPr>
          <w:i/>
          <w:sz w:val="18"/>
        </w:rPr>
        <w:t>Fasteners</w:t>
      </w:r>
      <w:r>
        <w:rPr>
          <w:i/>
          <w:spacing w:val="-6"/>
          <w:sz w:val="18"/>
        </w:rPr>
        <w:t xml:space="preserve"> </w:t>
      </w:r>
      <w:r>
        <w:rPr>
          <w:i/>
          <w:sz w:val="18"/>
        </w:rPr>
        <w:t>(China)</w:t>
      </w:r>
      <w:r>
        <w:rPr>
          <w:sz w:val="18"/>
        </w:rPr>
        <w:t>,</w:t>
      </w:r>
      <w:r>
        <w:rPr>
          <w:spacing w:val="-6"/>
          <w:sz w:val="18"/>
        </w:rPr>
        <w:t xml:space="preserve"> </w:t>
      </w:r>
      <w:r>
        <w:rPr>
          <w:sz w:val="18"/>
        </w:rPr>
        <w:t>para.</w:t>
      </w:r>
      <w:r>
        <w:rPr>
          <w:spacing w:val="-6"/>
          <w:sz w:val="18"/>
        </w:rPr>
        <w:t xml:space="preserve"> </w:t>
      </w:r>
      <w:r>
        <w:rPr>
          <w:spacing w:val="-4"/>
          <w:sz w:val="18"/>
        </w:rPr>
        <w:t>416.</w:t>
      </w:r>
    </w:p>
    <w:p w14:paraId="51DE8CDC" w14:textId="77777777" w:rsidR="0010369C" w:rsidRDefault="0010369C">
      <w:pPr>
        <w:jc w:val="both"/>
        <w:rPr>
          <w:sz w:val="18"/>
        </w:rPr>
        <w:sectPr w:rsidR="0010369C">
          <w:pgSz w:w="11910" w:h="16840"/>
          <w:pgMar w:top="880" w:right="800" w:bottom="980" w:left="1180" w:header="569" w:footer="788" w:gutter="0"/>
          <w:cols w:space="720"/>
        </w:sectPr>
      </w:pPr>
    </w:p>
    <w:p w14:paraId="51DE8CDD" w14:textId="77777777" w:rsidR="0010369C" w:rsidRDefault="008E43AE">
      <w:pPr>
        <w:tabs>
          <w:tab w:val="left" w:pos="6426"/>
        </w:tabs>
        <w:ind w:left="238"/>
        <w:jc w:val="both"/>
        <w:rPr>
          <w:sz w:val="20"/>
        </w:rPr>
      </w:pPr>
      <w:r>
        <w:rPr>
          <w:i/>
          <w:sz w:val="20"/>
        </w:rPr>
        <w:lastRenderedPageBreak/>
        <w:t>China</w:t>
      </w:r>
      <w:r>
        <w:rPr>
          <w:i/>
          <w:spacing w:val="-5"/>
          <w:sz w:val="20"/>
        </w:rPr>
        <w:t xml:space="preserve"> </w:t>
      </w:r>
      <w:r>
        <w:rPr>
          <w:i/>
          <w:sz w:val="20"/>
        </w:rPr>
        <w:t>–</w:t>
      </w:r>
      <w:r>
        <w:rPr>
          <w:i/>
          <w:spacing w:val="-5"/>
          <w:sz w:val="20"/>
        </w:rPr>
        <w:t xml:space="preserve"> </w:t>
      </w:r>
      <w:r>
        <w:rPr>
          <w:i/>
          <w:sz w:val="20"/>
        </w:rPr>
        <w:t>Anti‐Dumping</w:t>
      </w:r>
      <w:r>
        <w:rPr>
          <w:i/>
          <w:spacing w:val="-4"/>
          <w:sz w:val="20"/>
        </w:rPr>
        <w:t xml:space="preserve"> </w:t>
      </w:r>
      <w:r>
        <w:rPr>
          <w:i/>
          <w:sz w:val="20"/>
        </w:rPr>
        <w:t>and</w:t>
      </w:r>
      <w:r>
        <w:rPr>
          <w:i/>
          <w:spacing w:val="-5"/>
          <w:sz w:val="20"/>
        </w:rPr>
        <w:t xml:space="preserve"> </w:t>
      </w:r>
      <w:r>
        <w:rPr>
          <w:i/>
          <w:sz w:val="20"/>
        </w:rPr>
        <w:t>Countervailing</w:t>
      </w:r>
      <w:r>
        <w:rPr>
          <w:i/>
          <w:spacing w:val="-5"/>
          <w:sz w:val="20"/>
        </w:rPr>
        <w:t xml:space="preserve"> </w:t>
      </w:r>
      <w:r>
        <w:rPr>
          <w:i/>
          <w:sz w:val="20"/>
        </w:rPr>
        <w:t>Duty</w:t>
      </w:r>
      <w:r>
        <w:rPr>
          <w:i/>
          <w:spacing w:val="-4"/>
          <w:sz w:val="20"/>
        </w:rPr>
        <w:t xml:space="preserve"> </w:t>
      </w:r>
      <w:r>
        <w:rPr>
          <w:i/>
          <w:spacing w:val="-2"/>
          <w:sz w:val="20"/>
        </w:rPr>
        <w:t>Measures</w:t>
      </w:r>
      <w:r>
        <w:rPr>
          <w:i/>
          <w:sz w:val="20"/>
        </w:rPr>
        <w:tab/>
      </w:r>
      <w:r>
        <w:rPr>
          <w:sz w:val="20"/>
        </w:rPr>
        <w:t>Australia's</w:t>
      </w:r>
      <w:r>
        <w:rPr>
          <w:spacing w:val="-7"/>
          <w:sz w:val="20"/>
        </w:rPr>
        <w:t xml:space="preserve"> </w:t>
      </w:r>
      <w:r>
        <w:rPr>
          <w:sz w:val="20"/>
        </w:rPr>
        <w:t>First</w:t>
      </w:r>
      <w:r>
        <w:rPr>
          <w:spacing w:val="-2"/>
          <w:sz w:val="20"/>
        </w:rPr>
        <w:t xml:space="preserve"> </w:t>
      </w:r>
      <w:r>
        <w:rPr>
          <w:sz w:val="20"/>
        </w:rPr>
        <w:t>Written</w:t>
      </w:r>
      <w:r>
        <w:rPr>
          <w:spacing w:val="-2"/>
          <w:sz w:val="20"/>
        </w:rPr>
        <w:t xml:space="preserve"> Submission</w:t>
      </w:r>
    </w:p>
    <w:p w14:paraId="51DE8CDE" w14:textId="77777777" w:rsidR="0010369C" w:rsidRDefault="008E43AE">
      <w:pPr>
        <w:tabs>
          <w:tab w:val="left" w:pos="8228"/>
        </w:tabs>
        <w:spacing w:before="1"/>
        <w:ind w:left="239"/>
        <w:jc w:val="both"/>
        <w:rPr>
          <w:sz w:val="20"/>
        </w:rPr>
      </w:pPr>
      <w:r>
        <w:rPr>
          <w:i/>
          <w:sz w:val="20"/>
        </w:rPr>
        <w:t>on</w:t>
      </w:r>
      <w:r>
        <w:rPr>
          <w:i/>
          <w:spacing w:val="-1"/>
          <w:sz w:val="20"/>
        </w:rPr>
        <w:t xml:space="preserve"> </w:t>
      </w:r>
      <w:r>
        <w:rPr>
          <w:i/>
          <w:sz w:val="20"/>
        </w:rPr>
        <w:t>Wine</w:t>
      </w:r>
      <w:r>
        <w:rPr>
          <w:i/>
          <w:spacing w:val="-1"/>
          <w:sz w:val="20"/>
        </w:rPr>
        <w:t xml:space="preserve"> </w:t>
      </w:r>
      <w:r>
        <w:rPr>
          <w:i/>
          <w:sz w:val="20"/>
        </w:rPr>
        <w:t>from</w:t>
      </w:r>
      <w:r>
        <w:rPr>
          <w:i/>
          <w:spacing w:val="-3"/>
          <w:sz w:val="20"/>
        </w:rPr>
        <w:t xml:space="preserve"> </w:t>
      </w:r>
      <w:r>
        <w:rPr>
          <w:i/>
          <w:sz w:val="20"/>
        </w:rPr>
        <w:t>Australia</w:t>
      </w:r>
      <w:r>
        <w:rPr>
          <w:i/>
          <w:spacing w:val="-1"/>
          <w:sz w:val="20"/>
        </w:rPr>
        <w:t xml:space="preserve"> </w:t>
      </w:r>
      <w:r>
        <w:rPr>
          <w:spacing w:val="-2"/>
          <w:sz w:val="20"/>
        </w:rPr>
        <w:t>(DS602)</w:t>
      </w:r>
      <w:r>
        <w:rPr>
          <w:sz w:val="20"/>
        </w:rPr>
        <w:tab/>
        <w:t>29</w:t>
      </w:r>
      <w:r>
        <w:rPr>
          <w:spacing w:val="-1"/>
          <w:sz w:val="20"/>
        </w:rPr>
        <w:t xml:space="preserve"> </w:t>
      </w:r>
      <w:r>
        <w:rPr>
          <w:sz w:val="20"/>
        </w:rPr>
        <w:t>April</w:t>
      </w:r>
      <w:r>
        <w:rPr>
          <w:spacing w:val="-2"/>
          <w:sz w:val="20"/>
        </w:rPr>
        <w:t xml:space="preserve"> </w:t>
      </w:r>
      <w:r>
        <w:rPr>
          <w:spacing w:val="-4"/>
          <w:sz w:val="20"/>
        </w:rPr>
        <w:t>2022</w:t>
      </w:r>
    </w:p>
    <w:p w14:paraId="51DE8CDF" w14:textId="77777777" w:rsidR="0010369C" w:rsidRDefault="008E43AE">
      <w:pPr>
        <w:pStyle w:val="BodyText"/>
        <w:spacing w:before="34" w:line="360" w:lineRule="auto"/>
        <w:ind w:left="238" w:right="615" w:firstLine="851"/>
        <w:jc w:val="both"/>
      </w:pPr>
      <w:r>
        <w:rPr>
          <w:noProof/>
        </w:rPr>
        <w:drawing>
          <wp:anchor distT="0" distB="0" distL="0" distR="0" simplePos="0" relativeHeight="251170304" behindDoc="1" locked="0" layoutInCell="1" allowOverlap="1" wp14:anchorId="51DEA41B" wp14:editId="51DEA41C">
            <wp:simplePos x="0" y="0"/>
            <wp:positionH relativeFrom="page">
              <wp:posOffset>902208</wp:posOffset>
            </wp:positionH>
            <wp:positionV relativeFrom="paragraph">
              <wp:posOffset>69165</wp:posOffset>
            </wp:positionV>
            <wp:extent cx="262127" cy="103631"/>
            <wp:effectExtent l="0" t="0" r="0" b="0"/>
            <wp:wrapNone/>
            <wp:docPr id="1063" name="image5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 name="image543.png"/>
                    <pic:cNvPicPr/>
                  </pic:nvPicPr>
                  <pic:blipFill>
                    <a:blip r:embed="rId712" cstate="print"/>
                    <a:stretch>
                      <a:fillRect/>
                    </a:stretch>
                  </pic:blipFill>
                  <pic:spPr>
                    <a:xfrm>
                      <a:off x="0" y="0"/>
                      <a:ext cx="262127" cy="103631"/>
                    </a:xfrm>
                    <a:prstGeom prst="rect">
                      <a:avLst/>
                    </a:prstGeom>
                  </pic:spPr>
                </pic:pic>
              </a:graphicData>
            </a:graphic>
          </wp:anchor>
        </w:drawing>
      </w:r>
      <w:r>
        <w:t>MOFCOM's process for gathering and assessing the information from the Domestic Producer Questionnaire was affected by multiple errors that materially distorted its assessment of the domestic industry.</w:t>
      </w:r>
    </w:p>
    <w:p w14:paraId="51DE8CE0" w14:textId="77777777" w:rsidR="0010369C" w:rsidRDefault="0010369C">
      <w:pPr>
        <w:pStyle w:val="BodyText"/>
        <w:spacing w:before="11"/>
        <w:rPr>
          <w:sz w:val="8"/>
        </w:rPr>
      </w:pPr>
    </w:p>
    <w:p w14:paraId="51DE8CE1" w14:textId="77777777" w:rsidR="0010369C" w:rsidRDefault="008E43AE">
      <w:pPr>
        <w:pStyle w:val="BodyText"/>
        <w:spacing w:before="52"/>
        <w:ind w:left="1089"/>
        <w:jc w:val="both"/>
      </w:pPr>
      <w:r>
        <w:rPr>
          <w:noProof/>
        </w:rPr>
        <w:drawing>
          <wp:anchor distT="0" distB="0" distL="0" distR="0" simplePos="0" relativeHeight="250671616" behindDoc="0" locked="0" layoutInCell="1" allowOverlap="1" wp14:anchorId="51DEA41D" wp14:editId="51DEA41E">
            <wp:simplePos x="0" y="0"/>
            <wp:positionH relativeFrom="page">
              <wp:posOffset>902208</wp:posOffset>
            </wp:positionH>
            <wp:positionV relativeFrom="paragraph">
              <wp:posOffset>80595</wp:posOffset>
            </wp:positionV>
            <wp:extent cx="262127" cy="103631"/>
            <wp:effectExtent l="0" t="0" r="0" b="0"/>
            <wp:wrapNone/>
            <wp:docPr id="1065" name="image5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 name="image544.png"/>
                    <pic:cNvPicPr/>
                  </pic:nvPicPr>
                  <pic:blipFill>
                    <a:blip r:embed="rId713" cstate="print"/>
                    <a:stretch>
                      <a:fillRect/>
                    </a:stretch>
                  </pic:blipFill>
                  <pic:spPr>
                    <a:xfrm>
                      <a:off x="0" y="0"/>
                      <a:ext cx="262127" cy="103631"/>
                    </a:xfrm>
                    <a:prstGeom prst="rect">
                      <a:avLst/>
                    </a:prstGeom>
                  </pic:spPr>
                </pic:pic>
              </a:graphicData>
            </a:graphic>
          </wp:anchor>
        </w:drawing>
      </w:r>
      <w:r>
        <w:t>MOFCOM's</w:t>
      </w:r>
      <w:r>
        <w:rPr>
          <w:spacing w:val="-6"/>
        </w:rPr>
        <w:t xml:space="preserve"> </w:t>
      </w:r>
      <w:r>
        <w:t>decisi</w:t>
      </w:r>
      <w:r>
        <w:t>on</w:t>
      </w:r>
      <w:r>
        <w:rPr>
          <w:spacing w:val="-6"/>
        </w:rPr>
        <w:t xml:space="preserve"> </w:t>
      </w:r>
      <w:r>
        <w:t>to</w:t>
      </w:r>
      <w:r>
        <w:rPr>
          <w:spacing w:val="-6"/>
        </w:rPr>
        <w:t xml:space="preserve"> </w:t>
      </w:r>
      <w:r>
        <w:t>determine</w:t>
      </w:r>
      <w:r>
        <w:rPr>
          <w:spacing w:val="-5"/>
        </w:rPr>
        <w:t xml:space="preserve"> </w:t>
      </w:r>
      <w:r>
        <w:t>the</w:t>
      </w:r>
      <w:r>
        <w:rPr>
          <w:spacing w:val="-4"/>
        </w:rPr>
        <w:t xml:space="preserve"> </w:t>
      </w:r>
      <w:r>
        <w:t>domestic</w:t>
      </w:r>
      <w:r>
        <w:rPr>
          <w:spacing w:val="-6"/>
        </w:rPr>
        <w:t xml:space="preserve"> </w:t>
      </w:r>
      <w:r>
        <w:t>industry</w:t>
      </w:r>
      <w:r>
        <w:rPr>
          <w:spacing w:val="-4"/>
        </w:rPr>
        <w:t xml:space="preserve"> </w:t>
      </w:r>
      <w:r>
        <w:t>as</w:t>
      </w:r>
      <w:r>
        <w:rPr>
          <w:spacing w:val="-7"/>
        </w:rPr>
        <w:t xml:space="preserve"> </w:t>
      </w:r>
      <w:r>
        <w:t>those</w:t>
      </w:r>
      <w:r>
        <w:rPr>
          <w:spacing w:val="-4"/>
        </w:rPr>
        <w:t xml:space="preserve"> </w:t>
      </w:r>
      <w:r>
        <w:t>21</w:t>
      </w:r>
      <w:r>
        <w:rPr>
          <w:spacing w:val="-5"/>
        </w:rPr>
        <w:t xml:space="preserve"> </w:t>
      </w:r>
      <w:r>
        <w:t>producers</w:t>
      </w:r>
      <w:r>
        <w:rPr>
          <w:spacing w:val="-5"/>
        </w:rPr>
        <w:t xml:space="preserve"> who</w:t>
      </w:r>
    </w:p>
    <w:p w14:paraId="51DE8CE2" w14:textId="77777777" w:rsidR="0010369C" w:rsidRDefault="008E43AE">
      <w:pPr>
        <w:pStyle w:val="ListParagraph"/>
        <w:numPr>
          <w:ilvl w:val="0"/>
          <w:numId w:val="62"/>
        </w:numPr>
        <w:tabs>
          <w:tab w:val="left" w:pos="520"/>
        </w:tabs>
        <w:spacing w:before="146" w:line="360" w:lineRule="auto"/>
        <w:ind w:right="614" w:firstLine="0"/>
        <w:jc w:val="both"/>
        <w:rPr>
          <w:sz w:val="24"/>
        </w:rPr>
      </w:pPr>
      <w:r>
        <w:rPr>
          <w:sz w:val="24"/>
        </w:rPr>
        <w:t>had registered, (ii) were aware of the questionnaire, and (iii) were willing to voluntarily invest company resources in preparing and submitting responses to the questionnaire, introduced a ma</w:t>
      </w:r>
      <w:r>
        <w:rPr>
          <w:sz w:val="24"/>
        </w:rPr>
        <w:t>terial risk of distortion because it limited to 21 the number of domestic producers that were analysed when the actual number of producers was substantially higher.</w:t>
      </w:r>
      <w:r>
        <w:rPr>
          <w:sz w:val="24"/>
          <w:vertAlign w:val="superscript"/>
        </w:rPr>
        <w:t>589</w:t>
      </w:r>
      <w:r>
        <w:rPr>
          <w:spacing w:val="-14"/>
          <w:sz w:val="24"/>
        </w:rPr>
        <w:t xml:space="preserve"> </w:t>
      </w:r>
      <w:r>
        <w:rPr>
          <w:sz w:val="24"/>
        </w:rPr>
        <w:t>MOFCOM</w:t>
      </w:r>
      <w:r>
        <w:rPr>
          <w:spacing w:val="-14"/>
          <w:sz w:val="24"/>
        </w:rPr>
        <w:t xml:space="preserve"> </w:t>
      </w:r>
      <w:r>
        <w:rPr>
          <w:sz w:val="24"/>
        </w:rPr>
        <w:t>should</w:t>
      </w:r>
      <w:r>
        <w:rPr>
          <w:spacing w:val="-10"/>
          <w:sz w:val="24"/>
        </w:rPr>
        <w:t xml:space="preserve"> </w:t>
      </w:r>
      <w:r>
        <w:rPr>
          <w:sz w:val="24"/>
        </w:rPr>
        <w:t>have</w:t>
      </w:r>
      <w:r>
        <w:rPr>
          <w:spacing w:val="-6"/>
          <w:sz w:val="24"/>
        </w:rPr>
        <w:t xml:space="preserve"> </w:t>
      </w:r>
      <w:r>
        <w:rPr>
          <w:sz w:val="24"/>
        </w:rPr>
        <w:t>been</w:t>
      </w:r>
      <w:r>
        <w:rPr>
          <w:spacing w:val="-7"/>
          <w:sz w:val="24"/>
        </w:rPr>
        <w:t xml:space="preserve"> </w:t>
      </w:r>
      <w:r>
        <w:rPr>
          <w:sz w:val="24"/>
        </w:rPr>
        <w:t>aware</w:t>
      </w:r>
      <w:r>
        <w:rPr>
          <w:spacing w:val="-7"/>
          <w:sz w:val="24"/>
        </w:rPr>
        <w:t xml:space="preserve"> </w:t>
      </w:r>
      <w:r>
        <w:rPr>
          <w:sz w:val="24"/>
        </w:rPr>
        <w:t>of</w:t>
      </w:r>
      <w:r>
        <w:rPr>
          <w:spacing w:val="-8"/>
          <w:sz w:val="24"/>
        </w:rPr>
        <w:t xml:space="preserve"> </w:t>
      </w:r>
      <w:r>
        <w:rPr>
          <w:sz w:val="24"/>
        </w:rPr>
        <w:t>this</w:t>
      </w:r>
      <w:r>
        <w:rPr>
          <w:spacing w:val="-8"/>
          <w:sz w:val="24"/>
        </w:rPr>
        <w:t xml:space="preserve"> </w:t>
      </w:r>
      <w:r>
        <w:rPr>
          <w:sz w:val="24"/>
        </w:rPr>
        <w:t>risk</w:t>
      </w:r>
      <w:r>
        <w:rPr>
          <w:spacing w:val="-7"/>
          <w:sz w:val="24"/>
        </w:rPr>
        <w:t xml:space="preserve"> </w:t>
      </w:r>
      <w:r>
        <w:rPr>
          <w:sz w:val="24"/>
        </w:rPr>
        <w:t>of</w:t>
      </w:r>
      <w:r>
        <w:rPr>
          <w:spacing w:val="-8"/>
          <w:sz w:val="24"/>
        </w:rPr>
        <w:t xml:space="preserve"> </w:t>
      </w:r>
      <w:r>
        <w:rPr>
          <w:sz w:val="24"/>
        </w:rPr>
        <w:t>distortion</w:t>
      </w:r>
      <w:r>
        <w:rPr>
          <w:spacing w:val="-8"/>
          <w:sz w:val="24"/>
        </w:rPr>
        <w:t xml:space="preserve"> </w:t>
      </w:r>
      <w:r>
        <w:rPr>
          <w:sz w:val="24"/>
        </w:rPr>
        <w:t>because</w:t>
      </w:r>
      <w:r>
        <w:rPr>
          <w:spacing w:val="-6"/>
          <w:sz w:val="24"/>
        </w:rPr>
        <w:t xml:space="preserve"> </w:t>
      </w:r>
      <w:r>
        <w:rPr>
          <w:sz w:val="24"/>
        </w:rPr>
        <w:t>it</w:t>
      </w:r>
      <w:r>
        <w:rPr>
          <w:spacing w:val="-7"/>
          <w:sz w:val="24"/>
        </w:rPr>
        <w:t xml:space="preserve"> </w:t>
      </w:r>
      <w:r>
        <w:rPr>
          <w:sz w:val="24"/>
        </w:rPr>
        <w:t>was</w:t>
      </w:r>
      <w:r>
        <w:rPr>
          <w:spacing w:val="-8"/>
          <w:sz w:val="24"/>
        </w:rPr>
        <w:t xml:space="preserve"> </w:t>
      </w:r>
      <w:r>
        <w:rPr>
          <w:sz w:val="24"/>
        </w:rPr>
        <w:t>on</w:t>
      </w:r>
      <w:r>
        <w:rPr>
          <w:spacing w:val="-8"/>
          <w:sz w:val="24"/>
        </w:rPr>
        <w:t xml:space="preserve"> </w:t>
      </w:r>
      <w:r>
        <w:rPr>
          <w:sz w:val="24"/>
        </w:rPr>
        <w:t>notice that: (i) 40 domestic producers had sufficient commercial incentive to register for the investigation;</w:t>
      </w:r>
      <w:r>
        <w:rPr>
          <w:sz w:val="24"/>
          <w:vertAlign w:val="superscript"/>
        </w:rPr>
        <w:t>590</w:t>
      </w:r>
      <w:r>
        <w:rPr>
          <w:sz w:val="24"/>
        </w:rPr>
        <w:t xml:space="preserve"> (ii) the Applicant's application was made purportedly on behalf of 122 producers;</w:t>
      </w:r>
      <w:r>
        <w:rPr>
          <w:sz w:val="24"/>
          <w:vertAlign w:val="superscript"/>
        </w:rPr>
        <w:t>591</w:t>
      </w:r>
      <w:r>
        <w:rPr>
          <w:sz w:val="24"/>
        </w:rPr>
        <w:t xml:space="preserve"> and (iii) there were hundreds of other producers in China.</w:t>
      </w:r>
      <w:r>
        <w:rPr>
          <w:sz w:val="24"/>
          <w:vertAlign w:val="superscript"/>
        </w:rPr>
        <w:t>592</w:t>
      </w:r>
      <w:r>
        <w:rPr>
          <w:sz w:val="24"/>
        </w:rPr>
        <w:t xml:space="preserve"> MOFCOM did nothing</w:t>
      </w:r>
      <w:r>
        <w:rPr>
          <w:spacing w:val="-5"/>
          <w:sz w:val="24"/>
        </w:rPr>
        <w:t xml:space="preserve"> </w:t>
      </w:r>
      <w:r>
        <w:rPr>
          <w:sz w:val="24"/>
        </w:rPr>
        <w:t>to</w:t>
      </w:r>
      <w:r>
        <w:rPr>
          <w:spacing w:val="-6"/>
          <w:sz w:val="24"/>
        </w:rPr>
        <w:t xml:space="preserve"> </w:t>
      </w:r>
      <w:r>
        <w:rPr>
          <w:sz w:val="24"/>
        </w:rPr>
        <w:t>mitigate</w:t>
      </w:r>
      <w:r>
        <w:rPr>
          <w:spacing w:val="-5"/>
          <w:sz w:val="24"/>
        </w:rPr>
        <w:t xml:space="preserve"> </w:t>
      </w:r>
      <w:r>
        <w:rPr>
          <w:sz w:val="24"/>
        </w:rPr>
        <w:t>this</w:t>
      </w:r>
      <w:r>
        <w:rPr>
          <w:spacing w:val="-7"/>
          <w:sz w:val="24"/>
        </w:rPr>
        <w:t xml:space="preserve"> </w:t>
      </w:r>
      <w:r>
        <w:rPr>
          <w:sz w:val="24"/>
        </w:rPr>
        <w:t>risk.</w:t>
      </w:r>
      <w:r>
        <w:rPr>
          <w:spacing w:val="-5"/>
          <w:sz w:val="24"/>
        </w:rPr>
        <w:t xml:space="preserve"> </w:t>
      </w:r>
      <w:r>
        <w:rPr>
          <w:sz w:val="24"/>
        </w:rPr>
        <w:t>MOFCOM</w:t>
      </w:r>
      <w:r>
        <w:rPr>
          <w:spacing w:val="-5"/>
          <w:sz w:val="24"/>
        </w:rPr>
        <w:t xml:space="preserve"> </w:t>
      </w:r>
      <w:r>
        <w:rPr>
          <w:sz w:val="24"/>
        </w:rPr>
        <w:t>was</w:t>
      </w:r>
      <w:r>
        <w:rPr>
          <w:spacing w:val="-5"/>
          <w:sz w:val="24"/>
        </w:rPr>
        <w:t xml:space="preserve"> </w:t>
      </w:r>
      <w:r>
        <w:rPr>
          <w:sz w:val="24"/>
        </w:rPr>
        <w:t>obliged</w:t>
      </w:r>
      <w:r>
        <w:rPr>
          <w:spacing w:val="-5"/>
          <w:sz w:val="24"/>
        </w:rPr>
        <w:t xml:space="preserve"> </w:t>
      </w:r>
      <w:r>
        <w:rPr>
          <w:sz w:val="24"/>
        </w:rPr>
        <w:t>to</w:t>
      </w:r>
      <w:r>
        <w:rPr>
          <w:spacing w:val="-5"/>
          <w:sz w:val="24"/>
        </w:rPr>
        <w:t xml:space="preserve"> </w:t>
      </w:r>
      <w:r>
        <w:rPr>
          <w:sz w:val="24"/>
        </w:rPr>
        <w:t>actively</w:t>
      </w:r>
      <w:r>
        <w:rPr>
          <w:spacing w:val="-4"/>
          <w:sz w:val="24"/>
        </w:rPr>
        <w:t xml:space="preserve"> </w:t>
      </w:r>
      <w:r>
        <w:rPr>
          <w:sz w:val="24"/>
        </w:rPr>
        <w:t>seek</w:t>
      </w:r>
      <w:r>
        <w:rPr>
          <w:spacing w:val="-5"/>
          <w:sz w:val="24"/>
        </w:rPr>
        <w:t xml:space="preserve"> </w:t>
      </w:r>
      <w:r>
        <w:rPr>
          <w:sz w:val="24"/>
        </w:rPr>
        <w:t>out</w:t>
      </w:r>
      <w:r>
        <w:rPr>
          <w:spacing w:val="-6"/>
          <w:sz w:val="24"/>
        </w:rPr>
        <w:t xml:space="preserve"> </w:t>
      </w:r>
      <w:r>
        <w:rPr>
          <w:sz w:val="24"/>
        </w:rPr>
        <w:t>pertinent</w:t>
      </w:r>
      <w:r>
        <w:rPr>
          <w:spacing w:val="-4"/>
          <w:sz w:val="24"/>
        </w:rPr>
        <w:t xml:space="preserve"> </w:t>
      </w:r>
      <w:r>
        <w:rPr>
          <w:sz w:val="24"/>
        </w:rPr>
        <w:t>information and could not remain passive in the face of clear shortcomings in the evidence submitted to it.593 Yet the record shows that MOFCOM did nothing to m</w:t>
      </w:r>
      <w:r>
        <w:rPr>
          <w:sz w:val="24"/>
        </w:rPr>
        <w:t>itigate the risk of distortion.</w:t>
      </w:r>
    </w:p>
    <w:p w14:paraId="51DE8CE3" w14:textId="77777777" w:rsidR="0010369C" w:rsidRDefault="0010369C">
      <w:pPr>
        <w:pStyle w:val="BodyText"/>
        <w:spacing w:before="10"/>
        <w:rPr>
          <w:sz w:val="8"/>
        </w:rPr>
      </w:pPr>
    </w:p>
    <w:p w14:paraId="51DE8CE4" w14:textId="77777777" w:rsidR="0010369C" w:rsidRDefault="008E43AE">
      <w:pPr>
        <w:pStyle w:val="BodyText"/>
        <w:spacing w:before="51" w:line="360" w:lineRule="auto"/>
        <w:ind w:left="237" w:right="613" w:firstLine="851"/>
        <w:jc w:val="both"/>
      </w:pPr>
      <w:r>
        <w:rPr>
          <w:noProof/>
        </w:rPr>
        <w:drawing>
          <wp:anchor distT="0" distB="0" distL="0" distR="0" simplePos="0" relativeHeight="251171328" behindDoc="1" locked="0" layoutInCell="1" allowOverlap="1" wp14:anchorId="51DEA41F" wp14:editId="51DEA420">
            <wp:simplePos x="0" y="0"/>
            <wp:positionH relativeFrom="page">
              <wp:posOffset>902208</wp:posOffset>
            </wp:positionH>
            <wp:positionV relativeFrom="paragraph">
              <wp:posOffset>80722</wp:posOffset>
            </wp:positionV>
            <wp:extent cx="262127" cy="103631"/>
            <wp:effectExtent l="0" t="0" r="0" b="0"/>
            <wp:wrapNone/>
            <wp:docPr id="1067" name="image5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 name="image545.png"/>
                    <pic:cNvPicPr/>
                  </pic:nvPicPr>
                  <pic:blipFill>
                    <a:blip r:embed="rId714" cstate="print"/>
                    <a:stretch>
                      <a:fillRect/>
                    </a:stretch>
                  </pic:blipFill>
                  <pic:spPr>
                    <a:xfrm>
                      <a:off x="0" y="0"/>
                      <a:ext cx="262127" cy="103631"/>
                    </a:xfrm>
                    <a:prstGeom prst="rect">
                      <a:avLst/>
                    </a:prstGeom>
                  </pic:spPr>
                </pic:pic>
              </a:graphicData>
            </a:graphic>
          </wp:anchor>
        </w:drawing>
      </w:r>
      <w:r>
        <w:t>The risk of distortion was compounded by MOFCOM's failure to verify the data provided by 19 of the 21 Questionnaire respondents. The details of the information supplied by the 21 producers' regarding their production outputs were not disclosed to intereste</w:t>
      </w:r>
      <w:r>
        <w:t xml:space="preserve">d parties due to confidentiality, making it impossible for any party to identify and make submissions to MOFCOM about any potential deficiencies in the claims made by those producers, or to make any independent assessment of their suitability to represent </w:t>
      </w:r>
      <w:r>
        <w:t>the "domestic industry".</w:t>
      </w:r>
    </w:p>
    <w:p w14:paraId="51DE8CE5" w14:textId="77777777" w:rsidR="0010369C" w:rsidRDefault="0010369C">
      <w:pPr>
        <w:pStyle w:val="BodyText"/>
        <w:rPr>
          <w:sz w:val="20"/>
        </w:rPr>
      </w:pPr>
    </w:p>
    <w:p w14:paraId="51DE8CE6" w14:textId="77777777" w:rsidR="0010369C" w:rsidRDefault="0010369C">
      <w:pPr>
        <w:pStyle w:val="BodyText"/>
        <w:rPr>
          <w:sz w:val="20"/>
        </w:rPr>
      </w:pPr>
    </w:p>
    <w:p w14:paraId="51DE8CE7" w14:textId="77777777" w:rsidR="0010369C" w:rsidRDefault="0010369C">
      <w:pPr>
        <w:pStyle w:val="BodyText"/>
        <w:rPr>
          <w:sz w:val="20"/>
        </w:rPr>
      </w:pPr>
    </w:p>
    <w:p w14:paraId="51DE8CE8" w14:textId="77777777" w:rsidR="0010369C" w:rsidRDefault="0010369C">
      <w:pPr>
        <w:pStyle w:val="BodyText"/>
        <w:rPr>
          <w:sz w:val="20"/>
        </w:rPr>
      </w:pPr>
    </w:p>
    <w:p w14:paraId="51DE8CE9" w14:textId="77777777" w:rsidR="0010369C" w:rsidRDefault="0010369C">
      <w:pPr>
        <w:pStyle w:val="BodyText"/>
        <w:rPr>
          <w:sz w:val="20"/>
        </w:rPr>
      </w:pPr>
    </w:p>
    <w:p w14:paraId="51DE8CEA" w14:textId="77777777" w:rsidR="0010369C" w:rsidRDefault="0010369C">
      <w:pPr>
        <w:pStyle w:val="BodyText"/>
        <w:rPr>
          <w:sz w:val="20"/>
        </w:rPr>
      </w:pPr>
    </w:p>
    <w:p w14:paraId="51DE8CEB" w14:textId="77777777" w:rsidR="0010369C" w:rsidRDefault="0010369C">
      <w:pPr>
        <w:pStyle w:val="BodyText"/>
        <w:rPr>
          <w:sz w:val="20"/>
        </w:rPr>
      </w:pPr>
    </w:p>
    <w:p w14:paraId="51DE8CEC" w14:textId="77777777" w:rsidR="0010369C" w:rsidRDefault="008E43AE">
      <w:pPr>
        <w:pStyle w:val="BodyText"/>
        <w:spacing w:before="9"/>
        <w:rPr>
          <w:sz w:val="14"/>
        </w:rPr>
      </w:pPr>
      <w:r>
        <w:pict w14:anchorId="51DEA421">
          <v:rect id="docshape1001" o:spid="_x0000_s1366" style="position:absolute;margin-left:70.9pt;margin-top:10.25pt;width:2in;height:.8pt;z-index:-250850816;mso-wrap-distance-left:0;mso-wrap-distance-right:0;mso-position-horizontal-relative:page" fillcolor="black" stroked="f">
            <w10:wrap type="topAndBottom" anchorx="page"/>
          </v:rect>
        </w:pict>
      </w:r>
    </w:p>
    <w:p w14:paraId="51DE8CED" w14:textId="77777777" w:rsidR="0010369C" w:rsidRDefault="008E43AE">
      <w:pPr>
        <w:spacing w:before="109"/>
        <w:ind w:left="237" w:right="614" w:firstLine="1"/>
        <w:jc w:val="both"/>
        <w:rPr>
          <w:sz w:val="18"/>
        </w:rPr>
      </w:pPr>
      <w:r>
        <w:rPr>
          <w:sz w:val="18"/>
          <w:vertAlign w:val="superscript"/>
        </w:rPr>
        <w:t>589</w:t>
      </w:r>
      <w:r>
        <w:rPr>
          <w:sz w:val="18"/>
        </w:rPr>
        <w:t xml:space="preserve"> This risk of distortion is similar to that identified by the Appellate Body in its Report in </w:t>
      </w:r>
      <w:r>
        <w:rPr>
          <w:i/>
          <w:sz w:val="18"/>
        </w:rPr>
        <w:t>EC – Fasteners (China)</w:t>
      </w:r>
      <w:r>
        <w:rPr>
          <w:sz w:val="18"/>
        </w:rPr>
        <w:t>, para. 427: by defining the domestic industry on the basis of willingness to be included in the sample, the Commission's approach imposed a self‐selection process among the domestic producers that introduced a material risk of distortion. […] we fail to s</w:t>
      </w:r>
      <w:r>
        <w:rPr>
          <w:sz w:val="18"/>
        </w:rPr>
        <w:t>ee the reason why a producer's willingness to be included in the sample should affect its eligibility to be included in the domestic industry, which is a universe of producers that is by definition wider than the sample.</w:t>
      </w:r>
    </w:p>
    <w:p w14:paraId="51DE8CEE" w14:textId="77777777" w:rsidR="0010369C" w:rsidRDefault="008E43AE">
      <w:pPr>
        <w:spacing w:before="1"/>
        <w:ind w:left="238"/>
        <w:jc w:val="both"/>
        <w:rPr>
          <w:sz w:val="18"/>
        </w:rPr>
      </w:pPr>
      <w:r>
        <w:rPr>
          <w:sz w:val="18"/>
          <w:vertAlign w:val="superscript"/>
        </w:rPr>
        <w:t>590</w:t>
      </w:r>
      <w:r>
        <w:rPr>
          <w:spacing w:val="-9"/>
          <w:sz w:val="18"/>
        </w:rPr>
        <w:t xml:space="preserve"> </w:t>
      </w:r>
      <w:r>
        <w:rPr>
          <w:sz w:val="18"/>
        </w:rPr>
        <w:t>Anti‐Dumping</w:t>
      </w:r>
      <w:r>
        <w:rPr>
          <w:spacing w:val="-9"/>
          <w:sz w:val="18"/>
        </w:rPr>
        <w:t xml:space="preserve"> </w:t>
      </w:r>
      <w:r>
        <w:rPr>
          <w:sz w:val="18"/>
        </w:rPr>
        <w:t>Final</w:t>
      </w:r>
      <w:r>
        <w:rPr>
          <w:spacing w:val="-9"/>
          <w:sz w:val="18"/>
        </w:rPr>
        <w:t xml:space="preserve"> </w:t>
      </w:r>
      <w:r>
        <w:rPr>
          <w:sz w:val="18"/>
        </w:rPr>
        <w:t>Determinatio</w:t>
      </w:r>
      <w:r>
        <w:rPr>
          <w:sz w:val="18"/>
        </w:rPr>
        <w:t>n</w:t>
      </w:r>
      <w:r>
        <w:rPr>
          <w:spacing w:val="-8"/>
          <w:sz w:val="18"/>
        </w:rPr>
        <w:t xml:space="preserve"> </w:t>
      </w:r>
      <w:r>
        <w:rPr>
          <w:sz w:val="18"/>
        </w:rPr>
        <w:t>(Exhibit</w:t>
      </w:r>
      <w:r>
        <w:rPr>
          <w:spacing w:val="-9"/>
          <w:sz w:val="18"/>
        </w:rPr>
        <w:t xml:space="preserve"> </w:t>
      </w:r>
      <w:r>
        <w:rPr>
          <w:sz w:val="18"/>
        </w:rPr>
        <w:t>AUS‐2),</w:t>
      </w:r>
      <w:r>
        <w:rPr>
          <w:spacing w:val="-10"/>
          <w:sz w:val="18"/>
        </w:rPr>
        <w:t xml:space="preserve"> </w:t>
      </w:r>
      <w:r>
        <w:rPr>
          <w:sz w:val="18"/>
        </w:rPr>
        <w:t>pp.</w:t>
      </w:r>
      <w:r>
        <w:rPr>
          <w:spacing w:val="-9"/>
          <w:sz w:val="18"/>
        </w:rPr>
        <w:t xml:space="preserve"> </w:t>
      </w:r>
      <w:r>
        <w:rPr>
          <w:spacing w:val="-4"/>
          <w:sz w:val="18"/>
        </w:rPr>
        <w:t>8‐9.</w:t>
      </w:r>
    </w:p>
    <w:p w14:paraId="51DE8CEF" w14:textId="77777777" w:rsidR="0010369C" w:rsidRDefault="008E43AE">
      <w:pPr>
        <w:ind w:left="238"/>
        <w:jc w:val="both"/>
        <w:rPr>
          <w:sz w:val="18"/>
        </w:rPr>
      </w:pPr>
      <w:r>
        <w:rPr>
          <w:sz w:val="18"/>
          <w:vertAlign w:val="superscript"/>
        </w:rPr>
        <w:t>591</w:t>
      </w:r>
      <w:r>
        <w:rPr>
          <w:spacing w:val="-10"/>
          <w:sz w:val="18"/>
        </w:rPr>
        <w:t xml:space="preserve"> </w:t>
      </w:r>
      <w:r>
        <w:rPr>
          <w:sz w:val="18"/>
        </w:rPr>
        <w:t>CADA</w:t>
      </w:r>
      <w:r>
        <w:rPr>
          <w:spacing w:val="-9"/>
          <w:sz w:val="18"/>
        </w:rPr>
        <w:t xml:space="preserve"> </w:t>
      </w:r>
      <w:r>
        <w:rPr>
          <w:sz w:val="18"/>
        </w:rPr>
        <w:t>Application</w:t>
      </w:r>
      <w:r>
        <w:rPr>
          <w:spacing w:val="-9"/>
          <w:sz w:val="18"/>
        </w:rPr>
        <w:t xml:space="preserve"> </w:t>
      </w:r>
      <w:r>
        <w:rPr>
          <w:sz w:val="18"/>
        </w:rPr>
        <w:t>for</w:t>
      </w:r>
      <w:r>
        <w:rPr>
          <w:spacing w:val="-10"/>
          <w:sz w:val="18"/>
        </w:rPr>
        <w:t xml:space="preserve"> </w:t>
      </w:r>
      <w:r>
        <w:rPr>
          <w:sz w:val="18"/>
        </w:rPr>
        <w:t>Anti‐Dumping</w:t>
      </w:r>
      <w:r>
        <w:rPr>
          <w:spacing w:val="-9"/>
          <w:sz w:val="18"/>
        </w:rPr>
        <w:t xml:space="preserve"> </w:t>
      </w:r>
      <w:r>
        <w:rPr>
          <w:sz w:val="18"/>
        </w:rPr>
        <w:t>Investigation</w:t>
      </w:r>
      <w:r>
        <w:rPr>
          <w:spacing w:val="-9"/>
          <w:sz w:val="18"/>
        </w:rPr>
        <w:t xml:space="preserve"> </w:t>
      </w:r>
      <w:r>
        <w:rPr>
          <w:sz w:val="18"/>
        </w:rPr>
        <w:t>(Exhibit</w:t>
      </w:r>
      <w:r>
        <w:rPr>
          <w:spacing w:val="-9"/>
          <w:sz w:val="18"/>
        </w:rPr>
        <w:t xml:space="preserve"> </w:t>
      </w:r>
      <w:r>
        <w:rPr>
          <w:sz w:val="18"/>
        </w:rPr>
        <w:t>AUS‐64),</w:t>
      </w:r>
      <w:r>
        <w:rPr>
          <w:spacing w:val="-10"/>
          <w:sz w:val="18"/>
        </w:rPr>
        <w:t xml:space="preserve"> </w:t>
      </w:r>
      <w:r>
        <w:rPr>
          <w:sz w:val="18"/>
        </w:rPr>
        <w:t>p.</w:t>
      </w:r>
      <w:r>
        <w:rPr>
          <w:spacing w:val="-9"/>
          <w:sz w:val="18"/>
        </w:rPr>
        <w:t xml:space="preserve"> </w:t>
      </w:r>
      <w:r>
        <w:rPr>
          <w:spacing w:val="-5"/>
          <w:sz w:val="18"/>
        </w:rPr>
        <w:t>9.</w:t>
      </w:r>
    </w:p>
    <w:p w14:paraId="51DE8CF0" w14:textId="77777777" w:rsidR="0010369C" w:rsidRDefault="008E43AE">
      <w:pPr>
        <w:ind w:left="238"/>
        <w:jc w:val="both"/>
        <w:rPr>
          <w:sz w:val="18"/>
        </w:rPr>
      </w:pPr>
      <w:r>
        <w:rPr>
          <w:sz w:val="18"/>
          <w:vertAlign w:val="superscript"/>
        </w:rPr>
        <w:t>592</w:t>
      </w:r>
      <w:r>
        <w:rPr>
          <w:spacing w:val="-9"/>
          <w:sz w:val="18"/>
        </w:rPr>
        <w:t xml:space="preserve"> </w:t>
      </w:r>
      <w:r>
        <w:rPr>
          <w:sz w:val="18"/>
        </w:rPr>
        <w:t>CADA</w:t>
      </w:r>
      <w:r>
        <w:rPr>
          <w:spacing w:val="-9"/>
          <w:sz w:val="18"/>
        </w:rPr>
        <w:t xml:space="preserve"> </w:t>
      </w:r>
      <w:r>
        <w:rPr>
          <w:sz w:val="18"/>
        </w:rPr>
        <w:t>Application</w:t>
      </w:r>
      <w:r>
        <w:rPr>
          <w:spacing w:val="-8"/>
          <w:sz w:val="18"/>
        </w:rPr>
        <w:t xml:space="preserve"> </w:t>
      </w:r>
      <w:r>
        <w:rPr>
          <w:sz w:val="18"/>
        </w:rPr>
        <w:t>for</w:t>
      </w:r>
      <w:r>
        <w:rPr>
          <w:spacing w:val="-9"/>
          <w:sz w:val="18"/>
        </w:rPr>
        <w:t xml:space="preserve"> </w:t>
      </w:r>
      <w:r>
        <w:rPr>
          <w:sz w:val="18"/>
        </w:rPr>
        <w:t>Anti‐Dumping</w:t>
      </w:r>
      <w:r>
        <w:rPr>
          <w:spacing w:val="-9"/>
          <w:sz w:val="18"/>
        </w:rPr>
        <w:t xml:space="preserve"> </w:t>
      </w:r>
      <w:r>
        <w:rPr>
          <w:sz w:val="18"/>
        </w:rPr>
        <w:t>Investigation</w:t>
      </w:r>
      <w:r>
        <w:rPr>
          <w:spacing w:val="-8"/>
          <w:sz w:val="18"/>
        </w:rPr>
        <w:t xml:space="preserve"> </w:t>
      </w:r>
      <w:r>
        <w:rPr>
          <w:sz w:val="18"/>
        </w:rPr>
        <w:t>(Exhibit</w:t>
      </w:r>
      <w:r>
        <w:rPr>
          <w:spacing w:val="-9"/>
          <w:sz w:val="18"/>
        </w:rPr>
        <w:t xml:space="preserve"> </w:t>
      </w:r>
      <w:r>
        <w:rPr>
          <w:sz w:val="18"/>
        </w:rPr>
        <w:t>AUS‐64),</w:t>
      </w:r>
      <w:r>
        <w:rPr>
          <w:spacing w:val="-9"/>
          <w:sz w:val="18"/>
        </w:rPr>
        <w:t xml:space="preserve"> </w:t>
      </w:r>
      <w:r>
        <w:rPr>
          <w:sz w:val="18"/>
        </w:rPr>
        <w:t>pp.</w:t>
      </w:r>
      <w:r>
        <w:rPr>
          <w:spacing w:val="-9"/>
          <w:sz w:val="18"/>
        </w:rPr>
        <w:t xml:space="preserve"> </w:t>
      </w:r>
      <w:r>
        <w:rPr>
          <w:sz w:val="18"/>
        </w:rPr>
        <w:t>10,</w:t>
      </w:r>
      <w:r>
        <w:rPr>
          <w:spacing w:val="-9"/>
          <w:sz w:val="18"/>
        </w:rPr>
        <w:t xml:space="preserve"> </w:t>
      </w:r>
      <w:r>
        <w:rPr>
          <w:spacing w:val="-5"/>
          <w:sz w:val="18"/>
        </w:rPr>
        <w:t>60.</w:t>
      </w:r>
    </w:p>
    <w:p w14:paraId="51DE8CF1" w14:textId="77777777" w:rsidR="0010369C" w:rsidRDefault="008E43AE">
      <w:pPr>
        <w:ind w:left="238"/>
        <w:jc w:val="both"/>
        <w:rPr>
          <w:sz w:val="18"/>
        </w:rPr>
      </w:pPr>
      <w:r>
        <w:rPr>
          <w:sz w:val="18"/>
          <w:vertAlign w:val="superscript"/>
        </w:rPr>
        <w:t>593</w:t>
      </w:r>
      <w:r>
        <w:rPr>
          <w:spacing w:val="-6"/>
          <w:sz w:val="18"/>
        </w:rPr>
        <w:t xml:space="preserve"> </w:t>
      </w:r>
      <w:r>
        <w:rPr>
          <w:sz w:val="18"/>
        </w:rPr>
        <w:t>Panel</w:t>
      </w:r>
      <w:r>
        <w:rPr>
          <w:spacing w:val="-7"/>
          <w:sz w:val="18"/>
        </w:rPr>
        <w:t xml:space="preserve"> </w:t>
      </w:r>
      <w:r>
        <w:rPr>
          <w:sz w:val="18"/>
        </w:rPr>
        <w:t>Report,</w:t>
      </w:r>
      <w:r>
        <w:rPr>
          <w:spacing w:val="-5"/>
          <w:sz w:val="18"/>
        </w:rPr>
        <w:t xml:space="preserve"> </w:t>
      </w:r>
      <w:r>
        <w:rPr>
          <w:i/>
          <w:sz w:val="18"/>
        </w:rPr>
        <w:t>China</w:t>
      </w:r>
      <w:r>
        <w:rPr>
          <w:i/>
          <w:spacing w:val="-6"/>
          <w:sz w:val="18"/>
        </w:rPr>
        <w:t xml:space="preserve"> </w:t>
      </w:r>
      <w:r>
        <w:rPr>
          <w:i/>
          <w:sz w:val="18"/>
        </w:rPr>
        <w:t>–</w:t>
      </w:r>
      <w:r>
        <w:rPr>
          <w:i/>
          <w:spacing w:val="-6"/>
          <w:sz w:val="18"/>
        </w:rPr>
        <w:t xml:space="preserve"> </w:t>
      </w:r>
      <w:r>
        <w:rPr>
          <w:i/>
          <w:sz w:val="18"/>
        </w:rPr>
        <w:t>Broiler</w:t>
      </w:r>
      <w:r>
        <w:rPr>
          <w:i/>
          <w:spacing w:val="-6"/>
          <w:sz w:val="18"/>
        </w:rPr>
        <w:t xml:space="preserve"> </w:t>
      </w:r>
      <w:r>
        <w:rPr>
          <w:i/>
          <w:sz w:val="18"/>
        </w:rPr>
        <w:t>Products</w:t>
      </w:r>
      <w:r>
        <w:rPr>
          <w:sz w:val="18"/>
        </w:rPr>
        <w:t>,</w:t>
      </w:r>
      <w:r>
        <w:rPr>
          <w:spacing w:val="-7"/>
          <w:sz w:val="18"/>
        </w:rPr>
        <w:t xml:space="preserve"> </w:t>
      </w:r>
      <w:r>
        <w:rPr>
          <w:sz w:val="18"/>
        </w:rPr>
        <w:t>para.</w:t>
      </w:r>
      <w:r>
        <w:rPr>
          <w:spacing w:val="-5"/>
          <w:sz w:val="18"/>
        </w:rPr>
        <w:t xml:space="preserve"> </w:t>
      </w:r>
      <w:r>
        <w:rPr>
          <w:spacing w:val="-2"/>
          <w:sz w:val="18"/>
        </w:rPr>
        <w:t>7.421.</w:t>
      </w:r>
    </w:p>
    <w:p w14:paraId="51DE8CF2" w14:textId="77777777" w:rsidR="0010369C" w:rsidRDefault="0010369C">
      <w:pPr>
        <w:jc w:val="both"/>
        <w:rPr>
          <w:sz w:val="18"/>
        </w:rPr>
        <w:sectPr w:rsidR="0010369C">
          <w:pgSz w:w="11910" w:h="16840"/>
          <w:pgMar w:top="880" w:right="800" w:bottom="980" w:left="1180" w:header="569" w:footer="788" w:gutter="0"/>
          <w:cols w:space="720"/>
        </w:sectPr>
      </w:pPr>
    </w:p>
    <w:p w14:paraId="51DE8CF3" w14:textId="77777777" w:rsidR="0010369C" w:rsidRDefault="008E43AE">
      <w:pPr>
        <w:tabs>
          <w:tab w:val="left" w:pos="6426"/>
        </w:tabs>
        <w:ind w:left="238"/>
        <w:rPr>
          <w:sz w:val="20"/>
        </w:rPr>
      </w:pPr>
      <w:r>
        <w:rPr>
          <w:i/>
          <w:sz w:val="20"/>
        </w:rPr>
        <w:lastRenderedPageBreak/>
        <w:t>China</w:t>
      </w:r>
      <w:r>
        <w:rPr>
          <w:i/>
          <w:spacing w:val="-5"/>
          <w:sz w:val="20"/>
        </w:rPr>
        <w:t xml:space="preserve"> </w:t>
      </w:r>
      <w:r>
        <w:rPr>
          <w:i/>
          <w:sz w:val="20"/>
        </w:rPr>
        <w:t>–</w:t>
      </w:r>
      <w:r>
        <w:rPr>
          <w:i/>
          <w:spacing w:val="-5"/>
          <w:sz w:val="20"/>
        </w:rPr>
        <w:t xml:space="preserve"> </w:t>
      </w:r>
      <w:r>
        <w:rPr>
          <w:i/>
          <w:sz w:val="20"/>
        </w:rPr>
        <w:t>Anti‐Dumping</w:t>
      </w:r>
      <w:r>
        <w:rPr>
          <w:i/>
          <w:spacing w:val="-4"/>
          <w:sz w:val="20"/>
        </w:rPr>
        <w:t xml:space="preserve"> </w:t>
      </w:r>
      <w:r>
        <w:rPr>
          <w:i/>
          <w:sz w:val="20"/>
        </w:rPr>
        <w:t>and</w:t>
      </w:r>
      <w:r>
        <w:rPr>
          <w:i/>
          <w:spacing w:val="-5"/>
          <w:sz w:val="20"/>
        </w:rPr>
        <w:t xml:space="preserve"> </w:t>
      </w:r>
      <w:r>
        <w:rPr>
          <w:i/>
          <w:sz w:val="20"/>
        </w:rPr>
        <w:t>Countervailing</w:t>
      </w:r>
      <w:r>
        <w:rPr>
          <w:i/>
          <w:spacing w:val="-5"/>
          <w:sz w:val="20"/>
        </w:rPr>
        <w:t xml:space="preserve"> </w:t>
      </w:r>
      <w:r>
        <w:rPr>
          <w:i/>
          <w:sz w:val="20"/>
        </w:rPr>
        <w:t>Duty</w:t>
      </w:r>
      <w:r>
        <w:rPr>
          <w:i/>
          <w:spacing w:val="-4"/>
          <w:sz w:val="20"/>
        </w:rPr>
        <w:t xml:space="preserve"> </w:t>
      </w:r>
      <w:r>
        <w:rPr>
          <w:i/>
          <w:spacing w:val="-2"/>
          <w:sz w:val="20"/>
        </w:rPr>
        <w:t>Measures</w:t>
      </w:r>
      <w:r>
        <w:rPr>
          <w:i/>
          <w:sz w:val="20"/>
        </w:rPr>
        <w:tab/>
      </w:r>
      <w:r>
        <w:rPr>
          <w:sz w:val="20"/>
        </w:rPr>
        <w:t>Australia's</w:t>
      </w:r>
      <w:r>
        <w:rPr>
          <w:spacing w:val="-7"/>
          <w:sz w:val="20"/>
        </w:rPr>
        <w:t xml:space="preserve"> </w:t>
      </w:r>
      <w:r>
        <w:rPr>
          <w:sz w:val="20"/>
        </w:rPr>
        <w:t>First</w:t>
      </w:r>
      <w:r>
        <w:rPr>
          <w:spacing w:val="-2"/>
          <w:sz w:val="20"/>
        </w:rPr>
        <w:t xml:space="preserve"> </w:t>
      </w:r>
      <w:r>
        <w:rPr>
          <w:sz w:val="20"/>
        </w:rPr>
        <w:t>Written</w:t>
      </w:r>
      <w:r>
        <w:rPr>
          <w:spacing w:val="-2"/>
          <w:sz w:val="20"/>
        </w:rPr>
        <w:t xml:space="preserve"> Submission</w:t>
      </w:r>
    </w:p>
    <w:p w14:paraId="51DE8CF4" w14:textId="77777777" w:rsidR="0010369C" w:rsidRDefault="008E43AE">
      <w:pPr>
        <w:tabs>
          <w:tab w:val="left" w:pos="8228"/>
        </w:tabs>
        <w:spacing w:before="1"/>
        <w:ind w:left="239"/>
        <w:rPr>
          <w:sz w:val="20"/>
        </w:rPr>
      </w:pPr>
      <w:r>
        <w:rPr>
          <w:i/>
          <w:sz w:val="20"/>
        </w:rPr>
        <w:t>on</w:t>
      </w:r>
      <w:r>
        <w:rPr>
          <w:i/>
          <w:spacing w:val="-1"/>
          <w:sz w:val="20"/>
        </w:rPr>
        <w:t xml:space="preserve"> </w:t>
      </w:r>
      <w:r>
        <w:rPr>
          <w:i/>
          <w:sz w:val="20"/>
        </w:rPr>
        <w:t>Wine</w:t>
      </w:r>
      <w:r>
        <w:rPr>
          <w:i/>
          <w:spacing w:val="-1"/>
          <w:sz w:val="20"/>
        </w:rPr>
        <w:t xml:space="preserve"> </w:t>
      </w:r>
      <w:r>
        <w:rPr>
          <w:i/>
          <w:sz w:val="20"/>
        </w:rPr>
        <w:t>from</w:t>
      </w:r>
      <w:r>
        <w:rPr>
          <w:i/>
          <w:spacing w:val="-3"/>
          <w:sz w:val="20"/>
        </w:rPr>
        <w:t xml:space="preserve"> </w:t>
      </w:r>
      <w:r>
        <w:rPr>
          <w:i/>
          <w:sz w:val="20"/>
        </w:rPr>
        <w:t>Australia</w:t>
      </w:r>
      <w:r>
        <w:rPr>
          <w:i/>
          <w:spacing w:val="-1"/>
          <w:sz w:val="20"/>
        </w:rPr>
        <w:t xml:space="preserve"> </w:t>
      </w:r>
      <w:r>
        <w:rPr>
          <w:spacing w:val="-2"/>
          <w:sz w:val="20"/>
        </w:rPr>
        <w:t>(DS602)</w:t>
      </w:r>
      <w:r>
        <w:rPr>
          <w:sz w:val="20"/>
        </w:rPr>
        <w:tab/>
        <w:t>29</w:t>
      </w:r>
      <w:r>
        <w:rPr>
          <w:spacing w:val="-1"/>
          <w:sz w:val="20"/>
        </w:rPr>
        <w:t xml:space="preserve"> </w:t>
      </w:r>
      <w:r>
        <w:rPr>
          <w:sz w:val="20"/>
        </w:rPr>
        <w:t>April</w:t>
      </w:r>
      <w:r>
        <w:rPr>
          <w:spacing w:val="-2"/>
          <w:sz w:val="20"/>
        </w:rPr>
        <w:t xml:space="preserve"> </w:t>
      </w:r>
      <w:r>
        <w:rPr>
          <w:spacing w:val="-4"/>
          <w:sz w:val="20"/>
        </w:rPr>
        <w:t>2022</w:t>
      </w:r>
    </w:p>
    <w:p w14:paraId="51DE8CF5" w14:textId="77777777" w:rsidR="0010369C" w:rsidRDefault="008E43AE">
      <w:pPr>
        <w:pStyle w:val="Heading4"/>
        <w:numPr>
          <w:ilvl w:val="1"/>
          <w:numId w:val="64"/>
        </w:numPr>
        <w:tabs>
          <w:tab w:val="left" w:pos="2649"/>
          <w:tab w:val="left" w:pos="2650"/>
        </w:tabs>
        <w:spacing w:before="34" w:line="360" w:lineRule="auto"/>
        <w:ind w:left="2790" w:right="613" w:hanging="851"/>
      </w:pPr>
      <w:r>
        <w:t>MOFCOM's determination of "domestic industry" is not objective and not based on positive evidence</w:t>
      </w:r>
    </w:p>
    <w:p w14:paraId="51DE8CF6" w14:textId="77777777" w:rsidR="0010369C" w:rsidRDefault="0010369C">
      <w:pPr>
        <w:pStyle w:val="BodyText"/>
        <w:spacing w:before="10"/>
        <w:rPr>
          <w:b/>
          <w:sz w:val="8"/>
        </w:rPr>
      </w:pPr>
    </w:p>
    <w:p w14:paraId="51DE8CF7" w14:textId="77777777" w:rsidR="0010369C" w:rsidRDefault="008E43AE">
      <w:pPr>
        <w:pStyle w:val="BodyText"/>
        <w:spacing w:before="52" w:line="360" w:lineRule="auto"/>
        <w:ind w:left="237" w:right="613" w:firstLine="851"/>
        <w:jc w:val="both"/>
      </w:pPr>
      <w:r>
        <w:rPr>
          <w:noProof/>
        </w:rPr>
        <w:drawing>
          <wp:anchor distT="0" distB="0" distL="0" distR="0" simplePos="0" relativeHeight="251172352" behindDoc="1" locked="0" layoutInCell="1" allowOverlap="1" wp14:anchorId="51DEA422" wp14:editId="51DEA423">
            <wp:simplePos x="0" y="0"/>
            <wp:positionH relativeFrom="page">
              <wp:posOffset>902208</wp:posOffset>
            </wp:positionH>
            <wp:positionV relativeFrom="paragraph">
              <wp:posOffset>76785</wp:posOffset>
            </wp:positionV>
            <wp:extent cx="262127" cy="106679"/>
            <wp:effectExtent l="0" t="0" r="0" b="0"/>
            <wp:wrapNone/>
            <wp:docPr id="1069" name="image5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 name="image546.png"/>
                    <pic:cNvPicPr/>
                  </pic:nvPicPr>
                  <pic:blipFill>
                    <a:blip r:embed="rId715" cstate="print"/>
                    <a:stretch>
                      <a:fillRect/>
                    </a:stretch>
                  </pic:blipFill>
                  <pic:spPr>
                    <a:xfrm>
                      <a:off x="0" y="0"/>
                      <a:ext cx="262127" cy="106679"/>
                    </a:xfrm>
                    <a:prstGeom prst="rect">
                      <a:avLst/>
                    </a:prstGeom>
                  </pic:spPr>
                </pic:pic>
              </a:graphicData>
            </a:graphic>
          </wp:anchor>
        </w:drawing>
      </w:r>
      <w:r>
        <w:t>The</w:t>
      </w:r>
      <w:r>
        <w:rPr>
          <w:spacing w:val="-6"/>
        </w:rPr>
        <w:t xml:space="preserve"> </w:t>
      </w:r>
      <w:r>
        <w:t>domestic</w:t>
      </w:r>
      <w:r>
        <w:rPr>
          <w:spacing w:val="-4"/>
        </w:rPr>
        <w:t xml:space="preserve"> </w:t>
      </w:r>
      <w:r>
        <w:t>industry</w:t>
      </w:r>
      <w:r>
        <w:rPr>
          <w:spacing w:val="-5"/>
        </w:rPr>
        <w:t xml:space="preserve"> </w:t>
      </w:r>
      <w:r>
        <w:t>forms</w:t>
      </w:r>
      <w:r>
        <w:rPr>
          <w:spacing w:val="-6"/>
        </w:rPr>
        <w:t xml:space="preserve"> </w:t>
      </w:r>
      <w:r>
        <w:t>the</w:t>
      </w:r>
      <w:r>
        <w:rPr>
          <w:spacing w:val="-6"/>
        </w:rPr>
        <w:t xml:space="preserve"> </w:t>
      </w:r>
      <w:r>
        <w:t>basis</w:t>
      </w:r>
      <w:r>
        <w:rPr>
          <w:spacing w:val="-6"/>
        </w:rPr>
        <w:t xml:space="preserve"> </w:t>
      </w:r>
      <w:r>
        <w:t>on</w:t>
      </w:r>
      <w:r>
        <w:rPr>
          <w:spacing w:val="-6"/>
        </w:rPr>
        <w:t xml:space="preserve"> </w:t>
      </w:r>
      <w:r>
        <w:t>which</w:t>
      </w:r>
      <w:r>
        <w:rPr>
          <w:spacing w:val="-7"/>
        </w:rPr>
        <w:t xml:space="preserve"> </w:t>
      </w:r>
      <w:r>
        <w:t>an</w:t>
      </w:r>
      <w:r>
        <w:rPr>
          <w:spacing w:val="-7"/>
        </w:rPr>
        <w:t xml:space="preserve"> </w:t>
      </w:r>
      <w:r>
        <w:t>investigating</w:t>
      </w:r>
      <w:r>
        <w:rPr>
          <w:spacing w:val="-5"/>
        </w:rPr>
        <w:t xml:space="preserve"> </w:t>
      </w:r>
      <w:r>
        <w:t>authority</w:t>
      </w:r>
      <w:r>
        <w:rPr>
          <w:spacing w:val="-7"/>
        </w:rPr>
        <w:t xml:space="preserve"> </w:t>
      </w:r>
      <w:r>
        <w:t>makes</w:t>
      </w:r>
      <w:r>
        <w:rPr>
          <w:spacing w:val="-7"/>
        </w:rPr>
        <w:t xml:space="preserve"> </w:t>
      </w:r>
      <w:r>
        <w:t>the determination of whether the dumped imports cause or threaten to cause material injury to the domestic producers. This determination must be based on positive evidence.</w:t>
      </w:r>
      <w:r>
        <w:rPr>
          <w:vertAlign w:val="superscript"/>
        </w:rPr>
        <w:t>594</w:t>
      </w:r>
      <w:r>
        <w:t xml:space="preserve"> Such positive</w:t>
      </w:r>
      <w:r>
        <w:rPr>
          <w:spacing w:val="-5"/>
        </w:rPr>
        <w:t xml:space="preserve"> </w:t>
      </w:r>
      <w:r>
        <w:t>evidence</w:t>
      </w:r>
      <w:r>
        <w:rPr>
          <w:spacing w:val="-6"/>
        </w:rPr>
        <w:t xml:space="preserve"> </w:t>
      </w:r>
      <w:r>
        <w:t>includes</w:t>
      </w:r>
      <w:r>
        <w:rPr>
          <w:spacing w:val="-6"/>
        </w:rPr>
        <w:t xml:space="preserve"> </w:t>
      </w:r>
      <w:r>
        <w:t>relevant</w:t>
      </w:r>
      <w:r>
        <w:rPr>
          <w:spacing w:val="-6"/>
        </w:rPr>
        <w:t xml:space="preserve"> </w:t>
      </w:r>
      <w:r>
        <w:t>economic</w:t>
      </w:r>
      <w:r>
        <w:rPr>
          <w:spacing w:val="-6"/>
        </w:rPr>
        <w:t xml:space="preserve"> </w:t>
      </w:r>
      <w:r>
        <w:t>factors</w:t>
      </w:r>
      <w:r>
        <w:rPr>
          <w:spacing w:val="-6"/>
        </w:rPr>
        <w:t xml:space="preserve"> </w:t>
      </w:r>
      <w:r>
        <w:t>and</w:t>
      </w:r>
      <w:r>
        <w:rPr>
          <w:spacing w:val="-6"/>
        </w:rPr>
        <w:t xml:space="preserve"> </w:t>
      </w:r>
      <w:r>
        <w:t>indices</w:t>
      </w:r>
      <w:r>
        <w:rPr>
          <w:spacing w:val="-6"/>
        </w:rPr>
        <w:t xml:space="preserve"> </w:t>
      </w:r>
      <w:r>
        <w:t>collected</w:t>
      </w:r>
      <w:r>
        <w:rPr>
          <w:spacing w:val="-6"/>
        </w:rPr>
        <w:t xml:space="preserve"> </w:t>
      </w:r>
      <w:r>
        <w:t>from</w:t>
      </w:r>
      <w:r>
        <w:rPr>
          <w:spacing w:val="-6"/>
        </w:rPr>
        <w:t xml:space="preserve"> </w:t>
      </w:r>
      <w:r>
        <w:t>the</w:t>
      </w:r>
      <w:r>
        <w:rPr>
          <w:spacing w:val="-5"/>
        </w:rPr>
        <w:t xml:space="preserve"> </w:t>
      </w:r>
      <w:r>
        <w:t>domestic industry, which have a bearing on the state of the industry, and requires wide‐ranging information concerning the relevant economic factors in order to ensure the accuracy of an investigation</w:t>
      </w:r>
      <w:r>
        <w:rPr>
          <w:spacing w:val="-14"/>
        </w:rPr>
        <w:t xml:space="preserve"> </w:t>
      </w:r>
      <w:r>
        <w:t>concerning</w:t>
      </w:r>
      <w:r>
        <w:rPr>
          <w:spacing w:val="-14"/>
        </w:rPr>
        <w:t xml:space="preserve"> </w:t>
      </w:r>
      <w:r>
        <w:t>the</w:t>
      </w:r>
      <w:r>
        <w:rPr>
          <w:spacing w:val="-13"/>
        </w:rPr>
        <w:t xml:space="preserve"> </w:t>
      </w:r>
      <w:r>
        <w:t>state</w:t>
      </w:r>
      <w:r>
        <w:rPr>
          <w:spacing w:val="-14"/>
        </w:rPr>
        <w:t xml:space="preserve"> </w:t>
      </w:r>
      <w:r>
        <w:t>of</w:t>
      </w:r>
      <w:r>
        <w:rPr>
          <w:spacing w:val="-13"/>
        </w:rPr>
        <w:t xml:space="preserve"> </w:t>
      </w:r>
      <w:r>
        <w:t>the</w:t>
      </w:r>
      <w:r>
        <w:rPr>
          <w:spacing w:val="-14"/>
        </w:rPr>
        <w:t xml:space="preserve"> </w:t>
      </w:r>
      <w:r>
        <w:t>industry</w:t>
      </w:r>
      <w:r>
        <w:rPr>
          <w:spacing w:val="-13"/>
        </w:rPr>
        <w:t xml:space="preserve"> </w:t>
      </w:r>
      <w:r>
        <w:t>and</w:t>
      </w:r>
      <w:r>
        <w:rPr>
          <w:spacing w:val="-13"/>
        </w:rPr>
        <w:t xml:space="preserve"> </w:t>
      </w:r>
      <w:r>
        <w:t>the</w:t>
      </w:r>
      <w:r>
        <w:rPr>
          <w:spacing w:val="-13"/>
        </w:rPr>
        <w:t xml:space="preserve"> </w:t>
      </w:r>
      <w:r>
        <w:t>i</w:t>
      </w:r>
      <w:r>
        <w:t>njury</w:t>
      </w:r>
      <w:r>
        <w:rPr>
          <w:spacing w:val="-14"/>
        </w:rPr>
        <w:t xml:space="preserve"> </w:t>
      </w:r>
      <w:r>
        <w:t>it</w:t>
      </w:r>
      <w:r>
        <w:rPr>
          <w:spacing w:val="-13"/>
        </w:rPr>
        <w:t xml:space="preserve"> </w:t>
      </w:r>
      <w:r>
        <w:t>has</w:t>
      </w:r>
      <w:r>
        <w:rPr>
          <w:spacing w:val="-14"/>
        </w:rPr>
        <w:t xml:space="preserve"> </w:t>
      </w:r>
      <w:r>
        <w:t>suffered.</w:t>
      </w:r>
      <w:r>
        <w:rPr>
          <w:vertAlign w:val="superscript"/>
        </w:rPr>
        <w:t>595</w:t>
      </w:r>
      <w:r>
        <w:rPr>
          <w:spacing w:val="-14"/>
        </w:rPr>
        <w:t xml:space="preserve"> </w:t>
      </w:r>
      <w:r>
        <w:t>Accordingly, a major proportion of the total domestic production should be determined so as to ensure that</w:t>
      </w:r>
      <w:r>
        <w:rPr>
          <w:spacing w:val="-12"/>
        </w:rPr>
        <w:t xml:space="preserve"> </w:t>
      </w:r>
      <w:r>
        <w:t>the</w:t>
      </w:r>
      <w:r>
        <w:rPr>
          <w:spacing w:val="-12"/>
        </w:rPr>
        <w:t xml:space="preserve"> </w:t>
      </w:r>
      <w:r>
        <w:t>domestic</w:t>
      </w:r>
      <w:r>
        <w:rPr>
          <w:spacing w:val="-11"/>
        </w:rPr>
        <w:t xml:space="preserve"> </w:t>
      </w:r>
      <w:r>
        <w:t>industry</w:t>
      </w:r>
      <w:r>
        <w:rPr>
          <w:spacing w:val="-11"/>
        </w:rPr>
        <w:t xml:space="preserve"> </w:t>
      </w:r>
      <w:r>
        <w:t>defined</w:t>
      </w:r>
      <w:r>
        <w:rPr>
          <w:spacing w:val="-13"/>
        </w:rPr>
        <w:t xml:space="preserve"> </w:t>
      </w:r>
      <w:r>
        <w:t>on</w:t>
      </w:r>
      <w:r>
        <w:rPr>
          <w:spacing w:val="-12"/>
        </w:rPr>
        <w:t xml:space="preserve"> </w:t>
      </w:r>
      <w:r>
        <w:t>this</w:t>
      </w:r>
      <w:r>
        <w:rPr>
          <w:spacing w:val="-13"/>
        </w:rPr>
        <w:t xml:space="preserve"> </w:t>
      </w:r>
      <w:r>
        <w:t>basis</w:t>
      </w:r>
      <w:r>
        <w:rPr>
          <w:spacing w:val="-12"/>
        </w:rPr>
        <w:t xml:space="preserve"> </w:t>
      </w:r>
      <w:r>
        <w:t>is</w:t>
      </w:r>
      <w:r>
        <w:rPr>
          <w:spacing w:val="-13"/>
        </w:rPr>
        <w:t xml:space="preserve"> </w:t>
      </w:r>
      <w:r>
        <w:t>capable</w:t>
      </w:r>
      <w:r>
        <w:rPr>
          <w:spacing w:val="-12"/>
        </w:rPr>
        <w:t xml:space="preserve"> </w:t>
      </w:r>
      <w:r>
        <w:t>of</w:t>
      </w:r>
      <w:r>
        <w:rPr>
          <w:spacing w:val="-14"/>
        </w:rPr>
        <w:t xml:space="preserve"> </w:t>
      </w:r>
      <w:r>
        <w:t>providing</w:t>
      </w:r>
      <w:r>
        <w:rPr>
          <w:spacing w:val="-12"/>
        </w:rPr>
        <w:t xml:space="preserve"> </w:t>
      </w:r>
      <w:r>
        <w:t>ample</w:t>
      </w:r>
      <w:r>
        <w:rPr>
          <w:spacing w:val="-12"/>
        </w:rPr>
        <w:t xml:space="preserve"> </w:t>
      </w:r>
      <w:r>
        <w:t>data</w:t>
      </w:r>
      <w:r>
        <w:rPr>
          <w:spacing w:val="-12"/>
        </w:rPr>
        <w:t xml:space="preserve"> </w:t>
      </w:r>
      <w:r>
        <w:t>that</w:t>
      </w:r>
      <w:r>
        <w:rPr>
          <w:spacing w:val="-12"/>
        </w:rPr>
        <w:t xml:space="preserve"> </w:t>
      </w:r>
      <w:r>
        <w:t>ensure an accurate injury analysis.</w:t>
      </w:r>
      <w:r>
        <w:rPr>
          <w:vertAlign w:val="superscript"/>
        </w:rPr>
        <w:t>596</w:t>
      </w:r>
    </w:p>
    <w:p w14:paraId="51DE8CF8" w14:textId="77777777" w:rsidR="0010369C" w:rsidRDefault="0010369C">
      <w:pPr>
        <w:pStyle w:val="BodyText"/>
        <w:spacing w:before="11"/>
        <w:rPr>
          <w:sz w:val="8"/>
        </w:rPr>
      </w:pPr>
    </w:p>
    <w:p w14:paraId="51DE8CF9" w14:textId="77777777" w:rsidR="0010369C" w:rsidRDefault="008E43AE">
      <w:pPr>
        <w:pStyle w:val="BodyText"/>
        <w:spacing w:before="52" w:line="360" w:lineRule="auto"/>
        <w:ind w:left="236" w:right="613" w:firstLine="852"/>
        <w:jc w:val="both"/>
      </w:pPr>
      <w:r>
        <w:rPr>
          <w:noProof/>
        </w:rPr>
        <w:drawing>
          <wp:anchor distT="0" distB="0" distL="0" distR="0" simplePos="0" relativeHeight="251173376" behindDoc="1" locked="0" layoutInCell="1" allowOverlap="1" wp14:anchorId="51DEA424" wp14:editId="51DEA425">
            <wp:simplePos x="0" y="0"/>
            <wp:positionH relativeFrom="page">
              <wp:posOffset>902208</wp:posOffset>
            </wp:positionH>
            <wp:positionV relativeFrom="paragraph">
              <wp:posOffset>76785</wp:posOffset>
            </wp:positionV>
            <wp:extent cx="262127" cy="106679"/>
            <wp:effectExtent l="0" t="0" r="0" b="0"/>
            <wp:wrapNone/>
            <wp:docPr id="1071" name="image5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 name="image547.png"/>
                    <pic:cNvPicPr/>
                  </pic:nvPicPr>
                  <pic:blipFill>
                    <a:blip r:embed="rId716" cstate="print"/>
                    <a:stretch>
                      <a:fillRect/>
                    </a:stretch>
                  </pic:blipFill>
                  <pic:spPr>
                    <a:xfrm>
                      <a:off x="0" y="0"/>
                      <a:ext cx="262127" cy="106679"/>
                    </a:xfrm>
                    <a:prstGeom prst="rect">
                      <a:avLst/>
                    </a:prstGeom>
                  </pic:spPr>
                </pic:pic>
              </a:graphicData>
            </a:graphic>
          </wp:anchor>
        </w:drawing>
      </w:r>
      <w:r>
        <w:t>The Applicant, CADA, failed to provide accurate production data on behalf of the industry it purported to represent – or even to provide a list of names of all of the producers of</w:t>
      </w:r>
      <w:r>
        <w:rPr>
          <w:spacing w:val="-11"/>
        </w:rPr>
        <w:t xml:space="preserve"> </w:t>
      </w:r>
      <w:r>
        <w:t>which</w:t>
      </w:r>
      <w:r>
        <w:rPr>
          <w:spacing w:val="-11"/>
        </w:rPr>
        <w:t xml:space="preserve"> </w:t>
      </w:r>
      <w:r>
        <w:t>it</w:t>
      </w:r>
      <w:r>
        <w:rPr>
          <w:spacing w:val="-11"/>
        </w:rPr>
        <w:t xml:space="preserve"> </w:t>
      </w:r>
      <w:r>
        <w:t>was</w:t>
      </w:r>
      <w:r>
        <w:rPr>
          <w:spacing w:val="-11"/>
        </w:rPr>
        <w:t xml:space="preserve"> </w:t>
      </w:r>
      <w:r>
        <w:t>aware.</w:t>
      </w:r>
      <w:r>
        <w:rPr>
          <w:vertAlign w:val="superscript"/>
        </w:rPr>
        <w:t>597</w:t>
      </w:r>
      <w:r>
        <w:rPr>
          <w:spacing w:val="-12"/>
        </w:rPr>
        <w:t xml:space="preserve"> </w:t>
      </w:r>
      <w:r>
        <w:t>MOFCOM</w:t>
      </w:r>
      <w:r>
        <w:rPr>
          <w:spacing w:val="-11"/>
        </w:rPr>
        <w:t xml:space="preserve"> </w:t>
      </w:r>
      <w:r>
        <w:t>did</w:t>
      </w:r>
      <w:r>
        <w:rPr>
          <w:spacing w:val="-10"/>
        </w:rPr>
        <w:t xml:space="preserve"> </w:t>
      </w:r>
      <w:r>
        <w:t>n</w:t>
      </w:r>
      <w:r>
        <w:t>ot</w:t>
      </w:r>
      <w:r>
        <w:rPr>
          <w:spacing w:val="-11"/>
        </w:rPr>
        <w:t xml:space="preserve"> </w:t>
      </w:r>
      <w:r>
        <w:t>require</w:t>
      </w:r>
      <w:r>
        <w:rPr>
          <w:spacing w:val="-11"/>
        </w:rPr>
        <w:t xml:space="preserve"> </w:t>
      </w:r>
      <w:r>
        <w:t>the</w:t>
      </w:r>
      <w:r>
        <w:rPr>
          <w:spacing w:val="-10"/>
        </w:rPr>
        <w:t xml:space="preserve"> </w:t>
      </w:r>
      <w:r>
        <w:t>Applicant</w:t>
      </w:r>
      <w:r>
        <w:rPr>
          <w:spacing w:val="-13"/>
        </w:rPr>
        <w:t xml:space="preserve"> </w:t>
      </w:r>
      <w:r>
        <w:t>to</w:t>
      </w:r>
      <w:r>
        <w:rPr>
          <w:spacing w:val="-11"/>
        </w:rPr>
        <w:t xml:space="preserve"> </w:t>
      </w:r>
      <w:r>
        <w:t>correct</w:t>
      </w:r>
      <w:r>
        <w:rPr>
          <w:spacing w:val="-11"/>
        </w:rPr>
        <w:t xml:space="preserve"> </w:t>
      </w:r>
      <w:r>
        <w:t>these</w:t>
      </w:r>
      <w:r>
        <w:rPr>
          <w:spacing w:val="-10"/>
        </w:rPr>
        <w:t xml:space="preserve"> </w:t>
      </w:r>
      <w:r>
        <w:t>deficiencies. Rather, it took it upon itself to determine the "domestic industry" by estimating the total output of</w:t>
      </w:r>
      <w:r>
        <w:rPr>
          <w:spacing w:val="-1"/>
        </w:rPr>
        <w:t xml:space="preserve"> </w:t>
      </w:r>
      <w:r>
        <w:t>the Chinese wine industry "by the area</w:t>
      </w:r>
      <w:r>
        <w:rPr>
          <w:spacing w:val="-2"/>
        </w:rPr>
        <w:t xml:space="preserve"> </w:t>
      </w:r>
      <w:r>
        <w:t>of</w:t>
      </w:r>
      <w:r>
        <w:rPr>
          <w:spacing w:val="-1"/>
        </w:rPr>
        <w:t xml:space="preserve"> </w:t>
      </w:r>
      <w:r>
        <w:t>wine grapes,</w:t>
      </w:r>
      <w:r>
        <w:rPr>
          <w:spacing w:val="-1"/>
        </w:rPr>
        <w:t xml:space="preserve"> </w:t>
      </w:r>
      <w:r>
        <w:t>output per acre, wine yield, output</w:t>
      </w:r>
      <w:r>
        <w:rPr>
          <w:spacing w:val="-1"/>
        </w:rPr>
        <w:t xml:space="preserve"> </w:t>
      </w:r>
      <w:r>
        <w:t>and</w:t>
      </w:r>
      <w:r>
        <w:rPr>
          <w:spacing w:val="-1"/>
        </w:rPr>
        <w:t xml:space="preserve"> </w:t>
      </w:r>
      <w:r>
        <w:t>los</w:t>
      </w:r>
      <w:r>
        <w:t>s</w:t>
      </w:r>
      <w:r>
        <w:rPr>
          <w:spacing w:val="-1"/>
        </w:rPr>
        <w:t xml:space="preserve"> </w:t>
      </w:r>
      <w:r>
        <w:t>of</w:t>
      </w:r>
      <w:r>
        <w:rPr>
          <w:spacing w:val="-1"/>
        </w:rPr>
        <w:t xml:space="preserve"> </w:t>
      </w:r>
      <w:r>
        <w:t>finished</w:t>
      </w:r>
      <w:r>
        <w:rPr>
          <w:spacing w:val="-2"/>
        </w:rPr>
        <w:t xml:space="preserve"> </w:t>
      </w:r>
      <w:r>
        <w:t>wines</w:t>
      </w:r>
      <w:r>
        <w:rPr>
          <w:spacing w:val="-2"/>
        </w:rPr>
        <w:t xml:space="preserve"> </w:t>
      </w:r>
      <w:r>
        <w:t>made</w:t>
      </w:r>
      <w:r>
        <w:rPr>
          <w:spacing w:val="-1"/>
        </w:rPr>
        <w:t xml:space="preserve"> </w:t>
      </w:r>
      <w:r>
        <w:t>from imported</w:t>
      </w:r>
      <w:r>
        <w:rPr>
          <w:spacing w:val="-1"/>
        </w:rPr>
        <w:t xml:space="preserve"> </w:t>
      </w:r>
      <w:r>
        <w:t>wines,</w:t>
      </w:r>
      <w:r>
        <w:rPr>
          <w:spacing w:val="-1"/>
        </w:rPr>
        <w:t xml:space="preserve"> </w:t>
      </w:r>
      <w:r>
        <w:t>and</w:t>
      </w:r>
      <w:r>
        <w:rPr>
          <w:spacing w:val="-1"/>
        </w:rPr>
        <w:t xml:space="preserve"> </w:t>
      </w:r>
      <w:r>
        <w:t>the</w:t>
      </w:r>
      <w:r>
        <w:rPr>
          <w:spacing w:val="-1"/>
        </w:rPr>
        <w:t xml:space="preserve"> </w:t>
      </w:r>
      <w:r>
        <w:t>production</w:t>
      </w:r>
      <w:r>
        <w:rPr>
          <w:spacing w:val="-1"/>
        </w:rPr>
        <w:t xml:space="preserve"> </w:t>
      </w:r>
      <w:r>
        <w:t>proportion of different wines".</w:t>
      </w:r>
      <w:r>
        <w:rPr>
          <w:vertAlign w:val="superscript"/>
        </w:rPr>
        <w:t>598</w:t>
      </w:r>
      <w:r>
        <w:t xml:space="preserve"> This process was opaque, involved considerable speculation, did not address conflicting record evidence, was not based on positive evidence, and was not </w:t>
      </w:r>
      <w:r>
        <w:rPr>
          <w:spacing w:val="-2"/>
        </w:rPr>
        <w:t>objective.</w:t>
      </w:r>
    </w:p>
    <w:p w14:paraId="51DE8CFA" w14:textId="77777777" w:rsidR="0010369C" w:rsidRDefault="0010369C">
      <w:pPr>
        <w:pStyle w:val="BodyText"/>
        <w:spacing w:before="10"/>
        <w:rPr>
          <w:sz w:val="8"/>
        </w:rPr>
      </w:pPr>
    </w:p>
    <w:p w14:paraId="51DE8CFB" w14:textId="77777777" w:rsidR="0010369C" w:rsidRDefault="008E43AE">
      <w:pPr>
        <w:pStyle w:val="BodyText"/>
        <w:spacing w:before="52" w:line="360" w:lineRule="auto"/>
        <w:ind w:left="237" w:right="612" w:firstLine="852"/>
        <w:jc w:val="both"/>
      </w:pPr>
      <w:r>
        <w:rPr>
          <w:noProof/>
        </w:rPr>
        <w:drawing>
          <wp:anchor distT="0" distB="0" distL="0" distR="0" simplePos="0" relativeHeight="251174400" behindDoc="1" locked="0" layoutInCell="1" allowOverlap="1" wp14:anchorId="51DEA426" wp14:editId="51DEA427">
            <wp:simplePos x="0" y="0"/>
            <wp:positionH relativeFrom="page">
              <wp:posOffset>902208</wp:posOffset>
            </wp:positionH>
            <wp:positionV relativeFrom="paragraph">
              <wp:posOffset>81949</wp:posOffset>
            </wp:positionV>
            <wp:extent cx="262127" cy="100753"/>
            <wp:effectExtent l="0" t="0" r="0" b="0"/>
            <wp:wrapNone/>
            <wp:docPr id="1073" name="image5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 name="image548.png"/>
                    <pic:cNvPicPr/>
                  </pic:nvPicPr>
                  <pic:blipFill>
                    <a:blip r:embed="rId717" cstate="print"/>
                    <a:stretch>
                      <a:fillRect/>
                    </a:stretch>
                  </pic:blipFill>
                  <pic:spPr>
                    <a:xfrm>
                      <a:off x="0" y="0"/>
                      <a:ext cx="262127" cy="100753"/>
                    </a:xfrm>
                    <a:prstGeom prst="rect">
                      <a:avLst/>
                    </a:prstGeom>
                  </pic:spPr>
                </pic:pic>
              </a:graphicData>
            </a:graphic>
          </wp:anchor>
        </w:drawing>
      </w:r>
      <w:r>
        <w:t xml:space="preserve">The technique employed by MOFCOM did not identify the </w:t>
      </w:r>
      <w:r>
        <w:rPr>
          <w:i/>
        </w:rPr>
        <w:t xml:space="preserve">actual </w:t>
      </w:r>
      <w:r>
        <w:t>total input based on positiv</w:t>
      </w:r>
      <w:r>
        <w:t>e evidence, but rather estimated output using a formula based on limited assumptions. There is nothing on the record to show that this estimate made allowance for year‐to‐year</w:t>
      </w:r>
      <w:r>
        <w:rPr>
          <w:spacing w:val="-7"/>
        </w:rPr>
        <w:t xml:space="preserve"> </w:t>
      </w:r>
      <w:r>
        <w:t>variables</w:t>
      </w:r>
      <w:r>
        <w:rPr>
          <w:spacing w:val="-7"/>
        </w:rPr>
        <w:t xml:space="preserve"> </w:t>
      </w:r>
      <w:r>
        <w:t>such</w:t>
      </w:r>
      <w:r>
        <w:rPr>
          <w:spacing w:val="-7"/>
        </w:rPr>
        <w:t xml:space="preserve"> </w:t>
      </w:r>
      <w:r>
        <w:t>as</w:t>
      </w:r>
      <w:r>
        <w:rPr>
          <w:spacing w:val="-7"/>
        </w:rPr>
        <w:t xml:space="preserve"> </w:t>
      </w:r>
      <w:r>
        <w:t>weather,</w:t>
      </w:r>
      <w:r>
        <w:rPr>
          <w:spacing w:val="-6"/>
        </w:rPr>
        <w:t xml:space="preserve"> </w:t>
      </w:r>
      <w:r>
        <w:t>nor</w:t>
      </w:r>
      <w:r>
        <w:rPr>
          <w:spacing w:val="-6"/>
        </w:rPr>
        <w:t xml:space="preserve"> </w:t>
      </w:r>
      <w:r>
        <w:t>that</w:t>
      </w:r>
      <w:r>
        <w:rPr>
          <w:spacing w:val="-8"/>
        </w:rPr>
        <w:t xml:space="preserve"> </w:t>
      </w:r>
      <w:r>
        <w:t>there</w:t>
      </w:r>
      <w:r>
        <w:rPr>
          <w:spacing w:val="-6"/>
        </w:rPr>
        <w:t xml:space="preserve"> </w:t>
      </w:r>
      <w:r>
        <w:t>was</w:t>
      </w:r>
      <w:r>
        <w:rPr>
          <w:spacing w:val="-7"/>
        </w:rPr>
        <w:t xml:space="preserve"> </w:t>
      </w:r>
      <w:r>
        <w:t>any</w:t>
      </w:r>
      <w:r>
        <w:rPr>
          <w:spacing w:val="-6"/>
        </w:rPr>
        <w:t xml:space="preserve"> </w:t>
      </w:r>
      <w:r>
        <w:t>attempt</w:t>
      </w:r>
      <w:r>
        <w:rPr>
          <w:spacing w:val="-6"/>
        </w:rPr>
        <w:t xml:space="preserve"> </w:t>
      </w:r>
      <w:r>
        <w:t>to</w:t>
      </w:r>
      <w:r>
        <w:rPr>
          <w:spacing w:val="-6"/>
        </w:rPr>
        <w:t xml:space="preserve"> </w:t>
      </w:r>
      <w:r>
        <w:t>verify</w:t>
      </w:r>
      <w:r>
        <w:rPr>
          <w:spacing w:val="-5"/>
        </w:rPr>
        <w:t xml:space="preserve"> </w:t>
      </w:r>
      <w:r>
        <w:t>this</w:t>
      </w:r>
      <w:r>
        <w:rPr>
          <w:spacing w:val="-8"/>
        </w:rPr>
        <w:t xml:space="preserve"> </w:t>
      </w:r>
      <w:r>
        <w:t>estimat</w:t>
      </w:r>
      <w:r>
        <w:t>e against actual production data, despite the annual production figures being very significantly lower than the production figures claimed by CADA in its application. For example, in 2015,</w:t>
      </w:r>
    </w:p>
    <w:p w14:paraId="51DE8CFC" w14:textId="77777777" w:rsidR="0010369C" w:rsidRDefault="0010369C">
      <w:pPr>
        <w:pStyle w:val="BodyText"/>
        <w:rPr>
          <w:sz w:val="20"/>
        </w:rPr>
      </w:pPr>
    </w:p>
    <w:p w14:paraId="51DE8CFD" w14:textId="77777777" w:rsidR="0010369C" w:rsidRDefault="008E43AE">
      <w:pPr>
        <w:pStyle w:val="BodyText"/>
        <w:spacing w:before="6"/>
        <w:rPr>
          <w:sz w:val="13"/>
        </w:rPr>
      </w:pPr>
      <w:r>
        <w:pict w14:anchorId="51DEA428">
          <v:rect id="docshape1002" o:spid="_x0000_s1365" style="position:absolute;margin-left:70.9pt;margin-top:9.45pt;width:2in;height:.8pt;z-index:-250849792;mso-wrap-distance-left:0;mso-wrap-distance-right:0;mso-position-horizontal-relative:page" fillcolor="black" stroked="f">
            <w10:wrap type="topAndBottom" anchorx="page"/>
          </v:rect>
        </w:pict>
      </w:r>
    </w:p>
    <w:p w14:paraId="51DE8CFE" w14:textId="77777777" w:rsidR="0010369C" w:rsidRDefault="008E43AE">
      <w:pPr>
        <w:spacing w:before="109"/>
        <w:ind w:left="238" w:right="5283"/>
        <w:jc w:val="both"/>
        <w:rPr>
          <w:sz w:val="18"/>
        </w:rPr>
      </w:pPr>
      <w:r>
        <w:rPr>
          <w:sz w:val="18"/>
          <w:vertAlign w:val="superscript"/>
        </w:rPr>
        <w:t>594</w:t>
      </w:r>
      <w:r>
        <w:rPr>
          <w:spacing w:val="-3"/>
          <w:sz w:val="18"/>
        </w:rPr>
        <w:t xml:space="preserve"> </w:t>
      </w:r>
      <w:r>
        <w:rPr>
          <w:sz w:val="18"/>
        </w:rPr>
        <w:t>Appellate</w:t>
      </w:r>
      <w:r>
        <w:rPr>
          <w:spacing w:val="-3"/>
          <w:sz w:val="18"/>
        </w:rPr>
        <w:t xml:space="preserve"> </w:t>
      </w:r>
      <w:r>
        <w:rPr>
          <w:sz w:val="18"/>
        </w:rPr>
        <w:t>Body</w:t>
      </w:r>
      <w:r>
        <w:rPr>
          <w:spacing w:val="-5"/>
          <w:sz w:val="18"/>
        </w:rPr>
        <w:t xml:space="preserve"> </w:t>
      </w:r>
      <w:r>
        <w:rPr>
          <w:sz w:val="18"/>
        </w:rPr>
        <w:t>Report,</w:t>
      </w:r>
      <w:r>
        <w:rPr>
          <w:spacing w:val="-3"/>
          <w:sz w:val="18"/>
        </w:rPr>
        <w:t xml:space="preserve"> </w:t>
      </w:r>
      <w:r>
        <w:rPr>
          <w:i/>
          <w:sz w:val="18"/>
        </w:rPr>
        <w:t>EC</w:t>
      </w:r>
      <w:r>
        <w:rPr>
          <w:i/>
          <w:spacing w:val="-4"/>
          <w:sz w:val="18"/>
        </w:rPr>
        <w:t xml:space="preserve"> </w:t>
      </w:r>
      <w:r>
        <w:rPr>
          <w:i/>
          <w:sz w:val="18"/>
        </w:rPr>
        <w:t>–</w:t>
      </w:r>
      <w:r>
        <w:rPr>
          <w:i/>
          <w:spacing w:val="-3"/>
          <w:sz w:val="18"/>
        </w:rPr>
        <w:t xml:space="preserve"> </w:t>
      </w:r>
      <w:r>
        <w:rPr>
          <w:i/>
          <w:sz w:val="18"/>
        </w:rPr>
        <w:t>Fasteners</w:t>
      </w:r>
      <w:r>
        <w:rPr>
          <w:i/>
          <w:spacing w:val="-3"/>
          <w:sz w:val="18"/>
        </w:rPr>
        <w:t xml:space="preserve"> </w:t>
      </w:r>
      <w:r>
        <w:rPr>
          <w:i/>
          <w:sz w:val="18"/>
        </w:rPr>
        <w:t>(China)</w:t>
      </w:r>
      <w:r>
        <w:rPr>
          <w:sz w:val="18"/>
        </w:rPr>
        <w:t>,</w:t>
      </w:r>
      <w:r>
        <w:rPr>
          <w:spacing w:val="-4"/>
          <w:sz w:val="18"/>
        </w:rPr>
        <w:t xml:space="preserve"> </w:t>
      </w:r>
      <w:r>
        <w:rPr>
          <w:sz w:val="18"/>
        </w:rPr>
        <w:t>para.</w:t>
      </w:r>
      <w:r>
        <w:rPr>
          <w:spacing w:val="-3"/>
          <w:sz w:val="18"/>
        </w:rPr>
        <w:t xml:space="preserve"> </w:t>
      </w:r>
      <w:r>
        <w:rPr>
          <w:sz w:val="18"/>
        </w:rPr>
        <w:t xml:space="preserve">413. </w:t>
      </w:r>
      <w:r>
        <w:rPr>
          <w:sz w:val="18"/>
          <w:vertAlign w:val="superscript"/>
        </w:rPr>
        <w:t>595</w:t>
      </w:r>
      <w:r>
        <w:rPr>
          <w:spacing w:val="-3"/>
          <w:sz w:val="18"/>
        </w:rPr>
        <w:t xml:space="preserve"> </w:t>
      </w:r>
      <w:r>
        <w:rPr>
          <w:sz w:val="18"/>
        </w:rPr>
        <w:t>Appellate</w:t>
      </w:r>
      <w:r>
        <w:rPr>
          <w:spacing w:val="-3"/>
          <w:sz w:val="18"/>
        </w:rPr>
        <w:t xml:space="preserve"> </w:t>
      </w:r>
      <w:r>
        <w:rPr>
          <w:sz w:val="18"/>
        </w:rPr>
        <w:t>Body</w:t>
      </w:r>
      <w:r>
        <w:rPr>
          <w:spacing w:val="-5"/>
          <w:sz w:val="18"/>
        </w:rPr>
        <w:t xml:space="preserve"> </w:t>
      </w:r>
      <w:r>
        <w:rPr>
          <w:sz w:val="18"/>
        </w:rPr>
        <w:t>Report,</w:t>
      </w:r>
      <w:r>
        <w:rPr>
          <w:spacing w:val="-3"/>
          <w:sz w:val="18"/>
        </w:rPr>
        <w:t xml:space="preserve"> </w:t>
      </w:r>
      <w:r>
        <w:rPr>
          <w:i/>
          <w:sz w:val="18"/>
        </w:rPr>
        <w:t>EC</w:t>
      </w:r>
      <w:r>
        <w:rPr>
          <w:i/>
          <w:spacing w:val="-4"/>
          <w:sz w:val="18"/>
        </w:rPr>
        <w:t xml:space="preserve"> </w:t>
      </w:r>
      <w:r>
        <w:rPr>
          <w:i/>
          <w:sz w:val="18"/>
        </w:rPr>
        <w:t>–</w:t>
      </w:r>
      <w:r>
        <w:rPr>
          <w:i/>
          <w:spacing w:val="-3"/>
          <w:sz w:val="18"/>
        </w:rPr>
        <w:t xml:space="preserve"> </w:t>
      </w:r>
      <w:r>
        <w:rPr>
          <w:i/>
          <w:sz w:val="18"/>
        </w:rPr>
        <w:t>Fasteners</w:t>
      </w:r>
      <w:r>
        <w:rPr>
          <w:i/>
          <w:spacing w:val="-3"/>
          <w:sz w:val="18"/>
        </w:rPr>
        <w:t xml:space="preserve"> </w:t>
      </w:r>
      <w:r>
        <w:rPr>
          <w:i/>
          <w:sz w:val="18"/>
        </w:rPr>
        <w:t>(China)</w:t>
      </w:r>
      <w:r>
        <w:rPr>
          <w:sz w:val="18"/>
        </w:rPr>
        <w:t>,</w:t>
      </w:r>
      <w:r>
        <w:rPr>
          <w:spacing w:val="-4"/>
          <w:sz w:val="18"/>
        </w:rPr>
        <w:t xml:space="preserve"> </w:t>
      </w:r>
      <w:r>
        <w:rPr>
          <w:sz w:val="18"/>
        </w:rPr>
        <w:t>para.</w:t>
      </w:r>
      <w:r>
        <w:rPr>
          <w:spacing w:val="-3"/>
          <w:sz w:val="18"/>
        </w:rPr>
        <w:t xml:space="preserve"> </w:t>
      </w:r>
      <w:r>
        <w:rPr>
          <w:sz w:val="18"/>
        </w:rPr>
        <w:t xml:space="preserve">413. </w:t>
      </w:r>
      <w:r>
        <w:rPr>
          <w:sz w:val="18"/>
          <w:vertAlign w:val="superscript"/>
        </w:rPr>
        <w:t>596</w:t>
      </w:r>
      <w:r>
        <w:rPr>
          <w:spacing w:val="-3"/>
          <w:sz w:val="18"/>
        </w:rPr>
        <w:t xml:space="preserve"> </w:t>
      </w:r>
      <w:r>
        <w:rPr>
          <w:sz w:val="18"/>
        </w:rPr>
        <w:t>Appellate</w:t>
      </w:r>
      <w:r>
        <w:rPr>
          <w:spacing w:val="-3"/>
          <w:sz w:val="18"/>
        </w:rPr>
        <w:t xml:space="preserve"> </w:t>
      </w:r>
      <w:r>
        <w:rPr>
          <w:sz w:val="18"/>
        </w:rPr>
        <w:t>Body</w:t>
      </w:r>
      <w:r>
        <w:rPr>
          <w:spacing w:val="-5"/>
          <w:sz w:val="18"/>
        </w:rPr>
        <w:t xml:space="preserve"> </w:t>
      </w:r>
      <w:r>
        <w:rPr>
          <w:sz w:val="18"/>
        </w:rPr>
        <w:t>Report,</w:t>
      </w:r>
      <w:r>
        <w:rPr>
          <w:spacing w:val="-3"/>
          <w:sz w:val="18"/>
        </w:rPr>
        <w:t xml:space="preserve"> </w:t>
      </w:r>
      <w:r>
        <w:rPr>
          <w:i/>
          <w:sz w:val="18"/>
        </w:rPr>
        <w:t>EC</w:t>
      </w:r>
      <w:r>
        <w:rPr>
          <w:i/>
          <w:spacing w:val="-4"/>
          <w:sz w:val="18"/>
        </w:rPr>
        <w:t xml:space="preserve"> </w:t>
      </w:r>
      <w:r>
        <w:rPr>
          <w:i/>
          <w:sz w:val="18"/>
        </w:rPr>
        <w:t>–</w:t>
      </w:r>
      <w:r>
        <w:rPr>
          <w:i/>
          <w:spacing w:val="-3"/>
          <w:sz w:val="18"/>
        </w:rPr>
        <w:t xml:space="preserve"> </w:t>
      </w:r>
      <w:r>
        <w:rPr>
          <w:i/>
          <w:sz w:val="18"/>
        </w:rPr>
        <w:t>Fasteners</w:t>
      </w:r>
      <w:r>
        <w:rPr>
          <w:i/>
          <w:spacing w:val="-3"/>
          <w:sz w:val="18"/>
        </w:rPr>
        <w:t xml:space="preserve"> </w:t>
      </w:r>
      <w:r>
        <w:rPr>
          <w:i/>
          <w:sz w:val="18"/>
        </w:rPr>
        <w:t>(China),</w:t>
      </w:r>
      <w:r>
        <w:rPr>
          <w:i/>
          <w:spacing w:val="-4"/>
          <w:sz w:val="18"/>
        </w:rPr>
        <w:t xml:space="preserve"> </w:t>
      </w:r>
      <w:r>
        <w:rPr>
          <w:sz w:val="18"/>
        </w:rPr>
        <w:t>para.</w:t>
      </w:r>
      <w:r>
        <w:rPr>
          <w:spacing w:val="-3"/>
          <w:sz w:val="18"/>
        </w:rPr>
        <w:t xml:space="preserve"> </w:t>
      </w:r>
      <w:r>
        <w:rPr>
          <w:sz w:val="18"/>
        </w:rPr>
        <w:t xml:space="preserve">413. </w:t>
      </w:r>
      <w:r>
        <w:rPr>
          <w:sz w:val="18"/>
          <w:vertAlign w:val="superscript"/>
        </w:rPr>
        <w:t>597</w:t>
      </w:r>
      <w:r>
        <w:rPr>
          <w:sz w:val="18"/>
        </w:rPr>
        <w:t xml:space="preserve"> See below, section VI.</w:t>
      </w:r>
    </w:p>
    <w:p w14:paraId="51DE8CFF" w14:textId="77777777" w:rsidR="0010369C" w:rsidRDefault="008E43AE">
      <w:pPr>
        <w:spacing w:before="1"/>
        <w:ind w:left="238"/>
        <w:jc w:val="both"/>
        <w:rPr>
          <w:sz w:val="18"/>
        </w:rPr>
      </w:pPr>
      <w:r>
        <w:rPr>
          <w:sz w:val="18"/>
          <w:vertAlign w:val="superscript"/>
        </w:rPr>
        <w:t>598</w:t>
      </w:r>
      <w:r>
        <w:rPr>
          <w:spacing w:val="-9"/>
          <w:sz w:val="18"/>
        </w:rPr>
        <w:t xml:space="preserve"> </w:t>
      </w:r>
      <w:r>
        <w:rPr>
          <w:sz w:val="18"/>
        </w:rPr>
        <w:t>Anti‐Dumping</w:t>
      </w:r>
      <w:r>
        <w:rPr>
          <w:spacing w:val="-9"/>
          <w:sz w:val="18"/>
        </w:rPr>
        <w:t xml:space="preserve"> </w:t>
      </w:r>
      <w:r>
        <w:rPr>
          <w:sz w:val="18"/>
        </w:rPr>
        <w:t>Final</w:t>
      </w:r>
      <w:r>
        <w:rPr>
          <w:spacing w:val="-9"/>
          <w:sz w:val="18"/>
        </w:rPr>
        <w:t xml:space="preserve"> </w:t>
      </w:r>
      <w:r>
        <w:rPr>
          <w:sz w:val="18"/>
        </w:rPr>
        <w:t>Determination</w:t>
      </w:r>
      <w:r>
        <w:rPr>
          <w:spacing w:val="-8"/>
          <w:sz w:val="18"/>
        </w:rPr>
        <w:t xml:space="preserve"> </w:t>
      </w:r>
      <w:r>
        <w:rPr>
          <w:sz w:val="18"/>
        </w:rPr>
        <w:t>(Exhibit</w:t>
      </w:r>
      <w:r>
        <w:rPr>
          <w:spacing w:val="-9"/>
          <w:sz w:val="18"/>
        </w:rPr>
        <w:t xml:space="preserve"> </w:t>
      </w:r>
      <w:r>
        <w:rPr>
          <w:sz w:val="18"/>
        </w:rPr>
        <w:t>AUS‐2),</w:t>
      </w:r>
      <w:r>
        <w:rPr>
          <w:spacing w:val="-9"/>
          <w:sz w:val="18"/>
        </w:rPr>
        <w:t xml:space="preserve"> </w:t>
      </w:r>
      <w:r>
        <w:rPr>
          <w:sz w:val="18"/>
        </w:rPr>
        <w:t>p.</w:t>
      </w:r>
      <w:r>
        <w:rPr>
          <w:spacing w:val="-9"/>
          <w:sz w:val="18"/>
        </w:rPr>
        <w:t xml:space="preserve"> </w:t>
      </w:r>
      <w:r>
        <w:rPr>
          <w:spacing w:val="-4"/>
          <w:sz w:val="18"/>
        </w:rPr>
        <w:t>109.</w:t>
      </w:r>
    </w:p>
    <w:p w14:paraId="51DE8D00" w14:textId="77777777" w:rsidR="0010369C" w:rsidRDefault="0010369C">
      <w:pPr>
        <w:jc w:val="both"/>
        <w:rPr>
          <w:sz w:val="18"/>
        </w:rPr>
        <w:sectPr w:rsidR="0010369C">
          <w:pgSz w:w="11910" w:h="16840"/>
          <w:pgMar w:top="880" w:right="800" w:bottom="980" w:left="1180" w:header="569" w:footer="788" w:gutter="0"/>
          <w:cols w:space="720"/>
        </w:sectPr>
      </w:pPr>
    </w:p>
    <w:p w14:paraId="51DE8D01" w14:textId="77777777" w:rsidR="0010369C" w:rsidRDefault="008E43AE">
      <w:pPr>
        <w:tabs>
          <w:tab w:val="left" w:pos="6426"/>
        </w:tabs>
        <w:ind w:left="238"/>
        <w:jc w:val="both"/>
        <w:rPr>
          <w:sz w:val="20"/>
        </w:rPr>
      </w:pPr>
      <w:r>
        <w:rPr>
          <w:i/>
          <w:sz w:val="20"/>
        </w:rPr>
        <w:lastRenderedPageBreak/>
        <w:t>China</w:t>
      </w:r>
      <w:r>
        <w:rPr>
          <w:i/>
          <w:spacing w:val="-5"/>
          <w:sz w:val="20"/>
        </w:rPr>
        <w:t xml:space="preserve"> </w:t>
      </w:r>
      <w:r>
        <w:rPr>
          <w:i/>
          <w:sz w:val="20"/>
        </w:rPr>
        <w:t>–</w:t>
      </w:r>
      <w:r>
        <w:rPr>
          <w:i/>
          <w:spacing w:val="-5"/>
          <w:sz w:val="20"/>
        </w:rPr>
        <w:t xml:space="preserve"> </w:t>
      </w:r>
      <w:r>
        <w:rPr>
          <w:i/>
          <w:sz w:val="20"/>
        </w:rPr>
        <w:t>Anti‐Dumping</w:t>
      </w:r>
      <w:r>
        <w:rPr>
          <w:i/>
          <w:spacing w:val="-4"/>
          <w:sz w:val="20"/>
        </w:rPr>
        <w:t xml:space="preserve"> </w:t>
      </w:r>
      <w:r>
        <w:rPr>
          <w:i/>
          <w:sz w:val="20"/>
        </w:rPr>
        <w:t>and</w:t>
      </w:r>
      <w:r>
        <w:rPr>
          <w:i/>
          <w:spacing w:val="-5"/>
          <w:sz w:val="20"/>
        </w:rPr>
        <w:t xml:space="preserve"> </w:t>
      </w:r>
      <w:r>
        <w:rPr>
          <w:i/>
          <w:sz w:val="20"/>
        </w:rPr>
        <w:t>Countervailing</w:t>
      </w:r>
      <w:r>
        <w:rPr>
          <w:i/>
          <w:spacing w:val="-5"/>
          <w:sz w:val="20"/>
        </w:rPr>
        <w:t xml:space="preserve"> </w:t>
      </w:r>
      <w:r>
        <w:rPr>
          <w:i/>
          <w:sz w:val="20"/>
        </w:rPr>
        <w:t>Duty</w:t>
      </w:r>
      <w:r>
        <w:rPr>
          <w:i/>
          <w:spacing w:val="-4"/>
          <w:sz w:val="20"/>
        </w:rPr>
        <w:t xml:space="preserve"> </w:t>
      </w:r>
      <w:r>
        <w:rPr>
          <w:i/>
          <w:spacing w:val="-2"/>
          <w:sz w:val="20"/>
        </w:rPr>
        <w:t>Measures</w:t>
      </w:r>
      <w:r>
        <w:rPr>
          <w:i/>
          <w:sz w:val="20"/>
        </w:rPr>
        <w:tab/>
      </w:r>
      <w:r>
        <w:rPr>
          <w:sz w:val="20"/>
        </w:rPr>
        <w:t>Australia's</w:t>
      </w:r>
      <w:r>
        <w:rPr>
          <w:spacing w:val="-7"/>
          <w:sz w:val="20"/>
        </w:rPr>
        <w:t xml:space="preserve"> </w:t>
      </w:r>
      <w:r>
        <w:rPr>
          <w:sz w:val="20"/>
        </w:rPr>
        <w:t>First</w:t>
      </w:r>
      <w:r>
        <w:rPr>
          <w:spacing w:val="-2"/>
          <w:sz w:val="20"/>
        </w:rPr>
        <w:t xml:space="preserve"> </w:t>
      </w:r>
      <w:r>
        <w:rPr>
          <w:sz w:val="20"/>
        </w:rPr>
        <w:t>Written</w:t>
      </w:r>
      <w:r>
        <w:rPr>
          <w:spacing w:val="-2"/>
          <w:sz w:val="20"/>
        </w:rPr>
        <w:t xml:space="preserve"> Submission</w:t>
      </w:r>
    </w:p>
    <w:p w14:paraId="51DE8D02" w14:textId="77777777" w:rsidR="0010369C" w:rsidRDefault="008E43AE">
      <w:pPr>
        <w:tabs>
          <w:tab w:val="left" w:pos="8228"/>
        </w:tabs>
        <w:spacing w:before="1"/>
        <w:ind w:left="239"/>
        <w:jc w:val="both"/>
        <w:rPr>
          <w:sz w:val="20"/>
        </w:rPr>
      </w:pPr>
      <w:r>
        <w:rPr>
          <w:i/>
          <w:sz w:val="20"/>
        </w:rPr>
        <w:t>on</w:t>
      </w:r>
      <w:r>
        <w:rPr>
          <w:i/>
          <w:spacing w:val="-1"/>
          <w:sz w:val="20"/>
        </w:rPr>
        <w:t xml:space="preserve"> </w:t>
      </w:r>
      <w:r>
        <w:rPr>
          <w:i/>
          <w:sz w:val="20"/>
        </w:rPr>
        <w:t>Wine</w:t>
      </w:r>
      <w:r>
        <w:rPr>
          <w:i/>
          <w:spacing w:val="-1"/>
          <w:sz w:val="20"/>
        </w:rPr>
        <w:t xml:space="preserve"> </w:t>
      </w:r>
      <w:r>
        <w:rPr>
          <w:i/>
          <w:sz w:val="20"/>
        </w:rPr>
        <w:t>from</w:t>
      </w:r>
      <w:r>
        <w:rPr>
          <w:i/>
          <w:spacing w:val="-3"/>
          <w:sz w:val="20"/>
        </w:rPr>
        <w:t xml:space="preserve"> </w:t>
      </w:r>
      <w:r>
        <w:rPr>
          <w:i/>
          <w:sz w:val="20"/>
        </w:rPr>
        <w:t>Australia</w:t>
      </w:r>
      <w:r>
        <w:rPr>
          <w:i/>
          <w:spacing w:val="-1"/>
          <w:sz w:val="20"/>
        </w:rPr>
        <w:t xml:space="preserve"> </w:t>
      </w:r>
      <w:r>
        <w:rPr>
          <w:spacing w:val="-2"/>
          <w:sz w:val="20"/>
        </w:rPr>
        <w:t>(DS602)</w:t>
      </w:r>
      <w:r>
        <w:rPr>
          <w:sz w:val="20"/>
        </w:rPr>
        <w:tab/>
        <w:t>29</w:t>
      </w:r>
      <w:r>
        <w:rPr>
          <w:spacing w:val="-1"/>
          <w:sz w:val="20"/>
        </w:rPr>
        <w:t xml:space="preserve"> </w:t>
      </w:r>
      <w:r>
        <w:rPr>
          <w:sz w:val="20"/>
        </w:rPr>
        <w:t>April</w:t>
      </w:r>
      <w:r>
        <w:rPr>
          <w:spacing w:val="-2"/>
          <w:sz w:val="20"/>
        </w:rPr>
        <w:t xml:space="preserve"> </w:t>
      </w:r>
      <w:r>
        <w:rPr>
          <w:spacing w:val="-4"/>
          <w:sz w:val="20"/>
        </w:rPr>
        <w:t>2022</w:t>
      </w:r>
    </w:p>
    <w:p w14:paraId="51DE8D03" w14:textId="77777777" w:rsidR="0010369C" w:rsidRDefault="008E43AE">
      <w:pPr>
        <w:pStyle w:val="BodyText"/>
        <w:spacing w:before="34" w:line="360" w:lineRule="auto"/>
        <w:ind w:left="237" w:right="613"/>
        <w:jc w:val="both"/>
      </w:pPr>
      <w:r>
        <w:t>CADA claimed a total domestic production of 1,161,110 KL, whereas MOFCOM calculated a total</w:t>
      </w:r>
      <w:r>
        <w:rPr>
          <w:spacing w:val="-5"/>
        </w:rPr>
        <w:t xml:space="preserve"> </w:t>
      </w:r>
      <w:r>
        <w:t>production</w:t>
      </w:r>
      <w:r>
        <w:rPr>
          <w:spacing w:val="-5"/>
        </w:rPr>
        <w:t xml:space="preserve"> </w:t>
      </w:r>
      <w:r>
        <w:t>of</w:t>
      </w:r>
      <w:r>
        <w:rPr>
          <w:spacing w:val="-5"/>
        </w:rPr>
        <w:t xml:space="preserve"> </w:t>
      </w:r>
      <w:r>
        <w:t>377,</w:t>
      </w:r>
      <w:r>
        <w:rPr>
          <w:spacing w:val="-5"/>
        </w:rPr>
        <w:t xml:space="preserve"> </w:t>
      </w:r>
      <w:r>
        <w:t>600KL</w:t>
      </w:r>
      <w:r>
        <w:rPr>
          <w:spacing w:val="-5"/>
        </w:rPr>
        <w:t xml:space="preserve"> </w:t>
      </w:r>
      <w:r>
        <w:t>for</w:t>
      </w:r>
      <w:r>
        <w:rPr>
          <w:spacing w:val="-5"/>
        </w:rPr>
        <w:t xml:space="preserve"> </w:t>
      </w:r>
      <w:r>
        <w:t>the</w:t>
      </w:r>
      <w:r>
        <w:rPr>
          <w:spacing w:val="-4"/>
        </w:rPr>
        <w:t xml:space="preserve"> </w:t>
      </w:r>
      <w:r>
        <w:t>sam</w:t>
      </w:r>
      <w:r>
        <w:t>e</w:t>
      </w:r>
      <w:r>
        <w:rPr>
          <w:spacing w:val="-6"/>
        </w:rPr>
        <w:t xml:space="preserve"> </w:t>
      </w:r>
      <w:r>
        <w:t>year.</w:t>
      </w:r>
      <w:r>
        <w:rPr>
          <w:spacing w:val="-5"/>
        </w:rPr>
        <w:t xml:space="preserve"> </w:t>
      </w:r>
      <w:r>
        <w:t>As</w:t>
      </w:r>
      <w:r>
        <w:rPr>
          <w:spacing w:val="-6"/>
        </w:rPr>
        <w:t xml:space="preserve"> </w:t>
      </w:r>
      <w:r>
        <w:t>noted</w:t>
      </w:r>
      <w:r>
        <w:rPr>
          <w:spacing w:val="-5"/>
        </w:rPr>
        <w:t xml:space="preserve"> </w:t>
      </w:r>
      <w:r>
        <w:t>above,</w:t>
      </w:r>
      <w:r>
        <w:rPr>
          <w:spacing w:val="-5"/>
        </w:rPr>
        <w:t xml:space="preserve"> </w:t>
      </w:r>
      <w:r>
        <w:t>MOFCOM</w:t>
      </w:r>
      <w:r>
        <w:rPr>
          <w:spacing w:val="-5"/>
        </w:rPr>
        <w:t xml:space="preserve"> </w:t>
      </w:r>
      <w:r>
        <w:t>failed</w:t>
      </w:r>
      <w:r>
        <w:rPr>
          <w:spacing w:val="-5"/>
        </w:rPr>
        <w:t xml:space="preserve"> </w:t>
      </w:r>
      <w:r>
        <w:t>to</w:t>
      </w:r>
      <w:r>
        <w:rPr>
          <w:spacing w:val="-6"/>
        </w:rPr>
        <w:t xml:space="preserve"> </w:t>
      </w:r>
      <w:r>
        <w:t>provide the data that it relied upon or details of its calculations to the interested parties.</w:t>
      </w:r>
    </w:p>
    <w:p w14:paraId="51DE8D04" w14:textId="77777777" w:rsidR="0010369C" w:rsidRDefault="0010369C">
      <w:pPr>
        <w:pStyle w:val="BodyText"/>
        <w:spacing w:before="11"/>
        <w:rPr>
          <w:sz w:val="8"/>
        </w:rPr>
      </w:pPr>
    </w:p>
    <w:p w14:paraId="51DE8D05" w14:textId="77777777" w:rsidR="0010369C" w:rsidRDefault="008E43AE">
      <w:pPr>
        <w:pStyle w:val="BodyText"/>
        <w:spacing w:before="52" w:line="360" w:lineRule="auto"/>
        <w:ind w:left="237" w:right="614" w:firstLine="851"/>
        <w:jc w:val="both"/>
      </w:pPr>
      <w:r>
        <w:rPr>
          <w:noProof/>
        </w:rPr>
        <w:drawing>
          <wp:anchor distT="0" distB="0" distL="0" distR="0" simplePos="0" relativeHeight="251175424" behindDoc="1" locked="0" layoutInCell="1" allowOverlap="1" wp14:anchorId="51DEA429" wp14:editId="51DEA42A">
            <wp:simplePos x="0" y="0"/>
            <wp:positionH relativeFrom="page">
              <wp:posOffset>902208</wp:posOffset>
            </wp:positionH>
            <wp:positionV relativeFrom="paragraph">
              <wp:posOffset>80595</wp:posOffset>
            </wp:positionV>
            <wp:extent cx="262127" cy="103631"/>
            <wp:effectExtent l="0" t="0" r="0" b="0"/>
            <wp:wrapNone/>
            <wp:docPr id="1075" name="image5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 name="image549.png"/>
                    <pic:cNvPicPr/>
                  </pic:nvPicPr>
                  <pic:blipFill>
                    <a:blip r:embed="rId718" cstate="print"/>
                    <a:stretch>
                      <a:fillRect/>
                    </a:stretch>
                  </pic:blipFill>
                  <pic:spPr>
                    <a:xfrm>
                      <a:off x="0" y="0"/>
                      <a:ext cx="262127" cy="103631"/>
                    </a:xfrm>
                    <a:prstGeom prst="rect">
                      <a:avLst/>
                    </a:prstGeom>
                  </pic:spPr>
                </pic:pic>
              </a:graphicData>
            </a:graphic>
          </wp:anchor>
        </w:drawing>
      </w:r>
      <w:r>
        <w:t>Also, as noted above, the sources of the data used in the formula are also unclear. MOFCOM</w:t>
      </w:r>
      <w:r>
        <w:rPr>
          <w:spacing w:val="-9"/>
        </w:rPr>
        <w:t xml:space="preserve"> </w:t>
      </w:r>
      <w:r>
        <w:t>states</w:t>
      </w:r>
      <w:r>
        <w:rPr>
          <w:spacing w:val="-10"/>
        </w:rPr>
        <w:t xml:space="preserve"> </w:t>
      </w:r>
      <w:r>
        <w:t>that</w:t>
      </w:r>
      <w:r>
        <w:rPr>
          <w:spacing w:val="-10"/>
        </w:rPr>
        <w:t xml:space="preserve"> </w:t>
      </w:r>
      <w:r>
        <w:t>it</w:t>
      </w:r>
      <w:r>
        <w:rPr>
          <w:spacing w:val="-10"/>
        </w:rPr>
        <w:t xml:space="preserve"> </w:t>
      </w:r>
      <w:r>
        <w:t>"surveyed</w:t>
      </w:r>
      <w:r>
        <w:rPr>
          <w:spacing w:val="-10"/>
        </w:rPr>
        <w:t xml:space="preserve"> </w:t>
      </w:r>
      <w:r>
        <w:t>the</w:t>
      </w:r>
      <w:r>
        <w:rPr>
          <w:spacing w:val="-9"/>
        </w:rPr>
        <w:t xml:space="preserve"> </w:t>
      </w:r>
      <w:r>
        <w:t>real</w:t>
      </w:r>
      <w:r>
        <w:rPr>
          <w:spacing w:val="-10"/>
        </w:rPr>
        <w:t xml:space="preserve"> </w:t>
      </w:r>
      <w:r>
        <w:t>domestic</w:t>
      </w:r>
      <w:r>
        <w:rPr>
          <w:spacing w:val="-9"/>
        </w:rPr>
        <w:t xml:space="preserve"> </w:t>
      </w:r>
      <w:r>
        <w:t>output</w:t>
      </w:r>
      <w:r>
        <w:rPr>
          <w:spacing w:val="-9"/>
        </w:rPr>
        <w:t xml:space="preserve"> </w:t>
      </w:r>
      <w:r>
        <w:t>through</w:t>
      </w:r>
      <w:r>
        <w:rPr>
          <w:spacing w:val="-10"/>
        </w:rPr>
        <w:t xml:space="preserve"> </w:t>
      </w:r>
      <w:r>
        <w:t>different</w:t>
      </w:r>
      <w:r>
        <w:rPr>
          <w:spacing w:val="-9"/>
        </w:rPr>
        <w:t xml:space="preserve"> </w:t>
      </w:r>
      <w:r>
        <w:t>parties"</w:t>
      </w:r>
      <w:r>
        <w:rPr>
          <w:spacing w:val="-10"/>
        </w:rPr>
        <w:t xml:space="preserve"> </w:t>
      </w:r>
      <w:r>
        <w:t>without specifying</w:t>
      </w:r>
      <w:r>
        <w:rPr>
          <w:spacing w:val="-6"/>
        </w:rPr>
        <w:t xml:space="preserve"> </w:t>
      </w:r>
      <w:r>
        <w:t>who</w:t>
      </w:r>
      <w:r>
        <w:rPr>
          <w:spacing w:val="-5"/>
        </w:rPr>
        <w:t xml:space="preserve"> </w:t>
      </w:r>
      <w:r>
        <w:t>those</w:t>
      </w:r>
      <w:r>
        <w:rPr>
          <w:spacing w:val="-6"/>
        </w:rPr>
        <w:t xml:space="preserve"> </w:t>
      </w:r>
      <w:r>
        <w:t>parties</w:t>
      </w:r>
      <w:r>
        <w:rPr>
          <w:spacing w:val="-6"/>
        </w:rPr>
        <w:t xml:space="preserve"> </w:t>
      </w:r>
      <w:r>
        <w:t>are.</w:t>
      </w:r>
      <w:r>
        <w:rPr>
          <w:vertAlign w:val="superscript"/>
        </w:rPr>
        <w:t>599</w:t>
      </w:r>
      <w:r>
        <w:rPr>
          <w:spacing w:val="40"/>
        </w:rPr>
        <w:t xml:space="preserve"> </w:t>
      </w:r>
      <w:r>
        <w:t>MOFCOM</w:t>
      </w:r>
      <w:r>
        <w:rPr>
          <w:spacing w:val="-6"/>
        </w:rPr>
        <w:t xml:space="preserve"> </w:t>
      </w:r>
      <w:r>
        <w:t>also</w:t>
      </w:r>
      <w:r>
        <w:rPr>
          <w:spacing w:val="-5"/>
        </w:rPr>
        <w:t xml:space="preserve"> </w:t>
      </w:r>
      <w:r>
        <w:t>describes</w:t>
      </w:r>
      <w:r>
        <w:rPr>
          <w:spacing w:val="-5"/>
        </w:rPr>
        <w:t xml:space="preserve"> </w:t>
      </w:r>
      <w:r>
        <w:t>the</w:t>
      </w:r>
      <w:r>
        <w:rPr>
          <w:spacing w:val="-5"/>
        </w:rPr>
        <w:t xml:space="preserve"> </w:t>
      </w:r>
      <w:r>
        <w:t>sources</w:t>
      </w:r>
      <w:r>
        <w:rPr>
          <w:spacing w:val="-6"/>
        </w:rPr>
        <w:t xml:space="preserve"> </w:t>
      </w:r>
      <w:r>
        <w:t>of</w:t>
      </w:r>
      <w:r>
        <w:rPr>
          <w:spacing w:val="-6"/>
        </w:rPr>
        <w:t xml:space="preserve"> </w:t>
      </w:r>
      <w:r>
        <w:t>the</w:t>
      </w:r>
      <w:r>
        <w:rPr>
          <w:spacing w:val="-5"/>
        </w:rPr>
        <w:t xml:space="preserve"> </w:t>
      </w:r>
      <w:r>
        <w:t>data</w:t>
      </w:r>
      <w:r>
        <w:rPr>
          <w:spacing w:val="-6"/>
        </w:rPr>
        <w:t xml:space="preserve"> </w:t>
      </w:r>
      <w:r>
        <w:t>used</w:t>
      </w:r>
      <w:r>
        <w:rPr>
          <w:spacing w:val="-6"/>
        </w:rPr>
        <w:t xml:space="preserve"> </w:t>
      </w:r>
      <w:r>
        <w:t xml:space="preserve">for the calculation as "authoritative domestic organizations" and states that "[a]ll the industry </w:t>
      </w:r>
      <w:r>
        <w:t>data</w:t>
      </w:r>
      <w:r>
        <w:rPr>
          <w:spacing w:val="-14"/>
        </w:rPr>
        <w:t xml:space="preserve"> </w:t>
      </w:r>
      <w:r>
        <w:t>used</w:t>
      </w:r>
      <w:r>
        <w:rPr>
          <w:spacing w:val="-14"/>
        </w:rPr>
        <w:t xml:space="preserve"> </w:t>
      </w:r>
      <w:r>
        <w:t>in</w:t>
      </w:r>
      <w:r>
        <w:rPr>
          <w:spacing w:val="-13"/>
        </w:rPr>
        <w:t xml:space="preserve"> </w:t>
      </w:r>
      <w:r>
        <w:t>the</w:t>
      </w:r>
      <w:r>
        <w:rPr>
          <w:spacing w:val="-14"/>
        </w:rPr>
        <w:t xml:space="preserve"> </w:t>
      </w:r>
      <w:r>
        <w:t>ruling</w:t>
      </w:r>
      <w:r>
        <w:rPr>
          <w:spacing w:val="-13"/>
        </w:rPr>
        <w:t xml:space="preserve"> </w:t>
      </w:r>
      <w:r>
        <w:t>were</w:t>
      </w:r>
      <w:r>
        <w:rPr>
          <w:spacing w:val="-14"/>
        </w:rPr>
        <w:t xml:space="preserve"> </w:t>
      </w:r>
      <w:r>
        <w:t>from</w:t>
      </w:r>
      <w:r>
        <w:rPr>
          <w:spacing w:val="-13"/>
        </w:rPr>
        <w:t xml:space="preserve"> </w:t>
      </w:r>
      <w:r>
        <w:t>domestic</w:t>
      </w:r>
      <w:r>
        <w:rPr>
          <w:spacing w:val="-14"/>
        </w:rPr>
        <w:t xml:space="preserve"> </w:t>
      </w:r>
      <w:r>
        <w:t>companies</w:t>
      </w:r>
      <w:r>
        <w:rPr>
          <w:spacing w:val="-14"/>
        </w:rPr>
        <w:t xml:space="preserve"> </w:t>
      </w:r>
      <w:r>
        <w:t>unless</w:t>
      </w:r>
      <w:r>
        <w:rPr>
          <w:spacing w:val="-13"/>
        </w:rPr>
        <w:t xml:space="preserve"> </w:t>
      </w:r>
      <w:r>
        <w:t>otherwise</w:t>
      </w:r>
      <w:r>
        <w:rPr>
          <w:spacing w:val="-14"/>
        </w:rPr>
        <w:t xml:space="preserve"> </w:t>
      </w:r>
      <w:r>
        <w:t>specified".</w:t>
      </w:r>
      <w:r>
        <w:rPr>
          <w:vertAlign w:val="superscript"/>
        </w:rPr>
        <w:t>600</w:t>
      </w:r>
      <w:r>
        <w:rPr>
          <w:spacing w:val="-13"/>
        </w:rPr>
        <w:t xml:space="preserve"> </w:t>
      </w:r>
      <w:r>
        <w:t>The</w:t>
      </w:r>
      <w:r>
        <w:rPr>
          <w:spacing w:val="-14"/>
        </w:rPr>
        <w:t xml:space="preserve"> </w:t>
      </w:r>
      <w:r>
        <w:t>only potentially</w:t>
      </w:r>
      <w:r>
        <w:rPr>
          <w:spacing w:val="-6"/>
        </w:rPr>
        <w:t xml:space="preserve"> </w:t>
      </w:r>
      <w:r>
        <w:t>relevant</w:t>
      </w:r>
      <w:r>
        <w:rPr>
          <w:spacing w:val="-6"/>
        </w:rPr>
        <w:t xml:space="preserve"> </w:t>
      </w:r>
      <w:r>
        <w:t>sources</w:t>
      </w:r>
      <w:r>
        <w:rPr>
          <w:spacing w:val="-6"/>
        </w:rPr>
        <w:t xml:space="preserve"> </w:t>
      </w:r>
      <w:r>
        <w:t>of</w:t>
      </w:r>
      <w:r>
        <w:rPr>
          <w:spacing w:val="-6"/>
        </w:rPr>
        <w:t xml:space="preserve"> </w:t>
      </w:r>
      <w:r>
        <w:t>data</w:t>
      </w:r>
      <w:r>
        <w:rPr>
          <w:spacing w:val="-6"/>
        </w:rPr>
        <w:t xml:space="preserve"> </w:t>
      </w:r>
      <w:r>
        <w:t>(e.g.</w:t>
      </w:r>
      <w:r>
        <w:rPr>
          <w:spacing w:val="-6"/>
        </w:rPr>
        <w:t xml:space="preserve"> </w:t>
      </w:r>
      <w:r>
        <w:t>domestic</w:t>
      </w:r>
      <w:r>
        <w:rPr>
          <w:spacing w:val="-6"/>
        </w:rPr>
        <w:t xml:space="preserve"> </w:t>
      </w:r>
      <w:r>
        <w:t>organisations</w:t>
      </w:r>
      <w:r>
        <w:rPr>
          <w:spacing w:val="-6"/>
        </w:rPr>
        <w:t xml:space="preserve"> </w:t>
      </w:r>
      <w:r>
        <w:t>or</w:t>
      </w:r>
      <w:r>
        <w:rPr>
          <w:spacing w:val="-6"/>
        </w:rPr>
        <w:t xml:space="preserve"> </w:t>
      </w:r>
      <w:r>
        <w:t>domestic</w:t>
      </w:r>
      <w:r>
        <w:rPr>
          <w:spacing w:val="-6"/>
        </w:rPr>
        <w:t xml:space="preserve"> </w:t>
      </w:r>
      <w:r>
        <w:t>companies)</w:t>
      </w:r>
      <w:r>
        <w:rPr>
          <w:spacing w:val="-6"/>
        </w:rPr>
        <w:t xml:space="preserve"> </w:t>
      </w:r>
      <w:r>
        <w:t>that were disclosed in the Final Disclosure or Final Determination include CADA's application and the responses to the Domestic Producer Questionnaire. This implies that the statistics that MOFCOM relied upon for the purpose of its estimate of the output o</w:t>
      </w:r>
      <w:r>
        <w:t>f the domestic industry were either sourced:</w:t>
      </w:r>
    </w:p>
    <w:p w14:paraId="51DE8D06" w14:textId="77777777" w:rsidR="0010369C" w:rsidRDefault="008E43AE">
      <w:pPr>
        <w:pStyle w:val="ListParagraph"/>
        <w:numPr>
          <w:ilvl w:val="0"/>
          <w:numId w:val="61"/>
        </w:numPr>
        <w:tabs>
          <w:tab w:val="left" w:pos="1939"/>
          <w:tab w:val="left" w:pos="1940"/>
        </w:tabs>
        <w:spacing w:before="160" w:line="355" w:lineRule="auto"/>
        <w:ind w:right="614"/>
        <w:rPr>
          <w:sz w:val="24"/>
        </w:rPr>
      </w:pPr>
      <w:r>
        <w:rPr>
          <w:sz w:val="24"/>
        </w:rPr>
        <w:t>from CADA, whose own calculations of domestic production MOFCOM rejected as unreliable;</w:t>
      </w:r>
    </w:p>
    <w:p w14:paraId="51DE8D07" w14:textId="77777777" w:rsidR="0010369C" w:rsidRDefault="008E43AE">
      <w:pPr>
        <w:pStyle w:val="ListParagraph"/>
        <w:numPr>
          <w:ilvl w:val="0"/>
          <w:numId w:val="61"/>
        </w:numPr>
        <w:tabs>
          <w:tab w:val="left" w:pos="1939"/>
          <w:tab w:val="left" w:pos="1940"/>
        </w:tabs>
        <w:spacing w:before="131" w:line="360" w:lineRule="auto"/>
        <w:ind w:left="1938" w:right="613"/>
        <w:rPr>
          <w:sz w:val="24"/>
        </w:rPr>
      </w:pPr>
      <w:r>
        <w:rPr>
          <w:sz w:val="24"/>
        </w:rPr>
        <w:t>from the 21 producers who responded to the Questionnaire, in which case the material</w:t>
      </w:r>
      <w:r>
        <w:rPr>
          <w:spacing w:val="-2"/>
          <w:sz w:val="24"/>
        </w:rPr>
        <w:t xml:space="preserve"> </w:t>
      </w:r>
      <w:r>
        <w:rPr>
          <w:sz w:val="24"/>
        </w:rPr>
        <w:t>risk of</w:t>
      </w:r>
      <w:r>
        <w:rPr>
          <w:spacing w:val="-1"/>
          <w:sz w:val="24"/>
        </w:rPr>
        <w:t xml:space="preserve"> </w:t>
      </w:r>
      <w:r>
        <w:rPr>
          <w:sz w:val="24"/>
        </w:rPr>
        <w:t>distortion described above</w:t>
      </w:r>
      <w:r>
        <w:rPr>
          <w:spacing w:val="-2"/>
          <w:sz w:val="24"/>
        </w:rPr>
        <w:t xml:space="preserve"> </w:t>
      </w:r>
      <w:r>
        <w:rPr>
          <w:sz w:val="24"/>
        </w:rPr>
        <w:t>was</w:t>
      </w:r>
      <w:r>
        <w:rPr>
          <w:sz w:val="24"/>
        </w:rPr>
        <w:t xml:space="preserve"> also introduced into the calculation of the total domestic production by treating the statistical production</w:t>
      </w:r>
      <w:r>
        <w:rPr>
          <w:spacing w:val="-8"/>
          <w:sz w:val="24"/>
        </w:rPr>
        <w:t xml:space="preserve"> </w:t>
      </w:r>
      <w:r>
        <w:rPr>
          <w:sz w:val="24"/>
        </w:rPr>
        <w:t>data</w:t>
      </w:r>
      <w:r>
        <w:rPr>
          <w:spacing w:val="-7"/>
          <w:sz w:val="24"/>
        </w:rPr>
        <w:t xml:space="preserve"> </w:t>
      </w:r>
      <w:r>
        <w:rPr>
          <w:sz w:val="24"/>
        </w:rPr>
        <w:t>derived</w:t>
      </w:r>
      <w:r>
        <w:rPr>
          <w:spacing w:val="-8"/>
          <w:sz w:val="24"/>
        </w:rPr>
        <w:t xml:space="preserve"> </w:t>
      </w:r>
      <w:r>
        <w:rPr>
          <w:sz w:val="24"/>
        </w:rPr>
        <w:t>solely</w:t>
      </w:r>
      <w:r>
        <w:rPr>
          <w:spacing w:val="-6"/>
          <w:sz w:val="24"/>
        </w:rPr>
        <w:t xml:space="preserve"> </w:t>
      </w:r>
      <w:r>
        <w:rPr>
          <w:sz w:val="24"/>
        </w:rPr>
        <w:t>from</w:t>
      </w:r>
      <w:r>
        <w:rPr>
          <w:spacing w:val="-9"/>
          <w:sz w:val="24"/>
        </w:rPr>
        <w:t xml:space="preserve"> </w:t>
      </w:r>
      <w:r>
        <w:rPr>
          <w:sz w:val="24"/>
        </w:rPr>
        <w:t>those</w:t>
      </w:r>
      <w:r>
        <w:rPr>
          <w:spacing w:val="-7"/>
          <w:sz w:val="24"/>
        </w:rPr>
        <w:t xml:space="preserve"> </w:t>
      </w:r>
      <w:r>
        <w:rPr>
          <w:sz w:val="24"/>
        </w:rPr>
        <w:t>who</w:t>
      </w:r>
      <w:r>
        <w:rPr>
          <w:spacing w:val="-8"/>
          <w:sz w:val="24"/>
        </w:rPr>
        <w:t xml:space="preserve"> </w:t>
      </w:r>
      <w:r>
        <w:rPr>
          <w:sz w:val="24"/>
        </w:rPr>
        <w:t>voluntarily</w:t>
      </w:r>
      <w:r>
        <w:rPr>
          <w:spacing w:val="-8"/>
          <w:sz w:val="24"/>
        </w:rPr>
        <w:t xml:space="preserve"> </w:t>
      </w:r>
      <w:r>
        <w:rPr>
          <w:sz w:val="24"/>
        </w:rPr>
        <w:t>responded</w:t>
      </w:r>
      <w:r>
        <w:rPr>
          <w:spacing w:val="-8"/>
          <w:sz w:val="24"/>
        </w:rPr>
        <w:t xml:space="preserve"> </w:t>
      </w:r>
      <w:r>
        <w:rPr>
          <w:sz w:val="24"/>
        </w:rPr>
        <w:t>as</w:t>
      </w:r>
      <w:r>
        <w:rPr>
          <w:spacing w:val="-8"/>
          <w:sz w:val="24"/>
        </w:rPr>
        <w:t xml:space="preserve"> </w:t>
      </w:r>
      <w:r>
        <w:rPr>
          <w:sz w:val="24"/>
        </w:rPr>
        <w:t>if</w:t>
      </w:r>
      <w:r>
        <w:rPr>
          <w:spacing w:val="-7"/>
          <w:sz w:val="24"/>
        </w:rPr>
        <w:t xml:space="preserve"> </w:t>
      </w:r>
      <w:r>
        <w:rPr>
          <w:sz w:val="24"/>
        </w:rPr>
        <w:t>it were necessarily representative of the domestic industry as a whole, without hav</w:t>
      </w:r>
      <w:r>
        <w:rPr>
          <w:sz w:val="24"/>
        </w:rPr>
        <w:t>ing undertaken any enquiries to confirm the accuracy of that assumption; or</w:t>
      </w:r>
    </w:p>
    <w:p w14:paraId="51DE8D08" w14:textId="77777777" w:rsidR="0010369C" w:rsidRDefault="008E43AE">
      <w:pPr>
        <w:pStyle w:val="ListParagraph"/>
        <w:numPr>
          <w:ilvl w:val="0"/>
          <w:numId w:val="61"/>
        </w:numPr>
        <w:tabs>
          <w:tab w:val="left" w:pos="1938"/>
          <w:tab w:val="left" w:pos="1939"/>
        </w:tabs>
        <w:spacing w:before="119"/>
        <w:ind w:left="1938" w:hanging="852"/>
        <w:jc w:val="left"/>
        <w:rPr>
          <w:sz w:val="24"/>
        </w:rPr>
      </w:pPr>
      <w:r>
        <w:rPr>
          <w:sz w:val="24"/>
        </w:rPr>
        <w:t>from</w:t>
      </w:r>
      <w:r>
        <w:rPr>
          <w:spacing w:val="-8"/>
          <w:sz w:val="24"/>
        </w:rPr>
        <w:t xml:space="preserve"> </w:t>
      </w:r>
      <w:r>
        <w:rPr>
          <w:sz w:val="24"/>
        </w:rPr>
        <w:t>other</w:t>
      </w:r>
      <w:r>
        <w:rPr>
          <w:spacing w:val="-9"/>
          <w:sz w:val="24"/>
        </w:rPr>
        <w:t xml:space="preserve"> </w:t>
      </w:r>
      <w:r>
        <w:rPr>
          <w:sz w:val="24"/>
        </w:rPr>
        <w:t>undisclosed</w:t>
      </w:r>
      <w:r>
        <w:rPr>
          <w:spacing w:val="-9"/>
          <w:sz w:val="24"/>
        </w:rPr>
        <w:t xml:space="preserve"> </w:t>
      </w:r>
      <w:r>
        <w:rPr>
          <w:spacing w:val="-2"/>
          <w:sz w:val="24"/>
        </w:rPr>
        <w:t>sources.</w:t>
      </w:r>
    </w:p>
    <w:p w14:paraId="51DE8D09" w14:textId="77777777" w:rsidR="0010369C" w:rsidRDefault="0010369C">
      <w:pPr>
        <w:pStyle w:val="BodyText"/>
        <w:spacing w:before="7"/>
        <w:rPr>
          <w:sz w:val="17"/>
        </w:rPr>
      </w:pPr>
    </w:p>
    <w:p w14:paraId="51DE8D0A" w14:textId="77777777" w:rsidR="0010369C" w:rsidRDefault="008E43AE">
      <w:pPr>
        <w:pStyle w:val="BodyText"/>
        <w:spacing w:before="52" w:line="360" w:lineRule="auto"/>
        <w:ind w:left="237" w:right="614" w:firstLine="851"/>
        <w:jc w:val="both"/>
      </w:pPr>
      <w:r>
        <w:rPr>
          <w:noProof/>
        </w:rPr>
        <w:drawing>
          <wp:anchor distT="0" distB="0" distL="0" distR="0" simplePos="0" relativeHeight="251176448" behindDoc="1" locked="0" layoutInCell="1" allowOverlap="1" wp14:anchorId="51DEA42B" wp14:editId="51DEA42C">
            <wp:simplePos x="0" y="0"/>
            <wp:positionH relativeFrom="page">
              <wp:posOffset>902208</wp:posOffset>
            </wp:positionH>
            <wp:positionV relativeFrom="paragraph">
              <wp:posOffset>82711</wp:posOffset>
            </wp:positionV>
            <wp:extent cx="262127" cy="100753"/>
            <wp:effectExtent l="0" t="0" r="0" b="0"/>
            <wp:wrapNone/>
            <wp:docPr id="1077" name="image5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 name="image550.png"/>
                    <pic:cNvPicPr/>
                  </pic:nvPicPr>
                  <pic:blipFill>
                    <a:blip r:embed="rId719" cstate="print"/>
                    <a:stretch>
                      <a:fillRect/>
                    </a:stretch>
                  </pic:blipFill>
                  <pic:spPr>
                    <a:xfrm>
                      <a:off x="0" y="0"/>
                      <a:ext cx="262127" cy="100753"/>
                    </a:xfrm>
                    <a:prstGeom prst="rect">
                      <a:avLst/>
                    </a:prstGeom>
                  </pic:spPr>
                </pic:pic>
              </a:graphicData>
            </a:graphic>
          </wp:anchor>
        </w:drawing>
      </w:r>
      <w:r>
        <w:t>MOFCOM's determination that the 21 producers were representative of China's domestic industry appears to be based on the proportion of MOFCOM's fl</w:t>
      </w:r>
      <w:r>
        <w:t>awed estimate of total domestic production that the sum of their purported outputs accounted for. For the foregoing reasons, MOFCOM:</w:t>
      </w:r>
    </w:p>
    <w:p w14:paraId="51DE8D0B" w14:textId="77777777" w:rsidR="0010369C" w:rsidRDefault="0010369C">
      <w:pPr>
        <w:pStyle w:val="BodyText"/>
        <w:rPr>
          <w:sz w:val="20"/>
        </w:rPr>
      </w:pPr>
    </w:p>
    <w:p w14:paraId="51DE8D0C" w14:textId="77777777" w:rsidR="0010369C" w:rsidRDefault="0010369C">
      <w:pPr>
        <w:pStyle w:val="BodyText"/>
        <w:rPr>
          <w:sz w:val="20"/>
        </w:rPr>
      </w:pPr>
    </w:p>
    <w:p w14:paraId="51DE8D0D" w14:textId="77777777" w:rsidR="0010369C" w:rsidRDefault="008E43AE">
      <w:pPr>
        <w:pStyle w:val="BodyText"/>
        <w:spacing w:before="1"/>
        <w:rPr>
          <w:sz w:val="28"/>
        </w:rPr>
      </w:pPr>
      <w:r>
        <w:pict w14:anchorId="51DEA42D">
          <v:rect id="docshape1003" o:spid="_x0000_s1364" style="position:absolute;margin-left:70.9pt;margin-top:18.35pt;width:2in;height:.8pt;z-index:-250848768;mso-wrap-distance-left:0;mso-wrap-distance-right:0;mso-position-horizontal-relative:page" fillcolor="black" stroked="f">
            <w10:wrap type="topAndBottom" anchorx="page"/>
          </v:rect>
        </w:pict>
      </w:r>
    </w:p>
    <w:p w14:paraId="51DE8D0E" w14:textId="77777777" w:rsidR="0010369C" w:rsidRDefault="008E43AE">
      <w:pPr>
        <w:spacing w:before="109"/>
        <w:ind w:left="238"/>
        <w:rPr>
          <w:sz w:val="18"/>
        </w:rPr>
      </w:pPr>
      <w:r>
        <w:rPr>
          <w:sz w:val="18"/>
          <w:vertAlign w:val="superscript"/>
        </w:rPr>
        <w:t>599</w:t>
      </w:r>
      <w:r>
        <w:rPr>
          <w:spacing w:val="-9"/>
          <w:sz w:val="18"/>
        </w:rPr>
        <w:t xml:space="preserve"> </w:t>
      </w:r>
      <w:r>
        <w:rPr>
          <w:sz w:val="18"/>
        </w:rPr>
        <w:t>Anti‐Dumping</w:t>
      </w:r>
      <w:r>
        <w:rPr>
          <w:spacing w:val="-9"/>
          <w:sz w:val="18"/>
        </w:rPr>
        <w:t xml:space="preserve"> </w:t>
      </w:r>
      <w:r>
        <w:rPr>
          <w:sz w:val="18"/>
        </w:rPr>
        <w:t>Final</w:t>
      </w:r>
      <w:r>
        <w:rPr>
          <w:spacing w:val="-9"/>
          <w:sz w:val="18"/>
        </w:rPr>
        <w:t xml:space="preserve"> </w:t>
      </w:r>
      <w:r>
        <w:rPr>
          <w:sz w:val="18"/>
        </w:rPr>
        <w:t>Determination</w:t>
      </w:r>
      <w:r>
        <w:rPr>
          <w:spacing w:val="-8"/>
          <w:sz w:val="18"/>
        </w:rPr>
        <w:t xml:space="preserve"> </w:t>
      </w:r>
      <w:r>
        <w:rPr>
          <w:sz w:val="18"/>
        </w:rPr>
        <w:t>(Exhibit</w:t>
      </w:r>
      <w:r>
        <w:rPr>
          <w:spacing w:val="-9"/>
          <w:sz w:val="18"/>
        </w:rPr>
        <w:t xml:space="preserve"> </w:t>
      </w:r>
      <w:r>
        <w:rPr>
          <w:sz w:val="18"/>
        </w:rPr>
        <w:t>AUS‐2),</w:t>
      </w:r>
      <w:r>
        <w:rPr>
          <w:spacing w:val="-9"/>
          <w:sz w:val="18"/>
        </w:rPr>
        <w:t xml:space="preserve"> </w:t>
      </w:r>
      <w:r>
        <w:rPr>
          <w:sz w:val="18"/>
        </w:rPr>
        <w:t>p.</w:t>
      </w:r>
      <w:r>
        <w:rPr>
          <w:spacing w:val="-9"/>
          <w:sz w:val="18"/>
        </w:rPr>
        <w:t xml:space="preserve"> </w:t>
      </w:r>
      <w:r>
        <w:rPr>
          <w:spacing w:val="-4"/>
          <w:sz w:val="18"/>
        </w:rPr>
        <w:t>109.</w:t>
      </w:r>
    </w:p>
    <w:p w14:paraId="51DE8D0F" w14:textId="77777777" w:rsidR="0010369C" w:rsidRDefault="008E43AE">
      <w:pPr>
        <w:ind w:left="238"/>
        <w:rPr>
          <w:sz w:val="18"/>
        </w:rPr>
      </w:pPr>
      <w:r>
        <w:rPr>
          <w:sz w:val="18"/>
          <w:vertAlign w:val="superscript"/>
        </w:rPr>
        <w:t>600</w:t>
      </w:r>
      <w:r>
        <w:rPr>
          <w:spacing w:val="-9"/>
          <w:sz w:val="18"/>
        </w:rPr>
        <w:t xml:space="preserve"> </w:t>
      </w:r>
      <w:r>
        <w:rPr>
          <w:sz w:val="18"/>
        </w:rPr>
        <w:t>Anti‐Dumping</w:t>
      </w:r>
      <w:r>
        <w:rPr>
          <w:spacing w:val="-9"/>
          <w:sz w:val="18"/>
        </w:rPr>
        <w:t xml:space="preserve"> </w:t>
      </w:r>
      <w:r>
        <w:rPr>
          <w:sz w:val="18"/>
        </w:rPr>
        <w:t>Final</w:t>
      </w:r>
      <w:r>
        <w:rPr>
          <w:spacing w:val="-9"/>
          <w:sz w:val="18"/>
        </w:rPr>
        <w:t xml:space="preserve"> </w:t>
      </w:r>
      <w:r>
        <w:rPr>
          <w:sz w:val="18"/>
        </w:rPr>
        <w:t>Determination</w:t>
      </w:r>
      <w:r>
        <w:rPr>
          <w:spacing w:val="-8"/>
          <w:sz w:val="18"/>
        </w:rPr>
        <w:t xml:space="preserve"> </w:t>
      </w:r>
      <w:r>
        <w:rPr>
          <w:sz w:val="18"/>
        </w:rPr>
        <w:t>(Exhibit</w:t>
      </w:r>
      <w:r>
        <w:rPr>
          <w:spacing w:val="-9"/>
          <w:sz w:val="18"/>
        </w:rPr>
        <w:t xml:space="preserve"> </w:t>
      </w:r>
      <w:r>
        <w:rPr>
          <w:sz w:val="18"/>
        </w:rPr>
        <w:t>AUS‐2),</w:t>
      </w:r>
      <w:r>
        <w:rPr>
          <w:spacing w:val="-9"/>
          <w:sz w:val="18"/>
        </w:rPr>
        <w:t xml:space="preserve"> </w:t>
      </w:r>
      <w:r>
        <w:rPr>
          <w:sz w:val="18"/>
        </w:rPr>
        <w:t>p.</w:t>
      </w:r>
      <w:r>
        <w:rPr>
          <w:spacing w:val="-9"/>
          <w:sz w:val="18"/>
        </w:rPr>
        <w:t xml:space="preserve"> </w:t>
      </w:r>
      <w:r>
        <w:rPr>
          <w:spacing w:val="-4"/>
          <w:sz w:val="18"/>
        </w:rPr>
        <w:t>110.</w:t>
      </w:r>
    </w:p>
    <w:p w14:paraId="51DE8D10" w14:textId="77777777" w:rsidR="0010369C" w:rsidRDefault="0010369C">
      <w:pPr>
        <w:rPr>
          <w:sz w:val="18"/>
        </w:rPr>
        <w:sectPr w:rsidR="0010369C">
          <w:pgSz w:w="11910" w:h="16840"/>
          <w:pgMar w:top="880" w:right="800" w:bottom="980" w:left="1180" w:header="569" w:footer="788" w:gutter="0"/>
          <w:cols w:space="720"/>
        </w:sectPr>
      </w:pPr>
    </w:p>
    <w:p w14:paraId="51DE8D11" w14:textId="77777777" w:rsidR="0010369C" w:rsidRDefault="008E43AE">
      <w:pPr>
        <w:tabs>
          <w:tab w:val="left" w:pos="6425"/>
        </w:tabs>
        <w:ind w:left="238"/>
        <w:rPr>
          <w:sz w:val="20"/>
        </w:rPr>
      </w:pPr>
      <w:r>
        <w:rPr>
          <w:i/>
          <w:sz w:val="20"/>
        </w:rPr>
        <w:lastRenderedPageBreak/>
        <w:t>China</w:t>
      </w:r>
      <w:r>
        <w:rPr>
          <w:i/>
          <w:spacing w:val="-5"/>
          <w:sz w:val="20"/>
        </w:rPr>
        <w:t xml:space="preserve"> </w:t>
      </w:r>
      <w:r>
        <w:rPr>
          <w:i/>
          <w:sz w:val="20"/>
        </w:rPr>
        <w:t>–</w:t>
      </w:r>
      <w:r>
        <w:rPr>
          <w:i/>
          <w:spacing w:val="-5"/>
          <w:sz w:val="20"/>
        </w:rPr>
        <w:t xml:space="preserve"> </w:t>
      </w:r>
      <w:r>
        <w:rPr>
          <w:i/>
          <w:sz w:val="20"/>
        </w:rPr>
        <w:t>Anti‐Dumping</w:t>
      </w:r>
      <w:r>
        <w:rPr>
          <w:i/>
          <w:spacing w:val="-4"/>
          <w:sz w:val="20"/>
        </w:rPr>
        <w:t xml:space="preserve"> </w:t>
      </w:r>
      <w:r>
        <w:rPr>
          <w:i/>
          <w:sz w:val="20"/>
        </w:rPr>
        <w:t>and</w:t>
      </w:r>
      <w:r>
        <w:rPr>
          <w:i/>
          <w:spacing w:val="-5"/>
          <w:sz w:val="20"/>
        </w:rPr>
        <w:t xml:space="preserve"> </w:t>
      </w:r>
      <w:r>
        <w:rPr>
          <w:i/>
          <w:sz w:val="20"/>
        </w:rPr>
        <w:t>Countervailing</w:t>
      </w:r>
      <w:r>
        <w:rPr>
          <w:i/>
          <w:spacing w:val="-5"/>
          <w:sz w:val="20"/>
        </w:rPr>
        <w:t xml:space="preserve"> </w:t>
      </w:r>
      <w:r>
        <w:rPr>
          <w:i/>
          <w:sz w:val="20"/>
        </w:rPr>
        <w:t>Duty</w:t>
      </w:r>
      <w:r>
        <w:rPr>
          <w:i/>
          <w:spacing w:val="-4"/>
          <w:sz w:val="20"/>
        </w:rPr>
        <w:t xml:space="preserve"> </w:t>
      </w:r>
      <w:r>
        <w:rPr>
          <w:i/>
          <w:spacing w:val="-2"/>
          <w:sz w:val="20"/>
        </w:rPr>
        <w:t>Measures</w:t>
      </w:r>
      <w:r>
        <w:rPr>
          <w:i/>
          <w:sz w:val="20"/>
        </w:rPr>
        <w:tab/>
      </w:r>
      <w:r>
        <w:rPr>
          <w:sz w:val="20"/>
        </w:rPr>
        <w:t>Australia's</w:t>
      </w:r>
      <w:r>
        <w:rPr>
          <w:spacing w:val="-7"/>
          <w:sz w:val="20"/>
        </w:rPr>
        <w:t xml:space="preserve"> </w:t>
      </w:r>
      <w:r>
        <w:rPr>
          <w:sz w:val="20"/>
        </w:rPr>
        <w:t>First</w:t>
      </w:r>
      <w:r>
        <w:rPr>
          <w:spacing w:val="-2"/>
          <w:sz w:val="20"/>
        </w:rPr>
        <w:t xml:space="preserve"> </w:t>
      </w:r>
      <w:r>
        <w:rPr>
          <w:sz w:val="20"/>
        </w:rPr>
        <w:t>Written</w:t>
      </w:r>
      <w:r>
        <w:rPr>
          <w:spacing w:val="-2"/>
          <w:sz w:val="20"/>
        </w:rPr>
        <w:t xml:space="preserve"> Submission</w:t>
      </w:r>
    </w:p>
    <w:p w14:paraId="51DE8D12" w14:textId="77777777" w:rsidR="0010369C" w:rsidRDefault="008E43AE">
      <w:pPr>
        <w:tabs>
          <w:tab w:val="left" w:pos="8227"/>
        </w:tabs>
        <w:spacing w:before="1"/>
        <w:ind w:left="239"/>
        <w:rPr>
          <w:sz w:val="20"/>
        </w:rPr>
      </w:pPr>
      <w:r>
        <w:rPr>
          <w:i/>
          <w:sz w:val="20"/>
        </w:rPr>
        <w:t>on</w:t>
      </w:r>
      <w:r>
        <w:rPr>
          <w:i/>
          <w:spacing w:val="-1"/>
          <w:sz w:val="20"/>
        </w:rPr>
        <w:t xml:space="preserve"> </w:t>
      </w:r>
      <w:r>
        <w:rPr>
          <w:i/>
          <w:sz w:val="20"/>
        </w:rPr>
        <w:t>Wine</w:t>
      </w:r>
      <w:r>
        <w:rPr>
          <w:i/>
          <w:spacing w:val="-1"/>
          <w:sz w:val="20"/>
        </w:rPr>
        <w:t xml:space="preserve"> </w:t>
      </w:r>
      <w:r>
        <w:rPr>
          <w:i/>
          <w:sz w:val="20"/>
        </w:rPr>
        <w:t>from</w:t>
      </w:r>
      <w:r>
        <w:rPr>
          <w:i/>
          <w:spacing w:val="-3"/>
          <w:sz w:val="20"/>
        </w:rPr>
        <w:t xml:space="preserve"> </w:t>
      </w:r>
      <w:r>
        <w:rPr>
          <w:i/>
          <w:sz w:val="20"/>
        </w:rPr>
        <w:t>Australia</w:t>
      </w:r>
      <w:r>
        <w:rPr>
          <w:i/>
          <w:spacing w:val="-1"/>
          <w:sz w:val="20"/>
        </w:rPr>
        <w:t xml:space="preserve"> </w:t>
      </w:r>
      <w:r>
        <w:rPr>
          <w:spacing w:val="-2"/>
          <w:sz w:val="20"/>
        </w:rPr>
        <w:t>(DS602)</w:t>
      </w:r>
      <w:r>
        <w:rPr>
          <w:sz w:val="20"/>
        </w:rPr>
        <w:tab/>
        <w:t>29</w:t>
      </w:r>
      <w:r>
        <w:rPr>
          <w:spacing w:val="-1"/>
          <w:sz w:val="20"/>
        </w:rPr>
        <w:t xml:space="preserve"> </w:t>
      </w:r>
      <w:r>
        <w:rPr>
          <w:sz w:val="20"/>
        </w:rPr>
        <w:t>April</w:t>
      </w:r>
      <w:r>
        <w:rPr>
          <w:spacing w:val="-2"/>
          <w:sz w:val="20"/>
        </w:rPr>
        <w:t xml:space="preserve"> </w:t>
      </w:r>
      <w:r>
        <w:rPr>
          <w:spacing w:val="-4"/>
          <w:sz w:val="20"/>
        </w:rPr>
        <w:t>2022</w:t>
      </w:r>
    </w:p>
    <w:p w14:paraId="51DE8D13" w14:textId="77777777" w:rsidR="0010369C" w:rsidRDefault="008E43AE">
      <w:pPr>
        <w:pStyle w:val="ListParagraph"/>
        <w:numPr>
          <w:ilvl w:val="0"/>
          <w:numId w:val="61"/>
        </w:numPr>
        <w:tabs>
          <w:tab w:val="left" w:pos="1657"/>
        </w:tabs>
        <w:spacing w:before="35" w:line="357" w:lineRule="auto"/>
        <w:ind w:left="1655" w:right="613" w:hanging="567"/>
        <w:rPr>
          <w:sz w:val="24"/>
        </w:rPr>
      </w:pPr>
      <w:r>
        <w:rPr>
          <w:sz w:val="24"/>
        </w:rPr>
        <w:t>Failed to establish the quantitative element of the definition of "domestic industry" because its estimate of total domestic production was flawed and because it failed to verify the production of 19 of the 21 responding domestic producers; and</w:t>
      </w:r>
    </w:p>
    <w:p w14:paraId="51DE8D14" w14:textId="77777777" w:rsidR="0010369C" w:rsidRDefault="008E43AE">
      <w:pPr>
        <w:pStyle w:val="ListParagraph"/>
        <w:numPr>
          <w:ilvl w:val="0"/>
          <w:numId w:val="61"/>
        </w:numPr>
        <w:tabs>
          <w:tab w:val="left" w:pos="1656"/>
        </w:tabs>
        <w:spacing w:before="130" w:line="360" w:lineRule="auto"/>
        <w:ind w:left="1655" w:right="613" w:hanging="567"/>
        <w:rPr>
          <w:sz w:val="24"/>
        </w:rPr>
      </w:pPr>
      <w:r>
        <w:rPr>
          <w:sz w:val="24"/>
        </w:rPr>
        <w:t>Failed to e</w:t>
      </w:r>
      <w:r>
        <w:rPr>
          <w:sz w:val="24"/>
        </w:rPr>
        <w:t>stablish the qualitative element of the definition of "domestic industry" because it did not determine whether the 21 responding domestic producers were representative of the total domestic production, even though there was</w:t>
      </w:r>
      <w:r>
        <w:rPr>
          <w:spacing w:val="-1"/>
          <w:sz w:val="24"/>
        </w:rPr>
        <w:t xml:space="preserve"> </w:t>
      </w:r>
      <w:r>
        <w:rPr>
          <w:sz w:val="24"/>
        </w:rPr>
        <w:t>a</w:t>
      </w:r>
      <w:r>
        <w:rPr>
          <w:spacing w:val="-1"/>
          <w:sz w:val="24"/>
        </w:rPr>
        <w:t xml:space="preserve"> </w:t>
      </w:r>
      <w:r>
        <w:rPr>
          <w:sz w:val="24"/>
        </w:rPr>
        <w:t>material</w:t>
      </w:r>
      <w:r>
        <w:rPr>
          <w:spacing w:val="-1"/>
          <w:sz w:val="24"/>
        </w:rPr>
        <w:t xml:space="preserve"> </w:t>
      </w:r>
      <w:r>
        <w:rPr>
          <w:sz w:val="24"/>
        </w:rPr>
        <w:t>risk</w:t>
      </w:r>
      <w:r>
        <w:rPr>
          <w:spacing w:val="-1"/>
          <w:sz w:val="24"/>
        </w:rPr>
        <w:t xml:space="preserve"> </w:t>
      </w:r>
      <w:r>
        <w:rPr>
          <w:sz w:val="24"/>
        </w:rPr>
        <w:t>of distortion. T</w:t>
      </w:r>
      <w:r>
        <w:rPr>
          <w:sz w:val="24"/>
        </w:rPr>
        <w:t>here is</w:t>
      </w:r>
      <w:r>
        <w:rPr>
          <w:spacing w:val="-1"/>
          <w:sz w:val="24"/>
        </w:rPr>
        <w:t xml:space="preserve"> </w:t>
      </w:r>
      <w:r>
        <w:rPr>
          <w:sz w:val="24"/>
        </w:rPr>
        <w:t>no evidence</w:t>
      </w:r>
      <w:r>
        <w:rPr>
          <w:spacing w:val="-2"/>
          <w:sz w:val="24"/>
        </w:rPr>
        <w:t xml:space="preserve"> </w:t>
      </w:r>
      <w:r>
        <w:rPr>
          <w:sz w:val="24"/>
        </w:rPr>
        <w:t>on the record that MOFCOM</w:t>
      </w:r>
      <w:r>
        <w:rPr>
          <w:spacing w:val="-7"/>
          <w:sz w:val="24"/>
        </w:rPr>
        <w:t xml:space="preserve"> </w:t>
      </w:r>
      <w:r>
        <w:rPr>
          <w:sz w:val="24"/>
        </w:rPr>
        <w:t>undertook</w:t>
      </w:r>
      <w:r>
        <w:rPr>
          <w:spacing w:val="-6"/>
          <w:sz w:val="24"/>
        </w:rPr>
        <w:t xml:space="preserve"> </w:t>
      </w:r>
      <w:r>
        <w:rPr>
          <w:sz w:val="24"/>
        </w:rPr>
        <w:t>any</w:t>
      </w:r>
      <w:r>
        <w:rPr>
          <w:spacing w:val="-7"/>
          <w:sz w:val="24"/>
        </w:rPr>
        <w:t xml:space="preserve"> </w:t>
      </w:r>
      <w:r>
        <w:rPr>
          <w:sz w:val="24"/>
        </w:rPr>
        <w:t>sort</w:t>
      </w:r>
      <w:r>
        <w:rPr>
          <w:spacing w:val="-7"/>
          <w:sz w:val="24"/>
        </w:rPr>
        <w:t xml:space="preserve"> </w:t>
      </w:r>
      <w:r>
        <w:rPr>
          <w:sz w:val="24"/>
        </w:rPr>
        <w:t>of</w:t>
      </w:r>
      <w:r>
        <w:rPr>
          <w:spacing w:val="-7"/>
          <w:sz w:val="24"/>
        </w:rPr>
        <w:t xml:space="preserve"> </w:t>
      </w:r>
      <w:r>
        <w:rPr>
          <w:sz w:val="24"/>
        </w:rPr>
        <w:t>qualitative</w:t>
      </w:r>
      <w:r>
        <w:rPr>
          <w:spacing w:val="-6"/>
          <w:sz w:val="24"/>
        </w:rPr>
        <w:t xml:space="preserve"> </w:t>
      </w:r>
      <w:r>
        <w:rPr>
          <w:sz w:val="24"/>
        </w:rPr>
        <w:t>assessment</w:t>
      </w:r>
      <w:r>
        <w:rPr>
          <w:spacing w:val="-7"/>
          <w:sz w:val="24"/>
        </w:rPr>
        <w:t xml:space="preserve"> </w:t>
      </w:r>
      <w:r>
        <w:rPr>
          <w:sz w:val="24"/>
        </w:rPr>
        <w:t>of</w:t>
      </w:r>
      <w:r>
        <w:rPr>
          <w:spacing w:val="-7"/>
          <w:sz w:val="24"/>
        </w:rPr>
        <w:t xml:space="preserve"> </w:t>
      </w:r>
      <w:r>
        <w:rPr>
          <w:sz w:val="24"/>
        </w:rPr>
        <w:t>the</w:t>
      </w:r>
      <w:r>
        <w:rPr>
          <w:spacing w:val="-7"/>
          <w:sz w:val="24"/>
        </w:rPr>
        <w:t xml:space="preserve"> </w:t>
      </w:r>
      <w:r>
        <w:rPr>
          <w:sz w:val="24"/>
        </w:rPr>
        <w:t>suitability</w:t>
      </w:r>
      <w:r>
        <w:rPr>
          <w:spacing w:val="-6"/>
          <w:sz w:val="24"/>
        </w:rPr>
        <w:t xml:space="preserve"> </w:t>
      </w:r>
      <w:r>
        <w:rPr>
          <w:sz w:val="24"/>
        </w:rPr>
        <w:t>of</w:t>
      </w:r>
      <w:r>
        <w:rPr>
          <w:spacing w:val="-7"/>
          <w:sz w:val="24"/>
        </w:rPr>
        <w:t xml:space="preserve"> </w:t>
      </w:r>
      <w:r>
        <w:rPr>
          <w:sz w:val="24"/>
        </w:rPr>
        <w:t>the 21</w:t>
      </w:r>
      <w:r>
        <w:rPr>
          <w:spacing w:val="-1"/>
          <w:sz w:val="24"/>
        </w:rPr>
        <w:t xml:space="preserve"> </w:t>
      </w:r>
      <w:r>
        <w:rPr>
          <w:sz w:val="24"/>
        </w:rPr>
        <w:t>producers, including whether they were suitably representative</w:t>
      </w:r>
      <w:r>
        <w:rPr>
          <w:spacing w:val="-1"/>
          <w:sz w:val="24"/>
        </w:rPr>
        <w:t xml:space="preserve"> </w:t>
      </w:r>
      <w:r>
        <w:rPr>
          <w:sz w:val="24"/>
        </w:rPr>
        <w:t>in terms of geographic</w:t>
      </w:r>
      <w:r>
        <w:rPr>
          <w:spacing w:val="-1"/>
          <w:sz w:val="24"/>
        </w:rPr>
        <w:t xml:space="preserve"> </w:t>
      </w:r>
      <w:r>
        <w:rPr>
          <w:sz w:val="24"/>
        </w:rPr>
        <w:t>spread,</w:t>
      </w:r>
      <w:r>
        <w:rPr>
          <w:spacing w:val="-1"/>
          <w:sz w:val="24"/>
        </w:rPr>
        <w:t xml:space="preserve"> </w:t>
      </w:r>
      <w:r>
        <w:rPr>
          <w:sz w:val="24"/>
        </w:rPr>
        <w:t>product</w:t>
      </w:r>
      <w:r>
        <w:rPr>
          <w:spacing w:val="-1"/>
          <w:sz w:val="24"/>
        </w:rPr>
        <w:t xml:space="preserve"> </w:t>
      </w:r>
      <w:r>
        <w:rPr>
          <w:sz w:val="24"/>
        </w:rPr>
        <w:t>mix</w:t>
      </w:r>
      <w:r>
        <w:rPr>
          <w:spacing w:val="-1"/>
          <w:sz w:val="24"/>
        </w:rPr>
        <w:t xml:space="preserve"> </w:t>
      </w:r>
      <w:r>
        <w:rPr>
          <w:sz w:val="24"/>
        </w:rPr>
        <w:t>(for</w:t>
      </w:r>
      <w:r>
        <w:rPr>
          <w:spacing w:val="-1"/>
          <w:sz w:val="24"/>
        </w:rPr>
        <w:t xml:space="preserve"> </w:t>
      </w:r>
      <w:r>
        <w:rPr>
          <w:sz w:val="24"/>
        </w:rPr>
        <w:t>example,</w:t>
      </w:r>
      <w:r>
        <w:rPr>
          <w:spacing w:val="-2"/>
          <w:sz w:val="24"/>
        </w:rPr>
        <w:t xml:space="preserve"> </w:t>
      </w:r>
      <w:r>
        <w:rPr>
          <w:sz w:val="24"/>
        </w:rPr>
        <w:t>high</w:t>
      </w:r>
      <w:r>
        <w:rPr>
          <w:spacing w:val="-1"/>
          <w:sz w:val="24"/>
        </w:rPr>
        <w:t xml:space="preserve"> </w:t>
      </w:r>
      <w:r>
        <w:rPr>
          <w:sz w:val="24"/>
        </w:rPr>
        <w:t>or</w:t>
      </w:r>
      <w:r>
        <w:rPr>
          <w:spacing w:val="-1"/>
          <w:sz w:val="24"/>
        </w:rPr>
        <w:t xml:space="preserve"> </w:t>
      </w:r>
      <w:r>
        <w:rPr>
          <w:sz w:val="24"/>
        </w:rPr>
        <w:t>low</w:t>
      </w:r>
      <w:r>
        <w:rPr>
          <w:spacing w:val="-1"/>
          <w:sz w:val="24"/>
        </w:rPr>
        <w:t xml:space="preserve"> </w:t>
      </w:r>
      <w:r>
        <w:rPr>
          <w:sz w:val="24"/>
        </w:rPr>
        <w:t>qual</w:t>
      </w:r>
      <w:r>
        <w:rPr>
          <w:sz w:val="24"/>
        </w:rPr>
        <w:t>ity,</w:t>
      </w:r>
      <w:r>
        <w:rPr>
          <w:spacing w:val="-1"/>
          <w:sz w:val="24"/>
        </w:rPr>
        <w:t xml:space="preserve"> </w:t>
      </w:r>
      <w:r>
        <w:rPr>
          <w:sz w:val="24"/>
        </w:rPr>
        <w:t>red</w:t>
      </w:r>
      <w:r>
        <w:rPr>
          <w:spacing w:val="-1"/>
          <w:sz w:val="24"/>
        </w:rPr>
        <w:t xml:space="preserve"> </w:t>
      </w:r>
      <w:r>
        <w:rPr>
          <w:sz w:val="24"/>
        </w:rPr>
        <w:t>or</w:t>
      </w:r>
      <w:r>
        <w:rPr>
          <w:spacing w:val="-1"/>
          <w:sz w:val="24"/>
        </w:rPr>
        <w:t xml:space="preserve"> </w:t>
      </w:r>
      <w:r>
        <w:rPr>
          <w:sz w:val="24"/>
        </w:rPr>
        <w:t>white wine), scale of operations, or any other factor, to ensure they were reflective of the domestic industry as a whole.</w:t>
      </w:r>
    </w:p>
    <w:p w14:paraId="51DE8D15" w14:textId="77777777" w:rsidR="0010369C" w:rsidRDefault="008E43AE">
      <w:pPr>
        <w:pStyle w:val="BodyText"/>
        <w:spacing w:before="120" w:line="360" w:lineRule="auto"/>
        <w:ind w:left="236" w:right="613" w:firstLine="852"/>
        <w:jc w:val="both"/>
      </w:pPr>
      <w:r>
        <w:rPr>
          <w:noProof/>
        </w:rPr>
        <w:drawing>
          <wp:anchor distT="0" distB="0" distL="0" distR="0" simplePos="0" relativeHeight="251177472" behindDoc="1" locked="0" layoutInCell="1" allowOverlap="1" wp14:anchorId="51DEA42E" wp14:editId="51DEA42F">
            <wp:simplePos x="0" y="0"/>
            <wp:positionH relativeFrom="page">
              <wp:posOffset>902208</wp:posOffset>
            </wp:positionH>
            <wp:positionV relativeFrom="paragraph">
              <wp:posOffset>125130</wp:posOffset>
            </wp:positionV>
            <wp:extent cx="262127" cy="100753"/>
            <wp:effectExtent l="0" t="0" r="0" b="0"/>
            <wp:wrapNone/>
            <wp:docPr id="1079" name="image5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 name="image551.png"/>
                    <pic:cNvPicPr/>
                  </pic:nvPicPr>
                  <pic:blipFill>
                    <a:blip r:embed="rId720" cstate="print"/>
                    <a:stretch>
                      <a:fillRect/>
                    </a:stretch>
                  </pic:blipFill>
                  <pic:spPr>
                    <a:xfrm>
                      <a:off x="0" y="0"/>
                      <a:ext cx="262127" cy="100753"/>
                    </a:xfrm>
                    <a:prstGeom prst="rect">
                      <a:avLst/>
                    </a:prstGeom>
                  </pic:spPr>
                </pic:pic>
              </a:graphicData>
            </a:graphic>
          </wp:anchor>
        </w:drawing>
      </w:r>
      <w:r>
        <w:t>MOFCOM's failure in respect of the proper identification of the "domestic industry" has significant implications for its injury and causation analysis. The Appellate Body has warned that, "to ensure the accuracy of an injury determination, an investigating</w:t>
      </w:r>
      <w:r>
        <w:t xml:space="preserve"> authority must not act so as to give rise to a material risk of distortion in defining the domestic industry".</w:t>
      </w:r>
      <w:r>
        <w:rPr>
          <w:vertAlign w:val="superscript"/>
        </w:rPr>
        <w:t>601</w:t>
      </w:r>
      <w:r>
        <w:t xml:space="preserve"> Similarly, the panel in </w:t>
      </w:r>
      <w:r>
        <w:rPr>
          <w:i/>
        </w:rPr>
        <w:t xml:space="preserve">China – Autos (US) </w:t>
      </w:r>
      <w:r>
        <w:t>explained that "a wrongly‐defined domestic industry necessarily leads to an injury determination t</w:t>
      </w:r>
      <w:r>
        <w:t>hat is inconsistent [with the Anti‐Dumping Agreement]".</w:t>
      </w:r>
      <w:r>
        <w:rPr>
          <w:vertAlign w:val="superscript"/>
        </w:rPr>
        <w:t>602</w:t>
      </w:r>
    </w:p>
    <w:p w14:paraId="51DE8D16" w14:textId="77777777" w:rsidR="0010369C" w:rsidRDefault="0010369C">
      <w:pPr>
        <w:pStyle w:val="BodyText"/>
        <w:spacing w:before="11"/>
        <w:rPr>
          <w:sz w:val="8"/>
        </w:rPr>
      </w:pPr>
    </w:p>
    <w:p w14:paraId="51DE8D17" w14:textId="77777777" w:rsidR="0010369C" w:rsidRDefault="008E43AE">
      <w:pPr>
        <w:pStyle w:val="BodyText"/>
        <w:spacing w:before="52" w:line="360" w:lineRule="auto"/>
        <w:ind w:left="236" w:right="616" w:firstLine="852"/>
        <w:jc w:val="both"/>
      </w:pPr>
      <w:r>
        <w:rPr>
          <w:noProof/>
        </w:rPr>
        <w:drawing>
          <wp:anchor distT="0" distB="0" distL="0" distR="0" simplePos="0" relativeHeight="251178496" behindDoc="1" locked="0" layoutInCell="1" allowOverlap="1" wp14:anchorId="51DEA430" wp14:editId="51DEA431">
            <wp:simplePos x="0" y="0"/>
            <wp:positionH relativeFrom="page">
              <wp:posOffset>902208</wp:posOffset>
            </wp:positionH>
            <wp:positionV relativeFrom="paragraph">
              <wp:posOffset>81357</wp:posOffset>
            </wp:positionV>
            <wp:extent cx="262127" cy="103631"/>
            <wp:effectExtent l="0" t="0" r="0" b="0"/>
            <wp:wrapNone/>
            <wp:docPr id="1081" name="image5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 name="image552.png"/>
                    <pic:cNvPicPr/>
                  </pic:nvPicPr>
                  <pic:blipFill>
                    <a:blip r:embed="rId721" cstate="print"/>
                    <a:stretch>
                      <a:fillRect/>
                    </a:stretch>
                  </pic:blipFill>
                  <pic:spPr>
                    <a:xfrm>
                      <a:off x="0" y="0"/>
                      <a:ext cx="262127" cy="103631"/>
                    </a:xfrm>
                    <a:prstGeom prst="rect">
                      <a:avLst/>
                    </a:prstGeom>
                  </pic:spPr>
                </pic:pic>
              </a:graphicData>
            </a:graphic>
          </wp:anchor>
        </w:drawing>
      </w:r>
      <w:r>
        <w:t>As a consequence of MOFCOM's errors in defining the "domestic industry", a "keystone" of the investigation is fundamentally flawed. It follows that MOFCOM's subsequent injury and causation analys</w:t>
      </w:r>
      <w:r>
        <w:t>es are also inconsistent with the provisions of Article 3 of the Anti‐Dumping Agreement.</w:t>
      </w:r>
    </w:p>
    <w:p w14:paraId="51DE8D18" w14:textId="77777777" w:rsidR="0010369C" w:rsidRDefault="0010369C">
      <w:pPr>
        <w:pStyle w:val="BodyText"/>
        <w:rPr>
          <w:sz w:val="20"/>
        </w:rPr>
      </w:pPr>
    </w:p>
    <w:p w14:paraId="51DE8D19" w14:textId="77777777" w:rsidR="0010369C" w:rsidRDefault="0010369C">
      <w:pPr>
        <w:pStyle w:val="BodyText"/>
        <w:rPr>
          <w:sz w:val="20"/>
        </w:rPr>
      </w:pPr>
    </w:p>
    <w:p w14:paraId="51DE8D1A" w14:textId="77777777" w:rsidR="0010369C" w:rsidRDefault="0010369C">
      <w:pPr>
        <w:pStyle w:val="BodyText"/>
        <w:rPr>
          <w:sz w:val="20"/>
        </w:rPr>
      </w:pPr>
    </w:p>
    <w:p w14:paraId="51DE8D1B" w14:textId="77777777" w:rsidR="0010369C" w:rsidRDefault="0010369C">
      <w:pPr>
        <w:pStyle w:val="BodyText"/>
        <w:rPr>
          <w:sz w:val="20"/>
        </w:rPr>
      </w:pPr>
    </w:p>
    <w:p w14:paraId="51DE8D1C" w14:textId="77777777" w:rsidR="0010369C" w:rsidRDefault="0010369C">
      <w:pPr>
        <w:pStyle w:val="BodyText"/>
        <w:rPr>
          <w:sz w:val="20"/>
        </w:rPr>
      </w:pPr>
    </w:p>
    <w:p w14:paraId="51DE8D1D" w14:textId="77777777" w:rsidR="0010369C" w:rsidRDefault="0010369C">
      <w:pPr>
        <w:pStyle w:val="BodyText"/>
        <w:rPr>
          <w:sz w:val="20"/>
        </w:rPr>
      </w:pPr>
    </w:p>
    <w:p w14:paraId="51DE8D1E" w14:textId="77777777" w:rsidR="0010369C" w:rsidRDefault="0010369C">
      <w:pPr>
        <w:pStyle w:val="BodyText"/>
        <w:rPr>
          <w:sz w:val="20"/>
        </w:rPr>
      </w:pPr>
    </w:p>
    <w:p w14:paraId="51DE8D1F" w14:textId="77777777" w:rsidR="0010369C" w:rsidRDefault="0010369C">
      <w:pPr>
        <w:pStyle w:val="BodyText"/>
        <w:rPr>
          <w:sz w:val="20"/>
        </w:rPr>
      </w:pPr>
    </w:p>
    <w:p w14:paraId="51DE8D20" w14:textId="77777777" w:rsidR="0010369C" w:rsidRDefault="008E43AE">
      <w:pPr>
        <w:pStyle w:val="BodyText"/>
        <w:rPr>
          <w:sz w:val="22"/>
        </w:rPr>
      </w:pPr>
      <w:r>
        <w:pict w14:anchorId="51DEA432">
          <v:rect id="docshape1004" o:spid="_x0000_s1363" style="position:absolute;margin-left:70.9pt;margin-top:14.65pt;width:2in;height:.8pt;z-index:-250847744;mso-wrap-distance-left:0;mso-wrap-distance-right:0;mso-position-horizontal-relative:page" fillcolor="black" stroked="f">
            <w10:wrap type="topAndBottom" anchorx="page"/>
          </v:rect>
        </w:pict>
      </w:r>
    </w:p>
    <w:p w14:paraId="51DE8D21" w14:textId="77777777" w:rsidR="0010369C" w:rsidRDefault="008E43AE">
      <w:pPr>
        <w:spacing w:before="109"/>
        <w:ind w:left="237" w:right="614"/>
        <w:rPr>
          <w:sz w:val="18"/>
        </w:rPr>
      </w:pPr>
      <w:r>
        <w:rPr>
          <w:sz w:val="18"/>
          <w:vertAlign w:val="superscript"/>
        </w:rPr>
        <w:t>601</w:t>
      </w:r>
      <w:r>
        <w:rPr>
          <w:sz w:val="18"/>
        </w:rPr>
        <w:t xml:space="preserve"> Appellate Body Report, </w:t>
      </w:r>
      <w:r>
        <w:rPr>
          <w:i/>
          <w:sz w:val="18"/>
        </w:rPr>
        <w:t>EC – Fasteners (China)</w:t>
      </w:r>
      <w:r>
        <w:rPr>
          <w:sz w:val="18"/>
        </w:rPr>
        <w:t>, para. 414. The Appellate Body was referring to the obligation imposed by Article 3.1 of the Anti‐Dumping Agreement to conduct an "objective examination".</w:t>
      </w:r>
    </w:p>
    <w:p w14:paraId="51DE8D22" w14:textId="77777777" w:rsidR="0010369C" w:rsidRDefault="008E43AE">
      <w:pPr>
        <w:spacing w:line="219" w:lineRule="exact"/>
        <w:ind w:left="238"/>
        <w:rPr>
          <w:sz w:val="18"/>
        </w:rPr>
      </w:pPr>
      <w:r>
        <w:rPr>
          <w:sz w:val="18"/>
          <w:vertAlign w:val="superscript"/>
        </w:rPr>
        <w:t>602</w:t>
      </w:r>
      <w:r>
        <w:rPr>
          <w:spacing w:val="-5"/>
          <w:sz w:val="18"/>
        </w:rPr>
        <w:t xml:space="preserve"> </w:t>
      </w:r>
      <w:r>
        <w:rPr>
          <w:sz w:val="18"/>
        </w:rPr>
        <w:t>Panel</w:t>
      </w:r>
      <w:r>
        <w:rPr>
          <w:spacing w:val="-6"/>
          <w:sz w:val="18"/>
        </w:rPr>
        <w:t xml:space="preserve"> </w:t>
      </w:r>
      <w:r>
        <w:rPr>
          <w:sz w:val="18"/>
        </w:rPr>
        <w:t>Report,</w:t>
      </w:r>
      <w:r>
        <w:rPr>
          <w:spacing w:val="-5"/>
          <w:sz w:val="18"/>
        </w:rPr>
        <w:t xml:space="preserve"> </w:t>
      </w:r>
      <w:r>
        <w:rPr>
          <w:i/>
          <w:sz w:val="18"/>
        </w:rPr>
        <w:t>China</w:t>
      </w:r>
      <w:r>
        <w:rPr>
          <w:i/>
          <w:spacing w:val="-5"/>
          <w:sz w:val="18"/>
        </w:rPr>
        <w:t xml:space="preserve"> </w:t>
      </w:r>
      <w:r>
        <w:rPr>
          <w:i/>
          <w:sz w:val="18"/>
        </w:rPr>
        <w:t>–</w:t>
      </w:r>
      <w:r>
        <w:rPr>
          <w:i/>
          <w:spacing w:val="-5"/>
          <w:sz w:val="18"/>
        </w:rPr>
        <w:t xml:space="preserve"> </w:t>
      </w:r>
      <w:r>
        <w:rPr>
          <w:i/>
          <w:sz w:val="18"/>
        </w:rPr>
        <w:t>Autos</w:t>
      </w:r>
      <w:r>
        <w:rPr>
          <w:i/>
          <w:spacing w:val="-5"/>
          <w:sz w:val="18"/>
        </w:rPr>
        <w:t xml:space="preserve"> </w:t>
      </w:r>
      <w:r>
        <w:rPr>
          <w:i/>
          <w:sz w:val="18"/>
        </w:rPr>
        <w:t>(US)</w:t>
      </w:r>
      <w:r>
        <w:rPr>
          <w:sz w:val="18"/>
        </w:rPr>
        <w:t>,</w:t>
      </w:r>
      <w:r>
        <w:rPr>
          <w:spacing w:val="-6"/>
          <w:sz w:val="18"/>
        </w:rPr>
        <w:t xml:space="preserve"> </w:t>
      </w:r>
      <w:r>
        <w:rPr>
          <w:sz w:val="18"/>
        </w:rPr>
        <w:t>para.</w:t>
      </w:r>
      <w:r>
        <w:rPr>
          <w:spacing w:val="-5"/>
          <w:sz w:val="18"/>
        </w:rPr>
        <w:t xml:space="preserve"> </w:t>
      </w:r>
      <w:r>
        <w:rPr>
          <w:sz w:val="18"/>
        </w:rPr>
        <w:t>7.210.</w:t>
      </w:r>
      <w:r>
        <w:rPr>
          <w:spacing w:val="-5"/>
          <w:sz w:val="18"/>
        </w:rPr>
        <w:t xml:space="preserve"> </w:t>
      </w:r>
      <w:r>
        <w:rPr>
          <w:sz w:val="18"/>
        </w:rPr>
        <w:t>See</w:t>
      </w:r>
      <w:r>
        <w:rPr>
          <w:spacing w:val="-5"/>
          <w:sz w:val="18"/>
        </w:rPr>
        <w:t xml:space="preserve"> </w:t>
      </w:r>
      <w:r>
        <w:rPr>
          <w:sz w:val="18"/>
        </w:rPr>
        <w:t>also</w:t>
      </w:r>
      <w:r>
        <w:rPr>
          <w:spacing w:val="-5"/>
          <w:sz w:val="18"/>
        </w:rPr>
        <w:t xml:space="preserve"> </w:t>
      </w:r>
      <w:r>
        <w:rPr>
          <w:sz w:val="18"/>
        </w:rPr>
        <w:t>Panel</w:t>
      </w:r>
      <w:r>
        <w:rPr>
          <w:spacing w:val="-6"/>
          <w:sz w:val="18"/>
        </w:rPr>
        <w:t xml:space="preserve"> </w:t>
      </w:r>
      <w:r>
        <w:rPr>
          <w:sz w:val="18"/>
        </w:rPr>
        <w:t>Report,</w:t>
      </w:r>
      <w:r>
        <w:rPr>
          <w:spacing w:val="-5"/>
          <w:sz w:val="18"/>
        </w:rPr>
        <w:t xml:space="preserve"> </w:t>
      </w:r>
      <w:r>
        <w:rPr>
          <w:i/>
          <w:sz w:val="18"/>
        </w:rPr>
        <w:t>EC</w:t>
      </w:r>
      <w:r>
        <w:rPr>
          <w:i/>
          <w:spacing w:val="-6"/>
          <w:sz w:val="18"/>
        </w:rPr>
        <w:t xml:space="preserve"> </w:t>
      </w:r>
      <w:r>
        <w:rPr>
          <w:i/>
          <w:sz w:val="18"/>
        </w:rPr>
        <w:t>–</w:t>
      </w:r>
      <w:r>
        <w:rPr>
          <w:i/>
          <w:spacing w:val="-4"/>
          <w:sz w:val="18"/>
        </w:rPr>
        <w:t xml:space="preserve"> </w:t>
      </w:r>
      <w:r>
        <w:rPr>
          <w:i/>
          <w:sz w:val="18"/>
        </w:rPr>
        <w:t>Salmon</w:t>
      </w:r>
      <w:r>
        <w:rPr>
          <w:i/>
          <w:spacing w:val="-6"/>
          <w:sz w:val="18"/>
        </w:rPr>
        <w:t xml:space="preserve"> </w:t>
      </w:r>
      <w:r>
        <w:rPr>
          <w:i/>
          <w:sz w:val="18"/>
        </w:rPr>
        <w:t>(Norway)</w:t>
      </w:r>
      <w:r>
        <w:rPr>
          <w:sz w:val="18"/>
        </w:rPr>
        <w:t>,</w:t>
      </w:r>
      <w:r>
        <w:rPr>
          <w:spacing w:val="-6"/>
          <w:sz w:val="18"/>
        </w:rPr>
        <w:t xml:space="preserve"> </w:t>
      </w:r>
      <w:r>
        <w:rPr>
          <w:sz w:val="18"/>
        </w:rPr>
        <w:t>para</w:t>
      </w:r>
      <w:r>
        <w:rPr>
          <w:sz w:val="18"/>
        </w:rPr>
        <w:t>s.</w:t>
      </w:r>
      <w:r>
        <w:rPr>
          <w:spacing w:val="-5"/>
          <w:sz w:val="18"/>
        </w:rPr>
        <w:t xml:space="preserve"> </w:t>
      </w:r>
      <w:r>
        <w:rPr>
          <w:spacing w:val="-2"/>
          <w:sz w:val="18"/>
        </w:rPr>
        <w:t>7.117‐7.118.</w:t>
      </w:r>
    </w:p>
    <w:p w14:paraId="51DE8D23" w14:textId="77777777" w:rsidR="0010369C" w:rsidRDefault="0010369C">
      <w:pPr>
        <w:spacing w:line="219" w:lineRule="exact"/>
        <w:rPr>
          <w:sz w:val="18"/>
        </w:rPr>
        <w:sectPr w:rsidR="0010369C">
          <w:pgSz w:w="11910" w:h="16840"/>
          <w:pgMar w:top="880" w:right="800" w:bottom="980" w:left="1180" w:header="569" w:footer="788" w:gutter="0"/>
          <w:cols w:space="720"/>
        </w:sectPr>
      </w:pPr>
    </w:p>
    <w:p w14:paraId="51DE8D24" w14:textId="77777777" w:rsidR="0010369C" w:rsidRDefault="008E43AE">
      <w:pPr>
        <w:pStyle w:val="BodyText"/>
        <w:spacing w:line="20" w:lineRule="exact"/>
        <w:ind w:left="104"/>
        <w:rPr>
          <w:sz w:val="2"/>
        </w:rPr>
      </w:pPr>
      <w:r>
        <w:rPr>
          <w:sz w:val="2"/>
        </w:rPr>
      </w:r>
      <w:r>
        <w:rPr>
          <w:sz w:val="2"/>
        </w:rPr>
        <w:pict w14:anchorId="51DEA434">
          <v:group id="docshapegroup1005" o:spid="_x0000_s1361" style="width:464.6pt;height:1.05pt;mso-position-horizontal-relative:char;mso-position-vertical-relative:line" coordsize="9292,21">
            <v:line id="_x0000_s1362" style="position:absolute" from="0,10" to="9291,10" strokeweight=".35361mm"/>
            <w10:anchorlock/>
          </v:group>
        </w:pict>
      </w:r>
    </w:p>
    <w:p w14:paraId="51DE8D25" w14:textId="77777777" w:rsidR="0010369C" w:rsidRDefault="008E43AE">
      <w:pPr>
        <w:spacing w:before="63"/>
        <w:ind w:right="357"/>
        <w:jc w:val="center"/>
        <w:rPr>
          <w:rFonts w:ascii="Arial"/>
          <w:sz w:val="18"/>
        </w:rPr>
      </w:pPr>
      <w:r>
        <w:pict w14:anchorId="51DEA435">
          <v:shape id="docshape1006" o:spid="_x0000_s1360" style="position:absolute;left:0;text-align:left;margin-left:64.2pt;margin-top:15.1pt;width:464.6pt;height:.1pt;z-index:-250846720;mso-wrap-distance-left:0;mso-wrap-distance-right:0;mso-position-horizontal-relative:page" coordorigin="1284,302" coordsize="9292,0" path="m1284,302r9291,e" filled="f" strokeweight=".35361mm">
            <v:path arrowok="t"/>
            <w10:wrap type="topAndBottom" anchorx="page"/>
          </v:shape>
        </w:pict>
      </w:r>
      <w:r>
        <w:rPr>
          <w:rFonts w:ascii="Arial"/>
          <w:color w:val="1C1C1C"/>
          <w:sz w:val="18"/>
        </w:rPr>
        <w:t>Contains</w:t>
      </w:r>
      <w:r>
        <w:rPr>
          <w:rFonts w:ascii="Arial"/>
          <w:color w:val="1C1C1C"/>
          <w:spacing w:val="-9"/>
          <w:sz w:val="18"/>
        </w:rPr>
        <w:t xml:space="preserve"> </w:t>
      </w:r>
      <w:r>
        <w:rPr>
          <w:rFonts w:ascii="Arial"/>
          <w:color w:val="1C1C1C"/>
          <w:sz w:val="18"/>
        </w:rPr>
        <w:t>Business</w:t>
      </w:r>
      <w:r>
        <w:rPr>
          <w:rFonts w:ascii="Arial"/>
          <w:color w:val="1C1C1C"/>
          <w:spacing w:val="-9"/>
          <w:sz w:val="18"/>
        </w:rPr>
        <w:t xml:space="preserve"> </w:t>
      </w:r>
      <w:r>
        <w:rPr>
          <w:rFonts w:ascii="Arial"/>
          <w:color w:val="1C1C1C"/>
          <w:sz w:val="18"/>
        </w:rPr>
        <w:t>Confidential</w:t>
      </w:r>
      <w:r>
        <w:rPr>
          <w:rFonts w:ascii="Arial"/>
          <w:color w:val="1C1C1C"/>
          <w:spacing w:val="-16"/>
          <w:sz w:val="18"/>
        </w:rPr>
        <w:t xml:space="preserve"> </w:t>
      </w:r>
      <w:r>
        <w:rPr>
          <w:rFonts w:ascii="Arial"/>
          <w:color w:val="1C1C1C"/>
          <w:spacing w:val="-2"/>
          <w:sz w:val="18"/>
        </w:rPr>
        <w:t>Information</w:t>
      </w:r>
    </w:p>
    <w:p w14:paraId="51DE8D26" w14:textId="77777777" w:rsidR="0010369C" w:rsidRDefault="008E43AE">
      <w:pPr>
        <w:tabs>
          <w:tab w:val="left" w:pos="6217"/>
        </w:tabs>
        <w:spacing w:before="21"/>
        <w:ind w:right="357"/>
        <w:jc w:val="center"/>
        <w:rPr>
          <w:rFonts w:ascii="Arial"/>
          <w:sz w:val="18"/>
        </w:rPr>
      </w:pPr>
      <w:r>
        <w:rPr>
          <w:rFonts w:ascii="Arial"/>
          <w:i/>
          <w:color w:val="1C1C1C"/>
          <w:w w:val="105"/>
          <w:sz w:val="18"/>
        </w:rPr>
        <w:t>China</w:t>
      </w:r>
      <w:r>
        <w:rPr>
          <w:rFonts w:ascii="Arial"/>
          <w:i/>
          <w:color w:val="1C1C1C"/>
          <w:spacing w:val="-17"/>
          <w:w w:val="105"/>
          <w:sz w:val="18"/>
        </w:rPr>
        <w:t xml:space="preserve"> </w:t>
      </w:r>
      <w:r>
        <w:rPr>
          <w:rFonts w:ascii="Arial"/>
          <w:i/>
          <w:color w:val="1C1C1C"/>
          <w:w w:val="105"/>
          <w:sz w:val="18"/>
        </w:rPr>
        <w:t>-Anti-Dumping</w:t>
      </w:r>
      <w:r>
        <w:rPr>
          <w:rFonts w:ascii="Arial"/>
          <w:i/>
          <w:color w:val="1C1C1C"/>
          <w:spacing w:val="-5"/>
          <w:w w:val="105"/>
          <w:sz w:val="18"/>
        </w:rPr>
        <w:t xml:space="preserve"> </w:t>
      </w:r>
      <w:r>
        <w:rPr>
          <w:rFonts w:ascii="Arial"/>
          <w:i/>
          <w:color w:val="1C1C1C"/>
          <w:w w:val="105"/>
          <w:sz w:val="18"/>
        </w:rPr>
        <w:t>and</w:t>
      </w:r>
      <w:r>
        <w:rPr>
          <w:rFonts w:ascii="Arial"/>
          <w:i/>
          <w:color w:val="1C1C1C"/>
          <w:spacing w:val="-23"/>
          <w:w w:val="105"/>
          <w:sz w:val="18"/>
        </w:rPr>
        <w:t xml:space="preserve"> </w:t>
      </w:r>
      <w:r>
        <w:rPr>
          <w:rFonts w:ascii="Arial"/>
          <w:i/>
          <w:color w:val="1C1C1C"/>
          <w:w w:val="105"/>
          <w:sz w:val="18"/>
        </w:rPr>
        <w:t>Countervailing</w:t>
      </w:r>
      <w:r>
        <w:rPr>
          <w:rFonts w:ascii="Arial"/>
          <w:i/>
          <w:color w:val="1C1C1C"/>
          <w:spacing w:val="-6"/>
          <w:w w:val="105"/>
          <w:sz w:val="18"/>
        </w:rPr>
        <w:t xml:space="preserve"> </w:t>
      </w:r>
      <w:r>
        <w:rPr>
          <w:rFonts w:ascii="Arial"/>
          <w:i/>
          <w:color w:val="1C1C1C"/>
          <w:w w:val="105"/>
          <w:sz w:val="18"/>
        </w:rPr>
        <w:t>Duty</w:t>
      </w:r>
      <w:r>
        <w:rPr>
          <w:rFonts w:ascii="Arial"/>
          <w:i/>
          <w:color w:val="1C1C1C"/>
          <w:spacing w:val="-12"/>
          <w:w w:val="105"/>
          <w:sz w:val="18"/>
        </w:rPr>
        <w:t xml:space="preserve"> </w:t>
      </w:r>
      <w:r>
        <w:rPr>
          <w:rFonts w:ascii="Arial"/>
          <w:i/>
          <w:color w:val="1C1C1C"/>
          <w:spacing w:val="-2"/>
          <w:w w:val="105"/>
          <w:sz w:val="18"/>
        </w:rPr>
        <w:t>Measures</w:t>
      </w:r>
      <w:r>
        <w:rPr>
          <w:rFonts w:ascii="Arial"/>
          <w:i/>
          <w:color w:val="1C1C1C"/>
          <w:sz w:val="18"/>
        </w:rPr>
        <w:tab/>
      </w:r>
      <w:r>
        <w:rPr>
          <w:rFonts w:ascii="Arial"/>
          <w:color w:val="1C1C1C"/>
          <w:spacing w:val="-2"/>
          <w:w w:val="105"/>
          <w:sz w:val="18"/>
        </w:rPr>
        <w:t>Australia's</w:t>
      </w:r>
      <w:r>
        <w:rPr>
          <w:rFonts w:ascii="Arial"/>
          <w:color w:val="1C1C1C"/>
          <w:spacing w:val="5"/>
          <w:w w:val="105"/>
          <w:sz w:val="18"/>
        </w:rPr>
        <w:t xml:space="preserve"> </w:t>
      </w:r>
      <w:r>
        <w:rPr>
          <w:rFonts w:ascii="Arial"/>
          <w:color w:val="1C1C1C"/>
          <w:spacing w:val="-2"/>
          <w:w w:val="105"/>
          <w:sz w:val="18"/>
        </w:rPr>
        <w:t>First</w:t>
      </w:r>
      <w:r>
        <w:rPr>
          <w:rFonts w:ascii="Arial"/>
          <w:color w:val="1C1C1C"/>
          <w:spacing w:val="1"/>
          <w:w w:val="105"/>
          <w:sz w:val="18"/>
        </w:rPr>
        <w:t xml:space="preserve"> </w:t>
      </w:r>
      <w:r>
        <w:rPr>
          <w:rFonts w:ascii="Arial"/>
          <w:color w:val="1C1C1C"/>
          <w:spacing w:val="-2"/>
          <w:w w:val="105"/>
          <w:sz w:val="18"/>
        </w:rPr>
        <w:t>Written</w:t>
      </w:r>
      <w:r>
        <w:rPr>
          <w:rFonts w:ascii="Arial"/>
          <w:color w:val="1C1C1C"/>
          <w:spacing w:val="-7"/>
          <w:w w:val="105"/>
          <w:sz w:val="18"/>
        </w:rPr>
        <w:t xml:space="preserve"> </w:t>
      </w:r>
      <w:r>
        <w:rPr>
          <w:rFonts w:ascii="Arial"/>
          <w:color w:val="1C1C1C"/>
          <w:spacing w:val="-2"/>
          <w:w w:val="105"/>
          <w:sz w:val="18"/>
        </w:rPr>
        <w:t>Submission</w:t>
      </w:r>
    </w:p>
    <w:p w14:paraId="51DE8D27" w14:textId="77777777" w:rsidR="0010369C" w:rsidRDefault="008E43AE">
      <w:pPr>
        <w:tabs>
          <w:tab w:val="left" w:pos="8020"/>
        </w:tabs>
        <w:spacing w:before="34"/>
        <w:ind w:right="337"/>
        <w:jc w:val="center"/>
        <w:rPr>
          <w:rFonts w:ascii="Arial"/>
          <w:sz w:val="18"/>
        </w:rPr>
      </w:pPr>
      <w:r>
        <w:rPr>
          <w:rFonts w:ascii="Arial"/>
          <w:i/>
          <w:color w:val="1C1C1C"/>
          <w:w w:val="105"/>
          <w:sz w:val="18"/>
        </w:rPr>
        <w:t>on</w:t>
      </w:r>
      <w:r>
        <w:rPr>
          <w:rFonts w:ascii="Arial"/>
          <w:i/>
          <w:color w:val="1C1C1C"/>
          <w:spacing w:val="-11"/>
          <w:w w:val="105"/>
          <w:sz w:val="18"/>
        </w:rPr>
        <w:t xml:space="preserve"> </w:t>
      </w:r>
      <w:r>
        <w:rPr>
          <w:rFonts w:ascii="Arial"/>
          <w:i/>
          <w:color w:val="1C1C1C"/>
          <w:w w:val="105"/>
          <w:sz w:val="18"/>
        </w:rPr>
        <w:t>Winefrom Australia</w:t>
      </w:r>
      <w:r>
        <w:rPr>
          <w:rFonts w:ascii="Arial"/>
          <w:i/>
          <w:color w:val="1C1C1C"/>
          <w:spacing w:val="13"/>
          <w:w w:val="105"/>
          <w:sz w:val="18"/>
        </w:rPr>
        <w:t xml:space="preserve"> </w:t>
      </w:r>
      <w:r>
        <w:rPr>
          <w:rFonts w:ascii="Arial"/>
          <w:color w:val="1C1C1C"/>
          <w:spacing w:val="-2"/>
          <w:w w:val="105"/>
          <w:sz w:val="18"/>
        </w:rPr>
        <w:t>(0S602)</w:t>
      </w:r>
      <w:r>
        <w:rPr>
          <w:rFonts w:ascii="Arial"/>
          <w:color w:val="1C1C1C"/>
          <w:sz w:val="18"/>
        </w:rPr>
        <w:tab/>
      </w:r>
      <w:r>
        <w:rPr>
          <w:rFonts w:ascii="Arial"/>
          <w:color w:val="1C1C1C"/>
          <w:w w:val="105"/>
          <w:sz w:val="18"/>
        </w:rPr>
        <w:t>29</w:t>
      </w:r>
      <w:r>
        <w:rPr>
          <w:rFonts w:ascii="Arial"/>
          <w:color w:val="1C1C1C"/>
          <w:spacing w:val="-19"/>
          <w:w w:val="105"/>
          <w:sz w:val="18"/>
        </w:rPr>
        <w:t xml:space="preserve"> </w:t>
      </w:r>
      <w:r>
        <w:rPr>
          <w:rFonts w:ascii="Arial"/>
          <w:color w:val="1C1C1C"/>
          <w:w w:val="105"/>
          <w:sz w:val="18"/>
        </w:rPr>
        <w:t>April</w:t>
      </w:r>
      <w:r>
        <w:rPr>
          <w:rFonts w:ascii="Arial"/>
          <w:color w:val="1C1C1C"/>
          <w:spacing w:val="1"/>
          <w:w w:val="105"/>
          <w:sz w:val="18"/>
        </w:rPr>
        <w:t xml:space="preserve"> </w:t>
      </w:r>
      <w:r>
        <w:rPr>
          <w:rFonts w:ascii="Arial"/>
          <w:color w:val="1C1C1C"/>
          <w:spacing w:val="-4"/>
          <w:w w:val="105"/>
          <w:sz w:val="18"/>
        </w:rPr>
        <w:t>2022</w:t>
      </w:r>
    </w:p>
    <w:p w14:paraId="51DE8D28" w14:textId="77777777" w:rsidR="0010369C" w:rsidRDefault="0010369C">
      <w:pPr>
        <w:pStyle w:val="BodyText"/>
        <w:spacing w:before="1"/>
        <w:rPr>
          <w:rFonts w:ascii="Arial"/>
          <w:sz w:val="18"/>
        </w:rPr>
      </w:pPr>
    </w:p>
    <w:p w14:paraId="51DE8D29" w14:textId="77777777" w:rsidR="0010369C" w:rsidRDefault="008E43AE">
      <w:pPr>
        <w:pStyle w:val="ListParagraph"/>
        <w:numPr>
          <w:ilvl w:val="0"/>
          <w:numId w:val="75"/>
        </w:numPr>
        <w:tabs>
          <w:tab w:val="left" w:pos="1097"/>
          <w:tab w:val="left" w:pos="1098"/>
        </w:tabs>
        <w:spacing w:before="0" w:line="444" w:lineRule="auto"/>
        <w:ind w:left="1097" w:right="588" w:hanging="860"/>
        <w:jc w:val="left"/>
        <w:rPr>
          <w:rFonts w:ascii="Arial"/>
          <w:b/>
          <w:color w:val="080808"/>
          <w:sz w:val="24"/>
        </w:rPr>
      </w:pPr>
      <w:r>
        <w:rPr>
          <w:rFonts w:ascii="Arial"/>
          <w:b/>
          <w:color w:val="080808"/>
          <w:spacing w:val="-2"/>
          <w:sz w:val="24"/>
        </w:rPr>
        <w:t>AUSTRALIA'S</w:t>
      </w:r>
      <w:r>
        <w:rPr>
          <w:rFonts w:ascii="Arial"/>
          <w:b/>
          <w:color w:val="080808"/>
          <w:spacing w:val="14"/>
          <w:sz w:val="24"/>
        </w:rPr>
        <w:t xml:space="preserve"> </w:t>
      </w:r>
      <w:r>
        <w:rPr>
          <w:rFonts w:ascii="Arial"/>
          <w:b/>
          <w:color w:val="080808"/>
          <w:spacing w:val="-2"/>
          <w:sz w:val="24"/>
        </w:rPr>
        <w:t>CLAIMS CONCERNING</w:t>
      </w:r>
      <w:r>
        <w:rPr>
          <w:rFonts w:ascii="Arial"/>
          <w:b/>
          <w:color w:val="080808"/>
          <w:spacing w:val="10"/>
          <w:sz w:val="24"/>
        </w:rPr>
        <w:t xml:space="preserve"> </w:t>
      </w:r>
      <w:r>
        <w:rPr>
          <w:rFonts w:ascii="Arial"/>
          <w:b/>
          <w:color w:val="080808"/>
          <w:spacing w:val="-2"/>
          <w:sz w:val="24"/>
        </w:rPr>
        <w:t>THE</w:t>
      </w:r>
      <w:r>
        <w:rPr>
          <w:rFonts w:ascii="Arial"/>
          <w:b/>
          <w:color w:val="080808"/>
          <w:spacing w:val="-3"/>
          <w:sz w:val="24"/>
        </w:rPr>
        <w:t xml:space="preserve"> </w:t>
      </w:r>
      <w:r>
        <w:rPr>
          <w:rFonts w:ascii="Arial"/>
          <w:b/>
          <w:color w:val="080808"/>
          <w:spacing w:val="-2"/>
          <w:sz w:val="24"/>
        </w:rPr>
        <w:t>DETERMINATION</w:t>
      </w:r>
      <w:r>
        <w:rPr>
          <w:rFonts w:ascii="Arial"/>
          <w:b/>
          <w:color w:val="080808"/>
          <w:spacing w:val="28"/>
          <w:sz w:val="24"/>
        </w:rPr>
        <w:t xml:space="preserve"> </w:t>
      </w:r>
      <w:r>
        <w:rPr>
          <w:rFonts w:ascii="Arial"/>
          <w:b/>
          <w:color w:val="080808"/>
          <w:spacing w:val="-2"/>
          <w:sz w:val="24"/>
        </w:rPr>
        <w:t>OF</w:t>
      </w:r>
      <w:r>
        <w:rPr>
          <w:rFonts w:ascii="Arial"/>
          <w:b/>
          <w:color w:val="080808"/>
          <w:spacing w:val="-4"/>
          <w:sz w:val="24"/>
        </w:rPr>
        <w:t xml:space="preserve"> </w:t>
      </w:r>
      <w:r>
        <w:rPr>
          <w:rFonts w:ascii="Arial"/>
          <w:b/>
          <w:color w:val="080808"/>
          <w:spacing w:val="-2"/>
          <w:sz w:val="24"/>
        </w:rPr>
        <w:t xml:space="preserve">INJURY </w:t>
      </w:r>
      <w:r>
        <w:rPr>
          <w:rFonts w:ascii="Arial"/>
          <w:b/>
          <w:color w:val="080808"/>
          <w:sz w:val="24"/>
        </w:rPr>
        <w:t>AND CAUSATION</w:t>
      </w:r>
    </w:p>
    <w:p w14:paraId="51DE8D2A" w14:textId="77777777" w:rsidR="0010369C" w:rsidRDefault="008E43AE">
      <w:pPr>
        <w:pStyle w:val="ListParagraph"/>
        <w:numPr>
          <w:ilvl w:val="1"/>
          <w:numId w:val="75"/>
        </w:numPr>
        <w:tabs>
          <w:tab w:val="left" w:pos="1950"/>
        </w:tabs>
        <w:spacing w:before="161" w:line="436" w:lineRule="auto"/>
        <w:ind w:left="1950" w:right="578" w:hanging="853"/>
        <w:jc w:val="both"/>
        <w:rPr>
          <w:rFonts w:ascii="Arial"/>
          <w:b/>
          <w:color w:val="080808"/>
          <w:sz w:val="24"/>
        </w:rPr>
      </w:pPr>
      <w:r>
        <w:rPr>
          <w:rFonts w:ascii="Arial"/>
          <w:b/>
          <w:color w:val="080808"/>
          <w:w w:val="95"/>
          <w:sz w:val="24"/>
        </w:rPr>
        <w:t xml:space="preserve">CHINA HAS BREACHED ARTICLES </w:t>
      </w:r>
      <w:r>
        <w:rPr>
          <w:rFonts w:ascii="Arial"/>
          <w:b/>
          <w:color w:val="080808"/>
          <w:sz w:val="24"/>
        </w:rPr>
        <w:t xml:space="preserve">3.1, 3.2, 3.4 </w:t>
      </w:r>
      <w:r>
        <w:rPr>
          <w:rFonts w:ascii="Arial"/>
          <w:b/>
          <w:color w:val="080808"/>
          <w:w w:val="95"/>
          <w:sz w:val="24"/>
        </w:rPr>
        <w:t xml:space="preserve">AND </w:t>
      </w:r>
      <w:r>
        <w:rPr>
          <w:rFonts w:ascii="Arial"/>
          <w:b/>
          <w:color w:val="080808"/>
          <w:sz w:val="24"/>
        </w:rPr>
        <w:t xml:space="preserve">3.5 </w:t>
      </w:r>
      <w:r>
        <w:rPr>
          <w:rFonts w:ascii="Arial"/>
          <w:b/>
          <w:color w:val="080808"/>
          <w:sz w:val="18"/>
        </w:rPr>
        <w:t xml:space="preserve">OF </w:t>
      </w:r>
      <w:r>
        <w:rPr>
          <w:rFonts w:ascii="Arial"/>
          <w:b/>
          <w:color w:val="080808"/>
          <w:w w:val="95"/>
          <w:sz w:val="24"/>
        </w:rPr>
        <w:t xml:space="preserve">THE </w:t>
      </w:r>
      <w:r>
        <w:rPr>
          <w:rFonts w:ascii="Arial"/>
          <w:b/>
          <w:color w:val="080808"/>
          <w:w w:val="85"/>
          <w:sz w:val="24"/>
        </w:rPr>
        <w:t>ANTI-DUMPING AGREEMENT</w:t>
      </w:r>
    </w:p>
    <w:p w14:paraId="51DE8D2B" w14:textId="77777777" w:rsidR="0010369C" w:rsidRDefault="008E43AE">
      <w:pPr>
        <w:spacing w:before="167" w:line="439" w:lineRule="auto"/>
        <w:ind w:left="231" w:right="562" w:firstLine="4"/>
        <w:jc w:val="both"/>
        <w:rPr>
          <w:rFonts w:ascii="Arial"/>
          <w:sz w:val="21"/>
        </w:rPr>
      </w:pPr>
      <w:r>
        <w:rPr>
          <w:rFonts w:ascii="Arial"/>
          <w:color w:val="1C1C1C"/>
          <w:w w:val="110"/>
          <w:sz w:val="21"/>
        </w:rPr>
        <w:t>544.</w:t>
      </w:r>
      <w:r>
        <w:rPr>
          <w:rFonts w:ascii="Arial"/>
          <w:color w:val="1C1C1C"/>
          <w:spacing w:val="80"/>
          <w:w w:val="110"/>
          <w:sz w:val="21"/>
        </w:rPr>
        <w:t xml:space="preserve"> </w:t>
      </w:r>
      <w:r>
        <w:rPr>
          <w:rFonts w:ascii="Arial"/>
          <w:color w:val="080808"/>
          <w:w w:val="110"/>
          <w:sz w:val="21"/>
        </w:rPr>
        <w:t xml:space="preserve">MOFCOM's </w:t>
      </w:r>
      <w:r>
        <w:rPr>
          <w:rFonts w:ascii="Arial"/>
          <w:color w:val="1C1C1C"/>
          <w:w w:val="110"/>
          <w:sz w:val="21"/>
        </w:rPr>
        <w:t xml:space="preserve">determination that allegedly </w:t>
      </w:r>
      <w:r>
        <w:rPr>
          <w:rFonts w:ascii="Arial"/>
          <w:color w:val="080808"/>
          <w:w w:val="110"/>
          <w:sz w:val="21"/>
        </w:rPr>
        <w:t xml:space="preserve">dumped </w:t>
      </w:r>
      <w:r>
        <w:rPr>
          <w:rFonts w:ascii="Arial"/>
          <w:color w:val="1C1C1C"/>
          <w:w w:val="110"/>
          <w:sz w:val="21"/>
        </w:rPr>
        <w:t xml:space="preserve">subject imports were causing </w:t>
      </w:r>
      <w:r>
        <w:rPr>
          <w:rFonts w:ascii="Arial"/>
          <w:color w:val="080808"/>
          <w:w w:val="110"/>
          <w:sz w:val="21"/>
        </w:rPr>
        <w:t>material</w:t>
      </w:r>
      <w:r>
        <w:rPr>
          <w:rFonts w:ascii="Arial"/>
          <w:color w:val="080808"/>
          <w:spacing w:val="-3"/>
          <w:w w:val="110"/>
          <w:sz w:val="21"/>
        </w:rPr>
        <w:t xml:space="preserve"> </w:t>
      </w:r>
      <w:r>
        <w:rPr>
          <w:rFonts w:ascii="Arial"/>
          <w:color w:val="1C1C1C"/>
          <w:w w:val="110"/>
          <w:sz w:val="21"/>
        </w:rPr>
        <w:t>injury</w:t>
      </w:r>
      <w:r>
        <w:rPr>
          <w:rFonts w:ascii="Arial"/>
          <w:color w:val="1C1C1C"/>
          <w:spacing w:val="-5"/>
          <w:w w:val="110"/>
          <w:sz w:val="21"/>
        </w:rPr>
        <w:t xml:space="preserve"> </w:t>
      </w:r>
      <w:r>
        <w:rPr>
          <w:rFonts w:ascii="Arial"/>
          <w:color w:val="080808"/>
          <w:w w:val="110"/>
          <w:sz w:val="21"/>
        </w:rPr>
        <w:t xml:space="preserve">to </w:t>
      </w:r>
      <w:r>
        <w:rPr>
          <w:rFonts w:ascii="Arial"/>
          <w:color w:val="1C1C1C"/>
          <w:w w:val="110"/>
          <w:sz w:val="21"/>
        </w:rPr>
        <w:t>the</w:t>
      </w:r>
      <w:r>
        <w:rPr>
          <w:rFonts w:ascii="Arial"/>
          <w:color w:val="1C1C1C"/>
          <w:spacing w:val="-2"/>
          <w:w w:val="110"/>
          <w:sz w:val="21"/>
        </w:rPr>
        <w:t xml:space="preserve"> </w:t>
      </w:r>
      <w:r>
        <w:rPr>
          <w:rFonts w:ascii="Arial"/>
          <w:color w:val="080808"/>
          <w:w w:val="110"/>
          <w:sz w:val="21"/>
        </w:rPr>
        <w:t xml:space="preserve">domestic </w:t>
      </w:r>
      <w:r>
        <w:rPr>
          <w:rFonts w:ascii="Arial"/>
          <w:color w:val="1C1C1C"/>
          <w:w w:val="110"/>
          <w:sz w:val="21"/>
        </w:rPr>
        <w:t>industry</w:t>
      </w:r>
      <w:r>
        <w:rPr>
          <w:rFonts w:ascii="Arial"/>
          <w:color w:val="1C1C1C"/>
          <w:spacing w:val="-1"/>
          <w:w w:val="110"/>
          <w:sz w:val="21"/>
        </w:rPr>
        <w:t xml:space="preserve"> </w:t>
      </w:r>
      <w:r>
        <w:rPr>
          <w:rFonts w:ascii="Arial"/>
          <w:color w:val="1C1C1C"/>
          <w:w w:val="110"/>
          <w:sz w:val="21"/>
        </w:rPr>
        <w:t>in China was</w:t>
      </w:r>
      <w:r>
        <w:rPr>
          <w:rFonts w:ascii="Arial"/>
          <w:color w:val="1C1C1C"/>
          <w:spacing w:val="-3"/>
          <w:w w:val="110"/>
          <w:sz w:val="21"/>
        </w:rPr>
        <w:t xml:space="preserve"> </w:t>
      </w:r>
      <w:r>
        <w:rPr>
          <w:rFonts w:ascii="Arial"/>
          <w:color w:val="080808"/>
          <w:w w:val="110"/>
          <w:sz w:val="21"/>
        </w:rPr>
        <w:t xml:space="preserve">inconsistent </w:t>
      </w:r>
      <w:r>
        <w:rPr>
          <w:rFonts w:ascii="Arial"/>
          <w:color w:val="1C1C1C"/>
          <w:w w:val="110"/>
          <w:sz w:val="21"/>
        </w:rPr>
        <w:t>with</w:t>
      </w:r>
      <w:r>
        <w:rPr>
          <w:rFonts w:ascii="Arial"/>
          <w:color w:val="1C1C1C"/>
          <w:spacing w:val="-8"/>
          <w:w w:val="110"/>
          <w:sz w:val="21"/>
        </w:rPr>
        <w:t xml:space="preserve"> </w:t>
      </w:r>
      <w:r>
        <w:rPr>
          <w:rFonts w:ascii="Arial"/>
          <w:color w:val="1C1C1C"/>
          <w:w w:val="110"/>
          <w:sz w:val="21"/>
        </w:rPr>
        <w:t>China's</w:t>
      </w:r>
      <w:r>
        <w:rPr>
          <w:rFonts w:ascii="Arial"/>
          <w:color w:val="1C1C1C"/>
          <w:spacing w:val="-2"/>
          <w:w w:val="110"/>
          <w:sz w:val="21"/>
        </w:rPr>
        <w:t xml:space="preserve"> </w:t>
      </w:r>
      <w:r>
        <w:rPr>
          <w:rFonts w:ascii="Arial"/>
          <w:color w:val="1C1C1C"/>
          <w:w w:val="110"/>
          <w:sz w:val="21"/>
        </w:rPr>
        <w:t xml:space="preserve">obligations </w:t>
      </w:r>
      <w:r>
        <w:rPr>
          <w:rFonts w:ascii="Arial"/>
          <w:color w:val="080808"/>
          <w:w w:val="110"/>
          <w:sz w:val="21"/>
        </w:rPr>
        <w:t>under</w:t>
      </w:r>
      <w:r>
        <w:rPr>
          <w:rFonts w:ascii="Arial"/>
          <w:color w:val="080808"/>
          <w:spacing w:val="-17"/>
          <w:w w:val="110"/>
          <w:sz w:val="21"/>
        </w:rPr>
        <w:t xml:space="preserve"> </w:t>
      </w:r>
      <w:r>
        <w:rPr>
          <w:rFonts w:ascii="Arial"/>
          <w:color w:val="080808"/>
          <w:w w:val="110"/>
          <w:sz w:val="21"/>
        </w:rPr>
        <w:t>the</w:t>
      </w:r>
      <w:r>
        <w:rPr>
          <w:rFonts w:ascii="Arial"/>
          <w:color w:val="080808"/>
          <w:spacing w:val="-16"/>
          <w:w w:val="110"/>
          <w:sz w:val="21"/>
        </w:rPr>
        <w:t xml:space="preserve"> </w:t>
      </w:r>
      <w:r>
        <w:rPr>
          <w:rFonts w:ascii="Arial"/>
          <w:color w:val="1C1C1C"/>
          <w:w w:val="110"/>
          <w:sz w:val="21"/>
        </w:rPr>
        <w:t>provisions</w:t>
      </w:r>
      <w:r>
        <w:rPr>
          <w:rFonts w:ascii="Arial"/>
          <w:color w:val="1C1C1C"/>
          <w:spacing w:val="-16"/>
          <w:w w:val="110"/>
          <w:sz w:val="21"/>
        </w:rPr>
        <w:t xml:space="preserve"> </w:t>
      </w:r>
      <w:r>
        <w:rPr>
          <w:rFonts w:ascii="Arial"/>
          <w:color w:val="1C1C1C"/>
          <w:w w:val="110"/>
          <w:sz w:val="21"/>
        </w:rPr>
        <w:t>of</w:t>
      </w:r>
      <w:r>
        <w:rPr>
          <w:rFonts w:ascii="Arial"/>
          <w:color w:val="1C1C1C"/>
          <w:spacing w:val="-16"/>
          <w:w w:val="110"/>
          <w:sz w:val="21"/>
        </w:rPr>
        <w:t xml:space="preserve"> </w:t>
      </w:r>
      <w:r>
        <w:rPr>
          <w:rFonts w:ascii="Arial"/>
          <w:color w:val="1C1C1C"/>
          <w:w w:val="110"/>
          <w:sz w:val="21"/>
        </w:rPr>
        <w:t>Article</w:t>
      </w:r>
      <w:r>
        <w:rPr>
          <w:rFonts w:ascii="Arial"/>
          <w:color w:val="1C1C1C"/>
          <w:spacing w:val="-16"/>
          <w:w w:val="110"/>
          <w:sz w:val="21"/>
        </w:rPr>
        <w:t xml:space="preserve"> </w:t>
      </w:r>
      <w:r>
        <w:rPr>
          <w:rFonts w:ascii="Arial"/>
          <w:color w:val="1C1C1C"/>
          <w:w w:val="110"/>
          <w:sz w:val="21"/>
        </w:rPr>
        <w:t>3</w:t>
      </w:r>
      <w:r>
        <w:rPr>
          <w:rFonts w:ascii="Arial"/>
          <w:color w:val="1C1C1C"/>
          <w:spacing w:val="-21"/>
          <w:w w:val="110"/>
          <w:sz w:val="21"/>
        </w:rPr>
        <w:t xml:space="preserve"> </w:t>
      </w:r>
      <w:r>
        <w:rPr>
          <w:rFonts w:ascii="Arial"/>
          <w:color w:val="1C1C1C"/>
          <w:w w:val="110"/>
          <w:sz w:val="21"/>
        </w:rPr>
        <w:t>of</w:t>
      </w:r>
      <w:r>
        <w:rPr>
          <w:rFonts w:ascii="Arial"/>
          <w:color w:val="1C1C1C"/>
          <w:spacing w:val="-16"/>
          <w:w w:val="110"/>
          <w:sz w:val="21"/>
        </w:rPr>
        <w:t xml:space="preserve"> </w:t>
      </w:r>
      <w:r>
        <w:rPr>
          <w:rFonts w:ascii="Arial"/>
          <w:color w:val="080808"/>
          <w:w w:val="110"/>
          <w:sz w:val="21"/>
        </w:rPr>
        <w:t>the</w:t>
      </w:r>
      <w:r>
        <w:rPr>
          <w:rFonts w:ascii="Arial"/>
          <w:color w:val="080808"/>
          <w:spacing w:val="-16"/>
          <w:w w:val="110"/>
          <w:sz w:val="21"/>
        </w:rPr>
        <w:t xml:space="preserve"> </w:t>
      </w:r>
      <w:r>
        <w:rPr>
          <w:rFonts w:ascii="Arial"/>
          <w:color w:val="1C1C1C"/>
          <w:w w:val="110"/>
          <w:sz w:val="21"/>
        </w:rPr>
        <w:t>Anti-Dumping</w:t>
      </w:r>
      <w:r>
        <w:rPr>
          <w:rFonts w:ascii="Arial"/>
          <w:color w:val="1C1C1C"/>
          <w:spacing w:val="-16"/>
          <w:w w:val="110"/>
          <w:sz w:val="21"/>
        </w:rPr>
        <w:t xml:space="preserve"> </w:t>
      </w:r>
      <w:r>
        <w:rPr>
          <w:rFonts w:ascii="Arial"/>
          <w:color w:val="1C1C1C"/>
          <w:w w:val="110"/>
          <w:sz w:val="21"/>
        </w:rPr>
        <w:t>Agreement.</w:t>
      </w:r>
      <w:r>
        <w:rPr>
          <w:rFonts w:ascii="Arial"/>
          <w:color w:val="1C1C1C"/>
          <w:spacing w:val="-19"/>
          <w:w w:val="110"/>
          <w:sz w:val="21"/>
        </w:rPr>
        <w:t xml:space="preserve"> </w:t>
      </w:r>
      <w:r>
        <w:rPr>
          <w:rFonts w:ascii="Arial"/>
          <w:color w:val="080808"/>
          <w:w w:val="110"/>
          <w:sz w:val="21"/>
        </w:rPr>
        <w:t>This</w:t>
      </w:r>
      <w:r>
        <w:rPr>
          <w:rFonts w:ascii="Arial"/>
          <w:color w:val="080808"/>
          <w:spacing w:val="-17"/>
          <w:w w:val="110"/>
          <w:sz w:val="21"/>
        </w:rPr>
        <w:t xml:space="preserve"> </w:t>
      </w:r>
      <w:r>
        <w:rPr>
          <w:rFonts w:ascii="Arial"/>
          <w:color w:val="1C1C1C"/>
          <w:w w:val="110"/>
          <w:sz w:val="21"/>
        </w:rPr>
        <w:t>is</w:t>
      </w:r>
      <w:r>
        <w:rPr>
          <w:rFonts w:ascii="Arial"/>
          <w:color w:val="1C1C1C"/>
          <w:spacing w:val="-25"/>
          <w:w w:val="110"/>
          <w:sz w:val="21"/>
        </w:rPr>
        <w:t xml:space="preserve"> </w:t>
      </w:r>
      <w:r>
        <w:rPr>
          <w:rFonts w:ascii="Arial"/>
          <w:color w:val="1C1C1C"/>
          <w:w w:val="110"/>
          <w:sz w:val="21"/>
        </w:rPr>
        <w:t>because:</w:t>
      </w:r>
    </w:p>
    <w:p w14:paraId="51DE8D2C" w14:textId="77777777" w:rsidR="0010369C" w:rsidRDefault="008E43AE">
      <w:pPr>
        <w:pStyle w:val="ListParagraph"/>
        <w:numPr>
          <w:ilvl w:val="0"/>
          <w:numId w:val="7"/>
        </w:numPr>
        <w:tabs>
          <w:tab w:val="left" w:pos="1944"/>
          <w:tab w:val="left" w:pos="1945"/>
        </w:tabs>
        <w:spacing w:before="178" w:line="434" w:lineRule="auto"/>
        <w:ind w:right="579" w:hanging="857"/>
        <w:rPr>
          <w:rFonts w:ascii="Arial" w:hAnsi="Arial"/>
          <w:sz w:val="21"/>
        </w:rPr>
      </w:pPr>
      <w:r>
        <w:rPr>
          <w:rFonts w:ascii="Arial" w:hAnsi="Arial"/>
          <w:color w:val="080808"/>
          <w:w w:val="110"/>
          <w:sz w:val="21"/>
        </w:rPr>
        <w:t>MOFCOM's</w:t>
      </w:r>
      <w:r>
        <w:rPr>
          <w:rFonts w:ascii="Arial" w:hAnsi="Arial"/>
          <w:color w:val="080808"/>
          <w:spacing w:val="-17"/>
          <w:w w:val="110"/>
          <w:sz w:val="21"/>
        </w:rPr>
        <w:t xml:space="preserve"> </w:t>
      </w:r>
      <w:r>
        <w:rPr>
          <w:rFonts w:ascii="Arial" w:hAnsi="Arial"/>
          <w:color w:val="1C1C1C"/>
          <w:w w:val="110"/>
          <w:sz w:val="21"/>
        </w:rPr>
        <w:t>examination</w:t>
      </w:r>
      <w:r>
        <w:rPr>
          <w:rFonts w:ascii="Arial" w:hAnsi="Arial"/>
          <w:color w:val="1C1C1C"/>
          <w:spacing w:val="-16"/>
          <w:w w:val="110"/>
          <w:sz w:val="21"/>
        </w:rPr>
        <w:t xml:space="preserve"> </w:t>
      </w:r>
      <w:r>
        <w:rPr>
          <w:rFonts w:ascii="Arial" w:hAnsi="Arial"/>
          <w:color w:val="1C1C1C"/>
          <w:w w:val="110"/>
          <w:sz w:val="21"/>
        </w:rPr>
        <w:t>of</w:t>
      </w:r>
      <w:r>
        <w:rPr>
          <w:rFonts w:ascii="Arial" w:hAnsi="Arial"/>
          <w:color w:val="1C1C1C"/>
          <w:spacing w:val="-16"/>
          <w:w w:val="110"/>
          <w:sz w:val="21"/>
        </w:rPr>
        <w:t xml:space="preserve"> </w:t>
      </w:r>
      <w:r>
        <w:rPr>
          <w:rFonts w:ascii="Arial" w:hAnsi="Arial"/>
          <w:color w:val="1C1C1C"/>
          <w:w w:val="110"/>
          <w:sz w:val="21"/>
        </w:rPr>
        <w:t>the</w:t>
      </w:r>
      <w:r>
        <w:rPr>
          <w:rFonts w:ascii="Arial" w:hAnsi="Arial"/>
          <w:color w:val="1C1C1C"/>
          <w:spacing w:val="-16"/>
          <w:w w:val="110"/>
          <w:sz w:val="21"/>
        </w:rPr>
        <w:t xml:space="preserve"> </w:t>
      </w:r>
      <w:r>
        <w:rPr>
          <w:rFonts w:ascii="Arial" w:hAnsi="Arial"/>
          <w:color w:val="1C1C1C"/>
          <w:w w:val="110"/>
          <w:sz w:val="21"/>
        </w:rPr>
        <w:t>effect</w:t>
      </w:r>
      <w:r>
        <w:rPr>
          <w:rFonts w:ascii="Arial" w:hAnsi="Arial"/>
          <w:color w:val="1C1C1C"/>
          <w:spacing w:val="-16"/>
          <w:w w:val="110"/>
          <w:sz w:val="21"/>
        </w:rPr>
        <w:t xml:space="preserve"> </w:t>
      </w:r>
      <w:r>
        <w:rPr>
          <w:rFonts w:ascii="Arial" w:hAnsi="Arial"/>
          <w:color w:val="1C1C1C"/>
          <w:w w:val="110"/>
          <w:sz w:val="21"/>
        </w:rPr>
        <w:t>that</w:t>
      </w:r>
      <w:r>
        <w:rPr>
          <w:rFonts w:ascii="Arial" w:hAnsi="Arial"/>
          <w:color w:val="1C1C1C"/>
          <w:spacing w:val="-16"/>
          <w:w w:val="110"/>
          <w:sz w:val="21"/>
        </w:rPr>
        <w:t xml:space="preserve"> </w:t>
      </w:r>
      <w:r>
        <w:rPr>
          <w:rFonts w:ascii="Arial" w:hAnsi="Arial"/>
          <w:color w:val="1C1C1C"/>
          <w:w w:val="110"/>
          <w:sz w:val="21"/>
        </w:rPr>
        <w:t>subject</w:t>
      </w:r>
      <w:r>
        <w:rPr>
          <w:rFonts w:ascii="Arial" w:hAnsi="Arial"/>
          <w:color w:val="1C1C1C"/>
          <w:spacing w:val="-16"/>
          <w:w w:val="110"/>
          <w:sz w:val="21"/>
        </w:rPr>
        <w:t xml:space="preserve"> </w:t>
      </w:r>
      <w:r>
        <w:rPr>
          <w:rFonts w:ascii="Arial" w:hAnsi="Arial"/>
          <w:color w:val="1C1C1C"/>
          <w:w w:val="110"/>
          <w:sz w:val="21"/>
        </w:rPr>
        <w:t>imports</w:t>
      </w:r>
      <w:r>
        <w:rPr>
          <w:rFonts w:ascii="Arial" w:hAnsi="Arial"/>
          <w:color w:val="1C1C1C"/>
          <w:spacing w:val="-16"/>
          <w:w w:val="110"/>
          <w:sz w:val="21"/>
        </w:rPr>
        <w:t xml:space="preserve"> </w:t>
      </w:r>
      <w:r>
        <w:rPr>
          <w:rFonts w:ascii="Arial" w:hAnsi="Arial"/>
          <w:color w:val="080808"/>
          <w:w w:val="110"/>
          <w:sz w:val="21"/>
        </w:rPr>
        <w:t>had</w:t>
      </w:r>
      <w:r>
        <w:rPr>
          <w:rFonts w:ascii="Arial" w:hAnsi="Arial"/>
          <w:color w:val="080808"/>
          <w:spacing w:val="-16"/>
          <w:w w:val="110"/>
          <w:sz w:val="21"/>
        </w:rPr>
        <w:t xml:space="preserve"> </w:t>
      </w:r>
      <w:r>
        <w:rPr>
          <w:rFonts w:ascii="Arial" w:hAnsi="Arial"/>
          <w:color w:val="1C1C1C"/>
          <w:w w:val="110"/>
          <w:sz w:val="21"/>
        </w:rPr>
        <w:t>on</w:t>
      </w:r>
      <w:r>
        <w:rPr>
          <w:rFonts w:ascii="Arial" w:hAnsi="Arial"/>
          <w:color w:val="1C1C1C"/>
          <w:spacing w:val="-16"/>
          <w:w w:val="110"/>
          <w:sz w:val="21"/>
        </w:rPr>
        <w:t xml:space="preserve"> </w:t>
      </w:r>
      <w:r>
        <w:rPr>
          <w:rFonts w:ascii="Arial" w:hAnsi="Arial"/>
          <w:color w:val="1C1C1C"/>
          <w:w w:val="110"/>
          <w:sz w:val="21"/>
        </w:rPr>
        <w:t>prices</w:t>
      </w:r>
      <w:r>
        <w:rPr>
          <w:rFonts w:ascii="Arial" w:hAnsi="Arial"/>
          <w:color w:val="1C1C1C"/>
          <w:spacing w:val="-16"/>
          <w:w w:val="110"/>
          <w:sz w:val="21"/>
        </w:rPr>
        <w:t xml:space="preserve"> </w:t>
      </w:r>
      <w:r>
        <w:rPr>
          <w:rFonts w:ascii="Arial" w:hAnsi="Arial"/>
          <w:color w:val="080808"/>
          <w:w w:val="110"/>
          <w:sz w:val="21"/>
        </w:rPr>
        <w:t xml:space="preserve">in </w:t>
      </w:r>
      <w:r>
        <w:rPr>
          <w:rFonts w:ascii="Arial" w:hAnsi="Arial"/>
          <w:color w:val="1C1C1C"/>
          <w:w w:val="110"/>
          <w:sz w:val="21"/>
        </w:rPr>
        <w:t xml:space="preserve">the Chinese domestic </w:t>
      </w:r>
      <w:r>
        <w:rPr>
          <w:rFonts w:ascii="Arial" w:hAnsi="Arial"/>
          <w:color w:val="080808"/>
          <w:w w:val="110"/>
          <w:sz w:val="21"/>
        </w:rPr>
        <w:t xml:space="preserve">market </w:t>
      </w:r>
      <w:r>
        <w:rPr>
          <w:rFonts w:ascii="Arial" w:hAnsi="Arial"/>
          <w:color w:val="1C1C1C"/>
          <w:w w:val="110"/>
          <w:sz w:val="21"/>
        </w:rPr>
        <w:t xml:space="preserve">was inconsistent with China's obligations </w:t>
      </w:r>
      <w:r>
        <w:rPr>
          <w:rFonts w:ascii="Arial" w:hAnsi="Arial"/>
          <w:color w:val="080808"/>
          <w:w w:val="110"/>
          <w:sz w:val="21"/>
        </w:rPr>
        <w:t>under</w:t>
      </w:r>
      <w:r>
        <w:rPr>
          <w:rFonts w:ascii="Arial" w:hAnsi="Arial"/>
          <w:color w:val="080808"/>
          <w:spacing w:val="-17"/>
          <w:w w:val="110"/>
          <w:sz w:val="21"/>
        </w:rPr>
        <w:t xml:space="preserve"> </w:t>
      </w:r>
      <w:r>
        <w:rPr>
          <w:rFonts w:ascii="Arial" w:hAnsi="Arial"/>
          <w:color w:val="1C1C1C"/>
          <w:w w:val="110"/>
          <w:sz w:val="21"/>
        </w:rPr>
        <w:t>Article</w:t>
      </w:r>
      <w:r>
        <w:rPr>
          <w:rFonts w:ascii="Arial" w:hAnsi="Arial"/>
          <w:color w:val="1C1C1C"/>
          <w:spacing w:val="-16"/>
          <w:w w:val="110"/>
          <w:sz w:val="21"/>
        </w:rPr>
        <w:t xml:space="preserve"> </w:t>
      </w:r>
      <w:r>
        <w:rPr>
          <w:rFonts w:ascii="Arial" w:hAnsi="Arial"/>
          <w:color w:val="1C1C1C"/>
          <w:w w:val="110"/>
          <w:sz w:val="21"/>
        </w:rPr>
        <w:t>3.1</w:t>
      </w:r>
      <w:r>
        <w:rPr>
          <w:rFonts w:ascii="Arial" w:hAnsi="Arial"/>
          <w:color w:val="1C1C1C"/>
          <w:spacing w:val="-16"/>
          <w:w w:val="110"/>
          <w:sz w:val="21"/>
        </w:rPr>
        <w:t xml:space="preserve"> </w:t>
      </w:r>
      <w:r>
        <w:rPr>
          <w:rFonts w:ascii="Arial" w:hAnsi="Arial"/>
          <w:color w:val="1C1C1C"/>
          <w:w w:val="110"/>
          <w:sz w:val="21"/>
        </w:rPr>
        <w:t>and</w:t>
      </w:r>
      <w:r>
        <w:rPr>
          <w:rFonts w:ascii="Arial" w:hAnsi="Arial"/>
          <w:color w:val="1C1C1C"/>
          <w:spacing w:val="-16"/>
          <w:w w:val="110"/>
          <w:sz w:val="21"/>
        </w:rPr>
        <w:t xml:space="preserve"> </w:t>
      </w:r>
      <w:r>
        <w:rPr>
          <w:rFonts w:ascii="Arial" w:hAnsi="Arial"/>
          <w:color w:val="1C1C1C"/>
          <w:w w:val="110"/>
          <w:sz w:val="21"/>
        </w:rPr>
        <w:t>3.2</w:t>
      </w:r>
      <w:r>
        <w:rPr>
          <w:rFonts w:ascii="Arial" w:hAnsi="Arial"/>
          <w:color w:val="1C1C1C"/>
          <w:spacing w:val="-16"/>
          <w:w w:val="110"/>
          <w:sz w:val="21"/>
        </w:rPr>
        <w:t xml:space="preserve"> </w:t>
      </w:r>
      <w:r>
        <w:rPr>
          <w:rFonts w:ascii="Arial" w:hAnsi="Arial"/>
          <w:color w:val="080808"/>
          <w:w w:val="110"/>
          <w:sz w:val="21"/>
        </w:rPr>
        <w:t>because</w:t>
      </w:r>
      <w:r>
        <w:rPr>
          <w:rFonts w:ascii="Arial" w:hAnsi="Arial"/>
          <w:color w:val="080808"/>
          <w:spacing w:val="-16"/>
          <w:w w:val="110"/>
          <w:sz w:val="21"/>
        </w:rPr>
        <w:t xml:space="preserve"> </w:t>
      </w:r>
      <w:r>
        <w:rPr>
          <w:rFonts w:ascii="Arial" w:hAnsi="Arial"/>
          <w:color w:val="080808"/>
          <w:w w:val="110"/>
          <w:sz w:val="21"/>
        </w:rPr>
        <w:t>MOFCOM:</w:t>
      </w:r>
      <w:r>
        <w:rPr>
          <w:rFonts w:ascii="Arial" w:hAnsi="Arial"/>
          <w:color w:val="080808"/>
          <w:spacing w:val="-16"/>
          <w:w w:val="110"/>
          <w:sz w:val="21"/>
        </w:rPr>
        <w:t xml:space="preserve"> </w:t>
      </w:r>
      <w:r>
        <w:rPr>
          <w:rFonts w:ascii="Arial" w:hAnsi="Arial"/>
          <w:color w:val="1C1C1C"/>
          <w:w w:val="110"/>
          <w:sz w:val="21"/>
        </w:rPr>
        <w:t>did</w:t>
      </w:r>
      <w:r>
        <w:rPr>
          <w:rFonts w:ascii="Arial" w:hAnsi="Arial"/>
          <w:color w:val="1C1C1C"/>
          <w:spacing w:val="-16"/>
          <w:w w:val="110"/>
          <w:sz w:val="21"/>
        </w:rPr>
        <w:t xml:space="preserve"> </w:t>
      </w:r>
      <w:r>
        <w:rPr>
          <w:rFonts w:ascii="Arial" w:hAnsi="Arial"/>
          <w:color w:val="080808"/>
          <w:w w:val="110"/>
          <w:sz w:val="21"/>
        </w:rPr>
        <w:t>not</w:t>
      </w:r>
      <w:r>
        <w:rPr>
          <w:rFonts w:ascii="Arial" w:hAnsi="Arial"/>
          <w:color w:val="080808"/>
          <w:spacing w:val="-16"/>
          <w:w w:val="110"/>
          <w:sz w:val="21"/>
        </w:rPr>
        <w:t xml:space="preserve"> </w:t>
      </w:r>
      <w:r>
        <w:rPr>
          <w:rFonts w:ascii="Arial" w:hAnsi="Arial"/>
          <w:color w:val="1C1C1C"/>
          <w:w w:val="110"/>
          <w:sz w:val="21"/>
        </w:rPr>
        <w:t>conduct</w:t>
      </w:r>
      <w:r>
        <w:rPr>
          <w:rFonts w:ascii="Arial" w:hAnsi="Arial"/>
          <w:color w:val="1C1C1C"/>
          <w:spacing w:val="-16"/>
          <w:w w:val="110"/>
          <w:sz w:val="21"/>
        </w:rPr>
        <w:t xml:space="preserve"> </w:t>
      </w:r>
      <w:r>
        <w:rPr>
          <w:rFonts w:ascii="Arial" w:hAnsi="Arial"/>
          <w:color w:val="1C1C1C"/>
          <w:w w:val="110"/>
          <w:sz w:val="21"/>
        </w:rPr>
        <w:t>an</w:t>
      </w:r>
      <w:r>
        <w:rPr>
          <w:rFonts w:ascii="Arial" w:hAnsi="Arial"/>
          <w:color w:val="1C1C1C"/>
          <w:spacing w:val="-16"/>
          <w:w w:val="110"/>
          <w:sz w:val="21"/>
        </w:rPr>
        <w:t xml:space="preserve"> </w:t>
      </w:r>
      <w:r>
        <w:rPr>
          <w:rFonts w:ascii="Arial" w:hAnsi="Arial"/>
          <w:color w:val="1C1C1C"/>
          <w:w w:val="110"/>
          <w:sz w:val="21"/>
        </w:rPr>
        <w:t xml:space="preserve">objective examination of </w:t>
      </w:r>
      <w:r>
        <w:rPr>
          <w:rFonts w:ascii="Arial" w:hAnsi="Arial"/>
          <w:color w:val="080808"/>
          <w:w w:val="110"/>
          <w:sz w:val="21"/>
        </w:rPr>
        <w:t xml:space="preserve">positive </w:t>
      </w:r>
      <w:r>
        <w:rPr>
          <w:rFonts w:ascii="Arial" w:hAnsi="Arial"/>
          <w:color w:val="1C1C1C"/>
          <w:w w:val="110"/>
          <w:sz w:val="21"/>
        </w:rPr>
        <w:t xml:space="preserve">evidence; failed to ensure </w:t>
      </w:r>
      <w:r>
        <w:rPr>
          <w:rFonts w:ascii="Arial" w:hAnsi="Arial"/>
          <w:color w:val="080808"/>
          <w:w w:val="110"/>
          <w:sz w:val="21"/>
        </w:rPr>
        <w:t xml:space="preserve">price </w:t>
      </w:r>
      <w:r>
        <w:rPr>
          <w:rFonts w:ascii="Arial" w:hAnsi="Arial"/>
          <w:color w:val="1C1C1C"/>
          <w:w w:val="110"/>
          <w:sz w:val="21"/>
        </w:rPr>
        <w:t xml:space="preserve">comparability </w:t>
      </w:r>
      <w:r>
        <w:rPr>
          <w:rFonts w:ascii="Arial" w:hAnsi="Arial"/>
          <w:color w:val="080808"/>
          <w:w w:val="110"/>
          <w:sz w:val="21"/>
        </w:rPr>
        <w:t xml:space="preserve">between </w:t>
      </w:r>
      <w:r>
        <w:rPr>
          <w:rFonts w:ascii="Arial" w:hAnsi="Arial"/>
          <w:color w:val="1C1C1C"/>
          <w:w w:val="110"/>
          <w:sz w:val="21"/>
        </w:rPr>
        <w:t xml:space="preserve">subject </w:t>
      </w:r>
      <w:r>
        <w:rPr>
          <w:rFonts w:ascii="Arial" w:hAnsi="Arial"/>
          <w:color w:val="080808"/>
          <w:w w:val="110"/>
          <w:sz w:val="21"/>
        </w:rPr>
        <w:t xml:space="preserve">imports </w:t>
      </w:r>
      <w:r>
        <w:rPr>
          <w:rFonts w:ascii="Arial" w:hAnsi="Arial"/>
          <w:color w:val="1C1C1C"/>
          <w:w w:val="110"/>
          <w:sz w:val="21"/>
        </w:rPr>
        <w:t xml:space="preserve">and domestic like </w:t>
      </w:r>
      <w:r>
        <w:rPr>
          <w:rFonts w:ascii="Arial" w:hAnsi="Arial"/>
          <w:color w:val="080808"/>
          <w:w w:val="110"/>
          <w:sz w:val="21"/>
        </w:rPr>
        <w:t xml:space="preserve">products; </w:t>
      </w:r>
      <w:r>
        <w:rPr>
          <w:rFonts w:ascii="Arial" w:hAnsi="Arial"/>
          <w:color w:val="1C1C1C"/>
          <w:w w:val="110"/>
          <w:sz w:val="21"/>
        </w:rPr>
        <w:t>and failed to</w:t>
      </w:r>
      <w:r>
        <w:rPr>
          <w:rFonts w:ascii="Arial" w:hAnsi="Arial"/>
          <w:color w:val="1C1C1C"/>
          <w:w w:val="110"/>
          <w:sz w:val="21"/>
        </w:rPr>
        <w:t xml:space="preserve"> </w:t>
      </w:r>
      <w:r>
        <w:rPr>
          <w:rFonts w:ascii="Arial" w:hAnsi="Arial"/>
          <w:color w:val="1C1C1C"/>
          <w:spacing w:val="-2"/>
          <w:w w:val="110"/>
          <w:sz w:val="21"/>
        </w:rPr>
        <w:t>adequately</w:t>
      </w:r>
      <w:r>
        <w:rPr>
          <w:rFonts w:ascii="Arial" w:hAnsi="Arial"/>
          <w:color w:val="1C1C1C"/>
          <w:spacing w:val="-15"/>
          <w:w w:val="110"/>
          <w:sz w:val="21"/>
        </w:rPr>
        <w:t xml:space="preserve"> </w:t>
      </w:r>
      <w:r>
        <w:rPr>
          <w:rFonts w:ascii="Arial" w:hAnsi="Arial"/>
          <w:color w:val="1C1C1C"/>
          <w:spacing w:val="-2"/>
          <w:w w:val="110"/>
          <w:sz w:val="21"/>
        </w:rPr>
        <w:t>consider</w:t>
      </w:r>
      <w:r>
        <w:rPr>
          <w:rFonts w:ascii="Arial" w:hAnsi="Arial"/>
          <w:color w:val="1C1C1C"/>
          <w:spacing w:val="-6"/>
          <w:w w:val="110"/>
          <w:sz w:val="21"/>
        </w:rPr>
        <w:t xml:space="preserve"> </w:t>
      </w:r>
      <w:r>
        <w:rPr>
          <w:rFonts w:ascii="Arial" w:hAnsi="Arial"/>
          <w:color w:val="1C1C1C"/>
          <w:spacing w:val="-2"/>
          <w:w w:val="110"/>
          <w:sz w:val="21"/>
        </w:rPr>
        <w:t>whether subject</w:t>
      </w:r>
      <w:r>
        <w:rPr>
          <w:rFonts w:ascii="Arial" w:hAnsi="Arial"/>
          <w:color w:val="1C1C1C"/>
          <w:spacing w:val="-15"/>
          <w:w w:val="110"/>
          <w:sz w:val="21"/>
        </w:rPr>
        <w:t xml:space="preserve"> </w:t>
      </w:r>
      <w:r>
        <w:rPr>
          <w:rFonts w:ascii="Arial" w:hAnsi="Arial"/>
          <w:color w:val="1C1C1C"/>
          <w:spacing w:val="-2"/>
          <w:w w:val="110"/>
          <w:sz w:val="21"/>
        </w:rPr>
        <w:t>imports</w:t>
      </w:r>
      <w:r>
        <w:rPr>
          <w:rFonts w:ascii="Arial" w:hAnsi="Arial"/>
          <w:color w:val="1C1C1C"/>
          <w:spacing w:val="-14"/>
          <w:w w:val="110"/>
          <w:sz w:val="21"/>
        </w:rPr>
        <w:t xml:space="preserve"> </w:t>
      </w:r>
      <w:r>
        <w:rPr>
          <w:rFonts w:ascii="Arial" w:hAnsi="Arial"/>
          <w:color w:val="1C1C1C"/>
          <w:spacing w:val="-2"/>
          <w:w w:val="110"/>
          <w:sz w:val="21"/>
        </w:rPr>
        <w:t>had</w:t>
      </w:r>
      <w:r>
        <w:rPr>
          <w:rFonts w:ascii="Arial" w:hAnsi="Arial"/>
          <w:color w:val="1C1C1C"/>
          <w:spacing w:val="-14"/>
          <w:w w:val="110"/>
          <w:sz w:val="21"/>
        </w:rPr>
        <w:t xml:space="preserve"> </w:t>
      </w:r>
      <w:r>
        <w:rPr>
          <w:rFonts w:ascii="Arial" w:hAnsi="Arial"/>
          <w:color w:val="1C1C1C"/>
          <w:spacing w:val="-2"/>
          <w:w w:val="110"/>
          <w:sz w:val="21"/>
        </w:rPr>
        <w:t>explanatory</w:t>
      </w:r>
      <w:r>
        <w:rPr>
          <w:rFonts w:ascii="Arial" w:hAnsi="Arial"/>
          <w:color w:val="1C1C1C"/>
          <w:spacing w:val="-5"/>
          <w:w w:val="110"/>
          <w:sz w:val="21"/>
        </w:rPr>
        <w:t xml:space="preserve"> </w:t>
      </w:r>
      <w:r>
        <w:rPr>
          <w:rFonts w:ascii="Arial" w:hAnsi="Arial"/>
          <w:color w:val="1C1C1C"/>
          <w:spacing w:val="-2"/>
          <w:w w:val="110"/>
          <w:sz w:val="21"/>
        </w:rPr>
        <w:t>force</w:t>
      </w:r>
      <w:r>
        <w:rPr>
          <w:rFonts w:ascii="Arial" w:hAnsi="Arial"/>
          <w:color w:val="1C1C1C"/>
          <w:spacing w:val="-14"/>
          <w:w w:val="110"/>
          <w:sz w:val="21"/>
        </w:rPr>
        <w:t xml:space="preserve"> </w:t>
      </w:r>
      <w:r>
        <w:rPr>
          <w:rFonts w:ascii="Arial" w:hAnsi="Arial"/>
          <w:color w:val="1C1C1C"/>
          <w:spacing w:val="-2"/>
          <w:w w:val="110"/>
          <w:sz w:val="21"/>
        </w:rPr>
        <w:t xml:space="preserve">for </w:t>
      </w:r>
      <w:r>
        <w:rPr>
          <w:rFonts w:ascii="Arial" w:hAnsi="Arial"/>
          <w:color w:val="080808"/>
          <w:spacing w:val="-2"/>
          <w:w w:val="110"/>
          <w:sz w:val="21"/>
        </w:rPr>
        <w:t xml:space="preserve">the </w:t>
      </w:r>
      <w:r>
        <w:rPr>
          <w:rFonts w:ascii="Arial" w:hAnsi="Arial"/>
          <w:color w:val="1C1C1C"/>
          <w:w w:val="110"/>
          <w:sz w:val="21"/>
        </w:rPr>
        <w:t>alleged</w:t>
      </w:r>
      <w:r>
        <w:rPr>
          <w:rFonts w:ascii="Arial" w:hAnsi="Arial"/>
          <w:color w:val="1C1C1C"/>
          <w:spacing w:val="-17"/>
          <w:w w:val="110"/>
          <w:sz w:val="21"/>
        </w:rPr>
        <w:t xml:space="preserve"> </w:t>
      </w:r>
      <w:r>
        <w:rPr>
          <w:rFonts w:ascii="Arial" w:hAnsi="Arial"/>
          <w:color w:val="1C1C1C"/>
          <w:w w:val="110"/>
          <w:sz w:val="21"/>
        </w:rPr>
        <w:t>suppression</w:t>
      </w:r>
      <w:r>
        <w:rPr>
          <w:rFonts w:ascii="Arial" w:hAnsi="Arial"/>
          <w:color w:val="1C1C1C"/>
          <w:spacing w:val="-16"/>
          <w:w w:val="110"/>
          <w:sz w:val="21"/>
        </w:rPr>
        <w:t xml:space="preserve"> </w:t>
      </w:r>
      <w:r>
        <w:rPr>
          <w:rFonts w:ascii="Arial" w:hAnsi="Arial"/>
          <w:color w:val="1C1C1C"/>
          <w:w w:val="110"/>
          <w:sz w:val="21"/>
        </w:rPr>
        <w:t>of</w:t>
      </w:r>
      <w:r>
        <w:rPr>
          <w:rFonts w:ascii="Arial" w:hAnsi="Arial"/>
          <w:color w:val="1C1C1C"/>
          <w:spacing w:val="-15"/>
          <w:w w:val="110"/>
          <w:sz w:val="21"/>
        </w:rPr>
        <w:t xml:space="preserve"> </w:t>
      </w:r>
      <w:r>
        <w:rPr>
          <w:rFonts w:ascii="Arial" w:hAnsi="Arial"/>
          <w:color w:val="1C1C1C"/>
          <w:w w:val="110"/>
          <w:sz w:val="21"/>
        </w:rPr>
        <w:t>the</w:t>
      </w:r>
      <w:r>
        <w:rPr>
          <w:rFonts w:ascii="Arial" w:hAnsi="Arial"/>
          <w:color w:val="1C1C1C"/>
          <w:spacing w:val="3"/>
          <w:w w:val="110"/>
          <w:sz w:val="21"/>
        </w:rPr>
        <w:t xml:space="preserve"> </w:t>
      </w:r>
      <w:r>
        <w:rPr>
          <w:rFonts w:ascii="Arial" w:hAnsi="Arial"/>
          <w:color w:val="1C1C1C"/>
          <w:w w:val="110"/>
          <w:sz w:val="21"/>
        </w:rPr>
        <w:t>price</w:t>
      </w:r>
      <w:r>
        <w:rPr>
          <w:rFonts w:ascii="Arial" w:hAnsi="Arial"/>
          <w:color w:val="1C1C1C"/>
          <w:spacing w:val="-17"/>
          <w:w w:val="110"/>
          <w:sz w:val="21"/>
        </w:rPr>
        <w:t xml:space="preserve"> </w:t>
      </w:r>
      <w:r>
        <w:rPr>
          <w:rFonts w:ascii="Arial" w:hAnsi="Arial"/>
          <w:color w:val="1C1C1C"/>
          <w:w w:val="110"/>
          <w:sz w:val="21"/>
        </w:rPr>
        <w:t>of</w:t>
      </w:r>
      <w:r>
        <w:rPr>
          <w:rFonts w:ascii="Arial" w:hAnsi="Arial"/>
          <w:color w:val="1C1C1C"/>
          <w:spacing w:val="-15"/>
          <w:w w:val="110"/>
          <w:sz w:val="21"/>
        </w:rPr>
        <w:t xml:space="preserve"> </w:t>
      </w:r>
      <w:r>
        <w:rPr>
          <w:rFonts w:ascii="Arial" w:hAnsi="Arial"/>
          <w:color w:val="1C1C1C"/>
          <w:w w:val="110"/>
          <w:sz w:val="21"/>
        </w:rPr>
        <w:t>domestic</w:t>
      </w:r>
      <w:r>
        <w:rPr>
          <w:rFonts w:ascii="Arial" w:hAnsi="Arial"/>
          <w:color w:val="1C1C1C"/>
          <w:spacing w:val="-13"/>
          <w:w w:val="110"/>
          <w:sz w:val="21"/>
        </w:rPr>
        <w:t xml:space="preserve"> </w:t>
      </w:r>
      <w:r>
        <w:rPr>
          <w:rFonts w:ascii="Arial" w:hAnsi="Arial"/>
          <w:color w:val="1C1C1C"/>
          <w:w w:val="110"/>
          <w:sz w:val="21"/>
        </w:rPr>
        <w:t>like</w:t>
      </w:r>
      <w:r>
        <w:rPr>
          <w:rFonts w:ascii="Arial" w:hAnsi="Arial"/>
          <w:color w:val="1C1C1C"/>
          <w:spacing w:val="-25"/>
          <w:w w:val="110"/>
          <w:sz w:val="21"/>
        </w:rPr>
        <w:t xml:space="preserve"> </w:t>
      </w:r>
      <w:r>
        <w:rPr>
          <w:rFonts w:ascii="Arial" w:hAnsi="Arial"/>
          <w:color w:val="1C1C1C"/>
          <w:w w:val="110"/>
          <w:sz w:val="21"/>
        </w:rPr>
        <w:t>products.</w:t>
      </w:r>
    </w:p>
    <w:p w14:paraId="51DE8D2D" w14:textId="77777777" w:rsidR="0010369C" w:rsidRDefault="008E43AE">
      <w:pPr>
        <w:pStyle w:val="ListParagraph"/>
        <w:numPr>
          <w:ilvl w:val="0"/>
          <w:numId w:val="7"/>
        </w:numPr>
        <w:tabs>
          <w:tab w:val="left" w:pos="1944"/>
          <w:tab w:val="left" w:pos="1945"/>
        </w:tabs>
        <w:spacing w:before="158" w:line="436" w:lineRule="auto"/>
        <w:ind w:left="1939" w:right="576" w:hanging="854"/>
        <w:rPr>
          <w:rFonts w:ascii="Arial" w:hAnsi="Arial"/>
          <w:sz w:val="21"/>
        </w:rPr>
      </w:pPr>
      <w:r>
        <w:rPr>
          <w:rFonts w:ascii="Arial" w:hAnsi="Arial"/>
          <w:color w:val="080808"/>
          <w:w w:val="105"/>
          <w:sz w:val="21"/>
        </w:rPr>
        <w:t xml:space="preserve">MOFCOM's </w:t>
      </w:r>
      <w:r>
        <w:rPr>
          <w:rFonts w:ascii="Arial" w:hAnsi="Arial"/>
          <w:color w:val="1C1C1C"/>
          <w:w w:val="105"/>
          <w:sz w:val="21"/>
        </w:rPr>
        <w:t xml:space="preserve">evaluation of </w:t>
      </w:r>
      <w:r>
        <w:rPr>
          <w:rFonts w:ascii="Arial" w:hAnsi="Arial"/>
          <w:color w:val="080808"/>
          <w:w w:val="105"/>
          <w:sz w:val="21"/>
        </w:rPr>
        <w:t xml:space="preserve">the </w:t>
      </w:r>
      <w:r>
        <w:rPr>
          <w:rFonts w:ascii="Arial" w:hAnsi="Arial"/>
          <w:color w:val="1C1C1C"/>
          <w:w w:val="105"/>
          <w:sz w:val="21"/>
        </w:rPr>
        <w:t xml:space="preserve">economic factors </w:t>
      </w:r>
      <w:r>
        <w:rPr>
          <w:rFonts w:ascii="Arial" w:hAnsi="Arial"/>
          <w:color w:val="080808"/>
          <w:w w:val="105"/>
          <w:sz w:val="21"/>
        </w:rPr>
        <w:t>bearing</w:t>
      </w:r>
      <w:r>
        <w:rPr>
          <w:rFonts w:ascii="Arial" w:hAnsi="Arial"/>
          <w:color w:val="080808"/>
          <w:spacing w:val="-2"/>
          <w:w w:val="105"/>
          <w:sz w:val="21"/>
        </w:rPr>
        <w:t xml:space="preserve"> </w:t>
      </w:r>
      <w:r>
        <w:rPr>
          <w:rFonts w:ascii="Arial" w:hAnsi="Arial"/>
          <w:color w:val="1C1C1C"/>
          <w:w w:val="105"/>
          <w:sz w:val="21"/>
        </w:rPr>
        <w:t xml:space="preserve">on </w:t>
      </w:r>
      <w:r>
        <w:rPr>
          <w:rFonts w:ascii="Arial" w:hAnsi="Arial"/>
          <w:color w:val="080808"/>
          <w:w w:val="105"/>
          <w:sz w:val="21"/>
        </w:rPr>
        <w:t xml:space="preserve">the </w:t>
      </w:r>
      <w:r>
        <w:rPr>
          <w:rFonts w:ascii="Arial" w:hAnsi="Arial"/>
          <w:color w:val="1C1C1C"/>
          <w:w w:val="105"/>
          <w:sz w:val="21"/>
        </w:rPr>
        <w:t xml:space="preserve">state of </w:t>
      </w:r>
      <w:r>
        <w:rPr>
          <w:rFonts w:ascii="Arial" w:hAnsi="Arial"/>
          <w:color w:val="080808"/>
          <w:w w:val="105"/>
          <w:sz w:val="21"/>
        </w:rPr>
        <w:t xml:space="preserve">the </w:t>
      </w:r>
      <w:r>
        <w:rPr>
          <w:rFonts w:ascii="Arial" w:hAnsi="Arial"/>
          <w:color w:val="1C1C1C"/>
          <w:w w:val="105"/>
          <w:sz w:val="21"/>
        </w:rPr>
        <w:t xml:space="preserve">Chinese wine </w:t>
      </w:r>
      <w:r>
        <w:rPr>
          <w:rFonts w:ascii="Arial" w:hAnsi="Arial"/>
          <w:color w:val="080808"/>
          <w:w w:val="105"/>
          <w:sz w:val="21"/>
        </w:rPr>
        <w:t xml:space="preserve">industry </w:t>
      </w:r>
      <w:r>
        <w:rPr>
          <w:rFonts w:ascii="Arial" w:hAnsi="Arial"/>
          <w:color w:val="1C1C1C"/>
          <w:w w:val="105"/>
          <w:sz w:val="21"/>
        </w:rPr>
        <w:t>was</w:t>
      </w:r>
      <w:r>
        <w:rPr>
          <w:rFonts w:ascii="Arial" w:hAnsi="Arial"/>
          <w:color w:val="1C1C1C"/>
          <w:w w:val="105"/>
          <w:sz w:val="21"/>
        </w:rPr>
        <w:t xml:space="preserve"> inconsistent with China's obligations </w:t>
      </w:r>
      <w:r>
        <w:rPr>
          <w:rFonts w:ascii="Arial" w:hAnsi="Arial"/>
          <w:color w:val="080808"/>
          <w:w w:val="105"/>
          <w:sz w:val="21"/>
        </w:rPr>
        <w:t xml:space="preserve">under </w:t>
      </w:r>
      <w:r>
        <w:rPr>
          <w:rFonts w:ascii="Arial" w:hAnsi="Arial"/>
          <w:color w:val="1C1C1C"/>
          <w:w w:val="105"/>
          <w:sz w:val="21"/>
        </w:rPr>
        <w:t xml:space="preserve">Articles 3.1 and 3.4 </w:t>
      </w:r>
      <w:r>
        <w:rPr>
          <w:rFonts w:ascii="Arial" w:hAnsi="Arial"/>
          <w:color w:val="080808"/>
          <w:w w:val="105"/>
          <w:sz w:val="21"/>
        </w:rPr>
        <w:t xml:space="preserve">because </w:t>
      </w:r>
      <w:r>
        <w:rPr>
          <w:rFonts w:ascii="Arial" w:hAnsi="Arial"/>
          <w:color w:val="1C1C1C"/>
          <w:w w:val="105"/>
          <w:sz w:val="21"/>
        </w:rPr>
        <w:t xml:space="preserve">the evaluation: is fatally </w:t>
      </w:r>
      <w:r>
        <w:rPr>
          <w:rFonts w:ascii="Arial" w:hAnsi="Arial"/>
          <w:color w:val="080808"/>
          <w:w w:val="105"/>
          <w:sz w:val="21"/>
        </w:rPr>
        <w:t xml:space="preserve">undermined </w:t>
      </w:r>
      <w:r>
        <w:rPr>
          <w:rFonts w:ascii="Arial" w:hAnsi="Arial"/>
          <w:color w:val="1C1C1C"/>
          <w:w w:val="105"/>
          <w:sz w:val="21"/>
        </w:rPr>
        <w:t xml:space="preserve">by </w:t>
      </w:r>
      <w:r>
        <w:rPr>
          <w:rFonts w:ascii="Arial" w:hAnsi="Arial"/>
          <w:color w:val="080808"/>
          <w:w w:val="105"/>
          <w:sz w:val="21"/>
        </w:rPr>
        <w:t xml:space="preserve">MOFCOM's </w:t>
      </w:r>
      <w:r>
        <w:rPr>
          <w:rFonts w:ascii="Arial" w:hAnsi="Arial"/>
          <w:color w:val="1C1C1C"/>
          <w:w w:val="105"/>
          <w:sz w:val="21"/>
        </w:rPr>
        <w:t xml:space="preserve">errors </w:t>
      </w:r>
      <w:r>
        <w:rPr>
          <w:rFonts w:ascii="Arial" w:hAnsi="Arial"/>
          <w:color w:val="080808"/>
          <w:w w:val="105"/>
          <w:sz w:val="21"/>
        </w:rPr>
        <w:t xml:space="preserve">in </w:t>
      </w:r>
      <w:r>
        <w:rPr>
          <w:rFonts w:ascii="Arial" w:hAnsi="Arial"/>
          <w:color w:val="1C1C1C"/>
          <w:w w:val="105"/>
          <w:sz w:val="21"/>
        </w:rPr>
        <w:t xml:space="preserve">defining the domestic industry under Article </w:t>
      </w:r>
      <w:r>
        <w:rPr>
          <w:rFonts w:ascii="Arial" w:hAnsi="Arial"/>
          <w:color w:val="080808"/>
          <w:w w:val="105"/>
          <w:sz w:val="21"/>
        </w:rPr>
        <w:t xml:space="preserve">4.1; </w:t>
      </w:r>
      <w:r>
        <w:rPr>
          <w:rFonts w:ascii="Arial" w:hAnsi="Arial"/>
          <w:color w:val="1C1C1C"/>
          <w:w w:val="105"/>
          <w:sz w:val="21"/>
        </w:rPr>
        <w:t>and does</w:t>
      </w:r>
      <w:r>
        <w:rPr>
          <w:rFonts w:ascii="Arial" w:hAnsi="Arial"/>
          <w:color w:val="1C1C1C"/>
          <w:spacing w:val="-2"/>
          <w:w w:val="105"/>
          <w:sz w:val="21"/>
        </w:rPr>
        <w:t xml:space="preserve"> </w:t>
      </w:r>
      <w:r>
        <w:rPr>
          <w:rFonts w:ascii="Arial" w:hAnsi="Arial"/>
          <w:color w:val="1C1C1C"/>
          <w:w w:val="105"/>
          <w:sz w:val="21"/>
        </w:rPr>
        <w:t>not</w:t>
      </w:r>
      <w:r>
        <w:rPr>
          <w:rFonts w:ascii="Arial" w:hAnsi="Arial"/>
          <w:color w:val="1C1C1C"/>
          <w:spacing w:val="40"/>
          <w:w w:val="105"/>
          <w:sz w:val="21"/>
        </w:rPr>
        <w:t xml:space="preserve"> </w:t>
      </w:r>
      <w:r>
        <w:rPr>
          <w:rFonts w:ascii="Arial" w:hAnsi="Arial"/>
          <w:color w:val="080808"/>
          <w:w w:val="105"/>
          <w:sz w:val="21"/>
        </w:rPr>
        <w:t xml:space="preserve">provide </w:t>
      </w:r>
      <w:r>
        <w:rPr>
          <w:rFonts w:ascii="Arial" w:hAnsi="Arial"/>
          <w:color w:val="1C1C1C"/>
          <w:w w:val="105"/>
          <w:sz w:val="21"/>
        </w:rPr>
        <w:t>a</w:t>
      </w:r>
      <w:r>
        <w:rPr>
          <w:rFonts w:ascii="Arial" w:hAnsi="Arial"/>
          <w:color w:val="1C1C1C"/>
          <w:spacing w:val="-2"/>
          <w:w w:val="105"/>
          <w:sz w:val="21"/>
        </w:rPr>
        <w:t xml:space="preserve"> </w:t>
      </w:r>
      <w:r>
        <w:rPr>
          <w:rFonts w:ascii="Arial" w:hAnsi="Arial"/>
          <w:color w:val="1C1C1C"/>
          <w:w w:val="105"/>
          <w:sz w:val="21"/>
        </w:rPr>
        <w:t xml:space="preserve">satisfactory </w:t>
      </w:r>
      <w:r>
        <w:rPr>
          <w:rFonts w:ascii="Arial" w:hAnsi="Arial"/>
          <w:color w:val="080808"/>
          <w:w w:val="105"/>
          <w:sz w:val="21"/>
        </w:rPr>
        <w:t xml:space="preserve">basis </w:t>
      </w:r>
      <w:r>
        <w:rPr>
          <w:rFonts w:ascii="Arial" w:hAnsi="Arial"/>
          <w:color w:val="1C1C1C"/>
          <w:w w:val="105"/>
          <w:sz w:val="21"/>
        </w:rPr>
        <w:t>for</w:t>
      </w:r>
      <w:r>
        <w:rPr>
          <w:rFonts w:ascii="Arial" w:hAnsi="Arial"/>
          <w:color w:val="1C1C1C"/>
          <w:spacing w:val="40"/>
          <w:w w:val="105"/>
          <w:sz w:val="21"/>
        </w:rPr>
        <w:t xml:space="preserve"> </w:t>
      </w:r>
      <w:r>
        <w:rPr>
          <w:rFonts w:ascii="Arial" w:hAnsi="Arial"/>
          <w:color w:val="080808"/>
          <w:w w:val="105"/>
          <w:sz w:val="21"/>
        </w:rPr>
        <w:t xml:space="preserve">MOFCOM's </w:t>
      </w:r>
      <w:r>
        <w:rPr>
          <w:rFonts w:ascii="Arial" w:hAnsi="Arial"/>
          <w:color w:val="1C1C1C"/>
          <w:w w:val="105"/>
          <w:sz w:val="21"/>
        </w:rPr>
        <w:t xml:space="preserve">injury </w:t>
      </w:r>
      <w:r>
        <w:rPr>
          <w:rFonts w:ascii="Arial" w:hAnsi="Arial"/>
          <w:color w:val="080808"/>
          <w:w w:val="105"/>
          <w:sz w:val="21"/>
        </w:rPr>
        <w:t>determinat</w:t>
      </w:r>
      <w:r>
        <w:rPr>
          <w:rFonts w:ascii="Arial" w:hAnsi="Arial"/>
          <w:color w:val="080808"/>
          <w:w w:val="105"/>
          <w:sz w:val="21"/>
        </w:rPr>
        <w:t>ion.</w:t>
      </w:r>
    </w:p>
    <w:p w14:paraId="51DE8D2E" w14:textId="77777777" w:rsidR="0010369C" w:rsidRDefault="008E43AE">
      <w:pPr>
        <w:pStyle w:val="ListParagraph"/>
        <w:numPr>
          <w:ilvl w:val="0"/>
          <w:numId w:val="7"/>
        </w:numPr>
        <w:tabs>
          <w:tab w:val="left" w:pos="1944"/>
          <w:tab w:val="left" w:pos="1945"/>
        </w:tabs>
        <w:spacing w:before="138" w:line="436" w:lineRule="auto"/>
        <w:ind w:right="571" w:hanging="857"/>
        <w:rPr>
          <w:rFonts w:ascii="Arial" w:hAnsi="Arial"/>
          <w:sz w:val="21"/>
        </w:rPr>
      </w:pPr>
      <w:r>
        <w:rPr>
          <w:rFonts w:ascii="Arial" w:hAnsi="Arial"/>
          <w:color w:val="080808"/>
          <w:w w:val="105"/>
          <w:sz w:val="21"/>
        </w:rPr>
        <w:t>MOFCOM's</w:t>
      </w:r>
      <w:r>
        <w:rPr>
          <w:rFonts w:ascii="Arial" w:hAnsi="Arial"/>
          <w:color w:val="080808"/>
          <w:spacing w:val="-12"/>
          <w:w w:val="105"/>
          <w:sz w:val="21"/>
        </w:rPr>
        <w:t xml:space="preserve"> </w:t>
      </w:r>
      <w:r>
        <w:rPr>
          <w:rFonts w:ascii="Arial" w:hAnsi="Arial"/>
          <w:color w:val="1C1C1C"/>
          <w:w w:val="105"/>
          <w:sz w:val="21"/>
        </w:rPr>
        <w:t>causation</w:t>
      </w:r>
      <w:r>
        <w:rPr>
          <w:rFonts w:ascii="Arial" w:hAnsi="Arial"/>
          <w:color w:val="1C1C1C"/>
          <w:spacing w:val="-7"/>
          <w:w w:val="105"/>
          <w:sz w:val="21"/>
        </w:rPr>
        <w:t xml:space="preserve"> </w:t>
      </w:r>
      <w:r>
        <w:rPr>
          <w:rFonts w:ascii="Arial" w:hAnsi="Arial"/>
          <w:color w:val="1C1C1C"/>
          <w:w w:val="105"/>
          <w:sz w:val="21"/>
        </w:rPr>
        <w:t>analysis</w:t>
      </w:r>
      <w:r>
        <w:rPr>
          <w:rFonts w:ascii="Arial" w:hAnsi="Arial"/>
          <w:color w:val="1C1C1C"/>
          <w:spacing w:val="-13"/>
          <w:w w:val="105"/>
          <w:sz w:val="21"/>
        </w:rPr>
        <w:t xml:space="preserve"> </w:t>
      </w:r>
      <w:r>
        <w:rPr>
          <w:rFonts w:ascii="Arial" w:hAnsi="Arial"/>
          <w:color w:val="1C1C1C"/>
          <w:w w:val="105"/>
          <w:sz w:val="21"/>
        </w:rPr>
        <w:t>is</w:t>
      </w:r>
      <w:r>
        <w:rPr>
          <w:rFonts w:ascii="Arial" w:hAnsi="Arial"/>
          <w:color w:val="1C1C1C"/>
          <w:spacing w:val="-16"/>
          <w:w w:val="105"/>
          <w:sz w:val="21"/>
        </w:rPr>
        <w:t xml:space="preserve"> </w:t>
      </w:r>
      <w:r>
        <w:rPr>
          <w:rFonts w:ascii="Arial" w:hAnsi="Arial"/>
          <w:color w:val="1C1C1C"/>
          <w:w w:val="105"/>
          <w:sz w:val="21"/>
        </w:rPr>
        <w:t>inconsistent with</w:t>
      </w:r>
      <w:r>
        <w:rPr>
          <w:rFonts w:ascii="Arial" w:hAnsi="Arial"/>
          <w:color w:val="1C1C1C"/>
          <w:spacing w:val="-16"/>
          <w:w w:val="105"/>
          <w:sz w:val="21"/>
        </w:rPr>
        <w:t xml:space="preserve"> </w:t>
      </w:r>
      <w:r>
        <w:rPr>
          <w:rFonts w:ascii="Arial" w:hAnsi="Arial"/>
          <w:color w:val="1C1C1C"/>
          <w:w w:val="105"/>
          <w:sz w:val="21"/>
        </w:rPr>
        <w:t>China's</w:t>
      </w:r>
      <w:r>
        <w:rPr>
          <w:rFonts w:ascii="Arial" w:hAnsi="Arial"/>
          <w:color w:val="1C1C1C"/>
          <w:spacing w:val="-15"/>
          <w:w w:val="105"/>
          <w:sz w:val="21"/>
        </w:rPr>
        <w:t xml:space="preserve"> </w:t>
      </w:r>
      <w:r>
        <w:rPr>
          <w:rFonts w:ascii="Arial" w:hAnsi="Arial"/>
          <w:color w:val="1C1C1C"/>
          <w:w w:val="105"/>
          <w:sz w:val="21"/>
        </w:rPr>
        <w:t>obligations</w:t>
      </w:r>
      <w:r>
        <w:rPr>
          <w:rFonts w:ascii="Arial" w:hAnsi="Arial"/>
          <w:color w:val="1C1C1C"/>
          <w:spacing w:val="-3"/>
          <w:w w:val="105"/>
          <w:sz w:val="21"/>
        </w:rPr>
        <w:t xml:space="preserve"> </w:t>
      </w:r>
      <w:r>
        <w:rPr>
          <w:rFonts w:ascii="Arial" w:hAnsi="Arial"/>
          <w:color w:val="080808"/>
          <w:w w:val="105"/>
          <w:sz w:val="21"/>
        </w:rPr>
        <w:t xml:space="preserve">under </w:t>
      </w:r>
      <w:r>
        <w:rPr>
          <w:rFonts w:ascii="Arial" w:hAnsi="Arial"/>
          <w:color w:val="1C1C1C"/>
          <w:w w:val="105"/>
          <w:sz w:val="21"/>
        </w:rPr>
        <w:t>Articles</w:t>
      </w:r>
      <w:r>
        <w:rPr>
          <w:rFonts w:ascii="Arial" w:hAnsi="Arial"/>
          <w:color w:val="1C1C1C"/>
          <w:spacing w:val="-16"/>
          <w:w w:val="105"/>
          <w:sz w:val="21"/>
        </w:rPr>
        <w:t xml:space="preserve"> </w:t>
      </w:r>
      <w:r>
        <w:rPr>
          <w:rFonts w:ascii="Arial" w:hAnsi="Arial"/>
          <w:color w:val="1C1C1C"/>
          <w:w w:val="105"/>
          <w:sz w:val="21"/>
        </w:rPr>
        <w:t>3.1</w:t>
      </w:r>
      <w:r>
        <w:rPr>
          <w:rFonts w:ascii="Arial" w:hAnsi="Arial"/>
          <w:color w:val="1C1C1C"/>
          <w:spacing w:val="-15"/>
          <w:w w:val="105"/>
          <w:sz w:val="21"/>
        </w:rPr>
        <w:t xml:space="preserve"> </w:t>
      </w:r>
      <w:r>
        <w:rPr>
          <w:rFonts w:ascii="Arial" w:hAnsi="Arial"/>
          <w:color w:val="1C1C1C"/>
          <w:w w:val="105"/>
          <w:sz w:val="21"/>
        </w:rPr>
        <w:t>and</w:t>
      </w:r>
      <w:r>
        <w:rPr>
          <w:rFonts w:ascii="Arial" w:hAnsi="Arial"/>
          <w:color w:val="1C1C1C"/>
          <w:spacing w:val="-15"/>
          <w:w w:val="105"/>
          <w:sz w:val="21"/>
        </w:rPr>
        <w:t xml:space="preserve"> </w:t>
      </w:r>
      <w:r>
        <w:rPr>
          <w:rFonts w:ascii="Arial" w:hAnsi="Arial"/>
          <w:color w:val="1C1C1C"/>
          <w:w w:val="105"/>
          <w:sz w:val="21"/>
        </w:rPr>
        <w:t>3.5</w:t>
      </w:r>
      <w:r>
        <w:rPr>
          <w:rFonts w:ascii="Arial" w:hAnsi="Arial"/>
          <w:color w:val="1C1C1C"/>
          <w:spacing w:val="-16"/>
          <w:w w:val="105"/>
          <w:sz w:val="21"/>
        </w:rPr>
        <w:t xml:space="preserve"> </w:t>
      </w:r>
      <w:r>
        <w:rPr>
          <w:rFonts w:ascii="Arial" w:hAnsi="Arial"/>
          <w:color w:val="080808"/>
          <w:w w:val="105"/>
          <w:sz w:val="21"/>
        </w:rPr>
        <w:t>because</w:t>
      </w:r>
      <w:r>
        <w:rPr>
          <w:rFonts w:ascii="Arial" w:hAnsi="Arial"/>
          <w:color w:val="080808"/>
          <w:spacing w:val="-6"/>
          <w:w w:val="105"/>
          <w:sz w:val="21"/>
        </w:rPr>
        <w:t xml:space="preserve"> </w:t>
      </w:r>
      <w:r>
        <w:rPr>
          <w:rFonts w:ascii="Arial" w:hAnsi="Arial"/>
          <w:color w:val="1C1C1C"/>
          <w:w w:val="105"/>
          <w:sz w:val="21"/>
        </w:rPr>
        <w:t>it:</w:t>
      </w:r>
      <w:r>
        <w:rPr>
          <w:rFonts w:ascii="Arial" w:hAnsi="Arial"/>
          <w:color w:val="1C1C1C"/>
          <w:spacing w:val="29"/>
          <w:w w:val="105"/>
          <w:sz w:val="21"/>
        </w:rPr>
        <w:t xml:space="preserve"> </w:t>
      </w:r>
      <w:r>
        <w:rPr>
          <w:rFonts w:ascii="Arial" w:hAnsi="Arial"/>
          <w:color w:val="1C1C1C"/>
          <w:w w:val="105"/>
          <w:sz w:val="21"/>
        </w:rPr>
        <w:t>is</w:t>
      </w:r>
      <w:r>
        <w:rPr>
          <w:rFonts w:ascii="Arial" w:hAnsi="Arial"/>
          <w:color w:val="1C1C1C"/>
          <w:spacing w:val="-16"/>
          <w:w w:val="105"/>
          <w:sz w:val="21"/>
        </w:rPr>
        <w:t xml:space="preserve"> </w:t>
      </w:r>
      <w:r>
        <w:rPr>
          <w:rFonts w:ascii="Arial" w:hAnsi="Arial"/>
          <w:color w:val="1C1C1C"/>
          <w:w w:val="105"/>
          <w:sz w:val="21"/>
        </w:rPr>
        <w:t>fatally</w:t>
      </w:r>
      <w:r>
        <w:rPr>
          <w:rFonts w:ascii="Arial" w:hAnsi="Arial"/>
          <w:color w:val="1C1C1C"/>
          <w:spacing w:val="-14"/>
          <w:w w:val="105"/>
          <w:sz w:val="21"/>
        </w:rPr>
        <w:t xml:space="preserve"> </w:t>
      </w:r>
      <w:r>
        <w:rPr>
          <w:rFonts w:ascii="Arial" w:hAnsi="Arial"/>
          <w:color w:val="1C1C1C"/>
          <w:w w:val="105"/>
          <w:sz w:val="21"/>
        </w:rPr>
        <w:t>undermined</w:t>
      </w:r>
      <w:r>
        <w:rPr>
          <w:rFonts w:ascii="Arial" w:hAnsi="Arial"/>
          <w:color w:val="1C1C1C"/>
          <w:spacing w:val="-7"/>
          <w:w w:val="105"/>
          <w:sz w:val="21"/>
        </w:rPr>
        <w:t xml:space="preserve"> </w:t>
      </w:r>
      <w:r>
        <w:rPr>
          <w:rFonts w:ascii="Arial" w:hAnsi="Arial"/>
          <w:color w:val="080808"/>
          <w:w w:val="105"/>
          <w:sz w:val="21"/>
        </w:rPr>
        <w:t>by</w:t>
      </w:r>
      <w:r>
        <w:rPr>
          <w:rFonts w:ascii="Arial" w:hAnsi="Arial"/>
          <w:color w:val="080808"/>
          <w:spacing w:val="-16"/>
          <w:w w:val="105"/>
          <w:sz w:val="21"/>
        </w:rPr>
        <w:t xml:space="preserve"> </w:t>
      </w:r>
      <w:r>
        <w:rPr>
          <w:rFonts w:ascii="Arial" w:hAnsi="Arial"/>
          <w:color w:val="080808"/>
          <w:w w:val="105"/>
          <w:sz w:val="21"/>
        </w:rPr>
        <w:t>MOFCOM's</w:t>
      </w:r>
      <w:r>
        <w:rPr>
          <w:rFonts w:ascii="Arial" w:hAnsi="Arial"/>
          <w:color w:val="080808"/>
          <w:spacing w:val="-2"/>
          <w:w w:val="105"/>
          <w:sz w:val="21"/>
        </w:rPr>
        <w:t xml:space="preserve"> </w:t>
      </w:r>
      <w:r>
        <w:rPr>
          <w:rFonts w:ascii="Arial" w:hAnsi="Arial"/>
          <w:color w:val="1C1C1C"/>
          <w:w w:val="105"/>
          <w:sz w:val="21"/>
        </w:rPr>
        <w:t>errors</w:t>
      </w:r>
      <w:r>
        <w:rPr>
          <w:rFonts w:ascii="Arial" w:hAnsi="Arial"/>
          <w:color w:val="1C1C1C"/>
          <w:spacing w:val="-13"/>
          <w:w w:val="105"/>
          <w:sz w:val="21"/>
        </w:rPr>
        <w:t xml:space="preserve"> </w:t>
      </w:r>
      <w:r>
        <w:rPr>
          <w:rFonts w:ascii="Arial" w:hAnsi="Arial"/>
          <w:color w:val="080808"/>
          <w:w w:val="105"/>
          <w:sz w:val="21"/>
        </w:rPr>
        <w:t xml:space="preserve">in </w:t>
      </w:r>
      <w:r>
        <w:rPr>
          <w:rFonts w:ascii="Arial" w:hAnsi="Arial"/>
          <w:color w:val="1C1C1C"/>
          <w:w w:val="105"/>
          <w:sz w:val="21"/>
        </w:rPr>
        <w:t xml:space="preserve">its examination of price effects </w:t>
      </w:r>
      <w:r>
        <w:rPr>
          <w:rFonts w:ascii="Arial" w:hAnsi="Arial"/>
          <w:color w:val="080808"/>
          <w:w w:val="105"/>
          <w:sz w:val="21"/>
        </w:rPr>
        <w:t xml:space="preserve">under </w:t>
      </w:r>
      <w:r>
        <w:rPr>
          <w:rFonts w:ascii="Arial" w:hAnsi="Arial"/>
          <w:color w:val="1C1C1C"/>
          <w:w w:val="105"/>
          <w:sz w:val="21"/>
        </w:rPr>
        <w:t>Article 3.2 and its</w:t>
      </w:r>
      <w:r>
        <w:rPr>
          <w:rFonts w:ascii="Arial" w:hAnsi="Arial"/>
          <w:color w:val="1C1C1C"/>
          <w:w w:val="105"/>
          <w:sz w:val="21"/>
        </w:rPr>
        <w:t xml:space="preserve"> evaluation of relevant economic factors under Article 3.4; fails to establish a causal link </w:t>
      </w:r>
      <w:r>
        <w:rPr>
          <w:rFonts w:ascii="Arial" w:hAnsi="Arial"/>
          <w:color w:val="080808"/>
          <w:w w:val="105"/>
          <w:sz w:val="21"/>
        </w:rPr>
        <w:t xml:space="preserve">between </w:t>
      </w:r>
      <w:r>
        <w:rPr>
          <w:rFonts w:ascii="Arial" w:hAnsi="Arial"/>
          <w:color w:val="1C1C1C"/>
          <w:w w:val="105"/>
          <w:sz w:val="21"/>
        </w:rPr>
        <w:t xml:space="preserve">the alleged </w:t>
      </w:r>
      <w:r>
        <w:rPr>
          <w:rFonts w:ascii="Arial" w:hAnsi="Arial"/>
          <w:color w:val="080808"/>
          <w:w w:val="105"/>
          <w:sz w:val="21"/>
        </w:rPr>
        <w:t>dumping</w:t>
      </w:r>
      <w:r>
        <w:rPr>
          <w:rFonts w:ascii="Arial" w:hAnsi="Arial"/>
          <w:color w:val="080808"/>
          <w:spacing w:val="-11"/>
          <w:w w:val="105"/>
          <w:sz w:val="21"/>
        </w:rPr>
        <w:t xml:space="preserve"> </w:t>
      </w:r>
      <w:r>
        <w:rPr>
          <w:rFonts w:ascii="Arial" w:hAnsi="Arial"/>
          <w:color w:val="1C1C1C"/>
          <w:w w:val="105"/>
          <w:sz w:val="21"/>
        </w:rPr>
        <w:t xml:space="preserve">of the subject imports and the alleged injury suffered </w:t>
      </w:r>
      <w:r>
        <w:rPr>
          <w:rFonts w:ascii="Arial" w:hAnsi="Arial"/>
          <w:color w:val="080808"/>
          <w:w w:val="105"/>
          <w:sz w:val="21"/>
        </w:rPr>
        <w:t>by</w:t>
      </w:r>
      <w:r>
        <w:rPr>
          <w:rFonts w:ascii="Arial" w:hAnsi="Arial"/>
          <w:color w:val="080808"/>
          <w:spacing w:val="-16"/>
          <w:w w:val="105"/>
          <w:sz w:val="21"/>
        </w:rPr>
        <w:t xml:space="preserve"> </w:t>
      </w:r>
      <w:r>
        <w:rPr>
          <w:rFonts w:ascii="Arial" w:hAnsi="Arial"/>
          <w:color w:val="1C1C1C"/>
          <w:w w:val="105"/>
          <w:sz w:val="21"/>
        </w:rPr>
        <w:t xml:space="preserve">the </w:t>
      </w:r>
      <w:r>
        <w:rPr>
          <w:rFonts w:ascii="Arial" w:hAnsi="Arial"/>
          <w:color w:val="080808"/>
          <w:w w:val="105"/>
          <w:sz w:val="21"/>
        </w:rPr>
        <w:t xml:space="preserve">domestic </w:t>
      </w:r>
      <w:r>
        <w:rPr>
          <w:rFonts w:ascii="Arial" w:hAnsi="Arial"/>
          <w:color w:val="1C1C1C"/>
          <w:w w:val="105"/>
          <w:sz w:val="21"/>
        </w:rPr>
        <w:t>industry;</w:t>
      </w:r>
      <w:r>
        <w:rPr>
          <w:rFonts w:ascii="Arial" w:hAnsi="Arial"/>
          <w:color w:val="1C1C1C"/>
          <w:spacing w:val="-9"/>
          <w:w w:val="105"/>
          <w:sz w:val="21"/>
        </w:rPr>
        <w:t xml:space="preserve"> </w:t>
      </w:r>
      <w:r>
        <w:rPr>
          <w:rFonts w:ascii="Arial" w:hAnsi="Arial"/>
          <w:color w:val="1C1C1C"/>
          <w:w w:val="105"/>
          <w:sz w:val="21"/>
        </w:rPr>
        <w:t>is</w:t>
      </w:r>
      <w:r>
        <w:rPr>
          <w:rFonts w:ascii="Arial" w:hAnsi="Arial"/>
          <w:color w:val="1C1C1C"/>
          <w:spacing w:val="-7"/>
          <w:w w:val="105"/>
          <w:sz w:val="21"/>
        </w:rPr>
        <w:t xml:space="preserve"> </w:t>
      </w:r>
      <w:r>
        <w:rPr>
          <w:rFonts w:ascii="Arial" w:hAnsi="Arial"/>
          <w:color w:val="1C1C1C"/>
          <w:w w:val="105"/>
          <w:sz w:val="21"/>
        </w:rPr>
        <w:t>not</w:t>
      </w:r>
      <w:r>
        <w:rPr>
          <w:rFonts w:ascii="Arial" w:hAnsi="Arial"/>
          <w:color w:val="1C1C1C"/>
          <w:spacing w:val="27"/>
          <w:w w:val="105"/>
          <w:sz w:val="21"/>
        </w:rPr>
        <w:t xml:space="preserve"> </w:t>
      </w:r>
      <w:r>
        <w:rPr>
          <w:rFonts w:ascii="Arial" w:hAnsi="Arial"/>
          <w:color w:val="1C1C1C"/>
          <w:w w:val="105"/>
          <w:sz w:val="21"/>
        </w:rPr>
        <w:t>based on an</w:t>
      </w:r>
      <w:r>
        <w:rPr>
          <w:rFonts w:ascii="Arial" w:hAnsi="Arial"/>
          <w:color w:val="1C1C1C"/>
          <w:spacing w:val="-6"/>
          <w:w w:val="105"/>
          <w:sz w:val="21"/>
        </w:rPr>
        <w:t xml:space="preserve"> </w:t>
      </w:r>
      <w:r>
        <w:rPr>
          <w:rFonts w:ascii="Arial" w:hAnsi="Arial"/>
          <w:color w:val="1C1C1C"/>
          <w:w w:val="105"/>
          <w:sz w:val="21"/>
        </w:rPr>
        <w:t>objective</w:t>
      </w:r>
      <w:r>
        <w:rPr>
          <w:rFonts w:ascii="Arial" w:hAnsi="Arial"/>
          <w:color w:val="1C1C1C"/>
          <w:spacing w:val="-2"/>
          <w:w w:val="105"/>
          <w:sz w:val="21"/>
        </w:rPr>
        <w:t xml:space="preserve"> </w:t>
      </w:r>
      <w:r>
        <w:rPr>
          <w:rFonts w:ascii="Arial" w:hAnsi="Arial"/>
          <w:color w:val="1C1C1C"/>
          <w:w w:val="105"/>
          <w:sz w:val="21"/>
        </w:rPr>
        <w:t>assessment of</w:t>
      </w:r>
      <w:r>
        <w:rPr>
          <w:rFonts w:ascii="Arial" w:hAnsi="Arial"/>
          <w:color w:val="1C1C1C"/>
          <w:spacing w:val="39"/>
          <w:w w:val="105"/>
          <w:sz w:val="21"/>
        </w:rPr>
        <w:t xml:space="preserve"> </w:t>
      </w:r>
      <w:r>
        <w:rPr>
          <w:rFonts w:ascii="Arial" w:hAnsi="Arial"/>
          <w:color w:val="1C1C1C"/>
          <w:w w:val="105"/>
          <w:sz w:val="21"/>
        </w:rPr>
        <w:t>all</w:t>
      </w:r>
      <w:r>
        <w:rPr>
          <w:rFonts w:ascii="Arial" w:hAnsi="Arial"/>
          <w:color w:val="1C1C1C"/>
          <w:spacing w:val="-11"/>
          <w:w w:val="105"/>
          <w:sz w:val="21"/>
        </w:rPr>
        <w:t xml:space="preserve"> </w:t>
      </w:r>
      <w:r>
        <w:rPr>
          <w:rFonts w:ascii="Arial" w:hAnsi="Arial"/>
          <w:color w:val="1C1C1C"/>
          <w:w w:val="105"/>
          <w:sz w:val="21"/>
        </w:rPr>
        <w:t>relevan</w:t>
      </w:r>
      <w:r>
        <w:rPr>
          <w:rFonts w:ascii="Arial" w:hAnsi="Arial"/>
          <w:color w:val="1C1C1C"/>
          <w:w w:val="105"/>
          <w:sz w:val="21"/>
        </w:rPr>
        <w:t>t</w:t>
      </w:r>
      <w:r>
        <w:rPr>
          <w:rFonts w:ascii="Arial" w:hAnsi="Arial"/>
          <w:color w:val="1C1C1C"/>
          <w:spacing w:val="-1"/>
          <w:w w:val="105"/>
          <w:sz w:val="21"/>
        </w:rPr>
        <w:t xml:space="preserve"> </w:t>
      </w:r>
      <w:r>
        <w:rPr>
          <w:rFonts w:ascii="Arial" w:hAnsi="Arial"/>
          <w:color w:val="1C1C1C"/>
          <w:w w:val="105"/>
          <w:sz w:val="21"/>
        </w:rPr>
        <w:t>evidence on the record;</w:t>
      </w:r>
      <w:r>
        <w:rPr>
          <w:rFonts w:ascii="Arial" w:hAnsi="Arial"/>
          <w:color w:val="1C1C1C"/>
          <w:spacing w:val="-3"/>
          <w:w w:val="105"/>
          <w:sz w:val="21"/>
        </w:rPr>
        <w:t xml:space="preserve"> </w:t>
      </w:r>
      <w:r>
        <w:rPr>
          <w:rFonts w:ascii="Arial" w:hAnsi="Arial"/>
          <w:color w:val="1C1C1C"/>
          <w:w w:val="105"/>
          <w:sz w:val="21"/>
        </w:rPr>
        <w:t>fails</w:t>
      </w:r>
      <w:r>
        <w:rPr>
          <w:rFonts w:ascii="Arial" w:hAnsi="Arial"/>
          <w:color w:val="1C1C1C"/>
          <w:spacing w:val="-6"/>
          <w:w w:val="105"/>
          <w:sz w:val="21"/>
        </w:rPr>
        <w:t xml:space="preserve"> </w:t>
      </w:r>
      <w:r>
        <w:rPr>
          <w:rFonts w:ascii="Arial" w:hAnsi="Arial"/>
          <w:color w:val="1C1C1C"/>
          <w:w w:val="105"/>
          <w:sz w:val="21"/>
        </w:rPr>
        <w:t>to</w:t>
      </w:r>
      <w:r>
        <w:rPr>
          <w:rFonts w:ascii="Arial" w:hAnsi="Arial"/>
          <w:color w:val="1C1C1C"/>
          <w:spacing w:val="35"/>
          <w:w w:val="105"/>
          <w:sz w:val="21"/>
        </w:rPr>
        <w:t xml:space="preserve"> </w:t>
      </w:r>
      <w:r>
        <w:rPr>
          <w:rFonts w:ascii="Arial" w:hAnsi="Arial"/>
          <w:color w:val="1C1C1C"/>
          <w:w w:val="105"/>
          <w:sz w:val="21"/>
        </w:rPr>
        <w:t>establish</w:t>
      </w:r>
      <w:r>
        <w:rPr>
          <w:rFonts w:ascii="Arial" w:hAnsi="Arial"/>
          <w:color w:val="1C1C1C"/>
          <w:spacing w:val="-9"/>
          <w:w w:val="105"/>
          <w:sz w:val="21"/>
        </w:rPr>
        <w:t xml:space="preserve"> </w:t>
      </w:r>
      <w:r>
        <w:rPr>
          <w:rFonts w:ascii="Arial" w:hAnsi="Arial"/>
          <w:color w:val="1C1C1C"/>
          <w:w w:val="105"/>
          <w:sz w:val="21"/>
        </w:rPr>
        <w:t>that</w:t>
      </w:r>
      <w:r>
        <w:rPr>
          <w:rFonts w:ascii="Arial" w:hAnsi="Arial"/>
          <w:color w:val="1C1C1C"/>
          <w:spacing w:val="-5"/>
          <w:w w:val="105"/>
          <w:sz w:val="21"/>
        </w:rPr>
        <w:t xml:space="preserve"> </w:t>
      </w:r>
      <w:r>
        <w:rPr>
          <w:rFonts w:ascii="Arial" w:hAnsi="Arial"/>
          <w:color w:val="1C1C1C"/>
          <w:w w:val="105"/>
          <w:sz w:val="21"/>
        </w:rPr>
        <w:t xml:space="preserve">subject imports and </w:t>
      </w:r>
      <w:r>
        <w:rPr>
          <w:rFonts w:ascii="Arial" w:hAnsi="Arial"/>
          <w:color w:val="080808"/>
          <w:w w:val="105"/>
          <w:sz w:val="21"/>
        </w:rPr>
        <w:t xml:space="preserve">domestic </w:t>
      </w:r>
      <w:r>
        <w:rPr>
          <w:rFonts w:ascii="Arial" w:hAnsi="Arial"/>
          <w:color w:val="1C1C1C"/>
          <w:w w:val="105"/>
          <w:sz w:val="21"/>
        </w:rPr>
        <w:t>like products were substitutable with each other;</w:t>
      </w:r>
      <w:r>
        <w:rPr>
          <w:rFonts w:ascii="Arial" w:hAnsi="Arial"/>
          <w:color w:val="1C1C1C"/>
          <w:spacing w:val="-5"/>
          <w:w w:val="105"/>
          <w:sz w:val="21"/>
        </w:rPr>
        <w:t xml:space="preserve"> </w:t>
      </w:r>
      <w:r>
        <w:rPr>
          <w:rFonts w:ascii="Arial" w:hAnsi="Arial"/>
          <w:color w:val="1C1C1C"/>
          <w:w w:val="105"/>
          <w:sz w:val="21"/>
        </w:rPr>
        <w:t xml:space="preserve">and fails </w:t>
      </w:r>
      <w:r>
        <w:rPr>
          <w:rFonts w:ascii="Arial" w:hAnsi="Arial"/>
          <w:color w:val="080808"/>
          <w:w w:val="105"/>
          <w:sz w:val="21"/>
        </w:rPr>
        <w:t xml:space="preserve">to </w:t>
      </w:r>
      <w:r>
        <w:rPr>
          <w:rFonts w:ascii="Arial" w:hAnsi="Arial"/>
          <w:color w:val="1C1C1C"/>
          <w:w w:val="105"/>
          <w:sz w:val="21"/>
        </w:rPr>
        <w:t>properly examine or assess</w:t>
      </w:r>
      <w:r>
        <w:rPr>
          <w:rFonts w:ascii="Arial" w:hAnsi="Arial"/>
          <w:color w:val="1C1C1C"/>
          <w:spacing w:val="-7"/>
          <w:w w:val="105"/>
          <w:sz w:val="21"/>
        </w:rPr>
        <w:t xml:space="preserve"> </w:t>
      </w:r>
      <w:r>
        <w:rPr>
          <w:rFonts w:ascii="Arial" w:hAnsi="Arial"/>
          <w:color w:val="080808"/>
          <w:w w:val="105"/>
          <w:sz w:val="21"/>
        </w:rPr>
        <w:t>the</w:t>
      </w:r>
      <w:r>
        <w:rPr>
          <w:rFonts w:ascii="Arial" w:hAnsi="Arial"/>
          <w:color w:val="080808"/>
          <w:spacing w:val="40"/>
          <w:w w:val="105"/>
          <w:sz w:val="21"/>
        </w:rPr>
        <w:t xml:space="preserve"> </w:t>
      </w:r>
      <w:r>
        <w:rPr>
          <w:rFonts w:ascii="Arial" w:hAnsi="Arial"/>
          <w:color w:val="1C1C1C"/>
          <w:w w:val="105"/>
          <w:sz w:val="21"/>
        </w:rPr>
        <w:t>effects</w:t>
      </w:r>
      <w:r>
        <w:rPr>
          <w:rFonts w:ascii="Arial" w:hAnsi="Arial"/>
          <w:color w:val="1C1C1C"/>
          <w:spacing w:val="-4"/>
          <w:w w:val="105"/>
          <w:sz w:val="21"/>
        </w:rPr>
        <w:t xml:space="preserve"> </w:t>
      </w:r>
      <w:r>
        <w:rPr>
          <w:rFonts w:ascii="Arial" w:hAnsi="Arial"/>
          <w:color w:val="1C1C1C"/>
          <w:w w:val="105"/>
          <w:sz w:val="21"/>
        </w:rPr>
        <w:t>of the other "known" factors on the domestic</w:t>
      </w:r>
      <w:r>
        <w:rPr>
          <w:rFonts w:ascii="Arial" w:hAnsi="Arial"/>
          <w:color w:val="1C1C1C"/>
          <w:spacing w:val="40"/>
          <w:w w:val="105"/>
          <w:sz w:val="21"/>
        </w:rPr>
        <w:t xml:space="preserve"> </w:t>
      </w:r>
      <w:r>
        <w:rPr>
          <w:rFonts w:ascii="Arial" w:hAnsi="Arial"/>
          <w:color w:val="1C1C1C"/>
          <w:w w:val="105"/>
          <w:sz w:val="21"/>
        </w:rPr>
        <w:t>wine</w:t>
      </w:r>
      <w:r>
        <w:rPr>
          <w:rFonts w:ascii="Arial" w:hAnsi="Arial"/>
          <w:color w:val="1C1C1C"/>
          <w:spacing w:val="30"/>
          <w:w w:val="105"/>
          <w:sz w:val="21"/>
        </w:rPr>
        <w:t xml:space="preserve"> </w:t>
      </w:r>
      <w:r>
        <w:rPr>
          <w:rFonts w:ascii="Arial" w:hAnsi="Arial"/>
          <w:color w:val="1C1C1C"/>
          <w:w w:val="105"/>
          <w:sz w:val="21"/>
        </w:rPr>
        <w:t>industry</w:t>
      </w:r>
      <w:r>
        <w:rPr>
          <w:rFonts w:ascii="Arial" w:hAnsi="Arial"/>
          <w:color w:val="1C1C1C"/>
          <w:spacing w:val="40"/>
          <w:w w:val="105"/>
          <w:sz w:val="21"/>
        </w:rPr>
        <w:t xml:space="preserve"> </w:t>
      </w:r>
      <w:r>
        <w:rPr>
          <w:rFonts w:ascii="Arial" w:hAnsi="Arial"/>
          <w:color w:val="080808"/>
          <w:w w:val="105"/>
          <w:sz w:val="21"/>
        </w:rPr>
        <w:t>based</w:t>
      </w:r>
      <w:r>
        <w:rPr>
          <w:rFonts w:ascii="Arial" w:hAnsi="Arial"/>
          <w:color w:val="080808"/>
          <w:spacing w:val="35"/>
          <w:w w:val="105"/>
          <w:sz w:val="21"/>
        </w:rPr>
        <w:t xml:space="preserve"> </w:t>
      </w:r>
      <w:r>
        <w:rPr>
          <w:rFonts w:ascii="Arial" w:hAnsi="Arial"/>
          <w:color w:val="1C1C1C"/>
          <w:w w:val="105"/>
          <w:sz w:val="21"/>
        </w:rPr>
        <w:t>on</w:t>
      </w:r>
      <w:r>
        <w:rPr>
          <w:rFonts w:ascii="Arial" w:hAnsi="Arial"/>
          <w:color w:val="1C1C1C"/>
          <w:spacing w:val="40"/>
          <w:w w:val="105"/>
          <w:sz w:val="21"/>
        </w:rPr>
        <w:t xml:space="preserve"> </w:t>
      </w:r>
      <w:r>
        <w:rPr>
          <w:rFonts w:ascii="Arial" w:hAnsi="Arial"/>
          <w:color w:val="1C1C1C"/>
          <w:w w:val="105"/>
          <w:sz w:val="21"/>
        </w:rPr>
        <w:t>the</w:t>
      </w:r>
      <w:r>
        <w:rPr>
          <w:rFonts w:ascii="Arial" w:hAnsi="Arial"/>
          <w:color w:val="1C1C1C"/>
          <w:spacing w:val="80"/>
          <w:w w:val="105"/>
          <w:sz w:val="21"/>
        </w:rPr>
        <w:t xml:space="preserve"> </w:t>
      </w:r>
      <w:r>
        <w:rPr>
          <w:rFonts w:ascii="Arial" w:hAnsi="Arial"/>
          <w:color w:val="080808"/>
          <w:w w:val="105"/>
          <w:sz w:val="21"/>
        </w:rPr>
        <w:t>relevant</w:t>
      </w:r>
      <w:r>
        <w:rPr>
          <w:rFonts w:ascii="Arial" w:hAnsi="Arial"/>
          <w:color w:val="080808"/>
          <w:spacing w:val="40"/>
          <w:w w:val="105"/>
          <w:sz w:val="21"/>
        </w:rPr>
        <w:t xml:space="preserve"> </w:t>
      </w:r>
      <w:r>
        <w:rPr>
          <w:rFonts w:ascii="Arial" w:hAnsi="Arial"/>
          <w:color w:val="1C1C1C"/>
          <w:w w:val="105"/>
          <w:sz w:val="21"/>
        </w:rPr>
        <w:t>evidence</w:t>
      </w:r>
      <w:r>
        <w:rPr>
          <w:rFonts w:ascii="Arial" w:hAnsi="Arial"/>
          <w:color w:val="1C1C1C"/>
          <w:spacing w:val="40"/>
          <w:w w:val="105"/>
          <w:sz w:val="21"/>
        </w:rPr>
        <w:t xml:space="preserve"> </w:t>
      </w:r>
      <w:r>
        <w:rPr>
          <w:rFonts w:ascii="Arial" w:hAnsi="Arial"/>
          <w:color w:val="1C1C1C"/>
          <w:w w:val="105"/>
          <w:sz w:val="21"/>
        </w:rPr>
        <w:t>and</w:t>
      </w:r>
      <w:r>
        <w:rPr>
          <w:rFonts w:ascii="Arial" w:hAnsi="Arial"/>
          <w:color w:val="1C1C1C"/>
          <w:spacing w:val="40"/>
          <w:w w:val="105"/>
          <w:sz w:val="21"/>
        </w:rPr>
        <w:t xml:space="preserve"> </w:t>
      </w:r>
      <w:r>
        <w:rPr>
          <w:rFonts w:ascii="Arial" w:hAnsi="Arial"/>
          <w:color w:val="1C1C1C"/>
          <w:w w:val="105"/>
          <w:sz w:val="21"/>
        </w:rPr>
        <w:t>to</w:t>
      </w:r>
      <w:r>
        <w:rPr>
          <w:rFonts w:ascii="Arial" w:hAnsi="Arial"/>
          <w:color w:val="1C1C1C"/>
          <w:spacing w:val="66"/>
          <w:w w:val="105"/>
          <w:sz w:val="21"/>
        </w:rPr>
        <w:t xml:space="preserve"> </w:t>
      </w:r>
      <w:r>
        <w:rPr>
          <w:rFonts w:ascii="Arial" w:hAnsi="Arial"/>
          <w:color w:val="1C1C1C"/>
          <w:w w:val="105"/>
          <w:sz w:val="21"/>
        </w:rPr>
        <w:t>identify,</w:t>
      </w:r>
    </w:p>
    <w:p w14:paraId="51DE8D2F" w14:textId="77777777" w:rsidR="0010369C" w:rsidRDefault="0010369C">
      <w:pPr>
        <w:pStyle w:val="BodyText"/>
        <w:rPr>
          <w:rFonts w:ascii="Arial"/>
        </w:rPr>
      </w:pPr>
    </w:p>
    <w:p w14:paraId="51DE8D30" w14:textId="77777777" w:rsidR="0010369C" w:rsidRDefault="0010369C">
      <w:pPr>
        <w:pStyle w:val="BodyText"/>
        <w:spacing w:before="10"/>
        <w:rPr>
          <w:rFonts w:ascii="Arial"/>
          <w:sz w:val="25"/>
        </w:rPr>
      </w:pPr>
    </w:p>
    <w:p w14:paraId="51DE8D31" w14:textId="77777777" w:rsidR="0010369C" w:rsidRDefault="008E43AE">
      <w:pPr>
        <w:pStyle w:val="BodyText"/>
        <w:ind w:right="1086"/>
        <w:jc w:val="right"/>
        <w:rPr>
          <w:rFonts w:ascii="Courier New"/>
        </w:rPr>
      </w:pPr>
      <w:r>
        <w:rPr>
          <w:rFonts w:ascii="Courier New"/>
          <w:color w:val="1C1C1C"/>
          <w:spacing w:val="-5"/>
        </w:rPr>
        <w:t>195</w:t>
      </w:r>
    </w:p>
    <w:p w14:paraId="51DE8D32" w14:textId="77777777" w:rsidR="0010369C" w:rsidRDefault="0010369C">
      <w:pPr>
        <w:jc w:val="right"/>
        <w:rPr>
          <w:rFonts w:ascii="Courier New"/>
        </w:rPr>
        <w:sectPr w:rsidR="0010369C">
          <w:headerReference w:type="default" r:id="rId722"/>
          <w:footerReference w:type="default" r:id="rId723"/>
          <w:pgSz w:w="11910" w:h="16840"/>
          <w:pgMar w:top="480" w:right="800" w:bottom="280" w:left="1180" w:header="0" w:footer="0" w:gutter="0"/>
          <w:cols w:space="720"/>
        </w:sectPr>
      </w:pPr>
    </w:p>
    <w:p w14:paraId="51DE8D33" w14:textId="77777777" w:rsidR="0010369C" w:rsidRDefault="008E43AE">
      <w:pPr>
        <w:tabs>
          <w:tab w:val="left" w:pos="6425"/>
        </w:tabs>
        <w:ind w:left="238"/>
        <w:rPr>
          <w:sz w:val="20"/>
        </w:rPr>
      </w:pPr>
      <w:r>
        <w:rPr>
          <w:i/>
          <w:sz w:val="20"/>
        </w:rPr>
        <w:lastRenderedPageBreak/>
        <w:t>China</w:t>
      </w:r>
      <w:r>
        <w:rPr>
          <w:i/>
          <w:spacing w:val="-5"/>
          <w:sz w:val="20"/>
        </w:rPr>
        <w:t xml:space="preserve"> </w:t>
      </w:r>
      <w:r>
        <w:rPr>
          <w:i/>
          <w:sz w:val="20"/>
        </w:rPr>
        <w:t>–</w:t>
      </w:r>
      <w:r>
        <w:rPr>
          <w:i/>
          <w:spacing w:val="-5"/>
          <w:sz w:val="20"/>
        </w:rPr>
        <w:t xml:space="preserve"> </w:t>
      </w:r>
      <w:r>
        <w:rPr>
          <w:i/>
          <w:sz w:val="20"/>
        </w:rPr>
        <w:t>Anti‐Dumping</w:t>
      </w:r>
      <w:r>
        <w:rPr>
          <w:i/>
          <w:spacing w:val="-4"/>
          <w:sz w:val="20"/>
        </w:rPr>
        <w:t xml:space="preserve"> </w:t>
      </w:r>
      <w:r>
        <w:rPr>
          <w:i/>
          <w:sz w:val="20"/>
        </w:rPr>
        <w:t>and</w:t>
      </w:r>
      <w:r>
        <w:rPr>
          <w:i/>
          <w:spacing w:val="-5"/>
          <w:sz w:val="20"/>
        </w:rPr>
        <w:t xml:space="preserve"> </w:t>
      </w:r>
      <w:r>
        <w:rPr>
          <w:i/>
          <w:sz w:val="20"/>
        </w:rPr>
        <w:t>Countervailing</w:t>
      </w:r>
      <w:r>
        <w:rPr>
          <w:i/>
          <w:spacing w:val="-5"/>
          <w:sz w:val="20"/>
        </w:rPr>
        <w:t xml:space="preserve"> </w:t>
      </w:r>
      <w:r>
        <w:rPr>
          <w:i/>
          <w:sz w:val="20"/>
        </w:rPr>
        <w:t>Duty</w:t>
      </w:r>
      <w:r>
        <w:rPr>
          <w:i/>
          <w:spacing w:val="-4"/>
          <w:sz w:val="20"/>
        </w:rPr>
        <w:t xml:space="preserve"> </w:t>
      </w:r>
      <w:r>
        <w:rPr>
          <w:i/>
          <w:spacing w:val="-2"/>
          <w:sz w:val="20"/>
        </w:rPr>
        <w:t>Measures</w:t>
      </w:r>
      <w:r>
        <w:rPr>
          <w:i/>
          <w:sz w:val="20"/>
        </w:rPr>
        <w:tab/>
      </w:r>
      <w:r>
        <w:rPr>
          <w:sz w:val="20"/>
        </w:rPr>
        <w:t>Australia's</w:t>
      </w:r>
      <w:r>
        <w:rPr>
          <w:spacing w:val="-7"/>
          <w:sz w:val="20"/>
        </w:rPr>
        <w:t xml:space="preserve"> </w:t>
      </w:r>
      <w:r>
        <w:rPr>
          <w:sz w:val="20"/>
        </w:rPr>
        <w:t>First</w:t>
      </w:r>
      <w:r>
        <w:rPr>
          <w:spacing w:val="-2"/>
          <w:sz w:val="20"/>
        </w:rPr>
        <w:t xml:space="preserve"> </w:t>
      </w:r>
      <w:r>
        <w:rPr>
          <w:sz w:val="20"/>
        </w:rPr>
        <w:t>Written</w:t>
      </w:r>
      <w:r>
        <w:rPr>
          <w:spacing w:val="-2"/>
          <w:sz w:val="20"/>
        </w:rPr>
        <w:t xml:space="preserve"> Submission</w:t>
      </w:r>
    </w:p>
    <w:p w14:paraId="51DE8D34" w14:textId="77777777" w:rsidR="0010369C" w:rsidRDefault="008E43AE">
      <w:pPr>
        <w:tabs>
          <w:tab w:val="left" w:pos="8227"/>
        </w:tabs>
        <w:spacing w:before="1"/>
        <w:ind w:left="239"/>
        <w:rPr>
          <w:sz w:val="20"/>
        </w:rPr>
      </w:pPr>
      <w:r>
        <w:rPr>
          <w:i/>
          <w:sz w:val="20"/>
        </w:rPr>
        <w:t>on</w:t>
      </w:r>
      <w:r>
        <w:rPr>
          <w:i/>
          <w:spacing w:val="-1"/>
          <w:sz w:val="20"/>
        </w:rPr>
        <w:t xml:space="preserve"> </w:t>
      </w:r>
      <w:r>
        <w:rPr>
          <w:i/>
          <w:sz w:val="20"/>
        </w:rPr>
        <w:t>Wine</w:t>
      </w:r>
      <w:r>
        <w:rPr>
          <w:i/>
          <w:spacing w:val="-1"/>
          <w:sz w:val="20"/>
        </w:rPr>
        <w:t xml:space="preserve"> </w:t>
      </w:r>
      <w:r>
        <w:rPr>
          <w:i/>
          <w:sz w:val="20"/>
        </w:rPr>
        <w:t>from</w:t>
      </w:r>
      <w:r>
        <w:rPr>
          <w:i/>
          <w:spacing w:val="-3"/>
          <w:sz w:val="20"/>
        </w:rPr>
        <w:t xml:space="preserve"> </w:t>
      </w:r>
      <w:r>
        <w:rPr>
          <w:i/>
          <w:sz w:val="20"/>
        </w:rPr>
        <w:t>Australia</w:t>
      </w:r>
      <w:r>
        <w:rPr>
          <w:i/>
          <w:spacing w:val="-1"/>
          <w:sz w:val="20"/>
        </w:rPr>
        <w:t xml:space="preserve"> </w:t>
      </w:r>
      <w:r>
        <w:rPr>
          <w:spacing w:val="-2"/>
          <w:sz w:val="20"/>
        </w:rPr>
        <w:t>(DS602)</w:t>
      </w:r>
      <w:r>
        <w:rPr>
          <w:sz w:val="20"/>
        </w:rPr>
        <w:tab/>
        <w:t>29</w:t>
      </w:r>
      <w:r>
        <w:rPr>
          <w:spacing w:val="-1"/>
          <w:sz w:val="20"/>
        </w:rPr>
        <w:t xml:space="preserve"> </w:t>
      </w:r>
      <w:r>
        <w:rPr>
          <w:sz w:val="20"/>
        </w:rPr>
        <w:t>April</w:t>
      </w:r>
      <w:r>
        <w:rPr>
          <w:spacing w:val="-2"/>
          <w:sz w:val="20"/>
        </w:rPr>
        <w:t xml:space="preserve"> </w:t>
      </w:r>
      <w:r>
        <w:rPr>
          <w:spacing w:val="-4"/>
          <w:sz w:val="20"/>
        </w:rPr>
        <w:t>2022</w:t>
      </w:r>
    </w:p>
    <w:p w14:paraId="51DE8D35" w14:textId="77777777" w:rsidR="0010369C" w:rsidRDefault="008E43AE">
      <w:pPr>
        <w:pStyle w:val="BodyText"/>
        <w:spacing w:before="34" w:line="360" w:lineRule="auto"/>
        <w:ind w:left="1939" w:right="611"/>
      </w:pPr>
      <w:r>
        <w:t>separate, and distinguish their injurious effects from that allegedly caused by subject imports through price suppression.</w:t>
      </w:r>
    </w:p>
    <w:p w14:paraId="51DE8D36" w14:textId="77777777" w:rsidR="0010369C" w:rsidRDefault="008E43AE">
      <w:pPr>
        <w:pStyle w:val="ListParagraph"/>
        <w:numPr>
          <w:ilvl w:val="0"/>
          <w:numId w:val="60"/>
        </w:numPr>
        <w:tabs>
          <w:tab w:val="left" w:pos="1939"/>
          <w:tab w:val="left" w:pos="1940"/>
        </w:tabs>
        <w:rPr>
          <w:b/>
        </w:rPr>
      </w:pPr>
      <w:r>
        <w:rPr>
          <w:b/>
          <w:sz w:val="28"/>
        </w:rPr>
        <w:t>L</w:t>
      </w:r>
      <w:r>
        <w:rPr>
          <w:b/>
        </w:rPr>
        <w:t>EGAL</w:t>
      </w:r>
      <w:r>
        <w:rPr>
          <w:b/>
          <w:spacing w:val="-8"/>
        </w:rPr>
        <w:t xml:space="preserve"> </w:t>
      </w:r>
      <w:r>
        <w:rPr>
          <w:b/>
          <w:spacing w:val="-2"/>
        </w:rPr>
        <w:t>FRAMEWORK</w:t>
      </w:r>
    </w:p>
    <w:p w14:paraId="51DE8D37" w14:textId="77777777" w:rsidR="0010369C" w:rsidRDefault="0010369C">
      <w:pPr>
        <w:pStyle w:val="BodyText"/>
        <w:spacing w:before="11"/>
        <w:rPr>
          <w:b/>
          <w:sz w:val="22"/>
        </w:rPr>
      </w:pPr>
    </w:p>
    <w:p w14:paraId="51DE8D38" w14:textId="77777777" w:rsidR="0010369C" w:rsidRDefault="008E43AE">
      <w:pPr>
        <w:pStyle w:val="BodyText"/>
        <w:spacing w:before="52" w:line="360" w:lineRule="auto"/>
        <w:ind w:left="238" w:firstLine="850"/>
      </w:pPr>
      <w:r>
        <w:rPr>
          <w:noProof/>
        </w:rPr>
        <w:drawing>
          <wp:anchor distT="0" distB="0" distL="0" distR="0" simplePos="0" relativeHeight="251179520" behindDoc="1" locked="0" layoutInCell="1" allowOverlap="1" wp14:anchorId="51DEA436" wp14:editId="51DEA437">
            <wp:simplePos x="0" y="0"/>
            <wp:positionH relativeFrom="page">
              <wp:posOffset>902208</wp:posOffset>
            </wp:positionH>
            <wp:positionV relativeFrom="paragraph">
              <wp:posOffset>82711</wp:posOffset>
            </wp:positionV>
            <wp:extent cx="262127" cy="100753"/>
            <wp:effectExtent l="0" t="0" r="0" b="0"/>
            <wp:wrapNone/>
            <wp:docPr id="1083" name="image5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 name="image553.png"/>
                    <pic:cNvPicPr/>
                  </pic:nvPicPr>
                  <pic:blipFill>
                    <a:blip r:embed="rId724" cstate="print"/>
                    <a:stretch>
                      <a:fillRect/>
                    </a:stretch>
                  </pic:blipFill>
                  <pic:spPr>
                    <a:xfrm>
                      <a:off x="0" y="0"/>
                      <a:ext cx="262127" cy="100753"/>
                    </a:xfrm>
                    <a:prstGeom prst="rect">
                      <a:avLst/>
                    </a:prstGeom>
                  </pic:spPr>
                </pic:pic>
              </a:graphicData>
            </a:graphic>
          </wp:anchor>
        </w:drawing>
      </w:r>
      <w:r>
        <w:t>Article</w:t>
      </w:r>
      <w:r>
        <w:rPr>
          <w:spacing w:val="40"/>
        </w:rPr>
        <w:t xml:space="preserve"> </w:t>
      </w:r>
      <w:r>
        <w:t>3.1</w:t>
      </w:r>
      <w:r>
        <w:rPr>
          <w:spacing w:val="40"/>
        </w:rPr>
        <w:t xml:space="preserve"> </w:t>
      </w:r>
      <w:r>
        <w:t>of</w:t>
      </w:r>
      <w:r>
        <w:rPr>
          <w:spacing w:val="40"/>
        </w:rPr>
        <w:t xml:space="preserve"> </w:t>
      </w:r>
      <w:r>
        <w:t>the</w:t>
      </w:r>
      <w:r>
        <w:rPr>
          <w:spacing w:val="40"/>
        </w:rPr>
        <w:t xml:space="preserve"> </w:t>
      </w:r>
      <w:r>
        <w:t>Anti‐Dumping</w:t>
      </w:r>
      <w:r>
        <w:rPr>
          <w:spacing w:val="40"/>
        </w:rPr>
        <w:t xml:space="preserve"> </w:t>
      </w:r>
      <w:r>
        <w:t>Agreement</w:t>
      </w:r>
      <w:r>
        <w:rPr>
          <w:spacing w:val="40"/>
        </w:rPr>
        <w:t xml:space="preserve"> </w:t>
      </w:r>
      <w:r>
        <w:t>establishes</w:t>
      </w:r>
      <w:r>
        <w:rPr>
          <w:spacing w:val="40"/>
        </w:rPr>
        <w:t xml:space="preserve"> </w:t>
      </w:r>
      <w:r>
        <w:t>a</w:t>
      </w:r>
      <w:r>
        <w:rPr>
          <w:spacing w:val="40"/>
        </w:rPr>
        <w:t xml:space="preserve"> </w:t>
      </w:r>
      <w:r>
        <w:t>Member's</w:t>
      </w:r>
      <w:r>
        <w:rPr>
          <w:spacing w:val="40"/>
        </w:rPr>
        <w:t xml:space="preserve"> </w:t>
      </w:r>
      <w:r>
        <w:t>overarching obligations</w:t>
      </w:r>
      <w:r>
        <w:rPr>
          <w:spacing w:val="-2"/>
        </w:rPr>
        <w:t xml:space="preserve"> </w:t>
      </w:r>
      <w:r>
        <w:t>with</w:t>
      </w:r>
      <w:r>
        <w:rPr>
          <w:spacing w:val="-1"/>
        </w:rPr>
        <w:t xml:space="preserve"> </w:t>
      </w:r>
      <w:r>
        <w:t>respect</w:t>
      </w:r>
      <w:r>
        <w:rPr>
          <w:spacing w:val="-2"/>
        </w:rPr>
        <w:t xml:space="preserve"> </w:t>
      </w:r>
      <w:r>
        <w:t>to</w:t>
      </w:r>
      <w:r>
        <w:rPr>
          <w:spacing w:val="-1"/>
        </w:rPr>
        <w:t xml:space="preserve"> </w:t>
      </w:r>
      <w:r>
        <w:t>the determination of</w:t>
      </w:r>
      <w:r>
        <w:rPr>
          <w:spacing w:val="-2"/>
        </w:rPr>
        <w:t xml:space="preserve"> </w:t>
      </w:r>
      <w:r>
        <w:t>injury</w:t>
      </w:r>
      <w:r>
        <w:rPr>
          <w:spacing w:val="-1"/>
        </w:rPr>
        <w:t xml:space="preserve"> </w:t>
      </w:r>
      <w:r>
        <w:t>in</w:t>
      </w:r>
      <w:r>
        <w:rPr>
          <w:spacing w:val="-1"/>
        </w:rPr>
        <w:t xml:space="preserve"> </w:t>
      </w:r>
      <w:r>
        <w:t>antidumping</w:t>
      </w:r>
      <w:r>
        <w:rPr>
          <w:spacing w:val="-1"/>
        </w:rPr>
        <w:t xml:space="preserve"> </w:t>
      </w:r>
      <w:r>
        <w:t>investigations.</w:t>
      </w:r>
      <w:r>
        <w:rPr>
          <w:spacing w:val="1"/>
        </w:rPr>
        <w:t xml:space="preserve"> </w:t>
      </w:r>
      <w:r>
        <w:rPr>
          <w:spacing w:val="-2"/>
        </w:rPr>
        <w:t>Article</w:t>
      </w:r>
    </w:p>
    <w:p w14:paraId="51DE8D39" w14:textId="77777777" w:rsidR="0010369C" w:rsidRDefault="008E43AE">
      <w:pPr>
        <w:pStyle w:val="ListParagraph"/>
        <w:numPr>
          <w:ilvl w:val="1"/>
          <w:numId w:val="59"/>
        </w:numPr>
        <w:tabs>
          <w:tab w:val="left" w:pos="596"/>
        </w:tabs>
        <w:spacing w:before="0"/>
        <w:ind w:hanging="359"/>
        <w:rPr>
          <w:sz w:val="24"/>
        </w:rPr>
      </w:pPr>
      <w:r>
        <w:rPr>
          <w:sz w:val="24"/>
        </w:rPr>
        <w:t>provides</w:t>
      </w:r>
      <w:r>
        <w:rPr>
          <w:spacing w:val="-10"/>
          <w:sz w:val="24"/>
        </w:rPr>
        <w:t xml:space="preserve"> </w:t>
      </w:r>
      <w:r>
        <w:rPr>
          <w:spacing w:val="-2"/>
          <w:sz w:val="24"/>
        </w:rPr>
        <w:t>that:</w:t>
      </w:r>
    </w:p>
    <w:p w14:paraId="51DE8D3A" w14:textId="77777777" w:rsidR="0010369C" w:rsidRDefault="0010369C">
      <w:pPr>
        <w:pStyle w:val="BodyText"/>
        <w:spacing w:before="2"/>
        <w:rPr>
          <w:sz w:val="25"/>
        </w:rPr>
      </w:pPr>
    </w:p>
    <w:p w14:paraId="51DE8D3B" w14:textId="77777777" w:rsidR="0010369C" w:rsidRDefault="008E43AE">
      <w:pPr>
        <w:spacing w:line="276" w:lineRule="auto"/>
        <w:ind w:left="1088" w:right="614"/>
        <w:jc w:val="both"/>
      </w:pPr>
      <w:r>
        <w:t>A determination of injury for purposes of Article VI of GATT 1994 shall be based on positive evidence</w:t>
      </w:r>
      <w:r>
        <w:rPr>
          <w:spacing w:val="-13"/>
        </w:rPr>
        <w:t xml:space="preserve"> </w:t>
      </w:r>
      <w:r>
        <w:t>and</w:t>
      </w:r>
      <w:r>
        <w:rPr>
          <w:spacing w:val="-12"/>
        </w:rPr>
        <w:t xml:space="preserve"> </w:t>
      </w:r>
      <w:r>
        <w:t>involve</w:t>
      </w:r>
      <w:r>
        <w:rPr>
          <w:spacing w:val="-13"/>
        </w:rPr>
        <w:t xml:space="preserve"> </w:t>
      </w:r>
      <w:r>
        <w:t>an</w:t>
      </w:r>
      <w:r>
        <w:rPr>
          <w:spacing w:val="-12"/>
        </w:rPr>
        <w:t xml:space="preserve"> </w:t>
      </w:r>
      <w:r>
        <w:t>objective</w:t>
      </w:r>
      <w:r>
        <w:rPr>
          <w:spacing w:val="-13"/>
        </w:rPr>
        <w:t xml:space="preserve"> </w:t>
      </w:r>
      <w:r>
        <w:t>examin</w:t>
      </w:r>
      <w:r>
        <w:t>ation</w:t>
      </w:r>
      <w:r>
        <w:rPr>
          <w:spacing w:val="-12"/>
        </w:rPr>
        <w:t xml:space="preserve"> </w:t>
      </w:r>
      <w:r>
        <w:t>of</w:t>
      </w:r>
      <w:r>
        <w:rPr>
          <w:spacing w:val="-13"/>
        </w:rPr>
        <w:t xml:space="preserve"> </w:t>
      </w:r>
      <w:r>
        <w:t>both</w:t>
      </w:r>
      <w:r>
        <w:rPr>
          <w:spacing w:val="-12"/>
        </w:rPr>
        <w:t xml:space="preserve"> </w:t>
      </w:r>
      <w:r>
        <w:t>(a)</w:t>
      </w:r>
      <w:r>
        <w:rPr>
          <w:spacing w:val="-12"/>
        </w:rPr>
        <w:t xml:space="preserve"> </w:t>
      </w:r>
      <w:r>
        <w:t>the</w:t>
      </w:r>
      <w:r>
        <w:rPr>
          <w:spacing w:val="-13"/>
        </w:rPr>
        <w:t xml:space="preserve"> </w:t>
      </w:r>
      <w:r>
        <w:t>volume</w:t>
      </w:r>
      <w:r>
        <w:rPr>
          <w:spacing w:val="-12"/>
        </w:rPr>
        <w:t xml:space="preserve"> </w:t>
      </w:r>
      <w:r>
        <w:t>of</w:t>
      </w:r>
      <w:r>
        <w:rPr>
          <w:spacing w:val="-13"/>
        </w:rPr>
        <w:t xml:space="preserve"> </w:t>
      </w:r>
      <w:r>
        <w:t>the</w:t>
      </w:r>
      <w:r>
        <w:rPr>
          <w:spacing w:val="-12"/>
        </w:rPr>
        <w:t xml:space="preserve"> </w:t>
      </w:r>
      <w:r>
        <w:t>dumped</w:t>
      </w:r>
      <w:r>
        <w:rPr>
          <w:spacing w:val="-13"/>
        </w:rPr>
        <w:t xml:space="preserve"> </w:t>
      </w:r>
      <w:r>
        <w:t>imports and</w:t>
      </w:r>
      <w:r>
        <w:rPr>
          <w:spacing w:val="-9"/>
        </w:rPr>
        <w:t xml:space="preserve"> </w:t>
      </w:r>
      <w:r>
        <w:t>the</w:t>
      </w:r>
      <w:r>
        <w:rPr>
          <w:spacing w:val="-9"/>
        </w:rPr>
        <w:t xml:space="preserve"> </w:t>
      </w:r>
      <w:r>
        <w:t>effect</w:t>
      </w:r>
      <w:r>
        <w:rPr>
          <w:spacing w:val="-10"/>
        </w:rPr>
        <w:t xml:space="preserve"> </w:t>
      </w:r>
      <w:r>
        <w:t>of</w:t>
      </w:r>
      <w:r>
        <w:rPr>
          <w:spacing w:val="-9"/>
        </w:rPr>
        <w:t xml:space="preserve"> </w:t>
      </w:r>
      <w:r>
        <w:t>the</w:t>
      </w:r>
      <w:r>
        <w:rPr>
          <w:spacing w:val="-9"/>
        </w:rPr>
        <w:t xml:space="preserve"> </w:t>
      </w:r>
      <w:r>
        <w:t>dumped</w:t>
      </w:r>
      <w:r>
        <w:rPr>
          <w:spacing w:val="-9"/>
        </w:rPr>
        <w:t xml:space="preserve"> </w:t>
      </w:r>
      <w:r>
        <w:t>imports</w:t>
      </w:r>
      <w:r>
        <w:rPr>
          <w:spacing w:val="-8"/>
        </w:rPr>
        <w:t xml:space="preserve"> </w:t>
      </w:r>
      <w:r>
        <w:t>on</w:t>
      </w:r>
      <w:r>
        <w:rPr>
          <w:spacing w:val="-9"/>
        </w:rPr>
        <w:t xml:space="preserve"> </w:t>
      </w:r>
      <w:r>
        <w:t>prices</w:t>
      </w:r>
      <w:r>
        <w:rPr>
          <w:spacing w:val="-8"/>
        </w:rPr>
        <w:t xml:space="preserve"> </w:t>
      </w:r>
      <w:r>
        <w:t>in</w:t>
      </w:r>
      <w:r>
        <w:rPr>
          <w:spacing w:val="-8"/>
        </w:rPr>
        <w:t xml:space="preserve"> </w:t>
      </w:r>
      <w:r>
        <w:t>the</w:t>
      </w:r>
      <w:r>
        <w:rPr>
          <w:spacing w:val="-9"/>
        </w:rPr>
        <w:t xml:space="preserve"> </w:t>
      </w:r>
      <w:r>
        <w:t>domestic</w:t>
      </w:r>
      <w:r>
        <w:rPr>
          <w:spacing w:val="-8"/>
        </w:rPr>
        <w:t xml:space="preserve"> </w:t>
      </w:r>
      <w:r>
        <w:t>market</w:t>
      </w:r>
      <w:r>
        <w:rPr>
          <w:spacing w:val="-9"/>
        </w:rPr>
        <w:t xml:space="preserve"> </w:t>
      </w:r>
      <w:r>
        <w:t>for</w:t>
      </w:r>
      <w:r>
        <w:rPr>
          <w:spacing w:val="-9"/>
        </w:rPr>
        <w:t xml:space="preserve"> </w:t>
      </w:r>
      <w:r>
        <w:t>like</w:t>
      </w:r>
      <w:r>
        <w:rPr>
          <w:spacing w:val="-8"/>
        </w:rPr>
        <w:t xml:space="preserve"> </w:t>
      </w:r>
      <w:r>
        <w:t>products,</w:t>
      </w:r>
      <w:r>
        <w:rPr>
          <w:spacing w:val="-8"/>
        </w:rPr>
        <w:t xml:space="preserve"> </w:t>
      </w:r>
      <w:r>
        <w:t>and</w:t>
      </w:r>
    </w:p>
    <w:p w14:paraId="51DE8D3C" w14:textId="77777777" w:rsidR="0010369C" w:rsidRDefault="008E43AE">
      <w:pPr>
        <w:ind w:left="1089"/>
        <w:jc w:val="both"/>
      </w:pPr>
      <w:r>
        <w:t>(b)</w:t>
      </w:r>
      <w:r>
        <w:rPr>
          <w:spacing w:val="-6"/>
        </w:rPr>
        <w:t xml:space="preserve"> </w:t>
      </w:r>
      <w:r>
        <w:t>the</w:t>
      </w:r>
      <w:r>
        <w:rPr>
          <w:spacing w:val="-6"/>
        </w:rPr>
        <w:t xml:space="preserve"> </w:t>
      </w:r>
      <w:r>
        <w:t>consequent</w:t>
      </w:r>
      <w:r>
        <w:rPr>
          <w:spacing w:val="-7"/>
        </w:rPr>
        <w:t xml:space="preserve"> </w:t>
      </w:r>
      <w:r>
        <w:t>impact</w:t>
      </w:r>
      <w:r>
        <w:rPr>
          <w:spacing w:val="-6"/>
        </w:rPr>
        <w:t xml:space="preserve"> </w:t>
      </w:r>
      <w:r>
        <w:t>of</w:t>
      </w:r>
      <w:r>
        <w:rPr>
          <w:spacing w:val="-7"/>
        </w:rPr>
        <w:t xml:space="preserve"> </w:t>
      </w:r>
      <w:r>
        <w:t>these</w:t>
      </w:r>
      <w:r>
        <w:rPr>
          <w:spacing w:val="-6"/>
        </w:rPr>
        <w:t xml:space="preserve"> </w:t>
      </w:r>
      <w:r>
        <w:t>imports</w:t>
      </w:r>
      <w:r>
        <w:rPr>
          <w:spacing w:val="-6"/>
        </w:rPr>
        <w:t xml:space="preserve"> </w:t>
      </w:r>
      <w:r>
        <w:t>on</w:t>
      </w:r>
      <w:r>
        <w:rPr>
          <w:spacing w:val="-7"/>
        </w:rPr>
        <w:t xml:space="preserve"> </w:t>
      </w:r>
      <w:r>
        <w:t>domestic</w:t>
      </w:r>
      <w:r>
        <w:rPr>
          <w:spacing w:val="-7"/>
        </w:rPr>
        <w:t xml:space="preserve"> </w:t>
      </w:r>
      <w:r>
        <w:t>producers</w:t>
      </w:r>
      <w:r>
        <w:rPr>
          <w:spacing w:val="-6"/>
        </w:rPr>
        <w:t xml:space="preserve"> </w:t>
      </w:r>
      <w:r>
        <w:t>of</w:t>
      </w:r>
      <w:r>
        <w:rPr>
          <w:spacing w:val="-7"/>
        </w:rPr>
        <w:t xml:space="preserve"> </w:t>
      </w:r>
      <w:r>
        <w:t>such</w:t>
      </w:r>
      <w:r>
        <w:rPr>
          <w:spacing w:val="-5"/>
        </w:rPr>
        <w:t xml:space="preserve"> </w:t>
      </w:r>
      <w:r>
        <w:rPr>
          <w:spacing w:val="-2"/>
        </w:rPr>
        <w:t>products.</w:t>
      </w:r>
    </w:p>
    <w:p w14:paraId="51DE8D3D" w14:textId="77777777" w:rsidR="0010369C" w:rsidRDefault="0010369C">
      <w:pPr>
        <w:pStyle w:val="BodyText"/>
        <w:spacing w:before="7"/>
        <w:rPr>
          <w:sz w:val="18"/>
        </w:rPr>
      </w:pPr>
    </w:p>
    <w:p w14:paraId="51DE8D3E" w14:textId="77777777" w:rsidR="0010369C" w:rsidRDefault="008E43AE">
      <w:pPr>
        <w:pStyle w:val="BodyText"/>
        <w:spacing w:before="52" w:line="360" w:lineRule="auto"/>
        <w:ind w:left="236" w:right="613" w:firstLine="852"/>
        <w:jc w:val="both"/>
      </w:pPr>
      <w:r>
        <w:rPr>
          <w:noProof/>
        </w:rPr>
        <w:drawing>
          <wp:anchor distT="0" distB="0" distL="0" distR="0" simplePos="0" relativeHeight="251180544" behindDoc="1" locked="0" layoutInCell="1" allowOverlap="1" wp14:anchorId="51DEA438" wp14:editId="51DEA439">
            <wp:simplePos x="0" y="0"/>
            <wp:positionH relativeFrom="page">
              <wp:posOffset>902208</wp:posOffset>
            </wp:positionH>
            <wp:positionV relativeFrom="paragraph">
              <wp:posOffset>81949</wp:posOffset>
            </wp:positionV>
            <wp:extent cx="262127" cy="100753"/>
            <wp:effectExtent l="0" t="0" r="0" b="0"/>
            <wp:wrapNone/>
            <wp:docPr id="1085" name="image5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 name="image554.png"/>
                    <pic:cNvPicPr/>
                  </pic:nvPicPr>
                  <pic:blipFill>
                    <a:blip r:embed="rId725" cstate="print"/>
                    <a:stretch>
                      <a:fillRect/>
                    </a:stretch>
                  </pic:blipFill>
                  <pic:spPr>
                    <a:xfrm>
                      <a:off x="0" y="0"/>
                      <a:ext cx="262127" cy="100753"/>
                    </a:xfrm>
                    <a:prstGeom prst="rect">
                      <a:avLst/>
                    </a:prstGeom>
                  </pic:spPr>
                </pic:pic>
              </a:graphicData>
            </a:graphic>
          </wp:anchor>
        </w:drawing>
      </w:r>
      <w:r>
        <w:t xml:space="preserve">The Appellate Body addressed the relationship between Article 3.1 and the other provisions in Article 3 in </w:t>
      </w:r>
      <w:r>
        <w:rPr>
          <w:i/>
        </w:rPr>
        <w:t>Thailand – H‐Beams</w:t>
      </w:r>
      <w:r>
        <w:t>, stating that "Article</w:t>
      </w:r>
      <w:r>
        <w:rPr>
          <w:spacing w:val="-1"/>
        </w:rPr>
        <w:t xml:space="preserve"> </w:t>
      </w:r>
      <w:r>
        <w:t xml:space="preserve">3 as a whole deals with obligations of Members with respect to the determination of injury. Article 3.1 is </w:t>
      </w:r>
      <w:r>
        <w:t>an overarching provision that sets forth a Member's fundamental, substantive obligation in this respect. Article 3.1 informs the more detailed obligations in succeeding paragraphs".</w:t>
      </w:r>
      <w:r>
        <w:rPr>
          <w:vertAlign w:val="superscript"/>
        </w:rPr>
        <w:t>603</w:t>
      </w:r>
    </w:p>
    <w:p w14:paraId="51DE8D3F" w14:textId="77777777" w:rsidR="0010369C" w:rsidRDefault="0010369C">
      <w:pPr>
        <w:pStyle w:val="BodyText"/>
        <w:spacing w:before="10"/>
        <w:rPr>
          <w:sz w:val="8"/>
        </w:rPr>
      </w:pPr>
    </w:p>
    <w:p w14:paraId="51DE8D40" w14:textId="77777777" w:rsidR="0010369C" w:rsidRDefault="008E43AE">
      <w:pPr>
        <w:pStyle w:val="BodyText"/>
        <w:spacing w:before="52" w:line="360" w:lineRule="auto"/>
        <w:ind w:left="237" w:right="613" w:firstLine="851"/>
        <w:jc w:val="both"/>
      </w:pPr>
      <w:r>
        <w:rPr>
          <w:noProof/>
        </w:rPr>
        <w:drawing>
          <wp:anchor distT="0" distB="0" distL="0" distR="0" simplePos="0" relativeHeight="251181568" behindDoc="1" locked="0" layoutInCell="1" allowOverlap="1" wp14:anchorId="51DEA43A" wp14:editId="51DEA43B">
            <wp:simplePos x="0" y="0"/>
            <wp:positionH relativeFrom="page">
              <wp:posOffset>902208</wp:posOffset>
            </wp:positionH>
            <wp:positionV relativeFrom="paragraph">
              <wp:posOffset>81950</wp:posOffset>
            </wp:positionV>
            <wp:extent cx="262127" cy="100753"/>
            <wp:effectExtent l="0" t="0" r="0" b="0"/>
            <wp:wrapNone/>
            <wp:docPr id="1087" name="image5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 name="image555.png"/>
                    <pic:cNvPicPr/>
                  </pic:nvPicPr>
                  <pic:blipFill>
                    <a:blip r:embed="rId726" cstate="print"/>
                    <a:stretch>
                      <a:fillRect/>
                    </a:stretch>
                  </pic:blipFill>
                  <pic:spPr>
                    <a:xfrm>
                      <a:off x="0" y="0"/>
                      <a:ext cx="262127" cy="100753"/>
                    </a:xfrm>
                    <a:prstGeom prst="rect">
                      <a:avLst/>
                    </a:prstGeom>
                  </pic:spPr>
                </pic:pic>
              </a:graphicData>
            </a:graphic>
          </wp:anchor>
        </w:drawing>
      </w:r>
      <w:r>
        <w:t>Article</w:t>
      </w:r>
      <w:r>
        <w:rPr>
          <w:spacing w:val="-13"/>
        </w:rPr>
        <w:t xml:space="preserve"> </w:t>
      </w:r>
      <w:r>
        <w:t>3.1</w:t>
      </w:r>
      <w:r>
        <w:rPr>
          <w:spacing w:val="-13"/>
        </w:rPr>
        <w:t xml:space="preserve"> </w:t>
      </w:r>
      <w:r>
        <w:t>of</w:t>
      </w:r>
      <w:r>
        <w:rPr>
          <w:spacing w:val="-14"/>
        </w:rPr>
        <w:t xml:space="preserve"> </w:t>
      </w:r>
      <w:r>
        <w:t>the</w:t>
      </w:r>
      <w:r>
        <w:rPr>
          <w:spacing w:val="-12"/>
        </w:rPr>
        <w:t xml:space="preserve"> </w:t>
      </w:r>
      <w:r>
        <w:t>Anti‐Dumping</w:t>
      </w:r>
      <w:r>
        <w:rPr>
          <w:spacing w:val="-13"/>
        </w:rPr>
        <w:t xml:space="preserve"> </w:t>
      </w:r>
      <w:r>
        <w:t>Agreement</w:t>
      </w:r>
      <w:r>
        <w:rPr>
          <w:spacing w:val="-14"/>
        </w:rPr>
        <w:t xml:space="preserve"> </w:t>
      </w:r>
      <w:r>
        <w:t>establishes</w:t>
      </w:r>
      <w:r>
        <w:rPr>
          <w:spacing w:val="-13"/>
        </w:rPr>
        <w:t xml:space="preserve"> </w:t>
      </w:r>
      <w:r>
        <w:t>an</w:t>
      </w:r>
      <w:r>
        <w:rPr>
          <w:spacing w:val="-13"/>
        </w:rPr>
        <w:t xml:space="preserve"> </w:t>
      </w:r>
      <w:r>
        <w:t>overarching</w:t>
      </w:r>
      <w:r>
        <w:rPr>
          <w:spacing w:val="-13"/>
        </w:rPr>
        <w:t xml:space="preserve"> </w:t>
      </w:r>
      <w:r>
        <w:t>obligation</w:t>
      </w:r>
      <w:r>
        <w:rPr>
          <w:spacing w:val="-12"/>
        </w:rPr>
        <w:t xml:space="preserve"> </w:t>
      </w:r>
      <w:r>
        <w:t>that a</w:t>
      </w:r>
      <w:r>
        <w:rPr>
          <w:spacing w:val="-3"/>
        </w:rPr>
        <w:t xml:space="preserve"> </w:t>
      </w:r>
      <w:r>
        <w:t>determination</w:t>
      </w:r>
      <w:r>
        <w:rPr>
          <w:spacing w:val="-2"/>
        </w:rPr>
        <w:t xml:space="preserve"> </w:t>
      </w:r>
      <w:r>
        <w:t>under</w:t>
      </w:r>
      <w:r>
        <w:rPr>
          <w:spacing w:val="-3"/>
        </w:rPr>
        <w:t xml:space="preserve"> </w:t>
      </w:r>
      <w:r>
        <w:t>Article</w:t>
      </w:r>
      <w:r>
        <w:rPr>
          <w:spacing w:val="-4"/>
        </w:rPr>
        <w:t xml:space="preserve"> </w:t>
      </w:r>
      <w:r>
        <w:t>3</w:t>
      </w:r>
      <w:r>
        <w:rPr>
          <w:spacing w:val="-3"/>
        </w:rPr>
        <w:t xml:space="preserve"> </w:t>
      </w:r>
      <w:r>
        <w:t>"shall</w:t>
      </w:r>
      <w:r>
        <w:rPr>
          <w:spacing w:val="-3"/>
        </w:rPr>
        <w:t xml:space="preserve"> </w:t>
      </w:r>
      <w:r>
        <w:t>be</w:t>
      </w:r>
      <w:r>
        <w:rPr>
          <w:spacing w:val="-2"/>
        </w:rPr>
        <w:t xml:space="preserve"> </w:t>
      </w:r>
      <w:r>
        <w:t>based</w:t>
      </w:r>
      <w:r>
        <w:rPr>
          <w:spacing w:val="-4"/>
        </w:rPr>
        <w:t xml:space="preserve"> </w:t>
      </w:r>
      <w:r>
        <w:t>on</w:t>
      </w:r>
      <w:r>
        <w:rPr>
          <w:spacing w:val="-3"/>
        </w:rPr>
        <w:t xml:space="preserve"> </w:t>
      </w:r>
      <w:r>
        <w:t>positive</w:t>
      </w:r>
      <w:r>
        <w:rPr>
          <w:spacing w:val="-2"/>
        </w:rPr>
        <w:t xml:space="preserve"> </w:t>
      </w:r>
      <w:r>
        <w:t>evidence</w:t>
      </w:r>
      <w:r>
        <w:rPr>
          <w:spacing w:val="-4"/>
        </w:rPr>
        <w:t xml:space="preserve"> </w:t>
      </w:r>
      <w:r>
        <w:t>and</w:t>
      </w:r>
      <w:r>
        <w:rPr>
          <w:spacing w:val="-3"/>
        </w:rPr>
        <w:t xml:space="preserve"> </w:t>
      </w:r>
      <w:r>
        <w:t>involve</w:t>
      </w:r>
      <w:r>
        <w:rPr>
          <w:spacing w:val="-1"/>
        </w:rPr>
        <w:t xml:space="preserve"> </w:t>
      </w:r>
      <w:r>
        <w:t>an</w:t>
      </w:r>
      <w:r>
        <w:rPr>
          <w:spacing w:val="-4"/>
        </w:rPr>
        <w:t xml:space="preserve"> </w:t>
      </w:r>
      <w:r>
        <w:t>objective examination".</w:t>
      </w:r>
      <w:r>
        <w:rPr>
          <w:spacing w:val="-11"/>
        </w:rPr>
        <w:t xml:space="preserve"> </w:t>
      </w:r>
      <w:r>
        <w:t>The</w:t>
      </w:r>
      <w:r>
        <w:rPr>
          <w:spacing w:val="-10"/>
        </w:rPr>
        <w:t xml:space="preserve"> </w:t>
      </w:r>
      <w:r>
        <w:t>Appellate</w:t>
      </w:r>
      <w:r>
        <w:rPr>
          <w:spacing w:val="-11"/>
        </w:rPr>
        <w:t xml:space="preserve"> </w:t>
      </w:r>
      <w:r>
        <w:t>Body</w:t>
      </w:r>
      <w:r>
        <w:rPr>
          <w:spacing w:val="-11"/>
        </w:rPr>
        <w:t xml:space="preserve"> </w:t>
      </w:r>
      <w:r>
        <w:t>confirmed</w:t>
      </w:r>
      <w:r>
        <w:rPr>
          <w:spacing w:val="-11"/>
        </w:rPr>
        <w:t xml:space="preserve"> </w:t>
      </w:r>
      <w:r>
        <w:t>in</w:t>
      </w:r>
      <w:r>
        <w:rPr>
          <w:spacing w:val="-11"/>
        </w:rPr>
        <w:t xml:space="preserve"> </w:t>
      </w:r>
      <w:r>
        <w:rPr>
          <w:i/>
        </w:rPr>
        <w:t>US</w:t>
      </w:r>
      <w:r>
        <w:rPr>
          <w:i/>
          <w:spacing w:val="-12"/>
        </w:rPr>
        <w:t xml:space="preserve"> </w:t>
      </w:r>
      <w:r>
        <w:rPr>
          <w:i/>
        </w:rPr>
        <w:t>–</w:t>
      </w:r>
      <w:r>
        <w:rPr>
          <w:i/>
          <w:spacing w:val="-11"/>
        </w:rPr>
        <w:t xml:space="preserve"> </w:t>
      </w:r>
      <w:r>
        <w:rPr>
          <w:i/>
        </w:rPr>
        <w:t>Hot‐Rolled</w:t>
      </w:r>
      <w:r>
        <w:rPr>
          <w:i/>
          <w:spacing w:val="-11"/>
        </w:rPr>
        <w:t xml:space="preserve"> </w:t>
      </w:r>
      <w:r>
        <w:rPr>
          <w:i/>
        </w:rPr>
        <w:t>Steel</w:t>
      </w:r>
      <w:r>
        <w:t>,</w:t>
      </w:r>
      <w:r>
        <w:rPr>
          <w:spacing w:val="-11"/>
        </w:rPr>
        <w:t xml:space="preserve"> </w:t>
      </w:r>
      <w:r>
        <w:t>when</w:t>
      </w:r>
      <w:r>
        <w:rPr>
          <w:spacing w:val="-11"/>
        </w:rPr>
        <w:t xml:space="preserve"> </w:t>
      </w:r>
      <w:r>
        <w:t>addressing</w:t>
      </w:r>
      <w:r>
        <w:rPr>
          <w:spacing w:val="-11"/>
        </w:rPr>
        <w:t xml:space="preserve"> </w:t>
      </w:r>
      <w:r>
        <w:t>Article 3.1, that the term "positive evidence" relates to "the quality of the evidence that authorities may rely upon in making a determination", with "positive" requiring that it "must be of an affirmative, objective and verifiable character, and … [be] c</w:t>
      </w:r>
      <w:r>
        <w:t>redible".</w:t>
      </w:r>
      <w:r>
        <w:rPr>
          <w:vertAlign w:val="superscript"/>
        </w:rPr>
        <w:t>604</w:t>
      </w:r>
    </w:p>
    <w:p w14:paraId="51DE8D41" w14:textId="77777777" w:rsidR="0010369C" w:rsidRDefault="0010369C">
      <w:pPr>
        <w:pStyle w:val="BodyText"/>
        <w:spacing w:before="11"/>
        <w:rPr>
          <w:sz w:val="8"/>
        </w:rPr>
      </w:pPr>
    </w:p>
    <w:p w14:paraId="51DE8D42" w14:textId="77777777" w:rsidR="0010369C" w:rsidRDefault="008E43AE">
      <w:pPr>
        <w:pStyle w:val="BodyText"/>
        <w:spacing w:before="52" w:line="360" w:lineRule="auto"/>
        <w:ind w:left="237" w:right="612" w:firstLine="851"/>
        <w:jc w:val="both"/>
      </w:pPr>
      <w:r>
        <w:rPr>
          <w:noProof/>
        </w:rPr>
        <w:drawing>
          <wp:anchor distT="0" distB="0" distL="0" distR="0" simplePos="0" relativeHeight="251182592" behindDoc="1" locked="0" layoutInCell="1" allowOverlap="1" wp14:anchorId="51DEA43C" wp14:editId="51DEA43D">
            <wp:simplePos x="0" y="0"/>
            <wp:positionH relativeFrom="page">
              <wp:posOffset>902208</wp:posOffset>
            </wp:positionH>
            <wp:positionV relativeFrom="paragraph">
              <wp:posOffset>76786</wp:posOffset>
            </wp:positionV>
            <wp:extent cx="262127" cy="106679"/>
            <wp:effectExtent l="0" t="0" r="0" b="0"/>
            <wp:wrapNone/>
            <wp:docPr id="1089" name="image5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 name="image556.png"/>
                    <pic:cNvPicPr/>
                  </pic:nvPicPr>
                  <pic:blipFill>
                    <a:blip r:embed="rId727" cstate="print"/>
                    <a:stretch>
                      <a:fillRect/>
                    </a:stretch>
                  </pic:blipFill>
                  <pic:spPr>
                    <a:xfrm>
                      <a:off x="0" y="0"/>
                      <a:ext cx="262127" cy="106679"/>
                    </a:xfrm>
                    <a:prstGeom prst="rect">
                      <a:avLst/>
                    </a:prstGeom>
                  </pic:spPr>
                </pic:pic>
              </a:graphicData>
            </a:graphic>
          </wp:anchor>
        </w:drawing>
      </w:r>
      <w:r>
        <w:t>As</w:t>
      </w:r>
      <w:r>
        <w:rPr>
          <w:spacing w:val="-7"/>
        </w:rPr>
        <w:t xml:space="preserve"> </w:t>
      </w:r>
      <w:r>
        <w:t>to</w:t>
      </w:r>
      <w:r>
        <w:rPr>
          <w:spacing w:val="-6"/>
        </w:rPr>
        <w:t xml:space="preserve"> </w:t>
      </w:r>
      <w:r>
        <w:t>the</w:t>
      </w:r>
      <w:r>
        <w:rPr>
          <w:spacing w:val="-6"/>
        </w:rPr>
        <w:t xml:space="preserve"> </w:t>
      </w:r>
      <w:r>
        <w:t>term</w:t>
      </w:r>
      <w:r>
        <w:rPr>
          <w:spacing w:val="-6"/>
        </w:rPr>
        <w:t xml:space="preserve"> </w:t>
      </w:r>
      <w:r>
        <w:t>"objective</w:t>
      </w:r>
      <w:r>
        <w:rPr>
          <w:spacing w:val="-6"/>
        </w:rPr>
        <w:t xml:space="preserve"> </w:t>
      </w:r>
      <w:r>
        <w:t>examination",</w:t>
      </w:r>
      <w:r>
        <w:rPr>
          <w:spacing w:val="-7"/>
        </w:rPr>
        <w:t xml:space="preserve"> </w:t>
      </w:r>
      <w:r>
        <w:t>the</w:t>
      </w:r>
      <w:r>
        <w:rPr>
          <w:spacing w:val="-7"/>
        </w:rPr>
        <w:t xml:space="preserve"> </w:t>
      </w:r>
      <w:r>
        <w:t>Appellate</w:t>
      </w:r>
      <w:r>
        <w:rPr>
          <w:spacing w:val="-7"/>
        </w:rPr>
        <w:t xml:space="preserve"> </w:t>
      </w:r>
      <w:r>
        <w:t>Body</w:t>
      </w:r>
      <w:r>
        <w:rPr>
          <w:spacing w:val="-7"/>
        </w:rPr>
        <w:t xml:space="preserve"> </w:t>
      </w:r>
      <w:r>
        <w:t>explained</w:t>
      </w:r>
      <w:r>
        <w:rPr>
          <w:spacing w:val="-7"/>
        </w:rPr>
        <w:t xml:space="preserve"> </w:t>
      </w:r>
      <w:r>
        <w:t>that</w:t>
      </w:r>
      <w:r>
        <w:rPr>
          <w:spacing w:val="-6"/>
        </w:rPr>
        <w:t xml:space="preserve"> </w:t>
      </w:r>
      <w:r>
        <w:t>the</w:t>
      </w:r>
      <w:r>
        <w:rPr>
          <w:spacing w:val="-6"/>
        </w:rPr>
        <w:t xml:space="preserve"> </w:t>
      </w:r>
      <w:r>
        <w:t>use</w:t>
      </w:r>
      <w:r>
        <w:rPr>
          <w:spacing w:val="-7"/>
        </w:rPr>
        <w:t xml:space="preserve"> </w:t>
      </w:r>
      <w:r>
        <w:t>of "objective" requires the examination to "conform to the dictates of the basic principles of good</w:t>
      </w:r>
      <w:r>
        <w:rPr>
          <w:spacing w:val="-14"/>
        </w:rPr>
        <w:t xml:space="preserve"> </w:t>
      </w:r>
      <w:r>
        <w:t>faith</w:t>
      </w:r>
      <w:r>
        <w:rPr>
          <w:spacing w:val="-14"/>
        </w:rPr>
        <w:t xml:space="preserve"> </w:t>
      </w:r>
      <w:r>
        <w:t>and</w:t>
      </w:r>
      <w:r>
        <w:rPr>
          <w:spacing w:val="-13"/>
        </w:rPr>
        <w:t xml:space="preserve"> </w:t>
      </w:r>
      <w:r>
        <w:t>fundamental</w:t>
      </w:r>
      <w:r>
        <w:rPr>
          <w:spacing w:val="-9"/>
        </w:rPr>
        <w:t xml:space="preserve"> </w:t>
      </w:r>
      <w:r>
        <w:t>fairness".</w:t>
      </w:r>
      <w:r>
        <w:rPr>
          <w:vertAlign w:val="superscript"/>
        </w:rPr>
        <w:t>605</w:t>
      </w:r>
      <w:r>
        <w:rPr>
          <w:spacing w:val="-14"/>
        </w:rPr>
        <w:t xml:space="preserve"> </w:t>
      </w:r>
      <w:r>
        <w:t>This</w:t>
      </w:r>
      <w:r>
        <w:rPr>
          <w:spacing w:val="-10"/>
        </w:rPr>
        <w:t xml:space="preserve"> </w:t>
      </w:r>
      <w:r>
        <w:t>means</w:t>
      </w:r>
      <w:r>
        <w:rPr>
          <w:spacing w:val="-10"/>
        </w:rPr>
        <w:t xml:space="preserve"> </w:t>
      </w:r>
      <w:r>
        <w:t>that</w:t>
      </w:r>
      <w:r>
        <w:rPr>
          <w:spacing w:val="-9"/>
        </w:rPr>
        <w:t xml:space="preserve"> </w:t>
      </w:r>
      <w:r>
        <w:t>"the</w:t>
      </w:r>
      <w:r>
        <w:rPr>
          <w:spacing w:val="-9"/>
        </w:rPr>
        <w:t xml:space="preserve"> </w:t>
      </w:r>
      <w:r>
        <w:t>identification,</w:t>
      </w:r>
      <w:r>
        <w:rPr>
          <w:spacing w:val="-9"/>
        </w:rPr>
        <w:t xml:space="preserve"> </w:t>
      </w:r>
      <w:r>
        <w:t>investigation</w:t>
      </w:r>
      <w:r>
        <w:rPr>
          <w:spacing w:val="-9"/>
        </w:rPr>
        <w:t xml:space="preserve"> </w:t>
      </w:r>
      <w:r>
        <w:t>and evaluation of the relevant factors must be even‐handed".</w:t>
      </w:r>
      <w:r>
        <w:rPr>
          <w:vertAlign w:val="superscript"/>
        </w:rPr>
        <w:t>606</w:t>
      </w:r>
      <w:r>
        <w:t xml:space="preserve"> To pe</w:t>
      </w:r>
      <w:r>
        <w:t>rform an objective examination,</w:t>
      </w:r>
      <w:r>
        <w:rPr>
          <w:spacing w:val="-4"/>
        </w:rPr>
        <w:t xml:space="preserve"> </w:t>
      </w:r>
      <w:r>
        <w:t>the</w:t>
      </w:r>
      <w:r>
        <w:rPr>
          <w:spacing w:val="-3"/>
        </w:rPr>
        <w:t xml:space="preserve"> </w:t>
      </w:r>
      <w:r>
        <w:t>authority</w:t>
      </w:r>
      <w:r>
        <w:rPr>
          <w:spacing w:val="-3"/>
        </w:rPr>
        <w:t xml:space="preserve"> </w:t>
      </w:r>
      <w:r>
        <w:t>"must</w:t>
      </w:r>
      <w:r>
        <w:rPr>
          <w:spacing w:val="-4"/>
        </w:rPr>
        <w:t xml:space="preserve"> </w:t>
      </w:r>
      <w:r>
        <w:t>also</w:t>
      </w:r>
      <w:r>
        <w:rPr>
          <w:spacing w:val="-3"/>
        </w:rPr>
        <w:t xml:space="preserve"> </w:t>
      </w:r>
      <w:r>
        <w:t>take</w:t>
      </w:r>
      <w:r>
        <w:rPr>
          <w:spacing w:val="-3"/>
        </w:rPr>
        <w:t xml:space="preserve"> </w:t>
      </w:r>
      <w:r>
        <w:t>into</w:t>
      </w:r>
      <w:r>
        <w:rPr>
          <w:spacing w:val="-3"/>
        </w:rPr>
        <w:t xml:space="preserve"> </w:t>
      </w:r>
      <w:r>
        <w:t>account</w:t>
      </w:r>
      <w:r>
        <w:rPr>
          <w:spacing w:val="-4"/>
        </w:rPr>
        <w:t xml:space="preserve"> </w:t>
      </w:r>
      <w:r>
        <w:t>the</w:t>
      </w:r>
      <w:r>
        <w:rPr>
          <w:spacing w:val="-4"/>
        </w:rPr>
        <w:t xml:space="preserve"> </w:t>
      </w:r>
      <w:r>
        <w:t>evidence</w:t>
      </w:r>
      <w:r>
        <w:rPr>
          <w:spacing w:val="-4"/>
        </w:rPr>
        <w:t xml:space="preserve"> </w:t>
      </w:r>
      <w:r>
        <w:t>that</w:t>
      </w:r>
      <w:r>
        <w:rPr>
          <w:spacing w:val="-5"/>
        </w:rPr>
        <w:t xml:space="preserve"> </w:t>
      </w:r>
      <w:r>
        <w:t>appears</w:t>
      </w:r>
      <w:r>
        <w:rPr>
          <w:spacing w:val="-4"/>
        </w:rPr>
        <w:t xml:space="preserve"> </w:t>
      </w:r>
      <w:r>
        <w:t>to</w:t>
      </w:r>
      <w:r>
        <w:rPr>
          <w:spacing w:val="-3"/>
        </w:rPr>
        <w:t xml:space="preserve"> </w:t>
      </w:r>
      <w:r>
        <w:t>conflict with</w:t>
      </w:r>
      <w:r>
        <w:rPr>
          <w:spacing w:val="-13"/>
        </w:rPr>
        <w:t xml:space="preserve"> </w:t>
      </w:r>
      <w:r>
        <w:t>its</w:t>
      </w:r>
      <w:r>
        <w:rPr>
          <w:spacing w:val="-13"/>
        </w:rPr>
        <w:t xml:space="preserve"> </w:t>
      </w:r>
      <w:r>
        <w:t>own</w:t>
      </w:r>
      <w:r>
        <w:rPr>
          <w:spacing w:val="-13"/>
        </w:rPr>
        <w:t xml:space="preserve"> </w:t>
      </w:r>
      <w:r>
        <w:t>hypotheses,</w:t>
      </w:r>
      <w:r>
        <w:rPr>
          <w:spacing w:val="-12"/>
        </w:rPr>
        <w:t xml:space="preserve"> </w:t>
      </w:r>
      <w:r>
        <w:t>and</w:t>
      </w:r>
      <w:r>
        <w:rPr>
          <w:spacing w:val="-12"/>
        </w:rPr>
        <w:t xml:space="preserve"> </w:t>
      </w:r>
      <w:r>
        <w:t>explain</w:t>
      </w:r>
      <w:r>
        <w:rPr>
          <w:spacing w:val="-14"/>
        </w:rPr>
        <w:t xml:space="preserve"> </w:t>
      </w:r>
      <w:r>
        <w:t>how</w:t>
      </w:r>
      <w:r>
        <w:rPr>
          <w:spacing w:val="-12"/>
        </w:rPr>
        <w:t xml:space="preserve"> </w:t>
      </w:r>
      <w:r>
        <w:t>it</w:t>
      </w:r>
      <w:r>
        <w:rPr>
          <w:spacing w:val="-11"/>
        </w:rPr>
        <w:t xml:space="preserve"> </w:t>
      </w:r>
      <w:r>
        <w:t>has</w:t>
      </w:r>
      <w:r>
        <w:rPr>
          <w:spacing w:val="-13"/>
        </w:rPr>
        <w:t xml:space="preserve"> </w:t>
      </w:r>
      <w:r>
        <w:t>reconciled</w:t>
      </w:r>
      <w:r>
        <w:rPr>
          <w:spacing w:val="-12"/>
        </w:rPr>
        <w:t xml:space="preserve"> </w:t>
      </w:r>
      <w:r>
        <w:t>conflicting</w:t>
      </w:r>
      <w:r>
        <w:rPr>
          <w:spacing w:val="-12"/>
        </w:rPr>
        <w:t xml:space="preserve"> </w:t>
      </w:r>
      <w:r>
        <w:t>evidence</w:t>
      </w:r>
      <w:r>
        <w:rPr>
          <w:spacing w:val="-13"/>
        </w:rPr>
        <w:t xml:space="preserve"> </w:t>
      </w:r>
      <w:r>
        <w:t>in</w:t>
      </w:r>
      <w:r>
        <w:rPr>
          <w:spacing w:val="-13"/>
        </w:rPr>
        <w:t xml:space="preserve"> </w:t>
      </w:r>
      <w:r>
        <w:t>reaching</w:t>
      </w:r>
      <w:r>
        <w:rPr>
          <w:spacing w:val="-13"/>
        </w:rPr>
        <w:t xml:space="preserve"> </w:t>
      </w:r>
      <w:r>
        <w:rPr>
          <w:spacing w:val="-5"/>
        </w:rPr>
        <w:t>its</w:t>
      </w:r>
    </w:p>
    <w:p w14:paraId="51DE8D43" w14:textId="77777777" w:rsidR="0010369C" w:rsidRDefault="0010369C">
      <w:pPr>
        <w:pStyle w:val="BodyText"/>
        <w:rPr>
          <w:sz w:val="20"/>
        </w:rPr>
      </w:pPr>
    </w:p>
    <w:p w14:paraId="51DE8D44" w14:textId="77777777" w:rsidR="0010369C" w:rsidRDefault="008E43AE">
      <w:pPr>
        <w:pStyle w:val="BodyText"/>
        <w:spacing w:before="8"/>
        <w:rPr>
          <w:sz w:val="25"/>
        </w:rPr>
      </w:pPr>
      <w:r>
        <w:pict w14:anchorId="51DEA43E">
          <v:rect id="docshape1010" o:spid="_x0000_s1359" style="position:absolute;margin-left:70.9pt;margin-top:16.9pt;width:2in;height:.8pt;z-index:-250845696;mso-wrap-distance-left:0;mso-wrap-distance-right:0;mso-position-horizontal-relative:page" fillcolor="black" stroked="f">
            <w10:wrap type="topAndBottom" anchorx="page"/>
          </v:rect>
        </w:pict>
      </w:r>
    </w:p>
    <w:p w14:paraId="51DE8D45" w14:textId="77777777" w:rsidR="0010369C" w:rsidRDefault="008E43AE">
      <w:pPr>
        <w:spacing w:before="110"/>
        <w:ind w:left="238"/>
        <w:rPr>
          <w:sz w:val="18"/>
        </w:rPr>
      </w:pPr>
      <w:r>
        <w:rPr>
          <w:sz w:val="18"/>
          <w:vertAlign w:val="superscript"/>
        </w:rPr>
        <w:t>603</w:t>
      </w:r>
      <w:r>
        <w:rPr>
          <w:spacing w:val="-13"/>
          <w:sz w:val="18"/>
        </w:rPr>
        <w:t xml:space="preserve"> </w:t>
      </w:r>
      <w:r>
        <w:rPr>
          <w:sz w:val="18"/>
        </w:rPr>
        <w:t>Appellate</w:t>
      </w:r>
      <w:r>
        <w:rPr>
          <w:spacing w:val="-10"/>
          <w:sz w:val="18"/>
        </w:rPr>
        <w:t xml:space="preserve"> </w:t>
      </w:r>
      <w:r>
        <w:rPr>
          <w:sz w:val="18"/>
        </w:rPr>
        <w:t>Body</w:t>
      </w:r>
      <w:r>
        <w:rPr>
          <w:spacing w:val="-6"/>
          <w:sz w:val="18"/>
        </w:rPr>
        <w:t xml:space="preserve"> </w:t>
      </w:r>
      <w:r>
        <w:rPr>
          <w:sz w:val="18"/>
        </w:rPr>
        <w:t>Report,</w:t>
      </w:r>
      <w:r>
        <w:rPr>
          <w:spacing w:val="-6"/>
          <w:sz w:val="18"/>
        </w:rPr>
        <w:t xml:space="preserve"> </w:t>
      </w:r>
      <w:r>
        <w:rPr>
          <w:i/>
          <w:sz w:val="18"/>
        </w:rPr>
        <w:t>Thailand</w:t>
      </w:r>
      <w:r>
        <w:rPr>
          <w:i/>
          <w:spacing w:val="-5"/>
          <w:sz w:val="18"/>
        </w:rPr>
        <w:t xml:space="preserve"> </w:t>
      </w:r>
      <w:r>
        <w:rPr>
          <w:i/>
          <w:sz w:val="18"/>
        </w:rPr>
        <w:t>–</w:t>
      </w:r>
      <w:r>
        <w:rPr>
          <w:i/>
          <w:spacing w:val="-5"/>
          <w:sz w:val="18"/>
        </w:rPr>
        <w:t xml:space="preserve"> </w:t>
      </w:r>
      <w:r>
        <w:rPr>
          <w:i/>
          <w:sz w:val="18"/>
        </w:rPr>
        <w:t>H‐Beams</w:t>
      </w:r>
      <w:r>
        <w:rPr>
          <w:sz w:val="18"/>
        </w:rPr>
        <w:t>,</w:t>
      </w:r>
      <w:r>
        <w:rPr>
          <w:spacing w:val="-7"/>
          <w:sz w:val="18"/>
        </w:rPr>
        <w:t xml:space="preserve"> </w:t>
      </w:r>
      <w:r>
        <w:rPr>
          <w:sz w:val="18"/>
        </w:rPr>
        <w:t>para.</w:t>
      </w:r>
      <w:r>
        <w:rPr>
          <w:spacing w:val="-6"/>
          <w:sz w:val="18"/>
        </w:rPr>
        <w:t xml:space="preserve"> </w:t>
      </w:r>
      <w:r>
        <w:rPr>
          <w:sz w:val="18"/>
        </w:rPr>
        <w:t>106;</w:t>
      </w:r>
      <w:r>
        <w:rPr>
          <w:spacing w:val="-6"/>
          <w:sz w:val="18"/>
        </w:rPr>
        <w:t xml:space="preserve"> </w:t>
      </w:r>
      <w:r>
        <w:rPr>
          <w:sz w:val="18"/>
        </w:rPr>
        <w:t>see</w:t>
      </w:r>
      <w:r>
        <w:rPr>
          <w:spacing w:val="-7"/>
          <w:sz w:val="18"/>
        </w:rPr>
        <w:t xml:space="preserve"> </w:t>
      </w:r>
      <w:r>
        <w:rPr>
          <w:sz w:val="18"/>
        </w:rPr>
        <w:t>also</w:t>
      </w:r>
      <w:r>
        <w:rPr>
          <w:spacing w:val="-6"/>
          <w:sz w:val="18"/>
        </w:rPr>
        <w:t xml:space="preserve"> </w:t>
      </w:r>
      <w:r>
        <w:rPr>
          <w:sz w:val="18"/>
        </w:rPr>
        <w:t>Appellate</w:t>
      </w:r>
      <w:r>
        <w:rPr>
          <w:spacing w:val="-6"/>
          <w:sz w:val="18"/>
        </w:rPr>
        <w:t xml:space="preserve"> </w:t>
      </w:r>
      <w:r>
        <w:rPr>
          <w:sz w:val="18"/>
        </w:rPr>
        <w:t>Body</w:t>
      </w:r>
      <w:r>
        <w:rPr>
          <w:spacing w:val="-7"/>
          <w:sz w:val="18"/>
        </w:rPr>
        <w:t xml:space="preserve"> </w:t>
      </w:r>
      <w:r>
        <w:rPr>
          <w:sz w:val="18"/>
        </w:rPr>
        <w:t>Report,</w:t>
      </w:r>
      <w:r>
        <w:rPr>
          <w:spacing w:val="-6"/>
          <w:sz w:val="18"/>
        </w:rPr>
        <w:t xml:space="preserve"> </w:t>
      </w:r>
      <w:r>
        <w:rPr>
          <w:i/>
          <w:sz w:val="18"/>
        </w:rPr>
        <w:t>US</w:t>
      </w:r>
      <w:r>
        <w:rPr>
          <w:i/>
          <w:spacing w:val="-5"/>
          <w:sz w:val="18"/>
        </w:rPr>
        <w:t xml:space="preserve"> </w:t>
      </w:r>
      <w:r>
        <w:rPr>
          <w:i/>
          <w:sz w:val="18"/>
        </w:rPr>
        <w:t>–</w:t>
      </w:r>
      <w:r>
        <w:rPr>
          <w:i/>
          <w:spacing w:val="-6"/>
          <w:sz w:val="18"/>
        </w:rPr>
        <w:t xml:space="preserve"> </w:t>
      </w:r>
      <w:r>
        <w:rPr>
          <w:i/>
          <w:sz w:val="18"/>
        </w:rPr>
        <w:t>Hot‐Rolled</w:t>
      </w:r>
      <w:r>
        <w:rPr>
          <w:i/>
          <w:spacing w:val="-5"/>
          <w:sz w:val="18"/>
        </w:rPr>
        <w:t xml:space="preserve"> </w:t>
      </w:r>
      <w:r>
        <w:rPr>
          <w:i/>
          <w:sz w:val="18"/>
        </w:rPr>
        <w:t>Steel</w:t>
      </w:r>
      <w:r>
        <w:rPr>
          <w:sz w:val="18"/>
        </w:rPr>
        <w:t>,</w:t>
      </w:r>
      <w:r>
        <w:rPr>
          <w:spacing w:val="-7"/>
          <w:sz w:val="18"/>
        </w:rPr>
        <w:t xml:space="preserve"> </w:t>
      </w:r>
      <w:r>
        <w:rPr>
          <w:sz w:val="18"/>
        </w:rPr>
        <w:t>para.</w:t>
      </w:r>
      <w:r>
        <w:rPr>
          <w:spacing w:val="-6"/>
          <w:sz w:val="18"/>
        </w:rPr>
        <w:t xml:space="preserve"> </w:t>
      </w:r>
      <w:r>
        <w:rPr>
          <w:spacing w:val="-4"/>
          <w:sz w:val="18"/>
        </w:rPr>
        <w:t>192.</w:t>
      </w:r>
    </w:p>
    <w:p w14:paraId="51DE8D46" w14:textId="77777777" w:rsidR="0010369C" w:rsidRDefault="008E43AE">
      <w:pPr>
        <w:ind w:left="238"/>
        <w:rPr>
          <w:sz w:val="18"/>
        </w:rPr>
      </w:pPr>
      <w:r>
        <w:rPr>
          <w:sz w:val="18"/>
          <w:vertAlign w:val="superscript"/>
        </w:rPr>
        <w:t>604</w:t>
      </w:r>
      <w:r>
        <w:rPr>
          <w:spacing w:val="-13"/>
          <w:sz w:val="18"/>
        </w:rPr>
        <w:t xml:space="preserve"> </w:t>
      </w:r>
      <w:r>
        <w:rPr>
          <w:sz w:val="18"/>
        </w:rPr>
        <w:t>Appellate</w:t>
      </w:r>
      <w:r>
        <w:rPr>
          <w:spacing w:val="-10"/>
          <w:sz w:val="18"/>
        </w:rPr>
        <w:t xml:space="preserve"> </w:t>
      </w:r>
      <w:r>
        <w:rPr>
          <w:sz w:val="18"/>
        </w:rPr>
        <w:t>Body</w:t>
      </w:r>
      <w:r>
        <w:rPr>
          <w:spacing w:val="-7"/>
          <w:sz w:val="18"/>
        </w:rPr>
        <w:t xml:space="preserve"> </w:t>
      </w:r>
      <w:r>
        <w:rPr>
          <w:sz w:val="18"/>
        </w:rPr>
        <w:t>Report,</w:t>
      </w:r>
      <w:r>
        <w:rPr>
          <w:spacing w:val="-5"/>
          <w:sz w:val="18"/>
        </w:rPr>
        <w:t xml:space="preserve"> </w:t>
      </w:r>
      <w:r>
        <w:rPr>
          <w:i/>
          <w:sz w:val="18"/>
        </w:rPr>
        <w:t>US</w:t>
      </w:r>
      <w:r>
        <w:rPr>
          <w:i/>
          <w:spacing w:val="-6"/>
          <w:sz w:val="18"/>
        </w:rPr>
        <w:t xml:space="preserve"> </w:t>
      </w:r>
      <w:r>
        <w:rPr>
          <w:i/>
          <w:sz w:val="18"/>
        </w:rPr>
        <w:t>–</w:t>
      </w:r>
      <w:r>
        <w:rPr>
          <w:i/>
          <w:spacing w:val="-6"/>
          <w:sz w:val="18"/>
        </w:rPr>
        <w:t xml:space="preserve"> </w:t>
      </w:r>
      <w:r>
        <w:rPr>
          <w:i/>
          <w:sz w:val="18"/>
        </w:rPr>
        <w:t>Hot‐Rolled</w:t>
      </w:r>
      <w:r>
        <w:rPr>
          <w:i/>
          <w:spacing w:val="-6"/>
          <w:sz w:val="18"/>
        </w:rPr>
        <w:t xml:space="preserve"> </w:t>
      </w:r>
      <w:r>
        <w:rPr>
          <w:i/>
          <w:sz w:val="18"/>
        </w:rPr>
        <w:t>Steel</w:t>
      </w:r>
      <w:r>
        <w:rPr>
          <w:sz w:val="18"/>
        </w:rPr>
        <w:t>,</w:t>
      </w:r>
      <w:r>
        <w:rPr>
          <w:spacing w:val="-6"/>
          <w:sz w:val="18"/>
        </w:rPr>
        <w:t xml:space="preserve"> </w:t>
      </w:r>
      <w:r>
        <w:rPr>
          <w:sz w:val="18"/>
        </w:rPr>
        <w:t>para.</w:t>
      </w:r>
      <w:r>
        <w:rPr>
          <w:spacing w:val="-6"/>
          <w:sz w:val="18"/>
        </w:rPr>
        <w:t xml:space="preserve"> </w:t>
      </w:r>
      <w:r>
        <w:rPr>
          <w:spacing w:val="-4"/>
          <w:sz w:val="18"/>
        </w:rPr>
        <w:t>192.</w:t>
      </w:r>
    </w:p>
    <w:p w14:paraId="51DE8D47" w14:textId="77777777" w:rsidR="0010369C" w:rsidRDefault="008E43AE">
      <w:pPr>
        <w:ind w:left="238"/>
        <w:rPr>
          <w:sz w:val="18"/>
        </w:rPr>
      </w:pPr>
      <w:r>
        <w:rPr>
          <w:sz w:val="18"/>
          <w:vertAlign w:val="superscript"/>
        </w:rPr>
        <w:t>605</w:t>
      </w:r>
      <w:r>
        <w:rPr>
          <w:spacing w:val="-13"/>
          <w:sz w:val="18"/>
        </w:rPr>
        <w:t xml:space="preserve"> </w:t>
      </w:r>
      <w:r>
        <w:rPr>
          <w:sz w:val="18"/>
        </w:rPr>
        <w:t>Appellate</w:t>
      </w:r>
      <w:r>
        <w:rPr>
          <w:spacing w:val="-11"/>
          <w:sz w:val="18"/>
        </w:rPr>
        <w:t xml:space="preserve"> </w:t>
      </w:r>
      <w:r>
        <w:rPr>
          <w:sz w:val="18"/>
        </w:rPr>
        <w:t>Body</w:t>
      </w:r>
      <w:r>
        <w:rPr>
          <w:spacing w:val="-7"/>
          <w:sz w:val="18"/>
        </w:rPr>
        <w:t xml:space="preserve"> </w:t>
      </w:r>
      <w:r>
        <w:rPr>
          <w:sz w:val="18"/>
        </w:rPr>
        <w:t>Report,</w:t>
      </w:r>
      <w:r>
        <w:rPr>
          <w:spacing w:val="-7"/>
          <w:sz w:val="18"/>
        </w:rPr>
        <w:t xml:space="preserve"> </w:t>
      </w:r>
      <w:r>
        <w:rPr>
          <w:i/>
          <w:sz w:val="18"/>
        </w:rPr>
        <w:t>US</w:t>
      </w:r>
      <w:r>
        <w:rPr>
          <w:i/>
          <w:spacing w:val="-6"/>
          <w:sz w:val="18"/>
        </w:rPr>
        <w:t xml:space="preserve"> </w:t>
      </w:r>
      <w:r>
        <w:rPr>
          <w:i/>
          <w:sz w:val="18"/>
        </w:rPr>
        <w:t>–</w:t>
      </w:r>
      <w:r>
        <w:rPr>
          <w:i/>
          <w:spacing w:val="-6"/>
          <w:sz w:val="18"/>
        </w:rPr>
        <w:t xml:space="preserve"> </w:t>
      </w:r>
      <w:r>
        <w:rPr>
          <w:i/>
          <w:sz w:val="18"/>
        </w:rPr>
        <w:t>Hot‐Rolled</w:t>
      </w:r>
      <w:r>
        <w:rPr>
          <w:i/>
          <w:spacing w:val="-7"/>
          <w:sz w:val="18"/>
        </w:rPr>
        <w:t xml:space="preserve"> </w:t>
      </w:r>
      <w:r>
        <w:rPr>
          <w:i/>
          <w:sz w:val="18"/>
        </w:rPr>
        <w:t>Steel</w:t>
      </w:r>
      <w:r>
        <w:rPr>
          <w:sz w:val="18"/>
        </w:rPr>
        <w:t>,</w:t>
      </w:r>
      <w:r>
        <w:rPr>
          <w:spacing w:val="-7"/>
          <w:sz w:val="18"/>
        </w:rPr>
        <w:t xml:space="preserve"> </w:t>
      </w:r>
      <w:r>
        <w:rPr>
          <w:sz w:val="18"/>
        </w:rPr>
        <w:t>para.</w:t>
      </w:r>
      <w:r>
        <w:rPr>
          <w:spacing w:val="-6"/>
          <w:sz w:val="18"/>
        </w:rPr>
        <w:t xml:space="preserve"> </w:t>
      </w:r>
      <w:r>
        <w:rPr>
          <w:sz w:val="18"/>
        </w:rPr>
        <w:t>193.</w:t>
      </w:r>
      <w:r>
        <w:rPr>
          <w:spacing w:val="-6"/>
          <w:sz w:val="18"/>
        </w:rPr>
        <w:t xml:space="preserve"> </w:t>
      </w:r>
      <w:r>
        <w:rPr>
          <w:sz w:val="18"/>
        </w:rPr>
        <w:t>(footnote</w:t>
      </w:r>
      <w:r>
        <w:rPr>
          <w:spacing w:val="-6"/>
          <w:sz w:val="18"/>
        </w:rPr>
        <w:t xml:space="preserve"> </w:t>
      </w:r>
      <w:r>
        <w:rPr>
          <w:spacing w:val="-2"/>
          <w:sz w:val="18"/>
        </w:rPr>
        <w:t>omitted)</w:t>
      </w:r>
    </w:p>
    <w:p w14:paraId="51DE8D48" w14:textId="77777777" w:rsidR="0010369C" w:rsidRDefault="008E43AE">
      <w:pPr>
        <w:ind w:left="238"/>
        <w:rPr>
          <w:sz w:val="18"/>
        </w:rPr>
      </w:pPr>
      <w:r>
        <w:rPr>
          <w:sz w:val="18"/>
          <w:vertAlign w:val="superscript"/>
        </w:rPr>
        <w:t>606</w:t>
      </w:r>
      <w:r>
        <w:rPr>
          <w:spacing w:val="-6"/>
          <w:sz w:val="18"/>
        </w:rPr>
        <w:t xml:space="preserve"> </w:t>
      </w:r>
      <w:r>
        <w:rPr>
          <w:sz w:val="18"/>
        </w:rPr>
        <w:t>Appellate</w:t>
      </w:r>
      <w:r>
        <w:rPr>
          <w:spacing w:val="-5"/>
          <w:sz w:val="18"/>
        </w:rPr>
        <w:t xml:space="preserve"> </w:t>
      </w:r>
      <w:r>
        <w:rPr>
          <w:sz w:val="18"/>
        </w:rPr>
        <w:t>Body</w:t>
      </w:r>
      <w:r>
        <w:rPr>
          <w:spacing w:val="-7"/>
          <w:sz w:val="18"/>
        </w:rPr>
        <w:t xml:space="preserve"> </w:t>
      </w:r>
      <w:r>
        <w:rPr>
          <w:sz w:val="18"/>
        </w:rPr>
        <w:t>Report,</w:t>
      </w:r>
      <w:r>
        <w:rPr>
          <w:spacing w:val="-6"/>
          <w:sz w:val="18"/>
        </w:rPr>
        <w:t xml:space="preserve"> </w:t>
      </w:r>
      <w:r>
        <w:rPr>
          <w:i/>
          <w:sz w:val="18"/>
        </w:rPr>
        <w:t>US</w:t>
      </w:r>
      <w:r>
        <w:rPr>
          <w:i/>
          <w:spacing w:val="-5"/>
          <w:sz w:val="18"/>
        </w:rPr>
        <w:t xml:space="preserve"> </w:t>
      </w:r>
      <w:r>
        <w:rPr>
          <w:i/>
          <w:sz w:val="18"/>
        </w:rPr>
        <w:t>–</w:t>
      </w:r>
      <w:r>
        <w:rPr>
          <w:i/>
          <w:spacing w:val="-6"/>
          <w:sz w:val="18"/>
        </w:rPr>
        <w:t xml:space="preserve"> </w:t>
      </w:r>
      <w:r>
        <w:rPr>
          <w:i/>
          <w:sz w:val="18"/>
        </w:rPr>
        <w:t>Hot‐Rolled</w:t>
      </w:r>
      <w:r>
        <w:rPr>
          <w:i/>
          <w:spacing w:val="-5"/>
          <w:sz w:val="18"/>
        </w:rPr>
        <w:t xml:space="preserve"> </w:t>
      </w:r>
      <w:r>
        <w:rPr>
          <w:i/>
          <w:sz w:val="18"/>
        </w:rPr>
        <w:t>Steel</w:t>
      </w:r>
      <w:r>
        <w:rPr>
          <w:sz w:val="18"/>
        </w:rPr>
        <w:t>,</w:t>
      </w:r>
      <w:r>
        <w:rPr>
          <w:spacing w:val="-6"/>
          <w:sz w:val="18"/>
        </w:rPr>
        <w:t xml:space="preserve"> </w:t>
      </w:r>
      <w:r>
        <w:rPr>
          <w:sz w:val="18"/>
        </w:rPr>
        <w:t>para.</w:t>
      </w:r>
      <w:r>
        <w:rPr>
          <w:spacing w:val="-6"/>
          <w:sz w:val="18"/>
        </w:rPr>
        <w:t xml:space="preserve"> </w:t>
      </w:r>
      <w:r>
        <w:rPr>
          <w:spacing w:val="-4"/>
          <w:sz w:val="18"/>
        </w:rPr>
        <w:t>196.</w:t>
      </w:r>
    </w:p>
    <w:p w14:paraId="51DE8D49" w14:textId="77777777" w:rsidR="0010369C" w:rsidRDefault="0010369C">
      <w:pPr>
        <w:rPr>
          <w:sz w:val="18"/>
        </w:rPr>
        <w:sectPr w:rsidR="0010369C">
          <w:headerReference w:type="default" r:id="rId728"/>
          <w:footerReference w:type="default" r:id="rId729"/>
          <w:pgSz w:w="11910" w:h="16840"/>
          <w:pgMar w:top="880" w:right="800" w:bottom="980" w:left="1180" w:header="569" w:footer="788" w:gutter="0"/>
          <w:pgNumType w:start="196"/>
          <w:cols w:space="720"/>
        </w:sectPr>
      </w:pPr>
    </w:p>
    <w:p w14:paraId="51DE8D4A" w14:textId="77777777" w:rsidR="0010369C" w:rsidRDefault="008E43AE">
      <w:pPr>
        <w:tabs>
          <w:tab w:val="left" w:pos="6426"/>
        </w:tabs>
        <w:ind w:left="238"/>
        <w:jc w:val="both"/>
        <w:rPr>
          <w:sz w:val="20"/>
        </w:rPr>
      </w:pPr>
      <w:r>
        <w:rPr>
          <w:i/>
          <w:sz w:val="20"/>
        </w:rPr>
        <w:lastRenderedPageBreak/>
        <w:t>China</w:t>
      </w:r>
      <w:r>
        <w:rPr>
          <w:i/>
          <w:spacing w:val="-5"/>
          <w:sz w:val="20"/>
        </w:rPr>
        <w:t xml:space="preserve"> </w:t>
      </w:r>
      <w:r>
        <w:rPr>
          <w:i/>
          <w:sz w:val="20"/>
        </w:rPr>
        <w:t>–</w:t>
      </w:r>
      <w:r>
        <w:rPr>
          <w:i/>
          <w:spacing w:val="-5"/>
          <w:sz w:val="20"/>
        </w:rPr>
        <w:t xml:space="preserve"> </w:t>
      </w:r>
      <w:r>
        <w:rPr>
          <w:i/>
          <w:sz w:val="20"/>
        </w:rPr>
        <w:t>Anti‐Dumping</w:t>
      </w:r>
      <w:r>
        <w:rPr>
          <w:i/>
          <w:spacing w:val="-4"/>
          <w:sz w:val="20"/>
        </w:rPr>
        <w:t xml:space="preserve"> </w:t>
      </w:r>
      <w:r>
        <w:rPr>
          <w:i/>
          <w:sz w:val="20"/>
        </w:rPr>
        <w:t>and</w:t>
      </w:r>
      <w:r>
        <w:rPr>
          <w:i/>
          <w:spacing w:val="-5"/>
          <w:sz w:val="20"/>
        </w:rPr>
        <w:t xml:space="preserve"> </w:t>
      </w:r>
      <w:r>
        <w:rPr>
          <w:i/>
          <w:sz w:val="20"/>
        </w:rPr>
        <w:t>Countervailing</w:t>
      </w:r>
      <w:r>
        <w:rPr>
          <w:i/>
          <w:spacing w:val="-5"/>
          <w:sz w:val="20"/>
        </w:rPr>
        <w:t xml:space="preserve"> </w:t>
      </w:r>
      <w:r>
        <w:rPr>
          <w:i/>
          <w:sz w:val="20"/>
        </w:rPr>
        <w:t>Duty</w:t>
      </w:r>
      <w:r>
        <w:rPr>
          <w:i/>
          <w:spacing w:val="-4"/>
          <w:sz w:val="20"/>
        </w:rPr>
        <w:t xml:space="preserve"> </w:t>
      </w:r>
      <w:r>
        <w:rPr>
          <w:i/>
          <w:spacing w:val="-2"/>
          <w:sz w:val="20"/>
        </w:rPr>
        <w:t>Measures</w:t>
      </w:r>
      <w:r>
        <w:rPr>
          <w:i/>
          <w:sz w:val="20"/>
        </w:rPr>
        <w:tab/>
      </w:r>
      <w:r>
        <w:rPr>
          <w:sz w:val="20"/>
        </w:rPr>
        <w:t>Australia's</w:t>
      </w:r>
      <w:r>
        <w:rPr>
          <w:spacing w:val="-7"/>
          <w:sz w:val="20"/>
        </w:rPr>
        <w:t xml:space="preserve"> </w:t>
      </w:r>
      <w:r>
        <w:rPr>
          <w:sz w:val="20"/>
        </w:rPr>
        <w:t>First</w:t>
      </w:r>
      <w:r>
        <w:rPr>
          <w:spacing w:val="-2"/>
          <w:sz w:val="20"/>
        </w:rPr>
        <w:t xml:space="preserve"> </w:t>
      </w:r>
      <w:r>
        <w:rPr>
          <w:sz w:val="20"/>
        </w:rPr>
        <w:t>Written</w:t>
      </w:r>
      <w:r>
        <w:rPr>
          <w:spacing w:val="-2"/>
          <w:sz w:val="20"/>
        </w:rPr>
        <w:t xml:space="preserve"> Submission</w:t>
      </w:r>
    </w:p>
    <w:p w14:paraId="51DE8D4B" w14:textId="77777777" w:rsidR="0010369C" w:rsidRDefault="008E43AE">
      <w:pPr>
        <w:tabs>
          <w:tab w:val="left" w:pos="8228"/>
        </w:tabs>
        <w:spacing w:before="1"/>
        <w:ind w:left="239"/>
        <w:jc w:val="both"/>
        <w:rPr>
          <w:sz w:val="20"/>
        </w:rPr>
      </w:pPr>
      <w:r>
        <w:rPr>
          <w:i/>
          <w:sz w:val="20"/>
        </w:rPr>
        <w:t>on</w:t>
      </w:r>
      <w:r>
        <w:rPr>
          <w:i/>
          <w:spacing w:val="-1"/>
          <w:sz w:val="20"/>
        </w:rPr>
        <w:t xml:space="preserve"> </w:t>
      </w:r>
      <w:r>
        <w:rPr>
          <w:i/>
          <w:sz w:val="20"/>
        </w:rPr>
        <w:t>Wine</w:t>
      </w:r>
      <w:r>
        <w:rPr>
          <w:i/>
          <w:spacing w:val="-1"/>
          <w:sz w:val="20"/>
        </w:rPr>
        <w:t xml:space="preserve"> </w:t>
      </w:r>
      <w:r>
        <w:rPr>
          <w:i/>
          <w:sz w:val="20"/>
        </w:rPr>
        <w:t>from</w:t>
      </w:r>
      <w:r>
        <w:rPr>
          <w:i/>
          <w:spacing w:val="-3"/>
          <w:sz w:val="20"/>
        </w:rPr>
        <w:t xml:space="preserve"> </w:t>
      </w:r>
      <w:r>
        <w:rPr>
          <w:i/>
          <w:sz w:val="20"/>
        </w:rPr>
        <w:t>Australia</w:t>
      </w:r>
      <w:r>
        <w:rPr>
          <w:i/>
          <w:spacing w:val="-1"/>
          <w:sz w:val="20"/>
        </w:rPr>
        <w:t xml:space="preserve"> </w:t>
      </w:r>
      <w:r>
        <w:rPr>
          <w:spacing w:val="-2"/>
          <w:sz w:val="20"/>
        </w:rPr>
        <w:t>(DS602)</w:t>
      </w:r>
      <w:r>
        <w:rPr>
          <w:sz w:val="20"/>
        </w:rPr>
        <w:tab/>
        <w:t>29</w:t>
      </w:r>
      <w:r>
        <w:rPr>
          <w:spacing w:val="-1"/>
          <w:sz w:val="20"/>
        </w:rPr>
        <w:t xml:space="preserve"> </w:t>
      </w:r>
      <w:r>
        <w:rPr>
          <w:sz w:val="20"/>
        </w:rPr>
        <w:t>April</w:t>
      </w:r>
      <w:r>
        <w:rPr>
          <w:spacing w:val="-2"/>
          <w:sz w:val="20"/>
        </w:rPr>
        <w:t xml:space="preserve"> </w:t>
      </w:r>
      <w:r>
        <w:rPr>
          <w:spacing w:val="-4"/>
          <w:sz w:val="20"/>
        </w:rPr>
        <w:t>2022</w:t>
      </w:r>
    </w:p>
    <w:p w14:paraId="51DE8D4C" w14:textId="77777777" w:rsidR="0010369C" w:rsidRDefault="008E43AE">
      <w:pPr>
        <w:pStyle w:val="BodyText"/>
        <w:spacing w:before="34" w:line="360" w:lineRule="auto"/>
        <w:ind w:left="237" w:right="613"/>
        <w:jc w:val="both"/>
      </w:pPr>
      <w:r>
        <w:t>conclusions".</w:t>
      </w:r>
      <w:r>
        <w:rPr>
          <w:vertAlign w:val="superscript"/>
        </w:rPr>
        <w:t>607</w:t>
      </w:r>
      <w:r>
        <w:t xml:space="preserve"> According to the Appellate Body, this means that "investigating authorities are not</w:t>
      </w:r>
      <w:r>
        <w:rPr>
          <w:spacing w:val="-1"/>
        </w:rPr>
        <w:t xml:space="preserve"> </w:t>
      </w:r>
      <w:r>
        <w:t>entitled</w:t>
      </w:r>
      <w:r>
        <w:rPr>
          <w:spacing w:val="-1"/>
        </w:rPr>
        <w:t xml:space="preserve"> </w:t>
      </w:r>
      <w:r>
        <w:t>to conduct</w:t>
      </w:r>
      <w:r>
        <w:rPr>
          <w:spacing w:val="-1"/>
        </w:rPr>
        <w:t xml:space="preserve"> </w:t>
      </w:r>
      <w:r>
        <w:t>their investigation in</w:t>
      </w:r>
      <w:r>
        <w:rPr>
          <w:spacing w:val="-2"/>
        </w:rPr>
        <w:t xml:space="preserve"> </w:t>
      </w:r>
      <w:r>
        <w:t>such</w:t>
      </w:r>
      <w:r>
        <w:rPr>
          <w:spacing w:val="-1"/>
        </w:rPr>
        <w:t xml:space="preserve"> </w:t>
      </w:r>
      <w:r>
        <w:t>a way that it becomes more likely that, as a result of the fact‐finding or evaluation process, they will determine that the domestic industry is injured".</w:t>
      </w:r>
      <w:r>
        <w:rPr>
          <w:vertAlign w:val="superscript"/>
        </w:rPr>
        <w:t>608</w:t>
      </w:r>
    </w:p>
    <w:p w14:paraId="51DE8D4D" w14:textId="77777777" w:rsidR="0010369C" w:rsidRDefault="008E43AE">
      <w:pPr>
        <w:pStyle w:val="ListParagraph"/>
        <w:numPr>
          <w:ilvl w:val="0"/>
          <w:numId w:val="60"/>
        </w:numPr>
        <w:tabs>
          <w:tab w:val="left" w:pos="1940"/>
        </w:tabs>
        <w:spacing w:before="156" w:line="360" w:lineRule="auto"/>
        <w:ind w:right="613"/>
        <w:jc w:val="both"/>
        <w:rPr>
          <w:b/>
        </w:rPr>
      </w:pPr>
      <w:r>
        <w:rPr>
          <w:b/>
          <w:sz w:val="28"/>
        </w:rPr>
        <w:t>MOFCOM'</w:t>
      </w:r>
      <w:r>
        <w:rPr>
          <w:b/>
        </w:rPr>
        <w:t>S CONSIDERATION OF THE EFFECT OF SUBJECT IMPORTS</w:t>
      </w:r>
      <w:r>
        <w:rPr>
          <w:b/>
          <w:position w:val="10"/>
          <w:sz w:val="18"/>
        </w:rPr>
        <w:t xml:space="preserve">609 </w:t>
      </w:r>
      <w:r>
        <w:rPr>
          <w:b/>
        </w:rPr>
        <w:t>ON PRICES OF LIKE DOMESTIC PRODUCTS WAS</w:t>
      </w:r>
      <w:r>
        <w:rPr>
          <w:b/>
        </w:rPr>
        <w:t xml:space="preserve"> INCONSISTENT WITH </w:t>
      </w:r>
      <w:r>
        <w:rPr>
          <w:b/>
          <w:sz w:val="28"/>
        </w:rPr>
        <w:t>A</w:t>
      </w:r>
      <w:r>
        <w:rPr>
          <w:b/>
        </w:rPr>
        <w:t xml:space="preserve">RTICLE </w:t>
      </w:r>
      <w:r>
        <w:rPr>
          <w:b/>
          <w:sz w:val="28"/>
        </w:rPr>
        <w:t xml:space="preserve">3.1 </w:t>
      </w:r>
      <w:r>
        <w:rPr>
          <w:b/>
        </w:rPr>
        <w:t xml:space="preserve">AND THE SECOND SENTENCE OF </w:t>
      </w:r>
      <w:r>
        <w:rPr>
          <w:b/>
          <w:sz w:val="28"/>
        </w:rPr>
        <w:t>A</w:t>
      </w:r>
      <w:r>
        <w:rPr>
          <w:b/>
        </w:rPr>
        <w:t xml:space="preserve">RTICLE </w:t>
      </w:r>
      <w:r>
        <w:rPr>
          <w:b/>
          <w:sz w:val="28"/>
        </w:rPr>
        <w:t>3.2</w:t>
      </w:r>
      <w:r>
        <w:rPr>
          <w:b/>
          <w:spacing w:val="-10"/>
          <w:sz w:val="28"/>
        </w:rPr>
        <w:t xml:space="preserve"> </w:t>
      </w:r>
      <w:r>
        <w:rPr>
          <w:b/>
        </w:rPr>
        <w:t xml:space="preserve">OF </w:t>
      </w:r>
      <w:r>
        <w:rPr>
          <w:b/>
          <w:sz w:val="28"/>
        </w:rPr>
        <w:t>A</w:t>
      </w:r>
      <w:r>
        <w:rPr>
          <w:b/>
        </w:rPr>
        <w:t>NTI</w:t>
      </w:r>
      <w:r>
        <w:rPr>
          <w:b/>
          <w:sz w:val="28"/>
        </w:rPr>
        <w:t>‐D</w:t>
      </w:r>
      <w:r>
        <w:rPr>
          <w:b/>
        </w:rPr>
        <w:t xml:space="preserve">UMPING </w:t>
      </w:r>
      <w:r>
        <w:rPr>
          <w:b/>
          <w:sz w:val="28"/>
        </w:rPr>
        <w:t>A</w:t>
      </w:r>
      <w:r>
        <w:rPr>
          <w:b/>
        </w:rPr>
        <w:t>GREEMENT</w:t>
      </w:r>
    </w:p>
    <w:p w14:paraId="51DE8D4E" w14:textId="77777777" w:rsidR="0010369C" w:rsidRDefault="008E43AE">
      <w:pPr>
        <w:pStyle w:val="Heading4"/>
        <w:numPr>
          <w:ilvl w:val="1"/>
          <w:numId w:val="60"/>
        </w:numPr>
        <w:tabs>
          <w:tab w:val="left" w:pos="2649"/>
          <w:tab w:val="left" w:pos="2650"/>
        </w:tabs>
        <w:spacing w:before="160"/>
        <w:ind w:hanging="852"/>
      </w:pPr>
      <w:r>
        <w:rPr>
          <w:spacing w:val="-2"/>
        </w:rPr>
        <w:t>Introduction</w:t>
      </w:r>
    </w:p>
    <w:p w14:paraId="51DE8D4F" w14:textId="77777777" w:rsidR="0010369C" w:rsidRDefault="0010369C">
      <w:pPr>
        <w:pStyle w:val="BodyText"/>
        <w:spacing w:before="9"/>
        <w:rPr>
          <w:b/>
          <w:sz w:val="20"/>
        </w:rPr>
      </w:pPr>
    </w:p>
    <w:p w14:paraId="51DE8D50" w14:textId="77777777" w:rsidR="0010369C" w:rsidRDefault="008E43AE">
      <w:pPr>
        <w:pStyle w:val="BodyText"/>
        <w:spacing w:before="52" w:line="360" w:lineRule="auto"/>
        <w:ind w:left="236" w:right="613" w:firstLine="852"/>
        <w:jc w:val="both"/>
      </w:pPr>
      <w:r>
        <w:rPr>
          <w:noProof/>
        </w:rPr>
        <w:drawing>
          <wp:anchor distT="0" distB="0" distL="0" distR="0" simplePos="0" relativeHeight="251183616" behindDoc="1" locked="0" layoutInCell="1" allowOverlap="1" wp14:anchorId="51DEA43F" wp14:editId="51DEA440">
            <wp:simplePos x="0" y="0"/>
            <wp:positionH relativeFrom="page">
              <wp:posOffset>902208</wp:posOffset>
            </wp:positionH>
            <wp:positionV relativeFrom="paragraph">
              <wp:posOffset>80595</wp:posOffset>
            </wp:positionV>
            <wp:extent cx="262127" cy="103631"/>
            <wp:effectExtent l="0" t="0" r="0" b="0"/>
            <wp:wrapNone/>
            <wp:docPr id="1091" name="image5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 name="image557.png"/>
                    <pic:cNvPicPr/>
                  </pic:nvPicPr>
                  <pic:blipFill>
                    <a:blip r:embed="rId730" cstate="print"/>
                    <a:stretch>
                      <a:fillRect/>
                    </a:stretch>
                  </pic:blipFill>
                  <pic:spPr>
                    <a:xfrm>
                      <a:off x="0" y="0"/>
                      <a:ext cx="262127" cy="103631"/>
                    </a:xfrm>
                    <a:prstGeom prst="rect">
                      <a:avLst/>
                    </a:prstGeom>
                  </pic:spPr>
                </pic:pic>
              </a:graphicData>
            </a:graphic>
          </wp:anchor>
        </w:drawing>
      </w:r>
      <w:r>
        <w:t>As noted above, Article 3.1 of the Anti‐Dumping Agreement requires that a determination of injury shall be based on positive evidence and shall involve an objective examination</w:t>
      </w:r>
      <w:r>
        <w:rPr>
          <w:spacing w:val="-12"/>
        </w:rPr>
        <w:t xml:space="preserve"> </w:t>
      </w:r>
      <w:r>
        <w:t>of,</w:t>
      </w:r>
      <w:r>
        <w:rPr>
          <w:spacing w:val="-10"/>
        </w:rPr>
        <w:t xml:space="preserve"> </w:t>
      </w:r>
      <w:r>
        <w:rPr>
          <w:i/>
        </w:rPr>
        <w:t>inter</w:t>
      </w:r>
      <w:r>
        <w:rPr>
          <w:i/>
          <w:spacing w:val="-9"/>
        </w:rPr>
        <w:t xml:space="preserve"> </w:t>
      </w:r>
      <w:r>
        <w:rPr>
          <w:i/>
        </w:rPr>
        <w:t>alia</w:t>
      </w:r>
      <w:r>
        <w:t>,</w:t>
      </w:r>
      <w:r>
        <w:rPr>
          <w:spacing w:val="-10"/>
        </w:rPr>
        <w:t xml:space="preserve"> </w:t>
      </w:r>
      <w:r>
        <w:t>"the</w:t>
      </w:r>
      <w:r>
        <w:rPr>
          <w:spacing w:val="-9"/>
        </w:rPr>
        <w:t xml:space="preserve"> </w:t>
      </w:r>
      <w:r>
        <w:t>effect</w:t>
      </w:r>
      <w:r>
        <w:rPr>
          <w:spacing w:val="-12"/>
        </w:rPr>
        <w:t xml:space="preserve"> </w:t>
      </w:r>
      <w:r>
        <w:t>of</w:t>
      </w:r>
      <w:r>
        <w:rPr>
          <w:spacing w:val="-10"/>
        </w:rPr>
        <w:t xml:space="preserve"> </w:t>
      </w:r>
      <w:r>
        <w:t>the</w:t>
      </w:r>
      <w:r>
        <w:rPr>
          <w:spacing w:val="-9"/>
        </w:rPr>
        <w:t xml:space="preserve"> </w:t>
      </w:r>
      <w:r>
        <w:t>dumped</w:t>
      </w:r>
      <w:r>
        <w:rPr>
          <w:spacing w:val="-10"/>
        </w:rPr>
        <w:t xml:space="preserve"> </w:t>
      </w:r>
      <w:r>
        <w:t>imports</w:t>
      </w:r>
      <w:r>
        <w:rPr>
          <w:spacing w:val="-11"/>
        </w:rPr>
        <w:t xml:space="preserve"> </w:t>
      </w:r>
      <w:r>
        <w:t>on</w:t>
      </w:r>
      <w:r>
        <w:rPr>
          <w:spacing w:val="-10"/>
        </w:rPr>
        <w:t xml:space="preserve"> </w:t>
      </w:r>
      <w:r>
        <w:t>prices</w:t>
      </w:r>
      <w:r>
        <w:rPr>
          <w:spacing w:val="-10"/>
        </w:rPr>
        <w:t xml:space="preserve"> </w:t>
      </w:r>
      <w:r>
        <w:t>in</w:t>
      </w:r>
      <w:r>
        <w:rPr>
          <w:spacing w:val="-10"/>
        </w:rPr>
        <w:t xml:space="preserve"> </w:t>
      </w:r>
      <w:r>
        <w:t>the</w:t>
      </w:r>
      <w:r>
        <w:rPr>
          <w:spacing w:val="-9"/>
        </w:rPr>
        <w:t xml:space="preserve"> </w:t>
      </w:r>
      <w:r>
        <w:t>domestic</w:t>
      </w:r>
      <w:r>
        <w:rPr>
          <w:spacing w:val="-10"/>
        </w:rPr>
        <w:t xml:space="preserve"> </w:t>
      </w:r>
      <w:r>
        <w:t>market for like products". The second sentence of Article 3.2 elaborates on these obligations, requiring that "the investigating authorities shall consider whether there has been a significant price undercutting by the dumped imports as compared w</w:t>
      </w:r>
      <w:r>
        <w:t>ith the price of a like product of the importing Member, or whether the effect of such imports is otherwise to depress</w:t>
      </w:r>
      <w:r>
        <w:rPr>
          <w:spacing w:val="-5"/>
        </w:rPr>
        <w:t xml:space="preserve"> </w:t>
      </w:r>
      <w:r>
        <w:t>prices</w:t>
      </w:r>
      <w:r>
        <w:rPr>
          <w:spacing w:val="-5"/>
        </w:rPr>
        <w:t xml:space="preserve"> </w:t>
      </w:r>
      <w:r>
        <w:t>to</w:t>
      </w:r>
      <w:r>
        <w:rPr>
          <w:spacing w:val="-5"/>
        </w:rPr>
        <w:t xml:space="preserve"> </w:t>
      </w:r>
      <w:r>
        <w:t>a</w:t>
      </w:r>
      <w:r>
        <w:rPr>
          <w:spacing w:val="-5"/>
        </w:rPr>
        <w:t xml:space="preserve"> </w:t>
      </w:r>
      <w:r>
        <w:t>significant</w:t>
      </w:r>
      <w:r>
        <w:rPr>
          <w:spacing w:val="-5"/>
        </w:rPr>
        <w:t xml:space="preserve"> </w:t>
      </w:r>
      <w:r>
        <w:t>degree</w:t>
      </w:r>
      <w:r>
        <w:rPr>
          <w:spacing w:val="-6"/>
        </w:rPr>
        <w:t xml:space="preserve"> </w:t>
      </w:r>
      <w:r>
        <w:t>or</w:t>
      </w:r>
      <w:r>
        <w:rPr>
          <w:spacing w:val="-5"/>
        </w:rPr>
        <w:t xml:space="preserve"> </w:t>
      </w:r>
      <w:r>
        <w:t>prevent</w:t>
      </w:r>
      <w:r>
        <w:rPr>
          <w:spacing w:val="-6"/>
        </w:rPr>
        <w:t xml:space="preserve"> </w:t>
      </w:r>
      <w:r>
        <w:t>price</w:t>
      </w:r>
      <w:r>
        <w:rPr>
          <w:spacing w:val="-4"/>
        </w:rPr>
        <w:t xml:space="preserve"> </w:t>
      </w:r>
      <w:r>
        <w:t>increases,</w:t>
      </w:r>
      <w:r>
        <w:rPr>
          <w:spacing w:val="-4"/>
        </w:rPr>
        <w:t xml:space="preserve"> </w:t>
      </w:r>
      <w:r>
        <w:t>which</w:t>
      </w:r>
      <w:r>
        <w:rPr>
          <w:spacing w:val="-5"/>
        </w:rPr>
        <w:t xml:space="preserve"> </w:t>
      </w:r>
      <w:r>
        <w:t>otherwise</w:t>
      </w:r>
      <w:r>
        <w:rPr>
          <w:spacing w:val="-4"/>
        </w:rPr>
        <w:t xml:space="preserve"> </w:t>
      </w:r>
      <w:r>
        <w:t>would</w:t>
      </w:r>
      <w:r>
        <w:rPr>
          <w:spacing w:val="-6"/>
        </w:rPr>
        <w:t xml:space="preserve"> </w:t>
      </w:r>
      <w:r>
        <w:t>have occurred, to a significant degree".</w:t>
      </w:r>
    </w:p>
    <w:p w14:paraId="51DE8D51" w14:textId="77777777" w:rsidR="0010369C" w:rsidRDefault="0010369C">
      <w:pPr>
        <w:pStyle w:val="BodyText"/>
        <w:spacing w:before="11"/>
        <w:rPr>
          <w:sz w:val="8"/>
        </w:rPr>
      </w:pPr>
    </w:p>
    <w:p w14:paraId="51DE8D52" w14:textId="77777777" w:rsidR="0010369C" w:rsidRDefault="008E43AE">
      <w:pPr>
        <w:pStyle w:val="BodyText"/>
        <w:spacing w:before="52" w:line="360" w:lineRule="auto"/>
        <w:ind w:left="237" w:right="613" w:firstLine="851"/>
        <w:jc w:val="both"/>
      </w:pPr>
      <w:r>
        <w:rPr>
          <w:noProof/>
        </w:rPr>
        <w:drawing>
          <wp:anchor distT="0" distB="0" distL="0" distR="0" simplePos="0" relativeHeight="251184640" behindDoc="1" locked="0" layoutInCell="1" allowOverlap="1" wp14:anchorId="51DEA441" wp14:editId="51DEA442">
            <wp:simplePos x="0" y="0"/>
            <wp:positionH relativeFrom="page">
              <wp:posOffset>902208</wp:posOffset>
            </wp:positionH>
            <wp:positionV relativeFrom="paragraph">
              <wp:posOffset>81950</wp:posOffset>
            </wp:positionV>
            <wp:extent cx="262127" cy="100753"/>
            <wp:effectExtent l="0" t="0" r="0" b="0"/>
            <wp:wrapNone/>
            <wp:docPr id="1093" name="image5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 name="image558.png"/>
                    <pic:cNvPicPr/>
                  </pic:nvPicPr>
                  <pic:blipFill>
                    <a:blip r:embed="rId731" cstate="print"/>
                    <a:stretch>
                      <a:fillRect/>
                    </a:stretch>
                  </pic:blipFill>
                  <pic:spPr>
                    <a:xfrm>
                      <a:off x="0" y="0"/>
                      <a:ext cx="262127" cy="100753"/>
                    </a:xfrm>
                    <a:prstGeom prst="rect">
                      <a:avLst/>
                    </a:prstGeom>
                  </pic:spPr>
                </pic:pic>
              </a:graphicData>
            </a:graphic>
          </wp:anchor>
        </w:drawing>
      </w:r>
      <w:r>
        <w:t>In the sectio</w:t>
      </w:r>
      <w:r>
        <w:t>n of the Final Determination entitled "impact of dumped imported product</w:t>
      </w:r>
      <w:r>
        <w:rPr>
          <w:spacing w:val="-4"/>
        </w:rPr>
        <w:t xml:space="preserve"> </w:t>
      </w:r>
      <w:r>
        <w:t>on</w:t>
      </w:r>
      <w:r>
        <w:rPr>
          <w:spacing w:val="-5"/>
        </w:rPr>
        <w:t xml:space="preserve"> </w:t>
      </w:r>
      <w:r>
        <w:t>the</w:t>
      </w:r>
      <w:r>
        <w:rPr>
          <w:spacing w:val="-4"/>
        </w:rPr>
        <w:t xml:space="preserve"> </w:t>
      </w:r>
      <w:r>
        <w:t>price</w:t>
      </w:r>
      <w:r>
        <w:rPr>
          <w:spacing w:val="-5"/>
        </w:rPr>
        <w:t xml:space="preserve"> </w:t>
      </w:r>
      <w:r>
        <w:t>of</w:t>
      </w:r>
      <w:r>
        <w:rPr>
          <w:spacing w:val="-5"/>
        </w:rPr>
        <w:t xml:space="preserve"> </w:t>
      </w:r>
      <w:r>
        <w:t>domestic</w:t>
      </w:r>
      <w:r>
        <w:rPr>
          <w:spacing w:val="-4"/>
        </w:rPr>
        <w:t xml:space="preserve"> </w:t>
      </w:r>
      <w:r>
        <w:t>like</w:t>
      </w:r>
      <w:r>
        <w:rPr>
          <w:spacing w:val="-5"/>
        </w:rPr>
        <w:t xml:space="preserve"> </w:t>
      </w:r>
      <w:r>
        <w:t>products",</w:t>
      </w:r>
      <w:r>
        <w:rPr>
          <w:spacing w:val="-5"/>
        </w:rPr>
        <w:t xml:space="preserve"> </w:t>
      </w:r>
      <w:r>
        <w:t>MOFCOM</w:t>
      </w:r>
      <w:r>
        <w:rPr>
          <w:spacing w:val="-4"/>
        </w:rPr>
        <w:t xml:space="preserve"> </w:t>
      </w:r>
      <w:r>
        <w:t>found</w:t>
      </w:r>
      <w:r>
        <w:rPr>
          <w:spacing w:val="-5"/>
        </w:rPr>
        <w:t xml:space="preserve"> </w:t>
      </w:r>
      <w:r>
        <w:t>"that</w:t>
      </w:r>
      <w:r>
        <w:rPr>
          <w:spacing w:val="-5"/>
        </w:rPr>
        <w:t xml:space="preserve"> </w:t>
      </w:r>
      <w:r>
        <w:t>the</w:t>
      </w:r>
      <w:r>
        <w:rPr>
          <w:spacing w:val="-4"/>
        </w:rPr>
        <w:t xml:space="preserve"> </w:t>
      </w:r>
      <w:r>
        <w:t>dumped</w:t>
      </w:r>
      <w:r>
        <w:rPr>
          <w:spacing w:val="-4"/>
        </w:rPr>
        <w:t xml:space="preserve"> </w:t>
      </w:r>
      <w:r>
        <w:t>imported product suppressed the price of domestic like products during the injury investigation period".</w:t>
      </w:r>
      <w:r>
        <w:rPr>
          <w:vertAlign w:val="superscript"/>
        </w:rPr>
        <w:t>610</w:t>
      </w:r>
      <w:r>
        <w:rPr>
          <w:spacing w:val="-7"/>
        </w:rPr>
        <w:t xml:space="preserve"> </w:t>
      </w:r>
      <w:r>
        <w:t>MOFC</w:t>
      </w:r>
      <w:r>
        <w:t>OM's</w:t>
      </w:r>
      <w:r>
        <w:rPr>
          <w:spacing w:val="-6"/>
        </w:rPr>
        <w:t xml:space="preserve"> </w:t>
      </w:r>
      <w:r>
        <w:t>support</w:t>
      </w:r>
      <w:r>
        <w:rPr>
          <w:spacing w:val="-6"/>
        </w:rPr>
        <w:t xml:space="preserve"> </w:t>
      </w:r>
      <w:r>
        <w:t>for</w:t>
      </w:r>
      <w:r>
        <w:rPr>
          <w:spacing w:val="-6"/>
        </w:rPr>
        <w:t xml:space="preserve"> </w:t>
      </w:r>
      <w:r>
        <w:t>this</w:t>
      </w:r>
      <w:r>
        <w:rPr>
          <w:spacing w:val="-8"/>
        </w:rPr>
        <w:t xml:space="preserve"> </w:t>
      </w:r>
      <w:r>
        <w:t>finding</w:t>
      </w:r>
      <w:r>
        <w:rPr>
          <w:spacing w:val="-6"/>
        </w:rPr>
        <w:t xml:space="preserve"> </w:t>
      </w:r>
      <w:r>
        <w:t>was</w:t>
      </w:r>
      <w:r>
        <w:rPr>
          <w:spacing w:val="-7"/>
        </w:rPr>
        <w:t xml:space="preserve"> </w:t>
      </w:r>
      <w:r>
        <w:t>limited</w:t>
      </w:r>
      <w:r>
        <w:rPr>
          <w:spacing w:val="-6"/>
        </w:rPr>
        <w:t xml:space="preserve"> </w:t>
      </w:r>
      <w:r>
        <w:t>to</w:t>
      </w:r>
      <w:r>
        <w:rPr>
          <w:spacing w:val="-6"/>
        </w:rPr>
        <w:t xml:space="preserve"> </w:t>
      </w:r>
      <w:r>
        <w:t>mere</w:t>
      </w:r>
      <w:r>
        <w:rPr>
          <w:spacing w:val="-7"/>
        </w:rPr>
        <w:t xml:space="preserve"> </w:t>
      </w:r>
      <w:r>
        <w:t>assertions</w:t>
      </w:r>
      <w:r>
        <w:rPr>
          <w:spacing w:val="-7"/>
        </w:rPr>
        <w:t xml:space="preserve"> </w:t>
      </w:r>
      <w:r>
        <w:t>that,</w:t>
      </w:r>
      <w:r>
        <w:rPr>
          <w:spacing w:val="-6"/>
        </w:rPr>
        <w:t xml:space="preserve"> </w:t>
      </w:r>
      <w:r>
        <w:t>during</w:t>
      </w:r>
      <w:r>
        <w:rPr>
          <w:spacing w:val="-6"/>
        </w:rPr>
        <w:t xml:space="preserve"> </w:t>
      </w:r>
      <w:r>
        <w:t>the five‐year Injury POI, the increased volume and decreased average unit price of the subject imports "sufficed to cause a material adverse impact on the price of domestic like products" by "directly suppressing the price increase of domestic like product</w:t>
      </w:r>
      <w:r>
        <w:t>s" such that "the price of</w:t>
      </w:r>
    </w:p>
    <w:p w14:paraId="51DE8D53" w14:textId="77777777" w:rsidR="0010369C" w:rsidRDefault="0010369C">
      <w:pPr>
        <w:pStyle w:val="BodyText"/>
        <w:rPr>
          <w:sz w:val="20"/>
        </w:rPr>
      </w:pPr>
    </w:p>
    <w:p w14:paraId="51DE8D54" w14:textId="77777777" w:rsidR="0010369C" w:rsidRDefault="0010369C">
      <w:pPr>
        <w:pStyle w:val="BodyText"/>
        <w:rPr>
          <w:sz w:val="20"/>
        </w:rPr>
      </w:pPr>
    </w:p>
    <w:p w14:paraId="51DE8D55" w14:textId="77777777" w:rsidR="0010369C" w:rsidRDefault="008E43AE">
      <w:pPr>
        <w:pStyle w:val="BodyText"/>
        <w:spacing w:before="5"/>
        <w:rPr>
          <w:sz w:val="16"/>
        </w:rPr>
      </w:pPr>
      <w:r>
        <w:pict w14:anchorId="51DEA443">
          <v:rect id="docshape1011" o:spid="_x0000_s1358" style="position:absolute;margin-left:70.9pt;margin-top:11.25pt;width:2in;height:.8pt;z-index:-250844672;mso-wrap-distance-left:0;mso-wrap-distance-right:0;mso-position-horizontal-relative:page" fillcolor="black" stroked="f">
            <w10:wrap type="topAndBottom" anchorx="page"/>
          </v:rect>
        </w:pict>
      </w:r>
    </w:p>
    <w:p w14:paraId="51DE8D56" w14:textId="77777777" w:rsidR="0010369C" w:rsidRDefault="008E43AE">
      <w:pPr>
        <w:spacing w:before="109"/>
        <w:ind w:left="237" w:right="614"/>
        <w:jc w:val="both"/>
        <w:rPr>
          <w:sz w:val="18"/>
        </w:rPr>
      </w:pPr>
      <w:r>
        <w:rPr>
          <w:sz w:val="18"/>
          <w:vertAlign w:val="superscript"/>
        </w:rPr>
        <w:t>607</w:t>
      </w:r>
      <w:r>
        <w:rPr>
          <w:sz w:val="18"/>
        </w:rPr>
        <w:t xml:space="preserve"> Panel Report, </w:t>
      </w:r>
      <w:r>
        <w:rPr>
          <w:i/>
          <w:sz w:val="18"/>
        </w:rPr>
        <w:t>Pakistan – BOPP Film (UAE)</w:t>
      </w:r>
      <w:r>
        <w:rPr>
          <w:sz w:val="18"/>
        </w:rPr>
        <w:t xml:space="preserve">, para. 7.258. (footnote omitted). The panel cited Appellate Body Report, </w:t>
      </w:r>
      <w:r>
        <w:rPr>
          <w:i/>
          <w:sz w:val="18"/>
        </w:rPr>
        <w:t>US – Softwood Lumber VI (Article 21.5 – Canada)</w:t>
      </w:r>
      <w:r>
        <w:rPr>
          <w:sz w:val="18"/>
        </w:rPr>
        <w:t>, paras. 93‐94 and 97.</w:t>
      </w:r>
    </w:p>
    <w:p w14:paraId="51DE8D57" w14:textId="77777777" w:rsidR="0010369C" w:rsidRDefault="008E43AE">
      <w:pPr>
        <w:ind w:left="238" w:right="613" w:hanging="1"/>
        <w:jc w:val="both"/>
        <w:rPr>
          <w:sz w:val="18"/>
        </w:rPr>
      </w:pPr>
      <w:r>
        <w:rPr>
          <w:sz w:val="18"/>
          <w:vertAlign w:val="superscript"/>
        </w:rPr>
        <w:t>608</w:t>
      </w:r>
      <w:r>
        <w:rPr>
          <w:spacing w:val="-2"/>
          <w:sz w:val="18"/>
        </w:rPr>
        <w:t xml:space="preserve"> </w:t>
      </w:r>
      <w:r>
        <w:rPr>
          <w:sz w:val="18"/>
        </w:rPr>
        <w:t>Appellate</w:t>
      </w:r>
      <w:r>
        <w:rPr>
          <w:spacing w:val="-2"/>
          <w:sz w:val="18"/>
        </w:rPr>
        <w:t xml:space="preserve"> </w:t>
      </w:r>
      <w:r>
        <w:rPr>
          <w:sz w:val="18"/>
        </w:rPr>
        <w:t>Body</w:t>
      </w:r>
      <w:r>
        <w:rPr>
          <w:spacing w:val="-2"/>
          <w:sz w:val="18"/>
        </w:rPr>
        <w:t xml:space="preserve"> </w:t>
      </w:r>
      <w:r>
        <w:rPr>
          <w:sz w:val="18"/>
        </w:rPr>
        <w:t>Report,</w:t>
      </w:r>
      <w:r>
        <w:rPr>
          <w:spacing w:val="-2"/>
          <w:sz w:val="18"/>
        </w:rPr>
        <w:t xml:space="preserve"> </w:t>
      </w:r>
      <w:r>
        <w:rPr>
          <w:i/>
          <w:sz w:val="18"/>
        </w:rPr>
        <w:t>US</w:t>
      </w:r>
      <w:r>
        <w:rPr>
          <w:i/>
          <w:spacing w:val="-1"/>
          <w:sz w:val="18"/>
        </w:rPr>
        <w:t xml:space="preserve"> </w:t>
      </w:r>
      <w:r>
        <w:rPr>
          <w:i/>
          <w:sz w:val="18"/>
        </w:rPr>
        <w:t>–</w:t>
      </w:r>
      <w:r>
        <w:rPr>
          <w:i/>
          <w:spacing w:val="-2"/>
          <w:sz w:val="18"/>
        </w:rPr>
        <w:t xml:space="preserve"> </w:t>
      </w:r>
      <w:r>
        <w:rPr>
          <w:i/>
          <w:sz w:val="18"/>
        </w:rPr>
        <w:t>Hot‐R</w:t>
      </w:r>
      <w:r>
        <w:rPr>
          <w:i/>
          <w:sz w:val="18"/>
        </w:rPr>
        <w:t>olled</w:t>
      </w:r>
      <w:r>
        <w:rPr>
          <w:i/>
          <w:spacing w:val="-2"/>
          <w:sz w:val="18"/>
        </w:rPr>
        <w:t xml:space="preserve"> </w:t>
      </w:r>
      <w:r>
        <w:rPr>
          <w:i/>
          <w:sz w:val="18"/>
        </w:rPr>
        <w:t>Steel</w:t>
      </w:r>
      <w:r>
        <w:rPr>
          <w:sz w:val="18"/>
        </w:rPr>
        <w:t>,</w:t>
      </w:r>
      <w:r>
        <w:rPr>
          <w:spacing w:val="-2"/>
          <w:sz w:val="18"/>
        </w:rPr>
        <w:t xml:space="preserve"> </w:t>
      </w:r>
      <w:r>
        <w:rPr>
          <w:sz w:val="18"/>
        </w:rPr>
        <w:t>para.</w:t>
      </w:r>
      <w:r>
        <w:rPr>
          <w:spacing w:val="-2"/>
          <w:sz w:val="18"/>
        </w:rPr>
        <w:t xml:space="preserve"> </w:t>
      </w:r>
      <w:r>
        <w:rPr>
          <w:sz w:val="18"/>
        </w:rPr>
        <w:t>196;</w:t>
      </w:r>
      <w:r>
        <w:rPr>
          <w:spacing w:val="-3"/>
          <w:sz w:val="18"/>
        </w:rPr>
        <w:t xml:space="preserve"> </w:t>
      </w:r>
      <w:r>
        <w:rPr>
          <w:sz w:val="18"/>
        </w:rPr>
        <w:t>see</w:t>
      </w:r>
      <w:r>
        <w:rPr>
          <w:spacing w:val="-2"/>
          <w:sz w:val="18"/>
        </w:rPr>
        <w:t xml:space="preserve"> </w:t>
      </w:r>
      <w:r>
        <w:rPr>
          <w:sz w:val="18"/>
        </w:rPr>
        <w:t>also</w:t>
      </w:r>
      <w:r>
        <w:rPr>
          <w:spacing w:val="-3"/>
          <w:sz w:val="18"/>
        </w:rPr>
        <w:t xml:space="preserve"> </w:t>
      </w:r>
      <w:r>
        <w:rPr>
          <w:sz w:val="18"/>
        </w:rPr>
        <w:t>Panel</w:t>
      </w:r>
      <w:r>
        <w:rPr>
          <w:spacing w:val="-3"/>
          <w:sz w:val="18"/>
        </w:rPr>
        <w:t xml:space="preserve"> </w:t>
      </w:r>
      <w:r>
        <w:rPr>
          <w:sz w:val="18"/>
        </w:rPr>
        <w:t>Report,</w:t>
      </w:r>
      <w:r>
        <w:rPr>
          <w:spacing w:val="-2"/>
          <w:sz w:val="18"/>
        </w:rPr>
        <w:t xml:space="preserve"> </w:t>
      </w:r>
      <w:r>
        <w:rPr>
          <w:i/>
          <w:sz w:val="18"/>
        </w:rPr>
        <w:t>Morocco</w:t>
      </w:r>
      <w:r>
        <w:rPr>
          <w:i/>
          <w:spacing w:val="-2"/>
          <w:sz w:val="18"/>
        </w:rPr>
        <w:t xml:space="preserve"> </w:t>
      </w:r>
      <w:r>
        <w:rPr>
          <w:i/>
          <w:sz w:val="18"/>
        </w:rPr>
        <w:t>‐</w:t>
      </w:r>
      <w:r>
        <w:rPr>
          <w:i/>
          <w:spacing w:val="-1"/>
          <w:sz w:val="18"/>
        </w:rPr>
        <w:t xml:space="preserve"> </w:t>
      </w:r>
      <w:r>
        <w:rPr>
          <w:i/>
          <w:sz w:val="18"/>
        </w:rPr>
        <w:t>Hot‐Rolled</w:t>
      </w:r>
      <w:r>
        <w:rPr>
          <w:i/>
          <w:spacing w:val="-2"/>
          <w:sz w:val="18"/>
        </w:rPr>
        <w:t xml:space="preserve"> </w:t>
      </w:r>
      <w:r>
        <w:rPr>
          <w:i/>
          <w:sz w:val="18"/>
        </w:rPr>
        <w:t>Steel</w:t>
      </w:r>
      <w:r>
        <w:rPr>
          <w:i/>
          <w:spacing w:val="-3"/>
          <w:sz w:val="18"/>
        </w:rPr>
        <w:t xml:space="preserve"> </w:t>
      </w:r>
      <w:r>
        <w:rPr>
          <w:i/>
          <w:sz w:val="18"/>
        </w:rPr>
        <w:t>(Turkey)</w:t>
      </w:r>
      <w:r>
        <w:rPr>
          <w:b/>
          <w:i/>
          <w:sz w:val="18"/>
        </w:rPr>
        <w:t>,</w:t>
      </w:r>
      <w:r>
        <w:rPr>
          <w:b/>
          <w:i/>
          <w:spacing w:val="-2"/>
          <w:sz w:val="18"/>
        </w:rPr>
        <w:t xml:space="preserve"> </w:t>
      </w:r>
      <w:r>
        <w:rPr>
          <w:sz w:val="18"/>
        </w:rPr>
        <w:t xml:space="preserve">para. </w:t>
      </w:r>
      <w:r>
        <w:rPr>
          <w:spacing w:val="-2"/>
          <w:sz w:val="18"/>
        </w:rPr>
        <w:t>7.272.</w:t>
      </w:r>
    </w:p>
    <w:p w14:paraId="51DE8D58" w14:textId="77777777" w:rsidR="0010369C" w:rsidRDefault="008E43AE">
      <w:pPr>
        <w:spacing w:before="1"/>
        <w:ind w:left="238" w:right="614" w:hanging="1"/>
        <w:jc w:val="both"/>
        <w:rPr>
          <w:sz w:val="18"/>
        </w:rPr>
      </w:pPr>
      <w:r>
        <w:rPr>
          <w:sz w:val="18"/>
          <w:vertAlign w:val="superscript"/>
        </w:rPr>
        <w:t>609</w:t>
      </w:r>
      <w:r>
        <w:rPr>
          <w:sz w:val="18"/>
        </w:rPr>
        <w:t xml:space="preserve"> In section IV of this submission, Australia uses the term "subject imports" to refer to Australian bottled wine products in containers of less than two litres that were exported to China during the Injury POI and were subject to MOFCOM's injury investigat</w:t>
      </w:r>
      <w:r>
        <w:rPr>
          <w:sz w:val="18"/>
        </w:rPr>
        <w:t>ion and injury determination.</w:t>
      </w:r>
    </w:p>
    <w:p w14:paraId="51DE8D59" w14:textId="77777777" w:rsidR="0010369C" w:rsidRDefault="008E43AE">
      <w:pPr>
        <w:spacing w:line="219" w:lineRule="exact"/>
        <w:ind w:left="238"/>
        <w:jc w:val="both"/>
        <w:rPr>
          <w:sz w:val="18"/>
        </w:rPr>
      </w:pPr>
      <w:r>
        <w:rPr>
          <w:sz w:val="18"/>
          <w:vertAlign w:val="superscript"/>
        </w:rPr>
        <w:t>610</w:t>
      </w:r>
      <w:r>
        <w:rPr>
          <w:spacing w:val="-9"/>
          <w:sz w:val="18"/>
        </w:rPr>
        <w:t xml:space="preserve"> </w:t>
      </w:r>
      <w:r>
        <w:rPr>
          <w:sz w:val="18"/>
        </w:rPr>
        <w:t>Anti‐Dumping</w:t>
      </w:r>
      <w:r>
        <w:rPr>
          <w:spacing w:val="-9"/>
          <w:sz w:val="18"/>
        </w:rPr>
        <w:t xml:space="preserve"> </w:t>
      </w:r>
      <w:r>
        <w:rPr>
          <w:sz w:val="18"/>
        </w:rPr>
        <w:t>Final</w:t>
      </w:r>
      <w:r>
        <w:rPr>
          <w:spacing w:val="-9"/>
          <w:sz w:val="18"/>
        </w:rPr>
        <w:t xml:space="preserve"> </w:t>
      </w:r>
      <w:r>
        <w:rPr>
          <w:sz w:val="18"/>
        </w:rPr>
        <w:t>Determination</w:t>
      </w:r>
      <w:r>
        <w:rPr>
          <w:spacing w:val="-8"/>
          <w:sz w:val="18"/>
        </w:rPr>
        <w:t xml:space="preserve"> </w:t>
      </w:r>
      <w:r>
        <w:rPr>
          <w:sz w:val="18"/>
        </w:rPr>
        <w:t>(Exhibit</w:t>
      </w:r>
      <w:r>
        <w:rPr>
          <w:spacing w:val="-9"/>
          <w:sz w:val="18"/>
        </w:rPr>
        <w:t xml:space="preserve"> </w:t>
      </w:r>
      <w:r>
        <w:rPr>
          <w:sz w:val="18"/>
        </w:rPr>
        <w:t>AUS‐2),</w:t>
      </w:r>
      <w:r>
        <w:rPr>
          <w:spacing w:val="-9"/>
          <w:sz w:val="18"/>
        </w:rPr>
        <w:t xml:space="preserve"> </w:t>
      </w:r>
      <w:r>
        <w:rPr>
          <w:sz w:val="18"/>
        </w:rPr>
        <w:t>p.</w:t>
      </w:r>
      <w:r>
        <w:rPr>
          <w:spacing w:val="-9"/>
          <w:sz w:val="18"/>
        </w:rPr>
        <w:t xml:space="preserve"> </w:t>
      </w:r>
      <w:r>
        <w:rPr>
          <w:spacing w:val="-4"/>
          <w:sz w:val="18"/>
        </w:rPr>
        <w:t>123.</w:t>
      </w:r>
    </w:p>
    <w:p w14:paraId="51DE8D5A" w14:textId="77777777" w:rsidR="0010369C" w:rsidRDefault="0010369C">
      <w:pPr>
        <w:spacing w:line="219" w:lineRule="exact"/>
        <w:jc w:val="both"/>
        <w:rPr>
          <w:sz w:val="18"/>
        </w:rPr>
        <w:sectPr w:rsidR="0010369C">
          <w:pgSz w:w="11910" w:h="16840"/>
          <w:pgMar w:top="880" w:right="800" w:bottom="980" w:left="1180" w:header="569" w:footer="788" w:gutter="0"/>
          <w:cols w:space="720"/>
        </w:sectPr>
      </w:pPr>
    </w:p>
    <w:p w14:paraId="51DE8D5B" w14:textId="77777777" w:rsidR="0010369C" w:rsidRDefault="008E43AE">
      <w:pPr>
        <w:tabs>
          <w:tab w:val="left" w:pos="6426"/>
        </w:tabs>
        <w:ind w:left="238"/>
        <w:jc w:val="both"/>
        <w:rPr>
          <w:sz w:val="20"/>
        </w:rPr>
      </w:pPr>
      <w:r>
        <w:rPr>
          <w:i/>
          <w:sz w:val="20"/>
        </w:rPr>
        <w:lastRenderedPageBreak/>
        <w:t>China</w:t>
      </w:r>
      <w:r>
        <w:rPr>
          <w:i/>
          <w:spacing w:val="-5"/>
          <w:sz w:val="20"/>
        </w:rPr>
        <w:t xml:space="preserve"> </w:t>
      </w:r>
      <w:r>
        <w:rPr>
          <w:i/>
          <w:sz w:val="20"/>
        </w:rPr>
        <w:t>–</w:t>
      </w:r>
      <w:r>
        <w:rPr>
          <w:i/>
          <w:spacing w:val="-5"/>
          <w:sz w:val="20"/>
        </w:rPr>
        <w:t xml:space="preserve"> </w:t>
      </w:r>
      <w:r>
        <w:rPr>
          <w:i/>
          <w:sz w:val="20"/>
        </w:rPr>
        <w:t>Anti‐Dumping</w:t>
      </w:r>
      <w:r>
        <w:rPr>
          <w:i/>
          <w:spacing w:val="-4"/>
          <w:sz w:val="20"/>
        </w:rPr>
        <w:t xml:space="preserve"> </w:t>
      </w:r>
      <w:r>
        <w:rPr>
          <w:i/>
          <w:sz w:val="20"/>
        </w:rPr>
        <w:t>and</w:t>
      </w:r>
      <w:r>
        <w:rPr>
          <w:i/>
          <w:spacing w:val="-5"/>
          <w:sz w:val="20"/>
        </w:rPr>
        <w:t xml:space="preserve"> </w:t>
      </w:r>
      <w:r>
        <w:rPr>
          <w:i/>
          <w:sz w:val="20"/>
        </w:rPr>
        <w:t>Countervailing</w:t>
      </w:r>
      <w:r>
        <w:rPr>
          <w:i/>
          <w:spacing w:val="-5"/>
          <w:sz w:val="20"/>
        </w:rPr>
        <w:t xml:space="preserve"> </w:t>
      </w:r>
      <w:r>
        <w:rPr>
          <w:i/>
          <w:sz w:val="20"/>
        </w:rPr>
        <w:t>Duty</w:t>
      </w:r>
      <w:r>
        <w:rPr>
          <w:i/>
          <w:spacing w:val="-4"/>
          <w:sz w:val="20"/>
        </w:rPr>
        <w:t xml:space="preserve"> </w:t>
      </w:r>
      <w:r>
        <w:rPr>
          <w:i/>
          <w:spacing w:val="-2"/>
          <w:sz w:val="20"/>
        </w:rPr>
        <w:t>Measures</w:t>
      </w:r>
      <w:r>
        <w:rPr>
          <w:i/>
          <w:sz w:val="20"/>
        </w:rPr>
        <w:tab/>
      </w:r>
      <w:r>
        <w:rPr>
          <w:sz w:val="20"/>
        </w:rPr>
        <w:t>Australia's</w:t>
      </w:r>
      <w:r>
        <w:rPr>
          <w:spacing w:val="-7"/>
          <w:sz w:val="20"/>
        </w:rPr>
        <w:t xml:space="preserve"> </w:t>
      </w:r>
      <w:r>
        <w:rPr>
          <w:sz w:val="20"/>
        </w:rPr>
        <w:t>First</w:t>
      </w:r>
      <w:r>
        <w:rPr>
          <w:spacing w:val="-2"/>
          <w:sz w:val="20"/>
        </w:rPr>
        <w:t xml:space="preserve"> </w:t>
      </w:r>
      <w:r>
        <w:rPr>
          <w:sz w:val="20"/>
        </w:rPr>
        <w:t>Written</w:t>
      </w:r>
      <w:r>
        <w:rPr>
          <w:spacing w:val="-2"/>
          <w:sz w:val="20"/>
        </w:rPr>
        <w:t xml:space="preserve"> Submission</w:t>
      </w:r>
    </w:p>
    <w:p w14:paraId="51DE8D5C" w14:textId="77777777" w:rsidR="0010369C" w:rsidRDefault="008E43AE">
      <w:pPr>
        <w:tabs>
          <w:tab w:val="left" w:pos="8228"/>
        </w:tabs>
        <w:spacing w:before="1"/>
        <w:ind w:left="239"/>
        <w:jc w:val="both"/>
        <w:rPr>
          <w:sz w:val="20"/>
        </w:rPr>
      </w:pPr>
      <w:r>
        <w:rPr>
          <w:i/>
          <w:sz w:val="20"/>
        </w:rPr>
        <w:t>on</w:t>
      </w:r>
      <w:r>
        <w:rPr>
          <w:i/>
          <w:spacing w:val="-1"/>
          <w:sz w:val="20"/>
        </w:rPr>
        <w:t xml:space="preserve"> </w:t>
      </w:r>
      <w:r>
        <w:rPr>
          <w:i/>
          <w:sz w:val="20"/>
        </w:rPr>
        <w:t>Wine</w:t>
      </w:r>
      <w:r>
        <w:rPr>
          <w:i/>
          <w:spacing w:val="-1"/>
          <w:sz w:val="20"/>
        </w:rPr>
        <w:t xml:space="preserve"> </w:t>
      </w:r>
      <w:r>
        <w:rPr>
          <w:i/>
          <w:sz w:val="20"/>
        </w:rPr>
        <w:t>from</w:t>
      </w:r>
      <w:r>
        <w:rPr>
          <w:i/>
          <w:spacing w:val="-3"/>
          <w:sz w:val="20"/>
        </w:rPr>
        <w:t xml:space="preserve"> </w:t>
      </w:r>
      <w:r>
        <w:rPr>
          <w:i/>
          <w:sz w:val="20"/>
        </w:rPr>
        <w:t>Australia</w:t>
      </w:r>
      <w:r>
        <w:rPr>
          <w:i/>
          <w:spacing w:val="-1"/>
          <w:sz w:val="20"/>
        </w:rPr>
        <w:t xml:space="preserve"> </w:t>
      </w:r>
      <w:r>
        <w:rPr>
          <w:spacing w:val="-2"/>
          <w:sz w:val="20"/>
        </w:rPr>
        <w:t>(DS602)</w:t>
      </w:r>
      <w:r>
        <w:rPr>
          <w:sz w:val="20"/>
        </w:rPr>
        <w:tab/>
        <w:t>29</w:t>
      </w:r>
      <w:r>
        <w:rPr>
          <w:spacing w:val="-1"/>
          <w:sz w:val="20"/>
        </w:rPr>
        <w:t xml:space="preserve"> </w:t>
      </w:r>
      <w:r>
        <w:rPr>
          <w:sz w:val="20"/>
        </w:rPr>
        <w:t>April</w:t>
      </w:r>
      <w:r>
        <w:rPr>
          <w:spacing w:val="-2"/>
          <w:sz w:val="20"/>
        </w:rPr>
        <w:t xml:space="preserve"> </w:t>
      </w:r>
      <w:r>
        <w:rPr>
          <w:spacing w:val="-4"/>
          <w:sz w:val="20"/>
        </w:rPr>
        <w:t>2022</w:t>
      </w:r>
    </w:p>
    <w:p w14:paraId="51DE8D5D" w14:textId="77777777" w:rsidR="0010369C" w:rsidRDefault="008E43AE">
      <w:pPr>
        <w:pStyle w:val="BodyText"/>
        <w:spacing w:before="34" w:line="360" w:lineRule="auto"/>
        <w:ind w:left="238" w:right="614"/>
        <w:jc w:val="both"/>
      </w:pPr>
      <w:r>
        <w:t>domestic like products was unable to increase accordingly with the rising cost".</w:t>
      </w:r>
      <w:r>
        <w:rPr>
          <w:vertAlign w:val="superscript"/>
        </w:rPr>
        <w:t>611</w:t>
      </w:r>
      <w:r>
        <w:t xml:space="preserve"> In this regard, MOFCOM considered that the average unit price of domestic like products had increased by 20.54% during the Injury POI, while the</w:t>
      </w:r>
      <w:r>
        <w:rPr>
          <w:spacing w:val="-1"/>
        </w:rPr>
        <w:t xml:space="preserve"> </w:t>
      </w:r>
      <w:r>
        <w:t xml:space="preserve">average unit cost of those </w:t>
      </w:r>
      <w:r>
        <w:t>products had increased by 25.19%.</w:t>
      </w:r>
      <w:r>
        <w:rPr>
          <w:vertAlign w:val="superscript"/>
        </w:rPr>
        <w:t>612</w:t>
      </w:r>
    </w:p>
    <w:p w14:paraId="51DE8D5E" w14:textId="77777777" w:rsidR="0010369C" w:rsidRDefault="0010369C">
      <w:pPr>
        <w:pStyle w:val="BodyText"/>
        <w:spacing w:before="11"/>
        <w:rPr>
          <w:sz w:val="8"/>
        </w:rPr>
      </w:pPr>
    </w:p>
    <w:p w14:paraId="51DE8D5F" w14:textId="77777777" w:rsidR="0010369C" w:rsidRDefault="008E43AE">
      <w:pPr>
        <w:pStyle w:val="BodyText"/>
        <w:spacing w:before="51" w:line="360" w:lineRule="auto"/>
        <w:ind w:left="237" w:right="613" w:firstLine="852"/>
        <w:jc w:val="both"/>
      </w:pPr>
      <w:r>
        <w:rPr>
          <w:noProof/>
        </w:rPr>
        <w:drawing>
          <wp:anchor distT="0" distB="0" distL="0" distR="0" simplePos="0" relativeHeight="251185664" behindDoc="1" locked="0" layoutInCell="1" allowOverlap="1" wp14:anchorId="51DEA444" wp14:editId="51DEA445">
            <wp:simplePos x="0" y="0"/>
            <wp:positionH relativeFrom="page">
              <wp:posOffset>902208</wp:posOffset>
            </wp:positionH>
            <wp:positionV relativeFrom="paragraph">
              <wp:posOffset>81314</wp:posOffset>
            </wp:positionV>
            <wp:extent cx="262127" cy="100753"/>
            <wp:effectExtent l="0" t="0" r="0" b="0"/>
            <wp:wrapNone/>
            <wp:docPr id="1095" name="image5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 name="image559.png"/>
                    <pic:cNvPicPr/>
                  </pic:nvPicPr>
                  <pic:blipFill>
                    <a:blip r:embed="rId732" cstate="print"/>
                    <a:stretch>
                      <a:fillRect/>
                    </a:stretch>
                  </pic:blipFill>
                  <pic:spPr>
                    <a:xfrm>
                      <a:off x="0" y="0"/>
                      <a:ext cx="262127" cy="100753"/>
                    </a:xfrm>
                    <a:prstGeom prst="rect">
                      <a:avLst/>
                    </a:prstGeom>
                  </pic:spPr>
                </pic:pic>
              </a:graphicData>
            </a:graphic>
          </wp:anchor>
        </w:drawing>
      </w:r>
      <w:r>
        <w:t>MOFCOM</w:t>
      </w:r>
      <w:r>
        <w:rPr>
          <w:spacing w:val="-6"/>
        </w:rPr>
        <w:t xml:space="preserve"> </w:t>
      </w:r>
      <w:r>
        <w:t>did</w:t>
      </w:r>
      <w:r>
        <w:rPr>
          <w:spacing w:val="-6"/>
        </w:rPr>
        <w:t xml:space="preserve"> </w:t>
      </w:r>
      <w:r>
        <w:t>not</w:t>
      </w:r>
      <w:r>
        <w:rPr>
          <w:spacing w:val="-6"/>
        </w:rPr>
        <w:t xml:space="preserve"> </w:t>
      </w:r>
      <w:r>
        <w:t>consider</w:t>
      </w:r>
      <w:r>
        <w:rPr>
          <w:spacing w:val="-6"/>
        </w:rPr>
        <w:t xml:space="preserve"> </w:t>
      </w:r>
      <w:r>
        <w:t>or</w:t>
      </w:r>
      <w:r>
        <w:rPr>
          <w:spacing w:val="-7"/>
        </w:rPr>
        <w:t xml:space="preserve"> </w:t>
      </w:r>
      <w:r>
        <w:t>explain</w:t>
      </w:r>
      <w:r>
        <w:rPr>
          <w:spacing w:val="-8"/>
        </w:rPr>
        <w:t xml:space="preserve"> </w:t>
      </w:r>
      <w:r>
        <w:t>how</w:t>
      </w:r>
      <w:r>
        <w:rPr>
          <w:spacing w:val="-6"/>
        </w:rPr>
        <w:t xml:space="preserve"> </w:t>
      </w:r>
      <w:r>
        <w:t>the</w:t>
      </w:r>
      <w:r>
        <w:rPr>
          <w:spacing w:val="-6"/>
        </w:rPr>
        <w:t xml:space="preserve"> </w:t>
      </w:r>
      <w:r>
        <w:t>allegedly</w:t>
      </w:r>
      <w:r>
        <w:rPr>
          <w:spacing w:val="-6"/>
        </w:rPr>
        <w:t xml:space="preserve"> </w:t>
      </w:r>
      <w:r>
        <w:t>dumped</w:t>
      </w:r>
      <w:r>
        <w:rPr>
          <w:spacing w:val="-6"/>
        </w:rPr>
        <w:t xml:space="preserve"> </w:t>
      </w:r>
      <w:r>
        <w:t>subject</w:t>
      </w:r>
      <w:r>
        <w:rPr>
          <w:spacing w:val="-7"/>
        </w:rPr>
        <w:t xml:space="preserve"> </w:t>
      </w:r>
      <w:r>
        <w:t>imports</w:t>
      </w:r>
      <w:r>
        <w:rPr>
          <w:spacing w:val="-6"/>
        </w:rPr>
        <w:t xml:space="preserve"> </w:t>
      </w:r>
      <w:r>
        <w:t xml:space="preserve">had the </w:t>
      </w:r>
      <w:r>
        <w:rPr>
          <w:i/>
        </w:rPr>
        <w:t xml:space="preserve">effect </w:t>
      </w:r>
      <w:r>
        <w:t xml:space="preserve">of "prevent[ing] price increases, which otherwise would have occurred, to a significant degree" within the meaning of Article </w:t>
      </w:r>
      <w:r>
        <w:t>3.2. There was no consideration given at all to the question of whether the average unit price of domestic like products would have increased</w:t>
      </w:r>
      <w:r>
        <w:rPr>
          <w:spacing w:val="-2"/>
        </w:rPr>
        <w:t xml:space="preserve"> </w:t>
      </w:r>
      <w:r>
        <w:t>at</w:t>
      </w:r>
      <w:r>
        <w:rPr>
          <w:spacing w:val="-4"/>
        </w:rPr>
        <w:t xml:space="preserve"> </w:t>
      </w:r>
      <w:r>
        <w:t>a</w:t>
      </w:r>
      <w:r>
        <w:rPr>
          <w:spacing w:val="-3"/>
        </w:rPr>
        <w:t xml:space="preserve"> </w:t>
      </w:r>
      <w:r>
        <w:t>higher</w:t>
      </w:r>
      <w:r>
        <w:rPr>
          <w:spacing w:val="-2"/>
        </w:rPr>
        <w:t xml:space="preserve"> </w:t>
      </w:r>
      <w:r>
        <w:t>rate</w:t>
      </w:r>
      <w:r>
        <w:rPr>
          <w:spacing w:val="-2"/>
        </w:rPr>
        <w:t xml:space="preserve"> </w:t>
      </w:r>
      <w:r>
        <w:t>—</w:t>
      </w:r>
      <w:r>
        <w:rPr>
          <w:spacing w:val="-3"/>
        </w:rPr>
        <w:t xml:space="preserve"> </w:t>
      </w:r>
      <w:r>
        <w:t>for</w:t>
      </w:r>
      <w:r>
        <w:rPr>
          <w:spacing w:val="-2"/>
        </w:rPr>
        <w:t xml:space="preserve"> </w:t>
      </w:r>
      <w:r>
        <w:t>example,</w:t>
      </w:r>
      <w:r>
        <w:rPr>
          <w:spacing w:val="-4"/>
        </w:rPr>
        <w:t xml:space="preserve"> </w:t>
      </w:r>
      <w:r>
        <w:t>by</w:t>
      </w:r>
      <w:r>
        <w:rPr>
          <w:spacing w:val="-2"/>
        </w:rPr>
        <w:t xml:space="preserve"> </w:t>
      </w:r>
      <w:r>
        <w:t>an</w:t>
      </w:r>
      <w:r>
        <w:rPr>
          <w:spacing w:val="-4"/>
        </w:rPr>
        <w:t xml:space="preserve"> </w:t>
      </w:r>
      <w:r>
        <w:t>additional</w:t>
      </w:r>
      <w:r>
        <w:rPr>
          <w:spacing w:val="-3"/>
        </w:rPr>
        <w:t xml:space="preserve"> </w:t>
      </w:r>
      <w:r>
        <w:t>658</w:t>
      </w:r>
      <w:r>
        <w:rPr>
          <w:spacing w:val="-3"/>
        </w:rPr>
        <w:t xml:space="preserve"> </w:t>
      </w:r>
      <w:r>
        <w:t>RMB/kl</w:t>
      </w:r>
      <w:r>
        <w:rPr>
          <w:spacing w:val="-3"/>
        </w:rPr>
        <w:t xml:space="preserve"> </w:t>
      </w:r>
      <w:r>
        <w:t>over</w:t>
      </w:r>
      <w:r>
        <w:rPr>
          <w:spacing w:val="-2"/>
        </w:rPr>
        <w:t xml:space="preserve"> </w:t>
      </w:r>
      <w:r>
        <w:t>the</w:t>
      </w:r>
      <w:r>
        <w:rPr>
          <w:spacing w:val="-2"/>
        </w:rPr>
        <w:t xml:space="preserve"> </w:t>
      </w:r>
      <w:r>
        <w:t>course</w:t>
      </w:r>
      <w:r>
        <w:rPr>
          <w:spacing w:val="-2"/>
        </w:rPr>
        <w:t xml:space="preserve"> </w:t>
      </w:r>
      <w:r>
        <w:t>of</w:t>
      </w:r>
      <w:r>
        <w:rPr>
          <w:spacing w:val="-3"/>
        </w:rPr>
        <w:t xml:space="preserve"> </w:t>
      </w:r>
      <w:r>
        <w:t>the Injury POI to fully cover the increasing costs</w:t>
      </w:r>
      <w:r>
        <w:rPr>
          <w:vertAlign w:val="superscript"/>
        </w:rPr>
        <w:t>613</w:t>
      </w:r>
      <w:r>
        <w:t xml:space="preserve"> — in the absence of the allegedly dumped imports from Australia. Moreover, MOFCOM failed to explain how the subject imports could have prevented "the price of domestic like products … to increase accord</w:t>
      </w:r>
      <w:r>
        <w:t>ingly with</w:t>
      </w:r>
      <w:r>
        <w:rPr>
          <w:spacing w:val="-1"/>
        </w:rPr>
        <w:t xml:space="preserve"> </w:t>
      </w:r>
      <w:r>
        <w:t xml:space="preserve">the rising cost" when the data on the investigation record clearly demonstrated that: (i) the average prices of the allegedly dumped Australian products were </w:t>
      </w:r>
      <w:r>
        <w:rPr>
          <w:i/>
        </w:rPr>
        <w:t xml:space="preserve">much higher </w:t>
      </w:r>
      <w:r>
        <w:t>throughout the Injury POI, by margins of 16.28% to 72.99%, than the average</w:t>
      </w:r>
      <w:r>
        <w:t xml:space="preserve"> prices of the domestic like products; and (ii) the average prices of like imports from third countries were </w:t>
      </w:r>
      <w:r>
        <w:rPr>
          <w:i/>
        </w:rPr>
        <w:t xml:space="preserve">lower </w:t>
      </w:r>
      <w:r>
        <w:t>during the Injury POI than the average prices of the domestic like products.</w:t>
      </w:r>
      <w:r>
        <w:rPr>
          <w:vertAlign w:val="superscript"/>
        </w:rPr>
        <w:t>614</w:t>
      </w:r>
    </w:p>
    <w:p w14:paraId="51DE8D60" w14:textId="77777777" w:rsidR="0010369C" w:rsidRDefault="0010369C">
      <w:pPr>
        <w:pStyle w:val="BodyText"/>
        <w:spacing w:before="11"/>
        <w:rPr>
          <w:sz w:val="8"/>
        </w:rPr>
      </w:pPr>
    </w:p>
    <w:p w14:paraId="51DE8D61" w14:textId="77777777" w:rsidR="0010369C" w:rsidRDefault="008E43AE">
      <w:pPr>
        <w:pStyle w:val="BodyText"/>
        <w:spacing w:before="52" w:line="360" w:lineRule="auto"/>
        <w:ind w:left="237" w:right="613" w:firstLine="851"/>
        <w:jc w:val="both"/>
      </w:pPr>
      <w:r>
        <w:rPr>
          <w:noProof/>
        </w:rPr>
        <w:drawing>
          <wp:anchor distT="0" distB="0" distL="0" distR="0" simplePos="0" relativeHeight="251186688" behindDoc="1" locked="0" layoutInCell="1" allowOverlap="1" wp14:anchorId="51DEA446" wp14:editId="51DEA447">
            <wp:simplePos x="0" y="0"/>
            <wp:positionH relativeFrom="page">
              <wp:posOffset>902208</wp:posOffset>
            </wp:positionH>
            <wp:positionV relativeFrom="paragraph">
              <wp:posOffset>80595</wp:posOffset>
            </wp:positionV>
            <wp:extent cx="262127" cy="103631"/>
            <wp:effectExtent l="0" t="0" r="0" b="0"/>
            <wp:wrapNone/>
            <wp:docPr id="1097" name="image5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 name="image560.png"/>
                    <pic:cNvPicPr/>
                  </pic:nvPicPr>
                  <pic:blipFill>
                    <a:blip r:embed="rId733" cstate="print"/>
                    <a:stretch>
                      <a:fillRect/>
                    </a:stretch>
                  </pic:blipFill>
                  <pic:spPr>
                    <a:xfrm>
                      <a:off x="0" y="0"/>
                      <a:ext cx="262127" cy="103631"/>
                    </a:xfrm>
                    <a:prstGeom prst="rect">
                      <a:avLst/>
                    </a:prstGeom>
                  </pic:spPr>
                </pic:pic>
              </a:graphicData>
            </a:graphic>
          </wp:anchor>
        </w:drawing>
      </w:r>
      <w:r>
        <w:t>Thus, MOFCOM failed: (i) to consider whether the subject im</w:t>
      </w:r>
      <w:r>
        <w:t>ports had "explanatory force"</w:t>
      </w:r>
      <w:r>
        <w:rPr>
          <w:spacing w:val="-14"/>
        </w:rPr>
        <w:t xml:space="preserve"> </w:t>
      </w:r>
      <w:r>
        <w:t>for</w:t>
      </w:r>
      <w:r>
        <w:rPr>
          <w:spacing w:val="-14"/>
        </w:rPr>
        <w:t xml:space="preserve"> </w:t>
      </w:r>
      <w:r>
        <w:t>the</w:t>
      </w:r>
      <w:r>
        <w:rPr>
          <w:spacing w:val="-13"/>
        </w:rPr>
        <w:t xml:space="preserve"> </w:t>
      </w:r>
      <w:r>
        <w:t>alleged</w:t>
      </w:r>
      <w:r>
        <w:rPr>
          <w:spacing w:val="-14"/>
        </w:rPr>
        <w:t xml:space="preserve"> </w:t>
      </w:r>
      <w:r>
        <w:t>suppression</w:t>
      </w:r>
      <w:r>
        <w:rPr>
          <w:spacing w:val="-13"/>
        </w:rPr>
        <w:t xml:space="preserve"> </w:t>
      </w:r>
      <w:r>
        <w:t>of</w:t>
      </w:r>
      <w:r>
        <w:rPr>
          <w:spacing w:val="-14"/>
        </w:rPr>
        <w:t xml:space="preserve"> </w:t>
      </w:r>
      <w:r>
        <w:t>the</w:t>
      </w:r>
      <w:r>
        <w:rPr>
          <w:spacing w:val="-13"/>
        </w:rPr>
        <w:t xml:space="preserve"> </w:t>
      </w:r>
      <w:r>
        <w:t>price</w:t>
      </w:r>
      <w:r>
        <w:rPr>
          <w:spacing w:val="-14"/>
        </w:rPr>
        <w:t xml:space="preserve"> </w:t>
      </w:r>
      <w:r>
        <w:t>of</w:t>
      </w:r>
      <w:r>
        <w:rPr>
          <w:spacing w:val="-14"/>
        </w:rPr>
        <w:t xml:space="preserve"> </w:t>
      </w:r>
      <w:r>
        <w:t>the</w:t>
      </w:r>
      <w:r>
        <w:rPr>
          <w:spacing w:val="-13"/>
        </w:rPr>
        <w:t xml:space="preserve"> </w:t>
      </w:r>
      <w:r>
        <w:t>domestic</w:t>
      </w:r>
      <w:r>
        <w:rPr>
          <w:spacing w:val="-14"/>
        </w:rPr>
        <w:t xml:space="preserve"> </w:t>
      </w:r>
      <w:r>
        <w:t>like</w:t>
      </w:r>
      <w:r>
        <w:rPr>
          <w:spacing w:val="-13"/>
        </w:rPr>
        <w:t xml:space="preserve"> </w:t>
      </w:r>
      <w:r>
        <w:t>products,</w:t>
      </w:r>
      <w:r>
        <w:rPr>
          <w:spacing w:val="-14"/>
        </w:rPr>
        <w:t xml:space="preserve"> </w:t>
      </w:r>
      <w:r>
        <w:t>and</w:t>
      </w:r>
      <w:r>
        <w:rPr>
          <w:spacing w:val="-13"/>
        </w:rPr>
        <w:t xml:space="preserve"> </w:t>
      </w:r>
      <w:r>
        <w:t>(ii)</w:t>
      </w:r>
      <w:r>
        <w:rPr>
          <w:spacing w:val="-14"/>
        </w:rPr>
        <w:t xml:space="preserve"> </w:t>
      </w:r>
      <w:r>
        <w:t>to</w:t>
      </w:r>
      <w:r>
        <w:rPr>
          <w:spacing w:val="-14"/>
        </w:rPr>
        <w:t xml:space="preserve"> </w:t>
      </w:r>
      <w:r>
        <w:t>conduct an objective examination based on positive evidence. For these reasons alone, MOFCOM's finding of price suppression was inconsistent w</w:t>
      </w:r>
      <w:r>
        <w:t>ith China's obligations under Articles 3.1 and</w:t>
      </w:r>
    </w:p>
    <w:p w14:paraId="51DE8D62" w14:textId="77777777" w:rsidR="0010369C" w:rsidRDefault="008E43AE">
      <w:pPr>
        <w:pStyle w:val="ListParagraph"/>
        <w:numPr>
          <w:ilvl w:val="1"/>
          <w:numId w:val="59"/>
        </w:numPr>
        <w:tabs>
          <w:tab w:val="left" w:pos="592"/>
        </w:tabs>
        <w:spacing w:before="0" w:line="360" w:lineRule="auto"/>
        <w:ind w:left="238" w:right="612" w:firstLine="0"/>
        <w:jc w:val="both"/>
        <w:rPr>
          <w:sz w:val="24"/>
        </w:rPr>
      </w:pPr>
      <w:r>
        <w:rPr>
          <w:sz w:val="24"/>
        </w:rPr>
        <w:t>of</w:t>
      </w:r>
      <w:r>
        <w:rPr>
          <w:spacing w:val="-9"/>
          <w:sz w:val="24"/>
        </w:rPr>
        <w:t xml:space="preserve"> </w:t>
      </w:r>
      <w:r>
        <w:rPr>
          <w:sz w:val="24"/>
        </w:rPr>
        <w:t>the</w:t>
      </w:r>
      <w:r>
        <w:rPr>
          <w:spacing w:val="-8"/>
          <w:sz w:val="24"/>
        </w:rPr>
        <w:t xml:space="preserve"> </w:t>
      </w:r>
      <w:r>
        <w:rPr>
          <w:sz w:val="24"/>
        </w:rPr>
        <w:t>Anti‐Dumping</w:t>
      </w:r>
      <w:r>
        <w:rPr>
          <w:spacing w:val="-8"/>
          <w:sz w:val="24"/>
        </w:rPr>
        <w:t xml:space="preserve"> </w:t>
      </w:r>
      <w:r>
        <w:rPr>
          <w:sz w:val="24"/>
        </w:rPr>
        <w:t>Agreement.</w:t>
      </w:r>
      <w:r>
        <w:rPr>
          <w:spacing w:val="-10"/>
          <w:sz w:val="24"/>
        </w:rPr>
        <w:t xml:space="preserve"> </w:t>
      </w:r>
      <w:r>
        <w:rPr>
          <w:sz w:val="24"/>
        </w:rPr>
        <w:t>However,</w:t>
      </w:r>
      <w:r>
        <w:rPr>
          <w:spacing w:val="-10"/>
          <w:sz w:val="24"/>
        </w:rPr>
        <w:t xml:space="preserve"> </w:t>
      </w:r>
      <w:r>
        <w:rPr>
          <w:sz w:val="24"/>
        </w:rPr>
        <w:t>MOFCOM's</w:t>
      </w:r>
      <w:r>
        <w:rPr>
          <w:spacing w:val="-7"/>
          <w:sz w:val="24"/>
        </w:rPr>
        <w:t xml:space="preserve"> </w:t>
      </w:r>
      <w:r>
        <w:rPr>
          <w:sz w:val="24"/>
        </w:rPr>
        <w:t>price</w:t>
      </w:r>
      <w:r>
        <w:rPr>
          <w:spacing w:val="-9"/>
          <w:sz w:val="24"/>
        </w:rPr>
        <w:t xml:space="preserve"> </w:t>
      </w:r>
      <w:r>
        <w:rPr>
          <w:sz w:val="24"/>
        </w:rPr>
        <w:t>effects</w:t>
      </w:r>
      <w:r>
        <w:rPr>
          <w:spacing w:val="-11"/>
          <w:sz w:val="24"/>
        </w:rPr>
        <w:t xml:space="preserve"> </w:t>
      </w:r>
      <w:r>
        <w:rPr>
          <w:sz w:val="24"/>
        </w:rPr>
        <w:t>examination</w:t>
      </w:r>
      <w:r>
        <w:rPr>
          <w:spacing w:val="-10"/>
          <w:sz w:val="24"/>
        </w:rPr>
        <w:t xml:space="preserve"> </w:t>
      </w:r>
      <w:r>
        <w:rPr>
          <w:sz w:val="24"/>
        </w:rPr>
        <w:t>involved other</w:t>
      </w:r>
      <w:r>
        <w:rPr>
          <w:spacing w:val="-1"/>
          <w:sz w:val="24"/>
        </w:rPr>
        <w:t xml:space="preserve"> </w:t>
      </w:r>
      <w:r>
        <w:rPr>
          <w:sz w:val="24"/>
        </w:rPr>
        <w:t>critical</w:t>
      </w:r>
      <w:r>
        <w:rPr>
          <w:spacing w:val="-1"/>
          <w:sz w:val="24"/>
        </w:rPr>
        <w:t xml:space="preserve"> </w:t>
      </w:r>
      <w:r>
        <w:rPr>
          <w:sz w:val="24"/>
        </w:rPr>
        <w:t>errors</w:t>
      </w:r>
      <w:r>
        <w:rPr>
          <w:spacing w:val="-2"/>
          <w:sz w:val="24"/>
        </w:rPr>
        <w:t xml:space="preserve"> </w:t>
      </w:r>
      <w:r>
        <w:rPr>
          <w:sz w:val="24"/>
        </w:rPr>
        <w:t>and</w:t>
      </w:r>
      <w:r>
        <w:rPr>
          <w:spacing w:val="-2"/>
          <w:sz w:val="24"/>
        </w:rPr>
        <w:t xml:space="preserve"> </w:t>
      </w:r>
      <w:r>
        <w:rPr>
          <w:sz w:val="24"/>
        </w:rPr>
        <w:t>omissions, as</w:t>
      </w:r>
      <w:r>
        <w:rPr>
          <w:spacing w:val="-2"/>
          <w:sz w:val="24"/>
        </w:rPr>
        <w:t xml:space="preserve"> </w:t>
      </w:r>
      <w:r>
        <w:rPr>
          <w:sz w:val="24"/>
        </w:rPr>
        <w:t>outlined</w:t>
      </w:r>
      <w:r>
        <w:rPr>
          <w:spacing w:val="-1"/>
          <w:sz w:val="24"/>
        </w:rPr>
        <w:t xml:space="preserve"> </w:t>
      </w:r>
      <w:r>
        <w:rPr>
          <w:sz w:val="24"/>
        </w:rPr>
        <w:t>below,</w:t>
      </w:r>
      <w:r>
        <w:rPr>
          <w:spacing w:val="-1"/>
          <w:sz w:val="24"/>
        </w:rPr>
        <w:t xml:space="preserve"> </w:t>
      </w:r>
      <w:r>
        <w:rPr>
          <w:sz w:val="24"/>
        </w:rPr>
        <w:t>that</w:t>
      </w:r>
      <w:r>
        <w:rPr>
          <w:spacing w:val="-2"/>
          <w:sz w:val="24"/>
        </w:rPr>
        <w:t xml:space="preserve"> </w:t>
      </w:r>
      <w:r>
        <w:rPr>
          <w:sz w:val="24"/>
        </w:rPr>
        <w:t>were</w:t>
      </w:r>
      <w:r>
        <w:rPr>
          <w:spacing w:val="-1"/>
          <w:sz w:val="24"/>
        </w:rPr>
        <w:t xml:space="preserve"> </w:t>
      </w:r>
      <w:r>
        <w:rPr>
          <w:sz w:val="24"/>
        </w:rPr>
        <w:t>also</w:t>
      </w:r>
      <w:r>
        <w:rPr>
          <w:spacing w:val="-1"/>
          <w:sz w:val="24"/>
        </w:rPr>
        <w:t xml:space="preserve"> </w:t>
      </w:r>
      <w:r>
        <w:rPr>
          <w:sz w:val="24"/>
        </w:rPr>
        <w:t>inconsistent Articles</w:t>
      </w:r>
      <w:r>
        <w:rPr>
          <w:spacing w:val="-2"/>
          <w:sz w:val="24"/>
        </w:rPr>
        <w:t xml:space="preserve"> </w:t>
      </w:r>
      <w:r>
        <w:rPr>
          <w:sz w:val="24"/>
        </w:rPr>
        <w:t>3.1 and 3.2. The resolution of each of these claims is important to the effective and efficient resolution of the dispute.</w:t>
      </w:r>
    </w:p>
    <w:p w14:paraId="51DE8D63" w14:textId="77777777" w:rsidR="0010369C" w:rsidRDefault="008E43AE">
      <w:pPr>
        <w:pStyle w:val="BodyText"/>
        <w:spacing w:before="8"/>
        <w:rPr>
          <w:sz w:val="28"/>
        </w:rPr>
      </w:pPr>
      <w:r>
        <w:pict w14:anchorId="51DEA448">
          <v:rect id="docshape1012" o:spid="_x0000_s1357" style="position:absolute;margin-left:70.9pt;margin-top:18.7pt;width:2in;height:.8pt;z-index:-250843648;mso-wrap-distance-left:0;mso-wrap-distance-right:0;mso-position-horizontal-relative:page" fillcolor="black" stroked="f">
            <w10:wrap type="topAndBottom" anchorx="page"/>
          </v:rect>
        </w:pict>
      </w:r>
    </w:p>
    <w:p w14:paraId="51DE8D64" w14:textId="77777777" w:rsidR="0010369C" w:rsidRDefault="008E43AE">
      <w:pPr>
        <w:spacing w:before="109"/>
        <w:ind w:left="238"/>
        <w:jc w:val="both"/>
        <w:rPr>
          <w:sz w:val="18"/>
        </w:rPr>
      </w:pPr>
      <w:r>
        <w:rPr>
          <w:sz w:val="18"/>
          <w:vertAlign w:val="superscript"/>
        </w:rPr>
        <w:t>611</w:t>
      </w:r>
      <w:r>
        <w:rPr>
          <w:spacing w:val="-9"/>
          <w:sz w:val="18"/>
        </w:rPr>
        <w:t xml:space="preserve"> </w:t>
      </w:r>
      <w:r>
        <w:rPr>
          <w:sz w:val="18"/>
        </w:rPr>
        <w:t>Anti‐Dumping</w:t>
      </w:r>
      <w:r>
        <w:rPr>
          <w:spacing w:val="-9"/>
          <w:sz w:val="18"/>
        </w:rPr>
        <w:t xml:space="preserve"> </w:t>
      </w:r>
      <w:r>
        <w:rPr>
          <w:sz w:val="18"/>
        </w:rPr>
        <w:t>Final</w:t>
      </w:r>
      <w:r>
        <w:rPr>
          <w:spacing w:val="-9"/>
          <w:sz w:val="18"/>
        </w:rPr>
        <w:t xml:space="preserve"> </w:t>
      </w:r>
      <w:r>
        <w:rPr>
          <w:sz w:val="18"/>
        </w:rPr>
        <w:t>Determination</w:t>
      </w:r>
      <w:r>
        <w:rPr>
          <w:spacing w:val="-8"/>
          <w:sz w:val="18"/>
        </w:rPr>
        <w:t xml:space="preserve"> </w:t>
      </w:r>
      <w:r>
        <w:rPr>
          <w:sz w:val="18"/>
        </w:rPr>
        <w:t>(Exhibit</w:t>
      </w:r>
      <w:r>
        <w:rPr>
          <w:spacing w:val="-9"/>
          <w:sz w:val="18"/>
        </w:rPr>
        <w:t xml:space="preserve"> </w:t>
      </w:r>
      <w:r>
        <w:rPr>
          <w:sz w:val="18"/>
        </w:rPr>
        <w:t>AUS‐2),</w:t>
      </w:r>
      <w:r>
        <w:rPr>
          <w:spacing w:val="-9"/>
          <w:sz w:val="18"/>
        </w:rPr>
        <w:t xml:space="preserve"> </w:t>
      </w:r>
      <w:r>
        <w:rPr>
          <w:sz w:val="18"/>
        </w:rPr>
        <w:t>p.</w:t>
      </w:r>
      <w:r>
        <w:rPr>
          <w:spacing w:val="-9"/>
          <w:sz w:val="18"/>
        </w:rPr>
        <w:t xml:space="preserve"> </w:t>
      </w:r>
      <w:r>
        <w:rPr>
          <w:spacing w:val="-4"/>
          <w:sz w:val="18"/>
        </w:rPr>
        <w:t>122.</w:t>
      </w:r>
    </w:p>
    <w:p w14:paraId="51DE8D65" w14:textId="77777777" w:rsidR="0010369C" w:rsidRDefault="008E43AE">
      <w:pPr>
        <w:ind w:left="238"/>
        <w:jc w:val="both"/>
        <w:rPr>
          <w:sz w:val="18"/>
        </w:rPr>
      </w:pPr>
      <w:r>
        <w:rPr>
          <w:sz w:val="18"/>
          <w:vertAlign w:val="superscript"/>
        </w:rPr>
        <w:t>612</w:t>
      </w:r>
      <w:r>
        <w:rPr>
          <w:spacing w:val="-9"/>
          <w:sz w:val="18"/>
        </w:rPr>
        <w:t xml:space="preserve"> </w:t>
      </w:r>
      <w:r>
        <w:rPr>
          <w:sz w:val="18"/>
        </w:rPr>
        <w:t>Anti‐Dumping</w:t>
      </w:r>
      <w:r>
        <w:rPr>
          <w:spacing w:val="-9"/>
          <w:sz w:val="18"/>
        </w:rPr>
        <w:t xml:space="preserve"> </w:t>
      </w:r>
      <w:r>
        <w:rPr>
          <w:sz w:val="18"/>
        </w:rPr>
        <w:t>Final</w:t>
      </w:r>
      <w:r>
        <w:rPr>
          <w:spacing w:val="-9"/>
          <w:sz w:val="18"/>
        </w:rPr>
        <w:t xml:space="preserve"> </w:t>
      </w:r>
      <w:r>
        <w:rPr>
          <w:sz w:val="18"/>
        </w:rPr>
        <w:t>Determination</w:t>
      </w:r>
      <w:r>
        <w:rPr>
          <w:spacing w:val="-8"/>
          <w:sz w:val="18"/>
        </w:rPr>
        <w:t xml:space="preserve"> </w:t>
      </w:r>
      <w:r>
        <w:rPr>
          <w:sz w:val="18"/>
        </w:rPr>
        <w:t>(Exhibit</w:t>
      </w:r>
      <w:r>
        <w:rPr>
          <w:spacing w:val="-9"/>
          <w:sz w:val="18"/>
        </w:rPr>
        <w:t xml:space="preserve"> </w:t>
      </w:r>
      <w:r>
        <w:rPr>
          <w:sz w:val="18"/>
        </w:rPr>
        <w:t>AUS‐2),</w:t>
      </w:r>
      <w:r>
        <w:rPr>
          <w:spacing w:val="-9"/>
          <w:sz w:val="18"/>
        </w:rPr>
        <w:t xml:space="preserve"> </w:t>
      </w:r>
      <w:r>
        <w:rPr>
          <w:sz w:val="18"/>
        </w:rPr>
        <w:t>p.</w:t>
      </w:r>
      <w:r>
        <w:rPr>
          <w:spacing w:val="-9"/>
          <w:sz w:val="18"/>
        </w:rPr>
        <w:t xml:space="preserve"> </w:t>
      </w:r>
      <w:r>
        <w:rPr>
          <w:spacing w:val="-4"/>
          <w:sz w:val="18"/>
        </w:rPr>
        <w:t>120.</w:t>
      </w:r>
    </w:p>
    <w:p w14:paraId="51DE8D66" w14:textId="77777777" w:rsidR="0010369C" w:rsidRDefault="008E43AE">
      <w:pPr>
        <w:ind w:left="237" w:right="614"/>
        <w:jc w:val="both"/>
        <w:rPr>
          <w:sz w:val="18"/>
        </w:rPr>
      </w:pPr>
      <w:r>
        <w:rPr>
          <w:sz w:val="18"/>
          <w:vertAlign w:val="superscript"/>
        </w:rPr>
        <w:t>613</w:t>
      </w:r>
      <w:r>
        <w:rPr>
          <w:sz w:val="18"/>
        </w:rPr>
        <w:t xml:space="preserve"> Thi</w:t>
      </w:r>
      <w:r>
        <w:rPr>
          <w:sz w:val="18"/>
        </w:rPr>
        <w:t>s figure reflects the difference between the total unit cost increase over the Injury POI less the total domestic like product price increase over the Injury POI. Australia has calculated this figure using the following formula: (2019 unit cost – 2015</w:t>
      </w:r>
      <w:r>
        <w:rPr>
          <w:spacing w:val="-1"/>
          <w:sz w:val="18"/>
        </w:rPr>
        <w:t xml:space="preserve"> </w:t>
      </w:r>
      <w:r>
        <w:rPr>
          <w:sz w:val="18"/>
        </w:rPr>
        <w:t>unit</w:t>
      </w:r>
      <w:r>
        <w:rPr>
          <w:spacing w:val="-1"/>
          <w:sz w:val="18"/>
        </w:rPr>
        <w:t xml:space="preserve"> </w:t>
      </w:r>
      <w:r>
        <w:rPr>
          <w:sz w:val="18"/>
        </w:rPr>
        <w:t>cost) –</w:t>
      </w:r>
      <w:r>
        <w:rPr>
          <w:spacing w:val="-1"/>
          <w:sz w:val="18"/>
        </w:rPr>
        <w:t xml:space="preserve"> </w:t>
      </w:r>
      <w:r>
        <w:rPr>
          <w:sz w:val="18"/>
        </w:rPr>
        <w:t>(2019</w:t>
      </w:r>
      <w:r>
        <w:rPr>
          <w:spacing w:val="-1"/>
          <w:sz w:val="18"/>
        </w:rPr>
        <w:t xml:space="preserve"> </w:t>
      </w:r>
      <w:r>
        <w:rPr>
          <w:sz w:val="18"/>
        </w:rPr>
        <w:t>domestic</w:t>
      </w:r>
      <w:r>
        <w:rPr>
          <w:spacing w:val="-1"/>
          <w:sz w:val="18"/>
        </w:rPr>
        <w:t xml:space="preserve"> </w:t>
      </w:r>
      <w:r>
        <w:rPr>
          <w:sz w:val="18"/>
        </w:rPr>
        <w:t>like</w:t>
      </w:r>
      <w:r>
        <w:rPr>
          <w:spacing w:val="-1"/>
          <w:sz w:val="18"/>
        </w:rPr>
        <w:t xml:space="preserve"> </w:t>
      </w:r>
      <w:r>
        <w:rPr>
          <w:sz w:val="18"/>
        </w:rPr>
        <w:t>product</w:t>
      </w:r>
      <w:r>
        <w:rPr>
          <w:spacing w:val="-1"/>
          <w:sz w:val="18"/>
        </w:rPr>
        <w:t xml:space="preserve"> </w:t>
      </w:r>
      <w:r>
        <w:rPr>
          <w:sz w:val="18"/>
        </w:rPr>
        <w:t>price</w:t>
      </w:r>
      <w:r>
        <w:rPr>
          <w:spacing w:val="-1"/>
          <w:sz w:val="18"/>
        </w:rPr>
        <w:t xml:space="preserve"> </w:t>
      </w:r>
      <w:r>
        <w:rPr>
          <w:sz w:val="18"/>
        </w:rPr>
        <w:t>–</w:t>
      </w:r>
      <w:r>
        <w:rPr>
          <w:spacing w:val="-1"/>
          <w:sz w:val="18"/>
        </w:rPr>
        <w:t xml:space="preserve"> </w:t>
      </w:r>
      <w:r>
        <w:rPr>
          <w:sz w:val="18"/>
        </w:rPr>
        <w:t>2015</w:t>
      </w:r>
      <w:r>
        <w:rPr>
          <w:spacing w:val="-1"/>
          <w:sz w:val="18"/>
        </w:rPr>
        <w:t xml:space="preserve"> </w:t>
      </w:r>
      <w:r>
        <w:rPr>
          <w:sz w:val="18"/>
        </w:rPr>
        <w:t>domestic</w:t>
      </w:r>
      <w:r>
        <w:rPr>
          <w:spacing w:val="-1"/>
          <w:sz w:val="18"/>
        </w:rPr>
        <w:t xml:space="preserve"> </w:t>
      </w:r>
      <w:r>
        <w:rPr>
          <w:sz w:val="18"/>
        </w:rPr>
        <w:t>like</w:t>
      </w:r>
      <w:r>
        <w:rPr>
          <w:spacing w:val="-1"/>
          <w:sz w:val="18"/>
        </w:rPr>
        <w:t xml:space="preserve"> </w:t>
      </w:r>
      <w:r>
        <w:rPr>
          <w:sz w:val="18"/>
        </w:rPr>
        <w:t>product price).</w:t>
      </w:r>
      <w:r>
        <w:rPr>
          <w:spacing w:val="-1"/>
          <w:sz w:val="18"/>
        </w:rPr>
        <w:t xml:space="preserve"> </w:t>
      </w:r>
      <w:r>
        <w:rPr>
          <w:sz w:val="18"/>
        </w:rPr>
        <w:t>For</w:t>
      </w:r>
      <w:r>
        <w:rPr>
          <w:spacing w:val="-1"/>
          <w:sz w:val="18"/>
        </w:rPr>
        <w:t xml:space="preserve"> </w:t>
      </w:r>
      <w:r>
        <w:rPr>
          <w:sz w:val="18"/>
        </w:rPr>
        <w:t>MOFCOM's</w:t>
      </w:r>
      <w:r>
        <w:rPr>
          <w:spacing w:val="-1"/>
          <w:sz w:val="18"/>
        </w:rPr>
        <w:t xml:space="preserve"> </w:t>
      </w:r>
      <w:r>
        <w:rPr>
          <w:sz w:val="18"/>
        </w:rPr>
        <w:t>unit</w:t>
      </w:r>
      <w:r>
        <w:rPr>
          <w:spacing w:val="-1"/>
          <w:sz w:val="18"/>
        </w:rPr>
        <w:t xml:space="preserve"> </w:t>
      </w:r>
      <w:r>
        <w:rPr>
          <w:sz w:val="18"/>
        </w:rPr>
        <w:t>cost figures</w:t>
      </w:r>
      <w:r>
        <w:rPr>
          <w:spacing w:val="-1"/>
          <w:sz w:val="18"/>
        </w:rPr>
        <w:t xml:space="preserve"> </w:t>
      </w:r>
      <w:r>
        <w:rPr>
          <w:sz w:val="18"/>
        </w:rPr>
        <w:t>see Anti‐Dumping Final Determination (Exhibit AUS‐2), pp. 120. For MOFCOM's domestic like product price see Anti‐Dumping Final Determination (Exhibit AUS‐2), pp. 114, 120, 125, 149.</w:t>
      </w:r>
    </w:p>
    <w:p w14:paraId="51DE8D67" w14:textId="77777777" w:rsidR="0010369C" w:rsidRDefault="008E43AE">
      <w:pPr>
        <w:tabs>
          <w:tab w:val="left" w:pos="7666"/>
        </w:tabs>
        <w:ind w:left="238" w:right="614" w:hanging="1"/>
        <w:jc w:val="both"/>
        <w:rPr>
          <w:sz w:val="18"/>
        </w:rPr>
      </w:pPr>
      <w:r>
        <w:pict w14:anchorId="51DEA449">
          <v:rect id="docshape1013" o:spid="_x0000_s1356" style="position:absolute;left:0;text-align:left;margin-left:138.55pt;margin-top:11.3pt;width:302.8pt;height:12.05pt;z-index:-251294208;mso-position-horizontal-relative:page" fillcolor="black" stroked="f">
            <w10:wrap anchorx="page"/>
          </v:rect>
        </w:pict>
      </w:r>
      <w:r>
        <w:rPr>
          <w:sz w:val="18"/>
          <w:vertAlign w:val="superscript"/>
        </w:rPr>
        <w:t>614</w:t>
      </w:r>
      <w:r>
        <w:rPr>
          <w:sz w:val="18"/>
        </w:rPr>
        <w:t xml:space="preserve"> For a comparison of average unit prices of the Injury POI and description of Australia's calculations underpinning these </w:t>
      </w:r>
      <w:r>
        <w:rPr>
          <w:w w:val="95"/>
          <w:sz w:val="18"/>
        </w:rPr>
        <w:t>percentages</w:t>
      </w:r>
      <w:r>
        <w:rPr>
          <w:spacing w:val="14"/>
          <w:sz w:val="18"/>
        </w:rPr>
        <w:t xml:space="preserve"> </w:t>
      </w:r>
      <w:r>
        <w:rPr>
          <w:w w:val="95"/>
          <w:sz w:val="18"/>
        </w:rPr>
        <w:t>see:</w:t>
      </w:r>
      <w:r>
        <w:rPr>
          <w:spacing w:val="15"/>
          <w:sz w:val="18"/>
        </w:rPr>
        <w:t xml:space="preserve"> </w:t>
      </w:r>
      <w:r>
        <w:rPr>
          <w:spacing w:val="-10"/>
          <w:w w:val="95"/>
          <w:sz w:val="18"/>
        </w:rPr>
        <w:t>[</w:t>
      </w:r>
      <w:r>
        <w:rPr>
          <w:sz w:val="18"/>
        </w:rPr>
        <w:tab/>
      </w:r>
      <w:r>
        <w:rPr>
          <w:rFonts w:ascii="Times New Roman" w:hAnsi="Times New Roman"/>
          <w:color w:val="5E5E5E"/>
          <w:sz w:val="18"/>
          <w:shd w:val="clear" w:color="auto" w:fill="D3D3D3"/>
        </w:rPr>
        <w:t xml:space="preserve"> </w:t>
      </w:r>
      <w:r>
        <w:rPr>
          <w:color w:val="5E5E5E"/>
          <w:w w:val="95"/>
          <w:sz w:val="18"/>
          <w:shd w:val="clear" w:color="auto" w:fill="D3D3D3"/>
        </w:rPr>
        <w:t>(Exhibit</w:t>
      </w:r>
      <w:r>
        <w:rPr>
          <w:color w:val="5E5E5E"/>
          <w:spacing w:val="5"/>
          <w:sz w:val="18"/>
          <w:shd w:val="clear" w:color="auto" w:fill="D3D3D3"/>
        </w:rPr>
        <w:t xml:space="preserve"> </w:t>
      </w:r>
      <w:r>
        <w:rPr>
          <w:color w:val="5E5E5E"/>
          <w:w w:val="95"/>
          <w:sz w:val="18"/>
          <w:shd w:val="clear" w:color="auto" w:fill="D3D3D3"/>
        </w:rPr>
        <w:t>AUS‐65</w:t>
      </w:r>
      <w:r>
        <w:rPr>
          <w:color w:val="5E5E5E"/>
          <w:spacing w:val="4"/>
          <w:sz w:val="18"/>
          <w:shd w:val="clear" w:color="auto" w:fill="D3D3D3"/>
        </w:rPr>
        <w:t xml:space="preserve"> </w:t>
      </w:r>
      <w:r>
        <w:rPr>
          <w:color w:val="5E5E5E"/>
          <w:w w:val="95"/>
          <w:sz w:val="18"/>
          <w:shd w:val="clear" w:color="auto" w:fill="D3D3D3"/>
        </w:rPr>
        <w:t>(BCI)),</w:t>
      </w:r>
    </w:p>
    <w:p w14:paraId="51DE8D68" w14:textId="77777777" w:rsidR="0010369C" w:rsidRDefault="008E43AE">
      <w:pPr>
        <w:spacing w:line="219" w:lineRule="exact"/>
        <w:ind w:left="815"/>
        <w:jc w:val="both"/>
        <w:rPr>
          <w:sz w:val="18"/>
        </w:rPr>
      </w:pPr>
      <w:r>
        <w:pict w14:anchorId="51DEA44A">
          <v:rect id="docshape1014" o:spid="_x0000_s1355" style="position:absolute;left:0;text-align:left;margin-left:69.9pt;margin-top:.3pt;width:28.85pt;height:12.05pt;z-index:251855360;mso-position-horizontal-relative:page" fillcolor="black" stroked="f">
            <w10:wrap anchorx="page"/>
          </v:rect>
        </w:pict>
      </w:r>
      <w:r>
        <w:rPr>
          <w:sz w:val="18"/>
        </w:rPr>
        <w:t>]]</w:t>
      </w:r>
      <w:r>
        <w:rPr>
          <w:spacing w:val="-5"/>
          <w:sz w:val="18"/>
        </w:rPr>
        <w:t xml:space="preserve"> </w:t>
      </w:r>
      <w:r>
        <w:rPr>
          <w:sz w:val="18"/>
        </w:rPr>
        <w:t>See</w:t>
      </w:r>
      <w:r>
        <w:rPr>
          <w:spacing w:val="-5"/>
          <w:sz w:val="18"/>
        </w:rPr>
        <w:t xml:space="preserve"> </w:t>
      </w:r>
      <w:r>
        <w:rPr>
          <w:sz w:val="18"/>
        </w:rPr>
        <w:t>also</w:t>
      </w:r>
      <w:r>
        <w:rPr>
          <w:spacing w:val="-4"/>
          <w:sz w:val="18"/>
        </w:rPr>
        <w:t xml:space="preserve"> </w:t>
      </w:r>
      <w:r>
        <w:rPr>
          <w:sz w:val="18"/>
        </w:rPr>
        <w:t>below,</w:t>
      </w:r>
      <w:r>
        <w:rPr>
          <w:spacing w:val="-5"/>
          <w:sz w:val="18"/>
        </w:rPr>
        <w:t xml:space="preserve"> </w:t>
      </w:r>
      <w:r>
        <w:rPr>
          <w:sz w:val="18"/>
        </w:rPr>
        <w:t>Figure</w:t>
      </w:r>
      <w:r>
        <w:rPr>
          <w:spacing w:val="-3"/>
          <w:sz w:val="18"/>
        </w:rPr>
        <w:t xml:space="preserve"> </w:t>
      </w:r>
      <w:r>
        <w:rPr>
          <w:sz w:val="18"/>
        </w:rPr>
        <w:t>4</w:t>
      </w:r>
      <w:r>
        <w:rPr>
          <w:spacing w:val="-4"/>
          <w:sz w:val="18"/>
        </w:rPr>
        <w:t xml:space="preserve"> </w:t>
      </w:r>
      <w:r>
        <w:rPr>
          <w:sz w:val="18"/>
        </w:rPr>
        <w:t>at</w:t>
      </w:r>
      <w:r>
        <w:rPr>
          <w:spacing w:val="-5"/>
          <w:sz w:val="18"/>
        </w:rPr>
        <w:t xml:space="preserve"> </w:t>
      </w:r>
      <w:r>
        <w:rPr>
          <w:sz w:val="18"/>
        </w:rPr>
        <w:t>para.</w:t>
      </w:r>
      <w:r>
        <w:rPr>
          <w:spacing w:val="-4"/>
          <w:sz w:val="18"/>
        </w:rPr>
        <w:t xml:space="preserve"> 701.</w:t>
      </w:r>
    </w:p>
    <w:p w14:paraId="51DE8D69" w14:textId="77777777" w:rsidR="0010369C" w:rsidRDefault="0010369C">
      <w:pPr>
        <w:spacing w:line="219" w:lineRule="exact"/>
        <w:jc w:val="both"/>
        <w:rPr>
          <w:sz w:val="18"/>
        </w:rPr>
        <w:sectPr w:rsidR="0010369C">
          <w:pgSz w:w="11910" w:h="16840"/>
          <w:pgMar w:top="880" w:right="800" w:bottom="980" w:left="1180" w:header="569" w:footer="788" w:gutter="0"/>
          <w:cols w:space="720"/>
        </w:sectPr>
      </w:pPr>
    </w:p>
    <w:p w14:paraId="51DE8D6A" w14:textId="77777777" w:rsidR="0010369C" w:rsidRDefault="008E43AE">
      <w:pPr>
        <w:tabs>
          <w:tab w:val="left" w:pos="6426"/>
        </w:tabs>
        <w:ind w:left="238"/>
        <w:rPr>
          <w:sz w:val="20"/>
        </w:rPr>
      </w:pPr>
      <w:r>
        <w:rPr>
          <w:i/>
          <w:sz w:val="20"/>
        </w:rPr>
        <w:lastRenderedPageBreak/>
        <w:t>China</w:t>
      </w:r>
      <w:r>
        <w:rPr>
          <w:i/>
          <w:spacing w:val="-5"/>
          <w:sz w:val="20"/>
        </w:rPr>
        <w:t xml:space="preserve"> </w:t>
      </w:r>
      <w:r>
        <w:rPr>
          <w:i/>
          <w:sz w:val="20"/>
        </w:rPr>
        <w:t>–</w:t>
      </w:r>
      <w:r>
        <w:rPr>
          <w:i/>
          <w:spacing w:val="-5"/>
          <w:sz w:val="20"/>
        </w:rPr>
        <w:t xml:space="preserve"> </w:t>
      </w:r>
      <w:r>
        <w:rPr>
          <w:i/>
          <w:sz w:val="20"/>
        </w:rPr>
        <w:t>Anti‐Dumping</w:t>
      </w:r>
      <w:r>
        <w:rPr>
          <w:i/>
          <w:spacing w:val="-4"/>
          <w:sz w:val="20"/>
        </w:rPr>
        <w:t xml:space="preserve"> </w:t>
      </w:r>
      <w:r>
        <w:rPr>
          <w:i/>
          <w:sz w:val="20"/>
        </w:rPr>
        <w:t>and</w:t>
      </w:r>
      <w:r>
        <w:rPr>
          <w:i/>
          <w:spacing w:val="-5"/>
          <w:sz w:val="20"/>
        </w:rPr>
        <w:t xml:space="preserve"> </w:t>
      </w:r>
      <w:r>
        <w:rPr>
          <w:i/>
          <w:sz w:val="20"/>
        </w:rPr>
        <w:t>Countervailing</w:t>
      </w:r>
      <w:r>
        <w:rPr>
          <w:i/>
          <w:spacing w:val="-5"/>
          <w:sz w:val="20"/>
        </w:rPr>
        <w:t xml:space="preserve"> </w:t>
      </w:r>
      <w:r>
        <w:rPr>
          <w:i/>
          <w:sz w:val="20"/>
        </w:rPr>
        <w:t>Duty</w:t>
      </w:r>
      <w:r>
        <w:rPr>
          <w:i/>
          <w:spacing w:val="-4"/>
          <w:sz w:val="20"/>
        </w:rPr>
        <w:t xml:space="preserve"> </w:t>
      </w:r>
      <w:r>
        <w:rPr>
          <w:i/>
          <w:spacing w:val="-2"/>
          <w:sz w:val="20"/>
        </w:rPr>
        <w:t>Measures</w:t>
      </w:r>
      <w:r>
        <w:rPr>
          <w:i/>
          <w:sz w:val="20"/>
        </w:rPr>
        <w:tab/>
      </w:r>
      <w:r>
        <w:rPr>
          <w:sz w:val="20"/>
        </w:rPr>
        <w:t>Australia's</w:t>
      </w:r>
      <w:r>
        <w:rPr>
          <w:spacing w:val="-7"/>
          <w:sz w:val="20"/>
        </w:rPr>
        <w:t xml:space="preserve"> </w:t>
      </w:r>
      <w:r>
        <w:rPr>
          <w:sz w:val="20"/>
        </w:rPr>
        <w:t>First</w:t>
      </w:r>
      <w:r>
        <w:rPr>
          <w:spacing w:val="-2"/>
          <w:sz w:val="20"/>
        </w:rPr>
        <w:t xml:space="preserve"> </w:t>
      </w:r>
      <w:r>
        <w:rPr>
          <w:sz w:val="20"/>
        </w:rPr>
        <w:t>Written</w:t>
      </w:r>
      <w:r>
        <w:rPr>
          <w:spacing w:val="-2"/>
          <w:sz w:val="20"/>
        </w:rPr>
        <w:t xml:space="preserve"> Submission</w:t>
      </w:r>
    </w:p>
    <w:p w14:paraId="51DE8D6B" w14:textId="77777777" w:rsidR="0010369C" w:rsidRDefault="008E43AE">
      <w:pPr>
        <w:tabs>
          <w:tab w:val="left" w:pos="8228"/>
        </w:tabs>
        <w:spacing w:before="1"/>
        <w:ind w:left="239"/>
        <w:rPr>
          <w:sz w:val="20"/>
        </w:rPr>
      </w:pPr>
      <w:r>
        <w:rPr>
          <w:i/>
          <w:sz w:val="20"/>
        </w:rPr>
        <w:t>on</w:t>
      </w:r>
      <w:r>
        <w:rPr>
          <w:i/>
          <w:spacing w:val="-1"/>
          <w:sz w:val="20"/>
        </w:rPr>
        <w:t xml:space="preserve"> </w:t>
      </w:r>
      <w:r>
        <w:rPr>
          <w:i/>
          <w:sz w:val="20"/>
        </w:rPr>
        <w:t>Wine</w:t>
      </w:r>
      <w:r>
        <w:rPr>
          <w:i/>
          <w:spacing w:val="-1"/>
          <w:sz w:val="20"/>
        </w:rPr>
        <w:t xml:space="preserve"> </w:t>
      </w:r>
      <w:r>
        <w:rPr>
          <w:i/>
          <w:sz w:val="20"/>
        </w:rPr>
        <w:t>from</w:t>
      </w:r>
      <w:r>
        <w:rPr>
          <w:i/>
          <w:spacing w:val="-3"/>
          <w:sz w:val="20"/>
        </w:rPr>
        <w:t xml:space="preserve"> </w:t>
      </w:r>
      <w:r>
        <w:rPr>
          <w:i/>
          <w:sz w:val="20"/>
        </w:rPr>
        <w:t>Australia</w:t>
      </w:r>
      <w:r>
        <w:rPr>
          <w:i/>
          <w:spacing w:val="-1"/>
          <w:sz w:val="20"/>
        </w:rPr>
        <w:t xml:space="preserve"> </w:t>
      </w:r>
      <w:r>
        <w:rPr>
          <w:spacing w:val="-2"/>
          <w:sz w:val="20"/>
        </w:rPr>
        <w:t>(DS602)</w:t>
      </w:r>
      <w:r>
        <w:rPr>
          <w:sz w:val="20"/>
        </w:rPr>
        <w:tab/>
        <w:t>29</w:t>
      </w:r>
      <w:r>
        <w:rPr>
          <w:spacing w:val="-1"/>
          <w:sz w:val="20"/>
        </w:rPr>
        <w:t xml:space="preserve"> </w:t>
      </w:r>
      <w:r>
        <w:rPr>
          <w:sz w:val="20"/>
        </w:rPr>
        <w:t>April</w:t>
      </w:r>
      <w:r>
        <w:rPr>
          <w:spacing w:val="-2"/>
          <w:sz w:val="20"/>
        </w:rPr>
        <w:t xml:space="preserve"> </w:t>
      </w:r>
      <w:r>
        <w:rPr>
          <w:spacing w:val="-4"/>
          <w:sz w:val="20"/>
        </w:rPr>
        <w:t>2022</w:t>
      </w:r>
    </w:p>
    <w:p w14:paraId="51DE8D6C" w14:textId="77777777" w:rsidR="0010369C" w:rsidRDefault="008E43AE">
      <w:pPr>
        <w:pStyle w:val="BodyText"/>
        <w:spacing w:before="35"/>
        <w:ind w:left="1089"/>
      </w:pPr>
      <w:r>
        <w:rPr>
          <w:noProof/>
        </w:rPr>
        <w:drawing>
          <wp:anchor distT="0" distB="0" distL="0" distR="0" simplePos="0" relativeHeight="250672640" behindDoc="0" locked="0" layoutInCell="1" allowOverlap="1" wp14:anchorId="51DEA44B" wp14:editId="51DEA44C">
            <wp:simplePos x="0" y="0"/>
            <wp:positionH relativeFrom="page">
              <wp:posOffset>902208</wp:posOffset>
            </wp:positionH>
            <wp:positionV relativeFrom="paragraph">
              <wp:posOffset>65990</wp:posOffset>
            </wp:positionV>
            <wp:extent cx="262127" cy="106679"/>
            <wp:effectExtent l="0" t="0" r="0" b="0"/>
            <wp:wrapNone/>
            <wp:docPr id="1099" name="image5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 name="image561.png"/>
                    <pic:cNvPicPr/>
                  </pic:nvPicPr>
                  <pic:blipFill>
                    <a:blip r:embed="rId734" cstate="print"/>
                    <a:stretch>
                      <a:fillRect/>
                    </a:stretch>
                  </pic:blipFill>
                  <pic:spPr>
                    <a:xfrm>
                      <a:off x="0" y="0"/>
                      <a:ext cx="262127" cy="106679"/>
                    </a:xfrm>
                    <a:prstGeom prst="rect">
                      <a:avLst/>
                    </a:prstGeom>
                  </pic:spPr>
                </pic:pic>
              </a:graphicData>
            </a:graphic>
          </wp:anchor>
        </w:drawing>
      </w:r>
      <w:r>
        <w:t>These</w:t>
      </w:r>
      <w:r>
        <w:rPr>
          <w:spacing w:val="-8"/>
        </w:rPr>
        <w:t xml:space="preserve"> </w:t>
      </w:r>
      <w:r>
        <w:t>critical</w:t>
      </w:r>
      <w:r>
        <w:rPr>
          <w:spacing w:val="-8"/>
        </w:rPr>
        <w:t xml:space="preserve"> </w:t>
      </w:r>
      <w:r>
        <w:t>errors</w:t>
      </w:r>
      <w:r>
        <w:rPr>
          <w:spacing w:val="-10"/>
        </w:rPr>
        <w:t xml:space="preserve"> </w:t>
      </w:r>
      <w:r>
        <w:t>and</w:t>
      </w:r>
      <w:r>
        <w:rPr>
          <w:spacing w:val="-8"/>
        </w:rPr>
        <w:t xml:space="preserve"> </w:t>
      </w:r>
      <w:r>
        <w:t>omissions</w:t>
      </w:r>
      <w:r>
        <w:rPr>
          <w:spacing w:val="-8"/>
        </w:rPr>
        <w:t xml:space="preserve"> </w:t>
      </w:r>
      <w:r>
        <w:rPr>
          <w:spacing w:val="-4"/>
        </w:rPr>
        <w:t>were:</w:t>
      </w:r>
    </w:p>
    <w:p w14:paraId="51DE8D6D" w14:textId="77777777" w:rsidR="0010369C" w:rsidRDefault="0010369C">
      <w:pPr>
        <w:pStyle w:val="BodyText"/>
        <w:rPr>
          <w:sz w:val="25"/>
        </w:rPr>
      </w:pPr>
    </w:p>
    <w:tbl>
      <w:tblPr>
        <w:tblW w:w="0" w:type="auto"/>
        <w:tblInd w:w="1045" w:type="dxa"/>
        <w:tblLayout w:type="fixed"/>
        <w:tblCellMar>
          <w:left w:w="0" w:type="dxa"/>
          <w:right w:w="0" w:type="dxa"/>
        </w:tblCellMar>
        <w:tblLook w:val="01E0" w:firstRow="1" w:lastRow="1" w:firstColumn="1" w:lastColumn="1" w:noHBand="0" w:noVBand="0"/>
      </w:tblPr>
      <w:tblGrid>
        <w:gridCol w:w="531"/>
        <w:gridCol w:w="7790"/>
      </w:tblGrid>
      <w:tr w:rsidR="0010369C" w14:paraId="51DE8D70" w14:textId="77777777">
        <w:trPr>
          <w:trHeight w:val="390"/>
        </w:trPr>
        <w:tc>
          <w:tcPr>
            <w:tcW w:w="531" w:type="dxa"/>
          </w:tcPr>
          <w:p w14:paraId="51DE8D6E" w14:textId="77777777" w:rsidR="0010369C" w:rsidRDefault="008E43AE">
            <w:pPr>
              <w:pStyle w:val="TableParagraph"/>
              <w:ind w:left="51"/>
              <w:rPr>
                <w:rFonts w:ascii="Symbol" w:hAnsi="Symbol"/>
                <w:sz w:val="24"/>
              </w:rPr>
            </w:pPr>
            <w:r>
              <w:rPr>
                <w:rFonts w:ascii="Symbol" w:hAnsi="Symbol"/>
                <w:w w:val="99"/>
                <w:sz w:val="24"/>
              </w:rPr>
              <w:t></w:t>
            </w:r>
          </w:p>
        </w:tc>
        <w:tc>
          <w:tcPr>
            <w:tcW w:w="7790" w:type="dxa"/>
          </w:tcPr>
          <w:p w14:paraId="51DE8D6F" w14:textId="77777777" w:rsidR="0010369C" w:rsidRDefault="008E43AE">
            <w:pPr>
              <w:pStyle w:val="TableParagraph"/>
              <w:spacing w:before="12"/>
              <w:ind w:left="371"/>
              <w:rPr>
                <w:sz w:val="24"/>
              </w:rPr>
            </w:pPr>
            <w:r>
              <w:rPr>
                <w:sz w:val="24"/>
              </w:rPr>
              <w:t>MOFCOM's</w:t>
            </w:r>
            <w:r>
              <w:rPr>
                <w:spacing w:val="-11"/>
                <w:sz w:val="24"/>
              </w:rPr>
              <w:t xml:space="preserve"> </w:t>
            </w:r>
            <w:r>
              <w:rPr>
                <w:sz w:val="24"/>
              </w:rPr>
              <w:t>examination</w:t>
            </w:r>
            <w:r>
              <w:rPr>
                <w:spacing w:val="-14"/>
                <w:sz w:val="24"/>
              </w:rPr>
              <w:t xml:space="preserve"> </w:t>
            </w:r>
            <w:r>
              <w:rPr>
                <w:sz w:val="24"/>
              </w:rPr>
              <w:t>of</w:t>
            </w:r>
            <w:r>
              <w:rPr>
                <w:spacing w:val="-11"/>
                <w:sz w:val="24"/>
              </w:rPr>
              <w:t xml:space="preserve"> </w:t>
            </w:r>
            <w:r>
              <w:rPr>
                <w:sz w:val="24"/>
              </w:rPr>
              <w:t>price</w:t>
            </w:r>
            <w:r>
              <w:rPr>
                <w:spacing w:val="-11"/>
                <w:sz w:val="24"/>
              </w:rPr>
              <w:t xml:space="preserve"> </w:t>
            </w:r>
            <w:r>
              <w:rPr>
                <w:sz w:val="24"/>
              </w:rPr>
              <w:t>effects</w:t>
            </w:r>
            <w:r>
              <w:rPr>
                <w:spacing w:val="-13"/>
                <w:sz w:val="24"/>
              </w:rPr>
              <w:t xml:space="preserve"> </w:t>
            </w:r>
            <w:r>
              <w:rPr>
                <w:sz w:val="24"/>
              </w:rPr>
              <w:t>was</w:t>
            </w:r>
            <w:r>
              <w:rPr>
                <w:spacing w:val="-12"/>
                <w:sz w:val="24"/>
              </w:rPr>
              <w:t xml:space="preserve"> </w:t>
            </w:r>
            <w:r>
              <w:rPr>
                <w:sz w:val="24"/>
              </w:rPr>
              <w:t>based</w:t>
            </w:r>
            <w:r>
              <w:rPr>
                <w:spacing w:val="-12"/>
                <w:sz w:val="24"/>
              </w:rPr>
              <w:t xml:space="preserve"> </w:t>
            </w:r>
            <w:r>
              <w:rPr>
                <w:sz w:val="24"/>
              </w:rPr>
              <w:t>on</w:t>
            </w:r>
            <w:r>
              <w:rPr>
                <w:spacing w:val="-12"/>
                <w:sz w:val="24"/>
              </w:rPr>
              <w:t xml:space="preserve"> </w:t>
            </w:r>
            <w:r>
              <w:rPr>
                <w:sz w:val="24"/>
              </w:rPr>
              <w:t>undisclosed</w:t>
            </w:r>
            <w:r>
              <w:rPr>
                <w:spacing w:val="-12"/>
                <w:sz w:val="24"/>
              </w:rPr>
              <w:t xml:space="preserve"> </w:t>
            </w:r>
            <w:r>
              <w:rPr>
                <w:sz w:val="24"/>
              </w:rPr>
              <w:t>data</w:t>
            </w:r>
            <w:r>
              <w:rPr>
                <w:spacing w:val="-11"/>
                <w:sz w:val="24"/>
              </w:rPr>
              <w:t xml:space="preserve"> </w:t>
            </w:r>
            <w:r>
              <w:rPr>
                <w:spacing w:val="-4"/>
                <w:sz w:val="24"/>
              </w:rPr>
              <w:t>sets</w:t>
            </w:r>
          </w:p>
        </w:tc>
      </w:tr>
      <w:tr w:rsidR="0010369C" w14:paraId="51DE8D73" w14:textId="77777777">
        <w:trPr>
          <w:trHeight w:val="449"/>
        </w:trPr>
        <w:tc>
          <w:tcPr>
            <w:tcW w:w="531" w:type="dxa"/>
          </w:tcPr>
          <w:p w14:paraId="51DE8D71" w14:textId="77777777" w:rsidR="0010369C" w:rsidRDefault="0010369C">
            <w:pPr>
              <w:pStyle w:val="TableParagraph"/>
              <w:rPr>
                <w:rFonts w:ascii="Times New Roman"/>
              </w:rPr>
            </w:pPr>
          </w:p>
        </w:tc>
        <w:tc>
          <w:tcPr>
            <w:tcW w:w="7790" w:type="dxa"/>
          </w:tcPr>
          <w:p w14:paraId="51DE8D72" w14:textId="77777777" w:rsidR="0010369C" w:rsidRDefault="008E43AE">
            <w:pPr>
              <w:pStyle w:val="TableParagraph"/>
              <w:tabs>
                <w:tab w:val="left" w:pos="1036"/>
                <w:tab w:val="left" w:pos="1795"/>
                <w:tab w:val="left" w:pos="2764"/>
                <w:tab w:val="left" w:pos="3236"/>
                <w:tab w:val="left" w:pos="4651"/>
                <w:tab w:val="left" w:pos="6674"/>
              </w:tabs>
              <w:spacing w:before="61"/>
              <w:ind w:left="371"/>
              <w:rPr>
                <w:sz w:val="24"/>
              </w:rPr>
            </w:pPr>
            <w:r>
              <w:rPr>
                <w:spacing w:val="-4"/>
                <w:sz w:val="24"/>
              </w:rPr>
              <w:t>that</w:t>
            </w:r>
            <w:r>
              <w:rPr>
                <w:sz w:val="24"/>
              </w:rPr>
              <w:tab/>
            </w:r>
            <w:r>
              <w:rPr>
                <w:spacing w:val="-4"/>
                <w:sz w:val="24"/>
              </w:rPr>
              <w:t>were</w:t>
            </w:r>
            <w:r>
              <w:rPr>
                <w:sz w:val="24"/>
              </w:rPr>
              <w:tab/>
            </w:r>
            <w:r>
              <w:rPr>
                <w:spacing w:val="-2"/>
                <w:sz w:val="24"/>
              </w:rPr>
              <w:t>subject</w:t>
            </w:r>
            <w:r>
              <w:rPr>
                <w:sz w:val="24"/>
              </w:rPr>
              <w:tab/>
            </w:r>
            <w:r>
              <w:rPr>
                <w:spacing w:val="-5"/>
                <w:sz w:val="24"/>
              </w:rPr>
              <w:t>to</w:t>
            </w:r>
            <w:r>
              <w:rPr>
                <w:sz w:val="24"/>
              </w:rPr>
              <w:tab/>
            </w:r>
            <w:r>
              <w:rPr>
                <w:spacing w:val="-2"/>
                <w:sz w:val="24"/>
              </w:rPr>
              <w:t>undisclosed</w:t>
            </w:r>
            <w:r>
              <w:rPr>
                <w:sz w:val="24"/>
              </w:rPr>
              <w:tab/>
            </w:r>
            <w:r>
              <w:rPr>
                <w:spacing w:val="-2"/>
                <w:sz w:val="24"/>
              </w:rPr>
              <w:t>methodologies,</w:t>
            </w:r>
            <w:r>
              <w:rPr>
                <w:spacing w:val="-2"/>
                <w:sz w:val="24"/>
                <w:vertAlign w:val="superscript"/>
              </w:rPr>
              <w:t>615</w:t>
            </w:r>
            <w:r>
              <w:rPr>
                <w:sz w:val="24"/>
              </w:rPr>
              <w:tab/>
            </w:r>
            <w:r>
              <w:rPr>
                <w:spacing w:val="-2"/>
                <w:sz w:val="24"/>
              </w:rPr>
              <w:t>exclusions,</w:t>
            </w:r>
          </w:p>
        </w:tc>
      </w:tr>
      <w:tr w:rsidR="0010369C" w14:paraId="51DE8D76" w14:textId="77777777">
        <w:trPr>
          <w:trHeight w:val="439"/>
        </w:trPr>
        <w:tc>
          <w:tcPr>
            <w:tcW w:w="531" w:type="dxa"/>
          </w:tcPr>
          <w:p w14:paraId="51DE8D74" w14:textId="77777777" w:rsidR="0010369C" w:rsidRDefault="0010369C">
            <w:pPr>
              <w:pStyle w:val="TableParagraph"/>
              <w:rPr>
                <w:rFonts w:ascii="Times New Roman"/>
              </w:rPr>
            </w:pPr>
          </w:p>
        </w:tc>
        <w:tc>
          <w:tcPr>
            <w:tcW w:w="7790" w:type="dxa"/>
          </w:tcPr>
          <w:p w14:paraId="51DE8D75" w14:textId="77777777" w:rsidR="0010369C" w:rsidRDefault="008E43AE">
            <w:pPr>
              <w:pStyle w:val="TableParagraph"/>
              <w:spacing w:before="51"/>
              <w:ind w:left="370"/>
              <w:rPr>
                <w:sz w:val="24"/>
              </w:rPr>
            </w:pPr>
            <w:r>
              <w:rPr>
                <w:sz w:val="24"/>
              </w:rPr>
              <w:t>constructions,</w:t>
            </w:r>
            <w:r>
              <w:rPr>
                <w:spacing w:val="3"/>
                <w:sz w:val="24"/>
              </w:rPr>
              <w:t xml:space="preserve"> </w:t>
            </w:r>
            <w:r>
              <w:rPr>
                <w:sz w:val="24"/>
              </w:rPr>
              <w:t>adjustments</w:t>
            </w:r>
            <w:r>
              <w:rPr>
                <w:spacing w:val="3"/>
                <w:sz w:val="24"/>
              </w:rPr>
              <w:t xml:space="preserve"> </w:t>
            </w:r>
            <w:r>
              <w:rPr>
                <w:sz w:val="24"/>
              </w:rPr>
              <w:t>and/or</w:t>
            </w:r>
            <w:r>
              <w:rPr>
                <w:spacing w:val="3"/>
                <w:sz w:val="24"/>
              </w:rPr>
              <w:t xml:space="preserve"> </w:t>
            </w:r>
            <w:r>
              <w:rPr>
                <w:sz w:val="24"/>
              </w:rPr>
              <w:t>calculations.</w:t>
            </w:r>
            <w:r>
              <w:rPr>
                <w:spacing w:val="2"/>
                <w:sz w:val="24"/>
              </w:rPr>
              <w:t xml:space="preserve"> </w:t>
            </w:r>
            <w:r>
              <w:rPr>
                <w:sz w:val="24"/>
              </w:rPr>
              <w:t>As</w:t>
            </w:r>
            <w:r>
              <w:rPr>
                <w:spacing w:val="3"/>
                <w:sz w:val="24"/>
              </w:rPr>
              <w:t xml:space="preserve"> </w:t>
            </w:r>
            <w:r>
              <w:rPr>
                <w:sz w:val="24"/>
              </w:rPr>
              <w:t>the</w:t>
            </w:r>
            <w:r>
              <w:rPr>
                <w:spacing w:val="4"/>
                <w:sz w:val="24"/>
              </w:rPr>
              <w:t xml:space="preserve"> </w:t>
            </w:r>
            <w:r>
              <w:rPr>
                <w:sz w:val="24"/>
              </w:rPr>
              <w:t>pricing</w:t>
            </w:r>
            <w:r>
              <w:rPr>
                <w:spacing w:val="4"/>
                <w:sz w:val="24"/>
              </w:rPr>
              <w:t xml:space="preserve"> </w:t>
            </w:r>
            <w:r>
              <w:rPr>
                <w:sz w:val="24"/>
              </w:rPr>
              <w:t>data</w:t>
            </w:r>
            <w:r>
              <w:rPr>
                <w:spacing w:val="4"/>
                <w:sz w:val="24"/>
              </w:rPr>
              <w:t xml:space="preserve"> </w:t>
            </w:r>
            <w:r>
              <w:rPr>
                <w:sz w:val="24"/>
              </w:rPr>
              <w:t>used</w:t>
            </w:r>
            <w:r>
              <w:rPr>
                <w:spacing w:val="3"/>
                <w:sz w:val="24"/>
              </w:rPr>
              <w:t xml:space="preserve"> </w:t>
            </w:r>
            <w:r>
              <w:rPr>
                <w:spacing w:val="-5"/>
                <w:sz w:val="24"/>
              </w:rPr>
              <w:t>in</w:t>
            </w:r>
          </w:p>
        </w:tc>
      </w:tr>
      <w:tr w:rsidR="0010369C" w14:paraId="51DE8D79" w14:textId="77777777">
        <w:trPr>
          <w:trHeight w:val="439"/>
        </w:trPr>
        <w:tc>
          <w:tcPr>
            <w:tcW w:w="531" w:type="dxa"/>
          </w:tcPr>
          <w:p w14:paraId="51DE8D77" w14:textId="77777777" w:rsidR="0010369C" w:rsidRDefault="0010369C">
            <w:pPr>
              <w:pStyle w:val="TableParagraph"/>
              <w:rPr>
                <w:rFonts w:ascii="Times New Roman"/>
              </w:rPr>
            </w:pPr>
          </w:p>
        </w:tc>
        <w:tc>
          <w:tcPr>
            <w:tcW w:w="7790" w:type="dxa"/>
          </w:tcPr>
          <w:p w14:paraId="51DE8D78" w14:textId="77777777" w:rsidR="0010369C" w:rsidRDefault="008E43AE">
            <w:pPr>
              <w:pStyle w:val="TableParagraph"/>
              <w:spacing w:before="51"/>
              <w:ind w:left="370"/>
              <w:rPr>
                <w:sz w:val="24"/>
              </w:rPr>
            </w:pPr>
            <w:r>
              <w:rPr>
                <w:sz w:val="24"/>
              </w:rPr>
              <w:t>MOFCOM's</w:t>
            </w:r>
            <w:r>
              <w:rPr>
                <w:spacing w:val="9"/>
                <w:sz w:val="24"/>
              </w:rPr>
              <w:t xml:space="preserve"> </w:t>
            </w:r>
            <w:r>
              <w:rPr>
                <w:sz w:val="24"/>
              </w:rPr>
              <w:t>examination</w:t>
            </w:r>
            <w:r>
              <w:rPr>
                <w:spacing w:val="9"/>
                <w:sz w:val="24"/>
              </w:rPr>
              <w:t xml:space="preserve"> </w:t>
            </w:r>
            <w:r>
              <w:rPr>
                <w:sz w:val="24"/>
              </w:rPr>
              <w:t>could</w:t>
            </w:r>
            <w:r>
              <w:rPr>
                <w:spacing w:val="9"/>
                <w:sz w:val="24"/>
              </w:rPr>
              <w:t xml:space="preserve"> </w:t>
            </w:r>
            <w:r>
              <w:rPr>
                <w:sz w:val="24"/>
              </w:rPr>
              <w:t>not</w:t>
            </w:r>
            <w:r>
              <w:rPr>
                <w:spacing w:val="10"/>
                <w:sz w:val="24"/>
              </w:rPr>
              <w:t xml:space="preserve"> </w:t>
            </w:r>
            <w:r>
              <w:rPr>
                <w:sz w:val="24"/>
              </w:rPr>
              <w:t>be</w:t>
            </w:r>
            <w:r>
              <w:rPr>
                <w:spacing w:val="11"/>
                <w:sz w:val="24"/>
              </w:rPr>
              <w:t xml:space="preserve"> </w:t>
            </w:r>
            <w:r>
              <w:rPr>
                <w:sz w:val="24"/>
              </w:rPr>
              <w:t>reviewed,</w:t>
            </w:r>
            <w:r>
              <w:rPr>
                <w:spacing w:val="8"/>
                <w:sz w:val="24"/>
              </w:rPr>
              <w:t xml:space="preserve"> </w:t>
            </w:r>
            <w:r>
              <w:rPr>
                <w:sz w:val="24"/>
              </w:rPr>
              <w:t>checked,</w:t>
            </w:r>
            <w:r>
              <w:rPr>
                <w:spacing w:val="9"/>
                <w:sz w:val="24"/>
              </w:rPr>
              <w:t xml:space="preserve"> </w:t>
            </w:r>
            <w:r>
              <w:rPr>
                <w:sz w:val="24"/>
              </w:rPr>
              <w:t>or</w:t>
            </w:r>
            <w:r>
              <w:rPr>
                <w:spacing w:val="9"/>
                <w:sz w:val="24"/>
              </w:rPr>
              <w:t xml:space="preserve"> </w:t>
            </w:r>
            <w:r>
              <w:rPr>
                <w:sz w:val="24"/>
              </w:rPr>
              <w:t>verified,</w:t>
            </w:r>
            <w:r>
              <w:rPr>
                <w:spacing w:val="9"/>
                <w:sz w:val="24"/>
              </w:rPr>
              <w:t xml:space="preserve"> </w:t>
            </w:r>
            <w:r>
              <w:rPr>
                <w:spacing w:val="-4"/>
                <w:sz w:val="24"/>
              </w:rPr>
              <w:t>they</w:t>
            </w:r>
          </w:p>
        </w:tc>
      </w:tr>
      <w:tr w:rsidR="0010369C" w14:paraId="51DE8D7C" w14:textId="77777777">
        <w:trPr>
          <w:trHeight w:val="439"/>
        </w:trPr>
        <w:tc>
          <w:tcPr>
            <w:tcW w:w="531" w:type="dxa"/>
          </w:tcPr>
          <w:p w14:paraId="51DE8D7A" w14:textId="77777777" w:rsidR="0010369C" w:rsidRDefault="0010369C">
            <w:pPr>
              <w:pStyle w:val="TableParagraph"/>
              <w:rPr>
                <w:rFonts w:ascii="Times New Roman"/>
              </w:rPr>
            </w:pPr>
          </w:p>
        </w:tc>
        <w:tc>
          <w:tcPr>
            <w:tcW w:w="7790" w:type="dxa"/>
          </w:tcPr>
          <w:p w14:paraId="51DE8D7B" w14:textId="77777777" w:rsidR="0010369C" w:rsidRDefault="008E43AE">
            <w:pPr>
              <w:pStyle w:val="TableParagraph"/>
              <w:spacing w:before="51"/>
              <w:ind w:left="370"/>
              <w:rPr>
                <w:sz w:val="24"/>
              </w:rPr>
            </w:pPr>
            <w:r>
              <w:rPr>
                <w:sz w:val="24"/>
              </w:rPr>
              <w:t>were</w:t>
            </w:r>
            <w:r>
              <w:rPr>
                <w:spacing w:val="22"/>
                <w:sz w:val="24"/>
              </w:rPr>
              <w:t xml:space="preserve"> </w:t>
            </w:r>
            <w:r>
              <w:rPr>
                <w:sz w:val="24"/>
              </w:rPr>
              <w:t>insufficient</w:t>
            </w:r>
            <w:r>
              <w:rPr>
                <w:spacing w:val="23"/>
                <w:sz w:val="24"/>
              </w:rPr>
              <w:t xml:space="preserve"> </w:t>
            </w:r>
            <w:r>
              <w:rPr>
                <w:sz w:val="24"/>
              </w:rPr>
              <w:t>to</w:t>
            </w:r>
            <w:r>
              <w:rPr>
                <w:spacing w:val="22"/>
                <w:sz w:val="24"/>
              </w:rPr>
              <w:t xml:space="preserve"> </w:t>
            </w:r>
            <w:r>
              <w:rPr>
                <w:sz w:val="24"/>
              </w:rPr>
              <w:t>constitute</w:t>
            </w:r>
            <w:r>
              <w:rPr>
                <w:spacing w:val="22"/>
                <w:sz w:val="24"/>
              </w:rPr>
              <w:t xml:space="preserve"> </w:t>
            </w:r>
            <w:r>
              <w:rPr>
                <w:sz w:val="24"/>
              </w:rPr>
              <w:t>"positive</w:t>
            </w:r>
            <w:r>
              <w:rPr>
                <w:spacing w:val="22"/>
                <w:sz w:val="24"/>
              </w:rPr>
              <w:t xml:space="preserve"> </w:t>
            </w:r>
            <w:r>
              <w:rPr>
                <w:sz w:val="24"/>
              </w:rPr>
              <w:t>evidence"</w:t>
            </w:r>
            <w:r>
              <w:rPr>
                <w:spacing w:val="21"/>
                <w:sz w:val="24"/>
              </w:rPr>
              <w:t xml:space="preserve"> </w:t>
            </w:r>
            <w:r>
              <w:rPr>
                <w:sz w:val="24"/>
              </w:rPr>
              <w:t>within</w:t>
            </w:r>
            <w:r>
              <w:rPr>
                <w:spacing w:val="21"/>
                <w:sz w:val="24"/>
              </w:rPr>
              <w:t xml:space="preserve"> </w:t>
            </w:r>
            <w:r>
              <w:rPr>
                <w:sz w:val="24"/>
              </w:rPr>
              <w:t>the</w:t>
            </w:r>
            <w:r>
              <w:rPr>
                <w:spacing w:val="22"/>
                <w:sz w:val="24"/>
              </w:rPr>
              <w:t xml:space="preserve"> </w:t>
            </w:r>
            <w:r>
              <w:rPr>
                <w:sz w:val="24"/>
              </w:rPr>
              <w:t>meaning</w:t>
            </w:r>
            <w:r>
              <w:rPr>
                <w:spacing w:val="22"/>
                <w:sz w:val="24"/>
              </w:rPr>
              <w:t xml:space="preserve"> </w:t>
            </w:r>
            <w:r>
              <w:rPr>
                <w:spacing w:val="-5"/>
                <w:sz w:val="24"/>
              </w:rPr>
              <w:t>of</w:t>
            </w:r>
          </w:p>
        </w:tc>
      </w:tr>
      <w:tr w:rsidR="0010369C" w14:paraId="51DE8D7F" w14:textId="77777777">
        <w:trPr>
          <w:trHeight w:val="475"/>
        </w:trPr>
        <w:tc>
          <w:tcPr>
            <w:tcW w:w="531" w:type="dxa"/>
          </w:tcPr>
          <w:p w14:paraId="51DE8D7D" w14:textId="77777777" w:rsidR="0010369C" w:rsidRDefault="0010369C">
            <w:pPr>
              <w:pStyle w:val="TableParagraph"/>
              <w:rPr>
                <w:rFonts w:ascii="Times New Roman"/>
              </w:rPr>
            </w:pPr>
          </w:p>
        </w:tc>
        <w:tc>
          <w:tcPr>
            <w:tcW w:w="7790" w:type="dxa"/>
          </w:tcPr>
          <w:p w14:paraId="51DE8D7E" w14:textId="77777777" w:rsidR="0010369C" w:rsidRDefault="008E43AE">
            <w:pPr>
              <w:pStyle w:val="TableParagraph"/>
              <w:spacing w:before="51"/>
              <w:ind w:left="369"/>
              <w:rPr>
                <w:sz w:val="24"/>
              </w:rPr>
            </w:pPr>
            <w:r>
              <w:rPr>
                <w:sz w:val="24"/>
              </w:rPr>
              <w:t>Article</w:t>
            </w:r>
            <w:r>
              <w:rPr>
                <w:spacing w:val="-9"/>
                <w:sz w:val="24"/>
              </w:rPr>
              <w:t xml:space="preserve"> </w:t>
            </w:r>
            <w:r>
              <w:rPr>
                <w:spacing w:val="-4"/>
                <w:sz w:val="24"/>
              </w:rPr>
              <w:t>3.1.</w:t>
            </w:r>
          </w:p>
        </w:tc>
      </w:tr>
      <w:tr w:rsidR="0010369C" w14:paraId="51DE8D82" w14:textId="77777777">
        <w:trPr>
          <w:trHeight w:val="536"/>
        </w:trPr>
        <w:tc>
          <w:tcPr>
            <w:tcW w:w="531" w:type="dxa"/>
          </w:tcPr>
          <w:p w14:paraId="51DE8D80" w14:textId="77777777" w:rsidR="0010369C" w:rsidRDefault="008E43AE">
            <w:pPr>
              <w:pStyle w:val="TableParagraph"/>
              <w:spacing w:before="135"/>
              <w:ind w:left="50"/>
              <w:rPr>
                <w:rFonts w:ascii="Symbol" w:hAnsi="Symbol"/>
                <w:sz w:val="24"/>
              </w:rPr>
            </w:pPr>
            <w:r>
              <w:rPr>
                <w:rFonts w:ascii="Symbol" w:hAnsi="Symbol"/>
                <w:w w:val="99"/>
                <w:sz w:val="24"/>
              </w:rPr>
              <w:t></w:t>
            </w:r>
          </w:p>
        </w:tc>
        <w:tc>
          <w:tcPr>
            <w:tcW w:w="7790" w:type="dxa"/>
          </w:tcPr>
          <w:p w14:paraId="51DE8D81" w14:textId="77777777" w:rsidR="0010369C" w:rsidRDefault="008E43AE">
            <w:pPr>
              <w:pStyle w:val="TableParagraph"/>
              <w:spacing w:before="148"/>
              <w:ind w:left="369"/>
              <w:rPr>
                <w:sz w:val="24"/>
              </w:rPr>
            </w:pPr>
            <w:r>
              <w:rPr>
                <w:sz w:val="24"/>
              </w:rPr>
              <w:t>Moreover,</w:t>
            </w:r>
            <w:r>
              <w:rPr>
                <w:spacing w:val="54"/>
                <w:w w:val="150"/>
                <w:sz w:val="24"/>
              </w:rPr>
              <w:t xml:space="preserve"> </w:t>
            </w:r>
            <w:r>
              <w:rPr>
                <w:sz w:val="24"/>
              </w:rPr>
              <w:t>MOFCOM</w:t>
            </w:r>
            <w:r>
              <w:rPr>
                <w:spacing w:val="57"/>
                <w:w w:val="150"/>
                <w:sz w:val="24"/>
              </w:rPr>
              <w:t xml:space="preserve"> </w:t>
            </w:r>
            <w:r>
              <w:rPr>
                <w:sz w:val="24"/>
              </w:rPr>
              <w:t>failed</w:t>
            </w:r>
            <w:r>
              <w:rPr>
                <w:spacing w:val="56"/>
                <w:w w:val="150"/>
                <w:sz w:val="24"/>
              </w:rPr>
              <w:t xml:space="preserve"> </w:t>
            </w:r>
            <w:r>
              <w:rPr>
                <w:sz w:val="24"/>
              </w:rPr>
              <w:t>to</w:t>
            </w:r>
            <w:r>
              <w:rPr>
                <w:spacing w:val="57"/>
                <w:w w:val="150"/>
                <w:sz w:val="24"/>
              </w:rPr>
              <w:t xml:space="preserve"> </w:t>
            </w:r>
            <w:r>
              <w:rPr>
                <w:sz w:val="24"/>
              </w:rPr>
              <w:t>ensure</w:t>
            </w:r>
            <w:r>
              <w:rPr>
                <w:spacing w:val="57"/>
                <w:w w:val="150"/>
                <w:sz w:val="24"/>
              </w:rPr>
              <w:t xml:space="preserve"> </w:t>
            </w:r>
            <w:r>
              <w:rPr>
                <w:sz w:val="24"/>
              </w:rPr>
              <w:t>price</w:t>
            </w:r>
            <w:r>
              <w:rPr>
                <w:spacing w:val="56"/>
                <w:w w:val="150"/>
                <w:sz w:val="24"/>
              </w:rPr>
              <w:t xml:space="preserve"> </w:t>
            </w:r>
            <w:r>
              <w:rPr>
                <w:sz w:val="24"/>
              </w:rPr>
              <w:t>comparability</w:t>
            </w:r>
            <w:r>
              <w:rPr>
                <w:spacing w:val="57"/>
                <w:w w:val="150"/>
                <w:sz w:val="24"/>
              </w:rPr>
              <w:t xml:space="preserve"> </w:t>
            </w:r>
            <w:r>
              <w:rPr>
                <w:sz w:val="24"/>
              </w:rPr>
              <w:t>because</w:t>
            </w:r>
            <w:r>
              <w:rPr>
                <w:spacing w:val="56"/>
                <w:w w:val="150"/>
                <w:sz w:val="24"/>
              </w:rPr>
              <w:t xml:space="preserve"> </w:t>
            </w:r>
            <w:r>
              <w:rPr>
                <w:spacing w:val="-5"/>
                <w:sz w:val="24"/>
              </w:rPr>
              <w:t>it</w:t>
            </w:r>
          </w:p>
        </w:tc>
      </w:tr>
      <w:tr w:rsidR="0010369C" w14:paraId="51DE8D85" w14:textId="77777777">
        <w:trPr>
          <w:trHeight w:val="439"/>
        </w:trPr>
        <w:tc>
          <w:tcPr>
            <w:tcW w:w="531" w:type="dxa"/>
          </w:tcPr>
          <w:p w14:paraId="51DE8D83" w14:textId="77777777" w:rsidR="0010369C" w:rsidRDefault="0010369C">
            <w:pPr>
              <w:pStyle w:val="TableParagraph"/>
              <w:rPr>
                <w:rFonts w:ascii="Times New Roman"/>
              </w:rPr>
            </w:pPr>
          </w:p>
        </w:tc>
        <w:tc>
          <w:tcPr>
            <w:tcW w:w="7790" w:type="dxa"/>
          </w:tcPr>
          <w:p w14:paraId="51DE8D84" w14:textId="77777777" w:rsidR="0010369C" w:rsidRDefault="008E43AE">
            <w:pPr>
              <w:pStyle w:val="TableParagraph"/>
              <w:spacing w:before="51"/>
              <w:ind w:left="369"/>
              <w:rPr>
                <w:sz w:val="24"/>
              </w:rPr>
            </w:pPr>
            <w:r>
              <w:rPr>
                <w:sz w:val="24"/>
              </w:rPr>
              <w:t>compared</w:t>
            </w:r>
            <w:r>
              <w:rPr>
                <w:spacing w:val="76"/>
                <w:sz w:val="24"/>
              </w:rPr>
              <w:t xml:space="preserve"> </w:t>
            </w:r>
            <w:r>
              <w:rPr>
                <w:sz w:val="24"/>
              </w:rPr>
              <w:t>broad</w:t>
            </w:r>
            <w:r>
              <w:rPr>
                <w:spacing w:val="79"/>
                <w:sz w:val="24"/>
              </w:rPr>
              <w:t xml:space="preserve"> </w:t>
            </w:r>
            <w:r>
              <w:rPr>
                <w:sz w:val="24"/>
              </w:rPr>
              <w:t>annual</w:t>
            </w:r>
            <w:r>
              <w:rPr>
                <w:spacing w:val="77"/>
                <w:sz w:val="24"/>
              </w:rPr>
              <w:t xml:space="preserve"> </w:t>
            </w:r>
            <w:r>
              <w:rPr>
                <w:sz w:val="24"/>
              </w:rPr>
              <w:t>average</w:t>
            </w:r>
            <w:r>
              <w:rPr>
                <w:spacing w:val="78"/>
                <w:sz w:val="24"/>
              </w:rPr>
              <w:t xml:space="preserve"> </w:t>
            </w:r>
            <w:r>
              <w:rPr>
                <w:sz w:val="24"/>
              </w:rPr>
              <w:t>unit</w:t>
            </w:r>
            <w:r>
              <w:rPr>
                <w:spacing w:val="78"/>
                <w:sz w:val="24"/>
              </w:rPr>
              <w:t xml:space="preserve"> </w:t>
            </w:r>
            <w:r>
              <w:rPr>
                <w:sz w:val="24"/>
              </w:rPr>
              <w:t>prices</w:t>
            </w:r>
            <w:r>
              <w:rPr>
                <w:spacing w:val="79"/>
                <w:sz w:val="24"/>
              </w:rPr>
              <w:t xml:space="preserve"> </w:t>
            </w:r>
            <w:r>
              <w:rPr>
                <w:sz w:val="24"/>
              </w:rPr>
              <w:t>for</w:t>
            </w:r>
            <w:r>
              <w:rPr>
                <w:spacing w:val="78"/>
                <w:sz w:val="24"/>
              </w:rPr>
              <w:t xml:space="preserve"> </w:t>
            </w:r>
            <w:r>
              <w:rPr>
                <w:sz w:val="24"/>
              </w:rPr>
              <w:t>subject</w:t>
            </w:r>
            <w:r>
              <w:rPr>
                <w:spacing w:val="79"/>
                <w:sz w:val="24"/>
              </w:rPr>
              <w:t xml:space="preserve"> </w:t>
            </w:r>
            <w:r>
              <w:rPr>
                <w:sz w:val="24"/>
              </w:rPr>
              <w:t>imports</w:t>
            </w:r>
            <w:r>
              <w:rPr>
                <w:spacing w:val="78"/>
                <w:sz w:val="24"/>
              </w:rPr>
              <w:t xml:space="preserve"> </w:t>
            </w:r>
            <w:r>
              <w:rPr>
                <w:spacing w:val="-5"/>
                <w:sz w:val="24"/>
              </w:rPr>
              <w:t>and</w:t>
            </w:r>
          </w:p>
        </w:tc>
      </w:tr>
      <w:tr w:rsidR="0010369C" w14:paraId="51DE8D88" w14:textId="77777777">
        <w:trPr>
          <w:trHeight w:val="439"/>
        </w:trPr>
        <w:tc>
          <w:tcPr>
            <w:tcW w:w="531" w:type="dxa"/>
          </w:tcPr>
          <w:p w14:paraId="51DE8D86" w14:textId="77777777" w:rsidR="0010369C" w:rsidRDefault="0010369C">
            <w:pPr>
              <w:pStyle w:val="TableParagraph"/>
              <w:rPr>
                <w:rFonts w:ascii="Times New Roman"/>
              </w:rPr>
            </w:pPr>
          </w:p>
        </w:tc>
        <w:tc>
          <w:tcPr>
            <w:tcW w:w="7790" w:type="dxa"/>
          </w:tcPr>
          <w:p w14:paraId="51DE8D87" w14:textId="77777777" w:rsidR="0010369C" w:rsidRDefault="008E43AE">
            <w:pPr>
              <w:pStyle w:val="TableParagraph"/>
              <w:spacing w:before="51"/>
              <w:ind w:left="368"/>
              <w:rPr>
                <w:sz w:val="24"/>
              </w:rPr>
            </w:pPr>
            <w:r>
              <w:rPr>
                <w:sz w:val="24"/>
              </w:rPr>
              <w:t>domestic</w:t>
            </w:r>
            <w:r>
              <w:rPr>
                <w:spacing w:val="35"/>
                <w:sz w:val="24"/>
              </w:rPr>
              <w:t xml:space="preserve"> </w:t>
            </w:r>
            <w:r>
              <w:rPr>
                <w:sz w:val="24"/>
              </w:rPr>
              <w:t>like</w:t>
            </w:r>
            <w:r>
              <w:rPr>
                <w:spacing w:val="35"/>
                <w:sz w:val="24"/>
              </w:rPr>
              <w:t xml:space="preserve"> </w:t>
            </w:r>
            <w:r>
              <w:rPr>
                <w:sz w:val="24"/>
              </w:rPr>
              <w:t>products</w:t>
            </w:r>
            <w:r>
              <w:rPr>
                <w:spacing w:val="32"/>
                <w:sz w:val="24"/>
              </w:rPr>
              <w:t xml:space="preserve"> </w:t>
            </w:r>
            <w:r>
              <w:rPr>
                <w:sz w:val="24"/>
              </w:rPr>
              <w:t>that</w:t>
            </w:r>
            <w:r>
              <w:rPr>
                <w:spacing w:val="34"/>
                <w:sz w:val="24"/>
              </w:rPr>
              <w:t xml:space="preserve"> </w:t>
            </w:r>
            <w:r>
              <w:rPr>
                <w:sz w:val="24"/>
              </w:rPr>
              <w:t>failed</w:t>
            </w:r>
            <w:r>
              <w:rPr>
                <w:spacing w:val="34"/>
                <w:sz w:val="24"/>
              </w:rPr>
              <w:t xml:space="preserve"> </w:t>
            </w:r>
            <w:r>
              <w:rPr>
                <w:sz w:val="24"/>
              </w:rPr>
              <w:t>to</w:t>
            </w:r>
            <w:r>
              <w:rPr>
                <w:spacing w:val="34"/>
                <w:sz w:val="24"/>
              </w:rPr>
              <w:t xml:space="preserve"> </w:t>
            </w:r>
            <w:r>
              <w:rPr>
                <w:sz w:val="24"/>
              </w:rPr>
              <w:t>account</w:t>
            </w:r>
            <w:r>
              <w:rPr>
                <w:spacing w:val="34"/>
                <w:sz w:val="24"/>
              </w:rPr>
              <w:t xml:space="preserve"> </w:t>
            </w:r>
            <w:r>
              <w:rPr>
                <w:sz w:val="24"/>
              </w:rPr>
              <w:t>for:</w:t>
            </w:r>
            <w:r>
              <w:rPr>
                <w:spacing w:val="33"/>
                <w:sz w:val="24"/>
              </w:rPr>
              <w:t xml:space="preserve"> </w:t>
            </w:r>
            <w:r>
              <w:rPr>
                <w:sz w:val="24"/>
              </w:rPr>
              <w:t>(i)</w:t>
            </w:r>
            <w:r>
              <w:rPr>
                <w:spacing w:val="32"/>
                <w:sz w:val="24"/>
              </w:rPr>
              <w:t xml:space="preserve"> </w:t>
            </w:r>
            <w:r>
              <w:rPr>
                <w:sz w:val="24"/>
              </w:rPr>
              <w:t>materially</w:t>
            </w:r>
            <w:r>
              <w:rPr>
                <w:spacing w:val="34"/>
                <w:sz w:val="24"/>
              </w:rPr>
              <w:t xml:space="preserve"> </w:t>
            </w:r>
            <w:r>
              <w:rPr>
                <w:spacing w:val="-2"/>
                <w:sz w:val="24"/>
              </w:rPr>
              <w:t>different</w:t>
            </w:r>
          </w:p>
        </w:tc>
      </w:tr>
      <w:tr w:rsidR="0010369C" w14:paraId="51DE8D8B" w14:textId="77777777">
        <w:trPr>
          <w:trHeight w:val="439"/>
        </w:trPr>
        <w:tc>
          <w:tcPr>
            <w:tcW w:w="531" w:type="dxa"/>
          </w:tcPr>
          <w:p w14:paraId="51DE8D89" w14:textId="77777777" w:rsidR="0010369C" w:rsidRDefault="0010369C">
            <w:pPr>
              <w:pStyle w:val="TableParagraph"/>
              <w:rPr>
                <w:rFonts w:ascii="Times New Roman"/>
              </w:rPr>
            </w:pPr>
          </w:p>
        </w:tc>
        <w:tc>
          <w:tcPr>
            <w:tcW w:w="7790" w:type="dxa"/>
          </w:tcPr>
          <w:p w14:paraId="51DE8D8A" w14:textId="77777777" w:rsidR="0010369C" w:rsidRDefault="008E43AE">
            <w:pPr>
              <w:pStyle w:val="TableParagraph"/>
              <w:spacing w:before="51"/>
              <w:ind w:left="371"/>
              <w:rPr>
                <w:sz w:val="24"/>
              </w:rPr>
            </w:pPr>
            <w:r>
              <w:rPr>
                <w:sz w:val="24"/>
              </w:rPr>
              <w:t>conditions</w:t>
            </w:r>
            <w:r>
              <w:rPr>
                <w:spacing w:val="-11"/>
                <w:sz w:val="24"/>
              </w:rPr>
              <w:t xml:space="preserve"> </w:t>
            </w:r>
            <w:r>
              <w:rPr>
                <w:sz w:val="24"/>
              </w:rPr>
              <w:t>of</w:t>
            </w:r>
            <w:r>
              <w:rPr>
                <w:spacing w:val="-9"/>
                <w:sz w:val="24"/>
              </w:rPr>
              <w:t xml:space="preserve"> </w:t>
            </w:r>
            <w:r>
              <w:rPr>
                <w:sz w:val="24"/>
              </w:rPr>
              <w:t>sale;</w:t>
            </w:r>
            <w:r>
              <w:rPr>
                <w:spacing w:val="-9"/>
                <w:sz w:val="24"/>
              </w:rPr>
              <w:t xml:space="preserve"> </w:t>
            </w:r>
            <w:r>
              <w:rPr>
                <w:sz w:val="24"/>
              </w:rPr>
              <w:t>(ii)</w:t>
            </w:r>
            <w:r>
              <w:rPr>
                <w:spacing w:val="-9"/>
                <w:sz w:val="24"/>
              </w:rPr>
              <w:t xml:space="preserve"> </w:t>
            </w:r>
            <w:r>
              <w:rPr>
                <w:sz w:val="24"/>
              </w:rPr>
              <w:t>different</w:t>
            </w:r>
            <w:r>
              <w:rPr>
                <w:spacing w:val="-9"/>
                <w:sz w:val="24"/>
              </w:rPr>
              <w:t xml:space="preserve"> </w:t>
            </w:r>
            <w:r>
              <w:rPr>
                <w:sz w:val="24"/>
              </w:rPr>
              <w:t>levels</w:t>
            </w:r>
            <w:r>
              <w:rPr>
                <w:spacing w:val="-10"/>
                <w:sz w:val="24"/>
              </w:rPr>
              <w:t xml:space="preserve"> </w:t>
            </w:r>
            <w:r>
              <w:rPr>
                <w:sz w:val="24"/>
              </w:rPr>
              <w:t>of</w:t>
            </w:r>
            <w:r>
              <w:rPr>
                <w:spacing w:val="-10"/>
                <w:sz w:val="24"/>
              </w:rPr>
              <w:t xml:space="preserve"> </w:t>
            </w:r>
            <w:r>
              <w:rPr>
                <w:sz w:val="24"/>
              </w:rPr>
              <w:t>trade;</w:t>
            </w:r>
            <w:r>
              <w:rPr>
                <w:spacing w:val="-9"/>
                <w:sz w:val="24"/>
              </w:rPr>
              <w:t xml:space="preserve"> </w:t>
            </w:r>
            <w:r>
              <w:rPr>
                <w:sz w:val="24"/>
              </w:rPr>
              <w:t>and</w:t>
            </w:r>
            <w:r>
              <w:rPr>
                <w:spacing w:val="-9"/>
                <w:sz w:val="24"/>
              </w:rPr>
              <w:t xml:space="preserve"> </w:t>
            </w:r>
            <w:r>
              <w:rPr>
                <w:sz w:val="24"/>
              </w:rPr>
              <w:t>(iii)</w:t>
            </w:r>
            <w:r>
              <w:rPr>
                <w:spacing w:val="-9"/>
                <w:sz w:val="24"/>
              </w:rPr>
              <w:t xml:space="preserve"> </w:t>
            </w:r>
            <w:r>
              <w:rPr>
                <w:sz w:val="24"/>
              </w:rPr>
              <w:t>the</w:t>
            </w:r>
            <w:r>
              <w:rPr>
                <w:spacing w:val="-9"/>
                <w:sz w:val="24"/>
              </w:rPr>
              <w:t xml:space="preserve"> </w:t>
            </w:r>
            <w:r>
              <w:rPr>
                <w:sz w:val="24"/>
              </w:rPr>
              <w:t>different</w:t>
            </w:r>
            <w:r>
              <w:rPr>
                <w:spacing w:val="-9"/>
                <w:sz w:val="24"/>
              </w:rPr>
              <w:t xml:space="preserve"> </w:t>
            </w:r>
            <w:r>
              <w:rPr>
                <w:sz w:val="24"/>
              </w:rPr>
              <w:t>types</w:t>
            </w:r>
            <w:r>
              <w:rPr>
                <w:spacing w:val="-11"/>
                <w:sz w:val="24"/>
              </w:rPr>
              <w:t xml:space="preserve"> </w:t>
            </w:r>
            <w:r>
              <w:rPr>
                <w:spacing w:val="-5"/>
                <w:sz w:val="24"/>
              </w:rPr>
              <w:t>of</w:t>
            </w:r>
          </w:p>
        </w:tc>
      </w:tr>
      <w:tr w:rsidR="0010369C" w14:paraId="51DE8D8E" w14:textId="77777777">
        <w:trPr>
          <w:trHeight w:val="439"/>
        </w:trPr>
        <w:tc>
          <w:tcPr>
            <w:tcW w:w="531" w:type="dxa"/>
          </w:tcPr>
          <w:p w14:paraId="51DE8D8C" w14:textId="77777777" w:rsidR="0010369C" w:rsidRDefault="0010369C">
            <w:pPr>
              <w:pStyle w:val="TableParagraph"/>
              <w:rPr>
                <w:rFonts w:ascii="Times New Roman"/>
              </w:rPr>
            </w:pPr>
          </w:p>
        </w:tc>
        <w:tc>
          <w:tcPr>
            <w:tcW w:w="7790" w:type="dxa"/>
          </w:tcPr>
          <w:p w14:paraId="51DE8D8D" w14:textId="77777777" w:rsidR="0010369C" w:rsidRDefault="008E43AE">
            <w:pPr>
              <w:pStyle w:val="TableParagraph"/>
              <w:spacing w:before="51"/>
              <w:ind w:left="370"/>
              <w:rPr>
                <w:sz w:val="24"/>
              </w:rPr>
            </w:pPr>
            <w:r>
              <w:rPr>
                <w:sz w:val="24"/>
              </w:rPr>
              <w:t>wine</w:t>
            </w:r>
            <w:r>
              <w:rPr>
                <w:spacing w:val="14"/>
                <w:sz w:val="24"/>
              </w:rPr>
              <w:t xml:space="preserve"> </w:t>
            </w:r>
            <w:r>
              <w:rPr>
                <w:sz w:val="24"/>
              </w:rPr>
              <w:t>products</w:t>
            </w:r>
            <w:r>
              <w:rPr>
                <w:spacing w:val="17"/>
                <w:sz w:val="24"/>
              </w:rPr>
              <w:t xml:space="preserve"> </w:t>
            </w:r>
            <w:r>
              <w:rPr>
                <w:sz w:val="24"/>
              </w:rPr>
              <w:t>in</w:t>
            </w:r>
            <w:r>
              <w:rPr>
                <w:spacing w:val="15"/>
                <w:sz w:val="24"/>
              </w:rPr>
              <w:t xml:space="preserve"> </w:t>
            </w:r>
            <w:r>
              <w:rPr>
                <w:sz w:val="24"/>
              </w:rPr>
              <w:t>the</w:t>
            </w:r>
            <w:r>
              <w:rPr>
                <w:spacing w:val="17"/>
                <w:sz w:val="24"/>
              </w:rPr>
              <w:t xml:space="preserve"> </w:t>
            </w:r>
            <w:r>
              <w:rPr>
                <w:sz w:val="24"/>
              </w:rPr>
              <w:t>basket</w:t>
            </w:r>
            <w:r>
              <w:rPr>
                <w:spacing w:val="15"/>
                <w:sz w:val="24"/>
              </w:rPr>
              <w:t xml:space="preserve"> </w:t>
            </w:r>
            <w:r>
              <w:rPr>
                <w:sz w:val="24"/>
              </w:rPr>
              <w:t>of</w:t>
            </w:r>
            <w:r>
              <w:rPr>
                <w:spacing w:val="16"/>
                <w:sz w:val="24"/>
              </w:rPr>
              <w:t xml:space="preserve"> </w:t>
            </w:r>
            <w:r>
              <w:rPr>
                <w:sz w:val="24"/>
              </w:rPr>
              <w:t>subject</w:t>
            </w:r>
            <w:r>
              <w:rPr>
                <w:spacing w:val="16"/>
                <w:sz w:val="24"/>
              </w:rPr>
              <w:t xml:space="preserve"> </w:t>
            </w:r>
            <w:r>
              <w:rPr>
                <w:sz w:val="24"/>
              </w:rPr>
              <w:t>imports</w:t>
            </w:r>
            <w:r>
              <w:rPr>
                <w:spacing w:val="15"/>
                <w:sz w:val="24"/>
              </w:rPr>
              <w:t xml:space="preserve"> </w:t>
            </w:r>
            <w:r>
              <w:rPr>
                <w:i/>
                <w:sz w:val="24"/>
              </w:rPr>
              <w:t>vis‐à‐vis</w:t>
            </w:r>
            <w:r>
              <w:rPr>
                <w:i/>
                <w:spacing w:val="16"/>
                <w:sz w:val="24"/>
              </w:rPr>
              <w:t xml:space="preserve"> </w:t>
            </w:r>
            <w:r>
              <w:rPr>
                <w:sz w:val="24"/>
              </w:rPr>
              <w:t>the</w:t>
            </w:r>
            <w:r>
              <w:rPr>
                <w:spacing w:val="16"/>
                <w:sz w:val="24"/>
              </w:rPr>
              <w:t xml:space="preserve"> </w:t>
            </w:r>
            <w:r>
              <w:rPr>
                <w:sz w:val="24"/>
              </w:rPr>
              <w:t>basket</w:t>
            </w:r>
            <w:r>
              <w:rPr>
                <w:spacing w:val="16"/>
                <w:sz w:val="24"/>
              </w:rPr>
              <w:t xml:space="preserve"> </w:t>
            </w:r>
            <w:r>
              <w:rPr>
                <w:sz w:val="24"/>
              </w:rPr>
              <w:t>of</w:t>
            </w:r>
            <w:r>
              <w:rPr>
                <w:spacing w:val="16"/>
                <w:sz w:val="24"/>
              </w:rPr>
              <w:t xml:space="preserve"> </w:t>
            </w:r>
            <w:r>
              <w:rPr>
                <w:spacing w:val="-4"/>
                <w:sz w:val="24"/>
              </w:rPr>
              <w:t>like</w:t>
            </w:r>
          </w:p>
        </w:tc>
      </w:tr>
      <w:tr w:rsidR="0010369C" w14:paraId="51DE8D91" w14:textId="77777777">
        <w:trPr>
          <w:trHeight w:val="439"/>
        </w:trPr>
        <w:tc>
          <w:tcPr>
            <w:tcW w:w="531" w:type="dxa"/>
          </w:tcPr>
          <w:p w14:paraId="51DE8D8F" w14:textId="77777777" w:rsidR="0010369C" w:rsidRDefault="0010369C">
            <w:pPr>
              <w:pStyle w:val="TableParagraph"/>
              <w:rPr>
                <w:rFonts w:ascii="Times New Roman"/>
              </w:rPr>
            </w:pPr>
          </w:p>
        </w:tc>
        <w:tc>
          <w:tcPr>
            <w:tcW w:w="7790" w:type="dxa"/>
          </w:tcPr>
          <w:p w14:paraId="51DE8D90" w14:textId="77777777" w:rsidR="0010369C" w:rsidRDefault="008E43AE">
            <w:pPr>
              <w:pStyle w:val="TableParagraph"/>
              <w:spacing w:before="51"/>
              <w:ind w:left="369"/>
              <w:rPr>
                <w:sz w:val="24"/>
              </w:rPr>
            </w:pPr>
            <w:r>
              <w:rPr>
                <w:sz w:val="24"/>
              </w:rPr>
              <w:t>domestic</w:t>
            </w:r>
            <w:r>
              <w:rPr>
                <w:spacing w:val="48"/>
                <w:sz w:val="24"/>
              </w:rPr>
              <w:t xml:space="preserve"> </w:t>
            </w:r>
            <w:r>
              <w:rPr>
                <w:sz w:val="24"/>
              </w:rPr>
              <w:t>products,</w:t>
            </w:r>
            <w:r>
              <w:rPr>
                <w:spacing w:val="48"/>
                <w:sz w:val="24"/>
              </w:rPr>
              <w:t xml:space="preserve"> </w:t>
            </w:r>
            <w:r>
              <w:rPr>
                <w:sz w:val="24"/>
              </w:rPr>
              <w:t>which</w:t>
            </w:r>
            <w:r>
              <w:rPr>
                <w:spacing w:val="46"/>
                <w:sz w:val="24"/>
              </w:rPr>
              <w:t xml:space="preserve"> </w:t>
            </w:r>
            <w:r>
              <w:rPr>
                <w:sz w:val="24"/>
              </w:rPr>
              <w:t>were</w:t>
            </w:r>
            <w:r>
              <w:rPr>
                <w:spacing w:val="47"/>
                <w:sz w:val="24"/>
              </w:rPr>
              <w:t xml:space="preserve"> </w:t>
            </w:r>
            <w:r>
              <w:rPr>
                <w:sz w:val="24"/>
              </w:rPr>
              <w:t>sold</w:t>
            </w:r>
            <w:r>
              <w:rPr>
                <w:spacing w:val="47"/>
                <w:sz w:val="24"/>
              </w:rPr>
              <w:t xml:space="preserve"> </w:t>
            </w:r>
            <w:r>
              <w:rPr>
                <w:sz w:val="24"/>
              </w:rPr>
              <w:t>at</w:t>
            </w:r>
            <w:r>
              <w:rPr>
                <w:spacing w:val="46"/>
                <w:sz w:val="24"/>
              </w:rPr>
              <w:t xml:space="preserve"> </w:t>
            </w:r>
            <w:r>
              <w:rPr>
                <w:sz w:val="24"/>
              </w:rPr>
              <w:t>considerably</w:t>
            </w:r>
            <w:r>
              <w:rPr>
                <w:spacing w:val="47"/>
                <w:sz w:val="24"/>
              </w:rPr>
              <w:t xml:space="preserve"> </w:t>
            </w:r>
            <w:r>
              <w:rPr>
                <w:sz w:val="24"/>
              </w:rPr>
              <w:t>different</w:t>
            </w:r>
            <w:r>
              <w:rPr>
                <w:spacing w:val="48"/>
                <w:sz w:val="24"/>
              </w:rPr>
              <w:t xml:space="preserve"> </w:t>
            </w:r>
            <w:r>
              <w:rPr>
                <w:sz w:val="24"/>
              </w:rPr>
              <w:t>prices</w:t>
            </w:r>
            <w:r>
              <w:rPr>
                <w:spacing w:val="45"/>
                <w:sz w:val="24"/>
              </w:rPr>
              <w:t xml:space="preserve"> </w:t>
            </w:r>
            <w:r>
              <w:rPr>
                <w:spacing w:val="-5"/>
                <w:sz w:val="24"/>
              </w:rPr>
              <w:t>to</w:t>
            </w:r>
          </w:p>
        </w:tc>
      </w:tr>
      <w:tr w:rsidR="0010369C" w14:paraId="51DE8D94" w14:textId="77777777">
        <w:trPr>
          <w:trHeight w:val="439"/>
        </w:trPr>
        <w:tc>
          <w:tcPr>
            <w:tcW w:w="531" w:type="dxa"/>
          </w:tcPr>
          <w:p w14:paraId="51DE8D92" w14:textId="77777777" w:rsidR="0010369C" w:rsidRDefault="0010369C">
            <w:pPr>
              <w:pStyle w:val="TableParagraph"/>
              <w:rPr>
                <w:rFonts w:ascii="Times New Roman"/>
              </w:rPr>
            </w:pPr>
          </w:p>
        </w:tc>
        <w:tc>
          <w:tcPr>
            <w:tcW w:w="7790" w:type="dxa"/>
          </w:tcPr>
          <w:p w14:paraId="51DE8D93" w14:textId="77777777" w:rsidR="0010369C" w:rsidRDefault="008E43AE">
            <w:pPr>
              <w:pStyle w:val="TableParagraph"/>
              <w:spacing w:before="51"/>
              <w:ind w:left="369"/>
              <w:rPr>
                <w:sz w:val="24"/>
              </w:rPr>
            </w:pPr>
            <w:r>
              <w:rPr>
                <w:sz w:val="24"/>
              </w:rPr>
              <w:t>different</w:t>
            </w:r>
            <w:r>
              <w:rPr>
                <w:spacing w:val="18"/>
                <w:sz w:val="24"/>
              </w:rPr>
              <w:t xml:space="preserve"> </w:t>
            </w:r>
            <w:r>
              <w:rPr>
                <w:sz w:val="24"/>
              </w:rPr>
              <w:t>market</w:t>
            </w:r>
            <w:r>
              <w:rPr>
                <w:spacing w:val="20"/>
                <w:sz w:val="24"/>
              </w:rPr>
              <w:t xml:space="preserve"> </w:t>
            </w:r>
            <w:r>
              <w:rPr>
                <w:sz w:val="24"/>
              </w:rPr>
              <w:t>segments.</w:t>
            </w:r>
            <w:r>
              <w:rPr>
                <w:spacing w:val="21"/>
                <w:sz w:val="24"/>
              </w:rPr>
              <w:t xml:space="preserve"> </w:t>
            </w:r>
            <w:r>
              <w:rPr>
                <w:sz w:val="24"/>
              </w:rPr>
              <w:t>In</w:t>
            </w:r>
            <w:r>
              <w:rPr>
                <w:spacing w:val="20"/>
                <w:sz w:val="24"/>
              </w:rPr>
              <w:t xml:space="preserve"> </w:t>
            </w:r>
            <w:r>
              <w:rPr>
                <w:sz w:val="24"/>
              </w:rPr>
              <w:t>this</w:t>
            </w:r>
            <w:r>
              <w:rPr>
                <w:spacing w:val="19"/>
                <w:sz w:val="24"/>
              </w:rPr>
              <w:t xml:space="preserve"> </w:t>
            </w:r>
            <w:r>
              <w:rPr>
                <w:sz w:val="24"/>
              </w:rPr>
              <w:t>regard,</w:t>
            </w:r>
            <w:r>
              <w:rPr>
                <w:spacing w:val="19"/>
                <w:sz w:val="24"/>
              </w:rPr>
              <w:t xml:space="preserve"> </w:t>
            </w:r>
            <w:r>
              <w:rPr>
                <w:sz w:val="24"/>
              </w:rPr>
              <w:t>MOFCOM</w:t>
            </w:r>
            <w:r>
              <w:rPr>
                <w:spacing w:val="21"/>
                <w:sz w:val="24"/>
              </w:rPr>
              <w:t xml:space="preserve"> </w:t>
            </w:r>
            <w:r>
              <w:rPr>
                <w:sz w:val="24"/>
              </w:rPr>
              <w:t>failed</w:t>
            </w:r>
            <w:r>
              <w:rPr>
                <w:spacing w:val="20"/>
                <w:sz w:val="24"/>
              </w:rPr>
              <w:t xml:space="preserve"> </w:t>
            </w:r>
            <w:r>
              <w:rPr>
                <w:sz w:val="24"/>
              </w:rPr>
              <w:t>to</w:t>
            </w:r>
            <w:r>
              <w:rPr>
                <w:spacing w:val="20"/>
                <w:sz w:val="24"/>
              </w:rPr>
              <w:t xml:space="preserve"> </w:t>
            </w:r>
            <w:r>
              <w:rPr>
                <w:sz w:val="24"/>
              </w:rPr>
              <w:t>conduct</w:t>
            </w:r>
            <w:r>
              <w:rPr>
                <w:spacing w:val="19"/>
                <w:sz w:val="24"/>
              </w:rPr>
              <w:t xml:space="preserve"> </w:t>
            </w:r>
            <w:r>
              <w:rPr>
                <w:spacing w:val="-5"/>
                <w:sz w:val="24"/>
              </w:rPr>
              <w:t>an</w:t>
            </w:r>
          </w:p>
        </w:tc>
      </w:tr>
      <w:tr w:rsidR="0010369C" w14:paraId="51DE8D97" w14:textId="77777777">
        <w:trPr>
          <w:trHeight w:val="439"/>
        </w:trPr>
        <w:tc>
          <w:tcPr>
            <w:tcW w:w="531" w:type="dxa"/>
          </w:tcPr>
          <w:p w14:paraId="51DE8D95" w14:textId="77777777" w:rsidR="0010369C" w:rsidRDefault="0010369C">
            <w:pPr>
              <w:pStyle w:val="TableParagraph"/>
              <w:rPr>
                <w:rFonts w:ascii="Times New Roman"/>
              </w:rPr>
            </w:pPr>
          </w:p>
        </w:tc>
        <w:tc>
          <w:tcPr>
            <w:tcW w:w="7790" w:type="dxa"/>
          </w:tcPr>
          <w:p w14:paraId="51DE8D96" w14:textId="77777777" w:rsidR="0010369C" w:rsidRDefault="008E43AE">
            <w:pPr>
              <w:pStyle w:val="TableParagraph"/>
              <w:spacing w:before="51"/>
              <w:ind w:left="371"/>
              <w:rPr>
                <w:sz w:val="24"/>
              </w:rPr>
            </w:pPr>
            <w:r>
              <w:rPr>
                <w:sz w:val="24"/>
              </w:rPr>
              <w:t>objective</w:t>
            </w:r>
            <w:r>
              <w:rPr>
                <w:spacing w:val="55"/>
                <w:w w:val="150"/>
                <w:sz w:val="24"/>
              </w:rPr>
              <w:t xml:space="preserve"> </w:t>
            </w:r>
            <w:r>
              <w:rPr>
                <w:sz w:val="24"/>
              </w:rPr>
              <w:t>and</w:t>
            </w:r>
            <w:r>
              <w:rPr>
                <w:spacing w:val="55"/>
                <w:w w:val="150"/>
                <w:sz w:val="24"/>
              </w:rPr>
              <w:t xml:space="preserve"> </w:t>
            </w:r>
            <w:r>
              <w:rPr>
                <w:sz w:val="24"/>
              </w:rPr>
              <w:t>adequate</w:t>
            </w:r>
            <w:r>
              <w:rPr>
                <w:spacing w:val="56"/>
                <w:w w:val="150"/>
                <w:sz w:val="24"/>
              </w:rPr>
              <w:t xml:space="preserve"> </w:t>
            </w:r>
            <w:r>
              <w:rPr>
                <w:sz w:val="24"/>
              </w:rPr>
              <w:t>examination</w:t>
            </w:r>
            <w:r>
              <w:rPr>
                <w:spacing w:val="53"/>
                <w:w w:val="150"/>
                <w:sz w:val="24"/>
              </w:rPr>
              <w:t xml:space="preserve"> </w:t>
            </w:r>
            <w:r>
              <w:rPr>
                <w:sz w:val="24"/>
              </w:rPr>
              <w:t>of</w:t>
            </w:r>
            <w:r>
              <w:rPr>
                <w:spacing w:val="55"/>
                <w:w w:val="150"/>
                <w:sz w:val="24"/>
              </w:rPr>
              <w:t xml:space="preserve"> </w:t>
            </w:r>
            <w:r>
              <w:rPr>
                <w:sz w:val="24"/>
              </w:rPr>
              <w:t>the</w:t>
            </w:r>
            <w:r>
              <w:rPr>
                <w:spacing w:val="56"/>
                <w:w w:val="150"/>
                <w:sz w:val="24"/>
              </w:rPr>
              <w:t xml:space="preserve"> </w:t>
            </w:r>
            <w:r>
              <w:rPr>
                <w:sz w:val="24"/>
              </w:rPr>
              <w:t>competitive</w:t>
            </w:r>
            <w:r>
              <w:rPr>
                <w:spacing w:val="53"/>
                <w:w w:val="150"/>
                <w:sz w:val="24"/>
              </w:rPr>
              <w:t xml:space="preserve"> </w:t>
            </w:r>
            <w:r>
              <w:rPr>
                <w:spacing w:val="-2"/>
                <w:sz w:val="24"/>
              </w:rPr>
              <w:t>relationships</w:t>
            </w:r>
          </w:p>
        </w:tc>
      </w:tr>
      <w:tr w:rsidR="0010369C" w14:paraId="51DE8D9A" w14:textId="77777777">
        <w:trPr>
          <w:trHeight w:val="439"/>
        </w:trPr>
        <w:tc>
          <w:tcPr>
            <w:tcW w:w="531" w:type="dxa"/>
          </w:tcPr>
          <w:p w14:paraId="51DE8D98" w14:textId="77777777" w:rsidR="0010369C" w:rsidRDefault="0010369C">
            <w:pPr>
              <w:pStyle w:val="TableParagraph"/>
              <w:rPr>
                <w:rFonts w:ascii="Times New Roman"/>
              </w:rPr>
            </w:pPr>
          </w:p>
        </w:tc>
        <w:tc>
          <w:tcPr>
            <w:tcW w:w="7790" w:type="dxa"/>
          </w:tcPr>
          <w:p w14:paraId="51DE8D99" w14:textId="77777777" w:rsidR="0010369C" w:rsidRDefault="008E43AE">
            <w:pPr>
              <w:pStyle w:val="TableParagraph"/>
              <w:spacing w:before="51"/>
              <w:ind w:left="370"/>
              <w:rPr>
                <w:sz w:val="24"/>
              </w:rPr>
            </w:pPr>
            <w:r>
              <w:rPr>
                <w:sz w:val="24"/>
              </w:rPr>
              <w:t>between</w:t>
            </w:r>
            <w:r>
              <w:rPr>
                <w:spacing w:val="24"/>
                <w:sz w:val="24"/>
              </w:rPr>
              <w:t xml:space="preserve"> </w:t>
            </w:r>
            <w:r>
              <w:rPr>
                <w:sz w:val="24"/>
              </w:rPr>
              <w:t>different</w:t>
            </w:r>
            <w:r>
              <w:rPr>
                <w:spacing w:val="24"/>
                <w:sz w:val="24"/>
              </w:rPr>
              <w:t xml:space="preserve"> </w:t>
            </w:r>
            <w:r>
              <w:rPr>
                <w:sz w:val="24"/>
              </w:rPr>
              <w:t>types</w:t>
            </w:r>
            <w:r>
              <w:rPr>
                <w:spacing w:val="23"/>
                <w:sz w:val="24"/>
              </w:rPr>
              <w:t xml:space="preserve"> </w:t>
            </w:r>
            <w:r>
              <w:rPr>
                <w:sz w:val="24"/>
              </w:rPr>
              <w:t>or</w:t>
            </w:r>
            <w:r>
              <w:rPr>
                <w:spacing w:val="25"/>
                <w:sz w:val="24"/>
              </w:rPr>
              <w:t xml:space="preserve"> </w:t>
            </w:r>
            <w:r>
              <w:rPr>
                <w:sz w:val="24"/>
              </w:rPr>
              <w:t>categories</w:t>
            </w:r>
            <w:r>
              <w:rPr>
                <w:spacing w:val="24"/>
                <w:sz w:val="24"/>
              </w:rPr>
              <w:t xml:space="preserve"> </w:t>
            </w:r>
            <w:r>
              <w:rPr>
                <w:sz w:val="24"/>
              </w:rPr>
              <w:t>of</w:t>
            </w:r>
            <w:r>
              <w:rPr>
                <w:spacing w:val="24"/>
                <w:sz w:val="24"/>
              </w:rPr>
              <w:t xml:space="preserve"> </w:t>
            </w:r>
            <w:r>
              <w:rPr>
                <w:sz w:val="24"/>
              </w:rPr>
              <w:t>wine</w:t>
            </w:r>
            <w:r>
              <w:rPr>
                <w:spacing w:val="24"/>
                <w:sz w:val="24"/>
              </w:rPr>
              <w:t xml:space="preserve"> </w:t>
            </w:r>
            <w:r>
              <w:rPr>
                <w:sz w:val="24"/>
              </w:rPr>
              <w:t>products,</w:t>
            </w:r>
            <w:r>
              <w:rPr>
                <w:spacing w:val="24"/>
                <w:sz w:val="24"/>
              </w:rPr>
              <w:t xml:space="preserve"> </w:t>
            </w:r>
            <w:r>
              <w:rPr>
                <w:sz w:val="24"/>
              </w:rPr>
              <w:t>both</w:t>
            </w:r>
            <w:r>
              <w:rPr>
                <w:spacing w:val="25"/>
                <w:sz w:val="24"/>
              </w:rPr>
              <w:t xml:space="preserve"> </w:t>
            </w:r>
            <w:r>
              <w:rPr>
                <w:sz w:val="24"/>
              </w:rPr>
              <w:t>within</w:t>
            </w:r>
            <w:r>
              <w:rPr>
                <w:spacing w:val="24"/>
                <w:sz w:val="24"/>
              </w:rPr>
              <w:t xml:space="preserve"> </w:t>
            </w:r>
            <w:r>
              <w:rPr>
                <w:spacing w:val="-5"/>
                <w:sz w:val="24"/>
              </w:rPr>
              <w:t>and</w:t>
            </w:r>
          </w:p>
        </w:tc>
      </w:tr>
      <w:tr w:rsidR="0010369C" w14:paraId="51DE8D9D" w14:textId="77777777">
        <w:trPr>
          <w:trHeight w:val="475"/>
        </w:trPr>
        <w:tc>
          <w:tcPr>
            <w:tcW w:w="531" w:type="dxa"/>
          </w:tcPr>
          <w:p w14:paraId="51DE8D9B" w14:textId="77777777" w:rsidR="0010369C" w:rsidRDefault="0010369C">
            <w:pPr>
              <w:pStyle w:val="TableParagraph"/>
              <w:rPr>
                <w:rFonts w:ascii="Times New Roman"/>
              </w:rPr>
            </w:pPr>
          </w:p>
        </w:tc>
        <w:tc>
          <w:tcPr>
            <w:tcW w:w="7790" w:type="dxa"/>
          </w:tcPr>
          <w:p w14:paraId="51DE8D9C" w14:textId="77777777" w:rsidR="0010369C" w:rsidRDefault="008E43AE">
            <w:pPr>
              <w:pStyle w:val="TableParagraph"/>
              <w:spacing w:before="51"/>
              <w:ind w:left="370"/>
              <w:rPr>
                <w:sz w:val="24"/>
              </w:rPr>
            </w:pPr>
            <w:r>
              <w:rPr>
                <w:sz w:val="24"/>
              </w:rPr>
              <w:t>between</w:t>
            </w:r>
            <w:r>
              <w:rPr>
                <w:spacing w:val="-8"/>
                <w:sz w:val="24"/>
              </w:rPr>
              <w:t xml:space="preserve"> </w:t>
            </w:r>
            <w:r>
              <w:rPr>
                <w:sz w:val="24"/>
              </w:rPr>
              <w:t>the</w:t>
            </w:r>
            <w:r>
              <w:rPr>
                <w:spacing w:val="-7"/>
                <w:sz w:val="24"/>
              </w:rPr>
              <w:t xml:space="preserve"> </w:t>
            </w:r>
            <w:r>
              <w:rPr>
                <w:sz w:val="24"/>
              </w:rPr>
              <w:t>baskets</w:t>
            </w:r>
            <w:r>
              <w:rPr>
                <w:spacing w:val="-9"/>
                <w:sz w:val="24"/>
              </w:rPr>
              <w:t xml:space="preserve"> </w:t>
            </w:r>
            <w:r>
              <w:rPr>
                <w:sz w:val="24"/>
              </w:rPr>
              <w:t>of</w:t>
            </w:r>
            <w:r>
              <w:rPr>
                <w:spacing w:val="-9"/>
                <w:sz w:val="24"/>
              </w:rPr>
              <w:t xml:space="preserve"> </w:t>
            </w:r>
            <w:r>
              <w:rPr>
                <w:sz w:val="24"/>
              </w:rPr>
              <w:t>subject</w:t>
            </w:r>
            <w:r>
              <w:rPr>
                <w:spacing w:val="-8"/>
                <w:sz w:val="24"/>
              </w:rPr>
              <w:t xml:space="preserve"> </w:t>
            </w:r>
            <w:r>
              <w:rPr>
                <w:sz w:val="24"/>
              </w:rPr>
              <w:t>imports</w:t>
            </w:r>
            <w:r>
              <w:rPr>
                <w:spacing w:val="-8"/>
                <w:sz w:val="24"/>
              </w:rPr>
              <w:t xml:space="preserve"> </w:t>
            </w:r>
            <w:r>
              <w:rPr>
                <w:sz w:val="24"/>
              </w:rPr>
              <w:t>and</w:t>
            </w:r>
            <w:r>
              <w:rPr>
                <w:spacing w:val="-9"/>
                <w:sz w:val="24"/>
              </w:rPr>
              <w:t xml:space="preserve"> </w:t>
            </w:r>
            <w:r>
              <w:rPr>
                <w:sz w:val="24"/>
              </w:rPr>
              <w:t>domestic</w:t>
            </w:r>
            <w:r>
              <w:rPr>
                <w:spacing w:val="-7"/>
                <w:sz w:val="24"/>
              </w:rPr>
              <w:t xml:space="preserve"> </w:t>
            </w:r>
            <w:r>
              <w:rPr>
                <w:sz w:val="24"/>
              </w:rPr>
              <w:t>like</w:t>
            </w:r>
            <w:r>
              <w:rPr>
                <w:spacing w:val="-7"/>
                <w:sz w:val="24"/>
              </w:rPr>
              <w:t xml:space="preserve"> </w:t>
            </w:r>
            <w:r>
              <w:rPr>
                <w:spacing w:val="-2"/>
                <w:sz w:val="24"/>
              </w:rPr>
              <w:t>products.</w:t>
            </w:r>
          </w:p>
        </w:tc>
      </w:tr>
      <w:tr w:rsidR="0010369C" w14:paraId="51DE8DA0" w14:textId="77777777">
        <w:trPr>
          <w:trHeight w:val="536"/>
        </w:trPr>
        <w:tc>
          <w:tcPr>
            <w:tcW w:w="531" w:type="dxa"/>
          </w:tcPr>
          <w:p w14:paraId="51DE8D9E" w14:textId="77777777" w:rsidR="0010369C" w:rsidRDefault="008E43AE">
            <w:pPr>
              <w:pStyle w:val="TableParagraph"/>
              <w:spacing w:before="135"/>
              <w:ind w:left="51"/>
              <w:rPr>
                <w:rFonts w:ascii="Symbol" w:hAnsi="Symbol"/>
                <w:sz w:val="24"/>
              </w:rPr>
            </w:pPr>
            <w:r>
              <w:rPr>
                <w:rFonts w:ascii="Symbol" w:hAnsi="Symbol"/>
                <w:w w:val="99"/>
                <w:sz w:val="24"/>
              </w:rPr>
              <w:t></w:t>
            </w:r>
          </w:p>
        </w:tc>
        <w:tc>
          <w:tcPr>
            <w:tcW w:w="7790" w:type="dxa"/>
          </w:tcPr>
          <w:p w14:paraId="51DE8D9F" w14:textId="77777777" w:rsidR="0010369C" w:rsidRDefault="008E43AE">
            <w:pPr>
              <w:pStyle w:val="TableParagraph"/>
              <w:spacing w:before="148"/>
              <w:ind w:left="371"/>
              <w:rPr>
                <w:sz w:val="24"/>
              </w:rPr>
            </w:pPr>
            <w:r>
              <w:rPr>
                <w:sz w:val="24"/>
              </w:rPr>
              <w:t>MOFCOM</w:t>
            </w:r>
            <w:r>
              <w:rPr>
                <w:spacing w:val="-9"/>
                <w:sz w:val="24"/>
              </w:rPr>
              <w:t xml:space="preserve"> </w:t>
            </w:r>
            <w:r>
              <w:rPr>
                <w:sz w:val="24"/>
              </w:rPr>
              <w:t>also</w:t>
            </w:r>
            <w:r>
              <w:rPr>
                <w:spacing w:val="-8"/>
                <w:sz w:val="24"/>
              </w:rPr>
              <w:t xml:space="preserve"> </w:t>
            </w:r>
            <w:r>
              <w:rPr>
                <w:sz w:val="24"/>
              </w:rPr>
              <w:t>failed</w:t>
            </w:r>
            <w:r>
              <w:rPr>
                <w:spacing w:val="-10"/>
                <w:sz w:val="24"/>
              </w:rPr>
              <w:t xml:space="preserve"> </w:t>
            </w:r>
            <w:r>
              <w:rPr>
                <w:sz w:val="24"/>
              </w:rPr>
              <w:t>to</w:t>
            </w:r>
            <w:r>
              <w:rPr>
                <w:spacing w:val="-10"/>
                <w:sz w:val="24"/>
              </w:rPr>
              <w:t xml:space="preserve"> </w:t>
            </w:r>
            <w:r>
              <w:rPr>
                <w:sz w:val="24"/>
              </w:rPr>
              <w:t>conduct</w:t>
            </w:r>
            <w:r>
              <w:rPr>
                <w:spacing w:val="-10"/>
                <w:sz w:val="24"/>
              </w:rPr>
              <w:t xml:space="preserve"> </w:t>
            </w:r>
            <w:r>
              <w:rPr>
                <w:sz w:val="24"/>
              </w:rPr>
              <w:t>an</w:t>
            </w:r>
            <w:r>
              <w:rPr>
                <w:spacing w:val="-11"/>
                <w:sz w:val="24"/>
              </w:rPr>
              <w:t xml:space="preserve"> </w:t>
            </w:r>
            <w:r>
              <w:rPr>
                <w:sz w:val="24"/>
              </w:rPr>
              <w:t>objective</w:t>
            </w:r>
            <w:r>
              <w:rPr>
                <w:spacing w:val="-9"/>
                <w:sz w:val="24"/>
              </w:rPr>
              <w:t xml:space="preserve"> </w:t>
            </w:r>
            <w:r>
              <w:rPr>
                <w:sz w:val="24"/>
              </w:rPr>
              <w:t>examination</w:t>
            </w:r>
            <w:r>
              <w:rPr>
                <w:spacing w:val="-10"/>
                <w:sz w:val="24"/>
              </w:rPr>
              <w:t xml:space="preserve"> </w:t>
            </w:r>
            <w:r>
              <w:rPr>
                <w:sz w:val="24"/>
              </w:rPr>
              <w:t>based</w:t>
            </w:r>
            <w:r>
              <w:rPr>
                <w:spacing w:val="-9"/>
                <w:sz w:val="24"/>
              </w:rPr>
              <w:t xml:space="preserve"> </w:t>
            </w:r>
            <w:r>
              <w:rPr>
                <w:sz w:val="24"/>
              </w:rPr>
              <w:t>on</w:t>
            </w:r>
            <w:r>
              <w:rPr>
                <w:spacing w:val="-9"/>
                <w:sz w:val="24"/>
              </w:rPr>
              <w:t xml:space="preserve"> </w:t>
            </w:r>
            <w:r>
              <w:rPr>
                <w:spacing w:val="-2"/>
                <w:sz w:val="24"/>
              </w:rPr>
              <w:t>positive</w:t>
            </w:r>
          </w:p>
        </w:tc>
      </w:tr>
      <w:tr w:rsidR="0010369C" w14:paraId="51DE8DA3" w14:textId="77777777">
        <w:trPr>
          <w:trHeight w:val="439"/>
        </w:trPr>
        <w:tc>
          <w:tcPr>
            <w:tcW w:w="531" w:type="dxa"/>
          </w:tcPr>
          <w:p w14:paraId="51DE8DA1" w14:textId="77777777" w:rsidR="0010369C" w:rsidRDefault="0010369C">
            <w:pPr>
              <w:pStyle w:val="TableParagraph"/>
              <w:rPr>
                <w:rFonts w:ascii="Times New Roman"/>
              </w:rPr>
            </w:pPr>
          </w:p>
        </w:tc>
        <w:tc>
          <w:tcPr>
            <w:tcW w:w="7790" w:type="dxa"/>
          </w:tcPr>
          <w:p w14:paraId="51DE8DA2" w14:textId="77777777" w:rsidR="0010369C" w:rsidRDefault="008E43AE">
            <w:pPr>
              <w:pStyle w:val="TableParagraph"/>
              <w:spacing w:before="51"/>
              <w:ind w:left="370"/>
              <w:rPr>
                <w:sz w:val="24"/>
              </w:rPr>
            </w:pPr>
            <w:r>
              <w:rPr>
                <w:sz w:val="24"/>
              </w:rPr>
              <w:t>evidence</w:t>
            </w:r>
            <w:r>
              <w:rPr>
                <w:spacing w:val="26"/>
                <w:sz w:val="24"/>
              </w:rPr>
              <w:t xml:space="preserve"> </w:t>
            </w:r>
            <w:r>
              <w:rPr>
                <w:sz w:val="24"/>
              </w:rPr>
              <w:t>because</w:t>
            </w:r>
            <w:r>
              <w:rPr>
                <w:spacing w:val="27"/>
                <w:sz w:val="24"/>
              </w:rPr>
              <w:t xml:space="preserve"> </w:t>
            </w:r>
            <w:r>
              <w:rPr>
                <w:sz w:val="24"/>
              </w:rPr>
              <w:t>it:</w:t>
            </w:r>
            <w:r>
              <w:rPr>
                <w:spacing w:val="27"/>
                <w:sz w:val="24"/>
              </w:rPr>
              <w:t xml:space="preserve"> </w:t>
            </w:r>
            <w:r>
              <w:rPr>
                <w:sz w:val="24"/>
              </w:rPr>
              <w:t>(i)</w:t>
            </w:r>
            <w:r>
              <w:rPr>
                <w:spacing w:val="26"/>
                <w:sz w:val="24"/>
              </w:rPr>
              <w:t xml:space="preserve"> </w:t>
            </w:r>
            <w:r>
              <w:rPr>
                <w:sz w:val="24"/>
              </w:rPr>
              <w:t>did</w:t>
            </w:r>
            <w:r>
              <w:rPr>
                <w:spacing w:val="26"/>
                <w:sz w:val="24"/>
              </w:rPr>
              <w:t xml:space="preserve"> </w:t>
            </w:r>
            <w:r>
              <w:rPr>
                <w:sz w:val="24"/>
              </w:rPr>
              <w:t>not</w:t>
            </w:r>
            <w:r>
              <w:rPr>
                <w:spacing w:val="26"/>
                <w:sz w:val="24"/>
              </w:rPr>
              <w:t xml:space="preserve"> </w:t>
            </w:r>
            <w:r>
              <w:rPr>
                <w:sz w:val="24"/>
              </w:rPr>
              <w:t>conduct</w:t>
            </w:r>
            <w:r>
              <w:rPr>
                <w:spacing w:val="27"/>
                <w:sz w:val="24"/>
              </w:rPr>
              <w:t xml:space="preserve"> </w:t>
            </w:r>
            <w:r>
              <w:rPr>
                <w:sz w:val="24"/>
              </w:rPr>
              <w:t>a</w:t>
            </w:r>
            <w:r>
              <w:rPr>
                <w:spacing w:val="26"/>
                <w:sz w:val="24"/>
              </w:rPr>
              <w:t xml:space="preserve"> </w:t>
            </w:r>
            <w:r>
              <w:rPr>
                <w:sz w:val="24"/>
              </w:rPr>
              <w:t>counterfactual</w:t>
            </w:r>
            <w:r>
              <w:rPr>
                <w:spacing w:val="26"/>
                <w:sz w:val="24"/>
              </w:rPr>
              <w:t xml:space="preserve"> </w:t>
            </w:r>
            <w:r>
              <w:rPr>
                <w:sz w:val="24"/>
              </w:rPr>
              <w:t>examination</w:t>
            </w:r>
            <w:r>
              <w:rPr>
                <w:spacing w:val="25"/>
                <w:sz w:val="24"/>
              </w:rPr>
              <w:t xml:space="preserve"> </w:t>
            </w:r>
            <w:r>
              <w:rPr>
                <w:spacing w:val="-5"/>
                <w:sz w:val="24"/>
              </w:rPr>
              <w:t>to</w:t>
            </w:r>
          </w:p>
        </w:tc>
      </w:tr>
      <w:tr w:rsidR="0010369C" w14:paraId="51DE8DA6" w14:textId="77777777">
        <w:trPr>
          <w:trHeight w:val="439"/>
        </w:trPr>
        <w:tc>
          <w:tcPr>
            <w:tcW w:w="531" w:type="dxa"/>
          </w:tcPr>
          <w:p w14:paraId="51DE8DA4" w14:textId="77777777" w:rsidR="0010369C" w:rsidRDefault="0010369C">
            <w:pPr>
              <w:pStyle w:val="TableParagraph"/>
              <w:rPr>
                <w:rFonts w:ascii="Times New Roman"/>
              </w:rPr>
            </w:pPr>
          </w:p>
        </w:tc>
        <w:tc>
          <w:tcPr>
            <w:tcW w:w="7790" w:type="dxa"/>
          </w:tcPr>
          <w:p w14:paraId="51DE8DA5" w14:textId="77777777" w:rsidR="0010369C" w:rsidRDefault="008E43AE">
            <w:pPr>
              <w:pStyle w:val="TableParagraph"/>
              <w:spacing w:before="51"/>
              <w:ind w:left="369"/>
              <w:rPr>
                <w:sz w:val="24"/>
              </w:rPr>
            </w:pPr>
            <w:r>
              <w:rPr>
                <w:sz w:val="24"/>
              </w:rPr>
              <w:t>establish</w:t>
            </w:r>
            <w:r>
              <w:rPr>
                <w:spacing w:val="-11"/>
                <w:sz w:val="24"/>
              </w:rPr>
              <w:t xml:space="preserve"> </w:t>
            </w:r>
            <w:r>
              <w:rPr>
                <w:sz w:val="24"/>
              </w:rPr>
              <w:t>that</w:t>
            </w:r>
            <w:r>
              <w:rPr>
                <w:spacing w:val="-10"/>
                <w:sz w:val="24"/>
              </w:rPr>
              <w:t xml:space="preserve"> </w:t>
            </w:r>
            <w:r>
              <w:rPr>
                <w:sz w:val="24"/>
              </w:rPr>
              <w:t>the</w:t>
            </w:r>
            <w:r>
              <w:rPr>
                <w:spacing w:val="-9"/>
                <w:sz w:val="24"/>
              </w:rPr>
              <w:t xml:space="preserve"> </w:t>
            </w:r>
            <w:r>
              <w:rPr>
                <w:sz w:val="24"/>
              </w:rPr>
              <w:t>subject</w:t>
            </w:r>
            <w:r>
              <w:rPr>
                <w:spacing w:val="-9"/>
                <w:sz w:val="24"/>
              </w:rPr>
              <w:t xml:space="preserve"> </w:t>
            </w:r>
            <w:r>
              <w:rPr>
                <w:sz w:val="24"/>
              </w:rPr>
              <w:t>imports</w:t>
            </w:r>
            <w:r>
              <w:rPr>
                <w:spacing w:val="-9"/>
                <w:sz w:val="24"/>
              </w:rPr>
              <w:t xml:space="preserve"> </w:t>
            </w:r>
            <w:r>
              <w:rPr>
                <w:sz w:val="24"/>
              </w:rPr>
              <w:t>had</w:t>
            </w:r>
            <w:r>
              <w:rPr>
                <w:spacing w:val="-10"/>
                <w:sz w:val="24"/>
              </w:rPr>
              <w:t xml:space="preserve"> </w:t>
            </w:r>
            <w:r>
              <w:rPr>
                <w:sz w:val="24"/>
              </w:rPr>
              <w:t>prevented</w:t>
            </w:r>
            <w:r>
              <w:rPr>
                <w:spacing w:val="-9"/>
                <w:sz w:val="24"/>
              </w:rPr>
              <w:t xml:space="preserve"> </w:t>
            </w:r>
            <w:r>
              <w:rPr>
                <w:sz w:val="24"/>
              </w:rPr>
              <w:t>price</w:t>
            </w:r>
            <w:r>
              <w:rPr>
                <w:spacing w:val="-9"/>
                <w:sz w:val="24"/>
              </w:rPr>
              <w:t xml:space="preserve"> </w:t>
            </w:r>
            <w:r>
              <w:rPr>
                <w:sz w:val="24"/>
              </w:rPr>
              <w:t>increases</w:t>
            </w:r>
            <w:r>
              <w:rPr>
                <w:spacing w:val="-9"/>
                <w:sz w:val="24"/>
              </w:rPr>
              <w:t xml:space="preserve"> </w:t>
            </w:r>
            <w:r>
              <w:rPr>
                <w:sz w:val="24"/>
              </w:rPr>
              <w:t>that</w:t>
            </w:r>
            <w:r>
              <w:rPr>
                <w:spacing w:val="-10"/>
                <w:sz w:val="24"/>
              </w:rPr>
              <w:t xml:space="preserve"> </w:t>
            </w:r>
            <w:r>
              <w:rPr>
                <w:spacing w:val="-2"/>
                <w:sz w:val="24"/>
              </w:rPr>
              <w:t>would</w:t>
            </w:r>
          </w:p>
        </w:tc>
      </w:tr>
      <w:tr w:rsidR="0010369C" w14:paraId="51DE8DA9" w14:textId="77777777">
        <w:trPr>
          <w:trHeight w:val="439"/>
        </w:trPr>
        <w:tc>
          <w:tcPr>
            <w:tcW w:w="531" w:type="dxa"/>
          </w:tcPr>
          <w:p w14:paraId="51DE8DA7" w14:textId="77777777" w:rsidR="0010369C" w:rsidRDefault="0010369C">
            <w:pPr>
              <w:pStyle w:val="TableParagraph"/>
              <w:rPr>
                <w:rFonts w:ascii="Times New Roman"/>
              </w:rPr>
            </w:pPr>
          </w:p>
        </w:tc>
        <w:tc>
          <w:tcPr>
            <w:tcW w:w="7790" w:type="dxa"/>
          </w:tcPr>
          <w:p w14:paraId="51DE8DA8" w14:textId="77777777" w:rsidR="0010369C" w:rsidRDefault="008E43AE">
            <w:pPr>
              <w:pStyle w:val="TableParagraph"/>
              <w:spacing w:before="51"/>
              <w:ind w:left="370"/>
              <w:rPr>
                <w:sz w:val="24"/>
              </w:rPr>
            </w:pPr>
            <w:r>
              <w:rPr>
                <w:w w:val="95"/>
                <w:sz w:val="24"/>
              </w:rPr>
              <w:t>have</w:t>
            </w:r>
            <w:r>
              <w:rPr>
                <w:spacing w:val="8"/>
                <w:sz w:val="24"/>
              </w:rPr>
              <w:t xml:space="preserve"> </w:t>
            </w:r>
            <w:r>
              <w:rPr>
                <w:w w:val="95"/>
                <w:sz w:val="24"/>
              </w:rPr>
              <w:t>otherwise</w:t>
            </w:r>
            <w:r>
              <w:rPr>
                <w:spacing w:val="8"/>
                <w:sz w:val="24"/>
              </w:rPr>
              <w:t xml:space="preserve"> </w:t>
            </w:r>
            <w:r>
              <w:rPr>
                <w:w w:val="95"/>
                <w:sz w:val="24"/>
              </w:rPr>
              <w:t>occurred</w:t>
            </w:r>
            <w:r>
              <w:rPr>
                <w:spacing w:val="5"/>
                <w:sz w:val="24"/>
              </w:rPr>
              <w:t xml:space="preserve"> </w:t>
            </w:r>
            <w:r>
              <w:rPr>
                <w:w w:val="95"/>
                <w:sz w:val="24"/>
              </w:rPr>
              <w:t>to</w:t>
            </w:r>
            <w:r>
              <w:rPr>
                <w:spacing w:val="8"/>
                <w:sz w:val="24"/>
              </w:rPr>
              <w:t xml:space="preserve"> </w:t>
            </w:r>
            <w:r>
              <w:rPr>
                <w:w w:val="95"/>
                <w:sz w:val="24"/>
              </w:rPr>
              <w:t>a</w:t>
            </w:r>
            <w:r>
              <w:rPr>
                <w:spacing w:val="6"/>
                <w:sz w:val="24"/>
              </w:rPr>
              <w:t xml:space="preserve"> </w:t>
            </w:r>
            <w:r>
              <w:rPr>
                <w:w w:val="95"/>
                <w:sz w:val="24"/>
              </w:rPr>
              <w:t>significant</w:t>
            </w:r>
            <w:r>
              <w:rPr>
                <w:spacing w:val="8"/>
                <w:sz w:val="24"/>
              </w:rPr>
              <w:t xml:space="preserve"> </w:t>
            </w:r>
            <w:r>
              <w:rPr>
                <w:w w:val="95"/>
                <w:sz w:val="24"/>
              </w:rPr>
              <w:t>degree;</w:t>
            </w:r>
            <w:r>
              <w:rPr>
                <w:spacing w:val="7"/>
                <w:sz w:val="24"/>
              </w:rPr>
              <w:t xml:space="preserve"> </w:t>
            </w:r>
            <w:r>
              <w:rPr>
                <w:w w:val="95"/>
                <w:sz w:val="24"/>
              </w:rPr>
              <w:t>(ii)</w:t>
            </w:r>
            <w:r>
              <w:rPr>
                <w:spacing w:val="8"/>
                <w:sz w:val="24"/>
              </w:rPr>
              <w:t xml:space="preserve"> </w:t>
            </w:r>
            <w:r>
              <w:rPr>
                <w:w w:val="95"/>
                <w:sz w:val="24"/>
              </w:rPr>
              <w:t>did</w:t>
            </w:r>
            <w:r>
              <w:rPr>
                <w:spacing w:val="7"/>
                <w:sz w:val="24"/>
              </w:rPr>
              <w:t xml:space="preserve"> </w:t>
            </w:r>
            <w:r>
              <w:rPr>
                <w:w w:val="95"/>
                <w:sz w:val="24"/>
              </w:rPr>
              <w:t>not</w:t>
            </w:r>
            <w:r>
              <w:rPr>
                <w:spacing w:val="5"/>
                <w:sz w:val="24"/>
              </w:rPr>
              <w:t xml:space="preserve"> </w:t>
            </w:r>
            <w:r>
              <w:rPr>
                <w:w w:val="95"/>
                <w:sz w:val="24"/>
              </w:rPr>
              <w:t>consider</w:t>
            </w:r>
            <w:r>
              <w:rPr>
                <w:spacing w:val="8"/>
                <w:sz w:val="24"/>
              </w:rPr>
              <w:t xml:space="preserve"> </w:t>
            </w:r>
            <w:r>
              <w:rPr>
                <w:spacing w:val="-2"/>
                <w:w w:val="95"/>
                <w:sz w:val="24"/>
              </w:rPr>
              <w:t>relevant</w:t>
            </w:r>
          </w:p>
        </w:tc>
      </w:tr>
      <w:tr w:rsidR="0010369C" w14:paraId="51DE8DAC" w14:textId="77777777">
        <w:trPr>
          <w:trHeight w:val="439"/>
        </w:trPr>
        <w:tc>
          <w:tcPr>
            <w:tcW w:w="531" w:type="dxa"/>
          </w:tcPr>
          <w:p w14:paraId="51DE8DAA" w14:textId="77777777" w:rsidR="0010369C" w:rsidRDefault="0010369C">
            <w:pPr>
              <w:pStyle w:val="TableParagraph"/>
              <w:rPr>
                <w:rFonts w:ascii="Times New Roman"/>
              </w:rPr>
            </w:pPr>
          </w:p>
        </w:tc>
        <w:tc>
          <w:tcPr>
            <w:tcW w:w="7790" w:type="dxa"/>
          </w:tcPr>
          <w:p w14:paraId="51DE8DAB" w14:textId="77777777" w:rsidR="0010369C" w:rsidRDefault="008E43AE">
            <w:pPr>
              <w:pStyle w:val="TableParagraph"/>
              <w:spacing w:before="51"/>
              <w:ind w:left="369"/>
              <w:rPr>
                <w:sz w:val="24"/>
              </w:rPr>
            </w:pPr>
            <w:r>
              <w:rPr>
                <w:sz w:val="24"/>
              </w:rPr>
              <w:t>evidence</w:t>
            </w:r>
            <w:r>
              <w:rPr>
                <w:spacing w:val="-9"/>
                <w:sz w:val="24"/>
              </w:rPr>
              <w:t xml:space="preserve"> </w:t>
            </w:r>
            <w:r>
              <w:rPr>
                <w:sz w:val="24"/>
              </w:rPr>
              <w:t>relating</w:t>
            </w:r>
            <w:r>
              <w:rPr>
                <w:spacing w:val="-9"/>
                <w:sz w:val="24"/>
              </w:rPr>
              <w:t xml:space="preserve"> </w:t>
            </w:r>
            <w:r>
              <w:rPr>
                <w:sz w:val="24"/>
              </w:rPr>
              <w:t>to</w:t>
            </w:r>
            <w:r>
              <w:rPr>
                <w:spacing w:val="-7"/>
                <w:sz w:val="24"/>
              </w:rPr>
              <w:t xml:space="preserve"> </w:t>
            </w:r>
            <w:r>
              <w:rPr>
                <w:sz w:val="24"/>
              </w:rPr>
              <w:t>price</w:t>
            </w:r>
            <w:r>
              <w:rPr>
                <w:spacing w:val="-8"/>
                <w:sz w:val="24"/>
              </w:rPr>
              <w:t xml:space="preserve"> </w:t>
            </w:r>
            <w:r>
              <w:rPr>
                <w:sz w:val="24"/>
              </w:rPr>
              <w:t>undercutting</w:t>
            </w:r>
            <w:r>
              <w:rPr>
                <w:spacing w:val="-8"/>
                <w:sz w:val="24"/>
              </w:rPr>
              <w:t xml:space="preserve"> </w:t>
            </w:r>
            <w:r>
              <w:rPr>
                <w:sz w:val="24"/>
              </w:rPr>
              <w:t>or</w:t>
            </w:r>
            <w:r>
              <w:rPr>
                <w:spacing w:val="-8"/>
                <w:sz w:val="24"/>
              </w:rPr>
              <w:t xml:space="preserve"> </w:t>
            </w:r>
            <w:r>
              <w:rPr>
                <w:sz w:val="24"/>
              </w:rPr>
              <w:t>price</w:t>
            </w:r>
            <w:r>
              <w:rPr>
                <w:spacing w:val="-8"/>
                <w:sz w:val="24"/>
              </w:rPr>
              <w:t xml:space="preserve"> </w:t>
            </w:r>
            <w:r>
              <w:rPr>
                <w:sz w:val="24"/>
              </w:rPr>
              <w:t>depression</w:t>
            </w:r>
            <w:r>
              <w:rPr>
                <w:spacing w:val="-8"/>
                <w:sz w:val="24"/>
              </w:rPr>
              <w:t xml:space="preserve"> </w:t>
            </w:r>
            <w:r>
              <w:rPr>
                <w:sz w:val="24"/>
              </w:rPr>
              <w:t>;</w:t>
            </w:r>
            <w:r>
              <w:rPr>
                <w:spacing w:val="-10"/>
                <w:sz w:val="24"/>
              </w:rPr>
              <w:t xml:space="preserve"> </w:t>
            </w:r>
            <w:r>
              <w:rPr>
                <w:sz w:val="24"/>
              </w:rPr>
              <w:t>and</w:t>
            </w:r>
            <w:r>
              <w:rPr>
                <w:spacing w:val="-8"/>
                <w:sz w:val="24"/>
              </w:rPr>
              <w:t xml:space="preserve"> </w:t>
            </w:r>
            <w:r>
              <w:rPr>
                <w:sz w:val="24"/>
              </w:rPr>
              <w:t>(iii)</w:t>
            </w:r>
            <w:r>
              <w:rPr>
                <w:spacing w:val="-8"/>
                <w:sz w:val="24"/>
              </w:rPr>
              <w:t xml:space="preserve"> </w:t>
            </w:r>
            <w:r>
              <w:rPr>
                <w:sz w:val="24"/>
              </w:rPr>
              <w:t>did</w:t>
            </w:r>
            <w:r>
              <w:rPr>
                <w:spacing w:val="-8"/>
                <w:sz w:val="24"/>
              </w:rPr>
              <w:t xml:space="preserve"> </w:t>
            </w:r>
            <w:r>
              <w:rPr>
                <w:spacing w:val="-5"/>
                <w:sz w:val="24"/>
              </w:rPr>
              <w:t>not</w:t>
            </w:r>
          </w:p>
        </w:tc>
      </w:tr>
      <w:tr w:rsidR="0010369C" w14:paraId="51DE8DAF" w14:textId="77777777">
        <w:trPr>
          <w:trHeight w:val="439"/>
        </w:trPr>
        <w:tc>
          <w:tcPr>
            <w:tcW w:w="531" w:type="dxa"/>
          </w:tcPr>
          <w:p w14:paraId="51DE8DAD" w14:textId="77777777" w:rsidR="0010369C" w:rsidRDefault="0010369C">
            <w:pPr>
              <w:pStyle w:val="TableParagraph"/>
              <w:rPr>
                <w:rFonts w:ascii="Times New Roman"/>
              </w:rPr>
            </w:pPr>
          </w:p>
        </w:tc>
        <w:tc>
          <w:tcPr>
            <w:tcW w:w="7790" w:type="dxa"/>
          </w:tcPr>
          <w:p w14:paraId="51DE8DAE" w14:textId="77777777" w:rsidR="0010369C" w:rsidRDefault="008E43AE">
            <w:pPr>
              <w:pStyle w:val="TableParagraph"/>
              <w:spacing w:before="51"/>
              <w:ind w:left="368"/>
              <w:rPr>
                <w:sz w:val="24"/>
              </w:rPr>
            </w:pPr>
            <w:r>
              <w:rPr>
                <w:sz w:val="24"/>
              </w:rPr>
              <w:t>adequately</w:t>
            </w:r>
            <w:r>
              <w:rPr>
                <w:spacing w:val="35"/>
                <w:sz w:val="24"/>
              </w:rPr>
              <w:t xml:space="preserve"> </w:t>
            </w:r>
            <w:r>
              <w:rPr>
                <w:sz w:val="24"/>
              </w:rPr>
              <w:t>examine</w:t>
            </w:r>
            <w:r>
              <w:rPr>
                <w:spacing w:val="35"/>
                <w:sz w:val="24"/>
              </w:rPr>
              <w:t xml:space="preserve"> </w:t>
            </w:r>
            <w:r>
              <w:rPr>
                <w:sz w:val="24"/>
              </w:rPr>
              <w:t>year‐to‐year</w:t>
            </w:r>
            <w:r>
              <w:rPr>
                <w:spacing w:val="35"/>
                <w:sz w:val="24"/>
              </w:rPr>
              <w:t xml:space="preserve"> </w:t>
            </w:r>
            <w:r>
              <w:rPr>
                <w:sz w:val="24"/>
              </w:rPr>
              <w:t>price</w:t>
            </w:r>
            <w:r>
              <w:rPr>
                <w:spacing w:val="36"/>
                <w:sz w:val="24"/>
              </w:rPr>
              <w:t xml:space="preserve"> </w:t>
            </w:r>
            <w:r>
              <w:rPr>
                <w:sz w:val="24"/>
              </w:rPr>
              <w:t>fluctuations</w:t>
            </w:r>
            <w:r>
              <w:rPr>
                <w:spacing w:val="35"/>
                <w:sz w:val="24"/>
              </w:rPr>
              <w:t xml:space="preserve"> </w:t>
            </w:r>
            <w:r>
              <w:rPr>
                <w:sz w:val="24"/>
              </w:rPr>
              <w:t>occurring</w:t>
            </w:r>
            <w:r>
              <w:rPr>
                <w:spacing w:val="36"/>
                <w:sz w:val="24"/>
              </w:rPr>
              <w:t xml:space="preserve"> </w:t>
            </w:r>
            <w:r>
              <w:rPr>
                <w:sz w:val="24"/>
              </w:rPr>
              <w:t>during</w:t>
            </w:r>
            <w:r>
              <w:rPr>
                <w:spacing w:val="35"/>
                <w:sz w:val="24"/>
              </w:rPr>
              <w:t xml:space="preserve"> </w:t>
            </w:r>
            <w:r>
              <w:rPr>
                <w:spacing w:val="-5"/>
                <w:sz w:val="24"/>
              </w:rPr>
              <w:t>the</w:t>
            </w:r>
          </w:p>
        </w:tc>
      </w:tr>
      <w:tr w:rsidR="0010369C" w14:paraId="51DE8DB2" w14:textId="77777777">
        <w:trPr>
          <w:trHeight w:val="475"/>
        </w:trPr>
        <w:tc>
          <w:tcPr>
            <w:tcW w:w="531" w:type="dxa"/>
          </w:tcPr>
          <w:p w14:paraId="51DE8DB0" w14:textId="77777777" w:rsidR="0010369C" w:rsidRDefault="0010369C">
            <w:pPr>
              <w:pStyle w:val="TableParagraph"/>
              <w:rPr>
                <w:rFonts w:ascii="Times New Roman"/>
              </w:rPr>
            </w:pPr>
          </w:p>
        </w:tc>
        <w:tc>
          <w:tcPr>
            <w:tcW w:w="7790" w:type="dxa"/>
          </w:tcPr>
          <w:p w14:paraId="51DE8DB1" w14:textId="77777777" w:rsidR="0010369C" w:rsidRDefault="008E43AE">
            <w:pPr>
              <w:pStyle w:val="TableParagraph"/>
              <w:spacing w:before="51"/>
              <w:ind w:left="371"/>
              <w:rPr>
                <w:sz w:val="24"/>
              </w:rPr>
            </w:pPr>
            <w:r>
              <w:rPr>
                <w:sz w:val="24"/>
              </w:rPr>
              <w:t>Injury</w:t>
            </w:r>
            <w:r>
              <w:rPr>
                <w:spacing w:val="-11"/>
                <w:sz w:val="24"/>
              </w:rPr>
              <w:t xml:space="preserve"> </w:t>
            </w:r>
            <w:r>
              <w:rPr>
                <w:sz w:val="24"/>
              </w:rPr>
              <w:t>POI</w:t>
            </w:r>
            <w:r>
              <w:rPr>
                <w:spacing w:val="-11"/>
                <w:sz w:val="24"/>
              </w:rPr>
              <w:t xml:space="preserve"> </w:t>
            </w:r>
            <w:r>
              <w:rPr>
                <w:sz w:val="24"/>
              </w:rPr>
              <w:t>or</w:t>
            </w:r>
            <w:r>
              <w:rPr>
                <w:spacing w:val="-11"/>
                <w:sz w:val="24"/>
              </w:rPr>
              <w:t xml:space="preserve"> </w:t>
            </w:r>
            <w:r>
              <w:rPr>
                <w:sz w:val="24"/>
              </w:rPr>
              <w:t>explain</w:t>
            </w:r>
            <w:r>
              <w:rPr>
                <w:spacing w:val="-11"/>
                <w:sz w:val="24"/>
              </w:rPr>
              <w:t xml:space="preserve"> </w:t>
            </w:r>
            <w:r>
              <w:rPr>
                <w:sz w:val="24"/>
              </w:rPr>
              <w:t>how</w:t>
            </w:r>
            <w:r>
              <w:rPr>
                <w:spacing w:val="-11"/>
                <w:sz w:val="24"/>
              </w:rPr>
              <w:t xml:space="preserve"> </w:t>
            </w:r>
            <w:r>
              <w:rPr>
                <w:sz w:val="24"/>
              </w:rPr>
              <w:t>it</w:t>
            </w:r>
            <w:r>
              <w:rPr>
                <w:spacing w:val="-10"/>
                <w:sz w:val="24"/>
              </w:rPr>
              <w:t xml:space="preserve"> </w:t>
            </w:r>
            <w:r>
              <w:rPr>
                <w:sz w:val="24"/>
              </w:rPr>
              <w:t>took</w:t>
            </w:r>
            <w:r>
              <w:rPr>
                <w:spacing w:val="-12"/>
                <w:sz w:val="24"/>
              </w:rPr>
              <w:t xml:space="preserve"> </w:t>
            </w:r>
            <w:r>
              <w:rPr>
                <w:sz w:val="24"/>
              </w:rPr>
              <w:t>them</w:t>
            </w:r>
            <w:r>
              <w:rPr>
                <w:spacing w:val="-10"/>
                <w:sz w:val="24"/>
              </w:rPr>
              <w:t xml:space="preserve"> </w:t>
            </w:r>
            <w:r>
              <w:rPr>
                <w:sz w:val="24"/>
              </w:rPr>
              <w:t>into</w:t>
            </w:r>
            <w:r>
              <w:rPr>
                <w:spacing w:val="-10"/>
                <w:sz w:val="24"/>
              </w:rPr>
              <w:t xml:space="preserve"> </w:t>
            </w:r>
            <w:r>
              <w:rPr>
                <w:sz w:val="24"/>
              </w:rPr>
              <w:t>account</w:t>
            </w:r>
            <w:r>
              <w:rPr>
                <w:spacing w:val="-11"/>
                <w:sz w:val="24"/>
              </w:rPr>
              <w:t xml:space="preserve"> </w:t>
            </w:r>
            <w:r>
              <w:rPr>
                <w:sz w:val="24"/>
              </w:rPr>
              <w:t>in</w:t>
            </w:r>
            <w:r>
              <w:rPr>
                <w:spacing w:val="-11"/>
                <w:sz w:val="24"/>
              </w:rPr>
              <w:t xml:space="preserve"> </w:t>
            </w:r>
            <w:r>
              <w:rPr>
                <w:sz w:val="24"/>
              </w:rPr>
              <w:t>arriving</w:t>
            </w:r>
            <w:r>
              <w:rPr>
                <w:spacing w:val="-11"/>
                <w:sz w:val="24"/>
              </w:rPr>
              <w:t xml:space="preserve"> </w:t>
            </w:r>
            <w:r>
              <w:rPr>
                <w:sz w:val="24"/>
              </w:rPr>
              <w:t>at</w:t>
            </w:r>
            <w:r>
              <w:rPr>
                <w:spacing w:val="-12"/>
                <w:sz w:val="24"/>
              </w:rPr>
              <w:t xml:space="preserve"> </w:t>
            </w:r>
            <w:r>
              <w:rPr>
                <w:sz w:val="24"/>
              </w:rPr>
              <w:t>its</w:t>
            </w:r>
            <w:r>
              <w:rPr>
                <w:spacing w:val="-11"/>
                <w:sz w:val="24"/>
              </w:rPr>
              <w:t xml:space="preserve"> </w:t>
            </w:r>
            <w:r>
              <w:rPr>
                <w:spacing w:val="-2"/>
                <w:sz w:val="24"/>
              </w:rPr>
              <w:t>findings.</w:t>
            </w:r>
          </w:p>
        </w:tc>
      </w:tr>
      <w:tr w:rsidR="0010369C" w14:paraId="51DE8DB5" w14:textId="77777777">
        <w:trPr>
          <w:trHeight w:val="536"/>
        </w:trPr>
        <w:tc>
          <w:tcPr>
            <w:tcW w:w="531" w:type="dxa"/>
          </w:tcPr>
          <w:p w14:paraId="51DE8DB3" w14:textId="77777777" w:rsidR="0010369C" w:rsidRDefault="008E43AE">
            <w:pPr>
              <w:pStyle w:val="TableParagraph"/>
              <w:spacing w:before="135"/>
              <w:ind w:left="50"/>
              <w:rPr>
                <w:rFonts w:ascii="Symbol" w:hAnsi="Symbol"/>
                <w:sz w:val="24"/>
              </w:rPr>
            </w:pPr>
            <w:r>
              <w:rPr>
                <w:rFonts w:ascii="Symbol" w:hAnsi="Symbol"/>
                <w:w w:val="99"/>
                <w:sz w:val="24"/>
              </w:rPr>
              <w:t></w:t>
            </w:r>
          </w:p>
        </w:tc>
        <w:tc>
          <w:tcPr>
            <w:tcW w:w="7790" w:type="dxa"/>
          </w:tcPr>
          <w:p w14:paraId="51DE8DB4" w14:textId="77777777" w:rsidR="0010369C" w:rsidRDefault="008E43AE">
            <w:pPr>
              <w:pStyle w:val="TableParagraph"/>
              <w:spacing w:before="148"/>
              <w:ind w:left="370"/>
              <w:rPr>
                <w:sz w:val="24"/>
              </w:rPr>
            </w:pPr>
            <w:r>
              <w:rPr>
                <w:sz w:val="24"/>
              </w:rPr>
              <w:t>Finally,</w:t>
            </w:r>
            <w:r>
              <w:rPr>
                <w:spacing w:val="38"/>
                <w:sz w:val="24"/>
              </w:rPr>
              <w:t xml:space="preserve"> </w:t>
            </w:r>
            <w:r>
              <w:rPr>
                <w:sz w:val="24"/>
              </w:rPr>
              <w:t>MOFCOM</w:t>
            </w:r>
            <w:r>
              <w:rPr>
                <w:spacing w:val="39"/>
                <w:sz w:val="24"/>
              </w:rPr>
              <w:t xml:space="preserve"> </w:t>
            </w:r>
            <w:r>
              <w:rPr>
                <w:sz w:val="24"/>
              </w:rPr>
              <w:t>also</w:t>
            </w:r>
            <w:r>
              <w:rPr>
                <w:spacing w:val="39"/>
                <w:sz w:val="24"/>
              </w:rPr>
              <w:t xml:space="preserve"> </w:t>
            </w:r>
            <w:r>
              <w:rPr>
                <w:sz w:val="24"/>
              </w:rPr>
              <w:t>failed</w:t>
            </w:r>
            <w:r>
              <w:rPr>
                <w:spacing w:val="39"/>
                <w:sz w:val="24"/>
              </w:rPr>
              <w:t xml:space="preserve"> </w:t>
            </w:r>
            <w:r>
              <w:rPr>
                <w:sz w:val="24"/>
              </w:rPr>
              <w:t>to</w:t>
            </w:r>
            <w:r>
              <w:rPr>
                <w:spacing w:val="38"/>
                <w:sz w:val="24"/>
              </w:rPr>
              <w:t xml:space="preserve"> </w:t>
            </w:r>
            <w:r>
              <w:rPr>
                <w:sz w:val="24"/>
              </w:rPr>
              <w:t>make</w:t>
            </w:r>
            <w:r>
              <w:rPr>
                <w:spacing w:val="39"/>
                <w:sz w:val="24"/>
              </w:rPr>
              <w:t xml:space="preserve"> </w:t>
            </w:r>
            <w:r>
              <w:rPr>
                <w:sz w:val="24"/>
              </w:rPr>
              <w:t>any</w:t>
            </w:r>
            <w:r>
              <w:rPr>
                <w:spacing w:val="38"/>
                <w:sz w:val="24"/>
              </w:rPr>
              <w:t xml:space="preserve"> </w:t>
            </w:r>
            <w:r>
              <w:rPr>
                <w:sz w:val="24"/>
              </w:rPr>
              <w:t>finding</w:t>
            </w:r>
            <w:r>
              <w:rPr>
                <w:spacing w:val="39"/>
                <w:sz w:val="24"/>
              </w:rPr>
              <w:t xml:space="preserve"> </w:t>
            </w:r>
            <w:r>
              <w:rPr>
                <w:sz w:val="24"/>
              </w:rPr>
              <w:t>that</w:t>
            </w:r>
            <w:r>
              <w:rPr>
                <w:spacing w:val="37"/>
                <w:sz w:val="24"/>
              </w:rPr>
              <w:t xml:space="preserve"> </w:t>
            </w:r>
            <w:r>
              <w:rPr>
                <w:sz w:val="24"/>
              </w:rPr>
              <w:t>the</w:t>
            </w:r>
            <w:r>
              <w:rPr>
                <w:spacing w:val="39"/>
                <w:sz w:val="24"/>
              </w:rPr>
              <w:t xml:space="preserve"> </w:t>
            </w:r>
            <w:r>
              <w:rPr>
                <w:sz w:val="24"/>
              </w:rPr>
              <w:t>alleged</w:t>
            </w:r>
            <w:r>
              <w:rPr>
                <w:spacing w:val="37"/>
                <w:sz w:val="24"/>
              </w:rPr>
              <w:t xml:space="preserve"> </w:t>
            </w:r>
            <w:r>
              <w:rPr>
                <w:spacing w:val="-2"/>
                <w:sz w:val="24"/>
              </w:rPr>
              <w:t>price</w:t>
            </w:r>
          </w:p>
        </w:tc>
      </w:tr>
      <w:tr w:rsidR="0010369C" w14:paraId="51DE8DB8" w14:textId="77777777">
        <w:trPr>
          <w:trHeight w:val="339"/>
        </w:trPr>
        <w:tc>
          <w:tcPr>
            <w:tcW w:w="531" w:type="dxa"/>
          </w:tcPr>
          <w:p w14:paraId="51DE8DB6" w14:textId="77777777" w:rsidR="0010369C" w:rsidRDefault="0010369C">
            <w:pPr>
              <w:pStyle w:val="TableParagraph"/>
              <w:rPr>
                <w:rFonts w:ascii="Times New Roman"/>
              </w:rPr>
            </w:pPr>
          </w:p>
        </w:tc>
        <w:tc>
          <w:tcPr>
            <w:tcW w:w="7790" w:type="dxa"/>
          </w:tcPr>
          <w:p w14:paraId="51DE8DB7" w14:textId="77777777" w:rsidR="0010369C" w:rsidRDefault="008E43AE">
            <w:pPr>
              <w:pStyle w:val="TableParagraph"/>
              <w:spacing w:before="51" w:line="269" w:lineRule="exact"/>
              <w:ind w:left="370"/>
              <w:rPr>
                <w:sz w:val="24"/>
              </w:rPr>
            </w:pPr>
            <w:r>
              <w:rPr>
                <w:sz w:val="24"/>
              </w:rPr>
              <w:t>suppression</w:t>
            </w:r>
            <w:r>
              <w:rPr>
                <w:spacing w:val="-8"/>
                <w:sz w:val="24"/>
              </w:rPr>
              <w:t xml:space="preserve"> </w:t>
            </w:r>
            <w:r>
              <w:rPr>
                <w:sz w:val="24"/>
              </w:rPr>
              <w:t>was</w:t>
            </w:r>
            <w:r>
              <w:rPr>
                <w:spacing w:val="-8"/>
                <w:sz w:val="24"/>
              </w:rPr>
              <w:t xml:space="preserve"> </w:t>
            </w:r>
            <w:r>
              <w:rPr>
                <w:sz w:val="24"/>
              </w:rPr>
              <w:t>"significant"</w:t>
            </w:r>
            <w:r>
              <w:rPr>
                <w:spacing w:val="-8"/>
                <w:sz w:val="24"/>
              </w:rPr>
              <w:t xml:space="preserve"> </w:t>
            </w:r>
            <w:r>
              <w:rPr>
                <w:sz w:val="24"/>
              </w:rPr>
              <w:t>within</w:t>
            </w:r>
            <w:r>
              <w:rPr>
                <w:spacing w:val="-8"/>
                <w:sz w:val="24"/>
              </w:rPr>
              <w:t xml:space="preserve"> </w:t>
            </w:r>
            <w:r>
              <w:rPr>
                <w:sz w:val="24"/>
              </w:rPr>
              <w:t>the</w:t>
            </w:r>
            <w:r>
              <w:rPr>
                <w:spacing w:val="-7"/>
                <w:sz w:val="24"/>
              </w:rPr>
              <w:t xml:space="preserve"> </w:t>
            </w:r>
            <w:r>
              <w:rPr>
                <w:sz w:val="24"/>
              </w:rPr>
              <w:t>meaning</w:t>
            </w:r>
            <w:r>
              <w:rPr>
                <w:spacing w:val="-8"/>
                <w:sz w:val="24"/>
              </w:rPr>
              <w:t xml:space="preserve"> </w:t>
            </w:r>
            <w:r>
              <w:rPr>
                <w:sz w:val="24"/>
              </w:rPr>
              <w:t>of</w:t>
            </w:r>
            <w:r>
              <w:rPr>
                <w:spacing w:val="-8"/>
                <w:sz w:val="24"/>
              </w:rPr>
              <w:t xml:space="preserve"> </w:t>
            </w:r>
            <w:r>
              <w:rPr>
                <w:sz w:val="24"/>
              </w:rPr>
              <w:t>Article</w:t>
            </w:r>
            <w:r>
              <w:rPr>
                <w:spacing w:val="-8"/>
                <w:sz w:val="24"/>
              </w:rPr>
              <w:t xml:space="preserve"> </w:t>
            </w:r>
            <w:r>
              <w:rPr>
                <w:spacing w:val="-4"/>
                <w:sz w:val="24"/>
              </w:rPr>
              <w:t>3.2.</w:t>
            </w:r>
          </w:p>
        </w:tc>
      </w:tr>
    </w:tbl>
    <w:p w14:paraId="51DE8DB9" w14:textId="77777777" w:rsidR="0010369C" w:rsidRDefault="0010369C">
      <w:pPr>
        <w:pStyle w:val="BodyText"/>
        <w:rPr>
          <w:sz w:val="20"/>
        </w:rPr>
      </w:pPr>
    </w:p>
    <w:p w14:paraId="51DE8DBA" w14:textId="77777777" w:rsidR="0010369C" w:rsidRDefault="0010369C">
      <w:pPr>
        <w:pStyle w:val="BodyText"/>
        <w:rPr>
          <w:sz w:val="20"/>
        </w:rPr>
      </w:pPr>
    </w:p>
    <w:p w14:paraId="51DE8DBB" w14:textId="77777777" w:rsidR="0010369C" w:rsidRDefault="0010369C">
      <w:pPr>
        <w:pStyle w:val="BodyText"/>
        <w:rPr>
          <w:sz w:val="20"/>
        </w:rPr>
      </w:pPr>
    </w:p>
    <w:p w14:paraId="51DE8DBC" w14:textId="77777777" w:rsidR="0010369C" w:rsidRDefault="0010369C">
      <w:pPr>
        <w:pStyle w:val="BodyText"/>
        <w:rPr>
          <w:sz w:val="20"/>
        </w:rPr>
      </w:pPr>
    </w:p>
    <w:p w14:paraId="51DE8DBD" w14:textId="77777777" w:rsidR="0010369C" w:rsidRDefault="0010369C">
      <w:pPr>
        <w:pStyle w:val="BodyText"/>
        <w:rPr>
          <w:sz w:val="20"/>
        </w:rPr>
      </w:pPr>
    </w:p>
    <w:p w14:paraId="51DE8DBE" w14:textId="77777777" w:rsidR="0010369C" w:rsidRDefault="008E43AE">
      <w:pPr>
        <w:pStyle w:val="BodyText"/>
        <w:spacing w:before="5"/>
        <w:rPr>
          <w:sz w:val="29"/>
        </w:rPr>
      </w:pPr>
      <w:r>
        <w:pict w14:anchorId="51DEA44D">
          <v:rect id="docshape1015" o:spid="_x0000_s1354" style="position:absolute;margin-left:70.9pt;margin-top:19.15pt;width:2in;height:.8pt;z-index:-250842624;mso-wrap-distance-left:0;mso-wrap-distance-right:0;mso-position-horizontal-relative:page" fillcolor="black" stroked="f">
            <w10:wrap type="topAndBottom" anchorx="page"/>
          </v:rect>
        </w:pict>
      </w:r>
    </w:p>
    <w:p w14:paraId="51DE8DBF" w14:textId="77777777" w:rsidR="0010369C" w:rsidRDefault="008E43AE">
      <w:pPr>
        <w:spacing w:before="109"/>
        <w:ind w:left="237" w:right="611"/>
        <w:rPr>
          <w:sz w:val="18"/>
        </w:rPr>
      </w:pPr>
      <w:r>
        <w:rPr>
          <w:sz w:val="18"/>
          <w:vertAlign w:val="superscript"/>
        </w:rPr>
        <w:t>615</w:t>
      </w:r>
      <w:r>
        <w:rPr>
          <w:sz w:val="18"/>
        </w:rPr>
        <w:t xml:space="preserve"> MOFCOM failed to adequately explain the methodologies that it used and failed to disclose the sets of underlying data that it relied upon for calculating the average unit prices for subject imports and for domestic like products.</w:t>
      </w:r>
    </w:p>
    <w:p w14:paraId="51DE8DC0" w14:textId="77777777" w:rsidR="0010369C" w:rsidRDefault="0010369C">
      <w:pPr>
        <w:rPr>
          <w:sz w:val="18"/>
        </w:rPr>
        <w:sectPr w:rsidR="0010369C">
          <w:pgSz w:w="11910" w:h="16840"/>
          <w:pgMar w:top="880" w:right="800" w:bottom="980" w:left="1180" w:header="569" w:footer="788" w:gutter="0"/>
          <w:cols w:space="720"/>
        </w:sectPr>
      </w:pPr>
    </w:p>
    <w:p w14:paraId="51DE8DC1" w14:textId="77777777" w:rsidR="0010369C" w:rsidRDefault="008E43AE">
      <w:pPr>
        <w:tabs>
          <w:tab w:val="left" w:pos="6426"/>
        </w:tabs>
        <w:ind w:left="238"/>
        <w:rPr>
          <w:sz w:val="20"/>
        </w:rPr>
      </w:pPr>
      <w:r>
        <w:rPr>
          <w:i/>
          <w:sz w:val="20"/>
        </w:rPr>
        <w:lastRenderedPageBreak/>
        <w:t>China</w:t>
      </w:r>
      <w:r>
        <w:rPr>
          <w:i/>
          <w:spacing w:val="-5"/>
          <w:sz w:val="20"/>
        </w:rPr>
        <w:t xml:space="preserve"> </w:t>
      </w:r>
      <w:r>
        <w:rPr>
          <w:i/>
          <w:sz w:val="20"/>
        </w:rPr>
        <w:t>–</w:t>
      </w:r>
      <w:r>
        <w:rPr>
          <w:i/>
          <w:spacing w:val="-5"/>
          <w:sz w:val="20"/>
        </w:rPr>
        <w:t xml:space="preserve"> </w:t>
      </w:r>
      <w:r>
        <w:rPr>
          <w:i/>
          <w:sz w:val="20"/>
        </w:rPr>
        <w:t>Anti‐Dumping</w:t>
      </w:r>
      <w:r>
        <w:rPr>
          <w:i/>
          <w:spacing w:val="-4"/>
          <w:sz w:val="20"/>
        </w:rPr>
        <w:t xml:space="preserve"> </w:t>
      </w:r>
      <w:r>
        <w:rPr>
          <w:i/>
          <w:sz w:val="20"/>
        </w:rPr>
        <w:t>and</w:t>
      </w:r>
      <w:r>
        <w:rPr>
          <w:i/>
          <w:spacing w:val="-5"/>
          <w:sz w:val="20"/>
        </w:rPr>
        <w:t xml:space="preserve"> </w:t>
      </w:r>
      <w:r>
        <w:rPr>
          <w:i/>
          <w:sz w:val="20"/>
        </w:rPr>
        <w:t>Countervailing</w:t>
      </w:r>
      <w:r>
        <w:rPr>
          <w:i/>
          <w:spacing w:val="-5"/>
          <w:sz w:val="20"/>
        </w:rPr>
        <w:t xml:space="preserve"> </w:t>
      </w:r>
      <w:r>
        <w:rPr>
          <w:i/>
          <w:sz w:val="20"/>
        </w:rPr>
        <w:t>Duty</w:t>
      </w:r>
      <w:r>
        <w:rPr>
          <w:i/>
          <w:spacing w:val="-4"/>
          <w:sz w:val="20"/>
        </w:rPr>
        <w:t xml:space="preserve"> </w:t>
      </w:r>
      <w:r>
        <w:rPr>
          <w:i/>
          <w:spacing w:val="-2"/>
          <w:sz w:val="20"/>
        </w:rPr>
        <w:t>Measures</w:t>
      </w:r>
      <w:r>
        <w:rPr>
          <w:i/>
          <w:sz w:val="20"/>
        </w:rPr>
        <w:tab/>
      </w:r>
      <w:r>
        <w:rPr>
          <w:sz w:val="20"/>
        </w:rPr>
        <w:t>Australia's</w:t>
      </w:r>
      <w:r>
        <w:rPr>
          <w:spacing w:val="-7"/>
          <w:sz w:val="20"/>
        </w:rPr>
        <w:t xml:space="preserve"> </w:t>
      </w:r>
      <w:r>
        <w:rPr>
          <w:sz w:val="20"/>
        </w:rPr>
        <w:t>First</w:t>
      </w:r>
      <w:r>
        <w:rPr>
          <w:spacing w:val="-2"/>
          <w:sz w:val="20"/>
        </w:rPr>
        <w:t xml:space="preserve"> </w:t>
      </w:r>
      <w:r>
        <w:rPr>
          <w:sz w:val="20"/>
        </w:rPr>
        <w:t>Written</w:t>
      </w:r>
      <w:r>
        <w:rPr>
          <w:spacing w:val="-2"/>
          <w:sz w:val="20"/>
        </w:rPr>
        <w:t xml:space="preserve"> Submission</w:t>
      </w:r>
    </w:p>
    <w:p w14:paraId="51DE8DC2" w14:textId="77777777" w:rsidR="0010369C" w:rsidRDefault="008E43AE">
      <w:pPr>
        <w:tabs>
          <w:tab w:val="left" w:pos="8228"/>
        </w:tabs>
        <w:spacing w:before="1"/>
        <w:ind w:left="239"/>
        <w:rPr>
          <w:sz w:val="20"/>
        </w:rPr>
      </w:pPr>
      <w:r>
        <w:rPr>
          <w:i/>
          <w:sz w:val="20"/>
        </w:rPr>
        <w:t>on</w:t>
      </w:r>
      <w:r>
        <w:rPr>
          <w:i/>
          <w:spacing w:val="-1"/>
          <w:sz w:val="20"/>
        </w:rPr>
        <w:t xml:space="preserve"> </w:t>
      </w:r>
      <w:r>
        <w:rPr>
          <w:i/>
          <w:sz w:val="20"/>
        </w:rPr>
        <w:t>Wine</w:t>
      </w:r>
      <w:r>
        <w:rPr>
          <w:i/>
          <w:spacing w:val="-1"/>
          <w:sz w:val="20"/>
        </w:rPr>
        <w:t xml:space="preserve"> </w:t>
      </w:r>
      <w:r>
        <w:rPr>
          <w:i/>
          <w:sz w:val="20"/>
        </w:rPr>
        <w:t>from</w:t>
      </w:r>
      <w:r>
        <w:rPr>
          <w:i/>
          <w:spacing w:val="-3"/>
          <w:sz w:val="20"/>
        </w:rPr>
        <w:t xml:space="preserve"> </w:t>
      </w:r>
      <w:r>
        <w:rPr>
          <w:i/>
          <w:sz w:val="20"/>
        </w:rPr>
        <w:t>Australia</w:t>
      </w:r>
      <w:r>
        <w:rPr>
          <w:i/>
          <w:spacing w:val="-1"/>
          <w:sz w:val="20"/>
        </w:rPr>
        <w:t xml:space="preserve"> </w:t>
      </w:r>
      <w:r>
        <w:rPr>
          <w:spacing w:val="-2"/>
          <w:sz w:val="20"/>
        </w:rPr>
        <w:t>(DS602)</w:t>
      </w:r>
      <w:r>
        <w:rPr>
          <w:sz w:val="20"/>
        </w:rPr>
        <w:tab/>
        <w:t>29</w:t>
      </w:r>
      <w:r>
        <w:rPr>
          <w:spacing w:val="-1"/>
          <w:sz w:val="20"/>
        </w:rPr>
        <w:t xml:space="preserve"> </w:t>
      </w:r>
      <w:r>
        <w:rPr>
          <w:sz w:val="20"/>
        </w:rPr>
        <w:t>April</w:t>
      </w:r>
      <w:r>
        <w:rPr>
          <w:spacing w:val="-2"/>
          <w:sz w:val="20"/>
        </w:rPr>
        <w:t xml:space="preserve"> </w:t>
      </w:r>
      <w:r>
        <w:rPr>
          <w:spacing w:val="-4"/>
          <w:sz w:val="20"/>
        </w:rPr>
        <w:t>2022</w:t>
      </w:r>
    </w:p>
    <w:p w14:paraId="51DE8DC3" w14:textId="77777777" w:rsidR="0010369C" w:rsidRDefault="008E43AE">
      <w:pPr>
        <w:pStyle w:val="Heading4"/>
        <w:numPr>
          <w:ilvl w:val="1"/>
          <w:numId w:val="60"/>
        </w:numPr>
        <w:tabs>
          <w:tab w:val="left" w:pos="2649"/>
          <w:tab w:val="left" w:pos="2650"/>
        </w:tabs>
        <w:spacing w:before="34" w:line="360" w:lineRule="auto"/>
        <w:ind w:left="2648" w:right="616"/>
      </w:pPr>
      <w:r>
        <w:t>The examination of price suppression required under Articles 3.1 and 3.2 of the Anti‐Dumping Agreement</w:t>
      </w:r>
    </w:p>
    <w:p w14:paraId="51DE8DC4" w14:textId="77777777" w:rsidR="0010369C" w:rsidRDefault="0010369C">
      <w:pPr>
        <w:pStyle w:val="BodyText"/>
        <w:spacing w:before="10"/>
        <w:rPr>
          <w:b/>
          <w:sz w:val="8"/>
        </w:rPr>
      </w:pPr>
    </w:p>
    <w:p w14:paraId="51DE8DC5" w14:textId="77777777" w:rsidR="0010369C" w:rsidRDefault="008E43AE">
      <w:pPr>
        <w:pStyle w:val="BodyText"/>
        <w:spacing w:before="52" w:line="360" w:lineRule="auto"/>
        <w:ind w:left="237" w:right="613" w:firstLine="851"/>
        <w:jc w:val="both"/>
      </w:pPr>
      <w:r>
        <w:rPr>
          <w:noProof/>
        </w:rPr>
        <w:drawing>
          <wp:anchor distT="0" distB="0" distL="0" distR="0" simplePos="0" relativeHeight="251187712" behindDoc="1" locked="0" layoutInCell="1" allowOverlap="1" wp14:anchorId="51DEA44E" wp14:editId="51DEA44F">
            <wp:simplePos x="0" y="0"/>
            <wp:positionH relativeFrom="page">
              <wp:posOffset>902208</wp:posOffset>
            </wp:positionH>
            <wp:positionV relativeFrom="paragraph">
              <wp:posOffset>82711</wp:posOffset>
            </wp:positionV>
            <wp:extent cx="262127" cy="100753"/>
            <wp:effectExtent l="0" t="0" r="0" b="0"/>
            <wp:wrapNone/>
            <wp:docPr id="1101" name="image5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 name="image562.png"/>
                    <pic:cNvPicPr/>
                  </pic:nvPicPr>
                  <pic:blipFill>
                    <a:blip r:embed="rId735" cstate="print"/>
                    <a:stretch>
                      <a:fillRect/>
                    </a:stretch>
                  </pic:blipFill>
                  <pic:spPr>
                    <a:xfrm>
                      <a:off x="0" y="0"/>
                      <a:ext cx="262127" cy="100753"/>
                    </a:xfrm>
                    <a:prstGeom prst="rect">
                      <a:avLst/>
                    </a:prstGeom>
                  </pic:spPr>
                </pic:pic>
              </a:graphicData>
            </a:graphic>
          </wp:anchor>
        </w:drawing>
      </w:r>
      <w:r>
        <w:t>The Appellate Body has</w:t>
      </w:r>
      <w:r>
        <w:t xml:space="preserve"> explained that, with regard to price suppression, Article 3.2 of</w:t>
      </w:r>
      <w:r>
        <w:rPr>
          <w:spacing w:val="-14"/>
        </w:rPr>
        <w:t xml:space="preserve"> </w:t>
      </w:r>
      <w:r>
        <w:t>the</w:t>
      </w:r>
      <w:r>
        <w:rPr>
          <w:spacing w:val="-14"/>
        </w:rPr>
        <w:t xml:space="preserve"> </w:t>
      </w:r>
      <w:r>
        <w:t>Anti‐Dumping</w:t>
      </w:r>
      <w:r>
        <w:rPr>
          <w:spacing w:val="-13"/>
        </w:rPr>
        <w:t xml:space="preserve"> </w:t>
      </w:r>
      <w:r>
        <w:t>Agreement</w:t>
      </w:r>
      <w:r>
        <w:rPr>
          <w:spacing w:val="-14"/>
        </w:rPr>
        <w:t xml:space="preserve"> </w:t>
      </w:r>
      <w:r>
        <w:t>requires</w:t>
      </w:r>
      <w:r>
        <w:rPr>
          <w:spacing w:val="-13"/>
        </w:rPr>
        <w:t xml:space="preserve"> </w:t>
      </w:r>
      <w:r>
        <w:t>"the</w:t>
      </w:r>
      <w:r>
        <w:rPr>
          <w:spacing w:val="-14"/>
        </w:rPr>
        <w:t xml:space="preserve"> </w:t>
      </w:r>
      <w:r>
        <w:t>investigating</w:t>
      </w:r>
      <w:r>
        <w:rPr>
          <w:spacing w:val="-13"/>
        </w:rPr>
        <w:t xml:space="preserve"> </w:t>
      </w:r>
      <w:r>
        <w:t>authority</w:t>
      </w:r>
      <w:r>
        <w:rPr>
          <w:spacing w:val="-14"/>
        </w:rPr>
        <w:t xml:space="preserve"> </w:t>
      </w:r>
      <w:r>
        <w:t>to</w:t>
      </w:r>
      <w:r>
        <w:rPr>
          <w:spacing w:val="-14"/>
        </w:rPr>
        <w:t xml:space="preserve"> </w:t>
      </w:r>
      <w:r>
        <w:t>consider</w:t>
      </w:r>
      <w:r>
        <w:rPr>
          <w:spacing w:val="-13"/>
        </w:rPr>
        <w:t xml:space="preserve"> </w:t>
      </w:r>
      <w:r>
        <w:t>'whether</w:t>
      </w:r>
      <w:r>
        <w:rPr>
          <w:spacing w:val="-14"/>
        </w:rPr>
        <w:t xml:space="preserve"> </w:t>
      </w:r>
      <w:r>
        <w:t xml:space="preserve">the effect of' subject imports is '[to] prevent price increases, </w:t>
      </w:r>
      <w:r>
        <w:rPr>
          <w:i/>
        </w:rPr>
        <w:t>which would otherwise have occurred</w:t>
      </w:r>
      <w:r>
        <w:t>,</w:t>
      </w:r>
      <w:r>
        <w:rPr>
          <w:spacing w:val="-9"/>
        </w:rPr>
        <w:t xml:space="preserve"> </w:t>
      </w:r>
      <w:r>
        <w:t>to</w:t>
      </w:r>
      <w:r>
        <w:rPr>
          <w:spacing w:val="-9"/>
        </w:rPr>
        <w:t xml:space="preserve"> </w:t>
      </w:r>
      <w:r>
        <w:t>a</w:t>
      </w:r>
      <w:r>
        <w:rPr>
          <w:spacing w:val="-9"/>
        </w:rPr>
        <w:t xml:space="preserve"> </w:t>
      </w:r>
      <w:r>
        <w:t>significant</w:t>
      </w:r>
      <w:r>
        <w:rPr>
          <w:spacing w:val="-9"/>
        </w:rPr>
        <w:t xml:space="preserve"> </w:t>
      </w:r>
      <w:r>
        <w:t>degree'".</w:t>
      </w:r>
      <w:r>
        <w:rPr>
          <w:vertAlign w:val="superscript"/>
        </w:rPr>
        <w:t>616</w:t>
      </w:r>
      <w:r>
        <w:rPr>
          <w:spacing w:val="-9"/>
        </w:rPr>
        <w:t xml:space="preserve"> </w:t>
      </w:r>
      <w:r>
        <w:t>Based</w:t>
      </w:r>
      <w:r>
        <w:rPr>
          <w:spacing w:val="-9"/>
        </w:rPr>
        <w:t xml:space="preserve"> </w:t>
      </w:r>
      <w:r>
        <w:t>on</w:t>
      </w:r>
      <w:r>
        <w:rPr>
          <w:spacing w:val="-9"/>
        </w:rPr>
        <w:t xml:space="preserve"> </w:t>
      </w:r>
      <w:r>
        <w:t>the</w:t>
      </w:r>
      <w:r>
        <w:rPr>
          <w:spacing w:val="-8"/>
        </w:rPr>
        <w:t xml:space="preserve"> </w:t>
      </w:r>
      <w:r>
        <w:t>terms</w:t>
      </w:r>
      <w:r>
        <w:rPr>
          <w:spacing w:val="-9"/>
        </w:rPr>
        <w:t xml:space="preserve"> </w:t>
      </w:r>
      <w:r>
        <w:t>of</w:t>
      </w:r>
      <w:r>
        <w:rPr>
          <w:spacing w:val="-9"/>
        </w:rPr>
        <w:t xml:space="preserve"> </w:t>
      </w:r>
      <w:r>
        <w:t>this</w:t>
      </w:r>
      <w:r>
        <w:rPr>
          <w:spacing w:val="-10"/>
        </w:rPr>
        <w:t xml:space="preserve"> </w:t>
      </w:r>
      <w:r>
        <w:t>provision,</w:t>
      </w:r>
      <w:r>
        <w:rPr>
          <w:spacing w:val="-7"/>
        </w:rPr>
        <w:t xml:space="preserve"> </w:t>
      </w:r>
      <w:r>
        <w:t>The</w:t>
      </w:r>
      <w:r>
        <w:rPr>
          <w:spacing w:val="-8"/>
        </w:rPr>
        <w:t xml:space="preserve"> </w:t>
      </w:r>
      <w:r>
        <w:t>Appellate</w:t>
      </w:r>
      <w:r>
        <w:rPr>
          <w:spacing w:val="-8"/>
        </w:rPr>
        <w:t xml:space="preserve"> </w:t>
      </w:r>
      <w:r>
        <w:t>Body has</w:t>
      </w:r>
      <w:r>
        <w:rPr>
          <w:spacing w:val="-5"/>
        </w:rPr>
        <w:t xml:space="preserve"> </w:t>
      </w:r>
      <w:r>
        <w:t>considered</w:t>
      </w:r>
      <w:r>
        <w:rPr>
          <w:spacing w:val="-6"/>
        </w:rPr>
        <w:t xml:space="preserve"> </w:t>
      </w:r>
      <w:r>
        <w:t>that</w:t>
      </w:r>
      <w:r>
        <w:rPr>
          <w:spacing w:val="-5"/>
        </w:rPr>
        <w:t xml:space="preserve"> </w:t>
      </w:r>
      <w:r>
        <w:t>"price</w:t>
      </w:r>
      <w:r>
        <w:rPr>
          <w:spacing w:val="-4"/>
        </w:rPr>
        <w:t xml:space="preserve"> </w:t>
      </w:r>
      <w:r>
        <w:t>suppression</w:t>
      </w:r>
      <w:r>
        <w:rPr>
          <w:spacing w:val="-4"/>
        </w:rPr>
        <w:t xml:space="preserve"> </w:t>
      </w:r>
      <w:r>
        <w:t>cannot</w:t>
      </w:r>
      <w:r>
        <w:rPr>
          <w:spacing w:val="-5"/>
        </w:rPr>
        <w:t xml:space="preserve"> </w:t>
      </w:r>
      <w:r>
        <w:t>be</w:t>
      </w:r>
      <w:r>
        <w:rPr>
          <w:spacing w:val="-6"/>
        </w:rPr>
        <w:t xml:space="preserve"> </w:t>
      </w:r>
      <w:r>
        <w:t>properly</w:t>
      </w:r>
      <w:r>
        <w:rPr>
          <w:spacing w:val="-5"/>
        </w:rPr>
        <w:t xml:space="preserve"> </w:t>
      </w:r>
      <w:r>
        <w:t>examined</w:t>
      </w:r>
      <w:r>
        <w:rPr>
          <w:spacing w:val="-6"/>
        </w:rPr>
        <w:t xml:space="preserve"> </w:t>
      </w:r>
      <w:r>
        <w:t>without</w:t>
      </w:r>
      <w:r>
        <w:rPr>
          <w:spacing w:val="-5"/>
        </w:rPr>
        <w:t xml:space="preserve"> </w:t>
      </w:r>
      <w:r>
        <w:t>a</w:t>
      </w:r>
      <w:r>
        <w:rPr>
          <w:spacing w:val="-5"/>
        </w:rPr>
        <w:t xml:space="preserve"> </w:t>
      </w:r>
      <w:r>
        <w:t>consideration of</w:t>
      </w:r>
      <w:r>
        <w:rPr>
          <w:spacing w:val="-4"/>
        </w:rPr>
        <w:t xml:space="preserve"> </w:t>
      </w:r>
      <w:r>
        <w:t>whether,</w:t>
      </w:r>
      <w:r>
        <w:rPr>
          <w:spacing w:val="-6"/>
        </w:rPr>
        <w:t xml:space="preserve"> </w:t>
      </w:r>
      <w:r>
        <w:t>in</w:t>
      </w:r>
      <w:r>
        <w:rPr>
          <w:spacing w:val="-4"/>
        </w:rPr>
        <w:t xml:space="preserve"> </w:t>
      </w:r>
      <w:r>
        <w:t>the</w:t>
      </w:r>
      <w:r>
        <w:rPr>
          <w:spacing w:val="-3"/>
        </w:rPr>
        <w:t xml:space="preserve"> </w:t>
      </w:r>
      <w:r>
        <w:t>absence</w:t>
      </w:r>
      <w:r>
        <w:rPr>
          <w:spacing w:val="-3"/>
        </w:rPr>
        <w:t xml:space="preserve"> </w:t>
      </w:r>
      <w:r>
        <w:t>of</w:t>
      </w:r>
      <w:r>
        <w:rPr>
          <w:spacing w:val="-4"/>
        </w:rPr>
        <w:t xml:space="preserve"> </w:t>
      </w:r>
      <w:r>
        <w:t>subject</w:t>
      </w:r>
      <w:r>
        <w:rPr>
          <w:spacing w:val="-4"/>
        </w:rPr>
        <w:t xml:space="preserve"> </w:t>
      </w:r>
      <w:r>
        <w:t>imports,</w:t>
      </w:r>
      <w:r>
        <w:rPr>
          <w:spacing w:val="-3"/>
        </w:rPr>
        <w:t xml:space="preserve"> </w:t>
      </w:r>
      <w:r>
        <w:t>prices</w:t>
      </w:r>
      <w:r>
        <w:rPr>
          <w:spacing w:val="-4"/>
        </w:rPr>
        <w:t xml:space="preserve"> </w:t>
      </w:r>
      <w:r>
        <w:t>'otherwise</w:t>
      </w:r>
      <w:r>
        <w:rPr>
          <w:spacing w:val="-4"/>
        </w:rPr>
        <w:t xml:space="preserve"> </w:t>
      </w:r>
      <w:r>
        <w:t>would</w:t>
      </w:r>
      <w:r>
        <w:rPr>
          <w:spacing w:val="-4"/>
        </w:rPr>
        <w:t xml:space="preserve"> </w:t>
      </w:r>
      <w:r>
        <w:t>have'</w:t>
      </w:r>
      <w:r>
        <w:rPr>
          <w:spacing w:val="-4"/>
        </w:rPr>
        <w:t xml:space="preserve"> </w:t>
      </w:r>
      <w:r>
        <w:t>increased".</w:t>
      </w:r>
      <w:r>
        <w:rPr>
          <w:vertAlign w:val="superscript"/>
        </w:rPr>
        <w:t>617</w:t>
      </w:r>
      <w:r>
        <w:rPr>
          <w:spacing w:val="-4"/>
        </w:rPr>
        <w:t xml:space="preserve"> </w:t>
      </w:r>
      <w:r>
        <w:t>In this regard, the Appellate Body has explained that "[w]ere an investigating authority to rely on</w:t>
      </w:r>
      <w:r>
        <w:rPr>
          <w:spacing w:val="-14"/>
        </w:rPr>
        <w:t xml:space="preserve"> </w:t>
      </w:r>
      <w:r>
        <w:t>a</w:t>
      </w:r>
      <w:r>
        <w:rPr>
          <w:spacing w:val="-14"/>
        </w:rPr>
        <w:t xml:space="preserve"> </w:t>
      </w:r>
      <w:r>
        <w:t>methodology</w:t>
      </w:r>
      <w:r>
        <w:rPr>
          <w:spacing w:val="-13"/>
        </w:rPr>
        <w:t xml:space="preserve"> </w:t>
      </w:r>
      <w:r>
        <w:t>that</w:t>
      </w:r>
      <w:r>
        <w:rPr>
          <w:spacing w:val="-14"/>
        </w:rPr>
        <w:t xml:space="preserve"> </w:t>
      </w:r>
      <w:r>
        <w:t>concerned</w:t>
      </w:r>
      <w:r>
        <w:rPr>
          <w:spacing w:val="-13"/>
        </w:rPr>
        <w:t xml:space="preserve"> </w:t>
      </w:r>
      <w:r>
        <w:t>price</w:t>
      </w:r>
      <w:r>
        <w:rPr>
          <w:spacing w:val="-14"/>
        </w:rPr>
        <w:t xml:space="preserve"> </w:t>
      </w:r>
      <w:r>
        <w:t>increases</w:t>
      </w:r>
      <w:r>
        <w:rPr>
          <w:spacing w:val="-13"/>
        </w:rPr>
        <w:t xml:space="preserve"> </w:t>
      </w:r>
      <w:r>
        <w:t>that</w:t>
      </w:r>
      <w:r>
        <w:rPr>
          <w:spacing w:val="-14"/>
        </w:rPr>
        <w:t xml:space="preserve"> </w:t>
      </w:r>
      <w:r>
        <w:t>would</w:t>
      </w:r>
      <w:r>
        <w:rPr>
          <w:spacing w:val="-14"/>
        </w:rPr>
        <w:t xml:space="preserve"> </w:t>
      </w:r>
      <w:r>
        <w:rPr>
          <w:i/>
        </w:rPr>
        <w:t>not</w:t>
      </w:r>
      <w:r>
        <w:rPr>
          <w:i/>
          <w:spacing w:val="-13"/>
        </w:rPr>
        <w:t xml:space="preserve"> </w:t>
      </w:r>
      <w:r>
        <w:t>have</w:t>
      </w:r>
      <w:r>
        <w:rPr>
          <w:spacing w:val="-14"/>
        </w:rPr>
        <w:t xml:space="preserve"> </w:t>
      </w:r>
      <w:r>
        <w:t>occurred</w:t>
      </w:r>
      <w:r>
        <w:rPr>
          <w:spacing w:val="-13"/>
        </w:rPr>
        <w:t xml:space="preserve"> </w:t>
      </w:r>
      <w:r>
        <w:t>in</w:t>
      </w:r>
      <w:r>
        <w:rPr>
          <w:spacing w:val="-14"/>
        </w:rPr>
        <w:t xml:space="preserve"> </w:t>
      </w:r>
      <w:r>
        <w:t>the</w:t>
      </w:r>
      <w:r>
        <w:rPr>
          <w:spacing w:val="-13"/>
        </w:rPr>
        <w:t xml:space="preserve"> </w:t>
      </w:r>
      <w:r>
        <w:t>absence of dumped imports, it would not be able to consider objectively, pu</w:t>
      </w:r>
      <w:r>
        <w:t>rsuant to Article 3.2, whether the effect of dumped imports was to suppress significantly domestic prices".</w:t>
      </w:r>
      <w:r>
        <w:rPr>
          <w:vertAlign w:val="superscript"/>
        </w:rPr>
        <w:t>618</w:t>
      </w:r>
    </w:p>
    <w:p w14:paraId="51DE8DC6" w14:textId="77777777" w:rsidR="0010369C" w:rsidRDefault="0010369C">
      <w:pPr>
        <w:pStyle w:val="BodyText"/>
        <w:spacing w:before="11"/>
        <w:rPr>
          <w:sz w:val="8"/>
        </w:rPr>
      </w:pPr>
    </w:p>
    <w:p w14:paraId="51DE8DC7" w14:textId="77777777" w:rsidR="0010369C" w:rsidRDefault="008E43AE">
      <w:pPr>
        <w:pStyle w:val="BodyText"/>
        <w:spacing w:before="52" w:line="360" w:lineRule="auto"/>
        <w:ind w:left="237" w:right="610" w:firstLine="851"/>
        <w:jc w:val="both"/>
      </w:pPr>
      <w:r>
        <w:rPr>
          <w:noProof/>
        </w:rPr>
        <w:drawing>
          <wp:anchor distT="0" distB="0" distL="0" distR="0" simplePos="0" relativeHeight="251188736" behindDoc="1" locked="0" layoutInCell="1" allowOverlap="1" wp14:anchorId="51DEA450" wp14:editId="51DEA451">
            <wp:simplePos x="0" y="0"/>
            <wp:positionH relativeFrom="page">
              <wp:posOffset>902208</wp:posOffset>
            </wp:positionH>
            <wp:positionV relativeFrom="paragraph">
              <wp:posOffset>82711</wp:posOffset>
            </wp:positionV>
            <wp:extent cx="262127" cy="100753"/>
            <wp:effectExtent l="0" t="0" r="0" b="0"/>
            <wp:wrapNone/>
            <wp:docPr id="1103" name="image5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 name="image563.png"/>
                    <pic:cNvPicPr/>
                  </pic:nvPicPr>
                  <pic:blipFill>
                    <a:blip r:embed="rId736" cstate="print"/>
                    <a:stretch>
                      <a:fillRect/>
                    </a:stretch>
                  </pic:blipFill>
                  <pic:spPr>
                    <a:xfrm>
                      <a:off x="0" y="0"/>
                      <a:ext cx="262127" cy="100753"/>
                    </a:xfrm>
                    <a:prstGeom prst="rect">
                      <a:avLst/>
                    </a:prstGeom>
                  </pic:spPr>
                </pic:pic>
              </a:graphicData>
            </a:graphic>
          </wp:anchor>
        </w:drawing>
      </w:r>
      <w:r>
        <w:t>In</w:t>
      </w:r>
      <w:r>
        <w:rPr>
          <w:spacing w:val="-6"/>
        </w:rPr>
        <w:t xml:space="preserve"> </w:t>
      </w:r>
      <w:r>
        <w:t>addition,</w:t>
      </w:r>
      <w:r>
        <w:rPr>
          <w:spacing w:val="-6"/>
        </w:rPr>
        <w:t xml:space="preserve"> </w:t>
      </w:r>
      <w:r>
        <w:t>the</w:t>
      </w:r>
      <w:r>
        <w:rPr>
          <w:spacing w:val="-5"/>
        </w:rPr>
        <w:t xml:space="preserve"> </w:t>
      </w:r>
      <w:r>
        <w:t>Appellate</w:t>
      </w:r>
      <w:r>
        <w:rPr>
          <w:spacing w:val="-5"/>
        </w:rPr>
        <w:t xml:space="preserve"> </w:t>
      </w:r>
      <w:r>
        <w:t>Body</w:t>
      </w:r>
      <w:r>
        <w:rPr>
          <w:spacing w:val="-6"/>
        </w:rPr>
        <w:t xml:space="preserve"> </w:t>
      </w:r>
      <w:r>
        <w:t>has</w:t>
      </w:r>
      <w:r>
        <w:rPr>
          <w:spacing w:val="-6"/>
        </w:rPr>
        <w:t xml:space="preserve"> </w:t>
      </w:r>
      <w:r>
        <w:t>observed</w:t>
      </w:r>
      <w:r>
        <w:rPr>
          <w:spacing w:val="-6"/>
        </w:rPr>
        <w:t xml:space="preserve"> </w:t>
      </w:r>
      <w:r>
        <w:t>that</w:t>
      </w:r>
      <w:r>
        <w:rPr>
          <w:spacing w:val="-6"/>
        </w:rPr>
        <w:t xml:space="preserve"> </w:t>
      </w:r>
      <w:r>
        <w:t>"[b]y</w:t>
      </w:r>
      <w:r>
        <w:rPr>
          <w:spacing w:val="-6"/>
        </w:rPr>
        <w:t xml:space="preserve"> </w:t>
      </w:r>
      <w:r>
        <w:t>asking</w:t>
      </w:r>
      <w:r>
        <w:rPr>
          <w:spacing w:val="-6"/>
        </w:rPr>
        <w:t xml:space="preserve"> </w:t>
      </w:r>
      <w:r>
        <w:t>the</w:t>
      </w:r>
      <w:r>
        <w:rPr>
          <w:spacing w:val="-5"/>
        </w:rPr>
        <w:t xml:space="preserve"> </w:t>
      </w:r>
      <w:r>
        <w:t>question</w:t>
      </w:r>
      <w:r>
        <w:rPr>
          <w:spacing w:val="-5"/>
        </w:rPr>
        <w:t xml:space="preserve"> </w:t>
      </w:r>
      <w:r>
        <w:t>'whether the effect of' the dumped imports is significant price sup</w:t>
      </w:r>
      <w:r>
        <w:t>pression, the second sentence of Article 3.2 of the Anti‐Dumping Agreement specifically instructs an investigating authority to consider</w:t>
      </w:r>
      <w:r>
        <w:rPr>
          <w:spacing w:val="-5"/>
        </w:rPr>
        <w:t xml:space="preserve"> </w:t>
      </w:r>
      <w:r>
        <w:t>whether</w:t>
      </w:r>
      <w:r>
        <w:rPr>
          <w:spacing w:val="-5"/>
        </w:rPr>
        <w:t xml:space="preserve"> </w:t>
      </w:r>
      <w:r>
        <w:t>certain</w:t>
      </w:r>
      <w:r>
        <w:rPr>
          <w:spacing w:val="-5"/>
        </w:rPr>
        <w:t xml:space="preserve"> </w:t>
      </w:r>
      <w:r>
        <w:t>price</w:t>
      </w:r>
      <w:r>
        <w:rPr>
          <w:spacing w:val="-4"/>
        </w:rPr>
        <w:t xml:space="preserve"> </w:t>
      </w:r>
      <w:r>
        <w:t>effects</w:t>
      </w:r>
      <w:r>
        <w:rPr>
          <w:spacing w:val="-6"/>
        </w:rPr>
        <w:t xml:space="preserve"> </w:t>
      </w:r>
      <w:r>
        <w:t>are</w:t>
      </w:r>
      <w:r>
        <w:rPr>
          <w:spacing w:val="-4"/>
        </w:rPr>
        <w:t xml:space="preserve"> </w:t>
      </w:r>
      <w:r>
        <w:t>the</w:t>
      </w:r>
      <w:r>
        <w:rPr>
          <w:spacing w:val="-4"/>
        </w:rPr>
        <w:t xml:space="preserve"> </w:t>
      </w:r>
      <w:r>
        <w:t>consequences</w:t>
      </w:r>
      <w:r>
        <w:rPr>
          <w:spacing w:val="-7"/>
        </w:rPr>
        <w:t xml:space="preserve"> </w:t>
      </w:r>
      <w:r>
        <w:t>of</w:t>
      </w:r>
      <w:r>
        <w:rPr>
          <w:spacing w:val="-5"/>
        </w:rPr>
        <w:t xml:space="preserve"> </w:t>
      </w:r>
      <w:r>
        <w:t>dumped</w:t>
      </w:r>
      <w:r>
        <w:rPr>
          <w:spacing w:val="-5"/>
        </w:rPr>
        <w:t xml:space="preserve"> </w:t>
      </w:r>
      <w:r>
        <w:t>imports".</w:t>
      </w:r>
      <w:r>
        <w:rPr>
          <w:vertAlign w:val="superscript"/>
        </w:rPr>
        <w:t>619</w:t>
      </w:r>
      <w:r>
        <w:rPr>
          <w:spacing w:val="-6"/>
        </w:rPr>
        <w:t xml:space="preserve"> </w:t>
      </w:r>
      <w:r>
        <w:t>Thus,</w:t>
      </w:r>
      <w:r>
        <w:rPr>
          <w:spacing w:val="-5"/>
        </w:rPr>
        <w:t xml:space="preserve"> </w:t>
      </w:r>
      <w:r>
        <w:t>an investigating authority is "required to consider whether dumped imports have 'explanatory force'</w:t>
      </w:r>
      <w:r>
        <w:rPr>
          <w:spacing w:val="-2"/>
        </w:rPr>
        <w:t xml:space="preserve"> </w:t>
      </w:r>
      <w:r>
        <w:t>for</w:t>
      </w:r>
      <w:r>
        <w:rPr>
          <w:spacing w:val="-1"/>
        </w:rPr>
        <w:t xml:space="preserve"> </w:t>
      </w:r>
      <w:r>
        <w:t>the</w:t>
      </w:r>
      <w:r>
        <w:rPr>
          <w:spacing w:val="-1"/>
        </w:rPr>
        <w:t xml:space="preserve"> </w:t>
      </w:r>
      <w:r>
        <w:t>occurrence</w:t>
      </w:r>
      <w:r>
        <w:rPr>
          <w:spacing w:val="-1"/>
        </w:rPr>
        <w:t xml:space="preserve"> </w:t>
      </w:r>
      <w:r>
        <w:t>of</w:t>
      </w:r>
      <w:r>
        <w:rPr>
          <w:spacing w:val="-2"/>
        </w:rPr>
        <w:t xml:space="preserve"> </w:t>
      </w:r>
      <w:r>
        <w:t>significant</w:t>
      </w:r>
      <w:r>
        <w:rPr>
          <w:spacing w:val="-1"/>
        </w:rPr>
        <w:t xml:space="preserve"> </w:t>
      </w:r>
      <w:r>
        <w:t>suppression</w:t>
      </w:r>
      <w:r>
        <w:rPr>
          <w:spacing w:val="-2"/>
        </w:rPr>
        <w:t xml:space="preserve"> </w:t>
      </w:r>
      <w:r>
        <w:t>of</w:t>
      </w:r>
      <w:r>
        <w:rPr>
          <w:spacing w:val="-2"/>
        </w:rPr>
        <w:t xml:space="preserve"> </w:t>
      </w:r>
      <w:r>
        <w:t>domestic prices".</w:t>
      </w:r>
      <w:r>
        <w:rPr>
          <w:vertAlign w:val="superscript"/>
        </w:rPr>
        <w:t>620</w:t>
      </w:r>
      <w:r>
        <w:rPr>
          <w:spacing w:val="-2"/>
        </w:rPr>
        <w:t xml:space="preserve"> </w:t>
      </w:r>
      <w:r>
        <w:t>In</w:t>
      </w:r>
      <w:r>
        <w:rPr>
          <w:spacing w:val="-2"/>
        </w:rPr>
        <w:t xml:space="preserve"> </w:t>
      </w:r>
      <w:r>
        <w:t>this</w:t>
      </w:r>
      <w:r>
        <w:rPr>
          <w:spacing w:val="-2"/>
        </w:rPr>
        <w:t xml:space="preserve"> </w:t>
      </w:r>
      <w:r>
        <w:t>respect,</w:t>
      </w:r>
      <w:r>
        <w:rPr>
          <w:spacing w:val="-2"/>
        </w:rPr>
        <w:t xml:space="preserve"> </w:t>
      </w:r>
      <w:r>
        <w:t>the Appellate Body has emphasised that:</w:t>
      </w:r>
    </w:p>
    <w:p w14:paraId="51DE8DC8" w14:textId="77777777" w:rsidR="0010369C" w:rsidRDefault="008E43AE">
      <w:pPr>
        <w:spacing w:before="161" w:line="276" w:lineRule="auto"/>
        <w:ind w:left="1088" w:right="615"/>
        <w:jc w:val="both"/>
      </w:pPr>
      <w:r>
        <w:t xml:space="preserve">… an investigating authority </w:t>
      </w:r>
      <w:r>
        <w:t>may not disregard evidence regarding elements that call into question the explanatory force of dumped imports for significant price suppression. Where there</w:t>
      </w:r>
      <w:r>
        <w:rPr>
          <w:spacing w:val="19"/>
        </w:rPr>
        <w:t xml:space="preserve"> </w:t>
      </w:r>
      <w:r>
        <w:t>is</w:t>
      </w:r>
      <w:r>
        <w:rPr>
          <w:spacing w:val="21"/>
        </w:rPr>
        <w:t xml:space="preserve"> </w:t>
      </w:r>
      <w:r>
        <w:t>evidence</w:t>
      </w:r>
      <w:r>
        <w:rPr>
          <w:spacing w:val="20"/>
        </w:rPr>
        <w:t xml:space="preserve"> </w:t>
      </w:r>
      <w:r>
        <w:t>on</w:t>
      </w:r>
      <w:r>
        <w:rPr>
          <w:spacing w:val="21"/>
        </w:rPr>
        <w:t xml:space="preserve"> </w:t>
      </w:r>
      <w:r>
        <w:t>the</w:t>
      </w:r>
      <w:r>
        <w:rPr>
          <w:spacing w:val="20"/>
        </w:rPr>
        <w:t xml:space="preserve"> </w:t>
      </w:r>
      <w:r>
        <w:t>investigating</w:t>
      </w:r>
      <w:r>
        <w:rPr>
          <w:spacing w:val="23"/>
        </w:rPr>
        <w:t xml:space="preserve"> </w:t>
      </w:r>
      <w:r>
        <w:t>authority's</w:t>
      </w:r>
      <w:r>
        <w:rPr>
          <w:spacing w:val="20"/>
        </w:rPr>
        <w:t xml:space="preserve"> </w:t>
      </w:r>
      <w:r>
        <w:t>record</w:t>
      </w:r>
      <w:r>
        <w:rPr>
          <w:spacing w:val="20"/>
        </w:rPr>
        <w:t xml:space="preserve"> </w:t>
      </w:r>
      <w:r>
        <w:t>concerning</w:t>
      </w:r>
      <w:r>
        <w:rPr>
          <w:spacing w:val="19"/>
        </w:rPr>
        <w:t xml:space="preserve"> </w:t>
      </w:r>
      <w:r>
        <w:t>elements</w:t>
      </w:r>
      <w:r>
        <w:rPr>
          <w:spacing w:val="20"/>
        </w:rPr>
        <w:t xml:space="preserve"> </w:t>
      </w:r>
      <w:r>
        <w:t>other</w:t>
      </w:r>
      <w:r>
        <w:rPr>
          <w:spacing w:val="21"/>
        </w:rPr>
        <w:t xml:space="preserve"> </w:t>
      </w:r>
      <w:r>
        <w:rPr>
          <w:spacing w:val="-4"/>
        </w:rPr>
        <w:t>than</w:t>
      </w:r>
    </w:p>
    <w:p w14:paraId="51DE8DC9" w14:textId="77777777" w:rsidR="0010369C" w:rsidRDefault="008E43AE">
      <w:pPr>
        <w:pStyle w:val="BodyText"/>
        <w:spacing w:before="6"/>
        <w:rPr>
          <w:sz w:val="29"/>
        </w:rPr>
      </w:pPr>
      <w:r>
        <w:pict w14:anchorId="51DEA452">
          <v:rect id="docshape1016" o:spid="_x0000_s1353" style="position:absolute;margin-left:70.9pt;margin-top:19.25pt;width:2in;height:.8pt;z-index:-250841600;mso-wrap-distance-left:0;mso-wrap-distance-right:0;mso-position-horizontal-relative:page" fillcolor="black" stroked="f">
            <w10:wrap type="topAndBottom" anchorx="page"/>
          </v:rect>
        </w:pict>
      </w:r>
    </w:p>
    <w:p w14:paraId="51DE8DCA" w14:textId="77777777" w:rsidR="0010369C" w:rsidRDefault="008E43AE">
      <w:pPr>
        <w:spacing w:before="109"/>
        <w:ind w:left="236" w:right="613" w:firstLine="1"/>
        <w:jc w:val="both"/>
        <w:rPr>
          <w:sz w:val="18"/>
        </w:rPr>
      </w:pPr>
      <w:r>
        <w:rPr>
          <w:sz w:val="18"/>
          <w:vertAlign w:val="superscript"/>
        </w:rPr>
        <w:t>616</w:t>
      </w:r>
      <w:r>
        <w:rPr>
          <w:spacing w:val="-4"/>
          <w:sz w:val="18"/>
        </w:rPr>
        <w:t xml:space="preserve"> </w:t>
      </w:r>
      <w:r>
        <w:rPr>
          <w:sz w:val="18"/>
        </w:rPr>
        <w:t>Appellate</w:t>
      </w:r>
      <w:r>
        <w:rPr>
          <w:spacing w:val="-5"/>
          <w:sz w:val="18"/>
        </w:rPr>
        <w:t xml:space="preserve"> </w:t>
      </w:r>
      <w:r>
        <w:rPr>
          <w:sz w:val="18"/>
        </w:rPr>
        <w:t>Body</w:t>
      </w:r>
      <w:r>
        <w:rPr>
          <w:spacing w:val="-5"/>
          <w:sz w:val="18"/>
        </w:rPr>
        <w:t xml:space="preserve"> </w:t>
      </w:r>
      <w:r>
        <w:rPr>
          <w:sz w:val="18"/>
        </w:rPr>
        <w:t>Report,</w:t>
      </w:r>
      <w:r>
        <w:rPr>
          <w:spacing w:val="-4"/>
          <w:sz w:val="18"/>
        </w:rPr>
        <w:t xml:space="preserve"> </w:t>
      </w:r>
      <w:r>
        <w:rPr>
          <w:i/>
          <w:sz w:val="18"/>
        </w:rPr>
        <w:t>China</w:t>
      </w:r>
      <w:r>
        <w:rPr>
          <w:i/>
          <w:spacing w:val="-4"/>
          <w:sz w:val="18"/>
        </w:rPr>
        <w:t xml:space="preserve"> </w:t>
      </w:r>
      <w:r>
        <w:rPr>
          <w:i/>
          <w:sz w:val="18"/>
        </w:rPr>
        <w:t>–</w:t>
      </w:r>
      <w:r>
        <w:rPr>
          <w:i/>
          <w:spacing w:val="-3"/>
          <w:sz w:val="18"/>
        </w:rPr>
        <w:t xml:space="preserve"> </w:t>
      </w:r>
      <w:r>
        <w:rPr>
          <w:i/>
          <w:sz w:val="18"/>
        </w:rPr>
        <w:t>GOES</w:t>
      </w:r>
      <w:r>
        <w:rPr>
          <w:sz w:val="18"/>
        </w:rPr>
        <w:t>,</w:t>
      </w:r>
      <w:r>
        <w:rPr>
          <w:spacing w:val="-5"/>
          <w:sz w:val="18"/>
        </w:rPr>
        <w:t xml:space="preserve"> </w:t>
      </w:r>
      <w:r>
        <w:rPr>
          <w:sz w:val="18"/>
        </w:rPr>
        <w:t>para.</w:t>
      </w:r>
      <w:r>
        <w:rPr>
          <w:spacing w:val="-4"/>
          <w:sz w:val="18"/>
        </w:rPr>
        <w:t xml:space="preserve"> </w:t>
      </w:r>
      <w:r>
        <w:rPr>
          <w:sz w:val="18"/>
        </w:rPr>
        <w:t>141</w:t>
      </w:r>
      <w:r>
        <w:rPr>
          <w:spacing w:val="-4"/>
          <w:sz w:val="18"/>
        </w:rPr>
        <w:t xml:space="preserve"> </w:t>
      </w:r>
      <w:r>
        <w:rPr>
          <w:sz w:val="18"/>
        </w:rPr>
        <w:t>(emphasis</w:t>
      </w:r>
      <w:r>
        <w:rPr>
          <w:spacing w:val="-4"/>
          <w:sz w:val="18"/>
        </w:rPr>
        <w:t xml:space="preserve"> </w:t>
      </w:r>
      <w:r>
        <w:rPr>
          <w:sz w:val="18"/>
        </w:rPr>
        <w:t>original);</w:t>
      </w:r>
      <w:r>
        <w:rPr>
          <w:spacing w:val="-4"/>
          <w:sz w:val="18"/>
        </w:rPr>
        <w:t xml:space="preserve"> </w:t>
      </w:r>
      <w:r>
        <w:rPr>
          <w:sz w:val="18"/>
        </w:rPr>
        <w:t>see</w:t>
      </w:r>
      <w:r>
        <w:rPr>
          <w:spacing w:val="-4"/>
          <w:sz w:val="18"/>
        </w:rPr>
        <w:t xml:space="preserve"> </w:t>
      </w:r>
      <w:r>
        <w:rPr>
          <w:sz w:val="18"/>
        </w:rPr>
        <w:t>also</w:t>
      </w:r>
      <w:r>
        <w:rPr>
          <w:spacing w:val="-5"/>
          <w:sz w:val="18"/>
        </w:rPr>
        <w:t xml:space="preserve"> </w:t>
      </w:r>
      <w:r>
        <w:rPr>
          <w:sz w:val="18"/>
        </w:rPr>
        <w:t>Appellate</w:t>
      </w:r>
      <w:r>
        <w:rPr>
          <w:spacing w:val="-4"/>
          <w:sz w:val="18"/>
        </w:rPr>
        <w:t xml:space="preserve"> </w:t>
      </w:r>
      <w:r>
        <w:rPr>
          <w:sz w:val="18"/>
        </w:rPr>
        <w:t>Body</w:t>
      </w:r>
      <w:r>
        <w:rPr>
          <w:spacing w:val="-5"/>
          <w:sz w:val="18"/>
        </w:rPr>
        <w:t xml:space="preserve"> </w:t>
      </w:r>
      <w:r>
        <w:rPr>
          <w:sz w:val="18"/>
        </w:rPr>
        <w:t>Report,</w:t>
      </w:r>
      <w:r>
        <w:rPr>
          <w:spacing w:val="-4"/>
          <w:sz w:val="18"/>
        </w:rPr>
        <w:t xml:space="preserve"> </w:t>
      </w:r>
      <w:r>
        <w:rPr>
          <w:i/>
          <w:sz w:val="18"/>
        </w:rPr>
        <w:t>Russia</w:t>
      </w:r>
      <w:r>
        <w:rPr>
          <w:i/>
          <w:spacing w:val="-4"/>
          <w:sz w:val="18"/>
        </w:rPr>
        <w:t xml:space="preserve"> </w:t>
      </w:r>
      <w:r>
        <w:rPr>
          <w:i/>
          <w:sz w:val="18"/>
        </w:rPr>
        <w:t>–</w:t>
      </w:r>
      <w:r>
        <w:rPr>
          <w:i/>
          <w:spacing w:val="-5"/>
          <w:sz w:val="18"/>
        </w:rPr>
        <w:t xml:space="preserve"> </w:t>
      </w:r>
      <w:r>
        <w:rPr>
          <w:i/>
          <w:sz w:val="18"/>
        </w:rPr>
        <w:t>Commercial Vehicles</w:t>
      </w:r>
      <w:r>
        <w:rPr>
          <w:sz w:val="18"/>
        </w:rPr>
        <w:t>,</w:t>
      </w:r>
      <w:r>
        <w:rPr>
          <w:spacing w:val="-6"/>
          <w:sz w:val="18"/>
        </w:rPr>
        <w:t xml:space="preserve"> </w:t>
      </w:r>
      <w:r>
        <w:rPr>
          <w:sz w:val="18"/>
        </w:rPr>
        <w:t>para.</w:t>
      </w:r>
      <w:r>
        <w:rPr>
          <w:spacing w:val="-5"/>
          <w:sz w:val="18"/>
        </w:rPr>
        <w:t xml:space="preserve"> </w:t>
      </w:r>
      <w:r>
        <w:rPr>
          <w:sz w:val="18"/>
        </w:rPr>
        <w:t>5.95.</w:t>
      </w:r>
      <w:r>
        <w:rPr>
          <w:spacing w:val="-6"/>
          <w:sz w:val="18"/>
        </w:rPr>
        <w:t xml:space="preserve"> </w:t>
      </w:r>
      <w:r>
        <w:rPr>
          <w:sz w:val="18"/>
        </w:rPr>
        <w:t>In</w:t>
      </w:r>
      <w:r>
        <w:rPr>
          <w:spacing w:val="-6"/>
          <w:sz w:val="18"/>
        </w:rPr>
        <w:t xml:space="preserve"> </w:t>
      </w:r>
      <w:r>
        <w:rPr>
          <w:i/>
          <w:sz w:val="18"/>
        </w:rPr>
        <w:t>China</w:t>
      </w:r>
      <w:r>
        <w:rPr>
          <w:i/>
          <w:spacing w:val="-6"/>
          <w:sz w:val="18"/>
        </w:rPr>
        <w:t xml:space="preserve"> </w:t>
      </w:r>
      <w:r>
        <w:rPr>
          <w:i/>
          <w:sz w:val="18"/>
        </w:rPr>
        <w:t>GOES</w:t>
      </w:r>
      <w:r>
        <w:rPr>
          <w:sz w:val="18"/>
        </w:rPr>
        <w:t>,</w:t>
      </w:r>
      <w:r>
        <w:rPr>
          <w:spacing w:val="-6"/>
          <w:sz w:val="18"/>
        </w:rPr>
        <w:t xml:space="preserve"> </w:t>
      </w:r>
      <w:r>
        <w:rPr>
          <w:sz w:val="18"/>
        </w:rPr>
        <w:t>the</w:t>
      </w:r>
      <w:r>
        <w:rPr>
          <w:spacing w:val="-5"/>
          <w:sz w:val="18"/>
        </w:rPr>
        <w:t xml:space="preserve"> </w:t>
      </w:r>
      <w:r>
        <w:rPr>
          <w:sz w:val="18"/>
        </w:rPr>
        <w:t>Appellate</w:t>
      </w:r>
      <w:r>
        <w:rPr>
          <w:spacing w:val="-7"/>
          <w:sz w:val="18"/>
        </w:rPr>
        <w:t xml:space="preserve"> </w:t>
      </w:r>
      <w:r>
        <w:rPr>
          <w:sz w:val="18"/>
        </w:rPr>
        <w:t>Body</w:t>
      </w:r>
      <w:r>
        <w:rPr>
          <w:spacing w:val="-6"/>
          <w:sz w:val="18"/>
        </w:rPr>
        <w:t xml:space="preserve"> </w:t>
      </w:r>
      <w:r>
        <w:rPr>
          <w:sz w:val="18"/>
        </w:rPr>
        <w:t>considered</w:t>
      </w:r>
      <w:r>
        <w:rPr>
          <w:spacing w:val="-7"/>
          <w:sz w:val="18"/>
        </w:rPr>
        <w:t xml:space="preserve"> </w:t>
      </w:r>
      <w:r>
        <w:rPr>
          <w:sz w:val="18"/>
        </w:rPr>
        <w:t>that</w:t>
      </w:r>
      <w:r>
        <w:rPr>
          <w:spacing w:val="-6"/>
          <w:sz w:val="18"/>
        </w:rPr>
        <w:t xml:space="preserve"> </w:t>
      </w:r>
      <w:r>
        <w:rPr>
          <w:sz w:val="18"/>
        </w:rPr>
        <w:t>the</w:t>
      </w:r>
      <w:r>
        <w:rPr>
          <w:spacing w:val="-5"/>
          <w:sz w:val="18"/>
        </w:rPr>
        <w:t xml:space="preserve"> </w:t>
      </w:r>
      <w:r>
        <w:rPr>
          <w:sz w:val="18"/>
        </w:rPr>
        <w:t>meaning</w:t>
      </w:r>
      <w:r>
        <w:rPr>
          <w:spacing w:val="-5"/>
          <w:sz w:val="18"/>
        </w:rPr>
        <w:t xml:space="preserve"> </w:t>
      </w:r>
      <w:r>
        <w:rPr>
          <w:sz w:val="18"/>
        </w:rPr>
        <w:t>of</w:t>
      </w:r>
      <w:r>
        <w:rPr>
          <w:spacing w:val="-6"/>
          <w:sz w:val="18"/>
        </w:rPr>
        <w:t xml:space="preserve"> </w:t>
      </w:r>
      <w:r>
        <w:rPr>
          <w:sz w:val="18"/>
        </w:rPr>
        <w:t>the</w:t>
      </w:r>
      <w:r>
        <w:rPr>
          <w:spacing w:val="-5"/>
          <w:sz w:val="18"/>
        </w:rPr>
        <w:t xml:space="preserve"> </w:t>
      </w:r>
      <w:r>
        <w:rPr>
          <w:sz w:val="18"/>
        </w:rPr>
        <w:t>word</w:t>
      </w:r>
      <w:r>
        <w:rPr>
          <w:spacing w:val="-6"/>
          <w:sz w:val="18"/>
        </w:rPr>
        <w:t xml:space="preserve"> </w:t>
      </w:r>
      <w:r>
        <w:rPr>
          <w:sz w:val="18"/>
        </w:rPr>
        <w:t>"consider"</w:t>
      </w:r>
      <w:r>
        <w:rPr>
          <w:spacing w:val="-5"/>
          <w:sz w:val="18"/>
        </w:rPr>
        <w:t xml:space="preserve"> </w:t>
      </w:r>
      <w:r>
        <w:rPr>
          <w:sz w:val="18"/>
        </w:rPr>
        <w:t>includes</w:t>
      </w:r>
      <w:r>
        <w:rPr>
          <w:spacing w:val="-5"/>
          <w:sz w:val="18"/>
        </w:rPr>
        <w:t xml:space="preserve"> </w:t>
      </w:r>
      <w:r>
        <w:rPr>
          <w:sz w:val="18"/>
        </w:rPr>
        <w:t>to</w:t>
      </w:r>
      <w:r>
        <w:rPr>
          <w:spacing w:val="-6"/>
          <w:sz w:val="18"/>
        </w:rPr>
        <w:t xml:space="preserve"> </w:t>
      </w:r>
      <w:r>
        <w:rPr>
          <w:sz w:val="18"/>
        </w:rPr>
        <w:t xml:space="preserve">"look at attentively", "think over", and "take into account", and found that "[t]he notion of the word 'consider', when cast as an obligation upon a decision maker, is to oblige it to </w:t>
      </w:r>
      <w:r>
        <w:rPr>
          <w:i/>
          <w:sz w:val="18"/>
        </w:rPr>
        <w:t xml:space="preserve">take something into account </w:t>
      </w:r>
      <w:r>
        <w:rPr>
          <w:sz w:val="18"/>
        </w:rPr>
        <w:t>in reaching its decision" (emphasis original</w:t>
      </w:r>
      <w:r>
        <w:rPr>
          <w:sz w:val="18"/>
        </w:rPr>
        <w:t xml:space="preserve">) Appellate Body Report, </w:t>
      </w:r>
      <w:r>
        <w:rPr>
          <w:i/>
          <w:sz w:val="18"/>
        </w:rPr>
        <w:t>China – GOES</w:t>
      </w:r>
      <w:r>
        <w:rPr>
          <w:sz w:val="18"/>
        </w:rPr>
        <w:t xml:space="preserve">, para. 130 and footnote 216. In addition, the panel in </w:t>
      </w:r>
      <w:r>
        <w:rPr>
          <w:i/>
          <w:sz w:val="18"/>
        </w:rPr>
        <w:t xml:space="preserve">Pakistan – BOPP Film (UAE) </w:t>
      </w:r>
      <w:r>
        <w:rPr>
          <w:sz w:val="18"/>
        </w:rPr>
        <w:t>considered that "the ordinary meaning of 'consider' includes '[t]o view or contemplate attentively, to survey, examine' and '[t]o contem</w:t>
      </w:r>
      <w:r>
        <w:rPr>
          <w:sz w:val="18"/>
        </w:rPr>
        <w:t xml:space="preserve">plate mentally, fix the mind upon; to think over, meditate or reflect on, bestow attentive thought upon, give heed to, take note of'". Panel Report, </w:t>
      </w:r>
      <w:r>
        <w:rPr>
          <w:i/>
          <w:sz w:val="18"/>
        </w:rPr>
        <w:t>Pakistan – BOPP Film (UAE)</w:t>
      </w:r>
      <w:r>
        <w:rPr>
          <w:sz w:val="18"/>
        </w:rPr>
        <w:t>, para. 7.262. (footnote omitted)</w:t>
      </w:r>
    </w:p>
    <w:p w14:paraId="51DE8DCB" w14:textId="77777777" w:rsidR="0010369C" w:rsidRDefault="008E43AE">
      <w:pPr>
        <w:ind w:left="238"/>
        <w:jc w:val="both"/>
        <w:rPr>
          <w:sz w:val="18"/>
        </w:rPr>
      </w:pPr>
      <w:r>
        <w:rPr>
          <w:sz w:val="18"/>
          <w:vertAlign w:val="superscript"/>
        </w:rPr>
        <w:t>617</w:t>
      </w:r>
      <w:r>
        <w:rPr>
          <w:spacing w:val="-6"/>
          <w:sz w:val="18"/>
        </w:rPr>
        <w:t xml:space="preserve"> </w:t>
      </w:r>
      <w:r>
        <w:rPr>
          <w:sz w:val="18"/>
        </w:rPr>
        <w:t>Appellate</w:t>
      </w:r>
      <w:r>
        <w:rPr>
          <w:spacing w:val="-5"/>
          <w:sz w:val="18"/>
        </w:rPr>
        <w:t xml:space="preserve"> </w:t>
      </w:r>
      <w:r>
        <w:rPr>
          <w:sz w:val="18"/>
        </w:rPr>
        <w:t>Body</w:t>
      </w:r>
      <w:r>
        <w:rPr>
          <w:spacing w:val="-7"/>
          <w:sz w:val="18"/>
        </w:rPr>
        <w:t xml:space="preserve"> </w:t>
      </w:r>
      <w:r>
        <w:rPr>
          <w:sz w:val="18"/>
        </w:rPr>
        <w:t>Report,</w:t>
      </w:r>
      <w:r>
        <w:rPr>
          <w:spacing w:val="-5"/>
          <w:sz w:val="18"/>
        </w:rPr>
        <w:t xml:space="preserve"> </w:t>
      </w:r>
      <w:r>
        <w:rPr>
          <w:i/>
          <w:sz w:val="18"/>
        </w:rPr>
        <w:t>China</w:t>
      </w:r>
      <w:r>
        <w:rPr>
          <w:i/>
          <w:spacing w:val="-5"/>
          <w:sz w:val="18"/>
        </w:rPr>
        <w:t xml:space="preserve"> </w:t>
      </w:r>
      <w:r>
        <w:rPr>
          <w:i/>
          <w:sz w:val="18"/>
        </w:rPr>
        <w:t>–</w:t>
      </w:r>
      <w:r>
        <w:rPr>
          <w:i/>
          <w:spacing w:val="-4"/>
          <w:sz w:val="18"/>
        </w:rPr>
        <w:t xml:space="preserve"> </w:t>
      </w:r>
      <w:r>
        <w:rPr>
          <w:i/>
          <w:sz w:val="18"/>
        </w:rPr>
        <w:t>GOES</w:t>
      </w:r>
      <w:r>
        <w:rPr>
          <w:sz w:val="18"/>
        </w:rPr>
        <w:t>,</w:t>
      </w:r>
      <w:r>
        <w:rPr>
          <w:spacing w:val="-7"/>
          <w:sz w:val="18"/>
        </w:rPr>
        <w:t xml:space="preserve"> </w:t>
      </w:r>
      <w:r>
        <w:rPr>
          <w:sz w:val="18"/>
        </w:rPr>
        <w:t>para.</w:t>
      </w:r>
      <w:r>
        <w:rPr>
          <w:spacing w:val="-5"/>
          <w:sz w:val="18"/>
        </w:rPr>
        <w:t xml:space="preserve"> </w:t>
      </w:r>
      <w:r>
        <w:rPr>
          <w:spacing w:val="-4"/>
          <w:sz w:val="18"/>
        </w:rPr>
        <w:t>141.</w:t>
      </w:r>
    </w:p>
    <w:p w14:paraId="51DE8DCC" w14:textId="77777777" w:rsidR="0010369C" w:rsidRDefault="008E43AE">
      <w:pPr>
        <w:ind w:left="238"/>
        <w:jc w:val="both"/>
        <w:rPr>
          <w:sz w:val="18"/>
        </w:rPr>
      </w:pPr>
      <w:r>
        <w:rPr>
          <w:sz w:val="18"/>
          <w:vertAlign w:val="superscript"/>
        </w:rPr>
        <w:t>618</w:t>
      </w:r>
      <w:r>
        <w:rPr>
          <w:spacing w:val="-6"/>
          <w:sz w:val="18"/>
        </w:rPr>
        <w:t xml:space="preserve"> </w:t>
      </w:r>
      <w:r>
        <w:rPr>
          <w:sz w:val="18"/>
        </w:rPr>
        <w:t>Appellate</w:t>
      </w:r>
      <w:r>
        <w:rPr>
          <w:spacing w:val="-6"/>
          <w:sz w:val="18"/>
        </w:rPr>
        <w:t xml:space="preserve"> </w:t>
      </w:r>
      <w:r>
        <w:rPr>
          <w:sz w:val="18"/>
        </w:rPr>
        <w:t>Body</w:t>
      </w:r>
      <w:r>
        <w:rPr>
          <w:spacing w:val="-8"/>
          <w:sz w:val="18"/>
        </w:rPr>
        <w:t xml:space="preserve"> </w:t>
      </w:r>
      <w:r>
        <w:rPr>
          <w:sz w:val="18"/>
        </w:rPr>
        <w:t>Report,</w:t>
      </w:r>
      <w:r>
        <w:rPr>
          <w:spacing w:val="-6"/>
          <w:sz w:val="18"/>
        </w:rPr>
        <w:t xml:space="preserve"> </w:t>
      </w:r>
      <w:r>
        <w:rPr>
          <w:i/>
          <w:sz w:val="18"/>
        </w:rPr>
        <w:t>Russia</w:t>
      </w:r>
      <w:r>
        <w:rPr>
          <w:i/>
          <w:spacing w:val="-6"/>
          <w:sz w:val="18"/>
        </w:rPr>
        <w:t xml:space="preserve"> </w:t>
      </w:r>
      <w:r>
        <w:rPr>
          <w:i/>
          <w:sz w:val="18"/>
        </w:rPr>
        <w:t>–</w:t>
      </w:r>
      <w:r>
        <w:rPr>
          <w:i/>
          <w:spacing w:val="-6"/>
          <w:sz w:val="18"/>
        </w:rPr>
        <w:t xml:space="preserve"> </w:t>
      </w:r>
      <w:r>
        <w:rPr>
          <w:i/>
          <w:sz w:val="18"/>
        </w:rPr>
        <w:t>Commercial</w:t>
      </w:r>
      <w:r>
        <w:rPr>
          <w:i/>
          <w:spacing w:val="-6"/>
          <w:sz w:val="18"/>
        </w:rPr>
        <w:t xml:space="preserve"> </w:t>
      </w:r>
      <w:r>
        <w:rPr>
          <w:i/>
          <w:sz w:val="18"/>
        </w:rPr>
        <w:t>Vehicles</w:t>
      </w:r>
      <w:r>
        <w:rPr>
          <w:sz w:val="18"/>
        </w:rPr>
        <w:t>,</w:t>
      </w:r>
      <w:r>
        <w:rPr>
          <w:spacing w:val="-7"/>
          <w:sz w:val="18"/>
        </w:rPr>
        <w:t xml:space="preserve"> </w:t>
      </w:r>
      <w:r>
        <w:rPr>
          <w:sz w:val="18"/>
        </w:rPr>
        <w:t>para.</w:t>
      </w:r>
      <w:r>
        <w:rPr>
          <w:spacing w:val="-5"/>
          <w:sz w:val="18"/>
        </w:rPr>
        <w:t xml:space="preserve"> </w:t>
      </w:r>
      <w:r>
        <w:rPr>
          <w:sz w:val="18"/>
        </w:rPr>
        <w:t>5.95</w:t>
      </w:r>
      <w:r>
        <w:rPr>
          <w:spacing w:val="-6"/>
          <w:sz w:val="18"/>
        </w:rPr>
        <w:t xml:space="preserve"> </w:t>
      </w:r>
      <w:r>
        <w:rPr>
          <w:sz w:val="18"/>
        </w:rPr>
        <w:t>(emphasis</w:t>
      </w:r>
      <w:r>
        <w:rPr>
          <w:spacing w:val="-5"/>
          <w:sz w:val="18"/>
        </w:rPr>
        <w:t xml:space="preserve"> </w:t>
      </w:r>
      <w:r>
        <w:rPr>
          <w:spacing w:val="-2"/>
          <w:sz w:val="18"/>
        </w:rPr>
        <w:t>original).</w:t>
      </w:r>
    </w:p>
    <w:p w14:paraId="51DE8DCD" w14:textId="77777777" w:rsidR="0010369C" w:rsidRDefault="008E43AE">
      <w:pPr>
        <w:ind w:left="238"/>
        <w:jc w:val="both"/>
        <w:rPr>
          <w:sz w:val="18"/>
        </w:rPr>
      </w:pPr>
      <w:r>
        <w:rPr>
          <w:sz w:val="18"/>
          <w:vertAlign w:val="superscript"/>
        </w:rPr>
        <w:t>619</w:t>
      </w:r>
      <w:r>
        <w:rPr>
          <w:spacing w:val="-6"/>
          <w:sz w:val="18"/>
        </w:rPr>
        <w:t xml:space="preserve"> </w:t>
      </w:r>
      <w:r>
        <w:rPr>
          <w:sz w:val="18"/>
        </w:rPr>
        <w:t>Appellate</w:t>
      </w:r>
      <w:r>
        <w:rPr>
          <w:spacing w:val="-5"/>
          <w:sz w:val="18"/>
        </w:rPr>
        <w:t xml:space="preserve"> </w:t>
      </w:r>
      <w:r>
        <w:rPr>
          <w:sz w:val="18"/>
        </w:rPr>
        <w:t>Body</w:t>
      </w:r>
      <w:r>
        <w:rPr>
          <w:spacing w:val="-8"/>
          <w:sz w:val="18"/>
        </w:rPr>
        <w:t xml:space="preserve"> </w:t>
      </w:r>
      <w:r>
        <w:rPr>
          <w:sz w:val="18"/>
        </w:rPr>
        <w:t>Report,</w:t>
      </w:r>
      <w:r>
        <w:rPr>
          <w:spacing w:val="-5"/>
          <w:sz w:val="18"/>
        </w:rPr>
        <w:t xml:space="preserve"> </w:t>
      </w:r>
      <w:r>
        <w:rPr>
          <w:i/>
          <w:sz w:val="18"/>
        </w:rPr>
        <w:t>Russia</w:t>
      </w:r>
      <w:r>
        <w:rPr>
          <w:i/>
          <w:spacing w:val="-6"/>
          <w:sz w:val="18"/>
        </w:rPr>
        <w:t xml:space="preserve"> </w:t>
      </w:r>
      <w:r>
        <w:rPr>
          <w:i/>
          <w:sz w:val="18"/>
        </w:rPr>
        <w:t>–</w:t>
      </w:r>
      <w:r>
        <w:rPr>
          <w:i/>
          <w:spacing w:val="-5"/>
          <w:sz w:val="18"/>
        </w:rPr>
        <w:t xml:space="preserve"> </w:t>
      </w:r>
      <w:r>
        <w:rPr>
          <w:i/>
          <w:sz w:val="18"/>
        </w:rPr>
        <w:t>Commercial</w:t>
      </w:r>
      <w:r>
        <w:rPr>
          <w:i/>
          <w:spacing w:val="-6"/>
          <w:sz w:val="18"/>
        </w:rPr>
        <w:t xml:space="preserve"> </w:t>
      </w:r>
      <w:r>
        <w:rPr>
          <w:i/>
          <w:sz w:val="18"/>
        </w:rPr>
        <w:t>Vehicles</w:t>
      </w:r>
      <w:r>
        <w:rPr>
          <w:sz w:val="18"/>
        </w:rPr>
        <w:t>,</w:t>
      </w:r>
      <w:r>
        <w:rPr>
          <w:spacing w:val="-6"/>
          <w:sz w:val="18"/>
        </w:rPr>
        <w:t xml:space="preserve"> </w:t>
      </w:r>
      <w:r>
        <w:rPr>
          <w:sz w:val="18"/>
        </w:rPr>
        <w:t>paras.</w:t>
      </w:r>
      <w:r>
        <w:rPr>
          <w:spacing w:val="-6"/>
          <w:sz w:val="18"/>
        </w:rPr>
        <w:t xml:space="preserve"> </w:t>
      </w:r>
      <w:r>
        <w:rPr>
          <w:sz w:val="18"/>
        </w:rPr>
        <w:t>5.53</w:t>
      </w:r>
      <w:r>
        <w:rPr>
          <w:spacing w:val="-5"/>
          <w:sz w:val="18"/>
        </w:rPr>
        <w:t xml:space="preserve"> </w:t>
      </w:r>
      <w:r>
        <w:rPr>
          <w:sz w:val="18"/>
        </w:rPr>
        <w:t>and</w:t>
      </w:r>
      <w:r>
        <w:rPr>
          <w:spacing w:val="-5"/>
          <w:sz w:val="18"/>
        </w:rPr>
        <w:t xml:space="preserve"> </w:t>
      </w:r>
      <w:r>
        <w:rPr>
          <w:spacing w:val="-2"/>
          <w:sz w:val="18"/>
        </w:rPr>
        <w:t>5.96.</w:t>
      </w:r>
    </w:p>
    <w:p w14:paraId="51DE8DCE" w14:textId="77777777" w:rsidR="0010369C" w:rsidRDefault="008E43AE">
      <w:pPr>
        <w:ind w:left="238" w:right="613"/>
        <w:jc w:val="both"/>
        <w:rPr>
          <w:sz w:val="18"/>
        </w:rPr>
      </w:pPr>
      <w:r>
        <w:rPr>
          <w:sz w:val="18"/>
          <w:vertAlign w:val="superscript"/>
        </w:rPr>
        <w:t>620</w:t>
      </w:r>
      <w:r>
        <w:rPr>
          <w:sz w:val="18"/>
        </w:rPr>
        <w:t xml:space="preserve"> Appellate Body Report, </w:t>
      </w:r>
      <w:r>
        <w:rPr>
          <w:i/>
          <w:sz w:val="18"/>
        </w:rPr>
        <w:t>Russia – Commercial Vehicles</w:t>
      </w:r>
      <w:r>
        <w:rPr>
          <w:sz w:val="18"/>
        </w:rPr>
        <w:t xml:space="preserve">, paras. 5.53 and 5.96, citing Appellate Body Report, </w:t>
      </w:r>
      <w:r>
        <w:rPr>
          <w:i/>
          <w:sz w:val="18"/>
        </w:rPr>
        <w:t>China – GOES</w:t>
      </w:r>
      <w:r>
        <w:rPr>
          <w:sz w:val="18"/>
        </w:rPr>
        <w:t>, para.</w:t>
      </w:r>
      <w:r>
        <w:rPr>
          <w:spacing w:val="-11"/>
          <w:sz w:val="18"/>
        </w:rPr>
        <w:t xml:space="preserve"> </w:t>
      </w:r>
      <w:r>
        <w:rPr>
          <w:sz w:val="18"/>
        </w:rPr>
        <w:t>136</w:t>
      </w:r>
      <w:r>
        <w:rPr>
          <w:spacing w:val="-10"/>
          <w:sz w:val="18"/>
        </w:rPr>
        <w:t xml:space="preserve"> </w:t>
      </w:r>
      <w:r>
        <w:rPr>
          <w:sz w:val="18"/>
        </w:rPr>
        <w:t>("The</w:t>
      </w:r>
      <w:r>
        <w:rPr>
          <w:spacing w:val="-9"/>
          <w:sz w:val="18"/>
        </w:rPr>
        <w:t xml:space="preserve"> </w:t>
      </w:r>
      <w:r>
        <w:rPr>
          <w:sz w:val="18"/>
        </w:rPr>
        <w:t>language</w:t>
      </w:r>
      <w:r>
        <w:rPr>
          <w:spacing w:val="-9"/>
          <w:sz w:val="18"/>
        </w:rPr>
        <w:t xml:space="preserve"> </w:t>
      </w:r>
      <w:r>
        <w:rPr>
          <w:sz w:val="18"/>
        </w:rPr>
        <w:t>of</w:t>
      </w:r>
      <w:r>
        <w:rPr>
          <w:spacing w:val="-10"/>
          <w:sz w:val="18"/>
        </w:rPr>
        <w:t xml:space="preserve"> </w:t>
      </w:r>
      <w:r>
        <w:rPr>
          <w:sz w:val="18"/>
        </w:rPr>
        <w:t>Articles</w:t>
      </w:r>
      <w:r>
        <w:rPr>
          <w:spacing w:val="-9"/>
          <w:sz w:val="18"/>
        </w:rPr>
        <w:t xml:space="preserve"> </w:t>
      </w:r>
      <w:r>
        <w:rPr>
          <w:sz w:val="18"/>
        </w:rPr>
        <w:t>3.2</w:t>
      </w:r>
      <w:r>
        <w:rPr>
          <w:spacing w:val="-11"/>
          <w:sz w:val="18"/>
        </w:rPr>
        <w:t xml:space="preserve"> </w:t>
      </w:r>
      <w:r>
        <w:rPr>
          <w:sz w:val="18"/>
        </w:rPr>
        <w:t>and</w:t>
      </w:r>
      <w:r>
        <w:rPr>
          <w:spacing w:val="-10"/>
          <w:sz w:val="18"/>
        </w:rPr>
        <w:t xml:space="preserve"> </w:t>
      </w:r>
      <w:r>
        <w:rPr>
          <w:sz w:val="18"/>
        </w:rPr>
        <w:t>15.2</w:t>
      </w:r>
      <w:r>
        <w:rPr>
          <w:spacing w:val="-10"/>
          <w:sz w:val="18"/>
        </w:rPr>
        <w:t xml:space="preserve"> </w:t>
      </w:r>
      <w:r>
        <w:rPr>
          <w:sz w:val="18"/>
        </w:rPr>
        <w:t>thus</w:t>
      </w:r>
      <w:r>
        <w:rPr>
          <w:spacing w:val="-10"/>
          <w:sz w:val="18"/>
        </w:rPr>
        <w:t xml:space="preserve"> </w:t>
      </w:r>
      <w:r>
        <w:rPr>
          <w:sz w:val="18"/>
        </w:rPr>
        <w:t>expressly</w:t>
      </w:r>
      <w:r>
        <w:rPr>
          <w:spacing w:val="-10"/>
          <w:sz w:val="18"/>
        </w:rPr>
        <w:t xml:space="preserve"> </w:t>
      </w:r>
      <w:r>
        <w:rPr>
          <w:sz w:val="18"/>
        </w:rPr>
        <w:t>links</w:t>
      </w:r>
      <w:r>
        <w:rPr>
          <w:spacing w:val="-9"/>
          <w:sz w:val="18"/>
        </w:rPr>
        <w:t xml:space="preserve"> </w:t>
      </w:r>
      <w:r>
        <w:rPr>
          <w:sz w:val="18"/>
        </w:rPr>
        <w:t>significant</w:t>
      </w:r>
      <w:r>
        <w:rPr>
          <w:spacing w:val="-9"/>
          <w:sz w:val="18"/>
        </w:rPr>
        <w:t xml:space="preserve"> </w:t>
      </w:r>
      <w:r>
        <w:rPr>
          <w:sz w:val="18"/>
        </w:rPr>
        <w:t>price</w:t>
      </w:r>
      <w:r>
        <w:rPr>
          <w:spacing w:val="-9"/>
          <w:sz w:val="18"/>
        </w:rPr>
        <w:t xml:space="preserve"> </w:t>
      </w:r>
      <w:r>
        <w:rPr>
          <w:sz w:val="18"/>
        </w:rPr>
        <w:t>depression</w:t>
      </w:r>
      <w:r>
        <w:rPr>
          <w:spacing w:val="-9"/>
          <w:sz w:val="18"/>
        </w:rPr>
        <w:t xml:space="preserve"> </w:t>
      </w:r>
      <w:r>
        <w:rPr>
          <w:sz w:val="18"/>
        </w:rPr>
        <w:t>and</w:t>
      </w:r>
      <w:r>
        <w:rPr>
          <w:spacing w:val="-9"/>
          <w:sz w:val="18"/>
        </w:rPr>
        <w:t xml:space="preserve"> </w:t>
      </w:r>
      <w:r>
        <w:rPr>
          <w:sz w:val="18"/>
        </w:rPr>
        <w:t>suppression</w:t>
      </w:r>
      <w:r>
        <w:rPr>
          <w:spacing w:val="-9"/>
          <w:sz w:val="18"/>
        </w:rPr>
        <w:t xml:space="preserve"> </w:t>
      </w:r>
      <w:r>
        <w:rPr>
          <w:sz w:val="18"/>
        </w:rPr>
        <w:t>with</w:t>
      </w:r>
      <w:r>
        <w:rPr>
          <w:spacing w:val="-9"/>
          <w:sz w:val="18"/>
        </w:rPr>
        <w:t xml:space="preserve"> </w:t>
      </w:r>
      <w:r>
        <w:rPr>
          <w:sz w:val="18"/>
        </w:rPr>
        <w:t xml:space="preserve">subject imports, and contemplates an inquiry into the relationship </w:t>
      </w:r>
      <w:r>
        <w:rPr>
          <w:sz w:val="18"/>
        </w:rPr>
        <w:t>between two variables, namely, subject imports and domestic prices. More</w:t>
      </w:r>
      <w:r>
        <w:rPr>
          <w:spacing w:val="-1"/>
          <w:sz w:val="18"/>
        </w:rPr>
        <w:t xml:space="preserve"> </w:t>
      </w:r>
      <w:r>
        <w:rPr>
          <w:sz w:val="18"/>
        </w:rPr>
        <w:t>specifically,</w:t>
      </w:r>
      <w:r>
        <w:rPr>
          <w:spacing w:val="-2"/>
          <w:sz w:val="18"/>
        </w:rPr>
        <w:t xml:space="preserve"> </w:t>
      </w:r>
      <w:r>
        <w:rPr>
          <w:sz w:val="18"/>
        </w:rPr>
        <w:t>an</w:t>
      </w:r>
      <w:r>
        <w:rPr>
          <w:spacing w:val="-1"/>
          <w:sz w:val="18"/>
        </w:rPr>
        <w:t xml:space="preserve"> </w:t>
      </w:r>
      <w:r>
        <w:rPr>
          <w:sz w:val="18"/>
        </w:rPr>
        <w:t>investigating</w:t>
      </w:r>
      <w:r>
        <w:rPr>
          <w:spacing w:val="-1"/>
          <w:sz w:val="18"/>
        </w:rPr>
        <w:t xml:space="preserve"> </w:t>
      </w:r>
      <w:r>
        <w:rPr>
          <w:sz w:val="18"/>
        </w:rPr>
        <w:t>authority</w:t>
      </w:r>
      <w:r>
        <w:rPr>
          <w:spacing w:val="-1"/>
          <w:sz w:val="18"/>
        </w:rPr>
        <w:t xml:space="preserve"> </w:t>
      </w:r>
      <w:r>
        <w:rPr>
          <w:sz w:val="18"/>
        </w:rPr>
        <w:t>is</w:t>
      </w:r>
      <w:r>
        <w:rPr>
          <w:spacing w:val="-1"/>
          <w:sz w:val="18"/>
        </w:rPr>
        <w:t xml:space="preserve"> </w:t>
      </w:r>
      <w:r>
        <w:rPr>
          <w:sz w:val="18"/>
        </w:rPr>
        <w:t>required</w:t>
      </w:r>
      <w:r>
        <w:rPr>
          <w:spacing w:val="-2"/>
          <w:sz w:val="18"/>
        </w:rPr>
        <w:t xml:space="preserve"> </w:t>
      </w:r>
      <w:r>
        <w:rPr>
          <w:sz w:val="18"/>
        </w:rPr>
        <w:t>to</w:t>
      </w:r>
      <w:r>
        <w:rPr>
          <w:spacing w:val="-1"/>
          <w:sz w:val="18"/>
        </w:rPr>
        <w:t xml:space="preserve"> </w:t>
      </w:r>
      <w:r>
        <w:rPr>
          <w:sz w:val="18"/>
        </w:rPr>
        <w:t>consider</w:t>
      </w:r>
      <w:r>
        <w:rPr>
          <w:spacing w:val="-1"/>
          <w:sz w:val="18"/>
        </w:rPr>
        <w:t xml:space="preserve"> </w:t>
      </w:r>
      <w:r>
        <w:rPr>
          <w:sz w:val="18"/>
        </w:rPr>
        <w:t>whether</w:t>
      </w:r>
      <w:r>
        <w:rPr>
          <w:spacing w:val="-2"/>
          <w:sz w:val="18"/>
        </w:rPr>
        <w:t xml:space="preserve"> </w:t>
      </w:r>
      <w:r>
        <w:rPr>
          <w:sz w:val="18"/>
        </w:rPr>
        <w:t>a</w:t>
      </w:r>
      <w:r>
        <w:rPr>
          <w:spacing w:val="-1"/>
          <w:sz w:val="18"/>
        </w:rPr>
        <w:t xml:space="preserve"> </w:t>
      </w:r>
      <w:r>
        <w:rPr>
          <w:sz w:val="18"/>
        </w:rPr>
        <w:t>first</w:t>
      </w:r>
      <w:r>
        <w:rPr>
          <w:spacing w:val="-3"/>
          <w:sz w:val="18"/>
        </w:rPr>
        <w:t xml:space="preserve"> </w:t>
      </w:r>
      <w:r>
        <w:rPr>
          <w:sz w:val="18"/>
        </w:rPr>
        <w:t>variable</w:t>
      </w:r>
      <w:r>
        <w:rPr>
          <w:spacing w:val="-2"/>
          <w:sz w:val="18"/>
        </w:rPr>
        <w:t xml:space="preserve"> </w:t>
      </w:r>
      <w:r>
        <w:rPr>
          <w:sz w:val="18"/>
        </w:rPr>
        <w:t>—</w:t>
      </w:r>
      <w:r>
        <w:rPr>
          <w:spacing w:val="-1"/>
          <w:sz w:val="18"/>
        </w:rPr>
        <w:t xml:space="preserve"> </w:t>
      </w:r>
      <w:r>
        <w:rPr>
          <w:sz w:val="18"/>
        </w:rPr>
        <w:t>that</w:t>
      </w:r>
      <w:r>
        <w:rPr>
          <w:spacing w:val="-2"/>
          <w:sz w:val="18"/>
        </w:rPr>
        <w:t xml:space="preserve"> </w:t>
      </w:r>
      <w:r>
        <w:rPr>
          <w:sz w:val="18"/>
        </w:rPr>
        <w:t>is,</w:t>
      </w:r>
      <w:r>
        <w:rPr>
          <w:spacing w:val="-3"/>
          <w:sz w:val="18"/>
        </w:rPr>
        <w:t xml:space="preserve"> </w:t>
      </w:r>
      <w:r>
        <w:rPr>
          <w:sz w:val="18"/>
        </w:rPr>
        <w:t>subject</w:t>
      </w:r>
      <w:r>
        <w:rPr>
          <w:spacing w:val="-1"/>
          <w:sz w:val="18"/>
        </w:rPr>
        <w:t xml:space="preserve"> </w:t>
      </w:r>
      <w:r>
        <w:rPr>
          <w:sz w:val="18"/>
        </w:rPr>
        <w:t>imports</w:t>
      </w:r>
    </w:p>
    <w:p w14:paraId="51DE8DCF" w14:textId="77777777" w:rsidR="0010369C" w:rsidRDefault="008E43AE">
      <w:pPr>
        <w:spacing w:before="1"/>
        <w:ind w:left="237" w:right="616" w:hanging="1"/>
        <w:jc w:val="both"/>
        <w:rPr>
          <w:sz w:val="18"/>
        </w:rPr>
      </w:pPr>
      <w:r>
        <w:rPr>
          <w:sz w:val="18"/>
        </w:rPr>
        <w:t>—</w:t>
      </w:r>
      <w:r>
        <w:rPr>
          <w:spacing w:val="-2"/>
          <w:sz w:val="18"/>
        </w:rPr>
        <w:t xml:space="preserve"> </w:t>
      </w:r>
      <w:r>
        <w:rPr>
          <w:sz w:val="18"/>
        </w:rPr>
        <w:t>has</w:t>
      </w:r>
      <w:r>
        <w:rPr>
          <w:spacing w:val="-3"/>
          <w:sz w:val="18"/>
        </w:rPr>
        <w:t xml:space="preserve"> </w:t>
      </w:r>
      <w:r>
        <w:rPr>
          <w:sz w:val="18"/>
        </w:rPr>
        <w:t>explanatory</w:t>
      </w:r>
      <w:r>
        <w:rPr>
          <w:spacing w:val="-3"/>
          <w:sz w:val="18"/>
        </w:rPr>
        <w:t xml:space="preserve"> </w:t>
      </w:r>
      <w:r>
        <w:rPr>
          <w:sz w:val="18"/>
        </w:rPr>
        <w:t>force</w:t>
      </w:r>
      <w:r>
        <w:rPr>
          <w:spacing w:val="-2"/>
          <w:sz w:val="18"/>
        </w:rPr>
        <w:t xml:space="preserve"> </w:t>
      </w:r>
      <w:r>
        <w:rPr>
          <w:sz w:val="18"/>
        </w:rPr>
        <w:t>for</w:t>
      </w:r>
      <w:r>
        <w:rPr>
          <w:spacing w:val="-3"/>
          <w:sz w:val="18"/>
        </w:rPr>
        <w:t xml:space="preserve"> </w:t>
      </w:r>
      <w:r>
        <w:rPr>
          <w:sz w:val="18"/>
        </w:rPr>
        <w:t>the</w:t>
      </w:r>
      <w:r>
        <w:rPr>
          <w:spacing w:val="-3"/>
          <w:sz w:val="18"/>
        </w:rPr>
        <w:t xml:space="preserve"> </w:t>
      </w:r>
      <w:r>
        <w:rPr>
          <w:sz w:val="18"/>
        </w:rPr>
        <w:t>occurrence</w:t>
      </w:r>
      <w:r>
        <w:rPr>
          <w:spacing w:val="-1"/>
          <w:sz w:val="18"/>
        </w:rPr>
        <w:t xml:space="preserve"> </w:t>
      </w:r>
      <w:r>
        <w:rPr>
          <w:sz w:val="18"/>
        </w:rPr>
        <w:t>of</w:t>
      </w:r>
      <w:r>
        <w:rPr>
          <w:spacing w:val="-2"/>
          <w:sz w:val="18"/>
        </w:rPr>
        <w:t xml:space="preserve"> </w:t>
      </w:r>
      <w:r>
        <w:rPr>
          <w:sz w:val="18"/>
        </w:rPr>
        <w:t>significant</w:t>
      </w:r>
      <w:r>
        <w:rPr>
          <w:spacing w:val="-2"/>
          <w:sz w:val="18"/>
        </w:rPr>
        <w:t xml:space="preserve"> </w:t>
      </w:r>
      <w:r>
        <w:rPr>
          <w:sz w:val="18"/>
        </w:rPr>
        <w:t>depression</w:t>
      </w:r>
      <w:r>
        <w:rPr>
          <w:spacing w:val="-2"/>
          <w:sz w:val="18"/>
        </w:rPr>
        <w:t xml:space="preserve"> </w:t>
      </w:r>
      <w:r>
        <w:rPr>
          <w:sz w:val="18"/>
        </w:rPr>
        <w:t>or</w:t>
      </w:r>
      <w:r>
        <w:rPr>
          <w:spacing w:val="-3"/>
          <w:sz w:val="18"/>
        </w:rPr>
        <w:t xml:space="preserve"> </w:t>
      </w:r>
      <w:r>
        <w:rPr>
          <w:sz w:val="18"/>
        </w:rPr>
        <w:t>suppression</w:t>
      </w:r>
      <w:r>
        <w:rPr>
          <w:spacing w:val="-2"/>
          <w:sz w:val="18"/>
        </w:rPr>
        <w:t xml:space="preserve"> </w:t>
      </w:r>
      <w:r>
        <w:rPr>
          <w:sz w:val="18"/>
        </w:rPr>
        <w:t>of</w:t>
      </w:r>
      <w:r>
        <w:rPr>
          <w:spacing w:val="-2"/>
          <w:sz w:val="18"/>
        </w:rPr>
        <w:t xml:space="preserve"> </w:t>
      </w:r>
      <w:r>
        <w:rPr>
          <w:sz w:val="18"/>
        </w:rPr>
        <w:t>a</w:t>
      </w:r>
      <w:r>
        <w:rPr>
          <w:spacing w:val="-2"/>
          <w:sz w:val="18"/>
        </w:rPr>
        <w:t xml:space="preserve"> </w:t>
      </w:r>
      <w:r>
        <w:rPr>
          <w:sz w:val="18"/>
        </w:rPr>
        <w:t>second</w:t>
      </w:r>
      <w:r>
        <w:rPr>
          <w:spacing w:val="-3"/>
          <w:sz w:val="18"/>
        </w:rPr>
        <w:t xml:space="preserve"> </w:t>
      </w:r>
      <w:r>
        <w:rPr>
          <w:sz w:val="18"/>
        </w:rPr>
        <w:t>variable</w:t>
      </w:r>
      <w:r>
        <w:rPr>
          <w:spacing w:val="-2"/>
          <w:sz w:val="18"/>
        </w:rPr>
        <w:t xml:space="preserve"> </w:t>
      </w:r>
      <w:r>
        <w:rPr>
          <w:sz w:val="18"/>
        </w:rPr>
        <w:t>—</w:t>
      </w:r>
      <w:r>
        <w:rPr>
          <w:spacing w:val="-2"/>
          <w:sz w:val="18"/>
        </w:rPr>
        <w:t xml:space="preserve"> </w:t>
      </w:r>
      <w:r>
        <w:rPr>
          <w:sz w:val="18"/>
        </w:rPr>
        <w:t>that</w:t>
      </w:r>
      <w:r>
        <w:rPr>
          <w:spacing w:val="-3"/>
          <w:sz w:val="18"/>
        </w:rPr>
        <w:t xml:space="preserve"> </w:t>
      </w:r>
      <w:r>
        <w:rPr>
          <w:sz w:val="18"/>
        </w:rPr>
        <w:t>is,</w:t>
      </w:r>
      <w:r>
        <w:rPr>
          <w:spacing w:val="-3"/>
          <w:sz w:val="18"/>
        </w:rPr>
        <w:t xml:space="preserve"> </w:t>
      </w:r>
      <w:r>
        <w:rPr>
          <w:sz w:val="18"/>
        </w:rPr>
        <w:t xml:space="preserve">domestic </w:t>
      </w:r>
      <w:r>
        <w:rPr>
          <w:spacing w:val="-2"/>
          <w:sz w:val="18"/>
        </w:rPr>
        <w:t>prices").</w:t>
      </w:r>
    </w:p>
    <w:p w14:paraId="51DE8DD0" w14:textId="77777777" w:rsidR="0010369C" w:rsidRDefault="0010369C">
      <w:pPr>
        <w:jc w:val="both"/>
        <w:rPr>
          <w:sz w:val="18"/>
        </w:rPr>
        <w:sectPr w:rsidR="0010369C">
          <w:pgSz w:w="11910" w:h="16840"/>
          <w:pgMar w:top="880" w:right="800" w:bottom="980" w:left="1180" w:header="569" w:footer="788" w:gutter="0"/>
          <w:cols w:space="720"/>
        </w:sectPr>
      </w:pPr>
    </w:p>
    <w:p w14:paraId="51DE8DD1" w14:textId="77777777" w:rsidR="0010369C" w:rsidRDefault="008E43AE">
      <w:pPr>
        <w:tabs>
          <w:tab w:val="left" w:pos="6426"/>
        </w:tabs>
        <w:ind w:left="238"/>
        <w:jc w:val="both"/>
        <w:rPr>
          <w:sz w:val="20"/>
        </w:rPr>
      </w:pPr>
      <w:r>
        <w:rPr>
          <w:i/>
          <w:sz w:val="20"/>
        </w:rPr>
        <w:lastRenderedPageBreak/>
        <w:t>China</w:t>
      </w:r>
      <w:r>
        <w:rPr>
          <w:i/>
          <w:spacing w:val="-5"/>
          <w:sz w:val="20"/>
        </w:rPr>
        <w:t xml:space="preserve"> </w:t>
      </w:r>
      <w:r>
        <w:rPr>
          <w:i/>
          <w:sz w:val="20"/>
        </w:rPr>
        <w:t>–</w:t>
      </w:r>
      <w:r>
        <w:rPr>
          <w:i/>
          <w:spacing w:val="-5"/>
          <w:sz w:val="20"/>
        </w:rPr>
        <w:t xml:space="preserve"> </w:t>
      </w:r>
      <w:r>
        <w:rPr>
          <w:i/>
          <w:sz w:val="20"/>
        </w:rPr>
        <w:t>Anti‐Dumping</w:t>
      </w:r>
      <w:r>
        <w:rPr>
          <w:i/>
          <w:spacing w:val="-4"/>
          <w:sz w:val="20"/>
        </w:rPr>
        <w:t xml:space="preserve"> </w:t>
      </w:r>
      <w:r>
        <w:rPr>
          <w:i/>
          <w:sz w:val="20"/>
        </w:rPr>
        <w:t>and</w:t>
      </w:r>
      <w:r>
        <w:rPr>
          <w:i/>
          <w:spacing w:val="-5"/>
          <w:sz w:val="20"/>
        </w:rPr>
        <w:t xml:space="preserve"> </w:t>
      </w:r>
      <w:r>
        <w:rPr>
          <w:i/>
          <w:sz w:val="20"/>
        </w:rPr>
        <w:t>Countervailing</w:t>
      </w:r>
      <w:r>
        <w:rPr>
          <w:i/>
          <w:spacing w:val="-5"/>
          <w:sz w:val="20"/>
        </w:rPr>
        <w:t xml:space="preserve"> </w:t>
      </w:r>
      <w:r>
        <w:rPr>
          <w:i/>
          <w:sz w:val="20"/>
        </w:rPr>
        <w:t>Duty</w:t>
      </w:r>
      <w:r>
        <w:rPr>
          <w:i/>
          <w:spacing w:val="-4"/>
          <w:sz w:val="20"/>
        </w:rPr>
        <w:t xml:space="preserve"> </w:t>
      </w:r>
      <w:r>
        <w:rPr>
          <w:i/>
          <w:spacing w:val="-2"/>
          <w:sz w:val="20"/>
        </w:rPr>
        <w:t>Measures</w:t>
      </w:r>
      <w:r>
        <w:rPr>
          <w:i/>
          <w:sz w:val="20"/>
        </w:rPr>
        <w:tab/>
      </w:r>
      <w:r>
        <w:rPr>
          <w:sz w:val="20"/>
        </w:rPr>
        <w:t>Australia's</w:t>
      </w:r>
      <w:r>
        <w:rPr>
          <w:spacing w:val="-7"/>
          <w:sz w:val="20"/>
        </w:rPr>
        <w:t xml:space="preserve"> </w:t>
      </w:r>
      <w:r>
        <w:rPr>
          <w:sz w:val="20"/>
        </w:rPr>
        <w:t>First</w:t>
      </w:r>
      <w:r>
        <w:rPr>
          <w:spacing w:val="-2"/>
          <w:sz w:val="20"/>
        </w:rPr>
        <w:t xml:space="preserve"> </w:t>
      </w:r>
      <w:r>
        <w:rPr>
          <w:sz w:val="20"/>
        </w:rPr>
        <w:t>Written</w:t>
      </w:r>
      <w:r>
        <w:rPr>
          <w:spacing w:val="-2"/>
          <w:sz w:val="20"/>
        </w:rPr>
        <w:t xml:space="preserve"> Submission</w:t>
      </w:r>
    </w:p>
    <w:p w14:paraId="51DE8DD2" w14:textId="77777777" w:rsidR="0010369C" w:rsidRDefault="008E43AE">
      <w:pPr>
        <w:tabs>
          <w:tab w:val="left" w:pos="8228"/>
        </w:tabs>
        <w:spacing w:before="1"/>
        <w:ind w:left="239"/>
        <w:jc w:val="both"/>
        <w:rPr>
          <w:sz w:val="20"/>
        </w:rPr>
      </w:pPr>
      <w:r>
        <w:rPr>
          <w:i/>
          <w:sz w:val="20"/>
        </w:rPr>
        <w:t>on</w:t>
      </w:r>
      <w:r>
        <w:rPr>
          <w:i/>
          <w:spacing w:val="-1"/>
          <w:sz w:val="20"/>
        </w:rPr>
        <w:t xml:space="preserve"> </w:t>
      </w:r>
      <w:r>
        <w:rPr>
          <w:i/>
          <w:sz w:val="20"/>
        </w:rPr>
        <w:t>Wine</w:t>
      </w:r>
      <w:r>
        <w:rPr>
          <w:i/>
          <w:spacing w:val="-1"/>
          <w:sz w:val="20"/>
        </w:rPr>
        <w:t xml:space="preserve"> </w:t>
      </w:r>
      <w:r>
        <w:rPr>
          <w:i/>
          <w:sz w:val="20"/>
        </w:rPr>
        <w:t>from</w:t>
      </w:r>
      <w:r>
        <w:rPr>
          <w:i/>
          <w:spacing w:val="-3"/>
          <w:sz w:val="20"/>
        </w:rPr>
        <w:t xml:space="preserve"> </w:t>
      </w:r>
      <w:r>
        <w:rPr>
          <w:i/>
          <w:sz w:val="20"/>
        </w:rPr>
        <w:t>Australia</w:t>
      </w:r>
      <w:r>
        <w:rPr>
          <w:i/>
          <w:spacing w:val="-1"/>
          <w:sz w:val="20"/>
        </w:rPr>
        <w:t xml:space="preserve"> </w:t>
      </w:r>
      <w:r>
        <w:rPr>
          <w:spacing w:val="-2"/>
          <w:sz w:val="20"/>
        </w:rPr>
        <w:t>(DS602)</w:t>
      </w:r>
      <w:r>
        <w:rPr>
          <w:sz w:val="20"/>
        </w:rPr>
        <w:tab/>
        <w:t>29</w:t>
      </w:r>
      <w:r>
        <w:rPr>
          <w:spacing w:val="-1"/>
          <w:sz w:val="20"/>
        </w:rPr>
        <w:t xml:space="preserve"> </w:t>
      </w:r>
      <w:r>
        <w:rPr>
          <w:sz w:val="20"/>
        </w:rPr>
        <w:t>April</w:t>
      </w:r>
      <w:r>
        <w:rPr>
          <w:spacing w:val="-2"/>
          <w:sz w:val="20"/>
        </w:rPr>
        <w:t xml:space="preserve"> </w:t>
      </w:r>
      <w:r>
        <w:rPr>
          <w:spacing w:val="-4"/>
          <w:sz w:val="20"/>
        </w:rPr>
        <w:t>2022</w:t>
      </w:r>
    </w:p>
    <w:p w14:paraId="51DE8DD3" w14:textId="77777777" w:rsidR="0010369C" w:rsidRDefault="008E43AE">
      <w:pPr>
        <w:spacing w:before="35" w:line="276" w:lineRule="auto"/>
        <w:ind w:left="1089" w:right="612" w:hanging="1"/>
        <w:jc w:val="both"/>
      </w:pPr>
      <w:r>
        <w:t>dumped imports that may explain the significant suppression of domestic prices, the investigating authority must consider relevant evidence pertaining to such elements for purposes of understanding whether dumped imports indeed have a suppressive effect on</w:t>
      </w:r>
      <w:r>
        <w:t xml:space="preserve"> domestic prices.</w:t>
      </w:r>
      <w:r>
        <w:rPr>
          <w:vertAlign w:val="superscript"/>
        </w:rPr>
        <w:t>621</w:t>
      </w:r>
    </w:p>
    <w:p w14:paraId="51DE8DD4" w14:textId="77777777" w:rsidR="0010369C" w:rsidRDefault="0010369C">
      <w:pPr>
        <w:pStyle w:val="BodyText"/>
        <w:spacing w:before="4"/>
        <w:rPr>
          <w:sz w:val="15"/>
        </w:rPr>
      </w:pPr>
    </w:p>
    <w:p w14:paraId="51DE8DD5" w14:textId="77777777" w:rsidR="0010369C" w:rsidRDefault="008E43AE">
      <w:pPr>
        <w:pStyle w:val="BodyText"/>
        <w:spacing w:before="52" w:line="360" w:lineRule="auto"/>
        <w:ind w:left="238" w:right="612" w:firstLine="850"/>
        <w:jc w:val="both"/>
      </w:pPr>
      <w:r>
        <w:rPr>
          <w:noProof/>
        </w:rPr>
        <w:drawing>
          <wp:anchor distT="0" distB="0" distL="0" distR="0" simplePos="0" relativeHeight="251189760" behindDoc="1" locked="0" layoutInCell="1" allowOverlap="1" wp14:anchorId="51DEA453" wp14:editId="51DEA454">
            <wp:simplePos x="0" y="0"/>
            <wp:positionH relativeFrom="page">
              <wp:posOffset>902208</wp:posOffset>
            </wp:positionH>
            <wp:positionV relativeFrom="paragraph">
              <wp:posOffset>76785</wp:posOffset>
            </wp:positionV>
            <wp:extent cx="262127" cy="106679"/>
            <wp:effectExtent l="0" t="0" r="0" b="0"/>
            <wp:wrapNone/>
            <wp:docPr id="1105" name="image5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 name="image564.png"/>
                    <pic:cNvPicPr/>
                  </pic:nvPicPr>
                  <pic:blipFill>
                    <a:blip r:embed="rId737" cstate="print"/>
                    <a:stretch>
                      <a:fillRect/>
                    </a:stretch>
                  </pic:blipFill>
                  <pic:spPr>
                    <a:xfrm>
                      <a:off x="0" y="0"/>
                      <a:ext cx="262127" cy="106679"/>
                    </a:xfrm>
                    <a:prstGeom prst="rect">
                      <a:avLst/>
                    </a:prstGeom>
                  </pic:spPr>
                </pic:pic>
              </a:graphicData>
            </a:graphic>
          </wp:anchor>
        </w:drawing>
      </w:r>
      <w:r>
        <w:t>This inquiry into whether dumped imports have "explanatory force" for significant suppression of domestic prices under Article 3.2 is distinct from the causation and non‐ attribution analysis under Article 3.5.</w:t>
      </w:r>
      <w:r>
        <w:rPr>
          <w:vertAlign w:val="superscript"/>
        </w:rPr>
        <w:t>622</w:t>
      </w:r>
      <w:r>
        <w:t xml:space="preserve"> In this respect, th</w:t>
      </w:r>
      <w:r>
        <w:t>e Appellate Body has clarified that:</w:t>
      </w:r>
    </w:p>
    <w:p w14:paraId="51DE8DD6" w14:textId="77777777" w:rsidR="0010369C" w:rsidRDefault="008E43AE">
      <w:pPr>
        <w:spacing w:before="161" w:line="276" w:lineRule="auto"/>
        <w:ind w:left="1088" w:right="612"/>
        <w:jc w:val="both"/>
      </w:pPr>
      <w:r>
        <w:t>While</w:t>
      </w:r>
      <w:r>
        <w:rPr>
          <w:spacing w:val="-2"/>
        </w:rPr>
        <w:t xml:space="preserve"> </w:t>
      </w:r>
      <w:r>
        <w:t>the</w:t>
      </w:r>
      <w:r>
        <w:rPr>
          <w:spacing w:val="-2"/>
        </w:rPr>
        <w:t xml:space="preserve"> </w:t>
      </w:r>
      <w:r>
        <w:t>assessments</w:t>
      </w:r>
      <w:r>
        <w:rPr>
          <w:spacing w:val="-1"/>
        </w:rPr>
        <w:t xml:space="preserve"> </w:t>
      </w:r>
      <w:r>
        <w:t>under</w:t>
      </w:r>
      <w:r>
        <w:rPr>
          <w:spacing w:val="-1"/>
        </w:rPr>
        <w:t xml:space="preserve"> </w:t>
      </w:r>
      <w:r>
        <w:t>both Article</w:t>
      </w:r>
      <w:r>
        <w:rPr>
          <w:spacing w:val="-2"/>
        </w:rPr>
        <w:t xml:space="preserve"> </w:t>
      </w:r>
      <w:r>
        <w:t>3.2</w:t>
      </w:r>
      <w:r>
        <w:rPr>
          <w:spacing w:val="-2"/>
        </w:rPr>
        <w:t xml:space="preserve"> </w:t>
      </w:r>
      <w:r>
        <w:t>and</w:t>
      </w:r>
      <w:r>
        <w:rPr>
          <w:spacing w:val="-2"/>
        </w:rPr>
        <w:t xml:space="preserve"> </w:t>
      </w:r>
      <w:r>
        <w:t>3.5</w:t>
      </w:r>
      <w:r>
        <w:rPr>
          <w:spacing w:val="-1"/>
        </w:rPr>
        <w:t xml:space="preserve"> </w:t>
      </w:r>
      <w:r>
        <w:t>are</w:t>
      </w:r>
      <w:r>
        <w:rPr>
          <w:spacing w:val="-2"/>
        </w:rPr>
        <w:t xml:space="preserve"> </w:t>
      </w:r>
      <w:r>
        <w:t>interlinked</w:t>
      </w:r>
      <w:r>
        <w:rPr>
          <w:spacing w:val="-1"/>
        </w:rPr>
        <w:t xml:space="preserve"> </w:t>
      </w:r>
      <w:r>
        <w:t>elements of</w:t>
      </w:r>
      <w:r>
        <w:rPr>
          <w:spacing w:val="-2"/>
        </w:rPr>
        <w:t xml:space="preserve"> </w:t>
      </w:r>
      <w:r>
        <w:t>the</w:t>
      </w:r>
      <w:r>
        <w:rPr>
          <w:spacing w:val="-2"/>
        </w:rPr>
        <w:t xml:space="preserve"> </w:t>
      </w:r>
      <w:r>
        <w:t>single, overall injury analysis, the inquiry under each provision has a distinct focus. The analysis under</w:t>
      </w:r>
      <w:r>
        <w:rPr>
          <w:spacing w:val="-2"/>
        </w:rPr>
        <w:t xml:space="preserve"> </w:t>
      </w:r>
      <w:r>
        <w:t>Article</w:t>
      </w:r>
      <w:r>
        <w:rPr>
          <w:spacing w:val="-2"/>
        </w:rPr>
        <w:t xml:space="preserve"> </w:t>
      </w:r>
      <w:r>
        <w:t>3.2</w:t>
      </w:r>
      <w:r>
        <w:rPr>
          <w:spacing w:val="-3"/>
        </w:rPr>
        <w:t xml:space="preserve"> </w:t>
      </w:r>
      <w:r>
        <w:t>focuses</w:t>
      </w:r>
      <w:r>
        <w:rPr>
          <w:spacing w:val="-2"/>
        </w:rPr>
        <w:t xml:space="preserve"> </w:t>
      </w:r>
      <w:r>
        <w:t>on</w:t>
      </w:r>
      <w:r>
        <w:rPr>
          <w:spacing w:val="-3"/>
        </w:rPr>
        <w:t xml:space="preserve"> </w:t>
      </w:r>
      <w:r>
        <w:t>the</w:t>
      </w:r>
      <w:r>
        <w:rPr>
          <w:spacing w:val="-3"/>
        </w:rPr>
        <w:t xml:space="preserve"> </w:t>
      </w:r>
      <w:r>
        <w:t>relationship</w:t>
      </w:r>
      <w:r>
        <w:rPr>
          <w:spacing w:val="-2"/>
        </w:rPr>
        <w:t xml:space="preserve"> </w:t>
      </w:r>
      <w:r>
        <w:t>between</w:t>
      </w:r>
      <w:r>
        <w:rPr>
          <w:spacing w:val="-1"/>
        </w:rPr>
        <w:t xml:space="preserve"> </w:t>
      </w:r>
      <w:r>
        <w:t>dumped</w:t>
      </w:r>
      <w:r>
        <w:rPr>
          <w:spacing w:val="-3"/>
        </w:rPr>
        <w:t xml:space="preserve"> </w:t>
      </w:r>
      <w:r>
        <w:t>imports</w:t>
      </w:r>
      <w:r>
        <w:rPr>
          <w:spacing w:val="-2"/>
        </w:rPr>
        <w:t xml:space="preserve"> </w:t>
      </w:r>
      <w:r>
        <w:t>and</w:t>
      </w:r>
      <w:r>
        <w:rPr>
          <w:spacing w:val="-3"/>
        </w:rPr>
        <w:t xml:space="preserve"> </w:t>
      </w:r>
      <w:r>
        <w:rPr>
          <w:i/>
        </w:rPr>
        <w:t>domestic</w:t>
      </w:r>
      <w:r>
        <w:rPr>
          <w:i/>
          <w:spacing w:val="-3"/>
        </w:rPr>
        <w:t xml:space="preserve"> </w:t>
      </w:r>
      <w:r>
        <w:rPr>
          <w:i/>
        </w:rPr>
        <w:t>prices</w:t>
      </w:r>
      <w:r>
        <w:t>. In</w:t>
      </w:r>
      <w:r>
        <w:rPr>
          <w:spacing w:val="-13"/>
        </w:rPr>
        <w:t xml:space="preserve"> </w:t>
      </w:r>
      <w:r>
        <w:t>contrast,</w:t>
      </w:r>
      <w:r>
        <w:rPr>
          <w:spacing w:val="-12"/>
        </w:rPr>
        <w:t xml:space="preserve"> </w:t>
      </w:r>
      <w:r>
        <w:t>the</w:t>
      </w:r>
      <w:r>
        <w:rPr>
          <w:spacing w:val="-13"/>
        </w:rPr>
        <w:t xml:space="preserve"> </w:t>
      </w:r>
      <w:r>
        <w:t>analysis</w:t>
      </w:r>
      <w:r>
        <w:rPr>
          <w:spacing w:val="-12"/>
        </w:rPr>
        <w:t xml:space="preserve"> </w:t>
      </w:r>
      <w:r>
        <w:t>under</w:t>
      </w:r>
      <w:r>
        <w:rPr>
          <w:spacing w:val="-13"/>
        </w:rPr>
        <w:t xml:space="preserve"> </w:t>
      </w:r>
      <w:r>
        <w:t>Article</w:t>
      </w:r>
      <w:r>
        <w:rPr>
          <w:spacing w:val="-12"/>
        </w:rPr>
        <w:t xml:space="preserve"> </w:t>
      </w:r>
      <w:r>
        <w:t>3.5</w:t>
      </w:r>
      <w:r>
        <w:rPr>
          <w:spacing w:val="-13"/>
        </w:rPr>
        <w:t xml:space="preserve"> </w:t>
      </w:r>
      <w:r>
        <w:t>focuses</w:t>
      </w:r>
      <w:r>
        <w:rPr>
          <w:spacing w:val="-12"/>
        </w:rPr>
        <w:t xml:space="preserve"> </w:t>
      </w:r>
      <w:r>
        <w:t>on</w:t>
      </w:r>
      <w:r>
        <w:rPr>
          <w:spacing w:val="-12"/>
        </w:rPr>
        <w:t xml:space="preserve"> </w:t>
      </w:r>
      <w:r>
        <w:t>the</w:t>
      </w:r>
      <w:r>
        <w:rPr>
          <w:spacing w:val="-13"/>
        </w:rPr>
        <w:t xml:space="preserve"> </w:t>
      </w:r>
      <w:r>
        <w:t>causal</w:t>
      </w:r>
      <w:r>
        <w:rPr>
          <w:spacing w:val="-12"/>
        </w:rPr>
        <w:t xml:space="preserve"> </w:t>
      </w:r>
      <w:r>
        <w:t>relationship</w:t>
      </w:r>
      <w:r>
        <w:rPr>
          <w:spacing w:val="-13"/>
        </w:rPr>
        <w:t xml:space="preserve"> </w:t>
      </w:r>
      <w:r>
        <w:t>between</w:t>
      </w:r>
      <w:r>
        <w:rPr>
          <w:spacing w:val="-12"/>
        </w:rPr>
        <w:t xml:space="preserve"> </w:t>
      </w:r>
      <w:r>
        <w:t>dumped imports</w:t>
      </w:r>
      <w:r>
        <w:rPr>
          <w:spacing w:val="-4"/>
        </w:rPr>
        <w:t xml:space="preserve"> </w:t>
      </w:r>
      <w:r>
        <w:t>and</w:t>
      </w:r>
      <w:r>
        <w:rPr>
          <w:spacing w:val="-5"/>
        </w:rPr>
        <w:t xml:space="preserve"> </w:t>
      </w:r>
      <w:r>
        <w:rPr>
          <w:i/>
        </w:rPr>
        <w:t>injury</w:t>
      </w:r>
      <w:r>
        <w:rPr>
          <w:i/>
          <w:spacing w:val="-5"/>
        </w:rPr>
        <w:t xml:space="preserve"> </w:t>
      </w:r>
      <w:r>
        <w:t>to</w:t>
      </w:r>
      <w:r>
        <w:rPr>
          <w:spacing w:val="-3"/>
        </w:rPr>
        <w:t xml:space="preserve"> </w:t>
      </w:r>
      <w:r>
        <w:t>the</w:t>
      </w:r>
      <w:r>
        <w:rPr>
          <w:spacing w:val="-4"/>
        </w:rPr>
        <w:t xml:space="preserve"> </w:t>
      </w:r>
      <w:r>
        <w:t>domestic</w:t>
      </w:r>
      <w:r>
        <w:rPr>
          <w:spacing w:val="-4"/>
        </w:rPr>
        <w:t xml:space="preserve"> </w:t>
      </w:r>
      <w:r>
        <w:t>industry.</w:t>
      </w:r>
      <w:r>
        <w:rPr>
          <w:spacing w:val="-4"/>
        </w:rPr>
        <w:t xml:space="preserve"> </w:t>
      </w:r>
      <w:r>
        <w:t>….</w:t>
      </w:r>
      <w:r>
        <w:rPr>
          <w:spacing w:val="-4"/>
        </w:rPr>
        <w:t xml:space="preserve"> </w:t>
      </w:r>
      <w:r>
        <w:t>Therefore,</w:t>
      </w:r>
      <w:r>
        <w:rPr>
          <w:spacing w:val="-4"/>
        </w:rPr>
        <w:t xml:space="preserve"> </w:t>
      </w:r>
      <w:r>
        <w:t>while</w:t>
      </w:r>
      <w:r>
        <w:rPr>
          <w:spacing w:val="-5"/>
        </w:rPr>
        <w:t xml:space="preserve"> </w:t>
      </w:r>
      <w:r>
        <w:t>an</w:t>
      </w:r>
      <w:r>
        <w:rPr>
          <w:spacing w:val="-4"/>
        </w:rPr>
        <w:t xml:space="preserve"> </w:t>
      </w:r>
      <w:r>
        <w:t>investigating</w:t>
      </w:r>
      <w:r>
        <w:rPr>
          <w:spacing w:val="-3"/>
        </w:rPr>
        <w:t xml:space="preserve"> </w:t>
      </w:r>
      <w:r>
        <w:t>authority</w:t>
      </w:r>
      <w:r>
        <w:rPr>
          <w:spacing w:val="-4"/>
        </w:rPr>
        <w:t xml:space="preserve"> </w:t>
      </w:r>
      <w:r>
        <w:t xml:space="preserve">is not required under Article 3.2 to conduct an "analysis of all known factors that may cause </w:t>
      </w:r>
      <w:r>
        <w:rPr>
          <w:i/>
        </w:rPr>
        <w:t>injury</w:t>
      </w:r>
      <w:r>
        <w:rPr>
          <w:i/>
          <w:spacing w:val="-12"/>
        </w:rPr>
        <w:t xml:space="preserve"> </w:t>
      </w:r>
      <w:r>
        <w:t>to</w:t>
      </w:r>
      <w:r>
        <w:rPr>
          <w:spacing w:val="-11"/>
        </w:rPr>
        <w:t xml:space="preserve"> </w:t>
      </w:r>
      <w:r>
        <w:t>the</w:t>
      </w:r>
      <w:r>
        <w:rPr>
          <w:spacing w:val="-10"/>
        </w:rPr>
        <w:t xml:space="preserve"> </w:t>
      </w:r>
      <w:r>
        <w:t>domestic</w:t>
      </w:r>
      <w:r>
        <w:rPr>
          <w:spacing w:val="-11"/>
        </w:rPr>
        <w:t xml:space="preserve"> </w:t>
      </w:r>
      <w:r>
        <w:t>industry",</w:t>
      </w:r>
      <w:r>
        <w:rPr>
          <w:spacing w:val="-13"/>
        </w:rPr>
        <w:t xml:space="preserve"> </w:t>
      </w:r>
      <w:r>
        <w:t>as</w:t>
      </w:r>
      <w:r>
        <w:rPr>
          <w:spacing w:val="-11"/>
        </w:rPr>
        <w:t xml:space="preserve"> </w:t>
      </w:r>
      <w:r>
        <w:t>required</w:t>
      </w:r>
      <w:r>
        <w:rPr>
          <w:spacing w:val="-12"/>
        </w:rPr>
        <w:t xml:space="preserve"> </w:t>
      </w:r>
      <w:r>
        <w:t>by</w:t>
      </w:r>
      <w:r>
        <w:rPr>
          <w:spacing w:val="-11"/>
        </w:rPr>
        <w:t xml:space="preserve"> </w:t>
      </w:r>
      <w:r>
        <w:t>Article</w:t>
      </w:r>
      <w:r>
        <w:rPr>
          <w:spacing w:val="-13"/>
        </w:rPr>
        <w:t xml:space="preserve"> </w:t>
      </w:r>
      <w:r>
        <w:t>3.5,</w:t>
      </w:r>
      <w:r>
        <w:rPr>
          <w:spacing w:val="-11"/>
        </w:rPr>
        <w:t xml:space="preserve"> </w:t>
      </w:r>
      <w:r>
        <w:t>the</w:t>
      </w:r>
      <w:r>
        <w:rPr>
          <w:spacing w:val="-13"/>
        </w:rPr>
        <w:t xml:space="preserve"> </w:t>
      </w:r>
      <w:r>
        <w:t>authority</w:t>
      </w:r>
      <w:r>
        <w:rPr>
          <w:spacing w:val="-11"/>
        </w:rPr>
        <w:t xml:space="preserve"> </w:t>
      </w:r>
      <w:r>
        <w:t>must</w:t>
      </w:r>
      <w:r>
        <w:rPr>
          <w:spacing w:val="-12"/>
        </w:rPr>
        <w:t xml:space="preserve"> </w:t>
      </w:r>
      <w:r>
        <w:t>consider</w:t>
      </w:r>
      <w:r>
        <w:rPr>
          <w:spacing w:val="-12"/>
        </w:rPr>
        <w:t xml:space="preserve"> </w:t>
      </w:r>
      <w:r>
        <w:t>under Article 3.2 whether dumped imports have "explanatory force" for th</w:t>
      </w:r>
      <w:r>
        <w:t xml:space="preserve">e occurrence of significant suppression of </w:t>
      </w:r>
      <w:r>
        <w:rPr>
          <w:i/>
        </w:rPr>
        <w:t>domestic prices</w:t>
      </w:r>
      <w:r>
        <w:t>.</w:t>
      </w:r>
      <w:r>
        <w:rPr>
          <w:vertAlign w:val="superscript"/>
        </w:rPr>
        <w:t>623</w:t>
      </w:r>
      <w:r>
        <w:t xml:space="preserve"> [emphasis original]</w:t>
      </w:r>
    </w:p>
    <w:p w14:paraId="51DE8DD7" w14:textId="77777777" w:rsidR="0010369C" w:rsidRDefault="0010369C">
      <w:pPr>
        <w:pStyle w:val="BodyText"/>
        <w:spacing w:before="4"/>
        <w:rPr>
          <w:sz w:val="15"/>
        </w:rPr>
      </w:pPr>
    </w:p>
    <w:p w14:paraId="51DE8DD8" w14:textId="77777777" w:rsidR="0010369C" w:rsidRDefault="008E43AE">
      <w:pPr>
        <w:pStyle w:val="BodyText"/>
        <w:spacing w:before="51" w:line="360" w:lineRule="auto"/>
        <w:ind w:left="236" w:right="611" w:firstLine="852"/>
        <w:jc w:val="both"/>
      </w:pPr>
      <w:r>
        <w:rPr>
          <w:noProof/>
        </w:rPr>
        <w:drawing>
          <wp:anchor distT="0" distB="0" distL="0" distR="0" simplePos="0" relativeHeight="251190784" behindDoc="1" locked="0" layoutInCell="1" allowOverlap="1" wp14:anchorId="51DEA455" wp14:editId="51DEA456">
            <wp:simplePos x="0" y="0"/>
            <wp:positionH relativeFrom="page">
              <wp:posOffset>902208</wp:posOffset>
            </wp:positionH>
            <wp:positionV relativeFrom="paragraph">
              <wp:posOffset>82076</wp:posOffset>
            </wp:positionV>
            <wp:extent cx="262127" cy="100753"/>
            <wp:effectExtent l="0" t="0" r="0" b="0"/>
            <wp:wrapNone/>
            <wp:docPr id="1107" name="image5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 name="image565.png"/>
                    <pic:cNvPicPr/>
                  </pic:nvPicPr>
                  <pic:blipFill>
                    <a:blip r:embed="rId738" cstate="print"/>
                    <a:stretch>
                      <a:fillRect/>
                    </a:stretch>
                  </pic:blipFill>
                  <pic:spPr>
                    <a:xfrm>
                      <a:off x="0" y="0"/>
                      <a:ext cx="262127" cy="100753"/>
                    </a:xfrm>
                    <a:prstGeom prst="rect">
                      <a:avLst/>
                    </a:prstGeom>
                  </pic:spPr>
                </pic:pic>
              </a:graphicData>
            </a:graphic>
          </wp:anchor>
        </w:drawing>
      </w:r>
      <w:r>
        <w:t>The</w:t>
      </w:r>
      <w:r>
        <w:rPr>
          <w:spacing w:val="-3"/>
        </w:rPr>
        <w:t xml:space="preserve"> </w:t>
      </w:r>
      <w:r>
        <w:t>Appellate</w:t>
      </w:r>
      <w:r>
        <w:rPr>
          <w:spacing w:val="-4"/>
        </w:rPr>
        <w:t xml:space="preserve"> </w:t>
      </w:r>
      <w:r>
        <w:t>Body</w:t>
      </w:r>
      <w:r>
        <w:rPr>
          <w:spacing w:val="-3"/>
        </w:rPr>
        <w:t xml:space="preserve"> </w:t>
      </w:r>
      <w:r>
        <w:t>has</w:t>
      </w:r>
      <w:r>
        <w:rPr>
          <w:spacing w:val="-5"/>
        </w:rPr>
        <w:t xml:space="preserve"> </w:t>
      </w:r>
      <w:r>
        <w:t>also</w:t>
      </w:r>
      <w:r>
        <w:rPr>
          <w:spacing w:val="-3"/>
        </w:rPr>
        <w:t xml:space="preserve"> </w:t>
      </w:r>
      <w:r>
        <w:t>explained</w:t>
      </w:r>
      <w:r>
        <w:rPr>
          <w:spacing w:val="-5"/>
        </w:rPr>
        <w:t xml:space="preserve"> </w:t>
      </w:r>
      <w:r>
        <w:t>that,</w:t>
      </w:r>
      <w:r>
        <w:rPr>
          <w:spacing w:val="-4"/>
        </w:rPr>
        <w:t xml:space="preserve"> </w:t>
      </w:r>
      <w:r>
        <w:t>while</w:t>
      </w:r>
      <w:r>
        <w:rPr>
          <w:spacing w:val="-3"/>
        </w:rPr>
        <w:t xml:space="preserve"> </w:t>
      </w:r>
      <w:r>
        <w:t>an</w:t>
      </w:r>
      <w:r>
        <w:rPr>
          <w:spacing w:val="-4"/>
        </w:rPr>
        <w:t xml:space="preserve"> </w:t>
      </w:r>
      <w:r>
        <w:t>investigating</w:t>
      </w:r>
      <w:r>
        <w:rPr>
          <w:spacing w:val="-3"/>
        </w:rPr>
        <w:t xml:space="preserve"> </w:t>
      </w:r>
      <w:r>
        <w:t>authority</w:t>
      </w:r>
      <w:r>
        <w:rPr>
          <w:spacing w:val="-3"/>
        </w:rPr>
        <w:t xml:space="preserve"> </w:t>
      </w:r>
      <w:r>
        <w:t>enjoys</w:t>
      </w:r>
      <w:r>
        <w:rPr>
          <w:spacing w:val="-5"/>
        </w:rPr>
        <w:t xml:space="preserve"> </w:t>
      </w:r>
      <w:r>
        <w:t>a certain</w:t>
      </w:r>
      <w:r>
        <w:rPr>
          <w:spacing w:val="-9"/>
        </w:rPr>
        <w:t xml:space="preserve"> </w:t>
      </w:r>
      <w:r>
        <w:t>degree</w:t>
      </w:r>
      <w:r>
        <w:rPr>
          <w:spacing w:val="-9"/>
        </w:rPr>
        <w:t xml:space="preserve"> </w:t>
      </w:r>
      <w:r>
        <w:t>of</w:t>
      </w:r>
      <w:r>
        <w:rPr>
          <w:spacing w:val="-9"/>
        </w:rPr>
        <w:t xml:space="preserve"> </w:t>
      </w:r>
      <w:r>
        <w:t>discretion</w:t>
      </w:r>
      <w:r>
        <w:rPr>
          <w:spacing w:val="-8"/>
        </w:rPr>
        <w:t xml:space="preserve"> </w:t>
      </w:r>
      <w:r>
        <w:t>in</w:t>
      </w:r>
      <w:r>
        <w:rPr>
          <w:spacing w:val="-9"/>
        </w:rPr>
        <w:t xml:space="preserve"> </w:t>
      </w:r>
      <w:r>
        <w:t>adopting</w:t>
      </w:r>
      <w:r>
        <w:rPr>
          <w:spacing w:val="-8"/>
        </w:rPr>
        <w:t xml:space="preserve"> </w:t>
      </w:r>
      <w:r>
        <w:t>a</w:t>
      </w:r>
      <w:r>
        <w:rPr>
          <w:spacing w:val="-9"/>
        </w:rPr>
        <w:t xml:space="preserve"> </w:t>
      </w:r>
      <w:r>
        <w:t>methodology</w:t>
      </w:r>
      <w:r>
        <w:rPr>
          <w:spacing w:val="-8"/>
        </w:rPr>
        <w:t xml:space="preserve"> </w:t>
      </w:r>
      <w:r>
        <w:t>to</w:t>
      </w:r>
      <w:r>
        <w:rPr>
          <w:spacing w:val="-8"/>
        </w:rPr>
        <w:t xml:space="preserve"> </w:t>
      </w:r>
      <w:r>
        <w:t>guide</w:t>
      </w:r>
      <w:r>
        <w:rPr>
          <w:spacing w:val="-8"/>
        </w:rPr>
        <w:t xml:space="preserve"> </w:t>
      </w:r>
      <w:r>
        <w:t>its</w:t>
      </w:r>
      <w:r>
        <w:rPr>
          <w:spacing w:val="-9"/>
        </w:rPr>
        <w:t xml:space="preserve"> </w:t>
      </w:r>
      <w:r>
        <w:t>price</w:t>
      </w:r>
      <w:r>
        <w:rPr>
          <w:spacing w:val="-8"/>
        </w:rPr>
        <w:t xml:space="preserve"> </w:t>
      </w:r>
      <w:r>
        <w:t>suppression</w:t>
      </w:r>
      <w:r>
        <w:rPr>
          <w:spacing w:val="-10"/>
        </w:rPr>
        <w:t xml:space="preserve"> </w:t>
      </w:r>
      <w:r>
        <w:t>analysis, the</w:t>
      </w:r>
      <w:r>
        <w:rPr>
          <w:spacing w:val="-4"/>
        </w:rPr>
        <w:t xml:space="preserve"> </w:t>
      </w:r>
      <w:r>
        <w:t>exercise</w:t>
      </w:r>
      <w:r>
        <w:rPr>
          <w:spacing w:val="-5"/>
        </w:rPr>
        <w:t xml:space="preserve"> </w:t>
      </w:r>
      <w:r>
        <w:t>of</w:t>
      </w:r>
      <w:r>
        <w:rPr>
          <w:spacing w:val="-5"/>
        </w:rPr>
        <w:t xml:space="preserve"> </w:t>
      </w:r>
      <w:r>
        <w:t>that</w:t>
      </w:r>
      <w:r>
        <w:rPr>
          <w:spacing w:val="-5"/>
        </w:rPr>
        <w:t xml:space="preserve"> </w:t>
      </w:r>
      <w:r>
        <w:t>discretion</w:t>
      </w:r>
      <w:r>
        <w:rPr>
          <w:spacing w:val="-5"/>
        </w:rPr>
        <w:t xml:space="preserve"> </w:t>
      </w:r>
      <w:r>
        <w:t>must</w:t>
      </w:r>
      <w:r>
        <w:rPr>
          <w:spacing w:val="-5"/>
        </w:rPr>
        <w:t xml:space="preserve"> </w:t>
      </w:r>
      <w:r>
        <w:t>nonetheless</w:t>
      </w:r>
      <w:r>
        <w:rPr>
          <w:spacing w:val="-4"/>
        </w:rPr>
        <w:t xml:space="preserve"> </w:t>
      </w:r>
      <w:r>
        <w:t>comply</w:t>
      </w:r>
      <w:r>
        <w:rPr>
          <w:spacing w:val="-5"/>
        </w:rPr>
        <w:t xml:space="preserve"> </w:t>
      </w:r>
      <w:r>
        <w:t>with</w:t>
      </w:r>
      <w:r>
        <w:rPr>
          <w:spacing w:val="-5"/>
        </w:rPr>
        <w:t xml:space="preserve"> </w:t>
      </w:r>
      <w:r>
        <w:t>the</w:t>
      </w:r>
      <w:r>
        <w:rPr>
          <w:spacing w:val="-4"/>
        </w:rPr>
        <w:t xml:space="preserve"> </w:t>
      </w:r>
      <w:r>
        <w:t>requirements</w:t>
      </w:r>
      <w:r>
        <w:rPr>
          <w:spacing w:val="-6"/>
        </w:rPr>
        <w:t xml:space="preserve"> </w:t>
      </w:r>
      <w:r>
        <w:t>of</w:t>
      </w:r>
      <w:r>
        <w:rPr>
          <w:spacing w:val="-5"/>
        </w:rPr>
        <w:t xml:space="preserve"> </w:t>
      </w:r>
      <w:r>
        <w:t>Articles</w:t>
      </w:r>
      <w:r>
        <w:rPr>
          <w:spacing w:val="-6"/>
        </w:rPr>
        <w:t xml:space="preserve"> </w:t>
      </w:r>
      <w:r>
        <w:t>3.1 and 3.2.</w:t>
      </w:r>
      <w:r>
        <w:rPr>
          <w:vertAlign w:val="superscript"/>
        </w:rPr>
        <w:t>624</w:t>
      </w:r>
      <w:r>
        <w:t xml:space="preserve"> Therefore, "when an investigating authority's determination rests upon assumptions, these assumptions should be derived as reaso</w:t>
      </w:r>
      <w:r>
        <w:t>nable inferences from a credible basis of facts, and should be sufficiently explained</w:t>
      </w:r>
      <w:r>
        <w:rPr>
          <w:spacing w:val="-1"/>
        </w:rPr>
        <w:t xml:space="preserve"> </w:t>
      </w:r>
      <w:r>
        <w:t>so that their</w:t>
      </w:r>
      <w:r>
        <w:rPr>
          <w:spacing w:val="-1"/>
        </w:rPr>
        <w:t xml:space="preserve"> </w:t>
      </w:r>
      <w:r>
        <w:t>objectivity and credibility can be verified".</w:t>
      </w:r>
      <w:r>
        <w:rPr>
          <w:vertAlign w:val="superscript"/>
        </w:rPr>
        <w:t>625</w:t>
      </w:r>
      <w:r>
        <w:t xml:space="preserve"> The Appellate Body has confirmed that "[a]n investigating authority that uses a methodology premised on uns</w:t>
      </w:r>
      <w:r>
        <w:t>ubstantiated assumptions does not conduct an examination based on positive evidence".</w:t>
      </w:r>
      <w:r>
        <w:rPr>
          <w:vertAlign w:val="superscript"/>
        </w:rPr>
        <w:t>626</w:t>
      </w:r>
    </w:p>
    <w:p w14:paraId="51DE8DD9" w14:textId="77777777" w:rsidR="0010369C" w:rsidRDefault="0010369C">
      <w:pPr>
        <w:pStyle w:val="BodyText"/>
        <w:rPr>
          <w:sz w:val="20"/>
        </w:rPr>
      </w:pPr>
    </w:p>
    <w:p w14:paraId="51DE8DDA" w14:textId="77777777" w:rsidR="0010369C" w:rsidRDefault="0010369C">
      <w:pPr>
        <w:pStyle w:val="BodyText"/>
        <w:rPr>
          <w:sz w:val="20"/>
        </w:rPr>
      </w:pPr>
    </w:p>
    <w:p w14:paraId="51DE8DDB" w14:textId="77777777" w:rsidR="0010369C" w:rsidRDefault="008E43AE">
      <w:pPr>
        <w:pStyle w:val="BodyText"/>
        <w:spacing w:before="7"/>
        <w:rPr>
          <w:sz w:val="29"/>
        </w:rPr>
      </w:pPr>
      <w:r>
        <w:pict w14:anchorId="51DEA457">
          <v:rect id="docshape1017" o:spid="_x0000_s1352" style="position:absolute;margin-left:70.9pt;margin-top:19.25pt;width:2in;height:.8pt;z-index:-250840576;mso-wrap-distance-left:0;mso-wrap-distance-right:0;mso-position-horizontal-relative:page" fillcolor="black" stroked="f">
            <w10:wrap type="topAndBottom" anchorx="page"/>
          </v:rect>
        </w:pict>
      </w:r>
    </w:p>
    <w:p w14:paraId="51DE8DDC" w14:textId="77777777" w:rsidR="0010369C" w:rsidRDefault="008E43AE">
      <w:pPr>
        <w:spacing w:before="110"/>
        <w:ind w:left="238"/>
        <w:jc w:val="both"/>
        <w:rPr>
          <w:sz w:val="18"/>
        </w:rPr>
      </w:pPr>
      <w:r>
        <w:rPr>
          <w:sz w:val="18"/>
          <w:vertAlign w:val="superscript"/>
        </w:rPr>
        <w:t>621</w:t>
      </w:r>
      <w:r>
        <w:rPr>
          <w:spacing w:val="-7"/>
          <w:sz w:val="18"/>
        </w:rPr>
        <w:t xml:space="preserve"> </w:t>
      </w:r>
      <w:r>
        <w:rPr>
          <w:sz w:val="18"/>
        </w:rPr>
        <w:t>Appellate</w:t>
      </w:r>
      <w:r>
        <w:rPr>
          <w:spacing w:val="-6"/>
          <w:sz w:val="18"/>
        </w:rPr>
        <w:t xml:space="preserve"> </w:t>
      </w:r>
      <w:r>
        <w:rPr>
          <w:sz w:val="18"/>
        </w:rPr>
        <w:t>Body</w:t>
      </w:r>
      <w:r>
        <w:rPr>
          <w:spacing w:val="-8"/>
          <w:sz w:val="18"/>
        </w:rPr>
        <w:t xml:space="preserve"> </w:t>
      </w:r>
      <w:r>
        <w:rPr>
          <w:sz w:val="18"/>
        </w:rPr>
        <w:t>Reports,</w:t>
      </w:r>
      <w:r>
        <w:rPr>
          <w:spacing w:val="-7"/>
          <w:sz w:val="18"/>
        </w:rPr>
        <w:t xml:space="preserve"> </w:t>
      </w:r>
      <w:r>
        <w:rPr>
          <w:i/>
          <w:sz w:val="18"/>
        </w:rPr>
        <w:t>Russia</w:t>
      </w:r>
      <w:r>
        <w:rPr>
          <w:i/>
          <w:spacing w:val="-5"/>
          <w:sz w:val="18"/>
        </w:rPr>
        <w:t xml:space="preserve"> </w:t>
      </w:r>
      <w:r>
        <w:rPr>
          <w:i/>
          <w:sz w:val="18"/>
        </w:rPr>
        <w:t>–</w:t>
      </w:r>
      <w:r>
        <w:rPr>
          <w:i/>
          <w:spacing w:val="-7"/>
          <w:sz w:val="18"/>
        </w:rPr>
        <w:t xml:space="preserve"> </w:t>
      </w:r>
      <w:r>
        <w:rPr>
          <w:i/>
          <w:sz w:val="18"/>
        </w:rPr>
        <w:t>Commercial</w:t>
      </w:r>
      <w:r>
        <w:rPr>
          <w:i/>
          <w:spacing w:val="-6"/>
          <w:sz w:val="18"/>
        </w:rPr>
        <w:t xml:space="preserve"> </w:t>
      </w:r>
      <w:r>
        <w:rPr>
          <w:i/>
          <w:sz w:val="18"/>
        </w:rPr>
        <w:t>Vehicles</w:t>
      </w:r>
      <w:r>
        <w:rPr>
          <w:sz w:val="18"/>
        </w:rPr>
        <w:t>,</w:t>
      </w:r>
      <w:r>
        <w:rPr>
          <w:spacing w:val="-7"/>
          <w:sz w:val="18"/>
        </w:rPr>
        <w:t xml:space="preserve"> </w:t>
      </w:r>
      <w:r>
        <w:rPr>
          <w:sz w:val="18"/>
        </w:rPr>
        <w:t>para.</w:t>
      </w:r>
      <w:r>
        <w:rPr>
          <w:spacing w:val="-7"/>
          <w:sz w:val="18"/>
        </w:rPr>
        <w:t xml:space="preserve"> </w:t>
      </w:r>
      <w:r>
        <w:rPr>
          <w:sz w:val="18"/>
        </w:rPr>
        <w:t>5.96,</w:t>
      </w:r>
      <w:r>
        <w:rPr>
          <w:spacing w:val="-7"/>
          <w:sz w:val="18"/>
        </w:rPr>
        <w:t xml:space="preserve"> </w:t>
      </w:r>
      <w:r>
        <w:rPr>
          <w:sz w:val="18"/>
        </w:rPr>
        <w:t>citing</w:t>
      </w:r>
      <w:r>
        <w:rPr>
          <w:spacing w:val="-6"/>
          <w:sz w:val="18"/>
        </w:rPr>
        <w:t xml:space="preserve"> </w:t>
      </w:r>
      <w:r>
        <w:rPr>
          <w:sz w:val="18"/>
        </w:rPr>
        <w:t>Appellate</w:t>
      </w:r>
      <w:r>
        <w:rPr>
          <w:spacing w:val="-6"/>
          <w:sz w:val="18"/>
        </w:rPr>
        <w:t xml:space="preserve"> </w:t>
      </w:r>
      <w:r>
        <w:rPr>
          <w:sz w:val="18"/>
        </w:rPr>
        <w:t>Body</w:t>
      </w:r>
      <w:r>
        <w:rPr>
          <w:spacing w:val="-7"/>
          <w:sz w:val="18"/>
        </w:rPr>
        <w:t xml:space="preserve"> </w:t>
      </w:r>
      <w:r>
        <w:rPr>
          <w:sz w:val="18"/>
        </w:rPr>
        <w:t>Report,</w:t>
      </w:r>
      <w:r>
        <w:rPr>
          <w:spacing w:val="-6"/>
          <w:sz w:val="18"/>
        </w:rPr>
        <w:t xml:space="preserve"> </w:t>
      </w:r>
      <w:r>
        <w:rPr>
          <w:i/>
          <w:sz w:val="18"/>
        </w:rPr>
        <w:t>China</w:t>
      </w:r>
      <w:r>
        <w:rPr>
          <w:i/>
          <w:spacing w:val="-7"/>
          <w:sz w:val="18"/>
        </w:rPr>
        <w:t xml:space="preserve"> </w:t>
      </w:r>
      <w:r>
        <w:rPr>
          <w:i/>
          <w:sz w:val="18"/>
        </w:rPr>
        <w:t>–</w:t>
      </w:r>
      <w:r>
        <w:rPr>
          <w:i/>
          <w:spacing w:val="-6"/>
          <w:sz w:val="18"/>
        </w:rPr>
        <w:t xml:space="preserve"> </w:t>
      </w:r>
      <w:r>
        <w:rPr>
          <w:i/>
          <w:sz w:val="18"/>
        </w:rPr>
        <w:t>GOES</w:t>
      </w:r>
      <w:r>
        <w:rPr>
          <w:sz w:val="18"/>
        </w:rPr>
        <w:t>,</w:t>
      </w:r>
      <w:r>
        <w:rPr>
          <w:spacing w:val="-7"/>
          <w:sz w:val="18"/>
        </w:rPr>
        <w:t xml:space="preserve"> </w:t>
      </w:r>
      <w:r>
        <w:rPr>
          <w:sz w:val="18"/>
        </w:rPr>
        <w:t>para.</w:t>
      </w:r>
      <w:r>
        <w:rPr>
          <w:spacing w:val="-7"/>
          <w:sz w:val="18"/>
        </w:rPr>
        <w:t xml:space="preserve"> </w:t>
      </w:r>
      <w:r>
        <w:rPr>
          <w:spacing w:val="-4"/>
          <w:sz w:val="18"/>
        </w:rPr>
        <w:t>152.</w:t>
      </w:r>
    </w:p>
    <w:p w14:paraId="51DE8DDD" w14:textId="77777777" w:rsidR="0010369C" w:rsidRDefault="008E43AE">
      <w:pPr>
        <w:ind w:left="238"/>
        <w:jc w:val="both"/>
        <w:rPr>
          <w:sz w:val="18"/>
        </w:rPr>
      </w:pPr>
      <w:r>
        <w:rPr>
          <w:sz w:val="18"/>
          <w:vertAlign w:val="superscript"/>
        </w:rPr>
        <w:t>622</w:t>
      </w:r>
      <w:r>
        <w:rPr>
          <w:spacing w:val="-6"/>
          <w:sz w:val="18"/>
        </w:rPr>
        <w:t xml:space="preserve"> </w:t>
      </w:r>
      <w:r>
        <w:rPr>
          <w:sz w:val="18"/>
        </w:rPr>
        <w:t>Appellate</w:t>
      </w:r>
      <w:r>
        <w:rPr>
          <w:spacing w:val="-6"/>
          <w:sz w:val="18"/>
        </w:rPr>
        <w:t xml:space="preserve"> </w:t>
      </w:r>
      <w:r>
        <w:rPr>
          <w:sz w:val="18"/>
        </w:rPr>
        <w:t>Body</w:t>
      </w:r>
      <w:r>
        <w:rPr>
          <w:spacing w:val="-8"/>
          <w:sz w:val="18"/>
        </w:rPr>
        <w:t xml:space="preserve"> </w:t>
      </w:r>
      <w:r>
        <w:rPr>
          <w:sz w:val="18"/>
        </w:rPr>
        <w:t>Reports,</w:t>
      </w:r>
      <w:r>
        <w:rPr>
          <w:spacing w:val="-6"/>
          <w:sz w:val="18"/>
        </w:rPr>
        <w:t xml:space="preserve"> </w:t>
      </w:r>
      <w:r>
        <w:rPr>
          <w:i/>
          <w:sz w:val="18"/>
        </w:rPr>
        <w:t>Russia</w:t>
      </w:r>
      <w:r>
        <w:rPr>
          <w:i/>
          <w:spacing w:val="-4"/>
          <w:sz w:val="18"/>
        </w:rPr>
        <w:t xml:space="preserve"> </w:t>
      </w:r>
      <w:r>
        <w:rPr>
          <w:i/>
          <w:sz w:val="18"/>
        </w:rPr>
        <w:t>–</w:t>
      </w:r>
      <w:r>
        <w:rPr>
          <w:i/>
          <w:spacing w:val="-6"/>
          <w:sz w:val="18"/>
        </w:rPr>
        <w:t xml:space="preserve"> </w:t>
      </w:r>
      <w:r>
        <w:rPr>
          <w:i/>
          <w:sz w:val="18"/>
        </w:rPr>
        <w:t>Commercial</w:t>
      </w:r>
      <w:r>
        <w:rPr>
          <w:i/>
          <w:spacing w:val="-6"/>
          <w:sz w:val="18"/>
        </w:rPr>
        <w:t xml:space="preserve"> </w:t>
      </w:r>
      <w:r>
        <w:rPr>
          <w:i/>
          <w:sz w:val="18"/>
        </w:rPr>
        <w:t>Vehicles</w:t>
      </w:r>
      <w:r>
        <w:rPr>
          <w:sz w:val="18"/>
        </w:rPr>
        <w:t>,</w:t>
      </w:r>
      <w:r>
        <w:rPr>
          <w:spacing w:val="-7"/>
          <w:sz w:val="18"/>
        </w:rPr>
        <w:t xml:space="preserve"> </w:t>
      </w:r>
      <w:r>
        <w:rPr>
          <w:sz w:val="18"/>
        </w:rPr>
        <w:t>para.</w:t>
      </w:r>
      <w:r>
        <w:rPr>
          <w:spacing w:val="-6"/>
          <w:sz w:val="18"/>
        </w:rPr>
        <w:t xml:space="preserve"> </w:t>
      </w:r>
      <w:r>
        <w:rPr>
          <w:sz w:val="18"/>
        </w:rPr>
        <w:t>5.54,</w:t>
      </w:r>
      <w:r>
        <w:rPr>
          <w:spacing w:val="28"/>
          <w:sz w:val="18"/>
        </w:rPr>
        <w:t xml:space="preserve"> </w:t>
      </w:r>
      <w:r>
        <w:rPr>
          <w:i/>
          <w:sz w:val="18"/>
        </w:rPr>
        <w:t>China</w:t>
      </w:r>
      <w:r>
        <w:rPr>
          <w:i/>
          <w:spacing w:val="-6"/>
          <w:sz w:val="18"/>
        </w:rPr>
        <w:t xml:space="preserve"> </w:t>
      </w:r>
      <w:r>
        <w:rPr>
          <w:i/>
          <w:sz w:val="18"/>
        </w:rPr>
        <w:t>–</w:t>
      </w:r>
      <w:r>
        <w:rPr>
          <w:i/>
          <w:spacing w:val="-6"/>
          <w:sz w:val="18"/>
        </w:rPr>
        <w:t xml:space="preserve"> </w:t>
      </w:r>
      <w:r>
        <w:rPr>
          <w:i/>
          <w:sz w:val="18"/>
        </w:rPr>
        <w:t>GOES</w:t>
      </w:r>
      <w:r>
        <w:rPr>
          <w:sz w:val="18"/>
        </w:rPr>
        <w:t>,</w:t>
      </w:r>
      <w:r>
        <w:rPr>
          <w:spacing w:val="-6"/>
          <w:sz w:val="18"/>
        </w:rPr>
        <w:t xml:space="preserve"> </w:t>
      </w:r>
      <w:r>
        <w:rPr>
          <w:sz w:val="18"/>
        </w:rPr>
        <w:t>para.</w:t>
      </w:r>
      <w:r>
        <w:rPr>
          <w:spacing w:val="-5"/>
          <w:sz w:val="18"/>
        </w:rPr>
        <w:t xml:space="preserve"> </w:t>
      </w:r>
      <w:r>
        <w:rPr>
          <w:spacing w:val="-4"/>
          <w:sz w:val="18"/>
        </w:rPr>
        <w:t>147.</w:t>
      </w:r>
    </w:p>
    <w:p w14:paraId="51DE8DDE" w14:textId="77777777" w:rsidR="0010369C" w:rsidRDefault="008E43AE">
      <w:pPr>
        <w:ind w:left="237" w:right="612" w:firstLine="1"/>
        <w:jc w:val="both"/>
        <w:rPr>
          <w:sz w:val="18"/>
        </w:rPr>
      </w:pPr>
      <w:r>
        <w:rPr>
          <w:sz w:val="18"/>
          <w:vertAlign w:val="superscript"/>
        </w:rPr>
        <w:t>623</w:t>
      </w:r>
      <w:r>
        <w:rPr>
          <w:sz w:val="18"/>
        </w:rPr>
        <w:t xml:space="preserve"> Appellate Body Report, </w:t>
      </w:r>
      <w:r>
        <w:rPr>
          <w:i/>
          <w:sz w:val="18"/>
        </w:rPr>
        <w:t>Russia – Commercial Vehicles</w:t>
      </w:r>
      <w:r>
        <w:rPr>
          <w:sz w:val="18"/>
        </w:rPr>
        <w:t xml:space="preserve">, para. 5.54 (footnotes omitted). See also Appellate Body Report, </w:t>
      </w:r>
      <w:r>
        <w:rPr>
          <w:i/>
          <w:sz w:val="18"/>
        </w:rPr>
        <w:t>China – GOES</w:t>
      </w:r>
      <w:r>
        <w:rPr>
          <w:sz w:val="18"/>
        </w:rPr>
        <w:t xml:space="preserve">, paras. 147, 151, and 136. See also Panel Report, </w:t>
      </w:r>
      <w:r>
        <w:rPr>
          <w:i/>
          <w:sz w:val="18"/>
        </w:rPr>
        <w:t xml:space="preserve">China – Cellulose Pulp </w:t>
      </w:r>
      <w:r>
        <w:rPr>
          <w:sz w:val="18"/>
        </w:rPr>
        <w:t xml:space="preserve">para. 7.65. (emphasis original). ("The need for a contextual analysis in respect of prices derives from the requirement to consider the </w:t>
      </w:r>
      <w:r>
        <w:rPr>
          <w:i/>
          <w:sz w:val="18"/>
        </w:rPr>
        <w:t xml:space="preserve">effects </w:t>
      </w:r>
      <w:r>
        <w:rPr>
          <w:sz w:val="18"/>
        </w:rPr>
        <w:t>of dumped imports on prices in the sec</w:t>
      </w:r>
      <w:r>
        <w:rPr>
          <w:sz w:val="18"/>
        </w:rPr>
        <w:t>ond sentence of Article 3.2. Simply to observe the trends in prices does not suffice, as those trends may be the effect of different factors other than dumped imports, as well as of the dumped imports".)</w:t>
      </w:r>
    </w:p>
    <w:p w14:paraId="51DE8DDF" w14:textId="77777777" w:rsidR="0010369C" w:rsidRDefault="008E43AE">
      <w:pPr>
        <w:ind w:left="237" w:right="614"/>
        <w:jc w:val="both"/>
        <w:rPr>
          <w:sz w:val="18"/>
        </w:rPr>
      </w:pPr>
      <w:r>
        <w:rPr>
          <w:sz w:val="18"/>
          <w:vertAlign w:val="superscript"/>
        </w:rPr>
        <w:t>624</w:t>
      </w:r>
      <w:r>
        <w:rPr>
          <w:sz w:val="18"/>
        </w:rPr>
        <w:t xml:space="preserve"> Appellate Body Report, </w:t>
      </w:r>
      <w:r>
        <w:rPr>
          <w:i/>
          <w:sz w:val="18"/>
        </w:rPr>
        <w:t>Russia – Commercial Vehic</w:t>
      </w:r>
      <w:r>
        <w:rPr>
          <w:i/>
          <w:sz w:val="18"/>
        </w:rPr>
        <w:t>les</w:t>
      </w:r>
      <w:r>
        <w:rPr>
          <w:sz w:val="18"/>
        </w:rPr>
        <w:t xml:space="preserve">, paras. </w:t>
      </w:r>
      <w:hyperlink r:id="rId739">
        <w:r>
          <w:rPr>
            <w:sz w:val="18"/>
          </w:rPr>
          <w:t>5.51‐5.52</w:t>
        </w:r>
      </w:hyperlink>
      <w:r>
        <w:rPr>
          <w:sz w:val="18"/>
        </w:rPr>
        <w:t xml:space="preserve">. See also Appellate Body Reports, </w:t>
      </w:r>
      <w:r>
        <w:rPr>
          <w:i/>
          <w:sz w:val="18"/>
        </w:rPr>
        <w:t>Thailand – H‐ Beams</w:t>
      </w:r>
      <w:r>
        <w:rPr>
          <w:sz w:val="18"/>
        </w:rPr>
        <w:t xml:space="preserve">, para. 106; </w:t>
      </w:r>
      <w:r>
        <w:rPr>
          <w:i/>
          <w:sz w:val="18"/>
        </w:rPr>
        <w:t>Mexico – Anti‐Dumping Measures on Rice</w:t>
      </w:r>
      <w:r>
        <w:rPr>
          <w:sz w:val="18"/>
        </w:rPr>
        <w:t>, para. 204.</w:t>
      </w:r>
    </w:p>
    <w:p w14:paraId="51DE8DE0" w14:textId="77777777" w:rsidR="0010369C" w:rsidRDefault="008E43AE">
      <w:pPr>
        <w:ind w:left="237" w:right="613"/>
        <w:jc w:val="both"/>
        <w:rPr>
          <w:sz w:val="18"/>
        </w:rPr>
      </w:pPr>
      <w:r>
        <w:rPr>
          <w:sz w:val="18"/>
          <w:vertAlign w:val="superscript"/>
        </w:rPr>
        <w:t>625</w:t>
      </w:r>
      <w:r>
        <w:rPr>
          <w:sz w:val="18"/>
        </w:rPr>
        <w:t xml:space="preserve"> Appellate Body Report, </w:t>
      </w:r>
      <w:r>
        <w:rPr>
          <w:i/>
          <w:sz w:val="18"/>
        </w:rPr>
        <w:t>Russia – Commercial Vehicles</w:t>
      </w:r>
      <w:r>
        <w:rPr>
          <w:sz w:val="18"/>
        </w:rPr>
        <w:t>, paras. 5.52, citing Ap</w:t>
      </w:r>
      <w:r>
        <w:rPr>
          <w:sz w:val="18"/>
        </w:rPr>
        <w:t xml:space="preserve">pellate Body Report, </w:t>
      </w:r>
      <w:r>
        <w:rPr>
          <w:i/>
          <w:sz w:val="18"/>
        </w:rPr>
        <w:t>Mexico – Anti‐Dumping Measures on Rice</w:t>
      </w:r>
      <w:r>
        <w:rPr>
          <w:sz w:val="18"/>
        </w:rPr>
        <w:t xml:space="preserve">, para. 204; Panel Report, </w:t>
      </w:r>
      <w:r>
        <w:rPr>
          <w:i/>
          <w:sz w:val="18"/>
        </w:rPr>
        <w:t>Morocco – Hot Rolled Steel (Turkey)</w:t>
      </w:r>
      <w:r>
        <w:rPr>
          <w:sz w:val="18"/>
        </w:rPr>
        <w:t>, para. 7.155.</w:t>
      </w:r>
    </w:p>
    <w:p w14:paraId="51DE8DE1" w14:textId="77777777" w:rsidR="0010369C" w:rsidRDefault="008E43AE">
      <w:pPr>
        <w:ind w:left="238" w:right="613" w:hanging="1"/>
        <w:jc w:val="both"/>
        <w:rPr>
          <w:sz w:val="18"/>
        </w:rPr>
      </w:pPr>
      <w:r>
        <w:rPr>
          <w:sz w:val="18"/>
          <w:vertAlign w:val="superscript"/>
        </w:rPr>
        <w:t>626</w:t>
      </w:r>
      <w:r>
        <w:rPr>
          <w:spacing w:val="-6"/>
          <w:sz w:val="18"/>
        </w:rPr>
        <w:t xml:space="preserve"> </w:t>
      </w:r>
      <w:r>
        <w:rPr>
          <w:sz w:val="18"/>
        </w:rPr>
        <w:t>Appellate</w:t>
      </w:r>
      <w:r>
        <w:rPr>
          <w:spacing w:val="-6"/>
          <w:sz w:val="18"/>
        </w:rPr>
        <w:t xml:space="preserve"> </w:t>
      </w:r>
      <w:r>
        <w:rPr>
          <w:sz w:val="18"/>
        </w:rPr>
        <w:t>Body</w:t>
      </w:r>
      <w:r>
        <w:rPr>
          <w:spacing w:val="-7"/>
          <w:sz w:val="18"/>
        </w:rPr>
        <w:t xml:space="preserve"> </w:t>
      </w:r>
      <w:r>
        <w:rPr>
          <w:sz w:val="18"/>
        </w:rPr>
        <w:t>Report,</w:t>
      </w:r>
      <w:r>
        <w:rPr>
          <w:spacing w:val="-6"/>
          <w:sz w:val="18"/>
        </w:rPr>
        <w:t xml:space="preserve"> </w:t>
      </w:r>
      <w:r>
        <w:rPr>
          <w:i/>
          <w:sz w:val="18"/>
        </w:rPr>
        <w:t>Russia</w:t>
      </w:r>
      <w:r>
        <w:rPr>
          <w:i/>
          <w:spacing w:val="-6"/>
          <w:sz w:val="18"/>
        </w:rPr>
        <w:t xml:space="preserve"> </w:t>
      </w:r>
      <w:r>
        <w:rPr>
          <w:i/>
          <w:sz w:val="18"/>
        </w:rPr>
        <w:t>–</w:t>
      </w:r>
      <w:r>
        <w:rPr>
          <w:i/>
          <w:spacing w:val="-6"/>
          <w:sz w:val="18"/>
        </w:rPr>
        <w:t xml:space="preserve"> </w:t>
      </w:r>
      <w:r>
        <w:rPr>
          <w:i/>
          <w:sz w:val="18"/>
        </w:rPr>
        <w:t>Commercial</w:t>
      </w:r>
      <w:r>
        <w:rPr>
          <w:i/>
          <w:spacing w:val="-6"/>
          <w:sz w:val="18"/>
        </w:rPr>
        <w:t xml:space="preserve"> </w:t>
      </w:r>
      <w:r>
        <w:rPr>
          <w:i/>
          <w:sz w:val="18"/>
        </w:rPr>
        <w:t>Vehicles</w:t>
      </w:r>
      <w:r>
        <w:rPr>
          <w:sz w:val="18"/>
        </w:rPr>
        <w:t>,</w:t>
      </w:r>
      <w:r>
        <w:rPr>
          <w:spacing w:val="-6"/>
          <w:sz w:val="18"/>
        </w:rPr>
        <w:t xml:space="preserve"> </w:t>
      </w:r>
      <w:r>
        <w:rPr>
          <w:sz w:val="18"/>
        </w:rPr>
        <w:t>paras.</w:t>
      </w:r>
      <w:r>
        <w:rPr>
          <w:spacing w:val="-6"/>
          <w:sz w:val="18"/>
        </w:rPr>
        <w:t xml:space="preserve"> </w:t>
      </w:r>
      <w:r>
        <w:rPr>
          <w:sz w:val="18"/>
        </w:rPr>
        <w:t>5.52</w:t>
      </w:r>
      <w:r>
        <w:rPr>
          <w:spacing w:val="-6"/>
          <w:sz w:val="18"/>
        </w:rPr>
        <w:t xml:space="preserve"> </w:t>
      </w:r>
      <w:r>
        <w:rPr>
          <w:sz w:val="18"/>
        </w:rPr>
        <w:t>("An</w:t>
      </w:r>
      <w:r>
        <w:rPr>
          <w:spacing w:val="-6"/>
          <w:sz w:val="18"/>
        </w:rPr>
        <w:t xml:space="preserve"> </w:t>
      </w:r>
      <w:r>
        <w:rPr>
          <w:sz w:val="18"/>
        </w:rPr>
        <w:t>assumption</w:t>
      </w:r>
      <w:r>
        <w:rPr>
          <w:spacing w:val="-7"/>
          <w:sz w:val="18"/>
        </w:rPr>
        <w:t xml:space="preserve"> </w:t>
      </w:r>
      <w:r>
        <w:rPr>
          <w:sz w:val="18"/>
        </w:rPr>
        <w:t>is</w:t>
      </w:r>
      <w:r>
        <w:rPr>
          <w:spacing w:val="-5"/>
          <w:sz w:val="18"/>
        </w:rPr>
        <w:t xml:space="preserve"> </w:t>
      </w:r>
      <w:r>
        <w:rPr>
          <w:sz w:val="18"/>
        </w:rPr>
        <w:t>not</w:t>
      </w:r>
      <w:r>
        <w:rPr>
          <w:spacing w:val="-6"/>
          <w:sz w:val="18"/>
        </w:rPr>
        <w:t xml:space="preserve"> </w:t>
      </w:r>
      <w:r>
        <w:rPr>
          <w:sz w:val="18"/>
        </w:rPr>
        <w:t>properly</w:t>
      </w:r>
      <w:r>
        <w:rPr>
          <w:spacing w:val="-5"/>
          <w:sz w:val="18"/>
        </w:rPr>
        <w:t xml:space="preserve"> </w:t>
      </w:r>
      <w:r>
        <w:rPr>
          <w:sz w:val="18"/>
        </w:rPr>
        <w:t>substantiated</w:t>
      </w:r>
      <w:r>
        <w:rPr>
          <w:spacing w:val="-6"/>
          <w:sz w:val="18"/>
        </w:rPr>
        <w:t xml:space="preserve"> </w:t>
      </w:r>
      <w:r>
        <w:rPr>
          <w:sz w:val="18"/>
        </w:rPr>
        <w:t>when</w:t>
      </w:r>
      <w:r>
        <w:rPr>
          <w:spacing w:val="-6"/>
          <w:sz w:val="18"/>
        </w:rPr>
        <w:t xml:space="preserve"> </w:t>
      </w:r>
      <w:r>
        <w:rPr>
          <w:sz w:val="18"/>
        </w:rPr>
        <w:t>the investigating</w:t>
      </w:r>
      <w:r>
        <w:rPr>
          <w:spacing w:val="-1"/>
          <w:sz w:val="18"/>
        </w:rPr>
        <w:t xml:space="preserve"> </w:t>
      </w:r>
      <w:r>
        <w:rPr>
          <w:sz w:val="18"/>
        </w:rPr>
        <w:t>authority</w:t>
      </w:r>
      <w:r>
        <w:rPr>
          <w:spacing w:val="-2"/>
          <w:sz w:val="18"/>
        </w:rPr>
        <w:t xml:space="preserve"> </w:t>
      </w:r>
      <w:r>
        <w:rPr>
          <w:sz w:val="18"/>
        </w:rPr>
        <w:t>does</w:t>
      </w:r>
      <w:r>
        <w:rPr>
          <w:spacing w:val="-2"/>
          <w:sz w:val="18"/>
        </w:rPr>
        <w:t xml:space="preserve"> </w:t>
      </w:r>
      <w:r>
        <w:rPr>
          <w:sz w:val="18"/>
        </w:rPr>
        <w:t>not</w:t>
      </w:r>
      <w:r>
        <w:rPr>
          <w:spacing w:val="-3"/>
          <w:sz w:val="18"/>
        </w:rPr>
        <w:t xml:space="preserve"> </w:t>
      </w:r>
      <w:r>
        <w:rPr>
          <w:sz w:val="18"/>
        </w:rPr>
        <w:t>explain</w:t>
      </w:r>
      <w:r>
        <w:rPr>
          <w:spacing w:val="-2"/>
          <w:sz w:val="18"/>
        </w:rPr>
        <w:t xml:space="preserve"> </w:t>
      </w:r>
      <w:r>
        <w:rPr>
          <w:sz w:val="18"/>
        </w:rPr>
        <w:t>why</w:t>
      </w:r>
      <w:r>
        <w:rPr>
          <w:spacing w:val="-2"/>
          <w:sz w:val="18"/>
        </w:rPr>
        <w:t xml:space="preserve"> </w:t>
      </w:r>
      <w:r>
        <w:rPr>
          <w:sz w:val="18"/>
        </w:rPr>
        <w:t>it</w:t>
      </w:r>
      <w:r>
        <w:rPr>
          <w:spacing w:val="-3"/>
          <w:sz w:val="18"/>
        </w:rPr>
        <w:t xml:space="preserve"> </w:t>
      </w:r>
      <w:r>
        <w:rPr>
          <w:sz w:val="18"/>
        </w:rPr>
        <w:t>would</w:t>
      </w:r>
      <w:r>
        <w:rPr>
          <w:spacing w:val="-2"/>
          <w:sz w:val="18"/>
        </w:rPr>
        <w:t xml:space="preserve"> </w:t>
      </w:r>
      <w:r>
        <w:rPr>
          <w:sz w:val="18"/>
        </w:rPr>
        <w:t>be</w:t>
      </w:r>
      <w:r>
        <w:rPr>
          <w:spacing w:val="-2"/>
          <w:sz w:val="18"/>
        </w:rPr>
        <w:t xml:space="preserve"> </w:t>
      </w:r>
      <w:r>
        <w:rPr>
          <w:sz w:val="18"/>
        </w:rPr>
        <w:t>appropriate</w:t>
      </w:r>
      <w:r>
        <w:rPr>
          <w:spacing w:val="-2"/>
          <w:sz w:val="18"/>
        </w:rPr>
        <w:t xml:space="preserve"> </w:t>
      </w:r>
      <w:r>
        <w:rPr>
          <w:sz w:val="18"/>
        </w:rPr>
        <w:t>to</w:t>
      </w:r>
      <w:r>
        <w:rPr>
          <w:spacing w:val="-2"/>
          <w:sz w:val="18"/>
        </w:rPr>
        <w:t xml:space="preserve"> </w:t>
      </w:r>
      <w:r>
        <w:rPr>
          <w:sz w:val="18"/>
        </w:rPr>
        <w:t>use</w:t>
      </w:r>
      <w:r>
        <w:rPr>
          <w:spacing w:val="-2"/>
          <w:sz w:val="18"/>
        </w:rPr>
        <w:t xml:space="preserve"> </w:t>
      </w:r>
      <w:r>
        <w:rPr>
          <w:sz w:val="18"/>
        </w:rPr>
        <w:t>it</w:t>
      </w:r>
      <w:r>
        <w:rPr>
          <w:spacing w:val="-3"/>
          <w:sz w:val="18"/>
        </w:rPr>
        <w:t xml:space="preserve"> </w:t>
      </w:r>
      <w:r>
        <w:rPr>
          <w:sz w:val="18"/>
        </w:rPr>
        <w:t>in</w:t>
      </w:r>
      <w:r>
        <w:rPr>
          <w:spacing w:val="-2"/>
          <w:sz w:val="18"/>
        </w:rPr>
        <w:t xml:space="preserve"> </w:t>
      </w:r>
      <w:r>
        <w:rPr>
          <w:sz w:val="18"/>
        </w:rPr>
        <w:t>the</w:t>
      </w:r>
      <w:r>
        <w:rPr>
          <w:spacing w:val="-2"/>
          <w:sz w:val="18"/>
        </w:rPr>
        <w:t xml:space="preserve"> </w:t>
      </w:r>
      <w:r>
        <w:rPr>
          <w:sz w:val="18"/>
        </w:rPr>
        <w:t>analysis"),</w:t>
      </w:r>
      <w:r>
        <w:rPr>
          <w:spacing w:val="-3"/>
          <w:sz w:val="18"/>
        </w:rPr>
        <w:t xml:space="preserve"> </w:t>
      </w:r>
      <w:r>
        <w:rPr>
          <w:sz w:val="18"/>
        </w:rPr>
        <w:t>citing</w:t>
      </w:r>
      <w:r>
        <w:rPr>
          <w:spacing w:val="-2"/>
          <w:sz w:val="18"/>
        </w:rPr>
        <w:t xml:space="preserve"> </w:t>
      </w:r>
      <w:r>
        <w:rPr>
          <w:sz w:val="18"/>
        </w:rPr>
        <w:t>Appellate</w:t>
      </w:r>
      <w:r>
        <w:rPr>
          <w:spacing w:val="-2"/>
          <w:sz w:val="18"/>
        </w:rPr>
        <w:t xml:space="preserve"> </w:t>
      </w:r>
      <w:r>
        <w:rPr>
          <w:sz w:val="18"/>
        </w:rPr>
        <w:t>Body</w:t>
      </w:r>
      <w:r>
        <w:rPr>
          <w:spacing w:val="-2"/>
          <w:sz w:val="18"/>
        </w:rPr>
        <w:t xml:space="preserve"> </w:t>
      </w:r>
      <w:r>
        <w:rPr>
          <w:sz w:val="18"/>
        </w:rPr>
        <w:t xml:space="preserve">Report, </w:t>
      </w:r>
      <w:r>
        <w:rPr>
          <w:i/>
          <w:sz w:val="18"/>
        </w:rPr>
        <w:t>Mexico – Anti‐Dumping Measures on Rice</w:t>
      </w:r>
      <w:r>
        <w:rPr>
          <w:sz w:val="18"/>
        </w:rPr>
        <w:t>, para. 205.</w:t>
      </w:r>
    </w:p>
    <w:p w14:paraId="51DE8DE2" w14:textId="77777777" w:rsidR="0010369C" w:rsidRDefault="0010369C">
      <w:pPr>
        <w:jc w:val="both"/>
        <w:rPr>
          <w:sz w:val="18"/>
        </w:rPr>
        <w:sectPr w:rsidR="0010369C">
          <w:pgSz w:w="11910" w:h="16840"/>
          <w:pgMar w:top="880" w:right="800" w:bottom="980" w:left="1180" w:header="569" w:footer="788" w:gutter="0"/>
          <w:cols w:space="720"/>
        </w:sectPr>
      </w:pPr>
    </w:p>
    <w:p w14:paraId="51DE8DE3" w14:textId="77777777" w:rsidR="0010369C" w:rsidRDefault="008E43AE">
      <w:pPr>
        <w:tabs>
          <w:tab w:val="left" w:pos="6426"/>
        </w:tabs>
        <w:ind w:left="238"/>
        <w:rPr>
          <w:sz w:val="20"/>
        </w:rPr>
      </w:pPr>
      <w:r>
        <w:rPr>
          <w:i/>
          <w:sz w:val="20"/>
        </w:rPr>
        <w:lastRenderedPageBreak/>
        <w:t>China</w:t>
      </w:r>
      <w:r>
        <w:rPr>
          <w:i/>
          <w:spacing w:val="-5"/>
          <w:sz w:val="20"/>
        </w:rPr>
        <w:t xml:space="preserve"> </w:t>
      </w:r>
      <w:r>
        <w:rPr>
          <w:i/>
          <w:sz w:val="20"/>
        </w:rPr>
        <w:t>–</w:t>
      </w:r>
      <w:r>
        <w:rPr>
          <w:i/>
          <w:spacing w:val="-5"/>
          <w:sz w:val="20"/>
        </w:rPr>
        <w:t xml:space="preserve"> </w:t>
      </w:r>
      <w:r>
        <w:rPr>
          <w:i/>
          <w:sz w:val="20"/>
        </w:rPr>
        <w:t>Anti‐Dumping</w:t>
      </w:r>
      <w:r>
        <w:rPr>
          <w:i/>
          <w:spacing w:val="-4"/>
          <w:sz w:val="20"/>
        </w:rPr>
        <w:t xml:space="preserve"> </w:t>
      </w:r>
      <w:r>
        <w:rPr>
          <w:i/>
          <w:sz w:val="20"/>
        </w:rPr>
        <w:t>and</w:t>
      </w:r>
      <w:r>
        <w:rPr>
          <w:i/>
          <w:spacing w:val="-5"/>
          <w:sz w:val="20"/>
        </w:rPr>
        <w:t xml:space="preserve"> </w:t>
      </w:r>
      <w:r>
        <w:rPr>
          <w:i/>
          <w:sz w:val="20"/>
        </w:rPr>
        <w:t>Countervailing</w:t>
      </w:r>
      <w:r>
        <w:rPr>
          <w:i/>
          <w:spacing w:val="-5"/>
          <w:sz w:val="20"/>
        </w:rPr>
        <w:t xml:space="preserve"> </w:t>
      </w:r>
      <w:r>
        <w:rPr>
          <w:i/>
          <w:sz w:val="20"/>
        </w:rPr>
        <w:t>Duty</w:t>
      </w:r>
      <w:r>
        <w:rPr>
          <w:i/>
          <w:spacing w:val="-4"/>
          <w:sz w:val="20"/>
        </w:rPr>
        <w:t xml:space="preserve"> </w:t>
      </w:r>
      <w:r>
        <w:rPr>
          <w:i/>
          <w:spacing w:val="-2"/>
          <w:sz w:val="20"/>
        </w:rPr>
        <w:t>Measures</w:t>
      </w:r>
      <w:r>
        <w:rPr>
          <w:i/>
          <w:sz w:val="20"/>
        </w:rPr>
        <w:tab/>
      </w:r>
      <w:r>
        <w:rPr>
          <w:sz w:val="20"/>
        </w:rPr>
        <w:t>Australia's</w:t>
      </w:r>
      <w:r>
        <w:rPr>
          <w:spacing w:val="-7"/>
          <w:sz w:val="20"/>
        </w:rPr>
        <w:t xml:space="preserve"> </w:t>
      </w:r>
      <w:r>
        <w:rPr>
          <w:sz w:val="20"/>
        </w:rPr>
        <w:t>First</w:t>
      </w:r>
      <w:r>
        <w:rPr>
          <w:spacing w:val="-2"/>
          <w:sz w:val="20"/>
        </w:rPr>
        <w:t xml:space="preserve"> </w:t>
      </w:r>
      <w:r>
        <w:rPr>
          <w:sz w:val="20"/>
        </w:rPr>
        <w:t>Written</w:t>
      </w:r>
      <w:r>
        <w:rPr>
          <w:spacing w:val="-2"/>
          <w:sz w:val="20"/>
        </w:rPr>
        <w:t xml:space="preserve"> Submission</w:t>
      </w:r>
    </w:p>
    <w:p w14:paraId="51DE8DE4" w14:textId="77777777" w:rsidR="0010369C" w:rsidRDefault="008E43AE">
      <w:pPr>
        <w:tabs>
          <w:tab w:val="left" w:pos="8228"/>
        </w:tabs>
        <w:spacing w:before="1"/>
        <w:ind w:left="239"/>
        <w:rPr>
          <w:sz w:val="20"/>
        </w:rPr>
      </w:pPr>
      <w:r>
        <w:rPr>
          <w:i/>
          <w:sz w:val="20"/>
        </w:rPr>
        <w:t>on</w:t>
      </w:r>
      <w:r>
        <w:rPr>
          <w:i/>
          <w:spacing w:val="-1"/>
          <w:sz w:val="20"/>
        </w:rPr>
        <w:t xml:space="preserve"> </w:t>
      </w:r>
      <w:r>
        <w:rPr>
          <w:i/>
          <w:sz w:val="20"/>
        </w:rPr>
        <w:t>Wine</w:t>
      </w:r>
      <w:r>
        <w:rPr>
          <w:i/>
          <w:spacing w:val="-1"/>
          <w:sz w:val="20"/>
        </w:rPr>
        <w:t xml:space="preserve"> </w:t>
      </w:r>
      <w:r>
        <w:rPr>
          <w:i/>
          <w:sz w:val="20"/>
        </w:rPr>
        <w:t>from</w:t>
      </w:r>
      <w:r>
        <w:rPr>
          <w:i/>
          <w:spacing w:val="-3"/>
          <w:sz w:val="20"/>
        </w:rPr>
        <w:t xml:space="preserve"> </w:t>
      </w:r>
      <w:r>
        <w:rPr>
          <w:i/>
          <w:sz w:val="20"/>
        </w:rPr>
        <w:t>Australia</w:t>
      </w:r>
      <w:r>
        <w:rPr>
          <w:i/>
          <w:spacing w:val="-1"/>
          <w:sz w:val="20"/>
        </w:rPr>
        <w:t xml:space="preserve"> </w:t>
      </w:r>
      <w:r>
        <w:rPr>
          <w:spacing w:val="-2"/>
          <w:sz w:val="20"/>
        </w:rPr>
        <w:t>(DS602)</w:t>
      </w:r>
      <w:r>
        <w:rPr>
          <w:sz w:val="20"/>
        </w:rPr>
        <w:tab/>
        <w:t>29</w:t>
      </w:r>
      <w:r>
        <w:rPr>
          <w:spacing w:val="-1"/>
          <w:sz w:val="20"/>
        </w:rPr>
        <w:t xml:space="preserve"> </w:t>
      </w:r>
      <w:r>
        <w:rPr>
          <w:sz w:val="20"/>
        </w:rPr>
        <w:t>April</w:t>
      </w:r>
      <w:r>
        <w:rPr>
          <w:spacing w:val="-2"/>
          <w:sz w:val="20"/>
        </w:rPr>
        <w:t xml:space="preserve"> </w:t>
      </w:r>
      <w:r>
        <w:rPr>
          <w:spacing w:val="-4"/>
          <w:sz w:val="20"/>
        </w:rPr>
        <w:t>2022</w:t>
      </w:r>
    </w:p>
    <w:p w14:paraId="51DE8DE5" w14:textId="77777777" w:rsidR="0010369C" w:rsidRDefault="008E43AE">
      <w:pPr>
        <w:pStyle w:val="Heading4"/>
        <w:numPr>
          <w:ilvl w:val="1"/>
          <w:numId w:val="60"/>
        </w:numPr>
        <w:tabs>
          <w:tab w:val="left" w:pos="2649"/>
          <w:tab w:val="left" w:pos="2650"/>
        </w:tabs>
        <w:spacing w:before="34" w:line="360" w:lineRule="auto"/>
        <w:ind w:left="2648" w:right="615"/>
      </w:pPr>
      <w:r>
        <w:t>MOFCOM</w:t>
      </w:r>
      <w:r>
        <w:rPr>
          <w:spacing w:val="-9"/>
        </w:rPr>
        <w:t xml:space="preserve"> </w:t>
      </w:r>
      <w:r>
        <w:t>did</w:t>
      </w:r>
      <w:r>
        <w:rPr>
          <w:spacing w:val="-10"/>
        </w:rPr>
        <w:t xml:space="preserve"> </w:t>
      </w:r>
      <w:r>
        <w:t>not</w:t>
      </w:r>
      <w:r>
        <w:rPr>
          <w:spacing w:val="-10"/>
        </w:rPr>
        <w:t xml:space="preserve"> </w:t>
      </w:r>
      <w:r>
        <w:t>conduct</w:t>
      </w:r>
      <w:r>
        <w:rPr>
          <w:spacing w:val="-10"/>
        </w:rPr>
        <w:t xml:space="preserve"> </w:t>
      </w:r>
      <w:r>
        <w:t>an</w:t>
      </w:r>
      <w:r>
        <w:rPr>
          <w:spacing w:val="-10"/>
        </w:rPr>
        <w:t xml:space="preserve"> </w:t>
      </w:r>
      <w:r>
        <w:t>objective</w:t>
      </w:r>
      <w:r>
        <w:rPr>
          <w:spacing w:val="-10"/>
        </w:rPr>
        <w:t xml:space="preserve"> </w:t>
      </w:r>
      <w:r>
        <w:t>examination</w:t>
      </w:r>
      <w:r>
        <w:rPr>
          <w:spacing w:val="-9"/>
        </w:rPr>
        <w:t xml:space="preserve"> </w:t>
      </w:r>
      <w:r>
        <w:t>of</w:t>
      </w:r>
      <w:r>
        <w:rPr>
          <w:spacing w:val="-10"/>
        </w:rPr>
        <w:t xml:space="preserve"> </w:t>
      </w:r>
      <w:r>
        <w:t>price</w:t>
      </w:r>
      <w:r>
        <w:rPr>
          <w:spacing w:val="-10"/>
        </w:rPr>
        <w:t xml:space="preserve"> </w:t>
      </w:r>
      <w:r>
        <w:t>effects based on positive evidence</w:t>
      </w:r>
    </w:p>
    <w:p w14:paraId="51DE8DE6" w14:textId="77777777" w:rsidR="0010369C" w:rsidRDefault="008E43AE">
      <w:pPr>
        <w:pStyle w:val="ListParagraph"/>
        <w:numPr>
          <w:ilvl w:val="2"/>
          <w:numId w:val="60"/>
        </w:numPr>
        <w:tabs>
          <w:tab w:val="left" w:pos="3641"/>
          <w:tab w:val="left" w:pos="3643"/>
        </w:tabs>
        <w:spacing w:before="159" w:line="362" w:lineRule="auto"/>
        <w:ind w:right="614" w:hanging="853"/>
        <w:rPr>
          <w:sz w:val="24"/>
        </w:rPr>
      </w:pPr>
      <w:r>
        <w:rPr>
          <w:sz w:val="24"/>
          <w:u w:val="single"/>
        </w:rPr>
        <w:t>The</w:t>
      </w:r>
      <w:r>
        <w:rPr>
          <w:spacing w:val="80"/>
          <w:sz w:val="24"/>
          <w:u w:val="single"/>
        </w:rPr>
        <w:t xml:space="preserve"> </w:t>
      </w:r>
      <w:r>
        <w:rPr>
          <w:sz w:val="24"/>
          <w:u w:val="single"/>
        </w:rPr>
        <w:t>broad</w:t>
      </w:r>
      <w:r>
        <w:rPr>
          <w:spacing w:val="80"/>
          <w:sz w:val="24"/>
          <w:u w:val="single"/>
        </w:rPr>
        <w:t xml:space="preserve"> </w:t>
      </w:r>
      <w:r>
        <w:rPr>
          <w:sz w:val="24"/>
          <w:u w:val="single"/>
        </w:rPr>
        <w:t>annual</w:t>
      </w:r>
      <w:r>
        <w:rPr>
          <w:spacing w:val="80"/>
          <w:sz w:val="24"/>
          <w:u w:val="single"/>
        </w:rPr>
        <w:t xml:space="preserve"> </w:t>
      </w:r>
      <w:r>
        <w:rPr>
          <w:sz w:val="24"/>
          <w:u w:val="single"/>
        </w:rPr>
        <w:t>averages</w:t>
      </w:r>
      <w:r>
        <w:rPr>
          <w:spacing w:val="80"/>
          <w:sz w:val="24"/>
          <w:u w:val="single"/>
        </w:rPr>
        <w:t xml:space="preserve"> </w:t>
      </w:r>
      <w:r>
        <w:rPr>
          <w:sz w:val="24"/>
          <w:u w:val="single"/>
        </w:rPr>
        <w:t>upon</w:t>
      </w:r>
      <w:r>
        <w:rPr>
          <w:spacing w:val="80"/>
          <w:sz w:val="24"/>
          <w:u w:val="single"/>
        </w:rPr>
        <w:t xml:space="preserve"> </w:t>
      </w:r>
      <w:r>
        <w:rPr>
          <w:sz w:val="24"/>
          <w:u w:val="single"/>
        </w:rPr>
        <w:t>which</w:t>
      </w:r>
      <w:r>
        <w:rPr>
          <w:spacing w:val="80"/>
          <w:sz w:val="24"/>
          <w:u w:val="single"/>
        </w:rPr>
        <w:t xml:space="preserve"> </w:t>
      </w:r>
      <w:r>
        <w:rPr>
          <w:sz w:val="24"/>
          <w:u w:val="single"/>
        </w:rPr>
        <w:t>MOFCOM's</w:t>
      </w:r>
      <w:r>
        <w:rPr>
          <w:sz w:val="24"/>
        </w:rPr>
        <w:t xml:space="preserve"> </w:t>
      </w:r>
      <w:r>
        <w:rPr>
          <w:sz w:val="24"/>
          <w:u w:val="single"/>
        </w:rPr>
        <w:t>examination is based do not constitute positive evidence</w:t>
      </w:r>
    </w:p>
    <w:p w14:paraId="51DE8DE7" w14:textId="77777777" w:rsidR="0010369C" w:rsidRDefault="0010369C">
      <w:pPr>
        <w:pStyle w:val="BodyText"/>
        <w:spacing w:before="5"/>
        <w:rPr>
          <w:sz w:val="8"/>
        </w:rPr>
      </w:pPr>
    </w:p>
    <w:p w14:paraId="51DE8DE8" w14:textId="77777777" w:rsidR="0010369C" w:rsidRDefault="008E43AE">
      <w:pPr>
        <w:pStyle w:val="BodyText"/>
        <w:spacing w:before="52" w:line="360" w:lineRule="auto"/>
        <w:ind w:left="238" w:right="611" w:firstLine="851"/>
        <w:jc w:val="both"/>
      </w:pPr>
      <w:r>
        <w:rPr>
          <w:noProof/>
        </w:rPr>
        <w:drawing>
          <wp:anchor distT="0" distB="0" distL="0" distR="0" simplePos="0" relativeHeight="251191808" behindDoc="1" locked="0" layoutInCell="1" allowOverlap="1" wp14:anchorId="51DEA458" wp14:editId="51DEA459">
            <wp:simplePos x="0" y="0"/>
            <wp:positionH relativeFrom="page">
              <wp:posOffset>902208</wp:posOffset>
            </wp:positionH>
            <wp:positionV relativeFrom="paragraph">
              <wp:posOffset>81357</wp:posOffset>
            </wp:positionV>
            <wp:extent cx="262127" cy="103631"/>
            <wp:effectExtent l="0" t="0" r="0" b="0"/>
            <wp:wrapNone/>
            <wp:docPr id="1109" name="image5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 name="image566.png"/>
                    <pic:cNvPicPr/>
                  </pic:nvPicPr>
                  <pic:blipFill>
                    <a:blip r:embed="rId740" cstate="print"/>
                    <a:stretch>
                      <a:fillRect/>
                    </a:stretch>
                  </pic:blipFill>
                  <pic:spPr>
                    <a:xfrm>
                      <a:off x="0" y="0"/>
                      <a:ext cx="262127" cy="103631"/>
                    </a:xfrm>
                    <a:prstGeom prst="rect">
                      <a:avLst/>
                    </a:prstGeom>
                  </pic:spPr>
                </pic:pic>
              </a:graphicData>
            </a:graphic>
          </wp:anchor>
        </w:drawing>
      </w:r>
      <w:r>
        <w:t>MOFCOM did not adequately disclose the methodologies that it used or the sets of underlying data that it relied upon for calculating the average unit prices for subject imports and for domestic lik</w:t>
      </w:r>
      <w:r>
        <w:t>e products. As the pricing data used to determine these broad averages could not be reviewed, checked, or verified, it cannot be said that MOFCOM's examination was based on "positive evidence" within the meaning of Article 3.1.</w:t>
      </w:r>
      <w:r>
        <w:rPr>
          <w:vertAlign w:val="superscript"/>
        </w:rPr>
        <w:t>627</w:t>
      </w:r>
    </w:p>
    <w:p w14:paraId="51DE8DE9" w14:textId="77777777" w:rsidR="0010369C" w:rsidRDefault="0010369C">
      <w:pPr>
        <w:pStyle w:val="BodyText"/>
        <w:spacing w:before="12"/>
        <w:rPr>
          <w:sz w:val="8"/>
        </w:rPr>
      </w:pPr>
    </w:p>
    <w:p w14:paraId="51DE8DEA" w14:textId="77777777" w:rsidR="0010369C" w:rsidRDefault="008E43AE">
      <w:pPr>
        <w:pStyle w:val="BodyText"/>
        <w:spacing w:before="51" w:line="360" w:lineRule="auto"/>
        <w:ind w:left="237" w:right="613" w:firstLine="851"/>
        <w:jc w:val="both"/>
      </w:pPr>
      <w:r>
        <w:rPr>
          <w:noProof/>
        </w:rPr>
        <w:drawing>
          <wp:anchor distT="0" distB="0" distL="0" distR="0" simplePos="0" relativeHeight="251192832" behindDoc="1" locked="0" layoutInCell="1" allowOverlap="1" wp14:anchorId="51DEA45A" wp14:editId="51DEA45B">
            <wp:simplePos x="0" y="0"/>
            <wp:positionH relativeFrom="page">
              <wp:posOffset>902208</wp:posOffset>
            </wp:positionH>
            <wp:positionV relativeFrom="paragraph">
              <wp:posOffset>79960</wp:posOffset>
            </wp:positionV>
            <wp:extent cx="262127" cy="103631"/>
            <wp:effectExtent l="0" t="0" r="0" b="0"/>
            <wp:wrapNone/>
            <wp:docPr id="1111" name="image5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 name="image567.png"/>
                    <pic:cNvPicPr/>
                  </pic:nvPicPr>
                  <pic:blipFill>
                    <a:blip r:embed="rId741" cstate="print"/>
                    <a:stretch>
                      <a:fillRect/>
                    </a:stretch>
                  </pic:blipFill>
                  <pic:spPr>
                    <a:xfrm>
                      <a:off x="0" y="0"/>
                      <a:ext cx="262127" cy="103631"/>
                    </a:xfrm>
                    <a:prstGeom prst="rect">
                      <a:avLst/>
                    </a:prstGeom>
                  </pic:spPr>
                </pic:pic>
              </a:graphicData>
            </a:graphic>
          </wp:anchor>
        </w:drawing>
      </w:r>
      <w:r>
        <w:t>In the Final Determinat</w:t>
      </w:r>
      <w:r>
        <w:t>ion, MOFCOM stated that it "decided to conduct [the] price impact analysis based on the weighted average prices of the dumped imported product and domestic like products".</w:t>
      </w:r>
      <w:r>
        <w:rPr>
          <w:vertAlign w:val="superscript"/>
        </w:rPr>
        <w:t>628</w:t>
      </w:r>
    </w:p>
    <w:p w14:paraId="51DE8DEB" w14:textId="77777777" w:rsidR="0010369C" w:rsidRDefault="0010369C">
      <w:pPr>
        <w:pStyle w:val="BodyText"/>
        <w:spacing w:before="11"/>
        <w:rPr>
          <w:sz w:val="8"/>
        </w:rPr>
      </w:pPr>
    </w:p>
    <w:p w14:paraId="51DE8DEC" w14:textId="77777777" w:rsidR="0010369C" w:rsidRDefault="008E43AE">
      <w:pPr>
        <w:pStyle w:val="BodyText"/>
        <w:spacing w:before="52" w:line="360" w:lineRule="auto"/>
        <w:ind w:left="236" w:right="612" w:firstLine="852"/>
        <w:jc w:val="both"/>
      </w:pPr>
      <w:r>
        <w:rPr>
          <w:noProof/>
        </w:rPr>
        <w:drawing>
          <wp:anchor distT="0" distB="0" distL="0" distR="0" simplePos="0" relativeHeight="251193856" behindDoc="1" locked="0" layoutInCell="1" allowOverlap="1" wp14:anchorId="51DEA45C" wp14:editId="51DEA45D">
            <wp:simplePos x="0" y="0"/>
            <wp:positionH relativeFrom="page">
              <wp:posOffset>902208</wp:posOffset>
            </wp:positionH>
            <wp:positionV relativeFrom="paragraph">
              <wp:posOffset>80595</wp:posOffset>
            </wp:positionV>
            <wp:extent cx="262127" cy="103631"/>
            <wp:effectExtent l="0" t="0" r="0" b="0"/>
            <wp:wrapNone/>
            <wp:docPr id="1113" name="image5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 name="image568.png"/>
                    <pic:cNvPicPr/>
                  </pic:nvPicPr>
                  <pic:blipFill>
                    <a:blip r:embed="rId742" cstate="print"/>
                    <a:stretch>
                      <a:fillRect/>
                    </a:stretch>
                  </pic:blipFill>
                  <pic:spPr>
                    <a:xfrm>
                      <a:off x="0" y="0"/>
                      <a:ext cx="262127" cy="103631"/>
                    </a:xfrm>
                    <a:prstGeom prst="rect">
                      <a:avLst/>
                    </a:prstGeom>
                  </pic:spPr>
                </pic:pic>
              </a:graphicData>
            </a:graphic>
          </wp:anchor>
        </w:drawing>
      </w:r>
      <w:r>
        <w:t>To calculate the annual average price covering all products within the basket o</w:t>
      </w:r>
      <w:r>
        <w:t>f subject imports, MOFCOM states that "[b]ased on the CIF price of the dumped imported product</w:t>
      </w:r>
      <w:r>
        <w:rPr>
          <w:spacing w:val="-2"/>
        </w:rPr>
        <w:t xml:space="preserve"> </w:t>
      </w:r>
      <w:r>
        <w:t>provided</w:t>
      </w:r>
      <w:r>
        <w:rPr>
          <w:spacing w:val="-3"/>
        </w:rPr>
        <w:t xml:space="preserve"> </w:t>
      </w:r>
      <w:r>
        <w:t>by</w:t>
      </w:r>
      <w:r>
        <w:rPr>
          <w:spacing w:val="-2"/>
        </w:rPr>
        <w:t xml:space="preserve"> </w:t>
      </w:r>
      <w:r>
        <w:t>China</w:t>
      </w:r>
      <w:r>
        <w:rPr>
          <w:spacing w:val="-2"/>
        </w:rPr>
        <w:t xml:space="preserve"> </w:t>
      </w:r>
      <w:r>
        <w:t>Customs,</w:t>
      </w:r>
      <w:r>
        <w:rPr>
          <w:spacing w:val="-3"/>
        </w:rPr>
        <w:t xml:space="preserve"> </w:t>
      </w:r>
      <w:r>
        <w:t>the</w:t>
      </w:r>
      <w:r>
        <w:rPr>
          <w:spacing w:val="-2"/>
        </w:rPr>
        <w:t xml:space="preserve"> </w:t>
      </w:r>
      <w:r>
        <w:t>Investigating</w:t>
      </w:r>
      <w:r>
        <w:rPr>
          <w:spacing w:val="-3"/>
        </w:rPr>
        <w:t xml:space="preserve"> </w:t>
      </w:r>
      <w:r>
        <w:t>Authority</w:t>
      </w:r>
      <w:r>
        <w:rPr>
          <w:spacing w:val="-3"/>
        </w:rPr>
        <w:t xml:space="preserve"> </w:t>
      </w:r>
      <w:r>
        <w:t>further</w:t>
      </w:r>
      <w:r>
        <w:rPr>
          <w:spacing w:val="-2"/>
        </w:rPr>
        <w:t xml:space="preserve"> </w:t>
      </w:r>
      <w:r>
        <w:t>considered</w:t>
      </w:r>
      <w:r>
        <w:rPr>
          <w:spacing w:val="-3"/>
        </w:rPr>
        <w:t xml:space="preserve"> </w:t>
      </w:r>
      <w:r>
        <w:t>exchange rates, tariff rates and imported customs clearance costs during the investigation period, adjusted the import price of the product under investigation accordingly, and saw the adjusted price as the import price of such dumped imported product".</w:t>
      </w:r>
      <w:r>
        <w:rPr>
          <w:vertAlign w:val="superscript"/>
        </w:rPr>
        <w:t>629</w:t>
      </w:r>
      <w:r>
        <w:t xml:space="preserve"> MOFCOM did not provide: the underlying CIF pricing data "provided by China Customs" that it relied upon as the</w:t>
      </w:r>
      <w:r>
        <w:rPr>
          <w:spacing w:val="-6"/>
        </w:rPr>
        <w:t xml:space="preserve"> </w:t>
      </w:r>
      <w:r>
        <w:t>basis</w:t>
      </w:r>
      <w:r>
        <w:rPr>
          <w:spacing w:val="-6"/>
        </w:rPr>
        <w:t xml:space="preserve"> </w:t>
      </w:r>
      <w:r>
        <w:t>for</w:t>
      </w:r>
      <w:r>
        <w:rPr>
          <w:spacing w:val="-7"/>
        </w:rPr>
        <w:t xml:space="preserve"> </w:t>
      </w:r>
      <w:r>
        <w:t>its</w:t>
      </w:r>
      <w:r>
        <w:rPr>
          <w:spacing w:val="-6"/>
        </w:rPr>
        <w:t xml:space="preserve"> </w:t>
      </w:r>
      <w:r>
        <w:t>calculation</w:t>
      </w:r>
      <w:r>
        <w:rPr>
          <w:spacing w:val="-7"/>
        </w:rPr>
        <w:t xml:space="preserve"> </w:t>
      </w:r>
      <w:r>
        <w:t>of</w:t>
      </w:r>
      <w:r>
        <w:rPr>
          <w:spacing w:val="-6"/>
        </w:rPr>
        <w:t xml:space="preserve"> </w:t>
      </w:r>
      <w:r>
        <w:t>import</w:t>
      </w:r>
      <w:r>
        <w:rPr>
          <w:spacing w:val="-7"/>
        </w:rPr>
        <w:t xml:space="preserve"> </w:t>
      </w:r>
      <w:r>
        <w:t>prices,</w:t>
      </w:r>
      <w:r>
        <w:rPr>
          <w:spacing w:val="-7"/>
        </w:rPr>
        <w:t xml:space="preserve"> </w:t>
      </w:r>
      <w:r>
        <w:t>or</w:t>
      </w:r>
      <w:r>
        <w:rPr>
          <w:spacing w:val="-6"/>
        </w:rPr>
        <w:t xml:space="preserve"> </w:t>
      </w:r>
      <w:r>
        <w:t>any</w:t>
      </w:r>
      <w:r>
        <w:rPr>
          <w:spacing w:val="-6"/>
        </w:rPr>
        <w:t xml:space="preserve"> </w:t>
      </w:r>
      <w:r>
        <w:t>description</w:t>
      </w:r>
      <w:r>
        <w:rPr>
          <w:spacing w:val="-5"/>
        </w:rPr>
        <w:t xml:space="preserve"> </w:t>
      </w:r>
      <w:r>
        <w:t>of</w:t>
      </w:r>
      <w:r>
        <w:rPr>
          <w:spacing w:val="-6"/>
        </w:rPr>
        <w:t xml:space="preserve"> </w:t>
      </w:r>
      <w:r>
        <w:t>the</w:t>
      </w:r>
      <w:r>
        <w:rPr>
          <w:spacing w:val="-7"/>
        </w:rPr>
        <w:t xml:space="preserve"> </w:t>
      </w:r>
      <w:r>
        <w:t>methodology</w:t>
      </w:r>
      <w:r>
        <w:rPr>
          <w:spacing w:val="-7"/>
        </w:rPr>
        <w:t xml:space="preserve"> </w:t>
      </w:r>
      <w:r>
        <w:t>that</w:t>
      </w:r>
      <w:r>
        <w:rPr>
          <w:spacing w:val="-6"/>
        </w:rPr>
        <w:t xml:space="preserve"> </w:t>
      </w:r>
      <w:r>
        <w:t>China Customs used to determine this data set;</w:t>
      </w:r>
      <w:r>
        <w:rPr>
          <w:vertAlign w:val="superscript"/>
        </w:rPr>
        <w:t>630</w:t>
      </w:r>
      <w:r>
        <w:t xml:space="preserve"> the ave</w:t>
      </w:r>
      <w:r>
        <w:t>rage yearly exchange rates that it calculated;</w:t>
      </w:r>
      <w:r>
        <w:rPr>
          <w:vertAlign w:val="superscript"/>
        </w:rPr>
        <w:t>631</w:t>
      </w:r>
      <w:r>
        <w:rPr>
          <w:spacing w:val="-14"/>
        </w:rPr>
        <w:t xml:space="preserve"> </w:t>
      </w:r>
      <w:r>
        <w:t>the</w:t>
      </w:r>
      <w:r>
        <w:rPr>
          <w:spacing w:val="-13"/>
        </w:rPr>
        <w:t xml:space="preserve"> </w:t>
      </w:r>
      <w:r>
        <w:t>tariff</w:t>
      </w:r>
      <w:r>
        <w:rPr>
          <w:spacing w:val="-13"/>
        </w:rPr>
        <w:t xml:space="preserve"> </w:t>
      </w:r>
      <w:r>
        <w:t>rates</w:t>
      </w:r>
      <w:r>
        <w:rPr>
          <w:spacing w:val="-14"/>
        </w:rPr>
        <w:t xml:space="preserve"> </w:t>
      </w:r>
      <w:r>
        <w:t>that</w:t>
      </w:r>
      <w:r>
        <w:rPr>
          <w:spacing w:val="-13"/>
        </w:rPr>
        <w:t xml:space="preserve"> </w:t>
      </w:r>
      <w:r>
        <w:t>it</w:t>
      </w:r>
      <w:r>
        <w:rPr>
          <w:spacing w:val="-13"/>
        </w:rPr>
        <w:t xml:space="preserve"> </w:t>
      </w:r>
      <w:r>
        <w:t>applied</w:t>
      </w:r>
      <w:r>
        <w:rPr>
          <w:spacing w:val="-14"/>
        </w:rPr>
        <w:t xml:space="preserve"> </w:t>
      </w:r>
      <w:r>
        <w:t>as</w:t>
      </w:r>
      <w:r>
        <w:rPr>
          <w:spacing w:val="-13"/>
        </w:rPr>
        <w:t xml:space="preserve"> </w:t>
      </w:r>
      <w:r>
        <w:t>an</w:t>
      </w:r>
      <w:r>
        <w:rPr>
          <w:spacing w:val="-14"/>
        </w:rPr>
        <w:t xml:space="preserve"> </w:t>
      </w:r>
      <w:r>
        <w:t>adjustment;</w:t>
      </w:r>
      <w:r>
        <w:rPr>
          <w:spacing w:val="-13"/>
        </w:rPr>
        <w:t xml:space="preserve"> </w:t>
      </w:r>
      <w:r>
        <w:t>or</w:t>
      </w:r>
      <w:r>
        <w:rPr>
          <w:spacing w:val="-14"/>
        </w:rPr>
        <w:t xml:space="preserve"> </w:t>
      </w:r>
      <w:r>
        <w:t>the</w:t>
      </w:r>
      <w:r>
        <w:rPr>
          <w:spacing w:val="-12"/>
        </w:rPr>
        <w:t xml:space="preserve"> </w:t>
      </w:r>
      <w:r>
        <w:t>"customs</w:t>
      </w:r>
      <w:r>
        <w:rPr>
          <w:spacing w:val="-13"/>
        </w:rPr>
        <w:t xml:space="preserve"> </w:t>
      </w:r>
      <w:r>
        <w:t>clearance</w:t>
      </w:r>
      <w:r>
        <w:rPr>
          <w:spacing w:val="-14"/>
        </w:rPr>
        <w:t xml:space="preserve"> </w:t>
      </w:r>
      <w:r>
        <w:t>costs"</w:t>
      </w:r>
    </w:p>
    <w:p w14:paraId="51DE8DED" w14:textId="77777777" w:rsidR="0010369C" w:rsidRDefault="0010369C">
      <w:pPr>
        <w:pStyle w:val="BodyText"/>
        <w:rPr>
          <w:sz w:val="20"/>
        </w:rPr>
      </w:pPr>
    </w:p>
    <w:p w14:paraId="51DE8DEE" w14:textId="77777777" w:rsidR="0010369C" w:rsidRDefault="0010369C">
      <w:pPr>
        <w:pStyle w:val="BodyText"/>
        <w:rPr>
          <w:sz w:val="20"/>
        </w:rPr>
      </w:pPr>
    </w:p>
    <w:p w14:paraId="51DE8DEF" w14:textId="77777777" w:rsidR="0010369C" w:rsidRDefault="008E43AE">
      <w:pPr>
        <w:pStyle w:val="BodyText"/>
        <w:spacing w:before="4"/>
        <w:rPr>
          <w:sz w:val="16"/>
        </w:rPr>
      </w:pPr>
      <w:r>
        <w:pict w14:anchorId="51DEA45E">
          <v:rect id="docshape1018" o:spid="_x0000_s1351" style="position:absolute;margin-left:70.9pt;margin-top:11.2pt;width:2in;height:.8pt;z-index:-250839552;mso-wrap-distance-left:0;mso-wrap-distance-right:0;mso-position-horizontal-relative:page" fillcolor="black" stroked="f">
            <w10:wrap type="topAndBottom" anchorx="page"/>
          </v:rect>
        </w:pict>
      </w:r>
    </w:p>
    <w:p w14:paraId="51DE8DF0" w14:textId="77777777" w:rsidR="0010369C" w:rsidRDefault="008E43AE">
      <w:pPr>
        <w:spacing w:before="110"/>
        <w:ind w:left="237" w:right="613"/>
        <w:jc w:val="both"/>
        <w:rPr>
          <w:sz w:val="18"/>
        </w:rPr>
      </w:pPr>
      <w:r>
        <w:rPr>
          <w:sz w:val="18"/>
          <w:vertAlign w:val="superscript"/>
        </w:rPr>
        <w:t>627</w:t>
      </w:r>
      <w:r>
        <w:rPr>
          <w:sz w:val="18"/>
        </w:rPr>
        <w:t xml:space="preserve"> Appellate Body Report, </w:t>
      </w:r>
      <w:r>
        <w:rPr>
          <w:i/>
          <w:sz w:val="18"/>
        </w:rPr>
        <w:t>Russia – Commercial Vehicles</w:t>
      </w:r>
      <w:r>
        <w:rPr>
          <w:sz w:val="18"/>
        </w:rPr>
        <w:t xml:space="preserve">, paras. 5.52, citing Appellate Body Report, </w:t>
      </w:r>
      <w:r>
        <w:rPr>
          <w:i/>
          <w:sz w:val="18"/>
        </w:rPr>
        <w:t>Mexico – Anti‐Dumping Measures on Rice</w:t>
      </w:r>
      <w:r>
        <w:rPr>
          <w:sz w:val="18"/>
        </w:rPr>
        <w:t xml:space="preserve">, para. 204; Panel Report, </w:t>
      </w:r>
      <w:r>
        <w:rPr>
          <w:i/>
          <w:sz w:val="18"/>
        </w:rPr>
        <w:t>Morocco – Hot Rolled Steel (Turkey)</w:t>
      </w:r>
      <w:r>
        <w:rPr>
          <w:sz w:val="18"/>
        </w:rPr>
        <w:t>, para. 7.155.</w:t>
      </w:r>
    </w:p>
    <w:p w14:paraId="51DE8DF1" w14:textId="77777777" w:rsidR="0010369C" w:rsidRDefault="008E43AE">
      <w:pPr>
        <w:spacing w:line="219" w:lineRule="exact"/>
        <w:ind w:left="238"/>
        <w:jc w:val="both"/>
        <w:rPr>
          <w:sz w:val="18"/>
        </w:rPr>
      </w:pPr>
      <w:r>
        <w:rPr>
          <w:sz w:val="18"/>
          <w:vertAlign w:val="superscript"/>
        </w:rPr>
        <w:t>628</w:t>
      </w:r>
      <w:r>
        <w:rPr>
          <w:spacing w:val="-9"/>
          <w:sz w:val="18"/>
        </w:rPr>
        <w:t xml:space="preserve"> </w:t>
      </w:r>
      <w:r>
        <w:rPr>
          <w:sz w:val="18"/>
        </w:rPr>
        <w:t>Anti‐Dumping</w:t>
      </w:r>
      <w:r>
        <w:rPr>
          <w:spacing w:val="-9"/>
          <w:sz w:val="18"/>
        </w:rPr>
        <w:t xml:space="preserve"> </w:t>
      </w:r>
      <w:r>
        <w:rPr>
          <w:sz w:val="18"/>
        </w:rPr>
        <w:t>Final</w:t>
      </w:r>
      <w:r>
        <w:rPr>
          <w:spacing w:val="-9"/>
          <w:sz w:val="18"/>
        </w:rPr>
        <w:t xml:space="preserve"> </w:t>
      </w:r>
      <w:r>
        <w:rPr>
          <w:sz w:val="18"/>
        </w:rPr>
        <w:t>Determination</w:t>
      </w:r>
      <w:r>
        <w:rPr>
          <w:spacing w:val="-8"/>
          <w:sz w:val="18"/>
        </w:rPr>
        <w:t xml:space="preserve"> </w:t>
      </w:r>
      <w:r>
        <w:rPr>
          <w:sz w:val="18"/>
        </w:rPr>
        <w:t>(Exhibit</w:t>
      </w:r>
      <w:r>
        <w:rPr>
          <w:spacing w:val="-9"/>
          <w:sz w:val="18"/>
        </w:rPr>
        <w:t xml:space="preserve"> </w:t>
      </w:r>
      <w:r>
        <w:rPr>
          <w:sz w:val="18"/>
        </w:rPr>
        <w:t>AUS‐2),</w:t>
      </w:r>
      <w:r>
        <w:rPr>
          <w:spacing w:val="-9"/>
          <w:sz w:val="18"/>
        </w:rPr>
        <w:t xml:space="preserve"> </w:t>
      </w:r>
      <w:r>
        <w:rPr>
          <w:sz w:val="18"/>
        </w:rPr>
        <w:t>p.</w:t>
      </w:r>
      <w:r>
        <w:rPr>
          <w:spacing w:val="-9"/>
          <w:sz w:val="18"/>
        </w:rPr>
        <w:t xml:space="preserve"> </w:t>
      </w:r>
      <w:r>
        <w:rPr>
          <w:spacing w:val="-2"/>
          <w:sz w:val="18"/>
        </w:rPr>
        <w:t>116‐117.</w:t>
      </w:r>
    </w:p>
    <w:p w14:paraId="51DE8DF2" w14:textId="77777777" w:rsidR="0010369C" w:rsidRDefault="008E43AE">
      <w:pPr>
        <w:ind w:left="238" w:right="613" w:hanging="1"/>
        <w:jc w:val="both"/>
        <w:rPr>
          <w:sz w:val="18"/>
        </w:rPr>
      </w:pPr>
      <w:r>
        <w:rPr>
          <w:sz w:val="18"/>
          <w:vertAlign w:val="superscript"/>
        </w:rPr>
        <w:t>629</w:t>
      </w:r>
      <w:r>
        <w:rPr>
          <w:sz w:val="18"/>
        </w:rPr>
        <w:t xml:space="preserve"> Anti‐Dumping Final Determi</w:t>
      </w:r>
      <w:r>
        <w:rPr>
          <w:sz w:val="18"/>
        </w:rPr>
        <w:t>nation (Exhibit AUS‐2), p. 113. See also ibid., p. 139 ("the price of the dumped imported product</w:t>
      </w:r>
      <w:r>
        <w:rPr>
          <w:spacing w:val="-5"/>
          <w:sz w:val="18"/>
        </w:rPr>
        <w:t xml:space="preserve"> </w:t>
      </w:r>
      <w:r>
        <w:rPr>
          <w:sz w:val="18"/>
        </w:rPr>
        <w:t>was</w:t>
      </w:r>
      <w:r>
        <w:rPr>
          <w:spacing w:val="-5"/>
          <w:sz w:val="18"/>
        </w:rPr>
        <w:t xml:space="preserve"> </w:t>
      </w:r>
      <w:r>
        <w:rPr>
          <w:sz w:val="18"/>
        </w:rPr>
        <w:t>determined</w:t>
      </w:r>
      <w:r>
        <w:rPr>
          <w:spacing w:val="-4"/>
          <w:sz w:val="18"/>
        </w:rPr>
        <w:t xml:space="preserve"> </w:t>
      </w:r>
      <w:r>
        <w:rPr>
          <w:sz w:val="18"/>
        </w:rPr>
        <w:t>on</w:t>
      </w:r>
      <w:r>
        <w:rPr>
          <w:spacing w:val="-4"/>
          <w:sz w:val="18"/>
        </w:rPr>
        <w:t xml:space="preserve"> </w:t>
      </w:r>
      <w:r>
        <w:rPr>
          <w:sz w:val="18"/>
        </w:rPr>
        <w:t>the</w:t>
      </w:r>
      <w:r>
        <w:rPr>
          <w:spacing w:val="-5"/>
          <w:sz w:val="18"/>
        </w:rPr>
        <w:t xml:space="preserve"> </w:t>
      </w:r>
      <w:r>
        <w:rPr>
          <w:sz w:val="18"/>
        </w:rPr>
        <w:t>basis</w:t>
      </w:r>
      <w:r>
        <w:rPr>
          <w:spacing w:val="-4"/>
          <w:sz w:val="18"/>
        </w:rPr>
        <w:t xml:space="preserve"> </w:t>
      </w:r>
      <w:r>
        <w:rPr>
          <w:sz w:val="18"/>
        </w:rPr>
        <w:t>of</w:t>
      </w:r>
      <w:r>
        <w:rPr>
          <w:spacing w:val="-4"/>
          <w:sz w:val="18"/>
        </w:rPr>
        <w:t xml:space="preserve"> </w:t>
      </w:r>
      <w:r>
        <w:rPr>
          <w:sz w:val="18"/>
        </w:rPr>
        <w:t>CIF</w:t>
      </w:r>
      <w:r>
        <w:rPr>
          <w:spacing w:val="-5"/>
          <w:sz w:val="18"/>
        </w:rPr>
        <w:t xml:space="preserve"> </w:t>
      </w:r>
      <w:r>
        <w:rPr>
          <w:sz w:val="18"/>
        </w:rPr>
        <w:t>prices</w:t>
      </w:r>
      <w:r>
        <w:rPr>
          <w:spacing w:val="-4"/>
          <w:sz w:val="18"/>
        </w:rPr>
        <w:t xml:space="preserve"> </w:t>
      </w:r>
      <w:r>
        <w:rPr>
          <w:sz w:val="18"/>
        </w:rPr>
        <w:t>provided</w:t>
      </w:r>
      <w:r>
        <w:rPr>
          <w:spacing w:val="-4"/>
          <w:sz w:val="18"/>
        </w:rPr>
        <w:t xml:space="preserve"> </w:t>
      </w:r>
      <w:r>
        <w:rPr>
          <w:sz w:val="18"/>
        </w:rPr>
        <w:t>by</w:t>
      </w:r>
      <w:r>
        <w:rPr>
          <w:spacing w:val="-5"/>
          <w:sz w:val="18"/>
        </w:rPr>
        <w:t xml:space="preserve"> </w:t>
      </w:r>
      <w:r>
        <w:rPr>
          <w:sz w:val="18"/>
        </w:rPr>
        <w:t>China</w:t>
      </w:r>
      <w:r>
        <w:rPr>
          <w:spacing w:val="-4"/>
          <w:sz w:val="18"/>
        </w:rPr>
        <w:t xml:space="preserve"> </w:t>
      </w:r>
      <w:r>
        <w:rPr>
          <w:sz w:val="18"/>
        </w:rPr>
        <w:t>Customs</w:t>
      </w:r>
      <w:r>
        <w:rPr>
          <w:spacing w:val="-4"/>
          <w:sz w:val="18"/>
        </w:rPr>
        <w:t xml:space="preserve"> </w:t>
      </w:r>
      <w:r>
        <w:rPr>
          <w:sz w:val="18"/>
        </w:rPr>
        <w:t>after</w:t>
      </w:r>
      <w:r>
        <w:rPr>
          <w:spacing w:val="-5"/>
          <w:sz w:val="18"/>
        </w:rPr>
        <w:t xml:space="preserve"> </w:t>
      </w:r>
      <w:r>
        <w:rPr>
          <w:sz w:val="18"/>
        </w:rPr>
        <w:t>considering</w:t>
      </w:r>
      <w:r>
        <w:rPr>
          <w:spacing w:val="-4"/>
          <w:sz w:val="18"/>
        </w:rPr>
        <w:t xml:space="preserve"> </w:t>
      </w:r>
      <w:r>
        <w:rPr>
          <w:sz w:val="18"/>
        </w:rPr>
        <w:t>the</w:t>
      </w:r>
      <w:r>
        <w:rPr>
          <w:spacing w:val="-4"/>
          <w:sz w:val="18"/>
        </w:rPr>
        <w:t xml:space="preserve"> </w:t>
      </w:r>
      <w:r>
        <w:rPr>
          <w:sz w:val="18"/>
        </w:rPr>
        <w:t>exchange</w:t>
      </w:r>
      <w:r>
        <w:rPr>
          <w:spacing w:val="-4"/>
          <w:sz w:val="18"/>
        </w:rPr>
        <w:t xml:space="preserve"> </w:t>
      </w:r>
      <w:r>
        <w:rPr>
          <w:sz w:val="18"/>
        </w:rPr>
        <w:t>rate,</w:t>
      </w:r>
      <w:r>
        <w:rPr>
          <w:spacing w:val="-6"/>
          <w:sz w:val="18"/>
        </w:rPr>
        <w:t xml:space="preserve"> </w:t>
      </w:r>
      <w:r>
        <w:rPr>
          <w:sz w:val="18"/>
        </w:rPr>
        <w:t>tariff</w:t>
      </w:r>
      <w:r>
        <w:rPr>
          <w:spacing w:val="-5"/>
          <w:sz w:val="18"/>
        </w:rPr>
        <w:t xml:space="preserve"> </w:t>
      </w:r>
      <w:r>
        <w:rPr>
          <w:sz w:val="18"/>
        </w:rPr>
        <w:t>rate and customs clearance fee during the inve</w:t>
      </w:r>
      <w:r>
        <w:rPr>
          <w:sz w:val="18"/>
        </w:rPr>
        <w:t>stigation period").</w:t>
      </w:r>
    </w:p>
    <w:p w14:paraId="51DE8DF3" w14:textId="77777777" w:rsidR="0010369C" w:rsidRDefault="008E43AE">
      <w:pPr>
        <w:ind w:left="237" w:right="613"/>
        <w:jc w:val="both"/>
        <w:rPr>
          <w:sz w:val="18"/>
        </w:rPr>
      </w:pPr>
      <w:r>
        <w:rPr>
          <w:sz w:val="18"/>
          <w:vertAlign w:val="superscript"/>
        </w:rPr>
        <w:t>630</w:t>
      </w:r>
      <w:r>
        <w:rPr>
          <w:sz w:val="18"/>
        </w:rPr>
        <w:t xml:space="preserve"> Although MOFCOM states that "the CIF price of the dumped imported product" was "provided by China Customs", Australia</w:t>
      </w:r>
      <w:r>
        <w:rPr>
          <w:spacing w:val="-11"/>
          <w:sz w:val="18"/>
        </w:rPr>
        <w:t xml:space="preserve"> </w:t>
      </w:r>
      <w:r>
        <w:rPr>
          <w:sz w:val="18"/>
        </w:rPr>
        <w:t>notes</w:t>
      </w:r>
      <w:r>
        <w:rPr>
          <w:spacing w:val="-9"/>
          <w:sz w:val="18"/>
        </w:rPr>
        <w:t xml:space="preserve"> </w:t>
      </w:r>
      <w:r>
        <w:rPr>
          <w:sz w:val="18"/>
        </w:rPr>
        <w:t>that</w:t>
      </w:r>
      <w:r>
        <w:rPr>
          <w:spacing w:val="-10"/>
          <w:sz w:val="18"/>
        </w:rPr>
        <w:t xml:space="preserve"> </w:t>
      </w:r>
      <w:r>
        <w:rPr>
          <w:sz w:val="18"/>
        </w:rPr>
        <w:t>USD/kl</w:t>
      </w:r>
      <w:r>
        <w:rPr>
          <w:spacing w:val="-11"/>
          <w:sz w:val="18"/>
        </w:rPr>
        <w:t xml:space="preserve"> </w:t>
      </w:r>
      <w:r>
        <w:rPr>
          <w:sz w:val="18"/>
        </w:rPr>
        <w:t>CIF</w:t>
      </w:r>
      <w:r>
        <w:rPr>
          <w:spacing w:val="-10"/>
          <w:sz w:val="18"/>
        </w:rPr>
        <w:t xml:space="preserve"> </w:t>
      </w:r>
      <w:r>
        <w:rPr>
          <w:sz w:val="18"/>
        </w:rPr>
        <w:t>data</w:t>
      </w:r>
      <w:r>
        <w:rPr>
          <w:spacing w:val="-10"/>
          <w:sz w:val="18"/>
        </w:rPr>
        <w:t xml:space="preserve"> </w:t>
      </w:r>
      <w:r>
        <w:rPr>
          <w:sz w:val="18"/>
        </w:rPr>
        <w:t>for</w:t>
      </w:r>
      <w:r>
        <w:rPr>
          <w:spacing w:val="-10"/>
          <w:sz w:val="18"/>
        </w:rPr>
        <w:t xml:space="preserve"> </w:t>
      </w:r>
      <w:r>
        <w:rPr>
          <w:sz w:val="18"/>
        </w:rPr>
        <w:t>bottled</w:t>
      </w:r>
      <w:r>
        <w:rPr>
          <w:spacing w:val="-10"/>
          <w:sz w:val="18"/>
        </w:rPr>
        <w:t xml:space="preserve"> </w:t>
      </w:r>
      <w:r>
        <w:rPr>
          <w:sz w:val="18"/>
        </w:rPr>
        <w:t>wine</w:t>
      </w:r>
      <w:r>
        <w:rPr>
          <w:spacing w:val="-9"/>
          <w:sz w:val="18"/>
        </w:rPr>
        <w:t xml:space="preserve"> </w:t>
      </w:r>
      <w:r>
        <w:rPr>
          <w:sz w:val="18"/>
        </w:rPr>
        <w:t>imports</w:t>
      </w:r>
      <w:r>
        <w:rPr>
          <w:spacing w:val="-10"/>
          <w:sz w:val="18"/>
        </w:rPr>
        <w:t xml:space="preserve"> </w:t>
      </w:r>
      <w:r>
        <w:rPr>
          <w:sz w:val="18"/>
        </w:rPr>
        <w:t>for</w:t>
      </w:r>
      <w:r>
        <w:rPr>
          <w:spacing w:val="-10"/>
          <w:sz w:val="18"/>
        </w:rPr>
        <w:t xml:space="preserve"> </w:t>
      </w:r>
      <w:r>
        <w:rPr>
          <w:sz w:val="18"/>
        </w:rPr>
        <w:t>2015,</w:t>
      </w:r>
      <w:r>
        <w:rPr>
          <w:spacing w:val="-10"/>
          <w:sz w:val="18"/>
        </w:rPr>
        <w:t xml:space="preserve"> </w:t>
      </w:r>
      <w:r>
        <w:rPr>
          <w:sz w:val="18"/>
        </w:rPr>
        <w:t>2016,</w:t>
      </w:r>
      <w:r>
        <w:rPr>
          <w:spacing w:val="-10"/>
          <w:sz w:val="18"/>
        </w:rPr>
        <w:t xml:space="preserve"> </w:t>
      </w:r>
      <w:r>
        <w:rPr>
          <w:sz w:val="18"/>
        </w:rPr>
        <w:t>2017,</w:t>
      </w:r>
      <w:r>
        <w:rPr>
          <w:spacing w:val="-10"/>
          <w:sz w:val="18"/>
        </w:rPr>
        <w:t xml:space="preserve"> </w:t>
      </w:r>
      <w:r>
        <w:rPr>
          <w:sz w:val="18"/>
        </w:rPr>
        <w:t>and</w:t>
      </w:r>
      <w:r>
        <w:rPr>
          <w:spacing w:val="-10"/>
          <w:sz w:val="18"/>
        </w:rPr>
        <w:t xml:space="preserve"> </w:t>
      </w:r>
      <w:r>
        <w:rPr>
          <w:sz w:val="18"/>
        </w:rPr>
        <w:t>2019</w:t>
      </w:r>
      <w:r>
        <w:rPr>
          <w:spacing w:val="-10"/>
          <w:sz w:val="18"/>
        </w:rPr>
        <w:t xml:space="preserve"> </w:t>
      </w:r>
      <w:r>
        <w:rPr>
          <w:sz w:val="18"/>
        </w:rPr>
        <w:t>are</w:t>
      </w:r>
      <w:r>
        <w:rPr>
          <w:spacing w:val="-9"/>
          <w:sz w:val="18"/>
        </w:rPr>
        <w:t xml:space="preserve"> </w:t>
      </w:r>
      <w:r>
        <w:rPr>
          <w:sz w:val="18"/>
        </w:rPr>
        <w:t>included</w:t>
      </w:r>
      <w:r>
        <w:rPr>
          <w:spacing w:val="-10"/>
          <w:sz w:val="18"/>
        </w:rPr>
        <w:t xml:space="preserve"> </w:t>
      </w:r>
      <w:r>
        <w:rPr>
          <w:sz w:val="18"/>
        </w:rPr>
        <w:t>at</w:t>
      </w:r>
      <w:r>
        <w:rPr>
          <w:spacing w:val="-10"/>
          <w:sz w:val="18"/>
        </w:rPr>
        <w:t xml:space="preserve"> </w:t>
      </w:r>
      <w:r>
        <w:rPr>
          <w:sz w:val="18"/>
        </w:rPr>
        <w:t>CADA</w:t>
      </w:r>
      <w:r>
        <w:rPr>
          <w:spacing w:val="-9"/>
          <w:sz w:val="18"/>
        </w:rPr>
        <w:t xml:space="preserve"> </w:t>
      </w:r>
      <w:r>
        <w:rPr>
          <w:sz w:val="18"/>
        </w:rPr>
        <w:t>Application for Anti‐Dumping Investigation, Annexes 1‐12 (Part 2) (Exhibit AUS‐66), Annex 8, pp. 45‐48. It is unclear whether or to what extent MOFCOM may have relied upon this data as a basis for its price calculation.</w:t>
      </w:r>
    </w:p>
    <w:p w14:paraId="51DE8DF4" w14:textId="77777777" w:rsidR="0010369C" w:rsidRDefault="008E43AE">
      <w:pPr>
        <w:spacing w:before="1"/>
        <w:ind w:left="237" w:right="613"/>
        <w:jc w:val="both"/>
        <w:rPr>
          <w:sz w:val="18"/>
        </w:rPr>
      </w:pPr>
      <w:r>
        <w:rPr>
          <w:sz w:val="18"/>
          <w:vertAlign w:val="superscript"/>
        </w:rPr>
        <w:t>631</w:t>
      </w:r>
      <w:r>
        <w:rPr>
          <w:sz w:val="18"/>
        </w:rPr>
        <w:t xml:space="preserve"> Australia notes that average yea</w:t>
      </w:r>
      <w:r>
        <w:rPr>
          <w:sz w:val="18"/>
        </w:rPr>
        <w:t>rly exchange rates (USD to RMB) published by the People's Bank of China were included at</w:t>
      </w:r>
      <w:r>
        <w:rPr>
          <w:spacing w:val="-8"/>
          <w:sz w:val="18"/>
        </w:rPr>
        <w:t xml:space="preserve"> </w:t>
      </w:r>
      <w:r>
        <w:rPr>
          <w:sz w:val="18"/>
        </w:rPr>
        <w:t>CADA</w:t>
      </w:r>
      <w:r>
        <w:rPr>
          <w:spacing w:val="-7"/>
          <w:sz w:val="18"/>
        </w:rPr>
        <w:t xml:space="preserve"> </w:t>
      </w:r>
      <w:r>
        <w:rPr>
          <w:sz w:val="18"/>
        </w:rPr>
        <w:t>Application</w:t>
      </w:r>
      <w:r>
        <w:rPr>
          <w:spacing w:val="-7"/>
          <w:sz w:val="18"/>
        </w:rPr>
        <w:t xml:space="preserve"> </w:t>
      </w:r>
      <w:r>
        <w:rPr>
          <w:sz w:val="18"/>
        </w:rPr>
        <w:t>for</w:t>
      </w:r>
      <w:r>
        <w:rPr>
          <w:spacing w:val="-8"/>
          <w:sz w:val="18"/>
        </w:rPr>
        <w:t xml:space="preserve"> </w:t>
      </w:r>
      <w:r>
        <w:rPr>
          <w:sz w:val="18"/>
        </w:rPr>
        <w:t>Anti‐Dumping</w:t>
      </w:r>
      <w:r>
        <w:rPr>
          <w:spacing w:val="-7"/>
          <w:sz w:val="18"/>
        </w:rPr>
        <w:t xml:space="preserve"> </w:t>
      </w:r>
      <w:r>
        <w:rPr>
          <w:sz w:val="18"/>
        </w:rPr>
        <w:t>Investigation,</w:t>
      </w:r>
      <w:r>
        <w:rPr>
          <w:spacing w:val="-8"/>
          <w:sz w:val="18"/>
        </w:rPr>
        <w:t xml:space="preserve"> </w:t>
      </w:r>
      <w:r>
        <w:rPr>
          <w:sz w:val="18"/>
        </w:rPr>
        <w:t>Annexes</w:t>
      </w:r>
      <w:r>
        <w:rPr>
          <w:spacing w:val="-7"/>
          <w:sz w:val="18"/>
        </w:rPr>
        <w:t xml:space="preserve"> </w:t>
      </w:r>
      <w:r>
        <w:rPr>
          <w:sz w:val="18"/>
        </w:rPr>
        <w:t>13‐14</w:t>
      </w:r>
      <w:r>
        <w:rPr>
          <w:spacing w:val="-7"/>
          <w:sz w:val="18"/>
        </w:rPr>
        <w:t xml:space="preserve"> </w:t>
      </w:r>
      <w:r>
        <w:rPr>
          <w:sz w:val="18"/>
        </w:rPr>
        <w:t>(Exhibit</w:t>
      </w:r>
      <w:r>
        <w:rPr>
          <w:spacing w:val="-7"/>
          <w:sz w:val="18"/>
        </w:rPr>
        <w:t xml:space="preserve"> </w:t>
      </w:r>
      <w:r>
        <w:rPr>
          <w:sz w:val="18"/>
        </w:rPr>
        <w:t>AUS‐67),</w:t>
      </w:r>
      <w:r>
        <w:rPr>
          <w:spacing w:val="-8"/>
          <w:sz w:val="18"/>
        </w:rPr>
        <w:t xml:space="preserve"> </w:t>
      </w:r>
      <w:r>
        <w:rPr>
          <w:sz w:val="18"/>
        </w:rPr>
        <w:t>Annex</w:t>
      </w:r>
      <w:r>
        <w:rPr>
          <w:spacing w:val="-8"/>
          <w:sz w:val="18"/>
        </w:rPr>
        <w:t xml:space="preserve"> </w:t>
      </w:r>
      <w:r>
        <w:rPr>
          <w:sz w:val="18"/>
        </w:rPr>
        <w:t>14,</w:t>
      </w:r>
      <w:r>
        <w:rPr>
          <w:spacing w:val="-8"/>
          <w:sz w:val="18"/>
        </w:rPr>
        <w:t xml:space="preserve"> </w:t>
      </w:r>
      <w:r>
        <w:rPr>
          <w:sz w:val="18"/>
        </w:rPr>
        <w:t>pp.</w:t>
      </w:r>
      <w:r>
        <w:rPr>
          <w:spacing w:val="-7"/>
          <w:sz w:val="18"/>
        </w:rPr>
        <w:t xml:space="preserve"> </w:t>
      </w:r>
      <w:r>
        <w:rPr>
          <w:sz w:val="18"/>
        </w:rPr>
        <w:t>59.</w:t>
      </w:r>
      <w:r>
        <w:rPr>
          <w:spacing w:val="-7"/>
          <w:sz w:val="18"/>
        </w:rPr>
        <w:t xml:space="preserve"> </w:t>
      </w:r>
      <w:r>
        <w:rPr>
          <w:sz w:val="18"/>
        </w:rPr>
        <w:t>It</w:t>
      </w:r>
      <w:r>
        <w:rPr>
          <w:spacing w:val="-8"/>
          <w:sz w:val="18"/>
        </w:rPr>
        <w:t xml:space="preserve"> </w:t>
      </w:r>
      <w:r>
        <w:rPr>
          <w:sz w:val="18"/>
        </w:rPr>
        <w:t>is</w:t>
      </w:r>
      <w:r>
        <w:rPr>
          <w:spacing w:val="-7"/>
          <w:sz w:val="18"/>
        </w:rPr>
        <w:t xml:space="preserve"> </w:t>
      </w:r>
      <w:r>
        <w:rPr>
          <w:sz w:val="18"/>
        </w:rPr>
        <w:t>not</w:t>
      </w:r>
      <w:r>
        <w:rPr>
          <w:spacing w:val="-8"/>
          <w:sz w:val="18"/>
        </w:rPr>
        <w:t xml:space="preserve"> </w:t>
      </w:r>
      <w:r>
        <w:rPr>
          <w:sz w:val="18"/>
        </w:rPr>
        <w:t>clear</w:t>
      </w:r>
      <w:r>
        <w:rPr>
          <w:spacing w:val="-8"/>
          <w:sz w:val="18"/>
        </w:rPr>
        <w:t xml:space="preserve"> </w:t>
      </w:r>
      <w:r>
        <w:rPr>
          <w:sz w:val="18"/>
        </w:rPr>
        <w:t>whether or to what extent MOFCOM relied on this data</w:t>
      </w:r>
      <w:r>
        <w:rPr>
          <w:sz w:val="18"/>
        </w:rPr>
        <w:t>.</w:t>
      </w:r>
    </w:p>
    <w:p w14:paraId="51DE8DF5" w14:textId="77777777" w:rsidR="0010369C" w:rsidRDefault="0010369C">
      <w:pPr>
        <w:jc w:val="both"/>
        <w:rPr>
          <w:sz w:val="18"/>
        </w:rPr>
        <w:sectPr w:rsidR="0010369C">
          <w:pgSz w:w="11910" w:h="16840"/>
          <w:pgMar w:top="880" w:right="800" w:bottom="980" w:left="1180" w:header="569" w:footer="788" w:gutter="0"/>
          <w:cols w:space="720"/>
        </w:sectPr>
      </w:pPr>
    </w:p>
    <w:p w14:paraId="51DE8DF6" w14:textId="77777777" w:rsidR="0010369C" w:rsidRDefault="0010369C">
      <w:pPr>
        <w:pStyle w:val="BodyText"/>
        <w:spacing w:before="2"/>
        <w:rPr>
          <w:sz w:val="15"/>
        </w:rPr>
      </w:pPr>
    </w:p>
    <w:p w14:paraId="51DE8DF7" w14:textId="77777777" w:rsidR="0010369C" w:rsidRDefault="008E43AE">
      <w:pPr>
        <w:tabs>
          <w:tab w:val="left" w:pos="8228"/>
        </w:tabs>
        <w:spacing w:before="60"/>
        <w:ind w:left="239"/>
        <w:jc w:val="both"/>
        <w:rPr>
          <w:sz w:val="20"/>
        </w:rPr>
      </w:pPr>
      <w:r>
        <w:rPr>
          <w:i/>
          <w:sz w:val="20"/>
        </w:rPr>
        <w:t>on</w:t>
      </w:r>
      <w:r>
        <w:rPr>
          <w:i/>
          <w:spacing w:val="-1"/>
          <w:sz w:val="20"/>
        </w:rPr>
        <w:t xml:space="preserve"> </w:t>
      </w:r>
      <w:r>
        <w:rPr>
          <w:i/>
          <w:sz w:val="20"/>
        </w:rPr>
        <w:t>Wine</w:t>
      </w:r>
      <w:r>
        <w:rPr>
          <w:i/>
          <w:spacing w:val="-1"/>
          <w:sz w:val="20"/>
        </w:rPr>
        <w:t xml:space="preserve"> </w:t>
      </w:r>
      <w:r>
        <w:rPr>
          <w:i/>
          <w:sz w:val="20"/>
        </w:rPr>
        <w:t>from</w:t>
      </w:r>
      <w:r>
        <w:rPr>
          <w:i/>
          <w:spacing w:val="-3"/>
          <w:sz w:val="20"/>
        </w:rPr>
        <w:t xml:space="preserve"> </w:t>
      </w:r>
      <w:r>
        <w:rPr>
          <w:i/>
          <w:sz w:val="20"/>
        </w:rPr>
        <w:t>Australia</w:t>
      </w:r>
      <w:r>
        <w:rPr>
          <w:i/>
          <w:spacing w:val="-1"/>
          <w:sz w:val="20"/>
        </w:rPr>
        <w:t xml:space="preserve"> </w:t>
      </w:r>
      <w:r>
        <w:rPr>
          <w:spacing w:val="-2"/>
          <w:sz w:val="20"/>
        </w:rPr>
        <w:t>(DS602)</w:t>
      </w:r>
      <w:r>
        <w:rPr>
          <w:sz w:val="20"/>
        </w:rPr>
        <w:tab/>
        <w:t>29</w:t>
      </w:r>
      <w:r>
        <w:rPr>
          <w:spacing w:val="-1"/>
          <w:sz w:val="20"/>
        </w:rPr>
        <w:t xml:space="preserve"> </w:t>
      </w:r>
      <w:r>
        <w:rPr>
          <w:sz w:val="20"/>
        </w:rPr>
        <w:t>April</w:t>
      </w:r>
      <w:r>
        <w:rPr>
          <w:spacing w:val="-2"/>
          <w:sz w:val="20"/>
        </w:rPr>
        <w:t xml:space="preserve"> </w:t>
      </w:r>
      <w:r>
        <w:rPr>
          <w:spacing w:val="-4"/>
          <w:sz w:val="20"/>
        </w:rPr>
        <w:t>2022</w:t>
      </w:r>
    </w:p>
    <w:p w14:paraId="51DE8DF8" w14:textId="77777777" w:rsidR="0010369C" w:rsidRDefault="008E43AE">
      <w:pPr>
        <w:pStyle w:val="BodyText"/>
        <w:spacing w:before="34" w:line="360" w:lineRule="auto"/>
        <w:ind w:left="236" w:right="613" w:firstLine="1"/>
        <w:jc w:val="both"/>
      </w:pPr>
      <w:r>
        <w:t>that</w:t>
      </w:r>
      <w:r>
        <w:rPr>
          <w:spacing w:val="-12"/>
        </w:rPr>
        <w:t xml:space="preserve"> </w:t>
      </w:r>
      <w:r>
        <w:t>it</w:t>
      </w:r>
      <w:r>
        <w:rPr>
          <w:spacing w:val="-12"/>
        </w:rPr>
        <w:t xml:space="preserve"> </w:t>
      </w:r>
      <w:r>
        <w:t>applied</w:t>
      </w:r>
      <w:r>
        <w:rPr>
          <w:spacing w:val="-12"/>
        </w:rPr>
        <w:t xml:space="preserve"> </w:t>
      </w:r>
      <w:r>
        <w:t>as</w:t>
      </w:r>
      <w:r>
        <w:rPr>
          <w:spacing w:val="-13"/>
        </w:rPr>
        <w:t xml:space="preserve"> </w:t>
      </w:r>
      <w:r>
        <w:t>an</w:t>
      </w:r>
      <w:r>
        <w:rPr>
          <w:spacing w:val="-13"/>
        </w:rPr>
        <w:t xml:space="preserve"> </w:t>
      </w:r>
      <w:r>
        <w:t>adjustment.</w:t>
      </w:r>
      <w:r>
        <w:rPr>
          <w:vertAlign w:val="superscript"/>
        </w:rPr>
        <w:t>632</w:t>
      </w:r>
      <w:r>
        <w:rPr>
          <w:spacing w:val="-13"/>
        </w:rPr>
        <w:t xml:space="preserve"> </w:t>
      </w:r>
      <w:r>
        <w:t>Moreover,</w:t>
      </w:r>
      <w:r>
        <w:rPr>
          <w:spacing w:val="-12"/>
        </w:rPr>
        <w:t xml:space="preserve"> </w:t>
      </w:r>
      <w:r>
        <w:t>MOFCOM</w:t>
      </w:r>
      <w:r>
        <w:rPr>
          <w:spacing w:val="-12"/>
        </w:rPr>
        <w:t xml:space="preserve"> </w:t>
      </w:r>
      <w:r>
        <w:t>provided</w:t>
      </w:r>
      <w:r>
        <w:rPr>
          <w:spacing w:val="-12"/>
        </w:rPr>
        <w:t xml:space="preserve"> </w:t>
      </w:r>
      <w:r>
        <w:t>no</w:t>
      </w:r>
      <w:r>
        <w:rPr>
          <w:spacing w:val="-12"/>
        </w:rPr>
        <w:t xml:space="preserve"> </w:t>
      </w:r>
      <w:r>
        <w:t>explanations</w:t>
      </w:r>
      <w:r>
        <w:rPr>
          <w:spacing w:val="-14"/>
        </w:rPr>
        <w:t xml:space="preserve"> </w:t>
      </w:r>
      <w:r>
        <w:t>concerning what the "customs clearance costs" included (or excluded), how they were calculated, constructed,</w:t>
      </w:r>
      <w:r>
        <w:rPr>
          <w:spacing w:val="-12"/>
        </w:rPr>
        <w:t xml:space="preserve"> </w:t>
      </w:r>
      <w:r>
        <w:t>estimated,</w:t>
      </w:r>
      <w:r>
        <w:rPr>
          <w:spacing w:val="-13"/>
        </w:rPr>
        <w:t xml:space="preserve"> </w:t>
      </w:r>
      <w:r>
        <w:t>or</w:t>
      </w:r>
      <w:r>
        <w:rPr>
          <w:spacing w:val="-12"/>
        </w:rPr>
        <w:t xml:space="preserve"> </w:t>
      </w:r>
      <w:r>
        <w:t>otherwise</w:t>
      </w:r>
      <w:r>
        <w:rPr>
          <w:spacing w:val="-9"/>
        </w:rPr>
        <w:t xml:space="preserve"> </w:t>
      </w:r>
      <w:r>
        <w:t>determined,</w:t>
      </w:r>
      <w:r>
        <w:rPr>
          <w:spacing w:val="-10"/>
        </w:rPr>
        <w:t xml:space="preserve"> </w:t>
      </w:r>
      <w:r>
        <w:t>or</w:t>
      </w:r>
      <w:r>
        <w:rPr>
          <w:spacing w:val="-11"/>
        </w:rPr>
        <w:t xml:space="preserve"> </w:t>
      </w:r>
      <w:r>
        <w:t>how</w:t>
      </w:r>
      <w:r>
        <w:rPr>
          <w:spacing w:val="-11"/>
        </w:rPr>
        <w:t xml:space="preserve"> </w:t>
      </w:r>
      <w:r>
        <w:t>they</w:t>
      </w:r>
      <w:r>
        <w:rPr>
          <w:spacing w:val="-10"/>
        </w:rPr>
        <w:t xml:space="preserve"> </w:t>
      </w:r>
      <w:r>
        <w:t>were</w:t>
      </w:r>
      <w:r>
        <w:rPr>
          <w:spacing w:val="-10"/>
        </w:rPr>
        <w:t xml:space="preserve"> </w:t>
      </w:r>
      <w:r>
        <w:t>applied</w:t>
      </w:r>
      <w:r>
        <w:rPr>
          <w:spacing w:val="-11"/>
        </w:rPr>
        <w:t xml:space="preserve"> </w:t>
      </w:r>
      <w:r>
        <w:t>as</w:t>
      </w:r>
      <w:r>
        <w:rPr>
          <w:spacing w:val="-11"/>
        </w:rPr>
        <w:t xml:space="preserve"> </w:t>
      </w:r>
      <w:r>
        <w:t>an</w:t>
      </w:r>
      <w:r>
        <w:rPr>
          <w:spacing w:val="-12"/>
        </w:rPr>
        <w:t xml:space="preserve"> </w:t>
      </w:r>
      <w:r>
        <w:t>adjustment to the CIF pricing data. Further, MOFCOM provided no explanation as t</w:t>
      </w:r>
      <w:r>
        <w:t>o how the underlying CIF pricing data "provided by China Customs" had been collected or adjusted, including whether and how it had ensured the data was limited in scope to products subject to the investigation,</w:t>
      </w:r>
      <w:r>
        <w:rPr>
          <w:spacing w:val="-14"/>
        </w:rPr>
        <w:t xml:space="preserve"> </w:t>
      </w:r>
      <w:r>
        <w:t>e.g.</w:t>
      </w:r>
      <w:r>
        <w:rPr>
          <w:spacing w:val="-14"/>
        </w:rPr>
        <w:t xml:space="preserve"> </w:t>
      </w:r>
      <w:r>
        <w:t>by</w:t>
      </w:r>
      <w:r>
        <w:rPr>
          <w:spacing w:val="-13"/>
        </w:rPr>
        <w:t xml:space="preserve"> </w:t>
      </w:r>
      <w:r>
        <w:t>excluding</w:t>
      </w:r>
      <w:r>
        <w:rPr>
          <w:spacing w:val="-14"/>
        </w:rPr>
        <w:t xml:space="preserve"> </w:t>
      </w:r>
      <w:r>
        <w:t>prices</w:t>
      </w:r>
      <w:r>
        <w:rPr>
          <w:spacing w:val="-13"/>
        </w:rPr>
        <w:t xml:space="preserve"> </w:t>
      </w:r>
      <w:r>
        <w:t>related</w:t>
      </w:r>
      <w:r>
        <w:rPr>
          <w:spacing w:val="-14"/>
        </w:rPr>
        <w:t xml:space="preserve"> </w:t>
      </w:r>
      <w:r>
        <w:t>to</w:t>
      </w:r>
      <w:r>
        <w:rPr>
          <w:spacing w:val="-13"/>
        </w:rPr>
        <w:t xml:space="preserve"> </w:t>
      </w:r>
      <w:r>
        <w:t>non‐subject</w:t>
      </w:r>
      <w:r>
        <w:rPr>
          <w:spacing w:val="-14"/>
        </w:rPr>
        <w:t xml:space="preserve"> </w:t>
      </w:r>
      <w:r>
        <w:t>imports</w:t>
      </w:r>
      <w:r>
        <w:rPr>
          <w:spacing w:val="-14"/>
        </w:rPr>
        <w:t xml:space="preserve"> </w:t>
      </w:r>
      <w:r>
        <w:t>like</w:t>
      </w:r>
      <w:r>
        <w:rPr>
          <w:spacing w:val="-13"/>
        </w:rPr>
        <w:t xml:space="preserve"> </w:t>
      </w:r>
      <w:r>
        <w:t>"liqueur</w:t>
      </w:r>
      <w:r>
        <w:rPr>
          <w:spacing w:val="-14"/>
        </w:rPr>
        <w:t xml:space="preserve"> </w:t>
      </w:r>
      <w:r>
        <w:t>wines,</w:t>
      </w:r>
      <w:r>
        <w:rPr>
          <w:spacing w:val="-13"/>
        </w:rPr>
        <w:t xml:space="preserve"> </w:t>
      </w:r>
      <w:r>
        <w:t>highly carbonated wines, gasified wine, flavoured wines, distilled wines and bulk wines".</w:t>
      </w:r>
      <w:r>
        <w:rPr>
          <w:vertAlign w:val="superscript"/>
        </w:rPr>
        <w:t>633</w:t>
      </w:r>
    </w:p>
    <w:p w14:paraId="51DE8DF9" w14:textId="77777777" w:rsidR="0010369C" w:rsidRDefault="0010369C">
      <w:pPr>
        <w:pStyle w:val="BodyText"/>
        <w:spacing w:before="11"/>
        <w:rPr>
          <w:sz w:val="8"/>
        </w:rPr>
      </w:pPr>
    </w:p>
    <w:p w14:paraId="51DE8DFA" w14:textId="77777777" w:rsidR="0010369C" w:rsidRDefault="008E43AE">
      <w:pPr>
        <w:pStyle w:val="BodyText"/>
        <w:spacing w:before="52" w:line="360" w:lineRule="auto"/>
        <w:ind w:left="237" w:right="612" w:firstLine="851"/>
        <w:jc w:val="both"/>
      </w:pPr>
      <w:r>
        <w:rPr>
          <w:noProof/>
        </w:rPr>
        <w:drawing>
          <wp:anchor distT="0" distB="0" distL="0" distR="0" simplePos="0" relativeHeight="251194880" behindDoc="1" locked="0" layoutInCell="1" allowOverlap="1" wp14:anchorId="51DEA45F" wp14:editId="51DEA460">
            <wp:simplePos x="0" y="0"/>
            <wp:positionH relativeFrom="page">
              <wp:posOffset>902208</wp:posOffset>
            </wp:positionH>
            <wp:positionV relativeFrom="paragraph">
              <wp:posOffset>81357</wp:posOffset>
            </wp:positionV>
            <wp:extent cx="262127" cy="103631"/>
            <wp:effectExtent l="0" t="0" r="0" b="0"/>
            <wp:wrapNone/>
            <wp:docPr id="1115" name="image5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 name="image569.png"/>
                    <pic:cNvPicPr/>
                  </pic:nvPicPr>
                  <pic:blipFill>
                    <a:blip r:embed="rId743" cstate="print"/>
                    <a:stretch>
                      <a:fillRect/>
                    </a:stretch>
                  </pic:blipFill>
                  <pic:spPr>
                    <a:xfrm>
                      <a:off x="0" y="0"/>
                      <a:ext cx="262127" cy="103631"/>
                    </a:xfrm>
                    <a:prstGeom prst="rect">
                      <a:avLst/>
                    </a:prstGeom>
                  </pic:spPr>
                </pic:pic>
              </a:graphicData>
            </a:graphic>
          </wp:anchor>
        </w:drawing>
      </w:r>
      <w:r>
        <w:t>To calculate the annual average price covering all products within the basket of domestic like products, MOFCOM states t</w:t>
      </w:r>
      <w:r>
        <w:t>hat "[b]y summarizing the responses to the [Anti‐ Dumping] Questionnaire for Domestic Producers, the Investigating Authority took the weighted average price of the factory prices of domestic like products as the price of these products".</w:t>
      </w:r>
      <w:r>
        <w:rPr>
          <w:vertAlign w:val="superscript"/>
        </w:rPr>
        <w:t>634</w:t>
      </w:r>
      <w:r>
        <w:t xml:space="preserve"> However, MOFCOM</w:t>
      </w:r>
      <w:r>
        <w:t xml:space="preserve"> did not provide: any explanation of the "summarizing" process that it used to derive "the weighted average price of the factory prices of domestic like</w:t>
      </w:r>
      <w:r>
        <w:rPr>
          <w:spacing w:val="-9"/>
        </w:rPr>
        <w:t xml:space="preserve"> </w:t>
      </w:r>
      <w:r>
        <w:t>products";</w:t>
      </w:r>
      <w:r>
        <w:rPr>
          <w:spacing w:val="-8"/>
        </w:rPr>
        <w:t xml:space="preserve"> </w:t>
      </w:r>
      <w:r>
        <w:t>an</w:t>
      </w:r>
      <w:r>
        <w:rPr>
          <w:spacing w:val="-10"/>
        </w:rPr>
        <w:t xml:space="preserve"> </w:t>
      </w:r>
      <w:r>
        <w:t>explanation</w:t>
      </w:r>
      <w:r>
        <w:rPr>
          <w:spacing w:val="-11"/>
        </w:rPr>
        <w:t xml:space="preserve"> </w:t>
      </w:r>
      <w:r>
        <w:t>of</w:t>
      </w:r>
      <w:r>
        <w:rPr>
          <w:spacing w:val="-10"/>
        </w:rPr>
        <w:t xml:space="preserve"> </w:t>
      </w:r>
      <w:r>
        <w:t>which</w:t>
      </w:r>
      <w:r>
        <w:rPr>
          <w:spacing w:val="-10"/>
        </w:rPr>
        <w:t xml:space="preserve"> </w:t>
      </w:r>
      <w:r>
        <w:t>data</w:t>
      </w:r>
      <w:r>
        <w:rPr>
          <w:spacing w:val="-9"/>
        </w:rPr>
        <w:t xml:space="preserve"> </w:t>
      </w:r>
      <w:r>
        <w:t>in</w:t>
      </w:r>
      <w:r>
        <w:rPr>
          <w:spacing w:val="-10"/>
        </w:rPr>
        <w:t xml:space="preserve"> </w:t>
      </w:r>
      <w:r>
        <w:t>the</w:t>
      </w:r>
      <w:r>
        <w:rPr>
          <w:spacing w:val="-9"/>
        </w:rPr>
        <w:t xml:space="preserve"> </w:t>
      </w:r>
      <w:r>
        <w:t>questionnaire</w:t>
      </w:r>
      <w:r>
        <w:rPr>
          <w:spacing w:val="-8"/>
        </w:rPr>
        <w:t xml:space="preserve"> </w:t>
      </w:r>
      <w:r>
        <w:t>responses</w:t>
      </w:r>
      <w:r>
        <w:rPr>
          <w:spacing w:val="-11"/>
        </w:rPr>
        <w:t xml:space="preserve"> </w:t>
      </w:r>
      <w:r>
        <w:t>that</w:t>
      </w:r>
      <w:r>
        <w:rPr>
          <w:spacing w:val="-10"/>
        </w:rPr>
        <w:t xml:space="preserve"> </w:t>
      </w:r>
      <w:r>
        <w:t>it</w:t>
      </w:r>
      <w:r>
        <w:rPr>
          <w:spacing w:val="-10"/>
        </w:rPr>
        <w:t xml:space="preserve"> </w:t>
      </w:r>
      <w:r>
        <w:t>relied</w:t>
      </w:r>
      <w:r>
        <w:rPr>
          <w:spacing w:val="-10"/>
        </w:rPr>
        <w:t xml:space="preserve"> </w:t>
      </w:r>
      <w:r>
        <w:t>upon and which da</w:t>
      </w:r>
      <w:r>
        <w:t>ta it did not rely upon; an explanation of how weighting was applied to the domestic</w:t>
      </w:r>
      <w:r>
        <w:rPr>
          <w:spacing w:val="-4"/>
        </w:rPr>
        <w:t xml:space="preserve"> </w:t>
      </w:r>
      <w:r>
        <w:t>pricing</w:t>
      </w:r>
      <w:r>
        <w:rPr>
          <w:spacing w:val="-6"/>
        </w:rPr>
        <w:t xml:space="preserve"> </w:t>
      </w:r>
      <w:r>
        <w:t>data</w:t>
      </w:r>
      <w:r>
        <w:rPr>
          <w:spacing w:val="-6"/>
        </w:rPr>
        <w:t xml:space="preserve"> </w:t>
      </w:r>
      <w:r>
        <w:t>and</w:t>
      </w:r>
      <w:r>
        <w:rPr>
          <w:spacing w:val="-6"/>
        </w:rPr>
        <w:t xml:space="preserve"> </w:t>
      </w:r>
      <w:r>
        <w:t>on</w:t>
      </w:r>
      <w:r>
        <w:rPr>
          <w:spacing w:val="-6"/>
        </w:rPr>
        <w:t xml:space="preserve"> </w:t>
      </w:r>
      <w:r>
        <w:t>what</w:t>
      </w:r>
      <w:r>
        <w:rPr>
          <w:spacing w:val="-7"/>
        </w:rPr>
        <w:t xml:space="preserve"> </w:t>
      </w:r>
      <w:r>
        <w:t>basis</w:t>
      </w:r>
      <w:r>
        <w:rPr>
          <w:spacing w:val="-6"/>
        </w:rPr>
        <w:t xml:space="preserve"> </w:t>
      </w:r>
      <w:r>
        <w:t>it</w:t>
      </w:r>
      <w:r>
        <w:rPr>
          <w:spacing w:val="-6"/>
        </w:rPr>
        <w:t xml:space="preserve"> </w:t>
      </w:r>
      <w:r>
        <w:t>was</w:t>
      </w:r>
      <w:r>
        <w:rPr>
          <w:spacing w:val="-5"/>
        </w:rPr>
        <w:t xml:space="preserve"> </w:t>
      </w:r>
      <w:r>
        <w:t>applied;</w:t>
      </w:r>
      <w:r>
        <w:rPr>
          <w:spacing w:val="-6"/>
        </w:rPr>
        <w:t xml:space="preserve"> </w:t>
      </w:r>
      <w:r>
        <w:t>or</w:t>
      </w:r>
      <w:r>
        <w:rPr>
          <w:spacing w:val="-6"/>
        </w:rPr>
        <w:t xml:space="preserve"> </w:t>
      </w:r>
      <w:r>
        <w:t>any</w:t>
      </w:r>
      <w:r>
        <w:rPr>
          <w:spacing w:val="-6"/>
        </w:rPr>
        <w:t xml:space="preserve"> </w:t>
      </w:r>
      <w:r>
        <w:t>identification</w:t>
      </w:r>
      <w:r>
        <w:rPr>
          <w:spacing w:val="-6"/>
        </w:rPr>
        <w:t xml:space="preserve"> </w:t>
      </w:r>
      <w:r>
        <w:t>or</w:t>
      </w:r>
      <w:r>
        <w:rPr>
          <w:spacing w:val="-6"/>
        </w:rPr>
        <w:t xml:space="preserve"> </w:t>
      </w:r>
      <w:r>
        <w:t>explanation</w:t>
      </w:r>
      <w:r>
        <w:rPr>
          <w:spacing w:val="-7"/>
        </w:rPr>
        <w:t xml:space="preserve"> </w:t>
      </w:r>
      <w:r>
        <w:t>of adjustments that were applied to the pricing data (if any).</w:t>
      </w:r>
    </w:p>
    <w:p w14:paraId="51DE8DFB" w14:textId="77777777" w:rsidR="0010369C" w:rsidRDefault="0010369C">
      <w:pPr>
        <w:pStyle w:val="BodyText"/>
        <w:spacing w:before="10"/>
        <w:rPr>
          <w:sz w:val="8"/>
        </w:rPr>
      </w:pPr>
    </w:p>
    <w:p w14:paraId="51DE8DFC" w14:textId="77777777" w:rsidR="0010369C" w:rsidRDefault="008E43AE">
      <w:pPr>
        <w:pStyle w:val="BodyText"/>
        <w:spacing w:before="51" w:line="360" w:lineRule="auto"/>
        <w:ind w:left="237" w:right="614" w:firstLine="852"/>
        <w:jc w:val="both"/>
      </w:pPr>
      <w:r>
        <w:rPr>
          <w:noProof/>
        </w:rPr>
        <w:drawing>
          <wp:anchor distT="0" distB="0" distL="0" distR="0" simplePos="0" relativeHeight="251195904" behindDoc="1" locked="0" layoutInCell="1" allowOverlap="1" wp14:anchorId="51DEA461" wp14:editId="51DEA462">
            <wp:simplePos x="0" y="0"/>
            <wp:positionH relativeFrom="page">
              <wp:posOffset>902208</wp:posOffset>
            </wp:positionH>
            <wp:positionV relativeFrom="paragraph">
              <wp:posOffset>81314</wp:posOffset>
            </wp:positionV>
            <wp:extent cx="262127" cy="100753"/>
            <wp:effectExtent l="0" t="0" r="0" b="0"/>
            <wp:wrapNone/>
            <wp:docPr id="1117" name="image5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 name="image570.png"/>
                    <pic:cNvPicPr/>
                  </pic:nvPicPr>
                  <pic:blipFill>
                    <a:blip r:embed="rId744" cstate="print"/>
                    <a:stretch>
                      <a:fillRect/>
                    </a:stretch>
                  </pic:blipFill>
                  <pic:spPr>
                    <a:xfrm>
                      <a:off x="0" y="0"/>
                      <a:ext cx="262127" cy="100753"/>
                    </a:xfrm>
                    <a:prstGeom prst="rect">
                      <a:avLst/>
                    </a:prstGeom>
                  </pic:spPr>
                </pic:pic>
              </a:graphicData>
            </a:graphic>
          </wp:anchor>
        </w:drawing>
      </w:r>
      <w:r>
        <w:t>For the foregoing reasons, the pricing data used in MOFCOM's examination cannot be reviewed, checked, or verified. As a consequence, the Panel cannot be satisfied from the evidence on the record that MOFCOM relied on credible or verifiable evidence. This i</w:t>
      </w:r>
      <w:r>
        <w:t>s insufficient to constitute an objective examination based on positive evidence within the meaning</w:t>
      </w:r>
      <w:r>
        <w:rPr>
          <w:spacing w:val="-14"/>
        </w:rPr>
        <w:t xml:space="preserve"> </w:t>
      </w:r>
      <w:r>
        <w:t>of</w:t>
      </w:r>
      <w:r>
        <w:rPr>
          <w:spacing w:val="-14"/>
        </w:rPr>
        <w:t xml:space="preserve"> </w:t>
      </w:r>
      <w:r>
        <w:t>Article</w:t>
      </w:r>
      <w:r>
        <w:rPr>
          <w:spacing w:val="-13"/>
        </w:rPr>
        <w:t xml:space="preserve"> </w:t>
      </w:r>
      <w:r>
        <w:t>3.1.</w:t>
      </w:r>
      <w:r>
        <w:rPr>
          <w:spacing w:val="-14"/>
        </w:rPr>
        <w:t xml:space="preserve"> </w:t>
      </w:r>
      <w:r>
        <w:t>Therefore,</w:t>
      </w:r>
      <w:r>
        <w:rPr>
          <w:spacing w:val="-13"/>
        </w:rPr>
        <w:t xml:space="preserve"> </w:t>
      </w:r>
      <w:r>
        <w:t>MOFCOM's</w:t>
      </w:r>
      <w:r>
        <w:rPr>
          <w:spacing w:val="-14"/>
        </w:rPr>
        <w:t xml:space="preserve"> </w:t>
      </w:r>
      <w:r>
        <w:t>price</w:t>
      </w:r>
      <w:r>
        <w:rPr>
          <w:spacing w:val="-13"/>
        </w:rPr>
        <w:t xml:space="preserve"> </w:t>
      </w:r>
      <w:r>
        <w:t>effects</w:t>
      </w:r>
      <w:r>
        <w:rPr>
          <w:spacing w:val="-14"/>
        </w:rPr>
        <w:t xml:space="preserve"> </w:t>
      </w:r>
      <w:r>
        <w:t>analysis</w:t>
      </w:r>
      <w:r>
        <w:rPr>
          <w:spacing w:val="-14"/>
        </w:rPr>
        <w:t xml:space="preserve"> </w:t>
      </w:r>
      <w:r>
        <w:t>is</w:t>
      </w:r>
      <w:r>
        <w:rPr>
          <w:spacing w:val="-13"/>
        </w:rPr>
        <w:t xml:space="preserve"> </w:t>
      </w:r>
      <w:r>
        <w:t>inconsistent</w:t>
      </w:r>
      <w:r>
        <w:rPr>
          <w:spacing w:val="-14"/>
        </w:rPr>
        <w:t xml:space="preserve"> </w:t>
      </w:r>
      <w:r>
        <w:t>with</w:t>
      </w:r>
      <w:r>
        <w:rPr>
          <w:spacing w:val="-13"/>
        </w:rPr>
        <w:t xml:space="preserve"> </w:t>
      </w:r>
      <w:r>
        <w:t>China's obligations under Articles 3.1 and 3.2 of the Anti‐Dumping Agreement</w:t>
      </w:r>
      <w:r>
        <w:t>.</w:t>
      </w:r>
    </w:p>
    <w:p w14:paraId="51DE8DFD" w14:textId="77777777" w:rsidR="0010369C" w:rsidRDefault="0010369C">
      <w:pPr>
        <w:pStyle w:val="BodyText"/>
        <w:rPr>
          <w:sz w:val="20"/>
        </w:rPr>
      </w:pPr>
    </w:p>
    <w:p w14:paraId="51DE8DFE" w14:textId="77777777" w:rsidR="0010369C" w:rsidRDefault="0010369C">
      <w:pPr>
        <w:pStyle w:val="BodyText"/>
        <w:rPr>
          <w:sz w:val="20"/>
        </w:rPr>
      </w:pPr>
    </w:p>
    <w:p w14:paraId="51DE8DFF" w14:textId="77777777" w:rsidR="0010369C" w:rsidRDefault="0010369C">
      <w:pPr>
        <w:pStyle w:val="BodyText"/>
        <w:rPr>
          <w:sz w:val="20"/>
        </w:rPr>
      </w:pPr>
    </w:p>
    <w:p w14:paraId="51DE8E00" w14:textId="77777777" w:rsidR="0010369C" w:rsidRDefault="0010369C">
      <w:pPr>
        <w:pStyle w:val="BodyText"/>
        <w:rPr>
          <w:sz w:val="20"/>
        </w:rPr>
      </w:pPr>
    </w:p>
    <w:p w14:paraId="51DE8E01" w14:textId="77777777" w:rsidR="0010369C" w:rsidRDefault="0010369C">
      <w:pPr>
        <w:pStyle w:val="BodyText"/>
        <w:rPr>
          <w:sz w:val="20"/>
        </w:rPr>
      </w:pPr>
    </w:p>
    <w:p w14:paraId="51DE8E02" w14:textId="77777777" w:rsidR="0010369C" w:rsidRDefault="008E43AE">
      <w:pPr>
        <w:pStyle w:val="BodyText"/>
        <w:spacing w:before="8"/>
        <w:rPr>
          <w:sz w:val="18"/>
        </w:rPr>
      </w:pPr>
      <w:r>
        <w:pict w14:anchorId="51DEA463">
          <v:rect id="docshape1024" o:spid="_x0000_s1350" style="position:absolute;margin-left:70.9pt;margin-top:12.65pt;width:2in;height:.8pt;z-index:-250838528;mso-wrap-distance-left:0;mso-wrap-distance-right:0;mso-position-horizontal-relative:page" fillcolor="black" stroked="f">
            <w10:wrap type="topAndBottom" anchorx="page"/>
          </v:rect>
        </w:pict>
      </w:r>
    </w:p>
    <w:p w14:paraId="51DE8E03" w14:textId="77777777" w:rsidR="0010369C" w:rsidRDefault="008E43AE">
      <w:pPr>
        <w:spacing w:before="109"/>
        <w:ind w:left="237" w:right="612"/>
        <w:jc w:val="both"/>
        <w:rPr>
          <w:sz w:val="18"/>
        </w:rPr>
      </w:pPr>
      <w:r>
        <w:rPr>
          <w:sz w:val="18"/>
          <w:vertAlign w:val="superscript"/>
        </w:rPr>
        <w:t>632</w:t>
      </w:r>
      <w:r>
        <w:rPr>
          <w:sz w:val="18"/>
        </w:rPr>
        <w:t xml:space="preserve"> Australia understands that "customs clearance costs" may refer to information obtained from the two responses from importers MOFCOM received to the Questionnaire for Domestic Importers. Ultimately, the source of this information, the costs</w:t>
      </w:r>
      <w:r>
        <w:rPr>
          <w:spacing w:val="-11"/>
          <w:sz w:val="18"/>
        </w:rPr>
        <w:t xml:space="preserve"> </w:t>
      </w:r>
      <w:r>
        <w:rPr>
          <w:sz w:val="18"/>
        </w:rPr>
        <w:t>tha</w:t>
      </w:r>
      <w:r>
        <w:rPr>
          <w:sz w:val="18"/>
        </w:rPr>
        <w:t>t</w:t>
      </w:r>
      <w:r>
        <w:rPr>
          <w:spacing w:val="-10"/>
          <w:sz w:val="18"/>
        </w:rPr>
        <w:t xml:space="preserve"> </w:t>
      </w:r>
      <w:r>
        <w:rPr>
          <w:sz w:val="18"/>
        </w:rPr>
        <w:t>were</w:t>
      </w:r>
      <w:r>
        <w:rPr>
          <w:spacing w:val="-10"/>
          <w:sz w:val="18"/>
        </w:rPr>
        <w:t xml:space="preserve"> </w:t>
      </w:r>
      <w:r>
        <w:rPr>
          <w:sz w:val="18"/>
        </w:rPr>
        <w:t>included</w:t>
      </w:r>
      <w:r>
        <w:rPr>
          <w:spacing w:val="-10"/>
          <w:sz w:val="18"/>
        </w:rPr>
        <w:t xml:space="preserve"> </w:t>
      </w:r>
      <w:r>
        <w:rPr>
          <w:sz w:val="18"/>
        </w:rPr>
        <w:t>as</w:t>
      </w:r>
      <w:r>
        <w:rPr>
          <w:spacing w:val="-10"/>
          <w:sz w:val="18"/>
        </w:rPr>
        <w:t xml:space="preserve"> </w:t>
      </w:r>
      <w:r>
        <w:rPr>
          <w:sz w:val="18"/>
        </w:rPr>
        <w:t>"customs</w:t>
      </w:r>
      <w:r>
        <w:rPr>
          <w:spacing w:val="-11"/>
          <w:sz w:val="18"/>
        </w:rPr>
        <w:t xml:space="preserve"> </w:t>
      </w:r>
      <w:r>
        <w:rPr>
          <w:sz w:val="18"/>
        </w:rPr>
        <w:t>clearance</w:t>
      </w:r>
      <w:r>
        <w:rPr>
          <w:spacing w:val="-10"/>
          <w:sz w:val="18"/>
        </w:rPr>
        <w:t xml:space="preserve"> </w:t>
      </w:r>
      <w:r>
        <w:rPr>
          <w:sz w:val="18"/>
        </w:rPr>
        <w:t>costs"</w:t>
      </w:r>
      <w:r>
        <w:rPr>
          <w:spacing w:val="-10"/>
          <w:sz w:val="18"/>
        </w:rPr>
        <w:t xml:space="preserve"> </w:t>
      </w:r>
      <w:r>
        <w:rPr>
          <w:sz w:val="18"/>
        </w:rPr>
        <w:t>and</w:t>
      </w:r>
      <w:r>
        <w:rPr>
          <w:spacing w:val="-10"/>
          <w:sz w:val="18"/>
        </w:rPr>
        <w:t xml:space="preserve"> </w:t>
      </w:r>
      <w:r>
        <w:rPr>
          <w:sz w:val="18"/>
        </w:rPr>
        <w:t>the</w:t>
      </w:r>
      <w:r>
        <w:rPr>
          <w:spacing w:val="-10"/>
          <w:sz w:val="18"/>
        </w:rPr>
        <w:t xml:space="preserve"> </w:t>
      </w:r>
      <w:r>
        <w:rPr>
          <w:sz w:val="18"/>
        </w:rPr>
        <w:t>value</w:t>
      </w:r>
      <w:r>
        <w:rPr>
          <w:spacing w:val="-10"/>
          <w:sz w:val="18"/>
        </w:rPr>
        <w:t xml:space="preserve"> </w:t>
      </w:r>
      <w:r>
        <w:rPr>
          <w:sz w:val="18"/>
        </w:rPr>
        <w:t>of</w:t>
      </w:r>
      <w:r>
        <w:rPr>
          <w:spacing w:val="-10"/>
          <w:sz w:val="18"/>
        </w:rPr>
        <w:t xml:space="preserve"> </w:t>
      </w:r>
      <w:r>
        <w:rPr>
          <w:sz w:val="18"/>
        </w:rPr>
        <w:t>these</w:t>
      </w:r>
      <w:r>
        <w:rPr>
          <w:spacing w:val="-11"/>
          <w:sz w:val="18"/>
        </w:rPr>
        <w:t xml:space="preserve"> </w:t>
      </w:r>
      <w:r>
        <w:rPr>
          <w:sz w:val="18"/>
        </w:rPr>
        <w:t>costs</w:t>
      </w:r>
      <w:r>
        <w:rPr>
          <w:spacing w:val="-9"/>
          <w:sz w:val="18"/>
        </w:rPr>
        <w:t xml:space="preserve"> </w:t>
      </w:r>
      <w:r>
        <w:rPr>
          <w:sz w:val="18"/>
        </w:rPr>
        <w:t>is</w:t>
      </w:r>
      <w:r>
        <w:rPr>
          <w:spacing w:val="-10"/>
          <w:sz w:val="18"/>
        </w:rPr>
        <w:t xml:space="preserve"> </w:t>
      </w:r>
      <w:r>
        <w:rPr>
          <w:sz w:val="18"/>
        </w:rPr>
        <w:t>not</w:t>
      </w:r>
      <w:r>
        <w:rPr>
          <w:spacing w:val="-10"/>
          <w:sz w:val="18"/>
        </w:rPr>
        <w:t xml:space="preserve"> </w:t>
      </w:r>
      <w:r>
        <w:rPr>
          <w:sz w:val="18"/>
        </w:rPr>
        <w:t>clear.</w:t>
      </w:r>
      <w:r>
        <w:rPr>
          <w:spacing w:val="-10"/>
          <w:sz w:val="18"/>
        </w:rPr>
        <w:t xml:space="preserve"> </w:t>
      </w:r>
      <w:r>
        <w:rPr>
          <w:sz w:val="18"/>
        </w:rPr>
        <w:t>See</w:t>
      </w:r>
      <w:r>
        <w:rPr>
          <w:spacing w:val="-10"/>
          <w:sz w:val="18"/>
        </w:rPr>
        <w:t xml:space="preserve"> </w:t>
      </w:r>
      <w:r>
        <w:rPr>
          <w:sz w:val="18"/>
        </w:rPr>
        <w:t>COFCO</w:t>
      </w:r>
      <w:r>
        <w:rPr>
          <w:spacing w:val="-10"/>
          <w:sz w:val="18"/>
        </w:rPr>
        <w:t xml:space="preserve"> </w:t>
      </w:r>
      <w:r>
        <w:rPr>
          <w:sz w:val="18"/>
        </w:rPr>
        <w:t>W&amp;W</w:t>
      </w:r>
      <w:r>
        <w:rPr>
          <w:spacing w:val="-10"/>
          <w:sz w:val="18"/>
        </w:rPr>
        <w:t xml:space="preserve"> </w:t>
      </w:r>
      <w:r>
        <w:rPr>
          <w:sz w:val="18"/>
        </w:rPr>
        <w:t xml:space="preserve">International Anti‐Dumping Questionnaire Response (Exhibit AUS‐103); Longcheng Wine Anti‐Dumping Questionnaire Response (Exhibit </w:t>
      </w:r>
      <w:r>
        <w:rPr>
          <w:spacing w:val="-2"/>
          <w:sz w:val="18"/>
        </w:rPr>
        <w:t>AUS‐68).</w:t>
      </w:r>
    </w:p>
    <w:p w14:paraId="51DE8E04" w14:textId="77777777" w:rsidR="0010369C" w:rsidRDefault="008E43AE">
      <w:pPr>
        <w:spacing w:before="1"/>
        <w:ind w:left="238"/>
        <w:jc w:val="both"/>
        <w:rPr>
          <w:sz w:val="18"/>
        </w:rPr>
      </w:pPr>
      <w:r>
        <w:rPr>
          <w:sz w:val="18"/>
          <w:vertAlign w:val="superscript"/>
        </w:rPr>
        <w:t>633</w:t>
      </w:r>
      <w:r>
        <w:rPr>
          <w:spacing w:val="-9"/>
          <w:sz w:val="18"/>
        </w:rPr>
        <w:t xml:space="preserve"> </w:t>
      </w:r>
      <w:r>
        <w:rPr>
          <w:sz w:val="18"/>
        </w:rPr>
        <w:t>Anti‐Dumping</w:t>
      </w:r>
      <w:r>
        <w:rPr>
          <w:spacing w:val="-9"/>
          <w:sz w:val="18"/>
        </w:rPr>
        <w:t xml:space="preserve"> </w:t>
      </w:r>
      <w:r>
        <w:rPr>
          <w:sz w:val="18"/>
        </w:rPr>
        <w:t>Final</w:t>
      </w:r>
      <w:r>
        <w:rPr>
          <w:spacing w:val="-9"/>
          <w:sz w:val="18"/>
        </w:rPr>
        <w:t xml:space="preserve"> </w:t>
      </w:r>
      <w:r>
        <w:rPr>
          <w:sz w:val="18"/>
        </w:rPr>
        <w:t>Determination</w:t>
      </w:r>
      <w:r>
        <w:rPr>
          <w:spacing w:val="-8"/>
          <w:sz w:val="18"/>
        </w:rPr>
        <w:t xml:space="preserve"> </w:t>
      </w:r>
      <w:r>
        <w:rPr>
          <w:sz w:val="18"/>
        </w:rPr>
        <w:t>(Exhibit</w:t>
      </w:r>
      <w:r>
        <w:rPr>
          <w:spacing w:val="-9"/>
          <w:sz w:val="18"/>
        </w:rPr>
        <w:t xml:space="preserve"> </w:t>
      </w:r>
      <w:r>
        <w:rPr>
          <w:sz w:val="18"/>
        </w:rPr>
        <w:t>AUS‐2),</w:t>
      </w:r>
      <w:r>
        <w:rPr>
          <w:spacing w:val="-9"/>
          <w:sz w:val="18"/>
        </w:rPr>
        <w:t xml:space="preserve"> </w:t>
      </w:r>
      <w:r>
        <w:rPr>
          <w:sz w:val="18"/>
        </w:rPr>
        <w:t>p.</w:t>
      </w:r>
      <w:r>
        <w:rPr>
          <w:spacing w:val="-9"/>
          <w:sz w:val="18"/>
        </w:rPr>
        <w:t xml:space="preserve"> </w:t>
      </w:r>
      <w:r>
        <w:rPr>
          <w:spacing w:val="-4"/>
          <w:sz w:val="18"/>
        </w:rPr>
        <w:t>109.</w:t>
      </w:r>
    </w:p>
    <w:p w14:paraId="51DE8E05" w14:textId="77777777" w:rsidR="0010369C" w:rsidRDefault="008E43AE">
      <w:pPr>
        <w:ind w:left="238"/>
        <w:jc w:val="both"/>
        <w:rPr>
          <w:sz w:val="18"/>
        </w:rPr>
      </w:pPr>
      <w:r>
        <w:rPr>
          <w:sz w:val="18"/>
          <w:vertAlign w:val="superscript"/>
        </w:rPr>
        <w:t>634</w:t>
      </w:r>
      <w:r>
        <w:rPr>
          <w:spacing w:val="-9"/>
          <w:sz w:val="18"/>
        </w:rPr>
        <w:t xml:space="preserve"> </w:t>
      </w:r>
      <w:r>
        <w:rPr>
          <w:sz w:val="18"/>
        </w:rPr>
        <w:t>Anti‐Dumping</w:t>
      </w:r>
      <w:r>
        <w:rPr>
          <w:spacing w:val="-9"/>
          <w:sz w:val="18"/>
        </w:rPr>
        <w:t xml:space="preserve"> </w:t>
      </w:r>
      <w:r>
        <w:rPr>
          <w:sz w:val="18"/>
        </w:rPr>
        <w:t>Final</w:t>
      </w:r>
      <w:r>
        <w:rPr>
          <w:spacing w:val="-9"/>
          <w:sz w:val="18"/>
        </w:rPr>
        <w:t xml:space="preserve"> </w:t>
      </w:r>
      <w:r>
        <w:rPr>
          <w:sz w:val="18"/>
        </w:rPr>
        <w:t>Determination</w:t>
      </w:r>
      <w:r>
        <w:rPr>
          <w:spacing w:val="-8"/>
          <w:sz w:val="18"/>
        </w:rPr>
        <w:t xml:space="preserve"> </w:t>
      </w:r>
      <w:r>
        <w:rPr>
          <w:sz w:val="18"/>
        </w:rPr>
        <w:t>(Exhibit</w:t>
      </w:r>
      <w:r>
        <w:rPr>
          <w:spacing w:val="-9"/>
          <w:sz w:val="18"/>
        </w:rPr>
        <w:t xml:space="preserve"> </w:t>
      </w:r>
      <w:r>
        <w:rPr>
          <w:sz w:val="18"/>
        </w:rPr>
        <w:t>AUS‐2),</w:t>
      </w:r>
      <w:r>
        <w:rPr>
          <w:spacing w:val="-9"/>
          <w:sz w:val="18"/>
        </w:rPr>
        <w:t xml:space="preserve"> </w:t>
      </w:r>
      <w:r>
        <w:rPr>
          <w:sz w:val="18"/>
        </w:rPr>
        <w:t>p.</w:t>
      </w:r>
      <w:r>
        <w:rPr>
          <w:spacing w:val="-9"/>
          <w:sz w:val="18"/>
        </w:rPr>
        <w:t xml:space="preserve"> </w:t>
      </w:r>
      <w:r>
        <w:rPr>
          <w:spacing w:val="-4"/>
          <w:sz w:val="18"/>
        </w:rPr>
        <w:t>113.</w:t>
      </w:r>
    </w:p>
    <w:p w14:paraId="51DE8E06" w14:textId="77777777" w:rsidR="0010369C" w:rsidRDefault="0010369C">
      <w:pPr>
        <w:jc w:val="both"/>
        <w:rPr>
          <w:sz w:val="18"/>
        </w:rPr>
        <w:sectPr w:rsidR="0010369C">
          <w:headerReference w:type="default" r:id="rId745"/>
          <w:footerReference w:type="default" r:id="rId746"/>
          <w:pgSz w:w="11910" w:h="16840"/>
          <w:pgMar w:top="880" w:right="800" w:bottom="980" w:left="1180" w:header="569" w:footer="788" w:gutter="0"/>
          <w:cols w:space="720"/>
        </w:sectPr>
      </w:pPr>
    </w:p>
    <w:p w14:paraId="51DE8E07" w14:textId="77777777" w:rsidR="0010369C" w:rsidRDefault="0010369C">
      <w:pPr>
        <w:pStyle w:val="BodyText"/>
        <w:spacing w:before="4"/>
        <w:rPr>
          <w:sz w:val="23"/>
        </w:rPr>
      </w:pPr>
    </w:p>
    <w:tbl>
      <w:tblPr>
        <w:tblW w:w="0" w:type="auto"/>
        <w:tblInd w:w="196" w:type="dxa"/>
        <w:tblLayout w:type="fixed"/>
        <w:tblCellMar>
          <w:left w:w="0" w:type="dxa"/>
          <w:right w:w="0" w:type="dxa"/>
        </w:tblCellMar>
        <w:tblLook w:val="01E0" w:firstRow="1" w:lastRow="1" w:firstColumn="1" w:lastColumn="1" w:noHBand="0" w:noVBand="0"/>
      </w:tblPr>
      <w:tblGrid>
        <w:gridCol w:w="3163"/>
        <w:gridCol w:w="6008"/>
      </w:tblGrid>
      <w:tr w:rsidR="0010369C" w14:paraId="51DE8E0A" w14:textId="77777777">
        <w:trPr>
          <w:trHeight w:val="243"/>
        </w:trPr>
        <w:tc>
          <w:tcPr>
            <w:tcW w:w="3163" w:type="dxa"/>
          </w:tcPr>
          <w:p w14:paraId="51DE8E08" w14:textId="77777777" w:rsidR="0010369C" w:rsidRDefault="008E43AE">
            <w:pPr>
              <w:pStyle w:val="TableParagraph"/>
              <w:spacing w:line="204" w:lineRule="exact"/>
              <w:ind w:left="50"/>
              <w:rPr>
                <w:sz w:val="20"/>
              </w:rPr>
            </w:pPr>
            <w:r>
              <w:rPr>
                <w:i/>
                <w:sz w:val="20"/>
              </w:rPr>
              <w:t>on</w:t>
            </w:r>
            <w:r>
              <w:rPr>
                <w:i/>
                <w:spacing w:val="-1"/>
                <w:sz w:val="20"/>
              </w:rPr>
              <w:t xml:space="preserve"> </w:t>
            </w:r>
            <w:r>
              <w:rPr>
                <w:i/>
                <w:sz w:val="20"/>
              </w:rPr>
              <w:t>Wine</w:t>
            </w:r>
            <w:r>
              <w:rPr>
                <w:i/>
                <w:spacing w:val="-1"/>
                <w:sz w:val="20"/>
              </w:rPr>
              <w:t xml:space="preserve"> </w:t>
            </w:r>
            <w:r>
              <w:rPr>
                <w:i/>
                <w:sz w:val="20"/>
              </w:rPr>
              <w:t>from</w:t>
            </w:r>
            <w:r>
              <w:rPr>
                <w:i/>
                <w:spacing w:val="-3"/>
                <w:sz w:val="20"/>
              </w:rPr>
              <w:t xml:space="preserve"> </w:t>
            </w:r>
            <w:r>
              <w:rPr>
                <w:i/>
                <w:sz w:val="20"/>
              </w:rPr>
              <w:t>Australia</w:t>
            </w:r>
            <w:r>
              <w:rPr>
                <w:i/>
                <w:spacing w:val="-1"/>
                <w:sz w:val="20"/>
              </w:rPr>
              <w:t xml:space="preserve"> </w:t>
            </w:r>
            <w:r>
              <w:rPr>
                <w:spacing w:val="-2"/>
                <w:sz w:val="20"/>
              </w:rPr>
              <w:t>(DS602)</w:t>
            </w:r>
          </w:p>
        </w:tc>
        <w:tc>
          <w:tcPr>
            <w:tcW w:w="6008" w:type="dxa"/>
          </w:tcPr>
          <w:p w14:paraId="51DE8E09" w14:textId="77777777" w:rsidR="0010369C" w:rsidRDefault="008E43AE">
            <w:pPr>
              <w:pStyle w:val="TableParagraph"/>
              <w:spacing w:line="204" w:lineRule="exact"/>
              <w:ind w:right="47"/>
              <w:jc w:val="right"/>
              <w:rPr>
                <w:sz w:val="20"/>
              </w:rPr>
            </w:pPr>
            <w:r>
              <w:rPr>
                <w:sz w:val="20"/>
              </w:rPr>
              <w:t>29</w:t>
            </w:r>
            <w:r>
              <w:rPr>
                <w:spacing w:val="-1"/>
                <w:sz w:val="20"/>
              </w:rPr>
              <w:t xml:space="preserve"> </w:t>
            </w:r>
            <w:r>
              <w:rPr>
                <w:sz w:val="20"/>
              </w:rPr>
              <w:t>April</w:t>
            </w:r>
            <w:r>
              <w:rPr>
                <w:spacing w:val="-2"/>
                <w:sz w:val="20"/>
              </w:rPr>
              <w:t xml:space="preserve"> </w:t>
            </w:r>
            <w:r>
              <w:rPr>
                <w:spacing w:val="-4"/>
                <w:sz w:val="20"/>
              </w:rPr>
              <w:t>2022</w:t>
            </w:r>
          </w:p>
        </w:tc>
      </w:tr>
      <w:tr w:rsidR="0010369C" w14:paraId="51DE8E0D" w14:textId="77777777">
        <w:trPr>
          <w:trHeight w:val="382"/>
        </w:trPr>
        <w:tc>
          <w:tcPr>
            <w:tcW w:w="3163" w:type="dxa"/>
          </w:tcPr>
          <w:p w14:paraId="51DE8E0B" w14:textId="77777777" w:rsidR="0010369C" w:rsidRDefault="008E43AE">
            <w:pPr>
              <w:pStyle w:val="TableParagraph"/>
              <w:spacing w:line="288" w:lineRule="exact"/>
              <w:ind w:right="287"/>
              <w:jc w:val="right"/>
              <w:rPr>
                <w:sz w:val="24"/>
              </w:rPr>
            </w:pPr>
            <w:r>
              <w:rPr>
                <w:spacing w:val="-5"/>
                <w:sz w:val="24"/>
                <w:u w:val="single"/>
              </w:rPr>
              <w:t>(b)</w:t>
            </w:r>
          </w:p>
        </w:tc>
        <w:tc>
          <w:tcPr>
            <w:tcW w:w="6008" w:type="dxa"/>
          </w:tcPr>
          <w:p w14:paraId="51DE8E0C" w14:textId="77777777" w:rsidR="0010369C" w:rsidRDefault="008E43AE">
            <w:pPr>
              <w:pStyle w:val="TableParagraph"/>
              <w:spacing w:line="288" w:lineRule="exact"/>
              <w:ind w:right="49"/>
              <w:jc w:val="right"/>
              <w:rPr>
                <w:sz w:val="24"/>
              </w:rPr>
            </w:pPr>
            <w:r>
              <w:rPr>
                <w:sz w:val="24"/>
                <w:u w:val="single"/>
              </w:rPr>
              <w:t>MOFCOM</w:t>
            </w:r>
            <w:r>
              <w:rPr>
                <w:spacing w:val="34"/>
                <w:sz w:val="24"/>
                <w:u w:val="single"/>
              </w:rPr>
              <w:t xml:space="preserve"> </w:t>
            </w:r>
            <w:r>
              <w:rPr>
                <w:sz w:val="24"/>
                <w:u w:val="single"/>
              </w:rPr>
              <w:t>failed</w:t>
            </w:r>
            <w:r>
              <w:rPr>
                <w:spacing w:val="34"/>
                <w:sz w:val="24"/>
                <w:u w:val="single"/>
              </w:rPr>
              <w:t xml:space="preserve"> </w:t>
            </w:r>
            <w:r>
              <w:rPr>
                <w:sz w:val="24"/>
                <w:u w:val="single"/>
              </w:rPr>
              <w:t>to</w:t>
            </w:r>
            <w:r>
              <w:rPr>
                <w:spacing w:val="34"/>
                <w:sz w:val="24"/>
                <w:u w:val="single"/>
              </w:rPr>
              <w:t xml:space="preserve"> </w:t>
            </w:r>
            <w:r>
              <w:rPr>
                <w:sz w:val="24"/>
                <w:u w:val="single"/>
              </w:rPr>
              <w:t>ensure</w:t>
            </w:r>
            <w:r>
              <w:rPr>
                <w:spacing w:val="35"/>
                <w:sz w:val="24"/>
                <w:u w:val="single"/>
              </w:rPr>
              <w:t xml:space="preserve"> </w:t>
            </w:r>
            <w:r>
              <w:rPr>
                <w:sz w:val="24"/>
                <w:u w:val="single"/>
              </w:rPr>
              <w:t>price</w:t>
            </w:r>
            <w:r>
              <w:rPr>
                <w:spacing w:val="34"/>
                <w:sz w:val="24"/>
                <w:u w:val="single"/>
              </w:rPr>
              <w:t xml:space="preserve"> </w:t>
            </w:r>
            <w:r>
              <w:rPr>
                <w:sz w:val="24"/>
                <w:u w:val="single"/>
              </w:rPr>
              <w:t>comparability</w:t>
            </w:r>
            <w:r>
              <w:rPr>
                <w:spacing w:val="34"/>
                <w:sz w:val="24"/>
                <w:u w:val="single"/>
              </w:rPr>
              <w:t xml:space="preserve"> </w:t>
            </w:r>
            <w:r>
              <w:rPr>
                <w:spacing w:val="-2"/>
                <w:sz w:val="24"/>
                <w:u w:val="single"/>
              </w:rPr>
              <w:t>between</w:t>
            </w:r>
          </w:p>
        </w:tc>
      </w:tr>
      <w:tr w:rsidR="0010369C" w14:paraId="51DE8E10" w14:textId="77777777">
        <w:trPr>
          <w:trHeight w:val="439"/>
        </w:trPr>
        <w:tc>
          <w:tcPr>
            <w:tcW w:w="3163" w:type="dxa"/>
          </w:tcPr>
          <w:p w14:paraId="51DE8E0E" w14:textId="77777777" w:rsidR="0010369C" w:rsidRDefault="0010369C">
            <w:pPr>
              <w:pStyle w:val="TableParagraph"/>
              <w:rPr>
                <w:rFonts w:ascii="Times New Roman"/>
                <w:sz w:val="20"/>
              </w:rPr>
            </w:pPr>
          </w:p>
        </w:tc>
        <w:tc>
          <w:tcPr>
            <w:tcW w:w="6008" w:type="dxa"/>
          </w:tcPr>
          <w:p w14:paraId="51DE8E0F" w14:textId="77777777" w:rsidR="0010369C" w:rsidRDefault="008E43AE">
            <w:pPr>
              <w:pStyle w:val="TableParagraph"/>
              <w:spacing w:before="51"/>
              <w:ind w:right="50"/>
              <w:jc w:val="right"/>
              <w:rPr>
                <w:sz w:val="24"/>
              </w:rPr>
            </w:pPr>
            <w:r>
              <w:rPr>
                <w:sz w:val="24"/>
                <w:u w:val="single"/>
              </w:rPr>
              <w:t>the</w:t>
            </w:r>
            <w:r>
              <w:rPr>
                <w:spacing w:val="40"/>
                <w:sz w:val="24"/>
                <w:u w:val="single"/>
              </w:rPr>
              <w:t xml:space="preserve"> </w:t>
            </w:r>
            <w:r>
              <w:rPr>
                <w:sz w:val="24"/>
                <w:u w:val="single"/>
              </w:rPr>
              <w:t>product</w:t>
            </w:r>
            <w:r>
              <w:rPr>
                <w:spacing w:val="41"/>
                <w:sz w:val="24"/>
                <w:u w:val="single"/>
              </w:rPr>
              <w:t xml:space="preserve"> </w:t>
            </w:r>
            <w:r>
              <w:rPr>
                <w:sz w:val="24"/>
                <w:u w:val="single"/>
              </w:rPr>
              <w:t>under</w:t>
            </w:r>
            <w:r>
              <w:rPr>
                <w:spacing w:val="42"/>
                <w:sz w:val="24"/>
                <w:u w:val="single"/>
              </w:rPr>
              <w:t xml:space="preserve"> </w:t>
            </w:r>
            <w:r>
              <w:rPr>
                <w:sz w:val="24"/>
                <w:u w:val="single"/>
              </w:rPr>
              <w:t>consideration</w:t>
            </w:r>
            <w:r>
              <w:rPr>
                <w:spacing w:val="41"/>
                <w:sz w:val="24"/>
                <w:u w:val="single"/>
              </w:rPr>
              <w:t xml:space="preserve"> </w:t>
            </w:r>
            <w:r>
              <w:rPr>
                <w:sz w:val="24"/>
                <w:u w:val="single"/>
              </w:rPr>
              <w:t>and</w:t>
            </w:r>
            <w:r>
              <w:rPr>
                <w:spacing w:val="41"/>
                <w:sz w:val="24"/>
                <w:u w:val="single"/>
              </w:rPr>
              <w:t xml:space="preserve"> </w:t>
            </w:r>
            <w:r>
              <w:rPr>
                <w:sz w:val="24"/>
                <w:u w:val="single"/>
              </w:rPr>
              <w:t>the</w:t>
            </w:r>
            <w:r>
              <w:rPr>
                <w:spacing w:val="42"/>
                <w:sz w:val="24"/>
                <w:u w:val="single"/>
              </w:rPr>
              <w:t xml:space="preserve"> </w:t>
            </w:r>
            <w:r>
              <w:rPr>
                <w:sz w:val="24"/>
                <w:u w:val="single"/>
              </w:rPr>
              <w:t>domestic</w:t>
            </w:r>
            <w:r>
              <w:rPr>
                <w:spacing w:val="44"/>
                <w:sz w:val="24"/>
                <w:u w:val="single"/>
              </w:rPr>
              <w:t xml:space="preserve"> </w:t>
            </w:r>
            <w:r>
              <w:rPr>
                <w:spacing w:val="-4"/>
                <w:sz w:val="24"/>
                <w:u w:val="single"/>
              </w:rPr>
              <w:t>like</w:t>
            </w:r>
          </w:p>
        </w:tc>
      </w:tr>
      <w:tr w:rsidR="0010369C" w14:paraId="51DE8E13" w14:textId="77777777">
        <w:trPr>
          <w:trHeight w:val="340"/>
        </w:trPr>
        <w:tc>
          <w:tcPr>
            <w:tcW w:w="3163" w:type="dxa"/>
          </w:tcPr>
          <w:p w14:paraId="51DE8E11" w14:textId="77777777" w:rsidR="0010369C" w:rsidRDefault="0010369C">
            <w:pPr>
              <w:pStyle w:val="TableParagraph"/>
              <w:rPr>
                <w:rFonts w:ascii="Times New Roman"/>
                <w:sz w:val="20"/>
              </w:rPr>
            </w:pPr>
          </w:p>
        </w:tc>
        <w:tc>
          <w:tcPr>
            <w:tcW w:w="6008" w:type="dxa"/>
          </w:tcPr>
          <w:p w14:paraId="51DE8E12" w14:textId="77777777" w:rsidR="0010369C" w:rsidRDefault="008E43AE">
            <w:pPr>
              <w:pStyle w:val="TableParagraph"/>
              <w:spacing w:before="51" w:line="269" w:lineRule="exact"/>
              <w:ind w:left="290"/>
              <w:rPr>
                <w:sz w:val="24"/>
              </w:rPr>
            </w:pPr>
            <w:r>
              <w:rPr>
                <w:spacing w:val="-2"/>
                <w:sz w:val="24"/>
                <w:u w:val="single"/>
              </w:rPr>
              <w:t>products</w:t>
            </w:r>
          </w:p>
        </w:tc>
      </w:tr>
    </w:tbl>
    <w:p w14:paraId="51DE8E14" w14:textId="77777777" w:rsidR="0010369C" w:rsidRDefault="0010369C">
      <w:pPr>
        <w:pStyle w:val="BodyText"/>
        <w:spacing w:before="5"/>
        <w:rPr>
          <w:sz w:val="21"/>
        </w:rPr>
      </w:pPr>
    </w:p>
    <w:p w14:paraId="51DE8E15" w14:textId="77777777" w:rsidR="0010369C" w:rsidRDefault="008E43AE">
      <w:pPr>
        <w:pStyle w:val="BodyText"/>
        <w:spacing w:before="51" w:line="360" w:lineRule="auto"/>
        <w:ind w:left="237" w:right="612" w:firstLine="852"/>
        <w:jc w:val="both"/>
      </w:pPr>
      <w:r>
        <w:rPr>
          <w:noProof/>
        </w:rPr>
        <w:drawing>
          <wp:anchor distT="0" distB="0" distL="0" distR="0" simplePos="0" relativeHeight="251196928" behindDoc="1" locked="0" layoutInCell="1" allowOverlap="1" wp14:anchorId="51DEA464" wp14:editId="51DEA465">
            <wp:simplePos x="0" y="0"/>
            <wp:positionH relativeFrom="page">
              <wp:posOffset>902208</wp:posOffset>
            </wp:positionH>
            <wp:positionV relativeFrom="paragraph">
              <wp:posOffset>79960</wp:posOffset>
            </wp:positionV>
            <wp:extent cx="262127" cy="103631"/>
            <wp:effectExtent l="0" t="0" r="0" b="0"/>
            <wp:wrapNone/>
            <wp:docPr id="1119" name="image5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 name="image571.png"/>
                    <pic:cNvPicPr/>
                  </pic:nvPicPr>
                  <pic:blipFill>
                    <a:blip r:embed="rId747" cstate="print"/>
                    <a:stretch>
                      <a:fillRect/>
                    </a:stretch>
                  </pic:blipFill>
                  <pic:spPr>
                    <a:xfrm>
                      <a:off x="0" y="0"/>
                      <a:ext cx="262127" cy="103631"/>
                    </a:xfrm>
                    <a:prstGeom prst="rect">
                      <a:avLst/>
                    </a:prstGeom>
                  </pic:spPr>
                </pic:pic>
              </a:graphicData>
            </a:graphic>
          </wp:anchor>
        </w:drawing>
      </w:r>
      <w:r>
        <w:t>It is well‐established that price comparability needs to be considered in all price effects analyses to ensure that the injury determination involves an objective examination based on positive evidence.</w:t>
      </w:r>
      <w:r>
        <w:rPr>
          <w:vertAlign w:val="superscript"/>
        </w:rPr>
        <w:t>635</w:t>
      </w:r>
      <w:r>
        <w:t xml:space="preserve"> The concept of price comparability requires an inv</w:t>
      </w:r>
      <w:r>
        <w:t>estigating authority to ensure that it is comparing "like with like" for the purposes of its price effects analysis.</w:t>
      </w:r>
      <w:r>
        <w:rPr>
          <w:vertAlign w:val="superscript"/>
        </w:rPr>
        <w:t>636</w:t>
      </w:r>
      <w:r>
        <w:t xml:space="preserve"> This requires an investigating authority to take account of technical differences and differences in price and volume between baskets of</w:t>
      </w:r>
      <w:r>
        <w:t xml:space="preserve"> products captured by the subject imports</w:t>
      </w:r>
      <w:r>
        <w:rPr>
          <w:spacing w:val="-8"/>
        </w:rPr>
        <w:t xml:space="preserve"> </w:t>
      </w:r>
      <w:r>
        <w:t>and</w:t>
      </w:r>
      <w:r>
        <w:rPr>
          <w:spacing w:val="-9"/>
        </w:rPr>
        <w:t xml:space="preserve"> </w:t>
      </w:r>
      <w:r>
        <w:t>domestic</w:t>
      </w:r>
      <w:r>
        <w:rPr>
          <w:spacing w:val="-6"/>
        </w:rPr>
        <w:t xml:space="preserve"> </w:t>
      </w:r>
      <w:r>
        <w:t>like</w:t>
      </w:r>
      <w:r>
        <w:rPr>
          <w:spacing w:val="-8"/>
        </w:rPr>
        <w:t xml:space="preserve"> </w:t>
      </w:r>
      <w:r>
        <w:t>products</w:t>
      </w:r>
      <w:r>
        <w:rPr>
          <w:spacing w:val="-8"/>
        </w:rPr>
        <w:t xml:space="preserve"> </w:t>
      </w:r>
      <w:r>
        <w:t>definition.</w:t>
      </w:r>
      <w:r>
        <w:rPr>
          <w:vertAlign w:val="superscript"/>
        </w:rPr>
        <w:t>637</w:t>
      </w:r>
      <w:r>
        <w:rPr>
          <w:spacing w:val="-9"/>
        </w:rPr>
        <w:t xml:space="preserve"> </w:t>
      </w:r>
      <w:r>
        <w:t>The</w:t>
      </w:r>
      <w:r>
        <w:rPr>
          <w:spacing w:val="-8"/>
        </w:rPr>
        <w:t xml:space="preserve"> </w:t>
      </w:r>
      <w:r>
        <w:t>Appellate</w:t>
      </w:r>
      <w:r>
        <w:rPr>
          <w:spacing w:val="-10"/>
        </w:rPr>
        <w:t xml:space="preserve"> </w:t>
      </w:r>
      <w:r>
        <w:t>Body</w:t>
      </w:r>
      <w:r>
        <w:rPr>
          <w:spacing w:val="-8"/>
        </w:rPr>
        <w:t xml:space="preserve"> </w:t>
      </w:r>
      <w:r>
        <w:t>has</w:t>
      </w:r>
      <w:r>
        <w:rPr>
          <w:spacing w:val="-9"/>
        </w:rPr>
        <w:t xml:space="preserve"> </w:t>
      </w:r>
      <w:r>
        <w:t>confirmed</w:t>
      </w:r>
      <w:r>
        <w:rPr>
          <w:spacing w:val="-9"/>
        </w:rPr>
        <w:t xml:space="preserve"> </w:t>
      </w:r>
      <w:r>
        <w:t>that</w:t>
      </w:r>
      <w:r>
        <w:rPr>
          <w:spacing w:val="-9"/>
        </w:rPr>
        <w:t xml:space="preserve"> </w:t>
      </w:r>
      <w:r>
        <w:t>price comparability</w:t>
      </w:r>
      <w:r>
        <w:rPr>
          <w:spacing w:val="-7"/>
        </w:rPr>
        <w:t xml:space="preserve"> </w:t>
      </w:r>
      <w:r>
        <w:t>needs</w:t>
      </w:r>
      <w:r>
        <w:rPr>
          <w:spacing w:val="-7"/>
        </w:rPr>
        <w:t xml:space="preserve"> </w:t>
      </w:r>
      <w:r>
        <w:t>to</w:t>
      </w:r>
      <w:r>
        <w:rPr>
          <w:spacing w:val="-8"/>
        </w:rPr>
        <w:t xml:space="preserve"> </w:t>
      </w:r>
      <w:r>
        <w:t>be</w:t>
      </w:r>
      <w:r>
        <w:rPr>
          <w:spacing w:val="-7"/>
        </w:rPr>
        <w:t xml:space="preserve"> </w:t>
      </w:r>
      <w:r>
        <w:t>ensured</w:t>
      </w:r>
      <w:r>
        <w:rPr>
          <w:spacing w:val="-8"/>
        </w:rPr>
        <w:t xml:space="preserve"> </w:t>
      </w:r>
      <w:r>
        <w:t>to</w:t>
      </w:r>
      <w:r>
        <w:rPr>
          <w:spacing w:val="-7"/>
        </w:rPr>
        <w:t xml:space="preserve"> </w:t>
      </w:r>
      <w:r>
        <w:t>the</w:t>
      </w:r>
      <w:r>
        <w:rPr>
          <w:spacing w:val="-8"/>
        </w:rPr>
        <w:t xml:space="preserve"> </w:t>
      </w:r>
      <w:r>
        <w:t>extent</w:t>
      </w:r>
      <w:r>
        <w:rPr>
          <w:spacing w:val="-9"/>
        </w:rPr>
        <w:t xml:space="preserve"> </w:t>
      </w:r>
      <w:r>
        <w:t>that</w:t>
      </w:r>
      <w:r>
        <w:rPr>
          <w:spacing w:val="-8"/>
        </w:rPr>
        <w:t xml:space="preserve"> </w:t>
      </w:r>
      <w:r>
        <w:t>an</w:t>
      </w:r>
      <w:r>
        <w:rPr>
          <w:spacing w:val="-8"/>
        </w:rPr>
        <w:t xml:space="preserve"> </w:t>
      </w:r>
      <w:r>
        <w:t>investigating</w:t>
      </w:r>
      <w:r>
        <w:rPr>
          <w:spacing w:val="-6"/>
        </w:rPr>
        <w:t xml:space="preserve"> </w:t>
      </w:r>
      <w:r>
        <w:t>authority</w:t>
      </w:r>
      <w:r>
        <w:rPr>
          <w:spacing w:val="-8"/>
        </w:rPr>
        <w:t xml:space="preserve"> </w:t>
      </w:r>
      <w:r>
        <w:t>relies</w:t>
      </w:r>
      <w:r>
        <w:rPr>
          <w:spacing w:val="-9"/>
        </w:rPr>
        <w:t xml:space="preserve"> </w:t>
      </w:r>
      <w:r>
        <w:t>on</w:t>
      </w:r>
      <w:r>
        <w:rPr>
          <w:spacing w:val="-8"/>
        </w:rPr>
        <w:t xml:space="preserve"> </w:t>
      </w:r>
      <w:r>
        <w:t>price comparisons in its consideration of price effects of subject imports.</w:t>
      </w:r>
      <w:r>
        <w:rPr>
          <w:vertAlign w:val="superscript"/>
        </w:rPr>
        <w:t>638</w:t>
      </w:r>
    </w:p>
    <w:p w14:paraId="51DE8E16" w14:textId="77777777" w:rsidR="0010369C" w:rsidRDefault="008E43AE">
      <w:pPr>
        <w:spacing w:before="161"/>
        <w:ind w:left="1089"/>
        <w:jc w:val="both"/>
        <w:rPr>
          <w:sz w:val="24"/>
        </w:rPr>
      </w:pPr>
      <w:r>
        <w:rPr>
          <w:noProof/>
        </w:rPr>
        <w:drawing>
          <wp:anchor distT="0" distB="0" distL="0" distR="0" simplePos="0" relativeHeight="250673664" behindDoc="0" locked="0" layoutInCell="1" allowOverlap="1" wp14:anchorId="51DEA466" wp14:editId="51DEA467">
            <wp:simplePos x="0" y="0"/>
            <wp:positionH relativeFrom="page">
              <wp:posOffset>902208</wp:posOffset>
            </wp:positionH>
            <wp:positionV relativeFrom="paragraph">
              <wp:posOffset>151164</wp:posOffset>
            </wp:positionV>
            <wp:extent cx="262127" cy="100753"/>
            <wp:effectExtent l="0" t="0" r="0" b="0"/>
            <wp:wrapNone/>
            <wp:docPr id="1121" name="image5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 name="image572.png"/>
                    <pic:cNvPicPr/>
                  </pic:nvPicPr>
                  <pic:blipFill>
                    <a:blip r:embed="rId748" cstate="print"/>
                    <a:stretch>
                      <a:fillRect/>
                    </a:stretch>
                  </pic:blipFill>
                  <pic:spPr>
                    <a:xfrm>
                      <a:off x="0" y="0"/>
                      <a:ext cx="262127" cy="100753"/>
                    </a:xfrm>
                    <a:prstGeom prst="rect">
                      <a:avLst/>
                    </a:prstGeom>
                  </pic:spPr>
                </pic:pic>
              </a:graphicData>
            </a:graphic>
          </wp:anchor>
        </w:drawing>
      </w:r>
      <w:r>
        <w:rPr>
          <w:sz w:val="24"/>
        </w:rPr>
        <w:t>In</w:t>
      </w:r>
      <w:r>
        <w:rPr>
          <w:spacing w:val="-7"/>
          <w:sz w:val="24"/>
        </w:rPr>
        <w:t xml:space="preserve"> </w:t>
      </w:r>
      <w:r>
        <w:rPr>
          <w:i/>
          <w:sz w:val="24"/>
        </w:rPr>
        <w:t>China</w:t>
      </w:r>
      <w:r>
        <w:rPr>
          <w:i/>
          <w:spacing w:val="-5"/>
          <w:sz w:val="24"/>
        </w:rPr>
        <w:t xml:space="preserve"> </w:t>
      </w:r>
      <w:r>
        <w:rPr>
          <w:i/>
          <w:sz w:val="24"/>
        </w:rPr>
        <w:t>–</w:t>
      </w:r>
      <w:r>
        <w:rPr>
          <w:i/>
          <w:spacing w:val="-6"/>
          <w:sz w:val="24"/>
        </w:rPr>
        <w:t xml:space="preserve"> </w:t>
      </w:r>
      <w:r>
        <w:rPr>
          <w:i/>
          <w:sz w:val="24"/>
        </w:rPr>
        <w:t>GOES</w:t>
      </w:r>
      <w:r>
        <w:rPr>
          <w:sz w:val="24"/>
        </w:rPr>
        <w:t>,</w:t>
      </w:r>
      <w:r>
        <w:rPr>
          <w:spacing w:val="-6"/>
          <w:sz w:val="24"/>
        </w:rPr>
        <w:t xml:space="preserve"> </w:t>
      </w:r>
      <w:r>
        <w:rPr>
          <w:sz w:val="24"/>
        </w:rPr>
        <w:t>the</w:t>
      </w:r>
      <w:r>
        <w:rPr>
          <w:spacing w:val="-6"/>
          <w:sz w:val="24"/>
        </w:rPr>
        <w:t xml:space="preserve"> </w:t>
      </w:r>
      <w:r>
        <w:rPr>
          <w:sz w:val="24"/>
        </w:rPr>
        <w:t>Appellate</w:t>
      </w:r>
      <w:r>
        <w:rPr>
          <w:spacing w:val="-6"/>
          <w:sz w:val="24"/>
        </w:rPr>
        <w:t xml:space="preserve"> </w:t>
      </w:r>
      <w:r>
        <w:rPr>
          <w:sz w:val="24"/>
        </w:rPr>
        <w:t>Body</w:t>
      </w:r>
      <w:r>
        <w:rPr>
          <w:spacing w:val="-6"/>
          <w:sz w:val="24"/>
        </w:rPr>
        <w:t xml:space="preserve"> </w:t>
      </w:r>
      <w:r>
        <w:rPr>
          <w:sz w:val="24"/>
        </w:rPr>
        <w:t>explained</w:t>
      </w:r>
      <w:r>
        <w:rPr>
          <w:spacing w:val="-8"/>
          <w:sz w:val="24"/>
        </w:rPr>
        <w:t xml:space="preserve"> </w:t>
      </w:r>
      <w:r>
        <w:rPr>
          <w:sz w:val="24"/>
        </w:rPr>
        <w:t>as</w:t>
      </w:r>
      <w:r>
        <w:rPr>
          <w:spacing w:val="-6"/>
          <w:sz w:val="24"/>
        </w:rPr>
        <w:t xml:space="preserve"> </w:t>
      </w:r>
      <w:r>
        <w:rPr>
          <w:spacing w:val="-2"/>
          <w:sz w:val="24"/>
        </w:rPr>
        <w:t>follows:</w:t>
      </w:r>
    </w:p>
    <w:p w14:paraId="51DE8E17" w14:textId="77777777" w:rsidR="0010369C" w:rsidRDefault="0010369C">
      <w:pPr>
        <w:pStyle w:val="BodyText"/>
        <w:rPr>
          <w:sz w:val="25"/>
        </w:rPr>
      </w:pPr>
    </w:p>
    <w:p w14:paraId="51DE8E18" w14:textId="77777777" w:rsidR="0010369C" w:rsidRDefault="008E43AE">
      <w:pPr>
        <w:spacing w:before="1" w:line="276" w:lineRule="auto"/>
        <w:ind w:left="1088" w:right="614"/>
        <w:jc w:val="both"/>
      </w:pPr>
      <w:r>
        <w:t>[W]e do not see how a failure to ensure price comparability could be consistent with the requirement</w:t>
      </w:r>
      <w:r>
        <w:rPr>
          <w:spacing w:val="-5"/>
        </w:rPr>
        <w:t xml:space="preserve"> </w:t>
      </w:r>
      <w:r>
        <w:t>under</w:t>
      </w:r>
      <w:r>
        <w:rPr>
          <w:spacing w:val="-5"/>
        </w:rPr>
        <w:t xml:space="preserve"> </w:t>
      </w:r>
      <w:r>
        <w:t>Articles</w:t>
      </w:r>
      <w:r>
        <w:rPr>
          <w:spacing w:val="-7"/>
        </w:rPr>
        <w:t xml:space="preserve"> </w:t>
      </w:r>
      <w:r>
        <w:t>3.1</w:t>
      </w:r>
      <w:r>
        <w:rPr>
          <w:spacing w:val="-6"/>
        </w:rPr>
        <w:t xml:space="preserve"> </w:t>
      </w:r>
      <w:r>
        <w:t>and</w:t>
      </w:r>
      <w:r>
        <w:rPr>
          <w:spacing w:val="-5"/>
        </w:rPr>
        <w:t xml:space="preserve"> </w:t>
      </w:r>
      <w:r>
        <w:t>15.1</w:t>
      </w:r>
      <w:r>
        <w:rPr>
          <w:spacing w:val="-6"/>
        </w:rPr>
        <w:t xml:space="preserve"> </w:t>
      </w:r>
      <w:r>
        <w:t>that</w:t>
      </w:r>
      <w:r>
        <w:rPr>
          <w:spacing w:val="-7"/>
        </w:rPr>
        <w:t xml:space="preserve"> </w:t>
      </w:r>
      <w:r>
        <w:t>a</w:t>
      </w:r>
      <w:r>
        <w:rPr>
          <w:spacing w:val="-5"/>
        </w:rPr>
        <w:t xml:space="preserve"> </w:t>
      </w:r>
      <w:r>
        <w:t>determination</w:t>
      </w:r>
      <w:r>
        <w:rPr>
          <w:spacing w:val="-4"/>
        </w:rPr>
        <w:t xml:space="preserve"> </w:t>
      </w:r>
      <w:r>
        <w:t>of</w:t>
      </w:r>
      <w:r>
        <w:rPr>
          <w:spacing w:val="-6"/>
        </w:rPr>
        <w:t xml:space="preserve"> </w:t>
      </w:r>
      <w:r>
        <w:t>injury</w:t>
      </w:r>
      <w:r>
        <w:rPr>
          <w:spacing w:val="-5"/>
        </w:rPr>
        <w:t xml:space="preserve"> </w:t>
      </w:r>
      <w:r>
        <w:t>be</w:t>
      </w:r>
      <w:r>
        <w:rPr>
          <w:spacing w:val="-5"/>
        </w:rPr>
        <w:t xml:space="preserve"> </w:t>
      </w:r>
      <w:r>
        <w:t>based</w:t>
      </w:r>
      <w:r>
        <w:rPr>
          <w:spacing w:val="-7"/>
        </w:rPr>
        <w:t xml:space="preserve"> </w:t>
      </w:r>
      <w:r>
        <w:t>on</w:t>
      </w:r>
      <w:r>
        <w:rPr>
          <w:spacing w:val="-6"/>
        </w:rPr>
        <w:t xml:space="preserve"> </w:t>
      </w:r>
      <w:r>
        <w:t>"positive evidence"</w:t>
      </w:r>
      <w:r>
        <w:rPr>
          <w:spacing w:val="-5"/>
        </w:rPr>
        <w:t xml:space="preserve"> </w:t>
      </w:r>
      <w:r>
        <w:t>and</w:t>
      </w:r>
      <w:r>
        <w:rPr>
          <w:spacing w:val="-4"/>
        </w:rPr>
        <w:t xml:space="preserve"> </w:t>
      </w:r>
      <w:r>
        <w:t>involve</w:t>
      </w:r>
      <w:r>
        <w:rPr>
          <w:spacing w:val="-3"/>
        </w:rPr>
        <w:t xml:space="preserve"> </w:t>
      </w:r>
      <w:r>
        <w:t>an</w:t>
      </w:r>
      <w:r>
        <w:rPr>
          <w:spacing w:val="-4"/>
        </w:rPr>
        <w:t xml:space="preserve"> </w:t>
      </w:r>
      <w:r>
        <w:t>"objective</w:t>
      </w:r>
      <w:r>
        <w:rPr>
          <w:spacing w:val="-4"/>
        </w:rPr>
        <w:t xml:space="preserve"> </w:t>
      </w:r>
      <w:r>
        <w:t>examination"</w:t>
      </w:r>
      <w:r>
        <w:rPr>
          <w:spacing w:val="-4"/>
        </w:rPr>
        <w:t xml:space="preserve"> </w:t>
      </w:r>
      <w:r>
        <w:t>of,</w:t>
      </w:r>
      <w:r>
        <w:rPr>
          <w:spacing w:val="-3"/>
        </w:rPr>
        <w:t xml:space="preserve"> </w:t>
      </w:r>
      <w:r>
        <w:rPr>
          <w:i/>
        </w:rPr>
        <w:t>inter</w:t>
      </w:r>
      <w:r>
        <w:rPr>
          <w:i/>
          <w:spacing w:val="-3"/>
        </w:rPr>
        <w:t xml:space="preserve"> </w:t>
      </w:r>
      <w:r>
        <w:rPr>
          <w:i/>
        </w:rPr>
        <w:t>alia</w:t>
      </w:r>
      <w:r>
        <w:t>,</w:t>
      </w:r>
      <w:r>
        <w:rPr>
          <w:spacing w:val="-3"/>
        </w:rPr>
        <w:t xml:space="preserve"> </w:t>
      </w:r>
      <w:r>
        <w:t>the</w:t>
      </w:r>
      <w:r>
        <w:rPr>
          <w:spacing w:val="-3"/>
        </w:rPr>
        <w:t xml:space="preserve"> </w:t>
      </w:r>
      <w:r>
        <w:t>effect</w:t>
      </w:r>
      <w:r>
        <w:rPr>
          <w:spacing w:val="-4"/>
        </w:rPr>
        <w:t xml:space="preserve"> </w:t>
      </w:r>
      <w:r>
        <w:t>of</w:t>
      </w:r>
      <w:r>
        <w:rPr>
          <w:spacing w:val="-4"/>
        </w:rPr>
        <w:t xml:space="preserve"> </w:t>
      </w:r>
      <w:r>
        <w:t>subject</w:t>
      </w:r>
      <w:r>
        <w:rPr>
          <w:spacing w:val="-4"/>
        </w:rPr>
        <w:t xml:space="preserve"> </w:t>
      </w:r>
      <w:r>
        <w:t>imports on the prices of domestic like products. Indeed, if subject import and domestic prices</w:t>
      </w:r>
      <w:r>
        <w:t xml:space="preserve"> were not comparable, this would defeat the explanatory force that subject import prices might have for the depression or suppression of domestic prices.</w:t>
      </w:r>
      <w:r>
        <w:rPr>
          <w:vertAlign w:val="superscript"/>
        </w:rPr>
        <w:t>639</w:t>
      </w:r>
    </w:p>
    <w:p w14:paraId="51DE8E19" w14:textId="77777777" w:rsidR="0010369C" w:rsidRDefault="0010369C">
      <w:pPr>
        <w:pStyle w:val="BodyText"/>
        <w:spacing w:before="7"/>
        <w:rPr>
          <w:sz w:val="19"/>
        </w:rPr>
      </w:pPr>
    </w:p>
    <w:p w14:paraId="51DE8E1A" w14:textId="77777777" w:rsidR="0010369C" w:rsidRDefault="008E43AE">
      <w:pPr>
        <w:pStyle w:val="BodyText"/>
        <w:spacing w:before="1" w:line="360" w:lineRule="auto"/>
        <w:ind w:left="238" w:right="612" w:firstLine="851"/>
        <w:jc w:val="both"/>
      </w:pPr>
      <w:r>
        <w:rPr>
          <w:noProof/>
        </w:rPr>
        <w:drawing>
          <wp:anchor distT="0" distB="0" distL="0" distR="0" simplePos="0" relativeHeight="251197952" behindDoc="1" locked="0" layoutInCell="1" allowOverlap="1" wp14:anchorId="51DEA468" wp14:editId="51DEA469">
            <wp:simplePos x="0" y="0"/>
            <wp:positionH relativeFrom="page">
              <wp:posOffset>902208</wp:posOffset>
            </wp:positionH>
            <wp:positionV relativeFrom="paragraph">
              <wp:posOffset>44400</wp:posOffset>
            </wp:positionV>
            <wp:extent cx="262127" cy="106679"/>
            <wp:effectExtent l="0" t="0" r="0" b="0"/>
            <wp:wrapNone/>
            <wp:docPr id="1123" name="image5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 name="image573.png"/>
                    <pic:cNvPicPr/>
                  </pic:nvPicPr>
                  <pic:blipFill>
                    <a:blip r:embed="rId749" cstate="print"/>
                    <a:stretch>
                      <a:fillRect/>
                    </a:stretch>
                  </pic:blipFill>
                  <pic:spPr>
                    <a:xfrm>
                      <a:off x="0" y="0"/>
                      <a:ext cx="262127" cy="106679"/>
                    </a:xfrm>
                    <a:prstGeom prst="rect">
                      <a:avLst/>
                    </a:prstGeom>
                  </pic:spPr>
                </pic:pic>
              </a:graphicData>
            </a:graphic>
          </wp:anchor>
        </w:drawing>
      </w:r>
      <w:r>
        <w:t>In this dispute, MOFCOM failed to ensure price comparability between the annual average</w:t>
      </w:r>
      <w:r>
        <w:rPr>
          <w:spacing w:val="28"/>
        </w:rPr>
        <w:t xml:space="preserve"> </w:t>
      </w:r>
      <w:r>
        <w:t>unit</w:t>
      </w:r>
      <w:r>
        <w:rPr>
          <w:spacing w:val="28"/>
        </w:rPr>
        <w:t xml:space="preserve"> </w:t>
      </w:r>
      <w:r>
        <w:t>pric</w:t>
      </w:r>
      <w:r>
        <w:t>es</w:t>
      </w:r>
      <w:r>
        <w:rPr>
          <w:spacing w:val="28"/>
        </w:rPr>
        <w:t xml:space="preserve"> </w:t>
      </w:r>
      <w:r>
        <w:t>that</w:t>
      </w:r>
      <w:r>
        <w:rPr>
          <w:spacing w:val="28"/>
        </w:rPr>
        <w:t xml:space="preserve"> </w:t>
      </w:r>
      <w:r>
        <w:t>MOCOM</w:t>
      </w:r>
      <w:r>
        <w:rPr>
          <w:spacing w:val="27"/>
        </w:rPr>
        <w:t xml:space="preserve"> </w:t>
      </w:r>
      <w:r>
        <w:t>compared</w:t>
      </w:r>
      <w:r>
        <w:rPr>
          <w:spacing w:val="28"/>
        </w:rPr>
        <w:t xml:space="preserve"> </w:t>
      </w:r>
      <w:r>
        <w:t>for</w:t>
      </w:r>
      <w:r>
        <w:rPr>
          <w:spacing w:val="29"/>
        </w:rPr>
        <w:t xml:space="preserve"> </w:t>
      </w:r>
      <w:r>
        <w:t>the</w:t>
      </w:r>
      <w:r>
        <w:rPr>
          <w:spacing w:val="29"/>
        </w:rPr>
        <w:t xml:space="preserve"> </w:t>
      </w:r>
      <w:r>
        <w:t>purposes</w:t>
      </w:r>
      <w:r>
        <w:rPr>
          <w:spacing w:val="27"/>
        </w:rPr>
        <w:t xml:space="preserve"> </w:t>
      </w:r>
      <w:r>
        <w:t>of</w:t>
      </w:r>
      <w:r>
        <w:rPr>
          <w:spacing w:val="28"/>
        </w:rPr>
        <w:t xml:space="preserve"> </w:t>
      </w:r>
      <w:r>
        <w:t>examining</w:t>
      </w:r>
      <w:r>
        <w:rPr>
          <w:spacing w:val="27"/>
        </w:rPr>
        <w:t xml:space="preserve"> </w:t>
      </w:r>
      <w:r>
        <w:t>the</w:t>
      </w:r>
      <w:r>
        <w:rPr>
          <w:spacing w:val="29"/>
        </w:rPr>
        <w:t xml:space="preserve"> </w:t>
      </w:r>
      <w:r>
        <w:t>impact</w:t>
      </w:r>
      <w:r>
        <w:rPr>
          <w:spacing w:val="28"/>
        </w:rPr>
        <w:t xml:space="preserve"> </w:t>
      </w:r>
      <w:r>
        <w:rPr>
          <w:spacing w:val="-5"/>
        </w:rPr>
        <w:t>of</w:t>
      </w:r>
    </w:p>
    <w:p w14:paraId="51DE8E1B" w14:textId="77777777" w:rsidR="0010369C" w:rsidRDefault="0010369C">
      <w:pPr>
        <w:pStyle w:val="BodyText"/>
        <w:rPr>
          <w:sz w:val="20"/>
        </w:rPr>
      </w:pPr>
    </w:p>
    <w:p w14:paraId="51DE8E1C" w14:textId="77777777" w:rsidR="0010369C" w:rsidRDefault="008E43AE">
      <w:pPr>
        <w:pStyle w:val="BodyText"/>
        <w:rPr>
          <w:sz w:val="22"/>
        </w:rPr>
      </w:pPr>
      <w:r>
        <w:pict w14:anchorId="51DEA46A">
          <v:rect id="docshape1025" o:spid="_x0000_s1349" style="position:absolute;margin-left:70.9pt;margin-top:14.65pt;width:2in;height:.8pt;z-index:-250837504;mso-wrap-distance-left:0;mso-wrap-distance-right:0;mso-position-horizontal-relative:page" fillcolor="black" stroked="f">
            <w10:wrap type="topAndBottom" anchorx="page"/>
          </v:rect>
        </w:pict>
      </w:r>
    </w:p>
    <w:p w14:paraId="51DE8E1D" w14:textId="77777777" w:rsidR="0010369C" w:rsidRDefault="008E43AE">
      <w:pPr>
        <w:spacing w:before="109"/>
        <w:ind w:left="238" w:right="612"/>
        <w:jc w:val="both"/>
        <w:rPr>
          <w:sz w:val="18"/>
        </w:rPr>
      </w:pPr>
      <w:r>
        <w:rPr>
          <w:sz w:val="18"/>
          <w:vertAlign w:val="superscript"/>
        </w:rPr>
        <w:t>635</w:t>
      </w:r>
      <w:r>
        <w:rPr>
          <w:spacing w:val="-11"/>
          <w:sz w:val="18"/>
        </w:rPr>
        <w:t xml:space="preserve"> </w:t>
      </w:r>
      <w:r>
        <w:rPr>
          <w:sz w:val="18"/>
        </w:rPr>
        <w:t>Appellate</w:t>
      </w:r>
      <w:r>
        <w:rPr>
          <w:spacing w:val="-10"/>
          <w:sz w:val="18"/>
        </w:rPr>
        <w:t xml:space="preserve"> </w:t>
      </w:r>
      <w:r>
        <w:rPr>
          <w:sz w:val="18"/>
        </w:rPr>
        <w:t>Body</w:t>
      </w:r>
      <w:r>
        <w:rPr>
          <w:spacing w:val="-10"/>
          <w:sz w:val="18"/>
        </w:rPr>
        <w:t xml:space="preserve"> </w:t>
      </w:r>
      <w:r>
        <w:rPr>
          <w:sz w:val="18"/>
        </w:rPr>
        <w:t>Reports,</w:t>
      </w:r>
      <w:r>
        <w:rPr>
          <w:spacing w:val="-10"/>
          <w:sz w:val="18"/>
        </w:rPr>
        <w:t xml:space="preserve"> </w:t>
      </w:r>
      <w:r>
        <w:rPr>
          <w:i/>
          <w:sz w:val="18"/>
        </w:rPr>
        <w:t>Korea</w:t>
      </w:r>
      <w:r>
        <w:rPr>
          <w:i/>
          <w:spacing w:val="-10"/>
          <w:sz w:val="18"/>
        </w:rPr>
        <w:t xml:space="preserve"> </w:t>
      </w:r>
      <w:r>
        <w:rPr>
          <w:i/>
          <w:sz w:val="18"/>
        </w:rPr>
        <w:t>–</w:t>
      </w:r>
      <w:r>
        <w:rPr>
          <w:i/>
          <w:spacing w:val="-11"/>
          <w:sz w:val="18"/>
        </w:rPr>
        <w:t xml:space="preserve"> </w:t>
      </w:r>
      <w:r>
        <w:rPr>
          <w:i/>
          <w:sz w:val="18"/>
        </w:rPr>
        <w:t>Pneumatic</w:t>
      </w:r>
      <w:r>
        <w:rPr>
          <w:i/>
          <w:spacing w:val="-10"/>
          <w:sz w:val="18"/>
        </w:rPr>
        <w:t xml:space="preserve"> </w:t>
      </w:r>
      <w:r>
        <w:rPr>
          <w:i/>
          <w:sz w:val="18"/>
        </w:rPr>
        <w:t>Valves</w:t>
      </w:r>
      <w:r>
        <w:rPr>
          <w:sz w:val="18"/>
        </w:rPr>
        <w:t>,</w:t>
      </w:r>
      <w:r>
        <w:rPr>
          <w:spacing w:val="-10"/>
          <w:sz w:val="18"/>
        </w:rPr>
        <w:t xml:space="preserve"> </w:t>
      </w:r>
      <w:r>
        <w:rPr>
          <w:sz w:val="18"/>
        </w:rPr>
        <w:t>para.</w:t>
      </w:r>
      <w:r>
        <w:rPr>
          <w:spacing w:val="-10"/>
          <w:sz w:val="18"/>
        </w:rPr>
        <w:t xml:space="preserve"> </w:t>
      </w:r>
      <w:r>
        <w:rPr>
          <w:sz w:val="18"/>
        </w:rPr>
        <w:t>5.323,</w:t>
      </w:r>
      <w:r>
        <w:rPr>
          <w:spacing w:val="-10"/>
          <w:sz w:val="18"/>
        </w:rPr>
        <w:t xml:space="preserve"> </w:t>
      </w:r>
      <w:r>
        <w:rPr>
          <w:sz w:val="18"/>
        </w:rPr>
        <w:t>C</w:t>
      </w:r>
      <w:r>
        <w:rPr>
          <w:i/>
          <w:sz w:val="18"/>
        </w:rPr>
        <w:t>hina</w:t>
      </w:r>
      <w:r>
        <w:rPr>
          <w:i/>
          <w:spacing w:val="-10"/>
          <w:sz w:val="18"/>
        </w:rPr>
        <w:t xml:space="preserve"> </w:t>
      </w:r>
      <w:r>
        <w:rPr>
          <w:i/>
          <w:sz w:val="18"/>
        </w:rPr>
        <w:t>–</w:t>
      </w:r>
      <w:r>
        <w:rPr>
          <w:i/>
          <w:spacing w:val="-11"/>
          <w:sz w:val="18"/>
        </w:rPr>
        <w:t xml:space="preserve"> </w:t>
      </w:r>
      <w:r>
        <w:rPr>
          <w:i/>
          <w:sz w:val="18"/>
        </w:rPr>
        <w:t>GOES</w:t>
      </w:r>
      <w:r>
        <w:rPr>
          <w:sz w:val="18"/>
        </w:rPr>
        <w:t>,</w:t>
      </w:r>
      <w:r>
        <w:rPr>
          <w:spacing w:val="-10"/>
          <w:sz w:val="18"/>
        </w:rPr>
        <w:t xml:space="preserve"> </w:t>
      </w:r>
      <w:r>
        <w:rPr>
          <w:sz w:val="18"/>
        </w:rPr>
        <w:t>para.</w:t>
      </w:r>
      <w:r>
        <w:rPr>
          <w:spacing w:val="-10"/>
          <w:sz w:val="18"/>
        </w:rPr>
        <w:t xml:space="preserve"> </w:t>
      </w:r>
      <w:r>
        <w:rPr>
          <w:sz w:val="18"/>
        </w:rPr>
        <w:t>200;</w:t>
      </w:r>
      <w:r>
        <w:rPr>
          <w:spacing w:val="-10"/>
          <w:sz w:val="18"/>
        </w:rPr>
        <w:t xml:space="preserve"> </w:t>
      </w:r>
      <w:r>
        <w:rPr>
          <w:sz w:val="18"/>
        </w:rPr>
        <w:t>Panel</w:t>
      </w:r>
      <w:r>
        <w:rPr>
          <w:spacing w:val="-10"/>
          <w:sz w:val="18"/>
        </w:rPr>
        <w:t xml:space="preserve"> </w:t>
      </w:r>
      <w:r>
        <w:rPr>
          <w:sz w:val="18"/>
        </w:rPr>
        <w:t>Reports,</w:t>
      </w:r>
      <w:r>
        <w:rPr>
          <w:spacing w:val="-10"/>
          <w:sz w:val="18"/>
        </w:rPr>
        <w:t xml:space="preserve"> </w:t>
      </w:r>
      <w:r>
        <w:rPr>
          <w:i/>
          <w:sz w:val="18"/>
        </w:rPr>
        <w:t>Korea</w:t>
      </w:r>
      <w:r>
        <w:rPr>
          <w:i/>
          <w:spacing w:val="-11"/>
          <w:sz w:val="18"/>
        </w:rPr>
        <w:t xml:space="preserve"> </w:t>
      </w:r>
      <w:r>
        <w:rPr>
          <w:i/>
          <w:sz w:val="18"/>
        </w:rPr>
        <w:t>–</w:t>
      </w:r>
      <w:r>
        <w:rPr>
          <w:i/>
          <w:spacing w:val="-10"/>
          <w:sz w:val="18"/>
        </w:rPr>
        <w:t xml:space="preserve"> </w:t>
      </w:r>
      <w:r>
        <w:rPr>
          <w:i/>
          <w:sz w:val="18"/>
        </w:rPr>
        <w:t>Pneumatic Valves</w:t>
      </w:r>
      <w:r>
        <w:rPr>
          <w:i/>
          <w:spacing w:val="-3"/>
          <w:sz w:val="18"/>
        </w:rPr>
        <w:t xml:space="preserve"> </w:t>
      </w:r>
      <w:r>
        <w:rPr>
          <w:i/>
          <w:sz w:val="18"/>
        </w:rPr>
        <w:t>(Japan)</w:t>
      </w:r>
      <w:r>
        <w:rPr>
          <w:sz w:val="18"/>
        </w:rPr>
        <w:t>,</w:t>
      </w:r>
      <w:r>
        <w:rPr>
          <w:spacing w:val="-3"/>
          <w:sz w:val="18"/>
        </w:rPr>
        <w:t xml:space="preserve"> </w:t>
      </w:r>
      <w:r>
        <w:rPr>
          <w:sz w:val="18"/>
        </w:rPr>
        <w:t>para.</w:t>
      </w:r>
      <w:r>
        <w:rPr>
          <w:spacing w:val="-2"/>
          <w:sz w:val="18"/>
        </w:rPr>
        <w:t xml:space="preserve"> </w:t>
      </w:r>
      <w:r>
        <w:rPr>
          <w:sz w:val="18"/>
        </w:rPr>
        <w:t>7.266</w:t>
      </w:r>
      <w:r>
        <w:rPr>
          <w:i/>
          <w:sz w:val="18"/>
        </w:rPr>
        <w:t>China</w:t>
      </w:r>
      <w:r>
        <w:rPr>
          <w:i/>
          <w:spacing w:val="-2"/>
          <w:sz w:val="18"/>
        </w:rPr>
        <w:t xml:space="preserve"> </w:t>
      </w:r>
      <w:r>
        <w:rPr>
          <w:i/>
          <w:sz w:val="18"/>
        </w:rPr>
        <w:t>–</w:t>
      </w:r>
      <w:r>
        <w:rPr>
          <w:i/>
          <w:spacing w:val="-2"/>
          <w:sz w:val="18"/>
        </w:rPr>
        <w:t xml:space="preserve"> </w:t>
      </w:r>
      <w:r>
        <w:rPr>
          <w:i/>
          <w:sz w:val="18"/>
        </w:rPr>
        <w:t>X‐Ray</w:t>
      </w:r>
      <w:r>
        <w:rPr>
          <w:i/>
          <w:spacing w:val="-2"/>
          <w:sz w:val="18"/>
        </w:rPr>
        <w:t xml:space="preserve"> </w:t>
      </w:r>
      <w:r>
        <w:rPr>
          <w:i/>
          <w:sz w:val="18"/>
        </w:rPr>
        <w:t>Equipment</w:t>
      </w:r>
      <w:r>
        <w:rPr>
          <w:sz w:val="18"/>
        </w:rPr>
        <w:t>,</w:t>
      </w:r>
      <w:r>
        <w:rPr>
          <w:spacing w:val="-3"/>
          <w:sz w:val="18"/>
        </w:rPr>
        <w:t xml:space="preserve"> </w:t>
      </w:r>
      <w:r>
        <w:rPr>
          <w:sz w:val="18"/>
        </w:rPr>
        <w:t>para.</w:t>
      </w:r>
      <w:r>
        <w:rPr>
          <w:spacing w:val="-2"/>
          <w:sz w:val="18"/>
        </w:rPr>
        <w:t xml:space="preserve"> </w:t>
      </w:r>
      <w:r>
        <w:rPr>
          <w:sz w:val="18"/>
        </w:rPr>
        <w:t>7.68;</w:t>
      </w:r>
      <w:r>
        <w:rPr>
          <w:spacing w:val="-3"/>
          <w:sz w:val="18"/>
        </w:rPr>
        <w:t xml:space="preserve"> </w:t>
      </w:r>
      <w:r>
        <w:rPr>
          <w:i/>
          <w:sz w:val="18"/>
        </w:rPr>
        <w:t>Pakistan</w:t>
      </w:r>
      <w:r>
        <w:rPr>
          <w:i/>
          <w:spacing w:val="-2"/>
          <w:sz w:val="18"/>
        </w:rPr>
        <w:t xml:space="preserve"> </w:t>
      </w:r>
      <w:r>
        <w:rPr>
          <w:i/>
          <w:sz w:val="18"/>
        </w:rPr>
        <w:t>–</w:t>
      </w:r>
      <w:r>
        <w:rPr>
          <w:i/>
          <w:spacing w:val="-2"/>
          <w:sz w:val="18"/>
        </w:rPr>
        <w:t xml:space="preserve"> </w:t>
      </w:r>
      <w:r>
        <w:rPr>
          <w:i/>
          <w:sz w:val="18"/>
        </w:rPr>
        <w:t>BOPP</w:t>
      </w:r>
      <w:r>
        <w:rPr>
          <w:i/>
          <w:spacing w:val="-2"/>
          <w:sz w:val="18"/>
        </w:rPr>
        <w:t xml:space="preserve"> </w:t>
      </w:r>
      <w:r>
        <w:rPr>
          <w:i/>
          <w:sz w:val="18"/>
        </w:rPr>
        <w:t>Film</w:t>
      </w:r>
      <w:r>
        <w:rPr>
          <w:i/>
          <w:spacing w:val="-2"/>
          <w:sz w:val="18"/>
        </w:rPr>
        <w:t xml:space="preserve"> </w:t>
      </w:r>
      <w:r>
        <w:rPr>
          <w:i/>
          <w:sz w:val="18"/>
        </w:rPr>
        <w:t>(UAE)</w:t>
      </w:r>
      <w:r>
        <w:rPr>
          <w:sz w:val="18"/>
        </w:rPr>
        <w:t>,</w:t>
      </w:r>
      <w:r>
        <w:rPr>
          <w:spacing w:val="-3"/>
          <w:sz w:val="18"/>
        </w:rPr>
        <w:t xml:space="preserve"> </w:t>
      </w:r>
      <w:r>
        <w:rPr>
          <w:sz w:val="18"/>
        </w:rPr>
        <w:t>para.</w:t>
      </w:r>
      <w:r>
        <w:rPr>
          <w:spacing w:val="-2"/>
          <w:sz w:val="18"/>
        </w:rPr>
        <w:t xml:space="preserve"> </w:t>
      </w:r>
      <w:r>
        <w:rPr>
          <w:sz w:val="18"/>
        </w:rPr>
        <w:t>7.309;</w:t>
      </w:r>
      <w:r>
        <w:rPr>
          <w:spacing w:val="-3"/>
          <w:sz w:val="18"/>
        </w:rPr>
        <w:t xml:space="preserve"> </w:t>
      </w:r>
      <w:r>
        <w:rPr>
          <w:i/>
          <w:sz w:val="18"/>
        </w:rPr>
        <w:t>China</w:t>
      </w:r>
      <w:r>
        <w:rPr>
          <w:i/>
          <w:spacing w:val="-1"/>
          <w:sz w:val="18"/>
        </w:rPr>
        <w:t xml:space="preserve"> </w:t>
      </w:r>
      <w:r>
        <w:rPr>
          <w:i/>
          <w:sz w:val="18"/>
        </w:rPr>
        <w:t>‐</w:t>
      </w:r>
      <w:r>
        <w:rPr>
          <w:i/>
          <w:spacing w:val="-2"/>
          <w:sz w:val="18"/>
        </w:rPr>
        <w:t xml:space="preserve"> </w:t>
      </w:r>
      <w:r>
        <w:rPr>
          <w:i/>
          <w:sz w:val="18"/>
        </w:rPr>
        <w:t>Autos</w:t>
      </w:r>
      <w:r>
        <w:rPr>
          <w:i/>
          <w:spacing w:val="-3"/>
          <w:sz w:val="18"/>
        </w:rPr>
        <w:t xml:space="preserve"> </w:t>
      </w:r>
      <w:r>
        <w:rPr>
          <w:i/>
          <w:sz w:val="18"/>
        </w:rPr>
        <w:t xml:space="preserve">(US), </w:t>
      </w:r>
      <w:r>
        <w:rPr>
          <w:sz w:val="18"/>
        </w:rPr>
        <w:t>para. 7.277.</w:t>
      </w:r>
    </w:p>
    <w:p w14:paraId="51DE8E1E" w14:textId="77777777" w:rsidR="0010369C" w:rsidRDefault="008E43AE">
      <w:pPr>
        <w:spacing w:line="219" w:lineRule="exact"/>
        <w:ind w:left="238"/>
        <w:jc w:val="both"/>
        <w:rPr>
          <w:sz w:val="18"/>
        </w:rPr>
      </w:pPr>
      <w:r>
        <w:rPr>
          <w:sz w:val="18"/>
          <w:vertAlign w:val="superscript"/>
        </w:rPr>
        <w:t>636</w:t>
      </w:r>
      <w:r>
        <w:rPr>
          <w:spacing w:val="8"/>
          <w:sz w:val="18"/>
        </w:rPr>
        <w:t xml:space="preserve"> </w:t>
      </w:r>
      <w:r>
        <w:rPr>
          <w:sz w:val="18"/>
        </w:rPr>
        <w:t>Panel</w:t>
      </w:r>
      <w:r>
        <w:rPr>
          <w:spacing w:val="8"/>
          <w:sz w:val="18"/>
        </w:rPr>
        <w:t xml:space="preserve"> </w:t>
      </w:r>
      <w:r>
        <w:rPr>
          <w:sz w:val="18"/>
        </w:rPr>
        <w:t>Report,</w:t>
      </w:r>
      <w:r>
        <w:rPr>
          <w:spacing w:val="9"/>
          <w:sz w:val="18"/>
        </w:rPr>
        <w:t xml:space="preserve"> </w:t>
      </w:r>
      <w:r>
        <w:rPr>
          <w:i/>
          <w:sz w:val="18"/>
        </w:rPr>
        <w:t>China</w:t>
      </w:r>
      <w:r>
        <w:rPr>
          <w:i/>
          <w:spacing w:val="9"/>
          <w:sz w:val="18"/>
        </w:rPr>
        <w:t xml:space="preserve"> </w:t>
      </w:r>
      <w:r>
        <w:rPr>
          <w:i/>
          <w:sz w:val="18"/>
        </w:rPr>
        <w:t>‐</w:t>
      </w:r>
      <w:r>
        <w:rPr>
          <w:i/>
          <w:spacing w:val="9"/>
          <w:sz w:val="18"/>
        </w:rPr>
        <w:t xml:space="preserve"> </w:t>
      </w:r>
      <w:r>
        <w:rPr>
          <w:i/>
          <w:sz w:val="18"/>
        </w:rPr>
        <w:t>Autos</w:t>
      </w:r>
      <w:r>
        <w:rPr>
          <w:i/>
          <w:spacing w:val="8"/>
          <w:sz w:val="18"/>
        </w:rPr>
        <w:t xml:space="preserve"> </w:t>
      </w:r>
      <w:r>
        <w:rPr>
          <w:i/>
          <w:sz w:val="18"/>
        </w:rPr>
        <w:t>(US),</w:t>
      </w:r>
      <w:r>
        <w:rPr>
          <w:i/>
          <w:spacing w:val="9"/>
          <w:sz w:val="18"/>
        </w:rPr>
        <w:t xml:space="preserve"> </w:t>
      </w:r>
      <w:r>
        <w:rPr>
          <w:sz w:val="18"/>
        </w:rPr>
        <w:t>para.</w:t>
      </w:r>
      <w:r>
        <w:rPr>
          <w:spacing w:val="10"/>
          <w:sz w:val="18"/>
        </w:rPr>
        <w:t xml:space="preserve"> </w:t>
      </w:r>
      <w:r>
        <w:rPr>
          <w:sz w:val="18"/>
        </w:rPr>
        <w:t>7.277.</w:t>
      </w:r>
      <w:r>
        <w:rPr>
          <w:spacing w:val="9"/>
          <w:sz w:val="18"/>
        </w:rPr>
        <w:t xml:space="preserve"> </w:t>
      </w:r>
      <w:r>
        <w:rPr>
          <w:sz w:val="18"/>
        </w:rPr>
        <w:t>See</w:t>
      </w:r>
      <w:r>
        <w:rPr>
          <w:spacing w:val="9"/>
          <w:sz w:val="18"/>
        </w:rPr>
        <w:t xml:space="preserve"> </w:t>
      </w:r>
      <w:r>
        <w:rPr>
          <w:sz w:val="18"/>
        </w:rPr>
        <w:t>also</w:t>
      </w:r>
      <w:r>
        <w:rPr>
          <w:spacing w:val="9"/>
          <w:sz w:val="18"/>
        </w:rPr>
        <w:t xml:space="preserve"> </w:t>
      </w:r>
      <w:r>
        <w:rPr>
          <w:sz w:val="18"/>
        </w:rPr>
        <w:t>Appellate</w:t>
      </w:r>
      <w:r>
        <w:rPr>
          <w:spacing w:val="10"/>
          <w:sz w:val="18"/>
        </w:rPr>
        <w:t xml:space="preserve"> </w:t>
      </w:r>
      <w:r>
        <w:rPr>
          <w:sz w:val="18"/>
        </w:rPr>
        <w:t>Body</w:t>
      </w:r>
      <w:r>
        <w:rPr>
          <w:spacing w:val="9"/>
          <w:sz w:val="18"/>
        </w:rPr>
        <w:t xml:space="preserve"> </w:t>
      </w:r>
      <w:r>
        <w:rPr>
          <w:sz w:val="18"/>
        </w:rPr>
        <w:t>Report,</w:t>
      </w:r>
      <w:r>
        <w:rPr>
          <w:spacing w:val="9"/>
          <w:sz w:val="18"/>
        </w:rPr>
        <w:t xml:space="preserve"> </w:t>
      </w:r>
      <w:r>
        <w:rPr>
          <w:i/>
          <w:sz w:val="18"/>
        </w:rPr>
        <w:t>China</w:t>
      </w:r>
      <w:r>
        <w:rPr>
          <w:i/>
          <w:spacing w:val="9"/>
          <w:sz w:val="18"/>
        </w:rPr>
        <w:t xml:space="preserve"> </w:t>
      </w:r>
      <w:r>
        <w:rPr>
          <w:i/>
          <w:sz w:val="18"/>
        </w:rPr>
        <w:t>–</w:t>
      </w:r>
      <w:r>
        <w:rPr>
          <w:i/>
          <w:spacing w:val="9"/>
          <w:sz w:val="18"/>
        </w:rPr>
        <w:t xml:space="preserve"> </w:t>
      </w:r>
      <w:r>
        <w:rPr>
          <w:i/>
          <w:sz w:val="18"/>
        </w:rPr>
        <w:t>GOES</w:t>
      </w:r>
      <w:r>
        <w:rPr>
          <w:sz w:val="18"/>
        </w:rPr>
        <w:t>,</w:t>
      </w:r>
      <w:r>
        <w:rPr>
          <w:spacing w:val="8"/>
          <w:sz w:val="18"/>
        </w:rPr>
        <w:t xml:space="preserve"> </w:t>
      </w:r>
      <w:r>
        <w:rPr>
          <w:sz w:val="18"/>
        </w:rPr>
        <w:t>para.</w:t>
      </w:r>
      <w:r>
        <w:rPr>
          <w:spacing w:val="9"/>
          <w:sz w:val="18"/>
        </w:rPr>
        <w:t xml:space="preserve"> </w:t>
      </w:r>
      <w:r>
        <w:rPr>
          <w:sz w:val="18"/>
        </w:rPr>
        <w:t>200;</w:t>
      </w:r>
      <w:r>
        <w:rPr>
          <w:spacing w:val="9"/>
          <w:sz w:val="18"/>
        </w:rPr>
        <w:t xml:space="preserve"> </w:t>
      </w:r>
      <w:r>
        <w:rPr>
          <w:sz w:val="18"/>
        </w:rPr>
        <w:t>Panel</w:t>
      </w:r>
      <w:r>
        <w:rPr>
          <w:spacing w:val="7"/>
          <w:sz w:val="18"/>
        </w:rPr>
        <w:t xml:space="preserve"> </w:t>
      </w:r>
      <w:r>
        <w:rPr>
          <w:spacing w:val="-2"/>
          <w:sz w:val="18"/>
        </w:rPr>
        <w:t>Report,</w:t>
      </w:r>
    </w:p>
    <w:p w14:paraId="51DE8E1F" w14:textId="77777777" w:rsidR="0010369C" w:rsidRDefault="008E43AE">
      <w:pPr>
        <w:ind w:left="238"/>
        <w:rPr>
          <w:sz w:val="18"/>
        </w:rPr>
      </w:pPr>
      <w:r>
        <w:rPr>
          <w:i/>
          <w:sz w:val="18"/>
        </w:rPr>
        <w:t>China</w:t>
      </w:r>
      <w:r>
        <w:rPr>
          <w:i/>
          <w:spacing w:val="-7"/>
          <w:sz w:val="18"/>
        </w:rPr>
        <w:t xml:space="preserve"> </w:t>
      </w:r>
      <w:r>
        <w:rPr>
          <w:i/>
          <w:sz w:val="18"/>
        </w:rPr>
        <w:t>–</w:t>
      </w:r>
      <w:r>
        <w:rPr>
          <w:i/>
          <w:spacing w:val="-6"/>
          <w:sz w:val="18"/>
        </w:rPr>
        <w:t xml:space="preserve"> </w:t>
      </w:r>
      <w:r>
        <w:rPr>
          <w:i/>
          <w:sz w:val="18"/>
        </w:rPr>
        <w:t>X‐Ray</w:t>
      </w:r>
      <w:r>
        <w:rPr>
          <w:i/>
          <w:spacing w:val="-6"/>
          <w:sz w:val="18"/>
        </w:rPr>
        <w:t xml:space="preserve"> </w:t>
      </w:r>
      <w:r>
        <w:rPr>
          <w:i/>
          <w:sz w:val="18"/>
        </w:rPr>
        <w:t>Equipment</w:t>
      </w:r>
      <w:r>
        <w:rPr>
          <w:sz w:val="18"/>
        </w:rPr>
        <w:t>,</w:t>
      </w:r>
      <w:r>
        <w:rPr>
          <w:spacing w:val="-6"/>
          <w:sz w:val="18"/>
        </w:rPr>
        <w:t xml:space="preserve"> </w:t>
      </w:r>
      <w:r>
        <w:rPr>
          <w:sz w:val="18"/>
        </w:rPr>
        <w:t>7.65;</w:t>
      </w:r>
      <w:r>
        <w:rPr>
          <w:spacing w:val="-7"/>
          <w:sz w:val="18"/>
        </w:rPr>
        <w:t xml:space="preserve"> </w:t>
      </w:r>
      <w:r>
        <w:rPr>
          <w:i/>
          <w:sz w:val="18"/>
        </w:rPr>
        <w:t>China</w:t>
      </w:r>
      <w:r>
        <w:rPr>
          <w:i/>
          <w:spacing w:val="-6"/>
          <w:sz w:val="18"/>
        </w:rPr>
        <w:t xml:space="preserve"> </w:t>
      </w:r>
      <w:r>
        <w:rPr>
          <w:sz w:val="18"/>
        </w:rPr>
        <w:t>–</w:t>
      </w:r>
      <w:r>
        <w:rPr>
          <w:spacing w:val="-6"/>
          <w:sz w:val="18"/>
        </w:rPr>
        <w:t xml:space="preserve"> </w:t>
      </w:r>
      <w:r>
        <w:rPr>
          <w:i/>
          <w:sz w:val="18"/>
        </w:rPr>
        <w:t>Broiler</w:t>
      </w:r>
      <w:r>
        <w:rPr>
          <w:i/>
          <w:spacing w:val="-7"/>
          <w:sz w:val="18"/>
        </w:rPr>
        <w:t xml:space="preserve"> </w:t>
      </w:r>
      <w:r>
        <w:rPr>
          <w:i/>
          <w:sz w:val="18"/>
        </w:rPr>
        <w:t>Products</w:t>
      </w:r>
      <w:r>
        <w:rPr>
          <w:sz w:val="18"/>
        </w:rPr>
        <w:t>,</w:t>
      </w:r>
      <w:r>
        <w:rPr>
          <w:spacing w:val="-7"/>
          <w:sz w:val="18"/>
        </w:rPr>
        <w:t xml:space="preserve"> </w:t>
      </w:r>
      <w:r>
        <w:rPr>
          <w:sz w:val="18"/>
        </w:rPr>
        <w:t>para.</w:t>
      </w:r>
      <w:r>
        <w:rPr>
          <w:spacing w:val="-6"/>
          <w:sz w:val="18"/>
        </w:rPr>
        <w:t xml:space="preserve"> </w:t>
      </w:r>
      <w:r>
        <w:rPr>
          <w:spacing w:val="-2"/>
          <w:sz w:val="18"/>
        </w:rPr>
        <w:t>7.483.</w:t>
      </w:r>
    </w:p>
    <w:p w14:paraId="51DE8E20" w14:textId="77777777" w:rsidR="0010369C" w:rsidRDefault="008E43AE">
      <w:pPr>
        <w:spacing w:before="1"/>
        <w:ind w:left="239" w:right="614" w:hanging="2"/>
        <w:rPr>
          <w:sz w:val="18"/>
        </w:rPr>
      </w:pPr>
      <w:r>
        <w:rPr>
          <w:sz w:val="18"/>
          <w:vertAlign w:val="superscript"/>
        </w:rPr>
        <w:t>637</w:t>
      </w:r>
      <w:r>
        <w:rPr>
          <w:sz w:val="18"/>
        </w:rPr>
        <w:t xml:space="preserve"> Appellate Body Reports, </w:t>
      </w:r>
      <w:r>
        <w:rPr>
          <w:i/>
          <w:sz w:val="18"/>
        </w:rPr>
        <w:t>Korea – Pneumatic Valves</w:t>
      </w:r>
      <w:r>
        <w:rPr>
          <w:sz w:val="18"/>
        </w:rPr>
        <w:t xml:space="preserve">, para. 5.326; </w:t>
      </w:r>
      <w:r>
        <w:rPr>
          <w:i/>
          <w:sz w:val="18"/>
        </w:rPr>
        <w:t>China – GOES</w:t>
      </w:r>
      <w:r>
        <w:rPr>
          <w:sz w:val="18"/>
        </w:rPr>
        <w:t xml:space="preserve">, para. 200; Panel Reports, </w:t>
      </w:r>
      <w:r>
        <w:rPr>
          <w:i/>
          <w:sz w:val="18"/>
        </w:rPr>
        <w:t>China – X‐Ray Equipment</w:t>
      </w:r>
      <w:r>
        <w:rPr>
          <w:sz w:val="18"/>
        </w:rPr>
        <w:t xml:space="preserve">, 7.65; </w:t>
      </w:r>
      <w:r>
        <w:rPr>
          <w:i/>
          <w:sz w:val="18"/>
        </w:rPr>
        <w:t xml:space="preserve">China </w:t>
      </w:r>
      <w:r>
        <w:rPr>
          <w:sz w:val="18"/>
        </w:rPr>
        <w:t xml:space="preserve">– </w:t>
      </w:r>
      <w:r>
        <w:rPr>
          <w:i/>
          <w:sz w:val="18"/>
        </w:rPr>
        <w:t>Broiler Products</w:t>
      </w:r>
      <w:r>
        <w:rPr>
          <w:sz w:val="18"/>
        </w:rPr>
        <w:t xml:space="preserve">, para. 7.483; </w:t>
      </w:r>
      <w:r>
        <w:rPr>
          <w:i/>
          <w:sz w:val="18"/>
        </w:rPr>
        <w:t xml:space="preserve">China ‐ Autos (US), </w:t>
      </w:r>
      <w:r>
        <w:rPr>
          <w:sz w:val="18"/>
        </w:rPr>
        <w:t>para. 7.277.</w:t>
      </w:r>
    </w:p>
    <w:p w14:paraId="51DE8E21" w14:textId="77777777" w:rsidR="0010369C" w:rsidRDefault="008E43AE">
      <w:pPr>
        <w:ind w:left="237" w:right="614" w:firstLine="1"/>
        <w:rPr>
          <w:sz w:val="18"/>
        </w:rPr>
      </w:pPr>
      <w:r>
        <w:rPr>
          <w:sz w:val="18"/>
          <w:vertAlign w:val="superscript"/>
        </w:rPr>
        <w:t>638</w:t>
      </w:r>
      <w:r>
        <w:rPr>
          <w:sz w:val="18"/>
        </w:rPr>
        <w:t xml:space="preserve"> Appellate B</w:t>
      </w:r>
      <w:r>
        <w:rPr>
          <w:sz w:val="18"/>
        </w:rPr>
        <w:t xml:space="preserve">ody Reports, </w:t>
      </w:r>
      <w:r>
        <w:rPr>
          <w:i/>
          <w:sz w:val="18"/>
        </w:rPr>
        <w:t>Korea – Pneumatic Valves</w:t>
      </w:r>
      <w:r>
        <w:rPr>
          <w:sz w:val="18"/>
        </w:rPr>
        <w:t xml:space="preserve">, para. 5.323; </w:t>
      </w:r>
      <w:r>
        <w:rPr>
          <w:i/>
          <w:sz w:val="18"/>
        </w:rPr>
        <w:t>China – GOES</w:t>
      </w:r>
      <w:r>
        <w:rPr>
          <w:sz w:val="18"/>
        </w:rPr>
        <w:t xml:space="preserve">, para. 200. See also Panel Report, </w:t>
      </w:r>
      <w:r>
        <w:rPr>
          <w:i/>
          <w:sz w:val="18"/>
        </w:rPr>
        <w:t>China – X‐Ray Equipment</w:t>
      </w:r>
      <w:r>
        <w:rPr>
          <w:sz w:val="18"/>
        </w:rPr>
        <w:t xml:space="preserve">, para. 7.68; Panel Report, </w:t>
      </w:r>
      <w:r>
        <w:rPr>
          <w:i/>
          <w:sz w:val="18"/>
        </w:rPr>
        <w:t>China – Autos (US)</w:t>
      </w:r>
      <w:r>
        <w:rPr>
          <w:sz w:val="18"/>
        </w:rPr>
        <w:t>, paras. 7.256 and 7.277.</w:t>
      </w:r>
    </w:p>
    <w:p w14:paraId="51DE8E22" w14:textId="77777777" w:rsidR="0010369C" w:rsidRDefault="008E43AE">
      <w:pPr>
        <w:ind w:left="237" w:right="611"/>
        <w:rPr>
          <w:sz w:val="18"/>
        </w:rPr>
      </w:pPr>
      <w:r>
        <w:rPr>
          <w:sz w:val="18"/>
          <w:vertAlign w:val="superscript"/>
        </w:rPr>
        <w:t>639</w:t>
      </w:r>
      <w:r>
        <w:rPr>
          <w:spacing w:val="-3"/>
          <w:sz w:val="18"/>
        </w:rPr>
        <w:t xml:space="preserve"> </w:t>
      </w:r>
      <w:r>
        <w:rPr>
          <w:sz w:val="18"/>
        </w:rPr>
        <w:t>Appellate</w:t>
      </w:r>
      <w:r>
        <w:rPr>
          <w:spacing w:val="-2"/>
          <w:sz w:val="18"/>
        </w:rPr>
        <w:t xml:space="preserve"> </w:t>
      </w:r>
      <w:r>
        <w:rPr>
          <w:sz w:val="18"/>
        </w:rPr>
        <w:t>Body</w:t>
      </w:r>
      <w:r>
        <w:rPr>
          <w:spacing w:val="-6"/>
          <w:sz w:val="18"/>
        </w:rPr>
        <w:t xml:space="preserve"> </w:t>
      </w:r>
      <w:r>
        <w:rPr>
          <w:sz w:val="18"/>
        </w:rPr>
        <w:t>Report,</w:t>
      </w:r>
      <w:r>
        <w:rPr>
          <w:spacing w:val="-4"/>
          <w:sz w:val="18"/>
        </w:rPr>
        <w:t xml:space="preserve"> </w:t>
      </w:r>
      <w:r>
        <w:rPr>
          <w:i/>
          <w:sz w:val="18"/>
        </w:rPr>
        <w:t>China</w:t>
      </w:r>
      <w:r>
        <w:rPr>
          <w:i/>
          <w:spacing w:val="-3"/>
          <w:sz w:val="18"/>
        </w:rPr>
        <w:t xml:space="preserve"> </w:t>
      </w:r>
      <w:r>
        <w:rPr>
          <w:i/>
          <w:sz w:val="18"/>
        </w:rPr>
        <w:t>–</w:t>
      </w:r>
      <w:r>
        <w:rPr>
          <w:i/>
          <w:spacing w:val="-5"/>
          <w:sz w:val="18"/>
        </w:rPr>
        <w:t xml:space="preserve"> </w:t>
      </w:r>
      <w:r>
        <w:rPr>
          <w:i/>
          <w:sz w:val="18"/>
        </w:rPr>
        <w:t>GOES</w:t>
      </w:r>
      <w:r>
        <w:rPr>
          <w:sz w:val="18"/>
        </w:rPr>
        <w:t>,</w:t>
      </w:r>
      <w:r>
        <w:rPr>
          <w:spacing w:val="-4"/>
          <w:sz w:val="18"/>
        </w:rPr>
        <w:t xml:space="preserve"> </w:t>
      </w:r>
      <w:r>
        <w:rPr>
          <w:sz w:val="18"/>
        </w:rPr>
        <w:t>para.</w:t>
      </w:r>
      <w:r>
        <w:rPr>
          <w:spacing w:val="-3"/>
          <w:sz w:val="18"/>
        </w:rPr>
        <w:t xml:space="preserve"> </w:t>
      </w:r>
      <w:r>
        <w:rPr>
          <w:sz w:val="18"/>
        </w:rPr>
        <w:t>200.</w:t>
      </w:r>
      <w:r>
        <w:rPr>
          <w:spacing w:val="-5"/>
          <w:sz w:val="18"/>
        </w:rPr>
        <w:t xml:space="preserve"> </w:t>
      </w:r>
      <w:r>
        <w:rPr>
          <w:sz w:val="18"/>
        </w:rPr>
        <w:t>See</w:t>
      </w:r>
      <w:r>
        <w:rPr>
          <w:spacing w:val="-4"/>
          <w:sz w:val="18"/>
        </w:rPr>
        <w:t xml:space="preserve"> </w:t>
      </w:r>
      <w:r>
        <w:rPr>
          <w:sz w:val="18"/>
        </w:rPr>
        <w:t>also</w:t>
      </w:r>
      <w:r>
        <w:rPr>
          <w:spacing w:val="-5"/>
          <w:sz w:val="18"/>
        </w:rPr>
        <w:t xml:space="preserve"> </w:t>
      </w:r>
      <w:r>
        <w:rPr>
          <w:sz w:val="18"/>
        </w:rPr>
        <w:t>Appellate</w:t>
      </w:r>
      <w:r>
        <w:rPr>
          <w:spacing w:val="-3"/>
          <w:sz w:val="18"/>
        </w:rPr>
        <w:t xml:space="preserve"> </w:t>
      </w:r>
      <w:r>
        <w:rPr>
          <w:sz w:val="18"/>
        </w:rPr>
        <w:t>Body</w:t>
      </w:r>
      <w:r>
        <w:rPr>
          <w:spacing w:val="-5"/>
          <w:sz w:val="18"/>
        </w:rPr>
        <w:t xml:space="preserve"> </w:t>
      </w:r>
      <w:r>
        <w:rPr>
          <w:sz w:val="18"/>
        </w:rPr>
        <w:t>Report,</w:t>
      </w:r>
      <w:r>
        <w:rPr>
          <w:spacing w:val="-4"/>
          <w:sz w:val="18"/>
        </w:rPr>
        <w:t xml:space="preserve"> </w:t>
      </w:r>
      <w:r>
        <w:rPr>
          <w:i/>
          <w:sz w:val="18"/>
        </w:rPr>
        <w:t>Korea</w:t>
      </w:r>
      <w:r>
        <w:rPr>
          <w:i/>
          <w:spacing w:val="-4"/>
          <w:sz w:val="18"/>
        </w:rPr>
        <w:t xml:space="preserve"> </w:t>
      </w:r>
      <w:r>
        <w:rPr>
          <w:i/>
          <w:sz w:val="18"/>
        </w:rPr>
        <w:t>–</w:t>
      </w:r>
      <w:r>
        <w:rPr>
          <w:i/>
          <w:spacing w:val="-5"/>
          <w:sz w:val="18"/>
        </w:rPr>
        <w:t xml:space="preserve"> </w:t>
      </w:r>
      <w:r>
        <w:rPr>
          <w:i/>
          <w:sz w:val="18"/>
        </w:rPr>
        <w:t>Pneumatic</w:t>
      </w:r>
      <w:r>
        <w:rPr>
          <w:i/>
          <w:spacing w:val="-5"/>
          <w:sz w:val="18"/>
        </w:rPr>
        <w:t xml:space="preserve"> </w:t>
      </w:r>
      <w:r>
        <w:rPr>
          <w:i/>
          <w:sz w:val="18"/>
        </w:rPr>
        <w:t>Valves</w:t>
      </w:r>
      <w:r>
        <w:rPr>
          <w:i/>
          <w:spacing w:val="-4"/>
          <w:sz w:val="18"/>
        </w:rPr>
        <w:t xml:space="preserve"> </w:t>
      </w:r>
      <w:r>
        <w:rPr>
          <w:i/>
          <w:sz w:val="18"/>
        </w:rPr>
        <w:t>(Japan)</w:t>
      </w:r>
      <w:r>
        <w:rPr>
          <w:sz w:val="18"/>
        </w:rPr>
        <w:t>,</w:t>
      </w:r>
      <w:r>
        <w:rPr>
          <w:spacing w:val="-4"/>
          <w:sz w:val="18"/>
        </w:rPr>
        <w:t xml:space="preserve"> </w:t>
      </w:r>
      <w:r>
        <w:rPr>
          <w:sz w:val="18"/>
        </w:rPr>
        <w:t>para. 5.234("…</w:t>
      </w:r>
      <w:r>
        <w:rPr>
          <w:spacing w:val="-4"/>
          <w:sz w:val="18"/>
        </w:rPr>
        <w:t xml:space="preserve"> </w:t>
      </w:r>
      <w:r>
        <w:rPr>
          <w:sz w:val="18"/>
        </w:rPr>
        <w:t>'a</w:t>
      </w:r>
      <w:r>
        <w:rPr>
          <w:spacing w:val="-3"/>
          <w:sz w:val="18"/>
        </w:rPr>
        <w:t xml:space="preserve"> </w:t>
      </w:r>
      <w:r>
        <w:rPr>
          <w:sz w:val="18"/>
        </w:rPr>
        <w:t>failure</w:t>
      </w:r>
      <w:r>
        <w:rPr>
          <w:spacing w:val="-3"/>
          <w:sz w:val="18"/>
        </w:rPr>
        <w:t xml:space="preserve"> </w:t>
      </w:r>
      <w:r>
        <w:rPr>
          <w:sz w:val="18"/>
        </w:rPr>
        <w:t>to</w:t>
      </w:r>
      <w:r>
        <w:rPr>
          <w:spacing w:val="-4"/>
          <w:sz w:val="18"/>
        </w:rPr>
        <w:t xml:space="preserve"> </w:t>
      </w:r>
      <w:r>
        <w:rPr>
          <w:sz w:val="18"/>
        </w:rPr>
        <w:t>ensure</w:t>
      </w:r>
      <w:r>
        <w:rPr>
          <w:spacing w:val="-4"/>
          <w:sz w:val="18"/>
        </w:rPr>
        <w:t xml:space="preserve"> </w:t>
      </w:r>
      <w:r>
        <w:rPr>
          <w:sz w:val="18"/>
        </w:rPr>
        <w:t>price</w:t>
      </w:r>
      <w:r>
        <w:rPr>
          <w:spacing w:val="-3"/>
          <w:sz w:val="18"/>
        </w:rPr>
        <w:t xml:space="preserve"> </w:t>
      </w:r>
      <w:r>
        <w:rPr>
          <w:sz w:val="18"/>
        </w:rPr>
        <w:t>comparability'</w:t>
      </w:r>
      <w:r>
        <w:rPr>
          <w:spacing w:val="-3"/>
          <w:sz w:val="18"/>
        </w:rPr>
        <w:t xml:space="preserve"> </w:t>
      </w:r>
      <w:r>
        <w:rPr>
          <w:sz w:val="18"/>
        </w:rPr>
        <w:t>cannot</w:t>
      </w:r>
      <w:r>
        <w:rPr>
          <w:spacing w:val="-4"/>
          <w:sz w:val="18"/>
        </w:rPr>
        <w:t xml:space="preserve"> </w:t>
      </w:r>
      <w:r>
        <w:rPr>
          <w:sz w:val="18"/>
        </w:rPr>
        <w:t>be</w:t>
      </w:r>
      <w:r>
        <w:rPr>
          <w:spacing w:val="-3"/>
          <w:sz w:val="18"/>
        </w:rPr>
        <w:t xml:space="preserve"> </w:t>
      </w:r>
      <w:r>
        <w:rPr>
          <w:sz w:val="18"/>
        </w:rPr>
        <w:t>considered</w:t>
      </w:r>
      <w:r>
        <w:rPr>
          <w:spacing w:val="-4"/>
          <w:sz w:val="18"/>
        </w:rPr>
        <w:t xml:space="preserve"> </w:t>
      </w:r>
      <w:r>
        <w:rPr>
          <w:sz w:val="18"/>
        </w:rPr>
        <w:t>to</w:t>
      </w:r>
      <w:r>
        <w:rPr>
          <w:spacing w:val="-4"/>
          <w:sz w:val="18"/>
        </w:rPr>
        <w:t xml:space="preserve"> </w:t>
      </w:r>
      <w:r>
        <w:rPr>
          <w:sz w:val="18"/>
        </w:rPr>
        <w:t>be</w:t>
      </w:r>
      <w:r>
        <w:rPr>
          <w:spacing w:val="-4"/>
          <w:sz w:val="18"/>
        </w:rPr>
        <w:t xml:space="preserve"> </w:t>
      </w:r>
      <w:r>
        <w:rPr>
          <w:sz w:val="18"/>
        </w:rPr>
        <w:t>consistent</w:t>
      </w:r>
      <w:r>
        <w:rPr>
          <w:spacing w:val="-3"/>
          <w:sz w:val="18"/>
        </w:rPr>
        <w:t xml:space="preserve"> </w:t>
      </w:r>
      <w:r>
        <w:rPr>
          <w:sz w:val="18"/>
        </w:rPr>
        <w:t>with</w:t>
      </w:r>
      <w:r>
        <w:rPr>
          <w:spacing w:val="-4"/>
          <w:sz w:val="18"/>
        </w:rPr>
        <w:t xml:space="preserve"> </w:t>
      </w:r>
      <w:r>
        <w:rPr>
          <w:sz w:val="18"/>
        </w:rPr>
        <w:t>the</w:t>
      </w:r>
      <w:r>
        <w:rPr>
          <w:spacing w:val="-3"/>
          <w:sz w:val="18"/>
        </w:rPr>
        <w:t xml:space="preserve"> </w:t>
      </w:r>
      <w:r>
        <w:rPr>
          <w:sz w:val="18"/>
        </w:rPr>
        <w:t>requirement</w:t>
      </w:r>
      <w:r>
        <w:rPr>
          <w:spacing w:val="-5"/>
          <w:sz w:val="18"/>
        </w:rPr>
        <w:t xml:space="preserve"> </w:t>
      </w:r>
      <w:r>
        <w:rPr>
          <w:sz w:val="18"/>
        </w:rPr>
        <w:t>under</w:t>
      </w:r>
      <w:r>
        <w:rPr>
          <w:spacing w:val="-4"/>
          <w:sz w:val="18"/>
        </w:rPr>
        <w:t xml:space="preserve"> </w:t>
      </w:r>
      <w:r>
        <w:rPr>
          <w:spacing w:val="-2"/>
          <w:sz w:val="18"/>
        </w:rPr>
        <w:t>Article</w:t>
      </w:r>
    </w:p>
    <w:p w14:paraId="51DE8E23" w14:textId="77777777" w:rsidR="0010369C" w:rsidRDefault="008E43AE">
      <w:pPr>
        <w:pStyle w:val="ListParagraph"/>
        <w:numPr>
          <w:ilvl w:val="1"/>
          <w:numId w:val="58"/>
        </w:numPr>
        <w:tabs>
          <w:tab w:val="left" w:pos="510"/>
        </w:tabs>
        <w:spacing w:before="0"/>
        <w:ind w:right="613" w:firstLine="1"/>
        <w:jc w:val="both"/>
        <w:rPr>
          <w:sz w:val="18"/>
        </w:rPr>
      </w:pPr>
      <w:r>
        <w:rPr>
          <w:sz w:val="18"/>
        </w:rPr>
        <w:t>that 'a</w:t>
      </w:r>
      <w:r>
        <w:rPr>
          <w:spacing w:val="-1"/>
          <w:sz w:val="18"/>
        </w:rPr>
        <w:t xml:space="preserve"> </w:t>
      </w:r>
      <w:r>
        <w:rPr>
          <w:sz w:val="18"/>
        </w:rPr>
        <w:t>determination of injury be</w:t>
      </w:r>
      <w:r>
        <w:rPr>
          <w:spacing w:val="-1"/>
          <w:sz w:val="18"/>
        </w:rPr>
        <w:t xml:space="preserve"> </w:t>
      </w:r>
      <w:r>
        <w:rPr>
          <w:sz w:val="18"/>
        </w:rPr>
        <w:t>based on</w:t>
      </w:r>
      <w:r>
        <w:rPr>
          <w:spacing w:val="-1"/>
          <w:sz w:val="18"/>
        </w:rPr>
        <w:t xml:space="preserve"> </w:t>
      </w:r>
      <w:r>
        <w:rPr>
          <w:sz w:val="18"/>
        </w:rPr>
        <w:t>"positive evidence"</w:t>
      </w:r>
      <w:r>
        <w:rPr>
          <w:spacing w:val="-1"/>
          <w:sz w:val="18"/>
        </w:rPr>
        <w:t xml:space="preserve"> </w:t>
      </w:r>
      <w:r>
        <w:rPr>
          <w:sz w:val="18"/>
        </w:rPr>
        <w:t>and</w:t>
      </w:r>
      <w:r>
        <w:rPr>
          <w:spacing w:val="-1"/>
          <w:sz w:val="18"/>
        </w:rPr>
        <w:t xml:space="preserve"> </w:t>
      </w:r>
      <w:r>
        <w:rPr>
          <w:sz w:val="18"/>
        </w:rPr>
        <w:t>involve an "objective examination"</w:t>
      </w:r>
      <w:r>
        <w:rPr>
          <w:spacing w:val="-1"/>
          <w:sz w:val="18"/>
        </w:rPr>
        <w:t xml:space="preserve"> </w:t>
      </w:r>
      <w:r>
        <w:rPr>
          <w:sz w:val="18"/>
        </w:rPr>
        <w:t xml:space="preserve">of, </w:t>
      </w:r>
      <w:r>
        <w:rPr>
          <w:i/>
          <w:sz w:val="18"/>
        </w:rPr>
        <w:t>inter alia</w:t>
      </w:r>
      <w:r>
        <w:rPr>
          <w:sz w:val="18"/>
        </w:rPr>
        <w:t>, the effect of</w:t>
      </w:r>
      <w:r>
        <w:rPr>
          <w:spacing w:val="-1"/>
          <w:sz w:val="18"/>
        </w:rPr>
        <w:t xml:space="preserve"> </w:t>
      </w:r>
      <w:r>
        <w:rPr>
          <w:sz w:val="18"/>
        </w:rPr>
        <w:t>subject imports on the</w:t>
      </w:r>
      <w:r>
        <w:rPr>
          <w:spacing w:val="-2"/>
          <w:sz w:val="18"/>
        </w:rPr>
        <w:t xml:space="preserve"> </w:t>
      </w:r>
      <w:r>
        <w:rPr>
          <w:sz w:val="18"/>
        </w:rPr>
        <w:t>prices of domestic like products'. Accordingly,</w:t>
      </w:r>
      <w:r>
        <w:rPr>
          <w:spacing w:val="-1"/>
          <w:sz w:val="18"/>
        </w:rPr>
        <w:t xml:space="preserve"> </w:t>
      </w:r>
      <w:r>
        <w:rPr>
          <w:sz w:val="18"/>
        </w:rPr>
        <w:t>to the extent</w:t>
      </w:r>
      <w:r>
        <w:rPr>
          <w:spacing w:val="-2"/>
          <w:sz w:val="18"/>
        </w:rPr>
        <w:t xml:space="preserve"> </w:t>
      </w:r>
      <w:r>
        <w:rPr>
          <w:sz w:val="18"/>
        </w:rPr>
        <w:t>an investigating authority relies on price comparisons in its consideration of pri</w:t>
      </w:r>
      <w:r>
        <w:rPr>
          <w:sz w:val="18"/>
        </w:rPr>
        <w:t>ce effects of subject imports, price comparability needs to be ensured. Thus, where an investigating authority fails to ensure price comparability in price comparisons between dumped imports and the domestic</w:t>
      </w:r>
      <w:r>
        <w:rPr>
          <w:spacing w:val="-1"/>
          <w:sz w:val="18"/>
        </w:rPr>
        <w:t xml:space="preserve"> </w:t>
      </w:r>
      <w:r>
        <w:rPr>
          <w:sz w:val="18"/>
        </w:rPr>
        <w:t>like</w:t>
      </w:r>
      <w:r>
        <w:rPr>
          <w:spacing w:val="-1"/>
          <w:sz w:val="18"/>
        </w:rPr>
        <w:t xml:space="preserve"> </w:t>
      </w:r>
      <w:r>
        <w:rPr>
          <w:sz w:val="18"/>
        </w:rPr>
        <w:t>product,</w:t>
      </w:r>
      <w:r>
        <w:rPr>
          <w:spacing w:val="-1"/>
          <w:sz w:val="18"/>
        </w:rPr>
        <w:t xml:space="preserve"> </w:t>
      </w:r>
      <w:r>
        <w:rPr>
          <w:sz w:val="18"/>
        </w:rPr>
        <w:t>this</w:t>
      </w:r>
      <w:r>
        <w:rPr>
          <w:spacing w:val="-1"/>
          <w:sz w:val="18"/>
        </w:rPr>
        <w:t xml:space="preserve"> </w:t>
      </w:r>
      <w:r>
        <w:rPr>
          <w:sz w:val="18"/>
        </w:rPr>
        <w:t>undermines its</w:t>
      </w:r>
      <w:r>
        <w:rPr>
          <w:spacing w:val="-1"/>
          <w:sz w:val="18"/>
        </w:rPr>
        <w:t xml:space="preserve"> </w:t>
      </w:r>
      <w:r>
        <w:rPr>
          <w:sz w:val="18"/>
        </w:rPr>
        <w:t>findings</w:t>
      </w:r>
      <w:r>
        <w:rPr>
          <w:spacing w:val="-1"/>
          <w:sz w:val="18"/>
        </w:rPr>
        <w:t xml:space="preserve"> </w:t>
      </w:r>
      <w:r>
        <w:rPr>
          <w:sz w:val="18"/>
        </w:rPr>
        <w:t>of</w:t>
      </w:r>
      <w:r>
        <w:rPr>
          <w:spacing w:val="-1"/>
          <w:sz w:val="18"/>
        </w:rPr>
        <w:t xml:space="preserve"> </w:t>
      </w:r>
      <w:r>
        <w:rPr>
          <w:sz w:val="18"/>
        </w:rPr>
        <w:t>pr</w:t>
      </w:r>
      <w:r>
        <w:rPr>
          <w:sz w:val="18"/>
        </w:rPr>
        <w:t>ice effects</w:t>
      </w:r>
      <w:r>
        <w:rPr>
          <w:spacing w:val="-1"/>
          <w:sz w:val="18"/>
        </w:rPr>
        <w:t xml:space="preserve"> </w:t>
      </w:r>
      <w:r>
        <w:rPr>
          <w:sz w:val="18"/>
        </w:rPr>
        <w:t>under</w:t>
      </w:r>
      <w:r>
        <w:rPr>
          <w:spacing w:val="-2"/>
          <w:sz w:val="18"/>
        </w:rPr>
        <w:t xml:space="preserve"> </w:t>
      </w:r>
      <w:r>
        <w:rPr>
          <w:sz w:val="18"/>
        </w:rPr>
        <w:t>Article</w:t>
      </w:r>
      <w:r>
        <w:rPr>
          <w:spacing w:val="-1"/>
          <w:sz w:val="18"/>
        </w:rPr>
        <w:t xml:space="preserve"> </w:t>
      </w:r>
      <w:r>
        <w:rPr>
          <w:sz w:val="18"/>
        </w:rPr>
        <w:t>3.2,</w:t>
      </w:r>
      <w:r>
        <w:rPr>
          <w:spacing w:val="-2"/>
          <w:sz w:val="18"/>
        </w:rPr>
        <w:t xml:space="preserve"> </w:t>
      </w:r>
      <w:r>
        <w:rPr>
          <w:sz w:val="18"/>
        </w:rPr>
        <w:t>to</w:t>
      </w:r>
      <w:r>
        <w:rPr>
          <w:spacing w:val="-1"/>
          <w:sz w:val="18"/>
        </w:rPr>
        <w:t xml:space="preserve"> </w:t>
      </w:r>
      <w:r>
        <w:rPr>
          <w:sz w:val="18"/>
        </w:rPr>
        <w:t>the</w:t>
      </w:r>
      <w:r>
        <w:rPr>
          <w:spacing w:val="-1"/>
          <w:sz w:val="18"/>
        </w:rPr>
        <w:t xml:space="preserve"> </w:t>
      </w:r>
      <w:r>
        <w:rPr>
          <w:sz w:val="18"/>
        </w:rPr>
        <w:t>extent</w:t>
      </w:r>
      <w:r>
        <w:rPr>
          <w:spacing w:val="-3"/>
          <w:sz w:val="18"/>
        </w:rPr>
        <w:t xml:space="preserve"> </w:t>
      </w:r>
      <w:r>
        <w:rPr>
          <w:sz w:val="18"/>
        </w:rPr>
        <w:t>that</w:t>
      </w:r>
      <w:r>
        <w:rPr>
          <w:spacing w:val="-2"/>
          <w:sz w:val="18"/>
        </w:rPr>
        <w:t xml:space="preserve"> </w:t>
      </w:r>
      <w:r>
        <w:rPr>
          <w:sz w:val="18"/>
        </w:rPr>
        <w:t>it</w:t>
      </w:r>
      <w:r>
        <w:rPr>
          <w:spacing w:val="-1"/>
          <w:sz w:val="18"/>
        </w:rPr>
        <w:t xml:space="preserve"> </w:t>
      </w:r>
      <w:r>
        <w:rPr>
          <w:sz w:val="18"/>
        </w:rPr>
        <w:t>relies</w:t>
      </w:r>
      <w:r>
        <w:rPr>
          <w:spacing w:val="-1"/>
          <w:sz w:val="18"/>
        </w:rPr>
        <w:t xml:space="preserve"> </w:t>
      </w:r>
      <w:r>
        <w:rPr>
          <w:sz w:val="18"/>
        </w:rPr>
        <w:t>on</w:t>
      </w:r>
      <w:r>
        <w:rPr>
          <w:spacing w:val="-1"/>
          <w:sz w:val="18"/>
        </w:rPr>
        <w:t xml:space="preserve"> </w:t>
      </w:r>
      <w:r>
        <w:rPr>
          <w:sz w:val="18"/>
        </w:rPr>
        <w:t>such</w:t>
      </w:r>
      <w:r>
        <w:rPr>
          <w:spacing w:val="-1"/>
          <w:sz w:val="18"/>
        </w:rPr>
        <w:t xml:space="preserve"> </w:t>
      </w:r>
      <w:r>
        <w:rPr>
          <w:sz w:val="18"/>
        </w:rPr>
        <w:t xml:space="preserve">price comparisons"); Panel Report, </w:t>
      </w:r>
      <w:r>
        <w:rPr>
          <w:i/>
          <w:sz w:val="18"/>
        </w:rPr>
        <w:t>China – X‐Ray Equipment</w:t>
      </w:r>
      <w:r>
        <w:rPr>
          <w:sz w:val="18"/>
        </w:rPr>
        <w:t>, paras. 7.50 and 7.68, "[i]f two products being analysed in an undercutting analysis are not comparable, for example in the sense</w:t>
      </w:r>
      <w:r>
        <w:rPr>
          <w:sz w:val="18"/>
        </w:rPr>
        <w:t xml:space="preserve"> that they </w:t>
      </w:r>
      <w:r>
        <w:rPr>
          <w:i/>
          <w:sz w:val="18"/>
        </w:rPr>
        <w:t xml:space="preserve">do not compete </w:t>
      </w:r>
      <w:r>
        <w:rPr>
          <w:sz w:val="18"/>
        </w:rPr>
        <w:t>with each other, it is difficult to conceive how the outcome of such an analysis could be relevant to the causation question … (emphasis original).</w:t>
      </w:r>
    </w:p>
    <w:p w14:paraId="51DE8E24" w14:textId="77777777" w:rsidR="0010369C" w:rsidRDefault="0010369C">
      <w:pPr>
        <w:jc w:val="both"/>
        <w:rPr>
          <w:sz w:val="18"/>
        </w:rPr>
        <w:sectPr w:rsidR="0010369C">
          <w:pgSz w:w="11910" w:h="16840"/>
          <w:pgMar w:top="880" w:right="800" w:bottom="980" w:left="1180" w:header="569" w:footer="788" w:gutter="0"/>
          <w:cols w:space="720"/>
        </w:sectPr>
      </w:pPr>
    </w:p>
    <w:p w14:paraId="51DE8E25" w14:textId="77777777" w:rsidR="0010369C" w:rsidRDefault="0010369C">
      <w:pPr>
        <w:pStyle w:val="BodyText"/>
        <w:spacing w:before="2"/>
        <w:rPr>
          <w:sz w:val="15"/>
        </w:rPr>
      </w:pPr>
    </w:p>
    <w:p w14:paraId="51DE8E26" w14:textId="77777777" w:rsidR="0010369C" w:rsidRDefault="008E43AE">
      <w:pPr>
        <w:tabs>
          <w:tab w:val="left" w:pos="8228"/>
        </w:tabs>
        <w:spacing w:before="60"/>
        <w:ind w:left="239"/>
        <w:jc w:val="both"/>
        <w:rPr>
          <w:sz w:val="20"/>
        </w:rPr>
      </w:pPr>
      <w:r>
        <w:rPr>
          <w:i/>
          <w:sz w:val="20"/>
        </w:rPr>
        <w:t>on</w:t>
      </w:r>
      <w:r>
        <w:rPr>
          <w:i/>
          <w:spacing w:val="-1"/>
          <w:sz w:val="20"/>
        </w:rPr>
        <w:t xml:space="preserve"> </w:t>
      </w:r>
      <w:r>
        <w:rPr>
          <w:i/>
          <w:sz w:val="20"/>
        </w:rPr>
        <w:t>Wine</w:t>
      </w:r>
      <w:r>
        <w:rPr>
          <w:i/>
          <w:spacing w:val="-1"/>
          <w:sz w:val="20"/>
        </w:rPr>
        <w:t xml:space="preserve"> </w:t>
      </w:r>
      <w:r>
        <w:rPr>
          <w:i/>
          <w:sz w:val="20"/>
        </w:rPr>
        <w:t>from</w:t>
      </w:r>
      <w:r>
        <w:rPr>
          <w:i/>
          <w:spacing w:val="-3"/>
          <w:sz w:val="20"/>
        </w:rPr>
        <w:t xml:space="preserve"> </w:t>
      </w:r>
      <w:r>
        <w:rPr>
          <w:i/>
          <w:sz w:val="20"/>
        </w:rPr>
        <w:t>Australia</w:t>
      </w:r>
      <w:r>
        <w:rPr>
          <w:i/>
          <w:spacing w:val="-1"/>
          <w:sz w:val="20"/>
        </w:rPr>
        <w:t xml:space="preserve"> </w:t>
      </w:r>
      <w:r>
        <w:rPr>
          <w:spacing w:val="-2"/>
          <w:sz w:val="20"/>
        </w:rPr>
        <w:t>(DS602)</w:t>
      </w:r>
      <w:r>
        <w:rPr>
          <w:sz w:val="20"/>
        </w:rPr>
        <w:tab/>
        <w:t>29</w:t>
      </w:r>
      <w:r>
        <w:rPr>
          <w:spacing w:val="-1"/>
          <w:sz w:val="20"/>
        </w:rPr>
        <w:t xml:space="preserve"> </w:t>
      </w:r>
      <w:r>
        <w:rPr>
          <w:sz w:val="20"/>
        </w:rPr>
        <w:t>April</w:t>
      </w:r>
      <w:r>
        <w:rPr>
          <w:spacing w:val="-2"/>
          <w:sz w:val="20"/>
        </w:rPr>
        <w:t xml:space="preserve"> </w:t>
      </w:r>
      <w:r>
        <w:rPr>
          <w:spacing w:val="-4"/>
          <w:sz w:val="20"/>
        </w:rPr>
        <w:t>2022</w:t>
      </w:r>
    </w:p>
    <w:p w14:paraId="51DE8E27" w14:textId="77777777" w:rsidR="0010369C" w:rsidRDefault="008E43AE">
      <w:pPr>
        <w:pStyle w:val="BodyText"/>
        <w:spacing w:before="34" w:line="360" w:lineRule="auto"/>
        <w:ind w:left="237" w:right="612" w:firstLine="1"/>
        <w:jc w:val="both"/>
      </w:pPr>
      <w:r>
        <w:t>subject imports on the prices of domestic like products. First, MOFCOM failed to account for the price differences between the basket of subject imports and the basket of like domestic products arising from differences in the mix of product categories in e</w:t>
      </w:r>
      <w:r>
        <w:t>ach basket and the different market segments served by those product categories at considerably different prices.</w:t>
      </w:r>
      <w:r>
        <w:rPr>
          <w:spacing w:val="-14"/>
        </w:rPr>
        <w:t xml:space="preserve"> </w:t>
      </w:r>
      <w:r>
        <w:t>Second,</w:t>
      </w:r>
      <w:r>
        <w:rPr>
          <w:spacing w:val="-13"/>
        </w:rPr>
        <w:t xml:space="preserve"> </w:t>
      </w:r>
      <w:r>
        <w:t>MOFCOM</w:t>
      </w:r>
      <w:r>
        <w:rPr>
          <w:spacing w:val="-13"/>
        </w:rPr>
        <w:t xml:space="preserve"> </w:t>
      </w:r>
      <w:r>
        <w:t>relied</w:t>
      </w:r>
      <w:r>
        <w:rPr>
          <w:spacing w:val="-14"/>
        </w:rPr>
        <w:t xml:space="preserve"> </w:t>
      </w:r>
      <w:r>
        <w:t>on</w:t>
      </w:r>
      <w:r>
        <w:rPr>
          <w:spacing w:val="-14"/>
        </w:rPr>
        <w:t xml:space="preserve"> </w:t>
      </w:r>
      <w:r>
        <w:t>average</w:t>
      </w:r>
      <w:r>
        <w:rPr>
          <w:spacing w:val="-12"/>
        </w:rPr>
        <w:t xml:space="preserve"> </w:t>
      </w:r>
      <w:r>
        <w:t>prices</w:t>
      </w:r>
      <w:r>
        <w:rPr>
          <w:spacing w:val="-14"/>
        </w:rPr>
        <w:t xml:space="preserve"> </w:t>
      </w:r>
      <w:r>
        <w:t>that</w:t>
      </w:r>
      <w:r>
        <w:rPr>
          <w:spacing w:val="-13"/>
        </w:rPr>
        <w:t xml:space="preserve"> </w:t>
      </w:r>
      <w:r>
        <w:t>encompassed</w:t>
      </w:r>
      <w:r>
        <w:rPr>
          <w:spacing w:val="-14"/>
        </w:rPr>
        <w:t xml:space="preserve"> </w:t>
      </w:r>
      <w:r>
        <w:t>pricing</w:t>
      </w:r>
      <w:r>
        <w:rPr>
          <w:spacing w:val="-12"/>
        </w:rPr>
        <w:t xml:space="preserve"> </w:t>
      </w:r>
      <w:r>
        <w:t>at</w:t>
      </w:r>
      <w:r>
        <w:rPr>
          <w:spacing w:val="-14"/>
        </w:rPr>
        <w:t xml:space="preserve"> </w:t>
      </w:r>
      <w:r>
        <w:t>different</w:t>
      </w:r>
      <w:r>
        <w:rPr>
          <w:spacing w:val="-12"/>
        </w:rPr>
        <w:t xml:space="preserve"> </w:t>
      </w:r>
      <w:r>
        <w:t>levels of</w:t>
      </w:r>
      <w:r>
        <w:rPr>
          <w:spacing w:val="-11"/>
        </w:rPr>
        <w:t xml:space="preserve"> </w:t>
      </w:r>
      <w:r>
        <w:t>trade</w:t>
      </w:r>
      <w:r>
        <w:rPr>
          <w:spacing w:val="-11"/>
        </w:rPr>
        <w:t xml:space="preserve"> </w:t>
      </w:r>
      <w:r>
        <w:t>and</w:t>
      </w:r>
      <w:r>
        <w:rPr>
          <w:spacing w:val="-12"/>
        </w:rPr>
        <w:t xml:space="preserve"> </w:t>
      </w:r>
      <w:r>
        <w:t>failed</w:t>
      </w:r>
      <w:r>
        <w:rPr>
          <w:spacing w:val="-11"/>
        </w:rPr>
        <w:t xml:space="preserve"> </w:t>
      </w:r>
      <w:r>
        <w:t>to</w:t>
      </w:r>
      <w:r>
        <w:rPr>
          <w:spacing w:val="-11"/>
        </w:rPr>
        <w:t xml:space="preserve"> </w:t>
      </w:r>
      <w:r>
        <w:t>make</w:t>
      </w:r>
      <w:r>
        <w:rPr>
          <w:spacing w:val="-11"/>
        </w:rPr>
        <w:t xml:space="preserve"> </w:t>
      </w:r>
      <w:r>
        <w:t>any</w:t>
      </w:r>
      <w:r>
        <w:rPr>
          <w:spacing w:val="-10"/>
        </w:rPr>
        <w:t xml:space="preserve"> </w:t>
      </w:r>
      <w:r>
        <w:t>adjustments</w:t>
      </w:r>
      <w:r>
        <w:rPr>
          <w:spacing w:val="-12"/>
        </w:rPr>
        <w:t xml:space="preserve"> </w:t>
      </w:r>
      <w:r>
        <w:t>to</w:t>
      </w:r>
      <w:r>
        <w:rPr>
          <w:spacing w:val="-11"/>
        </w:rPr>
        <w:t xml:space="preserve"> </w:t>
      </w:r>
      <w:r>
        <w:t>account</w:t>
      </w:r>
      <w:r>
        <w:rPr>
          <w:spacing w:val="-11"/>
        </w:rPr>
        <w:t xml:space="preserve"> </w:t>
      </w:r>
      <w:r>
        <w:t>fo</w:t>
      </w:r>
      <w:r>
        <w:t>r</w:t>
      </w:r>
      <w:r>
        <w:rPr>
          <w:spacing w:val="-11"/>
        </w:rPr>
        <w:t xml:space="preserve"> </w:t>
      </w:r>
      <w:r>
        <w:t>these</w:t>
      </w:r>
      <w:r>
        <w:rPr>
          <w:spacing w:val="-11"/>
        </w:rPr>
        <w:t xml:space="preserve"> </w:t>
      </w:r>
      <w:r>
        <w:t>differences.</w:t>
      </w:r>
      <w:r>
        <w:rPr>
          <w:spacing w:val="-12"/>
        </w:rPr>
        <w:t xml:space="preserve"> </w:t>
      </w:r>
      <w:r>
        <w:t>Third,</w:t>
      </w:r>
      <w:r>
        <w:rPr>
          <w:spacing w:val="-12"/>
        </w:rPr>
        <w:t xml:space="preserve"> </w:t>
      </w:r>
      <w:r>
        <w:t>MOFCOM relied on average prices with materially different conditions of sale and failed to make any adjustments to account for these differences. As a consequence, MOFCOM's price effects analysis was inconsistent with China's ob</w:t>
      </w:r>
      <w:r>
        <w:t>ligations under Articles 3.1 and 3.2 of the Anti‐ Dumping Agreement.</w:t>
      </w:r>
    </w:p>
    <w:p w14:paraId="51DE8E28" w14:textId="77777777" w:rsidR="0010369C" w:rsidRDefault="008E43AE">
      <w:pPr>
        <w:pStyle w:val="ListParagraph"/>
        <w:numPr>
          <w:ilvl w:val="2"/>
          <w:numId w:val="58"/>
        </w:numPr>
        <w:tabs>
          <w:tab w:val="left" w:pos="4493"/>
          <w:tab w:val="left" w:pos="4494"/>
        </w:tabs>
        <w:spacing w:before="160" w:line="360" w:lineRule="auto"/>
        <w:ind w:right="612" w:hanging="850"/>
        <w:jc w:val="both"/>
        <w:rPr>
          <w:i/>
          <w:sz w:val="24"/>
        </w:rPr>
      </w:pPr>
      <w:r>
        <w:rPr>
          <w:i/>
          <w:sz w:val="24"/>
        </w:rPr>
        <w:t xml:space="preserve">MOFCOM failed to account for the clear differences in product mix between the basket of subject imports and the basket of domestic like </w:t>
      </w:r>
      <w:r>
        <w:rPr>
          <w:i/>
          <w:spacing w:val="-2"/>
          <w:sz w:val="24"/>
        </w:rPr>
        <w:t>products</w:t>
      </w:r>
    </w:p>
    <w:p w14:paraId="51DE8E29" w14:textId="77777777" w:rsidR="0010369C" w:rsidRDefault="0010369C">
      <w:pPr>
        <w:pStyle w:val="BodyText"/>
        <w:spacing w:before="10"/>
        <w:rPr>
          <w:i/>
          <w:sz w:val="8"/>
        </w:rPr>
      </w:pPr>
    </w:p>
    <w:p w14:paraId="51DE8E2A" w14:textId="77777777" w:rsidR="0010369C" w:rsidRDefault="008E43AE">
      <w:pPr>
        <w:pStyle w:val="BodyText"/>
        <w:spacing w:before="52" w:line="360" w:lineRule="auto"/>
        <w:ind w:left="237" w:right="612" w:firstLine="851"/>
        <w:jc w:val="both"/>
      </w:pPr>
      <w:r>
        <w:rPr>
          <w:noProof/>
        </w:rPr>
        <w:drawing>
          <wp:anchor distT="0" distB="0" distL="0" distR="0" simplePos="0" relativeHeight="251198976" behindDoc="1" locked="0" layoutInCell="1" allowOverlap="1" wp14:anchorId="51DEA46B" wp14:editId="51DEA46C">
            <wp:simplePos x="0" y="0"/>
            <wp:positionH relativeFrom="page">
              <wp:posOffset>902208</wp:posOffset>
            </wp:positionH>
            <wp:positionV relativeFrom="paragraph">
              <wp:posOffset>76785</wp:posOffset>
            </wp:positionV>
            <wp:extent cx="262127" cy="106679"/>
            <wp:effectExtent l="0" t="0" r="0" b="0"/>
            <wp:wrapNone/>
            <wp:docPr id="1125" name="image5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 name="image574.png"/>
                    <pic:cNvPicPr/>
                  </pic:nvPicPr>
                  <pic:blipFill>
                    <a:blip r:embed="rId750" cstate="print"/>
                    <a:stretch>
                      <a:fillRect/>
                    </a:stretch>
                  </pic:blipFill>
                  <pic:spPr>
                    <a:xfrm>
                      <a:off x="0" y="0"/>
                      <a:ext cx="262127" cy="106679"/>
                    </a:xfrm>
                    <a:prstGeom prst="rect">
                      <a:avLst/>
                    </a:prstGeom>
                  </pic:spPr>
                </pic:pic>
              </a:graphicData>
            </a:graphic>
          </wp:anchor>
        </w:drawing>
      </w:r>
      <w:r>
        <w:t>To</w:t>
      </w:r>
      <w:r>
        <w:rPr>
          <w:spacing w:val="-14"/>
        </w:rPr>
        <w:t xml:space="preserve"> </w:t>
      </w:r>
      <w:r>
        <w:t>properly</w:t>
      </w:r>
      <w:r>
        <w:rPr>
          <w:spacing w:val="-14"/>
        </w:rPr>
        <w:t xml:space="preserve"> </w:t>
      </w:r>
      <w:r>
        <w:t>ensure</w:t>
      </w:r>
      <w:r>
        <w:rPr>
          <w:spacing w:val="-12"/>
        </w:rPr>
        <w:t xml:space="preserve"> </w:t>
      </w:r>
      <w:r>
        <w:t>price</w:t>
      </w:r>
      <w:r>
        <w:rPr>
          <w:spacing w:val="-13"/>
        </w:rPr>
        <w:t xml:space="preserve"> </w:t>
      </w:r>
      <w:r>
        <w:t>comparability</w:t>
      </w:r>
      <w:r>
        <w:rPr>
          <w:spacing w:val="-13"/>
        </w:rPr>
        <w:t xml:space="preserve"> </w:t>
      </w:r>
      <w:r>
        <w:t>between</w:t>
      </w:r>
      <w:r>
        <w:rPr>
          <w:spacing w:val="-13"/>
        </w:rPr>
        <w:t xml:space="preserve"> </w:t>
      </w:r>
      <w:r>
        <w:t>the</w:t>
      </w:r>
      <w:r>
        <w:rPr>
          <w:spacing w:val="-13"/>
        </w:rPr>
        <w:t xml:space="preserve"> </w:t>
      </w:r>
      <w:r>
        <w:t>prices</w:t>
      </w:r>
      <w:r>
        <w:rPr>
          <w:spacing w:val="-13"/>
        </w:rPr>
        <w:t xml:space="preserve"> </w:t>
      </w:r>
      <w:r>
        <w:t>of</w:t>
      </w:r>
      <w:r>
        <w:rPr>
          <w:spacing w:val="-14"/>
        </w:rPr>
        <w:t xml:space="preserve"> </w:t>
      </w:r>
      <w:r>
        <w:t>subject</w:t>
      </w:r>
      <w:r>
        <w:rPr>
          <w:spacing w:val="-12"/>
        </w:rPr>
        <w:t xml:space="preserve"> </w:t>
      </w:r>
      <w:r>
        <w:t>imports</w:t>
      </w:r>
      <w:r>
        <w:rPr>
          <w:spacing w:val="-13"/>
        </w:rPr>
        <w:t xml:space="preserve"> </w:t>
      </w:r>
      <w:r>
        <w:t>and</w:t>
      </w:r>
      <w:r>
        <w:rPr>
          <w:spacing w:val="-13"/>
        </w:rPr>
        <w:t xml:space="preserve"> </w:t>
      </w:r>
      <w:r>
        <w:t>the prices of domestic like products, MOFCOM was required to account for the differences in product</w:t>
      </w:r>
      <w:r>
        <w:rPr>
          <w:spacing w:val="-2"/>
        </w:rPr>
        <w:t xml:space="preserve"> </w:t>
      </w:r>
      <w:r>
        <w:t>mix</w:t>
      </w:r>
      <w:r>
        <w:rPr>
          <w:spacing w:val="-3"/>
        </w:rPr>
        <w:t xml:space="preserve"> </w:t>
      </w:r>
      <w:r>
        <w:t>between</w:t>
      </w:r>
      <w:r>
        <w:rPr>
          <w:spacing w:val="-2"/>
        </w:rPr>
        <w:t xml:space="preserve"> </w:t>
      </w:r>
      <w:r>
        <w:t>the</w:t>
      </w:r>
      <w:r>
        <w:rPr>
          <w:spacing w:val="-2"/>
        </w:rPr>
        <w:t xml:space="preserve"> </w:t>
      </w:r>
      <w:r>
        <w:t>basket</w:t>
      </w:r>
      <w:r>
        <w:rPr>
          <w:spacing w:val="-3"/>
        </w:rPr>
        <w:t xml:space="preserve"> </w:t>
      </w:r>
      <w:r>
        <w:t>of</w:t>
      </w:r>
      <w:r>
        <w:rPr>
          <w:spacing w:val="-3"/>
        </w:rPr>
        <w:t xml:space="preserve"> </w:t>
      </w:r>
      <w:r>
        <w:t>subject</w:t>
      </w:r>
      <w:r>
        <w:rPr>
          <w:spacing w:val="-2"/>
        </w:rPr>
        <w:t xml:space="preserve"> </w:t>
      </w:r>
      <w:r>
        <w:t>imports</w:t>
      </w:r>
      <w:r>
        <w:rPr>
          <w:spacing w:val="-3"/>
        </w:rPr>
        <w:t xml:space="preserve"> </w:t>
      </w:r>
      <w:r>
        <w:t>and</w:t>
      </w:r>
      <w:r>
        <w:rPr>
          <w:spacing w:val="-3"/>
        </w:rPr>
        <w:t xml:space="preserve"> </w:t>
      </w:r>
      <w:r>
        <w:t>the</w:t>
      </w:r>
      <w:r>
        <w:rPr>
          <w:spacing w:val="-2"/>
        </w:rPr>
        <w:t xml:space="preserve"> </w:t>
      </w:r>
      <w:r>
        <w:t>basket</w:t>
      </w:r>
      <w:r>
        <w:rPr>
          <w:spacing w:val="-3"/>
        </w:rPr>
        <w:t xml:space="preserve"> </w:t>
      </w:r>
      <w:r>
        <w:t>of</w:t>
      </w:r>
      <w:r>
        <w:rPr>
          <w:spacing w:val="-3"/>
        </w:rPr>
        <w:t xml:space="preserve"> </w:t>
      </w:r>
      <w:r>
        <w:t>like</w:t>
      </w:r>
      <w:r>
        <w:rPr>
          <w:spacing w:val="-2"/>
        </w:rPr>
        <w:t xml:space="preserve"> </w:t>
      </w:r>
      <w:r>
        <w:t>domestic</w:t>
      </w:r>
      <w:r>
        <w:rPr>
          <w:spacing w:val="-2"/>
        </w:rPr>
        <w:t xml:space="preserve"> </w:t>
      </w:r>
      <w:r>
        <w:t>products. MOFCOM was prese</w:t>
      </w:r>
      <w:r>
        <w:t>nted with comprehensive evidence demonstrating that there were significant</w:t>
      </w:r>
      <w:r>
        <w:rPr>
          <w:spacing w:val="-1"/>
        </w:rPr>
        <w:t xml:space="preserve"> </w:t>
      </w:r>
      <w:r>
        <w:t>differences</w:t>
      </w:r>
      <w:r>
        <w:rPr>
          <w:spacing w:val="-1"/>
        </w:rPr>
        <w:t xml:space="preserve"> </w:t>
      </w:r>
      <w:r>
        <w:t>between</w:t>
      </w:r>
      <w:r>
        <w:rPr>
          <w:spacing w:val="-2"/>
        </w:rPr>
        <w:t xml:space="preserve"> </w:t>
      </w:r>
      <w:r>
        <w:t>the</w:t>
      </w:r>
      <w:r>
        <w:rPr>
          <w:spacing w:val="-1"/>
        </w:rPr>
        <w:t xml:space="preserve"> </w:t>
      </w:r>
      <w:r>
        <w:t>basket</w:t>
      </w:r>
      <w:r>
        <w:rPr>
          <w:spacing w:val="-1"/>
        </w:rPr>
        <w:t xml:space="preserve"> </w:t>
      </w:r>
      <w:r>
        <w:t>of</w:t>
      </w:r>
      <w:r>
        <w:rPr>
          <w:spacing w:val="-2"/>
        </w:rPr>
        <w:t xml:space="preserve"> </w:t>
      </w:r>
      <w:r>
        <w:t>subject</w:t>
      </w:r>
      <w:r>
        <w:rPr>
          <w:spacing w:val="-1"/>
        </w:rPr>
        <w:t xml:space="preserve"> </w:t>
      </w:r>
      <w:r>
        <w:t>imports</w:t>
      </w:r>
      <w:r>
        <w:rPr>
          <w:spacing w:val="-2"/>
        </w:rPr>
        <w:t xml:space="preserve"> </w:t>
      </w:r>
      <w:r>
        <w:t>and</w:t>
      </w:r>
      <w:r>
        <w:rPr>
          <w:spacing w:val="-2"/>
        </w:rPr>
        <w:t xml:space="preserve"> </w:t>
      </w:r>
      <w:r>
        <w:t>the</w:t>
      </w:r>
      <w:r>
        <w:rPr>
          <w:spacing w:val="-1"/>
        </w:rPr>
        <w:t xml:space="preserve"> </w:t>
      </w:r>
      <w:r>
        <w:t>basket</w:t>
      </w:r>
      <w:r>
        <w:rPr>
          <w:spacing w:val="-1"/>
        </w:rPr>
        <w:t xml:space="preserve"> </w:t>
      </w:r>
      <w:r>
        <w:t>of</w:t>
      </w:r>
      <w:r>
        <w:rPr>
          <w:spacing w:val="-2"/>
        </w:rPr>
        <w:t xml:space="preserve"> </w:t>
      </w:r>
      <w:r>
        <w:t>like</w:t>
      </w:r>
      <w:r>
        <w:rPr>
          <w:spacing w:val="-2"/>
        </w:rPr>
        <w:t xml:space="preserve"> </w:t>
      </w:r>
      <w:r>
        <w:t>domestic products,</w:t>
      </w:r>
      <w:r>
        <w:rPr>
          <w:spacing w:val="-5"/>
        </w:rPr>
        <w:t xml:space="preserve"> </w:t>
      </w:r>
      <w:r>
        <w:t>including</w:t>
      </w:r>
      <w:r>
        <w:rPr>
          <w:spacing w:val="-5"/>
        </w:rPr>
        <w:t xml:space="preserve"> </w:t>
      </w:r>
      <w:r>
        <w:t>the</w:t>
      </w:r>
      <w:r>
        <w:rPr>
          <w:spacing w:val="-6"/>
        </w:rPr>
        <w:t xml:space="preserve"> </w:t>
      </w:r>
      <w:r>
        <w:t>mix</w:t>
      </w:r>
      <w:r>
        <w:rPr>
          <w:spacing w:val="-6"/>
        </w:rPr>
        <w:t xml:space="preserve"> </w:t>
      </w:r>
      <w:r>
        <w:t>of</w:t>
      </w:r>
      <w:r>
        <w:rPr>
          <w:spacing w:val="-6"/>
        </w:rPr>
        <w:t xml:space="preserve"> </w:t>
      </w:r>
      <w:r>
        <w:t>product</w:t>
      </w:r>
      <w:r>
        <w:rPr>
          <w:spacing w:val="-6"/>
        </w:rPr>
        <w:t xml:space="preserve"> </w:t>
      </w:r>
      <w:r>
        <w:t>types</w:t>
      </w:r>
      <w:r>
        <w:rPr>
          <w:spacing w:val="-7"/>
        </w:rPr>
        <w:t xml:space="preserve"> </w:t>
      </w:r>
      <w:r>
        <w:t>and</w:t>
      </w:r>
      <w:r>
        <w:rPr>
          <w:spacing w:val="-6"/>
        </w:rPr>
        <w:t xml:space="preserve"> </w:t>
      </w:r>
      <w:r>
        <w:t>categories</w:t>
      </w:r>
      <w:r>
        <w:rPr>
          <w:spacing w:val="-8"/>
        </w:rPr>
        <w:t xml:space="preserve"> </w:t>
      </w:r>
      <w:r>
        <w:t>within</w:t>
      </w:r>
      <w:r>
        <w:rPr>
          <w:spacing w:val="-7"/>
        </w:rPr>
        <w:t xml:space="preserve"> </w:t>
      </w:r>
      <w:r>
        <w:t>each</w:t>
      </w:r>
      <w:r>
        <w:rPr>
          <w:spacing w:val="-7"/>
        </w:rPr>
        <w:t xml:space="preserve"> </w:t>
      </w:r>
      <w:r>
        <w:t>basket.</w:t>
      </w:r>
      <w:r>
        <w:rPr>
          <w:spacing w:val="-5"/>
        </w:rPr>
        <w:t xml:space="preserve"> </w:t>
      </w:r>
      <w:r>
        <w:t>This</w:t>
      </w:r>
      <w:r>
        <w:rPr>
          <w:spacing w:val="-6"/>
        </w:rPr>
        <w:t xml:space="preserve"> </w:t>
      </w:r>
      <w:r>
        <w:t>evidence is discussed in detail below. Rather than engaging with this evidence and explaining how it was taken into account, MOFCOM summarily stated, without reference to any supporting evidence, that:</w:t>
      </w:r>
    </w:p>
    <w:p w14:paraId="51DE8E2B" w14:textId="77777777" w:rsidR="0010369C" w:rsidRDefault="008E43AE">
      <w:pPr>
        <w:spacing w:before="162" w:line="276" w:lineRule="auto"/>
        <w:ind w:left="1088" w:right="612"/>
        <w:jc w:val="both"/>
      </w:pPr>
      <w:r>
        <w:t>Since the product under investigation and domestic lik</w:t>
      </w:r>
      <w:r>
        <w:t>e products are sold in the Chinese market, the changes in the prices of high‐end foreign wines will exert a direct influence on the consumers' selection of domestic high‐end or middle‐and‐low end wines. …. Therefore, the</w:t>
      </w:r>
      <w:r>
        <w:rPr>
          <w:spacing w:val="-8"/>
        </w:rPr>
        <w:t xml:space="preserve"> </w:t>
      </w:r>
      <w:r>
        <w:t>Investigating</w:t>
      </w:r>
      <w:r>
        <w:rPr>
          <w:spacing w:val="-9"/>
        </w:rPr>
        <w:t xml:space="preserve"> </w:t>
      </w:r>
      <w:r>
        <w:t>Authority</w:t>
      </w:r>
      <w:r>
        <w:rPr>
          <w:spacing w:val="-7"/>
        </w:rPr>
        <w:t xml:space="preserve"> </w:t>
      </w:r>
      <w:r>
        <w:t>identified</w:t>
      </w:r>
      <w:r>
        <w:rPr>
          <w:spacing w:val="-7"/>
        </w:rPr>
        <w:t xml:space="preserve"> </w:t>
      </w:r>
      <w:r>
        <w:t>that</w:t>
      </w:r>
      <w:r>
        <w:rPr>
          <w:spacing w:val="-9"/>
        </w:rPr>
        <w:t xml:space="preserve"> </w:t>
      </w:r>
      <w:r>
        <w:t>imported</w:t>
      </w:r>
      <w:r>
        <w:rPr>
          <w:spacing w:val="-7"/>
        </w:rPr>
        <w:t xml:space="preserve"> </w:t>
      </w:r>
      <w:r>
        <w:t>wines</w:t>
      </w:r>
      <w:r>
        <w:rPr>
          <w:spacing w:val="-9"/>
        </w:rPr>
        <w:t xml:space="preserve"> </w:t>
      </w:r>
      <w:r>
        <w:t>from</w:t>
      </w:r>
      <w:r>
        <w:rPr>
          <w:spacing w:val="-9"/>
        </w:rPr>
        <w:t xml:space="preserve"> </w:t>
      </w:r>
      <w:r>
        <w:t>Australia</w:t>
      </w:r>
      <w:r>
        <w:rPr>
          <w:spacing w:val="-9"/>
        </w:rPr>
        <w:t xml:space="preserve"> </w:t>
      </w:r>
      <w:r>
        <w:t>fell</w:t>
      </w:r>
      <w:r>
        <w:rPr>
          <w:spacing w:val="-9"/>
        </w:rPr>
        <w:t xml:space="preserve"> </w:t>
      </w:r>
      <w:r>
        <w:t>under</w:t>
      </w:r>
      <w:r>
        <w:rPr>
          <w:spacing w:val="-8"/>
        </w:rPr>
        <w:t xml:space="preserve"> </w:t>
      </w:r>
      <w:r>
        <w:t>the</w:t>
      </w:r>
      <w:r>
        <w:rPr>
          <w:spacing w:val="-8"/>
        </w:rPr>
        <w:t xml:space="preserve"> </w:t>
      </w:r>
      <w:r>
        <w:t>same category despite different specifications and types and competed with domestic like products</w:t>
      </w:r>
      <w:r>
        <w:rPr>
          <w:spacing w:val="-10"/>
        </w:rPr>
        <w:t xml:space="preserve"> </w:t>
      </w:r>
      <w:r>
        <w:t>in</w:t>
      </w:r>
      <w:r>
        <w:rPr>
          <w:spacing w:val="-11"/>
        </w:rPr>
        <w:t xml:space="preserve"> </w:t>
      </w:r>
      <w:r>
        <w:t>the</w:t>
      </w:r>
      <w:r>
        <w:rPr>
          <w:spacing w:val="-11"/>
        </w:rPr>
        <w:t xml:space="preserve"> </w:t>
      </w:r>
      <w:r>
        <w:t>Chinese</w:t>
      </w:r>
      <w:r>
        <w:rPr>
          <w:spacing w:val="-10"/>
        </w:rPr>
        <w:t xml:space="preserve"> </w:t>
      </w:r>
      <w:r>
        <w:t>market,</w:t>
      </w:r>
      <w:r>
        <w:rPr>
          <w:spacing w:val="-11"/>
        </w:rPr>
        <w:t xml:space="preserve"> </w:t>
      </w:r>
      <w:r>
        <w:t>so</w:t>
      </w:r>
      <w:r>
        <w:rPr>
          <w:spacing w:val="-11"/>
        </w:rPr>
        <w:t xml:space="preserve"> </w:t>
      </w:r>
      <w:r>
        <w:t>imported</w:t>
      </w:r>
      <w:r>
        <w:rPr>
          <w:spacing w:val="-10"/>
        </w:rPr>
        <w:t xml:space="preserve"> </w:t>
      </w:r>
      <w:r>
        <w:t>wines</w:t>
      </w:r>
      <w:r>
        <w:rPr>
          <w:spacing w:val="-11"/>
        </w:rPr>
        <w:t xml:space="preserve"> </w:t>
      </w:r>
      <w:r>
        <w:t>from</w:t>
      </w:r>
      <w:r>
        <w:rPr>
          <w:spacing w:val="-11"/>
        </w:rPr>
        <w:t xml:space="preserve"> </w:t>
      </w:r>
      <w:r>
        <w:t>Australia</w:t>
      </w:r>
      <w:r>
        <w:rPr>
          <w:spacing w:val="-11"/>
        </w:rPr>
        <w:t xml:space="preserve"> </w:t>
      </w:r>
      <w:r>
        <w:t>would</w:t>
      </w:r>
      <w:r>
        <w:rPr>
          <w:spacing w:val="-12"/>
        </w:rPr>
        <w:t xml:space="preserve"> </w:t>
      </w:r>
      <w:r>
        <w:t>be</w:t>
      </w:r>
      <w:r>
        <w:rPr>
          <w:spacing w:val="-11"/>
        </w:rPr>
        <w:t xml:space="preserve"> </w:t>
      </w:r>
      <w:r>
        <w:t>seen</w:t>
      </w:r>
      <w:r>
        <w:rPr>
          <w:spacing w:val="-12"/>
        </w:rPr>
        <w:t xml:space="preserve"> </w:t>
      </w:r>
      <w:r>
        <w:t>as</w:t>
      </w:r>
      <w:r>
        <w:rPr>
          <w:spacing w:val="-11"/>
        </w:rPr>
        <w:t xml:space="preserve"> </w:t>
      </w:r>
      <w:r>
        <w:t>the</w:t>
      </w:r>
      <w:r>
        <w:rPr>
          <w:spacing w:val="-11"/>
        </w:rPr>
        <w:t xml:space="preserve"> </w:t>
      </w:r>
      <w:r>
        <w:t>same category</w:t>
      </w:r>
      <w:r>
        <w:rPr>
          <w:spacing w:val="-9"/>
        </w:rPr>
        <w:t xml:space="preserve"> </w:t>
      </w:r>
      <w:r>
        <w:t>of</w:t>
      </w:r>
      <w:r>
        <w:rPr>
          <w:spacing w:val="-8"/>
        </w:rPr>
        <w:t xml:space="preserve"> </w:t>
      </w:r>
      <w:r>
        <w:t>products</w:t>
      </w:r>
      <w:r>
        <w:rPr>
          <w:spacing w:val="-8"/>
        </w:rPr>
        <w:t xml:space="preserve"> </w:t>
      </w:r>
      <w:r>
        <w:t>and</w:t>
      </w:r>
      <w:r>
        <w:rPr>
          <w:spacing w:val="-8"/>
        </w:rPr>
        <w:t xml:space="preserve"> </w:t>
      </w:r>
      <w:r>
        <w:t>compared</w:t>
      </w:r>
      <w:r>
        <w:rPr>
          <w:spacing w:val="-9"/>
        </w:rPr>
        <w:t xml:space="preserve"> </w:t>
      </w:r>
      <w:r>
        <w:t>with</w:t>
      </w:r>
      <w:r>
        <w:rPr>
          <w:spacing w:val="-9"/>
        </w:rPr>
        <w:t xml:space="preserve"> </w:t>
      </w:r>
      <w:r>
        <w:t>domestic</w:t>
      </w:r>
      <w:r>
        <w:rPr>
          <w:spacing w:val="-8"/>
        </w:rPr>
        <w:t xml:space="preserve"> </w:t>
      </w:r>
      <w:r>
        <w:t>like</w:t>
      </w:r>
      <w:r>
        <w:rPr>
          <w:spacing w:val="-9"/>
        </w:rPr>
        <w:t xml:space="preserve"> </w:t>
      </w:r>
      <w:r>
        <w:t>products</w:t>
      </w:r>
      <w:r>
        <w:rPr>
          <w:spacing w:val="-8"/>
        </w:rPr>
        <w:t xml:space="preserve"> </w:t>
      </w:r>
      <w:r>
        <w:t>for</w:t>
      </w:r>
      <w:r>
        <w:rPr>
          <w:spacing w:val="-9"/>
        </w:rPr>
        <w:t xml:space="preserve"> </w:t>
      </w:r>
      <w:r>
        <w:t>identification</w:t>
      </w:r>
      <w:r>
        <w:rPr>
          <w:spacing w:val="-9"/>
        </w:rPr>
        <w:t xml:space="preserve"> </w:t>
      </w:r>
      <w:r>
        <w:t>of</w:t>
      </w:r>
      <w:r>
        <w:rPr>
          <w:spacing w:val="-9"/>
        </w:rPr>
        <w:t xml:space="preserve"> </w:t>
      </w:r>
      <w:r>
        <w:t>material injury and causal link.</w:t>
      </w:r>
      <w:r>
        <w:rPr>
          <w:vertAlign w:val="superscript"/>
        </w:rPr>
        <w:t>640</w:t>
      </w:r>
    </w:p>
    <w:p w14:paraId="51DE8E2C" w14:textId="77777777" w:rsidR="0010369C" w:rsidRDefault="0010369C">
      <w:pPr>
        <w:pStyle w:val="BodyText"/>
        <w:rPr>
          <w:sz w:val="20"/>
        </w:rPr>
      </w:pPr>
    </w:p>
    <w:p w14:paraId="51DE8E2D" w14:textId="77777777" w:rsidR="0010369C" w:rsidRDefault="008E43AE">
      <w:pPr>
        <w:pStyle w:val="BodyText"/>
        <w:rPr>
          <w:sz w:val="27"/>
        </w:rPr>
      </w:pPr>
      <w:r>
        <w:pict w14:anchorId="51DEA46D">
          <v:rect id="docshape1026" o:spid="_x0000_s1348" style="position:absolute;margin-left:70.9pt;margin-top:17.7pt;width:2in;height:.8pt;z-index:-250836480;mso-wrap-distance-left:0;mso-wrap-distance-right:0;mso-position-horizontal-relative:page" fillcolor="black" stroked="f">
            <w10:wrap type="topAndBottom" anchorx="page"/>
          </v:rect>
        </w:pict>
      </w:r>
    </w:p>
    <w:p w14:paraId="51DE8E2E" w14:textId="77777777" w:rsidR="0010369C" w:rsidRDefault="008E43AE">
      <w:pPr>
        <w:spacing w:before="109"/>
        <w:ind w:left="238"/>
        <w:rPr>
          <w:sz w:val="18"/>
        </w:rPr>
      </w:pPr>
      <w:r>
        <w:rPr>
          <w:sz w:val="18"/>
          <w:vertAlign w:val="superscript"/>
        </w:rPr>
        <w:t>640</w:t>
      </w:r>
      <w:r>
        <w:rPr>
          <w:spacing w:val="-9"/>
          <w:sz w:val="18"/>
        </w:rPr>
        <w:t xml:space="preserve"> </w:t>
      </w:r>
      <w:r>
        <w:rPr>
          <w:sz w:val="18"/>
        </w:rPr>
        <w:t>Anti‐Dumping</w:t>
      </w:r>
      <w:r>
        <w:rPr>
          <w:spacing w:val="-9"/>
          <w:sz w:val="18"/>
        </w:rPr>
        <w:t xml:space="preserve"> </w:t>
      </w:r>
      <w:r>
        <w:rPr>
          <w:sz w:val="18"/>
        </w:rPr>
        <w:t>Final</w:t>
      </w:r>
      <w:r>
        <w:rPr>
          <w:spacing w:val="-9"/>
          <w:sz w:val="18"/>
        </w:rPr>
        <w:t xml:space="preserve"> </w:t>
      </w:r>
      <w:r>
        <w:rPr>
          <w:sz w:val="18"/>
        </w:rPr>
        <w:t>Determination</w:t>
      </w:r>
      <w:r>
        <w:rPr>
          <w:spacing w:val="-8"/>
          <w:sz w:val="18"/>
        </w:rPr>
        <w:t xml:space="preserve"> </w:t>
      </w:r>
      <w:r>
        <w:rPr>
          <w:sz w:val="18"/>
        </w:rPr>
        <w:t>(Exhibit</w:t>
      </w:r>
      <w:r>
        <w:rPr>
          <w:spacing w:val="-9"/>
          <w:sz w:val="18"/>
        </w:rPr>
        <w:t xml:space="preserve"> </w:t>
      </w:r>
      <w:r>
        <w:rPr>
          <w:sz w:val="18"/>
        </w:rPr>
        <w:t>AUS‐2),</w:t>
      </w:r>
      <w:r>
        <w:rPr>
          <w:spacing w:val="-10"/>
          <w:sz w:val="18"/>
        </w:rPr>
        <w:t xml:space="preserve"> </w:t>
      </w:r>
      <w:r>
        <w:rPr>
          <w:sz w:val="18"/>
        </w:rPr>
        <w:t>pp.</w:t>
      </w:r>
      <w:r>
        <w:rPr>
          <w:spacing w:val="-9"/>
          <w:sz w:val="18"/>
        </w:rPr>
        <w:t xml:space="preserve"> </w:t>
      </w:r>
      <w:r>
        <w:rPr>
          <w:spacing w:val="-2"/>
          <w:sz w:val="18"/>
        </w:rPr>
        <w:t>105‐106.</w:t>
      </w:r>
    </w:p>
    <w:p w14:paraId="51DE8E2F" w14:textId="77777777" w:rsidR="0010369C" w:rsidRDefault="0010369C">
      <w:pPr>
        <w:rPr>
          <w:sz w:val="18"/>
        </w:rPr>
        <w:sectPr w:rsidR="0010369C">
          <w:pgSz w:w="11910" w:h="16840"/>
          <w:pgMar w:top="880" w:right="800" w:bottom="980" w:left="1180" w:header="569" w:footer="788" w:gutter="0"/>
          <w:cols w:space="720"/>
        </w:sectPr>
      </w:pPr>
    </w:p>
    <w:p w14:paraId="51DE8E30" w14:textId="77777777" w:rsidR="0010369C" w:rsidRDefault="008E43AE">
      <w:pPr>
        <w:tabs>
          <w:tab w:val="left" w:pos="6426"/>
        </w:tabs>
        <w:ind w:left="238"/>
        <w:rPr>
          <w:sz w:val="20"/>
        </w:rPr>
      </w:pPr>
      <w:r>
        <w:rPr>
          <w:i/>
          <w:sz w:val="20"/>
        </w:rPr>
        <w:lastRenderedPageBreak/>
        <w:t>China</w:t>
      </w:r>
      <w:r>
        <w:rPr>
          <w:i/>
          <w:spacing w:val="-5"/>
          <w:sz w:val="20"/>
        </w:rPr>
        <w:t xml:space="preserve"> </w:t>
      </w:r>
      <w:r>
        <w:rPr>
          <w:i/>
          <w:sz w:val="20"/>
        </w:rPr>
        <w:t>–</w:t>
      </w:r>
      <w:r>
        <w:rPr>
          <w:i/>
          <w:spacing w:val="-5"/>
          <w:sz w:val="20"/>
        </w:rPr>
        <w:t xml:space="preserve"> </w:t>
      </w:r>
      <w:r>
        <w:rPr>
          <w:i/>
          <w:sz w:val="20"/>
        </w:rPr>
        <w:t>Anti‐Dumping</w:t>
      </w:r>
      <w:r>
        <w:rPr>
          <w:i/>
          <w:spacing w:val="-4"/>
          <w:sz w:val="20"/>
        </w:rPr>
        <w:t xml:space="preserve"> </w:t>
      </w:r>
      <w:r>
        <w:rPr>
          <w:i/>
          <w:sz w:val="20"/>
        </w:rPr>
        <w:t>and</w:t>
      </w:r>
      <w:r>
        <w:rPr>
          <w:i/>
          <w:spacing w:val="-5"/>
          <w:sz w:val="20"/>
        </w:rPr>
        <w:t xml:space="preserve"> </w:t>
      </w:r>
      <w:r>
        <w:rPr>
          <w:i/>
          <w:sz w:val="20"/>
        </w:rPr>
        <w:t>Countervailing</w:t>
      </w:r>
      <w:r>
        <w:rPr>
          <w:i/>
          <w:spacing w:val="-5"/>
          <w:sz w:val="20"/>
        </w:rPr>
        <w:t xml:space="preserve"> </w:t>
      </w:r>
      <w:r>
        <w:rPr>
          <w:i/>
          <w:sz w:val="20"/>
        </w:rPr>
        <w:t>Duty</w:t>
      </w:r>
      <w:r>
        <w:rPr>
          <w:i/>
          <w:spacing w:val="-4"/>
          <w:sz w:val="20"/>
        </w:rPr>
        <w:t xml:space="preserve"> </w:t>
      </w:r>
      <w:r>
        <w:rPr>
          <w:i/>
          <w:spacing w:val="-2"/>
          <w:sz w:val="20"/>
        </w:rPr>
        <w:t>Measures</w:t>
      </w:r>
      <w:r>
        <w:rPr>
          <w:i/>
          <w:sz w:val="20"/>
        </w:rPr>
        <w:tab/>
      </w:r>
      <w:r>
        <w:rPr>
          <w:sz w:val="20"/>
        </w:rPr>
        <w:t>Australia's</w:t>
      </w:r>
      <w:r>
        <w:rPr>
          <w:spacing w:val="-7"/>
          <w:sz w:val="20"/>
        </w:rPr>
        <w:t xml:space="preserve"> </w:t>
      </w:r>
      <w:r>
        <w:rPr>
          <w:sz w:val="20"/>
        </w:rPr>
        <w:t>First</w:t>
      </w:r>
      <w:r>
        <w:rPr>
          <w:spacing w:val="-2"/>
          <w:sz w:val="20"/>
        </w:rPr>
        <w:t xml:space="preserve"> </w:t>
      </w:r>
      <w:r>
        <w:rPr>
          <w:sz w:val="20"/>
        </w:rPr>
        <w:t>Written</w:t>
      </w:r>
      <w:r>
        <w:rPr>
          <w:spacing w:val="-2"/>
          <w:sz w:val="20"/>
        </w:rPr>
        <w:t xml:space="preserve"> Submission</w:t>
      </w:r>
    </w:p>
    <w:p w14:paraId="51DE8E31" w14:textId="77777777" w:rsidR="0010369C" w:rsidRDefault="008E43AE">
      <w:pPr>
        <w:tabs>
          <w:tab w:val="left" w:pos="8228"/>
        </w:tabs>
        <w:spacing w:before="1"/>
        <w:ind w:left="239"/>
        <w:rPr>
          <w:sz w:val="20"/>
        </w:rPr>
      </w:pPr>
      <w:r>
        <w:rPr>
          <w:i/>
          <w:sz w:val="20"/>
        </w:rPr>
        <w:t>on</w:t>
      </w:r>
      <w:r>
        <w:rPr>
          <w:i/>
          <w:spacing w:val="-1"/>
          <w:sz w:val="20"/>
        </w:rPr>
        <w:t xml:space="preserve"> </w:t>
      </w:r>
      <w:r>
        <w:rPr>
          <w:i/>
          <w:sz w:val="20"/>
        </w:rPr>
        <w:t>Wine</w:t>
      </w:r>
      <w:r>
        <w:rPr>
          <w:i/>
          <w:spacing w:val="-1"/>
          <w:sz w:val="20"/>
        </w:rPr>
        <w:t xml:space="preserve"> </w:t>
      </w:r>
      <w:r>
        <w:rPr>
          <w:i/>
          <w:sz w:val="20"/>
        </w:rPr>
        <w:t>from</w:t>
      </w:r>
      <w:r>
        <w:rPr>
          <w:i/>
          <w:spacing w:val="-3"/>
          <w:sz w:val="20"/>
        </w:rPr>
        <w:t xml:space="preserve"> </w:t>
      </w:r>
      <w:r>
        <w:rPr>
          <w:i/>
          <w:sz w:val="20"/>
        </w:rPr>
        <w:t>Australia</w:t>
      </w:r>
      <w:r>
        <w:rPr>
          <w:i/>
          <w:spacing w:val="-1"/>
          <w:sz w:val="20"/>
        </w:rPr>
        <w:t xml:space="preserve"> </w:t>
      </w:r>
      <w:r>
        <w:rPr>
          <w:spacing w:val="-2"/>
          <w:sz w:val="20"/>
        </w:rPr>
        <w:t>(DS602)</w:t>
      </w:r>
      <w:r>
        <w:rPr>
          <w:sz w:val="20"/>
        </w:rPr>
        <w:tab/>
        <w:t>29</w:t>
      </w:r>
      <w:r>
        <w:rPr>
          <w:spacing w:val="-1"/>
          <w:sz w:val="20"/>
        </w:rPr>
        <w:t xml:space="preserve"> </w:t>
      </w:r>
      <w:r>
        <w:rPr>
          <w:sz w:val="20"/>
        </w:rPr>
        <w:t>April</w:t>
      </w:r>
      <w:r>
        <w:rPr>
          <w:spacing w:val="-2"/>
          <w:sz w:val="20"/>
        </w:rPr>
        <w:t xml:space="preserve"> </w:t>
      </w:r>
      <w:r>
        <w:rPr>
          <w:spacing w:val="-4"/>
          <w:sz w:val="20"/>
        </w:rPr>
        <w:t>2022</w:t>
      </w:r>
    </w:p>
    <w:p w14:paraId="51DE8E32" w14:textId="77777777" w:rsidR="0010369C" w:rsidRDefault="008E43AE">
      <w:pPr>
        <w:pStyle w:val="BodyText"/>
        <w:spacing w:before="34" w:line="360" w:lineRule="auto"/>
        <w:ind w:left="237" w:right="613" w:firstLine="851"/>
        <w:jc w:val="both"/>
      </w:pPr>
      <w:r>
        <w:rPr>
          <w:noProof/>
        </w:rPr>
        <w:drawing>
          <wp:anchor distT="0" distB="0" distL="0" distR="0" simplePos="0" relativeHeight="251200000" behindDoc="1" locked="0" layoutInCell="1" allowOverlap="1" wp14:anchorId="51DEA46E" wp14:editId="51DEA46F">
            <wp:simplePos x="0" y="0"/>
            <wp:positionH relativeFrom="page">
              <wp:posOffset>902208</wp:posOffset>
            </wp:positionH>
            <wp:positionV relativeFrom="paragraph">
              <wp:posOffset>69165</wp:posOffset>
            </wp:positionV>
            <wp:extent cx="262127" cy="103631"/>
            <wp:effectExtent l="0" t="0" r="0" b="0"/>
            <wp:wrapNone/>
            <wp:docPr id="1127" name="image5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 name="image575.png"/>
                    <pic:cNvPicPr/>
                  </pic:nvPicPr>
                  <pic:blipFill>
                    <a:blip r:embed="rId751" cstate="print"/>
                    <a:stretch>
                      <a:fillRect/>
                    </a:stretch>
                  </pic:blipFill>
                  <pic:spPr>
                    <a:xfrm>
                      <a:off x="0" y="0"/>
                      <a:ext cx="262127" cy="103631"/>
                    </a:xfrm>
                    <a:prstGeom prst="rect">
                      <a:avLst/>
                    </a:prstGeom>
                  </pic:spPr>
                </pic:pic>
              </a:graphicData>
            </a:graphic>
          </wp:anchor>
        </w:drawing>
      </w:r>
      <w:r>
        <w:t>On</w:t>
      </w:r>
      <w:r>
        <w:rPr>
          <w:spacing w:val="-8"/>
        </w:rPr>
        <w:t xml:space="preserve"> </w:t>
      </w:r>
      <w:r>
        <w:t>this</w:t>
      </w:r>
      <w:r>
        <w:rPr>
          <w:spacing w:val="-7"/>
        </w:rPr>
        <w:t xml:space="preserve"> </w:t>
      </w:r>
      <w:r>
        <w:t>basis,</w:t>
      </w:r>
      <w:r>
        <w:rPr>
          <w:spacing w:val="-7"/>
        </w:rPr>
        <w:t xml:space="preserve"> </w:t>
      </w:r>
      <w:r>
        <w:t>MOFCOM</w:t>
      </w:r>
      <w:r>
        <w:rPr>
          <w:spacing w:val="-7"/>
        </w:rPr>
        <w:t xml:space="preserve"> </w:t>
      </w:r>
      <w:r>
        <w:t>conducted</w:t>
      </w:r>
      <w:r>
        <w:rPr>
          <w:spacing w:val="-7"/>
        </w:rPr>
        <w:t xml:space="preserve"> </w:t>
      </w:r>
      <w:r>
        <w:t>its</w:t>
      </w:r>
      <w:r>
        <w:rPr>
          <w:spacing w:val="-9"/>
        </w:rPr>
        <w:t xml:space="preserve"> </w:t>
      </w:r>
      <w:r>
        <w:t>Article</w:t>
      </w:r>
      <w:r>
        <w:rPr>
          <w:spacing w:val="-7"/>
        </w:rPr>
        <w:t xml:space="preserve"> </w:t>
      </w:r>
      <w:r>
        <w:t>3.2</w:t>
      </w:r>
      <w:r>
        <w:rPr>
          <w:spacing w:val="-8"/>
        </w:rPr>
        <w:t xml:space="preserve"> </w:t>
      </w:r>
      <w:r>
        <w:t>price</w:t>
      </w:r>
      <w:r>
        <w:rPr>
          <w:spacing w:val="-7"/>
        </w:rPr>
        <w:t xml:space="preserve"> </w:t>
      </w:r>
      <w:r>
        <w:t>effects</w:t>
      </w:r>
      <w:r>
        <w:rPr>
          <w:spacing w:val="-10"/>
        </w:rPr>
        <w:t xml:space="preserve"> </w:t>
      </w:r>
      <w:r>
        <w:t>analysis</w:t>
      </w:r>
      <w:r>
        <w:rPr>
          <w:spacing w:val="-8"/>
        </w:rPr>
        <w:t xml:space="preserve"> </w:t>
      </w:r>
      <w:r>
        <w:t>on</w:t>
      </w:r>
      <w:r>
        <w:rPr>
          <w:spacing w:val="-8"/>
        </w:rPr>
        <w:t xml:space="preserve"> </w:t>
      </w:r>
      <w:r>
        <w:t>the</w:t>
      </w:r>
      <w:r>
        <w:rPr>
          <w:spacing w:val="-7"/>
        </w:rPr>
        <w:t xml:space="preserve"> </w:t>
      </w:r>
      <w:r>
        <w:t>basis</w:t>
      </w:r>
      <w:r>
        <w:rPr>
          <w:spacing w:val="-7"/>
        </w:rPr>
        <w:t xml:space="preserve"> </w:t>
      </w:r>
      <w:r>
        <w:t>of average unit values for the entire basket of subject imports and average unit values f</w:t>
      </w:r>
      <w:r>
        <w:t>or the entire</w:t>
      </w:r>
      <w:r>
        <w:rPr>
          <w:spacing w:val="-6"/>
        </w:rPr>
        <w:t xml:space="preserve"> </w:t>
      </w:r>
      <w:r>
        <w:t>basket</w:t>
      </w:r>
      <w:r>
        <w:rPr>
          <w:spacing w:val="-5"/>
        </w:rPr>
        <w:t xml:space="preserve"> </w:t>
      </w:r>
      <w:r>
        <w:t>of</w:t>
      </w:r>
      <w:r>
        <w:rPr>
          <w:spacing w:val="-6"/>
        </w:rPr>
        <w:t xml:space="preserve"> </w:t>
      </w:r>
      <w:r>
        <w:t>like</w:t>
      </w:r>
      <w:r>
        <w:rPr>
          <w:spacing w:val="-5"/>
        </w:rPr>
        <w:t xml:space="preserve"> </w:t>
      </w:r>
      <w:r>
        <w:t>domestic</w:t>
      </w:r>
      <w:r>
        <w:rPr>
          <w:spacing w:val="-5"/>
        </w:rPr>
        <w:t xml:space="preserve"> </w:t>
      </w:r>
      <w:r>
        <w:t>products,</w:t>
      </w:r>
      <w:r>
        <w:rPr>
          <w:spacing w:val="-5"/>
        </w:rPr>
        <w:t xml:space="preserve"> </w:t>
      </w:r>
      <w:r>
        <w:t>ignoring</w:t>
      </w:r>
      <w:r>
        <w:rPr>
          <w:spacing w:val="-5"/>
        </w:rPr>
        <w:t xml:space="preserve"> </w:t>
      </w:r>
      <w:r>
        <w:t>the</w:t>
      </w:r>
      <w:r>
        <w:rPr>
          <w:spacing w:val="-5"/>
        </w:rPr>
        <w:t xml:space="preserve"> </w:t>
      </w:r>
      <w:r>
        <w:t>known</w:t>
      </w:r>
      <w:r>
        <w:rPr>
          <w:spacing w:val="-7"/>
        </w:rPr>
        <w:t xml:space="preserve"> </w:t>
      </w:r>
      <w:r>
        <w:t>distinctions</w:t>
      </w:r>
      <w:r>
        <w:rPr>
          <w:spacing w:val="-5"/>
        </w:rPr>
        <w:t xml:space="preserve"> </w:t>
      </w:r>
      <w:r>
        <w:t>between</w:t>
      </w:r>
      <w:r>
        <w:rPr>
          <w:spacing w:val="-6"/>
        </w:rPr>
        <w:t xml:space="preserve"> </w:t>
      </w:r>
      <w:r>
        <w:t>the</w:t>
      </w:r>
      <w:r>
        <w:rPr>
          <w:spacing w:val="-5"/>
        </w:rPr>
        <w:t xml:space="preserve"> </w:t>
      </w:r>
      <w:r>
        <w:t xml:space="preserve">product mix in each basket with respect to quality, price, and market segments (i.e. "customer </w:t>
      </w:r>
      <w:r>
        <w:rPr>
          <w:spacing w:val="-2"/>
        </w:rPr>
        <w:t>groups").</w:t>
      </w:r>
      <w:r>
        <w:rPr>
          <w:spacing w:val="-2"/>
          <w:vertAlign w:val="superscript"/>
        </w:rPr>
        <w:t>641</w:t>
      </w:r>
    </w:p>
    <w:p w14:paraId="51DE8E33" w14:textId="77777777" w:rsidR="0010369C" w:rsidRDefault="0010369C">
      <w:pPr>
        <w:pStyle w:val="BodyText"/>
        <w:spacing w:before="11"/>
        <w:rPr>
          <w:sz w:val="8"/>
        </w:rPr>
      </w:pPr>
    </w:p>
    <w:p w14:paraId="51DE8E34" w14:textId="77777777" w:rsidR="0010369C" w:rsidRDefault="008E43AE">
      <w:pPr>
        <w:pStyle w:val="BodyText"/>
        <w:spacing w:before="51" w:line="360" w:lineRule="auto"/>
        <w:ind w:left="236" w:right="613" w:firstLine="852"/>
        <w:jc w:val="both"/>
      </w:pPr>
      <w:r>
        <w:rPr>
          <w:noProof/>
        </w:rPr>
        <w:drawing>
          <wp:anchor distT="0" distB="0" distL="0" distR="0" simplePos="0" relativeHeight="251201024" behindDoc="1" locked="0" layoutInCell="1" allowOverlap="1" wp14:anchorId="51DEA470" wp14:editId="51DEA471">
            <wp:simplePos x="0" y="0"/>
            <wp:positionH relativeFrom="page">
              <wp:posOffset>902208</wp:posOffset>
            </wp:positionH>
            <wp:positionV relativeFrom="paragraph">
              <wp:posOffset>79960</wp:posOffset>
            </wp:positionV>
            <wp:extent cx="262127" cy="103631"/>
            <wp:effectExtent l="0" t="0" r="0" b="0"/>
            <wp:wrapNone/>
            <wp:docPr id="1129" name="image5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 name="image576.png"/>
                    <pic:cNvPicPr/>
                  </pic:nvPicPr>
                  <pic:blipFill>
                    <a:blip r:embed="rId752" cstate="print"/>
                    <a:stretch>
                      <a:fillRect/>
                    </a:stretch>
                  </pic:blipFill>
                  <pic:spPr>
                    <a:xfrm>
                      <a:off x="0" y="0"/>
                      <a:ext cx="262127" cy="103631"/>
                    </a:xfrm>
                    <a:prstGeom prst="rect">
                      <a:avLst/>
                    </a:prstGeom>
                  </pic:spPr>
                </pic:pic>
              </a:graphicData>
            </a:graphic>
          </wp:anchor>
        </w:drawing>
      </w:r>
      <w:r>
        <w:t>MOFCOM's conclusion that premium and luxury "high‐end" wines compete directly with</w:t>
      </w:r>
      <w:r>
        <w:rPr>
          <w:spacing w:val="-5"/>
        </w:rPr>
        <w:t xml:space="preserve"> </w:t>
      </w:r>
      <w:r>
        <w:t>inexpensive</w:t>
      </w:r>
      <w:r>
        <w:rPr>
          <w:spacing w:val="-3"/>
        </w:rPr>
        <w:t xml:space="preserve"> </w:t>
      </w:r>
      <w:r>
        <w:t>wines</w:t>
      </w:r>
      <w:r>
        <w:rPr>
          <w:spacing w:val="-6"/>
        </w:rPr>
        <w:t xml:space="preserve"> </w:t>
      </w:r>
      <w:r>
        <w:t>on</w:t>
      </w:r>
      <w:r>
        <w:rPr>
          <w:spacing w:val="-5"/>
        </w:rPr>
        <w:t xml:space="preserve"> </w:t>
      </w:r>
      <w:r>
        <w:t>the</w:t>
      </w:r>
      <w:r>
        <w:rPr>
          <w:spacing w:val="-4"/>
        </w:rPr>
        <w:t xml:space="preserve"> </w:t>
      </w:r>
      <w:r>
        <w:t>basis</w:t>
      </w:r>
      <w:r>
        <w:rPr>
          <w:spacing w:val="-5"/>
        </w:rPr>
        <w:t xml:space="preserve"> </w:t>
      </w:r>
      <w:r>
        <w:t>of</w:t>
      </w:r>
      <w:r>
        <w:rPr>
          <w:spacing w:val="-5"/>
        </w:rPr>
        <w:t xml:space="preserve"> </w:t>
      </w:r>
      <w:r>
        <w:t>price</w:t>
      </w:r>
      <w:r>
        <w:rPr>
          <w:spacing w:val="-4"/>
        </w:rPr>
        <w:t xml:space="preserve"> </w:t>
      </w:r>
      <w:r>
        <w:t>is</w:t>
      </w:r>
      <w:r>
        <w:rPr>
          <w:spacing w:val="-5"/>
        </w:rPr>
        <w:t xml:space="preserve"> </w:t>
      </w:r>
      <w:r>
        <w:t>contrary</w:t>
      </w:r>
      <w:r>
        <w:rPr>
          <w:spacing w:val="-5"/>
        </w:rPr>
        <w:t xml:space="preserve"> </w:t>
      </w:r>
      <w:r>
        <w:t>to</w:t>
      </w:r>
      <w:r>
        <w:rPr>
          <w:spacing w:val="-5"/>
        </w:rPr>
        <w:t xml:space="preserve"> </w:t>
      </w:r>
      <w:r>
        <w:t>the</w:t>
      </w:r>
      <w:r>
        <w:rPr>
          <w:spacing w:val="-4"/>
        </w:rPr>
        <w:t xml:space="preserve"> </w:t>
      </w:r>
      <w:r>
        <w:t>real</w:t>
      </w:r>
      <w:r>
        <w:t>ity</w:t>
      </w:r>
      <w:r>
        <w:rPr>
          <w:spacing w:val="-5"/>
        </w:rPr>
        <w:t xml:space="preserve"> </w:t>
      </w:r>
      <w:r>
        <w:t>of</w:t>
      </w:r>
      <w:r>
        <w:rPr>
          <w:spacing w:val="-5"/>
        </w:rPr>
        <w:t xml:space="preserve"> </w:t>
      </w:r>
      <w:r>
        <w:t>a</w:t>
      </w:r>
      <w:r>
        <w:rPr>
          <w:spacing w:val="-6"/>
        </w:rPr>
        <w:t xml:space="preserve"> </w:t>
      </w:r>
      <w:r>
        <w:t>consumer</w:t>
      </w:r>
      <w:r>
        <w:rPr>
          <w:spacing w:val="-6"/>
        </w:rPr>
        <w:t xml:space="preserve"> </w:t>
      </w:r>
      <w:r>
        <w:t>market</w:t>
      </w:r>
      <w:r>
        <w:rPr>
          <w:spacing w:val="-6"/>
        </w:rPr>
        <w:t xml:space="preserve"> </w:t>
      </w:r>
      <w:r>
        <w:t>in which different product categories compete in different market segments at considerably different price points. MOFCOM previously adopted a similar methodology to support a conclusion</w:t>
      </w:r>
      <w:r>
        <w:rPr>
          <w:spacing w:val="-14"/>
        </w:rPr>
        <w:t xml:space="preserve"> </w:t>
      </w:r>
      <w:r>
        <w:t>that</w:t>
      </w:r>
      <w:r>
        <w:rPr>
          <w:spacing w:val="-14"/>
        </w:rPr>
        <w:t xml:space="preserve"> </w:t>
      </w:r>
      <w:r>
        <w:t>luxury</w:t>
      </w:r>
      <w:r>
        <w:rPr>
          <w:spacing w:val="-13"/>
        </w:rPr>
        <w:t xml:space="preserve"> </w:t>
      </w:r>
      <w:r>
        <w:t>automobiles</w:t>
      </w:r>
      <w:r>
        <w:rPr>
          <w:spacing w:val="-14"/>
        </w:rPr>
        <w:t xml:space="preserve"> </w:t>
      </w:r>
      <w:r>
        <w:t>compete</w:t>
      </w:r>
      <w:r>
        <w:rPr>
          <w:spacing w:val="-13"/>
        </w:rPr>
        <w:t xml:space="preserve"> </w:t>
      </w:r>
      <w:r>
        <w:t>directly</w:t>
      </w:r>
      <w:r>
        <w:rPr>
          <w:spacing w:val="-14"/>
        </w:rPr>
        <w:t xml:space="preserve"> </w:t>
      </w:r>
      <w:r>
        <w:t>wit</w:t>
      </w:r>
      <w:r>
        <w:t>h</w:t>
      </w:r>
      <w:r>
        <w:rPr>
          <w:spacing w:val="-13"/>
        </w:rPr>
        <w:t xml:space="preserve"> </w:t>
      </w:r>
      <w:r>
        <w:t>entry‐level</w:t>
      </w:r>
      <w:r>
        <w:rPr>
          <w:spacing w:val="-14"/>
        </w:rPr>
        <w:t xml:space="preserve"> </w:t>
      </w:r>
      <w:r>
        <w:t>cars</w:t>
      </w:r>
      <w:r>
        <w:rPr>
          <w:spacing w:val="-14"/>
        </w:rPr>
        <w:t xml:space="preserve"> </w:t>
      </w:r>
      <w:r>
        <w:t>on</w:t>
      </w:r>
      <w:r>
        <w:rPr>
          <w:spacing w:val="-13"/>
        </w:rPr>
        <w:t xml:space="preserve"> </w:t>
      </w:r>
      <w:r>
        <w:t>the</w:t>
      </w:r>
      <w:r>
        <w:rPr>
          <w:spacing w:val="-14"/>
        </w:rPr>
        <w:t xml:space="preserve"> </w:t>
      </w:r>
      <w:r>
        <w:t>basis</w:t>
      </w:r>
      <w:r>
        <w:rPr>
          <w:spacing w:val="-13"/>
        </w:rPr>
        <w:t xml:space="preserve"> </w:t>
      </w:r>
      <w:r>
        <w:t>of</w:t>
      </w:r>
      <w:r>
        <w:rPr>
          <w:spacing w:val="-14"/>
        </w:rPr>
        <w:t xml:space="preserve"> </w:t>
      </w:r>
      <w:r>
        <w:t>price. That</w:t>
      </w:r>
      <w:r>
        <w:rPr>
          <w:spacing w:val="15"/>
        </w:rPr>
        <w:t xml:space="preserve"> </w:t>
      </w:r>
      <w:r>
        <w:t>approach was found</w:t>
      </w:r>
      <w:r>
        <w:rPr>
          <w:spacing w:val="15"/>
        </w:rPr>
        <w:t xml:space="preserve"> </w:t>
      </w:r>
      <w:r>
        <w:t>to</w:t>
      </w:r>
      <w:r>
        <w:rPr>
          <w:spacing w:val="15"/>
        </w:rPr>
        <w:t xml:space="preserve"> </w:t>
      </w:r>
      <w:r>
        <w:t>be inconsistent</w:t>
      </w:r>
      <w:r>
        <w:rPr>
          <w:spacing w:val="16"/>
        </w:rPr>
        <w:t xml:space="preserve"> </w:t>
      </w:r>
      <w:r>
        <w:t>with China's obligations</w:t>
      </w:r>
      <w:r>
        <w:rPr>
          <w:spacing w:val="15"/>
        </w:rPr>
        <w:t xml:space="preserve"> </w:t>
      </w:r>
      <w:r>
        <w:t>under</w:t>
      </w:r>
      <w:r>
        <w:rPr>
          <w:spacing w:val="15"/>
        </w:rPr>
        <w:t xml:space="preserve"> </w:t>
      </w:r>
      <w:r>
        <w:t>Articles 3.1 and</w:t>
      </w:r>
    </w:p>
    <w:p w14:paraId="51DE8E35" w14:textId="77777777" w:rsidR="0010369C" w:rsidRDefault="008E43AE">
      <w:pPr>
        <w:pStyle w:val="ListParagraph"/>
        <w:numPr>
          <w:ilvl w:val="1"/>
          <w:numId w:val="58"/>
        </w:numPr>
        <w:tabs>
          <w:tab w:val="left" w:pos="597"/>
        </w:tabs>
        <w:spacing w:before="1"/>
        <w:ind w:left="596" w:hanging="359"/>
        <w:jc w:val="both"/>
        <w:rPr>
          <w:sz w:val="24"/>
        </w:rPr>
      </w:pPr>
      <w:r>
        <w:rPr>
          <w:sz w:val="24"/>
        </w:rPr>
        <w:t>of</w:t>
      </w:r>
      <w:r>
        <w:rPr>
          <w:spacing w:val="-8"/>
          <w:sz w:val="24"/>
        </w:rPr>
        <w:t xml:space="preserve"> </w:t>
      </w:r>
      <w:r>
        <w:rPr>
          <w:sz w:val="24"/>
        </w:rPr>
        <w:t>the</w:t>
      </w:r>
      <w:r>
        <w:rPr>
          <w:spacing w:val="-7"/>
          <w:sz w:val="24"/>
        </w:rPr>
        <w:t xml:space="preserve"> </w:t>
      </w:r>
      <w:r>
        <w:rPr>
          <w:sz w:val="24"/>
        </w:rPr>
        <w:t>Anti‐Dumping</w:t>
      </w:r>
      <w:r>
        <w:rPr>
          <w:spacing w:val="-7"/>
          <w:sz w:val="24"/>
        </w:rPr>
        <w:t xml:space="preserve"> </w:t>
      </w:r>
      <w:r>
        <w:rPr>
          <w:spacing w:val="-2"/>
          <w:sz w:val="24"/>
        </w:rPr>
        <w:t>Agreement.</w:t>
      </w:r>
      <w:r>
        <w:rPr>
          <w:spacing w:val="-2"/>
          <w:sz w:val="24"/>
          <w:vertAlign w:val="superscript"/>
        </w:rPr>
        <w:t>642</w:t>
      </w:r>
    </w:p>
    <w:p w14:paraId="51DE8E36" w14:textId="77777777" w:rsidR="0010369C" w:rsidRDefault="0010369C">
      <w:pPr>
        <w:pStyle w:val="BodyText"/>
        <w:spacing w:before="10"/>
        <w:rPr>
          <w:sz w:val="20"/>
        </w:rPr>
      </w:pPr>
    </w:p>
    <w:p w14:paraId="51DE8E37" w14:textId="77777777" w:rsidR="0010369C" w:rsidRDefault="008E43AE">
      <w:pPr>
        <w:pStyle w:val="BodyText"/>
        <w:spacing w:before="52" w:line="360" w:lineRule="auto"/>
        <w:ind w:left="238" w:right="614" w:firstLine="851"/>
      </w:pPr>
      <w:r>
        <w:rPr>
          <w:noProof/>
        </w:rPr>
        <w:drawing>
          <wp:anchor distT="0" distB="0" distL="0" distR="0" simplePos="0" relativeHeight="251202048" behindDoc="1" locked="0" layoutInCell="1" allowOverlap="1" wp14:anchorId="51DEA472" wp14:editId="51DEA473">
            <wp:simplePos x="0" y="0"/>
            <wp:positionH relativeFrom="page">
              <wp:posOffset>902208</wp:posOffset>
            </wp:positionH>
            <wp:positionV relativeFrom="paragraph">
              <wp:posOffset>76785</wp:posOffset>
            </wp:positionV>
            <wp:extent cx="262127" cy="106679"/>
            <wp:effectExtent l="0" t="0" r="0" b="0"/>
            <wp:wrapNone/>
            <wp:docPr id="1131" name="image5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 name="image577.png"/>
                    <pic:cNvPicPr/>
                  </pic:nvPicPr>
                  <pic:blipFill>
                    <a:blip r:embed="rId753" cstate="print"/>
                    <a:stretch>
                      <a:fillRect/>
                    </a:stretch>
                  </pic:blipFill>
                  <pic:spPr>
                    <a:xfrm>
                      <a:off x="0" y="0"/>
                      <a:ext cx="262127" cy="106679"/>
                    </a:xfrm>
                    <a:prstGeom prst="rect">
                      <a:avLst/>
                    </a:prstGeom>
                  </pic:spPr>
                </pic:pic>
              </a:graphicData>
            </a:graphic>
          </wp:anchor>
        </w:drawing>
      </w:r>
      <w:r>
        <w:t>Similarly,</w:t>
      </w:r>
      <w:r>
        <w:rPr>
          <w:spacing w:val="35"/>
        </w:rPr>
        <w:t xml:space="preserve"> </w:t>
      </w:r>
      <w:r>
        <w:t>in</w:t>
      </w:r>
      <w:r>
        <w:rPr>
          <w:spacing w:val="33"/>
        </w:rPr>
        <w:t xml:space="preserve"> </w:t>
      </w:r>
      <w:r>
        <w:t>the</w:t>
      </w:r>
      <w:r>
        <w:rPr>
          <w:spacing w:val="35"/>
        </w:rPr>
        <w:t xml:space="preserve"> </w:t>
      </w:r>
      <w:r>
        <w:t>current</w:t>
      </w:r>
      <w:r>
        <w:rPr>
          <w:spacing w:val="34"/>
        </w:rPr>
        <w:t xml:space="preserve"> </w:t>
      </w:r>
      <w:r>
        <w:t>dispute,</w:t>
      </w:r>
      <w:r>
        <w:rPr>
          <w:spacing w:val="35"/>
        </w:rPr>
        <w:t xml:space="preserve"> </w:t>
      </w:r>
      <w:r>
        <w:t>MOFCOM's</w:t>
      </w:r>
      <w:r>
        <w:rPr>
          <w:spacing w:val="35"/>
        </w:rPr>
        <w:t xml:space="preserve"> </w:t>
      </w:r>
      <w:r>
        <w:t>methodology</w:t>
      </w:r>
      <w:r>
        <w:rPr>
          <w:spacing w:val="35"/>
        </w:rPr>
        <w:t xml:space="preserve"> </w:t>
      </w:r>
      <w:r>
        <w:t>was</w:t>
      </w:r>
      <w:r>
        <w:rPr>
          <w:spacing w:val="34"/>
        </w:rPr>
        <w:t xml:space="preserve"> </w:t>
      </w:r>
      <w:r>
        <w:t>flawed</w:t>
      </w:r>
      <w:r>
        <w:rPr>
          <w:spacing w:val="35"/>
        </w:rPr>
        <w:t xml:space="preserve"> </w:t>
      </w:r>
      <w:r>
        <w:t>because</w:t>
      </w:r>
      <w:r>
        <w:rPr>
          <w:spacing w:val="35"/>
        </w:rPr>
        <w:t xml:space="preserve"> </w:t>
      </w:r>
      <w:r>
        <w:t>it ignored</w:t>
      </w:r>
      <w:r>
        <w:rPr>
          <w:spacing w:val="-5"/>
        </w:rPr>
        <w:t xml:space="preserve"> </w:t>
      </w:r>
      <w:r>
        <w:t>detailed</w:t>
      </w:r>
      <w:r>
        <w:rPr>
          <w:spacing w:val="-5"/>
        </w:rPr>
        <w:t xml:space="preserve"> </w:t>
      </w:r>
      <w:r>
        <w:t>evidence</w:t>
      </w:r>
      <w:r>
        <w:rPr>
          <w:spacing w:val="-6"/>
        </w:rPr>
        <w:t xml:space="preserve"> </w:t>
      </w:r>
      <w:r>
        <w:t>on</w:t>
      </w:r>
      <w:r>
        <w:rPr>
          <w:spacing w:val="-4"/>
        </w:rPr>
        <w:t xml:space="preserve"> </w:t>
      </w:r>
      <w:r>
        <w:t>the</w:t>
      </w:r>
      <w:r>
        <w:rPr>
          <w:spacing w:val="-5"/>
        </w:rPr>
        <w:t xml:space="preserve"> </w:t>
      </w:r>
      <w:r>
        <w:t>record</w:t>
      </w:r>
      <w:r>
        <w:rPr>
          <w:spacing w:val="-6"/>
        </w:rPr>
        <w:t xml:space="preserve"> </w:t>
      </w:r>
      <w:r>
        <w:t>that</w:t>
      </w:r>
      <w:r>
        <w:rPr>
          <w:spacing w:val="-6"/>
        </w:rPr>
        <w:t xml:space="preserve"> </w:t>
      </w:r>
      <w:r>
        <w:t>established</w:t>
      </w:r>
      <w:r>
        <w:rPr>
          <w:spacing w:val="-6"/>
        </w:rPr>
        <w:t xml:space="preserve"> </w:t>
      </w:r>
      <w:r>
        <w:t>clear</w:t>
      </w:r>
      <w:r>
        <w:rPr>
          <w:spacing w:val="-4"/>
        </w:rPr>
        <w:t xml:space="preserve"> </w:t>
      </w:r>
      <w:r>
        <w:t>differences</w:t>
      </w:r>
      <w:r>
        <w:rPr>
          <w:spacing w:val="-5"/>
        </w:rPr>
        <w:t xml:space="preserve"> </w:t>
      </w:r>
      <w:r>
        <w:t>in</w:t>
      </w:r>
      <w:r>
        <w:rPr>
          <w:spacing w:val="-5"/>
        </w:rPr>
        <w:t xml:space="preserve"> </w:t>
      </w:r>
      <w:r>
        <w:t>terms</w:t>
      </w:r>
      <w:r>
        <w:rPr>
          <w:spacing w:val="-5"/>
        </w:rPr>
        <w:t xml:space="preserve"> </w:t>
      </w:r>
      <w:r>
        <w:t>of</w:t>
      </w:r>
      <w:r>
        <w:rPr>
          <w:spacing w:val="-5"/>
        </w:rPr>
        <w:t xml:space="preserve"> </w:t>
      </w:r>
      <w:r>
        <w:rPr>
          <w:spacing w:val="-2"/>
        </w:rPr>
        <w:t>quality</w:t>
      </w:r>
    </w:p>
    <w:p w14:paraId="51DE8E38" w14:textId="77777777" w:rsidR="0010369C" w:rsidRDefault="008E43AE">
      <w:pPr>
        <w:pStyle w:val="BodyText"/>
        <w:spacing w:before="10"/>
        <w:rPr>
          <w:sz w:val="13"/>
        </w:rPr>
      </w:pPr>
      <w:r>
        <w:pict w14:anchorId="51DEA474">
          <v:rect id="docshape1030" o:spid="_x0000_s1347" style="position:absolute;margin-left:70.9pt;margin-top:9.65pt;width:2in;height:.8pt;z-index:-250835456;mso-wrap-distance-left:0;mso-wrap-distance-right:0;mso-position-horizontal-relative:page" fillcolor="black" stroked="f">
            <w10:wrap type="topAndBottom" anchorx="page"/>
          </v:rect>
        </w:pict>
      </w:r>
    </w:p>
    <w:p w14:paraId="51DE8E39" w14:textId="77777777" w:rsidR="0010369C" w:rsidRDefault="008E43AE">
      <w:pPr>
        <w:spacing w:before="109"/>
        <w:ind w:left="238"/>
        <w:jc w:val="both"/>
        <w:rPr>
          <w:sz w:val="18"/>
        </w:rPr>
      </w:pPr>
      <w:r>
        <w:rPr>
          <w:sz w:val="18"/>
          <w:vertAlign w:val="superscript"/>
        </w:rPr>
        <w:t>641</w:t>
      </w:r>
      <w:r>
        <w:rPr>
          <w:spacing w:val="-8"/>
          <w:sz w:val="18"/>
        </w:rPr>
        <w:t xml:space="preserve"> </w:t>
      </w:r>
      <w:r>
        <w:rPr>
          <w:sz w:val="18"/>
        </w:rPr>
        <w:t>Anti‐Dumping</w:t>
      </w:r>
      <w:r>
        <w:rPr>
          <w:spacing w:val="-7"/>
          <w:sz w:val="18"/>
        </w:rPr>
        <w:t xml:space="preserve"> </w:t>
      </w:r>
      <w:r>
        <w:rPr>
          <w:sz w:val="18"/>
        </w:rPr>
        <w:t>Final</w:t>
      </w:r>
      <w:r>
        <w:rPr>
          <w:spacing w:val="-7"/>
          <w:sz w:val="18"/>
        </w:rPr>
        <w:t xml:space="preserve"> </w:t>
      </w:r>
      <w:r>
        <w:rPr>
          <w:sz w:val="18"/>
        </w:rPr>
        <w:t>Determination</w:t>
      </w:r>
      <w:r>
        <w:rPr>
          <w:spacing w:val="-7"/>
          <w:sz w:val="18"/>
        </w:rPr>
        <w:t xml:space="preserve"> </w:t>
      </w:r>
      <w:r>
        <w:rPr>
          <w:sz w:val="18"/>
        </w:rPr>
        <w:t>(Exhibit</w:t>
      </w:r>
      <w:r>
        <w:rPr>
          <w:spacing w:val="-7"/>
          <w:sz w:val="18"/>
        </w:rPr>
        <w:t xml:space="preserve"> </w:t>
      </w:r>
      <w:r>
        <w:rPr>
          <w:sz w:val="18"/>
        </w:rPr>
        <w:t>AUS‐2),</w:t>
      </w:r>
      <w:r>
        <w:rPr>
          <w:spacing w:val="-8"/>
          <w:sz w:val="18"/>
        </w:rPr>
        <w:t xml:space="preserve"> </w:t>
      </w:r>
      <w:r>
        <w:rPr>
          <w:sz w:val="18"/>
        </w:rPr>
        <w:t>pp.</w:t>
      </w:r>
      <w:r>
        <w:rPr>
          <w:spacing w:val="-8"/>
          <w:sz w:val="18"/>
        </w:rPr>
        <w:t xml:space="preserve"> </w:t>
      </w:r>
      <w:r>
        <w:rPr>
          <w:sz w:val="18"/>
        </w:rPr>
        <w:t>101,</w:t>
      </w:r>
      <w:r>
        <w:rPr>
          <w:spacing w:val="-8"/>
          <w:sz w:val="18"/>
        </w:rPr>
        <w:t xml:space="preserve"> </w:t>
      </w:r>
      <w:r>
        <w:rPr>
          <w:sz w:val="18"/>
        </w:rPr>
        <w:t>103‐108,</w:t>
      </w:r>
      <w:r>
        <w:rPr>
          <w:spacing w:val="-8"/>
          <w:sz w:val="18"/>
        </w:rPr>
        <w:t xml:space="preserve"> </w:t>
      </w:r>
      <w:r>
        <w:rPr>
          <w:sz w:val="18"/>
        </w:rPr>
        <w:t>118,</w:t>
      </w:r>
      <w:r>
        <w:rPr>
          <w:spacing w:val="-8"/>
          <w:sz w:val="18"/>
        </w:rPr>
        <w:t xml:space="preserve"> </w:t>
      </w:r>
      <w:r>
        <w:rPr>
          <w:sz w:val="18"/>
        </w:rPr>
        <w:t>119,</w:t>
      </w:r>
      <w:r>
        <w:rPr>
          <w:spacing w:val="-8"/>
          <w:sz w:val="18"/>
        </w:rPr>
        <w:t xml:space="preserve"> </w:t>
      </w:r>
      <w:r>
        <w:rPr>
          <w:spacing w:val="-4"/>
          <w:sz w:val="18"/>
        </w:rPr>
        <w:t>135.</w:t>
      </w:r>
    </w:p>
    <w:p w14:paraId="51DE8E3A" w14:textId="77777777" w:rsidR="0010369C" w:rsidRDefault="008E43AE">
      <w:pPr>
        <w:ind w:left="237" w:right="613"/>
        <w:jc w:val="both"/>
        <w:rPr>
          <w:sz w:val="18"/>
        </w:rPr>
      </w:pPr>
      <w:r>
        <w:rPr>
          <w:sz w:val="18"/>
          <w:vertAlign w:val="superscript"/>
        </w:rPr>
        <w:t>642</w:t>
      </w:r>
      <w:r>
        <w:rPr>
          <w:sz w:val="18"/>
        </w:rPr>
        <w:t xml:space="preserve"> Panel Report, </w:t>
      </w:r>
      <w:r>
        <w:rPr>
          <w:i/>
          <w:sz w:val="18"/>
        </w:rPr>
        <w:t>China – Autos (US)</w:t>
      </w:r>
      <w:r>
        <w:rPr>
          <w:sz w:val="18"/>
        </w:rPr>
        <w:t>, paras. 7.278‐7.283. The panel provided the following explanation, emphasizing the importance of ensuring price comparability between a basket of subject imports and a basket of like domestic products for the purposes of considering price effects pursuant</w:t>
      </w:r>
      <w:r>
        <w:rPr>
          <w:sz w:val="18"/>
        </w:rPr>
        <w:t xml:space="preserve"> to Articles 3.2 and 3.1 of the Anti‐Dumping Agreement:</w:t>
      </w:r>
    </w:p>
    <w:p w14:paraId="51DE8E3B" w14:textId="77777777" w:rsidR="0010369C" w:rsidRDefault="008E43AE">
      <w:pPr>
        <w:spacing w:before="120"/>
        <w:ind w:left="1088" w:right="1181"/>
        <w:jc w:val="both"/>
        <w:rPr>
          <w:sz w:val="18"/>
        </w:rPr>
      </w:pPr>
      <w:r>
        <w:rPr>
          <w:sz w:val="18"/>
        </w:rPr>
        <w:t>[7.278]</w:t>
      </w:r>
      <w:r>
        <w:rPr>
          <w:spacing w:val="-5"/>
          <w:sz w:val="18"/>
        </w:rPr>
        <w:t xml:space="preserve"> </w:t>
      </w:r>
      <w:r>
        <w:rPr>
          <w:sz w:val="18"/>
        </w:rPr>
        <w:t>In</w:t>
      </w:r>
      <w:r>
        <w:rPr>
          <w:spacing w:val="-4"/>
          <w:sz w:val="18"/>
        </w:rPr>
        <w:t xml:space="preserve"> </w:t>
      </w:r>
      <w:r>
        <w:rPr>
          <w:sz w:val="18"/>
        </w:rPr>
        <w:t>our</w:t>
      </w:r>
      <w:r>
        <w:rPr>
          <w:spacing w:val="-5"/>
          <w:sz w:val="18"/>
        </w:rPr>
        <w:t xml:space="preserve"> </w:t>
      </w:r>
      <w:r>
        <w:rPr>
          <w:sz w:val="18"/>
        </w:rPr>
        <w:t>view,</w:t>
      </w:r>
      <w:r>
        <w:rPr>
          <w:spacing w:val="-6"/>
          <w:sz w:val="18"/>
        </w:rPr>
        <w:t xml:space="preserve"> </w:t>
      </w:r>
      <w:r>
        <w:rPr>
          <w:sz w:val="18"/>
        </w:rPr>
        <w:t>merely</w:t>
      </w:r>
      <w:r>
        <w:rPr>
          <w:spacing w:val="-4"/>
          <w:sz w:val="18"/>
        </w:rPr>
        <w:t xml:space="preserve"> </w:t>
      </w:r>
      <w:r>
        <w:rPr>
          <w:sz w:val="18"/>
        </w:rPr>
        <w:t>finding</w:t>
      </w:r>
      <w:r>
        <w:rPr>
          <w:spacing w:val="-4"/>
          <w:sz w:val="18"/>
        </w:rPr>
        <w:t xml:space="preserve"> </w:t>
      </w:r>
      <w:r>
        <w:rPr>
          <w:sz w:val="18"/>
        </w:rPr>
        <w:t>that</w:t>
      </w:r>
      <w:r>
        <w:rPr>
          <w:spacing w:val="-5"/>
          <w:sz w:val="18"/>
        </w:rPr>
        <w:t xml:space="preserve"> </w:t>
      </w:r>
      <w:r>
        <w:rPr>
          <w:sz w:val="18"/>
        </w:rPr>
        <w:t>Chinese</w:t>
      </w:r>
      <w:r>
        <w:rPr>
          <w:spacing w:val="-6"/>
          <w:sz w:val="18"/>
        </w:rPr>
        <w:t xml:space="preserve"> </w:t>
      </w:r>
      <w:r>
        <w:rPr>
          <w:sz w:val="18"/>
        </w:rPr>
        <w:t>automobiles</w:t>
      </w:r>
      <w:r>
        <w:rPr>
          <w:spacing w:val="-4"/>
          <w:sz w:val="18"/>
        </w:rPr>
        <w:t xml:space="preserve"> </w:t>
      </w:r>
      <w:r>
        <w:rPr>
          <w:sz w:val="18"/>
        </w:rPr>
        <w:t>are</w:t>
      </w:r>
      <w:r>
        <w:rPr>
          <w:spacing w:val="-5"/>
          <w:sz w:val="18"/>
        </w:rPr>
        <w:t xml:space="preserve"> </w:t>
      </w:r>
      <w:r>
        <w:rPr>
          <w:sz w:val="18"/>
        </w:rPr>
        <w:t>"like"</w:t>
      </w:r>
      <w:r>
        <w:rPr>
          <w:spacing w:val="-5"/>
          <w:sz w:val="18"/>
        </w:rPr>
        <w:t xml:space="preserve"> </w:t>
      </w:r>
      <w:r>
        <w:rPr>
          <w:sz w:val="18"/>
        </w:rPr>
        <w:t>the</w:t>
      </w:r>
      <w:r>
        <w:rPr>
          <w:spacing w:val="-4"/>
          <w:sz w:val="18"/>
        </w:rPr>
        <w:t xml:space="preserve"> </w:t>
      </w:r>
      <w:r>
        <w:rPr>
          <w:sz w:val="18"/>
        </w:rPr>
        <w:t>subject</w:t>
      </w:r>
      <w:r>
        <w:rPr>
          <w:spacing w:val="-5"/>
          <w:sz w:val="18"/>
        </w:rPr>
        <w:t xml:space="preserve"> </w:t>
      </w:r>
      <w:r>
        <w:rPr>
          <w:sz w:val="18"/>
        </w:rPr>
        <w:t>imported</w:t>
      </w:r>
      <w:r>
        <w:rPr>
          <w:spacing w:val="-4"/>
          <w:sz w:val="18"/>
        </w:rPr>
        <w:t xml:space="preserve"> </w:t>
      </w:r>
      <w:r>
        <w:rPr>
          <w:sz w:val="18"/>
        </w:rPr>
        <w:t>automobiles for</w:t>
      </w:r>
      <w:r>
        <w:rPr>
          <w:spacing w:val="-4"/>
          <w:sz w:val="18"/>
        </w:rPr>
        <w:t xml:space="preserve"> </w:t>
      </w:r>
      <w:r>
        <w:rPr>
          <w:sz w:val="18"/>
        </w:rPr>
        <w:t>purposes</w:t>
      </w:r>
      <w:r>
        <w:rPr>
          <w:spacing w:val="-3"/>
          <w:sz w:val="18"/>
        </w:rPr>
        <w:t xml:space="preserve"> </w:t>
      </w:r>
      <w:r>
        <w:rPr>
          <w:sz w:val="18"/>
        </w:rPr>
        <w:t>of</w:t>
      </w:r>
      <w:r>
        <w:rPr>
          <w:spacing w:val="-4"/>
          <w:sz w:val="18"/>
        </w:rPr>
        <w:t xml:space="preserve"> </w:t>
      </w:r>
      <w:r>
        <w:rPr>
          <w:sz w:val="18"/>
        </w:rPr>
        <w:t>Article</w:t>
      </w:r>
      <w:r>
        <w:rPr>
          <w:spacing w:val="-4"/>
          <w:sz w:val="18"/>
        </w:rPr>
        <w:t xml:space="preserve"> </w:t>
      </w:r>
      <w:r>
        <w:rPr>
          <w:sz w:val="18"/>
        </w:rPr>
        <w:t>2.6</w:t>
      </w:r>
      <w:r>
        <w:rPr>
          <w:spacing w:val="-4"/>
          <w:sz w:val="18"/>
        </w:rPr>
        <w:t xml:space="preserve"> </w:t>
      </w:r>
      <w:r>
        <w:rPr>
          <w:sz w:val="18"/>
        </w:rPr>
        <w:t>of</w:t>
      </w:r>
      <w:r>
        <w:rPr>
          <w:spacing w:val="-3"/>
          <w:sz w:val="18"/>
        </w:rPr>
        <w:t xml:space="preserve"> </w:t>
      </w:r>
      <w:r>
        <w:rPr>
          <w:sz w:val="18"/>
        </w:rPr>
        <w:t>the</w:t>
      </w:r>
      <w:r>
        <w:rPr>
          <w:spacing w:val="-3"/>
          <w:sz w:val="18"/>
        </w:rPr>
        <w:t xml:space="preserve"> </w:t>
      </w:r>
      <w:r>
        <w:rPr>
          <w:sz w:val="18"/>
        </w:rPr>
        <w:t>Anti‐Dumping</w:t>
      </w:r>
      <w:r>
        <w:rPr>
          <w:spacing w:val="-3"/>
          <w:sz w:val="18"/>
        </w:rPr>
        <w:t xml:space="preserve"> </w:t>
      </w:r>
      <w:r>
        <w:rPr>
          <w:sz w:val="18"/>
        </w:rPr>
        <w:t>Agreement</w:t>
      </w:r>
      <w:r>
        <w:rPr>
          <w:spacing w:val="-4"/>
          <w:sz w:val="18"/>
        </w:rPr>
        <w:t xml:space="preserve"> </w:t>
      </w:r>
      <w:r>
        <w:rPr>
          <w:sz w:val="18"/>
        </w:rPr>
        <w:t>and</w:t>
      </w:r>
      <w:r>
        <w:rPr>
          <w:spacing w:val="-3"/>
          <w:sz w:val="18"/>
        </w:rPr>
        <w:t xml:space="preserve"> </w:t>
      </w:r>
      <w:r>
        <w:rPr>
          <w:sz w:val="18"/>
        </w:rPr>
        <w:t>footnote</w:t>
      </w:r>
      <w:r>
        <w:rPr>
          <w:spacing w:val="-3"/>
          <w:sz w:val="18"/>
        </w:rPr>
        <w:t xml:space="preserve"> </w:t>
      </w:r>
      <w:r>
        <w:rPr>
          <w:sz w:val="18"/>
        </w:rPr>
        <w:t>46</w:t>
      </w:r>
      <w:r>
        <w:rPr>
          <w:spacing w:val="-4"/>
          <w:sz w:val="18"/>
        </w:rPr>
        <w:t xml:space="preserve"> </w:t>
      </w:r>
      <w:r>
        <w:rPr>
          <w:sz w:val="18"/>
        </w:rPr>
        <w:t>to</w:t>
      </w:r>
      <w:r>
        <w:rPr>
          <w:spacing w:val="-4"/>
          <w:sz w:val="18"/>
        </w:rPr>
        <w:t xml:space="preserve"> </w:t>
      </w:r>
      <w:r>
        <w:rPr>
          <w:sz w:val="18"/>
        </w:rPr>
        <w:t>the</w:t>
      </w:r>
      <w:r>
        <w:rPr>
          <w:spacing w:val="-3"/>
          <w:sz w:val="18"/>
        </w:rPr>
        <w:t xml:space="preserve"> </w:t>
      </w:r>
      <w:r>
        <w:rPr>
          <w:sz w:val="18"/>
        </w:rPr>
        <w:t>SCM</w:t>
      </w:r>
      <w:r>
        <w:rPr>
          <w:spacing w:val="-4"/>
          <w:sz w:val="18"/>
        </w:rPr>
        <w:t xml:space="preserve"> </w:t>
      </w:r>
      <w:r>
        <w:rPr>
          <w:sz w:val="18"/>
        </w:rPr>
        <w:t>Agreement,</w:t>
      </w:r>
      <w:r>
        <w:rPr>
          <w:spacing w:val="-4"/>
          <w:sz w:val="18"/>
        </w:rPr>
        <w:t xml:space="preserve"> </w:t>
      </w:r>
      <w:r>
        <w:rPr>
          <w:sz w:val="18"/>
        </w:rPr>
        <w:t>does not</w:t>
      </w:r>
      <w:r>
        <w:rPr>
          <w:spacing w:val="-11"/>
          <w:sz w:val="18"/>
        </w:rPr>
        <w:t xml:space="preserve"> </w:t>
      </w:r>
      <w:r>
        <w:rPr>
          <w:sz w:val="18"/>
        </w:rPr>
        <w:t>necessarily</w:t>
      </w:r>
      <w:r>
        <w:rPr>
          <w:spacing w:val="-10"/>
          <w:sz w:val="18"/>
        </w:rPr>
        <w:t xml:space="preserve"> </w:t>
      </w:r>
      <w:r>
        <w:rPr>
          <w:sz w:val="18"/>
        </w:rPr>
        <w:t>mean</w:t>
      </w:r>
      <w:r>
        <w:rPr>
          <w:spacing w:val="-10"/>
          <w:sz w:val="18"/>
        </w:rPr>
        <w:t xml:space="preserve"> </w:t>
      </w:r>
      <w:r>
        <w:rPr>
          <w:sz w:val="18"/>
        </w:rPr>
        <w:t>that</w:t>
      </w:r>
      <w:r>
        <w:rPr>
          <w:spacing w:val="-10"/>
          <w:sz w:val="18"/>
        </w:rPr>
        <w:t xml:space="preserve"> </w:t>
      </w:r>
      <w:r>
        <w:rPr>
          <w:sz w:val="18"/>
        </w:rPr>
        <w:t>the</w:t>
      </w:r>
      <w:r>
        <w:rPr>
          <w:spacing w:val="-10"/>
          <w:sz w:val="18"/>
        </w:rPr>
        <w:t xml:space="preserve"> </w:t>
      </w:r>
      <w:r>
        <w:rPr>
          <w:sz w:val="18"/>
        </w:rPr>
        <w:t>AUVs</w:t>
      </w:r>
      <w:r>
        <w:rPr>
          <w:spacing w:val="-11"/>
          <w:sz w:val="18"/>
        </w:rPr>
        <w:t xml:space="preserve"> </w:t>
      </w:r>
      <w:r>
        <w:rPr>
          <w:sz w:val="18"/>
        </w:rPr>
        <w:t>[</w:t>
      </w:r>
      <w:r>
        <w:rPr>
          <w:i/>
          <w:sz w:val="18"/>
        </w:rPr>
        <w:t>average</w:t>
      </w:r>
      <w:r>
        <w:rPr>
          <w:i/>
          <w:spacing w:val="-10"/>
          <w:sz w:val="18"/>
        </w:rPr>
        <w:t xml:space="preserve"> </w:t>
      </w:r>
      <w:r>
        <w:rPr>
          <w:i/>
          <w:sz w:val="18"/>
        </w:rPr>
        <w:t>unit</w:t>
      </w:r>
      <w:r>
        <w:rPr>
          <w:i/>
          <w:spacing w:val="-10"/>
          <w:sz w:val="18"/>
        </w:rPr>
        <w:t xml:space="preserve"> </w:t>
      </w:r>
      <w:r>
        <w:rPr>
          <w:i/>
          <w:sz w:val="18"/>
        </w:rPr>
        <w:t>values</w:t>
      </w:r>
      <w:r>
        <w:rPr>
          <w:sz w:val="18"/>
        </w:rPr>
        <w:t>]</w:t>
      </w:r>
      <w:r>
        <w:rPr>
          <w:spacing w:val="-10"/>
          <w:sz w:val="18"/>
        </w:rPr>
        <w:t xml:space="preserve"> </w:t>
      </w:r>
      <w:r>
        <w:rPr>
          <w:sz w:val="18"/>
        </w:rPr>
        <w:t>of</w:t>
      </w:r>
      <w:r>
        <w:rPr>
          <w:spacing w:val="-10"/>
          <w:sz w:val="18"/>
        </w:rPr>
        <w:t xml:space="preserve"> </w:t>
      </w:r>
      <w:r>
        <w:rPr>
          <w:sz w:val="18"/>
        </w:rPr>
        <w:t>the</w:t>
      </w:r>
      <w:r>
        <w:rPr>
          <w:spacing w:val="-10"/>
          <w:sz w:val="18"/>
        </w:rPr>
        <w:t xml:space="preserve"> </w:t>
      </w:r>
      <w:r>
        <w:rPr>
          <w:sz w:val="18"/>
        </w:rPr>
        <w:t>Chinese</w:t>
      </w:r>
      <w:r>
        <w:rPr>
          <w:spacing w:val="-11"/>
          <w:sz w:val="18"/>
        </w:rPr>
        <w:t xml:space="preserve"> </w:t>
      </w:r>
      <w:r>
        <w:rPr>
          <w:sz w:val="18"/>
        </w:rPr>
        <w:t>automobiles</w:t>
      </w:r>
      <w:r>
        <w:rPr>
          <w:spacing w:val="-10"/>
          <w:sz w:val="18"/>
        </w:rPr>
        <w:t xml:space="preserve"> </w:t>
      </w:r>
      <w:r>
        <w:rPr>
          <w:sz w:val="18"/>
        </w:rPr>
        <w:t>can</w:t>
      </w:r>
      <w:r>
        <w:rPr>
          <w:spacing w:val="-10"/>
          <w:sz w:val="18"/>
        </w:rPr>
        <w:t xml:space="preserve"> </w:t>
      </w:r>
      <w:r>
        <w:rPr>
          <w:sz w:val="18"/>
        </w:rPr>
        <w:t>be</w:t>
      </w:r>
      <w:r>
        <w:rPr>
          <w:spacing w:val="-10"/>
          <w:sz w:val="18"/>
        </w:rPr>
        <w:t xml:space="preserve"> </w:t>
      </w:r>
      <w:r>
        <w:rPr>
          <w:sz w:val="18"/>
        </w:rPr>
        <w:t>appropriately compared with the AUVs of the imported automobiles. ...</w:t>
      </w:r>
    </w:p>
    <w:p w14:paraId="51DE8E3C" w14:textId="77777777" w:rsidR="0010369C" w:rsidRDefault="008E43AE">
      <w:pPr>
        <w:spacing w:before="120"/>
        <w:ind w:left="1087" w:right="1179" w:firstLine="1"/>
        <w:jc w:val="both"/>
        <w:rPr>
          <w:sz w:val="18"/>
        </w:rPr>
      </w:pPr>
      <w:r>
        <w:rPr>
          <w:sz w:val="18"/>
        </w:rPr>
        <w:t>[7.279] In this case, the record suggests that MOFCOM's like product determinat</w:t>
      </w:r>
      <w:r>
        <w:rPr>
          <w:sz w:val="18"/>
        </w:rPr>
        <w:t xml:space="preserve">ion was an inadequate basis on which to conclude that the AUVs for the imported and domestic products were comparable for two reasons. First, there was evidence before MOFCOM suggesting that the mix of products differed between the subject imports and the </w:t>
      </w:r>
      <w:r>
        <w:rPr>
          <w:sz w:val="18"/>
        </w:rPr>
        <w:t>domestic like product. …</w:t>
      </w:r>
    </w:p>
    <w:p w14:paraId="51DE8E3D" w14:textId="77777777" w:rsidR="0010369C" w:rsidRDefault="008E43AE">
      <w:pPr>
        <w:spacing w:before="120"/>
        <w:ind w:left="1088" w:right="1178" w:firstLine="1"/>
        <w:jc w:val="both"/>
        <w:rPr>
          <w:sz w:val="18"/>
        </w:rPr>
      </w:pPr>
      <w:r>
        <w:rPr>
          <w:sz w:val="18"/>
        </w:rPr>
        <w:t>[7.280] Second, MOFCOM's like product determination itself acknowledges some lack of competitive overlap between subject imports and the domestic like product. In its preliminary determination, MOFCOM evaluated similarities between</w:t>
      </w:r>
      <w:r>
        <w:rPr>
          <w:sz w:val="18"/>
        </w:rPr>
        <w:t xml:space="preserve"> both baskets of goods on the basis of "physical and chemical characteristics", "use", "sales channels", and "prices, consumers, competitiveness or substitution". …</w:t>
      </w:r>
    </w:p>
    <w:p w14:paraId="51DE8E3E" w14:textId="77777777" w:rsidR="0010369C" w:rsidRDefault="008E43AE">
      <w:pPr>
        <w:spacing w:before="121"/>
        <w:ind w:left="1939" w:right="1180"/>
        <w:jc w:val="both"/>
        <w:rPr>
          <w:sz w:val="18"/>
        </w:rPr>
      </w:pPr>
      <w:r>
        <w:rPr>
          <w:sz w:val="18"/>
        </w:rPr>
        <w:t>[a]ll</w:t>
      </w:r>
      <w:r>
        <w:rPr>
          <w:spacing w:val="-9"/>
          <w:sz w:val="18"/>
        </w:rPr>
        <w:t xml:space="preserve"> </w:t>
      </w:r>
      <w:r>
        <w:rPr>
          <w:sz w:val="18"/>
        </w:rPr>
        <w:t>in</w:t>
      </w:r>
      <w:r>
        <w:rPr>
          <w:spacing w:val="-8"/>
          <w:sz w:val="18"/>
        </w:rPr>
        <w:t xml:space="preserve"> </w:t>
      </w:r>
      <w:r>
        <w:rPr>
          <w:sz w:val="18"/>
        </w:rPr>
        <w:t>all,</w:t>
      </w:r>
      <w:r>
        <w:rPr>
          <w:spacing w:val="-9"/>
          <w:sz w:val="18"/>
        </w:rPr>
        <w:t xml:space="preserve"> </w:t>
      </w:r>
      <w:r>
        <w:rPr>
          <w:sz w:val="18"/>
        </w:rPr>
        <w:t>the</w:t>
      </w:r>
      <w:r>
        <w:rPr>
          <w:spacing w:val="-8"/>
          <w:sz w:val="18"/>
        </w:rPr>
        <w:t xml:space="preserve"> </w:t>
      </w:r>
      <w:r>
        <w:rPr>
          <w:sz w:val="18"/>
        </w:rPr>
        <w:t>investigating</w:t>
      </w:r>
      <w:r>
        <w:rPr>
          <w:spacing w:val="-7"/>
          <w:sz w:val="18"/>
        </w:rPr>
        <w:t xml:space="preserve"> </w:t>
      </w:r>
      <w:r>
        <w:rPr>
          <w:sz w:val="18"/>
        </w:rPr>
        <w:t>authority</w:t>
      </w:r>
      <w:r>
        <w:rPr>
          <w:spacing w:val="-8"/>
          <w:sz w:val="18"/>
        </w:rPr>
        <w:t xml:space="preserve"> </w:t>
      </w:r>
      <w:r>
        <w:rPr>
          <w:sz w:val="18"/>
        </w:rPr>
        <w:t>considers</w:t>
      </w:r>
      <w:r>
        <w:rPr>
          <w:spacing w:val="-8"/>
          <w:sz w:val="18"/>
        </w:rPr>
        <w:t xml:space="preserve"> </w:t>
      </w:r>
      <w:r>
        <w:rPr>
          <w:sz w:val="18"/>
        </w:rPr>
        <w:t>that,</w:t>
      </w:r>
      <w:r>
        <w:rPr>
          <w:spacing w:val="-9"/>
          <w:sz w:val="18"/>
        </w:rPr>
        <w:t xml:space="preserve"> </w:t>
      </w:r>
      <w:r>
        <w:rPr>
          <w:sz w:val="18"/>
        </w:rPr>
        <w:t>although</w:t>
      </w:r>
      <w:r>
        <w:rPr>
          <w:spacing w:val="-8"/>
          <w:sz w:val="18"/>
        </w:rPr>
        <w:t xml:space="preserve"> </w:t>
      </w:r>
      <w:r>
        <w:rPr>
          <w:sz w:val="18"/>
        </w:rPr>
        <w:t>the</w:t>
      </w:r>
      <w:r>
        <w:rPr>
          <w:spacing w:val="-8"/>
          <w:sz w:val="18"/>
        </w:rPr>
        <w:t xml:space="preserve"> </w:t>
      </w:r>
      <w:r>
        <w:rPr>
          <w:sz w:val="18"/>
        </w:rPr>
        <w:t>product</w:t>
      </w:r>
      <w:r>
        <w:rPr>
          <w:spacing w:val="-8"/>
          <w:sz w:val="18"/>
        </w:rPr>
        <w:t xml:space="preserve"> </w:t>
      </w:r>
      <w:r>
        <w:rPr>
          <w:sz w:val="18"/>
        </w:rPr>
        <w:t>under</w:t>
      </w:r>
      <w:r>
        <w:rPr>
          <w:spacing w:val="-9"/>
          <w:sz w:val="18"/>
        </w:rPr>
        <w:t xml:space="preserve"> </w:t>
      </w:r>
      <w:r>
        <w:rPr>
          <w:sz w:val="18"/>
        </w:rPr>
        <w:t>investigation and the domestic products are different to some extent, but their physical and chemical characteristics, use and</w:t>
      </w:r>
      <w:r>
        <w:rPr>
          <w:spacing w:val="-2"/>
          <w:sz w:val="18"/>
        </w:rPr>
        <w:t xml:space="preserve"> </w:t>
      </w:r>
      <w:r>
        <w:rPr>
          <w:sz w:val="18"/>
        </w:rPr>
        <w:t>sales</w:t>
      </w:r>
      <w:r>
        <w:rPr>
          <w:spacing w:val="-1"/>
          <w:sz w:val="18"/>
        </w:rPr>
        <w:t xml:space="preserve"> </w:t>
      </w:r>
      <w:r>
        <w:rPr>
          <w:sz w:val="18"/>
        </w:rPr>
        <w:t>channels</w:t>
      </w:r>
      <w:r>
        <w:rPr>
          <w:spacing w:val="-1"/>
          <w:sz w:val="18"/>
        </w:rPr>
        <w:t xml:space="preserve"> </w:t>
      </w:r>
      <w:r>
        <w:rPr>
          <w:sz w:val="18"/>
        </w:rPr>
        <w:t>are</w:t>
      </w:r>
      <w:r>
        <w:rPr>
          <w:spacing w:val="-2"/>
          <w:sz w:val="18"/>
        </w:rPr>
        <w:t xml:space="preserve"> </w:t>
      </w:r>
      <w:r>
        <w:rPr>
          <w:sz w:val="18"/>
        </w:rPr>
        <w:t>generally</w:t>
      </w:r>
      <w:r>
        <w:rPr>
          <w:spacing w:val="-1"/>
          <w:sz w:val="18"/>
        </w:rPr>
        <w:t xml:space="preserve"> </w:t>
      </w:r>
      <w:r>
        <w:rPr>
          <w:sz w:val="18"/>
        </w:rPr>
        <w:t>the same or</w:t>
      </w:r>
      <w:r>
        <w:rPr>
          <w:spacing w:val="-2"/>
          <w:sz w:val="18"/>
        </w:rPr>
        <w:t xml:space="preserve"> </w:t>
      </w:r>
      <w:r>
        <w:rPr>
          <w:sz w:val="18"/>
        </w:rPr>
        <w:t>similar,</w:t>
      </w:r>
      <w:r>
        <w:rPr>
          <w:spacing w:val="-1"/>
          <w:sz w:val="18"/>
        </w:rPr>
        <w:t xml:space="preserve"> </w:t>
      </w:r>
      <w:r>
        <w:rPr>
          <w:sz w:val="18"/>
        </w:rPr>
        <w:t>and</w:t>
      </w:r>
      <w:r>
        <w:rPr>
          <w:spacing w:val="-1"/>
          <w:sz w:val="18"/>
        </w:rPr>
        <w:t xml:space="preserve"> </w:t>
      </w:r>
      <w:r>
        <w:rPr>
          <w:sz w:val="18"/>
        </w:rPr>
        <w:t>their</w:t>
      </w:r>
      <w:r>
        <w:rPr>
          <w:spacing w:val="-1"/>
          <w:sz w:val="18"/>
        </w:rPr>
        <w:t xml:space="preserve"> </w:t>
      </w:r>
      <w:r>
        <w:rPr>
          <w:sz w:val="18"/>
        </w:rPr>
        <w:t>prices and end</w:t>
      </w:r>
      <w:r>
        <w:rPr>
          <w:spacing w:val="-9"/>
          <w:sz w:val="18"/>
        </w:rPr>
        <w:t xml:space="preserve"> </w:t>
      </w:r>
      <w:r>
        <w:rPr>
          <w:sz w:val="18"/>
        </w:rPr>
        <w:t>users</w:t>
      </w:r>
      <w:r>
        <w:rPr>
          <w:spacing w:val="-9"/>
          <w:sz w:val="18"/>
        </w:rPr>
        <w:t xml:space="preserve"> </w:t>
      </w:r>
      <w:r>
        <w:rPr>
          <w:sz w:val="18"/>
        </w:rPr>
        <w:t>overlap</w:t>
      </w:r>
      <w:r>
        <w:rPr>
          <w:spacing w:val="-9"/>
          <w:sz w:val="18"/>
        </w:rPr>
        <w:t xml:space="preserve"> </w:t>
      </w:r>
      <w:r>
        <w:rPr>
          <w:sz w:val="18"/>
        </w:rPr>
        <w:t>partially,</w:t>
      </w:r>
      <w:r>
        <w:rPr>
          <w:spacing w:val="-9"/>
          <w:sz w:val="18"/>
        </w:rPr>
        <w:t xml:space="preserve"> </w:t>
      </w:r>
      <w:r>
        <w:rPr>
          <w:sz w:val="18"/>
        </w:rPr>
        <w:t>while</w:t>
      </w:r>
      <w:r>
        <w:rPr>
          <w:spacing w:val="-8"/>
          <w:sz w:val="18"/>
        </w:rPr>
        <w:t xml:space="preserve"> </w:t>
      </w:r>
      <w:r>
        <w:rPr>
          <w:sz w:val="18"/>
        </w:rPr>
        <w:t>perception</w:t>
      </w:r>
      <w:r>
        <w:rPr>
          <w:spacing w:val="-8"/>
          <w:sz w:val="18"/>
        </w:rPr>
        <w:t xml:space="preserve"> </w:t>
      </w:r>
      <w:r>
        <w:rPr>
          <w:sz w:val="18"/>
        </w:rPr>
        <w:t>of</w:t>
      </w:r>
      <w:r>
        <w:rPr>
          <w:spacing w:val="-9"/>
          <w:sz w:val="18"/>
        </w:rPr>
        <w:t xml:space="preserve"> </w:t>
      </w:r>
      <w:r>
        <w:rPr>
          <w:sz w:val="18"/>
        </w:rPr>
        <w:t>consumers</w:t>
      </w:r>
      <w:r>
        <w:rPr>
          <w:spacing w:val="-9"/>
          <w:sz w:val="18"/>
        </w:rPr>
        <w:t xml:space="preserve"> </w:t>
      </w:r>
      <w:r>
        <w:rPr>
          <w:sz w:val="18"/>
        </w:rPr>
        <w:t>is</w:t>
      </w:r>
      <w:r>
        <w:rPr>
          <w:spacing w:val="-10"/>
          <w:sz w:val="18"/>
        </w:rPr>
        <w:t xml:space="preserve"> </w:t>
      </w:r>
      <w:r>
        <w:rPr>
          <w:sz w:val="18"/>
        </w:rPr>
        <w:t>usually</w:t>
      </w:r>
      <w:r>
        <w:rPr>
          <w:spacing w:val="-9"/>
          <w:sz w:val="18"/>
        </w:rPr>
        <w:t xml:space="preserve"> </w:t>
      </w:r>
      <w:r>
        <w:rPr>
          <w:sz w:val="18"/>
        </w:rPr>
        <w:t>reflected</w:t>
      </w:r>
      <w:r>
        <w:rPr>
          <w:spacing w:val="-10"/>
          <w:sz w:val="18"/>
        </w:rPr>
        <w:t xml:space="preserve"> </w:t>
      </w:r>
      <w:r>
        <w:rPr>
          <w:sz w:val="18"/>
        </w:rPr>
        <w:t>in</w:t>
      </w:r>
      <w:r>
        <w:rPr>
          <w:spacing w:val="-9"/>
          <w:sz w:val="18"/>
        </w:rPr>
        <w:t xml:space="preserve"> </w:t>
      </w:r>
      <w:r>
        <w:rPr>
          <w:sz w:val="18"/>
        </w:rPr>
        <w:t>prices.</w:t>
      </w:r>
      <w:r>
        <w:rPr>
          <w:spacing w:val="-9"/>
          <w:sz w:val="18"/>
        </w:rPr>
        <w:t xml:space="preserve"> </w:t>
      </w:r>
      <w:r>
        <w:rPr>
          <w:sz w:val="18"/>
        </w:rPr>
        <w:t>So</w:t>
      </w:r>
      <w:r>
        <w:rPr>
          <w:spacing w:val="-9"/>
          <w:sz w:val="18"/>
        </w:rPr>
        <w:t xml:space="preserve"> </w:t>
      </w:r>
      <w:r>
        <w:rPr>
          <w:sz w:val="18"/>
        </w:rPr>
        <w:t>the product under investigation and the domestic products may substitute for each other and they are competing with each other.</w:t>
      </w:r>
    </w:p>
    <w:p w14:paraId="51DE8E3F" w14:textId="77777777" w:rsidR="0010369C" w:rsidRDefault="008E43AE">
      <w:pPr>
        <w:spacing w:before="119"/>
        <w:ind w:left="1090"/>
        <w:rPr>
          <w:sz w:val="18"/>
        </w:rPr>
      </w:pPr>
      <w:r>
        <w:rPr>
          <w:w w:val="99"/>
          <w:sz w:val="18"/>
        </w:rPr>
        <w:t>…</w:t>
      </w:r>
    </w:p>
    <w:p w14:paraId="51DE8E40" w14:textId="77777777" w:rsidR="0010369C" w:rsidRDefault="008E43AE">
      <w:pPr>
        <w:spacing w:before="120"/>
        <w:ind w:left="235" w:right="1180" w:firstLine="3"/>
        <w:jc w:val="both"/>
        <w:rPr>
          <w:sz w:val="18"/>
        </w:rPr>
      </w:pPr>
      <w:r>
        <w:rPr>
          <w:sz w:val="18"/>
        </w:rPr>
        <w:t>[7.281] In our view, the arguments by US respondents, coupled with MOFCOM's own analysis, demonstrate that MOFCOM was or should have been aware that all subject automobiles imported from the United States were not identical</w:t>
      </w:r>
      <w:r>
        <w:rPr>
          <w:spacing w:val="-1"/>
          <w:sz w:val="18"/>
        </w:rPr>
        <w:t xml:space="preserve"> </w:t>
      </w:r>
      <w:r>
        <w:rPr>
          <w:sz w:val="18"/>
        </w:rPr>
        <w:t>to</w:t>
      </w:r>
      <w:r>
        <w:rPr>
          <w:spacing w:val="-1"/>
          <w:sz w:val="18"/>
        </w:rPr>
        <w:t xml:space="preserve"> </w:t>
      </w:r>
      <w:r>
        <w:rPr>
          <w:sz w:val="18"/>
        </w:rPr>
        <w:t>all</w:t>
      </w:r>
      <w:r>
        <w:rPr>
          <w:spacing w:val="-2"/>
          <w:sz w:val="18"/>
        </w:rPr>
        <w:t xml:space="preserve"> </w:t>
      </w:r>
      <w:r>
        <w:rPr>
          <w:sz w:val="18"/>
        </w:rPr>
        <w:t>Chinese</w:t>
      </w:r>
      <w:r>
        <w:rPr>
          <w:spacing w:val="-1"/>
          <w:sz w:val="18"/>
        </w:rPr>
        <w:t xml:space="preserve"> </w:t>
      </w:r>
      <w:r>
        <w:rPr>
          <w:sz w:val="18"/>
        </w:rPr>
        <w:t>automobiles</w:t>
      </w:r>
      <w:r>
        <w:rPr>
          <w:spacing w:val="-1"/>
          <w:sz w:val="18"/>
        </w:rPr>
        <w:t xml:space="preserve"> </w:t>
      </w:r>
      <w:r>
        <w:rPr>
          <w:sz w:val="18"/>
        </w:rPr>
        <w:t>const</w:t>
      </w:r>
      <w:r>
        <w:rPr>
          <w:sz w:val="18"/>
        </w:rPr>
        <w:t>ituting the</w:t>
      </w:r>
      <w:r>
        <w:rPr>
          <w:spacing w:val="-1"/>
          <w:sz w:val="18"/>
        </w:rPr>
        <w:t xml:space="preserve"> </w:t>
      </w:r>
      <w:r>
        <w:rPr>
          <w:sz w:val="18"/>
        </w:rPr>
        <w:t>domestic</w:t>
      </w:r>
      <w:r>
        <w:rPr>
          <w:spacing w:val="-1"/>
          <w:sz w:val="18"/>
        </w:rPr>
        <w:t xml:space="preserve"> </w:t>
      </w:r>
      <w:r>
        <w:rPr>
          <w:sz w:val="18"/>
        </w:rPr>
        <w:t>like</w:t>
      </w:r>
      <w:r>
        <w:rPr>
          <w:spacing w:val="-1"/>
          <w:sz w:val="18"/>
        </w:rPr>
        <w:t xml:space="preserve"> </w:t>
      </w:r>
      <w:r>
        <w:rPr>
          <w:sz w:val="18"/>
        </w:rPr>
        <w:t>product.</w:t>
      </w:r>
      <w:r>
        <w:rPr>
          <w:spacing w:val="-1"/>
          <w:sz w:val="18"/>
        </w:rPr>
        <w:t xml:space="preserve"> </w:t>
      </w:r>
      <w:r>
        <w:rPr>
          <w:sz w:val="18"/>
        </w:rPr>
        <w:t>In</w:t>
      </w:r>
      <w:r>
        <w:rPr>
          <w:spacing w:val="-1"/>
          <w:sz w:val="18"/>
        </w:rPr>
        <w:t xml:space="preserve"> </w:t>
      </w:r>
      <w:r>
        <w:rPr>
          <w:sz w:val="18"/>
        </w:rPr>
        <w:t>our</w:t>
      </w:r>
      <w:r>
        <w:rPr>
          <w:spacing w:val="-1"/>
          <w:sz w:val="18"/>
        </w:rPr>
        <w:t xml:space="preserve"> </w:t>
      </w:r>
      <w:r>
        <w:rPr>
          <w:sz w:val="18"/>
        </w:rPr>
        <w:t>view,</w:t>
      </w:r>
      <w:r>
        <w:rPr>
          <w:spacing w:val="-2"/>
          <w:sz w:val="18"/>
        </w:rPr>
        <w:t xml:space="preserve"> </w:t>
      </w:r>
      <w:r>
        <w:rPr>
          <w:sz w:val="18"/>
        </w:rPr>
        <w:t>the</w:t>
      </w:r>
      <w:r>
        <w:rPr>
          <w:spacing w:val="-1"/>
          <w:sz w:val="18"/>
        </w:rPr>
        <w:t xml:space="preserve"> </w:t>
      </w:r>
      <w:r>
        <w:rPr>
          <w:sz w:val="18"/>
        </w:rPr>
        <w:t>differences</w:t>
      </w:r>
      <w:r>
        <w:rPr>
          <w:spacing w:val="-1"/>
          <w:sz w:val="18"/>
        </w:rPr>
        <w:t xml:space="preserve"> </w:t>
      </w:r>
      <w:r>
        <w:rPr>
          <w:sz w:val="18"/>
        </w:rPr>
        <w:t>between</w:t>
      </w:r>
      <w:r>
        <w:rPr>
          <w:spacing w:val="-1"/>
          <w:sz w:val="18"/>
        </w:rPr>
        <w:t xml:space="preserve"> </w:t>
      </w:r>
      <w:r>
        <w:rPr>
          <w:sz w:val="18"/>
        </w:rPr>
        <w:t>the two baskets of goods should have prompted an objective decision‐maker to make further inquiries into those differences</w:t>
      </w:r>
      <w:r>
        <w:rPr>
          <w:spacing w:val="-8"/>
          <w:sz w:val="18"/>
        </w:rPr>
        <w:t xml:space="preserve"> </w:t>
      </w:r>
      <w:r>
        <w:rPr>
          <w:sz w:val="18"/>
        </w:rPr>
        <w:t>to</w:t>
      </w:r>
      <w:r>
        <w:rPr>
          <w:spacing w:val="-9"/>
          <w:sz w:val="18"/>
        </w:rPr>
        <w:t xml:space="preserve"> </w:t>
      </w:r>
      <w:r>
        <w:rPr>
          <w:sz w:val="18"/>
        </w:rPr>
        <w:t>determine</w:t>
      </w:r>
      <w:r>
        <w:rPr>
          <w:spacing w:val="-8"/>
          <w:sz w:val="18"/>
        </w:rPr>
        <w:t xml:space="preserve"> </w:t>
      </w:r>
      <w:r>
        <w:rPr>
          <w:sz w:val="18"/>
        </w:rPr>
        <w:t>whether</w:t>
      </w:r>
      <w:r>
        <w:rPr>
          <w:spacing w:val="-9"/>
          <w:sz w:val="18"/>
        </w:rPr>
        <w:t xml:space="preserve"> </w:t>
      </w:r>
      <w:r>
        <w:rPr>
          <w:sz w:val="18"/>
        </w:rPr>
        <w:t>they</w:t>
      </w:r>
      <w:r>
        <w:rPr>
          <w:spacing w:val="-9"/>
          <w:sz w:val="18"/>
        </w:rPr>
        <w:t xml:space="preserve"> </w:t>
      </w:r>
      <w:r>
        <w:rPr>
          <w:sz w:val="18"/>
        </w:rPr>
        <w:t>affected</w:t>
      </w:r>
      <w:r>
        <w:rPr>
          <w:spacing w:val="-8"/>
          <w:sz w:val="18"/>
        </w:rPr>
        <w:t xml:space="preserve"> </w:t>
      </w:r>
      <w:r>
        <w:rPr>
          <w:sz w:val="18"/>
        </w:rPr>
        <w:t>prices,</w:t>
      </w:r>
      <w:r>
        <w:rPr>
          <w:spacing w:val="-8"/>
          <w:sz w:val="18"/>
        </w:rPr>
        <w:t xml:space="preserve"> </w:t>
      </w:r>
      <w:r>
        <w:rPr>
          <w:sz w:val="18"/>
        </w:rPr>
        <w:t>before</w:t>
      </w:r>
      <w:r>
        <w:rPr>
          <w:spacing w:val="-7"/>
          <w:sz w:val="18"/>
        </w:rPr>
        <w:t xml:space="preserve"> </w:t>
      </w:r>
      <w:r>
        <w:rPr>
          <w:sz w:val="18"/>
        </w:rPr>
        <w:t>proceeding</w:t>
      </w:r>
      <w:r>
        <w:rPr>
          <w:spacing w:val="-9"/>
          <w:sz w:val="18"/>
        </w:rPr>
        <w:t xml:space="preserve"> </w:t>
      </w:r>
      <w:r>
        <w:rPr>
          <w:sz w:val="18"/>
        </w:rPr>
        <w:t>to</w:t>
      </w:r>
      <w:r>
        <w:rPr>
          <w:spacing w:val="-9"/>
          <w:sz w:val="18"/>
        </w:rPr>
        <w:t xml:space="preserve"> </w:t>
      </w:r>
      <w:r>
        <w:rPr>
          <w:sz w:val="18"/>
        </w:rPr>
        <w:t>undertake</w:t>
      </w:r>
      <w:r>
        <w:rPr>
          <w:spacing w:val="-8"/>
          <w:sz w:val="18"/>
        </w:rPr>
        <w:t xml:space="preserve"> </w:t>
      </w:r>
      <w:r>
        <w:rPr>
          <w:sz w:val="18"/>
        </w:rPr>
        <w:t>a</w:t>
      </w:r>
      <w:r>
        <w:rPr>
          <w:spacing w:val="-8"/>
          <w:sz w:val="18"/>
        </w:rPr>
        <w:t xml:space="preserve"> </w:t>
      </w:r>
      <w:r>
        <w:rPr>
          <w:sz w:val="18"/>
        </w:rPr>
        <w:t>price</w:t>
      </w:r>
      <w:r>
        <w:rPr>
          <w:spacing w:val="-7"/>
          <w:sz w:val="18"/>
        </w:rPr>
        <w:t xml:space="preserve"> </w:t>
      </w:r>
      <w:r>
        <w:rPr>
          <w:sz w:val="18"/>
        </w:rPr>
        <w:t>effects</w:t>
      </w:r>
      <w:r>
        <w:rPr>
          <w:spacing w:val="-9"/>
          <w:sz w:val="18"/>
        </w:rPr>
        <w:t xml:space="preserve"> </w:t>
      </w:r>
      <w:r>
        <w:rPr>
          <w:sz w:val="18"/>
        </w:rPr>
        <w:t>analysis</w:t>
      </w:r>
      <w:r>
        <w:rPr>
          <w:spacing w:val="-8"/>
          <w:sz w:val="18"/>
        </w:rPr>
        <w:t xml:space="preserve"> </w:t>
      </w:r>
      <w:r>
        <w:rPr>
          <w:sz w:val="18"/>
        </w:rPr>
        <w:t>on</w:t>
      </w:r>
      <w:r>
        <w:rPr>
          <w:spacing w:val="-8"/>
          <w:sz w:val="18"/>
        </w:rPr>
        <w:t xml:space="preserve"> </w:t>
      </w:r>
      <w:r>
        <w:rPr>
          <w:sz w:val="18"/>
        </w:rPr>
        <w:t>the basis of AUVs for the two baskets of goods …</w:t>
      </w:r>
    </w:p>
    <w:p w14:paraId="51DE8E41" w14:textId="77777777" w:rsidR="0010369C" w:rsidRDefault="0010369C">
      <w:pPr>
        <w:jc w:val="both"/>
        <w:rPr>
          <w:sz w:val="18"/>
        </w:rPr>
        <w:sectPr w:rsidR="0010369C">
          <w:headerReference w:type="default" r:id="rId754"/>
          <w:footerReference w:type="default" r:id="rId755"/>
          <w:pgSz w:w="11910" w:h="16840"/>
          <w:pgMar w:top="880" w:right="800" w:bottom="980" w:left="1180" w:header="569" w:footer="788" w:gutter="0"/>
          <w:cols w:space="720"/>
        </w:sectPr>
      </w:pPr>
    </w:p>
    <w:p w14:paraId="51DE8E42" w14:textId="77777777" w:rsidR="0010369C" w:rsidRDefault="008E43AE">
      <w:pPr>
        <w:tabs>
          <w:tab w:val="left" w:pos="6426"/>
        </w:tabs>
        <w:ind w:left="238"/>
        <w:jc w:val="both"/>
        <w:rPr>
          <w:sz w:val="20"/>
        </w:rPr>
      </w:pPr>
      <w:r>
        <w:rPr>
          <w:i/>
          <w:sz w:val="20"/>
        </w:rPr>
        <w:lastRenderedPageBreak/>
        <w:t>China</w:t>
      </w:r>
      <w:r>
        <w:rPr>
          <w:i/>
          <w:spacing w:val="-5"/>
          <w:sz w:val="20"/>
        </w:rPr>
        <w:t xml:space="preserve"> </w:t>
      </w:r>
      <w:r>
        <w:rPr>
          <w:i/>
          <w:sz w:val="20"/>
        </w:rPr>
        <w:t>–</w:t>
      </w:r>
      <w:r>
        <w:rPr>
          <w:i/>
          <w:spacing w:val="-5"/>
          <w:sz w:val="20"/>
        </w:rPr>
        <w:t xml:space="preserve"> </w:t>
      </w:r>
      <w:r>
        <w:rPr>
          <w:i/>
          <w:sz w:val="20"/>
        </w:rPr>
        <w:t>Anti‐Dumping</w:t>
      </w:r>
      <w:r>
        <w:rPr>
          <w:i/>
          <w:spacing w:val="-4"/>
          <w:sz w:val="20"/>
        </w:rPr>
        <w:t xml:space="preserve"> </w:t>
      </w:r>
      <w:r>
        <w:rPr>
          <w:i/>
          <w:sz w:val="20"/>
        </w:rPr>
        <w:t>and</w:t>
      </w:r>
      <w:r>
        <w:rPr>
          <w:i/>
          <w:spacing w:val="-5"/>
          <w:sz w:val="20"/>
        </w:rPr>
        <w:t xml:space="preserve"> </w:t>
      </w:r>
      <w:r>
        <w:rPr>
          <w:i/>
          <w:sz w:val="20"/>
        </w:rPr>
        <w:t>Countervailing</w:t>
      </w:r>
      <w:r>
        <w:rPr>
          <w:i/>
          <w:spacing w:val="-5"/>
          <w:sz w:val="20"/>
        </w:rPr>
        <w:t xml:space="preserve"> </w:t>
      </w:r>
      <w:r>
        <w:rPr>
          <w:i/>
          <w:sz w:val="20"/>
        </w:rPr>
        <w:t>Duty</w:t>
      </w:r>
      <w:r>
        <w:rPr>
          <w:i/>
          <w:spacing w:val="-4"/>
          <w:sz w:val="20"/>
        </w:rPr>
        <w:t xml:space="preserve"> </w:t>
      </w:r>
      <w:r>
        <w:rPr>
          <w:i/>
          <w:spacing w:val="-2"/>
          <w:sz w:val="20"/>
        </w:rPr>
        <w:t>Measures</w:t>
      </w:r>
      <w:r>
        <w:rPr>
          <w:i/>
          <w:sz w:val="20"/>
        </w:rPr>
        <w:tab/>
      </w:r>
      <w:r>
        <w:rPr>
          <w:sz w:val="20"/>
        </w:rPr>
        <w:t>Australia's</w:t>
      </w:r>
      <w:r>
        <w:rPr>
          <w:spacing w:val="-7"/>
          <w:sz w:val="20"/>
        </w:rPr>
        <w:t xml:space="preserve"> </w:t>
      </w:r>
      <w:r>
        <w:rPr>
          <w:sz w:val="20"/>
        </w:rPr>
        <w:t>First</w:t>
      </w:r>
      <w:r>
        <w:rPr>
          <w:spacing w:val="-2"/>
          <w:sz w:val="20"/>
        </w:rPr>
        <w:t xml:space="preserve"> </w:t>
      </w:r>
      <w:r>
        <w:rPr>
          <w:sz w:val="20"/>
        </w:rPr>
        <w:t>Written</w:t>
      </w:r>
      <w:r>
        <w:rPr>
          <w:spacing w:val="-2"/>
          <w:sz w:val="20"/>
        </w:rPr>
        <w:t xml:space="preserve"> Submission</w:t>
      </w:r>
    </w:p>
    <w:p w14:paraId="51DE8E43" w14:textId="77777777" w:rsidR="0010369C" w:rsidRDefault="008E43AE">
      <w:pPr>
        <w:tabs>
          <w:tab w:val="left" w:pos="8228"/>
        </w:tabs>
        <w:spacing w:before="1"/>
        <w:ind w:left="239"/>
        <w:jc w:val="both"/>
        <w:rPr>
          <w:sz w:val="20"/>
        </w:rPr>
      </w:pPr>
      <w:r>
        <w:rPr>
          <w:i/>
          <w:sz w:val="20"/>
        </w:rPr>
        <w:t>on</w:t>
      </w:r>
      <w:r>
        <w:rPr>
          <w:i/>
          <w:spacing w:val="-1"/>
          <w:sz w:val="20"/>
        </w:rPr>
        <w:t xml:space="preserve"> </w:t>
      </w:r>
      <w:r>
        <w:rPr>
          <w:i/>
          <w:sz w:val="20"/>
        </w:rPr>
        <w:t>Wine</w:t>
      </w:r>
      <w:r>
        <w:rPr>
          <w:i/>
          <w:spacing w:val="-1"/>
          <w:sz w:val="20"/>
        </w:rPr>
        <w:t xml:space="preserve"> </w:t>
      </w:r>
      <w:r>
        <w:rPr>
          <w:i/>
          <w:sz w:val="20"/>
        </w:rPr>
        <w:t>from</w:t>
      </w:r>
      <w:r>
        <w:rPr>
          <w:i/>
          <w:spacing w:val="-3"/>
          <w:sz w:val="20"/>
        </w:rPr>
        <w:t xml:space="preserve"> </w:t>
      </w:r>
      <w:r>
        <w:rPr>
          <w:i/>
          <w:sz w:val="20"/>
        </w:rPr>
        <w:t>Australia</w:t>
      </w:r>
      <w:r>
        <w:rPr>
          <w:i/>
          <w:spacing w:val="-1"/>
          <w:sz w:val="20"/>
        </w:rPr>
        <w:t xml:space="preserve"> </w:t>
      </w:r>
      <w:r>
        <w:rPr>
          <w:spacing w:val="-2"/>
          <w:sz w:val="20"/>
        </w:rPr>
        <w:t>(DS602)</w:t>
      </w:r>
      <w:r>
        <w:rPr>
          <w:sz w:val="20"/>
        </w:rPr>
        <w:tab/>
        <w:t>29</w:t>
      </w:r>
      <w:r>
        <w:rPr>
          <w:spacing w:val="-1"/>
          <w:sz w:val="20"/>
        </w:rPr>
        <w:t xml:space="preserve"> </w:t>
      </w:r>
      <w:r>
        <w:rPr>
          <w:sz w:val="20"/>
        </w:rPr>
        <w:t>April</w:t>
      </w:r>
      <w:r>
        <w:rPr>
          <w:spacing w:val="-2"/>
          <w:sz w:val="20"/>
        </w:rPr>
        <w:t xml:space="preserve"> </w:t>
      </w:r>
      <w:r>
        <w:rPr>
          <w:spacing w:val="-4"/>
          <w:sz w:val="20"/>
        </w:rPr>
        <w:t>2022</w:t>
      </w:r>
    </w:p>
    <w:p w14:paraId="51DE8E44" w14:textId="77777777" w:rsidR="0010369C" w:rsidRDefault="008E43AE">
      <w:pPr>
        <w:pStyle w:val="BodyText"/>
        <w:spacing w:before="34" w:line="360" w:lineRule="auto"/>
        <w:ind w:left="235" w:right="613" w:firstLine="2"/>
        <w:jc w:val="both"/>
      </w:pPr>
      <w:r>
        <w:t>and price between different types of Australian wine products falling within the definition of subject imports and different types of Chinese wine products falling within the</w:t>
      </w:r>
      <w:r>
        <w:t xml:space="preserve"> scope of the like</w:t>
      </w:r>
      <w:r>
        <w:rPr>
          <w:spacing w:val="-3"/>
        </w:rPr>
        <w:t xml:space="preserve"> </w:t>
      </w:r>
      <w:r>
        <w:t>products.</w:t>
      </w:r>
      <w:r>
        <w:rPr>
          <w:spacing w:val="-2"/>
        </w:rPr>
        <w:t xml:space="preserve"> </w:t>
      </w:r>
      <w:r>
        <w:t>MOFCOM</w:t>
      </w:r>
      <w:r>
        <w:rPr>
          <w:spacing w:val="-3"/>
        </w:rPr>
        <w:t xml:space="preserve"> </w:t>
      </w:r>
      <w:r>
        <w:t>was</w:t>
      </w:r>
      <w:r>
        <w:rPr>
          <w:spacing w:val="-4"/>
        </w:rPr>
        <w:t xml:space="preserve"> </w:t>
      </w:r>
      <w:r>
        <w:t>aware</w:t>
      </w:r>
      <w:r>
        <w:rPr>
          <w:spacing w:val="-5"/>
        </w:rPr>
        <w:t xml:space="preserve"> </w:t>
      </w:r>
      <w:r>
        <w:t>that</w:t>
      </w:r>
      <w:r>
        <w:rPr>
          <w:spacing w:val="-4"/>
        </w:rPr>
        <w:t xml:space="preserve"> </w:t>
      </w:r>
      <w:r>
        <w:t>all</w:t>
      </w:r>
      <w:r>
        <w:rPr>
          <w:spacing w:val="-4"/>
        </w:rPr>
        <w:t xml:space="preserve"> </w:t>
      </w:r>
      <w:r>
        <w:t>subject</w:t>
      </w:r>
      <w:r>
        <w:rPr>
          <w:spacing w:val="-4"/>
        </w:rPr>
        <w:t xml:space="preserve"> </w:t>
      </w:r>
      <w:r>
        <w:t>imports</w:t>
      </w:r>
      <w:r>
        <w:rPr>
          <w:spacing w:val="-4"/>
        </w:rPr>
        <w:t xml:space="preserve"> </w:t>
      </w:r>
      <w:r>
        <w:t>from</w:t>
      </w:r>
      <w:r>
        <w:rPr>
          <w:spacing w:val="-4"/>
        </w:rPr>
        <w:t xml:space="preserve"> </w:t>
      </w:r>
      <w:r>
        <w:t>Australia</w:t>
      </w:r>
      <w:r>
        <w:rPr>
          <w:spacing w:val="-4"/>
        </w:rPr>
        <w:t xml:space="preserve"> </w:t>
      </w:r>
      <w:r>
        <w:t>are</w:t>
      </w:r>
      <w:r>
        <w:rPr>
          <w:spacing w:val="-5"/>
        </w:rPr>
        <w:t xml:space="preserve"> </w:t>
      </w:r>
      <w:r>
        <w:t>not</w:t>
      </w:r>
      <w:r>
        <w:rPr>
          <w:spacing w:val="-4"/>
        </w:rPr>
        <w:t xml:space="preserve"> </w:t>
      </w:r>
      <w:r>
        <w:t>identical</w:t>
      </w:r>
      <w:r>
        <w:rPr>
          <w:spacing w:val="-4"/>
        </w:rPr>
        <w:t xml:space="preserve"> </w:t>
      </w:r>
      <w:r>
        <w:t>to all</w:t>
      </w:r>
      <w:r>
        <w:rPr>
          <w:spacing w:val="-8"/>
        </w:rPr>
        <w:t xml:space="preserve"> </w:t>
      </w:r>
      <w:r>
        <w:t>Chinese</w:t>
      </w:r>
      <w:r>
        <w:rPr>
          <w:spacing w:val="-7"/>
        </w:rPr>
        <w:t xml:space="preserve"> </w:t>
      </w:r>
      <w:r>
        <w:t>wines</w:t>
      </w:r>
      <w:r>
        <w:rPr>
          <w:spacing w:val="-8"/>
        </w:rPr>
        <w:t xml:space="preserve"> </w:t>
      </w:r>
      <w:r>
        <w:t>constituting</w:t>
      </w:r>
      <w:r>
        <w:rPr>
          <w:spacing w:val="-8"/>
        </w:rPr>
        <w:t xml:space="preserve"> </w:t>
      </w:r>
      <w:r>
        <w:t>the</w:t>
      </w:r>
      <w:r>
        <w:rPr>
          <w:spacing w:val="-7"/>
        </w:rPr>
        <w:t xml:space="preserve"> </w:t>
      </w:r>
      <w:r>
        <w:t>domestic</w:t>
      </w:r>
      <w:r>
        <w:rPr>
          <w:spacing w:val="-6"/>
        </w:rPr>
        <w:t xml:space="preserve"> </w:t>
      </w:r>
      <w:r>
        <w:t>like</w:t>
      </w:r>
      <w:r>
        <w:rPr>
          <w:spacing w:val="-7"/>
        </w:rPr>
        <w:t xml:space="preserve"> </w:t>
      </w:r>
      <w:r>
        <w:t>products.</w:t>
      </w:r>
      <w:r>
        <w:rPr>
          <w:vertAlign w:val="superscript"/>
        </w:rPr>
        <w:t>643</w:t>
      </w:r>
      <w:r>
        <w:rPr>
          <w:spacing w:val="-8"/>
        </w:rPr>
        <w:t xml:space="preserve"> </w:t>
      </w:r>
      <w:r>
        <w:t>The</w:t>
      </w:r>
      <w:r>
        <w:rPr>
          <w:spacing w:val="-7"/>
        </w:rPr>
        <w:t xml:space="preserve"> </w:t>
      </w:r>
      <w:r>
        <w:t>differences</w:t>
      </w:r>
      <w:r>
        <w:rPr>
          <w:spacing w:val="-6"/>
        </w:rPr>
        <w:t xml:space="preserve"> </w:t>
      </w:r>
      <w:r>
        <w:t>between</w:t>
      </w:r>
      <w:r>
        <w:rPr>
          <w:spacing w:val="-7"/>
        </w:rPr>
        <w:t xml:space="preserve"> </w:t>
      </w:r>
      <w:r>
        <w:t>the</w:t>
      </w:r>
      <w:r>
        <w:rPr>
          <w:spacing w:val="-7"/>
        </w:rPr>
        <w:t xml:space="preserve"> </w:t>
      </w:r>
      <w:r>
        <w:t>two baskets of products should have prompted an objective decision‐maker to make further inquiries</w:t>
      </w:r>
      <w:r>
        <w:rPr>
          <w:spacing w:val="-10"/>
        </w:rPr>
        <w:t xml:space="preserve"> </w:t>
      </w:r>
      <w:r>
        <w:t>into</w:t>
      </w:r>
      <w:r>
        <w:rPr>
          <w:spacing w:val="-10"/>
        </w:rPr>
        <w:t xml:space="preserve"> </w:t>
      </w:r>
      <w:r>
        <w:t>those</w:t>
      </w:r>
      <w:r>
        <w:rPr>
          <w:spacing w:val="-10"/>
        </w:rPr>
        <w:t xml:space="preserve"> </w:t>
      </w:r>
      <w:r>
        <w:t>differences</w:t>
      </w:r>
      <w:r>
        <w:rPr>
          <w:spacing w:val="-10"/>
        </w:rPr>
        <w:t xml:space="preserve"> </w:t>
      </w:r>
      <w:r>
        <w:t>to</w:t>
      </w:r>
      <w:r>
        <w:rPr>
          <w:spacing w:val="-10"/>
        </w:rPr>
        <w:t xml:space="preserve"> </w:t>
      </w:r>
      <w:r>
        <w:t>determine</w:t>
      </w:r>
      <w:r>
        <w:rPr>
          <w:spacing w:val="-10"/>
        </w:rPr>
        <w:t xml:space="preserve"> </w:t>
      </w:r>
      <w:r>
        <w:t>whether</w:t>
      </w:r>
      <w:r>
        <w:rPr>
          <w:spacing w:val="-10"/>
        </w:rPr>
        <w:t xml:space="preserve"> </w:t>
      </w:r>
      <w:r>
        <w:t>they</w:t>
      </w:r>
      <w:r>
        <w:rPr>
          <w:spacing w:val="-10"/>
        </w:rPr>
        <w:t xml:space="preserve"> </w:t>
      </w:r>
      <w:r>
        <w:t>affected</w:t>
      </w:r>
      <w:r>
        <w:rPr>
          <w:spacing w:val="-10"/>
        </w:rPr>
        <w:t xml:space="preserve"> </w:t>
      </w:r>
      <w:r>
        <w:t>prices,</w:t>
      </w:r>
      <w:r>
        <w:rPr>
          <w:spacing w:val="-10"/>
        </w:rPr>
        <w:t xml:space="preserve"> </w:t>
      </w:r>
      <w:r>
        <w:t>before</w:t>
      </w:r>
      <w:r>
        <w:rPr>
          <w:spacing w:val="-10"/>
        </w:rPr>
        <w:t xml:space="preserve"> </w:t>
      </w:r>
      <w:r>
        <w:t>proceeding to</w:t>
      </w:r>
      <w:r>
        <w:rPr>
          <w:spacing w:val="-3"/>
        </w:rPr>
        <w:t xml:space="preserve"> </w:t>
      </w:r>
      <w:r>
        <w:t>undertake</w:t>
      </w:r>
      <w:r>
        <w:rPr>
          <w:spacing w:val="-3"/>
        </w:rPr>
        <w:t xml:space="preserve"> </w:t>
      </w:r>
      <w:r>
        <w:t>a</w:t>
      </w:r>
      <w:r>
        <w:rPr>
          <w:spacing w:val="-4"/>
        </w:rPr>
        <w:t xml:space="preserve"> </w:t>
      </w:r>
      <w:r>
        <w:t>price</w:t>
      </w:r>
      <w:r>
        <w:rPr>
          <w:spacing w:val="-4"/>
        </w:rPr>
        <w:t xml:space="preserve"> </w:t>
      </w:r>
      <w:r>
        <w:t>effects</w:t>
      </w:r>
      <w:r>
        <w:rPr>
          <w:spacing w:val="-5"/>
        </w:rPr>
        <w:t xml:space="preserve"> </w:t>
      </w:r>
      <w:r>
        <w:t>analysis</w:t>
      </w:r>
      <w:r>
        <w:rPr>
          <w:spacing w:val="-5"/>
        </w:rPr>
        <w:t xml:space="preserve"> </w:t>
      </w:r>
      <w:r>
        <w:t>on</w:t>
      </w:r>
      <w:r>
        <w:rPr>
          <w:spacing w:val="-4"/>
        </w:rPr>
        <w:t xml:space="preserve"> </w:t>
      </w:r>
      <w:r>
        <w:t>the</w:t>
      </w:r>
      <w:r>
        <w:rPr>
          <w:spacing w:val="-3"/>
        </w:rPr>
        <w:t xml:space="preserve"> </w:t>
      </w:r>
      <w:r>
        <w:t>basis</w:t>
      </w:r>
      <w:r>
        <w:rPr>
          <w:spacing w:val="-5"/>
        </w:rPr>
        <w:t xml:space="preserve"> </w:t>
      </w:r>
      <w:r>
        <w:t>of</w:t>
      </w:r>
      <w:r>
        <w:rPr>
          <w:spacing w:val="-4"/>
        </w:rPr>
        <w:t xml:space="preserve"> </w:t>
      </w:r>
      <w:r>
        <w:t>the</w:t>
      </w:r>
      <w:r>
        <w:rPr>
          <w:spacing w:val="-3"/>
        </w:rPr>
        <w:t xml:space="preserve"> </w:t>
      </w:r>
      <w:r>
        <w:t>annual</w:t>
      </w:r>
      <w:r>
        <w:rPr>
          <w:spacing w:val="-4"/>
        </w:rPr>
        <w:t xml:space="preserve"> </w:t>
      </w:r>
      <w:r>
        <w:t>average</w:t>
      </w:r>
      <w:r>
        <w:rPr>
          <w:spacing w:val="-3"/>
        </w:rPr>
        <w:t xml:space="preserve"> </w:t>
      </w:r>
      <w:r>
        <w:t>unit</w:t>
      </w:r>
      <w:r>
        <w:rPr>
          <w:spacing w:val="-4"/>
        </w:rPr>
        <w:t xml:space="preserve"> </w:t>
      </w:r>
      <w:r>
        <w:t>prices</w:t>
      </w:r>
      <w:r>
        <w:rPr>
          <w:spacing w:val="-4"/>
        </w:rPr>
        <w:t xml:space="preserve"> </w:t>
      </w:r>
      <w:r>
        <w:t>for</w:t>
      </w:r>
      <w:r>
        <w:rPr>
          <w:spacing w:val="-4"/>
        </w:rPr>
        <w:t xml:space="preserve"> </w:t>
      </w:r>
      <w:r>
        <w:t>each</w:t>
      </w:r>
      <w:r>
        <w:rPr>
          <w:spacing w:val="-6"/>
        </w:rPr>
        <w:t xml:space="preserve"> </w:t>
      </w:r>
      <w:r>
        <w:t xml:space="preserve">of the two baskets of goods. MOFCOM failed to do so. As a result, MOFCOM's analysis is inconsistent with China's obligations under Articles 3.1 and 3.2 of the Anti‐Dumping </w:t>
      </w:r>
      <w:r>
        <w:rPr>
          <w:spacing w:val="-2"/>
        </w:rPr>
        <w:t>Agreement.</w:t>
      </w:r>
    </w:p>
    <w:p w14:paraId="51DE8E45" w14:textId="77777777" w:rsidR="0010369C" w:rsidRDefault="0010369C">
      <w:pPr>
        <w:pStyle w:val="BodyText"/>
        <w:spacing w:before="10"/>
        <w:rPr>
          <w:sz w:val="8"/>
        </w:rPr>
      </w:pPr>
    </w:p>
    <w:p w14:paraId="51DE8E46" w14:textId="77777777" w:rsidR="0010369C" w:rsidRDefault="008E43AE">
      <w:pPr>
        <w:pStyle w:val="BodyText"/>
        <w:spacing w:before="52" w:line="360" w:lineRule="auto"/>
        <w:ind w:left="237" w:right="611" w:firstLine="851"/>
        <w:jc w:val="both"/>
      </w:pPr>
      <w:r>
        <w:rPr>
          <w:noProof/>
        </w:rPr>
        <w:drawing>
          <wp:anchor distT="0" distB="0" distL="0" distR="0" simplePos="0" relativeHeight="251203072" behindDoc="1" locked="0" layoutInCell="1" allowOverlap="1" wp14:anchorId="51DEA475" wp14:editId="51DEA476">
            <wp:simplePos x="0" y="0"/>
            <wp:positionH relativeFrom="page">
              <wp:posOffset>902208</wp:posOffset>
            </wp:positionH>
            <wp:positionV relativeFrom="paragraph">
              <wp:posOffset>81357</wp:posOffset>
            </wp:positionV>
            <wp:extent cx="262127" cy="103631"/>
            <wp:effectExtent l="0" t="0" r="0" b="0"/>
            <wp:wrapNone/>
            <wp:docPr id="1133" name="image5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 name="image578.png"/>
                    <pic:cNvPicPr/>
                  </pic:nvPicPr>
                  <pic:blipFill>
                    <a:blip r:embed="rId756" cstate="print"/>
                    <a:stretch>
                      <a:fillRect/>
                    </a:stretch>
                  </pic:blipFill>
                  <pic:spPr>
                    <a:xfrm>
                      <a:off x="0" y="0"/>
                      <a:ext cx="262127" cy="103631"/>
                    </a:xfrm>
                    <a:prstGeom prst="rect">
                      <a:avLst/>
                    </a:prstGeom>
                  </pic:spPr>
                </pic:pic>
              </a:graphicData>
            </a:graphic>
          </wp:anchor>
        </w:drawing>
      </w:r>
      <w:r>
        <w:t>There</w:t>
      </w:r>
      <w:r>
        <w:rPr>
          <w:spacing w:val="-1"/>
        </w:rPr>
        <w:t xml:space="preserve"> </w:t>
      </w:r>
      <w:r>
        <w:t>was</w:t>
      </w:r>
      <w:r>
        <w:rPr>
          <w:spacing w:val="-2"/>
        </w:rPr>
        <w:t xml:space="preserve"> </w:t>
      </w:r>
      <w:r>
        <w:t>detailed</w:t>
      </w:r>
      <w:r>
        <w:rPr>
          <w:spacing w:val="-1"/>
        </w:rPr>
        <w:t xml:space="preserve"> </w:t>
      </w:r>
      <w:r>
        <w:t>evidence</w:t>
      </w:r>
      <w:r>
        <w:rPr>
          <w:spacing w:val="-2"/>
        </w:rPr>
        <w:t xml:space="preserve"> </w:t>
      </w:r>
      <w:r>
        <w:t>on</w:t>
      </w:r>
      <w:r>
        <w:rPr>
          <w:spacing w:val="-2"/>
        </w:rPr>
        <w:t xml:space="preserve"> </w:t>
      </w:r>
      <w:r>
        <w:t>the</w:t>
      </w:r>
      <w:r>
        <w:rPr>
          <w:spacing w:val="-1"/>
        </w:rPr>
        <w:t xml:space="preserve"> </w:t>
      </w:r>
      <w:r>
        <w:t>record</w:t>
      </w:r>
      <w:r>
        <w:rPr>
          <w:spacing w:val="-2"/>
        </w:rPr>
        <w:t xml:space="preserve"> </w:t>
      </w:r>
      <w:r>
        <w:t>before MOFCOM that</w:t>
      </w:r>
      <w:r>
        <w:rPr>
          <w:spacing w:val="-2"/>
        </w:rPr>
        <w:t xml:space="preserve"> </w:t>
      </w:r>
      <w:r>
        <w:t>clearly</w:t>
      </w:r>
      <w:r>
        <w:rPr>
          <w:spacing w:val="-1"/>
        </w:rPr>
        <w:t xml:space="preserve"> </w:t>
      </w:r>
      <w:r>
        <w:t>established that MOFCOM was aware that there were significant differences between the basket of subject imports and the basket of domestic like products. This evidence falls into three categories: (a) evidence</w:t>
      </w:r>
      <w:r>
        <w:rPr>
          <w:spacing w:val="-2"/>
        </w:rPr>
        <w:t xml:space="preserve"> </w:t>
      </w:r>
      <w:r>
        <w:t>establishing</w:t>
      </w:r>
      <w:r>
        <w:rPr>
          <w:spacing w:val="-2"/>
        </w:rPr>
        <w:t xml:space="preserve"> </w:t>
      </w:r>
      <w:r>
        <w:t>differ</w:t>
      </w:r>
      <w:r>
        <w:t>ences</w:t>
      </w:r>
      <w:r>
        <w:rPr>
          <w:spacing w:val="-1"/>
        </w:rPr>
        <w:t xml:space="preserve"> </w:t>
      </w:r>
      <w:r>
        <w:t>between the mix of products ("product mix" or "product differentiation") in the basket of subject imports and the basket of like domestic products;</w:t>
      </w:r>
      <w:r>
        <w:rPr>
          <w:spacing w:val="-14"/>
        </w:rPr>
        <w:t xml:space="preserve"> </w:t>
      </w:r>
      <w:r>
        <w:t>(b)</w:t>
      </w:r>
      <w:r>
        <w:rPr>
          <w:spacing w:val="-14"/>
        </w:rPr>
        <w:t xml:space="preserve"> </w:t>
      </w:r>
      <w:r>
        <w:t>product</w:t>
      </w:r>
      <w:r>
        <w:rPr>
          <w:spacing w:val="-13"/>
        </w:rPr>
        <w:t xml:space="preserve"> </w:t>
      </w:r>
      <w:r>
        <w:t>control</w:t>
      </w:r>
      <w:r>
        <w:rPr>
          <w:spacing w:val="-14"/>
        </w:rPr>
        <w:t xml:space="preserve"> </w:t>
      </w:r>
      <w:r>
        <w:t>code</w:t>
      </w:r>
      <w:r>
        <w:rPr>
          <w:spacing w:val="-13"/>
        </w:rPr>
        <w:t xml:space="preserve"> </w:t>
      </w:r>
      <w:r>
        <w:t>and</w:t>
      </w:r>
      <w:r>
        <w:rPr>
          <w:spacing w:val="-14"/>
        </w:rPr>
        <w:t xml:space="preserve"> </w:t>
      </w:r>
      <w:r>
        <w:t>quality</w:t>
      </w:r>
      <w:r>
        <w:rPr>
          <w:spacing w:val="-13"/>
        </w:rPr>
        <w:t xml:space="preserve"> </w:t>
      </w:r>
      <w:r>
        <w:t>grading</w:t>
      </w:r>
      <w:r>
        <w:rPr>
          <w:spacing w:val="-14"/>
        </w:rPr>
        <w:t xml:space="preserve"> </w:t>
      </w:r>
      <w:r>
        <w:t>information</w:t>
      </w:r>
      <w:r>
        <w:rPr>
          <w:spacing w:val="-14"/>
        </w:rPr>
        <w:t xml:space="preserve"> </w:t>
      </w:r>
      <w:r>
        <w:t>establishing</w:t>
      </w:r>
      <w:r>
        <w:rPr>
          <w:spacing w:val="-13"/>
        </w:rPr>
        <w:t xml:space="preserve"> </w:t>
      </w:r>
      <w:r>
        <w:t>different</w:t>
      </w:r>
      <w:r>
        <w:rPr>
          <w:spacing w:val="-14"/>
        </w:rPr>
        <w:t xml:space="preserve"> </w:t>
      </w:r>
      <w:r>
        <w:t>types and categories o</w:t>
      </w:r>
      <w:r>
        <w:t>f products within the basket of subject imports; and (c) quality grading information establishing different types and categories of products within the basket of domestic like products. The evidence relating to each category is discussed below.</w:t>
      </w:r>
    </w:p>
    <w:p w14:paraId="51DE8E47" w14:textId="77777777" w:rsidR="0010369C" w:rsidRDefault="008E43AE">
      <w:pPr>
        <w:pStyle w:val="ListParagraph"/>
        <w:numPr>
          <w:ilvl w:val="0"/>
          <w:numId w:val="57"/>
        </w:numPr>
        <w:tabs>
          <w:tab w:val="left" w:pos="5341"/>
        </w:tabs>
        <w:spacing w:before="160" w:line="360" w:lineRule="auto"/>
        <w:ind w:right="614"/>
        <w:jc w:val="both"/>
        <w:rPr>
          <w:sz w:val="24"/>
        </w:rPr>
      </w:pPr>
      <w:r>
        <w:rPr>
          <w:sz w:val="24"/>
          <w:u w:val="single"/>
        </w:rPr>
        <w:t>Differences</w:t>
      </w:r>
      <w:r>
        <w:rPr>
          <w:spacing w:val="-12"/>
          <w:sz w:val="24"/>
          <w:u w:val="single"/>
        </w:rPr>
        <w:t xml:space="preserve"> </w:t>
      </w:r>
      <w:r>
        <w:rPr>
          <w:sz w:val="24"/>
          <w:u w:val="single"/>
        </w:rPr>
        <w:t>between</w:t>
      </w:r>
      <w:r>
        <w:rPr>
          <w:spacing w:val="-10"/>
          <w:sz w:val="24"/>
          <w:u w:val="single"/>
        </w:rPr>
        <w:t xml:space="preserve"> </w:t>
      </w:r>
      <w:r>
        <w:rPr>
          <w:sz w:val="24"/>
          <w:u w:val="single"/>
        </w:rPr>
        <w:t>the</w:t>
      </w:r>
      <w:r>
        <w:rPr>
          <w:spacing w:val="-10"/>
          <w:sz w:val="24"/>
          <w:u w:val="single"/>
        </w:rPr>
        <w:t xml:space="preserve"> </w:t>
      </w:r>
      <w:r>
        <w:rPr>
          <w:sz w:val="24"/>
          <w:u w:val="single"/>
        </w:rPr>
        <w:t>mix</w:t>
      </w:r>
      <w:r>
        <w:rPr>
          <w:spacing w:val="-11"/>
          <w:sz w:val="24"/>
          <w:u w:val="single"/>
        </w:rPr>
        <w:t xml:space="preserve"> </w:t>
      </w:r>
      <w:r>
        <w:rPr>
          <w:sz w:val="24"/>
          <w:u w:val="single"/>
        </w:rPr>
        <w:t>of</w:t>
      </w:r>
      <w:r>
        <w:rPr>
          <w:spacing w:val="-10"/>
          <w:sz w:val="24"/>
          <w:u w:val="single"/>
        </w:rPr>
        <w:t xml:space="preserve"> </w:t>
      </w:r>
      <w:r>
        <w:rPr>
          <w:sz w:val="24"/>
          <w:u w:val="single"/>
        </w:rPr>
        <w:t>products</w:t>
      </w:r>
      <w:r>
        <w:rPr>
          <w:sz w:val="24"/>
        </w:rPr>
        <w:t xml:space="preserve"> </w:t>
      </w:r>
      <w:r>
        <w:rPr>
          <w:sz w:val="24"/>
          <w:u w:val="single"/>
        </w:rPr>
        <w:t>in the basket of subject imports and the</w:t>
      </w:r>
      <w:r>
        <w:rPr>
          <w:sz w:val="24"/>
        </w:rPr>
        <w:t xml:space="preserve"> </w:t>
      </w:r>
      <w:r>
        <w:rPr>
          <w:sz w:val="24"/>
          <w:u w:val="single"/>
        </w:rPr>
        <w:t>basket of like domestic products</w:t>
      </w:r>
    </w:p>
    <w:p w14:paraId="51DE8E48" w14:textId="77777777" w:rsidR="0010369C" w:rsidRDefault="0010369C">
      <w:pPr>
        <w:pStyle w:val="BodyText"/>
        <w:spacing w:before="11"/>
        <w:rPr>
          <w:sz w:val="8"/>
        </w:rPr>
      </w:pPr>
    </w:p>
    <w:p w14:paraId="51DE8E49" w14:textId="77777777" w:rsidR="0010369C" w:rsidRDefault="008E43AE">
      <w:pPr>
        <w:pStyle w:val="BodyText"/>
        <w:spacing w:before="51" w:line="360" w:lineRule="auto"/>
        <w:ind w:left="237" w:right="612" w:firstLine="851"/>
        <w:jc w:val="both"/>
      </w:pPr>
      <w:r>
        <w:rPr>
          <w:noProof/>
        </w:rPr>
        <w:drawing>
          <wp:anchor distT="0" distB="0" distL="0" distR="0" simplePos="0" relativeHeight="251204096" behindDoc="1" locked="0" layoutInCell="1" allowOverlap="1" wp14:anchorId="51DEA477" wp14:editId="51DEA478">
            <wp:simplePos x="0" y="0"/>
            <wp:positionH relativeFrom="page">
              <wp:posOffset>902208</wp:posOffset>
            </wp:positionH>
            <wp:positionV relativeFrom="paragraph">
              <wp:posOffset>76912</wp:posOffset>
            </wp:positionV>
            <wp:extent cx="262127" cy="106679"/>
            <wp:effectExtent l="0" t="0" r="0" b="0"/>
            <wp:wrapNone/>
            <wp:docPr id="1135" name="image5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 name="image579.png"/>
                    <pic:cNvPicPr/>
                  </pic:nvPicPr>
                  <pic:blipFill>
                    <a:blip r:embed="rId757" cstate="print"/>
                    <a:stretch>
                      <a:fillRect/>
                    </a:stretch>
                  </pic:blipFill>
                  <pic:spPr>
                    <a:xfrm>
                      <a:off x="0" y="0"/>
                      <a:ext cx="262127" cy="106679"/>
                    </a:xfrm>
                    <a:prstGeom prst="rect">
                      <a:avLst/>
                    </a:prstGeom>
                  </pic:spPr>
                </pic:pic>
              </a:graphicData>
            </a:graphic>
          </wp:anchor>
        </w:drawing>
      </w:r>
      <w:r>
        <w:t>Based on the evidence on the investigation record, MOFCOM was or should have been aware that there were significant differences in the product mix betw</w:t>
      </w:r>
      <w:r>
        <w:t>een the basket of subject imports and the basket of domestic like products. The evidence of the differences between</w:t>
      </w:r>
      <w:r>
        <w:rPr>
          <w:spacing w:val="-1"/>
        </w:rPr>
        <w:t xml:space="preserve"> </w:t>
      </w:r>
      <w:r>
        <w:t>the</w:t>
      </w:r>
      <w:r>
        <w:rPr>
          <w:spacing w:val="-1"/>
        </w:rPr>
        <w:t xml:space="preserve"> </w:t>
      </w:r>
      <w:r>
        <w:t>two</w:t>
      </w:r>
      <w:r>
        <w:rPr>
          <w:spacing w:val="-1"/>
        </w:rPr>
        <w:t xml:space="preserve"> </w:t>
      </w:r>
      <w:r>
        <w:t>baskets</w:t>
      </w:r>
      <w:r>
        <w:rPr>
          <w:spacing w:val="-1"/>
        </w:rPr>
        <w:t xml:space="preserve"> </w:t>
      </w:r>
      <w:r>
        <w:t>was</w:t>
      </w:r>
      <w:r>
        <w:rPr>
          <w:spacing w:val="-1"/>
        </w:rPr>
        <w:t xml:space="preserve"> </w:t>
      </w:r>
      <w:r>
        <w:t>more</w:t>
      </w:r>
      <w:r>
        <w:rPr>
          <w:spacing w:val="-1"/>
        </w:rPr>
        <w:t xml:space="preserve"> </w:t>
      </w:r>
      <w:r>
        <w:t>than</w:t>
      </w:r>
      <w:r>
        <w:rPr>
          <w:spacing w:val="-1"/>
        </w:rPr>
        <w:t xml:space="preserve"> </w:t>
      </w:r>
      <w:r>
        <w:t>sufficient to</w:t>
      </w:r>
      <w:r>
        <w:rPr>
          <w:spacing w:val="-1"/>
        </w:rPr>
        <w:t xml:space="preserve"> </w:t>
      </w:r>
      <w:r>
        <w:t>prompt</w:t>
      </w:r>
      <w:r>
        <w:rPr>
          <w:spacing w:val="-1"/>
        </w:rPr>
        <w:t xml:space="preserve"> </w:t>
      </w:r>
      <w:r>
        <w:t>an</w:t>
      </w:r>
      <w:r>
        <w:rPr>
          <w:spacing w:val="-1"/>
        </w:rPr>
        <w:t xml:space="preserve"> </w:t>
      </w:r>
      <w:r>
        <w:t>objective decision‐maker</w:t>
      </w:r>
      <w:r>
        <w:rPr>
          <w:spacing w:val="-1"/>
        </w:rPr>
        <w:t xml:space="preserve"> </w:t>
      </w:r>
      <w:r>
        <w:t>to make</w:t>
      </w:r>
      <w:r>
        <w:rPr>
          <w:spacing w:val="-12"/>
        </w:rPr>
        <w:t xml:space="preserve"> </w:t>
      </w:r>
      <w:r>
        <w:t>further</w:t>
      </w:r>
      <w:r>
        <w:rPr>
          <w:spacing w:val="-12"/>
        </w:rPr>
        <w:t xml:space="preserve"> </w:t>
      </w:r>
      <w:r>
        <w:t>inquiries</w:t>
      </w:r>
      <w:r>
        <w:rPr>
          <w:spacing w:val="-12"/>
        </w:rPr>
        <w:t xml:space="preserve"> </w:t>
      </w:r>
      <w:r>
        <w:t>into</w:t>
      </w:r>
      <w:r>
        <w:rPr>
          <w:spacing w:val="-11"/>
        </w:rPr>
        <w:t xml:space="preserve"> </w:t>
      </w:r>
      <w:r>
        <w:t>the</w:t>
      </w:r>
      <w:r>
        <w:rPr>
          <w:spacing w:val="-12"/>
        </w:rPr>
        <w:t xml:space="preserve"> </w:t>
      </w:r>
      <w:r>
        <w:t>differences</w:t>
      </w:r>
      <w:r>
        <w:rPr>
          <w:spacing w:val="-12"/>
        </w:rPr>
        <w:t xml:space="preserve"> </w:t>
      </w:r>
      <w:r>
        <w:t>to</w:t>
      </w:r>
      <w:r>
        <w:rPr>
          <w:spacing w:val="-12"/>
        </w:rPr>
        <w:t xml:space="preserve"> </w:t>
      </w:r>
      <w:r>
        <w:t>determine</w:t>
      </w:r>
      <w:r>
        <w:rPr>
          <w:spacing w:val="-12"/>
        </w:rPr>
        <w:t xml:space="preserve"> </w:t>
      </w:r>
      <w:r>
        <w:t>whether</w:t>
      </w:r>
      <w:r>
        <w:rPr>
          <w:spacing w:val="-12"/>
        </w:rPr>
        <w:t xml:space="preserve"> </w:t>
      </w:r>
      <w:r>
        <w:t>they</w:t>
      </w:r>
      <w:r>
        <w:rPr>
          <w:spacing w:val="-12"/>
        </w:rPr>
        <w:t xml:space="preserve"> </w:t>
      </w:r>
      <w:r>
        <w:t>affected</w:t>
      </w:r>
      <w:r>
        <w:rPr>
          <w:spacing w:val="-13"/>
        </w:rPr>
        <w:t xml:space="preserve"> </w:t>
      </w:r>
      <w:r>
        <w:t>prices,</w:t>
      </w:r>
      <w:r>
        <w:rPr>
          <w:spacing w:val="-12"/>
        </w:rPr>
        <w:t xml:space="preserve"> </w:t>
      </w:r>
      <w:r>
        <w:rPr>
          <w:spacing w:val="-2"/>
        </w:rPr>
        <w:t>before</w:t>
      </w:r>
    </w:p>
    <w:p w14:paraId="51DE8E4A" w14:textId="77777777" w:rsidR="0010369C" w:rsidRDefault="0010369C">
      <w:pPr>
        <w:pStyle w:val="BodyText"/>
        <w:rPr>
          <w:sz w:val="20"/>
        </w:rPr>
      </w:pPr>
    </w:p>
    <w:p w14:paraId="51DE8E4B" w14:textId="77777777" w:rsidR="0010369C" w:rsidRDefault="008E43AE">
      <w:pPr>
        <w:pStyle w:val="BodyText"/>
        <w:spacing w:before="7"/>
        <w:rPr>
          <w:sz w:val="13"/>
        </w:rPr>
      </w:pPr>
      <w:r>
        <w:pict w14:anchorId="51DEA479">
          <v:rect id="docshape1031" o:spid="_x0000_s1346" style="position:absolute;margin-left:70.9pt;margin-top:9.5pt;width:2in;height:.8pt;z-index:-250834432;mso-wrap-distance-left:0;mso-wrap-distance-right:0;mso-position-horizontal-relative:page" fillcolor="black" stroked="f">
            <w10:wrap type="topAndBottom" anchorx="page"/>
          </v:rect>
        </w:pict>
      </w:r>
    </w:p>
    <w:p w14:paraId="51DE8E4C" w14:textId="77777777" w:rsidR="0010369C" w:rsidRDefault="008E43AE">
      <w:pPr>
        <w:spacing w:before="109"/>
        <w:ind w:left="238" w:right="612"/>
        <w:jc w:val="both"/>
        <w:rPr>
          <w:sz w:val="18"/>
        </w:rPr>
      </w:pPr>
      <w:r>
        <w:rPr>
          <w:sz w:val="18"/>
          <w:vertAlign w:val="superscript"/>
        </w:rPr>
        <w:t>643</w:t>
      </w:r>
      <w:r>
        <w:rPr>
          <w:sz w:val="18"/>
        </w:rPr>
        <w:t xml:space="preserve"> In this respect, MOFCOM's own analysis describes the effect of "changes in the prices of high‐end foreign wines" on consumer selection of "domestic high‐end or middle‐and‐low end wines", indicating an a</w:t>
      </w:r>
      <w:r>
        <w:rPr>
          <w:sz w:val="18"/>
        </w:rPr>
        <w:t xml:space="preserve">wareness of the different product mix in the basket of subject imports </w:t>
      </w:r>
      <w:r>
        <w:rPr>
          <w:i/>
          <w:sz w:val="18"/>
        </w:rPr>
        <w:t xml:space="preserve">vis‐à‐vis </w:t>
      </w:r>
      <w:r>
        <w:rPr>
          <w:sz w:val="18"/>
        </w:rPr>
        <w:t>the basket of domestic wine products. Similarly, MOFCOM found that subject imports consisted of "different specifications and types" of wine in comparison to domestic products</w:t>
      </w:r>
      <w:r>
        <w:rPr>
          <w:sz w:val="18"/>
        </w:rPr>
        <w:t>. Anti‐Dumping Final Determination (Exhibit AUS‐2), pp. 105‐106.</w:t>
      </w:r>
    </w:p>
    <w:p w14:paraId="51DE8E4D" w14:textId="77777777" w:rsidR="0010369C" w:rsidRDefault="0010369C">
      <w:pPr>
        <w:jc w:val="both"/>
        <w:rPr>
          <w:sz w:val="18"/>
        </w:rPr>
        <w:sectPr w:rsidR="0010369C">
          <w:pgSz w:w="11910" w:h="16840"/>
          <w:pgMar w:top="880" w:right="800" w:bottom="980" w:left="1180" w:header="569" w:footer="788" w:gutter="0"/>
          <w:cols w:space="720"/>
        </w:sectPr>
      </w:pPr>
    </w:p>
    <w:p w14:paraId="51DE8E4E" w14:textId="77777777" w:rsidR="0010369C" w:rsidRDefault="008E43AE">
      <w:pPr>
        <w:pStyle w:val="BodyText"/>
        <w:spacing w:line="20" w:lineRule="exact"/>
        <w:ind w:left="104"/>
        <w:rPr>
          <w:sz w:val="2"/>
        </w:rPr>
      </w:pPr>
      <w:r>
        <w:rPr>
          <w:sz w:val="2"/>
        </w:rPr>
      </w:r>
      <w:r>
        <w:rPr>
          <w:sz w:val="2"/>
        </w:rPr>
        <w:pict w14:anchorId="51DEA47B">
          <v:group id="docshapegroup1033" o:spid="_x0000_s1344" style="width:464.6pt;height:1.05pt;mso-position-horizontal-relative:char;mso-position-vertical-relative:line" coordsize="9292,21">
            <v:line id="_x0000_s1345" style="position:absolute" from="0,10" to="9291,10" strokeweight=".35361mm"/>
            <w10:anchorlock/>
          </v:group>
        </w:pict>
      </w:r>
    </w:p>
    <w:p w14:paraId="51DE8E4F" w14:textId="77777777" w:rsidR="0010369C" w:rsidRDefault="008E43AE">
      <w:pPr>
        <w:spacing w:before="45"/>
        <w:ind w:right="357"/>
        <w:jc w:val="center"/>
        <w:rPr>
          <w:rFonts w:ascii="Arial"/>
          <w:sz w:val="21"/>
        </w:rPr>
      </w:pPr>
      <w:r>
        <w:pict w14:anchorId="51DEA47C">
          <v:shape id="docshape1034" o:spid="_x0000_s1343" style="position:absolute;left:0;text-align:left;margin-left:64.2pt;margin-top:16.1pt;width:464.6pt;height:.1pt;z-index:-250833408;mso-wrap-distance-left:0;mso-wrap-distance-right:0;mso-position-horizontal-relative:page" coordorigin="1284,322" coordsize="9292,0" path="m1284,322r9291,e" filled="f" strokeweight=".35361mm">
            <v:path arrowok="t"/>
            <w10:wrap type="topAndBottom" anchorx="page"/>
          </v:shape>
        </w:pict>
      </w:r>
      <w:r>
        <w:rPr>
          <w:rFonts w:ascii="Arial"/>
          <w:color w:val="1C1C1C"/>
          <w:w w:val="95"/>
          <w:sz w:val="21"/>
        </w:rPr>
        <w:t>Business</w:t>
      </w:r>
      <w:r>
        <w:rPr>
          <w:rFonts w:ascii="Arial"/>
          <w:color w:val="1C1C1C"/>
          <w:spacing w:val="1"/>
          <w:sz w:val="21"/>
        </w:rPr>
        <w:t xml:space="preserve"> </w:t>
      </w:r>
      <w:r>
        <w:rPr>
          <w:rFonts w:ascii="Arial"/>
          <w:color w:val="1C1C1C"/>
          <w:w w:val="95"/>
          <w:sz w:val="21"/>
        </w:rPr>
        <w:t>Confidential</w:t>
      </w:r>
      <w:r>
        <w:rPr>
          <w:rFonts w:ascii="Arial"/>
          <w:color w:val="1C1C1C"/>
          <w:spacing w:val="-2"/>
          <w:w w:val="95"/>
          <w:sz w:val="21"/>
        </w:rPr>
        <w:t xml:space="preserve"> </w:t>
      </w:r>
      <w:r>
        <w:rPr>
          <w:rFonts w:ascii="Arial"/>
          <w:color w:val="0C0C0C"/>
          <w:w w:val="95"/>
          <w:sz w:val="21"/>
        </w:rPr>
        <w:t>Information</w:t>
      </w:r>
      <w:r>
        <w:rPr>
          <w:rFonts w:ascii="Arial"/>
          <w:color w:val="0C0C0C"/>
          <w:spacing w:val="6"/>
          <w:sz w:val="21"/>
        </w:rPr>
        <w:t xml:space="preserve"> </w:t>
      </w:r>
      <w:r>
        <w:rPr>
          <w:rFonts w:ascii="Arial"/>
          <w:color w:val="1C1C1C"/>
          <w:w w:val="95"/>
          <w:sz w:val="21"/>
        </w:rPr>
        <w:t>-</w:t>
      </w:r>
      <w:r>
        <w:rPr>
          <w:rFonts w:ascii="Arial"/>
          <w:color w:val="1C1C1C"/>
          <w:spacing w:val="1"/>
          <w:sz w:val="21"/>
        </w:rPr>
        <w:t xml:space="preserve"> </w:t>
      </w:r>
      <w:r>
        <w:rPr>
          <w:rFonts w:ascii="Arial"/>
          <w:color w:val="1C1C1C"/>
          <w:spacing w:val="-2"/>
          <w:w w:val="95"/>
          <w:sz w:val="21"/>
        </w:rPr>
        <w:t>REDACTED</w:t>
      </w:r>
    </w:p>
    <w:p w14:paraId="51DE8E50" w14:textId="77777777" w:rsidR="0010369C" w:rsidRDefault="008E43AE">
      <w:pPr>
        <w:tabs>
          <w:tab w:val="left" w:pos="6217"/>
        </w:tabs>
        <w:spacing w:before="21"/>
        <w:ind w:right="357"/>
        <w:jc w:val="center"/>
        <w:rPr>
          <w:rFonts w:ascii="Arial"/>
          <w:sz w:val="18"/>
        </w:rPr>
      </w:pPr>
      <w:r>
        <w:rPr>
          <w:rFonts w:ascii="Arial"/>
          <w:i/>
          <w:color w:val="1C1C1C"/>
          <w:w w:val="105"/>
          <w:sz w:val="18"/>
        </w:rPr>
        <w:t>China</w:t>
      </w:r>
      <w:r>
        <w:rPr>
          <w:rFonts w:ascii="Arial"/>
          <w:i/>
          <w:color w:val="1C1C1C"/>
          <w:spacing w:val="-17"/>
          <w:w w:val="105"/>
          <w:sz w:val="18"/>
        </w:rPr>
        <w:t xml:space="preserve"> </w:t>
      </w:r>
      <w:r>
        <w:rPr>
          <w:rFonts w:ascii="Arial"/>
          <w:i/>
          <w:color w:val="1C1C1C"/>
          <w:w w:val="105"/>
          <w:sz w:val="18"/>
        </w:rPr>
        <w:t>-Anti-Dumping</w:t>
      </w:r>
      <w:r>
        <w:rPr>
          <w:rFonts w:ascii="Arial"/>
          <w:i/>
          <w:color w:val="1C1C1C"/>
          <w:spacing w:val="-5"/>
          <w:w w:val="105"/>
          <w:sz w:val="18"/>
        </w:rPr>
        <w:t xml:space="preserve"> </w:t>
      </w:r>
      <w:r>
        <w:rPr>
          <w:rFonts w:ascii="Arial"/>
          <w:i/>
          <w:color w:val="1C1C1C"/>
          <w:w w:val="105"/>
          <w:sz w:val="18"/>
        </w:rPr>
        <w:t>and</w:t>
      </w:r>
      <w:r>
        <w:rPr>
          <w:rFonts w:ascii="Arial"/>
          <w:i/>
          <w:color w:val="1C1C1C"/>
          <w:spacing w:val="-23"/>
          <w:w w:val="105"/>
          <w:sz w:val="18"/>
        </w:rPr>
        <w:t xml:space="preserve"> </w:t>
      </w:r>
      <w:r>
        <w:rPr>
          <w:rFonts w:ascii="Arial"/>
          <w:i/>
          <w:color w:val="1C1C1C"/>
          <w:w w:val="105"/>
          <w:sz w:val="18"/>
        </w:rPr>
        <w:t>Countervailing</w:t>
      </w:r>
      <w:r>
        <w:rPr>
          <w:rFonts w:ascii="Arial"/>
          <w:i/>
          <w:color w:val="1C1C1C"/>
          <w:spacing w:val="-6"/>
          <w:w w:val="105"/>
          <w:sz w:val="18"/>
        </w:rPr>
        <w:t xml:space="preserve"> </w:t>
      </w:r>
      <w:r>
        <w:rPr>
          <w:rFonts w:ascii="Arial"/>
          <w:i/>
          <w:color w:val="1C1C1C"/>
          <w:w w:val="105"/>
          <w:sz w:val="18"/>
        </w:rPr>
        <w:t>Duty</w:t>
      </w:r>
      <w:r>
        <w:rPr>
          <w:rFonts w:ascii="Arial"/>
          <w:i/>
          <w:color w:val="1C1C1C"/>
          <w:spacing w:val="-12"/>
          <w:w w:val="105"/>
          <w:sz w:val="18"/>
        </w:rPr>
        <w:t xml:space="preserve"> </w:t>
      </w:r>
      <w:r>
        <w:rPr>
          <w:rFonts w:ascii="Arial"/>
          <w:i/>
          <w:color w:val="0C0C0C"/>
          <w:spacing w:val="-2"/>
          <w:w w:val="105"/>
          <w:sz w:val="18"/>
        </w:rPr>
        <w:t>Measures</w:t>
      </w:r>
      <w:r>
        <w:rPr>
          <w:rFonts w:ascii="Arial"/>
          <w:i/>
          <w:color w:val="0C0C0C"/>
          <w:sz w:val="18"/>
        </w:rPr>
        <w:tab/>
      </w:r>
      <w:r>
        <w:rPr>
          <w:rFonts w:ascii="Arial"/>
          <w:color w:val="1C1C1C"/>
          <w:spacing w:val="-2"/>
          <w:w w:val="105"/>
          <w:sz w:val="18"/>
        </w:rPr>
        <w:t>Australia's</w:t>
      </w:r>
      <w:r>
        <w:rPr>
          <w:rFonts w:ascii="Arial"/>
          <w:color w:val="1C1C1C"/>
          <w:spacing w:val="5"/>
          <w:w w:val="105"/>
          <w:sz w:val="18"/>
        </w:rPr>
        <w:t xml:space="preserve"> </w:t>
      </w:r>
      <w:r>
        <w:rPr>
          <w:rFonts w:ascii="Arial"/>
          <w:color w:val="0C0C0C"/>
          <w:spacing w:val="-2"/>
          <w:w w:val="105"/>
          <w:sz w:val="18"/>
        </w:rPr>
        <w:t>First</w:t>
      </w:r>
      <w:r>
        <w:rPr>
          <w:rFonts w:ascii="Arial"/>
          <w:color w:val="0C0C0C"/>
          <w:spacing w:val="1"/>
          <w:w w:val="105"/>
          <w:sz w:val="18"/>
        </w:rPr>
        <w:t xml:space="preserve"> </w:t>
      </w:r>
      <w:r>
        <w:rPr>
          <w:rFonts w:ascii="Arial"/>
          <w:color w:val="1C1C1C"/>
          <w:spacing w:val="-2"/>
          <w:w w:val="105"/>
          <w:sz w:val="18"/>
        </w:rPr>
        <w:t>Written</w:t>
      </w:r>
      <w:r>
        <w:rPr>
          <w:rFonts w:ascii="Arial"/>
          <w:color w:val="1C1C1C"/>
          <w:spacing w:val="-7"/>
          <w:w w:val="105"/>
          <w:sz w:val="18"/>
        </w:rPr>
        <w:t xml:space="preserve"> </w:t>
      </w:r>
      <w:r>
        <w:rPr>
          <w:rFonts w:ascii="Arial"/>
          <w:color w:val="1C1C1C"/>
          <w:spacing w:val="-2"/>
          <w:w w:val="105"/>
          <w:sz w:val="18"/>
        </w:rPr>
        <w:t>Submission</w:t>
      </w:r>
    </w:p>
    <w:p w14:paraId="51DE8E51" w14:textId="77777777" w:rsidR="0010369C" w:rsidRDefault="008E43AE">
      <w:pPr>
        <w:tabs>
          <w:tab w:val="left" w:pos="8020"/>
        </w:tabs>
        <w:spacing w:before="44"/>
        <w:ind w:right="337"/>
        <w:jc w:val="center"/>
        <w:rPr>
          <w:rFonts w:ascii="Arial"/>
          <w:sz w:val="18"/>
        </w:rPr>
      </w:pPr>
      <w:r>
        <w:rPr>
          <w:rFonts w:ascii="Arial"/>
          <w:i/>
          <w:color w:val="1C1C1C"/>
          <w:w w:val="105"/>
          <w:sz w:val="18"/>
        </w:rPr>
        <w:t>on</w:t>
      </w:r>
      <w:r>
        <w:rPr>
          <w:rFonts w:ascii="Arial"/>
          <w:i/>
          <w:color w:val="1C1C1C"/>
          <w:spacing w:val="-11"/>
          <w:w w:val="105"/>
          <w:sz w:val="18"/>
        </w:rPr>
        <w:t xml:space="preserve"> </w:t>
      </w:r>
      <w:r>
        <w:rPr>
          <w:rFonts w:ascii="Arial"/>
          <w:i/>
          <w:color w:val="1C1C1C"/>
          <w:w w:val="105"/>
          <w:sz w:val="18"/>
        </w:rPr>
        <w:t>Winefrom Australia</w:t>
      </w:r>
      <w:r>
        <w:rPr>
          <w:rFonts w:ascii="Arial"/>
          <w:i/>
          <w:color w:val="1C1C1C"/>
          <w:spacing w:val="13"/>
          <w:w w:val="105"/>
          <w:sz w:val="18"/>
        </w:rPr>
        <w:t xml:space="preserve"> </w:t>
      </w:r>
      <w:r>
        <w:rPr>
          <w:rFonts w:ascii="Arial"/>
          <w:color w:val="1C1C1C"/>
          <w:spacing w:val="-2"/>
          <w:w w:val="105"/>
          <w:sz w:val="18"/>
        </w:rPr>
        <w:t>(0S602)</w:t>
      </w:r>
      <w:r>
        <w:rPr>
          <w:rFonts w:ascii="Arial"/>
          <w:color w:val="1C1C1C"/>
          <w:sz w:val="18"/>
        </w:rPr>
        <w:tab/>
      </w:r>
      <w:r>
        <w:rPr>
          <w:rFonts w:ascii="Arial"/>
          <w:color w:val="1C1C1C"/>
          <w:w w:val="105"/>
          <w:sz w:val="18"/>
        </w:rPr>
        <w:t>29</w:t>
      </w:r>
      <w:r>
        <w:rPr>
          <w:rFonts w:ascii="Arial"/>
          <w:color w:val="1C1C1C"/>
          <w:spacing w:val="-19"/>
          <w:w w:val="105"/>
          <w:sz w:val="18"/>
        </w:rPr>
        <w:t xml:space="preserve"> </w:t>
      </w:r>
      <w:r>
        <w:rPr>
          <w:rFonts w:ascii="Arial"/>
          <w:color w:val="1C1C1C"/>
          <w:w w:val="105"/>
          <w:sz w:val="18"/>
        </w:rPr>
        <w:t>April</w:t>
      </w:r>
      <w:r>
        <w:rPr>
          <w:rFonts w:ascii="Arial"/>
          <w:color w:val="1C1C1C"/>
          <w:spacing w:val="1"/>
          <w:w w:val="105"/>
          <w:sz w:val="18"/>
        </w:rPr>
        <w:t xml:space="preserve"> </w:t>
      </w:r>
      <w:r>
        <w:rPr>
          <w:rFonts w:ascii="Arial"/>
          <w:color w:val="1C1C1C"/>
          <w:spacing w:val="-4"/>
          <w:w w:val="105"/>
          <w:sz w:val="18"/>
        </w:rPr>
        <w:t>2022</w:t>
      </w:r>
    </w:p>
    <w:p w14:paraId="51DE8E52" w14:textId="77777777" w:rsidR="0010369C" w:rsidRDefault="008E43AE">
      <w:pPr>
        <w:spacing w:before="76" w:line="439" w:lineRule="auto"/>
        <w:ind w:left="231" w:right="605" w:firstLine="9"/>
        <w:jc w:val="both"/>
        <w:rPr>
          <w:rFonts w:ascii="Arial"/>
          <w:sz w:val="21"/>
        </w:rPr>
      </w:pPr>
      <w:r>
        <w:rPr>
          <w:rFonts w:ascii="Arial"/>
          <w:color w:val="0C0C0C"/>
          <w:w w:val="105"/>
          <w:sz w:val="21"/>
        </w:rPr>
        <w:t>proceeding</w:t>
      </w:r>
      <w:r>
        <w:rPr>
          <w:rFonts w:ascii="Arial"/>
          <w:color w:val="0C0C0C"/>
          <w:spacing w:val="-16"/>
          <w:w w:val="105"/>
          <w:sz w:val="21"/>
        </w:rPr>
        <w:t xml:space="preserve"> </w:t>
      </w:r>
      <w:r>
        <w:rPr>
          <w:rFonts w:ascii="Arial"/>
          <w:color w:val="0C0C0C"/>
          <w:w w:val="105"/>
          <w:sz w:val="21"/>
        </w:rPr>
        <w:t>to</w:t>
      </w:r>
      <w:r>
        <w:rPr>
          <w:rFonts w:ascii="Arial"/>
          <w:color w:val="0C0C0C"/>
          <w:spacing w:val="-15"/>
          <w:w w:val="105"/>
          <w:sz w:val="21"/>
        </w:rPr>
        <w:t xml:space="preserve"> </w:t>
      </w:r>
      <w:r>
        <w:rPr>
          <w:rFonts w:ascii="Arial"/>
          <w:color w:val="0C0C0C"/>
          <w:w w:val="105"/>
          <w:sz w:val="21"/>
        </w:rPr>
        <w:t>undertake</w:t>
      </w:r>
      <w:r>
        <w:rPr>
          <w:rFonts w:ascii="Arial"/>
          <w:color w:val="0C0C0C"/>
          <w:spacing w:val="-15"/>
          <w:w w:val="105"/>
          <w:sz w:val="21"/>
        </w:rPr>
        <w:t xml:space="preserve"> </w:t>
      </w:r>
      <w:r>
        <w:rPr>
          <w:rFonts w:ascii="Arial"/>
          <w:color w:val="1C1C1C"/>
          <w:w w:val="105"/>
          <w:sz w:val="21"/>
        </w:rPr>
        <w:t>a</w:t>
      </w:r>
      <w:r>
        <w:rPr>
          <w:rFonts w:ascii="Arial"/>
          <w:color w:val="1C1C1C"/>
          <w:spacing w:val="-16"/>
          <w:w w:val="105"/>
          <w:sz w:val="21"/>
        </w:rPr>
        <w:t xml:space="preserve"> </w:t>
      </w:r>
      <w:r>
        <w:rPr>
          <w:rFonts w:ascii="Arial"/>
          <w:color w:val="0C0C0C"/>
          <w:w w:val="105"/>
          <w:sz w:val="21"/>
        </w:rPr>
        <w:t>price</w:t>
      </w:r>
      <w:r>
        <w:rPr>
          <w:rFonts w:ascii="Arial"/>
          <w:color w:val="0C0C0C"/>
          <w:spacing w:val="-15"/>
          <w:w w:val="105"/>
          <w:sz w:val="21"/>
        </w:rPr>
        <w:t xml:space="preserve"> </w:t>
      </w:r>
      <w:r>
        <w:rPr>
          <w:rFonts w:ascii="Arial"/>
          <w:color w:val="1C1C1C"/>
          <w:w w:val="105"/>
          <w:sz w:val="21"/>
        </w:rPr>
        <w:t>effects</w:t>
      </w:r>
      <w:r>
        <w:rPr>
          <w:rFonts w:ascii="Arial"/>
          <w:color w:val="1C1C1C"/>
          <w:spacing w:val="-15"/>
          <w:w w:val="105"/>
          <w:sz w:val="21"/>
        </w:rPr>
        <w:t xml:space="preserve"> </w:t>
      </w:r>
      <w:r>
        <w:rPr>
          <w:rFonts w:ascii="Arial"/>
          <w:color w:val="1C1C1C"/>
          <w:w w:val="105"/>
          <w:sz w:val="21"/>
        </w:rPr>
        <w:t>analysis</w:t>
      </w:r>
      <w:r>
        <w:rPr>
          <w:rFonts w:ascii="Arial"/>
          <w:color w:val="1C1C1C"/>
          <w:spacing w:val="-16"/>
          <w:w w:val="105"/>
          <w:sz w:val="21"/>
        </w:rPr>
        <w:t xml:space="preserve"> </w:t>
      </w:r>
      <w:r>
        <w:rPr>
          <w:rFonts w:ascii="Arial"/>
          <w:color w:val="1C1C1C"/>
          <w:w w:val="105"/>
          <w:sz w:val="21"/>
        </w:rPr>
        <w:t>on</w:t>
      </w:r>
      <w:r>
        <w:rPr>
          <w:rFonts w:ascii="Arial"/>
          <w:color w:val="1C1C1C"/>
          <w:spacing w:val="-12"/>
          <w:w w:val="105"/>
          <w:sz w:val="21"/>
        </w:rPr>
        <w:t xml:space="preserve"> </w:t>
      </w:r>
      <w:r>
        <w:rPr>
          <w:rFonts w:ascii="Arial"/>
          <w:color w:val="0C0C0C"/>
          <w:w w:val="105"/>
          <w:sz w:val="21"/>
        </w:rPr>
        <w:t>the</w:t>
      </w:r>
      <w:r>
        <w:rPr>
          <w:rFonts w:ascii="Arial"/>
          <w:color w:val="0C0C0C"/>
          <w:spacing w:val="24"/>
          <w:w w:val="105"/>
          <w:sz w:val="21"/>
        </w:rPr>
        <w:t xml:space="preserve"> </w:t>
      </w:r>
      <w:r>
        <w:rPr>
          <w:rFonts w:ascii="Arial"/>
          <w:color w:val="1C1C1C"/>
          <w:w w:val="105"/>
          <w:sz w:val="21"/>
        </w:rPr>
        <w:t>basis</w:t>
      </w:r>
      <w:r>
        <w:rPr>
          <w:rFonts w:ascii="Arial"/>
          <w:color w:val="1C1C1C"/>
          <w:spacing w:val="-16"/>
          <w:w w:val="105"/>
          <w:sz w:val="21"/>
        </w:rPr>
        <w:t xml:space="preserve"> </w:t>
      </w:r>
      <w:r>
        <w:rPr>
          <w:rFonts w:ascii="Arial"/>
          <w:color w:val="1C1C1C"/>
          <w:w w:val="105"/>
          <w:sz w:val="21"/>
        </w:rPr>
        <w:t>of</w:t>
      </w:r>
      <w:r>
        <w:rPr>
          <w:rFonts w:ascii="Arial"/>
          <w:color w:val="1C1C1C"/>
          <w:spacing w:val="12"/>
          <w:w w:val="105"/>
          <w:sz w:val="21"/>
        </w:rPr>
        <w:t xml:space="preserve"> </w:t>
      </w:r>
      <w:r>
        <w:rPr>
          <w:rFonts w:ascii="Arial"/>
          <w:color w:val="1C1C1C"/>
          <w:w w:val="105"/>
          <w:sz w:val="21"/>
        </w:rPr>
        <w:t>average</w:t>
      </w:r>
      <w:r>
        <w:rPr>
          <w:rFonts w:ascii="Arial"/>
          <w:color w:val="1C1C1C"/>
          <w:spacing w:val="-16"/>
          <w:w w:val="105"/>
          <w:sz w:val="21"/>
        </w:rPr>
        <w:t xml:space="preserve"> </w:t>
      </w:r>
      <w:r>
        <w:rPr>
          <w:rFonts w:ascii="Arial"/>
          <w:color w:val="0C0C0C"/>
          <w:w w:val="105"/>
          <w:sz w:val="21"/>
        </w:rPr>
        <w:t>unit</w:t>
      </w:r>
      <w:r>
        <w:rPr>
          <w:rFonts w:ascii="Arial"/>
          <w:color w:val="0C0C0C"/>
          <w:spacing w:val="-15"/>
          <w:w w:val="105"/>
          <w:sz w:val="21"/>
        </w:rPr>
        <w:t xml:space="preserve"> </w:t>
      </w:r>
      <w:r>
        <w:rPr>
          <w:rFonts w:ascii="Arial"/>
          <w:color w:val="1C1C1C"/>
          <w:w w:val="105"/>
          <w:sz w:val="21"/>
        </w:rPr>
        <w:t>prices</w:t>
      </w:r>
      <w:r>
        <w:rPr>
          <w:rFonts w:ascii="Arial"/>
          <w:color w:val="1C1C1C"/>
          <w:spacing w:val="-15"/>
          <w:w w:val="105"/>
          <w:sz w:val="21"/>
        </w:rPr>
        <w:t xml:space="preserve"> </w:t>
      </w:r>
      <w:r>
        <w:rPr>
          <w:rFonts w:ascii="Arial"/>
          <w:color w:val="1C1C1C"/>
          <w:w w:val="105"/>
          <w:sz w:val="21"/>
        </w:rPr>
        <w:t>for</w:t>
      </w:r>
      <w:r>
        <w:rPr>
          <w:rFonts w:ascii="Arial"/>
          <w:color w:val="1C1C1C"/>
          <w:spacing w:val="11"/>
          <w:w w:val="105"/>
          <w:sz w:val="21"/>
        </w:rPr>
        <w:t xml:space="preserve"> </w:t>
      </w:r>
      <w:r>
        <w:rPr>
          <w:rFonts w:ascii="Arial"/>
          <w:color w:val="1C1C1C"/>
          <w:w w:val="105"/>
          <w:sz w:val="21"/>
        </w:rPr>
        <w:t>each</w:t>
      </w:r>
      <w:r>
        <w:rPr>
          <w:rFonts w:ascii="Arial"/>
          <w:color w:val="1C1C1C"/>
          <w:spacing w:val="-16"/>
          <w:w w:val="105"/>
          <w:sz w:val="21"/>
        </w:rPr>
        <w:t xml:space="preserve"> </w:t>
      </w:r>
      <w:r>
        <w:rPr>
          <w:rFonts w:ascii="Arial"/>
          <w:color w:val="1C1C1C"/>
          <w:w w:val="105"/>
          <w:sz w:val="21"/>
        </w:rPr>
        <w:t>of the</w:t>
      </w:r>
      <w:r>
        <w:rPr>
          <w:rFonts w:ascii="Arial"/>
          <w:color w:val="1C1C1C"/>
          <w:spacing w:val="40"/>
          <w:w w:val="105"/>
          <w:sz w:val="21"/>
        </w:rPr>
        <w:t xml:space="preserve"> </w:t>
      </w:r>
      <w:r>
        <w:rPr>
          <w:rFonts w:ascii="Arial"/>
          <w:color w:val="1C1C1C"/>
          <w:w w:val="105"/>
          <w:sz w:val="21"/>
        </w:rPr>
        <w:t>two</w:t>
      </w:r>
      <w:r>
        <w:rPr>
          <w:rFonts w:ascii="Arial"/>
          <w:color w:val="1C1C1C"/>
          <w:spacing w:val="40"/>
          <w:w w:val="105"/>
          <w:sz w:val="21"/>
        </w:rPr>
        <w:t xml:space="preserve"> </w:t>
      </w:r>
      <w:r>
        <w:rPr>
          <w:rFonts w:ascii="Arial"/>
          <w:color w:val="0C0C0C"/>
          <w:w w:val="105"/>
          <w:sz w:val="21"/>
        </w:rPr>
        <w:t>baskets.</w:t>
      </w:r>
      <w:r>
        <w:rPr>
          <w:rFonts w:ascii="Arial"/>
          <w:color w:val="0C0C0C"/>
          <w:spacing w:val="-5"/>
          <w:w w:val="105"/>
          <w:sz w:val="21"/>
        </w:rPr>
        <w:t xml:space="preserve"> </w:t>
      </w:r>
      <w:r>
        <w:rPr>
          <w:rFonts w:ascii="Arial"/>
          <w:color w:val="1C1C1C"/>
          <w:w w:val="105"/>
          <w:sz w:val="21"/>
        </w:rPr>
        <w:t>This evidence included:</w:t>
      </w:r>
    </w:p>
    <w:p w14:paraId="51DE8E53" w14:textId="77777777" w:rsidR="0010369C" w:rsidRDefault="008E43AE">
      <w:pPr>
        <w:pStyle w:val="ListParagraph"/>
        <w:numPr>
          <w:ilvl w:val="0"/>
          <w:numId w:val="56"/>
        </w:numPr>
        <w:tabs>
          <w:tab w:val="left" w:pos="1940"/>
          <w:tab w:val="left" w:pos="1941"/>
        </w:tabs>
        <w:spacing w:before="178" w:line="427" w:lineRule="auto"/>
        <w:ind w:right="572" w:hanging="846"/>
        <w:rPr>
          <w:rFonts w:ascii="Times New Roman" w:hAnsi="Times New Roman"/>
          <w:sz w:val="15"/>
        </w:rPr>
      </w:pPr>
      <w:r>
        <w:rPr>
          <w:rFonts w:ascii="Arial" w:hAnsi="Arial"/>
          <w:color w:val="1C1C1C"/>
          <w:w w:val="105"/>
          <w:sz w:val="21"/>
        </w:rPr>
        <w:t xml:space="preserve">Submissions filed on </w:t>
      </w:r>
      <w:r>
        <w:rPr>
          <w:rFonts w:ascii="Arial" w:hAnsi="Arial"/>
          <w:color w:val="0C0C0C"/>
          <w:w w:val="105"/>
          <w:sz w:val="21"/>
        </w:rPr>
        <w:t xml:space="preserve">behalf </w:t>
      </w:r>
      <w:r>
        <w:rPr>
          <w:rFonts w:ascii="Arial" w:hAnsi="Arial"/>
          <w:color w:val="1C1C1C"/>
          <w:w w:val="105"/>
          <w:sz w:val="21"/>
        </w:rPr>
        <w:t xml:space="preserve">of </w:t>
      </w:r>
      <w:r>
        <w:rPr>
          <w:rFonts w:ascii="Arial" w:hAnsi="Arial"/>
          <w:color w:val="0C0C0C"/>
          <w:w w:val="105"/>
          <w:sz w:val="21"/>
        </w:rPr>
        <w:t xml:space="preserve">the </w:t>
      </w:r>
      <w:r>
        <w:rPr>
          <w:rFonts w:ascii="Arial" w:hAnsi="Arial"/>
          <w:color w:val="1C1C1C"/>
          <w:w w:val="105"/>
          <w:sz w:val="21"/>
        </w:rPr>
        <w:t xml:space="preserve">Australian industry </w:t>
      </w:r>
      <w:r>
        <w:rPr>
          <w:rFonts w:ascii="Arial" w:hAnsi="Arial"/>
          <w:color w:val="0C0C0C"/>
          <w:w w:val="105"/>
          <w:sz w:val="21"/>
        </w:rPr>
        <w:t xml:space="preserve">that identified </w:t>
      </w:r>
      <w:r>
        <w:rPr>
          <w:rFonts w:ascii="Arial" w:hAnsi="Arial"/>
          <w:color w:val="1C1C1C"/>
          <w:w w:val="105"/>
          <w:sz w:val="21"/>
        </w:rPr>
        <w:t>that "Australian</w:t>
      </w:r>
      <w:r>
        <w:rPr>
          <w:rFonts w:ascii="Arial" w:hAnsi="Arial"/>
          <w:color w:val="1C1C1C"/>
          <w:spacing w:val="-5"/>
          <w:w w:val="105"/>
          <w:sz w:val="21"/>
        </w:rPr>
        <w:t xml:space="preserve"> </w:t>
      </w:r>
      <w:r>
        <w:rPr>
          <w:rFonts w:ascii="Arial" w:hAnsi="Arial"/>
          <w:color w:val="1C1C1C"/>
          <w:w w:val="105"/>
          <w:sz w:val="21"/>
        </w:rPr>
        <w:t>wines</w:t>
      </w:r>
      <w:r>
        <w:rPr>
          <w:rFonts w:ascii="Arial" w:hAnsi="Arial"/>
          <w:color w:val="1C1C1C"/>
          <w:spacing w:val="-16"/>
          <w:w w:val="105"/>
          <w:sz w:val="21"/>
        </w:rPr>
        <w:t xml:space="preserve"> </w:t>
      </w:r>
      <w:r>
        <w:rPr>
          <w:rFonts w:ascii="Arial" w:hAnsi="Arial"/>
          <w:color w:val="1C1C1C"/>
          <w:w w:val="105"/>
          <w:sz w:val="21"/>
        </w:rPr>
        <w:t>cannot</w:t>
      </w:r>
      <w:r>
        <w:rPr>
          <w:rFonts w:ascii="Arial" w:hAnsi="Arial"/>
          <w:color w:val="1C1C1C"/>
          <w:spacing w:val="-15"/>
          <w:w w:val="105"/>
          <w:sz w:val="21"/>
        </w:rPr>
        <w:t xml:space="preserve"> </w:t>
      </w:r>
      <w:r>
        <w:rPr>
          <w:rFonts w:ascii="Arial" w:hAnsi="Arial"/>
          <w:color w:val="0C0C0C"/>
          <w:w w:val="105"/>
          <w:sz w:val="21"/>
        </w:rPr>
        <w:t>be</w:t>
      </w:r>
      <w:r>
        <w:rPr>
          <w:rFonts w:ascii="Arial" w:hAnsi="Arial"/>
          <w:color w:val="0C0C0C"/>
          <w:spacing w:val="-15"/>
          <w:w w:val="105"/>
          <w:sz w:val="21"/>
        </w:rPr>
        <w:t xml:space="preserve"> </w:t>
      </w:r>
      <w:r>
        <w:rPr>
          <w:rFonts w:ascii="Arial" w:hAnsi="Arial"/>
          <w:color w:val="1C1C1C"/>
          <w:w w:val="105"/>
          <w:sz w:val="21"/>
        </w:rPr>
        <w:t>compared</w:t>
      </w:r>
      <w:r>
        <w:rPr>
          <w:rFonts w:ascii="Arial" w:hAnsi="Arial"/>
          <w:color w:val="1C1C1C"/>
          <w:spacing w:val="-2"/>
          <w:w w:val="105"/>
          <w:sz w:val="21"/>
        </w:rPr>
        <w:t xml:space="preserve"> </w:t>
      </w:r>
      <w:r>
        <w:rPr>
          <w:rFonts w:ascii="Arial" w:hAnsi="Arial"/>
          <w:color w:val="1C1C1C"/>
          <w:w w:val="105"/>
          <w:sz w:val="21"/>
        </w:rPr>
        <w:t>with</w:t>
      </w:r>
      <w:r>
        <w:rPr>
          <w:rFonts w:ascii="Arial" w:hAnsi="Arial"/>
          <w:color w:val="1C1C1C"/>
          <w:spacing w:val="-16"/>
          <w:w w:val="105"/>
          <w:sz w:val="21"/>
        </w:rPr>
        <w:t xml:space="preserve"> </w:t>
      </w:r>
      <w:r>
        <w:rPr>
          <w:rFonts w:ascii="Arial" w:hAnsi="Arial"/>
          <w:color w:val="1C1C1C"/>
          <w:w w:val="105"/>
          <w:sz w:val="21"/>
        </w:rPr>
        <w:t>Chinese</w:t>
      </w:r>
      <w:r>
        <w:rPr>
          <w:rFonts w:ascii="Arial" w:hAnsi="Arial"/>
          <w:color w:val="1C1C1C"/>
          <w:spacing w:val="-1"/>
          <w:w w:val="105"/>
          <w:sz w:val="21"/>
        </w:rPr>
        <w:t xml:space="preserve"> </w:t>
      </w:r>
      <w:r>
        <w:rPr>
          <w:rFonts w:ascii="Arial" w:hAnsi="Arial"/>
          <w:color w:val="1C1C1C"/>
          <w:w w:val="105"/>
          <w:sz w:val="21"/>
        </w:rPr>
        <w:t>wines</w:t>
      </w:r>
      <w:r>
        <w:rPr>
          <w:rFonts w:ascii="Arial" w:hAnsi="Arial"/>
          <w:color w:val="1C1C1C"/>
          <w:spacing w:val="-6"/>
          <w:w w:val="105"/>
          <w:sz w:val="21"/>
        </w:rPr>
        <w:t xml:space="preserve"> </w:t>
      </w:r>
      <w:r>
        <w:rPr>
          <w:rFonts w:ascii="Arial" w:hAnsi="Arial"/>
          <w:color w:val="1C1C1C"/>
          <w:w w:val="105"/>
          <w:sz w:val="21"/>
        </w:rPr>
        <w:t>as</w:t>
      </w:r>
      <w:r>
        <w:rPr>
          <w:rFonts w:ascii="Arial" w:hAnsi="Arial"/>
          <w:color w:val="1C1C1C"/>
          <w:spacing w:val="-16"/>
          <w:w w:val="105"/>
          <w:sz w:val="21"/>
        </w:rPr>
        <w:t xml:space="preserve"> </w:t>
      </w:r>
      <w:r>
        <w:rPr>
          <w:rFonts w:ascii="Arial" w:hAnsi="Arial"/>
          <w:color w:val="1C1C1C"/>
          <w:w w:val="105"/>
          <w:sz w:val="21"/>
        </w:rPr>
        <w:t>the</w:t>
      </w:r>
      <w:r>
        <w:rPr>
          <w:rFonts w:ascii="Arial" w:hAnsi="Arial"/>
          <w:color w:val="1C1C1C"/>
          <w:spacing w:val="40"/>
          <w:w w:val="105"/>
          <w:sz w:val="21"/>
        </w:rPr>
        <w:t xml:space="preserve"> </w:t>
      </w:r>
      <w:r>
        <w:rPr>
          <w:rFonts w:ascii="Arial" w:hAnsi="Arial"/>
          <w:color w:val="1C1C1C"/>
          <w:w w:val="105"/>
          <w:sz w:val="21"/>
        </w:rPr>
        <w:t>same</w:t>
      </w:r>
      <w:r>
        <w:rPr>
          <w:rFonts w:ascii="Arial" w:hAnsi="Arial"/>
          <w:color w:val="1C1C1C"/>
          <w:spacing w:val="-11"/>
          <w:w w:val="105"/>
          <w:sz w:val="21"/>
        </w:rPr>
        <w:t xml:space="preserve"> </w:t>
      </w:r>
      <w:r>
        <w:rPr>
          <w:rFonts w:ascii="Arial" w:hAnsi="Arial"/>
          <w:color w:val="1C1C1C"/>
          <w:w w:val="105"/>
          <w:sz w:val="21"/>
        </w:rPr>
        <w:t xml:space="preserve">bulk </w:t>
      </w:r>
      <w:r>
        <w:rPr>
          <w:rFonts w:ascii="Arial" w:hAnsi="Arial"/>
          <w:color w:val="1C1C1C"/>
          <w:spacing w:val="-2"/>
          <w:w w:val="105"/>
          <w:sz w:val="21"/>
        </w:rPr>
        <w:t>commodities".</w:t>
      </w:r>
      <w:r>
        <w:rPr>
          <w:rFonts w:ascii="Times New Roman" w:hAnsi="Times New Roman"/>
          <w:color w:val="1C1C1C"/>
          <w:spacing w:val="-2"/>
          <w:w w:val="105"/>
          <w:position w:val="7"/>
          <w:sz w:val="15"/>
        </w:rPr>
        <w:t>644</w:t>
      </w:r>
    </w:p>
    <w:p w14:paraId="51DE8E54" w14:textId="77777777" w:rsidR="0010369C" w:rsidRDefault="008E43AE">
      <w:pPr>
        <w:pStyle w:val="ListParagraph"/>
        <w:numPr>
          <w:ilvl w:val="0"/>
          <w:numId w:val="56"/>
        </w:numPr>
        <w:tabs>
          <w:tab w:val="left" w:pos="1945"/>
          <w:tab w:val="left" w:pos="1946"/>
        </w:tabs>
        <w:spacing w:before="151" w:line="429" w:lineRule="auto"/>
        <w:ind w:left="1943" w:right="570" w:hanging="847"/>
        <w:rPr>
          <w:rFonts w:ascii="Arial" w:hAnsi="Arial"/>
          <w:sz w:val="21"/>
        </w:rPr>
      </w:pPr>
      <w:r>
        <w:rPr>
          <w:rFonts w:ascii="Arial" w:hAnsi="Arial"/>
          <w:color w:val="1C1C1C"/>
          <w:w w:val="105"/>
          <w:sz w:val="21"/>
        </w:rPr>
        <w:t>The Applicant's admission that "differences in grape varieties, blending, grape</w:t>
      </w:r>
      <w:r>
        <w:rPr>
          <w:rFonts w:ascii="Arial" w:hAnsi="Arial"/>
          <w:color w:val="1C1C1C"/>
          <w:spacing w:val="-5"/>
          <w:w w:val="105"/>
          <w:sz w:val="21"/>
        </w:rPr>
        <w:t xml:space="preserve"> </w:t>
      </w:r>
      <w:r>
        <w:rPr>
          <w:rFonts w:ascii="Arial" w:hAnsi="Arial"/>
          <w:color w:val="0C0C0C"/>
          <w:w w:val="105"/>
          <w:sz w:val="21"/>
        </w:rPr>
        <w:t>regions</w:t>
      </w:r>
      <w:r>
        <w:rPr>
          <w:rFonts w:ascii="Arial" w:hAnsi="Arial"/>
          <w:color w:val="363636"/>
          <w:w w:val="105"/>
          <w:sz w:val="21"/>
        </w:rPr>
        <w:t xml:space="preserve">, </w:t>
      </w:r>
      <w:r>
        <w:rPr>
          <w:rFonts w:ascii="Arial" w:hAnsi="Arial"/>
          <w:color w:val="1C1C1C"/>
          <w:w w:val="105"/>
          <w:sz w:val="21"/>
        </w:rPr>
        <w:t>grape harvesting</w:t>
      </w:r>
      <w:r>
        <w:rPr>
          <w:rFonts w:ascii="Arial" w:hAnsi="Arial"/>
          <w:color w:val="1C1C1C"/>
          <w:spacing w:val="-4"/>
          <w:w w:val="105"/>
          <w:sz w:val="21"/>
        </w:rPr>
        <w:t xml:space="preserve"> </w:t>
      </w:r>
      <w:r>
        <w:rPr>
          <w:rFonts w:ascii="Arial" w:hAnsi="Arial"/>
          <w:color w:val="1C1C1C"/>
          <w:w w:val="105"/>
          <w:sz w:val="21"/>
        </w:rPr>
        <w:t>years,</w:t>
      </w:r>
      <w:r>
        <w:rPr>
          <w:rFonts w:ascii="Arial" w:hAnsi="Arial"/>
          <w:color w:val="1C1C1C"/>
          <w:spacing w:val="-13"/>
          <w:w w:val="105"/>
          <w:sz w:val="21"/>
        </w:rPr>
        <w:t xml:space="preserve"> </w:t>
      </w:r>
      <w:r>
        <w:rPr>
          <w:rFonts w:ascii="Arial" w:hAnsi="Arial"/>
          <w:color w:val="1C1C1C"/>
          <w:w w:val="105"/>
          <w:sz w:val="21"/>
        </w:rPr>
        <w:t>quality,</w:t>
      </w:r>
      <w:r>
        <w:rPr>
          <w:rFonts w:ascii="Arial" w:hAnsi="Arial"/>
          <w:color w:val="1C1C1C"/>
          <w:spacing w:val="-2"/>
          <w:w w:val="105"/>
          <w:sz w:val="21"/>
        </w:rPr>
        <w:t xml:space="preserve"> </w:t>
      </w:r>
      <w:r>
        <w:rPr>
          <w:rFonts w:ascii="Arial" w:hAnsi="Arial"/>
          <w:color w:val="0C0C0C"/>
          <w:w w:val="105"/>
          <w:sz w:val="21"/>
        </w:rPr>
        <w:t xml:space="preserve">brands </w:t>
      </w:r>
      <w:r>
        <w:rPr>
          <w:rFonts w:ascii="Arial" w:hAnsi="Arial"/>
          <w:color w:val="363636"/>
          <w:w w:val="105"/>
          <w:sz w:val="21"/>
        </w:rPr>
        <w:t>...</w:t>
      </w:r>
      <w:r>
        <w:rPr>
          <w:rFonts w:ascii="Arial" w:hAnsi="Arial"/>
          <w:color w:val="363636"/>
          <w:spacing w:val="-16"/>
          <w:w w:val="105"/>
          <w:sz w:val="21"/>
        </w:rPr>
        <w:t xml:space="preserve"> </w:t>
      </w:r>
      <w:r>
        <w:rPr>
          <w:rFonts w:ascii="Arial" w:hAnsi="Arial"/>
          <w:color w:val="0C0C0C"/>
          <w:w w:val="105"/>
          <w:sz w:val="21"/>
        </w:rPr>
        <w:t>reflect</w:t>
      </w:r>
      <w:r>
        <w:rPr>
          <w:rFonts w:ascii="Arial" w:hAnsi="Arial"/>
          <w:color w:val="0C0C0C"/>
          <w:spacing w:val="-1"/>
          <w:w w:val="105"/>
          <w:sz w:val="21"/>
        </w:rPr>
        <w:t xml:space="preserve"> </w:t>
      </w:r>
      <w:r>
        <w:rPr>
          <w:rFonts w:ascii="Arial" w:hAnsi="Arial"/>
          <w:color w:val="1C1C1C"/>
          <w:w w:val="105"/>
          <w:sz w:val="21"/>
        </w:rPr>
        <w:t xml:space="preserve">the different specifications or types of the </w:t>
      </w:r>
      <w:r>
        <w:rPr>
          <w:rFonts w:ascii="Arial" w:hAnsi="Arial"/>
          <w:color w:val="0C0C0C"/>
          <w:w w:val="105"/>
          <w:sz w:val="21"/>
        </w:rPr>
        <w:t xml:space="preserve">investigated </w:t>
      </w:r>
      <w:r>
        <w:rPr>
          <w:rFonts w:ascii="Arial" w:hAnsi="Arial"/>
          <w:color w:val="1C1C1C"/>
          <w:w w:val="105"/>
          <w:sz w:val="21"/>
        </w:rPr>
        <w:t xml:space="preserve">products, or the distinction </w:t>
      </w:r>
      <w:r>
        <w:rPr>
          <w:rFonts w:ascii="Arial" w:hAnsi="Arial"/>
          <w:color w:val="0C0C0C"/>
          <w:w w:val="105"/>
          <w:sz w:val="21"/>
        </w:rPr>
        <w:t xml:space="preserve">in </w:t>
      </w:r>
      <w:r>
        <w:rPr>
          <w:rFonts w:ascii="Arial" w:hAnsi="Arial"/>
          <w:color w:val="1C1C1C"/>
          <w:spacing w:val="-2"/>
          <w:w w:val="105"/>
          <w:sz w:val="21"/>
        </w:rPr>
        <w:t>quality".</w:t>
      </w:r>
      <w:r>
        <w:rPr>
          <w:rFonts w:ascii="Times New Roman" w:hAnsi="Times New Roman"/>
          <w:color w:val="1C1C1C"/>
          <w:spacing w:val="-2"/>
          <w:w w:val="105"/>
          <w:position w:val="7"/>
          <w:sz w:val="15"/>
        </w:rPr>
        <w:t>64</w:t>
      </w:r>
      <w:r>
        <w:rPr>
          <w:rFonts w:ascii="Arial" w:hAnsi="Arial"/>
          <w:color w:val="1C1C1C"/>
          <w:spacing w:val="-2"/>
          <w:w w:val="105"/>
          <w:sz w:val="21"/>
        </w:rPr>
        <w:t>s</w:t>
      </w:r>
    </w:p>
    <w:p w14:paraId="51DE8E55" w14:textId="77777777" w:rsidR="0010369C" w:rsidRDefault="008E43AE">
      <w:pPr>
        <w:pStyle w:val="ListParagraph"/>
        <w:numPr>
          <w:ilvl w:val="0"/>
          <w:numId w:val="56"/>
        </w:numPr>
        <w:tabs>
          <w:tab w:val="left" w:pos="1945"/>
          <w:tab w:val="left" w:pos="1946"/>
        </w:tabs>
        <w:spacing w:before="153" w:line="434" w:lineRule="auto"/>
        <w:ind w:left="1940" w:right="577"/>
        <w:rPr>
          <w:rFonts w:ascii="Arial" w:hAnsi="Arial"/>
          <w:sz w:val="14"/>
        </w:rPr>
      </w:pPr>
      <w:r>
        <w:rPr>
          <w:rFonts w:ascii="Arial" w:hAnsi="Arial"/>
          <w:color w:val="1C1C1C"/>
          <w:w w:val="105"/>
          <w:sz w:val="21"/>
        </w:rPr>
        <w:t xml:space="preserve">The substantial difference </w:t>
      </w:r>
      <w:r>
        <w:rPr>
          <w:rFonts w:ascii="Arial" w:hAnsi="Arial"/>
          <w:color w:val="0C0C0C"/>
          <w:w w:val="105"/>
          <w:sz w:val="21"/>
        </w:rPr>
        <w:t xml:space="preserve">between </w:t>
      </w:r>
      <w:r>
        <w:rPr>
          <w:rFonts w:ascii="Arial" w:hAnsi="Arial"/>
          <w:color w:val="1C1C1C"/>
          <w:w w:val="105"/>
          <w:sz w:val="21"/>
        </w:rPr>
        <w:t xml:space="preserve">MOFCOM's average unit </w:t>
      </w:r>
      <w:r>
        <w:rPr>
          <w:rFonts w:ascii="Arial" w:hAnsi="Arial"/>
          <w:color w:val="0C0C0C"/>
          <w:w w:val="105"/>
          <w:sz w:val="21"/>
        </w:rPr>
        <w:t xml:space="preserve">price </w:t>
      </w:r>
      <w:r>
        <w:rPr>
          <w:rFonts w:ascii="Arial" w:hAnsi="Arial"/>
          <w:color w:val="1C1C1C"/>
          <w:w w:val="105"/>
          <w:sz w:val="21"/>
        </w:rPr>
        <w:t xml:space="preserve">for subject </w:t>
      </w:r>
      <w:r>
        <w:rPr>
          <w:rFonts w:ascii="Arial" w:hAnsi="Arial"/>
          <w:color w:val="0C0C0C"/>
          <w:w w:val="105"/>
          <w:sz w:val="21"/>
        </w:rPr>
        <w:t xml:space="preserve">imports </w:t>
      </w:r>
      <w:r>
        <w:rPr>
          <w:rFonts w:ascii="Arial" w:hAnsi="Arial"/>
          <w:color w:val="1C1C1C"/>
          <w:w w:val="105"/>
          <w:sz w:val="21"/>
        </w:rPr>
        <w:t xml:space="preserve">and average </w:t>
      </w:r>
      <w:r>
        <w:rPr>
          <w:rFonts w:ascii="Arial" w:hAnsi="Arial"/>
          <w:color w:val="0C0C0C"/>
          <w:w w:val="105"/>
          <w:sz w:val="21"/>
        </w:rPr>
        <w:t xml:space="preserve">unit price </w:t>
      </w:r>
      <w:r>
        <w:rPr>
          <w:rFonts w:ascii="Arial" w:hAnsi="Arial"/>
          <w:color w:val="1C1C1C"/>
          <w:w w:val="105"/>
          <w:sz w:val="21"/>
        </w:rPr>
        <w:t xml:space="preserve">for </w:t>
      </w:r>
      <w:r>
        <w:rPr>
          <w:rFonts w:ascii="Arial" w:hAnsi="Arial"/>
          <w:color w:val="0C0C0C"/>
          <w:w w:val="105"/>
          <w:sz w:val="21"/>
        </w:rPr>
        <w:t xml:space="preserve">domestic </w:t>
      </w:r>
      <w:r>
        <w:rPr>
          <w:rFonts w:ascii="Arial" w:hAnsi="Arial"/>
          <w:color w:val="1C1C1C"/>
          <w:w w:val="105"/>
          <w:sz w:val="21"/>
        </w:rPr>
        <w:t>like</w:t>
      </w:r>
      <w:r>
        <w:rPr>
          <w:rFonts w:ascii="Arial" w:hAnsi="Arial"/>
          <w:color w:val="1C1C1C"/>
          <w:w w:val="105"/>
          <w:sz w:val="21"/>
        </w:rPr>
        <w:t xml:space="preserve"> products. Specifically, the average </w:t>
      </w:r>
      <w:r>
        <w:rPr>
          <w:rFonts w:ascii="Arial" w:hAnsi="Arial"/>
          <w:color w:val="0C0C0C"/>
          <w:w w:val="105"/>
          <w:sz w:val="21"/>
        </w:rPr>
        <w:t xml:space="preserve">unit </w:t>
      </w:r>
      <w:r>
        <w:rPr>
          <w:rFonts w:ascii="Arial" w:hAnsi="Arial"/>
          <w:color w:val="1C1C1C"/>
          <w:w w:val="105"/>
          <w:sz w:val="21"/>
        </w:rPr>
        <w:t>price for subject imports was substantially higher</w:t>
      </w:r>
      <w:r>
        <w:rPr>
          <w:rFonts w:ascii="Arial" w:hAnsi="Arial"/>
          <w:color w:val="1C1C1C"/>
          <w:spacing w:val="23"/>
          <w:w w:val="105"/>
          <w:sz w:val="21"/>
        </w:rPr>
        <w:t xml:space="preserve"> </w:t>
      </w:r>
      <w:r>
        <w:rPr>
          <w:rFonts w:ascii="Arial" w:hAnsi="Arial"/>
          <w:color w:val="1C1C1C"/>
          <w:w w:val="105"/>
          <w:sz w:val="21"/>
        </w:rPr>
        <w:t>than the</w:t>
      </w:r>
      <w:r>
        <w:rPr>
          <w:rFonts w:ascii="Arial" w:hAnsi="Arial"/>
          <w:color w:val="1C1C1C"/>
          <w:spacing w:val="24"/>
          <w:w w:val="105"/>
          <w:sz w:val="21"/>
        </w:rPr>
        <w:t xml:space="preserve"> </w:t>
      </w:r>
      <w:r>
        <w:rPr>
          <w:rFonts w:ascii="Arial" w:hAnsi="Arial"/>
          <w:color w:val="1C1C1C"/>
          <w:w w:val="105"/>
          <w:sz w:val="21"/>
        </w:rPr>
        <w:t xml:space="preserve">average </w:t>
      </w:r>
      <w:r>
        <w:rPr>
          <w:rFonts w:ascii="Arial" w:hAnsi="Arial"/>
          <w:color w:val="0C0C0C"/>
          <w:w w:val="105"/>
          <w:sz w:val="21"/>
        </w:rPr>
        <w:t xml:space="preserve">unit </w:t>
      </w:r>
      <w:r>
        <w:rPr>
          <w:rFonts w:ascii="Arial" w:hAnsi="Arial"/>
          <w:color w:val="1C1C1C"/>
          <w:w w:val="105"/>
          <w:sz w:val="21"/>
        </w:rPr>
        <w:t>price of</w:t>
      </w:r>
      <w:r>
        <w:rPr>
          <w:rFonts w:ascii="Arial" w:hAnsi="Arial"/>
          <w:color w:val="1C1C1C"/>
          <w:spacing w:val="21"/>
          <w:w w:val="105"/>
          <w:sz w:val="21"/>
        </w:rPr>
        <w:t xml:space="preserve"> </w:t>
      </w:r>
      <w:r>
        <w:rPr>
          <w:rFonts w:ascii="Arial" w:hAnsi="Arial"/>
          <w:color w:val="0C0C0C"/>
          <w:w w:val="105"/>
          <w:sz w:val="21"/>
        </w:rPr>
        <w:t>domestic</w:t>
      </w:r>
      <w:r>
        <w:rPr>
          <w:rFonts w:ascii="Arial" w:hAnsi="Arial"/>
          <w:color w:val="0C0C0C"/>
          <w:spacing w:val="24"/>
          <w:w w:val="105"/>
          <w:sz w:val="21"/>
        </w:rPr>
        <w:t xml:space="preserve"> </w:t>
      </w:r>
      <w:r>
        <w:rPr>
          <w:rFonts w:ascii="Arial" w:hAnsi="Arial"/>
          <w:color w:val="0C0C0C"/>
          <w:w w:val="105"/>
          <w:sz w:val="21"/>
        </w:rPr>
        <w:t xml:space="preserve">like </w:t>
      </w:r>
      <w:r>
        <w:rPr>
          <w:rFonts w:ascii="Arial" w:hAnsi="Arial"/>
          <w:color w:val="1C1C1C"/>
          <w:w w:val="105"/>
          <w:sz w:val="21"/>
        </w:rPr>
        <w:t>products for</w:t>
      </w:r>
      <w:r>
        <w:rPr>
          <w:rFonts w:ascii="Arial" w:hAnsi="Arial"/>
          <w:color w:val="1C1C1C"/>
          <w:spacing w:val="33"/>
          <w:w w:val="105"/>
          <w:sz w:val="21"/>
        </w:rPr>
        <w:t xml:space="preserve"> </w:t>
      </w:r>
      <w:r>
        <w:rPr>
          <w:rFonts w:ascii="Arial" w:hAnsi="Arial"/>
          <w:color w:val="1C1C1C"/>
          <w:w w:val="105"/>
          <w:sz w:val="21"/>
        </w:rPr>
        <w:t xml:space="preserve">every year in the </w:t>
      </w:r>
      <w:r>
        <w:rPr>
          <w:rFonts w:ascii="Arial" w:hAnsi="Arial"/>
          <w:color w:val="0C0C0C"/>
          <w:w w:val="105"/>
          <w:sz w:val="21"/>
        </w:rPr>
        <w:t>Injury</w:t>
      </w:r>
      <w:r>
        <w:rPr>
          <w:rFonts w:ascii="Arial" w:hAnsi="Arial"/>
          <w:color w:val="0C0C0C"/>
          <w:spacing w:val="-7"/>
          <w:w w:val="105"/>
          <w:sz w:val="21"/>
        </w:rPr>
        <w:t xml:space="preserve"> </w:t>
      </w:r>
      <w:r>
        <w:rPr>
          <w:rFonts w:ascii="Arial" w:hAnsi="Arial"/>
          <w:color w:val="1C1C1C"/>
          <w:w w:val="105"/>
          <w:sz w:val="21"/>
        </w:rPr>
        <w:t>POI.</w:t>
      </w:r>
      <w:r>
        <w:rPr>
          <w:rFonts w:ascii="Arial" w:hAnsi="Arial"/>
          <w:color w:val="1C1C1C"/>
          <w:spacing w:val="-11"/>
          <w:w w:val="105"/>
          <w:sz w:val="21"/>
        </w:rPr>
        <w:t xml:space="preserve"> </w:t>
      </w:r>
      <w:r>
        <w:rPr>
          <w:rFonts w:ascii="Arial" w:hAnsi="Arial"/>
          <w:color w:val="1C1C1C"/>
          <w:w w:val="105"/>
          <w:sz w:val="21"/>
        </w:rPr>
        <w:t>Table</w:t>
      </w:r>
      <w:r>
        <w:rPr>
          <w:rFonts w:ascii="Arial" w:hAnsi="Arial"/>
          <w:color w:val="1C1C1C"/>
          <w:spacing w:val="-10"/>
          <w:w w:val="105"/>
          <w:sz w:val="21"/>
        </w:rPr>
        <w:t xml:space="preserve"> </w:t>
      </w:r>
      <w:r>
        <w:rPr>
          <w:rFonts w:ascii="Arial" w:hAnsi="Arial"/>
          <w:color w:val="0C0C0C"/>
          <w:w w:val="105"/>
          <w:sz w:val="21"/>
        </w:rPr>
        <w:t xml:space="preserve">1 in </w:t>
      </w:r>
      <w:r>
        <w:rPr>
          <w:rFonts w:ascii="Arial" w:hAnsi="Arial"/>
          <w:color w:val="1C1C1C"/>
          <w:w w:val="105"/>
          <w:sz w:val="21"/>
        </w:rPr>
        <w:t>Exhibit AUS-65 (BCI) provides</w:t>
      </w:r>
      <w:r>
        <w:rPr>
          <w:rFonts w:ascii="Arial" w:hAnsi="Arial"/>
          <w:color w:val="1C1C1C"/>
          <w:spacing w:val="-1"/>
          <w:w w:val="105"/>
          <w:sz w:val="21"/>
        </w:rPr>
        <w:t xml:space="preserve"> </w:t>
      </w:r>
      <w:r>
        <w:rPr>
          <w:rFonts w:ascii="Arial" w:hAnsi="Arial"/>
          <w:color w:val="1C1C1C"/>
          <w:w w:val="105"/>
          <w:sz w:val="21"/>
        </w:rPr>
        <w:t>a</w:t>
      </w:r>
      <w:r>
        <w:rPr>
          <w:rFonts w:ascii="Arial" w:hAnsi="Arial"/>
          <w:color w:val="1C1C1C"/>
          <w:spacing w:val="-4"/>
          <w:w w:val="105"/>
          <w:sz w:val="21"/>
        </w:rPr>
        <w:t xml:space="preserve"> </w:t>
      </w:r>
      <w:r>
        <w:rPr>
          <w:rFonts w:ascii="Arial" w:hAnsi="Arial"/>
          <w:color w:val="1C1C1C"/>
          <w:w w:val="105"/>
          <w:sz w:val="21"/>
        </w:rPr>
        <w:t xml:space="preserve">comparison of </w:t>
      </w:r>
      <w:r>
        <w:rPr>
          <w:rFonts w:ascii="Arial" w:hAnsi="Arial"/>
          <w:color w:val="0C0C0C"/>
          <w:w w:val="105"/>
          <w:sz w:val="21"/>
        </w:rPr>
        <w:t xml:space="preserve">MOFCOM's </w:t>
      </w:r>
      <w:r>
        <w:rPr>
          <w:rFonts w:ascii="Arial" w:hAnsi="Arial"/>
          <w:color w:val="1C1C1C"/>
          <w:w w:val="105"/>
          <w:sz w:val="21"/>
        </w:rPr>
        <w:t xml:space="preserve">average </w:t>
      </w:r>
      <w:r>
        <w:rPr>
          <w:rFonts w:ascii="Arial" w:hAnsi="Arial"/>
          <w:color w:val="0C0C0C"/>
          <w:w w:val="105"/>
          <w:sz w:val="21"/>
        </w:rPr>
        <w:t xml:space="preserve">unit prices throughout </w:t>
      </w:r>
      <w:r>
        <w:rPr>
          <w:rFonts w:ascii="Arial" w:hAnsi="Arial"/>
          <w:color w:val="1C1C1C"/>
          <w:w w:val="105"/>
          <w:sz w:val="21"/>
        </w:rPr>
        <w:t xml:space="preserve">the </w:t>
      </w:r>
      <w:r>
        <w:rPr>
          <w:rFonts w:ascii="Arial" w:hAnsi="Arial"/>
          <w:color w:val="0C0C0C"/>
          <w:w w:val="105"/>
          <w:sz w:val="21"/>
        </w:rPr>
        <w:t xml:space="preserve">Injury </w:t>
      </w:r>
      <w:r>
        <w:rPr>
          <w:rFonts w:ascii="Arial" w:hAnsi="Arial"/>
          <w:color w:val="1C1C1C"/>
          <w:w w:val="105"/>
          <w:sz w:val="21"/>
        </w:rPr>
        <w:t>POl.</w:t>
      </w:r>
      <w:r>
        <w:rPr>
          <w:rFonts w:ascii="Arial" w:hAnsi="Arial"/>
          <w:color w:val="1C1C1C"/>
          <w:w w:val="105"/>
          <w:position w:val="7"/>
          <w:sz w:val="14"/>
        </w:rPr>
        <w:t>646</w:t>
      </w:r>
    </w:p>
    <w:p w14:paraId="51DE8E56" w14:textId="77777777" w:rsidR="0010369C" w:rsidRDefault="008E43AE">
      <w:pPr>
        <w:spacing w:before="129" w:line="439" w:lineRule="auto"/>
        <w:ind w:left="237" w:right="576" w:hanging="2"/>
        <w:jc w:val="both"/>
        <w:rPr>
          <w:rFonts w:ascii="Arial"/>
          <w:sz w:val="21"/>
        </w:rPr>
      </w:pPr>
      <w:r>
        <w:rPr>
          <w:rFonts w:ascii="Arial"/>
          <w:color w:val="1C1C1C"/>
          <w:w w:val="110"/>
          <w:sz w:val="21"/>
        </w:rPr>
        <w:t>572.</w:t>
      </w:r>
      <w:r>
        <w:rPr>
          <w:rFonts w:ascii="Arial"/>
          <w:color w:val="1C1C1C"/>
          <w:spacing w:val="80"/>
          <w:w w:val="150"/>
          <w:sz w:val="21"/>
        </w:rPr>
        <w:t xml:space="preserve"> </w:t>
      </w:r>
      <w:r>
        <w:rPr>
          <w:rFonts w:ascii="Arial"/>
          <w:color w:val="0C0C0C"/>
          <w:w w:val="110"/>
          <w:sz w:val="21"/>
        </w:rPr>
        <w:t xml:space="preserve">Further, </w:t>
      </w:r>
      <w:r>
        <w:rPr>
          <w:rFonts w:ascii="Arial"/>
          <w:color w:val="1C1C1C"/>
          <w:w w:val="110"/>
          <w:sz w:val="21"/>
        </w:rPr>
        <w:t xml:space="preserve">at various </w:t>
      </w:r>
      <w:r>
        <w:rPr>
          <w:rFonts w:ascii="Arial"/>
          <w:color w:val="0C0C0C"/>
          <w:w w:val="110"/>
          <w:sz w:val="21"/>
        </w:rPr>
        <w:t xml:space="preserve">points </w:t>
      </w:r>
      <w:r>
        <w:rPr>
          <w:rFonts w:ascii="Arial"/>
          <w:color w:val="1C1C1C"/>
          <w:w w:val="110"/>
          <w:sz w:val="21"/>
        </w:rPr>
        <w:t xml:space="preserve">in </w:t>
      </w:r>
      <w:r>
        <w:rPr>
          <w:rFonts w:ascii="Arial"/>
          <w:color w:val="0C0C0C"/>
          <w:w w:val="110"/>
          <w:sz w:val="21"/>
        </w:rPr>
        <w:t xml:space="preserve">the </w:t>
      </w:r>
      <w:r>
        <w:rPr>
          <w:rFonts w:ascii="Arial"/>
          <w:color w:val="1C1C1C"/>
          <w:w w:val="110"/>
          <w:sz w:val="21"/>
        </w:rPr>
        <w:t xml:space="preserve">Final </w:t>
      </w:r>
      <w:r>
        <w:rPr>
          <w:rFonts w:ascii="Arial"/>
          <w:color w:val="0C0C0C"/>
          <w:w w:val="110"/>
          <w:sz w:val="21"/>
        </w:rPr>
        <w:t>Determination,</w:t>
      </w:r>
      <w:r>
        <w:rPr>
          <w:rFonts w:ascii="Arial"/>
          <w:color w:val="0C0C0C"/>
          <w:spacing w:val="-3"/>
          <w:w w:val="110"/>
          <w:sz w:val="21"/>
        </w:rPr>
        <w:t xml:space="preserve"> </w:t>
      </w:r>
      <w:r>
        <w:rPr>
          <w:rFonts w:ascii="Arial"/>
          <w:color w:val="0C0C0C"/>
          <w:w w:val="110"/>
          <w:sz w:val="21"/>
        </w:rPr>
        <w:t xml:space="preserve">MOFCOM </w:t>
      </w:r>
      <w:r>
        <w:rPr>
          <w:rFonts w:ascii="Arial"/>
          <w:color w:val="1C1C1C"/>
          <w:w w:val="110"/>
          <w:sz w:val="21"/>
        </w:rPr>
        <w:t xml:space="preserve">appears to have accepted </w:t>
      </w:r>
      <w:r>
        <w:rPr>
          <w:rFonts w:ascii="Arial"/>
          <w:color w:val="0C0C0C"/>
          <w:w w:val="110"/>
          <w:sz w:val="21"/>
        </w:rPr>
        <w:t>that</w:t>
      </w:r>
      <w:r>
        <w:rPr>
          <w:rFonts w:ascii="Arial"/>
          <w:color w:val="0C0C0C"/>
          <w:spacing w:val="-1"/>
          <w:w w:val="110"/>
          <w:sz w:val="21"/>
        </w:rPr>
        <w:t xml:space="preserve"> </w:t>
      </w:r>
      <w:r>
        <w:rPr>
          <w:rFonts w:ascii="Arial"/>
          <w:color w:val="1C1C1C"/>
          <w:w w:val="110"/>
          <w:sz w:val="21"/>
        </w:rPr>
        <w:t xml:space="preserve">differences </w:t>
      </w:r>
      <w:r>
        <w:rPr>
          <w:rFonts w:ascii="Arial"/>
          <w:color w:val="0C0C0C"/>
          <w:w w:val="110"/>
          <w:sz w:val="21"/>
        </w:rPr>
        <w:t xml:space="preserve">in the </w:t>
      </w:r>
      <w:r>
        <w:rPr>
          <w:rFonts w:ascii="Arial"/>
          <w:color w:val="1C1C1C"/>
          <w:w w:val="110"/>
          <w:sz w:val="21"/>
        </w:rPr>
        <w:t xml:space="preserve">product </w:t>
      </w:r>
      <w:r>
        <w:rPr>
          <w:rFonts w:ascii="Arial"/>
          <w:color w:val="0C0C0C"/>
          <w:w w:val="110"/>
          <w:sz w:val="21"/>
        </w:rPr>
        <w:t xml:space="preserve">mix </w:t>
      </w:r>
      <w:r>
        <w:rPr>
          <w:rFonts w:ascii="Arial"/>
          <w:color w:val="1C1C1C"/>
          <w:w w:val="110"/>
          <w:sz w:val="21"/>
        </w:rPr>
        <w:t xml:space="preserve">between the </w:t>
      </w:r>
      <w:r>
        <w:rPr>
          <w:rFonts w:ascii="Arial"/>
          <w:color w:val="0C0C0C"/>
          <w:w w:val="110"/>
          <w:sz w:val="21"/>
        </w:rPr>
        <w:t xml:space="preserve">baskets </w:t>
      </w:r>
      <w:r>
        <w:rPr>
          <w:rFonts w:ascii="Arial"/>
          <w:color w:val="1C1C1C"/>
          <w:w w:val="110"/>
          <w:sz w:val="21"/>
        </w:rPr>
        <w:t>of subject imports</w:t>
      </w:r>
      <w:r>
        <w:rPr>
          <w:rFonts w:ascii="Arial"/>
          <w:color w:val="1C1C1C"/>
          <w:spacing w:val="-5"/>
          <w:w w:val="110"/>
          <w:sz w:val="21"/>
        </w:rPr>
        <w:t xml:space="preserve"> </w:t>
      </w:r>
      <w:r>
        <w:rPr>
          <w:rFonts w:ascii="Arial"/>
          <w:color w:val="1C1C1C"/>
          <w:w w:val="110"/>
          <w:sz w:val="21"/>
        </w:rPr>
        <w:t xml:space="preserve">and </w:t>
      </w:r>
      <w:r>
        <w:rPr>
          <w:rFonts w:ascii="Arial"/>
          <w:color w:val="0C0C0C"/>
          <w:w w:val="110"/>
          <w:sz w:val="21"/>
        </w:rPr>
        <w:t>domestic</w:t>
      </w:r>
      <w:r>
        <w:rPr>
          <w:rFonts w:ascii="Arial"/>
          <w:color w:val="0C0C0C"/>
          <w:spacing w:val="-17"/>
          <w:w w:val="110"/>
          <w:sz w:val="21"/>
        </w:rPr>
        <w:t xml:space="preserve"> </w:t>
      </w:r>
      <w:r>
        <w:rPr>
          <w:rFonts w:ascii="Arial"/>
          <w:color w:val="0C0C0C"/>
          <w:w w:val="110"/>
          <w:sz w:val="21"/>
        </w:rPr>
        <w:t>like</w:t>
      </w:r>
      <w:r>
        <w:rPr>
          <w:rFonts w:ascii="Arial"/>
          <w:color w:val="0C0C0C"/>
          <w:spacing w:val="-24"/>
          <w:w w:val="110"/>
          <w:sz w:val="21"/>
        </w:rPr>
        <w:t xml:space="preserve"> </w:t>
      </w:r>
      <w:r>
        <w:rPr>
          <w:rFonts w:ascii="Arial"/>
          <w:color w:val="1C1C1C"/>
          <w:w w:val="110"/>
          <w:sz w:val="21"/>
        </w:rPr>
        <w:t>products</w:t>
      </w:r>
      <w:r>
        <w:rPr>
          <w:rFonts w:ascii="Arial"/>
          <w:color w:val="1C1C1C"/>
          <w:spacing w:val="-16"/>
          <w:w w:val="110"/>
          <w:sz w:val="21"/>
        </w:rPr>
        <w:t xml:space="preserve"> </w:t>
      </w:r>
      <w:r>
        <w:rPr>
          <w:rFonts w:ascii="Arial"/>
          <w:color w:val="1C1C1C"/>
          <w:w w:val="110"/>
          <w:sz w:val="21"/>
        </w:rPr>
        <w:t>was</w:t>
      </w:r>
      <w:r>
        <w:rPr>
          <w:rFonts w:ascii="Arial"/>
          <w:color w:val="1C1C1C"/>
          <w:spacing w:val="-16"/>
          <w:w w:val="110"/>
          <w:sz w:val="21"/>
        </w:rPr>
        <w:t xml:space="preserve"> </w:t>
      </w:r>
      <w:r>
        <w:rPr>
          <w:rFonts w:ascii="Arial"/>
          <w:color w:val="1C1C1C"/>
          <w:w w:val="110"/>
          <w:sz w:val="21"/>
        </w:rPr>
        <w:t>a</w:t>
      </w:r>
      <w:r>
        <w:rPr>
          <w:rFonts w:ascii="Arial"/>
          <w:color w:val="1C1C1C"/>
          <w:spacing w:val="-17"/>
          <w:w w:val="110"/>
          <w:sz w:val="21"/>
        </w:rPr>
        <w:t xml:space="preserve"> </w:t>
      </w:r>
      <w:r>
        <w:rPr>
          <w:rFonts w:ascii="Arial"/>
          <w:color w:val="0C0C0C"/>
          <w:w w:val="110"/>
          <w:sz w:val="21"/>
        </w:rPr>
        <w:t>relevant</w:t>
      </w:r>
      <w:r>
        <w:rPr>
          <w:rFonts w:ascii="Arial"/>
          <w:color w:val="0C0C0C"/>
          <w:spacing w:val="-16"/>
          <w:w w:val="110"/>
          <w:sz w:val="21"/>
        </w:rPr>
        <w:t xml:space="preserve"> </w:t>
      </w:r>
      <w:r>
        <w:rPr>
          <w:rFonts w:ascii="Arial"/>
          <w:color w:val="1C1C1C"/>
          <w:w w:val="110"/>
          <w:sz w:val="21"/>
        </w:rPr>
        <w:t>issue.</w:t>
      </w:r>
      <w:r>
        <w:rPr>
          <w:rFonts w:ascii="Arial"/>
          <w:color w:val="1C1C1C"/>
          <w:spacing w:val="-22"/>
          <w:w w:val="110"/>
          <w:sz w:val="21"/>
        </w:rPr>
        <w:t xml:space="preserve"> </w:t>
      </w:r>
      <w:r>
        <w:rPr>
          <w:rFonts w:ascii="Arial"/>
          <w:color w:val="1C1C1C"/>
          <w:w w:val="110"/>
          <w:sz w:val="21"/>
        </w:rPr>
        <w:t>For</w:t>
      </w:r>
      <w:r>
        <w:rPr>
          <w:rFonts w:ascii="Arial"/>
          <w:color w:val="1C1C1C"/>
          <w:spacing w:val="-16"/>
          <w:w w:val="110"/>
          <w:sz w:val="21"/>
        </w:rPr>
        <w:t xml:space="preserve"> </w:t>
      </w:r>
      <w:r>
        <w:rPr>
          <w:rFonts w:ascii="Arial"/>
          <w:color w:val="1C1C1C"/>
          <w:w w:val="110"/>
          <w:sz w:val="21"/>
        </w:rPr>
        <w:t>example:</w:t>
      </w:r>
    </w:p>
    <w:p w14:paraId="51DE8E57" w14:textId="77777777" w:rsidR="0010369C" w:rsidRDefault="008E43AE">
      <w:pPr>
        <w:pStyle w:val="ListParagraph"/>
        <w:numPr>
          <w:ilvl w:val="0"/>
          <w:numId w:val="6"/>
        </w:numPr>
        <w:tabs>
          <w:tab w:val="left" w:pos="1944"/>
          <w:tab w:val="left" w:pos="1945"/>
        </w:tabs>
        <w:spacing w:before="178" w:line="432" w:lineRule="auto"/>
        <w:ind w:right="580" w:hanging="846"/>
        <w:rPr>
          <w:rFonts w:ascii="Times New Roman" w:hAnsi="Times New Roman"/>
          <w:sz w:val="15"/>
        </w:rPr>
      </w:pPr>
      <w:r>
        <w:rPr>
          <w:rFonts w:ascii="Arial" w:hAnsi="Arial"/>
          <w:color w:val="0C0C0C"/>
          <w:w w:val="105"/>
          <w:sz w:val="21"/>
        </w:rPr>
        <w:t xml:space="preserve">MOFCOM </w:t>
      </w:r>
      <w:r>
        <w:rPr>
          <w:rFonts w:ascii="Arial" w:hAnsi="Arial"/>
          <w:color w:val="1C1C1C"/>
          <w:w w:val="105"/>
          <w:sz w:val="21"/>
        </w:rPr>
        <w:t xml:space="preserve">confirmed that "imported wines from Australia could </w:t>
      </w:r>
      <w:r>
        <w:rPr>
          <w:rFonts w:ascii="Arial" w:hAnsi="Arial"/>
          <w:color w:val="0C0C0C"/>
          <w:w w:val="105"/>
          <w:sz w:val="21"/>
        </w:rPr>
        <w:t xml:space="preserve">be </w:t>
      </w:r>
      <w:r>
        <w:rPr>
          <w:rFonts w:ascii="Arial" w:hAnsi="Arial"/>
          <w:color w:val="1C1C1C"/>
          <w:w w:val="105"/>
          <w:sz w:val="21"/>
        </w:rPr>
        <w:t xml:space="preserve">divided into </w:t>
      </w:r>
      <w:r>
        <w:rPr>
          <w:rFonts w:ascii="Arial" w:hAnsi="Arial"/>
          <w:color w:val="0C0C0C"/>
          <w:w w:val="105"/>
          <w:sz w:val="21"/>
        </w:rPr>
        <w:t xml:space="preserve">different </w:t>
      </w:r>
      <w:r>
        <w:rPr>
          <w:rFonts w:ascii="Arial" w:hAnsi="Arial"/>
          <w:color w:val="1C1C1C"/>
          <w:w w:val="105"/>
          <w:sz w:val="21"/>
        </w:rPr>
        <w:t>specifications</w:t>
      </w:r>
      <w:r>
        <w:rPr>
          <w:rFonts w:ascii="Arial" w:hAnsi="Arial"/>
          <w:color w:val="1C1C1C"/>
          <w:spacing w:val="-2"/>
          <w:w w:val="105"/>
          <w:sz w:val="21"/>
        </w:rPr>
        <w:t xml:space="preserve"> </w:t>
      </w:r>
      <w:r>
        <w:rPr>
          <w:rFonts w:ascii="Arial" w:hAnsi="Arial"/>
          <w:color w:val="1C1C1C"/>
          <w:w w:val="105"/>
          <w:sz w:val="21"/>
        </w:rPr>
        <w:t xml:space="preserve">and </w:t>
      </w:r>
      <w:r>
        <w:rPr>
          <w:rFonts w:ascii="Arial" w:hAnsi="Arial"/>
          <w:color w:val="0C0C0C"/>
          <w:w w:val="105"/>
          <w:sz w:val="21"/>
        </w:rPr>
        <w:t xml:space="preserve">types </w:t>
      </w:r>
      <w:r>
        <w:rPr>
          <w:rFonts w:ascii="Arial" w:hAnsi="Arial"/>
          <w:color w:val="1C1C1C"/>
          <w:w w:val="105"/>
          <w:sz w:val="21"/>
        </w:rPr>
        <w:t>of</w:t>
      </w:r>
      <w:r>
        <w:rPr>
          <w:rFonts w:ascii="Arial" w:hAnsi="Arial"/>
          <w:color w:val="1C1C1C"/>
          <w:spacing w:val="40"/>
          <w:w w:val="105"/>
          <w:sz w:val="21"/>
        </w:rPr>
        <w:t xml:space="preserve"> </w:t>
      </w:r>
      <w:r>
        <w:rPr>
          <w:rFonts w:ascii="Arial" w:hAnsi="Arial"/>
          <w:color w:val="1C1C1C"/>
          <w:w w:val="105"/>
          <w:sz w:val="21"/>
        </w:rPr>
        <w:t xml:space="preserve">wines </w:t>
      </w:r>
      <w:r>
        <w:rPr>
          <w:rFonts w:ascii="Arial" w:hAnsi="Arial"/>
          <w:color w:val="0C0C0C"/>
          <w:w w:val="105"/>
          <w:sz w:val="21"/>
        </w:rPr>
        <w:t xml:space="preserve">based </w:t>
      </w:r>
      <w:r>
        <w:rPr>
          <w:rFonts w:ascii="Arial" w:hAnsi="Arial"/>
          <w:color w:val="1C1C1C"/>
          <w:w w:val="105"/>
          <w:sz w:val="21"/>
        </w:rPr>
        <w:t xml:space="preserve">on factors </w:t>
      </w:r>
      <w:r>
        <w:rPr>
          <w:rFonts w:ascii="Arial" w:hAnsi="Arial"/>
          <w:color w:val="0C0C0C"/>
          <w:w w:val="105"/>
          <w:sz w:val="21"/>
        </w:rPr>
        <w:t xml:space="preserve">like </w:t>
      </w:r>
      <w:r>
        <w:rPr>
          <w:rFonts w:ascii="Arial" w:hAnsi="Arial"/>
          <w:color w:val="1C1C1C"/>
          <w:w w:val="105"/>
          <w:sz w:val="21"/>
        </w:rPr>
        <w:t xml:space="preserve">grape variety, grape pickup year, quality and brand", and </w:t>
      </w:r>
      <w:r>
        <w:rPr>
          <w:rFonts w:ascii="Arial" w:hAnsi="Arial"/>
          <w:color w:val="0C0C0C"/>
          <w:w w:val="105"/>
          <w:sz w:val="21"/>
        </w:rPr>
        <w:t xml:space="preserve">that </w:t>
      </w:r>
      <w:r>
        <w:rPr>
          <w:rFonts w:ascii="Arial" w:hAnsi="Arial"/>
          <w:color w:val="1C1C1C"/>
          <w:w w:val="105"/>
          <w:sz w:val="21"/>
        </w:rPr>
        <w:t>there are "sales channe</w:t>
      </w:r>
      <w:r>
        <w:rPr>
          <w:rFonts w:ascii="Arial" w:hAnsi="Arial"/>
          <w:color w:val="1C1C1C"/>
          <w:w w:val="105"/>
          <w:sz w:val="21"/>
        </w:rPr>
        <w:t xml:space="preserve">ls and customer groups of </w:t>
      </w:r>
      <w:r>
        <w:rPr>
          <w:rFonts w:ascii="Arial" w:hAnsi="Arial"/>
          <w:color w:val="0C0C0C"/>
          <w:w w:val="105"/>
          <w:sz w:val="21"/>
        </w:rPr>
        <w:t xml:space="preserve">different </w:t>
      </w:r>
      <w:r>
        <w:rPr>
          <w:rFonts w:ascii="Arial" w:hAnsi="Arial"/>
          <w:color w:val="1C1C1C"/>
          <w:w w:val="105"/>
          <w:sz w:val="21"/>
        </w:rPr>
        <w:t xml:space="preserve">specifications and types of </w:t>
      </w:r>
      <w:r>
        <w:rPr>
          <w:rFonts w:ascii="Arial" w:hAnsi="Arial"/>
          <w:color w:val="1C1C1C"/>
          <w:spacing w:val="-2"/>
          <w:w w:val="105"/>
          <w:sz w:val="21"/>
        </w:rPr>
        <w:t>wines".</w:t>
      </w:r>
      <w:r>
        <w:rPr>
          <w:rFonts w:ascii="Times New Roman" w:hAnsi="Times New Roman"/>
          <w:color w:val="1C1C1C"/>
          <w:spacing w:val="-2"/>
          <w:w w:val="105"/>
          <w:position w:val="7"/>
          <w:sz w:val="15"/>
        </w:rPr>
        <w:t>647</w:t>
      </w:r>
    </w:p>
    <w:p w14:paraId="51DE8E58" w14:textId="77777777" w:rsidR="0010369C" w:rsidRDefault="008E43AE">
      <w:pPr>
        <w:pStyle w:val="ListParagraph"/>
        <w:numPr>
          <w:ilvl w:val="0"/>
          <w:numId w:val="6"/>
        </w:numPr>
        <w:tabs>
          <w:tab w:val="left" w:pos="1944"/>
          <w:tab w:val="left" w:pos="1945"/>
        </w:tabs>
        <w:spacing w:before="149" w:line="427" w:lineRule="auto"/>
        <w:ind w:left="1943" w:right="576" w:hanging="848"/>
        <w:rPr>
          <w:rFonts w:ascii="Arial" w:hAnsi="Arial"/>
          <w:sz w:val="21"/>
        </w:rPr>
      </w:pPr>
      <w:r>
        <w:rPr>
          <w:rFonts w:ascii="Arial" w:hAnsi="Arial"/>
          <w:color w:val="0C0C0C"/>
          <w:w w:val="105"/>
          <w:sz w:val="21"/>
        </w:rPr>
        <w:t xml:space="preserve">MOFCOM </w:t>
      </w:r>
      <w:r>
        <w:rPr>
          <w:rFonts w:ascii="Arial" w:hAnsi="Arial"/>
          <w:color w:val="1C1C1C"/>
          <w:w w:val="105"/>
          <w:sz w:val="21"/>
        </w:rPr>
        <w:t xml:space="preserve">considered that "the wines </w:t>
      </w:r>
      <w:r>
        <w:rPr>
          <w:rFonts w:ascii="Arial" w:hAnsi="Arial"/>
          <w:color w:val="0C0C0C"/>
          <w:w w:val="105"/>
          <w:sz w:val="21"/>
        </w:rPr>
        <w:t xml:space="preserve">imported from </w:t>
      </w:r>
      <w:r>
        <w:rPr>
          <w:rFonts w:ascii="Arial" w:hAnsi="Arial"/>
          <w:color w:val="1C1C1C"/>
          <w:w w:val="105"/>
          <w:sz w:val="21"/>
        </w:rPr>
        <w:t>Australia fall</w:t>
      </w:r>
      <w:r>
        <w:rPr>
          <w:rFonts w:ascii="Arial" w:hAnsi="Arial"/>
          <w:color w:val="1C1C1C"/>
          <w:spacing w:val="-10"/>
          <w:w w:val="105"/>
          <w:sz w:val="21"/>
        </w:rPr>
        <w:t xml:space="preserve"> </w:t>
      </w:r>
      <w:r>
        <w:rPr>
          <w:rFonts w:ascii="Arial" w:hAnsi="Arial"/>
          <w:color w:val="0C0C0C"/>
          <w:w w:val="105"/>
          <w:sz w:val="21"/>
        </w:rPr>
        <w:t>under</w:t>
      </w:r>
      <w:r>
        <w:rPr>
          <w:rFonts w:ascii="Arial" w:hAnsi="Arial"/>
          <w:color w:val="0C0C0C"/>
          <w:spacing w:val="-4"/>
          <w:w w:val="105"/>
          <w:sz w:val="21"/>
        </w:rPr>
        <w:t xml:space="preserve"> </w:t>
      </w:r>
      <w:r>
        <w:rPr>
          <w:rFonts w:ascii="Arial" w:hAnsi="Arial"/>
          <w:color w:val="0C0C0C"/>
          <w:w w:val="105"/>
          <w:sz w:val="21"/>
        </w:rPr>
        <w:t xml:space="preserve">the </w:t>
      </w:r>
      <w:r>
        <w:rPr>
          <w:rFonts w:ascii="Arial" w:hAnsi="Arial"/>
          <w:color w:val="1C1C1C"/>
          <w:w w:val="110"/>
          <w:sz w:val="21"/>
        </w:rPr>
        <w:t>same</w:t>
      </w:r>
      <w:r>
        <w:rPr>
          <w:rFonts w:ascii="Arial" w:hAnsi="Arial"/>
          <w:color w:val="1C1C1C"/>
          <w:spacing w:val="74"/>
          <w:w w:val="110"/>
          <w:sz w:val="21"/>
        </w:rPr>
        <w:t xml:space="preserve"> </w:t>
      </w:r>
      <w:r>
        <w:rPr>
          <w:rFonts w:ascii="Arial" w:hAnsi="Arial"/>
          <w:color w:val="1C1C1C"/>
          <w:w w:val="110"/>
          <w:sz w:val="21"/>
        </w:rPr>
        <w:t>category</w:t>
      </w:r>
      <w:r>
        <w:rPr>
          <w:rFonts w:ascii="Arial" w:hAnsi="Arial"/>
          <w:color w:val="1C1C1C"/>
          <w:spacing w:val="78"/>
          <w:w w:val="110"/>
          <w:sz w:val="21"/>
        </w:rPr>
        <w:t xml:space="preserve"> </w:t>
      </w:r>
      <w:r>
        <w:rPr>
          <w:rFonts w:ascii="Arial" w:hAnsi="Arial"/>
          <w:color w:val="1C1C1C"/>
          <w:w w:val="110"/>
          <w:sz w:val="21"/>
        </w:rPr>
        <w:t>[as</w:t>
      </w:r>
      <w:r>
        <w:rPr>
          <w:rFonts w:ascii="Arial" w:hAnsi="Arial"/>
          <w:color w:val="1C1C1C"/>
          <w:spacing w:val="40"/>
          <w:w w:val="110"/>
          <w:sz w:val="21"/>
        </w:rPr>
        <w:t xml:space="preserve"> </w:t>
      </w:r>
      <w:r>
        <w:rPr>
          <w:rFonts w:ascii="Arial" w:hAnsi="Arial"/>
          <w:color w:val="0C0C0C"/>
          <w:w w:val="110"/>
          <w:sz w:val="21"/>
        </w:rPr>
        <w:t>domestic</w:t>
      </w:r>
      <w:r>
        <w:rPr>
          <w:rFonts w:ascii="Arial" w:hAnsi="Arial"/>
          <w:color w:val="0C0C0C"/>
          <w:spacing w:val="80"/>
          <w:w w:val="110"/>
          <w:sz w:val="21"/>
        </w:rPr>
        <w:t xml:space="preserve"> </w:t>
      </w:r>
      <w:r>
        <w:rPr>
          <w:rFonts w:ascii="Arial" w:hAnsi="Arial"/>
          <w:color w:val="1C1C1C"/>
          <w:w w:val="110"/>
          <w:sz w:val="21"/>
        </w:rPr>
        <w:t>wine</w:t>
      </w:r>
      <w:r>
        <w:rPr>
          <w:rFonts w:ascii="Arial" w:hAnsi="Arial"/>
          <w:color w:val="1C1C1C"/>
          <w:spacing w:val="67"/>
          <w:w w:val="110"/>
          <w:sz w:val="21"/>
        </w:rPr>
        <w:t xml:space="preserve"> </w:t>
      </w:r>
      <w:r>
        <w:rPr>
          <w:rFonts w:ascii="Arial" w:hAnsi="Arial"/>
          <w:color w:val="1C1C1C"/>
          <w:w w:val="110"/>
          <w:sz w:val="21"/>
        </w:rPr>
        <w:t>products]</w:t>
      </w:r>
      <w:r>
        <w:rPr>
          <w:rFonts w:ascii="Arial" w:hAnsi="Arial"/>
          <w:color w:val="1C1C1C"/>
          <w:spacing w:val="80"/>
          <w:w w:val="110"/>
          <w:sz w:val="21"/>
        </w:rPr>
        <w:t xml:space="preserve"> </w:t>
      </w:r>
      <w:r>
        <w:rPr>
          <w:rFonts w:ascii="Arial" w:hAnsi="Arial"/>
          <w:color w:val="1C1C1C"/>
          <w:w w:val="110"/>
          <w:sz w:val="21"/>
        </w:rPr>
        <w:t>although</w:t>
      </w:r>
      <w:r>
        <w:rPr>
          <w:rFonts w:ascii="Arial" w:hAnsi="Arial"/>
          <w:color w:val="1C1C1C"/>
          <w:spacing w:val="74"/>
          <w:w w:val="110"/>
          <w:sz w:val="21"/>
        </w:rPr>
        <w:t xml:space="preserve"> </w:t>
      </w:r>
      <w:r>
        <w:rPr>
          <w:rFonts w:ascii="Arial" w:hAnsi="Arial"/>
          <w:color w:val="0C0C0C"/>
          <w:w w:val="110"/>
          <w:sz w:val="21"/>
        </w:rPr>
        <w:t>they</w:t>
      </w:r>
      <w:r>
        <w:rPr>
          <w:rFonts w:ascii="Arial" w:hAnsi="Arial"/>
          <w:color w:val="0C0C0C"/>
          <w:spacing w:val="69"/>
          <w:w w:val="110"/>
          <w:sz w:val="21"/>
        </w:rPr>
        <w:t xml:space="preserve"> </w:t>
      </w:r>
      <w:r>
        <w:rPr>
          <w:rFonts w:ascii="Arial" w:hAnsi="Arial"/>
          <w:color w:val="0C0C0C"/>
          <w:w w:val="110"/>
          <w:sz w:val="21"/>
        </w:rPr>
        <w:t>differ</w:t>
      </w:r>
      <w:r>
        <w:rPr>
          <w:rFonts w:ascii="Arial" w:hAnsi="Arial"/>
          <w:color w:val="0C0C0C"/>
          <w:spacing w:val="76"/>
          <w:w w:val="110"/>
          <w:sz w:val="21"/>
        </w:rPr>
        <w:t xml:space="preserve"> </w:t>
      </w:r>
      <w:r>
        <w:rPr>
          <w:rFonts w:ascii="Arial" w:hAnsi="Arial"/>
          <w:color w:val="0C0C0C"/>
          <w:w w:val="110"/>
          <w:sz w:val="21"/>
        </w:rPr>
        <w:t>in</w:t>
      </w:r>
    </w:p>
    <w:p w14:paraId="51DE8E59" w14:textId="77777777" w:rsidR="0010369C" w:rsidRDefault="0010369C">
      <w:pPr>
        <w:pStyle w:val="BodyText"/>
        <w:rPr>
          <w:rFonts w:ascii="Arial"/>
          <w:sz w:val="20"/>
        </w:rPr>
      </w:pPr>
    </w:p>
    <w:p w14:paraId="51DE8E5A" w14:textId="77777777" w:rsidR="0010369C" w:rsidRDefault="0010369C">
      <w:pPr>
        <w:pStyle w:val="BodyText"/>
        <w:rPr>
          <w:rFonts w:ascii="Arial"/>
          <w:sz w:val="20"/>
        </w:rPr>
      </w:pPr>
    </w:p>
    <w:p w14:paraId="51DE8E5B" w14:textId="77777777" w:rsidR="0010369C" w:rsidRDefault="008E43AE">
      <w:pPr>
        <w:pStyle w:val="BodyText"/>
        <w:spacing w:before="10"/>
        <w:rPr>
          <w:rFonts w:ascii="Arial"/>
          <w:sz w:val="18"/>
        </w:rPr>
      </w:pPr>
      <w:r>
        <w:pict w14:anchorId="51DEA47D">
          <v:shape id="docshape1035" o:spid="_x0000_s1342" style="position:absolute;margin-left:70.25pt;margin-top:12.05pt;width:145.5pt;height:.1pt;z-index:-250832384;mso-wrap-distance-left:0;mso-wrap-distance-right:0;mso-position-horizontal-relative:page" coordorigin="1405,241" coordsize="2910,0" path="m1405,241r2909,e" filled="f" strokeweight=".53042mm">
            <v:path arrowok="t"/>
            <w10:wrap type="topAndBottom" anchorx="page"/>
          </v:shape>
        </w:pict>
      </w:r>
    </w:p>
    <w:p w14:paraId="51DE8E5C" w14:textId="77777777" w:rsidR="0010369C" w:rsidRDefault="008E43AE">
      <w:pPr>
        <w:spacing w:before="125"/>
        <w:ind w:left="240"/>
        <w:rPr>
          <w:rFonts w:ascii="Arial"/>
          <w:sz w:val="16"/>
        </w:rPr>
      </w:pPr>
      <w:r>
        <w:rPr>
          <w:rFonts w:ascii="Arial"/>
          <w:color w:val="363636"/>
          <w:w w:val="105"/>
          <w:sz w:val="16"/>
          <w:vertAlign w:val="superscript"/>
        </w:rPr>
        <w:t>644</w:t>
      </w:r>
      <w:r>
        <w:rPr>
          <w:rFonts w:ascii="Arial"/>
          <w:color w:val="363636"/>
          <w:spacing w:val="9"/>
          <w:w w:val="105"/>
          <w:sz w:val="16"/>
        </w:rPr>
        <w:t xml:space="preserve"> </w:t>
      </w:r>
      <w:r>
        <w:rPr>
          <w:rFonts w:ascii="Arial"/>
          <w:color w:val="1C1C1C"/>
          <w:w w:val="105"/>
          <w:sz w:val="16"/>
        </w:rPr>
        <w:t>Anti-Dumping</w:t>
      </w:r>
      <w:r>
        <w:rPr>
          <w:rFonts w:ascii="Arial"/>
          <w:color w:val="1C1C1C"/>
          <w:spacing w:val="23"/>
          <w:w w:val="105"/>
          <w:sz w:val="16"/>
        </w:rPr>
        <w:t xml:space="preserve"> </w:t>
      </w:r>
      <w:r>
        <w:rPr>
          <w:rFonts w:ascii="Arial"/>
          <w:color w:val="1C1C1C"/>
          <w:w w:val="105"/>
          <w:sz w:val="16"/>
        </w:rPr>
        <w:t>Final</w:t>
      </w:r>
      <w:r>
        <w:rPr>
          <w:rFonts w:ascii="Arial"/>
          <w:color w:val="1C1C1C"/>
          <w:spacing w:val="-4"/>
          <w:w w:val="105"/>
          <w:sz w:val="16"/>
        </w:rPr>
        <w:t xml:space="preserve"> </w:t>
      </w:r>
      <w:r>
        <w:rPr>
          <w:rFonts w:ascii="Arial"/>
          <w:color w:val="1C1C1C"/>
          <w:w w:val="105"/>
          <w:sz w:val="16"/>
        </w:rPr>
        <w:t>Determination</w:t>
      </w:r>
      <w:r>
        <w:rPr>
          <w:rFonts w:ascii="Arial"/>
          <w:color w:val="1C1C1C"/>
          <w:spacing w:val="11"/>
          <w:w w:val="105"/>
          <w:sz w:val="16"/>
        </w:rPr>
        <w:t xml:space="preserve"> </w:t>
      </w:r>
      <w:r>
        <w:rPr>
          <w:rFonts w:ascii="Arial"/>
          <w:color w:val="1C1C1C"/>
          <w:w w:val="105"/>
          <w:sz w:val="16"/>
        </w:rPr>
        <w:t>(Exhibit</w:t>
      </w:r>
      <w:r>
        <w:rPr>
          <w:rFonts w:ascii="Arial"/>
          <w:color w:val="1C1C1C"/>
          <w:spacing w:val="14"/>
          <w:w w:val="105"/>
          <w:sz w:val="16"/>
        </w:rPr>
        <w:t xml:space="preserve"> </w:t>
      </w:r>
      <w:r>
        <w:rPr>
          <w:rFonts w:ascii="Arial"/>
          <w:color w:val="1C1C1C"/>
          <w:w w:val="105"/>
          <w:sz w:val="16"/>
        </w:rPr>
        <w:t>AUS-2),</w:t>
      </w:r>
      <w:r>
        <w:rPr>
          <w:rFonts w:ascii="Arial"/>
          <w:color w:val="1C1C1C"/>
          <w:spacing w:val="1"/>
          <w:w w:val="105"/>
          <w:sz w:val="16"/>
        </w:rPr>
        <w:t xml:space="preserve"> </w:t>
      </w:r>
      <w:r>
        <w:rPr>
          <w:rFonts w:ascii="Arial"/>
          <w:color w:val="1C1C1C"/>
          <w:w w:val="105"/>
          <w:sz w:val="16"/>
        </w:rPr>
        <w:t>pp.</w:t>
      </w:r>
      <w:r>
        <w:rPr>
          <w:rFonts w:ascii="Arial"/>
          <w:color w:val="1C1C1C"/>
          <w:spacing w:val="25"/>
          <w:w w:val="105"/>
          <w:sz w:val="16"/>
        </w:rPr>
        <w:t xml:space="preserve"> </w:t>
      </w:r>
      <w:r>
        <w:rPr>
          <w:rFonts w:ascii="Arial"/>
          <w:color w:val="1C1C1C"/>
          <w:w w:val="105"/>
          <w:sz w:val="16"/>
        </w:rPr>
        <w:t>103-104;</w:t>
      </w:r>
      <w:r>
        <w:rPr>
          <w:rFonts w:ascii="Arial"/>
          <w:color w:val="1C1C1C"/>
          <w:spacing w:val="16"/>
          <w:w w:val="105"/>
          <w:sz w:val="16"/>
        </w:rPr>
        <w:t xml:space="preserve"> </w:t>
      </w:r>
      <w:r>
        <w:rPr>
          <w:rFonts w:ascii="Arial"/>
          <w:color w:val="1C1C1C"/>
          <w:w w:val="105"/>
          <w:sz w:val="16"/>
        </w:rPr>
        <w:t>AGW</w:t>
      </w:r>
      <w:r>
        <w:rPr>
          <w:rFonts w:ascii="Arial"/>
          <w:color w:val="1C1C1C"/>
          <w:spacing w:val="10"/>
          <w:w w:val="105"/>
          <w:sz w:val="16"/>
        </w:rPr>
        <w:t xml:space="preserve"> </w:t>
      </w:r>
      <w:r>
        <w:rPr>
          <w:rFonts w:ascii="Arial"/>
          <w:color w:val="1C1C1C"/>
          <w:w w:val="105"/>
          <w:sz w:val="16"/>
        </w:rPr>
        <w:t>Comments</w:t>
      </w:r>
      <w:r>
        <w:rPr>
          <w:rFonts w:ascii="Arial"/>
          <w:color w:val="1C1C1C"/>
          <w:spacing w:val="19"/>
          <w:w w:val="105"/>
          <w:sz w:val="16"/>
        </w:rPr>
        <w:t xml:space="preserve"> </w:t>
      </w:r>
      <w:r>
        <w:rPr>
          <w:rFonts w:ascii="Arial"/>
          <w:color w:val="1C1C1C"/>
          <w:w w:val="105"/>
          <w:sz w:val="16"/>
        </w:rPr>
        <w:t>on</w:t>
      </w:r>
      <w:r>
        <w:rPr>
          <w:rFonts w:ascii="Arial"/>
          <w:color w:val="1C1C1C"/>
          <w:spacing w:val="20"/>
          <w:w w:val="105"/>
          <w:sz w:val="16"/>
        </w:rPr>
        <w:t xml:space="preserve"> </w:t>
      </w:r>
      <w:r>
        <w:rPr>
          <w:rFonts w:ascii="Arial"/>
          <w:color w:val="0C0C0C"/>
          <w:w w:val="105"/>
          <w:sz w:val="16"/>
        </w:rPr>
        <w:t>the</w:t>
      </w:r>
      <w:r>
        <w:rPr>
          <w:rFonts w:ascii="Arial"/>
          <w:color w:val="0C0C0C"/>
          <w:spacing w:val="23"/>
          <w:w w:val="105"/>
          <w:sz w:val="16"/>
        </w:rPr>
        <w:t xml:space="preserve"> </w:t>
      </w:r>
      <w:r>
        <w:rPr>
          <w:rFonts w:ascii="Arial"/>
          <w:color w:val="1C1C1C"/>
          <w:w w:val="105"/>
          <w:sz w:val="16"/>
        </w:rPr>
        <w:t>Preliminary</w:t>
      </w:r>
      <w:r>
        <w:rPr>
          <w:rFonts w:ascii="Arial"/>
          <w:color w:val="1C1C1C"/>
          <w:spacing w:val="14"/>
          <w:w w:val="105"/>
          <w:sz w:val="16"/>
        </w:rPr>
        <w:t xml:space="preserve"> </w:t>
      </w:r>
      <w:r>
        <w:rPr>
          <w:rFonts w:ascii="Arial"/>
          <w:color w:val="1C1C1C"/>
          <w:spacing w:val="-2"/>
          <w:w w:val="105"/>
          <w:sz w:val="16"/>
        </w:rPr>
        <w:t>Determination</w:t>
      </w:r>
    </w:p>
    <w:p w14:paraId="51DE8E5D" w14:textId="77777777" w:rsidR="0010369C" w:rsidRDefault="008E43AE">
      <w:pPr>
        <w:spacing w:before="27"/>
        <w:ind w:left="240"/>
        <w:rPr>
          <w:rFonts w:ascii="Arial"/>
          <w:sz w:val="16"/>
        </w:rPr>
      </w:pPr>
      <w:r>
        <w:rPr>
          <w:rFonts w:ascii="Arial"/>
          <w:color w:val="1C1C1C"/>
          <w:spacing w:val="-2"/>
          <w:sz w:val="16"/>
        </w:rPr>
        <w:t>{AUS-69),</w:t>
      </w:r>
      <w:r>
        <w:rPr>
          <w:rFonts w:ascii="Arial"/>
          <w:color w:val="1C1C1C"/>
          <w:spacing w:val="-12"/>
          <w:sz w:val="16"/>
        </w:rPr>
        <w:t xml:space="preserve"> </w:t>
      </w:r>
      <w:r>
        <w:rPr>
          <w:rFonts w:ascii="Arial"/>
          <w:color w:val="0C0C0C"/>
          <w:spacing w:val="-2"/>
          <w:sz w:val="16"/>
        </w:rPr>
        <w:t>p.</w:t>
      </w:r>
      <w:r>
        <w:rPr>
          <w:rFonts w:ascii="Arial"/>
          <w:color w:val="0C0C0C"/>
          <w:spacing w:val="5"/>
          <w:sz w:val="16"/>
        </w:rPr>
        <w:t xml:space="preserve"> </w:t>
      </w:r>
      <w:r>
        <w:rPr>
          <w:rFonts w:ascii="Arial"/>
          <w:color w:val="1C1C1C"/>
          <w:spacing w:val="-5"/>
          <w:sz w:val="16"/>
        </w:rPr>
        <w:t>4.</w:t>
      </w:r>
    </w:p>
    <w:p w14:paraId="51DE8E5E" w14:textId="77777777" w:rsidR="0010369C" w:rsidRDefault="008E43AE">
      <w:pPr>
        <w:spacing w:before="24" w:line="273" w:lineRule="auto"/>
        <w:ind w:left="232" w:right="614" w:firstLine="7"/>
        <w:rPr>
          <w:rFonts w:ascii="Arial"/>
          <w:sz w:val="16"/>
        </w:rPr>
      </w:pPr>
      <w:r>
        <w:rPr>
          <w:rFonts w:ascii="Arial"/>
          <w:color w:val="363636"/>
          <w:position w:val="6"/>
          <w:sz w:val="12"/>
        </w:rPr>
        <w:t>645</w:t>
      </w:r>
      <w:r>
        <w:rPr>
          <w:rFonts w:ascii="Arial"/>
          <w:color w:val="363636"/>
          <w:spacing w:val="26"/>
          <w:position w:val="6"/>
          <w:sz w:val="12"/>
        </w:rPr>
        <w:t xml:space="preserve"> </w:t>
      </w:r>
      <w:r>
        <w:rPr>
          <w:rFonts w:ascii="Arial"/>
          <w:color w:val="1C1C1C"/>
          <w:sz w:val="16"/>
        </w:rPr>
        <w:t>Anti-Dumping</w:t>
      </w:r>
      <w:r>
        <w:rPr>
          <w:rFonts w:ascii="Arial"/>
          <w:color w:val="1C1C1C"/>
          <w:spacing w:val="40"/>
          <w:sz w:val="16"/>
        </w:rPr>
        <w:t xml:space="preserve"> </w:t>
      </w:r>
      <w:r>
        <w:rPr>
          <w:rFonts w:ascii="Arial"/>
          <w:color w:val="1C1C1C"/>
          <w:sz w:val="16"/>
        </w:rPr>
        <w:t>Final Determination</w:t>
      </w:r>
      <w:r>
        <w:rPr>
          <w:rFonts w:ascii="Arial"/>
          <w:color w:val="1C1C1C"/>
          <w:spacing w:val="37"/>
          <w:sz w:val="16"/>
        </w:rPr>
        <w:t xml:space="preserve"> </w:t>
      </w:r>
      <w:r>
        <w:rPr>
          <w:rFonts w:ascii="Arial"/>
          <w:color w:val="363636"/>
          <w:sz w:val="16"/>
        </w:rPr>
        <w:t>(Exhibit</w:t>
      </w:r>
      <w:r>
        <w:rPr>
          <w:rFonts w:ascii="Arial"/>
          <w:color w:val="363636"/>
          <w:spacing w:val="40"/>
          <w:sz w:val="16"/>
        </w:rPr>
        <w:t xml:space="preserve"> </w:t>
      </w:r>
      <w:r>
        <w:rPr>
          <w:rFonts w:ascii="Arial"/>
          <w:color w:val="1C1C1C"/>
          <w:sz w:val="16"/>
        </w:rPr>
        <w:t>AUS-2),</w:t>
      </w:r>
      <w:r>
        <w:rPr>
          <w:rFonts w:ascii="Arial"/>
          <w:color w:val="1C1C1C"/>
          <w:spacing w:val="26"/>
          <w:sz w:val="16"/>
        </w:rPr>
        <w:t xml:space="preserve"> </w:t>
      </w:r>
      <w:r>
        <w:rPr>
          <w:rFonts w:ascii="Arial"/>
          <w:color w:val="1C1C1C"/>
          <w:sz w:val="16"/>
        </w:rPr>
        <w:t>p.</w:t>
      </w:r>
      <w:r>
        <w:rPr>
          <w:rFonts w:ascii="Arial"/>
          <w:color w:val="1C1C1C"/>
          <w:spacing w:val="40"/>
          <w:sz w:val="16"/>
        </w:rPr>
        <w:t xml:space="preserve"> </w:t>
      </w:r>
      <w:r>
        <w:rPr>
          <w:rFonts w:ascii="Arial"/>
          <w:color w:val="1C1C1C"/>
          <w:sz w:val="16"/>
        </w:rPr>
        <w:t>104. See</w:t>
      </w:r>
      <w:r>
        <w:rPr>
          <w:rFonts w:ascii="Arial"/>
          <w:color w:val="1C1C1C"/>
          <w:spacing w:val="19"/>
          <w:sz w:val="16"/>
        </w:rPr>
        <w:t xml:space="preserve"> </w:t>
      </w:r>
      <w:r>
        <w:rPr>
          <w:rFonts w:ascii="Arial"/>
          <w:color w:val="1C1C1C"/>
          <w:sz w:val="16"/>
        </w:rPr>
        <w:t>also</w:t>
      </w:r>
      <w:r>
        <w:rPr>
          <w:rFonts w:ascii="Arial"/>
          <w:color w:val="1C1C1C"/>
          <w:spacing w:val="19"/>
          <w:sz w:val="16"/>
        </w:rPr>
        <w:t xml:space="preserve"> </w:t>
      </w:r>
      <w:r>
        <w:rPr>
          <w:rFonts w:ascii="Arial"/>
          <w:color w:val="1C1C1C"/>
          <w:sz w:val="16"/>
        </w:rPr>
        <w:t>CADA</w:t>
      </w:r>
      <w:r>
        <w:rPr>
          <w:rFonts w:ascii="Arial"/>
          <w:color w:val="1C1C1C"/>
          <w:spacing w:val="31"/>
          <w:sz w:val="16"/>
        </w:rPr>
        <w:t xml:space="preserve"> </w:t>
      </w:r>
      <w:r>
        <w:rPr>
          <w:rFonts w:ascii="Arial"/>
          <w:color w:val="1C1C1C"/>
          <w:sz w:val="16"/>
        </w:rPr>
        <w:t>Comments</w:t>
      </w:r>
      <w:r>
        <w:rPr>
          <w:rFonts w:ascii="Arial"/>
          <w:color w:val="1C1C1C"/>
          <w:spacing w:val="35"/>
          <w:sz w:val="16"/>
        </w:rPr>
        <w:t xml:space="preserve"> </w:t>
      </w:r>
      <w:r>
        <w:rPr>
          <w:rFonts w:ascii="Arial"/>
          <w:color w:val="1C1C1C"/>
          <w:sz w:val="16"/>
        </w:rPr>
        <w:t>on</w:t>
      </w:r>
      <w:r>
        <w:rPr>
          <w:rFonts w:ascii="Arial"/>
          <w:color w:val="1C1C1C"/>
          <w:spacing w:val="34"/>
          <w:sz w:val="16"/>
        </w:rPr>
        <w:t xml:space="preserve"> </w:t>
      </w:r>
      <w:r>
        <w:rPr>
          <w:rFonts w:ascii="Arial"/>
          <w:color w:val="1C1C1C"/>
          <w:sz w:val="16"/>
        </w:rPr>
        <w:t>Stakeholder's</w:t>
      </w:r>
      <w:r>
        <w:rPr>
          <w:rFonts w:ascii="Arial"/>
          <w:color w:val="1C1C1C"/>
          <w:spacing w:val="37"/>
          <w:sz w:val="16"/>
        </w:rPr>
        <w:t xml:space="preserve"> </w:t>
      </w:r>
      <w:r>
        <w:rPr>
          <w:rFonts w:ascii="Arial"/>
          <w:color w:val="1C1C1C"/>
          <w:sz w:val="16"/>
        </w:rPr>
        <w:t>Comments</w:t>
      </w:r>
      <w:r>
        <w:rPr>
          <w:rFonts w:ascii="Arial"/>
          <w:color w:val="1C1C1C"/>
          <w:spacing w:val="35"/>
          <w:sz w:val="16"/>
        </w:rPr>
        <w:t xml:space="preserve"> </w:t>
      </w:r>
      <w:r>
        <w:rPr>
          <w:rFonts w:ascii="Arial"/>
          <w:color w:val="1C1C1C"/>
          <w:sz w:val="16"/>
        </w:rPr>
        <w:t>on Preliminary Determination (Exhibit AUS-70), p. 11.</w:t>
      </w:r>
    </w:p>
    <w:p w14:paraId="51DE8E5F" w14:textId="77777777" w:rsidR="0010369C" w:rsidRDefault="008E43AE">
      <w:pPr>
        <w:tabs>
          <w:tab w:val="left" w:pos="6705"/>
        </w:tabs>
        <w:spacing w:line="234" w:lineRule="exact"/>
        <w:ind w:left="239"/>
        <w:jc w:val="both"/>
        <w:rPr>
          <w:rFonts w:ascii="Times New Roman"/>
          <w:sz w:val="12"/>
        </w:rPr>
      </w:pPr>
      <w:r>
        <w:pict w14:anchorId="51DEA47E">
          <v:group id="docshapegroup1036" o:spid="_x0000_s1339" style="position:absolute;left:0;text-align:left;margin-left:455.55pt;margin-top:8.1pt;width:68.6pt;height:3.55pt;z-index:-251293184;mso-position-horizontal-relative:page" coordorigin="9111,162" coordsize="1372,71">
            <v:line id="_x0000_s1341" style="position:absolute" from="9111,172" to="10482,172" strokecolor="#0c0c0c" strokeweight=".35361mm"/>
            <v:line id="_x0000_s1340" style="position:absolute" from="10024,222" to="10065,222" strokecolor="#9e9e9e" strokeweight=".35361mm"/>
            <w10:wrap anchorx="page"/>
          </v:group>
        </w:pict>
      </w:r>
      <w:r>
        <w:rPr>
          <w:rFonts w:ascii="Times New Roman"/>
          <w:color w:val="363636"/>
          <w:w w:val="110"/>
          <w:position w:val="6"/>
          <w:sz w:val="12"/>
        </w:rPr>
        <w:t>646</w:t>
      </w:r>
      <w:r>
        <w:rPr>
          <w:rFonts w:ascii="Times New Roman"/>
          <w:color w:val="363636"/>
          <w:spacing w:val="-6"/>
          <w:w w:val="110"/>
          <w:position w:val="6"/>
          <w:sz w:val="12"/>
        </w:rPr>
        <w:t xml:space="preserve"> </w:t>
      </w:r>
      <w:r>
        <w:rPr>
          <w:rFonts w:ascii="Times New Roman"/>
          <w:color w:val="1C1C1C"/>
          <w:spacing w:val="-10"/>
          <w:w w:val="115"/>
          <w:sz w:val="12"/>
        </w:rPr>
        <w:t>[</w:t>
      </w:r>
      <w:r>
        <w:rPr>
          <w:rFonts w:ascii="Times New Roman"/>
          <w:color w:val="1C1C1C"/>
          <w:sz w:val="12"/>
        </w:rPr>
        <w:tab/>
      </w:r>
      <w:r>
        <w:rPr>
          <w:rFonts w:ascii="Arial"/>
          <w:color w:val="8A8A8A"/>
          <w:w w:val="115"/>
          <w:sz w:val="16"/>
          <w:u w:val="thick" w:color="8A8A8A"/>
        </w:rPr>
        <w:t>[Exhibi</w:t>
      </w:r>
      <w:r>
        <w:rPr>
          <w:rFonts w:ascii="Arial"/>
          <w:color w:val="8A8A8A"/>
          <w:w w:val="115"/>
          <w:sz w:val="16"/>
        </w:rPr>
        <w:t>t</w:t>
      </w:r>
      <w:r>
        <w:rPr>
          <w:rFonts w:ascii="Arial"/>
          <w:color w:val="8A8A8A"/>
          <w:spacing w:val="-13"/>
          <w:w w:val="115"/>
          <w:sz w:val="16"/>
        </w:rPr>
        <w:t xml:space="preserve"> </w:t>
      </w:r>
      <w:r>
        <w:rPr>
          <w:rFonts w:ascii="Arial"/>
          <w:color w:val="646464"/>
          <w:w w:val="115"/>
          <w:sz w:val="16"/>
        </w:rPr>
        <w:t>AUS-65</w:t>
      </w:r>
      <w:r>
        <w:rPr>
          <w:rFonts w:ascii="Arial"/>
          <w:color w:val="646464"/>
          <w:spacing w:val="-19"/>
          <w:w w:val="115"/>
          <w:sz w:val="16"/>
        </w:rPr>
        <w:t xml:space="preserve"> </w:t>
      </w:r>
      <w:r>
        <w:rPr>
          <w:rFonts w:ascii="Arial"/>
          <w:color w:val="646464"/>
          <w:w w:val="155"/>
          <w:sz w:val="16"/>
        </w:rPr>
        <w:t>(BCl)),</w:t>
      </w:r>
      <w:r>
        <w:rPr>
          <w:rFonts w:ascii="Arial"/>
          <w:color w:val="0C0C0C"/>
          <w:w w:val="155"/>
          <w:sz w:val="16"/>
        </w:rPr>
        <w:t>-</w:t>
      </w:r>
      <w:r>
        <w:rPr>
          <w:rFonts w:ascii="Times New Roman"/>
          <w:color w:val="9E9E9E"/>
          <w:spacing w:val="-5"/>
          <w:w w:val="155"/>
          <w:position w:val="-4"/>
          <w:sz w:val="12"/>
        </w:rPr>
        <w:t>1</w:t>
      </w:r>
      <w:r>
        <w:rPr>
          <w:rFonts w:ascii="Times New Roman"/>
          <w:color w:val="363636"/>
          <w:spacing w:val="-5"/>
          <w:w w:val="155"/>
          <w:sz w:val="12"/>
          <w:u w:val="thick" w:color="363636"/>
        </w:rPr>
        <w:t>)</w:t>
      </w:r>
      <w:r>
        <w:rPr>
          <w:rFonts w:ascii="Times New Roman"/>
          <w:color w:val="363636"/>
          <w:spacing w:val="-5"/>
          <w:w w:val="155"/>
          <w:sz w:val="12"/>
        </w:rPr>
        <w:t>)</w:t>
      </w:r>
    </w:p>
    <w:p w14:paraId="51DE8E60" w14:textId="77777777" w:rsidR="0010369C" w:rsidRDefault="008E43AE">
      <w:pPr>
        <w:spacing w:line="182" w:lineRule="exact"/>
        <w:ind w:left="240"/>
        <w:rPr>
          <w:rFonts w:ascii="Arial"/>
          <w:sz w:val="16"/>
        </w:rPr>
      </w:pPr>
      <w:r>
        <w:rPr>
          <w:rFonts w:ascii="Arial"/>
          <w:color w:val="363636"/>
          <w:position w:val="5"/>
          <w:sz w:val="12"/>
        </w:rPr>
        <w:t>647</w:t>
      </w:r>
      <w:r>
        <w:rPr>
          <w:rFonts w:ascii="Arial"/>
          <w:color w:val="363636"/>
          <w:spacing w:val="5"/>
          <w:position w:val="5"/>
          <w:sz w:val="12"/>
        </w:rPr>
        <w:t xml:space="preserve"> </w:t>
      </w:r>
      <w:r>
        <w:rPr>
          <w:rFonts w:ascii="Arial"/>
          <w:color w:val="1C1C1C"/>
          <w:sz w:val="16"/>
        </w:rPr>
        <w:t>Anti-Dumping</w:t>
      </w:r>
      <w:r>
        <w:rPr>
          <w:rFonts w:ascii="Arial"/>
          <w:color w:val="1C1C1C"/>
          <w:spacing w:val="10"/>
          <w:sz w:val="16"/>
        </w:rPr>
        <w:t xml:space="preserve"> </w:t>
      </w:r>
      <w:r>
        <w:rPr>
          <w:rFonts w:ascii="Arial"/>
          <w:color w:val="1C1C1C"/>
          <w:sz w:val="16"/>
        </w:rPr>
        <w:t>Final</w:t>
      </w:r>
      <w:r>
        <w:rPr>
          <w:rFonts w:ascii="Arial"/>
          <w:color w:val="1C1C1C"/>
          <w:spacing w:val="-3"/>
          <w:sz w:val="16"/>
        </w:rPr>
        <w:t xml:space="preserve"> </w:t>
      </w:r>
      <w:r>
        <w:rPr>
          <w:rFonts w:ascii="Arial"/>
          <w:color w:val="1C1C1C"/>
          <w:sz w:val="16"/>
        </w:rPr>
        <w:t>Determination</w:t>
      </w:r>
      <w:r>
        <w:rPr>
          <w:rFonts w:ascii="Arial"/>
          <w:color w:val="1C1C1C"/>
          <w:spacing w:val="5"/>
          <w:sz w:val="16"/>
        </w:rPr>
        <w:t xml:space="preserve"> </w:t>
      </w:r>
      <w:r>
        <w:rPr>
          <w:rFonts w:ascii="Arial"/>
          <w:color w:val="1C1C1C"/>
          <w:sz w:val="16"/>
        </w:rPr>
        <w:t>(Exhibit</w:t>
      </w:r>
      <w:r>
        <w:rPr>
          <w:rFonts w:ascii="Arial"/>
          <w:color w:val="1C1C1C"/>
          <w:spacing w:val="11"/>
          <w:sz w:val="16"/>
        </w:rPr>
        <w:t xml:space="preserve"> </w:t>
      </w:r>
      <w:r>
        <w:rPr>
          <w:rFonts w:ascii="Arial"/>
          <w:color w:val="1C1C1C"/>
          <w:sz w:val="16"/>
        </w:rPr>
        <w:t>AUS-2),</w:t>
      </w:r>
      <w:r>
        <w:rPr>
          <w:rFonts w:ascii="Arial"/>
          <w:color w:val="1C1C1C"/>
          <w:spacing w:val="7"/>
          <w:sz w:val="16"/>
        </w:rPr>
        <w:t xml:space="preserve"> </w:t>
      </w:r>
      <w:r>
        <w:rPr>
          <w:rFonts w:ascii="Arial"/>
          <w:color w:val="0C0C0C"/>
          <w:sz w:val="16"/>
        </w:rPr>
        <w:t>p.</w:t>
      </w:r>
      <w:r>
        <w:rPr>
          <w:rFonts w:ascii="Arial"/>
          <w:color w:val="0C0C0C"/>
          <w:spacing w:val="14"/>
          <w:sz w:val="16"/>
        </w:rPr>
        <w:t xml:space="preserve"> </w:t>
      </w:r>
      <w:r>
        <w:rPr>
          <w:rFonts w:ascii="Arial"/>
          <w:color w:val="0C0C0C"/>
          <w:spacing w:val="-4"/>
          <w:sz w:val="16"/>
        </w:rPr>
        <w:t>104.</w:t>
      </w:r>
    </w:p>
    <w:p w14:paraId="51DE8E61" w14:textId="77777777" w:rsidR="0010369C" w:rsidRDefault="0010369C">
      <w:pPr>
        <w:spacing w:line="182" w:lineRule="exact"/>
        <w:rPr>
          <w:rFonts w:ascii="Arial"/>
          <w:sz w:val="16"/>
        </w:rPr>
        <w:sectPr w:rsidR="0010369C">
          <w:headerReference w:type="default" r:id="rId758"/>
          <w:footerReference w:type="default" r:id="rId759"/>
          <w:pgSz w:w="11910" w:h="16840"/>
          <w:pgMar w:top="480" w:right="800" w:bottom="980" w:left="1180" w:header="0" w:footer="788" w:gutter="0"/>
          <w:cols w:space="720"/>
        </w:sectPr>
      </w:pPr>
    </w:p>
    <w:p w14:paraId="51DE8E62" w14:textId="77777777" w:rsidR="0010369C" w:rsidRDefault="008E43AE">
      <w:pPr>
        <w:pStyle w:val="BodyText"/>
        <w:ind w:left="119"/>
        <w:rPr>
          <w:rFonts w:ascii="Arial"/>
          <w:sz w:val="20"/>
        </w:rPr>
      </w:pPr>
      <w:r>
        <w:rPr>
          <w:rFonts w:ascii="Arial"/>
          <w:sz w:val="20"/>
        </w:rPr>
      </w:r>
      <w:r>
        <w:rPr>
          <w:rFonts w:ascii="Arial"/>
          <w:sz w:val="20"/>
        </w:rPr>
        <w:pict w14:anchorId="51DEA480">
          <v:shape id="docshape1038" o:spid="_x0000_s1338" type="#_x0000_t202" style="width:460.95pt;height:15.8pt;mso-left-percent:-10001;mso-top-percent:-10001;mso-position-horizontal:absolute;mso-position-horizontal-relative:char;mso-position-vertical:absolute;mso-position-vertical-relative:line;mso-left-percent:-10001;mso-top-percent:-10001" filled="f" strokeweight=".48pt">
            <v:textbox inset="0,0,0,0">
              <w:txbxContent>
                <w:p w14:paraId="51DEAC77" w14:textId="77777777" w:rsidR="0010369C" w:rsidRDefault="008E43AE">
                  <w:pPr>
                    <w:spacing w:before="19"/>
                    <w:ind w:left="2574" w:right="2496"/>
                    <w:jc w:val="center"/>
                  </w:pPr>
                  <w:r>
                    <w:t>Business</w:t>
                  </w:r>
                  <w:r>
                    <w:rPr>
                      <w:spacing w:val="-9"/>
                    </w:rPr>
                    <w:t xml:space="preserve"> </w:t>
                  </w:r>
                  <w:r>
                    <w:t>Confidential</w:t>
                  </w:r>
                  <w:r>
                    <w:rPr>
                      <w:spacing w:val="-7"/>
                    </w:rPr>
                    <w:t xml:space="preserve"> </w:t>
                  </w:r>
                  <w:r>
                    <w:t>Information</w:t>
                  </w:r>
                  <w:r>
                    <w:rPr>
                      <w:spacing w:val="-9"/>
                    </w:rPr>
                    <w:t xml:space="preserve"> </w:t>
                  </w:r>
                  <w:r>
                    <w:t>‐</w:t>
                  </w:r>
                  <w:r>
                    <w:rPr>
                      <w:spacing w:val="-7"/>
                    </w:rPr>
                    <w:t xml:space="preserve"> </w:t>
                  </w:r>
                  <w:r>
                    <w:rPr>
                      <w:spacing w:val="-2"/>
                    </w:rPr>
                    <w:t>REDACTED</w:t>
                  </w:r>
                </w:p>
              </w:txbxContent>
            </v:textbox>
            <w10:anchorlock/>
          </v:shape>
        </w:pict>
      </w:r>
    </w:p>
    <w:p w14:paraId="51DE8E63" w14:textId="77777777" w:rsidR="0010369C" w:rsidRDefault="008E43AE">
      <w:pPr>
        <w:tabs>
          <w:tab w:val="left" w:pos="6426"/>
        </w:tabs>
        <w:spacing w:line="203" w:lineRule="exact"/>
        <w:ind w:left="238"/>
        <w:rPr>
          <w:sz w:val="20"/>
        </w:rPr>
      </w:pPr>
      <w:r>
        <w:rPr>
          <w:i/>
          <w:sz w:val="20"/>
        </w:rPr>
        <w:t>China</w:t>
      </w:r>
      <w:r>
        <w:rPr>
          <w:i/>
          <w:spacing w:val="-5"/>
          <w:sz w:val="20"/>
        </w:rPr>
        <w:t xml:space="preserve"> </w:t>
      </w:r>
      <w:r>
        <w:rPr>
          <w:i/>
          <w:sz w:val="20"/>
        </w:rPr>
        <w:t>–</w:t>
      </w:r>
      <w:r>
        <w:rPr>
          <w:i/>
          <w:spacing w:val="-5"/>
          <w:sz w:val="20"/>
        </w:rPr>
        <w:t xml:space="preserve"> </w:t>
      </w:r>
      <w:r>
        <w:rPr>
          <w:i/>
          <w:sz w:val="20"/>
        </w:rPr>
        <w:t>Anti‐Dumping</w:t>
      </w:r>
      <w:r>
        <w:rPr>
          <w:i/>
          <w:spacing w:val="-4"/>
          <w:sz w:val="20"/>
        </w:rPr>
        <w:t xml:space="preserve"> </w:t>
      </w:r>
      <w:r>
        <w:rPr>
          <w:i/>
          <w:sz w:val="20"/>
        </w:rPr>
        <w:t>and</w:t>
      </w:r>
      <w:r>
        <w:rPr>
          <w:i/>
          <w:spacing w:val="-5"/>
          <w:sz w:val="20"/>
        </w:rPr>
        <w:t xml:space="preserve"> </w:t>
      </w:r>
      <w:r>
        <w:rPr>
          <w:i/>
          <w:sz w:val="20"/>
        </w:rPr>
        <w:t>Countervailing</w:t>
      </w:r>
      <w:r>
        <w:rPr>
          <w:i/>
          <w:spacing w:val="-5"/>
          <w:sz w:val="20"/>
        </w:rPr>
        <w:t xml:space="preserve"> </w:t>
      </w:r>
      <w:r>
        <w:rPr>
          <w:i/>
          <w:sz w:val="20"/>
        </w:rPr>
        <w:t>Duty</w:t>
      </w:r>
      <w:r>
        <w:rPr>
          <w:i/>
          <w:spacing w:val="-4"/>
          <w:sz w:val="20"/>
        </w:rPr>
        <w:t xml:space="preserve"> </w:t>
      </w:r>
      <w:r>
        <w:rPr>
          <w:i/>
          <w:spacing w:val="-2"/>
          <w:sz w:val="20"/>
        </w:rPr>
        <w:t>Measures</w:t>
      </w:r>
      <w:r>
        <w:rPr>
          <w:i/>
          <w:sz w:val="20"/>
        </w:rPr>
        <w:tab/>
      </w:r>
      <w:r>
        <w:rPr>
          <w:sz w:val="20"/>
        </w:rPr>
        <w:t>Australia's</w:t>
      </w:r>
      <w:r>
        <w:rPr>
          <w:spacing w:val="-7"/>
          <w:sz w:val="20"/>
        </w:rPr>
        <w:t xml:space="preserve"> </w:t>
      </w:r>
      <w:r>
        <w:rPr>
          <w:sz w:val="20"/>
        </w:rPr>
        <w:t>First</w:t>
      </w:r>
      <w:r>
        <w:rPr>
          <w:spacing w:val="-2"/>
          <w:sz w:val="20"/>
        </w:rPr>
        <w:t xml:space="preserve"> </w:t>
      </w:r>
      <w:r>
        <w:rPr>
          <w:sz w:val="20"/>
        </w:rPr>
        <w:t>Written</w:t>
      </w:r>
      <w:r>
        <w:rPr>
          <w:spacing w:val="-2"/>
          <w:sz w:val="20"/>
        </w:rPr>
        <w:t xml:space="preserve"> Submission</w:t>
      </w:r>
    </w:p>
    <w:p w14:paraId="51DE8E64" w14:textId="77777777" w:rsidR="0010369C" w:rsidRDefault="008E43AE">
      <w:pPr>
        <w:tabs>
          <w:tab w:val="left" w:pos="8228"/>
        </w:tabs>
        <w:ind w:left="239"/>
        <w:rPr>
          <w:sz w:val="20"/>
        </w:rPr>
      </w:pPr>
      <w:r>
        <w:rPr>
          <w:i/>
          <w:sz w:val="20"/>
        </w:rPr>
        <w:t>on</w:t>
      </w:r>
      <w:r>
        <w:rPr>
          <w:i/>
          <w:spacing w:val="-1"/>
          <w:sz w:val="20"/>
        </w:rPr>
        <w:t xml:space="preserve"> </w:t>
      </w:r>
      <w:r>
        <w:rPr>
          <w:i/>
          <w:sz w:val="20"/>
        </w:rPr>
        <w:t>Wine</w:t>
      </w:r>
      <w:r>
        <w:rPr>
          <w:i/>
          <w:spacing w:val="-1"/>
          <w:sz w:val="20"/>
        </w:rPr>
        <w:t xml:space="preserve"> </w:t>
      </w:r>
      <w:r>
        <w:rPr>
          <w:i/>
          <w:sz w:val="20"/>
        </w:rPr>
        <w:t>from</w:t>
      </w:r>
      <w:r>
        <w:rPr>
          <w:i/>
          <w:spacing w:val="-3"/>
          <w:sz w:val="20"/>
        </w:rPr>
        <w:t xml:space="preserve"> </w:t>
      </w:r>
      <w:r>
        <w:rPr>
          <w:i/>
          <w:sz w:val="20"/>
        </w:rPr>
        <w:t>Australia</w:t>
      </w:r>
      <w:r>
        <w:rPr>
          <w:i/>
          <w:spacing w:val="-1"/>
          <w:sz w:val="20"/>
        </w:rPr>
        <w:t xml:space="preserve"> </w:t>
      </w:r>
      <w:r>
        <w:rPr>
          <w:spacing w:val="-2"/>
          <w:sz w:val="20"/>
        </w:rPr>
        <w:t>(DS602)</w:t>
      </w:r>
      <w:r>
        <w:rPr>
          <w:sz w:val="20"/>
        </w:rPr>
        <w:tab/>
        <w:t>29</w:t>
      </w:r>
      <w:r>
        <w:rPr>
          <w:spacing w:val="-1"/>
          <w:sz w:val="20"/>
        </w:rPr>
        <w:t xml:space="preserve"> </w:t>
      </w:r>
      <w:r>
        <w:rPr>
          <w:sz w:val="20"/>
        </w:rPr>
        <w:t>April</w:t>
      </w:r>
      <w:r>
        <w:rPr>
          <w:spacing w:val="-2"/>
          <w:sz w:val="20"/>
        </w:rPr>
        <w:t xml:space="preserve"> </w:t>
      </w:r>
      <w:r>
        <w:rPr>
          <w:spacing w:val="-4"/>
          <w:sz w:val="20"/>
        </w:rPr>
        <w:t>2022</w:t>
      </w:r>
    </w:p>
    <w:p w14:paraId="51DE8E65" w14:textId="77777777" w:rsidR="0010369C" w:rsidRDefault="008E43AE">
      <w:pPr>
        <w:pStyle w:val="BodyText"/>
        <w:spacing w:before="35" w:line="360" w:lineRule="auto"/>
        <w:ind w:left="1939" w:right="614"/>
      </w:pPr>
      <w:r>
        <w:t>specifications</w:t>
      </w:r>
      <w:r>
        <w:rPr>
          <w:spacing w:val="80"/>
        </w:rPr>
        <w:t xml:space="preserve"> </w:t>
      </w:r>
      <w:r>
        <w:t>and</w:t>
      </w:r>
      <w:r>
        <w:rPr>
          <w:spacing w:val="80"/>
        </w:rPr>
        <w:t xml:space="preserve"> </w:t>
      </w:r>
      <w:r>
        <w:t>types",</w:t>
      </w:r>
      <w:r>
        <w:rPr>
          <w:spacing w:val="80"/>
        </w:rPr>
        <w:t xml:space="preserve"> </w:t>
      </w:r>
      <w:r>
        <w:t>and</w:t>
      </w:r>
      <w:r>
        <w:rPr>
          <w:spacing w:val="80"/>
        </w:rPr>
        <w:t xml:space="preserve"> </w:t>
      </w:r>
      <w:r>
        <w:t>that</w:t>
      </w:r>
      <w:r>
        <w:rPr>
          <w:spacing w:val="80"/>
        </w:rPr>
        <w:t xml:space="preserve"> </w:t>
      </w:r>
      <w:r>
        <w:t>"the</w:t>
      </w:r>
      <w:r>
        <w:rPr>
          <w:spacing w:val="80"/>
        </w:rPr>
        <w:t xml:space="preserve"> </w:t>
      </w:r>
      <w:r>
        <w:t>product</w:t>
      </w:r>
      <w:r>
        <w:rPr>
          <w:spacing w:val="80"/>
        </w:rPr>
        <w:t xml:space="preserve"> </w:t>
      </w:r>
      <w:r>
        <w:t>under</w:t>
      </w:r>
      <w:r>
        <w:rPr>
          <w:spacing w:val="80"/>
        </w:rPr>
        <w:t xml:space="preserve"> </w:t>
      </w:r>
      <w:r>
        <w:t>investigation included wines of different price levels and different quality".</w:t>
      </w:r>
      <w:r>
        <w:rPr>
          <w:vertAlign w:val="superscript"/>
        </w:rPr>
        <w:t>648</w:t>
      </w:r>
    </w:p>
    <w:p w14:paraId="51DE8E66" w14:textId="77777777" w:rsidR="0010369C" w:rsidRDefault="008E43AE">
      <w:pPr>
        <w:pStyle w:val="BodyText"/>
        <w:spacing w:before="119" w:line="360" w:lineRule="auto"/>
        <w:ind w:left="237" w:right="612" w:firstLine="851"/>
        <w:jc w:val="both"/>
      </w:pPr>
      <w:r>
        <w:rPr>
          <w:noProof/>
        </w:rPr>
        <w:drawing>
          <wp:anchor distT="0" distB="0" distL="0" distR="0" simplePos="0" relativeHeight="251205120" behindDoc="1" locked="0" layoutInCell="1" allowOverlap="1" wp14:anchorId="51DEA481" wp14:editId="51DEA482">
            <wp:simplePos x="0" y="0"/>
            <wp:positionH relativeFrom="page">
              <wp:posOffset>902208</wp:posOffset>
            </wp:positionH>
            <wp:positionV relativeFrom="paragraph">
              <wp:posOffset>123140</wp:posOffset>
            </wp:positionV>
            <wp:extent cx="262127" cy="103631"/>
            <wp:effectExtent l="0" t="0" r="0" b="0"/>
            <wp:wrapNone/>
            <wp:docPr id="1137" name="image5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 name="image580.png"/>
                    <pic:cNvPicPr/>
                  </pic:nvPicPr>
                  <pic:blipFill>
                    <a:blip r:embed="rId760" cstate="print"/>
                    <a:stretch>
                      <a:fillRect/>
                    </a:stretch>
                  </pic:blipFill>
                  <pic:spPr>
                    <a:xfrm>
                      <a:off x="0" y="0"/>
                      <a:ext cx="262127" cy="103631"/>
                    </a:xfrm>
                    <a:prstGeom prst="rect">
                      <a:avLst/>
                    </a:prstGeom>
                  </pic:spPr>
                </pic:pic>
              </a:graphicData>
            </a:graphic>
          </wp:anchor>
        </w:drawing>
      </w:r>
      <w:r>
        <w:t xml:space="preserve">This demonstrates that MOFCOM knew that the subject imports from Australia consisted of a basket of products, including different product categories serving different </w:t>
      </w:r>
      <w:r>
        <w:t>market segments (i.e. "sales channels and customer groups"), at different price points. MOFCOM also understood that the like domestic wine products also consisted of a basket of products, observing that "domestic like products in China were also divided in</w:t>
      </w:r>
      <w:r>
        <w:t>to high‐end wines and middle‐and‐low wines".</w:t>
      </w:r>
      <w:r>
        <w:rPr>
          <w:vertAlign w:val="superscript"/>
        </w:rPr>
        <w:t>649</w:t>
      </w:r>
    </w:p>
    <w:p w14:paraId="51DE8E67" w14:textId="77777777" w:rsidR="0010369C" w:rsidRDefault="008E43AE">
      <w:pPr>
        <w:pStyle w:val="ListParagraph"/>
        <w:numPr>
          <w:ilvl w:val="0"/>
          <w:numId w:val="57"/>
        </w:numPr>
        <w:tabs>
          <w:tab w:val="left" w:pos="5340"/>
          <w:tab w:val="left" w:pos="5341"/>
        </w:tabs>
        <w:spacing w:before="162"/>
        <w:jc w:val="both"/>
        <w:rPr>
          <w:sz w:val="24"/>
        </w:rPr>
      </w:pPr>
      <w:r>
        <w:rPr>
          <w:sz w:val="24"/>
          <w:u w:val="single"/>
        </w:rPr>
        <w:t>The</w:t>
      </w:r>
      <w:r>
        <w:rPr>
          <w:spacing w:val="-7"/>
          <w:sz w:val="24"/>
          <w:u w:val="single"/>
        </w:rPr>
        <w:t xml:space="preserve"> </w:t>
      </w:r>
      <w:r>
        <w:rPr>
          <w:sz w:val="24"/>
          <w:u w:val="single"/>
        </w:rPr>
        <w:t>product</w:t>
      </w:r>
      <w:r>
        <w:rPr>
          <w:spacing w:val="-6"/>
          <w:sz w:val="24"/>
          <w:u w:val="single"/>
        </w:rPr>
        <w:t xml:space="preserve"> </w:t>
      </w:r>
      <w:r>
        <w:rPr>
          <w:sz w:val="24"/>
          <w:u w:val="single"/>
        </w:rPr>
        <w:t>mix</w:t>
      </w:r>
      <w:r>
        <w:rPr>
          <w:spacing w:val="-7"/>
          <w:sz w:val="24"/>
          <w:u w:val="single"/>
        </w:rPr>
        <w:t xml:space="preserve"> </w:t>
      </w:r>
      <w:r>
        <w:rPr>
          <w:sz w:val="24"/>
          <w:u w:val="single"/>
        </w:rPr>
        <w:t>of</w:t>
      </w:r>
      <w:r>
        <w:rPr>
          <w:spacing w:val="-6"/>
          <w:sz w:val="24"/>
          <w:u w:val="single"/>
        </w:rPr>
        <w:t xml:space="preserve"> </w:t>
      </w:r>
      <w:r>
        <w:rPr>
          <w:sz w:val="24"/>
          <w:u w:val="single"/>
        </w:rPr>
        <w:t>subject</w:t>
      </w:r>
      <w:r>
        <w:rPr>
          <w:spacing w:val="-7"/>
          <w:sz w:val="24"/>
          <w:u w:val="single"/>
        </w:rPr>
        <w:t xml:space="preserve"> </w:t>
      </w:r>
      <w:r>
        <w:rPr>
          <w:spacing w:val="-2"/>
          <w:sz w:val="24"/>
          <w:u w:val="single"/>
        </w:rPr>
        <w:t>imports</w:t>
      </w:r>
    </w:p>
    <w:p w14:paraId="51DE8E68" w14:textId="77777777" w:rsidR="0010369C" w:rsidRDefault="0010369C">
      <w:pPr>
        <w:pStyle w:val="BodyText"/>
        <w:spacing w:before="9"/>
        <w:rPr>
          <w:sz w:val="20"/>
        </w:rPr>
      </w:pPr>
    </w:p>
    <w:p w14:paraId="51DE8E69" w14:textId="77777777" w:rsidR="0010369C" w:rsidRDefault="008E43AE">
      <w:pPr>
        <w:pStyle w:val="BodyText"/>
        <w:spacing w:before="52" w:line="360" w:lineRule="auto"/>
        <w:ind w:left="236" w:right="612" w:firstLine="852"/>
        <w:jc w:val="both"/>
      </w:pPr>
      <w:r>
        <w:rPr>
          <w:noProof/>
        </w:rPr>
        <w:drawing>
          <wp:anchor distT="0" distB="0" distL="0" distR="0" simplePos="0" relativeHeight="251206144" behindDoc="1" locked="0" layoutInCell="1" allowOverlap="1" wp14:anchorId="51DEA483" wp14:editId="51DEA484">
            <wp:simplePos x="0" y="0"/>
            <wp:positionH relativeFrom="page">
              <wp:posOffset>902208</wp:posOffset>
            </wp:positionH>
            <wp:positionV relativeFrom="paragraph">
              <wp:posOffset>81950</wp:posOffset>
            </wp:positionV>
            <wp:extent cx="262127" cy="100753"/>
            <wp:effectExtent l="0" t="0" r="0" b="0"/>
            <wp:wrapNone/>
            <wp:docPr id="1139" name="image5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 name="image581.png"/>
                    <pic:cNvPicPr/>
                  </pic:nvPicPr>
                  <pic:blipFill>
                    <a:blip r:embed="rId761" cstate="print"/>
                    <a:stretch>
                      <a:fillRect/>
                    </a:stretch>
                  </pic:blipFill>
                  <pic:spPr>
                    <a:xfrm>
                      <a:off x="0" y="0"/>
                      <a:ext cx="262127" cy="100753"/>
                    </a:xfrm>
                    <a:prstGeom prst="rect">
                      <a:avLst/>
                    </a:prstGeom>
                  </pic:spPr>
                </pic:pic>
              </a:graphicData>
            </a:graphic>
          </wp:anchor>
        </w:drawing>
      </w:r>
      <w:r>
        <w:t>MOFCOM</w:t>
      </w:r>
      <w:r>
        <w:rPr>
          <w:spacing w:val="-14"/>
        </w:rPr>
        <w:t xml:space="preserve"> </w:t>
      </w:r>
      <w:r>
        <w:t>was</w:t>
      </w:r>
      <w:r>
        <w:rPr>
          <w:spacing w:val="-14"/>
        </w:rPr>
        <w:t xml:space="preserve"> </w:t>
      </w:r>
      <w:r>
        <w:t>clearly</w:t>
      </w:r>
      <w:r>
        <w:rPr>
          <w:spacing w:val="-13"/>
        </w:rPr>
        <w:t xml:space="preserve"> </w:t>
      </w:r>
      <w:r>
        <w:t>aware</w:t>
      </w:r>
      <w:r>
        <w:rPr>
          <w:spacing w:val="-14"/>
        </w:rPr>
        <w:t xml:space="preserve"> </w:t>
      </w:r>
      <w:r>
        <w:t>of</w:t>
      </w:r>
      <w:r>
        <w:rPr>
          <w:spacing w:val="-13"/>
        </w:rPr>
        <w:t xml:space="preserve"> </w:t>
      </w:r>
      <w:r>
        <w:t>the</w:t>
      </w:r>
      <w:r>
        <w:rPr>
          <w:spacing w:val="-14"/>
        </w:rPr>
        <w:t xml:space="preserve"> </w:t>
      </w:r>
      <w:r>
        <w:t>pronounced</w:t>
      </w:r>
      <w:r>
        <w:rPr>
          <w:spacing w:val="-13"/>
        </w:rPr>
        <w:t xml:space="preserve"> </w:t>
      </w:r>
      <w:r>
        <w:t>level</w:t>
      </w:r>
      <w:r>
        <w:rPr>
          <w:spacing w:val="-14"/>
        </w:rPr>
        <w:t xml:space="preserve"> </w:t>
      </w:r>
      <w:r>
        <w:t>of</w:t>
      </w:r>
      <w:r>
        <w:rPr>
          <w:spacing w:val="-14"/>
        </w:rPr>
        <w:t xml:space="preserve"> </w:t>
      </w:r>
      <w:r>
        <w:t>product</w:t>
      </w:r>
      <w:r>
        <w:rPr>
          <w:spacing w:val="-13"/>
        </w:rPr>
        <w:t xml:space="preserve"> </w:t>
      </w:r>
      <w:r>
        <w:t>differentiation</w:t>
      </w:r>
      <w:r>
        <w:rPr>
          <w:spacing w:val="-14"/>
        </w:rPr>
        <w:t xml:space="preserve"> </w:t>
      </w:r>
      <w:r>
        <w:t>within the</w:t>
      </w:r>
      <w:r>
        <w:rPr>
          <w:spacing w:val="-6"/>
        </w:rPr>
        <w:t xml:space="preserve"> </w:t>
      </w:r>
      <w:r>
        <w:t>basket</w:t>
      </w:r>
      <w:r>
        <w:rPr>
          <w:spacing w:val="-7"/>
        </w:rPr>
        <w:t xml:space="preserve"> </w:t>
      </w:r>
      <w:r>
        <w:t>of</w:t>
      </w:r>
      <w:r>
        <w:rPr>
          <w:spacing w:val="-6"/>
        </w:rPr>
        <w:t xml:space="preserve"> </w:t>
      </w:r>
      <w:r>
        <w:t>subject</w:t>
      </w:r>
      <w:r>
        <w:rPr>
          <w:spacing w:val="-6"/>
        </w:rPr>
        <w:t xml:space="preserve"> </w:t>
      </w:r>
      <w:r>
        <w:t>imports,</w:t>
      </w:r>
      <w:r>
        <w:rPr>
          <w:spacing w:val="-5"/>
        </w:rPr>
        <w:t xml:space="preserve"> </w:t>
      </w:r>
      <w:r>
        <w:t>which</w:t>
      </w:r>
      <w:r>
        <w:rPr>
          <w:spacing w:val="-8"/>
        </w:rPr>
        <w:t xml:space="preserve"> </w:t>
      </w:r>
      <w:r>
        <w:t>consisted</w:t>
      </w:r>
      <w:r>
        <w:rPr>
          <w:spacing w:val="-8"/>
        </w:rPr>
        <w:t xml:space="preserve"> </w:t>
      </w:r>
      <w:r>
        <w:t>of</w:t>
      </w:r>
      <w:r>
        <w:rPr>
          <w:spacing w:val="-8"/>
        </w:rPr>
        <w:t xml:space="preserve"> </w:t>
      </w:r>
      <w:r>
        <w:t>a</w:t>
      </w:r>
      <w:r>
        <w:rPr>
          <w:spacing w:val="-6"/>
        </w:rPr>
        <w:t xml:space="preserve"> </w:t>
      </w:r>
      <w:r>
        <w:t>range</w:t>
      </w:r>
      <w:r>
        <w:rPr>
          <w:spacing w:val="-7"/>
        </w:rPr>
        <w:t xml:space="preserve"> </w:t>
      </w:r>
      <w:r>
        <w:t>of</w:t>
      </w:r>
      <w:r>
        <w:rPr>
          <w:spacing w:val="-6"/>
        </w:rPr>
        <w:t xml:space="preserve"> </w:t>
      </w:r>
      <w:r>
        <w:t>different</w:t>
      </w:r>
      <w:r>
        <w:rPr>
          <w:spacing w:val="-5"/>
        </w:rPr>
        <w:t xml:space="preserve"> </w:t>
      </w:r>
      <w:r>
        <w:t>product</w:t>
      </w:r>
      <w:r>
        <w:rPr>
          <w:spacing w:val="-6"/>
        </w:rPr>
        <w:t xml:space="preserve"> </w:t>
      </w:r>
      <w:r>
        <w:t>types</w:t>
      </w:r>
      <w:r>
        <w:rPr>
          <w:spacing w:val="-7"/>
        </w:rPr>
        <w:t xml:space="preserve"> </w:t>
      </w:r>
      <w:r>
        <w:t>that</w:t>
      </w:r>
      <w:r>
        <w:rPr>
          <w:spacing w:val="-6"/>
        </w:rPr>
        <w:t xml:space="preserve"> </w:t>
      </w:r>
      <w:r>
        <w:t>were distinguished</w:t>
      </w:r>
      <w:r>
        <w:rPr>
          <w:spacing w:val="-3"/>
        </w:rPr>
        <w:t xml:space="preserve"> </w:t>
      </w:r>
      <w:r>
        <w:t>by,</w:t>
      </w:r>
      <w:r>
        <w:rPr>
          <w:spacing w:val="-4"/>
        </w:rPr>
        <w:t xml:space="preserve"> </w:t>
      </w:r>
      <w:r>
        <w:rPr>
          <w:i/>
        </w:rPr>
        <w:t>inter</w:t>
      </w:r>
      <w:r>
        <w:rPr>
          <w:i/>
          <w:spacing w:val="-4"/>
        </w:rPr>
        <w:t xml:space="preserve"> </w:t>
      </w:r>
      <w:r>
        <w:rPr>
          <w:i/>
        </w:rPr>
        <w:t>alia</w:t>
      </w:r>
      <w:r>
        <w:t>,</w:t>
      </w:r>
      <w:r>
        <w:rPr>
          <w:spacing w:val="-4"/>
        </w:rPr>
        <w:t xml:space="preserve"> </w:t>
      </w:r>
      <w:r>
        <w:t>considerable</w:t>
      </w:r>
      <w:r>
        <w:rPr>
          <w:spacing w:val="-4"/>
        </w:rPr>
        <w:t xml:space="preserve"> </w:t>
      </w:r>
      <w:r>
        <w:t>price</w:t>
      </w:r>
      <w:r>
        <w:rPr>
          <w:spacing w:val="-3"/>
        </w:rPr>
        <w:t xml:space="preserve"> </w:t>
      </w:r>
      <w:r>
        <w:t>differences.</w:t>
      </w:r>
      <w:r>
        <w:rPr>
          <w:spacing w:val="-4"/>
        </w:rPr>
        <w:t xml:space="preserve"> </w:t>
      </w:r>
      <w:r>
        <w:t>This</w:t>
      </w:r>
      <w:r>
        <w:rPr>
          <w:spacing w:val="-4"/>
        </w:rPr>
        <w:t xml:space="preserve"> </w:t>
      </w:r>
      <w:r>
        <w:t>is</w:t>
      </w:r>
      <w:r>
        <w:rPr>
          <w:spacing w:val="-4"/>
        </w:rPr>
        <w:t xml:space="preserve"> </w:t>
      </w:r>
      <w:r>
        <w:t>demonstrated</w:t>
      </w:r>
      <w:r>
        <w:rPr>
          <w:spacing w:val="-3"/>
        </w:rPr>
        <w:t xml:space="preserve"> </w:t>
      </w:r>
      <w:r>
        <w:t>by</w:t>
      </w:r>
      <w:r>
        <w:rPr>
          <w:spacing w:val="-6"/>
        </w:rPr>
        <w:t xml:space="preserve"> </w:t>
      </w:r>
      <w:r>
        <w:t>MOFCOM seeking product segmentation information from Australian companies using three separate mechanisms: a product control code (</w:t>
      </w:r>
      <w:r>
        <w:rPr>
          <w:b/>
        </w:rPr>
        <w:t>Dumping PCN</w:t>
      </w:r>
      <w:r>
        <w:t>) that MOFOM</w:t>
      </w:r>
      <w:r>
        <w:t xml:space="preserve"> had designed;</w:t>
      </w:r>
      <w:r>
        <w:rPr>
          <w:vertAlign w:val="superscript"/>
        </w:rPr>
        <w:t>650</w:t>
      </w:r>
      <w:r>
        <w:t xml:space="preserve"> "control codes for products under injury investigation" (</w:t>
      </w:r>
      <w:r>
        <w:rPr>
          <w:b/>
        </w:rPr>
        <w:t>Injury PCN</w:t>
      </w:r>
      <w:r>
        <w:t>) that MOFCOM had designed;</w:t>
      </w:r>
      <w:r>
        <w:rPr>
          <w:vertAlign w:val="superscript"/>
        </w:rPr>
        <w:t>651</w:t>
      </w:r>
      <w:r>
        <w:t xml:space="preserve"> and internal product quality grading mechanisms used by Australian exporters.</w:t>
      </w:r>
      <w:r>
        <w:rPr>
          <w:vertAlign w:val="superscript"/>
        </w:rPr>
        <w:t>652</w:t>
      </w:r>
      <w:r>
        <w:t xml:space="preserve"> There was also extensive submissions from interested partie</w:t>
      </w:r>
      <w:r>
        <w:t>s about the degree and importance of product</w:t>
      </w:r>
      <w:r>
        <w:rPr>
          <w:spacing w:val="-9"/>
        </w:rPr>
        <w:t xml:space="preserve"> </w:t>
      </w:r>
      <w:r>
        <w:t>differentiation</w:t>
      </w:r>
      <w:r>
        <w:rPr>
          <w:spacing w:val="-10"/>
        </w:rPr>
        <w:t xml:space="preserve"> </w:t>
      </w:r>
      <w:r>
        <w:t>in</w:t>
      </w:r>
      <w:r>
        <w:rPr>
          <w:spacing w:val="-10"/>
        </w:rPr>
        <w:t xml:space="preserve"> </w:t>
      </w:r>
      <w:r>
        <w:t>the</w:t>
      </w:r>
      <w:r>
        <w:rPr>
          <w:spacing w:val="-9"/>
        </w:rPr>
        <w:t xml:space="preserve"> </w:t>
      </w:r>
      <w:r>
        <w:t>wine</w:t>
      </w:r>
      <w:r>
        <w:rPr>
          <w:spacing w:val="-11"/>
        </w:rPr>
        <w:t xml:space="preserve"> </w:t>
      </w:r>
      <w:r>
        <w:t>market</w:t>
      </w:r>
      <w:r>
        <w:rPr>
          <w:spacing w:val="-10"/>
        </w:rPr>
        <w:t xml:space="preserve"> </w:t>
      </w:r>
      <w:r>
        <w:t>in</w:t>
      </w:r>
      <w:r>
        <w:rPr>
          <w:spacing w:val="-10"/>
        </w:rPr>
        <w:t xml:space="preserve"> </w:t>
      </w:r>
      <w:r>
        <w:t>China</w:t>
      </w:r>
      <w:r>
        <w:rPr>
          <w:spacing w:val="-9"/>
        </w:rPr>
        <w:t xml:space="preserve"> </w:t>
      </w:r>
      <w:r>
        <w:t>and</w:t>
      </w:r>
      <w:r>
        <w:rPr>
          <w:spacing w:val="-10"/>
        </w:rPr>
        <w:t xml:space="preserve"> </w:t>
      </w:r>
      <w:r>
        <w:t>amongst</w:t>
      </w:r>
      <w:r>
        <w:rPr>
          <w:spacing w:val="-10"/>
        </w:rPr>
        <w:t xml:space="preserve"> </w:t>
      </w:r>
      <w:r>
        <w:t>subject</w:t>
      </w:r>
      <w:r>
        <w:rPr>
          <w:spacing w:val="-10"/>
        </w:rPr>
        <w:t xml:space="preserve"> </w:t>
      </w:r>
      <w:r>
        <w:t>imports</w:t>
      </w:r>
      <w:r>
        <w:rPr>
          <w:spacing w:val="-10"/>
        </w:rPr>
        <w:t xml:space="preserve"> </w:t>
      </w:r>
      <w:r>
        <w:t>of</w:t>
      </w:r>
      <w:r>
        <w:rPr>
          <w:spacing w:val="-11"/>
        </w:rPr>
        <w:t xml:space="preserve"> </w:t>
      </w:r>
      <w:r>
        <w:t>Australian wine.</w:t>
      </w:r>
      <w:r>
        <w:rPr>
          <w:vertAlign w:val="superscript"/>
        </w:rPr>
        <w:t>653</w:t>
      </w:r>
      <w:r>
        <w:rPr>
          <w:spacing w:val="-2"/>
        </w:rPr>
        <w:t xml:space="preserve"> </w:t>
      </w:r>
      <w:r>
        <w:t>The</w:t>
      </w:r>
      <w:r>
        <w:rPr>
          <w:spacing w:val="-2"/>
        </w:rPr>
        <w:t xml:space="preserve"> </w:t>
      </w:r>
      <w:r>
        <w:t>clear</w:t>
      </w:r>
      <w:r>
        <w:rPr>
          <w:spacing w:val="-1"/>
        </w:rPr>
        <w:t xml:space="preserve"> </w:t>
      </w:r>
      <w:r>
        <w:t>inference</w:t>
      </w:r>
      <w:r>
        <w:rPr>
          <w:spacing w:val="-1"/>
        </w:rPr>
        <w:t xml:space="preserve"> </w:t>
      </w:r>
      <w:r>
        <w:t>to</w:t>
      </w:r>
      <w:r>
        <w:rPr>
          <w:spacing w:val="-1"/>
        </w:rPr>
        <w:t xml:space="preserve"> </w:t>
      </w:r>
      <w:r>
        <w:t>be</w:t>
      </w:r>
      <w:r>
        <w:rPr>
          <w:spacing w:val="-1"/>
        </w:rPr>
        <w:t xml:space="preserve"> </w:t>
      </w:r>
      <w:r>
        <w:t>drawn</w:t>
      </w:r>
      <w:r>
        <w:rPr>
          <w:spacing w:val="-1"/>
        </w:rPr>
        <w:t xml:space="preserve"> </w:t>
      </w:r>
      <w:r>
        <w:t>from</w:t>
      </w:r>
      <w:r>
        <w:rPr>
          <w:spacing w:val="-1"/>
        </w:rPr>
        <w:t xml:space="preserve"> </w:t>
      </w:r>
      <w:r>
        <w:t>MOFCOM's</w:t>
      </w:r>
      <w:r>
        <w:rPr>
          <w:spacing w:val="-2"/>
        </w:rPr>
        <w:t xml:space="preserve"> </w:t>
      </w:r>
      <w:r>
        <w:t>request</w:t>
      </w:r>
      <w:r>
        <w:rPr>
          <w:spacing w:val="-2"/>
        </w:rPr>
        <w:t xml:space="preserve"> </w:t>
      </w:r>
      <w:r>
        <w:t>for</w:t>
      </w:r>
      <w:r>
        <w:rPr>
          <w:spacing w:val="-1"/>
        </w:rPr>
        <w:t xml:space="preserve"> </w:t>
      </w:r>
      <w:r>
        <w:t>this</w:t>
      </w:r>
      <w:r>
        <w:rPr>
          <w:spacing w:val="-1"/>
        </w:rPr>
        <w:t xml:space="preserve"> </w:t>
      </w:r>
      <w:r>
        <w:t>information is</w:t>
      </w:r>
      <w:r>
        <w:rPr>
          <w:spacing w:val="-2"/>
        </w:rPr>
        <w:t xml:space="preserve"> </w:t>
      </w:r>
      <w:r>
        <w:t>that MOFCOM considered this type of granular detail important for its assessment.</w:t>
      </w:r>
    </w:p>
    <w:p w14:paraId="51DE8E6A" w14:textId="77777777" w:rsidR="0010369C" w:rsidRDefault="0010369C">
      <w:pPr>
        <w:pStyle w:val="BodyText"/>
        <w:spacing w:before="11"/>
        <w:rPr>
          <w:sz w:val="8"/>
        </w:rPr>
      </w:pPr>
    </w:p>
    <w:p w14:paraId="51DE8E6B" w14:textId="77777777" w:rsidR="0010369C" w:rsidRDefault="008E43AE">
      <w:pPr>
        <w:pStyle w:val="BodyText"/>
        <w:spacing w:before="51" w:line="360" w:lineRule="auto"/>
        <w:ind w:left="237" w:right="613" w:firstLine="851"/>
        <w:jc w:val="both"/>
      </w:pPr>
      <w:r>
        <w:rPr>
          <w:noProof/>
        </w:rPr>
        <w:drawing>
          <wp:anchor distT="0" distB="0" distL="0" distR="0" simplePos="0" relativeHeight="251207168" behindDoc="1" locked="0" layoutInCell="1" allowOverlap="1" wp14:anchorId="51DEA485" wp14:editId="51DEA486">
            <wp:simplePos x="0" y="0"/>
            <wp:positionH relativeFrom="page">
              <wp:posOffset>902208</wp:posOffset>
            </wp:positionH>
            <wp:positionV relativeFrom="paragraph">
              <wp:posOffset>82839</wp:posOffset>
            </wp:positionV>
            <wp:extent cx="262127" cy="100753"/>
            <wp:effectExtent l="0" t="0" r="0" b="0"/>
            <wp:wrapNone/>
            <wp:docPr id="1141" name="image5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 name="image582.png"/>
                    <pic:cNvPicPr/>
                  </pic:nvPicPr>
                  <pic:blipFill>
                    <a:blip r:embed="rId762" cstate="print"/>
                    <a:stretch>
                      <a:fillRect/>
                    </a:stretch>
                  </pic:blipFill>
                  <pic:spPr>
                    <a:xfrm>
                      <a:off x="0" y="0"/>
                      <a:ext cx="262127" cy="100753"/>
                    </a:xfrm>
                    <a:prstGeom prst="rect">
                      <a:avLst/>
                    </a:prstGeom>
                  </pic:spPr>
                </pic:pic>
              </a:graphicData>
            </a:graphic>
          </wp:anchor>
        </w:drawing>
      </w:r>
      <w:r>
        <w:t>Despite this, MOFCOM ignored the detailed evidence supplied by interested parties that</w:t>
      </w:r>
      <w:r>
        <w:rPr>
          <w:spacing w:val="-6"/>
        </w:rPr>
        <w:t xml:space="preserve"> </w:t>
      </w:r>
      <w:r>
        <w:t>demonstrated</w:t>
      </w:r>
      <w:r>
        <w:rPr>
          <w:spacing w:val="-6"/>
        </w:rPr>
        <w:t xml:space="preserve"> </w:t>
      </w:r>
      <w:r>
        <w:t>the</w:t>
      </w:r>
      <w:r>
        <w:rPr>
          <w:spacing w:val="-6"/>
        </w:rPr>
        <w:t xml:space="preserve"> </w:t>
      </w:r>
      <w:r>
        <w:t>existence</w:t>
      </w:r>
      <w:r>
        <w:rPr>
          <w:spacing w:val="-6"/>
        </w:rPr>
        <w:t xml:space="preserve"> </w:t>
      </w:r>
      <w:r>
        <w:t>of</w:t>
      </w:r>
      <w:r>
        <w:rPr>
          <w:spacing w:val="-6"/>
        </w:rPr>
        <w:t xml:space="preserve"> </w:t>
      </w:r>
      <w:r>
        <w:t>significant</w:t>
      </w:r>
      <w:r>
        <w:rPr>
          <w:spacing w:val="-6"/>
        </w:rPr>
        <w:t xml:space="preserve"> </w:t>
      </w:r>
      <w:r>
        <w:t>differences</w:t>
      </w:r>
      <w:r>
        <w:rPr>
          <w:spacing w:val="-6"/>
        </w:rPr>
        <w:t xml:space="preserve"> </w:t>
      </w:r>
      <w:r>
        <w:t>in</w:t>
      </w:r>
      <w:r>
        <w:rPr>
          <w:spacing w:val="-6"/>
        </w:rPr>
        <w:t xml:space="preserve"> </w:t>
      </w:r>
      <w:r>
        <w:t>terms</w:t>
      </w:r>
      <w:r>
        <w:rPr>
          <w:spacing w:val="-7"/>
        </w:rPr>
        <w:t xml:space="preserve"> </w:t>
      </w:r>
      <w:r>
        <w:t>of</w:t>
      </w:r>
      <w:r>
        <w:rPr>
          <w:spacing w:val="-6"/>
        </w:rPr>
        <w:t xml:space="preserve"> </w:t>
      </w:r>
      <w:r>
        <w:t>quality</w:t>
      </w:r>
      <w:r>
        <w:rPr>
          <w:spacing w:val="-5"/>
        </w:rPr>
        <w:t xml:space="preserve"> </w:t>
      </w:r>
      <w:r>
        <w:t>and</w:t>
      </w:r>
      <w:r>
        <w:rPr>
          <w:spacing w:val="-6"/>
        </w:rPr>
        <w:t xml:space="preserve"> </w:t>
      </w:r>
      <w:r>
        <w:t>price</w:t>
      </w:r>
      <w:r>
        <w:rPr>
          <w:spacing w:val="-5"/>
        </w:rPr>
        <w:t xml:space="preserve"> </w:t>
      </w:r>
      <w:r>
        <w:t>w</w:t>
      </w:r>
      <w:r>
        <w:t>ithin the</w:t>
      </w:r>
      <w:r>
        <w:rPr>
          <w:spacing w:val="-14"/>
        </w:rPr>
        <w:t xml:space="preserve"> </w:t>
      </w:r>
      <w:r>
        <w:t>range</w:t>
      </w:r>
      <w:r>
        <w:rPr>
          <w:spacing w:val="-12"/>
        </w:rPr>
        <w:t xml:space="preserve"> </w:t>
      </w:r>
      <w:r>
        <w:t>of</w:t>
      </w:r>
      <w:r>
        <w:rPr>
          <w:spacing w:val="-14"/>
        </w:rPr>
        <w:t xml:space="preserve"> </w:t>
      </w:r>
      <w:r>
        <w:t>products</w:t>
      </w:r>
      <w:r>
        <w:rPr>
          <w:spacing w:val="-12"/>
        </w:rPr>
        <w:t xml:space="preserve"> </w:t>
      </w:r>
      <w:r>
        <w:t>in</w:t>
      </w:r>
      <w:r>
        <w:rPr>
          <w:spacing w:val="-14"/>
        </w:rPr>
        <w:t xml:space="preserve"> </w:t>
      </w:r>
      <w:r>
        <w:t>the</w:t>
      </w:r>
      <w:r>
        <w:rPr>
          <w:spacing w:val="-12"/>
        </w:rPr>
        <w:t xml:space="preserve"> </w:t>
      </w:r>
      <w:r>
        <w:t>basket</w:t>
      </w:r>
      <w:r>
        <w:rPr>
          <w:spacing w:val="-13"/>
        </w:rPr>
        <w:t xml:space="preserve"> </w:t>
      </w:r>
      <w:r>
        <w:t>of</w:t>
      </w:r>
      <w:r>
        <w:rPr>
          <w:spacing w:val="-14"/>
        </w:rPr>
        <w:t xml:space="preserve"> </w:t>
      </w:r>
      <w:r>
        <w:t>subject</w:t>
      </w:r>
      <w:r>
        <w:rPr>
          <w:spacing w:val="-12"/>
        </w:rPr>
        <w:t xml:space="preserve"> </w:t>
      </w:r>
      <w:r>
        <w:t>imports.</w:t>
      </w:r>
      <w:r>
        <w:rPr>
          <w:spacing w:val="-13"/>
        </w:rPr>
        <w:t xml:space="preserve"> </w:t>
      </w:r>
      <w:r>
        <w:t>Specifically,</w:t>
      </w:r>
      <w:r>
        <w:rPr>
          <w:spacing w:val="-13"/>
        </w:rPr>
        <w:t xml:space="preserve"> </w:t>
      </w:r>
      <w:r>
        <w:t>Treasury</w:t>
      </w:r>
      <w:r>
        <w:rPr>
          <w:spacing w:val="-13"/>
        </w:rPr>
        <w:t xml:space="preserve"> </w:t>
      </w:r>
      <w:r>
        <w:t>Wines</w:t>
      </w:r>
      <w:r>
        <w:rPr>
          <w:spacing w:val="-14"/>
        </w:rPr>
        <w:t xml:space="preserve"> </w:t>
      </w:r>
      <w:r>
        <w:t>and</w:t>
      </w:r>
      <w:r>
        <w:rPr>
          <w:spacing w:val="-13"/>
        </w:rPr>
        <w:t xml:space="preserve"> </w:t>
      </w:r>
      <w:r>
        <w:t>Casella Wines provided detailed information to MOFCOM regarding significant differences between</w:t>
      </w:r>
    </w:p>
    <w:p w14:paraId="51DE8E6C" w14:textId="77777777" w:rsidR="0010369C" w:rsidRDefault="0010369C">
      <w:pPr>
        <w:pStyle w:val="BodyText"/>
        <w:rPr>
          <w:sz w:val="20"/>
        </w:rPr>
      </w:pPr>
    </w:p>
    <w:p w14:paraId="51DE8E6D" w14:textId="77777777" w:rsidR="0010369C" w:rsidRDefault="0010369C">
      <w:pPr>
        <w:pStyle w:val="BodyText"/>
        <w:rPr>
          <w:sz w:val="20"/>
        </w:rPr>
      </w:pPr>
    </w:p>
    <w:p w14:paraId="51DE8E6E" w14:textId="77777777" w:rsidR="0010369C" w:rsidRDefault="0010369C">
      <w:pPr>
        <w:pStyle w:val="BodyText"/>
        <w:rPr>
          <w:sz w:val="20"/>
        </w:rPr>
      </w:pPr>
    </w:p>
    <w:p w14:paraId="51DE8E6F" w14:textId="77777777" w:rsidR="0010369C" w:rsidRDefault="008E43AE">
      <w:pPr>
        <w:pStyle w:val="BodyText"/>
        <w:spacing w:before="9"/>
        <w:rPr>
          <w:sz w:val="13"/>
        </w:rPr>
      </w:pPr>
      <w:r>
        <w:pict w14:anchorId="51DEA487">
          <v:rect id="docshape1039" o:spid="_x0000_s1337" style="position:absolute;margin-left:70.9pt;margin-top:9.6pt;width:2in;height:.8pt;z-index:-250831360;mso-wrap-distance-left:0;mso-wrap-distance-right:0;mso-position-horizontal-relative:page" fillcolor="black" stroked="f">
            <w10:wrap type="topAndBottom" anchorx="page"/>
          </v:rect>
        </w:pict>
      </w:r>
    </w:p>
    <w:p w14:paraId="51DE8E70" w14:textId="77777777" w:rsidR="0010369C" w:rsidRDefault="008E43AE">
      <w:pPr>
        <w:spacing w:before="109"/>
        <w:ind w:left="238"/>
        <w:rPr>
          <w:sz w:val="18"/>
        </w:rPr>
      </w:pPr>
      <w:r>
        <w:rPr>
          <w:sz w:val="18"/>
          <w:vertAlign w:val="superscript"/>
        </w:rPr>
        <w:t>648</w:t>
      </w:r>
      <w:r>
        <w:rPr>
          <w:spacing w:val="-9"/>
          <w:sz w:val="18"/>
        </w:rPr>
        <w:t xml:space="preserve"> </w:t>
      </w:r>
      <w:r>
        <w:rPr>
          <w:sz w:val="18"/>
        </w:rPr>
        <w:t>Anti‐Dumping</w:t>
      </w:r>
      <w:r>
        <w:rPr>
          <w:spacing w:val="-9"/>
          <w:sz w:val="18"/>
        </w:rPr>
        <w:t xml:space="preserve"> </w:t>
      </w:r>
      <w:r>
        <w:rPr>
          <w:sz w:val="18"/>
        </w:rPr>
        <w:t>Final</w:t>
      </w:r>
      <w:r>
        <w:rPr>
          <w:spacing w:val="-9"/>
          <w:sz w:val="18"/>
        </w:rPr>
        <w:t xml:space="preserve"> </w:t>
      </w:r>
      <w:r>
        <w:rPr>
          <w:sz w:val="18"/>
        </w:rPr>
        <w:t>Determination</w:t>
      </w:r>
      <w:r>
        <w:rPr>
          <w:spacing w:val="-8"/>
          <w:sz w:val="18"/>
        </w:rPr>
        <w:t xml:space="preserve"> </w:t>
      </w:r>
      <w:r>
        <w:rPr>
          <w:sz w:val="18"/>
        </w:rPr>
        <w:t>(Exhibit</w:t>
      </w:r>
      <w:r>
        <w:rPr>
          <w:spacing w:val="-9"/>
          <w:sz w:val="18"/>
        </w:rPr>
        <w:t xml:space="preserve"> </w:t>
      </w:r>
      <w:r>
        <w:rPr>
          <w:sz w:val="18"/>
        </w:rPr>
        <w:t>AUS‐2),</w:t>
      </w:r>
      <w:r>
        <w:rPr>
          <w:spacing w:val="-9"/>
          <w:sz w:val="18"/>
        </w:rPr>
        <w:t xml:space="preserve"> </w:t>
      </w:r>
      <w:r>
        <w:rPr>
          <w:sz w:val="18"/>
        </w:rPr>
        <w:t>p.</w:t>
      </w:r>
      <w:r>
        <w:rPr>
          <w:spacing w:val="-9"/>
          <w:sz w:val="18"/>
        </w:rPr>
        <w:t xml:space="preserve"> </w:t>
      </w:r>
      <w:r>
        <w:rPr>
          <w:spacing w:val="-4"/>
          <w:sz w:val="18"/>
        </w:rPr>
        <w:t>105.</w:t>
      </w:r>
    </w:p>
    <w:p w14:paraId="51DE8E71" w14:textId="77777777" w:rsidR="0010369C" w:rsidRDefault="008E43AE">
      <w:pPr>
        <w:spacing w:before="1"/>
        <w:ind w:left="238"/>
        <w:rPr>
          <w:sz w:val="18"/>
        </w:rPr>
      </w:pPr>
      <w:r>
        <w:rPr>
          <w:sz w:val="18"/>
          <w:vertAlign w:val="superscript"/>
        </w:rPr>
        <w:t>649</w:t>
      </w:r>
      <w:r>
        <w:rPr>
          <w:spacing w:val="-9"/>
          <w:sz w:val="18"/>
        </w:rPr>
        <w:t xml:space="preserve"> </w:t>
      </w:r>
      <w:r>
        <w:rPr>
          <w:sz w:val="18"/>
        </w:rPr>
        <w:t>Anti‐Dumping</w:t>
      </w:r>
      <w:r>
        <w:rPr>
          <w:spacing w:val="-9"/>
          <w:sz w:val="18"/>
        </w:rPr>
        <w:t xml:space="preserve"> </w:t>
      </w:r>
      <w:r>
        <w:rPr>
          <w:sz w:val="18"/>
        </w:rPr>
        <w:t>Final</w:t>
      </w:r>
      <w:r>
        <w:rPr>
          <w:spacing w:val="-9"/>
          <w:sz w:val="18"/>
        </w:rPr>
        <w:t xml:space="preserve"> </w:t>
      </w:r>
      <w:r>
        <w:rPr>
          <w:sz w:val="18"/>
        </w:rPr>
        <w:t>Determination</w:t>
      </w:r>
      <w:r>
        <w:rPr>
          <w:spacing w:val="-8"/>
          <w:sz w:val="18"/>
        </w:rPr>
        <w:t xml:space="preserve"> </w:t>
      </w:r>
      <w:r>
        <w:rPr>
          <w:sz w:val="18"/>
        </w:rPr>
        <w:t>(Exhibit</w:t>
      </w:r>
      <w:r>
        <w:rPr>
          <w:spacing w:val="-9"/>
          <w:sz w:val="18"/>
        </w:rPr>
        <w:t xml:space="preserve"> </w:t>
      </w:r>
      <w:r>
        <w:rPr>
          <w:sz w:val="18"/>
        </w:rPr>
        <w:t>AUS‐2),</w:t>
      </w:r>
      <w:r>
        <w:rPr>
          <w:spacing w:val="-9"/>
          <w:sz w:val="18"/>
        </w:rPr>
        <w:t xml:space="preserve"> </w:t>
      </w:r>
      <w:r>
        <w:rPr>
          <w:sz w:val="18"/>
        </w:rPr>
        <w:t>p.</w:t>
      </w:r>
      <w:r>
        <w:rPr>
          <w:spacing w:val="-9"/>
          <w:sz w:val="18"/>
        </w:rPr>
        <w:t xml:space="preserve"> </w:t>
      </w:r>
      <w:r>
        <w:rPr>
          <w:spacing w:val="-4"/>
          <w:sz w:val="18"/>
        </w:rPr>
        <w:t>105.</w:t>
      </w:r>
    </w:p>
    <w:p w14:paraId="51DE8E72" w14:textId="77777777" w:rsidR="0010369C" w:rsidRDefault="008E43AE">
      <w:pPr>
        <w:ind w:left="238"/>
        <w:rPr>
          <w:sz w:val="18"/>
        </w:rPr>
      </w:pPr>
      <w:r>
        <w:rPr>
          <w:sz w:val="18"/>
          <w:vertAlign w:val="superscript"/>
        </w:rPr>
        <w:t>650</w:t>
      </w:r>
      <w:r>
        <w:rPr>
          <w:spacing w:val="-7"/>
          <w:sz w:val="18"/>
        </w:rPr>
        <w:t xml:space="preserve"> </w:t>
      </w:r>
      <w:r>
        <w:rPr>
          <w:sz w:val="18"/>
        </w:rPr>
        <w:t>Anti‐Dumping</w:t>
      </w:r>
      <w:r>
        <w:rPr>
          <w:spacing w:val="-7"/>
          <w:sz w:val="18"/>
        </w:rPr>
        <w:t xml:space="preserve"> </w:t>
      </w:r>
      <w:r>
        <w:rPr>
          <w:sz w:val="18"/>
        </w:rPr>
        <w:t>Questionnaire</w:t>
      </w:r>
      <w:r>
        <w:rPr>
          <w:spacing w:val="-7"/>
          <w:sz w:val="18"/>
        </w:rPr>
        <w:t xml:space="preserve"> </w:t>
      </w:r>
      <w:r>
        <w:rPr>
          <w:sz w:val="18"/>
        </w:rPr>
        <w:t>(Exhibit</w:t>
      </w:r>
      <w:r>
        <w:rPr>
          <w:spacing w:val="-7"/>
          <w:sz w:val="18"/>
        </w:rPr>
        <w:t xml:space="preserve"> </w:t>
      </w:r>
      <w:r>
        <w:rPr>
          <w:sz w:val="18"/>
        </w:rPr>
        <w:t>AUS‐3),</w:t>
      </w:r>
      <w:r>
        <w:rPr>
          <w:spacing w:val="-8"/>
          <w:sz w:val="18"/>
        </w:rPr>
        <w:t xml:space="preserve"> </w:t>
      </w:r>
      <w:r>
        <w:rPr>
          <w:sz w:val="18"/>
        </w:rPr>
        <w:t>Section</w:t>
      </w:r>
      <w:r>
        <w:rPr>
          <w:spacing w:val="-6"/>
          <w:sz w:val="18"/>
        </w:rPr>
        <w:t xml:space="preserve"> </w:t>
      </w:r>
      <w:r>
        <w:rPr>
          <w:sz w:val="18"/>
        </w:rPr>
        <w:t>2,</w:t>
      </w:r>
      <w:r>
        <w:rPr>
          <w:spacing w:val="-8"/>
          <w:sz w:val="18"/>
        </w:rPr>
        <w:t xml:space="preserve"> </w:t>
      </w:r>
      <w:r>
        <w:rPr>
          <w:sz w:val="18"/>
        </w:rPr>
        <w:t>Question</w:t>
      </w:r>
      <w:r>
        <w:rPr>
          <w:spacing w:val="-7"/>
          <w:sz w:val="18"/>
        </w:rPr>
        <w:t xml:space="preserve"> </w:t>
      </w:r>
      <w:r>
        <w:rPr>
          <w:sz w:val="18"/>
        </w:rPr>
        <w:t>10,</w:t>
      </w:r>
      <w:r>
        <w:rPr>
          <w:spacing w:val="-7"/>
          <w:sz w:val="18"/>
        </w:rPr>
        <w:t xml:space="preserve"> </w:t>
      </w:r>
      <w:r>
        <w:rPr>
          <w:sz w:val="18"/>
        </w:rPr>
        <w:t>pp.</w:t>
      </w:r>
      <w:r>
        <w:rPr>
          <w:spacing w:val="-7"/>
          <w:sz w:val="18"/>
        </w:rPr>
        <w:t xml:space="preserve"> </w:t>
      </w:r>
      <w:r>
        <w:rPr>
          <w:spacing w:val="-2"/>
          <w:sz w:val="18"/>
        </w:rPr>
        <w:t>10‐42.</w:t>
      </w:r>
    </w:p>
    <w:p w14:paraId="51DE8E73" w14:textId="77777777" w:rsidR="0010369C" w:rsidRDefault="008E43AE">
      <w:pPr>
        <w:spacing w:before="38"/>
        <w:ind w:left="238"/>
        <w:rPr>
          <w:sz w:val="18"/>
        </w:rPr>
      </w:pPr>
      <w:r>
        <w:rPr>
          <w:sz w:val="18"/>
          <w:vertAlign w:val="superscript"/>
        </w:rPr>
        <w:t>651</w:t>
      </w:r>
      <w:r>
        <w:rPr>
          <w:spacing w:val="-6"/>
          <w:sz w:val="18"/>
        </w:rPr>
        <w:t xml:space="preserve"> </w:t>
      </w:r>
      <w:r>
        <w:rPr>
          <w:sz w:val="18"/>
        </w:rPr>
        <w:t>Anti‐Dumping</w:t>
      </w:r>
      <w:r>
        <w:rPr>
          <w:spacing w:val="-6"/>
          <w:sz w:val="18"/>
        </w:rPr>
        <w:t xml:space="preserve"> </w:t>
      </w:r>
      <w:r>
        <w:rPr>
          <w:sz w:val="18"/>
        </w:rPr>
        <w:t>Questionnaire</w:t>
      </w:r>
      <w:r>
        <w:rPr>
          <w:spacing w:val="1"/>
          <w:sz w:val="18"/>
        </w:rPr>
        <w:t xml:space="preserve"> </w:t>
      </w:r>
      <w:r>
        <w:rPr>
          <w:sz w:val="18"/>
        </w:rPr>
        <w:t>(Exhibit</w:t>
      </w:r>
      <w:r>
        <w:rPr>
          <w:spacing w:val="-6"/>
          <w:sz w:val="18"/>
        </w:rPr>
        <w:t xml:space="preserve"> </w:t>
      </w:r>
      <w:r>
        <w:rPr>
          <w:sz w:val="18"/>
        </w:rPr>
        <w:t>AUS‐3),</w:t>
      </w:r>
      <w:r>
        <w:rPr>
          <w:spacing w:val="-7"/>
          <w:sz w:val="18"/>
        </w:rPr>
        <w:t xml:space="preserve"> </w:t>
      </w:r>
      <w:r>
        <w:rPr>
          <w:sz w:val="18"/>
        </w:rPr>
        <w:t>Section</w:t>
      </w:r>
      <w:r>
        <w:rPr>
          <w:spacing w:val="-6"/>
          <w:sz w:val="18"/>
        </w:rPr>
        <w:t xml:space="preserve"> </w:t>
      </w:r>
      <w:r>
        <w:rPr>
          <w:sz w:val="18"/>
        </w:rPr>
        <w:t>5,</w:t>
      </w:r>
      <w:r>
        <w:rPr>
          <w:spacing w:val="-7"/>
          <w:sz w:val="18"/>
        </w:rPr>
        <w:t xml:space="preserve"> </w:t>
      </w:r>
      <w:r>
        <w:rPr>
          <w:sz w:val="18"/>
        </w:rPr>
        <w:t>pp.</w:t>
      </w:r>
      <w:r>
        <w:rPr>
          <w:spacing w:val="-6"/>
          <w:sz w:val="18"/>
        </w:rPr>
        <w:t xml:space="preserve"> </w:t>
      </w:r>
      <w:r>
        <w:rPr>
          <w:sz w:val="18"/>
        </w:rPr>
        <w:t>79</w:t>
      </w:r>
      <w:r>
        <w:rPr>
          <w:spacing w:val="-6"/>
          <w:sz w:val="18"/>
        </w:rPr>
        <w:t xml:space="preserve"> </w:t>
      </w:r>
      <w:r>
        <w:rPr>
          <w:sz w:val="18"/>
        </w:rPr>
        <w:t>‐</w:t>
      </w:r>
      <w:r>
        <w:rPr>
          <w:spacing w:val="-5"/>
          <w:sz w:val="18"/>
        </w:rPr>
        <w:t xml:space="preserve"> 80.</w:t>
      </w:r>
    </w:p>
    <w:p w14:paraId="51DE8E74" w14:textId="77777777" w:rsidR="0010369C" w:rsidRDefault="008E43AE">
      <w:pPr>
        <w:spacing w:before="11"/>
        <w:ind w:left="238"/>
        <w:rPr>
          <w:sz w:val="18"/>
        </w:rPr>
      </w:pPr>
      <w:r>
        <w:rPr>
          <w:sz w:val="18"/>
          <w:vertAlign w:val="superscript"/>
        </w:rPr>
        <w:t>652</w:t>
      </w:r>
      <w:r>
        <w:rPr>
          <w:spacing w:val="-7"/>
          <w:sz w:val="18"/>
        </w:rPr>
        <w:t xml:space="preserve"> </w:t>
      </w:r>
      <w:r>
        <w:rPr>
          <w:sz w:val="18"/>
        </w:rPr>
        <w:t>Anti‐Dumping</w:t>
      </w:r>
      <w:r>
        <w:rPr>
          <w:spacing w:val="-6"/>
          <w:sz w:val="18"/>
        </w:rPr>
        <w:t xml:space="preserve"> </w:t>
      </w:r>
      <w:r>
        <w:rPr>
          <w:sz w:val="18"/>
        </w:rPr>
        <w:t>Questionnaire</w:t>
      </w:r>
      <w:r>
        <w:rPr>
          <w:spacing w:val="1"/>
          <w:sz w:val="18"/>
        </w:rPr>
        <w:t xml:space="preserve"> </w:t>
      </w:r>
      <w:r>
        <w:rPr>
          <w:sz w:val="18"/>
        </w:rPr>
        <w:t>(Exhibit</w:t>
      </w:r>
      <w:r>
        <w:rPr>
          <w:spacing w:val="-6"/>
          <w:sz w:val="18"/>
        </w:rPr>
        <w:t xml:space="preserve"> </w:t>
      </w:r>
      <w:r>
        <w:rPr>
          <w:sz w:val="18"/>
        </w:rPr>
        <w:t>AUS‐3),</w:t>
      </w:r>
      <w:r>
        <w:rPr>
          <w:spacing w:val="-7"/>
          <w:sz w:val="18"/>
        </w:rPr>
        <w:t xml:space="preserve"> </w:t>
      </w:r>
      <w:r>
        <w:rPr>
          <w:sz w:val="18"/>
        </w:rPr>
        <w:t>Section</w:t>
      </w:r>
      <w:r>
        <w:rPr>
          <w:spacing w:val="-7"/>
          <w:sz w:val="18"/>
        </w:rPr>
        <w:t xml:space="preserve"> </w:t>
      </w:r>
      <w:r>
        <w:rPr>
          <w:sz w:val="18"/>
        </w:rPr>
        <w:t>3,</w:t>
      </w:r>
      <w:r>
        <w:rPr>
          <w:spacing w:val="-7"/>
          <w:sz w:val="18"/>
        </w:rPr>
        <w:t xml:space="preserve"> </w:t>
      </w:r>
      <w:r>
        <w:rPr>
          <w:sz w:val="18"/>
        </w:rPr>
        <w:t>Question</w:t>
      </w:r>
      <w:r>
        <w:rPr>
          <w:spacing w:val="-6"/>
          <w:sz w:val="18"/>
        </w:rPr>
        <w:t xml:space="preserve"> </w:t>
      </w:r>
      <w:r>
        <w:rPr>
          <w:sz w:val="18"/>
        </w:rPr>
        <w:t>15,</w:t>
      </w:r>
      <w:r>
        <w:rPr>
          <w:spacing w:val="-7"/>
          <w:sz w:val="18"/>
        </w:rPr>
        <w:t xml:space="preserve"> </w:t>
      </w:r>
      <w:r>
        <w:rPr>
          <w:sz w:val="18"/>
        </w:rPr>
        <w:t>item</w:t>
      </w:r>
      <w:r>
        <w:rPr>
          <w:spacing w:val="-6"/>
          <w:sz w:val="18"/>
        </w:rPr>
        <w:t xml:space="preserve"> </w:t>
      </w:r>
      <w:r>
        <w:rPr>
          <w:sz w:val="18"/>
        </w:rPr>
        <w:t>6‐10,</w:t>
      </w:r>
      <w:r>
        <w:rPr>
          <w:spacing w:val="-7"/>
          <w:sz w:val="18"/>
        </w:rPr>
        <w:t xml:space="preserve"> </w:t>
      </w:r>
      <w:r>
        <w:rPr>
          <w:sz w:val="18"/>
        </w:rPr>
        <w:t>p.</w:t>
      </w:r>
      <w:r>
        <w:rPr>
          <w:spacing w:val="-6"/>
          <w:sz w:val="18"/>
        </w:rPr>
        <w:t xml:space="preserve"> </w:t>
      </w:r>
      <w:r>
        <w:rPr>
          <w:spacing w:val="-5"/>
          <w:sz w:val="18"/>
        </w:rPr>
        <w:t>50.</w:t>
      </w:r>
    </w:p>
    <w:p w14:paraId="51DE8E75" w14:textId="77777777" w:rsidR="0010369C" w:rsidRDefault="008E43AE">
      <w:pPr>
        <w:ind w:left="237" w:right="614" w:firstLine="1"/>
        <w:jc w:val="both"/>
        <w:rPr>
          <w:sz w:val="18"/>
        </w:rPr>
      </w:pPr>
      <w:r>
        <w:rPr>
          <w:sz w:val="18"/>
          <w:vertAlign w:val="superscript"/>
        </w:rPr>
        <w:t>653</w:t>
      </w:r>
      <w:r>
        <w:rPr>
          <w:spacing w:val="35"/>
          <w:sz w:val="18"/>
        </w:rPr>
        <w:t xml:space="preserve"> </w:t>
      </w:r>
      <w:r>
        <w:rPr>
          <w:sz w:val="18"/>
        </w:rPr>
        <w:t>AGW</w:t>
      </w:r>
      <w:r>
        <w:rPr>
          <w:spacing w:val="-4"/>
          <w:sz w:val="18"/>
        </w:rPr>
        <w:t xml:space="preserve"> </w:t>
      </w:r>
      <w:r>
        <w:rPr>
          <w:sz w:val="18"/>
        </w:rPr>
        <w:t>Submission</w:t>
      </w:r>
      <w:r>
        <w:rPr>
          <w:spacing w:val="-2"/>
          <w:sz w:val="18"/>
        </w:rPr>
        <w:t xml:space="preserve"> </w:t>
      </w:r>
      <w:r>
        <w:rPr>
          <w:sz w:val="18"/>
        </w:rPr>
        <w:t>on</w:t>
      </w:r>
      <w:r>
        <w:rPr>
          <w:spacing w:val="-3"/>
          <w:sz w:val="18"/>
        </w:rPr>
        <w:t xml:space="preserve"> </w:t>
      </w:r>
      <w:r>
        <w:rPr>
          <w:sz w:val="18"/>
        </w:rPr>
        <w:t>Initiation</w:t>
      </w:r>
      <w:r>
        <w:rPr>
          <w:spacing w:val="-2"/>
          <w:sz w:val="18"/>
        </w:rPr>
        <w:t xml:space="preserve"> </w:t>
      </w:r>
      <w:r>
        <w:rPr>
          <w:sz w:val="18"/>
        </w:rPr>
        <w:t>of</w:t>
      </w:r>
      <w:r>
        <w:rPr>
          <w:spacing w:val="-3"/>
          <w:sz w:val="18"/>
        </w:rPr>
        <w:t xml:space="preserve"> </w:t>
      </w:r>
      <w:r>
        <w:rPr>
          <w:sz w:val="18"/>
        </w:rPr>
        <w:t>the</w:t>
      </w:r>
      <w:r>
        <w:rPr>
          <w:spacing w:val="-3"/>
          <w:sz w:val="18"/>
        </w:rPr>
        <w:t xml:space="preserve"> </w:t>
      </w:r>
      <w:r>
        <w:rPr>
          <w:sz w:val="18"/>
        </w:rPr>
        <w:t>Investigation</w:t>
      </w:r>
      <w:r>
        <w:rPr>
          <w:spacing w:val="-3"/>
          <w:sz w:val="18"/>
        </w:rPr>
        <w:t xml:space="preserve"> </w:t>
      </w:r>
      <w:r>
        <w:rPr>
          <w:sz w:val="18"/>
        </w:rPr>
        <w:t>(Exhibit</w:t>
      </w:r>
      <w:r>
        <w:rPr>
          <w:spacing w:val="-3"/>
          <w:sz w:val="18"/>
        </w:rPr>
        <w:t xml:space="preserve"> </w:t>
      </w:r>
      <w:r>
        <w:rPr>
          <w:sz w:val="18"/>
        </w:rPr>
        <w:t>AUS‐71),</w:t>
      </w:r>
      <w:r>
        <w:rPr>
          <w:spacing w:val="-4"/>
          <w:sz w:val="18"/>
        </w:rPr>
        <w:t xml:space="preserve"> </w:t>
      </w:r>
      <w:r>
        <w:rPr>
          <w:sz w:val="18"/>
        </w:rPr>
        <w:t>pp.</w:t>
      </w:r>
      <w:r>
        <w:rPr>
          <w:spacing w:val="-3"/>
          <w:sz w:val="18"/>
        </w:rPr>
        <w:t xml:space="preserve"> </w:t>
      </w:r>
      <w:r>
        <w:rPr>
          <w:sz w:val="18"/>
        </w:rPr>
        <w:t>3</w:t>
      </w:r>
      <w:r>
        <w:rPr>
          <w:spacing w:val="-4"/>
          <w:sz w:val="18"/>
        </w:rPr>
        <w:t xml:space="preserve"> </w:t>
      </w:r>
      <w:r>
        <w:rPr>
          <w:sz w:val="18"/>
        </w:rPr>
        <w:t>–</w:t>
      </w:r>
      <w:r>
        <w:rPr>
          <w:spacing w:val="-3"/>
          <w:sz w:val="18"/>
        </w:rPr>
        <w:t xml:space="preserve"> </w:t>
      </w:r>
      <w:r>
        <w:rPr>
          <w:sz w:val="18"/>
        </w:rPr>
        <w:t>4;</w:t>
      </w:r>
      <w:r>
        <w:rPr>
          <w:spacing w:val="-4"/>
          <w:sz w:val="18"/>
        </w:rPr>
        <w:t xml:space="preserve"> </w:t>
      </w:r>
      <w:r>
        <w:rPr>
          <w:sz w:val="18"/>
        </w:rPr>
        <w:t>Casella</w:t>
      </w:r>
      <w:r>
        <w:rPr>
          <w:spacing w:val="-3"/>
          <w:sz w:val="18"/>
        </w:rPr>
        <w:t xml:space="preserve"> </w:t>
      </w:r>
      <w:r>
        <w:rPr>
          <w:sz w:val="18"/>
        </w:rPr>
        <w:t>Wines</w:t>
      </w:r>
      <w:r>
        <w:rPr>
          <w:spacing w:val="-4"/>
          <w:sz w:val="18"/>
        </w:rPr>
        <w:t xml:space="preserve"> </w:t>
      </w:r>
      <w:r>
        <w:rPr>
          <w:sz w:val="18"/>
        </w:rPr>
        <w:t>Anti‐Dumping</w:t>
      </w:r>
      <w:r>
        <w:rPr>
          <w:spacing w:val="-3"/>
          <w:sz w:val="18"/>
        </w:rPr>
        <w:t xml:space="preserve"> </w:t>
      </w:r>
      <w:r>
        <w:rPr>
          <w:sz w:val="18"/>
        </w:rPr>
        <w:t>Questionnaire Response</w:t>
      </w:r>
      <w:r>
        <w:rPr>
          <w:spacing w:val="-2"/>
          <w:sz w:val="18"/>
        </w:rPr>
        <w:t xml:space="preserve"> </w:t>
      </w:r>
      <w:r>
        <w:rPr>
          <w:sz w:val="18"/>
        </w:rPr>
        <w:t>(Exhibit</w:t>
      </w:r>
      <w:r>
        <w:rPr>
          <w:spacing w:val="-1"/>
          <w:sz w:val="18"/>
        </w:rPr>
        <w:t xml:space="preserve"> </w:t>
      </w:r>
      <w:r>
        <w:rPr>
          <w:sz w:val="18"/>
        </w:rPr>
        <w:t>AUS‐72),</w:t>
      </w:r>
      <w:r>
        <w:rPr>
          <w:spacing w:val="-2"/>
          <w:sz w:val="18"/>
        </w:rPr>
        <w:t xml:space="preserve"> </w:t>
      </w:r>
      <w:r>
        <w:rPr>
          <w:sz w:val="18"/>
        </w:rPr>
        <w:t>Section 2,</w:t>
      </w:r>
      <w:r>
        <w:rPr>
          <w:spacing w:val="-2"/>
          <w:sz w:val="18"/>
        </w:rPr>
        <w:t xml:space="preserve"> </w:t>
      </w:r>
      <w:r>
        <w:rPr>
          <w:sz w:val="18"/>
        </w:rPr>
        <w:t>Question</w:t>
      </w:r>
      <w:r>
        <w:rPr>
          <w:spacing w:val="-1"/>
          <w:sz w:val="18"/>
        </w:rPr>
        <w:t xml:space="preserve"> </w:t>
      </w:r>
      <w:r>
        <w:rPr>
          <w:sz w:val="18"/>
        </w:rPr>
        <w:t>4,</w:t>
      </w:r>
      <w:r>
        <w:rPr>
          <w:spacing w:val="-2"/>
          <w:sz w:val="18"/>
        </w:rPr>
        <w:t xml:space="preserve"> </w:t>
      </w:r>
      <w:r>
        <w:rPr>
          <w:sz w:val="18"/>
        </w:rPr>
        <w:t>pp.</w:t>
      </w:r>
      <w:r>
        <w:rPr>
          <w:spacing w:val="-1"/>
          <w:sz w:val="18"/>
        </w:rPr>
        <w:t xml:space="preserve"> </w:t>
      </w:r>
      <w:r>
        <w:rPr>
          <w:sz w:val="18"/>
        </w:rPr>
        <w:t>12‐15;</w:t>
      </w:r>
      <w:r>
        <w:rPr>
          <w:spacing w:val="-2"/>
          <w:sz w:val="18"/>
        </w:rPr>
        <w:t xml:space="preserve"> </w:t>
      </w:r>
      <w:r>
        <w:rPr>
          <w:sz w:val="18"/>
        </w:rPr>
        <w:t>Treasury Wines</w:t>
      </w:r>
      <w:r>
        <w:rPr>
          <w:spacing w:val="-2"/>
          <w:sz w:val="18"/>
        </w:rPr>
        <w:t xml:space="preserve"> </w:t>
      </w:r>
      <w:r>
        <w:rPr>
          <w:sz w:val="18"/>
        </w:rPr>
        <w:t>Anti‐Dumping</w:t>
      </w:r>
      <w:r>
        <w:rPr>
          <w:spacing w:val="-1"/>
          <w:sz w:val="18"/>
        </w:rPr>
        <w:t xml:space="preserve"> </w:t>
      </w:r>
      <w:r>
        <w:rPr>
          <w:sz w:val="18"/>
        </w:rPr>
        <w:t>Questionnaire Response (Exhibit AUS‐73), Section 2, Question 4, pp. 16‐19.</w:t>
      </w:r>
    </w:p>
    <w:p w14:paraId="51DE8E76" w14:textId="77777777" w:rsidR="0010369C" w:rsidRDefault="0010369C">
      <w:pPr>
        <w:jc w:val="both"/>
        <w:rPr>
          <w:sz w:val="18"/>
        </w:rPr>
        <w:sectPr w:rsidR="0010369C">
          <w:headerReference w:type="default" r:id="rId763"/>
          <w:footerReference w:type="default" r:id="rId764"/>
          <w:pgSz w:w="11910" w:h="16840"/>
          <w:pgMar w:top="580" w:right="800" w:bottom="980" w:left="1180" w:header="0" w:footer="788" w:gutter="0"/>
          <w:cols w:space="720"/>
        </w:sectPr>
      </w:pPr>
    </w:p>
    <w:p w14:paraId="51DE8E77" w14:textId="77777777" w:rsidR="0010369C" w:rsidRDefault="008E43AE">
      <w:pPr>
        <w:tabs>
          <w:tab w:val="left" w:pos="6445"/>
        </w:tabs>
        <w:spacing w:before="21"/>
        <w:ind w:left="228"/>
        <w:jc w:val="both"/>
        <w:rPr>
          <w:rFonts w:ascii="Arial"/>
          <w:sz w:val="18"/>
        </w:rPr>
      </w:pPr>
      <w:r>
        <w:rPr>
          <w:rFonts w:ascii="Arial"/>
          <w:i/>
          <w:color w:val="1F1F1F"/>
          <w:w w:val="105"/>
          <w:sz w:val="18"/>
        </w:rPr>
        <w:lastRenderedPageBreak/>
        <w:t>China</w:t>
      </w:r>
      <w:r>
        <w:rPr>
          <w:rFonts w:ascii="Arial"/>
          <w:i/>
          <w:color w:val="1F1F1F"/>
          <w:spacing w:val="-17"/>
          <w:w w:val="105"/>
          <w:sz w:val="18"/>
        </w:rPr>
        <w:t xml:space="preserve"> </w:t>
      </w:r>
      <w:r>
        <w:rPr>
          <w:rFonts w:ascii="Arial"/>
          <w:i/>
          <w:color w:val="1F1F1F"/>
          <w:w w:val="105"/>
          <w:sz w:val="18"/>
        </w:rPr>
        <w:t>-Anti-Dumping</w:t>
      </w:r>
      <w:r>
        <w:rPr>
          <w:rFonts w:ascii="Arial"/>
          <w:i/>
          <w:color w:val="1F1F1F"/>
          <w:spacing w:val="-5"/>
          <w:w w:val="105"/>
          <w:sz w:val="18"/>
        </w:rPr>
        <w:t xml:space="preserve"> </w:t>
      </w:r>
      <w:r>
        <w:rPr>
          <w:rFonts w:ascii="Arial"/>
          <w:i/>
          <w:color w:val="1F1F1F"/>
          <w:w w:val="105"/>
          <w:sz w:val="18"/>
        </w:rPr>
        <w:t>and</w:t>
      </w:r>
      <w:r>
        <w:rPr>
          <w:rFonts w:ascii="Arial"/>
          <w:i/>
          <w:color w:val="1F1F1F"/>
          <w:spacing w:val="-23"/>
          <w:w w:val="105"/>
          <w:sz w:val="18"/>
        </w:rPr>
        <w:t xml:space="preserve"> </w:t>
      </w:r>
      <w:r>
        <w:rPr>
          <w:rFonts w:ascii="Arial"/>
          <w:i/>
          <w:color w:val="1F1F1F"/>
          <w:w w:val="105"/>
          <w:sz w:val="18"/>
        </w:rPr>
        <w:t>Countervailing</w:t>
      </w:r>
      <w:r>
        <w:rPr>
          <w:rFonts w:ascii="Arial"/>
          <w:i/>
          <w:color w:val="1F1F1F"/>
          <w:spacing w:val="-6"/>
          <w:w w:val="105"/>
          <w:sz w:val="18"/>
        </w:rPr>
        <w:t xml:space="preserve"> </w:t>
      </w:r>
      <w:r>
        <w:rPr>
          <w:rFonts w:ascii="Arial"/>
          <w:i/>
          <w:color w:val="1F1F1F"/>
          <w:w w:val="105"/>
          <w:sz w:val="18"/>
        </w:rPr>
        <w:t>Duty</w:t>
      </w:r>
      <w:r>
        <w:rPr>
          <w:rFonts w:ascii="Arial"/>
          <w:i/>
          <w:color w:val="1F1F1F"/>
          <w:spacing w:val="-12"/>
          <w:w w:val="105"/>
          <w:sz w:val="18"/>
        </w:rPr>
        <w:t xml:space="preserve"> </w:t>
      </w:r>
      <w:r>
        <w:rPr>
          <w:rFonts w:ascii="Arial"/>
          <w:i/>
          <w:color w:val="0C0C0C"/>
          <w:spacing w:val="-2"/>
          <w:w w:val="105"/>
          <w:sz w:val="18"/>
        </w:rPr>
        <w:t>Measures</w:t>
      </w:r>
      <w:r>
        <w:rPr>
          <w:rFonts w:ascii="Arial"/>
          <w:i/>
          <w:color w:val="0C0C0C"/>
          <w:sz w:val="18"/>
        </w:rPr>
        <w:tab/>
      </w:r>
      <w:r>
        <w:rPr>
          <w:rFonts w:ascii="Arial"/>
          <w:color w:val="1F1F1F"/>
          <w:spacing w:val="-2"/>
          <w:w w:val="105"/>
          <w:sz w:val="18"/>
        </w:rPr>
        <w:t>Australia's</w:t>
      </w:r>
      <w:r>
        <w:rPr>
          <w:rFonts w:ascii="Arial"/>
          <w:color w:val="1F1F1F"/>
          <w:spacing w:val="5"/>
          <w:w w:val="105"/>
          <w:sz w:val="18"/>
        </w:rPr>
        <w:t xml:space="preserve"> </w:t>
      </w:r>
      <w:r>
        <w:rPr>
          <w:rFonts w:ascii="Arial"/>
          <w:color w:val="0C0C0C"/>
          <w:spacing w:val="-2"/>
          <w:w w:val="105"/>
          <w:sz w:val="18"/>
        </w:rPr>
        <w:t>First</w:t>
      </w:r>
      <w:r>
        <w:rPr>
          <w:rFonts w:ascii="Arial"/>
          <w:color w:val="0C0C0C"/>
          <w:spacing w:val="1"/>
          <w:w w:val="105"/>
          <w:sz w:val="18"/>
        </w:rPr>
        <w:t xml:space="preserve"> </w:t>
      </w:r>
      <w:r>
        <w:rPr>
          <w:rFonts w:ascii="Arial"/>
          <w:color w:val="1F1F1F"/>
          <w:spacing w:val="-2"/>
          <w:w w:val="105"/>
          <w:sz w:val="18"/>
        </w:rPr>
        <w:t>Written</w:t>
      </w:r>
      <w:r>
        <w:rPr>
          <w:rFonts w:ascii="Arial"/>
          <w:color w:val="1F1F1F"/>
          <w:spacing w:val="-7"/>
          <w:w w:val="105"/>
          <w:sz w:val="18"/>
        </w:rPr>
        <w:t xml:space="preserve"> </w:t>
      </w:r>
      <w:r>
        <w:rPr>
          <w:rFonts w:ascii="Arial"/>
          <w:color w:val="1F1F1F"/>
          <w:spacing w:val="-2"/>
          <w:w w:val="105"/>
          <w:sz w:val="18"/>
        </w:rPr>
        <w:t>Submission</w:t>
      </w:r>
    </w:p>
    <w:p w14:paraId="51DE8E78" w14:textId="77777777" w:rsidR="0010369C" w:rsidRDefault="008E43AE">
      <w:pPr>
        <w:tabs>
          <w:tab w:val="left" w:pos="8256"/>
        </w:tabs>
        <w:spacing w:before="44"/>
        <w:ind w:left="235"/>
        <w:jc w:val="both"/>
        <w:rPr>
          <w:rFonts w:ascii="Arial"/>
          <w:sz w:val="18"/>
        </w:rPr>
      </w:pPr>
      <w:r>
        <w:rPr>
          <w:rFonts w:ascii="Arial"/>
          <w:i/>
          <w:color w:val="1F1F1F"/>
          <w:w w:val="105"/>
          <w:sz w:val="18"/>
        </w:rPr>
        <w:t>on</w:t>
      </w:r>
      <w:r>
        <w:rPr>
          <w:rFonts w:ascii="Arial"/>
          <w:i/>
          <w:color w:val="1F1F1F"/>
          <w:spacing w:val="-11"/>
          <w:w w:val="105"/>
          <w:sz w:val="18"/>
        </w:rPr>
        <w:t xml:space="preserve"> </w:t>
      </w:r>
      <w:r>
        <w:rPr>
          <w:rFonts w:ascii="Arial"/>
          <w:i/>
          <w:color w:val="1F1F1F"/>
          <w:w w:val="105"/>
          <w:sz w:val="18"/>
        </w:rPr>
        <w:t>Winefrom Australia</w:t>
      </w:r>
      <w:r>
        <w:rPr>
          <w:rFonts w:ascii="Arial"/>
          <w:i/>
          <w:color w:val="1F1F1F"/>
          <w:spacing w:val="13"/>
          <w:w w:val="105"/>
          <w:sz w:val="18"/>
        </w:rPr>
        <w:t xml:space="preserve"> </w:t>
      </w:r>
      <w:r>
        <w:rPr>
          <w:rFonts w:ascii="Arial"/>
          <w:color w:val="1F1F1F"/>
          <w:spacing w:val="-2"/>
          <w:w w:val="105"/>
          <w:sz w:val="18"/>
        </w:rPr>
        <w:t>(0S602)</w:t>
      </w:r>
      <w:r>
        <w:rPr>
          <w:rFonts w:ascii="Arial"/>
          <w:color w:val="1F1F1F"/>
          <w:sz w:val="18"/>
        </w:rPr>
        <w:tab/>
      </w:r>
      <w:r>
        <w:rPr>
          <w:rFonts w:ascii="Arial"/>
          <w:color w:val="1F1F1F"/>
          <w:w w:val="105"/>
          <w:sz w:val="18"/>
        </w:rPr>
        <w:t>29</w:t>
      </w:r>
      <w:r>
        <w:rPr>
          <w:rFonts w:ascii="Arial"/>
          <w:color w:val="1F1F1F"/>
          <w:spacing w:val="-19"/>
          <w:w w:val="105"/>
          <w:sz w:val="18"/>
        </w:rPr>
        <w:t xml:space="preserve"> </w:t>
      </w:r>
      <w:r>
        <w:rPr>
          <w:rFonts w:ascii="Arial"/>
          <w:color w:val="1F1F1F"/>
          <w:w w:val="105"/>
          <w:sz w:val="18"/>
        </w:rPr>
        <w:t>April</w:t>
      </w:r>
      <w:r>
        <w:rPr>
          <w:rFonts w:ascii="Arial"/>
          <w:color w:val="1F1F1F"/>
          <w:spacing w:val="1"/>
          <w:w w:val="105"/>
          <w:sz w:val="18"/>
        </w:rPr>
        <w:t xml:space="preserve"> </w:t>
      </w:r>
      <w:r>
        <w:rPr>
          <w:rFonts w:ascii="Arial"/>
          <w:color w:val="1F1F1F"/>
          <w:spacing w:val="-4"/>
          <w:w w:val="105"/>
          <w:sz w:val="18"/>
        </w:rPr>
        <w:t>2022</w:t>
      </w:r>
    </w:p>
    <w:p w14:paraId="51DE8E79" w14:textId="77777777" w:rsidR="0010369C" w:rsidRDefault="008E43AE">
      <w:pPr>
        <w:spacing w:before="62" w:line="434" w:lineRule="auto"/>
        <w:ind w:left="231" w:right="577" w:firstLine="10"/>
        <w:jc w:val="both"/>
        <w:rPr>
          <w:rFonts w:ascii="Arial"/>
          <w:sz w:val="21"/>
        </w:rPr>
      </w:pPr>
      <w:r>
        <w:rPr>
          <w:rFonts w:ascii="Arial"/>
          <w:color w:val="1F1F1F"/>
          <w:w w:val="105"/>
          <w:sz w:val="21"/>
        </w:rPr>
        <w:t>the</w:t>
      </w:r>
      <w:r>
        <w:rPr>
          <w:rFonts w:ascii="Arial"/>
          <w:color w:val="1F1F1F"/>
          <w:spacing w:val="24"/>
          <w:w w:val="105"/>
          <w:sz w:val="21"/>
        </w:rPr>
        <w:t xml:space="preserve"> </w:t>
      </w:r>
      <w:r>
        <w:rPr>
          <w:rFonts w:ascii="Arial"/>
          <w:color w:val="0C0C0C"/>
          <w:w w:val="105"/>
          <w:sz w:val="21"/>
        </w:rPr>
        <w:t>products</w:t>
      </w:r>
      <w:r>
        <w:rPr>
          <w:rFonts w:ascii="Arial"/>
          <w:color w:val="0C0C0C"/>
          <w:spacing w:val="-5"/>
          <w:w w:val="105"/>
          <w:sz w:val="21"/>
        </w:rPr>
        <w:t xml:space="preserve"> </w:t>
      </w:r>
      <w:r>
        <w:rPr>
          <w:rFonts w:ascii="Arial"/>
          <w:color w:val="0C0C0C"/>
          <w:w w:val="105"/>
          <w:sz w:val="21"/>
        </w:rPr>
        <w:t>they</w:t>
      </w:r>
      <w:r>
        <w:rPr>
          <w:rFonts w:ascii="Arial"/>
          <w:color w:val="0C0C0C"/>
          <w:spacing w:val="-6"/>
          <w:w w:val="105"/>
          <w:sz w:val="21"/>
        </w:rPr>
        <w:t xml:space="preserve"> </w:t>
      </w:r>
      <w:r>
        <w:rPr>
          <w:rFonts w:ascii="Arial"/>
          <w:color w:val="1F1F1F"/>
          <w:w w:val="105"/>
          <w:sz w:val="21"/>
        </w:rPr>
        <w:t>exported</w:t>
      </w:r>
      <w:r>
        <w:rPr>
          <w:rFonts w:ascii="Arial"/>
          <w:color w:val="1F1F1F"/>
          <w:spacing w:val="-10"/>
          <w:w w:val="105"/>
          <w:sz w:val="21"/>
        </w:rPr>
        <w:t xml:space="preserve"> </w:t>
      </w:r>
      <w:r>
        <w:rPr>
          <w:rFonts w:ascii="Arial"/>
          <w:color w:val="0C0C0C"/>
          <w:w w:val="105"/>
          <w:sz w:val="21"/>
        </w:rPr>
        <w:t xml:space="preserve">to </w:t>
      </w:r>
      <w:r>
        <w:rPr>
          <w:rFonts w:ascii="Arial"/>
          <w:color w:val="1F1F1F"/>
          <w:w w:val="105"/>
          <w:sz w:val="21"/>
        </w:rPr>
        <w:t xml:space="preserve">China </w:t>
      </w:r>
      <w:r>
        <w:rPr>
          <w:rFonts w:ascii="Arial"/>
          <w:color w:val="0C0C0C"/>
          <w:w w:val="105"/>
          <w:sz w:val="21"/>
        </w:rPr>
        <w:t>during</w:t>
      </w:r>
      <w:r>
        <w:rPr>
          <w:rFonts w:ascii="Arial"/>
          <w:color w:val="0C0C0C"/>
          <w:spacing w:val="-16"/>
          <w:w w:val="105"/>
          <w:sz w:val="21"/>
        </w:rPr>
        <w:t xml:space="preserve"> </w:t>
      </w:r>
      <w:r>
        <w:rPr>
          <w:rFonts w:ascii="Arial"/>
          <w:color w:val="1F1F1F"/>
          <w:w w:val="105"/>
          <w:sz w:val="21"/>
        </w:rPr>
        <w:t>the POl.</w:t>
      </w:r>
      <w:r>
        <w:rPr>
          <w:rFonts w:ascii="Times New Roman"/>
          <w:color w:val="1F1F1F"/>
          <w:w w:val="105"/>
          <w:position w:val="7"/>
          <w:sz w:val="15"/>
        </w:rPr>
        <w:t>654</w:t>
      </w:r>
      <w:r>
        <w:rPr>
          <w:rFonts w:ascii="Times New Roman"/>
          <w:color w:val="1F1F1F"/>
          <w:spacing w:val="28"/>
          <w:w w:val="105"/>
          <w:position w:val="7"/>
          <w:sz w:val="15"/>
        </w:rPr>
        <w:t xml:space="preserve"> </w:t>
      </w:r>
      <w:r>
        <w:rPr>
          <w:rFonts w:ascii="Arial"/>
          <w:color w:val="0C0C0C"/>
          <w:w w:val="105"/>
          <w:sz w:val="21"/>
        </w:rPr>
        <w:t>The</w:t>
      </w:r>
      <w:r>
        <w:rPr>
          <w:rFonts w:ascii="Arial"/>
          <w:color w:val="0C0C0C"/>
          <w:spacing w:val="-2"/>
          <w:w w:val="105"/>
          <w:sz w:val="21"/>
        </w:rPr>
        <w:t xml:space="preserve"> </w:t>
      </w:r>
      <w:r>
        <w:rPr>
          <w:rFonts w:ascii="Arial"/>
          <w:color w:val="1F1F1F"/>
          <w:w w:val="105"/>
          <w:sz w:val="21"/>
        </w:rPr>
        <w:t>evidence showed that</w:t>
      </w:r>
      <w:r>
        <w:rPr>
          <w:rFonts w:ascii="Arial"/>
          <w:color w:val="1F1F1F"/>
          <w:spacing w:val="-6"/>
          <w:w w:val="105"/>
          <w:sz w:val="21"/>
        </w:rPr>
        <w:t xml:space="preserve"> </w:t>
      </w:r>
      <w:r>
        <w:rPr>
          <w:rFonts w:ascii="Arial"/>
          <w:color w:val="0C0C0C"/>
          <w:w w:val="105"/>
          <w:sz w:val="21"/>
        </w:rPr>
        <w:t xml:space="preserve">differences </w:t>
      </w:r>
      <w:r>
        <w:rPr>
          <w:rFonts w:ascii="Arial"/>
          <w:color w:val="1F1F1F"/>
          <w:w w:val="105"/>
          <w:sz w:val="21"/>
        </w:rPr>
        <w:t xml:space="preserve">in grape variety, region and </w:t>
      </w:r>
      <w:r>
        <w:rPr>
          <w:rFonts w:ascii="Arial"/>
          <w:color w:val="0C0C0C"/>
          <w:w w:val="105"/>
          <w:sz w:val="21"/>
        </w:rPr>
        <w:t xml:space="preserve">terroir, </w:t>
      </w:r>
      <w:r>
        <w:rPr>
          <w:rFonts w:ascii="Arial"/>
          <w:color w:val="1F1F1F"/>
          <w:w w:val="105"/>
          <w:sz w:val="21"/>
        </w:rPr>
        <w:t xml:space="preserve">cultivation </w:t>
      </w:r>
      <w:r>
        <w:rPr>
          <w:rFonts w:ascii="Arial"/>
          <w:color w:val="0C0C0C"/>
          <w:w w:val="105"/>
          <w:sz w:val="21"/>
        </w:rPr>
        <w:t xml:space="preserve">and </w:t>
      </w:r>
      <w:r>
        <w:rPr>
          <w:rFonts w:ascii="Arial"/>
          <w:color w:val="1F1F1F"/>
          <w:w w:val="105"/>
          <w:sz w:val="21"/>
        </w:rPr>
        <w:t xml:space="preserve">wine </w:t>
      </w:r>
      <w:r>
        <w:rPr>
          <w:rFonts w:ascii="Arial"/>
          <w:color w:val="0C0C0C"/>
          <w:w w:val="105"/>
          <w:sz w:val="21"/>
        </w:rPr>
        <w:t xml:space="preserve">making </w:t>
      </w:r>
      <w:r>
        <w:rPr>
          <w:rFonts w:ascii="Arial"/>
          <w:color w:val="1F1F1F"/>
          <w:w w:val="105"/>
          <w:sz w:val="21"/>
        </w:rPr>
        <w:t xml:space="preserve">techniques impacted the </w:t>
      </w:r>
      <w:r>
        <w:rPr>
          <w:rFonts w:ascii="Arial"/>
          <w:color w:val="0C0C0C"/>
          <w:w w:val="105"/>
          <w:sz w:val="21"/>
        </w:rPr>
        <w:t xml:space="preserve">physical </w:t>
      </w:r>
      <w:r>
        <w:rPr>
          <w:rFonts w:ascii="Arial"/>
          <w:color w:val="1F1F1F"/>
          <w:w w:val="105"/>
          <w:sz w:val="21"/>
        </w:rPr>
        <w:t xml:space="preserve">and chemical properties of wine </w:t>
      </w:r>
      <w:r>
        <w:rPr>
          <w:rFonts w:ascii="Arial"/>
          <w:color w:val="0C0C0C"/>
          <w:w w:val="105"/>
          <w:sz w:val="21"/>
        </w:rPr>
        <w:t>products.</w:t>
      </w:r>
      <w:r>
        <w:rPr>
          <w:rFonts w:ascii="Times New Roman"/>
          <w:color w:val="0C0C0C"/>
          <w:w w:val="105"/>
          <w:position w:val="7"/>
          <w:sz w:val="15"/>
        </w:rPr>
        <w:t xml:space="preserve">655 </w:t>
      </w:r>
      <w:r>
        <w:rPr>
          <w:rFonts w:ascii="Arial"/>
          <w:color w:val="0C0C0C"/>
          <w:w w:val="105"/>
          <w:sz w:val="21"/>
        </w:rPr>
        <w:t xml:space="preserve">These differences resulted in </w:t>
      </w:r>
      <w:r>
        <w:rPr>
          <w:rFonts w:ascii="Arial"/>
          <w:color w:val="1F1F1F"/>
          <w:w w:val="105"/>
          <w:sz w:val="21"/>
        </w:rPr>
        <w:t xml:space="preserve">different </w:t>
      </w:r>
      <w:r>
        <w:rPr>
          <w:rFonts w:ascii="Arial"/>
          <w:color w:val="0C0C0C"/>
          <w:w w:val="105"/>
          <w:sz w:val="21"/>
        </w:rPr>
        <w:t xml:space="preserve">qualities </w:t>
      </w:r>
      <w:r>
        <w:rPr>
          <w:rFonts w:ascii="Arial"/>
          <w:color w:val="1F1F1F"/>
          <w:w w:val="105"/>
          <w:sz w:val="21"/>
        </w:rPr>
        <w:t xml:space="preserve">of end product, which affected consumer perceptions of product value, and were </w:t>
      </w:r>
      <w:r>
        <w:rPr>
          <w:rFonts w:ascii="Arial"/>
          <w:color w:val="0C0C0C"/>
          <w:w w:val="105"/>
          <w:sz w:val="21"/>
        </w:rPr>
        <w:t xml:space="preserve">ultimately reflected </w:t>
      </w:r>
      <w:r>
        <w:rPr>
          <w:rFonts w:ascii="Arial"/>
          <w:color w:val="1F1F1F"/>
          <w:w w:val="105"/>
          <w:sz w:val="21"/>
        </w:rPr>
        <w:t xml:space="preserve">in considerable </w:t>
      </w:r>
      <w:r>
        <w:rPr>
          <w:rFonts w:ascii="Arial"/>
          <w:color w:val="0C0C0C"/>
          <w:w w:val="105"/>
          <w:sz w:val="21"/>
        </w:rPr>
        <w:t xml:space="preserve">differences </w:t>
      </w:r>
      <w:r>
        <w:rPr>
          <w:rFonts w:ascii="Arial"/>
          <w:color w:val="1F1F1F"/>
          <w:w w:val="105"/>
          <w:sz w:val="21"/>
        </w:rPr>
        <w:t xml:space="preserve">in </w:t>
      </w:r>
      <w:r>
        <w:rPr>
          <w:rFonts w:ascii="Arial"/>
          <w:color w:val="0C0C0C"/>
          <w:w w:val="105"/>
          <w:sz w:val="21"/>
        </w:rPr>
        <w:t>price.</w:t>
      </w:r>
    </w:p>
    <w:p w14:paraId="51DE8E7A" w14:textId="77777777" w:rsidR="0010369C" w:rsidRDefault="008E43AE">
      <w:pPr>
        <w:spacing w:before="168" w:line="434" w:lineRule="auto"/>
        <w:ind w:left="237" w:right="574" w:hanging="2"/>
        <w:jc w:val="both"/>
        <w:rPr>
          <w:rFonts w:ascii="Arial"/>
          <w:sz w:val="21"/>
        </w:rPr>
      </w:pPr>
      <w:r>
        <w:rPr>
          <w:rFonts w:ascii="Arial"/>
          <w:color w:val="1F1F1F"/>
          <w:w w:val="105"/>
          <w:sz w:val="21"/>
        </w:rPr>
        <w:t>576.</w:t>
      </w:r>
      <w:r>
        <w:rPr>
          <w:rFonts w:ascii="Arial"/>
          <w:color w:val="1F1F1F"/>
          <w:spacing w:val="80"/>
          <w:w w:val="150"/>
          <w:sz w:val="21"/>
        </w:rPr>
        <w:t xml:space="preserve">  </w:t>
      </w:r>
      <w:r>
        <w:rPr>
          <w:rFonts w:ascii="Arial"/>
          <w:color w:val="1F1F1F"/>
          <w:w w:val="105"/>
          <w:sz w:val="21"/>
        </w:rPr>
        <w:t xml:space="preserve">Evidence regarding </w:t>
      </w:r>
      <w:r>
        <w:rPr>
          <w:rFonts w:ascii="Arial"/>
          <w:color w:val="0C0C0C"/>
          <w:w w:val="105"/>
          <w:sz w:val="21"/>
        </w:rPr>
        <w:t xml:space="preserve">quality </w:t>
      </w:r>
      <w:r>
        <w:rPr>
          <w:rFonts w:ascii="Arial"/>
          <w:color w:val="1F1F1F"/>
          <w:w w:val="105"/>
          <w:sz w:val="21"/>
        </w:rPr>
        <w:t xml:space="preserve">and price </w:t>
      </w:r>
      <w:r>
        <w:rPr>
          <w:rFonts w:ascii="Arial"/>
          <w:color w:val="0C0C0C"/>
          <w:w w:val="105"/>
          <w:sz w:val="21"/>
        </w:rPr>
        <w:t>differences</w:t>
      </w:r>
      <w:r>
        <w:rPr>
          <w:rFonts w:ascii="Arial"/>
          <w:color w:val="0C0C0C"/>
          <w:spacing w:val="37"/>
          <w:w w:val="105"/>
          <w:sz w:val="21"/>
        </w:rPr>
        <w:t xml:space="preserve"> </w:t>
      </w:r>
      <w:r>
        <w:rPr>
          <w:rFonts w:ascii="Arial"/>
          <w:color w:val="0C0C0C"/>
          <w:w w:val="105"/>
          <w:sz w:val="21"/>
        </w:rPr>
        <w:t xml:space="preserve">between </w:t>
      </w:r>
      <w:r>
        <w:rPr>
          <w:rFonts w:ascii="Arial"/>
          <w:color w:val="1F1F1F"/>
          <w:w w:val="105"/>
          <w:sz w:val="21"/>
        </w:rPr>
        <w:t xml:space="preserve">subject import products was provided to MOFCOM </w:t>
      </w:r>
      <w:r>
        <w:rPr>
          <w:rFonts w:ascii="Arial"/>
          <w:color w:val="0C0C0C"/>
          <w:w w:val="105"/>
          <w:sz w:val="21"/>
        </w:rPr>
        <w:t xml:space="preserve">by </w:t>
      </w:r>
      <w:r>
        <w:rPr>
          <w:rFonts w:ascii="Arial"/>
          <w:color w:val="1F1F1F"/>
          <w:w w:val="105"/>
          <w:sz w:val="21"/>
        </w:rPr>
        <w:t xml:space="preserve">the sampled Australian companies, </w:t>
      </w:r>
      <w:r>
        <w:rPr>
          <w:rFonts w:ascii="Arial"/>
          <w:color w:val="0C0C0C"/>
          <w:w w:val="105"/>
          <w:sz w:val="21"/>
        </w:rPr>
        <w:t xml:space="preserve">in </w:t>
      </w:r>
      <w:r>
        <w:rPr>
          <w:rFonts w:ascii="Arial"/>
          <w:color w:val="1F1F1F"/>
          <w:w w:val="105"/>
          <w:sz w:val="21"/>
        </w:rPr>
        <w:t xml:space="preserve">accordance with </w:t>
      </w:r>
      <w:r>
        <w:rPr>
          <w:rFonts w:ascii="Arial"/>
          <w:color w:val="0C0C0C"/>
          <w:sz w:val="21"/>
        </w:rPr>
        <w:t>MOFCOM's</w:t>
      </w:r>
      <w:r>
        <w:rPr>
          <w:rFonts w:ascii="Arial"/>
          <w:color w:val="0C0C0C"/>
          <w:spacing w:val="34"/>
          <w:sz w:val="21"/>
        </w:rPr>
        <w:t xml:space="preserve"> </w:t>
      </w:r>
      <w:r>
        <w:rPr>
          <w:rFonts w:ascii="Arial"/>
          <w:color w:val="1F1F1F"/>
          <w:sz w:val="21"/>
        </w:rPr>
        <w:t>Dumping</w:t>
      </w:r>
      <w:r>
        <w:rPr>
          <w:rFonts w:ascii="Arial"/>
          <w:color w:val="1F1F1F"/>
          <w:spacing w:val="-3"/>
          <w:sz w:val="21"/>
        </w:rPr>
        <w:t xml:space="preserve"> </w:t>
      </w:r>
      <w:r>
        <w:rPr>
          <w:rFonts w:ascii="Arial"/>
          <w:color w:val="1F1F1F"/>
          <w:sz w:val="21"/>
        </w:rPr>
        <w:t>PCN classifications.</w:t>
      </w:r>
      <w:r>
        <w:rPr>
          <w:rFonts w:ascii="Times New Roman"/>
          <w:color w:val="1F1F1F"/>
          <w:position w:val="7"/>
          <w:sz w:val="16"/>
        </w:rPr>
        <w:t>6</w:t>
      </w:r>
      <w:r>
        <w:rPr>
          <w:rFonts w:ascii="Arial"/>
          <w:color w:val="1F1F1F"/>
          <w:sz w:val="21"/>
        </w:rPr>
        <w:t>s</w:t>
      </w:r>
      <w:r>
        <w:rPr>
          <w:rFonts w:ascii="Times New Roman"/>
          <w:color w:val="1F1F1F"/>
          <w:position w:val="7"/>
          <w:sz w:val="16"/>
        </w:rPr>
        <w:t>6</w:t>
      </w:r>
      <w:r>
        <w:rPr>
          <w:rFonts w:ascii="Times New Roman"/>
          <w:color w:val="1F1F1F"/>
          <w:spacing w:val="31"/>
          <w:position w:val="7"/>
          <w:sz w:val="16"/>
        </w:rPr>
        <w:t xml:space="preserve"> </w:t>
      </w:r>
      <w:r>
        <w:rPr>
          <w:rFonts w:ascii="Arial"/>
          <w:color w:val="1F1F1F"/>
          <w:sz w:val="21"/>
        </w:rPr>
        <w:t xml:space="preserve">As </w:t>
      </w:r>
      <w:r>
        <w:rPr>
          <w:rFonts w:ascii="Arial"/>
          <w:color w:val="0C0C0C"/>
          <w:sz w:val="21"/>
        </w:rPr>
        <w:t xml:space="preserve">MOFCOM </w:t>
      </w:r>
      <w:r>
        <w:rPr>
          <w:rFonts w:ascii="Arial"/>
          <w:color w:val="1F1F1F"/>
          <w:sz w:val="21"/>
        </w:rPr>
        <w:t>sought Dumping</w:t>
      </w:r>
      <w:r>
        <w:rPr>
          <w:rFonts w:ascii="Arial"/>
          <w:color w:val="1F1F1F"/>
          <w:spacing w:val="-3"/>
          <w:sz w:val="21"/>
        </w:rPr>
        <w:t xml:space="preserve"> </w:t>
      </w:r>
      <w:r>
        <w:rPr>
          <w:rFonts w:ascii="Arial"/>
          <w:color w:val="1F1F1F"/>
          <w:sz w:val="21"/>
        </w:rPr>
        <w:t xml:space="preserve">PCN evidence only </w:t>
      </w:r>
      <w:r>
        <w:rPr>
          <w:rFonts w:ascii="Arial"/>
          <w:color w:val="1F1F1F"/>
          <w:w w:val="105"/>
          <w:sz w:val="21"/>
        </w:rPr>
        <w:t>in</w:t>
      </w:r>
      <w:r>
        <w:rPr>
          <w:rFonts w:ascii="Arial"/>
          <w:color w:val="1F1F1F"/>
          <w:spacing w:val="-2"/>
          <w:w w:val="105"/>
          <w:sz w:val="21"/>
        </w:rPr>
        <w:t xml:space="preserve"> </w:t>
      </w:r>
      <w:r>
        <w:rPr>
          <w:rFonts w:ascii="Arial"/>
          <w:color w:val="1F1F1F"/>
          <w:w w:val="105"/>
          <w:sz w:val="21"/>
        </w:rPr>
        <w:t>relation</w:t>
      </w:r>
      <w:r>
        <w:rPr>
          <w:rFonts w:ascii="Arial"/>
          <w:color w:val="1F1F1F"/>
          <w:spacing w:val="-4"/>
          <w:w w:val="105"/>
          <w:sz w:val="21"/>
        </w:rPr>
        <w:t xml:space="preserve"> </w:t>
      </w:r>
      <w:r>
        <w:rPr>
          <w:rFonts w:ascii="Arial"/>
          <w:color w:val="1F1F1F"/>
          <w:w w:val="105"/>
          <w:sz w:val="21"/>
        </w:rPr>
        <w:t>to the</w:t>
      </w:r>
      <w:r>
        <w:rPr>
          <w:rFonts w:ascii="Arial"/>
          <w:color w:val="1F1F1F"/>
          <w:spacing w:val="-1"/>
          <w:w w:val="105"/>
          <w:sz w:val="21"/>
        </w:rPr>
        <w:t xml:space="preserve"> </w:t>
      </w:r>
      <w:r>
        <w:rPr>
          <w:rFonts w:ascii="Arial"/>
          <w:color w:val="1F1F1F"/>
          <w:w w:val="105"/>
          <w:sz w:val="21"/>
        </w:rPr>
        <w:t>POI,</w:t>
      </w:r>
      <w:r>
        <w:rPr>
          <w:rFonts w:ascii="Arial"/>
          <w:color w:val="1F1F1F"/>
          <w:spacing w:val="-16"/>
          <w:w w:val="105"/>
          <w:sz w:val="21"/>
        </w:rPr>
        <w:t xml:space="preserve"> </w:t>
      </w:r>
      <w:r>
        <w:rPr>
          <w:rFonts w:ascii="Arial"/>
          <w:color w:val="1F1F1F"/>
          <w:w w:val="105"/>
          <w:sz w:val="21"/>
        </w:rPr>
        <w:t>this</w:t>
      </w:r>
      <w:r>
        <w:rPr>
          <w:rFonts w:ascii="Arial"/>
          <w:color w:val="1F1F1F"/>
          <w:spacing w:val="-11"/>
          <w:w w:val="105"/>
          <w:sz w:val="21"/>
        </w:rPr>
        <w:t xml:space="preserve"> </w:t>
      </w:r>
      <w:r>
        <w:rPr>
          <w:rFonts w:ascii="Arial"/>
          <w:color w:val="0C0C0C"/>
          <w:w w:val="105"/>
          <w:sz w:val="21"/>
        </w:rPr>
        <w:t xml:space="preserve">data </w:t>
      </w:r>
      <w:r>
        <w:rPr>
          <w:rFonts w:ascii="Arial"/>
          <w:color w:val="1F1F1F"/>
          <w:w w:val="105"/>
          <w:sz w:val="21"/>
        </w:rPr>
        <w:t>relates to</w:t>
      </w:r>
      <w:r>
        <w:rPr>
          <w:rFonts w:ascii="Arial"/>
          <w:color w:val="1F1F1F"/>
          <w:spacing w:val="35"/>
          <w:w w:val="105"/>
          <w:sz w:val="21"/>
        </w:rPr>
        <w:t xml:space="preserve"> </w:t>
      </w:r>
      <w:r>
        <w:rPr>
          <w:rFonts w:ascii="Arial"/>
          <w:color w:val="1F1F1F"/>
          <w:w w:val="105"/>
          <w:sz w:val="21"/>
        </w:rPr>
        <w:t>export</w:t>
      </w:r>
      <w:r>
        <w:rPr>
          <w:rFonts w:ascii="Arial"/>
          <w:color w:val="1F1F1F"/>
          <w:spacing w:val="-3"/>
          <w:w w:val="105"/>
          <w:sz w:val="21"/>
        </w:rPr>
        <w:t xml:space="preserve"> </w:t>
      </w:r>
      <w:r>
        <w:rPr>
          <w:rFonts w:ascii="Arial"/>
          <w:color w:val="1F1F1F"/>
          <w:w w:val="105"/>
          <w:sz w:val="21"/>
        </w:rPr>
        <w:t>sales</w:t>
      </w:r>
      <w:r>
        <w:rPr>
          <w:rFonts w:ascii="Arial"/>
          <w:color w:val="1F1F1F"/>
          <w:spacing w:val="-9"/>
          <w:w w:val="105"/>
          <w:sz w:val="21"/>
        </w:rPr>
        <w:t xml:space="preserve"> </w:t>
      </w:r>
      <w:r>
        <w:rPr>
          <w:rFonts w:ascii="Arial"/>
          <w:color w:val="1F1F1F"/>
          <w:w w:val="105"/>
          <w:sz w:val="21"/>
        </w:rPr>
        <w:t>occurring</w:t>
      </w:r>
      <w:r>
        <w:rPr>
          <w:rFonts w:ascii="Arial"/>
          <w:color w:val="1F1F1F"/>
          <w:spacing w:val="-3"/>
          <w:w w:val="105"/>
          <w:sz w:val="21"/>
        </w:rPr>
        <w:t xml:space="preserve"> </w:t>
      </w:r>
      <w:r>
        <w:rPr>
          <w:rFonts w:ascii="Arial"/>
          <w:color w:val="0C0C0C"/>
          <w:w w:val="105"/>
          <w:sz w:val="21"/>
        </w:rPr>
        <w:t>in the final</w:t>
      </w:r>
      <w:r>
        <w:rPr>
          <w:rFonts w:ascii="Arial"/>
          <w:color w:val="0C0C0C"/>
          <w:spacing w:val="-5"/>
          <w:w w:val="105"/>
          <w:sz w:val="21"/>
        </w:rPr>
        <w:t xml:space="preserve"> </w:t>
      </w:r>
      <w:r>
        <w:rPr>
          <w:rFonts w:ascii="Arial"/>
          <w:color w:val="1F1F1F"/>
          <w:w w:val="105"/>
          <w:sz w:val="21"/>
        </w:rPr>
        <w:t>year</w:t>
      </w:r>
      <w:r>
        <w:rPr>
          <w:rFonts w:ascii="Arial"/>
          <w:color w:val="1F1F1F"/>
          <w:spacing w:val="-5"/>
          <w:w w:val="105"/>
          <w:sz w:val="21"/>
        </w:rPr>
        <w:t xml:space="preserve"> </w:t>
      </w:r>
      <w:r>
        <w:rPr>
          <w:rFonts w:ascii="Arial"/>
          <w:color w:val="1F1F1F"/>
          <w:w w:val="105"/>
          <w:sz w:val="21"/>
        </w:rPr>
        <w:t xml:space="preserve">(2019) of </w:t>
      </w:r>
      <w:r>
        <w:rPr>
          <w:rFonts w:ascii="Arial"/>
          <w:color w:val="0C0C0C"/>
          <w:w w:val="105"/>
          <w:sz w:val="21"/>
        </w:rPr>
        <w:t xml:space="preserve">the </w:t>
      </w:r>
      <w:r>
        <w:rPr>
          <w:rFonts w:ascii="Arial"/>
          <w:color w:val="1F1F1F"/>
          <w:w w:val="105"/>
          <w:sz w:val="21"/>
        </w:rPr>
        <w:t xml:space="preserve">five-year </w:t>
      </w:r>
      <w:r>
        <w:rPr>
          <w:rFonts w:ascii="Arial"/>
          <w:color w:val="0C0C0C"/>
          <w:w w:val="105"/>
          <w:sz w:val="21"/>
        </w:rPr>
        <w:t xml:space="preserve">Injury </w:t>
      </w:r>
      <w:r>
        <w:rPr>
          <w:rFonts w:ascii="Arial"/>
          <w:color w:val="1F1F1F"/>
          <w:w w:val="105"/>
          <w:sz w:val="21"/>
        </w:rPr>
        <w:t xml:space="preserve">POI. The Dumping PCN evidence coupled with product </w:t>
      </w:r>
      <w:r>
        <w:rPr>
          <w:rFonts w:ascii="Arial"/>
          <w:color w:val="0C0C0C"/>
          <w:w w:val="105"/>
          <w:sz w:val="21"/>
        </w:rPr>
        <w:t xml:space="preserve">quality </w:t>
      </w:r>
      <w:r>
        <w:rPr>
          <w:rFonts w:ascii="Arial"/>
          <w:color w:val="1F1F1F"/>
          <w:w w:val="105"/>
          <w:sz w:val="21"/>
        </w:rPr>
        <w:t xml:space="preserve">categories </w:t>
      </w:r>
      <w:r>
        <w:rPr>
          <w:rFonts w:ascii="Arial"/>
          <w:color w:val="0C0C0C"/>
          <w:w w:val="105"/>
          <w:sz w:val="21"/>
        </w:rPr>
        <w:t xml:space="preserve">provided by the </w:t>
      </w:r>
      <w:r>
        <w:rPr>
          <w:rFonts w:ascii="Arial"/>
          <w:color w:val="1F1F1F"/>
          <w:w w:val="105"/>
          <w:sz w:val="21"/>
        </w:rPr>
        <w:t xml:space="preserve">sampled Australian companies </w:t>
      </w:r>
      <w:r>
        <w:rPr>
          <w:rFonts w:ascii="Arial"/>
          <w:color w:val="0C0C0C"/>
          <w:w w:val="105"/>
          <w:sz w:val="21"/>
        </w:rPr>
        <w:t xml:space="preserve">demonstrated that there </w:t>
      </w:r>
      <w:r>
        <w:rPr>
          <w:rFonts w:ascii="Arial"/>
          <w:color w:val="1F1F1F"/>
          <w:w w:val="105"/>
          <w:sz w:val="21"/>
        </w:rPr>
        <w:t xml:space="preserve">was clear </w:t>
      </w:r>
      <w:r>
        <w:rPr>
          <w:rFonts w:ascii="Arial"/>
          <w:color w:val="0C0C0C"/>
          <w:w w:val="105"/>
          <w:sz w:val="21"/>
        </w:rPr>
        <w:t>di</w:t>
      </w:r>
      <w:r>
        <w:rPr>
          <w:rFonts w:ascii="Arial"/>
          <w:color w:val="0C0C0C"/>
          <w:w w:val="105"/>
          <w:sz w:val="21"/>
        </w:rPr>
        <w:t xml:space="preserve">fferentiation in the </w:t>
      </w:r>
      <w:r>
        <w:rPr>
          <w:rFonts w:ascii="Arial"/>
          <w:color w:val="1F1F1F"/>
          <w:w w:val="105"/>
          <w:sz w:val="21"/>
        </w:rPr>
        <w:t>mix of</w:t>
      </w:r>
      <w:r>
        <w:rPr>
          <w:rFonts w:ascii="Arial"/>
          <w:color w:val="1F1F1F"/>
          <w:spacing w:val="40"/>
          <w:w w:val="105"/>
          <w:sz w:val="21"/>
        </w:rPr>
        <w:t xml:space="preserve"> </w:t>
      </w:r>
      <w:r>
        <w:rPr>
          <w:rFonts w:ascii="Arial"/>
          <w:color w:val="0C0C0C"/>
          <w:w w:val="105"/>
          <w:sz w:val="21"/>
        </w:rPr>
        <w:t>products</w:t>
      </w:r>
      <w:r>
        <w:rPr>
          <w:rFonts w:ascii="Arial"/>
          <w:color w:val="0C0C0C"/>
          <w:spacing w:val="40"/>
          <w:w w:val="105"/>
          <w:sz w:val="21"/>
        </w:rPr>
        <w:t xml:space="preserve"> </w:t>
      </w:r>
      <w:r>
        <w:rPr>
          <w:rFonts w:ascii="Arial"/>
          <w:color w:val="1F1F1F"/>
          <w:w w:val="105"/>
          <w:sz w:val="21"/>
        </w:rPr>
        <w:t xml:space="preserve">falling with </w:t>
      </w:r>
      <w:r>
        <w:rPr>
          <w:rFonts w:ascii="Arial"/>
          <w:color w:val="0C0C0C"/>
          <w:w w:val="105"/>
          <w:sz w:val="21"/>
        </w:rPr>
        <w:t xml:space="preserve">the </w:t>
      </w:r>
      <w:r>
        <w:rPr>
          <w:rFonts w:ascii="Arial"/>
          <w:color w:val="1F1F1F"/>
          <w:w w:val="105"/>
          <w:sz w:val="21"/>
        </w:rPr>
        <w:t>scope</w:t>
      </w:r>
      <w:r>
        <w:rPr>
          <w:rFonts w:ascii="Arial"/>
          <w:color w:val="1F1F1F"/>
          <w:spacing w:val="30"/>
          <w:w w:val="105"/>
          <w:sz w:val="21"/>
        </w:rPr>
        <w:t xml:space="preserve"> </w:t>
      </w:r>
      <w:r>
        <w:rPr>
          <w:rFonts w:ascii="Arial"/>
          <w:color w:val="1F1F1F"/>
          <w:w w:val="105"/>
          <w:sz w:val="21"/>
        </w:rPr>
        <w:t>of</w:t>
      </w:r>
      <w:r>
        <w:rPr>
          <w:rFonts w:ascii="Arial"/>
          <w:color w:val="1F1F1F"/>
          <w:spacing w:val="40"/>
          <w:w w:val="105"/>
          <w:sz w:val="21"/>
        </w:rPr>
        <w:t xml:space="preserve"> </w:t>
      </w:r>
      <w:r>
        <w:rPr>
          <w:rFonts w:ascii="Arial"/>
          <w:color w:val="0C0C0C"/>
          <w:w w:val="105"/>
          <w:sz w:val="21"/>
        </w:rPr>
        <w:t>the</w:t>
      </w:r>
      <w:r>
        <w:rPr>
          <w:rFonts w:ascii="Arial"/>
          <w:color w:val="0C0C0C"/>
          <w:spacing w:val="80"/>
          <w:w w:val="105"/>
          <w:sz w:val="21"/>
        </w:rPr>
        <w:t xml:space="preserve"> </w:t>
      </w:r>
      <w:r>
        <w:rPr>
          <w:rFonts w:ascii="Arial"/>
          <w:color w:val="1F1F1F"/>
          <w:w w:val="105"/>
          <w:sz w:val="21"/>
        </w:rPr>
        <w:t>subject</w:t>
      </w:r>
      <w:r>
        <w:rPr>
          <w:rFonts w:ascii="Arial"/>
          <w:color w:val="1F1F1F"/>
          <w:spacing w:val="30"/>
          <w:w w:val="105"/>
          <w:sz w:val="21"/>
        </w:rPr>
        <w:t xml:space="preserve"> </w:t>
      </w:r>
      <w:r>
        <w:rPr>
          <w:rFonts w:ascii="Arial"/>
          <w:color w:val="1F1F1F"/>
          <w:w w:val="105"/>
          <w:sz w:val="21"/>
        </w:rPr>
        <w:t>import</w:t>
      </w:r>
      <w:r>
        <w:rPr>
          <w:rFonts w:ascii="Arial"/>
          <w:color w:val="1F1F1F"/>
          <w:spacing w:val="40"/>
          <w:w w:val="105"/>
          <w:sz w:val="21"/>
        </w:rPr>
        <w:t xml:space="preserve"> </w:t>
      </w:r>
      <w:r>
        <w:rPr>
          <w:rFonts w:ascii="Arial"/>
          <w:color w:val="0C0C0C"/>
          <w:w w:val="105"/>
          <w:sz w:val="21"/>
        </w:rPr>
        <w:t xml:space="preserve">definition. </w:t>
      </w:r>
      <w:r>
        <w:rPr>
          <w:rFonts w:ascii="Arial"/>
          <w:color w:val="1F1F1F"/>
          <w:w w:val="105"/>
          <w:sz w:val="21"/>
        </w:rPr>
        <w:t>For</w:t>
      </w:r>
      <w:r>
        <w:rPr>
          <w:rFonts w:ascii="Arial"/>
          <w:color w:val="1F1F1F"/>
          <w:spacing w:val="-3"/>
          <w:w w:val="105"/>
          <w:sz w:val="21"/>
        </w:rPr>
        <w:t xml:space="preserve"> </w:t>
      </w:r>
      <w:r>
        <w:rPr>
          <w:rFonts w:ascii="Arial"/>
          <w:color w:val="1F1F1F"/>
          <w:w w:val="105"/>
          <w:sz w:val="21"/>
        </w:rPr>
        <w:t>example,</w:t>
      </w:r>
      <w:r>
        <w:rPr>
          <w:rFonts w:ascii="Arial"/>
          <w:color w:val="1F1F1F"/>
          <w:spacing w:val="-16"/>
          <w:w w:val="105"/>
          <w:sz w:val="21"/>
        </w:rPr>
        <w:t xml:space="preserve"> </w:t>
      </w:r>
      <w:r>
        <w:rPr>
          <w:rFonts w:ascii="Arial"/>
          <w:color w:val="1F1F1F"/>
          <w:w w:val="105"/>
          <w:sz w:val="21"/>
        </w:rPr>
        <w:t>the</w:t>
      </w:r>
      <w:r>
        <w:rPr>
          <w:rFonts w:ascii="Arial"/>
          <w:color w:val="1F1F1F"/>
          <w:spacing w:val="28"/>
          <w:w w:val="105"/>
          <w:sz w:val="21"/>
        </w:rPr>
        <w:t xml:space="preserve"> </w:t>
      </w:r>
      <w:r>
        <w:rPr>
          <w:rFonts w:ascii="Arial"/>
          <w:color w:val="0C0C0C"/>
          <w:w w:val="105"/>
          <w:sz w:val="21"/>
        </w:rPr>
        <w:t>Dumping</w:t>
      </w:r>
      <w:r>
        <w:rPr>
          <w:rFonts w:ascii="Arial"/>
          <w:color w:val="0C0C0C"/>
          <w:spacing w:val="-16"/>
          <w:w w:val="105"/>
          <w:sz w:val="21"/>
        </w:rPr>
        <w:t xml:space="preserve"> </w:t>
      </w:r>
      <w:r>
        <w:rPr>
          <w:rFonts w:ascii="Arial"/>
          <w:color w:val="1F1F1F"/>
          <w:w w:val="105"/>
          <w:sz w:val="21"/>
        </w:rPr>
        <w:t>and</w:t>
      </w:r>
      <w:r>
        <w:rPr>
          <w:rFonts w:ascii="Arial"/>
          <w:color w:val="1F1F1F"/>
          <w:spacing w:val="-2"/>
          <w:w w:val="105"/>
          <w:sz w:val="21"/>
        </w:rPr>
        <w:t xml:space="preserve"> </w:t>
      </w:r>
      <w:r>
        <w:rPr>
          <w:rFonts w:ascii="Arial"/>
          <w:color w:val="0C0C0C"/>
          <w:w w:val="105"/>
          <w:sz w:val="21"/>
        </w:rPr>
        <w:t>Injury</w:t>
      </w:r>
      <w:r>
        <w:rPr>
          <w:rFonts w:ascii="Arial"/>
          <w:color w:val="0C0C0C"/>
          <w:spacing w:val="-4"/>
          <w:w w:val="105"/>
          <w:sz w:val="21"/>
        </w:rPr>
        <w:t xml:space="preserve"> </w:t>
      </w:r>
      <w:r>
        <w:rPr>
          <w:rFonts w:ascii="Arial"/>
          <w:color w:val="1F1F1F"/>
          <w:w w:val="105"/>
          <w:sz w:val="21"/>
        </w:rPr>
        <w:t>PCN</w:t>
      </w:r>
      <w:r>
        <w:rPr>
          <w:rFonts w:ascii="Arial"/>
          <w:color w:val="1F1F1F"/>
          <w:spacing w:val="-2"/>
          <w:w w:val="105"/>
          <w:sz w:val="21"/>
        </w:rPr>
        <w:t xml:space="preserve"> </w:t>
      </w:r>
      <w:r>
        <w:rPr>
          <w:rFonts w:ascii="Arial"/>
          <w:color w:val="1F1F1F"/>
          <w:w w:val="105"/>
          <w:sz w:val="21"/>
        </w:rPr>
        <w:t xml:space="preserve">information </w:t>
      </w:r>
      <w:r>
        <w:rPr>
          <w:rFonts w:ascii="Arial"/>
          <w:color w:val="0C0C0C"/>
          <w:w w:val="105"/>
          <w:sz w:val="21"/>
        </w:rPr>
        <w:t>demonstrated that</w:t>
      </w:r>
      <w:r>
        <w:rPr>
          <w:rFonts w:ascii="Arial"/>
          <w:color w:val="0C0C0C"/>
          <w:spacing w:val="-7"/>
          <w:w w:val="105"/>
          <w:sz w:val="21"/>
        </w:rPr>
        <w:t xml:space="preserve"> </w:t>
      </w:r>
      <w:r>
        <w:rPr>
          <w:rFonts w:ascii="Arial"/>
          <w:color w:val="1F1F1F"/>
          <w:w w:val="105"/>
          <w:sz w:val="21"/>
        </w:rPr>
        <w:t>duringthe</w:t>
      </w:r>
      <w:r>
        <w:rPr>
          <w:rFonts w:ascii="Arial"/>
          <w:color w:val="1F1F1F"/>
          <w:spacing w:val="-2"/>
          <w:w w:val="105"/>
          <w:sz w:val="21"/>
        </w:rPr>
        <w:t xml:space="preserve"> </w:t>
      </w:r>
      <w:r>
        <w:rPr>
          <w:rFonts w:ascii="Arial"/>
          <w:color w:val="1F1F1F"/>
          <w:w w:val="105"/>
          <w:sz w:val="21"/>
        </w:rPr>
        <w:t xml:space="preserve">Dumping </w:t>
      </w:r>
      <w:r>
        <w:rPr>
          <w:rFonts w:ascii="Arial"/>
          <w:color w:val="1F1F1F"/>
          <w:spacing w:val="-4"/>
          <w:w w:val="105"/>
          <w:sz w:val="21"/>
        </w:rPr>
        <w:t>POI:</w:t>
      </w:r>
    </w:p>
    <w:p w14:paraId="51DE8E7B" w14:textId="77777777" w:rsidR="0010369C" w:rsidRDefault="008E43AE">
      <w:pPr>
        <w:spacing w:before="85"/>
        <w:ind w:left="1087"/>
        <w:rPr>
          <w:rFonts w:ascii="Times New Roman" w:hAnsi="Times New Roman"/>
          <w:sz w:val="37"/>
        </w:rPr>
      </w:pPr>
      <w:r>
        <w:rPr>
          <w:noProof/>
        </w:rPr>
        <w:drawing>
          <wp:anchor distT="0" distB="0" distL="0" distR="0" simplePos="0" relativeHeight="250674688" behindDoc="0" locked="0" layoutInCell="1" allowOverlap="1" wp14:anchorId="51DEA488" wp14:editId="51DEA489">
            <wp:simplePos x="0" y="0"/>
            <wp:positionH relativeFrom="page">
              <wp:posOffset>1975117</wp:posOffset>
            </wp:positionH>
            <wp:positionV relativeFrom="paragraph">
              <wp:posOffset>107831</wp:posOffset>
            </wp:positionV>
            <wp:extent cx="4702052" cy="1323937"/>
            <wp:effectExtent l="0" t="0" r="0" b="0"/>
            <wp:wrapNone/>
            <wp:docPr id="1143" name="image5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 name="image583.png"/>
                    <pic:cNvPicPr/>
                  </pic:nvPicPr>
                  <pic:blipFill>
                    <a:blip r:embed="rId765" cstate="print"/>
                    <a:stretch>
                      <a:fillRect/>
                    </a:stretch>
                  </pic:blipFill>
                  <pic:spPr>
                    <a:xfrm>
                      <a:off x="0" y="0"/>
                      <a:ext cx="4702052" cy="1323937"/>
                    </a:xfrm>
                    <a:prstGeom prst="rect">
                      <a:avLst/>
                    </a:prstGeom>
                  </pic:spPr>
                </pic:pic>
              </a:graphicData>
            </a:graphic>
          </wp:anchor>
        </w:drawing>
      </w:r>
      <w:r>
        <w:rPr>
          <w:rFonts w:ascii="Times New Roman" w:hAnsi="Times New Roman"/>
          <w:color w:val="0C0C0C"/>
          <w:w w:val="108"/>
          <w:sz w:val="37"/>
        </w:rPr>
        <w:t>•</w:t>
      </w:r>
    </w:p>
    <w:p w14:paraId="51DE8E7C" w14:textId="77777777" w:rsidR="0010369C" w:rsidRDefault="0010369C">
      <w:pPr>
        <w:pStyle w:val="BodyText"/>
        <w:rPr>
          <w:rFonts w:ascii="Times New Roman"/>
          <w:sz w:val="20"/>
        </w:rPr>
      </w:pPr>
    </w:p>
    <w:p w14:paraId="51DE8E7D" w14:textId="77777777" w:rsidR="0010369C" w:rsidRDefault="0010369C">
      <w:pPr>
        <w:pStyle w:val="BodyText"/>
        <w:rPr>
          <w:rFonts w:ascii="Times New Roman"/>
          <w:sz w:val="20"/>
        </w:rPr>
      </w:pPr>
    </w:p>
    <w:p w14:paraId="51DE8E7E" w14:textId="77777777" w:rsidR="0010369C" w:rsidRDefault="0010369C">
      <w:pPr>
        <w:pStyle w:val="BodyText"/>
        <w:rPr>
          <w:rFonts w:ascii="Times New Roman"/>
          <w:sz w:val="20"/>
        </w:rPr>
      </w:pPr>
    </w:p>
    <w:p w14:paraId="51DE8E7F" w14:textId="77777777" w:rsidR="0010369C" w:rsidRDefault="0010369C">
      <w:pPr>
        <w:pStyle w:val="BodyText"/>
        <w:rPr>
          <w:rFonts w:ascii="Times New Roman"/>
          <w:sz w:val="20"/>
        </w:rPr>
      </w:pPr>
    </w:p>
    <w:p w14:paraId="51DE8E80" w14:textId="77777777" w:rsidR="0010369C" w:rsidRDefault="0010369C">
      <w:pPr>
        <w:pStyle w:val="BodyText"/>
        <w:rPr>
          <w:rFonts w:ascii="Times New Roman"/>
          <w:sz w:val="20"/>
        </w:rPr>
      </w:pPr>
    </w:p>
    <w:p w14:paraId="51DE8E81" w14:textId="77777777" w:rsidR="0010369C" w:rsidRDefault="0010369C">
      <w:pPr>
        <w:pStyle w:val="BodyText"/>
        <w:rPr>
          <w:rFonts w:ascii="Times New Roman"/>
          <w:sz w:val="20"/>
        </w:rPr>
      </w:pPr>
    </w:p>
    <w:p w14:paraId="51DE8E82" w14:textId="77777777" w:rsidR="0010369C" w:rsidRDefault="0010369C">
      <w:pPr>
        <w:pStyle w:val="BodyText"/>
        <w:rPr>
          <w:rFonts w:ascii="Times New Roman"/>
          <w:sz w:val="20"/>
        </w:rPr>
      </w:pPr>
    </w:p>
    <w:p w14:paraId="51DE8E83" w14:textId="77777777" w:rsidR="0010369C" w:rsidRDefault="0010369C">
      <w:pPr>
        <w:pStyle w:val="BodyText"/>
        <w:rPr>
          <w:rFonts w:ascii="Times New Roman"/>
          <w:sz w:val="20"/>
        </w:rPr>
      </w:pPr>
    </w:p>
    <w:p w14:paraId="51DE8E84" w14:textId="77777777" w:rsidR="0010369C" w:rsidRDefault="0010369C">
      <w:pPr>
        <w:pStyle w:val="BodyText"/>
        <w:rPr>
          <w:rFonts w:ascii="Times New Roman"/>
          <w:sz w:val="20"/>
        </w:rPr>
      </w:pPr>
    </w:p>
    <w:p w14:paraId="51DE8E85" w14:textId="77777777" w:rsidR="0010369C" w:rsidRDefault="0010369C">
      <w:pPr>
        <w:pStyle w:val="BodyText"/>
        <w:rPr>
          <w:rFonts w:ascii="Times New Roman"/>
          <w:sz w:val="20"/>
        </w:rPr>
      </w:pPr>
    </w:p>
    <w:p w14:paraId="51DE8E86" w14:textId="77777777" w:rsidR="0010369C" w:rsidRDefault="008E43AE">
      <w:pPr>
        <w:pStyle w:val="BodyText"/>
        <w:rPr>
          <w:rFonts w:ascii="Times New Roman"/>
          <w:sz w:val="28"/>
        </w:rPr>
      </w:pPr>
      <w:r>
        <w:pict w14:anchorId="51DEA48A">
          <v:shape id="docshape1042" o:spid="_x0000_s1336" style="position:absolute;margin-left:70.25pt;margin-top:17.35pt;width:145.5pt;height:.1pt;z-index:-250830336;mso-wrap-distance-left:0;mso-wrap-distance-right:0;mso-position-horizontal-relative:page" coordorigin="1405,347" coordsize="2910,0" path="m1405,347r2909,e" filled="f" strokeweight=".35361mm">
            <v:path arrowok="t"/>
            <w10:wrap type="topAndBottom" anchorx="page"/>
          </v:shape>
        </w:pict>
      </w:r>
    </w:p>
    <w:p w14:paraId="51DE8E87" w14:textId="77777777" w:rsidR="0010369C" w:rsidRDefault="008E43AE">
      <w:pPr>
        <w:spacing w:before="108" w:line="199" w:lineRule="exact"/>
        <w:ind w:left="239"/>
        <w:jc w:val="both"/>
        <w:rPr>
          <w:rFonts w:ascii="Arial"/>
          <w:sz w:val="16"/>
        </w:rPr>
      </w:pPr>
      <w:r>
        <w:rPr>
          <w:rFonts w:ascii="Times New Roman"/>
          <w:color w:val="3D3D3D"/>
          <w:spacing w:val="-2"/>
          <w:w w:val="105"/>
          <w:position w:val="6"/>
          <w:sz w:val="12"/>
        </w:rPr>
        <w:t>654</w:t>
      </w:r>
      <w:r>
        <w:rPr>
          <w:rFonts w:ascii="Times New Roman"/>
          <w:color w:val="3D3D3D"/>
          <w:spacing w:val="-1"/>
          <w:w w:val="105"/>
          <w:position w:val="6"/>
          <w:sz w:val="12"/>
        </w:rPr>
        <w:t xml:space="preserve"> </w:t>
      </w:r>
      <w:r>
        <w:rPr>
          <w:rFonts w:ascii="Arial"/>
          <w:color w:val="1F1F1F"/>
          <w:spacing w:val="-2"/>
          <w:w w:val="105"/>
          <w:sz w:val="16"/>
        </w:rPr>
        <w:t>Treasury</w:t>
      </w:r>
      <w:r>
        <w:rPr>
          <w:rFonts w:ascii="Arial"/>
          <w:color w:val="1F1F1F"/>
          <w:w w:val="105"/>
          <w:sz w:val="16"/>
        </w:rPr>
        <w:t xml:space="preserve"> </w:t>
      </w:r>
      <w:r>
        <w:rPr>
          <w:rFonts w:ascii="Arial"/>
          <w:color w:val="1F1F1F"/>
          <w:spacing w:val="-2"/>
          <w:w w:val="105"/>
          <w:sz w:val="16"/>
        </w:rPr>
        <w:t>Wines</w:t>
      </w:r>
      <w:r>
        <w:rPr>
          <w:rFonts w:ascii="Arial"/>
          <w:color w:val="1F1F1F"/>
          <w:spacing w:val="-3"/>
          <w:w w:val="105"/>
          <w:sz w:val="16"/>
        </w:rPr>
        <w:t xml:space="preserve"> </w:t>
      </w:r>
      <w:r>
        <w:rPr>
          <w:rFonts w:ascii="Arial"/>
          <w:color w:val="1F1F1F"/>
          <w:spacing w:val="-2"/>
          <w:w w:val="105"/>
          <w:sz w:val="16"/>
        </w:rPr>
        <w:t>Anti-Dumping</w:t>
      </w:r>
      <w:r>
        <w:rPr>
          <w:rFonts w:ascii="Arial"/>
          <w:color w:val="1F1F1F"/>
          <w:spacing w:val="8"/>
          <w:w w:val="105"/>
          <w:sz w:val="16"/>
        </w:rPr>
        <w:t xml:space="preserve"> </w:t>
      </w:r>
      <w:r>
        <w:rPr>
          <w:rFonts w:ascii="Arial"/>
          <w:color w:val="1F1F1F"/>
          <w:spacing w:val="-2"/>
          <w:w w:val="105"/>
          <w:sz w:val="16"/>
        </w:rPr>
        <w:t>Questionnaire</w:t>
      </w:r>
      <w:r>
        <w:rPr>
          <w:rFonts w:ascii="Arial"/>
          <w:color w:val="1F1F1F"/>
          <w:spacing w:val="1"/>
          <w:w w:val="105"/>
          <w:sz w:val="16"/>
        </w:rPr>
        <w:t xml:space="preserve"> </w:t>
      </w:r>
      <w:r>
        <w:rPr>
          <w:rFonts w:ascii="Arial"/>
          <w:color w:val="1F1F1F"/>
          <w:spacing w:val="-2"/>
          <w:w w:val="105"/>
          <w:sz w:val="16"/>
        </w:rPr>
        <w:t>Response</w:t>
      </w:r>
      <w:r>
        <w:rPr>
          <w:rFonts w:ascii="Arial"/>
          <w:color w:val="1F1F1F"/>
          <w:spacing w:val="-1"/>
          <w:w w:val="105"/>
          <w:sz w:val="16"/>
        </w:rPr>
        <w:t xml:space="preserve"> </w:t>
      </w:r>
      <w:r>
        <w:rPr>
          <w:rFonts w:ascii="Arial"/>
          <w:color w:val="1F1F1F"/>
          <w:spacing w:val="-2"/>
          <w:w w:val="105"/>
          <w:sz w:val="16"/>
        </w:rPr>
        <w:t>(Exhibit</w:t>
      </w:r>
      <w:r>
        <w:rPr>
          <w:rFonts w:ascii="Arial"/>
          <w:color w:val="1F1F1F"/>
          <w:spacing w:val="2"/>
          <w:w w:val="105"/>
          <w:sz w:val="16"/>
        </w:rPr>
        <w:t xml:space="preserve"> </w:t>
      </w:r>
      <w:r>
        <w:rPr>
          <w:rFonts w:ascii="Arial"/>
          <w:color w:val="1F1F1F"/>
          <w:spacing w:val="-2"/>
          <w:w w:val="105"/>
          <w:sz w:val="16"/>
        </w:rPr>
        <w:t>AUS-73),</w:t>
      </w:r>
      <w:r>
        <w:rPr>
          <w:rFonts w:ascii="Arial"/>
          <w:color w:val="1F1F1F"/>
          <w:spacing w:val="-15"/>
          <w:w w:val="105"/>
          <w:sz w:val="16"/>
        </w:rPr>
        <w:t xml:space="preserve"> </w:t>
      </w:r>
      <w:r>
        <w:rPr>
          <w:rFonts w:ascii="Arial"/>
          <w:color w:val="1F1F1F"/>
          <w:spacing w:val="-2"/>
          <w:w w:val="105"/>
          <w:sz w:val="16"/>
        </w:rPr>
        <w:t>Section</w:t>
      </w:r>
      <w:r>
        <w:rPr>
          <w:rFonts w:ascii="Arial"/>
          <w:color w:val="1F1F1F"/>
          <w:spacing w:val="-4"/>
          <w:w w:val="105"/>
          <w:sz w:val="16"/>
        </w:rPr>
        <w:t xml:space="preserve"> </w:t>
      </w:r>
      <w:r>
        <w:rPr>
          <w:rFonts w:ascii="Arial"/>
          <w:color w:val="1F1F1F"/>
          <w:spacing w:val="-2"/>
          <w:w w:val="105"/>
          <w:sz w:val="16"/>
        </w:rPr>
        <w:t>2,</w:t>
      </w:r>
      <w:r>
        <w:rPr>
          <w:rFonts w:ascii="Arial"/>
          <w:color w:val="1F1F1F"/>
          <w:spacing w:val="-10"/>
          <w:w w:val="105"/>
          <w:sz w:val="16"/>
        </w:rPr>
        <w:t xml:space="preserve"> </w:t>
      </w:r>
      <w:r>
        <w:rPr>
          <w:rFonts w:ascii="Arial"/>
          <w:color w:val="1F1F1F"/>
          <w:spacing w:val="-2"/>
          <w:w w:val="105"/>
          <w:sz w:val="16"/>
        </w:rPr>
        <w:t>Questions</w:t>
      </w:r>
      <w:r>
        <w:rPr>
          <w:rFonts w:ascii="Arial"/>
          <w:color w:val="1F1F1F"/>
          <w:spacing w:val="5"/>
          <w:w w:val="105"/>
          <w:sz w:val="16"/>
        </w:rPr>
        <w:t xml:space="preserve"> </w:t>
      </w:r>
      <w:r>
        <w:rPr>
          <w:rFonts w:ascii="Arial"/>
          <w:color w:val="1F1F1F"/>
          <w:spacing w:val="-2"/>
          <w:w w:val="105"/>
          <w:sz w:val="16"/>
        </w:rPr>
        <w:t>4,</w:t>
      </w:r>
      <w:r>
        <w:rPr>
          <w:rFonts w:ascii="Arial"/>
          <w:color w:val="1F1F1F"/>
          <w:spacing w:val="-9"/>
          <w:w w:val="105"/>
          <w:sz w:val="16"/>
        </w:rPr>
        <w:t xml:space="preserve"> </w:t>
      </w:r>
      <w:r>
        <w:rPr>
          <w:rFonts w:ascii="Arial"/>
          <w:color w:val="1F1F1F"/>
          <w:spacing w:val="-2"/>
          <w:w w:val="105"/>
          <w:sz w:val="16"/>
        </w:rPr>
        <w:t>5,</w:t>
      </w:r>
      <w:r>
        <w:rPr>
          <w:rFonts w:ascii="Arial"/>
          <w:color w:val="1F1F1F"/>
          <w:spacing w:val="4"/>
          <w:w w:val="105"/>
          <w:sz w:val="16"/>
        </w:rPr>
        <w:t xml:space="preserve"> </w:t>
      </w:r>
      <w:r>
        <w:rPr>
          <w:rFonts w:ascii="Arial"/>
          <w:color w:val="1F1F1F"/>
          <w:spacing w:val="-2"/>
          <w:w w:val="105"/>
          <w:sz w:val="16"/>
        </w:rPr>
        <w:t>6,</w:t>
      </w:r>
      <w:r>
        <w:rPr>
          <w:rFonts w:ascii="Arial"/>
          <w:color w:val="1F1F1F"/>
          <w:spacing w:val="-1"/>
          <w:w w:val="105"/>
          <w:sz w:val="16"/>
        </w:rPr>
        <w:t xml:space="preserve"> </w:t>
      </w:r>
      <w:r>
        <w:rPr>
          <w:rFonts w:ascii="Arial"/>
          <w:color w:val="1F1F1F"/>
          <w:spacing w:val="-2"/>
          <w:w w:val="105"/>
          <w:sz w:val="16"/>
        </w:rPr>
        <w:t>pp.</w:t>
      </w:r>
      <w:r>
        <w:rPr>
          <w:rFonts w:ascii="Arial"/>
          <w:color w:val="1F1F1F"/>
          <w:spacing w:val="6"/>
          <w:w w:val="105"/>
          <w:sz w:val="16"/>
        </w:rPr>
        <w:t xml:space="preserve"> </w:t>
      </w:r>
      <w:r>
        <w:rPr>
          <w:rFonts w:ascii="Arial"/>
          <w:color w:val="0C0C0C"/>
          <w:spacing w:val="-2"/>
          <w:w w:val="105"/>
          <w:sz w:val="16"/>
        </w:rPr>
        <w:t>16-21;</w:t>
      </w:r>
      <w:r>
        <w:rPr>
          <w:rFonts w:ascii="Arial"/>
          <w:color w:val="0C0C0C"/>
          <w:spacing w:val="-14"/>
          <w:w w:val="105"/>
          <w:sz w:val="16"/>
        </w:rPr>
        <w:t xml:space="preserve"> </w:t>
      </w:r>
      <w:r>
        <w:rPr>
          <w:rFonts w:ascii="Arial"/>
          <w:color w:val="1F1F1F"/>
          <w:spacing w:val="-2"/>
          <w:w w:val="105"/>
          <w:sz w:val="16"/>
        </w:rPr>
        <w:t>Casella</w:t>
      </w:r>
    </w:p>
    <w:p w14:paraId="51DE8E88" w14:textId="77777777" w:rsidR="0010369C" w:rsidRDefault="008E43AE">
      <w:pPr>
        <w:spacing w:line="300" w:lineRule="auto"/>
        <w:ind w:left="232" w:right="568" w:firstLine="10"/>
        <w:jc w:val="both"/>
        <w:rPr>
          <w:rFonts w:ascii="Arial"/>
          <w:sz w:val="16"/>
        </w:rPr>
      </w:pPr>
      <w:r>
        <w:rPr>
          <w:rFonts w:ascii="Arial"/>
          <w:color w:val="1F1F1F"/>
          <w:w w:val="105"/>
          <w:sz w:val="16"/>
        </w:rPr>
        <w:t>Wines Anti-Dumping Questionnaire Response (Exhibit AUS-72),</w:t>
      </w:r>
      <w:r>
        <w:rPr>
          <w:rFonts w:ascii="Arial"/>
          <w:color w:val="1F1F1F"/>
          <w:spacing w:val="-3"/>
          <w:w w:val="105"/>
          <w:sz w:val="16"/>
        </w:rPr>
        <w:t xml:space="preserve"> </w:t>
      </w:r>
      <w:r>
        <w:rPr>
          <w:rFonts w:ascii="Arial"/>
          <w:color w:val="1F1F1F"/>
          <w:w w:val="105"/>
          <w:sz w:val="16"/>
        </w:rPr>
        <w:t>Section 2, Questions 4, 5, 6, pp. 12-21;</w:t>
      </w:r>
      <w:r>
        <w:rPr>
          <w:rFonts w:ascii="Arial"/>
          <w:color w:val="1F1F1F"/>
          <w:spacing w:val="-5"/>
          <w:w w:val="105"/>
          <w:sz w:val="16"/>
        </w:rPr>
        <w:t xml:space="preserve"> </w:t>
      </w:r>
      <w:r>
        <w:rPr>
          <w:rFonts w:ascii="Arial"/>
          <w:color w:val="1F1F1F"/>
          <w:w w:val="105"/>
          <w:sz w:val="16"/>
        </w:rPr>
        <w:t xml:space="preserve">Treasury Wines </w:t>
      </w:r>
      <w:r>
        <w:rPr>
          <w:rFonts w:ascii="Arial"/>
          <w:color w:val="1F1F1F"/>
          <w:sz w:val="16"/>
        </w:rPr>
        <w:t>Sampling</w:t>
      </w:r>
      <w:r>
        <w:rPr>
          <w:rFonts w:ascii="Arial"/>
          <w:color w:val="1F1F1F"/>
          <w:spacing w:val="-8"/>
          <w:sz w:val="16"/>
        </w:rPr>
        <w:t xml:space="preserve"> </w:t>
      </w:r>
      <w:r>
        <w:rPr>
          <w:rFonts w:ascii="Arial"/>
          <w:color w:val="1F1F1F"/>
          <w:sz w:val="16"/>
        </w:rPr>
        <w:t>Questionnaire</w:t>
      </w:r>
      <w:r>
        <w:rPr>
          <w:rFonts w:ascii="Arial"/>
          <w:color w:val="1F1F1F"/>
          <w:spacing w:val="31"/>
          <w:sz w:val="16"/>
        </w:rPr>
        <w:t xml:space="preserve"> </w:t>
      </w:r>
      <w:r>
        <w:rPr>
          <w:rFonts w:ascii="Arial"/>
          <w:color w:val="1F1F1F"/>
          <w:sz w:val="16"/>
        </w:rPr>
        <w:t>Response (Exhibit AUS-74), Section 2, Question 3, pp.</w:t>
      </w:r>
      <w:r>
        <w:rPr>
          <w:rFonts w:ascii="Arial"/>
          <w:color w:val="1F1F1F"/>
          <w:spacing w:val="28"/>
          <w:sz w:val="16"/>
        </w:rPr>
        <w:t xml:space="preserve"> </w:t>
      </w:r>
      <w:r>
        <w:rPr>
          <w:rFonts w:ascii="Arial"/>
          <w:color w:val="1F1F1F"/>
          <w:sz w:val="16"/>
        </w:rPr>
        <w:t>14-19;</w:t>
      </w:r>
      <w:r>
        <w:rPr>
          <w:rFonts w:ascii="Arial"/>
          <w:color w:val="1F1F1F"/>
          <w:spacing w:val="-9"/>
          <w:sz w:val="16"/>
        </w:rPr>
        <w:t xml:space="preserve"> </w:t>
      </w:r>
      <w:r>
        <w:rPr>
          <w:rFonts w:ascii="Arial"/>
          <w:color w:val="1F1F1F"/>
          <w:sz w:val="16"/>
        </w:rPr>
        <w:t>Casella Wines</w:t>
      </w:r>
      <w:r>
        <w:rPr>
          <w:rFonts w:ascii="Arial"/>
          <w:color w:val="1F1F1F"/>
          <w:spacing w:val="-9"/>
          <w:sz w:val="16"/>
        </w:rPr>
        <w:t xml:space="preserve"> </w:t>
      </w:r>
      <w:r>
        <w:rPr>
          <w:rFonts w:ascii="Arial"/>
          <w:color w:val="1F1F1F"/>
          <w:sz w:val="16"/>
        </w:rPr>
        <w:t xml:space="preserve">Sampling Questionnaire </w:t>
      </w:r>
      <w:r>
        <w:rPr>
          <w:rFonts w:ascii="Arial"/>
          <w:color w:val="1F1F1F"/>
          <w:w w:val="105"/>
          <w:sz w:val="16"/>
        </w:rPr>
        <w:t>Response</w:t>
      </w:r>
      <w:r>
        <w:rPr>
          <w:rFonts w:ascii="Arial"/>
          <w:color w:val="1F1F1F"/>
          <w:spacing w:val="-10"/>
          <w:w w:val="105"/>
          <w:sz w:val="16"/>
        </w:rPr>
        <w:t xml:space="preserve"> </w:t>
      </w:r>
      <w:r>
        <w:rPr>
          <w:rFonts w:ascii="Arial"/>
          <w:color w:val="1F1F1F"/>
          <w:w w:val="105"/>
          <w:sz w:val="16"/>
        </w:rPr>
        <w:t>(Exhibit</w:t>
      </w:r>
      <w:r>
        <w:rPr>
          <w:rFonts w:ascii="Arial"/>
          <w:color w:val="1F1F1F"/>
          <w:spacing w:val="-5"/>
          <w:w w:val="105"/>
          <w:sz w:val="16"/>
        </w:rPr>
        <w:t xml:space="preserve"> </w:t>
      </w:r>
      <w:r>
        <w:rPr>
          <w:rFonts w:ascii="Arial"/>
          <w:color w:val="1F1F1F"/>
          <w:w w:val="105"/>
          <w:sz w:val="16"/>
        </w:rPr>
        <w:t>AUS-75),</w:t>
      </w:r>
      <w:r>
        <w:rPr>
          <w:rFonts w:ascii="Arial"/>
          <w:color w:val="1F1F1F"/>
          <w:spacing w:val="-12"/>
          <w:w w:val="105"/>
          <w:sz w:val="16"/>
        </w:rPr>
        <w:t xml:space="preserve"> </w:t>
      </w:r>
      <w:r>
        <w:rPr>
          <w:rFonts w:ascii="Arial"/>
          <w:color w:val="1F1F1F"/>
          <w:w w:val="105"/>
          <w:sz w:val="16"/>
        </w:rPr>
        <w:t>Section</w:t>
      </w:r>
      <w:r>
        <w:rPr>
          <w:rFonts w:ascii="Arial"/>
          <w:color w:val="1F1F1F"/>
          <w:spacing w:val="-2"/>
          <w:w w:val="105"/>
          <w:sz w:val="16"/>
        </w:rPr>
        <w:t xml:space="preserve"> </w:t>
      </w:r>
      <w:r>
        <w:rPr>
          <w:rFonts w:ascii="Arial"/>
          <w:color w:val="1F1F1F"/>
          <w:w w:val="105"/>
          <w:sz w:val="16"/>
        </w:rPr>
        <w:t>2,</w:t>
      </w:r>
      <w:r>
        <w:rPr>
          <w:rFonts w:ascii="Arial"/>
          <w:color w:val="1F1F1F"/>
          <w:spacing w:val="-17"/>
          <w:w w:val="105"/>
          <w:sz w:val="16"/>
        </w:rPr>
        <w:t xml:space="preserve"> </w:t>
      </w:r>
      <w:r>
        <w:rPr>
          <w:rFonts w:ascii="Arial"/>
          <w:color w:val="1F1F1F"/>
          <w:w w:val="105"/>
          <w:sz w:val="16"/>
        </w:rPr>
        <w:t>Question</w:t>
      </w:r>
      <w:r>
        <w:rPr>
          <w:rFonts w:ascii="Arial"/>
          <w:color w:val="1F1F1F"/>
          <w:spacing w:val="-14"/>
          <w:w w:val="105"/>
          <w:sz w:val="16"/>
        </w:rPr>
        <w:t xml:space="preserve"> </w:t>
      </w:r>
      <w:r>
        <w:rPr>
          <w:rFonts w:ascii="Arial"/>
          <w:color w:val="1F1F1F"/>
          <w:w w:val="105"/>
          <w:sz w:val="16"/>
        </w:rPr>
        <w:t>3,</w:t>
      </w:r>
      <w:r>
        <w:rPr>
          <w:rFonts w:ascii="Arial"/>
          <w:color w:val="1F1F1F"/>
          <w:spacing w:val="-12"/>
          <w:w w:val="105"/>
          <w:sz w:val="16"/>
        </w:rPr>
        <w:t xml:space="preserve"> </w:t>
      </w:r>
      <w:r>
        <w:rPr>
          <w:rFonts w:ascii="Arial"/>
          <w:color w:val="1F1F1F"/>
          <w:w w:val="105"/>
          <w:sz w:val="16"/>
        </w:rPr>
        <w:t>pp.</w:t>
      </w:r>
      <w:r>
        <w:rPr>
          <w:rFonts w:ascii="Arial"/>
          <w:color w:val="1F1F1F"/>
          <w:spacing w:val="-9"/>
          <w:w w:val="105"/>
          <w:sz w:val="16"/>
        </w:rPr>
        <w:t xml:space="preserve"> </w:t>
      </w:r>
      <w:r>
        <w:rPr>
          <w:rFonts w:ascii="Arial"/>
          <w:color w:val="1F1F1F"/>
          <w:w w:val="105"/>
          <w:sz w:val="16"/>
        </w:rPr>
        <w:t>16-19.</w:t>
      </w:r>
    </w:p>
    <w:p w14:paraId="51DE8E89" w14:textId="77777777" w:rsidR="0010369C" w:rsidRDefault="008E43AE">
      <w:pPr>
        <w:spacing w:before="13" w:line="204" w:lineRule="exact"/>
        <w:ind w:left="239"/>
        <w:jc w:val="both"/>
        <w:rPr>
          <w:rFonts w:ascii="Arial"/>
          <w:sz w:val="16"/>
        </w:rPr>
      </w:pPr>
      <w:r>
        <w:rPr>
          <w:rFonts w:ascii="Times New Roman"/>
          <w:color w:val="3D3D3D"/>
          <w:spacing w:val="-2"/>
          <w:w w:val="105"/>
          <w:position w:val="6"/>
          <w:sz w:val="12"/>
        </w:rPr>
        <w:t>655</w:t>
      </w:r>
      <w:r>
        <w:rPr>
          <w:rFonts w:ascii="Times New Roman"/>
          <w:color w:val="3D3D3D"/>
          <w:spacing w:val="4"/>
          <w:w w:val="105"/>
          <w:position w:val="6"/>
          <w:sz w:val="12"/>
        </w:rPr>
        <w:t xml:space="preserve"> </w:t>
      </w:r>
      <w:r>
        <w:rPr>
          <w:rFonts w:ascii="Arial"/>
          <w:color w:val="1F1F1F"/>
          <w:spacing w:val="-2"/>
          <w:w w:val="105"/>
          <w:sz w:val="16"/>
        </w:rPr>
        <w:t>Treasury</w:t>
      </w:r>
      <w:r>
        <w:rPr>
          <w:rFonts w:ascii="Arial"/>
          <w:color w:val="1F1F1F"/>
          <w:w w:val="105"/>
          <w:sz w:val="16"/>
        </w:rPr>
        <w:t xml:space="preserve"> </w:t>
      </w:r>
      <w:r>
        <w:rPr>
          <w:rFonts w:ascii="Arial"/>
          <w:color w:val="1F1F1F"/>
          <w:spacing w:val="-2"/>
          <w:w w:val="105"/>
          <w:sz w:val="16"/>
        </w:rPr>
        <w:t>Wines</w:t>
      </w:r>
      <w:r>
        <w:rPr>
          <w:rFonts w:ascii="Arial"/>
          <w:color w:val="1F1F1F"/>
          <w:spacing w:val="-4"/>
          <w:w w:val="105"/>
          <w:sz w:val="16"/>
        </w:rPr>
        <w:t xml:space="preserve"> </w:t>
      </w:r>
      <w:r>
        <w:rPr>
          <w:rFonts w:ascii="Arial"/>
          <w:color w:val="1F1F1F"/>
          <w:spacing w:val="-2"/>
          <w:w w:val="105"/>
          <w:sz w:val="16"/>
        </w:rPr>
        <w:t>Anti-Dumping</w:t>
      </w:r>
      <w:r>
        <w:rPr>
          <w:rFonts w:ascii="Arial"/>
          <w:color w:val="1F1F1F"/>
          <w:spacing w:val="8"/>
          <w:w w:val="105"/>
          <w:sz w:val="16"/>
        </w:rPr>
        <w:t xml:space="preserve"> </w:t>
      </w:r>
      <w:r>
        <w:rPr>
          <w:rFonts w:ascii="Arial"/>
          <w:color w:val="1F1F1F"/>
          <w:spacing w:val="-2"/>
          <w:w w:val="105"/>
          <w:sz w:val="16"/>
        </w:rPr>
        <w:t>Questionnaire</w:t>
      </w:r>
      <w:r>
        <w:rPr>
          <w:rFonts w:ascii="Arial"/>
          <w:color w:val="1F1F1F"/>
          <w:spacing w:val="1"/>
          <w:w w:val="105"/>
          <w:sz w:val="16"/>
        </w:rPr>
        <w:t xml:space="preserve"> </w:t>
      </w:r>
      <w:r>
        <w:rPr>
          <w:rFonts w:ascii="Arial"/>
          <w:color w:val="1F1F1F"/>
          <w:spacing w:val="-2"/>
          <w:w w:val="105"/>
          <w:sz w:val="16"/>
        </w:rPr>
        <w:t>Response (Exhibit</w:t>
      </w:r>
      <w:r>
        <w:rPr>
          <w:rFonts w:ascii="Arial"/>
          <w:color w:val="1F1F1F"/>
          <w:spacing w:val="2"/>
          <w:w w:val="105"/>
          <w:sz w:val="16"/>
        </w:rPr>
        <w:t xml:space="preserve"> </w:t>
      </w:r>
      <w:r>
        <w:rPr>
          <w:rFonts w:ascii="Arial"/>
          <w:color w:val="1F1F1F"/>
          <w:spacing w:val="-2"/>
          <w:w w:val="105"/>
          <w:sz w:val="16"/>
        </w:rPr>
        <w:t>AUS-73),</w:t>
      </w:r>
      <w:r>
        <w:rPr>
          <w:rFonts w:ascii="Arial"/>
          <w:color w:val="1F1F1F"/>
          <w:spacing w:val="-16"/>
          <w:w w:val="105"/>
          <w:sz w:val="16"/>
        </w:rPr>
        <w:t xml:space="preserve"> </w:t>
      </w:r>
      <w:r>
        <w:rPr>
          <w:rFonts w:ascii="Arial"/>
          <w:color w:val="1F1F1F"/>
          <w:spacing w:val="-2"/>
          <w:w w:val="105"/>
          <w:sz w:val="16"/>
        </w:rPr>
        <w:t>Section</w:t>
      </w:r>
      <w:r>
        <w:rPr>
          <w:rFonts w:ascii="Arial"/>
          <w:color w:val="1F1F1F"/>
          <w:spacing w:val="-5"/>
          <w:w w:val="105"/>
          <w:sz w:val="16"/>
        </w:rPr>
        <w:t xml:space="preserve"> </w:t>
      </w:r>
      <w:r>
        <w:rPr>
          <w:rFonts w:ascii="Arial"/>
          <w:color w:val="1F1F1F"/>
          <w:spacing w:val="-2"/>
          <w:w w:val="105"/>
          <w:sz w:val="16"/>
        </w:rPr>
        <w:t>2,</w:t>
      </w:r>
      <w:r>
        <w:rPr>
          <w:rFonts w:ascii="Arial"/>
          <w:color w:val="1F1F1F"/>
          <w:spacing w:val="-9"/>
          <w:w w:val="105"/>
          <w:sz w:val="16"/>
        </w:rPr>
        <w:t xml:space="preserve"> </w:t>
      </w:r>
      <w:r>
        <w:rPr>
          <w:rFonts w:ascii="Arial"/>
          <w:color w:val="1F1F1F"/>
          <w:spacing w:val="-2"/>
          <w:w w:val="105"/>
          <w:sz w:val="16"/>
        </w:rPr>
        <w:t>Questions</w:t>
      </w:r>
      <w:r>
        <w:rPr>
          <w:rFonts w:ascii="Arial"/>
          <w:color w:val="1F1F1F"/>
          <w:spacing w:val="5"/>
          <w:w w:val="105"/>
          <w:sz w:val="16"/>
        </w:rPr>
        <w:t xml:space="preserve"> </w:t>
      </w:r>
      <w:r>
        <w:rPr>
          <w:rFonts w:ascii="Arial"/>
          <w:color w:val="1F1F1F"/>
          <w:spacing w:val="-2"/>
          <w:w w:val="105"/>
          <w:sz w:val="16"/>
        </w:rPr>
        <w:t>4,</w:t>
      </w:r>
      <w:r>
        <w:rPr>
          <w:rFonts w:ascii="Arial"/>
          <w:color w:val="1F1F1F"/>
          <w:spacing w:val="-10"/>
          <w:w w:val="105"/>
          <w:sz w:val="16"/>
        </w:rPr>
        <w:t xml:space="preserve"> </w:t>
      </w:r>
      <w:r>
        <w:rPr>
          <w:rFonts w:ascii="Arial"/>
          <w:color w:val="1F1F1F"/>
          <w:spacing w:val="-2"/>
          <w:w w:val="105"/>
          <w:sz w:val="16"/>
        </w:rPr>
        <w:t>5,</w:t>
      </w:r>
      <w:r>
        <w:rPr>
          <w:rFonts w:ascii="Arial"/>
          <w:color w:val="1F1F1F"/>
          <w:spacing w:val="4"/>
          <w:w w:val="105"/>
          <w:sz w:val="16"/>
        </w:rPr>
        <w:t xml:space="preserve"> </w:t>
      </w:r>
      <w:r>
        <w:rPr>
          <w:rFonts w:ascii="Arial"/>
          <w:color w:val="1F1F1F"/>
          <w:spacing w:val="-2"/>
          <w:w w:val="105"/>
          <w:sz w:val="16"/>
        </w:rPr>
        <w:t>6,</w:t>
      </w:r>
      <w:r>
        <w:rPr>
          <w:rFonts w:ascii="Arial"/>
          <w:color w:val="1F1F1F"/>
          <w:spacing w:val="-1"/>
          <w:w w:val="105"/>
          <w:sz w:val="16"/>
        </w:rPr>
        <w:t xml:space="preserve"> </w:t>
      </w:r>
      <w:r>
        <w:rPr>
          <w:rFonts w:ascii="Arial"/>
          <w:color w:val="1F1F1F"/>
          <w:spacing w:val="-2"/>
          <w:w w:val="105"/>
          <w:sz w:val="16"/>
        </w:rPr>
        <w:t>pp.</w:t>
      </w:r>
      <w:r>
        <w:rPr>
          <w:rFonts w:ascii="Arial"/>
          <w:color w:val="1F1F1F"/>
          <w:spacing w:val="4"/>
          <w:w w:val="105"/>
          <w:sz w:val="16"/>
        </w:rPr>
        <w:t xml:space="preserve"> </w:t>
      </w:r>
      <w:r>
        <w:rPr>
          <w:rFonts w:ascii="Arial"/>
          <w:color w:val="0C0C0C"/>
          <w:spacing w:val="-2"/>
          <w:w w:val="105"/>
          <w:sz w:val="16"/>
        </w:rPr>
        <w:t>16-21;</w:t>
      </w:r>
      <w:r>
        <w:rPr>
          <w:rFonts w:ascii="Arial"/>
          <w:color w:val="0C0C0C"/>
          <w:spacing w:val="-13"/>
          <w:w w:val="105"/>
          <w:sz w:val="16"/>
        </w:rPr>
        <w:t xml:space="preserve"> </w:t>
      </w:r>
      <w:r>
        <w:rPr>
          <w:rFonts w:ascii="Arial"/>
          <w:color w:val="1F1F1F"/>
          <w:spacing w:val="-2"/>
          <w:w w:val="105"/>
          <w:sz w:val="16"/>
        </w:rPr>
        <w:t>Casella</w:t>
      </w:r>
    </w:p>
    <w:p w14:paraId="51DE8E8A" w14:textId="77777777" w:rsidR="0010369C" w:rsidRDefault="008E43AE">
      <w:pPr>
        <w:spacing w:line="295" w:lineRule="auto"/>
        <w:ind w:left="232" w:right="568" w:firstLine="10"/>
        <w:jc w:val="both"/>
        <w:rPr>
          <w:rFonts w:ascii="Arial"/>
          <w:sz w:val="16"/>
        </w:rPr>
      </w:pPr>
      <w:r>
        <w:rPr>
          <w:rFonts w:ascii="Arial"/>
          <w:color w:val="1F1F1F"/>
          <w:w w:val="105"/>
          <w:sz w:val="16"/>
        </w:rPr>
        <w:t>Wines Anti-Dumping Questionnaire Response (Exhibit AUS-72),</w:t>
      </w:r>
      <w:r>
        <w:rPr>
          <w:rFonts w:ascii="Arial"/>
          <w:color w:val="1F1F1F"/>
          <w:spacing w:val="-3"/>
          <w:w w:val="105"/>
          <w:sz w:val="16"/>
        </w:rPr>
        <w:t xml:space="preserve"> </w:t>
      </w:r>
      <w:r>
        <w:rPr>
          <w:rFonts w:ascii="Arial"/>
          <w:color w:val="1F1F1F"/>
          <w:w w:val="105"/>
          <w:sz w:val="16"/>
        </w:rPr>
        <w:t>Section 2, Questions 4, 5, 6, pp. 12-21;</w:t>
      </w:r>
      <w:r>
        <w:rPr>
          <w:rFonts w:ascii="Arial"/>
          <w:color w:val="1F1F1F"/>
          <w:spacing w:val="-5"/>
          <w:w w:val="105"/>
          <w:sz w:val="16"/>
        </w:rPr>
        <w:t xml:space="preserve"> </w:t>
      </w:r>
      <w:r>
        <w:rPr>
          <w:rFonts w:ascii="Arial"/>
          <w:color w:val="1F1F1F"/>
          <w:w w:val="105"/>
          <w:sz w:val="16"/>
        </w:rPr>
        <w:t xml:space="preserve">Treasury Wines </w:t>
      </w:r>
      <w:r>
        <w:rPr>
          <w:rFonts w:ascii="Arial"/>
          <w:color w:val="1F1F1F"/>
          <w:spacing w:val="-2"/>
          <w:w w:val="105"/>
          <w:sz w:val="16"/>
        </w:rPr>
        <w:t>Sampling</w:t>
      </w:r>
      <w:r>
        <w:rPr>
          <w:rFonts w:ascii="Arial"/>
          <w:color w:val="1F1F1F"/>
          <w:spacing w:val="-10"/>
          <w:w w:val="105"/>
          <w:sz w:val="16"/>
        </w:rPr>
        <w:t xml:space="preserve"> </w:t>
      </w:r>
      <w:r>
        <w:rPr>
          <w:rFonts w:ascii="Arial"/>
          <w:color w:val="1F1F1F"/>
          <w:spacing w:val="-2"/>
          <w:w w:val="105"/>
          <w:sz w:val="16"/>
        </w:rPr>
        <w:t>Questionnaire</w:t>
      </w:r>
      <w:r>
        <w:rPr>
          <w:rFonts w:ascii="Arial"/>
          <w:color w:val="1F1F1F"/>
          <w:spacing w:val="-10"/>
          <w:w w:val="105"/>
          <w:sz w:val="16"/>
        </w:rPr>
        <w:t xml:space="preserve"> </w:t>
      </w:r>
      <w:r>
        <w:rPr>
          <w:rFonts w:ascii="Arial"/>
          <w:color w:val="1F1F1F"/>
          <w:spacing w:val="-2"/>
          <w:w w:val="105"/>
          <w:sz w:val="16"/>
        </w:rPr>
        <w:t>Response</w:t>
      </w:r>
      <w:r>
        <w:rPr>
          <w:rFonts w:ascii="Arial"/>
          <w:color w:val="1F1F1F"/>
          <w:spacing w:val="-7"/>
          <w:w w:val="105"/>
          <w:sz w:val="16"/>
        </w:rPr>
        <w:t xml:space="preserve"> </w:t>
      </w:r>
      <w:r>
        <w:rPr>
          <w:rFonts w:ascii="Arial"/>
          <w:color w:val="1F1F1F"/>
          <w:spacing w:val="-2"/>
          <w:w w:val="105"/>
          <w:sz w:val="16"/>
        </w:rPr>
        <w:t>(Exhibit</w:t>
      </w:r>
      <w:r>
        <w:rPr>
          <w:rFonts w:ascii="Arial"/>
          <w:color w:val="1F1F1F"/>
          <w:spacing w:val="10"/>
          <w:w w:val="105"/>
          <w:sz w:val="16"/>
        </w:rPr>
        <w:t xml:space="preserve"> </w:t>
      </w:r>
      <w:r>
        <w:rPr>
          <w:rFonts w:ascii="Arial"/>
          <w:color w:val="1F1F1F"/>
          <w:spacing w:val="-2"/>
          <w:w w:val="105"/>
          <w:sz w:val="16"/>
        </w:rPr>
        <w:t>AUS-74),</w:t>
      </w:r>
      <w:r>
        <w:rPr>
          <w:rFonts w:ascii="Arial"/>
          <w:color w:val="1F1F1F"/>
          <w:spacing w:val="-10"/>
          <w:w w:val="105"/>
          <w:sz w:val="16"/>
        </w:rPr>
        <w:t xml:space="preserve"> </w:t>
      </w:r>
      <w:r>
        <w:rPr>
          <w:rFonts w:ascii="Arial"/>
          <w:color w:val="1F1F1F"/>
          <w:spacing w:val="-2"/>
          <w:w w:val="105"/>
          <w:sz w:val="16"/>
        </w:rPr>
        <w:t>Section 2,</w:t>
      </w:r>
      <w:r>
        <w:rPr>
          <w:rFonts w:ascii="Arial"/>
          <w:color w:val="1F1F1F"/>
          <w:spacing w:val="-7"/>
          <w:w w:val="105"/>
          <w:sz w:val="16"/>
        </w:rPr>
        <w:t xml:space="preserve"> </w:t>
      </w:r>
      <w:r>
        <w:rPr>
          <w:rFonts w:ascii="Arial"/>
          <w:color w:val="1F1F1F"/>
          <w:spacing w:val="-2"/>
          <w:w w:val="105"/>
          <w:sz w:val="16"/>
        </w:rPr>
        <w:t>Question</w:t>
      </w:r>
      <w:r>
        <w:rPr>
          <w:rFonts w:ascii="Arial"/>
          <w:color w:val="1F1F1F"/>
          <w:spacing w:val="-3"/>
          <w:w w:val="105"/>
          <w:sz w:val="16"/>
        </w:rPr>
        <w:t xml:space="preserve"> </w:t>
      </w:r>
      <w:r>
        <w:rPr>
          <w:rFonts w:ascii="Arial"/>
          <w:color w:val="1F1F1F"/>
          <w:spacing w:val="-2"/>
          <w:w w:val="105"/>
          <w:sz w:val="16"/>
        </w:rPr>
        <w:t xml:space="preserve">3, </w:t>
      </w:r>
      <w:r>
        <w:rPr>
          <w:rFonts w:ascii="Arial"/>
          <w:color w:val="0C0C0C"/>
          <w:spacing w:val="-2"/>
          <w:w w:val="105"/>
          <w:sz w:val="16"/>
        </w:rPr>
        <w:t>pp.</w:t>
      </w:r>
      <w:r>
        <w:rPr>
          <w:rFonts w:ascii="Arial"/>
          <w:color w:val="0C0C0C"/>
          <w:spacing w:val="-10"/>
          <w:w w:val="105"/>
          <w:sz w:val="16"/>
        </w:rPr>
        <w:t xml:space="preserve"> </w:t>
      </w:r>
      <w:r>
        <w:rPr>
          <w:rFonts w:ascii="Arial"/>
          <w:color w:val="1F1F1F"/>
          <w:spacing w:val="-2"/>
          <w:w w:val="105"/>
          <w:sz w:val="16"/>
        </w:rPr>
        <w:t>14-19;</w:t>
      </w:r>
      <w:r>
        <w:rPr>
          <w:rFonts w:ascii="Arial"/>
          <w:color w:val="1F1F1F"/>
          <w:spacing w:val="-10"/>
          <w:w w:val="105"/>
          <w:sz w:val="16"/>
        </w:rPr>
        <w:t xml:space="preserve"> </w:t>
      </w:r>
      <w:r>
        <w:rPr>
          <w:rFonts w:ascii="Arial"/>
          <w:color w:val="1F1F1F"/>
          <w:spacing w:val="-2"/>
          <w:w w:val="105"/>
          <w:sz w:val="16"/>
        </w:rPr>
        <w:t>casella</w:t>
      </w:r>
      <w:r>
        <w:rPr>
          <w:rFonts w:ascii="Arial"/>
          <w:color w:val="1F1F1F"/>
          <w:spacing w:val="10"/>
          <w:w w:val="105"/>
          <w:sz w:val="16"/>
        </w:rPr>
        <w:t xml:space="preserve"> </w:t>
      </w:r>
      <w:r>
        <w:rPr>
          <w:rFonts w:ascii="Arial"/>
          <w:color w:val="1F1F1F"/>
          <w:spacing w:val="-2"/>
          <w:w w:val="105"/>
          <w:sz w:val="16"/>
        </w:rPr>
        <w:t>Wines</w:t>
      </w:r>
      <w:r>
        <w:rPr>
          <w:rFonts w:ascii="Arial"/>
          <w:color w:val="1F1F1F"/>
          <w:spacing w:val="-10"/>
          <w:w w:val="105"/>
          <w:sz w:val="16"/>
        </w:rPr>
        <w:t xml:space="preserve"> </w:t>
      </w:r>
      <w:r>
        <w:rPr>
          <w:rFonts w:ascii="Arial"/>
          <w:color w:val="1F1F1F"/>
          <w:spacing w:val="-2"/>
          <w:w w:val="105"/>
          <w:sz w:val="16"/>
        </w:rPr>
        <w:t>Sampling</w:t>
      </w:r>
      <w:r>
        <w:rPr>
          <w:rFonts w:ascii="Arial"/>
          <w:color w:val="1F1F1F"/>
          <w:spacing w:val="-10"/>
          <w:w w:val="105"/>
          <w:sz w:val="16"/>
        </w:rPr>
        <w:t xml:space="preserve"> </w:t>
      </w:r>
      <w:r>
        <w:rPr>
          <w:rFonts w:ascii="Arial"/>
          <w:color w:val="1F1F1F"/>
          <w:spacing w:val="-2"/>
          <w:w w:val="105"/>
          <w:sz w:val="16"/>
        </w:rPr>
        <w:t xml:space="preserve">Questionnaire </w:t>
      </w:r>
      <w:r>
        <w:rPr>
          <w:rFonts w:ascii="Arial"/>
          <w:color w:val="1F1F1F"/>
          <w:w w:val="105"/>
          <w:sz w:val="16"/>
        </w:rPr>
        <w:t>Response</w:t>
      </w:r>
      <w:r>
        <w:rPr>
          <w:rFonts w:ascii="Arial"/>
          <w:color w:val="1F1F1F"/>
          <w:spacing w:val="-5"/>
          <w:w w:val="105"/>
          <w:sz w:val="16"/>
        </w:rPr>
        <w:t xml:space="preserve"> </w:t>
      </w:r>
      <w:r>
        <w:rPr>
          <w:rFonts w:ascii="Arial"/>
          <w:color w:val="1F1F1F"/>
          <w:w w:val="105"/>
          <w:sz w:val="16"/>
        </w:rPr>
        <w:t>(Exhibit</w:t>
      </w:r>
      <w:r>
        <w:rPr>
          <w:rFonts w:ascii="Arial"/>
          <w:color w:val="1F1F1F"/>
          <w:spacing w:val="-3"/>
          <w:w w:val="105"/>
          <w:sz w:val="16"/>
        </w:rPr>
        <w:t xml:space="preserve"> </w:t>
      </w:r>
      <w:r>
        <w:rPr>
          <w:rFonts w:ascii="Arial"/>
          <w:color w:val="1F1F1F"/>
          <w:w w:val="105"/>
          <w:sz w:val="16"/>
        </w:rPr>
        <w:t>AUS-75),</w:t>
      </w:r>
      <w:r>
        <w:rPr>
          <w:rFonts w:ascii="Arial"/>
          <w:color w:val="1F1F1F"/>
          <w:spacing w:val="-10"/>
          <w:w w:val="105"/>
          <w:sz w:val="16"/>
        </w:rPr>
        <w:t xml:space="preserve"> </w:t>
      </w:r>
      <w:r>
        <w:rPr>
          <w:rFonts w:ascii="Arial"/>
          <w:color w:val="1F1F1F"/>
          <w:w w:val="105"/>
          <w:sz w:val="16"/>
        </w:rPr>
        <w:t>Section</w:t>
      </w:r>
      <w:r>
        <w:rPr>
          <w:rFonts w:ascii="Arial"/>
          <w:color w:val="1F1F1F"/>
          <w:spacing w:val="-11"/>
          <w:w w:val="105"/>
          <w:sz w:val="16"/>
        </w:rPr>
        <w:t xml:space="preserve"> </w:t>
      </w:r>
      <w:r>
        <w:rPr>
          <w:rFonts w:ascii="Arial"/>
          <w:color w:val="1F1F1F"/>
          <w:w w:val="105"/>
          <w:sz w:val="16"/>
        </w:rPr>
        <w:t>2,</w:t>
      </w:r>
      <w:r>
        <w:rPr>
          <w:rFonts w:ascii="Arial"/>
          <w:color w:val="1F1F1F"/>
          <w:spacing w:val="-18"/>
          <w:w w:val="105"/>
          <w:sz w:val="16"/>
        </w:rPr>
        <w:t xml:space="preserve"> </w:t>
      </w:r>
      <w:r>
        <w:rPr>
          <w:rFonts w:ascii="Arial"/>
          <w:color w:val="1F1F1F"/>
          <w:w w:val="105"/>
          <w:sz w:val="16"/>
        </w:rPr>
        <w:t>Question</w:t>
      </w:r>
      <w:r>
        <w:rPr>
          <w:rFonts w:ascii="Arial"/>
          <w:color w:val="1F1F1F"/>
          <w:spacing w:val="-13"/>
          <w:w w:val="105"/>
          <w:sz w:val="16"/>
        </w:rPr>
        <w:t xml:space="preserve"> </w:t>
      </w:r>
      <w:r>
        <w:rPr>
          <w:rFonts w:ascii="Arial"/>
          <w:color w:val="1F1F1F"/>
          <w:w w:val="105"/>
          <w:sz w:val="16"/>
        </w:rPr>
        <w:t>3,</w:t>
      </w:r>
      <w:r>
        <w:rPr>
          <w:rFonts w:ascii="Arial"/>
          <w:color w:val="1F1F1F"/>
          <w:spacing w:val="-10"/>
          <w:w w:val="105"/>
          <w:sz w:val="16"/>
        </w:rPr>
        <w:t xml:space="preserve"> </w:t>
      </w:r>
      <w:r>
        <w:rPr>
          <w:rFonts w:ascii="Arial"/>
          <w:color w:val="1F1F1F"/>
          <w:w w:val="105"/>
          <w:sz w:val="16"/>
        </w:rPr>
        <w:t>pp.</w:t>
      </w:r>
      <w:r>
        <w:rPr>
          <w:rFonts w:ascii="Arial"/>
          <w:color w:val="1F1F1F"/>
          <w:spacing w:val="-7"/>
          <w:w w:val="105"/>
          <w:sz w:val="16"/>
        </w:rPr>
        <w:t xml:space="preserve"> </w:t>
      </w:r>
      <w:r>
        <w:rPr>
          <w:rFonts w:ascii="Arial"/>
          <w:color w:val="1F1F1F"/>
          <w:w w:val="105"/>
          <w:sz w:val="16"/>
        </w:rPr>
        <w:t>16-19.</w:t>
      </w:r>
    </w:p>
    <w:p w14:paraId="51DE8E8B" w14:textId="77777777" w:rsidR="0010369C" w:rsidRDefault="008E43AE">
      <w:pPr>
        <w:pStyle w:val="BodyText"/>
        <w:ind w:left="224"/>
        <w:rPr>
          <w:rFonts w:ascii="Arial"/>
          <w:sz w:val="20"/>
        </w:rPr>
      </w:pPr>
      <w:r>
        <w:rPr>
          <w:rFonts w:ascii="Arial"/>
          <w:sz w:val="20"/>
        </w:rPr>
      </w:r>
      <w:r>
        <w:rPr>
          <w:rFonts w:ascii="Arial"/>
          <w:sz w:val="20"/>
        </w:rPr>
        <w:pict w14:anchorId="51DEA48C">
          <v:group id="docshapegroup1043" o:spid="_x0000_s1332" style="width:456.55pt;height:133.35pt;mso-position-horizontal-relative:char;mso-position-vertical-relative:line" coordsize="9131,2667">
            <v:shape id="docshape1044" o:spid="_x0000_s1335" type="#_x0000_t75" style="position:absolute;width:9131;height:2667">
              <v:imagedata r:id="rId766" o:title=""/>
            </v:shape>
            <v:shape id="docshape1045" o:spid="_x0000_s1334" type="#_x0000_t202" style="position:absolute;left:6770;top:46;width:1666;height:582" filled="f" stroked="f">
              <v:textbox inset="0,0,0,0">
                <w:txbxContent>
                  <w:p w14:paraId="51DEAC78" w14:textId="77777777" w:rsidR="0010369C" w:rsidRDefault="008E43AE">
                    <w:pPr>
                      <w:spacing w:before="15" w:line="208" w:lineRule="auto"/>
                      <w:ind w:left="23" w:hanging="24"/>
                      <w:rPr>
                        <w:rFonts w:ascii="Arial"/>
                        <w:sz w:val="17"/>
                      </w:rPr>
                    </w:pPr>
                    <w:r>
                      <w:rPr>
                        <w:rFonts w:ascii="Arial"/>
                        <w:b/>
                        <w:color w:val="1F1F1F"/>
                        <w:w w:val="90"/>
                        <w:sz w:val="17"/>
                      </w:rPr>
                      <w:t>Exhibit AUS-76</w:t>
                    </w:r>
                    <w:r>
                      <w:rPr>
                        <w:rFonts w:ascii="Arial"/>
                        <w:b/>
                        <w:color w:val="1F1F1F"/>
                        <w:spacing w:val="-2"/>
                        <w:w w:val="90"/>
                        <w:sz w:val="17"/>
                      </w:rPr>
                      <w:t xml:space="preserve"> </w:t>
                    </w:r>
                    <w:r>
                      <w:rPr>
                        <w:rFonts w:ascii="Arial"/>
                        <w:b/>
                        <w:color w:val="1F1F1F"/>
                        <w:w w:val="90"/>
                        <w:sz w:val="17"/>
                      </w:rPr>
                      <w:t xml:space="preserve">{BCI)), </w:t>
                    </w:r>
                    <w:r>
                      <w:rPr>
                        <w:rFonts w:ascii="Arial"/>
                        <w:b/>
                        <w:color w:val="1F1F1F"/>
                        <w:spacing w:val="-2"/>
                        <w:w w:val="90"/>
                        <w:sz w:val="17"/>
                      </w:rPr>
                      <w:t>(Exhibit</w:t>
                    </w:r>
                    <w:r>
                      <w:rPr>
                        <w:rFonts w:ascii="Arial"/>
                        <w:b/>
                        <w:color w:val="1F1F1F"/>
                        <w:spacing w:val="-7"/>
                        <w:w w:val="90"/>
                        <w:sz w:val="17"/>
                      </w:rPr>
                      <w:t xml:space="preserve"> </w:t>
                    </w:r>
                    <w:r>
                      <w:rPr>
                        <w:rFonts w:ascii="Arial"/>
                        <w:b/>
                        <w:color w:val="1F1F1F"/>
                        <w:spacing w:val="-2"/>
                        <w:w w:val="90"/>
                        <w:sz w:val="17"/>
                      </w:rPr>
                      <w:t>AUS-10</w:t>
                    </w:r>
                    <w:r>
                      <w:rPr>
                        <w:rFonts w:ascii="Arial"/>
                        <w:b/>
                        <w:color w:val="1F1F1F"/>
                        <w:spacing w:val="-13"/>
                        <w:w w:val="90"/>
                        <w:sz w:val="17"/>
                      </w:rPr>
                      <w:t xml:space="preserve"> </w:t>
                    </w:r>
                    <w:r>
                      <w:rPr>
                        <w:rFonts w:ascii="Arial"/>
                        <w:b/>
                        <w:color w:val="1F1F1F"/>
                        <w:spacing w:val="-2"/>
                        <w:w w:val="90"/>
                        <w:sz w:val="17"/>
                      </w:rPr>
                      <w:t>{BCI)</w:t>
                    </w:r>
                    <w:r>
                      <w:rPr>
                        <w:rFonts w:ascii="Arial"/>
                        <w:b/>
                        <w:color w:val="1F1F1F"/>
                        <w:spacing w:val="-7"/>
                        <w:w w:val="90"/>
                        <w:sz w:val="17"/>
                      </w:rPr>
                      <w:t xml:space="preserve"> </w:t>
                    </w:r>
                    <w:r>
                      <w:rPr>
                        <w:rFonts w:ascii="Arial"/>
                        <w:color w:val="3D3D3D"/>
                        <w:spacing w:val="-10"/>
                        <w:w w:val="90"/>
                        <w:sz w:val="17"/>
                      </w:rPr>
                      <w:t>,</w:t>
                    </w:r>
                  </w:p>
                  <w:p w14:paraId="51DEAC79" w14:textId="77777777" w:rsidR="0010369C" w:rsidRDefault="008E43AE">
                    <w:pPr>
                      <w:spacing w:before="30"/>
                      <w:ind w:left="120"/>
                      <w:rPr>
                        <w:rFonts w:ascii="Arial"/>
                        <w:b/>
                        <w:sz w:val="17"/>
                      </w:rPr>
                    </w:pPr>
                    <w:r>
                      <w:rPr>
                        <w:rFonts w:ascii="Arial"/>
                        <w:b/>
                        <w:color w:val="1F1F1F"/>
                        <w:w w:val="90"/>
                        <w:sz w:val="17"/>
                        <w:u w:val="thick" w:color="0C0C0C"/>
                      </w:rPr>
                      <w:t>Exhibit</w:t>
                    </w:r>
                    <w:r>
                      <w:rPr>
                        <w:rFonts w:ascii="Arial"/>
                        <w:b/>
                        <w:color w:val="1F1F1F"/>
                        <w:spacing w:val="-9"/>
                        <w:w w:val="90"/>
                        <w:sz w:val="17"/>
                        <w:u w:val="thick" w:color="0C0C0C"/>
                      </w:rPr>
                      <w:t xml:space="preserve"> </w:t>
                    </w:r>
                    <w:r>
                      <w:rPr>
                        <w:rFonts w:ascii="Arial"/>
                        <w:b/>
                        <w:color w:val="1F1F1F"/>
                        <w:w w:val="90"/>
                        <w:sz w:val="17"/>
                        <w:u w:val="thick" w:color="0C0C0C"/>
                      </w:rPr>
                      <w:t>AUS-37</w:t>
                    </w:r>
                    <w:r>
                      <w:rPr>
                        <w:rFonts w:ascii="Arial"/>
                        <w:b/>
                        <w:color w:val="1F1F1F"/>
                        <w:spacing w:val="7"/>
                        <w:sz w:val="17"/>
                        <w:u w:val="thick" w:color="0C0C0C"/>
                      </w:rPr>
                      <w:t xml:space="preserve"> </w:t>
                    </w:r>
                    <w:r>
                      <w:rPr>
                        <w:rFonts w:ascii="Arial"/>
                        <w:b/>
                        <w:color w:val="0C0C0C"/>
                        <w:spacing w:val="-5"/>
                        <w:w w:val="90"/>
                        <w:sz w:val="17"/>
                        <w:u w:val="thick" w:color="0C0C0C"/>
                      </w:rPr>
                      <w:t>BC</w:t>
                    </w:r>
                    <w:r>
                      <w:rPr>
                        <w:rFonts w:ascii="Arial"/>
                        <w:b/>
                        <w:color w:val="0C0C0C"/>
                        <w:spacing w:val="-5"/>
                        <w:w w:val="90"/>
                        <w:sz w:val="17"/>
                      </w:rPr>
                      <w:t>I</w:t>
                    </w:r>
                  </w:p>
                </w:txbxContent>
              </v:textbox>
            </v:shape>
            <v:shape id="docshape1046" o:spid="_x0000_s1333" type="#_x0000_t202" style="position:absolute;left:7054;top:1889;width:2050;height:650" filled="f" stroked="f">
              <v:textbox inset="0,0,0,0">
                <w:txbxContent>
                  <w:p w14:paraId="51DEAC7A" w14:textId="77777777" w:rsidR="0010369C" w:rsidRDefault="008E43AE">
                    <w:pPr>
                      <w:spacing w:line="649" w:lineRule="exact"/>
                      <w:rPr>
                        <w:rFonts w:ascii="Arial" w:hAnsi="Arial"/>
                        <w:sz w:val="58"/>
                      </w:rPr>
                    </w:pPr>
                    <w:r>
                      <w:rPr>
                        <w:rFonts w:ascii="Arial" w:hAnsi="Arial"/>
                        <w:b/>
                        <w:color w:val="1F1F1F"/>
                        <w:w w:val="90"/>
                        <w:sz w:val="17"/>
                      </w:rPr>
                      <w:t>(Exhibit</w:t>
                    </w:r>
                    <w:r>
                      <w:rPr>
                        <w:rFonts w:ascii="Arial" w:hAnsi="Arial"/>
                        <w:b/>
                        <w:color w:val="1F1F1F"/>
                        <w:spacing w:val="19"/>
                        <w:sz w:val="17"/>
                      </w:rPr>
                      <w:t xml:space="preserve"> </w:t>
                    </w:r>
                    <w:r>
                      <w:rPr>
                        <w:rFonts w:ascii="Arial" w:hAnsi="Arial"/>
                        <w:b/>
                        <w:color w:val="1F1F1F"/>
                        <w:w w:val="90"/>
                        <w:sz w:val="17"/>
                      </w:rPr>
                      <w:t>AUS-10</w:t>
                    </w:r>
                    <w:r>
                      <w:rPr>
                        <w:rFonts w:ascii="Arial" w:hAnsi="Arial"/>
                        <w:b/>
                        <w:color w:val="1F1F1F"/>
                        <w:spacing w:val="19"/>
                        <w:sz w:val="17"/>
                      </w:rPr>
                      <w:t xml:space="preserve"> </w:t>
                    </w:r>
                    <w:r>
                      <w:rPr>
                        <w:rFonts w:ascii="Arial" w:hAnsi="Arial"/>
                        <w:b/>
                        <w:color w:val="1F1F1F"/>
                        <w:spacing w:val="-2"/>
                        <w:w w:val="90"/>
                        <w:sz w:val="17"/>
                      </w:rPr>
                      <w:t>(BCI)),</w:t>
                    </w:r>
                    <w:r>
                      <w:rPr>
                        <w:rFonts w:ascii="Arial" w:hAnsi="Arial"/>
                        <w:color w:val="0C0C0C"/>
                        <w:spacing w:val="-2"/>
                        <w:w w:val="90"/>
                        <w:sz w:val="58"/>
                      </w:rPr>
                      <w:t>■</w:t>
                    </w:r>
                  </w:p>
                </w:txbxContent>
              </v:textbox>
            </v:shape>
            <w10:anchorlock/>
          </v:group>
        </w:pict>
      </w:r>
    </w:p>
    <w:p w14:paraId="51DE8E8C" w14:textId="77777777" w:rsidR="0010369C" w:rsidRDefault="0010369C">
      <w:pPr>
        <w:rPr>
          <w:rFonts w:ascii="Arial"/>
          <w:sz w:val="20"/>
        </w:rPr>
        <w:sectPr w:rsidR="0010369C">
          <w:headerReference w:type="default" r:id="rId767"/>
          <w:footerReference w:type="default" r:id="rId768"/>
          <w:pgSz w:w="11910" w:h="16840"/>
          <w:pgMar w:top="820" w:right="800" w:bottom="1000" w:left="1180" w:header="491" w:footer="805" w:gutter="0"/>
          <w:cols w:space="720"/>
        </w:sectPr>
      </w:pPr>
    </w:p>
    <w:p w14:paraId="51DE8E8D" w14:textId="77777777" w:rsidR="0010369C" w:rsidRDefault="008E43AE">
      <w:pPr>
        <w:spacing w:before="3" w:line="285" w:lineRule="auto"/>
        <w:ind w:left="239" w:hanging="8"/>
        <w:rPr>
          <w:rFonts w:ascii="Arial"/>
          <w:sz w:val="18"/>
        </w:rPr>
      </w:pPr>
      <w:r>
        <w:rPr>
          <w:rFonts w:ascii="Times New Roman"/>
          <w:i/>
          <w:color w:val="262626"/>
          <w:w w:val="105"/>
          <w:sz w:val="19"/>
        </w:rPr>
        <w:lastRenderedPageBreak/>
        <w:t>China</w:t>
      </w:r>
      <w:r>
        <w:rPr>
          <w:rFonts w:ascii="Times New Roman"/>
          <w:i/>
          <w:color w:val="262626"/>
          <w:spacing w:val="-13"/>
          <w:w w:val="105"/>
          <w:sz w:val="19"/>
        </w:rPr>
        <w:t xml:space="preserve"> </w:t>
      </w:r>
      <w:r>
        <w:rPr>
          <w:rFonts w:ascii="Times New Roman"/>
          <w:color w:val="080808"/>
          <w:w w:val="105"/>
          <w:sz w:val="19"/>
        </w:rPr>
        <w:t>-</w:t>
      </w:r>
      <w:r>
        <w:rPr>
          <w:rFonts w:ascii="Times New Roman"/>
          <w:color w:val="080808"/>
          <w:spacing w:val="11"/>
          <w:w w:val="105"/>
          <w:sz w:val="19"/>
        </w:rPr>
        <w:t xml:space="preserve"> </w:t>
      </w:r>
      <w:r>
        <w:rPr>
          <w:rFonts w:ascii="Times New Roman"/>
          <w:i/>
          <w:color w:val="262626"/>
          <w:w w:val="105"/>
          <w:sz w:val="19"/>
        </w:rPr>
        <w:t>Anti-Dumping</w:t>
      </w:r>
      <w:r>
        <w:rPr>
          <w:rFonts w:ascii="Times New Roman"/>
          <w:i/>
          <w:color w:val="262626"/>
          <w:spacing w:val="-12"/>
          <w:w w:val="105"/>
          <w:sz w:val="19"/>
        </w:rPr>
        <w:t xml:space="preserve"> </w:t>
      </w:r>
      <w:r>
        <w:rPr>
          <w:rFonts w:ascii="Times New Roman"/>
          <w:i/>
          <w:color w:val="262626"/>
          <w:w w:val="105"/>
          <w:sz w:val="19"/>
        </w:rPr>
        <w:t>and</w:t>
      </w:r>
      <w:r>
        <w:rPr>
          <w:rFonts w:ascii="Times New Roman"/>
          <w:i/>
          <w:color w:val="262626"/>
          <w:spacing w:val="-12"/>
          <w:w w:val="105"/>
          <w:sz w:val="19"/>
        </w:rPr>
        <w:t xml:space="preserve"> </w:t>
      </w:r>
      <w:r>
        <w:rPr>
          <w:rFonts w:ascii="Times New Roman"/>
          <w:i/>
          <w:color w:val="262626"/>
          <w:w w:val="105"/>
          <w:sz w:val="19"/>
        </w:rPr>
        <w:t>Countervailing</w:t>
      </w:r>
      <w:r>
        <w:rPr>
          <w:rFonts w:ascii="Times New Roman"/>
          <w:i/>
          <w:color w:val="262626"/>
          <w:spacing w:val="-13"/>
          <w:w w:val="105"/>
          <w:sz w:val="19"/>
        </w:rPr>
        <w:t xml:space="preserve"> </w:t>
      </w:r>
      <w:r>
        <w:rPr>
          <w:rFonts w:ascii="Times New Roman"/>
          <w:i/>
          <w:color w:val="262626"/>
          <w:w w:val="105"/>
          <w:sz w:val="19"/>
        </w:rPr>
        <w:t>Duty</w:t>
      </w:r>
      <w:r>
        <w:rPr>
          <w:rFonts w:ascii="Times New Roman"/>
          <w:i/>
          <w:color w:val="262626"/>
          <w:spacing w:val="-13"/>
          <w:w w:val="105"/>
          <w:sz w:val="19"/>
        </w:rPr>
        <w:t xml:space="preserve"> </w:t>
      </w:r>
      <w:r>
        <w:rPr>
          <w:rFonts w:ascii="Times New Roman"/>
          <w:i/>
          <w:color w:val="262626"/>
          <w:w w:val="105"/>
          <w:sz w:val="19"/>
        </w:rPr>
        <w:t xml:space="preserve">Measures on Wine from Australia </w:t>
      </w:r>
      <w:r>
        <w:rPr>
          <w:rFonts w:ascii="Arial"/>
          <w:color w:val="262626"/>
          <w:w w:val="105"/>
          <w:sz w:val="18"/>
        </w:rPr>
        <w:t>(D5602)</w:t>
      </w:r>
    </w:p>
    <w:p w14:paraId="51DE8E8E" w14:textId="77777777" w:rsidR="0010369C" w:rsidRDefault="008E43AE">
      <w:pPr>
        <w:spacing w:before="11"/>
        <w:ind w:right="586"/>
        <w:jc w:val="right"/>
        <w:rPr>
          <w:rFonts w:ascii="Arial"/>
          <w:sz w:val="18"/>
        </w:rPr>
      </w:pPr>
      <w:r>
        <w:br w:type="column"/>
      </w:r>
      <w:r>
        <w:rPr>
          <w:rFonts w:ascii="Arial"/>
          <w:color w:val="262626"/>
          <w:sz w:val="18"/>
        </w:rPr>
        <w:t>Australia's</w:t>
      </w:r>
      <w:r>
        <w:rPr>
          <w:rFonts w:ascii="Arial"/>
          <w:color w:val="262626"/>
          <w:spacing w:val="22"/>
          <w:sz w:val="18"/>
        </w:rPr>
        <w:t xml:space="preserve"> </w:t>
      </w:r>
      <w:r>
        <w:rPr>
          <w:rFonts w:ascii="Arial"/>
          <w:color w:val="262626"/>
          <w:sz w:val="18"/>
        </w:rPr>
        <w:t>First</w:t>
      </w:r>
      <w:r>
        <w:rPr>
          <w:rFonts w:ascii="Arial"/>
          <w:color w:val="262626"/>
          <w:spacing w:val="18"/>
          <w:sz w:val="18"/>
        </w:rPr>
        <w:t xml:space="preserve"> </w:t>
      </w:r>
      <w:r>
        <w:rPr>
          <w:rFonts w:ascii="Arial"/>
          <w:color w:val="262626"/>
          <w:sz w:val="18"/>
        </w:rPr>
        <w:t>Written</w:t>
      </w:r>
      <w:r>
        <w:rPr>
          <w:rFonts w:ascii="Arial"/>
          <w:color w:val="262626"/>
          <w:spacing w:val="8"/>
          <w:sz w:val="18"/>
        </w:rPr>
        <w:t xml:space="preserve"> </w:t>
      </w:r>
      <w:r>
        <w:rPr>
          <w:rFonts w:ascii="Arial"/>
          <w:color w:val="262626"/>
          <w:spacing w:val="-2"/>
          <w:sz w:val="18"/>
        </w:rPr>
        <w:t>Submission</w:t>
      </w:r>
    </w:p>
    <w:p w14:paraId="51DE8E8F" w14:textId="77777777" w:rsidR="0010369C" w:rsidRDefault="008E43AE">
      <w:pPr>
        <w:spacing w:before="44"/>
        <w:ind w:right="573"/>
        <w:jc w:val="right"/>
        <w:rPr>
          <w:rFonts w:ascii="Arial"/>
          <w:sz w:val="18"/>
        </w:rPr>
      </w:pPr>
      <w:r>
        <w:rPr>
          <w:rFonts w:ascii="Arial"/>
          <w:color w:val="262626"/>
          <w:w w:val="105"/>
          <w:sz w:val="18"/>
        </w:rPr>
        <w:t>29</w:t>
      </w:r>
      <w:r>
        <w:rPr>
          <w:rFonts w:ascii="Arial"/>
          <w:color w:val="262626"/>
          <w:spacing w:val="-12"/>
          <w:w w:val="105"/>
          <w:sz w:val="18"/>
        </w:rPr>
        <w:t xml:space="preserve"> </w:t>
      </w:r>
      <w:r>
        <w:rPr>
          <w:rFonts w:ascii="Arial"/>
          <w:color w:val="262626"/>
          <w:w w:val="105"/>
          <w:sz w:val="18"/>
        </w:rPr>
        <w:t>April</w:t>
      </w:r>
      <w:r>
        <w:rPr>
          <w:rFonts w:ascii="Arial"/>
          <w:color w:val="262626"/>
          <w:spacing w:val="-6"/>
          <w:w w:val="105"/>
          <w:sz w:val="18"/>
        </w:rPr>
        <w:t xml:space="preserve"> </w:t>
      </w:r>
      <w:r>
        <w:rPr>
          <w:rFonts w:ascii="Arial"/>
          <w:color w:val="262626"/>
          <w:spacing w:val="-4"/>
          <w:w w:val="105"/>
          <w:sz w:val="18"/>
        </w:rPr>
        <w:t>2022</w:t>
      </w:r>
    </w:p>
    <w:p w14:paraId="51DE8E90" w14:textId="77777777" w:rsidR="0010369C" w:rsidRDefault="0010369C">
      <w:pPr>
        <w:jc w:val="right"/>
        <w:rPr>
          <w:rFonts w:ascii="Arial"/>
          <w:sz w:val="18"/>
        </w:rPr>
        <w:sectPr w:rsidR="0010369C">
          <w:pgSz w:w="11910" w:h="16840"/>
          <w:pgMar w:top="820" w:right="800" w:bottom="1020" w:left="1180" w:header="491" w:footer="805" w:gutter="0"/>
          <w:cols w:num="2" w:space="720" w:equalWidth="0">
            <w:col w:w="4921" w:space="1293"/>
            <w:col w:w="3716"/>
          </w:cols>
        </w:sectPr>
      </w:pPr>
    </w:p>
    <w:p w14:paraId="51DE8E91" w14:textId="77777777" w:rsidR="0010369C" w:rsidRDefault="0010369C">
      <w:pPr>
        <w:pStyle w:val="BodyText"/>
        <w:spacing w:before="5"/>
        <w:rPr>
          <w:rFonts w:ascii="Arial"/>
          <w:sz w:val="2"/>
        </w:rPr>
      </w:pPr>
    </w:p>
    <w:p w14:paraId="51DE8E92" w14:textId="77777777" w:rsidR="0010369C" w:rsidRDefault="008E43AE">
      <w:pPr>
        <w:pStyle w:val="BodyText"/>
        <w:ind w:left="1930"/>
        <w:rPr>
          <w:rFonts w:ascii="Arial"/>
          <w:sz w:val="20"/>
        </w:rPr>
      </w:pPr>
      <w:r>
        <w:rPr>
          <w:rFonts w:ascii="Arial"/>
          <w:noProof/>
          <w:sz w:val="20"/>
        </w:rPr>
        <w:drawing>
          <wp:inline distT="0" distB="0" distL="0" distR="0" wp14:anchorId="51DEA48D" wp14:editId="51DEA48E">
            <wp:extent cx="4714364" cy="1876234"/>
            <wp:effectExtent l="0" t="0" r="0" b="0"/>
            <wp:docPr id="1145" name="image5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 name="image585.png"/>
                    <pic:cNvPicPr/>
                  </pic:nvPicPr>
                  <pic:blipFill>
                    <a:blip r:embed="rId769" cstate="print"/>
                    <a:stretch>
                      <a:fillRect/>
                    </a:stretch>
                  </pic:blipFill>
                  <pic:spPr>
                    <a:xfrm>
                      <a:off x="0" y="0"/>
                      <a:ext cx="4714364" cy="1876234"/>
                    </a:xfrm>
                    <a:prstGeom prst="rect">
                      <a:avLst/>
                    </a:prstGeom>
                  </pic:spPr>
                </pic:pic>
              </a:graphicData>
            </a:graphic>
          </wp:inline>
        </w:drawing>
      </w:r>
    </w:p>
    <w:p w14:paraId="51DE8E93" w14:textId="77777777" w:rsidR="0010369C" w:rsidRDefault="0010369C">
      <w:pPr>
        <w:pStyle w:val="BodyText"/>
        <w:spacing w:before="1"/>
        <w:rPr>
          <w:rFonts w:ascii="Arial"/>
          <w:sz w:val="8"/>
        </w:rPr>
      </w:pPr>
    </w:p>
    <w:p w14:paraId="51DE8E94" w14:textId="77777777" w:rsidR="0010369C" w:rsidRDefault="008E43AE">
      <w:pPr>
        <w:spacing w:before="85"/>
        <w:ind w:left="1087"/>
        <w:rPr>
          <w:rFonts w:ascii="Times New Roman" w:hAnsi="Times New Roman"/>
          <w:sz w:val="37"/>
        </w:rPr>
      </w:pPr>
      <w:r>
        <w:rPr>
          <w:noProof/>
        </w:rPr>
        <w:drawing>
          <wp:anchor distT="0" distB="0" distL="0" distR="0" simplePos="0" relativeHeight="250675712" behindDoc="0" locked="0" layoutInCell="1" allowOverlap="1" wp14:anchorId="51DEA48F" wp14:editId="51DEA490">
            <wp:simplePos x="0" y="0"/>
            <wp:positionH relativeFrom="page">
              <wp:posOffset>1975117</wp:posOffset>
            </wp:positionH>
            <wp:positionV relativeFrom="paragraph">
              <wp:posOffset>101465</wp:posOffset>
            </wp:positionV>
            <wp:extent cx="4702052" cy="2724255"/>
            <wp:effectExtent l="0" t="0" r="0" b="0"/>
            <wp:wrapNone/>
            <wp:docPr id="1147" name="image5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 name="image586.png"/>
                    <pic:cNvPicPr/>
                  </pic:nvPicPr>
                  <pic:blipFill>
                    <a:blip r:embed="rId770" cstate="print"/>
                    <a:stretch>
                      <a:fillRect/>
                    </a:stretch>
                  </pic:blipFill>
                  <pic:spPr>
                    <a:xfrm>
                      <a:off x="0" y="0"/>
                      <a:ext cx="4702052" cy="2724255"/>
                    </a:xfrm>
                    <a:prstGeom prst="rect">
                      <a:avLst/>
                    </a:prstGeom>
                  </pic:spPr>
                </pic:pic>
              </a:graphicData>
            </a:graphic>
          </wp:anchor>
        </w:drawing>
      </w:r>
      <w:r>
        <w:rPr>
          <w:rFonts w:ascii="Times New Roman" w:hAnsi="Times New Roman"/>
          <w:color w:val="080808"/>
          <w:w w:val="108"/>
          <w:sz w:val="37"/>
        </w:rPr>
        <w:t>•</w:t>
      </w:r>
    </w:p>
    <w:p w14:paraId="51DE8E95" w14:textId="77777777" w:rsidR="0010369C" w:rsidRDefault="0010369C">
      <w:pPr>
        <w:pStyle w:val="BodyText"/>
        <w:rPr>
          <w:rFonts w:ascii="Times New Roman"/>
          <w:sz w:val="20"/>
        </w:rPr>
      </w:pPr>
    </w:p>
    <w:p w14:paraId="51DE8E96" w14:textId="77777777" w:rsidR="0010369C" w:rsidRDefault="0010369C">
      <w:pPr>
        <w:pStyle w:val="BodyText"/>
        <w:rPr>
          <w:rFonts w:ascii="Times New Roman"/>
          <w:sz w:val="20"/>
        </w:rPr>
      </w:pPr>
    </w:p>
    <w:p w14:paraId="51DE8E97" w14:textId="77777777" w:rsidR="0010369C" w:rsidRDefault="0010369C">
      <w:pPr>
        <w:pStyle w:val="BodyText"/>
        <w:rPr>
          <w:rFonts w:ascii="Times New Roman"/>
          <w:sz w:val="20"/>
        </w:rPr>
      </w:pPr>
    </w:p>
    <w:p w14:paraId="51DE8E98" w14:textId="77777777" w:rsidR="0010369C" w:rsidRDefault="0010369C">
      <w:pPr>
        <w:pStyle w:val="BodyText"/>
        <w:rPr>
          <w:rFonts w:ascii="Times New Roman"/>
          <w:sz w:val="20"/>
        </w:rPr>
      </w:pPr>
    </w:p>
    <w:p w14:paraId="51DE8E99" w14:textId="77777777" w:rsidR="0010369C" w:rsidRDefault="0010369C">
      <w:pPr>
        <w:pStyle w:val="BodyText"/>
        <w:rPr>
          <w:rFonts w:ascii="Times New Roman"/>
          <w:sz w:val="20"/>
        </w:rPr>
      </w:pPr>
    </w:p>
    <w:p w14:paraId="51DE8E9A" w14:textId="77777777" w:rsidR="0010369C" w:rsidRDefault="0010369C">
      <w:pPr>
        <w:pStyle w:val="BodyText"/>
        <w:rPr>
          <w:rFonts w:ascii="Times New Roman"/>
          <w:sz w:val="20"/>
        </w:rPr>
      </w:pPr>
    </w:p>
    <w:p w14:paraId="51DE8E9B" w14:textId="77777777" w:rsidR="0010369C" w:rsidRDefault="0010369C">
      <w:pPr>
        <w:pStyle w:val="BodyText"/>
        <w:rPr>
          <w:rFonts w:ascii="Times New Roman"/>
          <w:sz w:val="20"/>
        </w:rPr>
      </w:pPr>
    </w:p>
    <w:p w14:paraId="51DE8E9C" w14:textId="77777777" w:rsidR="0010369C" w:rsidRDefault="0010369C">
      <w:pPr>
        <w:pStyle w:val="BodyText"/>
        <w:rPr>
          <w:rFonts w:ascii="Times New Roman"/>
          <w:sz w:val="20"/>
        </w:rPr>
      </w:pPr>
    </w:p>
    <w:p w14:paraId="51DE8E9D" w14:textId="77777777" w:rsidR="0010369C" w:rsidRDefault="0010369C">
      <w:pPr>
        <w:pStyle w:val="BodyText"/>
        <w:rPr>
          <w:rFonts w:ascii="Times New Roman"/>
          <w:sz w:val="20"/>
        </w:rPr>
      </w:pPr>
    </w:p>
    <w:p w14:paraId="51DE8E9E" w14:textId="77777777" w:rsidR="0010369C" w:rsidRDefault="0010369C">
      <w:pPr>
        <w:pStyle w:val="BodyText"/>
        <w:rPr>
          <w:rFonts w:ascii="Times New Roman"/>
          <w:sz w:val="20"/>
        </w:rPr>
      </w:pPr>
    </w:p>
    <w:p w14:paraId="51DE8E9F" w14:textId="77777777" w:rsidR="0010369C" w:rsidRDefault="0010369C">
      <w:pPr>
        <w:pStyle w:val="BodyText"/>
        <w:rPr>
          <w:rFonts w:ascii="Times New Roman"/>
          <w:sz w:val="20"/>
        </w:rPr>
      </w:pPr>
    </w:p>
    <w:p w14:paraId="51DE8EA0" w14:textId="77777777" w:rsidR="0010369C" w:rsidRDefault="0010369C">
      <w:pPr>
        <w:pStyle w:val="BodyText"/>
        <w:rPr>
          <w:rFonts w:ascii="Times New Roman"/>
          <w:sz w:val="20"/>
        </w:rPr>
      </w:pPr>
    </w:p>
    <w:p w14:paraId="51DE8EA1" w14:textId="77777777" w:rsidR="0010369C" w:rsidRDefault="0010369C">
      <w:pPr>
        <w:pStyle w:val="BodyText"/>
        <w:rPr>
          <w:rFonts w:ascii="Times New Roman"/>
          <w:sz w:val="20"/>
        </w:rPr>
      </w:pPr>
    </w:p>
    <w:p w14:paraId="51DE8EA2" w14:textId="77777777" w:rsidR="0010369C" w:rsidRDefault="0010369C">
      <w:pPr>
        <w:pStyle w:val="BodyText"/>
        <w:rPr>
          <w:rFonts w:ascii="Times New Roman"/>
          <w:sz w:val="20"/>
        </w:rPr>
      </w:pPr>
    </w:p>
    <w:p w14:paraId="51DE8EA3" w14:textId="77777777" w:rsidR="0010369C" w:rsidRDefault="0010369C">
      <w:pPr>
        <w:pStyle w:val="BodyText"/>
        <w:rPr>
          <w:rFonts w:ascii="Times New Roman"/>
          <w:sz w:val="20"/>
        </w:rPr>
      </w:pPr>
    </w:p>
    <w:p w14:paraId="51DE8EA4" w14:textId="77777777" w:rsidR="0010369C" w:rsidRDefault="0010369C">
      <w:pPr>
        <w:pStyle w:val="BodyText"/>
        <w:rPr>
          <w:rFonts w:ascii="Times New Roman"/>
          <w:sz w:val="20"/>
        </w:rPr>
      </w:pPr>
    </w:p>
    <w:p w14:paraId="51DE8EA5" w14:textId="77777777" w:rsidR="0010369C" w:rsidRDefault="0010369C">
      <w:pPr>
        <w:pStyle w:val="BodyText"/>
        <w:rPr>
          <w:rFonts w:ascii="Times New Roman"/>
          <w:sz w:val="20"/>
        </w:rPr>
      </w:pPr>
    </w:p>
    <w:p w14:paraId="51DE8EA6" w14:textId="77777777" w:rsidR="0010369C" w:rsidRDefault="0010369C">
      <w:pPr>
        <w:pStyle w:val="BodyText"/>
        <w:rPr>
          <w:rFonts w:ascii="Times New Roman"/>
          <w:sz w:val="20"/>
        </w:rPr>
      </w:pPr>
    </w:p>
    <w:p w14:paraId="51DE8EA7" w14:textId="77777777" w:rsidR="0010369C" w:rsidRDefault="008E43AE">
      <w:pPr>
        <w:pStyle w:val="BodyText"/>
        <w:spacing w:before="7"/>
        <w:rPr>
          <w:rFonts w:ascii="Times New Roman"/>
          <w:sz w:val="20"/>
        </w:rPr>
      </w:pPr>
      <w:r>
        <w:rPr>
          <w:noProof/>
        </w:rPr>
        <w:drawing>
          <wp:anchor distT="0" distB="0" distL="0" distR="0" simplePos="0" relativeHeight="250599936" behindDoc="0" locked="0" layoutInCell="1" allowOverlap="1" wp14:anchorId="51DEA491" wp14:editId="51DEA492">
            <wp:simplePos x="0" y="0"/>
            <wp:positionH relativeFrom="page">
              <wp:posOffset>891988</wp:posOffset>
            </wp:positionH>
            <wp:positionV relativeFrom="paragraph">
              <wp:posOffset>165784</wp:posOffset>
            </wp:positionV>
            <wp:extent cx="5813105" cy="638175"/>
            <wp:effectExtent l="0" t="0" r="0" b="0"/>
            <wp:wrapTopAndBottom/>
            <wp:docPr id="1149" name="image5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 name="image587.png"/>
                    <pic:cNvPicPr/>
                  </pic:nvPicPr>
                  <pic:blipFill>
                    <a:blip r:embed="rId771" cstate="print"/>
                    <a:stretch>
                      <a:fillRect/>
                    </a:stretch>
                  </pic:blipFill>
                  <pic:spPr>
                    <a:xfrm>
                      <a:off x="0" y="0"/>
                      <a:ext cx="5813105" cy="638175"/>
                    </a:xfrm>
                    <a:prstGeom prst="rect">
                      <a:avLst/>
                    </a:prstGeom>
                  </pic:spPr>
                </pic:pic>
              </a:graphicData>
            </a:graphic>
          </wp:anchor>
        </w:drawing>
      </w:r>
    </w:p>
    <w:p w14:paraId="51DE8EA8" w14:textId="77777777" w:rsidR="0010369C" w:rsidRDefault="008E43AE">
      <w:pPr>
        <w:spacing w:before="5" w:line="252" w:lineRule="auto"/>
        <w:ind w:left="242" w:right="611" w:hanging="4"/>
        <w:rPr>
          <w:rFonts w:ascii="Arial"/>
          <w:sz w:val="15"/>
        </w:rPr>
      </w:pPr>
      <w:r>
        <w:rPr>
          <w:rFonts w:ascii="Times New Roman"/>
          <w:color w:val="262626"/>
          <w:w w:val="110"/>
          <w:position w:val="6"/>
          <w:sz w:val="12"/>
        </w:rPr>
        <w:t>661</w:t>
      </w:r>
      <w:r>
        <w:rPr>
          <w:rFonts w:ascii="Times New Roman"/>
          <w:color w:val="262626"/>
          <w:spacing w:val="15"/>
          <w:w w:val="110"/>
          <w:position w:val="6"/>
          <w:sz w:val="12"/>
        </w:rPr>
        <w:t xml:space="preserve"> </w:t>
      </w:r>
      <w:r>
        <w:rPr>
          <w:rFonts w:ascii="Arial"/>
          <w:color w:val="262626"/>
          <w:w w:val="110"/>
          <w:sz w:val="15"/>
        </w:rPr>
        <w:t>Australia has calculated the</w:t>
      </w:r>
      <w:r>
        <w:rPr>
          <w:rFonts w:ascii="Arial"/>
          <w:color w:val="262626"/>
          <w:spacing w:val="38"/>
          <w:w w:val="110"/>
          <w:sz w:val="15"/>
        </w:rPr>
        <w:t xml:space="preserve"> </w:t>
      </w:r>
      <w:r>
        <w:rPr>
          <w:rFonts w:ascii="Arial"/>
          <w:color w:val="262626"/>
          <w:w w:val="110"/>
          <w:sz w:val="15"/>
        </w:rPr>
        <w:t>RMB/kl price</w:t>
      </w:r>
      <w:r>
        <w:rPr>
          <w:rFonts w:ascii="Arial"/>
          <w:color w:val="262626"/>
          <w:spacing w:val="-5"/>
          <w:w w:val="110"/>
          <w:sz w:val="15"/>
        </w:rPr>
        <w:t xml:space="preserve"> </w:t>
      </w:r>
      <w:r>
        <w:rPr>
          <w:rFonts w:ascii="Arial"/>
          <w:color w:val="262626"/>
          <w:w w:val="110"/>
          <w:sz w:val="15"/>
        </w:rPr>
        <w:t>for</w:t>
      </w:r>
      <w:r>
        <w:rPr>
          <w:rFonts w:ascii="Arial"/>
          <w:color w:val="262626"/>
          <w:spacing w:val="25"/>
          <w:w w:val="110"/>
          <w:sz w:val="15"/>
        </w:rPr>
        <w:t xml:space="preserve"> </w:t>
      </w:r>
      <w:r>
        <w:rPr>
          <w:rFonts w:ascii="Arial"/>
          <w:color w:val="262626"/>
          <w:w w:val="110"/>
          <w:sz w:val="15"/>
        </w:rPr>
        <w:t>each quality</w:t>
      </w:r>
      <w:r>
        <w:rPr>
          <w:rFonts w:ascii="Arial"/>
          <w:color w:val="262626"/>
          <w:spacing w:val="-1"/>
          <w:w w:val="110"/>
          <w:sz w:val="15"/>
        </w:rPr>
        <w:t xml:space="preserve"> </w:t>
      </w:r>
      <w:r>
        <w:rPr>
          <w:rFonts w:ascii="Arial"/>
          <w:color w:val="262626"/>
          <w:w w:val="110"/>
          <w:sz w:val="15"/>
        </w:rPr>
        <w:t>category using the</w:t>
      </w:r>
      <w:r>
        <w:rPr>
          <w:rFonts w:ascii="Arial"/>
          <w:color w:val="262626"/>
          <w:spacing w:val="33"/>
          <w:w w:val="110"/>
          <w:sz w:val="15"/>
        </w:rPr>
        <w:t xml:space="preserve"> </w:t>
      </w:r>
      <w:r>
        <w:rPr>
          <w:rFonts w:ascii="Arial"/>
          <w:color w:val="262626"/>
          <w:w w:val="110"/>
          <w:sz w:val="15"/>
        </w:rPr>
        <w:t>average yearly exchange rate for</w:t>
      </w:r>
      <w:r>
        <w:rPr>
          <w:rFonts w:ascii="Arial"/>
          <w:color w:val="262626"/>
          <w:spacing w:val="-1"/>
          <w:w w:val="110"/>
          <w:sz w:val="15"/>
        </w:rPr>
        <w:t xml:space="preserve"> </w:t>
      </w:r>
      <w:r>
        <w:rPr>
          <w:rFonts w:ascii="Arial"/>
          <w:color w:val="262626"/>
          <w:w w:val="110"/>
          <w:sz w:val="15"/>
        </w:rPr>
        <w:t>AUD to RMB,</w:t>
      </w:r>
      <w:r>
        <w:rPr>
          <w:rFonts w:ascii="Arial"/>
          <w:color w:val="262626"/>
          <w:spacing w:val="-3"/>
          <w:w w:val="110"/>
          <w:sz w:val="15"/>
        </w:rPr>
        <w:t xml:space="preserve"> </w:t>
      </w:r>
      <w:r>
        <w:rPr>
          <w:rFonts w:ascii="Arial"/>
          <w:color w:val="262626"/>
          <w:w w:val="110"/>
          <w:sz w:val="15"/>
        </w:rPr>
        <w:t>published</w:t>
      </w:r>
      <w:r>
        <w:rPr>
          <w:rFonts w:ascii="Arial"/>
          <w:color w:val="262626"/>
          <w:spacing w:val="15"/>
          <w:w w:val="110"/>
          <w:sz w:val="15"/>
        </w:rPr>
        <w:t xml:space="preserve"> </w:t>
      </w:r>
      <w:r>
        <w:rPr>
          <w:rFonts w:ascii="Arial"/>
          <w:color w:val="262626"/>
          <w:w w:val="110"/>
          <w:sz w:val="15"/>
        </w:rPr>
        <w:t>by</w:t>
      </w:r>
      <w:r>
        <w:rPr>
          <w:rFonts w:ascii="Arial"/>
          <w:color w:val="262626"/>
          <w:spacing w:val="14"/>
          <w:w w:val="110"/>
          <w:sz w:val="15"/>
        </w:rPr>
        <w:t xml:space="preserve"> </w:t>
      </w:r>
      <w:r>
        <w:rPr>
          <w:rFonts w:ascii="Arial"/>
          <w:color w:val="262626"/>
          <w:w w:val="110"/>
          <w:sz w:val="15"/>
        </w:rPr>
        <w:t>the</w:t>
      </w:r>
      <w:r>
        <w:rPr>
          <w:rFonts w:ascii="Arial"/>
          <w:color w:val="262626"/>
          <w:spacing w:val="20"/>
          <w:w w:val="110"/>
          <w:sz w:val="15"/>
        </w:rPr>
        <w:t xml:space="preserve"> </w:t>
      </w:r>
      <w:r>
        <w:rPr>
          <w:rFonts w:ascii="Arial"/>
          <w:color w:val="262626"/>
          <w:w w:val="110"/>
          <w:sz w:val="15"/>
        </w:rPr>
        <w:t>Reserve</w:t>
      </w:r>
      <w:r>
        <w:rPr>
          <w:rFonts w:ascii="Arial"/>
          <w:color w:val="262626"/>
          <w:spacing w:val="2"/>
          <w:w w:val="110"/>
          <w:sz w:val="15"/>
        </w:rPr>
        <w:t xml:space="preserve"> </w:t>
      </w:r>
      <w:r>
        <w:rPr>
          <w:rFonts w:ascii="Arial"/>
          <w:color w:val="262626"/>
          <w:w w:val="110"/>
          <w:sz w:val="15"/>
        </w:rPr>
        <w:t>bank</w:t>
      </w:r>
      <w:r>
        <w:rPr>
          <w:rFonts w:ascii="Arial"/>
          <w:color w:val="262626"/>
          <w:spacing w:val="4"/>
          <w:w w:val="110"/>
          <w:sz w:val="15"/>
        </w:rPr>
        <w:t xml:space="preserve"> </w:t>
      </w:r>
      <w:r>
        <w:rPr>
          <w:rFonts w:ascii="Arial"/>
          <w:color w:val="262626"/>
          <w:w w:val="110"/>
          <w:sz w:val="15"/>
        </w:rPr>
        <w:t>of</w:t>
      </w:r>
      <w:r>
        <w:rPr>
          <w:rFonts w:ascii="Arial"/>
          <w:color w:val="262626"/>
          <w:spacing w:val="13"/>
          <w:w w:val="110"/>
          <w:sz w:val="15"/>
        </w:rPr>
        <w:t xml:space="preserve"> </w:t>
      </w:r>
      <w:r>
        <w:rPr>
          <w:rFonts w:ascii="Arial"/>
          <w:color w:val="262626"/>
          <w:w w:val="110"/>
          <w:sz w:val="15"/>
        </w:rPr>
        <w:t>Australia:</w:t>
      </w:r>
      <w:r>
        <w:rPr>
          <w:rFonts w:ascii="Arial"/>
          <w:color w:val="262626"/>
          <w:spacing w:val="7"/>
          <w:w w:val="110"/>
          <w:sz w:val="15"/>
        </w:rPr>
        <w:t xml:space="preserve"> </w:t>
      </w:r>
      <w:r>
        <w:rPr>
          <w:rFonts w:ascii="Arial"/>
          <w:color w:val="262626"/>
          <w:w w:val="110"/>
          <w:sz w:val="15"/>
        </w:rPr>
        <w:t>see</w:t>
      </w:r>
      <w:r>
        <w:rPr>
          <w:rFonts w:ascii="Arial"/>
          <w:color w:val="262626"/>
          <w:spacing w:val="1"/>
          <w:w w:val="110"/>
          <w:sz w:val="15"/>
        </w:rPr>
        <w:t xml:space="preserve"> </w:t>
      </w:r>
      <w:r>
        <w:rPr>
          <w:rFonts w:ascii="Arial"/>
          <w:color w:val="262626"/>
          <w:w w:val="110"/>
          <w:sz w:val="15"/>
        </w:rPr>
        <w:t>Reserve</w:t>
      </w:r>
      <w:r>
        <w:rPr>
          <w:rFonts w:ascii="Arial"/>
          <w:color w:val="262626"/>
          <w:spacing w:val="9"/>
          <w:w w:val="110"/>
          <w:sz w:val="15"/>
        </w:rPr>
        <w:t xml:space="preserve"> </w:t>
      </w:r>
      <w:r>
        <w:rPr>
          <w:rFonts w:ascii="Arial"/>
          <w:color w:val="262626"/>
          <w:w w:val="110"/>
          <w:sz w:val="15"/>
        </w:rPr>
        <w:t>Bank</w:t>
      </w:r>
      <w:r>
        <w:rPr>
          <w:rFonts w:ascii="Arial"/>
          <w:color w:val="262626"/>
          <w:spacing w:val="6"/>
          <w:w w:val="110"/>
          <w:sz w:val="15"/>
        </w:rPr>
        <w:t xml:space="preserve"> </w:t>
      </w:r>
      <w:r>
        <w:rPr>
          <w:rFonts w:ascii="Arial"/>
          <w:color w:val="262626"/>
          <w:w w:val="110"/>
          <w:sz w:val="15"/>
        </w:rPr>
        <w:t>of</w:t>
      </w:r>
      <w:r>
        <w:rPr>
          <w:rFonts w:ascii="Arial"/>
          <w:color w:val="262626"/>
          <w:spacing w:val="24"/>
          <w:w w:val="110"/>
          <w:sz w:val="15"/>
        </w:rPr>
        <w:t xml:space="preserve"> </w:t>
      </w:r>
      <w:r>
        <w:rPr>
          <w:rFonts w:ascii="Arial"/>
          <w:color w:val="262626"/>
          <w:w w:val="110"/>
          <w:sz w:val="15"/>
        </w:rPr>
        <w:t>Australia</w:t>
      </w:r>
      <w:r>
        <w:rPr>
          <w:rFonts w:ascii="Arial"/>
          <w:color w:val="262626"/>
          <w:spacing w:val="12"/>
          <w:w w:val="110"/>
          <w:sz w:val="15"/>
        </w:rPr>
        <w:t xml:space="preserve"> </w:t>
      </w:r>
      <w:r>
        <w:rPr>
          <w:rFonts w:ascii="Arial"/>
          <w:color w:val="262626"/>
          <w:w w:val="110"/>
          <w:sz w:val="15"/>
        </w:rPr>
        <w:t>2019</w:t>
      </w:r>
      <w:r>
        <w:rPr>
          <w:rFonts w:ascii="Arial"/>
          <w:color w:val="262626"/>
          <w:spacing w:val="4"/>
          <w:w w:val="110"/>
          <w:sz w:val="15"/>
        </w:rPr>
        <w:t xml:space="preserve"> </w:t>
      </w:r>
      <w:r>
        <w:rPr>
          <w:rFonts w:ascii="Arial"/>
          <w:color w:val="262626"/>
          <w:w w:val="110"/>
          <w:sz w:val="15"/>
        </w:rPr>
        <w:t>Average</w:t>
      </w:r>
      <w:r>
        <w:rPr>
          <w:rFonts w:ascii="Arial"/>
          <w:color w:val="262626"/>
          <w:spacing w:val="10"/>
          <w:w w:val="110"/>
          <w:sz w:val="15"/>
        </w:rPr>
        <w:t xml:space="preserve"> </w:t>
      </w:r>
      <w:r>
        <w:rPr>
          <w:rFonts w:ascii="Arial"/>
          <w:color w:val="262626"/>
          <w:w w:val="110"/>
          <w:sz w:val="15"/>
        </w:rPr>
        <w:t>Exchange</w:t>
      </w:r>
      <w:r>
        <w:rPr>
          <w:rFonts w:ascii="Arial"/>
          <w:color w:val="262626"/>
          <w:spacing w:val="11"/>
          <w:w w:val="110"/>
          <w:sz w:val="15"/>
        </w:rPr>
        <w:t xml:space="preserve"> </w:t>
      </w:r>
      <w:r>
        <w:rPr>
          <w:rFonts w:ascii="Arial"/>
          <w:color w:val="262626"/>
          <w:w w:val="110"/>
          <w:sz w:val="15"/>
          <w:u w:val="thick" w:color="262626"/>
        </w:rPr>
        <w:t>Rates</w:t>
      </w:r>
      <w:r>
        <w:rPr>
          <w:rFonts w:ascii="Arial"/>
          <w:color w:val="262626"/>
          <w:spacing w:val="9"/>
          <w:w w:val="110"/>
          <w:sz w:val="15"/>
          <w:u w:val="thick" w:color="262626"/>
        </w:rPr>
        <w:t xml:space="preserve"> </w:t>
      </w:r>
      <w:r>
        <w:rPr>
          <w:rFonts w:ascii="Arial"/>
          <w:color w:val="262626"/>
          <w:spacing w:val="-2"/>
          <w:w w:val="110"/>
          <w:sz w:val="15"/>
          <w:u w:val="thick" w:color="262626"/>
        </w:rPr>
        <w:t>(Exhibi</w:t>
      </w:r>
      <w:r>
        <w:rPr>
          <w:rFonts w:ascii="Arial"/>
          <w:color w:val="262626"/>
          <w:spacing w:val="-2"/>
          <w:w w:val="110"/>
          <w:sz w:val="15"/>
        </w:rPr>
        <w:t>t</w:t>
      </w:r>
    </w:p>
    <w:p w14:paraId="51DE8EA9" w14:textId="77777777" w:rsidR="0010369C" w:rsidRDefault="008E43AE">
      <w:pPr>
        <w:spacing w:before="49"/>
        <w:ind w:left="245"/>
        <w:rPr>
          <w:rFonts w:ascii="Arial"/>
          <w:sz w:val="15"/>
        </w:rPr>
      </w:pPr>
      <w:r>
        <w:pict w14:anchorId="51DEA493">
          <v:group id="docshapegroup1047" o:spid="_x0000_s1326" style="position:absolute;left:0;text-align:left;margin-left:70.25pt;margin-top:1.95pt;width:456.55pt;height:232.6pt;z-index:-251292160;mso-position-horizontal-relative:page" coordorigin="1405,39" coordsize="9131,4652">
            <v:shape id="docshape1048" o:spid="_x0000_s1331" type="#_x0000_t75" style="position:absolute;left:1404;top:39;width:9131;height:2887">
              <v:imagedata r:id="rId772" o:title=""/>
            </v:shape>
            <v:line id="_x0000_s1330" style="position:absolute" from="10505,3768" to="10505,2886" strokeweight=".53094mm"/>
            <v:rect id="docshape1049" o:spid="_x0000_s1329" style="position:absolute;left:9311;top:2991;width:41;height:149" fillcolor="#181818" stroked="f"/>
            <v:shape id="docshape1050" o:spid="_x0000_s1328" type="#_x0000_t75" style="position:absolute;left:1404;top:3988;width:9131;height:702">
              <v:imagedata r:id="rId773" o:title=""/>
            </v:shape>
            <v:shape id="docshape1051" o:spid="_x0000_s1327" style="position:absolute;left:7629;top:3762;width:817;height:189" coordorigin="7630,3763" coordsize="817,189" o:spt="100" adj="0,,0" path="m7670,3763r-40,l7630,3952r40,l7670,3763xm8446,3763r-40,l8406,3952r40,l8446,3763xe" fillcolor="#181818" stroked="f">
              <v:stroke joinstyle="round"/>
              <v:formulas/>
              <v:path arrowok="t" o:connecttype="segments"/>
            </v:shape>
            <w10:wrap anchorx="page"/>
          </v:group>
        </w:pict>
      </w:r>
      <w:r>
        <w:rPr>
          <w:rFonts w:ascii="Arial"/>
          <w:color w:val="262626"/>
          <w:sz w:val="15"/>
        </w:rPr>
        <w:t>AUS-77).</w:t>
      </w:r>
      <w:r>
        <w:rPr>
          <w:rFonts w:ascii="Arial"/>
          <w:color w:val="262626"/>
          <w:spacing w:val="15"/>
          <w:sz w:val="15"/>
        </w:rPr>
        <w:t xml:space="preserve"> </w:t>
      </w:r>
      <w:r>
        <w:rPr>
          <w:rFonts w:ascii="Arial"/>
          <w:color w:val="080808"/>
          <w:spacing w:val="-10"/>
          <w:sz w:val="15"/>
        </w:rPr>
        <w:t>[</w:t>
      </w:r>
    </w:p>
    <w:p w14:paraId="51DE8EAA" w14:textId="77777777" w:rsidR="0010369C" w:rsidRDefault="0010369C">
      <w:pPr>
        <w:pStyle w:val="BodyText"/>
        <w:rPr>
          <w:rFonts w:ascii="Arial"/>
          <w:sz w:val="20"/>
        </w:rPr>
      </w:pPr>
    </w:p>
    <w:p w14:paraId="51DE8EAB" w14:textId="77777777" w:rsidR="0010369C" w:rsidRDefault="0010369C">
      <w:pPr>
        <w:pStyle w:val="BodyText"/>
        <w:rPr>
          <w:rFonts w:ascii="Arial"/>
          <w:sz w:val="20"/>
        </w:rPr>
      </w:pPr>
    </w:p>
    <w:p w14:paraId="51DE8EAC" w14:textId="77777777" w:rsidR="0010369C" w:rsidRDefault="0010369C">
      <w:pPr>
        <w:pStyle w:val="BodyText"/>
        <w:rPr>
          <w:rFonts w:ascii="Arial"/>
          <w:sz w:val="20"/>
        </w:rPr>
      </w:pPr>
    </w:p>
    <w:p w14:paraId="51DE8EAD" w14:textId="77777777" w:rsidR="0010369C" w:rsidRDefault="0010369C">
      <w:pPr>
        <w:pStyle w:val="BodyText"/>
        <w:rPr>
          <w:rFonts w:ascii="Arial"/>
          <w:sz w:val="20"/>
        </w:rPr>
      </w:pPr>
    </w:p>
    <w:p w14:paraId="51DE8EAE" w14:textId="77777777" w:rsidR="0010369C" w:rsidRDefault="0010369C">
      <w:pPr>
        <w:pStyle w:val="BodyText"/>
        <w:rPr>
          <w:rFonts w:ascii="Arial"/>
          <w:sz w:val="20"/>
        </w:rPr>
      </w:pPr>
    </w:p>
    <w:p w14:paraId="51DE8EAF" w14:textId="77777777" w:rsidR="0010369C" w:rsidRDefault="0010369C">
      <w:pPr>
        <w:pStyle w:val="BodyText"/>
        <w:rPr>
          <w:rFonts w:ascii="Arial"/>
          <w:sz w:val="20"/>
        </w:rPr>
      </w:pPr>
    </w:p>
    <w:p w14:paraId="51DE8EB0" w14:textId="77777777" w:rsidR="0010369C" w:rsidRDefault="0010369C">
      <w:pPr>
        <w:pStyle w:val="BodyText"/>
        <w:rPr>
          <w:rFonts w:ascii="Arial"/>
          <w:sz w:val="20"/>
        </w:rPr>
      </w:pPr>
    </w:p>
    <w:p w14:paraId="51DE8EB1" w14:textId="77777777" w:rsidR="0010369C" w:rsidRDefault="0010369C">
      <w:pPr>
        <w:pStyle w:val="BodyText"/>
        <w:rPr>
          <w:rFonts w:ascii="Arial"/>
          <w:sz w:val="20"/>
        </w:rPr>
      </w:pPr>
    </w:p>
    <w:p w14:paraId="51DE8EB2" w14:textId="77777777" w:rsidR="0010369C" w:rsidRDefault="0010369C">
      <w:pPr>
        <w:pStyle w:val="BodyText"/>
        <w:rPr>
          <w:rFonts w:ascii="Arial"/>
          <w:sz w:val="20"/>
        </w:rPr>
      </w:pPr>
    </w:p>
    <w:p w14:paraId="51DE8EB3" w14:textId="77777777" w:rsidR="0010369C" w:rsidRDefault="0010369C">
      <w:pPr>
        <w:pStyle w:val="BodyText"/>
        <w:rPr>
          <w:rFonts w:ascii="Arial"/>
          <w:sz w:val="20"/>
        </w:rPr>
      </w:pPr>
    </w:p>
    <w:p w14:paraId="51DE8EB4" w14:textId="77777777" w:rsidR="0010369C" w:rsidRDefault="0010369C">
      <w:pPr>
        <w:pStyle w:val="BodyText"/>
        <w:rPr>
          <w:rFonts w:ascii="Arial"/>
          <w:sz w:val="20"/>
        </w:rPr>
      </w:pPr>
    </w:p>
    <w:p w14:paraId="51DE8EB5" w14:textId="77777777" w:rsidR="0010369C" w:rsidRDefault="0010369C">
      <w:pPr>
        <w:pStyle w:val="BodyText"/>
        <w:rPr>
          <w:rFonts w:ascii="Arial"/>
          <w:sz w:val="12"/>
        </w:rPr>
      </w:pPr>
    </w:p>
    <w:p w14:paraId="51DE8EB6" w14:textId="77777777" w:rsidR="0010369C" w:rsidRDefault="0010369C">
      <w:pPr>
        <w:pStyle w:val="BodyText"/>
        <w:rPr>
          <w:rFonts w:ascii="Arial"/>
          <w:sz w:val="10"/>
        </w:rPr>
      </w:pPr>
    </w:p>
    <w:p w14:paraId="51DE8EB7" w14:textId="77777777" w:rsidR="0010369C" w:rsidRDefault="008E43AE">
      <w:pPr>
        <w:tabs>
          <w:tab w:val="left" w:pos="1100"/>
        </w:tabs>
        <w:ind w:right="1758"/>
        <w:jc w:val="right"/>
        <w:rPr>
          <w:rFonts w:ascii="Times New Roman" w:hAnsi="Times New Roman"/>
          <w:sz w:val="11"/>
        </w:rPr>
      </w:pPr>
      <w:r>
        <w:rPr>
          <w:rFonts w:ascii="Times New Roman" w:hAnsi="Times New Roman"/>
          <w:color w:val="D1D1D1"/>
          <w:w w:val="105"/>
          <w:sz w:val="11"/>
          <w:shd w:val="clear" w:color="auto" w:fill="181818"/>
        </w:rPr>
        <w:t>•••</w:t>
      </w:r>
      <w:r>
        <w:rPr>
          <w:rFonts w:ascii="Times New Roman" w:hAnsi="Times New Roman"/>
          <w:color w:val="D1D1D1"/>
          <w:spacing w:val="125"/>
          <w:w w:val="105"/>
          <w:sz w:val="11"/>
          <w:shd w:val="clear" w:color="auto" w:fill="181818"/>
        </w:rPr>
        <w:t xml:space="preserve"> </w:t>
      </w:r>
      <w:r>
        <w:rPr>
          <w:rFonts w:ascii="Times New Roman" w:hAnsi="Times New Roman"/>
          <w:color w:val="D1D1D1"/>
          <w:spacing w:val="124"/>
          <w:w w:val="150"/>
          <w:sz w:val="11"/>
        </w:rPr>
        <w:t xml:space="preserve"> </w:t>
      </w:r>
      <w:r>
        <w:rPr>
          <w:rFonts w:ascii="Times New Roman" w:hAnsi="Times New Roman"/>
          <w:color w:val="D1D1D1"/>
          <w:spacing w:val="-5"/>
          <w:w w:val="105"/>
          <w:sz w:val="11"/>
          <w:shd w:val="clear" w:color="auto" w:fill="181818"/>
        </w:rPr>
        <w:t>!</w:t>
      </w:r>
      <w:r>
        <w:rPr>
          <w:rFonts w:ascii="Times New Roman" w:hAnsi="Times New Roman"/>
          <w:color w:val="D1D1D1"/>
          <w:spacing w:val="-5"/>
          <w:w w:val="105"/>
          <w:sz w:val="11"/>
        </w:rPr>
        <w:t>.</w:t>
      </w:r>
      <w:r>
        <w:rPr>
          <w:rFonts w:ascii="Times New Roman" w:hAnsi="Times New Roman"/>
          <w:color w:val="D1D1D1"/>
          <w:sz w:val="11"/>
        </w:rPr>
        <w:tab/>
      </w:r>
      <w:r>
        <w:rPr>
          <w:rFonts w:ascii="Times New Roman" w:hAnsi="Times New Roman"/>
          <w:color w:val="BCBCBC"/>
          <w:spacing w:val="-10"/>
          <w:w w:val="105"/>
          <w:sz w:val="11"/>
        </w:rPr>
        <w:t>:</w:t>
      </w:r>
    </w:p>
    <w:p w14:paraId="51DE8EB8" w14:textId="77777777" w:rsidR="0010369C" w:rsidRDefault="0010369C">
      <w:pPr>
        <w:pStyle w:val="BodyText"/>
        <w:rPr>
          <w:rFonts w:ascii="Times New Roman"/>
          <w:sz w:val="20"/>
        </w:rPr>
      </w:pPr>
    </w:p>
    <w:p w14:paraId="51DE8EB9" w14:textId="77777777" w:rsidR="0010369C" w:rsidRDefault="0010369C">
      <w:pPr>
        <w:pStyle w:val="BodyText"/>
        <w:spacing w:before="1"/>
        <w:rPr>
          <w:rFonts w:ascii="Times New Roman"/>
          <w:sz w:val="28"/>
        </w:rPr>
      </w:pPr>
    </w:p>
    <w:p w14:paraId="51DE8EBA" w14:textId="77777777" w:rsidR="0010369C" w:rsidRDefault="008E43AE">
      <w:pPr>
        <w:tabs>
          <w:tab w:val="left" w:pos="6688"/>
          <w:tab w:val="left" w:pos="7226"/>
        </w:tabs>
        <w:spacing w:before="94"/>
        <w:ind w:left="6449"/>
        <w:rPr>
          <w:rFonts w:ascii="Times New Roman" w:hAnsi="Times New Roman"/>
          <w:sz w:val="14"/>
        </w:rPr>
      </w:pPr>
      <w:r>
        <w:rPr>
          <w:rFonts w:ascii="Times New Roman" w:hAnsi="Times New Roman"/>
          <w:color w:val="BCBCBC"/>
          <w:spacing w:val="-10"/>
          <w:w w:val="105"/>
          <w:sz w:val="14"/>
        </w:rPr>
        <w:t>'</w:t>
      </w:r>
      <w:r>
        <w:rPr>
          <w:rFonts w:ascii="Times New Roman" w:hAnsi="Times New Roman"/>
          <w:color w:val="BCBCBC"/>
          <w:sz w:val="14"/>
        </w:rPr>
        <w:tab/>
      </w:r>
      <w:r>
        <w:rPr>
          <w:rFonts w:ascii="Times New Roman" w:hAnsi="Times New Roman"/>
          <w:color w:val="BCBCBC"/>
          <w:w w:val="105"/>
          <w:sz w:val="14"/>
          <w:shd w:val="clear" w:color="auto" w:fill="181818"/>
        </w:rPr>
        <w:t>•</w:t>
      </w:r>
      <w:r>
        <w:rPr>
          <w:rFonts w:ascii="Times New Roman" w:hAnsi="Times New Roman"/>
          <w:color w:val="BCBCBC"/>
          <w:spacing w:val="17"/>
          <w:w w:val="105"/>
          <w:sz w:val="14"/>
          <w:shd w:val="clear" w:color="auto" w:fill="181818"/>
        </w:rPr>
        <w:t xml:space="preserve"> </w:t>
      </w:r>
      <w:r>
        <w:rPr>
          <w:rFonts w:ascii="Times New Roman" w:hAnsi="Times New Roman"/>
          <w:color w:val="BCBCBC"/>
          <w:spacing w:val="-10"/>
          <w:w w:val="105"/>
          <w:sz w:val="14"/>
          <w:shd w:val="clear" w:color="auto" w:fill="181818"/>
        </w:rPr>
        <w:t>I</w:t>
      </w:r>
      <w:r>
        <w:rPr>
          <w:rFonts w:ascii="Times New Roman" w:hAnsi="Times New Roman"/>
          <w:color w:val="BCBCBC"/>
          <w:sz w:val="14"/>
        </w:rPr>
        <w:tab/>
      </w:r>
      <w:r>
        <w:rPr>
          <w:rFonts w:ascii="Times New Roman" w:hAnsi="Times New Roman"/>
          <w:color w:val="BCBCBC"/>
          <w:spacing w:val="-10"/>
          <w:w w:val="105"/>
          <w:sz w:val="14"/>
        </w:rPr>
        <w:t>:</w:t>
      </w:r>
    </w:p>
    <w:p w14:paraId="51DE8EBB" w14:textId="77777777" w:rsidR="0010369C" w:rsidRDefault="0010369C">
      <w:pPr>
        <w:rPr>
          <w:rFonts w:ascii="Times New Roman" w:hAnsi="Times New Roman"/>
          <w:sz w:val="14"/>
        </w:rPr>
        <w:sectPr w:rsidR="0010369C">
          <w:type w:val="continuous"/>
          <w:pgSz w:w="11910" w:h="16840"/>
          <w:pgMar w:top="1460" w:right="800" w:bottom="280" w:left="1180" w:header="491" w:footer="805" w:gutter="0"/>
          <w:cols w:space="720"/>
        </w:sectPr>
      </w:pPr>
    </w:p>
    <w:p w14:paraId="51DE8EBC" w14:textId="77777777" w:rsidR="0010369C" w:rsidRDefault="008E43AE">
      <w:pPr>
        <w:spacing w:before="3" w:line="285" w:lineRule="auto"/>
        <w:ind w:left="239" w:hanging="8"/>
        <w:rPr>
          <w:rFonts w:ascii="Arial"/>
          <w:sz w:val="18"/>
        </w:rPr>
      </w:pPr>
      <w:r>
        <w:rPr>
          <w:rFonts w:ascii="Times New Roman"/>
          <w:i/>
          <w:color w:val="2A2A2A"/>
          <w:w w:val="105"/>
          <w:sz w:val="19"/>
        </w:rPr>
        <w:lastRenderedPageBreak/>
        <w:t>China</w:t>
      </w:r>
      <w:r>
        <w:rPr>
          <w:rFonts w:ascii="Times New Roman"/>
          <w:i/>
          <w:color w:val="2A2A2A"/>
          <w:spacing w:val="-13"/>
          <w:w w:val="105"/>
          <w:sz w:val="19"/>
        </w:rPr>
        <w:t xml:space="preserve"> </w:t>
      </w:r>
      <w:r>
        <w:rPr>
          <w:rFonts w:ascii="Times New Roman"/>
          <w:color w:val="0C0C0C"/>
          <w:w w:val="105"/>
          <w:sz w:val="19"/>
        </w:rPr>
        <w:t>-</w:t>
      </w:r>
      <w:r>
        <w:rPr>
          <w:rFonts w:ascii="Times New Roman"/>
          <w:color w:val="0C0C0C"/>
          <w:spacing w:val="11"/>
          <w:w w:val="105"/>
          <w:sz w:val="19"/>
        </w:rPr>
        <w:t xml:space="preserve"> </w:t>
      </w:r>
      <w:r>
        <w:rPr>
          <w:rFonts w:ascii="Times New Roman"/>
          <w:i/>
          <w:color w:val="1A1A1A"/>
          <w:w w:val="105"/>
          <w:sz w:val="19"/>
        </w:rPr>
        <w:t>Anti-Dumping</w:t>
      </w:r>
      <w:r>
        <w:rPr>
          <w:rFonts w:ascii="Times New Roman"/>
          <w:i/>
          <w:color w:val="1A1A1A"/>
          <w:spacing w:val="-12"/>
          <w:w w:val="105"/>
          <w:sz w:val="19"/>
        </w:rPr>
        <w:t xml:space="preserve"> </w:t>
      </w:r>
      <w:r>
        <w:rPr>
          <w:rFonts w:ascii="Times New Roman"/>
          <w:i/>
          <w:color w:val="2A2A2A"/>
          <w:w w:val="105"/>
          <w:sz w:val="19"/>
        </w:rPr>
        <w:t>and</w:t>
      </w:r>
      <w:r>
        <w:rPr>
          <w:rFonts w:ascii="Times New Roman"/>
          <w:i/>
          <w:color w:val="2A2A2A"/>
          <w:spacing w:val="-12"/>
          <w:w w:val="105"/>
          <w:sz w:val="19"/>
        </w:rPr>
        <w:t xml:space="preserve"> </w:t>
      </w:r>
      <w:r>
        <w:rPr>
          <w:rFonts w:ascii="Times New Roman"/>
          <w:i/>
          <w:color w:val="2A2A2A"/>
          <w:w w:val="105"/>
          <w:sz w:val="19"/>
        </w:rPr>
        <w:t>Countervailing</w:t>
      </w:r>
      <w:r>
        <w:rPr>
          <w:rFonts w:ascii="Times New Roman"/>
          <w:i/>
          <w:color w:val="2A2A2A"/>
          <w:spacing w:val="-13"/>
          <w:w w:val="105"/>
          <w:sz w:val="19"/>
        </w:rPr>
        <w:t xml:space="preserve"> </w:t>
      </w:r>
      <w:r>
        <w:rPr>
          <w:rFonts w:ascii="Times New Roman"/>
          <w:i/>
          <w:color w:val="1A1A1A"/>
          <w:w w:val="105"/>
          <w:sz w:val="19"/>
        </w:rPr>
        <w:t>Duty</w:t>
      </w:r>
      <w:r>
        <w:rPr>
          <w:rFonts w:ascii="Times New Roman"/>
          <w:i/>
          <w:color w:val="1A1A1A"/>
          <w:spacing w:val="-13"/>
          <w:w w:val="105"/>
          <w:sz w:val="19"/>
        </w:rPr>
        <w:t xml:space="preserve"> </w:t>
      </w:r>
      <w:r>
        <w:rPr>
          <w:rFonts w:ascii="Times New Roman"/>
          <w:i/>
          <w:color w:val="1A1A1A"/>
          <w:w w:val="105"/>
          <w:sz w:val="19"/>
        </w:rPr>
        <w:t xml:space="preserve">Measures </w:t>
      </w:r>
      <w:r>
        <w:rPr>
          <w:rFonts w:ascii="Times New Roman"/>
          <w:i/>
          <w:color w:val="2A2A2A"/>
          <w:w w:val="105"/>
          <w:sz w:val="19"/>
        </w:rPr>
        <w:t xml:space="preserve">on </w:t>
      </w:r>
      <w:r>
        <w:rPr>
          <w:rFonts w:ascii="Times New Roman"/>
          <w:i/>
          <w:color w:val="1A1A1A"/>
          <w:w w:val="105"/>
          <w:sz w:val="19"/>
        </w:rPr>
        <w:t xml:space="preserve">Wine </w:t>
      </w:r>
      <w:r>
        <w:rPr>
          <w:rFonts w:ascii="Times New Roman"/>
          <w:i/>
          <w:color w:val="2A2A2A"/>
          <w:w w:val="105"/>
          <w:sz w:val="19"/>
        </w:rPr>
        <w:t xml:space="preserve">from </w:t>
      </w:r>
      <w:r>
        <w:rPr>
          <w:rFonts w:ascii="Times New Roman"/>
          <w:i/>
          <w:color w:val="1A1A1A"/>
          <w:w w:val="105"/>
          <w:sz w:val="19"/>
        </w:rPr>
        <w:t xml:space="preserve">Australia </w:t>
      </w:r>
      <w:r>
        <w:rPr>
          <w:rFonts w:ascii="Arial"/>
          <w:color w:val="2A2A2A"/>
          <w:w w:val="105"/>
          <w:sz w:val="18"/>
        </w:rPr>
        <w:t>(D5602)</w:t>
      </w:r>
    </w:p>
    <w:p w14:paraId="51DE8EBD" w14:textId="77777777" w:rsidR="0010369C" w:rsidRDefault="008E43AE">
      <w:pPr>
        <w:spacing w:before="11"/>
        <w:ind w:right="586"/>
        <w:jc w:val="right"/>
        <w:rPr>
          <w:rFonts w:ascii="Arial"/>
          <w:sz w:val="18"/>
        </w:rPr>
      </w:pPr>
      <w:r>
        <w:br w:type="column"/>
      </w:r>
      <w:r>
        <w:rPr>
          <w:rFonts w:ascii="Arial"/>
          <w:color w:val="1A1A1A"/>
          <w:sz w:val="18"/>
        </w:rPr>
        <w:t>Australia's</w:t>
      </w:r>
      <w:r>
        <w:rPr>
          <w:rFonts w:ascii="Arial"/>
          <w:color w:val="1A1A1A"/>
          <w:spacing w:val="22"/>
          <w:sz w:val="18"/>
        </w:rPr>
        <w:t xml:space="preserve"> </w:t>
      </w:r>
      <w:r>
        <w:rPr>
          <w:rFonts w:ascii="Arial"/>
          <w:color w:val="1A1A1A"/>
          <w:sz w:val="18"/>
        </w:rPr>
        <w:t>First</w:t>
      </w:r>
      <w:r>
        <w:rPr>
          <w:rFonts w:ascii="Arial"/>
          <w:color w:val="1A1A1A"/>
          <w:spacing w:val="18"/>
          <w:sz w:val="18"/>
        </w:rPr>
        <w:t xml:space="preserve"> </w:t>
      </w:r>
      <w:r>
        <w:rPr>
          <w:rFonts w:ascii="Arial"/>
          <w:color w:val="1A1A1A"/>
          <w:sz w:val="18"/>
        </w:rPr>
        <w:t>Written</w:t>
      </w:r>
      <w:r>
        <w:rPr>
          <w:rFonts w:ascii="Arial"/>
          <w:color w:val="1A1A1A"/>
          <w:spacing w:val="8"/>
          <w:sz w:val="18"/>
        </w:rPr>
        <w:t xml:space="preserve"> </w:t>
      </w:r>
      <w:r>
        <w:rPr>
          <w:rFonts w:ascii="Arial"/>
          <w:color w:val="2A2A2A"/>
          <w:spacing w:val="-2"/>
          <w:sz w:val="18"/>
        </w:rPr>
        <w:t>Submission</w:t>
      </w:r>
    </w:p>
    <w:p w14:paraId="51DE8EBE" w14:textId="77777777" w:rsidR="0010369C" w:rsidRDefault="008E43AE">
      <w:pPr>
        <w:spacing w:before="44"/>
        <w:ind w:right="573"/>
        <w:jc w:val="right"/>
        <w:rPr>
          <w:rFonts w:ascii="Arial"/>
          <w:sz w:val="18"/>
        </w:rPr>
      </w:pPr>
      <w:r>
        <w:rPr>
          <w:rFonts w:ascii="Arial"/>
          <w:color w:val="1A1A1A"/>
          <w:w w:val="105"/>
          <w:sz w:val="18"/>
        </w:rPr>
        <w:t>29</w:t>
      </w:r>
      <w:r>
        <w:rPr>
          <w:rFonts w:ascii="Arial"/>
          <w:color w:val="1A1A1A"/>
          <w:spacing w:val="-12"/>
          <w:w w:val="105"/>
          <w:sz w:val="18"/>
        </w:rPr>
        <w:t xml:space="preserve"> </w:t>
      </w:r>
      <w:r>
        <w:rPr>
          <w:rFonts w:ascii="Arial"/>
          <w:color w:val="1A1A1A"/>
          <w:w w:val="105"/>
          <w:sz w:val="18"/>
        </w:rPr>
        <w:t>April</w:t>
      </w:r>
      <w:r>
        <w:rPr>
          <w:rFonts w:ascii="Arial"/>
          <w:color w:val="1A1A1A"/>
          <w:spacing w:val="-6"/>
          <w:w w:val="105"/>
          <w:sz w:val="18"/>
        </w:rPr>
        <w:t xml:space="preserve"> </w:t>
      </w:r>
      <w:r>
        <w:rPr>
          <w:rFonts w:ascii="Arial"/>
          <w:color w:val="1A1A1A"/>
          <w:spacing w:val="-4"/>
          <w:w w:val="105"/>
          <w:sz w:val="18"/>
        </w:rPr>
        <w:t>2022</w:t>
      </w:r>
    </w:p>
    <w:p w14:paraId="51DE8EBF" w14:textId="77777777" w:rsidR="0010369C" w:rsidRDefault="0010369C">
      <w:pPr>
        <w:jc w:val="right"/>
        <w:rPr>
          <w:rFonts w:ascii="Arial"/>
          <w:sz w:val="18"/>
        </w:rPr>
        <w:sectPr w:rsidR="0010369C">
          <w:pgSz w:w="11910" w:h="16840"/>
          <w:pgMar w:top="820" w:right="800" w:bottom="1020" w:left="1180" w:header="491" w:footer="805" w:gutter="0"/>
          <w:cols w:num="2" w:space="720" w:equalWidth="0">
            <w:col w:w="4921" w:space="1293"/>
            <w:col w:w="3716"/>
          </w:cols>
        </w:sectPr>
      </w:pPr>
    </w:p>
    <w:p w14:paraId="51DE8EC0" w14:textId="77777777" w:rsidR="0010369C" w:rsidRDefault="0010369C">
      <w:pPr>
        <w:pStyle w:val="BodyText"/>
        <w:spacing w:before="5"/>
        <w:rPr>
          <w:rFonts w:ascii="Arial"/>
          <w:sz w:val="2"/>
        </w:rPr>
      </w:pPr>
    </w:p>
    <w:p w14:paraId="51DE8EC1" w14:textId="77777777" w:rsidR="0010369C" w:rsidRDefault="008E43AE">
      <w:pPr>
        <w:pStyle w:val="BodyText"/>
        <w:ind w:left="1930"/>
        <w:rPr>
          <w:rFonts w:ascii="Arial"/>
          <w:sz w:val="20"/>
        </w:rPr>
      </w:pPr>
      <w:r>
        <w:rPr>
          <w:rFonts w:ascii="Arial"/>
          <w:noProof/>
          <w:sz w:val="20"/>
        </w:rPr>
        <w:drawing>
          <wp:inline distT="0" distB="0" distL="0" distR="0" wp14:anchorId="51DEA494" wp14:editId="51DEA495">
            <wp:extent cx="4714364" cy="1876234"/>
            <wp:effectExtent l="0" t="0" r="0" b="0"/>
            <wp:docPr id="1151" name="image5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 name="image590.png"/>
                    <pic:cNvPicPr/>
                  </pic:nvPicPr>
                  <pic:blipFill>
                    <a:blip r:embed="rId774" cstate="print"/>
                    <a:stretch>
                      <a:fillRect/>
                    </a:stretch>
                  </pic:blipFill>
                  <pic:spPr>
                    <a:xfrm>
                      <a:off x="0" y="0"/>
                      <a:ext cx="4714364" cy="1876234"/>
                    </a:xfrm>
                    <a:prstGeom prst="rect">
                      <a:avLst/>
                    </a:prstGeom>
                  </pic:spPr>
                </pic:pic>
              </a:graphicData>
            </a:graphic>
          </wp:inline>
        </w:drawing>
      </w:r>
    </w:p>
    <w:p w14:paraId="51DE8EC2" w14:textId="77777777" w:rsidR="0010369C" w:rsidRDefault="0010369C">
      <w:pPr>
        <w:pStyle w:val="BodyText"/>
        <w:spacing w:before="10"/>
        <w:rPr>
          <w:rFonts w:ascii="Arial"/>
          <w:sz w:val="15"/>
        </w:rPr>
      </w:pPr>
    </w:p>
    <w:p w14:paraId="51DE8EC3" w14:textId="77777777" w:rsidR="0010369C" w:rsidRDefault="008E43AE">
      <w:pPr>
        <w:pStyle w:val="ListParagraph"/>
        <w:numPr>
          <w:ilvl w:val="0"/>
          <w:numId w:val="55"/>
        </w:numPr>
        <w:tabs>
          <w:tab w:val="left" w:pos="1950"/>
          <w:tab w:val="left" w:pos="1951"/>
        </w:tabs>
        <w:spacing w:before="94" w:line="432" w:lineRule="auto"/>
        <w:ind w:right="570" w:hanging="845"/>
        <w:rPr>
          <w:rFonts w:ascii="Times New Roman" w:hAnsi="Times New Roman"/>
          <w:sz w:val="15"/>
        </w:rPr>
      </w:pPr>
      <w:r>
        <w:rPr>
          <w:rFonts w:ascii="Arial" w:hAnsi="Arial"/>
          <w:color w:val="1A1A1A"/>
          <w:w w:val="110"/>
          <w:sz w:val="21"/>
        </w:rPr>
        <w:t>Australia</w:t>
      </w:r>
      <w:r>
        <w:rPr>
          <w:rFonts w:ascii="Arial" w:hAnsi="Arial"/>
          <w:color w:val="1A1A1A"/>
          <w:spacing w:val="-4"/>
          <w:w w:val="110"/>
          <w:sz w:val="21"/>
        </w:rPr>
        <w:t xml:space="preserve"> </w:t>
      </w:r>
      <w:r>
        <w:rPr>
          <w:rFonts w:ascii="Arial" w:hAnsi="Arial"/>
          <w:color w:val="0C0C0C"/>
          <w:w w:val="110"/>
          <w:sz w:val="21"/>
        </w:rPr>
        <w:t>does</w:t>
      </w:r>
      <w:r>
        <w:rPr>
          <w:rFonts w:ascii="Arial" w:hAnsi="Arial"/>
          <w:color w:val="0C0C0C"/>
          <w:spacing w:val="-9"/>
          <w:w w:val="110"/>
          <w:sz w:val="21"/>
        </w:rPr>
        <w:t xml:space="preserve"> </w:t>
      </w:r>
      <w:r>
        <w:rPr>
          <w:rFonts w:ascii="Arial" w:hAnsi="Arial"/>
          <w:color w:val="0C0C0C"/>
          <w:w w:val="110"/>
          <w:sz w:val="21"/>
        </w:rPr>
        <w:t>not have</w:t>
      </w:r>
      <w:r>
        <w:rPr>
          <w:rFonts w:ascii="Arial" w:hAnsi="Arial"/>
          <w:color w:val="0C0C0C"/>
          <w:spacing w:val="-13"/>
          <w:w w:val="110"/>
          <w:sz w:val="21"/>
        </w:rPr>
        <w:t xml:space="preserve"> </w:t>
      </w:r>
      <w:r>
        <w:rPr>
          <w:rFonts w:ascii="Arial" w:hAnsi="Arial"/>
          <w:color w:val="0C0C0C"/>
          <w:w w:val="110"/>
          <w:sz w:val="21"/>
        </w:rPr>
        <w:t>access</w:t>
      </w:r>
      <w:r>
        <w:rPr>
          <w:rFonts w:ascii="Arial" w:hAnsi="Arial"/>
          <w:color w:val="0C0C0C"/>
          <w:spacing w:val="-6"/>
          <w:w w:val="110"/>
          <w:sz w:val="21"/>
        </w:rPr>
        <w:t xml:space="preserve"> </w:t>
      </w:r>
      <w:r>
        <w:rPr>
          <w:rFonts w:ascii="Arial" w:hAnsi="Arial"/>
          <w:color w:val="0C0C0C"/>
          <w:w w:val="110"/>
          <w:sz w:val="21"/>
        </w:rPr>
        <w:t>to</w:t>
      </w:r>
      <w:r>
        <w:rPr>
          <w:rFonts w:ascii="Arial" w:hAnsi="Arial"/>
          <w:color w:val="0C0C0C"/>
          <w:spacing w:val="17"/>
          <w:w w:val="110"/>
          <w:sz w:val="21"/>
        </w:rPr>
        <w:t xml:space="preserve"> </w:t>
      </w:r>
      <w:r>
        <w:rPr>
          <w:rFonts w:ascii="Arial" w:hAnsi="Arial"/>
          <w:color w:val="0C0C0C"/>
          <w:w w:val="110"/>
          <w:sz w:val="21"/>
        </w:rPr>
        <w:t>evidence</w:t>
      </w:r>
      <w:r>
        <w:rPr>
          <w:rFonts w:ascii="Arial" w:hAnsi="Arial"/>
          <w:color w:val="0C0C0C"/>
          <w:spacing w:val="-8"/>
          <w:w w:val="110"/>
          <w:sz w:val="21"/>
        </w:rPr>
        <w:t xml:space="preserve"> </w:t>
      </w:r>
      <w:r>
        <w:rPr>
          <w:rFonts w:ascii="Arial" w:hAnsi="Arial"/>
          <w:color w:val="0C0C0C"/>
          <w:w w:val="110"/>
          <w:sz w:val="21"/>
        </w:rPr>
        <w:t>provided</w:t>
      </w:r>
      <w:r>
        <w:rPr>
          <w:rFonts w:ascii="Arial" w:hAnsi="Arial"/>
          <w:color w:val="0C0C0C"/>
          <w:spacing w:val="-13"/>
          <w:w w:val="110"/>
          <w:sz w:val="21"/>
        </w:rPr>
        <w:t xml:space="preserve"> </w:t>
      </w:r>
      <w:r>
        <w:rPr>
          <w:rFonts w:ascii="Arial" w:hAnsi="Arial"/>
          <w:color w:val="0C0C0C"/>
          <w:w w:val="110"/>
          <w:sz w:val="21"/>
        </w:rPr>
        <w:t>by</w:t>
      </w:r>
      <w:r>
        <w:rPr>
          <w:rFonts w:ascii="Arial" w:hAnsi="Arial"/>
          <w:color w:val="0C0C0C"/>
          <w:spacing w:val="-17"/>
          <w:w w:val="110"/>
          <w:sz w:val="21"/>
        </w:rPr>
        <w:t xml:space="preserve"> </w:t>
      </w:r>
      <w:r>
        <w:rPr>
          <w:rFonts w:ascii="Arial" w:hAnsi="Arial"/>
          <w:color w:val="1A1A1A"/>
          <w:w w:val="110"/>
          <w:sz w:val="21"/>
        </w:rPr>
        <w:t>Swan</w:t>
      </w:r>
      <w:r>
        <w:rPr>
          <w:rFonts w:ascii="Arial" w:hAnsi="Arial"/>
          <w:color w:val="1A1A1A"/>
          <w:spacing w:val="-11"/>
          <w:w w:val="110"/>
          <w:sz w:val="21"/>
        </w:rPr>
        <w:t xml:space="preserve"> </w:t>
      </w:r>
      <w:r>
        <w:rPr>
          <w:rFonts w:ascii="Arial" w:hAnsi="Arial"/>
          <w:color w:val="1A1A1A"/>
          <w:w w:val="110"/>
          <w:sz w:val="21"/>
        </w:rPr>
        <w:t>Vintage</w:t>
      </w:r>
      <w:r>
        <w:rPr>
          <w:rFonts w:ascii="Arial" w:hAnsi="Arial"/>
          <w:color w:val="1A1A1A"/>
          <w:spacing w:val="-8"/>
          <w:w w:val="110"/>
          <w:sz w:val="21"/>
        </w:rPr>
        <w:t xml:space="preserve"> </w:t>
      </w:r>
      <w:r>
        <w:rPr>
          <w:rFonts w:ascii="Arial" w:hAnsi="Arial"/>
          <w:color w:val="0C0C0C"/>
          <w:w w:val="110"/>
          <w:sz w:val="21"/>
        </w:rPr>
        <w:t>in relation</w:t>
      </w:r>
      <w:r>
        <w:rPr>
          <w:rFonts w:ascii="Arial" w:hAnsi="Arial"/>
          <w:color w:val="0C0C0C"/>
          <w:spacing w:val="-17"/>
          <w:w w:val="110"/>
          <w:sz w:val="21"/>
        </w:rPr>
        <w:t xml:space="preserve"> </w:t>
      </w:r>
      <w:r>
        <w:rPr>
          <w:rFonts w:ascii="Arial" w:hAnsi="Arial"/>
          <w:color w:val="0C0C0C"/>
          <w:w w:val="110"/>
          <w:sz w:val="21"/>
        </w:rPr>
        <w:t>to</w:t>
      </w:r>
      <w:r>
        <w:rPr>
          <w:rFonts w:ascii="Arial" w:hAnsi="Arial"/>
          <w:color w:val="0C0C0C"/>
          <w:spacing w:val="-16"/>
          <w:w w:val="110"/>
          <w:sz w:val="21"/>
        </w:rPr>
        <w:t xml:space="preserve"> </w:t>
      </w:r>
      <w:r>
        <w:rPr>
          <w:rFonts w:ascii="Arial" w:hAnsi="Arial"/>
          <w:color w:val="0C0C0C"/>
          <w:w w:val="110"/>
          <w:sz w:val="21"/>
        </w:rPr>
        <w:t>its</w:t>
      </w:r>
      <w:r>
        <w:rPr>
          <w:rFonts w:ascii="Arial" w:hAnsi="Arial"/>
          <w:color w:val="0C0C0C"/>
          <w:spacing w:val="-16"/>
          <w:w w:val="110"/>
          <w:sz w:val="21"/>
        </w:rPr>
        <w:t xml:space="preserve"> </w:t>
      </w:r>
      <w:r>
        <w:rPr>
          <w:rFonts w:ascii="Arial" w:hAnsi="Arial"/>
          <w:color w:val="0C0C0C"/>
          <w:w w:val="110"/>
          <w:sz w:val="21"/>
        </w:rPr>
        <w:t>internal</w:t>
      </w:r>
      <w:r>
        <w:rPr>
          <w:rFonts w:ascii="Arial" w:hAnsi="Arial"/>
          <w:color w:val="0C0C0C"/>
          <w:spacing w:val="-16"/>
          <w:w w:val="110"/>
          <w:sz w:val="21"/>
        </w:rPr>
        <w:t xml:space="preserve"> </w:t>
      </w:r>
      <w:r>
        <w:rPr>
          <w:rFonts w:ascii="Arial" w:hAnsi="Arial"/>
          <w:color w:val="0C0C0C"/>
          <w:w w:val="110"/>
          <w:sz w:val="21"/>
        </w:rPr>
        <w:t>product</w:t>
      </w:r>
      <w:r>
        <w:rPr>
          <w:rFonts w:ascii="Arial" w:hAnsi="Arial"/>
          <w:color w:val="0C0C0C"/>
          <w:spacing w:val="-16"/>
          <w:w w:val="110"/>
          <w:sz w:val="21"/>
        </w:rPr>
        <w:t xml:space="preserve"> </w:t>
      </w:r>
      <w:r>
        <w:rPr>
          <w:rFonts w:ascii="Arial" w:hAnsi="Arial"/>
          <w:color w:val="0C0C0C"/>
          <w:w w:val="110"/>
          <w:sz w:val="21"/>
        </w:rPr>
        <w:t>quality</w:t>
      </w:r>
      <w:r>
        <w:rPr>
          <w:rFonts w:ascii="Arial" w:hAnsi="Arial"/>
          <w:color w:val="0C0C0C"/>
          <w:spacing w:val="-16"/>
          <w:w w:val="110"/>
          <w:sz w:val="21"/>
        </w:rPr>
        <w:t xml:space="preserve"> </w:t>
      </w:r>
      <w:r>
        <w:rPr>
          <w:rFonts w:ascii="Arial" w:hAnsi="Arial"/>
          <w:color w:val="0C0C0C"/>
          <w:w w:val="110"/>
          <w:sz w:val="21"/>
        </w:rPr>
        <w:t>grading</w:t>
      </w:r>
      <w:r>
        <w:rPr>
          <w:rFonts w:ascii="Arial" w:hAnsi="Arial"/>
          <w:color w:val="0C0C0C"/>
          <w:spacing w:val="-16"/>
          <w:w w:val="110"/>
          <w:sz w:val="21"/>
        </w:rPr>
        <w:t xml:space="preserve"> </w:t>
      </w:r>
      <w:r>
        <w:rPr>
          <w:rFonts w:ascii="Arial" w:hAnsi="Arial"/>
          <w:color w:val="1A1A1A"/>
          <w:w w:val="110"/>
          <w:sz w:val="21"/>
        </w:rPr>
        <w:t>system,</w:t>
      </w:r>
      <w:r>
        <w:rPr>
          <w:rFonts w:ascii="Arial" w:hAnsi="Arial"/>
          <w:color w:val="1A1A1A"/>
          <w:spacing w:val="-16"/>
          <w:w w:val="110"/>
          <w:sz w:val="21"/>
        </w:rPr>
        <w:t xml:space="preserve"> </w:t>
      </w:r>
      <w:r>
        <w:rPr>
          <w:rFonts w:ascii="Arial" w:hAnsi="Arial"/>
          <w:color w:val="0C0C0C"/>
          <w:w w:val="110"/>
          <w:sz w:val="21"/>
        </w:rPr>
        <w:t>as</w:t>
      </w:r>
      <w:r>
        <w:rPr>
          <w:rFonts w:ascii="Arial" w:hAnsi="Arial"/>
          <w:color w:val="0C0C0C"/>
          <w:spacing w:val="-16"/>
          <w:w w:val="110"/>
          <w:sz w:val="21"/>
        </w:rPr>
        <w:t xml:space="preserve"> </w:t>
      </w:r>
      <w:r>
        <w:rPr>
          <w:rFonts w:ascii="Arial" w:hAnsi="Arial"/>
          <w:color w:val="0C0C0C"/>
          <w:w w:val="110"/>
          <w:sz w:val="21"/>
        </w:rPr>
        <w:t>this</w:t>
      </w:r>
      <w:r>
        <w:rPr>
          <w:rFonts w:ascii="Arial" w:hAnsi="Arial"/>
          <w:color w:val="0C0C0C"/>
          <w:spacing w:val="-16"/>
          <w:w w:val="110"/>
          <w:sz w:val="21"/>
        </w:rPr>
        <w:t xml:space="preserve"> </w:t>
      </w:r>
      <w:r>
        <w:rPr>
          <w:rFonts w:ascii="Arial" w:hAnsi="Arial"/>
          <w:color w:val="0C0C0C"/>
          <w:w w:val="110"/>
          <w:sz w:val="21"/>
        </w:rPr>
        <w:t>information</w:t>
      </w:r>
      <w:r>
        <w:rPr>
          <w:rFonts w:ascii="Arial" w:hAnsi="Arial"/>
          <w:color w:val="0C0C0C"/>
          <w:spacing w:val="-16"/>
          <w:w w:val="110"/>
          <w:sz w:val="21"/>
        </w:rPr>
        <w:t xml:space="preserve"> </w:t>
      </w:r>
      <w:r>
        <w:rPr>
          <w:rFonts w:ascii="Arial" w:hAnsi="Arial"/>
          <w:color w:val="0C0C0C"/>
          <w:w w:val="110"/>
          <w:sz w:val="21"/>
        </w:rPr>
        <w:t xml:space="preserve">is </w:t>
      </w:r>
      <w:r>
        <w:rPr>
          <w:rFonts w:ascii="Arial" w:hAnsi="Arial"/>
          <w:color w:val="1A1A1A"/>
          <w:w w:val="105"/>
          <w:sz w:val="21"/>
        </w:rPr>
        <w:t xml:space="preserve">subject </w:t>
      </w:r>
      <w:r>
        <w:rPr>
          <w:rFonts w:ascii="Arial" w:hAnsi="Arial"/>
          <w:color w:val="0C0C0C"/>
          <w:w w:val="105"/>
          <w:sz w:val="21"/>
        </w:rPr>
        <w:t>to confidentiality</w:t>
      </w:r>
      <w:r>
        <w:rPr>
          <w:rFonts w:ascii="Arial" w:hAnsi="Arial"/>
          <w:color w:val="0C0C0C"/>
          <w:spacing w:val="-16"/>
          <w:w w:val="105"/>
          <w:sz w:val="21"/>
        </w:rPr>
        <w:t xml:space="preserve"> </w:t>
      </w:r>
      <w:r>
        <w:rPr>
          <w:rFonts w:ascii="Arial" w:hAnsi="Arial"/>
          <w:color w:val="0C0C0C"/>
          <w:w w:val="105"/>
          <w:sz w:val="21"/>
        </w:rPr>
        <w:t>claims. However,</w:t>
      </w:r>
      <w:r>
        <w:rPr>
          <w:rFonts w:ascii="Arial" w:hAnsi="Arial"/>
          <w:color w:val="0C0C0C"/>
          <w:spacing w:val="-5"/>
          <w:w w:val="105"/>
          <w:sz w:val="21"/>
        </w:rPr>
        <w:t xml:space="preserve"> </w:t>
      </w:r>
      <w:r>
        <w:rPr>
          <w:rFonts w:ascii="Arial" w:hAnsi="Arial"/>
          <w:color w:val="0C0C0C"/>
          <w:w w:val="105"/>
          <w:sz w:val="21"/>
        </w:rPr>
        <w:t xml:space="preserve">the public materials </w:t>
      </w:r>
      <w:r>
        <w:rPr>
          <w:rFonts w:ascii="Arial" w:hAnsi="Arial"/>
          <w:color w:val="1A1A1A"/>
          <w:w w:val="105"/>
          <w:sz w:val="21"/>
        </w:rPr>
        <w:t xml:space="preserve">suggest </w:t>
      </w:r>
      <w:r>
        <w:rPr>
          <w:rFonts w:ascii="Arial" w:hAnsi="Arial"/>
          <w:color w:val="0C0C0C"/>
          <w:w w:val="105"/>
          <w:sz w:val="21"/>
        </w:rPr>
        <w:t xml:space="preserve">that </w:t>
      </w:r>
      <w:r>
        <w:rPr>
          <w:rFonts w:ascii="Arial" w:hAnsi="Arial"/>
          <w:color w:val="1A1A1A"/>
          <w:w w:val="110"/>
          <w:sz w:val="21"/>
        </w:rPr>
        <w:t xml:space="preserve">Swan Vintage </w:t>
      </w:r>
      <w:r>
        <w:rPr>
          <w:rFonts w:ascii="Arial" w:hAnsi="Arial"/>
          <w:color w:val="0C0C0C"/>
          <w:w w:val="110"/>
          <w:sz w:val="21"/>
        </w:rPr>
        <w:t>did provide this information to MOFCOM.</w:t>
      </w:r>
      <w:r>
        <w:rPr>
          <w:rFonts w:ascii="Times New Roman" w:hAnsi="Times New Roman"/>
          <w:color w:val="0C0C0C"/>
          <w:w w:val="110"/>
          <w:position w:val="7"/>
          <w:sz w:val="15"/>
        </w:rPr>
        <w:t>6</w:t>
      </w:r>
      <w:r>
        <w:rPr>
          <w:rFonts w:ascii="Times New Roman" w:hAnsi="Times New Roman"/>
          <w:color w:val="2A2A2A"/>
          <w:w w:val="110"/>
          <w:position w:val="7"/>
          <w:sz w:val="15"/>
        </w:rPr>
        <w:t>67</w:t>
      </w:r>
      <w:r>
        <w:rPr>
          <w:rFonts w:ascii="Times New Roman" w:hAnsi="Times New Roman"/>
          <w:color w:val="2A2A2A"/>
          <w:spacing w:val="37"/>
          <w:w w:val="110"/>
          <w:position w:val="7"/>
          <w:sz w:val="15"/>
        </w:rPr>
        <w:t xml:space="preserve"> </w:t>
      </w:r>
      <w:r>
        <w:rPr>
          <w:rFonts w:ascii="Arial" w:hAnsi="Arial"/>
          <w:color w:val="0C0C0C"/>
          <w:w w:val="110"/>
          <w:sz w:val="21"/>
        </w:rPr>
        <w:t xml:space="preserve">The publicly available evidence </w:t>
      </w:r>
      <w:r>
        <w:rPr>
          <w:rFonts w:ascii="Arial" w:hAnsi="Arial"/>
          <w:color w:val="1A1A1A"/>
          <w:w w:val="110"/>
          <w:sz w:val="21"/>
        </w:rPr>
        <w:t xml:space="preserve">shows </w:t>
      </w:r>
      <w:r>
        <w:rPr>
          <w:rFonts w:ascii="Arial" w:hAnsi="Arial"/>
          <w:color w:val="0C0C0C"/>
          <w:w w:val="110"/>
          <w:sz w:val="21"/>
        </w:rPr>
        <w:t xml:space="preserve">that </w:t>
      </w:r>
      <w:r>
        <w:rPr>
          <w:rFonts w:ascii="Arial" w:hAnsi="Arial"/>
          <w:color w:val="1A1A1A"/>
          <w:w w:val="110"/>
          <w:sz w:val="21"/>
        </w:rPr>
        <w:t xml:space="preserve">Swan Vintage sold </w:t>
      </w:r>
      <w:r>
        <w:rPr>
          <w:rFonts w:ascii="Arial" w:hAnsi="Arial"/>
          <w:color w:val="0C0C0C"/>
          <w:w w:val="110"/>
          <w:sz w:val="21"/>
        </w:rPr>
        <w:t xml:space="preserve">products falling into between 10 and 17 </w:t>
      </w:r>
      <w:r>
        <w:rPr>
          <w:rFonts w:ascii="Arial" w:hAnsi="Arial"/>
          <w:color w:val="1A1A1A"/>
          <w:w w:val="110"/>
          <w:sz w:val="21"/>
        </w:rPr>
        <w:t xml:space="preserve">different </w:t>
      </w:r>
      <w:r>
        <w:rPr>
          <w:rFonts w:ascii="Arial" w:hAnsi="Arial"/>
          <w:color w:val="0C0C0C"/>
          <w:w w:val="110"/>
          <w:sz w:val="21"/>
        </w:rPr>
        <w:t xml:space="preserve">product </w:t>
      </w:r>
      <w:r>
        <w:rPr>
          <w:rFonts w:ascii="Arial" w:hAnsi="Arial"/>
          <w:color w:val="1A1A1A"/>
          <w:w w:val="110"/>
          <w:sz w:val="21"/>
        </w:rPr>
        <w:t xml:space="preserve">quality categories </w:t>
      </w:r>
      <w:r>
        <w:rPr>
          <w:rFonts w:ascii="Arial" w:hAnsi="Arial"/>
          <w:color w:val="0C0C0C"/>
          <w:w w:val="110"/>
          <w:sz w:val="21"/>
        </w:rPr>
        <w:t xml:space="preserve">throughout the </w:t>
      </w:r>
      <w:r>
        <w:rPr>
          <w:rFonts w:ascii="Arial" w:hAnsi="Arial"/>
          <w:color w:val="0C0C0C"/>
          <w:w w:val="105"/>
          <w:sz w:val="21"/>
        </w:rPr>
        <w:t>Injury POl.</w:t>
      </w:r>
      <w:r>
        <w:rPr>
          <w:rFonts w:ascii="Times New Roman" w:hAnsi="Times New Roman"/>
          <w:color w:val="2A2A2A"/>
          <w:w w:val="105"/>
          <w:position w:val="7"/>
          <w:sz w:val="15"/>
        </w:rPr>
        <w:t>668</w:t>
      </w:r>
      <w:r>
        <w:rPr>
          <w:rFonts w:ascii="Times New Roman" w:hAnsi="Times New Roman"/>
          <w:color w:val="2A2A2A"/>
          <w:spacing w:val="35"/>
          <w:w w:val="105"/>
          <w:position w:val="7"/>
          <w:sz w:val="15"/>
        </w:rPr>
        <w:t xml:space="preserve"> </w:t>
      </w:r>
      <w:r>
        <w:rPr>
          <w:rFonts w:ascii="Arial" w:hAnsi="Arial"/>
          <w:color w:val="0C0C0C"/>
          <w:w w:val="105"/>
          <w:sz w:val="21"/>
        </w:rPr>
        <w:t>The</w:t>
      </w:r>
      <w:r>
        <w:rPr>
          <w:rFonts w:ascii="Arial" w:hAnsi="Arial"/>
          <w:color w:val="0C0C0C"/>
          <w:spacing w:val="-5"/>
          <w:w w:val="105"/>
          <w:sz w:val="21"/>
        </w:rPr>
        <w:t xml:space="preserve"> </w:t>
      </w:r>
      <w:r>
        <w:rPr>
          <w:rFonts w:ascii="Arial" w:hAnsi="Arial"/>
          <w:color w:val="0C0C0C"/>
          <w:w w:val="105"/>
          <w:sz w:val="21"/>
        </w:rPr>
        <w:t>publicly available indexed price</w:t>
      </w:r>
      <w:r>
        <w:rPr>
          <w:rFonts w:ascii="Arial" w:hAnsi="Arial"/>
          <w:color w:val="0C0C0C"/>
          <w:spacing w:val="-6"/>
          <w:w w:val="105"/>
          <w:sz w:val="21"/>
        </w:rPr>
        <w:t xml:space="preserve"> </w:t>
      </w:r>
      <w:r>
        <w:rPr>
          <w:rFonts w:ascii="Arial" w:hAnsi="Arial"/>
          <w:color w:val="0C0C0C"/>
          <w:w w:val="105"/>
          <w:sz w:val="21"/>
        </w:rPr>
        <w:t xml:space="preserve">information </w:t>
      </w:r>
      <w:r>
        <w:rPr>
          <w:rFonts w:ascii="Arial" w:hAnsi="Arial"/>
          <w:color w:val="1A1A1A"/>
          <w:w w:val="105"/>
          <w:sz w:val="21"/>
        </w:rPr>
        <w:t xml:space="preserve">suggests </w:t>
      </w:r>
      <w:r>
        <w:rPr>
          <w:rFonts w:ascii="Arial" w:hAnsi="Arial"/>
          <w:color w:val="0C0C0C"/>
          <w:w w:val="105"/>
          <w:sz w:val="21"/>
        </w:rPr>
        <w:t xml:space="preserve">that </w:t>
      </w:r>
      <w:r>
        <w:rPr>
          <w:rFonts w:ascii="Arial" w:hAnsi="Arial"/>
          <w:color w:val="0C0C0C"/>
          <w:w w:val="110"/>
          <w:sz w:val="21"/>
        </w:rPr>
        <w:t>there</w:t>
      </w:r>
      <w:r>
        <w:rPr>
          <w:rFonts w:ascii="Arial" w:hAnsi="Arial"/>
          <w:color w:val="0C0C0C"/>
          <w:spacing w:val="-17"/>
          <w:w w:val="110"/>
          <w:sz w:val="21"/>
        </w:rPr>
        <w:t xml:space="preserve"> </w:t>
      </w:r>
      <w:r>
        <w:rPr>
          <w:rFonts w:ascii="Arial" w:hAnsi="Arial"/>
          <w:color w:val="1A1A1A"/>
          <w:w w:val="110"/>
          <w:sz w:val="21"/>
        </w:rPr>
        <w:t>were</w:t>
      </w:r>
      <w:r>
        <w:rPr>
          <w:rFonts w:ascii="Arial" w:hAnsi="Arial"/>
          <w:color w:val="1A1A1A"/>
          <w:spacing w:val="-16"/>
          <w:w w:val="110"/>
          <w:sz w:val="21"/>
        </w:rPr>
        <w:t xml:space="preserve"> </w:t>
      </w:r>
      <w:r>
        <w:rPr>
          <w:rFonts w:ascii="Arial" w:hAnsi="Arial"/>
          <w:color w:val="1A1A1A"/>
          <w:w w:val="110"/>
          <w:sz w:val="21"/>
        </w:rPr>
        <w:t>significant</w:t>
      </w:r>
      <w:r>
        <w:rPr>
          <w:rFonts w:ascii="Arial" w:hAnsi="Arial"/>
          <w:color w:val="1A1A1A"/>
          <w:spacing w:val="-16"/>
          <w:w w:val="110"/>
          <w:sz w:val="21"/>
        </w:rPr>
        <w:t xml:space="preserve"> </w:t>
      </w:r>
      <w:r>
        <w:rPr>
          <w:rFonts w:ascii="Arial" w:hAnsi="Arial"/>
          <w:color w:val="0C0C0C"/>
          <w:w w:val="110"/>
          <w:sz w:val="21"/>
        </w:rPr>
        <w:t>price</w:t>
      </w:r>
      <w:r>
        <w:rPr>
          <w:rFonts w:ascii="Arial" w:hAnsi="Arial"/>
          <w:color w:val="0C0C0C"/>
          <w:spacing w:val="-16"/>
          <w:w w:val="110"/>
          <w:sz w:val="21"/>
        </w:rPr>
        <w:t xml:space="preserve"> </w:t>
      </w:r>
      <w:r>
        <w:rPr>
          <w:rFonts w:ascii="Arial" w:hAnsi="Arial"/>
          <w:color w:val="1A1A1A"/>
          <w:w w:val="110"/>
          <w:sz w:val="21"/>
        </w:rPr>
        <w:t>differences</w:t>
      </w:r>
      <w:r>
        <w:rPr>
          <w:rFonts w:ascii="Arial" w:hAnsi="Arial"/>
          <w:color w:val="1A1A1A"/>
          <w:spacing w:val="-16"/>
          <w:w w:val="110"/>
          <w:sz w:val="21"/>
        </w:rPr>
        <w:t xml:space="preserve"> </w:t>
      </w:r>
      <w:r>
        <w:rPr>
          <w:rFonts w:ascii="Arial" w:hAnsi="Arial"/>
          <w:color w:val="0C0C0C"/>
          <w:w w:val="110"/>
          <w:sz w:val="21"/>
        </w:rPr>
        <w:t>between</w:t>
      </w:r>
      <w:r>
        <w:rPr>
          <w:rFonts w:ascii="Arial" w:hAnsi="Arial"/>
          <w:color w:val="0C0C0C"/>
          <w:spacing w:val="-16"/>
          <w:w w:val="110"/>
          <w:sz w:val="21"/>
        </w:rPr>
        <w:t xml:space="preserve"> </w:t>
      </w:r>
      <w:r>
        <w:rPr>
          <w:rFonts w:ascii="Arial" w:hAnsi="Arial"/>
          <w:color w:val="0C0C0C"/>
          <w:w w:val="110"/>
          <w:sz w:val="21"/>
        </w:rPr>
        <w:t>each</w:t>
      </w:r>
      <w:r>
        <w:rPr>
          <w:rFonts w:ascii="Arial" w:hAnsi="Arial"/>
          <w:color w:val="0C0C0C"/>
          <w:spacing w:val="-16"/>
          <w:w w:val="110"/>
          <w:sz w:val="21"/>
        </w:rPr>
        <w:t xml:space="preserve"> </w:t>
      </w:r>
      <w:r>
        <w:rPr>
          <w:rFonts w:ascii="Arial" w:hAnsi="Arial"/>
          <w:color w:val="1A1A1A"/>
          <w:w w:val="110"/>
          <w:sz w:val="21"/>
        </w:rPr>
        <w:t>of</w:t>
      </w:r>
      <w:r>
        <w:rPr>
          <w:rFonts w:ascii="Arial" w:hAnsi="Arial"/>
          <w:color w:val="1A1A1A"/>
          <w:spacing w:val="-16"/>
          <w:w w:val="110"/>
          <w:sz w:val="21"/>
        </w:rPr>
        <w:t xml:space="preserve"> </w:t>
      </w:r>
      <w:r>
        <w:rPr>
          <w:rFonts w:ascii="Arial" w:hAnsi="Arial"/>
          <w:color w:val="0C0C0C"/>
          <w:w w:val="110"/>
          <w:sz w:val="21"/>
        </w:rPr>
        <w:t>these</w:t>
      </w:r>
      <w:r>
        <w:rPr>
          <w:rFonts w:ascii="Arial" w:hAnsi="Arial"/>
          <w:color w:val="0C0C0C"/>
          <w:spacing w:val="-16"/>
          <w:w w:val="110"/>
          <w:sz w:val="21"/>
        </w:rPr>
        <w:t xml:space="preserve"> </w:t>
      </w:r>
      <w:r>
        <w:rPr>
          <w:rFonts w:ascii="Arial" w:hAnsi="Arial"/>
          <w:color w:val="1A1A1A"/>
          <w:w w:val="110"/>
          <w:sz w:val="21"/>
        </w:rPr>
        <w:t xml:space="preserve">categories. </w:t>
      </w:r>
      <w:r>
        <w:rPr>
          <w:rFonts w:ascii="Arial" w:hAnsi="Arial"/>
          <w:color w:val="0C0C0C"/>
          <w:w w:val="110"/>
          <w:sz w:val="21"/>
        </w:rPr>
        <w:t xml:space="preserve">By </w:t>
      </w:r>
      <w:r>
        <w:rPr>
          <w:rFonts w:ascii="Arial" w:hAnsi="Arial"/>
          <w:color w:val="1A1A1A"/>
          <w:w w:val="110"/>
          <w:sz w:val="21"/>
        </w:rPr>
        <w:t xml:space="preserve">way of </w:t>
      </w:r>
      <w:r>
        <w:rPr>
          <w:rFonts w:ascii="Arial" w:hAnsi="Arial"/>
          <w:color w:val="0C0C0C"/>
          <w:w w:val="110"/>
          <w:sz w:val="21"/>
        </w:rPr>
        <w:t xml:space="preserve">example, this evidence </w:t>
      </w:r>
      <w:r>
        <w:rPr>
          <w:rFonts w:ascii="Arial" w:hAnsi="Arial"/>
          <w:color w:val="1A1A1A"/>
          <w:w w:val="110"/>
          <w:sz w:val="21"/>
        </w:rPr>
        <w:t xml:space="preserve">shows </w:t>
      </w:r>
      <w:r>
        <w:rPr>
          <w:rFonts w:ascii="Arial" w:hAnsi="Arial"/>
          <w:color w:val="0C0C0C"/>
          <w:w w:val="110"/>
          <w:sz w:val="21"/>
        </w:rPr>
        <w:t xml:space="preserve">that </w:t>
      </w:r>
      <w:r>
        <w:rPr>
          <w:rFonts w:ascii="Arial" w:hAnsi="Arial"/>
          <w:color w:val="1A1A1A"/>
          <w:w w:val="110"/>
          <w:sz w:val="21"/>
        </w:rPr>
        <w:t xml:space="preserve">Swan Vintage </w:t>
      </w:r>
      <w:r>
        <w:rPr>
          <w:rFonts w:ascii="Arial" w:hAnsi="Arial"/>
          <w:color w:val="0C0C0C"/>
          <w:w w:val="110"/>
          <w:sz w:val="21"/>
        </w:rPr>
        <w:t xml:space="preserve">exported products in 17 </w:t>
      </w:r>
      <w:r>
        <w:rPr>
          <w:rFonts w:ascii="Arial" w:hAnsi="Arial"/>
          <w:color w:val="1A1A1A"/>
          <w:w w:val="110"/>
          <w:sz w:val="21"/>
        </w:rPr>
        <w:t xml:space="preserve">different </w:t>
      </w:r>
      <w:r>
        <w:rPr>
          <w:rFonts w:ascii="Arial" w:hAnsi="Arial"/>
          <w:color w:val="0C0C0C"/>
          <w:w w:val="110"/>
          <w:sz w:val="21"/>
        </w:rPr>
        <w:t xml:space="preserve">quality </w:t>
      </w:r>
      <w:r>
        <w:rPr>
          <w:rFonts w:ascii="Arial" w:hAnsi="Arial"/>
          <w:color w:val="1A1A1A"/>
          <w:w w:val="110"/>
          <w:sz w:val="21"/>
        </w:rPr>
        <w:t xml:space="preserve">categories </w:t>
      </w:r>
      <w:r>
        <w:rPr>
          <w:rFonts w:ascii="Arial" w:hAnsi="Arial"/>
          <w:color w:val="0C0C0C"/>
          <w:w w:val="110"/>
          <w:sz w:val="21"/>
        </w:rPr>
        <w:t xml:space="preserve">in </w:t>
      </w:r>
      <w:r>
        <w:rPr>
          <w:rFonts w:ascii="Arial" w:hAnsi="Arial"/>
          <w:color w:val="1A1A1A"/>
          <w:w w:val="110"/>
          <w:sz w:val="21"/>
        </w:rPr>
        <w:t xml:space="preserve">2019, with </w:t>
      </w:r>
      <w:r>
        <w:rPr>
          <w:rFonts w:ascii="Arial" w:hAnsi="Arial"/>
          <w:color w:val="0C0C0C"/>
          <w:w w:val="110"/>
          <w:sz w:val="21"/>
        </w:rPr>
        <w:t>average export prices ranging between 116.96 index</w:t>
      </w:r>
      <w:r>
        <w:rPr>
          <w:rFonts w:ascii="Arial" w:hAnsi="Arial"/>
          <w:color w:val="0C0C0C"/>
          <w:spacing w:val="14"/>
          <w:w w:val="110"/>
          <w:sz w:val="21"/>
        </w:rPr>
        <w:t xml:space="preserve"> </w:t>
      </w:r>
      <w:r>
        <w:rPr>
          <w:rFonts w:ascii="Arial" w:hAnsi="Arial"/>
          <w:color w:val="0C0C0C"/>
          <w:w w:val="110"/>
          <w:sz w:val="21"/>
        </w:rPr>
        <w:t>points to</w:t>
      </w:r>
      <w:r>
        <w:rPr>
          <w:rFonts w:ascii="Arial" w:hAnsi="Arial"/>
          <w:color w:val="0C0C0C"/>
          <w:spacing w:val="19"/>
          <w:w w:val="110"/>
          <w:sz w:val="21"/>
        </w:rPr>
        <w:t xml:space="preserve"> </w:t>
      </w:r>
      <w:r>
        <w:rPr>
          <w:rFonts w:ascii="Arial" w:hAnsi="Arial"/>
          <w:color w:val="0C0C0C"/>
          <w:w w:val="110"/>
          <w:sz w:val="21"/>
        </w:rPr>
        <w:t>1,058.20</w:t>
      </w:r>
      <w:r>
        <w:rPr>
          <w:rFonts w:ascii="Arial" w:hAnsi="Arial"/>
          <w:color w:val="0C0C0C"/>
          <w:spacing w:val="12"/>
          <w:w w:val="110"/>
          <w:sz w:val="21"/>
        </w:rPr>
        <w:t xml:space="preserve"> </w:t>
      </w:r>
      <w:r>
        <w:rPr>
          <w:rFonts w:ascii="Arial" w:hAnsi="Arial"/>
          <w:color w:val="0C0C0C"/>
          <w:w w:val="110"/>
          <w:sz w:val="21"/>
        </w:rPr>
        <w:t>index</w:t>
      </w:r>
      <w:r>
        <w:rPr>
          <w:rFonts w:ascii="Arial" w:hAnsi="Arial"/>
          <w:color w:val="0C0C0C"/>
          <w:spacing w:val="14"/>
          <w:w w:val="110"/>
          <w:sz w:val="21"/>
        </w:rPr>
        <w:t xml:space="preserve"> </w:t>
      </w:r>
      <w:r>
        <w:rPr>
          <w:rFonts w:ascii="Arial" w:hAnsi="Arial"/>
          <w:color w:val="0C0C0C"/>
          <w:w w:val="110"/>
          <w:sz w:val="21"/>
        </w:rPr>
        <w:t>points.</w:t>
      </w:r>
      <w:r>
        <w:rPr>
          <w:rFonts w:ascii="Times New Roman" w:hAnsi="Times New Roman"/>
          <w:color w:val="2A2A2A"/>
          <w:w w:val="110"/>
          <w:position w:val="7"/>
          <w:sz w:val="15"/>
        </w:rPr>
        <w:t>669</w:t>
      </w:r>
    </w:p>
    <w:p w14:paraId="51DE8EC4" w14:textId="77777777" w:rsidR="0010369C" w:rsidRDefault="0010369C">
      <w:pPr>
        <w:pStyle w:val="BodyText"/>
        <w:rPr>
          <w:rFonts w:ascii="Times New Roman"/>
          <w:sz w:val="20"/>
        </w:rPr>
      </w:pPr>
    </w:p>
    <w:p w14:paraId="51DE8EC5" w14:textId="77777777" w:rsidR="0010369C" w:rsidRDefault="0010369C">
      <w:pPr>
        <w:pStyle w:val="BodyText"/>
        <w:rPr>
          <w:rFonts w:ascii="Times New Roman"/>
          <w:sz w:val="20"/>
        </w:rPr>
      </w:pPr>
    </w:p>
    <w:p w14:paraId="51DE8EC6" w14:textId="77777777" w:rsidR="0010369C" w:rsidRDefault="0010369C">
      <w:pPr>
        <w:pStyle w:val="BodyText"/>
        <w:rPr>
          <w:rFonts w:ascii="Times New Roman"/>
          <w:sz w:val="20"/>
        </w:rPr>
      </w:pPr>
    </w:p>
    <w:p w14:paraId="51DE8EC7" w14:textId="77777777" w:rsidR="0010369C" w:rsidRDefault="0010369C">
      <w:pPr>
        <w:pStyle w:val="BodyText"/>
        <w:rPr>
          <w:rFonts w:ascii="Times New Roman"/>
          <w:sz w:val="20"/>
        </w:rPr>
      </w:pPr>
    </w:p>
    <w:p w14:paraId="51DE8EC8" w14:textId="77777777" w:rsidR="0010369C" w:rsidRDefault="008E43AE">
      <w:pPr>
        <w:pStyle w:val="BodyText"/>
        <w:spacing w:before="10"/>
        <w:rPr>
          <w:rFonts w:ascii="Times New Roman"/>
        </w:rPr>
      </w:pPr>
      <w:r>
        <w:rPr>
          <w:noProof/>
        </w:rPr>
        <w:drawing>
          <wp:anchor distT="0" distB="0" distL="0" distR="0" simplePos="0" relativeHeight="250600960" behindDoc="0" locked="0" layoutInCell="1" allowOverlap="1" wp14:anchorId="51DEA496" wp14:editId="51DEA497">
            <wp:simplePos x="0" y="0"/>
            <wp:positionH relativeFrom="page">
              <wp:posOffset>891988</wp:posOffset>
            </wp:positionH>
            <wp:positionV relativeFrom="paragraph">
              <wp:posOffset>197125</wp:posOffset>
            </wp:positionV>
            <wp:extent cx="5813104" cy="1352931"/>
            <wp:effectExtent l="0" t="0" r="0" b="0"/>
            <wp:wrapTopAndBottom/>
            <wp:docPr id="1153" name="image5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 name="image591.png"/>
                    <pic:cNvPicPr/>
                  </pic:nvPicPr>
                  <pic:blipFill>
                    <a:blip r:embed="rId775" cstate="print"/>
                    <a:stretch>
                      <a:fillRect/>
                    </a:stretch>
                  </pic:blipFill>
                  <pic:spPr>
                    <a:xfrm>
                      <a:off x="0" y="0"/>
                      <a:ext cx="5813104" cy="1352931"/>
                    </a:xfrm>
                    <a:prstGeom prst="rect">
                      <a:avLst/>
                    </a:prstGeom>
                  </pic:spPr>
                </pic:pic>
              </a:graphicData>
            </a:graphic>
          </wp:anchor>
        </w:drawing>
      </w:r>
    </w:p>
    <w:p w14:paraId="51DE8EC9" w14:textId="77777777" w:rsidR="0010369C" w:rsidRDefault="008E43AE">
      <w:pPr>
        <w:spacing w:before="13"/>
        <w:ind w:left="229"/>
        <w:rPr>
          <w:rFonts w:ascii="Arial"/>
          <w:sz w:val="15"/>
        </w:rPr>
      </w:pPr>
      <w:r>
        <w:rPr>
          <w:rFonts w:ascii="Times New Roman"/>
          <w:color w:val="2A2A2A"/>
          <w:w w:val="110"/>
          <w:position w:val="5"/>
          <w:sz w:val="12"/>
        </w:rPr>
        <w:t>667</w:t>
      </w:r>
      <w:r>
        <w:rPr>
          <w:rFonts w:ascii="Times New Roman"/>
          <w:color w:val="2A2A2A"/>
          <w:spacing w:val="1"/>
          <w:w w:val="110"/>
          <w:position w:val="5"/>
          <w:sz w:val="12"/>
        </w:rPr>
        <w:t xml:space="preserve"> </w:t>
      </w:r>
      <w:r>
        <w:rPr>
          <w:rFonts w:ascii="Arial"/>
          <w:color w:val="2A2A2A"/>
          <w:w w:val="110"/>
          <w:sz w:val="15"/>
        </w:rPr>
        <w:t>Swan</w:t>
      </w:r>
      <w:r>
        <w:rPr>
          <w:rFonts w:ascii="Arial"/>
          <w:color w:val="2A2A2A"/>
          <w:spacing w:val="-12"/>
          <w:w w:val="110"/>
          <w:sz w:val="15"/>
        </w:rPr>
        <w:t xml:space="preserve"> </w:t>
      </w:r>
      <w:r>
        <w:rPr>
          <w:rFonts w:ascii="Arial"/>
          <w:color w:val="2A2A2A"/>
          <w:w w:val="110"/>
          <w:sz w:val="15"/>
        </w:rPr>
        <w:t>Vintage</w:t>
      </w:r>
      <w:r>
        <w:rPr>
          <w:rFonts w:ascii="Arial"/>
          <w:color w:val="2A2A2A"/>
          <w:spacing w:val="-14"/>
          <w:w w:val="110"/>
          <w:sz w:val="15"/>
        </w:rPr>
        <w:t xml:space="preserve"> </w:t>
      </w:r>
      <w:r>
        <w:rPr>
          <w:rFonts w:ascii="Arial"/>
          <w:color w:val="2A2A2A"/>
          <w:w w:val="110"/>
          <w:sz w:val="15"/>
        </w:rPr>
        <w:t>Anti-Dumping</w:t>
      </w:r>
      <w:r>
        <w:rPr>
          <w:rFonts w:ascii="Arial"/>
          <w:color w:val="2A2A2A"/>
          <w:spacing w:val="-18"/>
          <w:w w:val="110"/>
          <w:sz w:val="15"/>
        </w:rPr>
        <w:t xml:space="preserve"> </w:t>
      </w:r>
      <w:r>
        <w:rPr>
          <w:rFonts w:ascii="Arial"/>
          <w:color w:val="2A2A2A"/>
          <w:w w:val="110"/>
          <w:sz w:val="15"/>
        </w:rPr>
        <w:t>Questionnaire</w:t>
      </w:r>
      <w:r>
        <w:rPr>
          <w:rFonts w:ascii="Arial"/>
          <w:color w:val="2A2A2A"/>
          <w:spacing w:val="-7"/>
          <w:w w:val="110"/>
          <w:sz w:val="15"/>
        </w:rPr>
        <w:t xml:space="preserve"> </w:t>
      </w:r>
      <w:r>
        <w:rPr>
          <w:rFonts w:ascii="Arial"/>
          <w:color w:val="2A2A2A"/>
          <w:w w:val="110"/>
          <w:sz w:val="15"/>
        </w:rPr>
        <w:t>Response,</w:t>
      </w:r>
      <w:r>
        <w:rPr>
          <w:rFonts w:ascii="Arial"/>
          <w:color w:val="2A2A2A"/>
          <w:spacing w:val="-7"/>
          <w:w w:val="110"/>
          <w:sz w:val="15"/>
        </w:rPr>
        <w:t xml:space="preserve"> </w:t>
      </w:r>
      <w:r>
        <w:rPr>
          <w:rFonts w:ascii="Arial"/>
          <w:color w:val="2A2A2A"/>
          <w:w w:val="110"/>
          <w:sz w:val="15"/>
        </w:rPr>
        <w:t>Annex</w:t>
      </w:r>
      <w:r>
        <w:rPr>
          <w:rFonts w:ascii="Arial"/>
          <w:color w:val="2A2A2A"/>
          <w:spacing w:val="-15"/>
          <w:w w:val="110"/>
          <w:sz w:val="15"/>
        </w:rPr>
        <w:t xml:space="preserve"> </w:t>
      </w:r>
      <w:r>
        <w:rPr>
          <w:rFonts w:ascii="Arial"/>
          <w:color w:val="0C0C0C"/>
          <w:w w:val="110"/>
          <w:sz w:val="15"/>
        </w:rPr>
        <w:t>1</w:t>
      </w:r>
      <w:r>
        <w:rPr>
          <w:rFonts w:ascii="Arial"/>
          <w:color w:val="0C0C0C"/>
          <w:spacing w:val="-1"/>
          <w:w w:val="110"/>
          <w:sz w:val="15"/>
        </w:rPr>
        <w:t xml:space="preserve"> </w:t>
      </w:r>
      <w:r>
        <w:rPr>
          <w:rFonts w:ascii="Arial"/>
          <w:color w:val="2A2A2A"/>
          <w:w w:val="110"/>
          <w:sz w:val="15"/>
        </w:rPr>
        <w:t>(Part</w:t>
      </w:r>
      <w:r>
        <w:rPr>
          <w:rFonts w:ascii="Arial"/>
          <w:color w:val="2A2A2A"/>
          <w:spacing w:val="-20"/>
          <w:w w:val="110"/>
          <w:sz w:val="15"/>
        </w:rPr>
        <w:t xml:space="preserve"> </w:t>
      </w:r>
      <w:r>
        <w:rPr>
          <w:rFonts w:ascii="Arial"/>
          <w:color w:val="0C0C0C"/>
          <w:w w:val="110"/>
          <w:sz w:val="15"/>
        </w:rPr>
        <w:t xml:space="preserve">1 </w:t>
      </w:r>
      <w:r>
        <w:rPr>
          <w:rFonts w:ascii="Arial"/>
          <w:color w:val="2A2A2A"/>
          <w:w w:val="110"/>
          <w:sz w:val="15"/>
        </w:rPr>
        <w:t>of</w:t>
      </w:r>
      <w:r>
        <w:rPr>
          <w:rFonts w:ascii="Arial"/>
          <w:color w:val="2A2A2A"/>
          <w:spacing w:val="3"/>
          <w:w w:val="110"/>
          <w:sz w:val="15"/>
        </w:rPr>
        <w:t xml:space="preserve"> </w:t>
      </w:r>
      <w:r>
        <w:rPr>
          <w:rFonts w:ascii="Arial"/>
          <w:color w:val="1A1A1A"/>
          <w:w w:val="110"/>
          <w:sz w:val="15"/>
        </w:rPr>
        <w:t>2)</w:t>
      </w:r>
      <w:r>
        <w:rPr>
          <w:rFonts w:ascii="Arial"/>
          <w:color w:val="1A1A1A"/>
          <w:spacing w:val="-22"/>
          <w:w w:val="110"/>
          <w:sz w:val="15"/>
        </w:rPr>
        <w:t xml:space="preserve"> </w:t>
      </w:r>
      <w:r>
        <w:rPr>
          <w:rFonts w:ascii="Arial"/>
          <w:color w:val="2A2A2A"/>
          <w:w w:val="110"/>
          <w:sz w:val="15"/>
        </w:rPr>
        <w:t>(Exhibit</w:t>
      </w:r>
      <w:r>
        <w:rPr>
          <w:rFonts w:ascii="Arial"/>
          <w:color w:val="2A2A2A"/>
          <w:spacing w:val="-7"/>
          <w:w w:val="110"/>
          <w:sz w:val="15"/>
        </w:rPr>
        <w:t xml:space="preserve"> </w:t>
      </w:r>
      <w:r>
        <w:rPr>
          <w:rFonts w:ascii="Arial"/>
          <w:color w:val="2A2A2A"/>
          <w:w w:val="110"/>
          <w:sz w:val="15"/>
        </w:rPr>
        <w:t>AUS-78),</w:t>
      </w:r>
      <w:r>
        <w:rPr>
          <w:rFonts w:ascii="Arial"/>
          <w:color w:val="2A2A2A"/>
          <w:spacing w:val="-10"/>
          <w:w w:val="110"/>
          <w:sz w:val="15"/>
        </w:rPr>
        <w:t xml:space="preserve"> </w:t>
      </w:r>
      <w:r>
        <w:rPr>
          <w:rFonts w:ascii="Arial"/>
          <w:color w:val="2A2A2A"/>
          <w:w w:val="110"/>
          <w:sz w:val="15"/>
        </w:rPr>
        <w:t>Form</w:t>
      </w:r>
      <w:r>
        <w:rPr>
          <w:rFonts w:ascii="Arial"/>
          <w:color w:val="2A2A2A"/>
          <w:spacing w:val="-19"/>
          <w:w w:val="110"/>
          <w:sz w:val="15"/>
        </w:rPr>
        <w:t xml:space="preserve"> </w:t>
      </w:r>
      <w:r>
        <w:rPr>
          <w:rFonts w:ascii="Arial"/>
          <w:color w:val="2A2A2A"/>
          <w:w w:val="110"/>
          <w:sz w:val="15"/>
        </w:rPr>
        <w:t>3-4,</w:t>
      </w:r>
      <w:r>
        <w:rPr>
          <w:rFonts w:ascii="Arial"/>
          <w:color w:val="2A2A2A"/>
          <w:spacing w:val="-27"/>
          <w:w w:val="110"/>
          <w:sz w:val="15"/>
        </w:rPr>
        <w:t xml:space="preserve"> </w:t>
      </w:r>
      <w:r>
        <w:rPr>
          <w:rFonts w:ascii="Arial"/>
          <w:color w:val="2A2A2A"/>
          <w:w w:val="110"/>
          <w:sz w:val="15"/>
        </w:rPr>
        <w:t>items</w:t>
      </w:r>
      <w:r>
        <w:rPr>
          <w:rFonts w:ascii="Arial"/>
          <w:color w:val="2A2A2A"/>
          <w:spacing w:val="-25"/>
          <w:w w:val="110"/>
          <w:sz w:val="15"/>
        </w:rPr>
        <w:t xml:space="preserve"> </w:t>
      </w:r>
      <w:r>
        <w:rPr>
          <w:rFonts w:ascii="Arial"/>
          <w:color w:val="2A2A2A"/>
          <w:w w:val="110"/>
          <w:sz w:val="15"/>
        </w:rPr>
        <w:t>6-1,</w:t>
      </w:r>
      <w:r>
        <w:rPr>
          <w:rFonts w:ascii="Arial"/>
          <w:color w:val="2A2A2A"/>
          <w:spacing w:val="-13"/>
          <w:w w:val="110"/>
          <w:sz w:val="15"/>
        </w:rPr>
        <w:t xml:space="preserve"> </w:t>
      </w:r>
      <w:r>
        <w:rPr>
          <w:rFonts w:ascii="Arial"/>
          <w:color w:val="2A2A2A"/>
          <w:w w:val="110"/>
          <w:sz w:val="15"/>
        </w:rPr>
        <w:t>6-9,</w:t>
      </w:r>
      <w:r>
        <w:rPr>
          <w:rFonts w:ascii="Arial"/>
          <w:color w:val="2A2A2A"/>
          <w:spacing w:val="-23"/>
          <w:w w:val="110"/>
          <w:sz w:val="15"/>
        </w:rPr>
        <w:t xml:space="preserve"> </w:t>
      </w:r>
      <w:r>
        <w:rPr>
          <w:rFonts w:ascii="Arial"/>
          <w:color w:val="2A2A2A"/>
          <w:spacing w:val="-5"/>
          <w:w w:val="110"/>
          <w:sz w:val="15"/>
        </w:rPr>
        <w:t>6-</w:t>
      </w:r>
    </w:p>
    <w:p w14:paraId="51DE8ECA" w14:textId="77777777" w:rsidR="0010369C" w:rsidRDefault="008E43AE">
      <w:pPr>
        <w:spacing w:before="7"/>
        <w:ind w:left="228"/>
        <w:rPr>
          <w:rFonts w:ascii="Arial"/>
          <w:sz w:val="15"/>
        </w:rPr>
      </w:pPr>
      <w:r>
        <w:rPr>
          <w:rFonts w:ascii="Arial"/>
          <w:color w:val="0C0C0C"/>
          <w:w w:val="110"/>
          <w:sz w:val="15"/>
        </w:rPr>
        <w:t>10,</w:t>
      </w:r>
      <w:r>
        <w:rPr>
          <w:rFonts w:ascii="Arial"/>
          <w:color w:val="0C0C0C"/>
          <w:spacing w:val="-15"/>
          <w:w w:val="110"/>
          <w:sz w:val="15"/>
        </w:rPr>
        <w:t xml:space="preserve"> </w:t>
      </w:r>
      <w:r>
        <w:rPr>
          <w:rFonts w:ascii="Arial"/>
          <w:color w:val="1A1A1A"/>
          <w:w w:val="110"/>
          <w:sz w:val="15"/>
        </w:rPr>
        <w:t>17,</w:t>
      </w:r>
      <w:r>
        <w:rPr>
          <w:rFonts w:ascii="Arial"/>
          <w:color w:val="1A1A1A"/>
          <w:spacing w:val="-15"/>
          <w:w w:val="110"/>
          <w:sz w:val="15"/>
        </w:rPr>
        <w:t xml:space="preserve"> </w:t>
      </w:r>
      <w:r>
        <w:rPr>
          <w:rFonts w:ascii="Arial"/>
          <w:color w:val="2A2A2A"/>
          <w:w w:val="110"/>
          <w:sz w:val="15"/>
        </w:rPr>
        <w:t>56,</w:t>
      </w:r>
      <w:r>
        <w:rPr>
          <w:rFonts w:ascii="Arial"/>
          <w:color w:val="2A2A2A"/>
          <w:spacing w:val="-15"/>
          <w:w w:val="110"/>
          <w:sz w:val="15"/>
        </w:rPr>
        <w:t xml:space="preserve"> </w:t>
      </w:r>
      <w:r>
        <w:rPr>
          <w:rFonts w:ascii="Arial"/>
          <w:color w:val="2A2A2A"/>
          <w:w w:val="110"/>
          <w:sz w:val="15"/>
        </w:rPr>
        <w:t>columns</w:t>
      </w:r>
      <w:r>
        <w:rPr>
          <w:rFonts w:ascii="Arial"/>
          <w:color w:val="2A2A2A"/>
          <w:spacing w:val="-13"/>
          <w:w w:val="110"/>
          <w:sz w:val="15"/>
        </w:rPr>
        <w:t xml:space="preserve"> </w:t>
      </w:r>
      <w:r>
        <w:rPr>
          <w:rFonts w:ascii="Arial"/>
          <w:color w:val="1A1A1A"/>
          <w:w w:val="110"/>
          <w:sz w:val="15"/>
        </w:rPr>
        <w:t>I,</w:t>
      </w:r>
      <w:r>
        <w:rPr>
          <w:rFonts w:ascii="Arial"/>
          <w:color w:val="1A1A1A"/>
          <w:spacing w:val="1"/>
          <w:w w:val="110"/>
          <w:sz w:val="15"/>
        </w:rPr>
        <w:t xml:space="preserve"> </w:t>
      </w:r>
      <w:r>
        <w:rPr>
          <w:rFonts w:ascii="Arial"/>
          <w:color w:val="2A2A2A"/>
          <w:w w:val="110"/>
          <w:sz w:val="15"/>
        </w:rPr>
        <w:t>Q,</w:t>
      </w:r>
      <w:r>
        <w:rPr>
          <w:rFonts w:ascii="Arial"/>
          <w:color w:val="2A2A2A"/>
          <w:spacing w:val="-16"/>
          <w:w w:val="110"/>
          <w:sz w:val="15"/>
        </w:rPr>
        <w:t xml:space="preserve"> </w:t>
      </w:r>
      <w:r>
        <w:rPr>
          <w:rFonts w:ascii="Arial"/>
          <w:color w:val="2A2A2A"/>
          <w:w w:val="110"/>
          <w:sz w:val="15"/>
        </w:rPr>
        <w:t>R,</w:t>
      </w:r>
      <w:r>
        <w:rPr>
          <w:rFonts w:ascii="Arial"/>
          <w:color w:val="2A2A2A"/>
          <w:spacing w:val="-16"/>
          <w:w w:val="110"/>
          <w:sz w:val="15"/>
        </w:rPr>
        <w:t xml:space="preserve"> </w:t>
      </w:r>
      <w:r>
        <w:rPr>
          <w:rFonts w:ascii="Arial"/>
          <w:color w:val="2A2A2A"/>
          <w:w w:val="110"/>
          <w:sz w:val="15"/>
        </w:rPr>
        <w:t>AD,</w:t>
      </w:r>
      <w:r>
        <w:rPr>
          <w:rFonts w:ascii="Arial"/>
          <w:color w:val="2A2A2A"/>
          <w:spacing w:val="-16"/>
          <w:w w:val="110"/>
          <w:sz w:val="15"/>
        </w:rPr>
        <w:t xml:space="preserve"> </w:t>
      </w:r>
      <w:r>
        <w:rPr>
          <w:rFonts w:ascii="Arial"/>
          <w:color w:val="1A1A1A"/>
          <w:spacing w:val="-5"/>
          <w:w w:val="110"/>
          <w:sz w:val="15"/>
        </w:rPr>
        <w:t>BT.</w:t>
      </w:r>
    </w:p>
    <w:p w14:paraId="51DE8ECB" w14:textId="77777777" w:rsidR="0010369C" w:rsidRDefault="008E43AE">
      <w:pPr>
        <w:spacing w:before="103" w:line="218" w:lineRule="auto"/>
        <w:ind w:left="238" w:right="460" w:hanging="9"/>
        <w:rPr>
          <w:rFonts w:ascii="Arial"/>
          <w:sz w:val="15"/>
        </w:rPr>
      </w:pPr>
      <w:r>
        <w:rPr>
          <w:rFonts w:ascii="Arial"/>
          <w:color w:val="2A2A2A"/>
          <w:spacing w:val="-2"/>
          <w:w w:val="115"/>
          <w:sz w:val="15"/>
          <w:vertAlign w:val="superscript"/>
        </w:rPr>
        <w:t>668</w:t>
      </w:r>
      <w:r>
        <w:rPr>
          <w:rFonts w:ascii="Arial"/>
          <w:color w:val="2A2A2A"/>
          <w:spacing w:val="-18"/>
          <w:w w:val="115"/>
          <w:sz w:val="15"/>
        </w:rPr>
        <w:t xml:space="preserve"> </w:t>
      </w:r>
      <w:r>
        <w:rPr>
          <w:rFonts w:ascii="Arial"/>
          <w:color w:val="2A2A2A"/>
          <w:spacing w:val="-2"/>
          <w:w w:val="115"/>
          <w:sz w:val="15"/>
        </w:rPr>
        <w:t>Swan</w:t>
      </w:r>
      <w:r>
        <w:rPr>
          <w:rFonts w:ascii="Arial"/>
          <w:color w:val="2A2A2A"/>
          <w:spacing w:val="-12"/>
          <w:w w:val="115"/>
          <w:sz w:val="15"/>
        </w:rPr>
        <w:t xml:space="preserve"> </w:t>
      </w:r>
      <w:r>
        <w:rPr>
          <w:rFonts w:ascii="Arial"/>
          <w:color w:val="2A2A2A"/>
          <w:spacing w:val="-2"/>
          <w:w w:val="115"/>
          <w:sz w:val="15"/>
        </w:rPr>
        <w:t>Vintage</w:t>
      </w:r>
      <w:r>
        <w:rPr>
          <w:rFonts w:ascii="Arial"/>
          <w:color w:val="2A2A2A"/>
          <w:spacing w:val="-15"/>
          <w:w w:val="115"/>
          <w:sz w:val="15"/>
        </w:rPr>
        <w:t xml:space="preserve"> </w:t>
      </w:r>
      <w:r>
        <w:rPr>
          <w:rFonts w:ascii="Arial"/>
          <w:color w:val="2A2A2A"/>
          <w:spacing w:val="-2"/>
          <w:w w:val="115"/>
          <w:sz w:val="15"/>
        </w:rPr>
        <w:t>Anti-Dumping</w:t>
      </w:r>
      <w:r>
        <w:rPr>
          <w:rFonts w:ascii="Arial"/>
          <w:color w:val="2A2A2A"/>
          <w:spacing w:val="-19"/>
          <w:w w:val="115"/>
          <w:sz w:val="15"/>
        </w:rPr>
        <w:t xml:space="preserve"> </w:t>
      </w:r>
      <w:r>
        <w:rPr>
          <w:rFonts w:ascii="Arial"/>
          <w:color w:val="2A2A2A"/>
          <w:spacing w:val="-2"/>
          <w:w w:val="115"/>
          <w:sz w:val="15"/>
        </w:rPr>
        <w:t>Questionnaire</w:t>
      </w:r>
      <w:r>
        <w:rPr>
          <w:rFonts w:ascii="Arial"/>
          <w:color w:val="2A2A2A"/>
          <w:spacing w:val="-6"/>
          <w:w w:val="115"/>
          <w:sz w:val="15"/>
        </w:rPr>
        <w:t xml:space="preserve"> </w:t>
      </w:r>
      <w:r>
        <w:rPr>
          <w:rFonts w:ascii="Arial"/>
          <w:color w:val="2A2A2A"/>
          <w:spacing w:val="-2"/>
          <w:w w:val="115"/>
          <w:sz w:val="15"/>
        </w:rPr>
        <w:t>Response,</w:t>
      </w:r>
      <w:r>
        <w:rPr>
          <w:rFonts w:ascii="Arial"/>
          <w:color w:val="2A2A2A"/>
          <w:spacing w:val="-8"/>
          <w:w w:val="115"/>
          <w:sz w:val="15"/>
        </w:rPr>
        <w:t xml:space="preserve"> </w:t>
      </w:r>
      <w:r>
        <w:rPr>
          <w:rFonts w:ascii="Arial"/>
          <w:color w:val="2A2A2A"/>
          <w:spacing w:val="-2"/>
          <w:w w:val="115"/>
          <w:sz w:val="15"/>
        </w:rPr>
        <w:t>Annex</w:t>
      </w:r>
      <w:r>
        <w:rPr>
          <w:rFonts w:ascii="Arial"/>
          <w:color w:val="2A2A2A"/>
          <w:spacing w:val="-16"/>
          <w:w w:val="115"/>
          <w:sz w:val="15"/>
        </w:rPr>
        <w:t xml:space="preserve"> </w:t>
      </w:r>
      <w:r>
        <w:rPr>
          <w:rFonts w:ascii="Arial"/>
          <w:color w:val="0C0C0C"/>
          <w:spacing w:val="-2"/>
          <w:w w:val="115"/>
          <w:sz w:val="15"/>
        </w:rPr>
        <w:t xml:space="preserve">1 </w:t>
      </w:r>
      <w:r>
        <w:rPr>
          <w:rFonts w:ascii="Arial"/>
          <w:color w:val="2A2A2A"/>
          <w:spacing w:val="-2"/>
          <w:w w:val="115"/>
          <w:sz w:val="15"/>
        </w:rPr>
        <w:t>(Part</w:t>
      </w:r>
      <w:r>
        <w:rPr>
          <w:rFonts w:ascii="Arial"/>
          <w:color w:val="2A2A2A"/>
          <w:spacing w:val="-4"/>
          <w:w w:val="115"/>
          <w:sz w:val="15"/>
        </w:rPr>
        <w:t xml:space="preserve"> </w:t>
      </w:r>
      <w:r>
        <w:rPr>
          <w:rFonts w:ascii="Times New Roman"/>
          <w:b/>
          <w:color w:val="1A1A1A"/>
          <w:spacing w:val="-2"/>
          <w:w w:val="115"/>
          <w:sz w:val="16"/>
        </w:rPr>
        <w:t>1</w:t>
      </w:r>
      <w:r>
        <w:rPr>
          <w:rFonts w:ascii="Times New Roman"/>
          <w:b/>
          <w:color w:val="1A1A1A"/>
          <w:spacing w:val="-9"/>
          <w:w w:val="115"/>
          <w:sz w:val="16"/>
        </w:rPr>
        <w:t xml:space="preserve"> </w:t>
      </w:r>
      <w:r>
        <w:rPr>
          <w:rFonts w:ascii="Arial"/>
          <w:color w:val="2A2A2A"/>
          <w:spacing w:val="-2"/>
          <w:w w:val="115"/>
          <w:sz w:val="15"/>
        </w:rPr>
        <w:t xml:space="preserve">of </w:t>
      </w:r>
      <w:r>
        <w:rPr>
          <w:rFonts w:ascii="Arial"/>
          <w:color w:val="1A1A1A"/>
          <w:spacing w:val="-2"/>
          <w:w w:val="115"/>
          <w:sz w:val="15"/>
        </w:rPr>
        <w:t>2)</w:t>
      </w:r>
      <w:r>
        <w:rPr>
          <w:rFonts w:ascii="Arial"/>
          <w:color w:val="1A1A1A"/>
          <w:spacing w:val="-13"/>
          <w:w w:val="115"/>
          <w:sz w:val="15"/>
        </w:rPr>
        <w:t xml:space="preserve"> </w:t>
      </w:r>
      <w:r>
        <w:rPr>
          <w:rFonts w:ascii="Arial"/>
          <w:color w:val="2A2A2A"/>
          <w:spacing w:val="-2"/>
          <w:w w:val="115"/>
          <w:sz w:val="15"/>
        </w:rPr>
        <w:t>(Exhibit</w:t>
      </w:r>
      <w:r>
        <w:rPr>
          <w:rFonts w:ascii="Arial"/>
          <w:color w:val="2A2A2A"/>
          <w:spacing w:val="4"/>
          <w:w w:val="115"/>
          <w:sz w:val="15"/>
        </w:rPr>
        <w:t xml:space="preserve"> </w:t>
      </w:r>
      <w:r>
        <w:rPr>
          <w:rFonts w:ascii="Arial"/>
          <w:color w:val="2A2A2A"/>
          <w:spacing w:val="-2"/>
          <w:w w:val="115"/>
          <w:sz w:val="15"/>
        </w:rPr>
        <w:t>AUS-78),</w:t>
      </w:r>
      <w:r>
        <w:rPr>
          <w:rFonts w:ascii="Arial"/>
          <w:color w:val="2A2A2A"/>
          <w:spacing w:val="-10"/>
          <w:w w:val="115"/>
          <w:sz w:val="15"/>
        </w:rPr>
        <w:t xml:space="preserve"> </w:t>
      </w:r>
      <w:r>
        <w:rPr>
          <w:rFonts w:ascii="Arial"/>
          <w:color w:val="2A2A2A"/>
          <w:spacing w:val="-2"/>
          <w:w w:val="115"/>
          <w:sz w:val="15"/>
        </w:rPr>
        <w:t>Form</w:t>
      </w:r>
      <w:r>
        <w:rPr>
          <w:rFonts w:ascii="Arial"/>
          <w:color w:val="2A2A2A"/>
          <w:spacing w:val="-19"/>
          <w:w w:val="115"/>
          <w:sz w:val="15"/>
        </w:rPr>
        <w:t xml:space="preserve"> </w:t>
      </w:r>
      <w:r>
        <w:rPr>
          <w:rFonts w:ascii="Arial"/>
          <w:color w:val="2A2A2A"/>
          <w:spacing w:val="-2"/>
          <w:w w:val="115"/>
          <w:sz w:val="15"/>
        </w:rPr>
        <w:t>5-2,</w:t>
      </w:r>
      <w:r>
        <w:rPr>
          <w:rFonts w:ascii="Arial"/>
          <w:color w:val="2A2A2A"/>
          <w:spacing w:val="-14"/>
          <w:w w:val="115"/>
          <w:sz w:val="15"/>
        </w:rPr>
        <w:t xml:space="preserve"> </w:t>
      </w:r>
      <w:r>
        <w:rPr>
          <w:rFonts w:ascii="Arial"/>
          <w:color w:val="2A2A2A"/>
          <w:spacing w:val="-2"/>
          <w:w w:val="240"/>
          <w:sz w:val="15"/>
        </w:rPr>
        <w:t xml:space="preserve">column </w:t>
      </w:r>
      <w:r>
        <w:rPr>
          <w:rFonts w:ascii="Arial"/>
          <w:color w:val="2A2A2A"/>
          <w:w w:val="115"/>
          <w:sz w:val="15"/>
        </w:rPr>
        <w:t>cells</w:t>
      </w:r>
      <w:r>
        <w:rPr>
          <w:rFonts w:ascii="Arial"/>
          <w:color w:val="2A2A2A"/>
          <w:spacing w:val="20"/>
          <w:w w:val="115"/>
          <w:sz w:val="15"/>
        </w:rPr>
        <w:t xml:space="preserve"> </w:t>
      </w:r>
      <w:r>
        <w:rPr>
          <w:rFonts w:ascii="Arial"/>
          <w:color w:val="2A2A2A"/>
          <w:w w:val="115"/>
          <w:sz w:val="15"/>
        </w:rPr>
        <w:t>39</w:t>
      </w:r>
      <w:r>
        <w:rPr>
          <w:rFonts w:ascii="Arial"/>
          <w:color w:val="2A2A2A"/>
          <w:spacing w:val="29"/>
          <w:w w:val="115"/>
          <w:sz w:val="15"/>
        </w:rPr>
        <w:t xml:space="preserve"> </w:t>
      </w:r>
      <w:r>
        <w:rPr>
          <w:rFonts w:ascii="Arial"/>
          <w:color w:val="2A2A2A"/>
          <w:w w:val="115"/>
          <w:sz w:val="15"/>
        </w:rPr>
        <w:t>to</w:t>
      </w:r>
      <w:r>
        <w:rPr>
          <w:rFonts w:ascii="Arial"/>
          <w:color w:val="2A2A2A"/>
          <w:spacing w:val="36"/>
          <w:w w:val="115"/>
          <w:sz w:val="15"/>
        </w:rPr>
        <w:t xml:space="preserve"> </w:t>
      </w:r>
      <w:r>
        <w:rPr>
          <w:rFonts w:ascii="Arial"/>
          <w:color w:val="0C0C0C"/>
          <w:w w:val="115"/>
          <w:sz w:val="15"/>
        </w:rPr>
        <w:t xml:space="preserve">104. </w:t>
      </w:r>
      <w:r>
        <w:rPr>
          <w:rFonts w:ascii="Arial"/>
          <w:color w:val="1A1A1A"/>
          <w:w w:val="115"/>
          <w:sz w:val="15"/>
        </w:rPr>
        <w:t xml:space="preserve">For </w:t>
      </w:r>
      <w:r>
        <w:rPr>
          <w:rFonts w:ascii="Arial"/>
          <w:color w:val="2A2A2A"/>
          <w:w w:val="115"/>
          <w:sz w:val="15"/>
        </w:rPr>
        <w:t>a</w:t>
      </w:r>
      <w:r>
        <w:rPr>
          <w:rFonts w:ascii="Arial"/>
          <w:color w:val="2A2A2A"/>
          <w:spacing w:val="26"/>
          <w:w w:val="115"/>
          <w:sz w:val="15"/>
        </w:rPr>
        <w:t xml:space="preserve"> </w:t>
      </w:r>
      <w:r>
        <w:rPr>
          <w:rFonts w:ascii="Arial"/>
          <w:color w:val="1A1A1A"/>
          <w:w w:val="115"/>
          <w:sz w:val="15"/>
        </w:rPr>
        <w:t>detailed</w:t>
      </w:r>
      <w:r>
        <w:rPr>
          <w:rFonts w:ascii="Arial"/>
          <w:color w:val="1A1A1A"/>
          <w:spacing w:val="18"/>
          <w:w w:val="115"/>
          <w:sz w:val="15"/>
        </w:rPr>
        <w:t xml:space="preserve"> </w:t>
      </w:r>
      <w:r>
        <w:rPr>
          <w:rFonts w:ascii="Arial"/>
          <w:color w:val="1A1A1A"/>
          <w:w w:val="115"/>
          <w:sz w:val="15"/>
        </w:rPr>
        <w:t>explanation</w:t>
      </w:r>
      <w:r>
        <w:rPr>
          <w:rFonts w:ascii="Arial"/>
          <w:color w:val="1A1A1A"/>
          <w:spacing w:val="31"/>
          <w:w w:val="115"/>
          <w:sz w:val="15"/>
        </w:rPr>
        <w:t xml:space="preserve"> </w:t>
      </w:r>
      <w:r>
        <w:rPr>
          <w:rFonts w:ascii="Arial"/>
          <w:color w:val="2A2A2A"/>
          <w:w w:val="115"/>
          <w:sz w:val="15"/>
        </w:rPr>
        <w:t>of</w:t>
      </w:r>
      <w:r>
        <w:rPr>
          <w:rFonts w:ascii="Arial"/>
          <w:color w:val="2A2A2A"/>
          <w:spacing w:val="31"/>
          <w:w w:val="115"/>
          <w:sz w:val="15"/>
        </w:rPr>
        <w:t xml:space="preserve"> </w:t>
      </w:r>
      <w:r>
        <w:rPr>
          <w:rFonts w:ascii="Arial"/>
          <w:color w:val="2A2A2A"/>
          <w:w w:val="115"/>
          <w:sz w:val="15"/>
        </w:rPr>
        <w:t>Australia's</w:t>
      </w:r>
      <w:r>
        <w:rPr>
          <w:rFonts w:ascii="Arial"/>
          <w:color w:val="2A2A2A"/>
          <w:spacing w:val="26"/>
          <w:w w:val="115"/>
          <w:sz w:val="15"/>
        </w:rPr>
        <w:t xml:space="preserve"> </w:t>
      </w:r>
      <w:r>
        <w:rPr>
          <w:rFonts w:ascii="Arial"/>
          <w:color w:val="2A2A2A"/>
          <w:w w:val="115"/>
          <w:sz w:val="15"/>
        </w:rPr>
        <w:t>product</w:t>
      </w:r>
      <w:r>
        <w:rPr>
          <w:rFonts w:ascii="Arial"/>
          <w:color w:val="2A2A2A"/>
          <w:spacing w:val="22"/>
          <w:w w:val="115"/>
          <w:sz w:val="15"/>
        </w:rPr>
        <w:t xml:space="preserve"> </w:t>
      </w:r>
      <w:r>
        <w:rPr>
          <w:rFonts w:ascii="Arial"/>
          <w:color w:val="2A2A2A"/>
          <w:w w:val="115"/>
          <w:sz w:val="15"/>
          <w:u w:val="thick" w:color="2A2A2A"/>
        </w:rPr>
        <w:t>mix</w:t>
      </w:r>
      <w:r>
        <w:rPr>
          <w:rFonts w:ascii="Arial"/>
          <w:color w:val="2A2A2A"/>
          <w:spacing w:val="30"/>
          <w:w w:val="115"/>
          <w:sz w:val="15"/>
          <w:u w:val="thick" w:color="2A2A2A"/>
        </w:rPr>
        <w:t xml:space="preserve"> </w:t>
      </w:r>
      <w:r>
        <w:rPr>
          <w:rFonts w:ascii="Arial"/>
          <w:color w:val="2A2A2A"/>
          <w:w w:val="115"/>
          <w:sz w:val="15"/>
          <w:u w:val="thick" w:color="2A2A2A"/>
        </w:rPr>
        <w:t>calculations</w:t>
      </w:r>
      <w:r>
        <w:rPr>
          <w:rFonts w:ascii="Arial"/>
          <w:color w:val="2A2A2A"/>
          <w:spacing w:val="40"/>
          <w:w w:val="115"/>
          <w:sz w:val="15"/>
          <w:u w:val="thick" w:color="2A2A2A"/>
        </w:rPr>
        <w:t xml:space="preserve"> </w:t>
      </w:r>
      <w:r>
        <w:rPr>
          <w:rFonts w:ascii="Arial"/>
          <w:color w:val="2A2A2A"/>
          <w:w w:val="115"/>
          <w:sz w:val="15"/>
          <w:u w:val="thick" w:color="2A2A2A"/>
        </w:rPr>
        <w:t>for</w:t>
      </w:r>
      <w:r>
        <w:rPr>
          <w:rFonts w:ascii="Arial"/>
          <w:color w:val="2A2A2A"/>
          <w:spacing w:val="40"/>
          <w:w w:val="115"/>
          <w:sz w:val="15"/>
          <w:u w:val="thick" w:color="2A2A2A"/>
        </w:rPr>
        <w:t xml:space="preserve"> </w:t>
      </w:r>
      <w:r>
        <w:rPr>
          <w:rFonts w:ascii="Arial"/>
          <w:color w:val="2A2A2A"/>
          <w:w w:val="115"/>
          <w:sz w:val="15"/>
          <w:u w:val="thick" w:color="2A2A2A"/>
        </w:rPr>
        <w:t>Swan</w:t>
      </w:r>
      <w:r>
        <w:rPr>
          <w:rFonts w:ascii="Arial"/>
          <w:color w:val="2A2A2A"/>
          <w:spacing w:val="22"/>
          <w:w w:val="115"/>
          <w:sz w:val="15"/>
        </w:rPr>
        <w:t xml:space="preserve"> </w:t>
      </w:r>
      <w:r>
        <w:rPr>
          <w:rFonts w:ascii="Arial"/>
          <w:color w:val="2A2A2A"/>
          <w:w w:val="115"/>
          <w:sz w:val="15"/>
        </w:rPr>
        <w:t>Vintage, see</w:t>
      </w:r>
      <w:r>
        <w:rPr>
          <w:rFonts w:ascii="Arial"/>
          <w:color w:val="2A2A2A"/>
          <w:spacing w:val="21"/>
          <w:w w:val="115"/>
          <w:sz w:val="15"/>
        </w:rPr>
        <w:t xml:space="preserve"> </w:t>
      </w:r>
      <w:r>
        <w:rPr>
          <w:rFonts w:ascii="Arial"/>
          <w:color w:val="0C0C0C"/>
          <w:w w:val="115"/>
          <w:sz w:val="15"/>
        </w:rPr>
        <w:t>[-</w:t>
      </w:r>
    </w:p>
    <w:p w14:paraId="51DE8ECC" w14:textId="77777777" w:rsidR="0010369C" w:rsidRDefault="008E43AE">
      <w:pPr>
        <w:tabs>
          <w:tab w:val="left" w:pos="7836"/>
        </w:tabs>
        <w:spacing w:before="33"/>
        <w:ind w:left="224"/>
        <w:rPr>
          <w:rFonts w:ascii="Arial"/>
          <w:sz w:val="15"/>
        </w:rPr>
      </w:pPr>
      <w:r>
        <w:rPr>
          <w:noProof/>
          <w:position w:val="-3"/>
        </w:rPr>
        <w:drawing>
          <wp:inline distT="0" distB="0" distL="0" distR="0" wp14:anchorId="51DEA498" wp14:editId="51DEA499">
            <wp:extent cx="3415040" cy="114571"/>
            <wp:effectExtent l="0" t="0" r="0" b="0"/>
            <wp:docPr id="1155" name="image5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 name="image592.png"/>
                    <pic:cNvPicPr/>
                  </pic:nvPicPr>
                  <pic:blipFill>
                    <a:blip r:embed="rId776" cstate="print"/>
                    <a:stretch>
                      <a:fillRect/>
                    </a:stretch>
                  </pic:blipFill>
                  <pic:spPr>
                    <a:xfrm>
                      <a:off x="0" y="0"/>
                      <a:ext cx="3415040" cy="114571"/>
                    </a:xfrm>
                    <a:prstGeom prst="rect">
                      <a:avLst/>
                    </a:prstGeom>
                  </pic:spPr>
                </pic:pic>
              </a:graphicData>
            </a:graphic>
          </wp:inline>
        </w:drawing>
      </w:r>
      <w:r>
        <w:rPr>
          <w:rFonts w:ascii="Times New Roman"/>
          <w:spacing w:val="-12"/>
          <w:sz w:val="20"/>
        </w:rPr>
        <w:t xml:space="preserve"> </w:t>
      </w:r>
      <w:r>
        <w:rPr>
          <w:rFonts w:ascii="Arial"/>
          <w:b/>
          <w:color w:val="2A2A2A"/>
          <w:w w:val="95"/>
          <w:sz w:val="17"/>
        </w:rPr>
        <w:t>(Exhibit</w:t>
      </w:r>
      <w:r>
        <w:rPr>
          <w:rFonts w:ascii="Arial"/>
          <w:b/>
          <w:color w:val="2A2A2A"/>
          <w:spacing w:val="-6"/>
          <w:w w:val="95"/>
          <w:sz w:val="17"/>
        </w:rPr>
        <w:t xml:space="preserve"> </w:t>
      </w:r>
      <w:r>
        <w:rPr>
          <w:rFonts w:ascii="Arial"/>
          <w:color w:val="2A2A2A"/>
          <w:w w:val="95"/>
          <w:sz w:val="15"/>
        </w:rPr>
        <w:t>AUS-65</w:t>
      </w:r>
      <w:r>
        <w:rPr>
          <w:rFonts w:ascii="Arial"/>
          <w:color w:val="2A2A2A"/>
          <w:spacing w:val="-7"/>
          <w:w w:val="95"/>
          <w:sz w:val="15"/>
        </w:rPr>
        <w:t xml:space="preserve"> </w:t>
      </w:r>
      <w:r>
        <w:rPr>
          <w:rFonts w:ascii="Arial"/>
          <w:color w:val="2A2A2A"/>
          <w:w w:val="95"/>
          <w:sz w:val="15"/>
        </w:rPr>
        <w:t>(BCI)),</w:t>
      </w:r>
      <w:r>
        <w:rPr>
          <w:rFonts w:ascii="Arial"/>
          <w:color w:val="2A2A2A"/>
          <w:sz w:val="15"/>
        </w:rPr>
        <w:tab/>
      </w:r>
      <w:r>
        <w:rPr>
          <w:rFonts w:ascii="Arial"/>
          <w:color w:val="6E6E6E"/>
          <w:spacing w:val="-5"/>
          <w:w w:val="105"/>
          <w:sz w:val="15"/>
        </w:rPr>
        <w:t>.</w:t>
      </w:r>
      <w:r>
        <w:rPr>
          <w:rFonts w:ascii="Arial"/>
          <w:color w:val="545454"/>
          <w:spacing w:val="-5"/>
          <w:w w:val="105"/>
          <w:sz w:val="15"/>
        </w:rPr>
        <w:t>]</w:t>
      </w:r>
      <w:r>
        <w:rPr>
          <w:rFonts w:ascii="Arial"/>
          <w:color w:val="0C0C0C"/>
          <w:spacing w:val="-5"/>
          <w:w w:val="105"/>
          <w:sz w:val="15"/>
        </w:rPr>
        <w:t>]</w:t>
      </w:r>
    </w:p>
    <w:p w14:paraId="51DE8ECD" w14:textId="77777777" w:rsidR="0010369C" w:rsidRDefault="008E43AE">
      <w:pPr>
        <w:spacing w:before="91" w:line="218" w:lineRule="auto"/>
        <w:ind w:left="238" w:right="611" w:hanging="9"/>
        <w:rPr>
          <w:rFonts w:ascii="Arial"/>
          <w:sz w:val="15"/>
        </w:rPr>
      </w:pPr>
      <w:r>
        <w:rPr>
          <w:rFonts w:ascii="Arial"/>
          <w:color w:val="2A2A2A"/>
          <w:w w:val="110"/>
          <w:position w:val="5"/>
          <w:sz w:val="11"/>
        </w:rPr>
        <w:t>669</w:t>
      </w:r>
      <w:r>
        <w:rPr>
          <w:rFonts w:ascii="Arial"/>
          <w:color w:val="2A2A2A"/>
          <w:w w:val="110"/>
          <w:sz w:val="15"/>
        </w:rPr>
        <w:t>Swan</w:t>
      </w:r>
      <w:r>
        <w:rPr>
          <w:rFonts w:ascii="Arial"/>
          <w:color w:val="2A2A2A"/>
          <w:spacing w:val="-8"/>
          <w:w w:val="110"/>
          <w:sz w:val="15"/>
        </w:rPr>
        <w:t xml:space="preserve"> </w:t>
      </w:r>
      <w:r>
        <w:rPr>
          <w:rFonts w:ascii="Arial"/>
          <w:color w:val="2A2A2A"/>
          <w:w w:val="110"/>
          <w:sz w:val="15"/>
        </w:rPr>
        <w:t>Vintage</w:t>
      </w:r>
      <w:r>
        <w:rPr>
          <w:rFonts w:ascii="Arial"/>
          <w:color w:val="2A2A2A"/>
          <w:spacing w:val="-11"/>
          <w:w w:val="110"/>
          <w:sz w:val="15"/>
        </w:rPr>
        <w:t xml:space="preserve"> </w:t>
      </w:r>
      <w:r>
        <w:rPr>
          <w:rFonts w:ascii="Arial"/>
          <w:color w:val="2A2A2A"/>
          <w:w w:val="110"/>
          <w:sz w:val="15"/>
        </w:rPr>
        <w:t>Anti-Dumping</w:t>
      </w:r>
      <w:r>
        <w:rPr>
          <w:rFonts w:ascii="Arial"/>
          <w:color w:val="2A2A2A"/>
          <w:spacing w:val="-16"/>
          <w:w w:val="110"/>
          <w:sz w:val="15"/>
        </w:rPr>
        <w:t xml:space="preserve"> </w:t>
      </w:r>
      <w:r>
        <w:rPr>
          <w:rFonts w:ascii="Arial"/>
          <w:color w:val="2A2A2A"/>
          <w:w w:val="110"/>
          <w:sz w:val="15"/>
        </w:rPr>
        <w:t>Questionnaire</w:t>
      </w:r>
      <w:r>
        <w:rPr>
          <w:rFonts w:ascii="Arial"/>
          <w:color w:val="2A2A2A"/>
          <w:spacing w:val="-2"/>
          <w:w w:val="110"/>
          <w:sz w:val="15"/>
        </w:rPr>
        <w:t xml:space="preserve"> </w:t>
      </w:r>
      <w:r>
        <w:rPr>
          <w:rFonts w:ascii="Arial"/>
          <w:color w:val="2A2A2A"/>
          <w:w w:val="110"/>
          <w:sz w:val="15"/>
        </w:rPr>
        <w:t>Response,</w:t>
      </w:r>
      <w:r>
        <w:rPr>
          <w:rFonts w:ascii="Arial"/>
          <w:color w:val="2A2A2A"/>
          <w:spacing w:val="-4"/>
          <w:w w:val="110"/>
          <w:sz w:val="15"/>
        </w:rPr>
        <w:t xml:space="preserve"> </w:t>
      </w:r>
      <w:r>
        <w:rPr>
          <w:rFonts w:ascii="Arial"/>
          <w:color w:val="2A2A2A"/>
          <w:w w:val="110"/>
          <w:sz w:val="15"/>
        </w:rPr>
        <w:t>Annex</w:t>
      </w:r>
      <w:r>
        <w:rPr>
          <w:rFonts w:ascii="Arial"/>
          <w:color w:val="2A2A2A"/>
          <w:spacing w:val="-12"/>
          <w:w w:val="110"/>
          <w:sz w:val="15"/>
        </w:rPr>
        <w:t xml:space="preserve"> </w:t>
      </w:r>
      <w:r>
        <w:rPr>
          <w:rFonts w:ascii="Arial"/>
          <w:color w:val="0C0C0C"/>
          <w:w w:val="110"/>
          <w:sz w:val="15"/>
        </w:rPr>
        <w:t xml:space="preserve">1 </w:t>
      </w:r>
      <w:r>
        <w:rPr>
          <w:rFonts w:ascii="Arial"/>
          <w:color w:val="2A2A2A"/>
          <w:w w:val="110"/>
          <w:sz w:val="15"/>
        </w:rPr>
        <w:t xml:space="preserve">(Part </w:t>
      </w:r>
      <w:r>
        <w:rPr>
          <w:rFonts w:ascii="Times New Roman"/>
          <w:b/>
          <w:color w:val="1A1A1A"/>
          <w:w w:val="110"/>
          <w:sz w:val="16"/>
        </w:rPr>
        <w:t>1</w:t>
      </w:r>
      <w:r>
        <w:rPr>
          <w:rFonts w:ascii="Times New Roman"/>
          <w:b/>
          <w:color w:val="1A1A1A"/>
          <w:spacing w:val="-6"/>
          <w:w w:val="110"/>
          <w:sz w:val="16"/>
        </w:rPr>
        <w:t xml:space="preserve"> </w:t>
      </w:r>
      <w:r>
        <w:rPr>
          <w:rFonts w:ascii="Arial"/>
          <w:color w:val="2A2A2A"/>
          <w:w w:val="110"/>
          <w:sz w:val="15"/>
        </w:rPr>
        <w:t xml:space="preserve">of </w:t>
      </w:r>
      <w:r>
        <w:rPr>
          <w:rFonts w:ascii="Arial"/>
          <w:color w:val="1A1A1A"/>
          <w:w w:val="110"/>
          <w:sz w:val="15"/>
        </w:rPr>
        <w:t>2)</w:t>
      </w:r>
      <w:r>
        <w:rPr>
          <w:rFonts w:ascii="Arial"/>
          <w:color w:val="1A1A1A"/>
          <w:spacing w:val="-9"/>
          <w:w w:val="110"/>
          <w:sz w:val="15"/>
        </w:rPr>
        <w:t xml:space="preserve"> </w:t>
      </w:r>
      <w:r>
        <w:rPr>
          <w:rFonts w:ascii="Arial"/>
          <w:color w:val="2A2A2A"/>
          <w:w w:val="110"/>
          <w:sz w:val="15"/>
        </w:rPr>
        <w:t>(Exhibit AUS-78),</w:t>
      </w:r>
      <w:r>
        <w:rPr>
          <w:rFonts w:ascii="Arial"/>
          <w:color w:val="2A2A2A"/>
          <w:spacing w:val="-6"/>
          <w:w w:val="110"/>
          <w:sz w:val="15"/>
        </w:rPr>
        <w:t xml:space="preserve"> </w:t>
      </w:r>
      <w:r>
        <w:rPr>
          <w:rFonts w:ascii="Arial"/>
          <w:color w:val="1A1A1A"/>
          <w:w w:val="110"/>
          <w:sz w:val="15"/>
        </w:rPr>
        <w:t>Form</w:t>
      </w:r>
      <w:r>
        <w:rPr>
          <w:rFonts w:ascii="Arial"/>
          <w:color w:val="1A1A1A"/>
          <w:spacing w:val="-16"/>
          <w:w w:val="110"/>
          <w:sz w:val="15"/>
        </w:rPr>
        <w:t xml:space="preserve"> </w:t>
      </w:r>
      <w:r>
        <w:rPr>
          <w:rFonts w:ascii="Arial"/>
          <w:color w:val="2A2A2A"/>
          <w:w w:val="110"/>
          <w:sz w:val="15"/>
        </w:rPr>
        <w:t>5-2,</w:t>
      </w:r>
      <w:r>
        <w:rPr>
          <w:rFonts w:ascii="Arial"/>
          <w:color w:val="2A2A2A"/>
          <w:spacing w:val="-10"/>
          <w:w w:val="110"/>
          <w:sz w:val="15"/>
        </w:rPr>
        <w:t xml:space="preserve"> </w:t>
      </w:r>
      <w:r>
        <w:rPr>
          <w:rFonts w:ascii="Arial"/>
          <w:color w:val="2A2A2A"/>
          <w:w w:val="110"/>
          <w:sz w:val="15"/>
        </w:rPr>
        <w:t>columns</w:t>
      </w:r>
      <w:r>
        <w:rPr>
          <w:rFonts w:ascii="Arial"/>
          <w:color w:val="2A2A2A"/>
          <w:spacing w:val="-1"/>
          <w:w w:val="110"/>
          <w:sz w:val="15"/>
        </w:rPr>
        <w:t xml:space="preserve"> </w:t>
      </w:r>
      <w:r>
        <w:rPr>
          <w:rFonts w:ascii="Arial"/>
          <w:color w:val="2A2A2A"/>
          <w:w w:val="110"/>
          <w:sz w:val="15"/>
        </w:rPr>
        <w:t>Band</w:t>
      </w:r>
      <w:r>
        <w:rPr>
          <w:rFonts w:ascii="Arial"/>
          <w:color w:val="2A2A2A"/>
          <w:spacing w:val="-21"/>
          <w:w w:val="110"/>
          <w:sz w:val="15"/>
        </w:rPr>
        <w:t xml:space="preserve"> </w:t>
      </w:r>
      <w:r>
        <w:rPr>
          <w:rFonts w:ascii="Arial"/>
          <w:color w:val="2A2A2A"/>
          <w:w w:val="110"/>
          <w:sz w:val="15"/>
        </w:rPr>
        <w:t>C, cells</w:t>
      </w:r>
      <w:r>
        <w:rPr>
          <w:rFonts w:ascii="Arial"/>
          <w:color w:val="2A2A2A"/>
          <w:spacing w:val="-17"/>
          <w:w w:val="110"/>
          <w:sz w:val="15"/>
        </w:rPr>
        <w:t xml:space="preserve"> </w:t>
      </w:r>
      <w:r>
        <w:rPr>
          <w:rFonts w:ascii="Arial"/>
          <w:color w:val="2A2A2A"/>
          <w:w w:val="110"/>
          <w:sz w:val="15"/>
        </w:rPr>
        <w:t xml:space="preserve">88 </w:t>
      </w:r>
      <w:r>
        <w:rPr>
          <w:rFonts w:ascii="Arial"/>
          <w:color w:val="1A1A1A"/>
          <w:w w:val="110"/>
          <w:sz w:val="15"/>
        </w:rPr>
        <w:t>to</w:t>
      </w:r>
      <w:r>
        <w:rPr>
          <w:rFonts w:ascii="Arial"/>
          <w:color w:val="1A1A1A"/>
          <w:spacing w:val="31"/>
          <w:w w:val="110"/>
          <w:sz w:val="15"/>
        </w:rPr>
        <w:t xml:space="preserve"> </w:t>
      </w:r>
      <w:r>
        <w:rPr>
          <w:rFonts w:ascii="Arial"/>
          <w:color w:val="0C0C0C"/>
          <w:w w:val="110"/>
          <w:sz w:val="15"/>
        </w:rPr>
        <w:t>104.</w:t>
      </w:r>
      <w:r>
        <w:rPr>
          <w:rFonts w:ascii="Arial"/>
          <w:color w:val="0C0C0C"/>
          <w:spacing w:val="-13"/>
          <w:w w:val="110"/>
          <w:sz w:val="15"/>
        </w:rPr>
        <w:t xml:space="preserve"> </w:t>
      </w:r>
      <w:r>
        <w:rPr>
          <w:rFonts w:ascii="Arial"/>
          <w:color w:val="2A2A2A"/>
          <w:w w:val="110"/>
          <w:sz w:val="15"/>
        </w:rPr>
        <w:t>While</w:t>
      </w:r>
      <w:r>
        <w:rPr>
          <w:rFonts w:ascii="Arial"/>
          <w:color w:val="2A2A2A"/>
          <w:spacing w:val="-7"/>
          <w:w w:val="110"/>
          <w:sz w:val="15"/>
        </w:rPr>
        <w:t xml:space="preserve"> </w:t>
      </w:r>
      <w:r>
        <w:rPr>
          <w:rFonts w:ascii="Arial"/>
          <w:color w:val="2A2A2A"/>
          <w:w w:val="110"/>
          <w:sz w:val="15"/>
        </w:rPr>
        <w:t>it</w:t>
      </w:r>
      <w:r>
        <w:rPr>
          <w:rFonts w:ascii="Arial"/>
          <w:color w:val="2A2A2A"/>
          <w:spacing w:val="23"/>
          <w:w w:val="110"/>
          <w:sz w:val="15"/>
        </w:rPr>
        <w:t xml:space="preserve"> </w:t>
      </w:r>
      <w:r>
        <w:rPr>
          <w:rFonts w:ascii="Arial"/>
          <w:color w:val="2A2A2A"/>
          <w:w w:val="110"/>
          <w:sz w:val="15"/>
        </w:rPr>
        <w:t>is</w:t>
      </w:r>
      <w:r>
        <w:rPr>
          <w:rFonts w:ascii="Arial"/>
          <w:color w:val="2A2A2A"/>
          <w:spacing w:val="-14"/>
          <w:w w:val="110"/>
          <w:sz w:val="15"/>
        </w:rPr>
        <w:t xml:space="preserve"> </w:t>
      </w:r>
      <w:r>
        <w:rPr>
          <w:rFonts w:ascii="Arial"/>
          <w:color w:val="2A2A2A"/>
          <w:w w:val="110"/>
          <w:sz w:val="15"/>
        </w:rPr>
        <w:t>not</w:t>
      </w:r>
      <w:r>
        <w:rPr>
          <w:rFonts w:ascii="Arial"/>
          <w:color w:val="2A2A2A"/>
          <w:spacing w:val="24"/>
          <w:w w:val="110"/>
          <w:sz w:val="15"/>
        </w:rPr>
        <w:t xml:space="preserve"> </w:t>
      </w:r>
      <w:r>
        <w:rPr>
          <w:rFonts w:ascii="Arial"/>
          <w:color w:val="2A2A2A"/>
          <w:w w:val="110"/>
          <w:sz w:val="15"/>
        </w:rPr>
        <w:t xml:space="preserve">explained, Australia understands </w:t>
      </w:r>
      <w:r>
        <w:rPr>
          <w:rFonts w:ascii="Arial"/>
          <w:color w:val="1A1A1A"/>
          <w:w w:val="110"/>
          <w:sz w:val="15"/>
        </w:rPr>
        <w:t>that</w:t>
      </w:r>
      <w:r>
        <w:rPr>
          <w:rFonts w:ascii="Arial"/>
          <w:color w:val="1A1A1A"/>
          <w:spacing w:val="-8"/>
          <w:w w:val="110"/>
          <w:sz w:val="15"/>
        </w:rPr>
        <w:t xml:space="preserve"> </w:t>
      </w:r>
      <w:r>
        <w:rPr>
          <w:rFonts w:ascii="Arial"/>
          <w:color w:val="2A2A2A"/>
          <w:w w:val="110"/>
          <w:sz w:val="15"/>
        </w:rPr>
        <w:t>the</w:t>
      </w:r>
      <w:r>
        <w:rPr>
          <w:rFonts w:ascii="Arial"/>
          <w:color w:val="2A2A2A"/>
          <w:spacing w:val="-26"/>
          <w:w w:val="110"/>
          <w:sz w:val="15"/>
        </w:rPr>
        <w:t xml:space="preserve"> </w:t>
      </w:r>
      <w:r>
        <w:rPr>
          <w:rFonts w:ascii="Arial"/>
          <w:color w:val="2A2A2A"/>
          <w:w w:val="110"/>
          <w:sz w:val="15"/>
        </w:rPr>
        <w:t>public</w:t>
      </w:r>
      <w:r>
        <w:rPr>
          <w:rFonts w:ascii="Arial"/>
          <w:color w:val="2A2A2A"/>
          <w:spacing w:val="-7"/>
          <w:w w:val="110"/>
          <w:sz w:val="15"/>
        </w:rPr>
        <w:t xml:space="preserve"> </w:t>
      </w:r>
      <w:r>
        <w:rPr>
          <w:rFonts w:ascii="Arial"/>
          <w:color w:val="2A2A2A"/>
          <w:w w:val="110"/>
          <w:sz w:val="15"/>
        </w:rPr>
        <w:t>versions</w:t>
      </w:r>
      <w:r>
        <w:rPr>
          <w:rFonts w:ascii="Arial"/>
          <w:color w:val="2A2A2A"/>
          <w:spacing w:val="-12"/>
          <w:w w:val="110"/>
          <w:sz w:val="15"/>
        </w:rPr>
        <w:t xml:space="preserve"> </w:t>
      </w:r>
      <w:r>
        <w:rPr>
          <w:rFonts w:ascii="Arial"/>
          <w:color w:val="2A2A2A"/>
          <w:w w:val="110"/>
          <w:sz w:val="15"/>
        </w:rPr>
        <w:t>of Swan</w:t>
      </w:r>
      <w:r>
        <w:rPr>
          <w:rFonts w:ascii="Arial"/>
          <w:color w:val="2A2A2A"/>
          <w:spacing w:val="-1"/>
          <w:w w:val="110"/>
          <w:sz w:val="15"/>
        </w:rPr>
        <w:t xml:space="preserve"> </w:t>
      </w:r>
      <w:r>
        <w:rPr>
          <w:rFonts w:ascii="Arial"/>
          <w:color w:val="2A2A2A"/>
          <w:w w:val="110"/>
          <w:sz w:val="15"/>
        </w:rPr>
        <w:t xml:space="preserve">Vintage's responses </w:t>
      </w:r>
      <w:r>
        <w:rPr>
          <w:rFonts w:ascii="Arial"/>
          <w:color w:val="1A1A1A"/>
          <w:w w:val="110"/>
          <w:sz w:val="15"/>
        </w:rPr>
        <w:t>to</w:t>
      </w:r>
      <w:r>
        <w:rPr>
          <w:rFonts w:ascii="Arial"/>
          <w:color w:val="1A1A1A"/>
          <w:spacing w:val="39"/>
          <w:w w:val="110"/>
          <w:sz w:val="15"/>
        </w:rPr>
        <w:t xml:space="preserve"> </w:t>
      </w:r>
      <w:r>
        <w:rPr>
          <w:rFonts w:ascii="Arial"/>
          <w:color w:val="2A2A2A"/>
          <w:w w:val="110"/>
          <w:sz w:val="15"/>
        </w:rPr>
        <w:t>the</w:t>
      </w:r>
    </w:p>
    <w:p w14:paraId="51DE8ECE" w14:textId="77777777" w:rsidR="0010369C" w:rsidRDefault="008E43AE">
      <w:pPr>
        <w:spacing w:before="52" w:line="307" w:lineRule="auto"/>
        <w:ind w:left="228" w:right="611" w:firstLine="6"/>
        <w:rPr>
          <w:rFonts w:ascii="Arial"/>
          <w:sz w:val="15"/>
        </w:rPr>
      </w:pPr>
      <w:r>
        <w:rPr>
          <w:noProof/>
        </w:rPr>
        <w:drawing>
          <wp:anchor distT="0" distB="0" distL="0" distR="0" simplePos="0" relativeHeight="251208192" behindDoc="1" locked="0" layoutInCell="1" allowOverlap="1" wp14:anchorId="51DEA49A" wp14:editId="51DEA49B">
            <wp:simplePos x="0" y="0"/>
            <wp:positionH relativeFrom="page">
              <wp:posOffset>891988</wp:posOffset>
            </wp:positionH>
            <wp:positionV relativeFrom="paragraph">
              <wp:posOffset>313316</wp:posOffset>
            </wp:positionV>
            <wp:extent cx="5797923" cy="432825"/>
            <wp:effectExtent l="0" t="0" r="0" b="0"/>
            <wp:wrapNone/>
            <wp:docPr id="1157" name="image5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 name="image593.png"/>
                    <pic:cNvPicPr/>
                  </pic:nvPicPr>
                  <pic:blipFill>
                    <a:blip r:embed="rId777" cstate="print"/>
                    <a:stretch>
                      <a:fillRect/>
                    </a:stretch>
                  </pic:blipFill>
                  <pic:spPr>
                    <a:xfrm>
                      <a:off x="0" y="0"/>
                      <a:ext cx="5797923" cy="432825"/>
                    </a:xfrm>
                    <a:prstGeom prst="rect">
                      <a:avLst/>
                    </a:prstGeom>
                  </pic:spPr>
                </pic:pic>
              </a:graphicData>
            </a:graphic>
          </wp:anchor>
        </w:drawing>
      </w:r>
      <w:r>
        <w:rPr>
          <w:rFonts w:ascii="Arial"/>
          <w:color w:val="2A2A2A"/>
          <w:w w:val="110"/>
          <w:sz w:val="15"/>
        </w:rPr>
        <w:t>Anti-Dumping Questionnaire are expressed</w:t>
      </w:r>
      <w:r>
        <w:rPr>
          <w:rFonts w:ascii="Arial"/>
          <w:color w:val="2A2A2A"/>
          <w:spacing w:val="-2"/>
          <w:w w:val="110"/>
          <w:sz w:val="15"/>
        </w:rPr>
        <w:t xml:space="preserve"> </w:t>
      </w:r>
      <w:r>
        <w:rPr>
          <w:rFonts w:ascii="Arial"/>
          <w:color w:val="2A2A2A"/>
          <w:w w:val="110"/>
          <w:sz w:val="15"/>
        </w:rPr>
        <w:t>as</w:t>
      </w:r>
      <w:r>
        <w:rPr>
          <w:rFonts w:ascii="Arial"/>
          <w:color w:val="2A2A2A"/>
          <w:spacing w:val="-11"/>
          <w:w w:val="110"/>
          <w:sz w:val="15"/>
        </w:rPr>
        <w:t xml:space="preserve"> </w:t>
      </w:r>
      <w:r>
        <w:rPr>
          <w:rFonts w:ascii="Arial"/>
          <w:color w:val="2A2A2A"/>
          <w:w w:val="110"/>
          <w:sz w:val="15"/>
        </w:rPr>
        <w:t>indexed values.</w:t>
      </w:r>
      <w:r>
        <w:rPr>
          <w:rFonts w:ascii="Arial"/>
          <w:color w:val="2A2A2A"/>
          <w:spacing w:val="-6"/>
          <w:w w:val="110"/>
          <w:sz w:val="15"/>
        </w:rPr>
        <w:t xml:space="preserve"> </w:t>
      </w:r>
      <w:r>
        <w:rPr>
          <w:rFonts w:ascii="Arial"/>
          <w:color w:val="1A1A1A"/>
          <w:w w:val="110"/>
          <w:sz w:val="15"/>
        </w:rPr>
        <w:t>That</w:t>
      </w:r>
      <w:r>
        <w:rPr>
          <w:rFonts w:ascii="Arial"/>
          <w:color w:val="1A1A1A"/>
          <w:spacing w:val="-13"/>
          <w:w w:val="110"/>
          <w:sz w:val="15"/>
        </w:rPr>
        <w:t xml:space="preserve"> </w:t>
      </w:r>
      <w:r>
        <w:rPr>
          <w:rFonts w:ascii="Arial"/>
          <w:color w:val="2A2A2A"/>
          <w:w w:val="110"/>
          <w:sz w:val="15"/>
        </w:rPr>
        <w:t>is,</w:t>
      </w:r>
      <w:r>
        <w:rPr>
          <w:rFonts w:ascii="Arial"/>
          <w:color w:val="2A2A2A"/>
          <w:spacing w:val="-9"/>
          <w:w w:val="110"/>
          <w:sz w:val="15"/>
        </w:rPr>
        <w:t xml:space="preserve"> </w:t>
      </w:r>
      <w:r>
        <w:rPr>
          <w:rFonts w:ascii="Arial"/>
          <w:color w:val="1A1A1A"/>
          <w:w w:val="110"/>
          <w:sz w:val="15"/>
        </w:rPr>
        <w:t>the</w:t>
      </w:r>
      <w:r>
        <w:rPr>
          <w:rFonts w:ascii="Arial"/>
          <w:color w:val="1A1A1A"/>
          <w:spacing w:val="30"/>
          <w:w w:val="110"/>
          <w:sz w:val="15"/>
        </w:rPr>
        <w:t xml:space="preserve"> </w:t>
      </w:r>
      <w:r>
        <w:rPr>
          <w:rFonts w:ascii="Arial"/>
          <w:color w:val="2A2A2A"/>
          <w:w w:val="110"/>
          <w:sz w:val="15"/>
        </w:rPr>
        <w:t>first</w:t>
      </w:r>
      <w:r>
        <w:rPr>
          <w:rFonts w:ascii="Arial"/>
          <w:color w:val="2A2A2A"/>
          <w:spacing w:val="-10"/>
          <w:w w:val="110"/>
          <w:sz w:val="15"/>
        </w:rPr>
        <w:t xml:space="preserve"> </w:t>
      </w:r>
      <w:r>
        <w:rPr>
          <w:rFonts w:ascii="Arial"/>
          <w:color w:val="1A1A1A"/>
          <w:w w:val="110"/>
          <w:sz w:val="15"/>
        </w:rPr>
        <w:t>entry</w:t>
      </w:r>
      <w:r>
        <w:rPr>
          <w:rFonts w:ascii="Arial"/>
          <w:color w:val="1A1A1A"/>
          <w:spacing w:val="-3"/>
          <w:w w:val="110"/>
          <w:sz w:val="15"/>
        </w:rPr>
        <w:t xml:space="preserve"> </w:t>
      </w:r>
      <w:r>
        <w:rPr>
          <w:rFonts w:ascii="Arial"/>
          <w:color w:val="0C0C0C"/>
          <w:w w:val="110"/>
          <w:sz w:val="15"/>
        </w:rPr>
        <w:t>in</w:t>
      </w:r>
      <w:r>
        <w:rPr>
          <w:rFonts w:ascii="Arial"/>
          <w:color w:val="0C0C0C"/>
          <w:spacing w:val="-2"/>
          <w:w w:val="110"/>
          <w:sz w:val="15"/>
        </w:rPr>
        <w:t xml:space="preserve"> </w:t>
      </w:r>
      <w:r>
        <w:rPr>
          <w:rFonts w:ascii="Arial"/>
          <w:color w:val="2A2A2A"/>
          <w:w w:val="110"/>
          <w:sz w:val="15"/>
        </w:rPr>
        <w:t>every</w:t>
      </w:r>
      <w:r>
        <w:rPr>
          <w:rFonts w:ascii="Arial"/>
          <w:color w:val="2A2A2A"/>
          <w:spacing w:val="-7"/>
          <w:w w:val="110"/>
          <w:sz w:val="15"/>
        </w:rPr>
        <w:t xml:space="preserve"> </w:t>
      </w:r>
      <w:r>
        <w:rPr>
          <w:rFonts w:ascii="Arial"/>
          <w:color w:val="2A2A2A"/>
          <w:w w:val="110"/>
          <w:sz w:val="15"/>
        </w:rPr>
        <w:t>column</w:t>
      </w:r>
      <w:r>
        <w:rPr>
          <w:rFonts w:ascii="Arial"/>
          <w:color w:val="2A2A2A"/>
          <w:spacing w:val="-13"/>
          <w:w w:val="110"/>
          <w:sz w:val="15"/>
        </w:rPr>
        <w:t xml:space="preserve"> </w:t>
      </w:r>
      <w:r>
        <w:rPr>
          <w:rFonts w:ascii="Arial"/>
          <w:color w:val="2A2A2A"/>
          <w:w w:val="110"/>
          <w:sz w:val="15"/>
        </w:rPr>
        <w:t>is</w:t>
      </w:r>
      <w:r>
        <w:rPr>
          <w:rFonts w:ascii="Arial"/>
          <w:color w:val="2A2A2A"/>
          <w:spacing w:val="-3"/>
          <w:w w:val="110"/>
          <w:sz w:val="15"/>
        </w:rPr>
        <w:t xml:space="preserve"> </w:t>
      </w:r>
      <w:r>
        <w:rPr>
          <w:rFonts w:ascii="Arial"/>
          <w:color w:val="2A2A2A"/>
          <w:w w:val="110"/>
          <w:sz w:val="15"/>
        </w:rPr>
        <w:t xml:space="preserve">typically adjusted </w:t>
      </w:r>
      <w:r>
        <w:rPr>
          <w:rFonts w:ascii="Arial"/>
          <w:color w:val="1A1A1A"/>
          <w:w w:val="110"/>
          <w:sz w:val="15"/>
        </w:rPr>
        <w:t xml:space="preserve">to </w:t>
      </w:r>
      <w:r>
        <w:rPr>
          <w:rFonts w:ascii="Arial"/>
          <w:color w:val="0C0C0C"/>
          <w:w w:val="110"/>
          <w:sz w:val="15"/>
        </w:rPr>
        <w:t>100,</w:t>
      </w:r>
      <w:r>
        <w:rPr>
          <w:rFonts w:ascii="Arial"/>
          <w:color w:val="0C0C0C"/>
          <w:spacing w:val="-6"/>
          <w:w w:val="110"/>
          <w:sz w:val="15"/>
        </w:rPr>
        <w:t xml:space="preserve"> </w:t>
      </w:r>
      <w:r>
        <w:rPr>
          <w:rFonts w:ascii="Arial"/>
          <w:color w:val="1A1A1A"/>
          <w:w w:val="110"/>
          <w:sz w:val="15"/>
        </w:rPr>
        <w:t xml:space="preserve">then </w:t>
      </w:r>
      <w:r>
        <w:rPr>
          <w:rFonts w:ascii="Arial"/>
          <w:color w:val="2A2A2A"/>
          <w:w w:val="110"/>
          <w:sz w:val="15"/>
        </w:rPr>
        <w:t>every other value in</w:t>
      </w:r>
      <w:r>
        <w:rPr>
          <w:rFonts w:ascii="Arial"/>
          <w:color w:val="2A2A2A"/>
          <w:spacing w:val="30"/>
          <w:w w:val="110"/>
          <w:sz w:val="15"/>
        </w:rPr>
        <w:t xml:space="preserve"> </w:t>
      </w:r>
      <w:r>
        <w:rPr>
          <w:rFonts w:ascii="Arial"/>
          <w:color w:val="2A2A2A"/>
          <w:w w:val="110"/>
          <w:sz w:val="15"/>
        </w:rPr>
        <w:t>that</w:t>
      </w:r>
      <w:r>
        <w:rPr>
          <w:rFonts w:ascii="Arial"/>
          <w:color w:val="2A2A2A"/>
          <w:spacing w:val="-3"/>
          <w:w w:val="110"/>
          <w:sz w:val="15"/>
        </w:rPr>
        <w:t xml:space="preserve"> </w:t>
      </w:r>
      <w:r>
        <w:rPr>
          <w:rFonts w:ascii="Arial"/>
          <w:color w:val="2A2A2A"/>
          <w:w w:val="110"/>
          <w:sz w:val="15"/>
        </w:rPr>
        <w:t>column</w:t>
      </w:r>
      <w:r>
        <w:rPr>
          <w:rFonts w:ascii="Arial"/>
          <w:color w:val="2A2A2A"/>
          <w:spacing w:val="-6"/>
          <w:w w:val="110"/>
          <w:sz w:val="15"/>
        </w:rPr>
        <w:t xml:space="preserve"> </w:t>
      </w:r>
      <w:r>
        <w:rPr>
          <w:rFonts w:ascii="Arial"/>
          <w:color w:val="2A2A2A"/>
          <w:w w:val="110"/>
          <w:sz w:val="15"/>
        </w:rPr>
        <w:t xml:space="preserve">is expressed </w:t>
      </w:r>
      <w:r>
        <w:rPr>
          <w:rFonts w:ascii="Arial"/>
          <w:color w:val="1A1A1A"/>
          <w:w w:val="110"/>
          <w:sz w:val="15"/>
        </w:rPr>
        <w:t>relative</w:t>
      </w:r>
      <w:r>
        <w:rPr>
          <w:rFonts w:ascii="Arial"/>
          <w:color w:val="1A1A1A"/>
          <w:spacing w:val="-5"/>
          <w:w w:val="110"/>
          <w:sz w:val="15"/>
        </w:rPr>
        <w:t xml:space="preserve"> </w:t>
      </w:r>
      <w:r>
        <w:rPr>
          <w:rFonts w:ascii="Arial"/>
          <w:color w:val="1A1A1A"/>
          <w:w w:val="110"/>
          <w:sz w:val="15"/>
        </w:rPr>
        <w:t>to</w:t>
      </w:r>
      <w:r>
        <w:rPr>
          <w:rFonts w:ascii="Arial"/>
          <w:color w:val="1A1A1A"/>
          <w:spacing w:val="40"/>
          <w:w w:val="110"/>
          <w:sz w:val="15"/>
        </w:rPr>
        <w:t xml:space="preserve"> </w:t>
      </w:r>
      <w:r>
        <w:rPr>
          <w:rFonts w:ascii="Arial"/>
          <w:color w:val="2A2A2A"/>
          <w:w w:val="110"/>
          <w:sz w:val="15"/>
        </w:rPr>
        <w:t>the index value of</w:t>
      </w:r>
      <w:r>
        <w:rPr>
          <w:rFonts w:ascii="Arial"/>
          <w:color w:val="2A2A2A"/>
          <w:spacing w:val="33"/>
          <w:w w:val="110"/>
          <w:sz w:val="15"/>
        </w:rPr>
        <w:t xml:space="preserve"> </w:t>
      </w:r>
      <w:r>
        <w:rPr>
          <w:rFonts w:ascii="Arial"/>
          <w:color w:val="2A2A2A"/>
          <w:w w:val="110"/>
          <w:sz w:val="15"/>
        </w:rPr>
        <w:t>100.</w:t>
      </w:r>
      <w:r>
        <w:rPr>
          <w:rFonts w:ascii="Arial"/>
          <w:color w:val="2A2A2A"/>
          <w:spacing w:val="-8"/>
          <w:w w:val="110"/>
          <w:sz w:val="15"/>
        </w:rPr>
        <w:t xml:space="preserve"> </w:t>
      </w:r>
      <w:r>
        <w:rPr>
          <w:rFonts w:ascii="Arial"/>
          <w:color w:val="0C0C0C"/>
          <w:w w:val="110"/>
          <w:sz w:val="15"/>
        </w:rPr>
        <w:t>The</w:t>
      </w:r>
      <w:r>
        <w:rPr>
          <w:rFonts w:ascii="Arial"/>
          <w:color w:val="0C0C0C"/>
          <w:spacing w:val="-3"/>
          <w:w w:val="110"/>
          <w:sz w:val="15"/>
        </w:rPr>
        <w:t xml:space="preserve"> </w:t>
      </w:r>
      <w:r>
        <w:rPr>
          <w:rFonts w:ascii="Arial"/>
          <w:color w:val="2A2A2A"/>
          <w:w w:val="110"/>
          <w:sz w:val="15"/>
        </w:rPr>
        <w:t>result</w:t>
      </w:r>
      <w:r>
        <w:rPr>
          <w:rFonts w:ascii="Arial"/>
          <w:color w:val="2A2A2A"/>
          <w:spacing w:val="-8"/>
          <w:w w:val="110"/>
          <w:sz w:val="15"/>
        </w:rPr>
        <w:t xml:space="preserve"> </w:t>
      </w:r>
      <w:r>
        <w:rPr>
          <w:rFonts w:ascii="Arial"/>
          <w:color w:val="2A2A2A"/>
          <w:w w:val="110"/>
          <w:sz w:val="15"/>
        </w:rPr>
        <w:t xml:space="preserve">is </w:t>
      </w:r>
      <w:r>
        <w:rPr>
          <w:rFonts w:ascii="Arial"/>
          <w:color w:val="1A1A1A"/>
          <w:w w:val="110"/>
          <w:sz w:val="15"/>
        </w:rPr>
        <w:t xml:space="preserve">that the difference </w:t>
      </w:r>
      <w:r>
        <w:rPr>
          <w:rFonts w:ascii="Arial"/>
          <w:color w:val="2A2A2A"/>
          <w:w w:val="110"/>
          <w:sz w:val="15"/>
        </w:rPr>
        <w:t xml:space="preserve">represents </w:t>
      </w:r>
      <w:r>
        <w:rPr>
          <w:rFonts w:ascii="Arial"/>
          <w:color w:val="1A1A1A"/>
          <w:w w:val="110"/>
          <w:sz w:val="15"/>
        </w:rPr>
        <w:t>the</w:t>
      </w:r>
      <w:r>
        <w:rPr>
          <w:rFonts w:ascii="Arial"/>
          <w:color w:val="1A1A1A"/>
          <w:spacing w:val="37"/>
          <w:w w:val="110"/>
          <w:sz w:val="15"/>
        </w:rPr>
        <w:t xml:space="preserve"> </w:t>
      </w:r>
      <w:r>
        <w:rPr>
          <w:rFonts w:ascii="Arial"/>
          <w:color w:val="2A2A2A"/>
          <w:w w:val="110"/>
          <w:sz w:val="15"/>
        </w:rPr>
        <w:t>change between an unknown starting value</w:t>
      </w:r>
      <w:r>
        <w:rPr>
          <w:rFonts w:ascii="Arial"/>
          <w:color w:val="2A2A2A"/>
          <w:spacing w:val="-7"/>
          <w:w w:val="110"/>
          <w:sz w:val="15"/>
        </w:rPr>
        <w:t xml:space="preserve"> </w:t>
      </w:r>
      <w:r>
        <w:rPr>
          <w:rFonts w:ascii="Arial"/>
          <w:color w:val="2A2A2A"/>
          <w:w w:val="110"/>
          <w:sz w:val="15"/>
        </w:rPr>
        <w:t>and the</w:t>
      </w:r>
      <w:r>
        <w:rPr>
          <w:rFonts w:ascii="Arial"/>
          <w:color w:val="2A2A2A"/>
          <w:spacing w:val="39"/>
          <w:w w:val="110"/>
          <w:sz w:val="15"/>
        </w:rPr>
        <w:t xml:space="preserve"> </w:t>
      </w:r>
      <w:r>
        <w:rPr>
          <w:rFonts w:ascii="Arial"/>
          <w:color w:val="2A2A2A"/>
          <w:w w:val="110"/>
          <w:sz w:val="15"/>
        </w:rPr>
        <w:t xml:space="preserve">other </w:t>
      </w:r>
      <w:r>
        <w:rPr>
          <w:rFonts w:ascii="Arial"/>
          <w:color w:val="1A1A1A"/>
          <w:w w:val="110"/>
          <w:sz w:val="15"/>
        </w:rPr>
        <w:t xml:space="preserve">figures. </w:t>
      </w:r>
      <w:r>
        <w:rPr>
          <w:rFonts w:ascii="Arial"/>
          <w:color w:val="2A2A2A"/>
          <w:w w:val="110"/>
          <w:sz w:val="15"/>
        </w:rPr>
        <w:t>[</w:t>
      </w:r>
    </w:p>
    <w:p w14:paraId="51DE8ECF" w14:textId="77777777" w:rsidR="0010369C" w:rsidRDefault="0010369C">
      <w:pPr>
        <w:spacing w:line="307" w:lineRule="auto"/>
        <w:rPr>
          <w:rFonts w:ascii="Arial"/>
          <w:sz w:val="15"/>
        </w:rPr>
        <w:sectPr w:rsidR="0010369C">
          <w:type w:val="continuous"/>
          <w:pgSz w:w="11910" w:h="16840"/>
          <w:pgMar w:top="1460" w:right="800" w:bottom="280" w:left="1180" w:header="491" w:footer="805" w:gutter="0"/>
          <w:cols w:space="720"/>
        </w:sectPr>
      </w:pPr>
    </w:p>
    <w:p w14:paraId="51DE8ED0" w14:textId="77777777" w:rsidR="0010369C" w:rsidRDefault="008E43AE">
      <w:pPr>
        <w:tabs>
          <w:tab w:val="left" w:pos="6445"/>
        </w:tabs>
        <w:spacing w:before="21"/>
        <w:ind w:left="228"/>
        <w:rPr>
          <w:rFonts w:ascii="Arial"/>
          <w:sz w:val="18"/>
        </w:rPr>
      </w:pPr>
      <w:r>
        <w:rPr>
          <w:rFonts w:ascii="Arial"/>
          <w:i/>
          <w:color w:val="1C1C1C"/>
          <w:w w:val="105"/>
          <w:sz w:val="18"/>
        </w:rPr>
        <w:lastRenderedPageBreak/>
        <w:t>China</w:t>
      </w:r>
      <w:r>
        <w:rPr>
          <w:rFonts w:ascii="Arial"/>
          <w:i/>
          <w:color w:val="1C1C1C"/>
          <w:spacing w:val="-17"/>
          <w:w w:val="105"/>
          <w:sz w:val="18"/>
        </w:rPr>
        <w:t xml:space="preserve"> </w:t>
      </w:r>
      <w:r>
        <w:rPr>
          <w:rFonts w:ascii="Arial"/>
          <w:i/>
          <w:color w:val="1C1C1C"/>
          <w:w w:val="105"/>
          <w:sz w:val="18"/>
        </w:rPr>
        <w:t>-Anti-Dumping</w:t>
      </w:r>
      <w:r>
        <w:rPr>
          <w:rFonts w:ascii="Arial"/>
          <w:i/>
          <w:color w:val="1C1C1C"/>
          <w:spacing w:val="-5"/>
          <w:w w:val="105"/>
          <w:sz w:val="18"/>
        </w:rPr>
        <w:t xml:space="preserve"> </w:t>
      </w:r>
      <w:r>
        <w:rPr>
          <w:rFonts w:ascii="Arial"/>
          <w:i/>
          <w:color w:val="1C1C1C"/>
          <w:w w:val="105"/>
          <w:sz w:val="18"/>
        </w:rPr>
        <w:t>and</w:t>
      </w:r>
      <w:r>
        <w:rPr>
          <w:rFonts w:ascii="Arial"/>
          <w:i/>
          <w:color w:val="1C1C1C"/>
          <w:spacing w:val="-23"/>
          <w:w w:val="105"/>
          <w:sz w:val="18"/>
        </w:rPr>
        <w:t xml:space="preserve"> </w:t>
      </w:r>
      <w:r>
        <w:rPr>
          <w:rFonts w:ascii="Arial"/>
          <w:i/>
          <w:color w:val="1C1C1C"/>
          <w:w w:val="105"/>
          <w:sz w:val="18"/>
        </w:rPr>
        <w:t>Countervailing</w:t>
      </w:r>
      <w:r>
        <w:rPr>
          <w:rFonts w:ascii="Arial"/>
          <w:i/>
          <w:color w:val="1C1C1C"/>
          <w:spacing w:val="-6"/>
          <w:w w:val="105"/>
          <w:sz w:val="18"/>
        </w:rPr>
        <w:t xml:space="preserve"> </w:t>
      </w:r>
      <w:r>
        <w:rPr>
          <w:rFonts w:ascii="Arial"/>
          <w:i/>
          <w:color w:val="1C1C1C"/>
          <w:w w:val="105"/>
          <w:sz w:val="18"/>
        </w:rPr>
        <w:t>Duty</w:t>
      </w:r>
      <w:r>
        <w:rPr>
          <w:rFonts w:ascii="Arial"/>
          <w:i/>
          <w:color w:val="1C1C1C"/>
          <w:spacing w:val="-12"/>
          <w:w w:val="105"/>
          <w:sz w:val="18"/>
        </w:rPr>
        <w:t xml:space="preserve"> </w:t>
      </w:r>
      <w:r>
        <w:rPr>
          <w:rFonts w:ascii="Arial"/>
          <w:i/>
          <w:color w:val="0C0C0C"/>
          <w:spacing w:val="-2"/>
          <w:w w:val="105"/>
          <w:sz w:val="18"/>
        </w:rPr>
        <w:t>Measures</w:t>
      </w:r>
      <w:r>
        <w:rPr>
          <w:rFonts w:ascii="Arial"/>
          <w:i/>
          <w:color w:val="0C0C0C"/>
          <w:sz w:val="18"/>
        </w:rPr>
        <w:tab/>
      </w:r>
      <w:r>
        <w:rPr>
          <w:rFonts w:ascii="Arial"/>
          <w:color w:val="1C1C1C"/>
          <w:spacing w:val="-2"/>
          <w:w w:val="105"/>
          <w:sz w:val="18"/>
        </w:rPr>
        <w:t>Australia's</w:t>
      </w:r>
      <w:r>
        <w:rPr>
          <w:rFonts w:ascii="Arial"/>
          <w:color w:val="1C1C1C"/>
          <w:spacing w:val="5"/>
          <w:w w:val="105"/>
          <w:sz w:val="18"/>
        </w:rPr>
        <w:t xml:space="preserve"> </w:t>
      </w:r>
      <w:r>
        <w:rPr>
          <w:rFonts w:ascii="Arial"/>
          <w:color w:val="0C0C0C"/>
          <w:spacing w:val="-2"/>
          <w:w w:val="105"/>
          <w:sz w:val="18"/>
        </w:rPr>
        <w:t>First</w:t>
      </w:r>
      <w:r>
        <w:rPr>
          <w:rFonts w:ascii="Arial"/>
          <w:color w:val="0C0C0C"/>
          <w:spacing w:val="1"/>
          <w:w w:val="105"/>
          <w:sz w:val="18"/>
        </w:rPr>
        <w:t xml:space="preserve"> </w:t>
      </w:r>
      <w:r>
        <w:rPr>
          <w:rFonts w:ascii="Arial"/>
          <w:color w:val="1C1C1C"/>
          <w:spacing w:val="-2"/>
          <w:w w:val="105"/>
          <w:sz w:val="18"/>
        </w:rPr>
        <w:t>Written</w:t>
      </w:r>
      <w:r>
        <w:rPr>
          <w:rFonts w:ascii="Arial"/>
          <w:color w:val="1C1C1C"/>
          <w:spacing w:val="-7"/>
          <w:w w:val="105"/>
          <w:sz w:val="18"/>
        </w:rPr>
        <w:t xml:space="preserve"> </w:t>
      </w:r>
      <w:r>
        <w:rPr>
          <w:rFonts w:ascii="Arial"/>
          <w:color w:val="1C1C1C"/>
          <w:spacing w:val="-2"/>
          <w:w w:val="105"/>
          <w:sz w:val="18"/>
        </w:rPr>
        <w:t>Submission</w:t>
      </w:r>
    </w:p>
    <w:p w14:paraId="51DE8ED1" w14:textId="77777777" w:rsidR="0010369C" w:rsidRDefault="008E43AE">
      <w:pPr>
        <w:tabs>
          <w:tab w:val="left" w:pos="8256"/>
        </w:tabs>
        <w:spacing w:before="44"/>
        <w:ind w:left="235"/>
        <w:rPr>
          <w:rFonts w:ascii="Arial"/>
          <w:sz w:val="18"/>
        </w:rPr>
      </w:pPr>
      <w:r>
        <w:rPr>
          <w:rFonts w:ascii="Arial"/>
          <w:i/>
          <w:color w:val="1C1C1C"/>
          <w:w w:val="105"/>
          <w:sz w:val="18"/>
        </w:rPr>
        <w:t>on</w:t>
      </w:r>
      <w:r>
        <w:rPr>
          <w:rFonts w:ascii="Arial"/>
          <w:i/>
          <w:color w:val="1C1C1C"/>
          <w:spacing w:val="-11"/>
          <w:w w:val="105"/>
          <w:sz w:val="18"/>
        </w:rPr>
        <w:t xml:space="preserve"> </w:t>
      </w:r>
      <w:r>
        <w:rPr>
          <w:rFonts w:ascii="Arial"/>
          <w:i/>
          <w:color w:val="1C1C1C"/>
          <w:w w:val="105"/>
          <w:sz w:val="18"/>
        </w:rPr>
        <w:t>Winefrom Australia</w:t>
      </w:r>
      <w:r>
        <w:rPr>
          <w:rFonts w:ascii="Arial"/>
          <w:i/>
          <w:color w:val="1C1C1C"/>
          <w:spacing w:val="13"/>
          <w:w w:val="105"/>
          <w:sz w:val="18"/>
        </w:rPr>
        <w:t xml:space="preserve"> </w:t>
      </w:r>
      <w:r>
        <w:rPr>
          <w:rFonts w:ascii="Arial"/>
          <w:color w:val="1C1C1C"/>
          <w:spacing w:val="-2"/>
          <w:w w:val="105"/>
          <w:sz w:val="18"/>
        </w:rPr>
        <w:t>(0S602)</w:t>
      </w:r>
      <w:r>
        <w:rPr>
          <w:rFonts w:ascii="Arial"/>
          <w:color w:val="1C1C1C"/>
          <w:sz w:val="18"/>
        </w:rPr>
        <w:tab/>
      </w:r>
      <w:r>
        <w:rPr>
          <w:rFonts w:ascii="Arial"/>
          <w:color w:val="1C1C1C"/>
          <w:w w:val="105"/>
          <w:sz w:val="18"/>
        </w:rPr>
        <w:t>29</w:t>
      </w:r>
      <w:r>
        <w:rPr>
          <w:rFonts w:ascii="Arial"/>
          <w:color w:val="1C1C1C"/>
          <w:spacing w:val="-19"/>
          <w:w w:val="105"/>
          <w:sz w:val="18"/>
        </w:rPr>
        <w:t xml:space="preserve"> </w:t>
      </w:r>
      <w:r>
        <w:rPr>
          <w:rFonts w:ascii="Arial"/>
          <w:color w:val="1C1C1C"/>
          <w:w w:val="105"/>
          <w:sz w:val="18"/>
        </w:rPr>
        <w:t>April</w:t>
      </w:r>
      <w:r>
        <w:rPr>
          <w:rFonts w:ascii="Arial"/>
          <w:color w:val="1C1C1C"/>
          <w:spacing w:val="1"/>
          <w:w w:val="105"/>
          <w:sz w:val="18"/>
        </w:rPr>
        <w:t xml:space="preserve"> </w:t>
      </w:r>
      <w:r>
        <w:rPr>
          <w:rFonts w:ascii="Arial"/>
          <w:color w:val="1C1C1C"/>
          <w:spacing w:val="-4"/>
          <w:w w:val="105"/>
          <w:sz w:val="18"/>
        </w:rPr>
        <w:t>2022</w:t>
      </w:r>
    </w:p>
    <w:p w14:paraId="51DE8ED2" w14:textId="77777777" w:rsidR="0010369C" w:rsidRDefault="008E43AE">
      <w:pPr>
        <w:spacing w:before="76" w:line="415" w:lineRule="auto"/>
        <w:ind w:left="1952" w:right="582" w:hanging="8"/>
        <w:jc w:val="both"/>
        <w:rPr>
          <w:rFonts w:ascii="Times New Roman"/>
          <w:sz w:val="16"/>
        </w:rPr>
      </w:pPr>
      <w:r>
        <w:rPr>
          <w:rFonts w:ascii="Arial"/>
          <w:color w:val="1C1C1C"/>
          <w:sz w:val="21"/>
        </w:rPr>
        <w:t xml:space="preserve">Table </w:t>
      </w:r>
      <w:r>
        <w:rPr>
          <w:rFonts w:ascii="Arial"/>
          <w:color w:val="0C0C0C"/>
          <w:sz w:val="21"/>
        </w:rPr>
        <w:t xml:space="preserve">4 </w:t>
      </w:r>
      <w:r>
        <w:rPr>
          <w:rFonts w:ascii="Arial"/>
          <w:color w:val="1C1C1C"/>
          <w:sz w:val="21"/>
        </w:rPr>
        <w:t xml:space="preserve">in Exhibit </w:t>
      </w:r>
      <w:r>
        <w:rPr>
          <w:rFonts w:ascii="Arial"/>
          <w:color w:val="0C0C0C"/>
          <w:sz w:val="21"/>
        </w:rPr>
        <w:t xml:space="preserve">AUS-65 </w:t>
      </w:r>
      <w:r>
        <w:rPr>
          <w:rFonts w:ascii="Arial"/>
          <w:color w:val="1C1C1C"/>
          <w:sz w:val="21"/>
        </w:rPr>
        <w:t xml:space="preserve">{BCI) provides a summary of the available </w:t>
      </w:r>
      <w:r>
        <w:rPr>
          <w:rFonts w:ascii="Arial"/>
          <w:color w:val="1C1C1C"/>
          <w:spacing w:val="-2"/>
          <w:sz w:val="21"/>
        </w:rPr>
        <w:t>evidence</w:t>
      </w:r>
      <w:r>
        <w:rPr>
          <w:rFonts w:ascii="Arial"/>
          <w:color w:val="363636"/>
          <w:spacing w:val="-2"/>
          <w:sz w:val="21"/>
        </w:rPr>
        <w:t>.</w:t>
      </w:r>
      <w:r>
        <w:rPr>
          <w:rFonts w:ascii="Times New Roman"/>
          <w:color w:val="1C1C1C"/>
          <w:spacing w:val="-2"/>
          <w:position w:val="7"/>
          <w:sz w:val="16"/>
        </w:rPr>
        <w:t>670</w:t>
      </w:r>
    </w:p>
    <w:p w14:paraId="51DE8ED3" w14:textId="77777777" w:rsidR="0010369C" w:rsidRDefault="008E43AE">
      <w:pPr>
        <w:spacing w:before="144" w:line="436" w:lineRule="auto"/>
        <w:ind w:left="231" w:right="577" w:firstLine="4"/>
        <w:jc w:val="both"/>
        <w:rPr>
          <w:rFonts w:ascii="Arial"/>
          <w:sz w:val="21"/>
        </w:rPr>
      </w:pPr>
      <w:r>
        <w:rPr>
          <w:rFonts w:ascii="Arial"/>
          <w:color w:val="1C1C1C"/>
          <w:w w:val="110"/>
          <w:sz w:val="21"/>
        </w:rPr>
        <w:t>577.</w:t>
      </w:r>
      <w:r>
        <w:rPr>
          <w:rFonts w:ascii="Arial"/>
          <w:color w:val="1C1C1C"/>
          <w:spacing w:val="-5"/>
          <w:w w:val="110"/>
          <w:sz w:val="21"/>
        </w:rPr>
        <w:t xml:space="preserve"> </w:t>
      </w:r>
      <w:r>
        <w:rPr>
          <w:rFonts w:ascii="Arial"/>
          <w:color w:val="1C1C1C"/>
          <w:w w:val="110"/>
          <w:sz w:val="21"/>
        </w:rPr>
        <w:t>The</w:t>
      </w:r>
      <w:r>
        <w:rPr>
          <w:rFonts w:ascii="Arial"/>
          <w:color w:val="1C1C1C"/>
          <w:spacing w:val="-16"/>
          <w:w w:val="110"/>
          <w:sz w:val="21"/>
        </w:rPr>
        <w:t xml:space="preserve"> </w:t>
      </w:r>
      <w:r>
        <w:rPr>
          <w:rFonts w:ascii="Arial"/>
          <w:color w:val="1C1C1C"/>
          <w:w w:val="110"/>
          <w:sz w:val="21"/>
        </w:rPr>
        <w:t>foregoing</w:t>
      </w:r>
      <w:r>
        <w:rPr>
          <w:rFonts w:ascii="Arial"/>
          <w:color w:val="1C1C1C"/>
          <w:spacing w:val="-16"/>
          <w:w w:val="110"/>
          <w:sz w:val="21"/>
        </w:rPr>
        <w:t xml:space="preserve"> </w:t>
      </w:r>
      <w:r>
        <w:rPr>
          <w:rFonts w:ascii="Arial"/>
          <w:color w:val="1C1C1C"/>
          <w:w w:val="110"/>
          <w:sz w:val="21"/>
        </w:rPr>
        <w:t>examples</w:t>
      </w:r>
      <w:r>
        <w:rPr>
          <w:rFonts w:ascii="Arial"/>
          <w:color w:val="1C1C1C"/>
          <w:spacing w:val="-16"/>
          <w:w w:val="110"/>
          <w:sz w:val="21"/>
        </w:rPr>
        <w:t xml:space="preserve"> </w:t>
      </w:r>
      <w:r>
        <w:rPr>
          <w:rFonts w:ascii="Arial"/>
          <w:color w:val="1C1C1C"/>
          <w:w w:val="110"/>
          <w:sz w:val="21"/>
        </w:rPr>
        <w:t>of</w:t>
      </w:r>
      <w:r>
        <w:rPr>
          <w:rFonts w:ascii="Arial"/>
          <w:color w:val="1C1C1C"/>
          <w:spacing w:val="-16"/>
          <w:w w:val="110"/>
          <w:sz w:val="21"/>
        </w:rPr>
        <w:t xml:space="preserve"> </w:t>
      </w:r>
      <w:r>
        <w:rPr>
          <w:rFonts w:ascii="Arial"/>
          <w:color w:val="0C0C0C"/>
          <w:w w:val="110"/>
          <w:sz w:val="21"/>
        </w:rPr>
        <w:t>data</w:t>
      </w:r>
      <w:r>
        <w:rPr>
          <w:rFonts w:ascii="Arial"/>
          <w:color w:val="0C0C0C"/>
          <w:spacing w:val="-16"/>
          <w:w w:val="110"/>
          <w:sz w:val="21"/>
        </w:rPr>
        <w:t xml:space="preserve"> </w:t>
      </w:r>
      <w:r>
        <w:rPr>
          <w:rFonts w:ascii="Arial"/>
          <w:color w:val="1C1C1C"/>
          <w:w w:val="110"/>
          <w:sz w:val="21"/>
        </w:rPr>
        <w:t>supplied</w:t>
      </w:r>
      <w:r>
        <w:rPr>
          <w:rFonts w:ascii="Arial"/>
          <w:color w:val="1C1C1C"/>
          <w:spacing w:val="-16"/>
          <w:w w:val="110"/>
          <w:sz w:val="21"/>
        </w:rPr>
        <w:t xml:space="preserve"> </w:t>
      </w:r>
      <w:r>
        <w:rPr>
          <w:rFonts w:ascii="Arial"/>
          <w:color w:val="1C1C1C"/>
          <w:w w:val="110"/>
          <w:sz w:val="21"/>
        </w:rPr>
        <w:t>by</w:t>
      </w:r>
      <w:r>
        <w:rPr>
          <w:rFonts w:ascii="Arial"/>
          <w:color w:val="1C1C1C"/>
          <w:spacing w:val="-16"/>
          <w:w w:val="110"/>
          <w:sz w:val="21"/>
        </w:rPr>
        <w:t xml:space="preserve"> </w:t>
      </w:r>
      <w:r>
        <w:rPr>
          <w:rFonts w:ascii="Arial"/>
          <w:color w:val="1C1C1C"/>
          <w:w w:val="110"/>
          <w:sz w:val="21"/>
        </w:rPr>
        <w:t>the</w:t>
      </w:r>
      <w:r>
        <w:rPr>
          <w:rFonts w:ascii="Arial"/>
          <w:color w:val="1C1C1C"/>
          <w:spacing w:val="-16"/>
          <w:w w:val="110"/>
          <w:sz w:val="21"/>
        </w:rPr>
        <w:t xml:space="preserve"> </w:t>
      </w:r>
      <w:r>
        <w:rPr>
          <w:rFonts w:ascii="Arial"/>
          <w:color w:val="1C1C1C"/>
          <w:w w:val="110"/>
          <w:sz w:val="21"/>
        </w:rPr>
        <w:t>sampled</w:t>
      </w:r>
      <w:r>
        <w:rPr>
          <w:rFonts w:ascii="Arial"/>
          <w:color w:val="1C1C1C"/>
          <w:spacing w:val="-16"/>
          <w:w w:val="110"/>
          <w:sz w:val="21"/>
        </w:rPr>
        <w:t xml:space="preserve"> </w:t>
      </w:r>
      <w:r>
        <w:rPr>
          <w:rFonts w:ascii="Arial"/>
          <w:color w:val="1C1C1C"/>
          <w:w w:val="110"/>
          <w:sz w:val="21"/>
        </w:rPr>
        <w:t>exporters</w:t>
      </w:r>
      <w:r>
        <w:rPr>
          <w:rFonts w:ascii="Arial"/>
          <w:color w:val="1C1C1C"/>
          <w:spacing w:val="-16"/>
          <w:w w:val="110"/>
          <w:sz w:val="21"/>
        </w:rPr>
        <w:t xml:space="preserve"> </w:t>
      </w:r>
      <w:r>
        <w:rPr>
          <w:rFonts w:ascii="Arial"/>
          <w:color w:val="1C1C1C"/>
          <w:w w:val="110"/>
          <w:sz w:val="21"/>
        </w:rPr>
        <w:t>demonstrates</w:t>
      </w:r>
      <w:r>
        <w:rPr>
          <w:rFonts w:ascii="Arial"/>
          <w:color w:val="1C1C1C"/>
          <w:spacing w:val="-16"/>
          <w:w w:val="110"/>
          <w:sz w:val="21"/>
        </w:rPr>
        <w:t xml:space="preserve"> </w:t>
      </w:r>
      <w:r>
        <w:rPr>
          <w:rFonts w:ascii="Arial"/>
          <w:color w:val="1C1C1C"/>
          <w:w w:val="110"/>
          <w:sz w:val="21"/>
        </w:rPr>
        <w:t xml:space="preserve">that there was clear evidence on the record establishing that the </w:t>
      </w:r>
      <w:r>
        <w:rPr>
          <w:rFonts w:ascii="Arial"/>
          <w:color w:val="0C0C0C"/>
          <w:w w:val="110"/>
          <w:sz w:val="21"/>
        </w:rPr>
        <w:t xml:space="preserve">basket </w:t>
      </w:r>
      <w:r>
        <w:rPr>
          <w:rFonts w:ascii="Arial"/>
          <w:color w:val="1C1C1C"/>
          <w:w w:val="110"/>
          <w:sz w:val="21"/>
        </w:rPr>
        <w:t xml:space="preserve">of subject imports </w:t>
      </w:r>
      <w:r>
        <w:rPr>
          <w:rFonts w:ascii="Arial"/>
          <w:color w:val="1C1C1C"/>
          <w:spacing w:val="-2"/>
          <w:w w:val="110"/>
          <w:sz w:val="21"/>
        </w:rPr>
        <w:t>consisted</w:t>
      </w:r>
      <w:r>
        <w:rPr>
          <w:rFonts w:ascii="Arial"/>
          <w:color w:val="1C1C1C"/>
          <w:spacing w:val="-14"/>
          <w:w w:val="110"/>
          <w:sz w:val="21"/>
        </w:rPr>
        <w:t xml:space="preserve"> </w:t>
      </w:r>
      <w:r>
        <w:rPr>
          <w:rFonts w:ascii="Arial"/>
          <w:color w:val="1C1C1C"/>
          <w:spacing w:val="-2"/>
          <w:w w:val="110"/>
          <w:sz w:val="21"/>
        </w:rPr>
        <w:t>of a</w:t>
      </w:r>
      <w:r>
        <w:rPr>
          <w:rFonts w:ascii="Arial"/>
          <w:color w:val="1C1C1C"/>
          <w:spacing w:val="-11"/>
          <w:w w:val="110"/>
          <w:sz w:val="21"/>
        </w:rPr>
        <w:t xml:space="preserve"> </w:t>
      </w:r>
      <w:r>
        <w:rPr>
          <w:rFonts w:ascii="Arial"/>
          <w:color w:val="0C0C0C"/>
          <w:spacing w:val="-2"/>
          <w:w w:val="110"/>
          <w:sz w:val="21"/>
        </w:rPr>
        <w:t>range</w:t>
      </w:r>
      <w:r>
        <w:rPr>
          <w:rFonts w:ascii="Arial"/>
          <w:color w:val="0C0C0C"/>
          <w:spacing w:val="-15"/>
          <w:w w:val="110"/>
          <w:sz w:val="21"/>
        </w:rPr>
        <w:t xml:space="preserve"> </w:t>
      </w:r>
      <w:r>
        <w:rPr>
          <w:rFonts w:ascii="Arial"/>
          <w:color w:val="1C1C1C"/>
          <w:spacing w:val="-2"/>
          <w:w w:val="110"/>
          <w:sz w:val="21"/>
        </w:rPr>
        <w:t>of different</w:t>
      </w:r>
      <w:r>
        <w:rPr>
          <w:rFonts w:ascii="Arial"/>
          <w:color w:val="1C1C1C"/>
          <w:spacing w:val="-11"/>
          <w:w w:val="110"/>
          <w:sz w:val="21"/>
        </w:rPr>
        <w:t xml:space="preserve"> </w:t>
      </w:r>
      <w:r>
        <w:rPr>
          <w:rFonts w:ascii="Arial"/>
          <w:color w:val="1C1C1C"/>
          <w:spacing w:val="-2"/>
          <w:w w:val="110"/>
          <w:sz w:val="21"/>
        </w:rPr>
        <w:t>product</w:t>
      </w:r>
      <w:r>
        <w:rPr>
          <w:rFonts w:ascii="Arial"/>
          <w:color w:val="1C1C1C"/>
          <w:spacing w:val="-4"/>
          <w:w w:val="110"/>
          <w:sz w:val="21"/>
        </w:rPr>
        <w:t xml:space="preserve"> </w:t>
      </w:r>
      <w:r>
        <w:rPr>
          <w:rFonts w:ascii="Arial"/>
          <w:color w:val="1C1C1C"/>
          <w:spacing w:val="-2"/>
          <w:w w:val="110"/>
          <w:sz w:val="21"/>
        </w:rPr>
        <w:t>categories that</w:t>
      </w:r>
      <w:r>
        <w:rPr>
          <w:rFonts w:ascii="Arial"/>
          <w:color w:val="1C1C1C"/>
          <w:spacing w:val="-15"/>
          <w:w w:val="110"/>
          <w:sz w:val="21"/>
        </w:rPr>
        <w:t xml:space="preserve"> </w:t>
      </w:r>
      <w:r>
        <w:rPr>
          <w:rFonts w:ascii="Arial"/>
          <w:color w:val="1C1C1C"/>
          <w:spacing w:val="-2"/>
          <w:w w:val="110"/>
          <w:sz w:val="21"/>
        </w:rPr>
        <w:t>were</w:t>
      </w:r>
      <w:r>
        <w:rPr>
          <w:rFonts w:ascii="Arial"/>
          <w:color w:val="1C1C1C"/>
          <w:spacing w:val="-6"/>
          <w:w w:val="110"/>
          <w:sz w:val="21"/>
        </w:rPr>
        <w:t xml:space="preserve"> </w:t>
      </w:r>
      <w:r>
        <w:rPr>
          <w:rFonts w:ascii="Arial"/>
          <w:color w:val="0C0C0C"/>
          <w:spacing w:val="-2"/>
          <w:w w:val="110"/>
          <w:sz w:val="21"/>
        </w:rPr>
        <w:t>distinguished</w:t>
      </w:r>
      <w:r>
        <w:rPr>
          <w:rFonts w:ascii="Arial"/>
          <w:color w:val="0C0C0C"/>
          <w:spacing w:val="8"/>
          <w:w w:val="110"/>
          <w:sz w:val="21"/>
        </w:rPr>
        <w:t xml:space="preserve"> </w:t>
      </w:r>
      <w:r>
        <w:rPr>
          <w:rFonts w:ascii="Arial"/>
          <w:color w:val="0C0C0C"/>
          <w:spacing w:val="-2"/>
          <w:w w:val="110"/>
          <w:sz w:val="21"/>
        </w:rPr>
        <w:t>by</w:t>
      </w:r>
      <w:r>
        <w:rPr>
          <w:rFonts w:ascii="Arial"/>
          <w:color w:val="0C0C0C"/>
          <w:spacing w:val="-15"/>
          <w:w w:val="110"/>
          <w:sz w:val="21"/>
        </w:rPr>
        <w:t xml:space="preserve"> </w:t>
      </w:r>
      <w:r>
        <w:rPr>
          <w:rFonts w:ascii="Arial"/>
          <w:color w:val="1C1C1C"/>
          <w:spacing w:val="-2"/>
          <w:w w:val="110"/>
          <w:sz w:val="21"/>
        </w:rPr>
        <w:t xml:space="preserve">considerable </w:t>
      </w:r>
      <w:r>
        <w:rPr>
          <w:rFonts w:ascii="Arial"/>
          <w:color w:val="0C0C0C"/>
          <w:w w:val="110"/>
          <w:sz w:val="21"/>
        </w:rPr>
        <w:t>price differences</w:t>
      </w:r>
      <w:r>
        <w:rPr>
          <w:rFonts w:ascii="Arial"/>
          <w:color w:val="363636"/>
          <w:w w:val="110"/>
          <w:sz w:val="21"/>
        </w:rPr>
        <w:t>.</w:t>
      </w:r>
      <w:r>
        <w:rPr>
          <w:rFonts w:ascii="Arial"/>
          <w:color w:val="363636"/>
          <w:spacing w:val="-8"/>
          <w:w w:val="110"/>
          <w:sz w:val="21"/>
        </w:rPr>
        <w:t xml:space="preserve"> </w:t>
      </w:r>
      <w:r>
        <w:rPr>
          <w:rFonts w:ascii="Arial"/>
          <w:color w:val="1C1C1C"/>
          <w:w w:val="110"/>
          <w:sz w:val="21"/>
        </w:rPr>
        <w:t>Before</w:t>
      </w:r>
      <w:r>
        <w:rPr>
          <w:rFonts w:ascii="Arial"/>
          <w:color w:val="1C1C1C"/>
          <w:spacing w:val="-2"/>
          <w:w w:val="110"/>
          <w:sz w:val="21"/>
        </w:rPr>
        <w:t xml:space="preserve"> </w:t>
      </w:r>
      <w:r>
        <w:rPr>
          <w:rFonts w:ascii="Arial"/>
          <w:color w:val="1C1C1C"/>
          <w:w w:val="110"/>
          <w:sz w:val="21"/>
        </w:rPr>
        <w:t>proceeding</w:t>
      </w:r>
      <w:r>
        <w:rPr>
          <w:rFonts w:ascii="Arial"/>
          <w:color w:val="1C1C1C"/>
          <w:spacing w:val="-7"/>
          <w:w w:val="110"/>
          <w:sz w:val="21"/>
        </w:rPr>
        <w:t xml:space="preserve"> </w:t>
      </w:r>
      <w:r>
        <w:rPr>
          <w:rFonts w:ascii="Arial"/>
          <w:color w:val="1C1C1C"/>
          <w:w w:val="110"/>
          <w:sz w:val="21"/>
        </w:rPr>
        <w:t xml:space="preserve">to </w:t>
      </w:r>
      <w:r>
        <w:rPr>
          <w:rFonts w:ascii="Arial"/>
          <w:color w:val="0C0C0C"/>
          <w:w w:val="110"/>
          <w:sz w:val="21"/>
        </w:rPr>
        <w:t xml:space="preserve">undertake </w:t>
      </w:r>
      <w:r>
        <w:rPr>
          <w:rFonts w:ascii="Arial"/>
          <w:color w:val="1C1C1C"/>
          <w:w w:val="110"/>
          <w:sz w:val="21"/>
        </w:rPr>
        <w:t xml:space="preserve">a </w:t>
      </w:r>
      <w:r>
        <w:rPr>
          <w:rFonts w:ascii="Arial"/>
          <w:color w:val="0C0C0C"/>
          <w:w w:val="110"/>
          <w:sz w:val="21"/>
        </w:rPr>
        <w:t>price</w:t>
      </w:r>
      <w:r>
        <w:rPr>
          <w:rFonts w:ascii="Arial"/>
          <w:color w:val="0C0C0C"/>
          <w:spacing w:val="-6"/>
          <w:w w:val="110"/>
          <w:sz w:val="21"/>
        </w:rPr>
        <w:t xml:space="preserve"> </w:t>
      </w:r>
      <w:r>
        <w:rPr>
          <w:rFonts w:ascii="Arial"/>
          <w:color w:val="1C1C1C"/>
          <w:w w:val="110"/>
          <w:sz w:val="21"/>
        </w:rPr>
        <w:t>effects</w:t>
      </w:r>
      <w:r>
        <w:rPr>
          <w:rFonts w:ascii="Arial"/>
          <w:color w:val="1C1C1C"/>
          <w:spacing w:val="-5"/>
          <w:w w:val="110"/>
          <w:sz w:val="21"/>
        </w:rPr>
        <w:t xml:space="preserve"> </w:t>
      </w:r>
      <w:r>
        <w:rPr>
          <w:rFonts w:ascii="Arial"/>
          <w:color w:val="1C1C1C"/>
          <w:w w:val="110"/>
          <w:sz w:val="21"/>
        </w:rPr>
        <w:t xml:space="preserve">analysis on </w:t>
      </w:r>
      <w:r>
        <w:rPr>
          <w:rFonts w:ascii="Arial"/>
          <w:color w:val="0C0C0C"/>
          <w:w w:val="110"/>
          <w:sz w:val="21"/>
        </w:rPr>
        <w:t>the</w:t>
      </w:r>
      <w:r>
        <w:rPr>
          <w:rFonts w:ascii="Arial"/>
          <w:color w:val="0C0C0C"/>
          <w:spacing w:val="28"/>
          <w:w w:val="110"/>
          <w:sz w:val="21"/>
        </w:rPr>
        <w:t xml:space="preserve"> </w:t>
      </w:r>
      <w:r>
        <w:rPr>
          <w:rFonts w:ascii="Arial"/>
          <w:color w:val="0C0C0C"/>
          <w:w w:val="110"/>
          <w:sz w:val="21"/>
        </w:rPr>
        <w:t>basis</w:t>
      </w:r>
      <w:r>
        <w:rPr>
          <w:rFonts w:ascii="Arial"/>
          <w:color w:val="0C0C0C"/>
          <w:spacing w:val="-2"/>
          <w:w w:val="110"/>
          <w:sz w:val="21"/>
        </w:rPr>
        <w:t xml:space="preserve"> </w:t>
      </w:r>
      <w:r>
        <w:rPr>
          <w:rFonts w:ascii="Arial"/>
          <w:color w:val="1C1C1C"/>
          <w:w w:val="110"/>
          <w:sz w:val="21"/>
        </w:rPr>
        <w:t>of annual</w:t>
      </w:r>
      <w:r>
        <w:rPr>
          <w:rFonts w:ascii="Arial"/>
          <w:color w:val="1C1C1C"/>
          <w:spacing w:val="-17"/>
          <w:w w:val="110"/>
          <w:sz w:val="21"/>
        </w:rPr>
        <w:t xml:space="preserve"> </w:t>
      </w:r>
      <w:r>
        <w:rPr>
          <w:rFonts w:ascii="Arial"/>
          <w:color w:val="1C1C1C"/>
          <w:w w:val="110"/>
          <w:sz w:val="21"/>
        </w:rPr>
        <w:t>average</w:t>
      </w:r>
      <w:r>
        <w:rPr>
          <w:rFonts w:ascii="Arial"/>
          <w:color w:val="1C1C1C"/>
          <w:spacing w:val="-16"/>
          <w:w w:val="110"/>
          <w:sz w:val="21"/>
        </w:rPr>
        <w:t xml:space="preserve"> </w:t>
      </w:r>
      <w:r>
        <w:rPr>
          <w:rFonts w:ascii="Arial"/>
          <w:color w:val="1C1C1C"/>
          <w:w w:val="110"/>
          <w:sz w:val="21"/>
        </w:rPr>
        <w:t>unit</w:t>
      </w:r>
      <w:r>
        <w:rPr>
          <w:rFonts w:ascii="Arial"/>
          <w:color w:val="1C1C1C"/>
          <w:spacing w:val="-16"/>
          <w:w w:val="110"/>
          <w:sz w:val="21"/>
        </w:rPr>
        <w:t xml:space="preserve"> </w:t>
      </w:r>
      <w:r>
        <w:rPr>
          <w:rFonts w:ascii="Arial"/>
          <w:color w:val="1C1C1C"/>
          <w:w w:val="110"/>
          <w:sz w:val="21"/>
        </w:rPr>
        <w:t>prices,</w:t>
      </w:r>
      <w:r>
        <w:rPr>
          <w:rFonts w:ascii="Arial"/>
          <w:color w:val="1C1C1C"/>
          <w:spacing w:val="-16"/>
          <w:w w:val="110"/>
          <w:sz w:val="21"/>
        </w:rPr>
        <w:t xml:space="preserve"> </w:t>
      </w:r>
      <w:r>
        <w:rPr>
          <w:rFonts w:ascii="Arial"/>
          <w:color w:val="1C1C1C"/>
          <w:w w:val="110"/>
          <w:sz w:val="21"/>
        </w:rPr>
        <w:t>an</w:t>
      </w:r>
      <w:r>
        <w:rPr>
          <w:rFonts w:ascii="Arial"/>
          <w:color w:val="1C1C1C"/>
          <w:spacing w:val="-16"/>
          <w:w w:val="110"/>
          <w:sz w:val="21"/>
        </w:rPr>
        <w:t xml:space="preserve"> </w:t>
      </w:r>
      <w:r>
        <w:rPr>
          <w:rFonts w:ascii="Arial"/>
          <w:color w:val="1C1C1C"/>
          <w:w w:val="110"/>
          <w:sz w:val="21"/>
        </w:rPr>
        <w:t>objective</w:t>
      </w:r>
      <w:r>
        <w:rPr>
          <w:rFonts w:ascii="Arial"/>
          <w:color w:val="1C1C1C"/>
          <w:spacing w:val="-13"/>
          <w:w w:val="110"/>
          <w:sz w:val="21"/>
        </w:rPr>
        <w:t xml:space="preserve"> </w:t>
      </w:r>
      <w:r>
        <w:rPr>
          <w:rFonts w:ascii="Arial"/>
          <w:color w:val="0C0C0C"/>
          <w:w w:val="110"/>
          <w:sz w:val="21"/>
        </w:rPr>
        <w:t>decision-maker</w:t>
      </w:r>
      <w:r>
        <w:rPr>
          <w:rFonts w:ascii="Arial"/>
          <w:color w:val="0C0C0C"/>
          <w:spacing w:val="-16"/>
          <w:w w:val="110"/>
          <w:sz w:val="21"/>
        </w:rPr>
        <w:t xml:space="preserve"> </w:t>
      </w:r>
      <w:r>
        <w:rPr>
          <w:rFonts w:ascii="Arial"/>
          <w:color w:val="1C1C1C"/>
          <w:w w:val="110"/>
          <w:sz w:val="21"/>
        </w:rPr>
        <w:t>would</w:t>
      </w:r>
      <w:r>
        <w:rPr>
          <w:rFonts w:ascii="Arial"/>
          <w:color w:val="1C1C1C"/>
          <w:spacing w:val="-16"/>
          <w:w w:val="110"/>
          <w:sz w:val="21"/>
        </w:rPr>
        <w:t xml:space="preserve"> </w:t>
      </w:r>
      <w:r>
        <w:rPr>
          <w:rFonts w:ascii="Arial"/>
          <w:color w:val="1C1C1C"/>
          <w:w w:val="110"/>
          <w:sz w:val="21"/>
        </w:rPr>
        <w:t>have</w:t>
      </w:r>
      <w:r>
        <w:rPr>
          <w:rFonts w:ascii="Arial"/>
          <w:color w:val="1C1C1C"/>
          <w:spacing w:val="-9"/>
          <w:w w:val="110"/>
          <w:sz w:val="21"/>
        </w:rPr>
        <w:t xml:space="preserve"> </w:t>
      </w:r>
      <w:r>
        <w:rPr>
          <w:rFonts w:ascii="Arial"/>
          <w:color w:val="0C0C0C"/>
          <w:w w:val="110"/>
          <w:sz w:val="21"/>
        </w:rPr>
        <w:t>made</w:t>
      </w:r>
      <w:r>
        <w:rPr>
          <w:rFonts w:ascii="Arial"/>
          <w:color w:val="0C0C0C"/>
          <w:spacing w:val="-14"/>
          <w:w w:val="110"/>
          <w:sz w:val="21"/>
        </w:rPr>
        <w:t xml:space="preserve"> </w:t>
      </w:r>
      <w:r>
        <w:rPr>
          <w:rFonts w:ascii="Arial"/>
          <w:color w:val="0C0C0C"/>
          <w:w w:val="110"/>
          <w:sz w:val="21"/>
        </w:rPr>
        <w:t>further</w:t>
      </w:r>
      <w:r>
        <w:rPr>
          <w:rFonts w:ascii="Arial"/>
          <w:color w:val="0C0C0C"/>
          <w:spacing w:val="-4"/>
          <w:w w:val="110"/>
          <w:sz w:val="21"/>
        </w:rPr>
        <w:t xml:space="preserve"> </w:t>
      </w:r>
      <w:r>
        <w:rPr>
          <w:rFonts w:ascii="Arial"/>
          <w:color w:val="0C0C0C"/>
          <w:w w:val="110"/>
          <w:sz w:val="21"/>
        </w:rPr>
        <w:t>inquiries into</w:t>
      </w:r>
      <w:r>
        <w:rPr>
          <w:rFonts w:ascii="Arial"/>
          <w:color w:val="0C0C0C"/>
          <w:spacing w:val="-17"/>
          <w:w w:val="110"/>
          <w:sz w:val="21"/>
        </w:rPr>
        <w:t xml:space="preserve"> </w:t>
      </w:r>
      <w:r>
        <w:rPr>
          <w:rFonts w:ascii="Arial"/>
          <w:color w:val="0C0C0C"/>
          <w:w w:val="110"/>
          <w:sz w:val="21"/>
        </w:rPr>
        <w:t>these</w:t>
      </w:r>
      <w:r>
        <w:rPr>
          <w:rFonts w:ascii="Arial"/>
          <w:color w:val="0C0C0C"/>
          <w:spacing w:val="-14"/>
          <w:w w:val="110"/>
          <w:sz w:val="21"/>
        </w:rPr>
        <w:t xml:space="preserve"> </w:t>
      </w:r>
      <w:r>
        <w:rPr>
          <w:rFonts w:ascii="Arial"/>
          <w:color w:val="1C1C1C"/>
          <w:w w:val="110"/>
          <w:sz w:val="21"/>
        </w:rPr>
        <w:t xml:space="preserve">differences to </w:t>
      </w:r>
      <w:r>
        <w:rPr>
          <w:rFonts w:ascii="Arial"/>
          <w:color w:val="0C0C0C"/>
          <w:w w:val="110"/>
          <w:sz w:val="21"/>
        </w:rPr>
        <w:t xml:space="preserve">determine </w:t>
      </w:r>
      <w:r>
        <w:rPr>
          <w:rFonts w:ascii="Arial"/>
          <w:color w:val="1C1C1C"/>
          <w:w w:val="110"/>
          <w:sz w:val="21"/>
        </w:rPr>
        <w:t>whether</w:t>
      </w:r>
      <w:r>
        <w:rPr>
          <w:rFonts w:ascii="Arial"/>
          <w:color w:val="1C1C1C"/>
          <w:spacing w:val="-8"/>
          <w:w w:val="110"/>
          <w:sz w:val="21"/>
        </w:rPr>
        <w:t xml:space="preserve"> </w:t>
      </w:r>
      <w:r>
        <w:rPr>
          <w:rFonts w:ascii="Arial"/>
          <w:color w:val="1C1C1C"/>
          <w:w w:val="110"/>
          <w:sz w:val="21"/>
        </w:rPr>
        <w:t>they</w:t>
      </w:r>
      <w:r>
        <w:rPr>
          <w:rFonts w:ascii="Arial"/>
          <w:color w:val="1C1C1C"/>
          <w:spacing w:val="-15"/>
          <w:w w:val="110"/>
          <w:sz w:val="21"/>
        </w:rPr>
        <w:t xml:space="preserve"> </w:t>
      </w:r>
      <w:r>
        <w:rPr>
          <w:rFonts w:ascii="Arial"/>
          <w:color w:val="1C1C1C"/>
          <w:w w:val="110"/>
          <w:sz w:val="21"/>
        </w:rPr>
        <w:t>affected</w:t>
      </w:r>
      <w:r>
        <w:rPr>
          <w:rFonts w:ascii="Arial"/>
          <w:color w:val="1C1C1C"/>
          <w:spacing w:val="-13"/>
          <w:w w:val="110"/>
          <w:sz w:val="21"/>
        </w:rPr>
        <w:t xml:space="preserve"> </w:t>
      </w:r>
      <w:r>
        <w:rPr>
          <w:rFonts w:ascii="Arial"/>
          <w:color w:val="0C0C0C"/>
          <w:w w:val="110"/>
          <w:sz w:val="21"/>
        </w:rPr>
        <w:t>the price</w:t>
      </w:r>
      <w:r>
        <w:rPr>
          <w:rFonts w:ascii="Arial"/>
          <w:color w:val="0C0C0C"/>
          <w:spacing w:val="-14"/>
          <w:w w:val="110"/>
          <w:sz w:val="21"/>
        </w:rPr>
        <w:t xml:space="preserve"> </w:t>
      </w:r>
      <w:r>
        <w:rPr>
          <w:rFonts w:ascii="Arial"/>
          <w:color w:val="1C1C1C"/>
          <w:w w:val="110"/>
          <w:sz w:val="21"/>
        </w:rPr>
        <w:t xml:space="preserve">comparability </w:t>
      </w:r>
      <w:r>
        <w:rPr>
          <w:rFonts w:ascii="Arial"/>
          <w:color w:val="0C0C0C"/>
          <w:w w:val="110"/>
          <w:sz w:val="21"/>
        </w:rPr>
        <w:t xml:space="preserve">between </w:t>
      </w:r>
      <w:r>
        <w:rPr>
          <w:rFonts w:ascii="Arial"/>
          <w:color w:val="1C1C1C"/>
          <w:w w:val="110"/>
          <w:sz w:val="21"/>
        </w:rPr>
        <w:t>the</w:t>
      </w:r>
      <w:r>
        <w:rPr>
          <w:rFonts w:ascii="Arial"/>
          <w:color w:val="1C1C1C"/>
          <w:spacing w:val="-9"/>
          <w:w w:val="110"/>
          <w:sz w:val="21"/>
        </w:rPr>
        <w:t xml:space="preserve"> </w:t>
      </w:r>
      <w:r>
        <w:rPr>
          <w:rFonts w:ascii="Arial"/>
          <w:color w:val="0C0C0C"/>
          <w:w w:val="110"/>
          <w:sz w:val="21"/>
        </w:rPr>
        <w:t>basket</w:t>
      </w:r>
      <w:r>
        <w:rPr>
          <w:rFonts w:ascii="Arial"/>
          <w:color w:val="0C0C0C"/>
          <w:spacing w:val="-16"/>
          <w:w w:val="110"/>
          <w:sz w:val="21"/>
        </w:rPr>
        <w:t xml:space="preserve"> </w:t>
      </w:r>
      <w:r>
        <w:rPr>
          <w:rFonts w:ascii="Arial"/>
          <w:color w:val="1C1C1C"/>
          <w:w w:val="110"/>
          <w:sz w:val="21"/>
        </w:rPr>
        <w:t>of</w:t>
      </w:r>
      <w:r>
        <w:rPr>
          <w:rFonts w:ascii="Arial"/>
          <w:color w:val="1C1C1C"/>
          <w:spacing w:val="-2"/>
          <w:w w:val="110"/>
          <w:sz w:val="21"/>
        </w:rPr>
        <w:t xml:space="preserve"> </w:t>
      </w:r>
      <w:r>
        <w:rPr>
          <w:rFonts w:ascii="Arial"/>
          <w:color w:val="1C1C1C"/>
          <w:w w:val="110"/>
          <w:sz w:val="21"/>
        </w:rPr>
        <w:t>subject</w:t>
      </w:r>
      <w:r>
        <w:rPr>
          <w:rFonts w:ascii="Arial"/>
          <w:color w:val="1C1C1C"/>
          <w:spacing w:val="-13"/>
          <w:w w:val="110"/>
          <w:sz w:val="21"/>
        </w:rPr>
        <w:t xml:space="preserve"> </w:t>
      </w:r>
      <w:r>
        <w:rPr>
          <w:rFonts w:ascii="Arial"/>
          <w:color w:val="1C1C1C"/>
          <w:w w:val="110"/>
          <w:sz w:val="21"/>
        </w:rPr>
        <w:t>imports</w:t>
      </w:r>
      <w:r>
        <w:rPr>
          <w:rFonts w:ascii="Arial"/>
          <w:color w:val="1C1C1C"/>
          <w:spacing w:val="-22"/>
          <w:w w:val="110"/>
          <w:sz w:val="21"/>
        </w:rPr>
        <w:t xml:space="preserve"> </w:t>
      </w:r>
      <w:r>
        <w:rPr>
          <w:rFonts w:ascii="Arial"/>
          <w:color w:val="1C1C1C"/>
          <w:w w:val="110"/>
          <w:sz w:val="21"/>
        </w:rPr>
        <w:t>and</w:t>
      </w:r>
      <w:r>
        <w:rPr>
          <w:rFonts w:ascii="Arial"/>
          <w:color w:val="1C1C1C"/>
          <w:spacing w:val="-19"/>
          <w:w w:val="110"/>
          <w:sz w:val="21"/>
        </w:rPr>
        <w:t xml:space="preserve"> </w:t>
      </w:r>
      <w:r>
        <w:rPr>
          <w:rFonts w:ascii="Arial"/>
          <w:color w:val="1C1C1C"/>
          <w:w w:val="110"/>
          <w:sz w:val="21"/>
        </w:rPr>
        <w:t>the</w:t>
      </w:r>
      <w:r>
        <w:rPr>
          <w:rFonts w:ascii="Arial"/>
          <w:color w:val="1C1C1C"/>
          <w:spacing w:val="-6"/>
          <w:w w:val="110"/>
          <w:sz w:val="21"/>
        </w:rPr>
        <w:t xml:space="preserve"> </w:t>
      </w:r>
      <w:r>
        <w:rPr>
          <w:rFonts w:ascii="Arial"/>
          <w:color w:val="1C1C1C"/>
          <w:w w:val="110"/>
          <w:sz w:val="21"/>
        </w:rPr>
        <w:t>basket</w:t>
      </w:r>
      <w:r>
        <w:rPr>
          <w:rFonts w:ascii="Arial"/>
          <w:color w:val="1C1C1C"/>
          <w:spacing w:val="-16"/>
          <w:w w:val="110"/>
          <w:sz w:val="21"/>
        </w:rPr>
        <w:t xml:space="preserve"> </w:t>
      </w:r>
      <w:r>
        <w:rPr>
          <w:rFonts w:ascii="Arial"/>
          <w:color w:val="1C1C1C"/>
          <w:w w:val="110"/>
          <w:sz w:val="21"/>
        </w:rPr>
        <w:t xml:space="preserve">of </w:t>
      </w:r>
      <w:r>
        <w:rPr>
          <w:rFonts w:ascii="Arial"/>
          <w:color w:val="0C0C0C"/>
          <w:w w:val="110"/>
          <w:sz w:val="21"/>
        </w:rPr>
        <w:t>domestic</w:t>
      </w:r>
      <w:r>
        <w:rPr>
          <w:rFonts w:ascii="Arial"/>
          <w:color w:val="0C0C0C"/>
          <w:spacing w:val="-9"/>
          <w:w w:val="110"/>
          <w:sz w:val="21"/>
        </w:rPr>
        <w:t xml:space="preserve"> </w:t>
      </w:r>
      <w:r>
        <w:rPr>
          <w:rFonts w:ascii="Arial"/>
          <w:color w:val="0C0C0C"/>
          <w:w w:val="110"/>
          <w:sz w:val="21"/>
        </w:rPr>
        <w:t>like</w:t>
      </w:r>
      <w:r>
        <w:rPr>
          <w:rFonts w:ascii="Arial"/>
          <w:color w:val="0C0C0C"/>
          <w:spacing w:val="-17"/>
          <w:w w:val="110"/>
          <w:sz w:val="21"/>
        </w:rPr>
        <w:t xml:space="preserve"> </w:t>
      </w:r>
      <w:r>
        <w:rPr>
          <w:rFonts w:ascii="Arial"/>
          <w:color w:val="0C0C0C"/>
          <w:w w:val="110"/>
          <w:sz w:val="21"/>
        </w:rPr>
        <w:t>products.</w:t>
      </w:r>
    </w:p>
    <w:p w14:paraId="51DE8ED4" w14:textId="77777777" w:rsidR="0010369C" w:rsidRDefault="008E43AE">
      <w:pPr>
        <w:pStyle w:val="ListParagraph"/>
        <w:numPr>
          <w:ilvl w:val="0"/>
          <w:numId w:val="57"/>
        </w:numPr>
        <w:tabs>
          <w:tab w:val="left" w:pos="5358"/>
        </w:tabs>
        <w:spacing w:before="153" w:line="429" w:lineRule="auto"/>
        <w:ind w:left="5358" w:right="570"/>
        <w:jc w:val="both"/>
        <w:rPr>
          <w:rFonts w:ascii="Times New Roman"/>
          <w:color w:val="1C1C1C"/>
        </w:rPr>
      </w:pPr>
      <w:r>
        <w:rPr>
          <w:rFonts w:ascii="Arial"/>
          <w:color w:val="1C1C1C"/>
          <w:w w:val="110"/>
          <w:sz w:val="21"/>
          <w:u w:val="thick" w:color="1C1C1C"/>
        </w:rPr>
        <w:t>The</w:t>
      </w:r>
      <w:r>
        <w:rPr>
          <w:rFonts w:ascii="Arial"/>
          <w:color w:val="1C1C1C"/>
          <w:w w:val="110"/>
          <w:sz w:val="21"/>
        </w:rPr>
        <w:t xml:space="preserve"> </w:t>
      </w:r>
      <w:r>
        <w:rPr>
          <w:rFonts w:ascii="Arial"/>
          <w:color w:val="0C0C0C"/>
          <w:w w:val="110"/>
          <w:sz w:val="21"/>
          <w:u w:val="thick" w:color="0C0C0C"/>
        </w:rPr>
        <w:t>product</w:t>
      </w:r>
      <w:r>
        <w:rPr>
          <w:rFonts w:ascii="Arial"/>
          <w:color w:val="0C0C0C"/>
          <w:w w:val="110"/>
          <w:sz w:val="21"/>
        </w:rPr>
        <w:t xml:space="preserve"> </w:t>
      </w:r>
      <w:r>
        <w:rPr>
          <w:rFonts w:ascii="Arial"/>
          <w:color w:val="1C1C1C"/>
          <w:w w:val="110"/>
          <w:sz w:val="21"/>
          <w:u w:val="thick" w:color="1C1C1C"/>
        </w:rPr>
        <w:t>mix</w:t>
      </w:r>
      <w:r>
        <w:rPr>
          <w:rFonts w:ascii="Arial"/>
          <w:color w:val="1C1C1C"/>
          <w:w w:val="110"/>
          <w:sz w:val="21"/>
        </w:rPr>
        <w:t xml:space="preserve"> </w:t>
      </w:r>
      <w:r>
        <w:rPr>
          <w:rFonts w:ascii="Arial"/>
          <w:color w:val="1C1C1C"/>
          <w:w w:val="110"/>
          <w:sz w:val="21"/>
          <w:u w:val="thick" w:color="1C1C1C"/>
        </w:rPr>
        <w:t>of</w:t>
      </w:r>
      <w:r>
        <w:rPr>
          <w:rFonts w:ascii="Arial"/>
          <w:color w:val="1C1C1C"/>
          <w:w w:val="110"/>
          <w:sz w:val="21"/>
        </w:rPr>
        <w:t xml:space="preserve"> </w:t>
      </w:r>
      <w:r>
        <w:rPr>
          <w:rFonts w:ascii="Arial"/>
          <w:color w:val="1C1C1C"/>
          <w:w w:val="110"/>
          <w:sz w:val="21"/>
          <w:u w:val="thick" w:color="1C1C1C"/>
        </w:rPr>
        <w:t>domestic</w:t>
      </w:r>
      <w:r>
        <w:rPr>
          <w:rFonts w:ascii="Arial"/>
          <w:color w:val="1C1C1C"/>
          <w:w w:val="110"/>
          <w:sz w:val="21"/>
        </w:rPr>
        <w:t xml:space="preserve"> </w:t>
      </w:r>
      <w:r>
        <w:rPr>
          <w:rFonts w:ascii="Arial"/>
          <w:color w:val="0C0C0C"/>
          <w:w w:val="110"/>
          <w:sz w:val="21"/>
          <w:u w:val="thick" w:color="0C0C0C"/>
        </w:rPr>
        <w:t>like</w:t>
      </w:r>
      <w:r>
        <w:rPr>
          <w:rFonts w:ascii="Arial"/>
          <w:color w:val="0C0C0C"/>
          <w:w w:val="110"/>
          <w:sz w:val="21"/>
        </w:rPr>
        <w:t xml:space="preserve"> </w:t>
      </w:r>
      <w:r>
        <w:rPr>
          <w:rFonts w:ascii="Arial"/>
          <w:color w:val="0C0C0C"/>
          <w:spacing w:val="-2"/>
          <w:w w:val="110"/>
          <w:sz w:val="21"/>
          <w:u w:val="thick" w:color="0C0C0C"/>
        </w:rPr>
        <w:t>products</w:t>
      </w:r>
    </w:p>
    <w:p w14:paraId="51DE8ED5" w14:textId="77777777" w:rsidR="0010369C" w:rsidRDefault="008E43AE">
      <w:pPr>
        <w:spacing w:before="169" w:line="432" w:lineRule="auto"/>
        <w:ind w:left="236" w:right="570" w:hanging="1"/>
        <w:jc w:val="both"/>
        <w:rPr>
          <w:rFonts w:ascii="Arial"/>
          <w:sz w:val="21"/>
        </w:rPr>
      </w:pPr>
      <w:r>
        <w:rPr>
          <w:rFonts w:ascii="Arial"/>
          <w:color w:val="1C1C1C"/>
          <w:w w:val="105"/>
          <w:sz w:val="21"/>
        </w:rPr>
        <w:t>578.</w:t>
      </w:r>
      <w:r>
        <w:rPr>
          <w:rFonts w:ascii="Arial"/>
          <w:color w:val="1C1C1C"/>
          <w:spacing w:val="40"/>
          <w:w w:val="105"/>
          <w:sz w:val="21"/>
        </w:rPr>
        <w:t xml:space="preserve">  </w:t>
      </w:r>
      <w:r>
        <w:rPr>
          <w:rFonts w:ascii="Arial"/>
          <w:color w:val="1C1C1C"/>
          <w:w w:val="105"/>
          <w:sz w:val="21"/>
        </w:rPr>
        <w:t>The evidence before MOFCOM demonstrated</w:t>
      </w:r>
      <w:r>
        <w:rPr>
          <w:rFonts w:ascii="Arial"/>
          <w:color w:val="1C1C1C"/>
          <w:spacing w:val="40"/>
          <w:w w:val="105"/>
          <w:sz w:val="21"/>
        </w:rPr>
        <w:t xml:space="preserve"> </w:t>
      </w:r>
      <w:r>
        <w:rPr>
          <w:rFonts w:ascii="Arial"/>
          <w:color w:val="1C1C1C"/>
          <w:w w:val="105"/>
          <w:sz w:val="21"/>
        </w:rPr>
        <w:t xml:space="preserve">that the </w:t>
      </w:r>
      <w:r>
        <w:rPr>
          <w:rFonts w:ascii="Arial"/>
          <w:color w:val="0C0C0C"/>
          <w:w w:val="105"/>
          <w:sz w:val="21"/>
        </w:rPr>
        <w:t xml:space="preserve">basket </w:t>
      </w:r>
      <w:r>
        <w:rPr>
          <w:rFonts w:ascii="Arial"/>
          <w:color w:val="1C1C1C"/>
          <w:w w:val="105"/>
          <w:sz w:val="21"/>
        </w:rPr>
        <w:t>of</w:t>
      </w:r>
      <w:r>
        <w:rPr>
          <w:rFonts w:ascii="Arial"/>
          <w:color w:val="1C1C1C"/>
          <w:spacing w:val="40"/>
          <w:w w:val="105"/>
          <w:sz w:val="21"/>
        </w:rPr>
        <w:t xml:space="preserve"> </w:t>
      </w:r>
      <w:r>
        <w:rPr>
          <w:rFonts w:ascii="Arial"/>
          <w:color w:val="0C0C0C"/>
          <w:w w:val="105"/>
          <w:sz w:val="21"/>
        </w:rPr>
        <w:t xml:space="preserve">domestic </w:t>
      </w:r>
      <w:r>
        <w:rPr>
          <w:rFonts w:ascii="Arial"/>
          <w:color w:val="1C1C1C"/>
          <w:w w:val="105"/>
          <w:sz w:val="21"/>
        </w:rPr>
        <w:t xml:space="preserve">like products also consisted of a </w:t>
      </w:r>
      <w:r>
        <w:rPr>
          <w:rFonts w:ascii="Arial"/>
          <w:color w:val="0C0C0C"/>
          <w:w w:val="105"/>
          <w:sz w:val="21"/>
        </w:rPr>
        <w:t xml:space="preserve">range </w:t>
      </w:r>
      <w:r>
        <w:rPr>
          <w:rFonts w:ascii="Arial"/>
          <w:color w:val="1C1C1C"/>
          <w:w w:val="105"/>
          <w:sz w:val="21"/>
        </w:rPr>
        <w:t xml:space="preserve">of different </w:t>
      </w:r>
      <w:r>
        <w:rPr>
          <w:rFonts w:ascii="Arial"/>
          <w:color w:val="0C0C0C"/>
          <w:w w:val="105"/>
          <w:sz w:val="21"/>
        </w:rPr>
        <w:t xml:space="preserve">product </w:t>
      </w:r>
      <w:r>
        <w:rPr>
          <w:rFonts w:ascii="Arial"/>
          <w:color w:val="1C1C1C"/>
          <w:w w:val="105"/>
          <w:sz w:val="21"/>
        </w:rPr>
        <w:t xml:space="preserve">types and categories that supplied </w:t>
      </w:r>
      <w:r>
        <w:rPr>
          <w:rFonts w:ascii="Arial"/>
          <w:color w:val="0C0C0C"/>
          <w:w w:val="105"/>
          <w:sz w:val="21"/>
        </w:rPr>
        <w:t xml:space="preserve">different market </w:t>
      </w:r>
      <w:r>
        <w:rPr>
          <w:rFonts w:ascii="Arial"/>
          <w:color w:val="1C1C1C"/>
          <w:w w:val="105"/>
          <w:sz w:val="21"/>
        </w:rPr>
        <w:t>segments,</w:t>
      </w:r>
      <w:r>
        <w:rPr>
          <w:rFonts w:ascii="Arial"/>
          <w:color w:val="1C1C1C"/>
          <w:spacing w:val="-2"/>
          <w:w w:val="105"/>
          <w:sz w:val="21"/>
        </w:rPr>
        <w:t xml:space="preserve"> </w:t>
      </w:r>
      <w:r>
        <w:rPr>
          <w:rFonts w:ascii="Arial"/>
          <w:color w:val="1C1C1C"/>
          <w:w w:val="105"/>
          <w:sz w:val="21"/>
        </w:rPr>
        <w:t>although</w:t>
      </w:r>
      <w:r>
        <w:rPr>
          <w:rFonts w:ascii="Arial"/>
          <w:color w:val="1C1C1C"/>
          <w:spacing w:val="-11"/>
          <w:w w:val="105"/>
          <w:sz w:val="21"/>
        </w:rPr>
        <w:t xml:space="preserve"> </w:t>
      </w:r>
      <w:r>
        <w:rPr>
          <w:rFonts w:ascii="Arial"/>
          <w:color w:val="1C1C1C"/>
          <w:w w:val="105"/>
          <w:sz w:val="21"/>
        </w:rPr>
        <w:t>the</w:t>
      </w:r>
      <w:r>
        <w:rPr>
          <w:rFonts w:ascii="Arial"/>
          <w:color w:val="1C1C1C"/>
          <w:spacing w:val="34"/>
          <w:w w:val="105"/>
          <w:sz w:val="21"/>
        </w:rPr>
        <w:t xml:space="preserve"> </w:t>
      </w:r>
      <w:r>
        <w:rPr>
          <w:rFonts w:ascii="Arial"/>
          <w:color w:val="0C0C0C"/>
          <w:w w:val="105"/>
          <w:sz w:val="21"/>
        </w:rPr>
        <w:t xml:space="preserve">mix </w:t>
      </w:r>
      <w:r>
        <w:rPr>
          <w:rFonts w:ascii="Arial"/>
          <w:color w:val="1C1C1C"/>
          <w:w w:val="105"/>
          <w:sz w:val="21"/>
        </w:rPr>
        <w:t>of types</w:t>
      </w:r>
      <w:r>
        <w:rPr>
          <w:rFonts w:ascii="Arial"/>
          <w:color w:val="1C1C1C"/>
          <w:spacing w:val="-11"/>
          <w:w w:val="105"/>
          <w:sz w:val="21"/>
        </w:rPr>
        <w:t xml:space="preserve"> </w:t>
      </w:r>
      <w:r>
        <w:rPr>
          <w:rFonts w:ascii="Arial"/>
          <w:color w:val="1C1C1C"/>
          <w:w w:val="105"/>
          <w:sz w:val="21"/>
        </w:rPr>
        <w:t>and</w:t>
      </w:r>
      <w:r>
        <w:rPr>
          <w:rFonts w:ascii="Arial"/>
          <w:color w:val="1C1C1C"/>
          <w:spacing w:val="-16"/>
          <w:w w:val="105"/>
          <w:sz w:val="21"/>
        </w:rPr>
        <w:t xml:space="preserve"> </w:t>
      </w:r>
      <w:r>
        <w:rPr>
          <w:rFonts w:ascii="Arial"/>
          <w:color w:val="1C1C1C"/>
          <w:w w:val="105"/>
          <w:sz w:val="21"/>
        </w:rPr>
        <w:t xml:space="preserve">categories </w:t>
      </w:r>
      <w:r>
        <w:rPr>
          <w:rFonts w:ascii="Arial"/>
          <w:color w:val="0C0C0C"/>
          <w:w w:val="105"/>
          <w:sz w:val="21"/>
        </w:rPr>
        <w:t>clearly differed</w:t>
      </w:r>
      <w:r>
        <w:rPr>
          <w:rFonts w:ascii="Arial"/>
          <w:color w:val="0C0C0C"/>
          <w:spacing w:val="-2"/>
          <w:w w:val="105"/>
          <w:sz w:val="21"/>
        </w:rPr>
        <w:t xml:space="preserve"> </w:t>
      </w:r>
      <w:r>
        <w:rPr>
          <w:rFonts w:ascii="Arial"/>
          <w:color w:val="1C1C1C"/>
          <w:w w:val="105"/>
          <w:sz w:val="21"/>
        </w:rPr>
        <w:t>from</w:t>
      </w:r>
      <w:r>
        <w:rPr>
          <w:rFonts w:ascii="Arial"/>
          <w:color w:val="1C1C1C"/>
          <w:spacing w:val="-16"/>
          <w:w w:val="105"/>
          <w:sz w:val="21"/>
        </w:rPr>
        <w:t xml:space="preserve"> </w:t>
      </w:r>
      <w:r>
        <w:rPr>
          <w:rFonts w:ascii="Arial"/>
          <w:color w:val="1C1C1C"/>
          <w:w w:val="105"/>
          <w:sz w:val="21"/>
        </w:rPr>
        <w:t xml:space="preserve">that </w:t>
      </w:r>
      <w:r>
        <w:rPr>
          <w:rFonts w:ascii="Arial"/>
          <w:color w:val="0C0C0C"/>
          <w:w w:val="105"/>
          <w:sz w:val="21"/>
        </w:rPr>
        <w:t>in</w:t>
      </w:r>
      <w:r>
        <w:rPr>
          <w:rFonts w:ascii="Arial"/>
          <w:color w:val="0C0C0C"/>
          <w:spacing w:val="-7"/>
          <w:w w:val="105"/>
          <w:sz w:val="21"/>
        </w:rPr>
        <w:t xml:space="preserve"> </w:t>
      </w:r>
      <w:r>
        <w:rPr>
          <w:rFonts w:ascii="Arial"/>
          <w:color w:val="1C1C1C"/>
          <w:w w:val="105"/>
          <w:sz w:val="21"/>
        </w:rPr>
        <w:t xml:space="preserve">the </w:t>
      </w:r>
      <w:r>
        <w:rPr>
          <w:rFonts w:ascii="Arial"/>
          <w:color w:val="0C0C0C"/>
          <w:w w:val="105"/>
          <w:sz w:val="21"/>
        </w:rPr>
        <w:t xml:space="preserve">basket </w:t>
      </w:r>
      <w:r>
        <w:rPr>
          <w:rFonts w:ascii="Arial"/>
          <w:color w:val="1C1C1C"/>
          <w:w w:val="105"/>
          <w:sz w:val="21"/>
        </w:rPr>
        <w:t>of</w:t>
      </w:r>
      <w:r>
        <w:rPr>
          <w:rFonts w:ascii="Arial"/>
          <w:color w:val="1C1C1C"/>
          <w:spacing w:val="40"/>
          <w:w w:val="105"/>
          <w:sz w:val="21"/>
        </w:rPr>
        <w:t xml:space="preserve"> </w:t>
      </w:r>
      <w:r>
        <w:rPr>
          <w:rFonts w:ascii="Arial"/>
          <w:color w:val="1C1C1C"/>
          <w:w w:val="105"/>
          <w:sz w:val="21"/>
        </w:rPr>
        <w:t xml:space="preserve">subject imports. </w:t>
      </w:r>
      <w:r>
        <w:rPr>
          <w:rFonts w:ascii="Arial"/>
          <w:color w:val="0C0C0C"/>
          <w:w w:val="105"/>
          <w:sz w:val="21"/>
        </w:rPr>
        <w:t xml:space="preserve">In </w:t>
      </w:r>
      <w:r>
        <w:rPr>
          <w:rFonts w:ascii="Arial"/>
          <w:color w:val="1C1C1C"/>
          <w:w w:val="105"/>
          <w:sz w:val="21"/>
        </w:rPr>
        <w:t xml:space="preserve">its Application, CADA </w:t>
      </w:r>
      <w:r>
        <w:rPr>
          <w:rFonts w:ascii="Arial"/>
          <w:color w:val="0C0C0C"/>
          <w:w w:val="105"/>
          <w:sz w:val="21"/>
        </w:rPr>
        <w:t xml:space="preserve">provided </w:t>
      </w:r>
      <w:r>
        <w:rPr>
          <w:rFonts w:ascii="Arial"/>
          <w:color w:val="1C1C1C"/>
          <w:w w:val="105"/>
          <w:sz w:val="21"/>
        </w:rPr>
        <w:t xml:space="preserve">information to </w:t>
      </w:r>
      <w:r>
        <w:rPr>
          <w:rFonts w:ascii="Arial"/>
          <w:color w:val="0C0C0C"/>
          <w:w w:val="105"/>
          <w:sz w:val="21"/>
        </w:rPr>
        <w:t xml:space="preserve">MOFCOM </w:t>
      </w:r>
      <w:r>
        <w:rPr>
          <w:rFonts w:ascii="Arial"/>
          <w:color w:val="1C1C1C"/>
          <w:w w:val="105"/>
          <w:sz w:val="21"/>
        </w:rPr>
        <w:t xml:space="preserve">which split the </w:t>
      </w:r>
      <w:r>
        <w:rPr>
          <w:rFonts w:ascii="Arial"/>
          <w:color w:val="0C0C0C"/>
          <w:w w:val="105"/>
          <w:sz w:val="21"/>
        </w:rPr>
        <w:t xml:space="preserve">data </w:t>
      </w:r>
      <w:r>
        <w:rPr>
          <w:rFonts w:ascii="Arial"/>
          <w:color w:val="1C1C1C"/>
          <w:w w:val="105"/>
          <w:sz w:val="21"/>
        </w:rPr>
        <w:t xml:space="preserve">on </w:t>
      </w:r>
      <w:r>
        <w:rPr>
          <w:rFonts w:ascii="Arial"/>
          <w:color w:val="0C0C0C"/>
          <w:w w:val="105"/>
          <w:sz w:val="21"/>
        </w:rPr>
        <w:t>domestic lik</w:t>
      </w:r>
      <w:r>
        <w:rPr>
          <w:rFonts w:ascii="Arial"/>
          <w:color w:val="0C0C0C"/>
          <w:w w:val="105"/>
          <w:sz w:val="21"/>
        </w:rPr>
        <w:t xml:space="preserve">e </w:t>
      </w:r>
      <w:r>
        <w:rPr>
          <w:rFonts w:ascii="Arial"/>
          <w:color w:val="1C1C1C"/>
          <w:w w:val="105"/>
          <w:sz w:val="21"/>
        </w:rPr>
        <w:t xml:space="preserve">products into </w:t>
      </w:r>
      <w:r>
        <w:rPr>
          <w:rFonts w:ascii="Arial"/>
          <w:color w:val="0C0C0C"/>
          <w:w w:val="105"/>
          <w:sz w:val="21"/>
        </w:rPr>
        <w:t xml:space="preserve">two </w:t>
      </w:r>
      <w:r>
        <w:rPr>
          <w:rFonts w:ascii="Arial"/>
          <w:color w:val="1C1C1C"/>
          <w:w w:val="105"/>
          <w:sz w:val="21"/>
        </w:rPr>
        <w:t>groups consisting of two</w:t>
      </w:r>
      <w:r>
        <w:rPr>
          <w:rFonts w:ascii="Arial"/>
          <w:color w:val="1C1C1C"/>
          <w:spacing w:val="40"/>
          <w:w w:val="105"/>
          <w:sz w:val="21"/>
        </w:rPr>
        <w:t xml:space="preserve"> </w:t>
      </w:r>
      <w:r>
        <w:rPr>
          <w:rFonts w:ascii="Arial"/>
          <w:color w:val="1C1C1C"/>
          <w:w w:val="105"/>
          <w:sz w:val="21"/>
        </w:rPr>
        <w:t xml:space="preserve">quality categories: "high end" and "medium and </w:t>
      </w:r>
      <w:r>
        <w:rPr>
          <w:rFonts w:ascii="Arial"/>
          <w:color w:val="0C0C0C"/>
          <w:w w:val="105"/>
          <w:sz w:val="21"/>
        </w:rPr>
        <w:t xml:space="preserve">low </w:t>
      </w:r>
      <w:r>
        <w:rPr>
          <w:rFonts w:ascii="Arial"/>
          <w:color w:val="1C1C1C"/>
          <w:w w:val="105"/>
          <w:sz w:val="21"/>
        </w:rPr>
        <w:t>end".</w:t>
      </w:r>
      <w:r>
        <w:rPr>
          <w:rFonts w:ascii="Times New Roman"/>
          <w:color w:val="1C1C1C"/>
          <w:w w:val="105"/>
          <w:position w:val="7"/>
          <w:sz w:val="16"/>
        </w:rPr>
        <w:t>671</w:t>
      </w:r>
      <w:r>
        <w:rPr>
          <w:rFonts w:ascii="Times New Roman"/>
          <w:color w:val="1C1C1C"/>
          <w:spacing w:val="40"/>
          <w:w w:val="105"/>
          <w:position w:val="7"/>
          <w:sz w:val="16"/>
        </w:rPr>
        <w:t xml:space="preserve"> </w:t>
      </w:r>
      <w:r>
        <w:rPr>
          <w:rFonts w:ascii="Arial"/>
          <w:color w:val="1C1C1C"/>
          <w:w w:val="105"/>
          <w:sz w:val="21"/>
        </w:rPr>
        <w:t xml:space="preserve">CADA </w:t>
      </w:r>
      <w:r>
        <w:rPr>
          <w:rFonts w:ascii="Arial"/>
          <w:color w:val="0C0C0C"/>
          <w:w w:val="105"/>
          <w:sz w:val="21"/>
        </w:rPr>
        <w:t>provided the</w:t>
      </w:r>
      <w:r>
        <w:rPr>
          <w:rFonts w:ascii="Arial"/>
          <w:color w:val="0C0C0C"/>
          <w:spacing w:val="40"/>
          <w:w w:val="105"/>
          <w:sz w:val="21"/>
        </w:rPr>
        <w:t xml:space="preserve"> </w:t>
      </w:r>
      <w:r>
        <w:rPr>
          <w:rFonts w:ascii="Arial"/>
          <w:color w:val="1C1C1C"/>
          <w:w w:val="105"/>
          <w:sz w:val="21"/>
        </w:rPr>
        <w:t xml:space="preserve">following information regarding price differences </w:t>
      </w:r>
      <w:r>
        <w:rPr>
          <w:rFonts w:ascii="Arial"/>
          <w:color w:val="0C0C0C"/>
          <w:w w:val="105"/>
          <w:sz w:val="21"/>
        </w:rPr>
        <w:t xml:space="preserve">between the </w:t>
      </w:r>
      <w:r>
        <w:rPr>
          <w:rFonts w:ascii="Arial"/>
          <w:color w:val="1C1C1C"/>
          <w:w w:val="105"/>
          <w:sz w:val="21"/>
        </w:rPr>
        <w:t>groups of categories:</w:t>
      </w:r>
    </w:p>
    <w:p w14:paraId="51DE8ED6" w14:textId="77777777" w:rsidR="0010369C" w:rsidRDefault="0010369C">
      <w:pPr>
        <w:pStyle w:val="BodyText"/>
        <w:rPr>
          <w:rFonts w:ascii="Arial"/>
        </w:rPr>
      </w:pPr>
    </w:p>
    <w:p w14:paraId="51DE8ED7" w14:textId="77777777" w:rsidR="0010369C" w:rsidRDefault="0010369C">
      <w:pPr>
        <w:pStyle w:val="BodyText"/>
        <w:rPr>
          <w:rFonts w:ascii="Arial"/>
        </w:rPr>
      </w:pPr>
    </w:p>
    <w:p w14:paraId="51DE8ED8" w14:textId="77777777" w:rsidR="0010369C" w:rsidRDefault="0010369C">
      <w:pPr>
        <w:pStyle w:val="BodyText"/>
        <w:rPr>
          <w:rFonts w:ascii="Arial"/>
        </w:rPr>
      </w:pPr>
    </w:p>
    <w:p w14:paraId="51DE8ED9" w14:textId="77777777" w:rsidR="0010369C" w:rsidRDefault="0010369C">
      <w:pPr>
        <w:pStyle w:val="BodyText"/>
        <w:rPr>
          <w:rFonts w:ascii="Arial"/>
        </w:rPr>
      </w:pPr>
    </w:p>
    <w:p w14:paraId="51DE8EDA" w14:textId="77777777" w:rsidR="0010369C" w:rsidRDefault="0010369C">
      <w:pPr>
        <w:pStyle w:val="BodyText"/>
        <w:rPr>
          <w:rFonts w:ascii="Arial"/>
        </w:rPr>
      </w:pPr>
    </w:p>
    <w:p w14:paraId="51DE8EDB" w14:textId="77777777" w:rsidR="0010369C" w:rsidRDefault="0010369C">
      <w:pPr>
        <w:pStyle w:val="BodyText"/>
        <w:rPr>
          <w:rFonts w:ascii="Arial"/>
        </w:rPr>
      </w:pPr>
    </w:p>
    <w:p w14:paraId="51DE8EDC" w14:textId="77777777" w:rsidR="0010369C" w:rsidRDefault="0010369C">
      <w:pPr>
        <w:pStyle w:val="BodyText"/>
        <w:rPr>
          <w:rFonts w:ascii="Arial"/>
        </w:rPr>
      </w:pPr>
    </w:p>
    <w:p w14:paraId="51DE8EDD" w14:textId="77777777" w:rsidR="0010369C" w:rsidRDefault="0010369C">
      <w:pPr>
        <w:pStyle w:val="BodyText"/>
        <w:rPr>
          <w:rFonts w:ascii="Arial"/>
        </w:rPr>
      </w:pPr>
    </w:p>
    <w:p w14:paraId="51DE8EDE" w14:textId="77777777" w:rsidR="0010369C" w:rsidRDefault="0010369C">
      <w:pPr>
        <w:pStyle w:val="BodyText"/>
        <w:rPr>
          <w:rFonts w:ascii="Arial"/>
        </w:rPr>
      </w:pPr>
    </w:p>
    <w:p w14:paraId="51DE8EDF" w14:textId="77777777" w:rsidR="0010369C" w:rsidRDefault="0010369C">
      <w:pPr>
        <w:pStyle w:val="BodyText"/>
        <w:rPr>
          <w:rFonts w:ascii="Arial"/>
        </w:rPr>
      </w:pPr>
    </w:p>
    <w:p w14:paraId="51DE8EE0" w14:textId="77777777" w:rsidR="0010369C" w:rsidRDefault="0010369C">
      <w:pPr>
        <w:pStyle w:val="BodyText"/>
        <w:rPr>
          <w:rFonts w:ascii="Arial"/>
        </w:rPr>
      </w:pPr>
    </w:p>
    <w:p w14:paraId="51DE8EE1" w14:textId="77777777" w:rsidR="0010369C" w:rsidRDefault="0010369C">
      <w:pPr>
        <w:pStyle w:val="BodyText"/>
        <w:rPr>
          <w:rFonts w:ascii="Arial"/>
        </w:rPr>
      </w:pPr>
    </w:p>
    <w:p w14:paraId="51DE8EE2" w14:textId="77777777" w:rsidR="0010369C" w:rsidRDefault="0010369C">
      <w:pPr>
        <w:pStyle w:val="BodyText"/>
        <w:rPr>
          <w:rFonts w:ascii="Arial"/>
        </w:rPr>
      </w:pPr>
    </w:p>
    <w:p w14:paraId="51DE8EE3" w14:textId="77777777" w:rsidR="0010369C" w:rsidRDefault="0010369C">
      <w:pPr>
        <w:pStyle w:val="BodyText"/>
        <w:rPr>
          <w:rFonts w:ascii="Arial"/>
        </w:rPr>
      </w:pPr>
    </w:p>
    <w:p w14:paraId="51DE8EE4" w14:textId="77777777" w:rsidR="0010369C" w:rsidRDefault="0010369C">
      <w:pPr>
        <w:pStyle w:val="BodyText"/>
        <w:rPr>
          <w:rFonts w:ascii="Arial"/>
        </w:rPr>
      </w:pPr>
    </w:p>
    <w:p w14:paraId="51DE8EE5" w14:textId="77777777" w:rsidR="0010369C" w:rsidRDefault="0010369C">
      <w:pPr>
        <w:pStyle w:val="BodyText"/>
        <w:rPr>
          <w:rFonts w:ascii="Arial"/>
        </w:rPr>
      </w:pPr>
    </w:p>
    <w:p w14:paraId="51DE8EE6" w14:textId="77777777" w:rsidR="0010369C" w:rsidRDefault="0010369C">
      <w:pPr>
        <w:pStyle w:val="BodyText"/>
        <w:rPr>
          <w:rFonts w:ascii="Arial"/>
        </w:rPr>
      </w:pPr>
    </w:p>
    <w:p w14:paraId="51DE8EE7" w14:textId="77777777" w:rsidR="0010369C" w:rsidRDefault="0010369C">
      <w:pPr>
        <w:pStyle w:val="BodyText"/>
        <w:rPr>
          <w:rFonts w:ascii="Arial"/>
        </w:rPr>
      </w:pPr>
    </w:p>
    <w:p w14:paraId="51DE8EE8" w14:textId="77777777" w:rsidR="0010369C" w:rsidRDefault="008E43AE">
      <w:pPr>
        <w:spacing w:before="178" w:line="195" w:lineRule="exact"/>
        <w:ind w:left="240"/>
        <w:rPr>
          <w:rFonts w:ascii="Times New Roman"/>
        </w:rPr>
      </w:pPr>
      <w:r>
        <w:pict w14:anchorId="51DEA49C">
          <v:group id="docshapegroup1052" o:spid="_x0000_s1320" style="position:absolute;left:0;text-align:left;margin-left:86.3pt;margin-top:6.65pt;width:423.45pt;height:26.8pt;z-index:251856384;mso-position-horizontal-relative:page" coordorigin="1726,133" coordsize="8469,536">
            <v:shape id="docshape1053" o:spid="_x0000_s1325" type="#_x0000_t75" style="position:absolute;left:1725;top:132;width:6181;height:371">
              <v:imagedata r:id="rId778" o:title=""/>
            </v:shape>
            <v:shape id="docshape1054" o:spid="_x0000_s1324" type="#_x0000_t75" style="position:absolute;left:9572;top:263;width:623;height:241">
              <v:imagedata r:id="rId779" o:title=""/>
            </v:shape>
            <v:line id="_x0000_s1323" style="position:absolute" from="7906,243" to="9572,243" strokeweight=".35361mm"/>
            <v:shape id="docshape1055" o:spid="_x0000_s1322" type="#_x0000_t202" style="position:absolute;left:7936;top:268;width:1671;height:180" filled="f" stroked="f">
              <v:textbox inset="0,0,0,0">
                <w:txbxContent>
                  <w:p w14:paraId="51DEAC7B" w14:textId="77777777" w:rsidR="0010369C" w:rsidRDefault="008E43AE">
                    <w:pPr>
                      <w:spacing w:line="179" w:lineRule="exact"/>
                      <w:rPr>
                        <w:rFonts w:ascii="Arial"/>
                        <w:sz w:val="16"/>
                      </w:rPr>
                    </w:pPr>
                    <w:r>
                      <w:rPr>
                        <w:rFonts w:ascii="Arial"/>
                        <w:color w:val="1C1C1C"/>
                        <w:sz w:val="16"/>
                      </w:rPr>
                      <w:t>(Exhibit</w:t>
                    </w:r>
                    <w:r>
                      <w:rPr>
                        <w:rFonts w:ascii="Arial"/>
                        <w:color w:val="1C1C1C"/>
                        <w:spacing w:val="-6"/>
                        <w:sz w:val="16"/>
                      </w:rPr>
                      <w:t xml:space="preserve"> </w:t>
                    </w:r>
                    <w:r>
                      <w:rPr>
                        <w:rFonts w:ascii="Arial"/>
                        <w:color w:val="1C1C1C"/>
                        <w:sz w:val="16"/>
                      </w:rPr>
                      <w:t>AUS-65</w:t>
                    </w:r>
                    <w:r>
                      <w:rPr>
                        <w:rFonts w:ascii="Arial"/>
                        <w:color w:val="1C1C1C"/>
                        <w:spacing w:val="-18"/>
                        <w:sz w:val="16"/>
                      </w:rPr>
                      <w:t xml:space="preserve"> </w:t>
                    </w:r>
                    <w:r>
                      <w:rPr>
                        <w:rFonts w:ascii="Arial"/>
                        <w:color w:val="1C1C1C"/>
                        <w:spacing w:val="-2"/>
                        <w:sz w:val="16"/>
                      </w:rPr>
                      <w:t>(BCI)),</w:t>
                    </w:r>
                  </w:p>
                </w:txbxContent>
              </v:textbox>
            </v:shape>
            <v:shape id="docshape1056" o:spid="_x0000_s1321" type="#_x0000_t202" style="position:absolute;left:1928;top:488;width:5358;height:180" filled="f" stroked="f">
              <v:textbox inset="0,0,0,0">
                <w:txbxContent>
                  <w:p w14:paraId="51DEAC7C" w14:textId="77777777" w:rsidR="0010369C" w:rsidRDefault="008E43AE">
                    <w:pPr>
                      <w:spacing w:line="179" w:lineRule="exact"/>
                      <w:rPr>
                        <w:rFonts w:ascii="Arial"/>
                        <w:sz w:val="16"/>
                      </w:rPr>
                    </w:pPr>
                    <w:r>
                      <w:rPr>
                        <w:rFonts w:ascii="Arial"/>
                        <w:color w:val="1C1C1C"/>
                        <w:sz w:val="16"/>
                      </w:rPr>
                      <w:t>CADA</w:t>
                    </w:r>
                    <w:r>
                      <w:rPr>
                        <w:rFonts w:ascii="Arial"/>
                        <w:color w:val="1C1C1C"/>
                        <w:spacing w:val="11"/>
                        <w:sz w:val="16"/>
                      </w:rPr>
                      <w:t xml:space="preserve"> </w:t>
                    </w:r>
                    <w:r>
                      <w:rPr>
                        <w:rFonts w:ascii="Arial"/>
                        <w:color w:val="1C1C1C"/>
                        <w:sz w:val="16"/>
                      </w:rPr>
                      <w:t>Application</w:t>
                    </w:r>
                    <w:r>
                      <w:rPr>
                        <w:rFonts w:ascii="Arial"/>
                        <w:color w:val="1C1C1C"/>
                        <w:spacing w:val="1"/>
                        <w:sz w:val="16"/>
                      </w:rPr>
                      <w:t xml:space="preserve"> </w:t>
                    </w:r>
                    <w:r>
                      <w:rPr>
                        <w:rFonts w:ascii="Arial"/>
                        <w:color w:val="1C1C1C"/>
                        <w:sz w:val="16"/>
                      </w:rPr>
                      <w:t>for</w:t>
                    </w:r>
                    <w:r>
                      <w:rPr>
                        <w:rFonts w:ascii="Arial"/>
                        <w:color w:val="1C1C1C"/>
                        <w:spacing w:val="27"/>
                        <w:sz w:val="16"/>
                      </w:rPr>
                      <w:t xml:space="preserve"> </w:t>
                    </w:r>
                    <w:r>
                      <w:rPr>
                        <w:rFonts w:ascii="Arial"/>
                        <w:color w:val="1C1C1C"/>
                        <w:sz w:val="16"/>
                      </w:rPr>
                      <w:t>Anti-Dumping</w:t>
                    </w:r>
                    <w:r>
                      <w:rPr>
                        <w:rFonts w:ascii="Arial"/>
                        <w:color w:val="1C1C1C"/>
                        <w:spacing w:val="-18"/>
                        <w:sz w:val="16"/>
                      </w:rPr>
                      <w:t xml:space="preserve"> </w:t>
                    </w:r>
                    <w:r>
                      <w:rPr>
                        <w:rFonts w:ascii="Arial"/>
                        <w:color w:val="1C1C1C"/>
                        <w:sz w:val="16"/>
                      </w:rPr>
                      <w:t>Investigation</w:t>
                    </w:r>
                    <w:r>
                      <w:rPr>
                        <w:rFonts w:ascii="Arial"/>
                        <w:color w:val="1C1C1C"/>
                        <w:spacing w:val="17"/>
                        <w:sz w:val="16"/>
                      </w:rPr>
                      <w:t xml:space="preserve"> </w:t>
                    </w:r>
                    <w:r>
                      <w:rPr>
                        <w:rFonts w:ascii="Arial"/>
                        <w:color w:val="363636"/>
                        <w:sz w:val="16"/>
                      </w:rPr>
                      <w:t>(Exhibit</w:t>
                    </w:r>
                    <w:r>
                      <w:rPr>
                        <w:rFonts w:ascii="Arial"/>
                        <w:color w:val="363636"/>
                        <w:spacing w:val="14"/>
                        <w:sz w:val="16"/>
                      </w:rPr>
                      <w:t xml:space="preserve"> </w:t>
                    </w:r>
                    <w:r>
                      <w:rPr>
                        <w:rFonts w:ascii="Arial"/>
                        <w:color w:val="1C1C1C"/>
                        <w:sz w:val="16"/>
                      </w:rPr>
                      <w:t>AUS-64),</w:t>
                    </w:r>
                    <w:r>
                      <w:rPr>
                        <w:rFonts w:ascii="Arial"/>
                        <w:color w:val="1C1C1C"/>
                        <w:spacing w:val="-5"/>
                        <w:sz w:val="16"/>
                      </w:rPr>
                      <w:t xml:space="preserve"> </w:t>
                    </w:r>
                    <w:r>
                      <w:rPr>
                        <w:rFonts w:ascii="Arial"/>
                        <w:color w:val="1C1C1C"/>
                        <w:sz w:val="16"/>
                      </w:rPr>
                      <w:t>p.</w:t>
                    </w:r>
                    <w:r>
                      <w:rPr>
                        <w:rFonts w:ascii="Arial"/>
                        <w:color w:val="1C1C1C"/>
                        <w:spacing w:val="27"/>
                        <w:sz w:val="16"/>
                      </w:rPr>
                      <w:t xml:space="preserve"> </w:t>
                    </w:r>
                    <w:r>
                      <w:rPr>
                        <w:rFonts w:ascii="Arial"/>
                        <w:color w:val="1C1C1C"/>
                        <w:spacing w:val="-5"/>
                        <w:sz w:val="16"/>
                      </w:rPr>
                      <w:t>56.</w:t>
                    </w:r>
                  </w:p>
                </w:txbxContent>
              </v:textbox>
            </v:shape>
            <w10:wrap anchorx="page"/>
          </v:group>
        </w:pict>
      </w:r>
      <w:r>
        <w:rPr>
          <w:rFonts w:ascii="Arial"/>
          <w:color w:val="363636"/>
          <w:sz w:val="11"/>
        </w:rPr>
        <w:t>670</w:t>
      </w:r>
      <w:r>
        <w:rPr>
          <w:rFonts w:ascii="Arial"/>
          <w:color w:val="363636"/>
          <w:spacing w:val="11"/>
          <w:sz w:val="11"/>
        </w:rPr>
        <w:t xml:space="preserve"> </w:t>
      </w:r>
      <w:r>
        <w:rPr>
          <w:rFonts w:ascii="Times New Roman"/>
          <w:color w:val="1C1C1C"/>
          <w:spacing w:val="-10"/>
        </w:rPr>
        <w:t>I</w:t>
      </w:r>
    </w:p>
    <w:p w14:paraId="51DE8EE9" w14:textId="77777777" w:rsidR="0010369C" w:rsidRDefault="008E43AE">
      <w:pPr>
        <w:pStyle w:val="Heading1"/>
        <w:ind w:left="177"/>
      </w:pPr>
      <w:r>
        <w:rPr>
          <w:color w:val="0C0C0C"/>
          <w:w w:val="75"/>
        </w:rPr>
        <w:t>1-</w:t>
      </w:r>
      <w:r>
        <w:rPr>
          <w:color w:val="363636"/>
          <w:spacing w:val="-5"/>
          <w:w w:val="85"/>
        </w:rPr>
        <w:t>ll</w:t>
      </w:r>
    </w:p>
    <w:p w14:paraId="51DE8EEA" w14:textId="77777777" w:rsidR="0010369C" w:rsidRDefault="0010369C">
      <w:pPr>
        <w:sectPr w:rsidR="0010369C">
          <w:pgSz w:w="11910" w:h="16840"/>
          <w:pgMar w:top="820" w:right="800" w:bottom="1000" w:left="1180" w:header="491" w:footer="805" w:gutter="0"/>
          <w:cols w:space="720"/>
        </w:sectPr>
      </w:pPr>
    </w:p>
    <w:p w14:paraId="51DE8EEB" w14:textId="77777777" w:rsidR="0010369C" w:rsidRDefault="008E43AE">
      <w:pPr>
        <w:tabs>
          <w:tab w:val="left" w:pos="6425"/>
        </w:tabs>
        <w:ind w:left="238"/>
        <w:rPr>
          <w:sz w:val="20"/>
        </w:rPr>
      </w:pPr>
      <w:r>
        <w:rPr>
          <w:i/>
          <w:sz w:val="20"/>
        </w:rPr>
        <w:lastRenderedPageBreak/>
        <w:t>China</w:t>
      </w:r>
      <w:r>
        <w:rPr>
          <w:i/>
          <w:spacing w:val="-5"/>
          <w:sz w:val="20"/>
        </w:rPr>
        <w:t xml:space="preserve"> </w:t>
      </w:r>
      <w:r>
        <w:rPr>
          <w:i/>
          <w:sz w:val="20"/>
        </w:rPr>
        <w:t>–</w:t>
      </w:r>
      <w:r>
        <w:rPr>
          <w:i/>
          <w:spacing w:val="-5"/>
          <w:sz w:val="20"/>
        </w:rPr>
        <w:t xml:space="preserve"> </w:t>
      </w:r>
      <w:r>
        <w:rPr>
          <w:i/>
          <w:sz w:val="20"/>
        </w:rPr>
        <w:t>Anti‐Dumping</w:t>
      </w:r>
      <w:r>
        <w:rPr>
          <w:i/>
          <w:spacing w:val="-4"/>
          <w:sz w:val="20"/>
        </w:rPr>
        <w:t xml:space="preserve"> </w:t>
      </w:r>
      <w:r>
        <w:rPr>
          <w:i/>
          <w:sz w:val="20"/>
        </w:rPr>
        <w:t>and</w:t>
      </w:r>
      <w:r>
        <w:rPr>
          <w:i/>
          <w:spacing w:val="-5"/>
          <w:sz w:val="20"/>
        </w:rPr>
        <w:t xml:space="preserve"> </w:t>
      </w:r>
      <w:r>
        <w:rPr>
          <w:i/>
          <w:sz w:val="20"/>
        </w:rPr>
        <w:t>Countervailing</w:t>
      </w:r>
      <w:r>
        <w:rPr>
          <w:i/>
          <w:spacing w:val="-5"/>
          <w:sz w:val="20"/>
        </w:rPr>
        <w:t xml:space="preserve"> </w:t>
      </w:r>
      <w:r>
        <w:rPr>
          <w:i/>
          <w:sz w:val="20"/>
        </w:rPr>
        <w:t>Duty</w:t>
      </w:r>
      <w:r>
        <w:rPr>
          <w:i/>
          <w:spacing w:val="-4"/>
          <w:sz w:val="20"/>
        </w:rPr>
        <w:t xml:space="preserve"> </w:t>
      </w:r>
      <w:r>
        <w:rPr>
          <w:i/>
          <w:spacing w:val="-2"/>
          <w:sz w:val="20"/>
        </w:rPr>
        <w:t>Measures</w:t>
      </w:r>
      <w:r>
        <w:rPr>
          <w:i/>
          <w:sz w:val="20"/>
        </w:rPr>
        <w:tab/>
      </w:r>
      <w:r>
        <w:rPr>
          <w:sz w:val="20"/>
        </w:rPr>
        <w:t>Australia's</w:t>
      </w:r>
      <w:r>
        <w:rPr>
          <w:spacing w:val="-7"/>
          <w:sz w:val="20"/>
        </w:rPr>
        <w:t xml:space="preserve"> </w:t>
      </w:r>
      <w:r>
        <w:rPr>
          <w:sz w:val="20"/>
        </w:rPr>
        <w:t>First</w:t>
      </w:r>
      <w:r>
        <w:rPr>
          <w:spacing w:val="-2"/>
          <w:sz w:val="20"/>
        </w:rPr>
        <w:t xml:space="preserve"> </w:t>
      </w:r>
      <w:r>
        <w:rPr>
          <w:sz w:val="20"/>
        </w:rPr>
        <w:t>Written</w:t>
      </w:r>
      <w:r>
        <w:rPr>
          <w:spacing w:val="-2"/>
          <w:sz w:val="20"/>
        </w:rPr>
        <w:t xml:space="preserve"> Submission</w:t>
      </w:r>
    </w:p>
    <w:p w14:paraId="51DE8EEC" w14:textId="77777777" w:rsidR="0010369C" w:rsidRDefault="008E43AE">
      <w:pPr>
        <w:tabs>
          <w:tab w:val="left" w:pos="8227"/>
        </w:tabs>
        <w:spacing w:before="1"/>
        <w:ind w:left="239"/>
        <w:rPr>
          <w:sz w:val="20"/>
        </w:rPr>
      </w:pPr>
      <w:r>
        <w:rPr>
          <w:noProof/>
        </w:rPr>
        <w:drawing>
          <wp:anchor distT="0" distB="0" distL="0" distR="0" simplePos="0" relativeHeight="250601984" behindDoc="0" locked="0" layoutInCell="1" allowOverlap="1" wp14:anchorId="51DEA49D" wp14:editId="51DEA49E">
            <wp:simplePos x="0" y="0"/>
            <wp:positionH relativeFrom="page">
              <wp:posOffset>1130458</wp:posOffset>
            </wp:positionH>
            <wp:positionV relativeFrom="paragraph">
              <wp:posOffset>177893</wp:posOffset>
            </wp:positionV>
            <wp:extent cx="5475884" cy="3722179"/>
            <wp:effectExtent l="0" t="0" r="0" b="0"/>
            <wp:wrapTopAndBottom/>
            <wp:docPr id="1159" name="image5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 name="image596.png"/>
                    <pic:cNvPicPr/>
                  </pic:nvPicPr>
                  <pic:blipFill>
                    <a:blip r:embed="rId780" cstate="print"/>
                    <a:stretch>
                      <a:fillRect/>
                    </a:stretch>
                  </pic:blipFill>
                  <pic:spPr>
                    <a:xfrm>
                      <a:off x="0" y="0"/>
                      <a:ext cx="5475884" cy="3722179"/>
                    </a:xfrm>
                    <a:prstGeom prst="rect">
                      <a:avLst/>
                    </a:prstGeom>
                  </pic:spPr>
                </pic:pic>
              </a:graphicData>
            </a:graphic>
          </wp:anchor>
        </w:drawing>
      </w:r>
      <w:r>
        <w:rPr>
          <w:i/>
          <w:sz w:val="20"/>
        </w:rPr>
        <w:t>on</w:t>
      </w:r>
      <w:r>
        <w:rPr>
          <w:i/>
          <w:spacing w:val="-1"/>
          <w:sz w:val="20"/>
        </w:rPr>
        <w:t xml:space="preserve"> </w:t>
      </w:r>
      <w:r>
        <w:rPr>
          <w:i/>
          <w:sz w:val="20"/>
        </w:rPr>
        <w:t>Wine</w:t>
      </w:r>
      <w:r>
        <w:rPr>
          <w:i/>
          <w:spacing w:val="-1"/>
          <w:sz w:val="20"/>
        </w:rPr>
        <w:t xml:space="preserve"> </w:t>
      </w:r>
      <w:r>
        <w:rPr>
          <w:i/>
          <w:sz w:val="20"/>
        </w:rPr>
        <w:t>from</w:t>
      </w:r>
      <w:r>
        <w:rPr>
          <w:i/>
          <w:spacing w:val="-3"/>
          <w:sz w:val="20"/>
        </w:rPr>
        <w:t xml:space="preserve"> </w:t>
      </w:r>
      <w:r>
        <w:rPr>
          <w:i/>
          <w:sz w:val="20"/>
        </w:rPr>
        <w:t>Australia</w:t>
      </w:r>
      <w:r>
        <w:rPr>
          <w:i/>
          <w:spacing w:val="-1"/>
          <w:sz w:val="20"/>
        </w:rPr>
        <w:t xml:space="preserve"> </w:t>
      </w:r>
      <w:r>
        <w:rPr>
          <w:spacing w:val="-2"/>
          <w:sz w:val="20"/>
        </w:rPr>
        <w:t>(DS602)</w:t>
      </w:r>
      <w:r>
        <w:rPr>
          <w:sz w:val="20"/>
        </w:rPr>
        <w:tab/>
        <w:t>29</w:t>
      </w:r>
      <w:r>
        <w:rPr>
          <w:spacing w:val="-1"/>
          <w:sz w:val="20"/>
        </w:rPr>
        <w:t xml:space="preserve"> </w:t>
      </w:r>
      <w:r>
        <w:rPr>
          <w:sz w:val="20"/>
        </w:rPr>
        <w:t>April</w:t>
      </w:r>
      <w:r>
        <w:rPr>
          <w:spacing w:val="-2"/>
          <w:sz w:val="20"/>
        </w:rPr>
        <w:t xml:space="preserve"> </w:t>
      </w:r>
      <w:r>
        <w:rPr>
          <w:spacing w:val="-4"/>
          <w:sz w:val="20"/>
        </w:rPr>
        <w:t>2022</w:t>
      </w:r>
    </w:p>
    <w:p w14:paraId="51DE8EED" w14:textId="77777777" w:rsidR="0010369C" w:rsidRDefault="0010369C">
      <w:pPr>
        <w:pStyle w:val="BodyText"/>
      </w:pPr>
    </w:p>
    <w:p w14:paraId="51DE8EEE" w14:textId="77777777" w:rsidR="0010369C" w:rsidRDefault="008E43AE">
      <w:pPr>
        <w:pStyle w:val="Heading4"/>
        <w:spacing w:before="1"/>
        <w:ind w:left="237" w:firstLine="0"/>
        <w:jc w:val="left"/>
      </w:pPr>
      <w:r>
        <w:t>Figure</w:t>
      </w:r>
      <w:r>
        <w:rPr>
          <w:spacing w:val="40"/>
        </w:rPr>
        <w:t xml:space="preserve"> </w:t>
      </w:r>
      <w:r>
        <w:t>1</w:t>
      </w:r>
      <w:r>
        <w:rPr>
          <w:spacing w:val="40"/>
        </w:rPr>
        <w:t xml:space="preserve"> </w:t>
      </w:r>
      <w:r>
        <w:t>Price</w:t>
      </w:r>
      <w:r>
        <w:rPr>
          <w:spacing w:val="40"/>
        </w:rPr>
        <w:t xml:space="preserve"> </w:t>
      </w:r>
      <w:r>
        <w:t>comparison</w:t>
      </w:r>
      <w:r>
        <w:rPr>
          <w:spacing w:val="40"/>
        </w:rPr>
        <w:t xml:space="preserve"> </w:t>
      </w:r>
      <w:r>
        <w:t>between</w:t>
      </w:r>
      <w:r>
        <w:rPr>
          <w:spacing w:val="40"/>
        </w:rPr>
        <w:t xml:space="preserve"> </w:t>
      </w:r>
      <w:r>
        <w:t>products</w:t>
      </w:r>
      <w:r>
        <w:rPr>
          <w:spacing w:val="40"/>
        </w:rPr>
        <w:t xml:space="preserve"> </w:t>
      </w:r>
      <w:r>
        <w:t>subject</w:t>
      </w:r>
      <w:r>
        <w:rPr>
          <w:spacing w:val="40"/>
        </w:rPr>
        <w:t xml:space="preserve"> </w:t>
      </w:r>
      <w:r>
        <w:t>to</w:t>
      </w:r>
      <w:r>
        <w:rPr>
          <w:spacing w:val="40"/>
        </w:rPr>
        <w:t xml:space="preserve"> </w:t>
      </w:r>
      <w:r>
        <w:t>the</w:t>
      </w:r>
      <w:r>
        <w:rPr>
          <w:spacing w:val="40"/>
        </w:rPr>
        <w:t xml:space="preserve"> </w:t>
      </w:r>
      <w:r>
        <w:t>investigation</w:t>
      </w:r>
      <w:r>
        <w:rPr>
          <w:spacing w:val="40"/>
        </w:rPr>
        <w:t xml:space="preserve"> </w:t>
      </w:r>
      <w:r>
        <w:t>request</w:t>
      </w:r>
      <w:r>
        <w:rPr>
          <w:spacing w:val="40"/>
        </w:rPr>
        <w:t xml:space="preserve"> </w:t>
      </w:r>
      <w:r>
        <w:t>and domestic like products</w:t>
      </w:r>
      <w:r>
        <w:rPr>
          <w:vertAlign w:val="superscript"/>
        </w:rPr>
        <w:t>672</w:t>
      </w:r>
    </w:p>
    <w:p w14:paraId="51DE8EEF" w14:textId="77777777" w:rsidR="0010369C" w:rsidRDefault="0010369C">
      <w:pPr>
        <w:pStyle w:val="BodyText"/>
        <w:rPr>
          <w:b/>
          <w:sz w:val="20"/>
        </w:rPr>
      </w:pPr>
    </w:p>
    <w:p w14:paraId="51DE8EF0" w14:textId="77777777" w:rsidR="0010369C" w:rsidRDefault="0010369C">
      <w:pPr>
        <w:pStyle w:val="BodyText"/>
        <w:rPr>
          <w:b/>
          <w:sz w:val="20"/>
        </w:rPr>
      </w:pPr>
    </w:p>
    <w:p w14:paraId="51DE8EF1" w14:textId="77777777" w:rsidR="0010369C" w:rsidRDefault="0010369C">
      <w:pPr>
        <w:pStyle w:val="BodyText"/>
        <w:spacing w:before="11"/>
        <w:rPr>
          <w:b/>
          <w:sz w:val="17"/>
        </w:rPr>
      </w:pPr>
    </w:p>
    <w:p w14:paraId="51DE8EF2" w14:textId="77777777" w:rsidR="0010369C" w:rsidRDefault="008E43AE">
      <w:pPr>
        <w:pStyle w:val="BodyText"/>
        <w:spacing w:before="52" w:line="360" w:lineRule="auto"/>
        <w:ind w:left="237" w:right="613" w:firstLine="852"/>
        <w:jc w:val="both"/>
      </w:pPr>
      <w:r>
        <w:rPr>
          <w:noProof/>
        </w:rPr>
        <w:drawing>
          <wp:anchor distT="0" distB="0" distL="0" distR="0" simplePos="0" relativeHeight="251209216" behindDoc="1" locked="0" layoutInCell="1" allowOverlap="1" wp14:anchorId="51DEA49F" wp14:editId="51DEA4A0">
            <wp:simplePos x="0" y="0"/>
            <wp:positionH relativeFrom="page">
              <wp:posOffset>902208</wp:posOffset>
            </wp:positionH>
            <wp:positionV relativeFrom="paragraph">
              <wp:posOffset>81357</wp:posOffset>
            </wp:positionV>
            <wp:extent cx="262127" cy="103631"/>
            <wp:effectExtent l="0" t="0" r="0" b="0"/>
            <wp:wrapNone/>
            <wp:docPr id="1161" name="image5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 name="image597.png"/>
                    <pic:cNvPicPr/>
                  </pic:nvPicPr>
                  <pic:blipFill>
                    <a:blip r:embed="rId781" cstate="print"/>
                    <a:stretch>
                      <a:fillRect/>
                    </a:stretch>
                  </pic:blipFill>
                  <pic:spPr>
                    <a:xfrm>
                      <a:off x="0" y="0"/>
                      <a:ext cx="262127" cy="103631"/>
                    </a:xfrm>
                    <a:prstGeom prst="rect">
                      <a:avLst/>
                    </a:prstGeom>
                  </pic:spPr>
                </pic:pic>
              </a:graphicData>
            </a:graphic>
          </wp:anchor>
        </w:drawing>
      </w:r>
      <w:r>
        <w:t>This evidence clearly demonstrates that the basket of domestic like products consisted of different product types and/or categories — e.g. hig</w:t>
      </w:r>
      <w:r>
        <w:t>h‐end and medium‐to‐low end products — distinguished by considerable differences in price. Additionally, this information</w:t>
      </w:r>
      <w:r>
        <w:rPr>
          <w:spacing w:val="-2"/>
        </w:rPr>
        <w:t xml:space="preserve"> </w:t>
      </w:r>
      <w:r>
        <w:t>demonstrates</w:t>
      </w:r>
      <w:r>
        <w:rPr>
          <w:spacing w:val="-1"/>
        </w:rPr>
        <w:t xml:space="preserve"> </w:t>
      </w:r>
      <w:r>
        <w:t>different price trends</w:t>
      </w:r>
      <w:r>
        <w:rPr>
          <w:spacing w:val="-3"/>
        </w:rPr>
        <w:t xml:space="preserve"> </w:t>
      </w:r>
      <w:r>
        <w:t>over</w:t>
      </w:r>
      <w:r>
        <w:rPr>
          <w:spacing w:val="-1"/>
        </w:rPr>
        <w:t xml:space="preserve"> </w:t>
      </w:r>
      <w:r>
        <w:t>the</w:t>
      </w:r>
      <w:r>
        <w:rPr>
          <w:spacing w:val="-1"/>
        </w:rPr>
        <w:t xml:space="preserve"> </w:t>
      </w:r>
      <w:r>
        <w:t>Injury</w:t>
      </w:r>
      <w:r>
        <w:rPr>
          <w:spacing w:val="-1"/>
        </w:rPr>
        <w:t xml:space="preserve"> </w:t>
      </w:r>
      <w:r>
        <w:t>POI</w:t>
      </w:r>
      <w:r>
        <w:rPr>
          <w:spacing w:val="-2"/>
        </w:rPr>
        <w:t xml:space="preserve"> </w:t>
      </w:r>
      <w:r>
        <w:t>between</w:t>
      </w:r>
      <w:r>
        <w:rPr>
          <w:spacing w:val="-1"/>
        </w:rPr>
        <w:t xml:space="preserve"> </w:t>
      </w:r>
      <w:r>
        <w:t>the</w:t>
      </w:r>
      <w:r>
        <w:rPr>
          <w:spacing w:val="-1"/>
        </w:rPr>
        <w:t xml:space="preserve"> </w:t>
      </w:r>
      <w:r>
        <w:t>two</w:t>
      </w:r>
      <w:r>
        <w:rPr>
          <w:spacing w:val="-1"/>
        </w:rPr>
        <w:t xml:space="preserve"> </w:t>
      </w:r>
      <w:r>
        <w:t xml:space="preserve">groups of quality categories. While high‐end prices decreased </w:t>
      </w:r>
      <w:r>
        <w:t>by 34.85% over the period, medium‐ to‐low end prices increased by 14.29%. This shows, for example, that differences in the product</w:t>
      </w:r>
      <w:r>
        <w:rPr>
          <w:spacing w:val="-8"/>
        </w:rPr>
        <w:t xml:space="preserve"> </w:t>
      </w:r>
      <w:r>
        <w:t>mix</w:t>
      </w:r>
      <w:r>
        <w:rPr>
          <w:spacing w:val="-9"/>
        </w:rPr>
        <w:t xml:space="preserve"> </w:t>
      </w:r>
      <w:r>
        <w:t>composition</w:t>
      </w:r>
      <w:r>
        <w:rPr>
          <w:spacing w:val="-10"/>
        </w:rPr>
        <w:t xml:space="preserve"> </w:t>
      </w:r>
      <w:r>
        <w:t>between</w:t>
      </w:r>
      <w:r>
        <w:rPr>
          <w:spacing w:val="-9"/>
        </w:rPr>
        <w:t xml:space="preserve"> </w:t>
      </w:r>
      <w:r>
        <w:t>just</w:t>
      </w:r>
      <w:r>
        <w:rPr>
          <w:spacing w:val="-8"/>
        </w:rPr>
        <w:t xml:space="preserve"> </w:t>
      </w:r>
      <w:r>
        <w:t>these</w:t>
      </w:r>
      <w:r>
        <w:rPr>
          <w:spacing w:val="-8"/>
        </w:rPr>
        <w:t xml:space="preserve"> </w:t>
      </w:r>
      <w:r>
        <w:t>two</w:t>
      </w:r>
      <w:r>
        <w:rPr>
          <w:spacing w:val="-9"/>
        </w:rPr>
        <w:t xml:space="preserve"> </w:t>
      </w:r>
      <w:r>
        <w:t>broad</w:t>
      </w:r>
      <w:r>
        <w:rPr>
          <w:spacing w:val="-8"/>
        </w:rPr>
        <w:t xml:space="preserve"> </w:t>
      </w:r>
      <w:r>
        <w:t>groups</w:t>
      </w:r>
      <w:r>
        <w:rPr>
          <w:spacing w:val="-9"/>
        </w:rPr>
        <w:t xml:space="preserve"> </w:t>
      </w:r>
      <w:r>
        <w:t>of</w:t>
      </w:r>
      <w:r>
        <w:rPr>
          <w:spacing w:val="-9"/>
        </w:rPr>
        <w:t xml:space="preserve"> </w:t>
      </w:r>
      <w:r>
        <w:t>quality</w:t>
      </w:r>
      <w:r>
        <w:rPr>
          <w:spacing w:val="-9"/>
        </w:rPr>
        <w:t xml:space="preserve"> </w:t>
      </w:r>
      <w:r>
        <w:t>categories,</w:t>
      </w:r>
      <w:r>
        <w:rPr>
          <w:spacing w:val="-9"/>
        </w:rPr>
        <w:t xml:space="preserve"> </w:t>
      </w:r>
      <w:r>
        <w:t>let</w:t>
      </w:r>
      <w:r>
        <w:rPr>
          <w:spacing w:val="-9"/>
        </w:rPr>
        <w:t xml:space="preserve"> </w:t>
      </w:r>
      <w:r>
        <w:t>alone between</w:t>
      </w:r>
      <w:r>
        <w:rPr>
          <w:spacing w:val="-6"/>
        </w:rPr>
        <w:t xml:space="preserve"> </w:t>
      </w:r>
      <w:r>
        <w:t>the</w:t>
      </w:r>
      <w:r>
        <w:rPr>
          <w:spacing w:val="-6"/>
        </w:rPr>
        <w:t xml:space="preserve"> </w:t>
      </w:r>
      <w:r>
        <w:t>basket</w:t>
      </w:r>
      <w:r>
        <w:rPr>
          <w:spacing w:val="-6"/>
        </w:rPr>
        <w:t xml:space="preserve"> </w:t>
      </w:r>
      <w:r>
        <w:t>of</w:t>
      </w:r>
      <w:r>
        <w:rPr>
          <w:spacing w:val="-6"/>
        </w:rPr>
        <w:t xml:space="preserve"> </w:t>
      </w:r>
      <w:r>
        <w:t>subject</w:t>
      </w:r>
      <w:r>
        <w:rPr>
          <w:spacing w:val="-6"/>
        </w:rPr>
        <w:t xml:space="preserve"> </w:t>
      </w:r>
      <w:r>
        <w:t>imports</w:t>
      </w:r>
      <w:r>
        <w:rPr>
          <w:spacing w:val="-6"/>
        </w:rPr>
        <w:t xml:space="preserve"> </w:t>
      </w:r>
      <w:r>
        <w:t>and</w:t>
      </w:r>
      <w:r>
        <w:rPr>
          <w:spacing w:val="-6"/>
        </w:rPr>
        <w:t xml:space="preserve"> </w:t>
      </w:r>
      <w:r>
        <w:t>the</w:t>
      </w:r>
      <w:r>
        <w:rPr>
          <w:spacing w:val="-5"/>
        </w:rPr>
        <w:t xml:space="preserve"> </w:t>
      </w:r>
      <w:r>
        <w:t>basket</w:t>
      </w:r>
      <w:r>
        <w:rPr>
          <w:spacing w:val="-6"/>
        </w:rPr>
        <w:t xml:space="preserve"> </w:t>
      </w:r>
      <w:r>
        <w:t>of</w:t>
      </w:r>
      <w:r>
        <w:rPr>
          <w:spacing w:val="-6"/>
        </w:rPr>
        <w:t xml:space="preserve"> </w:t>
      </w:r>
      <w:r>
        <w:t>domestic</w:t>
      </w:r>
      <w:r>
        <w:rPr>
          <w:spacing w:val="-5"/>
        </w:rPr>
        <w:t xml:space="preserve"> </w:t>
      </w:r>
      <w:r>
        <w:t>like</w:t>
      </w:r>
      <w:r>
        <w:rPr>
          <w:spacing w:val="-5"/>
        </w:rPr>
        <w:t xml:space="preserve"> </w:t>
      </w:r>
      <w:r>
        <w:t>products,</w:t>
      </w:r>
      <w:r>
        <w:rPr>
          <w:spacing w:val="-5"/>
        </w:rPr>
        <w:t xml:space="preserve"> </w:t>
      </w:r>
      <w:r>
        <w:t>could</w:t>
      </w:r>
      <w:r>
        <w:rPr>
          <w:spacing w:val="-6"/>
        </w:rPr>
        <w:t xml:space="preserve"> </w:t>
      </w:r>
      <w:r>
        <w:t>have</w:t>
      </w:r>
      <w:r>
        <w:rPr>
          <w:spacing w:val="-5"/>
        </w:rPr>
        <w:t xml:space="preserve"> </w:t>
      </w:r>
      <w:r>
        <w:t>a material impact, separate from other market factors, on the price trends examined for the purposes</w:t>
      </w:r>
      <w:r>
        <w:rPr>
          <w:spacing w:val="-1"/>
        </w:rPr>
        <w:t xml:space="preserve"> </w:t>
      </w:r>
      <w:r>
        <w:t>of</w:t>
      </w:r>
      <w:r>
        <w:rPr>
          <w:spacing w:val="-3"/>
        </w:rPr>
        <w:t xml:space="preserve"> </w:t>
      </w:r>
      <w:r>
        <w:t>its</w:t>
      </w:r>
      <w:r>
        <w:rPr>
          <w:spacing w:val="-2"/>
        </w:rPr>
        <w:t xml:space="preserve"> </w:t>
      </w:r>
      <w:r>
        <w:t>price</w:t>
      </w:r>
      <w:r>
        <w:rPr>
          <w:spacing w:val="-2"/>
        </w:rPr>
        <w:t xml:space="preserve"> </w:t>
      </w:r>
      <w:r>
        <w:t>effects</w:t>
      </w:r>
      <w:r>
        <w:rPr>
          <w:spacing w:val="-2"/>
        </w:rPr>
        <w:t xml:space="preserve"> </w:t>
      </w:r>
      <w:r>
        <w:t>analysis.</w:t>
      </w:r>
      <w:r>
        <w:rPr>
          <w:spacing w:val="-3"/>
        </w:rPr>
        <w:t xml:space="preserve"> </w:t>
      </w:r>
      <w:r>
        <w:t>MOFCOM</w:t>
      </w:r>
      <w:r>
        <w:rPr>
          <w:spacing w:val="-1"/>
        </w:rPr>
        <w:t xml:space="preserve"> </w:t>
      </w:r>
      <w:r>
        <w:t>did</w:t>
      </w:r>
      <w:r>
        <w:rPr>
          <w:spacing w:val="-2"/>
        </w:rPr>
        <w:t xml:space="preserve"> </w:t>
      </w:r>
      <w:r>
        <w:t>not</w:t>
      </w:r>
      <w:r>
        <w:rPr>
          <w:spacing w:val="-1"/>
        </w:rPr>
        <w:t xml:space="preserve"> </w:t>
      </w:r>
      <w:r>
        <w:t>consider</w:t>
      </w:r>
      <w:r>
        <w:rPr>
          <w:spacing w:val="-1"/>
        </w:rPr>
        <w:t xml:space="preserve"> </w:t>
      </w:r>
      <w:r>
        <w:t>this</w:t>
      </w:r>
      <w:r>
        <w:rPr>
          <w:spacing w:val="-2"/>
        </w:rPr>
        <w:t xml:space="preserve"> </w:t>
      </w:r>
      <w:r>
        <w:t>evidence</w:t>
      </w:r>
      <w:r>
        <w:rPr>
          <w:spacing w:val="-3"/>
        </w:rPr>
        <w:t xml:space="preserve"> </w:t>
      </w:r>
      <w:r>
        <w:t>or</w:t>
      </w:r>
      <w:r>
        <w:rPr>
          <w:spacing w:val="-1"/>
        </w:rPr>
        <w:t xml:space="preserve"> </w:t>
      </w:r>
      <w:r>
        <w:t>explain</w:t>
      </w:r>
      <w:r>
        <w:rPr>
          <w:spacing w:val="-2"/>
        </w:rPr>
        <w:t xml:space="preserve"> </w:t>
      </w:r>
      <w:r>
        <w:t>how it was tak</w:t>
      </w:r>
      <w:r>
        <w:t>en into account in its determination that all subject wine products from Australia compete with all domestic like wine products.</w:t>
      </w:r>
    </w:p>
    <w:p w14:paraId="51DE8EF3" w14:textId="77777777" w:rsidR="0010369C" w:rsidRDefault="0010369C">
      <w:pPr>
        <w:pStyle w:val="BodyText"/>
        <w:rPr>
          <w:sz w:val="20"/>
        </w:rPr>
      </w:pPr>
    </w:p>
    <w:p w14:paraId="51DE8EF4" w14:textId="77777777" w:rsidR="0010369C" w:rsidRDefault="008E43AE">
      <w:pPr>
        <w:pStyle w:val="BodyText"/>
        <w:spacing w:before="5"/>
        <w:rPr>
          <w:sz w:val="14"/>
        </w:rPr>
      </w:pPr>
      <w:r>
        <w:pict w14:anchorId="51DEA4A1">
          <v:rect id="docshape1060" o:spid="_x0000_s1319" style="position:absolute;margin-left:70.9pt;margin-top:10pt;width:2in;height:.8pt;z-index:-250829312;mso-wrap-distance-left:0;mso-wrap-distance-right:0;mso-position-horizontal-relative:page" fillcolor="black" stroked="f">
            <w10:wrap type="topAndBottom" anchorx="page"/>
          </v:rect>
        </w:pict>
      </w:r>
    </w:p>
    <w:p w14:paraId="51DE8EF5" w14:textId="77777777" w:rsidR="0010369C" w:rsidRDefault="008E43AE">
      <w:pPr>
        <w:spacing w:before="109"/>
        <w:ind w:left="238" w:right="612" w:hanging="1"/>
        <w:jc w:val="both"/>
        <w:rPr>
          <w:sz w:val="18"/>
        </w:rPr>
      </w:pPr>
      <w:r>
        <w:rPr>
          <w:sz w:val="18"/>
          <w:vertAlign w:val="superscript"/>
        </w:rPr>
        <w:t>672</w:t>
      </w:r>
      <w:r>
        <w:rPr>
          <w:spacing w:val="-2"/>
          <w:sz w:val="18"/>
        </w:rPr>
        <w:t xml:space="preserve"> </w:t>
      </w:r>
      <w:r>
        <w:rPr>
          <w:sz w:val="18"/>
        </w:rPr>
        <w:t>Figure</w:t>
      </w:r>
      <w:r>
        <w:rPr>
          <w:spacing w:val="-1"/>
          <w:sz w:val="18"/>
        </w:rPr>
        <w:t xml:space="preserve"> </w:t>
      </w:r>
      <w:r>
        <w:rPr>
          <w:sz w:val="18"/>
        </w:rPr>
        <w:t>1</w:t>
      </w:r>
      <w:r>
        <w:rPr>
          <w:spacing w:val="-2"/>
          <w:sz w:val="18"/>
        </w:rPr>
        <w:t xml:space="preserve"> </w:t>
      </w:r>
      <w:r>
        <w:rPr>
          <w:sz w:val="18"/>
        </w:rPr>
        <w:t>Source:</w:t>
      </w:r>
      <w:r>
        <w:rPr>
          <w:spacing w:val="-2"/>
          <w:sz w:val="18"/>
        </w:rPr>
        <w:t xml:space="preserve"> </w:t>
      </w:r>
      <w:r>
        <w:rPr>
          <w:sz w:val="18"/>
        </w:rPr>
        <w:t>CADA,</w:t>
      </w:r>
      <w:r>
        <w:rPr>
          <w:spacing w:val="-3"/>
          <w:sz w:val="18"/>
        </w:rPr>
        <w:t xml:space="preserve"> </w:t>
      </w:r>
      <w:r>
        <w:rPr>
          <w:sz w:val="18"/>
        </w:rPr>
        <w:t>Application</w:t>
      </w:r>
      <w:r>
        <w:rPr>
          <w:spacing w:val="-2"/>
          <w:sz w:val="18"/>
        </w:rPr>
        <w:t xml:space="preserve"> </w:t>
      </w:r>
      <w:r>
        <w:rPr>
          <w:sz w:val="18"/>
        </w:rPr>
        <w:t>for</w:t>
      </w:r>
      <w:r>
        <w:rPr>
          <w:spacing w:val="-3"/>
          <w:sz w:val="18"/>
        </w:rPr>
        <w:t xml:space="preserve"> </w:t>
      </w:r>
      <w:r>
        <w:rPr>
          <w:sz w:val="18"/>
        </w:rPr>
        <w:t>Initiation</w:t>
      </w:r>
      <w:r>
        <w:rPr>
          <w:spacing w:val="-1"/>
          <w:sz w:val="18"/>
        </w:rPr>
        <w:t xml:space="preserve"> </w:t>
      </w:r>
      <w:r>
        <w:rPr>
          <w:sz w:val="18"/>
        </w:rPr>
        <w:t>of</w:t>
      </w:r>
      <w:r>
        <w:rPr>
          <w:spacing w:val="-2"/>
          <w:sz w:val="18"/>
        </w:rPr>
        <w:t xml:space="preserve"> </w:t>
      </w:r>
      <w:r>
        <w:rPr>
          <w:sz w:val="18"/>
        </w:rPr>
        <w:t>Anti‐Dumping</w:t>
      </w:r>
      <w:r>
        <w:rPr>
          <w:spacing w:val="-2"/>
          <w:sz w:val="18"/>
        </w:rPr>
        <w:t xml:space="preserve"> </w:t>
      </w:r>
      <w:r>
        <w:rPr>
          <w:sz w:val="18"/>
        </w:rPr>
        <w:t>Investigation,</w:t>
      </w:r>
      <w:r>
        <w:rPr>
          <w:spacing w:val="-3"/>
          <w:sz w:val="18"/>
        </w:rPr>
        <w:t xml:space="preserve"> </w:t>
      </w:r>
      <w:r>
        <w:rPr>
          <w:sz w:val="18"/>
        </w:rPr>
        <w:t>p.</w:t>
      </w:r>
      <w:r>
        <w:rPr>
          <w:spacing w:val="-2"/>
          <w:sz w:val="18"/>
        </w:rPr>
        <w:t xml:space="preserve"> </w:t>
      </w:r>
      <w:r>
        <w:rPr>
          <w:sz w:val="18"/>
        </w:rPr>
        <w:t>56.</w:t>
      </w:r>
      <w:r>
        <w:rPr>
          <w:spacing w:val="-2"/>
          <w:sz w:val="18"/>
        </w:rPr>
        <w:t xml:space="preserve"> </w:t>
      </w:r>
      <w:r>
        <w:rPr>
          <w:sz w:val="18"/>
        </w:rPr>
        <w:t>See</w:t>
      </w:r>
      <w:r>
        <w:rPr>
          <w:spacing w:val="-2"/>
          <w:sz w:val="18"/>
        </w:rPr>
        <w:t xml:space="preserve"> </w:t>
      </w:r>
      <w:r>
        <w:rPr>
          <w:sz w:val="18"/>
        </w:rPr>
        <w:t>also</w:t>
      </w:r>
      <w:r>
        <w:rPr>
          <w:spacing w:val="-3"/>
          <w:sz w:val="18"/>
        </w:rPr>
        <w:t xml:space="preserve"> </w:t>
      </w:r>
      <w:r>
        <w:rPr>
          <w:sz w:val="18"/>
        </w:rPr>
        <w:t>CADA</w:t>
      </w:r>
      <w:r>
        <w:rPr>
          <w:spacing w:val="-2"/>
          <w:sz w:val="18"/>
        </w:rPr>
        <w:t xml:space="preserve"> </w:t>
      </w:r>
      <w:r>
        <w:rPr>
          <w:sz w:val="18"/>
        </w:rPr>
        <w:t>Application</w:t>
      </w:r>
      <w:r>
        <w:rPr>
          <w:spacing w:val="-3"/>
          <w:sz w:val="18"/>
        </w:rPr>
        <w:t xml:space="preserve"> </w:t>
      </w:r>
      <w:r>
        <w:rPr>
          <w:sz w:val="18"/>
        </w:rPr>
        <w:t>for</w:t>
      </w:r>
      <w:r>
        <w:rPr>
          <w:spacing w:val="-3"/>
          <w:sz w:val="18"/>
        </w:rPr>
        <w:t xml:space="preserve"> </w:t>
      </w:r>
      <w:r>
        <w:rPr>
          <w:sz w:val="18"/>
        </w:rPr>
        <w:t>Anti‐ Dumping</w:t>
      </w:r>
      <w:r>
        <w:rPr>
          <w:spacing w:val="-5"/>
          <w:sz w:val="18"/>
        </w:rPr>
        <w:t xml:space="preserve"> </w:t>
      </w:r>
      <w:r>
        <w:rPr>
          <w:sz w:val="18"/>
        </w:rPr>
        <w:t>Investigation,</w:t>
      </w:r>
      <w:r>
        <w:rPr>
          <w:spacing w:val="-7"/>
          <w:sz w:val="18"/>
        </w:rPr>
        <w:t xml:space="preserve"> </w:t>
      </w:r>
      <w:r>
        <w:rPr>
          <w:sz w:val="18"/>
        </w:rPr>
        <w:t>Annexes</w:t>
      </w:r>
      <w:r>
        <w:rPr>
          <w:spacing w:val="-7"/>
          <w:sz w:val="18"/>
        </w:rPr>
        <w:t xml:space="preserve"> </w:t>
      </w:r>
      <w:r>
        <w:rPr>
          <w:sz w:val="18"/>
        </w:rPr>
        <w:t>1‐12</w:t>
      </w:r>
      <w:r>
        <w:rPr>
          <w:spacing w:val="-6"/>
          <w:sz w:val="18"/>
        </w:rPr>
        <w:t xml:space="preserve"> </w:t>
      </w:r>
      <w:r>
        <w:rPr>
          <w:sz w:val="18"/>
        </w:rPr>
        <w:t>(Part</w:t>
      </w:r>
      <w:r>
        <w:rPr>
          <w:spacing w:val="-6"/>
          <w:sz w:val="18"/>
        </w:rPr>
        <w:t xml:space="preserve"> </w:t>
      </w:r>
      <w:r>
        <w:rPr>
          <w:sz w:val="18"/>
        </w:rPr>
        <w:t>2)</w:t>
      </w:r>
      <w:r>
        <w:rPr>
          <w:spacing w:val="-5"/>
          <w:sz w:val="18"/>
        </w:rPr>
        <w:t xml:space="preserve"> </w:t>
      </w:r>
      <w:r>
        <w:rPr>
          <w:sz w:val="18"/>
        </w:rPr>
        <w:t>(Exhibit</w:t>
      </w:r>
      <w:r>
        <w:rPr>
          <w:spacing w:val="-6"/>
          <w:sz w:val="18"/>
        </w:rPr>
        <w:t xml:space="preserve"> </w:t>
      </w:r>
      <w:r>
        <w:rPr>
          <w:sz w:val="18"/>
        </w:rPr>
        <w:t>AUS‐66),</w:t>
      </w:r>
      <w:r>
        <w:rPr>
          <w:spacing w:val="-7"/>
          <w:sz w:val="18"/>
        </w:rPr>
        <w:t xml:space="preserve"> </w:t>
      </w:r>
      <w:r>
        <w:rPr>
          <w:sz w:val="18"/>
        </w:rPr>
        <w:t>Annex</w:t>
      </w:r>
      <w:r>
        <w:rPr>
          <w:spacing w:val="-6"/>
          <w:sz w:val="18"/>
        </w:rPr>
        <w:t xml:space="preserve"> </w:t>
      </w:r>
      <w:r>
        <w:rPr>
          <w:sz w:val="18"/>
        </w:rPr>
        <w:t>12,</w:t>
      </w:r>
      <w:r>
        <w:rPr>
          <w:spacing w:val="-7"/>
          <w:sz w:val="18"/>
        </w:rPr>
        <w:t xml:space="preserve"> </w:t>
      </w:r>
      <w:r>
        <w:rPr>
          <w:sz w:val="18"/>
        </w:rPr>
        <w:t>pp.</w:t>
      </w:r>
      <w:r>
        <w:rPr>
          <w:spacing w:val="-6"/>
          <w:sz w:val="18"/>
        </w:rPr>
        <w:t xml:space="preserve"> </w:t>
      </w:r>
      <w:r>
        <w:rPr>
          <w:sz w:val="18"/>
        </w:rPr>
        <w:t>64</w:t>
      </w:r>
      <w:r>
        <w:rPr>
          <w:spacing w:val="-6"/>
          <w:sz w:val="18"/>
        </w:rPr>
        <w:t xml:space="preserve"> </w:t>
      </w:r>
      <w:r>
        <w:rPr>
          <w:sz w:val="18"/>
        </w:rPr>
        <w:t>–</w:t>
      </w:r>
      <w:r>
        <w:rPr>
          <w:spacing w:val="-6"/>
          <w:sz w:val="18"/>
        </w:rPr>
        <w:t xml:space="preserve"> </w:t>
      </w:r>
      <w:r>
        <w:rPr>
          <w:sz w:val="18"/>
        </w:rPr>
        <w:t>128,</w:t>
      </w:r>
      <w:r>
        <w:rPr>
          <w:spacing w:val="-7"/>
          <w:sz w:val="18"/>
        </w:rPr>
        <w:t xml:space="preserve"> </w:t>
      </w:r>
      <w:r>
        <w:rPr>
          <w:sz w:val="18"/>
        </w:rPr>
        <w:t>which</w:t>
      </w:r>
      <w:r>
        <w:rPr>
          <w:spacing w:val="-6"/>
          <w:sz w:val="18"/>
        </w:rPr>
        <w:t xml:space="preserve"> </w:t>
      </w:r>
      <w:r>
        <w:rPr>
          <w:sz w:val="18"/>
        </w:rPr>
        <w:t>Australia</w:t>
      </w:r>
      <w:r>
        <w:rPr>
          <w:spacing w:val="-6"/>
          <w:sz w:val="18"/>
        </w:rPr>
        <w:t xml:space="preserve"> </w:t>
      </w:r>
      <w:r>
        <w:rPr>
          <w:sz w:val="18"/>
        </w:rPr>
        <w:t>understands</w:t>
      </w:r>
      <w:r>
        <w:rPr>
          <w:spacing w:val="-5"/>
          <w:sz w:val="18"/>
        </w:rPr>
        <w:t xml:space="preserve"> </w:t>
      </w:r>
      <w:r>
        <w:rPr>
          <w:sz w:val="18"/>
        </w:rPr>
        <w:t>provides the data underlying these average price figures.</w:t>
      </w:r>
    </w:p>
    <w:p w14:paraId="51DE8EF6" w14:textId="77777777" w:rsidR="0010369C" w:rsidRDefault="0010369C">
      <w:pPr>
        <w:jc w:val="both"/>
        <w:rPr>
          <w:sz w:val="18"/>
        </w:rPr>
        <w:sectPr w:rsidR="0010369C">
          <w:headerReference w:type="default" r:id="rId782"/>
          <w:footerReference w:type="default" r:id="rId783"/>
          <w:pgSz w:w="11910" w:h="16840"/>
          <w:pgMar w:top="880" w:right="800" w:bottom="980" w:left="1180" w:header="569" w:footer="788" w:gutter="0"/>
          <w:cols w:space="720"/>
        </w:sectPr>
      </w:pPr>
    </w:p>
    <w:p w14:paraId="51DE8EF7" w14:textId="77777777" w:rsidR="0010369C" w:rsidRDefault="008E43AE">
      <w:pPr>
        <w:tabs>
          <w:tab w:val="left" w:pos="6425"/>
        </w:tabs>
        <w:ind w:left="238"/>
        <w:jc w:val="both"/>
        <w:rPr>
          <w:sz w:val="20"/>
        </w:rPr>
      </w:pPr>
      <w:r>
        <w:rPr>
          <w:i/>
          <w:sz w:val="20"/>
        </w:rPr>
        <w:lastRenderedPageBreak/>
        <w:t>China</w:t>
      </w:r>
      <w:r>
        <w:rPr>
          <w:i/>
          <w:spacing w:val="-5"/>
          <w:sz w:val="20"/>
        </w:rPr>
        <w:t xml:space="preserve"> </w:t>
      </w:r>
      <w:r>
        <w:rPr>
          <w:i/>
          <w:sz w:val="20"/>
        </w:rPr>
        <w:t>–</w:t>
      </w:r>
      <w:r>
        <w:rPr>
          <w:i/>
          <w:spacing w:val="-5"/>
          <w:sz w:val="20"/>
        </w:rPr>
        <w:t xml:space="preserve"> </w:t>
      </w:r>
      <w:r>
        <w:rPr>
          <w:i/>
          <w:sz w:val="20"/>
        </w:rPr>
        <w:t>Anti‐Dumping</w:t>
      </w:r>
      <w:r>
        <w:rPr>
          <w:i/>
          <w:spacing w:val="-4"/>
          <w:sz w:val="20"/>
        </w:rPr>
        <w:t xml:space="preserve"> </w:t>
      </w:r>
      <w:r>
        <w:rPr>
          <w:i/>
          <w:sz w:val="20"/>
        </w:rPr>
        <w:t>and</w:t>
      </w:r>
      <w:r>
        <w:rPr>
          <w:i/>
          <w:spacing w:val="-5"/>
          <w:sz w:val="20"/>
        </w:rPr>
        <w:t xml:space="preserve"> </w:t>
      </w:r>
      <w:r>
        <w:rPr>
          <w:i/>
          <w:sz w:val="20"/>
        </w:rPr>
        <w:t>Countervailing</w:t>
      </w:r>
      <w:r>
        <w:rPr>
          <w:i/>
          <w:spacing w:val="-5"/>
          <w:sz w:val="20"/>
        </w:rPr>
        <w:t xml:space="preserve"> </w:t>
      </w:r>
      <w:r>
        <w:rPr>
          <w:i/>
          <w:sz w:val="20"/>
        </w:rPr>
        <w:t>Duty</w:t>
      </w:r>
      <w:r>
        <w:rPr>
          <w:i/>
          <w:spacing w:val="-4"/>
          <w:sz w:val="20"/>
        </w:rPr>
        <w:t xml:space="preserve"> </w:t>
      </w:r>
      <w:r>
        <w:rPr>
          <w:i/>
          <w:spacing w:val="-2"/>
          <w:sz w:val="20"/>
        </w:rPr>
        <w:t>Measures</w:t>
      </w:r>
      <w:r>
        <w:rPr>
          <w:i/>
          <w:sz w:val="20"/>
        </w:rPr>
        <w:tab/>
      </w:r>
      <w:r>
        <w:rPr>
          <w:sz w:val="20"/>
        </w:rPr>
        <w:t>Australia's</w:t>
      </w:r>
      <w:r>
        <w:rPr>
          <w:spacing w:val="-7"/>
          <w:sz w:val="20"/>
        </w:rPr>
        <w:t xml:space="preserve"> </w:t>
      </w:r>
      <w:r>
        <w:rPr>
          <w:sz w:val="20"/>
        </w:rPr>
        <w:t>First</w:t>
      </w:r>
      <w:r>
        <w:rPr>
          <w:spacing w:val="-2"/>
          <w:sz w:val="20"/>
        </w:rPr>
        <w:t xml:space="preserve"> </w:t>
      </w:r>
      <w:r>
        <w:rPr>
          <w:sz w:val="20"/>
        </w:rPr>
        <w:t>Written</w:t>
      </w:r>
      <w:r>
        <w:rPr>
          <w:spacing w:val="-2"/>
          <w:sz w:val="20"/>
        </w:rPr>
        <w:t xml:space="preserve"> Submission</w:t>
      </w:r>
    </w:p>
    <w:p w14:paraId="51DE8EF8" w14:textId="77777777" w:rsidR="0010369C" w:rsidRDefault="008E43AE">
      <w:pPr>
        <w:tabs>
          <w:tab w:val="left" w:pos="8227"/>
        </w:tabs>
        <w:spacing w:before="1"/>
        <w:ind w:left="239"/>
        <w:jc w:val="both"/>
        <w:rPr>
          <w:sz w:val="20"/>
        </w:rPr>
      </w:pPr>
      <w:r>
        <w:rPr>
          <w:i/>
          <w:sz w:val="20"/>
        </w:rPr>
        <w:t>on</w:t>
      </w:r>
      <w:r>
        <w:rPr>
          <w:i/>
          <w:spacing w:val="-1"/>
          <w:sz w:val="20"/>
        </w:rPr>
        <w:t xml:space="preserve"> </w:t>
      </w:r>
      <w:r>
        <w:rPr>
          <w:i/>
          <w:sz w:val="20"/>
        </w:rPr>
        <w:t>Wine</w:t>
      </w:r>
      <w:r>
        <w:rPr>
          <w:i/>
          <w:spacing w:val="-1"/>
          <w:sz w:val="20"/>
        </w:rPr>
        <w:t xml:space="preserve"> </w:t>
      </w:r>
      <w:r>
        <w:rPr>
          <w:i/>
          <w:sz w:val="20"/>
        </w:rPr>
        <w:t>from</w:t>
      </w:r>
      <w:r>
        <w:rPr>
          <w:i/>
          <w:spacing w:val="-3"/>
          <w:sz w:val="20"/>
        </w:rPr>
        <w:t xml:space="preserve"> </w:t>
      </w:r>
      <w:r>
        <w:rPr>
          <w:i/>
          <w:sz w:val="20"/>
        </w:rPr>
        <w:t>Australia</w:t>
      </w:r>
      <w:r>
        <w:rPr>
          <w:i/>
          <w:spacing w:val="-1"/>
          <w:sz w:val="20"/>
        </w:rPr>
        <w:t xml:space="preserve"> </w:t>
      </w:r>
      <w:r>
        <w:rPr>
          <w:spacing w:val="-2"/>
          <w:sz w:val="20"/>
        </w:rPr>
        <w:t>(DS602)</w:t>
      </w:r>
      <w:r>
        <w:rPr>
          <w:sz w:val="20"/>
        </w:rPr>
        <w:tab/>
        <w:t>29</w:t>
      </w:r>
      <w:r>
        <w:rPr>
          <w:spacing w:val="-1"/>
          <w:sz w:val="20"/>
        </w:rPr>
        <w:t xml:space="preserve"> </w:t>
      </w:r>
      <w:r>
        <w:rPr>
          <w:sz w:val="20"/>
        </w:rPr>
        <w:t>April</w:t>
      </w:r>
      <w:r>
        <w:rPr>
          <w:spacing w:val="-2"/>
          <w:sz w:val="20"/>
        </w:rPr>
        <w:t xml:space="preserve"> </w:t>
      </w:r>
      <w:r>
        <w:rPr>
          <w:spacing w:val="-4"/>
          <w:sz w:val="20"/>
        </w:rPr>
        <w:t>2022</w:t>
      </w:r>
    </w:p>
    <w:p w14:paraId="51DE8EF9" w14:textId="77777777" w:rsidR="0010369C" w:rsidRDefault="008E43AE">
      <w:pPr>
        <w:pStyle w:val="BodyText"/>
        <w:spacing w:before="34" w:line="360" w:lineRule="auto"/>
        <w:ind w:left="236" w:right="613" w:firstLine="852"/>
        <w:jc w:val="both"/>
      </w:pPr>
      <w:r>
        <w:rPr>
          <w:noProof/>
        </w:rPr>
        <w:drawing>
          <wp:anchor distT="0" distB="0" distL="0" distR="0" simplePos="0" relativeHeight="251210240" behindDoc="1" locked="0" layoutInCell="1" allowOverlap="1" wp14:anchorId="51DEA4A2" wp14:editId="51DEA4A3">
            <wp:simplePos x="0" y="0"/>
            <wp:positionH relativeFrom="page">
              <wp:posOffset>902208</wp:posOffset>
            </wp:positionH>
            <wp:positionV relativeFrom="paragraph">
              <wp:posOffset>69165</wp:posOffset>
            </wp:positionV>
            <wp:extent cx="262127" cy="103631"/>
            <wp:effectExtent l="0" t="0" r="0" b="0"/>
            <wp:wrapNone/>
            <wp:docPr id="1163" name="image5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 name="image598.png"/>
                    <pic:cNvPicPr/>
                  </pic:nvPicPr>
                  <pic:blipFill>
                    <a:blip r:embed="rId784" cstate="print"/>
                    <a:stretch>
                      <a:fillRect/>
                    </a:stretch>
                  </pic:blipFill>
                  <pic:spPr>
                    <a:xfrm>
                      <a:off x="0" y="0"/>
                      <a:ext cx="262127" cy="103631"/>
                    </a:xfrm>
                    <a:prstGeom prst="rect">
                      <a:avLst/>
                    </a:prstGeom>
                  </pic:spPr>
                </pic:pic>
              </a:graphicData>
            </a:graphic>
          </wp:anchor>
        </w:drawing>
      </w:r>
      <w:r>
        <w:t>MOFCOM was required to ensure the price comparability of the prices of subject imports and the prices of domestic like products before undertaking its price effects analysis on the basis of average unit prices. It did not, in Australia's submission, need t</w:t>
      </w:r>
      <w:r>
        <w:t>o break the market down to the granular specificity required in MOFCOM's own Dumping PCN system. However,</w:t>
      </w:r>
      <w:r>
        <w:rPr>
          <w:spacing w:val="-2"/>
        </w:rPr>
        <w:t xml:space="preserve"> </w:t>
      </w:r>
      <w:r>
        <w:t>it</w:t>
      </w:r>
      <w:r>
        <w:rPr>
          <w:spacing w:val="-3"/>
        </w:rPr>
        <w:t xml:space="preserve"> </w:t>
      </w:r>
      <w:r>
        <w:t>did</w:t>
      </w:r>
      <w:r>
        <w:rPr>
          <w:spacing w:val="-2"/>
        </w:rPr>
        <w:t xml:space="preserve"> </w:t>
      </w:r>
      <w:r>
        <w:t>need</w:t>
      </w:r>
      <w:r>
        <w:rPr>
          <w:spacing w:val="-1"/>
        </w:rPr>
        <w:t xml:space="preserve"> </w:t>
      </w:r>
      <w:r>
        <w:t>to</w:t>
      </w:r>
      <w:r>
        <w:rPr>
          <w:spacing w:val="-2"/>
        </w:rPr>
        <w:t xml:space="preserve"> </w:t>
      </w:r>
      <w:r>
        <w:t>structure</w:t>
      </w:r>
      <w:r>
        <w:rPr>
          <w:spacing w:val="-1"/>
        </w:rPr>
        <w:t xml:space="preserve"> </w:t>
      </w:r>
      <w:r>
        <w:t>and</w:t>
      </w:r>
      <w:r>
        <w:rPr>
          <w:spacing w:val="-2"/>
        </w:rPr>
        <w:t xml:space="preserve"> </w:t>
      </w:r>
      <w:r>
        <w:t>conduct</w:t>
      </w:r>
      <w:r>
        <w:rPr>
          <w:spacing w:val="-2"/>
        </w:rPr>
        <w:t xml:space="preserve"> </w:t>
      </w:r>
      <w:r>
        <w:t>its</w:t>
      </w:r>
      <w:r>
        <w:rPr>
          <w:spacing w:val="-2"/>
        </w:rPr>
        <w:t xml:space="preserve"> </w:t>
      </w:r>
      <w:r>
        <w:t>analysis</w:t>
      </w:r>
      <w:r>
        <w:rPr>
          <w:spacing w:val="-2"/>
        </w:rPr>
        <w:t xml:space="preserve"> </w:t>
      </w:r>
      <w:r>
        <w:t>in</w:t>
      </w:r>
      <w:r>
        <w:rPr>
          <w:spacing w:val="-3"/>
        </w:rPr>
        <w:t xml:space="preserve"> </w:t>
      </w:r>
      <w:r>
        <w:t>a</w:t>
      </w:r>
      <w:r>
        <w:rPr>
          <w:spacing w:val="-1"/>
        </w:rPr>
        <w:t xml:space="preserve"> </w:t>
      </w:r>
      <w:r>
        <w:t>manner</w:t>
      </w:r>
      <w:r>
        <w:rPr>
          <w:spacing w:val="-3"/>
        </w:rPr>
        <w:t xml:space="preserve"> </w:t>
      </w:r>
      <w:r>
        <w:t>that</w:t>
      </w:r>
      <w:r>
        <w:rPr>
          <w:spacing w:val="-2"/>
        </w:rPr>
        <w:t xml:space="preserve"> </w:t>
      </w:r>
      <w:r>
        <w:t>took</w:t>
      </w:r>
      <w:r>
        <w:rPr>
          <w:spacing w:val="-1"/>
        </w:rPr>
        <w:t xml:space="preserve"> </w:t>
      </w:r>
      <w:r>
        <w:t>into</w:t>
      </w:r>
      <w:r>
        <w:rPr>
          <w:spacing w:val="-2"/>
        </w:rPr>
        <w:t xml:space="preserve"> </w:t>
      </w:r>
      <w:r>
        <w:t>account the realities</w:t>
      </w:r>
      <w:r>
        <w:rPr>
          <w:spacing w:val="-1"/>
        </w:rPr>
        <w:t xml:space="preserve"> </w:t>
      </w:r>
      <w:r>
        <w:t>of the Chinese wine market, where different product</w:t>
      </w:r>
      <w:r>
        <w:t xml:space="preserve"> categories supply different market segments at considerably different price points, and adjust for the differences in the baskets</w:t>
      </w:r>
      <w:r>
        <w:rPr>
          <w:spacing w:val="-1"/>
        </w:rPr>
        <w:t xml:space="preserve"> </w:t>
      </w:r>
      <w:r>
        <w:t>of</w:t>
      </w:r>
      <w:r>
        <w:rPr>
          <w:spacing w:val="-1"/>
        </w:rPr>
        <w:t xml:space="preserve"> </w:t>
      </w:r>
      <w:r>
        <w:t>subject</w:t>
      </w:r>
      <w:r>
        <w:rPr>
          <w:spacing w:val="-1"/>
        </w:rPr>
        <w:t xml:space="preserve"> </w:t>
      </w:r>
      <w:r>
        <w:t>imports</w:t>
      </w:r>
      <w:r>
        <w:rPr>
          <w:spacing w:val="-1"/>
        </w:rPr>
        <w:t xml:space="preserve"> </w:t>
      </w:r>
      <w:r>
        <w:t>and</w:t>
      </w:r>
      <w:r>
        <w:rPr>
          <w:spacing w:val="-1"/>
        </w:rPr>
        <w:t xml:space="preserve"> </w:t>
      </w:r>
      <w:r>
        <w:t>domestic like products</w:t>
      </w:r>
      <w:r>
        <w:rPr>
          <w:spacing w:val="-1"/>
        </w:rPr>
        <w:t xml:space="preserve"> </w:t>
      </w:r>
      <w:r>
        <w:t>affecting</w:t>
      </w:r>
      <w:r>
        <w:rPr>
          <w:spacing w:val="-1"/>
        </w:rPr>
        <w:t xml:space="preserve"> </w:t>
      </w:r>
      <w:r>
        <w:t>the</w:t>
      </w:r>
      <w:r>
        <w:rPr>
          <w:spacing w:val="-1"/>
        </w:rPr>
        <w:t xml:space="preserve"> </w:t>
      </w:r>
      <w:r>
        <w:t>comparison</w:t>
      </w:r>
      <w:r>
        <w:rPr>
          <w:spacing w:val="-2"/>
        </w:rPr>
        <w:t xml:space="preserve"> </w:t>
      </w:r>
      <w:r>
        <w:t>of</w:t>
      </w:r>
      <w:r>
        <w:rPr>
          <w:spacing w:val="-2"/>
        </w:rPr>
        <w:t xml:space="preserve"> </w:t>
      </w:r>
      <w:r>
        <w:t>prices</w:t>
      </w:r>
      <w:r>
        <w:rPr>
          <w:spacing w:val="-2"/>
        </w:rPr>
        <w:t xml:space="preserve"> </w:t>
      </w:r>
      <w:r>
        <w:t>and the examination of price effects. MOFCOM</w:t>
      </w:r>
      <w:r>
        <w:t>'s failure to do so means that its price effects analysis compares average unit prices for subject imports that are not comparable to the average unit prices for domestic like products. As a consequence, MOFCOM's price effects analysis</w:t>
      </w:r>
      <w:r>
        <w:rPr>
          <w:spacing w:val="-11"/>
        </w:rPr>
        <w:t xml:space="preserve"> </w:t>
      </w:r>
      <w:r>
        <w:t>is</w:t>
      </w:r>
      <w:r>
        <w:rPr>
          <w:spacing w:val="-11"/>
        </w:rPr>
        <w:t xml:space="preserve"> </w:t>
      </w:r>
      <w:r>
        <w:t>inconsistent</w:t>
      </w:r>
      <w:r>
        <w:rPr>
          <w:spacing w:val="-10"/>
        </w:rPr>
        <w:t xml:space="preserve"> </w:t>
      </w:r>
      <w:r>
        <w:t>with</w:t>
      </w:r>
      <w:r>
        <w:rPr>
          <w:spacing w:val="-11"/>
        </w:rPr>
        <w:t xml:space="preserve"> </w:t>
      </w:r>
      <w:r>
        <w:t>China's</w:t>
      </w:r>
      <w:r>
        <w:rPr>
          <w:spacing w:val="-11"/>
        </w:rPr>
        <w:t xml:space="preserve"> </w:t>
      </w:r>
      <w:r>
        <w:t>obligations</w:t>
      </w:r>
      <w:r>
        <w:rPr>
          <w:spacing w:val="-10"/>
        </w:rPr>
        <w:t xml:space="preserve"> </w:t>
      </w:r>
      <w:r>
        <w:t>under</w:t>
      </w:r>
      <w:r>
        <w:rPr>
          <w:spacing w:val="-10"/>
        </w:rPr>
        <w:t xml:space="preserve"> </w:t>
      </w:r>
      <w:r>
        <w:t>Articles</w:t>
      </w:r>
      <w:r>
        <w:rPr>
          <w:spacing w:val="-12"/>
        </w:rPr>
        <w:t xml:space="preserve"> </w:t>
      </w:r>
      <w:r>
        <w:t>3.1</w:t>
      </w:r>
      <w:r>
        <w:rPr>
          <w:spacing w:val="-11"/>
        </w:rPr>
        <w:t xml:space="preserve"> </w:t>
      </w:r>
      <w:r>
        <w:t>and</w:t>
      </w:r>
      <w:r>
        <w:rPr>
          <w:spacing w:val="-11"/>
        </w:rPr>
        <w:t xml:space="preserve"> </w:t>
      </w:r>
      <w:r>
        <w:t>3.2</w:t>
      </w:r>
      <w:r>
        <w:rPr>
          <w:spacing w:val="-11"/>
        </w:rPr>
        <w:t xml:space="preserve"> </w:t>
      </w:r>
      <w:r>
        <w:t>of</w:t>
      </w:r>
      <w:r>
        <w:rPr>
          <w:spacing w:val="-11"/>
        </w:rPr>
        <w:t xml:space="preserve"> </w:t>
      </w:r>
      <w:r>
        <w:t>the</w:t>
      </w:r>
      <w:r>
        <w:rPr>
          <w:spacing w:val="-10"/>
        </w:rPr>
        <w:t xml:space="preserve"> </w:t>
      </w:r>
      <w:r>
        <w:t xml:space="preserve">Anti‐Dumping </w:t>
      </w:r>
      <w:r>
        <w:rPr>
          <w:spacing w:val="-2"/>
        </w:rPr>
        <w:t>Agreement.</w:t>
      </w:r>
    </w:p>
    <w:p w14:paraId="51DE8EFA" w14:textId="77777777" w:rsidR="0010369C" w:rsidRDefault="008E43AE">
      <w:pPr>
        <w:pStyle w:val="ListParagraph"/>
        <w:numPr>
          <w:ilvl w:val="0"/>
          <w:numId w:val="57"/>
        </w:numPr>
        <w:tabs>
          <w:tab w:val="left" w:pos="5341"/>
        </w:tabs>
        <w:spacing w:before="160" w:line="360" w:lineRule="auto"/>
        <w:ind w:right="613"/>
        <w:jc w:val="both"/>
        <w:rPr>
          <w:sz w:val="24"/>
        </w:rPr>
      </w:pPr>
      <w:r>
        <w:rPr>
          <w:sz w:val="24"/>
          <w:u w:val="single"/>
        </w:rPr>
        <w:t>MOFCOM was not entitled to disregard</w:t>
      </w:r>
      <w:r>
        <w:rPr>
          <w:sz w:val="24"/>
        </w:rPr>
        <w:t xml:space="preserve"> </w:t>
      </w:r>
      <w:r>
        <w:rPr>
          <w:sz w:val="24"/>
          <w:u w:val="single"/>
        </w:rPr>
        <w:t>evidence relating to differences in</w:t>
      </w:r>
      <w:r>
        <w:rPr>
          <w:sz w:val="24"/>
        </w:rPr>
        <w:t xml:space="preserve"> </w:t>
      </w:r>
      <w:r>
        <w:rPr>
          <w:sz w:val="24"/>
          <w:u w:val="single"/>
        </w:rPr>
        <w:t>product mix between the baskets of</w:t>
      </w:r>
      <w:r>
        <w:rPr>
          <w:sz w:val="24"/>
        </w:rPr>
        <w:t xml:space="preserve"> </w:t>
      </w:r>
      <w:r>
        <w:rPr>
          <w:sz w:val="24"/>
          <w:u w:val="single"/>
        </w:rPr>
        <w:t>subject imports and domestic like</w:t>
      </w:r>
      <w:r>
        <w:rPr>
          <w:sz w:val="24"/>
        </w:rPr>
        <w:t xml:space="preserve"> </w:t>
      </w:r>
      <w:r>
        <w:rPr>
          <w:spacing w:val="-2"/>
          <w:sz w:val="24"/>
          <w:u w:val="single"/>
        </w:rPr>
        <w:t>products</w:t>
      </w:r>
    </w:p>
    <w:p w14:paraId="51DE8EFB" w14:textId="77777777" w:rsidR="0010369C" w:rsidRDefault="0010369C">
      <w:pPr>
        <w:pStyle w:val="BodyText"/>
        <w:spacing w:before="10"/>
        <w:rPr>
          <w:sz w:val="8"/>
        </w:rPr>
      </w:pPr>
    </w:p>
    <w:p w14:paraId="51DE8EFC" w14:textId="77777777" w:rsidR="0010369C" w:rsidRDefault="008E43AE">
      <w:pPr>
        <w:pStyle w:val="BodyText"/>
        <w:spacing w:before="52" w:line="360" w:lineRule="auto"/>
        <w:ind w:left="236" w:right="612" w:firstLine="852"/>
        <w:jc w:val="both"/>
      </w:pPr>
      <w:r>
        <w:rPr>
          <w:noProof/>
        </w:rPr>
        <w:drawing>
          <wp:anchor distT="0" distB="0" distL="0" distR="0" simplePos="0" relativeHeight="251211264" behindDoc="1" locked="0" layoutInCell="1" allowOverlap="1" wp14:anchorId="51DEA4A4" wp14:editId="51DEA4A5">
            <wp:simplePos x="0" y="0"/>
            <wp:positionH relativeFrom="page">
              <wp:posOffset>902208</wp:posOffset>
            </wp:positionH>
            <wp:positionV relativeFrom="paragraph">
              <wp:posOffset>81949</wp:posOffset>
            </wp:positionV>
            <wp:extent cx="262127" cy="100753"/>
            <wp:effectExtent l="0" t="0" r="0" b="0"/>
            <wp:wrapNone/>
            <wp:docPr id="1165" name="image5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 name="image599.png"/>
                    <pic:cNvPicPr/>
                  </pic:nvPicPr>
                  <pic:blipFill>
                    <a:blip r:embed="rId785" cstate="print"/>
                    <a:stretch>
                      <a:fillRect/>
                    </a:stretch>
                  </pic:blipFill>
                  <pic:spPr>
                    <a:xfrm>
                      <a:off x="0" y="0"/>
                      <a:ext cx="262127" cy="100753"/>
                    </a:xfrm>
                    <a:prstGeom prst="rect">
                      <a:avLst/>
                    </a:prstGeom>
                  </pic:spPr>
                </pic:pic>
              </a:graphicData>
            </a:graphic>
          </wp:anchor>
        </w:drawing>
      </w:r>
      <w:r>
        <w:t>In</w:t>
      </w:r>
      <w:r>
        <w:rPr>
          <w:spacing w:val="-5"/>
        </w:rPr>
        <w:t xml:space="preserve"> </w:t>
      </w:r>
      <w:r>
        <w:t>the</w:t>
      </w:r>
      <w:r>
        <w:rPr>
          <w:spacing w:val="-4"/>
        </w:rPr>
        <w:t xml:space="preserve"> </w:t>
      </w:r>
      <w:r>
        <w:t>Final</w:t>
      </w:r>
      <w:r>
        <w:rPr>
          <w:spacing w:val="-3"/>
        </w:rPr>
        <w:t xml:space="preserve"> </w:t>
      </w:r>
      <w:r>
        <w:t>Determination</w:t>
      </w:r>
      <w:r>
        <w:rPr>
          <w:spacing w:val="-5"/>
        </w:rPr>
        <w:t xml:space="preserve"> </w:t>
      </w:r>
      <w:r>
        <w:t>MOFCOM,</w:t>
      </w:r>
      <w:r>
        <w:rPr>
          <w:spacing w:val="-5"/>
        </w:rPr>
        <w:t xml:space="preserve"> </w:t>
      </w:r>
      <w:r>
        <w:t>explained</w:t>
      </w:r>
      <w:r>
        <w:rPr>
          <w:spacing w:val="-6"/>
        </w:rPr>
        <w:t xml:space="preserve"> </w:t>
      </w:r>
      <w:r>
        <w:t>that</w:t>
      </w:r>
      <w:r>
        <w:rPr>
          <w:spacing w:val="-5"/>
        </w:rPr>
        <w:t xml:space="preserve"> </w:t>
      </w:r>
      <w:r>
        <w:t>it</w:t>
      </w:r>
      <w:r>
        <w:rPr>
          <w:spacing w:val="-5"/>
        </w:rPr>
        <w:t xml:space="preserve"> </w:t>
      </w:r>
      <w:r>
        <w:t>decided</w:t>
      </w:r>
      <w:r>
        <w:rPr>
          <w:spacing w:val="-5"/>
        </w:rPr>
        <w:t xml:space="preserve"> </w:t>
      </w:r>
      <w:r>
        <w:t>not</w:t>
      </w:r>
      <w:r>
        <w:rPr>
          <w:spacing w:val="-5"/>
        </w:rPr>
        <w:t xml:space="preserve"> </w:t>
      </w:r>
      <w:r>
        <w:t>to</w:t>
      </w:r>
      <w:r>
        <w:rPr>
          <w:spacing w:val="-5"/>
        </w:rPr>
        <w:t xml:space="preserve"> </w:t>
      </w:r>
      <w:r>
        <w:t>have</w:t>
      </w:r>
      <w:r>
        <w:rPr>
          <w:spacing w:val="-4"/>
        </w:rPr>
        <w:t xml:space="preserve"> </w:t>
      </w:r>
      <w:r>
        <w:t>regard</w:t>
      </w:r>
      <w:r>
        <w:rPr>
          <w:spacing w:val="-6"/>
        </w:rPr>
        <w:t xml:space="preserve"> </w:t>
      </w:r>
      <w:r>
        <w:t>to the Injury PCN evidence on the basis of its conclusion that, of the sampled Australian companies, only Swan Vintage provided the Injury PCN evidence in accordance with MOFCOM's classific</w:t>
      </w:r>
      <w:r>
        <w:t>ation standards.</w:t>
      </w:r>
      <w:r>
        <w:rPr>
          <w:vertAlign w:val="superscript"/>
        </w:rPr>
        <w:t>673</w:t>
      </w:r>
      <w:r>
        <w:t xml:space="preserve"> On this basis, MOFCOM disregarded and failed to consider the extensive evidence that was before it, and incorrectly determined that it was "impossible to get the import prices of relevant wines imported from Australia based on control c</w:t>
      </w:r>
      <w:r>
        <w:t>odes and grades of injury investigation products from the Responses of these producers".</w:t>
      </w:r>
      <w:r>
        <w:rPr>
          <w:vertAlign w:val="superscript"/>
        </w:rPr>
        <w:t>674</w:t>
      </w:r>
      <w:r>
        <w:t xml:space="preserve"> This approach is flawed for three reasons.</w:t>
      </w:r>
    </w:p>
    <w:p w14:paraId="51DE8EFD" w14:textId="77777777" w:rsidR="0010369C" w:rsidRDefault="0010369C">
      <w:pPr>
        <w:pStyle w:val="BodyText"/>
        <w:spacing w:before="11"/>
        <w:rPr>
          <w:sz w:val="8"/>
        </w:rPr>
      </w:pPr>
    </w:p>
    <w:p w14:paraId="51DE8EFE" w14:textId="77777777" w:rsidR="0010369C" w:rsidRDefault="008E43AE">
      <w:pPr>
        <w:pStyle w:val="BodyText"/>
        <w:spacing w:before="51" w:line="360" w:lineRule="auto"/>
        <w:ind w:left="238" w:right="611" w:firstLine="851"/>
      </w:pPr>
      <w:r>
        <w:rPr>
          <w:noProof/>
        </w:rPr>
        <w:drawing>
          <wp:anchor distT="0" distB="0" distL="0" distR="0" simplePos="0" relativeHeight="251212288" behindDoc="1" locked="0" layoutInCell="1" allowOverlap="1" wp14:anchorId="51DEA4A6" wp14:editId="51DEA4A7">
            <wp:simplePos x="0" y="0"/>
            <wp:positionH relativeFrom="page">
              <wp:posOffset>902208</wp:posOffset>
            </wp:positionH>
            <wp:positionV relativeFrom="paragraph">
              <wp:posOffset>76150</wp:posOffset>
            </wp:positionV>
            <wp:extent cx="262127" cy="106679"/>
            <wp:effectExtent l="0" t="0" r="0" b="0"/>
            <wp:wrapNone/>
            <wp:docPr id="1167" name="image6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 name="image600.png"/>
                    <pic:cNvPicPr/>
                  </pic:nvPicPr>
                  <pic:blipFill>
                    <a:blip r:embed="rId786" cstate="print"/>
                    <a:stretch>
                      <a:fillRect/>
                    </a:stretch>
                  </pic:blipFill>
                  <pic:spPr>
                    <a:xfrm>
                      <a:off x="0" y="0"/>
                      <a:ext cx="262127" cy="106679"/>
                    </a:xfrm>
                    <a:prstGeom prst="rect">
                      <a:avLst/>
                    </a:prstGeom>
                  </pic:spPr>
                </pic:pic>
              </a:graphicData>
            </a:graphic>
          </wp:anchor>
        </w:drawing>
      </w:r>
      <w:r>
        <w:t>First, Australia's examination of the responses provided by Treasury Wines, Casella Wines</w:t>
      </w:r>
      <w:r>
        <w:rPr>
          <w:spacing w:val="24"/>
        </w:rPr>
        <w:t xml:space="preserve"> </w:t>
      </w:r>
      <w:r>
        <w:t>and</w:t>
      </w:r>
      <w:r>
        <w:rPr>
          <w:spacing w:val="25"/>
        </w:rPr>
        <w:t xml:space="preserve"> </w:t>
      </w:r>
      <w:r>
        <w:t>Swan</w:t>
      </w:r>
      <w:r>
        <w:rPr>
          <w:spacing w:val="26"/>
        </w:rPr>
        <w:t xml:space="preserve"> </w:t>
      </w:r>
      <w:r>
        <w:t>Vintage</w:t>
      </w:r>
      <w:r>
        <w:rPr>
          <w:spacing w:val="26"/>
        </w:rPr>
        <w:t xml:space="preserve"> </w:t>
      </w:r>
      <w:r>
        <w:t>demonstrates</w:t>
      </w:r>
      <w:r>
        <w:rPr>
          <w:spacing w:val="26"/>
        </w:rPr>
        <w:t xml:space="preserve"> </w:t>
      </w:r>
      <w:r>
        <w:t>that</w:t>
      </w:r>
      <w:r>
        <w:rPr>
          <w:spacing w:val="24"/>
        </w:rPr>
        <w:t xml:space="preserve"> </w:t>
      </w:r>
      <w:r>
        <w:t>it</w:t>
      </w:r>
      <w:r>
        <w:rPr>
          <w:spacing w:val="25"/>
        </w:rPr>
        <w:t xml:space="preserve"> </w:t>
      </w:r>
      <w:r>
        <w:t>was</w:t>
      </w:r>
      <w:r>
        <w:rPr>
          <w:spacing w:val="25"/>
        </w:rPr>
        <w:t xml:space="preserve"> </w:t>
      </w:r>
      <w:r>
        <w:t>not</w:t>
      </w:r>
      <w:r>
        <w:rPr>
          <w:spacing w:val="26"/>
        </w:rPr>
        <w:t xml:space="preserve"> </w:t>
      </w:r>
      <w:r>
        <w:t>"impossible"</w:t>
      </w:r>
      <w:r>
        <w:rPr>
          <w:spacing w:val="25"/>
        </w:rPr>
        <w:t xml:space="preserve"> </w:t>
      </w:r>
      <w:r>
        <w:t>to</w:t>
      </w:r>
      <w:r>
        <w:rPr>
          <w:spacing w:val="25"/>
        </w:rPr>
        <w:t xml:space="preserve"> </w:t>
      </w:r>
      <w:r>
        <w:t>calculate</w:t>
      </w:r>
      <w:r>
        <w:rPr>
          <w:spacing w:val="25"/>
        </w:rPr>
        <w:t xml:space="preserve"> </w:t>
      </w:r>
      <w:r>
        <w:t>prices</w:t>
      </w:r>
      <w:r>
        <w:rPr>
          <w:spacing w:val="25"/>
        </w:rPr>
        <w:t xml:space="preserve"> </w:t>
      </w:r>
      <w:r>
        <w:rPr>
          <w:spacing w:val="-5"/>
        </w:rPr>
        <w:t>of</w:t>
      </w:r>
    </w:p>
    <w:p w14:paraId="51DE8EFF" w14:textId="77777777" w:rsidR="0010369C" w:rsidRDefault="0010369C">
      <w:pPr>
        <w:pStyle w:val="BodyText"/>
        <w:rPr>
          <w:sz w:val="20"/>
        </w:rPr>
      </w:pPr>
    </w:p>
    <w:p w14:paraId="51DE8F00" w14:textId="77777777" w:rsidR="0010369C" w:rsidRDefault="0010369C">
      <w:pPr>
        <w:pStyle w:val="BodyText"/>
        <w:rPr>
          <w:sz w:val="20"/>
        </w:rPr>
      </w:pPr>
    </w:p>
    <w:p w14:paraId="51DE8F01" w14:textId="77777777" w:rsidR="0010369C" w:rsidRDefault="008E43AE">
      <w:pPr>
        <w:pStyle w:val="BodyText"/>
        <w:spacing w:before="8"/>
        <w:rPr>
          <w:sz w:val="11"/>
        </w:rPr>
      </w:pPr>
      <w:r>
        <w:pict w14:anchorId="51DEA4A8">
          <v:rect id="docshape1061" o:spid="_x0000_s1318" style="position:absolute;margin-left:70.9pt;margin-top:8.3pt;width:2in;height:.8pt;z-index:-250828288;mso-wrap-distance-left:0;mso-wrap-distance-right:0;mso-position-horizontal-relative:page" fillcolor="black" stroked="f">
            <w10:wrap type="topAndBottom" anchorx="page"/>
          </v:rect>
        </w:pict>
      </w:r>
    </w:p>
    <w:p w14:paraId="51DE8F02" w14:textId="77777777" w:rsidR="0010369C" w:rsidRDefault="008E43AE">
      <w:pPr>
        <w:spacing w:before="109"/>
        <w:ind w:left="238"/>
        <w:rPr>
          <w:sz w:val="18"/>
        </w:rPr>
      </w:pPr>
      <w:r>
        <w:rPr>
          <w:sz w:val="18"/>
          <w:vertAlign w:val="superscript"/>
        </w:rPr>
        <w:t>673</w:t>
      </w:r>
      <w:r>
        <w:rPr>
          <w:spacing w:val="-9"/>
          <w:sz w:val="18"/>
        </w:rPr>
        <w:t xml:space="preserve"> </w:t>
      </w:r>
      <w:r>
        <w:rPr>
          <w:sz w:val="18"/>
        </w:rPr>
        <w:t>Anti‐Dumping</w:t>
      </w:r>
      <w:r>
        <w:rPr>
          <w:spacing w:val="-9"/>
          <w:sz w:val="18"/>
        </w:rPr>
        <w:t xml:space="preserve"> </w:t>
      </w:r>
      <w:r>
        <w:rPr>
          <w:sz w:val="18"/>
        </w:rPr>
        <w:t>Final</w:t>
      </w:r>
      <w:r>
        <w:rPr>
          <w:spacing w:val="-9"/>
          <w:sz w:val="18"/>
        </w:rPr>
        <w:t xml:space="preserve"> </w:t>
      </w:r>
      <w:r>
        <w:rPr>
          <w:sz w:val="18"/>
        </w:rPr>
        <w:t>Determination</w:t>
      </w:r>
      <w:r>
        <w:rPr>
          <w:spacing w:val="-8"/>
          <w:sz w:val="18"/>
        </w:rPr>
        <w:t xml:space="preserve"> </w:t>
      </w:r>
      <w:r>
        <w:rPr>
          <w:sz w:val="18"/>
        </w:rPr>
        <w:t>(Exhibit</w:t>
      </w:r>
      <w:r>
        <w:rPr>
          <w:spacing w:val="-9"/>
          <w:sz w:val="18"/>
        </w:rPr>
        <w:t xml:space="preserve"> </w:t>
      </w:r>
      <w:r>
        <w:rPr>
          <w:sz w:val="18"/>
        </w:rPr>
        <w:t>AUS‐2),</w:t>
      </w:r>
      <w:r>
        <w:rPr>
          <w:spacing w:val="-9"/>
          <w:sz w:val="18"/>
        </w:rPr>
        <w:t xml:space="preserve"> </w:t>
      </w:r>
      <w:r>
        <w:rPr>
          <w:sz w:val="18"/>
        </w:rPr>
        <w:t>p.</w:t>
      </w:r>
      <w:r>
        <w:rPr>
          <w:spacing w:val="-9"/>
          <w:sz w:val="18"/>
        </w:rPr>
        <w:t xml:space="preserve"> </w:t>
      </w:r>
      <w:r>
        <w:rPr>
          <w:spacing w:val="-4"/>
          <w:sz w:val="18"/>
        </w:rPr>
        <w:t>115.</w:t>
      </w:r>
    </w:p>
    <w:p w14:paraId="51DE8F03" w14:textId="77777777" w:rsidR="0010369C" w:rsidRDefault="008E43AE">
      <w:pPr>
        <w:ind w:left="238"/>
        <w:rPr>
          <w:sz w:val="18"/>
        </w:rPr>
      </w:pPr>
      <w:r>
        <w:rPr>
          <w:sz w:val="18"/>
          <w:vertAlign w:val="superscript"/>
        </w:rPr>
        <w:t>674</w:t>
      </w:r>
      <w:r>
        <w:rPr>
          <w:spacing w:val="-9"/>
          <w:sz w:val="18"/>
        </w:rPr>
        <w:t xml:space="preserve"> </w:t>
      </w:r>
      <w:r>
        <w:rPr>
          <w:sz w:val="18"/>
        </w:rPr>
        <w:t>Anti‐Dumping</w:t>
      </w:r>
      <w:r>
        <w:rPr>
          <w:spacing w:val="-9"/>
          <w:sz w:val="18"/>
        </w:rPr>
        <w:t xml:space="preserve"> </w:t>
      </w:r>
      <w:r>
        <w:rPr>
          <w:sz w:val="18"/>
        </w:rPr>
        <w:t>Final</w:t>
      </w:r>
      <w:r>
        <w:rPr>
          <w:spacing w:val="-9"/>
          <w:sz w:val="18"/>
        </w:rPr>
        <w:t xml:space="preserve"> </w:t>
      </w:r>
      <w:r>
        <w:rPr>
          <w:sz w:val="18"/>
        </w:rPr>
        <w:t>Determination</w:t>
      </w:r>
      <w:r>
        <w:rPr>
          <w:spacing w:val="-8"/>
          <w:sz w:val="18"/>
        </w:rPr>
        <w:t xml:space="preserve"> </w:t>
      </w:r>
      <w:r>
        <w:rPr>
          <w:sz w:val="18"/>
        </w:rPr>
        <w:t>(Exhibit</w:t>
      </w:r>
      <w:r>
        <w:rPr>
          <w:spacing w:val="-9"/>
          <w:sz w:val="18"/>
        </w:rPr>
        <w:t xml:space="preserve"> </w:t>
      </w:r>
      <w:r>
        <w:rPr>
          <w:sz w:val="18"/>
        </w:rPr>
        <w:t>AUS‐2),</w:t>
      </w:r>
      <w:r>
        <w:rPr>
          <w:spacing w:val="-9"/>
          <w:sz w:val="18"/>
        </w:rPr>
        <w:t xml:space="preserve"> </w:t>
      </w:r>
      <w:r>
        <w:rPr>
          <w:sz w:val="18"/>
        </w:rPr>
        <w:t>p.</w:t>
      </w:r>
      <w:r>
        <w:rPr>
          <w:spacing w:val="-9"/>
          <w:sz w:val="18"/>
        </w:rPr>
        <w:t xml:space="preserve"> </w:t>
      </w:r>
      <w:r>
        <w:rPr>
          <w:spacing w:val="-4"/>
          <w:sz w:val="18"/>
        </w:rPr>
        <w:t>116.</w:t>
      </w:r>
    </w:p>
    <w:p w14:paraId="51DE8F04" w14:textId="77777777" w:rsidR="0010369C" w:rsidRDefault="0010369C">
      <w:pPr>
        <w:rPr>
          <w:sz w:val="18"/>
        </w:rPr>
        <w:sectPr w:rsidR="0010369C">
          <w:pgSz w:w="11910" w:h="16840"/>
          <w:pgMar w:top="880" w:right="800" w:bottom="980" w:left="1180" w:header="569" w:footer="788" w:gutter="0"/>
          <w:cols w:space="720"/>
        </w:sectPr>
      </w:pPr>
    </w:p>
    <w:p w14:paraId="51DE8F05" w14:textId="77777777" w:rsidR="0010369C" w:rsidRDefault="008E43AE">
      <w:pPr>
        <w:tabs>
          <w:tab w:val="left" w:pos="6445"/>
        </w:tabs>
        <w:spacing w:before="21"/>
        <w:ind w:left="228"/>
        <w:jc w:val="both"/>
        <w:rPr>
          <w:rFonts w:ascii="Arial"/>
          <w:sz w:val="18"/>
        </w:rPr>
      </w:pPr>
      <w:r>
        <w:rPr>
          <w:rFonts w:ascii="Arial"/>
          <w:i/>
          <w:color w:val="1D1D1D"/>
          <w:w w:val="105"/>
          <w:sz w:val="18"/>
        </w:rPr>
        <w:lastRenderedPageBreak/>
        <w:t>China</w:t>
      </w:r>
      <w:r>
        <w:rPr>
          <w:rFonts w:ascii="Arial"/>
          <w:i/>
          <w:color w:val="1D1D1D"/>
          <w:spacing w:val="-17"/>
          <w:w w:val="105"/>
          <w:sz w:val="18"/>
        </w:rPr>
        <w:t xml:space="preserve"> </w:t>
      </w:r>
      <w:r>
        <w:rPr>
          <w:rFonts w:ascii="Arial"/>
          <w:i/>
          <w:color w:val="1D1D1D"/>
          <w:w w:val="105"/>
          <w:sz w:val="18"/>
        </w:rPr>
        <w:t>-Anti-Dumping</w:t>
      </w:r>
      <w:r>
        <w:rPr>
          <w:rFonts w:ascii="Arial"/>
          <w:i/>
          <w:color w:val="1D1D1D"/>
          <w:spacing w:val="-5"/>
          <w:w w:val="105"/>
          <w:sz w:val="18"/>
        </w:rPr>
        <w:t xml:space="preserve"> </w:t>
      </w:r>
      <w:r>
        <w:rPr>
          <w:rFonts w:ascii="Arial"/>
          <w:i/>
          <w:color w:val="1D1D1D"/>
          <w:w w:val="105"/>
          <w:sz w:val="18"/>
        </w:rPr>
        <w:t>and</w:t>
      </w:r>
      <w:r>
        <w:rPr>
          <w:rFonts w:ascii="Arial"/>
          <w:i/>
          <w:color w:val="1D1D1D"/>
          <w:spacing w:val="-23"/>
          <w:w w:val="105"/>
          <w:sz w:val="18"/>
        </w:rPr>
        <w:t xml:space="preserve"> </w:t>
      </w:r>
      <w:r>
        <w:rPr>
          <w:rFonts w:ascii="Arial"/>
          <w:i/>
          <w:color w:val="1D1D1D"/>
          <w:w w:val="105"/>
          <w:sz w:val="18"/>
        </w:rPr>
        <w:t>Countervailing</w:t>
      </w:r>
      <w:r>
        <w:rPr>
          <w:rFonts w:ascii="Arial"/>
          <w:i/>
          <w:color w:val="1D1D1D"/>
          <w:spacing w:val="-6"/>
          <w:w w:val="105"/>
          <w:sz w:val="18"/>
        </w:rPr>
        <w:t xml:space="preserve"> </w:t>
      </w:r>
      <w:r>
        <w:rPr>
          <w:rFonts w:ascii="Arial"/>
          <w:i/>
          <w:color w:val="1D1D1D"/>
          <w:w w:val="105"/>
          <w:sz w:val="18"/>
        </w:rPr>
        <w:t>Duty</w:t>
      </w:r>
      <w:r>
        <w:rPr>
          <w:rFonts w:ascii="Arial"/>
          <w:i/>
          <w:color w:val="1D1D1D"/>
          <w:spacing w:val="-12"/>
          <w:w w:val="105"/>
          <w:sz w:val="18"/>
        </w:rPr>
        <w:t xml:space="preserve"> </w:t>
      </w:r>
      <w:r>
        <w:rPr>
          <w:rFonts w:ascii="Arial"/>
          <w:i/>
          <w:color w:val="0C0C0C"/>
          <w:spacing w:val="-2"/>
          <w:w w:val="105"/>
          <w:sz w:val="18"/>
        </w:rPr>
        <w:t>Measures</w:t>
      </w:r>
      <w:r>
        <w:rPr>
          <w:rFonts w:ascii="Arial"/>
          <w:i/>
          <w:color w:val="0C0C0C"/>
          <w:sz w:val="18"/>
        </w:rPr>
        <w:tab/>
      </w:r>
      <w:r>
        <w:rPr>
          <w:rFonts w:ascii="Arial"/>
          <w:color w:val="1D1D1D"/>
          <w:spacing w:val="-2"/>
          <w:w w:val="105"/>
          <w:sz w:val="18"/>
        </w:rPr>
        <w:t>Australia's</w:t>
      </w:r>
      <w:r>
        <w:rPr>
          <w:rFonts w:ascii="Arial"/>
          <w:color w:val="1D1D1D"/>
          <w:spacing w:val="5"/>
          <w:w w:val="105"/>
          <w:sz w:val="18"/>
        </w:rPr>
        <w:t xml:space="preserve"> </w:t>
      </w:r>
      <w:r>
        <w:rPr>
          <w:rFonts w:ascii="Arial"/>
          <w:color w:val="0C0C0C"/>
          <w:spacing w:val="-2"/>
          <w:w w:val="105"/>
          <w:sz w:val="18"/>
        </w:rPr>
        <w:t>First</w:t>
      </w:r>
      <w:r>
        <w:rPr>
          <w:rFonts w:ascii="Arial"/>
          <w:color w:val="0C0C0C"/>
          <w:spacing w:val="1"/>
          <w:w w:val="105"/>
          <w:sz w:val="18"/>
        </w:rPr>
        <w:t xml:space="preserve"> </w:t>
      </w:r>
      <w:r>
        <w:rPr>
          <w:rFonts w:ascii="Arial"/>
          <w:color w:val="1D1D1D"/>
          <w:spacing w:val="-2"/>
          <w:w w:val="105"/>
          <w:sz w:val="18"/>
        </w:rPr>
        <w:t>Written</w:t>
      </w:r>
      <w:r>
        <w:rPr>
          <w:rFonts w:ascii="Arial"/>
          <w:color w:val="1D1D1D"/>
          <w:spacing w:val="-7"/>
          <w:w w:val="105"/>
          <w:sz w:val="18"/>
        </w:rPr>
        <w:t xml:space="preserve"> </w:t>
      </w:r>
      <w:r>
        <w:rPr>
          <w:rFonts w:ascii="Arial"/>
          <w:color w:val="1D1D1D"/>
          <w:spacing w:val="-2"/>
          <w:w w:val="105"/>
          <w:sz w:val="18"/>
        </w:rPr>
        <w:t>Submission</w:t>
      </w:r>
    </w:p>
    <w:p w14:paraId="51DE8F06" w14:textId="77777777" w:rsidR="0010369C" w:rsidRDefault="008E43AE">
      <w:pPr>
        <w:tabs>
          <w:tab w:val="left" w:pos="8256"/>
        </w:tabs>
        <w:spacing w:before="44"/>
        <w:ind w:left="235"/>
        <w:jc w:val="both"/>
        <w:rPr>
          <w:rFonts w:ascii="Arial"/>
          <w:sz w:val="18"/>
        </w:rPr>
      </w:pPr>
      <w:r>
        <w:rPr>
          <w:rFonts w:ascii="Arial"/>
          <w:i/>
          <w:color w:val="1D1D1D"/>
          <w:w w:val="105"/>
          <w:sz w:val="18"/>
        </w:rPr>
        <w:t>on</w:t>
      </w:r>
      <w:r>
        <w:rPr>
          <w:rFonts w:ascii="Arial"/>
          <w:i/>
          <w:color w:val="1D1D1D"/>
          <w:spacing w:val="-11"/>
          <w:w w:val="105"/>
          <w:sz w:val="18"/>
        </w:rPr>
        <w:t xml:space="preserve"> </w:t>
      </w:r>
      <w:r>
        <w:rPr>
          <w:rFonts w:ascii="Arial"/>
          <w:i/>
          <w:color w:val="1D1D1D"/>
          <w:w w:val="105"/>
          <w:sz w:val="18"/>
        </w:rPr>
        <w:t>Winefrom Australia</w:t>
      </w:r>
      <w:r>
        <w:rPr>
          <w:rFonts w:ascii="Arial"/>
          <w:i/>
          <w:color w:val="1D1D1D"/>
          <w:spacing w:val="13"/>
          <w:w w:val="105"/>
          <w:sz w:val="18"/>
        </w:rPr>
        <w:t xml:space="preserve"> </w:t>
      </w:r>
      <w:r>
        <w:rPr>
          <w:rFonts w:ascii="Arial"/>
          <w:color w:val="1D1D1D"/>
          <w:spacing w:val="-2"/>
          <w:w w:val="105"/>
          <w:sz w:val="18"/>
        </w:rPr>
        <w:t>(0S602)</w:t>
      </w:r>
      <w:r>
        <w:rPr>
          <w:rFonts w:ascii="Arial"/>
          <w:color w:val="1D1D1D"/>
          <w:sz w:val="18"/>
        </w:rPr>
        <w:tab/>
      </w:r>
      <w:r>
        <w:rPr>
          <w:rFonts w:ascii="Arial"/>
          <w:color w:val="1D1D1D"/>
          <w:w w:val="105"/>
          <w:sz w:val="18"/>
        </w:rPr>
        <w:t>29</w:t>
      </w:r>
      <w:r>
        <w:rPr>
          <w:rFonts w:ascii="Arial"/>
          <w:color w:val="1D1D1D"/>
          <w:spacing w:val="-19"/>
          <w:w w:val="105"/>
          <w:sz w:val="18"/>
        </w:rPr>
        <w:t xml:space="preserve"> </w:t>
      </w:r>
      <w:r>
        <w:rPr>
          <w:rFonts w:ascii="Arial"/>
          <w:color w:val="1D1D1D"/>
          <w:w w:val="105"/>
          <w:sz w:val="18"/>
        </w:rPr>
        <w:t>April</w:t>
      </w:r>
      <w:r>
        <w:rPr>
          <w:rFonts w:ascii="Arial"/>
          <w:color w:val="1D1D1D"/>
          <w:spacing w:val="1"/>
          <w:w w:val="105"/>
          <w:sz w:val="18"/>
        </w:rPr>
        <w:t xml:space="preserve"> </w:t>
      </w:r>
      <w:r>
        <w:rPr>
          <w:rFonts w:ascii="Arial"/>
          <w:color w:val="1D1D1D"/>
          <w:spacing w:val="-4"/>
          <w:w w:val="105"/>
          <w:sz w:val="18"/>
        </w:rPr>
        <w:t>2022</w:t>
      </w:r>
    </w:p>
    <w:p w14:paraId="51DE8F07" w14:textId="77777777" w:rsidR="0010369C" w:rsidRDefault="008E43AE">
      <w:pPr>
        <w:spacing w:before="76" w:line="434" w:lineRule="auto"/>
        <w:ind w:left="229" w:right="555" w:firstLine="7"/>
        <w:jc w:val="both"/>
        <w:rPr>
          <w:rFonts w:ascii="Arial"/>
          <w:sz w:val="21"/>
        </w:rPr>
      </w:pPr>
      <w:r>
        <w:rPr>
          <w:rFonts w:ascii="Arial"/>
          <w:color w:val="1D1D1D"/>
          <w:w w:val="105"/>
          <w:sz w:val="21"/>
        </w:rPr>
        <w:t xml:space="preserve">different </w:t>
      </w:r>
      <w:r>
        <w:rPr>
          <w:rFonts w:ascii="Arial"/>
          <w:color w:val="0C0C0C"/>
          <w:w w:val="105"/>
          <w:sz w:val="21"/>
        </w:rPr>
        <w:t>types</w:t>
      </w:r>
      <w:r>
        <w:rPr>
          <w:rFonts w:ascii="Arial"/>
          <w:color w:val="0C0C0C"/>
          <w:spacing w:val="-11"/>
          <w:w w:val="105"/>
          <w:sz w:val="21"/>
        </w:rPr>
        <w:t xml:space="preserve"> </w:t>
      </w:r>
      <w:r>
        <w:rPr>
          <w:rFonts w:ascii="Arial"/>
          <w:color w:val="1D1D1D"/>
          <w:w w:val="105"/>
          <w:sz w:val="21"/>
        </w:rPr>
        <w:t>or categories of</w:t>
      </w:r>
      <w:r>
        <w:rPr>
          <w:rFonts w:ascii="Arial"/>
          <w:color w:val="1D1D1D"/>
          <w:spacing w:val="39"/>
          <w:w w:val="105"/>
          <w:sz w:val="21"/>
        </w:rPr>
        <w:t xml:space="preserve"> </w:t>
      </w:r>
      <w:r>
        <w:rPr>
          <w:rFonts w:ascii="Arial"/>
          <w:color w:val="1D1D1D"/>
          <w:w w:val="105"/>
          <w:sz w:val="21"/>
        </w:rPr>
        <w:t xml:space="preserve">subject </w:t>
      </w:r>
      <w:r>
        <w:rPr>
          <w:rFonts w:ascii="Arial"/>
          <w:color w:val="0C0C0C"/>
          <w:w w:val="105"/>
          <w:sz w:val="21"/>
        </w:rPr>
        <w:t>imports</w:t>
      </w:r>
      <w:r>
        <w:rPr>
          <w:rFonts w:ascii="Arial"/>
          <w:color w:val="0C0C0C"/>
          <w:spacing w:val="-8"/>
          <w:w w:val="105"/>
          <w:sz w:val="21"/>
        </w:rPr>
        <w:t xml:space="preserve"> </w:t>
      </w:r>
      <w:r>
        <w:rPr>
          <w:rFonts w:ascii="Arial"/>
          <w:color w:val="1D1D1D"/>
          <w:w w:val="105"/>
          <w:sz w:val="21"/>
        </w:rPr>
        <w:t xml:space="preserve">based on product </w:t>
      </w:r>
      <w:r>
        <w:rPr>
          <w:rFonts w:ascii="Arial"/>
          <w:color w:val="0C0C0C"/>
          <w:w w:val="105"/>
          <w:sz w:val="21"/>
        </w:rPr>
        <w:t xml:space="preserve">quality </w:t>
      </w:r>
      <w:r>
        <w:rPr>
          <w:rFonts w:ascii="Arial"/>
          <w:color w:val="1D1D1D"/>
          <w:w w:val="105"/>
          <w:sz w:val="21"/>
        </w:rPr>
        <w:t>grading</w:t>
      </w:r>
      <w:r>
        <w:rPr>
          <w:rFonts w:ascii="Arial"/>
          <w:color w:val="1D1D1D"/>
          <w:spacing w:val="-12"/>
          <w:w w:val="105"/>
          <w:sz w:val="21"/>
        </w:rPr>
        <w:t xml:space="preserve"> </w:t>
      </w:r>
      <w:r>
        <w:rPr>
          <w:rFonts w:ascii="Arial"/>
          <w:color w:val="0C0C0C"/>
          <w:w w:val="105"/>
          <w:sz w:val="21"/>
        </w:rPr>
        <w:t>information</w:t>
      </w:r>
      <w:r>
        <w:rPr>
          <w:rFonts w:ascii="Arial"/>
          <w:color w:val="363636"/>
          <w:w w:val="105"/>
          <w:sz w:val="21"/>
        </w:rPr>
        <w:t xml:space="preserve">. </w:t>
      </w:r>
      <w:r>
        <w:rPr>
          <w:rFonts w:ascii="Arial"/>
          <w:color w:val="0C0C0C"/>
          <w:w w:val="105"/>
          <w:sz w:val="21"/>
        </w:rPr>
        <w:t>That</w:t>
      </w:r>
      <w:r>
        <w:rPr>
          <w:rFonts w:ascii="Arial"/>
          <w:color w:val="0C0C0C"/>
          <w:spacing w:val="-16"/>
          <w:w w:val="105"/>
          <w:sz w:val="21"/>
        </w:rPr>
        <w:t xml:space="preserve"> </w:t>
      </w:r>
      <w:r>
        <w:rPr>
          <w:rFonts w:ascii="Arial"/>
          <w:color w:val="1D1D1D"/>
          <w:w w:val="105"/>
          <w:sz w:val="21"/>
        </w:rPr>
        <w:t>evidence</w:t>
      </w:r>
      <w:r>
        <w:rPr>
          <w:rFonts w:ascii="Arial"/>
          <w:color w:val="1D1D1D"/>
          <w:spacing w:val="-15"/>
          <w:w w:val="105"/>
          <w:sz w:val="21"/>
        </w:rPr>
        <w:t xml:space="preserve"> </w:t>
      </w:r>
      <w:r>
        <w:rPr>
          <w:rFonts w:ascii="Arial"/>
          <w:color w:val="1D1D1D"/>
          <w:w w:val="105"/>
          <w:sz w:val="21"/>
        </w:rPr>
        <w:t>was</w:t>
      </w:r>
      <w:r>
        <w:rPr>
          <w:rFonts w:ascii="Arial"/>
          <w:color w:val="1D1D1D"/>
          <w:spacing w:val="-21"/>
          <w:w w:val="105"/>
          <w:sz w:val="21"/>
        </w:rPr>
        <w:t xml:space="preserve"> </w:t>
      </w:r>
      <w:r>
        <w:rPr>
          <w:rFonts w:ascii="Arial"/>
          <w:color w:val="1D1D1D"/>
          <w:w w:val="105"/>
          <w:sz w:val="21"/>
        </w:rPr>
        <w:t>available</w:t>
      </w:r>
      <w:r>
        <w:rPr>
          <w:rFonts w:ascii="Arial"/>
          <w:color w:val="1D1D1D"/>
          <w:spacing w:val="-15"/>
          <w:w w:val="105"/>
          <w:sz w:val="21"/>
        </w:rPr>
        <w:t xml:space="preserve"> </w:t>
      </w:r>
      <w:r>
        <w:rPr>
          <w:rFonts w:ascii="Arial"/>
          <w:color w:val="1D1D1D"/>
          <w:w w:val="105"/>
          <w:sz w:val="21"/>
        </w:rPr>
        <w:t>to</w:t>
      </w:r>
      <w:r>
        <w:rPr>
          <w:rFonts w:ascii="Arial"/>
          <w:color w:val="1D1D1D"/>
          <w:spacing w:val="-3"/>
          <w:w w:val="105"/>
          <w:sz w:val="21"/>
        </w:rPr>
        <w:t xml:space="preserve"> </w:t>
      </w:r>
      <w:r>
        <w:rPr>
          <w:rFonts w:ascii="Arial"/>
          <w:color w:val="0C0C0C"/>
          <w:w w:val="105"/>
          <w:sz w:val="21"/>
        </w:rPr>
        <w:t>MOFCOM</w:t>
      </w:r>
      <w:r>
        <w:rPr>
          <w:rFonts w:ascii="Arial"/>
          <w:color w:val="0C0C0C"/>
          <w:spacing w:val="-8"/>
          <w:w w:val="105"/>
          <w:sz w:val="21"/>
        </w:rPr>
        <w:t xml:space="preserve"> </w:t>
      </w:r>
      <w:r>
        <w:rPr>
          <w:rFonts w:ascii="Arial"/>
          <w:color w:val="1D1D1D"/>
          <w:w w:val="105"/>
          <w:sz w:val="21"/>
        </w:rPr>
        <w:t>for</w:t>
      </w:r>
      <w:r>
        <w:rPr>
          <w:rFonts w:ascii="Arial"/>
          <w:color w:val="1D1D1D"/>
          <w:spacing w:val="22"/>
          <w:w w:val="105"/>
          <w:sz w:val="21"/>
        </w:rPr>
        <w:t xml:space="preserve"> </w:t>
      </w:r>
      <w:r>
        <w:rPr>
          <w:rFonts w:ascii="Arial"/>
          <w:color w:val="0C0C0C"/>
          <w:w w:val="105"/>
          <w:sz w:val="21"/>
        </w:rPr>
        <w:t>at</w:t>
      </w:r>
      <w:r>
        <w:rPr>
          <w:rFonts w:ascii="Arial"/>
          <w:color w:val="0C0C0C"/>
          <w:spacing w:val="3"/>
          <w:w w:val="105"/>
          <w:sz w:val="21"/>
        </w:rPr>
        <w:t xml:space="preserve"> </w:t>
      </w:r>
      <w:r>
        <w:rPr>
          <w:rFonts w:ascii="Arial"/>
          <w:color w:val="0C0C0C"/>
          <w:w w:val="105"/>
          <w:sz w:val="21"/>
        </w:rPr>
        <w:t>least</w:t>
      </w:r>
      <w:r>
        <w:rPr>
          <w:rFonts w:ascii="Arial"/>
          <w:color w:val="0C0C0C"/>
          <w:spacing w:val="-15"/>
          <w:w w:val="105"/>
          <w:sz w:val="21"/>
        </w:rPr>
        <w:t xml:space="preserve"> </w:t>
      </w:r>
      <w:r>
        <w:rPr>
          <w:rFonts w:ascii="Arial"/>
          <w:color w:val="1D1D1D"/>
          <w:w w:val="105"/>
          <w:sz w:val="21"/>
        </w:rPr>
        <w:t>one</w:t>
      </w:r>
      <w:r>
        <w:rPr>
          <w:rFonts w:ascii="Arial"/>
          <w:color w:val="1D1D1D"/>
          <w:spacing w:val="-20"/>
          <w:w w:val="105"/>
          <w:sz w:val="21"/>
        </w:rPr>
        <w:t xml:space="preserve"> </w:t>
      </w:r>
      <w:r>
        <w:rPr>
          <w:rFonts w:ascii="Arial"/>
          <w:color w:val="1D1D1D"/>
          <w:w w:val="105"/>
          <w:sz w:val="21"/>
        </w:rPr>
        <w:t>year</w:t>
      </w:r>
      <w:r>
        <w:rPr>
          <w:rFonts w:ascii="Arial"/>
          <w:color w:val="1D1D1D"/>
          <w:spacing w:val="-18"/>
          <w:w w:val="105"/>
          <w:sz w:val="21"/>
        </w:rPr>
        <w:t xml:space="preserve"> </w:t>
      </w:r>
      <w:r>
        <w:rPr>
          <w:rFonts w:ascii="Arial"/>
          <w:color w:val="1D1D1D"/>
          <w:w w:val="105"/>
          <w:sz w:val="21"/>
        </w:rPr>
        <w:t>of</w:t>
      </w:r>
      <w:r>
        <w:rPr>
          <w:rFonts w:ascii="Arial"/>
          <w:color w:val="1D1D1D"/>
          <w:spacing w:val="2"/>
          <w:w w:val="105"/>
          <w:sz w:val="21"/>
        </w:rPr>
        <w:t xml:space="preserve"> </w:t>
      </w:r>
      <w:r>
        <w:rPr>
          <w:rFonts w:ascii="Arial"/>
          <w:color w:val="1D1D1D"/>
          <w:w w:val="105"/>
          <w:sz w:val="21"/>
        </w:rPr>
        <w:t>the</w:t>
      </w:r>
      <w:r>
        <w:rPr>
          <w:rFonts w:ascii="Arial"/>
          <w:color w:val="1D1D1D"/>
          <w:spacing w:val="-1"/>
          <w:w w:val="105"/>
          <w:sz w:val="21"/>
        </w:rPr>
        <w:t xml:space="preserve"> </w:t>
      </w:r>
      <w:r>
        <w:rPr>
          <w:rFonts w:ascii="Arial"/>
          <w:color w:val="0C0C0C"/>
          <w:w w:val="105"/>
          <w:sz w:val="21"/>
        </w:rPr>
        <w:t>Injury</w:t>
      </w:r>
      <w:r>
        <w:rPr>
          <w:rFonts w:ascii="Arial"/>
          <w:color w:val="0C0C0C"/>
          <w:spacing w:val="-23"/>
          <w:w w:val="105"/>
          <w:sz w:val="21"/>
        </w:rPr>
        <w:t xml:space="preserve"> </w:t>
      </w:r>
      <w:r>
        <w:rPr>
          <w:rFonts w:ascii="Arial"/>
          <w:color w:val="0C0C0C"/>
          <w:w w:val="105"/>
          <w:sz w:val="21"/>
        </w:rPr>
        <w:t>POI</w:t>
      </w:r>
      <w:r>
        <w:rPr>
          <w:rFonts w:ascii="Arial"/>
          <w:color w:val="0C0C0C"/>
          <w:spacing w:val="-20"/>
          <w:w w:val="105"/>
          <w:sz w:val="21"/>
        </w:rPr>
        <w:t xml:space="preserve"> </w:t>
      </w:r>
      <w:r>
        <w:rPr>
          <w:rFonts w:ascii="Arial"/>
          <w:color w:val="363636"/>
          <w:w w:val="105"/>
          <w:sz w:val="21"/>
        </w:rPr>
        <w:t>-</w:t>
      </w:r>
      <w:r>
        <w:rPr>
          <w:rFonts w:ascii="Arial"/>
          <w:color w:val="363636"/>
          <w:spacing w:val="28"/>
          <w:w w:val="105"/>
          <w:sz w:val="21"/>
        </w:rPr>
        <w:t xml:space="preserve">  </w:t>
      </w:r>
      <w:r>
        <w:rPr>
          <w:rFonts w:ascii="Arial"/>
          <w:color w:val="1D1D1D"/>
          <w:w w:val="105"/>
          <w:sz w:val="21"/>
        </w:rPr>
        <w:t>i.e.</w:t>
      </w:r>
      <w:r>
        <w:rPr>
          <w:rFonts w:ascii="Arial"/>
          <w:color w:val="1D1D1D"/>
          <w:spacing w:val="-24"/>
          <w:w w:val="105"/>
          <w:sz w:val="21"/>
        </w:rPr>
        <w:t xml:space="preserve"> </w:t>
      </w:r>
      <w:r>
        <w:rPr>
          <w:rFonts w:ascii="Arial"/>
          <w:color w:val="1D1D1D"/>
          <w:spacing w:val="-2"/>
          <w:w w:val="105"/>
          <w:sz w:val="21"/>
        </w:rPr>
        <w:t>2019.</w:t>
      </w:r>
      <w:r>
        <w:rPr>
          <w:rFonts w:ascii="Arial"/>
          <w:color w:val="1D1D1D"/>
          <w:spacing w:val="-2"/>
          <w:w w:val="105"/>
          <w:position w:val="7"/>
          <w:sz w:val="14"/>
        </w:rPr>
        <w:t>67</w:t>
      </w:r>
      <w:r>
        <w:rPr>
          <w:rFonts w:ascii="Arial"/>
          <w:color w:val="1D1D1D"/>
          <w:spacing w:val="-2"/>
          <w:w w:val="105"/>
          <w:sz w:val="21"/>
        </w:rPr>
        <w:t>s</w:t>
      </w:r>
    </w:p>
    <w:p w14:paraId="51DE8F08" w14:textId="77777777" w:rsidR="0010369C" w:rsidRDefault="008E43AE">
      <w:pPr>
        <w:pStyle w:val="ListParagraph"/>
        <w:numPr>
          <w:ilvl w:val="0"/>
          <w:numId w:val="54"/>
        </w:numPr>
        <w:tabs>
          <w:tab w:val="left" w:pos="1088"/>
        </w:tabs>
        <w:spacing w:before="164" w:line="432" w:lineRule="auto"/>
        <w:ind w:right="574" w:firstLine="4"/>
        <w:jc w:val="both"/>
        <w:rPr>
          <w:rFonts w:ascii="Arial"/>
          <w:color w:val="1D1D1D"/>
          <w:sz w:val="21"/>
        </w:rPr>
      </w:pPr>
      <w:r>
        <w:rPr>
          <w:rFonts w:ascii="Arial"/>
          <w:color w:val="1D1D1D"/>
          <w:w w:val="105"/>
          <w:sz w:val="21"/>
        </w:rPr>
        <w:t xml:space="preserve">Second, </w:t>
      </w:r>
      <w:r>
        <w:rPr>
          <w:rFonts w:ascii="Arial"/>
          <w:color w:val="0C0C0C"/>
          <w:w w:val="105"/>
          <w:sz w:val="21"/>
        </w:rPr>
        <w:t xml:space="preserve">that </w:t>
      </w:r>
      <w:r>
        <w:rPr>
          <w:rFonts w:ascii="Arial"/>
          <w:color w:val="1D1D1D"/>
          <w:w w:val="105"/>
          <w:sz w:val="21"/>
        </w:rPr>
        <w:t xml:space="preserve">some information may not have </w:t>
      </w:r>
      <w:r>
        <w:rPr>
          <w:rFonts w:ascii="Arial"/>
          <w:color w:val="0C0C0C"/>
          <w:w w:val="105"/>
          <w:sz w:val="21"/>
        </w:rPr>
        <w:t xml:space="preserve">been </w:t>
      </w:r>
      <w:r>
        <w:rPr>
          <w:rFonts w:ascii="Arial"/>
          <w:color w:val="1D1D1D"/>
          <w:w w:val="105"/>
          <w:sz w:val="21"/>
        </w:rPr>
        <w:t xml:space="preserve">provided in accordance with </w:t>
      </w:r>
      <w:r>
        <w:rPr>
          <w:rFonts w:ascii="Arial"/>
          <w:color w:val="0C0C0C"/>
          <w:w w:val="105"/>
          <w:sz w:val="21"/>
        </w:rPr>
        <w:t xml:space="preserve">MOFCOM's requirements </w:t>
      </w:r>
      <w:r>
        <w:rPr>
          <w:rFonts w:ascii="Arial"/>
          <w:color w:val="1D1D1D"/>
          <w:w w:val="105"/>
          <w:sz w:val="21"/>
        </w:rPr>
        <w:t>is not</w:t>
      </w:r>
      <w:r>
        <w:rPr>
          <w:rFonts w:ascii="Arial"/>
          <w:color w:val="1D1D1D"/>
          <w:spacing w:val="40"/>
          <w:w w:val="105"/>
          <w:sz w:val="21"/>
        </w:rPr>
        <w:t xml:space="preserve"> </w:t>
      </w:r>
      <w:r>
        <w:rPr>
          <w:rFonts w:ascii="Arial"/>
          <w:color w:val="1D1D1D"/>
          <w:w w:val="105"/>
          <w:sz w:val="21"/>
        </w:rPr>
        <w:t xml:space="preserve">a </w:t>
      </w:r>
      <w:r>
        <w:rPr>
          <w:rFonts w:ascii="Arial"/>
          <w:color w:val="0C0C0C"/>
          <w:w w:val="105"/>
          <w:sz w:val="21"/>
        </w:rPr>
        <w:t xml:space="preserve">legitimate reason </w:t>
      </w:r>
      <w:r>
        <w:rPr>
          <w:rFonts w:ascii="Arial"/>
          <w:color w:val="1D1D1D"/>
          <w:w w:val="105"/>
          <w:sz w:val="21"/>
        </w:rPr>
        <w:t>to</w:t>
      </w:r>
      <w:r>
        <w:rPr>
          <w:rFonts w:ascii="Arial"/>
          <w:color w:val="1D1D1D"/>
          <w:spacing w:val="40"/>
          <w:w w:val="105"/>
          <w:sz w:val="21"/>
        </w:rPr>
        <w:t xml:space="preserve"> </w:t>
      </w:r>
      <w:r>
        <w:rPr>
          <w:rFonts w:ascii="Arial"/>
          <w:color w:val="0C0C0C"/>
          <w:w w:val="105"/>
          <w:sz w:val="21"/>
        </w:rPr>
        <w:t xml:space="preserve">disregard </w:t>
      </w:r>
      <w:r>
        <w:rPr>
          <w:rFonts w:ascii="Arial"/>
          <w:color w:val="1D1D1D"/>
          <w:w w:val="105"/>
          <w:sz w:val="21"/>
        </w:rPr>
        <w:t xml:space="preserve">all relevant </w:t>
      </w:r>
      <w:r>
        <w:rPr>
          <w:rFonts w:ascii="Arial"/>
          <w:color w:val="0C0C0C"/>
          <w:w w:val="105"/>
          <w:sz w:val="21"/>
        </w:rPr>
        <w:t xml:space="preserve">information </w:t>
      </w:r>
      <w:r>
        <w:rPr>
          <w:rFonts w:ascii="Arial"/>
          <w:color w:val="1D1D1D"/>
          <w:w w:val="105"/>
          <w:sz w:val="21"/>
        </w:rPr>
        <w:t xml:space="preserve">on the </w:t>
      </w:r>
      <w:r>
        <w:rPr>
          <w:rFonts w:ascii="Arial"/>
          <w:color w:val="0C0C0C"/>
          <w:w w:val="105"/>
          <w:sz w:val="21"/>
        </w:rPr>
        <w:t>record</w:t>
      </w:r>
      <w:r>
        <w:rPr>
          <w:rFonts w:ascii="Arial"/>
          <w:color w:val="363636"/>
          <w:w w:val="105"/>
          <w:sz w:val="21"/>
        </w:rPr>
        <w:t xml:space="preserve">. </w:t>
      </w:r>
      <w:r>
        <w:rPr>
          <w:rFonts w:ascii="Arial"/>
          <w:color w:val="1D1D1D"/>
          <w:w w:val="105"/>
          <w:sz w:val="21"/>
        </w:rPr>
        <w:t>There was significant and detailed</w:t>
      </w:r>
      <w:r>
        <w:rPr>
          <w:rFonts w:ascii="Arial"/>
          <w:color w:val="1D1D1D"/>
          <w:w w:val="105"/>
          <w:sz w:val="21"/>
        </w:rPr>
        <w:t xml:space="preserve"> evidence </w:t>
      </w:r>
      <w:r>
        <w:rPr>
          <w:rFonts w:ascii="Arial"/>
          <w:color w:val="0C0C0C"/>
          <w:w w:val="105"/>
          <w:sz w:val="21"/>
        </w:rPr>
        <w:t xml:space="preserve">before </w:t>
      </w:r>
      <w:r>
        <w:rPr>
          <w:rFonts w:ascii="Arial"/>
          <w:color w:val="1D1D1D"/>
          <w:w w:val="105"/>
          <w:sz w:val="21"/>
        </w:rPr>
        <w:t xml:space="preserve">MOFCOM, </w:t>
      </w:r>
      <w:r>
        <w:rPr>
          <w:rFonts w:ascii="Arial"/>
          <w:color w:val="0C0C0C"/>
          <w:w w:val="105"/>
          <w:sz w:val="21"/>
        </w:rPr>
        <w:t xml:space="preserve">in </w:t>
      </w:r>
      <w:r>
        <w:rPr>
          <w:rFonts w:ascii="Arial"/>
          <w:color w:val="1D1D1D"/>
          <w:w w:val="105"/>
          <w:sz w:val="21"/>
        </w:rPr>
        <w:t>the</w:t>
      </w:r>
      <w:r>
        <w:rPr>
          <w:rFonts w:ascii="Arial"/>
          <w:color w:val="1D1D1D"/>
          <w:spacing w:val="40"/>
          <w:w w:val="105"/>
          <w:sz w:val="21"/>
        </w:rPr>
        <w:t xml:space="preserve"> </w:t>
      </w:r>
      <w:r>
        <w:rPr>
          <w:rFonts w:ascii="Arial"/>
          <w:color w:val="1D1D1D"/>
          <w:w w:val="105"/>
          <w:sz w:val="21"/>
        </w:rPr>
        <w:t xml:space="preserve">form of Dumping </w:t>
      </w:r>
      <w:r>
        <w:rPr>
          <w:rFonts w:ascii="Arial"/>
          <w:color w:val="0C0C0C"/>
          <w:w w:val="105"/>
          <w:sz w:val="21"/>
        </w:rPr>
        <w:t xml:space="preserve">PCNs </w:t>
      </w:r>
      <w:r>
        <w:rPr>
          <w:rFonts w:ascii="Arial"/>
          <w:color w:val="1D1D1D"/>
          <w:w w:val="105"/>
          <w:sz w:val="21"/>
        </w:rPr>
        <w:t xml:space="preserve">and company-specific </w:t>
      </w:r>
      <w:r>
        <w:rPr>
          <w:rFonts w:ascii="Arial"/>
          <w:color w:val="0C0C0C"/>
          <w:w w:val="105"/>
          <w:sz w:val="21"/>
        </w:rPr>
        <w:t xml:space="preserve">product quality </w:t>
      </w:r>
      <w:r>
        <w:rPr>
          <w:rFonts w:ascii="Arial"/>
          <w:color w:val="1D1D1D"/>
          <w:w w:val="105"/>
          <w:sz w:val="21"/>
        </w:rPr>
        <w:t xml:space="preserve">category information, that clearly established the existence of </w:t>
      </w:r>
      <w:r>
        <w:rPr>
          <w:rFonts w:ascii="Arial"/>
          <w:color w:val="0C0C0C"/>
          <w:w w:val="105"/>
          <w:sz w:val="21"/>
        </w:rPr>
        <w:t xml:space="preserve">different types </w:t>
      </w:r>
      <w:r>
        <w:rPr>
          <w:rFonts w:ascii="Arial"/>
          <w:color w:val="1D1D1D"/>
          <w:w w:val="105"/>
          <w:sz w:val="21"/>
        </w:rPr>
        <w:t xml:space="preserve">and categories of wine </w:t>
      </w:r>
      <w:r>
        <w:rPr>
          <w:rFonts w:ascii="Arial"/>
          <w:color w:val="0C0C0C"/>
          <w:w w:val="105"/>
          <w:sz w:val="21"/>
        </w:rPr>
        <w:t xml:space="preserve">products that </w:t>
      </w:r>
      <w:r>
        <w:rPr>
          <w:rFonts w:ascii="Arial"/>
          <w:color w:val="1D1D1D"/>
          <w:w w:val="105"/>
          <w:sz w:val="21"/>
        </w:rPr>
        <w:t xml:space="preserve">were </w:t>
      </w:r>
      <w:r>
        <w:rPr>
          <w:rFonts w:ascii="Arial"/>
          <w:color w:val="0C0C0C"/>
          <w:w w:val="105"/>
          <w:sz w:val="21"/>
        </w:rPr>
        <w:t xml:space="preserve">distinguished </w:t>
      </w:r>
      <w:r>
        <w:rPr>
          <w:rFonts w:ascii="Arial"/>
          <w:color w:val="1D1D1D"/>
          <w:w w:val="105"/>
          <w:sz w:val="21"/>
        </w:rPr>
        <w:t>on the</w:t>
      </w:r>
      <w:r>
        <w:rPr>
          <w:rFonts w:ascii="Arial"/>
          <w:color w:val="1D1D1D"/>
          <w:spacing w:val="40"/>
          <w:w w:val="105"/>
          <w:sz w:val="21"/>
        </w:rPr>
        <w:t xml:space="preserve"> </w:t>
      </w:r>
      <w:r>
        <w:rPr>
          <w:rFonts w:ascii="Arial"/>
          <w:color w:val="0C0C0C"/>
          <w:w w:val="105"/>
          <w:sz w:val="21"/>
        </w:rPr>
        <w:t>bases</w:t>
      </w:r>
      <w:r>
        <w:rPr>
          <w:rFonts w:ascii="Arial"/>
          <w:color w:val="0C0C0C"/>
          <w:spacing w:val="-3"/>
          <w:w w:val="105"/>
          <w:sz w:val="21"/>
        </w:rPr>
        <w:t xml:space="preserve"> </w:t>
      </w:r>
      <w:r>
        <w:rPr>
          <w:rFonts w:ascii="Arial"/>
          <w:color w:val="1D1D1D"/>
          <w:w w:val="105"/>
          <w:sz w:val="21"/>
        </w:rPr>
        <w:t>of,</w:t>
      </w:r>
      <w:r>
        <w:rPr>
          <w:rFonts w:ascii="Arial"/>
          <w:color w:val="1D1D1D"/>
          <w:spacing w:val="40"/>
          <w:w w:val="105"/>
          <w:sz w:val="21"/>
        </w:rPr>
        <w:t xml:space="preserve"> </w:t>
      </w:r>
      <w:r>
        <w:rPr>
          <w:rFonts w:ascii="Times New Roman"/>
          <w:i/>
          <w:color w:val="1D1D1D"/>
          <w:w w:val="105"/>
          <w:sz w:val="23"/>
        </w:rPr>
        <w:t>inter</w:t>
      </w:r>
      <w:r>
        <w:rPr>
          <w:rFonts w:ascii="Times New Roman"/>
          <w:i/>
          <w:color w:val="1D1D1D"/>
          <w:spacing w:val="-2"/>
          <w:w w:val="105"/>
          <w:sz w:val="23"/>
        </w:rPr>
        <w:t xml:space="preserve"> </w:t>
      </w:r>
      <w:r>
        <w:rPr>
          <w:rFonts w:ascii="Times New Roman"/>
          <w:i/>
          <w:color w:val="0C0C0C"/>
          <w:w w:val="105"/>
          <w:sz w:val="23"/>
        </w:rPr>
        <w:t>alia,</w:t>
      </w:r>
      <w:r>
        <w:rPr>
          <w:rFonts w:ascii="Times New Roman"/>
          <w:i/>
          <w:color w:val="0C0C0C"/>
          <w:spacing w:val="-22"/>
          <w:w w:val="105"/>
          <w:sz w:val="23"/>
        </w:rPr>
        <w:t xml:space="preserve"> </w:t>
      </w:r>
      <w:r>
        <w:rPr>
          <w:rFonts w:ascii="Arial"/>
          <w:color w:val="0C0C0C"/>
          <w:w w:val="105"/>
          <w:sz w:val="21"/>
        </w:rPr>
        <w:t xml:space="preserve">quality </w:t>
      </w:r>
      <w:r>
        <w:rPr>
          <w:rFonts w:ascii="Arial"/>
          <w:color w:val="1D1D1D"/>
          <w:w w:val="105"/>
          <w:sz w:val="21"/>
        </w:rPr>
        <w:t xml:space="preserve">and considerable </w:t>
      </w:r>
      <w:r>
        <w:rPr>
          <w:rFonts w:ascii="Arial"/>
          <w:color w:val="0C0C0C"/>
          <w:w w:val="105"/>
          <w:sz w:val="21"/>
        </w:rPr>
        <w:t>price</w:t>
      </w:r>
      <w:r>
        <w:rPr>
          <w:rFonts w:ascii="Arial"/>
          <w:color w:val="0C0C0C"/>
          <w:spacing w:val="-1"/>
          <w:w w:val="105"/>
          <w:sz w:val="21"/>
        </w:rPr>
        <w:t xml:space="preserve"> </w:t>
      </w:r>
      <w:r>
        <w:rPr>
          <w:rFonts w:ascii="Arial"/>
          <w:color w:val="0C0C0C"/>
          <w:w w:val="105"/>
          <w:sz w:val="21"/>
        </w:rPr>
        <w:t>differences</w:t>
      </w:r>
      <w:r>
        <w:rPr>
          <w:rFonts w:ascii="Arial"/>
          <w:color w:val="363636"/>
          <w:w w:val="105"/>
          <w:sz w:val="21"/>
        </w:rPr>
        <w:t>.</w:t>
      </w:r>
    </w:p>
    <w:p w14:paraId="51DE8F09" w14:textId="77777777" w:rsidR="0010369C" w:rsidRDefault="008E43AE">
      <w:pPr>
        <w:pStyle w:val="ListParagraph"/>
        <w:numPr>
          <w:ilvl w:val="0"/>
          <w:numId w:val="54"/>
        </w:numPr>
        <w:tabs>
          <w:tab w:val="left" w:pos="1093"/>
        </w:tabs>
        <w:spacing w:before="157"/>
        <w:ind w:left="1092" w:hanging="858"/>
        <w:jc w:val="both"/>
        <w:rPr>
          <w:rFonts w:ascii="Arial"/>
          <w:color w:val="1D1D1D"/>
          <w:sz w:val="21"/>
        </w:rPr>
      </w:pPr>
      <w:r>
        <w:rPr>
          <w:rFonts w:ascii="Arial"/>
          <w:color w:val="1D1D1D"/>
          <w:spacing w:val="-2"/>
          <w:w w:val="105"/>
          <w:sz w:val="21"/>
        </w:rPr>
        <w:t>By</w:t>
      </w:r>
      <w:r>
        <w:rPr>
          <w:rFonts w:ascii="Arial"/>
          <w:color w:val="1D1D1D"/>
          <w:spacing w:val="-19"/>
          <w:w w:val="105"/>
          <w:sz w:val="21"/>
        </w:rPr>
        <w:t xml:space="preserve"> </w:t>
      </w:r>
      <w:r>
        <w:rPr>
          <w:rFonts w:ascii="Arial"/>
          <w:color w:val="1D1D1D"/>
          <w:spacing w:val="-2"/>
          <w:w w:val="105"/>
          <w:sz w:val="21"/>
        </w:rPr>
        <w:t>way</w:t>
      </w:r>
      <w:r>
        <w:rPr>
          <w:rFonts w:ascii="Arial"/>
          <w:color w:val="1D1D1D"/>
          <w:spacing w:val="-14"/>
          <w:w w:val="105"/>
          <w:sz w:val="21"/>
        </w:rPr>
        <w:t xml:space="preserve"> </w:t>
      </w:r>
      <w:r>
        <w:rPr>
          <w:rFonts w:ascii="Arial"/>
          <w:color w:val="1D1D1D"/>
          <w:spacing w:val="-2"/>
          <w:w w:val="105"/>
          <w:sz w:val="21"/>
        </w:rPr>
        <w:t>of</w:t>
      </w:r>
      <w:r>
        <w:rPr>
          <w:rFonts w:ascii="Arial"/>
          <w:color w:val="1D1D1D"/>
          <w:spacing w:val="-4"/>
          <w:w w:val="105"/>
          <w:sz w:val="21"/>
        </w:rPr>
        <w:t xml:space="preserve"> </w:t>
      </w:r>
      <w:r>
        <w:rPr>
          <w:rFonts w:ascii="Arial"/>
          <w:color w:val="1D1D1D"/>
          <w:spacing w:val="-2"/>
          <w:w w:val="105"/>
          <w:sz w:val="21"/>
        </w:rPr>
        <w:t>example,</w:t>
      </w:r>
      <w:r>
        <w:rPr>
          <w:rFonts w:ascii="Arial"/>
          <w:color w:val="1D1D1D"/>
          <w:spacing w:val="-16"/>
          <w:w w:val="105"/>
          <w:sz w:val="21"/>
        </w:rPr>
        <w:t xml:space="preserve"> </w:t>
      </w:r>
      <w:r>
        <w:rPr>
          <w:rFonts w:ascii="Arial"/>
          <w:color w:val="1D1D1D"/>
          <w:spacing w:val="-2"/>
          <w:w w:val="105"/>
          <w:sz w:val="21"/>
        </w:rPr>
        <w:t>as</w:t>
      </w:r>
      <w:r>
        <w:rPr>
          <w:rFonts w:ascii="Arial"/>
          <w:color w:val="1D1D1D"/>
          <w:spacing w:val="-13"/>
          <w:w w:val="105"/>
          <w:sz w:val="21"/>
        </w:rPr>
        <w:t xml:space="preserve"> </w:t>
      </w:r>
      <w:r>
        <w:rPr>
          <w:rFonts w:ascii="Arial"/>
          <w:color w:val="1D1D1D"/>
          <w:spacing w:val="-2"/>
          <w:w w:val="105"/>
          <w:sz w:val="21"/>
        </w:rPr>
        <w:t>set</w:t>
      </w:r>
      <w:r>
        <w:rPr>
          <w:rFonts w:ascii="Arial"/>
          <w:color w:val="1D1D1D"/>
          <w:spacing w:val="-16"/>
          <w:w w:val="105"/>
          <w:sz w:val="21"/>
        </w:rPr>
        <w:t xml:space="preserve"> </w:t>
      </w:r>
      <w:r>
        <w:rPr>
          <w:rFonts w:ascii="Arial"/>
          <w:color w:val="1D1D1D"/>
          <w:spacing w:val="-2"/>
          <w:w w:val="105"/>
          <w:sz w:val="21"/>
        </w:rPr>
        <w:t>out</w:t>
      </w:r>
      <w:r>
        <w:rPr>
          <w:rFonts w:ascii="Arial"/>
          <w:color w:val="1D1D1D"/>
          <w:spacing w:val="11"/>
          <w:w w:val="105"/>
          <w:sz w:val="21"/>
        </w:rPr>
        <w:t xml:space="preserve"> </w:t>
      </w:r>
      <w:r>
        <w:rPr>
          <w:rFonts w:ascii="Arial"/>
          <w:color w:val="1D1D1D"/>
          <w:spacing w:val="-2"/>
          <w:w w:val="105"/>
          <w:sz w:val="21"/>
        </w:rPr>
        <w:t>in</w:t>
      </w:r>
      <w:r>
        <w:rPr>
          <w:rFonts w:ascii="Arial"/>
          <w:color w:val="1D1D1D"/>
          <w:spacing w:val="-6"/>
          <w:w w:val="105"/>
          <w:sz w:val="21"/>
        </w:rPr>
        <w:t xml:space="preserve"> </w:t>
      </w:r>
      <w:r>
        <w:rPr>
          <w:rFonts w:ascii="Arial"/>
          <w:color w:val="1D1D1D"/>
          <w:spacing w:val="-2"/>
          <w:w w:val="105"/>
          <w:sz w:val="21"/>
        </w:rPr>
        <w:t>Table</w:t>
      </w:r>
      <w:r>
        <w:rPr>
          <w:rFonts w:ascii="Arial"/>
          <w:color w:val="1D1D1D"/>
          <w:spacing w:val="-21"/>
          <w:w w:val="105"/>
          <w:sz w:val="21"/>
        </w:rPr>
        <w:t xml:space="preserve"> </w:t>
      </w:r>
      <w:r>
        <w:rPr>
          <w:rFonts w:ascii="Arial"/>
          <w:color w:val="1D1D1D"/>
          <w:spacing w:val="-2"/>
          <w:w w:val="105"/>
          <w:sz w:val="20"/>
        </w:rPr>
        <w:t>3</w:t>
      </w:r>
      <w:r>
        <w:rPr>
          <w:rFonts w:ascii="Arial"/>
          <w:color w:val="1D1D1D"/>
          <w:spacing w:val="-3"/>
          <w:w w:val="105"/>
          <w:sz w:val="20"/>
        </w:rPr>
        <w:t xml:space="preserve"> </w:t>
      </w:r>
      <w:r>
        <w:rPr>
          <w:rFonts w:ascii="Arial"/>
          <w:color w:val="1D1D1D"/>
          <w:spacing w:val="-2"/>
          <w:w w:val="105"/>
          <w:sz w:val="21"/>
        </w:rPr>
        <w:t>in</w:t>
      </w:r>
      <w:r>
        <w:rPr>
          <w:rFonts w:ascii="Arial"/>
          <w:color w:val="1D1D1D"/>
          <w:spacing w:val="-7"/>
          <w:w w:val="105"/>
          <w:sz w:val="21"/>
        </w:rPr>
        <w:t xml:space="preserve"> </w:t>
      </w:r>
      <w:r>
        <w:rPr>
          <w:rFonts w:ascii="Arial"/>
          <w:color w:val="0C0C0C"/>
          <w:spacing w:val="-2"/>
          <w:w w:val="105"/>
          <w:sz w:val="21"/>
        </w:rPr>
        <w:t>Exhibit</w:t>
      </w:r>
      <w:r>
        <w:rPr>
          <w:rFonts w:ascii="Arial"/>
          <w:color w:val="0C0C0C"/>
          <w:spacing w:val="-13"/>
          <w:w w:val="105"/>
          <w:sz w:val="21"/>
        </w:rPr>
        <w:t xml:space="preserve"> </w:t>
      </w:r>
      <w:r>
        <w:rPr>
          <w:rFonts w:ascii="Arial"/>
          <w:color w:val="1D1D1D"/>
          <w:spacing w:val="-2"/>
          <w:w w:val="105"/>
          <w:sz w:val="21"/>
        </w:rPr>
        <w:t>AUS-65</w:t>
      </w:r>
      <w:r>
        <w:rPr>
          <w:rFonts w:ascii="Arial"/>
          <w:color w:val="1D1D1D"/>
          <w:spacing w:val="-10"/>
          <w:w w:val="105"/>
          <w:sz w:val="21"/>
        </w:rPr>
        <w:t xml:space="preserve"> </w:t>
      </w:r>
      <w:r>
        <w:rPr>
          <w:rFonts w:ascii="Arial"/>
          <w:color w:val="1D1D1D"/>
          <w:spacing w:val="-2"/>
          <w:w w:val="105"/>
          <w:sz w:val="21"/>
        </w:rPr>
        <w:t>(BCl),</w:t>
      </w:r>
      <w:r>
        <w:rPr>
          <w:rFonts w:ascii="Arial"/>
          <w:color w:val="1D1D1D"/>
          <w:spacing w:val="-2"/>
          <w:w w:val="105"/>
          <w:sz w:val="21"/>
          <w:vertAlign w:val="superscript"/>
        </w:rPr>
        <w:t>676</w:t>
      </w:r>
      <w:r>
        <w:rPr>
          <w:rFonts w:ascii="Arial"/>
          <w:color w:val="1D1D1D"/>
          <w:spacing w:val="-13"/>
          <w:w w:val="105"/>
          <w:sz w:val="21"/>
        </w:rPr>
        <w:t xml:space="preserve"> </w:t>
      </w:r>
      <w:r>
        <w:rPr>
          <w:rFonts w:ascii="Arial"/>
          <w:color w:val="1D1D1D"/>
          <w:spacing w:val="-2"/>
          <w:w w:val="105"/>
          <w:sz w:val="21"/>
        </w:rPr>
        <w:t>in</w:t>
      </w:r>
      <w:r>
        <w:rPr>
          <w:rFonts w:ascii="Arial"/>
          <w:color w:val="1D1D1D"/>
          <w:spacing w:val="11"/>
          <w:w w:val="105"/>
          <w:sz w:val="21"/>
        </w:rPr>
        <w:t xml:space="preserve"> </w:t>
      </w:r>
      <w:r>
        <w:rPr>
          <w:rFonts w:ascii="Arial"/>
          <w:color w:val="1D1D1D"/>
          <w:spacing w:val="-2"/>
          <w:w w:val="105"/>
          <w:sz w:val="21"/>
        </w:rPr>
        <w:t>2019</w:t>
      </w:r>
      <w:r>
        <w:rPr>
          <w:rFonts w:ascii="Arial"/>
          <w:color w:val="1D1D1D"/>
          <w:spacing w:val="-8"/>
          <w:w w:val="105"/>
          <w:sz w:val="21"/>
        </w:rPr>
        <w:t xml:space="preserve"> </w:t>
      </w:r>
      <w:r>
        <w:rPr>
          <w:rFonts w:ascii="Arial"/>
          <w:color w:val="0C0C0C"/>
          <w:spacing w:val="-5"/>
          <w:w w:val="105"/>
          <w:sz w:val="21"/>
        </w:rPr>
        <w:t>[-</w:t>
      </w:r>
    </w:p>
    <w:p w14:paraId="51DE8F0A" w14:textId="77777777" w:rsidR="0010369C" w:rsidRDefault="008E43AE">
      <w:pPr>
        <w:pStyle w:val="BodyText"/>
        <w:spacing w:before="1"/>
        <w:rPr>
          <w:rFonts w:ascii="Arial"/>
          <w:sz w:val="14"/>
        </w:rPr>
      </w:pPr>
      <w:r>
        <w:pict w14:anchorId="51DEA4A9">
          <v:group id="docshapegroup1064" o:spid="_x0000_s1315" style="position:absolute;margin-left:70.25pt;margin-top:9.3pt;width:455.55pt;height:147.85pt;z-index:-250827264;mso-wrap-distance-left:0;mso-wrap-distance-right:0;mso-position-horizontal-relative:page" coordorigin="1405,186" coordsize="9111,2957">
            <v:shape id="docshape1065" o:spid="_x0000_s1317" type="#_x0000_t75" style="position:absolute;left:1404;top:186;width:9111;height:2957">
              <v:imagedata r:id="rId787" o:title=""/>
            </v:shape>
            <v:shape id="docshape1066" o:spid="_x0000_s1316" type="#_x0000_t202" style="position:absolute;left:1404;top:186;width:9111;height:2957" filled="f" stroked="f">
              <v:textbox inset="0,0,0,0">
                <w:txbxContent>
                  <w:p w14:paraId="51DEAC7D" w14:textId="77777777" w:rsidR="0010369C" w:rsidRDefault="0010369C">
                    <w:pPr>
                      <w:rPr>
                        <w:rFonts w:ascii="Arial"/>
                        <w:sz w:val="24"/>
                      </w:rPr>
                    </w:pPr>
                  </w:p>
                  <w:p w14:paraId="51DEAC7E" w14:textId="77777777" w:rsidR="0010369C" w:rsidRDefault="0010369C">
                    <w:pPr>
                      <w:rPr>
                        <w:rFonts w:ascii="Arial"/>
                        <w:sz w:val="24"/>
                      </w:rPr>
                    </w:pPr>
                  </w:p>
                  <w:p w14:paraId="51DEAC7F" w14:textId="77777777" w:rsidR="0010369C" w:rsidRDefault="0010369C">
                    <w:pPr>
                      <w:rPr>
                        <w:rFonts w:ascii="Arial"/>
                        <w:sz w:val="24"/>
                      </w:rPr>
                    </w:pPr>
                  </w:p>
                  <w:p w14:paraId="51DEAC80" w14:textId="77777777" w:rsidR="0010369C" w:rsidRDefault="0010369C">
                    <w:pPr>
                      <w:rPr>
                        <w:rFonts w:ascii="Arial"/>
                        <w:sz w:val="24"/>
                      </w:rPr>
                    </w:pPr>
                  </w:p>
                  <w:p w14:paraId="51DEAC81" w14:textId="77777777" w:rsidR="0010369C" w:rsidRDefault="0010369C">
                    <w:pPr>
                      <w:rPr>
                        <w:rFonts w:ascii="Arial"/>
                        <w:sz w:val="24"/>
                      </w:rPr>
                    </w:pPr>
                  </w:p>
                  <w:p w14:paraId="51DEAC82" w14:textId="77777777" w:rsidR="0010369C" w:rsidRDefault="0010369C">
                    <w:pPr>
                      <w:rPr>
                        <w:rFonts w:ascii="Arial"/>
                        <w:sz w:val="24"/>
                      </w:rPr>
                    </w:pPr>
                  </w:p>
                  <w:p w14:paraId="51DEAC83" w14:textId="77777777" w:rsidR="0010369C" w:rsidRDefault="0010369C">
                    <w:pPr>
                      <w:rPr>
                        <w:rFonts w:ascii="Arial"/>
                        <w:sz w:val="24"/>
                      </w:rPr>
                    </w:pPr>
                  </w:p>
                  <w:p w14:paraId="51DEAC84" w14:textId="77777777" w:rsidR="0010369C" w:rsidRDefault="0010369C">
                    <w:pPr>
                      <w:rPr>
                        <w:rFonts w:ascii="Arial"/>
                        <w:sz w:val="24"/>
                      </w:rPr>
                    </w:pPr>
                  </w:p>
                  <w:p w14:paraId="51DEAC85" w14:textId="77777777" w:rsidR="0010369C" w:rsidRDefault="0010369C">
                    <w:pPr>
                      <w:rPr>
                        <w:rFonts w:ascii="Arial"/>
                        <w:sz w:val="24"/>
                      </w:rPr>
                    </w:pPr>
                  </w:p>
                  <w:p w14:paraId="51DEAC86" w14:textId="77777777" w:rsidR="0010369C" w:rsidRDefault="008E43AE">
                    <w:pPr>
                      <w:spacing w:before="166"/>
                      <w:ind w:left="3497"/>
                      <w:rPr>
                        <w:rFonts w:ascii="Arial"/>
                        <w:sz w:val="21"/>
                      </w:rPr>
                    </w:pPr>
                    <w:r>
                      <w:rPr>
                        <w:rFonts w:ascii="Arial"/>
                        <w:color w:val="0C0C0C"/>
                        <w:w w:val="105"/>
                        <w:sz w:val="21"/>
                      </w:rPr>
                      <w:t>]]</w:t>
                    </w:r>
                    <w:r>
                      <w:rPr>
                        <w:rFonts w:ascii="Arial"/>
                        <w:color w:val="363636"/>
                        <w:w w:val="105"/>
                        <w:sz w:val="21"/>
                      </w:rPr>
                      <w:t>.</w:t>
                    </w:r>
                    <w:r>
                      <w:rPr>
                        <w:rFonts w:ascii="Arial"/>
                        <w:color w:val="363636"/>
                        <w:spacing w:val="-14"/>
                        <w:w w:val="105"/>
                        <w:sz w:val="21"/>
                      </w:rPr>
                      <w:t xml:space="preserve"> </w:t>
                    </w:r>
                    <w:r>
                      <w:rPr>
                        <w:rFonts w:ascii="Arial"/>
                        <w:color w:val="0C0C0C"/>
                        <w:w w:val="105"/>
                        <w:sz w:val="21"/>
                      </w:rPr>
                      <w:t>MOFCOM</w:t>
                    </w:r>
                    <w:r>
                      <w:rPr>
                        <w:rFonts w:ascii="Arial"/>
                        <w:color w:val="0C0C0C"/>
                        <w:spacing w:val="8"/>
                        <w:w w:val="105"/>
                        <w:sz w:val="21"/>
                      </w:rPr>
                      <w:t xml:space="preserve"> </w:t>
                    </w:r>
                    <w:r>
                      <w:rPr>
                        <w:rFonts w:ascii="Arial"/>
                        <w:color w:val="1D1D1D"/>
                        <w:w w:val="105"/>
                        <w:sz w:val="21"/>
                      </w:rPr>
                      <w:t>was</w:t>
                    </w:r>
                    <w:r>
                      <w:rPr>
                        <w:rFonts w:ascii="Arial"/>
                        <w:color w:val="1D1D1D"/>
                        <w:spacing w:val="-16"/>
                        <w:w w:val="105"/>
                        <w:sz w:val="21"/>
                      </w:rPr>
                      <w:t xml:space="preserve"> </w:t>
                    </w:r>
                    <w:r>
                      <w:rPr>
                        <w:rFonts w:ascii="Arial"/>
                        <w:color w:val="1D1D1D"/>
                        <w:w w:val="105"/>
                        <w:sz w:val="21"/>
                      </w:rPr>
                      <w:t>not</w:t>
                    </w:r>
                    <w:r>
                      <w:rPr>
                        <w:rFonts w:ascii="Arial"/>
                        <w:color w:val="1D1D1D"/>
                        <w:spacing w:val="38"/>
                        <w:w w:val="105"/>
                        <w:sz w:val="21"/>
                      </w:rPr>
                      <w:t xml:space="preserve"> </w:t>
                    </w:r>
                    <w:r>
                      <w:rPr>
                        <w:rFonts w:ascii="Arial"/>
                        <w:color w:val="1D1D1D"/>
                        <w:w w:val="105"/>
                        <w:sz w:val="21"/>
                      </w:rPr>
                      <w:t>entitled</w:t>
                    </w:r>
                    <w:r>
                      <w:rPr>
                        <w:rFonts w:ascii="Arial"/>
                        <w:color w:val="1D1D1D"/>
                        <w:spacing w:val="-22"/>
                        <w:w w:val="105"/>
                        <w:sz w:val="21"/>
                      </w:rPr>
                      <w:t xml:space="preserve"> </w:t>
                    </w:r>
                    <w:r>
                      <w:rPr>
                        <w:rFonts w:ascii="Arial"/>
                        <w:color w:val="1D1D1D"/>
                        <w:w w:val="105"/>
                        <w:sz w:val="21"/>
                      </w:rPr>
                      <w:t>to</w:t>
                    </w:r>
                    <w:r>
                      <w:rPr>
                        <w:rFonts w:ascii="Arial"/>
                        <w:color w:val="1D1D1D"/>
                        <w:spacing w:val="8"/>
                        <w:w w:val="105"/>
                        <w:sz w:val="21"/>
                      </w:rPr>
                      <w:t xml:space="preserve"> </w:t>
                    </w:r>
                    <w:r>
                      <w:rPr>
                        <w:rFonts w:ascii="Arial"/>
                        <w:color w:val="0C0C0C"/>
                        <w:w w:val="105"/>
                        <w:sz w:val="21"/>
                      </w:rPr>
                      <w:t>disregard</w:t>
                    </w:r>
                    <w:r>
                      <w:rPr>
                        <w:rFonts w:ascii="Arial"/>
                        <w:color w:val="0C0C0C"/>
                        <w:spacing w:val="-7"/>
                        <w:w w:val="105"/>
                        <w:sz w:val="21"/>
                      </w:rPr>
                      <w:t xml:space="preserve"> </w:t>
                    </w:r>
                    <w:r>
                      <w:rPr>
                        <w:rFonts w:ascii="Arial"/>
                        <w:color w:val="1D1D1D"/>
                        <w:w w:val="105"/>
                        <w:sz w:val="21"/>
                      </w:rPr>
                      <w:t>the</w:t>
                    </w:r>
                    <w:r>
                      <w:rPr>
                        <w:rFonts w:ascii="Arial"/>
                        <w:color w:val="1D1D1D"/>
                        <w:spacing w:val="10"/>
                        <w:w w:val="105"/>
                        <w:sz w:val="21"/>
                      </w:rPr>
                      <w:t xml:space="preserve"> </w:t>
                    </w:r>
                    <w:r>
                      <w:rPr>
                        <w:rFonts w:ascii="Arial"/>
                        <w:color w:val="1D1D1D"/>
                        <w:spacing w:val="-2"/>
                        <w:w w:val="105"/>
                        <w:sz w:val="21"/>
                      </w:rPr>
                      <w:t>substantial</w:t>
                    </w:r>
                  </w:p>
                </w:txbxContent>
              </v:textbox>
            </v:shape>
            <w10:wrap type="topAndBottom" anchorx="page"/>
          </v:group>
        </w:pict>
      </w:r>
    </w:p>
    <w:p w14:paraId="51DE8F0B" w14:textId="77777777" w:rsidR="0010369C" w:rsidRDefault="008E43AE">
      <w:pPr>
        <w:spacing w:before="134" w:line="444" w:lineRule="auto"/>
        <w:ind w:left="240" w:right="576" w:firstLine="6"/>
        <w:jc w:val="both"/>
        <w:rPr>
          <w:rFonts w:ascii="Arial"/>
          <w:sz w:val="21"/>
        </w:rPr>
      </w:pPr>
      <w:r>
        <w:rPr>
          <w:rFonts w:ascii="Arial"/>
          <w:color w:val="1D1D1D"/>
          <w:w w:val="105"/>
          <w:sz w:val="21"/>
        </w:rPr>
        <w:t>evidence that</w:t>
      </w:r>
      <w:r>
        <w:rPr>
          <w:rFonts w:ascii="Arial"/>
          <w:color w:val="1D1D1D"/>
          <w:spacing w:val="-4"/>
          <w:w w:val="105"/>
          <w:sz w:val="21"/>
        </w:rPr>
        <w:t xml:space="preserve"> </w:t>
      </w:r>
      <w:r>
        <w:rPr>
          <w:rFonts w:ascii="Arial"/>
          <w:color w:val="1D1D1D"/>
          <w:w w:val="105"/>
          <w:sz w:val="21"/>
        </w:rPr>
        <w:t>was</w:t>
      </w:r>
      <w:r>
        <w:rPr>
          <w:rFonts w:ascii="Arial"/>
          <w:color w:val="1D1D1D"/>
          <w:spacing w:val="-2"/>
          <w:w w:val="105"/>
          <w:sz w:val="21"/>
        </w:rPr>
        <w:t xml:space="preserve"> </w:t>
      </w:r>
      <w:r>
        <w:rPr>
          <w:rFonts w:ascii="Arial"/>
          <w:color w:val="0C0C0C"/>
          <w:w w:val="105"/>
          <w:sz w:val="21"/>
        </w:rPr>
        <w:t>before</w:t>
      </w:r>
      <w:r>
        <w:rPr>
          <w:rFonts w:ascii="Arial"/>
          <w:color w:val="0C0C0C"/>
          <w:spacing w:val="-2"/>
          <w:w w:val="105"/>
          <w:sz w:val="21"/>
        </w:rPr>
        <w:t xml:space="preserve"> </w:t>
      </w:r>
      <w:r>
        <w:rPr>
          <w:rFonts w:ascii="Arial"/>
          <w:color w:val="0C0C0C"/>
          <w:w w:val="105"/>
          <w:sz w:val="21"/>
        </w:rPr>
        <w:t xml:space="preserve">it </w:t>
      </w:r>
      <w:r>
        <w:rPr>
          <w:rFonts w:ascii="Arial"/>
          <w:color w:val="1D1D1D"/>
          <w:w w:val="105"/>
          <w:sz w:val="21"/>
        </w:rPr>
        <w:t xml:space="preserve">on </w:t>
      </w:r>
      <w:r>
        <w:rPr>
          <w:rFonts w:ascii="Arial"/>
          <w:color w:val="0C0C0C"/>
          <w:w w:val="105"/>
          <w:sz w:val="21"/>
        </w:rPr>
        <w:t>the basis</w:t>
      </w:r>
      <w:r>
        <w:rPr>
          <w:rFonts w:ascii="Arial"/>
          <w:color w:val="0C0C0C"/>
          <w:spacing w:val="-6"/>
          <w:w w:val="105"/>
          <w:sz w:val="21"/>
        </w:rPr>
        <w:t xml:space="preserve"> </w:t>
      </w:r>
      <w:r>
        <w:rPr>
          <w:rFonts w:ascii="Arial"/>
          <w:color w:val="1D1D1D"/>
          <w:w w:val="105"/>
          <w:sz w:val="21"/>
        </w:rPr>
        <w:t>that some other aspect of</w:t>
      </w:r>
      <w:r>
        <w:rPr>
          <w:rFonts w:ascii="Arial"/>
          <w:color w:val="1D1D1D"/>
          <w:spacing w:val="31"/>
          <w:w w:val="105"/>
          <w:sz w:val="21"/>
        </w:rPr>
        <w:t xml:space="preserve"> </w:t>
      </w:r>
      <w:r>
        <w:rPr>
          <w:rFonts w:ascii="Arial"/>
          <w:color w:val="1D1D1D"/>
          <w:w w:val="105"/>
          <w:sz w:val="21"/>
        </w:rPr>
        <w:t>the</w:t>
      </w:r>
      <w:r>
        <w:rPr>
          <w:rFonts w:ascii="Arial"/>
          <w:color w:val="1D1D1D"/>
          <w:spacing w:val="40"/>
          <w:w w:val="105"/>
          <w:sz w:val="21"/>
        </w:rPr>
        <w:t xml:space="preserve"> </w:t>
      </w:r>
      <w:r>
        <w:rPr>
          <w:rFonts w:ascii="Arial"/>
          <w:color w:val="1D1D1D"/>
          <w:w w:val="105"/>
          <w:sz w:val="21"/>
        </w:rPr>
        <w:t>evidence sought was not</w:t>
      </w:r>
      <w:r>
        <w:rPr>
          <w:rFonts w:ascii="Arial"/>
          <w:color w:val="1D1D1D"/>
          <w:spacing w:val="40"/>
          <w:w w:val="105"/>
          <w:sz w:val="21"/>
        </w:rPr>
        <w:t xml:space="preserve"> </w:t>
      </w:r>
      <w:r>
        <w:rPr>
          <w:rFonts w:ascii="Arial"/>
          <w:color w:val="1D1D1D"/>
          <w:w w:val="105"/>
          <w:sz w:val="21"/>
        </w:rPr>
        <w:t>provided. An investigating authority</w:t>
      </w:r>
      <w:r>
        <w:rPr>
          <w:rFonts w:ascii="Arial"/>
          <w:color w:val="1D1D1D"/>
          <w:spacing w:val="21"/>
          <w:w w:val="105"/>
          <w:sz w:val="21"/>
        </w:rPr>
        <w:t xml:space="preserve"> </w:t>
      </w:r>
      <w:r>
        <w:rPr>
          <w:rFonts w:ascii="Arial"/>
          <w:color w:val="1D1D1D"/>
          <w:w w:val="105"/>
          <w:sz w:val="21"/>
        </w:rPr>
        <w:t>is</w:t>
      </w:r>
      <w:r>
        <w:rPr>
          <w:rFonts w:ascii="Arial"/>
          <w:color w:val="1D1D1D"/>
          <w:spacing w:val="-9"/>
          <w:w w:val="105"/>
          <w:sz w:val="21"/>
        </w:rPr>
        <w:t xml:space="preserve"> </w:t>
      </w:r>
      <w:r>
        <w:rPr>
          <w:rFonts w:ascii="Arial"/>
          <w:color w:val="1D1D1D"/>
          <w:w w:val="105"/>
          <w:sz w:val="21"/>
        </w:rPr>
        <w:t>not</w:t>
      </w:r>
      <w:r>
        <w:rPr>
          <w:rFonts w:ascii="Arial"/>
          <w:color w:val="1D1D1D"/>
          <w:spacing w:val="31"/>
          <w:w w:val="105"/>
          <w:sz w:val="21"/>
        </w:rPr>
        <w:t xml:space="preserve"> </w:t>
      </w:r>
      <w:r>
        <w:rPr>
          <w:rFonts w:ascii="Arial"/>
          <w:color w:val="1D1D1D"/>
          <w:w w:val="105"/>
          <w:sz w:val="21"/>
        </w:rPr>
        <w:t>entitled to</w:t>
      </w:r>
      <w:r>
        <w:rPr>
          <w:rFonts w:ascii="Arial"/>
          <w:color w:val="1D1D1D"/>
          <w:spacing w:val="30"/>
          <w:w w:val="105"/>
          <w:sz w:val="21"/>
        </w:rPr>
        <w:t xml:space="preserve"> </w:t>
      </w:r>
      <w:r>
        <w:rPr>
          <w:rFonts w:ascii="Arial"/>
          <w:color w:val="0C0C0C"/>
          <w:w w:val="105"/>
          <w:sz w:val="21"/>
        </w:rPr>
        <w:t xml:space="preserve">disregard </w:t>
      </w:r>
      <w:r>
        <w:rPr>
          <w:rFonts w:ascii="Arial"/>
          <w:color w:val="1D1D1D"/>
          <w:w w:val="105"/>
          <w:sz w:val="21"/>
        </w:rPr>
        <w:t>relevant</w:t>
      </w:r>
      <w:r>
        <w:rPr>
          <w:rFonts w:ascii="Arial"/>
          <w:color w:val="1D1D1D"/>
          <w:spacing w:val="27"/>
          <w:w w:val="105"/>
          <w:sz w:val="21"/>
        </w:rPr>
        <w:t xml:space="preserve"> </w:t>
      </w:r>
      <w:r>
        <w:rPr>
          <w:rFonts w:ascii="Arial"/>
          <w:color w:val="1D1D1D"/>
          <w:w w:val="105"/>
          <w:sz w:val="21"/>
        </w:rPr>
        <w:t>evidence</w:t>
      </w:r>
      <w:r>
        <w:rPr>
          <w:rFonts w:ascii="Arial"/>
          <w:color w:val="1D1D1D"/>
          <w:spacing w:val="18"/>
          <w:w w:val="105"/>
          <w:sz w:val="21"/>
        </w:rPr>
        <w:t xml:space="preserve"> </w:t>
      </w:r>
      <w:r>
        <w:rPr>
          <w:rFonts w:ascii="Arial"/>
          <w:color w:val="0C0C0C"/>
          <w:w w:val="105"/>
          <w:sz w:val="21"/>
        </w:rPr>
        <w:t xml:space="preserve">before </w:t>
      </w:r>
      <w:r>
        <w:rPr>
          <w:rFonts w:ascii="Arial"/>
          <w:color w:val="1D1D1D"/>
          <w:w w:val="105"/>
          <w:sz w:val="21"/>
        </w:rPr>
        <w:t>it on</w:t>
      </w:r>
      <w:r>
        <w:rPr>
          <w:rFonts w:ascii="Arial"/>
          <w:color w:val="1D1D1D"/>
          <w:spacing w:val="-7"/>
          <w:w w:val="105"/>
          <w:sz w:val="21"/>
        </w:rPr>
        <w:t xml:space="preserve"> </w:t>
      </w:r>
      <w:r>
        <w:rPr>
          <w:rFonts w:ascii="Arial"/>
          <w:color w:val="1D1D1D"/>
          <w:w w:val="105"/>
          <w:sz w:val="21"/>
        </w:rPr>
        <w:t xml:space="preserve">the </w:t>
      </w:r>
      <w:r>
        <w:rPr>
          <w:rFonts w:ascii="Arial"/>
          <w:color w:val="0C0C0C"/>
          <w:w w:val="105"/>
          <w:sz w:val="21"/>
        </w:rPr>
        <w:t xml:space="preserve">basis </w:t>
      </w:r>
      <w:r>
        <w:rPr>
          <w:rFonts w:ascii="Arial"/>
          <w:color w:val="1D1D1D"/>
          <w:w w:val="105"/>
          <w:sz w:val="21"/>
        </w:rPr>
        <w:t>of</w:t>
      </w:r>
      <w:r>
        <w:rPr>
          <w:rFonts w:ascii="Arial"/>
          <w:color w:val="1D1D1D"/>
          <w:spacing w:val="35"/>
          <w:w w:val="105"/>
          <w:sz w:val="21"/>
        </w:rPr>
        <w:t xml:space="preserve"> </w:t>
      </w:r>
      <w:r>
        <w:rPr>
          <w:rFonts w:ascii="Arial"/>
          <w:color w:val="0C0C0C"/>
          <w:w w:val="105"/>
          <w:sz w:val="21"/>
        </w:rPr>
        <w:t xml:space="preserve">its </w:t>
      </w:r>
      <w:r>
        <w:rPr>
          <w:rFonts w:ascii="Arial"/>
          <w:color w:val="1D1D1D"/>
          <w:w w:val="105"/>
          <w:sz w:val="21"/>
        </w:rPr>
        <w:t>perception that</w:t>
      </w:r>
      <w:r>
        <w:rPr>
          <w:rFonts w:ascii="Arial"/>
          <w:color w:val="1D1D1D"/>
          <w:spacing w:val="-6"/>
          <w:w w:val="105"/>
          <w:sz w:val="21"/>
        </w:rPr>
        <w:t xml:space="preserve"> </w:t>
      </w:r>
      <w:r>
        <w:rPr>
          <w:rFonts w:ascii="Arial"/>
          <w:color w:val="1D1D1D"/>
          <w:w w:val="105"/>
          <w:sz w:val="21"/>
        </w:rPr>
        <w:t>such</w:t>
      </w:r>
      <w:r>
        <w:rPr>
          <w:rFonts w:ascii="Arial"/>
          <w:color w:val="1D1D1D"/>
          <w:spacing w:val="-7"/>
          <w:w w:val="105"/>
          <w:sz w:val="21"/>
        </w:rPr>
        <w:t xml:space="preserve"> </w:t>
      </w:r>
      <w:r>
        <w:rPr>
          <w:rFonts w:ascii="Arial"/>
          <w:color w:val="1D1D1D"/>
          <w:w w:val="105"/>
          <w:sz w:val="21"/>
        </w:rPr>
        <w:t xml:space="preserve">evidence </w:t>
      </w:r>
      <w:r>
        <w:rPr>
          <w:rFonts w:ascii="Arial"/>
          <w:color w:val="0C0C0C"/>
          <w:w w:val="105"/>
          <w:sz w:val="21"/>
        </w:rPr>
        <w:t>is</w:t>
      </w:r>
      <w:r>
        <w:rPr>
          <w:rFonts w:ascii="Arial"/>
          <w:color w:val="0C0C0C"/>
          <w:spacing w:val="-15"/>
          <w:w w:val="105"/>
          <w:sz w:val="21"/>
        </w:rPr>
        <w:t xml:space="preserve"> </w:t>
      </w:r>
      <w:r>
        <w:rPr>
          <w:rFonts w:ascii="Arial"/>
          <w:color w:val="1D1D1D"/>
          <w:w w:val="105"/>
          <w:sz w:val="21"/>
        </w:rPr>
        <w:t>not</w:t>
      </w:r>
      <w:r>
        <w:rPr>
          <w:rFonts w:ascii="Arial"/>
          <w:color w:val="1D1D1D"/>
          <w:spacing w:val="33"/>
          <w:w w:val="105"/>
          <w:sz w:val="21"/>
        </w:rPr>
        <w:t xml:space="preserve"> </w:t>
      </w:r>
      <w:r>
        <w:rPr>
          <w:rFonts w:ascii="Arial"/>
          <w:color w:val="1D1D1D"/>
          <w:w w:val="105"/>
          <w:sz w:val="21"/>
        </w:rPr>
        <w:t>ideal</w:t>
      </w:r>
      <w:r>
        <w:rPr>
          <w:rFonts w:ascii="Arial"/>
          <w:color w:val="1D1D1D"/>
          <w:spacing w:val="-3"/>
          <w:w w:val="105"/>
          <w:sz w:val="21"/>
        </w:rPr>
        <w:t xml:space="preserve"> </w:t>
      </w:r>
      <w:r>
        <w:rPr>
          <w:rFonts w:ascii="Arial"/>
          <w:color w:val="1D1D1D"/>
          <w:w w:val="105"/>
          <w:sz w:val="21"/>
        </w:rPr>
        <w:t xml:space="preserve">in all </w:t>
      </w:r>
      <w:r>
        <w:rPr>
          <w:rFonts w:ascii="Arial"/>
          <w:color w:val="0C0C0C"/>
          <w:w w:val="105"/>
          <w:sz w:val="21"/>
        </w:rPr>
        <w:t>respects</w:t>
      </w:r>
      <w:r>
        <w:rPr>
          <w:rFonts w:ascii="Arial"/>
          <w:color w:val="363636"/>
          <w:w w:val="105"/>
          <w:sz w:val="21"/>
        </w:rPr>
        <w:t>.</w:t>
      </w:r>
    </w:p>
    <w:p w14:paraId="51DE8F0C" w14:textId="77777777" w:rsidR="0010369C" w:rsidRDefault="008E43AE">
      <w:pPr>
        <w:pStyle w:val="ListParagraph"/>
        <w:numPr>
          <w:ilvl w:val="0"/>
          <w:numId w:val="54"/>
        </w:numPr>
        <w:tabs>
          <w:tab w:val="left" w:pos="1093"/>
        </w:tabs>
        <w:spacing w:before="143" w:after="4" w:line="432" w:lineRule="auto"/>
        <w:ind w:right="565" w:firstLine="4"/>
        <w:jc w:val="both"/>
        <w:rPr>
          <w:rFonts w:ascii="Arial"/>
          <w:color w:val="1D1D1D"/>
          <w:sz w:val="21"/>
        </w:rPr>
      </w:pPr>
      <w:r>
        <w:rPr>
          <w:rFonts w:ascii="Arial"/>
          <w:color w:val="1D1D1D"/>
          <w:w w:val="105"/>
          <w:sz w:val="21"/>
        </w:rPr>
        <w:t>Third,</w:t>
      </w:r>
      <w:r>
        <w:rPr>
          <w:rFonts w:ascii="Arial"/>
          <w:color w:val="1D1D1D"/>
          <w:spacing w:val="-16"/>
          <w:w w:val="105"/>
          <w:sz w:val="21"/>
        </w:rPr>
        <w:t xml:space="preserve"> </w:t>
      </w:r>
      <w:r>
        <w:rPr>
          <w:rFonts w:ascii="Arial"/>
          <w:color w:val="1D1D1D"/>
          <w:w w:val="105"/>
          <w:sz w:val="21"/>
        </w:rPr>
        <w:t>MOFCOM's</w:t>
      </w:r>
      <w:r>
        <w:rPr>
          <w:rFonts w:ascii="Arial"/>
          <w:color w:val="1D1D1D"/>
          <w:spacing w:val="-15"/>
          <w:w w:val="105"/>
          <w:sz w:val="21"/>
        </w:rPr>
        <w:t xml:space="preserve"> </w:t>
      </w:r>
      <w:r>
        <w:rPr>
          <w:rFonts w:ascii="Arial"/>
          <w:color w:val="1D1D1D"/>
          <w:w w:val="105"/>
          <w:sz w:val="21"/>
        </w:rPr>
        <w:t>Injury</w:t>
      </w:r>
      <w:r>
        <w:rPr>
          <w:rFonts w:ascii="Arial"/>
          <w:color w:val="1D1D1D"/>
          <w:spacing w:val="-15"/>
          <w:w w:val="105"/>
          <w:sz w:val="21"/>
        </w:rPr>
        <w:t xml:space="preserve"> </w:t>
      </w:r>
      <w:r>
        <w:rPr>
          <w:rFonts w:ascii="Arial"/>
          <w:color w:val="1D1D1D"/>
          <w:w w:val="105"/>
          <w:sz w:val="21"/>
        </w:rPr>
        <w:t>PCN</w:t>
      </w:r>
      <w:r>
        <w:rPr>
          <w:rFonts w:ascii="Arial"/>
          <w:color w:val="1D1D1D"/>
          <w:spacing w:val="-16"/>
          <w:w w:val="105"/>
          <w:sz w:val="21"/>
        </w:rPr>
        <w:t xml:space="preserve"> </w:t>
      </w:r>
      <w:r>
        <w:rPr>
          <w:rFonts w:ascii="Arial"/>
          <w:color w:val="1D1D1D"/>
          <w:w w:val="105"/>
          <w:sz w:val="21"/>
        </w:rPr>
        <w:t>system</w:t>
      </w:r>
      <w:r>
        <w:rPr>
          <w:rFonts w:ascii="Arial"/>
          <w:color w:val="1D1D1D"/>
          <w:spacing w:val="-15"/>
          <w:w w:val="105"/>
          <w:sz w:val="21"/>
        </w:rPr>
        <w:t xml:space="preserve"> </w:t>
      </w:r>
      <w:r>
        <w:rPr>
          <w:rFonts w:ascii="Arial"/>
          <w:color w:val="1D1D1D"/>
          <w:w w:val="105"/>
          <w:sz w:val="21"/>
        </w:rPr>
        <w:t>was</w:t>
      </w:r>
      <w:r>
        <w:rPr>
          <w:rFonts w:ascii="Arial"/>
          <w:color w:val="1D1D1D"/>
          <w:spacing w:val="-15"/>
          <w:w w:val="105"/>
          <w:sz w:val="21"/>
        </w:rPr>
        <w:t xml:space="preserve"> </w:t>
      </w:r>
      <w:r>
        <w:rPr>
          <w:rFonts w:ascii="Arial"/>
          <w:color w:val="1D1D1D"/>
          <w:w w:val="105"/>
          <w:sz w:val="21"/>
        </w:rPr>
        <w:t>significantly</w:t>
      </w:r>
      <w:r>
        <w:rPr>
          <w:rFonts w:ascii="Arial"/>
          <w:color w:val="1D1D1D"/>
          <w:spacing w:val="-16"/>
          <w:w w:val="105"/>
          <w:sz w:val="21"/>
        </w:rPr>
        <w:t xml:space="preserve"> </w:t>
      </w:r>
      <w:r>
        <w:rPr>
          <w:rFonts w:ascii="Arial"/>
          <w:color w:val="1D1D1D"/>
          <w:w w:val="105"/>
          <w:sz w:val="21"/>
        </w:rPr>
        <w:t>less</w:t>
      </w:r>
      <w:r>
        <w:rPr>
          <w:rFonts w:ascii="Arial"/>
          <w:color w:val="1D1D1D"/>
          <w:spacing w:val="-15"/>
          <w:w w:val="105"/>
          <w:sz w:val="21"/>
        </w:rPr>
        <w:t xml:space="preserve"> </w:t>
      </w:r>
      <w:r>
        <w:rPr>
          <w:rFonts w:ascii="Arial"/>
          <w:color w:val="1D1D1D"/>
          <w:w w:val="105"/>
          <w:sz w:val="21"/>
        </w:rPr>
        <w:t>detailed</w:t>
      </w:r>
      <w:r>
        <w:rPr>
          <w:rFonts w:ascii="Arial"/>
          <w:color w:val="1D1D1D"/>
          <w:spacing w:val="-15"/>
          <w:w w:val="105"/>
          <w:sz w:val="21"/>
        </w:rPr>
        <w:t xml:space="preserve"> </w:t>
      </w:r>
      <w:r>
        <w:rPr>
          <w:rFonts w:ascii="Arial"/>
          <w:color w:val="0C0C0C"/>
          <w:w w:val="105"/>
          <w:sz w:val="21"/>
        </w:rPr>
        <w:t>than</w:t>
      </w:r>
      <w:r>
        <w:rPr>
          <w:rFonts w:ascii="Arial"/>
          <w:color w:val="0C0C0C"/>
          <w:spacing w:val="-16"/>
          <w:w w:val="105"/>
          <w:sz w:val="21"/>
        </w:rPr>
        <w:t xml:space="preserve"> </w:t>
      </w:r>
      <w:r>
        <w:rPr>
          <w:rFonts w:ascii="Arial"/>
          <w:color w:val="1D1D1D"/>
          <w:w w:val="105"/>
          <w:sz w:val="21"/>
        </w:rPr>
        <w:t>the</w:t>
      </w:r>
      <w:r>
        <w:rPr>
          <w:rFonts w:ascii="Arial"/>
          <w:color w:val="1D1D1D"/>
          <w:spacing w:val="-15"/>
          <w:w w:val="105"/>
          <w:sz w:val="21"/>
        </w:rPr>
        <w:t xml:space="preserve"> </w:t>
      </w:r>
      <w:r>
        <w:rPr>
          <w:rFonts w:ascii="Arial"/>
          <w:color w:val="0C0C0C"/>
          <w:w w:val="105"/>
          <w:sz w:val="21"/>
        </w:rPr>
        <w:t xml:space="preserve">Dumping </w:t>
      </w:r>
      <w:r>
        <w:rPr>
          <w:rFonts w:ascii="Arial"/>
          <w:color w:val="1D1D1D"/>
          <w:w w:val="105"/>
          <w:sz w:val="21"/>
        </w:rPr>
        <w:t xml:space="preserve">PCN system. The </w:t>
      </w:r>
      <w:r>
        <w:rPr>
          <w:rFonts w:ascii="Arial"/>
          <w:color w:val="0C0C0C"/>
          <w:w w:val="105"/>
          <w:sz w:val="21"/>
        </w:rPr>
        <w:t xml:space="preserve">Injury </w:t>
      </w:r>
      <w:r>
        <w:rPr>
          <w:rFonts w:ascii="Arial"/>
          <w:color w:val="1D1D1D"/>
          <w:w w:val="105"/>
          <w:sz w:val="21"/>
        </w:rPr>
        <w:t xml:space="preserve">PCN system only allowed product differentiation </w:t>
      </w:r>
      <w:r>
        <w:rPr>
          <w:rFonts w:ascii="Arial"/>
          <w:color w:val="0C0C0C"/>
          <w:w w:val="105"/>
          <w:sz w:val="21"/>
        </w:rPr>
        <w:t xml:space="preserve">to be </w:t>
      </w:r>
      <w:r>
        <w:rPr>
          <w:rFonts w:ascii="Arial"/>
          <w:color w:val="1D1D1D"/>
          <w:w w:val="105"/>
          <w:sz w:val="21"/>
        </w:rPr>
        <w:t xml:space="preserve">captured </w:t>
      </w:r>
      <w:r>
        <w:rPr>
          <w:rFonts w:ascii="Arial"/>
          <w:color w:val="0C0C0C"/>
          <w:w w:val="105"/>
          <w:sz w:val="21"/>
        </w:rPr>
        <w:t xml:space="preserve">in </w:t>
      </w:r>
      <w:r>
        <w:rPr>
          <w:rFonts w:ascii="Arial"/>
          <w:color w:val="1D1D1D"/>
          <w:w w:val="105"/>
          <w:sz w:val="21"/>
        </w:rPr>
        <w:t>terms</w:t>
      </w:r>
      <w:r>
        <w:rPr>
          <w:rFonts w:ascii="Arial"/>
          <w:color w:val="1D1D1D"/>
          <w:spacing w:val="-16"/>
          <w:w w:val="105"/>
          <w:sz w:val="21"/>
        </w:rPr>
        <w:t xml:space="preserve"> </w:t>
      </w:r>
      <w:r>
        <w:rPr>
          <w:rFonts w:ascii="Arial"/>
          <w:color w:val="1D1D1D"/>
          <w:w w:val="105"/>
          <w:sz w:val="21"/>
        </w:rPr>
        <w:t>of</w:t>
      </w:r>
      <w:r>
        <w:rPr>
          <w:rFonts w:ascii="Arial"/>
          <w:color w:val="1D1D1D"/>
          <w:spacing w:val="-15"/>
          <w:w w:val="105"/>
          <w:sz w:val="21"/>
        </w:rPr>
        <w:t xml:space="preserve"> </w:t>
      </w:r>
      <w:r>
        <w:rPr>
          <w:rFonts w:ascii="Arial"/>
          <w:color w:val="1D1D1D"/>
          <w:w w:val="105"/>
          <w:sz w:val="21"/>
        </w:rPr>
        <w:t>general</w:t>
      </w:r>
      <w:r>
        <w:rPr>
          <w:rFonts w:ascii="Arial"/>
          <w:color w:val="1D1D1D"/>
          <w:spacing w:val="-15"/>
          <w:w w:val="105"/>
          <w:sz w:val="21"/>
        </w:rPr>
        <w:t xml:space="preserve"> </w:t>
      </w:r>
      <w:r>
        <w:rPr>
          <w:rFonts w:ascii="Arial"/>
          <w:color w:val="1D1D1D"/>
          <w:w w:val="105"/>
          <w:sz w:val="21"/>
        </w:rPr>
        <w:t>category,</w:t>
      </w:r>
      <w:r>
        <w:rPr>
          <w:rFonts w:ascii="Arial"/>
          <w:color w:val="1D1D1D"/>
          <w:spacing w:val="-16"/>
          <w:w w:val="105"/>
          <w:sz w:val="21"/>
        </w:rPr>
        <w:t xml:space="preserve"> </w:t>
      </w:r>
      <w:r>
        <w:rPr>
          <w:rFonts w:ascii="Arial"/>
          <w:color w:val="1D1D1D"/>
          <w:w w:val="105"/>
          <w:sz w:val="21"/>
        </w:rPr>
        <w:t>colour,</w:t>
      </w:r>
      <w:r>
        <w:rPr>
          <w:rFonts w:ascii="Arial"/>
          <w:color w:val="1D1D1D"/>
          <w:spacing w:val="-14"/>
          <w:w w:val="105"/>
          <w:sz w:val="21"/>
        </w:rPr>
        <w:t xml:space="preserve"> </w:t>
      </w:r>
      <w:r>
        <w:rPr>
          <w:rFonts w:ascii="Arial"/>
          <w:color w:val="1D1D1D"/>
          <w:w w:val="105"/>
          <w:sz w:val="21"/>
        </w:rPr>
        <w:t>sugar</w:t>
      </w:r>
      <w:r>
        <w:rPr>
          <w:rFonts w:ascii="Arial"/>
          <w:color w:val="1D1D1D"/>
          <w:spacing w:val="-10"/>
          <w:w w:val="105"/>
          <w:sz w:val="21"/>
        </w:rPr>
        <w:t xml:space="preserve"> </w:t>
      </w:r>
      <w:r>
        <w:rPr>
          <w:rFonts w:ascii="Arial"/>
          <w:color w:val="0C0C0C"/>
          <w:w w:val="105"/>
          <w:sz w:val="21"/>
        </w:rPr>
        <w:t>level</w:t>
      </w:r>
      <w:r>
        <w:rPr>
          <w:rFonts w:ascii="Arial"/>
          <w:color w:val="0C0C0C"/>
          <w:spacing w:val="-14"/>
          <w:w w:val="105"/>
          <w:sz w:val="21"/>
        </w:rPr>
        <w:t xml:space="preserve"> </w:t>
      </w:r>
      <w:r>
        <w:rPr>
          <w:rFonts w:ascii="Arial"/>
          <w:color w:val="1D1D1D"/>
          <w:w w:val="105"/>
          <w:sz w:val="21"/>
        </w:rPr>
        <w:t>and</w:t>
      </w:r>
      <w:r>
        <w:rPr>
          <w:rFonts w:ascii="Arial"/>
          <w:color w:val="1D1D1D"/>
          <w:spacing w:val="-16"/>
          <w:w w:val="105"/>
          <w:sz w:val="21"/>
        </w:rPr>
        <w:t xml:space="preserve"> </w:t>
      </w:r>
      <w:r>
        <w:rPr>
          <w:rFonts w:ascii="Arial"/>
          <w:color w:val="1D1D1D"/>
          <w:w w:val="105"/>
          <w:sz w:val="21"/>
        </w:rPr>
        <w:t>container</w:t>
      </w:r>
      <w:r>
        <w:rPr>
          <w:rFonts w:ascii="Arial"/>
          <w:color w:val="1D1D1D"/>
          <w:spacing w:val="-6"/>
          <w:w w:val="105"/>
          <w:sz w:val="21"/>
        </w:rPr>
        <w:t xml:space="preserve"> </w:t>
      </w:r>
      <w:r>
        <w:rPr>
          <w:rFonts w:ascii="Arial"/>
          <w:color w:val="1D1D1D"/>
          <w:w w:val="105"/>
          <w:sz w:val="21"/>
        </w:rPr>
        <w:t>size.</w:t>
      </w:r>
      <w:r>
        <w:rPr>
          <w:rFonts w:ascii="Times New Roman"/>
          <w:color w:val="1D1D1D"/>
          <w:w w:val="105"/>
          <w:position w:val="7"/>
          <w:sz w:val="15"/>
        </w:rPr>
        <w:t>677</w:t>
      </w:r>
      <w:r>
        <w:rPr>
          <w:rFonts w:ascii="Times New Roman"/>
          <w:color w:val="1D1D1D"/>
          <w:spacing w:val="24"/>
          <w:w w:val="105"/>
          <w:position w:val="7"/>
          <w:sz w:val="15"/>
        </w:rPr>
        <w:t xml:space="preserve"> </w:t>
      </w:r>
      <w:r>
        <w:rPr>
          <w:rFonts w:ascii="Arial"/>
          <w:color w:val="1D1D1D"/>
          <w:w w:val="105"/>
          <w:sz w:val="21"/>
        </w:rPr>
        <w:t>The</w:t>
      </w:r>
      <w:r>
        <w:rPr>
          <w:rFonts w:ascii="Arial"/>
          <w:color w:val="1D1D1D"/>
          <w:spacing w:val="-16"/>
          <w:w w:val="105"/>
          <w:sz w:val="21"/>
        </w:rPr>
        <w:t xml:space="preserve"> </w:t>
      </w:r>
      <w:r>
        <w:rPr>
          <w:rFonts w:ascii="Arial"/>
          <w:color w:val="0C0C0C"/>
          <w:w w:val="105"/>
          <w:sz w:val="21"/>
        </w:rPr>
        <w:t>Injury</w:t>
      </w:r>
      <w:r>
        <w:rPr>
          <w:rFonts w:ascii="Arial"/>
          <w:color w:val="0C0C0C"/>
          <w:spacing w:val="-7"/>
          <w:w w:val="105"/>
          <w:sz w:val="21"/>
        </w:rPr>
        <w:t xml:space="preserve"> </w:t>
      </w:r>
      <w:r>
        <w:rPr>
          <w:rFonts w:ascii="Arial"/>
          <w:color w:val="1D1D1D"/>
          <w:w w:val="105"/>
          <w:sz w:val="21"/>
        </w:rPr>
        <w:t>PCN system</w:t>
      </w:r>
      <w:r>
        <w:rPr>
          <w:rFonts w:ascii="Arial"/>
          <w:color w:val="1D1D1D"/>
          <w:spacing w:val="-13"/>
          <w:w w:val="105"/>
          <w:sz w:val="21"/>
        </w:rPr>
        <w:t xml:space="preserve"> </w:t>
      </w:r>
      <w:r>
        <w:rPr>
          <w:rFonts w:ascii="Arial"/>
          <w:color w:val="1D1D1D"/>
          <w:w w:val="105"/>
          <w:sz w:val="21"/>
        </w:rPr>
        <w:t>did not</w:t>
      </w:r>
      <w:r>
        <w:rPr>
          <w:rFonts w:ascii="Arial"/>
          <w:color w:val="1D1D1D"/>
          <w:spacing w:val="40"/>
          <w:w w:val="105"/>
          <w:sz w:val="21"/>
        </w:rPr>
        <w:t xml:space="preserve"> </w:t>
      </w:r>
      <w:r>
        <w:rPr>
          <w:rFonts w:ascii="Arial"/>
          <w:color w:val="1D1D1D"/>
          <w:w w:val="105"/>
          <w:sz w:val="21"/>
        </w:rPr>
        <w:t xml:space="preserve">enable </w:t>
      </w:r>
      <w:r>
        <w:rPr>
          <w:rFonts w:ascii="Arial"/>
          <w:color w:val="0C0C0C"/>
          <w:w w:val="105"/>
          <w:sz w:val="21"/>
        </w:rPr>
        <w:t xml:space="preserve">product </w:t>
      </w:r>
      <w:r>
        <w:rPr>
          <w:rFonts w:ascii="Arial"/>
          <w:color w:val="1D1D1D"/>
          <w:w w:val="105"/>
          <w:sz w:val="21"/>
        </w:rPr>
        <w:t>differences relating</w:t>
      </w:r>
      <w:r>
        <w:rPr>
          <w:rFonts w:ascii="Arial"/>
          <w:color w:val="1D1D1D"/>
          <w:spacing w:val="-1"/>
          <w:w w:val="105"/>
          <w:sz w:val="21"/>
        </w:rPr>
        <w:t xml:space="preserve"> </w:t>
      </w:r>
      <w:r>
        <w:rPr>
          <w:rFonts w:ascii="Arial"/>
          <w:color w:val="1D1D1D"/>
          <w:w w:val="105"/>
          <w:sz w:val="21"/>
        </w:rPr>
        <w:t>to grape variety, vintage year, or growing region or sub-region</w:t>
      </w:r>
      <w:r>
        <w:rPr>
          <w:rFonts w:ascii="Arial"/>
          <w:color w:val="1D1D1D"/>
          <w:spacing w:val="30"/>
          <w:w w:val="105"/>
          <w:sz w:val="21"/>
        </w:rPr>
        <w:t xml:space="preserve"> </w:t>
      </w:r>
      <w:r>
        <w:rPr>
          <w:rFonts w:ascii="Arial"/>
          <w:color w:val="1D1D1D"/>
          <w:w w:val="105"/>
          <w:sz w:val="21"/>
        </w:rPr>
        <w:t>to</w:t>
      </w:r>
      <w:r>
        <w:rPr>
          <w:rFonts w:ascii="Arial"/>
          <w:color w:val="1D1D1D"/>
          <w:spacing w:val="40"/>
          <w:w w:val="105"/>
          <w:sz w:val="21"/>
        </w:rPr>
        <w:t xml:space="preserve"> </w:t>
      </w:r>
      <w:r>
        <w:rPr>
          <w:rFonts w:ascii="Arial"/>
          <w:color w:val="0C0C0C"/>
          <w:w w:val="105"/>
          <w:sz w:val="21"/>
        </w:rPr>
        <w:t xml:space="preserve">be </w:t>
      </w:r>
      <w:r>
        <w:rPr>
          <w:rFonts w:ascii="Arial"/>
          <w:color w:val="1D1D1D"/>
          <w:w w:val="105"/>
          <w:sz w:val="21"/>
        </w:rPr>
        <w:t xml:space="preserve">captured. </w:t>
      </w:r>
      <w:r>
        <w:rPr>
          <w:rFonts w:ascii="Arial"/>
          <w:color w:val="0C0C0C"/>
          <w:w w:val="105"/>
          <w:sz w:val="21"/>
        </w:rPr>
        <w:t>These</w:t>
      </w:r>
      <w:r>
        <w:rPr>
          <w:rFonts w:ascii="Arial"/>
          <w:color w:val="0C0C0C"/>
          <w:spacing w:val="34"/>
          <w:w w:val="105"/>
          <w:sz w:val="21"/>
        </w:rPr>
        <w:t xml:space="preserve"> </w:t>
      </w:r>
      <w:r>
        <w:rPr>
          <w:rFonts w:ascii="Arial"/>
          <w:color w:val="1D1D1D"/>
          <w:w w:val="105"/>
          <w:sz w:val="21"/>
        </w:rPr>
        <w:t>omitted features are fundamental</w:t>
      </w:r>
      <w:r>
        <w:rPr>
          <w:rFonts w:ascii="Arial"/>
          <w:color w:val="1D1D1D"/>
          <w:spacing w:val="31"/>
          <w:w w:val="105"/>
          <w:sz w:val="21"/>
        </w:rPr>
        <w:t xml:space="preserve"> </w:t>
      </w:r>
      <w:r>
        <w:rPr>
          <w:rFonts w:ascii="Arial"/>
          <w:color w:val="0C0C0C"/>
          <w:w w:val="105"/>
          <w:sz w:val="21"/>
        </w:rPr>
        <w:t>to</w:t>
      </w:r>
      <w:r>
        <w:rPr>
          <w:rFonts w:ascii="Arial"/>
          <w:color w:val="0C0C0C"/>
          <w:spacing w:val="40"/>
          <w:w w:val="105"/>
          <w:sz w:val="21"/>
        </w:rPr>
        <w:t xml:space="preserve"> </w:t>
      </w:r>
      <w:r>
        <w:rPr>
          <w:rFonts w:ascii="Arial"/>
          <w:color w:val="1D1D1D"/>
          <w:w w:val="105"/>
          <w:sz w:val="21"/>
        </w:rPr>
        <w:t>establishing product</w:t>
      </w:r>
    </w:p>
    <w:p w14:paraId="51DE8F0D" w14:textId="77777777" w:rsidR="0010369C" w:rsidRDefault="008E43AE">
      <w:pPr>
        <w:pStyle w:val="BodyText"/>
        <w:ind w:left="224"/>
        <w:rPr>
          <w:rFonts w:ascii="Arial"/>
          <w:sz w:val="20"/>
        </w:rPr>
      </w:pPr>
      <w:r>
        <w:rPr>
          <w:rFonts w:ascii="Arial"/>
          <w:sz w:val="20"/>
        </w:rPr>
      </w:r>
      <w:r>
        <w:rPr>
          <w:rFonts w:ascii="Arial"/>
          <w:sz w:val="20"/>
        </w:rPr>
        <w:pict w14:anchorId="51DEA4AB">
          <v:group id="docshapegroup1067" o:spid="_x0000_s1312" style="width:455.55pt;height:38.1pt;mso-position-horizontal-relative:char;mso-position-vertical-relative:line" coordsize="9111,762">
            <v:shape id="docshape1068" o:spid="_x0000_s1314" type="#_x0000_t75" style="position:absolute;width:9111;height:762">
              <v:imagedata r:id="rId788" o:title=""/>
            </v:shape>
            <v:shape id="docshape1069" o:spid="_x0000_s1313" type="#_x0000_t202" style="position:absolute;width:9111;height:762" filled="f" stroked="f">
              <v:textbox inset="0,0,0,0">
                <w:txbxContent>
                  <w:p w14:paraId="51DEAC87" w14:textId="77777777" w:rsidR="0010369C" w:rsidRDefault="008E43AE">
                    <w:pPr>
                      <w:spacing w:line="245" w:lineRule="exact"/>
                      <w:ind w:left="13"/>
                      <w:rPr>
                        <w:rFonts w:ascii="Arial"/>
                        <w:sz w:val="21"/>
                      </w:rPr>
                    </w:pPr>
                    <w:r>
                      <w:rPr>
                        <w:rFonts w:ascii="Arial"/>
                        <w:color w:val="0C0C0C"/>
                        <w:w w:val="110"/>
                        <w:sz w:val="21"/>
                      </w:rPr>
                      <w:t>differentiation</w:t>
                    </w:r>
                    <w:r>
                      <w:rPr>
                        <w:rFonts w:ascii="Arial"/>
                        <w:color w:val="0C0C0C"/>
                        <w:spacing w:val="-17"/>
                        <w:w w:val="110"/>
                        <w:sz w:val="21"/>
                      </w:rPr>
                      <w:t xml:space="preserve"> </w:t>
                    </w:r>
                    <w:r>
                      <w:rPr>
                        <w:rFonts w:ascii="Arial"/>
                        <w:color w:val="0C0C0C"/>
                        <w:w w:val="110"/>
                        <w:sz w:val="21"/>
                      </w:rPr>
                      <w:t>in</w:t>
                    </w:r>
                    <w:r>
                      <w:rPr>
                        <w:rFonts w:ascii="Arial"/>
                        <w:color w:val="0C0C0C"/>
                        <w:spacing w:val="-11"/>
                        <w:w w:val="110"/>
                        <w:sz w:val="21"/>
                      </w:rPr>
                      <w:t xml:space="preserve"> </w:t>
                    </w:r>
                    <w:r>
                      <w:rPr>
                        <w:rFonts w:ascii="Arial"/>
                        <w:color w:val="1D1D1D"/>
                        <w:w w:val="110"/>
                        <w:sz w:val="21"/>
                      </w:rPr>
                      <w:t>terms</w:t>
                    </w:r>
                    <w:r>
                      <w:rPr>
                        <w:rFonts w:ascii="Arial"/>
                        <w:color w:val="1D1D1D"/>
                        <w:spacing w:val="-1"/>
                        <w:w w:val="110"/>
                        <w:sz w:val="21"/>
                      </w:rPr>
                      <w:t xml:space="preserve"> </w:t>
                    </w:r>
                    <w:r>
                      <w:rPr>
                        <w:rFonts w:ascii="Arial"/>
                        <w:color w:val="1D1D1D"/>
                        <w:w w:val="110"/>
                        <w:sz w:val="21"/>
                      </w:rPr>
                      <w:t>of</w:t>
                    </w:r>
                    <w:r>
                      <w:rPr>
                        <w:rFonts w:ascii="Arial"/>
                        <w:color w:val="1D1D1D"/>
                        <w:spacing w:val="1"/>
                        <w:w w:val="110"/>
                        <w:sz w:val="21"/>
                      </w:rPr>
                      <w:t xml:space="preserve"> </w:t>
                    </w:r>
                    <w:r>
                      <w:rPr>
                        <w:rFonts w:ascii="Arial"/>
                        <w:color w:val="1D1D1D"/>
                        <w:w w:val="110"/>
                        <w:sz w:val="21"/>
                      </w:rPr>
                      <w:t>quality</w:t>
                    </w:r>
                    <w:r>
                      <w:rPr>
                        <w:rFonts w:ascii="Arial"/>
                        <w:color w:val="1D1D1D"/>
                        <w:spacing w:val="-3"/>
                        <w:w w:val="110"/>
                        <w:sz w:val="21"/>
                      </w:rPr>
                      <w:t xml:space="preserve"> </w:t>
                    </w:r>
                    <w:r>
                      <w:rPr>
                        <w:rFonts w:ascii="Arial"/>
                        <w:color w:val="1D1D1D"/>
                        <w:w w:val="110"/>
                        <w:sz w:val="21"/>
                      </w:rPr>
                      <w:t>and</w:t>
                    </w:r>
                    <w:r>
                      <w:rPr>
                        <w:rFonts w:ascii="Arial"/>
                        <w:color w:val="1D1D1D"/>
                        <w:spacing w:val="-10"/>
                        <w:w w:val="110"/>
                        <w:sz w:val="21"/>
                      </w:rPr>
                      <w:t xml:space="preserve"> </w:t>
                    </w:r>
                    <w:r>
                      <w:rPr>
                        <w:rFonts w:ascii="Arial"/>
                        <w:color w:val="1D1D1D"/>
                        <w:w w:val="110"/>
                        <w:sz w:val="21"/>
                      </w:rPr>
                      <w:t>price.</w:t>
                    </w:r>
                    <w:r>
                      <w:rPr>
                        <w:rFonts w:ascii="Arial"/>
                        <w:color w:val="1D1D1D"/>
                        <w:w w:val="110"/>
                        <w:position w:val="7"/>
                        <w:sz w:val="14"/>
                      </w:rPr>
                      <w:t>678</w:t>
                    </w:r>
                    <w:r>
                      <w:rPr>
                        <w:rFonts w:ascii="Arial"/>
                        <w:color w:val="1D1D1D"/>
                        <w:spacing w:val="21"/>
                        <w:w w:val="110"/>
                        <w:position w:val="7"/>
                        <w:sz w:val="14"/>
                      </w:rPr>
                      <w:t xml:space="preserve"> </w:t>
                    </w:r>
                    <w:r>
                      <w:rPr>
                        <w:rFonts w:ascii="Arial"/>
                        <w:color w:val="0C0C0C"/>
                        <w:w w:val="110"/>
                        <w:sz w:val="21"/>
                      </w:rPr>
                      <w:t>For</w:t>
                    </w:r>
                    <w:r>
                      <w:rPr>
                        <w:rFonts w:ascii="Arial"/>
                        <w:color w:val="0C0C0C"/>
                        <w:spacing w:val="4"/>
                        <w:w w:val="110"/>
                        <w:sz w:val="21"/>
                      </w:rPr>
                      <w:t xml:space="preserve"> </w:t>
                    </w:r>
                    <w:r>
                      <w:rPr>
                        <w:rFonts w:ascii="Arial"/>
                        <w:color w:val="1D1D1D"/>
                        <w:w w:val="110"/>
                        <w:sz w:val="21"/>
                      </w:rPr>
                      <w:t>example,</w:t>
                    </w:r>
                    <w:r>
                      <w:rPr>
                        <w:rFonts w:ascii="Arial"/>
                        <w:color w:val="1D1D1D"/>
                        <w:spacing w:val="-6"/>
                        <w:w w:val="110"/>
                        <w:sz w:val="21"/>
                      </w:rPr>
                      <w:t xml:space="preserve"> </w:t>
                    </w:r>
                    <w:r>
                      <w:rPr>
                        <w:rFonts w:ascii="Arial"/>
                        <w:color w:val="1D1D1D"/>
                        <w:spacing w:val="-10"/>
                        <w:w w:val="110"/>
                        <w:sz w:val="21"/>
                      </w:rPr>
                      <w:t>[</w:t>
                    </w:r>
                  </w:p>
                </w:txbxContent>
              </v:textbox>
            </v:shape>
            <w10:anchorlock/>
          </v:group>
        </w:pict>
      </w:r>
    </w:p>
    <w:p w14:paraId="51DE8F0E" w14:textId="77777777" w:rsidR="0010369C" w:rsidRDefault="008E43AE">
      <w:pPr>
        <w:pStyle w:val="BodyText"/>
        <w:spacing w:before="10"/>
        <w:rPr>
          <w:rFonts w:ascii="Arial"/>
        </w:rPr>
      </w:pPr>
      <w:r>
        <w:pict w14:anchorId="51DEA4AC">
          <v:shape id="docshape1070" o:spid="_x0000_s1311" style="position:absolute;margin-left:70.25pt;margin-top:15.55pt;width:145.5pt;height:.1pt;z-index:-250826240;mso-wrap-distance-left:0;mso-wrap-distance-right:0;mso-position-horizontal-relative:page" coordorigin="1405,311" coordsize="2910,0" path="m1405,311r2909,e" filled="f" strokeweight=".53042mm">
            <v:path arrowok="t"/>
            <w10:wrap type="topAndBottom" anchorx="page"/>
          </v:shape>
        </w:pict>
      </w:r>
    </w:p>
    <w:p w14:paraId="51DE8F0F" w14:textId="77777777" w:rsidR="0010369C" w:rsidRDefault="008E43AE">
      <w:pPr>
        <w:spacing w:before="93"/>
        <w:ind w:left="239"/>
        <w:rPr>
          <w:rFonts w:ascii="Arial"/>
          <w:sz w:val="16"/>
        </w:rPr>
      </w:pPr>
      <w:r>
        <w:rPr>
          <w:rFonts w:ascii="Times New Roman"/>
          <w:color w:val="363636"/>
          <w:position w:val="6"/>
          <w:sz w:val="12"/>
        </w:rPr>
        <w:t>675</w:t>
      </w:r>
      <w:r>
        <w:rPr>
          <w:rFonts w:ascii="Times New Roman"/>
          <w:color w:val="363636"/>
          <w:spacing w:val="2"/>
          <w:position w:val="6"/>
          <w:sz w:val="12"/>
        </w:rPr>
        <w:t xml:space="preserve"> </w:t>
      </w:r>
      <w:r>
        <w:rPr>
          <w:rFonts w:ascii="Arial"/>
          <w:color w:val="1D1D1D"/>
          <w:sz w:val="16"/>
        </w:rPr>
        <w:t>See</w:t>
      </w:r>
      <w:r>
        <w:rPr>
          <w:rFonts w:ascii="Arial"/>
          <w:color w:val="1D1D1D"/>
          <w:spacing w:val="-12"/>
          <w:sz w:val="16"/>
        </w:rPr>
        <w:t xml:space="preserve"> </w:t>
      </w:r>
      <w:r>
        <w:rPr>
          <w:rFonts w:ascii="Arial"/>
          <w:color w:val="1D1D1D"/>
          <w:sz w:val="16"/>
        </w:rPr>
        <w:t>product</w:t>
      </w:r>
      <w:r>
        <w:rPr>
          <w:rFonts w:ascii="Arial"/>
          <w:color w:val="1D1D1D"/>
          <w:spacing w:val="1"/>
          <w:sz w:val="16"/>
        </w:rPr>
        <w:t xml:space="preserve"> </w:t>
      </w:r>
      <w:r>
        <w:rPr>
          <w:rFonts w:ascii="Arial"/>
          <w:color w:val="1D1D1D"/>
          <w:sz w:val="16"/>
        </w:rPr>
        <w:t>mix</w:t>
      </w:r>
      <w:r>
        <w:rPr>
          <w:rFonts w:ascii="Arial"/>
          <w:color w:val="1D1D1D"/>
          <w:spacing w:val="-5"/>
          <w:sz w:val="16"/>
        </w:rPr>
        <w:t xml:space="preserve"> </w:t>
      </w:r>
      <w:r>
        <w:rPr>
          <w:rFonts w:ascii="Arial"/>
          <w:color w:val="1D1D1D"/>
          <w:sz w:val="16"/>
        </w:rPr>
        <w:t>analysis at</w:t>
      </w:r>
      <w:r>
        <w:rPr>
          <w:rFonts w:ascii="Arial"/>
          <w:color w:val="1D1D1D"/>
          <w:spacing w:val="24"/>
          <w:sz w:val="16"/>
        </w:rPr>
        <w:t xml:space="preserve"> </w:t>
      </w:r>
      <w:r>
        <w:rPr>
          <w:rFonts w:ascii="Arial"/>
          <w:color w:val="1D1D1D"/>
          <w:sz w:val="16"/>
        </w:rPr>
        <w:t>section</w:t>
      </w:r>
      <w:r>
        <w:rPr>
          <w:rFonts w:ascii="Arial"/>
          <w:color w:val="1D1D1D"/>
          <w:spacing w:val="-6"/>
          <w:sz w:val="16"/>
        </w:rPr>
        <w:t xml:space="preserve"> </w:t>
      </w:r>
      <w:r>
        <w:rPr>
          <w:rFonts w:ascii="Arial"/>
          <w:color w:val="1D1D1D"/>
          <w:sz w:val="16"/>
        </w:rPr>
        <w:t>IV.C.3{b)i(B)</w:t>
      </w:r>
      <w:r>
        <w:rPr>
          <w:rFonts w:ascii="Arial"/>
          <w:color w:val="1D1D1D"/>
          <w:spacing w:val="2"/>
          <w:sz w:val="16"/>
        </w:rPr>
        <w:t xml:space="preserve"> </w:t>
      </w:r>
      <w:r>
        <w:rPr>
          <w:rFonts w:ascii="Arial"/>
          <w:color w:val="1D1D1D"/>
          <w:spacing w:val="-2"/>
          <w:sz w:val="16"/>
        </w:rPr>
        <w:t>above.</w:t>
      </w:r>
    </w:p>
    <w:p w14:paraId="51DE8F10" w14:textId="77777777" w:rsidR="0010369C" w:rsidRDefault="008E43AE">
      <w:pPr>
        <w:tabs>
          <w:tab w:val="left" w:pos="6857"/>
        </w:tabs>
        <w:spacing w:before="17"/>
        <w:ind w:left="289"/>
        <w:rPr>
          <w:rFonts w:ascii="Arial"/>
          <w:sz w:val="16"/>
        </w:rPr>
      </w:pPr>
      <w:r>
        <w:rPr>
          <w:rFonts w:ascii="Times New Roman"/>
          <w:color w:val="363636"/>
          <w:w w:val="115"/>
          <w:sz w:val="12"/>
        </w:rPr>
        <w:t>676</w:t>
      </w:r>
      <w:r>
        <w:rPr>
          <w:rFonts w:ascii="Times New Roman"/>
          <w:color w:val="363636"/>
          <w:spacing w:val="-7"/>
          <w:w w:val="115"/>
          <w:sz w:val="12"/>
        </w:rPr>
        <w:t xml:space="preserve"> </w:t>
      </w:r>
      <w:r>
        <w:rPr>
          <w:rFonts w:ascii="Times New Roman"/>
          <w:color w:val="363636"/>
          <w:spacing w:val="-10"/>
          <w:w w:val="115"/>
          <w:sz w:val="12"/>
        </w:rPr>
        <w:t>[</w:t>
      </w:r>
      <w:r>
        <w:rPr>
          <w:rFonts w:ascii="Times New Roman"/>
          <w:color w:val="363636"/>
          <w:sz w:val="12"/>
        </w:rPr>
        <w:tab/>
      </w:r>
      <w:r>
        <w:rPr>
          <w:rFonts w:ascii="Arial"/>
          <w:b/>
          <w:color w:val="1D1D1D"/>
          <w:w w:val="105"/>
          <w:sz w:val="17"/>
        </w:rPr>
        <w:t>(Exhibit</w:t>
      </w:r>
      <w:r>
        <w:rPr>
          <w:rFonts w:ascii="Arial"/>
          <w:b/>
          <w:color w:val="1D1D1D"/>
          <w:spacing w:val="73"/>
          <w:w w:val="150"/>
          <w:sz w:val="17"/>
        </w:rPr>
        <w:t xml:space="preserve"> </w:t>
      </w:r>
      <w:r>
        <w:rPr>
          <w:rFonts w:ascii="Arial"/>
          <w:color w:val="1D1D1D"/>
          <w:w w:val="105"/>
          <w:sz w:val="16"/>
        </w:rPr>
        <w:t>AUS-</w:t>
      </w:r>
      <w:r>
        <w:rPr>
          <w:rFonts w:ascii="Arial"/>
          <w:color w:val="1D1D1D"/>
          <w:spacing w:val="-2"/>
          <w:w w:val="105"/>
          <w:sz w:val="16"/>
        </w:rPr>
        <w:t>65{BCI}),_.))</w:t>
      </w:r>
    </w:p>
    <w:p w14:paraId="51DE8F11" w14:textId="77777777" w:rsidR="0010369C" w:rsidRDefault="008E43AE">
      <w:pPr>
        <w:spacing w:before="33" w:line="249" w:lineRule="auto"/>
        <w:ind w:left="284" w:right="611" w:hanging="25"/>
        <w:rPr>
          <w:rFonts w:ascii="Arial"/>
          <w:sz w:val="16"/>
        </w:rPr>
      </w:pPr>
      <w:r>
        <w:rPr>
          <w:rFonts w:ascii="Times New Roman"/>
          <w:color w:val="363636"/>
          <w:w w:val="105"/>
          <w:position w:val="6"/>
          <w:sz w:val="12"/>
        </w:rPr>
        <w:t>677</w:t>
      </w:r>
      <w:r>
        <w:rPr>
          <w:rFonts w:ascii="Arial"/>
          <w:color w:val="1D1D1D"/>
          <w:w w:val="105"/>
          <w:sz w:val="16"/>
        </w:rPr>
        <w:t>Australia</w:t>
      </w:r>
      <w:r>
        <w:rPr>
          <w:rFonts w:ascii="Arial"/>
          <w:color w:val="1D1D1D"/>
          <w:spacing w:val="-7"/>
          <w:w w:val="105"/>
          <w:sz w:val="16"/>
        </w:rPr>
        <w:t xml:space="preserve"> </w:t>
      </w:r>
      <w:r>
        <w:rPr>
          <w:rFonts w:ascii="Arial"/>
          <w:color w:val="1D1D1D"/>
          <w:w w:val="105"/>
          <w:sz w:val="16"/>
        </w:rPr>
        <w:t xml:space="preserve">understands </w:t>
      </w:r>
      <w:r>
        <w:rPr>
          <w:rFonts w:ascii="Arial"/>
          <w:color w:val="0C0C0C"/>
          <w:w w:val="105"/>
          <w:sz w:val="16"/>
        </w:rPr>
        <w:t>that</w:t>
      </w:r>
      <w:r>
        <w:rPr>
          <w:rFonts w:ascii="Arial"/>
          <w:color w:val="0C0C0C"/>
          <w:spacing w:val="-10"/>
          <w:w w:val="105"/>
          <w:sz w:val="16"/>
        </w:rPr>
        <w:t xml:space="preserve"> </w:t>
      </w:r>
      <w:r>
        <w:rPr>
          <w:rFonts w:ascii="Arial"/>
          <w:color w:val="1D1D1D"/>
          <w:w w:val="105"/>
          <w:sz w:val="16"/>
        </w:rPr>
        <w:t>the</w:t>
      </w:r>
      <w:r>
        <w:rPr>
          <w:rFonts w:ascii="Arial"/>
          <w:color w:val="1D1D1D"/>
          <w:spacing w:val="-24"/>
          <w:w w:val="105"/>
          <w:sz w:val="16"/>
        </w:rPr>
        <w:t xml:space="preserve"> </w:t>
      </w:r>
      <w:r>
        <w:rPr>
          <w:rFonts w:ascii="Arial"/>
          <w:color w:val="1D1D1D"/>
          <w:w w:val="105"/>
          <w:sz w:val="16"/>
        </w:rPr>
        <w:t>Injury</w:t>
      </w:r>
      <w:r>
        <w:rPr>
          <w:rFonts w:ascii="Arial"/>
          <w:color w:val="1D1D1D"/>
          <w:spacing w:val="-8"/>
          <w:w w:val="105"/>
          <w:sz w:val="16"/>
        </w:rPr>
        <w:t xml:space="preserve"> </w:t>
      </w:r>
      <w:r>
        <w:rPr>
          <w:rFonts w:ascii="Arial"/>
          <w:color w:val="1D1D1D"/>
          <w:w w:val="105"/>
          <w:sz w:val="16"/>
        </w:rPr>
        <w:t>PCN</w:t>
      </w:r>
      <w:r>
        <w:rPr>
          <w:rFonts w:ascii="Arial"/>
          <w:color w:val="1D1D1D"/>
          <w:spacing w:val="-13"/>
          <w:w w:val="105"/>
          <w:sz w:val="16"/>
        </w:rPr>
        <w:t xml:space="preserve"> </w:t>
      </w:r>
      <w:r>
        <w:rPr>
          <w:rFonts w:ascii="Arial"/>
          <w:color w:val="363636"/>
          <w:w w:val="105"/>
          <w:sz w:val="16"/>
        </w:rPr>
        <w:t>code</w:t>
      </w:r>
      <w:r>
        <w:rPr>
          <w:rFonts w:ascii="Arial"/>
          <w:color w:val="363636"/>
          <w:spacing w:val="-3"/>
          <w:w w:val="105"/>
          <w:sz w:val="16"/>
        </w:rPr>
        <w:t xml:space="preserve"> </w:t>
      </w:r>
      <w:r>
        <w:rPr>
          <w:rFonts w:ascii="Arial"/>
          <w:color w:val="1D1D1D"/>
          <w:w w:val="105"/>
          <w:sz w:val="16"/>
        </w:rPr>
        <w:t>for a</w:t>
      </w:r>
      <w:r>
        <w:rPr>
          <w:rFonts w:ascii="Arial"/>
          <w:color w:val="1D1D1D"/>
          <w:spacing w:val="-10"/>
          <w:w w:val="105"/>
          <w:sz w:val="16"/>
        </w:rPr>
        <w:t xml:space="preserve"> </w:t>
      </w:r>
      <w:r>
        <w:rPr>
          <w:rFonts w:ascii="Arial"/>
          <w:color w:val="1D1D1D"/>
          <w:w w:val="105"/>
          <w:sz w:val="16"/>
        </w:rPr>
        <w:t>product,</w:t>
      </w:r>
      <w:r>
        <w:rPr>
          <w:rFonts w:ascii="Arial"/>
          <w:color w:val="1D1D1D"/>
          <w:spacing w:val="-19"/>
          <w:w w:val="105"/>
          <w:sz w:val="16"/>
        </w:rPr>
        <w:t xml:space="preserve"> </w:t>
      </w:r>
      <w:r>
        <w:rPr>
          <w:rFonts w:ascii="Arial"/>
          <w:color w:val="1D1D1D"/>
          <w:w w:val="105"/>
          <w:sz w:val="16"/>
        </w:rPr>
        <w:t>is</w:t>
      </w:r>
      <w:r>
        <w:rPr>
          <w:rFonts w:ascii="Arial"/>
          <w:color w:val="1D1D1D"/>
          <w:spacing w:val="-10"/>
          <w:w w:val="105"/>
          <w:sz w:val="16"/>
        </w:rPr>
        <w:t xml:space="preserve"> </w:t>
      </w:r>
      <w:r>
        <w:rPr>
          <w:rFonts w:ascii="Arial"/>
          <w:color w:val="1D1D1D"/>
          <w:w w:val="105"/>
          <w:sz w:val="16"/>
        </w:rPr>
        <w:t>the</w:t>
      </w:r>
      <w:r>
        <w:rPr>
          <w:rFonts w:ascii="Arial"/>
          <w:color w:val="1D1D1D"/>
          <w:spacing w:val="-8"/>
          <w:w w:val="105"/>
          <w:sz w:val="16"/>
        </w:rPr>
        <w:t xml:space="preserve"> </w:t>
      </w:r>
      <w:r>
        <w:rPr>
          <w:rFonts w:ascii="Arial"/>
          <w:color w:val="363636"/>
          <w:w w:val="105"/>
          <w:sz w:val="16"/>
        </w:rPr>
        <w:t>same</w:t>
      </w:r>
      <w:r>
        <w:rPr>
          <w:rFonts w:ascii="Arial"/>
          <w:color w:val="363636"/>
          <w:spacing w:val="-6"/>
          <w:w w:val="105"/>
          <w:sz w:val="16"/>
        </w:rPr>
        <w:t xml:space="preserve"> </w:t>
      </w:r>
      <w:r>
        <w:rPr>
          <w:rFonts w:ascii="Arial"/>
          <w:color w:val="1D1D1D"/>
          <w:w w:val="105"/>
          <w:sz w:val="16"/>
        </w:rPr>
        <w:t>of</w:t>
      </w:r>
      <w:r>
        <w:rPr>
          <w:rFonts w:ascii="Arial"/>
          <w:color w:val="1D1D1D"/>
          <w:spacing w:val="22"/>
          <w:w w:val="105"/>
          <w:sz w:val="16"/>
        </w:rPr>
        <w:t xml:space="preserve"> </w:t>
      </w:r>
      <w:r>
        <w:rPr>
          <w:rFonts w:ascii="Arial"/>
          <w:color w:val="0C0C0C"/>
          <w:w w:val="105"/>
          <w:sz w:val="16"/>
        </w:rPr>
        <w:t>the</w:t>
      </w:r>
      <w:r>
        <w:rPr>
          <w:rFonts w:ascii="Arial"/>
          <w:color w:val="0C0C0C"/>
          <w:spacing w:val="21"/>
          <w:w w:val="105"/>
          <w:sz w:val="16"/>
        </w:rPr>
        <w:t xml:space="preserve"> </w:t>
      </w:r>
      <w:r>
        <w:rPr>
          <w:rFonts w:ascii="Arial"/>
          <w:color w:val="1D1D1D"/>
          <w:w w:val="105"/>
          <w:sz w:val="16"/>
        </w:rPr>
        <w:t>first</w:t>
      </w:r>
      <w:r>
        <w:rPr>
          <w:rFonts w:ascii="Arial"/>
          <w:color w:val="1D1D1D"/>
          <w:spacing w:val="-9"/>
          <w:w w:val="105"/>
          <w:sz w:val="16"/>
        </w:rPr>
        <w:t xml:space="preserve"> </w:t>
      </w:r>
      <w:r>
        <w:rPr>
          <w:rFonts w:ascii="Arial"/>
          <w:color w:val="1D1D1D"/>
          <w:w w:val="105"/>
          <w:sz w:val="16"/>
        </w:rPr>
        <w:t>four</w:t>
      </w:r>
      <w:r>
        <w:rPr>
          <w:rFonts w:ascii="Arial"/>
          <w:color w:val="1D1D1D"/>
          <w:spacing w:val="-9"/>
          <w:w w:val="105"/>
          <w:sz w:val="16"/>
        </w:rPr>
        <w:t xml:space="preserve"> </w:t>
      </w:r>
      <w:r>
        <w:rPr>
          <w:rFonts w:ascii="Arial"/>
          <w:color w:val="1D1D1D"/>
          <w:w w:val="105"/>
          <w:sz w:val="16"/>
        </w:rPr>
        <w:t>digits</w:t>
      </w:r>
      <w:r>
        <w:rPr>
          <w:rFonts w:ascii="Arial"/>
          <w:color w:val="1D1D1D"/>
          <w:spacing w:val="-20"/>
          <w:w w:val="105"/>
          <w:sz w:val="16"/>
        </w:rPr>
        <w:t xml:space="preserve"> </w:t>
      </w:r>
      <w:r>
        <w:rPr>
          <w:rFonts w:ascii="Arial"/>
          <w:color w:val="1D1D1D"/>
          <w:w w:val="105"/>
          <w:sz w:val="16"/>
        </w:rPr>
        <w:t>of the</w:t>
      </w:r>
      <w:r>
        <w:rPr>
          <w:rFonts w:ascii="Arial"/>
          <w:color w:val="1D1D1D"/>
          <w:spacing w:val="-2"/>
          <w:w w:val="105"/>
          <w:sz w:val="16"/>
        </w:rPr>
        <w:t xml:space="preserve"> </w:t>
      </w:r>
      <w:r>
        <w:rPr>
          <w:rFonts w:ascii="Arial"/>
          <w:color w:val="1D1D1D"/>
          <w:w w:val="105"/>
          <w:sz w:val="16"/>
        </w:rPr>
        <w:t>PCN</w:t>
      </w:r>
      <w:r>
        <w:rPr>
          <w:rFonts w:ascii="Arial"/>
          <w:color w:val="1D1D1D"/>
          <w:spacing w:val="-13"/>
          <w:w w:val="105"/>
          <w:sz w:val="16"/>
        </w:rPr>
        <w:t xml:space="preserve"> </w:t>
      </w:r>
      <w:r>
        <w:rPr>
          <w:rFonts w:ascii="Arial"/>
          <w:color w:val="363636"/>
          <w:w w:val="105"/>
          <w:sz w:val="16"/>
        </w:rPr>
        <w:t>code</w:t>
      </w:r>
      <w:r>
        <w:rPr>
          <w:rFonts w:ascii="Arial"/>
          <w:color w:val="363636"/>
          <w:spacing w:val="-3"/>
          <w:w w:val="105"/>
          <w:sz w:val="16"/>
        </w:rPr>
        <w:t xml:space="preserve"> </w:t>
      </w:r>
      <w:r>
        <w:rPr>
          <w:rFonts w:ascii="Arial"/>
          <w:color w:val="1D1D1D"/>
          <w:w w:val="105"/>
          <w:sz w:val="16"/>
        </w:rPr>
        <w:t xml:space="preserve">for </w:t>
      </w:r>
      <w:r>
        <w:rPr>
          <w:rFonts w:ascii="Arial"/>
          <w:color w:val="0C0C0C"/>
          <w:w w:val="105"/>
          <w:sz w:val="16"/>
        </w:rPr>
        <w:t xml:space="preserve">that </w:t>
      </w:r>
      <w:r>
        <w:rPr>
          <w:rFonts w:ascii="Arial"/>
          <w:color w:val="1D1D1D"/>
          <w:w w:val="105"/>
          <w:sz w:val="16"/>
        </w:rPr>
        <w:t>product:</w:t>
      </w:r>
      <w:r>
        <w:rPr>
          <w:rFonts w:ascii="Arial"/>
          <w:color w:val="1D1D1D"/>
          <w:spacing w:val="-18"/>
          <w:w w:val="105"/>
          <w:sz w:val="16"/>
        </w:rPr>
        <w:t xml:space="preserve"> </w:t>
      </w:r>
      <w:r>
        <w:rPr>
          <w:rFonts w:ascii="Arial"/>
          <w:color w:val="363636"/>
          <w:w w:val="105"/>
          <w:sz w:val="16"/>
        </w:rPr>
        <w:t>see</w:t>
      </w:r>
      <w:r>
        <w:rPr>
          <w:rFonts w:ascii="Arial"/>
          <w:color w:val="363636"/>
          <w:spacing w:val="-20"/>
          <w:w w:val="105"/>
          <w:sz w:val="16"/>
        </w:rPr>
        <w:t xml:space="preserve"> </w:t>
      </w:r>
      <w:r>
        <w:rPr>
          <w:rFonts w:ascii="Arial"/>
          <w:color w:val="1D1D1D"/>
          <w:w w:val="105"/>
          <w:sz w:val="16"/>
        </w:rPr>
        <w:t>Anti-Dumping</w:t>
      </w:r>
      <w:r>
        <w:rPr>
          <w:rFonts w:ascii="Arial"/>
          <w:color w:val="1D1D1D"/>
          <w:spacing w:val="-12"/>
          <w:w w:val="105"/>
          <w:sz w:val="16"/>
        </w:rPr>
        <w:t xml:space="preserve"> </w:t>
      </w:r>
      <w:r>
        <w:rPr>
          <w:rFonts w:ascii="Arial"/>
          <w:color w:val="1D1D1D"/>
          <w:w w:val="105"/>
          <w:sz w:val="16"/>
        </w:rPr>
        <w:t>Questionnaire</w:t>
      </w:r>
      <w:r>
        <w:rPr>
          <w:rFonts w:ascii="Arial"/>
          <w:color w:val="1D1D1D"/>
          <w:spacing w:val="-11"/>
          <w:w w:val="105"/>
          <w:sz w:val="16"/>
        </w:rPr>
        <w:t xml:space="preserve"> </w:t>
      </w:r>
      <w:r>
        <w:rPr>
          <w:rFonts w:ascii="Arial"/>
          <w:color w:val="1D1D1D"/>
          <w:w w:val="105"/>
          <w:sz w:val="16"/>
        </w:rPr>
        <w:t>{Exhibit</w:t>
      </w:r>
      <w:r>
        <w:rPr>
          <w:rFonts w:ascii="Arial"/>
          <w:color w:val="1D1D1D"/>
          <w:spacing w:val="-12"/>
          <w:w w:val="105"/>
          <w:sz w:val="16"/>
        </w:rPr>
        <w:t xml:space="preserve"> </w:t>
      </w:r>
      <w:r>
        <w:rPr>
          <w:rFonts w:ascii="Arial"/>
          <w:color w:val="1D1D1D"/>
          <w:w w:val="105"/>
          <w:sz w:val="16"/>
        </w:rPr>
        <w:t>AUS-3),</w:t>
      </w:r>
      <w:r>
        <w:rPr>
          <w:rFonts w:ascii="Arial"/>
          <w:color w:val="1D1D1D"/>
          <w:spacing w:val="-19"/>
          <w:w w:val="105"/>
          <w:sz w:val="16"/>
        </w:rPr>
        <w:t xml:space="preserve"> </w:t>
      </w:r>
      <w:r>
        <w:rPr>
          <w:rFonts w:ascii="Arial"/>
          <w:color w:val="1D1D1D"/>
          <w:w w:val="105"/>
          <w:sz w:val="16"/>
        </w:rPr>
        <w:t>pp.</w:t>
      </w:r>
      <w:r>
        <w:rPr>
          <w:rFonts w:ascii="Arial"/>
          <w:color w:val="1D1D1D"/>
          <w:spacing w:val="14"/>
          <w:w w:val="105"/>
          <w:sz w:val="16"/>
        </w:rPr>
        <w:t xml:space="preserve"> </w:t>
      </w:r>
      <w:r>
        <w:rPr>
          <w:rFonts w:ascii="Arial"/>
          <w:color w:val="1D1D1D"/>
          <w:w w:val="105"/>
          <w:sz w:val="16"/>
        </w:rPr>
        <w:t>28-29,</w:t>
      </w:r>
      <w:r>
        <w:rPr>
          <w:rFonts w:ascii="Arial"/>
          <w:color w:val="1D1D1D"/>
          <w:spacing w:val="-22"/>
          <w:w w:val="105"/>
          <w:sz w:val="16"/>
        </w:rPr>
        <w:t xml:space="preserve"> </w:t>
      </w:r>
      <w:r>
        <w:rPr>
          <w:rFonts w:ascii="Arial"/>
          <w:color w:val="1D1D1D"/>
          <w:w w:val="105"/>
          <w:sz w:val="16"/>
        </w:rPr>
        <w:t>78-79.</w:t>
      </w:r>
      <w:r>
        <w:rPr>
          <w:rFonts w:ascii="Arial"/>
          <w:color w:val="1D1D1D"/>
          <w:spacing w:val="-15"/>
          <w:w w:val="105"/>
          <w:sz w:val="16"/>
        </w:rPr>
        <w:t xml:space="preserve"> </w:t>
      </w:r>
      <w:r>
        <w:rPr>
          <w:rFonts w:ascii="Arial"/>
          <w:color w:val="1D1D1D"/>
          <w:w w:val="105"/>
          <w:sz w:val="16"/>
        </w:rPr>
        <w:t>The</w:t>
      </w:r>
      <w:r>
        <w:rPr>
          <w:rFonts w:ascii="Arial"/>
          <w:color w:val="1D1D1D"/>
          <w:spacing w:val="-20"/>
          <w:w w:val="105"/>
          <w:sz w:val="16"/>
        </w:rPr>
        <w:t xml:space="preserve"> </w:t>
      </w:r>
      <w:r>
        <w:rPr>
          <w:rFonts w:ascii="Arial"/>
          <w:color w:val="1D1D1D"/>
          <w:w w:val="105"/>
          <w:sz w:val="16"/>
        </w:rPr>
        <w:t>information</w:t>
      </w:r>
      <w:r>
        <w:rPr>
          <w:rFonts w:ascii="Arial"/>
          <w:color w:val="1D1D1D"/>
          <w:spacing w:val="-12"/>
          <w:w w:val="105"/>
          <w:sz w:val="16"/>
        </w:rPr>
        <w:t xml:space="preserve"> </w:t>
      </w:r>
      <w:r>
        <w:rPr>
          <w:rFonts w:ascii="Arial"/>
          <w:color w:val="1D1D1D"/>
          <w:w w:val="105"/>
          <w:sz w:val="16"/>
        </w:rPr>
        <w:t>sought</w:t>
      </w:r>
      <w:r>
        <w:rPr>
          <w:rFonts w:ascii="Arial"/>
          <w:color w:val="1D1D1D"/>
          <w:spacing w:val="-12"/>
          <w:w w:val="105"/>
          <w:sz w:val="16"/>
        </w:rPr>
        <w:t xml:space="preserve"> </w:t>
      </w:r>
      <w:r>
        <w:rPr>
          <w:rFonts w:ascii="Arial"/>
          <w:color w:val="1D1D1D"/>
          <w:w w:val="105"/>
          <w:sz w:val="16"/>
        </w:rPr>
        <w:t>by</w:t>
      </w:r>
      <w:r>
        <w:rPr>
          <w:rFonts w:ascii="Arial"/>
          <w:color w:val="1D1D1D"/>
          <w:spacing w:val="-9"/>
          <w:w w:val="105"/>
          <w:sz w:val="16"/>
        </w:rPr>
        <w:t xml:space="preserve"> </w:t>
      </w:r>
      <w:r>
        <w:rPr>
          <w:rFonts w:ascii="Arial"/>
          <w:color w:val="1D1D1D"/>
          <w:w w:val="105"/>
          <w:sz w:val="16"/>
        </w:rPr>
        <w:t>the</w:t>
      </w:r>
      <w:r>
        <w:rPr>
          <w:rFonts w:ascii="Arial"/>
          <w:color w:val="1D1D1D"/>
          <w:spacing w:val="8"/>
          <w:w w:val="105"/>
          <w:sz w:val="16"/>
        </w:rPr>
        <w:t xml:space="preserve"> </w:t>
      </w:r>
      <w:r>
        <w:rPr>
          <w:rFonts w:ascii="Arial"/>
          <w:color w:val="1D1D1D"/>
          <w:w w:val="105"/>
          <w:sz w:val="16"/>
        </w:rPr>
        <w:t>first</w:t>
      </w:r>
      <w:r>
        <w:rPr>
          <w:rFonts w:ascii="Arial"/>
          <w:color w:val="1D1D1D"/>
          <w:spacing w:val="-15"/>
          <w:w w:val="105"/>
          <w:sz w:val="16"/>
        </w:rPr>
        <w:t xml:space="preserve"> </w:t>
      </w:r>
      <w:r>
        <w:rPr>
          <w:rFonts w:ascii="Arial"/>
          <w:color w:val="1D1D1D"/>
          <w:w w:val="105"/>
          <w:sz w:val="16"/>
        </w:rPr>
        <w:t>four</w:t>
      </w:r>
      <w:r>
        <w:rPr>
          <w:rFonts w:ascii="Arial"/>
          <w:color w:val="1D1D1D"/>
          <w:spacing w:val="-15"/>
          <w:w w:val="105"/>
          <w:sz w:val="16"/>
        </w:rPr>
        <w:t xml:space="preserve"> </w:t>
      </w:r>
      <w:r>
        <w:rPr>
          <w:rFonts w:ascii="Arial"/>
          <w:color w:val="1D1D1D"/>
          <w:spacing w:val="-2"/>
          <w:w w:val="105"/>
          <w:sz w:val="16"/>
        </w:rPr>
        <w:t>digits</w:t>
      </w:r>
    </w:p>
    <w:p w14:paraId="51DE8F12" w14:textId="77777777" w:rsidR="0010369C" w:rsidRDefault="008E43AE">
      <w:pPr>
        <w:spacing w:before="38"/>
        <w:ind w:left="239"/>
        <w:rPr>
          <w:rFonts w:ascii="Arial"/>
          <w:sz w:val="16"/>
        </w:rPr>
      </w:pPr>
      <w:r>
        <w:rPr>
          <w:rFonts w:ascii="Arial"/>
          <w:color w:val="1D1D1D"/>
          <w:w w:val="105"/>
          <w:sz w:val="16"/>
        </w:rPr>
        <w:t>of</w:t>
      </w:r>
      <w:r>
        <w:rPr>
          <w:rFonts w:ascii="Arial"/>
          <w:color w:val="1D1D1D"/>
          <w:spacing w:val="-11"/>
          <w:w w:val="105"/>
          <w:sz w:val="16"/>
        </w:rPr>
        <w:t xml:space="preserve"> </w:t>
      </w:r>
      <w:r>
        <w:rPr>
          <w:rFonts w:ascii="Arial"/>
          <w:color w:val="0C0C0C"/>
          <w:w w:val="105"/>
          <w:sz w:val="16"/>
        </w:rPr>
        <w:t>the</w:t>
      </w:r>
      <w:r>
        <w:rPr>
          <w:rFonts w:ascii="Arial"/>
          <w:color w:val="0C0C0C"/>
          <w:spacing w:val="-10"/>
          <w:w w:val="105"/>
          <w:sz w:val="16"/>
        </w:rPr>
        <w:t xml:space="preserve"> </w:t>
      </w:r>
      <w:r>
        <w:rPr>
          <w:rFonts w:ascii="Arial"/>
          <w:color w:val="1D1D1D"/>
          <w:w w:val="105"/>
          <w:sz w:val="16"/>
        </w:rPr>
        <w:t>PCN</w:t>
      </w:r>
      <w:r>
        <w:rPr>
          <w:rFonts w:ascii="Arial"/>
          <w:color w:val="1D1D1D"/>
          <w:spacing w:val="-19"/>
          <w:w w:val="105"/>
          <w:sz w:val="16"/>
        </w:rPr>
        <w:t xml:space="preserve"> </w:t>
      </w:r>
      <w:r>
        <w:rPr>
          <w:rFonts w:ascii="Arial"/>
          <w:color w:val="1D1D1D"/>
          <w:w w:val="105"/>
          <w:sz w:val="16"/>
        </w:rPr>
        <w:t>code</w:t>
      </w:r>
      <w:r>
        <w:rPr>
          <w:rFonts w:ascii="Arial"/>
          <w:color w:val="1D1D1D"/>
          <w:spacing w:val="-18"/>
          <w:w w:val="105"/>
          <w:sz w:val="16"/>
        </w:rPr>
        <w:t xml:space="preserve"> </w:t>
      </w:r>
      <w:r>
        <w:rPr>
          <w:rFonts w:ascii="Arial"/>
          <w:color w:val="1D1D1D"/>
          <w:w w:val="105"/>
          <w:sz w:val="16"/>
        </w:rPr>
        <w:t>(pp.</w:t>
      </w:r>
      <w:r>
        <w:rPr>
          <w:rFonts w:ascii="Arial"/>
          <w:color w:val="1D1D1D"/>
          <w:spacing w:val="-12"/>
          <w:w w:val="105"/>
          <w:sz w:val="16"/>
        </w:rPr>
        <w:t xml:space="preserve"> </w:t>
      </w:r>
      <w:r>
        <w:rPr>
          <w:rFonts w:ascii="Arial"/>
          <w:color w:val="1D1D1D"/>
          <w:w w:val="105"/>
          <w:sz w:val="16"/>
        </w:rPr>
        <w:t>28-29)</w:t>
      </w:r>
      <w:r>
        <w:rPr>
          <w:rFonts w:ascii="Arial"/>
          <w:color w:val="1D1D1D"/>
          <w:spacing w:val="-6"/>
          <w:w w:val="105"/>
          <w:sz w:val="16"/>
        </w:rPr>
        <w:t xml:space="preserve"> </w:t>
      </w:r>
      <w:r>
        <w:rPr>
          <w:rFonts w:ascii="Arial"/>
          <w:color w:val="363636"/>
          <w:w w:val="105"/>
          <w:sz w:val="16"/>
        </w:rPr>
        <w:t>is</w:t>
      </w:r>
      <w:r>
        <w:rPr>
          <w:rFonts w:ascii="Arial"/>
          <w:color w:val="363636"/>
          <w:spacing w:val="-25"/>
          <w:w w:val="105"/>
          <w:sz w:val="16"/>
        </w:rPr>
        <w:t xml:space="preserve"> </w:t>
      </w:r>
      <w:r>
        <w:rPr>
          <w:rFonts w:ascii="Arial"/>
          <w:color w:val="1D1D1D"/>
          <w:w w:val="105"/>
          <w:sz w:val="16"/>
        </w:rPr>
        <w:t>the</w:t>
      </w:r>
      <w:r>
        <w:rPr>
          <w:rFonts w:ascii="Arial"/>
          <w:color w:val="1D1D1D"/>
          <w:spacing w:val="-2"/>
          <w:w w:val="105"/>
          <w:sz w:val="16"/>
        </w:rPr>
        <w:t xml:space="preserve"> </w:t>
      </w:r>
      <w:r>
        <w:rPr>
          <w:rFonts w:ascii="Arial"/>
          <w:color w:val="1D1D1D"/>
          <w:w w:val="105"/>
          <w:sz w:val="16"/>
        </w:rPr>
        <w:t>same</w:t>
      </w:r>
      <w:r>
        <w:rPr>
          <w:rFonts w:ascii="Arial"/>
          <w:color w:val="1D1D1D"/>
          <w:spacing w:val="-14"/>
          <w:w w:val="105"/>
          <w:sz w:val="16"/>
        </w:rPr>
        <w:t xml:space="preserve"> </w:t>
      </w:r>
      <w:r>
        <w:rPr>
          <w:rFonts w:ascii="Arial"/>
          <w:color w:val="1D1D1D"/>
          <w:w w:val="105"/>
          <w:sz w:val="16"/>
        </w:rPr>
        <w:t>as</w:t>
      </w:r>
      <w:r>
        <w:rPr>
          <w:rFonts w:ascii="Arial"/>
          <w:color w:val="1D1D1D"/>
          <w:spacing w:val="-23"/>
          <w:w w:val="105"/>
          <w:sz w:val="16"/>
        </w:rPr>
        <w:t xml:space="preserve"> </w:t>
      </w:r>
      <w:r>
        <w:rPr>
          <w:rFonts w:ascii="Arial"/>
          <w:color w:val="1D1D1D"/>
          <w:w w:val="105"/>
          <w:sz w:val="16"/>
        </w:rPr>
        <w:t>the</w:t>
      </w:r>
      <w:r>
        <w:rPr>
          <w:rFonts w:ascii="Arial"/>
          <w:color w:val="1D1D1D"/>
          <w:spacing w:val="11"/>
          <w:w w:val="105"/>
          <w:sz w:val="16"/>
        </w:rPr>
        <w:t xml:space="preserve"> </w:t>
      </w:r>
      <w:r>
        <w:rPr>
          <w:rFonts w:ascii="Arial"/>
          <w:color w:val="1D1D1D"/>
          <w:w w:val="105"/>
          <w:sz w:val="16"/>
        </w:rPr>
        <w:t>information</w:t>
      </w:r>
      <w:r>
        <w:rPr>
          <w:rFonts w:ascii="Arial"/>
          <w:color w:val="1D1D1D"/>
          <w:spacing w:val="-10"/>
          <w:w w:val="105"/>
          <w:sz w:val="16"/>
        </w:rPr>
        <w:t xml:space="preserve"> </w:t>
      </w:r>
      <w:r>
        <w:rPr>
          <w:rFonts w:ascii="Arial"/>
          <w:color w:val="1D1D1D"/>
          <w:w w:val="105"/>
          <w:sz w:val="16"/>
        </w:rPr>
        <w:t>sought</w:t>
      </w:r>
      <w:r>
        <w:rPr>
          <w:rFonts w:ascii="Arial"/>
          <w:color w:val="1D1D1D"/>
          <w:spacing w:val="-13"/>
          <w:w w:val="105"/>
          <w:sz w:val="16"/>
        </w:rPr>
        <w:t xml:space="preserve"> </w:t>
      </w:r>
      <w:r>
        <w:rPr>
          <w:rFonts w:ascii="Arial"/>
          <w:color w:val="1D1D1D"/>
          <w:w w:val="105"/>
          <w:sz w:val="16"/>
        </w:rPr>
        <w:t>by</w:t>
      </w:r>
      <w:r>
        <w:rPr>
          <w:rFonts w:ascii="Arial"/>
          <w:color w:val="1D1D1D"/>
          <w:spacing w:val="-6"/>
          <w:w w:val="105"/>
          <w:sz w:val="16"/>
        </w:rPr>
        <w:t xml:space="preserve"> </w:t>
      </w:r>
      <w:r>
        <w:rPr>
          <w:rFonts w:ascii="Arial"/>
          <w:color w:val="1D1D1D"/>
          <w:w w:val="105"/>
          <w:sz w:val="16"/>
        </w:rPr>
        <w:t>the</w:t>
      </w:r>
      <w:r>
        <w:rPr>
          <w:rFonts w:ascii="Arial"/>
          <w:color w:val="1D1D1D"/>
          <w:spacing w:val="1"/>
          <w:w w:val="105"/>
          <w:sz w:val="16"/>
        </w:rPr>
        <w:t xml:space="preserve"> </w:t>
      </w:r>
      <w:r>
        <w:rPr>
          <w:rFonts w:ascii="Arial"/>
          <w:color w:val="1D1D1D"/>
          <w:w w:val="105"/>
          <w:sz w:val="16"/>
        </w:rPr>
        <w:t>four</w:t>
      </w:r>
      <w:r>
        <w:rPr>
          <w:rFonts w:ascii="Arial"/>
          <w:color w:val="1D1D1D"/>
          <w:spacing w:val="-6"/>
          <w:w w:val="105"/>
          <w:sz w:val="16"/>
        </w:rPr>
        <w:t xml:space="preserve"> </w:t>
      </w:r>
      <w:r>
        <w:rPr>
          <w:rFonts w:ascii="Arial"/>
          <w:color w:val="1D1D1D"/>
          <w:w w:val="105"/>
          <w:sz w:val="16"/>
        </w:rPr>
        <w:t>digits</w:t>
      </w:r>
      <w:r>
        <w:rPr>
          <w:rFonts w:ascii="Arial"/>
          <w:color w:val="1D1D1D"/>
          <w:spacing w:val="-19"/>
          <w:w w:val="105"/>
          <w:sz w:val="16"/>
        </w:rPr>
        <w:t xml:space="preserve"> </w:t>
      </w:r>
      <w:r>
        <w:rPr>
          <w:rFonts w:ascii="Arial"/>
          <w:color w:val="1D1D1D"/>
          <w:w w:val="105"/>
          <w:sz w:val="16"/>
        </w:rPr>
        <w:t>making</w:t>
      </w:r>
      <w:r>
        <w:rPr>
          <w:rFonts w:ascii="Arial"/>
          <w:color w:val="1D1D1D"/>
          <w:spacing w:val="-28"/>
          <w:w w:val="105"/>
          <w:sz w:val="16"/>
        </w:rPr>
        <w:t xml:space="preserve"> </w:t>
      </w:r>
      <w:r>
        <w:rPr>
          <w:rFonts w:ascii="Arial"/>
          <w:color w:val="1D1D1D"/>
          <w:w w:val="105"/>
          <w:sz w:val="16"/>
        </w:rPr>
        <w:t>up</w:t>
      </w:r>
      <w:r>
        <w:rPr>
          <w:rFonts w:ascii="Arial"/>
          <w:color w:val="1D1D1D"/>
          <w:spacing w:val="-2"/>
          <w:w w:val="105"/>
          <w:sz w:val="16"/>
        </w:rPr>
        <w:t xml:space="preserve"> </w:t>
      </w:r>
      <w:r>
        <w:rPr>
          <w:rFonts w:ascii="Arial"/>
          <w:color w:val="1D1D1D"/>
          <w:w w:val="105"/>
          <w:sz w:val="16"/>
        </w:rPr>
        <w:t>the</w:t>
      </w:r>
      <w:r>
        <w:rPr>
          <w:rFonts w:ascii="Arial"/>
          <w:color w:val="1D1D1D"/>
          <w:spacing w:val="-8"/>
          <w:w w:val="105"/>
          <w:sz w:val="16"/>
        </w:rPr>
        <w:t xml:space="preserve"> </w:t>
      </w:r>
      <w:r>
        <w:rPr>
          <w:rFonts w:ascii="Arial"/>
          <w:color w:val="1D1D1D"/>
          <w:w w:val="105"/>
          <w:sz w:val="16"/>
        </w:rPr>
        <w:t>Injury</w:t>
      </w:r>
      <w:r>
        <w:rPr>
          <w:rFonts w:ascii="Arial"/>
          <w:color w:val="1D1D1D"/>
          <w:spacing w:val="-16"/>
          <w:w w:val="105"/>
          <w:sz w:val="16"/>
        </w:rPr>
        <w:t xml:space="preserve"> </w:t>
      </w:r>
      <w:r>
        <w:rPr>
          <w:rFonts w:ascii="Arial"/>
          <w:color w:val="1D1D1D"/>
          <w:w w:val="105"/>
          <w:sz w:val="16"/>
        </w:rPr>
        <w:t>PCN</w:t>
      </w:r>
      <w:r>
        <w:rPr>
          <w:rFonts w:ascii="Arial"/>
          <w:color w:val="1D1D1D"/>
          <w:spacing w:val="-10"/>
          <w:w w:val="105"/>
          <w:sz w:val="16"/>
        </w:rPr>
        <w:t xml:space="preserve"> </w:t>
      </w:r>
      <w:r>
        <w:rPr>
          <w:rFonts w:ascii="Arial"/>
          <w:color w:val="1D1D1D"/>
          <w:w w:val="105"/>
          <w:sz w:val="16"/>
        </w:rPr>
        <w:t>code</w:t>
      </w:r>
      <w:r>
        <w:rPr>
          <w:rFonts w:ascii="Arial"/>
          <w:color w:val="1D1D1D"/>
          <w:spacing w:val="-9"/>
          <w:w w:val="105"/>
          <w:sz w:val="16"/>
        </w:rPr>
        <w:t xml:space="preserve"> </w:t>
      </w:r>
      <w:r>
        <w:rPr>
          <w:rFonts w:ascii="Arial"/>
          <w:color w:val="363636"/>
          <w:w w:val="105"/>
          <w:sz w:val="16"/>
        </w:rPr>
        <w:t>(p</w:t>
      </w:r>
      <w:r>
        <w:rPr>
          <w:rFonts w:ascii="Arial"/>
          <w:color w:val="0C0C0C"/>
          <w:w w:val="105"/>
          <w:sz w:val="16"/>
        </w:rPr>
        <w:t>p.</w:t>
      </w:r>
      <w:r>
        <w:rPr>
          <w:rFonts w:ascii="Arial"/>
          <w:color w:val="0C0C0C"/>
          <w:spacing w:val="-18"/>
          <w:w w:val="105"/>
          <w:sz w:val="16"/>
        </w:rPr>
        <w:t xml:space="preserve"> </w:t>
      </w:r>
      <w:r>
        <w:rPr>
          <w:rFonts w:ascii="Arial"/>
          <w:color w:val="1D1D1D"/>
          <w:spacing w:val="-5"/>
          <w:w w:val="105"/>
          <w:sz w:val="16"/>
        </w:rPr>
        <w:t>78-</w:t>
      </w:r>
    </w:p>
    <w:p w14:paraId="51DE8F13" w14:textId="77777777" w:rsidR="0010369C" w:rsidRDefault="008E43AE">
      <w:pPr>
        <w:spacing w:before="75"/>
        <w:ind w:left="237"/>
        <w:rPr>
          <w:rFonts w:ascii="Arial"/>
          <w:sz w:val="16"/>
        </w:rPr>
      </w:pPr>
      <w:r>
        <w:rPr>
          <w:rFonts w:ascii="Arial"/>
          <w:color w:val="1D1D1D"/>
          <w:spacing w:val="-2"/>
          <w:w w:val="105"/>
          <w:sz w:val="16"/>
        </w:rPr>
        <w:t>79),</w:t>
      </w:r>
      <w:r>
        <w:rPr>
          <w:rFonts w:ascii="Arial"/>
          <w:color w:val="1D1D1D"/>
          <w:spacing w:val="-20"/>
          <w:w w:val="105"/>
          <w:sz w:val="16"/>
        </w:rPr>
        <w:t xml:space="preserve"> </w:t>
      </w:r>
      <w:r>
        <w:rPr>
          <w:rFonts w:ascii="Times New Roman"/>
          <w:color w:val="363636"/>
          <w:spacing w:val="-2"/>
          <w:w w:val="105"/>
          <w:position w:val="5"/>
          <w:sz w:val="12"/>
        </w:rPr>
        <w:t>678</w:t>
      </w:r>
      <w:r>
        <w:rPr>
          <w:rFonts w:ascii="Times New Roman"/>
          <w:color w:val="363636"/>
          <w:spacing w:val="68"/>
          <w:w w:val="105"/>
          <w:position w:val="5"/>
          <w:sz w:val="12"/>
        </w:rPr>
        <w:t xml:space="preserve"> </w:t>
      </w:r>
      <w:r>
        <w:rPr>
          <w:rFonts w:ascii="Arial"/>
          <w:color w:val="1D1D1D"/>
          <w:spacing w:val="-2"/>
          <w:w w:val="105"/>
          <w:sz w:val="16"/>
        </w:rPr>
        <w:t>AGW</w:t>
      </w:r>
      <w:r>
        <w:rPr>
          <w:rFonts w:ascii="Arial"/>
          <w:color w:val="1D1D1D"/>
          <w:spacing w:val="-6"/>
          <w:w w:val="105"/>
          <w:sz w:val="16"/>
        </w:rPr>
        <w:t xml:space="preserve"> </w:t>
      </w:r>
      <w:r>
        <w:rPr>
          <w:rFonts w:ascii="Arial"/>
          <w:color w:val="1D1D1D"/>
          <w:spacing w:val="-2"/>
          <w:w w:val="105"/>
          <w:sz w:val="16"/>
        </w:rPr>
        <w:t>Submission</w:t>
      </w:r>
      <w:r>
        <w:rPr>
          <w:rFonts w:ascii="Arial"/>
          <w:color w:val="1D1D1D"/>
          <w:spacing w:val="-6"/>
          <w:w w:val="105"/>
          <w:sz w:val="16"/>
        </w:rPr>
        <w:t xml:space="preserve"> </w:t>
      </w:r>
      <w:r>
        <w:rPr>
          <w:rFonts w:ascii="Arial"/>
          <w:color w:val="1D1D1D"/>
          <w:spacing w:val="-2"/>
          <w:w w:val="105"/>
          <w:sz w:val="16"/>
        </w:rPr>
        <w:t>on Initiation</w:t>
      </w:r>
      <w:r>
        <w:rPr>
          <w:rFonts w:ascii="Arial"/>
          <w:color w:val="1D1D1D"/>
          <w:spacing w:val="-13"/>
          <w:w w:val="105"/>
          <w:sz w:val="16"/>
        </w:rPr>
        <w:t xml:space="preserve"> </w:t>
      </w:r>
      <w:r>
        <w:rPr>
          <w:rFonts w:ascii="Arial"/>
          <w:color w:val="1D1D1D"/>
          <w:spacing w:val="-2"/>
          <w:w w:val="105"/>
          <w:sz w:val="16"/>
        </w:rPr>
        <w:t>of</w:t>
      </w:r>
      <w:r>
        <w:rPr>
          <w:rFonts w:ascii="Arial"/>
          <w:color w:val="1D1D1D"/>
          <w:spacing w:val="-13"/>
          <w:w w:val="105"/>
          <w:sz w:val="16"/>
        </w:rPr>
        <w:t xml:space="preserve"> </w:t>
      </w:r>
      <w:r>
        <w:rPr>
          <w:rFonts w:ascii="Arial"/>
          <w:color w:val="1D1D1D"/>
          <w:spacing w:val="-2"/>
          <w:w w:val="105"/>
          <w:sz w:val="16"/>
        </w:rPr>
        <w:t>the</w:t>
      </w:r>
      <w:r>
        <w:rPr>
          <w:rFonts w:ascii="Arial"/>
          <w:color w:val="1D1D1D"/>
          <w:spacing w:val="-9"/>
          <w:w w:val="105"/>
          <w:sz w:val="16"/>
        </w:rPr>
        <w:t xml:space="preserve"> </w:t>
      </w:r>
      <w:r>
        <w:rPr>
          <w:rFonts w:ascii="Arial"/>
          <w:color w:val="1D1D1D"/>
          <w:spacing w:val="-2"/>
          <w:w w:val="105"/>
          <w:sz w:val="16"/>
        </w:rPr>
        <w:t>Investigation</w:t>
      </w:r>
      <w:r>
        <w:rPr>
          <w:rFonts w:ascii="Arial"/>
          <w:color w:val="1D1D1D"/>
          <w:spacing w:val="-4"/>
          <w:w w:val="105"/>
          <w:sz w:val="16"/>
        </w:rPr>
        <w:t xml:space="preserve"> </w:t>
      </w:r>
      <w:r>
        <w:rPr>
          <w:rFonts w:ascii="Arial"/>
          <w:color w:val="1D1D1D"/>
          <w:spacing w:val="-2"/>
          <w:w w:val="105"/>
          <w:sz w:val="16"/>
        </w:rPr>
        <w:t>{Exhibit AUS-71),</w:t>
      </w:r>
      <w:r>
        <w:rPr>
          <w:rFonts w:ascii="Arial"/>
          <w:color w:val="1D1D1D"/>
          <w:spacing w:val="-1"/>
          <w:w w:val="105"/>
          <w:sz w:val="16"/>
        </w:rPr>
        <w:t xml:space="preserve"> </w:t>
      </w:r>
      <w:r>
        <w:rPr>
          <w:rFonts w:ascii="Arial"/>
          <w:color w:val="0C0C0C"/>
          <w:spacing w:val="-2"/>
          <w:w w:val="105"/>
          <w:sz w:val="16"/>
        </w:rPr>
        <w:t>pp</w:t>
      </w:r>
      <w:r>
        <w:rPr>
          <w:rFonts w:ascii="Arial"/>
          <w:color w:val="363636"/>
          <w:spacing w:val="-2"/>
          <w:w w:val="105"/>
          <w:sz w:val="16"/>
        </w:rPr>
        <w:t>.</w:t>
      </w:r>
      <w:r>
        <w:rPr>
          <w:rFonts w:ascii="Arial"/>
          <w:color w:val="363636"/>
          <w:spacing w:val="-15"/>
          <w:w w:val="105"/>
          <w:sz w:val="16"/>
        </w:rPr>
        <w:t xml:space="preserve"> </w:t>
      </w:r>
      <w:r>
        <w:rPr>
          <w:rFonts w:ascii="Arial"/>
          <w:color w:val="1D1D1D"/>
          <w:spacing w:val="-2"/>
          <w:w w:val="105"/>
          <w:sz w:val="16"/>
        </w:rPr>
        <w:t>3-4;</w:t>
      </w:r>
      <w:r>
        <w:rPr>
          <w:rFonts w:ascii="Arial"/>
          <w:color w:val="1D1D1D"/>
          <w:spacing w:val="-13"/>
          <w:w w:val="105"/>
          <w:sz w:val="16"/>
        </w:rPr>
        <w:t xml:space="preserve"> </w:t>
      </w:r>
      <w:r>
        <w:rPr>
          <w:rFonts w:ascii="Arial"/>
          <w:color w:val="1D1D1D"/>
          <w:spacing w:val="-2"/>
          <w:w w:val="105"/>
          <w:sz w:val="16"/>
        </w:rPr>
        <w:t>Casella</w:t>
      </w:r>
      <w:r>
        <w:rPr>
          <w:rFonts w:ascii="Arial"/>
          <w:color w:val="1D1D1D"/>
          <w:spacing w:val="1"/>
          <w:w w:val="105"/>
          <w:sz w:val="16"/>
        </w:rPr>
        <w:t xml:space="preserve"> </w:t>
      </w:r>
      <w:r>
        <w:rPr>
          <w:rFonts w:ascii="Arial"/>
          <w:color w:val="1D1D1D"/>
          <w:spacing w:val="-2"/>
          <w:w w:val="105"/>
          <w:sz w:val="16"/>
        </w:rPr>
        <w:t>Wines</w:t>
      </w:r>
      <w:r>
        <w:rPr>
          <w:rFonts w:ascii="Arial"/>
          <w:color w:val="1D1D1D"/>
          <w:spacing w:val="-9"/>
          <w:w w:val="105"/>
          <w:sz w:val="16"/>
        </w:rPr>
        <w:t xml:space="preserve"> </w:t>
      </w:r>
      <w:r>
        <w:rPr>
          <w:rFonts w:ascii="Arial"/>
          <w:color w:val="1D1D1D"/>
          <w:spacing w:val="-2"/>
          <w:w w:val="105"/>
          <w:sz w:val="16"/>
        </w:rPr>
        <w:t>Anti-Dumping</w:t>
      </w:r>
    </w:p>
    <w:p w14:paraId="51DE8F14" w14:textId="77777777" w:rsidR="0010369C" w:rsidRDefault="008E43AE">
      <w:pPr>
        <w:spacing w:before="60" w:line="235" w:lineRule="auto"/>
        <w:ind w:left="232" w:right="611" w:firstLine="7"/>
        <w:rPr>
          <w:rFonts w:ascii="Arial"/>
          <w:sz w:val="16"/>
        </w:rPr>
      </w:pPr>
      <w:r>
        <w:rPr>
          <w:rFonts w:ascii="Arial"/>
          <w:color w:val="1D1D1D"/>
          <w:spacing w:val="-2"/>
          <w:w w:val="105"/>
          <w:sz w:val="16"/>
        </w:rPr>
        <w:t>ouestionn,aire</w:t>
      </w:r>
      <w:r>
        <w:rPr>
          <w:rFonts w:ascii="Arial"/>
          <w:color w:val="1D1D1D"/>
          <w:spacing w:val="-15"/>
          <w:w w:val="105"/>
          <w:sz w:val="16"/>
        </w:rPr>
        <w:t xml:space="preserve"> </w:t>
      </w:r>
      <w:r>
        <w:rPr>
          <w:rFonts w:ascii="Arial"/>
          <w:color w:val="1D1D1D"/>
          <w:spacing w:val="-2"/>
          <w:w w:val="105"/>
          <w:sz w:val="16"/>
        </w:rPr>
        <w:t>Response</w:t>
      </w:r>
      <w:r>
        <w:rPr>
          <w:rFonts w:ascii="Arial"/>
          <w:color w:val="1D1D1D"/>
          <w:spacing w:val="-4"/>
          <w:w w:val="105"/>
          <w:sz w:val="16"/>
        </w:rPr>
        <w:t xml:space="preserve"> </w:t>
      </w:r>
      <w:r>
        <w:rPr>
          <w:rFonts w:ascii="Arial"/>
          <w:color w:val="1D1D1D"/>
          <w:spacing w:val="-2"/>
          <w:w w:val="105"/>
          <w:sz w:val="16"/>
        </w:rPr>
        <w:t>(Exhibit AUS-72),</w:t>
      </w:r>
      <w:r>
        <w:rPr>
          <w:rFonts w:ascii="Arial"/>
          <w:color w:val="1D1D1D"/>
          <w:spacing w:val="-22"/>
          <w:w w:val="105"/>
          <w:sz w:val="16"/>
        </w:rPr>
        <w:t xml:space="preserve"> </w:t>
      </w:r>
      <w:r>
        <w:rPr>
          <w:rFonts w:ascii="Arial"/>
          <w:color w:val="363636"/>
          <w:spacing w:val="-2"/>
          <w:w w:val="105"/>
          <w:sz w:val="16"/>
        </w:rPr>
        <w:t>Section</w:t>
      </w:r>
      <w:r>
        <w:rPr>
          <w:rFonts w:ascii="Arial"/>
          <w:color w:val="363636"/>
          <w:spacing w:val="-7"/>
          <w:w w:val="105"/>
          <w:sz w:val="16"/>
        </w:rPr>
        <w:t xml:space="preserve"> </w:t>
      </w:r>
      <w:r>
        <w:rPr>
          <w:rFonts w:ascii="Arial"/>
          <w:color w:val="1D1D1D"/>
          <w:spacing w:val="-2"/>
          <w:w w:val="105"/>
          <w:sz w:val="16"/>
        </w:rPr>
        <w:t>2,</w:t>
      </w:r>
      <w:r>
        <w:rPr>
          <w:rFonts w:ascii="Arial"/>
          <w:color w:val="1D1D1D"/>
          <w:spacing w:val="-15"/>
          <w:w w:val="105"/>
          <w:sz w:val="16"/>
        </w:rPr>
        <w:t xml:space="preserve"> </w:t>
      </w:r>
      <w:r>
        <w:rPr>
          <w:rFonts w:ascii="Arial"/>
          <w:color w:val="1D1D1D"/>
          <w:spacing w:val="-2"/>
          <w:w w:val="105"/>
          <w:sz w:val="16"/>
        </w:rPr>
        <w:t>Question</w:t>
      </w:r>
      <w:r>
        <w:rPr>
          <w:rFonts w:ascii="Arial"/>
          <w:color w:val="1D1D1D"/>
          <w:spacing w:val="-4"/>
          <w:w w:val="105"/>
          <w:sz w:val="16"/>
        </w:rPr>
        <w:t xml:space="preserve"> </w:t>
      </w:r>
      <w:r>
        <w:rPr>
          <w:rFonts w:ascii="Arial"/>
          <w:color w:val="1D1D1D"/>
          <w:spacing w:val="-2"/>
          <w:w w:val="105"/>
          <w:sz w:val="16"/>
        </w:rPr>
        <w:t>4,</w:t>
      </w:r>
      <w:r>
        <w:rPr>
          <w:rFonts w:ascii="Arial"/>
          <w:color w:val="1D1D1D"/>
          <w:spacing w:val="-12"/>
          <w:w w:val="105"/>
          <w:sz w:val="16"/>
        </w:rPr>
        <w:t xml:space="preserve"> </w:t>
      </w:r>
      <w:r>
        <w:rPr>
          <w:rFonts w:ascii="Arial"/>
          <w:color w:val="1D1D1D"/>
          <w:spacing w:val="-2"/>
          <w:w w:val="105"/>
          <w:sz w:val="16"/>
        </w:rPr>
        <w:t>pp.</w:t>
      </w:r>
      <w:r>
        <w:rPr>
          <w:rFonts w:ascii="Arial"/>
          <w:color w:val="1D1D1D"/>
          <w:spacing w:val="-3"/>
          <w:w w:val="105"/>
          <w:sz w:val="16"/>
        </w:rPr>
        <w:t xml:space="preserve"> </w:t>
      </w:r>
      <w:r>
        <w:rPr>
          <w:rFonts w:ascii="Arial"/>
          <w:color w:val="1D1D1D"/>
          <w:spacing w:val="-2"/>
          <w:w w:val="105"/>
          <w:sz w:val="16"/>
        </w:rPr>
        <w:t>12-15;</w:t>
      </w:r>
      <w:r>
        <w:rPr>
          <w:rFonts w:ascii="Arial"/>
          <w:color w:val="1D1D1D"/>
          <w:spacing w:val="-15"/>
          <w:w w:val="105"/>
          <w:sz w:val="16"/>
        </w:rPr>
        <w:t xml:space="preserve"> </w:t>
      </w:r>
      <w:r>
        <w:rPr>
          <w:rFonts w:ascii="Arial"/>
          <w:color w:val="1D1D1D"/>
          <w:spacing w:val="-2"/>
          <w:w w:val="105"/>
          <w:sz w:val="16"/>
        </w:rPr>
        <w:t>Treasury Wines</w:t>
      </w:r>
      <w:r>
        <w:rPr>
          <w:rFonts w:ascii="Arial"/>
          <w:color w:val="1D1D1D"/>
          <w:spacing w:val="-6"/>
          <w:w w:val="105"/>
          <w:sz w:val="16"/>
        </w:rPr>
        <w:t xml:space="preserve"> </w:t>
      </w:r>
      <w:r>
        <w:rPr>
          <w:rFonts w:ascii="Arial"/>
          <w:color w:val="1D1D1D"/>
          <w:spacing w:val="-2"/>
          <w:w w:val="105"/>
          <w:sz w:val="16"/>
        </w:rPr>
        <w:t>Anti-Dumping</w:t>
      </w:r>
      <w:r>
        <w:rPr>
          <w:rFonts w:ascii="Arial"/>
          <w:color w:val="1D1D1D"/>
          <w:spacing w:val="8"/>
          <w:w w:val="105"/>
          <w:sz w:val="16"/>
        </w:rPr>
        <w:t xml:space="preserve"> </w:t>
      </w:r>
      <w:r>
        <w:rPr>
          <w:rFonts w:ascii="Arial"/>
          <w:color w:val="1D1D1D"/>
          <w:spacing w:val="-2"/>
          <w:w w:val="105"/>
          <w:sz w:val="16"/>
        </w:rPr>
        <w:t>Questionnaire Response</w:t>
      </w:r>
      <w:r>
        <w:rPr>
          <w:rFonts w:ascii="Arial"/>
          <w:color w:val="1D1D1D"/>
          <w:spacing w:val="-15"/>
          <w:w w:val="105"/>
          <w:sz w:val="16"/>
        </w:rPr>
        <w:t xml:space="preserve"> </w:t>
      </w:r>
      <w:r>
        <w:rPr>
          <w:rFonts w:ascii="Arial"/>
          <w:color w:val="1D1D1D"/>
          <w:spacing w:val="-2"/>
          <w:w w:val="105"/>
          <w:sz w:val="16"/>
        </w:rPr>
        <w:t>11:xhibit</w:t>
      </w:r>
      <w:r>
        <w:rPr>
          <w:rFonts w:ascii="Arial"/>
          <w:color w:val="1D1D1D"/>
          <w:spacing w:val="12"/>
          <w:w w:val="105"/>
          <w:sz w:val="16"/>
        </w:rPr>
        <w:t xml:space="preserve"> </w:t>
      </w:r>
      <w:r>
        <w:rPr>
          <w:rFonts w:ascii="Arial"/>
          <w:color w:val="1D1D1D"/>
          <w:spacing w:val="-2"/>
          <w:w w:val="105"/>
          <w:sz w:val="16"/>
        </w:rPr>
        <w:t>AUS-73),</w:t>
      </w:r>
      <w:r>
        <w:rPr>
          <w:rFonts w:ascii="Arial"/>
          <w:color w:val="1D1D1D"/>
          <w:spacing w:val="-9"/>
          <w:w w:val="105"/>
          <w:sz w:val="16"/>
        </w:rPr>
        <w:t xml:space="preserve"> </w:t>
      </w:r>
      <w:r>
        <w:rPr>
          <w:rFonts w:ascii="Arial"/>
          <w:color w:val="1D1D1D"/>
          <w:spacing w:val="-2"/>
          <w:w w:val="105"/>
          <w:sz w:val="16"/>
        </w:rPr>
        <w:t>Section</w:t>
      </w:r>
      <w:r>
        <w:rPr>
          <w:rFonts w:ascii="Arial"/>
          <w:color w:val="1D1D1D"/>
          <w:spacing w:val="-10"/>
          <w:w w:val="105"/>
          <w:sz w:val="16"/>
        </w:rPr>
        <w:t xml:space="preserve"> </w:t>
      </w:r>
      <w:r>
        <w:rPr>
          <w:rFonts w:ascii="Arial"/>
          <w:color w:val="1D1D1D"/>
          <w:spacing w:val="-2"/>
          <w:w w:val="105"/>
          <w:sz w:val="16"/>
        </w:rPr>
        <w:t>2,</w:t>
      </w:r>
      <w:r>
        <w:rPr>
          <w:rFonts w:ascii="Arial"/>
          <w:color w:val="1D1D1D"/>
          <w:spacing w:val="-4"/>
          <w:w w:val="105"/>
          <w:sz w:val="16"/>
        </w:rPr>
        <w:t xml:space="preserve"> </w:t>
      </w:r>
      <w:r>
        <w:rPr>
          <w:rFonts w:ascii="Arial"/>
          <w:color w:val="1D1D1D"/>
          <w:spacing w:val="-2"/>
          <w:w w:val="105"/>
          <w:sz w:val="16"/>
        </w:rPr>
        <w:t>Question</w:t>
      </w:r>
      <w:r>
        <w:rPr>
          <w:rFonts w:ascii="Arial"/>
          <w:color w:val="1D1D1D"/>
          <w:spacing w:val="-4"/>
          <w:w w:val="105"/>
          <w:sz w:val="16"/>
        </w:rPr>
        <w:t xml:space="preserve"> </w:t>
      </w:r>
      <w:r>
        <w:rPr>
          <w:rFonts w:ascii="Arial"/>
          <w:color w:val="1D1D1D"/>
          <w:spacing w:val="-2"/>
          <w:w w:val="105"/>
          <w:sz w:val="16"/>
        </w:rPr>
        <w:t>4,</w:t>
      </w:r>
      <w:r>
        <w:rPr>
          <w:rFonts w:ascii="Arial"/>
          <w:color w:val="1D1D1D"/>
          <w:spacing w:val="-11"/>
          <w:w w:val="105"/>
          <w:sz w:val="16"/>
        </w:rPr>
        <w:t xml:space="preserve"> </w:t>
      </w:r>
      <w:r>
        <w:rPr>
          <w:rFonts w:ascii="Arial"/>
          <w:color w:val="1D1D1D"/>
          <w:spacing w:val="-2"/>
          <w:w w:val="105"/>
          <w:sz w:val="16"/>
        </w:rPr>
        <w:t>pp. 16-19.</w:t>
      </w:r>
    </w:p>
    <w:p w14:paraId="51DE8F15" w14:textId="77777777" w:rsidR="0010369C" w:rsidRDefault="0010369C">
      <w:pPr>
        <w:spacing w:line="235" w:lineRule="auto"/>
        <w:rPr>
          <w:rFonts w:ascii="Arial"/>
          <w:sz w:val="16"/>
        </w:rPr>
        <w:sectPr w:rsidR="0010369C">
          <w:headerReference w:type="default" r:id="rId789"/>
          <w:footerReference w:type="default" r:id="rId790"/>
          <w:pgSz w:w="11910" w:h="16840"/>
          <w:pgMar w:top="820" w:right="800" w:bottom="1020" w:left="1180" w:header="491" w:footer="826" w:gutter="0"/>
          <w:cols w:space="720"/>
        </w:sectPr>
      </w:pPr>
    </w:p>
    <w:p w14:paraId="51DE8F16" w14:textId="77777777" w:rsidR="0010369C" w:rsidRDefault="008E43AE">
      <w:pPr>
        <w:spacing w:before="21" w:line="290" w:lineRule="auto"/>
        <w:ind w:left="235" w:hanging="8"/>
        <w:rPr>
          <w:rFonts w:ascii="Arial"/>
          <w:sz w:val="18"/>
        </w:rPr>
      </w:pPr>
      <w:r>
        <w:rPr>
          <w:rFonts w:ascii="Arial"/>
          <w:i/>
          <w:color w:val="1C1C1C"/>
          <w:spacing w:val="-2"/>
          <w:w w:val="105"/>
          <w:sz w:val="18"/>
        </w:rPr>
        <w:lastRenderedPageBreak/>
        <w:t>China</w:t>
      </w:r>
      <w:r>
        <w:rPr>
          <w:rFonts w:ascii="Arial"/>
          <w:i/>
          <w:color w:val="1C1C1C"/>
          <w:spacing w:val="-17"/>
          <w:w w:val="105"/>
          <w:sz w:val="18"/>
        </w:rPr>
        <w:t xml:space="preserve"> </w:t>
      </w:r>
      <w:r>
        <w:rPr>
          <w:rFonts w:ascii="Arial"/>
          <w:color w:val="1C1C1C"/>
          <w:spacing w:val="-2"/>
          <w:w w:val="105"/>
          <w:sz w:val="18"/>
        </w:rPr>
        <w:t>-</w:t>
      </w:r>
      <w:r>
        <w:rPr>
          <w:rFonts w:ascii="Arial"/>
          <w:color w:val="1C1C1C"/>
          <w:spacing w:val="19"/>
          <w:w w:val="105"/>
          <w:sz w:val="18"/>
        </w:rPr>
        <w:t xml:space="preserve"> </w:t>
      </w:r>
      <w:r>
        <w:rPr>
          <w:rFonts w:ascii="Arial"/>
          <w:i/>
          <w:color w:val="0C0C0C"/>
          <w:spacing w:val="-2"/>
          <w:w w:val="105"/>
          <w:sz w:val="18"/>
        </w:rPr>
        <w:t>Anti-Dumping</w:t>
      </w:r>
      <w:r>
        <w:rPr>
          <w:rFonts w:ascii="Arial"/>
          <w:i/>
          <w:color w:val="0C0C0C"/>
          <w:spacing w:val="-9"/>
          <w:w w:val="105"/>
          <w:sz w:val="18"/>
        </w:rPr>
        <w:t xml:space="preserve"> </w:t>
      </w:r>
      <w:r>
        <w:rPr>
          <w:rFonts w:ascii="Arial"/>
          <w:i/>
          <w:color w:val="1C1C1C"/>
          <w:spacing w:val="-2"/>
          <w:w w:val="105"/>
          <w:sz w:val="18"/>
        </w:rPr>
        <w:t>and</w:t>
      </w:r>
      <w:r>
        <w:rPr>
          <w:rFonts w:ascii="Arial"/>
          <w:i/>
          <w:color w:val="1C1C1C"/>
          <w:spacing w:val="-26"/>
          <w:w w:val="105"/>
          <w:sz w:val="18"/>
        </w:rPr>
        <w:t xml:space="preserve"> </w:t>
      </w:r>
      <w:r>
        <w:rPr>
          <w:rFonts w:ascii="Arial"/>
          <w:i/>
          <w:color w:val="1C1C1C"/>
          <w:spacing w:val="-2"/>
          <w:w w:val="105"/>
          <w:sz w:val="18"/>
        </w:rPr>
        <w:t>Countervailing</w:t>
      </w:r>
      <w:r>
        <w:rPr>
          <w:rFonts w:ascii="Arial"/>
          <w:i/>
          <w:color w:val="1C1C1C"/>
          <w:spacing w:val="-11"/>
          <w:w w:val="105"/>
          <w:sz w:val="18"/>
        </w:rPr>
        <w:t xml:space="preserve"> </w:t>
      </w:r>
      <w:r>
        <w:rPr>
          <w:rFonts w:ascii="Arial"/>
          <w:i/>
          <w:color w:val="1C1C1C"/>
          <w:spacing w:val="-2"/>
          <w:w w:val="105"/>
          <w:sz w:val="18"/>
        </w:rPr>
        <w:t>Duty</w:t>
      </w:r>
      <w:r>
        <w:rPr>
          <w:rFonts w:ascii="Arial"/>
          <w:i/>
          <w:color w:val="1C1C1C"/>
          <w:spacing w:val="-16"/>
          <w:w w:val="105"/>
          <w:sz w:val="18"/>
        </w:rPr>
        <w:t xml:space="preserve"> </w:t>
      </w:r>
      <w:r>
        <w:rPr>
          <w:rFonts w:ascii="Arial"/>
          <w:i/>
          <w:color w:val="0C0C0C"/>
          <w:spacing w:val="-2"/>
          <w:w w:val="105"/>
          <w:sz w:val="18"/>
        </w:rPr>
        <w:t xml:space="preserve">Measures </w:t>
      </w:r>
      <w:r>
        <w:rPr>
          <w:rFonts w:ascii="Arial"/>
          <w:i/>
          <w:color w:val="1C1C1C"/>
          <w:w w:val="105"/>
          <w:sz w:val="18"/>
        </w:rPr>
        <w:t>on</w:t>
      </w:r>
      <w:r>
        <w:rPr>
          <w:rFonts w:ascii="Arial"/>
          <w:i/>
          <w:color w:val="1C1C1C"/>
          <w:spacing w:val="-11"/>
          <w:w w:val="105"/>
          <w:sz w:val="18"/>
        </w:rPr>
        <w:t xml:space="preserve"> </w:t>
      </w:r>
      <w:r>
        <w:rPr>
          <w:rFonts w:ascii="Arial"/>
          <w:i/>
          <w:color w:val="1C1C1C"/>
          <w:w w:val="105"/>
          <w:sz w:val="18"/>
        </w:rPr>
        <w:t xml:space="preserve">Winefrom Australia </w:t>
      </w:r>
      <w:r>
        <w:rPr>
          <w:rFonts w:ascii="Arial"/>
          <w:color w:val="1C1C1C"/>
          <w:w w:val="105"/>
          <w:sz w:val="18"/>
        </w:rPr>
        <w:t>(0S602)</w:t>
      </w:r>
    </w:p>
    <w:p w14:paraId="51DE8F17" w14:textId="77777777" w:rsidR="0010369C" w:rsidRDefault="008E43AE">
      <w:pPr>
        <w:spacing w:before="21"/>
        <w:ind w:right="586"/>
        <w:jc w:val="right"/>
        <w:rPr>
          <w:rFonts w:ascii="Arial"/>
          <w:sz w:val="18"/>
        </w:rPr>
      </w:pPr>
      <w:r>
        <w:br w:type="column"/>
      </w:r>
      <w:r>
        <w:rPr>
          <w:rFonts w:ascii="Arial"/>
          <w:color w:val="1C1C1C"/>
          <w:sz w:val="18"/>
        </w:rPr>
        <w:t>Australia's</w:t>
      </w:r>
      <w:r>
        <w:rPr>
          <w:rFonts w:ascii="Arial"/>
          <w:color w:val="1C1C1C"/>
          <w:spacing w:val="22"/>
          <w:sz w:val="18"/>
        </w:rPr>
        <w:t xml:space="preserve"> </w:t>
      </w:r>
      <w:r>
        <w:rPr>
          <w:rFonts w:ascii="Arial"/>
          <w:color w:val="0C0C0C"/>
          <w:sz w:val="18"/>
        </w:rPr>
        <w:t>First</w:t>
      </w:r>
      <w:r>
        <w:rPr>
          <w:rFonts w:ascii="Arial"/>
          <w:color w:val="0C0C0C"/>
          <w:spacing w:val="18"/>
          <w:sz w:val="18"/>
        </w:rPr>
        <w:t xml:space="preserve"> </w:t>
      </w:r>
      <w:r>
        <w:rPr>
          <w:rFonts w:ascii="Arial"/>
          <w:color w:val="1C1C1C"/>
          <w:sz w:val="18"/>
        </w:rPr>
        <w:t>Written</w:t>
      </w:r>
      <w:r>
        <w:rPr>
          <w:rFonts w:ascii="Arial"/>
          <w:color w:val="1C1C1C"/>
          <w:spacing w:val="8"/>
          <w:sz w:val="18"/>
        </w:rPr>
        <w:t xml:space="preserve"> </w:t>
      </w:r>
      <w:r>
        <w:rPr>
          <w:rFonts w:ascii="Arial"/>
          <w:color w:val="1C1C1C"/>
          <w:spacing w:val="-2"/>
          <w:sz w:val="18"/>
        </w:rPr>
        <w:t>Submission</w:t>
      </w:r>
    </w:p>
    <w:p w14:paraId="51DE8F18" w14:textId="77777777" w:rsidR="0010369C" w:rsidRDefault="008E43AE">
      <w:pPr>
        <w:spacing w:before="44"/>
        <w:ind w:right="573"/>
        <w:jc w:val="right"/>
        <w:rPr>
          <w:rFonts w:ascii="Arial"/>
          <w:sz w:val="18"/>
        </w:rPr>
      </w:pPr>
      <w:r>
        <w:rPr>
          <w:rFonts w:ascii="Arial"/>
          <w:color w:val="1C1C1C"/>
          <w:spacing w:val="-2"/>
          <w:w w:val="110"/>
          <w:sz w:val="18"/>
        </w:rPr>
        <w:t>29</w:t>
      </w:r>
      <w:r>
        <w:rPr>
          <w:rFonts w:ascii="Arial"/>
          <w:color w:val="1C1C1C"/>
          <w:spacing w:val="-29"/>
          <w:w w:val="110"/>
          <w:sz w:val="18"/>
        </w:rPr>
        <w:t xml:space="preserve"> </w:t>
      </w:r>
      <w:r>
        <w:rPr>
          <w:rFonts w:ascii="Arial"/>
          <w:color w:val="1C1C1C"/>
          <w:spacing w:val="-2"/>
          <w:w w:val="110"/>
          <w:sz w:val="18"/>
        </w:rPr>
        <w:t>April</w:t>
      </w:r>
      <w:r>
        <w:rPr>
          <w:rFonts w:ascii="Arial"/>
          <w:color w:val="1C1C1C"/>
          <w:spacing w:val="-10"/>
          <w:w w:val="110"/>
          <w:sz w:val="18"/>
        </w:rPr>
        <w:t xml:space="preserve"> </w:t>
      </w:r>
      <w:r>
        <w:rPr>
          <w:rFonts w:ascii="Arial"/>
          <w:color w:val="1C1C1C"/>
          <w:spacing w:val="-4"/>
          <w:w w:val="110"/>
          <w:sz w:val="18"/>
        </w:rPr>
        <w:t>2022</w:t>
      </w:r>
    </w:p>
    <w:p w14:paraId="51DE8F19" w14:textId="77777777" w:rsidR="0010369C" w:rsidRDefault="0010369C">
      <w:pPr>
        <w:jc w:val="right"/>
        <w:rPr>
          <w:rFonts w:ascii="Arial"/>
          <w:sz w:val="18"/>
        </w:rPr>
        <w:sectPr w:rsidR="0010369C">
          <w:pgSz w:w="11910" w:h="16840"/>
          <w:pgMar w:top="820" w:right="800" w:bottom="1020" w:left="1180" w:header="491" w:footer="826" w:gutter="0"/>
          <w:cols w:num="2" w:space="720" w:equalWidth="0">
            <w:col w:w="4912" w:space="1306"/>
            <w:col w:w="3712"/>
          </w:cols>
        </w:sectPr>
      </w:pPr>
    </w:p>
    <w:p w14:paraId="51DE8F1A" w14:textId="77777777" w:rsidR="0010369C" w:rsidRDefault="0010369C">
      <w:pPr>
        <w:pStyle w:val="BodyText"/>
        <w:spacing w:before="6"/>
        <w:rPr>
          <w:rFonts w:ascii="Arial"/>
          <w:sz w:val="2"/>
        </w:rPr>
      </w:pPr>
    </w:p>
    <w:p w14:paraId="51DE8F1B" w14:textId="77777777" w:rsidR="0010369C" w:rsidRDefault="008E43AE">
      <w:pPr>
        <w:pStyle w:val="BodyText"/>
        <w:ind w:left="224"/>
        <w:rPr>
          <w:rFonts w:ascii="Arial"/>
          <w:sz w:val="20"/>
        </w:rPr>
      </w:pPr>
      <w:r>
        <w:rPr>
          <w:rFonts w:ascii="Arial"/>
          <w:sz w:val="20"/>
        </w:rPr>
      </w:r>
      <w:r>
        <w:rPr>
          <w:rFonts w:ascii="Arial"/>
          <w:sz w:val="20"/>
        </w:rPr>
        <w:pict w14:anchorId="51DEA4AE">
          <v:group id="docshapegroup1071" o:spid="_x0000_s1308" style="width:455.55pt;height:82.2pt;mso-position-horizontal-relative:char;mso-position-vertical-relative:line" coordsize="9111,1644">
            <v:shape id="docshape1072" o:spid="_x0000_s1310" type="#_x0000_t75" style="position:absolute;width:9111;height:1644">
              <v:imagedata r:id="rId791" o:title=""/>
            </v:shape>
            <v:shape id="docshape1073" o:spid="_x0000_s1309" type="#_x0000_t202" style="position:absolute;width:9111;height:1644" filled="f" stroked="f">
              <v:textbox inset="0,0,0,0">
                <w:txbxContent>
                  <w:p w14:paraId="51DEAC88" w14:textId="77777777" w:rsidR="0010369C" w:rsidRDefault="008E43AE">
                    <w:pPr>
                      <w:spacing w:before="3"/>
                      <w:ind w:left="5123" w:right="-15"/>
                      <w:rPr>
                        <w:rFonts w:ascii="Arial"/>
                        <w:sz w:val="21"/>
                      </w:rPr>
                    </w:pPr>
                    <w:r>
                      <w:rPr>
                        <w:rFonts w:ascii="Arial"/>
                        <w:color w:val="0C0C0C"/>
                        <w:w w:val="115"/>
                        <w:sz w:val="21"/>
                      </w:rPr>
                      <w:t>]]</w:t>
                    </w:r>
                    <w:r>
                      <w:rPr>
                        <w:rFonts w:ascii="Arial"/>
                        <w:color w:val="0C0C0C"/>
                        <w:spacing w:val="-19"/>
                        <w:w w:val="115"/>
                        <w:sz w:val="21"/>
                      </w:rPr>
                      <w:t xml:space="preserve"> </w:t>
                    </w:r>
                    <w:r>
                      <w:rPr>
                        <w:rFonts w:ascii="Arial"/>
                        <w:color w:val="0C0C0C"/>
                        <w:w w:val="115"/>
                        <w:sz w:val="21"/>
                      </w:rPr>
                      <w:t>Injury</w:t>
                    </w:r>
                    <w:r>
                      <w:rPr>
                        <w:rFonts w:ascii="Arial"/>
                        <w:color w:val="0C0C0C"/>
                        <w:spacing w:val="-19"/>
                        <w:w w:val="115"/>
                        <w:sz w:val="21"/>
                      </w:rPr>
                      <w:t xml:space="preserve"> </w:t>
                    </w:r>
                    <w:r>
                      <w:rPr>
                        <w:rFonts w:ascii="Arial"/>
                        <w:color w:val="0C0C0C"/>
                        <w:w w:val="115"/>
                        <w:sz w:val="21"/>
                      </w:rPr>
                      <w:t>PCN</w:t>
                    </w:r>
                    <w:r>
                      <w:rPr>
                        <w:rFonts w:ascii="Arial"/>
                        <w:color w:val="0C0C0C"/>
                        <w:spacing w:val="-19"/>
                        <w:w w:val="115"/>
                        <w:sz w:val="21"/>
                      </w:rPr>
                      <w:t xml:space="preserve"> </w:t>
                    </w:r>
                    <w:r>
                      <w:rPr>
                        <w:rFonts w:ascii="Arial"/>
                        <w:color w:val="1C1C1C"/>
                        <w:w w:val="115"/>
                        <w:sz w:val="21"/>
                      </w:rPr>
                      <w:t>code</w:t>
                    </w:r>
                    <w:r>
                      <w:rPr>
                        <w:rFonts w:ascii="Arial"/>
                        <w:color w:val="1C1C1C"/>
                        <w:spacing w:val="-18"/>
                        <w:w w:val="115"/>
                        <w:sz w:val="21"/>
                      </w:rPr>
                      <w:t xml:space="preserve"> </w:t>
                    </w:r>
                    <w:r>
                      <w:rPr>
                        <w:rFonts w:ascii="Arial"/>
                        <w:color w:val="0C0C0C"/>
                        <w:w w:val="130"/>
                        <w:sz w:val="21"/>
                      </w:rPr>
                      <w:t>Alll</w:t>
                    </w:r>
                    <w:r>
                      <w:rPr>
                        <w:rFonts w:ascii="Arial"/>
                        <w:color w:val="0C0C0C"/>
                        <w:spacing w:val="-40"/>
                        <w:w w:val="130"/>
                        <w:sz w:val="21"/>
                      </w:rPr>
                      <w:t xml:space="preserve"> </w:t>
                    </w:r>
                    <w:r>
                      <w:rPr>
                        <w:rFonts w:ascii="Arial"/>
                        <w:color w:val="1C1C1C"/>
                        <w:w w:val="115"/>
                        <w:sz w:val="21"/>
                      </w:rPr>
                      <w:t>refers</w:t>
                    </w:r>
                    <w:r>
                      <w:rPr>
                        <w:rFonts w:ascii="Arial"/>
                        <w:color w:val="1C1C1C"/>
                        <w:spacing w:val="-22"/>
                        <w:w w:val="115"/>
                        <w:sz w:val="21"/>
                      </w:rPr>
                      <w:t xml:space="preserve"> </w:t>
                    </w:r>
                    <w:r>
                      <w:rPr>
                        <w:rFonts w:ascii="Arial"/>
                        <w:color w:val="1C1C1C"/>
                        <w:w w:val="115"/>
                        <w:sz w:val="21"/>
                      </w:rPr>
                      <w:t>to</w:t>
                    </w:r>
                    <w:r>
                      <w:rPr>
                        <w:rFonts w:ascii="Arial"/>
                        <w:color w:val="1C1C1C"/>
                        <w:spacing w:val="-14"/>
                        <w:w w:val="115"/>
                        <w:sz w:val="21"/>
                      </w:rPr>
                      <w:t xml:space="preserve"> </w:t>
                    </w:r>
                    <w:r>
                      <w:rPr>
                        <w:rFonts w:ascii="Arial"/>
                        <w:color w:val="0C0C0C"/>
                        <w:spacing w:val="-2"/>
                        <w:w w:val="110"/>
                        <w:sz w:val="21"/>
                      </w:rPr>
                      <w:t>regular</w:t>
                    </w:r>
                  </w:p>
                </w:txbxContent>
              </v:textbox>
            </v:shape>
            <w10:anchorlock/>
          </v:group>
        </w:pict>
      </w:r>
    </w:p>
    <w:p w14:paraId="51DE8F1C" w14:textId="77777777" w:rsidR="0010369C" w:rsidRDefault="0010369C">
      <w:pPr>
        <w:pStyle w:val="BodyText"/>
        <w:spacing w:before="8"/>
        <w:rPr>
          <w:rFonts w:ascii="Arial"/>
          <w:sz w:val="15"/>
        </w:rPr>
      </w:pPr>
    </w:p>
    <w:p w14:paraId="51DE8F1D" w14:textId="77777777" w:rsidR="0010369C" w:rsidRDefault="008E43AE">
      <w:pPr>
        <w:pStyle w:val="ListParagraph"/>
        <w:numPr>
          <w:ilvl w:val="0"/>
          <w:numId w:val="54"/>
        </w:numPr>
        <w:tabs>
          <w:tab w:val="left" w:pos="1093"/>
        </w:tabs>
        <w:spacing w:before="94" w:line="439" w:lineRule="auto"/>
        <w:ind w:left="235" w:right="573" w:firstLine="0"/>
        <w:jc w:val="both"/>
        <w:rPr>
          <w:rFonts w:ascii="Arial"/>
          <w:color w:val="1C1C1C"/>
          <w:sz w:val="21"/>
        </w:rPr>
      </w:pPr>
      <w:r>
        <w:rPr>
          <w:rFonts w:ascii="Arial"/>
          <w:color w:val="1C1C1C"/>
          <w:w w:val="105"/>
          <w:sz w:val="21"/>
        </w:rPr>
        <w:t>There</w:t>
      </w:r>
      <w:r>
        <w:rPr>
          <w:rFonts w:ascii="Arial"/>
          <w:color w:val="1C1C1C"/>
          <w:spacing w:val="-16"/>
          <w:w w:val="105"/>
          <w:sz w:val="21"/>
        </w:rPr>
        <w:t xml:space="preserve"> </w:t>
      </w:r>
      <w:r>
        <w:rPr>
          <w:rFonts w:ascii="Arial"/>
          <w:color w:val="1C1C1C"/>
          <w:w w:val="105"/>
          <w:sz w:val="21"/>
        </w:rPr>
        <w:t>was</w:t>
      </w:r>
      <w:r>
        <w:rPr>
          <w:rFonts w:ascii="Arial"/>
          <w:color w:val="1C1C1C"/>
          <w:spacing w:val="-15"/>
          <w:w w:val="105"/>
          <w:sz w:val="21"/>
        </w:rPr>
        <w:t xml:space="preserve"> </w:t>
      </w:r>
      <w:r>
        <w:rPr>
          <w:rFonts w:ascii="Arial"/>
          <w:color w:val="1C1C1C"/>
          <w:w w:val="105"/>
          <w:sz w:val="21"/>
        </w:rPr>
        <w:t>sufficient</w:t>
      </w:r>
      <w:r>
        <w:rPr>
          <w:rFonts w:ascii="Arial"/>
          <w:color w:val="1C1C1C"/>
          <w:spacing w:val="-15"/>
          <w:w w:val="105"/>
          <w:sz w:val="21"/>
        </w:rPr>
        <w:t xml:space="preserve"> </w:t>
      </w:r>
      <w:r>
        <w:rPr>
          <w:rFonts w:ascii="Arial"/>
          <w:color w:val="1C1C1C"/>
          <w:w w:val="105"/>
          <w:sz w:val="21"/>
        </w:rPr>
        <w:t>evidence</w:t>
      </w:r>
      <w:r>
        <w:rPr>
          <w:rFonts w:ascii="Arial"/>
          <w:color w:val="1C1C1C"/>
          <w:spacing w:val="-16"/>
          <w:w w:val="105"/>
          <w:sz w:val="21"/>
        </w:rPr>
        <w:t xml:space="preserve"> </w:t>
      </w:r>
      <w:r>
        <w:rPr>
          <w:rFonts w:ascii="Arial"/>
          <w:color w:val="1C1C1C"/>
          <w:w w:val="105"/>
          <w:sz w:val="21"/>
        </w:rPr>
        <w:t>on</w:t>
      </w:r>
      <w:r>
        <w:rPr>
          <w:rFonts w:ascii="Arial"/>
          <w:color w:val="1C1C1C"/>
          <w:spacing w:val="-15"/>
          <w:w w:val="105"/>
          <w:sz w:val="21"/>
        </w:rPr>
        <w:t xml:space="preserve"> </w:t>
      </w:r>
      <w:r>
        <w:rPr>
          <w:rFonts w:ascii="Arial"/>
          <w:color w:val="0C0C0C"/>
          <w:w w:val="105"/>
          <w:sz w:val="21"/>
        </w:rPr>
        <w:t>the</w:t>
      </w:r>
      <w:r>
        <w:rPr>
          <w:rFonts w:ascii="Arial"/>
          <w:color w:val="0C0C0C"/>
          <w:spacing w:val="-1"/>
          <w:w w:val="105"/>
          <w:sz w:val="21"/>
        </w:rPr>
        <w:t xml:space="preserve"> </w:t>
      </w:r>
      <w:r>
        <w:rPr>
          <w:rFonts w:ascii="Arial"/>
          <w:color w:val="0C0C0C"/>
          <w:w w:val="105"/>
          <w:sz w:val="21"/>
        </w:rPr>
        <w:t>record</w:t>
      </w:r>
      <w:r>
        <w:rPr>
          <w:rFonts w:ascii="Arial"/>
          <w:color w:val="0C0C0C"/>
          <w:spacing w:val="-15"/>
          <w:w w:val="105"/>
          <w:sz w:val="21"/>
        </w:rPr>
        <w:t xml:space="preserve"> </w:t>
      </w:r>
      <w:r>
        <w:rPr>
          <w:rFonts w:ascii="Arial"/>
          <w:color w:val="0C0C0C"/>
          <w:w w:val="105"/>
          <w:sz w:val="21"/>
        </w:rPr>
        <w:t>to</w:t>
      </w:r>
      <w:r>
        <w:rPr>
          <w:rFonts w:ascii="Arial"/>
          <w:color w:val="0C0C0C"/>
          <w:spacing w:val="8"/>
          <w:w w:val="105"/>
          <w:sz w:val="21"/>
        </w:rPr>
        <w:t xml:space="preserve"> </w:t>
      </w:r>
      <w:r>
        <w:rPr>
          <w:rFonts w:ascii="Arial"/>
          <w:color w:val="0C0C0C"/>
          <w:w w:val="105"/>
          <w:sz w:val="21"/>
        </w:rPr>
        <w:t>make</w:t>
      </w:r>
      <w:r>
        <w:rPr>
          <w:rFonts w:ascii="Arial"/>
          <w:color w:val="0C0C0C"/>
          <w:spacing w:val="-16"/>
          <w:w w:val="105"/>
          <w:sz w:val="21"/>
        </w:rPr>
        <w:t xml:space="preserve"> </w:t>
      </w:r>
      <w:r>
        <w:rPr>
          <w:rFonts w:ascii="Arial"/>
          <w:color w:val="0C0C0C"/>
          <w:w w:val="105"/>
          <w:sz w:val="21"/>
        </w:rPr>
        <w:t xml:space="preserve">MOFCOM </w:t>
      </w:r>
      <w:r>
        <w:rPr>
          <w:rFonts w:ascii="Arial"/>
          <w:color w:val="1C1C1C"/>
          <w:w w:val="105"/>
          <w:sz w:val="21"/>
        </w:rPr>
        <w:t>aware</w:t>
      </w:r>
      <w:r>
        <w:rPr>
          <w:rFonts w:ascii="Arial"/>
          <w:color w:val="1C1C1C"/>
          <w:spacing w:val="-16"/>
          <w:w w:val="105"/>
          <w:sz w:val="21"/>
        </w:rPr>
        <w:t xml:space="preserve"> </w:t>
      </w:r>
      <w:r>
        <w:rPr>
          <w:rFonts w:ascii="Arial"/>
          <w:color w:val="1C1C1C"/>
          <w:w w:val="105"/>
          <w:sz w:val="21"/>
        </w:rPr>
        <w:t>that</w:t>
      </w:r>
      <w:r>
        <w:rPr>
          <w:rFonts w:ascii="Arial"/>
          <w:color w:val="1C1C1C"/>
          <w:spacing w:val="-15"/>
          <w:w w:val="105"/>
          <w:sz w:val="21"/>
        </w:rPr>
        <w:t xml:space="preserve"> </w:t>
      </w:r>
      <w:r>
        <w:rPr>
          <w:rFonts w:ascii="Arial"/>
          <w:color w:val="0C0C0C"/>
          <w:w w:val="105"/>
          <w:sz w:val="21"/>
        </w:rPr>
        <w:t>there</w:t>
      </w:r>
      <w:r>
        <w:rPr>
          <w:rFonts w:ascii="Arial"/>
          <w:color w:val="0C0C0C"/>
          <w:spacing w:val="-15"/>
          <w:w w:val="105"/>
          <w:sz w:val="21"/>
        </w:rPr>
        <w:t xml:space="preserve"> </w:t>
      </w:r>
      <w:r>
        <w:rPr>
          <w:rFonts w:ascii="Arial"/>
          <w:color w:val="1C1C1C"/>
          <w:w w:val="105"/>
          <w:sz w:val="21"/>
        </w:rPr>
        <w:t xml:space="preserve">were significant differences </w:t>
      </w:r>
      <w:r>
        <w:rPr>
          <w:rFonts w:ascii="Arial"/>
          <w:color w:val="0C0C0C"/>
          <w:w w:val="105"/>
          <w:sz w:val="21"/>
        </w:rPr>
        <w:t xml:space="preserve">between the </w:t>
      </w:r>
      <w:r>
        <w:rPr>
          <w:rFonts w:ascii="Arial"/>
          <w:color w:val="1C1C1C"/>
          <w:w w:val="105"/>
          <w:sz w:val="21"/>
        </w:rPr>
        <w:t>basket</w:t>
      </w:r>
      <w:r>
        <w:rPr>
          <w:rFonts w:ascii="Arial"/>
          <w:color w:val="1C1C1C"/>
          <w:spacing w:val="-1"/>
          <w:w w:val="105"/>
          <w:sz w:val="21"/>
        </w:rPr>
        <w:t xml:space="preserve"> </w:t>
      </w:r>
      <w:r>
        <w:rPr>
          <w:rFonts w:ascii="Arial"/>
          <w:color w:val="1C1C1C"/>
          <w:w w:val="105"/>
          <w:sz w:val="21"/>
        </w:rPr>
        <w:t>of subject imports</w:t>
      </w:r>
      <w:r>
        <w:rPr>
          <w:rFonts w:ascii="Arial"/>
          <w:color w:val="1C1C1C"/>
          <w:spacing w:val="-10"/>
          <w:w w:val="105"/>
          <w:sz w:val="21"/>
        </w:rPr>
        <w:t xml:space="preserve"> </w:t>
      </w:r>
      <w:r>
        <w:rPr>
          <w:rFonts w:ascii="Arial"/>
          <w:color w:val="1C1C1C"/>
          <w:w w:val="105"/>
          <w:sz w:val="21"/>
        </w:rPr>
        <w:t>and</w:t>
      </w:r>
      <w:r>
        <w:rPr>
          <w:rFonts w:ascii="Arial"/>
          <w:color w:val="1C1C1C"/>
          <w:spacing w:val="-7"/>
          <w:w w:val="105"/>
          <w:sz w:val="21"/>
        </w:rPr>
        <w:t xml:space="preserve"> </w:t>
      </w:r>
      <w:r>
        <w:rPr>
          <w:rFonts w:ascii="Arial"/>
          <w:color w:val="0C0C0C"/>
          <w:w w:val="105"/>
          <w:sz w:val="21"/>
        </w:rPr>
        <w:t xml:space="preserve">the basket </w:t>
      </w:r>
      <w:r>
        <w:rPr>
          <w:rFonts w:ascii="Arial"/>
          <w:color w:val="1C1C1C"/>
          <w:w w:val="105"/>
          <w:sz w:val="21"/>
        </w:rPr>
        <w:t>of like</w:t>
      </w:r>
      <w:r>
        <w:rPr>
          <w:rFonts w:ascii="Arial"/>
          <w:color w:val="1C1C1C"/>
          <w:spacing w:val="-5"/>
          <w:w w:val="105"/>
          <w:sz w:val="21"/>
        </w:rPr>
        <w:t xml:space="preserve"> </w:t>
      </w:r>
      <w:r>
        <w:rPr>
          <w:rFonts w:ascii="Arial"/>
          <w:color w:val="0C0C0C"/>
          <w:w w:val="105"/>
          <w:sz w:val="21"/>
        </w:rPr>
        <w:t xml:space="preserve">domestic </w:t>
      </w:r>
      <w:r>
        <w:rPr>
          <w:rFonts w:ascii="Arial"/>
          <w:color w:val="1C1C1C"/>
          <w:w w:val="105"/>
          <w:sz w:val="21"/>
        </w:rPr>
        <w:t>products.</w:t>
      </w:r>
      <w:r>
        <w:rPr>
          <w:rFonts w:ascii="Arial"/>
          <w:color w:val="1C1C1C"/>
          <w:spacing w:val="-14"/>
          <w:w w:val="105"/>
          <w:sz w:val="21"/>
        </w:rPr>
        <w:t xml:space="preserve"> </w:t>
      </w:r>
      <w:r>
        <w:rPr>
          <w:rFonts w:ascii="Arial"/>
          <w:color w:val="0C0C0C"/>
          <w:w w:val="105"/>
          <w:sz w:val="21"/>
        </w:rPr>
        <w:t xml:space="preserve">MOFCOM </w:t>
      </w:r>
      <w:r>
        <w:rPr>
          <w:rFonts w:ascii="Arial"/>
          <w:color w:val="1C1C1C"/>
          <w:w w:val="105"/>
          <w:sz w:val="21"/>
        </w:rPr>
        <w:t>was</w:t>
      </w:r>
      <w:r>
        <w:rPr>
          <w:rFonts w:ascii="Arial"/>
          <w:color w:val="1C1C1C"/>
          <w:spacing w:val="-16"/>
          <w:w w:val="105"/>
          <w:sz w:val="21"/>
        </w:rPr>
        <w:t xml:space="preserve"> </w:t>
      </w:r>
      <w:r>
        <w:rPr>
          <w:rFonts w:ascii="Arial"/>
          <w:color w:val="1C1C1C"/>
          <w:w w:val="105"/>
          <w:sz w:val="21"/>
        </w:rPr>
        <w:t>obligated</w:t>
      </w:r>
      <w:r>
        <w:rPr>
          <w:rFonts w:ascii="Arial"/>
          <w:color w:val="1C1C1C"/>
          <w:spacing w:val="-15"/>
          <w:w w:val="105"/>
          <w:sz w:val="21"/>
        </w:rPr>
        <w:t xml:space="preserve"> </w:t>
      </w:r>
      <w:r>
        <w:rPr>
          <w:rFonts w:ascii="Arial"/>
          <w:color w:val="1C1C1C"/>
          <w:w w:val="105"/>
          <w:sz w:val="21"/>
        </w:rPr>
        <w:t>to</w:t>
      </w:r>
      <w:r>
        <w:rPr>
          <w:rFonts w:ascii="Arial"/>
          <w:color w:val="1C1C1C"/>
          <w:spacing w:val="32"/>
          <w:w w:val="105"/>
          <w:sz w:val="21"/>
        </w:rPr>
        <w:t xml:space="preserve"> </w:t>
      </w:r>
      <w:r>
        <w:rPr>
          <w:rFonts w:ascii="Arial"/>
          <w:color w:val="1C1C1C"/>
          <w:w w:val="105"/>
          <w:sz w:val="21"/>
        </w:rPr>
        <w:t>further examine</w:t>
      </w:r>
      <w:r>
        <w:rPr>
          <w:rFonts w:ascii="Arial"/>
          <w:color w:val="1C1C1C"/>
          <w:spacing w:val="-12"/>
          <w:w w:val="105"/>
          <w:sz w:val="21"/>
        </w:rPr>
        <w:t xml:space="preserve"> </w:t>
      </w:r>
      <w:r>
        <w:rPr>
          <w:rFonts w:ascii="Arial"/>
          <w:color w:val="0C0C0C"/>
          <w:w w:val="105"/>
          <w:sz w:val="21"/>
        </w:rPr>
        <w:t>these</w:t>
      </w:r>
      <w:r>
        <w:rPr>
          <w:rFonts w:ascii="Arial"/>
          <w:color w:val="0C0C0C"/>
          <w:spacing w:val="-7"/>
          <w:w w:val="105"/>
          <w:sz w:val="21"/>
        </w:rPr>
        <w:t xml:space="preserve"> </w:t>
      </w:r>
      <w:r>
        <w:rPr>
          <w:rFonts w:ascii="Arial"/>
          <w:color w:val="0C0C0C"/>
          <w:w w:val="105"/>
          <w:sz w:val="21"/>
        </w:rPr>
        <w:t>differences</w:t>
      </w:r>
      <w:r>
        <w:rPr>
          <w:rFonts w:ascii="Arial"/>
          <w:color w:val="0C0C0C"/>
          <w:spacing w:val="-4"/>
          <w:w w:val="105"/>
          <w:sz w:val="21"/>
        </w:rPr>
        <w:t xml:space="preserve"> </w:t>
      </w:r>
      <w:r>
        <w:rPr>
          <w:rFonts w:ascii="Arial"/>
          <w:color w:val="1C1C1C"/>
          <w:w w:val="105"/>
          <w:sz w:val="21"/>
        </w:rPr>
        <w:t xml:space="preserve">to </w:t>
      </w:r>
      <w:r>
        <w:rPr>
          <w:rFonts w:ascii="Arial"/>
          <w:color w:val="0C0C0C"/>
          <w:w w:val="105"/>
          <w:sz w:val="21"/>
        </w:rPr>
        <w:t xml:space="preserve">determine </w:t>
      </w:r>
      <w:r>
        <w:rPr>
          <w:rFonts w:ascii="Arial"/>
          <w:color w:val="1C1C1C"/>
          <w:w w:val="105"/>
          <w:sz w:val="21"/>
        </w:rPr>
        <w:t xml:space="preserve">whether </w:t>
      </w:r>
      <w:r>
        <w:rPr>
          <w:rFonts w:ascii="Arial"/>
          <w:color w:val="1C1C1C"/>
          <w:w w:val="110"/>
          <w:sz w:val="21"/>
        </w:rPr>
        <w:t xml:space="preserve">and </w:t>
      </w:r>
      <w:r>
        <w:rPr>
          <w:rFonts w:ascii="Arial"/>
          <w:color w:val="0C0C0C"/>
          <w:w w:val="110"/>
          <w:sz w:val="21"/>
        </w:rPr>
        <w:t xml:space="preserve">to </w:t>
      </w:r>
      <w:r>
        <w:rPr>
          <w:rFonts w:ascii="Arial"/>
          <w:color w:val="1C1C1C"/>
          <w:w w:val="110"/>
          <w:sz w:val="21"/>
        </w:rPr>
        <w:t xml:space="preserve">what extent </w:t>
      </w:r>
      <w:r>
        <w:rPr>
          <w:rFonts w:ascii="Arial"/>
          <w:color w:val="0C0C0C"/>
          <w:w w:val="110"/>
          <w:sz w:val="21"/>
        </w:rPr>
        <w:t xml:space="preserve">they </w:t>
      </w:r>
      <w:r>
        <w:rPr>
          <w:rFonts w:ascii="Arial"/>
          <w:color w:val="1C1C1C"/>
          <w:w w:val="110"/>
          <w:sz w:val="21"/>
        </w:rPr>
        <w:t xml:space="preserve">affected </w:t>
      </w:r>
      <w:r>
        <w:rPr>
          <w:rFonts w:ascii="Arial"/>
          <w:color w:val="0C0C0C"/>
          <w:w w:val="110"/>
          <w:sz w:val="21"/>
        </w:rPr>
        <w:t xml:space="preserve">prices before it </w:t>
      </w:r>
      <w:r>
        <w:rPr>
          <w:rFonts w:ascii="Arial"/>
          <w:color w:val="1C1C1C"/>
          <w:w w:val="110"/>
          <w:sz w:val="21"/>
        </w:rPr>
        <w:t xml:space="preserve">proceeded to undertake a </w:t>
      </w:r>
      <w:r>
        <w:rPr>
          <w:rFonts w:ascii="Arial"/>
          <w:color w:val="0C0C0C"/>
          <w:w w:val="110"/>
          <w:sz w:val="21"/>
        </w:rPr>
        <w:t xml:space="preserve">price </w:t>
      </w:r>
      <w:r>
        <w:rPr>
          <w:rFonts w:ascii="Arial"/>
          <w:color w:val="1C1C1C"/>
          <w:w w:val="110"/>
          <w:sz w:val="21"/>
        </w:rPr>
        <w:t>effects analysis</w:t>
      </w:r>
      <w:r>
        <w:rPr>
          <w:rFonts w:ascii="Arial"/>
          <w:color w:val="1C1C1C"/>
          <w:spacing w:val="-17"/>
          <w:w w:val="110"/>
          <w:sz w:val="21"/>
        </w:rPr>
        <w:t xml:space="preserve"> </w:t>
      </w:r>
      <w:r>
        <w:rPr>
          <w:rFonts w:ascii="Arial"/>
          <w:color w:val="1C1C1C"/>
          <w:w w:val="110"/>
          <w:sz w:val="21"/>
        </w:rPr>
        <w:t>on</w:t>
      </w:r>
      <w:r>
        <w:rPr>
          <w:rFonts w:ascii="Arial"/>
          <w:color w:val="1C1C1C"/>
          <w:spacing w:val="-16"/>
          <w:w w:val="110"/>
          <w:sz w:val="21"/>
        </w:rPr>
        <w:t xml:space="preserve"> </w:t>
      </w:r>
      <w:r>
        <w:rPr>
          <w:rFonts w:ascii="Arial"/>
          <w:color w:val="1C1C1C"/>
          <w:w w:val="110"/>
          <w:sz w:val="21"/>
        </w:rPr>
        <w:t>the</w:t>
      </w:r>
      <w:r>
        <w:rPr>
          <w:rFonts w:ascii="Arial"/>
          <w:color w:val="1C1C1C"/>
          <w:spacing w:val="8"/>
          <w:w w:val="110"/>
          <w:sz w:val="21"/>
        </w:rPr>
        <w:t xml:space="preserve"> </w:t>
      </w:r>
      <w:r>
        <w:rPr>
          <w:rFonts w:ascii="Arial"/>
          <w:color w:val="0C0C0C"/>
          <w:w w:val="110"/>
          <w:sz w:val="21"/>
        </w:rPr>
        <w:t>basis</w:t>
      </w:r>
      <w:r>
        <w:rPr>
          <w:rFonts w:ascii="Arial"/>
          <w:color w:val="0C0C0C"/>
          <w:spacing w:val="-15"/>
          <w:w w:val="110"/>
          <w:sz w:val="21"/>
        </w:rPr>
        <w:t xml:space="preserve"> </w:t>
      </w:r>
      <w:r>
        <w:rPr>
          <w:rFonts w:ascii="Arial"/>
          <w:color w:val="1C1C1C"/>
          <w:w w:val="110"/>
          <w:sz w:val="21"/>
        </w:rPr>
        <w:t>of average</w:t>
      </w:r>
      <w:r>
        <w:rPr>
          <w:rFonts w:ascii="Arial"/>
          <w:color w:val="1C1C1C"/>
          <w:spacing w:val="-17"/>
          <w:w w:val="110"/>
          <w:sz w:val="21"/>
        </w:rPr>
        <w:t xml:space="preserve"> </w:t>
      </w:r>
      <w:r>
        <w:rPr>
          <w:rFonts w:ascii="Arial"/>
          <w:color w:val="1C1C1C"/>
          <w:w w:val="110"/>
          <w:sz w:val="21"/>
        </w:rPr>
        <w:t>unit</w:t>
      </w:r>
      <w:r>
        <w:rPr>
          <w:rFonts w:ascii="Arial"/>
          <w:color w:val="1C1C1C"/>
          <w:spacing w:val="-16"/>
          <w:w w:val="110"/>
          <w:sz w:val="21"/>
        </w:rPr>
        <w:t xml:space="preserve"> </w:t>
      </w:r>
      <w:r>
        <w:rPr>
          <w:rFonts w:ascii="Arial"/>
          <w:color w:val="0C0C0C"/>
          <w:w w:val="110"/>
          <w:sz w:val="21"/>
        </w:rPr>
        <w:t>prices,</w:t>
      </w:r>
      <w:r>
        <w:rPr>
          <w:rFonts w:ascii="Arial"/>
          <w:color w:val="0C0C0C"/>
          <w:spacing w:val="-16"/>
          <w:w w:val="110"/>
          <w:sz w:val="21"/>
        </w:rPr>
        <w:t xml:space="preserve"> </w:t>
      </w:r>
      <w:r>
        <w:rPr>
          <w:rFonts w:ascii="Arial"/>
          <w:color w:val="1C1C1C"/>
          <w:w w:val="110"/>
          <w:sz w:val="21"/>
        </w:rPr>
        <w:t>which</w:t>
      </w:r>
      <w:r>
        <w:rPr>
          <w:rFonts w:ascii="Arial"/>
          <w:color w:val="1C1C1C"/>
          <w:spacing w:val="-16"/>
          <w:w w:val="110"/>
          <w:sz w:val="21"/>
        </w:rPr>
        <w:t xml:space="preserve"> </w:t>
      </w:r>
      <w:r>
        <w:rPr>
          <w:rFonts w:ascii="Arial"/>
          <w:color w:val="1C1C1C"/>
          <w:w w:val="110"/>
          <w:sz w:val="21"/>
        </w:rPr>
        <w:t>covered</w:t>
      </w:r>
      <w:r>
        <w:rPr>
          <w:rFonts w:ascii="Arial"/>
          <w:color w:val="1C1C1C"/>
          <w:spacing w:val="-13"/>
          <w:w w:val="110"/>
          <w:sz w:val="21"/>
        </w:rPr>
        <w:t xml:space="preserve"> </w:t>
      </w:r>
      <w:r>
        <w:rPr>
          <w:rFonts w:ascii="Arial"/>
          <w:color w:val="1C1C1C"/>
          <w:w w:val="110"/>
          <w:sz w:val="21"/>
        </w:rPr>
        <w:t>each</w:t>
      </w:r>
      <w:r>
        <w:rPr>
          <w:rFonts w:ascii="Arial"/>
          <w:color w:val="1C1C1C"/>
          <w:spacing w:val="-17"/>
          <w:w w:val="110"/>
          <w:sz w:val="21"/>
        </w:rPr>
        <w:t xml:space="preserve"> </w:t>
      </w:r>
      <w:r>
        <w:rPr>
          <w:rFonts w:ascii="Arial"/>
          <w:color w:val="1C1C1C"/>
          <w:w w:val="110"/>
          <w:sz w:val="21"/>
        </w:rPr>
        <w:t>entire</w:t>
      </w:r>
      <w:r>
        <w:rPr>
          <w:rFonts w:ascii="Arial"/>
          <w:color w:val="1C1C1C"/>
          <w:spacing w:val="-15"/>
          <w:w w:val="110"/>
          <w:sz w:val="21"/>
        </w:rPr>
        <w:t xml:space="preserve"> </w:t>
      </w:r>
      <w:r>
        <w:rPr>
          <w:rFonts w:ascii="Arial"/>
          <w:color w:val="0C0C0C"/>
          <w:w w:val="110"/>
          <w:sz w:val="21"/>
        </w:rPr>
        <w:t>basket</w:t>
      </w:r>
      <w:r>
        <w:rPr>
          <w:rFonts w:ascii="Arial"/>
          <w:color w:val="0C0C0C"/>
          <w:spacing w:val="-17"/>
          <w:w w:val="110"/>
          <w:sz w:val="21"/>
        </w:rPr>
        <w:t xml:space="preserve"> </w:t>
      </w:r>
      <w:r>
        <w:rPr>
          <w:rFonts w:ascii="Arial"/>
          <w:color w:val="1C1C1C"/>
          <w:w w:val="110"/>
          <w:sz w:val="21"/>
        </w:rPr>
        <w:t>of</w:t>
      </w:r>
      <w:r>
        <w:rPr>
          <w:rFonts w:ascii="Arial"/>
          <w:color w:val="1C1C1C"/>
          <w:spacing w:val="-5"/>
          <w:w w:val="110"/>
          <w:sz w:val="21"/>
        </w:rPr>
        <w:t xml:space="preserve"> </w:t>
      </w:r>
      <w:r>
        <w:rPr>
          <w:rFonts w:ascii="Arial"/>
          <w:color w:val="1C1C1C"/>
          <w:w w:val="110"/>
          <w:sz w:val="21"/>
        </w:rPr>
        <w:t xml:space="preserve">products. </w:t>
      </w:r>
      <w:r>
        <w:rPr>
          <w:rFonts w:ascii="Arial"/>
          <w:color w:val="0C0C0C"/>
          <w:w w:val="110"/>
          <w:sz w:val="21"/>
        </w:rPr>
        <w:t>MOFCOM's</w:t>
      </w:r>
      <w:r>
        <w:rPr>
          <w:rFonts w:ascii="Arial"/>
          <w:color w:val="0C0C0C"/>
          <w:spacing w:val="-17"/>
          <w:w w:val="110"/>
          <w:sz w:val="21"/>
        </w:rPr>
        <w:t xml:space="preserve"> </w:t>
      </w:r>
      <w:r>
        <w:rPr>
          <w:rFonts w:ascii="Arial"/>
          <w:color w:val="0C0C0C"/>
          <w:w w:val="110"/>
          <w:sz w:val="21"/>
        </w:rPr>
        <w:t>failure</w:t>
      </w:r>
      <w:r>
        <w:rPr>
          <w:rFonts w:ascii="Arial"/>
          <w:color w:val="0C0C0C"/>
          <w:spacing w:val="-16"/>
          <w:w w:val="110"/>
          <w:sz w:val="21"/>
        </w:rPr>
        <w:t xml:space="preserve"> </w:t>
      </w:r>
      <w:r>
        <w:rPr>
          <w:rFonts w:ascii="Arial"/>
          <w:color w:val="0C0C0C"/>
          <w:w w:val="110"/>
          <w:sz w:val="21"/>
        </w:rPr>
        <w:t xml:space="preserve">to </w:t>
      </w:r>
      <w:r>
        <w:rPr>
          <w:rFonts w:ascii="Arial"/>
          <w:color w:val="1C1C1C"/>
          <w:w w:val="110"/>
          <w:sz w:val="21"/>
        </w:rPr>
        <w:t>examine</w:t>
      </w:r>
      <w:r>
        <w:rPr>
          <w:rFonts w:ascii="Arial"/>
          <w:color w:val="1C1C1C"/>
          <w:spacing w:val="-12"/>
          <w:w w:val="110"/>
          <w:sz w:val="21"/>
        </w:rPr>
        <w:t xml:space="preserve"> </w:t>
      </w:r>
      <w:r>
        <w:rPr>
          <w:rFonts w:ascii="Arial"/>
          <w:color w:val="1C1C1C"/>
          <w:w w:val="110"/>
          <w:sz w:val="21"/>
        </w:rPr>
        <w:t>whether</w:t>
      </w:r>
      <w:r>
        <w:rPr>
          <w:rFonts w:ascii="Arial"/>
          <w:color w:val="1C1C1C"/>
          <w:spacing w:val="-9"/>
          <w:w w:val="110"/>
          <w:sz w:val="21"/>
        </w:rPr>
        <w:t xml:space="preserve"> </w:t>
      </w:r>
      <w:r>
        <w:rPr>
          <w:rFonts w:ascii="Arial"/>
          <w:color w:val="1C1C1C"/>
          <w:w w:val="110"/>
          <w:sz w:val="21"/>
        </w:rPr>
        <w:t>the</w:t>
      </w:r>
      <w:r>
        <w:rPr>
          <w:rFonts w:ascii="Arial"/>
          <w:color w:val="1C1C1C"/>
          <w:spacing w:val="-9"/>
          <w:w w:val="110"/>
          <w:sz w:val="21"/>
        </w:rPr>
        <w:t xml:space="preserve"> </w:t>
      </w:r>
      <w:r>
        <w:rPr>
          <w:rFonts w:ascii="Arial"/>
          <w:color w:val="0C0C0C"/>
          <w:w w:val="110"/>
          <w:sz w:val="21"/>
        </w:rPr>
        <w:t>differences</w:t>
      </w:r>
      <w:r>
        <w:rPr>
          <w:rFonts w:ascii="Arial"/>
          <w:color w:val="0C0C0C"/>
          <w:spacing w:val="-12"/>
          <w:w w:val="110"/>
          <w:sz w:val="21"/>
        </w:rPr>
        <w:t xml:space="preserve"> </w:t>
      </w:r>
      <w:r>
        <w:rPr>
          <w:rFonts w:ascii="Arial"/>
          <w:color w:val="1C1C1C"/>
          <w:w w:val="110"/>
          <w:sz w:val="21"/>
        </w:rPr>
        <w:t>affected</w:t>
      </w:r>
      <w:r>
        <w:rPr>
          <w:rFonts w:ascii="Arial"/>
          <w:color w:val="1C1C1C"/>
          <w:spacing w:val="-13"/>
          <w:w w:val="110"/>
          <w:sz w:val="21"/>
        </w:rPr>
        <w:t xml:space="preserve"> </w:t>
      </w:r>
      <w:r>
        <w:rPr>
          <w:rFonts w:ascii="Arial"/>
          <w:color w:val="0C0C0C"/>
          <w:w w:val="110"/>
          <w:sz w:val="21"/>
        </w:rPr>
        <w:t>price</w:t>
      </w:r>
      <w:r>
        <w:rPr>
          <w:rFonts w:ascii="Arial"/>
          <w:color w:val="0C0C0C"/>
          <w:spacing w:val="-14"/>
          <w:w w:val="110"/>
          <w:sz w:val="21"/>
        </w:rPr>
        <w:t xml:space="preserve"> </w:t>
      </w:r>
      <w:r>
        <w:rPr>
          <w:rFonts w:ascii="Arial"/>
          <w:color w:val="1C1C1C"/>
          <w:w w:val="110"/>
          <w:sz w:val="21"/>
        </w:rPr>
        <w:t>comparability,</w:t>
      </w:r>
      <w:r>
        <w:rPr>
          <w:rFonts w:ascii="Arial"/>
          <w:color w:val="1C1C1C"/>
          <w:spacing w:val="-17"/>
          <w:w w:val="110"/>
          <w:sz w:val="21"/>
        </w:rPr>
        <w:t xml:space="preserve"> </w:t>
      </w:r>
      <w:r>
        <w:rPr>
          <w:rFonts w:ascii="Arial"/>
          <w:color w:val="1C1C1C"/>
          <w:w w:val="110"/>
          <w:sz w:val="21"/>
        </w:rPr>
        <w:t>and</w:t>
      </w:r>
      <w:r>
        <w:rPr>
          <w:rFonts w:ascii="Arial"/>
          <w:color w:val="1C1C1C"/>
          <w:spacing w:val="-16"/>
          <w:w w:val="110"/>
          <w:sz w:val="21"/>
        </w:rPr>
        <w:t xml:space="preserve"> </w:t>
      </w:r>
      <w:r>
        <w:rPr>
          <w:rFonts w:ascii="Arial"/>
          <w:color w:val="0C0C0C"/>
          <w:w w:val="110"/>
          <w:sz w:val="21"/>
        </w:rPr>
        <w:t xml:space="preserve">to </w:t>
      </w:r>
      <w:r>
        <w:rPr>
          <w:rFonts w:ascii="Arial"/>
          <w:color w:val="0C0C0C"/>
          <w:spacing w:val="-2"/>
          <w:w w:val="110"/>
          <w:sz w:val="21"/>
        </w:rPr>
        <w:t>make</w:t>
      </w:r>
      <w:r>
        <w:rPr>
          <w:rFonts w:ascii="Arial"/>
          <w:color w:val="0C0C0C"/>
          <w:spacing w:val="-15"/>
          <w:w w:val="110"/>
          <w:sz w:val="21"/>
        </w:rPr>
        <w:t xml:space="preserve"> </w:t>
      </w:r>
      <w:r>
        <w:rPr>
          <w:rFonts w:ascii="Arial"/>
          <w:color w:val="0C0C0C"/>
          <w:spacing w:val="-2"/>
          <w:w w:val="110"/>
          <w:sz w:val="21"/>
        </w:rPr>
        <w:t>the</w:t>
      </w:r>
      <w:r>
        <w:rPr>
          <w:rFonts w:ascii="Arial"/>
          <w:color w:val="0C0C0C"/>
          <w:spacing w:val="4"/>
          <w:w w:val="110"/>
          <w:sz w:val="21"/>
        </w:rPr>
        <w:t xml:space="preserve"> </w:t>
      </w:r>
      <w:r>
        <w:rPr>
          <w:rFonts w:ascii="Arial"/>
          <w:color w:val="0C0C0C"/>
          <w:spacing w:val="-2"/>
          <w:w w:val="110"/>
          <w:sz w:val="21"/>
        </w:rPr>
        <w:t>necessary</w:t>
      </w:r>
      <w:r>
        <w:rPr>
          <w:rFonts w:ascii="Arial"/>
          <w:color w:val="0C0C0C"/>
          <w:spacing w:val="-12"/>
          <w:w w:val="110"/>
          <w:sz w:val="21"/>
        </w:rPr>
        <w:t xml:space="preserve"> </w:t>
      </w:r>
      <w:r>
        <w:rPr>
          <w:rFonts w:ascii="Arial"/>
          <w:color w:val="1C1C1C"/>
          <w:spacing w:val="-2"/>
          <w:w w:val="110"/>
          <w:sz w:val="21"/>
        </w:rPr>
        <w:t xml:space="preserve">adjustments </w:t>
      </w:r>
      <w:r>
        <w:rPr>
          <w:rFonts w:ascii="Arial"/>
          <w:color w:val="0C0C0C"/>
          <w:spacing w:val="-2"/>
          <w:w w:val="110"/>
          <w:sz w:val="21"/>
        </w:rPr>
        <w:t>in</w:t>
      </w:r>
      <w:r>
        <w:rPr>
          <w:rFonts w:ascii="Arial"/>
          <w:color w:val="0C0C0C"/>
          <w:spacing w:val="-14"/>
          <w:w w:val="110"/>
          <w:sz w:val="21"/>
        </w:rPr>
        <w:t xml:space="preserve"> </w:t>
      </w:r>
      <w:r>
        <w:rPr>
          <w:rFonts w:ascii="Arial"/>
          <w:color w:val="1C1C1C"/>
          <w:spacing w:val="-2"/>
          <w:w w:val="110"/>
          <w:sz w:val="21"/>
        </w:rPr>
        <w:t>its analysis,</w:t>
      </w:r>
      <w:r>
        <w:rPr>
          <w:rFonts w:ascii="Arial"/>
          <w:color w:val="1C1C1C"/>
          <w:spacing w:val="-14"/>
          <w:w w:val="110"/>
          <w:sz w:val="21"/>
        </w:rPr>
        <w:t xml:space="preserve"> </w:t>
      </w:r>
      <w:r>
        <w:rPr>
          <w:rFonts w:ascii="Arial"/>
          <w:color w:val="1C1C1C"/>
          <w:spacing w:val="-2"/>
          <w:w w:val="110"/>
          <w:sz w:val="21"/>
        </w:rPr>
        <w:t>means</w:t>
      </w:r>
      <w:r>
        <w:rPr>
          <w:rFonts w:ascii="Arial"/>
          <w:color w:val="1C1C1C"/>
          <w:spacing w:val="-10"/>
          <w:w w:val="110"/>
          <w:sz w:val="21"/>
        </w:rPr>
        <w:t xml:space="preserve"> </w:t>
      </w:r>
      <w:r>
        <w:rPr>
          <w:rFonts w:ascii="Arial"/>
          <w:color w:val="1C1C1C"/>
          <w:spacing w:val="-2"/>
          <w:w w:val="110"/>
          <w:sz w:val="21"/>
        </w:rPr>
        <w:t>that</w:t>
      </w:r>
      <w:r>
        <w:rPr>
          <w:rFonts w:ascii="Arial"/>
          <w:color w:val="1C1C1C"/>
          <w:spacing w:val="-15"/>
          <w:w w:val="110"/>
          <w:sz w:val="21"/>
        </w:rPr>
        <w:t xml:space="preserve"> </w:t>
      </w:r>
      <w:r>
        <w:rPr>
          <w:rFonts w:ascii="Arial"/>
          <w:color w:val="1C1C1C"/>
          <w:spacing w:val="-2"/>
          <w:w w:val="110"/>
          <w:sz w:val="21"/>
        </w:rPr>
        <w:t>it compared</w:t>
      </w:r>
      <w:r>
        <w:rPr>
          <w:rFonts w:ascii="Arial"/>
          <w:color w:val="1C1C1C"/>
          <w:spacing w:val="-15"/>
          <w:w w:val="110"/>
          <w:sz w:val="21"/>
        </w:rPr>
        <w:t xml:space="preserve"> </w:t>
      </w:r>
      <w:r>
        <w:rPr>
          <w:rFonts w:ascii="Arial"/>
          <w:color w:val="0C0C0C"/>
          <w:spacing w:val="-2"/>
          <w:w w:val="110"/>
          <w:sz w:val="21"/>
        </w:rPr>
        <w:t>broad</w:t>
      </w:r>
      <w:r>
        <w:rPr>
          <w:rFonts w:ascii="Arial"/>
          <w:color w:val="0C0C0C"/>
          <w:spacing w:val="-13"/>
          <w:w w:val="110"/>
          <w:sz w:val="21"/>
        </w:rPr>
        <w:t xml:space="preserve"> </w:t>
      </w:r>
      <w:r>
        <w:rPr>
          <w:rFonts w:ascii="Arial"/>
          <w:color w:val="1C1C1C"/>
          <w:spacing w:val="-2"/>
          <w:w w:val="110"/>
          <w:sz w:val="21"/>
        </w:rPr>
        <w:t>average</w:t>
      </w:r>
      <w:r>
        <w:rPr>
          <w:rFonts w:ascii="Arial"/>
          <w:color w:val="1C1C1C"/>
          <w:spacing w:val="-11"/>
          <w:w w:val="110"/>
          <w:sz w:val="21"/>
        </w:rPr>
        <w:t xml:space="preserve"> </w:t>
      </w:r>
      <w:r>
        <w:rPr>
          <w:rFonts w:ascii="Arial"/>
          <w:color w:val="0C0C0C"/>
          <w:spacing w:val="-2"/>
          <w:w w:val="110"/>
          <w:sz w:val="21"/>
        </w:rPr>
        <w:t xml:space="preserve">unit </w:t>
      </w:r>
      <w:r>
        <w:rPr>
          <w:rFonts w:ascii="Arial"/>
          <w:color w:val="0C0C0C"/>
          <w:w w:val="110"/>
          <w:sz w:val="21"/>
        </w:rPr>
        <w:t>prices</w:t>
      </w:r>
      <w:r>
        <w:rPr>
          <w:rFonts w:ascii="Arial"/>
          <w:color w:val="0C0C0C"/>
          <w:spacing w:val="-17"/>
          <w:w w:val="110"/>
          <w:sz w:val="21"/>
        </w:rPr>
        <w:t xml:space="preserve"> </w:t>
      </w:r>
      <w:r>
        <w:rPr>
          <w:rFonts w:ascii="Arial"/>
          <w:color w:val="0C0C0C"/>
          <w:w w:val="110"/>
          <w:sz w:val="21"/>
        </w:rPr>
        <w:t>that</w:t>
      </w:r>
      <w:r>
        <w:rPr>
          <w:rFonts w:ascii="Arial"/>
          <w:color w:val="0C0C0C"/>
          <w:spacing w:val="-16"/>
          <w:w w:val="110"/>
          <w:sz w:val="21"/>
        </w:rPr>
        <w:t xml:space="preserve"> </w:t>
      </w:r>
      <w:r>
        <w:rPr>
          <w:rFonts w:ascii="Arial"/>
          <w:color w:val="1C1C1C"/>
          <w:w w:val="110"/>
          <w:sz w:val="21"/>
        </w:rPr>
        <w:t>were</w:t>
      </w:r>
      <w:r>
        <w:rPr>
          <w:rFonts w:ascii="Arial"/>
          <w:color w:val="1C1C1C"/>
          <w:spacing w:val="-16"/>
          <w:w w:val="110"/>
          <w:sz w:val="21"/>
        </w:rPr>
        <w:t xml:space="preserve"> </w:t>
      </w:r>
      <w:r>
        <w:rPr>
          <w:rFonts w:ascii="Arial"/>
          <w:color w:val="0C0C0C"/>
          <w:w w:val="110"/>
          <w:sz w:val="21"/>
        </w:rPr>
        <w:t>not</w:t>
      </w:r>
      <w:r>
        <w:rPr>
          <w:rFonts w:ascii="Arial"/>
          <w:color w:val="0C0C0C"/>
          <w:spacing w:val="-16"/>
          <w:w w:val="110"/>
          <w:sz w:val="21"/>
        </w:rPr>
        <w:t xml:space="preserve"> </w:t>
      </w:r>
      <w:r>
        <w:rPr>
          <w:rFonts w:ascii="Arial"/>
          <w:color w:val="1C1C1C"/>
          <w:w w:val="110"/>
          <w:sz w:val="21"/>
        </w:rPr>
        <w:t>comparable.</w:t>
      </w:r>
      <w:r>
        <w:rPr>
          <w:rFonts w:ascii="Arial"/>
          <w:color w:val="1C1C1C"/>
          <w:spacing w:val="-16"/>
          <w:w w:val="110"/>
          <w:sz w:val="21"/>
        </w:rPr>
        <w:t xml:space="preserve"> </w:t>
      </w:r>
      <w:r>
        <w:rPr>
          <w:rFonts w:ascii="Arial"/>
          <w:color w:val="1C1C1C"/>
          <w:w w:val="110"/>
          <w:sz w:val="21"/>
        </w:rPr>
        <w:t>As</w:t>
      </w:r>
      <w:r>
        <w:rPr>
          <w:rFonts w:ascii="Arial"/>
          <w:color w:val="1C1C1C"/>
          <w:spacing w:val="-16"/>
          <w:w w:val="110"/>
          <w:sz w:val="21"/>
        </w:rPr>
        <w:t xml:space="preserve"> </w:t>
      </w:r>
      <w:r>
        <w:rPr>
          <w:rFonts w:ascii="Arial"/>
          <w:color w:val="1C1C1C"/>
          <w:w w:val="110"/>
          <w:sz w:val="21"/>
        </w:rPr>
        <w:t>a</w:t>
      </w:r>
      <w:r>
        <w:rPr>
          <w:rFonts w:ascii="Arial"/>
          <w:color w:val="1C1C1C"/>
          <w:spacing w:val="-16"/>
          <w:w w:val="110"/>
          <w:sz w:val="21"/>
        </w:rPr>
        <w:t xml:space="preserve"> </w:t>
      </w:r>
      <w:r>
        <w:rPr>
          <w:rFonts w:ascii="Arial"/>
          <w:color w:val="1C1C1C"/>
          <w:w w:val="110"/>
          <w:sz w:val="21"/>
        </w:rPr>
        <w:t>consequence,</w:t>
      </w:r>
      <w:r>
        <w:rPr>
          <w:rFonts w:ascii="Arial"/>
          <w:color w:val="1C1C1C"/>
          <w:spacing w:val="-16"/>
          <w:w w:val="110"/>
          <w:sz w:val="21"/>
        </w:rPr>
        <w:t xml:space="preserve"> </w:t>
      </w:r>
      <w:r>
        <w:rPr>
          <w:rFonts w:ascii="Arial"/>
          <w:color w:val="0C0C0C"/>
          <w:w w:val="110"/>
          <w:sz w:val="21"/>
        </w:rPr>
        <w:t>MOFCOM's</w:t>
      </w:r>
      <w:r>
        <w:rPr>
          <w:rFonts w:ascii="Arial"/>
          <w:color w:val="0C0C0C"/>
          <w:spacing w:val="-9"/>
          <w:w w:val="110"/>
          <w:sz w:val="21"/>
        </w:rPr>
        <w:t xml:space="preserve"> </w:t>
      </w:r>
      <w:r>
        <w:rPr>
          <w:rFonts w:ascii="Arial"/>
          <w:color w:val="1C1C1C"/>
          <w:w w:val="110"/>
          <w:sz w:val="21"/>
        </w:rPr>
        <w:t>analysis</w:t>
      </w:r>
      <w:r>
        <w:rPr>
          <w:rFonts w:ascii="Arial"/>
          <w:color w:val="1C1C1C"/>
          <w:spacing w:val="-11"/>
          <w:w w:val="110"/>
          <w:sz w:val="21"/>
        </w:rPr>
        <w:t xml:space="preserve"> </w:t>
      </w:r>
      <w:r>
        <w:rPr>
          <w:rFonts w:ascii="Arial"/>
          <w:color w:val="1C1C1C"/>
          <w:w w:val="110"/>
          <w:sz w:val="21"/>
        </w:rPr>
        <w:t>and</w:t>
      </w:r>
      <w:r>
        <w:rPr>
          <w:rFonts w:ascii="Arial"/>
          <w:color w:val="1C1C1C"/>
          <w:spacing w:val="-17"/>
          <w:w w:val="110"/>
          <w:sz w:val="21"/>
        </w:rPr>
        <w:t xml:space="preserve"> </w:t>
      </w:r>
      <w:r>
        <w:rPr>
          <w:rFonts w:ascii="Arial"/>
          <w:color w:val="0C0C0C"/>
          <w:w w:val="110"/>
          <w:sz w:val="21"/>
        </w:rPr>
        <w:t>findings</w:t>
      </w:r>
      <w:r>
        <w:rPr>
          <w:rFonts w:ascii="Arial"/>
          <w:color w:val="0C0C0C"/>
          <w:spacing w:val="-16"/>
          <w:w w:val="110"/>
          <w:sz w:val="21"/>
        </w:rPr>
        <w:t xml:space="preserve"> </w:t>
      </w:r>
      <w:r>
        <w:rPr>
          <w:rFonts w:ascii="Arial"/>
          <w:color w:val="1C1C1C"/>
          <w:w w:val="110"/>
          <w:sz w:val="21"/>
        </w:rPr>
        <w:t xml:space="preserve">are </w:t>
      </w:r>
      <w:r>
        <w:rPr>
          <w:rFonts w:ascii="Arial"/>
          <w:color w:val="0C0C0C"/>
          <w:w w:val="110"/>
          <w:sz w:val="21"/>
        </w:rPr>
        <w:t xml:space="preserve">inconsistent </w:t>
      </w:r>
      <w:r>
        <w:rPr>
          <w:rFonts w:ascii="Arial"/>
          <w:color w:val="1C1C1C"/>
          <w:w w:val="110"/>
          <w:sz w:val="21"/>
        </w:rPr>
        <w:t xml:space="preserve">with </w:t>
      </w:r>
      <w:r>
        <w:rPr>
          <w:rFonts w:ascii="Arial"/>
          <w:color w:val="0C0C0C"/>
          <w:w w:val="110"/>
          <w:sz w:val="21"/>
        </w:rPr>
        <w:t xml:space="preserve">China's </w:t>
      </w:r>
      <w:r>
        <w:rPr>
          <w:rFonts w:ascii="Arial"/>
          <w:color w:val="1C1C1C"/>
          <w:w w:val="110"/>
          <w:sz w:val="21"/>
        </w:rPr>
        <w:t xml:space="preserve">obligations </w:t>
      </w:r>
      <w:r>
        <w:rPr>
          <w:rFonts w:ascii="Arial"/>
          <w:color w:val="0C0C0C"/>
          <w:w w:val="110"/>
          <w:sz w:val="21"/>
        </w:rPr>
        <w:t xml:space="preserve">under </w:t>
      </w:r>
      <w:r>
        <w:rPr>
          <w:rFonts w:ascii="Arial"/>
          <w:color w:val="1C1C1C"/>
          <w:w w:val="110"/>
          <w:sz w:val="21"/>
        </w:rPr>
        <w:t xml:space="preserve">Articles 3.1 and 3.2 of </w:t>
      </w:r>
      <w:r>
        <w:rPr>
          <w:rFonts w:ascii="Arial"/>
          <w:color w:val="0C0C0C"/>
          <w:w w:val="110"/>
          <w:sz w:val="21"/>
        </w:rPr>
        <w:t xml:space="preserve">the </w:t>
      </w:r>
      <w:r>
        <w:rPr>
          <w:rFonts w:ascii="Arial"/>
          <w:color w:val="1C1C1C"/>
          <w:w w:val="110"/>
          <w:sz w:val="21"/>
        </w:rPr>
        <w:t xml:space="preserve">Anti-Dumping </w:t>
      </w:r>
      <w:r>
        <w:rPr>
          <w:rFonts w:ascii="Arial"/>
          <w:color w:val="1C1C1C"/>
          <w:spacing w:val="-2"/>
          <w:w w:val="110"/>
          <w:sz w:val="21"/>
        </w:rPr>
        <w:t>Agreement.</w:t>
      </w:r>
    </w:p>
    <w:p w14:paraId="51DE8F1E" w14:textId="77777777" w:rsidR="0010369C" w:rsidRDefault="008E43AE">
      <w:pPr>
        <w:pStyle w:val="ListParagraph"/>
        <w:numPr>
          <w:ilvl w:val="0"/>
          <w:numId w:val="53"/>
        </w:numPr>
        <w:tabs>
          <w:tab w:val="left" w:pos="4518"/>
          <w:tab w:val="left" w:pos="4519"/>
        </w:tabs>
        <w:spacing w:before="124" w:line="400" w:lineRule="auto"/>
        <w:ind w:right="596" w:hanging="856"/>
        <w:rPr>
          <w:rFonts w:ascii="Times New Roman"/>
          <w:i/>
          <w:color w:val="1C1C1C"/>
          <w:sz w:val="23"/>
        </w:rPr>
      </w:pPr>
      <w:r>
        <w:rPr>
          <w:rFonts w:ascii="Times New Roman"/>
          <w:i/>
          <w:color w:val="1C1C1C"/>
          <w:w w:val="105"/>
          <w:sz w:val="23"/>
        </w:rPr>
        <w:t>MOFCOM</w:t>
      </w:r>
      <w:r>
        <w:rPr>
          <w:rFonts w:ascii="Times New Roman"/>
          <w:i/>
          <w:color w:val="1C1C1C"/>
          <w:spacing w:val="18"/>
          <w:w w:val="105"/>
          <w:sz w:val="23"/>
        </w:rPr>
        <w:t xml:space="preserve"> </w:t>
      </w:r>
      <w:r>
        <w:rPr>
          <w:rFonts w:ascii="Times New Roman"/>
          <w:i/>
          <w:color w:val="1C1C1C"/>
          <w:w w:val="105"/>
          <w:sz w:val="23"/>
        </w:rPr>
        <w:t>failed</w:t>
      </w:r>
      <w:r>
        <w:rPr>
          <w:rFonts w:ascii="Times New Roman"/>
          <w:i/>
          <w:color w:val="1C1C1C"/>
          <w:spacing w:val="-10"/>
          <w:w w:val="105"/>
          <w:sz w:val="23"/>
        </w:rPr>
        <w:t xml:space="preserve"> </w:t>
      </w:r>
      <w:r>
        <w:rPr>
          <w:rFonts w:ascii="Times New Roman"/>
          <w:i/>
          <w:color w:val="0C0C0C"/>
          <w:w w:val="105"/>
          <w:sz w:val="23"/>
        </w:rPr>
        <w:t>to</w:t>
      </w:r>
      <w:r>
        <w:rPr>
          <w:rFonts w:ascii="Times New Roman"/>
          <w:i/>
          <w:color w:val="0C0C0C"/>
          <w:spacing w:val="3"/>
          <w:w w:val="105"/>
          <w:sz w:val="23"/>
        </w:rPr>
        <w:t xml:space="preserve"> </w:t>
      </w:r>
      <w:r>
        <w:rPr>
          <w:rFonts w:ascii="Times New Roman"/>
          <w:i/>
          <w:color w:val="1C1C1C"/>
          <w:w w:val="105"/>
          <w:sz w:val="23"/>
        </w:rPr>
        <w:t>account</w:t>
      </w:r>
      <w:r>
        <w:rPr>
          <w:rFonts w:ascii="Times New Roman"/>
          <w:i/>
          <w:color w:val="1C1C1C"/>
          <w:spacing w:val="-9"/>
          <w:w w:val="105"/>
          <w:sz w:val="23"/>
        </w:rPr>
        <w:t xml:space="preserve"> </w:t>
      </w:r>
      <w:r>
        <w:rPr>
          <w:rFonts w:ascii="Times New Roman"/>
          <w:i/>
          <w:color w:val="1C1C1C"/>
          <w:w w:val="105"/>
          <w:sz w:val="23"/>
        </w:rPr>
        <w:t>for</w:t>
      </w:r>
      <w:r>
        <w:rPr>
          <w:rFonts w:ascii="Times New Roman"/>
          <w:i/>
          <w:color w:val="1C1C1C"/>
          <w:spacing w:val="-16"/>
          <w:w w:val="105"/>
          <w:sz w:val="23"/>
        </w:rPr>
        <w:t xml:space="preserve"> </w:t>
      </w:r>
      <w:r>
        <w:rPr>
          <w:rFonts w:ascii="Times New Roman"/>
          <w:i/>
          <w:color w:val="1C1C1C"/>
          <w:w w:val="105"/>
          <w:sz w:val="23"/>
        </w:rPr>
        <w:t>different</w:t>
      </w:r>
      <w:r>
        <w:rPr>
          <w:rFonts w:ascii="Times New Roman"/>
          <w:i/>
          <w:color w:val="1C1C1C"/>
          <w:spacing w:val="-11"/>
          <w:w w:val="105"/>
          <w:sz w:val="23"/>
        </w:rPr>
        <w:t xml:space="preserve"> </w:t>
      </w:r>
      <w:r>
        <w:rPr>
          <w:rFonts w:ascii="Times New Roman"/>
          <w:i/>
          <w:color w:val="1C1C1C"/>
          <w:w w:val="105"/>
          <w:sz w:val="23"/>
        </w:rPr>
        <w:t>levels</w:t>
      </w:r>
      <w:r>
        <w:rPr>
          <w:rFonts w:ascii="Times New Roman"/>
          <w:i/>
          <w:color w:val="1C1C1C"/>
          <w:spacing w:val="-14"/>
          <w:w w:val="105"/>
          <w:sz w:val="23"/>
        </w:rPr>
        <w:t xml:space="preserve"> </w:t>
      </w:r>
      <w:r>
        <w:rPr>
          <w:rFonts w:ascii="Times New Roman"/>
          <w:i/>
          <w:color w:val="1C1C1C"/>
          <w:w w:val="105"/>
          <w:sz w:val="23"/>
        </w:rPr>
        <w:t xml:space="preserve">of trade in </w:t>
      </w:r>
      <w:r>
        <w:rPr>
          <w:rFonts w:ascii="Times New Roman"/>
          <w:i/>
          <w:color w:val="0C0C0C"/>
          <w:w w:val="105"/>
          <w:sz w:val="23"/>
        </w:rPr>
        <w:t>the</w:t>
      </w:r>
      <w:r>
        <w:rPr>
          <w:rFonts w:ascii="Times New Roman"/>
          <w:i/>
          <w:color w:val="0C0C0C"/>
          <w:spacing w:val="40"/>
          <w:w w:val="105"/>
          <w:sz w:val="23"/>
        </w:rPr>
        <w:t xml:space="preserve"> </w:t>
      </w:r>
      <w:r>
        <w:rPr>
          <w:rFonts w:ascii="Times New Roman"/>
          <w:i/>
          <w:color w:val="1C1C1C"/>
          <w:w w:val="105"/>
          <w:sz w:val="23"/>
        </w:rPr>
        <w:t>price data</w:t>
      </w:r>
    </w:p>
    <w:p w14:paraId="51DE8F1F" w14:textId="77777777" w:rsidR="0010369C" w:rsidRDefault="008E43AE">
      <w:pPr>
        <w:pStyle w:val="ListParagraph"/>
        <w:numPr>
          <w:ilvl w:val="0"/>
          <w:numId w:val="54"/>
        </w:numPr>
        <w:tabs>
          <w:tab w:val="left" w:pos="1093"/>
        </w:tabs>
        <w:spacing w:before="177" w:line="432" w:lineRule="auto"/>
        <w:ind w:right="576" w:firstLine="4"/>
        <w:jc w:val="both"/>
        <w:rPr>
          <w:rFonts w:ascii="Arial"/>
          <w:color w:val="1C1C1C"/>
          <w:sz w:val="21"/>
        </w:rPr>
      </w:pPr>
      <w:r>
        <w:rPr>
          <w:rFonts w:ascii="Arial"/>
          <w:color w:val="1C1C1C"/>
          <w:w w:val="105"/>
          <w:sz w:val="21"/>
        </w:rPr>
        <w:t>To</w:t>
      </w:r>
      <w:r>
        <w:rPr>
          <w:rFonts w:ascii="Arial"/>
          <w:color w:val="1C1C1C"/>
          <w:spacing w:val="-16"/>
          <w:w w:val="105"/>
          <w:sz w:val="21"/>
        </w:rPr>
        <w:t xml:space="preserve"> </w:t>
      </w:r>
      <w:r>
        <w:rPr>
          <w:rFonts w:ascii="Arial"/>
          <w:color w:val="1C1C1C"/>
          <w:w w:val="105"/>
          <w:sz w:val="21"/>
        </w:rPr>
        <w:t>properly</w:t>
      </w:r>
      <w:r>
        <w:rPr>
          <w:rFonts w:ascii="Arial"/>
          <w:color w:val="1C1C1C"/>
          <w:spacing w:val="-3"/>
          <w:w w:val="105"/>
          <w:sz w:val="21"/>
        </w:rPr>
        <w:t xml:space="preserve"> </w:t>
      </w:r>
      <w:r>
        <w:rPr>
          <w:rFonts w:ascii="Arial"/>
          <w:color w:val="1C1C1C"/>
          <w:w w:val="105"/>
          <w:sz w:val="21"/>
        </w:rPr>
        <w:t>ensure</w:t>
      </w:r>
      <w:r>
        <w:rPr>
          <w:rFonts w:ascii="Arial"/>
          <w:color w:val="1C1C1C"/>
          <w:spacing w:val="-3"/>
          <w:w w:val="105"/>
          <w:sz w:val="21"/>
        </w:rPr>
        <w:t xml:space="preserve"> </w:t>
      </w:r>
      <w:r>
        <w:rPr>
          <w:rFonts w:ascii="Arial"/>
          <w:color w:val="1C1C1C"/>
          <w:w w:val="105"/>
          <w:sz w:val="21"/>
        </w:rPr>
        <w:t>price</w:t>
      </w:r>
      <w:r>
        <w:rPr>
          <w:rFonts w:ascii="Arial"/>
          <w:color w:val="1C1C1C"/>
          <w:spacing w:val="-12"/>
          <w:w w:val="105"/>
          <w:sz w:val="21"/>
        </w:rPr>
        <w:t xml:space="preserve"> </w:t>
      </w:r>
      <w:r>
        <w:rPr>
          <w:rFonts w:ascii="Arial"/>
          <w:color w:val="1C1C1C"/>
          <w:w w:val="105"/>
          <w:sz w:val="21"/>
        </w:rPr>
        <w:t xml:space="preserve">comparability between </w:t>
      </w:r>
      <w:r>
        <w:rPr>
          <w:rFonts w:ascii="Arial"/>
          <w:color w:val="0C0C0C"/>
          <w:w w:val="105"/>
          <w:sz w:val="21"/>
        </w:rPr>
        <w:t>prices</w:t>
      </w:r>
      <w:r>
        <w:rPr>
          <w:rFonts w:ascii="Arial"/>
          <w:color w:val="0C0C0C"/>
          <w:spacing w:val="-6"/>
          <w:w w:val="105"/>
          <w:sz w:val="21"/>
        </w:rPr>
        <w:t xml:space="preserve"> </w:t>
      </w:r>
      <w:r>
        <w:rPr>
          <w:rFonts w:ascii="Arial"/>
          <w:color w:val="1C1C1C"/>
          <w:w w:val="105"/>
          <w:sz w:val="21"/>
        </w:rPr>
        <w:t>of</w:t>
      </w:r>
      <w:r>
        <w:rPr>
          <w:rFonts w:ascii="Arial"/>
          <w:color w:val="1C1C1C"/>
          <w:spacing w:val="23"/>
          <w:w w:val="105"/>
          <w:sz w:val="21"/>
        </w:rPr>
        <w:t xml:space="preserve"> </w:t>
      </w:r>
      <w:r>
        <w:rPr>
          <w:rFonts w:ascii="Arial"/>
          <w:color w:val="0C0C0C"/>
          <w:w w:val="105"/>
          <w:sz w:val="21"/>
        </w:rPr>
        <w:t xml:space="preserve">domestic </w:t>
      </w:r>
      <w:r>
        <w:rPr>
          <w:rFonts w:ascii="Arial"/>
          <w:color w:val="1C1C1C"/>
          <w:w w:val="105"/>
          <w:sz w:val="21"/>
        </w:rPr>
        <w:t>like</w:t>
      </w:r>
      <w:r>
        <w:rPr>
          <w:rFonts w:ascii="Arial"/>
          <w:color w:val="1C1C1C"/>
          <w:spacing w:val="-12"/>
          <w:w w:val="105"/>
          <w:sz w:val="21"/>
        </w:rPr>
        <w:t xml:space="preserve"> </w:t>
      </w:r>
      <w:r>
        <w:rPr>
          <w:rFonts w:ascii="Arial"/>
          <w:color w:val="0C0C0C"/>
          <w:w w:val="105"/>
          <w:sz w:val="21"/>
        </w:rPr>
        <w:t>products</w:t>
      </w:r>
      <w:r>
        <w:rPr>
          <w:rFonts w:ascii="Arial"/>
          <w:color w:val="0C0C0C"/>
          <w:spacing w:val="-3"/>
          <w:w w:val="105"/>
          <w:sz w:val="21"/>
        </w:rPr>
        <w:t xml:space="preserve"> </w:t>
      </w:r>
      <w:r>
        <w:rPr>
          <w:rFonts w:ascii="Arial"/>
          <w:color w:val="1C1C1C"/>
          <w:w w:val="105"/>
          <w:sz w:val="21"/>
        </w:rPr>
        <w:t xml:space="preserve">and </w:t>
      </w:r>
      <w:r>
        <w:rPr>
          <w:rFonts w:ascii="Arial"/>
          <w:color w:val="1C1C1C"/>
          <w:w w:val="110"/>
          <w:sz w:val="21"/>
        </w:rPr>
        <w:t xml:space="preserve">subject imports, </w:t>
      </w:r>
      <w:r>
        <w:rPr>
          <w:rFonts w:ascii="Arial"/>
          <w:color w:val="0C0C0C"/>
          <w:w w:val="110"/>
          <w:sz w:val="21"/>
        </w:rPr>
        <w:t xml:space="preserve">MOFCOM </w:t>
      </w:r>
      <w:r>
        <w:rPr>
          <w:rFonts w:ascii="Arial"/>
          <w:color w:val="1C1C1C"/>
          <w:w w:val="110"/>
          <w:sz w:val="21"/>
        </w:rPr>
        <w:t xml:space="preserve">was required </w:t>
      </w:r>
      <w:r>
        <w:rPr>
          <w:rFonts w:ascii="Arial"/>
          <w:color w:val="0C0C0C"/>
          <w:w w:val="110"/>
          <w:sz w:val="21"/>
        </w:rPr>
        <w:t xml:space="preserve">to </w:t>
      </w:r>
      <w:r>
        <w:rPr>
          <w:rFonts w:ascii="Arial"/>
          <w:color w:val="1C1C1C"/>
          <w:w w:val="110"/>
          <w:sz w:val="21"/>
        </w:rPr>
        <w:t xml:space="preserve">ensure </w:t>
      </w:r>
      <w:r>
        <w:rPr>
          <w:rFonts w:ascii="Arial"/>
          <w:color w:val="0C0C0C"/>
          <w:w w:val="110"/>
          <w:sz w:val="21"/>
        </w:rPr>
        <w:t xml:space="preserve">that it </w:t>
      </w:r>
      <w:r>
        <w:rPr>
          <w:rFonts w:ascii="Arial"/>
          <w:color w:val="1C1C1C"/>
          <w:w w:val="110"/>
          <w:sz w:val="21"/>
        </w:rPr>
        <w:t>compared prices</w:t>
      </w:r>
      <w:r>
        <w:rPr>
          <w:rFonts w:ascii="Arial"/>
          <w:color w:val="1C1C1C"/>
          <w:spacing w:val="-1"/>
          <w:w w:val="110"/>
          <w:sz w:val="21"/>
        </w:rPr>
        <w:t xml:space="preserve"> </w:t>
      </w:r>
      <w:r>
        <w:rPr>
          <w:rFonts w:ascii="Arial"/>
          <w:color w:val="1C1C1C"/>
          <w:w w:val="110"/>
          <w:sz w:val="21"/>
        </w:rPr>
        <w:t xml:space="preserve">that </w:t>
      </w:r>
      <w:r>
        <w:rPr>
          <w:rFonts w:ascii="Arial"/>
          <w:color w:val="0C0C0C"/>
          <w:w w:val="110"/>
          <w:sz w:val="21"/>
        </w:rPr>
        <w:t xml:space="preserve">reflected </w:t>
      </w:r>
      <w:r>
        <w:rPr>
          <w:rFonts w:ascii="Arial"/>
          <w:color w:val="1C1C1C"/>
          <w:w w:val="105"/>
          <w:sz w:val="21"/>
        </w:rPr>
        <w:t>transactions occurring</w:t>
      </w:r>
      <w:r>
        <w:rPr>
          <w:rFonts w:ascii="Arial"/>
          <w:color w:val="1C1C1C"/>
          <w:spacing w:val="-8"/>
          <w:w w:val="105"/>
          <w:sz w:val="21"/>
        </w:rPr>
        <w:t xml:space="preserve"> </w:t>
      </w:r>
      <w:r>
        <w:rPr>
          <w:rFonts w:ascii="Arial"/>
          <w:color w:val="1C1C1C"/>
          <w:w w:val="105"/>
          <w:sz w:val="21"/>
        </w:rPr>
        <w:t>at</w:t>
      </w:r>
      <w:r>
        <w:rPr>
          <w:rFonts w:ascii="Arial"/>
          <w:color w:val="1C1C1C"/>
          <w:spacing w:val="-6"/>
          <w:w w:val="105"/>
          <w:sz w:val="21"/>
        </w:rPr>
        <w:t xml:space="preserve"> </w:t>
      </w:r>
      <w:r>
        <w:rPr>
          <w:rFonts w:ascii="Arial"/>
          <w:color w:val="1C1C1C"/>
          <w:w w:val="105"/>
          <w:sz w:val="21"/>
        </w:rPr>
        <w:t>the same</w:t>
      </w:r>
      <w:r>
        <w:rPr>
          <w:rFonts w:ascii="Arial"/>
          <w:color w:val="1C1C1C"/>
          <w:spacing w:val="-3"/>
          <w:w w:val="105"/>
          <w:sz w:val="21"/>
        </w:rPr>
        <w:t xml:space="preserve"> </w:t>
      </w:r>
      <w:r>
        <w:rPr>
          <w:rFonts w:ascii="Arial"/>
          <w:color w:val="1C1C1C"/>
          <w:w w:val="105"/>
          <w:sz w:val="21"/>
        </w:rPr>
        <w:t>level</w:t>
      </w:r>
      <w:r>
        <w:rPr>
          <w:rFonts w:ascii="Arial"/>
          <w:color w:val="1C1C1C"/>
          <w:spacing w:val="-9"/>
          <w:w w:val="105"/>
          <w:sz w:val="21"/>
        </w:rPr>
        <w:t xml:space="preserve"> </w:t>
      </w:r>
      <w:r>
        <w:rPr>
          <w:rFonts w:ascii="Arial"/>
          <w:color w:val="1C1C1C"/>
          <w:w w:val="105"/>
          <w:sz w:val="21"/>
        </w:rPr>
        <w:t>of trade</w:t>
      </w:r>
      <w:r>
        <w:rPr>
          <w:rFonts w:ascii="Arial"/>
          <w:color w:val="1C1C1C"/>
          <w:spacing w:val="-14"/>
          <w:w w:val="105"/>
          <w:sz w:val="21"/>
        </w:rPr>
        <w:t xml:space="preserve"> </w:t>
      </w:r>
      <w:r>
        <w:rPr>
          <w:rFonts w:ascii="Arial"/>
          <w:color w:val="1C1C1C"/>
          <w:w w:val="105"/>
          <w:sz w:val="21"/>
        </w:rPr>
        <w:t xml:space="preserve">or </w:t>
      </w:r>
      <w:r>
        <w:rPr>
          <w:rFonts w:ascii="Arial"/>
          <w:color w:val="0C0C0C"/>
          <w:w w:val="105"/>
          <w:sz w:val="21"/>
        </w:rPr>
        <w:t>make</w:t>
      </w:r>
      <w:r>
        <w:rPr>
          <w:rFonts w:ascii="Arial"/>
          <w:color w:val="0C0C0C"/>
          <w:spacing w:val="-11"/>
          <w:w w:val="105"/>
          <w:sz w:val="21"/>
        </w:rPr>
        <w:t xml:space="preserve"> </w:t>
      </w:r>
      <w:r>
        <w:rPr>
          <w:rFonts w:ascii="Arial"/>
          <w:color w:val="1C1C1C"/>
          <w:w w:val="105"/>
          <w:sz w:val="21"/>
        </w:rPr>
        <w:t>appropriate adjustments to</w:t>
      </w:r>
      <w:r>
        <w:rPr>
          <w:rFonts w:ascii="Arial"/>
          <w:color w:val="1C1C1C"/>
          <w:spacing w:val="34"/>
          <w:w w:val="105"/>
          <w:sz w:val="21"/>
        </w:rPr>
        <w:t xml:space="preserve"> </w:t>
      </w:r>
      <w:r>
        <w:rPr>
          <w:rFonts w:ascii="Arial"/>
          <w:color w:val="1C1C1C"/>
          <w:w w:val="105"/>
          <w:sz w:val="21"/>
        </w:rPr>
        <w:t xml:space="preserve">account </w:t>
      </w:r>
      <w:r>
        <w:rPr>
          <w:rFonts w:ascii="Arial"/>
          <w:color w:val="1C1C1C"/>
          <w:w w:val="110"/>
          <w:sz w:val="21"/>
        </w:rPr>
        <w:t>for prices reflecting transactions</w:t>
      </w:r>
      <w:r>
        <w:rPr>
          <w:rFonts w:ascii="Arial"/>
          <w:color w:val="1C1C1C"/>
          <w:w w:val="110"/>
          <w:sz w:val="21"/>
        </w:rPr>
        <w:t xml:space="preserve"> occurring at </w:t>
      </w:r>
      <w:r>
        <w:rPr>
          <w:rFonts w:ascii="Arial"/>
          <w:color w:val="0C0C0C"/>
          <w:w w:val="110"/>
          <w:sz w:val="21"/>
        </w:rPr>
        <w:t xml:space="preserve">different trade </w:t>
      </w:r>
      <w:r>
        <w:rPr>
          <w:rFonts w:ascii="Arial"/>
          <w:color w:val="1C1C1C"/>
          <w:w w:val="110"/>
          <w:sz w:val="21"/>
        </w:rPr>
        <w:t>levels.</w:t>
      </w:r>
      <w:r>
        <w:rPr>
          <w:rFonts w:ascii="Times New Roman"/>
          <w:color w:val="1C1C1C"/>
          <w:w w:val="110"/>
          <w:position w:val="7"/>
          <w:sz w:val="16"/>
        </w:rPr>
        <w:t xml:space="preserve">680 </w:t>
      </w:r>
      <w:r>
        <w:rPr>
          <w:rFonts w:ascii="Arial"/>
          <w:color w:val="0C0C0C"/>
          <w:w w:val="110"/>
          <w:sz w:val="21"/>
        </w:rPr>
        <w:t xml:space="preserve">In </w:t>
      </w:r>
      <w:r>
        <w:rPr>
          <w:rFonts w:ascii="Arial"/>
          <w:color w:val="1C1C1C"/>
          <w:w w:val="110"/>
          <w:sz w:val="21"/>
        </w:rPr>
        <w:t xml:space="preserve">the Final </w:t>
      </w:r>
      <w:r>
        <w:rPr>
          <w:rFonts w:ascii="Arial"/>
          <w:color w:val="1C1C1C"/>
          <w:w w:val="105"/>
          <w:sz w:val="21"/>
        </w:rPr>
        <w:t>Determination,</w:t>
      </w:r>
      <w:r>
        <w:rPr>
          <w:rFonts w:ascii="Arial"/>
          <w:color w:val="0C0C0C"/>
          <w:w w:val="105"/>
          <w:sz w:val="21"/>
        </w:rPr>
        <w:t>MOFCOM</w:t>
      </w:r>
      <w:r>
        <w:rPr>
          <w:rFonts w:ascii="Arial"/>
          <w:color w:val="0C0C0C"/>
          <w:spacing w:val="-7"/>
          <w:w w:val="105"/>
          <w:sz w:val="21"/>
        </w:rPr>
        <w:t xml:space="preserve"> </w:t>
      </w:r>
      <w:r>
        <w:rPr>
          <w:rFonts w:ascii="Arial"/>
          <w:color w:val="1C1C1C"/>
          <w:w w:val="105"/>
          <w:sz w:val="21"/>
        </w:rPr>
        <w:t>asserted</w:t>
      </w:r>
      <w:r>
        <w:rPr>
          <w:rFonts w:ascii="Arial"/>
          <w:color w:val="1C1C1C"/>
          <w:spacing w:val="-14"/>
          <w:w w:val="105"/>
          <w:sz w:val="21"/>
        </w:rPr>
        <w:t xml:space="preserve"> </w:t>
      </w:r>
      <w:r>
        <w:rPr>
          <w:rFonts w:ascii="Arial"/>
          <w:color w:val="1C1C1C"/>
          <w:w w:val="105"/>
          <w:sz w:val="21"/>
        </w:rPr>
        <w:t>that</w:t>
      </w:r>
      <w:r>
        <w:rPr>
          <w:rFonts w:ascii="Arial"/>
          <w:color w:val="1C1C1C"/>
          <w:spacing w:val="-3"/>
          <w:w w:val="105"/>
          <w:sz w:val="21"/>
        </w:rPr>
        <w:t xml:space="preserve"> </w:t>
      </w:r>
      <w:r>
        <w:rPr>
          <w:rFonts w:ascii="Arial"/>
          <w:color w:val="1C1C1C"/>
          <w:w w:val="105"/>
          <w:sz w:val="21"/>
        </w:rPr>
        <w:t>"the</w:t>
      </w:r>
      <w:r>
        <w:rPr>
          <w:rFonts w:ascii="Arial"/>
          <w:color w:val="1C1C1C"/>
          <w:spacing w:val="-11"/>
          <w:w w:val="105"/>
          <w:sz w:val="21"/>
        </w:rPr>
        <w:t xml:space="preserve"> </w:t>
      </w:r>
      <w:r>
        <w:rPr>
          <w:rFonts w:ascii="Arial"/>
          <w:color w:val="1C1C1C"/>
          <w:w w:val="105"/>
          <w:sz w:val="21"/>
        </w:rPr>
        <w:t xml:space="preserve">domestic customs </w:t>
      </w:r>
      <w:r>
        <w:rPr>
          <w:rFonts w:ascii="Arial"/>
          <w:color w:val="0C0C0C"/>
          <w:w w:val="105"/>
          <w:sz w:val="21"/>
        </w:rPr>
        <w:t>clearance price</w:t>
      </w:r>
      <w:r>
        <w:rPr>
          <w:rFonts w:ascii="Arial"/>
          <w:color w:val="0C0C0C"/>
          <w:spacing w:val="-10"/>
          <w:w w:val="105"/>
          <w:sz w:val="21"/>
        </w:rPr>
        <w:t xml:space="preserve"> </w:t>
      </w:r>
      <w:r>
        <w:rPr>
          <w:rFonts w:ascii="Arial"/>
          <w:color w:val="1C1C1C"/>
          <w:w w:val="105"/>
          <w:sz w:val="21"/>
        </w:rPr>
        <w:t xml:space="preserve">of </w:t>
      </w:r>
      <w:r>
        <w:rPr>
          <w:rFonts w:ascii="Arial"/>
          <w:color w:val="0C0C0C"/>
          <w:w w:val="105"/>
          <w:sz w:val="21"/>
        </w:rPr>
        <w:t>the</w:t>
      </w:r>
      <w:r>
        <w:rPr>
          <w:rFonts w:ascii="Arial"/>
          <w:color w:val="0C0C0C"/>
          <w:spacing w:val="23"/>
          <w:w w:val="105"/>
          <w:sz w:val="21"/>
        </w:rPr>
        <w:t xml:space="preserve"> </w:t>
      </w:r>
      <w:r>
        <w:rPr>
          <w:rFonts w:ascii="Arial"/>
          <w:color w:val="0C0C0C"/>
          <w:w w:val="105"/>
          <w:sz w:val="21"/>
        </w:rPr>
        <w:t xml:space="preserve">dumped </w:t>
      </w:r>
      <w:r>
        <w:rPr>
          <w:rFonts w:ascii="Arial"/>
          <w:color w:val="0C0C0C"/>
          <w:w w:val="110"/>
          <w:sz w:val="21"/>
        </w:rPr>
        <w:t>imported</w:t>
      </w:r>
      <w:r>
        <w:rPr>
          <w:rFonts w:ascii="Arial"/>
          <w:color w:val="0C0C0C"/>
          <w:spacing w:val="-17"/>
          <w:w w:val="110"/>
          <w:sz w:val="21"/>
        </w:rPr>
        <w:t xml:space="preserve"> </w:t>
      </w:r>
      <w:r>
        <w:rPr>
          <w:rFonts w:ascii="Arial"/>
          <w:color w:val="1C1C1C"/>
          <w:w w:val="110"/>
          <w:sz w:val="21"/>
        </w:rPr>
        <w:t>product</w:t>
      </w:r>
      <w:r>
        <w:rPr>
          <w:rFonts w:ascii="Arial"/>
          <w:color w:val="1C1C1C"/>
          <w:spacing w:val="-16"/>
          <w:w w:val="110"/>
          <w:sz w:val="21"/>
        </w:rPr>
        <w:t xml:space="preserve"> </w:t>
      </w:r>
      <w:r>
        <w:rPr>
          <w:rFonts w:ascii="Arial"/>
          <w:color w:val="1C1C1C"/>
          <w:w w:val="110"/>
          <w:sz w:val="21"/>
        </w:rPr>
        <w:t>and</w:t>
      </w:r>
      <w:r>
        <w:rPr>
          <w:rFonts w:ascii="Arial"/>
          <w:color w:val="1C1C1C"/>
          <w:spacing w:val="-16"/>
          <w:w w:val="110"/>
          <w:sz w:val="21"/>
        </w:rPr>
        <w:t xml:space="preserve"> </w:t>
      </w:r>
      <w:r>
        <w:rPr>
          <w:rFonts w:ascii="Arial"/>
          <w:color w:val="1C1C1C"/>
          <w:w w:val="110"/>
          <w:sz w:val="21"/>
        </w:rPr>
        <w:t>the</w:t>
      </w:r>
      <w:r>
        <w:rPr>
          <w:rFonts w:ascii="Arial"/>
          <w:color w:val="1C1C1C"/>
          <w:spacing w:val="-16"/>
          <w:w w:val="110"/>
          <w:sz w:val="21"/>
        </w:rPr>
        <w:t xml:space="preserve"> </w:t>
      </w:r>
      <w:r>
        <w:rPr>
          <w:rFonts w:ascii="Arial"/>
          <w:color w:val="1C1C1C"/>
          <w:w w:val="110"/>
          <w:sz w:val="21"/>
        </w:rPr>
        <w:t>factory</w:t>
      </w:r>
      <w:r>
        <w:rPr>
          <w:rFonts w:ascii="Arial"/>
          <w:color w:val="1C1C1C"/>
          <w:spacing w:val="-16"/>
          <w:w w:val="110"/>
          <w:sz w:val="21"/>
        </w:rPr>
        <w:t xml:space="preserve"> </w:t>
      </w:r>
      <w:r>
        <w:rPr>
          <w:rFonts w:ascii="Arial"/>
          <w:color w:val="1C1C1C"/>
          <w:w w:val="110"/>
          <w:sz w:val="21"/>
        </w:rPr>
        <w:t>price</w:t>
      </w:r>
      <w:r>
        <w:rPr>
          <w:rFonts w:ascii="Arial"/>
          <w:color w:val="1C1C1C"/>
          <w:spacing w:val="-16"/>
          <w:w w:val="110"/>
          <w:sz w:val="21"/>
        </w:rPr>
        <w:t xml:space="preserve"> </w:t>
      </w:r>
      <w:r>
        <w:rPr>
          <w:rFonts w:ascii="Arial"/>
          <w:color w:val="1C1C1C"/>
          <w:w w:val="110"/>
          <w:sz w:val="21"/>
        </w:rPr>
        <w:t>of</w:t>
      </w:r>
      <w:r>
        <w:rPr>
          <w:rFonts w:ascii="Arial"/>
          <w:color w:val="1C1C1C"/>
          <w:spacing w:val="-16"/>
          <w:w w:val="110"/>
          <w:sz w:val="21"/>
        </w:rPr>
        <w:t xml:space="preserve"> </w:t>
      </w:r>
      <w:r>
        <w:rPr>
          <w:rFonts w:ascii="Arial"/>
          <w:color w:val="1C1C1C"/>
          <w:w w:val="110"/>
          <w:sz w:val="21"/>
        </w:rPr>
        <w:t>domestic</w:t>
      </w:r>
      <w:r>
        <w:rPr>
          <w:rFonts w:ascii="Arial"/>
          <w:color w:val="1C1C1C"/>
          <w:spacing w:val="-16"/>
          <w:w w:val="110"/>
          <w:sz w:val="21"/>
        </w:rPr>
        <w:t xml:space="preserve"> </w:t>
      </w:r>
      <w:r>
        <w:rPr>
          <w:rFonts w:ascii="Arial"/>
          <w:color w:val="1C1C1C"/>
          <w:w w:val="110"/>
          <w:sz w:val="21"/>
        </w:rPr>
        <w:t>like</w:t>
      </w:r>
      <w:r>
        <w:rPr>
          <w:rFonts w:ascii="Arial"/>
          <w:color w:val="1C1C1C"/>
          <w:spacing w:val="-16"/>
          <w:w w:val="110"/>
          <w:sz w:val="21"/>
        </w:rPr>
        <w:t xml:space="preserve"> </w:t>
      </w:r>
      <w:r>
        <w:rPr>
          <w:rFonts w:ascii="Arial"/>
          <w:color w:val="0C0C0C"/>
          <w:w w:val="110"/>
          <w:sz w:val="21"/>
        </w:rPr>
        <w:t>products</w:t>
      </w:r>
      <w:r>
        <w:rPr>
          <w:rFonts w:ascii="Arial"/>
          <w:color w:val="0C0C0C"/>
          <w:spacing w:val="-16"/>
          <w:w w:val="110"/>
          <w:sz w:val="21"/>
        </w:rPr>
        <w:t xml:space="preserve"> </w:t>
      </w:r>
      <w:r>
        <w:rPr>
          <w:rFonts w:ascii="Arial"/>
          <w:color w:val="1C1C1C"/>
          <w:w w:val="110"/>
          <w:sz w:val="21"/>
        </w:rPr>
        <w:t>were</w:t>
      </w:r>
      <w:r>
        <w:rPr>
          <w:rFonts w:ascii="Arial"/>
          <w:color w:val="1C1C1C"/>
          <w:spacing w:val="-16"/>
          <w:w w:val="110"/>
          <w:sz w:val="21"/>
        </w:rPr>
        <w:t xml:space="preserve"> </w:t>
      </w:r>
      <w:r>
        <w:rPr>
          <w:rFonts w:ascii="Arial"/>
          <w:color w:val="0C0C0C"/>
          <w:w w:val="110"/>
          <w:sz w:val="21"/>
        </w:rPr>
        <w:t>basically</w:t>
      </w:r>
      <w:r>
        <w:rPr>
          <w:rFonts w:ascii="Arial"/>
          <w:color w:val="0C0C0C"/>
          <w:spacing w:val="-16"/>
          <w:w w:val="110"/>
          <w:sz w:val="21"/>
        </w:rPr>
        <w:t xml:space="preserve"> </w:t>
      </w:r>
      <w:r>
        <w:rPr>
          <w:rFonts w:ascii="Arial"/>
          <w:color w:val="1C1C1C"/>
          <w:w w:val="110"/>
          <w:sz w:val="21"/>
        </w:rPr>
        <w:t>at</w:t>
      </w:r>
      <w:r>
        <w:rPr>
          <w:rFonts w:ascii="Arial"/>
          <w:color w:val="1C1C1C"/>
          <w:spacing w:val="-12"/>
          <w:w w:val="110"/>
          <w:sz w:val="21"/>
        </w:rPr>
        <w:t xml:space="preserve"> </w:t>
      </w:r>
      <w:r>
        <w:rPr>
          <w:rFonts w:ascii="Arial"/>
          <w:color w:val="1C1C1C"/>
          <w:w w:val="110"/>
          <w:sz w:val="21"/>
        </w:rPr>
        <w:t>the</w:t>
      </w:r>
      <w:r>
        <w:rPr>
          <w:rFonts w:ascii="Arial"/>
          <w:color w:val="1C1C1C"/>
          <w:spacing w:val="4"/>
          <w:w w:val="110"/>
          <w:sz w:val="21"/>
        </w:rPr>
        <w:t xml:space="preserve"> </w:t>
      </w:r>
      <w:r>
        <w:rPr>
          <w:rFonts w:ascii="Arial"/>
          <w:color w:val="1C1C1C"/>
          <w:w w:val="110"/>
          <w:sz w:val="21"/>
        </w:rPr>
        <w:t xml:space="preserve">same </w:t>
      </w:r>
      <w:r>
        <w:rPr>
          <w:rFonts w:ascii="Arial"/>
          <w:color w:val="0C0C0C"/>
          <w:w w:val="110"/>
          <w:sz w:val="21"/>
        </w:rPr>
        <w:t>level</w:t>
      </w:r>
      <w:r>
        <w:rPr>
          <w:rFonts w:ascii="Arial"/>
          <w:color w:val="0C0C0C"/>
          <w:spacing w:val="-17"/>
          <w:w w:val="110"/>
          <w:sz w:val="21"/>
        </w:rPr>
        <w:t xml:space="preserve"> </w:t>
      </w:r>
      <w:r>
        <w:rPr>
          <w:rFonts w:ascii="Arial"/>
          <w:color w:val="1C1C1C"/>
          <w:w w:val="110"/>
          <w:sz w:val="21"/>
        </w:rPr>
        <w:t>of</w:t>
      </w:r>
      <w:r>
        <w:rPr>
          <w:rFonts w:ascii="Arial"/>
          <w:color w:val="1C1C1C"/>
          <w:spacing w:val="-16"/>
          <w:w w:val="110"/>
          <w:sz w:val="21"/>
        </w:rPr>
        <w:t xml:space="preserve"> </w:t>
      </w:r>
      <w:r>
        <w:rPr>
          <w:rFonts w:ascii="Arial"/>
          <w:color w:val="1C1C1C"/>
          <w:w w:val="110"/>
          <w:sz w:val="21"/>
        </w:rPr>
        <w:t>trade"</w:t>
      </w:r>
      <w:r>
        <w:rPr>
          <w:rFonts w:ascii="Arial"/>
          <w:color w:val="333333"/>
          <w:w w:val="110"/>
          <w:sz w:val="21"/>
        </w:rPr>
        <w:t>.</w:t>
      </w:r>
      <w:r>
        <w:rPr>
          <w:rFonts w:ascii="Times New Roman"/>
          <w:color w:val="333333"/>
          <w:w w:val="110"/>
          <w:position w:val="7"/>
          <w:sz w:val="15"/>
        </w:rPr>
        <w:t xml:space="preserve">681 </w:t>
      </w:r>
      <w:r>
        <w:rPr>
          <w:rFonts w:ascii="Arial"/>
          <w:color w:val="1C1C1C"/>
          <w:w w:val="110"/>
          <w:sz w:val="21"/>
        </w:rPr>
        <w:t>This</w:t>
      </w:r>
      <w:r>
        <w:rPr>
          <w:rFonts w:ascii="Arial"/>
          <w:color w:val="1C1C1C"/>
          <w:spacing w:val="-17"/>
          <w:w w:val="110"/>
          <w:sz w:val="21"/>
        </w:rPr>
        <w:t xml:space="preserve"> </w:t>
      </w:r>
      <w:r>
        <w:rPr>
          <w:rFonts w:ascii="Arial"/>
          <w:color w:val="1C1C1C"/>
          <w:w w:val="110"/>
          <w:sz w:val="21"/>
        </w:rPr>
        <w:t>assertion</w:t>
      </w:r>
      <w:r>
        <w:rPr>
          <w:rFonts w:ascii="Arial"/>
          <w:color w:val="1C1C1C"/>
          <w:spacing w:val="-9"/>
          <w:w w:val="110"/>
          <w:sz w:val="21"/>
        </w:rPr>
        <w:t xml:space="preserve"> </w:t>
      </w:r>
      <w:r>
        <w:rPr>
          <w:rFonts w:ascii="Arial"/>
          <w:color w:val="1C1C1C"/>
          <w:w w:val="110"/>
          <w:sz w:val="21"/>
        </w:rPr>
        <w:t>ignored</w:t>
      </w:r>
      <w:r>
        <w:rPr>
          <w:rFonts w:ascii="Arial"/>
          <w:color w:val="1C1C1C"/>
          <w:spacing w:val="-17"/>
          <w:w w:val="110"/>
          <w:sz w:val="21"/>
        </w:rPr>
        <w:t xml:space="preserve"> </w:t>
      </w:r>
      <w:r>
        <w:rPr>
          <w:rFonts w:ascii="Arial"/>
          <w:color w:val="1C1C1C"/>
          <w:w w:val="110"/>
          <w:sz w:val="21"/>
        </w:rPr>
        <w:t>significant</w:t>
      </w:r>
      <w:r>
        <w:rPr>
          <w:rFonts w:ascii="Arial"/>
          <w:color w:val="1C1C1C"/>
          <w:spacing w:val="-9"/>
          <w:w w:val="110"/>
          <w:sz w:val="21"/>
        </w:rPr>
        <w:t xml:space="preserve"> </w:t>
      </w:r>
      <w:r>
        <w:rPr>
          <w:rFonts w:ascii="Arial"/>
          <w:color w:val="1C1C1C"/>
          <w:w w:val="110"/>
          <w:sz w:val="21"/>
        </w:rPr>
        <w:t>evidence</w:t>
      </w:r>
      <w:r>
        <w:rPr>
          <w:rFonts w:ascii="Arial"/>
          <w:color w:val="1C1C1C"/>
          <w:spacing w:val="-17"/>
          <w:w w:val="110"/>
          <w:sz w:val="21"/>
        </w:rPr>
        <w:t xml:space="preserve"> </w:t>
      </w:r>
      <w:r>
        <w:rPr>
          <w:rFonts w:ascii="Arial"/>
          <w:color w:val="1C1C1C"/>
          <w:w w:val="110"/>
          <w:sz w:val="21"/>
        </w:rPr>
        <w:t>on</w:t>
      </w:r>
      <w:r>
        <w:rPr>
          <w:rFonts w:ascii="Arial"/>
          <w:color w:val="1C1C1C"/>
          <w:spacing w:val="-7"/>
          <w:w w:val="110"/>
          <w:sz w:val="21"/>
        </w:rPr>
        <w:t xml:space="preserve"> </w:t>
      </w:r>
      <w:r>
        <w:rPr>
          <w:rFonts w:ascii="Arial"/>
          <w:color w:val="0C0C0C"/>
          <w:w w:val="110"/>
          <w:sz w:val="21"/>
        </w:rPr>
        <w:t xml:space="preserve">the </w:t>
      </w:r>
      <w:r>
        <w:rPr>
          <w:rFonts w:ascii="Arial"/>
          <w:color w:val="1C1C1C"/>
          <w:w w:val="110"/>
          <w:sz w:val="21"/>
        </w:rPr>
        <w:t>record</w:t>
      </w:r>
      <w:r>
        <w:rPr>
          <w:rFonts w:ascii="Arial"/>
          <w:color w:val="1C1C1C"/>
          <w:spacing w:val="-17"/>
          <w:w w:val="110"/>
          <w:sz w:val="21"/>
        </w:rPr>
        <w:t xml:space="preserve"> </w:t>
      </w:r>
      <w:r>
        <w:rPr>
          <w:rFonts w:ascii="Arial"/>
          <w:color w:val="0C0C0C"/>
          <w:w w:val="110"/>
          <w:sz w:val="21"/>
        </w:rPr>
        <w:t>that</w:t>
      </w:r>
      <w:r>
        <w:rPr>
          <w:rFonts w:ascii="Arial"/>
          <w:color w:val="0C0C0C"/>
          <w:spacing w:val="-16"/>
          <w:w w:val="110"/>
          <w:sz w:val="21"/>
        </w:rPr>
        <w:t xml:space="preserve"> </w:t>
      </w:r>
      <w:r>
        <w:rPr>
          <w:rFonts w:ascii="Arial"/>
          <w:color w:val="1C1C1C"/>
          <w:w w:val="110"/>
          <w:sz w:val="21"/>
        </w:rPr>
        <w:t>established that</w:t>
      </w:r>
      <w:r>
        <w:rPr>
          <w:rFonts w:ascii="Arial"/>
          <w:color w:val="1C1C1C"/>
          <w:spacing w:val="-8"/>
          <w:w w:val="110"/>
          <w:sz w:val="21"/>
        </w:rPr>
        <w:t xml:space="preserve"> </w:t>
      </w:r>
      <w:r>
        <w:rPr>
          <w:rFonts w:ascii="Arial"/>
          <w:color w:val="1C1C1C"/>
          <w:w w:val="110"/>
          <w:sz w:val="21"/>
        </w:rPr>
        <w:t>sales</w:t>
      </w:r>
      <w:r>
        <w:rPr>
          <w:rFonts w:ascii="Arial"/>
          <w:color w:val="1C1C1C"/>
          <w:spacing w:val="-10"/>
          <w:w w:val="110"/>
          <w:sz w:val="21"/>
        </w:rPr>
        <w:t xml:space="preserve"> </w:t>
      </w:r>
      <w:r>
        <w:rPr>
          <w:rFonts w:ascii="Arial"/>
          <w:color w:val="1C1C1C"/>
          <w:w w:val="110"/>
          <w:sz w:val="21"/>
        </w:rPr>
        <w:t>of</w:t>
      </w:r>
      <w:r>
        <w:rPr>
          <w:rFonts w:ascii="Arial"/>
          <w:color w:val="1C1C1C"/>
          <w:spacing w:val="25"/>
          <w:w w:val="110"/>
          <w:sz w:val="21"/>
        </w:rPr>
        <w:t xml:space="preserve"> </w:t>
      </w:r>
      <w:r>
        <w:rPr>
          <w:rFonts w:ascii="Arial"/>
          <w:color w:val="1C1C1C"/>
          <w:w w:val="110"/>
          <w:sz w:val="21"/>
        </w:rPr>
        <w:t>subject imports</w:t>
      </w:r>
      <w:r>
        <w:rPr>
          <w:rFonts w:ascii="Arial"/>
          <w:color w:val="1C1C1C"/>
          <w:spacing w:val="-4"/>
          <w:w w:val="110"/>
          <w:sz w:val="21"/>
        </w:rPr>
        <w:t xml:space="preserve"> </w:t>
      </w:r>
      <w:r>
        <w:rPr>
          <w:rFonts w:ascii="Arial"/>
          <w:color w:val="1C1C1C"/>
          <w:w w:val="110"/>
          <w:sz w:val="21"/>
        </w:rPr>
        <w:t>and</w:t>
      </w:r>
      <w:r>
        <w:rPr>
          <w:rFonts w:ascii="Arial"/>
          <w:color w:val="1C1C1C"/>
          <w:spacing w:val="-12"/>
          <w:w w:val="110"/>
          <w:sz w:val="21"/>
        </w:rPr>
        <w:t xml:space="preserve"> </w:t>
      </w:r>
      <w:r>
        <w:rPr>
          <w:rFonts w:ascii="Arial"/>
          <w:color w:val="1C1C1C"/>
          <w:w w:val="110"/>
          <w:sz w:val="21"/>
        </w:rPr>
        <w:t>domestic like</w:t>
      </w:r>
      <w:r>
        <w:rPr>
          <w:rFonts w:ascii="Arial"/>
          <w:color w:val="1C1C1C"/>
          <w:spacing w:val="-6"/>
          <w:w w:val="110"/>
          <w:sz w:val="21"/>
        </w:rPr>
        <w:t xml:space="preserve"> </w:t>
      </w:r>
      <w:r>
        <w:rPr>
          <w:rFonts w:ascii="Arial"/>
          <w:color w:val="1C1C1C"/>
          <w:w w:val="110"/>
          <w:sz w:val="21"/>
        </w:rPr>
        <w:t>products</w:t>
      </w:r>
      <w:r>
        <w:rPr>
          <w:rFonts w:ascii="Arial"/>
          <w:color w:val="1C1C1C"/>
          <w:spacing w:val="-8"/>
          <w:w w:val="110"/>
          <w:sz w:val="21"/>
        </w:rPr>
        <w:t xml:space="preserve"> </w:t>
      </w:r>
      <w:r>
        <w:rPr>
          <w:rFonts w:ascii="Arial"/>
          <w:color w:val="1C1C1C"/>
          <w:w w:val="110"/>
          <w:sz w:val="21"/>
        </w:rPr>
        <w:t>occurred</w:t>
      </w:r>
      <w:r>
        <w:rPr>
          <w:rFonts w:ascii="Arial"/>
          <w:color w:val="1C1C1C"/>
          <w:spacing w:val="-1"/>
          <w:w w:val="110"/>
          <w:sz w:val="21"/>
        </w:rPr>
        <w:t xml:space="preserve"> </w:t>
      </w:r>
      <w:r>
        <w:rPr>
          <w:rFonts w:ascii="Arial"/>
          <w:color w:val="1C1C1C"/>
          <w:w w:val="110"/>
          <w:sz w:val="21"/>
        </w:rPr>
        <w:t xml:space="preserve">at different </w:t>
      </w:r>
      <w:r>
        <w:rPr>
          <w:rFonts w:ascii="Arial"/>
          <w:color w:val="0C0C0C"/>
          <w:w w:val="110"/>
          <w:sz w:val="21"/>
        </w:rPr>
        <w:t>trade</w:t>
      </w:r>
      <w:r>
        <w:rPr>
          <w:rFonts w:ascii="Arial"/>
          <w:color w:val="0C0C0C"/>
          <w:spacing w:val="-2"/>
          <w:w w:val="110"/>
          <w:sz w:val="21"/>
        </w:rPr>
        <w:t xml:space="preserve"> </w:t>
      </w:r>
      <w:r>
        <w:rPr>
          <w:rFonts w:ascii="Arial"/>
          <w:color w:val="0C0C0C"/>
          <w:w w:val="110"/>
          <w:sz w:val="21"/>
        </w:rPr>
        <w:t xml:space="preserve">levels, </w:t>
      </w:r>
      <w:r>
        <w:rPr>
          <w:rFonts w:ascii="Arial"/>
          <w:color w:val="1C1C1C"/>
          <w:w w:val="105"/>
          <w:sz w:val="21"/>
        </w:rPr>
        <w:t>such as</w:t>
      </w:r>
      <w:r>
        <w:rPr>
          <w:rFonts w:ascii="Arial"/>
          <w:color w:val="1C1C1C"/>
          <w:spacing w:val="-1"/>
          <w:w w:val="105"/>
          <w:sz w:val="21"/>
        </w:rPr>
        <w:t xml:space="preserve"> </w:t>
      </w:r>
      <w:r>
        <w:rPr>
          <w:rFonts w:ascii="Arial"/>
          <w:color w:val="1C1C1C"/>
          <w:w w:val="105"/>
          <w:sz w:val="21"/>
        </w:rPr>
        <w:t xml:space="preserve">wholesalers, </w:t>
      </w:r>
      <w:r>
        <w:rPr>
          <w:rFonts w:ascii="Arial"/>
          <w:color w:val="0C0C0C"/>
          <w:w w:val="105"/>
          <w:sz w:val="21"/>
        </w:rPr>
        <w:t xml:space="preserve">distributors </w:t>
      </w:r>
      <w:r>
        <w:rPr>
          <w:rFonts w:ascii="Arial"/>
          <w:color w:val="1C1C1C"/>
          <w:w w:val="105"/>
          <w:sz w:val="21"/>
        </w:rPr>
        <w:t>and</w:t>
      </w:r>
      <w:r>
        <w:rPr>
          <w:rFonts w:ascii="Arial"/>
          <w:color w:val="1C1C1C"/>
          <w:spacing w:val="-1"/>
          <w:w w:val="105"/>
          <w:sz w:val="21"/>
        </w:rPr>
        <w:t xml:space="preserve"> </w:t>
      </w:r>
      <w:r>
        <w:rPr>
          <w:rFonts w:ascii="Arial"/>
          <w:color w:val="1C1C1C"/>
          <w:w w:val="105"/>
          <w:sz w:val="21"/>
        </w:rPr>
        <w:t>retail</w:t>
      </w:r>
      <w:r>
        <w:rPr>
          <w:rFonts w:ascii="Arial"/>
          <w:color w:val="1C1C1C"/>
          <w:spacing w:val="-6"/>
          <w:w w:val="105"/>
          <w:sz w:val="21"/>
        </w:rPr>
        <w:t xml:space="preserve"> </w:t>
      </w:r>
      <w:r>
        <w:rPr>
          <w:rFonts w:ascii="Arial"/>
          <w:color w:val="1C1C1C"/>
          <w:w w:val="105"/>
          <w:sz w:val="21"/>
        </w:rPr>
        <w:t>consumers.</w:t>
      </w:r>
      <w:r>
        <w:rPr>
          <w:rFonts w:ascii="Arial"/>
          <w:color w:val="1C1C1C"/>
          <w:spacing w:val="-2"/>
          <w:w w:val="105"/>
          <w:sz w:val="21"/>
        </w:rPr>
        <w:t xml:space="preserve"> </w:t>
      </w:r>
      <w:r>
        <w:rPr>
          <w:rFonts w:ascii="Arial"/>
          <w:color w:val="1C1C1C"/>
          <w:w w:val="105"/>
          <w:sz w:val="21"/>
        </w:rPr>
        <w:t>This evidence is summarised below.</w:t>
      </w:r>
    </w:p>
    <w:p w14:paraId="51DE8F20" w14:textId="77777777" w:rsidR="0010369C" w:rsidRDefault="008E43AE">
      <w:pPr>
        <w:pStyle w:val="ListParagraph"/>
        <w:numPr>
          <w:ilvl w:val="0"/>
          <w:numId w:val="54"/>
        </w:numPr>
        <w:tabs>
          <w:tab w:val="left" w:pos="1092"/>
        </w:tabs>
        <w:spacing w:before="182" w:line="427" w:lineRule="auto"/>
        <w:ind w:left="245" w:right="572" w:hanging="10"/>
        <w:jc w:val="both"/>
        <w:rPr>
          <w:rFonts w:ascii="Arial"/>
          <w:color w:val="1C1C1C"/>
          <w:sz w:val="21"/>
        </w:rPr>
      </w:pPr>
      <w:r>
        <w:rPr>
          <w:noProof/>
        </w:rPr>
        <w:drawing>
          <wp:anchor distT="0" distB="0" distL="0" distR="0" simplePos="0" relativeHeight="251213312" behindDoc="1" locked="0" layoutInCell="1" allowOverlap="1" wp14:anchorId="51DEA4AF" wp14:editId="51DEA4B0">
            <wp:simplePos x="0" y="0"/>
            <wp:positionH relativeFrom="page">
              <wp:posOffset>891988</wp:posOffset>
            </wp:positionH>
            <wp:positionV relativeFrom="paragraph">
              <wp:posOffset>838968</wp:posOffset>
            </wp:positionV>
            <wp:extent cx="5797923" cy="566492"/>
            <wp:effectExtent l="0" t="0" r="0" b="0"/>
            <wp:wrapNone/>
            <wp:docPr id="1169" name="image6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 name="image604.png"/>
                    <pic:cNvPicPr/>
                  </pic:nvPicPr>
                  <pic:blipFill>
                    <a:blip r:embed="rId792" cstate="print"/>
                    <a:stretch>
                      <a:fillRect/>
                    </a:stretch>
                  </pic:blipFill>
                  <pic:spPr>
                    <a:xfrm>
                      <a:off x="0" y="0"/>
                      <a:ext cx="5797923" cy="566492"/>
                    </a:xfrm>
                    <a:prstGeom prst="rect">
                      <a:avLst/>
                    </a:prstGeom>
                  </pic:spPr>
                </pic:pic>
              </a:graphicData>
            </a:graphic>
          </wp:anchor>
        </w:drawing>
      </w:r>
      <w:r>
        <w:rPr>
          <w:rFonts w:ascii="Arial"/>
          <w:color w:val="1C1C1C"/>
          <w:w w:val="110"/>
          <w:sz w:val="21"/>
        </w:rPr>
        <w:t xml:space="preserve">During the investigation, Treasury Wines informed </w:t>
      </w:r>
      <w:r>
        <w:rPr>
          <w:rFonts w:ascii="Arial"/>
          <w:color w:val="0C0C0C"/>
          <w:w w:val="110"/>
          <w:sz w:val="21"/>
        </w:rPr>
        <w:t xml:space="preserve">MOFCOM </w:t>
      </w:r>
      <w:r>
        <w:rPr>
          <w:rFonts w:ascii="Arial"/>
          <w:color w:val="1C1C1C"/>
          <w:w w:val="110"/>
          <w:sz w:val="21"/>
        </w:rPr>
        <w:t xml:space="preserve">that </w:t>
      </w:r>
      <w:r>
        <w:rPr>
          <w:rFonts w:ascii="Arial"/>
          <w:color w:val="0C0C0C"/>
          <w:w w:val="110"/>
          <w:sz w:val="21"/>
        </w:rPr>
        <w:t xml:space="preserve">there </w:t>
      </w:r>
      <w:r>
        <w:rPr>
          <w:rFonts w:ascii="Arial"/>
          <w:color w:val="1C1C1C"/>
          <w:w w:val="110"/>
          <w:sz w:val="21"/>
        </w:rPr>
        <w:t>were</w:t>
      </w:r>
      <w:r>
        <w:rPr>
          <w:rFonts w:ascii="Arial"/>
          <w:color w:val="1C1C1C"/>
          <w:spacing w:val="-12"/>
          <w:w w:val="110"/>
          <w:sz w:val="21"/>
        </w:rPr>
        <w:t xml:space="preserve"> </w:t>
      </w:r>
      <w:r>
        <w:rPr>
          <w:rFonts w:ascii="Arial"/>
          <w:color w:val="1C1C1C"/>
          <w:w w:val="110"/>
          <w:sz w:val="21"/>
        </w:rPr>
        <w:t>"diverse channels for</w:t>
      </w:r>
      <w:r>
        <w:rPr>
          <w:rFonts w:ascii="Arial"/>
          <w:color w:val="1C1C1C"/>
          <w:spacing w:val="40"/>
          <w:w w:val="110"/>
          <w:sz w:val="21"/>
        </w:rPr>
        <w:t xml:space="preserve"> </w:t>
      </w:r>
      <w:r>
        <w:rPr>
          <w:rFonts w:ascii="Arial"/>
          <w:color w:val="1C1C1C"/>
          <w:w w:val="110"/>
          <w:sz w:val="21"/>
        </w:rPr>
        <w:t xml:space="preserve">exporting wines </w:t>
      </w:r>
      <w:r>
        <w:rPr>
          <w:rFonts w:ascii="Arial"/>
          <w:color w:val="0C0C0C"/>
          <w:w w:val="110"/>
          <w:sz w:val="21"/>
        </w:rPr>
        <w:t>to</w:t>
      </w:r>
      <w:r>
        <w:rPr>
          <w:rFonts w:ascii="Arial"/>
          <w:color w:val="0C0C0C"/>
          <w:spacing w:val="40"/>
          <w:w w:val="110"/>
          <w:sz w:val="21"/>
        </w:rPr>
        <w:t xml:space="preserve"> </w:t>
      </w:r>
      <w:r>
        <w:rPr>
          <w:rFonts w:ascii="Arial"/>
          <w:color w:val="1C1C1C"/>
          <w:w w:val="110"/>
          <w:sz w:val="21"/>
        </w:rPr>
        <w:t>China", including "direct sales"</w:t>
      </w:r>
      <w:r>
        <w:rPr>
          <w:rFonts w:ascii="Arial"/>
          <w:color w:val="1C1C1C"/>
          <w:spacing w:val="33"/>
          <w:w w:val="110"/>
          <w:sz w:val="21"/>
        </w:rPr>
        <w:t xml:space="preserve"> </w:t>
      </w:r>
      <w:r>
        <w:rPr>
          <w:rFonts w:ascii="Arial"/>
          <w:color w:val="1C1C1C"/>
          <w:w w:val="110"/>
          <w:sz w:val="21"/>
        </w:rPr>
        <w:t>and "via trading</w:t>
      </w:r>
    </w:p>
    <w:p w14:paraId="51DE8F21" w14:textId="77777777" w:rsidR="0010369C" w:rsidRDefault="0010369C">
      <w:pPr>
        <w:pStyle w:val="BodyText"/>
        <w:rPr>
          <w:rFonts w:ascii="Arial"/>
        </w:rPr>
      </w:pPr>
    </w:p>
    <w:p w14:paraId="51DE8F22" w14:textId="77777777" w:rsidR="0010369C" w:rsidRDefault="0010369C">
      <w:pPr>
        <w:pStyle w:val="BodyText"/>
        <w:rPr>
          <w:rFonts w:ascii="Arial"/>
        </w:rPr>
      </w:pPr>
    </w:p>
    <w:p w14:paraId="51DE8F23" w14:textId="77777777" w:rsidR="0010369C" w:rsidRDefault="0010369C">
      <w:pPr>
        <w:pStyle w:val="BodyText"/>
        <w:rPr>
          <w:rFonts w:ascii="Arial"/>
        </w:rPr>
      </w:pPr>
    </w:p>
    <w:p w14:paraId="51DE8F24" w14:textId="77777777" w:rsidR="0010369C" w:rsidRDefault="0010369C">
      <w:pPr>
        <w:pStyle w:val="BodyText"/>
        <w:spacing w:before="2"/>
        <w:rPr>
          <w:rFonts w:ascii="Arial"/>
          <w:sz w:val="21"/>
        </w:rPr>
      </w:pPr>
    </w:p>
    <w:p w14:paraId="51DE8F25" w14:textId="77777777" w:rsidR="0010369C" w:rsidRDefault="008E43AE">
      <w:pPr>
        <w:ind w:right="4823"/>
        <w:jc w:val="right"/>
        <w:rPr>
          <w:rFonts w:ascii="Arial"/>
          <w:sz w:val="16"/>
        </w:rPr>
      </w:pPr>
      <w:r>
        <w:rPr>
          <w:rFonts w:ascii="Arial"/>
          <w:color w:val="1C1C1C"/>
          <w:sz w:val="16"/>
        </w:rPr>
        <w:t>Panel</w:t>
      </w:r>
      <w:r>
        <w:rPr>
          <w:rFonts w:ascii="Arial"/>
          <w:color w:val="1C1C1C"/>
          <w:spacing w:val="8"/>
          <w:sz w:val="16"/>
        </w:rPr>
        <w:t xml:space="preserve"> </w:t>
      </w:r>
      <w:r>
        <w:rPr>
          <w:rFonts w:ascii="Arial"/>
          <w:color w:val="1C1C1C"/>
          <w:sz w:val="16"/>
        </w:rPr>
        <w:t xml:space="preserve">Report, </w:t>
      </w:r>
      <w:r>
        <w:rPr>
          <w:rFonts w:ascii="Arial"/>
          <w:i/>
          <w:color w:val="1C1C1C"/>
          <w:sz w:val="16"/>
        </w:rPr>
        <w:t>China</w:t>
      </w:r>
      <w:r>
        <w:rPr>
          <w:rFonts w:ascii="Arial"/>
          <w:i/>
          <w:color w:val="1C1C1C"/>
          <w:spacing w:val="-4"/>
          <w:sz w:val="16"/>
        </w:rPr>
        <w:t xml:space="preserve"> </w:t>
      </w:r>
      <w:r>
        <w:rPr>
          <w:rFonts w:ascii="Arial"/>
          <w:i/>
          <w:color w:val="1C1C1C"/>
          <w:sz w:val="16"/>
        </w:rPr>
        <w:t>-Broiler</w:t>
      </w:r>
      <w:r>
        <w:rPr>
          <w:rFonts w:ascii="Arial"/>
          <w:i/>
          <w:color w:val="1C1C1C"/>
          <w:spacing w:val="17"/>
          <w:sz w:val="16"/>
        </w:rPr>
        <w:t xml:space="preserve"> </w:t>
      </w:r>
      <w:r>
        <w:rPr>
          <w:rFonts w:ascii="Arial"/>
          <w:i/>
          <w:color w:val="1C1C1C"/>
          <w:sz w:val="16"/>
        </w:rPr>
        <w:t>Products</w:t>
      </w:r>
      <w:r>
        <w:rPr>
          <w:rFonts w:ascii="Arial"/>
          <w:i/>
          <w:color w:val="1C1C1C"/>
          <w:spacing w:val="15"/>
          <w:sz w:val="16"/>
        </w:rPr>
        <w:t xml:space="preserve"> </w:t>
      </w:r>
      <w:r>
        <w:rPr>
          <w:rFonts w:ascii="Arial"/>
          <w:i/>
          <w:color w:val="333333"/>
          <w:sz w:val="16"/>
        </w:rPr>
        <w:t>{US),</w:t>
      </w:r>
      <w:r>
        <w:rPr>
          <w:rFonts w:ascii="Arial"/>
          <w:i/>
          <w:color w:val="333333"/>
          <w:spacing w:val="-8"/>
          <w:sz w:val="16"/>
        </w:rPr>
        <w:t xml:space="preserve"> </w:t>
      </w:r>
      <w:r>
        <w:rPr>
          <w:rFonts w:ascii="Arial"/>
          <w:color w:val="1C1C1C"/>
          <w:sz w:val="16"/>
        </w:rPr>
        <w:t>paras.</w:t>
      </w:r>
      <w:r>
        <w:rPr>
          <w:rFonts w:ascii="Arial"/>
          <w:color w:val="1C1C1C"/>
          <w:spacing w:val="14"/>
          <w:sz w:val="16"/>
        </w:rPr>
        <w:t xml:space="preserve"> </w:t>
      </w:r>
      <w:r>
        <w:rPr>
          <w:rFonts w:ascii="Arial"/>
          <w:color w:val="1C1C1C"/>
          <w:sz w:val="16"/>
        </w:rPr>
        <w:t>7.481-</w:t>
      </w:r>
      <w:r>
        <w:rPr>
          <w:rFonts w:ascii="Arial"/>
          <w:color w:val="1C1C1C"/>
          <w:spacing w:val="-2"/>
          <w:sz w:val="16"/>
        </w:rPr>
        <w:t>7.483.</w:t>
      </w:r>
    </w:p>
    <w:p w14:paraId="51DE8F26" w14:textId="77777777" w:rsidR="0010369C" w:rsidRDefault="008E43AE">
      <w:pPr>
        <w:spacing w:before="15"/>
        <w:ind w:right="4765"/>
        <w:jc w:val="right"/>
        <w:rPr>
          <w:rFonts w:ascii="Arial"/>
          <w:sz w:val="16"/>
        </w:rPr>
      </w:pPr>
      <w:r>
        <w:rPr>
          <w:rFonts w:ascii="Times New Roman"/>
          <w:color w:val="333333"/>
          <w:position w:val="5"/>
          <w:sz w:val="12"/>
        </w:rPr>
        <w:t>681</w:t>
      </w:r>
      <w:r>
        <w:rPr>
          <w:rFonts w:ascii="Times New Roman"/>
          <w:color w:val="333333"/>
          <w:spacing w:val="25"/>
          <w:position w:val="5"/>
          <w:sz w:val="12"/>
        </w:rPr>
        <w:t xml:space="preserve"> </w:t>
      </w:r>
      <w:r>
        <w:rPr>
          <w:rFonts w:ascii="Arial"/>
          <w:color w:val="1C1C1C"/>
          <w:sz w:val="16"/>
        </w:rPr>
        <w:t>Anti-Dumping</w:t>
      </w:r>
      <w:r>
        <w:rPr>
          <w:rFonts w:ascii="Arial"/>
          <w:color w:val="1C1C1C"/>
          <w:spacing w:val="12"/>
          <w:sz w:val="16"/>
        </w:rPr>
        <w:t xml:space="preserve"> </w:t>
      </w:r>
      <w:r>
        <w:rPr>
          <w:rFonts w:ascii="Arial"/>
          <w:color w:val="1C1C1C"/>
          <w:sz w:val="16"/>
        </w:rPr>
        <w:t>Final</w:t>
      </w:r>
      <w:r>
        <w:rPr>
          <w:rFonts w:ascii="Arial"/>
          <w:color w:val="1C1C1C"/>
          <w:spacing w:val="-1"/>
          <w:sz w:val="16"/>
        </w:rPr>
        <w:t xml:space="preserve"> </w:t>
      </w:r>
      <w:r>
        <w:rPr>
          <w:rFonts w:ascii="Arial"/>
          <w:color w:val="1C1C1C"/>
          <w:sz w:val="16"/>
        </w:rPr>
        <w:t>Determination</w:t>
      </w:r>
      <w:r>
        <w:rPr>
          <w:rFonts w:ascii="Arial"/>
          <w:color w:val="1C1C1C"/>
          <w:spacing w:val="6"/>
          <w:sz w:val="16"/>
        </w:rPr>
        <w:t xml:space="preserve"> </w:t>
      </w:r>
      <w:r>
        <w:rPr>
          <w:rFonts w:ascii="Arial"/>
          <w:color w:val="1C1C1C"/>
          <w:sz w:val="16"/>
        </w:rPr>
        <w:t>(Exhibit</w:t>
      </w:r>
      <w:r>
        <w:rPr>
          <w:rFonts w:ascii="Arial"/>
          <w:color w:val="1C1C1C"/>
          <w:spacing w:val="12"/>
          <w:sz w:val="16"/>
        </w:rPr>
        <w:t xml:space="preserve"> </w:t>
      </w:r>
      <w:r>
        <w:rPr>
          <w:rFonts w:ascii="Arial"/>
          <w:color w:val="1C1C1C"/>
          <w:sz w:val="16"/>
        </w:rPr>
        <w:t>AUS-2),</w:t>
      </w:r>
      <w:r>
        <w:rPr>
          <w:rFonts w:ascii="Arial"/>
          <w:color w:val="1C1C1C"/>
          <w:spacing w:val="8"/>
          <w:sz w:val="16"/>
        </w:rPr>
        <w:t xml:space="preserve"> </w:t>
      </w:r>
      <w:r>
        <w:rPr>
          <w:rFonts w:ascii="Arial"/>
          <w:color w:val="0C0C0C"/>
          <w:sz w:val="16"/>
        </w:rPr>
        <w:t>pp.</w:t>
      </w:r>
      <w:r>
        <w:rPr>
          <w:rFonts w:ascii="Arial"/>
          <w:color w:val="0C0C0C"/>
          <w:spacing w:val="36"/>
          <w:sz w:val="16"/>
        </w:rPr>
        <w:t xml:space="preserve"> </w:t>
      </w:r>
      <w:r>
        <w:rPr>
          <w:rFonts w:ascii="Arial"/>
          <w:color w:val="1C1C1C"/>
          <w:sz w:val="16"/>
        </w:rPr>
        <w:t>112-</w:t>
      </w:r>
      <w:r>
        <w:rPr>
          <w:rFonts w:ascii="Arial"/>
          <w:color w:val="1C1C1C"/>
          <w:spacing w:val="-4"/>
          <w:sz w:val="16"/>
        </w:rPr>
        <w:t>113.</w:t>
      </w:r>
    </w:p>
    <w:p w14:paraId="51DE8F27" w14:textId="77777777" w:rsidR="0010369C" w:rsidRDefault="0010369C">
      <w:pPr>
        <w:jc w:val="right"/>
        <w:rPr>
          <w:rFonts w:ascii="Arial"/>
          <w:sz w:val="16"/>
        </w:rPr>
        <w:sectPr w:rsidR="0010369C">
          <w:type w:val="continuous"/>
          <w:pgSz w:w="11910" w:h="16840"/>
          <w:pgMar w:top="1460" w:right="800" w:bottom="280" w:left="1180" w:header="491" w:footer="826" w:gutter="0"/>
          <w:cols w:space="720"/>
        </w:sectPr>
      </w:pPr>
    </w:p>
    <w:p w14:paraId="51DE8F28" w14:textId="77777777" w:rsidR="0010369C" w:rsidRDefault="008E43AE">
      <w:pPr>
        <w:spacing w:before="21" w:line="290" w:lineRule="auto"/>
        <w:ind w:left="235" w:hanging="8"/>
        <w:rPr>
          <w:rFonts w:ascii="Arial"/>
          <w:sz w:val="18"/>
        </w:rPr>
      </w:pPr>
      <w:r>
        <w:rPr>
          <w:rFonts w:ascii="Arial"/>
          <w:i/>
          <w:color w:val="212121"/>
          <w:spacing w:val="-2"/>
          <w:w w:val="105"/>
          <w:sz w:val="18"/>
        </w:rPr>
        <w:lastRenderedPageBreak/>
        <w:t>China</w:t>
      </w:r>
      <w:r>
        <w:rPr>
          <w:rFonts w:ascii="Arial"/>
          <w:i/>
          <w:color w:val="212121"/>
          <w:spacing w:val="-17"/>
          <w:w w:val="105"/>
          <w:sz w:val="18"/>
        </w:rPr>
        <w:t xml:space="preserve"> </w:t>
      </w:r>
      <w:r>
        <w:rPr>
          <w:rFonts w:ascii="Arial"/>
          <w:color w:val="212121"/>
          <w:spacing w:val="-2"/>
          <w:w w:val="105"/>
          <w:sz w:val="18"/>
        </w:rPr>
        <w:t>-</w:t>
      </w:r>
      <w:r>
        <w:rPr>
          <w:rFonts w:ascii="Arial"/>
          <w:color w:val="212121"/>
          <w:spacing w:val="19"/>
          <w:w w:val="105"/>
          <w:sz w:val="18"/>
        </w:rPr>
        <w:t xml:space="preserve"> </w:t>
      </w:r>
      <w:r>
        <w:rPr>
          <w:rFonts w:ascii="Arial"/>
          <w:i/>
          <w:color w:val="0E0E0E"/>
          <w:spacing w:val="-2"/>
          <w:w w:val="105"/>
          <w:sz w:val="18"/>
        </w:rPr>
        <w:t>Anti-Dumping</w:t>
      </w:r>
      <w:r>
        <w:rPr>
          <w:rFonts w:ascii="Arial"/>
          <w:i/>
          <w:color w:val="0E0E0E"/>
          <w:spacing w:val="-9"/>
          <w:w w:val="105"/>
          <w:sz w:val="18"/>
        </w:rPr>
        <w:t xml:space="preserve"> </w:t>
      </w:r>
      <w:r>
        <w:rPr>
          <w:rFonts w:ascii="Arial"/>
          <w:i/>
          <w:color w:val="212121"/>
          <w:spacing w:val="-2"/>
          <w:w w:val="105"/>
          <w:sz w:val="18"/>
        </w:rPr>
        <w:t>and</w:t>
      </w:r>
      <w:r>
        <w:rPr>
          <w:rFonts w:ascii="Arial"/>
          <w:i/>
          <w:color w:val="212121"/>
          <w:spacing w:val="-26"/>
          <w:w w:val="105"/>
          <w:sz w:val="18"/>
        </w:rPr>
        <w:t xml:space="preserve"> </w:t>
      </w:r>
      <w:r>
        <w:rPr>
          <w:rFonts w:ascii="Arial"/>
          <w:i/>
          <w:color w:val="212121"/>
          <w:spacing w:val="-2"/>
          <w:w w:val="105"/>
          <w:sz w:val="18"/>
        </w:rPr>
        <w:t>Countervailing</w:t>
      </w:r>
      <w:r>
        <w:rPr>
          <w:rFonts w:ascii="Arial"/>
          <w:i/>
          <w:color w:val="212121"/>
          <w:spacing w:val="-11"/>
          <w:w w:val="105"/>
          <w:sz w:val="18"/>
        </w:rPr>
        <w:t xml:space="preserve"> </w:t>
      </w:r>
      <w:r>
        <w:rPr>
          <w:rFonts w:ascii="Arial"/>
          <w:i/>
          <w:color w:val="212121"/>
          <w:spacing w:val="-2"/>
          <w:w w:val="105"/>
          <w:sz w:val="18"/>
        </w:rPr>
        <w:t>Duty</w:t>
      </w:r>
      <w:r>
        <w:rPr>
          <w:rFonts w:ascii="Arial"/>
          <w:i/>
          <w:color w:val="212121"/>
          <w:spacing w:val="-16"/>
          <w:w w:val="105"/>
          <w:sz w:val="18"/>
        </w:rPr>
        <w:t xml:space="preserve"> </w:t>
      </w:r>
      <w:r>
        <w:rPr>
          <w:rFonts w:ascii="Arial"/>
          <w:i/>
          <w:color w:val="0E0E0E"/>
          <w:spacing w:val="-2"/>
          <w:w w:val="105"/>
          <w:sz w:val="18"/>
        </w:rPr>
        <w:t xml:space="preserve">Measures </w:t>
      </w:r>
      <w:r>
        <w:rPr>
          <w:rFonts w:ascii="Arial"/>
          <w:i/>
          <w:color w:val="212121"/>
          <w:w w:val="105"/>
          <w:sz w:val="18"/>
        </w:rPr>
        <w:t>on</w:t>
      </w:r>
      <w:r>
        <w:rPr>
          <w:rFonts w:ascii="Arial"/>
          <w:i/>
          <w:color w:val="212121"/>
          <w:spacing w:val="-11"/>
          <w:w w:val="105"/>
          <w:sz w:val="18"/>
        </w:rPr>
        <w:t xml:space="preserve"> </w:t>
      </w:r>
      <w:r>
        <w:rPr>
          <w:rFonts w:ascii="Arial"/>
          <w:i/>
          <w:color w:val="212121"/>
          <w:w w:val="105"/>
          <w:sz w:val="18"/>
        </w:rPr>
        <w:t xml:space="preserve">Winefrom Australia </w:t>
      </w:r>
      <w:r>
        <w:rPr>
          <w:rFonts w:ascii="Arial"/>
          <w:color w:val="212121"/>
          <w:w w:val="105"/>
          <w:sz w:val="18"/>
        </w:rPr>
        <w:t>(0S602)</w:t>
      </w:r>
    </w:p>
    <w:p w14:paraId="51DE8F29" w14:textId="77777777" w:rsidR="0010369C" w:rsidRDefault="008E43AE">
      <w:pPr>
        <w:spacing w:before="21"/>
        <w:ind w:right="586"/>
        <w:jc w:val="right"/>
        <w:rPr>
          <w:rFonts w:ascii="Arial"/>
          <w:sz w:val="18"/>
        </w:rPr>
      </w:pPr>
      <w:r>
        <w:br w:type="column"/>
      </w:r>
      <w:r>
        <w:rPr>
          <w:rFonts w:ascii="Arial"/>
          <w:color w:val="212121"/>
          <w:sz w:val="18"/>
        </w:rPr>
        <w:t>Australia's</w:t>
      </w:r>
      <w:r>
        <w:rPr>
          <w:rFonts w:ascii="Arial"/>
          <w:color w:val="212121"/>
          <w:spacing w:val="22"/>
          <w:sz w:val="18"/>
        </w:rPr>
        <w:t xml:space="preserve"> </w:t>
      </w:r>
      <w:r>
        <w:rPr>
          <w:rFonts w:ascii="Arial"/>
          <w:color w:val="0E0E0E"/>
          <w:sz w:val="18"/>
        </w:rPr>
        <w:t>First</w:t>
      </w:r>
      <w:r>
        <w:rPr>
          <w:rFonts w:ascii="Arial"/>
          <w:color w:val="0E0E0E"/>
          <w:spacing w:val="18"/>
          <w:sz w:val="18"/>
        </w:rPr>
        <w:t xml:space="preserve"> </w:t>
      </w:r>
      <w:r>
        <w:rPr>
          <w:rFonts w:ascii="Arial"/>
          <w:color w:val="212121"/>
          <w:sz w:val="18"/>
        </w:rPr>
        <w:t>Written</w:t>
      </w:r>
      <w:r>
        <w:rPr>
          <w:rFonts w:ascii="Arial"/>
          <w:color w:val="212121"/>
          <w:spacing w:val="8"/>
          <w:sz w:val="18"/>
        </w:rPr>
        <w:t xml:space="preserve"> </w:t>
      </w:r>
      <w:r>
        <w:rPr>
          <w:rFonts w:ascii="Arial"/>
          <w:color w:val="212121"/>
          <w:spacing w:val="-2"/>
          <w:sz w:val="18"/>
        </w:rPr>
        <w:t>Submission</w:t>
      </w:r>
    </w:p>
    <w:p w14:paraId="51DE8F2A" w14:textId="77777777" w:rsidR="0010369C" w:rsidRDefault="008E43AE">
      <w:pPr>
        <w:spacing w:before="44"/>
        <w:ind w:right="573"/>
        <w:jc w:val="right"/>
        <w:rPr>
          <w:rFonts w:ascii="Arial"/>
          <w:sz w:val="18"/>
        </w:rPr>
      </w:pPr>
      <w:r>
        <w:rPr>
          <w:rFonts w:ascii="Arial"/>
          <w:color w:val="212121"/>
          <w:spacing w:val="-2"/>
          <w:w w:val="110"/>
          <w:sz w:val="18"/>
        </w:rPr>
        <w:t>29</w:t>
      </w:r>
      <w:r>
        <w:rPr>
          <w:rFonts w:ascii="Arial"/>
          <w:color w:val="212121"/>
          <w:spacing w:val="-29"/>
          <w:w w:val="110"/>
          <w:sz w:val="18"/>
        </w:rPr>
        <w:t xml:space="preserve"> </w:t>
      </w:r>
      <w:r>
        <w:rPr>
          <w:rFonts w:ascii="Arial"/>
          <w:color w:val="212121"/>
          <w:spacing w:val="-2"/>
          <w:w w:val="110"/>
          <w:sz w:val="18"/>
        </w:rPr>
        <w:t>April</w:t>
      </w:r>
      <w:r>
        <w:rPr>
          <w:rFonts w:ascii="Arial"/>
          <w:color w:val="212121"/>
          <w:spacing w:val="-10"/>
          <w:w w:val="110"/>
          <w:sz w:val="18"/>
        </w:rPr>
        <w:t xml:space="preserve"> </w:t>
      </w:r>
      <w:r>
        <w:rPr>
          <w:rFonts w:ascii="Arial"/>
          <w:color w:val="212121"/>
          <w:spacing w:val="-4"/>
          <w:w w:val="110"/>
          <w:sz w:val="18"/>
        </w:rPr>
        <w:t>2022</w:t>
      </w:r>
    </w:p>
    <w:p w14:paraId="51DE8F2B" w14:textId="77777777" w:rsidR="0010369C" w:rsidRDefault="0010369C">
      <w:pPr>
        <w:jc w:val="right"/>
        <w:rPr>
          <w:rFonts w:ascii="Arial"/>
          <w:sz w:val="18"/>
        </w:rPr>
        <w:sectPr w:rsidR="0010369C">
          <w:pgSz w:w="11910" w:h="16840"/>
          <w:pgMar w:top="820" w:right="800" w:bottom="1020" w:left="1180" w:header="491" w:footer="826" w:gutter="0"/>
          <w:cols w:num="2" w:space="720" w:equalWidth="0">
            <w:col w:w="4912" w:space="1306"/>
            <w:col w:w="3712"/>
          </w:cols>
        </w:sectPr>
      </w:pPr>
    </w:p>
    <w:p w14:paraId="51DE8F2C" w14:textId="77777777" w:rsidR="0010369C" w:rsidRDefault="0010369C">
      <w:pPr>
        <w:pStyle w:val="BodyText"/>
        <w:spacing w:before="2"/>
        <w:rPr>
          <w:rFonts w:ascii="Arial"/>
          <w:sz w:val="2"/>
        </w:rPr>
      </w:pPr>
    </w:p>
    <w:p w14:paraId="51DE8F2D" w14:textId="77777777" w:rsidR="0010369C" w:rsidRDefault="008E43AE">
      <w:pPr>
        <w:pStyle w:val="BodyText"/>
        <w:ind w:left="224"/>
        <w:rPr>
          <w:rFonts w:ascii="Arial"/>
          <w:sz w:val="20"/>
        </w:rPr>
      </w:pPr>
      <w:r>
        <w:rPr>
          <w:rFonts w:ascii="Arial"/>
          <w:sz w:val="20"/>
        </w:rPr>
      </w:r>
      <w:r>
        <w:rPr>
          <w:rFonts w:ascii="Arial"/>
          <w:sz w:val="20"/>
        </w:rPr>
        <w:pict w14:anchorId="51DEA4B2">
          <v:group id="docshapegroup1074" o:spid="_x0000_s1305" style="width:460.55pt;height:125.5pt;mso-position-horizontal-relative:char;mso-position-vertical-relative:line" coordsize="9211,2510">
            <v:shape id="docshape1075" o:spid="_x0000_s1307" type="#_x0000_t75" style="position:absolute;top:3;width:9211;height:2506">
              <v:imagedata r:id="rId793" o:title=""/>
            </v:shape>
            <v:shape id="docshape1076" o:spid="_x0000_s1306" type="#_x0000_t202" style="position:absolute;left:11;width:1477;height:249" filled="f" stroked="f">
              <v:textbox inset="0,0,0,0">
                <w:txbxContent>
                  <w:p w14:paraId="51DEAC89" w14:textId="77777777" w:rsidR="0010369C" w:rsidRDefault="008E43AE">
                    <w:pPr>
                      <w:spacing w:line="249" w:lineRule="exact"/>
                      <w:rPr>
                        <w:rFonts w:ascii="Times New Roman"/>
                        <w:sz w:val="15"/>
                      </w:rPr>
                    </w:pPr>
                    <w:r>
                      <w:rPr>
                        <w:rFonts w:ascii="Arial"/>
                        <w:color w:val="212121"/>
                        <w:spacing w:val="-2"/>
                        <w:w w:val="105"/>
                        <w:sz w:val="21"/>
                      </w:rPr>
                      <w:t>companies".</w:t>
                    </w:r>
                    <w:r>
                      <w:rPr>
                        <w:rFonts w:ascii="Times New Roman"/>
                        <w:color w:val="212121"/>
                        <w:spacing w:val="-2"/>
                        <w:w w:val="105"/>
                        <w:position w:val="7"/>
                        <w:sz w:val="15"/>
                      </w:rPr>
                      <w:t>682</w:t>
                    </w:r>
                  </w:p>
                </w:txbxContent>
              </v:textbox>
            </v:shape>
            <w10:anchorlock/>
          </v:group>
        </w:pict>
      </w:r>
    </w:p>
    <w:p w14:paraId="51DE8F2E" w14:textId="77777777" w:rsidR="0010369C" w:rsidRDefault="008E43AE">
      <w:pPr>
        <w:spacing w:before="134" w:line="434" w:lineRule="auto"/>
        <w:ind w:left="237" w:right="611" w:hanging="40"/>
        <w:rPr>
          <w:rFonts w:ascii="Arial"/>
          <w:sz w:val="21"/>
        </w:rPr>
      </w:pPr>
      <w:r>
        <w:rPr>
          <w:rFonts w:ascii="Arial"/>
          <w:color w:val="0E0E0E"/>
          <w:w w:val="570"/>
          <w:sz w:val="21"/>
        </w:rPr>
        <w:t>-</w:t>
      </w:r>
      <w:r>
        <w:rPr>
          <w:rFonts w:ascii="Arial"/>
          <w:color w:val="646464"/>
          <w:w w:val="570"/>
          <w:sz w:val="21"/>
        </w:rPr>
        <w:t>]</w:t>
      </w:r>
      <w:r>
        <w:rPr>
          <w:rFonts w:ascii="Arial"/>
          <w:color w:val="646464"/>
          <w:spacing w:val="-226"/>
          <w:w w:val="570"/>
          <w:sz w:val="21"/>
        </w:rPr>
        <w:t xml:space="preserve"> </w:t>
      </w:r>
      <w:r>
        <w:rPr>
          <w:rFonts w:ascii="Arial"/>
          <w:color w:val="0E0E0E"/>
          <w:w w:val="110"/>
          <w:sz w:val="21"/>
        </w:rPr>
        <w:t>Taking</w:t>
      </w:r>
      <w:r>
        <w:rPr>
          <w:rFonts w:ascii="Arial"/>
          <w:color w:val="0E0E0E"/>
          <w:spacing w:val="-13"/>
          <w:w w:val="110"/>
          <w:sz w:val="21"/>
        </w:rPr>
        <w:t xml:space="preserve"> </w:t>
      </w:r>
      <w:r>
        <w:rPr>
          <w:rFonts w:ascii="Arial"/>
          <w:color w:val="0E0E0E"/>
          <w:w w:val="110"/>
          <w:sz w:val="21"/>
        </w:rPr>
        <w:t xml:space="preserve">this </w:t>
      </w:r>
      <w:r>
        <w:rPr>
          <w:rFonts w:ascii="Arial"/>
          <w:color w:val="212121"/>
          <w:w w:val="110"/>
          <w:sz w:val="21"/>
        </w:rPr>
        <w:t xml:space="preserve">evidence </w:t>
      </w:r>
      <w:r>
        <w:rPr>
          <w:rFonts w:ascii="Arial"/>
          <w:color w:val="0E0E0E"/>
          <w:w w:val="110"/>
          <w:sz w:val="21"/>
        </w:rPr>
        <w:t>into</w:t>
      </w:r>
      <w:r>
        <w:rPr>
          <w:rFonts w:ascii="Arial"/>
          <w:color w:val="0E0E0E"/>
          <w:spacing w:val="-4"/>
          <w:w w:val="110"/>
          <w:sz w:val="21"/>
        </w:rPr>
        <w:t xml:space="preserve"> </w:t>
      </w:r>
      <w:r>
        <w:rPr>
          <w:rFonts w:ascii="Arial"/>
          <w:color w:val="212121"/>
          <w:w w:val="110"/>
          <w:sz w:val="21"/>
        </w:rPr>
        <w:t xml:space="preserve">account, </w:t>
      </w:r>
      <w:r>
        <w:rPr>
          <w:rFonts w:ascii="Arial"/>
          <w:color w:val="0E0E0E"/>
          <w:w w:val="110"/>
          <w:sz w:val="21"/>
        </w:rPr>
        <w:t xml:space="preserve">MOFCOM was </w:t>
      </w:r>
      <w:r>
        <w:rPr>
          <w:rFonts w:ascii="Arial"/>
          <w:color w:val="212121"/>
          <w:w w:val="110"/>
          <w:sz w:val="21"/>
        </w:rPr>
        <w:t>on</w:t>
      </w:r>
      <w:r>
        <w:rPr>
          <w:rFonts w:ascii="Arial"/>
          <w:color w:val="212121"/>
          <w:spacing w:val="21"/>
          <w:w w:val="110"/>
          <w:sz w:val="21"/>
        </w:rPr>
        <w:t xml:space="preserve"> </w:t>
      </w:r>
      <w:r>
        <w:rPr>
          <w:rFonts w:ascii="Arial"/>
          <w:color w:val="0E0E0E"/>
          <w:w w:val="110"/>
          <w:sz w:val="21"/>
        </w:rPr>
        <w:t>notice</w:t>
      </w:r>
      <w:r>
        <w:rPr>
          <w:rFonts w:ascii="Arial"/>
          <w:color w:val="0E0E0E"/>
          <w:spacing w:val="-6"/>
          <w:w w:val="110"/>
          <w:sz w:val="21"/>
        </w:rPr>
        <w:t xml:space="preserve"> </w:t>
      </w:r>
      <w:r>
        <w:rPr>
          <w:rFonts w:ascii="Arial"/>
          <w:color w:val="0E0E0E"/>
          <w:w w:val="110"/>
          <w:sz w:val="21"/>
        </w:rPr>
        <w:t xml:space="preserve">that </w:t>
      </w:r>
      <w:r>
        <w:rPr>
          <w:rFonts w:ascii="Arial"/>
          <w:color w:val="212121"/>
          <w:w w:val="110"/>
          <w:sz w:val="21"/>
        </w:rPr>
        <w:t xml:space="preserve">sales </w:t>
      </w:r>
      <w:r>
        <w:rPr>
          <w:rFonts w:ascii="Arial"/>
          <w:color w:val="0E0E0E"/>
          <w:w w:val="110"/>
          <w:sz w:val="21"/>
        </w:rPr>
        <w:t xml:space="preserve">frequently </w:t>
      </w:r>
      <w:r>
        <w:rPr>
          <w:rFonts w:ascii="Arial"/>
          <w:color w:val="212121"/>
          <w:w w:val="110"/>
          <w:sz w:val="21"/>
        </w:rPr>
        <w:t>occurred</w:t>
      </w:r>
      <w:r>
        <w:rPr>
          <w:rFonts w:ascii="Arial"/>
          <w:color w:val="212121"/>
          <w:spacing w:val="-1"/>
          <w:w w:val="110"/>
          <w:sz w:val="21"/>
        </w:rPr>
        <w:t xml:space="preserve"> </w:t>
      </w:r>
      <w:r>
        <w:rPr>
          <w:rFonts w:ascii="Arial"/>
          <w:color w:val="0E0E0E"/>
          <w:w w:val="110"/>
          <w:sz w:val="21"/>
        </w:rPr>
        <w:t xml:space="preserve">at </w:t>
      </w:r>
      <w:r>
        <w:rPr>
          <w:rFonts w:ascii="Arial"/>
          <w:color w:val="212121"/>
          <w:w w:val="110"/>
          <w:sz w:val="21"/>
        </w:rPr>
        <w:t>a</w:t>
      </w:r>
      <w:r>
        <w:rPr>
          <w:rFonts w:ascii="Arial"/>
          <w:color w:val="212121"/>
          <w:spacing w:val="-17"/>
          <w:w w:val="110"/>
          <w:sz w:val="21"/>
        </w:rPr>
        <w:t xml:space="preserve"> </w:t>
      </w:r>
      <w:r>
        <w:rPr>
          <w:rFonts w:ascii="Arial"/>
          <w:color w:val="212121"/>
          <w:w w:val="110"/>
          <w:sz w:val="21"/>
        </w:rPr>
        <w:t>range</w:t>
      </w:r>
      <w:r>
        <w:rPr>
          <w:rFonts w:ascii="Arial"/>
          <w:color w:val="212121"/>
          <w:spacing w:val="-12"/>
          <w:w w:val="110"/>
          <w:sz w:val="21"/>
        </w:rPr>
        <w:t xml:space="preserve"> </w:t>
      </w:r>
      <w:r>
        <w:rPr>
          <w:rFonts w:ascii="Arial"/>
          <w:color w:val="212121"/>
          <w:w w:val="110"/>
          <w:sz w:val="21"/>
        </w:rPr>
        <w:t>of</w:t>
      </w:r>
      <w:r>
        <w:rPr>
          <w:rFonts w:ascii="Arial"/>
          <w:color w:val="212121"/>
          <w:spacing w:val="12"/>
          <w:w w:val="110"/>
          <w:sz w:val="21"/>
        </w:rPr>
        <w:t xml:space="preserve"> </w:t>
      </w:r>
      <w:r>
        <w:rPr>
          <w:rFonts w:ascii="Arial"/>
          <w:color w:val="0E0E0E"/>
          <w:w w:val="110"/>
          <w:sz w:val="21"/>
        </w:rPr>
        <w:t>different</w:t>
      </w:r>
      <w:r>
        <w:rPr>
          <w:rFonts w:ascii="Arial"/>
          <w:color w:val="0E0E0E"/>
          <w:spacing w:val="-8"/>
          <w:w w:val="110"/>
          <w:sz w:val="21"/>
        </w:rPr>
        <w:t xml:space="preserve"> </w:t>
      </w:r>
      <w:r>
        <w:rPr>
          <w:rFonts w:ascii="Arial"/>
          <w:color w:val="0E0E0E"/>
          <w:w w:val="110"/>
          <w:sz w:val="21"/>
        </w:rPr>
        <w:t>levels</w:t>
      </w:r>
      <w:r>
        <w:rPr>
          <w:rFonts w:ascii="Arial"/>
          <w:color w:val="0E0E0E"/>
          <w:spacing w:val="-12"/>
          <w:w w:val="110"/>
          <w:sz w:val="21"/>
        </w:rPr>
        <w:t xml:space="preserve"> </w:t>
      </w:r>
      <w:r>
        <w:rPr>
          <w:rFonts w:ascii="Arial"/>
          <w:color w:val="212121"/>
          <w:w w:val="110"/>
          <w:sz w:val="21"/>
        </w:rPr>
        <w:t xml:space="preserve">of </w:t>
      </w:r>
      <w:r>
        <w:rPr>
          <w:rFonts w:ascii="Arial"/>
          <w:color w:val="0E0E0E"/>
          <w:w w:val="110"/>
          <w:sz w:val="21"/>
        </w:rPr>
        <w:t>trade,</w:t>
      </w:r>
      <w:r>
        <w:rPr>
          <w:rFonts w:ascii="Arial"/>
          <w:color w:val="0E0E0E"/>
          <w:spacing w:val="-25"/>
          <w:w w:val="110"/>
          <w:sz w:val="21"/>
        </w:rPr>
        <w:t xml:space="preserve"> </w:t>
      </w:r>
      <w:r>
        <w:rPr>
          <w:rFonts w:ascii="Arial"/>
          <w:color w:val="0E0E0E"/>
          <w:w w:val="110"/>
          <w:sz w:val="21"/>
        </w:rPr>
        <w:t>and</w:t>
      </w:r>
      <w:r>
        <w:rPr>
          <w:rFonts w:ascii="Arial"/>
          <w:color w:val="0E0E0E"/>
          <w:spacing w:val="-19"/>
          <w:w w:val="110"/>
          <w:sz w:val="21"/>
        </w:rPr>
        <w:t xml:space="preserve"> </w:t>
      </w:r>
      <w:r>
        <w:rPr>
          <w:rFonts w:ascii="Arial"/>
          <w:color w:val="0E0E0E"/>
          <w:w w:val="110"/>
          <w:sz w:val="21"/>
        </w:rPr>
        <w:t>that</w:t>
      </w:r>
      <w:r>
        <w:rPr>
          <w:rFonts w:ascii="Arial"/>
          <w:color w:val="0E0E0E"/>
          <w:spacing w:val="-14"/>
          <w:w w:val="110"/>
          <w:sz w:val="21"/>
        </w:rPr>
        <w:t xml:space="preserve"> </w:t>
      </w:r>
      <w:r>
        <w:rPr>
          <w:rFonts w:ascii="Arial"/>
          <w:color w:val="212121"/>
          <w:w w:val="110"/>
          <w:sz w:val="21"/>
        </w:rPr>
        <w:t>the</w:t>
      </w:r>
      <w:r>
        <w:rPr>
          <w:rFonts w:ascii="Arial"/>
          <w:color w:val="212121"/>
          <w:spacing w:val="-13"/>
          <w:w w:val="110"/>
          <w:sz w:val="21"/>
        </w:rPr>
        <w:t xml:space="preserve"> </w:t>
      </w:r>
      <w:r>
        <w:rPr>
          <w:rFonts w:ascii="Arial"/>
          <w:color w:val="212121"/>
          <w:w w:val="110"/>
          <w:sz w:val="21"/>
        </w:rPr>
        <w:t>CIF</w:t>
      </w:r>
      <w:r>
        <w:rPr>
          <w:rFonts w:ascii="Arial"/>
          <w:color w:val="212121"/>
          <w:spacing w:val="-9"/>
          <w:w w:val="110"/>
          <w:sz w:val="21"/>
        </w:rPr>
        <w:t xml:space="preserve"> </w:t>
      </w:r>
      <w:r>
        <w:rPr>
          <w:rFonts w:ascii="Arial"/>
          <w:color w:val="0E0E0E"/>
          <w:w w:val="110"/>
          <w:sz w:val="21"/>
        </w:rPr>
        <w:t>price</w:t>
      </w:r>
      <w:r>
        <w:rPr>
          <w:rFonts w:ascii="Arial"/>
          <w:color w:val="0E0E0E"/>
          <w:spacing w:val="-14"/>
          <w:w w:val="110"/>
          <w:sz w:val="21"/>
        </w:rPr>
        <w:t xml:space="preserve"> </w:t>
      </w:r>
      <w:r>
        <w:rPr>
          <w:rFonts w:ascii="Arial"/>
          <w:color w:val="0E0E0E"/>
          <w:w w:val="110"/>
          <w:sz w:val="21"/>
        </w:rPr>
        <w:t>data</w:t>
      </w:r>
      <w:r>
        <w:rPr>
          <w:rFonts w:ascii="Arial"/>
          <w:color w:val="0E0E0E"/>
          <w:spacing w:val="-9"/>
          <w:w w:val="110"/>
          <w:sz w:val="21"/>
        </w:rPr>
        <w:t xml:space="preserve"> </w:t>
      </w:r>
      <w:r>
        <w:rPr>
          <w:rFonts w:ascii="Arial"/>
          <w:color w:val="212121"/>
          <w:w w:val="110"/>
          <w:sz w:val="21"/>
        </w:rPr>
        <w:t>it</w:t>
      </w:r>
      <w:r>
        <w:rPr>
          <w:rFonts w:ascii="Arial"/>
          <w:color w:val="212121"/>
          <w:spacing w:val="23"/>
          <w:w w:val="110"/>
          <w:sz w:val="21"/>
        </w:rPr>
        <w:t xml:space="preserve"> </w:t>
      </w:r>
      <w:r>
        <w:rPr>
          <w:rFonts w:ascii="Arial"/>
          <w:color w:val="0E0E0E"/>
          <w:w w:val="110"/>
          <w:sz w:val="21"/>
        </w:rPr>
        <w:t>relied</w:t>
      </w:r>
      <w:r>
        <w:rPr>
          <w:rFonts w:ascii="Arial"/>
          <w:color w:val="0E0E0E"/>
          <w:spacing w:val="-14"/>
          <w:w w:val="110"/>
          <w:sz w:val="21"/>
        </w:rPr>
        <w:t xml:space="preserve"> </w:t>
      </w:r>
      <w:r>
        <w:rPr>
          <w:rFonts w:ascii="Arial"/>
          <w:color w:val="0E0E0E"/>
          <w:w w:val="110"/>
          <w:sz w:val="21"/>
        </w:rPr>
        <w:t>upon reflected</w:t>
      </w:r>
      <w:r>
        <w:rPr>
          <w:rFonts w:ascii="Arial"/>
          <w:color w:val="0E0E0E"/>
          <w:spacing w:val="-13"/>
          <w:w w:val="110"/>
          <w:sz w:val="21"/>
        </w:rPr>
        <w:t xml:space="preserve"> </w:t>
      </w:r>
      <w:r>
        <w:rPr>
          <w:rFonts w:ascii="Arial"/>
          <w:color w:val="212121"/>
          <w:w w:val="110"/>
          <w:sz w:val="21"/>
        </w:rPr>
        <w:t>or was</w:t>
      </w:r>
      <w:r>
        <w:rPr>
          <w:rFonts w:ascii="Arial"/>
          <w:color w:val="212121"/>
          <w:spacing w:val="-17"/>
          <w:w w:val="110"/>
          <w:sz w:val="21"/>
        </w:rPr>
        <w:t xml:space="preserve"> </w:t>
      </w:r>
      <w:r>
        <w:rPr>
          <w:rFonts w:ascii="Arial"/>
          <w:color w:val="212121"/>
          <w:w w:val="110"/>
          <w:sz w:val="21"/>
        </w:rPr>
        <w:t>likely</w:t>
      </w:r>
      <w:r>
        <w:rPr>
          <w:rFonts w:ascii="Arial"/>
          <w:color w:val="212121"/>
          <w:spacing w:val="-20"/>
          <w:w w:val="110"/>
          <w:sz w:val="21"/>
        </w:rPr>
        <w:t xml:space="preserve"> </w:t>
      </w:r>
      <w:r>
        <w:rPr>
          <w:rFonts w:ascii="Arial"/>
          <w:color w:val="212121"/>
          <w:w w:val="110"/>
          <w:sz w:val="21"/>
        </w:rPr>
        <w:t>to</w:t>
      </w:r>
      <w:r>
        <w:rPr>
          <w:rFonts w:ascii="Arial"/>
          <w:color w:val="212121"/>
          <w:spacing w:val="19"/>
          <w:w w:val="110"/>
          <w:sz w:val="21"/>
        </w:rPr>
        <w:t xml:space="preserve"> </w:t>
      </w:r>
      <w:r>
        <w:rPr>
          <w:rFonts w:ascii="Arial"/>
          <w:color w:val="0E0E0E"/>
          <w:w w:val="110"/>
          <w:sz w:val="21"/>
        </w:rPr>
        <w:t>reflect</w:t>
      </w:r>
      <w:r>
        <w:rPr>
          <w:rFonts w:ascii="Arial"/>
          <w:color w:val="0E0E0E"/>
          <w:spacing w:val="-10"/>
          <w:w w:val="110"/>
          <w:sz w:val="21"/>
        </w:rPr>
        <w:t xml:space="preserve"> </w:t>
      </w:r>
      <w:r>
        <w:rPr>
          <w:rFonts w:ascii="Arial"/>
          <w:color w:val="0E0E0E"/>
          <w:w w:val="110"/>
          <w:sz w:val="21"/>
        </w:rPr>
        <w:t>different</w:t>
      </w:r>
      <w:r>
        <w:rPr>
          <w:rFonts w:ascii="Arial"/>
          <w:color w:val="0E0E0E"/>
          <w:spacing w:val="-16"/>
          <w:w w:val="110"/>
          <w:sz w:val="21"/>
        </w:rPr>
        <w:t xml:space="preserve"> </w:t>
      </w:r>
      <w:r>
        <w:rPr>
          <w:rFonts w:ascii="Arial"/>
          <w:color w:val="212121"/>
          <w:w w:val="110"/>
          <w:sz w:val="21"/>
        </w:rPr>
        <w:t>prices</w:t>
      </w:r>
      <w:r>
        <w:rPr>
          <w:rFonts w:ascii="Arial"/>
          <w:color w:val="212121"/>
          <w:spacing w:val="-18"/>
          <w:w w:val="110"/>
          <w:sz w:val="21"/>
        </w:rPr>
        <w:t xml:space="preserve"> </w:t>
      </w:r>
      <w:r>
        <w:rPr>
          <w:rFonts w:ascii="Arial"/>
          <w:color w:val="212121"/>
          <w:w w:val="110"/>
          <w:sz w:val="21"/>
        </w:rPr>
        <w:t>occurring</w:t>
      </w:r>
      <w:r>
        <w:rPr>
          <w:rFonts w:ascii="Arial"/>
          <w:color w:val="212121"/>
          <w:spacing w:val="-16"/>
          <w:w w:val="110"/>
          <w:sz w:val="21"/>
        </w:rPr>
        <w:t xml:space="preserve"> </w:t>
      </w:r>
      <w:r>
        <w:rPr>
          <w:rFonts w:ascii="Arial"/>
          <w:color w:val="212121"/>
          <w:w w:val="110"/>
          <w:sz w:val="21"/>
        </w:rPr>
        <w:t>at different</w:t>
      </w:r>
      <w:r>
        <w:rPr>
          <w:rFonts w:ascii="Arial"/>
          <w:color w:val="212121"/>
          <w:spacing w:val="-4"/>
          <w:w w:val="110"/>
          <w:sz w:val="21"/>
        </w:rPr>
        <w:t xml:space="preserve"> </w:t>
      </w:r>
      <w:r>
        <w:rPr>
          <w:rFonts w:ascii="Arial"/>
          <w:color w:val="212121"/>
          <w:w w:val="110"/>
          <w:sz w:val="21"/>
        </w:rPr>
        <w:t>levels</w:t>
      </w:r>
      <w:r>
        <w:rPr>
          <w:rFonts w:ascii="Arial"/>
          <w:color w:val="212121"/>
          <w:spacing w:val="-7"/>
          <w:w w:val="110"/>
          <w:sz w:val="21"/>
        </w:rPr>
        <w:t xml:space="preserve"> </w:t>
      </w:r>
      <w:r>
        <w:rPr>
          <w:rFonts w:ascii="Arial"/>
          <w:color w:val="212121"/>
          <w:w w:val="110"/>
          <w:sz w:val="21"/>
        </w:rPr>
        <w:t>of trade.</w:t>
      </w:r>
    </w:p>
    <w:p w14:paraId="51DE8F2F" w14:textId="77777777" w:rsidR="0010369C" w:rsidRDefault="008E43AE">
      <w:pPr>
        <w:pStyle w:val="ListParagraph"/>
        <w:numPr>
          <w:ilvl w:val="0"/>
          <w:numId w:val="54"/>
        </w:numPr>
        <w:tabs>
          <w:tab w:val="left" w:pos="1098"/>
        </w:tabs>
        <w:spacing w:before="152" w:line="432" w:lineRule="auto"/>
        <w:ind w:left="237" w:right="570" w:hanging="2"/>
        <w:jc w:val="both"/>
        <w:rPr>
          <w:rFonts w:ascii="Arial"/>
          <w:color w:val="212121"/>
          <w:sz w:val="21"/>
        </w:rPr>
      </w:pPr>
      <w:r>
        <w:rPr>
          <w:rFonts w:ascii="Arial"/>
          <w:color w:val="212121"/>
          <w:w w:val="105"/>
          <w:sz w:val="21"/>
        </w:rPr>
        <w:t>Additionally,</w:t>
      </w:r>
      <w:r>
        <w:rPr>
          <w:rFonts w:ascii="Arial"/>
          <w:color w:val="212121"/>
          <w:spacing w:val="40"/>
          <w:w w:val="105"/>
          <w:sz w:val="21"/>
        </w:rPr>
        <w:t xml:space="preserve"> </w:t>
      </w:r>
      <w:r>
        <w:rPr>
          <w:rFonts w:ascii="Arial"/>
          <w:color w:val="212121"/>
          <w:w w:val="105"/>
          <w:sz w:val="21"/>
        </w:rPr>
        <w:t>evidence</w:t>
      </w:r>
      <w:r>
        <w:rPr>
          <w:rFonts w:ascii="Arial"/>
          <w:color w:val="212121"/>
          <w:spacing w:val="40"/>
          <w:w w:val="105"/>
          <w:sz w:val="21"/>
        </w:rPr>
        <w:t xml:space="preserve"> </w:t>
      </w:r>
      <w:r>
        <w:rPr>
          <w:rFonts w:ascii="Arial"/>
          <w:color w:val="212121"/>
          <w:w w:val="105"/>
          <w:sz w:val="21"/>
        </w:rPr>
        <w:t>available</w:t>
      </w:r>
      <w:r>
        <w:rPr>
          <w:rFonts w:ascii="Arial"/>
          <w:color w:val="212121"/>
          <w:spacing w:val="40"/>
          <w:w w:val="105"/>
          <w:sz w:val="21"/>
        </w:rPr>
        <w:t xml:space="preserve"> </w:t>
      </w:r>
      <w:r>
        <w:rPr>
          <w:rFonts w:ascii="Arial"/>
          <w:color w:val="212121"/>
          <w:w w:val="105"/>
          <w:sz w:val="21"/>
        </w:rPr>
        <w:t>to</w:t>
      </w:r>
      <w:r>
        <w:rPr>
          <w:rFonts w:ascii="Arial"/>
          <w:color w:val="212121"/>
          <w:spacing w:val="40"/>
          <w:w w:val="105"/>
          <w:sz w:val="21"/>
        </w:rPr>
        <w:t xml:space="preserve"> </w:t>
      </w:r>
      <w:r>
        <w:rPr>
          <w:rFonts w:ascii="Arial"/>
          <w:color w:val="0E0E0E"/>
          <w:w w:val="105"/>
          <w:sz w:val="21"/>
        </w:rPr>
        <w:t>MOFCOM</w:t>
      </w:r>
      <w:r>
        <w:rPr>
          <w:rFonts w:ascii="Arial"/>
          <w:color w:val="0E0E0E"/>
          <w:spacing w:val="40"/>
          <w:w w:val="105"/>
          <w:sz w:val="21"/>
        </w:rPr>
        <w:t xml:space="preserve"> </w:t>
      </w:r>
      <w:r>
        <w:rPr>
          <w:rFonts w:ascii="Arial"/>
          <w:color w:val="212121"/>
          <w:w w:val="105"/>
          <w:sz w:val="21"/>
        </w:rPr>
        <w:t>demonstrated</w:t>
      </w:r>
      <w:r>
        <w:rPr>
          <w:rFonts w:ascii="Arial"/>
          <w:color w:val="212121"/>
          <w:spacing w:val="40"/>
          <w:w w:val="105"/>
          <w:sz w:val="21"/>
        </w:rPr>
        <w:t xml:space="preserve"> </w:t>
      </w:r>
      <w:r>
        <w:rPr>
          <w:rFonts w:ascii="Arial"/>
          <w:color w:val="212121"/>
          <w:w w:val="105"/>
          <w:sz w:val="21"/>
        </w:rPr>
        <w:t>that</w:t>
      </w:r>
      <w:r>
        <w:rPr>
          <w:rFonts w:ascii="Arial"/>
          <w:color w:val="212121"/>
          <w:spacing w:val="40"/>
          <w:w w:val="105"/>
          <w:sz w:val="21"/>
        </w:rPr>
        <w:t xml:space="preserve"> </w:t>
      </w:r>
      <w:r>
        <w:rPr>
          <w:rFonts w:ascii="Arial"/>
          <w:color w:val="212121"/>
          <w:w w:val="105"/>
          <w:sz w:val="21"/>
        </w:rPr>
        <w:t>sales</w:t>
      </w:r>
      <w:r>
        <w:rPr>
          <w:rFonts w:ascii="Arial"/>
          <w:color w:val="212121"/>
          <w:spacing w:val="40"/>
          <w:w w:val="105"/>
          <w:sz w:val="21"/>
        </w:rPr>
        <w:t xml:space="preserve"> </w:t>
      </w:r>
      <w:r>
        <w:rPr>
          <w:rFonts w:ascii="Arial"/>
          <w:color w:val="0E0E0E"/>
          <w:w w:val="105"/>
          <w:sz w:val="21"/>
        </w:rPr>
        <w:t>by</w:t>
      </w:r>
      <w:r>
        <w:rPr>
          <w:rFonts w:ascii="Arial"/>
          <w:color w:val="0E0E0E"/>
          <w:spacing w:val="40"/>
          <w:w w:val="105"/>
          <w:sz w:val="21"/>
        </w:rPr>
        <w:t xml:space="preserve"> </w:t>
      </w:r>
      <w:r>
        <w:rPr>
          <w:rFonts w:ascii="Arial"/>
          <w:color w:val="212121"/>
          <w:w w:val="105"/>
          <w:sz w:val="21"/>
        </w:rPr>
        <w:t>Chinese domestic producers occurred</w:t>
      </w:r>
      <w:r>
        <w:rPr>
          <w:rFonts w:ascii="Arial"/>
          <w:color w:val="212121"/>
          <w:spacing w:val="-4"/>
          <w:w w:val="105"/>
          <w:sz w:val="21"/>
        </w:rPr>
        <w:t xml:space="preserve"> </w:t>
      </w:r>
      <w:r>
        <w:rPr>
          <w:rFonts w:ascii="Arial"/>
          <w:color w:val="212121"/>
          <w:w w:val="105"/>
          <w:sz w:val="21"/>
        </w:rPr>
        <w:t>through</w:t>
      </w:r>
      <w:r>
        <w:rPr>
          <w:rFonts w:ascii="Arial"/>
          <w:color w:val="212121"/>
          <w:spacing w:val="-3"/>
          <w:w w:val="105"/>
          <w:sz w:val="21"/>
        </w:rPr>
        <w:t xml:space="preserve"> </w:t>
      </w:r>
      <w:r>
        <w:rPr>
          <w:rFonts w:ascii="Arial"/>
          <w:color w:val="212121"/>
          <w:w w:val="105"/>
          <w:sz w:val="21"/>
        </w:rPr>
        <w:t>various</w:t>
      </w:r>
      <w:r>
        <w:rPr>
          <w:rFonts w:ascii="Arial"/>
          <w:color w:val="212121"/>
          <w:spacing w:val="-4"/>
          <w:w w:val="105"/>
          <w:sz w:val="21"/>
        </w:rPr>
        <w:t xml:space="preserve"> </w:t>
      </w:r>
      <w:r>
        <w:rPr>
          <w:rFonts w:ascii="Arial"/>
          <w:color w:val="0E0E0E"/>
          <w:w w:val="105"/>
          <w:sz w:val="21"/>
        </w:rPr>
        <w:t xml:space="preserve">different </w:t>
      </w:r>
      <w:r>
        <w:rPr>
          <w:rFonts w:ascii="Arial"/>
          <w:color w:val="212121"/>
          <w:w w:val="105"/>
          <w:sz w:val="21"/>
        </w:rPr>
        <w:t>sales</w:t>
      </w:r>
      <w:r>
        <w:rPr>
          <w:rFonts w:ascii="Arial"/>
          <w:color w:val="212121"/>
          <w:spacing w:val="-10"/>
          <w:w w:val="105"/>
          <w:sz w:val="21"/>
        </w:rPr>
        <w:t xml:space="preserve"> </w:t>
      </w:r>
      <w:r>
        <w:rPr>
          <w:rFonts w:ascii="Arial"/>
          <w:color w:val="212121"/>
          <w:w w:val="105"/>
          <w:sz w:val="21"/>
        </w:rPr>
        <w:t>channels,</w:t>
      </w:r>
      <w:r>
        <w:rPr>
          <w:rFonts w:ascii="Arial"/>
          <w:color w:val="212121"/>
          <w:spacing w:val="-9"/>
          <w:w w:val="105"/>
          <w:sz w:val="21"/>
        </w:rPr>
        <w:t xml:space="preserve"> </w:t>
      </w:r>
      <w:r>
        <w:rPr>
          <w:rFonts w:ascii="Arial"/>
          <w:color w:val="212121"/>
          <w:w w:val="105"/>
          <w:sz w:val="21"/>
        </w:rPr>
        <w:t>"including</w:t>
      </w:r>
      <w:r>
        <w:rPr>
          <w:rFonts w:ascii="Arial"/>
          <w:color w:val="212121"/>
          <w:spacing w:val="-14"/>
          <w:w w:val="105"/>
          <w:sz w:val="21"/>
        </w:rPr>
        <w:t xml:space="preserve"> </w:t>
      </w:r>
      <w:r>
        <w:rPr>
          <w:rFonts w:ascii="Arial"/>
          <w:color w:val="212121"/>
          <w:w w:val="105"/>
          <w:sz w:val="21"/>
        </w:rPr>
        <w:t>direct</w:t>
      </w:r>
      <w:r>
        <w:rPr>
          <w:rFonts w:ascii="Arial"/>
          <w:color w:val="212121"/>
          <w:spacing w:val="-1"/>
          <w:w w:val="105"/>
          <w:sz w:val="21"/>
        </w:rPr>
        <w:t xml:space="preserve"> </w:t>
      </w:r>
      <w:r>
        <w:rPr>
          <w:rFonts w:ascii="Arial"/>
          <w:color w:val="212121"/>
          <w:w w:val="105"/>
          <w:sz w:val="21"/>
        </w:rPr>
        <w:t>sales, distribution,</w:t>
      </w:r>
      <w:r>
        <w:rPr>
          <w:rFonts w:ascii="Arial"/>
          <w:color w:val="212121"/>
          <w:spacing w:val="-16"/>
          <w:w w:val="105"/>
          <w:sz w:val="21"/>
        </w:rPr>
        <w:t xml:space="preserve"> </w:t>
      </w:r>
      <w:r>
        <w:rPr>
          <w:rFonts w:ascii="Arial"/>
          <w:color w:val="212121"/>
          <w:w w:val="105"/>
          <w:sz w:val="21"/>
        </w:rPr>
        <w:t>online</w:t>
      </w:r>
      <w:r>
        <w:rPr>
          <w:rFonts w:ascii="Arial"/>
          <w:color w:val="212121"/>
          <w:spacing w:val="-18"/>
          <w:w w:val="105"/>
          <w:sz w:val="21"/>
        </w:rPr>
        <w:t xml:space="preserve"> </w:t>
      </w:r>
      <w:r>
        <w:rPr>
          <w:rFonts w:ascii="Arial"/>
          <w:color w:val="212121"/>
          <w:w w:val="105"/>
          <w:sz w:val="21"/>
        </w:rPr>
        <w:t>sales</w:t>
      </w:r>
      <w:r>
        <w:rPr>
          <w:rFonts w:ascii="Arial"/>
          <w:color w:val="212121"/>
          <w:spacing w:val="-18"/>
          <w:w w:val="105"/>
          <w:sz w:val="21"/>
        </w:rPr>
        <w:t xml:space="preserve"> </w:t>
      </w:r>
      <w:r>
        <w:rPr>
          <w:rFonts w:ascii="Arial"/>
          <w:color w:val="212121"/>
          <w:w w:val="105"/>
          <w:sz w:val="21"/>
        </w:rPr>
        <w:t>etc".</w:t>
      </w:r>
      <w:r>
        <w:rPr>
          <w:rFonts w:ascii="Arial"/>
          <w:color w:val="212121"/>
          <w:w w:val="105"/>
          <w:position w:val="7"/>
          <w:sz w:val="14"/>
        </w:rPr>
        <w:t>686</w:t>
      </w:r>
      <w:r>
        <w:rPr>
          <w:rFonts w:ascii="Arial"/>
          <w:color w:val="212121"/>
          <w:spacing w:val="-8"/>
          <w:w w:val="105"/>
          <w:position w:val="7"/>
          <w:sz w:val="14"/>
        </w:rPr>
        <w:t xml:space="preserve"> </w:t>
      </w:r>
      <w:r>
        <w:rPr>
          <w:rFonts w:ascii="Arial"/>
          <w:color w:val="212121"/>
          <w:w w:val="105"/>
          <w:sz w:val="21"/>
        </w:rPr>
        <w:t>For</w:t>
      </w:r>
      <w:r>
        <w:rPr>
          <w:rFonts w:ascii="Arial"/>
          <w:color w:val="212121"/>
          <w:spacing w:val="-11"/>
          <w:w w:val="105"/>
          <w:sz w:val="21"/>
        </w:rPr>
        <w:t xml:space="preserve"> </w:t>
      </w:r>
      <w:r>
        <w:rPr>
          <w:rFonts w:ascii="Arial"/>
          <w:color w:val="212121"/>
          <w:w w:val="105"/>
          <w:sz w:val="21"/>
        </w:rPr>
        <w:t>example,</w:t>
      </w:r>
      <w:r>
        <w:rPr>
          <w:rFonts w:ascii="Arial"/>
          <w:color w:val="212121"/>
          <w:spacing w:val="-19"/>
          <w:w w:val="105"/>
          <w:sz w:val="21"/>
        </w:rPr>
        <w:t xml:space="preserve"> </w:t>
      </w:r>
      <w:r>
        <w:rPr>
          <w:rFonts w:ascii="Arial"/>
          <w:color w:val="212121"/>
          <w:w w:val="105"/>
          <w:sz w:val="21"/>
        </w:rPr>
        <w:t>CITIC</w:t>
      </w:r>
      <w:r>
        <w:rPr>
          <w:rFonts w:ascii="Arial"/>
          <w:color w:val="212121"/>
          <w:spacing w:val="-21"/>
          <w:w w:val="105"/>
          <w:sz w:val="21"/>
        </w:rPr>
        <w:t xml:space="preserve"> </w:t>
      </w:r>
      <w:r>
        <w:rPr>
          <w:rFonts w:ascii="Arial"/>
          <w:color w:val="212121"/>
          <w:w w:val="105"/>
          <w:sz w:val="21"/>
        </w:rPr>
        <w:t>Guoan</w:t>
      </w:r>
      <w:r>
        <w:rPr>
          <w:rFonts w:ascii="Arial"/>
          <w:color w:val="212121"/>
          <w:spacing w:val="-11"/>
          <w:w w:val="105"/>
          <w:sz w:val="21"/>
        </w:rPr>
        <w:t xml:space="preserve"> </w:t>
      </w:r>
      <w:r>
        <w:rPr>
          <w:rFonts w:ascii="Arial"/>
          <w:color w:val="212121"/>
          <w:w w:val="105"/>
          <w:sz w:val="21"/>
        </w:rPr>
        <w:t>Wine's</w:t>
      </w:r>
      <w:r>
        <w:rPr>
          <w:rFonts w:ascii="Arial"/>
          <w:color w:val="212121"/>
          <w:spacing w:val="-7"/>
          <w:w w:val="105"/>
          <w:sz w:val="21"/>
        </w:rPr>
        <w:t xml:space="preserve"> </w:t>
      </w:r>
      <w:r>
        <w:rPr>
          <w:rFonts w:ascii="Arial"/>
          <w:color w:val="212121"/>
          <w:w w:val="105"/>
          <w:sz w:val="21"/>
        </w:rPr>
        <w:t>2017</w:t>
      </w:r>
      <w:r>
        <w:rPr>
          <w:rFonts w:ascii="Arial"/>
          <w:color w:val="212121"/>
          <w:spacing w:val="-21"/>
          <w:w w:val="105"/>
          <w:sz w:val="21"/>
        </w:rPr>
        <w:t xml:space="preserve"> </w:t>
      </w:r>
      <w:r>
        <w:rPr>
          <w:rFonts w:ascii="Arial"/>
          <w:color w:val="212121"/>
          <w:w w:val="105"/>
          <w:sz w:val="21"/>
        </w:rPr>
        <w:t>Annual</w:t>
      </w:r>
      <w:r>
        <w:rPr>
          <w:rFonts w:ascii="Arial"/>
          <w:color w:val="212121"/>
          <w:spacing w:val="-14"/>
          <w:w w:val="105"/>
          <w:sz w:val="21"/>
        </w:rPr>
        <w:t xml:space="preserve"> </w:t>
      </w:r>
      <w:r>
        <w:rPr>
          <w:rFonts w:ascii="Arial"/>
          <w:color w:val="212121"/>
          <w:w w:val="105"/>
          <w:sz w:val="21"/>
        </w:rPr>
        <w:t>Report</w:t>
      </w:r>
      <w:r>
        <w:rPr>
          <w:rFonts w:ascii="Arial"/>
          <w:color w:val="212121"/>
          <w:spacing w:val="-12"/>
          <w:w w:val="105"/>
          <w:sz w:val="21"/>
        </w:rPr>
        <w:t xml:space="preserve"> </w:t>
      </w:r>
      <w:r>
        <w:rPr>
          <w:rFonts w:ascii="Arial"/>
          <w:color w:val="212121"/>
          <w:spacing w:val="-2"/>
          <w:w w:val="105"/>
          <w:sz w:val="21"/>
        </w:rPr>
        <w:t>shows</w:t>
      </w:r>
    </w:p>
    <w:p w14:paraId="51DE8F30" w14:textId="77777777" w:rsidR="0010369C" w:rsidRDefault="008E43AE">
      <w:pPr>
        <w:pStyle w:val="BodyText"/>
        <w:spacing w:before="11"/>
        <w:rPr>
          <w:rFonts w:ascii="Arial"/>
          <w:sz w:val="18"/>
        </w:rPr>
      </w:pPr>
      <w:r>
        <w:pict w14:anchorId="51DEA4B3">
          <v:shape id="docshape1077" o:spid="_x0000_s1304" style="position:absolute;margin-left:70.25pt;margin-top:12.1pt;width:145.5pt;height:.1pt;z-index:-250825216;mso-wrap-distance-left:0;mso-wrap-distance-right:0;mso-position-horizontal-relative:page" coordorigin="1405,242" coordsize="2910,0" path="m1405,242r2909,e" filled="f" strokeweight=".35361mm">
            <v:path arrowok="t"/>
            <w10:wrap type="topAndBottom" anchorx="page"/>
          </v:shape>
        </w:pict>
      </w:r>
    </w:p>
    <w:p w14:paraId="51DE8F31" w14:textId="77777777" w:rsidR="0010369C" w:rsidRDefault="008E43AE">
      <w:pPr>
        <w:spacing w:before="88" w:line="273" w:lineRule="auto"/>
        <w:ind w:left="227" w:firstLine="12"/>
        <w:rPr>
          <w:rFonts w:ascii="Arial"/>
          <w:sz w:val="16"/>
        </w:rPr>
      </w:pPr>
      <w:r>
        <w:rPr>
          <w:rFonts w:ascii="Times New Roman"/>
          <w:color w:val="212121"/>
          <w:w w:val="105"/>
          <w:position w:val="6"/>
          <w:sz w:val="12"/>
        </w:rPr>
        <w:t>682</w:t>
      </w:r>
      <w:r>
        <w:rPr>
          <w:rFonts w:ascii="Times New Roman"/>
          <w:color w:val="212121"/>
          <w:spacing w:val="17"/>
          <w:w w:val="105"/>
          <w:position w:val="6"/>
          <w:sz w:val="12"/>
        </w:rPr>
        <w:t xml:space="preserve"> </w:t>
      </w:r>
      <w:r>
        <w:rPr>
          <w:rFonts w:ascii="Arial"/>
          <w:color w:val="212121"/>
          <w:w w:val="105"/>
          <w:sz w:val="16"/>
        </w:rPr>
        <w:t>Treasury</w:t>
      </w:r>
      <w:r>
        <w:rPr>
          <w:rFonts w:ascii="Arial"/>
          <w:color w:val="212121"/>
          <w:spacing w:val="25"/>
          <w:w w:val="105"/>
          <w:sz w:val="16"/>
        </w:rPr>
        <w:t xml:space="preserve"> </w:t>
      </w:r>
      <w:r>
        <w:rPr>
          <w:rFonts w:ascii="Arial"/>
          <w:color w:val="212121"/>
          <w:w w:val="105"/>
          <w:sz w:val="16"/>
        </w:rPr>
        <w:t>Wines Comments after Stakeholder</w:t>
      </w:r>
      <w:r>
        <w:rPr>
          <w:rFonts w:ascii="Arial"/>
          <w:color w:val="212121"/>
          <w:spacing w:val="23"/>
          <w:w w:val="105"/>
          <w:sz w:val="16"/>
        </w:rPr>
        <w:t xml:space="preserve"> </w:t>
      </w:r>
      <w:r>
        <w:rPr>
          <w:rFonts w:ascii="Arial"/>
          <w:color w:val="212121"/>
          <w:w w:val="105"/>
          <w:sz w:val="16"/>
        </w:rPr>
        <w:t>Meeting (Exhibit</w:t>
      </w:r>
      <w:r>
        <w:rPr>
          <w:rFonts w:ascii="Arial"/>
          <w:color w:val="212121"/>
          <w:spacing w:val="26"/>
          <w:w w:val="105"/>
          <w:sz w:val="16"/>
        </w:rPr>
        <w:t xml:space="preserve"> </w:t>
      </w:r>
      <w:r>
        <w:rPr>
          <w:rFonts w:ascii="Arial"/>
          <w:color w:val="212121"/>
          <w:w w:val="105"/>
          <w:sz w:val="16"/>
        </w:rPr>
        <w:t>AUS-79), p.</w:t>
      </w:r>
      <w:r>
        <w:rPr>
          <w:rFonts w:ascii="Arial"/>
          <w:color w:val="212121"/>
          <w:spacing w:val="29"/>
          <w:w w:val="105"/>
          <w:sz w:val="16"/>
        </w:rPr>
        <w:t xml:space="preserve"> </w:t>
      </w:r>
      <w:r>
        <w:rPr>
          <w:rFonts w:ascii="Arial"/>
          <w:color w:val="212121"/>
          <w:w w:val="105"/>
          <w:sz w:val="16"/>
        </w:rPr>
        <w:t>17.</w:t>
      </w:r>
      <w:r>
        <w:rPr>
          <w:rFonts w:ascii="Arial"/>
          <w:color w:val="212121"/>
          <w:spacing w:val="29"/>
          <w:w w:val="105"/>
          <w:sz w:val="16"/>
        </w:rPr>
        <w:t xml:space="preserve"> </w:t>
      </w:r>
      <w:r>
        <w:rPr>
          <w:rFonts w:ascii="Arial"/>
          <w:color w:val="212121"/>
          <w:w w:val="105"/>
          <w:sz w:val="16"/>
        </w:rPr>
        <w:t>See also Treasury</w:t>
      </w:r>
      <w:r>
        <w:rPr>
          <w:rFonts w:ascii="Arial"/>
          <w:color w:val="212121"/>
          <w:spacing w:val="25"/>
          <w:w w:val="105"/>
          <w:sz w:val="16"/>
        </w:rPr>
        <w:t xml:space="preserve"> </w:t>
      </w:r>
      <w:r>
        <w:rPr>
          <w:rFonts w:ascii="Arial"/>
          <w:color w:val="212121"/>
          <w:w w:val="105"/>
          <w:sz w:val="16"/>
        </w:rPr>
        <w:t>Wines</w:t>
      </w:r>
      <w:r>
        <w:rPr>
          <w:rFonts w:ascii="Arial"/>
          <w:color w:val="212121"/>
          <w:w w:val="105"/>
          <w:sz w:val="16"/>
        </w:rPr>
        <w:t xml:space="preserve"> Minutes of Stakeholder Meeting(Exhibit AUS-80), </w:t>
      </w:r>
      <w:r>
        <w:rPr>
          <w:rFonts w:ascii="Arial"/>
          <w:color w:val="0E0E0E"/>
          <w:w w:val="105"/>
          <w:sz w:val="16"/>
        </w:rPr>
        <w:t xml:space="preserve">p. </w:t>
      </w:r>
      <w:r>
        <w:rPr>
          <w:rFonts w:ascii="Arial"/>
          <w:color w:val="212121"/>
          <w:w w:val="105"/>
          <w:sz w:val="16"/>
        </w:rPr>
        <w:t>10.</w:t>
      </w:r>
    </w:p>
    <w:p w14:paraId="51DE8F32" w14:textId="77777777" w:rsidR="0010369C" w:rsidRDefault="008E43AE">
      <w:pPr>
        <w:spacing w:before="53" w:line="259" w:lineRule="auto"/>
        <w:ind w:left="6955" w:right="460" w:firstLine="33"/>
        <w:rPr>
          <w:rFonts w:ascii="Arial" w:hAnsi="Arial"/>
          <w:b/>
          <w:sz w:val="17"/>
        </w:rPr>
      </w:pPr>
      <w:r>
        <w:rPr>
          <w:noProof/>
        </w:rPr>
        <w:drawing>
          <wp:anchor distT="0" distB="0" distL="0" distR="0" simplePos="0" relativeHeight="251214336" behindDoc="1" locked="0" layoutInCell="1" allowOverlap="1" wp14:anchorId="51DEA4B4" wp14:editId="51DEA4B5">
            <wp:simplePos x="0" y="0"/>
            <wp:positionH relativeFrom="page">
              <wp:posOffset>891988</wp:posOffset>
            </wp:positionH>
            <wp:positionV relativeFrom="paragraph">
              <wp:posOffset>26703</wp:posOffset>
            </wp:positionV>
            <wp:extent cx="5938092" cy="2947033"/>
            <wp:effectExtent l="0" t="0" r="0" b="0"/>
            <wp:wrapNone/>
            <wp:docPr id="1171" name="image6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 name="image606.png"/>
                    <pic:cNvPicPr/>
                  </pic:nvPicPr>
                  <pic:blipFill>
                    <a:blip r:embed="rId794" cstate="print"/>
                    <a:stretch>
                      <a:fillRect/>
                    </a:stretch>
                  </pic:blipFill>
                  <pic:spPr>
                    <a:xfrm>
                      <a:off x="0" y="0"/>
                      <a:ext cx="5938092" cy="2947033"/>
                    </a:xfrm>
                    <a:prstGeom prst="rect">
                      <a:avLst/>
                    </a:prstGeom>
                  </pic:spPr>
                </pic:pic>
              </a:graphicData>
            </a:graphic>
          </wp:anchor>
        </w:drawing>
      </w:r>
      <w:r>
        <w:rPr>
          <w:rFonts w:ascii="Arial" w:hAnsi="Arial"/>
          <w:b/>
          <w:color w:val="212121"/>
          <w:spacing w:val="-2"/>
          <w:sz w:val="17"/>
        </w:rPr>
        <w:t>(Exhibit</w:t>
      </w:r>
      <w:r>
        <w:rPr>
          <w:rFonts w:ascii="Arial" w:hAnsi="Arial"/>
          <w:b/>
          <w:color w:val="212121"/>
          <w:spacing w:val="-7"/>
          <w:sz w:val="17"/>
        </w:rPr>
        <w:t xml:space="preserve"> </w:t>
      </w:r>
      <w:r>
        <w:rPr>
          <w:rFonts w:ascii="Arial" w:hAnsi="Arial"/>
          <w:b/>
          <w:color w:val="212121"/>
          <w:spacing w:val="-2"/>
          <w:sz w:val="17"/>
        </w:rPr>
        <w:t>AUS-81</w:t>
      </w:r>
      <w:r>
        <w:rPr>
          <w:rFonts w:ascii="Arial" w:hAnsi="Arial"/>
          <w:b/>
          <w:color w:val="212121"/>
          <w:spacing w:val="-28"/>
          <w:sz w:val="17"/>
        </w:rPr>
        <w:t xml:space="preserve"> </w:t>
      </w:r>
      <w:r>
        <w:rPr>
          <w:rFonts w:ascii="Arial" w:hAnsi="Arial"/>
          <w:b/>
          <w:color w:val="212121"/>
          <w:spacing w:val="-2"/>
          <w:w w:val="240"/>
          <w:sz w:val="17"/>
        </w:rPr>
        <w:t xml:space="preserve">(BO))­ </w:t>
      </w:r>
      <w:r>
        <w:rPr>
          <w:rFonts w:ascii="Arial" w:hAnsi="Arial"/>
          <w:b/>
          <w:color w:val="0E0E0E"/>
          <w:sz w:val="17"/>
        </w:rPr>
        <w:t>ibit</w:t>
      </w:r>
      <w:r>
        <w:rPr>
          <w:rFonts w:ascii="Arial" w:hAnsi="Arial"/>
          <w:b/>
          <w:color w:val="0E0E0E"/>
          <w:spacing w:val="-5"/>
          <w:sz w:val="17"/>
        </w:rPr>
        <w:t xml:space="preserve"> </w:t>
      </w:r>
      <w:r>
        <w:rPr>
          <w:rFonts w:ascii="Arial" w:hAnsi="Arial"/>
          <w:b/>
          <w:color w:val="212121"/>
          <w:sz w:val="17"/>
        </w:rPr>
        <w:t>AUS-10</w:t>
      </w:r>
      <w:r>
        <w:rPr>
          <w:rFonts w:ascii="Arial" w:hAnsi="Arial"/>
          <w:b/>
          <w:color w:val="212121"/>
          <w:spacing w:val="-13"/>
          <w:sz w:val="17"/>
        </w:rPr>
        <w:t xml:space="preserve"> </w:t>
      </w:r>
      <w:r>
        <w:rPr>
          <w:rFonts w:ascii="Arial" w:hAnsi="Arial"/>
          <w:b/>
          <w:color w:val="212121"/>
          <w:sz w:val="17"/>
        </w:rPr>
        <w:t>(BCI)),</w:t>
      </w:r>
    </w:p>
    <w:p w14:paraId="51DE8F33" w14:textId="77777777" w:rsidR="0010369C" w:rsidRDefault="008E43AE">
      <w:pPr>
        <w:spacing w:before="8" w:line="271" w:lineRule="auto"/>
        <w:ind w:left="6744" w:right="1260" w:firstLine="83"/>
        <w:rPr>
          <w:rFonts w:ascii="Arial"/>
          <w:b/>
          <w:sz w:val="17"/>
        </w:rPr>
      </w:pPr>
      <w:r>
        <w:rPr>
          <w:rFonts w:ascii="Arial"/>
          <w:b/>
          <w:color w:val="212121"/>
          <w:w w:val="90"/>
          <w:sz w:val="17"/>
        </w:rPr>
        <w:t>(Exhibit AUS-82</w:t>
      </w:r>
      <w:r>
        <w:rPr>
          <w:rFonts w:ascii="Arial"/>
          <w:b/>
          <w:color w:val="212121"/>
          <w:spacing w:val="-1"/>
          <w:w w:val="90"/>
          <w:sz w:val="17"/>
        </w:rPr>
        <w:t xml:space="preserve"> </w:t>
      </w:r>
      <w:r>
        <w:rPr>
          <w:rFonts w:ascii="Arial"/>
          <w:b/>
          <w:color w:val="212121"/>
          <w:w w:val="90"/>
          <w:sz w:val="17"/>
        </w:rPr>
        <w:t xml:space="preserve">(BCI </w:t>
      </w:r>
      <w:r>
        <w:rPr>
          <w:rFonts w:ascii="Arial"/>
          <w:b/>
          <w:color w:val="0E0E0E"/>
          <w:sz w:val="17"/>
        </w:rPr>
        <w:t>hibit</w:t>
      </w:r>
      <w:r>
        <w:rPr>
          <w:rFonts w:ascii="Arial"/>
          <w:b/>
          <w:color w:val="0E0E0E"/>
          <w:spacing w:val="-2"/>
          <w:sz w:val="17"/>
        </w:rPr>
        <w:t xml:space="preserve"> </w:t>
      </w:r>
      <w:r>
        <w:rPr>
          <w:rFonts w:ascii="Arial"/>
          <w:b/>
          <w:color w:val="212121"/>
          <w:sz w:val="17"/>
        </w:rPr>
        <w:t>AUS-37</w:t>
      </w:r>
      <w:r>
        <w:rPr>
          <w:rFonts w:ascii="Arial"/>
          <w:b/>
          <w:color w:val="212121"/>
          <w:spacing w:val="-13"/>
          <w:sz w:val="17"/>
        </w:rPr>
        <w:t xml:space="preserve"> </w:t>
      </w:r>
      <w:r>
        <w:rPr>
          <w:rFonts w:ascii="Arial"/>
          <w:b/>
          <w:color w:val="212121"/>
          <w:sz w:val="17"/>
        </w:rPr>
        <w:t>(BCI)),</w:t>
      </w:r>
    </w:p>
    <w:p w14:paraId="51DE8F34" w14:textId="77777777" w:rsidR="0010369C" w:rsidRDefault="008E43AE">
      <w:pPr>
        <w:spacing w:line="195" w:lineRule="exact"/>
        <w:ind w:left="6757"/>
        <w:rPr>
          <w:rFonts w:ascii="Arial"/>
          <w:sz w:val="17"/>
        </w:rPr>
      </w:pPr>
      <w:r>
        <w:rPr>
          <w:rFonts w:ascii="Arial"/>
          <w:b/>
          <w:color w:val="212121"/>
          <w:spacing w:val="-2"/>
          <w:w w:val="95"/>
          <w:sz w:val="17"/>
        </w:rPr>
        <w:t>(Exhibit</w:t>
      </w:r>
      <w:r>
        <w:rPr>
          <w:rFonts w:ascii="Arial"/>
          <w:b/>
          <w:color w:val="212121"/>
          <w:spacing w:val="-8"/>
          <w:w w:val="95"/>
          <w:sz w:val="17"/>
        </w:rPr>
        <w:t xml:space="preserve"> </w:t>
      </w:r>
      <w:r>
        <w:rPr>
          <w:rFonts w:ascii="Arial"/>
          <w:b/>
          <w:color w:val="212121"/>
          <w:spacing w:val="-2"/>
          <w:w w:val="95"/>
          <w:sz w:val="17"/>
        </w:rPr>
        <w:t>AUS-10</w:t>
      </w:r>
      <w:r>
        <w:rPr>
          <w:rFonts w:ascii="Arial"/>
          <w:b/>
          <w:color w:val="212121"/>
          <w:spacing w:val="-8"/>
          <w:w w:val="95"/>
          <w:sz w:val="17"/>
        </w:rPr>
        <w:t xml:space="preserve"> </w:t>
      </w:r>
      <w:r>
        <w:rPr>
          <w:rFonts w:ascii="Arial"/>
          <w:b/>
          <w:color w:val="212121"/>
          <w:spacing w:val="-2"/>
          <w:w w:val="95"/>
          <w:sz w:val="17"/>
        </w:rPr>
        <w:t>(B</w:t>
      </w:r>
      <w:r>
        <w:rPr>
          <w:rFonts w:ascii="Arial"/>
          <w:b/>
          <w:color w:val="212121"/>
          <w:spacing w:val="42"/>
          <w:sz w:val="17"/>
        </w:rPr>
        <w:t xml:space="preserve"> </w:t>
      </w:r>
      <w:r>
        <w:rPr>
          <w:rFonts w:ascii="Arial"/>
          <w:color w:val="212121"/>
          <w:spacing w:val="-2"/>
          <w:w w:val="95"/>
          <w:sz w:val="17"/>
        </w:rPr>
        <w:t>)</w:t>
      </w:r>
      <w:r>
        <w:rPr>
          <w:rFonts w:ascii="Arial"/>
          <w:color w:val="212121"/>
          <w:spacing w:val="-3"/>
          <w:sz w:val="17"/>
        </w:rPr>
        <w:t xml:space="preserve"> </w:t>
      </w:r>
      <w:r>
        <w:rPr>
          <w:rFonts w:ascii="Arial"/>
          <w:color w:val="3F3F3F"/>
          <w:spacing w:val="-10"/>
          <w:w w:val="95"/>
          <w:sz w:val="17"/>
        </w:rPr>
        <w:t>,</w:t>
      </w:r>
    </w:p>
    <w:p w14:paraId="51DE8F35" w14:textId="77777777" w:rsidR="0010369C" w:rsidRDefault="0010369C">
      <w:pPr>
        <w:pStyle w:val="BodyText"/>
        <w:rPr>
          <w:rFonts w:ascii="Arial"/>
          <w:sz w:val="20"/>
        </w:rPr>
      </w:pPr>
    </w:p>
    <w:p w14:paraId="51DE8F36" w14:textId="77777777" w:rsidR="0010369C" w:rsidRDefault="0010369C">
      <w:pPr>
        <w:pStyle w:val="BodyText"/>
        <w:rPr>
          <w:rFonts w:ascii="Arial"/>
          <w:sz w:val="20"/>
        </w:rPr>
      </w:pPr>
    </w:p>
    <w:p w14:paraId="51DE8F37" w14:textId="77777777" w:rsidR="0010369C" w:rsidRDefault="0010369C">
      <w:pPr>
        <w:pStyle w:val="BodyText"/>
        <w:rPr>
          <w:rFonts w:ascii="Arial"/>
          <w:sz w:val="20"/>
        </w:rPr>
      </w:pPr>
    </w:p>
    <w:p w14:paraId="51DE8F38" w14:textId="77777777" w:rsidR="0010369C" w:rsidRDefault="0010369C">
      <w:pPr>
        <w:pStyle w:val="BodyText"/>
        <w:rPr>
          <w:rFonts w:ascii="Arial"/>
          <w:sz w:val="20"/>
        </w:rPr>
      </w:pPr>
    </w:p>
    <w:p w14:paraId="51DE8F39" w14:textId="77777777" w:rsidR="0010369C" w:rsidRDefault="0010369C">
      <w:pPr>
        <w:pStyle w:val="BodyText"/>
        <w:rPr>
          <w:rFonts w:ascii="Arial"/>
          <w:sz w:val="20"/>
        </w:rPr>
      </w:pPr>
    </w:p>
    <w:p w14:paraId="51DE8F3A" w14:textId="77777777" w:rsidR="0010369C" w:rsidRDefault="0010369C">
      <w:pPr>
        <w:pStyle w:val="BodyText"/>
        <w:rPr>
          <w:rFonts w:ascii="Arial"/>
          <w:sz w:val="20"/>
        </w:rPr>
      </w:pPr>
    </w:p>
    <w:p w14:paraId="51DE8F3B" w14:textId="77777777" w:rsidR="0010369C" w:rsidRDefault="0010369C">
      <w:pPr>
        <w:pStyle w:val="BodyText"/>
        <w:rPr>
          <w:rFonts w:ascii="Arial"/>
          <w:sz w:val="20"/>
        </w:rPr>
      </w:pPr>
    </w:p>
    <w:p w14:paraId="51DE8F3C" w14:textId="77777777" w:rsidR="0010369C" w:rsidRDefault="0010369C">
      <w:pPr>
        <w:pStyle w:val="BodyText"/>
        <w:rPr>
          <w:rFonts w:ascii="Arial"/>
          <w:sz w:val="20"/>
        </w:rPr>
      </w:pPr>
    </w:p>
    <w:p w14:paraId="51DE8F3D" w14:textId="77777777" w:rsidR="0010369C" w:rsidRDefault="0010369C">
      <w:pPr>
        <w:pStyle w:val="BodyText"/>
        <w:rPr>
          <w:rFonts w:ascii="Arial"/>
          <w:sz w:val="20"/>
        </w:rPr>
      </w:pPr>
    </w:p>
    <w:p w14:paraId="51DE8F3E" w14:textId="77777777" w:rsidR="0010369C" w:rsidRDefault="0010369C">
      <w:pPr>
        <w:pStyle w:val="BodyText"/>
        <w:rPr>
          <w:rFonts w:ascii="Arial"/>
          <w:sz w:val="20"/>
        </w:rPr>
      </w:pPr>
    </w:p>
    <w:p w14:paraId="51DE8F3F" w14:textId="77777777" w:rsidR="0010369C" w:rsidRDefault="0010369C">
      <w:pPr>
        <w:pStyle w:val="BodyText"/>
        <w:rPr>
          <w:rFonts w:ascii="Arial"/>
          <w:sz w:val="20"/>
        </w:rPr>
      </w:pPr>
    </w:p>
    <w:p w14:paraId="51DE8F40" w14:textId="77777777" w:rsidR="0010369C" w:rsidRDefault="0010369C">
      <w:pPr>
        <w:pStyle w:val="BodyText"/>
        <w:rPr>
          <w:rFonts w:ascii="Arial"/>
          <w:sz w:val="20"/>
        </w:rPr>
      </w:pPr>
    </w:p>
    <w:p w14:paraId="51DE8F41" w14:textId="77777777" w:rsidR="0010369C" w:rsidRDefault="0010369C">
      <w:pPr>
        <w:pStyle w:val="BodyText"/>
        <w:rPr>
          <w:rFonts w:ascii="Arial"/>
          <w:sz w:val="20"/>
        </w:rPr>
      </w:pPr>
    </w:p>
    <w:p w14:paraId="51DE8F42" w14:textId="77777777" w:rsidR="0010369C" w:rsidRDefault="0010369C">
      <w:pPr>
        <w:pStyle w:val="BodyText"/>
        <w:spacing w:before="8"/>
        <w:rPr>
          <w:rFonts w:ascii="Arial"/>
          <w:sz w:val="20"/>
        </w:rPr>
      </w:pPr>
    </w:p>
    <w:p w14:paraId="51DE8F43" w14:textId="77777777" w:rsidR="0010369C" w:rsidRDefault="008E43AE">
      <w:pPr>
        <w:spacing w:before="95" w:line="271" w:lineRule="auto"/>
        <w:ind w:left="237" w:firstLine="4262"/>
        <w:rPr>
          <w:rFonts w:ascii="Arial"/>
          <w:sz w:val="16"/>
        </w:rPr>
      </w:pPr>
      <w:r>
        <w:rPr>
          <w:rFonts w:ascii="Arial"/>
          <w:b/>
          <w:color w:val="212121"/>
          <w:w w:val="95"/>
          <w:sz w:val="17"/>
          <w:u w:val="thick" w:color="212121"/>
        </w:rPr>
        <w:t>(Exhibit</w:t>
      </w:r>
      <w:r>
        <w:rPr>
          <w:rFonts w:ascii="Arial"/>
          <w:b/>
          <w:color w:val="212121"/>
          <w:spacing w:val="-6"/>
          <w:w w:val="95"/>
          <w:sz w:val="17"/>
          <w:u w:val="thick" w:color="212121"/>
        </w:rPr>
        <w:t xml:space="preserve"> </w:t>
      </w:r>
      <w:r>
        <w:rPr>
          <w:rFonts w:ascii="Arial"/>
          <w:b/>
          <w:color w:val="212121"/>
          <w:w w:val="95"/>
          <w:sz w:val="17"/>
          <w:u w:val="thick" w:color="212121"/>
        </w:rPr>
        <w:t>AUS-18</w:t>
      </w:r>
      <w:r>
        <w:rPr>
          <w:rFonts w:ascii="Arial"/>
          <w:b/>
          <w:color w:val="212121"/>
          <w:spacing w:val="-5"/>
          <w:w w:val="95"/>
          <w:sz w:val="17"/>
          <w:u w:val="thick" w:color="212121"/>
        </w:rPr>
        <w:t xml:space="preserve"> </w:t>
      </w:r>
      <w:r>
        <w:rPr>
          <w:rFonts w:ascii="Arial"/>
          <w:b/>
          <w:color w:val="212121"/>
          <w:w w:val="95"/>
          <w:sz w:val="17"/>
          <w:u w:val="thick" w:color="212121"/>
        </w:rPr>
        <w:t>(BO))]];</w:t>
      </w:r>
      <w:r>
        <w:rPr>
          <w:rFonts w:ascii="Arial"/>
          <w:b/>
          <w:color w:val="212121"/>
          <w:spacing w:val="-10"/>
          <w:w w:val="95"/>
          <w:sz w:val="17"/>
          <w:u w:val="thick" w:color="212121"/>
        </w:rPr>
        <w:t xml:space="preserve"> </w:t>
      </w:r>
      <w:r>
        <w:rPr>
          <w:rFonts w:ascii="Arial"/>
          <w:b/>
          <w:color w:val="212121"/>
          <w:w w:val="95"/>
          <w:sz w:val="17"/>
          <w:u w:val="thick" w:color="212121"/>
        </w:rPr>
        <w:t>COFCO</w:t>
      </w:r>
      <w:r>
        <w:rPr>
          <w:rFonts w:ascii="Arial"/>
          <w:b/>
          <w:color w:val="212121"/>
          <w:spacing w:val="-9"/>
          <w:w w:val="95"/>
          <w:sz w:val="17"/>
          <w:u w:val="thick" w:color="212121"/>
        </w:rPr>
        <w:t xml:space="preserve"> </w:t>
      </w:r>
      <w:r>
        <w:rPr>
          <w:rFonts w:ascii="Arial"/>
          <w:b/>
          <w:color w:val="212121"/>
          <w:w w:val="95"/>
          <w:sz w:val="17"/>
          <w:u w:val="thick" w:color="212121"/>
        </w:rPr>
        <w:t>W&amp;W</w:t>
      </w:r>
      <w:r>
        <w:rPr>
          <w:rFonts w:ascii="Arial"/>
          <w:b/>
          <w:color w:val="212121"/>
          <w:spacing w:val="-8"/>
          <w:w w:val="95"/>
          <w:sz w:val="17"/>
          <w:u w:val="thick" w:color="212121"/>
        </w:rPr>
        <w:t xml:space="preserve"> </w:t>
      </w:r>
      <w:r>
        <w:rPr>
          <w:rFonts w:ascii="Arial"/>
          <w:b/>
          <w:color w:val="0E0E0E"/>
          <w:w w:val="95"/>
          <w:sz w:val="17"/>
          <w:u w:val="thick" w:color="212121"/>
        </w:rPr>
        <w:t>International</w:t>
      </w:r>
      <w:r>
        <w:rPr>
          <w:rFonts w:ascii="Arial"/>
          <w:b/>
          <w:color w:val="0E0E0E"/>
          <w:spacing w:val="1"/>
          <w:sz w:val="17"/>
          <w:u w:val="thick" w:color="212121"/>
        </w:rPr>
        <w:t xml:space="preserve"> </w:t>
      </w:r>
      <w:r>
        <w:rPr>
          <w:rFonts w:ascii="Arial"/>
          <w:b/>
          <w:color w:val="212121"/>
          <w:w w:val="95"/>
          <w:sz w:val="17"/>
          <w:u w:val="thick" w:color="212121"/>
        </w:rPr>
        <w:t>Anti-Dump</w:t>
      </w:r>
      <w:r>
        <w:rPr>
          <w:rFonts w:ascii="Arial"/>
          <w:b/>
          <w:color w:val="212121"/>
          <w:w w:val="95"/>
          <w:sz w:val="17"/>
        </w:rPr>
        <w:t>i</w:t>
      </w:r>
      <w:r>
        <w:rPr>
          <w:rFonts w:ascii="Arial"/>
          <w:b/>
          <w:color w:val="212121"/>
          <w:spacing w:val="15"/>
          <w:sz w:val="17"/>
        </w:rPr>
        <w:t xml:space="preserve"> </w:t>
      </w:r>
      <w:r>
        <w:rPr>
          <w:rFonts w:ascii="Arial"/>
          <w:b/>
          <w:color w:val="212121"/>
          <w:w w:val="95"/>
          <w:sz w:val="17"/>
        </w:rPr>
        <w:t xml:space="preserve">g </w:t>
      </w:r>
      <w:r>
        <w:rPr>
          <w:rFonts w:ascii="Arial"/>
          <w:b/>
          <w:color w:val="212121"/>
          <w:spacing w:val="-2"/>
          <w:w w:val="95"/>
          <w:sz w:val="17"/>
          <w:u w:val="thick" w:color="212121"/>
        </w:rPr>
        <w:t>Questionnaire</w:t>
      </w:r>
      <w:r>
        <w:rPr>
          <w:rFonts w:ascii="Arial"/>
          <w:b/>
          <w:color w:val="212121"/>
          <w:spacing w:val="-11"/>
          <w:w w:val="95"/>
          <w:sz w:val="17"/>
          <w:u w:val="thick" w:color="212121"/>
        </w:rPr>
        <w:t xml:space="preserve"> </w:t>
      </w:r>
      <w:r>
        <w:rPr>
          <w:rFonts w:ascii="Arial"/>
          <w:b/>
          <w:color w:val="0E0E0E"/>
          <w:spacing w:val="-2"/>
          <w:w w:val="95"/>
          <w:sz w:val="17"/>
          <w:u w:val="thick" w:color="212121"/>
        </w:rPr>
        <w:t>Res</w:t>
      </w:r>
      <w:r>
        <w:rPr>
          <w:rFonts w:ascii="Arial"/>
          <w:b/>
          <w:color w:val="3F3F3F"/>
          <w:spacing w:val="-2"/>
          <w:w w:val="95"/>
          <w:sz w:val="17"/>
          <w:u w:val="thick" w:color="212121"/>
        </w:rPr>
        <w:t>P.Q</w:t>
      </w:r>
      <w:r>
        <w:rPr>
          <w:rFonts w:ascii="Arial"/>
          <w:b/>
          <w:color w:val="212121"/>
          <w:spacing w:val="-2"/>
          <w:w w:val="95"/>
          <w:sz w:val="17"/>
          <w:u w:val="thick" w:color="212121"/>
        </w:rPr>
        <w:t>nse)</w:t>
      </w:r>
      <w:r>
        <w:rPr>
          <w:rFonts w:ascii="Arial"/>
          <w:b/>
          <w:color w:val="212121"/>
          <w:spacing w:val="-24"/>
          <w:w w:val="95"/>
          <w:sz w:val="17"/>
          <w:u w:val="thick" w:color="212121"/>
        </w:rPr>
        <w:t xml:space="preserve"> </w:t>
      </w:r>
      <w:r>
        <w:rPr>
          <w:rFonts w:ascii="Arial"/>
          <w:b/>
          <w:color w:val="212121"/>
          <w:spacing w:val="-2"/>
          <w:w w:val="95"/>
          <w:sz w:val="17"/>
          <w:u w:val="thick" w:color="212121"/>
        </w:rPr>
        <w:t>(Exhibit</w:t>
      </w:r>
      <w:r>
        <w:rPr>
          <w:rFonts w:ascii="Arial"/>
          <w:b/>
          <w:color w:val="212121"/>
          <w:spacing w:val="-8"/>
          <w:w w:val="95"/>
          <w:sz w:val="17"/>
          <w:u w:val="thick" w:color="212121"/>
        </w:rPr>
        <w:t xml:space="preserve"> </w:t>
      </w:r>
      <w:r>
        <w:rPr>
          <w:rFonts w:ascii="Arial"/>
          <w:b/>
          <w:color w:val="212121"/>
          <w:spacing w:val="-2"/>
          <w:w w:val="95"/>
          <w:sz w:val="17"/>
          <w:u w:val="thick" w:color="212121"/>
        </w:rPr>
        <w:t>AUS-103),</w:t>
      </w:r>
      <w:r>
        <w:rPr>
          <w:rFonts w:ascii="Arial"/>
          <w:b/>
          <w:color w:val="212121"/>
          <w:spacing w:val="-5"/>
          <w:w w:val="95"/>
          <w:sz w:val="17"/>
          <w:u w:val="thick" w:color="212121"/>
        </w:rPr>
        <w:t xml:space="preserve"> </w:t>
      </w:r>
      <w:r>
        <w:rPr>
          <w:rFonts w:ascii="Arial"/>
          <w:b/>
          <w:color w:val="212121"/>
          <w:spacing w:val="-2"/>
          <w:w w:val="95"/>
          <w:sz w:val="17"/>
          <w:u w:val="thick" w:color="212121"/>
        </w:rPr>
        <w:t>Section</w:t>
      </w:r>
      <w:r>
        <w:rPr>
          <w:rFonts w:ascii="Arial"/>
          <w:b/>
          <w:color w:val="212121"/>
          <w:spacing w:val="-10"/>
          <w:w w:val="95"/>
          <w:sz w:val="17"/>
        </w:rPr>
        <w:t xml:space="preserve"> </w:t>
      </w:r>
      <w:r>
        <w:rPr>
          <w:rFonts w:ascii="Arial"/>
          <w:color w:val="212121"/>
          <w:spacing w:val="-2"/>
          <w:w w:val="95"/>
          <w:sz w:val="16"/>
        </w:rPr>
        <w:t>3,</w:t>
      </w:r>
      <w:r>
        <w:rPr>
          <w:rFonts w:ascii="Arial"/>
          <w:color w:val="212121"/>
          <w:spacing w:val="20"/>
          <w:sz w:val="16"/>
        </w:rPr>
        <w:t xml:space="preserve"> </w:t>
      </w:r>
      <w:r>
        <w:rPr>
          <w:rFonts w:ascii="Arial"/>
          <w:color w:val="212121"/>
          <w:spacing w:val="-2"/>
          <w:w w:val="95"/>
          <w:sz w:val="16"/>
        </w:rPr>
        <w:t>Question</w:t>
      </w:r>
      <w:r>
        <w:rPr>
          <w:rFonts w:ascii="Arial"/>
          <w:color w:val="212121"/>
          <w:spacing w:val="-6"/>
          <w:w w:val="95"/>
          <w:sz w:val="16"/>
        </w:rPr>
        <w:t xml:space="preserve"> </w:t>
      </w:r>
      <w:r>
        <w:rPr>
          <w:rFonts w:ascii="Arial"/>
          <w:color w:val="212121"/>
          <w:spacing w:val="-2"/>
          <w:w w:val="95"/>
          <w:sz w:val="16"/>
        </w:rPr>
        <w:t>15.</w:t>
      </w:r>
    </w:p>
    <w:p w14:paraId="51DE8F44" w14:textId="77777777" w:rsidR="0010369C" w:rsidRDefault="008E43AE">
      <w:pPr>
        <w:spacing w:before="80" w:line="223" w:lineRule="auto"/>
        <w:ind w:left="236" w:firstLine="4"/>
        <w:rPr>
          <w:rFonts w:ascii="Arial"/>
          <w:sz w:val="16"/>
        </w:rPr>
      </w:pPr>
      <w:r>
        <w:rPr>
          <w:rFonts w:ascii="Arial"/>
          <w:color w:val="212121"/>
          <w:w w:val="105"/>
          <w:sz w:val="16"/>
          <w:vertAlign w:val="superscript"/>
        </w:rPr>
        <w:t>686</w:t>
      </w:r>
      <w:r>
        <w:rPr>
          <w:rFonts w:ascii="Arial"/>
          <w:color w:val="212121"/>
          <w:w w:val="105"/>
          <w:sz w:val="16"/>
        </w:rPr>
        <w:t xml:space="preserve"> Beijing Fengshou</w:t>
      </w:r>
      <w:r>
        <w:rPr>
          <w:rFonts w:ascii="Arial"/>
          <w:color w:val="212121"/>
          <w:spacing w:val="16"/>
          <w:w w:val="105"/>
          <w:sz w:val="16"/>
        </w:rPr>
        <w:t xml:space="preserve"> </w:t>
      </w:r>
      <w:r>
        <w:rPr>
          <w:rFonts w:ascii="Arial"/>
          <w:color w:val="212121"/>
          <w:w w:val="105"/>
          <w:sz w:val="16"/>
        </w:rPr>
        <w:t>Wine</w:t>
      </w:r>
      <w:r>
        <w:rPr>
          <w:rFonts w:ascii="Arial"/>
          <w:color w:val="212121"/>
          <w:spacing w:val="22"/>
          <w:w w:val="105"/>
          <w:sz w:val="16"/>
        </w:rPr>
        <w:t xml:space="preserve"> </w:t>
      </w:r>
      <w:r>
        <w:rPr>
          <w:rFonts w:ascii="Arial"/>
          <w:color w:val="212121"/>
          <w:w w:val="105"/>
          <w:sz w:val="16"/>
        </w:rPr>
        <w:t>Anti-Dumping</w:t>
      </w:r>
      <w:r>
        <w:rPr>
          <w:rFonts w:ascii="Arial"/>
          <w:color w:val="212121"/>
          <w:spacing w:val="20"/>
          <w:w w:val="105"/>
          <w:sz w:val="16"/>
        </w:rPr>
        <w:t xml:space="preserve"> </w:t>
      </w:r>
      <w:r>
        <w:rPr>
          <w:rFonts w:ascii="Arial"/>
          <w:color w:val="212121"/>
          <w:w w:val="105"/>
          <w:sz w:val="16"/>
        </w:rPr>
        <w:t>Questionnaire</w:t>
      </w:r>
      <w:r>
        <w:rPr>
          <w:rFonts w:ascii="Arial"/>
          <w:color w:val="212121"/>
          <w:spacing w:val="22"/>
          <w:w w:val="105"/>
          <w:sz w:val="16"/>
        </w:rPr>
        <w:t xml:space="preserve"> </w:t>
      </w:r>
      <w:r>
        <w:rPr>
          <w:rFonts w:ascii="Arial"/>
          <w:color w:val="212121"/>
          <w:w w:val="105"/>
          <w:sz w:val="16"/>
        </w:rPr>
        <w:t>Response (Exhibit</w:t>
      </w:r>
      <w:r>
        <w:rPr>
          <w:rFonts w:ascii="Arial"/>
          <w:color w:val="212121"/>
          <w:spacing w:val="23"/>
          <w:w w:val="105"/>
          <w:sz w:val="16"/>
        </w:rPr>
        <w:t xml:space="preserve"> </w:t>
      </w:r>
      <w:r>
        <w:rPr>
          <w:rFonts w:ascii="Arial"/>
          <w:color w:val="212121"/>
          <w:w w:val="105"/>
          <w:sz w:val="16"/>
        </w:rPr>
        <w:t>AUS-56),</w:t>
      </w:r>
      <w:r>
        <w:rPr>
          <w:rFonts w:ascii="Arial"/>
          <w:color w:val="212121"/>
          <w:spacing w:val="18"/>
          <w:w w:val="105"/>
          <w:sz w:val="16"/>
        </w:rPr>
        <w:t xml:space="preserve"> </w:t>
      </w:r>
      <w:r>
        <w:rPr>
          <w:rFonts w:ascii="Arial"/>
          <w:color w:val="212121"/>
          <w:w w:val="105"/>
          <w:sz w:val="16"/>
        </w:rPr>
        <w:t>Section</w:t>
      </w:r>
      <w:r>
        <w:rPr>
          <w:rFonts w:ascii="Arial"/>
          <w:color w:val="212121"/>
          <w:spacing w:val="26"/>
          <w:w w:val="105"/>
          <w:sz w:val="16"/>
        </w:rPr>
        <w:t xml:space="preserve"> </w:t>
      </w:r>
      <w:r>
        <w:rPr>
          <w:rFonts w:ascii="Arial"/>
          <w:color w:val="212121"/>
          <w:w w:val="105"/>
          <w:sz w:val="16"/>
        </w:rPr>
        <w:t>2, Question 10(6), p. 18;</w:t>
      </w:r>
      <w:r>
        <w:rPr>
          <w:rFonts w:ascii="Arial"/>
          <w:color w:val="212121"/>
          <w:w w:val="105"/>
          <w:sz w:val="16"/>
        </w:rPr>
        <w:t xml:space="preserve"> CITIC Guoan Anti-Dumping Questionnaire Response (Exhibit AUS-47),</w:t>
      </w:r>
      <w:r>
        <w:rPr>
          <w:rFonts w:ascii="Arial"/>
          <w:color w:val="212121"/>
          <w:spacing w:val="-5"/>
          <w:w w:val="105"/>
          <w:sz w:val="16"/>
        </w:rPr>
        <w:t xml:space="preserve"> </w:t>
      </w:r>
      <w:r>
        <w:rPr>
          <w:rFonts w:ascii="Arial"/>
          <w:color w:val="212121"/>
          <w:w w:val="105"/>
          <w:sz w:val="16"/>
        </w:rPr>
        <w:t>Section 2, Question</w:t>
      </w:r>
      <w:r>
        <w:rPr>
          <w:rFonts w:ascii="Arial"/>
          <w:color w:val="212121"/>
          <w:spacing w:val="-5"/>
          <w:w w:val="105"/>
          <w:sz w:val="16"/>
        </w:rPr>
        <w:t xml:space="preserve"> </w:t>
      </w:r>
      <w:r>
        <w:rPr>
          <w:rFonts w:ascii="Arial"/>
          <w:color w:val="212121"/>
          <w:w w:val="105"/>
          <w:sz w:val="16"/>
        </w:rPr>
        <w:t>10(6),</w:t>
      </w:r>
      <w:r>
        <w:rPr>
          <w:rFonts w:ascii="Arial"/>
          <w:color w:val="212121"/>
          <w:spacing w:val="-6"/>
          <w:w w:val="105"/>
          <w:sz w:val="16"/>
        </w:rPr>
        <w:t xml:space="preserve"> </w:t>
      </w:r>
      <w:r>
        <w:rPr>
          <w:rFonts w:ascii="Arial"/>
          <w:color w:val="0E0E0E"/>
          <w:w w:val="105"/>
          <w:sz w:val="16"/>
        </w:rPr>
        <w:t xml:space="preserve">p. </w:t>
      </w:r>
      <w:r>
        <w:rPr>
          <w:rFonts w:ascii="Arial"/>
          <w:color w:val="212121"/>
          <w:w w:val="105"/>
          <w:sz w:val="16"/>
        </w:rPr>
        <w:t>19;</w:t>
      </w:r>
      <w:r>
        <w:rPr>
          <w:rFonts w:ascii="Arial"/>
          <w:color w:val="212121"/>
          <w:spacing w:val="-4"/>
          <w:w w:val="105"/>
          <w:sz w:val="16"/>
        </w:rPr>
        <w:t xml:space="preserve"> </w:t>
      </w:r>
      <w:r>
        <w:rPr>
          <w:rFonts w:ascii="Arial"/>
          <w:color w:val="212121"/>
          <w:w w:val="105"/>
          <w:sz w:val="16"/>
        </w:rPr>
        <w:t>Dynasty Fine Wine Anti-</w:t>
      </w:r>
    </w:p>
    <w:p w14:paraId="51DE8F45" w14:textId="77777777" w:rsidR="0010369C" w:rsidRDefault="008E43AE">
      <w:pPr>
        <w:spacing w:before="38" w:line="288" w:lineRule="auto"/>
        <w:ind w:left="234" w:right="284" w:firstLine="7"/>
        <w:rPr>
          <w:rFonts w:ascii="Arial"/>
          <w:sz w:val="16"/>
        </w:rPr>
      </w:pPr>
      <w:r>
        <w:rPr>
          <w:rFonts w:ascii="Arial"/>
          <w:color w:val="212121"/>
          <w:w w:val="105"/>
          <w:sz w:val="16"/>
        </w:rPr>
        <w:t>Dumping</w:t>
      </w:r>
      <w:r>
        <w:rPr>
          <w:rFonts w:ascii="Arial"/>
          <w:color w:val="212121"/>
          <w:spacing w:val="40"/>
          <w:w w:val="105"/>
          <w:sz w:val="16"/>
        </w:rPr>
        <w:t xml:space="preserve"> </w:t>
      </w:r>
      <w:r>
        <w:rPr>
          <w:rFonts w:ascii="Arial"/>
          <w:color w:val="212121"/>
          <w:w w:val="105"/>
          <w:sz w:val="16"/>
        </w:rPr>
        <w:t>Questionnaire</w:t>
      </w:r>
      <w:r>
        <w:rPr>
          <w:rFonts w:ascii="Arial"/>
          <w:color w:val="212121"/>
          <w:spacing w:val="76"/>
          <w:w w:val="105"/>
          <w:sz w:val="16"/>
        </w:rPr>
        <w:t xml:space="preserve"> </w:t>
      </w:r>
      <w:r>
        <w:rPr>
          <w:rFonts w:ascii="Arial"/>
          <w:color w:val="212121"/>
          <w:w w:val="105"/>
          <w:sz w:val="16"/>
        </w:rPr>
        <w:t>Response</w:t>
      </w:r>
      <w:r>
        <w:rPr>
          <w:rFonts w:ascii="Arial"/>
          <w:color w:val="212121"/>
          <w:spacing w:val="65"/>
          <w:w w:val="105"/>
          <w:sz w:val="16"/>
        </w:rPr>
        <w:t xml:space="preserve"> </w:t>
      </w:r>
      <w:r>
        <w:rPr>
          <w:rFonts w:ascii="Arial"/>
          <w:color w:val="212121"/>
          <w:w w:val="105"/>
          <w:sz w:val="16"/>
        </w:rPr>
        <w:t>(Exhibit</w:t>
      </w:r>
      <w:r>
        <w:rPr>
          <w:rFonts w:ascii="Arial"/>
          <w:color w:val="212121"/>
          <w:spacing w:val="68"/>
          <w:w w:val="105"/>
          <w:sz w:val="16"/>
        </w:rPr>
        <w:t xml:space="preserve"> </w:t>
      </w:r>
      <w:r>
        <w:rPr>
          <w:rFonts w:ascii="Arial"/>
          <w:color w:val="212121"/>
          <w:w w:val="105"/>
          <w:sz w:val="16"/>
        </w:rPr>
        <w:t>AUS-55),</w:t>
      </w:r>
      <w:r>
        <w:rPr>
          <w:rFonts w:ascii="Arial"/>
          <w:color w:val="212121"/>
          <w:spacing w:val="40"/>
          <w:w w:val="105"/>
          <w:sz w:val="16"/>
        </w:rPr>
        <w:t xml:space="preserve"> </w:t>
      </w:r>
      <w:r>
        <w:rPr>
          <w:rFonts w:ascii="Arial"/>
          <w:color w:val="212121"/>
          <w:w w:val="105"/>
          <w:sz w:val="16"/>
        </w:rPr>
        <w:t>Section</w:t>
      </w:r>
      <w:r>
        <w:rPr>
          <w:rFonts w:ascii="Arial"/>
          <w:color w:val="212121"/>
          <w:spacing w:val="71"/>
          <w:w w:val="105"/>
          <w:sz w:val="16"/>
        </w:rPr>
        <w:t xml:space="preserve"> </w:t>
      </w:r>
      <w:r>
        <w:rPr>
          <w:rFonts w:ascii="Arial"/>
          <w:color w:val="212121"/>
          <w:w w:val="105"/>
          <w:sz w:val="16"/>
        </w:rPr>
        <w:t>2,</w:t>
      </w:r>
      <w:r>
        <w:rPr>
          <w:rFonts w:ascii="Arial"/>
          <w:color w:val="212121"/>
          <w:spacing w:val="40"/>
          <w:w w:val="105"/>
          <w:sz w:val="16"/>
        </w:rPr>
        <w:t xml:space="preserve"> </w:t>
      </w:r>
      <w:r>
        <w:rPr>
          <w:rFonts w:ascii="Arial"/>
          <w:color w:val="212121"/>
          <w:w w:val="105"/>
          <w:sz w:val="16"/>
        </w:rPr>
        <w:t>Question</w:t>
      </w:r>
      <w:r>
        <w:rPr>
          <w:rFonts w:ascii="Arial"/>
          <w:color w:val="212121"/>
          <w:spacing w:val="40"/>
          <w:w w:val="105"/>
          <w:sz w:val="16"/>
        </w:rPr>
        <w:t xml:space="preserve"> </w:t>
      </w:r>
      <w:r>
        <w:rPr>
          <w:rFonts w:ascii="Arial"/>
          <w:color w:val="212121"/>
          <w:w w:val="105"/>
          <w:sz w:val="16"/>
        </w:rPr>
        <w:t>10(6),</w:t>
      </w:r>
      <w:r>
        <w:rPr>
          <w:rFonts w:ascii="Arial"/>
          <w:color w:val="212121"/>
          <w:spacing w:val="40"/>
          <w:w w:val="105"/>
          <w:sz w:val="16"/>
        </w:rPr>
        <w:t xml:space="preserve"> </w:t>
      </w:r>
      <w:r>
        <w:rPr>
          <w:rFonts w:ascii="Arial"/>
          <w:color w:val="212121"/>
          <w:w w:val="105"/>
          <w:sz w:val="16"/>
        </w:rPr>
        <w:t>pp.</w:t>
      </w:r>
      <w:r>
        <w:rPr>
          <w:rFonts w:ascii="Arial"/>
          <w:color w:val="212121"/>
          <w:spacing w:val="40"/>
          <w:w w:val="105"/>
          <w:sz w:val="16"/>
        </w:rPr>
        <w:t xml:space="preserve"> </w:t>
      </w:r>
      <w:r>
        <w:rPr>
          <w:rFonts w:ascii="Arial"/>
          <w:color w:val="212121"/>
          <w:w w:val="105"/>
          <w:sz w:val="16"/>
        </w:rPr>
        <w:t>18-19;</w:t>
      </w:r>
      <w:r>
        <w:rPr>
          <w:rFonts w:ascii="Arial"/>
          <w:color w:val="212121"/>
          <w:spacing w:val="40"/>
          <w:w w:val="105"/>
          <w:sz w:val="16"/>
        </w:rPr>
        <w:t xml:space="preserve"> </w:t>
      </w:r>
      <w:r>
        <w:rPr>
          <w:rFonts w:ascii="Arial"/>
          <w:color w:val="212121"/>
          <w:w w:val="105"/>
          <w:sz w:val="16"/>
        </w:rPr>
        <w:t>Gansu</w:t>
      </w:r>
      <w:r>
        <w:rPr>
          <w:rFonts w:ascii="Arial"/>
          <w:color w:val="212121"/>
          <w:spacing w:val="40"/>
          <w:w w:val="105"/>
          <w:sz w:val="16"/>
        </w:rPr>
        <w:t xml:space="preserve"> </w:t>
      </w:r>
      <w:r>
        <w:rPr>
          <w:rFonts w:ascii="Arial"/>
          <w:color w:val="212121"/>
          <w:w w:val="105"/>
          <w:sz w:val="16"/>
        </w:rPr>
        <w:t>Mogao</w:t>
      </w:r>
      <w:r>
        <w:rPr>
          <w:rFonts w:ascii="Arial"/>
          <w:color w:val="212121"/>
          <w:spacing w:val="66"/>
          <w:w w:val="105"/>
          <w:sz w:val="16"/>
        </w:rPr>
        <w:t xml:space="preserve"> </w:t>
      </w:r>
      <w:r>
        <w:rPr>
          <w:rFonts w:ascii="Arial"/>
          <w:color w:val="212121"/>
          <w:w w:val="105"/>
          <w:sz w:val="16"/>
        </w:rPr>
        <w:t>Industrial Development</w:t>
      </w:r>
      <w:r>
        <w:rPr>
          <w:rFonts w:ascii="Arial"/>
          <w:color w:val="212121"/>
          <w:spacing w:val="-5"/>
          <w:w w:val="105"/>
          <w:sz w:val="16"/>
        </w:rPr>
        <w:t xml:space="preserve"> </w:t>
      </w:r>
      <w:r>
        <w:rPr>
          <w:rFonts w:ascii="Arial"/>
          <w:color w:val="212121"/>
          <w:w w:val="105"/>
          <w:sz w:val="16"/>
        </w:rPr>
        <w:t>Anti-Dumping</w:t>
      </w:r>
      <w:r>
        <w:rPr>
          <w:rFonts w:ascii="Arial"/>
          <w:color w:val="212121"/>
          <w:spacing w:val="-11"/>
          <w:w w:val="105"/>
          <w:sz w:val="16"/>
        </w:rPr>
        <w:t xml:space="preserve"> </w:t>
      </w:r>
      <w:r>
        <w:rPr>
          <w:rFonts w:ascii="Arial"/>
          <w:color w:val="212121"/>
          <w:w w:val="105"/>
          <w:sz w:val="16"/>
        </w:rPr>
        <w:t>Questionnaire</w:t>
      </w:r>
      <w:r>
        <w:rPr>
          <w:rFonts w:ascii="Arial"/>
          <w:color w:val="212121"/>
          <w:spacing w:val="-8"/>
          <w:w w:val="105"/>
          <w:sz w:val="16"/>
        </w:rPr>
        <w:t xml:space="preserve"> </w:t>
      </w:r>
      <w:r>
        <w:rPr>
          <w:rFonts w:ascii="Arial"/>
          <w:color w:val="212121"/>
          <w:w w:val="105"/>
          <w:sz w:val="16"/>
        </w:rPr>
        <w:t>Response</w:t>
      </w:r>
      <w:r>
        <w:rPr>
          <w:rFonts w:ascii="Arial"/>
          <w:color w:val="212121"/>
          <w:spacing w:val="-1"/>
          <w:w w:val="105"/>
          <w:sz w:val="16"/>
        </w:rPr>
        <w:t xml:space="preserve"> </w:t>
      </w:r>
      <w:r>
        <w:rPr>
          <w:rFonts w:ascii="Arial"/>
          <w:color w:val="212121"/>
          <w:w w:val="105"/>
          <w:sz w:val="16"/>
        </w:rPr>
        <w:t>(Exhibit</w:t>
      </w:r>
      <w:r>
        <w:rPr>
          <w:rFonts w:ascii="Arial"/>
          <w:color w:val="212121"/>
          <w:spacing w:val="-6"/>
          <w:w w:val="105"/>
          <w:sz w:val="16"/>
        </w:rPr>
        <w:t xml:space="preserve"> </w:t>
      </w:r>
      <w:r>
        <w:rPr>
          <w:rFonts w:ascii="Arial"/>
          <w:color w:val="212121"/>
          <w:w w:val="105"/>
          <w:sz w:val="16"/>
        </w:rPr>
        <w:t>AUS-58),</w:t>
      </w:r>
      <w:r>
        <w:rPr>
          <w:rFonts w:ascii="Arial"/>
          <w:color w:val="212121"/>
          <w:spacing w:val="-16"/>
          <w:w w:val="105"/>
          <w:sz w:val="16"/>
        </w:rPr>
        <w:t xml:space="preserve"> </w:t>
      </w:r>
      <w:r>
        <w:rPr>
          <w:rFonts w:ascii="Arial"/>
          <w:color w:val="212121"/>
          <w:w w:val="105"/>
          <w:sz w:val="16"/>
        </w:rPr>
        <w:t>Section</w:t>
      </w:r>
      <w:r>
        <w:rPr>
          <w:rFonts w:ascii="Arial"/>
          <w:color w:val="212121"/>
          <w:spacing w:val="-13"/>
          <w:w w:val="105"/>
          <w:sz w:val="16"/>
        </w:rPr>
        <w:t xml:space="preserve"> </w:t>
      </w:r>
      <w:r>
        <w:rPr>
          <w:rFonts w:ascii="Arial"/>
          <w:color w:val="212121"/>
          <w:w w:val="105"/>
          <w:sz w:val="16"/>
        </w:rPr>
        <w:t>2,</w:t>
      </w:r>
      <w:r>
        <w:rPr>
          <w:rFonts w:ascii="Arial"/>
          <w:color w:val="212121"/>
          <w:spacing w:val="-7"/>
          <w:w w:val="105"/>
          <w:sz w:val="16"/>
        </w:rPr>
        <w:t xml:space="preserve"> </w:t>
      </w:r>
      <w:r>
        <w:rPr>
          <w:rFonts w:ascii="Arial"/>
          <w:color w:val="212121"/>
          <w:w w:val="105"/>
          <w:sz w:val="16"/>
        </w:rPr>
        <w:t>Question</w:t>
      </w:r>
      <w:r>
        <w:rPr>
          <w:rFonts w:ascii="Arial"/>
          <w:color w:val="212121"/>
          <w:spacing w:val="-16"/>
          <w:w w:val="105"/>
          <w:sz w:val="16"/>
        </w:rPr>
        <w:t xml:space="preserve"> </w:t>
      </w:r>
      <w:r>
        <w:rPr>
          <w:rFonts w:ascii="Arial"/>
          <w:color w:val="212121"/>
          <w:w w:val="105"/>
          <w:sz w:val="16"/>
        </w:rPr>
        <w:t>10(6),</w:t>
      </w:r>
      <w:r>
        <w:rPr>
          <w:rFonts w:ascii="Arial"/>
          <w:color w:val="212121"/>
          <w:spacing w:val="-27"/>
          <w:w w:val="105"/>
          <w:sz w:val="16"/>
        </w:rPr>
        <w:t xml:space="preserve"> </w:t>
      </w:r>
      <w:r>
        <w:rPr>
          <w:rFonts w:ascii="Arial"/>
          <w:color w:val="212121"/>
          <w:w w:val="105"/>
          <w:sz w:val="16"/>
        </w:rPr>
        <w:t>pp.</w:t>
      </w:r>
      <w:r>
        <w:rPr>
          <w:rFonts w:ascii="Arial"/>
          <w:color w:val="212121"/>
          <w:spacing w:val="-11"/>
          <w:w w:val="105"/>
          <w:sz w:val="16"/>
        </w:rPr>
        <w:t xml:space="preserve"> </w:t>
      </w:r>
      <w:r>
        <w:rPr>
          <w:rFonts w:ascii="Arial"/>
          <w:color w:val="212121"/>
          <w:w w:val="105"/>
          <w:sz w:val="16"/>
        </w:rPr>
        <w:t>19</w:t>
      </w:r>
      <w:r>
        <w:rPr>
          <w:rFonts w:ascii="Arial"/>
          <w:color w:val="212121"/>
          <w:spacing w:val="-16"/>
          <w:w w:val="105"/>
          <w:sz w:val="16"/>
        </w:rPr>
        <w:t xml:space="preserve"> </w:t>
      </w:r>
      <w:r>
        <w:rPr>
          <w:rFonts w:ascii="Arial"/>
          <w:color w:val="212121"/>
          <w:w w:val="105"/>
          <w:sz w:val="16"/>
        </w:rPr>
        <w:t>-</w:t>
      </w:r>
      <w:r>
        <w:rPr>
          <w:rFonts w:ascii="Arial"/>
          <w:color w:val="212121"/>
          <w:spacing w:val="36"/>
          <w:w w:val="105"/>
          <w:sz w:val="16"/>
        </w:rPr>
        <w:t xml:space="preserve"> </w:t>
      </w:r>
      <w:r>
        <w:rPr>
          <w:rFonts w:ascii="Arial"/>
          <w:color w:val="212121"/>
          <w:w w:val="105"/>
          <w:sz w:val="16"/>
        </w:rPr>
        <w:t>20;</w:t>
      </w:r>
      <w:r>
        <w:rPr>
          <w:rFonts w:ascii="Arial"/>
          <w:color w:val="212121"/>
          <w:spacing w:val="-20"/>
          <w:w w:val="105"/>
          <w:sz w:val="16"/>
        </w:rPr>
        <w:t xml:space="preserve"> </w:t>
      </w:r>
      <w:r>
        <w:rPr>
          <w:rFonts w:ascii="Arial"/>
          <w:color w:val="212121"/>
          <w:w w:val="105"/>
          <w:sz w:val="16"/>
        </w:rPr>
        <w:t>Grand</w:t>
      </w:r>
      <w:r>
        <w:rPr>
          <w:rFonts w:ascii="Arial"/>
          <w:color w:val="212121"/>
          <w:spacing w:val="-22"/>
          <w:w w:val="105"/>
          <w:sz w:val="16"/>
        </w:rPr>
        <w:t xml:space="preserve"> </w:t>
      </w:r>
      <w:r>
        <w:rPr>
          <w:rFonts w:ascii="Arial"/>
          <w:color w:val="212121"/>
          <w:w w:val="105"/>
          <w:sz w:val="16"/>
        </w:rPr>
        <w:t xml:space="preserve">Dragon </w:t>
      </w:r>
      <w:r>
        <w:rPr>
          <w:rFonts w:ascii="Arial"/>
          <w:color w:val="212121"/>
          <w:spacing w:val="-2"/>
          <w:w w:val="105"/>
          <w:sz w:val="16"/>
        </w:rPr>
        <w:t>Wine</w:t>
      </w:r>
      <w:r>
        <w:rPr>
          <w:rFonts w:ascii="Arial"/>
          <w:color w:val="212121"/>
          <w:spacing w:val="-14"/>
          <w:w w:val="105"/>
          <w:sz w:val="16"/>
        </w:rPr>
        <w:t xml:space="preserve"> </w:t>
      </w:r>
      <w:r>
        <w:rPr>
          <w:rFonts w:ascii="Arial"/>
          <w:color w:val="212121"/>
          <w:spacing w:val="-2"/>
          <w:w w:val="105"/>
          <w:sz w:val="16"/>
        </w:rPr>
        <w:t>Anti-Dumping Questionnaire</w:t>
      </w:r>
      <w:r>
        <w:rPr>
          <w:rFonts w:ascii="Arial"/>
          <w:color w:val="212121"/>
          <w:spacing w:val="11"/>
          <w:w w:val="105"/>
          <w:sz w:val="16"/>
        </w:rPr>
        <w:t xml:space="preserve"> </w:t>
      </w:r>
      <w:r>
        <w:rPr>
          <w:rFonts w:ascii="Arial"/>
          <w:color w:val="212121"/>
          <w:spacing w:val="-2"/>
          <w:w w:val="105"/>
          <w:sz w:val="16"/>
        </w:rPr>
        <w:t>Response</w:t>
      </w:r>
      <w:r>
        <w:rPr>
          <w:rFonts w:ascii="Arial"/>
          <w:color w:val="212121"/>
          <w:spacing w:val="-4"/>
          <w:w w:val="105"/>
          <w:sz w:val="16"/>
        </w:rPr>
        <w:t xml:space="preserve"> </w:t>
      </w:r>
      <w:r>
        <w:rPr>
          <w:rFonts w:ascii="Arial"/>
          <w:color w:val="212121"/>
          <w:spacing w:val="-2"/>
          <w:w w:val="105"/>
          <w:sz w:val="16"/>
        </w:rPr>
        <w:t>(Exhibit AUS-51),</w:t>
      </w:r>
      <w:r>
        <w:rPr>
          <w:rFonts w:ascii="Arial"/>
          <w:color w:val="212121"/>
          <w:spacing w:val="-22"/>
          <w:w w:val="105"/>
          <w:sz w:val="16"/>
        </w:rPr>
        <w:t xml:space="preserve"> </w:t>
      </w:r>
      <w:r>
        <w:rPr>
          <w:rFonts w:ascii="Arial"/>
          <w:color w:val="212121"/>
          <w:spacing w:val="-2"/>
          <w:w w:val="105"/>
          <w:sz w:val="16"/>
        </w:rPr>
        <w:t>Section</w:t>
      </w:r>
      <w:r>
        <w:rPr>
          <w:rFonts w:ascii="Arial"/>
          <w:color w:val="212121"/>
          <w:spacing w:val="-8"/>
          <w:w w:val="105"/>
          <w:sz w:val="16"/>
        </w:rPr>
        <w:t xml:space="preserve"> </w:t>
      </w:r>
      <w:r>
        <w:rPr>
          <w:rFonts w:ascii="Arial"/>
          <w:color w:val="212121"/>
          <w:spacing w:val="-2"/>
          <w:w w:val="105"/>
          <w:sz w:val="16"/>
        </w:rPr>
        <w:t>2,</w:t>
      </w:r>
      <w:r>
        <w:rPr>
          <w:rFonts w:ascii="Arial"/>
          <w:color w:val="212121"/>
          <w:spacing w:val="-15"/>
          <w:w w:val="105"/>
          <w:sz w:val="16"/>
        </w:rPr>
        <w:t xml:space="preserve"> </w:t>
      </w:r>
      <w:r>
        <w:rPr>
          <w:rFonts w:ascii="Arial"/>
          <w:color w:val="212121"/>
          <w:spacing w:val="-2"/>
          <w:w w:val="105"/>
          <w:sz w:val="16"/>
        </w:rPr>
        <w:t>Question</w:t>
      </w:r>
      <w:r>
        <w:rPr>
          <w:rFonts w:ascii="Arial"/>
          <w:color w:val="212121"/>
          <w:spacing w:val="-10"/>
          <w:w w:val="105"/>
          <w:sz w:val="16"/>
        </w:rPr>
        <w:t xml:space="preserve"> </w:t>
      </w:r>
      <w:r>
        <w:rPr>
          <w:rFonts w:ascii="Arial"/>
          <w:color w:val="212121"/>
          <w:spacing w:val="-2"/>
          <w:w w:val="105"/>
          <w:sz w:val="16"/>
        </w:rPr>
        <w:t>10(6),</w:t>
      </w:r>
      <w:r>
        <w:rPr>
          <w:rFonts w:ascii="Arial"/>
          <w:color w:val="212121"/>
          <w:spacing w:val="-24"/>
          <w:w w:val="105"/>
          <w:sz w:val="16"/>
        </w:rPr>
        <w:t xml:space="preserve"> </w:t>
      </w:r>
      <w:r>
        <w:rPr>
          <w:rFonts w:ascii="Arial"/>
          <w:color w:val="212121"/>
          <w:spacing w:val="-2"/>
          <w:w w:val="105"/>
          <w:sz w:val="16"/>
        </w:rPr>
        <w:t>pp. 21;</w:t>
      </w:r>
      <w:r>
        <w:rPr>
          <w:rFonts w:ascii="Arial"/>
          <w:color w:val="212121"/>
          <w:spacing w:val="-18"/>
          <w:w w:val="105"/>
          <w:sz w:val="16"/>
        </w:rPr>
        <w:t xml:space="preserve"> </w:t>
      </w:r>
      <w:r>
        <w:rPr>
          <w:rFonts w:ascii="Arial"/>
          <w:color w:val="212121"/>
          <w:spacing w:val="-2"/>
          <w:w w:val="105"/>
          <w:sz w:val="16"/>
        </w:rPr>
        <w:t>Kweichow Moutai</w:t>
      </w:r>
      <w:r>
        <w:rPr>
          <w:rFonts w:ascii="Arial"/>
          <w:color w:val="212121"/>
          <w:spacing w:val="-10"/>
          <w:w w:val="105"/>
          <w:sz w:val="16"/>
        </w:rPr>
        <w:t xml:space="preserve"> </w:t>
      </w:r>
      <w:r>
        <w:rPr>
          <w:rFonts w:ascii="Arial"/>
          <w:color w:val="212121"/>
          <w:spacing w:val="-2"/>
          <w:w w:val="105"/>
          <w:sz w:val="16"/>
        </w:rPr>
        <w:t>Distillery Anti-</w:t>
      </w:r>
      <w:r>
        <w:rPr>
          <w:rFonts w:ascii="Arial"/>
          <w:color w:val="212121"/>
          <w:w w:val="105"/>
          <w:sz w:val="16"/>
        </w:rPr>
        <w:t xml:space="preserve">Dumping Questionnaire Response (Exhibit AUS-60), Section 2, Question 10(6), </w:t>
      </w:r>
      <w:r>
        <w:rPr>
          <w:rFonts w:ascii="Arial"/>
          <w:color w:val="0E0E0E"/>
          <w:w w:val="105"/>
          <w:sz w:val="16"/>
        </w:rPr>
        <w:t xml:space="preserve">p.20; </w:t>
      </w:r>
      <w:r>
        <w:rPr>
          <w:rFonts w:ascii="Arial"/>
          <w:color w:val="212121"/>
          <w:w w:val="105"/>
          <w:sz w:val="16"/>
        </w:rPr>
        <w:t>Shangri-La</w:t>
      </w:r>
      <w:r>
        <w:rPr>
          <w:rFonts w:ascii="Arial"/>
          <w:color w:val="212121"/>
          <w:spacing w:val="24"/>
          <w:w w:val="105"/>
          <w:sz w:val="16"/>
        </w:rPr>
        <w:t xml:space="preserve"> </w:t>
      </w:r>
      <w:r>
        <w:rPr>
          <w:rFonts w:ascii="Arial"/>
          <w:color w:val="212121"/>
          <w:w w:val="105"/>
          <w:sz w:val="16"/>
        </w:rPr>
        <w:t>Wine Anti-Dumping Questionnaire</w:t>
      </w:r>
      <w:r>
        <w:rPr>
          <w:rFonts w:ascii="Arial"/>
          <w:color w:val="212121"/>
          <w:spacing w:val="40"/>
          <w:w w:val="105"/>
          <w:sz w:val="16"/>
        </w:rPr>
        <w:t xml:space="preserve"> </w:t>
      </w:r>
      <w:r>
        <w:rPr>
          <w:rFonts w:ascii="Arial"/>
          <w:color w:val="212121"/>
          <w:w w:val="105"/>
          <w:sz w:val="16"/>
        </w:rPr>
        <w:t>Response</w:t>
      </w:r>
      <w:r>
        <w:rPr>
          <w:rFonts w:ascii="Arial"/>
          <w:color w:val="212121"/>
          <w:spacing w:val="40"/>
          <w:w w:val="105"/>
          <w:sz w:val="16"/>
        </w:rPr>
        <w:t xml:space="preserve"> </w:t>
      </w:r>
      <w:r>
        <w:rPr>
          <w:rFonts w:ascii="Arial"/>
          <w:color w:val="212121"/>
          <w:w w:val="105"/>
          <w:sz w:val="16"/>
        </w:rPr>
        <w:t>(Exhibit</w:t>
      </w:r>
      <w:r>
        <w:rPr>
          <w:rFonts w:ascii="Arial"/>
          <w:color w:val="212121"/>
          <w:spacing w:val="40"/>
          <w:w w:val="105"/>
          <w:sz w:val="16"/>
        </w:rPr>
        <w:t xml:space="preserve"> </w:t>
      </w:r>
      <w:r>
        <w:rPr>
          <w:rFonts w:ascii="Arial"/>
          <w:color w:val="212121"/>
          <w:w w:val="105"/>
          <w:sz w:val="16"/>
        </w:rPr>
        <w:t>AUS-62),</w:t>
      </w:r>
      <w:r>
        <w:rPr>
          <w:rFonts w:ascii="Arial"/>
          <w:color w:val="212121"/>
          <w:spacing w:val="40"/>
          <w:w w:val="105"/>
          <w:sz w:val="16"/>
        </w:rPr>
        <w:t xml:space="preserve"> </w:t>
      </w:r>
      <w:r>
        <w:rPr>
          <w:rFonts w:ascii="Arial"/>
          <w:color w:val="212121"/>
          <w:w w:val="105"/>
          <w:sz w:val="16"/>
        </w:rPr>
        <w:t>Section</w:t>
      </w:r>
      <w:r>
        <w:rPr>
          <w:rFonts w:ascii="Arial"/>
          <w:color w:val="212121"/>
          <w:spacing w:val="40"/>
          <w:w w:val="105"/>
          <w:sz w:val="16"/>
        </w:rPr>
        <w:t xml:space="preserve"> </w:t>
      </w:r>
      <w:r>
        <w:rPr>
          <w:rFonts w:ascii="Arial"/>
          <w:color w:val="212121"/>
          <w:w w:val="105"/>
          <w:sz w:val="16"/>
        </w:rPr>
        <w:t>2,</w:t>
      </w:r>
      <w:r>
        <w:rPr>
          <w:rFonts w:ascii="Arial"/>
          <w:color w:val="212121"/>
          <w:spacing w:val="40"/>
          <w:w w:val="105"/>
          <w:sz w:val="16"/>
        </w:rPr>
        <w:t xml:space="preserve"> </w:t>
      </w:r>
      <w:r>
        <w:rPr>
          <w:rFonts w:ascii="Arial"/>
          <w:color w:val="212121"/>
          <w:w w:val="105"/>
          <w:sz w:val="16"/>
        </w:rPr>
        <w:t>Question</w:t>
      </w:r>
      <w:r>
        <w:rPr>
          <w:rFonts w:ascii="Arial"/>
          <w:color w:val="212121"/>
          <w:spacing w:val="32"/>
          <w:w w:val="105"/>
          <w:sz w:val="16"/>
        </w:rPr>
        <w:t xml:space="preserve"> </w:t>
      </w:r>
      <w:r>
        <w:rPr>
          <w:rFonts w:ascii="Arial"/>
          <w:color w:val="212121"/>
          <w:w w:val="105"/>
          <w:sz w:val="16"/>
        </w:rPr>
        <w:t>10(6),</w:t>
      </w:r>
      <w:r>
        <w:rPr>
          <w:rFonts w:ascii="Arial"/>
          <w:color w:val="212121"/>
          <w:spacing w:val="29"/>
          <w:w w:val="105"/>
          <w:sz w:val="16"/>
        </w:rPr>
        <w:t xml:space="preserve"> </w:t>
      </w:r>
      <w:r>
        <w:rPr>
          <w:rFonts w:ascii="Arial"/>
          <w:color w:val="0E0E0E"/>
          <w:w w:val="105"/>
          <w:sz w:val="16"/>
        </w:rPr>
        <w:t>pp.</w:t>
      </w:r>
      <w:r>
        <w:rPr>
          <w:rFonts w:ascii="Arial"/>
          <w:color w:val="0E0E0E"/>
          <w:spacing w:val="35"/>
          <w:w w:val="105"/>
          <w:sz w:val="16"/>
        </w:rPr>
        <w:t xml:space="preserve"> </w:t>
      </w:r>
      <w:r>
        <w:rPr>
          <w:rFonts w:ascii="Arial"/>
          <w:color w:val="212121"/>
          <w:w w:val="105"/>
          <w:sz w:val="16"/>
        </w:rPr>
        <w:t>18-19;</w:t>
      </w:r>
      <w:r>
        <w:rPr>
          <w:rFonts w:ascii="Arial"/>
          <w:color w:val="212121"/>
          <w:spacing w:val="24"/>
          <w:w w:val="105"/>
          <w:sz w:val="16"/>
        </w:rPr>
        <w:t xml:space="preserve"> </w:t>
      </w:r>
      <w:r>
        <w:rPr>
          <w:rFonts w:ascii="Arial"/>
          <w:color w:val="212121"/>
          <w:w w:val="105"/>
          <w:sz w:val="16"/>
        </w:rPr>
        <w:t>Shanxi</w:t>
      </w:r>
      <w:r>
        <w:rPr>
          <w:rFonts w:ascii="Arial"/>
          <w:color w:val="212121"/>
          <w:spacing w:val="36"/>
          <w:w w:val="105"/>
          <w:sz w:val="16"/>
        </w:rPr>
        <w:t xml:space="preserve"> </w:t>
      </w:r>
      <w:r>
        <w:rPr>
          <w:rFonts w:ascii="Arial"/>
          <w:color w:val="212121"/>
          <w:w w:val="105"/>
          <w:sz w:val="16"/>
        </w:rPr>
        <w:t>Rongzi</w:t>
      </w:r>
      <w:r>
        <w:rPr>
          <w:rFonts w:ascii="Arial"/>
          <w:color w:val="212121"/>
          <w:spacing w:val="38"/>
          <w:w w:val="105"/>
          <w:sz w:val="16"/>
        </w:rPr>
        <w:t xml:space="preserve"> </w:t>
      </w:r>
      <w:r>
        <w:rPr>
          <w:rFonts w:ascii="Arial"/>
          <w:color w:val="212121"/>
          <w:w w:val="105"/>
          <w:sz w:val="16"/>
        </w:rPr>
        <w:t>Winery</w:t>
      </w:r>
      <w:r>
        <w:rPr>
          <w:rFonts w:ascii="Arial"/>
          <w:color w:val="212121"/>
          <w:spacing w:val="40"/>
          <w:w w:val="105"/>
          <w:sz w:val="16"/>
        </w:rPr>
        <w:t xml:space="preserve"> </w:t>
      </w:r>
      <w:r>
        <w:rPr>
          <w:rFonts w:ascii="Arial"/>
          <w:color w:val="212121"/>
          <w:w w:val="105"/>
          <w:sz w:val="16"/>
        </w:rPr>
        <w:t>Anti-Dumping Questionnaire</w:t>
      </w:r>
      <w:r>
        <w:rPr>
          <w:rFonts w:ascii="Arial"/>
          <w:color w:val="212121"/>
          <w:spacing w:val="40"/>
          <w:w w:val="105"/>
          <w:sz w:val="16"/>
        </w:rPr>
        <w:t xml:space="preserve"> </w:t>
      </w:r>
      <w:r>
        <w:rPr>
          <w:rFonts w:ascii="Arial"/>
          <w:color w:val="212121"/>
          <w:w w:val="105"/>
          <w:sz w:val="16"/>
        </w:rPr>
        <w:t>Response</w:t>
      </w:r>
      <w:r>
        <w:rPr>
          <w:rFonts w:ascii="Arial"/>
          <w:color w:val="212121"/>
          <w:spacing w:val="40"/>
          <w:w w:val="105"/>
          <w:sz w:val="16"/>
        </w:rPr>
        <w:t xml:space="preserve"> </w:t>
      </w:r>
      <w:r>
        <w:rPr>
          <w:rFonts w:ascii="Arial"/>
          <w:color w:val="212121"/>
          <w:w w:val="105"/>
          <w:sz w:val="16"/>
        </w:rPr>
        <w:t>(Exhibit</w:t>
      </w:r>
      <w:r>
        <w:rPr>
          <w:rFonts w:ascii="Arial"/>
          <w:color w:val="212121"/>
          <w:spacing w:val="40"/>
          <w:w w:val="105"/>
          <w:sz w:val="16"/>
        </w:rPr>
        <w:t xml:space="preserve"> </w:t>
      </w:r>
      <w:r>
        <w:rPr>
          <w:rFonts w:ascii="Arial"/>
          <w:color w:val="212121"/>
          <w:w w:val="105"/>
          <w:sz w:val="16"/>
        </w:rPr>
        <w:t>AUS-63),</w:t>
      </w:r>
      <w:r>
        <w:rPr>
          <w:rFonts w:ascii="Arial"/>
          <w:color w:val="212121"/>
          <w:spacing w:val="40"/>
          <w:w w:val="105"/>
          <w:sz w:val="16"/>
        </w:rPr>
        <w:t xml:space="preserve"> </w:t>
      </w:r>
      <w:r>
        <w:rPr>
          <w:rFonts w:ascii="Arial"/>
          <w:color w:val="212121"/>
          <w:w w:val="105"/>
          <w:sz w:val="16"/>
        </w:rPr>
        <w:t>Section</w:t>
      </w:r>
      <w:r>
        <w:rPr>
          <w:rFonts w:ascii="Arial"/>
          <w:color w:val="212121"/>
          <w:spacing w:val="40"/>
          <w:w w:val="105"/>
          <w:sz w:val="16"/>
        </w:rPr>
        <w:t xml:space="preserve"> </w:t>
      </w:r>
      <w:r>
        <w:rPr>
          <w:rFonts w:ascii="Arial"/>
          <w:color w:val="212121"/>
          <w:w w:val="105"/>
          <w:sz w:val="16"/>
        </w:rPr>
        <w:t>2,</w:t>
      </w:r>
      <w:r>
        <w:rPr>
          <w:rFonts w:ascii="Arial"/>
          <w:color w:val="212121"/>
          <w:spacing w:val="40"/>
          <w:w w:val="105"/>
          <w:sz w:val="16"/>
        </w:rPr>
        <w:t xml:space="preserve"> </w:t>
      </w:r>
      <w:r>
        <w:rPr>
          <w:rFonts w:ascii="Arial"/>
          <w:color w:val="212121"/>
          <w:w w:val="105"/>
          <w:sz w:val="16"/>
        </w:rPr>
        <w:t>Question</w:t>
      </w:r>
      <w:r>
        <w:rPr>
          <w:rFonts w:ascii="Arial"/>
          <w:color w:val="212121"/>
          <w:spacing w:val="40"/>
          <w:w w:val="105"/>
          <w:sz w:val="16"/>
        </w:rPr>
        <w:t xml:space="preserve"> </w:t>
      </w:r>
      <w:r>
        <w:rPr>
          <w:rFonts w:ascii="Arial"/>
          <w:color w:val="212121"/>
          <w:w w:val="105"/>
          <w:sz w:val="16"/>
        </w:rPr>
        <w:t>10(6),</w:t>
      </w:r>
      <w:r>
        <w:rPr>
          <w:rFonts w:ascii="Arial"/>
          <w:color w:val="212121"/>
          <w:spacing w:val="34"/>
          <w:w w:val="105"/>
          <w:sz w:val="16"/>
        </w:rPr>
        <w:t xml:space="preserve"> </w:t>
      </w:r>
      <w:r>
        <w:rPr>
          <w:rFonts w:ascii="Arial"/>
          <w:color w:val="212121"/>
          <w:w w:val="105"/>
          <w:sz w:val="16"/>
        </w:rPr>
        <w:t>p.</w:t>
      </w:r>
      <w:r>
        <w:rPr>
          <w:rFonts w:ascii="Arial"/>
          <w:color w:val="212121"/>
          <w:spacing w:val="40"/>
          <w:w w:val="105"/>
          <w:sz w:val="16"/>
        </w:rPr>
        <w:t xml:space="preserve"> </w:t>
      </w:r>
      <w:r>
        <w:rPr>
          <w:rFonts w:ascii="Arial"/>
          <w:color w:val="212121"/>
          <w:w w:val="105"/>
          <w:sz w:val="16"/>
        </w:rPr>
        <w:t>18;</w:t>
      </w:r>
      <w:r>
        <w:rPr>
          <w:rFonts w:ascii="Arial"/>
          <w:color w:val="212121"/>
          <w:spacing w:val="40"/>
          <w:w w:val="105"/>
          <w:sz w:val="16"/>
        </w:rPr>
        <w:t xml:space="preserve"> </w:t>
      </w:r>
      <w:r>
        <w:rPr>
          <w:rFonts w:ascii="Arial"/>
          <w:color w:val="212121"/>
          <w:w w:val="105"/>
          <w:sz w:val="16"/>
        </w:rPr>
        <w:t>Tonghua</w:t>
      </w:r>
      <w:r>
        <w:rPr>
          <w:rFonts w:ascii="Arial"/>
          <w:color w:val="212121"/>
          <w:spacing w:val="40"/>
          <w:w w:val="105"/>
          <w:sz w:val="16"/>
        </w:rPr>
        <w:t xml:space="preserve"> </w:t>
      </w:r>
      <w:r>
        <w:rPr>
          <w:rFonts w:ascii="Arial"/>
          <w:color w:val="0E0E0E"/>
          <w:w w:val="105"/>
          <w:sz w:val="16"/>
        </w:rPr>
        <w:t>Tontine</w:t>
      </w:r>
      <w:r>
        <w:rPr>
          <w:rFonts w:ascii="Arial"/>
          <w:color w:val="0E0E0E"/>
          <w:spacing w:val="40"/>
          <w:w w:val="105"/>
          <w:sz w:val="16"/>
        </w:rPr>
        <w:t xml:space="preserve"> </w:t>
      </w:r>
      <w:r>
        <w:rPr>
          <w:rFonts w:ascii="Arial"/>
          <w:color w:val="212121"/>
          <w:w w:val="105"/>
          <w:sz w:val="16"/>
        </w:rPr>
        <w:t>Wine</w:t>
      </w:r>
      <w:r>
        <w:rPr>
          <w:rFonts w:ascii="Arial"/>
          <w:color w:val="212121"/>
          <w:spacing w:val="40"/>
          <w:w w:val="105"/>
          <w:sz w:val="16"/>
        </w:rPr>
        <w:t xml:space="preserve"> </w:t>
      </w:r>
      <w:r>
        <w:rPr>
          <w:rFonts w:ascii="Arial"/>
          <w:color w:val="212121"/>
          <w:w w:val="105"/>
          <w:sz w:val="16"/>
        </w:rPr>
        <w:t>Anti-Dumping Questionnaire</w:t>
      </w:r>
      <w:r>
        <w:rPr>
          <w:rFonts w:ascii="Arial"/>
          <w:color w:val="212121"/>
          <w:spacing w:val="10"/>
          <w:w w:val="105"/>
          <w:sz w:val="16"/>
        </w:rPr>
        <w:t xml:space="preserve"> </w:t>
      </w:r>
      <w:r>
        <w:rPr>
          <w:rFonts w:ascii="Arial"/>
          <w:color w:val="212121"/>
          <w:w w:val="105"/>
          <w:sz w:val="16"/>
        </w:rPr>
        <w:t>Response (Exhibit AUS-SO),</w:t>
      </w:r>
      <w:r>
        <w:rPr>
          <w:rFonts w:ascii="Arial"/>
          <w:color w:val="212121"/>
          <w:spacing w:val="-3"/>
          <w:w w:val="105"/>
          <w:sz w:val="16"/>
        </w:rPr>
        <w:t xml:space="preserve"> </w:t>
      </w:r>
      <w:r>
        <w:rPr>
          <w:rFonts w:ascii="Arial"/>
          <w:color w:val="212121"/>
          <w:w w:val="105"/>
          <w:sz w:val="16"/>
        </w:rPr>
        <w:t>Section</w:t>
      </w:r>
      <w:r>
        <w:rPr>
          <w:rFonts w:ascii="Arial"/>
          <w:color w:val="212121"/>
          <w:spacing w:val="-2"/>
          <w:w w:val="105"/>
          <w:sz w:val="16"/>
        </w:rPr>
        <w:t xml:space="preserve"> </w:t>
      </w:r>
      <w:r>
        <w:rPr>
          <w:rFonts w:ascii="Arial"/>
          <w:color w:val="212121"/>
          <w:w w:val="105"/>
          <w:sz w:val="16"/>
        </w:rPr>
        <w:t>2,</w:t>
      </w:r>
      <w:r>
        <w:rPr>
          <w:rFonts w:ascii="Arial"/>
          <w:color w:val="212121"/>
          <w:spacing w:val="-5"/>
          <w:w w:val="105"/>
          <w:sz w:val="16"/>
        </w:rPr>
        <w:t xml:space="preserve"> </w:t>
      </w:r>
      <w:r>
        <w:rPr>
          <w:rFonts w:ascii="Arial"/>
          <w:color w:val="212121"/>
          <w:w w:val="105"/>
          <w:sz w:val="16"/>
        </w:rPr>
        <w:t>Question</w:t>
      </w:r>
      <w:r>
        <w:rPr>
          <w:rFonts w:ascii="Arial"/>
          <w:color w:val="212121"/>
          <w:spacing w:val="-4"/>
          <w:w w:val="105"/>
          <w:sz w:val="16"/>
        </w:rPr>
        <w:t xml:space="preserve"> </w:t>
      </w:r>
      <w:r>
        <w:rPr>
          <w:rFonts w:ascii="Arial"/>
          <w:color w:val="212121"/>
          <w:w w:val="105"/>
          <w:sz w:val="16"/>
        </w:rPr>
        <w:t>10(6),</w:t>
      </w:r>
      <w:r>
        <w:rPr>
          <w:rFonts w:ascii="Arial"/>
          <w:color w:val="212121"/>
          <w:spacing w:val="-12"/>
          <w:w w:val="105"/>
          <w:sz w:val="16"/>
        </w:rPr>
        <w:t xml:space="preserve"> </w:t>
      </w:r>
      <w:r>
        <w:rPr>
          <w:rFonts w:ascii="Arial"/>
          <w:color w:val="212121"/>
          <w:w w:val="105"/>
          <w:sz w:val="16"/>
        </w:rPr>
        <w:t>p.</w:t>
      </w:r>
      <w:r>
        <w:rPr>
          <w:rFonts w:ascii="Arial"/>
          <w:color w:val="212121"/>
          <w:spacing w:val="-4"/>
          <w:w w:val="105"/>
          <w:sz w:val="16"/>
        </w:rPr>
        <w:t xml:space="preserve"> </w:t>
      </w:r>
      <w:r>
        <w:rPr>
          <w:rFonts w:ascii="Arial"/>
          <w:color w:val="212121"/>
          <w:w w:val="105"/>
          <w:sz w:val="16"/>
        </w:rPr>
        <w:t>19; Tonghua Winery Anti-Dumping Questionnaire Response</w:t>
      </w:r>
      <w:r>
        <w:rPr>
          <w:rFonts w:ascii="Arial"/>
          <w:color w:val="212121"/>
          <w:spacing w:val="-4"/>
          <w:w w:val="105"/>
          <w:sz w:val="16"/>
        </w:rPr>
        <w:t xml:space="preserve"> </w:t>
      </w:r>
      <w:r>
        <w:rPr>
          <w:rFonts w:ascii="Arial"/>
          <w:color w:val="212121"/>
          <w:w w:val="105"/>
          <w:sz w:val="16"/>
        </w:rPr>
        <w:t>(Exhibit</w:t>
      </w:r>
      <w:r>
        <w:rPr>
          <w:rFonts w:ascii="Arial"/>
          <w:color w:val="212121"/>
          <w:spacing w:val="-15"/>
          <w:w w:val="105"/>
          <w:sz w:val="16"/>
        </w:rPr>
        <w:t xml:space="preserve"> </w:t>
      </w:r>
      <w:r>
        <w:rPr>
          <w:rFonts w:ascii="Arial"/>
          <w:color w:val="212121"/>
          <w:w w:val="105"/>
          <w:sz w:val="16"/>
        </w:rPr>
        <w:t>AUS-43),</w:t>
      </w:r>
      <w:r>
        <w:rPr>
          <w:rFonts w:ascii="Arial"/>
          <w:color w:val="212121"/>
          <w:spacing w:val="-25"/>
          <w:w w:val="105"/>
          <w:sz w:val="16"/>
        </w:rPr>
        <w:t xml:space="preserve"> </w:t>
      </w:r>
      <w:r>
        <w:rPr>
          <w:rFonts w:ascii="Arial"/>
          <w:color w:val="212121"/>
          <w:w w:val="105"/>
          <w:sz w:val="16"/>
        </w:rPr>
        <w:t>Section</w:t>
      </w:r>
      <w:r>
        <w:rPr>
          <w:rFonts w:ascii="Arial"/>
          <w:color w:val="212121"/>
          <w:spacing w:val="-12"/>
          <w:w w:val="105"/>
          <w:sz w:val="16"/>
        </w:rPr>
        <w:t xml:space="preserve"> </w:t>
      </w:r>
      <w:r>
        <w:rPr>
          <w:rFonts w:ascii="Arial"/>
          <w:color w:val="212121"/>
          <w:w w:val="105"/>
          <w:sz w:val="16"/>
        </w:rPr>
        <w:t>2,</w:t>
      </w:r>
      <w:r>
        <w:rPr>
          <w:rFonts w:ascii="Arial"/>
          <w:color w:val="212121"/>
          <w:spacing w:val="-16"/>
          <w:w w:val="105"/>
          <w:sz w:val="16"/>
        </w:rPr>
        <w:t xml:space="preserve"> </w:t>
      </w:r>
      <w:r>
        <w:rPr>
          <w:rFonts w:ascii="Arial"/>
          <w:color w:val="212121"/>
          <w:w w:val="105"/>
          <w:sz w:val="16"/>
        </w:rPr>
        <w:t>Question</w:t>
      </w:r>
      <w:r>
        <w:rPr>
          <w:rFonts w:ascii="Arial"/>
          <w:color w:val="212121"/>
          <w:spacing w:val="-25"/>
          <w:w w:val="105"/>
          <w:sz w:val="16"/>
        </w:rPr>
        <w:t xml:space="preserve"> </w:t>
      </w:r>
      <w:r>
        <w:rPr>
          <w:rFonts w:ascii="Arial"/>
          <w:color w:val="212121"/>
          <w:w w:val="105"/>
          <w:sz w:val="16"/>
        </w:rPr>
        <w:t>10(6),pp.</w:t>
      </w:r>
      <w:r>
        <w:rPr>
          <w:rFonts w:ascii="Arial"/>
          <w:color w:val="212121"/>
          <w:spacing w:val="-15"/>
          <w:w w:val="105"/>
          <w:sz w:val="16"/>
        </w:rPr>
        <w:t xml:space="preserve"> </w:t>
      </w:r>
      <w:r>
        <w:rPr>
          <w:rFonts w:ascii="Arial"/>
          <w:color w:val="212121"/>
          <w:w w:val="105"/>
          <w:sz w:val="16"/>
        </w:rPr>
        <w:t>19-20;</w:t>
      </w:r>
      <w:r>
        <w:rPr>
          <w:rFonts w:ascii="Arial"/>
          <w:color w:val="212121"/>
          <w:spacing w:val="-29"/>
          <w:w w:val="105"/>
          <w:sz w:val="16"/>
        </w:rPr>
        <w:t xml:space="preserve"> </w:t>
      </w:r>
      <w:r>
        <w:rPr>
          <w:rFonts w:ascii="Arial"/>
          <w:color w:val="212121"/>
          <w:w w:val="105"/>
          <w:sz w:val="16"/>
        </w:rPr>
        <w:t>Turpan</w:t>
      </w:r>
      <w:r>
        <w:rPr>
          <w:rFonts w:ascii="Arial"/>
          <w:color w:val="212121"/>
          <w:spacing w:val="-21"/>
          <w:w w:val="105"/>
          <w:sz w:val="16"/>
        </w:rPr>
        <w:t xml:space="preserve"> </w:t>
      </w:r>
      <w:r>
        <w:rPr>
          <w:rFonts w:ascii="Arial"/>
          <w:color w:val="212121"/>
          <w:w w:val="105"/>
          <w:sz w:val="16"/>
        </w:rPr>
        <w:t>Loulan</w:t>
      </w:r>
      <w:r>
        <w:rPr>
          <w:rFonts w:ascii="Arial"/>
          <w:color w:val="212121"/>
          <w:spacing w:val="-25"/>
          <w:w w:val="105"/>
          <w:sz w:val="16"/>
        </w:rPr>
        <w:t xml:space="preserve"> </w:t>
      </w:r>
      <w:r>
        <w:rPr>
          <w:rFonts w:ascii="Arial"/>
          <w:color w:val="212121"/>
          <w:w w:val="105"/>
          <w:sz w:val="16"/>
        </w:rPr>
        <w:t>Wine</w:t>
      </w:r>
      <w:r>
        <w:rPr>
          <w:rFonts w:ascii="Arial"/>
          <w:color w:val="212121"/>
          <w:spacing w:val="-17"/>
          <w:w w:val="105"/>
          <w:sz w:val="16"/>
        </w:rPr>
        <w:t xml:space="preserve"> </w:t>
      </w:r>
      <w:r>
        <w:rPr>
          <w:rFonts w:ascii="Arial"/>
          <w:color w:val="212121"/>
          <w:w w:val="105"/>
          <w:sz w:val="16"/>
        </w:rPr>
        <w:t>Anti-Dumping</w:t>
      </w:r>
      <w:r>
        <w:rPr>
          <w:rFonts w:ascii="Arial"/>
          <w:color w:val="212121"/>
          <w:spacing w:val="-9"/>
          <w:w w:val="105"/>
          <w:sz w:val="16"/>
        </w:rPr>
        <w:t xml:space="preserve"> </w:t>
      </w:r>
      <w:r>
        <w:rPr>
          <w:rFonts w:ascii="Arial"/>
          <w:color w:val="212121"/>
          <w:w w:val="105"/>
          <w:sz w:val="16"/>
        </w:rPr>
        <w:t>Questionnaire</w:t>
      </w:r>
      <w:r>
        <w:rPr>
          <w:rFonts w:ascii="Arial"/>
          <w:color w:val="212121"/>
          <w:spacing w:val="-6"/>
          <w:w w:val="105"/>
          <w:sz w:val="16"/>
        </w:rPr>
        <w:t xml:space="preserve"> </w:t>
      </w:r>
      <w:r>
        <w:rPr>
          <w:rFonts w:ascii="Arial"/>
          <w:color w:val="212121"/>
          <w:w w:val="105"/>
          <w:sz w:val="16"/>
        </w:rPr>
        <w:t>Response (Exhibit AUS-54),</w:t>
      </w:r>
      <w:r>
        <w:rPr>
          <w:rFonts w:ascii="Arial"/>
          <w:color w:val="212121"/>
          <w:spacing w:val="-1"/>
          <w:w w:val="105"/>
          <w:sz w:val="16"/>
        </w:rPr>
        <w:t xml:space="preserve"> </w:t>
      </w:r>
      <w:r>
        <w:rPr>
          <w:rFonts w:ascii="Arial"/>
          <w:color w:val="212121"/>
          <w:w w:val="105"/>
          <w:sz w:val="16"/>
        </w:rPr>
        <w:t>Section</w:t>
      </w:r>
      <w:r>
        <w:rPr>
          <w:rFonts w:ascii="Arial"/>
          <w:color w:val="212121"/>
          <w:spacing w:val="-2"/>
          <w:w w:val="105"/>
          <w:sz w:val="16"/>
        </w:rPr>
        <w:t xml:space="preserve"> </w:t>
      </w:r>
      <w:r>
        <w:rPr>
          <w:rFonts w:ascii="Arial"/>
          <w:color w:val="212121"/>
          <w:w w:val="105"/>
          <w:sz w:val="16"/>
        </w:rPr>
        <w:t>2, Question</w:t>
      </w:r>
      <w:r>
        <w:rPr>
          <w:rFonts w:ascii="Arial"/>
          <w:color w:val="212121"/>
          <w:spacing w:val="-15"/>
          <w:w w:val="105"/>
          <w:sz w:val="16"/>
        </w:rPr>
        <w:t xml:space="preserve"> </w:t>
      </w:r>
      <w:r>
        <w:rPr>
          <w:rFonts w:ascii="Arial"/>
          <w:color w:val="0E0E0E"/>
          <w:w w:val="105"/>
          <w:sz w:val="16"/>
        </w:rPr>
        <w:t>10(6)</w:t>
      </w:r>
      <w:r>
        <w:rPr>
          <w:rFonts w:ascii="Arial"/>
          <w:color w:val="3F3F3F"/>
          <w:w w:val="105"/>
          <w:sz w:val="16"/>
        </w:rPr>
        <w:t xml:space="preserve">, </w:t>
      </w:r>
      <w:r>
        <w:rPr>
          <w:rFonts w:ascii="Arial"/>
          <w:color w:val="0E0E0E"/>
          <w:w w:val="105"/>
          <w:sz w:val="16"/>
        </w:rPr>
        <w:t xml:space="preserve">pp. </w:t>
      </w:r>
      <w:r>
        <w:rPr>
          <w:rFonts w:ascii="Arial"/>
          <w:color w:val="212121"/>
          <w:w w:val="105"/>
          <w:sz w:val="16"/>
        </w:rPr>
        <w:t>18-19</w:t>
      </w:r>
      <w:r>
        <w:rPr>
          <w:rFonts w:ascii="Arial"/>
          <w:color w:val="212121"/>
          <w:spacing w:val="-8"/>
          <w:w w:val="105"/>
          <w:sz w:val="16"/>
        </w:rPr>
        <w:t xml:space="preserve"> </w:t>
      </w:r>
      <w:r>
        <w:rPr>
          <w:rFonts w:ascii="Arial"/>
          <w:color w:val="212121"/>
          <w:w w:val="105"/>
          <w:sz w:val="16"/>
        </w:rPr>
        <w:t xml:space="preserve">(Turpan's </w:t>
      </w:r>
      <w:r>
        <w:rPr>
          <w:rFonts w:ascii="Arial"/>
          <w:color w:val="0E0E0E"/>
          <w:w w:val="105"/>
          <w:sz w:val="16"/>
        </w:rPr>
        <w:t>response</w:t>
      </w:r>
      <w:r>
        <w:rPr>
          <w:rFonts w:ascii="Arial"/>
          <w:color w:val="0E0E0E"/>
          <w:spacing w:val="-10"/>
          <w:w w:val="105"/>
          <w:sz w:val="16"/>
        </w:rPr>
        <w:t xml:space="preserve"> </w:t>
      </w:r>
      <w:r>
        <w:rPr>
          <w:rFonts w:ascii="Arial"/>
          <w:color w:val="212121"/>
          <w:w w:val="105"/>
          <w:sz w:val="16"/>
        </w:rPr>
        <w:t>also</w:t>
      </w:r>
      <w:r>
        <w:rPr>
          <w:rFonts w:ascii="Arial"/>
          <w:color w:val="212121"/>
          <w:spacing w:val="-6"/>
          <w:w w:val="105"/>
          <w:sz w:val="16"/>
        </w:rPr>
        <w:t xml:space="preserve"> </w:t>
      </w:r>
      <w:r>
        <w:rPr>
          <w:rFonts w:ascii="Arial"/>
          <w:color w:val="212121"/>
          <w:w w:val="105"/>
          <w:sz w:val="16"/>
        </w:rPr>
        <w:t>refers</w:t>
      </w:r>
      <w:r>
        <w:rPr>
          <w:rFonts w:ascii="Arial"/>
          <w:color w:val="212121"/>
          <w:spacing w:val="-11"/>
          <w:w w:val="105"/>
          <w:sz w:val="16"/>
        </w:rPr>
        <w:t xml:space="preserve"> </w:t>
      </w:r>
      <w:r>
        <w:rPr>
          <w:rFonts w:ascii="Arial"/>
          <w:color w:val="212121"/>
          <w:w w:val="105"/>
          <w:sz w:val="16"/>
        </w:rPr>
        <w:t>to</w:t>
      </w:r>
      <w:r>
        <w:rPr>
          <w:rFonts w:ascii="Arial"/>
          <w:color w:val="212121"/>
          <w:spacing w:val="15"/>
          <w:w w:val="105"/>
          <w:sz w:val="16"/>
        </w:rPr>
        <w:t xml:space="preserve"> </w:t>
      </w:r>
      <w:r>
        <w:rPr>
          <w:rFonts w:ascii="Arial"/>
          <w:color w:val="3F3F3F"/>
          <w:w w:val="105"/>
          <w:sz w:val="16"/>
        </w:rPr>
        <w:t>"consignment"</w:t>
      </w:r>
      <w:r>
        <w:rPr>
          <w:rFonts w:ascii="Arial"/>
          <w:color w:val="3F3F3F"/>
          <w:spacing w:val="16"/>
          <w:w w:val="105"/>
          <w:sz w:val="16"/>
        </w:rPr>
        <w:t xml:space="preserve"> </w:t>
      </w:r>
      <w:r>
        <w:rPr>
          <w:rFonts w:ascii="Arial"/>
          <w:color w:val="212121"/>
          <w:w w:val="105"/>
          <w:sz w:val="16"/>
        </w:rPr>
        <w:t>as</w:t>
      </w:r>
      <w:r>
        <w:rPr>
          <w:rFonts w:ascii="Arial"/>
          <w:color w:val="212121"/>
          <w:spacing w:val="-5"/>
          <w:w w:val="105"/>
          <w:sz w:val="16"/>
        </w:rPr>
        <w:t xml:space="preserve"> </w:t>
      </w:r>
      <w:r>
        <w:rPr>
          <w:rFonts w:ascii="Arial"/>
          <w:color w:val="212121"/>
          <w:w w:val="105"/>
          <w:sz w:val="16"/>
        </w:rPr>
        <w:t>a</w:t>
      </w:r>
      <w:r>
        <w:rPr>
          <w:rFonts w:ascii="Arial"/>
          <w:color w:val="212121"/>
          <w:spacing w:val="-7"/>
          <w:w w:val="105"/>
          <w:sz w:val="16"/>
        </w:rPr>
        <w:t xml:space="preserve"> </w:t>
      </w:r>
      <w:r>
        <w:rPr>
          <w:rFonts w:ascii="Arial"/>
          <w:color w:val="212121"/>
          <w:w w:val="105"/>
          <w:sz w:val="16"/>
        </w:rPr>
        <w:t>sales</w:t>
      </w:r>
      <w:r>
        <w:rPr>
          <w:rFonts w:ascii="Arial"/>
          <w:color w:val="212121"/>
          <w:spacing w:val="-12"/>
          <w:w w:val="105"/>
          <w:sz w:val="16"/>
        </w:rPr>
        <w:t xml:space="preserve"> </w:t>
      </w:r>
      <w:r>
        <w:rPr>
          <w:rFonts w:ascii="Arial"/>
          <w:color w:val="212121"/>
          <w:w w:val="105"/>
          <w:sz w:val="16"/>
        </w:rPr>
        <w:t>channel); Yunan</w:t>
      </w:r>
      <w:r>
        <w:rPr>
          <w:rFonts w:ascii="Arial"/>
          <w:color w:val="212121"/>
          <w:spacing w:val="-18"/>
          <w:w w:val="105"/>
          <w:sz w:val="16"/>
        </w:rPr>
        <w:t xml:space="preserve"> </w:t>
      </w:r>
      <w:r>
        <w:rPr>
          <w:rFonts w:ascii="Arial"/>
          <w:color w:val="212121"/>
          <w:w w:val="105"/>
          <w:sz w:val="16"/>
        </w:rPr>
        <w:t>Gaoyuan</w:t>
      </w:r>
      <w:r>
        <w:rPr>
          <w:rFonts w:ascii="Arial"/>
          <w:color w:val="212121"/>
          <w:spacing w:val="-11"/>
          <w:w w:val="105"/>
          <w:sz w:val="16"/>
        </w:rPr>
        <w:t xml:space="preserve"> </w:t>
      </w:r>
      <w:r>
        <w:rPr>
          <w:rFonts w:ascii="Arial"/>
          <w:color w:val="212121"/>
          <w:w w:val="105"/>
          <w:sz w:val="16"/>
        </w:rPr>
        <w:t>Wine</w:t>
      </w:r>
      <w:r>
        <w:rPr>
          <w:rFonts w:ascii="Arial"/>
          <w:color w:val="212121"/>
          <w:spacing w:val="-12"/>
          <w:w w:val="105"/>
          <w:sz w:val="16"/>
        </w:rPr>
        <w:t xml:space="preserve"> </w:t>
      </w:r>
      <w:r>
        <w:rPr>
          <w:rFonts w:ascii="Arial"/>
          <w:color w:val="212121"/>
          <w:w w:val="105"/>
          <w:sz w:val="16"/>
        </w:rPr>
        <w:t>Anti-Dumping</w:t>
      </w:r>
      <w:r>
        <w:rPr>
          <w:rFonts w:ascii="Arial"/>
          <w:color w:val="212121"/>
          <w:spacing w:val="-12"/>
          <w:w w:val="105"/>
          <w:sz w:val="16"/>
        </w:rPr>
        <w:t xml:space="preserve"> </w:t>
      </w:r>
      <w:r>
        <w:rPr>
          <w:rFonts w:ascii="Arial"/>
          <w:color w:val="212121"/>
          <w:w w:val="105"/>
          <w:sz w:val="16"/>
        </w:rPr>
        <w:t>Questionnaire</w:t>
      </w:r>
      <w:r>
        <w:rPr>
          <w:rFonts w:ascii="Arial"/>
          <w:color w:val="212121"/>
          <w:spacing w:val="-11"/>
          <w:w w:val="105"/>
          <w:sz w:val="16"/>
        </w:rPr>
        <w:t xml:space="preserve"> </w:t>
      </w:r>
      <w:r>
        <w:rPr>
          <w:rFonts w:ascii="Arial"/>
          <w:color w:val="212121"/>
          <w:w w:val="105"/>
          <w:sz w:val="16"/>
        </w:rPr>
        <w:t>Response</w:t>
      </w:r>
      <w:r>
        <w:rPr>
          <w:rFonts w:ascii="Arial"/>
          <w:color w:val="212121"/>
          <w:spacing w:val="-12"/>
          <w:w w:val="105"/>
          <w:sz w:val="16"/>
        </w:rPr>
        <w:t xml:space="preserve"> </w:t>
      </w:r>
      <w:r>
        <w:rPr>
          <w:rFonts w:ascii="Arial"/>
          <w:color w:val="212121"/>
          <w:w w:val="105"/>
          <w:sz w:val="16"/>
        </w:rPr>
        <w:t>(Exhibit</w:t>
      </w:r>
      <w:r>
        <w:rPr>
          <w:rFonts w:ascii="Arial"/>
          <w:color w:val="212121"/>
          <w:spacing w:val="-12"/>
          <w:w w:val="105"/>
          <w:sz w:val="16"/>
        </w:rPr>
        <w:t xml:space="preserve"> </w:t>
      </w:r>
      <w:r>
        <w:rPr>
          <w:rFonts w:ascii="Arial"/>
          <w:color w:val="212121"/>
          <w:w w:val="105"/>
          <w:sz w:val="16"/>
        </w:rPr>
        <w:t>AUS-46),</w:t>
      </w:r>
      <w:r>
        <w:rPr>
          <w:rFonts w:ascii="Arial"/>
          <w:color w:val="212121"/>
          <w:spacing w:val="-12"/>
          <w:w w:val="105"/>
          <w:sz w:val="16"/>
        </w:rPr>
        <w:t xml:space="preserve"> </w:t>
      </w:r>
      <w:r>
        <w:rPr>
          <w:rFonts w:ascii="Arial"/>
          <w:color w:val="212121"/>
          <w:w w:val="105"/>
          <w:sz w:val="16"/>
        </w:rPr>
        <w:t>Section</w:t>
      </w:r>
      <w:r>
        <w:rPr>
          <w:rFonts w:ascii="Arial"/>
          <w:color w:val="212121"/>
          <w:spacing w:val="-13"/>
          <w:w w:val="105"/>
          <w:sz w:val="16"/>
        </w:rPr>
        <w:t xml:space="preserve"> </w:t>
      </w:r>
      <w:r>
        <w:rPr>
          <w:rFonts w:ascii="Arial"/>
          <w:color w:val="212121"/>
          <w:w w:val="105"/>
          <w:sz w:val="16"/>
        </w:rPr>
        <w:t>2,</w:t>
      </w:r>
      <w:r>
        <w:rPr>
          <w:rFonts w:ascii="Arial"/>
          <w:color w:val="212121"/>
          <w:spacing w:val="-12"/>
          <w:w w:val="105"/>
          <w:sz w:val="16"/>
        </w:rPr>
        <w:t xml:space="preserve"> </w:t>
      </w:r>
      <w:r>
        <w:rPr>
          <w:rFonts w:ascii="Arial"/>
          <w:color w:val="212121"/>
          <w:w w:val="105"/>
          <w:sz w:val="16"/>
        </w:rPr>
        <w:t>Question</w:t>
      </w:r>
      <w:r>
        <w:rPr>
          <w:rFonts w:ascii="Arial"/>
          <w:color w:val="212121"/>
          <w:spacing w:val="-15"/>
          <w:w w:val="105"/>
          <w:sz w:val="16"/>
        </w:rPr>
        <w:t xml:space="preserve"> </w:t>
      </w:r>
      <w:r>
        <w:rPr>
          <w:rFonts w:ascii="Arial"/>
          <w:color w:val="212121"/>
          <w:w w:val="105"/>
          <w:sz w:val="16"/>
        </w:rPr>
        <w:t>10(6),</w:t>
      </w:r>
      <w:r>
        <w:rPr>
          <w:rFonts w:ascii="Arial"/>
          <w:color w:val="212121"/>
          <w:spacing w:val="-27"/>
          <w:w w:val="105"/>
          <w:sz w:val="16"/>
        </w:rPr>
        <w:t xml:space="preserve"> </w:t>
      </w:r>
      <w:r>
        <w:rPr>
          <w:rFonts w:ascii="Arial"/>
          <w:color w:val="212121"/>
          <w:w w:val="105"/>
          <w:sz w:val="16"/>
        </w:rPr>
        <w:t>pp.</w:t>
      </w:r>
      <w:r>
        <w:rPr>
          <w:rFonts w:ascii="Arial"/>
          <w:color w:val="212121"/>
          <w:spacing w:val="-12"/>
          <w:w w:val="105"/>
          <w:sz w:val="16"/>
        </w:rPr>
        <w:t xml:space="preserve"> </w:t>
      </w:r>
      <w:r>
        <w:rPr>
          <w:rFonts w:ascii="Arial"/>
          <w:color w:val="212121"/>
          <w:w w:val="105"/>
          <w:sz w:val="16"/>
        </w:rPr>
        <w:t>17-18;</w:t>
      </w:r>
      <w:r>
        <w:rPr>
          <w:rFonts w:ascii="Arial"/>
          <w:color w:val="212121"/>
          <w:spacing w:val="-17"/>
          <w:w w:val="105"/>
          <w:sz w:val="16"/>
        </w:rPr>
        <w:t xml:space="preserve"> </w:t>
      </w:r>
      <w:r>
        <w:rPr>
          <w:rFonts w:ascii="Arial"/>
          <w:color w:val="212121"/>
          <w:w w:val="105"/>
          <w:sz w:val="16"/>
        </w:rPr>
        <w:t>Ningxia</w:t>
      </w:r>
    </w:p>
    <w:p w14:paraId="51DE8F46" w14:textId="77777777" w:rsidR="0010369C" w:rsidRDefault="0010369C">
      <w:pPr>
        <w:spacing w:line="288" w:lineRule="auto"/>
        <w:rPr>
          <w:rFonts w:ascii="Arial"/>
          <w:sz w:val="16"/>
        </w:rPr>
        <w:sectPr w:rsidR="0010369C">
          <w:type w:val="continuous"/>
          <w:pgSz w:w="11910" w:h="16840"/>
          <w:pgMar w:top="1460" w:right="800" w:bottom="280" w:left="1180" w:header="491" w:footer="826" w:gutter="0"/>
          <w:cols w:space="720"/>
        </w:sectPr>
      </w:pPr>
    </w:p>
    <w:p w14:paraId="51DE8F47" w14:textId="77777777" w:rsidR="0010369C" w:rsidRDefault="008E43AE">
      <w:pPr>
        <w:tabs>
          <w:tab w:val="left" w:pos="6425"/>
        </w:tabs>
        <w:ind w:left="238"/>
        <w:jc w:val="both"/>
        <w:rPr>
          <w:sz w:val="20"/>
        </w:rPr>
      </w:pPr>
      <w:r>
        <w:rPr>
          <w:i/>
          <w:sz w:val="20"/>
        </w:rPr>
        <w:lastRenderedPageBreak/>
        <w:t>China</w:t>
      </w:r>
      <w:r>
        <w:rPr>
          <w:i/>
          <w:spacing w:val="-5"/>
          <w:sz w:val="20"/>
        </w:rPr>
        <w:t xml:space="preserve"> </w:t>
      </w:r>
      <w:r>
        <w:rPr>
          <w:i/>
          <w:sz w:val="20"/>
        </w:rPr>
        <w:t>–</w:t>
      </w:r>
      <w:r>
        <w:rPr>
          <w:i/>
          <w:spacing w:val="-5"/>
          <w:sz w:val="20"/>
        </w:rPr>
        <w:t xml:space="preserve"> </w:t>
      </w:r>
      <w:r>
        <w:rPr>
          <w:i/>
          <w:sz w:val="20"/>
        </w:rPr>
        <w:t>Anti‐Dumping</w:t>
      </w:r>
      <w:r>
        <w:rPr>
          <w:i/>
          <w:spacing w:val="-4"/>
          <w:sz w:val="20"/>
        </w:rPr>
        <w:t xml:space="preserve"> </w:t>
      </w:r>
      <w:r>
        <w:rPr>
          <w:i/>
          <w:sz w:val="20"/>
        </w:rPr>
        <w:t>and</w:t>
      </w:r>
      <w:r>
        <w:rPr>
          <w:i/>
          <w:spacing w:val="-5"/>
          <w:sz w:val="20"/>
        </w:rPr>
        <w:t xml:space="preserve"> </w:t>
      </w:r>
      <w:r>
        <w:rPr>
          <w:i/>
          <w:sz w:val="20"/>
        </w:rPr>
        <w:t>Countervailing</w:t>
      </w:r>
      <w:r>
        <w:rPr>
          <w:i/>
          <w:spacing w:val="-5"/>
          <w:sz w:val="20"/>
        </w:rPr>
        <w:t xml:space="preserve"> </w:t>
      </w:r>
      <w:r>
        <w:rPr>
          <w:i/>
          <w:sz w:val="20"/>
        </w:rPr>
        <w:t>Duty</w:t>
      </w:r>
      <w:r>
        <w:rPr>
          <w:i/>
          <w:spacing w:val="-4"/>
          <w:sz w:val="20"/>
        </w:rPr>
        <w:t xml:space="preserve"> </w:t>
      </w:r>
      <w:r>
        <w:rPr>
          <w:i/>
          <w:spacing w:val="-2"/>
          <w:sz w:val="20"/>
        </w:rPr>
        <w:t>Measures</w:t>
      </w:r>
      <w:r>
        <w:rPr>
          <w:i/>
          <w:sz w:val="20"/>
        </w:rPr>
        <w:tab/>
      </w:r>
      <w:r>
        <w:rPr>
          <w:sz w:val="20"/>
        </w:rPr>
        <w:t>Australia's</w:t>
      </w:r>
      <w:r>
        <w:rPr>
          <w:spacing w:val="-7"/>
          <w:sz w:val="20"/>
        </w:rPr>
        <w:t xml:space="preserve"> </w:t>
      </w:r>
      <w:r>
        <w:rPr>
          <w:sz w:val="20"/>
        </w:rPr>
        <w:t>First</w:t>
      </w:r>
      <w:r>
        <w:rPr>
          <w:spacing w:val="-2"/>
          <w:sz w:val="20"/>
        </w:rPr>
        <w:t xml:space="preserve"> </w:t>
      </w:r>
      <w:r>
        <w:rPr>
          <w:sz w:val="20"/>
        </w:rPr>
        <w:t>Written</w:t>
      </w:r>
      <w:r>
        <w:rPr>
          <w:spacing w:val="-2"/>
          <w:sz w:val="20"/>
        </w:rPr>
        <w:t xml:space="preserve"> Submission</w:t>
      </w:r>
    </w:p>
    <w:p w14:paraId="51DE8F48" w14:textId="77777777" w:rsidR="0010369C" w:rsidRDefault="008E43AE">
      <w:pPr>
        <w:tabs>
          <w:tab w:val="left" w:pos="8227"/>
        </w:tabs>
        <w:spacing w:before="1"/>
        <w:ind w:left="239"/>
        <w:jc w:val="both"/>
        <w:rPr>
          <w:sz w:val="20"/>
        </w:rPr>
      </w:pPr>
      <w:r>
        <w:rPr>
          <w:i/>
          <w:sz w:val="20"/>
        </w:rPr>
        <w:t>on</w:t>
      </w:r>
      <w:r>
        <w:rPr>
          <w:i/>
          <w:spacing w:val="-1"/>
          <w:sz w:val="20"/>
        </w:rPr>
        <w:t xml:space="preserve"> </w:t>
      </w:r>
      <w:r>
        <w:rPr>
          <w:i/>
          <w:sz w:val="20"/>
        </w:rPr>
        <w:t>Wine</w:t>
      </w:r>
      <w:r>
        <w:rPr>
          <w:i/>
          <w:spacing w:val="-1"/>
          <w:sz w:val="20"/>
        </w:rPr>
        <w:t xml:space="preserve"> </w:t>
      </w:r>
      <w:r>
        <w:rPr>
          <w:i/>
          <w:sz w:val="20"/>
        </w:rPr>
        <w:t>from</w:t>
      </w:r>
      <w:r>
        <w:rPr>
          <w:i/>
          <w:spacing w:val="-3"/>
          <w:sz w:val="20"/>
        </w:rPr>
        <w:t xml:space="preserve"> </w:t>
      </w:r>
      <w:r>
        <w:rPr>
          <w:i/>
          <w:sz w:val="20"/>
        </w:rPr>
        <w:t>Australia</w:t>
      </w:r>
      <w:r>
        <w:rPr>
          <w:i/>
          <w:spacing w:val="-1"/>
          <w:sz w:val="20"/>
        </w:rPr>
        <w:t xml:space="preserve"> </w:t>
      </w:r>
      <w:r>
        <w:rPr>
          <w:spacing w:val="-2"/>
          <w:sz w:val="20"/>
        </w:rPr>
        <w:t>(DS602)</w:t>
      </w:r>
      <w:r>
        <w:rPr>
          <w:sz w:val="20"/>
        </w:rPr>
        <w:tab/>
        <w:t>29</w:t>
      </w:r>
      <w:r>
        <w:rPr>
          <w:spacing w:val="-1"/>
          <w:sz w:val="20"/>
        </w:rPr>
        <w:t xml:space="preserve"> </w:t>
      </w:r>
      <w:r>
        <w:rPr>
          <w:sz w:val="20"/>
        </w:rPr>
        <w:t>April</w:t>
      </w:r>
      <w:r>
        <w:rPr>
          <w:spacing w:val="-2"/>
          <w:sz w:val="20"/>
        </w:rPr>
        <w:t xml:space="preserve"> </w:t>
      </w:r>
      <w:r>
        <w:rPr>
          <w:spacing w:val="-4"/>
          <w:sz w:val="20"/>
        </w:rPr>
        <w:t>2022</w:t>
      </w:r>
    </w:p>
    <w:p w14:paraId="51DE8F49" w14:textId="77777777" w:rsidR="0010369C" w:rsidRDefault="008E43AE">
      <w:pPr>
        <w:pStyle w:val="BodyText"/>
        <w:spacing w:before="34" w:line="360" w:lineRule="auto"/>
        <w:ind w:left="237" w:right="613"/>
        <w:jc w:val="both"/>
      </w:pPr>
      <w:r>
        <w:t>that sales to "wholesale agent – distributors" accounted for 83.03% of its total operating income, and "direct sales" accounted for 16.97%.</w:t>
      </w:r>
      <w:r>
        <w:rPr>
          <w:vertAlign w:val="superscript"/>
        </w:rPr>
        <w:t>687</w:t>
      </w:r>
      <w:r>
        <w:t xml:space="preserve"> Similarly, Tonghua Wine's 2018 Annual Report</w:t>
      </w:r>
      <w:r>
        <w:rPr>
          <w:spacing w:val="-9"/>
        </w:rPr>
        <w:t xml:space="preserve"> </w:t>
      </w:r>
      <w:r>
        <w:t>show</w:t>
      </w:r>
      <w:r>
        <w:t>s</w:t>
      </w:r>
      <w:r>
        <w:rPr>
          <w:spacing w:val="-9"/>
        </w:rPr>
        <w:t xml:space="preserve"> </w:t>
      </w:r>
      <w:r>
        <w:t>that</w:t>
      </w:r>
      <w:r>
        <w:rPr>
          <w:spacing w:val="-9"/>
        </w:rPr>
        <w:t xml:space="preserve"> </w:t>
      </w:r>
      <w:r>
        <w:t>it</w:t>
      </w:r>
      <w:r>
        <w:rPr>
          <w:spacing w:val="-7"/>
        </w:rPr>
        <w:t xml:space="preserve"> </w:t>
      </w:r>
      <w:r>
        <w:t>generated</w:t>
      </w:r>
      <w:r>
        <w:rPr>
          <w:spacing w:val="-8"/>
        </w:rPr>
        <w:t xml:space="preserve"> </w:t>
      </w:r>
      <w:r>
        <w:t>sales</w:t>
      </w:r>
      <w:r>
        <w:rPr>
          <w:spacing w:val="-9"/>
        </w:rPr>
        <w:t xml:space="preserve"> </w:t>
      </w:r>
      <w:r>
        <w:t>revenue</w:t>
      </w:r>
      <w:r>
        <w:rPr>
          <w:spacing w:val="-9"/>
        </w:rPr>
        <w:t xml:space="preserve"> </w:t>
      </w:r>
      <w:r>
        <w:t>from</w:t>
      </w:r>
      <w:r>
        <w:rPr>
          <w:spacing w:val="-8"/>
        </w:rPr>
        <w:t xml:space="preserve"> </w:t>
      </w:r>
      <w:r>
        <w:t>"direct</w:t>
      </w:r>
      <w:r>
        <w:rPr>
          <w:spacing w:val="-9"/>
        </w:rPr>
        <w:t xml:space="preserve"> </w:t>
      </w:r>
      <w:r>
        <w:t>sales</w:t>
      </w:r>
      <w:r>
        <w:rPr>
          <w:spacing w:val="-9"/>
        </w:rPr>
        <w:t xml:space="preserve"> </w:t>
      </w:r>
      <w:r>
        <w:t>(including</w:t>
      </w:r>
      <w:r>
        <w:rPr>
          <w:spacing w:val="-8"/>
        </w:rPr>
        <w:t xml:space="preserve"> </w:t>
      </w:r>
      <w:r>
        <w:t>group</w:t>
      </w:r>
      <w:r>
        <w:rPr>
          <w:spacing w:val="-9"/>
        </w:rPr>
        <w:t xml:space="preserve"> </w:t>
      </w:r>
      <w:r>
        <w:t>buying)"</w:t>
      </w:r>
      <w:r>
        <w:rPr>
          <w:spacing w:val="-9"/>
        </w:rPr>
        <w:t xml:space="preserve"> </w:t>
      </w:r>
      <w:r>
        <w:t>and "wholesale agent" sales.</w:t>
      </w:r>
      <w:r>
        <w:rPr>
          <w:vertAlign w:val="superscript"/>
        </w:rPr>
        <w:t>688</w:t>
      </w:r>
      <w:r>
        <w:t xml:space="preserve"> Taking this evidence into account, MOFCOM was on notice that the price data it relied on to calculate the average unit price of domestic like pro</w:t>
      </w:r>
      <w:r>
        <w:t>ducts reflected, or was likely to reflect, prices occurring at different levels of trade.</w:t>
      </w:r>
    </w:p>
    <w:p w14:paraId="51DE8F4A" w14:textId="77777777" w:rsidR="0010369C" w:rsidRDefault="0010369C">
      <w:pPr>
        <w:pStyle w:val="BodyText"/>
        <w:spacing w:before="10"/>
        <w:rPr>
          <w:sz w:val="8"/>
        </w:rPr>
      </w:pPr>
    </w:p>
    <w:p w14:paraId="51DE8F4B" w14:textId="77777777" w:rsidR="0010369C" w:rsidRDefault="008E43AE">
      <w:pPr>
        <w:pStyle w:val="BodyText"/>
        <w:spacing w:before="52" w:line="360" w:lineRule="auto"/>
        <w:ind w:left="236" w:right="613" w:firstLine="853"/>
        <w:jc w:val="both"/>
      </w:pPr>
      <w:r>
        <w:rPr>
          <w:noProof/>
        </w:rPr>
        <w:drawing>
          <wp:anchor distT="0" distB="0" distL="0" distR="0" simplePos="0" relativeHeight="251215360" behindDoc="1" locked="0" layoutInCell="1" allowOverlap="1" wp14:anchorId="51DEA4B6" wp14:editId="51DEA4B7">
            <wp:simplePos x="0" y="0"/>
            <wp:positionH relativeFrom="page">
              <wp:posOffset>902208</wp:posOffset>
            </wp:positionH>
            <wp:positionV relativeFrom="paragraph">
              <wp:posOffset>81949</wp:posOffset>
            </wp:positionV>
            <wp:extent cx="262127" cy="100753"/>
            <wp:effectExtent l="0" t="0" r="0" b="0"/>
            <wp:wrapNone/>
            <wp:docPr id="1173" name="image6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 name="image607.png"/>
                    <pic:cNvPicPr/>
                  </pic:nvPicPr>
                  <pic:blipFill>
                    <a:blip r:embed="rId795" cstate="print"/>
                    <a:stretch>
                      <a:fillRect/>
                    </a:stretch>
                  </pic:blipFill>
                  <pic:spPr>
                    <a:xfrm>
                      <a:off x="0" y="0"/>
                      <a:ext cx="262127" cy="100753"/>
                    </a:xfrm>
                    <a:prstGeom prst="rect">
                      <a:avLst/>
                    </a:prstGeom>
                  </pic:spPr>
                </pic:pic>
              </a:graphicData>
            </a:graphic>
          </wp:anchor>
        </w:drawing>
      </w:r>
      <w:r>
        <w:t>An objective and unbiased investigating authority would have considered whether the different levels of trade affected the comparability of the prices and/or whethe</w:t>
      </w:r>
      <w:r>
        <w:t>r adjustments to reflect the differences needed to be applied. MOFCOM failed to do so. MOFCOM's failure to consider this evidence and account for transactions occurring at different levels of trade in the price data means that the import price of subject i</w:t>
      </w:r>
      <w:r>
        <w:t>mports and the factory price of domestic like products calculated by MOFCOM were not comparable for the purposes of the consideration of price effects under Article 3.2. As a result, MOFCOM's price effects</w:t>
      </w:r>
      <w:r>
        <w:rPr>
          <w:spacing w:val="-1"/>
        </w:rPr>
        <w:t xml:space="preserve"> </w:t>
      </w:r>
      <w:r>
        <w:t xml:space="preserve">analysis is inconsistent with China's obligations </w:t>
      </w:r>
      <w:r>
        <w:t>under Articles 3.1 and 3.2 of the Anti‐Dumping Agreement.</w:t>
      </w:r>
    </w:p>
    <w:p w14:paraId="51DE8F4C" w14:textId="77777777" w:rsidR="0010369C" w:rsidRDefault="008E43AE">
      <w:pPr>
        <w:pStyle w:val="ListParagraph"/>
        <w:numPr>
          <w:ilvl w:val="0"/>
          <w:numId w:val="53"/>
        </w:numPr>
        <w:tabs>
          <w:tab w:val="left" w:pos="4493"/>
          <w:tab w:val="left" w:pos="4494"/>
        </w:tabs>
        <w:spacing w:before="160" w:line="362" w:lineRule="auto"/>
        <w:ind w:left="4493" w:right="613" w:hanging="851"/>
        <w:jc w:val="both"/>
        <w:rPr>
          <w:i/>
          <w:sz w:val="24"/>
        </w:rPr>
      </w:pPr>
      <w:r>
        <w:rPr>
          <w:i/>
          <w:sz w:val="24"/>
        </w:rPr>
        <w:t>MOFCOM failed to account for prices with materially different conditions of sale</w:t>
      </w:r>
    </w:p>
    <w:p w14:paraId="51DE8F4D" w14:textId="77777777" w:rsidR="0010369C" w:rsidRDefault="0010369C">
      <w:pPr>
        <w:pStyle w:val="BodyText"/>
        <w:spacing w:before="5"/>
        <w:rPr>
          <w:i/>
          <w:sz w:val="8"/>
        </w:rPr>
      </w:pPr>
    </w:p>
    <w:p w14:paraId="51DE8F4E" w14:textId="77777777" w:rsidR="0010369C" w:rsidRDefault="008E43AE">
      <w:pPr>
        <w:pStyle w:val="BodyText"/>
        <w:spacing w:before="51" w:line="360" w:lineRule="auto"/>
        <w:ind w:left="237" w:right="613" w:firstLine="851"/>
        <w:jc w:val="both"/>
      </w:pPr>
      <w:r>
        <w:rPr>
          <w:noProof/>
        </w:rPr>
        <w:drawing>
          <wp:anchor distT="0" distB="0" distL="0" distR="0" simplePos="0" relativeHeight="251216384" behindDoc="1" locked="0" layoutInCell="1" allowOverlap="1" wp14:anchorId="51DEA4B8" wp14:editId="51DEA4B9">
            <wp:simplePos x="0" y="0"/>
            <wp:positionH relativeFrom="page">
              <wp:posOffset>902208</wp:posOffset>
            </wp:positionH>
            <wp:positionV relativeFrom="paragraph">
              <wp:posOffset>76150</wp:posOffset>
            </wp:positionV>
            <wp:extent cx="262127" cy="106679"/>
            <wp:effectExtent l="0" t="0" r="0" b="0"/>
            <wp:wrapNone/>
            <wp:docPr id="1175" name="image6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 name="image608.png"/>
                    <pic:cNvPicPr/>
                  </pic:nvPicPr>
                  <pic:blipFill>
                    <a:blip r:embed="rId796" cstate="print"/>
                    <a:stretch>
                      <a:fillRect/>
                    </a:stretch>
                  </pic:blipFill>
                  <pic:spPr>
                    <a:xfrm>
                      <a:off x="0" y="0"/>
                      <a:ext cx="262127" cy="106679"/>
                    </a:xfrm>
                    <a:prstGeom prst="rect">
                      <a:avLst/>
                    </a:prstGeom>
                  </pic:spPr>
                </pic:pic>
              </a:graphicData>
            </a:graphic>
          </wp:anchor>
        </w:drawing>
      </w:r>
      <w:r>
        <w:t>In the circumstances of this dispute, the impact of different conditions and terms of sale on price comparability was an important consideration for the purposes of the examination</w:t>
      </w:r>
      <w:r>
        <w:rPr>
          <w:spacing w:val="-5"/>
        </w:rPr>
        <w:t xml:space="preserve"> </w:t>
      </w:r>
      <w:r>
        <w:t>of</w:t>
      </w:r>
      <w:r>
        <w:rPr>
          <w:spacing w:val="-3"/>
        </w:rPr>
        <w:t xml:space="preserve"> </w:t>
      </w:r>
      <w:r>
        <w:t>price</w:t>
      </w:r>
      <w:r>
        <w:rPr>
          <w:spacing w:val="-2"/>
        </w:rPr>
        <w:t xml:space="preserve"> </w:t>
      </w:r>
      <w:r>
        <w:t>effects</w:t>
      </w:r>
      <w:r>
        <w:rPr>
          <w:spacing w:val="-4"/>
        </w:rPr>
        <w:t xml:space="preserve"> </w:t>
      </w:r>
      <w:r>
        <w:t>under</w:t>
      </w:r>
      <w:r>
        <w:rPr>
          <w:spacing w:val="-2"/>
        </w:rPr>
        <w:t xml:space="preserve"> </w:t>
      </w:r>
      <w:r>
        <w:t>Article</w:t>
      </w:r>
      <w:r>
        <w:rPr>
          <w:spacing w:val="-3"/>
        </w:rPr>
        <w:t xml:space="preserve"> </w:t>
      </w:r>
      <w:r>
        <w:t>3.2</w:t>
      </w:r>
      <w:r>
        <w:rPr>
          <w:spacing w:val="-3"/>
        </w:rPr>
        <w:t xml:space="preserve"> </w:t>
      </w:r>
      <w:r>
        <w:t>of</w:t>
      </w:r>
      <w:r>
        <w:rPr>
          <w:spacing w:val="-3"/>
        </w:rPr>
        <w:t xml:space="preserve"> </w:t>
      </w:r>
      <w:r>
        <w:t>the</w:t>
      </w:r>
      <w:r>
        <w:rPr>
          <w:spacing w:val="-2"/>
        </w:rPr>
        <w:t xml:space="preserve"> </w:t>
      </w:r>
      <w:r>
        <w:t>Anti‐Dumping</w:t>
      </w:r>
      <w:r>
        <w:rPr>
          <w:spacing w:val="-2"/>
        </w:rPr>
        <w:t xml:space="preserve"> </w:t>
      </w:r>
      <w:r>
        <w:t>Agreement.</w:t>
      </w:r>
      <w:r>
        <w:rPr>
          <w:spacing w:val="-3"/>
        </w:rPr>
        <w:t xml:space="preserve"> </w:t>
      </w:r>
      <w:r>
        <w:t>Australia</w:t>
      </w:r>
      <w:r>
        <w:rPr>
          <w:spacing w:val="-3"/>
        </w:rPr>
        <w:t xml:space="preserve"> </w:t>
      </w:r>
      <w:r>
        <w:t>uses the</w:t>
      </w:r>
      <w:r>
        <w:rPr>
          <w:spacing w:val="-1"/>
        </w:rPr>
        <w:t xml:space="preserve"> </w:t>
      </w:r>
      <w:r>
        <w:t>term</w:t>
      </w:r>
      <w:r>
        <w:rPr>
          <w:spacing w:val="-1"/>
        </w:rPr>
        <w:t xml:space="preserve"> </w:t>
      </w:r>
      <w:r>
        <w:t>"conditions</w:t>
      </w:r>
      <w:r>
        <w:rPr>
          <w:spacing w:val="-2"/>
        </w:rPr>
        <w:t xml:space="preserve"> </w:t>
      </w:r>
      <w:r>
        <w:t>of</w:t>
      </w:r>
      <w:r>
        <w:rPr>
          <w:spacing w:val="-4"/>
        </w:rPr>
        <w:t xml:space="preserve"> </w:t>
      </w:r>
      <w:r>
        <w:t>sale"</w:t>
      </w:r>
      <w:r>
        <w:rPr>
          <w:spacing w:val="-2"/>
        </w:rPr>
        <w:t xml:space="preserve"> </w:t>
      </w:r>
      <w:r>
        <w:t>to</w:t>
      </w:r>
      <w:r>
        <w:rPr>
          <w:spacing w:val="-2"/>
        </w:rPr>
        <w:t xml:space="preserve"> </w:t>
      </w:r>
      <w:r>
        <w:t>encompass</w:t>
      </w:r>
      <w:r>
        <w:rPr>
          <w:spacing w:val="-2"/>
        </w:rPr>
        <w:t xml:space="preserve"> </w:t>
      </w:r>
      <w:r>
        <w:t>the</w:t>
      </w:r>
      <w:r>
        <w:rPr>
          <w:spacing w:val="-2"/>
        </w:rPr>
        <w:t xml:space="preserve"> </w:t>
      </w:r>
      <w:r>
        <w:t>conditions</w:t>
      </w:r>
      <w:r>
        <w:rPr>
          <w:spacing w:val="-2"/>
        </w:rPr>
        <w:t xml:space="preserve"> </w:t>
      </w:r>
      <w:r>
        <w:t>and</w:t>
      </w:r>
      <w:r>
        <w:rPr>
          <w:spacing w:val="-2"/>
        </w:rPr>
        <w:t xml:space="preserve"> </w:t>
      </w:r>
      <w:r>
        <w:t>terms</w:t>
      </w:r>
      <w:r>
        <w:rPr>
          <w:spacing w:val="-2"/>
        </w:rPr>
        <w:t xml:space="preserve"> </w:t>
      </w:r>
      <w:r>
        <w:t>related</w:t>
      </w:r>
      <w:r>
        <w:rPr>
          <w:spacing w:val="-1"/>
        </w:rPr>
        <w:t xml:space="preserve"> </w:t>
      </w:r>
      <w:r>
        <w:t>to</w:t>
      </w:r>
      <w:r>
        <w:rPr>
          <w:spacing w:val="-2"/>
        </w:rPr>
        <w:t xml:space="preserve"> </w:t>
      </w:r>
      <w:r>
        <w:t>a</w:t>
      </w:r>
      <w:r>
        <w:rPr>
          <w:spacing w:val="-1"/>
        </w:rPr>
        <w:t xml:space="preserve"> </w:t>
      </w:r>
      <w:r>
        <w:t>transaction that could be expected to be reflected in the sales prices of the product.</w:t>
      </w:r>
      <w:r>
        <w:rPr>
          <w:vertAlign w:val="superscript"/>
        </w:rPr>
        <w:t>689</w:t>
      </w:r>
      <w:r>
        <w:t xml:space="preserve"> Where the conditions</w:t>
      </w:r>
      <w:r>
        <w:rPr>
          <w:spacing w:val="-4"/>
        </w:rPr>
        <w:t xml:space="preserve"> </w:t>
      </w:r>
      <w:r>
        <w:t>and</w:t>
      </w:r>
      <w:r>
        <w:rPr>
          <w:spacing w:val="-4"/>
        </w:rPr>
        <w:t xml:space="preserve"> </w:t>
      </w:r>
      <w:r>
        <w:t>terms</w:t>
      </w:r>
      <w:r>
        <w:rPr>
          <w:spacing w:val="-4"/>
        </w:rPr>
        <w:t xml:space="preserve"> </w:t>
      </w:r>
      <w:r>
        <w:t>of</w:t>
      </w:r>
      <w:r>
        <w:rPr>
          <w:spacing w:val="-5"/>
        </w:rPr>
        <w:t xml:space="preserve"> </w:t>
      </w:r>
      <w:r>
        <w:t>sale</w:t>
      </w:r>
      <w:r>
        <w:rPr>
          <w:spacing w:val="-3"/>
        </w:rPr>
        <w:t xml:space="preserve"> </w:t>
      </w:r>
      <w:r>
        <w:t>for</w:t>
      </w:r>
      <w:r>
        <w:rPr>
          <w:spacing w:val="-3"/>
        </w:rPr>
        <w:t xml:space="preserve"> </w:t>
      </w:r>
      <w:r>
        <w:t>subject</w:t>
      </w:r>
      <w:r>
        <w:rPr>
          <w:spacing w:val="-4"/>
        </w:rPr>
        <w:t xml:space="preserve"> </w:t>
      </w:r>
      <w:r>
        <w:t>imports</w:t>
      </w:r>
      <w:r>
        <w:rPr>
          <w:spacing w:val="-4"/>
        </w:rPr>
        <w:t xml:space="preserve"> </w:t>
      </w:r>
      <w:r>
        <w:t>and</w:t>
      </w:r>
      <w:r>
        <w:rPr>
          <w:spacing w:val="-4"/>
        </w:rPr>
        <w:t xml:space="preserve"> </w:t>
      </w:r>
      <w:r>
        <w:t>for</w:t>
      </w:r>
      <w:r>
        <w:rPr>
          <w:spacing w:val="-3"/>
        </w:rPr>
        <w:t xml:space="preserve"> </w:t>
      </w:r>
      <w:r>
        <w:t>domestic</w:t>
      </w:r>
      <w:r>
        <w:rPr>
          <w:spacing w:val="-3"/>
        </w:rPr>
        <w:t xml:space="preserve"> </w:t>
      </w:r>
      <w:r>
        <w:t>lik</w:t>
      </w:r>
      <w:r>
        <w:t>e</w:t>
      </w:r>
      <w:r>
        <w:rPr>
          <w:spacing w:val="-3"/>
        </w:rPr>
        <w:t xml:space="preserve"> </w:t>
      </w:r>
      <w:r>
        <w:t>products</w:t>
      </w:r>
      <w:r>
        <w:rPr>
          <w:spacing w:val="-3"/>
        </w:rPr>
        <w:t xml:space="preserve"> </w:t>
      </w:r>
      <w:r>
        <w:t>are</w:t>
      </w:r>
      <w:r>
        <w:rPr>
          <w:spacing w:val="-4"/>
        </w:rPr>
        <w:t xml:space="preserve"> </w:t>
      </w:r>
      <w:r>
        <w:t>materially</w:t>
      </w:r>
    </w:p>
    <w:p w14:paraId="51DE8F4F" w14:textId="77777777" w:rsidR="0010369C" w:rsidRDefault="008E43AE">
      <w:pPr>
        <w:pStyle w:val="BodyText"/>
        <w:spacing w:before="7"/>
        <w:rPr>
          <w:sz w:val="15"/>
        </w:rPr>
      </w:pPr>
      <w:r>
        <w:pict w14:anchorId="51DEA4BA">
          <v:rect id="docshape1081" o:spid="_x0000_s1303" style="position:absolute;margin-left:70.9pt;margin-top:10.75pt;width:2in;height:.8pt;z-index:-250824192;mso-wrap-distance-left:0;mso-wrap-distance-right:0;mso-position-horizontal-relative:page" fillcolor="black" stroked="f">
            <w10:wrap type="topAndBottom" anchorx="page"/>
          </v:rect>
        </w:pict>
      </w:r>
    </w:p>
    <w:p w14:paraId="51DE8F50" w14:textId="77777777" w:rsidR="0010369C" w:rsidRDefault="008E43AE">
      <w:pPr>
        <w:spacing w:before="110"/>
        <w:ind w:left="238" w:right="613"/>
        <w:jc w:val="both"/>
        <w:rPr>
          <w:sz w:val="18"/>
        </w:rPr>
      </w:pPr>
      <w:r>
        <w:rPr>
          <w:sz w:val="18"/>
        </w:rPr>
        <w:t>Anti‐Dumping Questionnaire</w:t>
      </w:r>
      <w:r>
        <w:rPr>
          <w:spacing w:val="-1"/>
          <w:sz w:val="18"/>
        </w:rPr>
        <w:t xml:space="preserve"> </w:t>
      </w:r>
      <w:r>
        <w:rPr>
          <w:sz w:val="18"/>
        </w:rPr>
        <w:t>Response</w:t>
      </w:r>
      <w:r>
        <w:rPr>
          <w:spacing w:val="-1"/>
          <w:sz w:val="18"/>
        </w:rPr>
        <w:t xml:space="preserve"> </w:t>
      </w:r>
      <w:r>
        <w:rPr>
          <w:sz w:val="18"/>
        </w:rPr>
        <w:t>(Exhibit</w:t>
      </w:r>
      <w:r>
        <w:rPr>
          <w:spacing w:val="-1"/>
          <w:sz w:val="18"/>
        </w:rPr>
        <w:t xml:space="preserve"> </w:t>
      </w:r>
      <w:r>
        <w:rPr>
          <w:sz w:val="18"/>
        </w:rPr>
        <w:t>AUS‐57),</w:t>
      </w:r>
      <w:r>
        <w:rPr>
          <w:spacing w:val="-2"/>
          <w:sz w:val="18"/>
        </w:rPr>
        <w:t xml:space="preserve"> </w:t>
      </w:r>
      <w:r>
        <w:rPr>
          <w:sz w:val="18"/>
        </w:rPr>
        <w:t>Section</w:t>
      </w:r>
      <w:r>
        <w:rPr>
          <w:spacing w:val="-1"/>
          <w:sz w:val="18"/>
        </w:rPr>
        <w:t xml:space="preserve"> </w:t>
      </w:r>
      <w:r>
        <w:rPr>
          <w:sz w:val="18"/>
        </w:rPr>
        <w:t>2,</w:t>
      </w:r>
      <w:r>
        <w:rPr>
          <w:spacing w:val="-1"/>
          <w:sz w:val="18"/>
        </w:rPr>
        <w:t xml:space="preserve"> </w:t>
      </w:r>
      <w:r>
        <w:rPr>
          <w:sz w:val="18"/>
        </w:rPr>
        <w:t>Question</w:t>
      </w:r>
      <w:r>
        <w:rPr>
          <w:spacing w:val="-1"/>
          <w:sz w:val="18"/>
        </w:rPr>
        <w:t xml:space="preserve"> </w:t>
      </w:r>
      <w:r>
        <w:rPr>
          <w:sz w:val="18"/>
        </w:rPr>
        <w:t>10(6),</w:t>
      </w:r>
      <w:r>
        <w:rPr>
          <w:spacing w:val="-2"/>
          <w:sz w:val="18"/>
        </w:rPr>
        <w:t xml:space="preserve"> </w:t>
      </w:r>
      <w:r>
        <w:rPr>
          <w:sz w:val="18"/>
        </w:rPr>
        <w:t>pp.</w:t>
      </w:r>
      <w:r>
        <w:rPr>
          <w:spacing w:val="-1"/>
          <w:sz w:val="18"/>
        </w:rPr>
        <w:t xml:space="preserve"> </w:t>
      </w:r>
      <w:r>
        <w:rPr>
          <w:sz w:val="18"/>
        </w:rPr>
        <w:t>18‐19;</w:t>
      </w:r>
      <w:r>
        <w:rPr>
          <w:spacing w:val="-2"/>
          <w:sz w:val="18"/>
        </w:rPr>
        <w:t xml:space="preserve"> </w:t>
      </w:r>
      <w:r>
        <w:rPr>
          <w:sz w:val="18"/>
        </w:rPr>
        <w:t>Yantai</w:t>
      </w:r>
      <w:r>
        <w:rPr>
          <w:spacing w:val="-1"/>
          <w:sz w:val="18"/>
        </w:rPr>
        <w:t xml:space="preserve"> </w:t>
      </w:r>
      <w:r>
        <w:rPr>
          <w:sz w:val="18"/>
        </w:rPr>
        <w:t>Landsun</w:t>
      </w:r>
      <w:r>
        <w:rPr>
          <w:spacing w:val="-2"/>
          <w:sz w:val="18"/>
        </w:rPr>
        <w:t xml:space="preserve"> </w:t>
      </w:r>
      <w:r>
        <w:rPr>
          <w:sz w:val="18"/>
        </w:rPr>
        <w:t>Anti‐Dumping Questionnaire</w:t>
      </w:r>
      <w:r>
        <w:rPr>
          <w:spacing w:val="-7"/>
          <w:sz w:val="18"/>
        </w:rPr>
        <w:t xml:space="preserve"> </w:t>
      </w:r>
      <w:r>
        <w:rPr>
          <w:sz w:val="18"/>
        </w:rPr>
        <w:t>Response</w:t>
      </w:r>
      <w:r>
        <w:rPr>
          <w:spacing w:val="-6"/>
          <w:sz w:val="18"/>
        </w:rPr>
        <w:t xml:space="preserve"> </w:t>
      </w:r>
      <w:r>
        <w:rPr>
          <w:sz w:val="18"/>
        </w:rPr>
        <w:t>(Exhibit</w:t>
      </w:r>
      <w:r>
        <w:rPr>
          <w:spacing w:val="-7"/>
          <w:sz w:val="18"/>
        </w:rPr>
        <w:t xml:space="preserve"> </w:t>
      </w:r>
      <w:r>
        <w:rPr>
          <w:sz w:val="18"/>
        </w:rPr>
        <w:t>AUS‐52),</w:t>
      </w:r>
      <w:r>
        <w:rPr>
          <w:spacing w:val="-8"/>
          <w:sz w:val="18"/>
        </w:rPr>
        <w:t xml:space="preserve"> </w:t>
      </w:r>
      <w:r>
        <w:rPr>
          <w:sz w:val="18"/>
        </w:rPr>
        <w:t>Section</w:t>
      </w:r>
      <w:r>
        <w:rPr>
          <w:spacing w:val="-7"/>
          <w:sz w:val="18"/>
        </w:rPr>
        <w:t xml:space="preserve"> </w:t>
      </w:r>
      <w:r>
        <w:rPr>
          <w:sz w:val="18"/>
        </w:rPr>
        <w:t>2,</w:t>
      </w:r>
      <w:r>
        <w:rPr>
          <w:spacing w:val="-7"/>
          <w:sz w:val="18"/>
        </w:rPr>
        <w:t xml:space="preserve"> </w:t>
      </w:r>
      <w:r>
        <w:rPr>
          <w:sz w:val="18"/>
        </w:rPr>
        <w:t>Question</w:t>
      </w:r>
      <w:r>
        <w:rPr>
          <w:spacing w:val="-7"/>
          <w:sz w:val="18"/>
        </w:rPr>
        <w:t xml:space="preserve"> </w:t>
      </w:r>
      <w:r>
        <w:rPr>
          <w:sz w:val="18"/>
        </w:rPr>
        <w:t>10(6),</w:t>
      </w:r>
      <w:r>
        <w:rPr>
          <w:spacing w:val="-7"/>
          <w:sz w:val="18"/>
        </w:rPr>
        <w:t xml:space="preserve"> </w:t>
      </w:r>
      <w:r>
        <w:rPr>
          <w:sz w:val="18"/>
        </w:rPr>
        <w:t>p.</w:t>
      </w:r>
      <w:r>
        <w:rPr>
          <w:spacing w:val="-7"/>
          <w:sz w:val="18"/>
        </w:rPr>
        <w:t xml:space="preserve"> </w:t>
      </w:r>
      <w:r>
        <w:rPr>
          <w:sz w:val="18"/>
        </w:rPr>
        <w:t>18‐19;</w:t>
      </w:r>
      <w:r>
        <w:rPr>
          <w:spacing w:val="-7"/>
          <w:sz w:val="18"/>
        </w:rPr>
        <w:t xml:space="preserve"> </w:t>
      </w:r>
      <w:r>
        <w:rPr>
          <w:sz w:val="18"/>
        </w:rPr>
        <w:t>COFCO</w:t>
      </w:r>
      <w:r>
        <w:rPr>
          <w:spacing w:val="-7"/>
          <w:sz w:val="18"/>
        </w:rPr>
        <w:t xml:space="preserve"> </w:t>
      </w:r>
      <w:r>
        <w:rPr>
          <w:sz w:val="18"/>
        </w:rPr>
        <w:t>Anti‐Dumping</w:t>
      </w:r>
      <w:r>
        <w:rPr>
          <w:spacing w:val="-6"/>
          <w:sz w:val="18"/>
        </w:rPr>
        <w:t xml:space="preserve"> </w:t>
      </w:r>
      <w:r>
        <w:rPr>
          <w:sz w:val="18"/>
        </w:rPr>
        <w:t>Questionnaire</w:t>
      </w:r>
      <w:r>
        <w:rPr>
          <w:spacing w:val="-7"/>
          <w:sz w:val="18"/>
        </w:rPr>
        <w:t xml:space="preserve"> </w:t>
      </w:r>
      <w:r>
        <w:rPr>
          <w:sz w:val="18"/>
        </w:rPr>
        <w:t>Response (Exhibit AUS‐44), Section 2, Question 10(6), p. 19; Changyu Wine Anti‐Dumping Questionnaire Response (Exhibit AUS‐53), Section 2, Question 10(6), pp. 19‐20.</w:t>
      </w:r>
    </w:p>
    <w:p w14:paraId="51DE8F51" w14:textId="77777777" w:rsidR="0010369C" w:rsidRDefault="008E43AE">
      <w:pPr>
        <w:ind w:left="237" w:right="612"/>
        <w:jc w:val="both"/>
        <w:rPr>
          <w:sz w:val="18"/>
        </w:rPr>
      </w:pPr>
      <w:r>
        <w:rPr>
          <w:sz w:val="18"/>
          <w:vertAlign w:val="superscript"/>
        </w:rPr>
        <w:t>687</w:t>
      </w:r>
      <w:r>
        <w:rPr>
          <w:sz w:val="18"/>
        </w:rPr>
        <w:t xml:space="preserve"> CADA Application for Anti‐Dumping Investigation, Annexes 13‐14 (Exhibit </w:t>
      </w:r>
      <w:r>
        <w:rPr>
          <w:sz w:val="18"/>
        </w:rPr>
        <w:t xml:space="preserve">AUS‐67), Appendix 13, p. 39. Australia has calculated these percentages using the "sales channels" information. To calculate the percentage Australia has divided the operating income recorded for "direct sales (including group buying)" (43,859,592.53) and </w:t>
      </w:r>
      <w:r>
        <w:rPr>
          <w:sz w:val="18"/>
        </w:rPr>
        <w:t>"Wholesale agent – distributor" (214,543,574.78) by the "Subtotal" (258,403,167.31).</w:t>
      </w:r>
    </w:p>
    <w:p w14:paraId="51DE8F52" w14:textId="77777777" w:rsidR="0010369C" w:rsidRDefault="008E43AE">
      <w:pPr>
        <w:spacing w:line="219" w:lineRule="exact"/>
        <w:ind w:left="238"/>
        <w:jc w:val="both"/>
        <w:rPr>
          <w:sz w:val="18"/>
        </w:rPr>
      </w:pPr>
      <w:r>
        <w:rPr>
          <w:sz w:val="18"/>
          <w:vertAlign w:val="superscript"/>
        </w:rPr>
        <w:t>688</w:t>
      </w:r>
      <w:r>
        <w:rPr>
          <w:spacing w:val="-8"/>
          <w:sz w:val="18"/>
        </w:rPr>
        <w:t xml:space="preserve"> </w:t>
      </w:r>
      <w:r>
        <w:rPr>
          <w:sz w:val="18"/>
        </w:rPr>
        <w:t>CADA</w:t>
      </w:r>
      <w:r>
        <w:rPr>
          <w:spacing w:val="-7"/>
          <w:sz w:val="18"/>
        </w:rPr>
        <w:t xml:space="preserve"> </w:t>
      </w:r>
      <w:r>
        <w:rPr>
          <w:sz w:val="18"/>
        </w:rPr>
        <w:t>Application</w:t>
      </w:r>
      <w:r>
        <w:rPr>
          <w:spacing w:val="-7"/>
          <w:sz w:val="18"/>
        </w:rPr>
        <w:t xml:space="preserve"> </w:t>
      </w:r>
      <w:r>
        <w:rPr>
          <w:sz w:val="18"/>
        </w:rPr>
        <w:t>for</w:t>
      </w:r>
      <w:r>
        <w:rPr>
          <w:spacing w:val="-9"/>
          <w:sz w:val="18"/>
        </w:rPr>
        <w:t xml:space="preserve"> </w:t>
      </w:r>
      <w:r>
        <w:rPr>
          <w:sz w:val="18"/>
        </w:rPr>
        <w:t>Anti‐Dumping</w:t>
      </w:r>
      <w:r>
        <w:rPr>
          <w:spacing w:val="-7"/>
          <w:sz w:val="18"/>
        </w:rPr>
        <w:t xml:space="preserve"> </w:t>
      </w:r>
      <w:r>
        <w:rPr>
          <w:sz w:val="18"/>
        </w:rPr>
        <w:t>Investigation,</w:t>
      </w:r>
      <w:r>
        <w:rPr>
          <w:spacing w:val="-8"/>
          <w:sz w:val="18"/>
        </w:rPr>
        <w:t xml:space="preserve"> </w:t>
      </w:r>
      <w:r>
        <w:rPr>
          <w:sz w:val="18"/>
        </w:rPr>
        <w:t>Annexes</w:t>
      </w:r>
      <w:r>
        <w:rPr>
          <w:spacing w:val="-7"/>
          <w:sz w:val="18"/>
        </w:rPr>
        <w:t xml:space="preserve"> </w:t>
      </w:r>
      <w:r>
        <w:rPr>
          <w:sz w:val="18"/>
        </w:rPr>
        <w:t>13‐14</w:t>
      </w:r>
      <w:r>
        <w:rPr>
          <w:spacing w:val="-8"/>
          <w:sz w:val="18"/>
        </w:rPr>
        <w:t xml:space="preserve"> </w:t>
      </w:r>
      <w:r>
        <w:rPr>
          <w:sz w:val="18"/>
        </w:rPr>
        <w:t>(Exhibit</w:t>
      </w:r>
      <w:r>
        <w:rPr>
          <w:spacing w:val="-7"/>
          <w:sz w:val="18"/>
        </w:rPr>
        <w:t xml:space="preserve"> </w:t>
      </w:r>
      <w:r>
        <w:rPr>
          <w:sz w:val="18"/>
        </w:rPr>
        <w:t>AUS‐67),</w:t>
      </w:r>
      <w:r>
        <w:rPr>
          <w:spacing w:val="-8"/>
          <w:sz w:val="18"/>
        </w:rPr>
        <w:t xml:space="preserve"> </w:t>
      </w:r>
      <w:r>
        <w:rPr>
          <w:sz w:val="18"/>
        </w:rPr>
        <w:t>Appendix</w:t>
      </w:r>
      <w:r>
        <w:rPr>
          <w:spacing w:val="-7"/>
          <w:sz w:val="18"/>
        </w:rPr>
        <w:t xml:space="preserve"> </w:t>
      </w:r>
      <w:r>
        <w:rPr>
          <w:sz w:val="18"/>
        </w:rPr>
        <w:t>13,</w:t>
      </w:r>
      <w:r>
        <w:rPr>
          <w:spacing w:val="-9"/>
          <w:sz w:val="18"/>
        </w:rPr>
        <w:t xml:space="preserve"> </w:t>
      </w:r>
      <w:r>
        <w:rPr>
          <w:sz w:val="18"/>
        </w:rPr>
        <w:t>p.</w:t>
      </w:r>
      <w:r>
        <w:rPr>
          <w:spacing w:val="-7"/>
          <w:sz w:val="18"/>
        </w:rPr>
        <w:t xml:space="preserve"> </w:t>
      </w:r>
      <w:r>
        <w:rPr>
          <w:spacing w:val="-5"/>
          <w:sz w:val="18"/>
        </w:rPr>
        <w:t>28.</w:t>
      </w:r>
    </w:p>
    <w:p w14:paraId="51DE8F53" w14:textId="77777777" w:rsidR="0010369C" w:rsidRDefault="008E43AE">
      <w:pPr>
        <w:ind w:left="238" w:right="613"/>
        <w:jc w:val="both"/>
        <w:rPr>
          <w:sz w:val="18"/>
        </w:rPr>
      </w:pPr>
      <w:r>
        <w:rPr>
          <w:sz w:val="18"/>
          <w:vertAlign w:val="superscript"/>
        </w:rPr>
        <w:t>689</w:t>
      </w:r>
      <w:r>
        <w:rPr>
          <w:sz w:val="18"/>
        </w:rPr>
        <w:t xml:space="preserve"> Support for this interpretation can be found in the Anti‐Dumping Agreement. In the context of determining margins of dumping,</w:t>
      </w:r>
      <w:r>
        <w:rPr>
          <w:spacing w:val="-2"/>
          <w:sz w:val="18"/>
        </w:rPr>
        <w:t xml:space="preserve"> </w:t>
      </w:r>
      <w:r>
        <w:rPr>
          <w:sz w:val="18"/>
        </w:rPr>
        <w:t>Article</w:t>
      </w:r>
      <w:r>
        <w:rPr>
          <w:spacing w:val="-3"/>
          <w:sz w:val="18"/>
        </w:rPr>
        <w:t xml:space="preserve"> </w:t>
      </w:r>
      <w:r>
        <w:rPr>
          <w:sz w:val="18"/>
        </w:rPr>
        <w:t>2.4</w:t>
      </w:r>
      <w:r>
        <w:rPr>
          <w:spacing w:val="-2"/>
          <w:sz w:val="18"/>
        </w:rPr>
        <w:t xml:space="preserve"> </w:t>
      </w:r>
      <w:r>
        <w:rPr>
          <w:sz w:val="18"/>
        </w:rPr>
        <w:t>of</w:t>
      </w:r>
      <w:r>
        <w:rPr>
          <w:spacing w:val="-3"/>
          <w:sz w:val="18"/>
        </w:rPr>
        <w:t xml:space="preserve"> </w:t>
      </w:r>
      <w:r>
        <w:rPr>
          <w:sz w:val="18"/>
        </w:rPr>
        <w:t>the</w:t>
      </w:r>
      <w:r>
        <w:rPr>
          <w:spacing w:val="-2"/>
          <w:sz w:val="18"/>
        </w:rPr>
        <w:t xml:space="preserve"> </w:t>
      </w:r>
      <w:r>
        <w:rPr>
          <w:sz w:val="18"/>
        </w:rPr>
        <w:t>Anti‐Dumping</w:t>
      </w:r>
      <w:r>
        <w:rPr>
          <w:spacing w:val="-3"/>
          <w:sz w:val="18"/>
        </w:rPr>
        <w:t xml:space="preserve"> </w:t>
      </w:r>
      <w:r>
        <w:rPr>
          <w:sz w:val="18"/>
        </w:rPr>
        <w:t>Agreement</w:t>
      </w:r>
      <w:r>
        <w:rPr>
          <w:spacing w:val="-3"/>
          <w:sz w:val="18"/>
        </w:rPr>
        <w:t xml:space="preserve"> </w:t>
      </w:r>
      <w:r>
        <w:rPr>
          <w:sz w:val="18"/>
        </w:rPr>
        <w:t>recognises</w:t>
      </w:r>
      <w:r>
        <w:rPr>
          <w:spacing w:val="-3"/>
          <w:sz w:val="18"/>
        </w:rPr>
        <w:t xml:space="preserve"> </w:t>
      </w:r>
      <w:r>
        <w:rPr>
          <w:sz w:val="18"/>
        </w:rPr>
        <w:t>that</w:t>
      </w:r>
      <w:r>
        <w:rPr>
          <w:spacing w:val="-3"/>
          <w:sz w:val="18"/>
        </w:rPr>
        <w:t xml:space="preserve"> </w:t>
      </w:r>
      <w:r>
        <w:rPr>
          <w:sz w:val="18"/>
        </w:rPr>
        <w:t>differences</w:t>
      </w:r>
      <w:r>
        <w:rPr>
          <w:spacing w:val="-2"/>
          <w:sz w:val="18"/>
        </w:rPr>
        <w:t xml:space="preserve"> </w:t>
      </w:r>
      <w:r>
        <w:rPr>
          <w:sz w:val="18"/>
        </w:rPr>
        <w:t>in</w:t>
      </w:r>
      <w:r>
        <w:rPr>
          <w:spacing w:val="-3"/>
          <w:sz w:val="18"/>
        </w:rPr>
        <w:t xml:space="preserve"> </w:t>
      </w:r>
      <w:r>
        <w:rPr>
          <w:sz w:val="18"/>
        </w:rPr>
        <w:t>"conditions</w:t>
      </w:r>
      <w:r>
        <w:rPr>
          <w:spacing w:val="-2"/>
          <w:sz w:val="18"/>
        </w:rPr>
        <w:t xml:space="preserve"> </w:t>
      </w:r>
      <w:r>
        <w:rPr>
          <w:sz w:val="18"/>
        </w:rPr>
        <w:t>and</w:t>
      </w:r>
      <w:r>
        <w:rPr>
          <w:spacing w:val="-3"/>
          <w:sz w:val="18"/>
        </w:rPr>
        <w:t xml:space="preserve"> </w:t>
      </w:r>
      <w:r>
        <w:rPr>
          <w:sz w:val="18"/>
        </w:rPr>
        <w:t>terms</w:t>
      </w:r>
      <w:r>
        <w:rPr>
          <w:spacing w:val="-3"/>
          <w:sz w:val="18"/>
        </w:rPr>
        <w:t xml:space="preserve"> </w:t>
      </w:r>
      <w:r>
        <w:rPr>
          <w:sz w:val="18"/>
        </w:rPr>
        <w:t>of</w:t>
      </w:r>
      <w:r>
        <w:rPr>
          <w:spacing w:val="-2"/>
          <w:sz w:val="18"/>
        </w:rPr>
        <w:t xml:space="preserve"> </w:t>
      </w:r>
      <w:r>
        <w:rPr>
          <w:sz w:val="18"/>
        </w:rPr>
        <w:t>sale"</w:t>
      </w:r>
      <w:r>
        <w:rPr>
          <w:spacing w:val="-3"/>
          <w:sz w:val="18"/>
        </w:rPr>
        <w:t xml:space="preserve"> </w:t>
      </w:r>
      <w:r>
        <w:rPr>
          <w:sz w:val="18"/>
        </w:rPr>
        <w:t>can</w:t>
      </w:r>
      <w:r>
        <w:rPr>
          <w:spacing w:val="-2"/>
          <w:sz w:val="18"/>
        </w:rPr>
        <w:t xml:space="preserve"> </w:t>
      </w:r>
      <w:r>
        <w:rPr>
          <w:sz w:val="18"/>
        </w:rPr>
        <w:t>affect price comparab</w:t>
      </w:r>
      <w:r>
        <w:rPr>
          <w:sz w:val="18"/>
        </w:rPr>
        <w:t>ility. These factors reflect "differences in a transaction that an exporter could be expected to have reflected in his pricing": Panel Reports</w:t>
      </w:r>
      <w:r>
        <w:rPr>
          <w:i/>
          <w:sz w:val="18"/>
        </w:rPr>
        <w:t>, US – Stainless Steel</w:t>
      </w:r>
      <w:r>
        <w:rPr>
          <w:sz w:val="18"/>
        </w:rPr>
        <w:t xml:space="preserve">, para. 6.77; </w:t>
      </w:r>
      <w:r>
        <w:rPr>
          <w:i/>
          <w:sz w:val="18"/>
        </w:rPr>
        <w:t>EU ‐ Biodiesel</w:t>
      </w:r>
      <w:r>
        <w:rPr>
          <w:sz w:val="18"/>
        </w:rPr>
        <w:t xml:space="preserve">, para. 7.295; </w:t>
      </w:r>
      <w:r>
        <w:rPr>
          <w:i/>
          <w:sz w:val="18"/>
        </w:rPr>
        <w:t>EC – Tube and Pipe Fittings</w:t>
      </w:r>
      <w:r>
        <w:rPr>
          <w:sz w:val="18"/>
        </w:rPr>
        <w:t xml:space="preserve">, para. </w:t>
      </w:r>
      <w:r>
        <w:rPr>
          <w:spacing w:val="-2"/>
          <w:sz w:val="18"/>
        </w:rPr>
        <w:t>7.183.</w:t>
      </w:r>
    </w:p>
    <w:p w14:paraId="51DE8F54" w14:textId="77777777" w:rsidR="0010369C" w:rsidRDefault="0010369C">
      <w:pPr>
        <w:jc w:val="both"/>
        <w:rPr>
          <w:sz w:val="18"/>
        </w:rPr>
        <w:sectPr w:rsidR="0010369C">
          <w:headerReference w:type="default" r:id="rId797"/>
          <w:footerReference w:type="default" r:id="rId798"/>
          <w:pgSz w:w="11910" w:h="16840"/>
          <w:pgMar w:top="880" w:right="800" w:bottom="980" w:left="1180" w:header="569" w:footer="788" w:gutter="0"/>
          <w:cols w:space="720"/>
        </w:sectPr>
      </w:pPr>
    </w:p>
    <w:p w14:paraId="51DE8F55" w14:textId="77777777" w:rsidR="0010369C" w:rsidRDefault="008E43AE">
      <w:pPr>
        <w:tabs>
          <w:tab w:val="left" w:pos="6425"/>
        </w:tabs>
        <w:ind w:left="238"/>
        <w:rPr>
          <w:sz w:val="20"/>
        </w:rPr>
      </w:pPr>
      <w:r>
        <w:rPr>
          <w:i/>
          <w:sz w:val="20"/>
        </w:rPr>
        <w:lastRenderedPageBreak/>
        <w:t>China</w:t>
      </w:r>
      <w:r>
        <w:rPr>
          <w:i/>
          <w:spacing w:val="-5"/>
          <w:sz w:val="20"/>
        </w:rPr>
        <w:t xml:space="preserve"> </w:t>
      </w:r>
      <w:r>
        <w:rPr>
          <w:i/>
          <w:sz w:val="20"/>
        </w:rPr>
        <w:t>–</w:t>
      </w:r>
      <w:r>
        <w:rPr>
          <w:i/>
          <w:spacing w:val="-5"/>
          <w:sz w:val="20"/>
        </w:rPr>
        <w:t xml:space="preserve"> </w:t>
      </w:r>
      <w:r>
        <w:rPr>
          <w:i/>
          <w:sz w:val="20"/>
        </w:rPr>
        <w:t>Anti‐Dumping</w:t>
      </w:r>
      <w:r>
        <w:rPr>
          <w:i/>
          <w:spacing w:val="-4"/>
          <w:sz w:val="20"/>
        </w:rPr>
        <w:t xml:space="preserve"> </w:t>
      </w:r>
      <w:r>
        <w:rPr>
          <w:i/>
          <w:sz w:val="20"/>
        </w:rPr>
        <w:t>and</w:t>
      </w:r>
      <w:r>
        <w:rPr>
          <w:i/>
          <w:spacing w:val="-5"/>
          <w:sz w:val="20"/>
        </w:rPr>
        <w:t xml:space="preserve"> </w:t>
      </w:r>
      <w:r>
        <w:rPr>
          <w:i/>
          <w:sz w:val="20"/>
        </w:rPr>
        <w:t>Countervailing</w:t>
      </w:r>
      <w:r>
        <w:rPr>
          <w:i/>
          <w:spacing w:val="-5"/>
          <w:sz w:val="20"/>
        </w:rPr>
        <w:t xml:space="preserve"> </w:t>
      </w:r>
      <w:r>
        <w:rPr>
          <w:i/>
          <w:sz w:val="20"/>
        </w:rPr>
        <w:t>Duty</w:t>
      </w:r>
      <w:r>
        <w:rPr>
          <w:i/>
          <w:spacing w:val="-4"/>
          <w:sz w:val="20"/>
        </w:rPr>
        <w:t xml:space="preserve"> </w:t>
      </w:r>
      <w:r>
        <w:rPr>
          <w:i/>
          <w:spacing w:val="-2"/>
          <w:sz w:val="20"/>
        </w:rPr>
        <w:t>Measures</w:t>
      </w:r>
      <w:r>
        <w:rPr>
          <w:i/>
          <w:sz w:val="20"/>
        </w:rPr>
        <w:tab/>
      </w:r>
      <w:r>
        <w:rPr>
          <w:sz w:val="20"/>
        </w:rPr>
        <w:t>Australia's</w:t>
      </w:r>
      <w:r>
        <w:rPr>
          <w:spacing w:val="-7"/>
          <w:sz w:val="20"/>
        </w:rPr>
        <w:t xml:space="preserve"> </w:t>
      </w:r>
      <w:r>
        <w:rPr>
          <w:sz w:val="20"/>
        </w:rPr>
        <w:t>First</w:t>
      </w:r>
      <w:r>
        <w:rPr>
          <w:spacing w:val="-2"/>
          <w:sz w:val="20"/>
        </w:rPr>
        <w:t xml:space="preserve"> </w:t>
      </w:r>
      <w:r>
        <w:rPr>
          <w:sz w:val="20"/>
        </w:rPr>
        <w:t>Written</w:t>
      </w:r>
      <w:r>
        <w:rPr>
          <w:spacing w:val="-2"/>
          <w:sz w:val="20"/>
        </w:rPr>
        <w:t xml:space="preserve"> Submission</w:t>
      </w:r>
    </w:p>
    <w:p w14:paraId="51DE8F56" w14:textId="77777777" w:rsidR="0010369C" w:rsidRDefault="008E43AE">
      <w:pPr>
        <w:tabs>
          <w:tab w:val="left" w:pos="8227"/>
        </w:tabs>
        <w:spacing w:before="1"/>
        <w:ind w:left="239"/>
        <w:rPr>
          <w:sz w:val="20"/>
        </w:rPr>
      </w:pPr>
      <w:r>
        <w:rPr>
          <w:i/>
          <w:sz w:val="20"/>
        </w:rPr>
        <w:t>on</w:t>
      </w:r>
      <w:r>
        <w:rPr>
          <w:i/>
          <w:spacing w:val="-1"/>
          <w:sz w:val="20"/>
        </w:rPr>
        <w:t xml:space="preserve"> </w:t>
      </w:r>
      <w:r>
        <w:rPr>
          <w:i/>
          <w:sz w:val="20"/>
        </w:rPr>
        <w:t>Wine</w:t>
      </w:r>
      <w:r>
        <w:rPr>
          <w:i/>
          <w:spacing w:val="-1"/>
          <w:sz w:val="20"/>
        </w:rPr>
        <w:t xml:space="preserve"> </w:t>
      </w:r>
      <w:r>
        <w:rPr>
          <w:i/>
          <w:sz w:val="20"/>
        </w:rPr>
        <w:t>from</w:t>
      </w:r>
      <w:r>
        <w:rPr>
          <w:i/>
          <w:spacing w:val="-3"/>
          <w:sz w:val="20"/>
        </w:rPr>
        <w:t xml:space="preserve"> </w:t>
      </w:r>
      <w:r>
        <w:rPr>
          <w:i/>
          <w:sz w:val="20"/>
        </w:rPr>
        <w:t>Australia</w:t>
      </w:r>
      <w:r>
        <w:rPr>
          <w:i/>
          <w:spacing w:val="-1"/>
          <w:sz w:val="20"/>
        </w:rPr>
        <w:t xml:space="preserve"> </w:t>
      </w:r>
      <w:r>
        <w:rPr>
          <w:spacing w:val="-2"/>
          <w:sz w:val="20"/>
        </w:rPr>
        <w:t>(DS602)</w:t>
      </w:r>
      <w:r>
        <w:rPr>
          <w:sz w:val="20"/>
        </w:rPr>
        <w:tab/>
        <w:t>29</w:t>
      </w:r>
      <w:r>
        <w:rPr>
          <w:spacing w:val="-1"/>
          <w:sz w:val="20"/>
        </w:rPr>
        <w:t xml:space="preserve"> </w:t>
      </w:r>
      <w:r>
        <w:rPr>
          <w:sz w:val="20"/>
        </w:rPr>
        <w:t>April</w:t>
      </w:r>
      <w:r>
        <w:rPr>
          <w:spacing w:val="-2"/>
          <w:sz w:val="20"/>
        </w:rPr>
        <w:t xml:space="preserve"> </w:t>
      </w:r>
      <w:r>
        <w:rPr>
          <w:spacing w:val="-4"/>
          <w:sz w:val="20"/>
        </w:rPr>
        <w:t>2022</w:t>
      </w:r>
    </w:p>
    <w:p w14:paraId="51DE8F57" w14:textId="77777777" w:rsidR="0010369C" w:rsidRDefault="008E43AE">
      <w:pPr>
        <w:pStyle w:val="BodyText"/>
        <w:spacing w:before="34" w:line="360" w:lineRule="auto"/>
        <w:ind w:left="237"/>
      </w:pPr>
      <w:r>
        <w:t>different,</w:t>
      </w:r>
      <w:r>
        <w:rPr>
          <w:spacing w:val="28"/>
        </w:rPr>
        <w:t xml:space="preserve"> </w:t>
      </w:r>
      <w:r>
        <w:t>such</w:t>
      </w:r>
      <w:r>
        <w:rPr>
          <w:spacing w:val="26"/>
        </w:rPr>
        <w:t xml:space="preserve"> </w:t>
      </w:r>
      <w:r>
        <w:t>that</w:t>
      </w:r>
      <w:r>
        <w:rPr>
          <w:spacing w:val="27"/>
        </w:rPr>
        <w:t xml:space="preserve"> </w:t>
      </w:r>
      <w:r>
        <w:t>the</w:t>
      </w:r>
      <w:r>
        <w:rPr>
          <w:spacing w:val="28"/>
        </w:rPr>
        <w:t xml:space="preserve"> </w:t>
      </w:r>
      <w:r>
        <w:t>prices</w:t>
      </w:r>
      <w:r>
        <w:rPr>
          <w:spacing w:val="27"/>
        </w:rPr>
        <w:t xml:space="preserve"> </w:t>
      </w:r>
      <w:r>
        <w:t>are</w:t>
      </w:r>
      <w:r>
        <w:rPr>
          <w:spacing w:val="27"/>
        </w:rPr>
        <w:t xml:space="preserve"> </w:t>
      </w:r>
      <w:r>
        <w:t>not</w:t>
      </w:r>
      <w:r>
        <w:rPr>
          <w:spacing w:val="27"/>
        </w:rPr>
        <w:t xml:space="preserve"> </w:t>
      </w:r>
      <w:r>
        <w:t>comparable,</w:t>
      </w:r>
      <w:r>
        <w:rPr>
          <w:spacing w:val="27"/>
        </w:rPr>
        <w:t xml:space="preserve"> </w:t>
      </w:r>
      <w:r>
        <w:t>they</w:t>
      </w:r>
      <w:r>
        <w:rPr>
          <w:spacing w:val="26"/>
        </w:rPr>
        <w:t xml:space="preserve"> </w:t>
      </w:r>
      <w:r>
        <w:t>cannot</w:t>
      </w:r>
      <w:r>
        <w:rPr>
          <w:spacing w:val="27"/>
        </w:rPr>
        <w:t xml:space="preserve"> </w:t>
      </w:r>
      <w:r>
        <w:t>be</w:t>
      </w:r>
      <w:r>
        <w:rPr>
          <w:spacing w:val="28"/>
        </w:rPr>
        <w:t xml:space="preserve"> </w:t>
      </w:r>
      <w:r>
        <w:t>used</w:t>
      </w:r>
      <w:r>
        <w:rPr>
          <w:spacing w:val="27"/>
        </w:rPr>
        <w:t xml:space="preserve"> </w:t>
      </w:r>
      <w:r>
        <w:t>in</w:t>
      </w:r>
      <w:r>
        <w:rPr>
          <w:spacing w:val="27"/>
        </w:rPr>
        <w:t xml:space="preserve"> </w:t>
      </w:r>
      <w:r>
        <w:t>a</w:t>
      </w:r>
      <w:r>
        <w:rPr>
          <w:spacing w:val="27"/>
        </w:rPr>
        <w:t xml:space="preserve"> </w:t>
      </w:r>
      <w:r>
        <w:t>price</w:t>
      </w:r>
      <w:r>
        <w:rPr>
          <w:spacing w:val="27"/>
        </w:rPr>
        <w:t xml:space="preserve"> </w:t>
      </w:r>
      <w:r>
        <w:t>effects analysis without appropriate adjustments being applied.</w:t>
      </w:r>
    </w:p>
    <w:p w14:paraId="51DE8F58" w14:textId="77777777" w:rsidR="0010369C" w:rsidRDefault="0010369C">
      <w:pPr>
        <w:pStyle w:val="BodyText"/>
        <w:spacing w:before="10"/>
        <w:rPr>
          <w:sz w:val="8"/>
        </w:rPr>
      </w:pPr>
    </w:p>
    <w:p w14:paraId="51DE8F59" w14:textId="77777777" w:rsidR="0010369C" w:rsidRDefault="008E43AE">
      <w:pPr>
        <w:pStyle w:val="BodyText"/>
        <w:spacing w:before="52" w:line="360" w:lineRule="auto"/>
        <w:ind w:left="236" w:right="613" w:firstLine="852"/>
        <w:jc w:val="both"/>
      </w:pPr>
      <w:r>
        <w:rPr>
          <w:noProof/>
        </w:rPr>
        <w:drawing>
          <wp:anchor distT="0" distB="0" distL="0" distR="0" simplePos="0" relativeHeight="251217408" behindDoc="1" locked="0" layoutInCell="1" allowOverlap="1" wp14:anchorId="51DEA4BB" wp14:editId="51DEA4BC">
            <wp:simplePos x="0" y="0"/>
            <wp:positionH relativeFrom="page">
              <wp:posOffset>902208</wp:posOffset>
            </wp:positionH>
            <wp:positionV relativeFrom="paragraph">
              <wp:posOffset>76785</wp:posOffset>
            </wp:positionV>
            <wp:extent cx="262127" cy="106679"/>
            <wp:effectExtent l="0" t="0" r="0" b="0"/>
            <wp:wrapNone/>
            <wp:docPr id="1177" name="image6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 name="image609.png"/>
                    <pic:cNvPicPr/>
                  </pic:nvPicPr>
                  <pic:blipFill>
                    <a:blip r:embed="rId799" cstate="print"/>
                    <a:stretch>
                      <a:fillRect/>
                    </a:stretch>
                  </pic:blipFill>
                  <pic:spPr>
                    <a:xfrm>
                      <a:off x="0" y="0"/>
                      <a:ext cx="262127" cy="106679"/>
                    </a:xfrm>
                    <a:prstGeom prst="rect">
                      <a:avLst/>
                    </a:prstGeom>
                  </pic:spPr>
                </pic:pic>
              </a:graphicData>
            </a:graphic>
          </wp:anchor>
        </w:drawing>
      </w:r>
      <w:r>
        <w:t>To</w:t>
      </w:r>
      <w:r>
        <w:rPr>
          <w:spacing w:val="-8"/>
        </w:rPr>
        <w:t xml:space="preserve"> </w:t>
      </w:r>
      <w:r>
        <w:t>properly</w:t>
      </w:r>
      <w:r>
        <w:rPr>
          <w:spacing w:val="-7"/>
        </w:rPr>
        <w:t xml:space="preserve"> </w:t>
      </w:r>
      <w:r>
        <w:t>ensure</w:t>
      </w:r>
      <w:r>
        <w:rPr>
          <w:spacing w:val="-9"/>
        </w:rPr>
        <w:t xml:space="preserve"> </w:t>
      </w:r>
      <w:r>
        <w:t>price</w:t>
      </w:r>
      <w:r>
        <w:rPr>
          <w:spacing w:val="-9"/>
        </w:rPr>
        <w:t xml:space="preserve"> </w:t>
      </w:r>
      <w:r>
        <w:t>comparability</w:t>
      </w:r>
      <w:r>
        <w:rPr>
          <w:spacing w:val="-8"/>
        </w:rPr>
        <w:t xml:space="preserve"> </w:t>
      </w:r>
      <w:r>
        <w:t>between</w:t>
      </w:r>
      <w:r>
        <w:rPr>
          <w:spacing w:val="-8"/>
        </w:rPr>
        <w:t xml:space="preserve"> </w:t>
      </w:r>
      <w:r>
        <w:t>prices</w:t>
      </w:r>
      <w:r>
        <w:rPr>
          <w:spacing w:val="-9"/>
        </w:rPr>
        <w:t xml:space="preserve"> </w:t>
      </w:r>
      <w:r>
        <w:t>of</w:t>
      </w:r>
      <w:r>
        <w:rPr>
          <w:spacing w:val="-9"/>
        </w:rPr>
        <w:t xml:space="preserve"> </w:t>
      </w:r>
      <w:r>
        <w:t>domestic</w:t>
      </w:r>
      <w:r>
        <w:rPr>
          <w:spacing w:val="-7"/>
        </w:rPr>
        <w:t xml:space="preserve"> </w:t>
      </w:r>
      <w:r>
        <w:t>like</w:t>
      </w:r>
      <w:r>
        <w:rPr>
          <w:spacing w:val="-7"/>
        </w:rPr>
        <w:t xml:space="preserve"> </w:t>
      </w:r>
      <w:r>
        <w:t>products</w:t>
      </w:r>
      <w:r>
        <w:rPr>
          <w:spacing w:val="-8"/>
        </w:rPr>
        <w:t xml:space="preserve"> </w:t>
      </w:r>
      <w:r>
        <w:t>and subject imports, MOFCOM was required to either ensure t</w:t>
      </w:r>
      <w:r>
        <w:t>hat it compared prices that reflected transactions with similar conditions of sale or make appropriate adjustments to account</w:t>
      </w:r>
      <w:r>
        <w:rPr>
          <w:spacing w:val="-5"/>
        </w:rPr>
        <w:t xml:space="preserve"> </w:t>
      </w:r>
      <w:r>
        <w:t>for</w:t>
      </w:r>
      <w:r>
        <w:rPr>
          <w:spacing w:val="-6"/>
        </w:rPr>
        <w:t xml:space="preserve"> </w:t>
      </w:r>
      <w:r>
        <w:t>any</w:t>
      </w:r>
      <w:r>
        <w:rPr>
          <w:spacing w:val="-4"/>
        </w:rPr>
        <w:t xml:space="preserve"> </w:t>
      </w:r>
      <w:r>
        <w:t>impact</w:t>
      </w:r>
      <w:r>
        <w:rPr>
          <w:spacing w:val="-6"/>
        </w:rPr>
        <w:t xml:space="preserve"> </w:t>
      </w:r>
      <w:r>
        <w:t>on</w:t>
      </w:r>
      <w:r>
        <w:rPr>
          <w:spacing w:val="-5"/>
        </w:rPr>
        <w:t xml:space="preserve"> </w:t>
      </w:r>
      <w:r>
        <w:t>prices</w:t>
      </w:r>
      <w:r>
        <w:rPr>
          <w:spacing w:val="-5"/>
        </w:rPr>
        <w:t xml:space="preserve"> </w:t>
      </w:r>
      <w:r>
        <w:t>resulting</w:t>
      </w:r>
      <w:r>
        <w:rPr>
          <w:spacing w:val="-6"/>
        </w:rPr>
        <w:t xml:space="preserve"> </w:t>
      </w:r>
      <w:r>
        <w:t>from</w:t>
      </w:r>
      <w:r>
        <w:rPr>
          <w:spacing w:val="-5"/>
        </w:rPr>
        <w:t xml:space="preserve"> </w:t>
      </w:r>
      <w:r>
        <w:t>different</w:t>
      </w:r>
      <w:r>
        <w:rPr>
          <w:spacing w:val="-5"/>
        </w:rPr>
        <w:t xml:space="preserve"> </w:t>
      </w:r>
      <w:r>
        <w:t>conditions</w:t>
      </w:r>
      <w:r>
        <w:rPr>
          <w:spacing w:val="-6"/>
        </w:rPr>
        <w:t xml:space="preserve"> </w:t>
      </w:r>
      <w:r>
        <w:t>of</w:t>
      </w:r>
      <w:r>
        <w:rPr>
          <w:spacing w:val="-5"/>
        </w:rPr>
        <w:t xml:space="preserve"> </w:t>
      </w:r>
      <w:r>
        <w:t>sale.</w:t>
      </w:r>
      <w:r>
        <w:rPr>
          <w:vertAlign w:val="superscript"/>
        </w:rPr>
        <w:t>690</w:t>
      </w:r>
      <w:r>
        <w:rPr>
          <w:spacing w:val="-6"/>
        </w:rPr>
        <w:t xml:space="preserve"> </w:t>
      </w:r>
      <w:r>
        <w:t>This</w:t>
      </w:r>
      <w:r>
        <w:rPr>
          <w:spacing w:val="-5"/>
        </w:rPr>
        <w:t xml:space="preserve"> </w:t>
      </w:r>
      <w:r>
        <w:t>is</w:t>
      </w:r>
      <w:r>
        <w:rPr>
          <w:spacing w:val="-5"/>
        </w:rPr>
        <w:t xml:space="preserve"> </w:t>
      </w:r>
      <w:r>
        <w:t>because prices</w:t>
      </w:r>
      <w:r>
        <w:rPr>
          <w:spacing w:val="-10"/>
        </w:rPr>
        <w:t xml:space="preserve"> </w:t>
      </w:r>
      <w:r>
        <w:t>reflecting</w:t>
      </w:r>
      <w:r>
        <w:rPr>
          <w:spacing w:val="-9"/>
        </w:rPr>
        <w:t xml:space="preserve"> </w:t>
      </w:r>
      <w:r>
        <w:t>different</w:t>
      </w:r>
      <w:r>
        <w:rPr>
          <w:spacing w:val="-9"/>
        </w:rPr>
        <w:t xml:space="preserve"> </w:t>
      </w:r>
      <w:r>
        <w:t>conditions</w:t>
      </w:r>
      <w:r>
        <w:rPr>
          <w:spacing w:val="-11"/>
        </w:rPr>
        <w:t xml:space="preserve"> </w:t>
      </w:r>
      <w:r>
        <w:t>of</w:t>
      </w:r>
      <w:r>
        <w:rPr>
          <w:spacing w:val="-10"/>
        </w:rPr>
        <w:t xml:space="preserve"> </w:t>
      </w:r>
      <w:r>
        <w:t>sale</w:t>
      </w:r>
      <w:r>
        <w:rPr>
          <w:spacing w:val="-9"/>
        </w:rPr>
        <w:t xml:space="preserve"> </w:t>
      </w:r>
      <w:r>
        <w:t>will</w:t>
      </w:r>
      <w:r>
        <w:rPr>
          <w:spacing w:val="-10"/>
        </w:rPr>
        <w:t xml:space="preserve"> </w:t>
      </w:r>
      <w:r>
        <w:t>include</w:t>
      </w:r>
      <w:r>
        <w:rPr>
          <w:spacing w:val="-9"/>
        </w:rPr>
        <w:t xml:space="preserve"> </w:t>
      </w:r>
      <w:r>
        <w:t>different</w:t>
      </w:r>
      <w:r>
        <w:rPr>
          <w:spacing w:val="-9"/>
        </w:rPr>
        <w:t xml:space="preserve"> </w:t>
      </w:r>
      <w:r>
        <w:t>pricing</w:t>
      </w:r>
      <w:r>
        <w:rPr>
          <w:spacing w:val="-10"/>
        </w:rPr>
        <w:t xml:space="preserve"> </w:t>
      </w:r>
      <w:r>
        <w:t>components</w:t>
      </w:r>
      <w:r>
        <w:rPr>
          <w:spacing w:val="-11"/>
        </w:rPr>
        <w:t xml:space="preserve"> </w:t>
      </w:r>
      <w:r>
        <w:t>and</w:t>
      </w:r>
      <w:r>
        <w:rPr>
          <w:spacing w:val="-10"/>
        </w:rPr>
        <w:t xml:space="preserve"> </w:t>
      </w:r>
      <w:r>
        <w:t>sale terms,</w:t>
      </w:r>
      <w:r>
        <w:rPr>
          <w:spacing w:val="-14"/>
        </w:rPr>
        <w:t xml:space="preserve"> </w:t>
      </w:r>
      <w:r>
        <w:t>such</w:t>
      </w:r>
      <w:r>
        <w:rPr>
          <w:spacing w:val="-14"/>
        </w:rPr>
        <w:t xml:space="preserve"> </w:t>
      </w:r>
      <w:r>
        <w:t>as</w:t>
      </w:r>
      <w:r>
        <w:rPr>
          <w:spacing w:val="-13"/>
        </w:rPr>
        <w:t xml:space="preserve"> </w:t>
      </w:r>
      <w:r>
        <w:t>transportation</w:t>
      </w:r>
      <w:r>
        <w:rPr>
          <w:spacing w:val="-14"/>
        </w:rPr>
        <w:t xml:space="preserve"> </w:t>
      </w:r>
      <w:r>
        <w:t>costs,</w:t>
      </w:r>
      <w:r>
        <w:rPr>
          <w:spacing w:val="-13"/>
        </w:rPr>
        <w:t xml:space="preserve"> </w:t>
      </w:r>
      <w:r>
        <w:t>warehousing</w:t>
      </w:r>
      <w:r>
        <w:rPr>
          <w:spacing w:val="-14"/>
        </w:rPr>
        <w:t xml:space="preserve"> </w:t>
      </w:r>
      <w:r>
        <w:t>and</w:t>
      </w:r>
      <w:r>
        <w:rPr>
          <w:spacing w:val="-13"/>
        </w:rPr>
        <w:t xml:space="preserve"> </w:t>
      </w:r>
      <w:r>
        <w:t>logistics</w:t>
      </w:r>
      <w:r>
        <w:rPr>
          <w:spacing w:val="-14"/>
        </w:rPr>
        <w:t xml:space="preserve"> </w:t>
      </w:r>
      <w:r>
        <w:t>costs,</w:t>
      </w:r>
      <w:r>
        <w:rPr>
          <w:spacing w:val="-14"/>
        </w:rPr>
        <w:t xml:space="preserve"> </w:t>
      </w:r>
      <w:r>
        <w:t>fees,</w:t>
      </w:r>
      <w:r>
        <w:rPr>
          <w:spacing w:val="-13"/>
        </w:rPr>
        <w:t xml:space="preserve"> </w:t>
      </w:r>
      <w:r>
        <w:t>levies,</w:t>
      </w:r>
      <w:r>
        <w:rPr>
          <w:spacing w:val="-14"/>
        </w:rPr>
        <w:t xml:space="preserve"> </w:t>
      </w:r>
      <w:r>
        <w:t>and</w:t>
      </w:r>
      <w:r>
        <w:rPr>
          <w:spacing w:val="-13"/>
        </w:rPr>
        <w:t xml:space="preserve"> </w:t>
      </w:r>
      <w:r>
        <w:t>markups. Differences of this nature can reasonably be expected to be reflected in the sale price o</w:t>
      </w:r>
      <w:r>
        <w:t>f products.</w:t>
      </w:r>
      <w:r>
        <w:rPr>
          <w:vertAlign w:val="superscript"/>
        </w:rPr>
        <w:t>691</w:t>
      </w:r>
      <w:r>
        <w:t xml:space="preserve"> Without appropriate adjustments, prices reflecting different conditions of sale are not comparable because they do not reflect "like for like" prices.</w:t>
      </w:r>
      <w:r>
        <w:rPr>
          <w:vertAlign w:val="superscript"/>
        </w:rPr>
        <w:t>692</w:t>
      </w:r>
    </w:p>
    <w:p w14:paraId="51DE8F5A" w14:textId="77777777" w:rsidR="0010369C" w:rsidRDefault="0010369C">
      <w:pPr>
        <w:pStyle w:val="BodyText"/>
        <w:spacing w:before="11"/>
        <w:rPr>
          <w:sz w:val="8"/>
        </w:rPr>
      </w:pPr>
    </w:p>
    <w:p w14:paraId="51DE8F5B" w14:textId="77777777" w:rsidR="0010369C" w:rsidRDefault="008E43AE">
      <w:pPr>
        <w:pStyle w:val="BodyText"/>
        <w:spacing w:before="52" w:line="360" w:lineRule="auto"/>
        <w:ind w:left="237" w:right="612" w:firstLine="851"/>
        <w:jc w:val="both"/>
      </w:pPr>
      <w:r>
        <w:rPr>
          <w:noProof/>
        </w:rPr>
        <w:drawing>
          <wp:anchor distT="0" distB="0" distL="0" distR="0" simplePos="0" relativeHeight="251218432" behindDoc="1" locked="0" layoutInCell="1" allowOverlap="1" wp14:anchorId="51DEA4BD" wp14:editId="51DEA4BE">
            <wp:simplePos x="0" y="0"/>
            <wp:positionH relativeFrom="page">
              <wp:posOffset>902208</wp:posOffset>
            </wp:positionH>
            <wp:positionV relativeFrom="paragraph">
              <wp:posOffset>81357</wp:posOffset>
            </wp:positionV>
            <wp:extent cx="262127" cy="103631"/>
            <wp:effectExtent l="0" t="0" r="0" b="0"/>
            <wp:wrapNone/>
            <wp:docPr id="1179" name="image6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 name="image610.png"/>
                    <pic:cNvPicPr/>
                  </pic:nvPicPr>
                  <pic:blipFill>
                    <a:blip r:embed="rId800" cstate="print"/>
                    <a:stretch>
                      <a:fillRect/>
                    </a:stretch>
                  </pic:blipFill>
                  <pic:spPr>
                    <a:xfrm>
                      <a:off x="0" y="0"/>
                      <a:ext cx="262127" cy="103631"/>
                    </a:xfrm>
                    <a:prstGeom prst="rect">
                      <a:avLst/>
                    </a:prstGeom>
                  </pic:spPr>
                </pic:pic>
              </a:graphicData>
            </a:graphic>
          </wp:anchor>
        </w:drawing>
      </w:r>
      <w:r>
        <w:t>The methodology MOFCOM adopted to calculate annual average unit prices for all subjec</w:t>
      </w:r>
      <w:r>
        <w:t>t imports and all sales of domestic like products resulted in a comparison of averages derived from prices with materially different conditions of sale. The adjustments MOFCOM applied to the "CIF prices" for subject imports do not address the impact of dif</w:t>
      </w:r>
      <w:r>
        <w:t>ferent conditions of sale.</w:t>
      </w:r>
    </w:p>
    <w:p w14:paraId="51DE8F5C" w14:textId="77777777" w:rsidR="0010369C" w:rsidRDefault="008E43AE">
      <w:pPr>
        <w:pStyle w:val="ListParagraph"/>
        <w:numPr>
          <w:ilvl w:val="1"/>
          <w:numId w:val="53"/>
        </w:numPr>
        <w:tabs>
          <w:tab w:val="left" w:pos="5341"/>
        </w:tabs>
        <w:spacing w:before="160" w:line="360" w:lineRule="auto"/>
        <w:ind w:right="614"/>
        <w:jc w:val="both"/>
        <w:rPr>
          <w:sz w:val="24"/>
        </w:rPr>
      </w:pPr>
      <w:r>
        <w:rPr>
          <w:sz w:val="24"/>
          <w:u w:val="single"/>
        </w:rPr>
        <w:t>MOFCOM compared prices with</w:t>
      </w:r>
      <w:r>
        <w:rPr>
          <w:sz w:val="24"/>
        </w:rPr>
        <w:t xml:space="preserve"> </w:t>
      </w:r>
      <w:r>
        <w:rPr>
          <w:sz w:val="24"/>
          <w:u w:val="single"/>
        </w:rPr>
        <w:t>different conditions of sale</w:t>
      </w:r>
    </w:p>
    <w:p w14:paraId="51DE8F5D" w14:textId="77777777" w:rsidR="0010369C" w:rsidRDefault="0010369C">
      <w:pPr>
        <w:pStyle w:val="BodyText"/>
        <w:spacing w:before="10"/>
        <w:rPr>
          <w:sz w:val="8"/>
        </w:rPr>
      </w:pPr>
    </w:p>
    <w:p w14:paraId="51DE8F5E" w14:textId="77777777" w:rsidR="0010369C" w:rsidRDefault="008E43AE">
      <w:pPr>
        <w:pStyle w:val="BodyText"/>
        <w:spacing w:before="52" w:line="360" w:lineRule="auto"/>
        <w:ind w:left="237" w:right="613" w:firstLine="851"/>
        <w:jc w:val="both"/>
      </w:pPr>
      <w:r>
        <w:rPr>
          <w:noProof/>
        </w:rPr>
        <w:drawing>
          <wp:anchor distT="0" distB="0" distL="0" distR="0" simplePos="0" relativeHeight="251219456" behindDoc="1" locked="0" layoutInCell="1" allowOverlap="1" wp14:anchorId="51DEA4BF" wp14:editId="51DEA4C0">
            <wp:simplePos x="0" y="0"/>
            <wp:positionH relativeFrom="page">
              <wp:posOffset>902208</wp:posOffset>
            </wp:positionH>
            <wp:positionV relativeFrom="paragraph">
              <wp:posOffset>76786</wp:posOffset>
            </wp:positionV>
            <wp:extent cx="262127" cy="106679"/>
            <wp:effectExtent l="0" t="0" r="0" b="0"/>
            <wp:wrapNone/>
            <wp:docPr id="1181" name="image6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 name="image611.png"/>
                    <pic:cNvPicPr/>
                  </pic:nvPicPr>
                  <pic:blipFill>
                    <a:blip r:embed="rId801" cstate="print"/>
                    <a:stretch>
                      <a:fillRect/>
                    </a:stretch>
                  </pic:blipFill>
                  <pic:spPr>
                    <a:xfrm>
                      <a:off x="0" y="0"/>
                      <a:ext cx="262127" cy="106679"/>
                    </a:xfrm>
                    <a:prstGeom prst="rect">
                      <a:avLst/>
                    </a:prstGeom>
                  </pic:spPr>
                </pic:pic>
              </a:graphicData>
            </a:graphic>
          </wp:anchor>
        </w:drawing>
      </w:r>
      <w:r>
        <w:t>MOFCOM compared "CIF prices" of subject imports provided by China Customs (which were ostensibly adjusted to account for exchange rate, tariff rate, and customs clearance</w:t>
      </w:r>
      <w:r>
        <w:rPr>
          <w:spacing w:val="-2"/>
        </w:rPr>
        <w:t xml:space="preserve"> </w:t>
      </w:r>
      <w:r>
        <w:t>fee)</w:t>
      </w:r>
      <w:r>
        <w:rPr>
          <w:spacing w:val="-1"/>
        </w:rPr>
        <w:t xml:space="preserve"> </w:t>
      </w:r>
      <w:r>
        <w:t>with</w:t>
      </w:r>
      <w:r>
        <w:rPr>
          <w:spacing w:val="-2"/>
        </w:rPr>
        <w:t xml:space="preserve"> </w:t>
      </w:r>
      <w:r>
        <w:t>the</w:t>
      </w:r>
      <w:r>
        <w:rPr>
          <w:spacing w:val="-2"/>
        </w:rPr>
        <w:t xml:space="preserve"> </w:t>
      </w:r>
      <w:r>
        <w:t>ex‐factory</w:t>
      </w:r>
      <w:r>
        <w:rPr>
          <w:spacing w:val="-1"/>
        </w:rPr>
        <w:t xml:space="preserve"> </w:t>
      </w:r>
      <w:r>
        <w:t>prices</w:t>
      </w:r>
      <w:r>
        <w:rPr>
          <w:spacing w:val="-3"/>
        </w:rPr>
        <w:t xml:space="preserve"> </w:t>
      </w:r>
      <w:r>
        <w:t>of</w:t>
      </w:r>
      <w:r>
        <w:rPr>
          <w:spacing w:val="-2"/>
        </w:rPr>
        <w:t xml:space="preserve"> </w:t>
      </w:r>
      <w:r>
        <w:t>domestic like products.</w:t>
      </w:r>
      <w:r>
        <w:rPr>
          <w:vertAlign w:val="superscript"/>
        </w:rPr>
        <w:t>693</w:t>
      </w:r>
      <w:r>
        <w:rPr>
          <w:spacing w:val="-2"/>
        </w:rPr>
        <w:t xml:space="preserve"> </w:t>
      </w:r>
      <w:r>
        <w:t>A</w:t>
      </w:r>
      <w:r>
        <w:rPr>
          <w:spacing w:val="-1"/>
        </w:rPr>
        <w:t xml:space="preserve"> </w:t>
      </w:r>
      <w:r>
        <w:t>transaction</w:t>
      </w:r>
      <w:r>
        <w:rPr>
          <w:spacing w:val="-3"/>
        </w:rPr>
        <w:t xml:space="preserve"> </w:t>
      </w:r>
      <w:r>
        <w:t>occurring</w:t>
      </w:r>
      <w:r>
        <w:t xml:space="preserve"> under CIF conditions of sale reflects the costs, insurance and freight to ship products to the buyer's named port of destination.</w:t>
      </w:r>
      <w:r>
        <w:rPr>
          <w:vertAlign w:val="superscript"/>
        </w:rPr>
        <w:t>694</w:t>
      </w:r>
      <w:r>
        <w:t xml:space="preserve"> In a transaction under CIF conditions of sale, the buyer assumes</w:t>
      </w:r>
      <w:r>
        <w:rPr>
          <w:spacing w:val="23"/>
        </w:rPr>
        <w:t xml:space="preserve"> </w:t>
      </w:r>
      <w:r>
        <w:t>responsibility</w:t>
      </w:r>
      <w:r>
        <w:rPr>
          <w:spacing w:val="24"/>
        </w:rPr>
        <w:t xml:space="preserve"> </w:t>
      </w:r>
      <w:r>
        <w:t>for</w:t>
      </w:r>
      <w:r>
        <w:rPr>
          <w:spacing w:val="24"/>
        </w:rPr>
        <w:t xml:space="preserve"> </w:t>
      </w:r>
      <w:r>
        <w:t>any</w:t>
      </w:r>
      <w:r>
        <w:rPr>
          <w:spacing w:val="24"/>
        </w:rPr>
        <w:t xml:space="preserve"> </w:t>
      </w:r>
      <w:r>
        <w:t>fees</w:t>
      </w:r>
      <w:r>
        <w:rPr>
          <w:spacing w:val="23"/>
        </w:rPr>
        <w:t xml:space="preserve"> </w:t>
      </w:r>
      <w:r>
        <w:t>or</w:t>
      </w:r>
      <w:r>
        <w:rPr>
          <w:spacing w:val="24"/>
        </w:rPr>
        <w:t xml:space="preserve"> </w:t>
      </w:r>
      <w:r>
        <w:t>charges</w:t>
      </w:r>
      <w:r>
        <w:rPr>
          <w:spacing w:val="23"/>
        </w:rPr>
        <w:t xml:space="preserve"> </w:t>
      </w:r>
      <w:r>
        <w:t>for</w:t>
      </w:r>
      <w:r>
        <w:rPr>
          <w:spacing w:val="24"/>
        </w:rPr>
        <w:t xml:space="preserve"> </w:t>
      </w:r>
      <w:r>
        <w:t>unloading</w:t>
      </w:r>
      <w:r>
        <w:rPr>
          <w:spacing w:val="25"/>
        </w:rPr>
        <w:t xml:space="preserve"> </w:t>
      </w:r>
      <w:r>
        <w:t>the</w:t>
      </w:r>
      <w:r>
        <w:rPr>
          <w:spacing w:val="24"/>
        </w:rPr>
        <w:t xml:space="preserve"> </w:t>
      </w:r>
      <w:r>
        <w:t>goods</w:t>
      </w:r>
      <w:r>
        <w:rPr>
          <w:spacing w:val="22"/>
        </w:rPr>
        <w:t xml:space="preserve"> </w:t>
      </w:r>
      <w:r>
        <w:t>from</w:t>
      </w:r>
      <w:r>
        <w:rPr>
          <w:spacing w:val="23"/>
        </w:rPr>
        <w:t xml:space="preserve"> </w:t>
      </w:r>
      <w:r>
        <w:t>the</w:t>
      </w:r>
      <w:r>
        <w:rPr>
          <w:spacing w:val="24"/>
        </w:rPr>
        <w:t xml:space="preserve"> </w:t>
      </w:r>
      <w:r>
        <w:t>ship</w:t>
      </w:r>
      <w:r>
        <w:rPr>
          <w:spacing w:val="23"/>
        </w:rPr>
        <w:t xml:space="preserve"> </w:t>
      </w:r>
      <w:r>
        <w:rPr>
          <w:spacing w:val="-5"/>
        </w:rPr>
        <w:t>and</w:t>
      </w:r>
    </w:p>
    <w:p w14:paraId="51DE8F5F" w14:textId="77777777" w:rsidR="0010369C" w:rsidRDefault="0010369C">
      <w:pPr>
        <w:pStyle w:val="BodyText"/>
        <w:rPr>
          <w:sz w:val="20"/>
        </w:rPr>
      </w:pPr>
    </w:p>
    <w:p w14:paraId="51DE8F60" w14:textId="77777777" w:rsidR="0010369C" w:rsidRDefault="008E43AE">
      <w:pPr>
        <w:pStyle w:val="BodyText"/>
        <w:spacing w:before="6"/>
        <w:rPr>
          <w:sz w:val="18"/>
        </w:rPr>
      </w:pPr>
      <w:r>
        <w:pict w14:anchorId="51DEA4C1">
          <v:rect id="docshape1082" o:spid="_x0000_s1302" style="position:absolute;margin-left:70.9pt;margin-top:12.5pt;width:2in;height:.8pt;z-index:-250823168;mso-wrap-distance-left:0;mso-wrap-distance-right:0;mso-position-horizontal-relative:page" fillcolor="black" stroked="f">
            <w10:wrap type="topAndBottom" anchorx="page"/>
          </v:rect>
        </w:pict>
      </w:r>
    </w:p>
    <w:p w14:paraId="51DE8F61" w14:textId="77777777" w:rsidR="0010369C" w:rsidRDefault="008E43AE">
      <w:pPr>
        <w:spacing w:before="109"/>
        <w:ind w:left="238"/>
        <w:jc w:val="both"/>
        <w:rPr>
          <w:sz w:val="18"/>
        </w:rPr>
      </w:pPr>
      <w:r>
        <w:rPr>
          <w:w w:val="95"/>
          <w:sz w:val="18"/>
          <w:vertAlign w:val="superscript"/>
        </w:rPr>
        <w:t>690</w:t>
      </w:r>
      <w:r>
        <w:rPr>
          <w:spacing w:val="5"/>
          <w:sz w:val="18"/>
        </w:rPr>
        <w:t xml:space="preserve"> </w:t>
      </w:r>
      <w:r>
        <w:rPr>
          <w:w w:val="95"/>
          <w:sz w:val="18"/>
        </w:rPr>
        <w:t>Differences</w:t>
      </w:r>
      <w:r>
        <w:rPr>
          <w:spacing w:val="6"/>
          <w:sz w:val="18"/>
        </w:rPr>
        <w:t xml:space="preserve"> </w:t>
      </w:r>
      <w:r>
        <w:rPr>
          <w:w w:val="95"/>
          <w:sz w:val="18"/>
        </w:rPr>
        <w:t>in</w:t>
      </w:r>
      <w:r>
        <w:rPr>
          <w:spacing w:val="6"/>
          <w:sz w:val="18"/>
        </w:rPr>
        <w:t xml:space="preserve"> </w:t>
      </w:r>
      <w:r>
        <w:rPr>
          <w:w w:val="95"/>
          <w:sz w:val="18"/>
        </w:rPr>
        <w:t>"conditions</w:t>
      </w:r>
      <w:r>
        <w:rPr>
          <w:spacing w:val="4"/>
          <w:sz w:val="18"/>
        </w:rPr>
        <w:t xml:space="preserve"> </w:t>
      </w:r>
      <w:r>
        <w:rPr>
          <w:w w:val="95"/>
          <w:sz w:val="18"/>
        </w:rPr>
        <w:t>and</w:t>
      </w:r>
      <w:r>
        <w:rPr>
          <w:spacing w:val="5"/>
          <w:sz w:val="18"/>
        </w:rPr>
        <w:t xml:space="preserve"> </w:t>
      </w:r>
      <w:r>
        <w:rPr>
          <w:w w:val="95"/>
          <w:sz w:val="18"/>
        </w:rPr>
        <w:t>terms</w:t>
      </w:r>
      <w:r>
        <w:rPr>
          <w:spacing w:val="5"/>
          <w:sz w:val="18"/>
        </w:rPr>
        <w:t xml:space="preserve"> </w:t>
      </w:r>
      <w:r>
        <w:rPr>
          <w:w w:val="95"/>
          <w:sz w:val="18"/>
        </w:rPr>
        <w:t>of</w:t>
      </w:r>
      <w:r>
        <w:rPr>
          <w:spacing w:val="6"/>
          <w:sz w:val="18"/>
        </w:rPr>
        <w:t xml:space="preserve"> </w:t>
      </w:r>
      <w:r>
        <w:rPr>
          <w:w w:val="95"/>
          <w:sz w:val="18"/>
        </w:rPr>
        <w:t>sale"</w:t>
      </w:r>
      <w:r>
        <w:rPr>
          <w:spacing w:val="5"/>
          <w:sz w:val="18"/>
        </w:rPr>
        <w:t xml:space="preserve"> </w:t>
      </w:r>
      <w:r>
        <w:rPr>
          <w:w w:val="95"/>
          <w:sz w:val="18"/>
        </w:rPr>
        <w:t>are</w:t>
      </w:r>
      <w:r>
        <w:rPr>
          <w:spacing w:val="7"/>
          <w:sz w:val="18"/>
        </w:rPr>
        <w:t xml:space="preserve"> </w:t>
      </w:r>
      <w:r>
        <w:rPr>
          <w:w w:val="95"/>
          <w:sz w:val="18"/>
        </w:rPr>
        <w:t>not</w:t>
      </w:r>
      <w:r>
        <w:rPr>
          <w:spacing w:val="4"/>
          <w:sz w:val="18"/>
        </w:rPr>
        <w:t xml:space="preserve"> </w:t>
      </w:r>
      <w:r>
        <w:rPr>
          <w:w w:val="95"/>
          <w:sz w:val="18"/>
        </w:rPr>
        <w:t>the</w:t>
      </w:r>
      <w:r>
        <w:rPr>
          <w:spacing w:val="6"/>
          <w:sz w:val="18"/>
        </w:rPr>
        <w:t xml:space="preserve"> </w:t>
      </w:r>
      <w:r>
        <w:rPr>
          <w:w w:val="95"/>
          <w:sz w:val="18"/>
        </w:rPr>
        <w:t>same</w:t>
      </w:r>
      <w:r>
        <w:rPr>
          <w:spacing w:val="6"/>
          <w:sz w:val="18"/>
        </w:rPr>
        <w:t xml:space="preserve"> </w:t>
      </w:r>
      <w:r>
        <w:rPr>
          <w:w w:val="95"/>
          <w:sz w:val="18"/>
        </w:rPr>
        <w:t>as</w:t>
      </w:r>
      <w:r>
        <w:rPr>
          <w:spacing w:val="6"/>
          <w:sz w:val="18"/>
        </w:rPr>
        <w:t xml:space="preserve"> </w:t>
      </w:r>
      <w:r>
        <w:rPr>
          <w:w w:val="95"/>
          <w:sz w:val="18"/>
        </w:rPr>
        <w:t>differences</w:t>
      </w:r>
      <w:r>
        <w:rPr>
          <w:spacing w:val="5"/>
          <w:sz w:val="18"/>
        </w:rPr>
        <w:t xml:space="preserve"> </w:t>
      </w:r>
      <w:r>
        <w:rPr>
          <w:w w:val="95"/>
          <w:sz w:val="18"/>
        </w:rPr>
        <w:t>in</w:t>
      </w:r>
      <w:r>
        <w:rPr>
          <w:spacing w:val="6"/>
          <w:sz w:val="18"/>
        </w:rPr>
        <w:t xml:space="preserve"> </w:t>
      </w:r>
      <w:r>
        <w:rPr>
          <w:w w:val="95"/>
          <w:sz w:val="18"/>
        </w:rPr>
        <w:t>"levels</w:t>
      </w:r>
      <w:r>
        <w:rPr>
          <w:spacing w:val="4"/>
          <w:sz w:val="18"/>
        </w:rPr>
        <w:t xml:space="preserve"> </w:t>
      </w:r>
      <w:r>
        <w:rPr>
          <w:w w:val="95"/>
          <w:sz w:val="18"/>
        </w:rPr>
        <w:t>of</w:t>
      </w:r>
      <w:r>
        <w:rPr>
          <w:spacing w:val="6"/>
          <w:sz w:val="18"/>
        </w:rPr>
        <w:t xml:space="preserve"> </w:t>
      </w:r>
      <w:r>
        <w:rPr>
          <w:w w:val="95"/>
          <w:sz w:val="18"/>
        </w:rPr>
        <w:t>trade".</w:t>
      </w:r>
      <w:r>
        <w:rPr>
          <w:spacing w:val="5"/>
          <w:sz w:val="18"/>
        </w:rPr>
        <w:t xml:space="preserve"> </w:t>
      </w:r>
      <w:r>
        <w:rPr>
          <w:w w:val="95"/>
          <w:sz w:val="18"/>
        </w:rPr>
        <w:t>This</w:t>
      </w:r>
      <w:r>
        <w:rPr>
          <w:spacing w:val="5"/>
          <w:sz w:val="18"/>
        </w:rPr>
        <w:t xml:space="preserve"> </w:t>
      </w:r>
      <w:r>
        <w:rPr>
          <w:w w:val="95"/>
          <w:sz w:val="18"/>
        </w:rPr>
        <w:t>is</w:t>
      </w:r>
      <w:r>
        <w:rPr>
          <w:spacing w:val="6"/>
          <w:sz w:val="18"/>
        </w:rPr>
        <w:t xml:space="preserve"> </w:t>
      </w:r>
      <w:r>
        <w:rPr>
          <w:w w:val="95"/>
          <w:sz w:val="18"/>
        </w:rPr>
        <w:t>evidenced</w:t>
      </w:r>
      <w:r>
        <w:rPr>
          <w:spacing w:val="5"/>
          <w:sz w:val="18"/>
        </w:rPr>
        <w:t xml:space="preserve"> </w:t>
      </w:r>
      <w:r>
        <w:rPr>
          <w:w w:val="95"/>
          <w:sz w:val="18"/>
        </w:rPr>
        <w:t>in</w:t>
      </w:r>
      <w:r>
        <w:rPr>
          <w:spacing w:val="5"/>
          <w:sz w:val="18"/>
        </w:rPr>
        <w:t xml:space="preserve"> </w:t>
      </w:r>
      <w:r>
        <w:rPr>
          <w:spacing w:val="-2"/>
          <w:w w:val="95"/>
          <w:sz w:val="18"/>
        </w:rPr>
        <w:t>Article</w:t>
      </w:r>
    </w:p>
    <w:p w14:paraId="51DE8F62" w14:textId="77777777" w:rsidR="0010369C" w:rsidRDefault="008E43AE">
      <w:pPr>
        <w:pStyle w:val="ListParagraph"/>
        <w:numPr>
          <w:ilvl w:val="1"/>
          <w:numId w:val="52"/>
        </w:numPr>
        <w:tabs>
          <w:tab w:val="left" w:pos="502"/>
        </w:tabs>
        <w:spacing w:before="0"/>
        <w:ind w:right="613" w:firstLine="1"/>
        <w:jc w:val="both"/>
        <w:rPr>
          <w:sz w:val="18"/>
        </w:rPr>
      </w:pPr>
      <w:r>
        <w:rPr>
          <w:sz w:val="18"/>
        </w:rPr>
        <w:t>of</w:t>
      </w:r>
      <w:r>
        <w:rPr>
          <w:spacing w:val="-9"/>
          <w:sz w:val="18"/>
        </w:rPr>
        <w:t xml:space="preserve"> </w:t>
      </w:r>
      <w:r>
        <w:rPr>
          <w:sz w:val="18"/>
        </w:rPr>
        <w:t>the</w:t>
      </w:r>
      <w:r>
        <w:rPr>
          <w:spacing w:val="-10"/>
          <w:sz w:val="18"/>
        </w:rPr>
        <w:t xml:space="preserve"> </w:t>
      </w:r>
      <w:r>
        <w:rPr>
          <w:sz w:val="18"/>
        </w:rPr>
        <w:t>Anti‐Dumping</w:t>
      </w:r>
      <w:r>
        <w:rPr>
          <w:spacing w:val="-9"/>
          <w:sz w:val="18"/>
        </w:rPr>
        <w:t xml:space="preserve"> </w:t>
      </w:r>
      <w:r>
        <w:rPr>
          <w:sz w:val="18"/>
        </w:rPr>
        <w:t>Agreement,</w:t>
      </w:r>
      <w:r>
        <w:rPr>
          <w:spacing w:val="-10"/>
          <w:sz w:val="18"/>
        </w:rPr>
        <w:t xml:space="preserve"> </w:t>
      </w:r>
      <w:r>
        <w:rPr>
          <w:sz w:val="18"/>
        </w:rPr>
        <w:t>which</w:t>
      </w:r>
      <w:r>
        <w:rPr>
          <w:spacing w:val="-9"/>
          <w:sz w:val="18"/>
        </w:rPr>
        <w:t xml:space="preserve"> </w:t>
      </w:r>
      <w:r>
        <w:rPr>
          <w:sz w:val="18"/>
        </w:rPr>
        <w:t>deals</w:t>
      </w:r>
      <w:r>
        <w:rPr>
          <w:spacing w:val="-10"/>
          <w:sz w:val="18"/>
        </w:rPr>
        <w:t xml:space="preserve"> </w:t>
      </w:r>
      <w:r>
        <w:rPr>
          <w:sz w:val="18"/>
        </w:rPr>
        <w:t>with</w:t>
      </w:r>
      <w:r>
        <w:rPr>
          <w:spacing w:val="-9"/>
          <w:sz w:val="18"/>
        </w:rPr>
        <w:t xml:space="preserve"> </w:t>
      </w:r>
      <w:r>
        <w:rPr>
          <w:sz w:val="18"/>
        </w:rPr>
        <w:t>addresses</w:t>
      </w:r>
      <w:r>
        <w:rPr>
          <w:spacing w:val="-9"/>
          <w:sz w:val="18"/>
        </w:rPr>
        <w:t xml:space="preserve"> </w:t>
      </w:r>
      <w:r>
        <w:rPr>
          <w:sz w:val="18"/>
        </w:rPr>
        <w:t>differences</w:t>
      </w:r>
      <w:r>
        <w:rPr>
          <w:spacing w:val="-9"/>
          <w:sz w:val="18"/>
        </w:rPr>
        <w:t xml:space="preserve"> </w:t>
      </w:r>
      <w:r>
        <w:rPr>
          <w:sz w:val="18"/>
        </w:rPr>
        <w:t>in</w:t>
      </w:r>
      <w:r>
        <w:rPr>
          <w:spacing w:val="-10"/>
          <w:sz w:val="18"/>
        </w:rPr>
        <w:t xml:space="preserve"> </w:t>
      </w:r>
      <w:r>
        <w:rPr>
          <w:sz w:val="18"/>
        </w:rPr>
        <w:t>price</w:t>
      </w:r>
      <w:r>
        <w:rPr>
          <w:spacing w:val="-8"/>
          <w:sz w:val="18"/>
        </w:rPr>
        <w:t xml:space="preserve"> </w:t>
      </w:r>
      <w:r>
        <w:rPr>
          <w:sz w:val="18"/>
        </w:rPr>
        <w:t>comparability</w:t>
      </w:r>
      <w:r>
        <w:rPr>
          <w:spacing w:val="-10"/>
          <w:sz w:val="18"/>
        </w:rPr>
        <w:t xml:space="preserve"> </w:t>
      </w:r>
      <w:r>
        <w:rPr>
          <w:sz w:val="18"/>
        </w:rPr>
        <w:t>caused</w:t>
      </w:r>
      <w:r>
        <w:rPr>
          <w:spacing w:val="-10"/>
          <w:sz w:val="18"/>
        </w:rPr>
        <w:t xml:space="preserve"> </w:t>
      </w:r>
      <w:r>
        <w:rPr>
          <w:sz w:val="18"/>
        </w:rPr>
        <w:t>by</w:t>
      </w:r>
      <w:r>
        <w:rPr>
          <w:spacing w:val="-9"/>
          <w:sz w:val="18"/>
        </w:rPr>
        <w:t xml:space="preserve"> </w:t>
      </w:r>
      <w:r>
        <w:rPr>
          <w:sz w:val="18"/>
        </w:rPr>
        <w:t>"levels</w:t>
      </w:r>
      <w:r>
        <w:rPr>
          <w:spacing w:val="-9"/>
          <w:sz w:val="18"/>
        </w:rPr>
        <w:t xml:space="preserve"> </w:t>
      </w:r>
      <w:r>
        <w:rPr>
          <w:sz w:val="18"/>
        </w:rPr>
        <w:t>of</w:t>
      </w:r>
      <w:r>
        <w:rPr>
          <w:spacing w:val="-9"/>
          <w:sz w:val="18"/>
        </w:rPr>
        <w:t xml:space="preserve"> </w:t>
      </w:r>
      <w:r>
        <w:rPr>
          <w:sz w:val="18"/>
        </w:rPr>
        <w:t>trade" and "conditions of sale" separately.</w:t>
      </w:r>
    </w:p>
    <w:p w14:paraId="51DE8F63" w14:textId="77777777" w:rsidR="0010369C" w:rsidRDefault="008E43AE">
      <w:pPr>
        <w:ind w:left="238" w:right="614" w:hanging="1"/>
        <w:jc w:val="both"/>
        <w:rPr>
          <w:sz w:val="18"/>
        </w:rPr>
      </w:pPr>
      <w:r>
        <w:rPr>
          <w:sz w:val="18"/>
          <w:vertAlign w:val="superscript"/>
        </w:rPr>
        <w:t>691</w:t>
      </w:r>
      <w:r>
        <w:rPr>
          <w:sz w:val="18"/>
        </w:rPr>
        <w:t xml:space="preserve"> There was evidence before MOFCOM which suggested different conditions of sale could impact prices. See Longcheng Wine, Anti‐Dumping Questionnaire Response (Exhibit AUS‐68), Section 3, Question 26; COFCO W&amp;W International Anti‐ Dumping Questionnaire Respon</w:t>
      </w:r>
      <w:r>
        <w:rPr>
          <w:sz w:val="18"/>
        </w:rPr>
        <w:t>se (Exhibit AUS‐103), Section 3, Question 26.</w:t>
      </w:r>
    </w:p>
    <w:p w14:paraId="51DE8F64" w14:textId="77777777" w:rsidR="0010369C" w:rsidRDefault="008E43AE">
      <w:pPr>
        <w:spacing w:before="1"/>
        <w:ind w:left="238"/>
        <w:jc w:val="both"/>
        <w:rPr>
          <w:sz w:val="18"/>
        </w:rPr>
      </w:pPr>
      <w:r>
        <w:rPr>
          <w:sz w:val="18"/>
          <w:vertAlign w:val="superscript"/>
        </w:rPr>
        <w:t>692</w:t>
      </w:r>
      <w:r>
        <w:rPr>
          <w:spacing w:val="5"/>
          <w:sz w:val="18"/>
        </w:rPr>
        <w:t xml:space="preserve"> </w:t>
      </w:r>
      <w:r>
        <w:rPr>
          <w:sz w:val="18"/>
        </w:rPr>
        <w:t>Panel</w:t>
      </w:r>
      <w:r>
        <w:rPr>
          <w:spacing w:val="5"/>
          <w:sz w:val="18"/>
        </w:rPr>
        <w:t xml:space="preserve"> </w:t>
      </w:r>
      <w:r>
        <w:rPr>
          <w:sz w:val="18"/>
        </w:rPr>
        <w:t>Report,</w:t>
      </w:r>
      <w:r>
        <w:rPr>
          <w:spacing w:val="5"/>
          <w:sz w:val="18"/>
        </w:rPr>
        <w:t xml:space="preserve"> </w:t>
      </w:r>
      <w:r>
        <w:rPr>
          <w:i/>
          <w:sz w:val="18"/>
        </w:rPr>
        <w:t>China</w:t>
      </w:r>
      <w:r>
        <w:rPr>
          <w:i/>
          <w:spacing w:val="6"/>
          <w:sz w:val="18"/>
        </w:rPr>
        <w:t xml:space="preserve"> </w:t>
      </w:r>
      <w:r>
        <w:rPr>
          <w:i/>
          <w:sz w:val="18"/>
        </w:rPr>
        <w:t>‐</w:t>
      </w:r>
      <w:r>
        <w:rPr>
          <w:i/>
          <w:spacing w:val="5"/>
          <w:sz w:val="18"/>
        </w:rPr>
        <w:t xml:space="preserve"> </w:t>
      </w:r>
      <w:r>
        <w:rPr>
          <w:i/>
          <w:sz w:val="18"/>
        </w:rPr>
        <w:t>Autos</w:t>
      </w:r>
      <w:r>
        <w:rPr>
          <w:i/>
          <w:spacing w:val="5"/>
          <w:sz w:val="18"/>
        </w:rPr>
        <w:t xml:space="preserve"> </w:t>
      </w:r>
      <w:r>
        <w:rPr>
          <w:i/>
          <w:sz w:val="18"/>
        </w:rPr>
        <w:t>(US),</w:t>
      </w:r>
      <w:r>
        <w:rPr>
          <w:i/>
          <w:spacing w:val="6"/>
          <w:sz w:val="18"/>
        </w:rPr>
        <w:t xml:space="preserve"> </w:t>
      </w:r>
      <w:r>
        <w:rPr>
          <w:sz w:val="18"/>
        </w:rPr>
        <w:t>para.</w:t>
      </w:r>
      <w:r>
        <w:rPr>
          <w:spacing w:val="5"/>
          <w:sz w:val="18"/>
        </w:rPr>
        <w:t xml:space="preserve"> </w:t>
      </w:r>
      <w:r>
        <w:rPr>
          <w:sz w:val="18"/>
        </w:rPr>
        <w:t>7.277.</w:t>
      </w:r>
      <w:r>
        <w:rPr>
          <w:spacing w:val="5"/>
          <w:sz w:val="18"/>
        </w:rPr>
        <w:t xml:space="preserve"> </w:t>
      </w:r>
      <w:r>
        <w:rPr>
          <w:sz w:val="18"/>
        </w:rPr>
        <w:t>See</w:t>
      </w:r>
      <w:r>
        <w:rPr>
          <w:spacing w:val="6"/>
          <w:sz w:val="18"/>
        </w:rPr>
        <w:t xml:space="preserve"> </w:t>
      </w:r>
      <w:r>
        <w:rPr>
          <w:sz w:val="18"/>
        </w:rPr>
        <w:t>also</w:t>
      </w:r>
      <w:r>
        <w:rPr>
          <w:spacing w:val="5"/>
          <w:sz w:val="18"/>
        </w:rPr>
        <w:t xml:space="preserve"> </w:t>
      </w:r>
      <w:r>
        <w:rPr>
          <w:sz w:val="18"/>
        </w:rPr>
        <w:t>Appellate</w:t>
      </w:r>
      <w:r>
        <w:rPr>
          <w:spacing w:val="7"/>
          <w:sz w:val="18"/>
        </w:rPr>
        <w:t xml:space="preserve"> </w:t>
      </w:r>
      <w:r>
        <w:rPr>
          <w:sz w:val="18"/>
        </w:rPr>
        <w:t>Body</w:t>
      </w:r>
      <w:r>
        <w:rPr>
          <w:spacing w:val="6"/>
          <w:sz w:val="18"/>
        </w:rPr>
        <w:t xml:space="preserve"> </w:t>
      </w:r>
      <w:r>
        <w:rPr>
          <w:sz w:val="18"/>
        </w:rPr>
        <w:t>Report,</w:t>
      </w:r>
      <w:r>
        <w:rPr>
          <w:spacing w:val="5"/>
          <w:sz w:val="18"/>
        </w:rPr>
        <w:t xml:space="preserve"> </w:t>
      </w:r>
      <w:r>
        <w:rPr>
          <w:i/>
          <w:sz w:val="18"/>
        </w:rPr>
        <w:t>China</w:t>
      </w:r>
      <w:r>
        <w:rPr>
          <w:i/>
          <w:spacing w:val="6"/>
          <w:sz w:val="18"/>
        </w:rPr>
        <w:t xml:space="preserve"> </w:t>
      </w:r>
      <w:r>
        <w:rPr>
          <w:i/>
          <w:sz w:val="18"/>
        </w:rPr>
        <w:t>–</w:t>
      </w:r>
      <w:r>
        <w:rPr>
          <w:i/>
          <w:spacing w:val="6"/>
          <w:sz w:val="18"/>
        </w:rPr>
        <w:t xml:space="preserve"> </w:t>
      </w:r>
      <w:r>
        <w:rPr>
          <w:i/>
          <w:sz w:val="18"/>
        </w:rPr>
        <w:t>GOES</w:t>
      </w:r>
      <w:r>
        <w:rPr>
          <w:sz w:val="18"/>
        </w:rPr>
        <w:t>,</w:t>
      </w:r>
      <w:r>
        <w:rPr>
          <w:spacing w:val="5"/>
          <w:sz w:val="18"/>
        </w:rPr>
        <w:t xml:space="preserve"> </w:t>
      </w:r>
      <w:r>
        <w:rPr>
          <w:sz w:val="18"/>
        </w:rPr>
        <w:t>para.</w:t>
      </w:r>
      <w:r>
        <w:rPr>
          <w:spacing w:val="6"/>
          <w:sz w:val="18"/>
        </w:rPr>
        <w:t xml:space="preserve"> </w:t>
      </w:r>
      <w:r>
        <w:rPr>
          <w:sz w:val="18"/>
        </w:rPr>
        <w:t>200;</w:t>
      </w:r>
      <w:r>
        <w:rPr>
          <w:spacing w:val="5"/>
          <w:sz w:val="18"/>
        </w:rPr>
        <w:t xml:space="preserve"> </w:t>
      </w:r>
      <w:r>
        <w:rPr>
          <w:sz w:val="18"/>
        </w:rPr>
        <w:t>Panel</w:t>
      </w:r>
      <w:r>
        <w:rPr>
          <w:spacing w:val="3"/>
          <w:sz w:val="18"/>
        </w:rPr>
        <w:t xml:space="preserve"> </w:t>
      </w:r>
      <w:r>
        <w:rPr>
          <w:spacing w:val="-2"/>
          <w:sz w:val="18"/>
        </w:rPr>
        <w:t>Reports,</w:t>
      </w:r>
    </w:p>
    <w:p w14:paraId="51DE8F65" w14:textId="77777777" w:rsidR="0010369C" w:rsidRDefault="008E43AE">
      <w:pPr>
        <w:ind w:left="238"/>
        <w:jc w:val="both"/>
        <w:rPr>
          <w:sz w:val="18"/>
        </w:rPr>
      </w:pPr>
      <w:r>
        <w:rPr>
          <w:i/>
          <w:sz w:val="18"/>
        </w:rPr>
        <w:t>China</w:t>
      </w:r>
      <w:r>
        <w:rPr>
          <w:i/>
          <w:spacing w:val="-7"/>
          <w:sz w:val="18"/>
        </w:rPr>
        <w:t xml:space="preserve"> </w:t>
      </w:r>
      <w:r>
        <w:rPr>
          <w:i/>
          <w:sz w:val="18"/>
        </w:rPr>
        <w:t>–</w:t>
      </w:r>
      <w:r>
        <w:rPr>
          <w:i/>
          <w:spacing w:val="-7"/>
          <w:sz w:val="18"/>
        </w:rPr>
        <w:t xml:space="preserve"> </w:t>
      </w:r>
      <w:r>
        <w:rPr>
          <w:i/>
          <w:sz w:val="18"/>
        </w:rPr>
        <w:t>X‐Ray</w:t>
      </w:r>
      <w:r>
        <w:rPr>
          <w:i/>
          <w:spacing w:val="-6"/>
          <w:sz w:val="18"/>
        </w:rPr>
        <w:t xml:space="preserve"> </w:t>
      </w:r>
      <w:r>
        <w:rPr>
          <w:i/>
          <w:sz w:val="18"/>
        </w:rPr>
        <w:t>Equipment</w:t>
      </w:r>
      <w:r>
        <w:rPr>
          <w:sz w:val="18"/>
        </w:rPr>
        <w:t>,</w:t>
      </w:r>
      <w:r>
        <w:rPr>
          <w:spacing w:val="-7"/>
          <w:sz w:val="18"/>
        </w:rPr>
        <w:t xml:space="preserve"> </w:t>
      </w:r>
      <w:r>
        <w:rPr>
          <w:sz w:val="18"/>
        </w:rPr>
        <w:t>7.65;</w:t>
      </w:r>
      <w:r>
        <w:rPr>
          <w:spacing w:val="-8"/>
          <w:sz w:val="18"/>
        </w:rPr>
        <w:t xml:space="preserve"> </w:t>
      </w:r>
      <w:r>
        <w:rPr>
          <w:sz w:val="18"/>
        </w:rPr>
        <w:t>China</w:t>
      </w:r>
      <w:r>
        <w:rPr>
          <w:spacing w:val="-6"/>
          <w:sz w:val="18"/>
        </w:rPr>
        <w:t xml:space="preserve"> </w:t>
      </w:r>
      <w:r>
        <w:rPr>
          <w:sz w:val="18"/>
        </w:rPr>
        <w:t>–</w:t>
      </w:r>
      <w:r>
        <w:rPr>
          <w:spacing w:val="-7"/>
          <w:sz w:val="18"/>
        </w:rPr>
        <w:t xml:space="preserve"> </w:t>
      </w:r>
      <w:r>
        <w:rPr>
          <w:i/>
          <w:sz w:val="18"/>
        </w:rPr>
        <w:t>Broiler</w:t>
      </w:r>
      <w:r>
        <w:rPr>
          <w:i/>
          <w:spacing w:val="-7"/>
          <w:sz w:val="18"/>
        </w:rPr>
        <w:t xml:space="preserve"> </w:t>
      </w:r>
      <w:r>
        <w:rPr>
          <w:i/>
          <w:sz w:val="18"/>
        </w:rPr>
        <w:t>Products</w:t>
      </w:r>
      <w:r>
        <w:rPr>
          <w:sz w:val="18"/>
        </w:rPr>
        <w:t>,</w:t>
      </w:r>
      <w:r>
        <w:rPr>
          <w:spacing w:val="-8"/>
          <w:sz w:val="18"/>
        </w:rPr>
        <w:t xml:space="preserve"> </w:t>
      </w:r>
      <w:r>
        <w:rPr>
          <w:sz w:val="18"/>
        </w:rPr>
        <w:t>para.</w:t>
      </w:r>
      <w:r>
        <w:rPr>
          <w:spacing w:val="-6"/>
          <w:sz w:val="18"/>
        </w:rPr>
        <w:t xml:space="preserve"> </w:t>
      </w:r>
      <w:r>
        <w:rPr>
          <w:spacing w:val="-2"/>
          <w:sz w:val="18"/>
        </w:rPr>
        <w:t>7.483.</w:t>
      </w:r>
    </w:p>
    <w:p w14:paraId="51DE8F66" w14:textId="77777777" w:rsidR="0010369C" w:rsidRDefault="008E43AE">
      <w:pPr>
        <w:ind w:left="238"/>
        <w:jc w:val="both"/>
        <w:rPr>
          <w:sz w:val="18"/>
        </w:rPr>
      </w:pPr>
      <w:r>
        <w:rPr>
          <w:sz w:val="18"/>
          <w:vertAlign w:val="superscript"/>
        </w:rPr>
        <w:t>693</w:t>
      </w:r>
      <w:r>
        <w:rPr>
          <w:spacing w:val="-9"/>
          <w:sz w:val="18"/>
        </w:rPr>
        <w:t xml:space="preserve"> </w:t>
      </w:r>
      <w:r>
        <w:rPr>
          <w:sz w:val="18"/>
        </w:rPr>
        <w:t>Anti‐Dumping</w:t>
      </w:r>
      <w:r>
        <w:rPr>
          <w:spacing w:val="-8"/>
          <w:sz w:val="18"/>
        </w:rPr>
        <w:t xml:space="preserve"> </w:t>
      </w:r>
      <w:r>
        <w:rPr>
          <w:sz w:val="18"/>
        </w:rPr>
        <w:t>Final</w:t>
      </w:r>
      <w:r>
        <w:rPr>
          <w:spacing w:val="-8"/>
          <w:sz w:val="18"/>
        </w:rPr>
        <w:t xml:space="preserve"> </w:t>
      </w:r>
      <w:r>
        <w:rPr>
          <w:sz w:val="18"/>
        </w:rPr>
        <w:t>Determination</w:t>
      </w:r>
      <w:r>
        <w:rPr>
          <w:spacing w:val="-8"/>
          <w:sz w:val="18"/>
        </w:rPr>
        <w:t xml:space="preserve"> </w:t>
      </w:r>
      <w:r>
        <w:rPr>
          <w:sz w:val="18"/>
        </w:rPr>
        <w:t>(Exhibit</w:t>
      </w:r>
      <w:r>
        <w:rPr>
          <w:spacing w:val="-8"/>
          <w:sz w:val="18"/>
        </w:rPr>
        <w:t xml:space="preserve"> </w:t>
      </w:r>
      <w:r>
        <w:rPr>
          <w:sz w:val="18"/>
        </w:rPr>
        <w:t>AUS‐2),</w:t>
      </w:r>
      <w:r>
        <w:rPr>
          <w:spacing w:val="-9"/>
          <w:sz w:val="18"/>
        </w:rPr>
        <w:t xml:space="preserve"> </w:t>
      </w:r>
      <w:r>
        <w:rPr>
          <w:sz w:val="18"/>
        </w:rPr>
        <w:t>pp.</w:t>
      </w:r>
      <w:r>
        <w:rPr>
          <w:spacing w:val="-8"/>
          <w:sz w:val="18"/>
        </w:rPr>
        <w:t xml:space="preserve"> </w:t>
      </w:r>
      <w:r>
        <w:rPr>
          <w:sz w:val="18"/>
        </w:rPr>
        <w:t>113,</w:t>
      </w:r>
      <w:r>
        <w:rPr>
          <w:spacing w:val="-9"/>
          <w:sz w:val="18"/>
        </w:rPr>
        <w:t xml:space="preserve"> </w:t>
      </w:r>
      <w:r>
        <w:rPr>
          <w:spacing w:val="-4"/>
          <w:sz w:val="18"/>
        </w:rPr>
        <w:t>139.</w:t>
      </w:r>
    </w:p>
    <w:p w14:paraId="51DE8F67" w14:textId="77777777" w:rsidR="0010369C" w:rsidRDefault="008E43AE">
      <w:pPr>
        <w:ind w:left="238"/>
        <w:jc w:val="both"/>
        <w:rPr>
          <w:sz w:val="18"/>
        </w:rPr>
      </w:pPr>
      <w:r>
        <w:rPr>
          <w:sz w:val="18"/>
          <w:vertAlign w:val="superscript"/>
        </w:rPr>
        <w:t>694</w:t>
      </w:r>
      <w:r>
        <w:rPr>
          <w:spacing w:val="-6"/>
          <w:sz w:val="18"/>
        </w:rPr>
        <w:t xml:space="preserve"> </w:t>
      </w:r>
      <w:r>
        <w:rPr>
          <w:sz w:val="18"/>
        </w:rPr>
        <w:t>International</w:t>
      </w:r>
      <w:r>
        <w:rPr>
          <w:spacing w:val="-7"/>
          <w:sz w:val="18"/>
        </w:rPr>
        <w:t xml:space="preserve"> </w:t>
      </w:r>
      <w:r>
        <w:rPr>
          <w:sz w:val="18"/>
        </w:rPr>
        <w:t>Chamber</w:t>
      </w:r>
      <w:r>
        <w:rPr>
          <w:spacing w:val="-6"/>
          <w:sz w:val="18"/>
        </w:rPr>
        <w:t xml:space="preserve"> </w:t>
      </w:r>
      <w:r>
        <w:rPr>
          <w:sz w:val="18"/>
        </w:rPr>
        <w:t>of</w:t>
      </w:r>
      <w:r>
        <w:rPr>
          <w:spacing w:val="-6"/>
          <w:sz w:val="18"/>
        </w:rPr>
        <w:t xml:space="preserve"> </w:t>
      </w:r>
      <w:r>
        <w:rPr>
          <w:sz w:val="18"/>
        </w:rPr>
        <w:t>Commerce</w:t>
      </w:r>
      <w:r>
        <w:rPr>
          <w:spacing w:val="-6"/>
          <w:sz w:val="18"/>
        </w:rPr>
        <w:t xml:space="preserve"> </w:t>
      </w:r>
      <w:r>
        <w:rPr>
          <w:sz w:val="18"/>
        </w:rPr>
        <w:t>Incoterms</w:t>
      </w:r>
      <w:r>
        <w:rPr>
          <w:spacing w:val="-6"/>
          <w:sz w:val="18"/>
        </w:rPr>
        <w:t xml:space="preserve"> </w:t>
      </w:r>
      <w:r>
        <w:rPr>
          <w:sz w:val="18"/>
        </w:rPr>
        <w:t>2010</w:t>
      </w:r>
      <w:r>
        <w:rPr>
          <w:spacing w:val="-6"/>
          <w:sz w:val="18"/>
        </w:rPr>
        <w:t xml:space="preserve"> </w:t>
      </w:r>
      <w:r>
        <w:rPr>
          <w:sz w:val="18"/>
        </w:rPr>
        <w:t>(Exhibit</w:t>
      </w:r>
      <w:r>
        <w:rPr>
          <w:spacing w:val="-6"/>
          <w:sz w:val="18"/>
        </w:rPr>
        <w:t xml:space="preserve"> </w:t>
      </w:r>
      <w:r>
        <w:rPr>
          <w:sz w:val="18"/>
        </w:rPr>
        <w:t>AUS‐83),</w:t>
      </w:r>
      <w:r>
        <w:rPr>
          <w:spacing w:val="-7"/>
          <w:sz w:val="18"/>
        </w:rPr>
        <w:t xml:space="preserve"> </w:t>
      </w:r>
      <w:r>
        <w:rPr>
          <w:sz w:val="18"/>
        </w:rPr>
        <w:t>CIF</w:t>
      </w:r>
      <w:r>
        <w:rPr>
          <w:spacing w:val="-6"/>
          <w:sz w:val="18"/>
        </w:rPr>
        <w:t xml:space="preserve"> </w:t>
      </w:r>
      <w:r>
        <w:rPr>
          <w:sz w:val="18"/>
        </w:rPr>
        <w:t>Terms,</w:t>
      </w:r>
      <w:r>
        <w:rPr>
          <w:spacing w:val="-8"/>
          <w:sz w:val="18"/>
        </w:rPr>
        <w:t xml:space="preserve"> </w:t>
      </w:r>
      <w:r>
        <w:rPr>
          <w:sz w:val="18"/>
        </w:rPr>
        <w:t>p.</w:t>
      </w:r>
      <w:r>
        <w:rPr>
          <w:spacing w:val="-6"/>
          <w:sz w:val="18"/>
        </w:rPr>
        <w:t xml:space="preserve"> </w:t>
      </w:r>
      <w:r>
        <w:rPr>
          <w:spacing w:val="-5"/>
          <w:sz w:val="18"/>
        </w:rPr>
        <w:t>60.</w:t>
      </w:r>
    </w:p>
    <w:p w14:paraId="51DE8F68" w14:textId="77777777" w:rsidR="0010369C" w:rsidRDefault="0010369C">
      <w:pPr>
        <w:jc w:val="both"/>
        <w:rPr>
          <w:sz w:val="18"/>
        </w:rPr>
        <w:sectPr w:rsidR="0010369C">
          <w:pgSz w:w="11910" w:h="16840"/>
          <w:pgMar w:top="880" w:right="800" w:bottom="980" w:left="1180" w:header="569" w:footer="788" w:gutter="0"/>
          <w:cols w:space="720"/>
        </w:sectPr>
      </w:pPr>
    </w:p>
    <w:p w14:paraId="51DE8F69" w14:textId="77777777" w:rsidR="0010369C" w:rsidRDefault="008E43AE">
      <w:pPr>
        <w:tabs>
          <w:tab w:val="left" w:pos="6426"/>
        </w:tabs>
        <w:ind w:left="238"/>
        <w:jc w:val="both"/>
        <w:rPr>
          <w:sz w:val="20"/>
        </w:rPr>
      </w:pPr>
      <w:r>
        <w:rPr>
          <w:i/>
          <w:sz w:val="20"/>
        </w:rPr>
        <w:lastRenderedPageBreak/>
        <w:t>China</w:t>
      </w:r>
      <w:r>
        <w:rPr>
          <w:i/>
          <w:spacing w:val="-5"/>
          <w:sz w:val="20"/>
        </w:rPr>
        <w:t xml:space="preserve"> </w:t>
      </w:r>
      <w:r>
        <w:rPr>
          <w:i/>
          <w:sz w:val="20"/>
        </w:rPr>
        <w:t>–</w:t>
      </w:r>
      <w:r>
        <w:rPr>
          <w:i/>
          <w:spacing w:val="-5"/>
          <w:sz w:val="20"/>
        </w:rPr>
        <w:t xml:space="preserve"> </w:t>
      </w:r>
      <w:r>
        <w:rPr>
          <w:i/>
          <w:sz w:val="20"/>
        </w:rPr>
        <w:t>Anti‐Dumping</w:t>
      </w:r>
      <w:r>
        <w:rPr>
          <w:i/>
          <w:spacing w:val="-4"/>
          <w:sz w:val="20"/>
        </w:rPr>
        <w:t xml:space="preserve"> </w:t>
      </w:r>
      <w:r>
        <w:rPr>
          <w:i/>
          <w:sz w:val="20"/>
        </w:rPr>
        <w:t>and</w:t>
      </w:r>
      <w:r>
        <w:rPr>
          <w:i/>
          <w:spacing w:val="-5"/>
          <w:sz w:val="20"/>
        </w:rPr>
        <w:t xml:space="preserve"> </w:t>
      </w:r>
      <w:r>
        <w:rPr>
          <w:i/>
          <w:sz w:val="20"/>
        </w:rPr>
        <w:t>Countervailing</w:t>
      </w:r>
      <w:r>
        <w:rPr>
          <w:i/>
          <w:spacing w:val="-5"/>
          <w:sz w:val="20"/>
        </w:rPr>
        <w:t xml:space="preserve"> </w:t>
      </w:r>
      <w:r>
        <w:rPr>
          <w:i/>
          <w:sz w:val="20"/>
        </w:rPr>
        <w:t>Duty</w:t>
      </w:r>
      <w:r>
        <w:rPr>
          <w:i/>
          <w:spacing w:val="-4"/>
          <w:sz w:val="20"/>
        </w:rPr>
        <w:t xml:space="preserve"> </w:t>
      </w:r>
      <w:r>
        <w:rPr>
          <w:i/>
          <w:spacing w:val="-2"/>
          <w:sz w:val="20"/>
        </w:rPr>
        <w:t>Measures</w:t>
      </w:r>
      <w:r>
        <w:rPr>
          <w:i/>
          <w:sz w:val="20"/>
        </w:rPr>
        <w:tab/>
      </w:r>
      <w:r>
        <w:rPr>
          <w:sz w:val="20"/>
        </w:rPr>
        <w:t>Australia's</w:t>
      </w:r>
      <w:r>
        <w:rPr>
          <w:spacing w:val="-7"/>
          <w:sz w:val="20"/>
        </w:rPr>
        <w:t xml:space="preserve"> </w:t>
      </w:r>
      <w:r>
        <w:rPr>
          <w:sz w:val="20"/>
        </w:rPr>
        <w:t>First</w:t>
      </w:r>
      <w:r>
        <w:rPr>
          <w:spacing w:val="-2"/>
          <w:sz w:val="20"/>
        </w:rPr>
        <w:t xml:space="preserve"> </w:t>
      </w:r>
      <w:r>
        <w:rPr>
          <w:sz w:val="20"/>
        </w:rPr>
        <w:t>Written</w:t>
      </w:r>
      <w:r>
        <w:rPr>
          <w:spacing w:val="-2"/>
          <w:sz w:val="20"/>
        </w:rPr>
        <w:t xml:space="preserve"> Submission</w:t>
      </w:r>
    </w:p>
    <w:p w14:paraId="51DE8F6A" w14:textId="77777777" w:rsidR="0010369C" w:rsidRDefault="008E43AE">
      <w:pPr>
        <w:tabs>
          <w:tab w:val="left" w:pos="8228"/>
        </w:tabs>
        <w:spacing w:before="1"/>
        <w:ind w:left="239"/>
        <w:jc w:val="both"/>
        <w:rPr>
          <w:sz w:val="20"/>
        </w:rPr>
      </w:pPr>
      <w:r>
        <w:rPr>
          <w:i/>
          <w:sz w:val="20"/>
        </w:rPr>
        <w:t>on</w:t>
      </w:r>
      <w:r>
        <w:rPr>
          <w:i/>
          <w:spacing w:val="-1"/>
          <w:sz w:val="20"/>
        </w:rPr>
        <w:t xml:space="preserve"> </w:t>
      </w:r>
      <w:r>
        <w:rPr>
          <w:i/>
          <w:sz w:val="20"/>
        </w:rPr>
        <w:t>Wine</w:t>
      </w:r>
      <w:r>
        <w:rPr>
          <w:i/>
          <w:spacing w:val="-1"/>
          <w:sz w:val="20"/>
        </w:rPr>
        <w:t xml:space="preserve"> </w:t>
      </w:r>
      <w:r>
        <w:rPr>
          <w:i/>
          <w:sz w:val="20"/>
        </w:rPr>
        <w:t>from</w:t>
      </w:r>
      <w:r>
        <w:rPr>
          <w:i/>
          <w:spacing w:val="-3"/>
          <w:sz w:val="20"/>
        </w:rPr>
        <w:t xml:space="preserve"> </w:t>
      </w:r>
      <w:r>
        <w:rPr>
          <w:i/>
          <w:sz w:val="20"/>
        </w:rPr>
        <w:t>Australia</w:t>
      </w:r>
      <w:r>
        <w:rPr>
          <w:i/>
          <w:spacing w:val="-1"/>
          <w:sz w:val="20"/>
        </w:rPr>
        <w:t xml:space="preserve"> </w:t>
      </w:r>
      <w:r>
        <w:rPr>
          <w:spacing w:val="-2"/>
          <w:sz w:val="20"/>
        </w:rPr>
        <w:t>(DS602)</w:t>
      </w:r>
      <w:r>
        <w:rPr>
          <w:sz w:val="20"/>
        </w:rPr>
        <w:tab/>
        <w:t>29</w:t>
      </w:r>
      <w:r>
        <w:rPr>
          <w:spacing w:val="-1"/>
          <w:sz w:val="20"/>
        </w:rPr>
        <w:t xml:space="preserve"> </w:t>
      </w:r>
      <w:r>
        <w:rPr>
          <w:sz w:val="20"/>
        </w:rPr>
        <w:t>April</w:t>
      </w:r>
      <w:r>
        <w:rPr>
          <w:spacing w:val="-2"/>
          <w:sz w:val="20"/>
        </w:rPr>
        <w:t xml:space="preserve"> </w:t>
      </w:r>
      <w:r>
        <w:rPr>
          <w:spacing w:val="-4"/>
          <w:sz w:val="20"/>
        </w:rPr>
        <w:t>2022</w:t>
      </w:r>
    </w:p>
    <w:p w14:paraId="51DE8F6B" w14:textId="77777777" w:rsidR="0010369C" w:rsidRDefault="008E43AE">
      <w:pPr>
        <w:pStyle w:val="BodyText"/>
        <w:spacing w:before="34" w:line="360" w:lineRule="auto"/>
        <w:ind w:left="237" w:right="612" w:firstLine="1"/>
        <w:jc w:val="both"/>
      </w:pPr>
      <w:r>
        <w:t>warehousing costs incurred prior to the goods being available for inland transport to the buyer.</w:t>
      </w:r>
      <w:r>
        <w:rPr>
          <w:vertAlign w:val="superscript"/>
        </w:rPr>
        <w:t>695</w:t>
      </w:r>
      <w:r>
        <w:t xml:space="preserve"> In contrast, ex‐factory conditions of sale are only recommended</w:t>
      </w:r>
      <w:r>
        <w:rPr>
          <w:spacing w:val="-1"/>
        </w:rPr>
        <w:t xml:space="preserve"> </w:t>
      </w:r>
      <w:r>
        <w:t>for domestic trade and refle</w:t>
      </w:r>
      <w:r>
        <w:t>ct the price of goods available for domestic shipment to a purchaser.</w:t>
      </w:r>
      <w:r>
        <w:rPr>
          <w:vertAlign w:val="superscript"/>
        </w:rPr>
        <w:t>696</w:t>
      </w:r>
      <w:r>
        <w:t xml:space="preserve"> Practically, this</w:t>
      </w:r>
      <w:r>
        <w:rPr>
          <w:spacing w:val="-10"/>
        </w:rPr>
        <w:t xml:space="preserve"> </w:t>
      </w:r>
      <w:r>
        <w:t>means</w:t>
      </w:r>
      <w:r>
        <w:rPr>
          <w:spacing w:val="-10"/>
        </w:rPr>
        <w:t xml:space="preserve"> </w:t>
      </w:r>
      <w:r>
        <w:t>that,</w:t>
      </w:r>
      <w:r>
        <w:rPr>
          <w:spacing w:val="-10"/>
        </w:rPr>
        <w:t xml:space="preserve"> </w:t>
      </w:r>
      <w:r>
        <w:t>prior</w:t>
      </w:r>
      <w:r>
        <w:rPr>
          <w:spacing w:val="-9"/>
        </w:rPr>
        <w:t xml:space="preserve"> </w:t>
      </w:r>
      <w:r>
        <w:t>to</w:t>
      </w:r>
      <w:r>
        <w:rPr>
          <w:spacing w:val="-9"/>
        </w:rPr>
        <w:t xml:space="preserve"> </w:t>
      </w:r>
      <w:r>
        <w:t>adjustments</w:t>
      </w:r>
      <w:r>
        <w:rPr>
          <w:spacing w:val="-10"/>
        </w:rPr>
        <w:t xml:space="preserve"> </w:t>
      </w:r>
      <w:r>
        <w:t>being</w:t>
      </w:r>
      <w:r>
        <w:rPr>
          <w:spacing w:val="-10"/>
        </w:rPr>
        <w:t xml:space="preserve"> </w:t>
      </w:r>
      <w:r>
        <w:t>applied,</w:t>
      </w:r>
      <w:r>
        <w:rPr>
          <w:spacing w:val="-10"/>
        </w:rPr>
        <w:t xml:space="preserve"> </w:t>
      </w:r>
      <w:r>
        <w:t>the</w:t>
      </w:r>
      <w:r>
        <w:rPr>
          <w:spacing w:val="-9"/>
        </w:rPr>
        <w:t xml:space="preserve"> </w:t>
      </w:r>
      <w:r>
        <w:t>CIF</w:t>
      </w:r>
      <w:r>
        <w:rPr>
          <w:spacing w:val="-10"/>
        </w:rPr>
        <w:t xml:space="preserve"> </w:t>
      </w:r>
      <w:r>
        <w:t>price</w:t>
      </w:r>
      <w:r>
        <w:rPr>
          <w:spacing w:val="-9"/>
        </w:rPr>
        <w:t xml:space="preserve"> </w:t>
      </w:r>
      <w:r>
        <w:t>for</w:t>
      </w:r>
      <w:r>
        <w:rPr>
          <w:spacing w:val="-9"/>
        </w:rPr>
        <w:t xml:space="preserve"> </w:t>
      </w:r>
      <w:r>
        <w:t>subject</w:t>
      </w:r>
      <w:r>
        <w:rPr>
          <w:spacing w:val="-10"/>
        </w:rPr>
        <w:t xml:space="preserve"> </w:t>
      </w:r>
      <w:r>
        <w:t>imports</w:t>
      </w:r>
      <w:r>
        <w:rPr>
          <w:spacing w:val="-10"/>
        </w:rPr>
        <w:t xml:space="preserve"> </w:t>
      </w:r>
      <w:r>
        <w:t>reflected the price of Australian wine situated on a vessel at a port of entry to C</w:t>
      </w:r>
      <w:r>
        <w:t>hina, whereas the ex‐ factory</w:t>
      </w:r>
      <w:r>
        <w:rPr>
          <w:spacing w:val="-6"/>
        </w:rPr>
        <w:t xml:space="preserve"> </w:t>
      </w:r>
      <w:r>
        <w:t>price</w:t>
      </w:r>
      <w:r>
        <w:rPr>
          <w:spacing w:val="-7"/>
        </w:rPr>
        <w:t xml:space="preserve"> </w:t>
      </w:r>
      <w:r>
        <w:t>of</w:t>
      </w:r>
      <w:r>
        <w:rPr>
          <w:spacing w:val="-6"/>
        </w:rPr>
        <w:t xml:space="preserve"> </w:t>
      </w:r>
      <w:r>
        <w:t>domestic</w:t>
      </w:r>
      <w:r>
        <w:rPr>
          <w:spacing w:val="-6"/>
        </w:rPr>
        <w:t xml:space="preserve"> </w:t>
      </w:r>
      <w:r>
        <w:t>like</w:t>
      </w:r>
      <w:r>
        <w:rPr>
          <w:spacing w:val="-5"/>
        </w:rPr>
        <w:t xml:space="preserve"> </w:t>
      </w:r>
      <w:r>
        <w:t>products</w:t>
      </w:r>
      <w:r>
        <w:rPr>
          <w:spacing w:val="-6"/>
        </w:rPr>
        <w:t xml:space="preserve"> </w:t>
      </w:r>
      <w:r>
        <w:t>reflected</w:t>
      </w:r>
      <w:r>
        <w:rPr>
          <w:spacing w:val="-7"/>
        </w:rPr>
        <w:t xml:space="preserve"> </w:t>
      </w:r>
      <w:r>
        <w:t>the</w:t>
      </w:r>
      <w:r>
        <w:rPr>
          <w:spacing w:val="-6"/>
        </w:rPr>
        <w:t xml:space="preserve"> </w:t>
      </w:r>
      <w:r>
        <w:t>price</w:t>
      </w:r>
      <w:r>
        <w:rPr>
          <w:spacing w:val="-5"/>
        </w:rPr>
        <w:t xml:space="preserve"> </w:t>
      </w:r>
      <w:r>
        <w:t>of</w:t>
      </w:r>
      <w:r>
        <w:rPr>
          <w:spacing w:val="-6"/>
        </w:rPr>
        <w:t xml:space="preserve"> </w:t>
      </w:r>
      <w:r>
        <w:t>Chinese</w:t>
      </w:r>
      <w:r>
        <w:rPr>
          <w:spacing w:val="-5"/>
        </w:rPr>
        <w:t xml:space="preserve"> </w:t>
      </w:r>
      <w:r>
        <w:t>wine</w:t>
      </w:r>
      <w:r>
        <w:rPr>
          <w:spacing w:val="-6"/>
        </w:rPr>
        <w:t xml:space="preserve"> </w:t>
      </w:r>
      <w:r>
        <w:t>available</w:t>
      </w:r>
      <w:r>
        <w:rPr>
          <w:spacing w:val="-6"/>
        </w:rPr>
        <w:t xml:space="preserve"> </w:t>
      </w:r>
      <w:r>
        <w:t>for</w:t>
      </w:r>
      <w:r>
        <w:rPr>
          <w:spacing w:val="-7"/>
        </w:rPr>
        <w:t xml:space="preserve"> </w:t>
      </w:r>
      <w:r>
        <w:t>inland shipment to a buyer in China.</w:t>
      </w:r>
    </w:p>
    <w:p w14:paraId="51DE8F6C" w14:textId="77777777" w:rsidR="0010369C" w:rsidRDefault="0010369C">
      <w:pPr>
        <w:pStyle w:val="BodyText"/>
        <w:spacing w:before="10"/>
        <w:rPr>
          <w:sz w:val="8"/>
        </w:rPr>
      </w:pPr>
    </w:p>
    <w:p w14:paraId="51DE8F6D" w14:textId="77777777" w:rsidR="0010369C" w:rsidRDefault="008E43AE">
      <w:pPr>
        <w:pStyle w:val="BodyText"/>
        <w:spacing w:before="52" w:line="360" w:lineRule="auto"/>
        <w:ind w:left="237" w:right="613" w:firstLine="852"/>
        <w:jc w:val="both"/>
      </w:pPr>
      <w:r>
        <w:rPr>
          <w:noProof/>
        </w:rPr>
        <w:drawing>
          <wp:anchor distT="0" distB="0" distL="0" distR="0" simplePos="0" relativeHeight="251220480" behindDoc="1" locked="0" layoutInCell="1" allowOverlap="1" wp14:anchorId="51DEA4C2" wp14:editId="51DEA4C3">
            <wp:simplePos x="0" y="0"/>
            <wp:positionH relativeFrom="page">
              <wp:posOffset>902208</wp:posOffset>
            </wp:positionH>
            <wp:positionV relativeFrom="paragraph">
              <wp:posOffset>80595</wp:posOffset>
            </wp:positionV>
            <wp:extent cx="262127" cy="103631"/>
            <wp:effectExtent l="0" t="0" r="0" b="0"/>
            <wp:wrapNone/>
            <wp:docPr id="1183" name="image6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 name="image612.png"/>
                    <pic:cNvPicPr/>
                  </pic:nvPicPr>
                  <pic:blipFill>
                    <a:blip r:embed="rId802" cstate="print"/>
                    <a:stretch>
                      <a:fillRect/>
                    </a:stretch>
                  </pic:blipFill>
                  <pic:spPr>
                    <a:xfrm>
                      <a:off x="0" y="0"/>
                      <a:ext cx="262127" cy="103631"/>
                    </a:xfrm>
                    <a:prstGeom prst="rect">
                      <a:avLst/>
                    </a:prstGeom>
                  </pic:spPr>
                </pic:pic>
              </a:graphicData>
            </a:graphic>
          </wp:anchor>
        </w:drawing>
      </w:r>
      <w:r>
        <w:t>The CIF price for subject imports is not comparable to the ex‐factory price for domestic</w:t>
      </w:r>
      <w:r>
        <w:rPr>
          <w:spacing w:val="-5"/>
        </w:rPr>
        <w:t xml:space="preserve"> </w:t>
      </w:r>
      <w:r>
        <w:t>like</w:t>
      </w:r>
      <w:r>
        <w:rPr>
          <w:spacing w:val="-6"/>
        </w:rPr>
        <w:t xml:space="preserve"> </w:t>
      </w:r>
      <w:r>
        <w:t>products.</w:t>
      </w:r>
      <w:r>
        <w:rPr>
          <w:spacing w:val="-7"/>
        </w:rPr>
        <w:t xml:space="preserve"> </w:t>
      </w:r>
      <w:r>
        <w:t>This</w:t>
      </w:r>
      <w:r>
        <w:rPr>
          <w:spacing w:val="-7"/>
        </w:rPr>
        <w:t xml:space="preserve"> </w:t>
      </w:r>
      <w:r>
        <w:t>is</w:t>
      </w:r>
      <w:r>
        <w:rPr>
          <w:spacing w:val="-8"/>
        </w:rPr>
        <w:t xml:space="preserve"> </w:t>
      </w:r>
      <w:r>
        <w:t>because</w:t>
      </w:r>
      <w:r>
        <w:rPr>
          <w:spacing w:val="-6"/>
        </w:rPr>
        <w:t xml:space="preserve"> </w:t>
      </w:r>
      <w:r>
        <w:t>the</w:t>
      </w:r>
      <w:r>
        <w:rPr>
          <w:spacing w:val="-7"/>
        </w:rPr>
        <w:t xml:space="preserve"> </w:t>
      </w:r>
      <w:r>
        <w:t>CIF</w:t>
      </w:r>
      <w:r>
        <w:rPr>
          <w:spacing w:val="-6"/>
        </w:rPr>
        <w:t xml:space="preserve"> </w:t>
      </w:r>
      <w:r>
        <w:t>price</w:t>
      </w:r>
      <w:r>
        <w:rPr>
          <w:spacing w:val="-7"/>
        </w:rPr>
        <w:t xml:space="preserve"> </w:t>
      </w:r>
      <w:r>
        <w:t>does</w:t>
      </w:r>
      <w:r>
        <w:rPr>
          <w:spacing w:val="-8"/>
        </w:rPr>
        <w:t xml:space="preserve"> </w:t>
      </w:r>
      <w:r>
        <w:t>not</w:t>
      </w:r>
      <w:r>
        <w:rPr>
          <w:spacing w:val="-7"/>
        </w:rPr>
        <w:t xml:space="preserve"> </w:t>
      </w:r>
      <w:r>
        <w:t>reflect</w:t>
      </w:r>
      <w:r>
        <w:rPr>
          <w:spacing w:val="-8"/>
        </w:rPr>
        <w:t xml:space="preserve"> </w:t>
      </w:r>
      <w:r>
        <w:t>the</w:t>
      </w:r>
      <w:r>
        <w:rPr>
          <w:spacing w:val="-7"/>
        </w:rPr>
        <w:t xml:space="preserve"> </w:t>
      </w:r>
      <w:r>
        <w:t>actual</w:t>
      </w:r>
      <w:r>
        <w:rPr>
          <w:spacing w:val="-7"/>
        </w:rPr>
        <w:t xml:space="preserve"> </w:t>
      </w:r>
      <w:r>
        <w:t>cost</w:t>
      </w:r>
      <w:r>
        <w:rPr>
          <w:spacing w:val="-8"/>
        </w:rPr>
        <w:t xml:space="preserve"> </w:t>
      </w:r>
      <w:r>
        <w:t>of</w:t>
      </w:r>
      <w:r>
        <w:rPr>
          <w:spacing w:val="-8"/>
        </w:rPr>
        <w:t xml:space="preserve"> </w:t>
      </w:r>
      <w:r>
        <w:t xml:space="preserve">making goods available for inland transport to a buyer in China. It excludes relevant </w:t>
      </w:r>
      <w:r>
        <w:t>costs such as logistics</w:t>
      </w:r>
      <w:r>
        <w:rPr>
          <w:spacing w:val="-8"/>
        </w:rPr>
        <w:t xml:space="preserve"> </w:t>
      </w:r>
      <w:r>
        <w:t>and/or</w:t>
      </w:r>
      <w:r>
        <w:rPr>
          <w:spacing w:val="-8"/>
        </w:rPr>
        <w:t xml:space="preserve"> </w:t>
      </w:r>
      <w:r>
        <w:t>stevedoring</w:t>
      </w:r>
      <w:r>
        <w:rPr>
          <w:spacing w:val="-9"/>
        </w:rPr>
        <w:t xml:space="preserve"> </w:t>
      </w:r>
      <w:r>
        <w:t>costs</w:t>
      </w:r>
      <w:r>
        <w:rPr>
          <w:spacing w:val="-9"/>
        </w:rPr>
        <w:t xml:space="preserve"> </w:t>
      </w:r>
      <w:r>
        <w:t>and</w:t>
      </w:r>
      <w:r>
        <w:rPr>
          <w:spacing w:val="-8"/>
        </w:rPr>
        <w:t xml:space="preserve"> </w:t>
      </w:r>
      <w:r>
        <w:t>warehousing</w:t>
      </w:r>
      <w:r>
        <w:rPr>
          <w:spacing w:val="-8"/>
        </w:rPr>
        <w:t xml:space="preserve"> </w:t>
      </w:r>
      <w:r>
        <w:t>costs.</w:t>
      </w:r>
      <w:r>
        <w:rPr>
          <w:spacing w:val="-9"/>
        </w:rPr>
        <w:t xml:space="preserve"> </w:t>
      </w:r>
      <w:r>
        <w:t>These</w:t>
      </w:r>
      <w:r>
        <w:rPr>
          <w:spacing w:val="-8"/>
        </w:rPr>
        <w:t xml:space="preserve"> </w:t>
      </w:r>
      <w:r>
        <w:t>costs</w:t>
      </w:r>
      <w:r>
        <w:rPr>
          <w:spacing w:val="-8"/>
        </w:rPr>
        <w:t xml:space="preserve"> </w:t>
      </w:r>
      <w:r>
        <w:t>are</w:t>
      </w:r>
      <w:r>
        <w:rPr>
          <w:spacing w:val="-8"/>
        </w:rPr>
        <w:t xml:space="preserve"> </w:t>
      </w:r>
      <w:r>
        <w:t>incurred</w:t>
      </w:r>
      <w:r>
        <w:rPr>
          <w:spacing w:val="-8"/>
        </w:rPr>
        <w:t xml:space="preserve"> </w:t>
      </w:r>
      <w:r>
        <w:t>during</w:t>
      </w:r>
      <w:r>
        <w:rPr>
          <w:spacing w:val="-8"/>
        </w:rPr>
        <w:t xml:space="preserve"> </w:t>
      </w:r>
      <w:r>
        <w:t>and immediately</w:t>
      </w:r>
      <w:r>
        <w:rPr>
          <w:spacing w:val="-9"/>
        </w:rPr>
        <w:t xml:space="preserve"> </w:t>
      </w:r>
      <w:r>
        <w:t>after</w:t>
      </w:r>
      <w:r>
        <w:rPr>
          <w:spacing w:val="-8"/>
        </w:rPr>
        <w:t xml:space="preserve"> </w:t>
      </w:r>
      <w:r>
        <w:t>goods</w:t>
      </w:r>
      <w:r>
        <w:rPr>
          <w:spacing w:val="-10"/>
        </w:rPr>
        <w:t xml:space="preserve"> </w:t>
      </w:r>
      <w:r>
        <w:t>are</w:t>
      </w:r>
      <w:r>
        <w:rPr>
          <w:spacing w:val="-8"/>
        </w:rPr>
        <w:t xml:space="preserve"> </w:t>
      </w:r>
      <w:r>
        <w:t>unloaded</w:t>
      </w:r>
      <w:r>
        <w:rPr>
          <w:spacing w:val="-8"/>
        </w:rPr>
        <w:t xml:space="preserve"> </w:t>
      </w:r>
      <w:r>
        <w:t>at</w:t>
      </w:r>
      <w:r>
        <w:rPr>
          <w:spacing w:val="-9"/>
        </w:rPr>
        <w:t xml:space="preserve"> </w:t>
      </w:r>
      <w:r>
        <w:t>the</w:t>
      </w:r>
      <w:r>
        <w:rPr>
          <w:spacing w:val="-8"/>
        </w:rPr>
        <w:t xml:space="preserve"> </w:t>
      </w:r>
      <w:r>
        <w:t>port</w:t>
      </w:r>
      <w:r>
        <w:rPr>
          <w:spacing w:val="-10"/>
        </w:rPr>
        <w:t xml:space="preserve"> </w:t>
      </w:r>
      <w:r>
        <w:t>of</w:t>
      </w:r>
      <w:r>
        <w:rPr>
          <w:spacing w:val="-9"/>
        </w:rPr>
        <w:t xml:space="preserve"> </w:t>
      </w:r>
      <w:r>
        <w:t>entry.</w:t>
      </w:r>
      <w:r>
        <w:rPr>
          <w:spacing w:val="-9"/>
        </w:rPr>
        <w:t xml:space="preserve"> </w:t>
      </w:r>
      <w:r>
        <w:t>It</w:t>
      </w:r>
      <w:r>
        <w:rPr>
          <w:spacing w:val="-9"/>
        </w:rPr>
        <w:t xml:space="preserve"> </w:t>
      </w:r>
      <w:r>
        <w:t>also</w:t>
      </w:r>
      <w:r>
        <w:rPr>
          <w:spacing w:val="-8"/>
        </w:rPr>
        <w:t xml:space="preserve"> </w:t>
      </w:r>
      <w:r>
        <w:t>excludes</w:t>
      </w:r>
      <w:r>
        <w:rPr>
          <w:spacing w:val="-11"/>
        </w:rPr>
        <w:t xml:space="preserve"> </w:t>
      </w:r>
      <w:r>
        <w:t>markups</w:t>
      </w:r>
      <w:r>
        <w:rPr>
          <w:spacing w:val="-9"/>
        </w:rPr>
        <w:t xml:space="preserve"> </w:t>
      </w:r>
      <w:r>
        <w:t>for</w:t>
      </w:r>
      <w:r>
        <w:rPr>
          <w:spacing w:val="-11"/>
        </w:rPr>
        <w:t xml:space="preserve"> </w:t>
      </w:r>
      <w:r>
        <w:t>selling expenses</w:t>
      </w:r>
      <w:r>
        <w:rPr>
          <w:spacing w:val="-4"/>
        </w:rPr>
        <w:t xml:space="preserve"> </w:t>
      </w:r>
      <w:r>
        <w:t>and</w:t>
      </w:r>
      <w:r>
        <w:rPr>
          <w:spacing w:val="-2"/>
        </w:rPr>
        <w:t xml:space="preserve"> </w:t>
      </w:r>
      <w:r>
        <w:t>a</w:t>
      </w:r>
      <w:r>
        <w:rPr>
          <w:spacing w:val="-1"/>
        </w:rPr>
        <w:t xml:space="preserve"> </w:t>
      </w:r>
      <w:r>
        <w:t>profit</w:t>
      </w:r>
      <w:r>
        <w:rPr>
          <w:spacing w:val="-2"/>
        </w:rPr>
        <w:t xml:space="preserve"> </w:t>
      </w:r>
      <w:r>
        <w:t>associated</w:t>
      </w:r>
      <w:r>
        <w:rPr>
          <w:spacing w:val="-2"/>
        </w:rPr>
        <w:t xml:space="preserve"> </w:t>
      </w:r>
      <w:r>
        <w:t>with</w:t>
      </w:r>
      <w:r>
        <w:rPr>
          <w:spacing w:val="-2"/>
        </w:rPr>
        <w:t xml:space="preserve"> </w:t>
      </w:r>
      <w:r>
        <w:t>ex‐warehouse</w:t>
      </w:r>
      <w:r>
        <w:rPr>
          <w:spacing w:val="-1"/>
        </w:rPr>
        <w:t xml:space="preserve"> </w:t>
      </w:r>
      <w:r>
        <w:t>sales.</w:t>
      </w:r>
      <w:r>
        <w:rPr>
          <w:spacing w:val="-2"/>
        </w:rPr>
        <w:t xml:space="preserve"> </w:t>
      </w:r>
      <w:r>
        <w:t>In</w:t>
      </w:r>
      <w:r>
        <w:rPr>
          <w:spacing w:val="-2"/>
        </w:rPr>
        <w:t xml:space="preserve"> </w:t>
      </w:r>
      <w:r>
        <w:t>contrast,</w:t>
      </w:r>
      <w:r>
        <w:rPr>
          <w:spacing w:val="-2"/>
        </w:rPr>
        <w:t xml:space="preserve"> </w:t>
      </w:r>
      <w:r>
        <w:t>the</w:t>
      </w:r>
      <w:r>
        <w:rPr>
          <w:spacing w:val="-1"/>
        </w:rPr>
        <w:t xml:space="preserve"> </w:t>
      </w:r>
      <w:r>
        <w:t>ex‐factory</w:t>
      </w:r>
      <w:r>
        <w:rPr>
          <w:spacing w:val="-3"/>
        </w:rPr>
        <w:t xml:space="preserve"> </w:t>
      </w:r>
      <w:r>
        <w:t>price</w:t>
      </w:r>
      <w:r>
        <w:rPr>
          <w:spacing w:val="-2"/>
        </w:rPr>
        <w:t xml:space="preserve"> </w:t>
      </w:r>
      <w:r>
        <w:t>of domestic like products reflected the price of goods available for inland transport.</w:t>
      </w:r>
    </w:p>
    <w:p w14:paraId="51DE8F6E" w14:textId="77777777" w:rsidR="0010369C" w:rsidRDefault="0010369C">
      <w:pPr>
        <w:pStyle w:val="BodyText"/>
        <w:spacing w:before="11"/>
        <w:rPr>
          <w:sz w:val="8"/>
        </w:rPr>
      </w:pPr>
    </w:p>
    <w:p w14:paraId="51DE8F6F" w14:textId="77777777" w:rsidR="0010369C" w:rsidRDefault="008E43AE">
      <w:pPr>
        <w:pStyle w:val="BodyText"/>
        <w:spacing w:before="51" w:line="360" w:lineRule="auto"/>
        <w:ind w:left="236" w:right="613" w:firstLine="852"/>
        <w:jc w:val="both"/>
      </w:pPr>
      <w:r>
        <w:rPr>
          <w:noProof/>
        </w:rPr>
        <w:drawing>
          <wp:anchor distT="0" distB="0" distL="0" distR="0" simplePos="0" relativeHeight="251221504" behindDoc="1" locked="0" layoutInCell="1" allowOverlap="1" wp14:anchorId="51DEA4C4" wp14:editId="51DEA4C5">
            <wp:simplePos x="0" y="0"/>
            <wp:positionH relativeFrom="page">
              <wp:posOffset>902208</wp:posOffset>
            </wp:positionH>
            <wp:positionV relativeFrom="paragraph">
              <wp:posOffset>76150</wp:posOffset>
            </wp:positionV>
            <wp:extent cx="262127" cy="106679"/>
            <wp:effectExtent l="0" t="0" r="0" b="0"/>
            <wp:wrapNone/>
            <wp:docPr id="1185" name="image6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 name="image613.png"/>
                    <pic:cNvPicPr/>
                  </pic:nvPicPr>
                  <pic:blipFill>
                    <a:blip r:embed="rId803" cstate="print"/>
                    <a:stretch>
                      <a:fillRect/>
                    </a:stretch>
                  </pic:blipFill>
                  <pic:spPr>
                    <a:xfrm>
                      <a:off x="0" y="0"/>
                      <a:ext cx="262127" cy="106679"/>
                    </a:xfrm>
                    <a:prstGeom prst="rect">
                      <a:avLst/>
                    </a:prstGeom>
                  </pic:spPr>
                </pic:pic>
              </a:graphicData>
            </a:graphic>
          </wp:anchor>
        </w:drawing>
      </w:r>
      <w:r>
        <w:t>The additional costs associated with making subject imports available for inland transport would have been reflected in different conditions of sale. That is, subject imports sold on CIF conditions of sale would have a different price to subject imports so</w:t>
      </w:r>
      <w:r>
        <w:t>ld on ex‐ warehouse</w:t>
      </w:r>
      <w:r>
        <w:rPr>
          <w:spacing w:val="-9"/>
        </w:rPr>
        <w:t xml:space="preserve"> </w:t>
      </w:r>
      <w:r>
        <w:t>conditions</w:t>
      </w:r>
      <w:r>
        <w:rPr>
          <w:spacing w:val="-10"/>
        </w:rPr>
        <w:t xml:space="preserve"> </w:t>
      </w:r>
      <w:r>
        <w:t>and</w:t>
      </w:r>
      <w:r>
        <w:rPr>
          <w:spacing w:val="-10"/>
        </w:rPr>
        <w:t xml:space="preserve"> </w:t>
      </w:r>
      <w:r>
        <w:t>to</w:t>
      </w:r>
      <w:r>
        <w:rPr>
          <w:spacing w:val="-9"/>
        </w:rPr>
        <w:t xml:space="preserve"> </w:t>
      </w:r>
      <w:r>
        <w:t>domestic</w:t>
      </w:r>
      <w:r>
        <w:rPr>
          <w:spacing w:val="-9"/>
        </w:rPr>
        <w:t xml:space="preserve"> </w:t>
      </w:r>
      <w:r>
        <w:t>like</w:t>
      </w:r>
      <w:r>
        <w:rPr>
          <w:spacing w:val="-9"/>
        </w:rPr>
        <w:t xml:space="preserve"> </w:t>
      </w:r>
      <w:r>
        <w:t>products</w:t>
      </w:r>
      <w:r>
        <w:rPr>
          <w:spacing w:val="-9"/>
        </w:rPr>
        <w:t xml:space="preserve"> </w:t>
      </w:r>
      <w:r>
        <w:t>sold</w:t>
      </w:r>
      <w:r>
        <w:rPr>
          <w:spacing w:val="-10"/>
        </w:rPr>
        <w:t xml:space="preserve"> </w:t>
      </w:r>
      <w:r>
        <w:t>on</w:t>
      </w:r>
      <w:r>
        <w:rPr>
          <w:spacing w:val="-10"/>
        </w:rPr>
        <w:t xml:space="preserve"> </w:t>
      </w:r>
      <w:r>
        <w:t>ex‐factory</w:t>
      </w:r>
      <w:r>
        <w:rPr>
          <w:spacing w:val="-9"/>
        </w:rPr>
        <w:t xml:space="preserve"> </w:t>
      </w:r>
      <w:r>
        <w:t>conditions.</w:t>
      </w:r>
      <w:r>
        <w:rPr>
          <w:spacing w:val="-9"/>
        </w:rPr>
        <w:t xml:space="preserve"> </w:t>
      </w:r>
      <w:r>
        <w:t>As</w:t>
      </w:r>
      <w:r>
        <w:rPr>
          <w:spacing w:val="-10"/>
        </w:rPr>
        <w:t xml:space="preserve"> </w:t>
      </w:r>
      <w:r>
        <w:t>a</w:t>
      </w:r>
      <w:r>
        <w:rPr>
          <w:spacing w:val="-10"/>
        </w:rPr>
        <w:t xml:space="preserve"> </w:t>
      </w:r>
      <w:r>
        <w:t>result, an objective and unbiased investigating authority would have considered whether the different</w:t>
      </w:r>
      <w:r>
        <w:rPr>
          <w:spacing w:val="-10"/>
        </w:rPr>
        <w:t xml:space="preserve"> </w:t>
      </w:r>
      <w:r>
        <w:t>conditions</w:t>
      </w:r>
      <w:r>
        <w:rPr>
          <w:spacing w:val="-12"/>
        </w:rPr>
        <w:t xml:space="preserve"> </w:t>
      </w:r>
      <w:r>
        <w:t>of</w:t>
      </w:r>
      <w:r>
        <w:rPr>
          <w:spacing w:val="-11"/>
        </w:rPr>
        <w:t xml:space="preserve"> </w:t>
      </w:r>
      <w:r>
        <w:t>sale</w:t>
      </w:r>
      <w:r>
        <w:rPr>
          <w:spacing w:val="-10"/>
        </w:rPr>
        <w:t xml:space="preserve"> </w:t>
      </w:r>
      <w:r>
        <w:t>affected</w:t>
      </w:r>
      <w:r>
        <w:rPr>
          <w:spacing w:val="-12"/>
        </w:rPr>
        <w:t xml:space="preserve"> </w:t>
      </w:r>
      <w:r>
        <w:t>the</w:t>
      </w:r>
      <w:r>
        <w:rPr>
          <w:spacing w:val="-10"/>
        </w:rPr>
        <w:t xml:space="preserve"> </w:t>
      </w:r>
      <w:r>
        <w:t>comparability</w:t>
      </w:r>
      <w:r>
        <w:rPr>
          <w:spacing w:val="-11"/>
        </w:rPr>
        <w:t xml:space="preserve"> </w:t>
      </w:r>
      <w:r>
        <w:t>of</w:t>
      </w:r>
      <w:r>
        <w:rPr>
          <w:spacing w:val="-11"/>
        </w:rPr>
        <w:t xml:space="preserve"> </w:t>
      </w:r>
      <w:r>
        <w:t>the</w:t>
      </w:r>
      <w:r>
        <w:rPr>
          <w:spacing w:val="-12"/>
        </w:rPr>
        <w:t xml:space="preserve"> </w:t>
      </w:r>
      <w:r>
        <w:t>prices</w:t>
      </w:r>
      <w:r>
        <w:rPr>
          <w:spacing w:val="-11"/>
        </w:rPr>
        <w:t xml:space="preserve"> </w:t>
      </w:r>
      <w:r>
        <w:t>and/or</w:t>
      </w:r>
      <w:r>
        <w:rPr>
          <w:spacing w:val="-11"/>
        </w:rPr>
        <w:t xml:space="preserve"> </w:t>
      </w:r>
      <w:r>
        <w:t>whether</w:t>
      </w:r>
      <w:r>
        <w:rPr>
          <w:spacing w:val="-12"/>
        </w:rPr>
        <w:t xml:space="preserve"> </w:t>
      </w:r>
      <w:r>
        <w:t xml:space="preserve">additional adjustments to reflect the differences needed to be applied. MOFCOM </w:t>
      </w:r>
      <w:r>
        <w:t>failed to do so. As a result, MOFCOM proceeded to conduct its price comparison on the basis of prices that were not comparable. Consequently, MOFCOM's price effects analysis is inconsistent with China's obligations under Articles 3.1 and 3.2 of the Anti‐Du</w:t>
      </w:r>
      <w:r>
        <w:t>mping Agreement.</w:t>
      </w:r>
    </w:p>
    <w:p w14:paraId="51DE8F70" w14:textId="77777777" w:rsidR="0010369C" w:rsidRDefault="0010369C">
      <w:pPr>
        <w:pStyle w:val="BodyText"/>
        <w:rPr>
          <w:sz w:val="20"/>
        </w:rPr>
      </w:pPr>
    </w:p>
    <w:p w14:paraId="51DE8F71" w14:textId="77777777" w:rsidR="0010369C" w:rsidRDefault="0010369C">
      <w:pPr>
        <w:pStyle w:val="BodyText"/>
        <w:rPr>
          <w:sz w:val="20"/>
        </w:rPr>
      </w:pPr>
    </w:p>
    <w:p w14:paraId="51DE8F72" w14:textId="77777777" w:rsidR="0010369C" w:rsidRDefault="0010369C">
      <w:pPr>
        <w:pStyle w:val="BodyText"/>
        <w:rPr>
          <w:sz w:val="20"/>
        </w:rPr>
      </w:pPr>
    </w:p>
    <w:p w14:paraId="51DE8F73" w14:textId="77777777" w:rsidR="0010369C" w:rsidRDefault="0010369C">
      <w:pPr>
        <w:pStyle w:val="BodyText"/>
        <w:rPr>
          <w:sz w:val="20"/>
        </w:rPr>
      </w:pPr>
    </w:p>
    <w:p w14:paraId="51DE8F74" w14:textId="77777777" w:rsidR="0010369C" w:rsidRDefault="0010369C">
      <w:pPr>
        <w:pStyle w:val="BodyText"/>
        <w:rPr>
          <w:sz w:val="20"/>
        </w:rPr>
      </w:pPr>
    </w:p>
    <w:p w14:paraId="51DE8F75" w14:textId="77777777" w:rsidR="0010369C" w:rsidRDefault="0010369C">
      <w:pPr>
        <w:pStyle w:val="BodyText"/>
        <w:rPr>
          <w:sz w:val="20"/>
        </w:rPr>
      </w:pPr>
    </w:p>
    <w:p w14:paraId="51DE8F76" w14:textId="77777777" w:rsidR="0010369C" w:rsidRDefault="0010369C">
      <w:pPr>
        <w:pStyle w:val="BodyText"/>
        <w:rPr>
          <w:sz w:val="20"/>
        </w:rPr>
      </w:pPr>
    </w:p>
    <w:p w14:paraId="51DE8F77" w14:textId="77777777" w:rsidR="0010369C" w:rsidRDefault="0010369C">
      <w:pPr>
        <w:pStyle w:val="BodyText"/>
        <w:rPr>
          <w:sz w:val="20"/>
        </w:rPr>
      </w:pPr>
    </w:p>
    <w:p w14:paraId="51DE8F78" w14:textId="77777777" w:rsidR="0010369C" w:rsidRDefault="0010369C">
      <w:pPr>
        <w:pStyle w:val="BodyText"/>
        <w:rPr>
          <w:sz w:val="20"/>
        </w:rPr>
      </w:pPr>
    </w:p>
    <w:p w14:paraId="51DE8F79" w14:textId="77777777" w:rsidR="0010369C" w:rsidRDefault="008E43AE">
      <w:pPr>
        <w:pStyle w:val="BodyText"/>
        <w:spacing w:before="9"/>
        <w:rPr>
          <w:sz w:val="10"/>
        </w:rPr>
      </w:pPr>
      <w:r>
        <w:pict w14:anchorId="51DEA4C6">
          <v:rect id="docshape1083" o:spid="_x0000_s1301" style="position:absolute;margin-left:70.9pt;margin-top:7.8pt;width:2in;height:.8pt;z-index:-250822144;mso-wrap-distance-left:0;mso-wrap-distance-right:0;mso-position-horizontal-relative:page" fillcolor="black" stroked="f">
            <w10:wrap type="topAndBottom" anchorx="page"/>
          </v:rect>
        </w:pict>
      </w:r>
    </w:p>
    <w:p w14:paraId="51DE8F7A" w14:textId="77777777" w:rsidR="0010369C" w:rsidRDefault="008E43AE">
      <w:pPr>
        <w:spacing w:before="109"/>
        <w:ind w:left="238"/>
        <w:rPr>
          <w:sz w:val="18"/>
        </w:rPr>
      </w:pPr>
      <w:r>
        <w:rPr>
          <w:sz w:val="18"/>
          <w:vertAlign w:val="superscript"/>
        </w:rPr>
        <w:t>695</w:t>
      </w:r>
      <w:r>
        <w:rPr>
          <w:spacing w:val="-7"/>
          <w:sz w:val="18"/>
        </w:rPr>
        <w:t xml:space="preserve"> </w:t>
      </w:r>
      <w:r>
        <w:rPr>
          <w:sz w:val="18"/>
        </w:rPr>
        <w:t>International</w:t>
      </w:r>
      <w:r>
        <w:rPr>
          <w:spacing w:val="-6"/>
          <w:sz w:val="18"/>
        </w:rPr>
        <w:t xml:space="preserve"> </w:t>
      </w:r>
      <w:r>
        <w:rPr>
          <w:sz w:val="18"/>
        </w:rPr>
        <w:t>Chamber</w:t>
      </w:r>
      <w:r>
        <w:rPr>
          <w:spacing w:val="-6"/>
          <w:sz w:val="18"/>
        </w:rPr>
        <w:t xml:space="preserve"> </w:t>
      </w:r>
      <w:r>
        <w:rPr>
          <w:sz w:val="18"/>
        </w:rPr>
        <w:t>of</w:t>
      </w:r>
      <w:r>
        <w:rPr>
          <w:spacing w:val="-6"/>
          <w:sz w:val="18"/>
        </w:rPr>
        <w:t xml:space="preserve"> </w:t>
      </w:r>
      <w:r>
        <w:rPr>
          <w:sz w:val="18"/>
        </w:rPr>
        <w:t>Commerce</w:t>
      </w:r>
      <w:r>
        <w:rPr>
          <w:spacing w:val="-7"/>
          <w:sz w:val="18"/>
        </w:rPr>
        <w:t xml:space="preserve"> </w:t>
      </w:r>
      <w:r>
        <w:rPr>
          <w:sz w:val="18"/>
        </w:rPr>
        <w:t>Incoterms</w:t>
      </w:r>
      <w:r>
        <w:rPr>
          <w:spacing w:val="-6"/>
          <w:sz w:val="18"/>
        </w:rPr>
        <w:t xml:space="preserve"> </w:t>
      </w:r>
      <w:r>
        <w:rPr>
          <w:sz w:val="18"/>
        </w:rPr>
        <w:t>2010</w:t>
      </w:r>
      <w:r>
        <w:rPr>
          <w:spacing w:val="-6"/>
          <w:sz w:val="18"/>
        </w:rPr>
        <w:t xml:space="preserve"> </w:t>
      </w:r>
      <w:r>
        <w:rPr>
          <w:sz w:val="18"/>
        </w:rPr>
        <w:t>(Exhibit</w:t>
      </w:r>
      <w:r>
        <w:rPr>
          <w:spacing w:val="-6"/>
          <w:sz w:val="18"/>
        </w:rPr>
        <w:t xml:space="preserve"> </w:t>
      </w:r>
      <w:r>
        <w:rPr>
          <w:sz w:val="18"/>
        </w:rPr>
        <w:t>AUS‐83),</w:t>
      </w:r>
      <w:r>
        <w:rPr>
          <w:spacing w:val="-7"/>
          <w:sz w:val="18"/>
        </w:rPr>
        <w:t xml:space="preserve"> </w:t>
      </w:r>
      <w:r>
        <w:rPr>
          <w:sz w:val="18"/>
        </w:rPr>
        <w:t>CIF</w:t>
      </w:r>
      <w:r>
        <w:rPr>
          <w:spacing w:val="-6"/>
          <w:sz w:val="18"/>
        </w:rPr>
        <w:t xml:space="preserve"> </w:t>
      </w:r>
      <w:r>
        <w:rPr>
          <w:sz w:val="18"/>
        </w:rPr>
        <w:t>Terms,</w:t>
      </w:r>
      <w:r>
        <w:rPr>
          <w:spacing w:val="-7"/>
          <w:sz w:val="18"/>
        </w:rPr>
        <w:t xml:space="preserve"> </w:t>
      </w:r>
      <w:r>
        <w:rPr>
          <w:sz w:val="18"/>
        </w:rPr>
        <w:t>Section</w:t>
      </w:r>
      <w:r>
        <w:rPr>
          <w:spacing w:val="-6"/>
          <w:sz w:val="18"/>
        </w:rPr>
        <w:t xml:space="preserve"> </w:t>
      </w:r>
      <w:r>
        <w:rPr>
          <w:sz w:val="18"/>
        </w:rPr>
        <w:t>B6,</w:t>
      </w:r>
      <w:r>
        <w:rPr>
          <w:spacing w:val="-7"/>
          <w:sz w:val="18"/>
        </w:rPr>
        <w:t xml:space="preserve"> </w:t>
      </w:r>
      <w:r>
        <w:rPr>
          <w:sz w:val="18"/>
        </w:rPr>
        <w:t>p.</w:t>
      </w:r>
      <w:r>
        <w:rPr>
          <w:spacing w:val="-6"/>
          <w:sz w:val="18"/>
        </w:rPr>
        <w:t xml:space="preserve"> </w:t>
      </w:r>
      <w:r>
        <w:rPr>
          <w:spacing w:val="-5"/>
          <w:sz w:val="18"/>
        </w:rPr>
        <w:t>65.</w:t>
      </w:r>
    </w:p>
    <w:p w14:paraId="51DE8F7B" w14:textId="77777777" w:rsidR="0010369C" w:rsidRDefault="008E43AE">
      <w:pPr>
        <w:ind w:left="239" w:right="611" w:hanging="1"/>
        <w:rPr>
          <w:sz w:val="18"/>
        </w:rPr>
      </w:pPr>
      <w:r>
        <w:rPr>
          <w:sz w:val="18"/>
          <w:vertAlign w:val="superscript"/>
        </w:rPr>
        <w:t>696</w:t>
      </w:r>
      <w:r>
        <w:rPr>
          <w:sz w:val="18"/>
        </w:rPr>
        <w:t xml:space="preserve"> International Chamber of Commerce Incoterms 2010 (Exhibit AUS‐83), Ex‐Works Terms, pp. 1‐5. Australia has assumed that the </w:t>
      </w:r>
      <w:r>
        <w:rPr>
          <w:sz w:val="18"/>
        </w:rPr>
        <w:t>"ex‐factory" price of domestic products reflects the sale price on Ex‐Works terms.</w:t>
      </w:r>
    </w:p>
    <w:p w14:paraId="51DE8F7C" w14:textId="77777777" w:rsidR="0010369C" w:rsidRDefault="0010369C">
      <w:pPr>
        <w:rPr>
          <w:sz w:val="18"/>
        </w:rPr>
        <w:sectPr w:rsidR="0010369C">
          <w:pgSz w:w="11910" w:h="16840"/>
          <w:pgMar w:top="880" w:right="800" w:bottom="980" w:left="1180" w:header="569" w:footer="788" w:gutter="0"/>
          <w:cols w:space="720"/>
        </w:sectPr>
      </w:pPr>
    </w:p>
    <w:p w14:paraId="51DE8F7D" w14:textId="77777777" w:rsidR="0010369C" w:rsidRDefault="008E43AE">
      <w:pPr>
        <w:tabs>
          <w:tab w:val="left" w:pos="6426"/>
        </w:tabs>
        <w:ind w:left="238"/>
        <w:jc w:val="both"/>
        <w:rPr>
          <w:sz w:val="20"/>
        </w:rPr>
      </w:pPr>
      <w:r>
        <w:rPr>
          <w:i/>
          <w:sz w:val="20"/>
        </w:rPr>
        <w:lastRenderedPageBreak/>
        <w:t>China</w:t>
      </w:r>
      <w:r>
        <w:rPr>
          <w:i/>
          <w:spacing w:val="-5"/>
          <w:sz w:val="20"/>
        </w:rPr>
        <w:t xml:space="preserve"> </w:t>
      </w:r>
      <w:r>
        <w:rPr>
          <w:i/>
          <w:sz w:val="20"/>
        </w:rPr>
        <w:t>–</w:t>
      </w:r>
      <w:r>
        <w:rPr>
          <w:i/>
          <w:spacing w:val="-5"/>
          <w:sz w:val="20"/>
        </w:rPr>
        <w:t xml:space="preserve"> </w:t>
      </w:r>
      <w:r>
        <w:rPr>
          <w:i/>
          <w:sz w:val="20"/>
        </w:rPr>
        <w:t>Anti‐Dumping</w:t>
      </w:r>
      <w:r>
        <w:rPr>
          <w:i/>
          <w:spacing w:val="-4"/>
          <w:sz w:val="20"/>
        </w:rPr>
        <w:t xml:space="preserve"> </w:t>
      </w:r>
      <w:r>
        <w:rPr>
          <w:i/>
          <w:sz w:val="20"/>
        </w:rPr>
        <w:t>and</w:t>
      </w:r>
      <w:r>
        <w:rPr>
          <w:i/>
          <w:spacing w:val="-5"/>
          <w:sz w:val="20"/>
        </w:rPr>
        <w:t xml:space="preserve"> </w:t>
      </w:r>
      <w:r>
        <w:rPr>
          <w:i/>
          <w:sz w:val="20"/>
        </w:rPr>
        <w:t>Countervailing</w:t>
      </w:r>
      <w:r>
        <w:rPr>
          <w:i/>
          <w:spacing w:val="-5"/>
          <w:sz w:val="20"/>
        </w:rPr>
        <w:t xml:space="preserve"> </w:t>
      </w:r>
      <w:r>
        <w:rPr>
          <w:i/>
          <w:sz w:val="20"/>
        </w:rPr>
        <w:t>Duty</w:t>
      </w:r>
      <w:r>
        <w:rPr>
          <w:i/>
          <w:spacing w:val="-4"/>
          <w:sz w:val="20"/>
        </w:rPr>
        <w:t xml:space="preserve"> </w:t>
      </w:r>
      <w:r>
        <w:rPr>
          <w:i/>
          <w:spacing w:val="-2"/>
          <w:sz w:val="20"/>
        </w:rPr>
        <w:t>Measures</w:t>
      </w:r>
      <w:r>
        <w:rPr>
          <w:i/>
          <w:sz w:val="20"/>
        </w:rPr>
        <w:tab/>
      </w:r>
      <w:r>
        <w:rPr>
          <w:sz w:val="20"/>
        </w:rPr>
        <w:t>Australia's</w:t>
      </w:r>
      <w:r>
        <w:rPr>
          <w:spacing w:val="-7"/>
          <w:sz w:val="20"/>
        </w:rPr>
        <w:t xml:space="preserve"> </w:t>
      </w:r>
      <w:r>
        <w:rPr>
          <w:sz w:val="20"/>
        </w:rPr>
        <w:t>First</w:t>
      </w:r>
      <w:r>
        <w:rPr>
          <w:spacing w:val="-2"/>
          <w:sz w:val="20"/>
        </w:rPr>
        <w:t xml:space="preserve"> </w:t>
      </w:r>
      <w:r>
        <w:rPr>
          <w:sz w:val="20"/>
        </w:rPr>
        <w:t>Written</w:t>
      </w:r>
      <w:r>
        <w:rPr>
          <w:spacing w:val="-2"/>
          <w:sz w:val="20"/>
        </w:rPr>
        <w:t xml:space="preserve"> Submission</w:t>
      </w:r>
    </w:p>
    <w:p w14:paraId="51DE8F7E" w14:textId="77777777" w:rsidR="0010369C" w:rsidRDefault="008E43AE">
      <w:pPr>
        <w:tabs>
          <w:tab w:val="left" w:pos="8228"/>
        </w:tabs>
        <w:spacing w:before="1"/>
        <w:ind w:left="239"/>
        <w:jc w:val="both"/>
        <w:rPr>
          <w:sz w:val="20"/>
        </w:rPr>
      </w:pPr>
      <w:r>
        <w:rPr>
          <w:i/>
          <w:sz w:val="20"/>
        </w:rPr>
        <w:t>on</w:t>
      </w:r>
      <w:r>
        <w:rPr>
          <w:i/>
          <w:spacing w:val="-1"/>
          <w:sz w:val="20"/>
        </w:rPr>
        <w:t xml:space="preserve"> </w:t>
      </w:r>
      <w:r>
        <w:rPr>
          <w:i/>
          <w:sz w:val="20"/>
        </w:rPr>
        <w:t>Wine</w:t>
      </w:r>
      <w:r>
        <w:rPr>
          <w:i/>
          <w:spacing w:val="-1"/>
          <w:sz w:val="20"/>
        </w:rPr>
        <w:t xml:space="preserve"> </w:t>
      </w:r>
      <w:r>
        <w:rPr>
          <w:i/>
          <w:sz w:val="20"/>
        </w:rPr>
        <w:t>from</w:t>
      </w:r>
      <w:r>
        <w:rPr>
          <w:i/>
          <w:spacing w:val="-3"/>
          <w:sz w:val="20"/>
        </w:rPr>
        <w:t xml:space="preserve"> </w:t>
      </w:r>
      <w:r>
        <w:rPr>
          <w:i/>
          <w:sz w:val="20"/>
        </w:rPr>
        <w:t>Australia</w:t>
      </w:r>
      <w:r>
        <w:rPr>
          <w:i/>
          <w:spacing w:val="-1"/>
          <w:sz w:val="20"/>
        </w:rPr>
        <w:t xml:space="preserve"> </w:t>
      </w:r>
      <w:r>
        <w:rPr>
          <w:spacing w:val="-2"/>
          <w:sz w:val="20"/>
        </w:rPr>
        <w:t>(DS602)</w:t>
      </w:r>
      <w:r>
        <w:rPr>
          <w:sz w:val="20"/>
        </w:rPr>
        <w:tab/>
        <w:t>29</w:t>
      </w:r>
      <w:r>
        <w:rPr>
          <w:spacing w:val="-1"/>
          <w:sz w:val="20"/>
        </w:rPr>
        <w:t xml:space="preserve"> </w:t>
      </w:r>
      <w:r>
        <w:rPr>
          <w:sz w:val="20"/>
        </w:rPr>
        <w:t>April</w:t>
      </w:r>
      <w:r>
        <w:rPr>
          <w:spacing w:val="-2"/>
          <w:sz w:val="20"/>
        </w:rPr>
        <w:t xml:space="preserve"> </w:t>
      </w:r>
      <w:r>
        <w:rPr>
          <w:spacing w:val="-4"/>
          <w:sz w:val="20"/>
        </w:rPr>
        <w:t>2022</w:t>
      </w:r>
    </w:p>
    <w:p w14:paraId="51DE8F7F" w14:textId="77777777" w:rsidR="0010369C" w:rsidRDefault="008E43AE">
      <w:pPr>
        <w:pStyle w:val="ListParagraph"/>
        <w:numPr>
          <w:ilvl w:val="1"/>
          <w:numId w:val="53"/>
        </w:numPr>
        <w:tabs>
          <w:tab w:val="left" w:pos="5340"/>
          <w:tab w:val="left" w:pos="5341"/>
        </w:tabs>
        <w:spacing w:before="34" w:line="360" w:lineRule="auto"/>
        <w:ind w:right="613"/>
        <w:jc w:val="both"/>
        <w:rPr>
          <w:sz w:val="24"/>
        </w:rPr>
      </w:pPr>
      <w:r>
        <w:rPr>
          <w:sz w:val="24"/>
          <w:u w:val="single"/>
        </w:rPr>
        <w:t>The</w:t>
      </w:r>
      <w:r>
        <w:rPr>
          <w:spacing w:val="-8"/>
          <w:sz w:val="24"/>
          <w:u w:val="single"/>
        </w:rPr>
        <w:t xml:space="preserve"> </w:t>
      </w:r>
      <w:r>
        <w:rPr>
          <w:sz w:val="24"/>
          <w:u w:val="single"/>
        </w:rPr>
        <w:t>adjustments</w:t>
      </w:r>
      <w:r>
        <w:rPr>
          <w:spacing w:val="-8"/>
          <w:sz w:val="24"/>
          <w:u w:val="single"/>
        </w:rPr>
        <w:t xml:space="preserve"> </w:t>
      </w:r>
      <w:r>
        <w:rPr>
          <w:sz w:val="24"/>
          <w:u w:val="single"/>
        </w:rPr>
        <w:t>applied</w:t>
      </w:r>
      <w:r>
        <w:rPr>
          <w:spacing w:val="-9"/>
          <w:sz w:val="24"/>
          <w:u w:val="single"/>
        </w:rPr>
        <w:t xml:space="preserve"> </w:t>
      </w:r>
      <w:r>
        <w:rPr>
          <w:sz w:val="24"/>
          <w:u w:val="single"/>
        </w:rPr>
        <w:t>by</w:t>
      </w:r>
      <w:r>
        <w:rPr>
          <w:spacing w:val="-8"/>
          <w:sz w:val="24"/>
          <w:u w:val="single"/>
        </w:rPr>
        <w:t xml:space="preserve"> </w:t>
      </w:r>
      <w:r>
        <w:rPr>
          <w:sz w:val="24"/>
          <w:u w:val="single"/>
        </w:rPr>
        <w:t>MOFCOM</w:t>
      </w:r>
      <w:r>
        <w:rPr>
          <w:spacing w:val="-8"/>
          <w:sz w:val="24"/>
          <w:u w:val="single"/>
        </w:rPr>
        <w:t xml:space="preserve"> </w:t>
      </w:r>
      <w:r>
        <w:rPr>
          <w:sz w:val="24"/>
          <w:u w:val="single"/>
        </w:rPr>
        <w:t>to</w:t>
      </w:r>
      <w:r>
        <w:rPr>
          <w:sz w:val="24"/>
        </w:rPr>
        <w:t xml:space="preserve"> </w:t>
      </w:r>
      <w:r>
        <w:rPr>
          <w:sz w:val="24"/>
          <w:u w:val="single"/>
        </w:rPr>
        <w:t>the</w:t>
      </w:r>
      <w:r>
        <w:rPr>
          <w:spacing w:val="-14"/>
          <w:sz w:val="24"/>
          <w:u w:val="single"/>
        </w:rPr>
        <w:t xml:space="preserve"> </w:t>
      </w:r>
      <w:r>
        <w:rPr>
          <w:sz w:val="24"/>
          <w:u w:val="single"/>
        </w:rPr>
        <w:t>CIF</w:t>
      </w:r>
      <w:r>
        <w:rPr>
          <w:spacing w:val="-14"/>
          <w:sz w:val="24"/>
          <w:u w:val="single"/>
        </w:rPr>
        <w:t xml:space="preserve"> </w:t>
      </w:r>
      <w:r>
        <w:rPr>
          <w:sz w:val="24"/>
          <w:u w:val="single"/>
        </w:rPr>
        <w:t>prices</w:t>
      </w:r>
      <w:r>
        <w:rPr>
          <w:spacing w:val="-13"/>
          <w:sz w:val="24"/>
          <w:u w:val="single"/>
        </w:rPr>
        <w:t xml:space="preserve"> </w:t>
      </w:r>
      <w:r>
        <w:rPr>
          <w:sz w:val="24"/>
          <w:u w:val="single"/>
        </w:rPr>
        <w:t>provided</w:t>
      </w:r>
      <w:r>
        <w:rPr>
          <w:spacing w:val="-14"/>
          <w:sz w:val="24"/>
          <w:u w:val="single"/>
        </w:rPr>
        <w:t xml:space="preserve"> </w:t>
      </w:r>
      <w:r>
        <w:rPr>
          <w:sz w:val="24"/>
          <w:u w:val="single"/>
        </w:rPr>
        <w:t>by</w:t>
      </w:r>
      <w:r>
        <w:rPr>
          <w:spacing w:val="-13"/>
          <w:sz w:val="24"/>
          <w:u w:val="single"/>
        </w:rPr>
        <w:t xml:space="preserve"> </w:t>
      </w:r>
      <w:r>
        <w:rPr>
          <w:sz w:val="24"/>
          <w:u w:val="single"/>
        </w:rPr>
        <w:t>China</w:t>
      </w:r>
      <w:r>
        <w:rPr>
          <w:spacing w:val="-14"/>
          <w:sz w:val="24"/>
          <w:u w:val="single"/>
        </w:rPr>
        <w:t xml:space="preserve"> </w:t>
      </w:r>
      <w:r>
        <w:rPr>
          <w:sz w:val="24"/>
          <w:u w:val="single"/>
        </w:rPr>
        <w:t>Customs</w:t>
      </w:r>
      <w:r>
        <w:rPr>
          <w:sz w:val="24"/>
        </w:rPr>
        <w:t xml:space="preserve"> </w:t>
      </w:r>
      <w:r>
        <w:rPr>
          <w:sz w:val="24"/>
          <w:u w:val="single"/>
        </w:rPr>
        <w:t>do not account for the different</w:t>
      </w:r>
      <w:r>
        <w:rPr>
          <w:sz w:val="24"/>
        </w:rPr>
        <w:t xml:space="preserve"> </w:t>
      </w:r>
      <w:r>
        <w:rPr>
          <w:sz w:val="24"/>
          <w:u w:val="single"/>
        </w:rPr>
        <w:t>conditions of sale</w:t>
      </w:r>
    </w:p>
    <w:p w14:paraId="51DE8F80" w14:textId="77777777" w:rsidR="0010369C" w:rsidRDefault="0010369C">
      <w:pPr>
        <w:pStyle w:val="BodyText"/>
        <w:spacing w:before="11"/>
        <w:rPr>
          <w:sz w:val="8"/>
        </w:rPr>
      </w:pPr>
    </w:p>
    <w:p w14:paraId="51DE8F81" w14:textId="77777777" w:rsidR="0010369C" w:rsidRDefault="008E43AE">
      <w:pPr>
        <w:pStyle w:val="BodyText"/>
        <w:spacing w:before="51" w:line="360" w:lineRule="auto"/>
        <w:ind w:left="236" w:right="613" w:firstLine="852"/>
        <w:jc w:val="both"/>
      </w:pPr>
      <w:r>
        <w:rPr>
          <w:noProof/>
        </w:rPr>
        <w:drawing>
          <wp:anchor distT="0" distB="0" distL="0" distR="0" simplePos="0" relativeHeight="251222528" behindDoc="1" locked="0" layoutInCell="1" allowOverlap="1" wp14:anchorId="51DEA4C7" wp14:editId="51DEA4C8">
            <wp:simplePos x="0" y="0"/>
            <wp:positionH relativeFrom="page">
              <wp:posOffset>902208</wp:posOffset>
            </wp:positionH>
            <wp:positionV relativeFrom="paragraph">
              <wp:posOffset>81314</wp:posOffset>
            </wp:positionV>
            <wp:extent cx="262127" cy="100753"/>
            <wp:effectExtent l="0" t="0" r="0" b="0"/>
            <wp:wrapNone/>
            <wp:docPr id="1187" name="image6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 name="image614.png"/>
                    <pic:cNvPicPr/>
                  </pic:nvPicPr>
                  <pic:blipFill>
                    <a:blip r:embed="rId804" cstate="print"/>
                    <a:stretch>
                      <a:fillRect/>
                    </a:stretch>
                  </pic:blipFill>
                  <pic:spPr>
                    <a:xfrm>
                      <a:off x="0" y="0"/>
                      <a:ext cx="262127" cy="100753"/>
                    </a:xfrm>
                    <a:prstGeom prst="rect">
                      <a:avLst/>
                    </a:prstGeom>
                  </pic:spPr>
                </pic:pic>
              </a:graphicData>
            </a:graphic>
          </wp:anchor>
        </w:drawing>
      </w:r>
      <w:r>
        <w:t>Based on MOFCOM's description of the adjustments that it applied, Australia understands that the CIF price was converted to yuan; one or more adjustments to account for the addition of customs/import tariffs was applied; and one or more adjustments to acco</w:t>
      </w:r>
      <w:r>
        <w:t>unt for the addition of "customs clearance fees" was applied.</w:t>
      </w:r>
      <w:r>
        <w:rPr>
          <w:vertAlign w:val="superscript"/>
        </w:rPr>
        <w:t>697</w:t>
      </w:r>
      <w:r>
        <w:t xml:space="preserve"> There is nothing to indicate that these adjustments accounted for the different conditions of sale between the CIF price for subject imports and the ex‐factory price for domestic like product</w:t>
      </w:r>
      <w:r>
        <w:t>s. This is because the</w:t>
      </w:r>
      <w:r>
        <w:rPr>
          <w:spacing w:val="-2"/>
        </w:rPr>
        <w:t xml:space="preserve"> </w:t>
      </w:r>
      <w:r>
        <w:t>adjustments</w:t>
      </w:r>
      <w:r>
        <w:rPr>
          <w:spacing w:val="-2"/>
        </w:rPr>
        <w:t xml:space="preserve"> </w:t>
      </w:r>
      <w:r>
        <w:t>MOFCOM applied</w:t>
      </w:r>
      <w:r>
        <w:rPr>
          <w:spacing w:val="-2"/>
        </w:rPr>
        <w:t xml:space="preserve"> </w:t>
      </w:r>
      <w:r>
        <w:t>to</w:t>
      </w:r>
      <w:r>
        <w:rPr>
          <w:spacing w:val="-1"/>
        </w:rPr>
        <w:t xml:space="preserve"> </w:t>
      </w:r>
      <w:r>
        <w:t>the</w:t>
      </w:r>
      <w:r>
        <w:rPr>
          <w:spacing w:val="-1"/>
        </w:rPr>
        <w:t xml:space="preserve"> </w:t>
      </w:r>
      <w:r>
        <w:t>CIF</w:t>
      </w:r>
      <w:r>
        <w:rPr>
          <w:spacing w:val="-1"/>
        </w:rPr>
        <w:t xml:space="preserve"> </w:t>
      </w:r>
      <w:r>
        <w:t>price</w:t>
      </w:r>
      <w:r>
        <w:rPr>
          <w:spacing w:val="-2"/>
        </w:rPr>
        <w:t xml:space="preserve"> </w:t>
      </w:r>
      <w:r>
        <w:t>do</w:t>
      </w:r>
      <w:r>
        <w:rPr>
          <w:spacing w:val="-1"/>
        </w:rPr>
        <w:t xml:space="preserve"> </w:t>
      </w:r>
      <w:r>
        <w:t>not</w:t>
      </w:r>
      <w:r>
        <w:rPr>
          <w:spacing w:val="-1"/>
        </w:rPr>
        <w:t xml:space="preserve"> </w:t>
      </w:r>
      <w:r>
        <w:t>account</w:t>
      </w:r>
      <w:r>
        <w:rPr>
          <w:spacing w:val="-2"/>
        </w:rPr>
        <w:t xml:space="preserve"> </w:t>
      </w:r>
      <w:r>
        <w:t>for</w:t>
      </w:r>
      <w:r>
        <w:rPr>
          <w:spacing w:val="-1"/>
        </w:rPr>
        <w:t xml:space="preserve"> </w:t>
      </w:r>
      <w:r>
        <w:t>the</w:t>
      </w:r>
      <w:r>
        <w:rPr>
          <w:spacing w:val="-1"/>
        </w:rPr>
        <w:t xml:space="preserve"> </w:t>
      </w:r>
      <w:r>
        <w:t xml:space="preserve">additional </w:t>
      </w:r>
      <w:r>
        <w:rPr>
          <w:w w:val="95"/>
        </w:rPr>
        <w:t>costs</w:t>
      </w:r>
      <w:r>
        <w:rPr>
          <w:spacing w:val="8"/>
        </w:rPr>
        <w:t xml:space="preserve"> </w:t>
      </w:r>
      <w:r>
        <w:rPr>
          <w:w w:val="95"/>
        </w:rPr>
        <w:t>associated</w:t>
      </w:r>
      <w:r>
        <w:rPr>
          <w:spacing w:val="8"/>
        </w:rPr>
        <w:t xml:space="preserve"> </w:t>
      </w:r>
      <w:r>
        <w:rPr>
          <w:w w:val="95"/>
        </w:rPr>
        <w:t>with</w:t>
      </w:r>
      <w:r>
        <w:rPr>
          <w:spacing w:val="9"/>
        </w:rPr>
        <w:t xml:space="preserve"> </w:t>
      </w:r>
      <w:r>
        <w:rPr>
          <w:w w:val="95"/>
        </w:rPr>
        <w:t>making</w:t>
      </w:r>
      <w:r>
        <w:rPr>
          <w:spacing w:val="9"/>
        </w:rPr>
        <w:t xml:space="preserve"> </w:t>
      </w:r>
      <w:r>
        <w:rPr>
          <w:w w:val="95"/>
        </w:rPr>
        <w:t>subject</w:t>
      </w:r>
      <w:r>
        <w:rPr>
          <w:spacing w:val="9"/>
        </w:rPr>
        <w:t xml:space="preserve"> </w:t>
      </w:r>
      <w:r>
        <w:rPr>
          <w:w w:val="95"/>
        </w:rPr>
        <w:t>imports</w:t>
      </w:r>
      <w:r>
        <w:rPr>
          <w:spacing w:val="10"/>
        </w:rPr>
        <w:t xml:space="preserve"> </w:t>
      </w:r>
      <w:r>
        <w:rPr>
          <w:w w:val="95"/>
        </w:rPr>
        <w:t>available</w:t>
      </w:r>
      <w:r>
        <w:rPr>
          <w:spacing w:val="10"/>
        </w:rPr>
        <w:t xml:space="preserve"> </w:t>
      </w:r>
      <w:r>
        <w:rPr>
          <w:w w:val="95"/>
        </w:rPr>
        <w:t>for</w:t>
      </w:r>
      <w:r>
        <w:rPr>
          <w:spacing w:val="11"/>
        </w:rPr>
        <w:t xml:space="preserve"> </w:t>
      </w:r>
      <w:r>
        <w:rPr>
          <w:w w:val="95"/>
        </w:rPr>
        <w:t>inland</w:t>
      </w:r>
      <w:r>
        <w:rPr>
          <w:spacing w:val="10"/>
        </w:rPr>
        <w:t xml:space="preserve"> </w:t>
      </w:r>
      <w:r>
        <w:rPr>
          <w:w w:val="95"/>
        </w:rPr>
        <w:t>transport</w:t>
      </w:r>
      <w:r>
        <w:rPr>
          <w:spacing w:val="9"/>
        </w:rPr>
        <w:t xml:space="preserve"> </w:t>
      </w:r>
      <w:r>
        <w:rPr>
          <w:w w:val="95"/>
        </w:rPr>
        <w:t>to</w:t>
      </w:r>
      <w:r>
        <w:rPr>
          <w:spacing w:val="11"/>
        </w:rPr>
        <w:t xml:space="preserve"> </w:t>
      </w:r>
      <w:r>
        <w:rPr>
          <w:w w:val="95"/>
        </w:rPr>
        <w:t>a</w:t>
      </w:r>
      <w:r>
        <w:rPr>
          <w:spacing w:val="9"/>
        </w:rPr>
        <w:t xml:space="preserve"> </w:t>
      </w:r>
      <w:r>
        <w:rPr>
          <w:w w:val="95"/>
        </w:rPr>
        <w:t>buyer</w:t>
      </w:r>
      <w:r>
        <w:rPr>
          <w:spacing w:val="10"/>
        </w:rPr>
        <w:t xml:space="preserve"> </w:t>
      </w:r>
      <w:r>
        <w:rPr>
          <w:w w:val="95"/>
        </w:rPr>
        <w:t>in</w:t>
      </w:r>
      <w:r>
        <w:rPr>
          <w:spacing w:val="9"/>
        </w:rPr>
        <w:t xml:space="preserve"> </w:t>
      </w:r>
      <w:r>
        <w:rPr>
          <w:spacing w:val="-2"/>
          <w:w w:val="95"/>
        </w:rPr>
        <w:t>China.</w:t>
      </w:r>
    </w:p>
    <w:p w14:paraId="51DE8F82" w14:textId="77777777" w:rsidR="0010369C" w:rsidRDefault="0010369C">
      <w:pPr>
        <w:pStyle w:val="BodyText"/>
        <w:rPr>
          <w:sz w:val="9"/>
        </w:rPr>
      </w:pPr>
    </w:p>
    <w:p w14:paraId="51DE8F83" w14:textId="77777777" w:rsidR="0010369C" w:rsidRDefault="008E43AE">
      <w:pPr>
        <w:pStyle w:val="BodyText"/>
        <w:spacing w:before="52"/>
        <w:ind w:left="1089"/>
      </w:pPr>
      <w:r>
        <w:rPr>
          <w:noProof/>
        </w:rPr>
        <w:drawing>
          <wp:anchor distT="0" distB="0" distL="0" distR="0" simplePos="0" relativeHeight="250676736" behindDoc="0" locked="0" layoutInCell="1" allowOverlap="1" wp14:anchorId="51DEA4C9" wp14:editId="51DEA4CA">
            <wp:simplePos x="0" y="0"/>
            <wp:positionH relativeFrom="page">
              <wp:posOffset>902208</wp:posOffset>
            </wp:positionH>
            <wp:positionV relativeFrom="paragraph">
              <wp:posOffset>81949</wp:posOffset>
            </wp:positionV>
            <wp:extent cx="262127" cy="100753"/>
            <wp:effectExtent l="0" t="0" r="0" b="0"/>
            <wp:wrapNone/>
            <wp:docPr id="1189" name="image6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 name="image615.png"/>
                    <pic:cNvPicPr/>
                  </pic:nvPicPr>
                  <pic:blipFill>
                    <a:blip r:embed="rId805" cstate="print"/>
                    <a:stretch>
                      <a:fillRect/>
                    </a:stretch>
                  </pic:blipFill>
                  <pic:spPr>
                    <a:xfrm>
                      <a:off x="0" y="0"/>
                      <a:ext cx="262127" cy="100753"/>
                    </a:xfrm>
                    <a:prstGeom prst="rect">
                      <a:avLst/>
                    </a:prstGeom>
                  </pic:spPr>
                </pic:pic>
              </a:graphicData>
            </a:graphic>
          </wp:anchor>
        </w:drawing>
      </w:r>
      <w:r>
        <w:t>In</w:t>
      </w:r>
      <w:r>
        <w:rPr>
          <w:spacing w:val="-9"/>
        </w:rPr>
        <w:t xml:space="preserve"> </w:t>
      </w:r>
      <w:r>
        <w:t>particular,</w:t>
      </w:r>
      <w:r>
        <w:rPr>
          <w:spacing w:val="-7"/>
        </w:rPr>
        <w:t xml:space="preserve"> </w:t>
      </w:r>
      <w:r>
        <w:t>MOFCOM</w:t>
      </w:r>
      <w:r>
        <w:rPr>
          <w:spacing w:val="-6"/>
        </w:rPr>
        <w:t xml:space="preserve"> </w:t>
      </w:r>
      <w:r>
        <w:t>did</w:t>
      </w:r>
      <w:r>
        <w:rPr>
          <w:spacing w:val="-8"/>
        </w:rPr>
        <w:t xml:space="preserve"> </w:t>
      </w:r>
      <w:r>
        <w:t>not</w:t>
      </w:r>
      <w:r>
        <w:rPr>
          <w:spacing w:val="-8"/>
        </w:rPr>
        <w:t xml:space="preserve"> </w:t>
      </w:r>
      <w:r>
        <w:t>apply</w:t>
      </w:r>
      <w:r>
        <w:rPr>
          <w:spacing w:val="-7"/>
        </w:rPr>
        <w:t xml:space="preserve"> </w:t>
      </w:r>
      <w:r>
        <w:t>adjustments</w:t>
      </w:r>
      <w:r>
        <w:rPr>
          <w:spacing w:val="-8"/>
        </w:rPr>
        <w:t xml:space="preserve"> </w:t>
      </w:r>
      <w:r>
        <w:t>to</w:t>
      </w:r>
      <w:r>
        <w:rPr>
          <w:spacing w:val="-7"/>
        </w:rPr>
        <w:t xml:space="preserve"> </w:t>
      </w:r>
      <w:r>
        <w:t>reflect</w:t>
      </w:r>
      <w:r>
        <w:rPr>
          <w:spacing w:val="-8"/>
        </w:rPr>
        <w:t xml:space="preserve"> </w:t>
      </w:r>
      <w:r>
        <w:t>costs</w:t>
      </w:r>
      <w:r>
        <w:rPr>
          <w:spacing w:val="-8"/>
        </w:rPr>
        <w:t xml:space="preserve"> </w:t>
      </w:r>
      <w:r>
        <w:t>associated</w:t>
      </w:r>
      <w:r>
        <w:rPr>
          <w:spacing w:val="-8"/>
        </w:rPr>
        <w:t xml:space="preserve"> </w:t>
      </w:r>
      <w:r>
        <w:rPr>
          <w:spacing w:val="-2"/>
        </w:rPr>
        <w:t>with:</w:t>
      </w:r>
    </w:p>
    <w:p w14:paraId="51DE8F84" w14:textId="77777777" w:rsidR="0010369C" w:rsidRDefault="0010369C">
      <w:pPr>
        <w:pStyle w:val="BodyText"/>
        <w:spacing w:before="12"/>
      </w:pPr>
    </w:p>
    <w:p w14:paraId="51DE8F85" w14:textId="77777777" w:rsidR="0010369C" w:rsidRDefault="008E43AE">
      <w:pPr>
        <w:pStyle w:val="ListParagraph"/>
        <w:numPr>
          <w:ilvl w:val="2"/>
          <w:numId w:val="52"/>
        </w:numPr>
        <w:tabs>
          <w:tab w:val="left" w:pos="1939"/>
          <w:tab w:val="left" w:pos="1940"/>
        </w:tabs>
        <w:spacing w:before="0" w:line="355" w:lineRule="auto"/>
        <w:ind w:right="614"/>
        <w:jc w:val="left"/>
        <w:rPr>
          <w:sz w:val="24"/>
        </w:rPr>
      </w:pPr>
      <w:r>
        <w:rPr>
          <w:sz w:val="24"/>
        </w:rPr>
        <w:t>stevedoring and</w:t>
      </w:r>
      <w:r>
        <w:rPr>
          <w:spacing w:val="27"/>
          <w:sz w:val="24"/>
        </w:rPr>
        <w:t xml:space="preserve"> </w:t>
      </w:r>
      <w:r>
        <w:rPr>
          <w:sz w:val="24"/>
        </w:rPr>
        <w:t>logistics</w:t>
      </w:r>
      <w:r>
        <w:rPr>
          <w:spacing w:val="28"/>
          <w:sz w:val="24"/>
        </w:rPr>
        <w:t xml:space="preserve"> </w:t>
      </w:r>
      <w:r>
        <w:rPr>
          <w:sz w:val="24"/>
        </w:rPr>
        <w:t>costs</w:t>
      </w:r>
      <w:r>
        <w:rPr>
          <w:spacing w:val="27"/>
          <w:sz w:val="24"/>
        </w:rPr>
        <w:t xml:space="preserve"> </w:t>
      </w:r>
      <w:r>
        <w:rPr>
          <w:sz w:val="24"/>
        </w:rPr>
        <w:t>associated</w:t>
      </w:r>
      <w:r>
        <w:rPr>
          <w:spacing w:val="27"/>
          <w:sz w:val="24"/>
        </w:rPr>
        <w:t xml:space="preserve"> </w:t>
      </w:r>
      <w:r>
        <w:rPr>
          <w:sz w:val="24"/>
        </w:rPr>
        <w:t>with</w:t>
      </w:r>
      <w:r>
        <w:rPr>
          <w:spacing w:val="27"/>
          <w:sz w:val="24"/>
        </w:rPr>
        <w:t xml:space="preserve"> </w:t>
      </w:r>
      <w:r>
        <w:rPr>
          <w:sz w:val="24"/>
        </w:rPr>
        <w:t>unloading</w:t>
      </w:r>
      <w:r>
        <w:rPr>
          <w:spacing w:val="28"/>
          <w:sz w:val="24"/>
        </w:rPr>
        <w:t xml:space="preserve"> </w:t>
      </w:r>
      <w:r>
        <w:rPr>
          <w:sz w:val="24"/>
        </w:rPr>
        <w:t>subject</w:t>
      </w:r>
      <w:r>
        <w:rPr>
          <w:spacing w:val="27"/>
          <w:sz w:val="24"/>
        </w:rPr>
        <w:t xml:space="preserve"> </w:t>
      </w:r>
      <w:r>
        <w:rPr>
          <w:sz w:val="24"/>
        </w:rPr>
        <w:t>imports from the ship;</w:t>
      </w:r>
    </w:p>
    <w:p w14:paraId="51DE8F86" w14:textId="77777777" w:rsidR="0010369C" w:rsidRDefault="008E43AE">
      <w:pPr>
        <w:pStyle w:val="ListParagraph"/>
        <w:numPr>
          <w:ilvl w:val="2"/>
          <w:numId w:val="52"/>
        </w:numPr>
        <w:tabs>
          <w:tab w:val="left" w:pos="1939"/>
          <w:tab w:val="left" w:pos="1940"/>
        </w:tabs>
        <w:spacing w:before="131" w:line="355" w:lineRule="auto"/>
        <w:ind w:right="613"/>
        <w:jc w:val="left"/>
        <w:rPr>
          <w:sz w:val="24"/>
        </w:rPr>
      </w:pPr>
      <w:r>
        <w:rPr>
          <w:sz w:val="24"/>
        </w:rPr>
        <w:t>transportation costs associated with moving subject imports from the dock to a warehousing facility; and</w:t>
      </w:r>
    </w:p>
    <w:p w14:paraId="51DE8F87" w14:textId="77777777" w:rsidR="0010369C" w:rsidRDefault="008E43AE">
      <w:pPr>
        <w:pStyle w:val="ListParagraph"/>
        <w:numPr>
          <w:ilvl w:val="2"/>
          <w:numId w:val="52"/>
        </w:numPr>
        <w:tabs>
          <w:tab w:val="left" w:pos="1939"/>
          <w:tab w:val="left" w:pos="1940"/>
        </w:tabs>
        <w:spacing w:before="132"/>
        <w:ind w:hanging="852"/>
        <w:jc w:val="left"/>
        <w:rPr>
          <w:sz w:val="24"/>
        </w:rPr>
      </w:pPr>
      <w:r>
        <w:rPr>
          <w:sz w:val="24"/>
        </w:rPr>
        <w:t>warehousing</w:t>
      </w:r>
      <w:r>
        <w:rPr>
          <w:spacing w:val="-9"/>
          <w:sz w:val="24"/>
        </w:rPr>
        <w:t xml:space="preserve"> </w:t>
      </w:r>
      <w:r>
        <w:rPr>
          <w:sz w:val="24"/>
        </w:rPr>
        <w:t>and</w:t>
      </w:r>
      <w:r>
        <w:rPr>
          <w:spacing w:val="-9"/>
          <w:sz w:val="24"/>
        </w:rPr>
        <w:t xml:space="preserve"> </w:t>
      </w:r>
      <w:r>
        <w:rPr>
          <w:sz w:val="24"/>
        </w:rPr>
        <w:t>storage</w:t>
      </w:r>
      <w:r>
        <w:rPr>
          <w:spacing w:val="-8"/>
          <w:sz w:val="24"/>
        </w:rPr>
        <w:t xml:space="preserve"> </w:t>
      </w:r>
      <w:r>
        <w:rPr>
          <w:spacing w:val="-2"/>
          <w:sz w:val="24"/>
        </w:rPr>
        <w:t>costs.</w:t>
      </w:r>
    </w:p>
    <w:p w14:paraId="51DE8F88" w14:textId="77777777" w:rsidR="0010369C" w:rsidRDefault="0010369C">
      <w:pPr>
        <w:pStyle w:val="BodyText"/>
        <w:spacing w:before="6"/>
        <w:rPr>
          <w:sz w:val="17"/>
        </w:rPr>
      </w:pPr>
    </w:p>
    <w:p w14:paraId="51DE8F89" w14:textId="77777777" w:rsidR="0010369C" w:rsidRDefault="008E43AE">
      <w:pPr>
        <w:pStyle w:val="BodyText"/>
        <w:spacing w:before="52" w:line="360" w:lineRule="auto"/>
        <w:ind w:left="237" w:right="613" w:firstLine="851"/>
        <w:jc w:val="both"/>
      </w:pPr>
      <w:r>
        <w:rPr>
          <w:noProof/>
        </w:rPr>
        <w:drawing>
          <wp:anchor distT="0" distB="0" distL="0" distR="0" simplePos="0" relativeHeight="251223552" behindDoc="1" locked="0" layoutInCell="1" allowOverlap="1" wp14:anchorId="51DEA4CB" wp14:editId="51DEA4CC">
            <wp:simplePos x="0" y="0"/>
            <wp:positionH relativeFrom="page">
              <wp:posOffset>902208</wp:posOffset>
            </wp:positionH>
            <wp:positionV relativeFrom="paragraph">
              <wp:posOffset>81358</wp:posOffset>
            </wp:positionV>
            <wp:extent cx="262127" cy="103631"/>
            <wp:effectExtent l="0" t="0" r="0" b="0"/>
            <wp:wrapNone/>
            <wp:docPr id="1191" name="image6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 name="image616.png"/>
                    <pic:cNvPicPr/>
                  </pic:nvPicPr>
                  <pic:blipFill>
                    <a:blip r:embed="rId806" cstate="print"/>
                    <a:stretch>
                      <a:fillRect/>
                    </a:stretch>
                  </pic:blipFill>
                  <pic:spPr>
                    <a:xfrm>
                      <a:off x="0" y="0"/>
                      <a:ext cx="262127" cy="103631"/>
                    </a:xfrm>
                    <a:prstGeom prst="rect">
                      <a:avLst/>
                    </a:prstGeom>
                  </pic:spPr>
                </pic:pic>
              </a:graphicData>
            </a:graphic>
          </wp:anchor>
        </w:drawing>
      </w:r>
      <w:r>
        <w:t>MOFCOM's failures to: (i) account for different conditions of sale between the CIF price for subject imports and the ex‐factory price for domestic like products, and (ii) apply appropriate adjustments to account for these differences, mea</w:t>
      </w:r>
      <w:r>
        <w:t>ns that the adjusted CIF price of subject imports and the factory price of domestic like products calculated by MOFCOM were not comparable for the purposes of the</w:t>
      </w:r>
      <w:r>
        <w:rPr>
          <w:spacing w:val="-1"/>
        </w:rPr>
        <w:t xml:space="preserve"> </w:t>
      </w:r>
      <w:r>
        <w:t>consideration</w:t>
      </w:r>
      <w:r>
        <w:rPr>
          <w:spacing w:val="-2"/>
        </w:rPr>
        <w:t xml:space="preserve"> </w:t>
      </w:r>
      <w:r>
        <w:t>of price effects</w:t>
      </w:r>
      <w:r>
        <w:rPr>
          <w:spacing w:val="-1"/>
        </w:rPr>
        <w:t xml:space="preserve"> </w:t>
      </w:r>
      <w:r>
        <w:t>under Article 3.2. As a result, MOFCOM's price effects analysi</w:t>
      </w:r>
      <w:r>
        <w:t>s is inconsistent with China's obligations under Articles 3.1 and 3.2 of the Anti‐Dumping Agreement.</w:t>
      </w:r>
    </w:p>
    <w:p w14:paraId="51DE8F8A" w14:textId="77777777" w:rsidR="0010369C" w:rsidRDefault="0010369C">
      <w:pPr>
        <w:pStyle w:val="BodyText"/>
        <w:rPr>
          <w:sz w:val="20"/>
        </w:rPr>
      </w:pPr>
    </w:p>
    <w:p w14:paraId="51DE8F8B" w14:textId="77777777" w:rsidR="0010369C" w:rsidRDefault="0010369C">
      <w:pPr>
        <w:pStyle w:val="BodyText"/>
        <w:rPr>
          <w:sz w:val="20"/>
        </w:rPr>
      </w:pPr>
    </w:p>
    <w:p w14:paraId="51DE8F8C" w14:textId="77777777" w:rsidR="0010369C" w:rsidRDefault="0010369C">
      <w:pPr>
        <w:pStyle w:val="BodyText"/>
        <w:rPr>
          <w:sz w:val="20"/>
        </w:rPr>
      </w:pPr>
    </w:p>
    <w:p w14:paraId="51DE8F8D" w14:textId="77777777" w:rsidR="0010369C" w:rsidRDefault="0010369C">
      <w:pPr>
        <w:pStyle w:val="BodyText"/>
        <w:rPr>
          <w:sz w:val="20"/>
        </w:rPr>
      </w:pPr>
    </w:p>
    <w:p w14:paraId="51DE8F8E" w14:textId="77777777" w:rsidR="0010369C" w:rsidRDefault="0010369C">
      <w:pPr>
        <w:pStyle w:val="BodyText"/>
        <w:rPr>
          <w:sz w:val="20"/>
        </w:rPr>
      </w:pPr>
    </w:p>
    <w:p w14:paraId="51DE8F8F" w14:textId="77777777" w:rsidR="0010369C" w:rsidRDefault="0010369C">
      <w:pPr>
        <w:pStyle w:val="BodyText"/>
        <w:rPr>
          <w:sz w:val="20"/>
        </w:rPr>
      </w:pPr>
    </w:p>
    <w:p w14:paraId="51DE8F90" w14:textId="77777777" w:rsidR="0010369C" w:rsidRDefault="008E43AE">
      <w:pPr>
        <w:pStyle w:val="BodyText"/>
        <w:rPr>
          <w:sz w:val="25"/>
        </w:rPr>
      </w:pPr>
      <w:r>
        <w:pict w14:anchorId="51DEA4CD">
          <v:rect id="docshape1084" o:spid="_x0000_s1300" style="position:absolute;margin-left:70.9pt;margin-top:16.45pt;width:2in;height:.8pt;z-index:-250821120;mso-wrap-distance-left:0;mso-wrap-distance-right:0;mso-position-horizontal-relative:page" fillcolor="black" stroked="f">
            <w10:wrap type="topAndBottom" anchorx="page"/>
          </v:rect>
        </w:pict>
      </w:r>
    </w:p>
    <w:p w14:paraId="51DE8F91" w14:textId="77777777" w:rsidR="0010369C" w:rsidRDefault="008E43AE">
      <w:pPr>
        <w:spacing w:before="109"/>
        <w:ind w:left="238"/>
        <w:rPr>
          <w:sz w:val="18"/>
        </w:rPr>
      </w:pPr>
      <w:r>
        <w:rPr>
          <w:sz w:val="18"/>
          <w:vertAlign w:val="superscript"/>
        </w:rPr>
        <w:t>697</w:t>
      </w:r>
      <w:r>
        <w:rPr>
          <w:spacing w:val="-9"/>
          <w:sz w:val="18"/>
        </w:rPr>
        <w:t xml:space="preserve"> </w:t>
      </w:r>
      <w:r>
        <w:rPr>
          <w:sz w:val="18"/>
        </w:rPr>
        <w:t>Anti‐Dumping</w:t>
      </w:r>
      <w:r>
        <w:rPr>
          <w:spacing w:val="-9"/>
          <w:sz w:val="18"/>
        </w:rPr>
        <w:t xml:space="preserve"> </w:t>
      </w:r>
      <w:r>
        <w:rPr>
          <w:sz w:val="18"/>
        </w:rPr>
        <w:t>Final</w:t>
      </w:r>
      <w:r>
        <w:rPr>
          <w:spacing w:val="-9"/>
          <w:sz w:val="18"/>
        </w:rPr>
        <w:t xml:space="preserve"> </w:t>
      </w:r>
      <w:r>
        <w:rPr>
          <w:sz w:val="18"/>
        </w:rPr>
        <w:t>Determination</w:t>
      </w:r>
      <w:r>
        <w:rPr>
          <w:spacing w:val="-8"/>
          <w:sz w:val="18"/>
        </w:rPr>
        <w:t xml:space="preserve"> </w:t>
      </w:r>
      <w:r>
        <w:rPr>
          <w:sz w:val="18"/>
        </w:rPr>
        <w:t>(Exhibit</w:t>
      </w:r>
      <w:r>
        <w:rPr>
          <w:spacing w:val="-9"/>
          <w:sz w:val="18"/>
        </w:rPr>
        <w:t xml:space="preserve"> </w:t>
      </w:r>
      <w:r>
        <w:rPr>
          <w:sz w:val="18"/>
        </w:rPr>
        <w:t>AUS‐2),</w:t>
      </w:r>
      <w:r>
        <w:rPr>
          <w:spacing w:val="-9"/>
          <w:sz w:val="18"/>
        </w:rPr>
        <w:t xml:space="preserve"> </w:t>
      </w:r>
      <w:r>
        <w:rPr>
          <w:sz w:val="18"/>
        </w:rPr>
        <w:t>p.</w:t>
      </w:r>
      <w:r>
        <w:rPr>
          <w:spacing w:val="-9"/>
          <w:sz w:val="18"/>
        </w:rPr>
        <w:t xml:space="preserve"> </w:t>
      </w:r>
      <w:r>
        <w:rPr>
          <w:spacing w:val="-4"/>
          <w:sz w:val="18"/>
        </w:rPr>
        <w:t>113.</w:t>
      </w:r>
    </w:p>
    <w:p w14:paraId="51DE8F92" w14:textId="77777777" w:rsidR="0010369C" w:rsidRDefault="0010369C">
      <w:pPr>
        <w:rPr>
          <w:sz w:val="18"/>
        </w:rPr>
        <w:sectPr w:rsidR="0010369C">
          <w:pgSz w:w="11910" w:h="16840"/>
          <w:pgMar w:top="880" w:right="800" w:bottom="980" w:left="1180" w:header="569" w:footer="788" w:gutter="0"/>
          <w:cols w:space="720"/>
        </w:sectPr>
      </w:pPr>
    </w:p>
    <w:p w14:paraId="51DE8F93" w14:textId="77777777" w:rsidR="0010369C" w:rsidRDefault="008E43AE">
      <w:pPr>
        <w:tabs>
          <w:tab w:val="left" w:pos="6187"/>
        </w:tabs>
        <w:ind w:right="615"/>
        <w:jc w:val="right"/>
        <w:rPr>
          <w:sz w:val="20"/>
        </w:rPr>
      </w:pPr>
      <w:r>
        <w:rPr>
          <w:i/>
          <w:sz w:val="20"/>
        </w:rPr>
        <w:lastRenderedPageBreak/>
        <w:t>China</w:t>
      </w:r>
      <w:r>
        <w:rPr>
          <w:i/>
          <w:spacing w:val="-5"/>
          <w:sz w:val="20"/>
        </w:rPr>
        <w:t xml:space="preserve"> </w:t>
      </w:r>
      <w:r>
        <w:rPr>
          <w:i/>
          <w:sz w:val="20"/>
        </w:rPr>
        <w:t>–</w:t>
      </w:r>
      <w:r>
        <w:rPr>
          <w:i/>
          <w:spacing w:val="-5"/>
          <w:sz w:val="20"/>
        </w:rPr>
        <w:t xml:space="preserve"> </w:t>
      </w:r>
      <w:r>
        <w:rPr>
          <w:i/>
          <w:sz w:val="20"/>
        </w:rPr>
        <w:t>Anti‐Dumping</w:t>
      </w:r>
      <w:r>
        <w:rPr>
          <w:i/>
          <w:spacing w:val="-4"/>
          <w:sz w:val="20"/>
        </w:rPr>
        <w:t xml:space="preserve"> </w:t>
      </w:r>
      <w:r>
        <w:rPr>
          <w:i/>
          <w:sz w:val="20"/>
        </w:rPr>
        <w:t>and</w:t>
      </w:r>
      <w:r>
        <w:rPr>
          <w:i/>
          <w:spacing w:val="-5"/>
          <w:sz w:val="20"/>
        </w:rPr>
        <w:t xml:space="preserve"> </w:t>
      </w:r>
      <w:r>
        <w:rPr>
          <w:i/>
          <w:sz w:val="20"/>
        </w:rPr>
        <w:t>Countervailing</w:t>
      </w:r>
      <w:r>
        <w:rPr>
          <w:i/>
          <w:spacing w:val="-5"/>
          <w:sz w:val="20"/>
        </w:rPr>
        <w:t xml:space="preserve"> </w:t>
      </w:r>
      <w:r>
        <w:rPr>
          <w:i/>
          <w:sz w:val="20"/>
        </w:rPr>
        <w:t>Duty</w:t>
      </w:r>
      <w:r>
        <w:rPr>
          <w:i/>
          <w:spacing w:val="-4"/>
          <w:sz w:val="20"/>
        </w:rPr>
        <w:t xml:space="preserve"> </w:t>
      </w:r>
      <w:r>
        <w:rPr>
          <w:i/>
          <w:spacing w:val="-2"/>
          <w:sz w:val="20"/>
        </w:rPr>
        <w:t>Measures</w:t>
      </w:r>
      <w:r>
        <w:rPr>
          <w:i/>
          <w:sz w:val="20"/>
        </w:rPr>
        <w:tab/>
      </w:r>
      <w:r>
        <w:rPr>
          <w:sz w:val="20"/>
        </w:rPr>
        <w:t>Australia's</w:t>
      </w:r>
      <w:r>
        <w:rPr>
          <w:spacing w:val="-7"/>
          <w:sz w:val="20"/>
        </w:rPr>
        <w:t xml:space="preserve"> </w:t>
      </w:r>
      <w:r>
        <w:rPr>
          <w:sz w:val="20"/>
        </w:rPr>
        <w:t>First</w:t>
      </w:r>
      <w:r>
        <w:rPr>
          <w:spacing w:val="-2"/>
          <w:sz w:val="20"/>
        </w:rPr>
        <w:t xml:space="preserve"> </w:t>
      </w:r>
      <w:r>
        <w:rPr>
          <w:sz w:val="20"/>
        </w:rPr>
        <w:t>Written</w:t>
      </w:r>
      <w:r>
        <w:rPr>
          <w:spacing w:val="-2"/>
          <w:sz w:val="20"/>
        </w:rPr>
        <w:t xml:space="preserve"> Submission</w:t>
      </w:r>
    </w:p>
    <w:p w14:paraId="51DE8F94" w14:textId="77777777" w:rsidR="0010369C" w:rsidRDefault="008E43AE">
      <w:pPr>
        <w:tabs>
          <w:tab w:val="left" w:pos="7988"/>
        </w:tabs>
        <w:spacing w:before="1"/>
        <w:ind w:right="611"/>
        <w:jc w:val="right"/>
        <w:rPr>
          <w:sz w:val="20"/>
        </w:rPr>
      </w:pPr>
      <w:r>
        <w:rPr>
          <w:i/>
          <w:sz w:val="20"/>
        </w:rPr>
        <w:t>on</w:t>
      </w:r>
      <w:r>
        <w:rPr>
          <w:i/>
          <w:spacing w:val="-1"/>
          <w:sz w:val="20"/>
        </w:rPr>
        <w:t xml:space="preserve"> </w:t>
      </w:r>
      <w:r>
        <w:rPr>
          <w:i/>
          <w:sz w:val="20"/>
        </w:rPr>
        <w:t>Wine</w:t>
      </w:r>
      <w:r>
        <w:rPr>
          <w:i/>
          <w:spacing w:val="-1"/>
          <w:sz w:val="20"/>
        </w:rPr>
        <w:t xml:space="preserve"> </w:t>
      </w:r>
      <w:r>
        <w:rPr>
          <w:i/>
          <w:sz w:val="20"/>
        </w:rPr>
        <w:t>from</w:t>
      </w:r>
      <w:r>
        <w:rPr>
          <w:i/>
          <w:spacing w:val="-3"/>
          <w:sz w:val="20"/>
        </w:rPr>
        <w:t xml:space="preserve"> </w:t>
      </w:r>
      <w:r>
        <w:rPr>
          <w:i/>
          <w:sz w:val="20"/>
        </w:rPr>
        <w:t>Australia</w:t>
      </w:r>
      <w:r>
        <w:rPr>
          <w:i/>
          <w:spacing w:val="-1"/>
          <w:sz w:val="20"/>
        </w:rPr>
        <w:t xml:space="preserve"> </w:t>
      </w:r>
      <w:r>
        <w:rPr>
          <w:spacing w:val="-2"/>
          <w:sz w:val="20"/>
        </w:rPr>
        <w:t>(DS602)</w:t>
      </w:r>
      <w:r>
        <w:rPr>
          <w:sz w:val="20"/>
        </w:rPr>
        <w:tab/>
        <w:t>29</w:t>
      </w:r>
      <w:r>
        <w:rPr>
          <w:spacing w:val="-1"/>
          <w:sz w:val="20"/>
        </w:rPr>
        <w:t xml:space="preserve"> </w:t>
      </w:r>
      <w:r>
        <w:rPr>
          <w:sz w:val="20"/>
        </w:rPr>
        <w:t>April</w:t>
      </w:r>
      <w:r>
        <w:rPr>
          <w:spacing w:val="-2"/>
          <w:sz w:val="20"/>
        </w:rPr>
        <w:t xml:space="preserve"> </w:t>
      </w:r>
      <w:r>
        <w:rPr>
          <w:spacing w:val="-4"/>
          <w:sz w:val="20"/>
        </w:rPr>
        <w:t>2022</w:t>
      </w:r>
    </w:p>
    <w:p w14:paraId="51DE8F95" w14:textId="77777777" w:rsidR="0010369C" w:rsidRDefault="008E43AE">
      <w:pPr>
        <w:pStyle w:val="Heading4"/>
        <w:numPr>
          <w:ilvl w:val="1"/>
          <w:numId w:val="54"/>
        </w:numPr>
        <w:tabs>
          <w:tab w:val="left" w:pos="2649"/>
          <w:tab w:val="left" w:pos="2650"/>
        </w:tabs>
        <w:spacing w:before="34" w:line="360" w:lineRule="auto"/>
        <w:ind w:right="614"/>
        <w:jc w:val="right"/>
      </w:pPr>
      <w:r>
        <w:t>MOFCOM</w:t>
      </w:r>
      <w:r>
        <w:rPr>
          <w:spacing w:val="40"/>
        </w:rPr>
        <w:t xml:space="preserve"> </w:t>
      </w:r>
      <w:r>
        <w:t>failed</w:t>
      </w:r>
      <w:r>
        <w:rPr>
          <w:spacing w:val="40"/>
        </w:rPr>
        <w:t xml:space="preserve"> </w:t>
      </w:r>
      <w:r>
        <w:t>to</w:t>
      </w:r>
      <w:r>
        <w:rPr>
          <w:spacing w:val="40"/>
        </w:rPr>
        <w:t xml:space="preserve"> </w:t>
      </w:r>
      <w:r>
        <w:t>consider</w:t>
      </w:r>
      <w:r>
        <w:rPr>
          <w:spacing w:val="40"/>
        </w:rPr>
        <w:t xml:space="preserve"> </w:t>
      </w:r>
      <w:r>
        <w:t>whether</w:t>
      </w:r>
      <w:r>
        <w:rPr>
          <w:spacing w:val="40"/>
        </w:rPr>
        <w:t xml:space="preserve"> </w:t>
      </w:r>
      <w:r>
        <w:t>the</w:t>
      </w:r>
      <w:r>
        <w:rPr>
          <w:spacing w:val="40"/>
        </w:rPr>
        <w:t xml:space="preserve"> </w:t>
      </w:r>
      <w:r>
        <w:t>subject</w:t>
      </w:r>
      <w:r>
        <w:rPr>
          <w:spacing w:val="40"/>
        </w:rPr>
        <w:t xml:space="preserve"> </w:t>
      </w:r>
      <w:r>
        <w:t>imports</w:t>
      </w:r>
      <w:r>
        <w:rPr>
          <w:spacing w:val="40"/>
        </w:rPr>
        <w:t xml:space="preserve"> </w:t>
      </w:r>
      <w:r>
        <w:t>had</w:t>
      </w:r>
      <w:r>
        <w:rPr>
          <w:spacing w:val="40"/>
        </w:rPr>
        <w:t xml:space="preserve"> </w:t>
      </w:r>
      <w:r>
        <w:t>"explanatory force" for the alleged suppression of domestic prices</w:t>
      </w:r>
    </w:p>
    <w:p w14:paraId="51DE8F96" w14:textId="77777777" w:rsidR="0010369C" w:rsidRDefault="0010369C">
      <w:pPr>
        <w:pStyle w:val="BodyText"/>
        <w:spacing w:before="10"/>
        <w:rPr>
          <w:b/>
          <w:sz w:val="8"/>
        </w:rPr>
      </w:pPr>
    </w:p>
    <w:p w14:paraId="51DE8F97" w14:textId="77777777" w:rsidR="0010369C" w:rsidRDefault="008E43AE">
      <w:pPr>
        <w:pStyle w:val="BodyText"/>
        <w:spacing w:before="52" w:line="360" w:lineRule="auto"/>
        <w:ind w:left="237" w:right="612" w:firstLine="851"/>
        <w:jc w:val="both"/>
      </w:pPr>
      <w:r>
        <w:rPr>
          <w:noProof/>
        </w:rPr>
        <w:drawing>
          <wp:anchor distT="0" distB="0" distL="0" distR="0" simplePos="0" relativeHeight="251224576" behindDoc="1" locked="0" layoutInCell="1" allowOverlap="1" wp14:anchorId="51DEA4CE" wp14:editId="51DEA4CF">
            <wp:simplePos x="0" y="0"/>
            <wp:positionH relativeFrom="page">
              <wp:posOffset>905255</wp:posOffset>
            </wp:positionH>
            <wp:positionV relativeFrom="paragraph">
              <wp:posOffset>76785</wp:posOffset>
            </wp:positionV>
            <wp:extent cx="259079" cy="106679"/>
            <wp:effectExtent l="0" t="0" r="0" b="0"/>
            <wp:wrapNone/>
            <wp:docPr id="1193" name="image6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 name="image617.png"/>
                    <pic:cNvPicPr/>
                  </pic:nvPicPr>
                  <pic:blipFill>
                    <a:blip r:embed="rId807" cstate="print"/>
                    <a:stretch>
                      <a:fillRect/>
                    </a:stretch>
                  </pic:blipFill>
                  <pic:spPr>
                    <a:xfrm>
                      <a:off x="0" y="0"/>
                      <a:ext cx="259079" cy="106679"/>
                    </a:xfrm>
                    <a:prstGeom prst="rect">
                      <a:avLst/>
                    </a:prstGeom>
                  </pic:spPr>
                </pic:pic>
              </a:graphicData>
            </a:graphic>
          </wp:anchor>
        </w:drawing>
      </w:r>
      <w:r>
        <w:t>MOFCOM's price suppression determination was based on mere assertions that the subject</w:t>
      </w:r>
      <w:r>
        <w:rPr>
          <w:spacing w:val="-1"/>
        </w:rPr>
        <w:t xml:space="preserve"> </w:t>
      </w:r>
      <w:r>
        <w:t>imports</w:t>
      </w:r>
      <w:r>
        <w:rPr>
          <w:spacing w:val="-1"/>
        </w:rPr>
        <w:t xml:space="preserve"> </w:t>
      </w:r>
      <w:r>
        <w:t>were</w:t>
      </w:r>
      <w:r>
        <w:rPr>
          <w:spacing w:val="-1"/>
        </w:rPr>
        <w:t xml:space="preserve"> </w:t>
      </w:r>
      <w:r>
        <w:t>"directly</w:t>
      </w:r>
      <w:r>
        <w:rPr>
          <w:spacing w:val="-1"/>
        </w:rPr>
        <w:t xml:space="preserve"> </w:t>
      </w:r>
      <w:r>
        <w:t>suppressing</w:t>
      </w:r>
      <w:r>
        <w:rPr>
          <w:spacing w:val="-1"/>
        </w:rPr>
        <w:t xml:space="preserve"> </w:t>
      </w:r>
      <w:r>
        <w:t>the</w:t>
      </w:r>
      <w:r>
        <w:rPr>
          <w:spacing w:val="-1"/>
        </w:rPr>
        <w:t xml:space="preserve"> </w:t>
      </w:r>
      <w:r>
        <w:t>price increase of</w:t>
      </w:r>
      <w:r>
        <w:rPr>
          <w:spacing w:val="-1"/>
        </w:rPr>
        <w:t xml:space="preserve"> </w:t>
      </w:r>
      <w:r>
        <w:t>domestic like products"</w:t>
      </w:r>
      <w:r>
        <w:rPr>
          <w:spacing w:val="-1"/>
        </w:rPr>
        <w:t xml:space="preserve"> </w:t>
      </w:r>
      <w:r>
        <w:t>and, "[a]s</w:t>
      </w:r>
      <w:r>
        <w:rPr>
          <w:spacing w:val="-2"/>
        </w:rPr>
        <w:t xml:space="preserve"> </w:t>
      </w:r>
      <w:r>
        <w:t>a</w:t>
      </w:r>
      <w:r>
        <w:rPr>
          <w:spacing w:val="-1"/>
        </w:rPr>
        <w:t xml:space="preserve"> </w:t>
      </w:r>
      <w:r>
        <w:t>result</w:t>
      </w:r>
      <w:r>
        <w:t>",</w:t>
      </w:r>
      <w:r>
        <w:rPr>
          <w:spacing w:val="-2"/>
        </w:rPr>
        <w:t xml:space="preserve"> </w:t>
      </w:r>
      <w:r>
        <w:t>preventing</w:t>
      </w:r>
      <w:r>
        <w:rPr>
          <w:spacing w:val="-1"/>
        </w:rPr>
        <w:t xml:space="preserve"> </w:t>
      </w:r>
      <w:r>
        <w:t>the</w:t>
      </w:r>
      <w:r>
        <w:rPr>
          <w:spacing w:val="-1"/>
        </w:rPr>
        <w:t xml:space="preserve"> </w:t>
      </w:r>
      <w:r>
        <w:t>price</w:t>
      </w:r>
      <w:r>
        <w:rPr>
          <w:spacing w:val="-2"/>
        </w:rPr>
        <w:t xml:space="preserve"> </w:t>
      </w:r>
      <w:r>
        <w:t>of</w:t>
      </w:r>
      <w:r>
        <w:rPr>
          <w:spacing w:val="-2"/>
        </w:rPr>
        <w:t xml:space="preserve"> </w:t>
      </w:r>
      <w:r>
        <w:t>domestic</w:t>
      </w:r>
      <w:r>
        <w:rPr>
          <w:spacing w:val="-2"/>
        </w:rPr>
        <w:t xml:space="preserve"> </w:t>
      </w:r>
      <w:r>
        <w:t>like products from</w:t>
      </w:r>
      <w:r>
        <w:rPr>
          <w:spacing w:val="-1"/>
        </w:rPr>
        <w:t xml:space="preserve"> </w:t>
      </w:r>
      <w:r>
        <w:t>increasing</w:t>
      </w:r>
      <w:r>
        <w:rPr>
          <w:spacing w:val="-2"/>
        </w:rPr>
        <w:t xml:space="preserve"> </w:t>
      </w:r>
      <w:r>
        <w:t>at</w:t>
      </w:r>
      <w:r>
        <w:rPr>
          <w:spacing w:val="-2"/>
        </w:rPr>
        <w:t xml:space="preserve"> </w:t>
      </w:r>
      <w:r>
        <w:t>a</w:t>
      </w:r>
      <w:r>
        <w:rPr>
          <w:spacing w:val="-1"/>
        </w:rPr>
        <w:t xml:space="preserve"> </w:t>
      </w:r>
      <w:r>
        <w:t>higher</w:t>
      </w:r>
      <w:r>
        <w:rPr>
          <w:spacing w:val="-1"/>
        </w:rPr>
        <w:t xml:space="preserve"> </w:t>
      </w:r>
      <w:r>
        <w:t>rate "accordingly with the rising cost" of those products.</w:t>
      </w:r>
      <w:r>
        <w:rPr>
          <w:vertAlign w:val="superscript"/>
        </w:rPr>
        <w:t>698</w:t>
      </w:r>
      <w:r>
        <w:t xml:space="preserve"> In this regard, MOFCOM considered that</w:t>
      </w:r>
      <w:r>
        <w:rPr>
          <w:spacing w:val="-10"/>
        </w:rPr>
        <w:t xml:space="preserve"> </w:t>
      </w:r>
      <w:r>
        <w:t>the</w:t>
      </w:r>
      <w:r>
        <w:rPr>
          <w:spacing w:val="-9"/>
        </w:rPr>
        <w:t xml:space="preserve"> </w:t>
      </w:r>
      <w:r>
        <w:t>average</w:t>
      </w:r>
      <w:r>
        <w:rPr>
          <w:spacing w:val="-9"/>
        </w:rPr>
        <w:t xml:space="preserve"> </w:t>
      </w:r>
      <w:r>
        <w:t>unit</w:t>
      </w:r>
      <w:r>
        <w:rPr>
          <w:spacing w:val="-10"/>
        </w:rPr>
        <w:t xml:space="preserve"> </w:t>
      </w:r>
      <w:r>
        <w:t>price</w:t>
      </w:r>
      <w:r>
        <w:rPr>
          <w:spacing w:val="-9"/>
        </w:rPr>
        <w:t xml:space="preserve"> </w:t>
      </w:r>
      <w:r>
        <w:t>of</w:t>
      </w:r>
      <w:r>
        <w:rPr>
          <w:spacing w:val="-10"/>
        </w:rPr>
        <w:t xml:space="preserve"> </w:t>
      </w:r>
      <w:r>
        <w:t>domestic</w:t>
      </w:r>
      <w:r>
        <w:rPr>
          <w:spacing w:val="-8"/>
        </w:rPr>
        <w:t xml:space="preserve"> </w:t>
      </w:r>
      <w:r>
        <w:t>like</w:t>
      </w:r>
      <w:r>
        <w:rPr>
          <w:spacing w:val="-9"/>
        </w:rPr>
        <w:t xml:space="preserve"> </w:t>
      </w:r>
      <w:r>
        <w:t>products</w:t>
      </w:r>
      <w:r>
        <w:rPr>
          <w:spacing w:val="-9"/>
        </w:rPr>
        <w:t xml:space="preserve"> </w:t>
      </w:r>
      <w:r>
        <w:t>was</w:t>
      </w:r>
      <w:r>
        <w:rPr>
          <w:spacing w:val="-10"/>
        </w:rPr>
        <w:t xml:space="preserve"> </w:t>
      </w:r>
      <w:r>
        <w:t>suppressed</w:t>
      </w:r>
      <w:r>
        <w:rPr>
          <w:spacing w:val="-10"/>
        </w:rPr>
        <w:t xml:space="preserve"> </w:t>
      </w:r>
      <w:r>
        <w:t>because</w:t>
      </w:r>
      <w:r>
        <w:rPr>
          <w:spacing w:val="-9"/>
        </w:rPr>
        <w:t xml:space="preserve"> </w:t>
      </w:r>
      <w:r>
        <w:t>it</w:t>
      </w:r>
      <w:r>
        <w:rPr>
          <w:spacing w:val="-10"/>
        </w:rPr>
        <w:t xml:space="preserve"> </w:t>
      </w:r>
      <w:r>
        <w:t>had</w:t>
      </w:r>
      <w:r>
        <w:rPr>
          <w:spacing w:val="-10"/>
        </w:rPr>
        <w:t xml:space="preserve"> </w:t>
      </w:r>
      <w:r>
        <w:t>increased by</w:t>
      </w:r>
      <w:r>
        <w:rPr>
          <w:spacing w:val="-8"/>
        </w:rPr>
        <w:t xml:space="preserve"> </w:t>
      </w:r>
      <w:r>
        <w:t>20.54%</w:t>
      </w:r>
      <w:r>
        <w:rPr>
          <w:spacing w:val="-9"/>
        </w:rPr>
        <w:t xml:space="preserve"> </w:t>
      </w:r>
      <w:r>
        <w:t>(or</w:t>
      </w:r>
      <w:r>
        <w:rPr>
          <w:spacing w:val="-8"/>
        </w:rPr>
        <w:t xml:space="preserve"> </w:t>
      </w:r>
      <w:r>
        <w:t>+6,576</w:t>
      </w:r>
      <w:r>
        <w:rPr>
          <w:spacing w:val="-9"/>
        </w:rPr>
        <w:t xml:space="preserve"> </w:t>
      </w:r>
      <w:r>
        <w:t>RMB/kl)</w:t>
      </w:r>
      <w:r>
        <w:rPr>
          <w:spacing w:val="-8"/>
        </w:rPr>
        <w:t xml:space="preserve"> </w:t>
      </w:r>
      <w:r>
        <w:t>during</w:t>
      </w:r>
      <w:r>
        <w:rPr>
          <w:spacing w:val="-8"/>
        </w:rPr>
        <w:t xml:space="preserve"> </w:t>
      </w:r>
      <w:r>
        <w:t>the</w:t>
      </w:r>
      <w:r>
        <w:rPr>
          <w:spacing w:val="-8"/>
        </w:rPr>
        <w:t xml:space="preserve"> </w:t>
      </w:r>
      <w:r>
        <w:t>Injury</w:t>
      </w:r>
      <w:r>
        <w:rPr>
          <w:spacing w:val="-9"/>
        </w:rPr>
        <w:t xml:space="preserve"> </w:t>
      </w:r>
      <w:r>
        <w:t>POI,</w:t>
      </w:r>
      <w:r>
        <w:rPr>
          <w:spacing w:val="-8"/>
        </w:rPr>
        <w:t xml:space="preserve"> </w:t>
      </w:r>
      <w:r>
        <w:t>while</w:t>
      </w:r>
      <w:r>
        <w:rPr>
          <w:spacing w:val="-8"/>
        </w:rPr>
        <w:t xml:space="preserve"> </w:t>
      </w:r>
      <w:r>
        <w:t>the</w:t>
      </w:r>
      <w:r>
        <w:rPr>
          <w:spacing w:val="-8"/>
        </w:rPr>
        <w:t xml:space="preserve"> </w:t>
      </w:r>
      <w:r>
        <w:t>average</w:t>
      </w:r>
      <w:r>
        <w:rPr>
          <w:spacing w:val="-9"/>
        </w:rPr>
        <w:t xml:space="preserve"> </w:t>
      </w:r>
      <w:r>
        <w:t>unit</w:t>
      </w:r>
      <w:r>
        <w:rPr>
          <w:spacing w:val="-8"/>
        </w:rPr>
        <w:t xml:space="preserve"> </w:t>
      </w:r>
      <w:r>
        <w:t>cost</w:t>
      </w:r>
      <w:r>
        <w:rPr>
          <w:spacing w:val="-8"/>
        </w:rPr>
        <w:t xml:space="preserve"> </w:t>
      </w:r>
      <w:r>
        <w:t>had</w:t>
      </w:r>
      <w:r>
        <w:rPr>
          <w:spacing w:val="-9"/>
        </w:rPr>
        <w:t xml:space="preserve"> </w:t>
      </w:r>
      <w:r>
        <w:t>increased by 25.19% (or +7,234 RMB/kl) during the same period – a difference of just 658</w:t>
      </w:r>
      <w:r>
        <w:rPr>
          <w:spacing w:val="-2"/>
        </w:rPr>
        <w:t xml:space="preserve"> </w:t>
      </w:r>
      <w:r>
        <w:t>RMB/kl over the Injury POI.</w:t>
      </w:r>
      <w:r>
        <w:rPr>
          <w:vertAlign w:val="superscript"/>
        </w:rPr>
        <w:t>699</w:t>
      </w:r>
    </w:p>
    <w:p w14:paraId="51DE8F98" w14:textId="77777777" w:rsidR="0010369C" w:rsidRDefault="0010369C">
      <w:pPr>
        <w:pStyle w:val="BodyText"/>
        <w:spacing w:before="10"/>
        <w:rPr>
          <w:sz w:val="8"/>
        </w:rPr>
      </w:pPr>
    </w:p>
    <w:p w14:paraId="51DE8F99" w14:textId="77777777" w:rsidR="0010369C" w:rsidRDefault="008E43AE">
      <w:pPr>
        <w:pStyle w:val="BodyText"/>
        <w:spacing w:before="52" w:line="360" w:lineRule="auto"/>
        <w:ind w:left="237" w:right="613" w:firstLine="851"/>
        <w:jc w:val="both"/>
      </w:pPr>
      <w:r>
        <w:rPr>
          <w:noProof/>
        </w:rPr>
        <w:drawing>
          <wp:anchor distT="0" distB="0" distL="0" distR="0" simplePos="0" relativeHeight="251225600" behindDoc="1" locked="0" layoutInCell="1" allowOverlap="1" wp14:anchorId="51DEA4D0" wp14:editId="51DEA4D1">
            <wp:simplePos x="0" y="0"/>
            <wp:positionH relativeFrom="page">
              <wp:posOffset>905255</wp:posOffset>
            </wp:positionH>
            <wp:positionV relativeFrom="paragraph">
              <wp:posOffset>80595</wp:posOffset>
            </wp:positionV>
            <wp:extent cx="259079" cy="103631"/>
            <wp:effectExtent l="0" t="0" r="0" b="0"/>
            <wp:wrapNone/>
            <wp:docPr id="1195" name="image6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 name="image618.png"/>
                    <pic:cNvPicPr/>
                  </pic:nvPicPr>
                  <pic:blipFill>
                    <a:blip r:embed="rId808" cstate="print"/>
                    <a:stretch>
                      <a:fillRect/>
                    </a:stretch>
                  </pic:blipFill>
                  <pic:spPr>
                    <a:xfrm>
                      <a:off x="0" y="0"/>
                      <a:ext cx="259079" cy="103631"/>
                    </a:xfrm>
                    <a:prstGeom prst="rect">
                      <a:avLst/>
                    </a:prstGeom>
                  </pic:spPr>
                </pic:pic>
              </a:graphicData>
            </a:graphic>
          </wp:anchor>
        </w:drawing>
      </w:r>
      <w:r>
        <w:t xml:space="preserve">For the reasons set out in sections </w:t>
      </w:r>
      <w:r>
        <w:rPr>
          <w:b/>
        </w:rPr>
        <w:t xml:space="preserve">3(a) </w:t>
      </w:r>
      <w:r>
        <w:t xml:space="preserve">and </w:t>
      </w:r>
      <w:r>
        <w:rPr>
          <w:b/>
        </w:rPr>
        <w:t>3(b)</w:t>
      </w:r>
      <w:r>
        <w:t>, above, Australia's position is that the</w:t>
      </w:r>
      <w:r>
        <w:rPr>
          <w:spacing w:val="-9"/>
        </w:rPr>
        <w:t xml:space="preserve"> </w:t>
      </w:r>
      <w:r>
        <w:t>annual</w:t>
      </w:r>
      <w:r>
        <w:rPr>
          <w:spacing w:val="-10"/>
        </w:rPr>
        <w:t xml:space="preserve"> </w:t>
      </w:r>
      <w:r>
        <w:t>average</w:t>
      </w:r>
      <w:r>
        <w:rPr>
          <w:spacing w:val="-9"/>
        </w:rPr>
        <w:t xml:space="preserve"> </w:t>
      </w:r>
      <w:r>
        <w:t>prices</w:t>
      </w:r>
      <w:r>
        <w:rPr>
          <w:spacing w:val="-9"/>
        </w:rPr>
        <w:t xml:space="preserve"> </w:t>
      </w:r>
      <w:r>
        <w:t>and</w:t>
      </w:r>
      <w:r>
        <w:rPr>
          <w:spacing w:val="-10"/>
        </w:rPr>
        <w:t xml:space="preserve"> </w:t>
      </w:r>
      <w:r>
        <w:t>costs</w:t>
      </w:r>
      <w:r>
        <w:rPr>
          <w:spacing w:val="-10"/>
        </w:rPr>
        <w:t xml:space="preserve"> </w:t>
      </w:r>
      <w:r>
        <w:t>that</w:t>
      </w:r>
      <w:r>
        <w:rPr>
          <w:spacing w:val="-10"/>
        </w:rPr>
        <w:t xml:space="preserve"> </w:t>
      </w:r>
      <w:r>
        <w:t>MOFCOM</w:t>
      </w:r>
      <w:r>
        <w:rPr>
          <w:spacing w:val="-9"/>
        </w:rPr>
        <w:t xml:space="preserve"> </w:t>
      </w:r>
      <w:r>
        <w:t>relied</w:t>
      </w:r>
      <w:r>
        <w:rPr>
          <w:spacing w:val="-10"/>
        </w:rPr>
        <w:t xml:space="preserve"> </w:t>
      </w:r>
      <w:r>
        <w:t>upon</w:t>
      </w:r>
      <w:r>
        <w:rPr>
          <w:spacing w:val="-10"/>
        </w:rPr>
        <w:t xml:space="preserve"> </w:t>
      </w:r>
      <w:r>
        <w:t>for</w:t>
      </w:r>
      <w:r>
        <w:rPr>
          <w:spacing w:val="-9"/>
        </w:rPr>
        <w:t xml:space="preserve"> </w:t>
      </w:r>
      <w:r>
        <w:t>its</w:t>
      </w:r>
      <w:r>
        <w:rPr>
          <w:spacing w:val="-10"/>
        </w:rPr>
        <w:t xml:space="preserve"> </w:t>
      </w:r>
      <w:r>
        <w:t>price</w:t>
      </w:r>
      <w:r>
        <w:rPr>
          <w:spacing w:val="-9"/>
        </w:rPr>
        <w:t xml:space="preserve"> </w:t>
      </w:r>
      <w:r>
        <w:t>effects</w:t>
      </w:r>
      <w:r>
        <w:rPr>
          <w:spacing w:val="-11"/>
        </w:rPr>
        <w:t xml:space="preserve"> </w:t>
      </w:r>
      <w:r>
        <w:t>analysis</w:t>
      </w:r>
      <w:r>
        <w:rPr>
          <w:spacing w:val="-10"/>
        </w:rPr>
        <w:t xml:space="preserve"> </w:t>
      </w:r>
      <w:r>
        <w:t>did not</w:t>
      </w:r>
      <w:r>
        <w:rPr>
          <w:spacing w:val="-14"/>
        </w:rPr>
        <w:t xml:space="preserve"> </w:t>
      </w:r>
      <w:r>
        <w:t>constitute</w:t>
      </w:r>
      <w:r>
        <w:rPr>
          <w:spacing w:val="-14"/>
        </w:rPr>
        <w:t xml:space="preserve"> </w:t>
      </w:r>
      <w:r>
        <w:t>positive</w:t>
      </w:r>
      <w:r>
        <w:rPr>
          <w:spacing w:val="-13"/>
        </w:rPr>
        <w:t xml:space="preserve"> </w:t>
      </w:r>
      <w:r>
        <w:t>evidence</w:t>
      </w:r>
      <w:r>
        <w:rPr>
          <w:spacing w:val="-14"/>
        </w:rPr>
        <w:t xml:space="preserve"> </w:t>
      </w:r>
      <w:r>
        <w:t>and</w:t>
      </w:r>
      <w:r>
        <w:rPr>
          <w:spacing w:val="-13"/>
        </w:rPr>
        <w:t xml:space="preserve"> </w:t>
      </w:r>
      <w:r>
        <w:t>were</w:t>
      </w:r>
      <w:r>
        <w:rPr>
          <w:spacing w:val="-14"/>
        </w:rPr>
        <w:t xml:space="preserve"> </w:t>
      </w:r>
      <w:r>
        <w:t>therefore</w:t>
      </w:r>
      <w:r>
        <w:rPr>
          <w:spacing w:val="-13"/>
        </w:rPr>
        <w:t xml:space="preserve"> </w:t>
      </w:r>
      <w:r>
        <w:t>inconsistent</w:t>
      </w:r>
      <w:r>
        <w:rPr>
          <w:spacing w:val="-14"/>
        </w:rPr>
        <w:t xml:space="preserve"> </w:t>
      </w:r>
      <w:r>
        <w:t>with</w:t>
      </w:r>
      <w:r>
        <w:rPr>
          <w:spacing w:val="-14"/>
        </w:rPr>
        <w:t xml:space="preserve"> </w:t>
      </w:r>
      <w:r>
        <w:t>the</w:t>
      </w:r>
      <w:r>
        <w:rPr>
          <w:spacing w:val="-13"/>
        </w:rPr>
        <w:t xml:space="preserve"> </w:t>
      </w:r>
      <w:r>
        <w:t>obligations</w:t>
      </w:r>
      <w:r>
        <w:rPr>
          <w:spacing w:val="-14"/>
        </w:rPr>
        <w:t xml:space="preserve"> </w:t>
      </w:r>
      <w:r>
        <w:t>set</w:t>
      </w:r>
      <w:r>
        <w:rPr>
          <w:spacing w:val="-13"/>
        </w:rPr>
        <w:t xml:space="preserve"> </w:t>
      </w:r>
      <w:r>
        <w:t xml:space="preserve">forth in Articles 3.1 and 3.2 of the Anti‐Dumping Agreement. However, even if, </w:t>
      </w:r>
      <w:r>
        <w:rPr>
          <w:i/>
        </w:rPr>
        <w:t>arguendo</w:t>
      </w:r>
      <w:r>
        <w:t>, such average</w:t>
      </w:r>
      <w:r>
        <w:rPr>
          <w:spacing w:val="-12"/>
        </w:rPr>
        <w:t xml:space="preserve"> </w:t>
      </w:r>
      <w:r>
        <w:t>unit</w:t>
      </w:r>
      <w:r>
        <w:rPr>
          <w:spacing w:val="-13"/>
        </w:rPr>
        <w:t xml:space="preserve"> </w:t>
      </w:r>
      <w:r>
        <w:t>values</w:t>
      </w:r>
      <w:r>
        <w:rPr>
          <w:spacing w:val="-13"/>
        </w:rPr>
        <w:t xml:space="preserve"> </w:t>
      </w:r>
      <w:r>
        <w:t>could</w:t>
      </w:r>
      <w:r>
        <w:rPr>
          <w:spacing w:val="-13"/>
        </w:rPr>
        <w:t xml:space="preserve"> </w:t>
      </w:r>
      <w:r>
        <w:t>be</w:t>
      </w:r>
      <w:r>
        <w:rPr>
          <w:spacing w:val="-12"/>
        </w:rPr>
        <w:t xml:space="preserve"> </w:t>
      </w:r>
      <w:r>
        <w:t>accepted,</w:t>
      </w:r>
      <w:r>
        <w:rPr>
          <w:spacing w:val="-12"/>
        </w:rPr>
        <w:t xml:space="preserve"> </w:t>
      </w:r>
      <w:r>
        <w:t>MOFCOM's</w:t>
      </w:r>
      <w:r>
        <w:rPr>
          <w:spacing w:val="-12"/>
        </w:rPr>
        <w:t xml:space="preserve"> </w:t>
      </w:r>
      <w:r>
        <w:t>price</w:t>
      </w:r>
      <w:r>
        <w:rPr>
          <w:spacing w:val="-11"/>
        </w:rPr>
        <w:t xml:space="preserve"> </w:t>
      </w:r>
      <w:r>
        <w:t>effects</w:t>
      </w:r>
      <w:r>
        <w:rPr>
          <w:spacing w:val="-13"/>
        </w:rPr>
        <w:t xml:space="preserve"> </w:t>
      </w:r>
      <w:r>
        <w:t>analysis</w:t>
      </w:r>
      <w:r>
        <w:rPr>
          <w:spacing w:val="-13"/>
        </w:rPr>
        <w:t xml:space="preserve"> </w:t>
      </w:r>
      <w:r>
        <w:t>was</w:t>
      </w:r>
      <w:r>
        <w:rPr>
          <w:spacing w:val="-13"/>
        </w:rPr>
        <w:t xml:space="preserve"> </w:t>
      </w:r>
      <w:r>
        <w:t>inconsistent</w:t>
      </w:r>
      <w:r>
        <w:rPr>
          <w:spacing w:val="-11"/>
        </w:rPr>
        <w:t xml:space="preserve"> </w:t>
      </w:r>
      <w:r>
        <w:t>with Articles 3.1 and 3.2 because MOFCOM failed to consider whether the su</w:t>
      </w:r>
      <w:r>
        <w:t>bject imports of Australian wine had "explanatory force" for the alleged suppression of the domestic prices.</w:t>
      </w:r>
    </w:p>
    <w:p w14:paraId="51DE8F9A" w14:textId="77777777" w:rsidR="0010369C" w:rsidRDefault="0010369C">
      <w:pPr>
        <w:pStyle w:val="BodyText"/>
        <w:spacing w:before="11"/>
        <w:rPr>
          <w:sz w:val="8"/>
        </w:rPr>
      </w:pPr>
    </w:p>
    <w:p w14:paraId="51DE8F9B" w14:textId="77777777" w:rsidR="0010369C" w:rsidRDefault="008E43AE">
      <w:pPr>
        <w:pStyle w:val="BodyText"/>
        <w:spacing w:before="52" w:line="360" w:lineRule="auto"/>
        <w:ind w:left="237" w:right="613" w:firstLine="851"/>
        <w:jc w:val="both"/>
      </w:pPr>
      <w:r>
        <w:rPr>
          <w:noProof/>
        </w:rPr>
        <w:drawing>
          <wp:anchor distT="0" distB="0" distL="0" distR="0" simplePos="0" relativeHeight="251226624" behindDoc="1" locked="0" layoutInCell="1" allowOverlap="1" wp14:anchorId="51DEA4D2" wp14:editId="51DEA4D3">
            <wp:simplePos x="0" y="0"/>
            <wp:positionH relativeFrom="page">
              <wp:posOffset>905255</wp:posOffset>
            </wp:positionH>
            <wp:positionV relativeFrom="paragraph">
              <wp:posOffset>76785</wp:posOffset>
            </wp:positionV>
            <wp:extent cx="259079" cy="106679"/>
            <wp:effectExtent l="0" t="0" r="0" b="0"/>
            <wp:wrapNone/>
            <wp:docPr id="1197" name="image6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 name="image619.png"/>
                    <pic:cNvPicPr/>
                  </pic:nvPicPr>
                  <pic:blipFill>
                    <a:blip r:embed="rId809" cstate="print"/>
                    <a:stretch>
                      <a:fillRect/>
                    </a:stretch>
                  </pic:blipFill>
                  <pic:spPr>
                    <a:xfrm>
                      <a:off x="0" y="0"/>
                      <a:ext cx="259079" cy="106679"/>
                    </a:xfrm>
                    <a:prstGeom prst="rect">
                      <a:avLst/>
                    </a:prstGeom>
                  </pic:spPr>
                </pic:pic>
              </a:graphicData>
            </a:graphic>
          </wp:anchor>
        </w:drawing>
      </w:r>
      <w:r>
        <w:t>In this regard, MOFCOM's price effects analysis omits any consideration or explanation of:</w:t>
      </w:r>
    </w:p>
    <w:p w14:paraId="51DE8F9C" w14:textId="77777777" w:rsidR="0010369C" w:rsidRDefault="008E43AE">
      <w:pPr>
        <w:pStyle w:val="ListParagraph"/>
        <w:numPr>
          <w:ilvl w:val="2"/>
          <w:numId w:val="52"/>
        </w:numPr>
        <w:tabs>
          <w:tab w:val="left" w:pos="1939"/>
          <w:tab w:val="left" w:pos="1940"/>
        </w:tabs>
        <w:spacing w:before="160" w:line="357" w:lineRule="auto"/>
        <w:ind w:left="1938" w:right="613" w:hanging="850"/>
        <w:rPr>
          <w:sz w:val="24"/>
        </w:rPr>
      </w:pPr>
      <w:r>
        <w:rPr>
          <w:sz w:val="24"/>
        </w:rPr>
        <w:t xml:space="preserve">how the allegedly dumped imports of Australian wine </w:t>
      </w:r>
      <w:r>
        <w:rPr>
          <w:i/>
          <w:sz w:val="24"/>
        </w:rPr>
        <w:t xml:space="preserve">caused </w:t>
      </w:r>
      <w:r>
        <w:rPr>
          <w:sz w:val="24"/>
        </w:rPr>
        <w:t xml:space="preserve">the alleged price suppression — that is, how subject imports had the </w:t>
      </w:r>
      <w:r>
        <w:rPr>
          <w:i/>
          <w:sz w:val="24"/>
        </w:rPr>
        <w:t xml:space="preserve">effect </w:t>
      </w:r>
      <w:r>
        <w:rPr>
          <w:sz w:val="24"/>
        </w:rPr>
        <w:t>of "prevent[ing] price increases, which otherwise would have occurred, to a significant degree" within the meaning of Art</w:t>
      </w:r>
      <w:r>
        <w:rPr>
          <w:sz w:val="24"/>
        </w:rPr>
        <w:t>icle 3.2;</w:t>
      </w:r>
    </w:p>
    <w:p w14:paraId="51DE8F9D" w14:textId="77777777" w:rsidR="0010369C" w:rsidRDefault="008E43AE">
      <w:pPr>
        <w:pStyle w:val="ListParagraph"/>
        <w:numPr>
          <w:ilvl w:val="2"/>
          <w:numId w:val="52"/>
        </w:numPr>
        <w:tabs>
          <w:tab w:val="left" w:pos="1940"/>
          <w:tab w:val="left" w:pos="1941"/>
        </w:tabs>
        <w:spacing w:before="131" w:line="357" w:lineRule="auto"/>
        <w:ind w:right="613"/>
        <w:rPr>
          <w:sz w:val="24"/>
        </w:rPr>
      </w:pPr>
      <w:r>
        <w:rPr>
          <w:sz w:val="24"/>
        </w:rPr>
        <w:t>whether the average unit price of domestic like products would have increased</w:t>
      </w:r>
      <w:r>
        <w:rPr>
          <w:spacing w:val="-1"/>
          <w:sz w:val="24"/>
        </w:rPr>
        <w:t xml:space="preserve"> </w:t>
      </w:r>
      <w:r>
        <w:rPr>
          <w:sz w:val="24"/>
        </w:rPr>
        <w:t>at</w:t>
      </w:r>
      <w:r>
        <w:rPr>
          <w:spacing w:val="-2"/>
          <w:sz w:val="24"/>
        </w:rPr>
        <w:t xml:space="preserve"> </w:t>
      </w:r>
      <w:r>
        <w:rPr>
          <w:sz w:val="24"/>
        </w:rPr>
        <w:t>a</w:t>
      </w:r>
      <w:r>
        <w:rPr>
          <w:spacing w:val="-1"/>
          <w:sz w:val="24"/>
        </w:rPr>
        <w:t xml:space="preserve"> </w:t>
      </w:r>
      <w:r>
        <w:rPr>
          <w:sz w:val="24"/>
        </w:rPr>
        <w:t>higher</w:t>
      </w:r>
      <w:r>
        <w:rPr>
          <w:spacing w:val="-1"/>
          <w:sz w:val="24"/>
        </w:rPr>
        <w:t xml:space="preserve"> </w:t>
      </w:r>
      <w:r>
        <w:rPr>
          <w:sz w:val="24"/>
        </w:rPr>
        <w:t>rate</w:t>
      </w:r>
      <w:r>
        <w:rPr>
          <w:spacing w:val="-1"/>
          <w:sz w:val="24"/>
        </w:rPr>
        <w:t xml:space="preserve"> </w:t>
      </w:r>
      <w:r>
        <w:rPr>
          <w:sz w:val="24"/>
        </w:rPr>
        <w:t>—</w:t>
      </w:r>
      <w:r>
        <w:rPr>
          <w:spacing w:val="-2"/>
          <w:sz w:val="24"/>
        </w:rPr>
        <w:t xml:space="preserve"> </w:t>
      </w:r>
      <w:r>
        <w:rPr>
          <w:sz w:val="24"/>
        </w:rPr>
        <w:t>for</w:t>
      </w:r>
      <w:r>
        <w:rPr>
          <w:spacing w:val="-1"/>
          <w:sz w:val="24"/>
        </w:rPr>
        <w:t xml:space="preserve"> </w:t>
      </w:r>
      <w:r>
        <w:rPr>
          <w:sz w:val="24"/>
        </w:rPr>
        <w:t>example,</w:t>
      </w:r>
      <w:r>
        <w:rPr>
          <w:spacing w:val="-2"/>
          <w:sz w:val="24"/>
        </w:rPr>
        <w:t xml:space="preserve"> </w:t>
      </w:r>
      <w:r>
        <w:rPr>
          <w:sz w:val="24"/>
        </w:rPr>
        <w:t>by</w:t>
      </w:r>
      <w:r>
        <w:rPr>
          <w:spacing w:val="-1"/>
          <w:sz w:val="24"/>
        </w:rPr>
        <w:t xml:space="preserve"> </w:t>
      </w:r>
      <w:r>
        <w:rPr>
          <w:sz w:val="24"/>
        </w:rPr>
        <w:t>an</w:t>
      </w:r>
      <w:r>
        <w:rPr>
          <w:spacing w:val="-2"/>
          <w:sz w:val="24"/>
        </w:rPr>
        <w:t xml:space="preserve"> </w:t>
      </w:r>
      <w:r>
        <w:rPr>
          <w:sz w:val="24"/>
        </w:rPr>
        <w:t>additional</w:t>
      </w:r>
      <w:r>
        <w:rPr>
          <w:spacing w:val="-1"/>
          <w:sz w:val="24"/>
        </w:rPr>
        <w:t xml:space="preserve"> </w:t>
      </w:r>
      <w:r>
        <w:rPr>
          <w:sz w:val="24"/>
        </w:rPr>
        <w:t>658</w:t>
      </w:r>
      <w:r>
        <w:rPr>
          <w:spacing w:val="-3"/>
          <w:sz w:val="24"/>
        </w:rPr>
        <w:t xml:space="preserve"> </w:t>
      </w:r>
      <w:r>
        <w:rPr>
          <w:sz w:val="24"/>
        </w:rPr>
        <w:t>RMB/kl</w:t>
      </w:r>
      <w:r>
        <w:rPr>
          <w:spacing w:val="-2"/>
          <w:sz w:val="24"/>
        </w:rPr>
        <w:t xml:space="preserve"> </w:t>
      </w:r>
      <w:r>
        <w:rPr>
          <w:sz w:val="24"/>
        </w:rPr>
        <w:t xml:space="preserve">over the course of the Injury POI to fully cover the increasing costs of China's domestic industry — in the absence of the allegedly dumped imports from </w:t>
      </w:r>
      <w:r>
        <w:rPr>
          <w:spacing w:val="-2"/>
          <w:sz w:val="24"/>
        </w:rPr>
        <w:t>Australia;</w:t>
      </w:r>
    </w:p>
    <w:p w14:paraId="51DE8F9E" w14:textId="77777777" w:rsidR="0010369C" w:rsidRDefault="008E43AE">
      <w:pPr>
        <w:pStyle w:val="BodyText"/>
        <w:spacing w:before="9"/>
        <w:rPr>
          <w:sz w:val="27"/>
        </w:rPr>
      </w:pPr>
      <w:r>
        <w:pict w14:anchorId="51DEA4D4">
          <v:rect id="docshape1085" o:spid="_x0000_s1299" style="position:absolute;margin-left:70.9pt;margin-top:18.15pt;width:2in;height:.8pt;z-index:-250820096;mso-wrap-distance-left:0;mso-wrap-distance-right:0;mso-position-horizontal-relative:page" fillcolor="black" stroked="f">
            <w10:wrap type="topAndBottom" anchorx="page"/>
          </v:rect>
        </w:pict>
      </w:r>
    </w:p>
    <w:p w14:paraId="51DE8F9F" w14:textId="77777777" w:rsidR="0010369C" w:rsidRDefault="008E43AE">
      <w:pPr>
        <w:spacing w:before="109"/>
        <w:ind w:left="238"/>
        <w:rPr>
          <w:sz w:val="18"/>
        </w:rPr>
      </w:pPr>
      <w:r>
        <w:rPr>
          <w:sz w:val="18"/>
          <w:vertAlign w:val="superscript"/>
        </w:rPr>
        <w:t>698</w:t>
      </w:r>
      <w:r>
        <w:rPr>
          <w:spacing w:val="-9"/>
          <w:sz w:val="18"/>
        </w:rPr>
        <w:t xml:space="preserve"> </w:t>
      </w:r>
      <w:r>
        <w:rPr>
          <w:sz w:val="18"/>
        </w:rPr>
        <w:t>Anti‐Dumping</w:t>
      </w:r>
      <w:r>
        <w:rPr>
          <w:spacing w:val="-9"/>
          <w:sz w:val="18"/>
        </w:rPr>
        <w:t xml:space="preserve"> </w:t>
      </w:r>
      <w:r>
        <w:rPr>
          <w:sz w:val="18"/>
        </w:rPr>
        <w:t>Final</w:t>
      </w:r>
      <w:r>
        <w:rPr>
          <w:spacing w:val="-9"/>
          <w:sz w:val="18"/>
        </w:rPr>
        <w:t xml:space="preserve"> </w:t>
      </w:r>
      <w:r>
        <w:rPr>
          <w:sz w:val="18"/>
        </w:rPr>
        <w:t>Determination</w:t>
      </w:r>
      <w:r>
        <w:rPr>
          <w:spacing w:val="-8"/>
          <w:sz w:val="18"/>
        </w:rPr>
        <w:t xml:space="preserve"> </w:t>
      </w:r>
      <w:r>
        <w:rPr>
          <w:sz w:val="18"/>
        </w:rPr>
        <w:t>(Exhibit</w:t>
      </w:r>
      <w:r>
        <w:rPr>
          <w:spacing w:val="-9"/>
          <w:sz w:val="18"/>
        </w:rPr>
        <w:t xml:space="preserve"> </w:t>
      </w:r>
      <w:r>
        <w:rPr>
          <w:sz w:val="18"/>
        </w:rPr>
        <w:t>AUS‐2),</w:t>
      </w:r>
      <w:r>
        <w:rPr>
          <w:spacing w:val="-9"/>
          <w:sz w:val="18"/>
        </w:rPr>
        <w:t xml:space="preserve"> </w:t>
      </w:r>
      <w:r>
        <w:rPr>
          <w:sz w:val="18"/>
        </w:rPr>
        <w:t>p.</w:t>
      </w:r>
      <w:r>
        <w:rPr>
          <w:spacing w:val="-9"/>
          <w:sz w:val="18"/>
        </w:rPr>
        <w:t xml:space="preserve"> </w:t>
      </w:r>
      <w:r>
        <w:rPr>
          <w:spacing w:val="-4"/>
          <w:sz w:val="18"/>
        </w:rPr>
        <w:t>122.</w:t>
      </w:r>
    </w:p>
    <w:p w14:paraId="51DE8FA0" w14:textId="77777777" w:rsidR="0010369C" w:rsidRDefault="008E43AE">
      <w:pPr>
        <w:ind w:left="238"/>
        <w:rPr>
          <w:sz w:val="18"/>
        </w:rPr>
      </w:pPr>
      <w:r>
        <w:rPr>
          <w:sz w:val="18"/>
          <w:vertAlign w:val="superscript"/>
        </w:rPr>
        <w:t>699</w:t>
      </w:r>
      <w:r>
        <w:rPr>
          <w:spacing w:val="-9"/>
          <w:sz w:val="18"/>
        </w:rPr>
        <w:t xml:space="preserve"> </w:t>
      </w:r>
      <w:r>
        <w:rPr>
          <w:sz w:val="18"/>
        </w:rPr>
        <w:t>Anti‐Dumping</w:t>
      </w:r>
      <w:r>
        <w:rPr>
          <w:spacing w:val="-9"/>
          <w:sz w:val="18"/>
        </w:rPr>
        <w:t xml:space="preserve"> </w:t>
      </w:r>
      <w:r>
        <w:rPr>
          <w:sz w:val="18"/>
        </w:rPr>
        <w:t>Final</w:t>
      </w:r>
      <w:r>
        <w:rPr>
          <w:spacing w:val="-9"/>
          <w:sz w:val="18"/>
        </w:rPr>
        <w:t xml:space="preserve"> </w:t>
      </w:r>
      <w:r>
        <w:rPr>
          <w:sz w:val="18"/>
        </w:rPr>
        <w:t>Deter</w:t>
      </w:r>
      <w:r>
        <w:rPr>
          <w:sz w:val="18"/>
        </w:rPr>
        <w:t>mination</w:t>
      </w:r>
      <w:r>
        <w:rPr>
          <w:spacing w:val="-8"/>
          <w:sz w:val="18"/>
        </w:rPr>
        <w:t xml:space="preserve"> </w:t>
      </w:r>
      <w:r>
        <w:rPr>
          <w:sz w:val="18"/>
        </w:rPr>
        <w:t>(Exhibit</w:t>
      </w:r>
      <w:r>
        <w:rPr>
          <w:spacing w:val="-9"/>
          <w:sz w:val="18"/>
        </w:rPr>
        <w:t xml:space="preserve"> </w:t>
      </w:r>
      <w:r>
        <w:rPr>
          <w:sz w:val="18"/>
        </w:rPr>
        <w:t>AUS‐2),</w:t>
      </w:r>
      <w:r>
        <w:rPr>
          <w:spacing w:val="-9"/>
          <w:sz w:val="18"/>
        </w:rPr>
        <w:t xml:space="preserve"> </w:t>
      </w:r>
      <w:r>
        <w:rPr>
          <w:sz w:val="18"/>
        </w:rPr>
        <w:t>p.</w:t>
      </w:r>
      <w:r>
        <w:rPr>
          <w:spacing w:val="-9"/>
          <w:sz w:val="18"/>
        </w:rPr>
        <w:t xml:space="preserve"> </w:t>
      </w:r>
      <w:r>
        <w:rPr>
          <w:spacing w:val="-4"/>
          <w:sz w:val="18"/>
        </w:rPr>
        <w:t>120.</w:t>
      </w:r>
    </w:p>
    <w:p w14:paraId="51DE8FA1" w14:textId="77777777" w:rsidR="0010369C" w:rsidRDefault="0010369C">
      <w:pPr>
        <w:rPr>
          <w:sz w:val="18"/>
        </w:rPr>
        <w:sectPr w:rsidR="0010369C">
          <w:pgSz w:w="11910" w:h="16840"/>
          <w:pgMar w:top="880" w:right="800" w:bottom="980" w:left="1180" w:header="569" w:footer="788" w:gutter="0"/>
          <w:cols w:space="720"/>
        </w:sectPr>
      </w:pPr>
    </w:p>
    <w:p w14:paraId="51DE8FA2" w14:textId="77777777" w:rsidR="0010369C" w:rsidRDefault="008E43AE">
      <w:pPr>
        <w:tabs>
          <w:tab w:val="left" w:pos="6426"/>
        </w:tabs>
        <w:ind w:left="238"/>
        <w:jc w:val="both"/>
        <w:rPr>
          <w:sz w:val="20"/>
        </w:rPr>
      </w:pPr>
      <w:r>
        <w:rPr>
          <w:i/>
          <w:sz w:val="20"/>
        </w:rPr>
        <w:lastRenderedPageBreak/>
        <w:t>China</w:t>
      </w:r>
      <w:r>
        <w:rPr>
          <w:i/>
          <w:spacing w:val="-5"/>
          <w:sz w:val="20"/>
        </w:rPr>
        <w:t xml:space="preserve"> </w:t>
      </w:r>
      <w:r>
        <w:rPr>
          <w:i/>
          <w:sz w:val="20"/>
        </w:rPr>
        <w:t>–</w:t>
      </w:r>
      <w:r>
        <w:rPr>
          <w:i/>
          <w:spacing w:val="-5"/>
          <w:sz w:val="20"/>
        </w:rPr>
        <w:t xml:space="preserve"> </w:t>
      </w:r>
      <w:r>
        <w:rPr>
          <w:i/>
          <w:sz w:val="20"/>
        </w:rPr>
        <w:t>Anti‐Dumping</w:t>
      </w:r>
      <w:r>
        <w:rPr>
          <w:i/>
          <w:spacing w:val="-4"/>
          <w:sz w:val="20"/>
        </w:rPr>
        <w:t xml:space="preserve"> </w:t>
      </w:r>
      <w:r>
        <w:rPr>
          <w:i/>
          <w:sz w:val="20"/>
        </w:rPr>
        <w:t>and</w:t>
      </w:r>
      <w:r>
        <w:rPr>
          <w:i/>
          <w:spacing w:val="-5"/>
          <w:sz w:val="20"/>
        </w:rPr>
        <w:t xml:space="preserve"> </w:t>
      </w:r>
      <w:r>
        <w:rPr>
          <w:i/>
          <w:sz w:val="20"/>
        </w:rPr>
        <w:t>Countervailing</w:t>
      </w:r>
      <w:r>
        <w:rPr>
          <w:i/>
          <w:spacing w:val="-5"/>
          <w:sz w:val="20"/>
        </w:rPr>
        <w:t xml:space="preserve"> </w:t>
      </w:r>
      <w:r>
        <w:rPr>
          <w:i/>
          <w:sz w:val="20"/>
        </w:rPr>
        <w:t>Duty</w:t>
      </w:r>
      <w:r>
        <w:rPr>
          <w:i/>
          <w:spacing w:val="-4"/>
          <w:sz w:val="20"/>
        </w:rPr>
        <w:t xml:space="preserve"> </w:t>
      </w:r>
      <w:r>
        <w:rPr>
          <w:i/>
          <w:spacing w:val="-2"/>
          <w:sz w:val="20"/>
        </w:rPr>
        <w:t>Measures</w:t>
      </w:r>
      <w:r>
        <w:rPr>
          <w:i/>
          <w:sz w:val="20"/>
        </w:rPr>
        <w:tab/>
      </w:r>
      <w:r>
        <w:rPr>
          <w:sz w:val="20"/>
        </w:rPr>
        <w:t>Australia's</w:t>
      </w:r>
      <w:r>
        <w:rPr>
          <w:spacing w:val="-7"/>
          <w:sz w:val="20"/>
        </w:rPr>
        <w:t xml:space="preserve"> </w:t>
      </w:r>
      <w:r>
        <w:rPr>
          <w:sz w:val="20"/>
        </w:rPr>
        <w:t>First</w:t>
      </w:r>
      <w:r>
        <w:rPr>
          <w:spacing w:val="-2"/>
          <w:sz w:val="20"/>
        </w:rPr>
        <w:t xml:space="preserve"> </w:t>
      </w:r>
      <w:r>
        <w:rPr>
          <w:sz w:val="20"/>
        </w:rPr>
        <w:t>Written</w:t>
      </w:r>
      <w:r>
        <w:rPr>
          <w:spacing w:val="-2"/>
          <w:sz w:val="20"/>
        </w:rPr>
        <w:t xml:space="preserve"> Submission</w:t>
      </w:r>
    </w:p>
    <w:p w14:paraId="51DE8FA3" w14:textId="77777777" w:rsidR="0010369C" w:rsidRDefault="008E43AE">
      <w:pPr>
        <w:tabs>
          <w:tab w:val="left" w:pos="8228"/>
        </w:tabs>
        <w:spacing w:before="1"/>
        <w:ind w:left="239"/>
        <w:jc w:val="both"/>
        <w:rPr>
          <w:sz w:val="20"/>
        </w:rPr>
      </w:pPr>
      <w:r>
        <w:rPr>
          <w:i/>
          <w:sz w:val="20"/>
        </w:rPr>
        <w:t>on</w:t>
      </w:r>
      <w:r>
        <w:rPr>
          <w:i/>
          <w:spacing w:val="-1"/>
          <w:sz w:val="20"/>
        </w:rPr>
        <w:t xml:space="preserve"> </w:t>
      </w:r>
      <w:r>
        <w:rPr>
          <w:i/>
          <w:sz w:val="20"/>
        </w:rPr>
        <w:t>Wine</w:t>
      </w:r>
      <w:r>
        <w:rPr>
          <w:i/>
          <w:spacing w:val="-1"/>
          <w:sz w:val="20"/>
        </w:rPr>
        <w:t xml:space="preserve"> </w:t>
      </w:r>
      <w:r>
        <w:rPr>
          <w:i/>
          <w:sz w:val="20"/>
        </w:rPr>
        <w:t>from</w:t>
      </w:r>
      <w:r>
        <w:rPr>
          <w:i/>
          <w:spacing w:val="-3"/>
          <w:sz w:val="20"/>
        </w:rPr>
        <w:t xml:space="preserve"> </w:t>
      </w:r>
      <w:r>
        <w:rPr>
          <w:i/>
          <w:sz w:val="20"/>
        </w:rPr>
        <w:t>Australia</w:t>
      </w:r>
      <w:r>
        <w:rPr>
          <w:i/>
          <w:spacing w:val="-1"/>
          <w:sz w:val="20"/>
        </w:rPr>
        <w:t xml:space="preserve"> </w:t>
      </w:r>
      <w:r>
        <w:rPr>
          <w:spacing w:val="-2"/>
          <w:sz w:val="20"/>
        </w:rPr>
        <w:t>(DS602)</w:t>
      </w:r>
      <w:r>
        <w:rPr>
          <w:sz w:val="20"/>
        </w:rPr>
        <w:tab/>
        <w:t>29</w:t>
      </w:r>
      <w:r>
        <w:rPr>
          <w:spacing w:val="-1"/>
          <w:sz w:val="20"/>
        </w:rPr>
        <w:t xml:space="preserve"> </w:t>
      </w:r>
      <w:r>
        <w:rPr>
          <w:sz w:val="20"/>
        </w:rPr>
        <w:t>April</w:t>
      </w:r>
      <w:r>
        <w:rPr>
          <w:spacing w:val="-2"/>
          <w:sz w:val="20"/>
        </w:rPr>
        <w:t xml:space="preserve"> </w:t>
      </w:r>
      <w:r>
        <w:rPr>
          <w:spacing w:val="-4"/>
          <w:sz w:val="20"/>
        </w:rPr>
        <w:t>2022</w:t>
      </w:r>
    </w:p>
    <w:p w14:paraId="51DE8FA4" w14:textId="77777777" w:rsidR="0010369C" w:rsidRDefault="008E43AE">
      <w:pPr>
        <w:pStyle w:val="ListParagraph"/>
        <w:numPr>
          <w:ilvl w:val="2"/>
          <w:numId w:val="52"/>
        </w:numPr>
        <w:tabs>
          <w:tab w:val="left" w:pos="1940"/>
          <w:tab w:val="left" w:pos="1941"/>
        </w:tabs>
        <w:spacing w:before="35" w:line="357" w:lineRule="auto"/>
        <w:ind w:left="1938" w:right="613" w:hanging="850"/>
        <w:rPr>
          <w:sz w:val="24"/>
        </w:rPr>
      </w:pPr>
      <w:r>
        <w:rPr>
          <w:sz w:val="24"/>
        </w:rPr>
        <w:t>evidence on the investigation record concerning factors other than the subject imports of Australian wine that could potentially explain the significant suppression of domestic prices — in particular, the substantial volumes</w:t>
      </w:r>
      <w:r>
        <w:rPr>
          <w:spacing w:val="-11"/>
          <w:sz w:val="24"/>
        </w:rPr>
        <w:t xml:space="preserve"> </w:t>
      </w:r>
      <w:r>
        <w:rPr>
          <w:sz w:val="24"/>
        </w:rPr>
        <w:t>of</w:t>
      </w:r>
      <w:r>
        <w:rPr>
          <w:spacing w:val="-10"/>
          <w:sz w:val="24"/>
        </w:rPr>
        <w:t xml:space="preserve"> </w:t>
      </w:r>
      <w:r>
        <w:rPr>
          <w:sz w:val="24"/>
        </w:rPr>
        <w:t>like</w:t>
      </w:r>
      <w:r>
        <w:rPr>
          <w:spacing w:val="-9"/>
          <w:sz w:val="24"/>
        </w:rPr>
        <w:t xml:space="preserve"> </w:t>
      </w:r>
      <w:r>
        <w:rPr>
          <w:sz w:val="24"/>
        </w:rPr>
        <w:t>imports</w:t>
      </w:r>
      <w:r>
        <w:rPr>
          <w:spacing w:val="-10"/>
          <w:sz w:val="24"/>
        </w:rPr>
        <w:t xml:space="preserve"> </w:t>
      </w:r>
      <w:r>
        <w:rPr>
          <w:sz w:val="24"/>
        </w:rPr>
        <w:t>from</w:t>
      </w:r>
      <w:r>
        <w:rPr>
          <w:spacing w:val="-9"/>
          <w:sz w:val="24"/>
        </w:rPr>
        <w:t xml:space="preserve"> </w:t>
      </w:r>
      <w:r>
        <w:rPr>
          <w:sz w:val="24"/>
        </w:rPr>
        <w:t>third</w:t>
      </w:r>
      <w:r>
        <w:rPr>
          <w:spacing w:val="-10"/>
          <w:sz w:val="24"/>
        </w:rPr>
        <w:t xml:space="preserve"> </w:t>
      </w:r>
      <w:r>
        <w:rPr>
          <w:sz w:val="24"/>
        </w:rPr>
        <w:t>coun</w:t>
      </w:r>
      <w:r>
        <w:rPr>
          <w:sz w:val="24"/>
        </w:rPr>
        <w:t>tries</w:t>
      </w:r>
      <w:r>
        <w:rPr>
          <w:spacing w:val="-11"/>
          <w:sz w:val="24"/>
        </w:rPr>
        <w:t xml:space="preserve"> </w:t>
      </w:r>
      <w:r>
        <w:rPr>
          <w:sz w:val="24"/>
        </w:rPr>
        <w:t>whose</w:t>
      </w:r>
      <w:r>
        <w:rPr>
          <w:spacing w:val="-10"/>
          <w:sz w:val="24"/>
        </w:rPr>
        <w:t xml:space="preserve"> </w:t>
      </w:r>
      <w:r>
        <w:rPr>
          <w:sz w:val="24"/>
        </w:rPr>
        <w:t>average</w:t>
      </w:r>
      <w:r>
        <w:rPr>
          <w:spacing w:val="-9"/>
          <w:sz w:val="24"/>
        </w:rPr>
        <w:t xml:space="preserve"> </w:t>
      </w:r>
      <w:r>
        <w:rPr>
          <w:sz w:val="24"/>
        </w:rPr>
        <w:t>unit</w:t>
      </w:r>
      <w:r>
        <w:rPr>
          <w:spacing w:val="-10"/>
          <w:sz w:val="24"/>
        </w:rPr>
        <w:t xml:space="preserve"> </w:t>
      </w:r>
      <w:r>
        <w:rPr>
          <w:sz w:val="24"/>
        </w:rPr>
        <w:t>prices</w:t>
      </w:r>
      <w:r>
        <w:rPr>
          <w:spacing w:val="-10"/>
          <w:sz w:val="24"/>
        </w:rPr>
        <w:t xml:space="preserve"> </w:t>
      </w:r>
      <w:r>
        <w:rPr>
          <w:sz w:val="24"/>
        </w:rPr>
        <w:t>were similar to or less than the average unit prices of the domestic like products during the Injury POI;</w:t>
      </w:r>
      <w:r>
        <w:rPr>
          <w:sz w:val="24"/>
          <w:vertAlign w:val="superscript"/>
        </w:rPr>
        <w:t>700</w:t>
      </w:r>
      <w:r>
        <w:rPr>
          <w:sz w:val="24"/>
        </w:rPr>
        <w:t xml:space="preserve"> and</w:t>
      </w:r>
    </w:p>
    <w:p w14:paraId="51DE8FA5" w14:textId="77777777" w:rsidR="0010369C" w:rsidRDefault="008E43AE">
      <w:pPr>
        <w:pStyle w:val="ListParagraph"/>
        <w:numPr>
          <w:ilvl w:val="2"/>
          <w:numId w:val="52"/>
        </w:numPr>
        <w:tabs>
          <w:tab w:val="left" w:pos="1939"/>
          <w:tab w:val="left" w:pos="1940"/>
        </w:tabs>
        <w:spacing w:before="137" w:line="357" w:lineRule="auto"/>
        <w:ind w:right="613" w:hanging="850"/>
        <w:rPr>
          <w:sz w:val="24"/>
        </w:rPr>
      </w:pPr>
      <w:r>
        <w:rPr>
          <w:sz w:val="24"/>
        </w:rPr>
        <w:t>any</w:t>
      </w:r>
      <w:r>
        <w:rPr>
          <w:spacing w:val="-9"/>
          <w:sz w:val="24"/>
        </w:rPr>
        <w:t xml:space="preserve"> </w:t>
      </w:r>
      <w:r>
        <w:rPr>
          <w:sz w:val="24"/>
        </w:rPr>
        <w:t>other</w:t>
      </w:r>
      <w:r>
        <w:rPr>
          <w:spacing w:val="-9"/>
          <w:sz w:val="24"/>
        </w:rPr>
        <w:t xml:space="preserve"> </w:t>
      </w:r>
      <w:r>
        <w:rPr>
          <w:sz w:val="24"/>
        </w:rPr>
        <w:t>factors</w:t>
      </w:r>
      <w:r>
        <w:rPr>
          <w:spacing w:val="-10"/>
          <w:sz w:val="24"/>
        </w:rPr>
        <w:t xml:space="preserve"> </w:t>
      </w:r>
      <w:r>
        <w:rPr>
          <w:sz w:val="24"/>
        </w:rPr>
        <w:t>calling</w:t>
      </w:r>
      <w:r>
        <w:rPr>
          <w:spacing w:val="-10"/>
          <w:sz w:val="24"/>
        </w:rPr>
        <w:t xml:space="preserve"> </w:t>
      </w:r>
      <w:r>
        <w:rPr>
          <w:sz w:val="24"/>
        </w:rPr>
        <w:t>into</w:t>
      </w:r>
      <w:r>
        <w:rPr>
          <w:spacing w:val="-9"/>
          <w:sz w:val="24"/>
        </w:rPr>
        <w:t xml:space="preserve"> </w:t>
      </w:r>
      <w:r>
        <w:rPr>
          <w:sz w:val="24"/>
        </w:rPr>
        <w:t>question</w:t>
      </w:r>
      <w:r>
        <w:rPr>
          <w:spacing w:val="-9"/>
          <w:sz w:val="24"/>
        </w:rPr>
        <w:t xml:space="preserve"> </w:t>
      </w:r>
      <w:r>
        <w:rPr>
          <w:sz w:val="24"/>
        </w:rPr>
        <w:t>the</w:t>
      </w:r>
      <w:r>
        <w:rPr>
          <w:spacing w:val="-9"/>
          <w:sz w:val="24"/>
        </w:rPr>
        <w:t xml:space="preserve"> </w:t>
      </w:r>
      <w:r>
        <w:rPr>
          <w:sz w:val="24"/>
        </w:rPr>
        <w:t>"explanatory</w:t>
      </w:r>
      <w:r>
        <w:rPr>
          <w:spacing w:val="-10"/>
          <w:sz w:val="24"/>
        </w:rPr>
        <w:t xml:space="preserve"> </w:t>
      </w:r>
      <w:r>
        <w:rPr>
          <w:sz w:val="24"/>
        </w:rPr>
        <w:t>force"</w:t>
      </w:r>
      <w:r>
        <w:rPr>
          <w:spacing w:val="-10"/>
          <w:sz w:val="24"/>
        </w:rPr>
        <w:t xml:space="preserve"> </w:t>
      </w:r>
      <w:r>
        <w:rPr>
          <w:sz w:val="24"/>
        </w:rPr>
        <w:t>of</w:t>
      </w:r>
      <w:r>
        <w:rPr>
          <w:spacing w:val="-10"/>
          <w:sz w:val="24"/>
        </w:rPr>
        <w:t xml:space="preserve"> </w:t>
      </w:r>
      <w:r>
        <w:rPr>
          <w:sz w:val="24"/>
        </w:rPr>
        <w:t>the</w:t>
      </w:r>
      <w:r>
        <w:rPr>
          <w:spacing w:val="-9"/>
          <w:sz w:val="24"/>
        </w:rPr>
        <w:t xml:space="preserve"> </w:t>
      </w:r>
      <w:r>
        <w:rPr>
          <w:sz w:val="24"/>
        </w:rPr>
        <w:t>subject imports</w:t>
      </w:r>
      <w:r>
        <w:rPr>
          <w:spacing w:val="-14"/>
          <w:sz w:val="24"/>
        </w:rPr>
        <w:t xml:space="preserve"> </w:t>
      </w:r>
      <w:r>
        <w:rPr>
          <w:sz w:val="24"/>
        </w:rPr>
        <w:t>for</w:t>
      </w:r>
      <w:r>
        <w:rPr>
          <w:spacing w:val="-14"/>
          <w:sz w:val="24"/>
        </w:rPr>
        <w:t xml:space="preserve"> </w:t>
      </w:r>
      <w:r>
        <w:rPr>
          <w:sz w:val="24"/>
        </w:rPr>
        <w:t>the</w:t>
      </w:r>
      <w:r>
        <w:rPr>
          <w:spacing w:val="-13"/>
          <w:sz w:val="24"/>
        </w:rPr>
        <w:t xml:space="preserve"> </w:t>
      </w:r>
      <w:r>
        <w:rPr>
          <w:sz w:val="24"/>
        </w:rPr>
        <w:t>alleged</w:t>
      </w:r>
      <w:r>
        <w:rPr>
          <w:spacing w:val="-14"/>
          <w:sz w:val="24"/>
        </w:rPr>
        <w:t xml:space="preserve"> </w:t>
      </w:r>
      <w:r>
        <w:rPr>
          <w:sz w:val="24"/>
        </w:rPr>
        <w:t>price</w:t>
      </w:r>
      <w:r>
        <w:rPr>
          <w:spacing w:val="-13"/>
          <w:sz w:val="24"/>
        </w:rPr>
        <w:t xml:space="preserve"> </w:t>
      </w:r>
      <w:r>
        <w:rPr>
          <w:sz w:val="24"/>
        </w:rPr>
        <w:t>suppression,</w:t>
      </w:r>
      <w:r>
        <w:rPr>
          <w:spacing w:val="-14"/>
          <w:sz w:val="24"/>
        </w:rPr>
        <w:t xml:space="preserve"> </w:t>
      </w:r>
      <w:r>
        <w:rPr>
          <w:sz w:val="24"/>
        </w:rPr>
        <w:t>including</w:t>
      </w:r>
      <w:r>
        <w:rPr>
          <w:spacing w:val="-13"/>
          <w:sz w:val="24"/>
        </w:rPr>
        <w:t xml:space="preserve"> </w:t>
      </w:r>
      <w:r>
        <w:rPr>
          <w:sz w:val="24"/>
        </w:rPr>
        <w:t>the</w:t>
      </w:r>
      <w:r>
        <w:rPr>
          <w:spacing w:val="-14"/>
          <w:sz w:val="24"/>
        </w:rPr>
        <w:t xml:space="preserve"> </w:t>
      </w:r>
      <w:r>
        <w:rPr>
          <w:sz w:val="24"/>
        </w:rPr>
        <w:t>fact</w:t>
      </w:r>
      <w:r>
        <w:rPr>
          <w:spacing w:val="-14"/>
          <w:sz w:val="24"/>
        </w:rPr>
        <w:t xml:space="preserve"> </w:t>
      </w:r>
      <w:r>
        <w:rPr>
          <w:sz w:val="24"/>
        </w:rPr>
        <w:t>that,</w:t>
      </w:r>
      <w:r>
        <w:rPr>
          <w:spacing w:val="-13"/>
          <w:sz w:val="24"/>
        </w:rPr>
        <w:t xml:space="preserve"> </w:t>
      </w:r>
      <w:r>
        <w:rPr>
          <w:sz w:val="24"/>
        </w:rPr>
        <w:t xml:space="preserve">throughout the Injury POI, the average unit prices of the allegedly dumped subject imports were </w:t>
      </w:r>
      <w:r>
        <w:rPr>
          <w:i/>
          <w:sz w:val="24"/>
        </w:rPr>
        <w:t xml:space="preserve">much higher </w:t>
      </w:r>
      <w:r>
        <w:rPr>
          <w:sz w:val="24"/>
        </w:rPr>
        <w:t>than</w:t>
      </w:r>
      <w:r>
        <w:rPr>
          <w:spacing w:val="-1"/>
          <w:sz w:val="24"/>
        </w:rPr>
        <w:t xml:space="preserve"> </w:t>
      </w:r>
      <w:r>
        <w:rPr>
          <w:sz w:val="24"/>
        </w:rPr>
        <w:t>the average unit</w:t>
      </w:r>
      <w:r>
        <w:rPr>
          <w:spacing w:val="-1"/>
          <w:sz w:val="24"/>
        </w:rPr>
        <w:t xml:space="preserve"> </w:t>
      </w:r>
      <w:r>
        <w:rPr>
          <w:sz w:val="24"/>
        </w:rPr>
        <w:t xml:space="preserve">prices of the domestic like products — i.e. by annual margins of 16.28% to 72.99% </w:t>
      </w:r>
      <w:r>
        <w:rPr>
          <w:sz w:val="24"/>
        </w:rPr>
        <w:t>(which reflected annual differences of 5,848 RMB/kl to 23,371 RMB/kl).</w:t>
      </w:r>
    </w:p>
    <w:p w14:paraId="51DE8FA6" w14:textId="77777777" w:rsidR="0010369C" w:rsidRDefault="008E43AE">
      <w:pPr>
        <w:pStyle w:val="BodyText"/>
        <w:spacing w:before="135" w:line="360" w:lineRule="auto"/>
        <w:ind w:left="237" w:right="613" w:hanging="1"/>
        <w:jc w:val="both"/>
      </w:pPr>
      <w:r>
        <w:t>For these reasons, MOFCOM's price effects analysis and its finding that subject imports of Australian wine were causing suppression of the prices of domestic like products that prevented those prices from rising at a rate that would fully cover their incre</w:t>
      </w:r>
      <w:r>
        <w:t>asing costs are inconsistent with China's obligations under Articles 3.1 and 3.2 of the Anti‐Dumping Agreement. Additionally, MOFCOM failed to properly consider whether subject imports had "explanatory force" for the alleged suppression of prices of domest</w:t>
      </w:r>
      <w:r>
        <w:t>ic like products because MOFCOM: (i) did not conduct a counter factual examination; (ii) failed to consider evidence which demonstrated that subject imports were not undercutting or depressing domestic prices;</w:t>
      </w:r>
      <w:r>
        <w:rPr>
          <w:spacing w:val="-14"/>
        </w:rPr>
        <w:t xml:space="preserve"> </w:t>
      </w:r>
      <w:r>
        <w:t>and</w:t>
      </w:r>
      <w:r>
        <w:rPr>
          <w:spacing w:val="-13"/>
        </w:rPr>
        <w:t xml:space="preserve"> </w:t>
      </w:r>
      <w:r>
        <w:t>(iii)</w:t>
      </w:r>
      <w:r>
        <w:rPr>
          <w:spacing w:val="-13"/>
        </w:rPr>
        <w:t xml:space="preserve"> </w:t>
      </w:r>
      <w:r>
        <w:t>did</w:t>
      </w:r>
      <w:r>
        <w:rPr>
          <w:spacing w:val="-14"/>
        </w:rPr>
        <w:t xml:space="preserve"> </w:t>
      </w:r>
      <w:r>
        <w:t>not</w:t>
      </w:r>
      <w:r>
        <w:rPr>
          <w:spacing w:val="-13"/>
        </w:rPr>
        <w:t xml:space="preserve"> </w:t>
      </w:r>
      <w:r>
        <w:t>adequality</w:t>
      </w:r>
      <w:r>
        <w:rPr>
          <w:spacing w:val="-13"/>
        </w:rPr>
        <w:t xml:space="preserve"> </w:t>
      </w:r>
      <w:r>
        <w:t>consider</w:t>
      </w:r>
      <w:r>
        <w:rPr>
          <w:spacing w:val="-13"/>
        </w:rPr>
        <w:t xml:space="preserve"> </w:t>
      </w:r>
      <w:r>
        <w:t>year‐to‐</w:t>
      </w:r>
      <w:r>
        <w:t>year</w:t>
      </w:r>
      <w:r>
        <w:rPr>
          <w:spacing w:val="-13"/>
        </w:rPr>
        <w:t xml:space="preserve"> </w:t>
      </w:r>
      <w:r>
        <w:t>price</w:t>
      </w:r>
      <w:r>
        <w:rPr>
          <w:spacing w:val="-13"/>
        </w:rPr>
        <w:t xml:space="preserve"> </w:t>
      </w:r>
      <w:r>
        <w:t>fluctuations</w:t>
      </w:r>
      <w:r>
        <w:rPr>
          <w:spacing w:val="-14"/>
        </w:rPr>
        <w:t xml:space="preserve"> </w:t>
      </w:r>
      <w:r>
        <w:t>occurring</w:t>
      </w:r>
      <w:r>
        <w:rPr>
          <w:spacing w:val="-13"/>
        </w:rPr>
        <w:t xml:space="preserve"> </w:t>
      </w:r>
      <w:r>
        <w:t>during</w:t>
      </w:r>
      <w:r>
        <w:rPr>
          <w:spacing w:val="-13"/>
        </w:rPr>
        <w:t xml:space="preserve"> </w:t>
      </w:r>
      <w:r>
        <w:t>the Injury POI. Each of these arguments are examined below.</w:t>
      </w:r>
    </w:p>
    <w:p w14:paraId="51DE8FA7" w14:textId="77777777" w:rsidR="0010369C" w:rsidRDefault="008E43AE">
      <w:pPr>
        <w:pStyle w:val="ListParagraph"/>
        <w:numPr>
          <w:ilvl w:val="2"/>
          <w:numId w:val="54"/>
        </w:numPr>
        <w:tabs>
          <w:tab w:val="left" w:pos="3641"/>
          <w:tab w:val="left" w:pos="3642"/>
        </w:tabs>
        <w:spacing w:before="161" w:line="360" w:lineRule="auto"/>
        <w:ind w:right="614" w:hanging="853"/>
        <w:jc w:val="both"/>
        <w:rPr>
          <w:sz w:val="24"/>
        </w:rPr>
      </w:pPr>
      <w:r>
        <w:rPr>
          <w:sz w:val="24"/>
          <w:u w:val="single"/>
        </w:rPr>
        <w:t>MOFCOM's price suppression analysis did not include a</w:t>
      </w:r>
      <w:r>
        <w:rPr>
          <w:sz w:val="24"/>
        </w:rPr>
        <w:t xml:space="preserve"> </w:t>
      </w:r>
      <w:r>
        <w:rPr>
          <w:sz w:val="24"/>
          <w:u w:val="single"/>
        </w:rPr>
        <w:t>counterfactual analysis</w:t>
      </w:r>
    </w:p>
    <w:p w14:paraId="51DE8FA8" w14:textId="77777777" w:rsidR="0010369C" w:rsidRDefault="0010369C">
      <w:pPr>
        <w:pStyle w:val="BodyText"/>
        <w:spacing w:before="11"/>
        <w:rPr>
          <w:sz w:val="8"/>
        </w:rPr>
      </w:pPr>
    </w:p>
    <w:p w14:paraId="51DE8FA9" w14:textId="77777777" w:rsidR="0010369C" w:rsidRDefault="008E43AE">
      <w:pPr>
        <w:pStyle w:val="BodyText"/>
        <w:spacing w:before="52" w:line="360" w:lineRule="auto"/>
        <w:ind w:left="237" w:right="613" w:firstLine="851"/>
        <w:jc w:val="both"/>
      </w:pPr>
      <w:r>
        <w:rPr>
          <w:noProof/>
        </w:rPr>
        <w:drawing>
          <wp:anchor distT="0" distB="0" distL="0" distR="0" simplePos="0" relativeHeight="251227648" behindDoc="1" locked="0" layoutInCell="1" allowOverlap="1" wp14:anchorId="51DEA4D5" wp14:editId="51DEA4D6">
            <wp:simplePos x="0" y="0"/>
            <wp:positionH relativeFrom="page">
              <wp:posOffset>905255</wp:posOffset>
            </wp:positionH>
            <wp:positionV relativeFrom="paragraph">
              <wp:posOffset>76785</wp:posOffset>
            </wp:positionV>
            <wp:extent cx="259079" cy="106679"/>
            <wp:effectExtent l="0" t="0" r="0" b="0"/>
            <wp:wrapNone/>
            <wp:docPr id="1199" name="image6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 name="image620.png"/>
                    <pic:cNvPicPr/>
                  </pic:nvPicPr>
                  <pic:blipFill>
                    <a:blip r:embed="rId810" cstate="print"/>
                    <a:stretch>
                      <a:fillRect/>
                    </a:stretch>
                  </pic:blipFill>
                  <pic:spPr>
                    <a:xfrm>
                      <a:off x="0" y="0"/>
                      <a:ext cx="259079" cy="106679"/>
                    </a:xfrm>
                    <a:prstGeom prst="rect">
                      <a:avLst/>
                    </a:prstGeom>
                  </pic:spPr>
                </pic:pic>
              </a:graphicData>
            </a:graphic>
          </wp:anchor>
        </w:drawing>
      </w:r>
      <w:r>
        <w:t>MOFCOM</w:t>
      </w:r>
      <w:r>
        <w:rPr>
          <w:spacing w:val="-6"/>
        </w:rPr>
        <w:t xml:space="preserve"> </w:t>
      </w:r>
      <w:r>
        <w:t>failed</w:t>
      </w:r>
      <w:r>
        <w:rPr>
          <w:spacing w:val="-6"/>
        </w:rPr>
        <w:t xml:space="preserve"> </w:t>
      </w:r>
      <w:r>
        <w:t>to</w:t>
      </w:r>
      <w:r>
        <w:rPr>
          <w:spacing w:val="-6"/>
        </w:rPr>
        <w:t xml:space="preserve"> </w:t>
      </w:r>
      <w:r>
        <w:t>undertake</w:t>
      </w:r>
      <w:r>
        <w:rPr>
          <w:spacing w:val="-5"/>
        </w:rPr>
        <w:t xml:space="preserve"> </w:t>
      </w:r>
      <w:r>
        <w:t>a</w:t>
      </w:r>
      <w:r>
        <w:rPr>
          <w:spacing w:val="-6"/>
        </w:rPr>
        <w:t xml:space="preserve"> </w:t>
      </w:r>
      <w:r>
        <w:t>counterfactual</w:t>
      </w:r>
      <w:r>
        <w:rPr>
          <w:spacing w:val="-6"/>
        </w:rPr>
        <w:t xml:space="preserve"> </w:t>
      </w:r>
      <w:r>
        <w:t>analysis</w:t>
      </w:r>
      <w:r>
        <w:rPr>
          <w:spacing w:val="-7"/>
        </w:rPr>
        <w:t xml:space="preserve"> </w:t>
      </w:r>
      <w:r>
        <w:t>as</w:t>
      </w:r>
      <w:r>
        <w:rPr>
          <w:spacing w:val="-7"/>
        </w:rPr>
        <w:t xml:space="preserve"> </w:t>
      </w:r>
      <w:r>
        <w:t>part</w:t>
      </w:r>
      <w:r>
        <w:rPr>
          <w:spacing w:val="-6"/>
        </w:rPr>
        <w:t xml:space="preserve"> </w:t>
      </w:r>
      <w:r>
        <w:t>of</w:t>
      </w:r>
      <w:r>
        <w:rPr>
          <w:spacing w:val="-6"/>
        </w:rPr>
        <w:t xml:space="preserve"> </w:t>
      </w:r>
      <w:r>
        <w:t>its</w:t>
      </w:r>
      <w:r>
        <w:rPr>
          <w:spacing w:val="-6"/>
        </w:rPr>
        <w:t xml:space="preserve"> </w:t>
      </w:r>
      <w:r>
        <w:t>consideration</w:t>
      </w:r>
      <w:r>
        <w:rPr>
          <w:spacing w:val="-7"/>
        </w:rPr>
        <w:t xml:space="preserve"> </w:t>
      </w:r>
      <w:r>
        <w:t>of price suppression. The</w:t>
      </w:r>
      <w:r>
        <w:rPr>
          <w:spacing w:val="-1"/>
        </w:rPr>
        <w:t xml:space="preserve"> </w:t>
      </w:r>
      <w:r>
        <w:t>Appellate</w:t>
      </w:r>
      <w:r>
        <w:rPr>
          <w:spacing w:val="-1"/>
        </w:rPr>
        <w:t xml:space="preserve"> </w:t>
      </w:r>
      <w:r>
        <w:t>Body</w:t>
      </w:r>
      <w:r>
        <w:rPr>
          <w:spacing w:val="-1"/>
        </w:rPr>
        <w:t xml:space="preserve"> </w:t>
      </w:r>
      <w:r>
        <w:t>has</w:t>
      </w:r>
      <w:r>
        <w:rPr>
          <w:spacing w:val="-1"/>
        </w:rPr>
        <w:t xml:space="preserve"> </w:t>
      </w:r>
      <w:r>
        <w:t>concluded</w:t>
      </w:r>
      <w:r>
        <w:rPr>
          <w:spacing w:val="-2"/>
        </w:rPr>
        <w:t xml:space="preserve"> </w:t>
      </w:r>
      <w:r>
        <w:t>that</w:t>
      </w:r>
      <w:r>
        <w:rPr>
          <w:spacing w:val="-1"/>
        </w:rPr>
        <w:t xml:space="preserve"> </w:t>
      </w:r>
      <w:r>
        <w:t>the</w:t>
      </w:r>
      <w:r>
        <w:rPr>
          <w:spacing w:val="-1"/>
        </w:rPr>
        <w:t xml:space="preserve"> </w:t>
      </w:r>
      <w:r>
        <w:t>phrase "otherwise</w:t>
      </w:r>
      <w:r>
        <w:rPr>
          <w:spacing w:val="-1"/>
        </w:rPr>
        <w:t xml:space="preserve"> </w:t>
      </w:r>
      <w:r>
        <w:t>would</w:t>
      </w:r>
      <w:r>
        <w:rPr>
          <w:spacing w:val="-2"/>
        </w:rPr>
        <w:t xml:space="preserve"> </w:t>
      </w:r>
      <w:r>
        <w:t>have occurred" in the second sentence of Article 3.2 means that "price suppression cannot be properly</w:t>
      </w:r>
      <w:r>
        <w:rPr>
          <w:spacing w:val="18"/>
        </w:rPr>
        <w:t xml:space="preserve"> </w:t>
      </w:r>
      <w:r>
        <w:t>examined</w:t>
      </w:r>
      <w:r>
        <w:rPr>
          <w:spacing w:val="16"/>
        </w:rPr>
        <w:t xml:space="preserve"> </w:t>
      </w:r>
      <w:r>
        <w:t>without</w:t>
      </w:r>
      <w:r>
        <w:rPr>
          <w:spacing w:val="17"/>
        </w:rPr>
        <w:t xml:space="preserve"> </w:t>
      </w:r>
      <w:r>
        <w:t>a</w:t>
      </w:r>
      <w:r>
        <w:rPr>
          <w:spacing w:val="18"/>
        </w:rPr>
        <w:t xml:space="preserve"> </w:t>
      </w:r>
      <w:r>
        <w:t>consideration</w:t>
      </w:r>
      <w:r>
        <w:rPr>
          <w:spacing w:val="17"/>
        </w:rPr>
        <w:t xml:space="preserve"> </w:t>
      </w:r>
      <w:r>
        <w:t>of</w:t>
      </w:r>
      <w:r>
        <w:rPr>
          <w:spacing w:val="16"/>
        </w:rPr>
        <w:t xml:space="preserve"> </w:t>
      </w:r>
      <w:r>
        <w:t>whether,</w:t>
      </w:r>
      <w:r>
        <w:rPr>
          <w:spacing w:val="17"/>
        </w:rPr>
        <w:t xml:space="preserve"> </w:t>
      </w:r>
      <w:r>
        <w:t>in</w:t>
      </w:r>
      <w:r>
        <w:rPr>
          <w:spacing w:val="16"/>
        </w:rPr>
        <w:t xml:space="preserve"> </w:t>
      </w:r>
      <w:r>
        <w:t>the</w:t>
      </w:r>
      <w:r>
        <w:rPr>
          <w:spacing w:val="18"/>
        </w:rPr>
        <w:t xml:space="preserve"> </w:t>
      </w:r>
      <w:r>
        <w:t>absence</w:t>
      </w:r>
      <w:r>
        <w:rPr>
          <w:spacing w:val="18"/>
        </w:rPr>
        <w:t xml:space="preserve"> </w:t>
      </w:r>
      <w:r>
        <w:t>of</w:t>
      </w:r>
      <w:r>
        <w:rPr>
          <w:spacing w:val="17"/>
        </w:rPr>
        <w:t xml:space="preserve"> </w:t>
      </w:r>
      <w:r>
        <w:t>subject</w:t>
      </w:r>
      <w:r>
        <w:rPr>
          <w:spacing w:val="15"/>
        </w:rPr>
        <w:t xml:space="preserve"> </w:t>
      </w:r>
      <w:r>
        <w:rPr>
          <w:spacing w:val="-2"/>
        </w:rPr>
        <w:t>imports,</w:t>
      </w:r>
    </w:p>
    <w:p w14:paraId="51DE8FAA" w14:textId="77777777" w:rsidR="0010369C" w:rsidRDefault="0010369C">
      <w:pPr>
        <w:pStyle w:val="BodyText"/>
        <w:rPr>
          <w:sz w:val="20"/>
        </w:rPr>
      </w:pPr>
    </w:p>
    <w:p w14:paraId="51DE8FAB" w14:textId="77777777" w:rsidR="0010369C" w:rsidRDefault="0010369C">
      <w:pPr>
        <w:pStyle w:val="BodyText"/>
        <w:rPr>
          <w:sz w:val="20"/>
        </w:rPr>
      </w:pPr>
    </w:p>
    <w:p w14:paraId="51DE8FAC" w14:textId="77777777" w:rsidR="0010369C" w:rsidRDefault="008E43AE">
      <w:pPr>
        <w:pStyle w:val="BodyText"/>
        <w:spacing w:before="11"/>
        <w:rPr>
          <w:sz w:val="20"/>
        </w:rPr>
      </w:pPr>
      <w:r>
        <w:pict w14:anchorId="51DEA4D7">
          <v:rect id="docshape1086" o:spid="_x0000_s1298" style="position:absolute;margin-left:70.9pt;margin-top:13.95pt;width:2in;height:.8pt;z-index:-250819072;mso-wrap-distance-left:0;mso-wrap-distance-right:0;mso-position-horizontal-relative:page" fillcolor="black" stroked="f">
            <w10:wrap type="topAndBottom" anchorx="page"/>
          </v:rect>
        </w:pict>
      </w:r>
    </w:p>
    <w:p w14:paraId="51DE8FAD" w14:textId="77777777" w:rsidR="0010369C" w:rsidRDefault="008E43AE">
      <w:pPr>
        <w:spacing w:before="109"/>
        <w:ind w:left="238"/>
        <w:rPr>
          <w:sz w:val="18"/>
        </w:rPr>
      </w:pPr>
      <w:r>
        <w:rPr>
          <w:sz w:val="18"/>
          <w:vertAlign w:val="superscript"/>
        </w:rPr>
        <w:t>700</w:t>
      </w:r>
      <w:r>
        <w:rPr>
          <w:spacing w:val="-6"/>
          <w:sz w:val="18"/>
        </w:rPr>
        <w:t xml:space="preserve"> </w:t>
      </w:r>
      <w:r>
        <w:rPr>
          <w:sz w:val="18"/>
        </w:rPr>
        <w:t>For</w:t>
      </w:r>
      <w:r>
        <w:rPr>
          <w:spacing w:val="-5"/>
          <w:sz w:val="18"/>
        </w:rPr>
        <w:t xml:space="preserve"> </w:t>
      </w:r>
      <w:r>
        <w:rPr>
          <w:sz w:val="18"/>
        </w:rPr>
        <w:t>a</w:t>
      </w:r>
      <w:r>
        <w:rPr>
          <w:spacing w:val="-6"/>
          <w:sz w:val="18"/>
        </w:rPr>
        <w:t xml:space="preserve"> </w:t>
      </w:r>
      <w:r>
        <w:rPr>
          <w:sz w:val="18"/>
        </w:rPr>
        <w:t>full</w:t>
      </w:r>
      <w:r>
        <w:rPr>
          <w:spacing w:val="-5"/>
          <w:sz w:val="18"/>
        </w:rPr>
        <w:t xml:space="preserve"> </w:t>
      </w:r>
      <w:r>
        <w:rPr>
          <w:sz w:val="18"/>
        </w:rPr>
        <w:t>discussion</w:t>
      </w:r>
      <w:r>
        <w:rPr>
          <w:spacing w:val="-5"/>
          <w:sz w:val="18"/>
        </w:rPr>
        <w:t xml:space="preserve"> </w:t>
      </w:r>
      <w:r>
        <w:rPr>
          <w:sz w:val="18"/>
        </w:rPr>
        <w:t>of</w:t>
      </w:r>
      <w:r>
        <w:rPr>
          <w:spacing w:val="-5"/>
          <w:sz w:val="18"/>
        </w:rPr>
        <w:t xml:space="preserve"> </w:t>
      </w:r>
      <w:r>
        <w:rPr>
          <w:sz w:val="18"/>
        </w:rPr>
        <w:t>this</w:t>
      </w:r>
      <w:r>
        <w:rPr>
          <w:spacing w:val="-5"/>
          <w:sz w:val="18"/>
        </w:rPr>
        <w:t xml:space="preserve"> </w:t>
      </w:r>
      <w:r>
        <w:rPr>
          <w:sz w:val="18"/>
        </w:rPr>
        <w:t>evidence,</w:t>
      </w:r>
      <w:r>
        <w:rPr>
          <w:spacing w:val="-7"/>
          <w:sz w:val="18"/>
        </w:rPr>
        <w:t xml:space="preserve"> </w:t>
      </w:r>
      <w:r>
        <w:rPr>
          <w:sz w:val="18"/>
        </w:rPr>
        <w:t>see</w:t>
      </w:r>
      <w:r>
        <w:rPr>
          <w:spacing w:val="-5"/>
          <w:sz w:val="18"/>
        </w:rPr>
        <w:t xml:space="preserve"> </w:t>
      </w:r>
      <w:r>
        <w:rPr>
          <w:sz w:val="18"/>
        </w:rPr>
        <w:t>Section</w:t>
      </w:r>
      <w:r>
        <w:rPr>
          <w:spacing w:val="-4"/>
          <w:sz w:val="18"/>
        </w:rPr>
        <w:t xml:space="preserve"> </w:t>
      </w:r>
      <w:r>
        <w:rPr>
          <w:sz w:val="18"/>
        </w:rPr>
        <w:t>IV.E.8(b)</w:t>
      </w:r>
      <w:r>
        <w:rPr>
          <w:spacing w:val="-6"/>
          <w:sz w:val="18"/>
        </w:rPr>
        <w:t xml:space="preserve"> </w:t>
      </w:r>
      <w:r>
        <w:rPr>
          <w:sz w:val="18"/>
        </w:rPr>
        <w:t>below.</w:t>
      </w:r>
      <w:r>
        <w:rPr>
          <w:spacing w:val="-4"/>
          <w:sz w:val="18"/>
        </w:rPr>
        <w:t xml:space="preserve"> </w:t>
      </w:r>
      <w:r>
        <w:rPr>
          <w:sz w:val="18"/>
        </w:rPr>
        <w:t>See</w:t>
      </w:r>
      <w:r>
        <w:rPr>
          <w:spacing w:val="-6"/>
          <w:sz w:val="18"/>
        </w:rPr>
        <w:t xml:space="preserve"> </w:t>
      </w:r>
      <w:r>
        <w:rPr>
          <w:sz w:val="18"/>
        </w:rPr>
        <w:t>also</w:t>
      </w:r>
      <w:r>
        <w:rPr>
          <w:spacing w:val="-6"/>
          <w:sz w:val="18"/>
        </w:rPr>
        <w:t xml:space="preserve"> </w:t>
      </w:r>
      <w:r>
        <w:rPr>
          <w:sz w:val="18"/>
        </w:rPr>
        <w:t>below,</w:t>
      </w:r>
      <w:r>
        <w:rPr>
          <w:spacing w:val="-5"/>
          <w:sz w:val="18"/>
        </w:rPr>
        <w:t xml:space="preserve"> </w:t>
      </w:r>
      <w:r>
        <w:rPr>
          <w:sz w:val="18"/>
        </w:rPr>
        <w:t>Figure</w:t>
      </w:r>
      <w:r>
        <w:rPr>
          <w:spacing w:val="-5"/>
          <w:sz w:val="18"/>
        </w:rPr>
        <w:t xml:space="preserve"> </w:t>
      </w:r>
      <w:r>
        <w:rPr>
          <w:sz w:val="18"/>
        </w:rPr>
        <w:t>4</w:t>
      </w:r>
      <w:r>
        <w:rPr>
          <w:spacing w:val="-5"/>
          <w:sz w:val="18"/>
        </w:rPr>
        <w:t xml:space="preserve"> </w:t>
      </w:r>
      <w:r>
        <w:rPr>
          <w:sz w:val="18"/>
        </w:rPr>
        <w:t>at</w:t>
      </w:r>
      <w:r>
        <w:rPr>
          <w:spacing w:val="-6"/>
          <w:sz w:val="18"/>
        </w:rPr>
        <w:t xml:space="preserve"> </w:t>
      </w:r>
      <w:r>
        <w:rPr>
          <w:sz w:val="18"/>
        </w:rPr>
        <w:t>para.</w:t>
      </w:r>
      <w:r>
        <w:rPr>
          <w:spacing w:val="-6"/>
          <w:sz w:val="18"/>
        </w:rPr>
        <w:t xml:space="preserve"> </w:t>
      </w:r>
      <w:r>
        <w:rPr>
          <w:spacing w:val="-4"/>
          <w:sz w:val="18"/>
        </w:rPr>
        <w:t>701.</w:t>
      </w:r>
    </w:p>
    <w:p w14:paraId="51DE8FAE" w14:textId="77777777" w:rsidR="0010369C" w:rsidRDefault="0010369C">
      <w:pPr>
        <w:rPr>
          <w:sz w:val="18"/>
        </w:rPr>
        <w:sectPr w:rsidR="0010369C">
          <w:pgSz w:w="11910" w:h="16840"/>
          <w:pgMar w:top="880" w:right="800" w:bottom="980" w:left="1180" w:header="569" w:footer="788" w:gutter="0"/>
          <w:cols w:space="720"/>
        </w:sectPr>
      </w:pPr>
    </w:p>
    <w:p w14:paraId="51DE8FAF" w14:textId="77777777" w:rsidR="0010369C" w:rsidRDefault="008E43AE">
      <w:pPr>
        <w:tabs>
          <w:tab w:val="left" w:pos="6426"/>
        </w:tabs>
        <w:ind w:left="238"/>
        <w:rPr>
          <w:sz w:val="20"/>
        </w:rPr>
      </w:pPr>
      <w:r>
        <w:rPr>
          <w:i/>
          <w:sz w:val="20"/>
        </w:rPr>
        <w:lastRenderedPageBreak/>
        <w:t>China</w:t>
      </w:r>
      <w:r>
        <w:rPr>
          <w:i/>
          <w:spacing w:val="-5"/>
          <w:sz w:val="20"/>
        </w:rPr>
        <w:t xml:space="preserve"> </w:t>
      </w:r>
      <w:r>
        <w:rPr>
          <w:i/>
          <w:sz w:val="20"/>
        </w:rPr>
        <w:t>–</w:t>
      </w:r>
      <w:r>
        <w:rPr>
          <w:i/>
          <w:spacing w:val="-5"/>
          <w:sz w:val="20"/>
        </w:rPr>
        <w:t xml:space="preserve"> </w:t>
      </w:r>
      <w:r>
        <w:rPr>
          <w:i/>
          <w:sz w:val="20"/>
        </w:rPr>
        <w:t>Anti‐Dumping</w:t>
      </w:r>
      <w:r>
        <w:rPr>
          <w:i/>
          <w:spacing w:val="-4"/>
          <w:sz w:val="20"/>
        </w:rPr>
        <w:t xml:space="preserve"> </w:t>
      </w:r>
      <w:r>
        <w:rPr>
          <w:i/>
          <w:sz w:val="20"/>
        </w:rPr>
        <w:t>and</w:t>
      </w:r>
      <w:r>
        <w:rPr>
          <w:i/>
          <w:spacing w:val="-5"/>
          <w:sz w:val="20"/>
        </w:rPr>
        <w:t xml:space="preserve"> </w:t>
      </w:r>
      <w:r>
        <w:rPr>
          <w:i/>
          <w:sz w:val="20"/>
        </w:rPr>
        <w:t>Countervailing</w:t>
      </w:r>
      <w:r>
        <w:rPr>
          <w:i/>
          <w:spacing w:val="-5"/>
          <w:sz w:val="20"/>
        </w:rPr>
        <w:t xml:space="preserve"> </w:t>
      </w:r>
      <w:r>
        <w:rPr>
          <w:i/>
          <w:sz w:val="20"/>
        </w:rPr>
        <w:t>Duty</w:t>
      </w:r>
      <w:r>
        <w:rPr>
          <w:i/>
          <w:spacing w:val="-4"/>
          <w:sz w:val="20"/>
        </w:rPr>
        <w:t xml:space="preserve"> </w:t>
      </w:r>
      <w:r>
        <w:rPr>
          <w:i/>
          <w:spacing w:val="-2"/>
          <w:sz w:val="20"/>
        </w:rPr>
        <w:t>Measures</w:t>
      </w:r>
      <w:r>
        <w:rPr>
          <w:i/>
          <w:sz w:val="20"/>
        </w:rPr>
        <w:tab/>
      </w:r>
      <w:r>
        <w:rPr>
          <w:sz w:val="20"/>
        </w:rPr>
        <w:t>Australia's</w:t>
      </w:r>
      <w:r>
        <w:rPr>
          <w:spacing w:val="-7"/>
          <w:sz w:val="20"/>
        </w:rPr>
        <w:t xml:space="preserve"> </w:t>
      </w:r>
      <w:r>
        <w:rPr>
          <w:sz w:val="20"/>
        </w:rPr>
        <w:t>First</w:t>
      </w:r>
      <w:r>
        <w:rPr>
          <w:spacing w:val="-2"/>
          <w:sz w:val="20"/>
        </w:rPr>
        <w:t xml:space="preserve"> </w:t>
      </w:r>
      <w:r>
        <w:rPr>
          <w:sz w:val="20"/>
        </w:rPr>
        <w:t>Written</w:t>
      </w:r>
      <w:r>
        <w:rPr>
          <w:spacing w:val="-2"/>
          <w:sz w:val="20"/>
        </w:rPr>
        <w:t xml:space="preserve"> Submission</w:t>
      </w:r>
    </w:p>
    <w:p w14:paraId="51DE8FB0" w14:textId="77777777" w:rsidR="0010369C" w:rsidRDefault="008E43AE">
      <w:pPr>
        <w:tabs>
          <w:tab w:val="left" w:pos="8228"/>
        </w:tabs>
        <w:spacing w:before="1"/>
        <w:ind w:left="239"/>
        <w:rPr>
          <w:sz w:val="20"/>
        </w:rPr>
      </w:pPr>
      <w:r>
        <w:rPr>
          <w:i/>
          <w:sz w:val="20"/>
        </w:rPr>
        <w:t>on</w:t>
      </w:r>
      <w:r>
        <w:rPr>
          <w:i/>
          <w:spacing w:val="-1"/>
          <w:sz w:val="20"/>
        </w:rPr>
        <w:t xml:space="preserve"> </w:t>
      </w:r>
      <w:r>
        <w:rPr>
          <w:i/>
          <w:sz w:val="20"/>
        </w:rPr>
        <w:t>Wine</w:t>
      </w:r>
      <w:r>
        <w:rPr>
          <w:i/>
          <w:spacing w:val="-1"/>
          <w:sz w:val="20"/>
        </w:rPr>
        <w:t xml:space="preserve"> </w:t>
      </w:r>
      <w:r>
        <w:rPr>
          <w:i/>
          <w:sz w:val="20"/>
        </w:rPr>
        <w:t>from</w:t>
      </w:r>
      <w:r>
        <w:rPr>
          <w:i/>
          <w:spacing w:val="-3"/>
          <w:sz w:val="20"/>
        </w:rPr>
        <w:t xml:space="preserve"> </w:t>
      </w:r>
      <w:r>
        <w:rPr>
          <w:i/>
          <w:sz w:val="20"/>
        </w:rPr>
        <w:t>Australia</w:t>
      </w:r>
      <w:r>
        <w:rPr>
          <w:i/>
          <w:spacing w:val="-1"/>
          <w:sz w:val="20"/>
        </w:rPr>
        <w:t xml:space="preserve"> </w:t>
      </w:r>
      <w:r>
        <w:rPr>
          <w:spacing w:val="-2"/>
          <w:sz w:val="20"/>
        </w:rPr>
        <w:t>(DS602)</w:t>
      </w:r>
      <w:r>
        <w:rPr>
          <w:sz w:val="20"/>
        </w:rPr>
        <w:tab/>
        <w:t>29</w:t>
      </w:r>
      <w:r>
        <w:rPr>
          <w:spacing w:val="-1"/>
          <w:sz w:val="20"/>
        </w:rPr>
        <w:t xml:space="preserve"> </w:t>
      </w:r>
      <w:r>
        <w:rPr>
          <w:sz w:val="20"/>
        </w:rPr>
        <w:t>April</w:t>
      </w:r>
      <w:r>
        <w:rPr>
          <w:spacing w:val="-2"/>
          <w:sz w:val="20"/>
        </w:rPr>
        <w:t xml:space="preserve"> </w:t>
      </w:r>
      <w:r>
        <w:rPr>
          <w:spacing w:val="-4"/>
          <w:sz w:val="20"/>
        </w:rPr>
        <w:t>2022</w:t>
      </w:r>
    </w:p>
    <w:p w14:paraId="51DE8FB1" w14:textId="77777777" w:rsidR="0010369C" w:rsidRDefault="008E43AE">
      <w:pPr>
        <w:pStyle w:val="BodyText"/>
        <w:spacing w:before="34" w:line="360" w:lineRule="auto"/>
        <w:ind w:left="238" w:right="614"/>
      </w:pPr>
      <w:r>
        <w:t>prices 'otherwise would have' increased".</w:t>
      </w:r>
      <w:r>
        <w:rPr>
          <w:vertAlign w:val="superscript"/>
        </w:rPr>
        <w:t>701</w:t>
      </w:r>
      <w:r>
        <w:t xml:space="preserve"> In other words, a price suppression analysis for the purposes of Article 3.2 requires an analysis that is counterfactual in nature.</w:t>
      </w:r>
      <w:r>
        <w:rPr>
          <w:vertAlign w:val="superscript"/>
        </w:rPr>
        <w:t>702</w:t>
      </w:r>
    </w:p>
    <w:p w14:paraId="51DE8FB2" w14:textId="77777777" w:rsidR="0010369C" w:rsidRDefault="0010369C">
      <w:pPr>
        <w:pStyle w:val="BodyText"/>
        <w:spacing w:before="10"/>
        <w:rPr>
          <w:sz w:val="8"/>
        </w:rPr>
      </w:pPr>
    </w:p>
    <w:p w14:paraId="51DE8FB3" w14:textId="77777777" w:rsidR="0010369C" w:rsidRDefault="008E43AE">
      <w:pPr>
        <w:pStyle w:val="BodyText"/>
        <w:spacing w:before="52" w:line="360" w:lineRule="auto"/>
        <w:ind w:left="237" w:right="613" w:firstLine="851"/>
        <w:jc w:val="both"/>
      </w:pPr>
      <w:r>
        <w:rPr>
          <w:noProof/>
        </w:rPr>
        <w:drawing>
          <wp:anchor distT="0" distB="0" distL="0" distR="0" simplePos="0" relativeHeight="251228672" behindDoc="1" locked="0" layoutInCell="1" allowOverlap="1" wp14:anchorId="51DEA4D8" wp14:editId="51DEA4D9">
            <wp:simplePos x="0" y="0"/>
            <wp:positionH relativeFrom="page">
              <wp:posOffset>905255</wp:posOffset>
            </wp:positionH>
            <wp:positionV relativeFrom="paragraph">
              <wp:posOffset>76785</wp:posOffset>
            </wp:positionV>
            <wp:extent cx="259079" cy="106679"/>
            <wp:effectExtent l="0" t="0" r="0" b="0"/>
            <wp:wrapNone/>
            <wp:docPr id="1201" name="image6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 name="image621.png"/>
                    <pic:cNvPicPr/>
                  </pic:nvPicPr>
                  <pic:blipFill>
                    <a:blip r:embed="rId811" cstate="print"/>
                    <a:stretch>
                      <a:fillRect/>
                    </a:stretch>
                  </pic:blipFill>
                  <pic:spPr>
                    <a:xfrm>
                      <a:off x="0" y="0"/>
                      <a:ext cx="259079" cy="106679"/>
                    </a:xfrm>
                    <a:prstGeom prst="rect">
                      <a:avLst/>
                    </a:prstGeom>
                  </pic:spPr>
                </pic:pic>
              </a:graphicData>
            </a:graphic>
          </wp:anchor>
        </w:drawing>
      </w:r>
      <w:r>
        <w:t>The</w:t>
      </w:r>
      <w:r>
        <w:rPr>
          <w:spacing w:val="-2"/>
        </w:rPr>
        <w:t xml:space="preserve"> </w:t>
      </w:r>
      <w:r>
        <w:t>Final</w:t>
      </w:r>
      <w:r>
        <w:rPr>
          <w:spacing w:val="-2"/>
        </w:rPr>
        <w:t xml:space="preserve"> </w:t>
      </w:r>
      <w:r>
        <w:t>Determination</w:t>
      </w:r>
      <w:r>
        <w:rPr>
          <w:spacing w:val="-3"/>
        </w:rPr>
        <w:t xml:space="preserve"> </w:t>
      </w:r>
      <w:r>
        <w:t>does</w:t>
      </w:r>
      <w:r>
        <w:rPr>
          <w:spacing w:val="-3"/>
        </w:rPr>
        <w:t xml:space="preserve"> </w:t>
      </w:r>
      <w:r>
        <w:t>not</w:t>
      </w:r>
      <w:r>
        <w:rPr>
          <w:spacing w:val="-2"/>
        </w:rPr>
        <w:t xml:space="preserve"> </w:t>
      </w:r>
      <w:r>
        <w:t>contain</w:t>
      </w:r>
      <w:r>
        <w:rPr>
          <w:spacing w:val="-3"/>
        </w:rPr>
        <w:t xml:space="preserve"> </w:t>
      </w:r>
      <w:r>
        <w:t>any</w:t>
      </w:r>
      <w:r>
        <w:rPr>
          <w:spacing w:val="-2"/>
        </w:rPr>
        <w:t xml:space="preserve"> </w:t>
      </w:r>
      <w:r>
        <w:t>discussion</w:t>
      </w:r>
      <w:r>
        <w:rPr>
          <w:spacing w:val="-2"/>
        </w:rPr>
        <w:t xml:space="preserve"> </w:t>
      </w:r>
      <w:r>
        <w:t>or</w:t>
      </w:r>
      <w:r>
        <w:rPr>
          <w:spacing w:val="-2"/>
        </w:rPr>
        <w:t xml:space="preserve"> </w:t>
      </w:r>
      <w:r>
        <w:t>evidence</w:t>
      </w:r>
      <w:r>
        <w:rPr>
          <w:spacing w:val="-3"/>
        </w:rPr>
        <w:t xml:space="preserve"> </w:t>
      </w:r>
      <w:r>
        <w:t>to</w:t>
      </w:r>
      <w:r>
        <w:rPr>
          <w:spacing w:val="-2"/>
        </w:rPr>
        <w:t xml:space="preserve"> </w:t>
      </w:r>
      <w:r>
        <w:t>suggest</w:t>
      </w:r>
      <w:r>
        <w:rPr>
          <w:spacing w:val="-2"/>
        </w:rPr>
        <w:t xml:space="preserve"> </w:t>
      </w:r>
      <w:r>
        <w:t>that MOFCOM</w:t>
      </w:r>
      <w:r>
        <w:rPr>
          <w:spacing w:val="-12"/>
        </w:rPr>
        <w:t xml:space="preserve"> </w:t>
      </w:r>
      <w:r>
        <w:t>conducted</w:t>
      </w:r>
      <w:r>
        <w:rPr>
          <w:spacing w:val="-13"/>
        </w:rPr>
        <w:t xml:space="preserve"> </w:t>
      </w:r>
      <w:r>
        <w:t>a</w:t>
      </w:r>
      <w:r>
        <w:rPr>
          <w:spacing w:val="-13"/>
        </w:rPr>
        <w:t xml:space="preserve"> </w:t>
      </w:r>
      <w:r>
        <w:t>counterfactual</w:t>
      </w:r>
      <w:r>
        <w:rPr>
          <w:spacing w:val="-13"/>
        </w:rPr>
        <w:t xml:space="preserve"> </w:t>
      </w:r>
      <w:r>
        <w:t>analysis</w:t>
      </w:r>
      <w:r>
        <w:rPr>
          <w:spacing w:val="-13"/>
        </w:rPr>
        <w:t xml:space="preserve"> </w:t>
      </w:r>
      <w:r>
        <w:t>in</w:t>
      </w:r>
      <w:r>
        <w:rPr>
          <w:spacing w:val="-12"/>
        </w:rPr>
        <w:t xml:space="preserve"> </w:t>
      </w:r>
      <w:r>
        <w:t>the</w:t>
      </w:r>
      <w:r>
        <w:rPr>
          <w:spacing w:val="-12"/>
        </w:rPr>
        <w:t xml:space="preserve"> </w:t>
      </w:r>
      <w:r>
        <w:t>course</w:t>
      </w:r>
      <w:r>
        <w:rPr>
          <w:spacing w:val="-13"/>
        </w:rPr>
        <w:t xml:space="preserve"> </w:t>
      </w:r>
      <w:r>
        <w:t>of</w:t>
      </w:r>
      <w:r>
        <w:rPr>
          <w:spacing w:val="-12"/>
        </w:rPr>
        <w:t xml:space="preserve"> </w:t>
      </w:r>
      <w:r>
        <w:t>arriving</w:t>
      </w:r>
      <w:r>
        <w:rPr>
          <w:spacing w:val="-12"/>
        </w:rPr>
        <w:t xml:space="preserve"> </w:t>
      </w:r>
      <w:r>
        <w:t>at</w:t>
      </w:r>
      <w:r>
        <w:rPr>
          <w:spacing w:val="-12"/>
        </w:rPr>
        <w:t xml:space="preserve"> </w:t>
      </w:r>
      <w:r>
        <w:t>its</w:t>
      </w:r>
      <w:r>
        <w:rPr>
          <w:spacing w:val="-12"/>
        </w:rPr>
        <w:t xml:space="preserve"> </w:t>
      </w:r>
      <w:r>
        <w:t>price</w:t>
      </w:r>
      <w:r>
        <w:rPr>
          <w:spacing w:val="-11"/>
        </w:rPr>
        <w:t xml:space="preserve"> </w:t>
      </w:r>
      <w:r>
        <w:t>suppression finding.</w:t>
      </w:r>
      <w:r>
        <w:rPr>
          <w:spacing w:val="-14"/>
        </w:rPr>
        <w:t xml:space="preserve"> </w:t>
      </w:r>
      <w:r>
        <w:t>While</w:t>
      </w:r>
      <w:r>
        <w:rPr>
          <w:spacing w:val="-14"/>
        </w:rPr>
        <w:t xml:space="preserve"> </w:t>
      </w:r>
      <w:r>
        <w:t>the</w:t>
      </w:r>
      <w:r>
        <w:rPr>
          <w:spacing w:val="-13"/>
        </w:rPr>
        <w:t xml:space="preserve"> </w:t>
      </w:r>
      <w:r>
        <w:t>evidence</w:t>
      </w:r>
      <w:r>
        <w:rPr>
          <w:spacing w:val="-14"/>
        </w:rPr>
        <w:t xml:space="preserve"> </w:t>
      </w:r>
      <w:r>
        <w:t>discloses</w:t>
      </w:r>
      <w:r>
        <w:rPr>
          <w:spacing w:val="-13"/>
        </w:rPr>
        <w:t xml:space="preserve"> </w:t>
      </w:r>
      <w:r>
        <w:t>that</w:t>
      </w:r>
      <w:r>
        <w:rPr>
          <w:spacing w:val="-14"/>
        </w:rPr>
        <w:t xml:space="preserve"> </w:t>
      </w:r>
      <w:r>
        <w:t>the</w:t>
      </w:r>
      <w:r>
        <w:rPr>
          <w:spacing w:val="-13"/>
        </w:rPr>
        <w:t xml:space="preserve"> </w:t>
      </w:r>
      <w:r>
        <w:t>average</w:t>
      </w:r>
      <w:r>
        <w:rPr>
          <w:spacing w:val="-13"/>
        </w:rPr>
        <w:t xml:space="preserve"> </w:t>
      </w:r>
      <w:r>
        <w:t>unit</w:t>
      </w:r>
      <w:r>
        <w:rPr>
          <w:spacing w:val="-13"/>
        </w:rPr>
        <w:t xml:space="preserve"> </w:t>
      </w:r>
      <w:r>
        <w:t>price</w:t>
      </w:r>
      <w:r>
        <w:rPr>
          <w:spacing w:val="-14"/>
        </w:rPr>
        <w:t xml:space="preserve"> </w:t>
      </w:r>
      <w:r>
        <w:t>of</w:t>
      </w:r>
      <w:r>
        <w:rPr>
          <w:spacing w:val="-13"/>
        </w:rPr>
        <w:t xml:space="preserve"> </w:t>
      </w:r>
      <w:r>
        <w:t>domestic</w:t>
      </w:r>
      <w:r>
        <w:rPr>
          <w:spacing w:val="-13"/>
        </w:rPr>
        <w:t xml:space="preserve"> </w:t>
      </w:r>
      <w:r>
        <w:t>like</w:t>
      </w:r>
      <w:r>
        <w:rPr>
          <w:spacing w:val="-14"/>
        </w:rPr>
        <w:t xml:space="preserve"> </w:t>
      </w:r>
      <w:r>
        <w:t>produ</w:t>
      </w:r>
      <w:r>
        <w:t>cts</w:t>
      </w:r>
      <w:r>
        <w:rPr>
          <w:spacing w:val="-13"/>
        </w:rPr>
        <w:t xml:space="preserve"> </w:t>
      </w:r>
      <w:r>
        <w:t>rose steadily</w:t>
      </w:r>
      <w:r>
        <w:rPr>
          <w:spacing w:val="-3"/>
        </w:rPr>
        <w:t xml:space="preserve"> </w:t>
      </w:r>
      <w:r>
        <w:t>in</w:t>
      </w:r>
      <w:r>
        <w:rPr>
          <w:spacing w:val="-4"/>
        </w:rPr>
        <w:t xml:space="preserve"> </w:t>
      </w:r>
      <w:r>
        <w:t>China</w:t>
      </w:r>
      <w:r>
        <w:rPr>
          <w:spacing w:val="-3"/>
        </w:rPr>
        <w:t xml:space="preserve"> </w:t>
      </w:r>
      <w:r>
        <w:t>during</w:t>
      </w:r>
      <w:r>
        <w:rPr>
          <w:spacing w:val="-2"/>
        </w:rPr>
        <w:t xml:space="preserve"> </w:t>
      </w:r>
      <w:r>
        <w:t>the</w:t>
      </w:r>
      <w:r>
        <w:rPr>
          <w:spacing w:val="-3"/>
        </w:rPr>
        <w:t xml:space="preserve"> </w:t>
      </w:r>
      <w:r>
        <w:t>Injury</w:t>
      </w:r>
      <w:r>
        <w:rPr>
          <w:spacing w:val="-4"/>
        </w:rPr>
        <w:t xml:space="preserve"> </w:t>
      </w:r>
      <w:r>
        <w:t>POI,</w:t>
      </w:r>
      <w:r>
        <w:rPr>
          <w:spacing w:val="-4"/>
        </w:rPr>
        <w:t xml:space="preserve"> </w:t>
      </w:r>
      <w:r>
        <w:t>increasing</w:t>
      </w:r>
      <w:r>
        <w:rPr>
          <w:spacing w:val="-3"/>
        </w:rPr>
        <w:t xml:space="preserve"> </w:t>
      </w:r>
      <w:r>
        <w:t>a</w:t>
      </w:r>
      <w:r>
        <w:rPr>
          <w:spacing w:val="-4"/>
        </w:rPr>
        <w:t xml:space="preserve"> </w:t>
      </w:r>
      <w:r>
        <w:t>total</w:t>
      </w:r>
      <w:r>
        <w:rPr>
          <w:spacing w:val="-4"/>
        </w:rPr>
        <w:t xml:space="preserve"> </w:t>
      </w:r>
      <w:r>
        <w:t>of</w:t>
      </w:r>
      <w:r>
        <w:rPr>
          <w:spacing w:val="-4"/>
        </w:rPr>
        <w:t xml:space="preserve"> </w:t>
      </w:r>
      <w:r>
        <w:t>20.5%</w:t>
      </w:r>
      <w:r>
        <w:rPr>
          <w:spacing w:val="-4"/>
        </w:rPr>
        <w:t xml:space="preserve"> </w:t>
      </w:r>
      <w:r>
        <w:t>between</w:t>
      </w:r>
      <w:r>
        <w:rPr>
          <w:spacing w:val="-4"/>
        </w:rPr>
        <w:t xml:space="preserve"> </w:t>
      </w:r>
      <w:r>
        <w:t>2015</w:t>
      </w:r>
      <w:r>
        <w:rPr>
          <w:spacing w:val="-3"/>
        </w:rPr>
        <w:t xml:space="preserve"> </w:t>
      </w:r>
      <w:r>
        <w:t>and</w:t>
      </w:r>
      <w:r>
        <w:rPr>
          <w:spacing w:val="-3"/>
        </w:rPr>
        <w:t xml:space="preserve"> </w:t>
      </w:r>
      <w:r>
        <w:t>2019,</w:t>
      </w:r>
      <w:r>
        <w:rPr>
          <w:vertAlign w:val="superscript"/>
        </w:rPr>
        <w:t>703</w:t>
      </w:r>
      <w:r>
        <w:t xml:space="preserve"> there is no evidence indicating that domestic producers in China sought to raise their prices to higher levels or that they were precluded from doing so due to the (much higher) average unit</w:t>
      </w:r>
      <w:r>
        <w:rPr>
          <w:spacing w:val="-5"/>
        </w:rPr>
        <w:t xml:space="preserve"> </w:t>
      </w:r>
      <w:r>
        <w:t>price</w:t>
      </w:r>
      <w:r>
        <w:rPr>
          <w:spacing w:val="-5"/>
        </w:rPr>
        <w:t xml:space="preserve"> </w:t>
      </w:r>
      <w:r>
        <w:t>of</w:t>
      </w:r>
      <w:r>
        <w:rPr>
          <w:spacing w:val="-8"/>
        </w:rPr>
        <w:t xml:space="preserve"> </w:t>
      </w:r>
      <w:r>
        <w:t>subject</w:t>
      </w:r>
      <w:r>
        <w:rPr>
          <w:spacing w:val="-5"/>
        </w:rPr>
        <w:t xml:space="preserve"> </w:t>
      </w:r>
      <w:r>
        <w:t>imports.</w:t>
      </w:r>
      <w:r>
        <w:rPr>
          <w:spacing w:val="-5"/>
        </w:rPr>
        <w:t xml:space="preserve"> </w:t>
      </w:r>
      <w:r>
        <w:t>Rather,</w:t>
      </w:r>
      <w:r>
        <w:rPr>
          <w:spacing w:val="-6"/>
        </w:rPr>
        <w:t xml:space="preserve"> </w:t>
      </w:r>
      <w:r>
        <w:t>the</w:t>
      </w:r>
      <w:r>
        <w:rPr>
          <w:spacing w:val="-6"/>
        </w:rPr>
        <w:t xml:space="preserve"> </w:t>
      </w:r>
      <w:r>
        <w:t>evidence</w:t>
      </w:r>
      <w:r>
        <w:rPr>
          <w:spacing w:val="-5"/>
        </w:rPr>
        <w:t xml:space="preserve"> </w:t>
      </w:r>
      <w:r>
        <w:t>established</w:t>
      </w:r>
      <w:r>
        <w:rPr>
          <w:spacing w:val="-6"/>
        </w:rPr>
        <w:t xml:space="preserve"> </w:t>
      </w:r>
      <w:r>
        <w:t>that,</w:t>
      </w:r>
      <w:r>
        <w:rPr>
          <w:spacing w:val="-5"/>
        </w:rPr>
        <w:t xml:space="preserve"> </w:t>
      </w:r>
      <w:r>
        <w:t>on</w:t>
      </w:r>
      <w:r>
        <w:rPr>
          <w:spacing w:val="-6"/>
        </w:rPr>
        <w:t xml:space="preserve"> </w:t>
      </w:r>
      <w:r>
        <w:t>average,</w:t>
      </w:r>
      <w:r>
        <w:rPr>
          <w:spacing w:val="-7"/>
        </w:rPr>
        <w:t xml:space="preserve"> </w:t>
      </w:r>
      <w:r>
        <w:t>domestic</w:t>
      </w:r>
      <w:r>
        <w:rPr>
          <w:spacing w:val="-5"/>
        </w:rPr>
        <w:t xml:space="preserve"> </w:t>
      </w:r>
      <w:r>
        <w:t>like products were cheaper than subject imports, by a significant margin, for every year in the Injury POI. This indicates that there was ample opportunity for the price of domestic like products to be further increased before competi</w:t>
      </w:r>
      <w:r>
        <w:t>tion with subject imports based on price would become an issue.</w:t>
      </w:r>
    </w:p>
    <w:p w14:paraId="51DE8FB4" w14:textId="77777777" w:rsidR="0010369C" w:rsidRDefault="008E43AE">
      <w:pPr>
        <w:pStyle w:val="ListParagraph"/>
        <w:numPr>
          <w:ilvl w:val="2"/>
          <w:numId w:val="54"/>
        </w:numPr>
        <w:tabs>
          <w:tab w:val="left" w:pos="3641"/>
          <w:tab w:val="left" w:pos="3642"/>
        </w:tabs>
        <w:spacing w:before="160" w:line="360" w:lineRule="auto"/>
        <w:ind w:right="612" w:hanging="854"/>
        <w:jc w:val="both"/>
        <w:rPr>
          <w:sz w:val="24"/>
        </w:rPr>
      </w:pPr>
      <w:r>
        <w:rPr>
          <w:sz w:val="24"/>
          <w:u w:val="single"/>
        </w:rPr>
        <w:t>MOFCOM</w:t>
      </w:r>
      <w:r>
        <w:rPr>
          <w:spacing w:val="-9"/>
          <w:sz w:val="24"/>
          <w:u w:val="single"/>
        </w:rPr>
        <w:t xml:space="preserve"> </w:t>
      </w:r>
      <w:r>
        <w:rPr>
          <w:sz w:val="24"/>
          <w:u w:val="single"/>
        </w:rPr>
        <w:t>failed</w:t>
      </w:r>
      <w:r>
        <w:rPr>
          <w:spacing w:val="-10"/>
          <w:sz w:val="24"/>
          <w:u w:val="single"/>
        </w:rPr>
        <w:t xml:space="preserve"> </w:t>
      </w:r>
      <w:r>
        <w:rPr>
          <w:sz w:val="24"/>
          <w:u w:val="single"/>
        </w:rPr>
        <w:t>to</w:t>
      </w:r>
      <w:r>
        <w:rPr>
          <w:spacing w:val="-10"/>
          <w:sz w:val="24"/>
          <w:u w:val="single"/>
        </w:rPr>
        <w:t xml:space="preserve"> </w:t>
      </w:r>
      <w:r>
        <w:rPr>
          <w:sz w:val="24"/>
          <w:u w:val="single"/>
        </w:rPr>
        <w:t>consider</w:t>
      </w:r>
      <w:r>
        <w:rPr>
          <w:spacing w:val="-10"/>
          <w:sz w:val="24"/>
          <w:u w:val="single"/>
        </w:rPr>
        <w:t xml:space="preserve"> </w:t>
      </w:r>
      <w:r>
        <w:rPr>
          <w:sz w:val="24"/>
          <w:u w:val="single"/>
        </w:rPr>
        <w:t>all</w:t>
      </w:r>
      <w:r>
        <w:rPr>
          <w:spacing w:val="-11"/>
          <w:sz w:val="24"/>
          <w:u w:val="single"/>
        </w:rPr>
        <w:t xml:space="preserve"> </w:t>
      </w:r>
      <w:r>
        <w:rPr>
          <w:sz w:val="24"/>
          <w:u w:val="single"/>
        </w:rPr>
        <w:t>of</w:t>
      </w:r>
      <w:r>
        <w:rPr>
          <w:spacing w:val="-10"/>
          <w:sz w:val="24"/>
          <w:u w:val="single"/>
        </w:rPr>
        <w:t xml:space="preserve"> </w:t>
      </w:r>
      <w:r>
        <w:rPr>
          <w:sz w:val="24"/>
          <w:u w:val="single"/>
        </w:rPr>
        <w:t>the</w:t>
      </w:r>
      <w:r>
        <w:rPr>
          <w:spacing w:val="-10"/>
          <w:sz w:val="24"/>
          <w:u w:val="single"/>
        </w:rPr>
        <w:t xml:space="preserve"> </w:t>
      </w:r>
      <w:r>
        <w:rPr>
          <w:sz w:val="24"/>
          <w:u w:val="single"/>
        </w:rPr>
        <w:t>relevant</w:t>
      </w:r>
      <w:r>
        <w:rPr>
          <w:spacing w:val="-10"/>
          <w:sz w:val="24"/>
          <w:u w:val="single"/>
        </w:rPr>
        <w:t xml:space="preserve"> </w:t>
      </w:r>
      <w:r>
        <w:rPr>
          <w:sz w:val="24"/>
          <w:u w:val="single"/>
        </w:rPr>
        <w:t>evidence</w:t>
      </w:r>
      <w:r>
        <w:rPr>
          <w:spacing w:val="-11"/>
          <w:sz w:val="24"/>
          <w:u w:val="single"/>
        </w:rPr>
        <w:t xml:space="preserve"> </w:t>
      </w:r>
      <w:r>
        <w:rPr>
          <w:sz w:val="24"/>
          <w:u w:val="single"/>
        </w:rPr>
        <w:t>on</w:t>
      </w:r>
      <w:r>
        <w:rPr>
          <w:sz w:val="24"/>
        </w:rPr>
        <w:t xml:space="preserve"> </w:t>
      </w:r>
      <w:r>
        <w:rPr>
          <w:sz w:val="24"/>
          <w:u w:val="single"/>
        </w:rPr>
        <w:t>the record relating to price undercutting and price</w:t>
      </w:r>
      <w:r>
        <w:rPr>
          <w:sz w:val="24"/>
        </w:rPr>
        <w:t xml:space="preserve"> </w:t>
      </w:r>
      <w:r>
        <w:rPr>
          <w:spacing w:val="-2"/>
          <w:sz w:val="24"/>
          <w:u w:val="single"/>
        </w:rPr>
        <w:t>depression</w:t>
      </w:r>
    </w:p>
    <w:p w14:paraId="51DE8FB5" w14:textId="77777777" w:rsidR="0010369C" w:rsidRDefault="0010369C">
      <w:pPr>
        <w:pStyle w:val="BodyText"/>
        <w:spacing w:before="11"/>
        <w:rPr>
          <w:sz w:val="8"/>
        </w:rPr>
      </w:pPr>
    </w:p>
    <w:p w14:paraId="51DE8FB6" w14:textId="77777777" w:rsidR="0010369C" w:rsidRDefault="008E43AE">
      <w:pPr>
        <w:pStyle w:val="BodyText"/>
        <w:spacing w:before="52" w:line="360" w:lineRule="auto"/>
        <w:ind w:left="237" w:right="613" w:firstLine="851"/>
        <w:jc w:val="both"/>
      </w:pPr>
      <w:r>
        <w:rPr>
          <w:noProof/>
        </w:rPr>
        <w:drawing>
          <wp:anchor distT="0" distB="0" distL="0" distR="0" simplePos="0" relativeHeight="251229696" behindDoc="1" locked="0" layoutInCell="1" allowOverlap="1" wp14:anchorId="51DEA4DA" wp14:editId="51DEA4DB">
            <wp:simplePos x="0" y="0"/>
            <wp:positionH relativeFrom="page">
              <wp:posOffset>905255</wp:posOffset>
            </wp:positionH>
            <wp:positionV relativeFrom="paragraph">
              <wp:posOffset>81357</wp:posOffset>
            </wp:positionV>
            <wp:extent cx="259079" cy="103631"/>
            <wp:effectExtent l="0" t="0" r="0" b="0"/>
            <wp:wrapNone/>
            <wp:docPr id="1203" name="image6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 name="image622.png"/>
                    <pic:cNvPicPr/>
                  </pic:nvPicPr>
                  <pic:blipFill>
                    <a:blip r:embed="rId812" cstate="print"/>
                    <a:stretch>
                      <a:fillRect/>
                    </a:stretch>
                  </pic:blipFill>
                  <pic:spPr>
                    <a:xfrm>
                      <a:off x="0" y="0"/>
                      <a:ext cx="259079" cy="103631"/>
                    </a:xfrm>
                    <a:prstGeom prst="rect">
                      <a:avLst/>
                    </a:prstGeom>
                  </pic:spPr>
                </pic:pic>
              </a:graphicData>
            </a:graphic>
          </wp:anchor>
        </w:drawing>
      </w:r>
      <w:r>
        <w:t>MOFCOM's price effects analysis focuses solely on price suppression. There is no evidence on the record to show that MOFCOM considered price undercutting or depression. To the contrary, the evidence relating to the average unit prices of subject imports an</w:t>
      </w:r>
      <w:r>
        <w:t>d domestic like products clearly indicates that there was no significant price undercutting or price depression occurring in the prices of domestic like products during the Injury POI.</w:t>
      </w:r>
    </w:p>
    <w:p w14:paraId="51DE8FB7" w14:textId="77777777" w:rsidR="0010369C" w:rsidRDefault="0010369C">
      <w:pPr>
        <w:pStyle w:val="BodyText"/>
        <w:spacing w:before="10"/>
        <w:rPr>
          <w:sz w:val="8"/>
        </w:rPr>
      </w:pPr>
    </w:p>
    <w:p w14:paraId="51DE8FB8" w14:textId="77777777" w:rsidR="0010369C" w:rsidRDefault="008E43AE">
      <w:pPr>
        <w:pStyle w:val="BodyText"/>
        <w:spacing w:before="51" w:line="360" w:lineRule="auto"/>
        <w:ind w:left="238" w:right="614" w:firstLine="851"/>
        <w:jc w:val="both"/>
      </w:pPr>
      <w:r>
        <w:rPr>
          <w:noProof/>
        </w:rPr>
        <w:drawing>
          <wp:anchor distT="0" distB="0" distL="0" distR="0" simplePos="0" relativeHeight="251230720" behindDoc="1" locked="0" layoutInCell="1" allowOverlap="1" wp14:anchorId="51DEA4DC" wp14:editId="51DEA4DD">
            <wp:simplePos x="0" y="0"/>
            <wp:positionH relativeFrom="page">
              <wp:posOffset>905255</wp:posOffset>
            </wp:positionH>
            <wp:positionV relativeFrom="paragraph">
              <wp:posOffset>80723</wp:posOffset>
            </wp:positionV>
            <wp:extent cx="259079" cy="103631"/>
            <wp:effectExtent l="0" t="0" r="0" b="0"/>
            <wp:wrapNone/>
            <wp:docPr id="1205" name="image6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 name="image623.png"/>
                    <pic:cNvPicPr/>
                  </pic:nvPicPr>
                  <pic:blipFill>
                    <a:blip r:embed="rId813" cstate="print"/>
                    <a:stretch>
                      <a:fillRect/>
                    </a:stretch>
                  </pic:blipFill>
                  <pic:spPr>
                    <a:xfrm>
                      <a:off x="0" y="0"/>
                      <a:ext cx="259079" cy="103631"/>
                    </a:xfrm>
                    <a:prstGeom prst="rect">
                      <a:avLst/>
                    </a:prstGeom>
                  </pic:spPr>
                </pic:pic>
              </a:graphicData>
            </a:graphic>
          </wp:anchor>
        </w:drawing>
      </w:r>
      <w:r>
        <w:t>Australia acknowledges that an investigating authority may consider w</w:t>
      </w:r>
      <w:r>
        <w:t>hether there has</w:t>
      </w:r>
      <w:r>
        <w:rPr>
          <w:spacing w:val="-4"/>
        </w:rPr>
        <w:t xml:space="preserve"> </w:t>
      </w:r>
      <w:r>
        <w:t>been</w:t>
      </w:r>
      <w:r>
        <w:rPr>
          <w:spacing w:val="-4"/>
        </w:rPr>
        <w:t xml:space="preserve"> </w:t>
      </w:r>
      <w:r>
        <w:t>significant</w:t>
      </w:r>
      <w:r>
        <w:rPr>
          <w:spacing w:val="-3"/>
        </w:rPr>
        <w:t xml:space="preserve"> </w:t>
      </w:r>
      <w:r>
        <w:t>price</w:t>
      </w:r>
      <w:r>
        <w:rPr>
          <w:spacing w:val="-3"/>
        </w:rPr>
        <w:t xml:space="preserve"> </w:t>
      </w:r>
      <w:r>
        <w:t>undercutting,</w:t>
      </w:r>
      <w:r>
        <w:rPr>
          <w:spacing w:val="-3"/>
        </w:rPr>
        <w:t xml:space="preserve"> </w:t>
      </w:r>
      <w:r>
        <w:t>price</w:t>
      </w:r>
      <w:r>
        <w:rPr>
          <w:spacing w:val="-3"/>
        </w:rPr>
        <w:t xml:space="preserve"> </w:t>
      </w:r>
      <w:r>
        <w:t>depression,</w:t>
      </w:r>
      <w:r>
        <w:rPr>
          <w:spacing w:val="-3"/>
        </w:rPr>
        <w:t xml:space="preserve"> </w:t>
      </w:r>
      <w:r>
        <w:t>or</w:t>
      </w:r>
      <w:r>
        <w:rPr>
          <w:spacing w:val="-5"/>
        </w:rPr>
        <w:t xml:space="preserve"> </w:t>
      </w:r>
      <w:r>
        <w:t>price</w:t>
      </w:r>
      <w:r>
        <w:rPr>
          <w:spacing w:val="-3"/>
        </w:rPr>
        <w:t xml:space="preserve"> </w:t>
      </w:r>
      <w:r>
        <w:t>suppression</w:t>
      </w:r>
      <w:r>
        <w:rPr>
          <w:spacing w:val="-4"/>
        </w:rPr>
        <w:t xml:space="preserve"> </w:t>
      </w:r>
      <w:r>
        <w:t>independently of one another and that a finding is not required in relation to all three price effects.</w:t>
      </w:r>
      <w:r>
        <w:rPr>
          <w:vertAlign w:val="superscript"/>
        </w:rPr>
        <w:t>704</w:t>
      </w:r>
      <w:r>
        <w:t xml:space="preserve"> However, as the panel in </w:t>
      </w:r>
      <w:r>
        <w:rPr>
          <w:i/>
        </w:rPr>
        <w:t xml:space="preserve">China – Cellulose Pulp </w:t>
      </w:r>
      <w:r>
        <w:t>observed</w:t>
      </w:r>
      <w:r>
        <w:t>:</w:t>
      </w:r>
    </w:p>
    <w:p w14:paraId="51DE8FB9" w14:textId="77777777" w:rsidR="0010369C" w:rsidRDefault="008E43AE">
      <w:pPr>
        <w:spacing w:before="162" w:line="276" w:lineRule="auto"/>
        <w:ind w:left="1089" w:right="613" w:hanging="1"/>
        <w:jc w:val="both"/>
      </w:pPr>
      <w:r>
        <w:t>reliance on only one of these price effects in the context of a determination that dumped imports</w:t>
      </w:r>
      <w:r>
        <w:rPr>
          <w:spacing w:val="31"/>
        </w:rPr>
        <w:t xml:space="preserve"> </w:t>
      </w:r>
      <w:r>
        <w:t>are</w:t>
      </w:r>
      <w:r>
        <w:rPr>
          <w:spacing w:val="31"/>
        </w:rPr>
        <w:t xml:space="preserve"> </w:t>
      </w:r>
      <w:r>
        <w:t>causing</w:t>
      </w:r>
      <w:r>
        <w:rPr>
          <w:spacing w:val="29"/>
        </w:rPr>
        <w:t xml:space="preserve"> </w:t>
      </w:r>
      <w:r>
        <w:t>injury</w:t>
      </w:r>
      <w:r>
        <w:rPr>
          <w:spacing w:val="30"/>
        </w:rPr>
        <w:t xml:space="preserve"> </w:t>
      </w:r>
      <w:r>
        <w:t>will</w:t>
      </w:r>
      <w:r>
        <w:rPr>
          <w:spacing w:val="30"/>
        </w:rPr>
        <w:t xml:space="preserve"> </w:t>
      </w:r>
      <w:r>
        <w:t>only</w:t>
      </w:r>
      <w:r>
        <w:rPr>
          <w:spacing w:val="30"/>
        </w:rPr>
        <w:t xml:space="preserve"> </w:t>
      </w:r>
      <w:r>
        <w:t>be</w:t>
      </w:r>
      <w:r>
        <w:rPr>
          <w:spacing w:val="30"/>
        </w:rPr>
        <w:t xml:space="preserve"> </w:t>
      </w:r>
      <w:r>
        <w:t>consistent</w:t>
      </w:r>
      <w:r>
        <w:rPr>
          <w:spacing w:val="30"/>
        </w:rPr>
        <w:t xml:space="preserve"> </w:t>
      </w:r>
      <w:r>
        <w:t>with</w:t>
      </w:r>
      <w:r>
        <w:rPr>
          <w:spacing w:val="30"/>
        </w:rPr>
        <w:t xml:space="preserve"> </w:t>
      </w:r>
      <w:r>
        <w:t>Article</w:t>
      </w:r>
      <w:r>
        <w:rPr>
          <w:spacing w:val="31"/>
        </w:rPr>
        <w:t xml:space="preserve"> </w:t>
      </w:r>
      <w:r>
        <w:t>3.1</w:t>
      </w:r>
      <w:r>
        <w:rPr>
          <w:spacing w:val="30"/>
        </w:rPr>
        <w:t xml:space="preserve"> </w:t>
      </w:r>
      <w:r>
        <w:t>to</w:t>
      </w:r>
      <w:r>
        <w:rPr>
          <w:spacing w:val="30"/>
        </w:rPr>
        <w:t xml:space="preserve"> </w:t>
      </w:r>
      <w:r>
        <w:t>the</w:t>
      </w:r>
      <w:r>
        <w:rPr>
          <w:spacing w:val="30"/>
        </w:rPr>
        <w:t xml:space="preserve"> </w:t>
      </w:r>
      <w:r>
        <w:t>extent</w:t>
      </w:r>
      <w:r>
        <w:rPr>
          <w:spacing w:val="30"/>
        </w:rPr>
        <w:t xml:space="preserve"> </w:t>
      </w:r>
      <w:r>
        <w:t>that</w:t>
      </w:r>
      <w:r>
        <w:rPr>
          <w:spacing w:val="29"/>
        </w:rPr>
        <w:t xml:space="preserve"> </w:t>
      </w:r>
      <w:r>
        <w:t>the</w:t>
      </w:r>
    </w:p>
    <w:p w14:paraId="51DE8FBA" w14:textId="77777777" w:rsidR="0010369C" w:rsidRDefault="008E43AE">
      <w:pPr>
        <w:pStyle w:val="BodyText"/>
        <w:spacing w:before="7"/>
        <w:rPr>
          <w:sz w:val="28"/>
        </w:rPr>
      </w:pPr>
      <w:r>
        <w:pict w14:anchorId="51DEA4DE">
          <v:rect id="docshape1087" o:spid="_x0000_s1297" style="position:absolute;margin-left:70.9pt;margin-top:18.7pt;width:2in;height:.8pt;z-index:-250818048;mso-wrap-distance-left:0;mso-wrap-distance-right:0;mso-position-horizontal-relative:page" fillcolor="black" stroked="f">
            <w10:wrap type="topAndBottom" anchorx="page"/>
          </v:rect>
        </w:pict>
      </w:r>
    </w:p>
    <w:p w14:paraId="51DE8FBB" w14:textId="77777777" w:rsidR="0010369C" w:rsidRDefault="008E43AE">
      <w:pPr>
        <w:spacing w:before="109"/>
        <w:ind w:left="238"/>
        <w:rPr>
          <w:sz w:val="18"/>
        </w:rPr>
      </w:pPr>
      <w:r>
        <w:rPr>
          <w:sz w:val="18"/>
          <w:vertAlign w:val="superscript"/>
        </w:rPr>
        <w:t>701</w:t>
      </w:r>
      <w:r>
        <w:rPr>
          <w:spacing w:val="-6"/>
          <w:sz w:val="18"/>
        </w:rPr>
        <w:t xml:space="preserve"> </w:t>
      </w:r>
      <w:r>
        <w:rPr>
          <w:sz w:val="18"/>
        </w:rPr>
        <w:t>Appellate</w:t>
      </w:r>
      <w:r>
        <w:rPr>
          <w:spacing w:val="-5"/>
          <w:sz w:val="18"/>
        </w:rPr>
        <w:t xml:space="preserve"> </w:t>
      </w:r>
      <w:r>
        <w:rPr>
          <w:sz w:val="18"/>
        </w:rPr>
        <w:t>Body</w:t>
      </w:r>
      <w:r>
        <w:rPr>
          <w:spacing w:val="-7"/>
          <w:sz w:val="18"/>
        </w:rPr>
        <w:t xml:space="preserve"> </w:t>
      </w:r>
      <w:r>
        <w:rPr>
          <w:sz w:val="18"/>
        </w:rPr>
        <w:t>Report,</w:t>
      </w:r>
      <w:r>
        <w:rPr>
          <w:spacing w:val="-5"/>
          <w:sz w:val="18"/>
        </w:rPr>
        <w:t xml:space="preserve"> </w:t>
      </w:r>
      <w:r>
        <w:rPr>
          <w:i/>
          <w:sz w:val="18"/>
        </w:rPr>
        <w:t>China</w:t>
      </w:r>
      <w:r>
        <w:rPr>
          <w:i/>
          <w:spacing w:val="-5"/>
          <w:sz w:val="18"/>
        </w:rPr>
        <w:t xml:space="preserve"> </w:t>
      </w:r>
      <w:r>
        <w:rPr>
          <w:i/>
          <w:sz w:val="18"/>
        </w:rPr>
        <w:t>–</w:t>
      </w:r>
      <w:r>
        <w:rPr>
          <w:i/>
          <w:spacing w:val="-4"/>
          <w:sz w:val="18"/>
        </w:rPr>
        <w:t xml:space="preserve"> </w:t>
      </w:r>
      <w:r>
        <w:rPr>
          <w:i/>
          <w:sz w:val="18"/>
        </w:rPr>
        <w:t>GOES</w:t>
      </w:r>
      <w:r>
        <w:rPr>
          <w:sz w:val="18"/>
        </w:rPr>
        <w:t>,</w:t>
      </w:r>
      <w:r>
        <w:rPr>
          <w:spacing w:val="-7"/>
          <w:sz w:val="18"/>
        </w:rPr>
        <w:t xml:space="preserve"> </w:t>
      </w:r>
      <w:r>
        <w:rPr>
          <w:sz w:val="18"/>
        </w:rPr>
        <w:t>para.</w:t>
      </w:r>
      <w:r>
        <w:rPr>
          <w:spacing w:val="-5"/>
          <w:sz w:val="18"/>
        </w:rPr>
        <w:t xml:space="preserve"> </w:t>
      </w:r>
      <w:r>
        <w:rPr>
          <w:spacing w:val="-4"/>
          <w:sz w:val="18"/>
        </w:rPr>
        <w:t>141.</w:t>
      </w:r>
    </w:p>
    <w:p w14:paraId="51DE8FBC" w14:textId="77777777" w:rsidR="0010369C" w:rsidRDefault="008E43AE">
      <w:pPr>
        <w:spacing w:before="1"/>
        <w:ind w:left="238"/>
        <w:rPr>
          <w:sz w:val="18"/>
        </w:rPr>
      </w:pPr>
      <w:r>
        <w:rPr>
          <w:sz w:val="18"/>
          <w:vertAlign w:val="superscript"/>
        </w:rPr>
        <w:t>702</w:t>
      </w:r>
      <w:r>
        <w:rPr>
          <w:spacing w:val="-7"/>
          <w:sz w:val="18"/>
        </w:rPr>
        <w:t xml:space="preserve"> </w:t>
      </w:r>
      <w:r>
        <w:rPr>
          <w:sz w:val="18"/>
        </w:rPr>
        <w:t>Panel</w:t>
      </w:r>
      <w:r>
        <w:rPr>
          <w:spacing w:val="-7"/>
          <w:sz w:val="18"/>
        </w:rPr>
        <w:t xml:space="preserve"> </w:t>
      </w:r>
      <w:r>
        <w:rPr>
          <w:sz w:val="18"/>
        </w:rPr>
        <w:t>Report,</w:t>
      </w:r>
      <w:r>
        <w:rPr>
          <w:spacing w:val="-7"/>
          <w:sz w:val="18"/>
        </w:rPr>
        <w:t xml:space="preserve"> </w:t>
      </w:r>
      <w:r>
        <w:rPr>
          <w:i/>
          <w:sz w:val="18"/>
        </w:rPr>
        <w:t>Russia</w:t>
      </w:r>
      <w:r>
        <w:rPr>
          <w:i/>
          <w:spacing w:val="-7"/>
          <w:sz w:val="18"/>
        </w:rPr>
        <w:t xml:space="preserve"> </w:t>
      </w:r>
      <w:r>
        <w:rPr>
          <w:i/>
          <w:sz w:val="18"/>
        </w:rPr>
        <w:t>‐</w:t>
      </w:r>
      <w:r>
        <w:rPr>
          <w:i/>
          <w:spacing w:val="-5"/>
          <w:sz w:val="18"/>
        </w:rPr>
        <w:t xml:space="preserve"> </w:t>
      </w:r>
      <w:r>
        <w:rPr>
          <w:i/>
          <w:sz w:val="18"/>
        </w:rPr>
        <w:t>Commercial</w:t>
      </w:r>
      <w:r>
        <w:rPr>
          <w:i/>
          <w:spacing w:val="-7"/>
          <w:sz w:val="18"/>
        </w:rPr>
        <w:t xml:space="preserve"> </w:t>
      </w:r>
      <w:r>
        <w:rPr>
          <w:i/>
          <w:sz w:val="18"/>
        </w:rPr>
        <w:t>Vehicles</w:t>
      </w:r>
      <w:r>
        <w:rPr>
          <w:sz w:val="18"/>
        </w:rPr>
        <w:t>,</w:t>
      </w:r>
      <w:r>
        <w:rPr>
          <w:spacing w:val="-7"/>
          <w:sz w:val="18"/>
        </w:rPr>
        <w:t xml:space="preserve"> </w:t>
      </w:r>
      <w:r>
        <w:rPr>
          <w:sz w:val="18"/>
        </w:rPr>
        <w:t>para.</w:t>
      </w:r>
      <w:r>
        <w:rPr>
          <w:spacing w:val="-7"/>
          <w:sz w:val="18"/>
        </w:rPr>
        <w:t xml:space="preserve"> </w:t>
      </w:r>
      <w:r>
        <w:rPr>
          <w:spacing w:val="-2"/>
          <w:sz w:val="18"/>
        </w:rPr>
        <w:t>7.61.</w:t>
      </w:r>
    </w:p>
    <w:p w14:paraId="51DE8FBD" w14:textId="77777777" w:rsidR="0010369C" w:rsidRDefault="008E43AE">
      <w:pPr>
        <w:ind w:left="238"/>
        <w:rPr>
          <w:sz w:val="18"/>
        </w:rPr>
      </w:pPr>
      <w:r>
        <w:rPr>
          <w:sz w:val="18"/>
          <w:vertAlign w:val="superscript"/>
        </w:rPr>
        <w:t>703</w:t>
      </w:r>
      <w:r>
        <w:rPr>
          <w:spacing w:val="-9"/>
          <w:sz w:val="18"/>
        </w:rPr>
        <w:t xml:space="preserve"> </w:t>
      </w:r>
      <w:r>
        <w:rPr>
          <w:sz w:val="18"/>
        </w:rPr>
        <w:t>Anti‐Dumping</w:t>
      </w:r>
      <w:r>
        <w:rPr>
          <w:spacing w:val="-8"/>
          <w:sz w:val="18"/>
        </w:rPr>
        <w:t xml:space="preserve"> </w:t>
      </w:r>
      <w:r>
        <w:rPr>
          <w:sz w:val="18"/>
        </w:rPr>
        <w:t>Final</w:t>
      </w:r>
      <w:r>
        <w:rPr>
          <w:spacing w:val="-8"/>
          <w:sz w:val="18"/>
        </w:rPr>
        <w:t xml:space="preserve"> </w:t>
      </w:r>
      <w:r>
        <w:rPr>
          <w:sz w:val="18"/>
        </w:rPr>
        <w:t>Determination</w:t>
      </w:r>
      <w:r>
        <w:rPr>
          <w:spacing w:val="-8"/>
          <w:sz w:val="18"/>
        </w:rPr>
        <w:t xml:space="preserve"> </w:t>
      </w:r>
      <w:r>
        <w:rPr>
          <w:sz w:val="18"/>
        </w:rPr>
        <w:t>(Exhibit</w:t>
      </w:r>
      <w:r>
        <w:rPr>
          <w:spacing w:val="-8"/>
          <w:sz w:val="18"/>
        </w:rPr>
        <w:t xml:space="preserve"> </w:t>
      </w:r>
      <w:r>
        <w:rPr>
          <w:sz w:val="18"/>
        </w:rPr>
        <w:t>AUS‐2),</w:t>
      </w:r>
      <w:r>
        <w:rPr>
          <w:spacing w:val="-9"/>
          <w:sz w:val="18"/>
        </w:rPr>
        <w:t xml:space="preserve"> </w:t>
      </w:r>
      <w:r>
        <w:rPr>
          <w:sz w:val="18"/>
        </w:rPr>
        <w:t>pp.</w:t>
      </w:r>
      <w:r>
        <w:rPr>
          <w:spacing w:val="-8"/>
          <w:sz w:val="18"/>
        </w:rPr>
        <w:t xml:space="preserve"> </w:t>
      </w:r>
      <w:r>
        <w:rPr>
          <w:sz w:val="18"/>
        </w:rPr>
        <w:t>114,</w:t>
      </w:r>
      <w:r>
        <w:rPr>
          <w:spacing w:val="-9"/>
          <w:sz w:val="18"/>
        </w:rPr>
        <w:t xml:space="preserve"> </w:t>
      </w:r>
      <w:r>
        <w:rPr>
          <w:spacing w:val="-4"/>
          <w:sz w:val="18"/>
        </w:rPr>
        <w:t>149.</w:t>
      </w:r>
    </w:p>
    <w:p w14:paraId="51DE8FBE" w14:textId="77777777" w:rsidR="0010369C" w:rsidRDefault="008E43AE">
      <w:pPr>
        <w:ind w:left="238" w:right="614" w:hanging="1"/>
        <w:rPr>
          <w:sz w:val="18"/>
        </w:rPr>
      </w:pPr>
      <w:r>
        <w:rPr>
          <w:sz w:val="18"/>
          <w:vertAlign w:val="superscript"/>
        </w:rPr>
        <w:t>704</w:t>
      </w:r>
      <w:r>
        <w:rPr>
          <w:sz w:val="18"/>
        </w:rPr>
        <w:t xml:space="preserve"> Appellate Body Report, </w:t>
      </w:r>
      <w:r>
        <w:rPr>
          <w:i/>
          <w:sz w:val="18"/>
        </w:rPr>
        <w:t>China – GOES</w:t>
      </w:r>
      <w:r>
        <w:rPr>
          <w:sz w:val="18"/>
        </w:rPr>
        <w:t xml:space="preserve">, para. 137; Panel Reports, </w:t>
      </w:r>
      <w:r>
        <w:rPr>
          <w:i/>
          <w:sz w:val="18"/>
        </w:rPr>
        <w:t>China ‐ HP‐SSST (Japan)</w:t>
      </w:r>
      <w:r>
        <w:rPr>
          <w:sz w:val="18"/>
        </w:rPr>
        <w:t xml:space="preserve">, para. 7.129; </w:t>
      </w:r>
      <w:r>
        <w:rPr>
          <w:i/>
          <w:sz w:val="18"/>
        </w:rPr>
        <w:t xml:space="preserve">China </w:t>
      </w:r>
      <w:r>
        <w:rPr>
          <w:sz w:val="18"/>
        </w:rPr>
        <w:t xml:space="preserve">‐ </w:t>
      </w:r>
      <w:r>
        <w:rPr>
          <w:i/>
          <w:sz w:val="18"/>
        </w:rPr>
        <w:t>Cellulose</w:t>
      </w:r>
      <w:r>
        <w:rPr>
          <w:i/>
          <w:spacing w:val="40"/>
          <w:sz w:val="18"/>
        </w:rPr>
        <w:t xml:space="preserve"> </w:t>
      </w:r>
      <w:r>
        <w:rPr>
          <w:i/>
          <w:sz w:val="18"/>
        </w:rPr>
        <w:t>Pulp</w:t>
      </w:r>
      <w:r>
        <w:rPr>
          <w:sz w:val="18"/>
        </w:rPr>
        <w:t>, para. 7.63.</w:t>
      </w:r>
    </w:p>
    <w:p w14:paraId="51DE8FBF" w14:textId="77777777" w:rsidR="0010369C" w:rsidRDefault="0010369C">
      <w:pPr>
        <w:rPr>
          <w:sz w:val="18"/>
        </w:rPr>
        <w:sectPr w:rsidR="0010369C">
          <w:pgSz w:w="11910" w:h="16840"/>
          <w:pgMar w:top="880" w:right="800" w:bottom="980" w:left="1180" w:header="569" w:footer="788" w:gutter="0"/>
          <w:cols w:space="720"/>
        </w:sectPr>
      </w:pPr>
    </w:p>
    <w:p w14:paraId="51DE8FC0" w14:textId="77777777" w:rsidR="0010369C" w:rsidRDefault="008E43AE">
      <w:pPr>
        <w:pStyle w:val="BodyText"/>
        <w:spacing w:line="20" w:lineRule="exact"/>
        <w:ind w:left="104"/>
        <w:rPr>
          <w:sz w:val="2"/>
        </w:rPr>
      </w:pPr>
      <w:r>
        <w:rPr>
          <w:sz w:val="2"/>
        </w:rPr>
      </w:r>
      <w:r>
        <w:rPr>
          <w:sz w:val="2"/>
        </w:rPr>
        <w:pict w14:anchorId="51DEA4E0">
          <v:group id="docshapegroup1089" o:spid="_x0000_s1295" style="width:464.6pt;height:1.05pt;mso-position-horizontal-relative:char;mso-position-vertical-relative:line" coordsize="9292,21">
            <v:line id="_x0000_s1296" style="position:absolute" from="0,10" to="9291,10" strokeweight=".35361mm"/>
            <w10:anchorlock/>
          </v:group>
        </w:pict>
      </w:r>
    </w:p>
    <w:p w14:paraId="51DE8FC1" w14:textId="77777777" w:rsidR="0010369C" w:rsidRDefault="008E43AE">
      <w:pPr>
        <w:spacing w:before="45"/>
        <w:ind w:right="357"/>
        <w:jc w:val="center"/>
        <w:rPr>
          <w:rFonts w:ascii="Arial"/>
          <w:sz w:val="21"/>
        </w:rPr>
      </w:pPr>
      <w:r>
        <w:pict w14:anchorId="51DEA4E1">
          <v:line id="_x0000_s1294" style="position:absolute;left:0;text-align:left;z-index:251857408;mso-position-horizontal-relative:page" from="64.2pt,16.1pt" to="528.75pt,16.1pt" strokeweight=".35361mm">
            <w10:wrap anchorx="page"/>
          </v:line>
        </w:pict>
      </w:r>
      <w:r>
        <w:rPr>
          <w:rFonts w:ascii="Arial"/>
          <w:color w:val="1D1D1D"/>
          <w:w w:val="95"/>
          <w:sz w:val="21"/>
        </w:rPr>
        <w:t>Business</w:t>
      </w:r>
      <w:r>
        <w:rPr>
          <w:rFonts w:ascii="Arial"/>
          <w:color w:val="1D1D1D"/>
          <w:spacing w:val="1"/>
          <w:sz w:val="21"/>
        </w:rPr>
        <w:t xml:space="preserve"> </w:t>
      </w:r>
      <w:r>
        <w:rPr>
          <w:rFonts w:ascii="Arial"/>
          <w:color w:val="1D1D1D"/>
          <w:w w:val="95"/>
          <w:sz w:val="21"/>
        </w:rPr>
        <w:t>Confidential</w:t>
      </w:r>
      <w:r>
        <w:rPr>
          <w:rFonts w:ascii="Arial"/>
          <w:color w:val="1D1D1D"/>
          <w:spacing w:val="-2"/>
          <w:w w:val="95"/>
          <w:sz w:val="21"/>
        </w:rPr>
        <w:t xml:space="preserve"> </w:t>
      </w:r>
      <w:r>
        <w:rPr>
          <w:rFonts w:ascii="Arial"/>
          <w:color w:val="0C0C0C"/>
          <w:w w:val="95"/>
          <w:sz w:val="21"/>
        </w:rPr>
        <w:t>Information</w:t>
      </w:r>
      <w:r>
        <w:rPr>
          <w:rFonts w:ascii="Arial"/>
          <w:color w:val="0C0C0C"/>
          <w:spacing w:val="6"/>
          <w:sz w:val="21"/>
        </w:rPr>
        <w:t xml:space="preserve"> </w:t>
      </w:r>
      <w:r>
        <w:rPr>
          <w:rFonts w:ascii="Arial"/>
          <w:color w:val="1D1D1D"/>
          <w:w w:val="95"/>
          <w:sz w:val="21"/>
        </w:rPr>
        <w:t>-</w:t>
      </w:r>
      <w:r>
        <w:rPr>
          <w:rFonts w:ascii="Arial"/>
          <w:color w:val="1D1D1D"/>
          <w:spacing w:val="1"/>
          <w:sz w:val="21"/>
        </w:rPr>
        <w:t xml:space="preserve"> </w:t>
      </w:r>
      <w:r>
        <w:rPr>
          <w:rFonts w:ascii="Arial"/>
          <w:color w:val="1D1D1D"/>
          <w:spacing w:val="-2"/>
          <w:w w:val="95"/>
          <w:sz w:val="21"/>
        </w:rPr>
        <w:t>REDACTED</w:t>
      </w:r>
    </w:p>
    <w:p w14:paraId="51DE8FC2" w14:textId="77777777" w:rsidR="0010369C" w:rsidRDefault="0010369C">
      <w:pPr>
        <w:jc w:val="center"/>
        <w:rPr>
          <w:rFonts w:ascii="Arial"/>
          <w:sz w:val="21"/>
        </w:rPr>
        <w:sectPr w:rsidR="0010369C">
          <w:headerReference w:type="default" r:id="rId814"/>
          <w:footerReference w:type="default" r:id="rId815"/>
          <w:pgSz w:w="11910" w:h="16840"/>
          <w:pgMar w:top="480" w:right="800" w:bottom="980" w:left="1180" w:header="0" w:footer="788" w:gutter="0"/>
          <w:cols w:space="720"/>
        </w:sectPr>
      </w:pPr>
    </w:p>
    <w:p w14:paraId="51DE8FC3" w14:textId="77777777" w:rsidR="0010369C" w:rsidRDefault="008E43AE">
      <w:pPr>
        <w:spacing w:before="67" w:line="290" w:lineRule="auto"/>
        <w:ind w:left="235" w:hanging="8"/>
        <w:rPr>
          <w:rFonts w:ascii="Arial"/>
          <w:sz w:val="18"/>
        </w:rPr>
      </w:pPr>
      <w:r>
        <w:rPr>
          <w:rFonts w:ascii="Arial"/>
          <w:i/>
          <w:color w:val="1D1D1D"/>
          <w:spacing w:val="-2"/>
          <w:w w:val="105"/>
          <w:sz w:val="18"/>
        </w:rPr>
        <w:t>China</w:t>
      </w:r>
      <w:r>
        <w:rPr>
          <w:rFonts w:ascii="Arial"/>
          <w:i/>
          <w:color w:val="1D1D1D"/>
          <w:spacing w:val="-17"/>
          <w:w w:val="105"/>
          <w:sz w:val="18"/>
        </w:rPr>
        <w:t xml:space="preserve"> </w:t>
      </w:r>
      <w:r>
        <w:rPr>
          <w:rFonts w:ascii="Arial"/>
          <w:color w:val="1D1D1D"/>
          <w:spacing w:val="-2"/>
          <w:w w:val="105"/>
          <w:sz w:val="18"/>
        </w:rPr>
        <w:t>-</w:t>
      </w:r>
      <w:r>
        <w:rPr>
          <w:rFonts w:ascii="Arial"/>
          <w:color w:val="1D1D1D"/>
          <w:spacing w:val="19"/>
          <w:w w:val="105"/>
          <w:sz w:val="18"/>
        </w:rPr>
        <w:t xml:space="preserve"> </w:t>
      </w:r>
      <w:r>
        <w:rPr>
          <w:rFonts w:ascii="Arial"/>
          <w:i/>
          <w:color w:val="0C0C0C"/>
          <w:spacing w:val="-2"/>
          <w:w w:val="105"/>
          <w:sz w:val="18"/>
        </w:rPr>
        <w:t>Anti-Dumping</w:t>
      </w:r>
      <w:r>
        <w:rPr>
          <w:rFonts w:ascii="Arial"/>
          <w:i/>
          <w:color w:val="0C0C0C"/>
          <w:spacing w:val="-9"/>
          <w:w w:val="105"/>
          <w:sz w:val="18"/>
        </w:rPr>
        <w:t xml:space="preserve"> </w:t>
      </w:r>
      <w:r>
        <w:rPr>
          <w:rFonts w:ascii="Arial"/>
          <w:i/>
          <w:color w:val="1D1D1D"/>
          <w:spacing w:val="-2"/>
          <w:w w:val="105"/>
          <w:sz w:val="18"/>
        </w:rPr>
        <w:t>and</w:t>
      </w:r>
      <w:r>
        <w:rPr>
          <w:rFonts w:ascii="Arial"/>
          <w:i/>
          <w:color w:val="1D1D1D"/>
          <w:spacing w:val="-26"/>
          <w:w w:val="105"/>
          <w:sz w:val="18"/>
        </w:rPr>
        <w:t xml:space="preserve"> </w:t>
      </w:r>
      <w:r>
        <w:rPr>
          <w:rFonts w:ascii="Arial"/>
          <w:i/>
          <w:color w:val="1D1D1D"/>
          <w:spacing w:val="-2"/>
          <w:w w:val="105"/>
          <w:sz w:val="18"/>
        </w:rPr>
        <w:t>Countervailing</w:t>
      </w:r>
      <w:r>
        <w:rPr>
          <w:rFonts w:ascii="Arial"/>
          <w:i/>
          <w:color w:val="1D1D1D"/>
          <w:spacing w:val="-11"/>
          <w:w w:val="105"/>
          <w:sz w:val="18"/>
        </w:rPr>
        <w:t xml:space="preserve"> </w:t>
      </w:r>
      <w:r>
        <w:rPr>
          <w:rFonts w:ascii="Arial"/>
          <w:i/>
          <w:color w:val="1D1D1D"/>
          <w:spacing w:val="-2"/>
          <w:w w:val="105"/>
          <w:sz w:val="18"/>
        </w:rPr>
        <w:t>Duty</w:t>
      </w:r>
      <w:r>
        <w:rPr>
          <w:rFonts w:ascii="Arial"/>
          <w:i/>
          <w:color w:val="1D1D1D"/>
          <w:spacing w:val="-16"/>
          <w:w w:val="105"/>
          <w:sz w:val="18"/>
        </w:rPr>
        <w:t xml:space="preserve"> </w:t>
      </w:r>
      <w:r>
        <w:rPr>
          <w:rFonts w:ascii="Arial"/>
          <w:i/>
          <w:color w:val="0C0C0C"/>
          <w:spacing w:val="-2"/>
          <w:w w:val="105"/>
          <w:sz w:val="18"/>
        </w:rPr>
        <w:t xml:space="preserve">Measures </w:t>
      </w:r>
      <w:r>
        <w:rPr>
          <w:rFonts w:ascii="Arial"/>
          <w:i/>
          <w:color w:val="1D1D1D"/>
          <w:w w:val="105"/>
          <w:sz w:val="18"/>
        </w:rPr>
        <w:t>on</w:t>
      </w:r>
      <w:r>
        <w:rPr>
          <w:rFonts w:ascii="Arial"/>
          <w:i/>
          <w:color w:val="1D1D1D"/>
          <w:spacing w:val="-11"/>
          <w:w w:val="105"/>
          <w:sz w:val="18"/>
        </w:rPr>
        <w:t xml:space="preserve"> </w:t>
      </w:r>
      <w:r>
        <w:rPr>
          <w:rFonts w:ascii="Arial"/>
          <w:i/>
          <w:color w:val="1D1D1D"/>
          <w:w w:val="105"/>
          <w:sz w:val="18"/>
        </w:rPr>
        <w:t xml:space="preserve">Winefrom Australia </w:t>
      </w:r>
      <w:r>
        <w:rPr>
          <w:rFonts w:ascii="Arial"/>
          <w:color w:val="1D1D1D"/>
          <w:w w:val="105"/>
          <w:sz w:val="18"/>
        </w:rPr>
        <w:t>(0S602)</w:t>
      </w:r>
    </w:p>
    <w:p w14:paraId="51DE8FC4" w14:textId="77777777" w:rsidR="0010369C" w:rsidRDefault="008E43AE">
      <w:pPr>
        <w:spacing w:before="67"/>
        <w:ind w:right="586"/>
        <w:jc w:val="right"/>
        <w:rPr>
          <w:rFonts w:ascii="Arial"/>
          <w:sz w:val="18"/>
        </w:rPr>
      </w:pPr>
      <w:r>
        <w:br w:type="column"/>
      </w:r>
      <w:r>
        <w:rPr>
          <w:rFonts w:ascii="Arial"/>
          <w:color w:val="1D1D1D"/>
          <w:sz w:val="18"/>
        </w:rPr>
        <w:t>Australia's</w:t>
      </w:r>
      <w:r>
        <w:rPr>
          <w:rFonts w:ascii="Arial"/>
          <w:color w:val="1D1D1D"/>
          <w:spacing w:val="22"/>
          <w:sz w:val="18"/>
        </w:rPr>
        <w:t xml:space="preserve"> </w:t>
      </w:r>
      <w:r>
        <w:rPr>
          <w:rFonts w:ascii="Arial"/>
          <w:color w:val="0C0C0C"/>
          <w:sz w:val="18"/>
        </w:rPr>
        <w:t>First</w:t>
      </w:r>
      <w:r>
        <w:rPr>
          <w:rFonts w:ascii="Arial"/>
          <w:color w:val="0C0C0C"/>
          <w:spacing w:val="18"/>
          <w:sz w:val="18"/>
        </w:rPr>
        <w:t xml:space="preserve"> </w:t>
      </w:r>
      <w:r>
        <w:rPr>
          <w:rFonts w:ascii="Arial"/>
          <w:color w:val="1D1D1D"/>
          <w:sz w:val="18"/>
        </w:rPr>
        <w:t>Written</w:t>
      </w:r>
      <w:r>
        <w:rPr>
          <w:rFonts w:ascii="Arial"/>
          <w:color w:val="1D1D1D"/>
          <w:spacing w:val="8"/>
          <w:sz w:val="18"/>
        </w:rPr>
        <w:t xml:space="preserve"> </w:t>
      </w:r>
      <w:r>
        <w:rPr>
          <w:rFonts w:ascii="Arial"/>
          <w:color w:val="1D1D1D"/>
          <w:spacing w:val="-2"/>
          <w:sz w:val="18"/>
        </w:rPr>
        <w:t>Submission</w:t>
      </w:r>
    </w:p>
    <w:p w14:paraId="51DE8FC5" w14:textId="77777777" w:rsidR="0010369C" w:rsidRDefault="008E43AE">
      <w:pPr>
        <w:spacing w:before="44"/>
        <w:ind w:right="573"/>
        <w:jc w:val="right"/>
        <w:rPr>
          <w:rFonts w:ascii="Arial"/>
          <w:sz w:val="18"/>
        </w:rPr>
      </w:pPr>
      <w:r>
        <w:rPr>
          <w:rFonts w:ascii="Arial"/>
          <w:color w:val="1D1D1D"/>
          <w:spacing w:val="-2"/>
          <w:w w:val="110"/>
          <w:sz w:val="18"/>
        </w:rPr>
        <w:t>29</w:t>
      </w:r>
      <w:r>
        <w:rPr>
          <w:rFonts w:ascii="Arial"/>
          <w:color w:val="1D1D1D"/>
          <w:spacing w:val="-29"/>
          <w:w w:val="110"/>
          <w:sz w:val="18"/>
        </w:rPr>
        <w:t xml:space="preserve"> </w:t>
      </w:r>
      <w:r>
        <w:rPr>
          <w:rFonts w:ascii="Arial"/>
          <w:color w:val="1D1D1D"/>
          <w:spacing w:val="-2"/>
          <w:w w:val="110"/>
          <w:sz w:val="18"/>
        </w:rPr>
        <w:t>April</w:t>
      </w:r>
      <w:r>
        <w:rPr>
          <w:rFonts w:ascii="Arial"/>
          <w:color w:val="1D1D1D"/>
          <w:spacing w:val="-10"/>
          <w:w w:val="110"/>
          <w:sz w:val="18"/>
        </w:rPr>
        <w:t xml:space="preserve"> </w:t>
      </w:r>
      <w:r>
        <w:rPr>
          <w:rFonts w:ascii="Arial"/>
          <w:color w:val="1D1D1D"/>
          <w:spacing w:val="-4"/>
          <w:w w:val="110"/>
          <w:sz w:val="18"/>
        </w:rPr>
        <w:t>2022</w:t>
      </w:r>
    </w:p>
    <w:p w14:paraId="51DE8FC6" w14:textId="77777777" w:rsidR="0010369C" w:rsidRDefault="0010369C">
      <w:pPr>
        <w:jc w:val="right"/>
        <w:rPr>
          <w:rFonts w:ascii="Arial"/>
          <w:sz w:val="18"/>
        </w:rPr>
        <w:sectPr w:rsidR="0010369C">
          <w:type w:val="continuous"/>
          <w:pgSz w:w="11910" w:h="16840"/>
          <w:pgMar w:top="1460" w:right="800" w:bottom="280" w:left="1180" w:header="0" w:footer="788" w:gutter="0"/>
          <w:cols w:num="2" w:space="720" w:equalWidth="0">
            <w:col w:w="4912" w:space="1306"/>
            <w:col w:w="3712"/>
          </w:cols>
        </w:sectPr>
      </w:pPr>
    </w:p>
    <w:p w14:paraId="51DE8FC7" w14:textId="77777777" w:rsidR="0010369C" w:rsidRDefault="008E43AE">
      <w:pPr>
        <w:spacing w:before="12" w:line="304" w:lineRule="auto"/>
        <w:ind w:left="1091" w:firstLine="2"/>
        <w:rPr>
          <w:rFonts w:ascii="Times New Roman"/>
          <w:sz w:val="14"/>
        </w:rPr>
      </w:pPr>
      <w:r>
        <w:rPr>
          <w:rFonts w:ascii="Arial"/>
          <w:color w:val="0C0C0C"/>
          <w:sz w:val="21"/>
        </w:rPr>
        <w:t xml:space="preserve">investigating </w:t>
      </w:r>
      <w:r>
        <w:rPr>
          <w:rFonts w:ascii="Arial"/>
          <w:color w:val="1D1D1D"/>
          <w:sz w:val="21"/>
        </w:rPr>
        <w:t xml:space="preserve">authority does </w:t>
      </w:r>
      <w:r>
        <w:rPr>
          <w:rFonts w:ascii="Arial"/>
          <w:color w:val="0C0C0C"/>
          <w:sz w:val="21"/>
        </w:rPr>
        <w:t xml:space="preserve">not ignore </w:t>
      </w:r>
      <w:r>
        <w:rPr>
          <w:rFonts w:ascii="Arial"/>
          <w:color w:val="1D1D1D"/>
          <w:sz w:val="21"/>
        </w:rPr>
        <w:t>evidence</w:t>
      </w:r>
      <w:r>
        <w:rPr>
          <w:rFonts w:ascii="Arial"/>
          <w:color w:val="1D1D1D"/>
          <w:spacing w:val="25"/>
          <w:sz w:val="21"/>
        </w:rPr>
        <w:t xml:space="preserve"> </w:t>
      </w:r>
      <w:r>
        <w:rPr>
          <w:rFonts w:ascii="Arial"/>
          <w:color w:val="1D1D1D"/>
          <w:sz w:val="21"/>
        </w:rPr>
        <w:t>and arguments</w:t>
      </w:r>
      <w:r>
        <w:rPr>
          <w:rFonts w:ascii="Arial"/>
          <w:color w:val="1D1D1D"/>
          <w:spacing w:val="31"/>
          <w:sz w:val="21"/>
        </w:rPr>
        <w:t xml:space="preserve"> </w:t>
      </w:r>
      <w:r>
        <w:rPr>
          <w:rFonts w:ascii="Arial"/>
          <w:color w:val="1D1D1D"/>
          <w:sz w:val="21"/>
        </w:rPr>
        <w:t xml:space="preserve">on </w:t>
      </w:r>
      <w:r>
        <w:rPr>
          <w:rFonts w:ascii="Arial"/>
          <w:color w:val="0C0C0C"/>
          <w:sz w:val="21"/>
        </w:rPr>
        <w:t xml:space="preserve">the </w:t>
      </w:r>
      <w:r>
        <w:rPr>
          <w:rFonts w:ascii="Arial"/>
          <w:color w:val="1D1D1D"/>
          <w:sz w:val="21"/>
        </w:rPr>
        <w:t xml:space="preserve">record before </w:t>
      </w:r>
      <w:r>
        <w:rPr>
          <w:rFonts w:ascii="Arial"/>
          <w:color w:val="0C0C0C"/>
          <w:sz w:val="21"/>
        </w:rPr>
        <w:t xml:space="preserve">it </w:t>
      </w:r>
      <w:r>
        <w:rPr>
          <w:rFonts w:ascii="Arial"/>
          <w:color w:val="1D1D1D"/>
          <w:sz w:val="21"/>
        </w:rPr>
        <w:t>suggesting</w:t>
      </w:r>
      <w:r>
        <w:rPr>
          <w:rFonts w:ascii="Arial"/>
          <w:color w:val="1D1D1D"/>
          <w:spacing w:val="-11"/>
          <w:sz w:val="21"/>
        </w:rPr>
        <w:t xml:space="preserve"> </w:t>
      </w:r>
      <w:r>
        <w:rPr>
          <w:rFonts w:ascii="Arial"/>
          <w:color w:val="1D1D1D"/>
          <w:sz w:val="21"/>
        </w:rPr>
        <w:t>that one</w:t>
      </w:r>
      <w:r>
        <w:rPr>
          <w:rFonts w:ascii="Arial"/>
          <w:color w:val="1D1D1D"/>
          <w:spacing w:val="-10"/>
          <w:sz w:val="21"/>
        </w:rPr>
        <w:t xml:space="preserve"> </w:t>
      </w:r>
      <w:r>
        <w:rPr>
          <w:rFonts w:ascii="Arial"/>
          <w:color w:val="1D1D1D"/>
          <w:sz w:val="21"/>
        </w:rPr>
        <w:t>or</w:t>
      </w:r>
      <w:r>
        <w:rPr>
          <w:rFonts w:ascii="Arial"/>
          <w:color w:val="1D1D1D"/>
          <w:spacing w:val="-17"/>
          <w:sz w:val="21"/>
        </w:rPr>
        <w:t xml:space="preserve"> </w:t>
      </w:r>
      <w:r>
        <w:rPr>
          <w:rFonts w:ascii="Arial"/>
          <w:color w:val="1D1D1D"/>
          <w:sz w:val="21"/>
        </w:rPr>
        <w:t>both</w:t>
      </w:r>
      <w:r>
        <w:rPr>
          <w:rFonts w:ascii="Arial"/>
          <w:color w:val="1D1D1D"/>
          <w:spacing w:val="-15"/>
          <w:sz w:val="21"/>
        </w:rPr>
        <w:t xml:space="preserve"> </w:t>
      </w:r>
      <w:r>
        <w:rPr>
          <w:rFonts w:ascii="Arial"/>
          <w:color w:val="1D1D1D"/>
          <w:sz w:val="21"/>
        </w:rPr>
        <w:t>of the</w:t>
      </w:r>
      <w:r>
        <w:rPr>
          <w:rFonts w:ascii="Arial"/>
          <w:color w:val="1D1D1D"/>
          <w:spacing w:val="-8"/>
          <w:sz w:val="21"/>
        </w:rPr>
        <w:t xml:space="preserve"> </w:t>
      </w:r>
      <w:r>
        <w:rPr>
          <w:rFonts w:ascii="Arial"/>
          <w:color w:val="1D1D1D"/>
          <w:sz w:val="21"/>
        </w:rPr>
        <w:t>other price</w:t>
      </w:r>
      <w:r>
        <w:rPr>
          <w:rFonts w:ascii="Arial"/>
          <w:color w:val="1D1D1D"/>
          <w:spacing w:val="-8"/>
          <w:sz w:val="21"/>
        </w:rPr>
        <w:t xml:space="preserve"> </w:t>
      </w:r>
      <w:r>
        <w:rPr>
          <w:rFonts w:ascii="Arial"/>
          <w:color w:val="1D1D1D"/>
          <w:sz w:val="21"/>
        </w:rPr>
        <w:t>effects</w:t>
      </w:r>
      <w:r>
        <w:rPr>
          <w:rFonts w:ascii="Arial"/>
          <w:color w:val="1D1D1D"/>
          <w:spacing w:val="-11"/>
          <w:sz w:val="21"/>
        </w:rPr>
        <w:t xml:space="preserve"> </w:t>
      </w:r>
      <w:r>
        <w:rPr>
          <w:rFonts w:ascii="Arial"/>
          <w:color w:val="1D1D1D"/>
          <w:sz w:val="21"/>
        </w:rPr>
        <w:t>suggests a</w:t>
      </w:r>
      <w:r>
        <w:rPr>
          <w:rFonts w:ascii="Arial"/>
          <w:color w:val="1D1D1D"/>
          <w:spacing w:val="-15"/>
          <w:sz w:val="21"/>
        </w:rPr>
        <w:t xml:space="preserve"> </w:t>
      </w:r>
      <w:r>
        <w:rPr>
          <w:rFonts w:ascii="Arial"/>
          <w:color w:val="1D1D1D"/>
          <w:sz w:val="21"/>
        </w:rPr>
        <w:t>different result.</w:t>
      </w:r>
      <w:r>
        <w:rPr>
          <w:rFonts w:ascii="Times New Roman"/>
          <w:color w:val="1D1D1D"/>
          <w:position w:val="7"/>
          <w:sz w:val="14"/>
        </w:rPr>
        <w:t>705</w:t>
      </w:r>
    </w:p>
    <w:p w14:paraId="51DE8FC8" w14:textId="77777777" w:rsidR="0010369C" w:rsidRDefault="0010369C">
      <w:pPr>
        <w:pStyle w:val="BodyText"/>
        <w:rPr>
          <w:rFonts w:ascii="Times New Roman"/>
          <w:sz w:val="23"/>
        </w:rPr>
      </w:pPr>
    </w:p>
    <w:p w14:paraId="51DE8FC9" w14:textId="77777777" w:rsidR="0010369C" w:rsidRDefault="008E43AE">
      <w:pPr>
        <w:spacing w:before="1" w:line="439" w:lineRule="auto"/>
        <w:ind w:left="236" w:right="573" w:hanging="1"/>
        <w:jc w:val="both"/>
        <w:rPr>
          <w:rFonts w:ascii="Arial"/>
          <w:sz w:val="21"/>
        </w:rPr>
      </w:pPr>
      <w:r>
        <w:rPr>
          <w:rFonts w:ascii="Arial"/>
          <w:color w:val="1D1D1D"/>
          <w:w w:val="110"/>
          <w:sz w:val="21"/>
        </w:rPr>
        <w:t>607.</w:t>
      </w:r>
      <w:r>
        <w:rPr>
          <w:rFonts w:ascii="Arial"/>
          <w:color w:val="1D1D1D"/>
          <w:spacing w:val="61"/>
          <w:w w:val="150"/>
          <w:sz w:val="21"/>
        </w:rPr>
        <w:t xml:space="preserve"> </w:t>
      </w:r>
      <w:r>
        <w:rPr>
          <w:rFonts w:ascii="Arial"/>
          <w:color w:val="0C0C0C"/>
          <w:w w:val="110"/>
          <w:sz w:val="21"/>
        </w:rPr>
        <w:t>MOFCOM's</w:t>
      </w:r>
      <w:r>
        <w:rPr>
          <w:rFonts w:ascii="Arial"/>
          <w:color w:val="0C0C0C"/>
          <w:spacing w:val="-16"/>
          <w:w w:val="110"/>
          <w:sz w:val="21"/>
        </w:rPr>
        <w:t xml:space="preserve"> </w:t>
      </w:r>
      <w:r>
        <w:rPr>
          <w:rFonts w:ascii="Arial"/>
          <w:color w:val="0C0C0C"/>
          <w:w w:val="110"/>
          <w:sz w:val="21"/>
        </w:rPr>
        <w:t>failure</w:t>
      </w:r>
      <w:r>
        <w:rPr>
          <w:rFonts w:ascii="Arial"/>
          <w:color w:val="0C0C0C"/>
          <w:spacing w:val="-16"/>
          <w:w w:val="110"/>
          <w:sz w:val="21"/>
        </w:rPr>
        <w:t xml:space="preserve"> </w:t>
      </w:r>
      <w:r>
        <w:rPr>
          <w:rFonts w:ascii="Arial"/>
          <w:color w:val="1D1D1D"/>
          <w:w w:val="110"/>
          <w:sz w:val="21"/>
        </w:rPr>
        <w:t>to</w:t>
      </w:r>
      <w:r>
        <w:rPr>
          <w:rFonts w:ascii="Arial"/>
          <w:color w:val="1D1D1D"/>
          <w:spacing w:val="-16"/>
          <w:w w:val="110"/>
          <w:sz w:val="21"/>
        </w:rPr>
        <w:t xml:space="preserve"> </w:t>
      </w:r>
      <w:r>
        <w:rPr>
          <w:rFonts w:ascii="Arial"/>
          <w:color w:val="0C0C0C"/>
          <w:w w:val="110"/>
          <w:sz w:val="21"/>
        </w:rPr>
        <w:t>undertake</w:t>
      </w:r>
      <w:r>
        <w:rPr>
          <w:rFonts w:ascii="Arial"/>
          <w:color w:val="0C0C0C"/>
          <w:spacing w:val="-16"/>
          <w:w w:val="110"/>
          <w:sz w:val="21"/>
        </w:rPr>
        <w:t xml:space="preserve"> </w:t>
      </w:r>
      <w:r>
        <w:rPr>
          <w:rFonts w:ascii="Arial"/>
          <w:color w:val="1D1D1D"/>
          <w:w w:val="110"/>
          <w:sz w:val="21"/>
        </w:rPr>
        <w:t>an</w:t>
      </w:r>
      <w:r>
        <w:rPr>
          <w:rFonts w:ascii="Arial"/>
          <w:color w:val="1D1D1D"/>
          <w:spacing w:val="-16"/>
          <w:w w:val="110"/>
          <w:sz w:val="21"/>
        </w:rPr>
        <w:t xml:space="preserve"> </w:t>
      </w:r>
      <w:r>
        <w:rPr>
          <w:rFonts w:ascii="Arial"/>
          <w:color w:val="1D1D1D"/>
          <w:w w:val="110"/>
          <w:sz w:val="21"/>
        </w:rPr>
        <w:t>analysis</w:t>
      </w:r>
      <w:r>
        <w:rPr>
          <w:rFonts w:ascii="Arial"/>
          <w:color w:val="1D1D1D"/>
          <w:spacing w:val="-16"/>
          <w:w w:val="110"/>
          <w:sz w:val="21"/>
        </w:rPr>
        <w:t xml:space="preserve"> </w:t>
      </w:r>
      <w:r>
        <w:rPr>
          <w:rFonts w:ascii="Arial"/>
          <w:color w:val="1D1D1D"/>
          <w:w w:val="110"/>
          <w:sz w:val="21"/>
        </w:rPr>
        <w:t>of</w:t>
      </w:r>
      <w:r>
        <w:rPr>
          <w:rFonts w:ascii="Arial"/>
          <w:color w:val="1D1D1D"/>
          <w:spacing w:val="-16"/>
          <w:w w:val="110"/>
          <w:sz w:val="21"/>
        </w:rPr>
        <w:t xml:space="preserve"> </w:t>
      </w:r>
      <w:r>
        <w:rPr>
          <w:rFonts w:ascii="Arial"/>
          <w:color w:val="1D1D1D"/>
          <w:w w:val="110"/>
          <w:sz w:val="21"/>
        </w:rPr>
        <w:t>price</w:t>
      </w:r>
      <w:r>
        <w:rPr>
          <w:rFonts w:ascii="Arial"/>
          <w:color w:val="1D1D1D"/>
          <w:spacing w:val="-16"/>
          <w:w w:val="110"/>
          <w:sz w:val="21"/>
        </w:rPr>
        <w:t xml:space="preserve"> </w:t>
      </w:r>
      <w:r>
        <w:rPr>
          <w:rFonts w:ascii="Arial"/>
          <w:color w:val="0C0C0C"/>
          <w:w w:val="110"/>
          <w:sz w:val="21"/>
        </w:rPr>
        <w:t>undercutting</w:t>
      </w:r>
      <w:r>
        <w:rPr>
          <w:rFonts w:ascii="Arial"/>
          <w:color w:val="0C0C0C"/>
          <w:spacing w:val="-16"/>
          <w:w w:val="110"/>
          <w:sz w:val="21"/>
        </w:rPr>
        <w:t xml:space="preserve"> </w:t>
      </w:r>
      <w:r>
        <w:rPr>
          <w:rFonts w:ascii="Arial"/>
          <w:color w:val="1D1D1D"/>
          <w:w w:val="110"/>
          <w:sz w:val="21"/>
        </w:rPr>
        <w:t>or</w:t>
      </w:r>
      <w:r>
        <w:rPr>
          <w:rFonts w:ascii="Arial"/>
          <w:color w:val="1D1D1D"/>
          <w:spacing w:val="-16"/>
          <w:w w:val="110"/>
          <w:sz w:val="21"/>
        </w:rPr>
        <w:t xml:space="preserve"> </w:t>
      </w:r>
      <w:r>
        <w:rPr>
          <w:rFonts w:ascii="Arial"/>
          <w:color w:val="1D1D1D"/>
          <w:w w:val="110"/>
          <w:sz w:val="21"/>
        </w:rPr>
        <w:t>price</w:t>
      </w:r>
      <w:r>
        <w:rPr>
          <w:rFonts w:ascii="Arial"/>
          <w:color w:val="1D1D1D"/>
          <w:spacing w:val="-16"/>
          <w:w w:val="110"/>
          <w:sz w:val="21"/>
        </w:rPr>
        <w:t xml:space="preserve"> </w:t>
      </w:r>
      <w:r>
        <w:rPr>
          <w:rFonts w:ascii="Arial"/>
          <w:color w:val="0C0C0C"/>
          <w:w w:val="110"/>
          <w:sz w:val="21"/>
        </w:rPr>
        <w:t>depression means</w:t>
      </w:r>
      <w:r>
        <w:rPr>
          <w:rFonts w:ascii="Arial"/>
          <w:color w:val="0C0C0C"/>
          <w:spacing w:val="-17"/>
          <w:w w:val="110"/>
          <w:sz w:val="21"/>
        </w:rPr>
        <w:t xml:space="preserve"> </w:t>
      </w:r>
      <w:r>
        <w:rPr>
          <w:rFonts w:ascii="Arial"/>
          <w:color w:val="0C0C0C"/>
          <w:w w:val="110"/>
          <w:sz w:val="21"/>
        </w:rPr>
        <w:t>that</w:t>
      </w:r>
      <w:r>
        <w:rPr>
          <w:rFonts w:ascii="Arial"/>
          <w:color w:val="0C0C0C"/>
          <w:spacing w:val="-16"/>
          <w:w w:val="110"/>
          <w:sz w:val="21"/>
        </w:rPr>
        <w:t xml:space="preserve"> </w:t>
      </w:r>
      <w:r>
        <w:rPr>
          <w:rFonts w:ascii="Arial"/>
          <w:color w:val="1D1D1D"/>
          <w:w w:val="110"/>
          <w:sz w:val="21"/>
        </w:rPr>
        <w:t>it</w:t>
      </w:r>
      <w:r>
        <w:rPr>
          <w:rFonts w:ascii="Arial"/>
          <w:color w:val="1D1D1D"/>
          <w:spacing w:val="-16"/>
          <w:w w:val="110"/>
          <w:sz w:val="21"/>
        </w:rPr>
        <w:t xml:space="preserve"> </w:t>
      </w:r>
      <w:r>
        <w:rPr>
          <w:rFonts w:ascii="Arial"/>
          <w:color w:val="1D1D1D"/>
          <w:w w:val="110"/>
          <w:sz w:val="21"/>
        </w:rPr>
        <w:t>did</w:t>
      </w:r>
      <w:r>
        <w:rPr>
          <w:rFonts w:ascii="Arial"/>
          <w:color w:val="1D1D1D"/>
          <w:spacing w:val="-16"/>
          <w:w w:val="110"/>
          <w:sz w:val="21"/>
        </w:rPr>
        <w:t xml:space="preserve"> </w:t>
      </w:r>
      <w:r>
        <w:rPr>
          <w:rFonts w:ascii="Arial"/>
          <w:color w:val="1D1D1D"/>
          <w:w w:val="110"/>
          <w:sz w:val="21"/>
        </w:rPr>
        <w:t>not</w:t>
      </w:r>
      <w:r>
        <w:rPr>
          <w:rFonts w:ascii="Arial"/>
          <w:color w:val="1D1D1D"/>
          <w:spacing w:val="-16"/>
          <w:w w:val="110"/>
          <w:sz w:val="21"/>
        </w:rPr>
        <w:t xml:space="preserve"> </w:t>
      </w:r>
      <w:r>
        <w:rPr>
          <w:rFonts w:ascii="Arial"/>
          <w:color w:val="1D1D1D"/>
          <w:w w:val="110"/>
          <w:sz w:val="21"/>
        </w:rPr>
        <w:t>consider</w:t>
      </w:r>
      <w:r>
        <w:rPr>
          <w:rFonts w:ascii="Arial"/>
          <w:color w:val="1D1D1D"/>
          <w:spacing w:val="-16"/>
          <w:w w:val="110"/>
          <w:sz w:val="21"/>
        </w:rPr>
        <w:t xml:space="preserve"> </w:t>
      </w:r>
      <w:r>
        <w:rPr>
          <w:rFonts w:ascii="Arial"/>
          <w:color w:val="1D1D1D"/>
          <w:w w:val="110"/>
          <w:sz w:val="21"/>
        </w:rPr>
        <w:t>evidence</w:t>
      </w:r>
      <w:r>
        <w:rPr>
          <w:rFonts w:ascii="Arial"/>
          <w:color w:val="1D1D1D"/>
          <w:spacing w:val="-16"/>
          <w:w w:val="110"/>
          <w:sz w:val="21"/>
        </w:rPr>
        <w:t xml:space="preserve"> </w:t>
      </w:r>
      <w:r>
        <w:rPr>
          <w:rFonts w:ascii="Arial"/>
          <w:color w:val="0C0C0C"/>
          <w:w w:val="110"/>
          <w:sz w:val="21"/>
        </w:rPr>
        <w:t>that</w:t>
      </w:r>
      <w:r>
        <w:rPr>
          <w:rFonts w:ascii="Arial"/>
          <w:color w:val="0C0C0C"/>
          <w:spacing w:val="-16"/>
          <w:w w:val="110"/>
          <w:sz w:val="21"/>
        </w:rPr>
        <w:t xml:space="preserve"> </w:t>
      </w:r>
      <w:r>
        <w:rPr>
          <w:rFonts w:ascii="Arial"/>
          <w:color w:val="0C0C0C"/>
          <w:w w:val="110"/>
          <w:sz w:val="21"/>
        </w:rPr>
        <w:t>undermined</w:t>
      </w:r>
      <w:r>
        <w:rPr>
          <w:rFonts w:ascii="Arial"/>
          <w:color w:val="0C0C0C"/>
          <w:spacing w:val="-13"/>
          <w:w w:val="110"/>
          <w:sz w:val="21"/>
        </w:rPr>
        <w:t xml:space="preserve"> </w:t>
      </w:r>
      <w:r>
        <w:rPr>
          <w:rFonts w:ascii="Arial"/>
          <w:color w:val="0C0C0C"/>
          <w:w w:val="110"/>
          <w:sz w:val="21"/>
        </w:rPr>
        <w:t>its</w:t>
      </w:r>
      <w:r>
        <w:rPr>
          <w:rFonts w:ascii="Arial"/>
          <w:color w:val="0C0C0C"/>
          <w:spacing w:val="-16"/>
          <w:w w:val="110"/>
          <w:sz w:val="21"/>
        </w:rPr>
        <w:t xml:space="preserve"> </w:t>
      </w:r>
      <w:r>
        <w:rPr>
          <w:rFonts w:ascii="Arial"/>
          <w:color w:val="0C0C0C"/>
          <w:w w:val="110"/>
          <w:sz w:val="21"/>
        </w:rPr>
        <w:t>findings</w:t>
      </w:r>
      <w:r>
        <w:rPr>
          <w:rFonts w:ascii="Arial"/>
          <w:color w:val="0C0C0C"/>
          <w:spacing w:val="-15"/>
          <w:w w:val="110"/>
          <w:sz w:val="21"/>
        </w:rPr>
        <w:t xml:space="preserve"> </w:t>
      </w:r>
      <w:r>
        <w:rPr>
          <w:rFonts w:ascii="Arial"/>
          <w:color w:val="1D1D1D"/>
          <w:w w:val="110"/>
          <w:sz w:val="21"/>
        </w:rPr>
        <w:t>on</w:t>
      </w:r>
      <w:r>
        <w:rPr>
          <w:rFonts w:ascii="Arial"/>
          <w:color w:val="1D1D1D"/>
          <w:spacing w:val="-9"/>
          <w:w w:val="110"/>
          <w:sz w:val="21"/>
        </w:rPr>
        <w:t xml:space="preserve"> </w:t>
      </w:r>
      <w:r>
        <w:rPr>
          <w:rFonts w:ascii="Arial"/>
          <w:color w:val="0C0C0C"/>
          <w:w w:val="110"/>
          <w:sz w:val="21"/>
        </w:rPr>
        <w:t xml:space="preserve">the </w:t>
      </w:r>
      <w:r>
        <w:rPr>
          <w:rFonts w:ascii="Arial"/>
          <w:color w:val="1D1D1D"/>
          <w:w w:val="110"/>
          <w:sz w:val="21"/>
        </w:rPr>
        <w:t>effect</w:t>
      </w:r>
      <w:r>
        <w:rPr>
          <w:rFonts w:ascii="Arial"/>
          <w:color w:val="1D1D1D"/>
          <w:spacing w:val="-14"/>
          <w:w w:val="110"/>
          <w:sz w:val="21"/>
        </w:rPr>
        <w:t xml:space="preserve"> </w:t>
      </w:r>
      <w:r>
        <w:rPr>
          <w:rFonts w:ascii="Arial"/>
          <w:color w:val="1D1D1D"/>
          <w:w w:val="110"/>
          <w:sz w:val="21"/>
        </w:rPr>
        <w:t>of</w:t>
      </w:r>
      <w:r>
        <w:rPr>
          <w:rFonts w:ascii="Arial"/>
          <w:color w:val="1D1D1D"/>
          <w:spacing w:val="-9"/>
          <w:w w:val="110"/>
          <w:sz w:val="21"/>
        </w:rPr>
        <w:t xml:space="preserve"> </w:t>
      </w:r>
      <w:r>
        <w:rPr>
          <w:rFonts w:ascii="Arial"/>
          <w:color w:val="1D1D1D"/>
          <w:w w:val="110"/>
          <w:sz w:val="21"/>
        </w:rPr>
        <w:t xml:space="preserve">subject </w:t>
      </w:r>
      <w:r>
        <w:rPr>
          <w:rFonts w:ascii="Arial"/>
          <w:color w:val="0C0C0C"/>
          <w:w w:val="110"/>
          <w:sz w:val="21"/>
        </w:rPr>
        <w:t>imports</w:t>
      </w:r>
      <w:r>
        <w:rPr>
          <w:rFonts w:ascii="Arial"/>
          <w:color w:val="0C0C0C"/>
          <w:spacing w:val="-3"/>
          <w:w w:val="110"/>
          <w:sz w:val="21"/>
        </w:rPr>
        <w:t xml:space="preserve"> </w:t>
      </w:r>
      <w:r>
        <w:rPr>
          <w:rFonts w:ascii="Arial"/>
          <w:color w:val="1D1D1D"/>
          <w:w w:val="110"/>
          <w:sz w:val="21"/>
        </w:rPr>
        <w:t>on</w:t>
      </w:r>
      <w:r>
        <w:rPr>
          <w:rFonts w:ascii="Arial"/>
          <w:color w:val="1D1D1D"/>
          <w:spacing w:val="-4"/>
          <w:w w:val="110"/>
          <w:sz w:val="21"/>
        </w:rPr>
        <w:t xml:space="preserve"> </w:t>
      </w:r>
      <w:r>
        <w:rPr>
          <w:rFonts w:ascii="Arial"/>
          <w:color w:val="0C0C0C"/>
          <w:w w:val="110"/>
          <w:sz w:val="21"/>
        </w:rPr>
        <w:t xml:space="preserve">domestic </w:t>
      </w:r>
      <w:r>
        <w:rPr>
          <w:rFonts w:ascii="Arial"/>
          <w:color w:val="1D1D1D"/>
          <w:w w:val="110"/>
          <w:sz w:val="21"/>
        </w:rPr>
        <w:t>prices.</w:t>
      </w:r>
      <w:r>
        <w:rPr>
          <w:rFonts w:ascii="Arial"/>
          <w:color w:val="1D1D1D"/>
          <w:spacing w:val="-5"/>
          <w:w w:val="110"/>
          <w:sz w:val="21"/>
        </w:rPr>
        <w:t xml:space="preserve"> </w:t>
      </w:r>
      <w:r>
        <w:rPr>
          <w:rFonts w:ascii="Arial"/>
          <w:color w:val="0C0C0C"/>
          <w:w w:val="110"/>
          <w:sz w:val="21"/>
        </w:rPr>
        <w:t>This</w:t>
      </w:r>
      <w:r>
        <w:rPr>
          <w:rFonts w:ascii="Arial"/>
          <w:color w:val="0C0C0C"/>
          <w:spacing w:val="-2"/>
          <w:w w:val="110"/>
          <w:sz w:val="21"/>
        </w:rPr>
        <w:t xml:space="preserve"> </w:t>
      </w:r>
      <w:r>
        <w:rPr>
          <w:rFonts w:ascii="Arial"/>
          <w:color w:val="1D1D1D"/>
          <w:w w:val="110"/>
          <w:sz w:val="21"/>
        </w:rPr>
        <w:t xml:space="preserve">omission </w:t>
      </w:r>
      <w:r>
        <w:rPr>
          <w:rFonts w:ascii="Arial"/>
          <w:color w:val="0C0C0C"/>
          <w:w w:val="110"/>
          <w:sz w:val="21"/>
        </w:rPr>
        <w:t>is</w:t>
      </w:r>
      <w:r>
        <w:rPr>
          <w:rFonts w:ascii="Arial"/>
          <w:color w:val="0C0C0C"/>
          <w:spacing w:val="-5"/>
          <w:w w:val="110"/>
          <w:sz w:val="21"/>
        </w:rPr>
        <w:t xml:space="preserve"> </w:t>
      </w:r>
      <w:r>
        <w:rPr>
          <w:rFonts w:ascii="Arial"/>
          <w:color w:val="0C0C0C"/>
          <w:w w:val="110"/>
          <w:sz w:val="21"/>
        </w:rPr>
        <w:t xml:space="preserve">particularly </w:t>
      </w:r>
      <w:r>
        <w:rPr>
          <w:rFonts w:ascii="Arial"/>
          <w:color w:val="1D1D1D"/>
          <w:w w:val="110"/>
          <w:sz w:val="21"/>
        </w:rPr>
        <w:t>significant in light</w:t>
      </w:r>
      <w:r>
        <w:rPr>
          <w:rFonts w:ascii="Arial"/>
          <w:color w:val="1D1D1D"/>
          <w:spacing w:val="-7"/>
          <w:w w:val="110"/>
          <w:sz w:val="21"/>
        </w:rPr>
        <w:t xml:space="preserve"> </w:t>
      </w:r>
      <w:r>
        <w:rPr>
          <w:rFonts w:ascii="Arial"/>
          <w:color w:val="1D1D1D"/>
          <w:w w:val="110"/>
          <w:sz w:val="21"/>
        </w:rPr>
        <w:t xml:space="preserve">of </w:t>
      </w:r>
      <w:r>
        <w:rPr>
          <w:rFonts w:ascii="Arial"/>
          <w:color w:val="0C0C0C"/>
          <w:w w:val="110"/>
          <w:sz w:val="21"/>
        </w:rPr>
        <w:t xml:space="preserve">MOFCOM's </w:t>
      </w:r>
      <w:r>
        <w:rPr>
          <w:rFonts w:ascii="Arial"/>
          <w:color w:val="1D1D1D"/>
          <w:w w:val="105"/>
          <w:sz w:val="21"/>
        </w:rPr>
        <w:t>failure</w:t>
      </w:r>
      <w:r>
        <w:rPr>
          <w:rFonts w:ascii="Arial"/>
          <w:color w:val="1D1D1D"/>
          <w:spacing w:val="-9"/>
          <w:w w:val="105"/>
          <w:sz w:val="21"/>
        </w:rPr>
        <w:t xml:space="preserve"> </w:t>
      </w:r>
      <w:r>
        <w:rPr>
          <w:rFonts w:ascii="Arial"/>
          <w:color w:val="1D1D1D"/>
          <w:w w:val="105"/>
          <w:sz w:val="21"/>
        </w:rPr>
        <w:t xml:space="preserve">to </w:t>
      </w:r>
      <w:r>
        <w:rPr>
          <w:rFonts w:ascii="Arial"/>
          <w:color w:val="0C0C0C"/>
          <w:w w:val="105"/>
          <w:sz w:val="21"/>
        </w:rPr>
        <w:t>undertake</w:t>
      </w:r>
      <w:r>
        <w:rPr>
          <w:rFonts w:ascii="Arial"/>
          <w:color w:val="0C0C0C"/>
          <w:spacing w:val="-11"/>
          <w:w w:val="105"/>
          <w:sz w:val="21"/>
        </w:rPr>
        <w:t xml:space="preserve"> </w:t>
      </w:r>
      <w:r>
        <w:rPr>
          <w:rFonts w:ascii="Arial"/>
          <w:color w:val="0C0C0C"/>
          <w:w w:val="105"/>
          <w:sz w:val="21"/>
        </w:rPr>
        <w:t>a</w:t>
      </w:r>
      <w:r>
        <w:rPr>
          <w:rFonts w:ascii="Arial"/>
          <w:color w:val="0C0C0C"/>
          <w:spacing w:val="-16"/>
          <w:w w:val="105"/>
          <w:sz w:val="21"/>
        </w:rPr>
        <w:t xml:space="preserve"> </w:t>
      </w:r>
      <w:r>
        <w:rPr>
          <w:rFonts w:ascii="Arial"/>
          <w:color w:val="1D1D1D"/>
          <w:w w:val="105"/>
          <w:sz w:val="21"/>
        </w:rPr>
        <w:t xml:space="preserve">counterfactualexamination of the evidence on </w:t>
      </w:r>
      <w:r>
        <w:rPr>
          <w:rFonts w:ascii="Arial"/>
          <w:color w:val="0C0C0C"/>
          <w:w w:val="105"/>
          <w:sz w:val="21"/>
        </w:rPr>
        <w:t>the</w:t>
      </w:r>
      <w:r>
        <w:rPr>
          <w:rFonts w:ascii="Arial"/>
          <w:color w:val="0C0C0C"/>
          <w:spacing w:val="37"/>
          <w:w w:val="105"/>
          <w:sz w:val="21"/>
        </w:rPr>
        <w:t xml:space="preserve"> </w:t>
      </w:r>
      <w:r>
        <w:rPr>
          <w:rFonts w:ascii="Arial"/>
          <w:color w:val="0C0C0C"/>
          <w:w w:val="105"/>
          <w:sz w:val="21"/>
        </w:rPr>
        <w:t>record</w:t>
      </w:r>
      <w:r>
        <w:rPr>
          <w:rFonts w:ascii="Arial"/>
          <w:color w:val="0C0C0C"/>
          <w:spacing w:val="-7"/>
          <w:w w:val="105"/>
          <w:sz w:val="21"/>
        </w:rPr>
        <w:t xml:space="preserve"> </w:t>
      </w:r>
      <w:r>
        <w:rPr>
          <w:rFonts w:ascii="Arial"/>
          <w:color w:val="0C0C0C"/>
          <w:w w:val="105"/>
          <w:sz w:val="21"/>
        </w:rPr>
        <w:t>in</w:t>
      </w:r>
      <w:r>
        <w:rPr>
          <w:rFonts w:ascii="Arial"/>
          <w:color w:val="0C0C0C"/>
          <w:spacing w:val="-4"/>
          <w:w w:val="105"/>
          <w:sz w:val="21"/>
        </w:rPr>
        <w:t xml:space="preserve"> </w:t>
      </w:r>
      <w:r>
        <w:rPr>
          <w:rFonts w:ascii="Arial"/>
          <w:color w:val="1D1D1D"/>
          <w:w w:val="105"/>
          <w:sz w:val="21"/>
        </w:rPr>
        <w:t xml:space="preserve">the context </w:t>
      </w:r>
      <w:r>
        <w:rPr>
          <w:rFonts w:ascii="Arial"/>
          <w:color w:val="1D1D1D"/>
          <w:w w:val="110"/>
          <w:sz w:val="21"/>
        </w:rPr>
        <w:t>of its price suppression analysis,</w:t>
      </w:r>
      <w:r>
        <w:rPr>
          <w:rFonts w:ascii="Arial"/>
          <w:color w:val="1D1D1D"/>
          <w:spacing w:val="-3"/>
          <w:w w:val="110"/>
          <w:sz w:val="21"/>
        </w:rPr>
        <w:t xml:space="preserve"> </w:t>
      </w:r>
      <w:r>
        <w:rPr>
          <w:rFonts w:ascii="Arial"/>
          <w:color w:val="1D1D1D"/>
          <w:w w:val="110"/>
          <w:sz w:val="21"/>
        </w:rPr>
        <w:t>as</w:t>
      </w:r>
      <w:r>
        <w:rPr>
          <w:rFonts w:ascii="Arial"/>
          <w:color w:val="1D1D1D"/>
          <w:spacing w:val="-1"/>
          <w:w w:val="110"/>
          <w:sz w:val="21"/>
        </w:rPr>
        <w:t xml:space="preserve"> </w:t>
      </w:r>
      <w:r>
        <w:rPr>
          <w:rFonts w:ascii="Arial"/>
          <w:color w:val="1D1D1D"/>
          <w:w w:val="110"/>
          <w:sz w:val="21"/>
        </w:rPr>
        <w:t xml:space="preserve">outlined </w:t>
      </w:r>
      <w:r>
        <w:rPr>
          <w:rFonts w:ascii="Arial"/>
          <w:color w:val="0C0C0C"/>
          <w:w w:val="110"/>
          <w:sz w:val="21"/>
        </w:rPr>
        <w:t>above.</w:t>
      </w:r>
      <w:r>
        <w:rPr>
          <w:rFonts w:ascii="Arial"/>
          <w:color w:val="0C0C0C"/>
          <w:spacing w:val="-1"/>
          <w:w w:val="110"/>
          <w:sz w:val="21"/>
        </w:rPr>
        <w:t xml:space="preserve"> </w:t>
      </w:r>
      <w:r>
        <w:rPr>
          <w:rFonts w:ascii="Arial"/>
          <w:color w:val="1D1D1D"/>
          <w:w w:val="110"/>
          <w:sz w:val="21"/>
        </w:rPr>
        <w:t>As</w:t>
      </w:r>
      <w:r>
        <w:rPr>
          <w:rFonts w:ascii="Arial"/>
          <w:color w:val="1D1D1D"/>
          <w:spacing w:val="-8"/>
          <w:w w:val="110"/>
          <w:sz w:val="21"/>
        </w:rPr>
        <w:t xml:space="preserve"> </w:t>
      </w:r>
      <w:r>
        <w:rPr>
          <w:rFonts w:ascii="Arial"/>
          <w:color w:val="0C0C0C"/>
          <w:w w:val="110"/>
          <w:sz w:val="21"/>
        </w:rPr>
        <w:t>a</w:t>
      </w:r>
      <w:r>
        <w:rPr>
          <w:rFonts w:ascii="Arial"/>
          <w:color w:val="0C0C0C"/>
          <w:spacing w:val="-2"/>
          <w:w w:val="110"/>
          <w:sz w:val="21"/>
        </w:rPr>
        <w:t xml:space="preserve"> </w:t>
      </w:r>
      <w:r>
        <w:rPr>
          <w:rFonts w:ascii="Arial"/>
          <w:color w:val="0C0C0C"/>
          <w:w w:val="110"/>
          <w:sz w:val="21"/>
        </w:rPr>
        <w:t>result,</w:t>
      </w:r>
      <w:r>
        <w:rPr>
          <w:rFonts w:ascii="Arial"/>
          <w:color w:val="0C0C0C"/>
          <w:spacing w:val="-12"/>
          <w:w w:val="110"/>
          <w:sz w:val="21"/>
        </w:rPr>
        <w:t xml:space="preserve"> </w:t>
      </w:r>
      <w:r>
        <w:rPr>
          <w:rFonts w:ascii="Arial"/>
          <w:color w:val="0C0C0C"/>
          <w:w w:val="110"/>
          <w:sz w:val="21"/>
        </w:rPr>
        <w:t xml:space="preserve">MOFCOM's </w:t>
      </w:r>
      <w:r>
        <w:rPr>
          <w:rFonts w:ascii="Arial"/>
          <w:color w:val="1D1D1D"/>
          <w:w w:val="110"/>
          <w:sz w:val="21"/>
        </w:rPr>
        <w:t>price</w:t>
      </w:r>
      <w:r>
        <w:rPr>
          <w:rFonts w:ascii="Arial"/>
          <w:color w:val="1D1D1D"/>
          <w:spacing w:val="-1"/>
          <w:w w:val="110"/>
          <w:sz w:val="21"/>
        </w:rPr>
        <w:t xml:space="preserve"> </w:t>
      </w:r>
      <w:r>
        <w:rPr>
          <w:rFonts w:ascii="Arial"/>
          <w:color w:val="1D1D1D"/>
          <w:w w:val="110"/>
          <w:sz w:val="21"/>
        </w:rPr>
        <w:t xml:space="preserve">effects </w:t>
      </w:r>
      <w:r>
        <w:rPr>
          <w:rFonts w:ascii="Arial"/>
          <w:color w:val="0C0C0C"/>
          <w:w w:val="105"/>
          <w:sz w:val="21"/>
        </w:rPr>
        <w:t xml:space="preserve">analysis </w:t>
      </w:r>
      <w:r>
        <w:rPr>
          <w:rFonts w:ascii="Arial"/>
          <w:color w:val="1D1D1D"/>
          <w:w w:val="105"/>
          <w:sz w:val="21"/>
        </w:rPr>
        <w:t>and</w:t>
      </w:r>
      <w:r>
        <w:rPr>
          <w:rFonts w:ascii="Arial"/>
          <w:color w:val="1D1D1D"/>
          <w:spacing w:val="-2"/>
          <w:w w:val="105"/>
          <w:sz w:val="21"/>
        </w:rPr>
        <w:t xml:space="preserve"> </w:t>
      </w:r>
      <w:r>
        <w:rPr>
          <w:rFonts w:ascii="Arial"/>
          <w:color w:val="0C0C0C"/>
          <w:w w:val="105"/>
          <w:sz w:val="21"/>
        </w:rPr>
        <w:t>price</w:t>
      </w:r>
      <w:r>
        <w:rPr>
          <w:rFonts w:ascii="Arial"/>
          <w:color w:val="0C0C0C"/>
          <w:spacing w:val="-7"/>
          <w:w w:val="105"/>
          <w:sz w:val="21"/>
        </w:rPr>
        <w:t xml:space="preserve"> </w:t>
      </w:r>
      <w:r>
        <w:rPr>
          <w:rFonts w:ascii="Arial"/>
          <w:color w:val="1D1D1D"/>
          <w:w w:val="105"/>
          <w:sz w:val="21"/>
        </w:rPr>
        <w:t xml:space="preserve">suppression </w:t>
      </w:r>
      <w:r>
        <w:rPr>
          <w:rFonts w:ascii="Arial"/>
          <w:color w:val="0C0C0C"/>
          <w:w w:val="105"/>
          <w:sz w:val="21"/>
        </w:rPr>
        <w:t>finding</w:t>
      </w:r>
      <w:r>
        <w:rPr>
          <w:rFonts w:ascii="Arial"/>
          <w:color w:val="0C0C0C"/>
          <w:spacing w:val="-10"/>
          <w:w w:val="105"/>
          <w:sz w:val="21"/>
        </w:rPr>
        <w:t xml:space="preserve"> </w:t>
      </w:r>
      <w:r>
        <w:rPr>
          <w:rFonts w:ascii="Arial"/>
          <w:color w:val="1D1D1D"/>
          <w:w w:val="105"/>
          <w:sz w:val="21"/>
        </w:rPr>
        <w:t>are</w:t>
      </w:r>
      <w:r>
        <w:rPr>
          <w:rFonts w:ascii="Arial"/>
          <w:color w:val="1D1D1D"/>
          <w:spacing w:val="-6"/>
          <w:w w:val="105"/>
          <w:sz w:val="21"/>
        </w:rPr>
        <w:t xml:space="preserve"> </w:t>
      </w:r>
      <w:r>
        <w:rPr>
          <w:rFonts w:ascii="Arial"/>
          <w:color w:val="1D1D1D"/>
          <w:w w:val="105"/>
          <w:sz w:val="21"/>
        </w:rPr>
        <w:t xml:space="preserve">not </w:t>
      </w:r>
      <w:r>
        <w:rPr>
          <w:rFonts w:ascii="Arial"/>
          <w:color w:val="0C0C0C"/>
          <w:w w:val="105"/>
          <w:sz w:val="21"/>
        </w:rPr>
        <w:t xml:space="preserve">based </w:t>
      </w:r>
      <w:r>
        <w:rPr>
          <w:rFonts w:ascii="Arial"/>
          <w:color w:val="1D1D1D"/>
          <w:w w:val="105"/>
          <w:sz w:val="21"/>
        </w:rPr>
        <w:t>on an</w:t>
      </w:r>
      <w:r>
        <w:rPr>
          <w:rFonts w:ascii="Arial"/>
          <w:color w:val="1D1D1D"/>
          <w:spacing w:val="-8"/>
          <w:w w:val="105"/>
          <w:sz w:val="21"/>
        </w:rPr>
        <w:t xml:space="preserve"> </w:t>
      </w:r>
      <w:r>
        <w:rPr>
          <w:rFonts w:ascii="Arial"/>
          <w:color w:val="1D1D1D"/>
          <w:w w:val="105"/>
          <w:sz w:val="21"/>
        </w:rPr>
        <w:t xml:space="preserve">objective examination of positive </w:t>
      </w:r>
      <w:r>
        <w:rPr>
          <w:rFonts w:ascii="Arial"/>
          <w:color w:val="1D1D1D"/>
          <w:spacing w:val="-2"/>
          <w:w w:val="110"/>
          <w:sz w:val="21"/>
        </w:rPr>
        <w:t>evidence.</w:t>
      </w:r>
    </w:p>
    <w:p w14:paraId="51DE8FCA" w14:textId="77777777" w:rsidR="0010369C" w:rsidRDefault="008E43AE">
      <w:pPr>
        <w:spacing w:before="154"/>
        <w:ind w:left="236"/>
        <w:jc w:val="both"/>
        <w:rPr>
          <w:rFonts w:ascii="Arial"/>
          <w:sz w:val="21"/>
        </w:rPr>
      </w:pPr>
      <w:r>
        <w:rPr>
          <w:rFonts w:ascii="Arial"/>
          <w:color w:val="1D1D1D"/>
          <w:w w:val="105"/>
          <w:sz w:val="21"/>
        </w:rPr>
        <w:t>608.</w:t>
      </w:r>
      <w:r>
        <w:rPr>
          <w:rFonts w:ascii="Arial"/>
          <w:color w:val="1D1D1D"/>
          <w:spacing w:val="55"/>
          <w:w w:val="105"/>
          <w:sz w:val="21"/>
        </w:rPr>
        <w:t xml:space="preserve">   </w:t>
      </w:r>
      <w:r>
        <w:rPr>
          <w:rFonts w:ascii="Arial"/>
          <w:color w:val="0C0C0C"/>
          <w:w w:val="105"/>
          <w:sz w:val="21"/>
        </w:rPr>
        <w:t>MOFCOM's</w:t>
      </w:r>
      <w:r>
        <w:rPr>
          <w:rFonts w:ascii="Arial"/>
          <w:color w:val="0C0C0C"/>
          <w:spacing w:val="-1"/>
          <w:w w:val="105"/>
          <w:sz w:val="21"/>
        </w:rPr>
        <w:t xml:space="preserve"> </w:t>
      </w:r>
      <w:r>
        <w:rPr>
          <w:rFonts w:ascii="Arial"/>
          <w:color w:val="1D1D1D"/>
          <w:w w:val="105"/>
          <w:sz w:val="21"/>
        </w:rPr>
        <w:t>own</w:t>
      </w:r>
      <w:r>
        <w:rPr>
          <w:rFonts w:ascii="Arial"/>
          <w:color w:val="1D1D1D"/>
          <w:spacing w:val="24"/>
          <w:w w:val="105"/>
          <w:sz w:val="21"/>
        </w:rPr>
        <w:t xml:space="preserve"> </w:t>
      </w:r>
      <w:r>
        <w:rPr>
          <w:rFonts w:ascii="Arial"/>
          <w:color w:val="0C0C0C"/>
          <w:w w:val="105"/>
          <w:sz w:val="21"/>
        </w:rPr>
        <w:t>price</w:t>
      </w:r>
      <w:r>
        <w:rPr>
          <w:rFonts w:ascii="Arial"/>
          <w:color w:val="0C0C0C"/>
          <w:spacing w:val="-16"/>
          <w:w w:val="105"/>
          <w:sz w:val="21"/>
        </w:rPr>
        <w:t xml:space="preserve"> </w:t>
      </w:r>
      <w:r>
        <w:rPr>
          <w:rFonts w:ascii="Arial"/>
          <w:color w:val="0C0C0C"/>
          <w:w w:val="105"/>
          <w:sz w:val="21"/>
        </w:rPr>
        <w:t>analysis</w:t>
      </w:r>
      <w:r>
        <w:rPr>
          <w:rFonts w:ascii="Arial"/>
          <w:color w:val="0C0C0C"/>
          <w:spacing w:val="-11"/>
          <w:w w:val="105"/>
          <w:sz w:val="21"/>
        </w:rPr>
        <w:t xml:space="preserve"> </w:t>
      </w:r>
      <w:r>
        <w:rPr>
          <w:rFonts w:ascii="Arial"/>
          <w:color w:val="1D1D1D"/>
          <w:w w:val="105"/>
          <w:sz w:val="21"/>
        </w:rPr>
        <w:t>figures</w:t>
      </w:r>
      <w:r>
        <w:rPr>
          <w:rFonts w:ascii="Arial"/>
          <w:color w:val="1D1D1D"/>
          <w:spacing w:val="-15"/>
          <w:w w:val="105"/>
          <w:sz w:val="21"/>
        </w:rPr>
        <w:t xml:space="preserve"> </w:t>
      </w:r>
      <w:r>
        <w:rPr>
          <w:rFonts w:ascii="Arial"/>
          <w:color w:val="1D1D1D"/>
          <w:w w:val="105"/>
          <w:sz w:val="21"/>
        </w:rPr>
        <w:t>show</w:t>
      </w:r>
      <w:r>
        <w:rPr>
          <w:rFonts w:ascii="Arial"/>
          <w:color w:val="1D1D1D"/>
          <w:spacing w:val="-15"/>
          <w:w w:val="105"/>
          <w:sz w:val="21"/>
        </w:rPr>
        <w:t xml:space="preserve"> </w:t>
      </w:r>
      <w:r>
        <w:rPr>
          <w:rFonts w:ascii="Arial"/>
          <w:color w:val="0C0C0C"/>
          <w:spacing w:val="-2"/>
          <w:w w:val="105"/>
          <w:sz w:val="21"/>
        </w:rPr>
        <w:t>that:</w:t>
      </w:r>
    </w:p>
    <w:p w14:paraId="51DE8FCB" w14:textId="77777777" w:rsidR="0010369C" w:rsidRDefault="0010369C">
      <w:pPr>
        <w:pStyle w:val="BodyText"/>
        <w:spacing w:before="2"/>
        <w:rPr>
          <w:rFonts w:ascii="Arial"/>
          <w:sz w:val="32"/>
        </w:rPr>
      </w:pPr>
    </w:p>
    <w:p w14:paraId="51DE8FCC" w14:textId="77777777" w:rsidR="0010369C" w:rsidRDefault="008E43AE">
      <w:pPr>
        <w:pStyle w:val="ListParagraph"/>
        <w:numPr>
          <w:ilvl w:val="0"/>
          <w:numId w:val="5"/>
        </w:numPr>
        <w:tabs>
          <w:tab w:val="left" w:pos="1945"/>
          <w:tab w:val="left" w:pos="1946"/>
        </w:tabs>
        <w:spacing w:before="0" w:line="429" w:lineRule="auto"/>
        <w:ind w:right="575" w:hanging="848"/>
        <w:rPr>
          <w:rFonts w:ascii="Arial" w:hAnsi="Arial"/>
          <w:color w:val="0C0C0C"/>
          <w:sz w:val="21"/>
        </w:rPr>
      </w:pPr>
      <w:r>
        <w:rPr>
          <w:rFonts w:ascii="Arial" w:hAnsi="Arial"/>
          <w:color w:val="1D1D1D"/>
          <w:w w:val="105"/>
          <w:sz w:val="21"/>
        </w:rPr>
        <w:t xml:space="preserve">The average </w:t>
      </w:r>
      <w:r>
        <w:rPr>
          <w:rFonts w:ascii="Arial" w:hAnsi="Arial"/>
          <w:color w:val="0C0C0C"/>
          <w:w w:val="105"/>
          <w:sz w:val="21"/>
        </w:rPr>
        <w:t xml:space="preserve">unit </w:t>
      </w:r>
      <w:r>
        <w:rPr>
          <w:rFonts w:ascii="Arial" w:hAnsi="Arial"/>
          <w:color w:val="1D1D1D"/>
          <w:w w:val="105"/>
          <w:sz w:val="21"/>
        </w:rPr>
        <w:t>price of subject imports was</w:t>
      </w:r>
      <w:r>
        <w:rPr>
          <w:rFonts w:ascii="Arial" w:hAnsi="Arial"/>
          <w:color w:val="1D1D1D"/>
          <w:spacing w:val="-6"/>
          <w:w w:val="105"/>
          <w:sz w:val="21"/>
        </w:rPr>
        <w:t xml:space="preserve"> </w:t>
      </w:r>
      <w:r>
        <w:rPr>
          <w:rFonts w:ascii="Arial" w:hAnsi="Arial"/>
          <w:color w:val="1D1D1D"/>
          <w:w w:val="105"/>
          <w:sz w:val="21"/>
        </w:rPr>
        <w:t xml:space="preserve">consistently </w:t>
      </w:r>
      <w:r>
        <w:rPr>
          <w:rFonts w:ascii="Arial" w:hAnsi="Arial"/>
          <w:color w:val="0C0C0C"/>
          <w:w w:val="105"/>
          <w:sz w:val="21"/>
        </w:rPr>
        <w:t xml:space="preserve">more </w:t>
      </w:r>
      <w:r>
        <w:rPr>
          <w:rFonts w:ascii="Arial" w:hAnsi="Arial"/>
          <w:color w:val="1D1D1D"/>
          <w:w w:val="105"/>
          <w:sz w:val="21"/>
        </w:rPr>
        <w:t xml:space="preserve">expensive than the average </w:t>
      </w:r>
      <w:r>
        <w:rPr>
          <w:rFonts w:ascii="Arial" w:hAnsi="Arial"/>
          <w:color w:val="0C0C0C"/>
          <w:w w:val="105"/>
          <w:sz w:val="21"/>
        </w:rPr>
        <w:t xml:space="preserve">unit price </w:t>
      </w:r>
      <w:r>
        <w:rPr>
          <w:rFonts w:ascii="Arial" w:hAnsi="Arial"/>
          <w:color w:val="1D1D1D"/>
          <w:w w:val="105"/>
          <w:sz w:val="21"/>
        </w:rPr>
        <w:t xml:space="preserve">of </w:t>
      </w:r>
      <w:r>
        <w:rPr>
          <w:rFonts w:ascii="Arial" w:hAnsi="Arial"/>
          <w:color w:val="0C0C0C"/>
          <w:w w:val="105"/>
          <w:sz w:val="21"/>
        </w:rPr>
        <w:t xml:space="preserve">domestic like products, by </w:t>
      </w:r>
      <w:r>
        <w:rPr>
          <w:rFonts w:ascii="Arial" w:hAnsi="Arial"/>
          <w:color w:val="1D1D1D"/>
          <w:w w:val="105"/>
          <w:sz w:val="21"/>
        </w:rPr>
        <w:t xml:space="preserve">a considerable </w:t>
      </w:r>
      <w:r>
        <w:rPr>
          <w:rFonts w:ascii="Arial" w:hAnsi="Arial"/>
          <w:color w:val="0C0C0C"/>
          <w:w w:val="105"/>
          <w:sz w:val="21"/>
        </w:rPr>
        <w:t xml:space="preserve">margin, </w:t>
      </w:r>
      <w:r>
        <w:rPr>
          <w:rFonts w:ascii="Arial" w:hAnsi="Arial"/>
          <w:color w:val="1D1D1D"/>
          <w:w w:val="105"/>
          <w:sz w:val="21"/>
        </w:rPr>
        <w:t xml:space="preserve">in each year of </w:t>
      </w:r>
      <w:r>
        <w:rPr>
          <w:rFonts w:ascii="Arial" w:hAnsi="Arial"/>
          <w:color w:val="0C0C0C"/>
          <w:w w:val="105"/>
          <w:sz w:val="21"/>
        </w:rPr>
        <w:t xml:space="preserve">the Injury </w:t>
      </w:r>
      <w:r>
        <w:rPr>
          <w:rFonts w:ascii="Arial" w:hAnsi="Arial"/>
          <w:color w:val="1D1D1D"/>
          <w:w w:val="105"/>
          <w:sz w:val="21"/>
        </w:rPr>
        <w:t xml:space="preserve">POI. For example, when the price gap </w:t>
      </w:r>
      <w:r>
        <w:rPr>
          <w:rFonts w:ascii="Arial" w:hAnsi="Arial"/>
          <w:color w:val="0C0C0C"/>
          <w:w w:val="105"/>
          <w:sz w:val="21"/>
        </w:rPr>
        <w:t xml:space="preserve">between </w:t>
      </w:r>
      <w:r>
        <w:rPr>
          <w:rFonts w:ascii="Arial" w:hAnsi="Arial"/>
          <w:color w:val="1D1D1D"/>
          <w:w w:val="105"/>
          <w:sz w:val="21"/>
        </w:rPr>
        <w:t xml:space="preserve">subject imports and domestic </w:t>
      </w:r>
      <w:r>
        <w:rPr>
          <w:rFonts w:ascii="Arial" w:hAnsi="Arial"/>
          <w:color w:val="0C0C0C"/>
          <w:w w:val="105"/>
          <w:sz w:val="21"/>
        </w:rPr>
        <w:t xml:space="preserve">like products </w:t>
      </w:r>
      <w:r>
        <w:rPr>
          <w:rFonts w:ascii="Arial" w:hAnsi="Arial"/>
          <w:color w:val="1D1D1D"/>
          <w:w w:val="105"/>
          <w:sz w:val="21"/>
        </w:rPr>
        <w:t xml:space="preserve">was at </w:t>
      </w:r>
      <w:r>
        <w:rPr>
          <w:rFonts w:ascii="Arial" w:hAnsi="Arial"/>
          <w:color w:val="0C0C0C"/>
          <w:w w:val="105"/>
          <w:sz w:val="21"/>
        </w:rPr>
        <w:t xml:space="preserve">its </w:t>
      </w:r>
      <w:r>
        <w:rPr>
          <w:rFonts w:ascii="Arial" w:hAnsi="Arial"/>
          <w:color w:val="1D1D1D"/>
          <w:w w:val="105"/>
          <w:sz w:val="21"/>
        </w:rPr>
        <w:t xml:space="preserve">widest, subject imports were </w:t>
      </w:r>
      <w:r>
        <w:rPr>
          <w:rFonts w:ascii="Times New Roman" w:hAnsi="Times New Roman"/>
          <w:color w:val="1D1D1D"/>
          <w:w w:val="105"/>
        </w:rPr>
        <w:t xml:space="preserve">72.99% </w:t>
      </w:r>
      <w:r>
        <w:rPr>
          <w:rFonts w:ascii="Arial" w:hAnsi="Arial"/>
          <w:color w:val="0C0C0C"/>
          <w:w w:val="105"/>
          <w:sz w:val="21"/>
        </w:rPr>
        <w:t xml:space="preserve">more </w:t>
      </w:r>
      <w:r>
        <w:rPr>
          <w:rFonts w:ascii="Arial" w:hAnsi="Arial"/>
          <w:color w:val="1D1D1D"/>
          <w:w w:val="105"/>
          <w:sz w:val="21"/>
        </w:rPr>
        <w:t xml:space="preserve">expensive than </w:t>
      </w:r>
      <w:r>
        <w:rPr>
          <w:rFonts w:ascii="Arial" w:hAnsi="Arial"/>
          <w:color w:val="0C0C0C"/>
          <w:w w:val="105"/>
          <w:sz w:val="21"/>
        </w:rPr>
        <w:t xml:space="preserve">domestic </w:t>
      </w:r>
      <w:r>
        <w:rPr>
          <w:rFonts w:ascii="Arial" w:hAnsi="Arial"/>
          <w:color w:val="1D1D1D"/>
          <w:w w:val="105"/>
          <w:sz w:val="21"/>
        </w:rPr>
        <w:t xml:space="preserve">like </w:t>
      </w:r>
      <w:r>
        <w:rPr>
          <w:rFonts w:ascii="Arial" w:hAnsi="Arial"/>
          <w:color w:val="0C0C0C"/>
          <w:w w:val="105"/>
          <w:sz w:val="21"/>
        </w:rPr>
        <w:t xml:space="preserve">products. </w:t>
      </w:r>
      <w:r>
        <w:rPr>
          <w:rFonts w:ascii="Arial" w:hAnsi="Arial"/>
          <w:color w:val="1D1D1D"/>
          <w:w w:val="105"/>
          <w:sz w:val="21"/>
        </w:rPr>
        <w:t xml:space="preserve">When </w:t>
      </w:r>
      <w:r>
        <w:rPr>
          <w:rFonts w:ascii="Arial" w:hAnsi="Arial"/>
          <w:color w:val="0C0C0C"/>
          <w:w w:val="105"/>
          <w:sz w:val="21"/>
        </w:rPr>
        <w:t xml:space="preserve">the price </w:t>
      </w:r>
      <w:r>
        <w:rPr>
          <w:rFonts w:ascii="Arial" w:hAnsi="Arial"/>
          <w:color w:val="1D1D1D"/>
          <w:w w:val="105"/>
          <w:sz w:val="21"/>
        </w:rPr>
        <w:t>gap was at i</w:t>
      </w:r>
      <w:r>
        <w:rPr>
          <w:rFonts w:ascii="Arial" w:hAnsi="Arial"/>
          <w:color w:val="1D1D1D"/>
          <w:w w:val="105"/>
          <w:sz w:val="21"/>
        </w:rPr>
        <w:t xml:space="preserve">ts </w:t>
      </w:r>
      <w:r>
        <w:rPr>
          <w:rFonts w:ascii="Arial" w:hAnsi="Arial"/>
          <w:color w:val="0C0C0C"/>
          <w:w w:val="105"/>
          <w:sz w:val="21"/>
        </w:rPr>
        <w:t>narrowest,</w:t>
      </w:r>
      <w:r>
        <w:rPr>
          <w:rFonts w:ascii="Arial" w:hAnsi="Arial"/>
          <w:color w:val="0C0C0C"/>
          <w:spacing w:val="-4"/>
          <w:w w:val="105"/>
          <w:sz w:val="21"/>
        </w:rPr>
        <w:t xml:space="preserve"> </w:t>
      </w:r>
      <w:r>
        <w:rPr>
          <w:rFonts w:ascii="Arial" w:hAnsi="Arial"/>
          <w:color w:val="1D1D1D"/>
          <w:w w:val="105"/>
          <w:sz w:val="21"/>
        </w:rPr>
        <w:t xml:space="preserve">the average </w:t>
      </w:r>
      <w:r>
        <w:rPr>
          <w:rFonts w:ascii="Arial" w:hAnsi="Arial"/>
          <w:color w:val="0C0C0C"/>
          <w:w w:val="105"/>
          <w:sz w:val="21"/>
        </w:rPr>
        <w:t xml:space="preserve">unit </w:t>
      </w:r>
      <w:r>
        <w:rPr>
          <w:rFonts w:ascii="Arial" w:hAnsi="Arial"/>
          <w:color w:val="1D1D1D"/>
          <w:w w:val="105"/>
          <w:sz w:val="21"/>
        </w:rPr>
        <w:t xml:space="preserve">price of subject imports remained </w:t>
      </w:r>
      <w:r>
        <w:rPr>
          <w:rFonts w:ascii="Times New Roman" w:hAnsi="Times New Roman"/>
          <w:color w:val="1D1D1D"/>
          <w:w w:val="105"/>
        </w:rPr>
        <w:t xml:space="preserve">16.28% </w:t>
      </w:r>
      <w:r>
        <w:rPr>
          <w:rFonts w:ascii="Arial" w:hAnsi="Arial"/>
          <w:color w:val="0C0C0C"/>
          <w:w w:val="105"/>
          <w:sz w:val="21"/>
        </w:rPr>
        <w:t xml:space="preserve">more </w:t>
      </w:r>
      <w:r>
        <w:rPr>
          <w:rFonts w:ascii="Arial" w:hAnsi="Arial"/>
          <w:color w:val="1D1D1D"/>
          <w:w w:val="105"/>
          <w:sz w:val="21"/>
        </w:rPr>
        <w:t xml:space="preserve">expensive than the average </w:t>
      </w:r>
      <w:r>
        <w:rPr>
          <w:rFonts w:ascii="Arial" w:hAnsi="Arial"/>
          <w:color w:val="0C0C0C"/>
          <w:w w:val="105"/>
          <w:sz w:val="21"/>
        </w:rPr>
        <w:t xml:space="preserve">unit </w:t>
      </w:r>
      <w:r>
        <w:rPr>
          <w:rFonts w:ascii="Arial" w:hAnsi="Arial"/>
          <w:color w:val="1D1D1D"/>
          <w:w w:val="105"/>
          <w:sz w:val="21"/>
        </w:rPr>
        <w:t xml:space="preserve">price of domestic </w:t>
      </w:r>
      <w:r>
        <w:rPr>
          <w:rFonts w:ascii="Arial" w:hAnsi="Arial"/>
          <w:color w:val="0C0C0C"/>
          <w:w w:val="105"/>
          <w:sz w:val="21"/>
        </w:rPr>
        <w:t xml:space="preserve">like </w:t>
      </w:r>
      <w:r>
        <w:rPr>
          <w:rFonts w:ascii="Arial" w:hAnsi="Arial"/>
          <w:color w:val="1D1D1D"/>
          <w:w w:val="105"/>
          <w:sz w:val="21"/>
        </w:rPr>
        <w:t>products.</w:t>
      </w:r>
      <w:r>
        <w:rPr>
          <w:rFonts w:ascii="Arial" w:hAnsi="Arial"/>
          <w:color w:val="1D1D1D"/>
          <w:w w:val="105"/>
          <w:position w:val="7"/>
          <w:sz w:val="14"/>
        </w:rPr>
        <w:t>706</w:t>
      </w:r>
      <w:r>
        <w:rPr>
          <w:rFonts w:ascii="Arial" w:hAnsi="Arial"/>
          <w:color w:val="1D1D1D"/>
          <w:spacing w:val="40"/>
          <w:w w:val="105"/>
          <w:position w:val="7"/>
          <w:sz w:val="14"/>
        </w:rPr>
        <w:t xml:space="preserve"> </w:t>
      </w:r>
      <w:r>
        <w:rPr>
          <w:rFonts w:ascii="Arial" w:hAnsi="Arial"/>
          <w:color w:val="1D1D1D"/>
          <w:w w:val="105"/>
          <w:sz w:val="21"/>
        </w:rPr>
        <w:t xml:space="preserve">On average, subject </w:t>
      </w:r>
      <w:r>
        <w:rPr>
          <w:rFonts w:ascii="Arial" w:hAnsi="Arial"/>
          <w:color w:val="0C0C0C"/>
          <w:w w:val="105"/>
          <w:sz w:val="21"/>
        </w:rPr>
        <w:t xml:space="preserve">imports </w:t>
      </w:r>
      <w:r>
        <w:rPr>
          <w:rFonts w:ascii="Arial" w:hAnsi="Arial"/>
          <w:color w:val="1D1D1D"/>
          <w:w w:val="105"/>
          <w:sz w:val="21"/>
        </w:rPr>
        <w:t xml:space="preserve">were </w:t>
      </w:r>
      <w:r>
        <w:rPr>
          <w:rFonts w:ascii="Times New Roman" w:hAnsi="Times New Roman"/>
          <w:color w:val="1D1D1D"/>
          <w:w w:val="105"/>
        </w:rPr>
        <w:t xml:space="preserve">38.61% </w:t>
      </w:r>
      <w:r>
        <w:rPr>
          <w:rFonts w:ascii="Arial" w:hAnsi="Arial"/>
          <w:color w:val="1D1D1D"/>
          <w:w w:val="105"/>
          <w:sz w:val="21"/>
        </w:rPr>
        <w:t xml:space="preserve">more expensive </w:t>
      </w:r>
      <w:r>
        <w:rPr>
          <w:rFonts w:ascii="Arial" w:hAnsi="Arial"/>
          <w:color w:val="0C0C0C"/>
          <w:w w:val="105"/>
          <w:sz w:val="21"/>
        </w:rPr>
        <w:t xml:space="preserve">than </w:t>
      </w:r>
      <w:r>
        <w:rPr>
          <w:rFonts w:ascii="Arial" w:hAnsi="Arial"/>
          <w:color w:val="1D1D1D"/>
          <w:w w:val="105"/>
          <w:sz w:val="21"/>
        </w:rPr>
        <w:t xml:space="preserve">domestic like products throughout the </w:t>
      </w:r>
      <w:r>
        <w:rPr>
          <w:rFonts w:ascii="Arial" w:hAnsi="Arial"/>
          <w:color w:val="0C0C0C"/>
          <w:w w:val="105"/>
          <w:sz w:val="21"/>
        </w:rPr>
        <w:t xml:space="preserve">Injury </w:t>
      </w:r>
      <w:r>
        <w:rPr>
          <w:rFonts w:ascii="Arial" w:hAnsi="Arial"/>
          <w:color w:val="1D1D1D"/>
          <w:w w:val="105"/>
          <w:sz w:val="21"/>
        </w:rPr>
        <w:t>POl.</w:t>
      </w:r>
      <w:r>
        <w:rPr>
          <w:rFonts w:ascii="Arial" w:hAnsi="Arial"/>
          <w:color w:val="1D1D1D"/>
          <w:w w:val="105"/>
          <w:position w:val="7"/>
          <w:sz w:val="14"/>
        </w:rPr>
        <w:t>70</w:t>
      </w:r>
      <w:r>
        <w:rPr>
          <w:rFonts w:ascii="Arial" w:hAnsi="Arial"/>
          <w:color w:val="1D1D1D"/>
          <w:w w:val="105"/>
          <w:position w:val="7"/>
          <w:sz w:val="14"/>
        </w:rPr>
        <w:t>7</w:t>
      </w:r>
      <w:r>
        <w:rPr>
          <w:rFonts w:ascii="Arial" w:hAnsi="Arial"/>
          <w:color w:val="1D1D1D"/>
          <w:spacing w:val="40"/>
          <w:w w:val="105"/>
          <w:position w:val="7"/>
          <w:sz w:val="14"/>
        </w:rPr>
        <w:t xml:space="preserve"> </w:t>
      </w:r>
      <w:r>
        <w:rPr>
          <w:rFonts w:ascii="Arial" w:hAnsi="Arial"/>
          <w:color w:val="1D1D1D"/>
          <w:w w:val="105"/>
          <w:sz w:val="21"/>
        </w:rPr>
        <w:t xml:space="preserve">This demonstrates there was no </w:t>
      </w:r>
      <w:r>
        <w:rPr>
          <w:rFonts w:ascii="Arial" w:hAnsi="Arial"/>
          <w:color w:val="0C0C0C"/>
          <w:w w:val="105"/>
          <w:sz w:val="21"/>
        </w:rPr>
        <w:t xml:space="preserve">price undercutting </w:t>
      </w:r>
      <w:r>
        <w:rPr>
          <w:rFonts w:ascii="Arial" w:hAnsi="Arial"/>
          <w:color w:val="1D1D1D"/>
          <w:w w:val="105"/>
          <w:sz w:val="21"/>
        </w:rPr>
        <w:t>occurring.</w:t>
      </w:r>
    </w:p>
    <w:p w14:paraId="51DE8FCD" w14:textId="77777777" w:rsidR="0010369C" w:rsidRDefault="008E43AE">
      <w:pPr>
        <w:pStyle w:val="ListParagraph"/>
        <w:numPr>
          <w:ilvl w:val="0"/>
          <w:numId w:val="5"/>
        </w:numPr>
        <w:tabs>
          <w:tab w:val="left" w:pos="1945"/>
          <w:tab w:val="left" w:pos="1946"/>
        </w:tabs>
        <w:spacing w:before="152" w:line="429" w:lineRule="auto"/>
        <w:ind w:left="1942" w:right="567" w:hanging="847"/>
        <w:rPr>
          <w:rFonts w:ascii="Arial" w:hAnsi="Arial"/>
          <w:color w:val="0C0C0C"/>
          <w:sz w:val="21"/>
        </w:rPr>
      </w:pPr>
      <w:r>
        <w:rPr>
          <w:rFonts w:ascii="Arial" w:hAnsi="Arial"/>
          <w:color w:val="1D1D1D"/>
          <w:w w:val="105"/>
          <w:sz w:val="21"/>
        </w:rPr>
        <w:t xml:space="preserve">The average </w:t>
      </w:r>
      <w:r>
        <w:rPr>
          <w:rFonts w:ascii="Arial" w:hAnsi="Arial"/>
          <w:color w:val="0C0C0C"/>
          <w:w w:val="105"/>
          <w:sz w:val="21"/>
        </w:rPr>
        <w:t>unit</w:t>
      </w:r>
      <w:r>
        <w:rPr>
          <w:rFonts w:ascii="Arial" w:hAnsi="Arial"/>
          <w:color w:val="0C0C0C"/>
          <w:spacing w:val="-3"/>
          <w:w w:val="105"/>
          <w:sz w:val="21"/>
        </w:rPr>
        <w:t xml:space="preserve"> </w:t>
      </w:r>
      <w:r>
        <w:rPr>
          <w:rFonts w:ascii="Arial" w:hAnsi="Arial"/>
          <w:color w:val="1D1D1D"/>
          <w:w w:val="105"/>
          <w:sz w:val="21"/>
        </w:rPr>
        <w:t>price</w:t>
      </w:r>
      <w:r>
        <w:rPr>
          <w:rFonts w:ascii="Arial" w:hAnsi="Arial"/>
          <w:color w:val="1D1D1D"/>
          <w:spacing w:val="-9"/>
          <w:w w:val="105"/>
          <w:sz w:val="21"/>
        </w:rPr>
        <w:t xml:space="preserve"> </w:t>
      </w:r>
      <w:r>
        <w:rPr>
          <w:rFonts w:ascii="Arial" w:hAnsi="Arial"/>
          <w:color w:val="1D1D1D"/>
          <w:w w:val="105"/>
          <w:sz w:val="21"/>
        </w:rPr>
        <w:t xml:space="preserve">of </w:t>
      </w:r>
      <w:r>
        <w:rPr>
          <w:rFonts w:ascii="Arial" w:hAnsi="Arial"/>
          <w:color w:val="0C0C0C"/>
          <w:w w:val="105"/>
          <w:sz w:val="21"/>
        </w:rPr>
        <w:t xml:space="preserve">domestic like </w:t>
      </w:r>
      <w:r>
        <w:rPr>
          <w:rFonts w:ascii="Arial" w:hAnsi="Arial"/>
          <w:color w:val="1D1D1D"/>
          <w:w w:val="105"/>
          <w:sz w:val="21"/>
        </w:rPr>
        <w:t>products was</w:t>
      </w:r>
      <w:r>
        <w:rPr>
          <w:rFonts w:ascii="Arial" w:hAnsi="Arial"/>
          <w:color w:val="1D1D1D"/>
          <w:spacing w:val="-4"/>
          <w:w w:val="105"/>
          <w:sz w:val="21"/>
        </w:rPr>
        <w:t xml:space="preserve"> </w:t>
      </w:r>
      <w:r>
        <w:rPr>
          <w:rFonts w:ascii="Arial" w:hAnsi="Arial"/>
          <w:color w:val="1D1D1D"/>
          <w:w w:val="105"/>
          <w:sz w:val="21"/>
        </w:rPr>
        <w:t>not</w:t>
      </w:r>
      <w:r>
        <w:rPr>
          <w:rFonts w:ascii="Arial" w:hAnsi="Arial"/>
          <w:color w:val="1D1D1D"/>
          <w:spacing w:val="40"/>
          <w:w w:val="105"/>
          <w:sz w:val="21"/>
        </w:rPr>
        <w:t xml:space="preserve"> </w:t>
      </w:r>
      <w:r>
        <w:rPr>
          <w:rFonts w:ascii="Arial" w:hAnsi="Arial"/>
          <w:color w:val="1D1D1D"/>
          <w:w w:val="105"/>
          <w:sz w:val="21"/>
        </w:rPr>
        <w:t xml:space="preserve">depressed by </w:t>
      </w:r>
      <w:r>
        <w:rPr>
          <w:rFonts w:ascii="Arial" w:hAnsi="Arial"/>
          <w:color w:val="0C0C0C"/>
          <w:w w:val="105"/>
          <w:sz w:val="21"/>
        </w:rPr>
        <w:t xml:space="preserve">the </w:t>
      </w:r>
      <w:r>
        <w:rPr>
          <w:rFonts w:ascii="Arial" w:hAnsi="Arial"/>
          <w:color w:val="1D1D1D"/>
          <w:w w:val="105"/>
          <w:sz w:val="21"/>
        </w:rPr>
        <w:t xml:space="preserve">average unit price of subject </w:t>
      </w:r>
      <w:r>
        <w:rPr>
          <w:rFonts w:ascii="Arial" w:hAnsi="Arial"/>
          <w:color w:val="0C0C0C"/>
          <w:w w:val="105"/>
          <w:sz w:val="21"/>
        </w:rPr>
        <w:t xml:space="preserve">imports </w:t>
      </w:r>
      <w:r>
        <w:rPr>
          <w:rFonts w:ascii="Arial" w:hAnsi="Arial"/>
          <w:color w:val="1D1D1D"/>
          <w:w w:val="105"/>
          <w:sz w:val="21"/>
        </w:rPr>
        <w:t xml:space="preserve">in any year of </w:t>
      </w:r>
      <w:r>
        <w:rPr>
          <w:rFonts w:ascii="Arial" w:hAnsi="Arial"/>
          <w:color w:val="0C0C0C"/>
          <w:w w:val="105"/>
          <w:sz w:val="21"/>
        </w:rPr>
        <w:t xml:space="preserve">the Injury </w:t>
      </w:r>
      <w:r>
        <w:rPr>
          <w:rFonts w:ascii="Arial" w:hAnsi="Arial"/>
          <w:color w:val="1D1D1D"/>
          <w:w w:val="105"/>
          <w:sz w:val="21"/>
        </w:rPr>
        <w:t xml:space="preserve">POI. </w:t>
      </w:r>
      <w:r>
        <w:rPr>
          <w:rFonts w:ascii="Arial" w:hAnsi="Arial"/>
          <w:color w:val="0C0C0C"/>
          <w:w w:val="105"/>
          <w:sz w:val="21"/>
        </w:rPr>
        <w:t xml:space="preserve">Rather, </w:t>
      </w:r>
      <w:r>
        <w:rPr>
          <w:rFonts w:ascii="Arial" w:hAnsi="Arial"/>
          <w:color w:val="1D1D1D"/>
          <w:w w:val="105"/>
          <w:sz w:val="21"/>
        </w:rPr>
        <w:t>domestic</w:t>
      </w:r>
      <w:r>
        <w:rPr>
          <w:rFonts w:ascii="Arial" w:hAnsi="Arial"/>
          <w:color w:val="1D1D1D"/>
          <w:spacing w:val="-16"/>
          <w:w w:val="105"/>
          <w:sz w:val="21"/>
        </w:rPr>
        <w:t xml:space="preserve"> </w:t>
      </w:r>
      <w:r>
        <w:rPr>
          <w:rFonts w:ascii="Arial" w:hAnsi="Arial"/>
          <w:color w:val="1D1D1D"/>
          <w:w w:val="105"/>
          <w:sz w:val="21"/>
        </w:rPr>
        <w:t>prices</w:t>
      </w:r>
      <w:r>
        <w:rPr>
          <w:rFonts w:ascii="Arial" w:hAnsi="Arial"/>
          <w:color w:val="1D1D1D"/>
          <w:spacing w:val="-15"/>
          <w:w w:val="105"/>
          <w:sz w:val="21"/>
        </w:rPr>
        <w:t xml:space="preserve"> </w:t>
      </w:r>
      <w:r>
        <w:rPr>
          <w:rFonts w:ascii="Arial" w:hAnsi="Arial"/>
          <w:color w:val="1D1D1D"/>
          <w:w w:val="105"/>
          <w:sz w:val="21"/>
        </w:rPr>
        <w:t>continued</w:t>
      </w:r>
      <w:r>
        <w:rPr>
          <w:rFonts w:ascii="Arial" w:hAnsi="Arial"/>
          <w:color w:val="1D1D1D"/>
          <w:spacing w:val="-15"/>
          <w:w w:val="105"/>
          <w:sz w:val="21"/>
        </w:rPr>
        <w:t xml:space="preserve"> </w:t>
      </w:r>
      <w:r>
        <w:rPr>
          <w:rFonts w:ascii="Arial" w:hAnsi="Arial"/>
          <w:color w:val="1D1D1D"/>
          <w:w w:val="105"/>
          <w:sz w:val="21"/>
        </w:rPr>
        <w:t>to</w:t>
      </w:r>
      <w:r>
        <w:rPr>
          <w:rFonts w:ascii="Arial" w:hAnsi="Arial"/>
          <w:color w:val="1D1D1D"/>
          <w:spacing w:val="12"/>
          <w:w w:val="105"/>
          <w:sz w:val="21"/>
        </w:rPr>
        <w:t xml:space="preserve"> </w:t>
      </w:r>
      <w:r>
        <w:rPr>
          <w:rFonts w:ascii="Arial" w:hAnsi="Arial"/>
          <w:color w:val="1D1D1D"/>
          <w:w w:val="105"/>
          <w:sz w:val="21"/>
        </w:rPr>
        <w:t>increase</w:t>
      </w:r>
      <w:r>
        <w:rPr>
          <w:rFonts w:ascii="Arial" w:hAnsi="Arial"/>
          <w:color w:val="1D1D1D"/>
          <w:spacing w:val="-16"/>
          <w:w w:val="105"/>
          <w:sz w:val="21"/>
        </w:rPr>
        <w:t xml:space="preserve"> </w:t>
      </w:r>
      <w:r>
        <w:rPr>
          <w:rFonts w:ascii="Arial" w:hAnsi="Arial"/>
          <w:color w:val="1D1D1D"/>
          <w:w w:val="105"/>
          <w:sz w:val="21"/>
        </w:rPr>
        <w:t>by a</w:t>
      </w:r>
      <w:r>
        <w:rPr>
          <w:rFonts w:ascii="Arial" w:hAnsi="Arial"/>
          <w:color w:val="1D1D1D"/>
          <w:spacing w:val="-16"/>
          <w:w w:val="105"/>
          <w:sz w:val="21"/>
        </w:rPr>
        <w:t xml:space="preserve"> </w:t>
      </w:r>
      <w:r>
        <w:rPr>
          <w:rFonts w:ascii="Arial" w:hAnsi="Arial"/>
          <w:color w:val="1D1D1D"/>
          <w:w w:val="105"/>
          <w:sz w:val="21"/>
        </w:rPr>
        <w:t>considerable</w:t>
      </w:r>
      <w:r>
        <w:rPr>
          <w:rFonts w:ascii="Arial" w:hAnsi="Arial"/>
          <w:color w:val="1D1D1D"/>
          <w:spacing w:val="-4"/>
          <w:w w:val="105"/>
          <w:sz w:val="21"/>
        </w:rPr>
        <w:t xml:space="preserve"> </w:t>
      </w:r>
      <w:r>
        <w:rPr>
          <w:rFonts w:ascii="Arial" w:hAnsi="Arial"/>
          <w:color w:val="0C0C0C"/>
          <w:w w:val="105"/>
          <w:sz w:val="21"/>
        </w:rPr>
        <w:t>margin</w:t>
      </w:r>
      <w:r>
        <w:rPr>
          <w:rFonts w:ascii="Arial" w:hAnsi="Arial"/>
          <w:color w:val="0C0C0C"/>
          <w:spacing w:val="-16"/>
          <w:w w:val="105"/>
          <w:sz w:val="21"/>
        </w:rPr>
        <w:t xml:space="preserve"> </w:t>
      </w:r>
      <w:r>
        <w:rPr>
          <w:rFonts w:ascii="Arial" w:hAnsi="Arial"/>
          <w:color w:val="1D1D1D"/>
          <w:w w:val="105"/>
          <w:sz w:val="21"/>
        </w:rPr>
        <w:t>in each</w:t>
      </w:r>
      <w:r>
        <w:rPr>
          <w:rFonts w:ascii="Arial" w:hAnsi="Arial"/>
          <w:color w:val="1D1D1D"/>
          <w:spacing w:val="-16"/>
          <w:w w:val="105"/>
          <w:sz w:val="21"/>
        </w:rPr>
        <w:t xml:space="preserve"> </w:t>
      </w:r>
      <w:r>
        <w:rPr>
          <w:rFonts w:ascii="Arial" w:hAnsi="Arial"/>
          <w:color w:val="1D1D1D"/>
          <w:w w:val="105"/>
          <w:sz w:val="21"/>
        </w:rPr>
        <w:t xml:space="preserve">year during the </w:t>
      </w:r>
      <w:r>
        <w:rPr>
          <w:rFonts w:ascii="Arial" w:hAnsi="Arial"/>
          <w:color w:val="0C0C0C"/>
          <w:w w:val="105"/>
          <w:sz w:val="21"/>
        </w:rPr>
        <w:t xml:space="preserve">Injury </w:t>
      </w:r>
      <w:r>
        <w:rPr>
          <w:rFonts w:ascii="Arial" w:hAnsi="Arial"/>
          <w:color w:val="1D1D1D"/>
          <w:w w:val="105"/>
          <w:sz w:val="21"/>
        </w:rPr>
        <w:t xml:space="preserve">POI. Domestic prices </w:t>
      </w:r>
      <w:r>
        <w:rPr>
          <w:rFonts w:ascii="Arial" w:hAnsi="Arial"/>
          <w:color w:val="0C0C0C"/>
          <w:w w:val="105"/>
          <w:sz w:val="21"/>
        </w:rPr>
        <w:t xml:space="preserve">increased </w:t>
      </w:r>
      <w:r>
        <w:rPr>
          <w:rFonts w:ascii="Arial" w:hAnsi="Arial"/>
          <w:color w:val="1D1D1D"/>
          <w:w w:val="105"/>
          <w:sz w:val="21"/>
        </w:rPr>
        <w:t xml:space="preserve">by </w:t>
      </w:r>
      <w:r>
        <w:rPr>
          <w:rFonts w:ascii="Times New Roman" w:hAnsi="Times New Roman"/>
          <w:color w:val="1D1D1D"/>
          <w:w w:val="105"/>
        </w:rPr>
        <w:t xml:space="preserve">20.54%, </w:t>
      </w:r>
      <w:r>
        <w:rPr>
          <w:rFonts w:ascii="Arial" w:hAnsi="Arial"/>
          <w:color w:val="1D1D1D"/>
          <w:w w:val="105"/>
          <w:sz w:val="21"/>
        </w:rPr>
        <w:t xml:space="preserve">when </w:t>
      </w:r>
      <w:r>
        <w:rPr>
          <w:rFonts w:ascii="Times New Roman" w:hAnsi="Times New Roman"/>
          <w:color w:val="1D1D1D"/>
          <w:w w:val="105"/>
        </w:rPr>
        <w:t xml:space="preserve">2015 </w:t>
      </w:r>
      <w:r>
        <w:rPr>
          <w:rFonts w:ascii="Arial" w:hAnsi="Arial"/>
          <w:color w:val="1D1D1D"/>
          <w:w w:val="105"/>
          <w:sz w:val="21"/>
        </w:rPr>
        <w:t>prices are</w:t>
      </w:r>
      <w:r>
        <w:rPr>
          <w:rFonts w:ascii="Arial" w:hAnsi="Arial"/>
          <w:color w:val="1D1D1D"/>
          <w:spacing w:val="-3"/>
          <w:w w:val="105"/>
          <w:sz w:val="21"/>
        </w:rPr>
        <w:t xml:space="preserve"> </w:t>
      </w:r>
      <w:r>
        <w:rPr>
          <w:rFonts w:ascii="Arial" w:hAnsi="Arial"/>
          <w:color w:val="1D1D1D"/>
          <w:w w:val="105"/>
          <w:sz w:val="21"/>
        </w:rPr>
        <w:t>compared to</w:t>
      </w:r>
      <w:r>
        <w:rPr>
          <w:rFonts w:ascii="Arial" w:hAnsi="Arial"/>
          <w:color w:val="1D1D1D"/>
          <w:spacing w:val="39"/>
          <w:w w:val="105"/>
          <w:sz w:val="21"/>
        </w:rPr>
        <w:t xml:space="preserve"> </w:t>
      </w:r>
      <w:r>
        <w:rPr>
          <w:rFonts w:ascii="Times New Roman" w:hAnsi="Times New Roman"/>
          <w:color w:val="1D1D1D"/>
          <w:w w:val="105"/>
        </w:rPr>
        <w:t>2019.</w:t>
      </w:r>
      <w:r>
        <w:rPr>
          <w:rFonts w:ascii="Arial" w:hAnsi="Arial"/>
          <w:color w:val="1D1D1D"/>
          <w:w w:val="105"/>
          <w:vertAlign w:val="superscript"/>
        </w:rPr>
        <w:t>708</w:t>
      </w:r>
      <w:r>
        <w:rPr>
          <w:rFonts w:ascii="Arial" w:hAnsi="Arial"/>
          <w:color w:val="1D1D1D"/>
          <w:w w:val="105"/>
        </w:rPr>
        <w:t xml:space="preserve"> </w:t>
      </w:r>
      <w:r>
        <w:rPr>
          <w:rFonts w:ascii="Arial" w:hAnsi="Arial"/>
          <w:color w:val="1D1D1D"/>
          <w:w w:val="105"/>
          <w:sz w:val="21"/>
        </w:rPr>
        <w:t xml:space="preserve">This </w:t>
      </w:r>
      <w:r>
        <w:rPr>
          <w:rFonts w:ascii="Arial" w:hAnsi="Arial"/>
          <w:color w:val="0C0C0C"/>
          <w:w w:val="105"/>
          <w:sz w:val="21"/>
        </w:rPr>
        <w:t>demonstrates that</w:t>
      </w:r>
      <w:r>
        <w:rPr>
          <w:rFonts w:ascii="Arial" w:hAnsi="Arial"/>
          <w:color w:val="0C0C0C"/>
          <w:spacing w:val="-1"/>
          <w:w w:val="105"/>
          <w:sz w:val="21"/>
        </w:rPr>
        <w:t xml:space="preserve"> </w:t>
      </w:r>
      <w:r>
        <w:rPr>
          <w:rFonts w:ascii="Arial" w:hAnsi="Arial"/>
          <w:color w:val="1D1D1D"/>
          <w:w w:val="105"/>
          <w:sz w:val="21"/>
        </w:rPr>
        <w:t>no</w:t>
      </w:r>
      <w:r>
        <w:rPr>
          <w:rFonts w:ascii="Arial" w:hAnsi="Arial"/>
          <w:color w:val="1D1D1D"/>
          <w:spacing w:val="-9"/>
          <w:w w:val="105"/>
          <w:sz w:val="21"/>
        </w:rPr>
        <w:t xml:space="preserve"> </w:t>
      </w:r>
      <w:r>
        <w:rPr>
          <w:rFonts w:ascii="Arial" w:hAnsi="Arial"/>
          <w:color w:val="1D1D1D"/>
          <w:w w:val="105"/>
          <w:sz w:val="21"/>
        </w:rPr>
        <w:t>significant price depression was occurring.</w:t>
      </w:r>
    </w:p>
    <w:p w14:paraId="51DE8FCE" w14:textId="77777777" w:rsidR="0010369C" w:rsidRDefault="0010369C">
      <w:pPr>
        <w:pStyle w:val="BodyText"/>
        <w:rPr>
          <w:rFonts w:ascii="Arial"/>
          <w:sz w:val="20"/>
        </w:rPr>
      </w:pPr>
    </w:p>
    <w:p w14:paraId="51DE8FCF" w14:textId="77777777" w:rsidR="0010369C" w:rsidRDefault="0010369C">
      <w:pPr>
        <w:pStyle w:val="BodyText"/>
        <w:rPr>
          <w:rFonts w:ascii="Arial"/>
          <w:sz w:val="20"/>
        </w:rPr>
      </w:pPr>
    </w:p>
    <w:p w14:paraId="51DE8FD0" w14:textId="77777777" w:rsidR="0010369C" w:rsidRDefault="0010369C">
      <w:pPr>
        <w:pStyle w:val="BodyText"/>
        <w:rPr>
          <w:rFonts w:ascii="Arial"/>
          <w:sz w:val="20"/>
        </w:rPr>
      </w:pPr>
    </w:p>
    <w:p w14:paraId="51DE8FD1" w14:textId="77777777" w:rsidR="0010369C" w:rsidRDefault="008E43AE">
      <w:pPr>
        <w:pStyle w:val="BodyText"/>
        <w:spacing w:before="3"/>
        <w:rPr>
          <w:rFonts w:ascii="Arial"/>
          <w:sz w:val="15"/>
        </w:rPr>
      </w:pPr>
      <w:r>
        <w:pict w14:anchorId="51DEA4E2">
          <v:shape id="docshape1090" o:spid="_x0000_s1293" style="position:absolute;margin-left:70.25pt;margin-top:10pt;width:145.5pt;height:.1pt;z-index:-250817024;mso-wrap-distance-left:0;mso-wrap-distance-right:0;mso-position-horizontal-relative:page" coordorigin="1405,200" coordsize="2910,0" path="m1405,200r2909,e" filled="f" strokeweight=".53042mm">
            <v:path arrowok="t"/>
            <w10:wrap type="topAndBottom" anchorx="page"/>
          </v:shape>
        </w:pict>
      </w:r>
    </w:p>
    <w:p w14:paraId="51DE8FD2" w14:textId="77777777" w:rsidR="0010369C" w:rsidRDefault="008E43AE">
      <w:pPr>
        <w:spacing w:before="103" w:after="14"/>
        <w:ind w:left="239"/>
        <w:rPr>
          <w:rFonts w:ascii="Arial"/>
          <w:sz w:val="16"/>
        </w:rPr>
      </w:pPr>
      <w:r>
        <w:rPr>
          <w:rFonts w:ascii="Arial"/>
          <w:color w:val="1D1D1D"/>
          <w:w w:val="95"/>
          <w:position w:val="6"/>
          <w:sz w:val="12"/>
        </w:rPr>
        <w:t>705</w:t>
      </w:r>
      <w:r>
        <w:rPr>
          <w:rFonts w:ascii="Arial"/>
          <w:color w:val="1D1D1D"/>
          <w:spacing w:val="5"/>
          <w:position w:val="6"/>
          <w:sz w:val="12"/>
        </w:rPr>
        <w:t xml:space="preserve"> </w:t>
      </w:r>
      <w:r>
        <w:rPr>
          <w:rFonts w:ascii="Arial"/>
          <w:color w:val="1D1D1D"/>
          <w:w w:val="95"/>
          <w:sz w:val="16"/>
        </w:rPr>
        <w:t>Panel</w:t>
      </w:r>
      <w:r>
        <w:rPr>
          <w:rFonts w:ascii="Arial"/>
          <w:color w:val="1D1D1D"/>
          <w:spacing w:val="4"/>
          <w:sz w:val="16"/>
        </w:rPr>
        <w:t xml:space="preserve"> </w:t>
      </w:r>
      <w:r>
        <w:rPr>
          <w:rFonts w:ascii="Arial"/>
          <w:color w:val="1D1D1D"/>
          <w:w w:val="95"/>
          <w:sz w:val="16"/>
        </w:rPr>
        <w:t>Report,</w:t>
      </w:r>
      <w:r>
        <w:rPr>
          <w:rFonts w:ascii="Arial"/>
          <w:color w:val="1D1D1D"/>
          <w:spacing w:val="-3"/>
          <w:w w:val="95"/>
          <w:sz w:val="16"/>
        </w:rPr>
        <w:t xml:space="preserve"> </w:t>
      </w:r>
      <w:r>
        <w:rPr>
          <w:rFonts w:ascii="Arial"/>
          <w:i/>
          <w:color w:val="1D1D1D"/>
          <w:w w:val="95"/>
          <w:sz w:val="17"/>
        </w:rPr>
        <w:t>China</w:t>
      </w:r>
      <w:r>
        <w:rPr>
          <w:rFonts w:ascii="Arial"/>
          <w:i/>
          <w:color w:val="1D1D1D"/>
          <w:spacing w:val="9"/>
          <w:sz w:val="17"/>
        </w:rPr>
        <w:t xml:space="preserve"> </w:t>
      </w:r>
      <w:r>
        <w:rPr>
          <w:rFonts w:ascii="Arial"/>
          <w:color w:val="1D1D1D"/>
          <w:w w:val="95"/>
          <w:sz w:val="17"/>
        </w:rPr>
        <w:t>-</w:t>
      </w:r>
      <w:r>
        <w:rPr>
          <w:rFonts w:ascii="Arial"/>
          <w:color w:val="1D1D1D"/>
          <w:spacing w:val="-7"/>
          <w:w w:val="95"/>
          <w:sz w:val="17"/>
        </w:rPr>
        <w:t xml:space="preserve"> </w:t>
      </w:r>
      <w:r>
        <w:rPr>
          <w:rFonts w:ascii="Arial"/>
          <w:i/>
          <w:color w:val="1D1D1D"/>
          <w:w w:val="95"/>
          <w:sz w:val="17"/>
        </w:rPr>
        <w:t>Cellulose</w:t>
      </w:r>
      <w:r>
        <w:rPr>
          <w:rFonts w:ascii="Arial"/>
          <w:i/>
          <w:color w:val="1D1D1D"/>
          <w:spacing w:val="-3"/>
          <w:sz w:val="17"/>
        </w:rPr>
        <w:t xml:space="preserve"> </w:t>
      </w:r>
      <w:r>
        <w:rPr>
          <w:rFonts w:ascii="Arial"/>
          <w:i/>
          <w:color w:val="1D1D1D"/>
          <w:w w:val="95"/>
          <w:sz w:val="17"/>
        </w:rPr>
        <w:t>Pulp,</w:t>
      </w:r>
      <w:r>
        <w:rPr>
          <w:rFonts w:ascii="Arial"/>
          <w:i/>
          <w:color w:val="1D1D1D"/>
          <w:spacing w:val="-16"/>
          <w:w w:val="95"/>
          <w:sz w:val="17"/>
        </w:rPr>
        <w:t xml:space="preserve"> </w:t>
      </w:r>
      <w:r>
        <w:rPr>
          <w:rFonts w:ascii="Arial"/>
          <w:color w:val="1D1D1D"/>
          <w:w w:val="95"/>
          <w:sz w:val="16"/>
        </w:rPr>
        <w:t>para.</w:t>
      </w:r>
      <w:r>
        <w:rPr>
          <w:rFonts w:ascii="Arial"/>
          <w:color w:val="1D1D1D"/>
          <w:spacing w:val="4"/>
          <w:sz w:val="16"/>
        </w:rPr>
        <w:t xml:space="preserve"> </w:t>
      </w:r>
      <w:r>
        <w:rPr>
          <w:rFonts w:ascii="Arial"/>
          <w:color w:val="1D1D1D"/>
          <w:spacing w:val="-2"/>
          <w:w w:val="95"/>
          <w:sz w:val="16"/>
        </w:rPr>
        <w:t>7.63.</w:t>
      </w:r>
    </w:p>
    <w:p w14:paraId="51DE8FD3" w14:textId="77777777" w:rsidR="0010369C" w:rsidRDefault="008E43AE">
      <w:pPr>
        <w:pStyle w:val="BodyText"/>
        <w:spacing w:line="20" w:lineRule="exact"/>
        <w:ind w:left="7027"/>
        <w:rPr>
          <w:rFonts w:ascii="Arial"/>
          <w:sz w:val="2"/>
        </w:rPr>
      </w:pPr>
      <w:r>
        <w:rPr>
          <w:rFonts w:ascii="Arial"/>
          <w:sz w:val="2"/>
        </w:rPr>
      </w:r>
      <w:r>
        <w:rPr>
          <w:rFonts w:ascii="Arial"/>
          <w:sz w:val="2"/>
        </w:rPr>
        <w:pict w14:anchorId="51DEA4E4">
          <v:group id="docshapegroup1091" o:spid="_x0000_s1291" style="width:84.3pt;height:1.05pt;mso-position-horizontal-relative:char;mso-position-vertical-relative:line" coordsize="1686,21">
            <v:line id="_x0000_s1292" style="position:absolute" from="0,10" to="1686,10" strokeweight=".35361mm"/>
            <w10:anchorlock/>
          </v:group>
        </w:pict>
      </w:r>
    </w:p>
    <w:p w14:paraId="51DE8FD4" w14:textId="77777777" w:rsidR="0010369C" w:rsidRDefault="008E43AE">
      <w:pPr>
        <w:tabs>
          <w:tab w:val="left" w:pos="7068"/>
        </w:tabs>
        <w:ind w:left="240"/>
        <w:rPr>
          <w:rFonts w:ascii="Arial"/>
          <w:b/>
          <w:sz w:val="17"/>
        </w:rPr>
      </w:pPr>
      <w:r>
        <w:pict w14:anchorId="51DEA4E5">
          <v:shape id="docshape1092" o:spid="_x0000_s1290" type="#_x0000_t202" style="position:absolute;left:0;text-align:left;margin-left:67.9pt;margin-top:3.55pt;width:15.3pt;height:19.05pt;z-index:-251291136;mso-position-horizontal-relative:page" filled="f" stroked="f">
            <v:textbox inset="0,0,0,0">
              <w:txbxContent>
                <w:p w14:paraId="51DEAC8A" w14:textId="77777777" w:rsidR="0010369C" w:rsidRDefault="008E43AE">
                  <w:pPr>
                    <w:spacing w:line="381" w:lineRule="exact"/>
                    <w:rPr>
                      <w:rFonts w:ascii="Arial"/>
                      <w:b/>
                      <w:sz w:val="34"/>
                    </w:rPr>
                  </w:pPr>
                  <w:r>
                    <w:rPr>
                      <w:rFonts w:ascii="Arial"/>
                      <w:b/>
                      <w:color w:val="0C0C0C"/>
                      <w:w w:val="60"/>
                      <w:sz w:val="34"/>
                    </w:rPr>
                    <w:t>1-</w:t>
                  </w:r>
                  <w:r>
                    <w:rPr>
                      <w:rFonts w:ascii="Arial"/>
                      <w:b/>
                      <w:color w:val="0C0C0C"/>
                      <w:spacing w:val="-5"/>
                      <w:w w:val="60"/>
                      <w:sz w:val="34"/>
                    </w:rPr>
                    <w:t>ll</w:t>
                  </w:r>
                </w:p>
              </w:txbxContent>
            </v:textbox>
            <w10:wrap anchorx="page"/>
          </v:shape>
        </w:pict>
      </w:r>
      <w:r>
        <w:rPr>
          <w:rFonts w:ascii="Arial"/>
          <w:color w:val="1D1D1D"/>
          <w:sz w:val="17"/>
          <w:vertAlign w:val="superscript"/>
        </w:rPr>
        <w:t>706</w:t>
      </w:r>
      <w:r>
        <w:rPr>
          <w:rFonts w:ascii="Arial"/>
          <w:color w:val="1D1D1D"/>
          <w:spacing w:val="-6"/>
          <w:sz w:val="17"/>
        </w:rPr>
        <w:t xml:space="preserve"> </w:t>
      </w:r>
      <w:r>
        <w:rPr>
          <w:rFonts w:ascii="Arial"/>
          <w:color w:val="1D1D1D"/>
          <w:spacing w:val="-10"/>
          <w:sz w:val="10"/>
        </w:rPr>
        <w:t>[</w:t>
      </w:r>
      <w:r>
        <w:rPr>
          <w:rFonts w:ascii="Arial"/>
          <w:color w:val="1D1D1D"/>
          <w:sz w:val="10"/>
        </w:rPr>
        <w:tab/>
      </w:r>
      <w:r>
        <w:rPr>
          <w:rFonts w:ascii="Arial"/>
          <w:b/>
          <w:color w:val="1D1D1D"/>
          <w:w w:val="85"/>
          <w:sz w:val="17"/>
        </w:rPr>
        <w:t>(Exhibit</w:t>
      </w:r>
      <w:r>
        <w:rPr>
          <w:rFonts w:ascii="Arial"/>
          <w:b/>
          <w:color w:val="1D1D1D"/>
          <w:spacing w:val="13"/>
          <w:sz w:val="17"/>
        </w:rPr>
        <w:t xml:space="preserve"> </w:t>
      </w:r>
      <w:r>
        <w:rPr>
          <w:rFonts w:ascii="Arial"/>
          <w:b/>
          <w:color w:val="1D1D1D"/>
          <w:w w:val="85"/>
          <w:sz w:val="17"/>
        </w:rPr>
        <w:t>AUS-65</w:t>
      </w:r>
      <w:r>
        <w:rPr>
          <w:rFonts w:ascii="Arial"/>
          <w:b/>
          <w:color w:val="1D1D1D"/>
          <w:spacing w:val="8"/>
          <w:sz w:val="17"/>
        </w:rPr>
        <w:t xml:space="preserve"> </w:t>
      </w:r>
      <w:r>
        <w:rPr>
          <w:rFonts w:ascii="Arial"/>
          <w:b/>
          <w:color w:val="1D1D1D"/>
          <w:spacing w:val="-2"/>
          <w:w w:val="85"/>
          <w:sz w:val="17"/>
        </w:rPr>
        <w:t>(BCI)),</w:t>
      </w:r>
    </w:p>
    <w:p w14:paraId="51DE8FD5" w14:textId="77777777" w:rsidR="0010369C" w:rsidRDefault="008E43AE">
      <w:pPr>
        <w:spacing w:before="45" w:line="208" w:lineRule="auto"/>
        <w:ind w:left="234" w:right="611" w:firstLine="522"/>
        <w:rPr>
          <w:rFonts w:ascii="Arial"/>
          <w:sz w:val="16"/>
        </w:rPr>
      </w:pPr>
      <w:r>
        <w:rPr>
          <w:rFonts w:ascii="Arial"/>
          <w:color w:val="1D1D1D"/>
          <w:w w:val="105"/>
          <w:sz w:val="16"/>
        </w:rPr>
        <w:t>Australia</w:t>
      </w:r>
      <w:r>
        <w:rPr>
          <w:rFonts w:ascii="Arial"/>
          <w:color w:val="1D1D1D"/>
          <w:spacing w:val="-13"/>
          <w:w w:val="105"/>
          <w:sz w:val="16"/>
        </w:rPr>
        <w:t xml:space="preserve"> </w:t>
      </w:r>
      <w:r>
        <w:rPr>
          <w:rFonts w:ascii="Arial"/>
          <w:color w:val="1D1D1D"/>
          <w:w w:val="105"/>
          <w:sz w:val="16"/>
        </w:rPr>
        <w:t>has</w:t>
      </w:r>
      <w:r>
        <w:rPr>
          <w:rFonts w:ascii="Arial"/>
          <w:color w:val="1D1D1D"/>
          <w:spacing w:val="-15"/>
          <w:w w:val="105"/>
          <w:sz w:val="16"/>
        </w:rPr>
        <w:t xml:space="preserve"> </w:t>
      </w:r>
      <w:r>
        <w:rPr>
          <w:rFonts w:ascii="Arial"/>
          <w:color w:val="1D1D1D"/>
          <w:w w:val="105"/>
          <w:sz w:val="16"/>
        </w:rPr>
        <w:t>calculated</w:t>
      </w:r>
      <w:r>
        <w:rPr>
          <w:rFonts w:ascii="Arial"/>
          <w:color w:val="1D1D1D"/>
          <w:spacing w:val="-19"/>
          <w:w w:val="105"/>
          <w:sz w:val="16"/>
        </w:rPr>
        <w:t xml:space="preserve"> </w:t>
      </w:r>
      <w:r>
        <w:rPr>
          <w:rFonts w:ascii="Arial"/>
          <w:color w:val="1D1D1D"/>
          <w:w w:val="105"/>
          <w:sz w:val="16"/>
        </w:rPr>
        <w:t>the</w:t>
      </w:r>
      <w:r>
        <w:rPr>
          <w:rFonts w:ascii="Arial"/>
          <w:color w:val="1D1D1D"/>
          <w:spacing w:val="10"/>
          <w:w w:val="105"/>
          <w:sz w:val="16"/>
        </w:rPr>
        <w:t xml:space="preserve"> </w:t>
      </w:r>
      <w:r>
        <w:rPr>
          <w:rFonts w:ascii="Arial"/>
          <w:color w:val="1D1D1D"/>
          <w:w w:val="105"/>
          <w:sz w:val="16"/>
        </w:rPr>
        <w:t>simple</w:t>
      </w:r>
      <w:r>
        <w:rPr>
          <w:rFonts w:ascii="Arial"/>
          <w:color w:val="1D1D1D"/>
          <w:spacing w:val="-12"/>
          <w:w w:val="105"/>
          <w:sz w:val="16"/>
        </w:rPr>
        <w:t xml:space="preserve"> </w:t>
      </w:r>
      <w:r>
        <w:rPr>
          <w:rFonts w:ascii="Arial"/>
          <w:color w:val="1D1D1D"/>
          <w:w w:val="105"/>
          <w:sz w:val="16"/>
        </w:rPr>
        <w:t>average</w:t>
      </w:r>
      <w:r>
        <w:rPr>
          <w:rFonts w:ascii="Arial"/>
          <w:color w:val="1D1D1D"/>
          <w:spacing w:val="-15"/>
          <w:w w:val="105"/>
          <w:sz w:val="16"/>
        </w:rPr>
        <w:t xml:space="preserve"> </w:t>
      </w:r>
      <w:r>
        <w:rPr>
          <w:rFonts w:ascii="Arial"/>
          <w:color w:val="1D1D1D"/>
          <w:w w:val="105"/>
          <w:sz w:val="16"/>
        </w:rPr>
        <w:t>of</w:t>
      </w:r>
      <w:r>
        <w:rPr>
          <w:rFonts w:ascii="Arial"/>
          <w:color w:val="1D1D1D"/>
          <w:spacing w:val="12"/>
          <w:w w:val="105"/>
          <w:sz w:val="16"/>
        </w:rPr>
        <w:t xml:space="preserve"> </w:t>
      </w:r>
      <w:r>
        <w:rPr>
          <w:rFonts w:ascii="Arial"/>
          <w:color w:val="1D1D1D"/>
          <w:w w:val="105"/>
          <w:sz w:val="16"/>
        </w:rPr>
        <w:t>the</w:t>
      </w:r>
      <w:r>
        <w:rPr>
          <w:rFonts w:ascii="Arial"/>
          <w:color w:val="1D1D1D"/>
          <w:spacing w:val="11"/>
          <w:w w:val="105"/>
          <w:sz w:val="16"/>
        </w:rPr>
        <w:t xml:space="preserve"> </w:t>
      </w:r>
      <w:r>
        <w:rPr>
          <w:rFonts w:ascii="Arial"/>
          <w:color w:val="1D1D1D"/>
          <w:w w:val="105"/>
          <w:sz w:val="16"/>
        </w:rPr>
        <w:t>price</w:t>
      </w:r>
      <w:r>
        <w:rPr>
          <w:rFonts w:ascii="Arial"/>
          <w:color w:val="1D1D1D"/>
          <w:spacing w:val="-12"/>
          <w:w w:val="105"/>
          <w:sz w:val="16"/>
        </w:rPr>
        <w:t xml:space="preserve"> </w:t>
      </w:r>
      <w:r>
        <w:rPr>
          <w:rFonts w:ascii="Arial"/>
          <w:color w:val="1D1D1D"/>
          <w:w w:val="105"/>
          <w:sz w:val="16"/>
        </w:rPr>
        <w:t>difference</w:t>
      </w:r>
      <w:r>
        <w:rPr>
          <w:rFonts w:ascii="Arial"/>
          <w:color w:val="1D1D1D"/>
          <w:spacing w:val="-13"/>
          <w:w w:val="105"/>
          <w:sz w:val="16"/>
        </w:rPr>
        <w:t xml:space="preserve"> </w:t>
      </w:r>
      <w:r>
        <w:rPr>
          <w:rFonts w:ascii="Arial"/>
          <w:color w:val="1D1D1D"/>
          <w:w w:val="105"/>
          <w:sz w:val="16"/>
        </w:rPr>
        <w:t>percentages</w:t>
      </w:r>
      <w:r>
        <w:rPr>
          <w:rFonts w:ascii="Arial"/>
          <w:color w:val="1D1D1D"/>
          <w:spacing w:val="-1"/>
          <w:w w:val="105"/>
          <w:sz w:val="16"/>
        </w:rPr>
        <w:t xml:space="preserve"> </w:t>
      </w:r>
      <w:r>
        <w:rPr>
          <w:rFonts w:ascii="Arial"/>
          <w:color w:val="1D1D1D"/>
          <w:w w:val="105"/>
          <w:sz w:val="16"/>
        </w:rPr>
        <w:t>using</w:t>
      </w:r>
      <w:r>
        <w:rPr>
          <w:rFonts w:ascii="Arial"/>
          <w:color w:val="1D1D1D"/>
          <w:spacing w:val="-24"/>
          <w:w w:val="105"/>
          <w:sz w:val="16"/>
        </w:rPr>
        <w:t xml:space="preserve"> </w:t>
      </w:r>
      <w:r>
        <w:rPr>
          <w:rFonts w:ascii="Arial"/>
          <w:color w:val="1D1D1D"/>
          <w:w w:val="105"/>
          <w:sz w:val="16"/>
        </w:rPr>
        <w:t>the following</w:t>
      </w:r>
      <w:r>
        <w:rPr>
          <w:rFonts w:ascii="Arial"/>
          <w:color w:val="1D1D1D"/>
          <w:spacing w:val="-16"/>
          <w:w w:val="105"/>
          <w:sz w:val="16"/>
        </w:rPr>
        <w:t xml:space="preserve"> </w:t>
      </w:r>
      <w:r>
        <w:rPr>
          <w:rFonts w:ascii="Arial"/>
          <w:color w:val="1D1D1D"/>
          <w:w w:val="105"/>
          <w:sz w:val="16"/>
        </w:rPr>
        <w:t>formula:</w:t>
      </w:r>
      <w:r>
        <w:rPr>
          <w:rFonts w:ascii="Arial"/>
          <w:color w:val="1D1D1D"/>
          <w:spacing w:val="-19"/>
          <w:w w:val="105"/>
          <w:sz w:val="16"/>
        </w:rPr>
        <w:t xml:space="preserve"> </w:t>
      </w:r>
      <w:r>
        <w:rPr>
          <w:rFonts w:ascii="Arial"/>
          <w:color w:val="1D1D1D"/>
          <w:w w:val="105"/>
          <w:sz w:val="16"/>
        </w:rPr>
        <w:t>(sum</w:t>
      </w:r>
      <w:r>
        <w:rPr>
          <w:rFonts w:ascii="Arial"/>
          <w:color w:val="1D1D1D"/>
          <w:spacing w:val="-15"/>
          <w:w w:val="105"/>
          <w:sz w:val="16"/>
        </w:rPr>
        <w:t xml:space="preserve"> </w:t>
      </w:r>
      <w:r>
        <w:rPr>
          <w:rFonts w:ascii="Arial"/>
          <w:color w:val="1D1D1D"/>
          <w:w w:val="105"/>
          <w:sz w:val="16"/>
        </w:rPr>
        <w:t>of price</w:t>
      </w:r>
      <w:r>
        <w:rPr>
          <w:rFonts w:ascii="Arial"/>
          <w:color w:val="1D1D1D"/>
          <w:spacing w:val="-16"/>
          <w:w w:val="105"/>
          <w:sz w:val="16"/>
        </w:rPr>
        <w:t xml:space="preserve"> </w:t>
      </w:r>
      <w:r>
        <w:rPr>
          <w:rFonts w:ascii="Arial"/>
          <w:color w:val="1D1D1D"/>
          <w:w w:val="105"/>
          <w:sz w:val="16"/>
        </w:rPr>
        <w:t>different percentages for</w:t>
      </w:r>
      <w:r>
        <w:rPr>
          <w:rFonts w:ascii="Arial"/>
          <w:color w:val="1D1D1D"/>
          <w:spacing w:val="40"/>
          <w:w w:val="105"/>
          <w:sz w:val="16"/>
        </w:rPr>
        <w:t xml:space="preserve"> </w:t>
      </w:r>
      <w:r>
        <w:rPr>
          <w:rFonts w:ascii="Arial"/>
          <w:color w:val="1D1D1D"/>
          <w:w w:val="105"/>
          <w:sz w:val="16"/>
        </w:rPr>
        <w:t>2015,</w:t>
      </w:r>
      <w:r>
        <w:rPr>
          <w:rFonts w:ascii="Arial"/>
          <w:color w:val="1D1D1D"/>
          <w:spacing w:val="-8"/>
          <w:w w:val="105"/>
          <w:sz w:val="16"/>
        </w:rPr>
        <w:t xml:space="preserve"> </w:t>
      </w:r>
      <w:r>
        <w:rPr>
          <w:rFonts w:ascii="Arial"/>
          <w:color w:val="1D1D1D"/>
          <w:w w:val="105"/>
          <w:sz w:val="16"/>
        </w:rPr>
        <w:t>2016,</w:t>
      </w:r>
      <w:r>
        <w:rPr>
          <w:rFonts w:ascii="Arial"/>
          <w:color w:val="1D1D1D"/>
          <w:spacing w:val="-8"/>
          <w:w w:val="105"/>
          <w:sz w:val="16"/>
        </w:rPr>
        <w:t xml:space="preserve"> </w:t>
      </w:r>
      <w:r>
        <w:rPr>
          <w:rFonts w:ascii="Arial"/>
          <w:color w:val="1D1D1D"/>
          <w:w w:val="105"/>
          <w:sz w:val="16"/>
        </w:rPr>
        <w:t>2017,</w:t>
      </w:r>
      <w:r>
        <w:rPr>
          <w:rFonts w:ascii="Arial"/>
          <w:color w:val="1D1D1D"/>
          <w:spacing w:val="-8"/>
          <w:w w:val="105"/>
          <w:sz w:val="16"/>
        </w:rPr>
        <w:t xml:space="preserve"> </w:t>
      </w:r>
      <w:r>
        <w:rPr>
          <w:rFonts w:ascii="Arial"/>
          <w:color w:val="1D1D1D"/>
          <w:w w:val="105"/>
          <w:sz w:val="16"/>
        </w:rPr>
        <w:t>2018,</w:t>
      </w:r>
      <w:r>
        <w:rPr>
          <w:rFonts w:ascii="Arial"/>
          <w:color w:val="1D1D1D"/>
          <w:spacing w:val="-8"/>
          <w:w w:val="105"/>
          <w:sz w:val="16"/>
        </w:rPr>
        <w:t xml:space="preserve"> </w:t>
      </w:r>
      <w:r>
        <w:rPr>
          <w:rFonts w:ascii="Arial"/>
          <w:color w:val="1D1D1D"/>
          <w:w w:val="105"/>
          <w:sz w:val="16"/>
        </w:rPr>
        <w:t>2019)</w:t>
      </w:r>
      <w:r>
        <w:rPr>
          <w:rFonts w:ascii="Arial"/>
          <w:color w:val="1D1D1D"/>
          <w:spacing w:val="-4"/>
          <w:w w:val="105"/>
          <w:sz w:val="16"/>
        </w:rPr>
        <w:t xml:space="preserve"> </w:t>
      </w:r>
      <w:r>
        <w:rPr>
          <w:rFonts w:ascii="Arial"/>
          <w:color w:val="1D1D1D"/>
          <w:w w:val="105"/>
          <w:sz w:val="16"/>
        </w:rPr>
        <w:t>/</w:t>
      </w:r>
      <w:r>
        <w:rPr>
          <w:rFonts w:ascii="Arial"/>
          <w:color w:val="1D1D1D"/>
          <w:spacing w:val="40"/>
          <w:w w:val="105"/>
          <w:sz w:val="16"/>
        </w:rPr>
        <w:t xml:space="preserve"> </w:t>
      </w:r>
      <w:r>
        <w:rPr>
          <w:rFonts w:ascii="Arial"/>
          <w:color w:val="1D1D1D"/>
          <w:w w:val="105"/>
          <w:sz w:val="16"/>
        </w:rPr>
        <w:t>5.</w:t>
      </w:r>
    </w:p>
    <w:p w14:paraId="51DE8FD6" w14:textId="77777777" w:rsidR="0010369C" w:rsidRDefault="008E43AE">
      <w:pPr>
        <w:spacing w:before="101"/>
        <w:ind w:left="240"/>
        <w:rPr>
          <w:rFonts w:ascii="Arial"/>
          <w:sz w:val="16"/>
        </w:rPr>
      </w:pPr>
      <w:r>
        <w:rPr>
          <w:rFonts w:ascii="Arial"/>
          <w:color w:val="1D1D1D"/>
          <w:sz w:val="16"/>
          <w:vertAlign w:val="superscript"/>
        </w:rPr>
        <w:t>708</w:t>
      </w:r>
      <w:r>
        <w:rPr>
          <w:rFonts w:ascii="Arial"/>
          <w:color w:val="1D1D1D"/>
          <w:spacing w:val="24"/>
          <w:sz w:val="16"/>
        </w:rPr>
        <w:t xml:space="preserve"> </w:t>
      </w:r>
      <w:r>
        <w:rPr>
          <w:rFonts w:ascii="Arial"/>
          <w:color w:val="1D1D1D"/>
          <w:sz w:val="16"/>
        </w:rPr>
        <w:t>Anti-Dumping</w:t>
      </w:r>
      <w:r>
        <w:rPr>
          <w:rFonts w:ascii="Arial"/>
          <w:color w:val="1D1D1D"/>
          <w:spacing w:val="9"/>
          <w:sz w:val="16"/>
        </w:rPr>
        <w:t xml:space="preserve"> </w:t>
      </w:r>
      <w:r>
        <w:rPr>
          <w:rFonts w:ascii="Arial"/>
          <w:color w:val="1D1D1D"/>
          <w:sz w:val="16"/>
        </w:rPr>
        <w:t>Final</w:t>
      </w:r>
      <w:r>
        <w:rPr>
          <w:rFonts w:ascii="Arial"/>
          <w:color w:val="1D1D1D"/>
          <w:spacing w:val="-3"/>
          <w:sz w:val="16"/>
        </w:rPr>
        <w:t xml:space="preserve"> </w:t>
      </w:r>
      <w:r>
        <w:rPr>
          <w:rFonts w:ascii="Arial"/>
          <w:color w:val="1D1D1D"/>
          <w:sz w:val="16"/>
        </w:rPr>
        <w:t>Determination</w:t>
      </w:r>
      <w:r>
        <w:rPr>
          <w:rFonts w:ascii="Arial"/>
          <w:color w:val="1D1D1D"/>
          <w:spacing w:val="4"/>
          <w:sz w:val="16"/>
        </w:rPr>
        <w:t xml:space="preserve"> </w:t>
      </w:r>
      <w:r>
        <w:rPr>
          <w:rFonts w:ascii="Arial"/>
          <w:color w:val="1D1D1D"/>
          <w:sz w:val="16"/>
        </w:rPr>
        <w:t>(Exhibit</w:t>
      </w:r>
      <w:r>
        <w:rPr>
          <w:rFonts w:ascii="Arial"/>
          <w:color w:val="1D1D1D"/>
          <w:spacing w:val="10"/>
          <w:sz w:val="16"/>
        </w:rPr>
        <w:t xml:space="preserve"> </w:t>
      </w:r>
      <w:r>
        <w:rPr>
          <w:rFonts w:ascii="Arial"/>
          <w:color w:val="1D1D1D"/>
          <w:sz w:val="16"/>
        </w:rPr>
        <w:t>AUS-2),</w:t>
      </w:r>
      <w:r>
        <w:rPr>
          <w:rFonts w:ascii="Arial"/>
          <w:color w:val="1D1D1D"/>
          <w:spacing w:val="-7"/>
          <w:sz w:val="16"/>
        </w:rPr>
        <w:t xml:space="preserve"> </w:t>
      </w:r>
      <w:r>
        <w:rPr>
          <w:rFonts w:ascii="Arial"/>
          <w:color w:val="1D1D1D"/>
          <w:sz w:val="16"/>
        </w:rPr>
        <w:t>pp.</w:t>
      </w:r>
      <w:r>
        <w:rPr>
          <w:rFonts w:ascii="Arial"/>
          <w:color w:val="1D1D1D"/>
          <w:spacing w:val="33"/>
          <w:sz w:val="16"/>
        </w:rPr>
        <w:t xml:space="preserve"> </w:t>
      </w:r>
      <w:r>
        <w:rPr>
          <w:rFonts w:ascii="Arial"/>
          <w:color w:val="1D1D1D"/>
          <w:spacing w:val="-2"/>
          <w:sz w:val="16"/>
        </w:rPr>
        <w:t>120,136.</w:t>
      </w:r>
    </w:p>
    <w:p w14:paraId="51DE8FD7" w14:textId="77777777" w:rsidR="0010369C" w:rsidRDefault="0010369C">
      <w:pPr>
        <w:rPr>
          <w:rFonts w:ascii="Arial"/>
          <w:sz w:val="16"/>
        </w:rPr>
        <w:sectPr w:rsidR="0010369C">
          <w:type w:val="continuous"/>
          <w:pgSz w:w="11910" w:h="16840"/>
          <w:pgMar w:top="1460" w:right="800" w:bottom="280" w:left="1180" w:header="0" w:footer="788" w:gutter="0"/>
          <w:cols w:space="720"/>
        </w:sectPr>
      </w:pPr>
    </w:p>
    <w:p w14:paraId="51DE8FD8" w14:textId="77777777" w:rsidR="0010369C" w:rsidRDefault="008E43AE">
      <w:pPr>
        <w:pStyle w:val="BodyText"/>
        <w:ind w:left="119"/>
        <w:rPr>
          <w:rFonts w:ascii="Arial"/>
          <w:sz w:val="20"/>
        </w:rPr>
      </w:pPr>
      <w:r>
        <w:rPr>
          <w:rFonts w:ascii="Arial"/>
          <w:sz w:val="20"/>
        </w:rPr>
      </w:r>
      <w:r>
        <w:rPr>
          <w:rFonts w:ascii="Arial"/>
          <w:sz w:val="20"/>
        </w:rPr>
        <w:pict w14:anchorId="51DEA4E7">
          <v:shape id="docshape1094" o:spid="_x0000_s1289" type="#_x0000_t202" style="width:460.95pt;height:15.8pt;mso-left-percent:-10001;mso-top-percent:-10001;mso-position-horizontal:absolute;mso-position-horizontal-relative:char;mso-position-vertical:absolute;mso-position-vertical-relative:line;mso-left-percent:-10001;mso-top-percent:-10001" filled="f" strokeweight=".48pt">
            <v:textbox inset="0,0,0,0">
              <w:txbxContent>
                <w:p w14:paraId="51DEAC8B" w14:textId="77777777" w:rsidR="0010369C" w:rsidRDefault="008E43AE">
                  <w:pPr>
                    <w:spacing w:before="19"/>
                    <w:ind w:left="2574" w:right="2496"/>
                    <w:jc w:val="center"/>
                  </w:pPr>
                  <w:r>
                    <w:t>Business</w:t>
                  </w:r>
                  <w:r>
                    <w:rPr>
                      <w:spacing w:val="-9"/>
                    </w:rPr>
                    <w:t xml:space="preserve"> </w:t>
                  </w:r>
                  <w:r>
                    <w:t>Confidential</w:t>
                  </w:r>
                  <w:r>
                    <w:rPr>
                      <w:spacing w:val="-7"/>
                    </w:rPr>
                    <w:t xml:space="preserve"> </w:t>
                  </w:r>
                  <w:r>
                    <w:t>Information</w:t>
                  </w:r>
                  <w:r>
                    <w:rPr>
                      <w:spacing w:val="-9"/>
                    </w:rPr>
                    <w:t xml:space="preserve"> </w:t>
                  </w:r>
                  <w:r>
                    <w:t>‐</w:t>
                  </w:r>
                  <w:r>
                    <w:rPr>
                      <w:spacing w:val="-7"/>
                    </w:rPr>
                    <w:t xml:space="preserve"> </w:t>
                  </w:r>
                  <w:r>
                    <w:rPr>
                      <w:spacing w:val="-2"/>
                    </w:rPr>
                    <w:t>REDACTED</w:t>
                  </w:r>
                </w:p>
              </w:txbxContent>
            </v:textbox>
            <w10:anchorlock/>
          </v:shape>
        </w:pict>
      </w:r>
    </w:p>
    <w:p w14:paraId="51DE8FD9" w14:textId="77777777" w:rsidR="0010369C" w:rsidRDefault="008E43AE">
      <w:pPr>
        <w:tabs>
          <w:tab w:val="left" w:pos="6426"/>
        </w:tabs>
        <w:spacing w:line="203" w:lineRule="exact"/>
        <w:ind w:left="238"/>
        <w:jc w:val="both"/>
        <w:rPr>
          <w:sz w:val="20"/>
        </w:rPr>
      </w:pPr>
      <w:r>
        <w:rPr>
          <w:i/>
          <w:sz w:val="20"/>
        </w:rPr>
        <w:t>China</w:t>
      </w:r>
      <w:r>
        <w:rPr>
          <w:i/>
          <w:spacing w:val="-5"/>
          <w:sz w:val="20"/>
        </w:rPr>
        <w:t xml:space="preserve"> </w:t>
      </w:r>
      <w:r>
        <w:rPr>
          <w:i/>
          <w:sz w:val="20"/>
        </w:rPr>
        <w:t>–</w:t>
      </w:r>
      <w:r>
        <w:rPr>
          <w:i/>
          <w:spacing w:val="-5"/>
          <w:sz w:val="20"/>
        </w:rPr>
        <w:t xml:space="preserve"> </w:t>
      </w:r>
      <w:r>
        <w:rPr>
          <w:i/>
          <w:sz w:val="20"/>
        </w:rPr>
        <w:t>Anti‐Dumping</w:t>
      </w:r>
      <w:r>
        <w:rPr>
          <w:i/>
          <w:spacing w:val="-4"/>
          <w:sz w:val="20"/>
        </w:rPr>
        <w:t xml:space="preserve"> </w:t>
      </w:r>
      <w:r>
        <w:rPr>
          <w:i/>
          <w:sz w:val="20"/>
        </w:rPr>
        <w:t>and</w:t>
      </w:r>
      <w:r>
        <w:rPr>
          <w:i/>
          <w:spacing w:val="-5"/>
          <w:sz w:val="20"/>
        </w:rPr>
        <w:t xml:space="preserve"> </w:t>
      </w:r>
      <w:r>
        <w:rPr>
          <w:i/>
          <w:sz w:val="20"/>
        </w:rPr>
        <w:t>Countervailing</w:t>
      </w:r>
      <w:r>
        <w:rPr>
          <w:i/>
          <w:spacing w:val="-5"/>
          <w:sz w:val="20"/>
        </w:rPr>
        <w:t xml:space="preserve"> </w:t>
      </w:r>
      <w:r>
        <w:rPr>
          <w:i/>
          <w:sz w:val="20"/>
        </w:rPr>
        <w:t>Duty</w:t>
      </w:r>
      <w:r>
        <w:rPr>
          <w:i/>
          <w:spacing w:val="-4"/>
          <w:sz w:val="20"/>
        </w:rPr>
        <w:t xml:space="preserve"> </w:t>
      </w:r>
      <w:r>
        <w:rPr>
          <w:i/>
          <w:spacing w:val="-2"/>
          <w:sz w:val="20"/>
        </w:rPr>
        <w:t>Measures</w:t>
      </w:r>
      <w:r>
        <w:rPr>
          <w:i/>
          <w:sz w:val="20"/>
        </w:rPr>
        <w:tab/>
      </w:r>
      <w:r>
        <w:rPr>
          <w:sz w:val="20"/>
        </w:rPr>
        <w:t>Australia's</w:t>
      </w:r>
      <w:r>
        <w:rPr>
          <w:spacing w:val="-7"/>
          <w:sz w:val="20"/>
        </w:rPr>
        <w:t xml:space="preserve"> </w:t>
      </w:r>
      <w:r>
        <w:rPr>
          <w:sz w:val="20"/>
        </w:rPr>
        <w:t>First</w:t>
      </w:r>
      <w:r>
        <w:rPr>
          <w:spacing w:val="-2"/>
          <w:sz w:val="20"/>
        </w:rPr>
        <w:t xml:space="preserve"> </w:t>
      </w:r>
      <w:r>
        <w:rPr>
          <w:sz w:val="20"/>
        </w:rPr>
        <w:t>Written</w:t>
      </w:r>
      <w:r>
        <w:rPr>
          <w:spacing w:val="-2"/>
          <w:sz w:val="20"/>
        </w:rPr>
        <w:t xml:space="preserve"> Submission</w:t>
      </w:r>
    </w:p>
    <w:p w14:paraId="51DE8FDA" w14:textId="77777777" w:rsidR="0010369C" w:rsidRDefault="008E43AE">
      <w:pPr>
        <w:tabs>
          <w:tab w:val="left" w:pos="8228"/>
        </w:tabs>
        <w:ind w:left="239"/>
        <w:jc w:val="both"/>
        <w:rPr>
          <w:sz w:val="20"/>
        </w:rPr>
      </w:pPr>
      <w:r>
        <w:rPr>
          <w:i/>
          <w:sz w:val="20"/>
        </w:rPr>
        <w:t>on</w:t>
      </w:r>
      <w:r>
        <w:rPr>
          <w:i/>
          <w:spacing w:val="-1"/>
          <w:sz w:val="20"/>
        </w:rPr>
        <w:t xml:space="preserve"> </w:t>
      </w:r>
      <w:r>
        <w:rPr>
          <w:i/>
          <w:sz w:val="20"/>
        </w:rPr>
        <w:t>Wine</w:t>
      </w:r>
      <w:r>
        <w:rPr>
          <w:i/>
          <w:spacing w:val="-1"/>
          <w:sz w:val="20"/>
        </w:rPr>
        <w:t xml:space="preserve"> </w:t>
      </w:r>
      <w:r>
        <w:rPr>
          <w:i/>
          <w:sz w:val="20"/>
        </w:rPr>
        <w:t>from</w:t>
      </w:r>
      <w:r>
        <w:rPr>
          <w:i/>
          <w:spacing w:val="-3"/>
          <w:sz w:val="20"/>
        </w:rPr>
        <w:t xml:space="preserve"> </w:t>
      </w:r>
      <w:r>
        <w:rPr>
          <w:i/>
          <w:sz w:val="20"/>
        </w:rPr>
        <w:t>Australia</w:t>
      </w:r>
      <w:r>
        <w:rPr>
          <w:i/>
          <w:spacing w:val="-1"/>
          <w:sz w:val="20"/>
        </w:rPr>
        <w:t xml:space="preserve"> </w:t>
      </w:r>
      <w:r>
        <w:rPr>
          <w:spacing w:val="-2"/>
          <w:sz w:val="20"/>
        </w:rPr>
        <w:t>(DS602)</w:t>
      </w:r>
      <w:r>
        <w:rPr>
          <w:sz w:val="20"/>
        </w:rPr>
        <w:tab/>
        <w:t>29</w:t>
      </w:r>
      <w:r>
        <w:rPr>
          <w:spacing w:val="-1"/>
          <w:sz w:val="20"/>
        </w:rPr>
        <w:t xml:space="preserve"> </w:t>
      </w:r>
      <w:r>
        <w:rPr>
          <w:sz w:val="20"/>
        </w:rPr>
        <w:t>April</w:t>
      </w:r>
      <w:r>
        <w:rPr>
          <w:spacing w:val="-2"/>
          <w:sz w:val="20"/>
        </w:rPr>
        <w:t xml:space="preserve"> </w:t>
      </w:r>
      <w:r>
        <w:rPr>
          <w:spacing w:val="-4"/>
          <w:sz w:val="20"/>
        </w:rPr>
        <w:t>2022</w:t>
      </w:r>
    </w:p>
    <w:p w14:paraId="51DE8FDB" w14:textId="77777777" w:rsidR="0010369C" w:rsidRDefault="008E43AE">
      <w:pPr>
        <w:pStyle w:val="BodyText"/>
        <w:spacing w:before="35" w:line="360" w:lineRule="auto"/>
        <w:ind w:left="237" w:right="613" w:firstLine="851"/>
        <w:jc w:val="both"/>
      </w:pPr>
      <w:r>
        <w:rPr>
          <w:noProof/>
        </w:rPr>
        <w:drawing>
          <wp:anchor distT="0" distB="0" distL="0" distR="0" simplePos="0" relativeHeight="251231744" behindDoc="1" locked="0" layoutInCell="1" allowOverlap="1" wp14:anchorId="51DEA4E8" wp14:editId="51DEA4E9">
            <wp:simplePos x="0" y="0"/>
            <wp:positionH relativeFrom="page">
              <wp:posOffset>905255</wp:posOffset>
            </wp:positionH>
            <wp:positionV relativeFrom="paragraph">
              <wp:posOffset>69800</wp:posOffset>
            </wp:positionV>
            <wp:extent cx="259079" cy="103631"/>
            <wp:effectExtent l="0" t="0" r="0" b="0"/>
            <wp:wrapNone/>
            <wp:docPr id="1207" name="image6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 name="image624.png"/>
                    <pic:cNvPicPr/>
                  </pic:nvPicPr>
                  <pic:blipFill>
                    <a:blip r:embed="rId816" cstate="print"/>
                    <a:stretch>
                      <a:fillRect/>
                    </a:stretch>
                  </pic:blipFill>
                  <pic:spPr>
                    <a:xfrm>
                      <a:off x="0" y="0"/>
                      <a:ext cx="259079" cy="103631"/>
                    </a:xfrm>
                    <a:prstGeom prst="rect">
                      <a:avLst/>
                    </a:prstGeom>
                  </pic:spPr>
                </pic:pic>
              </a:graphicData>
            </a:graphic>
          </wp:anchor>
        </w:drawing>
      </w:r>
      <w:r>
        <w:t>As</w:t>
      </w:r>
      <w:r>
        <w:rPr>
          <w:spacing w:val="-13"/>
        </w:rPr>
        <w:t xml:space="preserve"> </w:t>
      </w:r>
      <w:r>
        <w:t>discussed</w:t>
      </w:r>
      <w:r>
        <w:rPr>
          <w:spacing w:val="-11"/>
        </w:rPr>
        <w:t xml:space="preserve"> </w:t>
      </w:r>
      <w:r>
        <w:t>below,</w:t>
      </w:r>
      <w:r>
        <w:rPr>
          <w:spacing w:val="-11"/>
        </w:rPr>
        <w:t xml:space="preserve"> </w:t>
      </w:r>
      <w:r>
        <w:t>the</w:t>
      </w:r>
      <w:r>
        <w:rPr>
          <w:spacing w:val="-13"/>
        </w:rPr>
        <w:t xml:space="preserve"> </w:t>
      </w:r>
      <w:r>
        <w:t>evidence</w:t>
      </w:r>
      <w:r>
        <w:rPr>
          <w:spacing w:val="-12"/>
        </w:rPr>
        <w:t xml:space="preserve"> </w:t>
      </w:r>
      <w:r>
        <w:t>on</w:t>
      </w:r>
      <w:r>
        <w:rPr>
          <w:spacing w:val="-12"/>
        </w:rPr>
        <w:t xml:space="preserve"> </w:t>
      </w:r>
      <w:r>
        <w:t>the</w:t>
      </w:r>
      <w:r>
        <w:rPr>
          <w:spacing w:val="-11"/>
        </w:rPr>
        <w:t xml:space="preserve"> </w:t>
      </w:r>
      <w:r>
        <w:t>record</w:t>
      </w:r>
      <w:r>
        <w:rPr>
          <w:spacing w:val="-13"/>
        </w:rPr>
        <w:t xml:space="preserve"> </w:t>
      </w:r>
      <w:r>
        <w:t>before</w:t>
      </w:r>
      <w:r>
        <w:rPr>
          <w:spacing w:val="-11"/>
        </w:rPr>
        <w:t xml:space="preserve"> </w:t>
      </w:r>
      <w:r>
        <w:t>MOFCOM</w:t>
      </w:r>
      <w:r>
        <w:rPr>
          <w:spacing w:val="-12"/>
        </w:rPr>
        <w:t xml:space="preserve"> </w:t>
      </w:r>
      <w:r>
        <w:t>demonstrated</w:t>
      </w:r>
      <w:r>
        <w:rPr>
          <w:spacing w:val="-12"/>
        </w:rPr>
        <w:t xml:space="preserve"> </w:t>
      </w:r>
      <w:r>
        <w:t xml:space="preserve">that, in contrast to the average unit prices of the subject imports of Australian wine, the average unit prices of imports of like products from third countries were generally </w:t>
      </w:r>
      <w:r>
        <w:rPr>
          <w:i/>
        </w:rPr>
        <w:t xml:space="preserve">below </w:t>
      </w:r>
      <w:r>
        <w:t>the average unit prices of the domestic like products. This e</w:t>
      </w:r>
      <w:r>
        <w:t>vidence indicated that, to the extent that any price suppression or other price effects might be occurring in China's market, it was not the subject imports of Australian wine that had the "explanatory force" for those effects. This alone was sufficient to</w:t>
      </w:r>
      <w:r>
        <w:t xml:space="preserve"> call into question any explanatory force that might otherwise be attributed to the subject imports.</w:t>
      </w:r>
    </w:p>
    <w:p w14:paraId="51DE8FDC" w14:textId="77777777" w:rsidR="0010369C" w:rsidRDefault="008E43AE">
      <w:pPr>
        <w:pStyle w:val="ListParagraph"/>
        <w:numPr>
          <w:ilvl w:val="2"/>
          <w:numId w:val="54"/>
        </w:numPr>
        <w:tabs>
          <w:tab w:val="left" w:pos="3642"/>
          <w:tab w:val="left" w:pos="3643"/>
        </w:tabs>
        <w:spacing w:before="160" w:line="360" w:lineRule="auto"/>
        <w:ind w:right="615" w:hanging="853"/>
        <w:jc w:val="both"/>
        <w:rPr>
          <w:sz w:val="24"/>
        </w:rPr>
      </w:pPr>
      <w:r>
        <w:rPr>
          <w:sz w:val="24"/>
          <w:u w:val="single"/>
        </w:rPr>
        <w:t>MOFCOM did not adequately examine year‐to‐year price</w:t>
      </w:r>
      <w:r>
        <w:rPr>
          <w:sz w:val="24"/>
        </w:rPr>
        <w:t xml:space="preserve"> </w:t>
      </w:r>
      <w:r>
        <w:rPr>
          <w:sz w:val="24"/>
          <w:u w:val="single"/>
        </w:rPr>
        <w:t>fluctuations occurring during the Injury POI</w:t>
      </w:r>
    </w:p>
    <w:p w14:paraId="51DE8FDD" w14:textId="77777777" w:rsidR="0010369C" w:rsidRDefault="0010369C">
      <w:pPr>
        <w:pStyle w:val="BodyText"/>
        <w:spacing w:before="10"/>
        <w:rPr>
          <w:sz w:val="8"/>
        </w:rPr>
      </w:pPr>
    </w:p>
    <w:p w14:paraId="51DE8FDE" w14:textId="77777777" w:rsidR="0010369C" w:rsidRDefault="008E43AE">
      <w:pPr>
        <w:pStyle w:val="BodyText"/>
        <w:spacing w:before="51" w:line="360" w:lineRule="auto"/>
        <w:ind w:left="237" w:right="612" w:firstLine="851"/>
        <w:jc w:val="both"/>
      </w:pPr>
      <w:r>
        <w:rPr>
          <w:noProof/>
        </w:rPr>
        <w:drawing>
          <wp:anchor distT="0" distB="0" distL="0" distR="0" simplePos="0" relativeHeight="251232768" behindDoc="1" locked="0" layoutInCell="1" allowOverlap="1" wp14:anchorId="51DEA4EA" wp14:editId="51DEA4EB">
            <wp:simplePos x="0" y="0"/>
            <wp:positionH relativeFrom="page">
              <wp:posOffset>905255</wp:posOffset>
            </wp:positionH>
            <wp:positionV relativeFrom="paragraph">
              <wp:posOffset>79960</wp:posOffset>
            </wp:positionV>
            <wp:extent cx="259079" cy="103631"/>
            <wp:effectExtent l="0" t="0" r="0" b="0"/>
            <wp:wrapNone/>
            <wp:docPr id="1209" name="image6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 name="image625.png"/>
                    <pic:cNvPicPr/>
                  </pic:nvPicPr>
                  <pic:blipFill>
                    <a:blip r:embed="rId817" cstate="print"/>
                    <a:stretch>
                      <a:fillRect/>
                    </a:stretch>
                  </pic:blipFill>
                  <pic:spPr>
                    <a:xfrm>
                      <a:off x="0" y="0"/>
                      <a:ext cx="259079" cy="103631"/>
                    </a:xfrm>
                    <a:prstGeom prst="rect">
                      <a:avLst/>
                    </a:prstGeom>
                  </pic:spPr>
                </pic:pic>
              </a:graphicData>
            </a:graphic>
          </wp:anchor>
        </w:drawing>
      </w:r>
      <w:r>
        <w:t>MOFCOM's price suppression analysis was based on trends that it purportedly observed during the Injury POI concerning: (i) rising import volumes and declining prices of subject</w:t>
      </w:r>
      <w:r>
        <w:rPr>
          <w:spacing w:val="-10"/>
        </w:rPr>
        <w:t xml:space="preserve"> </w:t>
      </w:r>
      <w:r>
        <w:t>imports;</w:t>
      </w:r>
      <w:r>
        <w:rPr>
          <w:spacing w:val="-9"/>
        </w:rPr>
        <w:t xml:space="preserve"> </w:t>
      </w:r>
      <w:r>
        <w:t>(ii)</w:t>
      </w:r>
      <w:r>
        <w:rPr>
          <w:spacing w:val="-9"/>
        </w:rPr>
        <w:t xml:space="preserve"> </w:t>
      </w:r>
      <w:r>
        <w:t>declining</w:t>
      </w:r>
      <w:r>
        <w:rPr>
          <w:spacing w:val="-9"/>
        </w:rPr>
        <w:t xml:space="preserve"> </w:t>
      </w:r>
      <w:r>
        <w:t>sales</w:t>
      </w:r>
      <w:r>
        <w:rPr>
          <w:spacing w:val="-10"/>
        </w:rPr>
        <w:t xml:space="preserve"> </w:t>
      </w:r>
      <w:r>
        <w:t>volumes</w:t>
      </w:r>
      <w:r>
        <w:rPr>
          <w:spacing w:val="-11"/>
        </w:rPr>
        <w:t xml:space="preserve"> </w:t>
      </w:r>
      <w:r>
        <w:t>of</w:t>
      </w:r>
      <w:r>
        <w:rPr>
          <w:spacing w:val="-10"/>
        </w:rPr>
        <w:t xml:space="preserve"> </w:t>
      </w:r>
      <w:r>
        <w:t>domestic</w:t>
      </w:r>
      <w:r>
        <w:rPr>
          <w:spacing w:val="-9"/>
        </w:rPr>
        <w:t xml:space="preserve"> </w:t>
      </w:r>
      <w:r>
        <w:t>like</w:t>
      </w:r>
      <w:r>
        <w:rPr>
          <w:spacing w:val="-10"/>
        </w:rPr>
        <w:t xml:space="preserve"> </w:t>
      </w:r>
      <w:r>
        <w:t>products;</w:t>
      </w:r>
      <w:r>
        <w:rPr>
          <w:spacing w:val="-9"/>
        </w:rPr>
        <w:t xml:space="preserve"> </w:t>
      </w:r>
      <w:r>
        <w:t>and</w:t>
      </w:r>
      <w:r>
        <w:rPr>
          <w:spacing w:val="-10"/>
        </w:rPr>
        <w:t xml:space="preserve"> </w:t>
      </w:r>
      <w:r>
        <w:t>(iii)</w:t>
      </w:r>
      <w:r>
        <w:rPr>
          <w:spacing w:val="-9"/>
        </w:rPr>
        <w:t xml:space="preserve"> </w:t>
      </w:r>
      <w:r>
        <w:t>rising</w:t>
      </w:r>
      <w:r>
        <w:rPr>
          <w:spacing w:val="-10"/>
        </w:rPr>
        <w:t xml:space="preserve"> </w:t>
      </w:r>
      <w:r>
        <w:t>unit</w:t>
      </w:r>
      <w:r>
        <w:rPr>
          <w:spacing w:val="-10"/>
        </w:rPr>
        <w:t xml:space="preserve"> </w:t>
      </w:r>
      <w:r>
        <w:t>costs of like domestic products, which increased at a faster rate than domestic sales prices were increasing.</w:t>
      </w:r>
      <w:r>
        <w:rPr>
          <w:vertAlign w:val="superscript"/>
        </w:rPr>
        <w:t>709</w:t>
      </w:r>
      <w:r>
        <w:rPr>
          <w:spacing w:val="-6"/>
        </w:rPr>
        <w:t xml:space="preserve"> </w:t>
      </w:r>
      <w:r>
        <w:t>These</w:t>
      </w:r>
      <w:r>
        <w:rPr>
          <w:spacing w:val="-4"/>
        </w:rPr>
        <w:t xml:space="preserve"> </w:t>
      </w:r>
      <w:r>
        <w:t>trends</w:t>
      </w:r>
      <w:r>
        <w:rPr>
          <w:spacing w:val="-5"/>
        </w:rPr>
        <w:t xml:space="preserve"> </w:t>
      </w:r>
      <w:r>
        <w:t>were</w:t>
      </w:r>
      <w:r>
        <w:rPr>
          <w:spacing w:val="-5"/>
        </w:rPr>
        <w:t xml:space="preserve"> </w:t>
      </w:r>
      <w:r>
        <w:t>based</w:t>
      </w:r>
      <w:r>
        <w:rPr>
          <w:spacing w:val="-6"/>
        </w:rPr>
        <w:t xml:space="preserve"> </w:t>
      </w:r>
      <w:r>
        <w:t>on</w:t>
      </w:r>
      <w:r>
        <w:rPr>
          <w:spacing w:val="-5"/>
        </w:rPr>
        <w:t xml:space="preserve"> </w:t>
      </w:r>
      <w:r>
        <w:t>a</w:t>
      </w:r>
      <w:r>
        <w:rPr>
          <w:spacing w:val="-5"/>
        </w:rPr>
        <w:t xml:space="preserve"> </w:t>
      </w:r>
      <w:r>
        <w:t>comparison</w:t>
      </w:r>
      <w:r>
        <w:rPr>
          <w:spacing w:val="-5"/>
        </w:rPr>
        <w:t xml:space="preserve"> </w:t>
      </w:r>
      <w:r>
        <w:t>of</w:t>
      </w:r>
      <w:r>
        <w:rPr>
          <w:spacing w:val="-5"/>
        </w:rPr>
        <w:t xml:space="preserve"> </w:t>
      </w:r>
      <w:r>
        <w:t>volumes,</w:t>
      </w:r>
      <w:r>
        <w:rPr>
          <w:spacing w:val="-5"/>
        </w:rPr>
        <w:t xml:space="preserve"> </w:t>
      </w:r>
      <w:r>
        <w:t>prices</w:t>
      </w:r>
      <w:r>
        <w:rPr>
          <w:spacing w:val="-6"/>
        </w:rPr>
        <w:t xml:space="preserve"> </w:t>
      </w:r>
      <w:r>
        <w:t>and</w:t>
      </w:r>
      <w:r>
        <w:rPr>
          <w:spacing w:val="-5"/>
        </w:rPr>
        <w:t xml:space="preserve"> </w:t>
      </w:r>
      <w:r>
        <w:t>costs</w:t>
      </w:r>
      <w:r>
        <w:rPr>
          <w:spacing w:val="-5"/>
        </w:rPr>
        <w:t xml:space="preserve"> </w:t>
      </w:r>
      <w:r>
        <w:t>in</w:t>
      </w:r>
      <w:r>
        <w:rPr>
          <w:spacing w:val="-4"/>
        </w:rPr>
        <w:t xml:space="preserve"> </w:t>
      </w:r>
      <w:r>
        <w:t>China in</w:t>
      </w:r>
      <w:r>
        <w:rPr>
          <w:spacing w:val="-4"/>
        </w:rPr>
        <w:t xml:space="preserve"> </w:t>
      </w:r>
      <w:r>
        <w:t>2015</w:t>
      </w:r>
      <w:r>
        <w:rPr>
          <w:spacing w:val="-4"/>
        </w:rPr>
        <w:t xml:space="preserve"> </w:t>
      </w:r>
      <w:r>
        <w:t>and</w:t>
      </w:r>
      <w:r>
        <w:rPr>
          <w:spacing w:val="-2"/>
        </w:rPr>
        <w:t xml:space="preserve"> </w:t>
      </w:r>
      <w:r>
        <w:t>2019,</w:t>
      </w:r>
      <w:r>
        <w:rPr>
          <w:spacing w:val="-3"/>
        </w:rPr>
        <w:t xml:space="preserve"> </w:t>
      </w:r>
      <w:r>
        <w:t>with</w:t>
      </w:r>
      <w:r>
        <w:rPr>
          <w:spacing w:val="-4"/>
        </w:rPr>
        <w:t xml:space="preserve"> </w:t>
      </w:r>
      <w:r>
        <w:t>no</w:t>
      </w:r>
      <w:r>
        <w:rPr>
          <w:spacing w:val="-3"/>
        </w:rPr>
        <w:t xml:space="preserve"> </w:t>
      </w:r>
      <w:r>
        <w:t>detailed</w:t>
      </w:r>
      <w:r>
        <w:rPr>
          <w:spacing w:val="-3"/>
        </w:rPr>
        <w:t xml:space="preserve"> </w:t>
      </w:r>
      <w:r>
        <w:t>analysis</w:t>
      </w:r>
      <w:r>
        <w:rPr>
          <w:spacing w:val="-4"/>
        </w:rPr>
        <w:t xml:space="preserve"> </w:t>
      </w:r>
      <w:r>
        <w:t>of</w:t>
      </w:r>
      <w:r>
        <w:rPr>
          <w:spacing w:val="-4"/>
        </w:rPr>
        <w:t xml:space="preserve"> </w:t>
      </w:r>
      <w:r>
        <w:t>what</w:t>
      </w:r>
      <w:r>
        <w:rPr>
          <w:spacing w:val="-4"/>
        </w:rPr>
        <w:t xml:space="preserve"> </w:t>
      </w:r>
      <w:r>
        <w:t>o</w:t>
      </w:r>
      <w:r>
        <w:t>ccurred</w:t>
      </w:r>
      <w:r>
        <w:rPr>
          <w:spacing w:val="-3"/>
        </w:rPr>
        <w:t xml:space="preserve"> </w:t>
      </w:r>
      <w:r>
        <w:t>year‐to‐year</w:t>
      </w:r>
      <w:r>
        <w:rPr>
          <w:spacing w:val="-4"/>
        </w:rPr>
        <w:t xml:space="preserve"> </w:t>
      </w:r>
      <w:r>
        <w:t>during</w:t>
      </w:r>
      <w:r>
        <w:rPr>
          <w:spacing w:val="-4"/>
        </w:rPr>
        <w:t xml:space="preserve"> </w:t>
      </w:r>
      <w:r>
        <w:t>that</w:t>
      </w:r>
      <w:r>
        <w:rPr>
          <w:spacing w:val="-4"/>
        </w:rPr>
        <w:t xml:space="preserve"> </w:t>
      </w:r>
      <w:r>
        <w:t>period. MOFCOM's</w:t>
      </w:r>
      <w:r>
        <w:rPr>
          <w:spacing w:val="-14"/>
        </w:rPr>
        <w:t xml:space="preserve"> </w:t>
      </w:r>
      <w:r>
        <w:t>focus</w:t>
      </w:r>
      <w:r>
        <w:rPr>
          <w:spacing w:val="-14"/>
        </w:rPr>
        <w:t xml:space="preserve"> </w:t>
      </w:r>
      <w:r>
        <w:t>on</w:t>
      </w:r>
      <w:r>
        <w:rPr>
          <w:spacing w:val="-13"/>
        </w:rPr>
        <w:t xml:space="preserve"> </w:t>
      </w:r>
      <w:r>
        <w:t>the</w:t>
      </w:r>
      <w:r>
        <w:rPr>
          <w:spacing w:val="-14"/>
        </w:rPr>
        <w:t xml:space="preserve"> </w:t>
      </w:r>
      <w:r>
        <w:t>overall</w:t>
      </w:r>
      <w:r>
        <w:rPr>
          <w:spacing w:val="-13"/>
        </w:rPr>
        <w:t xml:space="preserve"> </w:t>
      </w:r>
      <w:r>
        <w:t>2015‐2019</w:t>
      </w:r>
      <w:r>
        <w:rPr>
          <w:spacing w:val="-14"/>
        </w:rPr>
        <w:t xml:space="preserve"> </w:t>
      </w:r>
      <w:r>
        <w:t>growth</w:t>
      </w:r>
      <w:r>
        <w:rPr>
          <w:spacing w:val="-13"/>
        </w:rPr>
        <w:t xml:space="preserve"> </w:t>
      </w:r>
      <w:r>
        <w:t>and</w:t>
      </w:r>
      <w:r>
        <w:rPr>
          <w:spacing w:val="-14"/>
        </w:rPr>
        <w:t xml:space="preserve"> </w:t>
      </w:r>
      <w:r>
        <w:t>decline</w:t>
      </w:r>
      <w:r>
        <w:rPr>
          <w:spacing w:val="-14"/>
        </w:rPr>
        <w:t xml:space="preserve"> </w:t>
      </w:r>
      <w:r>
        <w:t>trends</w:t>
      </w:r>
      <w:r>
        <w:rPr>
          <w:spacing w:val="-13"/>
        </w:rPr>
        <w:t xml:space="preserve"> </w:t>
      </w:r>
      <w:r>
        <w:t>ignored</w:t>
      </w:r>
      <w:r>
        <w:rPr>
          <w:spacing w:val="-14"/>
        </w:rPr>
        <w:t xml:space="preserve"> </w:t>
      </w:r>
      <w:r>
        <w:t>significant</w:t>
      </w:r>
      <w:r>
        <w:rPr>
          <w:spacing w:val="-13"/>
        </w:rPr>
        <w:t xml:space="preserve"> </w:t>
      </w:r>
      <w:r>
        <w:t>year‐ to‐year fluctuations in the price of subject imports and domestic like products. As a result, MOFCOM ignored evidence on th</w:t>
      </w:r>
      <w:r>
        <w:t>e record that called into question the existence of any alleged</w:t>
      </w:r>
      <w:r>
        <w:rPr>
          <w:spacing w:val="-5"/>
        </w:rPr>
        <w:t xml:space="preserve"> </w:t>
      </w:r>
      <w:r>
        <w:t>relationship</w:t>
      </w:r>
      <w:r>
        <w:rPr>
          <w:spacing w:val="-5"/>
        </w:rPr>
        <w:t xml:space="preserve"> </w:t>
      </w:r>
      <w:r>
        <w:t>between</w:t>
      </w:r>
      <w:r>
        <w:rPr>
          <w:spacing w:val="-5"/>
        </w:rPr>
        <w:t xml:space="preserve"> </w:t>
      </w:r>
      <w:r>
        <w:t>prices</w:t>
      </w:r>
      <w:r>
        <w:rPr>
          <w:spacing w:val="-5"/>
        </w:rPr>
        <w:t xml:space="preserve"> </w:t>
      </w:r>
      <w:r>
        <w:t>of</w:t>
      </w:r>
      <w:r>
        <w:rPr>
          <w:spacing w:val="-5"/>
        </w:rPr>
        <w:t xml:space="preserve"> </w:t>
      </w:r>
      <w:r>
        <w:t>subject</w:t>
      </w:r>
      <w:r>
        <w:rPr>
          <w:spacing w:val="-5"/>
        </w:rPr>
        <w:t xml:space="preserve"> </w:t>
      </w:r>
      <w:r>
        <w:t>imports</w:t>
      </w:r>
      <w:r>
        <w:rPr>
          <w:spacing w:val="-5"/>
        </w:rPr>
        <w:t xml:space="preserve"> </w:t>
      </w:r>
      <w:r>
        <w:t>and</w:t>
      </w:r>
      <w:r>
        <w:rPr>
          <w:spacing w:val="-5"/>
        </w:rPr>
        <w:t xml:space="preserve"> </w:t>
      </w:r>
      <w:r>
        <w:t>domestic</w:t>
      </w:r>
      <w:r>
        <w:rPr>
          <w:spacing w:val="-3"/>
        </w:rPr>
        <w:t xml:space="preserve"> </w:t>
      </w:r>
      <w:r>
        <w:t>prices</w:t>
      </w:r>
      <w:r>
        <w:rPr>
          <w:spacing w:val="-5"/>
        </w:rPr>
        <w:t xml:space="preserve"> </w:t>
      </w:r>
      <w:r>
        <w:t>of</w:t>
      </w:r>
      <w:r>
        <w:rPr>
          <w:spacing w:val="-5"/>
        </w:rPr>
        <w:t xml:space="preserve"> </w:t>
      </w:r>
      <w:r>
        <w:t>like</w:t>
      </w:r>
      <w:r>
        <w:rPr>
          <w:spacing w:val="-4"/>
        </w:rPr>
        <w:t xml:space="preserve"> </w:t>
      </w:r>
      <w:r>
        <w:t>products</w:t>
      </w:r>
      <w:r>
        <w:rPr>
          <w:spacing w:val="-5"/>
        </w:rPr>
        <w:t xml:space="preserve"> </w:t>
      </w:r>
      <w:r>
        <w:t>in China's market.</w:t>
      </w:r>
    </w:p>
    <w:p w14:paraId="51DE8FDF" w14:textId="77777777" w:rsidR="0010369C" w:rsidRDefault="0010369C">
      <w:pPr>
        <w:pStyle w:val="BodyText"/>
        <w:spacing w:before="11"/>
        <w:rPr>
          <w:sz w:val="8"/>
        </w:rPr>
      </w:pPr>
    </w:p>
    <w:p w14:paraId="51DE8FE0" w14:textId="77777777" w:rsidR="0010369C" w:rsidRDefault="008E43AE">
      <w:pPr>
        <w:pStyle w:val="BodyText"/>
        <w:spacing w:before="52" w:line="360" w:lineRule="auto"/>
        <w:ind w:left="238" w:right="614" w:firstLine="851"/>
      </w:pPr>
      <w:r>
        <w:rPr>
          <w:noProof/>
        </w:rPr>
        <w:drawing>
          <wp:anchor distT="0" distB="0" distL="0" distR="0" simplePos="0" relativeHeight="251233792" behindDoc="1" locked="0" layoutInCell="1" allowOverlap="1" wp14:anchorId="51DEA4EC" wp14:editId="51DEA4ED">
            <wp:simplePos x="0" y="0"/>
            <wp:positionH relativeFrom="page">
              <wp:posOffset>905255</wp:posOffset>
            </wp:positionH>
            <wp:positionV relativeFrom="paragraph">
              <wp:posOffset>81949</wp:posOffset>
            </wp:positionV>
            <wp:extent cx="259079" cy="100753"/>
            <wp:effectExtent l="0" t="0" r="0" b="0"/>
            <wp:wrapNone/>
            <wp:docPr id="1211" name="image6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 name="image626.png"/>
                    <pic:cNvPicPr/>
                  </pic:nvPicPr>
                  <pic:blipFill>
                    <a:blip r:embed="rId818" cstate="print"/>
                    <a:stretch>
                      <a:fillRect/>
                    </a:stretch>
                  </pic:blipFill>
                  <pic:spPr>
                    <a:xfrm>
                      <a:off x="0" y="0"/>
                      <a:ext cx="259079" cy="100753"/>
                    </a:xfrm>
                    <a:prstGeom prst="rect">
                      <a:avLst/>
                    </a:prstGeom>
                  </pic:spPr>
                </pic:pic>
              </a:graphicData>
            </a:graphic>
          </wp:anchor>
        </w:drawing>
      </w:r>
      <w:r>
        <w:t>In particular, MOFCOM's omission of any analysis of volume and price fluctuations occurring between 2018 and 2019 is striking given that:</w:t>
      </w:r>
    </w:p>
    <w:p w14:paraId="51DE8FE1" w14:textId="77777777" w:rsidR="0010369C" w:rsidRDefault="008E43AE">
      <w:pPr>
        <w:pStyle w:val="ListParagraph"/>
        <w:numPr>
          <w:ilvl w:val="0"/>
          <w:numId w:val="51"/>
        </w:numPr>
        <w:tabs>
          <w:tab w:val="left" w:pos="1939"/>
          <w:tab w:val="left" w:pos="1940"/>
        </w:tabs>
        <w:spacing w:before="161" w:line="355" w:lineRule="auto"/>
        <w:ind w:right="615"/>
        <w:jc w:val="left"/>
        <w:rPr>
          <w:sz w:val="24"/>
        </w:rPr>
      </w:pPr>
      <w:r>
        <w:rPr>
          <w:sz w:val="24"/>
        </w:rPr>
        <w:t>2019</w:t>
      </w:r>
      <w:r>
        <w:rPr>
          <w:spacing w:val="29"/>
          <w:sz w:val="24"/>
        </w:rPr>
        <w:t xml:space="preserve"> </w:t>
      </w:r>
      <w:r>
        <w:rPr>
          <w:sz w:val="24"/>
        </w:rPr>
        <w:t>is</w:t>
      </w:r>
      <w:r>
        <w:rPr>
          <w:spacing w:val="28"/>
          <w:sz w:val="24"/>
        </w:rPr>
        <w:t xml:space="preserve"> </w:t>
      </w:r>
      <w:r>
        <w:rPr>
          <w:sz w:val="24"/>
        </w:rPr>
        <w:t>the</w:t>
      </w:r>
      <w:r>
        <w:rPr>
          <w:spacing w:val="30"/>
          <w:sz w:val="24"/>
        </w:rPr>
        <w:t xml:space="preserve"> </w:t>
      </w:r>
      <w:r>
        <w:rPr>
          <w:sz w:val="24"/>
        </w:rPr>
        <w:t>only</w:t>
      </w:r>
      <w:r>
        <w:rPr>
          <w:spacing w:val="29"/>
          <w:sz w:val="24"/>
        </w:rPr>
        <w:t xml:space="preserve"> </w:t>
      </w:r>
      <w:r>
        <w:rPr>
          <w:sz w:val="24"/>
        </w:rPr>
        <w:t>year</w:t>
      </w:r>
      <w:r>
        <w:rPr>
          <w:spacing w:val="29"/>
          <w:sz w:val="24"/>
        </w:rPr>
        <w:t xml:space="preserve"> </w:t>
      </w:r>
      <w:r>
        <w:rPr>
          <w:sz w:val="24"/>
        </w:rPr>
        <w:t>in</w:t>
      </w:r>
      <w:r>
        <w:rPr>
          <w:spacing w:val="27"/>
          <w:sz w:val="24"/>
        </w:rPr>
        <w:t xml:space="preserve"> </w:t>
      </w:r>
      <w:r>
        <w:rPr>
          <w:sz w:val="24"/>
        </w:rPr>
        <w:t>the</w:t>
      </w:r>
      <w:r>
        <w:rPr>
          <w:spacing w:val="29"/>
          <w:sz w:val="24"/>
        </w:rPr>
        <w:t xml:space="preserve"> </w:t>
      </w:r>
      <w:r>
        <w:rPr>
          <w:sz w:val="24"/>
        </w:rPr>
        <w:t>Injury</w:t>
      </w:r>
      <w:r>
        <w:rPr>
          <w:spacing w:val="29"/>
          <w:sz w:val="24"/>
        </w:rPr>
        <w:t xml:space="preserve"> </w:t>
      </w:r>
      <w:r>
        <w:rPr>
          <w:sz w:val="24"/>
        </w:rPr>
        <w:t>POI</w:t>
      </w:r>
      <w:r>
        <w:rPr>
          <w:spacing w:val="28"/>
          <w:sz w:val="24"/>
        </w:rPr>
        <w:t xml:space="preserve"> </w:t>
      </w:r>
      <w:r>
        <w:rPr>
          <w:sz w:val="24"/>
        </w:rPr>
        <w:t>during</w:t>
      </w:r>
      <w:r>
        <w:rPr>
          <w:spacing w:val="30"/>
          <w:sz w:val="24"/>
        </w:rPr>
        <w:t xml:space="preserve"> </w:t>
      </w:r>
      <w:r>
        <w:rPr>
          <w:sz w:val="24"/>
        </w:rPr>
        <w:t>which</w:t>
      </w:r>
      <w:r>
        <w:rPr>
          <w:spacing w:val="28"/>
          <w:sz w:val="24"/>
        </w:rPr>
        <w:t xml:space="preserve"> </w:t>
      </w:r>
      <w:r>
        <w:rPr>
          <w:sz w:val="24"/>
        </w:rPr>
        <w:t>MOFCOM</w:t>
      </w:r>
      <w:r>
        <w:rPr>
          <w:spacing w:val="29"/>
          <w:sz w:val="24"/>
        </w:rPr>
        <w:t xml:space="preserve"> </w:t>
      </w:r>
      <w:r>
        <w:rPr>
          <w:sz w:val="24"/>
        </w:rPr>
        <w:t>identified subject imports as allegedly being dumped;</w:t>
      </w:r>
      <w:r>
        <w:rPr>
          <w:sz w:val="24"/>
          <w:vertAlign w:val="superscript"/>
        </w:rPr>
        <w:t>710</w:t>
      </w:r>
    </w:p>
    <w:p w14:paraId="51DE8FE2" w14:textId="77777777" w:rsidR="0010369C" w:rsidRDefault="0010369C">
      <w:pPr>
        <w:pStyle w:val="BodyText"/>
        <w:rPr>
          <w:sz w:val="20"/>
        </w:rPr>
      </w:pPr>
    </w:p>
    <w:p w14:paraId="51DE8FE3" w14:textId="77777777" w:rsidR="0010369C" w:rsidRDefault="0010369C">
      <w:pPr>
        <w:pStyle w:val="BodyText"/>
        <w:rPr>
          <w:sz w:val="20"/>
        </w:rPr>
      </w:pPr>
    </w:p>
    <w:p w14:paraId="51DE8FE4" w14:textId="77777777" w:rsidR="0010369C" w:rsidRDefault="0010369C">
      <w:pPr>
        <w:pStyle w:val="BodyText"/>
        <w:rPr>
          <w:sz w:val="20"/>
        </w:rPr>
      </w:pPr>
    </w:p>
    <w:p w14:paraId="51DE8FE5" w14:textId="77777777" w:rsidR="0010369C" w:rsidRDefault="0010369C">
      <w:pPr>
        <w:pStyle w:val="BodyText"/>
        <w:rPr>
          <w:sz w:val="20"/>
        </w:rPr>
      </w:pPr>
    </w:p>
    <w:p w14:paraId="51DE8FE6" w14:textId="77777777" w:rsidR="0010369C" w:rsidRDefault="0010369C">
      <w:pPr>
        <w:pStyle w:val="BodyText"/>
        <w:rPr>
          <w:sz w:val="20"/>
        </w:rPr>
      </w:pPr>
    </w:p>
    <w:p w14:paraId="51DE8FE7" w14:textId="77777777" w:rsidR="0010369C" w:rsidRDefault="008E43AE">
      <w:pPr>
        <w:pStyle w:val="BodyText"/>
        <w:spacing w:before="4"/>
        <w:rPr>
          <w:sz w:val="28"/>
        </w:rPr>
      </w:pPr>
      <w:r>
        <w:pict w14:anchorId="51DEA4EE">
          <v:rect id="docshape1095" o:spid="_x0000_s1288" style="position:absolute;margin-left:70.9pt;margin-top:18.5pt;width:2in;height:.8pt;z-index:-250816000;mso-wrap-distance-left:0;mso-wrap-distance-right:0;mso-position-horizontal-relative:page" fillcolor="black" stroked="f">
            <w10:wrap type="topAndBottom" anchorx="page"/>
          </v:rect>
        </w:pict>
      </w:r>
    </w:p>
    <w:p w14:paraId="51DE8FE8" w14:textId="77777777" w:rsidR="0010369C" w:rsidRDefault="008E43AE">
      <w:pPr>
        <w:spacing w:before="109"/>
        <w:ind w:left="238"/>
        <w:rPr>
          <w:sz w:val="18"/>
        </w:rPr>
      </w:pPr>
      <w:r>
        <w:rPr>
          <w:sz w:val="18"/>
          <w:vertAlign w:val="superscript"/>
        </w:rPr>
        <w:t>709</w:t>
      </w:r>
      <w:r>
        <w:rPr>
          <w:spacing w:val="-9"/>
          <w:sz w:val="18"/>
        </w:rPr>
        <w:t xml:space="preserve"> </w:t>
      </w:r>
      <w:r>
        <w:rPr>
          <w:sz w:val="18"/>
        </w:rPr>
        <w:t>Anti‐Dumping</w:t>
      </w:r>
      <w:r>
        <w:rPr>
          <w:spacing w:val="-9"/>
          <w:sz w:val="18"/>
        </w:rPr>
        <w:t xml:space="preserve"> </w:t>
      </w:r>
      <w:r>
        <w:rPr>
          <w:sz w:val="18"/>
        </w:rPr>
        <w:t>Final</w:t>
      </w:r>
      <w:r>
        <w:rPr>
          <w:spacing w:val="-9"/>
          <w:sz w:val="18"/>
        </w:rPr>
        <w:t xml:space="preserve"> </w:t>
      </w:r>
      <w:r>
        <w:rPr>
          <w:sz w:val="18"/>
        </w:rPr>
        <w:t>Determination</w:t>
      </w:r>
      <w:r>
        <w:rPr>
          <w:spacing w:val="-8"/>
          <w:sz w:val="18"/>
        </w:rPr>
        <w:t xml:space="preserve"> </w:t>
      </w:r>
      <w:r>
        <w:rPr>
          <w:sz w:val="18"/>
        </w:rPr>
        <w:t>(Exhibit</w:t>
      </w:r>
      <w:r>
        <w:rPr>
          <w:spacing w:val="-9"/>
          <w:sz w:val="18"/>
        </w:rPr>
        <w:t xml:space="preserve"> </w:t>
      </w:r>
      <w:r>
        <w:rPr>
          <w:sz w:val="18"/>
        </w:rPr>
        <w:t>AUS‐2),</w:t>
      </w:r>
      <w:r>
        <w:rPr>
          <w:spacing w:val="-10"/>
          <w:sz w:val="18"/>
        </w:rPr>
        <w:t xml:space="preserve"> </w:t>
      </w:r>
      <w:r>
        <w:rPr>
          <w:sz w:val="18"/>
        </w:rPr>
        <w:t>pp.</w:t>
      </w:r>
      <w:r>
        <w:rPr>
          <w:spacing w:val="-9"/>
          <w:sz w:val="18"/>
        </w:rPr>
        <w:t xml:space="preserve"> </w:t>
      </w:r>
      <w:r>
        <w:rPr>
          <w:spacing w:val="-2"/>
          <w:sz w:val="18"/>
        </w:rPr>
        <w:t>119‐121.</w:t>
      </w:r>
    </w:p>
    <w:p w14:paraId="51DE8FE9" w14:textId="77777777" w:rsidR="0010369C" w:rsidRDefault="008E43AE">
      <w:pPr>
        <w:ind w:left="237" w:right="610"/>
        <w:rPr>
          <w:sz w:val="18"/>
        </w:rPr>
      </w:pPr>
      <w:r>
        <w:rPr>
          <w:sz w:val="18"/>
          <w:vertAlign w:val="superscript"/>
        </w:rPr>
        <w:t>710</w:t>
      </w:r>
      <w:r>
        <w:rPr>
          <w:spacing w:val="-11"/>
          <w:sz w:val="18"/>
        </w:rPr>
        <w:t xml:space="preserve"> </w:t>
      </w:r>
      <w:r>
        <w:rPr>
          <w:sz w:val="18"/>
        </w:rPr>
        <w:t>The</w:t>
      </w:r>
      <w:r>
        <w:rPr>
          <w:spacing w:val="-11"/>
          <w:sz w:val="18"/>
        </w:rPr>
        <w:t xml:space="preserve"> </w:t>
      </w:r>
      <w:r>
        <w:rPr>
          <w:sz w:val="18"/>
        </w:rPr>
        <w:t>Anti‐Dumping</w:t>
      </w:r>
      <w:r>
        <w:rPr>
          <w:spacing w:val="-10"/>
          <w:sz w:val="18"/>
        </w:rPr>
        <w:t xml:space="preserve"> </w:t>
      </w:r>
      <w:r>
        <w:rPr>
          <w:sz w:val="18"/>
        </w:rPr>
        <w:t>Investigation</w:t>
      </w:r>
      <w:r>
        <w:rPr>
          <w:spacing w:val="-11"/>
          <w:sz w:val="18"/>
        </w:rPr>
        <w:t xml:space="preserve"> </w:t>
      </w:r>
      <w:r>
        <w:rPr>
          <w:sz w:val="18"/>
        </w:rPr>
        <w:t>Period</w:t>
      </w:r>
      <w:r>
        <w:rPr>
          <w:spacing w:val="-10"/>
          <w:sz w:val="18"/>
        </w:rPr>
        <w:t xml:space="preserve"> </w:t>
      </w:r>
      <w:r>
        <w:rPr>
          <w:sz w:val="18"/>
        </w:rPr>
        <w:t>was</w:t>
      </w:r>
      <w:r>
        <w:rPr>
          <w:spacing w:val="-10"/>
          <w:sz w:val="18"/>
        </w:rPr>
        <w:t xml:space="preserve"> </w:t>
      </w:r>
      <w:r>
        <w:rPr>
          <w:sz w:val="18"/>
        </w:rPr>
        <w:t>1</w:t>
      </w:r>
      <w:r>
        <w:rPr>
          <w:spacing w:val="-11"/>
          <w:sz w:val="18"/>
        </w:rPr>
        <w:t xml:space="preserve"> </w:t>
      </w:r>
      <w:r>
        <w:rPr>
          <w:sz w:val="18"/>
        </w:rPr>
        <w:t>January</w:t>
      </w:r>
      <w:r>
        <w:rPr>
          <w:spacing w:val="-10"/>
          <w:sz w:val="18"/>
        </w:rPr>
        <w:t xml:space="preserve"> </w:t>
      </w:r>
      <w:r>
        <w:rPr>
          <w:sz w:val="18"/>
        </w:rPr>
        <w:t>to</w:t>
      </w:r>
      <w:r>
        <w:rPr>
          <w:spacing w:val="-11"/>
          <w:sz w:val="18"/>
        </w:rPr>
        <w:t xml:space="preserve"> </w:t>
      </w:r>
      <w:r>
        <w:rPr>
          <w:sz w:val="18"/>
        </w:rPr>
        <w:t>31</w:t>
      </w:r>
      <w:r>
        <w:rPr>
          <w:spacing w:val="-10"/>
          <w:sz w:val="18"/>
        </w:rPr>
        <w:t xml:space="preserve"> </w:t>
      </w:r>
      <w:r>
        <w:rPr>
          <w:sz w:val="18"/>
        </w:rPr>
        <w:t>December</w:t>
      </w:r>
      <w:r>
        <w:rPr>
          <w:spacing w:val="-10"/>
          <w:sz w:val="18"/>
        </w:rPr>
        <w:t xml:space="preserve"> </w:t>
      </w:r>
      <w:r>
        <w:rPr>
          <w:sz w:val="18"/>
        </w:rPr>
        <w:t>2019:</w:t>
      </w:r>
      <w:r>
        <w:rPr>
          <w:spacing w:val="-11"/>
          <w:sz w:val="18"/>
        </w:rPr>
        <w:t xml:space="preserve"> </w:t>
      </w:r>
      <w:r>
        <w:rPr>
          <w:sz w:val="18"/>
        </w:rPr>
        <w:t>see</w:t>
      </w:r>
      <w:r>
        <w:rPr>
          <w:spacing w:val="-12"/>
          <w:sz w:val="18"/>
        </w:rPr>
        <w:t xml:space="preserve"> </w:t>
      </w:r>
      <w:r>
        <w:rPr>
          <w:sz w:val="18"/>
        </w:rPr>
        <w:t>Anti‐Dumping</w:t>
      </w:r>
      <w:r>
        <w:rPr>
          <w:spacing w:val="-10"/>
          <w:sz w:val="18"/>
        </w:rPr>
        <w:t xml:space="preserve"> </w:t>
      </w:r>
      <w:r>
        <w:rPr>
          <w:sz w:val="18"/>
        </w:rPr>
        <w:t>Final</w:t>
      </w:r>
      <w:r>
        <w:rPr>
          <w:spacing w:val="-10"/>
          <w:sz w:val="18"/>
        </w:rPr>
        <w:t xml:space="preserve"> </w:t>
      </w:r>
      <w:r>
        <w:rPr>
          <w:sz w:val="18"/>
        </w:rPr>
        <w:t>Determination</w:t>
      </w:r>
      <w:r>
        <w:rPr>
          <w:spacing w:val="-10"/>
          <w:sz w:val="18"/>
        </w:rPr>
        <w:t xml:space="preserve"> </w:t>
      </w:r>
      <w:r>
        <w:rPr>
          <w:sz w:val="18"/>
        </w:rPr>
        <w:t>(Exhibit AUS‐2), p. 4.</w:t>
      </w:r>
    </w:p>
    <w:p w14:paraId="51DE8FEA" w14:textId="77777777" w:rsidR="0010369C" w:rsidRDefault="0010369C">
      <w:pPr>
        <w:rPr>
          <w:sz w:val="18"/>
        </w:rPr>
        <w:sectPr w:rsidR="0010369C">
          <w:headerReference w:type="default" r:id="rId819"/>
          <w:footerReference w:type="default" r:id="rId820"/>
          <w:pgSz w:w="11910" w:h="16840"/>
          <w:pgMar w:top="580" w:right="800" w:bottom="980" w:left="1180" w:header="0" w:footer="788" w:gutter="0"/>
          <w:cols w:space="720"/>
        </w:sectPr>
      </w:pPr>
    </w:p>
    <w:p w14:paraId="51DE8FEB" w14:textId="77777777" w:rsidR="0010369C" w:rsidRDefault="008E43AE">
      <w:pPr>
        <w:pStyle w:val="BodyText"/>
        <w:spacing w:line="20" w:lineRule="exact"/>
        <w:ind w:left="104"/>
        <w:rPr>
          <w:sz w:val="2"/>
        </w:rPr>
      </w:pPr>
      <w:r>
        <w:rPr>
          <w:sz w:val="2"/>
        </w:rPr>
      </w:r>
      <w:r>
        <w:rPr>
          <w:sz w:val="2"/>
        </w:rPr>
        <w:pict w14:anchorId="51DEA4F0">
          <v:group id="docshapegroup1097" o:spid="_x0000_s1286" style="width:464.6pt;height:1.05pt;mso-position-horizontal-relative:char;mso-position-vertical-relative:line" coordsize="9292,21">
            <v:line id="_x0000_s1287" style="position:absolute" from="0,10" to="9291,10" strokeweight=".35361mm"/>
            <w10:anchorlock/>
          </v:group>
        </w:pict>
      </w:r>
    </w:p>
    <w:p w14:paraId="51DE8FEC" w14:textId="77777777" w:rsidR="0010369C" w:rsidRDefault="008E43AE">
      <w:pPr>
        <w:spacing w:before="63"/>
        <w:ind w:right="350"/>
        <w:jc w:val="center"/>
        <w:rPr>
          <w:rFonts w:ascii="Arial"/>
          <w:sz w:val="19"/>
        </w:rPr>
      </w:pPr>
      <w:r>
        <w:pict w14:anchorId="51DEA4F1">
          <v:shape id="docshape1098" o:spid="_x0000_s1285" style="position:absolute;left:0;text-align:left;margin-left:64.2pt;margin-top:16.05pt;width:464.6pt;height:.1pt;z-index:-250814976;mso-wrap-distance-left:0;mso-wrap-distance-right:0;mso-position-horizontal-relative:page" coordorigin="1284,321" coordsize="9292,0" path="m1284,321r9291,e" filled="f" strokeweight=".35361mm">
            <v:path arrowok="t"/>
            <w10:wrap type="topAndBottom" anchorx="page"/>
          </v:shape>
        </w:pict>
      </w:r>
      <w:r>
        <w:rPr>
          <w:rFonts w:ascii="Arial"/>
          <w:color w:val="1C1C1C"/>
          <w:sz w:val="19"/>
        </w:rPr>
        <w:t>Business</w:t>
      </w:r>
      <w:r>
        <w:rPr>
          <w:rFonts w:ascii="Arial"/>
          <w:color w:val="1C1C1C"/>
          <w:spacing w:val="45"/>
          <w:sz w:val="19"/>
        </w:rPr>
        <w:t xml:space="preserve"> </w:t>
      </w:r>
      <w:r>
        <w:rPr>
          <w:rFonts w:ascii="Arial"/>
          <w:color w:val="1C1C1C"/>
          <w:sz w:val="19"/>
        </w:rPr>
        <w:t>Confidential</w:t>
      </w:r>
      <w:r>
        <w:rPr>
          <w:rFonts w:ascii="Arial"/>
          <w:color w:val="1C1C1C"/>
          <w:spacing w:val="38"/>
          <w:sz w:val="19"/>
        </w:rPr>
        <w:t xml:space="preserve"> </w:t>
      </w:r>
      <w:r>
        <w:rPr>
          <w:rFonts w:ascii="Arial"/>
          <w:color w:val="080808"/>
          <w:sz w:val="19"/>
        </w:rPr>
        <w:t>Information</w:t>
      </w:r>
      <w:r>
        <w:rPr>
          <w:rFonts w:ascii="Arial"/>
          <w:color w:val="080808"/>
          <w:spacing w:val="39"/>
          <w:sz w:val="19"/>
        </w:rPr>
        <w:t xml:space="preserve"> </w:t>
      </w:r>
      <w:r>
        <w:rPr>
          <w:rFonts w:ascii="Arial"/>
          <w:color w:val="1C1C1C"/>
          <w:sz w:val="19"/>
        </w:rPr>
        <w:t>-</w:t>
      </w:r>
      <w:r>
        <w:rPr>
          <w:rFonts w:ascii="Arial"/>
          <w:color w:val="1C1C1C"/>
          <w:spacing w:val="40"/>
          <w:sz w:val="19"/>
        </w:rPr>
        <w:t xml:space="preserve"> </w:t>
      </w:r>
      <w:r>
        <w:rPr>
          <w:rFonts w:ascii="Arial"/>
          <w:color w:val="1C1C1C"/>
          <w:spacing w:val="-2"/>
          <w:sz w:val="19"/>
        </w:rPr>
        <w:t>REDACTED</w:t>
      </w:r>
    </w:p>
    <w:p w14:paraId="51DE8FED" w14:textId="77777777" w:rsidR="0010369C" w:rsidRDefault="008E43AE">
      <w:pPr>
        <w:tabs>
          <w:tab w:val="left" w:pos="6217"/>
        </w:tabs>
        <w:spacing w:before="21"/>
        <w:ind w:right="357"/>
        <w:jc w:val="center"/>
        <w:rPr>
          <w:rFonts w:ascii="Arial"/>
          <w:sz w:val="18"/>
        </w:rPr>
      </w:pPr>
      <w:r>
        <w:rPr>
          <w:rFonts w:ascii="Arial"/>
          <w:i/>
          <w:color w:val="1C1C1C"/>
          <w:w w:val="105"/>
          <w:sz w:val="18"/>
        </w:rPr>
        <w:t>China</w:t>
      </w:r>
      <w:r>
        <w:rPr>
          <w:rFonts w:ascii="Arial"/>
          <w:i/>
          <w:color w:val="1C1C1C"/>
          <w:spacing w:val="-17"/>
          <w:w w:val="105"/>
          <w:sz w:val="18"/>
        </w:rPr>
        <w:t xml:space="preserve"> </w:t>
      </w:r>
      <w:r>
        <w:rPr>
          <w:rFonts w:ascii="Arial"/>
          <w:i/>
          <w:color w:val="1C1C1C"/>
          <w:w w:val="105"/>
          <w:sz w:val="18"/>
        </w:rPr>
        <w:t>-Anti-Dumping</w:t>
      </w:r>
      <w:r>
        <w:rPr>
          <w:rFonts w:ascii="Arial"/>
          <w:i/>
          <w:color w:val="1C1C1C"/>
          <w:spacing w:val="-5"/>
          <w:w w:val="105"/>
          <w:sz w:val="18"/>
        </w:rPr>
        <w:t xml:space="preserve"> </w:t>
      </w:r>
      <w:r>
        <w:rPr>
          <w:rFonts w:ascii="Arial"/>
          <w:i/>
          <w:color w:val="1C1C1C"/>
          <w:w w:val="105"/>
          <w:sz w:val="18"/>
        </w:rPr>
        <w:t>and</w:t>
      </w:r>
      <w:r>
        <w:rPr>
          <w:rFonts w:ascii="Arial"/>
          <w:i/>
          <w:color w:val="1C1C1C"/>
          <w:spacing w:val="-23"/>
          <w:w w:val="105"/>
          <w:sz w:val="18"/>
        </w:rPr>
        <w:t xml:space="preserve"> </w:t>
      </w:r>
      <w:r>
        <w:rPr>
          <w:rFonts w:ascii="Arial"/>
          <w:i/>
          <w:color w:val="1C1C1C"/>
          <w:w w:val="105"/>
          <w:sz w:val="18"/>
        </w:rPr>
        <w:t>Countervailing</w:t>
      </w:r>
      <w:r>
        <w:rPr>
          <w:rFonts w:ascii="Arial"/>
          <w:i/>
          <w:color w:val="1C1C1C"/>
          <w:spacing w:val="-6"/>
          <w:w w:val="105"/>
          <w:sz w:val="18"/>
        </w:rPr>
        <w:t xml:space="preserve"> </w:t>
      </w:r>
      <w:r>
        <w:rPr>
          <w:rFonts w:ascii="Arial"/>
          <w:i/>
          <w:color w:val="1C1C1C"/>
          <w:w w:val="105"/>
          <w:sz w:val="18"/>
        </w:rPr>
        <w:t>Duty</w:t>
      </w:r>
      <w:r>
        <w:rPr>
          <w:rFonts w:ascii="Arial"/>
          <w:i/>
          <w:color w:val="1C1C1C"/>
          <w:spacing w:val="-12"/>
          <w:w w:val="105"/>
          <w:sz w:val="18"/>
        </w:rPr>
        <w:t xml:space="preserve"> </w:t>
      </w:r>
      <w:r>
        <w:rPr>
          <w:rFonts w:ascii="Arial"/>
          <w:i/>
          <w:color w:val="080808"/>
          <w:spacing w:val="-2"/>
          <w:w w:val="105"/>
          <w:sz w:val="18"/>
        </w:rPr>
        <w:t>Measures</w:t>
      </w:r>
      <w:r>
        <w:rPr>
          <w:rFonts w:ascii="Arial"/>
          <w:i/>
          <w:color w:val="080808"/>
          <w:sz w:val="18"/>
        </w:rPr>
        <w:tab/>
      </w:r>
      <w:r>
        <w:rPr>
          <w:rFonts w:ascii="Arial"/>
          <w:color w:val="1C1C1C"/>
          <w:spacing w:val="-2"/>
          <w:w w:val="105"/>
          <w:sz w:val="18"/>
        </w:rPr>
        <w:t>Australia's</w:t>
      </w:r>
      <w:r>
        <w:rPr>
          <w:rFonts w:ascii="Arial"/>
          <w:color w:val="1C1C1C"/>
          <w:spacing w:val="5"/>
          <w:w w:val="105"/>
          <w:sz w:val="18"/>
        </w:rPr>
        <w:t xml:space="preserve"> </w:t>
      </w:r>
      <w:r>
        <w:rPr>
          <w:rFonts w:ascii="Arial"/>
          <w:color w:val="080808"/>
          <w:spacing w:val="-2"/>
          <w:w w:val="105"/>
          <w:sz w:val="18"/>
        </w:rPr>
        <w:t>First</w:t>
      </w:r>
      <w:r>
        <w:rPr>
          <w:rFonts w:ascii="Arial"/>
          <w:color w:val="080808"/>
          <w:spacing w:val="1"/>
          <w:w w:val="105"/>
          <w:sz w:val="18"/>
        </w:rPr>
        <w:t xml:space="preserve"> </w:t>
      </w:r>
      <w:r>
        <w:rPr>
          <w:rFonts w:ascii="Arial"/>
          <w:color w:val="1C1C1C"/>
          <w:spacing w:val="-2"/>
          <w:w w:val="105"/>
          <w:sz w:val="18"/>
        </w:rPr>
        <w:t>Written</w:t>
      </w:r>
      <w:r>
        <w:rPr>
          <w:rFonts w:ascii="Arial"/>
          <w:color w:val="1C1C1C"/>
          <w:spacing w:val="-7"/>
          <w:w w:val="105"/>
          <w:sz w:val="18"/>
        </w:rPr>
        <w:t xml:space="preserve"> </w:t>
      </w:r>
      <w:r>
        <w:rPr>
          <w:rFonts w:ascii="Arial"/>
          <w:color w:val="1C1C1C"/>
          <w:spacing w:val="-2"/>
          <w:w w:val="105"/>
          <w:sz w:val="18"/>
        </w:rPr>
        <w:t>Submission</w:t>
      </w:r>
    </w:p>
    <w:p w14:paraId="51DE8FEE" w14:textId="77777777" w:rsidR="0010369C" w:rsidRDefault="008E43AE">
      <w:pPr>
        <w:tabs>
          <w:tab w:val="left" w:pos="8020"/>
        </w:tabs>
        <w:spacing w:before="44"/>
        <w:ind w:right="337"/>
        <w:jc w:val="center"/>
        <w:rPr>
          <w:rFonts w:ascii="Arial"/>
          <w:sz w:val="18"/>
        </w:rPr>
      </w:pPr>
      <w:r>
        <w:rPr>
          <w:rFonts w:ascii="Arial"/>
          <w:i/>
          <w:color w:val="1C1C1C"/>
          <w:w w:val="105"/>
          <w:sz w:val="18"/>
        </w:rPr>
        <w:t>on</w:t>
      </w:r>
      <w:r>
        <w:rPr>
          <w:rFonts w:ascii="Arial"/>
          <w:i/>
          <w:color w:val="1C1C1C"/>
          <w:spacing w:val="-11"/>
          <w:w w:val="105"/>
          <w:sz w:val="18"/>
        </w:rPr>
        <w:t xml:space="preserve"> </w:t>
      </w:r>
      <w:r>
        <w:rPr>
          <w:rFonts w:ascii="Arial"/>
          <w:i/>
          <w:color w:val="1C1C1C"/>
          <w:w w:val="105"/>
          <w:sz w:val="18"/>
        </w:rPr>
        <w:t>Winefrom Australia</w:t>
      </w:r>
      <w:r>
        <w:rPr>
          <w:rFonts w:ascii="Arial"/>
          <w:i/>
          <w:color w:val="1C1C1C"/>
          <w:spacing w:val="13"/>
          <w:w w:val="105"/>
          <w:sz w:val="18"/>
        </w:rPr>
        <w:t xml:space="preserve"> </w:t>
      </w:r>
      <w:r>
        <w:rPr>
          <w:rFonts w:ascii="Arial"/>
          <w:color w:val="1C1C1C"/>
          <w:spacing w:val="-2"/>
          <w:w w:val="105"/>
          <w:sz w:val="18"/>
        </w:rPr>
        <w:t>(0S602)</w:t>
      </w:r>
      <w:r>
        <w:rPr>
          <w:rFonts w:ascii="Arial"/>
          <w:color w:val="1C1C1C"/>
          <w:sz w:val="18"/>
        </w:rPr>
        <w:tab/>
      </w:r>
      <w:r>
        <w:rPr>
          <w:rFonts w:ascii="Arial"/>
          <w:color w:val="1C1C1C"/>
          <w:w w:val="105"/>
          <w:sz w:val="18"/>
        </w:rPr>
        <w:t>29</w:t>
      </w:r>
      <w:r>
        <w:rPr>
          <w:rFonts w:ascii="Arial"/>
          <w:color w:val="1C1C1C"/>
          <w:spacing w:val="-19"/>
          <w:w w:val="105"/>
          <w:sz w:val="18"/>
        </w:rPr>
        <w:t xml:space="preserve"> </w:t>
      </w:r>
      <w:r>
        <w:rPr>
          <w:rFonts w:ascii="Arial"/>
          <w:color w:val="1C1C1C"/>
          <w:w w:val="105"/>
          <w:sz w:val="18"/>
        </w:rPr>
        <w:t>April</w:t>
      </w:r>
      <w:r>
        <w:rPr>
          <w:rFonts w:ascii="Arial"/>
          <w:color w:val="1C1C1C"/>
          <w:spacing w:val="1"/>
          <w:w w:val="105"/>
          <w:sz w:val="18"/>
        </w:rPr>
        <w:t xml:space="preserve"> </w:t>
      </w:r>
      <w:r>
        <w:rPr>
          <w:rFonts w:ascii="Arial"/>
          <w:color w:val="1C1C1C"/>
          <w:spacing w:val="-4"/>
          <w:w w:val="105"/>
          <w:sz w:val="18"/>
        </w:rPr>
        <w:t>2022</w:t>
      </w:r>
    </w:p>
    <w:p w14:paraId="51DE8FEF" w14:textId="77777777" w:rsidR="0010369C" w:rsidRDefault="008E43AE">
      <w:pPr>
        <w:pStyle w:val="ListParagraph"/>
        <w:numPr>
          <w:ilvl w:val="0"/>
          <w:numId w:val="5"/>
        </w:numPr>
        <w:tabs>
          <w:tab w:val="left" w:pos="1947"/>
          <w:tab w:val="left" w:pos="1948"/>
        </w:tabs>
        <w:spacing w:before="96" w:line="439" w:lineRule="auto"/>
        <w:ind w:left="1947" w:right="576" w:hanging="852"/>
        <w:rPr>
          <w:rFonts w:ascii="Arial" w:hAnsi="Arial"/>
          <w:color w:val="080808"/>
          <w:sz w:val="21"/>
        </w:rPr>
      </w:pPr>
      <w:r>
        <w:rPr>
          <w:rFonts w:ascii="Arial" w:hAnsi="Arial"/>
          <w:color w:val="1C1C1C"/>
          <w:w w:val="105"/>
          <w:sz w:val="21"/>
        </w:rPr>
        <w:t>the</w:t>
      </w:r>
      <w:r>
        <w:rPr>
          <w:rFonts w:ascii="Arial" w:hAnsi="Arial"/>
          <w:color w:val="1C1C1C"/>
          <w:w w:val="105"/>
          <w:sz w:val="21"/>
        </w:rPr>
        <w:t xml:space="preserve"> average </w:t>
      </w:r>
      <w:r>
        <w:rPr>
          <w:rFonts w:ascii="Arial" w:hAnsi="Arial"/>
          <w:color w:val="080808"/>
          <w:w w:val="105"/>
          <w:sz w:val="21"/>
        </w:rPr>
        <w:t xml:space="preserve">unit </w:t>
      </w:r>
      <w:r>
        <w:rPr>
          <w:rFonts w:ascii="Arial" w:hAnsi="Arial"/>
          <w:color w:val="1C1C1C"/>
          <w:w w:val="105"/>
          <w:sz w:val="21"/>
        </w:rPr>
        <w:t xml:space="preserve">price of subject imports actually increased </w:t>
      </w:r>
      <w:r>
        <w:rPr>
          <w:rFonts w:ascii="Arial" w:hAnsi="Arial"/>
          <w:color w:val="080808"/>
          <w:w w:val="105"/>
          <w:sz w:val="21"/>
        </w:rPr>
        <w:t xml:space="preserve">by </w:t>
      </w:r>
      <w:r>
        <w:rPr>
          <w:rFonts w:ascii="Arial" w:hAnsi="Arial"/>
          <w:color w:val="1C1C1C"/>
          <w:w w:val="105"/>
          <w:sz w:val="21"/>
        </w:rPr>
        <w:t>11.48% (4,797</w:t>
      </w:r>
      <w:r>
        <w:rPr>
          <w:rFonts w:ascii="Arial" w:hAnsi="Arial"/>
          <w:color w:val="1C1C1C"/>
          <w:spacing w:val="-15"/>
          <w:w w:val="105"/>
          <w:sz w:val="21"/>
        </w:rPr>
        <w:t xml:space="preserve"> </w:t>
      </w:r>
      <w:r>
        <w:rPr>
          <w:rFonts w:ascii="Arial" w:hAnsi="Arial"/>
          <w:color w:val="080808"/>
          <w:w w:val="105"/>
          <w:sz w:val="21"/>
        </w:rPr>
        <w:t>RMB/kl)</w:t>
      </w:r>
      <w:r>
        <w:rPr>
          <w:rFonts w:ascii="Arial" w:hAnsi="Arial"/>
          <w:color w:val="080808"/>
          <w:spacing w:val="39"/>
          <w:w w:val="105"/>
          <w:sz w:val="21"/>
        </w:rPr>
        <w:t xml:space="preserve"> </w:t>
      </w:r>
      <w:r>
        <w:rPr>
          <w:rFonts w:ascii="Arial" w:hAnsi="Arial"/>
          <w:color w:val="1C1C1C"/>
          <w:w w:val="105"/>
          <w:sz w:val="21"/>
        </w:rPr>
        <w:t>from</w:t>
      </w:r>
      <w:r>
        <w:rPr>
          <w:rFonts w:ascii="Arial" w:hAnsi="Arial"/>
          <w:color w:val="1C1C1C"/>
          <w:spacing w:val="29"/>
          <w:w w:val="105"/>
          <w:sz w:val="21"/>
        </w:rPr>
        <w:t xml:space="preserve"> </w:t>
      </w:r>
      <w:r>
        <w:rPr>
          <w:rFonts w:ascii="Arial" w:hAnsi="Arial"/>
          <w:color w:val="1C1C1C"/>
          <w:w w:val="105"/>
          <w:sz w:val="21"/>
        </w:rPr>
        <w:t>2018 to</w:t>
      </w:r>
      <w:r>
        <w:rPr>
          <w:rFonts w:ascii="Arial" w:hAnsi="Arial"/>
          <w:color w:val="1C1C1C"/>
          <w:spacing w:val="73"/>
          <w:w w:val="105"/>
          <w:sz w:val="21"/>
        </w:rPr>
        <w:t xml:space="preserve"> </w:t>
      </w:r>
      <w:r>
        <w:rPr>
          <w:rFonts w:ascii="Arial" w:hAnsi="Arial"/>
          <w:color w:val="1C1C1C"/>
          <w:w w:val="105"/>
          <w:sz w:val="21"/>
        </w:rPr>
        <w:t>2019,</w:t>
      </w:r>
      <w:r>
        <w:rPr>
          <w:rFonts w:ascii="Arial" w:hAnsi="Arial"/>
          <w:color w:val="1C1C1C"/>
          <w:spacing w:val="18"/>
          <w:w w:val="105"/>
          <w:sz w:val="21"/>
        </w:rPr>
        <w:t xml:space="preserve"> </w:t>
      </w:r>
      <w:r>
        <w:rPr>
          <w:rFonts w:ascii="Arial" w:hAnsi="Arial"/>
          <w:color w:val="1C1C1C"/>
          <w:w w:val="105"/>
          <w:sz w:val="21"/>
        </w:rPr>
        <w:t>while</w:t>
      </w:r>
      <w:r>
        <w:rPr>
          <w:rFonts w:ascii="Arial" w:hAnsi="Arial"/>
          <w:color w:val="1C1C1C"/>
          <w:spacing w:val="26"/>
          <w:w w:val="105"/>
          <w:sz w:val="21"/>
        </w:rPr>
        <w:t xml:space="preserve"> </w:t>
      </w:r>
      <w:r>
        <w:rPr>
          <w:rFonts w:ascii="Arial" w:hAnsi="Arial"/>
          <w:color w:val="1C1C1C"/>
          <w:w w:val="105"/>
          <w:sz w:val="21"/>
        </w:rPr>
        <w:t>import</w:t>
      </w:r>
      <w:r>
        <w:rPr>
          <w:rFonts w:ascii="Arial" w:hAnsi="Arial"/>
          <w:color w:val="1C1C1C"/>
          <w:spacing w:val="27"/>
          <w:w w:val="105"/>
          <w:sz w:val="21"/>
        </w:rPr>
        <w:t xml:space="preserve"> </w:t>
      </w:r>
      <w:r>
        <w:rPr>
          <w:rFonts w:ascii="Arial" w:hAnsi="Arial"/>
          <w:color w:val="1C1C1C"/>
          <w:w w:val="105"/>
          <w:sz w:val="21"/>
        </w:rPr>
        <w:t>volumes</w:t>
      </w:r>
      <w:r>
        <w:rPr>
          <w:rFonts w:ascii="Arial" w:hAnsi="Arial"/>
          <w:color w:val="1C1C1C"/>
          <w:spacing w:val="19"/>
          <w:w w:val="105"/>
          <w:sz w:val="21"/>
        </w:rPr>
        <w:t xml:space="preserve"> </w:t>
      </w:r>
      <w:r>
        <w:rPr>
          <w:rFonts w:ascii="Arial" w:hAnsi="Arial"/>
          <w:color w:val="1C1C1C"/>
          <w:w w:val="105"/>
          <w:sz w:val="21"/>
        </w:rPr>
        <w:t>rose just</w:t>
      </w:r>
      <w:r>
        <w:rPr>
          <w:rFonts w:ascii="Arial" w:hAnsi="Arial"/>
          <w:color w:val="1C1C1C"/>
          <w:spacing w:val="30"/>
          <w:w w:val="105"/>
          <w:sz w:val="21"/>
        </w:rPr>
        <w:t xml:space="preserve"> </w:t>
      </w:r>
      <w:r>
        <w:rPr>
          <w:rFonts w:ascii="Arial" w:hAnsi="Arial"/>
          <w:color w:val="1C1C1C"/>
          <w:w w:val="105"/>
          <w:sz w:val="21"/>
        </w:rPr>
        <w:t>2.55%</w:t>
      </w:r>
    </w:p>
    <w:p w14:paraId="51DE8FF0" w14:textId="77777777" w:rsidR="0010369C" w:rsidRDefault="008E43AE">
      <w:pPr>
        <w:spacing w:line="230" w:lineRule="exact"/>
        <w:ind w:left="1954"/>
        <w:rPr>
          <w:rFonts w:ascii="Arial"/>
          <w:sz w:val="21"/>
        </w:rPr>
      </w:pPr>
      <w:r>
        <w:rPr>
          <w:rFonts w:ascii="Arial"/>
          <w:color w:val="1C1C1C"/>
          <w:w w:val="105"/>
          <w:sz w:val="21"/>
        </w:rPr>
        <w:t>{3,000</w:t>
      </w:r>
      <w:r>
        <w:rPr>
          <w:rFonts w:ascii="Arial"/>
          <w:color w:val="1C1C1C"/>
          <w:spacing w:val="-6"/>
          <w:w w:val="105"/>
          <w:sz w:val="21"/>
        </w:rPr>
        <w:t xml:space="preserve"> </w:t>
      </w:r>
      <w:r>
        <w:rPr>
          <w:rFonts w:ascii="Arial"/>
          <w:color w:val="1C1C1C"/>
          <w:w w:val="105"/>
          <w:sz w:val="21"/>
        </w:rPr>
        <w:t>kl);</w:t>
      </w:r>
      <w:r>
        <w:rPr>
          <w:rFonts w:ascii="Arial"/>
          <w:color w:val="1C1C1C"/>
          <w:spacing w:val="-22"/>
          <w:w w:val="105"/>
          <w:sz w:val="21"/>
        </w:rPr>
        <w:t xml:space="preserve"> </w:t>
      </w:r>
      <w:r>
        <w:rPr>
          <w:rFonts w:ascii="Arial"/>
          <w:color w:val="080808"/>
          <w:spacing w:val="-5"/>
          <w:w w:val="105"/>
          <w:sz w:val="21"/>
        </w:rPr>
        <w:t>and</w:t>
      </w:r>
    </w:p>
    <w:p w14:paraId="51DE8FF1" w14:textId="77777777" w:rsidR="0010369C" w:rsidRDefault="0010369C">
      <w:pPr>
        <w:pStyle w:val="BodyText"/>
        <w:spacing w:before="6"/>
        <w:rPr>
          <w:rFonts w:ascii="Arial"/>
          <w:sz w:val="29"/>
        </w:rPr>
      </w:pPr>
    </w:p>
    <w:p w14:paraId="51DE8FF2" w14:textId="77777777" w:rsidR="0010369C" w:rsidRDefault="008E43AE">
      <w:pPr>
        <w:pStyle w:val="ListParagraph"/>
        <w:numPr>
          <w:ilvl w:val="0"/>
          <w:numId w:val="5"/>
        </w:numPr>
        <w:tabs>
          <w:tab w:val="left" w:pos="1947"/>
          <w:tab w:val="left" w:pos="1948"/>
        </w:tabs>
        <w:spacing w:before="0" w:line="434" w:lineRule="auto"/>
        <w:ind w:right="578" w:hanging="858"/>
        <w:rPr>
          <w:rFonts w:ascii="Arial" w:hAnsi="Arial"/>
          <w:color w:val="080808"/>
          <w:sz w:val="21"/>
        </w:rPr>
      </w:pPr>
      <w:r>
        <w:rPr>
          <w:rFonts w:ascii="Arial" w:hAnsi="Arial"/>
          <w:color w:val="1C1C1C"/>
          <w:w w:val="105"/>
          <w:sz w:val="21"/>
        </w:rPr>
        <w:t xml:space="preserve">the average </w:t>
      </w:r>
      <w:r>
        <w:rPr>
          <w:rFonts w:ascii="Arial" w:hAnsi="Arial"/>
          <w:color w:val="080808"/>
          <w:w w:val="105"/>
          <w:sz w:val="21"/>
        </w:rPr>
        <w:t xml:space="preserve">unit </w:t>
      </w:r>
      <w:r>
        <w:rPr>
          <w:rFonts w:ascii="Arial" w:hAnsi="Arial"/>
          <w:color w:val="1C1C1C"/>
          <w:w w:val="105"/>
          <w:sz w:val="21"/>
        </w:rPr>
        <w:t xml:space="preserve">price of domestic </w:t>
      </w:r>
      <w:r>
        <w:rPr>
          <w:rFonts w:ascii="Arial" w:hAnsi="Arial"/>
          <w:color w:val="080808"/>
          <w:w w:val="105"/>
          <w:sz w:val="21"/>
        </w:rPr>
        <w:t xml:space="preserve">like products </w:t>
      </w:r>
      <w:r>
        <w:rPr>
          <w:rFonts w:ascii="Arial" w:hAnsi="Arial"/>
          <w:color w:val="1C1C1C"/>
          <w:w w:val="105"/>
          <w:sz w:val="21"/>
        </w:rPr>
        <w:t xml:space="preserve">experienced its </w:t>
      </w:r>
      <w:r>
        <w:rPr>
          <w:rFonts w:ascii="Arial" w:hAnsi="Arial"/>
          <w:color w:val="080808"/>
          <w:w w:val="105"/>
          <w:sz w:val="21"/>
        </w:rPr>
        <w:t xml:space="preserve">most </w:t>
      </w:r>
      <w:r>
        <w:rPr>
          <w:rFonts w:ascii="Arial" w:hAnsi="Arial"/>
          <w:color w:val="1C1C1C"/>
          <w:w w:val="105"/>
          <w:sz w:val="21"/>
        </w:rPr>
        <w:t xml:space="preserve">significant </w:t>
      </w:r>
      <w:r>
        <w:rPr>
          <w:rFonts w:ascii="Arial" w:hAnsi="Arial"/>
          <w:color w:val="080808"/>
          <w:w w:val="105"/>
          <w:sz w:val="21"/>
        </w:rPr>
        <w:t xml:space="preserve">increase </w:t>
      </w:r>
      <w:r>
        <w:rPr>
          <w:rFonts w:ascii="Arial" w:hAnsi="Arial"/>
          <w:color w:val="1C1C1C"/>
          <w:w w:val="105"/>
          <w:sz w:val="21"/>
        </w:rPr>
        <w:t>of</w:t>
      </w:r>
      <w:r>
        <w:rPr>
          <w:rFonts w:ascii="Arial" w:hAnsi="Arial"/>
          <w:color w:val="1C1C1C"/>
          <w:w w:val="105"/>
          <w:sz w:val="21"/>
        </w:rPr>
        <w:t xml:space="preserve"> 7.41% (2,663 RMB/kl) from 2018-2019, while sales volumes experienced their </w:t>
      </w:r>
      <w:r>
        <w:rPr>
          <w:rFonts w:ascii="Arial" w:hAnsi="Arial"/>
          <w:color w:val="080808"/>
          <w:w w:val="105"/>
          <w:sz w:val="21"/>
        </w:rPr>
        <w:t xml:space="preserve">most </w:t>
      </w:r>
      <w:r>
        <w:rPr>
          <w:rFonts w:ascii="Arial" w:hAnsi="Arial"/>
          <w:color w:val="1C1C1C"/>
          <w:w w:val="105"/>
          <w:sz w:val="21"/>
        </w:rPr>
        <w:t>significant decline of-15.98% (-34,700 kl).</w:t>
      </w:r>
    </w:p>
    <w:p w14:paraId="51DE8FF3" w14:textId="77777777" w:rsidR="0010369C" w:rsidRDefault="008E43AE">
      <w:pPr>
        <w:spacing w:before="132" w:line="415" w:lineRule="auto"/>
        <w:ind w:left="240" w:right="576" w:hanging="5"/>
        <w:jc w:val="both"/>
        <w:rPr>
          <w:rFonts w:ascii="Times New Roman"/>
          <w:sz w:val="15"/>
        </w:rPr>
      </w:pPr>
      <w:r>
        <w:rPr>
          <w:rFonts w:ascii="Arial"/>
          <w:color w:val="1C1C1C"/>
          <w:w w:val="105"/>
          <w:sz w:val="21"/>
        </w:rPr>
        <w:t>612.</w:t>
      </w:r>
      <w:r>
        <w:rPr>
          <w:rFonts w:ascii="Arial"/>
          <w:color w:val="1C1C1C"/>
          <w:spacing w:val="80"/>
          <w:w w:val="105"/>
          <w:sz w:val="21"/>
        </w:rPr>
        <w:t xml:space="preserve">  </w:t>
      </w:r>
      <w:r>
        <w:rPr>
          <w:rFonts w:ascii="Arial"/>
          <w:color w:val="1C1C1C"/>
          <w:w w:val="105"/>
          <w:sz w:val="21"/>
        </w:rPr>
        <w:t xml:space="preserve">Table 5 in Exhibit AUS-65 {BCI) provides a year-to-year comparison of volume and </w:t>
      </w:r>
      <w:r>
        <w:rPr>
          <w:rFonts w:ascii="Arial"/>
          <w:color w:val="080808"/>
          <w:w w:val="105"/>
          <w:sz w:val="21"/>
        </w:rPr>
        <w:t xml:space="preserve">price </w:t>
      </w:r>
      <w:r>
        <w:rPr>
          <w:rFonts w:ascii="Arial"/>
          <w:color w:val="1C1C1C"/>
          <w:w w:val="105"/>
          <w:sz w:val="21"/>
        </w:rPr>
        <w:t>change rates.</w:t>
      </w:r>
      <w:r>
        <w:rPr>
          <w:rFonts w:ascii="Times New Roman"/>
          <w:color w:val="1C1C1C"/>
          <w:w w:val="105"/>
          <w:position w:val="7"/>
          <w:sz w:val="15"/>
        </w:rPr>
        <w:t>711</w:t>
      </w:r>
    </w:p>
    <w:p w14:paraId="51DE8FF4" w14:textId="77777777" w:rsidR="0010369C" w:rsidRDefault="008E43AE">
      <w:pPr>
        <w:tabs>
          <w:tab w:val="left" w:pos="2652"/>
        </w:tabs>
        <w:spacing w:before="194"/>
        <w:ind w:left="1800"/>
        <w:jc w:val="both"/>
        <w:rPr>
          <w:rFonts w:ascii="Arial"/>
          <w:b/>
          <w:sz w:val="21"/>
        </w:rPr>
      </w:pPr>
      <w:r>
        <w:rPr>
          <w:rFonts w:ascii="Arial"/>
          <w:b/>
          <w:color w:val="080808"/>
          <w:spacing w:val="-5"/>
          <w:sz w:val="21"/>
        </w:rPr>
        <w:t>5.</w:t>
      </w:r>
      <w:r>
        <w:rPr>
          <w:rFonts w:ascii="Arial"/>
          <w:b/>
          <w:color w:val="080808"/>
          <w:sz w:val="21"/>
        </w:rPr>
        <w:tab/>
      </w:r>
      <w:r>
        <w:rPr>
          <w:rFonts w:ascii="Arial"/>
          <w:b/>
          <w:color w:val="080808"/>
          <w:spacing w:val="-2"/>
          <w:sz w:val="21"/>
        </w:rPr>
        <w:t>Conclusion</w:t>
      </w:r>
    </w:p>
    <w:p w14:paraId="51DE8FF5" w14:textId="77777777" w:rsidR="0010369C" w:rsidRDefault="0010369C">
      <w:pPr>
        <w:pStyle w:val="BodyText"/>
        <w:spacing w:before="5"/>
        <w:rPr>
          <w:rFonts w:ascii="Arial"/>
          <w:b/>
          <w:sz w:val="30"/>
        </w:rPr>
      </w:pPr>
    </w:p>
    <w:p w14:paraId="51DE8FF6" w14:textId="77777777" w:rsidR="0010369C" w:rsidRDefault="008E43AE">
      <w:pPr>
        <w:spacing w:line="439" w:lineRule="auto"/>
        <w:ind w:left="235" w:right="578" w:firstLine="1"/>
        <w:jc w:val="both"/>
        <w:rPr>
          <w:rFonts w:ascii="Arial"/>
          <w:sz w:val="21"/>
        </w:rPr>
      </w:pPr>
      <w:r>
        <w:rPr>
          <w:rFonts w:ascii="Arial"/>
          <w:color w:val="1C1C1C"/>
          <w:w w:val="105"/>
          <w:sz w:val="21"/>
        </w:rPr>
        <w:t>613.</w:t>
      </w:r>
      <w:r>
        <w:rPr>
          <w:rFonts w:ascii="Arial"/>
          <w:color w:val="1C1C1C"/>
          <w:spacing w:val="40"/>
          <w:w w:val="105"/>
          <w:sz w:val="21"/>
        </w:rPr>
        <w:t xml:space="preserve">  </w:t>
      </w:r>
      <w:r>
        <w:rPr>
          <w:rFonts w:ascii="Arial"/>
          <w:color w:val="080808"/>
          <w:w w:val="105"/>
          <w:sz w:val="21"/>
        </w:rPr>
        <w:t xml:space="preserve">For the </w:t>
      </w:r>
      <w:r>
        <w:rPr>
          <w:rFonts w:ascii="Arial"/>
          <w:color w:val="1C1C1C"/>
          <w:w w:val="105"/>
          <w:sz w:val="21"/>
        </w:rPr>
        <w:t xml:space="preserve">foregoing reasons, </w:t>
      </w:r>
      <w:r>
        <w:rPr>
          <w:rFonts w:ascii="Arial"/>
          <w:color w:val="080808"/>
          <w:w w:val="105"/>
          <w:sz w:val="21"/>
        </w:rPr>
        <w:t xml:space="preserve">MOFCOM's </w:t>
      </w:r>
      <w:r>
        <w:rPr>
          <w:rFonts w:ascii="Arial"/>
          <w:color w:val="1C1C1C"/>
          <w:w w:val="105"/>
          <w:sz w:val="21"/>
        </w:rPr>
        <w:t xml:space="preserve">examination of the price effects of subject </w:t>
      </w:r>
      <w:r>
        <w:rPr>
          <w:rFonts w:ascii="Arial"/>
          <w:color w:val="080808"/>
          <w:w w:val="105"/>
          <w:sz w:val="21"/>
        </w:rPr>
        <w:t>imports</w:t>
      </w:r>
      <w:r>
        <w:rPr>
          <w:rFonts w:ascii="Arial"/>
          <w:color w:val="080808"/>
          <w:spacing w:val="80"/>
          <w:w w:val="105"/>
          <w:sz w:val="21"/>
        </w:rPr>
        <w:t xml:space="preserve"> </w:t>
      </w:r>
      <w:r>
        <w:rPr>
          <w:rFonts w:ascii="Arial"/>
          <w:color w:val="1C1C1C"/>
          <w:w w:val="105"/>
          <w:sz w:val="21"/>
        </w:rPr>
        <w:t>is</w:t>
      </w:r>
      <w:r>
        <w:rPr>
          <w:rFonts w:ascii="Arial"/>
          <w:color w:val="1C1C1C"/>
          <w:spacing w:val="80"/>
          <w:w w:val="105"/>
          <w:sz w:val="21"/>
        </w:rPr>
        <w:t xml:space="preserve"> </w:t>
      </w:r>
      <w:r>
        <w:rPr>
          <w:rFonts w:ascii="Arial"/>
          <w:color w:val="1C1C1C"/>
          <w:w w:val="105"/>
          <w:sz w:val="21"/>
        </w:rPr>
        <w:t>inconsistent</w:t>
      </w:r>
      <w:r>
        <w:rPr>
          <w:rFonts w:ascii="Arial"/>
          <w:color w:val="1C1C1C"/>
          <w:spacing w:val="80"/>
          <w:w w:val="150"/>
          <w:sz w:val="21"/>
        </w:rPr>
        <w:t xml:space="preserve"> </w:t>
      </w:r>
      <w:r>
        <w:rPr>
          <w:rFonts w:ascii="Arial"/>
          <w:color w:val="1C1C1C"/>
          <w:w w:val="105"/>
          <w:sz w:val="21"/>
        </w:rPr>
        <w:t>with</w:t>
      </w:r>
      <w:r>
        <w:rPr>
          <w:rFonts w:ascii="Arial"/>
          <w:color w:val="1C1C1C"/>
          <w:spacing w:val="80"/>
          <w:w w:val="105"/>
          <w:sz w:val="21"/>
        </w:rPr>
        <w:t xml:space="preserve"> </w:t>
      </w:r>
      <w:r>
        <w:rPr>
          <w:rFonts w:ascii="Arial"/>
          <w:color w:val="1C1C1C"/>
          <w:w w:val="105"/>
          <w:sz w:val="21"/>
        </w:rPr>
        <w:t>China's</w:t>
      </w:r>
      <w:r>
        <w:rPr>
          <w:rFonts w:ascii="Arial"/>
          <w:color w:val="1C1C1C"/>
          <w:spacing w:val="80"/>
          <w:w w:val="105"/>
          <w:sz w:val="21"/>
        </w:rPr>
        <w:t xml:space="preserve"> </w:t>
      </w:r>
      <w:r>
        <w:rPr>
          <w:rFonts w:ascii="Arial"/>
          <w:color w:val="1C1C1C"/>
          <w:w w:val="105"/>
          <w:sz w:val="21"/>
        </w:rPr>
        <w:t>obligations</w:t>
      </w:r>
      <w:r>
        <w:rPr>
          <w:rFonts w:ascii="Arial"/>
          <w:color w:val="1C1C1C"/>
          <w:spacing w:val="80"/>
          <w:w w:val="105"/>
          <w:sz w:val="21"/>
        </w:rPr>
        <w:t xml:space="preserve"> </w:t>
      </w:r>
      <w:r>
        <w:rPr>
          <w:rFonts w:ascii="Arial"/>
          <w:color w:val="1C1C1C"/>
          <w:w w:val="105"/>
          <w:sz w:val="21"/>
        </w:rPr>
        <w:t>under</w:t>
      </w:r>
      <w:r>
        <w:rPr>
          <w:rFonts w:ascii="Arial"/>
          <w:color w:val="1C1C1C"/>
          <w:spacing w:val="80"/>
          <w:w w:val="105"/>
          <w:sz w:val="21"/>
        </w:rPr>
        <w:t xml:space="preserve"> </w:t>
      </w:r>
      <w:r>
        <w:rPr>
          <w:rFonts w:ascii="Arial"/>
          <w:color w:val="1C1C1C"/>
          <w:w w:val="105"/>
          <w:sz w:val="21"/>
        </w:rPr>
        <w:t>Articles</w:t>
      </w:r>
      <w:r>
        <w:rPr>
          <w:rFonts w:ascii="Arial"/>
          <w:color w:val="1C1C1C"/>
          <w:spacing w:val="80"/>
          <w:w w:val="105"/>
          <w:sz w:val="21"/>
        </w:rPr>
        <w:t xml:space="preserve"> </w:t>
      </w:r>
      <w:r>
        <w:rPr>
          <w:rFonts w:ascii="Arial"/>
          <w:color w:val="1C1C1C"/>
          <w:w w:val="105"/>
          <w:sz w:val="21"/>
        </w:rPr>
        <w:t>3.1</w:t>
      </w:r>
      <w:r>
        <w:rPr>
          <w:rFonts w:ascii="Arial"/>
          <w:color w:val="1C1C1C"/>
          <w:spacing w:val="80"/>
          <w:w w:val="105"/>
          <w:sz w:val="21"/>
        </w:rPr>
        <w:t xml:space="preserve"> </w:t>
      </w:r>
      <w:r>
        <w:rPr>
          <w:rFonts w:ascii="Arial"/>
          <w:color w:val="1C1C1C"/>
          <w:w w:val="105"/>
          <w:sz w:val="21"/>
        </w:rPr>
        <w:t>and</w:t>
      </w:r>
      <w:r>
        <w:rPr>
          <w:rFonts w:ascii="Arial"/>
          <w:color w:val="1C1C1C"/>
          <w:spacing w:val="80"/>
          <w:w w:val="105"/>
          <w:sz w:val="21"/>
        </w:rPr>
        <w:t xml:space="preserve"> </w:t>
      </w:r>
      <w:r>
        <w:rPr>
          <w:rFonts w:ascii="Arial"/>
          <w:color w:val="1C1C1C"/>
          <w:w w:val="105"/>
          <w:sz w:val="21"/>
        </w:rPr>
        <w:t>3.2</w:t>
      </w:r>
      <w:r>
        <w:rPr>
          <w:rFonts w:ascii="Arial"/>
          <w:color w:val="1C1C1C"/>
          <w:spacing w:val="80"/>
          <w:w w:val="105"/>
          <w:sz w:val="21"/>
        </w:rPr>
        <w:t xml:space="preserve"> </w:t>
      </w:r>
      <w:r>
        <w:rPr>
          <w:rFonts w:ascii="Arial"/>
          <w:color w:val="1C1C1C"/>
          <w:w w:val="105"/>
          <w:sz w:val="21"/>
        </w:rPr>
        <w:t>of</w:t>
      </w:r>
      <w:r>
        <w:rPr>
          <w:rFonts w:ascii="Arial"/>
          <w:color w:val="1C1C1C"/>
          <w:spacing w:val="80"/>
          <w:w w:val="150"/>
          <w:sz w:val="21"/>
        </w:rPr>
        <w:t xml:space="preserve"> </w:t>
      </w:r>
      <w:r>
        <w:rPr>
          <w:rFonts w:ascii="Arial"/>
          <w:color w:val="1C1C1C"/>
          <w:w w:val="105"/>
          <w:sz w:val="21"/>
        </w:rPr>
        <w:t>the Anti-Dumping Agreement.</w:t>
      </w:r>
    </w:p>
    <w:p w14:paraId="51DE8FF7" w14:textId="77777777" w:rsidR="0010369C" w:rsidRDefault="008E43AE">
      <w:pPr>
        <w:pStyle w:val="ListParagraph"/>
        <w:numPr>
          <w:ilvl w:val="0"/>
          <w:numId w:val="4"/>
        </w:numPr>
        <w:tabs>
          <w:tab w:val="left" w:pos="1947"/>
        </w:tabs>
        <w:spacing w:before="151" w:line="420" w:lineRule="auto"/>
        <w:ind w:right="576" w:hanging="846"/>
        <w:jc w:val="both"/>
        <w:rPr>
          <w:rFonts w:ascii="Times New Roman"/>
          <w:b/>
          <w:color w:val="080808"/>
          <w:sz w:val="25"/>
        </w:rPr>
      </w:pPr>
      <w:r>
        <w:rPr>
          <w:rFonts w:ascii="Arial"/>
          <w:b/>
          <w:color w:val="080808"/>
          <w:w w:val="110"/>
          <w:sz w:val="19"/>
        </w:rPr>
        <w:t xml:space="preserve">MOFCOM's </w:t>
      </w:r>
      <w:r>
        <w:rPr>
          <w:rFonts w:ascii="Arial"/>
          <w:b/>
          <w:color w:val="080808"/>
          <w:sz w:val="19"/>
        </w:rPr>
        <w:t>EVALUATION OF THE ECONOMIC FACTORS BEARING ON THE STATE</w:t>
      </w:r>
      <w:r>
        <w:rPr>
          <w:rFonts w:ascii="Arial"/>
          <w:b/>
          <w:color w:val="080808"/>
          <w:spacing w:val="-14"/>
          <w:sz w:val="19"/>
        </w:rPr>
        <w:t xml:space="preserve"> </w:t>
      </w:r>
      <w:r>
        <w:rPr>
          <w:rFonts w:ascii="Arial"/>
          <w:b/>
          <w:color w:val="080808"/>
          <w:sz w:val="19"/>
        </w:rPr>
        <w:t>OF</w:t>
      </w:r>
      <w:r>
        <w:rPr>
          <w:rFonts w:ascii="Arial"/>
          <w:b/>
          <w:color w:val="080808"/>
          <w:spacing w:val="-13"/>
          <w:sz w:val="19"/>
        </w:rPr>
        <w:t xml:space="preserve"> </w:t>
      </w:r>
      <w:r>
        <w:rPr>
          <w:rFonts w:ascii="Arial"/>
          <w:b/>
          <w:color w:val="080808"/>
          <w:sz w:val="19"/>
        </w:rPr>
        <w:t>THE</w:t>
      </w:r>
      <w:r>
        <w:rPr>
          <w:rFonts w:ascii="Arial"/>
          <w:b/>
          <w:color w:val="080808"/>
          <w:spacing w:val="-13"/>
          <w:sz w:val="19"/>
        </w:rPr>
        <w:t xml:space="preserve"> </w:t>
      </w:r>
      <w:r>
        <w:rPr>
          <w:rFonts w:ascii="Arial"/>
          <w:b/>
          <w:color w:val="080808"/>
          <w:sz w:val="19"/>
        </w:rPr>
        <w:t>CHINESE</w:t>
      </w:r>
      <w:r>
        <w:rPr>
          <w:rFonts w:ascii="Arial"/>
          <w:b/>
          <w:color w:val="080808"/>
          <w:spacing w:val="-11"/>
          <w:sz w:val="19"/>
        </w:rPr>
        <w:t xml:space="preserve"> </w:t>
      </w:r>
      <w:r>
        <w:rPr>
          <w:rFonts w:ascii="Arial"/>
          <w:b/>
          <w:color w:val="080808"/>
          <w:sz w:val="19"/>
        </w:rPr>
        <w:t>WINE</w:t>
      </w:r>
      <w:r>
        <w:rPr>
          <w:rFonts w:ascii="Arial"/>
          <w:b/>
          <w:color w:val="080808"/>
          <w:spacing w:val="-9"/>
          <w:sz w:val="19"/>
        </w:rPr>
        <w:t xml:space="preserve"> </w:t>
      </w:r>
      <w:r>
        <w:rPr>
          <w:rFonts w:ascii="Arial"/>
          <w:b/>
          <w:color w:val="080808"/>
          <w:sz w:val="19"/>
        </w:rPr>
        <w:t>INDUSTRY</w:t>
      </w:r>
      <w:r>
        <w:rPr>
          <w:rFonts w:ascii="Arial"/>
          <w:b/>
          <w:color w:val="080808"/>
          <w:spacing w:val="-2"/>
          <w:sz w:val="19"/>
        </w:rPr>
        <w:t xml:space="preserve"> </w:t>
      </w:r>
      <w:r>
        <w:rPr>
          <w:rFonts w:ascii="Arial"/>
          <w:b/>
          <w:color w:val="080808"/>
          <w:sz w:val="19"/>
        </w:rPr>
        <w:t>IS</w:t>
      </w:r>
      <w:r>
        <w:rPr>
          <w:rFonts w:ascii="Arial"/>
          <w:b/>
          <w:color w:val="080808"/>
          <w:spacing w:val="-13"/>
          <w:sz w:val="19"/>
        </w:rPr>
        <w:t xml:space="preserve"> </w:t>
      </w:r>
      <w:r>
        <w:rPr>
          <w:rFonts w:ascii="Arial"/>
          <w:b/>
          <w:color w:val="080808"/>
          <w:sz w:val="19"/>
        </w:rPr>
        <w:t>INCONSISTENT</w:t>
      </w:r>
      <w:r>
        <w:rPr>
          <w:rFonts w:ascii="Arial"/>
          <w:b/>
          <w:color w:val="080808"/>
          <w:spacing w:val="-2"/>
          <w:sz w:val="19"/>
        </w:rPr>
        <w:t xml:space="preserve"> </w:t>
      </w:r>
      <w:r>
        <w:rPr>
          <w:rFonts w:ascii="Arial"/>
          <w:b/>
          <w:color w:val="080808"/>
          <w:sz w:val="19"/>
        </w:rPr>
        <w:t>WITH</w:t>
      </w:r>
      <w:r>
        <w:rPr>
          <w:rFonts w:ascii="Arial"/>
          <w:b/>
          <w:color w:val="080808"/>
          <w:spacing w:val="-10"/>
          <w:sz w:val="19"/>
        </w:rPr>
        <w:t xml:space="preserve"> </w:t>
      </w:r>
      <w:r>
        <w:rPr>
          <w:rFonts w:ascii="Arial"/>
          <w:b/>
          <w:color w:val="080808"/>
          <w:sz w:val="19"/>
        </w:rPr>
        <w:t>ARTICLES</w:t>
      </w:r>
      <w:r>
        <w:rPr>
          <w:rFonts w:ascii="Arial"/>
          <w:b/>
          <w:color w:val="080808"/>
          <w:spacing w:val="-5"/>
          <w:sz w:val="19"/>
        </w:rPr>
        <w:t xml:space="preserve"> </w:t>
      </w:r>
      <w:r>
        <w:rPr>
          <w:rFonts w:ascii="Times New Roman"/>
          <w:b/>
          <w:color w:val="080808"/>
          <w:sz w:val="26"/>
        </w:rPr>
        <w:t xml:space="preserve">3.1 </w:t>
      </w:r>
      <w:r>
        <w:rPr>
          <w:rFonts w:ascii="Arial"/>
          <w:b/>
          <w:color w:val="080808"/>
          <w:sz w:val="19"/>
        </w:rPr>
        <w:t xml:space="preserve">AND </w:t>
      </w:r>
      <w:r>
        <w:rPr>
          <w:rFonts w:ascii="Times New Roman"/>
          <w:b/>
          <w:color w:val="080808"/>
          <w:sz w:val="26"/>
        </w:rPr>
        <w:t xml:space="preserve">3.4 </w:t>
      </w:r>
      <w:r>
        <w:rPr>
          <w:rFonts w:ascii="Arial"/>
          <w:b/>
          <w:color w:val="080808"/>
          <w:sz w:val="19"/>
        </w:rPr>
        <w:t>OF THE ANTI-DUMPING AGREEMENT</w:t>
      </w:r>
    </w:p>
    <w:p w14:paraId="51DE8FF8" w14:textId="77777777" w:rsidR="0010369C" w:rsidRDefault="008E43AE">
      <w:pPr>
        <w:pStyle w:val="ListParagraph"/>
        <w:numPr>
          <w:ilvl w:val="0"/>
          <w:numId w:val="4"/>
        </w:numPr>
        <w:tabs>
          <w:tab w:val="left" w:pos="2658"/>
          <w:tab w:val="left" w:pos="2659"/>
        </w:tabs>
        <w:spacing w:before="161"/>
        <w:ind w:left="2658" w:hanging="856"/>
        <w:jc w:val="both"/>
        <w:rPr>
          <w:rFonts w:ascii="Arial"/>
          <w:b/>
          <w:color w:val="080808"/>
          <w:sz w:val="21"/>
        </w:rPr>
      </w:pPr>
      <w:r>
        <w:rPr>
          <w:rFonts w:ascii="Arial"/>
          <w:b/>
          <w:color w:val="080808"/>
          <w:spacing w:val="-2"/>
          <w:sz w:val="21"/>
        </w:rPr>
        <w:t>Introduction</w:t>
      </w:r>
    </w:p>
    <w:p w14:paraId="51DE8FF9" w14:textId="77777777" w:rsidR="0010369C" w:rsidRDefault="0010369C">
      <w:pPr>
        <w:pStyle w:val="BodyText"/>
        <w:spacing w:before="4"/>
        <w:rPr>
          <w:rFonts w:ascii="Arial"/>
          <w:b/>
          <w:sz w:val="31"/>
        </w:rPr>
      </w:pPr>
    </w:p>
    <w:p w14:paraId="51DE8FFA" w14:textId="77777777" w:rsidR="0010369C" w:rsidRDefault="008E43AE">
      <w:pPr>
        <w:spacing w:line="434" w:lineRule="auto"/>
        <w:ind w:left="231" w:right="579" w:firstLine="5"/>
        <w:jc w:val="both"/>
        <w:rPr>
          <w:rFonts w:ascii="Arial"/>
          <w:sz w:val="21"/>
        </w:rPr>
      </w:pPr>
      <w:r>
        <w:rPr>
          <w:rFonts w:ascii="Arial"/>
          <w:color w:val="1C1C1C"/>
          <w:w w:val="105"/>
          <w:sz w:val="21"/>
        </w:rPr>
        <w:t>614.</w:t>
      </w:r>
      <w:r>
        <w:rPr>
          <w:rFonts w:ascii="Arial"/>
          <w:color w:val="1C1C1C"/>
          <w:spacing w:val="80"/>
          <w:w w:val="105"/>
          <w:sz w:val="21"/>
        </w:rPr>
        <w:t xml:space="preserve">  </w:t>
      </w:r>
      <w:r>
        <w:rPr>
          <w:rFonts w:ascii="Arial"/>
          <w:color w:val="1C1C1C"/>
          <w:w w:val="105"/>
          <w:sz w:val="21"/>
        </w:rPr>
        <w:t>As set out</w:t>
      </w:r>
      <w:r>
        <w:rPr>
          <w:rFonts w:ascii="Arial"/>
          <w:color w:val="1C1C1C"/>
          <w:spacing w:val="40"/>
          <w:w w:val="105"/>
          <w:sz w:val="21"/>
        </w:rPr>
        <w:t xml:space="preserve"> </w:t>
      </w:r>
      <w:r>
        <w:rPr>
          <w:rFonts w:ascii="Arial"/>
          <w:color w:val="080808"/>
          <w:w w:val="105"/>
          <w:sz w:val="21"/>
        </w:rPr>
        <w:t xml:space="preserve">in </w:t>
      </w:r>
      <w:r>
        <w:rPr>
          <w:rFonts w:ascii="Arial"/>
          <w:color w:val="1C1C1C"/>
          <w:w w:val="105"/>
          <w:sz w:val="21"/>
        </w:rPr>
        <w:t>section</w:t>
      </w:r>
      <w:r>
        <w:rPr>
          <w:rFonts w:ascii="Arial"/>
          <w:color w:val="1C1C1C"/>
          <w:spacing w:val="-5"/>
          <w:w w:val="105"/>
          <w:sz w:val="21"/>
        </w:rPr>
        <w:t xml:space="preserve"> </w:t>
      </w:r>
      <w:r>
        <w:rPr>
          <w:rFonts w:ascii="Arial"/>
          <w:color w:val="080808"/>
          <w:w w:val="105"/>
          <w:sz w:val="21"/>
        </w:rPr>
        <w:t xml:space="preserve">Ill </w:t>
      </w:r>
      <w:r>
        <w:rPr>
          <w:rFonts w:ascii="Arial"/>
          <w:color w:val="1C1C1C"/>
          <w:w w:val="105"/>
          <w:sz w:val="21"/>
        </w:rPr>
        <w:t xml:space="preserve">above, </w:t>
      </w:r>
      <w:r>
        <w:rPr>
          <w:rFonts w:ascii="Arial"/>
          <w:color w:val="080808"/>
          <w:w w:val="105"/>
          <w:sz w:val="21"/>
        </w:rPr>
        <w:t xml:space="preserve">MOFCOM's </w:t>
      </w:r>
      <w:r>
        <w:rPr>
          <w:rFonts w:ascii="Arial"/>
          <w:color w:val="1C1C1C"/>
          <w:w w:val="105"/>
          <w:sz w:val="21"/>
        </w:rPr>
        <w:t xml:space="preserve">errors in </w:t>
      </w:r>
      <w:r>
        <w:rPr>
          <w:rFonts w:ascii="Arial"/>
          <w:color w:val="080808"/>
          <w:w w:val="105"/>
          <w:sz w:val="21"/>
        </w:rPr>
        <w:t>defining</w:t>
      </w:r>
      <w:r>
        <w:rPr>
          <w:rFonts w:ascii="Arial"/>
          <w:color w:val="080808"/>
          <w:spacing w:val="-5"/>
          <w:w w:val="105"/>
          <w:sz w:val="21"/>
        </w:rPr>
        <w:t xml:space="preserve"> </w:t>
      </w:r>
      <w:r>
        <w:rPr>
          <w:rFonts w:ascii="Arial"/>
          <w:color w:val="080808"/>
          <w:w w:val="105"/>
          <w:sz w:val="21"/>
        </w:rPr>
        <w:t xml:space="preserve">the domestic </w:t>
      </w:r>
      <w:r>
        <w:rPr>
          <w:rFonts w:ascii="Arial"/>
          <w:color w:val="1C1C1C"/>
          <w:w w:val="105"/>
          <w:sz w:val="21"/>
        </w:rPr>
        <w:t xml:space="preserve">industry </w:t>
      </w:r>
      <w:r>
        <w:rPr>
          <w:rFonts w:ascii="Arial"/>
          <w:color w:val="080808"/>
          <w:w w:val="105"/>
          <w:sz w:val="21"/>
        </w:rPr>
        <w:t xml:space="preserve">under </w:t>
      </w:r>
      <w:r>
        <w:rPr>
          <w:rFonts w:ascii="Arial"/>
          <w:color w:val="1C1C1C"/>
          <w:w w:val="105"/>
          <w:sz w:val="21"/>
        </w:rPr>
        <w:t xml:space="preserve">Article 4.1 of </w:t>
      </w:r>
      <w:r>
        <w:rPr>
          <w:rFonts w:ascii="Arial"/>
          <w:color w:val="080808"/>
          <w:w w:val="105"/>
          <w:sz w:val="21"/>
        </w:rPr>
        <w:t xml:space="preserve">the </w:t>
      </w:r>
      <w:r>
        <w:rPr>
          <w:rFonts w:ascii="Arial"/>
          <w:color w:val="1C1C1C"/>
          <w:w w:val="105"/>
          <w:sz w:val="21"/>
        </w:rPr>
        <w:t>Anti-Dumping Agreement are fatal to its analysis of the</w:t>
      </w:r>
      <w:r>
        <w:rPr>
          <w:rFonts w:ascii="Arial"/>
          <w:color w:val="1C1C1C"/>
          <w:spacing w:val="40"/>
          <w:w w:val="105"/>
          <w:sz w:val="21"/>
        </w:rPr>
        <w:t xml:space="preserve"> </w:t>
      </w:r>
      <w:r>
        <w:rPr>
          <w:rFonts w:ascii="Arial"/>
          <w:color w:val="1C1C1C"/>
          <w:w w:val="105"/>
          <w:sz w:val="21"/>
        </w:rPr>
        <w:t xml:space="preserve">economic factors </w:t>
      </w:r>
      <w:r>
        <w:rPr>
          <w:rFonts w:ascii="Arial"/>
          <w:color w:val="080808"/>
          <w:w w:val="105"/>
          <w:sz w:val="21"/>
        </w:rPr>
        <w:t>bearing</w:t>
      </w:r>
      <w:r>
        <w:rPr>
          <w:rFonts w:ascii="Arial"/>
          <w:color w:val="080808"/>
          <w:spacing w:val="-11"/>
          <w:w w:val="105"/>
          <w:sz w:val="21"/>
        </w:rPr>
        <w:t xml:space="preserve"> </w:t>
      </w:r>
      <w:r>
        <w:rPr>
          <w:rFonts w:ascii="Arial"/>
          <w:color w:val="1C1C1C"/>
          <w:w w:val="105"/>
          <w:sz w:val="21"/>
        </w:rPr>
        <w:t xml:space="preserve">on </w:t>
      </w:r>
      <w:r>
        <w:rPr>
          <w:rFonts w:ascii="Arial"/>
          <w:color w:val="080808"/>
          <w:w w:val="105"/>
          <w:sz w:val="21"/>
        </w:rPr>
        <w:t>the</w:t>
      </w:r>
      <w:r>
        <w:rPr>
          <w:rFonts w:ascii="Arial"/>
          <w:color w:val="080808"/>
          <w:spacing w:val="40"/>
          <w:w w:val="105"/>
          <w:sz w:val="21"/>
        </w:rPr>
        <w:t xml:space="preserve"> </w:t>
      </w:r>
      <w:r>
        <w:rPr>
          <w:rFonts w:ascii="Arial"/>
          <w:color w:val="1C1C1C"/>
          <w:w w:val="105"/>
          <w:sz w:val="21"/>
        </w:rPr>
        <w:t xml:space="preserve">state of </w:t>
      </w:r>
      <w:r>
        <w:rPr>
          <w:rFonts w:ascii="Arial"/>
          <w:color w:val="080808"/>
          <w:w w:val="105"/>
          <w:sz w:val="21"/>
        </w:rPr>
        <w:t xml:space="preserve">the </w:t>
      </w:r>
      <w:r>
        <w:rPr>
          <w:rFonts w:ascii="Arial"/>
          <w:color w:val="1C1C1C"/>
          <w:w w:val="105"/>
          <w:sz w:val="21"/>
        </w:rPr>
        <w:t xml:space="preserve">Chinese wine industry </w:t>
      </w:r>
      <w:r>
        <w:rPr>
          <w:rFonts w:ascii="Arial"/>
          <w:color w:val="080808"/>
          <w:w w:val="105"/>
          <w:sz w:val="21"/>
        </w:rPr>
        <w:t xml:space="preserve">under </w:t>
      </w:r>
      <w:r>
        <w:rPr>
          <w:rFonts w:ascii="Arial"/>
          <w:color w:val="1C1C1C"/>
          <w:w w:val="105"/>
          <w:sz w:val="21"/>
        </w:rPr>
        <w:t>Article 3.4.</w:t>
      </w:r>
    </w:p>
    <w:p w14:paraId="51DE8FFB" w14:textId="77777777" w:rsidR="0010369C" w:rsidRDefault="008E43AE">
      <w:pPr>
        <w:spacing w:before="172" w:line="436" w:lineRule="auto"/>
        <w:ind w:left="235" w:right="577" w:firstLine="1"/>
        <w:jc w:val="both"/>
        <w:rPr>
          <w:rFonts w:ascii="Arial"/>
          <w:sz w:val="21"/>
        </w:rPr>
      </w:pPr>
      <w:r>
        <w:rPr>
          <w:rFonts w:ascii="Arial"/>
          <w:color w:val="1C1C1C"/>
          <w:w w:val="105"/>
          <w:sz w:val="21"/>
        </w:rPr>
        <w:t>615.</w:t>
      </w:r>
      <w:r>
        <w:rPr>
          <w:rFonts w:ascii="Arial"/>
          <w:color w:val="1C1C1C"/>
          <w:spacing w:val="80"/>
          <w:w w:val="150"/>
          <w:sz w:val="21"/>
        </w:rPr>
        <w:t xml:space="preserve">  </w:t>
      </w:r>
      <w:r>
        <w:rPr>
          <w:rFonts w:ascii="Arial"/>
          <w:color w:val="080808"/>
          <w:w w:val="105"/>
          <w:sz w:val="21"/>
        </w:rPr>
        <w:t>Further,</w:t>
      </w:r>
      <w:r>
        <w:rPr>
          <w:rFonts w:ascii="Arial"/>
          <w:color w:val="080808"/>
          <w:spacing w:val="-10"/>
          <w:w w:val="105"/>
          <w:sz w:val="21"/>
        </w:rPr>
        <w:t xml:space="preserve"> </w:t>
      </w:r>
      <w:r>
        <w:rPr>
          <w:rFonts w:ascii="Arial"/>
          <w:color w:val="1C1C1C"/>
          <w:w w:val="105"/>
          <w:sz w:val="21"/>
        </w:rPr>
        <w:t>even</w:t>
      </w:r>
      <w:r>
        <w:rPr>
          <w:rFonts w:ascii="Arial"/>
          <w:color w:val="1C1C1C"/>
          <w:spacing w:val="-1"/>
          <w:w w:val="105"/>
          <w:sz w:val="21"/>
        </w:rPr>
        <w:t xml:space="preserve"> </w:t>
      </w:r>
      <w:r>
        <w:rPr>
          <w:rFonts w:ascii="Arial"/>
          <w:color w:val="080808"/>
          <w:w w:val="105"/>
          <w:sz w:val="21"/>
        </w:rPr>
        <w:t xml:space="preserve">if </w:t>
      </w:r>
      <w:r>
        <w:rPr>
          <w:rFonts w:ascii="Arial"/>
          <w:color w:val="1C1C1C"/>
          <w:w w:val="105"/>
          <w:sz w:val="21"/>
        </w:rPr>
        <w:t>the</w:t>
      </w:r>
      <w:r>
        <w:rPr>
          <w:rFonts w:ascii="Arial"/>
          <w:color w:val="1C1C1C"/>
          <w:spacing w:val="31"/>
          <w:w w:val="105"/>
          <w:sz w:val="21"/>
        </w:rPr>
        <w:t xml:space="preserve"> </w:t>
      </w:r>
      <w:r>
        <w:rPr>
          <w:rFonts w:ascii="Arial"/>
          <w:color w:val="080808"/>
          <w:w w:val="105"/>
          <w:sz w:val="21"/>
        </w:rPr>
        <w:t>data relied</w:t>
      </w:r>
      <w:r>
        <w:rPr>
          <w:rFonts w:ascii="Arial"/>
          <w:color w:val="080808"/>
          <w:spacing w:val="-1"/>
          <w:w w:val="105"/>
          <w:sz w:val="21"/>
        </w:rPr>
        <w:t xml:space="preserve"> </w:t>
      </w:r>
      <w:r>
        <w:rPr>
          <w:rFonts w:ascii="Arial"/>
          <w:color w:val="080808"/>
          <w:w w:val="105"/>
          <w:sz w:val="21"/>
        </w:rPr>
        <w:t>upon</w:t>
      </w:r>
      <w:r>
        <w:rPr>
          <w:rFonts w:ascii="Arial"/>
          <w:color w:val="080808"/>
          <w:spacing w:val="-6"/>
          <w:w w:val="105"/>
          <w:sz w:val="21"/>
        </w:rPr>
        <w:t xml:space="preserve"> </w:t>
      </w:r>
      <w:r>
        <w:rPr>
          <w:rFonts w:ascii="Arial"/>
          <w:color w:val="080808"/>
          <w:w w:val="105"/>
          <w:sz w:val="21"/>
        </w:rPr>
        <w:t>by</w:t>
      </w:r>
      <w:r>
        <w:rPr>
          <w:rFonts w:ascii="Arial"/>
          <w:color w:val="080808"/>
          <w:spacing w:val="-8"/>
          <w:w w:val="105"/>
          <w:sz w:val="21"/>
        </w:rPr>
        <w:t xml:space="preserve"> </w:t>
      </w:r>
      <w:r>
        <w:rPr>
          <w:rFonts w:ascii="Arial"/>
          <w:color w:val="080808"/>
          <w:w w:val="105"/>
          <w:sz w:val="21"/>
        </w:rPr>
        <w:t xml:space="preserve">MOFCOM </w:t>
      </w:r>
      <w:r>
        <w:rPr>
          <w:rFonts w:ascii="Arial"/>
          <w:color w:val="1C1C1C"/>
          <w:w w:val="105"/>
          <w:sz w:val="21"/>
        </w:rPr>
        <w:t>was</w:t>
      </w:r>
      <w:r>
        <w:rPr>
          <w:rFonts w:ascii="Arial"/>
          <w:color w:val="1C1C1C"/>
          <w:spacing w:val="-7"/>
          <w:w w:val="105"/>
          <w:sz w:val="21"/>
        </w:rPr>
        <w:t xml:space="preserve"> </w:t>
      </w:r>
      <w:r>
        <w:rPr>
          <w:rFonts w:ascii="Arial"/>
          <w:color w:val="080808"/>
          <w:w w:val="105"/>
          <w:sz w:val="21"/>
        </w:rPr>
        <w:t>reliable,</w:t>
      </w:r>
      <w:r>
        <w:rPr>
          <w:rFonts w:ascii="Arial"/>
          <w:color w:val="080808"/>
          <w:spacing w:val="-8"/>
          <w:w w:val="105"/>
          <w:sz w:val="21"/>
        </w:rPr>
        <w:t xml:space="preserve"> </w:t>
      </w:r>
      <w:r>
        <w:rPr>
          <w:rFonts w:ascii="Arial"/>
          <w:color w:val="080808"/>
          <w:w w:val="105"/>
          <w:sz w:val="21"/>
        </w:rPr>
        <w:t xml:space="preserve">MOFCOM's </w:t>
      </w:r>
      <w:r>
        <w:rPr>
          <w:rFonts w:ascii="Arial"/>
          <w:color w:val="1C1C1C"/>
          <w:w w:val="105"/>
          <w:sz w:val="21"/>
        </w:rPr>
        <w:t>analysis of</w:t>
      </w:r>
      <w:r>
        <w:rPr>
          <w:rFonts w:ascii="Arial"/>
          <w:color w:val="1C1C1C"/>
          <w:spacing w:val="40"/>
          <w:w w:val="105"/>
          <w:sz w:val="21"/>
        </w:rPr>
        <w:t xml:space="preserve"> </w:t>
      </w:r>
      <w:r>
        <w:rPr>
          <w:rFonts w:ascii="Arial"/>
          <w:color w:val="1C1C1C"/>
          <w:w w:val="105"/>
          <w:sz w:val="21"/>
        </w:rPr>
        <w:t>the</w:t>
      </w:r>
      <w:r>
        <w:rPr>
          <w:rFonts w:ascii="Arial"/>
          <w:color w:val="1C1C1C"/>
          <w:spacing w:val="40"/>
          <w:w w:val="105"/>
          <w:sz w:val="21"/>
        </w:rPr>
        <w:t xml:space="preserve"> </w:t>
      </w:r>
      <w:r>
        <w:rPr>
          <w:rFonts w:ascii="Arial"/>
          <w:color w:val="1C1C1C"/>
          <w:w w:val="105"/>
          <w:sz w:val="21"/>
        </w:rPr>
        <w:t>economic factors having a bearing on the</w:t>
      </w:r>
      <w:r>
        <w:rPr>
          <w:rFonts w:ascii="Arial"/>
          <w:color w:val="1C1C1C"/>
          <w:spacing w:val="40"/>
          <w:w w:val="105"/>
          <w:sz w:val="21"/>
        </w:rPr>
        <w:t xml:space="preserve"> </w:t>
      </w:r>
      <w:r>
        <w:rPr>
          <w:rFonts w:ascii="Arial"/>
          <w:color w:val="1C1C1C"/>
          <w:w w:val="105"/>
          <w:sz w:val="21"/>
        </w:rPr>
        <w:t>domestic industry is inconsistent</w:t>
      </w:r>
      <w:r>
        <w:rPr>
          <w:rFonts w:ascii="Arial"/>
          <w:color w:val="1C1C1C"/>
          <w:spacing w:val="40"/>
          <w:w w:val="105"/>
          <w:sz w:val="21"/>
        </w:rPr>
        <w:t xml:space="preserve"> </w:t>
      </w:r>
      <w:r>
        <w:rPr>
          <w:rFonts w:ascii="Arial"/>
          <w:color w:val="1C1C1C"/>
          <w:w w:val="105"/>
          <w:sz w:val="21"/>
        </w:rPr>
        <w:t>with Articles</w:t>
      </w:r>
      <w:r>
        <w:rPr>
          <w:rFonts w:ascii="Arial"/>
          <w:color w:val="1C1C1C"/>
          <w:spacing w:val="-16"/>
          <w:w w:val="105"/>
          <w:sz w:val="21"/>
        </w:rPr>
        <w:t xml:space="preserve"> </w:t>
      </w:r>
      <w:r>
        <w:rPr>
          <w:rFonts w:ascii="Arial"/>
          <w:color w:val="1C1C1C"/>
          <w:w w:val="105"/>
          <w:sz w:val="21"/>
        </w:rPr>
        <w:t>3.1</w:t>
      </w:r>
      <w:r>
        <w:rPr>
          <w:rFonts w:ascii="Arial"/>
          <w:color w:val="1C1C1C"/>
          <w:spacing w:val="-15"/>
          <w:w w:val="105"/>
          <w:sz w:val="21"/>
        </w:rPr>
        <w:t xml:space="preserve"> </w:t>
      </w:r>
      <w:r>
        <w:rPr>
          <w:rFonts w:ascii="Arial"/>
          <w:color w:val="1C1C1C"/>
          <w:w w:val="105"/>
          <w:sz w:val="21"/>
        </w:rPr>
        <w:t>and</w:t>
      </w:r>
      <w:r>
        <w:rPr>
          <w:rFonts w:ascii="Arial"/>
          <w:color w:val="1C1C1C"/>
          <w:spacing w:val="-14"/>
          <w:w w:val="105"/>
          <w:sz w:val="21"/>
        </w:rPr>
        <w:t xml:space="preserve"> </w:t>
      </w:r>
      <w:r>
        <w:rPr>
          <w:rFonts w:ascii="Arial"/>
          <w:color w:val="1C1C1C"/>
          <w:w w:val="105"/>
          <w:sz w:val="21"/>
        </w:rPr>
        <w:t>3.4</w:t>
      </w:r>
      <w:r>
        <w:rPr>
          <w:rFonts w:ascii="Arial"/>
          <w:color w:val="1C1C1C"/>
          <w:spacing w:val="-15"/>
          <w:w w:val="105"/>
          <w:sz w:val="21"/>
        </w:rPr>
        <w:t xml:space="preserve"> </w:t>
      </w:r>
      <w:r>
        <w:rPr>
          <w:rFonts w:ascii="Arial"/>
          <w:color w:val="1C1C1C"/>
          <w:w w:val="105"/>
          <w:sz w:val="21"/>
        </w:rPr>
        <w:t>of the</w:t>
      </w:r>
      <w:r>
        <w:rPr>
          <w:rFonts w:ascii="Arial"/>
          <w:color w:val="1C1C1C"/>
          <w:spacing w:val="17"/>
          <w:w w:val="105"/>
          <w:sz w:val="21"/>
        </w:rPr>
        <w:t xml:space="preserve"> </w:t>
      </w:r>
      <w:r>
        <w:rPr>
          <w:rFonts w:ascii="Arial"/>
          <w:color w:val="1C1C1C"/>
          <w:w w:val="105"/>
          <w:sz w:val="21"/>
        </w:rPr>
        <w:t>Anti-Dumping</w:t>
      </w:r>
      <w:r>
        <w:rPr>
          <w:rFonts w:ascii="Arial"/>
          <w:color w:val="1C1C1C"/>
          <w:spacing w:val="-10"/>
          <w:w w:val="105"/>
          <w:sz w:val="21"/>
        </w:rPr>
        <w:t xml:space="preserve"> </w:t>
      </w:r>
      <w:r>
        <w:rPr>
          <w:rFonts w:ascii="Arial"/>
          <w:color w:val="1C1C1C"/>
          <w:w w:val="105"/>
          <w:sz w:val="21"/>
        </w:rPr>
        <w:t xml:space="preserve">Agreement </w:t>
      </w:r>
      <w:r>
        <w:rPr>
          <w:rFonts w:ascii="Arial"/>
          <w:color w:val="080808"/>
          <w:w w:val="105"/>
          <w:sz w:val="21"/>
        </w:rPr>
        <w:t>because</w:t>
      </w:r>
      <w:r>
        <w:rPr>
          <w:rFonts w:ascii="Arial"/>
          <w:color w:val="080808"/>
          <w:spacing w:val="-5"/>
          <w:w w:val="105"/>
          <w:sz w:val="21"/>
        </w:rPr>
        <w:t xml:space="preserve"> </w:t>
      </w:r>
      <w:r>
        <w:rPr>
          <w:rFonts w:ascii="Arial"/>
          <w:color w:val="1C1C1C"/>
          <w:w w:val="105"/>
          <w:sz w:val="21"/>
        </w:rPr>
        <w:t>(i)</w:t>
      </w:r>
      <w:r>
        <w:rPr>
          <w:rFonts w:ascii="Arial"/>
          <w:color w:val="1C1C1C"/>
          <w:spacing w:val="19"/>
          <w:w w:val="105"/>
          <w:sz w:val="21"/>
        </w:rPr>
        <w:t xml:space="preserve"> </w:t>
      </w:r>
      <w:r>
        <w:rPr>
          <w:rFonts w:ascii="Arial"/>
          <w:color w:val="1C1C1C"/>
          <w:w w:val="105"/>
          <w:sz w:val="21"/>
        </w:rPr>
        <w:t>MOFCOM's evaluation was</w:t>
      </w:r>
      <w:r>
        <w:rPr>
          <w:rFonts w:ascii="Arial"/>
          <w:color w:val="1C1C1C"/>
          <w:spacing w:val="-16"/>
          <w:w w:val="105"/>
          <w:sz w:val="21"/>
        </w:rPr>
        <w:t xml:space="preserve"> </w:t>
      </w:r>
      <w:r>
        <w:rPr>
          <w:rFonts w:ascii="Arial"/>
          <w:color w:val="1C1C1C"/>
          <w:w w:val="105"/>
          <w:sz w:val="21"/>
        </w:rPr>
        <w:t xml:space="preserve">a </w:t>
      </w:r>
      <w:r>
        <w:rPr>
          <w:rFonts w:ascii="Arial"/>
          <w:color w:val="080808"/>
          <w:w w:val="105"/>
          <w:sz w:val="21"/>
        </w:rPr>
        <w:t xml:space="preserve">mechanical </w:t>
      </w:r>
      <w:r>
        <w:rPr>
          <w:rFonts w:ascii="Arial"/>
          <w:color w:val="1C1C1C"/>
          <w:w w:val="105"/>
          <w:sz w:val="21"/>
        </w:rPr>
        <w:t xml:space="preserve">exercise that </w:t>
      </w:r>
      <w:r>
        <w:rPr>
          <w:rFonts w:ascii="Arial"/>
          <w:color w:val="080808"/>
          <w:w w:val="105"/>
          <w:sz w:val="21"/>
        </w:rPr>
        <w:t xml:space="preserve">did </w:t>
      </w:r>
      <w:r>
        <w:rPr>
          <w:rFonts w:ascii="Arial"/>
          <w:color w:val="1C1C1C"/>
          <w:w w:val="105"/>
          <w:sz w:val="21"/>
        </w:rPr>
        <w:t xml:space="preserve">not </w:t>
      </w:r>
      <w:r>
        <w:rPr>
          <w:rFonts w:ascii="Arial"/>
          <w:color w:val="080808"/>
          <w:w w:val="105"/>
          <w:sz w:val="21"/>
        </w:rPr>
        <w:t xml:space="preserve">properly </w:t>
      </w:r>
      <w:r>
        <w:rPr>
          <w:rFonts w:ascii="Arial"/>
          <w:color w:val="1C1C1C"/>
          <w:w w:val="105"/>
          <w:sz w:val="21"/>
        </w:rPr>
        <w:t xml:space="preserve">examine </w:t>
      </w:r>
      <w:r>
        <w:rPr>
          <w:rFonts w:ascii="Arial"/>
          <w:color w:val="080808"/>
          <w:w w:val="105"/>
          <w:sz w:val="21"/>
        </w:rPr>
        <w:t xml:space="preserve">the </w:t>
      </w:r>
      <w:r>
        <w:rPr>
          <w:rFonts w:ascii="Arial"/>
          <w:color w:val="1C1C1C"/>
          <w:w w:val="105"/>
          <w:sz w:val="21"/>
        </w:rPr>
        <w:t xml:space="preserve">explanatory force that Australian imports allegedly had on </w:t>
      </w:r>
      <w:r>
        <w:rPr>
          <w:rFonts w:ascii="Arial"/>
          <w:color w:val="080808"/>
          <w:w w:val="105"/>
          <w:sz w:val="21"/>
        </w:rPr>
        <w:t xml:space="preserve">the </w:t>
      </w:r>
      <w:r>
        <w:rPr>
          <w:rFonts w:ascii="Arial"/>
          <w:color w:val="1C1C1C"/>
          <w:w w:val="105"/>
          <w:sz w:val="21"/>
        </w:rPr>
        <w:t xml:space="preserve">domestic industry; (ii) MOFCOM failed to adequately consider factors affecting domestic prices; and (iii) </w:t>
      </w:r>
      <w:r>
        <w:rPr>
          <w:rFonts w:ascii="Arial"/>
          <w:color w:val="080808"/>
          <w:w w:val="105"/>
          <w:sz w:val="21"/>
        </w:rPr>
        <w:t xml:space="preserve">there </w:t>
      </w:r>
      <w:r>
        <w:rPr>
          <w:rFonts w:ascii="Arial"/>
          <w:color w:val="1C1C1C"/>
          <w:w w:val="105"/>
          <w:sz w:val="21"/>
        </w:rPr>
        <w:t xml:space="preserve">were errors </w:t>
      </w:r>
      <w:r>
        <w:rPr>
          <w:rFonts w:ascii="Arial"/>
          <w:color w:val="080808"/>
          <w:w w:val="105"/>
          <w:sz w:val="21"/>
        </w:rPr>
        <w:t xml:space="preserve">in MOFCOM's </w:t>
      </w:r>
      <w:r>
        <w:rPr>
          <w:rFonts w:ascii="Arial"/>
          <w:color w:val="1C1C1C"/>
          <w:w w:val="105"/>
          <w:sz w:val="21"/>
        </w:rPr>
        <w:t xml:space="preserve">evaluation of </w:t>
      </w:r>
      <w:r>
        <w:rPr>
          <w:rFonts w:ascii="Arial"/>
          <w:color w:val="080808"/>
          <w:w w:val="105"/>
          <w:sz w:val="21"/>
        </w:rPr>
        <w:t xml:space="preserve">the domestic industry </w:t>
      </w:r>
      <w:r>
        <w:rPr>
          <w:rFonts w:ascii="Arial"/>
          <w:color w:val="1C1C1C"/>
          <w:w w:val="105"/>
          <w:sz w:val="21"/>
        </w:rPr>
        <w:t>data.</w:t>
      </w:r>
    </w:p>
    <w:p w14:paraId="51DE8FFC" w14:textId="77777777" w:rsidR="0010369C" w:rsidRDefault="0010369C">
      <w:pPr>
        <w:pStyle w:val="BodyText"/>
        <w:rPr>
          <w:rFonts w:ascii="Arial"/>
          <w:sz w:val="20"/>
        </w:rPr>
      </w:pPr>
    </w:p>
    <w:p w14:paraId="51DE8FFD" w14:textId="77777777" w:rsidR="0010369C" w:rsidRDefault="0010369C">
      <w:pPr>
        <w:pStyle w:val="BodyText"/>
        <w:rPr>
          <w:rFonts w:ascii="Arial"/>
          <w:sz w:val="20"/>
        </w:rPr>
      </w:pPr>
    </w:p>
    <w:p w14:paraId="51DE8FFE" w14:textId="77777777" w:rsidR="0010369C" w:rsidRDefault="0010369C">
      <w:pPr>
        <w:pStyle w:val="BodyText"/>
        <w:rPr>
          <w:rFonts w:ascii="Arial"/>
          <w:sz w:val="20"/>
        </w:rPr>
      </w:pPr>
    </w:p>
    <w:p w14:paraId="51DE8FFF" w14:textId="77777777" w:rsidR="0010369C" w:rsidRDefault="0010369C">
      <w:pPr>
        <w:pStyle w:val="BodyText"/>
        <w:spacing w:before="3"/>
        <w:rPr>
          <w:rFonts w:ascii="Arial"/>
          <w:sz w:val="18"/>
        </w:rPr>
      </w:pPr>
    </w:p>
    <w:p w14:paraId="51DE9000" w14:textId="77777777" w:rsidR="0010369C" w:rsidRDefault="008E43AE">
      <w:pPr>
        <w:spacing w:before="1"/>
        <w:ind w:right="474"/>
        <w:jc w:val="right"/>
        <w:rPr>
          <w:rFonts w:ascii="Arial"/>
          <w:b/>
          <w:sz w:val="17"/>
        </w:rPr>
      </w:pPr>
      <w:r>
        <w:pict w14:anchorId="51DEA4F2">
          <v:group id="docshapegroup1099" o:spid="_x0000_s1282" style="position:absolute;left:0;text-align:left;margin-left:71.25pt;margin-top:-6pt;width:423.45pt;height:18.55pt;z-index:-251290112;mso-position-horizontal-relative:page" coordorigin="1425,-120" coordsize="8469,371">
            <v:shape id="docshape1100" o:spid="_x0000_s1284" type="#_x0000_t75" style="position:absolute;left:1424;top:-121;width:6783;height:371">
              <v:imagedata r:id="rId821" o:title=""/>
            </v:shape>
            <v:line id="_x0000_s1283" style="position:absolute" from="8207,-10" to="9893,-10" strokeweight=".35361mm"/>
            <w10:wrap anchorx="page"/>
          </v:group>
        </w:pict>
      </w:r>
      <w:r>
        <w:rPr>
          <w:rFonts w:ascii="Arial"/>
          <w:b/>
          <w:color w:val="1C1C1C"/>
          <w:w w:val="105"/>
          <w:sz w:val="17"/>
          <w:u w:val="thick" w:color="1C1C1C"/>
        </w:rPr>
        <w:t>(Exhibit</w:t>
      </w:r>
      <w:r>
        <w:rPr>
          <w:rFonts w:ascii="Arial"/>
          <w:b/>
          <w:color w:val="1C1C1C"/>
          <w:spacing w:val="-16"/>
          <w:w w:val="105"/>
          <w:sz w:val="17"/>
          <w:u w:val="thick" w:color="1C1C1C"/>
        </w:rPr>
        <w:t xml:space="preserve"> </w:t>
      </w:r>
      <w:r>
        <w:rPr>
          <w:rFonts w:ascii="Arial"/>
          <w:b/>
          <w:color w:val="1C1C1C"/>
          <w:w w:val="105"/>
          <w:sz w:val="17"/>
          <w:u w:val="thick" w:color="1C1C1C"/>
        </w:rPr>
        <w:t>AUS-65</w:t>
      </w:r>
      <w:r>
        <w:rPr>
          <w:rFonts w:ascii="Arial"/>
          <w:b/>
          <w:color w:val="1C1C1C"/>
          <w:spacing w:val="-8"/>
          <w:w w:val="135"/>
          <w:sz w:val="17"/>
          <w:u w:val="thick" w:color="1C1C1C"/>
        </w:rPr>
        <w:t xml:space="preserve"> </w:t>
      </w:r>
      <w:r>
        <w:rPr>
          <w:rFonts w:ascii="Arial"/>
          <w:b/>
          <w:color w:val="1C1C1C"/>
          <w:w w:val="135"/>
          <w:sz w:val="17"/>
          <w:u w:val="thick" w:color="1C1C1C"/>
        </w:rPr>
        <w:t>BCI)),-</w:t>
      </w:r>
      <w:r>
        <w:rPr>
          <w:rFonts w:ascii="Arial"/>
          <w:b/>
          <w:color w:val="1C1C1C"/>
          <w:spacing w:val="-5"/>
          <w:w w:val="135"/>
          <w:sz w:val="17"/>
          <w:u w:val="thick" w:color="1C1C1C"/>
        </w:rPr>
        <w:t>.])</w:t>
      </w:r>
    </w:p>
    <w:p w14:paraId="51DE9001" w14:textId="77777777" w:rsidR="0010369C" w:rsidRDefault="0010369C">
      <w:pPr>
        <w:jc w:val="right"/>
        <w:rPr>
          <w:rFonts w:ascii="Arial"/>
          <w:sz w:val="17"/>
        </w:rPr>
        <w:sectPr w:rsidR="0010369C">
          <w:headerReference w:type="default" r:id="rId822"/>
          <w:footerReference w:type="default" r:id="rId823"/>
          <w:pgSz w:w="11910" w:h="16840"/>
          <w:pgMar w:top="480" w:right="800" w:bottom="1000" w:left="1180" w:header="0" w:footer="814" w:gutter="0"/>
          <w:cols w:space="720"/>
        </w:sectPr>
      </w:pPr>
    </w:p>
    <w:p w14:paraId="51DE9002" w14:textId="77777777" w:rsidR="0010369C" w:rsidRDefault="008E43AE">
      <w:pPr>
        <w:tabs>
          <w:tab w:val="left" w:pos="6187"/>
        </w:tabs>
        <w:ind w:right="615"/>
        <w:jc w:val="right"/>
        <w:rPr>
          <w:sz w:val="20"/>
        </w:rPr>
      </w:pPr>
      <w:r>
        <w:rPr>
          <w:i/>
          <w:sz w:val="20"/>
        </w:rPr>
        <w:lastRenderedPageBreak/>
        <w:t>China</w:t>
      </w:r>
      <w:r>
        <w:rPr>
          <w:i/>
          <w:spacing w:val="-5"/>
          <w:sz w:val="20"/>
        </w:rPr>
        <w:t xml:space="preserve"> </w:t>
      </w:r>
      <w:r>
        <w:rPr>
          <w:i/>
          <w:sz w:val="20"/>
        </w:rPr>
        <w:t>–</w:t>
      </w:r>
      <w:r>
        <w:rPr>
          <w:i/>
          <w:spacing w:val="-5"/>
          <w:sz w:val="20"/>
        </w:rPr>
        <w:t xml:space="preserve"> </w:t>
      </w:r>
      <w:r>
        <w:rPr>
          <w:i/>
          <w:sz w:val="20"/>
        </w:rPr>
        <w:t>Anti‐Dumping</w:t>
      </w:r>
      <w:r>
        <w:rPr>
          <w:i/>
          <w:spacing w:val="-4"/>
          <w:sz w:val="20"/>
        </w:rPr>
        <w:t xml:space="preserve"> </w:t>
      </w:r>
      <w:r>
        <w:rPr>
          <w:i/>
          <w:sz w:val="20"/>
        </w:rPr>
        <w:t>and</w:t>
      </w:r>
      <w:r>
        <w:rPr>
          <w:i/>
          <w:spacing w:val="-5"/>
          <w:sz w:val="20"/>
        </w:rPr>
        <w:t xml:space="preserve"> </w:t>
      </w:r>
      <w:r>
        <w:rPr>
          <w:i/>
          <w:sz w:val="20"/>
        </w:rPr>
        <w:t>Countervailing</w:t>
      </w:r>
      <w:r>
        <w:rPr>
          <w:i/>
          <w:spacing w:val="-5"/>
          <w:sz w:val="20"/>
        </w:rPr>
        <w:t xml:space="preserve"> </w:t>
      </w:r>
      <w:r>
        <w:rPr>
          <w:i/>
          <w:sz w:val="20"/>
        </w:rPr>
        <w:t>Duty</w:t>
      </w:r>
      <w:r>
        <w:rPr>
          <w:i/>
          <w:spacing w:val="-4"/>
          <w:sz w:val="20"/>
        </w:rPr>
        <w:t xml:space="preserve"> </w:t>
      </w:r>
      <w:r>
        <w:rPr>
          <w:i/>
          <w:spacing w:val="-2"/>
          <w:sz w:val="20"/>
        </w:rPr>
        <w:t>Measures</w:t>
      </w:r>
      <w:r>
        <w:rPr>
          <w:i/>
          <w:sz w:val="20"/>
        </w:rPr>
        <w:tab/>
      </w:r>
      <w:r>
        <w:rPr>
          <w:sz w:val="20"/>
        </w:rPr>
        <w:t>Australia's</w:t>
      </w:r>
      <w:r>
        <w:rPr>
          <w:spacing w:val="-7"/>
          <w:sz w:val="20"/>
        </w:rPr>
        <w:t xml:space="preserve"> </w:t>
      </w:r>
      <w:r>
        <w:rPr>
          <w:sz w:val="20"/>
        </w:rPr>
        <w:t>First</w:t>
      </w:r>
      <w:r>
        <w:rPr>
          <w:spacing w:val="-2"/>
          <w:sz w:val="20"/>
        </w:rPr>
        <w:t xml:space="preserve"> </w:t>
      </w:r>
      <w:r>
        <w:rPr>
          <w:sz w:val="20"/>
        </w:rPr>
        <w:t>Written</w:t>
      </w:r>
      <w:r>
        <w:rPr>
          <w:spacing w:val="-2"/>
          <w:sz w:val="20"/>
        </w:rPr>
        <w:t xml:space="preserve"> Submission</w:t>
      </w:r>
    </w:p>
    <w:p w14:paraId="51DE9003" w14:textId="77777777" w:rsidR="0010369C" w:rsidRDefault="008E43AE">
      <w:pPr>
        <w:tabs>
          <w:tab w:val="left" w:pos="7988"/>
        </w:tabs>
        <w:spacing w:before="1"/>
        <w:ind w:right="611"/>
        <w:jc w:val="right"/>
        <w:rPr>
          <w:sz w:val="20"/>
        </w:rPr>
      </w:pPr>
      <w:r>
        <w:rPr>
          <w:i/>
          <w:sz w:val="20"/>
        </w:rPr>
        <w:t>on</w:t>
      </w:r>
      <w:r>
        <w:rPr>
          <w:i/>
          <w:spacing w:val="-1"/>
          <w:sz w:val="20"/>
        </w:rPr>
        <w:t xml:space="preserve"> </w:t>
      </w:r>
      <w:r>
        <w:rPr>
          <w:i/>
          <w:sz w:val="20"/>
        </w:rPr>
        <w:t>Wine</w:t>
      </w:r>
      <w:r>
        <w:rPr>
          <w:i/>
          <w:spacing w:val="-1"/>
          <w:sz w:val="20"/>
        </w:rPr>
        <w:t xml:space="preserve"> </w:t>
      </w:r>
      <w:r>
        <w:rPr>
          <w:i/>
          <w:sz w:val="20"/>
        </w:rPr>
        <w:t>from</w:t>
      </w:r>
      <w:r>
        <w:rPr>
          <w:i/>
          <w:spacing w:val="-3"/>
          <w:sz w:val="20"/>
        </w:rPr>
        <w:t xml:space="preserve"> </w:t>
      </w:r>
      <w:r>
        <w:rPr>
          <w:i/>
          <w:sz w:val="20"/>
        </w:rPr>
        <w:t>Australia</w:t>
      </w:r>
      <w:r>
        <w:rPr>
          <w:i/>
          <w:spacing w:val="-1"/>
          <w:sz w:val="20"/>
        </w:rPr>
        <w:t xml:space="preserve"> </w:t>
      </w:r>
      <w:r>
        <w:rPr>
          <w:spacing w:val="-2"/>
          <w:sz w:val="20"/>
        </w:rPr>
        <w:t>(DS602)</w:t>
      </w:r>
      <w:r>
        <w:rPr>
          <w:sz w:val="20"/>
        </w:rPr>
        <w:tab/>
        <w:t>29</w:t>
      </w:r>
      <w:r>
        <w:rPr>
          <w:spacing w:val="-1"/>
          <w:sz w:val="20"/>
        </w:rPr>
        <w:t xml:space="preserve"> </w:t>
      </w:r>
      <w:r>
        <w:rPr>
          <w:sz w:val="20"/>
        </w:rPr>
        <w:t>April</w:t>
      </w:r>
      <w:r>
        <w:rPr>
          <w:spacing w:val="-2"/>
          <w:sz w:val="20"/>
        </w:rPr>
        <w:t xml:space="preserve"> </w:t>
      </w:r>
      <w:r>
        <w:rPr>
          <w:spacing w:val="-4"/>
          <w:sz w:val="20"/>
        </w:rPr>
        <w:t>2022</w:t>
      </w:r>
    </w:p>
    <w:p w14:paraId="51DE9004" w14:textId="77777777" w:rsidR="0010369C" w:rsidRDefault="008E43AE">
      <w:pPr>
        <w:pStyle w:val="Heading4"/>
        <w:numPr>
          <w:ilvl w:val="0"/>
          <w:numId w:val="50"/>
        </w:numPr>
        <w:tabs>
          <w:tab w:val="left" w:pos="850"/>
          <w:tab w:val="left" w:pos="851"/>
        </w:tabs>
        <w:spacing w:before="34"/>
        <w:ind w:left="850" w:right="616"/>
        <w:jc w:val="right"/>
      </w:pPr>
      <w:r>
        <w:t>MOFCOM's</w:t>
      </w:r>
      <w:r>
        <w:rPr>
          <w:spacing w:val="12"/>
        </w:rPr>
        <w:t xml:space="preserve"> </w:t>
      </w:r>
      <w:r>
        <w:t>errors</w:t>
      </w:r>
      <w:r>
        <w:rPr>
          <w:spacing w:val="12"/>
        </w:rPr>
        <w:t xml:space="preserve"> </w:t>
      </w:r>
      <w:r>
        <w:t>in</w:t>
      </w:r>
      <w:r>
        <w:rPr>
          <w:spacing w:val="12"/>
        </w:rPr>
        <w:t xml:space="preserve"> </w:t>
      </w:r>
      <w:r>
        <w:t>defining</w:t>
      </w:r>
      <w:r>
        <w:rPr>
          <w:spacing w:val="12"/>
        </w:rPr>
        <w:t xml:space="preserve"> </w:t>
      </w:r>
      <w:r>
        <w:t>the</w:t>
      </w:r>
      <w:r>
        <w:rPr>
          <w:spacing w:val="12"/>
        </w:rPr>
        <w:t xml:space="preserve"> </w:t>
      </w:r>
      <w:r>
        <w:t>domestic</w:t>
      </w:r>
      <w:r>
        <w:rPr>
          <w:spacing w:val="12"/>
        </w:rPr>
        <w:t xml:space="preserve"> </w:t>
      </w:r>
      <w:r>
        <w:t>industry</w:t>
      </w:r>
      <w:r>
        <w:rPr>
          <w:spacing w:val="12"/>
        </w:rPr>
        <w:t xml:space="preserve"> </w:t>
      </w:r>
      <w:r>
        <w:t>under</w:t>
      </w:r>
      <w:r>
        <w:rPr>
          <w:spacing w:val="12"/>
        </w:rPr>
        <w:t xml:space="preserve"> </w:t>
      </w:r>
      <w:r>
        <w:rPr>
          <w:spacing w:val="-2"/>
        </w:rPr>
        <w:t>Article</w:t>
      </w:r>
    </w:p>
    <w:p w14:paraId="51DE9005" w14:textId="77777777" w:rsidR="0010369C" w:rsidRDefault="008E43AE">
      <w:pPr>
        <w:spacing w:before="148"/>
        <w:ind w:left="2648"/>
        <w:rPr>
          <w:b/>
          <w:sz w:val="24"/>
        </w:rPr>
      </w:pPr>
      <w:r>
        <w:rPr>
          <w:b/>
          <w:sz w:val="24"/>
        </w:rPr>
        <w:t>4.1</w:t>
      </w:r>
      <w:r>
        <w:rPr>
          <w:b/>
          <w:spacing w:val="-8"/>
          <w:sz w:val="24"/>
        </w:rPr>
        <w:t xml:space="preserve"> </w:t>
      </w:r>
      <w:r>
        <w:rPr>
          <w:b/>
          <w:sz w:val="24"/>
        </w:rPr>
        <w:t>are</w:t>
      </w:r>
      <w:r>
        <w:rPr>
          <w:b/>
          <w:spacing w:val="-7"/>
          <w:sz w:val="24"/>
        </w:rPr>
        <w:t xml:space="preserve"> </w:t>
      </w:r>
      <w:r>
        <w:rPr>
          <w:b/>
          <w:sz w:val="24"/>
        </w:rPr>
        <w:t>fatal</w:t>
      </w:r>
      <w:r>
        <w:rPr>
          <w:b/>
          <w:spacing w:val="-7"/>
          <w:sz w:val="24"/>
        </w:rPr>
        <w:t xml:space="preserve"> </w:t>
      </w:r>
      <w:r>
        <w:rPr>
          <w:b/>
          <w:sz w:val="24"/>
        </w:rPr>
        <w:t>to</w:t>
      </w:r>
      <w:r>
        <w:rPr>
          <w:b/>
          <w:spacing w:val="-7"/>
          <w:sz w:val="24"/>
        </w:rPr>
        <w:t xml:space="preserve"> </w:t>
      </w:r>
      <w:r>
        <w:rPr>
          <w:b/>
          <w:sz w:val="24"/>
        </w:rPr>
        <w:t>MOFCOM's</w:t>
      </w:r>
      <w:r>
        <w:rPr>
          <w:b/>
          <w:spacing w:val="-7"/>
          <w:sz w:val="24"/>
        </w:rPr>
        <w:t xml:space="preserve"> </w:t>
      </w:r>
      <w:r>
        <w:rPr>
          <w:b/>
          <w:sz w:val="24"/>
        </w:rPr>
        <w:t>Article</w:t>
      </w:r>
      <w:r>
        <w:rPr>
          <w:b/>
          <w:spacing w:val="-8"/>
          <w:sz w:val="24"/>
        </w:rPr>
        <w:t xml:space="preserve"> </w:t>
      </w:r>
      <w:r>
        <w:rPr>
          <w:b/>
          <w:sz w:val="24"/>
        </w:rPr>
        <w:t>3.4</w:t>
      </w:r>
      <w:r>
        <w:rPr>
          <w:b/>
          <w:spacing w:val="-7"/>
          <w:sz w:val="24"/>
        </w:rPr>
        <w:t xml:space="preserve"> </w:t>
      </w:r>
      <w:r>
        <w:rPr>
          <w:b/>
          <w:spacing w:val="-2"/>
          <w:sz w:val="24"/>
        </w:rPr>
        <w:t>analysis</w:t>
      </w:r>
    </w:p>
    <w:p w14:paraId="51DE9006" w14:textId="77777777" w:rsidR="0010369C" w:rsidRDefault="0010369C">
      <w:pPr>
        <w:pStyle w:val="BodyText"/>
        <w:spacing w:before="9"/>
        <w:rPr>
          <w:b/>
          <w:sz w:val="20"/>
        </w:rPr>
      </w:pPr>
    </w:p>
    <w:p w14:paraId="51DE9007" w14:textId="77777777" w:rsidR="0010369C" w:rsidRDefault="008E43AE">
      <w:pPr>
        <w:pStyle w:val="BodyText"/>
        <w:spacing w:before="51" w:line="360" w:lineRule="auto"/>
        <w:ind w:left="237" w:right="614" w:firstLine="851"/>
        <w:jc w:val="both"/>
      </w:pPr>
      <w:r>
        <w:rPr>
          <w:noProof/>
        </w:rPr>
        <w:drawing>
          <wp:anchor distT="0" distB="0" distL="0" distR="0" simplePos="0" relativeHeight="251234816" behindDoc="1" locked="0" layoutInCell="1" allowOverlap="1" wp14:anchorId="51DEA4F3" wp14:editId="51DEA4F4">
            <wp:simplePos x="0" y="0"/>
            <wp:positionH relativeFrom="page">
              <wp:posOffset>905255</wp:posOffset>
            </wp:positionH>
            <wp:positionV relativeFrom="paragraph">
              <wp:posOffset>76150</wp:posOffset>
            </wp:positionV>
            <wp:extent cx="259079" cy="106679"/>
            <wp:effectExtent l="0" t="0" r="0" b="0"/>
            <wp:wrapNone/>
            <wp:docPr id="1213" name="image6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 name="image628.png"/>
                    <pic:cNvPicPr/>
                  </pic:nvPicPr>
                  <pic:blipFill>
                    <a:blip r:embed="rId824" cstate="print"/>
                    <a:stretch>
                      <a:fillRect/>
                    </a:stretch>
                  </pic:blipFill>
                  <pic:spPr>
                    <a:xfrm>
                      <a:off x="0" y="0"/>
                      <a:ext cx="259079" cy="106679"/>
                    </a:xfrm>
                    <a:prstGeom prst="rect">
                      <a:avLst/>
                    </a:prstGeom>
                  </pic:spPr>
                </pic:pic>
              </a:graphicData>
            </a:graphic>
          </wp:anchor>
        </w:drawing>
      </w:r>
      <w:r>
        <w:t>The definition of the domestic industry "forms the basis on which an investigating authority makes the determination of whether the dumped imports cause or threaten to cause</w:t>
      </w:r>
      <w:r>
        <w:rPr>
          <w:spacing w:val="-10"/>
        </w:rPr>
        <w:t xml:space="preserve"> </w:t>
      </w:r>
      <w:r>
        <w:t>material</w:t>
      </w:r>
      <w:r>
        <w:rPr>
          <w:spacing w:val="-11"/>
        </w:rPr>
        <w:t xml:space="preserve"> </w:t>
      </w:r>
      <w:r>
        <w:t>i</w:t>
      </w:r>
      <w:r>
        <w:t>njury</w:t>
      </w:r>
      <w:r>
        <w:rPr>
          <w:spacing w:val="-10"/>
        </w:rPr>
        <w:t xml:space="preserve"> </w:t>
      </w:r>
      <w:r>
        <w:t>to</w:t>
      </w:r>
      <w:r>
        <w:rPr>
          <w:spacing w:val="-10"/>
        </w:rPr>
        <w:t xml:space="preserve"> </w:t>
      </w:r>
      <w:r>
        <w:t>the</w:t>
      </w:r>
      <w:r>
        <w:rPr>
          <w:spacing w:val="-10"/>
        </w:rPr>
        <w:t xml:space="preserve"> </w:t>
      </w:r>
      <w:r>
        <w:t>domestic</w:t>
      </w:r>
      <w:r>
        <w:rPr>
          <w:spacing w:val="-10"/>
        </w:rPr>
        <w:t xml:space="preserve"> </w:t>
      </w:r>
      <w:r>
        <w:t>producers".</w:t>
      </w:r>
      <w:r>
        <w:rPr>
          <w:vertAlign w:val="superscript"/>
        </w:rPr>
        <w:t>712</w:t>
      </w:r>
      <w:r>
        <w:rPr>
          <w:spacing w:val="-10"/>
        </w:rPr>
        <w:t xml:space="preserve"> </w:t>
      </w:r>
      <w:r>
        <w:t>The</w:t>
      </w:r>
      <w:r>
        <w:rPr>
          <w:spacing w:val="-10"/>
        </w:rPr>
        <w:t xml:space="preserve"> </w:t>
      </w:r>
      <w:r>
        <w:t>panel</w:t>
      </w:r>
      <w:r>
        <w:rPr>
          <w:spacing w:val="-10"/>
        </w:rPr>
        <w:t xml:space="preserve"> </w:t>
      </w:r>
      <w:r>
        <w:t>in</w:t>
      </w:r>
      <w:r>
        <w:rPr>
          <w:spacing w:val="-11"/>
        </w:rPr>
        <w:t xml:space="preserve"> </w:t>
      </w:r>
      <w:r>
        <w:rPr>
          <w:i/>
        </w:rPr>
        <w:t>China</w:t>
      </w:r>
      <w:r>
        <w:rPr>
          <w:i/>
          <w:spacing w:val="-10"/>
        </w:rPr>
        <w:t xml:space="preserve"> </w:t>
      </w:r>
      <w:r>
        <w:rPr>
          <w:i/>
        </w:rPr>
        <w:t>–</w:t>
      </w:r>
      <w:r>
        <w:rPr>
          <w:i/>
          <w:spacing w:val="-10"/>
        </w:rPr>
        <w:t xml:space="preserve"> </w:t>
      </w:r>
      <w:r>
        <w:rPr>
          <w:i/>
        </w:rPr>
        <w:t>Autos</w:t>
      </w:r>
      <w:r>
        <w:rPr>
          <w:i/>
          <w:spacing w:val="-10"/>
        </w:rPr>
        <w:t xml:space="preserve"> </w:t>
      </w:r>
      <w:r>
        <w:rPr>
          <w:i/>
        </w:rPr>
        <w:t>(US)</w:t>
      </w:r>
      <w:r>
        <w:rPr>
          <w:i/>
          <w:spacing w:val="-10"/>
        </w:rPr>
        <w:t xml:space="preserve"> </w:t>
      </w:r>
      <w:r>
        <w:t>explained that</w:t>
      </w:r>
      <w:r>
        <w:rPr>
          <w:spacing w:val="-6"/>
        </w:rPr>
        <w:t xml:space="preserve"> </w:t>
      </w:r>
      <w:r>
        <w:t>"a</w:t>
      </w:r>
      <w:r>
        <w:rPr>
          <w:spacing w:val="-6"/>
        </w:rPr>
        <w:t xml:space="preserve"> </w:t>
      </w:r>
      <w:r>
        <w:t>wrongly‐defined</w:t>
      </w:r>
      <w:r>
        <w:rPr>
          <w:spacing w:val="-7"/>
        </w:rPr>
        <w:t xml:space="preserve"> </w:t>
      </w:r>
      <w:r>
        <w:t>domestic</w:t>
      </w:r>
      <w:r>
        <w:rPr>
          <w:spacing w:val="-4"/>
        </w:rPr>
        <w:t xml:space="preserve"> </w:t>
      </w:r>
      <w:r>
        <w:t>industry</w:t>
      </w:r>
      <w:r>
        <w:rPr>
          <w:spacing w:val="-5"/>
        </w:rPr>
        <w:t xml:space="preserve"> </w:t>
      </w:r>
      <w:r>
        <w:t>necessarily</w:t>
      </w:r>
      <w:r>
        <w:rPr>
          <w:spacing w:val="-5"/>
        </w:rPr>
        <w:t xml:space="preserve"> </w:t>
      </w:r>
      <w:r>
        <w:t>leads</w:t>
      </w:r>
      <w:r>
        <w:rPr>
          <w:spacing w:val="-7"/>
        </w:rPr>
        <w:t xml:space="preserve"> </w:t>
      </w:r>
      <w:r>
        <w:t>to</w:t>
      </w:r>
      <w:r>
        <w:rPr>
          <w:spacing w:val="-6"/>
        </w:rPr>
        <w:t xml:space="preserve"> </w:t>
      </w:r>
      <w:r>
        <w:t>an</w:t>
      </w:r>
      <w:r>
        <w:rPr>
          <w:spacing w:val="-6"/>
        </w:rPr>
        <w:t xml:space="preserve"> </w:t>
      </w:r>
      <w:r>
        <w:t>injury</w:t>
      </w:r>
      <w:r>
        <w:rPr>
          <w:spacing w:val="-6"/>
        </w:rPr>
        <w:t xml:space="preserve"> </w:t>
      </w:r>
      <w:r>
        <w:t>determination</w:t>
      </w:r>
      <w:r>
        <w:rPr>
          <w:spacing w:val="-5"/>
        </w:rPr>
        <w:t xml:space="preserve"> </w:t>
      </w:r>
      <w:r>
        <w:t>that</w:t>
      </w:r>
      <w:r>
        <w:rPr>
          <w:spacing w:val="-6"/>
        </w:rPr>
        <w:t xml:space="preserve"> </w:t>
      </w:r>
      <w:r>
        <w:t>is inconsistent" with the Anti‐Dumping Agreement.</w:t>
      </w:r>
      <w:r>
        <w:rPr>
          <w:vertAlign w:val="superscript"/>
        </w:rPr>
        <w:t>713</w:t>
      </w:r>
    </w:p>
    <w:p w14:paraId="51DE9008" w14:textId="77777777" w:rsidR="0010369C" w:rsidRDefault="0010369C">
      <w:pPr>
        <w:pStyle w:val="BodyText"/>
        <w:spacing w:before="12"/>
        <w:rPr>
          <w:sz w:val="8"/>
        </w:rPr>
      </w:pPr>
    </w:p>
    <w:p w14:paraId="51DE9009" w14:textId="77777777" w:rsidR="0010369C" w:rsidRDefault="008E43AE">
      <w:pPr>
        <w:pStyle w:val="BodyText"/>
        <w:spacing w:before="51" w:line="360" w:lineRule="auto"/>
        <w:ind w:left="237" w:right="613" w:firstLine="852"/>
        <w:jc w:val="both"/>
      </w:pPr>
      <w:r>
        <w:rPr>
          <w:noProof/>
        </w:rPr>
        <w:drawing>
          <wp:anchor distT="0" distB="0" distL="0" distR="0" simplePos="0" relativeHeight="251235840" behindDoc="1" locked="0" layoutInCell="1" allowOverlap="1" wp14:anchorId="51DEA4F5" wp14:editId="51DEA4F6">
            <wp:simplePos x="0" y="0"/>
            <wp:positionH relativeFrom="page">
              <wp:posOffset>905255</wp:posOffset>
            </wp:positionH>
            <wp:positionV relativeFrom="paragraph">
              <wp:posOffset>81314</wp:posOffset>
            </wp:positionV>
            <wp:extent cx="259079" cy="100753"/>
            <wp:effectExtent l="0" t="0" r="0" b="0"/>
            <wp:wrapNone/>
            <wp:docPr id="1215" name="image6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 name="image629.png"/>
                    <pic:cNvPicPr/>
                  </pic:nvPicPr>
                  <pic:blipFill>
                    <a:blip r:embed="rId825" cstate="print"/>
                    <a:stretch>
                      <a:fillRect/>
                    </a:stretch>
                  </pic:blipFill>
                  <pic:spPr>
                    <a:xfrm>
                      <a:off x="0" y="0"/>
                      <a:ext cx="259079" cy="100753"/>
                    </a:xfrm>
                    <a:prstGeom prst="rect">
                      <a:avLst/>
                    </a:prstGeom>
                  </pic:spPr>
                </pic:pic>
              </a:graphicData>
            </a:graphic>
          </wp:anchor>
        </w:drawing>
      </w:r>
      <w:r>
        <w:t>As</w:t>
      </w:r>
      <w:r>
        <w:rPr>
          <w:spacing w:val="-6"/>
        </w:rPr>
        <w:t xml:space="preserve"> </w:t>
      </w:r>
      <w:r>
        <w:t>set</w:t>
      </w:r>
      <w:r>
        <w:rPr>
          <w:spacing w:val="-5"/>
        </w:rPr>
        <w:t xml:space="preserve"> </w:t>
      </w:r>
      <w:r>
        <w:t>out</w:t>
      </w:r>
      <w:r>
        <w:rPr>
          <w:spacing w:val="-5"/>
        </w:rPr>
        <w:t xml:space="preserve"> </w:t>
      </w:r>
      <w:r>
        <w:t>in</w:t>
      </w:r>
      <w:r>
        <w:rPr>
          <w:spacing w:val="-4"/>
        </w:rPr>
        <w:t xml:space="preserve"> </w:t>
      </w:r>
      <w:r>
        <w:t>section</w:t>
      </w:r>
      <w:r>
        <w:rPr>
          <w:spacing w:val="-5"/>
        </w:rPr>
        <w:t xml:space="preserve"> </w:t>
      </w:r>
      <w:r>
        <w:t>III,</w:t>
      </w:r>
      <w:r>
        <w:rPr>
          <w:spacing w:val="-3"/>
        </w:rPr>
        <w:t xml:space="preserve"> </w:t>
      </w:r>
      <w:r>
        <w:t>MOFCOM's</w:t>
      </w:r>
      <w:r>
        <w:rPr>
          <w:spacing w:val="-5"/>
        </w:rPr>
        <w:t xml:space="preserve"> </w:t>
      </w:r>
      <w:r>
        <w:t>identification</w:t>
      </w:r>
      <w:r>
        <w:rPr>
          <w:spacing w:val="-4"/>
        </w:rPr>
        <w:t xml:space="preserve"> </w:t>
      </w:r>
      <w:r>
        <w:t>of</w:t>
      </w:r>
      <w:r>
        <w:rPr>
          <w:spacing w:val="-5"/>
        </w:rPr>
        <w:t xml:space="preserve"> </w:t>
      </w:r>
      <w:r>
        <w:t>the</w:t>
      </w:r>
      <w:r>
        <w:rPr>
          <w:spacing w:val="-4"/>
        </w:rPr>
        <w:t xml:space="preserve"> </w:t>
      </w:r>
      <w:r>
        <w:t>domestic</w:t>
      </w:r>
      <w:r>
        <w:rPr>
          <w:spacing w:val="-5"/>
        </w:rPr>
        <w:t xml:space="preserve"> </w:t>
      </w:r>
      <w:r>
        <w:t>industry</w:t>
      </w:r>
      <w:r>
        <w:rPr>
          <w:spacing w:val="-4"/>
        </w:rPr>
        <w:t xml:space="preserve"> </w:t>
      </w:r>
      <w:r>
        <w:t>contained significant errors and was inconsistent with Article 4.1 of the Anti‐Dumping Agreement because: (i) the process MOFCOM used to identify and define the domestic industry introduced material risks of distortion; (ii) it is not based on positive evi</w:t>
      </w:r>
      <w:r>
        <w:t>dence; and (iii) it introduced a material risk of skewing the economic data. The consequence of this is that the data gathered</w:t>
      </w:r>
      <w:r>
        <w:rPr>
          <w:spacing w:val="-1"/>
        </w:rPr>
        <w:t xml:space="preserve"> </w:t>
      </w:r>
      <w:r>
        <w:t>by MOFCOM for the</w:t>
      </w:r>
      <w:r>
        <w:rPr>
          <w:spacing w:val="-1"/>
        </w:rPr>
        <w:t xml:space="preserve"> </w:t>
      </w:r>
      <w:r>
        <w:t>purposes of</w:t>
      </w:r>
      <w:r>
        <w:rPr>
          <w:spacing w:val="-3"/>
        </w:rPr>
        <w:t xml:space="preserve"> </w:t>
      </w:r>
      <w:r>
        <w:t>its evaluation</w:t>
      </w:r>
      <w:r>
        <w:rPr>
          <w:spacing w:val="-1"/>
        </w:rPr>
        <w:t xml:space="preserve"> </w:t>
      </w:r>
      <w:r>
        <w:t>of the domestic industry under Article 3.4 suffers from the same errors, meaning tha</w:t>
      </w:r>
      <w:r>
        <w:t>t the data relied on by MOFCOM was flawed and unreliable.</w:t>
      </w:r>
    </w:p>
    <w:p w14:paraId="51DE900A" w14:textId="77777777" w:rsidR="0010369C" w:rsidRDefault="0010369C">
      <w:pPr>
        <w:pStyle w:val="BodyText"/>
        <w:spacing w:before="11"/>
        <w:rPr>
          <w:sz w:val="8"/>
        </w:rPr>
      </w:pPr>
    </w:p>
    <w:p w14:paraId="51DE900B" w14:textId="77777777" w:rsidR="0010369C" w:rsidRDefault="008E43AE">
      <w:pPr>
        <w:pStyle w:val="BodyText"/>
        <w:spacing w:before="52" w:line="360" w:lineRule="auto"/>
        <w:ind w:left="237" w:right="614" w:firstLine="851"/>
        <w:jc w:val="both"/>
      </w:pPr>
      <w:r>
        <w:rPr>
          <w:noProof/>
        </w:rPr>
        <w:drawing>
          <wp:anchor distT="0" distB="0" distL="0" distR="0" simplePos="0" relativeHeight="251236864" behindDoc="1" locked="0" layoutInCell="1" allowOverlap="1" wp14:anchorId="51DEA4F7" wp14:editId="51DEA4F8">
            <wp:simplePos x="0" y="0"/>
            <wp:positionH relativeFrom="page">
              <wp:posOffset>905255</wp:posOffset>
            </wp:positionH>
            <wp:positionV relativeFrom="paragraph">
              <wp:posOffset>76785</wp:posOffset>
            </wp:positionV>
            <wp:extent cx="259079" cy="106679"/>
            <wp:effectExtent l="0" t="0" r="0" b="0"/>
            <wp:wrapNone/>
            <wp:docPr id="1217" name="image6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 name="image630.png"/>
                    <pic:cNvPicPr/>
                  </pic:nvPicPr>
                  <pic:blipFill>
                    <a:blip r:embed="rId826" cstate="print"/>
                    <a:stretch>
                      <a:fillRect/>
                    </a:stretch>
                  </pic:blipFill>
                  <pic:spPr>
                    <a:xfrm>
                      <a:off x="0" y="0"/>
                      <a:ext cx="259079" cy="106679"/>
                    </a:xfrm>
                    <a:prstGeom prst="rect">
                      <a:avLst/>
                    </a:prstGeom>
                  </pic:spPr>
                </pic:pic>
              </a:graphicData>
            </a:graphic>
          </wp:anchor>
        </w:drawing>
      </w:r>
      <w:r>
        <w:t>As</w:t>
      </w:r>
      <w:r>
        <w:rPr>
          <w:spacing w:val="-10"/>
        </w:rPr>
        <w:t xml:space="preserve"> </w:t>
      </w:r>
      <w:r>
        <w:t>a</w:t>
      </w:r>
      <w:r>
        <w:rPr>
          <w:spacing w:val="-10"/>
        </w:rPr>
        <w:t xml:space="preserve"> </w:t>
      </w:r>
      <w:r>
        <w:t>result,</w:t>
      </w:r>
      <w:r>
        <w:rPr>
          <w:spacing w:val="-10"/>
        </w:rPr>
        <w:t xml:space="preserve"> </w:t>
      </w:r>
      <w:r>
        <w:t>MOFCOM's</w:t>
      </w:r>
      <w:r>
        <w:rPr>
          <w:spacing w:val="-9"/>
        </w:rPr>
        <w:t xml:space="preserve"> </w:t>
      </w:r>
      <w:r>
        <w:t>evaluation</w:t>
      </w:r>
      <w:r>
        <w:rPr>
          <w:spacing w:val="-11"/>
        </w:rPr>
        <w:t xml:space="preserve"> </w:t>
      </w:r>
      <w:r>
        <w:t>of</w:t>
      </w:r>
      <w:r>
        <w:rPr>
          <w:spacing w:val="-10"/>
        </w:rPr>
        <w:t xml:space="preserve"> </w:t>
      </w:r>
      <w:r>
        <w:t>the</w:t>
      </w:r>
      <w:r>
        <w:rPr>
          <w:spacing w:val="-9"/>
        </w:rPr>
        <w:t xml:space="preserve"> </w:t>
      </w:r>
      <w:r>
        <w:t>economic</w:t>
      </w:r>
      <w:r>
        <w:rPr>
          <w:spacing w:val="-10"/>
        </w:rPr>
        <w:t xml:space="preserve"> </w:t>
      </w:r>
      <w:r>
        <w:t>factors</w:t>
      </w:r>
      <w:r>
        <w:rPr>
          <w:spacing w:val="-10"/>
        </w:rPr>
        <w:t xml:space="preserve"> </w:t>
      </w:r>
      <w:r>
        <w:t>that</w:t>
      </w:r>
      <w:r>
        <w:rPr>
          <w:spacing w:val="-10"/>
        </w:rPr>
        <w:t xml:space="preserve"> </w:t>
      </w:r>
      <w:r>
        <w:t>have</w:t>
      </w:r>
      <w:r>
        <w:rPr>
          <w:spacing w:val="-9"/>
        </w:rPr>
        <w:t xml:space="preserve"> </w:t>
      </w:r>
      <w:r>
        <w:t>a</w:t>
      </w:r>
      <w:r>
        <w:rPr>
          <w:spacing w:val="-10"/>
        </w:rPr>
        <w:t xml:space="preserve"> </w:t>
      </w:r>
      <w:r>
        <w:t>bearing</w:t>
      </w:r>
      <w:r>
        <w:rPr>
          <w:spacing w:val="-10"/>
        </w:rPr>
        <w:t xml:space="preserve"> </w:t>
      </w:r>
      <w:r>
        <w:t>on</w:t>
      </w:r>
      <w:r>
        <w:rPr>
          <w:spacing w:val="-10"/>
        </w:rPr>
        <w:t xml:space="preserve"> </w:t>
      </w:r>
      <w:r>
        <w:t>the domestic industry cannot be said to be an objective examination based on positive evidence and is therefore inconsistent with China's obligations under Articles 3.4 and 3.1 of the Anti‐ Dumping Agreement.</w:t>
      </w:r>
    </w:p>
    <w:p w14:paraId="51DE900C" w14:textId="77777777" w:rsidR="0010369C" w:rsidRDefault="008E43AE">
      <w:pPr>
        <w:pStyle w:val="Heading4"/>
        <w:numPr>
          <w:ilvl w:val="0"/>
          <w:numId w:val="50"/>
        </w:numPr>
        <w:tabs>
          <w:tab w:val="left" w:pos="2648"/>
          <w:tab w:val="left" w:pos="2649"/>
        </w:tabs>
        <w:spacing w:before="159" w:line="360" w:lineRule="auto"/>
        <w:ind w:left="2648" w:right="617"/>
        <w:jc w:val="both"/>
      </w:pPr>
      <w:r>
        <w:t>The</w:t>
      </w:r>
      <w:r>
        <w:rPr>
          <w:spacing w:val="-14"/>
        </w:rPr>
        <w:t xml:space="preserve"> </w:t>
      </w:r>
      <w:r>
        <w:t>evaluation</w:t>
      </w:r>
      <w:r>
        <w:rPr>
          <w:spacing w:val="-14"/>
        </w:rPr>
        <w:t xml:space="preserve"> </w:t>
      </w:r>
      <w:r>
        <w:t>of</w:t>
      </w:r>
      <w:r>
        <w:rPr>
          <w:spacing w:val="-13"/>
        </w:rPr>
        <w:t xml:space="preserve"> </w:t>
      </w:r>
      <w:r>
        <w:t>economic</w:t>
      </w:r>
      <w:r>
        <w:rPr>
          <w:spacing w:val="-14"/>
        </w:rPr>
        <w:t xml:space="preserve"> </w:t>
      </w:r>
      <w:r>
        <w:t>factors</w:t>
      </w:r>
      <w:r>
        <w:rPr>
          <w:spacing w:val="-13"/>
        </w:rPr>
        <w:t xml:space="preserve"> </w:t>
      </w:r>
      <w:r>
        <w:t>required</w:t>
      </w:r>
      <w:r>
        <w:rPr>
          <w:spacing w:val="-14"/>
        </w:rPr>
        <w:t xml:space="preserve"> </w:t>
      </w:r>
      <w:r>
        <w:t>und</w:t>
      </w:r>
      <w:r>
        <w:t>er</w:t>
      </w:r>
      <w:r>
        <w:rPr>
          <w:spacing w:val="-13"/>
        </w:rPr>
        <w:t xml:space="preserve"> </w:t>
      </w:r>
      <w:r>
        <w:t>Article</w:t>
      </w:r>
      <w:r>
        <w:rPr>
          <w:spacing w:val="-14"/>
        </w:rPr>
        <w:t xml:space="preserve"> </w:t>
      </w:r>
      <w:r>
        <w:t>3.4</w:t>
      </w:r>
      <w:r>
        <w:rPr>
          <w:spacing w:val="-14"/>
        </w:rPr>
        <w:t xml:space="preserve"> </w:t>
      </w:r>
      <w:r>
        <w:t>of</w:t>
      </w:r>
      <w:r>
        <w:rPr>
          <w:spacing w:val="-13"/>
        </w:rPr>
        <w:t xml:space="preserve"> </w:t>
      </w:r>
      <w:r>
        <w:t>the Anti‐Dumping Agreement</w:t>
      </w:r>
    </w:p>
    <w:p w14:paraId="51DE900D" w14:textId="77777777" w:rsidR="0010369C" w:rsidRDefault="0010369C">
      <w:pPr>
        <w:pStyle w:val="BodyText"/>
        <w:spacing w:before="11"/>
        <w:rPr>
          <w:b/>
          <w:sz w:val="8"/>
        </w:rPr>
      </w:pPr>
    </w:p>
    <w:p w14:paraId="51DE900E" w14:textId="77777777" w:rsidR="0010369C" w:rsidRDefault="008E43AE">
      <w:pPr>
        <w:pStyle w:val="BodyText"/>
        <w:spacing w:before="52" w:line="360" w:lineRule="auto"/>
        <w:ind w:left="238" w:right="614" w:firstLine="851"/>
        <w:jc w:val="both"/>
      </w:pPr>
      <w:r>
        <w:rPr>
          <w:noProof/>
        </w:rPr>
        <w:drawing>
          <wp:anchor distT="0" distB="0" distL="0" distR="0" simplePos="0" relativeHeight="251237888" behindDoc="1" locked="0" layoutInCell="1" allowOverlap="1" wp14:anchorId="51DEA4F9" wp14:editId="51DEA4FA">
            <wp:simplePos x="0" y="0"/>
            <wp:positionH relativeFrom="page">
              <wp:posOffset>905255</wp:posOffset>
            </wp:positionH>
            <wp:positionV relativeFrom="paragraph">
              <wp:posOffset>76785</wp:posOffset>
            </wp:positionV>
            <wp:extent cx="259079" cy="106679"/>
            <wp:effectExtent l="0" t="0" r="0" b="0"/>
            <wp:wrapNone/>
            <wp:docPr id="1219" name="image6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 name="image631.png"/>
                    <pic:cNvPicPr/>
                  </pic:nvPicPr>
                  <pic:blipFill>
                    <a:blip r:embed="rId827" cstate="print"/>
                    <a:stretch>
                      <a:fillRect/>
                    </a:stretch>
                  </pic:blipFill>
                  <pic:spPr>
                    <a:xfrm>
                      <a:off x="0" y="0"/>
                      <a:ext cx="259079" cy="106679"/>
                    </a:xfrm>
                    <a:prstGeom prst="rect">
                      <a:avLst/>
                    </a:prstGeom>
                  </pic:spPr>
                </pic:pic>
              </a:graphicData>
            </a:graphic>
          </wp:anchor>
        </w:drawing>
      </w:r>
      <w:r>
        <w:t>Article 3.4 of the Anti‐Dumping Agreement sets forth a Member's substantive obligations with respect to the evaluation of economic factors that bear on the state of the domestic industry in the context of an e</w:t>
      </w:r>
      <w:r>
        <w:t>xamination of injury. Article 3.4 provides as follows:</w:t>
      </w:r>
    </w:p>
    <w:p w14:paraId="51DE900F" w14:textId="77777777" w:rsidR="0010369C" w:rsidRDefault="008E43AE">
      <w:pPr>
        <w:spacing w:before="161" w:line="276" w:lineRule="auto"/>
        <w:ind w:left="1089" w:right="612" w:hanging="1"/>
        <w:jc w:val="both"/>
      </w:pPr>
      <w:r>
        <w:t>The examination of the impact of the dumped imports on the domestic industry concerned shall include an evaluation of all relevant economic factors and indices having a bearing on the state of the indu</w:t>
      </w:r>
      <w:r>
        <w:t>stry, including actual and potential decline in sales, profits, output, market</w:t>
      </w:r>
      <w:r>
        <w:rPr>
          <w:spacing w:val="-9"/>
        </w:rPr>
        <w:t xml:space="preserve"> </w:t>
      </w:r>
      <w:r>
        <w:t>share,</w:t>
      </w:r>
      <w:r>
        <w:rPr>
          <w:spacing w:val="-10"/>
        </w:rPr>
        <w:t xml:space="preserve"> </w:t>
      </w:r>
      <w:r>
        <w:t>productivity,</w:t>
      </w:r>
      <w:r>
        <w:rPr>
          <w:spacing w:val="-8"/>
        </w:rPr>
        <w:t xml:space="preserve"> </w:t>
      </w:r>
      <w:r>
        <w:t>return</w:t>
      </w:r>
      <w:r>
        <w:rPr>
          <w:spacing w:val="-9"/>
        </w:rPr>
        <w:t xml:space="preserve"> </w:t>
      </w:r>
      <w:r>
        <w:t>on</w:t>
      </w:r>
      <w:r>
        <w:rPr>
          <w:spacing w:val="-9"/>
        </w:rPr>
        <w:t xml:space="preserve"> </w:t>
      </w:r>
      <w:r>
        <w:t>investments,</w:t>
      </w:r>
      <w:r>
        <w:rPr>
          <w:spacing w:val="-9"/>
        </w:rPr>
        <w:t xml:space="preserve"> </w:t>
      </w:r>
      <w:r>
        <w:t>or</w:t>
      </w:r>
      <w:r>
        <w:rPr>
          <w:spacing w:val="-10"/>
        </w:rPr>
        <w:t xml:space="preserve"> </w:t>
      </w:r>
      <w:r>
        <w:t>utilization</w:t>
      </w:r>
      <w:r>
        <w:rPr>
          <w:spacing w:val="-8"/>
        </w:rPr>
        <w:t xml:space="preserve"> </w:t>
      </w:r>
      <w:r>
        <w:t>of</w:t>
      </w:r>
      <w:r>
        <w:rPr>
          <w:spacing w:val="-9"/>
        </w:rPr>
        <w:t xml:space="preserve"> </w:t>
      </w:r>
      <w:r>
        <w:t>capacity;</w:t>
      </w:r>
      <w:r>
        <w:rPr>
          <w:spacing w:val="-9"/>
        </w:rPr>
        <w:t xml:space="preserve"> </w:t>
      </w:r>
      <w:r>
        <w:t>factors</w:t>
      </w:r>
      <w:r>
        <w:rPr>
          <w:spacing w:val="-9"/>
        </w:rPr>
        <w:t xml:space="preserve"> </w:t>
      </w:r>
      <w:r>
        <w:t>affecting domestic</w:t>
      </w:r>
      <w:r>
        <w:rPr>
          <w:spacing w:val="27"/>
        </w:rPr>
        <w:t xml:space="preserve"> </w:t>
      </w:r>
      <w:r>
        <w:t>prices;</w:t>
      </w:r>
      <w:r>
        <w:rPr>
          <w:spacing w:val="25"/>
        </w:rPr>
        <w:t xml:space="preserve"> </w:t>
      </w:r>
      <w:r>
        <w:t>the</w:t>
      </w:r>
      <w:r>
        <w:rPr>
          <w:spacing w:val="26"/>
        </w:rPr>
        <w:t xml:space="preserve"> </w:t>
      </w:r>
      <w:r>
        <w:t>magnitude</w:t>
      </w:r>
      <w:r>
        <w:rPr>
          <w:spacing w:val="25"/>
        </w:rPr>
        <w:t xml:space="preserve"> </w:t>
      </w:r>
      <w:r>
        <w:t>of</w:t>
      </w:r>
      <w:r>
        <w:rPr>
          <w:spacing w:val="26"/>
        </w:rPr>
        <w:t xml:space="preserve"> </w:t>
      </w:r>
      <w:r>
        <w:t>the</w:t>
      </w:r>
      <w:r>
        <w:rPr>
          <w:spacing w:val="26"/>
        </w:rPr>
        <w:t xml:space="preserve"> </w:t>
      </w:r>
      <w:r>
        <w:t>margin</w:t>
      </w:r>
      <w:r>
        <w:rPr>
          <w:spacing w:val="26"/>
        </w:rPr>
        <w:t xml:space="preserve"> </w:t>
      </w:r>
      <w:r>
        <w:t>of</w:t>
      </w:r>
      <w:r>
        <w:rPr>
          <w:spacing w:val="25"/>
        </w:rPr>
        <w:t xml:space="preserve"> </w:t>
      </w:r>
      <w:r>
        <w:t>dumping;</w:t>
      </w:r>
      <w:r>
        <w:rPr>
          <w:spacing w:val="25"/>
        </w:rPr>
        <w:t xml:space="preserve"> </w:t>
      </w:r>
      <w:r>
        <w:t>actual</w:t>
      </w:r>
      <w:r>
        <w:rPr>
          <w:spacing w:val="25"/>
        </w:rPr>
        <w:t xml:space="preserve"> </w:t>
      </w:r>
      <w:r>
        <w:t>and</w:t>
      </w:r>
      <w:r>
        <w:rPr>
          <w:spacing w:val="26"/>
        </w:rPr>
        <w:t xml:space="preserve"> </w:t>
      </w:r>
      <w:r>
        <w:t>potential</w:t>
      </w:r>
      <w:r>
        <w:rPr>
          <w:spacing w:val="26"/>
        </w:rPr>
        <w:t xml:space="preserve"> </w:t>
      </w:r>
      <w:r>
        <w:t>negative</w:t>
      </w:r>
    </w:p>
    <w:p w14:paraId="51DE9010" w14:textId="77777777" w:rsidR="0010369C" w:rsidRDefault="008E43AE">
      <w:pPr>
        <w:pStyle w:val="BodyText"/>
        <w:spacing w:before="8"/>
        <w:rPr>
          <w:sz w:val="29"/>
        </w:rPr>
      </w:pPr>
      <w:r>
        <w:pict w14:anchorId="51DEA4FB">
          <v:rect id="docshape1104" o:spid="_x0000_s1281" style="position:absolute;margin-left:70.9pt;margin-top:19.35pt;width:2in;height:.8pt;z-index:-250813952;mso-wrap-distance-left:0;mso-wrap-distance-right:0;mso-position-horizontal-relative:page" fillcolor="black" stroked="f">
            <w10:wrap type="topAndBottom" anchorx="page"/>
          </v:rect>
        </w:pict>
      </w:r>
    </w:p>
    <w:p w14:paraId="51DE9011" w14:textId="77777777" w:rsidR="0010369C" w:rsidRDefault="008E43AE">
      <w:pPr>
        <w:spacing w:before="109"/>
        <w:ind w:left="238"/>
        <w:rPr>
          <w:sz w:val="18"/>
        </w:rPr>
      </w:pPr>
      <w:r>
        <w:rPr>
          <w:sz w:val="18"/>
          <w:vertAlign w:val="superscript"/>
        </w:rPr>
        <w:t>712</w:t>
      </w:r>
      <w:r>
        <w:rPr>
          <w:sz w:val="18"/>
        </w:rPr>
        <w:t>Appellate</w:t>
      </w:r>
      <w:r>
        <w:rPr>
          <w:spacing w:val="-7"/>
          <w:sz w:val="18"/>
        </w:rPr>
        <w:t xml:space="preserve"> </w:t>
      </w:r>
      <w:r>
        <w:rPr>
          <w:sz w:val="18"/>
        </w:rPr>
        <w:t>Body</w:t>
      </w:r>
      <w:r>
        <w:rPr>
          <w:spacing w:val="-8"/>
          <w:sz w:val="18"/>
        </w:rPr>
        <w:t xml:space="preserve"> </w:t>
      </w:r>
      <w:r>
        <w:rPr>
          <w:sz w:val="18"/>
        </w:rPr>
        <w:t>Report,</w:t>
      </w:r>
      <w:r>
        <w:rPr>
          <w:spacing w:val="-6"/>
          <w:sz w:val="18"/>
        </w:rPr>
        <w:t xml:space="preserve"> </w:t>
      </w:r>
      <w:r>
        <w:rPr>
          <w:i/>
          <w:sz w:val="18"/>
        </w:rPr>
        <w:t>EC</w:t>
      </w:r>
      <w:r>
        <w:rPr>
          <w:i/>
          <w:spacing w:val="-7"/>
          <w:sz w:val="18"/>
        </w:rPr>
        <w:t xml:space="preserve"> </w:t>
      </w:r>
      <w:r>
        <w:rPr>
          <w:i/>
          <w:sz w:val="18"/>
        </w:rPr>
        <w:t>–</w:t>
      </w:r>
      <w:r>
        <w:rPr>
          <w:i/>
          <w:spacing w:val="-6"/>
          <w:sz w:val="18"/>
        </w:rPr>
        <w:t xml:space="preserve"> </w:t>
      </w:r>
      <w:r>
        <w:rPr>
          <w:i/>
          <w:sz w:val="18"/>
        </w:rPr>
        <w:t>Fasteners</w:t>
      </w:r>
      <w:r>
        <w:rPr>
          <w:i/>
          <w:spacing w:val="-6"/>
          <w:sz w:val="18"/>
        </w:rPr>
        <w:t xml:space="preserve"> </w:t>
      </w:r>
      <w:r>
        <w:rPr>
          <w:i/>
          <w:sz w:val="18"/>
        </w:rPr>
        <w:t>(China),</w:t>
      </w:r>
      <w:r>
        <w:rPr>
          <w:i/>
          <w:spacing w:val="-7"/>
          <w:sz w:val="18"/>
        </w:rPr>
        <w:t xml:space="preserve"> </w:t>
      </w:r>
      <w:r>
        <w:rPr>
          <w:sz w:val="18"/>
        </w:rPr>
        <w:t>para.</w:t>
      </w:r>
      <w:r>
        <w:rPr>
          <w:spacing w:val="-6"/>
          <w:sz w:val="18"/>
        </w:rPr>
        <w:t xml:space="preserve"> </w:t>
      </w:r>
      <w:r>
        <w:rPr>
          <w:sz w:val="18"/>
        </w:rPr>
        <w:t>413,</w:t>
      </w:r>
      <w:r>
        <w:rPr>
          <w:spacing w:val="-7"/>
          <w:sz w:val="18"/>
        </w:rPr>
        <w:t xml:space="preserve"> </w:t>
      </w:r>
      <w:r>
        <w:rPr>
          <w:sz w:val="18"/>
        </w:rPr>
        <w:t>Footnote</w:t>
      </w:r>
      <w:r>
        <w:rPr>
          <w:spacing w:val="-6"/>
          <w:sz w:val="18"/>
        </w:rPr>
        <w:t xml:space="preserve"> </w:t>
      </w:r>
      <w:r>
        <w:rPr>
          <w:sz w:val="18"/>
        </w:rPr>
        <w:t>to</w:t>
      </w:r>
      <w:r>
        <w:rPr>
          <w:spacing w:val="-6"/>
          <w:sz w:val="18"/>
        </w:rPr>
        <w:t xml:space="preserve"> </w:t>
      </w:r>
      <w:r>
        <w:rPr>
          <w:sz w:val="18"/>
        </w:rPr>
        <w:t>Article</w:t>
      </w:r>
      <w:r>
        <w:rPr>
          <w:spacing w:val="-6"/>
          <w:sz w:val="18"/>
        </w:rPr>
        <w:t xml:space="preserve"> </w:t>
      </w:r>
      <w:r>
        <w:rPr>
          <w:sz w:val="18"/>
        </w:rPr>
        <w:t>3</w:t>
      </w:r>
      <w:r>
        <w:rPr>
          <w:spacing w:val="-6"/>
          <w:sz w:val="18"/>
        </w:rPr>
        <w:t xml:space="preserve"> </w:t>
      </w:r>
      <w:r>
        <w:rPr>
          <w:sz w:val="18"/>
        </w:rPr>
        <w:t>of</w:t>
      </w:r>
      <w:r>
        <w:rPr>
          <w:spacing w:val="-7"/>
          <w:sz w:val="18"/>
        </w:rPr>
        <w:t xml:space="preserve"> </w:t>
      </w:r>
      <w:r>
        <w:rPr>
          <w:sz w:val="18"/>
        </w:rPr>
        <w:t>the</w:t>
      </w:r>
      <w:r>
        <w:rPr>
          <w:spacing w:val="-6"/>
          <w:sz w:val="18"/>
        </w:rPr>
        <w:t xml:space="preserve"> </w:t>
      </w:r>
      <w:r>
        <w:rPr>
          <w:sz w:val="18"/>
        </w:rPr>
        <w:t>Anti‐Dumping</w:t>
      </w:r>
      <w:r>
        <w:rPr>
          <w:spacing w:val="-6"/>
          <w:sz w:val="18"/>
        </w:rPr>
        <w:t xml:space="preserve"> </w:t>
      </w:r>
      <w:r>
        <w:rPr>
          <w:spacing w:val="-2"/>
          <w:sz w:val="18"/>
        </w:rPr>
        <w:t>Agreement.</w:t>
      </w:r>
    </w:p>
    <w:p w14:paraId="51DE9012" w14:textId="77777777" w:rsidR="0010369C" w:rsidRDefault="008E43AE">
      <w:pPr>
        <w:ind w:left="238"/>
        <w:rPr>
          <w:sz w:val="18"/>
        </w:rPr>
      </w:pPr>
      <w:r>
        <w:rPr>
          <w:sz w:val="18"/>
          <w:vertAlign w:val="superscript"/>
        </w:rPr>
        <w:t>713</w:t>
      </w:r>
      <w:r>
        <w:rPr>
          <w:spacing w:val="-5"/>
          <w:sz w:val="18"/>
        </w:rPr>
        <w:t xml:space="preserve"> </w:t>
      </w:r>
      <w:r>
        <w:rPr>
          <w:sz w:val="18"/>
        </w:rPr>
        <w:t>Panel</w:t>
      </w:r>
      <w:r>
        <w:rPr>
          <w:spacing w:val="-5"/>
          <w:sz w:val="18"/>
        </w:rPr>
        <w:t xml:space="preserve"> </w:t>
      </w:r>
      <w:r>
        <w:rPr>
          <w:sz w:val="18"/>
        </w:rPr>
        <w:t>Report,</w:t>
      </w:r>
      <w:r>
        <w:rPr>
          <w:spacing w:val="-4"/>
          <w:sz w:val="18"/>
        </w:rPr>
        <w:t xml:space="preserve"> </w:t>
      </w:r>
      <w:r>
        <w:rPr>
          <w:i/>
          <w:sz w:val="18"/>
        </w:rPr>
        <w:t>China</w:t>
      </w:r>
      <w:r>
        <w:rPr>
          <w:i/>
          <w:spacing w:val="-4"/>
          <w:sz w:val="18"/>
        </w:rPr>
        <w:t xml:space="preserve"> </w:t>
      </w:r>
      <w:r>
        <w:rPr>
          <w:i/>
          <w:sz w:val="18"/>
        </w:rPr>
        <w:t>–</w:t>
      </w:r>
      <w:r>
        <w:rPr>
          <w:i/>
          <w:spacing w:val="-5"/>
          <w:sz w:val="18"/>
        </w:rPr>
        <w:t xml:space="preserve"> </w:t>
      </w:r>
      <w:r>
        <w:rPr>
          <w:i/>
          <w:sz w:val="18"/>
        </w:rPr>
        <w:t>Autos</w:t>
      </w:r>
      <w:r>
        <w:rPr>
          <w:i/>
          <w:spacing w:val="-5"/>
          <w:sz w:val="18"/>
        </w:rPr>
        <w:t xml:space="preserve"> </w:t>
      </w:r>
      <w:r>
        <w:rPr>
          <w:i/>
          <w:sz w:val="18"/>
        </w:rPr>
        <w:t>(US)</w:t>
      </w:r>
      <w:r>
        <w:rPr>
          <w:sz w:val="18"/>
        </w:rPr>
        <w:t>,</w:t>
      </w:r>
      <w:r>
        <w:rPr>
          <w:spacing w:val="-5"/>
          <w:sz w:val="18"/>
        </w:rPr>
        <w:t xml:space="preserve"> </w:t>
      </w:r>
      <w:r>
        <w:rPr>
          <w:sz w:val="18"/>
        </w:rPr>
        <w:t>para.</w:t>
      </w:r>
      <w:r>
        <w:rPr>
          <w:spacing w:val="-4"/>
          <w:sz w:val="18"/>
        </w:rPr>
        <w:t xml:space="preserve"> </w:t>
      </w:r>
      <w:r>
        <w:rPr>
          <w:sz w:val="18"/>
        </w:rPr>
        <w:t>7.</w:t>
      </w:r>
      <w:r>
        <w:rPr>
          <w:spacing w:val="-5"/>
          <w:sz w:val="18"/>
        </w:rPr>
        <w:t xml:space="preserve"> </w:t>
      </w:r>
      <w:r>
        <w:rPr>
          <w:spacing w:val="-4"/>
          <w:sz w:val="18"/>
        </w:rPr>
        <w:t>210.</w:t>
      </w:r>
    </w:p>
    <w:p w14:paraId="51DE9013" w14:textId="77777777" w:rsidR="0010369C" w:rsidRDefault="0010369C">
      <w:pPr>
        <w:rPr>
          <w:sz w:val="18"/>
        </w:rPr>
        <w:sectPr w:rsidR="0010369C">
          <w:headerReference w:type="default" r:id="rId828"/>
          <w:footerReference w:type="default" r:id="rId829"/>
          <w:pgSz w:w="11910" w:h="16840"/>
          <w:pgMar w:top="880" w:right="800" w:bottom="980" w:left="1180" w:header="569" w:footer="788" w:gutter="0"/>
          <w:cols w:space="720"/>
        </w:sectPr>
      </w:pPr>
    </w:p>
    <w:p w14:paraId="51DE9014" w14:textId="77777777" w:rsidR="0010369C" w:rsidRDefault="008E43AE">
      <w:pPr>
        <w:tabs>
          <w:tab w:val="left" w:pos="6426"/>
        </w:tabs>
        <w:ind w:left="238"/>
        <w:jc w:val="both"/>
        <w:rPr>
          <w:sz w:val="20"/>
        </w:rPr>
      </w:pPr>
      <w:r>
        <w:rPr>
          <w:i/>
          <w:sz w:val="20"/>
        </w:rPr>
        <w:lastRenderedPageBreak/>
        <w:t>China</w:t>
      </w:r>
      <w:r>
        <w:rPr>
          <w:i/>
          <w:spacing w:val="-5"/>
          <w:sz w:val="20"/>
        </w:rPr>
        <w:t xml:space="preserve"> </w:t>
      </w:r>
      <w:r>
        <w:rPr>
          <w:i/>
          <w:sz w:val="20"/>
        </w:rPr>
        <w:t>–</w:t>
      </w:r>
      <w:r>
        <w:rPr>
          <w:i/>
          <w:spacing w:val="-5"/>
          <w:sz w:val="20"/>
        </w:rPr>
        <w:t xml:space="preserve"> </w:t>
      </w:r>
      <w:r>
        <w:rPr>
          <w:i/>
          <w:sz w:val="20"/>
        </w:rPr>
        <w:t>Anti‐Dumping</w:t>
      </w:r>
      <w:r>
        <w:rPr>
          <w:i/>
          <w:spacing w:val="-4"/>
          <w:sz w:val="20"/>
        </w:rPr>
        <w:t xml:space="preserve"> </w:t>
      </w:r>
      <w:r>
        <w:rPr>
          <w:i/>
          <w:sz w:val="20"/>
        </w:rPr>
        <w:t>and</w:t>
      </w:r>
      <w:r>
        <w:rPr>
          <w:i/>
          <w:spacing w:val="-5"/>
          <w:sz w:val="20"/>
        </w:rPr>
        <w:t xml:space="preserve"> </w:t>
      </w:r>
      <w:r>
        <w:rPr>
          <w:i/>
          <w:sz w:val="20"/>
        </w:rPr>
        <w:t>Countervailing</w:t>
      </w:r>
      <w:r>
        <w:rPr>
          <w:i/>
          <w:spacing w:val="-5"/>
          <w:sz w:val="20"/>
        </w:rPr>
        <w:t xml:space="preserve"> </w:t>
      </w:r>
      <w:r>
        <w:rPr>
          <w:i/>
          <w:sz w:val="20"/>
        </w:rPr>
        <w:t>Duty</w:t>
      </w:r>
      <w:r>
        <w:rPr>
          <w:i/>
          <w:spacing w:val="-4"/>
          <w:sz w:val="20"/>
        </w:rPr>
        <w:t xml:space="preserve"> </w:t>
      </w:r>
      <w:r>
        <w:rPr>
          <w:i/>
          <w:spacing w:val="-2"/>
          <w:sz w:val="20"/>
        </w:rPr>
        <w:t>Measures</w:t>
      </w:r>
      <w:r>
        <w:rPr>
          <w:i/>
          <w:sz w:val="20"/>
        </w:rPr>
        <w:tab/>
      </w:r>
      <w:r>
        <w:rPr>
          <w:sz w:val="20"/>
        </w:rPr>
        <w:t>Australia's</w:t>
      </w:r>
      <w:r>
        <w:rPr>
          <w:spacing w:val="-7"/>
          <w:sz w:val="20"/>
        </w:rPr>
        <w:t xml:space="preserve"> </w:t>
      </w:r>
      <w:r>
        <w:rPr>
          <w:sz w:val="20"/>
        </w:rPr>
        <w:t>First</w:t>
      </w:r>
      <w:r>
        <w:rPr>
          <w:spacing w:val="-2"/>
          <w:sz w:val="20"/>
        </w:rPr>
        <w:t xml:space="preserve"> </w:t>
      </w:r>
      <w:r>
        <w:rPr>
          <w:sz w:val="20"/>
        </w:rPr>
        <w:t>Written</w:t>
      </w:r>
      <w:r>
        <w:rPr>
          <w:spacing w:val="-2"/>
          <w:sz w:val="20"/>
        </w:rPr>
        <w:t xml:space="preserve"> Submission</w:t>
      </w:r>
    </w:p>
    <w:p w14:paraId="51DE9015" w14:textId="77777777" w:rsidR="0010369C" w:rsidRDefault="008E43AE">
      <w:pPr>
        <w:tabs>
          <w:tab w:val="left" w:pos="8228"/>
        </w:tabs>
        <w:spacing w:before="1"/>
        <w:ind w:left="239"/>
        <w:jc w:val="both"/>
        <w:rPr>
          <w:sz w:val="20"/>
        </w:rPr>
      </w:pPr>
      <w:r>
        <w:rPr>
          <w:i/>
          <w:sz w:val="20"/>
        </w:rPr>
        <w:t>on</w:t>
      </w:r>
      <w:r>
        <w:rPr>
          <w:i/>
          <w:spacing w:val="-1"/>
          <w:sz w:val="20"/>
        </w:rPr>
        <w:t xml:space="preserve"> </w:t>
      </w:r>
      <w:r>
        <w:rPr>
          <w:i/>
          <w:sz w:val="20"/>
        </w:rPr>
        <w:t>Wine</w:t>
      </w:r>
      <w:r>
        <w:rPr>
          <w:i/>
          <w:spacing w:val="-1"/>
          <w:sz w:val="20"/>
        </w:rPr>
        <w:t xml:space="preserve"> </w:t>
      </w:r>
      <w:r>
        <w:rPr>
          <w:i/>
          <w:sz w:val="20"/>
        </w:rPr>
        <w:t>from</w:t>
      </w:r>
      <w:r>
        <w:rPr>
          <w:i/>
          <w:spacing w:val="-3"/>
          <w:sz w:val="20"/>
        </w:rPr>
        <w:t xml:space="preserve"> </w:t>
      </w:r>
      <w:r>
        <w:rPr>
          <w:i/>
          <w:sz w:val="20"/>
        </w:rPr>
        <w:t>Australia</w:t>
      </w:r>
      <w:r>
        <w:rPr>
          <w:i/>
          <w:spacing w:val="-1"/>
          <w:sz w:val="20"/>
        </w:rPr>
        <w:t xml:space="preserve"> </w:t>
      </w:r>
      <w:r>
        <w:rPr>
          <w:spacing w:val="-2"/>
          <w:sz w:val="20"/>
        </w:rPr>
        <w:t>(DS602)</w:t>
      </w:r>
      <w:r>
        <w:rPr>
          <w:sz w:val="20"/>
        </w:rPr>
        <w:tab/>
        <w:t>29</w:t>
      </w:r>
      <w:r>
        <w:rPr>
          <w:spacing w:val="-1"/>
          <w:sz w:val="20"/>
        </w:rPr>
        <w:t xml:space="preserve"> </w:t>
      </w:r>
      <w:r>
        <w:rPr>
          <w:sz w:val="20"/>
        </w:rPr>
        <w:t>April</w:t>
      </w:r>
      <w:r>
        <w:rPr>
          <w:spacing w:val="-2"/>
          <w:sz w:val="20"/>
        </w:rPr>
        <w:t xml:space="preserve"> </w:t>
      </w:r>
      <w:r>
        <w:rPr>
          <w:spacing w:val="-4"/>
          <w:sz w:val="20"/>
        </w:rPr>
        <w:t>2022</w:t>
      </w:r>
    </w:p>
    <w:p w14:paraId="51DE9016" w14:textId="77777777" w:rsidR="0010369C" w:rsidRDefault="008E43AE">
      <w:pPr>
        <w:spacing w:before="35" w:line="276" w:lineRule="auto"/>
        <w:ind w:left="1090" w:right="613" w:hanging="1"/>
        <w:jc w:val="both"/>
      </w:pPr>
      <w:r>
        <w:t>effects on cash flow, inventories, employment, wages, growth, ability to raise capital or investments. This list is not exhaustive, nor can one or several of these factors necessarily give decisive guidance.</w:t>
      </w:r>
    </w:p>
    <w:p w14:paraId="51DE9017" w14:textId="77777777" w:rsidR="0010369C" w:rsidRDefault="0010369C">
      <w:pPr>
        <w:pStyle w:val="BodyText"/>
        <w:spacing w:before="4"/>
        <w:rPr>
          <w:sz w:val="15"/>
        </w:rPr>
      </w:pPr>
    </w:p>
    <w:p w14:paraId="51DE9018" w14:textId="77777777" w:rsidR="0010369C" w:rsidRDefault="008E43AE">
      <w:pPr>
        <w:pStyle w:val="BodyText"/>
        <w:spacing w:before="52" w:line="360" w:lineRule="auto"/>
        <w:ind w:left="237" w:right="615" w:firstLine="851"/>
        <w:jc w:val="both"/>
      </w:pPr>
      <w:r>
        <w:rPr>
          <w:noProof/>
        </w:rPr>
        <w:drawing>
          <wp:anchor distT="0" distB="0" distL="0" distR="0" simplePos="0" relativeHeight="251238912" behindDoc="1" locked="0" layoutInCell="1" allowOverlap="1" wp14:anchorId="51DEA4FC" wp14:editId="51DEA4FD">
            <wp:simplePos x="0" y="0"/>
            <wp:positionH relativeFrom="page">
              <wp:posOffset>905255</wp:posOffset>
            </wp:positionH>
            <wp:positionV relativeFrom="paragraph">
              <wp:posOffset>80595</wp:posOffset>
            </wp:positionV>
            <wp:extent cx="259079" cy="103631"/>
            <wp:effectExtent l="0" t="0" r="0" b="0"/>
            <wp:wrapNone/>
            <wp:docPr id="1221" name="image6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 name="image632.png"/>
                    <pic:cNvPicPr/>
                  </pic:nvPicPr>
                  <pic:blipFill>
                    <a:blip r:embed="rId830" cstate="print"/>
                    <a:stretch>
                      <a:fillRect/>
                    </a:stretch>
                  </pic:blipFill>
                  <pic:spPr>
                    <a:xfrm>
                      <a:off x="0" y="0"/>
                      <a:ext cx="259079" cy="103631"/>
                    </a:xfrm>
                    <a:prstGeom prst="rect">
                      <a:avLst/>
                    </a:prstGeom>
                  </pic:spPr>
                </pic:pic>
              </a:graphicData>
            </a:graphic>
          </wp:anchor>
        </w:drawing>
      </w:r>
      <w:r>
        <w:t>As</w:t>
      </w:r>
      <w:r>
        <w:rPr>
          <w:spacing w:val="-1"/>
        </w:rPr>
        <w:t xml:space="preserve"> </w:t>
      </w:r>
      <w:r>
        <w:t>with the analysis</w:t>
      </w:r>
      <w:r>
        <w:rPr>
          <w:spacing w:val="-1"/>
        </w:rPr>
        <w:t xml:space="preserve"> </w:t>
      </w:r>
      <w:r>
        <w:t>under the second sentence</w:t>
      </w:r>
      <w:r>
        <w:rPr>
          <w:spacing w:val="-1"/>
        </w:rPr>
        <w:t xml:space="preserve"> </w:t>
      </w:r>
      <w:r>
        <w:t>of Article 3.2, Article 3.4</w:t>
      </w:r>
      <w:r>
        <w:rPr>
          <w:spacing w:val="-1"/>
        </w:rPr>
        <w:t xml:space="preserve"> </w:t>
      </w:r>
      <w:r>
        <w:t>requires</w:t>
      </w:r>
      <w:r>
        <w:rPr>
          <w:spacing w:val="-1"/>
        </w:rPr>
        <w:t xml:space="preserve"> </w:t>
      </w:r>
      <w:r>
        <w:t>an examination</w:t>
      </w:r>
      <w:r>
        <w:rPr>
          <w:spacing w:val="-1"/>
        </w:rPr>
        <w:t xml:space="preserve"> </w:t>
      </w:r>
      <w:r>
        <w:t xml:space="preserve">of the relationship between the domestic industry and the subject imports. The Appellate Body addressed this point in </w:t>
      </w:r>
      <w:r>
        <w:rPr>
          <w:i/>
        </w:rPr>
        <w:t>China – GOES</w:t>
      </w:r>
      <w:r>
        <w:t>, explaining as follows:</w:t>
      </w:r>
    </w:p>
    <w:p w14:paraId="51DE9019" w14:textId="77777777" w:rsidR="0010369C" w:rsidRDefault="008E43AE">
      <w:pPr>
        <w:spacing w:before="161" w:line="276" w:lineRule="auto"/>
        <w:ind w:left="1088" w:right="613"/>
        <w:jc w:val="both"/>
      </w:pPr>
      <w:r>
        <w:t>Articles</w:t>
      </w:r>
      <w:r>
        <w:rPr>
          <w:spacing w:val="-4"/>
        </w:rPr>
        <w:t xml:space="preserve"> </w:t>
      </w:r>
      <w:r>
        <w:t>3.4</w:t>
      </w:r>
      <w:r>
        <w:rPr>
          <w:spacing w:val="-4"/>
        </w:rPr>
        <w:t xml:space="preserve"> </w:t>
      </w:r>
      <w:r>
        <w:t>and</w:t>
      </w:r>
      <w:r>
        <w:rPr>
          <w:spacing w:val="-4"/>
        </w:rPr>
        <w:t xml:space="preserve"> </w:t>
      </w:r>
      <w:r>
        <w:t>15.4</w:t>
      </w:r>
      <w:r>
        <w:rPr>
          <w:spacing w:val="-3"/>
        </w:rPr>
        <w:t xml:space="preserve"> </w:t>
      </w:r>
      <w:r>
        <w:t>thus</w:t>
      </w:r>
      <w:r>
        <w:rPr>
          <w:spacing w:val="-2"/>
        </w:rPr>
        <w:t xml:space="preserve"> </w:t>
      </w:r>
      <w:r>
        <w:t>do</w:t>
      </w:r>
      <w:r>
        <w:rPr>
          <w:spacing w:val="-3"/>
        </w:rPr>
        <w:t xml:space="preserve"> </w:t>
      </w:r>
      <w:r>
        <w:t>not</w:t>
      </w:r>
      <w:r>
        <w:rPr>
          <w:spacing w:val="-3"/>
        </w:rPr>
        <w:t xml:space="preserve"> </w:t>
      </w:r>
      <w:r>
        <w:t>merely</w:t>
      </w:r>
      <w:r>
        <w:rPr>
          <w:spacing w:val="-4"/>
        </w:rPr>
        <w:t xml:space="preserve"> </w:t>
      </w:r>
      <w:r>
        <w:t>require</w:t>
      </w:r>
      <w:r>
        <w:rPr>
          <w:spacing w:val="-4"/>
        </w:rPr>
        <w:t xml:space="preserve"> </w:t>
      </w:r>
      <w:r>
        <w:t>an</w:t>
      </w:r>
      <w:r>
        <w:rPr>
          <w:spacing w:val="-2"/>
        </w:rPr>
        <w:t xml:space="preserve"> </w:t>
      </w:r>
      <w:r>
        <w:t>examination</w:t>
      </w:r>
      <w:r>
        <w:rPr>
          <w:spacing w:val="-4"/>
        </w:rPr>
        <w:t xml:space="preserve"> </w:t>
      </w:r>
      <w:r>
        <w:t>of</w:t>
      </w:r>
      <w:r>
        <w:rPr>
          <w:spacing w:val="-4"/>
        </w:rPr>
        <w:t xml:space="preserve"> </w:t>
      </w:r>
      <w:r>
        <w:t>the</w:t>
      </w:r>
      <w:r>
        <w:rPr>
          <w:spacing w:val="-3"/>
        </w:rPr>
        <w:t xml:space="preserve"> </w:t>
      </w:r>
      <w:r>
        <w:t>state</w:t>
      </w:r>
      <w:r>
        <w:rPr>
          <w:spacing w:val="-3"/>
        </w:rPr>
        <w:t xml:space="preserve"> </w:t>
      </w:r>
      <w:r>
        <w:t>of</w:t>
      </w:r>
      <w:r>
        <w:rPr>
          <w:spacing w:val="-4"/>
        </w:rPr>
        <w:t xml:space="preserve"> </w:t>
      </w:r>
      <w:r>
        <w:t>the</w:t>
      </w:r>
      <w:r>
        <w:rPr>
          <w:spacing w:val="-3"/>
        </w:rPr>
        <w:t xml:space="preserve"> </w:t>
      </w:r>
      <w:r>
        <w:t xml:space="preserve">domestic industry, but contemplate that an investigating authority must derive an understanding of </w:t>
      </w:r>
      <w:r>
        <w:rPr>
          <w:i/>
        </w:rPr>
        <w:t>the</w:t>
      </w:r>
      <w:r>
        <w:rPr>
          <w:i/>
          <w:spacing w:val="-8"/>
        </w:rPr>
        <w:t xml:space="preserve"> </w:t>
      </w:r>
      <w:r>
        <w:rPr>
          <w:i/>
        </w:rPr>
        <w:t>impact</w:t>
      </w:r>
      <w:r>
        <w:rPr>
          <w:i/>
          <w:spacing w:val="-9"/>
        </w:rPr>
        <w:t xml:space="preserve"> </w:t>
      </w:r>
      <w:r>
        <w:rPr>
          <w:i/>
        </w:rPr>
        <w:t>of</w:t>
      </w:r>
      <w:r>
        <w:rPr>
          <w:i/>
          <w:spacing w:val="-8"/>
        </w:rPr>
        <w:t xml:space="preserve"> </w:t>
      </w:r>
      <w:r>
        <w:t>subject</w:t>
      </w:r>
      <w:r>
        <w:rPr>
          <w:spacing w:val="-8"/>
        </w:rPr>
        <w:t xml:space="preserve"> </w:t>
      </w:r>
      <w:r>
        <w:t>imports</w:t>
      </w:r>
      <w:r>
        <w:rPr>
          <w:spacing w:val="-8"/>
        </w:rPr>
        <w:t xml:space="preserve"> </w:t>
      </w:r>
      <w:r>
        <w:t>on</w:t>
      </w:r>
      <w:r>
        <w:rPr>
          <w:spacing w:val="-9"/>
        </w:rPr>
        <w:t xml:space="preserve"> </w:t>
      </w:r>
      <w:r>
        <w:t>the</w:t>
      </w:r>
      <w:r>
        <w:rPr>
          <w:spacing w:val="-9"/>
        </w:rPr>
        <w:t xml:space="preserve"> </w:t>
      </w:r>
      <w:r>
        <w:t>basis</w:t>
      </w:r>
      <w:r>
        <w:rPr>
          <w:spacing w:val="-8"/>
        </w:rPr>
        <w:t xml:space="preserve"> </w:t>
      </w:r>
      <w:r>
        <w:t>of</w:t>
      </w:r>
      <w:r>
        <w:rPr>
          <w:spacing w:val="-9"/>
        </w:rPr>
        <w:t xml:space="preserve"> </w:t>
      </w:r>
      <w:r>
        <w:t>such</w:t>
      </w:r>
      <w:r>
        <w:rPr>
          <w:spacing w:val="-9"/>
        </w:rPr>
        <w:t xml:space="preserve"> </w:t>
      </w:r>
      <w:r>
        <w:t>an</w:t>
      </w:r>
      <w:r>
        <w:rPr>
          <w:spacing w:val="-8"/>
        </w:rPr>
        <w:t xml:space="preserve"> </w:t>
      </w:r>
      <w:r>
        <w:t>examination.</w:t>
      </w:r>
      <w:r>
        <w:rPr>
          <w:spacing w:val="-11"/>
        </w:rPr>
        <w:t xml:space="preserve"> </w:t>
      </w:r>
      <w:r>
        <w:t>Consequently,</w:t>
      </w:r>
      <w:r>
        <w:rPr>
          <w:spacing w:val="-6"/>
        </w:rPr>
        <w:t xml:space="preserve"> </w:t>
      </w:r>
      <w:r>
        <w:t>Articles</w:t>
      </w:r>
      <w:r>
        <w:rPr>
          <w:spacing w:val="-9"/>
        </w:rPr>
        <w:t xml:space="preserve"> </w:t>
      </w:r>
      <w:r>
        <w:t>3.4 and 15.4 are concern</w:t>
      </w:r>
      <w:r>
        <w:t>ed with the relationship between subject imports and the state of the domestic industry, and this relationship is analytically akin to the type of link contemplated by the term "the effect of" under Articles</w:t>
      </w:r>
      <w:r>
        <w:rPr>
          <w:spacing w:val="-1"/>
        </w:rPr>
        <w:t xml:space="preserve"> </w:t>
      </w:r>
      <w:r>
        <w:t>3.2 and</w:t>
      </w:r>
      <w:r>
        <w:rPr>
          <w:spacing w:val="-1"/>
        </w:rPr>
        <w:t xml:space="preserve"> </w:t>
      </w:r>
      <w:r>
        <w:t>15.2.</w:t>
      </w:r>
      <w:r>
        <w:rPr>
          <w:spacing w:val="-1"/>
        </w:rPr>
        <w:t xml:space="preserve"> </w:t>
      </w:r>
      <w:r>
        <w:t>In other words, Articles 3.4</w:t>
      </w:r>
      <w:r>
        <w:rPr>
          <w:spacing w:val="-1"/>
        </w:rPr>
        <w:t xml:space="preserve"> </w:t>
      </w:r>
      <w:r>
        <w:t>and</w:t>
      </w:r>
      <w:r>
        <w:rPr>
          <w:spacing w:val="-2"/>
        </w:rPr>
        <w:t xml:space="preserve"> </w:t>
      </w:r>
      <w:r>
        <w:t>1</w:t>
      </w:r>
      <w:r>
        <w:t>5.4 require an examination of the explanatory force of subject imports for the state of the domestic industry.</w:t>
      </w:r>
      <w:r>
        <w:rPr>
          <w:vertAlign w:val="superscript"/>
        </w:rPr>
        <w:t>714</w:t>
      </w:r>
    </w:p>
    <w:p w14:paraId="51DE901A" w14:textId="77777777" w:rsidR="0010369C" w:rsidRDefault="0010369C">
      <w:pPr>
        <w:pStyle w:val="BodyText"/>
        <w:spacing w:before="4"/>
        <w:rPr>
          <w:sz w:val="15"/>
        </w:rPr>
      </w:pPr>
    </w:p>
    <w:p w14:paraId="51DE901B" w14:textId="77777777" w:rsidR="0010369C" w:rsidRDefault="008E43AE">
      <w:pPr>
        <w:spacing w:before="52" w:line="360" w:lineRule="auto"/>
        <w:ind w:left="237" w:right="614" w:firstLine="851"/>
        <w:jc w:val="both"/>
        <w:rPr>
          <w:sz w:val="24"/>
        </w:rPr>
      </w:pPr>
      <w:r>
        <w:rPr>
          <w:noProof/>
        </w:rPr>
        <w:drawing>
          <wp:anchor distT="0" distB="0" distL="0" distR="0" simplePos="0" relativeHeight="251239936" behindDoc="1" locked="0" layoutInCell="1" allowOverlap="1" wp14:anchorId="51DEA4FE" wp14:editId="51DEA4FF">
            <wp:simplePos x="0" y="0"/>
            <wp:positionH relativeFrom="page">
              <wp:posOffset>905255</wp:posOffset>
            </wp:positionH>
            <wp:positionV relativeFrom="paragraph">
              <wp:posOffset>81357</wp:posOffset>
            </wp:positionV>
            <wp:extent cx="259079" cy="103631"/>
            <wp:effectExtent l="0" t="0" r="0" b="0"/>
            <wp:wrapNone/>
            <wp:docPr id="1223" name="image6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 name="image633.png"/>
                    <pic:cNvPicPr/>
                  </pic:nvPicPr>
                  <pic:blipFill>
                    <a:blip r:embed="rId831" cstate="print"/>
                    <a:stretch>
                      <a:fillRect/>
                    </a:stretch>
                  </pic:blipFill>
                  <pic:spPr>
                    <a:xfrm>
                      <a:off x="0" y="0"/>
                      <a:ext cx="259079" cy="103631"/>
                    </a:xfrm>
                    <a:prstGeom prst="rect">
                      <a:avLst/>
                    </a:prstGeom>
                  </pic:spPr>
                </pic:pic>
              </a:graphicData>
            </a:graphic>
          </wp:anchor>
        </w:drawing>
      </w:r>
      <w:r>
        <w:rPr>
          <w:sz w:val="24"/>
        </w:rPr>
        <w:t>As</w:t>
      </w:r>
      <w:r>
        <w:rPr>
          <w:spacing w:val="-8"/>
          <w:sz w:val="24"/>
        </w:rPr>
        <w:t xml:space="preserve"> </w:t>
      </w:r>
      <w:r>
        <w:rPr>
          <w:sz w:val="24"/>
        </w:rPr>
        <w:t>to</w:t>
      </w:r>
      <w:r>
        <w:rPr>
          <w:spacing w:val="-7"/>
          <w:sz w:val="24"/>
        </w:rPr>
        <w:t xml:space="preserve"> </w:t>
      </w:r>
      <w:r>
        <w:rPr>
          <w:sz w:val="24"/>
        </w:rPr>
        <w:t>the</w:t>
      </w:r>
      <w:r>
        <w:rPr>
          <w:spacing w:val="-7"/>
          <w:sz w:val="24"/>
        </w:rPr>
        <w:t xml:space="preserve"> </w:t>
      </w:r>
      <w:r>
        <w:rPr>
          <w:sz w:val="24"/>
        </w:rPr>
        <w:t>factors</w:t>
      </w:r>
      <w:r>
        <w:rPr>
          <w:spacing w:val="-8"/>
          <w:sz w:val="24"/>
        </w:rPr>
        <w:t xml:space="preserve"> </w:t>
      </w:r>
      <w:r>
        <w:rPr>
          <w:sz w:val="24"/>
        </w:rPr>
        <w:t>to</w:t>
      </w:r>
      <w:r>
        <w:rPr>
          <w:spacing w:val="-7"/>
          <w:sz w:val="24"/>
        </w:rPr>
        <w:t xml:space="preserve"> </w:t>
      </w:r>
      <w:r>
        <w:rPr>
          <w:sz w:val="24"/>
        </w:rPr>
        <w:t>be</w:t>
      </w:r>
      <w:r>
        <w:rPr>
          <w:spacing w:val="-7"/>
          <w:sz w:val="24"/>
        </w:rPr>
        <w:t xml:space="preserve"> </w:t>
      </w:r>
      <w:r>
        <w:rPr>
          <w:sz w:val="24"/>
        </w:rPr>
        <w:t>addressed</w:t>
      </w:r>
      <w:r>
        <w:rPr>
          <w:spacing w:val="-8"/>
          <w:sz w:val="24"/>
        </w:rPr>
        <w:t xml:space="preserve"> </w:t>
      </w:r>
      <w:r>
        <w:rPr>
          <w:sz w:val="24"/>
        </w:rPr>
        <w:t>under</w:t>
      </w:r>
      <w:r>
        <w:rPr>
          <w:spacing w:val="-7"/>
          <w:sz w:val="24"/>
        </w:rPr>
        <w:t xml:space="preserve"> </w:t>
      </w:r>
      <w:r>
        <w:rPr>
          <w:sz w:val="24"/>
        </w:rPr>
        <w:t>Article</w:t>
      </w:r>
      <w:r>
        <w:rPr>
          <w:spacing w:val="-8"/>
          <w:sz w:val="24"/>
        </w:rPr>
        <w:t xml:space="preserve"> </w:t>
      </w:r>
      <w:r>
        <w:rPr>
          <w:sz w:val="24"/>
        </w:rPr>
        <w:t>3.4,</w:t>
      </w:r>
      <w:r>
        <w:rPr>
          <w:spacing w:val="-8"/>
          <w:sz w:val="24"/>
        </w:rPr>
        <w:t xml:space="preserve"> </w:t>
      </w:r>
      <w:r>
        <w:rPr>
          <w:sz w:val="24"/>
        </w:rPr>
        <w:t>the</w:t>
      </w:r>
      <w:r>
        <w:rPr>
          <w:spacing w:val="-7"/>
          <w:sz w:val="24"/>
        </w:rPr>
        <w:t xml:space="preserve"> </w:t>
      </w:r>
      <w:r>
        <w:rPr>
          <w:sz w:val="24"/>
        </w:rPr>
        <w:t>panel</w:t>
      </w:r>
      <w:r>
        <w:rPr>
          <w:spacing w:val="-8"/>
          <w:sz w:val="24"/>
        </w:rPr>
        <w:t xml:space="preserve"> </w:t>
      </w:r>
      <w:r>
        <w:rPr>
          <w:sz w:val="24"/>
        </w:rPr>
        <w:t>in</w:t>
      </w:r>
      <w:r>
        <w:rPr>
          <w:spacing w:val="-8"/>
          <w:sz w:val="24"/>
        </w:rPr>
        <w:t xml:space="preserve"> </w:t>
      </w:r>
      <w:r>
        <w:rPr>
          <w:i/>
          <w:sz w:val="24"/>
        </w:rPr>
        <w:t>Guatemala</w:t>
      </w:r>
      <w:r>
        <w:rPr>
          <w:i/>
          <w:spacing w:val="-3"/>
          <w:sz w:val="24"/>
        </w:rPr>
        <w:t xml:space="preserve"> </w:t>
      </w:r>
      <w:r>
        <w:rPr>
          <w:i/>
          <w:sz w:val="24"/>
        </w:rPr>
        <w:t>–</w:t>
      </w:r>
      <w:r>
        <w:rPr>
          <w:i/>
          <w:spacing w:val="-7"/>
          <w:sz w:val="24"/>
        </w:rPr>
        <w:t xml:space="preserve"> </w:t>
      </w:r>
      <w:r>
        <w:rPr>
          <w:i/>
          <w:sz w:val="24"/>
        </w:rPr>
        <w:t xml:space="preserve">Cement II </w:t>
      </w:r>
      <w:r>
        <w:rPr>
          <w:sz w:val="24"/>
        </w:rPr>
        <w:t>considered that:</w:t>
      </w:r>
    </w:p>
    <w:p w14:paraId="51DE901C" w14:textId="77777777" w:rsidR="0010369C" w:rsidRDefault="008E43AE">
      <w:pPr>
        <w:spacing w:before="160" w:line="276" w:lineRule="auto"/>
        <w:ind w:left="1088" w:right="613"/>
        <w:jc w:val="both"/>
      </w:pPr>
      <w:r>
        <w:t>Article 3.4 establishes a rebuttable presumption that those factors listed are relevant in giving guidance on whether the dumped imports have had an effect on the domestic industry. It is only after consideration of the listed factors that the investigatin</w:t>
      </w:r>
      <w:r>
        <w:t>g authority may dismiss some of them as not being relevant for the particular industry, thus in effect rebutting the presumption established in Article 3.4.</w:t>
      </w:r>
      <w:r>
        <w:rPr>
          <w:vertAlign w:val="superscript"/>
        </w:rPr>
        <w:t>715</w:t>
      </w:r>
    </w:p>
    <w:p w14:paraId="51DE901D" w14:textId="77777777" w:rsidR="0010369C" w:rsidRDefault="0010369C">
      <w:pPr>
        <w:pStyle w:val="BodyText"/>
        <w:spacing w:before="5"/>
        <w:rPr>
          <w:sz w:val="15"/>
        </w:rPr>
      </w:pPr>
    </w:p>
    <w:p w14:paraId="51DE901E" w14:textId="77777777" w:rsidR="0010369C" w:rsidRDefault="008E43AE">
      <w:pPr>
        <w:pStyle w:val="BodyText"/>
        <w:spacing w:before="51" w:line="360" w:lineRule="auto"/>
        <w:ind w:left="237" w:right="614" w:firstLine="851"/>
        <w:jc w:val="both"/>
      </w:pPr>
      <w:r>
        <w:rPr>
          <w:noProof/>
        </w:rPr>
        <w:drawing>
          <wp:anchor distT="0" distB="0" distL="0" distR="0" simplePos="0" relativeHeight="251240960" behindDoc="1" locked="0" layoutInCell="1" allowOverlap="1" wp14:anchorId="51DEA500" wp14:editId="51DEA501">
            <wp:simplePos x="0" y="0"/>
            <wp:positionH relativeFrom="page">
              <wp:posOffset>905255</wp:posOffset>
            </wp:positionH>
            <wp:positionV relativeFrom="paragraph">
              <wp:posOffset>80722</wp:posOffset>
            </wp:positionV>
            <wp:extent cx="259079" cy="103631"/>
            <wp:effectExtent l="0" t="0" r="0" b="0"/>
            <wp:wrapNone/>
            <wp:docPr id="1225" name="image6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 name="image634.png"/>
                    <pic:cNvPicPr/>
                  </pic:nvPicPr>
                  <pic:blipFill>
                    <a:blip r:embed="rId832" cstate="print"/>
                    <a:stretch>
                      <a:fillRect/>
                    </a:stretch>
                  </pic:blipFill>
                  <pic:spPr>
                    <a:xfrm>
                      <a:off x="0" y="0"/>
                      <a:ext cx="259079" cy="103631"/>
                    </a:xfrm>
                    <a:prstGeom prst="rect">
                      <a:avLst/>
                    </a:prstGeom>
                  </pic:spPr>
                </pic:pic>
              </a:graphicData>
            </a:graphic>
          </wp:anchor>
        </w:drawing>
      </w:r>
      <w:r>
        <w:t xml:space="preserve">The list of factors is not exhaustive. The panel in </w:t>
      </w:r>
      <w:r>
        <w:rPr>
          <w:i/>
        </w:rPr>
        <w:t xml:space="preserve">Mexico – Corn Syrup </w:t>
      </w:r>
      <w:r>
        <w:t>observed that "[t]here</w:t>
      </w:r>
      <w:r>
        <w:t xml:space="preserve"> may be other relevant economic factors in the circumstances of a particular case, consideration of which would also be required".</w:t>
      </w:r>
      <w:r>
        <w:rPr>
          <w:vertAlign w:val="superscript"/>
        </w:rPr>
        <w:t>716</w:t>
      </w:r>
    </w:p>
    <w:p w14:paraId="51DE901F" w14:textId="77777777" w:rsidR="0010369C" w:rsidRDefault="008E43AE">
      <w:pPr>
        <w:pStyle w:val="Heading4"/>
        <w:numPr>
          <w:ilvl w:val="0"/>
          <w:numId w:val="50"/>
        </w:numPr>
        <w:tabs>
          <w:tab w:val="left" w:pos="2648"/>
          <w:tab w:val="left" w:pos="2650"/>
        </w:tabs>
        <w:spacing w:before="160" w:line="360" w:lineRule="auto"/>
        <w:ind w:left="2648" w:right="617" w:hanging="850"/>
        <w:jc w:val="both"/>
      </w:pPr>
      <w:r>
        <w:t>MOFCOM's evaluation of the factors having a bearing on the domestic industry does not provide a satisfactory basis for the</w:t>
      </w:r>
      <w:r>
        <w:t xml:space="preserve"> injury determination</w:t>
      </w:r>
    </w:p>
    <w:p w14:paraId="51DE9020" w14:textId="77777777" w:rsidR="0010369C" w:rsidRDefault="0010369C">
      <w:pPr>
        <w:pStyle w:val="BodyText"/>
        <w:spacing w:before="11"/>
        <w:rPr>
          <w:b/>
          <w:sz w:val="8"/>
        </w:rPr>
      </w:pPr>
    </w:p>
    <w:p w14:paraId="51DE9021" w14:textId="77777777" w:rsidR="0010369C" w:rsidRDefault="008E43AE">
      <w:pPr>
        <w:pStyle w:val="BodyText"/>
        <w:spacing w:before="52" w:line="360" w:lineRule="auto"/>
        <w:ind w:left="237" w:right="613" w:firstLine="851"/>
        <w:jc w:val="both"/>
      </w:pPr>
      <w:r>
        <w:rPr>
          <w:noProof/>
        </w:rPr>
        <w:drawing>
          <wp:anchor distT="0" distB="0" distL="0" distR="0" simplePos="0" relativeHeight="251241984" behindDoc="1" locked="0" layoutInCell="1" allowOverlap="1" wp14:anchorId="51DEA502" wp14:editId="51DEA503">
            <wp:simplePos x="0" y="0"/>
            <wp:positionH relativeFrom="page">
              <wp:posOffset>905255</wp:posOffset>
            </wp:positionH>
            <wp:positionV relativeFrom="paragraph">
              <wp:posOffset>81357</wp:posOffset>
            </wp:positionV>
            <wp:extent cx="259079" cy="103632"/>
            <wp:effectExtent l="0" t="0" r="0" b="0"/>
            <wp:wrapNone/>
            <wp:docPr id="1227" name="image6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 name="image635.png"/>
                    <pic:cNvPicPr/>
                  </pic:nvPicPr>
                  <pic:blipFill>
                    <a:blip r:embed="rId833" cstate="print"/>
                    <a:stretch>
                      <a:fillRect/>
                    </a:stretch>
                  </pic:blipFill>
                  <pic:spPr>
                    <a:xfrm>
                      <a:off x="0" y="0"/>
                      <a:ext cx="259079" cy="103632"/>
                    </a:xfrm>
                    <a:prstGeom prst="rect">
                      <a:avLst/>
                    </a:prstGeom>
                  </pic:spPr>
                </pic:pic>
              </a:graphicData>
            </a:graphic>
          </wp:anchor>
        </w:drawing>
      </w:r>
      <w:r>
        <w:t>In the Final Determination, MOFCOM summarised data relating to 16 economic factors.</w:t>
      </w:r>
      <w:r>
        <w:rPr>
          <w:spacing w:val="-1"/>
        </w:rPr>
        <w:t xml:space="preserve"> </w:t>
      </w:r>
      <w:r>
        <w:t>It</w:t>
      </w:r>
      <w:r>
        <w:rPr>
          <w:spacing w:val="-2"/>
        </w:rPr>
        <w:t xml:space="preserve"> </w:t>
      </w:r>
      <w:r>
        <w:t>then</w:t>
      </w:r>
      <w:r>
        <w:rPr>
          <w:spacing w:val="-2"/>
        </w:rPr>
        <w:t xml:space="preserve"> </w:t>
      </w:r>
      <w:r>
        <w:t>performed</w:t>
      </w:r>
      <w:r>
        <w:rPr>
          <w:spacing w:val="-1"/>
        </w:rPr>
        <w:t xml:space="preserve"> </w:t>
      </w:r>
      <w:r>
        <w:t>a</w:t>
      </w:r>
      <w:r>
        <w:rPr>
          <w:spacing w:val="-1"/>
        </w:rPr>
        <w:t xml:space="preserve"> </w:t>
      </w:r>
      <w:r>
        <w:t>high‐level</w:t>
      </w:r>
      <w:r>
        <w:rPr>
          <w:spacing w:val="-1"/>
        </w:rPr>
        <w:t xml:space="preserve"> </w:t>
      </w:r>
      <w:r>
        <w:t>assessment</w:t>
      </w:r>
      <w:r>
        <w:rPr>
          <w:spacing w:val="-2"/>
        </w:rPr>
        <w:t xml:space="preserve"> </w:t>
      </w:r>
      <w:r>
        <w:t>of</w:t>
      </w:r>
      <w:r>
        <w:rPr>
          <w:spacing w:val="-2"/>
        </w:rPr>
        <w:t xml:space="preserve"> </w:t>
      </w:r>
      <w:r>
        <w:t>overall</w:t>
      </w:r>
      <w:r>
        <w:rPr>
          <w:spacing w:val="-2"/>
        </w:rPr>
        <w:t xml:space="preserve"> </w:t>
      </w:r>
      <w:r>
        <w:t>trends</w:t>
      </w:r>
      <w:r>
        <w:rPr>
          <w:spacing w:val="-2"/>
        </w:rPr>
        <w:t xml:space="preserve"> </w:t>
      </w:r>
      <w:r>
        <w:t>relating</w:t>
      </w:r>
      <w:r>
        <w:rPr>
          <w:spacing w:val="-2"/>
        </w:rPr>
        <w:t xml:space="preserve"> </w:t>
      </w:r>
      <w:r>
        <w:t>to</w:t>
      </w:r>
      <w:r>
        <w:rPr>
          <w:spacing w:val="-1"/>
        </w:rPr>
        <w:t xml:space="preserve"> </w:t>
      </w:r>
      <w:r>
        <w:t>some</w:t>
      </w:r>
      <w:r>
        <w:rPr>
          <w:spacing w:val="-1"/>
        </w:rPr>
        <w:t xml:space="preserve"> </w:t>
      </w:r>
      <w:r>
        <w:t>of</w:t>
      </w:r>
      <w:r>
        <w:rPr>
          <w:spacing w:val="-2"/>
        </w:rPr>
        <w:t xml:space="preserve"> </w:t>
      </w:r>
      <w:r>
        <w:t>these factors</w:t>
      </w:r>
      <w:r>
        <w:rPr>
          <w:spacing w:val="34"/>
        </w:rPr>
        <w:t xml:space="preserve"> </w:t>
      </w:r>
      <w:r>
        <w:t>in</w:t>
      </w:r>
      <w:r>
        <w:rPr>
          <w:spacing w:val="34"/>
        </w:rPr>
        <w:t xml:space="preserve"> </w:t>
      </w:r>
      <w:r>
        <w:t>order</w:t>
      </w:r>
      <w:r>
        <w:rPr>
          <w:spacing w:val="35"/>
        </w:rPr>
        <w:t xml:space="preserve"> </w:t>
      </w:r>
      <w:r>
        <w:t>to</w:t>
      </w:r>
      <w:r>
        <w:rPr>
          <w:spacing w:val="36"/>
        </w:rPr>
        <w:t xml:space="preserve"> </w:t>
      </w:r>
      <w:r>
        <w:t>arrive</w:t>
      </w:r>
      <w:r>
        <w:rPr>
          <w:spacing w:val="34"/>
        </w:rPr>
        <w:t xml:space="preserve"> </w:t>
      </w:r>
      <w:r>
        <w:t>at</w:t>
      </w:r>
      <w:r>
        <w:rPr>
          <w:spacing w:val="34"/>
        </w:rPr>
        <w:t xml:space="preserve"> </w:t>
      </w:r>
      <w:r>
        <w:t>its</w:t>
      </w:r>
      <w:r>
        <w:rPr>
          <w:spacing w:val="34"/>
        </w:rPr>
        <w:t xml:space="preserve"> </w:t>
      </w:r>
      <w:r>
        <w:t>overall</w:t>
      </w:r>
      <w:r>
        <w:rPr>
          <w:spacing w:val="36"/>
        </w:rPr>
        <w:t xml:space="preserve"> </w:t>
      </w:r>
      <w:r>
        <w:t>conclusion</w:t>
      </w:r>
      <w:r>
        <w:rPr>
          <w:spacing w:val="35"/>
        </w:rPr>
        <w:t xml:space="preserve"> </w:t>
      </w:r>
      <w:r>
        <w:t>that</w:t>
      </w:r>
      <w:r>
        <w:rPr>
          <w:spacing w:val="34"/>
        </w:rPr>
        <w:t xml:space="preserve"> </w:t>
      </w:r>
      <w:r>
        <w:t>"the</w:t>
      </w:r>
      <w:r>
        <w:rPr>
          <w:spacing w:val="35"/>
        </w:rPr>
        <w:t xml:space="preserve"> </w:t>
      </w:r>
      <w:r>
        <w:t>production</w:t>
      </w:r>
      <w:r>
        <w:rPr>
          <w:spacing w:val="35"/>
        </w:rPr>
        <w:t xml:space="preserve"> </w:t>
      </w:r>
      <w:r>
        <w:t>and</w:t>
      </w:r>
      <w:r>
        <w:rPr>
          <w:spacing w:val="34"/>
        </w:rPr>
        <w:t xml:space="preserve"> </w:t>
      </w:r>
      <w:r>
        <w:t>operation</w:t>
      </w:r>
      <w:r>
        <w:rPr>
          <w:spacing w:val="34"/>
        </w:rPr>
        <w:t xml:space="preserve"> </w:t>
      </w:r>
      <w:r>
        <w:rPr>
          <w:spacing w:val="-5"/>
        </w:rPr>
        <w:t>of</w:t>
      </w:r>
    </w:p>
    <w:p w14:paraId="51DE9022" w14:textId="77777777" w:rsidR="0010369C" w:rsidRDefault="0010369C">
      <w:pPr>
        <w:pStyle w:val="BodyText"/>
        <w:rPr>
          <w:sz w:val="20"/>
        </w:rPr>
      </w:pPr>
    </w:p>
    <w:p w14:paraId="51DE9023" w14:textId="77777777" w:rsidR="0010369C" w:rsidRDefault="0010369C">
      <w:pPr>
        <w:pStyle w:val="BodyText"/>
        <w:rPr>
          <w:sz w:val="20"/>
        </w:rPr>
      </w:pPr>
    </w:p>
    <w:p w14:paraId="51DE9024" w14:textId="77777777" w:rsidR="0010369C" w:rsidRDefault="008E43AE">
      <w:pPr>
        <w:pStyle w:val="BodyText"/>
        <w:spacing w:before="8"/>
        <w:rPr>
          <w:sz w:val="20"/>
        </w:rPr>
      </w:pPr>
      <w:r>
        <w:pict w14:anchorId="51DEA504">
          <v:rect id="docshape1105" o:spid="_x0000_s1280" style="position:absolute;margin-left:70.9pt;margin-top:13.85pt;width:2in;height:.8pt;z-index:-250812928;mso-wrap-distance-left:0;mso-wrap-distance-right:0;mso-position-horizontal-relative:page" fillcolor="black" stroked="f">
            <w10:wrap type="topAndBottom" anchorx="page"/>
          </v:rect>
        </w:pict>
      </w:r>
    </w:p>
    <w:p w14:paraId="51DE9025" w14:textId="77777777" w:rsidR="0010369C" w:rsidRDefault="008E43AE">
      <w:pPr>
        <w:spacing w:before="109"/>
        <w:ind w:left="238"/>
        <w:rPr>
          <w:sz w:val="18"/>
        </w:rPr>
      </w:pPr>
      <w:r>
        <w:rPr>
          <w:sz w:val="18"/>
          <w:vertAlign w:val="superscript"/>
        </w:rPr>
        <w:t>714</w:t>
      </w:r>
      <w:r>
        <w:rPr>
          <w:spacing w:val="-6"/>
          <w:sz w:val="18"/>
        </w:rPr>
        <w:t xml:space="preserve"> </w:t>
      </w:r>
      <w:r>
        <w:rPr>
          <w:sz w:val="18"/>
        </w:rPr>
        <w:t>Appellate</w:t>
      </w:r>
      <w:r>
        <w:rPr>
          <w:spacing w:val="-5"/>
          <w:sz w:val="18"/>
        </w:rPr>
        <w:t xml:space="preserve"> </w:t>
      </w:r>
      <w:r>
        <w:rPr>
          <w:sz w:val="18"/>
        </w:rPr>
        <w:t>Body</w:t>
      </w:r>
      <w:r>
        <w:rPr>
          <w:spacing w:val="-7"/>
          <w:sz w:val="18"/>
        </w:rPr>
        <w:t xml:space="preserve"> </w:t>
      </w:r>
      <w:r>
        <w:rPr>
          <w:sz w:val="18"/>
        </w:rPr>
        <w:t>Report,</w:t>
      </w:r>
      <w:r>
        <w:rPr>
          <w:spacing w:val="-6"/>
          <w:sz w:val="18"/>
        </w:rPr>
        <w:t xml:space="preserve"> </w:t>
      </w:r>
      <w:r>
        <w:rPr>
          <w:i/>
          <w:sz w:val="18"/>
        </w:rPr>
        <w:t>China</w:t>
      </w:r>
      <w:r>
        <w:rPr>
          <w:i/>
          <w:spacing w:val="-5"/>
          <w:sz w:val="18"/>
        </w:rPr>
        <w:t xml:space="preserve"> </w:t>
      </w:r>
      <w:r>
        <w:rPr>
          <w:i/>
          <w:sz w:val="18"/>
        </w:rPr>
        <w:t>–</w:t>
      </w:r>
      <w:r>
        <w:rPr>
          <w:i/>
          <w:spacing w:val="-5"/>
          <w:sz w:val="18"/>
        </w:rPr>
        <w:t xml:space="preserve"> </w:t>
      </w:r>
      <w:r>
        <w:rPr>
          <w:i/>
          <w:sz w:val="18"/>
        </w:rPr>
        <w:t>GOES</w:t>
      </w:r>
      <w:r>
        <w:rPr>
          <w:sz w:val="18"/>
        </w:rPr>
        <w:t>,</w:t>
      </w:r>
      <w:r>
        <w:rPr>
          <w:spacing w:val="-6"/>
          <w:sz w:val="18"/>
        </w:rPr>
        <w:t xml:space="preserve"> </w:t>
      </w:r>
      <w:r>
        <w:rPr>
          <w:sz w:val="18"/>
        </w:rPr>
        <w:t>para.</w:t>
      </w:r>
      <w:r>
        <w:rPr>
          <w:spacing w:val="-5"/>
          <w:sz w:val="18"/>
        </w:rPr>
        <w:t xml:space="preserve"> </w:t>
      </w:r>
      <w:r>
        <w:rPr>
          <w:sz w:val="18"/>
        </w:rPr>
        <w:t>149.</w:t>
      </w:r>
      <w:r>
        <w:rPr>
          <w:spacing w:val="-6"/>
          <w:sz w:val="18"/>
        </w:rPr>
        <w:t xml:space="preserve"> </w:t>
      </w:r>
      <w:r>
        <w:rPr>
          <w:sz w:val="18"/>
        </w:rPr>
        <w:t>(original</w:t>
      </w:r>
      <w:r>
        <w:rPr>
          <w:spacing w:val="-6"/>
          <w:sz w:val="18"/>
        </w:rPr>
        <w:t xml:space="preserve"> </w:t>
      </w:r>
      <w:r>
        <w:rPr>
          <w:spacing w:val="-2"/>
          <w:sz w:val="18"/>
        </w:rPr>
        <w:t>emphasis)</w:t>
      </w:r>
    </w:p>
    <w:p w14:paraId="51DE9026" w14:textId="77777777" w:rsidR="0010369C" w:rsidRDefault="008E43AE">
      <w:pPr>
        <w:ind w:left="238"/>
        <w:rPr>
          <w:sz w:val="18"/>
        </w:rPr>
      </w:pPr>
      <w:r>
        <w:rPr>
          <w:sz w:val="18"/>
          <w:vertAlign w:val="superscript"/>
        </w:rPr>
        <w:t>715</w:t>
      </w:r>
      <w:r>
        <w:rPr>
          <w:spacing w:val="-6"/>
          <w:sz w:val="18"/>
        </w:rPr>
        <w:t xml:space="preserve"> </w:t>
      </w:r>
      <w:r>
        <w:rPr>
          <w:sz w:val="18"/>
        </w:rPr>
        <w:t>Panel</w:t>
      </w:r>
      <w:r>
        <w:rPr>
          <w:spacing w:val="-6"/>
          <w:sz w:val="18"/>
        </w:rPr>
        <w:t xml:space="preserve"> </w:t>
      </w:r>
      <w:r>
        <w:rPr>
          <w:sz w:val="18"/>
        </w:rPr>
        <w:t>Report,</w:t>
      </w:r>
      <w:r>
        <w:rPr>
          <w:spacing w:val="-6"/>
          <w:sz w:val="18"/>
        </w:rPr>
        <w:t xml:space="preserve"> </w:t>
      </w:r>
      <w:r>
        <w:rPr>
          <w:i/>
          <w:sz w:val="18"/>
        </w:rPr>
        <w:t>Guatemala</w:t>
      </w:r>
      <w:r>
        <w:rPr>
          <w:i/>
          <w:spacing w:val="-6"/>
          <w:sz w:val="18"/>
        </w:rPr>
        <w:t xml:space="preserve"> </w:t>
      </w:r>
      <w:r>
        <w:rPr>
          <w:i/>
          <w:sz w:val="18"/>
        </w:rPr>
        <w:t>–</w:t>
      </w:r>
      <w:r>
        <w:rPr>
          <w:i/>
          <w:spacing w:val="-6"/>
          <w:sz w:val="18"/>
        </w:rPr>
        <w:t xml:space="preserve"> </w:t>
      </w:r>
      <w:r>
        <w:rPr>
          <w:i/>
          <w:sz w:val="18"/>
        </w:rPr>
        <w:t>Cement</w:t>
      </w:r>
      <w:r>
        <w:rPr>
          <w:i/>
          <w:spacing w:val="-6"/>
          <w:sz w:val="18"/>
        </w:rPr>
        <w:t xml:space="preserve"> </w:t>
      </w:r>
      <w:r>
        <w:rPr>
          <w:i/>
          <w:sz w:val="18"/>
        </w:rPr>
        <w:t>II</w:t>
      </w:r>
      <w:r>
        <w:rPr>
          <w:sz w:val="18"/>
        </w:rPr>
        <w:t>,</w:t>
      </w:r>
      <w:r>
        <w:rPr>
          <w:spacing w:val="-6"/>
          <w:sz w:val="18"/>
        </w:rPr>
        <w:t xml:space="preserve"> </w:t>
      </w:r>
      <w:r>
        <w:rPr>
          <w:sz w:val="18"/>
        </w:rPr>
        <w:t>para.</w:t>
      </w:r>
      <w:r>
        <w:rPr>
          <w:spacing w:val="-6"/>
          <w:sz w:val="18"/>
        </w:rPr>
        <w:t xml:space="preserve"> </w:t>
      </w:r>
      <w:r>
        <w:rPr>
          <w:spacing w:val="-2"/>
          <w:sz w:val="18"/>
        </w:rPr>
        <w:t>8.283.</w:t>
      </w:r>
    </w:p>
    <w:p w14:paraId="51DE9027" w14:textId="77777777" w:rsidR="0010369C" w:rsidRDefault="008E43AE">
      <w:pPr>
        <w:ind w:left="238"/>
        <w:rPr>
          <w:sz w:val="18"/>
        </w:rPr>
      </w:pPr>
      <w:r>
        <w:rPr>
          <w:sz w:val="18"/>
          <w:vertAlign w:val="superscript"/>
        </w:rPr>
        <w:t>716</w:t>
      </w:r>
      <w:r>
        <w:rPr>
          <w:spacing w:val="-6"/>
          <w:sz w:val="18"/>
        </w:rPr>
        <w:t xml:space="preserve"> </w:t>
      </w:r>
      <w:r>
        <w:rPr>
          <w:sz w:val="18"/>
        </w:rPr>
        <w:t>Panel</w:t>
      </w:r>
      <w:r>
        <w:rPr>
          <w:spacing w:val="-6"/>
          <w:sz w:val="18"/>
        </w:rPr>
        <w:t xml:space="preserve"> </w:t>
      </w:r>
      <w:r>
        <w:rPr>
          <w:sz w:val="18"/>
        </w:rPr>
        <w:t>Report,</w:t>
      </w:r>
      <w:r>
        <w:rPr>
          <w:spacing w:val="-6"/>
          <w:sz w:val="18"/>
        </w:rPr>
        <w:t xml:space="preserve"> </w:t>
      </w:r>
      <w:r>
        <w:rPr>
          <w:i/>
          <w:sz w:val="18"/>
        </w:rPr>
        <w:t>Mexico</w:t>
      </w:r>
      <w:r>
        <w:rPr>
          <w:i/>
          <w:spacing w:val="-5"/>
          <w:sz w:val="18"/>
        </w:rPr>
        <w:t xml:space="preserve"> </w:t>
      </w:r>
      <w:r>
        <w:rPr>
          <w:i/>
          <w:sz w:val="18"/>
        </w:rPr>
        <w:t>–</w:t>
      </w:r>
      <w:r>
        <w:rPr>
          <w:i/>
          <w:spacing w:val="-6"/>
          <w:sz w:val="18"/>
        </w:rPr>
        <w:t xml:space="preserve"> </w:t>
      </w:r>
      <w:r>
        <w:rPr>
          <w:i/>
          <w:sz w:val="18"/>
        </w:rPr>
        <w:t>Corn</w:t>
      </w:r>
      <w:r>
        <w:rPr>
          <w:i/>
          <w:spacing w:val="-5"/>
          <w:sz w:val="18"/>
        </w:rPr>
        <w:t xml:space="preserve"> </w:t>
      </w:r>
      <w:r>
        <w:rPr>
          <w:i/>
          <w:sz w:val="18"/>
        </w:rPr>
        <w:t>Syrup</w:t>
      </w:r>
      <w:r>
        <w:rPr>
          <w:sz w:val="18"/>
        </w:rPr>
        <w:t>,</w:t>
      </w:r>
      <w:r>
        <w:rPr>
          <w:spacing w:val="-6"/>
          <w:sz w:val="18"/>
        </w:rPr>
        <w:t xml:space="preserve"> </w:t>
      </w:r>
      <w:r>
        <w:rPr>
          <w:sz w:val="18"/>
        </w:rPr>
        <w:t>para.</w:t>
      </w:r>
      <w:r>
        <w:rPr>
          <w:spacing w:val="-6"/>
          <w:sz w:val="18"/>
        </w:rPr>
        <w:t xml:space="preserve"> </w:t>
      </w:r>
      <w:r>
        <w:rPr>
          <w:spacing w:val="-2"/>
          <w:sz w:val="18"/>
        </w:rPr>
        <w:t>7.128.</w:t>
      </w:r>
    </w:p>
    <w:p w14:paraId="51DE9028" w14:textId="77777777" w:rsidR="0010369C" w:rsidRDefault="0010369C">
      <w:pPr>
        <w:rPr>
          <w:sz w:val="18"/>
        </w:rPr>
        <w:sectPr w:rsidR="0010369C">
          <w:pgSz w:w="11910" w:h="16840"/>
          <w:pgMar w:top="880" w:right="800" w:bottom="980" w:left="1180" w:header="569" w:footer="788" w:gutter="0"/>
          <w:cols w:space="720"/>
        </w:sectPr>
      </w:pPr>
    </w:p>
    <w:p w14:paraId="51DE9029" w14:textId="77777777" w:rsidR="0010369C" w:rsidRDefault="008E43AE">
      <w:pPr>
        <w:tabs>
          <w:tab w:val="left" w:pos="6426"/>
        </w:tabs>
        <w:ind w:left="238"/>
        <w:rPr>
          <w:sz w:val="20"/>
        </w:rPr>
      </w:pPr>
      <w:r>
        <w:rPr>
          <w:i/>
          <w:sz w:val="20"/>
        </w:rPr>
        <w:lastRenderedPageBreak/>
        <w:t>China</w:t>
      </w:r>
      <w:r>
        <w:rPr>
          <w:i/>
          <w:spacing w:val="-5"/>
          <w:sz w:val="20"/>
        </w:rPr>
        <w:t xml:space="preserve"> </w:t>
      </w:r>
      <w:r>
        <w:rPr>
          <w:i/>
          <w:sz w:val="20"/>
        </w:rPr>
        <w:t>–</w:t>
      </w:r>
      <w:r>
        <w:rPr>
          <w:i/>
          <w:spacing w:val="-5"/>
          <w:sz w:val="20"/>
        </w:rPr>
        <w:t xml:space="preserve"> </w:t>
      </w:r>
      <w:r>
        <w:rPr>
          <w:i/>
          <w:sz w:val="20"/>
        </w:rPr>
        <w:t>Anti‐Dumping</w:t>
      </w:r>
      <w:r>
        <w:rPr>
          <w:i/>
          <w:spacing w:val="-4"/>
          <w:sz w:val="20"/>
        </w:rPr>
        <w:t xml:space="preserve"> </w:t>
      </w:r>
      <w:r>
        <w:rPr>
          <w:i/>
          <w:sz w:val="20"/>
        </w:rPr>
        <w:t>and</w:t>
      </w:r>
      <w:r>
        <w:rPr>
          <w:i/>
          <w:spacing w:val="-5"/>
          <w:sz w:val="20"/>
        </w:rPr>
        <w:t xml:space="preserve"> </w:t>
      </w:r>
      <w:r>
        <w:rPr>
          <w:i/>
          <w:sz w:val="20"/>
        </w:rPr>
        <w:t>Countervailing</w:t>
      </w:r>
      <w:r>
        <w:rPr>
          <w:i/>
          <w:spacing w:val="-5"/>
          <w:sz w:val="20"/>
        </w:rPr>
        <w:t xml:space="preserve"> </w:t>
      </w:r>
      <w:r>
        <w:rPr>
          <w:i/>
          <w:sz w:val="20"/>
        </w:rPr>
        <w:t>Duty</w:t>
      </w:r>
      <w:r>
        <w:rPr>
          <w:i/>
          <w:spacing w:val="-4"/>
          <w:sz w:val="20"/>
        </w:rPr>
        <w:t xml:space="preserve"> </w:t>
      </w:r>
      <w:r>
        <w:rPr>
          <w:i/>
          <w:spacing w:val="-2"/>
          <w:sz w:val="20"/>
        </w:rPr>
        <w:t>Measures</w:t>
      </w:r>
      <w:r>
        <w:rPr>
          <w:i/>
          <w:sz w:val="20"/>
        </w:rPr>
        <w:tab/>
      </w:r>
      <w:r>
        <w:rPr>
          <w:sz w:val="20"/>
        </w:rPr>
        <w:t>Australia's</w:t>
      </w:r>
      <w:r>
        <w:rPr>
          <w:spacing w:val="-7"/>
          <w:sz w:val="20"/>
        </w:rPr>
        <w:t xml:space="preserve"> </w:t>
      </w:r>
      <w:r>
        <w:rPr>
          <w:sz w:val="20"/>
        </w:rPr>
        <w:t>First</w:t>
      </w:r>
      <w:r>
        <w:rPr>
          <w:spacing w:val="-2"/>
          <w:sz w:val="20"/>
        </w:rPr>
        <w:t xml:space="preserve"> </w:t>
      </w:r>
      <w:r>
        <w:rPr>
          <w:sz w:val="20"/>
        </w:rPr>
        <w:t>Written</w:t>
      </w:r>
      <w:r>
        <w:rPr>
          <w:spacing w:val="-2"/>
          <w:sz w:val="20"/>
        </w:rPr>
        <w:t xml:space="preserve"> Submission</w:t>
      </w:r>
    </w:p>
    <w:p w14:paraId="51DE902A" w14:textId="77777777" w:rsidR="0010369C" w:rsidRDefault="008E43AE">
      <w:pPr>
        <w:tabs>
          <w:tab w:val="left" w:pos="8228"/>
        </w:tabs>
        <w:spacing w:before="1"/>
        <w:ind w:left="239"/>
        <w:rPr>
          <w:sz w:val="20"/>
        </w:rPr>
      </w:pPr>
      <w:r>
        <w:rPr>
          <w:i/>
          <w:sz w:val="20"/>
        </w:rPr>
        <w:t>on</w:t>
      </w:r>
      <w:r>
        <w:rPr>
          <w:i/>
          <w:spacing w:val="-1"/>
          <w:sz w:val="20"/>
        </w:rPr>
        <w:t xml:space="preserve"> </w:t>
      </w:r>
      <w:r>
        <w:rPr>
          <w:i/>
          <w:sz w:val="20"/>
        </w:rPr>
        <w:t>Wine</w:t>
      </w:r>
      <w:r>
        <w:rPr>
          <w:i/>
          <w:spacing w:val="-1"/>
          <w:sz w:val="20"/>
        </w:rPr>
        <w:t xml:space="preserve"> </w:t>
      </w:r>
      <w:r>
        <w:rPr>
          <w:i/>
          <w:sz w:val="20"/>
        </w:rPr>
        <w:t>from</w:t>
      </w:r>
      <w:r>
        <w:rPr>
          <w:i/>
          <w:spacing w:val="-3"/>
          <w:sz w:val="20"/>
        </w:rPr>
        <w:t xml:space="preserve"> </w:t>
      </w:r>
      <w:r>
        <w:rPr>
          <w:i/>
          <w:sz w:val="20"/>
        </w:rPr>
        <w:t>Australia</w:t>
      </w:r>
      <w:r>
        <w:rPr>
          <w:i/>
          <w:spacing w:val="-1"/>
          <w:sz w:val="20"/>
        </w:rPr>
        <w:t xml:space="preserve"> </w:t>
      </w:r>
      <w:r>
        <w:rPr>
          <w:spacing w:val="-2"/>
          <w:sz w:val="20"/>
        </w:rPr>
        <w:t>(DS602)</w:t>
      </w:r>
      <w:r>
        <w:rPr>
          <w:sz w:val="20"/>
        </w:rPr>
        <w:tab/>
        <w:t>29</w:t>
      </w:r>
      <w:r>
        <w:rPr>
          <w:spacing w:val="-1"/>
          <w:sz w:val="20"/>
        </w:rPr>
        <w:t xml:space="preserve"> </w:t>
      </w:r>
      <w:r>
        <w:rPr>
          <w:sz w:val="20"/>
        </w:rPr>
        <w:t>April</w:t>
      </w:r>
      <w:r>
        <w:rPr>
          <w:spacing w:val="-2"/>
          <w:sz w:val="20"/>
        </w:rPr>
        <w:t xml:space="preserve"> </w:t>
      </w:r>
      <w:r>
        <w:rPr>
          <w:spacing w:val="-4"/>
          <w:sz w:val="20"/>
        </w:rPr>
        <w:t>2022</w:t>
      </w:r>
    </w:p>
    <w:p w14:paraId="51DE902B" w14:textId="77777777" w:rsidR="0010369C" w:rsidRDefault="008E43AE">
      <w:pPr>
        <w:pStyle w:val="BodyText"/>
        <w:spacing w:before="34" w:line="360" w:lineRule="auto"/>
        <w:ind w:left="238" w:right="611"/>
      </w:pPr>
      <w:r>
        <w:t>domestic</w:t>
      </w:r>
      <w:r>
        <w:rPr>
          <w:spacing w:val="40"/>
        </w:rPr>
        <w:t xml:space="preserve"> </w:t>
      </w:r>
      <w:r>
        <w:t>like</w:t>
      </w:r>
      <w:r>
        <w:rPr>
          <w:spacing w:val="40"/>
        </w:rPr>
        <w:t xml:space="preserve"> </w:t>
      </w:r>
      <w:r>
        <w:t>products</w:t>
      </w:r>
      <w:r>
        <w:rPr>
          <w:spacing w:val="40"/>
        </w:rPr>
        <w:t xml:space="preserve"> </w:t>
      </w:r>
      <w:r>
        <w:t>deteriorated,</w:t>
      </w:r>
      <w:r>
        <w:rPr>
          <w:spacing w:val="40"/>
        </w:rPr>
        <w:t xml:space="preserve"> </w:t>
      </w:r>
      <w:r>
        <w:t>and</w:t>
      </w:r>
      <w:r>
        <w:rPr>
          <w:spacing w:val="40"/>
        </w:rPr>
        <w:t xml:space="preserve"> </w:t>
      </w:r>
      <w:r>
        <w:t>the</w:t>
      </w:r>
      <w:r>
        <w:rPr>
          <w:spacing w:val="40"/>
        </w:rPr>
        <w:t xml:space="preserve"> </w:t>
      </w:r>
      <w:r>
        <w:t>domestic</w:t>
      </w:r>
      <w:r>
        <w:rPr>
          <w:spacing w:val="40"/>
        </w:rPr>
        <w:t xml:space="preserve"> </w:t>
      </w:r>
      <w:r>
        <w:t>relevant</w:t>
      </w:r>
      <w:r>
        <w:rPr>
          <w:spacing w:val="40"/>
        </w:rPr>
        <w:t xml:space="preserve"> </w:t>
      </w:r>
      <w:r>
        <w:t>wine</w:t>
      </w:r>
      <w:r>
        <w:rPr>
          <w:spacing w:val="40"/>
        </w:rPr>
        <w:t xml:space="preserve"> </w:t>
      </w:r>
      <w:r>
        <w:t>industry</w:t>
      </w:r>
      <w:r>
        <w:rPr>
          <w:spacing w:val="40"/>
        </w:rPr>
        <w:t xml:space="preserve"> </w:t>
      </w:r>
      <w:r>
        <w:t>suffered</w:t>
      </w:r>
      <w:r>
        <w:rPr>
          <w:spacing w:val="40"/>
        </w:rPr>
        <w:t xml:space="preserve"> </w:t>
      </w:r>
      <w:r>
        <w:t>material injury".</w:t>
      </w:r>
      <w:r>
        <w:rPr>
          <w:vertAlign w:val="superscript"/>
        </w:rPr>
        <w:t>717</w:t>
      </w:r>
    </w:p>
    <w:p w14:paraId="51DE902C" w14:textId="77777777" w:rsidR="0010369C" w:rsidRDefault="0010369C">
      <w:pPr>
        <w:pStyle w:val="BodyText"/>
        <w:spacing w:before="10"/>
        <w:rPr>
          <w:sz w:val="8"/>
        </w:rPr>
      </w:pPr>
    </w:p>
    <w:p w14:paraId="51DE902D" w14:textId="77777777" w:rsidR="0010369C" w:rsidRDefault="008E43AE">
      <w:pPr>
        <w:pStyle w:val="BodyText"/>
        <w:spacing w:before="52" w:line="360" w:lineRule="auto"/>
        <w:ind w:left="237" w:right="615" w:firstLine="851"/>
        <w:jc w:val="both"/>
      </w:pPr>
      <w:r>
        <w:rPr>
          <w:noProof/>
        </w:rPr>
        <w:drawing>
          <wp:anchor distT="0" distB="0" distL="0" distR="0" simplePos="0" relativeHeight="251243008" behindDoc="1" locked="0" layoutInCell="1" allowOverlap="1" wp14:anchorId="51DEA505" wp14:editId="51DEA506">
            <wp:simplePos x="0" y="0"/>
            <wp:positionH relativeFrom="page">
              <wp:posOffset>905255</wp:posOffset>
            </wp:positionH>
            <wp:positionV relativeFrom="paragraph">
              <wp:posOffset>76785</wp:posOffset>
            </wp:positionV>
            <wp:extent cx="259079" cy="106679"/>
            <wp:effectExtent l="0" t="0" r="0" b="0"/>
            <wp:wrapNone/>
            <wp:docPr id="1229" name="image6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 name="image636.png"/>
                    <pic:cNvPicPr/>
                  </pic:nvPicPr>
                  <pic:blipFill>
                    <a:blip r:embed="rId834" cstate="print"/>
                    <a:stretch>
                      <a:fillRect/>
                    </a:stretch>
                  </pic:blipFill>
                  <pic:spPr>
                    <a:xfrm>
                      <a:off x="0" y="0"/>
                      <a:ext cx="259079" cy="106679"/>
                    </a:xfrm>
                    <a:prstGeom prst="rect">
                      <a:avLst/>
                    </a:prstGeom>
                  </pic:spPr>
                </pic:pic>
              </a:graphicData>
            </a:graphic>
          </wp:anchor>
        </w:drawing>
      </w:r>
      <w:r>
        <w:t>Even if the data relied upon by MOFCOM was reliable, MOFCOM's analysis of the economic factors having a bearing on the domestic industry does not provide a satisfactory basis for its determination that there was material injury to that industry because:</w:t>
      </w:r>
    </w:p>
    <w:p w14:paraId="51DE902E" w14:textId="77777777" w:rsidR="0010369C" w:rsidRDefault="008E43AE">
      <w:pPr>
        <w:pStyle w:val="ListParagraph"/>
        <w:numPr>
          <w:ilvl w:val="0"/>
          <w:numId w:val="49"/>
        </w:numPr>
        <w:tabs>
          <w:tab w:val="left" w:pos="1939"/>
          <w:tab w:val="left" w:pos="1940"/>
        </w:tabs>
        <w:spacing w:before="160" w:line="357" w:lineRule="auto"/>
        <w:ind w:right="613"/>
        <w:rPr>
          <w:sz w:val="24"/>
        </w:rPr>
      </w:pPr>
      <w:r>
        <w:rPr>
          <w:sz w:val="24"/>
        </w:rPr>
        <w:t>MO</w:t>
      </w:r>
      <w:r>
        <w:rPr>
          <w:sz w:val="24"/>
        </w:rPr>
        <w:t>FCOM's evaluation was a mechanical exercise that did not properly examine the "explanatory force" that Australian imports allegedly had on the state of the domestic industry;</w:t>
      </w:r>
    </w:p>
    <w:p w14:paraId="51DE902F" w14:textId="77777777" w:rsidR="0010369C" w:rsidRDefault="008E43AE">
      <w:pPr>
        <w:pStyle w:val="ListParagraph"/>
        <w:numPr>
          <w:ilvl w:val="0"/>
          <w:numId w:val="49"/>
        </w:numPr>
        <w:tabs>
          <w:tab w:val="left" w:pos="1939"/>
          <w:tab w:val="left" w:pos="1940"/>
        </w:tabs>
        <w:spacing w:before="129" w:line="355" w:lineRule="auto"/>
        <w:ind w:right="615"/>
        <w:rPr>
          <w:sz w:val="24"/>
        </w:rPr>
      </w:pPr>
      <w:r>
        <w:rPr>
          <w:sz w:val="24"/>
        </w:rPr>
        <w:t xml:space="preserve">MOFCOM failed to adequately consider factors affecting domestic prices; </w:t>
      </w:r>
      <w:r>
        <w:rPr>
          <w:spacing w:val="-4"/>
          <w:sz w:val="24"/>
        </w:rPr>
        <w:t>and</w:t>
      </w:r>
    </w:p>
    <w:p w14:paraId="51DE9030" w14:textId="77777777" w:rsidR="0010369C" w:rsidRDefault="008E43AE">
      <w:pPr>
        <w:pStyle w:val="ListParagraph"/>
        <w:numPr>
          <w:ilvl w:val="0"/>
          <w:numId w:val="49"/>
        </w:numPr>
        <w:tabs>
          <w:tab w:val="left" w:pos="1939"/>
          <w:tab w:val="left" w:pos="1940"/>
        </w:tabs>
        <w:spacing w:before="131" w:line="357" w:lineRule="auto"/>
        <w:ind w:right="614"/>
        <w:rPr>
          <w:sz w:val="24"/>
        </w:rPr>
      </w:pPr>
      <w:r>
        <w:rPr>
          <w:sz w:val="24"/>
        </w:rPr>
        <w:t>there</w:t>
      </w:r>
      <w:r>
        <w:rPr>
          <w:sz w:val="24"/>
        </w:rPr>
        <w:t xml:space="preserve"> were errors and omissions in MOFCOM's evaluation of the relevant economic factors and indices having a bearing on the state of the domestic </w:t>
      </w:r>
      <w:r>
        <w:rPr>
          <w:spacing w:val="-2"/>
          <w:sz w:val="24"/>
        </w:rPr>
        <w:t>industry.</w:t>
      </w:r>
    </w:p>
    <w:p w14:paraId="51DE9031" w14:textId="77777777" w:rsidR="0010369C" w:rsidRDefault="008E43AE">
      <w:pPr>
        <w:pStyle w:val="BodyText"/>
        <w:spacing w:before="128" w:line="360" w:lineRule="auto"/>
        <w:ind w:left="236" w:right="612" w:firstLine="853"/>
        <w:jc w:val="both"/>
      </w:pPr>
      <w:r>
        <w:rPr>
          <w:noProof/>
        </w:rPr>
        <w:drawing>
          <wp:anchor distT="0" distB="0" distL="0" distR="0" simplePos="0" relativeHeight="251244032" behindDoc="1" locked="0" layoutInCell="1" allowOverlap="1" wp14:anchorId="51DEA507" wp14:editId="51DEA508">
            <wp:simplePos x="0" y="0"/>
            <wp:positionH relativeFrom="page">
              <wp:posOffset>905255</wp:posOffset>
            </wp:positionH>
            <wp:positionV relativeFrom="paragraph">
              <wp:posOffset>129617</wp:posOffset>
            </wp:positionV>
            <wp:extent cx="259079" cy="103631"/>
            <wp:effectExtent l="0" t="0" r="0" b="0"/>
            <wp:wrapNone/>
            <wp:docPr id="1231" name="image6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 name="image637.png"/>
                    <pic:cNvPicPr/>
                  </pic:nvPicPr>
                  <pic:blipFill>
                    <a:blip r:embed="rId835" cstate="print"/>
                    <a:stretch>
                      <a:fillRect/>
                    </a:stretch>
                  </pic:blipFill>
                  <pic:spPr>
                    <a:xfrm>
                      <a:off x="0" y="0"/>
                      <a:ext cx="259079" cy="103631"/>
                    </a:xfrm>
                    <a:prstGeom prst="rect">
                      <a:avLst/>
                    </a:prstGeom>
                  </pic:spPr>
                </pic:pic>
              </a:graphicData>
            </a:graphic>
          </wp:anchor>
        </w:drawing>
      </w:r>
      <w:r>
        <w:t>The effect</w:t>
      </w:r>
      <w:r>
        <w:rPr>
          <w:spacing w:val="-1"/>
        </w:rPr>
        <w:t xml:space="preserve"> </w:t>
      </w:r>
      <w:r>
        <w:t>of each of these errors (individually or cumulatively) was that MOFCOM's evaluation of the domestic industry was inconsistent with Article 3.4, because it failed to provide a satisfactory basis for the injury determination. These errors further result in a</w:t>
      </w:r>
      <w:r>
        <w:t xml:space="preserve"> violation of Article 3.1 because MOFCOM's analysis does not constitute an objective examination of positive evidence.</w:t>
      </w:r>
    </w:p>
    <w:p w14:paraId="51DE9032" w14:textId="77777777" w:rsidR="0010369C" w:rsidRDefault="008E43AE">
      <w:pPr>
        <w:pStyle w:val="ListParagraph"/>
        <w:numPr>
          <w:ilvl w:val="1"/>
          <w:numId w:val="50"/>
        </w:numPr>
        <w:tabs>
          <w:tab w:val="left" w:pos="3642"/>
          <w:tab w:val="left" w:pos="3643"/>
        </w:tabs>
        <w:spacing w:before="160" w:line="360" w:lineRule="auto"/>
        <w:ind w:right="612" w:hanging="853"/>
        <w:jc w:val="both"/>
        <w:rPr>
          <w:sz w:val="24"/>
        </w:rPr>
      </w:pPr>
      <w:r>
        <w:rPr>
          <w:sz w:val="24"/>
          <w:u w:val="single"/>
        </w:rPr>
        <w:t>MOFCOM's evaluation</w:t>
      </w:r>
      <w:r>
        <w:rPr>
          <w:spacing w:val="-1"/>
          <w:sz w:val="24"/>
          <w:u w:val="single"/>
        </w:rPr>
        <w:t xml:space="preserve"> </w:t>
      </w:r>
      <w:r>
        <w:rPr>
          <w:sz w:val="24"/>
          <w:u w:val="single"/>
        </w:rPr>
        <w:t>was a mechanical exercise that did</w:t>
      </w:r>
      <w:r>
        <w:rPr>
          <w:sz w:val="24"/>
        </w:rPr>
        <w:t xml:space="preserve"> </w:t>
      </w:r>
      <w:r>
        <w:rPr>
          <w:sz w:val="24"/>
          <w:u w:val="single"/>
        </w:rPr>
        <w:t>not adequately examine the explanatory force Australian</w:t>
      </w:r>
      <w:r>
        <w:rPr>
          <w:sz w:val="24"/>
        </w:rPr>
        <w:t xml:space="preserve"> </w:t>
      </w:r>
      <w:r>
        <w:rPr>
          <w:sz w:val="24"/>
          <w:u w:val="single"/>
        </w:rPr>
        <w:t>imports were alleged to ha</w:t>
      </w:r>
      <w:r>
        <w:rPr>
          <w:sz w:val="24"/>
          <w:u w:val="single"/>
        </w:rPr>
        <w:t>ve on the domestic industry</w:t>
      </w:r>
    </w:p>
    <w:p w14:paraId="51DE9033" w14:textId="77777777" w:rsidR="0010369C" w:rsidRDefault="0010369C">
      <w:pPr>
        <w:pStyle w:val="BodyText"/>
        <w:spacing w:before="10"/>
        <w:rPr>
          <w:sz w:val="8"/>
        </w:rPr>
      </w:pPr>
    </w:p>
    <w:p w14:paraId="51DE9034" w14:textId="77777777" w:rsidR="0010369C" w:rsidRDefault="008E43AE">
      <w:pPr>
        <w:pStyle w:val="BodyText"/>
        <w:spacing w:before="52" w:line="360" w:lineRule="auto"/>
        <w:ind w:left="237" w:right="615" w:firstLine="852"/>
        <w:jc w:val="both"/>
      </w:pPr>
      <w:r>
        <w:rPr>
          <w:noProof/>
        </w:rPr>
        <w:drawing>
          <wp:anchor distT="0" distB="0" distL="0" distR="0" simplePos="0" relativeHeight="251245056" behindDoc="1" locked="0" layoutInCell="1" allowOverlap="1" wp14:anchorId="51DEA509" wp14:editId="51DEA50A">
            <wp:simplePos x="0" y="0"/>
            <wp:positionH relativeFrom="page">
              <wp:posOffset>905255</wp:posOffset>
            </wp:positionH>
            <wp:positionV relativeFrom="paragraph">
              <wp:posOffset>81357</wp:posOffset>
            </wp:positionV>
            <wp:extent cx="259079" cy="103631"/>
            <wp:effectExtent l="0" t="0" r="0" b="0"/>
            <wp:wrapNone/>
            <wp:docPr id="1233" name="image6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 name="image638.png"/>
                    <pic:cNvPicPr/>
                  </pic:nvPicPr>
                  <pic:blipFill>
                    <a:blip r:embed="rId836" cstate="print"/>
                    <a:stretch>
                      <a:fillRect/>
                    </a:stretch>
                  </pic:blipFill>
                  <pic:spPr>
                    <a:xfrm>
                      <a:off x="0" y="0"/>
                      <a:ext cx="259079" cy="103631"/>
                    </a:xfrm>
                    <a:prstGeom prst="rect">
                      <a:avLst/>
                    </a:prstGeom>
                  </pic:spPr>
                </pic:pic>
              </a:graphicData>
            </a:graphic>
          </wp:anchor>
        </w:drawing>
      </w:r>
      <w:r>
        <w:t>Article 3.4 requires more than a mere "check‐list approach" consisting of a mechanical</w:t>
      </w:r>
      <w:r>
        <w:rPr>
          <w:spacing w:val="-8"/>
        </w:rPr>
        <w:t xml:space="preserve"> </w:t>
      </w:r>
      <w:r>
        <w:t>exercise</w:t>
      </w:r>
      <w:r>
        <w:rPr>
          <w:spacing w:val="-7"/>
        </w:rPr>
        <w:t xml:space="preserve"> </w:t>
      </w:r>
      <w:r>
        <w:t>of</w:t>
      </w:r>
      <w:r>
        <w:rPr>
          <w:spacing w:val="-8"/>
        </w:rPr>
        <w:t xml:space="preserve"> </w:t>
      </w:r>
      <w:r>
        <w:t>referring</w:t>
      </w:r>
      <w:r>
        <w:rPr>
          <w:spacing w:val="-6"/>
        </w:rPr>
        <w:t xml:space="preserve"> </w:t>
      </w:r>
      <w:r>
        <w:t>to</w:t>
      </w:r>
      <w:r>
        <w:rPr>
          <w:spacing w:val="-7"/>
        </w:rPr>
        <w:t xml:space="preserve"> </w:t>
      </w:r>
      <w:r>
        <w:t>each</w:t>
      </w:r>
      <w:r>
        <w:rPr>
          <w:spacing w:val="-7"/>
        </w:rPr>
        <w:t xml:space="preserve"> </w:t>
      </w:r>
      <w:r>
        <w:t>of</w:t>
      </w:r>
      <w:r>
        <w:rPr>
          <w:spacing w:val="-8"/>
        </w:rPr>
        <w:t xml:space="preserve"> </w:t>
      </w:r>
      <w:r>
        <w:t>the</w:t>
      </w:r>
      <w:r>
        <w:rPr>
          <w:spacing w:val="-6"/>
        </w:rPr>
        <w:t xml:space="preserve"> </w:t>
      </w:r>
      <w:r>
        <w:t>listed</w:t>
      </w:r>
      <w:r>
        <w:rPr>
          <w:spacing w:val="-6"/>
        </w:rPr>
        <w:t xml:space="preserve"> </w:t>
      </w:r>
      <w:r>
        <w:t>relevant</w:t>
      </w:r>
      <w:r>
        <w:rPr>
          <w:spacing w:val="-8"/>
        </w:rPr>
        <w:t xml:space="preserve"> </w:t>
      </w:r>
      <w:r>
        <w:t>factors.</w:t>
      </w:r>
      <w:r>
        <w:rPr>
          <w:vertAlign w:val="superscript"/>
        </w:rPr>
        <w:t>718</w:t>
      </w:r>
      <w:r>
        <w:rPr>
          <w:spacing w:val="-7"/>
        </w:rPr>
        <w:t xml:space="preserve"> </w:t>
      </w:r>
      <w:r>
        <w:t>Rather,</w:t>
      </w:r>
      <w:r>
        <w:rPr>
          <w:spacing w:val="-6"/>
        </w:rPr>
        <w:t xml:space="preserve"> </w:t>
      </w:r>
      <w:r>
        <w:t>it</w:t>
      </w:r>
      <w:r>
        <w:rPr>
          <w:spacing w:val="-7"/>
        </w:rPr>
        <w:t xml:space="preserve"> </w:t>
      </w:r>
      <w:r>
        <w:t>requires</w:t>
      </w:r>
      <w:r>
        <w:rPr>
          <w:spacing w:val="-7"/>
        </w:rPr>
        <w:t xml:space="preserve"> </w:t>
      </w:r>
      <w:r>
        <w:t>an investigating authority to examine the impact of subject imports on the domestic industry in order to provide a meaningful basis for the analysis of whether the dumped imports are, through</w:t>
      </w:r>
      <w:r>
        <w:rPr>
          <w:spacing w:val="28"/>
        </w:rPr>
        <w:t xml:space="preserve"> </w:t>
      </w:r>
      <w:r>
        <w:t>the</w:t>
      </w:r>
      <w:r>
        <w:rPr>
          <w:spacing w:val="27"/>
        </w:rPr>
        <w:t xml:space="preserve"> </w:t>
      </w:r>
      <w:r>
        <w:t>effects</w:t>
      </w:r>
      <w:r>
        <w:rPr>
          <w:spacing w:val="27"/>
        </w:rPr>
        <w:t xml:space="preserve"> </w:t>
      </w:r>
      <w:r>
        <w:t>of</w:t>
      </w:r>
      <w:r>
        <w:rPr>
          <w:spacing w:val="28"/>
        </w:rPr>
        <w:t xml:space="preserve"> </w:t>
      </w:r>
      <w:r>
        <w:t>dumping,</w:t>
      </w:r>
      <w:r>
        <w:rPr>
          <w:spacing w:val="29"/>
        </w:rPr>
        <w:t xml:space="preserve"> </w:t>
      </w:r>
      <w:r>
        <w:t>as</w:t>
      </w:r>
      <w:r>
        <w:rPr>
          <w:spacing w:val="28"/>
        </w:rPr>
        <w:t xml:space="preserve"> </w:t>
      </w:r>
      <w:r>
        <w:t>set</w:t>
      </w:r>
      <w:r>
        <w:rPr>
          <w:spacing w:val="28"/>
        </w:rPr>
        <w:t xml:space="preserve"> </w:t>
      </w:r>
      <w:r>
        <w:t>forth</w:t>
      </w:r>
      <w:r>
        <w:rPr>
          <w:spacing w:val="28"/>
        </w:rPr>
        <w:t xml:space="preserve"> </w:t>
      </w:r>
      <w:r>
        <w:t>in</w:t>
      </w:r>
      <w:r>
        <w:rPr>
          <w:spacing w:val="29"/>
        </w:rPr>
        <w:t xml:space="preserve"> </w:t>
      </w:r>
      <w:r>
        <w:t>Articles</w:t>
      </w:r>
      <w:r>
        <w:rPr>
          <w:spacing w:val="26"/>
        </w:rPr>
        <w:t xml:space="preserve"> </w:t>
      </w:r>
      <w:r>
        <w:t>3.2</w:t>
      </w:r>
      <w:r>
        <w:rPr>
          <w:spacing w:val="28"/>
        </w:rPr>
        <w:t xml:space="preserve"> </w:t>
      </w:r>
      <w:r>
        <w:t>and</w:t>
      </w:r>
      <w:r>
        <w:rPr>
          <w:spacing w:val="28"/>
        </w:rPr>
        <w:t xml:space="preserve"> </w:t>
      </w:r>
      <w:r>
        <w:t>3.4,</w:t>
      </w:r>
      <w:r>
        <w:rPr>
          <w:spacing w:val="29"/>
        </w:rPr>
        <w:t xml:space="preserve"> </w:t>
      </w:r>
      <w:r>
        <w:t>ca</w:t>
      </w:r>
      <w:r>
        <w:t>using</w:t>
      </w:r>
      <w:r>
        <w:rPr>
          <w:spacing w:val="27"/>
        </w:rPr>
        <w:t xml:space="preserve"> </w:t>
      </w:r>
      <w:r>
        <w:t>injury</w:t>
      </w:r>
      <w:r>
        <w:rPr>
          <w:spacing w:val="30"/>
        </w:rPr>
        <w:t xml:space="preserve"> </w:t>
      </w:r>
      <w:r>
        <w:t>to</w:t>
      </w:r>
      <w:r>
        <w:rPr>
          <w:spacing w:val="28"/>
        </w:rPr>
        <w:t xml:space="preserve"> </w:t>
      </w:r>
      <w:r>
        <w:rPr>
          <w:spacing w:val="-5"/>
        </w:rPr>
        <w:t>the</w:t>
      </w:r>
    </w:p>
    <w:p w14:paraId="51DE9035" w14:textId="77777777" w:rsidR="0010369C" w:rsidRDefault="0010369C">
      <w:pPr>
        <w:pStyle w:val="BodyText"/>
      </w:pPr>
    </w:p>
    <w:p w14:paraId="51DE9036" w14:textId="77777777" w:rsidR="0010369C" w:rsidRDefault="0010369C">
      <w:pPr>
        <w:pStyle w:val="BodyText"/>
      </w:pPr>
    </w:p>
    <w:p w14:paraId="51DE9037" w14:textId="77777777" w:rsidR="0010369C" w:rsidRDefault="0010369C">
      <w:pPr>
        <w:pStyle w:val="BodyText"/>
        <w:spacing w:before="1"/>
      </w:pPr>
    </w:p>
    <w:p w14:paraId="51DE9038" w14:textId="77777777" w:rsidR="0010369C" w:rsidRDefault="008E43AE">
      <w:pPr>
        <w:ind w:left="238"/>
        <w:rPr>
          <w:sz w:val="18"/>
        </w:rPr>
      </w:pPr>
      <w:r>
        <w:rPr>
          <w:sz w:val="18"/>
          <w:vertAlign w:val="superscript"/>
        </w:rPr>
        <w:t>717</w:t>
      </w:r>
      <w:r>
        <w:rPr>
          <w:spacing w:val="-9"/>
          <w:sz w:val="18"/>
        </w:rPr>
        <w:t xml:space="preserve"> </w:t>
      </w:r>
      <w:r>
        <w:rPr>
          <w:sz w:val="18"/>
        </w:rPr>
        <w:t>Anti‐Dumping</w:t>
      </w:r>
      <w:r>
        <w:rPr>
          <w:spacing w:val="-9"/>
          <w:sz w:val="18"/>
        </w:rPr>
        <w:t xml:space="preserve"> </w:t>
      </w:r>
      <w:r>
        <w:rPr>
          <w:sz w:val="18"/>
        </w:rPr>
        <w:t>Final</w:t>
      </w:r>
      <w:r>
        <w:rPr>
          <w:spacing w:val="-9"/>
          <w:sz w:val="18"/>
        </w:rPr>
        <w:t xml:space="preserve"> </w:t>
      </w:r>
      <w:r>
        <w:rPr>
          <w:sz w:val="18"/>
        </w:rPr>
        <w:t>Determination</w:t>
      </w:r>
      <w:r>
        <w:rPr>
          <w:spacing w:val="-8"/>
          <w:sz w:val="18"/>
        </w:rPr>
        <w:t xml:space="preserve"> </w:t>
      </w:r>
      <w:r>
        <w:rPr>
          <w:sz w:val="18"/>
        </w:rPr>
        <w:t>(Exhibit</w:t>
      </w:r>
      <w:r>
        <w:rPr>
          <w:spacing w:val="-9"/>
          <w:sz w:val="18"/>
        </w:rPr>
        <w:t xml:space="preserve"> </w:t>
      </w:r>
      <w:r>
        <w:rPr>
          <w:sz w:val="18"/>
        </w:rPr>
        <w:t>AUS‐2),</w:t>
      </w:r>
      <w:r>
        <w:rPr>
          <w:spacing w:val="-9"/>
          <w:sz w:val="18"/>
        </w:rPr>
        <w:t xml:space="preserve"> </w:t>
      </w:r>
      <w:r>
        <w:rPr>
          <w:sz w:val="18"/>
        </w:rPr>
        <w:t>p.</w:t>
      </w:r>
      <w:r>
        <w:rPr>
          <w:spacing w:val="-9"/>
          <w:sz w:val="18"/>
        </w:rPr>
        <w:t xml:space="preserve"> </w:t>
      </w:r>
      <w:r>
        <w:rPr>
          <w:spacing w:val="-4"/>
          <w:sz w:val="18"/>
        </w:rPr>
        <w:t>134.</w:t>
      </w:r>
    </w:p>
    <w:p w14:paraId="51DE9039" w14:textId="77777777" w:rsidR="0010369C" w:rsidRDefault="008E43AE">
      <w:pPr>
        <w:ind w:left="238" w:right="611"/>
        <w:rPr>
          <w:sz w:val="18"/>
        </w:rPr>
      </w:pPr>
      <w:r>
        <w:rPr>
          <w:sz w:val="18"/>
          <w:vertAlign w:val="superscript"/>
        </w:rPr>
        <w:t>718</w:t>
      </w:r>
      <w:r>
        <w:rPr>
          <w:spacing w:val="-2"/>
          <w:sz w:val="18"/>
        </w:rPr>
        <w:t xml:space="preserve"> </w:t>
      </w:r>
      <w:r>
        <w:rPr>
          <w:sz w:val="18"/>
        </w:rPr>
        <w:t>Panel</w:t>
      </w:r>
      <w:r>
        <w:rPr>
          <w:spacing w:val="-3"/>
          <w:sz w:val="18"/>
        </w:rPr>
        <w:t xml:space="preserve"> </w:t>
      </w:r>
      <w:r>
        <w:rPr>
          <w:sz w:val="18"/>
        </w:rPr>
        <w:t>Report,</w:t>
      </w:r>
      <w:r>
        <w:rPr>
          <w:spacing w:val="-3"/>
          <w:sz w:val="18"/>
        </w:rPr>
        <w:t xml:space="preserve"> </w:t>
      </w:r>
      <w:r>
        <w:rPr>
          <w:i/>
          <w:sz w:val="18"/>
        </w:rPr>
        <w:t>Thailand</w:t>
      </w:r>
      <w:r>
        <w:rPr>
          <w:i/>
          <w:spacing w:val="-2"/>
          <w:sz w:val="18"/>
        </w:rPr>
        <w:t xml:space="preserve"> </w:t>
      </w:r>
      <w:r>
        <w:rPr>
          <w:i/>
          <w:sz w:val="18"/>
        </w:rPr>
        <w:t>–</w:t>
      </w:r>
      <w:r>
        <w:rPr>
          <w:i/>
          <w:spacing w:val="-2"/>
          <w:sz w:val="18"/>
        </w:rPr>
        <w:t xml:space="preserve"> </w:t>
      </w:r>
      <w:r>
        <w:rPr>
          <w:i/>
          <w:sz w:val="18"/>
        </w:rPr>
        <w:t>H‐Beams</w:t>
      </w:r>
      <w:r>
        <w:rPr>
          <w:sz w:val="18"/>
        </w:rPr>
        <w:t>,</w:t>
      </w:r>
      <w:r>
        <w:rPr>
          <w:spacing w:val="-3"/>
          <w:sz w:val="18"/>
        </w:rPr>
        <w:t xml:space="preserve"> </w:t>
      </w:r>
      <w:r>
        <w:rPr>
          <w:sz w:val="18"/>
        </w:rPr>
        <w:t>para.</w:t>
      </w:r>
      <w:r>
        <w:rPr>
          <w:spacing w:val="-2"/>
          <w:sz w:val="18"/>
        </w:rPr>
        <w:t xml:space="preserve"> </w:t>
      </w:r>
      <w:r>
        <w:rPr>
          <w:sz w:val="18"/>
        </w:rPr>
        <w:t>7.236;</w:t>
      </w:r>
      <w:r>
        <w:rPr>
          <w:spacing w:val="-3"/>
          <w:sz w:val="18"/>
        </w:rPr>
        <w:t xml:space="preserve"> </w:t>
      </w:r>
      <w:r>
        <w:rPr>
          <w:sz w:val="18"/>
        </w:rPr>
        <w:t>see</w:t>
      </w:r>
      <w:r>
        <w:rPr>
          <w:spacing w:val="-2"/>
          <w:sz w:val="18"/>
        </w:rPr>
        <w:t xml:space="preserve"> </w:t>
      </w:r>
      <w:r>
        <w:rPr>
          <w:sz w:val="18"/>
        </w:rPr>
        <w:t>also</w:t>
      </w:r>
      <w:r>
        <w:rPr>
          <w:spacing w:val="-3"/>
          <w:sz w:val="18"/>
        </w:rPr>
        <w:t xml:space="preserve"> </w:t>
      </w:r>
      <w:r>
        <w:rPr>
          <w:sz w:val="18"/>
        </w:rPr>
        <w:t>Panel</w:t>
      </w:r>
      <w:r>
        <w:rPr>
          <w:spacing w:val="-4"/>
          <w:sz w:val="18"/>
        </w:rPr>
        <w:t xml:space="preserve"> </w:t>
      </w:r>
      <w:r>
        <w:rPr>
          <w:sz w:val="18"/>
        </w:rPr>
        <w:t>Reports,</w:t>
      </w:r>
      <w:r>
        <w:rPr>
          <w:spacing w:val="-2"/>
          <w:sz w:val="18"/>
        </w:rPr>
        <w:t xml:space="preserve"> </w:t>
      </w:r>
      <w:r>
        <w:rPr>
          <w:i/>
          <w:sz w:val="18"/>
        </w:rPr>
        <w:t>Korea</w:t>
      </w:r>
      <w:r>
        <w:rPr>
          <w:i/>
          <w:spacing w:val="-3"/>
          <w:sz w:val="18"/>
        </w:rPr>
        <w:t xml:space="preserve"> </w:t>
      </w:r>
      <w:r>
        <w:rPr>
          <w:i/>
          <w:sz w:val="18"/>
        </w:rPr>
        <w:t>–</w:t>
      </w:r>
      <w:r>
        <w:rPr>
          <w:i/>
          <w:spacing w:val="-2"/>
          <w:sz w:val="18"/>
        </w:rPr>
        <w:t xml:space="preserve"> </w:t>
      </w:r>
      <w:r>
        <w:rPr>
          <w:i/>
          <w:sz w:val="18"/>
        </w:rPr>
        <w:t>Certain</w:t>
      </w:r>
      <w:r>
        <w:rPr>
          <w:i/>
          <w:spacing w:val="-2"/>
          <w:sz w:val="18"/>
        </w:rPr>
        <w:t xml:space="preserve"> </w:t>
      </w:r>
      <w:r>
        <w:rPr>
          <w:i/>
          <w:sz w:val="18"/>
        </w:rPr>
        <w:t>Paper</w:t>
      </w:r>
      <w:r>
        <w:rPr>
          <w:sz w:val="18"/>
        </w:rPr>
        <w:t>,</w:t>
      </w:r>
      <w:r>
        <w:rPr>
          <w:spacing w:val="-3"/>
          <w:sz w:val="18"/>
        </w:rPr>
        <w:t xml:space="preserve"> </w:t>
      </w:r>
      <w:r>
        <w:rPr>
          <w:sz w:val="18"/>
        </w:rPr>
        <w:t>para.</w:t>
      </w:r>
      <w:r>
        <w:rPr>
          <w:spacing w:val="-2"/>
          <w:sz w:val="18"/>
        </w:rPr>
        <w:t xml:space="preserve"> </w:t>
      </w:r>
      <w:r>
        <w:rPr>
          <w:sz w:val="18"/>
        </w:rPr>
        <w:t>7.272;</w:t>
      </w:r>
      <w:r>
        <w:rPr>
          <w:spacing w:val="-3"/>
          <w:sz w:val="18"/>
        </w:rPr>
        <w:t xml:space="preserve"> </w:t>
      </w:r>
      <w:r>
        <w:rPr>
          <w:i/>
          <w:sz w:val="18"/>
        </w:rPr>
        <w:t>EC</w:t>
      </w:r>
      <w:r>
        <w:rPr>
          <w:i/>
          <w:spacing w:val="-3"/>
          <w:sz w:val="18"/>
        </w:rPr>
        <w:t xml:space="preserve"> </w:t>
      </w:r>
      <w:r>
        <w:rPr>
          <w:i/>
          <w:sz w:val="18"/>
        </w:rPr>
        <w:t>–</w:t>
      </w:r>
      <w:r>
        <w:rPr>
          <w:i/>
          <w:spacing w:val="-2"/>
          <w:sz w:val="18"/>
        </w:rPr>
        <w:t xml:space="preserve"> </w:t>
      </w:r>
      <w:r>
        <w:rPr>
          <w:i/>
          <w:sz w:val="18"/>
        </w:rPr>
        <w:t>Bed</w:t>
      </w:r>
      <w:r>
        <w:rPr>
          <w:i/>
          <w:spacing w:val="-3"/>
          <w:sz w:val="18"/>
        </w:rPr>
        <w:t xml:space="preserve"> </w:t>
      </w:r>
      <w:r>
        <w:rPr>
          <w:i/>
          <w:sz w:val="18"/>
        </w:rPr>
        <w:t>Linen (Article 21.5 – India)</w:t>
      </w:r>
      <w:r>
        <w:rPr>
          <w:sz w:val="18"/>
        </w:rPr>
        <w:t xml:space="preserve">, para. 6.162; </w:t>
      </w:r>
      <w:r>
        <w:rPr>
          <w:i/>
          <w:sz w:val="18"/>
        </w:rPr>
        <w:t>Egypt – Steel Rebar</w:t>
      </w:r>
      <w:r>
        <w:rPr>
          <w:sz w:val="18"/>
        </w:rPr>
        <w:t xml:space="preserve">, paras. 7.44, 7.46; and </w:t>
      </w:r>
      <w:r>
        <w:rPr>
          <w:i/>
          <w:sz w:val="18"/>
        </w:rPr>
        <w:t>US – Hot‐Rolled Steel</w:t>
      </w:r>
      <w:r>
        <w:rPr>
          <w:sz w:val="18"/>
        </w:rPr>
        <w:t>, para. 7.232</w:t>
      </w:r>
    </w:p>
    <w:p w14:paraId="51DE903A" w14:textId="77777777" w:rsidR="0010369C" w:rsidRDefault="0010369C">
      <w:pPr>
        <w:rPr>
          <w:sz w:val="18"/>
        </w:rPr>
        <w:sectPr w:rsidR="0010369C">
          <w:headerReference w:type="default" r:id="rId837"/>
          <w:footerReference w:type="default" r:id="rId838"/>
          <w:pgSz w:w="11910" w:h="16840"/>
          <w:pgMar w:top="880" w:right="800" w:bottom="1340" w:left="1180" w:header="569" w:footer="1143" w:gutter="0"/>
          <w:cols w:space="720"/>
        </w:sectPr>
      </w:pPr>
    </w:p>
    <w:p w14:paraId="51DE903B" w14:textId="77777777" w:rsidR="0010369C" w:rsidRDefault="008E43AE">
      <w:pPr>
        <w:tabs>
          <w:tab w:val="left" w:pos="6426"/>
        </w:tabs>
        <w:ind w:left="238"/>
        <w:jc w:val="both"/>
        <w:rPr>
          <w:sz w:val="20"/>
        </w:rPr>
      </w:pPr>
      <w:r>
        <w:rPr>
          <w:i/>
          <w:sz w:val="20"/>
        </w:rPr>
        <w:lastRenderedPageBreak/>
        <w:t>China</w:t>
      </w:r>
      <w:r>
        <w:rPr>
          <w:i/>
          <w:spacing w:val="-5"/>
          <w:sz w:val="20"/>
        </w:rPr>
        <w:t xml:space="preserve"> </w:t>
      </w:r>
      <w:r>
        <w:rPr>
          <w:i/>
          <w:sz w:val="20"/>
        </w:rPr>
        <w:t>–</w:t>
      </w:r>
      <w:r>
        <w:rPr>
          <w:i/>
          <w:spacing w:val="-5"/>
          <w:sz w:val="20"/>
        </w:rPr>
        <w:t xml:space="preserve"> </w:t>
      </w:r>
      <w:r>
        <w:rPr>
          <w:i/>
          <w:sz w:val="20"/>
        </w:rPr>
        <w:t>Anti‐Dumping</w:t>
      </w:r>
      <w:r>
        <w:rPr>
          <w:i/>
          <w:spacing w:val="-4"/>
          <w:sz w:val="20"/>
        </w:rPr>
        <w:t xml:space="preserve"> </w:t>
      </w:r>
      <w:r>
        <w:rPr>
          <w:i/>
          <w:sz w:val="20"/>
        </w:rPr>
        <w:t>and</w:t>
      </w:r>
      <w:r>
        <w:rPr>
          <w:i/>
          <w:spacing w:val="-5"/>
          <w:sz w:val="20"/>
        </w:rPr>
        <w:t xml:space="preserve"> </w:t>
      </w:r>
      <w:r>
        <w:rPr>
          <w:i/>
          <w:sz w:val="20"/>
        </w:rPr>
        <w:t>Countervailing</w:t>
      </w:r>
      <w:r>
        <w:rPr>
          <w:i/>
          <w:spacing w:val="-5"/>
          <w:sz w:val="20"/>
        </w:rPr>
        <w:t xml:space="preserve"> </w:t>
      </w:r>
      <w:r>
        <w:rPr>
          <w:i/>
          <w:sz w:val="20"/>
        </w:rPr>
        <w:t>Duty</w:t>
      </w:r>
      <w:r>
        <w:rPr>
          <w:i/>
          <w:spacing w:val="-4"/>
          <w:sz w:val="20"/>
        </w:rPr>
        <w:t xml:space="preserve"> </w:t>
      </w:r>
      <w:r>
        <w:rPr>
          <w:i/>
          <w:spacing w:val="-2"/>
          <w:sz w:val="20"/>
        </w:rPr>
        <w:t>Measures</w:t>
      </w:r>
      <w:r>
        <w:rPr>
          <w:i/>
          <w:sz w:val="20"/>
        </w:rPr>
        <w:tab/>
      </w:r>
      <w:r>
        <w:rPr>
          <w:sz w:val="20"/>
        </w:rPr>
        <w:t>Australia's</w:t>
      </w:r>
      <w:r>
        <w:rPr>
          <w:spacing w:val="-7"/>
          <w:sz w:val="20"/>
        </w:rPr>
        <w:t xml:space="preserve"> </w:t>
      </w:r>
      <w:r>
        <w:rPr>
          <w:sz w:val="20"/>
        </w:rPr>
        <w:t>First</w:t>
      </w:r>
      <w:r>
        <w:rPr>
          <w:spacing w:val="-2"/>
          <w:sz w:val="20"/>
        </w:rPr>
        <w:t xml:space="preserve"> </w:t>
      </w:r>
      <w:r>
        <w:rPr>
          <w:sz w:val="20"/>
        </w:rPr>
        <w:t>Written</w:t>
      </w:r>
      <w:r>
        <w:rPr>
          <w:spacing w:val="-2"/>
          <w:sz w:val="20"/>
        </w:rPr>
        <w:t xml:space="preserve"> Submission</w:t>
      </w:r>
    </w:p>
    <w:p w14:paraId="51DE903C" w14:textId="77777777" w:rsidR="0010369C" w:rsidRDefault="008E43AE">
      <w:pPr>
        <w:tabs>
          <w:tab w:val="left" w:pos="8228"/>
        </w:tabs>
        <w:spacing w:before="1"/>
        <w:ind w:left="239"/>
        <w:jc w:val="both"/>
        <w:rPr>
          <w:sz w:val="20"/>
        </w:rPr>
      </w:pPr>
      <w:r>
        <w:rPr>
          <w:i/>
          <w:sz w:val="20"/>
        </w:rPr>
        <w:t>on</w:t>
      </w:r>
      <w:r>
        <w:rPr>
          <w:i/>
          <w:spacing w:val="-1"/>
          <w:sz w:val="20"/>
        </w:rPr>
        <w:t xml:space="preserve"> </w:t>
      </w:r>
      <w:r>
        <w:rPr>
          <w:i/>
          <w:sz w:val="20"/>
        </w:rPr>
        <w:t>Wine</w:t>
      </w:r>
      <w:r>
        <w:rPr>
          <w:i/>
          <w:spacing w:val="-1"/>
          <w:sz w:val="20"/>
        </w:rPr>
        <w:t xml:space="preserve"> </w:t>
      </w:r>
      <w:r>
        <w:rPr>
          <w:i/>
          <w:sz w:val="20"/>
        </w:rPr>
        <w:t>from</w:t>
      </w:r>
      <w:r>
        <w:rPr>
          <w:i/>
          <w:spacing w:val="-3"/>
          <w:sz w:val="20"/>
        </w:rPr>
        <w:t xml:space="preserve"> </w:t>
      </w:r>
      <w:r>
        <w:rPr>
          <w:i/>
          <w:sz w:val="20"/>
        </w:rPr>
        <w:t>Australia</w:t>
      </w:r>
      <w:r>
        <w:rPr>
          <w:i/>
          <w:spacing w:val="-1"/>
          <w:sz w:val="20"/>
        </w:rPr>
        <w:t xml:space="preserve"> </w:t>
      </w:r>
      <w:r>
        <w:rPr>
          <w:spacing w:val="-2"/>
          <w:sz w:val="20"/>
        </w:rPr>
        <w:t>(DS602)</w:t>
      </w:r>
      <w:r>
        <w:rPr>
          <w:sz w:val="20"/>
        </w:rPr>
        <w:tab/>
        <w:t>29</w:t>
      </w:r>
      <w:r>
        <w:rPr>
          <w:spacing w:val="-1"/>
          <w:sz w:val="20"/>
        </w:rPr>
        <w:t xml:space="preserve"> </w:t>
      </w:r>
      <w:r>
        <w:rPr>
          <w:sz w:val="20"/>
        </w:rPr>
        <w:t>April</w:t>
      </w:r>
      <w:r>
        <w:rPr>
          <w:spacing w:val="-2"/>
          <w:sz w:val="20"/>
        </w:rPr>
        <w:t xml:space="preserve"> </w:t>
      </w:r>
      <w:r>
        <w:rPr>
          <w:spacing w:val="-4"/>
          <w:sz w:val="20"/>
        </w:rPr>
        <w:t>2022</w:t>
      </w:r>
    </w:p>
    <w:p w14:paraId="51DE903D" w14:textId="77777777" w:rsidR="0010369C" w:rsidRDefault="008E43AE">
      <w:pPr>
        <w:pStyle w:val="BodyText"/>
        <w:spacing w:before="34" w:line="360" w:lineRule="auto"/>
        <w:ind w:left="237" w:right="615"/>
        <w:jc w:val="both"/>
      </w:pPr>
      <w:r>
        <w:t>domestic industry.</w:t>
      </w:r>
      <w:r>
        <w:rPr>
          <w:vertAlign w:val="superscript"/>
        </w:rPr>
        <w:t>719</w:t>
      </w:r>
      <w:r>
        <w:t xml:space="preserve"> To do so, an investigating authority should evaluate trends relating to injury factors and ensure it adequately explains the basis for its conclusions.</w:t>
      </w:r>
      <w:r>
        <w:rPr>
          <w:vertAlign w:val="superscript"/>
        </w:rPr>
        <w:t>720</w:t>
      </w:r>
    </w:p>
    <w:p w14:paraId="51DE903E" w14:textId="77777777" w:rsidR="0010369C" w:rsidRDefault="008E43AE">
      <w:pPr>
        <w:pStyle w:val="BodyText"/>
        <w:spacing w:before="159" w:line="362" w:lineRule="auto"/>
        <w:ind w:left="238" w:right="615" w:firstLine="850"/>
        <w:jc w:val="both"/>
      </w:pPr>
      <w:r>
        <w:rPr>
          <w:noProof/>
        </w:rPr>
        <w:drawing>
          <wp:anchor distT="0" distB="0" distL="0" distR="0" simplePos="0" relativeHeight="251246080" behindDoc="1" locked="0" layoutInCell="1" allowOverlap="1" wp14:anchorId="51DEA50B" wp14:editId="51DEA50C">
            <wp:simplePos x="0" y="0"/>
            <wp:positionH relativeFrom="page">
              <wp:posOffset>905255</wp:posOffset>
            </wp:positionH>
            <wp:positionV relativeFrom="paragraph">
              <wp:posOffset>144730</wp:posOffset>
            </wp:positionV>
            <wp:extent cx="259079" cy="106679"/>
            <wp:effectExtent l="0" t="0" r="0" b="0"/>
            <wp:wrapNone/>
            <wp:docPr id="1235" name="image6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 name="image639.png"/>
                    <pic:cNvPicPr/>
                  </pic:nvPicPr>
                  <pic:blipFill>
                    <a:blip r:embed="rId839" cstate="print"/>
                    <a:stretch>
                      <a:fillRect/>
                    </a:stretch>
                  </pic:blipFill>
                  <pic:spPr>
                    <a:xfrm>
                      <a:off x="0" y="0"/>
                      <a:ext cx="259079" cy="106679"/>
                    </a:xfrm>
                    <a:prstGeom prst="rect">
                      <a:avLst/>
                    </a:prstGeom>
                  </pic:spPr>
                </pic:pic>
              </a:graphicData>
            </a:graphic>
          </wp:anchor>
        </w:drawing>
      </w:r>
      <w:r>
        <w:t>In the Final Determination, MOFCOM's evaluation of the domestic industry was divided into two disti</w:t>
      </w:r>
      <w:r>
        <w:t>nct parts:</w:t>
      </w:r>
    </w:p>
    <w:p w14:paraId="51DE903F" w14:textId="77777777" w:rsidR="0010369C" w:rsidRDefault="0010369C">
      <w:pPr>
        <w:pStyle w:val="BodyText"/>
        <w:spacing w:before="9"/>
        <w:rPr>
          <w:sz w:val="12"/>
        </w:rPr>
      </w:pPr>
    </w:p>
    <w:tbl>
      <w:tblPr>
        <w:tblW w:w="0" w:type="auto"/>
        <w:tblInd w:w="1044" w:type="dxa"/>
        <w:tblLayout w:type="fixed"/>
        <w:tblCellMar>
          <w:left w:w="0" w:type="dxa"/>
          <w:right w:w="0" w:type="dxa"/>
        </w:tblCellMar>
        <w:tblLook w:val="01E0" w:firstRow="1" w:lastRow="1" w:firstColumn="1" w:lastColumn="1" w:noHBand="0" w:noVBand="0"/>
      </w:tblPr>
      <w:tblGrid>
        <w:gridCol w:w="532"/>
        <w:gridCol w:w="2090"/>
        <w:gridCol w:w="268"/>
        <w:gridCol w:w="3050"/>
        <w:gridCol w:w="647"/>
        <w:gridCol w:w="1740"/>
      </w:tblGrid>
      <w:tr w:rsidR="0010369C" w14:paraId="51DE9042" w14:textId="77777777">
        <w:trPr>
          <w:trHeight w:val="390"/>
        </w:trPr>
        <w:tc>
          <w:tcPr>
            <w:tcW w:w="532" w:type="dxa"/>
          </w:tcPr>
          <w:p w14:paraId="51DE9040" w14:textId="77777777" w:rsidR="0010369C" w:rsidRDefault="008E43AE">
            <w:pPr>
              <w:pStyle w:val="TableParagraph"/>
              <w:ind w:left="51"/>
              <w:rPr>
                <w:rFonts w:ascii="Symbol" w:hAnsi="Symbol"/>
                <w:sz w:val="24"/>
              </w:rPr>
            </w:pPr>
            <w:r>
              <w:rPr>
                <w:rFonts w:ascii="Symbol" w:hAnsi="Symbol"/>
                <w:w w:val="99"/>
                <w:sz w:val="24"/>
              </w:rPr>
              <w:t></w:t>
            </w:r>
          </w:p>
        </w:tc>
        <w:tc>
          <w:tcPr>
            <w:tcW w:w="7795" w:type="dxa"/>
            <w:gridSpan w:val="5"/>
          </w:tcPr>
          <w:p w14:paraId="51DE9041" w14:textId="77777777" w:rsidR="0010369C" w:rsidRDefault="008E43AE">
            <w:pPr>
              <w:pStyle w:val="TableParagraph"/>
              <w:spacing w:before="12"/>
              <w:ind w:left="370"/>
              <w:rPr>
                <w:sz w:val="24"/>
              </w:rPr>
            </w:pPr>
            <w:r>
              <w:rPr>
                <w:sz w:val="24"/>
              </w:rPr>
              <w:t>In</w:t>
            </w:r>
            <w:r>
              <w:rPr>
                <w:spacing w:val="-9"/>
                <w:sz w:val="24"/>
              </w:rPr>
              <w:t xml:space="preserve"> </w:t>
            </w:r>
            <w:r>
              <w:rPr>
                <w:sz w:val="24"/>
              </w:rPr>
              <w:t>the</w:t>
            </w:r>
            <w:r>
              <w:rPr>
                <w:spacing w:val="-8"/>
                <w:sz w:val="24"/>
              </w:rPr>
              <w:t xml:space="preserve"> </w:t>
            </w:r>
            <w:r>
              <w:rPr>
                <w:sz w:val="24"/>
              </w:rPr>
              <w:t>first</w:t>
            </w:r>
            <w:r>
              <w:rPr>
                <w:spacing w:val="-8"/>
                <w:sz w:val="24"/>
              </w:rPr>
              <w:t xml:space="preserve"> </w:t>
            </w:r>
            <w:r>
              <w:rPr>
                <w:sz w:val="24"/>
              </w:rPr>
              <w:t>part,</w:t>
            </w:r>
            <w:r>
              <w:rPr>
                <w:spacing w:val="-8"/>
                <w:sz w:val="24"/>
              </w:rPr>
              <w:t xml:space="preserve"> </w:t>
            </w:r>
            <w:r>
              <w:rPr>
                <w:sz w:val="24"/>
              </w:rPr>
              <w:t>MOFCOM</w:t>
            </w:r>
            <w:r>
              <w:rPr>
                <w:spacing w:val="-7"/>
                <w:sz w:val="24"/>
              </w:rPr>
              <w:t xml:space="preserve"> </w:t>
            </w:r>
            <w:r>
              <w:rPr>
                <w:sz w:val="24"/>
              </w:rPr>
              <w:t>provides</w:t>
            </w:r>
            <w:r>
              <w:rPr>
                <w:spacing w:val="-10"/>
                <w:sz w:val="24"/>
              </w:rPr>
              <w:t xml:space="preserve"> </w:t>
            </w:r>
            <w:r>
              <w:rPr>
                <w:sz w:val="24"/>
              </w:rPr>
              <w:t>a</w:t>
            </w:r>
            <w:r>
              <w:rPr>
                <w:spacing w:val="-8"/>
                <w:sz w:val="24"/>
              </w:rPr>
              <w:t xml:space="preserve"> </w:t>
            </w:r>
            <w:r>
              <w:rPr>
                <w:sz w:val="24"/>
              </w:rPr>
              <w:t>high‐level</w:t>
            </w:r>
            <w:r>
              <w:rPr>
                <w:spacing w:val="-9"/>
                <w:sz w:val="24"/>
              </w:rPr>
              <w:t xml:space="preserve"> </w:t>
            </w:r>
            <w:r>
              <w:rPr>
                <w:sz w:val="24"/>
              </w:rPr>
              <w:t>summary</w:t>
            </w:r>
            <w:r>
              <w:rPr>
                <w:spacing w:val="-8"/>
                <w:sz w:val="24"/>
              </w:rPr>
              <w:t xml:space="preserve"> </w:t>
            </w:r>
            <w:r>
              <w:rPr>
                <w:sz w:val="24"/>
              </w:rPr>
              <w:t>of</w:t>
            </w:r>
            <w:r>
              <w:rPr>
                <w:spacing w:val="-10"/>
                <w:sz w:val="24"/>
              </w:rPr>
              <w:t xml:space="preserve"> </w:t>
            </w:r>
            <w:r>
              <w:rPr>
                <w:sz w:val="24"/>
              </w:rPr>
              <w:t>data</w:t>
            </w:r>
            <w:r>
              <w:rPr>
                <w:spacing w:val="-7"/>
                <w:sz w:val="24"/>
              </w:rPr>
              <w:t xml:space="preserve"> </w:t>
            </w:r>
            <w:r>
              <w:rPr>
                <w:sz w:val="24"/>
              </w:rPr>
              <w:t>relating</w:t>
            </w:r>
            <w:r>
              <w:rPr>
                <w:spacing w:val="-9"/>
                <w:sz w:val="24"/>
              </w:rPr>
              <w:t xml:space="preserve"> </w:t>
            </w:r>
            <w:r>
              <w:rPr>
                <w:spacing w:val="-5"/>
                <w:sz w:val="24"/>
              </w:rPr>
              <w:t>to</w:t>
            </w:r>
          </w:p>
        </w:tc>
      </w:tr>
      <w:tr w:rsidR="0010369C" w14:paraId="51DE9044" w14:textId="77777777">
        <w:trPr>
          <w:trHeight w:val="449"/>
        </w:trPr>
        <w:tc>
          <w:tcPr>
            <w:tcW w:w="8327" w:type="dxa"/>
            <w:gridSpan w:val="6"/>
          </w:tcPr>
          <w:p w14:paraId="51DE9043" w14:textId="77777777" w:rsidR="0010369C" w:rsidRDefault="008E43AE">
            <w:pPr>
              <w:pStyle w:val="TableParagraph"/>
              <w:spacing w:before="61"/>
              <w:ind w:left="902"/>
              <w:rPr>
                <w:sz w:val="24"/>
              </w:rPr>
            </w:pPr>
            <w:r>
              <w:rPr>
                <w:sz w:val="24"/>
              </w:rPr>
              <w:t>16</w:t>
            </w:r>
            <w:r>
              <w:rPr>
                <w:spacing w:val="-3"/>
                <w:sz w:val="24"/>
              </w:rPr>
              <w:t xml:space="preserve"> </w:t>
            </w:r>
            <w:r>
              <w:rPr>
                <w:sz w:val="24"/>
              </w:rPr>
              <w:t>economic</w:t>
            </w:r>
            <w:r>
              <w:rPr>
                <w:spacing w:val="-2"/>
                <w:sz w:val="24"/>
              </w:rPr>
              <w:t xml:space="preserve"> </w:t>
            </w:r>
            <w:r>
              <w:rPr>
                <w:sz w:val="24"/>
              </w:rPr>
              <w:t>factors</w:t>
            </w:r>
            <w:r>
              <w:rPr>
                <w:spacing w:val="-2"/>
                <w:sz w:val="24"/>
              </w:rPr>
              <w:t xml:space="preserve"> </w:t>
            </w:r>
            <w:r>
              <w:rPr>
                <w:sz w:val="24"/>
              </w:rPr>
              <w:t>(</w:t>
            </w:r>
            <w:r>
              <w:rPr>
                <w:b/>
                <w:sz w:val="24"/>
              </w:rPr>
              <w:t>Part</w:t>
            </w:r>
            <w:r>
              <w:rPr>
                <w:b/>
                <w:spacing w:val="-2"/>
                <w:sz w:val="24"/>
              </w:rPr>
              <w:t xml:space="preserve"> </w:t>
            </w:r>
            <w:r>
              <w:rPr>
                <w:b/>
                <w:sz w:val="24"/>
              </w:rPr>
              <w:t>1</w:t>
            </w:r>
            <w:r>
              <w:rPr>
                <w:sz w:val="24"/>
              </w:rPr>
              <w:t>).</w:t>
            </w:r>
            <w:r>
              <w:rPr>
                <w:sz w:val="24"/>
                <w:vertAlign w:val="superscript"/>
              </w:rPr>
              <w:t>721</w:t>
            </w:r>
            <w:r>
              <w:rPr>
                <w:spacing w:val="-2"/>
                <w:sz w:val="24"/>
              </w:rPr>
              <w:t xml:space="preserve"> </w:t>
            </w:r>
            <w:r>
              <w:rPr>
                <w:sz w:val="24"/>
              </w:rPr>
              <w:t>Generally,</w:t>
            </w:r>
            <w:r>
              <w:rPr>
                <w:spacing w:val="-2"/>
                <w:sz w:val="24"/>
              </w:rPr>
              <w:t xml:space="preserve"> </w:t>
            </w:r>
            <w:r>
              <w:rPr>
                <w:sz w:val="24"/>
              </w:rPr>
              <w:t>MOFCOM's</w:t>
            </w:r>
            <w:r>
              <w:rPr>
                <w:spacing w:val="-2"/>
                <w:sz w:val="24"/>
              </w:rPr>
              <w:t xml:space="preserve"> </w:t>
            </w:r>
            <w:r>
              <w:rPr>
                <w:sz w:val="24"/>
              </w:rPr>
              <w:t>evaluation</w:t>
            </w:r>
            <w:r>
              <w:rPr>
                <w:spacing w:val="-2"/>
                <w:sz w:val="24"/>
              </w:rPr>
              <w:t xml:space="preserve"> </w:t>
            </w:r>
            <w:r>
              <w:rPr>
                <w:sz w:val="24"/>
              </w:rPr>
              <w:t>of</w:t>
            </w:r>
            <w:r>
              <w:rPr>
                <w:spacing w:val="-2"/>
                <w:sz w:val="24"/>
              </w:rPr>
              <w:t xml:space="preserve"> </w:t>
            </w:r>
            <w:r>
              <w:rPr>
                <w:sz w:val="24"/>
              </w:rPr>
              <w:t>the</w:t>
            </w:r>
            <w:r>
              <w:rPr>
                <w:spacing w:val="-2"/>
                <w:sz w:val="24"/>
              </w:rPr>
              <w:t xml:space="preserve"> </w:t>
            </w:r>
            <w:r>
              <w:rPr>
                <w:spacing w:val="-5"/>
                <w:sz w:val="24"/>
              </w:rPr>
              <w:t>16</w:t>
            </w:r>
          </w:p>
        </w:tc>
      </w:tr>
      <w:tr w:rsidR="0010369C" w14:paraId="51DE9046" w14:textId="77777777">
        <w:trPr>
          <w:trHeight w:val="439"/>
        </w:trPr>
        <w:tc>
          <w:tcPr>
            <w:tcW w:w="8327" w:type="dxa"/>
            <w:gridSpan w:val="6"/>
          </w:tcPr>
          <w:p w14:paraId="51DE9045" w14:textId="77777777" w:rsidR="0010369C" w:rsidRDefault="008E43AE">
            <w:pPr>
              <w:pStyle w:val="TableParagraph"/>
              <w:spacing w:before="51"/>
              <w:ind w:left="902"/>
              <w:rPr>
                <w:sz w:val="24"/>
              </w:rPr>
            </w:pPr>
            <w:r>
              <w:rPr>
                <w:sz w:val="24"/>
              </w:rPr>
              <w:t>factors</w:t>
            </w:r>
            <w:r>
              <w:rPr>
                <w:spacing w:val="42"/>
                <w:sz w:val="24"/>
              </w:rPr>
              <w:t xml:space="preserve"> </w:t>
            </w:r>
            <w:r>
              <w:rPr>
                <w:sz w:val="24"/>
              </w:rPr>
              <w:t>consists</w:t>
            </w:r>
            <w:r>
              <w:rPr>
                <w:spacing w:val="44"/>
                <w:sz w:val="24"/>
              </w:rPr>
              <w:t xml:space="preserve"> </w:t>
            </w:r>
            <w:r>
              <w:rPr>
                <w:sz w:val="24"/>
              </w:rPr>
              <w:t>of:</w:t>
            </w:r>
            <w:r>
              <w:rPr>
                <w:spacing w:val="44"/>
                <w:sz w:val="24"/>
              </w:rPr>
              <w:t xml:space="preserve"> </w:t>
            </w:r>
            <w:r>
              <w:rPr>
                <w:sz w:val="24"/>
              </w:rPr>
              <w:t>a</w:t>
            </w:r>
            <w:r>
              <w:rPr>
                <w:spacing w:val="44"/>
                <w:sz w:val="24"/>
              </w:rPr>
              <w:t xml:space="preserve"> </w:t>
            </w:r>
            <w:r>
              <w:rPr>
                <w:sz w:val="24"/>
              </w:rPr>
              <w:t>sentence</w:t>
            </w:r>
            <w:r>
              <w:rPr>
                <w:spacing w:val="45"/>
                <w:sz w:val="24"/>
              </w:rPr>
              <w:t xml:space="preserve"> </w:t>
            </w:r>
            <w:r>
              <w:rPr>
                <w:sz w:val="24"/>
              </w:rPr>
              <w:t>providing</w:t>
            </w:r>
            <w:r>
              <w:rPr>
                <w:spacing w:val="45"/>
                <w:sz w:val="24"/>
              </w:rPr>
              <w:t xml:space="preserve"> </w:t>
            </w:r>
            <w:r>
              <w:rPr>
                <w:sz w:val="24"/>
              </w:rPr>
              <w:t>MOFCOM's</w:t>
            </w:r>
            <w:r>
              <w:rPr>
                <w:spacing w:val="43"/>
                <w:sz w:val="24"/>
              </w:rPr>
              <w:t xml:space="preserve"> </w:t>
            </w:r>
            <w:r>
              <w:rPr>
                <w:sz w:val="24"/>
              </w:rPr>
              <w:t>assessment</w:t>
            </w:r>
            <w:r>
              <w:rPr>
                <w:spacing w:val="44"/>
                <w:sz w:val="24"/>
              </w:rPr>
              <w:t xml:space="preserve"> </w:t>
            </w:r>
            <w:r>
              <w:rPr>
                <w:sz w:val="24"/>
              </w:rPr>
              <w:t>of</w:t>
            </w:r>
            <w:r>
              <w:rPr>
                <w:spacing w:val="42"/>
                <w:sz w:val="24"/>
              </w:rPr>
              <w:t xml:space="preserve"> </w:t>
            </w:r>
            <w:r>
              <w:rPr>
                <w:spacing w:val="-5"/>
                <w:sz w:val="24"/>
              </w:rPr>
              <w:t>the</w:t>
            </w:r>
          </w:p>
        </w:tc>
      </w:tr>
      <w:tr w:rsidR="0010369C" w14:paraId="51DE9048" w14:textId="77777777">
        <w:trPr>
          <w:trHeight w:val="439"/>
        </w:trPr>
        <w:tc>
          <w:tcPr>
            <w:tcW w:w="8327" w:type="dxa"/>
            <w:gridSpan w:val="6"/>
          </w:tcPr>
          <w:p w14:paraId="51DE9047" w14:textId="77777777" w:rsidR="0010369C" w:rsidRDefault="008E43AE">
            <w:pPr>
              <w:pStyle w:val="TableParagraph"/>
              <w:spacing w:before="51"/>
              <w:ind w:left="902"/>
              <w:rPr>
                <w:sz w:val="24"/>
              </w:rPr>
            </w:pPr>
            <w:r>
              <w:rPr>
                <w:sz w:val="24"/>
              </w:rPr>
              <w:t>overall</w:t>
            </w:r>
            <w:r>
              <w:rPr>
                <w:spacing w:val="4"/>
                <w:sz w:val="24"/>
              </w:rPr>
              <w:t xml:space="preserve"> </w:t>
            </w:r>
            <w:r>
              <w:rPr>
                <w:sz w:val="24"/>
              </w:rPr>
              <w:t>trend</w:t>
            </w:r>
            <w:r>
              <w:rPr>
                <w:spacing w:val="4"/>
                <w:sz w:val="24"/>
              </w:rPr>
              <w:t xml:space="preserve"> </w:t>
            </w:r>
            <w:r>
              <w:rPr>
                <w:sz w:val="24"/>
              </w:rPr>
              <w:t>relating</w:t>
            </w:r>
            <w:r>
              <w:rPr>
                <w:spacing w:val="3"/>
                <w:sz w:val="24"/>
              </w:rPr>
              <w:t xml:space="preserve"> </w:t>
            </w:r>
            <w:r>
              <w:rPr>
                <w:sz w:val="24"/>
              </w:rPr>
              <w:t>to</w:t>
            </w:r>
            <w:r>
              <w:rPr>
                <w:spacing w:val="3"/>
                <w:sz w:val="24"/>
              </w:rPr>
              <w:t xml:space="preserve"> </w:t>
            </w:r>
            <w:r>
              <w:rPr>
                <w:sz w:val="24"/>
              </w:rPr>
              <w:t>the</w:t>
            </w:r>
            <w:r>
              <w:rPr>
                <w:spacing w:val="5"/>
                <w:sz w:val="24"/>
              </w:rPr>
              <w:t xml:space="preserve"> </w:t>
            </w:r>
            <w:r>
              <w:rPr>
                <w:sz w:val="24"/>
              </w:rPr>
              <w:t>factor;</w:t>
            </w:r>
            <w:r>
              <w:rPr>
                <w:spacing w:val="3"/>
                <w:sz w:val="24"/>
              </w:rPr>
              <w:t xml:space="preserve"> </w:t>
            </w:r>
            <w:r>
              <w:rPr>
                <w:sz w:val="24"/>
              </w:rPr>
              <w:t>a</w:t>
            </w:r>
            <w:r>
              <w:rPr>
                <w:spacing w:val="4"/>
                <w:sz w:val="24"/>
              </w:rPr>
              <w:t xml:space="preserve"> </w:t>
            </w:r>
            <w:r>
              <w:rPr>
                <w:sz w:val="24"/>
              </w:rPr>
              <w:t>recitation</w:t>
            </w:r>
            <w:r>
              <w:rPr>
                <w:spacing w:val="2"/>
                <w:sz w:val="24"/>
              </w:rPr>
              <w:t xml:space="preserve"> </w:t>
            </w:r>
            <w:r>
              <w:rPr>
                <w:sz w:val="24"/>
              </w:rPr>
              <w:t>of</w:t>
            </w:r>
            <w:r>
              <w:rPr>
                <w:spacing w:val="4"/>
                <w:sz w:val="24"/>
              </w:rPr>
              <w:t xml:space="preserve"> </w:t>
            </w:r>
            <w:r>
              <w:rPr>
                <w:sz w:val="24"/>
              </w:rPr>
              <w:t>yearly</w:t>
            </w:r>
            <w:r>
              <w:rPr>
                <w:spacing w:val="4"/>
                <w:sz w:val="24"/>
              </w:rPr>
              <w:t xml:space="preserve"> </w:t>
            </w:r>
            <w:r>
              <w:rPr>
                <w:sz w:val="24"/>
              </w:rPr>
              <w:t>figures</w:t>
            </w:r>
            <w:r>
              <w:rPr>
                <w:spacing w:val="4"/>
                <w:sz w:val="24"/>
              </w:rPr>
              <w:t xml:space="preserve"> </w:t>
            </w:r>
            <w:r>
              <w:rPr>
                <w:sz w:val="24"/>
              </w:rPr>
              <w:t>relating</w:t>
            </w:r>
            <w:r>
              <w:rPr>
                <w:spacing w:val="4"/>
                <w:sz w:val="24"/>
              </w:rPr>
              <w:t xml:space="preserve"> </w:t>
            </w:r>
            <w:r>
              <w:rPr>
                <w:spacing w:val="-5"/>
                <w:sz w:val="24"/>
              </w:rPr>
              <w:t>to</w:t>
            </w:r>
          </w:p>
        </w:tc>
      </w:tr>
      <w:tr w:rsidR="0010369C" w14:paraId="51DE904F" w14:textId="77777777">
        <w:trPr>
          <w:trHeight w:val="439"/>
        </w:trPr>
        <w:tc>
          <w:tcPr>
            <w:tcW w:w="532" w:type="dxa"/>
          </w:tcPr>
          <w:p w14:paraId="51DE9049" w14:textId="77777777" w:rsidR="0010369C" w:rsidRDefault="0010369C">
            <w:pPr>
              <w:pStyle w:val="TableParagraph"/>
              <w:rPr>
                <w:rFonts w:ascii="Times New Roman"/>
              </w:rPr>
            </w:pPr>
          </w:p>
        </w:tc>
        <w:tc>
          <w:tcPr>
            <w:tcW w:w="2090" w:type="dxa"/>
          </w:tcPr>
          <w:p w14:paraId="51DE904A" w14:textId="77777777" w:rsidR="0010369C" w:rsidRDefault="008E43AE">
            <w:pPr>
              <w:pStyle w:val="TableParagraph"/>
              <w:spacing w:before="51"/>
              <w:ind w:left="369"/>
              <w:rPr>
                <w:sz w:val="24"/>
              </w:rPr>
            </w:pPr>
            <w:r>
              <w:rPr>
                <w:sz w:val="24"/>
              </w:rPr>
              <w:t>the</w:t>
            </w:r>
            <w:r>
              <w:rPr>
                <w:spacing w:val="66"/>
                <w:w w:val="150"/>
                <w:sz w:val="24"/>
              </w:rPr>
              <w:t xml:space="preserve"> </w:t>
            </w:r>
            <w:r>
              <w:rPr>
                <w:sz w:val="24"/>
              </w:rPr>
              <w:t>factor;</w:t>
            </w:r>
            <w:r>
              <w:rPr>
                <w:spacing w:val="65"/>
                <w:w w:val="150"/>
                <w:sz w:val="24"/>
              </w:rPr>
              <w:t xml:space="preserve"> </w:t>
            </w:r>
            <w:r>
              <w:rPr>
                <w:spacing w:val="-5"/>
                <w:sz w:val="24"/>
              </w:rPr>
              <w:t>and</w:t>
            </w:r>
          </w:p>
        </w:tc>
        <w:tc>
          <w:tcPr>
            <w:tcW w:w="268" w:type="dxa"/>
          </w:tcPr>
          <w:p w14:paraId="51DE904B" w14:textId="77777777" w:rsidR="0010369C" w:rsidRDefault="008E43AE">
            <w:pPr>
              <w:pStyle w:val="TableParagraph"/>
              <w:spacing w:before="51"/>
              <w:ind w:left="75"/>
              <w:rPr>
                <w:sz w:val="24"/>
              </w:rPr>
            </w:pPr>
            <w:r>
              <w:rPr>
                <w:w w:val="99"/>
                <w:sz w:val="24"/>
              </w:rPr>
              <w:t>a</w:t>
            </w:r>
          </w:p>
        </w:tc>
        <w:tc>
          <w:tcPr>
            <w:tcW w:w="3050" w:type="dxa"/>
          </w:tcPr>
          <w:p w14:paraId="51DE904C" w14:textId="77777777" w:rsidR="0010369C" w:rsidRDefault="008E43AE">
            <w:pPr>
              <w:pStyle w:val="TableParagraph"/>
              <w:spacing w:before="51"/>
              <w:ind w:left="74"/>
              <w:rPr>
                <w:sz w:val="24"/>
              </w:rPr>
            </w:pPr>
            <w:r>
              <w:rPr>
                <w:sz w:val="24"/>
              </w:rPr>
              <w:t>recitation</w:t>
            </w:r>
            <w:r>
              <w:rPr>
                <w:spacing w:val="63"/>
                <w:w w:val="150"/>
                <w:sz w:val="24"/>
              </w:rPr>
              <w:t xml:space="preserve"> </w:t>
            </w:r>
            <w:r>
              <w:rPr>
                <w:sz w:val="24"/>
              </w:rPr>
              <w:t>of</w:t>
            </w:r>
            <w:r>
              <w:rPr>
                <w:spacing w:val="63"/>
                <w:w w:val="150"/>
                <w:sz w:val="24"/>
              </w:rPr>
              <w:t xml:space="preserve"> </w:t>
            </w:r>
            <w:r>
              <w:rPr>
                <w:sz w:val="24"/>
              </w:rPr>
              <w:t>yearly</w:t>
            </w:r>
            <w:r>
              <w:rPr>
                <w:spacing w:val="65"/>
                <w:w w:val="150"/>
                <w:sz w:val="24"/>
              </w:rPr>
              <w:t xml:space="preserve"> </w:t>
            </w:r>
            <w:r>
              <w:rPr>
                <w:spacing w:val="-2"/>
                <w:sz w:val="24"/>
              </w:rPr>
              <w:t>change</w:t>
            </w:r>
          </w:p>
        </w:tc>
        <w:tc>
          <w:tcPr>
            <w:tcW w:w="647" w:type="dxa"/>
          </w:tcPr>
          <w:p w14:paraId="51DE904D" w14:textId="77777777" w:rsidR="0010369C" w:rsidRDefault="008E43AE">
            <w:pPr>
              <w:pStyle w:val="TableParagraph"/>
              <w:spacing w:before="51"/>
              <w:ind w:left="73"/>
              <w:rPr>
                <w:sz w:val="24"/>
              </w:rPr>
            </w:pPr>
            <w:r>
              <w:rPr>
                <w:spacing w:val="-2"/>
                <w:sz w:val="24"/>
              </w:rPr>
              <w:t>rates</w:t>
            </w:r>
          </w:p>
        </w:tc>
        <w:tc>
          <w:tcPr>
            <w:tcW w:w="1740" w:type="dxa"/>
          </w:tcPr>
          <w:p w14:paraId="51DE904E" w14:textId="77777777" w:rsidR="0010369C" w:rsidRDefault="008E43AE">
            <w:pPr>
              <w:pStyle w:val="TableParagraph"/>
              <w:spacing w:before="51"/>
              <w:ind w:left="70"/>
              <w:rPr>
                <w:sz w:val="24"/>
              </w:rPr>
            </w:pPr>
            <w:r>
              <w:rPr>
                <w:sz w:val="24"/>
              </w:rPr>
              <w:t>without</w:t>
            </w:r>
            <w:r>
              <w:rPr>
                <w:spacing w:val="62"/>
                <w:w w:val="150"/>
                <w:sz w:val="24"/>
              </w:rPr>
              <w:t xml:space="preserve"> </w:t>
            </w:r>
            <w:r>
              <w:rPr>
                <w:spacing w:val="-2"/>
                <w:sz w:val="24"/>
              </w:rPr>
              <w:t>further</w:t>
            </w:r>
          </w:p>
        </w:tc>
      </w:tr>
      <w:tr w:rsidR="0010369C" w14:paraId="51DE9051" w14:textId="77777777">
        <w:trPr>
          <w:trHeight w:val="475"/>
        </w:trPr>
        <w:tc>
          <w:tcPr>
            <w:tcW w:w="8327" w:type="dxa"/>
            <w:gridSpan w:val="6"/>
          </w:tcPr>
          <w:p w14:paraId="51DE9050" w14:textId="77777777" w:rsidR="0010369C" w:rsidRDefault="008E43AE">
            <w:pPr>
              <w:pStyle w:val="TableParagraph"/>
              <w:spacing w:before="51"/>
              <w:ind w:left="901"/>
              <w:rPr>
                <w:sz w:val="24"/>
              </w:rPr>
            </w:pPr>
            <w:r>
              <w:rPr>
                <w:sz w:val="24"/>
              </w:rPr>
              <w:t>consideration</w:t>
            </w:r>
            <w:r>
              <w:rPr>
                <w:spacing w:val="-9"/>
                <w:sz w:val="24"/>
              </w:rPr>
              <w:t xml:space="preserve"> </w:t>
            </w:r>
            <w:r>
              <w:rPr>
                <w:sz w:val="24"/>
              </w:rPr>
              <w:t>or</w:t>
            </w:r>
            <w:r>
              <w:rPr>
                <w:spacing w:val="-8"/>
                <w:sz w:val="24"/>
              </w:rPr>
              <w:t xml:space="preserve"> </w:t>
            </w:r>
            <w:r>
              <w:rPr>
                <w:spacing w:val="-2"/>
                <w:sz w:val="24"/>
              </w:rPr>
              <w:t>analysis.</w:t>
            </w:r>
          </w:p>
        </w:tc>
      </w:tr>
      <w:tr w:rsidR="0010369C" w14:paraId="51DE9054" w14:textId="77777777">
        <w:trPr>
          <w:trHeight w:val="536"/>
        </w:trPr>
        <w:tc>
          <w:tcPr>
            <w:tcW w:w="532" w:type="dxa"/>
          </w:tcPr>
          <w:p w14:paraId="51DE9052" w14:textId="77777777" w:rsidR="0010369C" w:rsidRDefault="008E43AE">
            <w:pPr>
              <w:pStyle w:val="TableParagraph"/>
              <w:spacing w:before="135"/>
              <w:ind w:left="50"/>
              <w:rPr>
                <w:rFonts w:ascii="Symbol" w:hAnsi="Symbol"/>
                <w:sz w:val="24"/>
              </w:rPr>
            </w:pPr>
            <w:r>
              <w:rPr>
                <w:rFonts w:ascii="Symbol" w:hAnsi="Symbol"/>
                <w:w w:val="99"/>
                <w:sz w:val="24"/>
              </w:rPr>
              <w:t></w:t>
            </w:r>
          </w:p>
        </w:tc>
        <w:tc>
          <w:tcPr>
            <w:tcW w:w="7795" w:type="dxa"/>
            <w:gridSpan w:val="5"/>
          </w:tcPr>
          <w:p w14:paraId="51DE9053" w14:textId="77777777" w:rsidR="0010369C" w:rsidRDefault="008E43AE">
            <w:pPr>
              <w:pStyle w:val="TableParagraph"/>
              <w:spacing w:before="148"/>
              <w:ind w:left="368"/>
              <w:rPr>
                <w:sz w:val="24"/>
              </w:rPr>
            </w:pPr>
            <w:r>
              <w:rPr>
                <w:w w:val="95"/>
                <w:sz w:val="24"/>
              </w:rPr>
              <w:t>In</w:t>
            </w:r>
            <w:r>
              <w:rPr>
                <w:spacing w:val="9"/>
                <w:sz w:val="24"/>
              </w:rPr>
              <w:t xml:space="preserve"> </w:t>
            </w:r>
            <w:r>
              <w:rPr>
                <w:w w:val="95"/>
                <w:sz w:val="24"/>
              </w:rPr>
              <w:t>the</w:t>
            </w:r>
            <w:r>
              <w:rPr>
                <w:spacing w:val="10"/>
                <w:sz w:val="24"/>
              </w:rPr>
              <w:t xml:space="preserve"> </w:t>
            </w:r>
            <w:r>
              <w:rPr>
                <w:w w:val="95"/>
                <w:sz w:val="24"/>
              </w:rPr>
              <w:t>second</w:t>
            </w:r>
            <w:r>
              <w:rPr>
                <w:spacing w:val="10"/>
                <w:sz w:val="24"/>
              </w:rPr>
              <w:t xml:space="preserve"> </w:t>
            </w:r>
            <w:r>
              <w:rPr>
                <w:w w:val="95"/>
                <w:sz w:val="24"/>
              </w:rPr>
              <w:t>part,</w:t>
            </w:r>
            <w:r>
              <w:rPr>
                <w:spacing w:val="10"/>
                <w:sz w:val="24"/>
              </w:rPr>
              <w:t xml:space="preserve"> </w:t>
            </w:r>
            <w:r>
              <w:rPr>
                <w:w w:val="95"/>
                <w:sz w:val="24"/>
              </w:rPr>
              <w:t>MOFCOM</w:t>
            </w:r>
            <w:r>
              <w:rPr>
                <w:spacing w:val="10"/>
                <w:sz w:val="24"/>
              </w:rPr>
              <w:t xml:space="preserve"> </w:t>
            </w:r>
            <w:r>
              <w:rPr>
                <w:w w:val="95"/>
                <w:sz w:val="24"/>
              </w:rPr>
              <w:t>provides</w:t>
            </w:r>
            <w:r>
              <w:rPr>
                <w:spacing w:val="9"/>
                <w:sz w:val="24"/>
              </w:rPr>
              <w:t xml:space="preserve"> </w:t>
            </w:r>
            <w:r>
              <w:rPr>
                <w:w w:val="95"/>
                <w:sz w:val="24"/>
              </w:rPr>
              <w:t>a</w:t>
            </w:r>
            <w:r>
              <w:rPr>
                <w:spacing w:val="10"/>
                <w:sz w:val="24"/>
              </w:rPr>
              <w:t xml:space="preserve"> </w:t>
            </w:r>
            <w:r>
              <w:rPr>
                <w:w w:val="95"/>
                <w:sz w:val="24"/>
              </w:rPr>
              <w:t>narrative</w:t>
            </w:r>
            <w:r>
              <w:rPr>
                <w:spacing w:val="11"/>
                <w:sz w:val="24"/>
              </w:rPr>
              <w:t xml:space="preserve"> </w:t>
            </w:r>
            <w:r>
              <w:rPr>
                <w:w w:val="95"/>
                <w:sz w:val="24"/>
              </w:rPr>
              <w:t>description</w:t>
            </w:r>
            <w:r>
              <w:rPr>
                <w:spacing w:val="12"/>
                <w:sz w:val="24"/>
              </w:rPr>
              <w:t xml:space="preserve"> </w:t>
            </w:r>
            <w:r>
              <w:rPr>
                <w:w w:val="95"/>
                <w:sz w:val="24"/>
              </w:rPr>
              <w:t>of</w:t>
            </w:r>
            <w:r>
              <w:rPr>
                <w:spacing w:val="10"/>
                <w:sz w:val="24"/>
              </w:rPr>
              <w:t xml:space="preserve"> </w:t>
            </w:r>
            <w:r>
              <w:rPr>
                <w:w w:val="95"/>
                <w:sz w:val="24"/>
              </w:rPr>
              <w:t>some</w:t>
            </w:r>
            <w:r>
              <w:rPr>
                <w:spacing w:val="10"/>
                <w:sz w:val="24"/>
              </w:rPr>
              <w:t xml:space="preserve"> </w:t>
            </w:r>
            <w:r>
              <w:rPr>
                <w:w w:val="95"/>
                <w:sz w:val="24"/>
              </w:rPr>
              <w:t>of</w:t>
            </w:r>
            <w:r>
              <w:rPr>
                <w:spacing w:val="7"/>
                <w:sz w:val="24"/>
              </w:rPr>
              <w:t xml:space="preserve"> </w:t>
            </w:r>
            <w:r>
              <w:rPr>
                <w:spacing w:val="-5"/>
                <w:w w:val="95"/>
                <w:sz w:val="24"/>
              </w:rPr>
              <w:t>the</w:t>
            </w:r>
          </w:p>
        </w:tc>
      </w:tr>
      <w:tr w:rsidR="0010369C" w14:paraId="51DE9057" w14:textId="77777777">
        <w:trPr>
          <w:trHeight w:val="429"/>
        </w:trPr>
        <w:tc>
          <w:tcPr>
            <w:tcW w:w="532" w:type="dxa"/>
          </w:tcPr>
          <w:p w14:paraId="51DE9055" w14:textId="77777777" w:rsidR="0010369C" w:rsidRDefault="0010369C">
            <w:pPr>
              <w:pStyle w:val="TableParagraph"/>
              <w:rPr>
                <w:rFonts w:ascii="Times New Roman"/>
              </w:rPr>
            </w:pPr>
          </w:p>
        </w:tc>
        <w:tc>
          <w:tcPr>
            <w:tcW w:w="7795" w:type="dxa"/>
            <w:gridSpan w:val="5"/>
          </w:tcPr>
          <w:p w14:paraId="51DE9056" w14:textId="77777777" w:rsidR="0010369C" w:rsidRDefault="008E43AE">
            <w:pPr>
              <w:pStyle w:val="TableParagraph"/>
              <w:spacing w:before="51"/>
              <w:ind w:left="368"/>
              <w:rPr>
                <w:sz w:val="24"/>
              </w:rPr>
            </w:pPr>
            <w:r>
              <w:rPr>
                <w:sz w:val="24"/>
              </w:rPr>
              <w:t>16</w:t>
            </w:r>
            <w:r>
              <w:rPr>
                <w:spacing w:val="-3"/>
                <w:sz w:val="24"/>
              </w:rPr>
              <w:t xml:space="preserve"> </w:t>
            </w:r>
            <w:r>
              <w:rPr>
                <w:sz w:val="24"/>
              </w:rPr>
              <w:t>domestic</w:t>
            </w:r>
            <w:r>
              <w:rPr>
                <w:spacing w:val="-2"/>
                <w:sz w:val="24"/>
              </w:rPr>
              <w:t xml:space="preserve"> </w:t>
            </w:r>
            <w:r>
              <w:rPr>
                <w:sz w:val="24"/>
              </w:rPr>
              <w:t>industry</w:t>
            </w:r>
            <w:r>
              <w:rPr>
                <w:spacing w:val="-2"/>
                <w:sz w:val="24"/>
              </w:rPr>
              <w:t xml:space="preserve"> </w:t>
            </w:r>
            <w:r>
              <w:rPr>
                <w:sz w:val="24"/>
              </w:rPr>
              <w:t>factors</w:t>
            </w:r>
            <w:r>
              <w:rPr>
                <w:spacing w:val="-3"/>
                <w:sz w:val="24"/>
              </w:rPr>
              <w:t xml:space="preserve"> </w:t>
            </w:r>
            <w:r>
              <w:rPr>
                <w:sz w:val="24"/>
              </w:rPr>
              <w:t>and</w:t>
            </w:r>
            <w:r>
              <w:rPr>
                <w:spacing w:val="-3"/>
                <w:sz w:val="24"/>
              </w:rPr>
              <w:t xml:space="preserve"> </w:t>
            </w:r>
            <w:r>
              <w:rPr>
                <w:sz w:val="24"/>
              </w:rPr>
              <w:t>issues</w:t>
            </w:r>
            <w:r>
              <w:rPr>
                <w:spacing w:val="-3"/>
                <w:sz w:val="24"/>
              </w:rPr>
              <w:t xml:space="preserve"> </w:t>
            </w:r>
            <w:r>
              <w:rPr>
                <w:sz w:val="24"/>
              </w:rPr>
              <w:t>raised</w:t>
            </w:r>
            <w:r>
              <w:rPr>
                <w:spacing w:val="-4"/>
                <w:sz w:val="24"/>
              </w:rPr>
              <w:t xml:space="preserve"> </w:t>
            </w:r>
            <w:r>
              <w:rPr>
                <w:sz w:val="24"/>
              </w:rPr>
              <w:t>by</w:t>
            </w:r>
            <w:r>
              <w:rPr>
                <w:spacing w:val="-2"/>
                <w:sz w:val="24"/>
              </w:rPr>
              <w:t xml:space="preserve"> </w:t>
            </w:r>
            <w:r>
              <w:rPr>
                <w:sz w:val="24"/>
              </w:rPr>
              <w:t>various</w:t>
            </w:r>
            <w:r>
              <w:rPr>
                <w:spacing w:val="-4"/>
                <w:sz w:val="24"/>
              </w:rPr>
              <w:t xml:space="preserve"> </w:t>
            </w:r>
            <w:r>
              <w:rPr>
                <w:sz w:val="24"/>
              </w:rPr>
              <w:t>interested</w:t>
            </w:r>
            <w:r>
              <w:rPr>
                <w:spacing w:val="-2"/>
                <w:sz w:val="24"/>
              </w:rPr>
              <w:t xml:space="preserve"> parties</w:t>
            </w:r>
          </w:p>
        </w:tc>
      </w:tr>
      <w:tr w:rsidR="0010369C" w14:paraId="51DE905A" w14:textId="77777777">
        <w:trPr>
          <w:trHeight w:val="449"/>
        </w:trPr>
        <w:tc>
          <w:tcPr>
            <w:tcW w:w="532" w:type="dxa"/>
          </w:tcPr>
          <w:p w14:paraId="51DE9058" w14:textId="77777777" w:rsidR="0010369C" w:rsidRDefault="0010369C">
            <w:pPr>
              <w:pStyle w:val="TableParagraph"/>
              <w:rPr>
                <w:rFonts w:ascii="Times New Roman"/>
              </w:rPr>
            </w:pPr>
          </w:p>
        </w:tc>
        <w:tc>
          <w:tcPr>
            <w:tcW w:w="7795" w:type="dxa"/>
            <w:gridSpan w:val="5"/>
          </w:tcPr>
          <w:p w14:paraId="51DE9059" w14:textId="77777777" w:rsidR="0010369C" w:rsidRDefault="008E43AE">
            <w:pPr>
              <w:pStyle w:val="TableParagraph"/>
              <w:spacing w:before="61"/>
              <w:ind w:left="370"/>
              <w:rPr>
                <w:sz w:val="24"/>
              </w:rPr>
            </w:pPr>
            <w:r>
              <w:rPr>
                <w:sz w:val="24"/>
              </w:rPr>
              <w:t>(</w:t>
            </w:r>
            <w:r>
              <w:rPr>
                <w:b/>
                <w:sz w:val="24"/>
              </w:rPr>
              <w:t>Part</w:t>
            </w:r>
            <w:r>
              <w:rPr>
                <w:b/>
                <w:spacing w:val="52"/>
                <w:sz w:val="24"/>
              </w:rPr>
              <w:t xml:space="preserve"> </w:t>
            </w:r>
            <w:r>
              <w:rPr>
                <w:b/>
                <w:sz w:val="24"/>
              </w:rPr>
              <w:t>2</w:t>
            </w:r>
            <w:r>
              <w:rPr>
                <w:sz w:val="24"/>
              </w:rPr>
              <w:t>).</w:t>
            </w:r>
            <w:r>
              <w:rPr>
                <w:sz w:val="24"/>
                <w:vertAlign w:val="superscript"/>
              </w:rPr>
              <w:t>722</w:t>
            </w:r>
            <w:r>
              <w:rPr>
                <w:spacing w:val="52"/>
                <w:sz w:val="24"/>
              </w:rPr>
              <w:t xml:space="preserve"> </w:t>
            </w:r>
            <w:r>
              <w:rPr>
                <w:sz w:val="24"/>
              </w:rPr>
              <w:t>MOFCOM</w:t>
            </w:r>
            <w:r>
              <w:rPr>
                <w:spacing w:val="52"/>
                <w:sz w:val="24"/>
              </w:rPr>
              <w:t xml:space="preserve"> </w:t>
            </w:r>
            <w:r>
              <w:rPr>
                <w:sz w:val="24"/>
              </w:rPr>
              <w:t>then</w:t>
            </w:r>
            <w:r>
              <w:rPr>
                <w:spacing w:val="53"/>
                <w:sz w:val="24"/>
              </w:rPr>
              <w:t xml:space="preserve"> </w:t>
            </w:r>
            <w:r>
              <w:rPr>
                <w:sz w:val="24"/>
              </w:rPr>
              <w:t>concluded</w:t>
            </w:r>
            <w:r>
              <w:rPr>
                <w:spacing w:val="52"/>
                <w:sz w:val="24"/>
              </w:rPr>
              <w:t xml:space="preserve"> </w:t>
            </w:r>
            <w:r>
              <w:rPr>
                <w:sz w:val="24"/>
              </w:rPr>
              <w:t>that,</w:t>
            </w:r>
            <w:r>
              <w:rPr>
                <w:spacing w:val="52"/>
                <w:sz w:val="24"/>
              </w:rPr>
              <w:t xml:space="preserve"> </w:t>
            </w:r>
            <w:r>
              <w:rPr>
                <w:sz w:val="24"/>
              </w:rPr>
              <w:t>during</w:t>
            </w:r>
            <w:r>
              <w:rPr>
                <w:spacing w:val="52"/>
                <w:sz w:val="24"/>
              </w:rPr>
              <w:t xml:space="preserve"> </w:t>
            </w:r>
            <w:r>
              <w:rPr>
                <w:sz w:val="24"/>
              </w:rPr>
              <w:t>the</w:t>
            </w:r>
            <w:r>
              <w:rPr>
                <w:spacing w:val="53"/>
                <w:sz w:val="24"/>
              </w:rPr>
              <w:t xml:space="preserve"> </w:t>
            </w:r>
            <w:r>
              <w:rPr>
                <w:sz w:val="24"/>
              </w:rPr>
              <w:t>Injury</w:t>
            </w:r>
            <w:r>
              <w:rPr>
                <w:spacing w:val="52"/>
                <w:sz w:val="24"/>
              </w:rPr>
              <w:t xml:space="preserve"> </w:t>
            </w:r>
            <w:r>
              <w:rPr>
                <w:sz w:val="24"/>
              </w:rPr>
              <w:t>POI,</w:t>
            </w:r>
            <w:r>
              <w:rPr>
                <w:spacing w:val="52"/>
                <w:sz w:val="24"/>
              </w:rPr>
              <w:t xml:space="preserve"> </w:t>
            </w:r>
            <w:r>
              <w:rPr>
                <w:spacing w:val="-4"/>
                <w:sz w:val="24"/>
              </w:rPr>
              <w:t>"the</w:t>
            </w:r>
          </w:p>
        </w:tc>
      </w:tr>
      <w:tr w:rsidR="0010369C" w14:paraId="51DE905D" w14:textId="77777777">
        <w:trPr>
          <w:trHeight w:val="429"/>
        </w:trPr>
        <w:tc>
          <w:tcPr>
            <w:tcW w:w="532" w:type="dxa"/>
          </w:tcPr>
          <w:p w14:paraId="51DE905B" w14:textId="77777777" w:rsidR="0010369C" w:rsidRDefault="0010369C">
            <w:pPr>
              <w:pStyle w:val="TableParagraph"/>
              <w:rPr>
                <w:rFonts w:ascii="Times New Roman"/>
              </w:rPr>
            </w:pPr>
          </w:p>
        </w:tc>
        <w:tc>
          <w:tcPr>
            <w:tcW w:w="7795" w:type="dxa"/>
            <w:gridSpan w:val="5"/>
          </w:tcPr>
          <w:p w14:paraId="51DE905C" w14:textId="77777777" w:rsidR="0010369C" w:rsidRDefault="008E43AE">
            <w:pPr>
              <w:pStyle w:val="TableParagraph"/>
              <w:spacing w:before="51"/>
              <w:ind w:left="370"/>
              <w:rPr>
                <w:sz w:val="24"/>
              </w:rPr>
            </w:pPr>
            <w:r>
              <w:rPr>
                <w:sz w:val="24"/>
              </w:rPr>
              <w:t>production</w:t>
            </w:r>
            <w:r>
              <w:rPr>
                <w:spacing w:val="11"/>
                <w:sz w:val="24"/>
              </w:rPr>
              <w:t xml:space="preserve"> </w:t>
            </w:r>
            <w:r>
              <w:rPr>
                <w:sz w:val="24"/>
              </w:rPr>
              <w:t>and</w:t>
            </w:r>
            <w:r>
              <w:rPr>
                <w:spacing w:val="13"/>
                <w:sz w:val="24"/>
              </w:rPr>
              <w:t xml:space="preserve"> </w:t>
            </w:r>
            <w:r>
              <w:rPr>
                <w:sz w:val="24"/>
              </w:rPr>
              <w:t>operation</w:t>
            </w:r>
            <w:r>
              <w:rPr>
                <w:spacing w:val="12"/>
                <w:sz w:val="24"/>
              </w:rPr>
              <w:t xml:space="preserve"> </w:t>
            </w:r>
            <w:r>
              <w:rPr>
                <w:sz w:val="24"/>
              </w:rPr>
              <w:t>of</w:t>
            </w:r>
            <w:r>
              <w:rPr>
                <w:spacing w:val="13"/>
                <w:sz w:val="24"/>
              </w:rPr>
              <w:t xml:space="preserve"> </w:t>
            </w:r>
            <w:r>
              <w:rPr>
                <w:sz w:val="24"/>
              </w:rPr>
              <w:t>domestic</w:t>
            </w:r>
            <w:r>
              <w:rPr>
                <w:spacing w:val="13"/>
                <w:sz w:val="24"/>
              </w:rPr>
              <w:t xml:space="preserve"> </w:t>
            </w:r>
            <w:r>
              <w:rPr>
                <w:sz w:val="24"/>
              </w:rPr>
              <w:t>like</w:t>
            </w:r>
            <w:r>
              <w:rPr>
                <w:spacing w:val="13"/>
                <w:sz w:val="24"/>
              </w:rPr>
              <w:t xml:space="preserve"> </w:t>
            </w:r>
            <w:r>
              <w:rPr>
                <w:sz w:val="24"/>
              </w:rPr>
              <w:t>products</w:t>
            </w:r>
            <w:r>
              <w:rPr>
                <w:spacing w:val="13"/>
                <w:sz w:val="24"/>
              </w:rPr>
              <w:t xml:space="preserve"> </w:t>
            </w:r>
            <w:r>
              <w:rPr>
                <w:sz w:val="24"/>
              </w:rPr>
              <w:t>deteriorated,</w:t>
            </w:r>
            <w:r>
              <w:rPr>
                <w:spacing w:val="13"/>
                <w:sz w:val="24"/>
              </w:rPr>
              <w:t xml:space="preserve"> </w:t>
            </w:r>
            <w:r>
              <w:rPr>
                <w:sz w:val="24"/>
              </w:rPr>
              <w:t>and</w:t>
            </w:r>
            <w:r>
              <w:rPr>
                <w:spacing w:val="12"/>
                <w:sz w:val="24"/>
              </w:rPr>
              <w:t xml:space="preserve"> </w:t>
            </w:r>
            <w:r>
              <w:rPr>
                <w:spacing w:val="-5"/>
                <w:sz w:val="24"/>
              </w:rPr>
              <w:t>the</w:t>
            </w:r>
          </w:p>
        </w:tc>
      </w:tr>
      <w:tr w:rsidR="0010369C" w14:paraId="51DE9060" w14:textId="77777777">
        <w:trPr>
          <w:trHeight w:val="350"/>
        </w:trPr>
        <w:tc>
          <w:tcPr>
            <w:tcW w:w="532" w:type="dxa"/>
          </w:tcPr>
          <w:p w14:paraId="51DE905E" w14:textId="77777777" w:rsidR="0010369C" w:rsidRDefault="0010369C">
            <w:pPr>
              <w:pStyle w:val="TableParagraph"/>
              <w:rPr>
                <w:rFonts w:ascii="Times New Roman"/>
              </w:rPr>
            </w:pPr>
          </w:p>
        </w:tc>
        <w:tc>
          <w:tcPr>
            <w:tcW w:w="7795" w:type="dxa"/>
            <w:gridSpan w:val="5"/>
          </w:tcPr>
          <w:p w14:paraId="51DE905F" w14:textId="77777777" w:rsidR="0010369C" w:rsidRDefault="008E43AE">
            <w:pPr>
              <w:pStyle w:val="TableParagraph"/>
              <w:spacing w:before="61" w:line="269" w:lineRule="exact"/>
              <w:ind w:left="370"/>
              <w:rPr>
                <w:sz w:val="24"/>
              </w:rPr>
            </w:pPr>
            <w:r>
              <w:rPr>
                <w:sz w:val="24"/>
              </w:rPr>
              <w:t>domestic</w:t>
            </w:r>
            <w:r>
              <w:rPr>
                <w:spacing w:val="-10"/>
                <w:sz w:val="24"/>
              </w:rPr>
              <w:t xml:space="preserve"> </w:t>
            </w:r>
            <w:r>
              <w:rPr>
                <w:sz w:val="24"/>
              </w:rPr>
              <w:t>relevant</w:t>
            </w:r>
            <w:r>
              <w:rPr>
                <w:spacing w:val="-11"/>
                <w:sz w:val="24"/>
              </w:rPr>
              <w:t xml:space="preserve"> </w:t>
            </w:r>
            <w:r>
              <w:rPr>
                <w:sz w:val="24"/>
              </w:rPr>
              <w:t>wine</w:t>
            </w:r>
            <w:r>
              <w:rPr>
                <w:spacing w:val="-11"/>
                <w:sz w:val="24"/>
              </w:rPr>
              <w:t xml:space="preserve"> </w:t>
            </w:r>
            <w:r>
              <w:rPr>
                <w:sz w:val="24"/>
              </w:rPr>
              <w:t>industry</w:t>
            </w:r>
            <w:r>
              <w:rPr>
                <w:spacing w:val="-10"/>
                <w:sz w:val="24"/>
              </w:rPr>
              <w:t xml:space="preserve"> </w:t>
            </w:r>
            <w:r>
              <w:rPr>
                <w:sz w:val="24"/>
              </w:rPr>
              <w:t>suffered</w:t>
            </w:r>
            <w:r>
              <w:rPr>
                <w:spacing w:val="-11"/>
                <w:sz w:val="24"/>
              </w:rPr>
              <w:t xml:space="preserve"> </w:t>
            </w:r>
            <w:r>
              <w:rPr>
                <w:sz w:val="24"/>
              </w:rPr>
              <w:t>material</w:t>
            </w:r>
            <w:r>
              <w:rPr>
                <w:spacing w:val="-12"/>
                <w:sz w:val="24"/>
              </w:rPr>
              <w:t xml:space="preserve"> </w:t>
            </w:r>
            <w:r>
              <w:rPr>
                <w:spacing w:val="-2"/>
                <w:sz w:val="24"/>
              </w:rPr>
              <w:t>injury".</w:t>
            </w:r>
            <w:r>
              <w:rPr>
                <w:spacing w:val="-2"/>
                <w:sz w:val="24"/>
                <w:vertAlign w:val="superscript"/>
              </w:rPr>
              <w:t>723</w:t>
            </w:r>
          </w:p>
        </w:tc>
      </w:tr>
    </w:tbl>
    <w:p w14:paraId="51DE9061" w14:textId="77777777" w:rsidR="0010369C" w:rsidRDefault="0010369C">
      <w:pPr>
        <w:pStyle w:val="BodyText"/>
        <w:spacing w:before="7"/>
        <w:rPr>
          <w:sz w:val="22"/>
        </w:rPr>
      </w:pPr>
    </w:p>
    <w:p w14:paraId="51DE9062" w14:textId="77777777" w:rsidR="0010369C" w:rsidRDefault="008E43AE">
      <w:pPr>
        <w:pStyle w:val="BodyText"/>
        <w:spacing w:line="360" w:lineRule="auto"/>
        <w:ind w:left="238" w:right="614" w:firstLine="851"/>
        <w:jc w:val="both"/>
      </w:pPr>
      <w:r>
        <w:rPr>
          <w:noProof/>
        </w:rPr>
        <w:drawing>
          <wp:anchor distT="0" distB="0" distL="0" distR="0" simplePos="0" relativeHeight="251247104" behindDoc="1" locked="0" layoutInCell="1" allowOverlap="1" wp14:anchorId="51DEA50D" wp14:editId="51DEA50E">
            <wp:simplePos x="0" y="0"/>
            <wp:positionH relativeFrom="page">
              <wp:posOffset>905255</wp:posOffset>
            </wp:positionH>
            <wp:positionV relativeFrom="paragraph">
              <wp:posOffset>43765</wp:posOffset>
            </wp:positionV>
            <wp:extent cx="259079" cy="106679"/>
            <wp:effectExtent l="0" t="0" r="0" b="0"/>
            <wp:wrapNone/>
            <wp:docPr id="1237" name="image6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 name="image640.png"/>
                    <pic:cNvPicPr/>
                  </pic:nvPicPr>
                  <pic:blipFill>
                    <a:blip r:embed="rId840" cstate="print"/>
                    <a:stretch>
                      <a:fillRect/>
                    </a:stretch>
                  </pic:blipFill>
                  <pic:spPr>
                    <a:xfrm>
                      <a:off x="0" y="0"/>
                      <a:ext cx="259079" cy="106679"/>
                    </a:xfrm>
                    <a:prstGeom prst="rect">
                      <a:avLst/>
                    </a:prstGeom>
                  </pic:spPr>
                </pic:pic>
              </a:graphicData>
            </a:graphic>
          </wp:anchor>
        </w:drawing>
      </w:r>
      <w:r>
        <w:t>MOFCOM's evaluation of the domestic industry is inconsistent with Article 3.4 because it amounts to a mere "checklist" or "mechanical exercise",</w:t>
      </w:r>
      <w:r>
        <w:rPr>
          <w:vertAlign w:val="superscript"/>
        </w:rPr>
        <w:t>724</w:t>
      </w:r>
      <w:r>
        <w:t xml:space="preserve"> and fails to provide an adequate examination of the impact of the subject imports on the domestic industry.</w:t>
      </w:r>
    </w:p>
    <w:p w14:paraId="51DE9063" w14:textId="77777777" w:rsidR="0010369C" w:rsidRDefault="008E43AE">
      <w:pPr>
        <w:pStyle w:val="BodyText"/>
        <w:spacing w:before="160" w:line="360" w:lineRule="auto"/>
        <w:ind w:left="235" w:right="614" w:firstLine="853"/>
        <w:jc w:val="both"/>
      </w:pPr>
      <w:r>
        <w:rPr>
          <w:noProof/>
        </w:rPr>
        <w:drawing>
          <wp:anchor distT="0" distB="0" distL="0" distR="0" simplePos="0" relativeHeight="251248128" behindDoc="1" locked="0" layoutInCell="1" allowOverlap="1" wp14:anchorId="51DEA50F" wp14:editId="51DEA510">
            <wp:simplePos x="0" y="0"/>
            <wp:positionH relativeFrom="page">
              <wp:posOffset>905255</wp:posOffset>
            </wp:positionH>
            <wp:positionV relativeFrom="paragraph">
              <wp:posOffset>145365</wp:posOffset>
            </wp:positionV>
            <wp:extent cx="259079" cy="106679"/>
            <wp:effectExtent l="0" t="0" r="0" b="0"/>
            <wp:wrapNone/>
            <wp:docPr id="1239" name="image6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 name="image641.png"/>
                    <pic:cNvPicPr/>
                  </pic:nvPicPr>
                  <pic:blipFill>
                    <a:blip r:embed="rId841" cstate="print"/>
                    <a:stretch>
                      <a:fillRect/>
                    </a:stretch>
                  </pic:blipFill>
                  <pic:spPr>
                    <a:xfrm>
                      <a:off x="0" y="0"/>
                      <a:ext cx="259079" cy="106679"/>
                    </a:xfrm>
                    <a:prstGeom prst="rect">
                      <a:avLst/>
                    </a:prstGeom>
                  </pic:spPr>
                </pic:pic>
              </a:graphicData>
            </a:graphic>
          </wp:anchor>
        </w:drawing>
      </w:r>
      <w:r>
        <w:t>First,</w:t>
      </w:r>
      <w:r>
        <w:rPr>
          <w:spacing w:val="-8"/>
        </w:rPr>
        <w:t xml:space="preserve"> </w:t>
      </w:r>
      <w:r>
        <w:t>Part</w:t>
      </w:r>
      <w:r>
        <w:rPr>
          <w:spacing w:val="-9"/>
        </w:rPr>
        <w:t xml:space="preserve"> </w:t>
      </w:r>
      <w:r>
        <w:t>1</w:t>
      </w:r>
      <w:r>
        <w:rPr>
          <w:spacing w:val="-7"/>
        </w:rPr>
        <w:t xml:space="preserve"> </w:t>
      </w:r>
      <w:r>
        <w:t>simply</w:t>
      </w:r>
      <w:r>
        <w:rPr>
          <w:spacing w:val="-8"/>
        </w:rPr>
        <w:t xml:space="preserve"> </w:t>
      </w:r>
      <w:r>
        <w:t>consists</w:t>
      </w:r>
      <w:r>
        <w:rPr>
          <w:spacing w:val="-9"/>
        </w:rPr>
        <w:t xml:space="preserve"> </w:t>
      </w:r>
      <w:r>
        <w:t>of</w:t>
      </w:r>
      <w:r>
        <w:rPr>
          <w:spacing w:val="-9"/>
        </w:rPr>
        <w:t xml:space="preserve"> </w:t>
      </w:r>
      <w:r>
        <w:t>a</w:t>
      </w:r>
      <w:r>
        <w:rPr>
          <w:spacing w:val="-9"/>
        </w:rPr>
        <w:t xml:space="preserve"> </w:t>
      </w:r>
      <w:r>
        <w:t>recitation</w:t>
      </w:r>
      <w:r>
        <w:rPr>
          <w:spacing w:val="-10"/>
        </w:rPr>
        <w:t xml:space="preserve"> </w:t>
      </w:r>
      <w:r>
        <w:t>of</w:t>
      </w:r>
      <w:r>
        <w:rPr>
          <w:spacing w:val="-9"/>
        </w:rPr>
        <w:t xml:space="preserve"> </w:t>
      </w:r>
      <w:r>
        <w:t>figures</w:t>
      </w:r>
      <w:r>
        <w:rPr>
          <w:spacing w:val="-9"/>
        </w:rPr>
        <w:t xml:space="preserve"> </w:t>
      </w:r>
      <w:r>
        <w:t>relating</w:t>
      </w:r>
      <w:r>
        <w:rPr>
          <w:spacing w:val="-9"/>
        </w:rPr>
        <w:t xml:space="preserve"> </w:t>
      </w:r>
      <w:r>
        <w:t>to</w:t>
      </w:r>
      <w:r>
        <w:rPr>
          <w:spacing w:val="-8"/>
        </w:rPr>
        <w:t xml:space="preserve"> </w:t>
      </w:r>
      <w:r>
        <w:t>each</w:t>
      </w:r>
      <w:r>
        <w:rPr>
          <w:spacing w:val="-9"/>
        </w:rPr>
        <w:t xml:space="preserve"> </w:t>
      </w:r>
      <w:r>
        <w:t>economic</w:t>
      </w:r>
      <w:r>
        <w:rPr>
          <w:spacing w:val="-8"/>
        </w:rPr>
        <w:t xml:space="preserve"> </w:t>
      </w:r>
      <w:r>
        <w:t>factor. It contains no evaluation or assessment of those figures, let alone any examination of the "explanatory force" of subject imports in relation to those figures. Arti</w:t>
      </w:r>
      <w:r>
        <w:t>cle 3.4 requires an investigating authority to do more than simply gather data. An investigating authority must analyse and interpret that data.</w:t>
      </w:r>
      <w:r>
        <w:rPr>
          <w:vertAlign w:val="superscript"/>
        </w:rPr>
        <w:t>725</w:t>
      </w:r>
    </w:p>
    <w:p w14:paraId="51DE9064" w14:textId="77777777" w:rsidR="0010369C" w:rsidRDefault="0010369C">
      <w:pPr>
        <w:pStyle w:val="BodyText"/>
        <w:rPr>
          <w:sz w:val="20"/>
        </w:rPr>
      </w:pPr>
    </w:p>
    <w:p w14:paraId="51DE9065" w14:textId="77777777" w:rsidR="0010369C" w:rsidRDefault="0010369C">
      <w:pPr>
        <w:pStyle w:val="BodyText"/>
        <w:rPr>
          <w:sz w:val="20"/>
        </w:rPr>
      </w:pPr>
    </w:p>
    <w:p w14:paraId="51DE9066" w14:textId="77777777" w:rsidR="0010369C" w:rsidRDefault="0010369C">
      <w:pPr>
        <w:pStyle w:val="BodyText"/>
        <w:rPr>
          <w:sz w:val="20"/>
        </w:rPr>
      </w:pPr>
    </w:p>
    <w:p w14:paraId="51DE9067" w14:textId="77777777" w:rsidR="0010369C" w:rsidRDefault="0010369C">
      <w:pPr>
        <w:pStyle w:val="BodyText"/>
        <w:rPr>
          <w:sz w:val="20"/>
        </w:rPr>
      </w:pPr>
    </w:p>
    <w:p w14:paraId="51DE9068" w14:textId="77777777" w:rsidR="0010369C" w:rsidRDefault="0010369C">
      <w:pPr>
        <w:pStyle w:val="BodyText"/>
        <w:rPr>
          <w:sz w:val="20"/>
        </w:rPr>
      </w:pPr>
    </w:p>
    <w:p w14:paraId="51DE9069" w14:textId="77777777" w:rsidR="0010369C" w:rsidRDefault="008E43AE">
      <w:pPr>
        <w:pStyle w:val="BodyText"/>
        <w:spacing w:before="9"/>
        <w:rPr>
          <w:sz w:val="19"/>
        </w:rPr>
      </w:pPr>
      <w:r>
        <w:pict w14:anchorId="51DEA511">
          <v:rect id="docshape1113" o:spid="_x0000_s1279" style="position:absolute;margin-left:70.9pt;margin-top:13.25pt;width:2in;height:.8pt;z-index:-250811904;mso-wrap-distance-left:0;mso-wrap-distance-right:0;mso-position-horizontal-relative:page" fillcolor="black" stroked="f">
            <w10:wrap type="topAndBottom" anchorx="page"/>
          </v:rect>
        </w:pict>
      </w:r>
    </w:p>
    <w:p w14:paraId="51DE906A" w14:textId="77777777" w:rsidR="0010369C" w:rsidRDefault="008E43AE">
      <w:pPr>
        <w:spacing w:before="109"/>
        <w:ind w:left="238"/>
        <w:jc w:val="both"/>
        <w:rPr>
          <w:sz w:val="18"/>
        </w:rPr>
      </w:pPr>
      <w:r>
        <w:rPr>
          <w:sz w:val="18"/>
          <w:vertAlign w:val="superscript"/>
        </w:rPr>
        <w:t>719</w:t>
      </w:r>
      <w:r>
        <w:rPr>
          <w:spacing w:val="-6"/>
          <w:sz w:val="18"/>
        </w:rPr>
        <w:t xml:space="preserve"> </w:t>
      </w:r>
      <w:r>
        <w:rPr>
          <w:sz w:val="18"/>
        </w:rPr>
        <w:t>Appellate</w:t>
      </w:r>
      <w:r>
        <w:rPr>
          <w:spacing w:val="-6"/>
          <w:sz w:val="18"/>
        </w:rPr>
        <w:t xml:space="preserve"> </w:t>
      </w:r>
      <w:r>
        <w:rPr>
          <w:sz w:val="18"/>
        </w:rPr>
        <w:t>Body</w:t>
      </w:r>
      <w:r>
        <w:rPr>
          <w:spacing w:val="-7"/>
          <w:sz w:val="18"/>
        </w:rPr>
        <w:t xml:space="preserve"> </w:t>
      </w:r>
      <w:r>
        <w:rPr>
          <w:sz w:val="18"/>
        </w:rPr>
        <w:t>Reports,</w:t>
      </w:r>
      <w:r>
        <w:rPr>
          <w:spacing w:val="-6"/>
          <w:sz w:val="18"/>
        </w:rPr>
        <w:t xml:space="preserve"> </w:t>
      </w:r>
      <w:r>
        <w:rPr>
          <w:i/>
          <w:sz w:val="18"/>
        </w:rPr>
        <w:t>China–GOES</w:t>
      </w:r>
      <w:r>
        <w:rPr>
          <w:sz w:val="18"/>
        </w:rPr>
        <w:t>,</w:t>
      </w:r>
      <w:r>
        <w:rPr>
          <w:spacing w:val="-7"/>
          <w:sz w:val="18"/>
        </w:rPr>
        <w:t xml:space="preserve"> </w:t>
      </w:r>
      <w:r>
        <w:rPr>
          <w:sz w:val="18"/>
        </w:rPr>
        <w:t>paras.</w:t>
      </w:r>
      <w:r>
        <w:rPr>
          <w:spacing w:val="-6"/>
          <w:sz w:val="18"/>
        </w:rPr>
        <w:t xml:space="preserve"> </w:t>
      </w:r>
      <w:r>
        <w:rPr>
          <w:sz w:val="18"/>
        </w:rPr>
        <w:t>145,</w:t>
      </w:r>
      <w:r>
        <w:rPr>
          <w:spacing w:val="-6"/>
          <w:sz w:val="18"/>
        </w:rPr>
        <w:t xml:space="preserve"> </w:t>
      </w:r>
      <w:r>
        <w:rPr>
          <w:sz w:val="18"/>
        </w:rPr>
        <w:t>149,</w:t>
      </w:r>
      <w:r>
        <w:rPr>
          <w:spacing w:val="-7"/>
          <w:sz w:val="18"/>
        </w:rPr>
        <w:t xml:space="preserve"> </w:t>
      </w:r>
      <w:r>
        <w:rPr>
          <w:sz w:val="18"/>
        </w:rPr>
        <w:t>154;</w:t>
      </w:r>
      <w:r>
        <w:rPr>
          <w:spacing w:val="-6"/>
          <w:sz w:val="18"/>
        </w:rPr>
        <w:t xml:space="preserve"> </w:t>
      </w:r>
      <w:r>
        <w:rPr>
          <w:i/>
          <w:sz w:val="18"/>
        </w:rPr>
        <w:t>China</w:t>
      </w:r>
      <w:r>
        <w:rPr>
          <w:i/>
          <w:spacing w:val="-6"/>
          <w:sz w:val="18"/>
        </w:rPr>
        <w:t xml:space="preserve"> </w:t>
      </w:r>
      <w:r>
        <w:rPr>
          <w:i/>
          <w:sz w:val="18"/>
        </w:rPr>
        <w:t>–</w:t>
      </w:r>
      <w:r>
        <w:rPr>
          <w:i/>
          <w:spacing w:val="-6"/>
          <w:sz w:val="18"/>
        </w:rPr>
        <w:t xml:space="preserve"> </w:t>
      </w:r>
      <w:r>
        <w:rPr>
          <w:i/>
          <w:sz w:val="18"/>
        </w:rPr>
        <w:t>HP‐SSST</w:t>
      </w:r>
      <w:r>
        <w:rPr>
          <w:i/>
          <w:spacing w:val="-7"/>
          <w:sz w:val="18"/>
        </w:rPr>
        <w:t xml:space="preserve"> </w:t>
      </w:r>
      <w:r>
        <w:rPr>
          <w:i/>
          <w:sz w:val="18"/>
        </w:rPr>
        <w:t>(Japan)</w:t>
      </w:r>
      <w:r>
        <w:rPr>
          <w:sz w:val="18"/>
        </w:rPr>
        <w:t>,</w:t>
      </w:r>
      <w:r>
        <w:rPr>
          <w:spacing w:val="-7"/>
          <w:sz w:val="18"/>
        </w:rPr>
        <w:t xml:space="preserve"> </w:t>
      </w:r>
      <w:r>
        <w:rPr>
          <w:sz w:val="18"/>
        </w:rPr>
        <w:t>paras.</w:t>
      </w:r>
      <w:r>
        <w:rPr>
          <w:spacing w:val="-6"/>
          <w:sz w:val="18"/>
        </w:rPr>
        <w:t xml:space="preserve"> </w:t>
      </w:r>
      <w:r>
        <w:rPr>
          <w:sz w:val="18"/>
        </w:rPr>
        <w:t>5.205,</w:t>
      </w:r>
      <w:r>
        <w:rPr>
          <w:spacing w:val="-6"/>
          <w:sz w:val="18"/>
        </w:rPr>
        <w:t xml:space="preserve"> </w:t>
      </w:r>
      <w:r>
        <w:rPr>
          <w:spacing w:val="-2"/>
          <w:sz w:val="18"/>
        </w:rPr>
        <w:t>5.211.</w:t>
      </w:r>
    </w:p>
    <w:p w14:paraId="51DE906B" w14:textId="77777777" w:rsidR="0010369C" w:rsidRDefault="008E43AE">
      <w:pPr>
        <w:ind w:left="238"/>
        <w:jc w:val="both"/>
        <w:rPr>
          <w:sz w:val="18"/>
        </w:rPr>
      </w:pPr>
      <w:r>
        <w:rPr>
          <w:sz w:val="18"/>
          <w:vertAlign w:val="superscript"/>
        </w:rPr>
        <w:t>720</w:t>
      </w:r>
      <w:r>
        <w:rPr>
          <w:spacing w:val="-6"/>
          <w:sz w:val="18"/>
        </w:rPr>
        <w:t xml:space="preserve"> </w:t>
      </w:r>
      <w:r>
        <w:rPr>
          <w:sz w:val="18"/>
        </w:rPr>
        <w:t>Panel</w:t>
      </w:r>
      <w:r>
        <w:rPr>
          <w:spacing w:val="-6"/>
          <w:sz w:val="18"/>
        </w:rPr>
        <w:t xml:space="preserve"> </w:t>
      </w:r>
      <w:r>
        <w:rPr>
          <w:sz w:val="18"/>
        </w:rPr>
        <w:t>Report,</w:t>
      </w:r>
      <w:r>
        <w:rPr>
          <w:spacing w:val="-6"/>
          <w:sz w:val="18"/>
        </w:rPr>
        <w:t xml:space="preserve"> </w:t>
      </w:r>
      <w:r>
        <w:rPr>
          <w:i/>
          <w:sz w:val="18"/>
        </w:rPr>
        <w:t>China</w:t>
      </w:r>
      <w:r>
        <w:rPr>
          <w:i/>
          <w:spacing w:val="-5"/>
          <w:sz w:val="18"/>
        </w:rPr>
        <w:t xml:space="preserve"> </w:t>
      </w:r>
      <w:r>
        <w:rPr>
          <w:i/>
          <w:sz w:val="18"/>
        </w:rPr>
        <w:t>–</w:t>
      </w:r>
      <w:r>
        <w:rPr>
          <w:i/>
          <w:spacing w:val="-6"/>
          <w:sz w:val="18"/>
        </w:rPr>
        <w:t xml:space="preserve"> </w:t>
      </w:r>
      <w:r>
        <w:rPr>
          <w:i/>
          <w:sz w:val="18"/>
        </w:rPr>
        <w:t>X‐Ray</w:t>
      </w:r>
      <w:r>
        <w:rPr>
          <w:i/>
          <w:spacing w:val="-5"/>
          <w:sz w:val="18"/>
        </w:rPr>
        <w:t xml:space="preserve"> </w:t>
      </w:r>
      <w:r>
        <w:rPr>
          <w:i/>
          <w:sz w:val="18"/>
        </w:rPr>
        <w:t>Equipment</w:t>
      </w:r>
      <w:r>
        <w:rPr>
          <w:sz w:val="18"/>
        </w:rPr>
        <w:t>,</w:t>
      </w:r>
      <w:r>
        <w:rPr>
          <w:spacing w:val="-7"/>
          <w:sz w:val="18"/>
        </w:rPr>
        <w:t xml:space="preserve"> </w:t>
      </w:r>
      <w:r>
        <w:rPr>
          <w:sz w:val="18"/>
        </w:rPr>
        <w:t>para.</w:t>
      </w:r>
      <w:r>
        <w:rPr>
          <w:spacing w:val="-5"/>
          <w:sz w:val="18"/>
        </w:rPr>
        <w:t xml:space="preserve"> </w:t>
      </w:r>
      <w:r>
        <w:rPr>
          <w:spacing w:val="-2"/>
          <w:sz w:val="18"/>
        </w:rPr>
        <w:t>7.215.</w:t>
      </w:r>
    </w:p>
    <w:p w14:paraId="51DE906C" w14:textId="77777777" w:rsidR="0010369C" w:rsidRDefault="008E43AE">
      <w:pPr>
        <w:ind w:left="238" w:right="4680"/>
        <w:jc w:val="both"/>
        <w:rPr>
          <w:sz w:val="18"/>
        </w:rPr>
      </w:pPr>
      <w:r>
        <w:rPr>
          <w:sz w:val="18"/>
          <w:vertAlign w:val="superscript"/>
        </w:rPr>
        <w:t>721</w:t>
      </w:r>
      <w:r>
        <w:rPr>
          <w:spacing w:val="-4"/>
          <w:sz w:val="18"/>
        </w:rPr>
        <w:t xml:space="preserve"> </w:t>
      </w:r>
      <w:r>
        <w:rPr>
          <w:sz w:val="18"/>
        </w:rPr>
        <w:t>Anti‐Dumping</w:t>
      </w:r>
      <w:r>
        <w:rPr>
          <w:spacing w:val="-4"/>
          <w:sz w:val="18"/>
        </w:rPr>
        <w:t xml:space="preserve"> </w:t>
      </w:r>
      <w:r>
        <w:rPr>
          <w:sz w:val="18"/>
        </w:rPr>
        <w:t>Final</w:t>
      </w:r>
      <w:r>
        <w:rPr>
          <w:spacing w:val="-4"/>
          <w:sz w:val="18"/>
        </w:rPr>
        <w:t xml:space="preserve"> </w:t>
      </w:r>
      <w:r>
        <w:rPr>
          <w:sz w:val="18"/>
        </w:rPr>
        <w:t>Determination</w:t>
      </w:r>
      <w:r>
        <w:rPr>
          <w:spacing w:val="-3"/>
          <w:sz w:val="18"/>
        </w:rPr>
        <w:t xml:space="preserve"> </w:t>
      </w:r>
      <w:r>
        <w:rPr>
          <w:sz w:val="18"/>
        </w:rPr>
        <w:t>(Exhibit</w:t>
      </w:r>
      <w:r>
        <w:rPr>
          <w:spacing w:val="-4"/>
          <w:sz w:val="18"/>
        </w:rPr>
        <w:t xml:space="preserve"> </w:t>
      </w:r>
      <w:r>
        <w:rPr>
          <w:sz w:val="18"/>
        </w:rPr>
        <w:t>AUS‐2),</w:t>
      </w:r>
      <w:r>
        <w:rPr>
          <w:spacing w:val="-5"/>
          <w:sz w:val="18"/>
        </w:rPr>
        <w:t xml:space="preserve"> </w:t>
      </w:r>
      <w:r>
        <w:rPr>
          <w:sz w:val="18"/>
        </w:rPr>
        <w:t>pp.</w:t>
      </w:r>
      <w:r>
        <w:rPr>
          <w:spacing w:val="-4"/>
          <w:sz w:val="18"/>
        </w:rPr>
        <w:t xml:space="preserve"> </w:t>
      </w:r>
      <w:r>
        <w:rPr>
          <w:sz w:val="18"/>
        </w:rPr>
        <w:t>123</w:t>
      </w:r>
      <w:r>
        <w:rPr>
          <w:spacing w:val="-4"/>
          <w:sz w:val="18"/>
        </w:rPr>
        <w:t xml:space="preserve"> </w:t>
      </w:r>
      <w:r>
        <w:rPr>
          <w:sz w:val="18"/>
        </w:rPr>
        <w:t>–</w:t>
      </w:r>
      <w:r>
        <w:rPr>
          <w:spacing w:val="-4"/>
          <w:sz w:val="18"/>
        </w:rPr>
        <w:t xml:space="preserve"> </w:t>
      </w:r>
      <w:r>
        <w:rPr>
          <w:sz w:val="18"/>
        </w:rPr>
        <w:t xml:space="preserve">129. </w:t>
      </w:r>
      <w:r>
        <w:rPr>
          <w:sz w:val="18"/>
          <w:vertAlign w:val="superscript"/>
        </w:rPr>
        <w:t>722</w:t>
      </w:r>
      <w:r>
        <w:rPr>
          <w:spacing w:val="-4"/>
          <w:sz w:val="18"/>
        </w:rPr>
        <w:t xml:space="preserve"> </w:t>
      </w:r>
      <w:r>
        <w:rPr>
          <w:sz w:val="18"/>
        </w:rPr>
        <w:t>Anti‐Dumping</w:t>
      </w:r>
      <w:r>
        <w:rPr>
          <w:spacing w:val="-4"/>
          <w:sz w:val="18"/>
        </w:rPr>
        <w:t xml:space="preserve"> </w:t>
      </w:r>
      <w:r>
        <w:rPr>
          <w:sz w:val="18"/>
        </w:rPr>
        <w:t>Final</w:t>
      </w:r>
      <w:r>
        <w:rPr>
          <w:spacing w:val="-4"/>
          <w:sz w:val="18"/>
        </w:rPr>
        <w:t xml:space="preserve"> </w:t>
      </w:r>
      <w:r>
        <w:rPr>
          <w:sz w:val="18"/>
        </w:rPr>
        <w:t>Determination</w:t>
      </w:r>
      <w:r>
        <w:rPr>
          <w:spacing w:val="-3"/>
          <w:sz w:val="18"/>
        </w:rPr>
        <w:t xml:space="preserve"> </w:t>
      </w:r>
      <w:r>
        <w:rPr>
          <w:sz w:val="18"/>
        </w:rPr>
        <w:t>(Exhibit</w:t>
      </w:r>
      <w:r>
        <w:rPr>
          <w:spacing w:val="-4"/>
          <w:sz w:val="18"/>
        </w:rPr>
        <w:t xml:space="preserve"> </w:t>
      </w:r>
      <w:r>
        <w:rPr>
          <w:sz w:val="18"/>
        </w:rPr>
        <w:t>AUS‐2),</w:t>
      </w:r>
      <w:r>
        <w:rPr>
          <w:spacing w:val="-5"/>
          <w:sz w:val="18"/>
        </w:rPr>
        <w:t xml:space="preserve"> </w:t>
      </w:r>
      <w:r>
        <w:rPr>
          <w:sz w:val="18"/>
        </w:rPr>
        <w:t>pp.</w:t>
      </w:r>
      <w:r>
        <w:rPr>
          <w:spacing w:val="-4"/>
          <w:sz w:val="18"/>
        </w:rPr>
        <w:t xml:space="preserve"> </w:t>
      </w:r>
      <w:r>
        <w:rPr>
          <w:sz w:val="18"/>
        </w:rPr>
        <w:t>129</w:t>
      </w:r>
      <w:r>
        <w:rPr>
          <w:spacing w:val="-4"/>
          <w:sz w:val="18"/>
        </w:rPr>
        <w:t xml:space="preserve"> </w:t>
      </w:r>
      <w:r>
        <w:rPr>
          <w:sz w:val="18"/>
        </w:rPr>
        <w:t>–</w:t>
      </w:r>
      <w:r>
        <w:rPr>
          <w:spacing w:val="-4"/>
          <w:sz w:val="18"/>
        </w:rPr>
        <w:t xml:space="preserve"> </w:t>
      </w:r>
      <w:r>
        <w:rPr>
          <w:sz w:val="18"/>
        </w:rPr>
        <w:t xml:space="preserve">134. </w:t>
      </w:r>
      <w:r>
        <w:rPr>
          <w:sz w:val="18"/>
          <w:vertAlign w:val="superscript"/>
        </w:rPr>
        <w:t>723</w:t>
      </w:r>
      <w:r>
        <w:rPr>
          <w:sz w:val="18"/>
        </w:rPr>
        <w:t xml:space="preserve"> Anti‐Dumping Final Determination (Exhibit AUS‐2), p. 134.</w:t>
      </w:r>
    </w:p>
    <w:p w14:paraId="51DE906D" w14:textId="77777777" w:rsidR="0010369C" w:rsidRDefault="008E43AE">
      <w:pPr>
        <w:spacing w:before="1"/>
        <w:ind w:left="238"/>
        <w:jc w:val="both"/>
        <w:rPr>
          <w:sz w:val="18"/>
        </w:rPr>
      </w:pPr>
      <w:r>
        <w:rPr>
          <w:sz w:val="18"/>
          <w:vertAlign w:val="superscript"/>
        </w:rPr>
        <w:t>724</w:t>
      </w:r>
      <w:r>
        <w:rPr>
          <w:spacing w:val="-7"/>
          <w:sz w:val="18"/>
        </w:rPr>
        <w:t xml:space="preserve"> </w:t>
      </w:r>
      <w:r>
        <w:rPr>
          <w:sz w:val="18"/>
        </w:rPr>
        <w:t>Panel</w:t>
      </w:r>
      <w:r>
        <w:rPr>
          <w:spacing w:val="-7"/>
          <w:sz w:val="18"/>
        </w:rPr>
        <w:t xml:space="preserve"> </w:t>
      </w:r>
      <w:r>
        <w:rPr>
          <w:sz w:val="18"/>
        </w:rPr>
        <w:t>Report,</w:t>
      </w:r>
      <w:r>
        <w:rPr>
          <w:spacing w:val="-6"/>
          <w:sz w:val="18"/>
        </w:rPr>
        <w:t xml:space="preserve"> </w:t>
      </w:r>
      <w:r>
        <w:rPr>
          <w:i/>
          <w:sz w:val="18"/>
        </w:rPr>
        <w:t>Thailand</w:t>
      </w:r>
      <w:r>
        <w:rPr>
          <w:i/>
          <w:spacing w:val="-6"/>
          <w:sz w:val="18"/>
        </w:rPr>
        <w:t xml:space="preserve"> </w:t>
      </w:r>
      <w:r>
        <w:rPr>
          <w:i/>
          <w:sz w:val="18"/>
        </w:rPr>
        <w:t>–</w:t>
      </w:r>
      <w:r>
        <w:rPr>
          <w:i/>
          <w:spacing w:val="-6"/>
          <w:sz w:val="18"/>
        </w:rPr>
        <w:t xml:space="preserve"> </w:t>
      </w:r>
      <w:r>
        <w:rPr>
          <w:i/>
          <w:sz w:val="18"/>
        </w:rPr>
        <w:t>H‐Beams</w:t>
      </w:r>
      <w:r>
        <w:rPr>
          <w:sz w:val="18"/>
        </w:rPr>
        <w:t>,</w:t>
      </w:r>
      <w:r>
        <w:rPr>
          <w:spacing w:val="-8"/>
          <w:sz w:val="18"/>
        </w:rPr>
        <w:t xml:space="preserve"> </w:t>
      </w:r>
      <w:r>
        <w:rPr>
          <w:sz w:val="18"/>
        </w:rPr>
        <w:t>para.</w:t>
      </w:r>
      <w:r>
        <w:rPr>
          <w:spacing w:val="-6"/>
          <w:sz w:val="18"/>
        </w:rPr>
        <w:t xml:space="preserve"> </w:t>
      </w:r>
      <w:r>
        <w:rPr>
          <w:spacing w:val="-2"/>
          <w:sz w:val="18"/>
        </w:rPr>
        <w:t>7.236.</w:t>
      </w:r>
    </w:p>
    <w:p w14:paraId="51DE906E" w14:textId="77777777" w:rsidR="0010369C" w:rsidRDefault="008E43AE">
      <w:pPr>
        <w:ind w:left="238"/>
        <w:jc w:val="both"/>
        <w:rPr>
          <w:sz w:val="18"/>
        </w:rPr>
      </w:pPr>
      <w:r>
        <w:rPr>
          <w:sz w:val="18"/>
          <w:vertAlign w:val="superscript"/>
        </w:rPr>
        <w:t>725</w:t>
      </w:r>
      <w:r>
        <w:rPr>
          <w:spacing w:val="-11"/>
          <w:sz w:val="18"/>
        </w:rPr>
        <w:t xml:space="preserve"> </w:t>
      </w:r>
      <w:r>
        <w:rPr>
          <w:sz w:val="18"/>
        </w:rPr>
        <w:t>Panel</w:t>
      </w:r>
      <w:r>
        <w:rPr>
          <w:spacing w:val="-10"/>
          <w:sz w:val="18"/>
        </w:rPr>
        <w:t xml:space="preserve"> </w:t>
      </w:r>
      <w:r>
        <w:rPr>
          <w:sz w:val="18"/>
        </w:rPr>
        <w:t>Reports,</w:t>
      </w:r>
      <w:r>
        <w:rPr>
          <w:spacing w:val="-10"/>
          <w:sz w:val="18"/>
        </w:rPr>
        <w:t xml:space="preserve"> </w:t>
      </w:r>
      <w:r>
        <w:rPr>
          <w:i/>
          <w:sz w:val="18"/>
        </w:rPr>
        <w:t>Egypt</w:t>
      </w:r>
      <w:r>
        <w:rPr>
          <w:i/>
          <w:spacing w:val="-10"/>
          <w:sz w:val="18"/>
        </w:rPr>
        <w:t xml:space="preserve"> </w:t>
      </w:r>
      <w:r>
        <w:rPr>
          <w:i/>
          <w:sz w:val="18"/>
        </w:rPr>
        <w:t>–</w:t>
      </w:r>
      <w:r>
        <w:rPr>
          <w:i/>
          <w:spacing w:val="-10"/>
          <w:sz w:val="18"/>
        </w:rPr>
        <w:t xml:space="preserve"> </w:t>
      </w:r>
      <w:r>
        <w:rPr>
          <w:i/>
          <w:sz w:val="18"/>
        </w:rPr>
        <w:t>Steel</w:t>
      </w:r>
      <w:r>
        <w:rPr>
          <w:i/>
          <w:spacing w:val="-11"/>
          <w:sz w:val="18"/>
        </w:rPr>
        <w:t xml:space="preserve"> </w:t>
      </w:r>
      <w:r>
        <w:rPr>
          <w:i/>
          <w:sz w:val="18"/>
        </w:rPr>
        <w:t>Rebar</w:t>
      </w:r>
      <w:r>
        <w:rPr>
          <w:sz w:val="18"/>
        </w:rPr>
        <w:t>,</w:t>
      </w:r>
      <w:r>
        <w:rPr>
          <w:spacing w:val="-10"/>
          <w:sz w:val="18"/>
        </w:rPr>
        <w:t xml:space="preserve"> </w:t>
      </w:r>
      <w:r>
        <w:rPr>
          <w:sz w:val="18"/>
        </w:rPr>
        <w:t>para.</w:t>
      </w:r>
      <w:r>
        <w:rPr>
          <w:spacing w:val="-10"/>
          <w:sz w:val="18"/>
        </w:rPr>
        <w:t xml:space="preserve"> </w:t>
      </w:r>
      <w:r>
        <w:rPr>
          <w:sz w:val="18"/>
        </w:rPr>
        <w:t>7.44;</w:t>
      </w:r>
      <w:r>
        <w:rPr>
          <w:spacing w:val="-10"/>
          <w:sz w:val="18"/>
        </w:rPr>
        <w:t xml:space="preserve"> </w:t>
      </w:r>
      <w:r>
        <w:rPr>
          <w:i/>
          <w:sz w:val="18"/>
        </w:rPr>
        <w:t>Pakistan</w:t>
      </w:r>
      <w:r>
        <w:rPr>
          <w:i/>
          <w:spacing w:val="-10"/>
          <w:sz w:val="18"/>
        </w:rPr>
        <w:t xml:space="preserve"> </w:t>
      </w:r>
      <w:r>
        <w:rPr>
          <w:i/>
          <w:sz w:val="18"/>
        </w:rPr>
        <w:t>‐</w:t>
      </w:r>
      <w:r>
        <w:rPr>
          <w:i/>
          <w:spacing w:val="-10"/>
          <w:sz w:val="18"/>
        </w:rPr>
        <w:t xml:space="preserve"> </w:t>
      </w:r>
      <w:r>
        <w:rPr>
          <w:i/>
          <w:sz w:val="18"/>
        </w:rPr>
        <w:t>BOPP</w:t>
      </w:r>
      <w:r>
        <w:rPr>
          <w:i/>
          <w:spacing w:val="-11"/>
          <w:sz w:val="18"/>
        </w:rPr>
        <w:t xml:space="preserve"> </w:t>
      </w:r>
      <w:r>
        <w:rPr>
          <w:i/>
          <w:sz w:val="18"/>
        </w:rPr>
        <w:t>Film</w:t>
      </w:r>
      <w:r>
        <w:rPr>
          <w:i/>
          <w:spacing w:val="-9"/>
          <w:sz w:val="18"/>
        </w:rPr>
        <w:t xml:space="preserve"> </w:t>
      </w:r>
      <w:r>
        <w:rPr>
          <w:i/>
          <w:sz w:val="18"/>
        </w:rPr>
        <w:t>(UAE)</w:t>
      </w:r>
      <w:r>
        <w:rPr>
          <w:sz w:val="18"/>
        </w:rPr>
        <w:t>,</w:t>
      </w:r>
      <w:r>
        <w:rPr>
          <w:spacing w:val="-10"/>
          <w:sz w:val="18"/>
        </w:rPr>
        <w:t xml:space="preserve"> </w:t>
      </w:r>
      <w:r>
        <w:rPr>
          <w:sz w:val="18"/>
        </w:rPr>
        <w:t>para.</w:t>
      </w:r>
      <w:r>
        <w:rPr>
          <w:spacing w:val="-10"/>
          <w:sz w:val="18"/>
        </w:rPr>
        <w:t xml:space="preserve"> </w:t>
      </w:r>
      <w:r>
        <w:rPr>
          <w:sz w:val="18"/>
        </w:rPr>
        <w:t>7.351;</w:t>
      </w:r>
      <w:r>
        <w:rPr>
          <w:spacing w:val="-10"/>
          <w:sz w:val="18"/>
        </w:rPr>
        <w:t xml:space="preserve"> </w:t>
      </w:r>
      <w:r>
        <w:rPr>
          <w:i/>
          <w:sz w:val="18"/>
        </w:rPr>
        <w:t>Korea</w:t>
      </w:r>
      <w:r>
        <w:rPr>
          <w:i/>
          <w:spacing w:val="-10"/>
          <w:sz w:val="18"/>
        </w:rPr>
        <w:t xml:space="preserve"> </w:t>
      </w:r>
      <w:r>
        <w:rPr>
          <w:i/>
          <w:sz w:val="18"/>
        </w:rPr>
        <w:t>–</w:t>
      </w:r>
      <w:r>
        <w:rPr>
          <w:i/>
          <w:spacing w:val="-10"/>
          <w:sz w:val="18"/>
        </w:rPr>
        <w:t xml:space="preserve"> </w:t>
      </w:r>
      <w:r>
        <w:rPr>
          <w:i/>
          <w:sz w:val="18"/>
        </w:rPr>
        <w:t>Certain</w:t>
      </w:r>
      <w:r>
        <w:rPr>
          <w:i/>
          <w:spacing w:val="-9"/>
          <w:sz w:val="18"/>
        </w:rPr>
        <w:t xml:space="preserve"> </w:t>
      </w:r>
      <w:r>
        <w:rPr>
          <w:i/>
          <w:sz w:val="18"/>
        </w:rPr>
        <w:t>Paper</w:t>
      </w:r>
      <w:r>
        <w:rPr>
          <w:sz w:val="18"/>
        </w:rPr>
        <w:t>,</w:t>
      </w:r>
      <w:r>
        <w:rPr>
          <w:spacing w:val="-10"/>
          <w:sz w:val="18"/>
        </w:rPr>
        <w:t xml:space="preserve"> </w:t>
      </w:r>
      <w:r>
        <w:rPr>
          <w:sz w:val="18"/>
        </w:rPr>
        <w:t>para.</w:t>
      </w:r>
      <w:r>
        <w:rPr>
          <w:spacing w:val="-10"/>
          <w:sz w:val="18"/>
        </w:rPr>
        <w:t xml:space="preserve"> </w:t>
      </w:r>
      <w:r>
        <w:rPr>
          <w:spacing w:val="-2"/>
          <w:sz w:val="18"/>
        </w:rPr>
        <w:t>7.268.</w:t>
      </w:r>
    </w:p>
    <w:p w14:paraId="51DE906F" w14:textId="77777777" w:rsidR="0010369C" w:rsidRDefault="0010369C">
      <w:pPr>
        <w:jc w:val="both"/>
        <w:rPr>
          <w:sz w:val="18"/>
        </w:rPr>
        <w:sectPr w:rsidR="0010369C">
          <w:headerReference w:type="default" r:id="rId842"/>
          <w:footerReference w:type="default" r:id="rId843"/>
          <w:pgSz w:w="11910" w:h="16840"/>
          <w:pgMar w:top="880" w:right="800" w:bottom="980" w:left="1180" w:header="569" w:footer="788" w:gutter="0"/>
          <w:cols w:space="720"/>
        </w:sectPr>
      </w:pPr>
    </w:p>
    <w:p w14:paraId="51DE9070" w14:textId="77777777" w:rsidR="0010369C" w:rsidRDefault="008E43AE">
      <w:pPr>
        <w:tabs>
          <w:tab w:val="left" w:pos="6426"/>
        </w:tabs>
        <w:ind w:left="238"/>
        <w:rPr>
          <w:sz w:val="20"/>
        </w:rPr>
      </w:pPr>
      <w:r>
        <w:rPr>
          <w:i/>
          <w:sz w:val="20"/>
        </w:rPr>
        <w:lastRenderedPageBreak/>
        <w:t>China</w:t>
      </w:r>
      <w:r>
        <w:rPr>
          <w:i/>
          <w:spacing w:val="-5"/>
          <w:sz w:val="20"/>
        </w:rPr>
        <w:t xml:space="preserve"> </w:t>
      </w:r>
      <w:r>
        <w:rPr>
          <w:i/>
          <w:sz w:val="20"/>
        </w:rPr>
        <w:t>–</w:t>
      </w:r>
      <w:r>
        <w:rPr>
          <w:i/>
          <w:spacing w:val="-5"/>
          <w:sz w:val="20"/>
        </w:rPr>
        <w:t xml:space="preserve"> </w:t>
      </w:r>
      <w:r>
        <w:rPr>
          <w:i/>
          <w:sz w:val="20"/>
        </w:rPr>
        <w:t>Anti‐Dumping</w:t>
      </w:r>
      <w:r>
        <w:rPr>
          <w:i/>
          <w:spacing w:val="-4"/>
          <w:sz w:val="20"/>
        </w:rPr>
        <w:t xml:space="preserve"> </w:t>
      </w:r>
      <w:r>
        <w:rPr>
          <w:i/>
          <w:sz w:val="20"/>
        </w:rPr>
        <w:t>and</w:t>
      </w:r>
      <w:r>
        <w:rPr>
          <w:i/>
          <w:spacing w:val="-5"/>
          <w:sz w:val="20"/>
        </w:rPr>
        <w:t xml:space="preserve"> </w:t>
      </w:r>
      <w:r>
        <w:rPr>
          <w:i/>
          <w:sz w:val="20"/>
        </w:rPr>
        <w:t>Countervailing</w:t>
      </w:r>
      <w:r>
        <w:rPr>
          <w:i/>
          <w:spacing w:val="-5"/>
          <w:sz w:val="20"/>
        </w:rPr>
        <w:t xml:space="preserve"> </w:t>
      </w:r>
      <w:r>
        <w:rPr>
          <w:i/>
          <w:sz w:val="20"/>
        </w:rPr>
        <w:t>Duty</w:t>
      </w:r>
      <w:r>
        <w:rPr>
          <w:i/>
          <w:spacing w:val="-4"/>
          <w:sz w:val="20"/>
        </w:rPr>
        <w:t xml:space="preserve"> </w:t>
      </w:r>
      <w:r>
        <w:rPr>
          <w:i/>
          <w:spacing w:val="-2"/>
          <w:sz w:val="20"/>
        </w:rPr>
        <w:t>Measures</w:t>
      </w:r>
      <w:r>
        <w:rPr>
          <w:i/>
          <w:sz w:val="20"/>
        </w:rPr>
        <w:tab/>
      </w:r>
      <w:r>
        <w:rPr>
          <w:sz w:val="20"/>
        </w:rPr>
        <w:t>Australia's</w:t>
      </w:r>
      <w:r>
        <w:rPr>
          <w:spacing w:val="-7"/>
          <w:sz w:val="20"/>
        </w:rPr>
        <w:t xml:space="preserve"> </w:t>
      </w:r>
      <w:r>
        <w:rPr>
          <w:sz w:val="20"/>
        </w:rPr>
        <w:t>First</w:t>
      </w:r>
      <w:r>
        <w:rPr>
          <w:spacing w:val="-2"/>
          <w:sz w:val="20"/>
        </w:rPr>
        <w:t xml:space="preserve"> </w:t>
      </w:r>
      <w:r>
        <w:rPr>
          <w:sz w:val="20"/>
        </w:rPr>
        <w:t>Written</w:t>
      </w:r>
      <w:r>
        <w:rPr>
          <w:spacing w:val="-2"/>
          <w:sz w:val="20"/>
        </w:rPr>
        <w:t xml:space="preserve"> Submission</w:t>
      </w:r>
    </w:p>
    <w:p w14:paraId="51DE9071" w14:textId="77777777" w:rsidR="0010369C" w:rsidRDefault="008E43AE">
      <w:pPr>
        <w:tabs>
          <w:tab w:val="left" w:pos="8228"/>
        </w:tabs>
        <w:spacing w:before="1"/>
        <w:ind w:left="239"/>
        <w:rPr>
          <w:sz w:val="20"/>
        </w:rPr>
      </w:pPr>
      <w:r>
        <w:rPr>
          <w:i/>
          <w:sz w:val="20"/>
        </w:rPr>
        <w:t>on</w:t>
      </w:r>
      <w:r>
        <w:rPr>
          <w:i/>
          <w:spacing w:val="-1"/>
          <w:sz w:val="20"/>
        </w:rPr>
        <w:t xml:space="preserve"> </w:t>
      </w:r>
      <w:r>
        <w:rPr>
          <w:i/>
          <w:sz w:val="20"/>
        </w:rPr>
        <w:t>Wine</w:t>
      </w:r>
      <w:r>
        <w:rPr>
          <w:i/>
          <w:spacing w:val="-1"/>
          <w:sz w:val="20"/>
        </w:rPr>
        <w:t xml:space="preserve"> </w:t>
      </w:r>
      <w:r>
        <w:rPr>
          <w:i/>
          <w:sz w:val="20"/>
        </w:rPr>
        <w:t>from</w:t>
      </w:r>
      <w:r>
        <w:rPr>
          <w:i/>
          <w:spacing w:val="-3"/>
          <w:sz w:val="20"/>
        </w:rPr>
        <w:t xml:space="preserve"> </w:t>
      </w:r>
      <w:r>
        <w:rPr>
          <w:i/>
          <w:sz w:val="20"/>
        </w:rPr>
        <w:t>Australia</w:t>
      </w:r>
      <w:r>
        <w:rPr>
          <w:i/>
          <w:spacing w:val="-1"/>
          <w:sz w:val="20"/>
        </w:rPr>
        <w:t xml:space="preserve"> </w:t>
      </w:r>
      <w:r>
        <w:rPr>
          <w:spacing w:val="-2"/>
          <w:sz w:val="20"/>
        </w:rPr>
        <w:t>(DS602)</w:t>
      </w:r>
      <w:r>
        <w:rPr>
          <w:sz w:val="20"/>
        </w:rPr>
        <w:tab/>
        <w:t>29</w:t>
      </w:r>
      <w:r>
        <w:rPr>
          <w:spacing w:val="-1"/>
          <w:sz w:val="20"/>
        </w:rPr>
        <w:t xml:space="preserve"> </w:t>
      </w:r>
      <w:r>
        <w:rPr>
          <w:sz w:val="20"/>
        </w:rPr>
        <w:t>April</w:t>
      </w:r>
      <w:r>
        <w:rPr>
          <w:spacing w:val="-2"/>
          <w:sz w:val="20"/>
        </w:rPr>
        <w:t xml:space="preserve"> </w:t>
      </w:r>
      <w:r>
        <w:rPr>
          <w:spacing w:val="-4"/>
          <w:sz w:val="20"/>
        </w:rPr>
        <w:t>2022</w:t>
      </w:r>
    </w:p>
    <w:p w14:paraId="51DE9072" w14:textId="77777777" w:rsidR="0010369C" w:rsidRDefault="008E43AE">
      <w:pPr>
        <w:pStyle w:val="BodyText"/>
        <w:spacing w:before="34" w:line="360" w:lineRule="auto"/>
        <w:ind w:left="237" w:right="614" w:firstLine="851"/>
        <w:jc w:val="both"/>
      </w:pPr>
      <w:r>
        <w:rPr>
          <w:noProof/>
        </w:rPr>
        <w:drawing>
          <wp:anchor distT="0" distB="0" distL="0" distR="0" simplePos="0" relativeHeight="251249152" behindDoc="1" locked="0" layoutInCell="1" allowOverlap="1" wp14:anchorId="51DEA512" wp14:editId="51DEA513">
            <wp:simplePos x="0" y="0"/>
            <wp:positionH relativeFrom="page">
              <wp:posOffset>905255</wp:posOffset>
            </wp:positionH>
            <wp:positionV relativeFrom="paragraph">
              <wp:posOffset>69165</wp:posOffset>
            </wp:positionV>
            <wp:extent cx="259079" cy="103631"/>
            <wp:effectExtent l="0" t="0" r="0" b="0"/>
            <wp:wrapNone/>
            <wp:docPr id="1241" name="image6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 name="image642.png"/>
                    <pic:cNvPicPr/>
                  </pic:nvPicPr>
                  <pic:blipFill>
                    <a:blip r:embed="rId844" cstate="print"/>
                    <a:stretch>
                      <a:fillRect/>
                    </a:stretch>
                  </pic:blipFill>
                  <pic:spPr>
                    <a:xfrm>
                      <a:off x="0" y="0"/>
                      <a:ext cx="259079" cy="103631"/>
                    </a:xfrm>
                    <a:prstGeom prst="rect">
                      <a:avLst/>
                    </a:prstGeom>
                  </pic:spPr>
                </pic:pic>
              </a:graphicData>
            </a:graphic>
          </wp:anchor>
        </w:drawing>
      </w:r>
      <w:r>
        <w:t>The</w:t>
      </w:r>
      <w:r>
        <w:rPr>
          <w:spacing w:val="-4"/>
        </w:rPr>
        <w:t xml:space="preserve"> </w:t>
      </w:r>
      <w:r>
        <w:t>Panel</w:t>
      </w:r>
      <w:r>
        <w:rPr>
          <w:spacing w:val="-5"/>
        </w:rPr>
        <w:t xml:space="preserve"> </w:t>
      </w:r>
      <w:r>
        <w:t>in</w:t>
      </w:r>
      <w:r>
        <w:rPr>
          <w:spacing w:val="-6"/>
        </w:rPr>
        <w:t xml:space="preserve"> </w:t>
      </w:r>
      <w:r>
        <w:rPr>
          <w:i/>
        </w:rPr>
        <w:t>Thailand</w:t>
      </w:r>
      <w:r>
        <w:rPr>
          <w:i/>
          <w:spacing w:val="-5"/>
        </w:rPr>
        <w:t xml:space="preserve"> </w:t>
      </w:r>
      <w:r>
        <w:rPr>
          <w:i/>
        </w:rPr>
        <w:t>–</w:t>
      </w:r>
      <w:r>
        <w:rPr>
          <w:i/>
          <w:spacing w:val="-6"/>
        </w:rPr>
        <w:t xml:space="preserve"> </w:t>
      </w:r>
      <w:r>
        <w:rPr>
          <w:i/>
        </w:rPr>
        <w:t>H‐Beams</w:t>
      </w:r>
      <w:r>
        <w:rPr>
          <w:i/>
          <w:spacing w:val="-5"/>
        </w:rPr>
        <w:t xml:space="preserve"> </w:t>
      </w:r>
      <w:r>
        <w:t>explained</w:t>
      </w:r>
      <w:r>
        <w:rPr>
          <w:spacing w:val="-6"/>
        </w:rPr>
        <w:t xml:space="preserve"> </w:t>
      </w:r>
      <w:r>
        <w:t>that</w:t>
      </w:r>
      <w:r>
        <w:rPr>
          <w:spacing w:val="-6"/>
        </w:rPr>
        <w:t xml:space="preserve"> </w:t>
      </w:r>
      <w:r>
        <w:t>"all</w:t>
      </w:r>
      <w:r>
        <w:rPr>
          <w:spacing w:val="-5"/>
        </w:rPr>
        <w:t xml:space="preserve"> </w:t>
      </w:r>
      <w:r>
        <w:t>of</w:t>
      </w:r>
      <w:r>
        <w:rPr>
          <w:spacing w:val="-5"/>
        </w:rPr>
        <w:t xml:space="preserve"> </w:t>
      </w:r>
      <w:r>
        <w:t>the</w:t>
      </w:r>
      <w:r>
        <w:rPr>
          <w:spacing w:val="-4"/>
        </w:rPr>
        <w:t xml:space="preserve"> </w:t>
      </w:r>
      <w:r>
        <w:t>listed</w:t>
      </w:r>
      <w:r>
        <w:rPr>
          <w:spacing w:val="-5"/>
        </w:rPr>
        <w:t xml:space="preserve"> </w:t>
      </w:r>
      <w:r>
        <w:t>factors</w:t>
      </w:r>
      <w:r>
        <w:rPr>
          <w:spacing w:val="-6"/>
        </w:rPr>
        <w:t xml:space="preserve"> </w:t>
      </w:r>
      <w:r>
        <w:t>in</w:t>
      </w:r>
      <w:r>
        <w:rPr>
          <w:spacing w:val="-5"/>
        </w:rPr>
        <w:t xml:space="preserve"> </w:t>
      </w:r>
      <w:r>
        <w:t>Article</w:t>
      </w:r>
      <w:r>
        <w:rPr>
          <w:spacing w:val="-5"/>
        </w:rPr>
        <w:t xml:space="preserve"> </w:t>
      </w:r>
      <w:r>
        <w:t>3.4 must be considered in all cases"</w:t>
      </w:r>
      <w:r>
        <w:rPr>
          <w:vertAlign w:val="superscript"/>
        </w:rPr>
        <w:t>726</w:t>
      </w:r>
      <w:r>
        <w:t xml:space="preserve"> and that "a mere 'checklist approach'", consisting of a "mechanical exercise" which referred to each of the factors in some way, would not satisfy the requirements of Article 3.1 to conduct an objective examination.</w:t>
      </w:r>
      <w:r>
        <w:rPr>
          <w:vertAlign w:val="superscript"/>
        </w:rPr>
        <w:t>727</w:t>
      </w:r>
    </w:p>
    <w:p w14:paraId="51DE9073" w14:textId="77777777" w:rsidR="0010369C" w:rsidRDefault="0010369C">
      <w:pPr>
        <w:pStyle w:val="BodyText"/>
        <w:spacing w:before="11"/>
        <w:rPr>
          <w:sz w:val="8"/>
        </w:rPr>
      </w:pPr>
    </w:p>
    <w:p w14:paraId="51DE9074" w14:textId="77777777" w:rsidR="0010369C" w:rsidRDefault="008E43AE">
      <w:pPr>
        <w:spacing w:before="51"/>
        <w:ind w:left="1089"/>
        <w:jc w:val="both"/>
        <w:rPr>
          <w:sz w:val="24"/>
        </w:rPr>
      </w:pPr>
      <w:r>
        <w:rPr>
          <w:noProof/>
        </w:rPr>
        <w:drawing>
          <wp:anchor distT="0" distB="0" distL="0" distR="0" simplePos="0" relativeHeight="250677760" behindDoc="0" locked="0" layoutInCell="1" allowOverlap="1" wp14:anchorId="51DEA514" wp14:editId="51DEA515">
            <wp:simplePos x="0" y="0"/>
            <wp:positionH relativeFrom="page">
              <wp:posOffset>905255</wp:posOffset>
            </wp:positionH>
            <wp:positionV relativeFrom="paragraph">
              <wp:posOffset>81314</wp:posOffset>
            </wp:positionV>
            <wp:extent cx="259079" cy="100753"/>
            <wp:effectExtent l="0" t="0" r="0" b="0"/>
            <wp:wrapNone/>
            <wp:docPr id="1243" name="image6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 name="image643.png"/>
                    <pic:cNvPicPr/>
                  </pic:nvPicPr>
                  <pic:blipFill>
                    <a:blip r:embed="rId845" cstate="print"/>
                    <a:stretch>
                      <a:fillRect/>
                    </a:stretch>
                  </pic:blipFill>
                  <pic:spPr>
                    <a:xfrm>
                      <a:off x="0" y="0"/>
                      <a:ext cx="259079" cy="100753"/>
                    </a:xfrm>
                    <a:prstGeom prst="rect">
                      <a:avLst/>
                    </a:prstGeom>
                  </pic:spPr>
                </pic:pic>
              </a:graphicData>
            </a:graphic>
          </wp:anchor>
        </w:drawing>
      </w:r>
      <w:r>
        <w:rPr>
          <w:sz w:val="24"/>
        </w:rPr>
        <w:t>The</w:t>
      </w:r>
      <w:r>
        <w:rPr>
          <w:spacing w:val="46"/>
          <w:sz w:val="24"/>
        </w:rPr>
        <w:t xml:space="preserve"> </w:t>
      </w:r>
      <w:r>
        <w:rPr>
          <w:sz w:val="24"/>
        </w:rPr>
        <w:t>panel</w:t>
      </w:r>
      <w:r>
        <w:rPr>
          <w:spacing w:val="45"/>
          <w:sz w:val="24"/>
        </w:rPr>
        <w:t xml:space="preserve"> </w:t>
      </w:r>
      <w:r>
        <w:rPr>
          <w:sz w:val="24"/>
        </w:rPr>
        <w:t>in</w:t>
      </w:r>
      <w:r>
        <w:rPr>
          <w:spacing w:val="45"/>
          <w:sz w:val="24"/>
        </w:rPr>
        <w:t xml:space="preserve"> </w:t>
      </w:r>
      <w:r>
        <w:rPr>
          <w:i/>
          <w:sz w:val="24"/>
        </w:rPr>
        <w:t>Korea</w:t>
      </w:r>
      <w:r>
        <w:rPr>
          <w:i/>
          <w:spacing w:val="45"/>
          <w:sz w:val="24"/>
        </w:rPr>
        <w:t xml:space="preserve"> </w:t>
      </w:r>
      <w:r>
        <w:rPr>
          <w:i/>
          <w:sz w:val="24"/>
        </w:rPr>
        <w:t>–</w:t>
      </w:r>
      <w:r>
        <w:rPr>
          <w:i/>
          <w:spacing w:val="44"/>
          <w:sz w:val="24"/>
        </w:rPr>
        <w:t xml:space="preserve"> </w:t>
      </w:r>
      <w:r>
        <w:rPr>
          <w:i/>
          <w:sz w:val="24"/>
        </w:rPr>
        <w:t>Certain</w:t>
      </w:r>
      <w:r>
        <w:rPr>
          <w:i/>
          <w:spacing w:val="46"/>
          <w:sz w:val="24"/>
        </w:rPr>
        <w:t xml:space="preserve"> </w:t>
      </w:r>
      <w:r>
        <w:rPr>
          <w:i/>
          <w:sz w:val="24"/>
        </w:rPr>
        <w:t>Paper</w:t>
      </w:r>
      <w:r>
        <w:rPr>
          <w:sz w:val="24"/>
        </w:rPr>
        <w:t>,</w:t>
      </w:r>
      <w:r>
        <w:rPr>
          <w:spacing w:val="45"/>
          <w:sz w:val="24"/>
        </w:rPr>
        <w:t xml:space="preserve"> </w:t>
      </w:r>
      <w:r>
        <w:rPr>
          <w:sz w:val="24"/>
        </w:rPr>
        <w:t>with</w:t>
      </w:r>
      <w:r>
        <w:rPr>
          <w:spacing w:val="45"/>
          <w:sz w:val="24"/>
        </w:rPr>
        <w:t xml:space="preserve"> </w:t>
      </w:r>
      <w:r>
        <w:rPr>
          <w:sz w:val="24"/>
        </w:rPr>
        <w:t>the</w:t>
      </w:r>
      <w:r>
        <w:rPr>
          <w:spacing w:val="45"/>
          <w:sz w:val="24"/>
        </w:rPr>
        <w:t xml:space="preserve"> </w:t>
      </w:r>
      <w:r>
        <w:rPr>
          <w:sz w:val="24"/>
        </w:rPr>
        <w:t>benefit</w:t>
      </w:r>
      <w:r>
        <w:rPr>
          <w:spacing w:val="45"/>
          <w:sz w:val="24"/>
        </w:rPr>
        <w:t xml:space="preserve"> </w:t>
      </w:r>
      <w:r>
        <w:rPr>
          <w:sz w:val="24"/>
        </w:rPr>
        <w:t>of</w:t>
      </w:r>
      <w:r>
        <w:rPr>
          <w:spacing w:val="45"/>
          <w:sz w:val="24"/>
        </w:rPr>
        <w:t xml:space="preserve"> </w:t>
      </w:r>
      <w:r>
        <w:rPr>
          <w:sz w:val="24"/>
        </w:rPr>
        <w:t>the</w:t>
      </w:r>
      <w:r>
        <w:rPr>
          <w:spacing w:val="46"/>
          <w:sz w:val="24"/>
        </w:rPr>
        <w:t xml:space="preserve"> </w:t>
      </w:r>
      <w:r>
        <w:rPr>
          <w:sz w:val="24"/>
        </w:rPr>
        <w:t>Panel's</w:t>
      </w:r>
      <w:r>
        <w:rPr>
          <w:spacing w:val="44"/>
          <w:sz w:val="24"/>
        </w:rPr>
        <w:t xml:space="preserve"> </w:t>
      </w:r>
      <w:r>
        <w:rPr>
          <w:sz w:val="24"/>
        </w:rPr>
        <w:t>findings</w:t>
      </w:r>
      <w:r>
        <w:rPr>
          <w:spacing w:val="45"/>
          <w:sz w:val="24"/>
        </w:rPr>
        <w:t xml:space="preserve"> </w:t>
      </w:r>
      <w:r>
        <w:rPr>
          <w:spacing w:val="-5"/>
          <w:sz w:val="24"/>
        </w:rPr>
        <w:t>in</w:t>
      </w:r>
    </w:p>
    <w:p w14:paraId="51DE9075" w14:textId="77777777" w:rsidR="0010369C" w:rsidRDefault="008E43AE">
      <w:pPr>
        <w:spacing w:before="148"/>
        <w:ind w:left="237"/>
        <w:rPr>
          <w:sz w:val="24"/>
        </w:rPr>
      </w:pPr>
      <w:r>
        <w:rPr>
          <w:i/>
          <w:sz w:val="24"/>
        </w:rPr>
        <w:t>Thailand</w:t>
      </w:r>
      <w:r>
        <w:rPr>
          <w:i/>
          <w:spacing w:val="-10"/>
          <w:sz w:val="24"/>
        </w:rPr>
        <w:t xml:space="preserve"> </w:t>
      </w:r>
      <w:r>
        <w:rPr>
          <w:i/>
          <w:sz w:val="24"/>
        </w:rPr>
        <w:t>–</w:t>
      </w:r>
      <w:r>
        <w:rPr>
          <w:i/>
          <w:spacing w:val="-11"/>
          <w:sz w:val="24"/>
        </w:rPr>
        <w:t xml:space="preserve"> </w:t>
      </w:r>
      <w:r>
        <w:rPr>
          <w:i/>
          <w:sz w:val="24"/>
        </w:rPr>
        <w:t>H‐Beams</w:t>
      </w:r>
      <w:r>
        <w:rPr>
          <w:sz w:val="24"/>
        </w:rPr>
        <w:t>,</w:t>
      </w:r>
      <w:r>
        <w:rPr>
          <w:spacing w:val="-11"/>
          <w:sz w:val="24"/>
        </w:rPr>
        <w:t xml:space="preserve"> </w:t>
      </w:r>
      <w:r>
        <w:rPr>
          <w:sz w:val="24"/>
        </w:rPr>
        <w:t>considered</w:t>
      </w:r>
      <w:r>
        <w:rPr>
          <w:spacing w:val="-10"/>
          <w:sz w:val="24"/>
        </w:rPr>
        <w:t xml:space="preserve"> </w:t>
      </w:r>
      <w:r>
        <w:rPr>
          <w:spacing w:val="-2"/>
          <w:sz w:val="24"/>
        </w:rPr>
        <w:t>that:</w:t>
      </w:r>
    </w:p>
    <w:p w14:paraId="51DE9076" w14:textId="77777777" w:rsidR="0010369C" w:rsidRDefault="0010369C">
      <w:pPr>
        <w:pStyle w:val="BodyText"/>
        <w:spacing w:before="1"/>
        <w:rPr>
          <w:sz w:val="25"/>
        </w:rPr>
      </w:pPr>
    </w:p>
    <w:p w14:paraId="51DE9077" w14:textId="77777777" w:rsidR="0010369C" w:rsidRDefault="008E43AE">
      <w:pPr>
        <w:spacing w:before="1" w:line="276" w:lineRule="auto"/>
        <w:ind w:left="1087" w:right="611" w:firstLine="1"/>
        <w:jc w:val="both"/>
      </w:pPr>
      <w:r>
        <w:t>Article</w:t>
      </w:r>
      <w:r>
        <w:rPr>
          <w:spacing w:val="-2"/>
        </w:rPr>
        <w:t xml:space="preserve"> </w:t>
      </w:r>
      <w:r>
        <w:t>3.4</w:t>
      </w:r>
      <w:r>
        <w:rPr>
          <w:spacing w:val="-1"/>
        </w:rPr>
        <w:t xml:space="preserve"> </w:t>
      </w:r>
      <w:r>
        <w:t>requires</w:t>
      </w:r>
      <w:r>
        <w:rPr>
          <w:spacing w:val="-2"/>
        </w:rPr>
        <w:t xml:space="preserve"> </w:t>
      </w:r>
      <w:r>
        <w:t>the</w:t>
      </w:r>
      <w:r>
        <w:rPr>
          <w:spacing w:val="-2"/>
        </w:rPr>
        <w:t xml:space="preserve"> </w:t>
      </w:r>
      <w:r>
        <w:t>[investigating</w:t>
      </w:r>
      <w:r>
        <w:rPr>
          <w:spacing w:val="-3"/>
        </w:rPr>
        <w:t xml:space="preserve"> </w:t>
      </w:r>
      <w:r>
        <w:t>authority] to</w:t>
      </w:r>
      <w:r>
        <w:rPr>
          <w:spacing w:val="-1"/>
        </w:rPr>
        <w:t xml:space="preserve"> </w:t>
      </w:r>
      <w:r>
        <w:t>carry</w:t>
      </w:r>
      <w:r>
        <w:rPr>
          <w:spacing w:val="-2"/>
        </w:rPr>
        <w:t xml:space="preserve"> </w:t>
      </w:r>
      <w:r>
        <w:t>out</w:t>
      </w:r>
      <w:r>
        <w:rPr>
          <w:spacing w:val="-2"/>
        </w:rPr>
        <w:t xml:space="preserve"> </w:t>
      </w:r>
      <w:r>
        <w:t>a</w:t>
      </w:r>
      <w:r>
        <w:rPr>
          <w:spacing w:val="-1"/>
        </w:rPr>
        <w:t xml:space="preserve"> </w:t>
      </w:r>
      <w:r>
        <w:t>reasoned</w:t>
      </w:r>
      <w:r>
        <w:rPr>
          <w:spacing w:val="-2"/>
        </w:rPr>
        <w:t xml:space="preserve"> </w:t>
      </w:r>
      <w:r>
        <w:t>analysis</w:t>
      </w:r>
      <w:r>
        <w:rPr>
          <w:spacing w:val="-1"/>
        </w:rPr>
        <w:t xml:space="preserve"> </w:t>
      </w:r>
      <w:r>
        <w:t>of</w:t>
      </w:r>
      <w:r>
        <w:rPr>
          <w:spacing w:val="-2"/>
        </w:rPr>
        <w:t xml:space="preserve"> </w:t>
      </w:r>
      <w:r>
        <w:t>the</w:t>
      </w:r>
      <w:r>
        <w:rPr>
          <w:spacing w:val="-2"/>
        </w:rPr>
        <w:t xml:space="preserve"> </w:t>
      </w:r>
      <w:r>
        <w:t>state of the industry. This analysis cannot be limited to a mere identification of the "relevance or irrelevance" of each factor, but rather must be based on a thorough evaluation of the state of the industry. The analysis must explain in a satisfactory wa</w:t>
      </w:r>
      <w:r>
        <w:t>y why the evaluation of the injury</w:t>
      </w:r>
      <w:r>
        <w:rPr>
          <w:spacing w:val="-5"/>
        </w:rPr>
        <w:t xml:space="preserve"> </w:t>
      </w:r>
      <w:r>
        <w:t>factors</w:t>
      </w:r>
      <w:r>
        <w:rPr>
          <w:spacing w:val="-3"/>
        </w:rPr>
        <w:t xml:space="preserve"> </w:t>
      </w:r>
      <w:r>
        <w:t>set</w:t>
      </w:r>
      <w:r>
        <w:rPr>
          <w:spacing w:val="-6"/>
        </w:rPr>
        <w:t xml:space="preserve"> </w:t>
      </w:r>
      <w:r>
        <w:t>out</w:t>
      </w:r>
      <w:r>
        <w:rPr>
          <w:spacing w:val="-4"/>
        </w:rPr>
        <w:t xml:space="preserve"> </w:t>
      </w:r>
      <w:r>
        <w:t>under</w:t>
      </w:r>
      <w:r>
        <w:rPr>
          <w:spacing w:val="-4"/>
        </w:rPr>
        <w:t xml:space="preserve"> </w:t>
      </w:r>
      <w:r>
        <w:t>Article</w:t>
      </w:r>
      <w:r>
        <w:rPr>
          <w:spacing w:val="-6"/>
        </w:rPr>
        <w:t xml:space="preserve"> </w:t>
      </w:r>
      <w:r>
        <w:t>3.4</w:t>
      </w:r>
      <w:r>
        <w:rPr>
          <w:spacing w:val="-5"/>
        </w:rPr>
        <w:t xml:space="preserve"> </w:t>
      </w:r>
      <w:r>
        <w:t>lead</w:t>
      </w:r>
      <w:r>
        <w:rPr>
          <w:spacing w:val="-5"/>
        </w:rPr>
        <w:t xml:space="preserve"> </w:t>
      </w:r>
      <w:r>
        <w:t>to</w:t>
      </w:r>
      <w:r>
        <w:rPr>
          <w:spacing w:val="-5"/>
        </w:rPr>
        <w:t xml:space="preserve"> </w:t>
      </w:r>
      <w:r>
        <w:t>the</w:t>
      </w:r>
      <w:r>
        <w:rPr>
          <w:spacing w:val="-6"/>
        </w:rPr>
        <w:t xml:space="preserve"> </w:t>
      </w:r>
      <w:r>
        <w:t>determination</w:t>
      </w:r>
      <w:r>
        <w:rPr>
          <w:spacing w:val="-4"/>
        </w:rPr>
        <w:t xml:space="preserve"> </w:t>
      </w:r>
      <w:r>
        <w:t>of</w:t>
      </w:r>
      <w:r>
        <w:rPr>
          <w:spacing w:val="-5"/>
        </w:rPr>
        <w:t xml:space="preserve"> </w:t>
      </w:r>
      <w:r>
        <w:t>material</w:t>
      </w:r>
      <w:r>
        <w:rPr>
          <w:spacing w:val="-6"/>
        </w:rPr>
        <w:t xml:space="preserve"> </w:t>
      </w:r>
      <w:r>
        <w:t>injury,</w:t>
      </w:r>
      <w:r>
        <w:rPr>
          <w:spacing w:val="-5"/>
        </w:rPr>
        <w:t xml:space="preserve"> </w:t>
      </w:r>
      <w:r>
        <w:t>including an</w:t>
      </w:r>
      <w:r>
        <w:rPr>
          <w:spacing w:val="-13"/>
        </w:rPr>
        <w:t xml:space="preserve"> </w:t>
      </w:r>
      <w:r>
        <w:t>explanation</w:t>
      </w:r>
      <w:r>
        <w:rPr>
          <w:spacing w:val="-12"/>
        </w:rPr>
        <w:t xml:space="preserve"> </w:t>
      </w:r>
      <w:r>
        <w:t>of</w:t>
      </w:r>
      <w:r>
        <w:rPr>
          <w:spacing w:val="-13"/>
        </w:rPr>
        <w:t xml:space="preserve"> </w:t>
      </w:r>
      <w:r>
        <w:t>why</w:t>
      </w:r>
      <w:r>
        <w:rPr>
          <w:spacing w:val="-12"/>
        </w:rPr>
        <w:t xml:space="preserve"> </w:t>
      </w:r>
      <w:r>
        <w:t>factors</w:t>
      </w:r>
      <w:r>
        <w:rPr>
          <w:spacing w:val="-13"/>
        </w:rPr>
        <w:t xml:space="preserve"> </w:t>
      </w:r>
      <w:r>
        <w:t>which</w:t>
      </w:r>
      <w:r>
        <w:rPr>
          <w:spacing w:val="-12"/>
        </w:rPr>
        <w:t xml:space="preserve"> </w:t>
      </w:r>
      <w:r>
        <w:t>would</w:t>
      </w:r>
      <w:r>
        <w:rPr>
          <w:spacing w:val="-13"/>
        </w:rPr>
        <w:t xml:space="preserve"> </w:t>
      </w:r>
      <w:r>
        <w:t>seem</w:t>
      </w:r>
      <w:r>
        <w:rPr>
          <w:spacing w:val="-12"/>
        </w:rPr>
        <w:t xml:space="preserve"> </w:t>
      </w:r>
      <w:r>
        <w:t>to</w:t>
      </w:r>
      <w:r>
        <w:rPr>
          <w:spacing w:val="-12"/>
        </w:rPr>
        <w:t xml:space="preserve"> </w:t>
      </w:r>
      <w:r>
        <w:t>lead</w:t>
      </w:r>
      <w:r>
        <w:rPr>
          <w:spacing w:val="-13"/>
        </w:rPr>
        <w:t xml:space="preserve"> </w:t>
      </w:r>
      <w:r>
        <w:t>in</w:t>
      </w:r>
      <w:r>
        <w:rPr>
          <w:spacing w:val="-12"/>
        </w:rPr>
        <w:t xml:space="preserve"> </w:t>
      </w:r>
      <w:r>
        <w:t>the</w:t>
      </w:r>
      <w:r>
        <w:rPr>
          <w:spacing w:val="-13"/>
        </w:rPr>
        <w:t xml:space="preserve"> </w:t>
      </w:r>
      <w:r>
        <w:t>other</w:t>
      </w:r>
      <w:r>
        <w:rPr>
          <w:spacing w:val="-12"/>
        </w:rPr>
        <w:t xml:space="preserve"> </w:t>
      </w:r>
      <w:r>
        <w:t>direction</w:t>
      </w:r>
      <w:r>
        <w:rPr>
          <w:spacing w:val="-13"/>
        </w:rPr>
        <w:t xml:space="preserve"> </w:t>
      </w:r>
      <w:r>
        <w:t>do</w:t>
      </w:r>
      <w:r>
        <w:rPr>
          <w:spacing w:val="-12"/>
        </w:rPr>
        <w:t xml:space="preserve"> </w:t>
      </w:r>
      <w:r>
        <w:t>not,</w:t>
      </w:r>
      <w:r>
        <w:rPr>
          <w:spacing w:val="-12"/>
        </w:rPr>
        <w:t xml:space="preserve"> </w:t>
      </w:r>
      <w:r>
        <w:t>overall, undermine the conclusion of material injury.</w:t>
      </w:r>
      <w:r>
        <w:rPr>
          <w:vertAlign w:val="superscript"/>
        </w:rPr>
        <w:t>728</w:t>
      </w:r>
    </w:p>
    <w:p w14:paraId="51DE9078" w14:textId="77777777" w:rsidR="0010369C" w:rsidRDefault="0010369C">
      <w:pPr>
        <w:pStyle w:val="BodyText"/>
        <w:spacing w:before="3"/>
        <w:rPr>
          <w:sz w:val="15"/>
        </w:rPr>
      </w:pPr>
    </w:p>
    <w:p w14:paraId="51DE9079" w14:textId="77777777" w:rsidR="0010369C" w:rsidRDefault="008E43AE">
      <w:pPr>
        <w:pStyle w:val="BodyText"/>
        <w:spacing w:before="52" w:line="360" w:lineRule="auto"/>
        <w:ind w:left="237" w:right="611" w:firstLine="851"/>
      </w:pPr>
      <w:r>
        <w:rPr>
          <w:noProof/>
        </w:rPr>
        <w:drawing>
          <wp:anchor distT="0" distB="0" distL="0" distR="0" simplePos="0" relativeHeight="251250176" behindDoc="1" locked="0" layoutInCell="1" allowOverlap="1" wp14:anchorId="51DEA516" wp14:editId="51DEA517">
            <wp:simplePos x="0" y="0"/>
            <wp:positionH relativeFrom="page">
              <wp:posOffset>905255</wp:posOffset>
            </wp:positionH>
            <wp:positionV relativeFrom="paragraph">
              <wp:posOffset>76785</wp:posOffset>
            </wp:positionV>
            <wp:extent cx="259079" cy="106679"/>
            <wp:effectExtent l="0" t="0" r="0" b="0"/>
            <wp:wrapNone/>
            <wp:docPr id="1245" name="image6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 name="image644.png"/>
                    <pic:cNvPicPr/>
                  </pic:nvPicPr>
                  <pic:blipFill>
                    <a:blip r:embed="rId846" cstate="print"/>
                    <a:stretch>
                      <a:fillRect/>
                    </a:stretch>
                  </pic:blipFill>
                  <pic:spPr>
                    <a:xfrm>
                      <a:off x="0" y="0"/>
                      <a:ext cx="259079" cy="106679"/>
                    </a:xfrm>
                    <a:prstGeom prst="rect">
                      <a:avLst/>
                    </a:prstGeom>
                  </pic:spPr>
                </pic:pic>
              </a:graphicData>
            </a:graphic>
          </wp:anchor>
        </w:drawing>
      </w:r>
      <w:r>
        <w:t>MOFCOM's analysis fails to do so and, as such, was inconsistent with Article 3.4 of the Anti‐Dumping Agreement.</w:t>
      </w:r>
    </w:p>
    <w:p w14:paraId="51DE907A" w14:textId="77777777" w:rsidR="0010369C" w:rsidRDefault="0010369C">
      <w:pPr>
        <w:pStyle w:val="BodyText"/>
        <w:spacing w:before="11"/>
        <w:rPr>
          <w:sz w:val="8"/>
        </w:rPr>
      </w:pPr>
    </w:p>
    <w:p w14:paraId="51DE907B" w14:textId="77777777" w:rsidR="0010369C" w:rsidRDefault="008E43AE">
      <w:pPr>
        <w:pStyle w:val="BodyText"/>
        <w:spacing w:before="51" w:line="360" w:lineRule="auto"/>
        <w:ind w:left="237" w:right="614" w:firstLine="851"/>
        <w:jc w:val="both"/>
      </w:pPr>
      <w:r>
        <w:rPr>
          <w:noProof/>
        </w:rPr>
        <w:drawing>
          <wp:anchor distT="0" distB="0" distL="0" distR="0" simplePos="0" relativeHeight="251251200" behindDoc="1" locked="0" layoutInCell="1" allowOverlap="1" wp14:anchorId="51DEA518" wp14:editId="51DEA519">
            <wp:simplePos x="0" y="0"/>
            <wp:positionH relativeFrom="page">
              <wp:posOffset>905255</wp:posOffset>
            </wp:positionH>
            <wp:positionV relativeFrom="paragraph">
              <wp:posOffset>80722</wp:posOffset>
            </wp:positionV>
            <wp:extent cx="259079" cy="103631"/>
            <wp:effectExtent l="0" t="0" r="0" b="0"/>
            <wp:wrapNone/>
            <wp:docPr id="1247" name="image6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 name="image645.png"/>
                    <pic:cNvPicPr/>
                  </pic:nvPicPr>
                  <pic:blipFill>
                    <a:blip r:embed="rId847" cstate="print"/>
                    <a:stretch>
                      <a:fillRect/>
                    </a:stretch>
                  </pic:blipFill>
                  <pic:spPr>
                    <a:xfrm>
                      <a:off x="0" y="0"/>
                      <a:ext cx="259079" cy="103631"/>
                    </a:xfrm>
                    <a:prstGeom prst="rect">
                      <a:avLst/>
                    </a:prstGeom>
                  </pic:spPr>
                </pic:pic>
              </a:graphicData>
            </a:graphic>
          </wp:anchor>
        </w:drawing>
      </w:r>
      <w:r>
        <w:t>Second, Part 2 of MOFCOM's analysis only provides further comments on certain facto</w:t>
      </w:r>
      <w:r>
        <w:t>rs,</w:t>
      </w:r>
      <w:r>
        <w:rPr>
          <w:spacing w:val="-14"/>
        </w:rPr>
        <w:t xml:space="preserve"> </w:t>
      </w:r>
      <w:r>
        <w:t>without</w:t>
      </w:r>
      <w:r>
        <w:rPr>
          <w:spacing w:val="-14"/>
        </w:rPr>
        <w:t xml:space="preserve"> </w:t>
      </w:r>
      <w:r>
        <w:t>providing</w:t>
      </w:r>
      <w:r>
        <w:rPr>
          <w:spacing w:val="-13"/>
        </w:rPr>
        <w:t xml:space="preserve"> </w:t>
      </w:r>
      <w:r>
        <w:t>the</w:t>
      </w:r>
      <w:r>
        <w:rPr>
          <w:spacing w:val="-14"/>
        </w:rPr>
        <w:t xml:space="preserve"> </w:t>
      </w:r>
      <w:r>
        <w:t>reasons</w:t>
      </w:r>
      <w:r>
        <w:rPr>
          <w:spacing w:val="-13"/>
        </w:rPr>
        <w:t xml:space="preserve"> </w:t>
      </w:r>
      <w:r>
        <w:t>for</w:t>
      </w:r>
      <w:r>
        <w:rPr>
          <w:spacing w:val="-14"/>
        </w:rPr>
        <w:t xml:space="preserve"> </w:t>
      </w:r>
      <w:r>
        <w:t>not</w:t>
      </w:r>
      <w:r>
        <w:rPr>
          <w:spacing w:val="-13"/>
        </w:rPr>
        <w:t xml:space="preserve"> </w:t>
      </w:r>
      <w:r>
        <w:t>considering</w:t>
      </w:r>
      <w:r>
        <w:rPr>
          <w:spacing w:val="-14"/>
        </w:rPr>
        <w:t xml:space="preserve"> </w:t>
      </w:r>
      <w:r>
        <w:t>the</w:t>
      </w:r>
      <w:r>
        <w:rPr>
          <w:spacing w:val="-14"/>
        </w:rPr>
        <w:t xml:space="preserve"> </w:t>
      </w:r>
      <w:r>
        <w:t>relevance</w:t>
      </w:r>
      <w:r>
        <w:rPr>
          <w:spacing w:val="-13"/>
        </w:rPr>
        <w:t xml:space="preserve"> </w:t>
      </w:r>
      <w:r>
        <w:t>of</w:t>
      </w:r>
      <w:r>
        <w:rPr>
          <w:spacing w:val="-14"/>
        </w:rPr>
        <w:t xml:space="preserve"> </w:t>
      </w:r>
      <w:r>
        <w:t>the</w:t>
      </w:r>
      <w:r>
        <w:rPr>
          <w:spacing w:val="-13"/>
        </w:rPr>
        <w:t xml:space="preserve"> </w:t>
      </w:r>
      <w:r>
        <w:t>other</w:t>
      </w:r>
      <w:r>
        <w:rPr>
          <w:spacing w:val="-14"/>
        </w:rPr>
        <w:t xml:space="preserve"> </w:t>
      </w:r>
      <w:r>
        <w:t xml:space="preserve">economic </w:t>
      </w:r>
      <w:r>
        <w:rPr>
          <w:spacing w:val="-2"/>
        </w:rPr>
        <w:t>factors.</w:t>
      </w:r>
      <w:r>
        <w:rPr>
          <w:spacing w:val="-2"/>
          <w:vertAlign w:val="superscript"/>
        </w:rPr>
        <w:t>729</w:t>
      </w:r>
    </w:p>
    <w:p w14:paraId="51DE907C" w14:textId="77777777" w:rsidR="0010369C" w:rsidRDefault="0010369C">
      <w:pPr>
        <w:pStyle w:val="BodyText"/>
        <w:spacing w:before="11"/>
        <w:rPr>
          <w:sz w:val="8"/>
        </w:rPr>
      </w:pPr>
    </w:p>
    <w:p w14:paraId="51DE907D" w14:textId="77777777" w:rsidR="0010369C" w:rsidRDefault="008E43AE">
      <w:pPr>
        <w:pStyle w:val="BodyText"/>
        <w:spacing w:before="52" w:line="360" w:lineRule="auto"/>
        <w:ind w:left="237" w:right="612" w:firstLine="851"/>
        <w:jc w:val="both"/>
      </w:pPr>
      <w:r>
        <w:rPr>
          <w:noProof/>
        </w:rPr>
        <w:drawing>
          <wp:anchor distT="0" distB="0" distL="0" distR="0" simplePos="0" relativeHeight="251252224" behindDoc="1" locked="0" layoutInCell="1" allowOverlap="1" wp14:anchorId="51DEA51A" wp14:editId="51DEA51B">
            <wp:simplePos x="0" y="0"/>
            <wp:positionH relativeFrom="page">
              <wp:posOffset>905255</wp:posOffset>
            </wp:positionH>
            <wp:positionV relativeFrom="paragraph">
              <wp:posOffset>81357</wp:posOffset>
            </wp:positionV>
            <wp:extent cx="259079" cy="103631"/>
            <wp:effectExtent l="0" t="0" r="0" b="0"/>
            <wp:wrapNone/>
            <wp:docPr id="1249" name="image6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 name="image646.png"/>
                    <pic:cNvPicPr/>
                  </pic:nvPicPr>
                  <pic:blipFill>
                    <a:blip r:embed="rId848" cstate="print"/>
                    <a:stretch>
                      <a:fillRect/>
                    </a:stretch>
                  </pic:blipFill>
                  <pic:spPr>
                    <a:xfrm>
                      <a:off x="0" y="0"/>
                      <a:ext cx="259079" cy="103631"/>
                    </a:xfrm>
                    <a:prstGeom prst="rect">
                      <a:avLst/>
                    </a:prstGeom>
                  </pic:spPr>
                </pic:pic>
              </a:graphicData>
            </a:graphic>
          </wp:anchor>
        </w:drawing>
      </w:r>
      <w:r>
        <w:t>While</w:t>
      </w:r>
      <w:r>
        <w:rPr>
          <w:spacing w:val="-6"/>
        </w:rPr>
        <w:t xml:space="preserve"> </w:t>
      </w:r>
      <w:r>
        <w:t>an</w:t>
      </w:r>
      <w:r>
        <w:rPr>
          <w:spacing w:val="-6"/>
        </w:rPr>
        <w:t xml:space="preserve"> </w:t>
      </w:r>
      <w:r>
        <w:t>investigating</w:t>
      </w:r>
      <w:r>
        <w:rPr>
          <w:spacing w:val="-5"/>
        </w:rPr>
        <w:t xml:space="preserve"> </w:t>
      </w:r>
      <w:r>
        <w:t>authority</w:t>
      </w:r>
      <w:r>
        <w:rPr>
          <w:spacing w:val="-5"/>
        </w:rPr>
        <w:t xml:space="preserve"> </w:t>
      </w:r>
      <w:r>
        <w:t>is</w:t>
      </w:r>
      <w:r>
        <w:rPr>
          <w:spacing w:val="-6"/>
        </w:rPr>
        <w:t xml:space="preserve"> </w:t>
      </w:r>
      <w:r>
        <w:t>entitled</w:t>
      </w:r>
      <w:r>
        <w:rPr>
          <w:spacing w:val="-7"/>
        </w:rPr>
        <w:t xml:space="preserve"> </w:t>
      </w:r>
      <w:r>
        <w:t>to</w:t>
      </w:r>
      <w:r>
        <w:rPr>
          <w:spacing w:val="-6"/>
        </w:rPr>
        <w:t xml:space="preserve"> </w:t>
      </w:r>
      <w:r>
        <w:t>determine</w:t>
      </w:r>
      <w:r>
        <w:rPr>
          <w:spacing w:val="-5"/>
        </w:rPr>
        <w:t xml:space="preserve"> </w:t>
      </w:r>
      <w:r>
        <w:t>that</w:t>
      </w:r>
      <w:r>
        <w:rPr>
          <w:spacing w:val="-6"/>
        </w:rPr>
        <w:t xml:space="preserve"> </w:t>
      </w:r>
      <w:r>
        <w:t>some</w:t>
      </w:r>
      <w:r>
        <w:rPr>
          <w:spacing w:val="-5"/>
        </w:rPr>
        <w:t xml:space="preserve"> </w:t>
      </w:r>
      <w:r>
        <w:t>economic</w:t>
      </w:r>
      <w:r>
        <w:rPr>
          <w:spacing w:val="-5"/>
        </w:rPr>
        <w:t xml:space="preserve"> </w:t>
      </w:r>
      <w:r>
        <w:t>factors are</w:t>
      </w:r>
      <w:r>
        <w:rPr>
          <w:spacing w:val="-14"/>
        </w:rPr>
        <w:t xml:space="preserve"> </w:t>
      </w:r>
      <w:r>
        <w:t>not</w:t>
      </w:r>
      <w:r>
        <w:rPr>
          <w:spacing w:val="-14"/>
        </w:rPr>
        <w:t xml:space="preserve"> </w:t>
      </w:r>
      <w:r>
        <w:t>relevant</w:t>
      </w:r>
      <w:r>
        <w:rPr>
          <w:spacing w:val="-13"/>
        </w:rPr>
        <w:t xml:space="preserve"> </w:t>
      </w:r>
      <w:r>
        <w:t>or</w:t>
      </w:r>
      <w:r>
        <w:rPr>
          <w:spacing w:val="-13"/>
        </w:rPr>
        <w:t xml:space="preserve"> </w:t>
      </w:r>
      <w:r>
        <w:t>significant</w:t>
      </w:r>
      <w:r>
        <w:rPr>
          <w:spacing w:val="-13"/>
        </w:rPr>
        <w:t xml:space="preserve"> </w:t>
      </w:r>
      <w:r>
        <w:t>in</w:t>
      </w:r>
      <w:r>
        <w:rPr>
          <w:spacing w:val="-13"/>
        </w:rPr>
        <w:t xml:space="preserve"> </w:t>
      </w:r>
      <w:r>
        <w:t>the</w:t>
      </w:r>
      <w:r>
        <w:rPr>
          <w:spacing w:val="-14"/>
        </w:rPr>
        <w:t xml:space="preserve"> </w:t>
      </w:r>
      <w:r>
        <w:t>particular</w:t>
      </w:r>
      <w:r>
        <w:rPr>
          <w:spacing w:val="-11"/>
        </w:rPr>
        <w:t xml:space="preserve"> </w:t>
      </w:r>
      <w:r>
        <w:t>circumstances</w:t>
      </w:r>
      <w:r>
        <w:rPr>
          <w:spacing w:val="-14"/>
        </w:rPr>
        <w:t xml:space="preserve"> </w:t>
      </w:r>
      <w:r>
        <w:t>of</w:t>
      </w:r>
      <w:r>
        <w:rPr>
          <w:spacing w:val="-13"/>
        </w:rPr>
        <w:t xml:space="preserve"> </w:t>
      </w:r>
      <w:r>
        <w:t>a</w:t>
      </w:r>
      <w:r>
        <w:rPr>
          <w:spacing w:val="-13"/>
        </w:rPr>
        <w:t xml:space="preserve"> </w:t>
      </w:r>
      <w:r>
        <w:t>case,</w:t>
      </w:r>
      <w:r>
        <w:rPr>
          <w:spacing w:val="-14"/>
        </w:rPr>
        <w:t xml:space="preserve"> </w:t>
      </w:r>
      <w:r>
        <w:t>it</w:t>
      </w:r>
      <w:r>
        <w:rPr>
          <w:spacing w:val="-12"/>
        </w:rPr>
        <w:t xml:space="preserve"> </w:t>
      </w:r>
      <w:r>
        <w:t>is</w:t>
      </w:r>
      <w:r>
        <w:rPr>
          <w:spacing w:val="-14"/>
        </w:rPr>
        <w:t xml:space="preserve"> </w:t>
      </w:r>
      <w:r>
        <w:t>required</w:t>
      </w:r>
      <w:r>
        <w:rPr>
          <w:spacing w:val="-14"/>
        </w:rPr>
        <w:t xml:space="preserve"> </w:t>
      </w:r>
      <w:r>
        <w:t>to</w:t>
      </w:r>
      <w:r>
        <w:rPr>
          <w:spacing w:val="-13"/>
        </w:rPr>
        <w:t xml:space="preserve"> </w:t>
      </w:r>
      <w:r>
        <w:t>provide an explanation of the basis for this conclusion,</w:t>
      </w:r>
      <w:r>
        <w:rPr>
          <w:vertAlign w:val="superscript"/>
        </w:rPr>
        <w:t>730</w:t>
      </w:r>
      <w:r>
        <w:t xml:space="preserve"> and this should be apparent in the final determination.</w:t>
      </w:r>
      <w:r>
        <w:rPr>
          <w:vertAlign w:val="superscript"/>
        </w:rPr>
        <w:t>731</w:t>
      </w:r>
      <w:r>
        <w:t xml:space="preserve"> As the Panel in </w:t>
      </w:r>
      <w:r>
        <w:rPr>
          <w:i/>
        </w:rPr>
        <w:t xml:space="preserve">EC – Bed Linen </w:t>
      </w:r>
      <w:r>
        <w:t>explained:</w:t>
      </w:r>
    </w:p>
    <w:p w14:paraId="51DE907E" w14:textId="77777777" w:rsidR="0010369C" w:rsidRDefault="008E43AE">
      <w:pPr>
        <w:spacing w:before="161" w:line="276" w:lineRule="auto"/>
        <w:ind w:left="1087" w:right="613" w:firstLine="1"/>
        <w:jc w:val="both"/>
      </w:pPr>
      <w:r>
        <w:t>[W]e</w:t>
      </w:r>
      <w:r>
        <w:rPr>
          <w:spacing w:val="-3"/>
        </w:rPr>
        <w:t xml:space="preserve"> </w:t>
      </w:r>
      <w:r>
        <w:t>are</w:t>
      </w:r>
      <w:r>
        <w:rPr>
          <w:spacing w:val="-2"/>
        </w:rPr>
        <w:t xml:space="preserve"> </w:t>
      </w:r>
      <w:r>
        <w:t>of</w:t>
      </w:r>
      <w:r>
        <w:rPr>
          <w:spacing w:val="-2"/>
        </w:rPr>
        <w:t xml:space="preserve"> </w:t>
      </w:r>
      <w:r>
        <w:t>the</w:t>
      </w:r>
      <w:r>
        <w:rPr>
          <w:spacing w:val="-3"/>
        </w:rPr>
        <w:t xml:space="preserve"> </w:t>
      </w:r>
      <w:r>
        <w:t>view</w:t>
      </w:r>
      <w:r>
        <w:rPr>
          <w:spacing w:val="-2"/>
        </w:rPr>
        <w:t xml:space="preserve"> </w:t>
      </w:r>
      <w:r>
        <w:t>that</w:t>
      </w:r>
      <w:r>
        <w:rPr>
          <w:spacing w:val="-2"/>
        </w:rPr>
        <w:t xml:space="preserve"> </w:t>
      </w:r>
      <w:r>
        <w:t>every</w:t>
      </w:r>
      <w:r>
        <w:rPr>
          <w:spacing w:val="-3"/>
        </w:rPr>
        <w:t xml:space="preserve"> </w:t>
      </w:r>
      <w:r>
        <w:t>factor</w:t>
      </w:r>
      <w:r>
        <w:rPr>
          <w:spacing w:val="-2"/>
        </w:rPr>
        <w:t xml:space="preserve"> </w:t>
      </w:r>
      <w:r>
        <w:t>in</w:t>
      </w:r>
      <w:r>
        <w:rPr>
          <w:spacing w:val="-3"/>
        </w:rPr>
        <w:t xml:space="preserve"> </w:t>
      </w:r>
      <w:r>
        <w:t>Article</w:t>
      </w:r>
      <w:r>
        <w:rPr>
          <w:spacing w:val="-2"/>
        </w:rPr>
        <w:t xml:space="preserve"> </w:t>
      </w:r>
      <w:r>
        <w:t>3.</w:t>
      </w:r>
      <w:r>
        <w:t>4 must</w:t>
      </w:r>
      <w:r>
        <w:rPr>
          <w:spacing w:val="-3"/>
        </w:rPr>
        <w:t xml:space="preserve"> </w:t>
      </w:r>
      <w:r>
        <w:t>be</w:t>
      </w:r>
      <w:r>
        <w:rPr>
          <w:spacing w:val="-2"/>
        </w:rPr>
        <w:t xml:space="preserve"> </w:t>
      </w:r>
      <w:r>
        <w:t>considered,</w:t>
      </w:r>
      <w:r>
        <w:rPr>
          <w:spacing w:val="-2"/>
        </w:rPr>
        <w:t xml:space="preserve"> </w:t>
      </w:r>
      <w:r>
        <w:t>and</w:t>
      </w:r>
      <w:r>
        <w:rPr>
          <w:spacing w:val="-2"/>
        </w:rPr>
        <w:t xml:space="preserve"> </w:t>
      </w:r>
      <w:r>
        <w:t>that</w:t>
      </w:r>
      <w:r>
        <w:rPr>
          <w:spacing w:val="-2"/>
        </w:rPr>
        <w:t xml:space="preserve"> </w:t>
      </w:r>
      <w:r>
        <w:t>the</w:t>
      </w:r>
      <w:r>
        <w:rPr>
          <w:spacing w:val="-2"/>
        </w:rPr>
        <w:t xml:space="preserve"> </w:t>
      </w:r>
      <w:r>
        <w:t>nature of this consideration, including whether the investigating authority considered the factor relevant in its analysis of the impact of dumped imports on the domestic industry, must be apparent in the final determinat</w:t>
      </w:r>
      <w:r>
        <w:t>ion.</w:t>
      </w:r>
      <w:r>
        <w:rPr>
          <w:vertAlign w:val="superscript"/>
        </w:rPr>
        <w:t>732</w:t>
      </w:r>
    </w:p>
    <w:p w14:paraId="51DE907F" w14:textId="77777777" w:rsidR="0010369C" w:rsidRDefault="0010369C">
      <w:pPr>
        <w:pStyle w:val="BodyText"/>
        <w:rPr>
          <w:sz w:val="20"/>
        </w:rPr>
      </w:pPr>
    </w:p>
    <w:p w14:paraId="51DE9080" w14:textId="77777777" w:rsidR="0010369C" w:rsidRDefault="008E43AE">
      <w:pPr>
        <w:pStyle w:val="BodyText"/>
        <w:spacing w:before="4"/>
        <w:rPr>
          <w:sz w:val="13"/>
        </w:rPr>
      </w:pPr>
      <w:r>
        <w:pict w14:anchorId="51DEA51C">
          <v:rect id="docshape1114" o:spid="_x0000_s1278" style="position:absolute;margin-left:70.9pt;margin-top:9.35pt;width:2in;height:.8pt;z-index:-250810880;mso-wrap-distance-left:0;mso-wrap-distance-right:0;mso-position-horizontal-relative:page" fillcolor="black" stroked="f">
            <w10:wrap type="topAndBottom" anchorx="page"/>
          </v:rect>
        </w:pict>
      </w:r>
    </w:p>
    <w:p w14:paraId="51DE9081" w14:textId="77777777" w:rsidR="0010369C" w:rsidRDefault="008E43AE">
      <w:pPr>
        <w:spacing w:before="109"/>
        <w:ind w:left="238" w:right="613" w:hanging="1"/>
        <w:jc w:val="both"/>
        <w:rPr>
          <w:sz w:val="18"/>
        </w:rPr>
      </w:pPr>
      <w:r>
        <w:rPr>
          <w:sz w:val="18"/>
          <w:vertAlign w:val="superscript"/>
        </w:rPr>
        <w:t>726</w:t>
      </w:r>
      <w:r>
        <w:rPr>
          <w:spacing w:val="-9"/>
          <w:sz w:val="18"/>
        </w:rPr>
        <w:t xml:space="preserve"> </w:t>
      </w:r>
      <w:r>
        <w:rPr>
          <w:sz w:val="18"/>
        </w:rPr>
        <w:t>Panel</w:t>
      </w:r>
      <w:r>
        <w:rPr>
          <w:spacing w:val="-10"/>
          <w:sz w:val="18"/>
        </w:rPr>
        <w:t xml:space="preserve"> </w:t>
      </w:r>
      <w:r>
        <w:rPr>
          <w:sz w:val="18"/>
        </w:rPr>
        <w:t>Report,</w:t>
      </w:r>
      <w:r>
        <w:rPr>
          <w:spacing w:val="-10"/>
          <w:sz w:val="18"/>
        </w:rPr>
        <w:t xml:space="preserve"> </w:t>
      </w:r>
      <w:r>
        <w:rPr>
          <w:i/>
          <w:sz w:val="18"/>
        </w:rPr>
        <w:t>Thailand</w:t>
      </w:r>
      <w:r>
        <w:rPr>
          <w:i/>
          <w:spacing w:val="-9"/>
          <w:sz w:val="18"/>
        </w:rPr>
        <w:t xml:space="preserve"> </w:t>
      </w:r>
      <w:r>
        <w:rPr>
          <w:i/>
          <w:sz w:val="18"/>
        </w:rPr>
        <w:t>–</w:t>
      </w:r>
      <w:r>
        <w:rPr>
          <w:i/>
          <w:spacing w:val="-8"/>
          <w:sz w:val="18"/>
        </w:rPr>
        <w:t xml:space="preserve"> </w:t>
      </w:r>
      <w:r>
        <w:rPr>
          <w:i/>
          <w:sz w:val="18"/>
        </w:rPr>
        <w:t>H‐Beams</w:t>
      </w:r>
      <w:r>
        <w:rPr>
          <w:sz w:val="18"/>
        </w:rPr>
        <w:t>,</w:t>
      </w:r>
      <w:r>
        <w:rPr>
          <w:spacing w:val="-10"/>
          <w:sz w:val="18"/>
        </w:rPr>
        <w:t xml:space="preserve"> </w:t>
      </w:r>
      <w:r>
        <w:rPr>
          <w:sz w:val="18"/>
        </w:rPr>
        <w:t>para.</w:t>
      </w:r>
      <w:r>
        <w:rPr>
          <w:spacing w:val="-9"/>
          <w:sz w:val="18"/>
        </w:rPr>
        <w:t xml:space="preserve"> </w:t>
      </w:r>
      <w:r>
        <w:rPr>
          <w:sz w:val="18"/>
        </w:rPr>
        <w:t>7.229.</w:t>
      </w:r>
      <w:r>
        <w:rPr>
          <w:spacing w:val="-10"/>
          <w:sz w:val="18"/>
        </w:rPr>
        <w:t xml:space="preserve"> </w:t>
      </w:r>
      <w:r>
        <w:rPr>
          <w:sz w:val="18"/>
        </w:rPr>
        <w:t>This</w:t>
      </w:r>
      <w:r>
        <w:rPr>
          <w:spacing w:val="-9"/>
          <w:sz w:val="18"/>
        </w:rPr>
        <w:t xml:space="preserve"> </w:t>
      </w:r>
      <w:r>
        <w:rPr>
          <w:sz w:val="18"/>
        </w:rPr>
        <w:t>view</w:t>
      </w:r>
      <w:r>
        <w:rPr>
          <w:spacing w:val="-10"/>
          <w:sz w:val="18"/>
        </w:rPr>
        <w:t xml:space="preserve"> </w:t>
      </w:r>
      <w:r>
        <w:rPr>
          <w:sz w:val="18"/>
        </w:rPr>
        <w:t>was</w:t>
      </w:r>
      <w:r>
        <w:rPr>
          <w:spacing w:val="-9"/>
          <w:sz w:val="18"/>
        </w:rPr>
        <w:t xml:space="preserve"> </w:t>
      </w:r>
      <w:r>
        <w:rPr>
          <w:sz w:val="18"/>
        </w:rPr>
        <w:t>endorsed</w:t>
      </w:r>
      <w:r>
        <w:rPr>
          <w:spacing w:val="-9"/>
          <w:sz w:val="18"/>
        </w:rPr>
        <w:t xml:space="preserve"> </w:t>
      </w:r>
      <w:r>
        <w:rPr>
          <w:sz w:val="18"/>
        </w:rPr>
        <w:t>by</w:t>
      </w:r>
      <w:r>
        <w:rPr>
          <w:spacing w:val="-9"/>
          <w:sz w:val="18"/>
        </w:rPr>
        <w:t xml:space="preserve"> </w:t>
      </w:r>
      <w:r>
        <w:rPr>
          <w:sz w:val="18"/>
        </w:rPr>
        <w:t>the</w:t>
      </w:r>
      <w:r>
        <w:rPr>
          <w:spacing w:val="-10"/>
          <w:sz w:val="18"/>
        </w:rPr>
        <w:t xml:space="preserve"> </w:t>
      </w:r>
      <w:r>
        <w:rPr>
          <w:sz w:val="18"/>
        </w:rPr>
        <w:t>Appellate</w:t>
      </w:r>
      <w:r>
        <w:rPr>
          <w:spacing w:val="-9"/>
          <w:sz w:val="18"/>
        </w:rPr>
        <w:t xml:space="preserve"> </w:t>
      </w:r>
      <w:r>
        <w:rPr>
          <w:sz w:val="18"/>
        </w:rPr>
        <w:t>Body,</w:t>
      </w:r>
      <w:r>
        <w:rPr>
          <w:spacing w:val="-10"/>
          <w:sz w:val="18"/>
        </w:rPr>
        <w:t xml:space="preserve"> </w:t>
      </w:r>
      <w:r>
        <w:rPr>
          <w:sz w:val="18"/>
        </w:rPr>
        <w:t>see</w:t>
      </w:r>
      <w:r>
        <w:rPr>
          <w:spacing w:val="23"/>
          <w:sz w:val="18"/>
        </w:rPr>
        <w:t xml:space="preserve"> </w:t>
      </w:r>
      <w:r>
        <w:rPr>
          <w:sz w:val="18"/>
        </w:rPr>
        <w:t>Appellate</w:t>
      </w:r>
      <w:r>
        <w:rPr>
          <w:spacing w:val="-9"/>
          <w:sz w:val="18"/>
        </w:rPr>
        <w:t xml:space="preserve"> </w:t>
      </w:r>
      <w:r>
        <w:rPr>
          <w:sz w:val="18"/>
        </w:rPr>
        <w:t>Body</w:t>
      </w:r>
      <w:r>
        <w:rPr>
          <w:spacing w:val="-9"/>
          <w:sz w:val="18"/>
        </w:rPr>
        <w:t xml:space="preserve"> </w:t>
      </w:r>
      <w:r>
        <w:rPr>
          <w:sz w:val="18"/>
        </w:rPr>
        <w:t>Report</w:t>
      </w:r>
      <w:r>
        <w:rPr>
          <w:i/>
          <w:sz w:val="18"/>
        </w:rPr>
        <w:t>, Thailand – H‐Beams</w:t>
      </w:r>
      <w:r>
        <w:rPr>
          <w:sz w:val="18"/>
        </w:rPr>
        <w:t>, para. 125.</w:t>
      </w:r>
    </w:p>
    <w:p w14:paraId="51DE9082" w14:textId="77777777" w:rsidR="0010369C" w:rsidRDefault="008E43AE">
      <w:pPr>
        <w:spacing w:line="219" w:lineRule="exact"/>
        <w:ind w:left="238"/>
        <w:jc w:val="both"/>
        <w:rPr>
          <w:sz w:val="18"/>
        </w:rPr>
      </w:pPr>
      <w:r>
        <w:rPr>
          <w:sz w:val="18"/>
          <w:vertAlign w:val="superscript"/>
        </w:rPr>
        <w:t>727</w:t>
      </w:r>
      <w:r>
        <w:rPr>
          <w:spacing w:val="-7"/>
          <w:sz w:val="18"/>
        </w:rPr>
        <w:t xml:space="preserve"> </w:t>
      </w:r>
      <w:r>
        <w:rPr>
          <w:sz w:val="18"/>
        </w:rPr>
        <w:t>Panel</w:t>
      </w:r>
      <w:r>
        <w:rPr>
          <w:spacing w:val="-7"/>
          <w:sz w:val="18"/>
        </w:rPr>
        <w:t xml:space="preserve"> </w:t>
      </w:r>
      <w:r>
        <w:rPr>
          <w:sz w:val="18"/>
        </w:rPr>
        <w:t>Report,</w:t>
      </w:r>
      <w:r>
        <w:rPr>
          <w:spacing w:val="-6"/>
          <w:sz w:val="18"/>
        </w:rPr>
        <w:t xml:space="preserve"> </w:t>
      </w:r>
      <w:r>
        <w:rPr>
          <w:i/>
          <w:sz w:val="18"/>
        </w:rPr>
        <w:t>Thailand</w:t>
      </w:r>
      <w:r>
        <w:rPr>
          <w:i/>
          <w:spacing w:val="-6"/>
          <w:sz w:val="18"/>
        </w:rPr>
        <w:t xml:space="preserve"> </w:t>
      </w:r>
      <w:r>
        <w:rPr>
          <w:i/>
          <w:sz w:val="18"/>
        </w:rPr>
        <w:t>–</w:t>
      </w:r>
      <w:r>
        <w:rPr>
          <w:i/>
          <w:spacing w:val="-6"/>
          <w:sz w:val="18"/>
        </w:rPr>
        <w:t xml:space="preserve"> </w:t>
      </w:r>
      <w:r>
        <w:rPr>
          <w:i/>
          <w:sz w:val="18"/>
        </w:rPr>
        <w:t>H‐Beams</w:t>
      </w:r>
      <w:r>
        <w:rPr>
          <w:sz w:val="18"/>
        </w:rPr>
        <w:t>,</w:t>
      </w:r>
      <w:r>
        <w:rPr>
          <w:spacing w:val="-8"/>
          <w:sz w:val="18"/>
        </w:rPr>
        <w:t xml:space="preserve"> </w:t>
      </w:r>
      <w:r>
        <w:rPr>
          <w:sz w:val="18"/>
        </w:rPr>
        <w:t>para.</w:t>
      </w:r>
      <w:r>
        <w:rPr>
          <w:spacing w:val="-6"/>
          <w:sz w:val="18"/>
        </w:rPr>
        <w:t xml:space="preserve"> </w:t>
      </w:r>
      <w:r>
        <w:rPr>
          <w:spacing w:val="-2"/>
          <w:sz w:val="18"/>
        </w:rPr>
        <w:t>7.236.</w:t>
      </w:r>
    </w:p>
    <w:p w14:paraId="51DE9083" w14:textId="77777777" w:rsidR="0010369C" w:rsidRDefault="008E43AE">
      <w:pPr>
        <w:ind w:left="238"/>
        <w:jc w:val="both"/>
        <w:rPr>
          <w:sz w:val="18"/>
        </w:rPr>
      </w:pPr>
      <w:r>
        <w:rPr>
          <w:sz w:val="18"/>
          <w:vertAlign w:val="superscript"/>
        </w:rPr>
        <w:t>728</w:t>
      </w:r>
      <w:r>
        <w:rPr>
          <w:spacing w:val="-7"/>
          <w:sz w:val="18"/>
        </w:rPr>
        <w:t xml:space="preserve"> </w:t>
      </w:r>
      <w:r>
        <w:rPr>
          <w:sz w:val="18"/>
        </w:rPr>
        <w:t>Panel</w:t>
      </w:r>
      <w:r>
        <w:rPr>
          <w:spacing w:val="-7"/>
          <w:sz w:val="18"/>
        </w:rPr>
        <w:t xml:space="preserve"> </w:t>
      </w:r>
      <w:r>
        <w:rPr>
          <w:sz w:val="18"/>
        </w:rPr>
        <w:t>Report,</w:t>
      </w:r>
      <w:r>
        <w:rPr>
          <w:spacing w:val="-6"/>
          <w:sz w:val="18"/>
        </w:rPr>
        <w:t xml:space="preserve"> </w:t>
      </w:r>
      <w:r>
        <w:rPr>
          <w:i/>
          <w:sz w:val="18"/>
        </w:rPr>
        <w:t>Korea</w:t>
      </w:r>
      <w:r>
        <w:rPr>
          <w:i/>
          <w:spacing w:val="-7"/>
          <w:sz w:val="18"/>
        </w:rPr>
        <w:t xml:space="preserve"> </w:t>
      </w:r>
      <w:r>
        <w:rPr>
          <w:i/>
          <w:sz w:val="18"/>
        </w:rPr>
        <w:t>–</w:t>
      </w:r>
      <w:r>
        <w:rPr>
          <w:i/>
          <w:spacing w:val="-6"/>
          <w:sz w:val="18"/>
        </w:rPr>
        <w:t xml:space="preserve"> </w:t>
      </w:r>
      <w:r>
        <w:rPr>
          <w:i/>
          <w:sz w:val="18"/>
        </w:rPr>
        <w:t>Certain</w:t>
      </w:r>
      <w:r>
        <w:rPr>
          <w:i/>
          <w:spacing w:val="-6"/>
          <w:sz w:val="18"/>
        </w:rPr>
        <w:t xml:space="preserve"> </w:t>
      </w:r>
      <w:r>
        <w:rPr>
          <w:i/>
          <w:sz w:val="18"/>
        </w:rPr>
        <w:t>Paper</w:t>
      </w:r>
      <w:r>
        <w:rPr>
          <w:sz w:val="18"/>
        </w:rPr>
        <w:t>,</w:t>
      </w:r>
      <w:r>
        <w:rPr>
          <w:spacing w:val="-7"/>
          <w:sz w:val="18"/>
        </w:rPr>
        <w:t xml:space="preserve"> </w:t>
      </w:r>
      <w:r>
        <w:rPr>
          <w:sz w:val="18"/>
        </w:rPr>
        <w:t>para.</w:t>
      </w:r>
      <w:r>
        <w:rPr>
          <w:spacing w:val="-7"/>
          <w:sz w:val="18"/>
        </w:rPr>
        <w:t xml:space="preserve"> </w:t>
      </w:r>
      <w:r>
        <w:rPr>
          <w:sz w:val="18"/>
        </w:rPr>
        <w:t>7.272.</w:t>
      </w:r>
      <w:r>
        <w:rPr>
          <w:spacing w:val="-6"/>
          <w:sz w:val="18"/>
        </w:rPr>
        <w:t xml:space="preserve"> </w:t>
      </w:r>
      <w:r>
        <w:rPr>
          <w:sz w:val="18"/>
        </w:rPr>
        <w:t>(footnote</w:t>
      </w:r>
      <w:r>
        <w:rPr>
          <w:spacing w:val="-5"/>
          <w:sz w:val="18"/>
        </w:rPr>
        <w:t xml:space="preserve"> </w:t>
      </w:r>
      <w:r>
        <w:rPr>
          <w:spacing w:val="-2"/>
          <w:sz w:val="18"/>
        </w:rPr>
        <w:t>omitted)</w:t>
      </w:r>
    </w:p>
    <w:p w14:paraId="51DE9084" w14:textId="77777777" w:rsidR="0010369C" w:rsidRDefault="008E43AE">
      <w:pPr>
        <w:ind w:left="237" w:right="612"/>
        <w:jc w:val="both"/>
        <w:rPr>
          <w:i/>
          <w:sz w:val="18"/>
        </w:rPr>
      </w:pPr>
      <w:r>
        <w:rPr>
          <w:sz w:val="18"/>
          <w:vertAlign w:val="superscript"/>
        </w:rPr>
        <w:t>729</w:t>
      </w:r>
      <w:r>
        <w:rPr>
          <w:spacing w:val="-2"/>
          <w:sz w:val="18"/>
        </w:rPr>
        <w:t xml:space="preserve"> </w:t>
      </w:r>
      <w:r>
        <w:rPr>
          <w:sz w:val="18"/>
        </w:rPr>
        <w:t>In</w:t>
      </w:r>
      <w:r>
        <w:rPr>
          <w:spacing w:val="-2"/>
          <w:sz w:val="18"/>
        </w:rPr>
        <w:t xml:space="preserve"> </w:t>
      </w:r>
      <w:r>
        <w:rPr>
          <w:sz w:val="18"/>
        </w:rPr>
        <w:t>Part</w:t>
      </w:r>
      <w:r>
        <w:rPr>
          <w:spacing w:val="-3"/>
          <w:sz w:val="18"/>
        </w:rPr>
        <w:t xml:space="preserve"> </w:t>
      </w:r>
      <w:r>
        <w:rPr>
          <w:sz w:val="18"/>
        </w:rPr>
        <w:t>2,</w:t>
      </w:r>
      <w:r>
        <w:rPr>
          <w:spacing w:val="-3"/>
          <w:sz w:val="18"/>
        </w:rPr>
        <w:t xml:space="preserve"> </w:t>
      </w:r>
      <w:r>
        <w:rPr>
          <w:sz w:val="18"/>
        </w:rPr>
        <w:t>MOFCOM</w:t>
      </w:r>
      <w:r>
        <w:rPr>
          <w:spacing w:val="-3"/>
          <w:sz w:val="18"/>
        </w:rPr>
        <w:t xml:space="preserve"> </w:t>
      </w:r>
      <w:r>
        <w:rPr>
          <w:sz w:val="18"/>
        </w:rPr>
        <w:t>makes</w:t>
      </w:r>
      <w:r>
        <w:rPr>
          <w:spacing w:val="-2"/>
          <w:sz w:val="18"/>
        </w:rPr>
        <w:t xml:space="preserve"> </w:t>
      </w:r>
      <w:r>
        <w:rPr>
          <w:sz w:val="18"/>
        </w:rPr>
        <w:t>reference</w:t>
      </w:r>
      <w:r>
        <w:rPr>
          <w:spacing w:val="-2"/>
          <w:sz w:val="18"/>
        </w:rPr>
        <w:t xml:space="preserve"> </w:t>
      </w:r>
      <w:r>
        <w:rPr>
          <w:sz w:val="18"/>
        </w:rPr>
        <w:t>to</w:t>
      </w:r>
      <w:r>
        <w:rPr>
          <w:spacing w:val="-2"/>
          <w:sz w:val="18"/>
        </w:rPr>
        <w:t xml:space="preserve"> </w:t>
      </w:r>
      <w:r>
        <w:rPr>
          <w:sz w:val="18"/>
        </w:rPr>
        <w:t>apparent</w:t>
      </w:r>
      <w:r>
        <w:rPr>
          <w:spacing w:val="-3"/>
          <w:sz w:val="18"/>
        </w:rPr>
        <w:t xml:space="preserve"> </w:t>
      </w:r>
      <w:r>
        <w:rPr>
          <w:sz w:val="18"/>
        </w:rPr>
        <w:t>consumption,</w:t>
      </w:r>
      <w:r>
        <w:rPr>
          <w:spacing w:val="-2"/>
          <w:sz w:val="18"/>
        </w:rPr>
        <w:t xml:space="preserve"> </w:t>
      </w:r>
      <w:r>
        <w:rPr>
          <w:sz w:val="18"/>
        </w:rPr>
        <w:t>production</w:t>
      </w:r>
      <w:r>
        <w:rPr>
          <w:spacing w:val="-1"/>
          <w:sz w:val="18"/>
        </w:rPr>
        <w:t xml:space="preserve"> </w:t>
      </w:r>
      <w:r>
        <w:rPr>
          <w:sz w:val="18"/>
        </w:rPr>
        <w:t>capacity,</w:t>
      </w:r>
      <w:r>
        <w:rPr>
          <w:spacing w:val="-3"/>
          <w:sz w:val="18"/>
        </w:rPr>
        <w:t xml:space="preserve"> </w:t>
      </w:r>
      <w:r>
        <w:rPr>
          <w:sz w:val="18"/>
        </w:rPr>
        <w:t>output,</w:t>
      </w:r>
      <w:r>
        <w:rPr>
          <w:spacing w:val="-3"/>
          <w:sz w:val="18"/>
        </w:rPr>
        <w:t xml:space="preserve"> </w:t>
      </w:r>
      <w:r>
        <w:rPr>
          <w:sz w:val="18"/>
        </w:rPr>
        <w:t>domestic</w:t>
      </w:r>
      <w:r>
        <w:rPr>
          <w:spacing w:val="-2"/>
          <w:sz w:val="18"/>
        </w:rPr>
        <w:t xml:space="preserve"> </w:t>
      </w:r>
      <w:r>
        <w:rPr>
          <w:sz w:val="18"/>
        </w:rPr>
        <w:t>sale</w:t>
      </w:r>
      <w:r>
        <w:rPr>
          <w:spacing w:val="-2"/>
          <w:sz w:val="18"/>
        </w:rPr>
        <w:t xml:space="preserve"> </w:t>
      </w:r>
      <w:r>
        <w:rPr>
          <w:sz w:val="18"/>
        </w:rPr>
        <w:t>value,</w:t>
      </w:r>
      <w:r>
        <w:rPr>
          <w:spacing w:val="-3"/>
          <w:sz w:val="18"/>
        </w:rPr>
        <w:t xml:space="preserve"> </w:t>
      </w:r>
      <w:r>
        <w:rPr>
          <w:sz w:val="18"/>
        </w:rPr>
        <w:t>market share,</w:t>
      </w:r>
      <w:r>
        <w:rPr>
          <w:spacing w:val="-6"/>
          <w:sz w:val="18"/>
        </w:rPr>
        <w:t xml:space="preserve"> </w:t>
      </w:r>
      <w:r>
        <w:rPr>
          <w:sz w:val="18"/>
        </w:rPr>
        <w:t>sale</w:t>
      </w:r>
      <w:r>
        <w:rPr>
          <w:spacing w:val="-4"/>
          <w:sz w:val="18"/>
        </w:rPr>
        <w:t xml:space="preserve"> </w:t>
      </w:r>
      <w:r>
        <w:rPr>
          <w:sz w:val="18"/>
        </w:rPr>
        <w:t>price,</w:t>
      </w:r>
      <w:r>
        <w:rPr>
          <w:spacing w:val="-4"/>
          <w:sz w:val="18"/>
        </w:rPr>
        <w:t xml:space="preserve"> </w:t>
      </w:r>
      <w:r>
        <w:rPr>
          <w:sz w:val="18"/>
        </w:rPr>
        <w:t>sales</w:t>
      </w:r>
      <w:r>
        <w:rPr>
          <w:spacing w:val="-4"/>
          <w:sz w:val="18"/>
        </w:rPr>
        <w:t xml:space="preserve"> </w:t>
      </w:r>
      <w:r>
        <w:rPr>
          <w:sz w:val="18"/>
        </w:rPr>
        <w:t>revenue,</w:t>
      </w:r>
      <w:r>
        <w:rPr>
          <w:spacing w:val="-6"/>
          <w:sz w:val="18"/>
        </w:rPr>
        <w:t xml:space="preserve"> </w:t>
      </w:r>
      <w:r>
        <w:rPr>
          <w:sz w:val="18"/>
        </w:rPr>
        <w:t>profit</w:t>
      </w:r>
      <w:r>
        <w:rPr>
          <w:spacing w:val="-4"/>
          <w:sz w:val="18"/>
        </w:rPr>
        <w:t xml:space="preserve"> </w:t>
      </w:r>
      <w:r>
        <w:rPr>
          <w:sz w:val="18"/>
        </w:rPr>
        <w:t>before</w:t>
      </w:r>
      <w:r>
        <w:rPr>
          <w:spacing w:val="-4"/>
          <w:sz w:val="18"/>
        </w:rPr>
        <w:t xml:space="preserve"> </w:t>
      </w:r>
      <w:r>
        <w:rPr>
          <w:sz w:val="18"/>
        </w:rPr>
        <w:t>tax,</w:t>
      </w:r>
      <w:r>
        <w:rPr>
          <w:spacing w:val="-3"/>
          <w:sz w:val="18"/>
        </w:rPr>
        <w:t xml:space="preserve"> </w:t>
      </w:r>
      <w:r>
        <w:rPr>
          <w:sz w:val="18"/>
        </w:rPr>
        <w:t>return</w:t>
      </w:r>
      <w:r>
        <w:rPr>
          <w:spacing w:val="-5"/>
          <w:sz w:val="18"/>
        </w:rPr>
        <w:t xml:space="preserve"> </w:t>
      </w:r>
      <w:r>
        <w:rPr>
          <w:sz w:val="18"/>
        </w:rPr>
        <w:t>on</w:t>
      </w:r>
      <w:r>
        <w:rPr>
          <w:spacing w:val="-4"/>
          <w:sz w:val="18"/>
        </w:rPr>
        <w:t xml:space="preserve"> </w:t>
      </w:r>
      <w:r>
        <w:rPr>
          <w:sz w:val="18"/>
        </w:rPr>
        <w:t>investment,</w:t>
      </w:r>
      <w:r>
        <w:rPr>
          <w:spacing w:val="-4"/>
          <w:sz w:val="18"/>
        </w:rPr>
        <w:t xml:space="preserve"> </w:t>
      </w:r>
      <w:r>
        <w:rPr>
          <w:sz w:val="18"/>
        </w:rPr>
        <w:t>operating</w:t>
      </w:r>
      <w:r>
        <w:rPr>
          <w:spacing w:val="-4"/>
          <w:sz w:val="18"/>
        </w:rPr>
        <w:t xml:space="preserve"> </w:t>
      </w:r>
      <w:r>
        <w:rPr>
          <w:sz w:val="18"/>
        </w:rPr>
        <w:t>rate,</w:t>
      </w:r>
      <w:r>
        <w:rPr>
          <w:spacing w:val="-6"/>
          <w:sz w:val="18"/>
        </w:rPr>
        <w:t xml:space="preserve"> </w:t>
      </w:r>
      <w:r>
        <w:rPr>
          <w:sz w:val="18"/>
        </w:rPr>
        <w:t>employment,</w:t>
      </w:r>
      <w:r>
        <w:rPr>
          <w:spacing w:val="-6"/>
          <w:sz w:val="18"/>
        </w:rPr>
        <w:t xml:space="preserve"> </w:t>
      </w:r>
      <w:r>
        <w:rPr>
          <w:sz w:val="18"/>
        </w:rPr>
        <w:t>closing</w:t>
      </w:r>
      <w:r>
        <w:rPr>
          <w:spacing w:val="-4"/>
          <w:sz w:val="18"/>
        </w:rPr>
        <w:t xml:space="preserve"> </w:t>
      </w:r>
      <w:r>
        <w:rPr>
          <w:sz w:val="18"/>
        </w:rPr>
        <w:t>stock,</w:t>
      </w:r>
      <w:r>
        <w:rPr>
          <w:spacing w:val="-4"/>
          <w:sz w:val="18"/>
        </w:rPr>
        <w:t xml:space="preserve"> </w:t>
      </w:r>
      <w:r>
        <w:rPr>
          <w:sz w:val="18"/>
        </w:rPr>
        <w:t>cashflow and</w:t>
      </w:r>
      <w:r>
        <w:rPr>
          <w:spacing w:val="-11"/>
          <w:sz w:val="18"/>
        </w:rPr>
        <w:t xml:space="preserve"> </w:t>
      </w:r>
      <w:r>
        <w:rPr>
          <w:sz w:val="18"/>
        </w:rPr>
        <w:t>Investment</w:t>
      </w:r>
      <w:r>
        <w:rPr>
          <w:spacing w:val="-10"/>
          <w:sz w:val="18"/>
        </w:rPr>
        <w:t xml:space="preserve"> </w:t>
      </w:r>
      <w:r>
        <w:rPr>
          <w:sz w:val="18"/>
        </w:rPr>
        <w:t>and</w:t>
      </w:r>
      <w:r>
        <w:rPr>
          <w:spacing w:val="-10"/>
          <w:sz w:val="18"/>
        </w:rPr>
        <w:t xml:space="preserve"> </w:t>
      </w:r>
      <w:r>
        <w:rPr>
          <w:sz w:val="18"/>
        </w:rPr>
        <w:t>financing</w:t>
      </w:r>
      <w:r>
        <w:rPr>
          <w:spacing w:val="-10"/>
          <w:sz w:val="18"/>
        </w:rPr>
        <w:t xml:space="preserve"> </w:t>
      </w:r>
      <w:r>
        <w:rPr>
          <w:sz w:val="18"/>
        </w:rPr>
        <w:t>capacity.</w:t>
      </w:r>
      <w:r>
        <w:rPr>
          <w:spacing w:val="-10"/>
          <w:sz w:val="18"/>
        </w:rPr>
        <w:t xml:space="preserve"> </w:t>
      </w:r>
      <w:r>
        <w:rPr>
          <w:sz w:val="18"/>
        </w:rPr>
        <w:t>MOFCOM</w:t>
      </w:r>
      <w:r>
        <w:rPr>
          <w:spacing w:val="-11"/>
          <w:sz w:val="18"/>
        </w:rPr>
        <w:t xml:space="preserve"> </w:t>
      </w:r>
      <w:r>
        <w:rPr>
          <w:sz w:val="18"/>
        </w:rPr>
        <w:t>did</w:t>
      </w:r>
      <w:r>
        <w:rPr>
          <w:spacing w:val="-10"/>
          <w:sz w:val="18"/>
        </w:rPr>
        <w:t xml:space="preserve"> </w:t>
      </w:r>
      <w:r>
        <w:rPr>
          <w:sz w:val="18"/>
        </w:rPr>
        <w:t>not</w:t>
      </w:r>
      <w:r>
        <w:rPr>
          <w:spacing w:val="-10"/>
          <w:sz w:val="18"/>
        </w:rPr>
        <w:t xml:space="preserve"> </w:t>
      </w:r>
      <w:r>
        <w:rPr>
          <w:sz w:val="18"/>
        </w:rPr>
        <w:t>reference</w:t>
      </w:r>
      <w:r>
        <w:rPr>
          <w:spacing w:val="-10"/>
          <w:sz w:val="18"/>
        </w:rPr>
        <w:t xml:space="preserve"> </w:t>
      </w:r>
      <w:r>
        <w:rPr>
          <w:sz w:val="18"/>
        </w:rPr>
        <w:t>labour</w:t>
      </w:r>
      <w:r>
        <w:rPr>
          <w:spacing w:val="-10"/>
          <w:sz w:val="18"/>
        </w:rPr>
        <w:t xml:space="preserve"> </w:t>
      </w:r>
      <w:r>
        <w:rPr>
          <w:sz w:val="18"/>
        </w:rPr>
        <w:t>productivity,</w:t>
      </w:r>
      <w:r>
        <w:rPr>
          <w:spacing w:val="-10"/>
          <w:sz w:val="18"/>
        </w:rPr>
        <w:t xml:space="preserve"> </w:t>
      </w:r>
      <w:r>
        <w:rPr>
          <w:sz w:val="18"/>
        </w:rPr>
        <w:t>salary</w:t>
      </w:r>
      <w:r>
        <w:rPr>
          <w:spacing w:val="-11"/>
          <w:sz w:val="18"/>
        </w:rPr>
        <w:t xml:space="preserve"> </w:t>
      </w:r>
      <w:r>
        <w:rPr>
          <w:sz w:val="18"/>
        </w:rPr>
        <w:t>per</w:t>
      </w:r>
      <w:r>
        <w:rPr>
          <w:spacing w:val="-10"/>
          <w:sz w:val="18"/>
        </w:rPr>
        <w:t xml:space="preserve"> </w:t>
      </w:r>
      <w:r>
        <w:rPr>
          <w:sz w:val="18"/>
        </w:rPr>
        <w:t>capita</w:t>
      </w:r>
      <w:r>
        <w:rPr>
          <w:spacing w:val="-10"/>
          <w:sz w:val="18"/>
        </w:rPr>
        <w:t xml:space="preserve"> </w:t>
      </w:r>
      <w:r>
        <w:rPr>
          <w:sz w:val="18"/>
        </w:rPr>
        <w:t>or</w:t>
      </w:r>
      <w:r>
        <w:rPr>
          <w:spacing w:val="-10"/>
          <w:sz w:val="18"/>
        </w:rPr>
        <w:t xml:space="preserve"> </w:t>
      </w:r>
      <w:r>
        <w:rPr>
          <w:sz w:val="18"/>
        </w:rPr>
        <w:t>dumping</w:t>
      </w:r>
      <w:r>
        <w:rPr>
          <w:spacing w:val="-10"/>
          <w:sz w:val="18"/>
        </w:rPr>
        <w:t xml:space="preserve"> </w:t>
      </w:r>
      <w:r>
        <w:rPr>
          <w:sz w:val="18"/>
        </w:rPr>
        <w:t xml:space="preserve">margins. </w:t>
      </w:r>
      <w:r>
        <w:rPr>
          <w:sz w:val="18"/>
          <w:vertAlign w:val="superscript"/>
        </w:rPr>
        <w:t>730</w:t>
      </w:r>
      <w:r>
        <w:rPr>
          <w:spacing w:val="-5"/>
          <w:sz w:val="18"/>
        </w:rPr>
        <w:t xml:space="preserve"> </w:t>
      </w:r>
      <w:r>
        <w:rPr>
          <w:sz w:val="18"/>
        </w:rPr>
        <w:t>Panel</w:t>
      </w:r>
      <w:r>
        <w:rPr>
          <w:spacing w:val="-6"/>
          <w:sz w:val="18"/>
        </w:rPr>
        <w:t xml:space="preserve"> </w:t>
      </w:r>
      <w:r>
        <w:rPr>
          <w:sz w:val="18"/>
        </w:rPr>
        <w:t>Reports,</w:t>
      </w:r>
      <w:r>
        <w:rPr>
          <w:spacing w:val="-5"/>
          <w:sz w:val="18"/>
        </w:rPr>
        <w:t xml:space="preserve"> </w:t>
      </w:r>
      <w:r>
        <w:rPr>
          <w:i/>
          <w:sz w:val="18"/>
        </w:rPr>
        <w:t>EC</w:t>
      </w:r>
      <w:r>
        <w:rPr>
          <w:i/>
          <w:spacing w:val="-5"/>
          <w:sz w:val="18"/>
        </w:rPr>
        <w:t xml:space="preserve"> </w:t>
      </w:r>
      <w:r>
        <w:rPr>
          <w:i/>
          <w:sz w:val="18"/>
        </w:rPr>
        <w:t>–</w:t>
      </w:r>
      <w:r>
        <w:rPr>
          <w:i/>
          <w:spacing w:val="-5"/>
          <w:sz w:val="18"/>
        </w:rPr>
        <w:t xml:space="preserve"> </w:t>
      </w:r>
      <w:r>
        <w:rPr>
          <w:i/>
          <w:sz w:val="18"/>
        </w:rPr>
        <w:t>Tube</w:t>
      </w:r>
      <w:r>
        <w:rPr>
          <w:i/>
          <w:spacing w:val="-4"/>
          <w:sz w:val="18"/>
        </w:rPr>
        <w:t xml:space="preserve"> </w:t>
      </w:r>
      <w:r>
        <w:rPr>
          <w:i/>
          <w:sz w:val="18"/>
        </w:rPr>
        <w:t>or</w:t>
      </w:r>
      <w:r>
        <w:rPr>
          <w:i/>
          <w:spacing w:val="-5"/>
          <w:sz w:val="18"/>
        </w:rPr>
        <w:t xml:space="preserve"> </w:t>
      </w:r>
      <w:r>
        <w:rPr>
          <w:i/>
          <w:sz w:val="18"/>
        </w:rPr>
        <w:t>Pipe</w:t>
      </w:r>
      <w:r>
        <w:rPr>
          <w:i/>
          <w:spacing w:val="-5"/>
          <w:sz w:val="18"/>
        </w:rPr>
        <w:t xml:space="preserve"> </w:t>
      </w:r>
      <w:r>
        <w:rPr>
          <w:i/>
          <w:sz w:val="18"/>
        </w:rPr>
        <w:t>Fittings</w:t>
      </w:r>
      <w:r>
        <w:rPr>
          <w:sz w:val="18"/>
        </w:rPr>
        <w:t>,</w:t>
      </w:r>
      <w:r>
        <w:rPr>
          <w:spacing w:val="-5"/>
          <w:sz w:val="18"/>
        </w:rPr>
        <w:t xml:space="preserve"> </w:t>
      </w:r>
      <w:r>
        <w:rPr>
          <w:sz w:val="18"/>
        </w:rPr>
        <w:t>para.</w:t>
      </w:r>
      <w:r>
        <w:rPr>
          <w:spacing w:val="-4"/>
          <w:sz w:val="18"/>
        </w:rPr>
        <w:t xml:space="preserve"> </w:t>
      </w:r>
      <w:r>
        <w:rPr>
          <w:sz w:val="18"/>
        </w:rPr>
        <w:t>7.314;</w:t>
      </w:r>
      <w:r>
        <w:rPr>
          <w:spacing w:val="-5"/>
          <w:sz w:val="18"/>
        </w:rPr>
        <w:t xml:space="preserve"> </w:t>
      </w:r>
      <w:r>
        <w:rPr>
          <w:sz w:val="18"/>
        </w:rPr>
        <w:t>Panel</w:t>
      </w:r>
      <w:r>
        <w:rPr>
          <w:spacing w:val="-6"/>
          <w:sz w:val="18"/>
        </w:rPr>
        <w:t xml:space="preserve"> </w:t>
      </w:r>
      <w:r>
        <w:rPr>
          <w:sz w:val="18"/>
        </w:rPr>
        <w:t>Report,</w:t>
      </w:r>
      <w:r>
        <w:rPr>
          <w:spacing w:val="-5"/>
          <w:sz w:val="18"/>
        </w:rPr>
        <w:t xml:space="preserve"> </w:t>
      </w:r>
      <w:r>
        <w:rPr>
          <w:i/>
          <w:sz w:val="18"/>
        </w:rPr>
        <w:t>Mexico</w:t>
      </w:r>
      <w:r>
        <w:rPr>
          <w:i/>
          <w:spacing w:val="-5"/>
          <w:sz w:val="18"/>
        </w:rPr>
        <w:t xml:space="preserve"> </w:t>
      </w:r>
      <w:r>
        <w:rPr>
          <w:i/>
          <w:sz w:val="18"/>
        </w:rPr>
        <w:t>–</w:t>
      </w:r>
      <w:r>
        <w:rPr>
          <w:i/>
          <w:spacing w:val="-5"/>
          <w:sz w:val="18"/>
        </w:rPr>
        <w:t xml:space="preserve"> </w:t>
      </w:r>
      <w:r>
        <w:rPr>
          <w:i/>
          <w:sz w:val="18"/>
        </w:rPr>
        <w:t>Corn</w:t>
      </w:r>
      <w:r>
        <w:rPr>
          <w:i/>
          <w:spacing w:val="-5"/>
          <w:sz w:val="18"/>
        </w:rPr>
        <w:t xml:space="preserve"> </w:t>
      </w:r>
      <w:r>
        <w:rPr>
          <w:i/>
          <w:sz w:val="18"/>
        </w:rPr>
        <w:t>Syrup</w:t>
      </w:r>
      <w:r>
        <w:rPr>
          <w:sz w:val="18"/>
        </w:rPr>
        <w:t>,</w:t>
      </w:r>
      <w:r>
        <w:rPr>
          <w:spacing w:val="-5"/>
          <w:sz w:val="18"/>
        </w:rPr>
        <w:t xml:space="preserve"> </w:t>
      </w:r>
      <w:r>
        <w:rPr>
          <w:sz w:val="18"/>
        </w:rPr>
        <w:t>para.</w:t>
      </w:r>
      <w:r>
        <w:rPr>
          <w:spacing w:val="-4"/>
          <w:sz w:val="18"/>
        </w:rPr>
        <w:t xml:space="preserve"> </w:t>
      </w:r>
      <w:r>
        <w:rPr>
          <w:sz w:val="18"/>
        </w:rPr>
        <w:t>7.128;</w:t>
      </w:r>
      <w:r>
        <w:rPr>
          <w:spacing w:val="-5"/>
          <w:sz w:val="18"/>
        </w:rPr>
        <w:t xml:space="preserve"> </w:t>
      </w:r>
      <w:r>
        <w:rPr>
          <w:sz w:val="18"/>
        </w:rPr>
        <w:t>Panel</w:t>
      </w:r>
      <w:r>
        <w:rPr>
          <w:spacing w:val="-6"/>
          <w:sz w:val="18"/>
        </w:rPr>
        <w:t xml:space="preserve"> </w:t>
      </w:r>
      <w:r>
        <w:rPr>
          <w:sz w:val="18"/>
        </w:rPr>
        <w:t>Report,</w:t>
      </w:r>
      <w:r>
        <w:rPr>
          <w:spacing w:val="-5"/>
          <w:sz w:val="18"/>
        </w:rPr>
        <w:t xml:space="preserve"> </w:t>
      </w:r>
      <w:r>
        <w:rPr>
          <w:i/>
          <w:sz w:val="18"/>
        </w:rPr>
        <w:t>Korea</w:t>
      </w:r>
    </w:p>
    <w:p w14:paraId="51DE9085" w14:textId="77777777" w:rsidR="0010369C" w:rsidRDefault="008E43AE">
      <w:pPr>
        <w:spacing w:before="1"/>
        <w:ind w:left="239"/>
        <w:jc w:val="both"/>
        <w:rPr>
          <w:sz w:val="18"/>
        </w:rPr>
      </w:pPr>
      <w:r>
        <w:rPr>
          <w:i/>
          <w:sz w:val="18"/>
        </w:rPr>
        <w:t>‐</w:t>
      </w:r>
      <w:r>
        <w:rPr>
          <w:i/>
          <w:spacing w:val="-6"/>
          <w:sz w:val="18"/>
        </w:rPr>
        <w:t xml:space="preserve"> </w:t>
      </w:r>
      <w:r>
        <w:rPr>
          <w:i/>
          <w:sz w:val="18"/>
        </w:rPr>
        <w:t>Pneumatic</w:t>
      </w:r>
      <w:r>
        <w:rPr>
          <w:i/>
          <w:spacing w:val="-7"/>
          <w:sz w:val="18"/>
        </w:rPr>
        <w:t xml:space="preserve"> </w:t>
      </w:r>
      <w:r>
        <w:rPr>
          <w:i/>
          <w:sz w:val="18"/>
        </w:rPr>
        <w:t>Valves,</w:t>
      </w:r>
      <w:r>
        <w:rPr>
          <w:i/>
          <w:spacing w:val="-6"/>
          <w:sz w:val="18"/>
        </w:rPr>
        <w:t xml:space="preserve"> </w:t>
      </w:r>
      <w:r>
        <w:rPr>
          <w:sz w:val="18"/>
        </w:rPr>
        <w:t>para.</w:t>
      </w:r>
      <w:r>
        <w:rPr>
          <w:spacing w:val="-6"/>
          <w:sz w:val="18"/>
        </w:rPr>
        <w:t xml:space="preserve"> </w:t>
      </w:r>
      <w:r>
        <w:rPr>
          <w:sz w:val="18"/>
        </w:rPr>
        <w:t>7.179;</w:t>
      </w:r>
      <w:r>
        <w:rPr>
          <w:spacing w:val="-7"/>
          <w:sz w:val="18"/>
        </w:rPr>
        <w:t xml:space="preserve"> </w:t>
      </w:r>
      <w:r>
        <w:rPr>
          <w:sz w:val="18"/>
        </w:rPr>
        <w:t>see</w:t>
      </w:r>
      <w:r>
        <w:rPr>
          <w:spacing w:val="-6"/>
          <w:sz w:val="18"/>
        </w:rPr>
        <w:t xml:space="preserve"> </w:t>
      </w:r>
      <w:r>
        <w:rPr>
          <w:sz w:val="18"/>
        </w:rPr>
        <w:t>also</w:t>
      </w:r>
      <w:r>
        <w:rPr>
          <w:spacing w:val="-6"/>
          <w:sz w:val="18"/>
        </w:rPr>
        <w:t xml:space="preserve"> </w:t>
      </w:r>
      <w:r>
        <w:rPr>
          <w:sz w:val="18"/>
        </w:rPr>
        <w:t>Appellate</w:t>
      </w:r>
      <w:r>
        <w:rPr>
          <w:spacing w:val="-5"/>
          <w:sz w:val="18"/>
        </w:rPr>
        <w:t xml:space="preserve"> </w:t>
      </w:r>
      <w:r>
        <w:rPr>
          <w:sz w:val="18"/>
        </w:rPr>
        <w:t>Body</w:t>
      </w:r>
      <w:r>
        <w:rPr>
          <w:spacing w:val="-6"/>
          <w:sz w:val="18"/>
        </w:rPr>
        <w:t xml:space="preserve"> </w:t>
      </w:r>
      <w:r>
        <w:rPr>
          <w:sz w:val="18"/>
        </w:rPr>
        <w:t>Report,</w:t>
      </w:r>
      <w:r>
        <w:rPr>
          <w:spacing w:val="-6"/>
          <w:sz w:val="18"/>
        </w:rPr>
        <w:t xml:space="preserve"> </w:t>
      </w:r>
      <w:r>
        <w:rPr>
          <w:i/>
          <w:sz w:val="18"/>
        </w:rPr>
        <w:t>Korea</w:t>
      </w:r>
      <w:r>
        <w:rPr>
          <w:i/>
          <w:spacing w:val="-7"/>
          <w:sz w:val="18"/>
        </w:rPr>
        <w:t xml:space="preserve"> </w:t>
      </w:r>
      <w:r>
        <w:rPr>
          <w:i/>
          <w:sz w:val="18"/>
        </w:rPr>
        <w:t>‐</w:t>
      </w:r>
      <w:r>
        <w:rPr>
          <w:i/>
          <w:spacing w:val="-6"/>
          <w:sz w:val="18"/>
        </w:rPr>
        <w:t xml:space="preserve"> </w:t>
      </w:r>
      <w:r>
        <w:rPr>
          <w:i/>
          <w:sz w:val="18"/>
        </w:rPr>
        <w:t>Pneumatic</w:t>
      </w:r>
      <w:r>
        <w:rPr>
          <w:i/>
          <w:spacing w:val="-7"/>
          <w:sz w:val="18"/>
        </w:rPr>
        <w:t xml:space="preserve"> </w:t>
      </w:r>
      <w:r>
        <w:rPr>
          <w:i/>
          <w:sz w:val="18"/>
        </w:rPr>
        <w:t>Valves</w:t>
      </w:r>
      <w:r>
        <w:rPr>
          <w:sz w:val="18"/>
        </w:rPr>
        <w:t>,</w:t>
      </w:r>
      <w:r>
        <w:rPr>
          <w:spacing w:val="-6"/>
          <w:sz w:val="18"/>
        </w:rPr>
        <w:t xml:space="preserve"> </w:t>
      </w:r>
      <w:r>
        <w:rPr>
          <w:sz w:val="18"/>
        </w:rPr>
        <w:t>para.</w:t>
      </w:r>
      <w:r>
        <w:rPr>
          <w:spacing w:val="-6"/>
          <w:sz w:val="18"/>
        </w:rPr>
        <w:t xml:space="preserve"> </w:t>
      </w:r>
      <w:r>
        <w:rPr>
          <w:spacing w:val="-2"/>
          <w:sz w:val="18"/>
        </w:rPr>
        <w:t>5.168.</w:t>
      </w:r>
    </w:p>
    <w:p w14:paraId="51DE9086" w14:textId="77777777" w:rsidR="0010369C" w:rsidRDefault="008E43AE">
      <w:pPr>
        <w:ind w:left="238"/>
        <w:jc w:val="both"/>
        <w:rPr>
          <w:sz w:val="18"/>
        </w:rPr>
      </w:pPr>
      <w:r>
        <w:rPr>
          <w:sz w:val="18"/>
          <w:vertAlign w:val="superscript"/>
        </w:rPr>
        <w:t>731</w:t>
      </w:r>
      <w:r>
        <w:rPr>
          <w:spacing w:val="-5"/>
          <w:sz w:val="18"/>
        </w:rPr>
        <w:t xml:space="preserve"> </w:t>
      </w:r>
      <w:r>
        <w:rPr>
          <w:sz w:val="18"/>
        </w:rPr>
        <w:t>Panel</w:t>
      </w:r>
      <w:r>
        <w:rPr>
          <w:spacing w:val="-6"/>
          <w:sz w:val="18"/>
        </w:rPr>
        <w:t xml:space="preserve"> </w:t>
      </w:r>
      <w:r>
        <w:rPr>
          <w:sz w:val="18"/>
        </w:rPr>
        <w:t>Reports,</w:t>
      </w:r>
      <w:r>
        <w:rPr>
          <w:spacing w:val="-4"/>
          <w:sz w:val="18"/>
        </w:rPr>
        <w:t xml:space="preserve"> </w:t>
      </w:r>
      <w:r>
        <w:rPr>
          <w:i/>
          <w:sz w:val="18"/>
        </w:rPr>
        <w:t>EC</w:t>
      </w:r>
      <w:r>
        <w:rPr>
          <w:i/>
          <w:spacing w:val="-6"/>
          <w:sz w:val="18"/>
        </w:rPr>
        <w:t xml:space="preserve"> </w:t>
      </w:r>
      <w:r>
        <w:rPr>
          <w:i/>
          <w:sz w:val="18"/>
        </w:rPr>
        <w:t>–</w:t>
      </w:r>
      <w:r>
        <w:rPr>
          <w:i/>
          <w:spacing w:val="-5"/>
          <w:sz w:val="18"/>
        </w:rPr>
        <w:t xml:space="preserve"> </w:t>
      </w:r>
      <w:r>
        <w:rPr>
          <w:i/>
          <w:sz w:val="18"/>
        </w:rPr>
        <w:t>Bed</w:t>
      </w:r>
      <w:r>
        <w:rPr>
          <w:i/>
          <w:spacing w:val="-4"/>
          <w:sz w:val="18"/>
        </w:rPr>
        <w:t xml:space="preserve"> </w:t>
      </w:r>
      <w:r>
        <w:rPr>
          <w:i/>
          <w:sz w:val="18"/>
        </w:rPr>
        <w:t>Linen</w:t>
      </w:r>
      <w:r>
        <w:rPr>
          <w:i/>
          <w:spacing w:val="-5"/>
          <w:sz w:val="18"/>
        </w:rPr>
        <w:t xml:space="preserve"> </w:t>
      </w:r>
      <w:r>
        <w:rPr>
          <w:sz w:val="18"/>
        </w:rPr>
        <w:t>para.</w:t>
      </w:r>
      <w:r>
        <w:rPr>
          <w:spacing w:val="-5"/>
          <w:sz w:val="18"/>
        </w:rPr>
        <w:t xml:space="preserve"> </w:t>
      </w:r>
      <w:r>
        <w:rPr>
          <w:sz w:val="18"/>
        </w:rPr>
        <w:t>6.162;</w:t>
      </w:r>
      <w:r>
        <w:rPr>
          <w:spacing w:val="-5"/>
          <w:sz w:val="18"/>
        </w:rPr>
        <w:t xml:space="preserve"> </w:t>
      </w:r>
      <w:r>
        <w:rPr>
          <w:i/>
          <w:sz w:val="18"/>
        </w:rPr>
        <w:t>EC</w:t>
      </w:r>
      <w:r>
        <w:rPr>
          <w:i/>
          <w:spacing w:val="-6"/>
          <w:sz w:val="18"/>
        </w:rPr>
        <w:t xml:space="preserve"> </w:t>
      </w:r>
      <w:r>
        <w:rPr>
          <w:i/>
          <w:sz w:val="18"/>
        </w:rPr>
        <w:t>–</w:t>
      </w:r>
      <w:r>
        <w:rPr>
          <w:i/>
          <w:spacing w:val="-5"/>
          <w:sz w:val="18"/>
        </w:rPr>
        <w:t xml:space="preserve"> </w:t>
      </w:r>
      <w:r>
        <w:rPr>
          <w:i/>
          <w:sz w:val="18"/>
        </w:rPr>
        <w:t>Tube</w:t>
      </w:r>
      <w:r>
        <w:rPr>
          <w:i/>
          <w:spacing w:val="-4"/>
          <w:sz w:val="18"/>
        </w:rPr>
        <w:t xml:space="preserve"> </w:t>
      </w:r>
      <w:r>
        <w:rPr>
          <w:i/>
          <w:sz w:val="18"/>
        </w:rPr>
        <w:t>or</w:t>
      </w:r>
      <w:r>
        <w:rPr>
          <w:i/>
          <w:spacing w:val="-6"/>
          <w:sz w:val="18"/>
        </w:rPr>
        <w:t xml:space="preserve"> </w:t>
      </w:r>
      <w:r>
        <w:rPr>
          <w:i/>
          <w:sz w:val="18"/>
        </w:rPr>
        <w:t>Pipe</w:t>
      </w:r>
      <w:r>
        <w:rPr>
          <w:i/>
          <w:spacing w:val="-4"/>
          <w:sz w:val="18"/>
        </w:rPr>
        <w:t xml:space="preserve"> </w:t>
      </w:r>
      <w:r>
        <w:rPr>
          <w:i/>
          <w:sz w:val="18"/>
        </w:rPr>
        <w:t>Fittings</w:t>
      </w:r>
      <w:r>
        <w:rPr>
          <w:sz w:val="18"/>
        </w:rPr>
        <w:t>,</w:t>
      </w:r>
      <w:r>
        <w:rPr>
          <w:spacing w:val="-5"/>
          <w:sz w:val="18"/>
        </w:rPr>
        <w:t xml:space="preserve"> </w:t>
      </w:r>
      <w:r>
        <w:rPr>
          <w:sz w:val="18"/>
        </w:rPr>
        <w:t>para.</w:t>
      </w:r>
      <w:r>
        <w:rPr>
          <w:spacing w:val="-5"/>
          <w:sz w:val="18"/>
        </w:rPr>
        <w:t xml:space="preserve"> </w:t>
      </w:r>
      <w:r>
        <w:rPr>
          <w:spacing w:val="-2"/>
          <w:sz w:val="18"/>
        </w:rPr>
        <w:t>7.314</w:t>
      </w:r>
    </w:p>
    <w:p w14:paraId="51DE9087" w14:textId="77777777" w:rsidR="0010369C" w:rsidRDefault="008E43AE">
      <w:pPr>
        <w:ind w:left="238"/>
        <w:jc w:val="both"/>
        <w:rPr>
          <w:sz w:val="18"/>
        </w:rPr>
      </w:pPr>
      <w:r>
        <w:rPr>
          <w:sz w:val="18"/>
          <w:vertAlign w:val="superscript"/>
        </w:rPr>
        <w:t>732</w:t>
      </w:r>
      <w:r>
        <w:rPr>
          <w:spacing w:val="-5"/>
          <w:sz w:val="18"/>
        </w:rPr>
        <w:t xml:space="preserve"> </w:t>
      </w:r>
      <w:r>
        <w:rPr>
          <w:sz w:val="18"/>
        </w:rPr>
        <w:t>Panel</w:t>
      </w:r>
      <w:r>
        <w:rPr>
          <w:spacing w:val="-5"/>
          <w:sz w:val="18"/>
        </w:rPr>
        <w:t xml:space="preserve"> </w:t>
      </w:r>
      <w:r>
        <w:rPr>
          <w:sz w:val="18"/>
        </w:rPr>
        <w:t>Report,</w:t>
      </w:r>
      <w:r>
        <w:rPr>
          <w:spacing w:val="-5"/>
          <w:sz w:val="18"/>
        </w:rPr>
        <w:t xml:space="preserve"> </w:t>
      </w:r>
      <w:r>
        <w:rPr>
          <w:i/>
          <w:sz w:val="18"/>
        </w:rPr>
        <w:t>EC</w:t>
      </w:r>
      <w:r>
        <w:rPr>
          <w:i/>
          <w:spacing w:val="-5"/>
          <w:sz w:val="18"/>
        </w:rPr>
        <w:t xml:space="preserve"> </w:t>
      </w:r>
      <w:r>
        <w:rPr>
          <w:i/>
          <w:sz w:val="18"/>
        </w:rPr>
        <w:t>–</w:t>
      </w:r>
      <w:r>
        <w:rPr>
          <w:i/>
          <w:spacing w:val="-5"/>
          <w:sz w:val="18"/>
        </w:rPr>
        <w:t xml:space="preserve"> </w:t>
      </w:r>
      <w:r>
        <w:rPr>
          <w:i/>
          <w:sz w:val="18"/>
        </w:rPr>
        <w:t>Bed</w:t>
      </w:r>
      <w:r>
        <w:rPr>
          <w:i/>
          <w:spacing w:val="-4"/>
          <w:sz w:val="18"/>
        </w:rPr>
        <w:t xml:space="preserve"> </w:t>
      </w:r>
      <w:r>
        <w:rPr>
          <w:i/>
          <w:sz w:val="18"/>
        </w:rPr>
        <w:t>Linen</w:t>
      </w:r>
      <w:r>
        <w:rPr>
          <w:sz w:val="18"/>
        </w:rPr>
        <w:t>,</w:t>
      </w:r>
      <w:r>
        <w:rPr>
          <w:spacing w:val="-6"/>
          <w:sz w:val="18"/>
        </w:rPr>
        <w:t xml:space="preserve"> </w:t>
      </w:r>
      <w:r>
        <w:rPr>
          <w:sz w:val="18"/>
        </w:rPr>
        <w:t>para.</w:t>
      </w:r>
      <w:r>
        <w:rPr>
          <w:spacing w:val="-4"/>
          <w:sz w:val="18"/>
        </w:rPr>
        <w:t xml:space="preserve"> </w:t>
      </w:r>
      <w:r>
        <w:rPr>
          <w:spacing w:val="-2"/>
          <w:sz w:val="18"/>
        </w:rPr>
        <w:t>6.162.</w:t>
      </w:r>
    </w:p>
    <w:p w14:paraId="51DE9088" w14:textId="77777777" w:rsidR="0010369C" w:rsidRDefault="0010369C">
      <w:pPr>
        <w:jc w:val="both"/>
        <w:rPr>
          <w:sz w:val="18"/>
        </w:rPr>
        <w:sectPr w:rsidR="0010369C">
          <w:pgSz w:w="11910" w:h="16840"/>
          <w:pgMar w:top="880" w:right="800" w:bottom="980" w:left="1180" w:header="569" w:footer="788" w:gutter="0"/>
          <w:cols w:space="720"/>
        </w:sectPr>
      </w:pPr>
    </w:p>
    <w:p w14:paraId="51DE9089" w14:textId="77777777" w:rsidR="0010369C" w:rsidRDefault="008E43AE">
      <w:pPr>
        <w:tabs>
          <w:tab w:val="left" w:pos="6426"/>
        </w:tabs>
        <w:ind w:left="238"/>
        <w:rPr>
          <w:sz w:val="20"/>
        </w:rPr>
      </w:pPr>
      <w:r>
        <w:rPr>
          <w:i/>
          <w:sz w:val="20"/>
        </w:rPr>
        <w:lastRenderedPageBreak/>
        <w:t>China</w:t>
      </w:r>
      <w:r>
        <w:rPr>
          <w:i/>
          <w:spacing w:val="-5"/>
          <w:sz w:val="20"/>
        </w:rPr>
        <w:t xml:space="preserve"> </w:t>
      </w:r>
      <w:r>
        <w:rPr>
          <w:i/>
          <w:sz w:val="20"/>
        </w:rPr>
        <w:t>–</w:t>
      </w:r>
      <w:r>
        <w:rPr>
          <w:i/>
          <w:spacing w:val="-5"/>
          <w:sz w:val="20"/>
        </w:rPr>
        <w:t xml:space="preserve"> </w:t>
      </w:r>
      <w:r>
        <w:rPr>
          <w:i/>
          <w:sz w:val="20"/>
        </w:rPr>
        <w:t>Anti‐Dumping</w:t>
      </w:r>
      <w:r>
        <w:rPr>
          <w:i/>
          <w:spacing w:val="-4"/>
          <w:sz w:val="20"/>
        </w:rPr>
        <w:t xml:space="preserve"> </w:t>
      </w:r>
      <w:r>
        <w:rPr>
          <w:i/>
          <w:sz w:val="20"/>
        </w:rPr>
        <w:t>and</w:t>
      </w:r>
      <w:r>
        <w:rPr>
          <w:i/>
          <w:spacing w:val="-5"/>
          <w:sz w:val="20"/>
        </w:rPr>
        <w:t xml:space="preserve"> </w:t>
      </w:r>
      <w:r>
        <w:rPr>
          <w:i/>
          <w:sz w:val="20"/>
        </w:rPr>
        <w:t>Countervailing</w:t>
      </w:r>
      <w:r>
        <w:rPr>
          <w:i/>
          <w:spacing w:val="-5"/>
          <w:sz w:val="20"/>
        </w:rPr>
        <w:t xml:space="preserve"> </w:t>
      </w:r>
      <w:r>
        <w:rPr>
          <w:i/>
          <w:sz w:val="20"/>
        </w:rPr>
        <w:t>Duty</w:t>
      </w:r>
      <w:r>
        <w:rPr>
          <w:i/>
          <w:spacing w:val="-4"/>
          <w:sz w:val="20"/>
        </w:rPr>
        <w:t xml:space="preserve"> </w:t>
      </w:r>
      <w:r>
        <w:rPr>
          <w:i/>
          <w:spacing w:val="-2"/>
          <w:sz w:val="20"/>
        </w:rPr>
        <w:t>Measures</w:t>
      </w:r>
      <w:r>
        <w:rPr>
          <w:i/>
          <w:sz w:val="20"/>
        </w:rPr>
        <w:tab/>
      </w:r>
      <w:r>
        <w:rPr>
          <w:sz w:val="20"/>
        </w:rPr>
        <w:t>Australia's</w:t>
      </w:r>
      <w:r>
        <w:rPr>
          <w:spacing w:val="-7"/>
          <w:sz w:val="20"/>
        </w:rPr>
        <w:t xml:space="preserve"> </w:t>
      </w:r>
      <w:r>
        <w:rPr>
          <w:sz w:val="20"/>
        </w:rPr>
        <w:t>First</w:t>
      </w:r>
      <w:r>
        <w:rPr>
          <w:spacing w:val="-2"/>
          <w:sz w:val="20"/>
        </w:rPr>
        <w:t xml:space="preserve"> </w:t>
      </w:r>
      <w:r>
        <w:rPr>
          <w:sz w:val="20"/>
        </w:rPr>
        <w:t>Written</w:t>
      </w:r>
      <w:r>
        <w:rPr>
          <w:spacing w:val="-2"/>
          <w:sz w:val="20"/>
        </w:rPr>
        <w:t xml:space="preserve"> Submission</w:t>
      </w:r>
    </w:p>
    <w:p w14:paraId="51DE908A" w14:textId="77777777" w:rsidR="0010369C" w:rsidRDefault="008E43AE">
      <w:pPr>
        <w:tabs>
          <w:tab w:val="left" w:pos="8228"/>
        </w:tabs>
        <w:spacing w:before="1"/>
        <w:ind w:left="239"/>
        <w:rPr>
          <w:sz w:val="20"/>
        </w:rPr>
      </w:pPr>
      <w:r>
        <w:rPr>
          <w:i/>
          <w:sz w:val="20"/>
        </w:rPr>
        <w:t>on</w:t>
      </w:r>
      <w:r>
        <w:rPr>
          <w:i/>
          <w:spacing w:val="-1"/>
          <w:sz w:val="20"/>
        </w:rPr>
        <w:t xml:space="preserve"> </w:t>
      </w:r>
      <w:r>
        <w:rPr>
          <w:i/>
          <w:sz w:val="20"/>
        </w:rPr>
        <w:t>Wine</w:t>
      </w:r>
      <w:r>
        <w:rPr>
          <w:i/>
          <w:spacing w:val="-1"/>
          <w:sz w:val="20"/>
        </w:rPr>
        <w:t xml:space="preserve"> </w:t>
      </w:r>
      <w:r>
        <w:rPr>
          <w:i/>
          <w:sz w:val="20"/>
        </w:rPr>
        <w:t>from</w:t>
      </w:r>
      <w:r>
        <w:rPr>
          <w:i/>
          <w:spacing w:val="-3"/>
          <w:sz w:val="20"/>
        </w:rPr>
        <w:t xml:space="preserve"> </w:t>
      </w:r>
      <w:r>
        <w:rPr>
          <w:i/>
          <w:sz w:val="20"/>
        </w:rPr>
        <w:t>Australia</w:t>
      </w:r>
      <w:r>
        <w:rPr>
          <w:i/>
          <w:spacing w:val="-1"/>
          <w:sz w:val="20"/>
        </w:rPr>
        <w:t xml:space="preserve"> </w:t>
      </w:r>
      <w:r>
        <w:rPr>
          <w:spacing w:val="-2"/>
          <w:sz w:val="20"/>
        </w:rPr>
        <w:t>(DS602)</w:t>
      </w:r>
      <w:r>
        <w:rPr>
          <w:sz w:val="20"/>
        </w:rPr>
        <w:tab/>
        <w:t>29</w:t>
      </w:r>
      <w:r>
        <w:rPr>
          <w:spacing w:val="-1"/>
          <w:sz w:val="20"/>
        </w:rPr>
        <w:t xml:space="preserve"> </w:t>
      </w:r>
      <w:r>
        <w:rPr>
          <w:sz w:val="20"/>
        </w:rPr>
        <w:t>April</w:t>
      </w:r>
      <w:r>
        <w:rPr>
          <w:spacing w:val="-2"/>
          <w:sz w:val="20"/>
        </w:rPr>
        <w:t xml:space="preserve"> </w:t>
      </w:r>
      <w:r>
        <w:rPr>
          <w:spacing w:val="-4"/>
          <w:sz w:val="20"/>
        </w:rPr>
        <w:t>2022</w:t>
      </w:r>
    </w:p>
    <w:p w14:paraId="51DE908B" w14:textId="77777777" w:rsidR="0010369C" w:rsidRDefault="008E43AE">
      <w:pPr>
        <w:pStyle w:val="BodyText"/>
        <w:spacing w:before="34" w:line="360" w:lineRule="auto"/>
        <w:ind w:left="238" w:firstLine="851"/>
      </w:pPr>
      <w:r>
        <w:rPr>
          <w:noProof/>
        </w:rPr>
        <w:drawing>
          <wp:anchor distT="0" distB="0" distL="0" distR="0" simplePos="0" relativeHeight="251253248" behindDoc="1" locked="0" layoutInCell="1" allowOverlap="1" wp14:anchorId="51DEA51D" wp14:editId="51DEA51E">
            <wp:simplePos x="0" y="0"/>
            <wp:positionH relativeFrom="page">
              <wp:posOffset>905255</wp:posOffset>
            </wp:positionH>
            <wp:positionV relativeFrom="paragraph">
              <wp:posOffset>69165</wp:posOffset>
            </wp:positionV>
            <wp:extent cx="259079" cy="103631"/>
            <wp:effectExtent l="0" t="0" r="0" b="0"/>
            <wp:wrapNone/>
            <wp:docPr id="1251" name="image6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 name="image647.png"/>
                    <pic:cNvPicPr/>
                  </pic:nvPicPr>
                  <pic:blipFill>
                    <a:blip r:embed="rId849" cstate="print"/>
                    <a:stretch>
                      <a:fillRect/>
                    </a:stretch>
                  </pic:blipFill>
                  <pic:spPr>
                    <a:xfrm>
                      <a:off x="0" y="0"/>
                      <a:ext cx="259079" cy="103631"/>
                    </a:xfrm>
                    <a:prstGeom prst="rect">
                      <a:avLst/>
                    </a:prstGeom>
                  </pic:spPr>
                </pic:pic>
              </a:graphicData>
            </a:graphic>
          </wp:anchor>
        </w:drawing>
      </w:r>
      <w:r>
        <w:t>MOFCOM does not explain</w:t>
      </w:r>
      <w:r>
        <w:rPr>
          <w:spacing w:val="-1"/>
        </w:rPr>
        <w:t xml:space="preserve"> </w:t>
      </w:r>
      <w:r>
        <w:t>why it chose to not provide any further comment</w:t>
      </w:r>
      <w:r>
        <w:rPr>
          <w:spacing w:val="-1"/>
        </w:rPr>
        <w:t xml:space="preserve"> </w:t>
      </w:r>
      <w:r>
        <w:t>on the relevance of certain factors.</w:t>
      </w:r>
    </w:p>
    <w:p w14:paraId="51DE908C" w14:textId="77777777" w:rsidR="0010369C" w:rsidRDefault="0010369C">
      <w:pPr>
        <w:pStyle w:val="BodyText"/>
        <w:spacing w:before="10"/>
        <w:rPr>
          <w:sz w:val="8"/>
        </w:rPr>
      </w:pPr>
    </w:p>
    <w:p w14:paraId="51DE908D" w14:textId="77777777" w:rsidR="0010369C" w:rsidRDefault="008E43AE">
      <w:pPr>
        <w:pStyle w:val="BodyText"/>
        <w:spacing w:before="52" w:line="360" w:lineRule="auto"/>
        <w:ind w:left="235" w:right="614" w:firstLine="853"/>
        <w:jc w:val="both"/>
      </w:pPr>
      <w:r>
        <w:rPr>
          <w:noProof/>
        </w:rPr>
        <w:drawing>
          <wp:anchor distT="0" distB="0" distL="0" distR="0" simplePos="0" relativeHeight="251254272" behindDoc="1" locked="0" layoutInCell="1" allowOverlap="1" wp14:anchorId="51DEA51F" wp14:editId="51DEA520">
            <wp:simplePos x="0" y="0"/>
            <wp:positionH relativeFrom="page">
              <wp:posOffset>905255</wp:posOffset>
            </wp:positionH>
            <wp:positionV relativeFrom="paragraph">
              <wp:posOffset>76785</wp:posOffset>
            </wp:positionV>
            <wp:extent cx="259079" cy="106679"/>
            <wp:effectExtent l="0" t="0" r="0" b="0"/>
            <wp:wrapNone/>
            <wp:docPr id="1253" name="image6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 name="image648.png"/>
                    <pic:cNvPicPr/>
                  </pic:nvPicPr>
                  <pic:blipFill>
                    <a:blip r:embed="rId850" cstate="print"/>
                    <a:stretch>
                      <a:fillRect/>
                    </a:stretch>
                  </pic:blipFill>
                  <pic:spPr>
                    <a:xfrm>
                      <a:off x="0" y="0"/>
                      <a:ext cx="259079" cy="106679"/>
                    </a:xfrm>
                    <a:prstGeom prst="rect">
                      <a:avLst/>
                    </a:prstGeom>
                  </pic:spPr>
                </pic:pic>
              </a:graphicData>
            </a:graphic>
          </wp:anchor>
        </w:drawing>
      </w:r>
      <w:r>
        <w:t>Third, MOFCOM's evaluation of the factors that it considered relevant is insufficient to reach a determination of material injury. Article 3.4 requires a "well‐reasoned and meaningful analysis" of the state of the domestic industry that must "contain persu</w:t>
      </w:r>
      <w:r>
        <w:t xml:space="preserve">asive explanations as to how the evaluation of relevant factors led to the determination of </w:t>
      </w:r>
      <w:r>
        <w:rPr>
          <w:spacing w:val="-2"/>
        </w:rPr>
        <w:t>injury".</w:t>
      </w:r>
      <w:r>
        <w:rPr>
          <w:spacing w:val="-2"/>
          <w:vertAlign w:val="superscript"/>
        </w:rPr>
        <w:t>733</w:t>
      </w:r>
    </w:p>
    <w:p w14:paraId="51DE908E" w14:textId="77777777" w:rsidR="0010369C" w:rsidRDefault="0010369C">
      <w:pPr>
        <w:pStyle w:val="BodyText"/>
        <w:spacing w:before="11"/>
        <w:rPr>
          <w:sz w:val="8"/>
        </w:rPr>
      </w:pPr>
    </w:p>
    <w:p w14:paraId="51DE908F" w14:textId="77777777" w:rsidR="0010369C" w:rsidRDefault="008E43AE">
      <w:pPr>
        <w:pStyle w:val="BodyText"/>
        <w:spacing w:before="52" w:line="360" w:lineRule="auto"/>
        <w:ind w:left="237" w:right="613" w:firstLine="851"/>
        <w:jc w:val="both"/>
      </w:pPr>
      <w:r>
        <w:rPr>
          <w:noProof/>
        </w:rPr>
        <w:drawing>
          <wp:anchor distT="0" distB="0" distL="0" distR="0" simplePos="0" relativeHeight="251255296" behindDoc="1" locked="0" layoutInCell="1" allowOverlap="1" wp14:anchorId="51DEA521" wp14:editId="51DEA522">
            <wp:simplePos x="0" y="0"/>
            <wp:positionH relativeFrom="page">
              <wp:posOffset>905255</wp:posOffset>
            </wp:positionH>
            <wp:positionV relativeFrom="paragraph">
              <wp:posOffset>81949</wp:posOffset>
            </wp:positionV>
            <wp:extent cx="259079" cy="100753"/>
            <wp:effectExtent l="0" t="0" r="0" b="0"/>
            <wp:wrapNone/>
            <wp:docPr id="1255" name="image6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 name="image649.png"/>
                    <pic:cNvPicPr/>
                  </pic:nvPicPr>
                  <pic:blipFill>
                    <a:blip r:embed="rId851" cstate="print"/>
                    <a:stretch>
                      <a:fillRect/>
                    </a:stretch>
                  </pic:blipFill>
                  <pic:spPr>
                    <a:xfrm>
                      <a:off x="0" y="0"/>
                      <a:ext cx="259079" cy="100753"/>
                    </a:xfrm>
                    <a:prstGeom prst="rect">
                      <a:avLst/>
                    </a:prstGeom>
                  </pic:spPr>
                </pic:pic>
              </a:graphicData>
            </a:graphic>
          </wp:anchor>
        </w:drawing>
      </w:r>
      <w:r>
        <w:t>MOFCOM's</w:t>
      </w:r>
      <w:r>
        <w:rPr>
          <w:spacing w:val="-6"/>
        </w:rPr>
        <w:t xml:space="preserve"> </w:t>
      </w:r>
      <w:r>
        <w:t>analysis</w:t>
      </w:r>
      <w:r>
        <w:rPr>
          <w:spacing w:val="-8"/>
        </w:rPr>
        <w:t xml:space="preserve"> </w:t>
      </w:r>
      <w:r>
        <w:t>provides</w:t>
      </w:r>
      <w:r>
        <w:rPr>
          <w:spacing w:val="-8"/>
        </w:rPr>
        <w:t xml:space="preserve"> </w:t>
      </w:r>
      <w:r>
        <w:t>no</w:t>
      </w:r>
      <w:r>
        <w:rPr>
          <w:spacing w:val="-7"/>
        </w:rPr>
        <w:t xml:space="preserve"> </w:t>
      </w:r>
      <w:r>
        <w:t>explanation</w:t>
      </w:r>
      <w:r>
        <w:rPr>
          <w:spacing w:val="-8"/>
        </w:rPr>
        <w:t xml:space="preserve"> </w:t>
      </w:r>
      <w:r>
        <w:t>as</w:t>
      </w:r>
      <w:r>
        <w:rPr>
          <w:spacing w:val="-8"/>
        </w:rPr>
        <w:t xml:space="preserve"> </w:t>
      </w:r>
      <w:r>
        <w:t>to</w:t>
      </w:r>
      <w:r>
        <w:rPr>
          <w:spacing w:val="-7"/>
        </w:rPr>
        <w:t xml:space="preserve"> </w:t>
      </w:r>
      <w:r>
        <w:t>how</w:t>
      </w:r>
      <w:r>
        <w:rPr>
          <w:spacing w:val="-7"/>
        </w:rPr>
        <w:t xml:space="preserve"> </w:t>
      </w:r>
      <w:r>
        <w:t>the</w:t>
      </w:r>
      <w:r>
        <w:rPr>
          <w:spacing w:val="-7"/>
        </w:rPr>
        <w:t xml:space="preserve"> </w:t>
      </w:r>
      <w:r>
        <w:t>volumes</w:t>
      </w:r>
      <w:r>
        <w:rPr>
          <w:spacing w:val="-8"/>
        </w:rPr>
        <w:t xml:space="preserve"> </w:t>
      </w:r>
      <w:r>
        <w:t>and</w:t>
      </w:r>
      <w:r>
        <w:rPr>
          <w:spacing w:val="-9"/>
        </w:rPr>
        <w:t xml:space="preserve"> </w:t>
      </w:r>
      <w:r>
        <w:t>prices</w:t>
      </w:r>
      <w:r>
        <w:rPr>
          <w:spacing w:val="-8"/>
        </w:rPr>
        <w:t xml:space="preserve"> </w:t>
      </w:r>
      <w:r>
        <w:t>of</w:t>
      </w:r>
      <w:r>
        <w:rPr>
          <w:spacing w:val="-8"/>
        </w:rPr>
        <w:t xml:space="preserve"> </w:t>
      </w:r>
      <w:r>
        <w:t>the subject</w:t>
      </w:r>
      <w:r>
        <w:rPr>
          <w:spacing w:val="-6"/>
        </w:rPr>
        <w:t xml:space="preserve"> </w:t>
      </w:r>
      <w:r>
        <w:t>imports</w:t>
      </w:r>
      <w:r>
        <w:rPr>
          <w:spacing w:val="-6"/>
        </w:rPr>
        <w:t xml:space="preserve"> </w:t>
      </w:r>
      <w:r>
        <w:t>had</w:t>
      </w:r>
      <w:r>
        <w:rPr>
          <w:spacing w:val="-6"/>
        </w:rPr>
        <w:t xml:space="preserve"> </w:t>
      </w:r>
      <w:r>
        <w:t>any</w:t>
      </w:r>
      <w:r>
        <w:rPr>
          <w:spacing w:val="-6"/>
        </w:rPr>
        <w:t xml:space="preserve"> </w:t>
      </w:r>
      <w:r>
        <w:t>impact</w:t>
      </w:r>
      <w:r>
        <w:rPr>
          <w:spacing w:val="-6"/>
        </w:rPr>
        <w:t xml:space="preserve"> </w:t>
      </w:r>
      <w:r>
        <w:t>on</w:t>
      </w:r>
      <w:r>
        <w:rPr>
          <w:spacing w:val="-6"/>
        </w:rPr>
        <w:t xml:space="preserve"> </w:t>
      </w:r>
      <w:r>
        <w:t>the</w:t>
      </w:r>
      <w:r>
        <w:rPr>
          <w:spacing w:val="-6"/>
        </w:rPr>
        <w:t xml:space="preserve"> </w:t>
      </w:r>
      <w:r>
        <w:t>relevant</w:t>
      </w:r>
      <w:r>
        <w:rPr>
          <w:spacing w:val="-6"/>
        </w:rPr>
        <w:t xml:space="preserve"> </w:t>
      </w:r>
      <w:r>
        <w:t>economic</w:t>
      </w:r>
      <w:r>
        <w:rPr>
          <w:spacing w:val="-6"/>
        </w:rPr>
        <w:t xml:space="preserve"> </w:t>
      </w:r>
      <w:r>
        <w:t>factors</w:t>
      </w:r>
      <w:r>
        <w:rPr>
          <w:spacing w:val="-6"/>
        </w:rPr>
        <w:t xml:space="preserve"> </w:t>
      </w:r>
      <w:r>
        <w:t>relating</w:t>
      </w:r>
      <w:r>
        <w:rPr>
          <w:spacing w:val="-7"/>
        </w:rPr>
        <w:t xml:space="preserve"> </w:t>
      </w:r>
      <w:r>
        <w:t>to</w:t>
      </w:r>
      <w:r>
        <w:rPr>
          <w:spacing w:val="-6"/>
        </w:rPr>
        <w:t xml:space="preserve"> </w:t>
      </w:r>
      <w:r>
        <w:t>the</w:t>
      </w:r>
      <w:r>
        <w:rPr>
          <w:spacing w:val="-6"/>
        </w:rPr>
        <w:t xml:space="preserve"> </w:t>
      </w:r>
      <w:r>
        <w:t>performance of the domestic industry. Rather, MOFCOM's conclusions consist of bare assertions that "[a]fter a comprehensive analysis of relevant data, the Investigating Authority concluded in the Preliminary Ruling that during the i</w:t>
      </w:r>
      <w:r>
        <w:t>njury investigation period, the production and operation of domestic like products deteriorated, and the domestic wine industry suffered material injury",</w:t>
      </w:r>
      <w:r>
        <w:rPr>
          <w:vertAlign w:val="superscript"/>
        </w:rPr>
        <w:t>734</w:t>
      </w:r>
      <w:r>
        <w:t xml:space="preserve"> and "[u]pon further investigation, the Investigating Authority decided to uphold the conclusions o</w:t>
      </w:r>
      <w:r>
        <w:t>f the Preliminary Ruling".</w:t>
      </w:r>
      <w:r>
        <w:rPr>
          <w:vertAlign w:val="superscript"/>
        </w:rPr>
        <w:t>735</w:t>
      </w:r>
    </w:p>
    <w:p w14:paraId="51DE9090" w14:textId="77777777" w:rsidR="0010369C" w:rsidRDefault="0010369C">
      <w:pPr>
        <w:pStyle w:val="BodyText"/>
        <w:spacing w:before="10"/>
        <w:rPr>
          <w:sz w:val="8"/>
        </w:rPr>
      </w:pPr>
    </w:p>
    <w:p w14:paraId="51DE9091" w14:textId="77777777" w:rsidR="0010369C" w:rsidRDefault="008E43AE">
      <w:pPr>
        <w:pStyle w:val="BodyText"/>
        <w:spacing w:before="52" w:line="360" w:lineRule="auto"/>
        <w:ind w:left="235" w:right="612" w:firstLine="853"/>
        <w:jc w:val="both"/>
      </w:pPr>
      <w:r>
        <w:rPr>
          <w:noProof/>
        </w:rPr>
        <w:drawing>
          <wp:anchor distT="0" distB="0" distL="0" distR="0" simplePos="0" relativeHeight="251256320" behindDoc="1" locked="0" layoutInCell="1" allowOverlap="1" wp14:anchorId="51DEA523" wp14:editId="51DEA524">
            <wp:simplePos x="0" y="0"/>
            <wp:positionH relativeFrom="page">
              <wp:posOffset>905255</wp:posOffset>
            </wp:positionH>
            <wp:positionV relativeFrom="paragraph">
              <wp:posOffset>76785</wp:posOffset>
            </wp:positionV>
            <wp:extent cx="259079" cy="106679"/>
            <wp:effectExtent l="0" t="0" r="0" b="0"/>
            <wp:wrapNone/>
            <wp:docPr id="1257" name="image6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 name="image650.png"/>
                    <pic:cNvPicPr/>
                  </pic:nvPicPr>
                  <pic:blipFill>
                    <a:blip r:embed="rId852" cstate="print"/>
                    <a:stretch>
                      <a:fillRect/>
                    </a:stretch>
                  </pic:blipFill>
                  <pic:spPr>
                    <a:xfrm>
                      <a:off x="0" y="0"/>
                      <a:ext cx="259079" cy="106679"/>
                    </a:xfrm>
                    <a:prstGeom prst="rect">
                      <a:avLst/>
                    </a:prstGeom>
                  </pic:spPr>
                </pic:pic>
              </a:graphicData>
            </a:graphic>
          </wp:anchor>
        </w:drawing>
      </w:r>
      <w:r>
        <w:t>As</w:t>
      </w:r>
      <w:r>
        <w:rPr>
          <w:spacing w:val="-8"/>
        </w:rPr>
        <w:t xml:space="preserve"> </w:t>
      </w:r>
      <w:r>
        <w:t>such,</w:t>
      </w:r>
      <w:r>
        <w:rPr>
          <w:spacing w:val="-7"/>
        </w:rPr>
        <w:t xml:space="preserve"> </w:t>
      </w:r>
      <w:r>
        <w:t>MOFCOM's</w:t>
      </w:r>
      <w:r>
        <w:rPr>
          <w:spacing w:val="-7"/>
        </w:rPr>
        <w:t xml:space="preserve"> </w:t>
      </w:r>
      <w:r>
        <w:t>methodology</w:t>
      </w:r>
      <w:r>
        <w:rPr>
          <w:spacing w:val="-7"/>
        </w:rPr>
        <w:t xml:space="preserve"> </w:t>
      </w:r>
      <w:r>
        <w:t>does</w:t>
      </w:r>
      <w:r>
        <w:rPr>
          <w:spacing w:val="-8"/>
        </w:rPr>
        <w:t xml:space="preserve"> </w:t>
      </w:r>
      <w:r>
        <w:t>not</w:t>
      </w:r>
      <w:r>
        <w:rPr>
          <w:spacing w:val="-7"/>
        </w:rPr>
        <w:t xml:space="preserve"> </w:t>
      </w:r>
      <w:r>
        <w:t>involve</w:t>
      </w:r>
      <w:r>
        <w:rPr>
          <w:spacing w:val="-6"/>
        </w:rPr>
        <w:t xml:space="preserve"> </w:t>
      </w:r>
      <w:r>
        <w:t>a</w:t>
      </w:r>
      <w:r>
        <w:rPr>
          <w:spacing w:val="-7"/>
        </w:rPr>
        <w:t xml:space="preserve"> </w:t>
      </w:r>
      <w:r>
        <w:t>"well‐reasoned</w:t>
      </w:r>
      <w:r>
        <w:rPr>
          <w:spacing w:val="-7"/>
        </w:rPr>
        <w:t xml:space="preserve"> </w:t>
      </w:r>
      <w:r>
        <w:t>and</w:t>
      </w:r>
      <w:r>
        <w:rPr>
          <w:spacing w:val="-9"/>
        </w:rPr>
        <w:t xml:space="preserve"> </w:t>
      </w:r>
      <w:r>
        <w:t>meaningful analysis" of the impact of subject imports on the domestic industry, including through an evaluation of the relevant economic factors or a persua</w:t>
      </w:r>
      <w:r>
        <w:t>sive explanation as to how such an evaluation</w:t>
      </w:r>
      <w:r>
        <w:rPr>
          <w:spacing w:val="-6"/>
        </w:rPr>
        <w:t xml:space="preserve"> </w:t>
      </w:r>
      <w:r>
        <w:t>led</w:t>
      </w:r>
      <w:r>
        <w:rPr>
          <w:spacing w:val="-4"/>
        </w:rPr>
        <w:t xml:space="preserve"> </w:t>
      </w:r>
      <w:r>
        <w:t>to</w:t>
      </w:r>
      <w:r>
        <w:rPr>
          <w:spacing w:val="-4"/>
        </w:rPr>
        <w:t xml:space="preserve"> </w:t>
      </w:r>
      <w:r>
        <w:t>the</w:t>
      </w:r>
      <w:r>
        <w:rPr>
          <w:spacing w:val="-3"/>
        </w:rPr>
        <w:t xml:space="preserve"> </w:t>
      </w:r>
      <w:r>
        <w:t>determination</w:t>
      </w:r>
      <w:r>
        <w:rPr>
          <w:spacing w:val="-4"/>
        </w:rPr>
        <w:t xml:space="preserve"> </w:t>
      </w:r>
      <w:r>
        <w:t>of</w:t>
      </w:r>
      <w:r>
        <w:rPr>
          <w:spacing w:val="-4"/>
        </w:rPr>
        <w:t xml:space="preserve"> </w:t>
      </w:r>
      <w:r>
        <w:t>material</w:t>
      </w:r>
      <w:r>
        <w:rPr>
          <w:spacing w:val="-4"/>
        </w:rPr>
        <w:t xml:space="preserve"> </w:t>
      </w:r>
      <w:r>
        <w:t>injury.</w:t>
      </w:r>
      <w:r>
        <w:rPr>
          <w:spacing w:val="-3"/>
        </w:rPr>
        <w:t xml:space="preserve"> </w:t>
      </w:r>
      <w:r>
        <w:t>As</w:t>
      </w:r>
      <w:r>
        <w:rPr>
          <w:spacing w:val="-5"/>
        </w:rPr>
        <w:t xml:space="preserve"> </w:t>
      </w:r>
      <w:r>
        <w:t>a</w:t>
      </w:r>
      <w:r>
        <w:rPr>
          <w:spacing w:val="-4"/>
        </w:rPr>
        <w:t xml:space="preserve"> </w:t>
      </w:r>
      <w:r>
        <w:t>result,</w:t>
      </w:r>
      <w:r>
        <w:rPr>
          <w:spacing w:val="-5"/>
        </w:rPr>
        <w:t xml:space="preserve"> </w:t>
      </w:r>
      <w:r>
        <w:t>MOFCOM's</w:t>
      </w:r>
      <w:r>
        <w:rPr>
          <w:spacing w:val="-4"/>
        </w:rPr>
        <w:t xml:space="preserve"> </w:t>
      </w:r>
      <w:r>
        <w:t>examination</w:t>
      </w:r>
      <w:r>
        <w:rPr>
          <w:spacing w:val="-5"/>
        </w:rPr>
        <w:t xml:space="preserve"> </w:t>
      </w:r>
      <w:r>
        <w:t>of the impact of the subject imports on the domestic industry is inconsistent with China's obligations under Articles 3.4 and 3.1 of the Anti‐Dumping Agreement.</w:t>
      </w:r>
    </w:p>
    <w:p w14:paraId="51DE9092" w14:textId="77777777" w:rsidR="0010369C" w:rsidRDefault="008E43AE">
      <w:pPr>
        <w:pStyle w:val="ListParagraph"/>
        <w:numPr>
          <w:ilvl w:val="1"/>
          <w:numId w:val="50"/>
        </w:numPr>
        <w:tabs>
          <w:tab w:val="left" w:pos="3643"/>
          <w:tab w:val="left" w:pos="3644"/>
        </w:tabs>
        <w:spacing w:before="159" w:line="362" w:lineRule="auto"/>
        <w:ind w:right="612"/>
        <w:jc w:val="both"/>
        <w:rPr>
          <w:sz w:val="24"/>
        </w:rPr>
      </w:pPr>
      <w:r>
        <w:rPr>
          <w:sz w:val="24"/>
          <w:u w:val="single"/>
        </w:rPr>
        <w:t>MOFCOM failed to adequately consider factors affecting</w:t>
      </w:r>
      <w:r>
        <w:rPr>
          <w:sz w:val="24"/>
        </w:rPr>
        <w:t xml:space="preserve"> </w:t>
      </w:r>
      <w:r>
        <w:rPr>
          <w:sz w:val="24"/>
          <w:u w:val="single"/>
        </w:rPr>
        <w:t>domestic prices</w:t>
      </w:r>
    </w:p>
    <w:p w14:paraId="51DE9093" w14:textId="77777777" w:rsidR="0010369C" w:rsidRDefault="0010369C">
      <w:pPr>
        <w:pStyle w:val="BodyText"/>
        <w:spacing w:before="6"/>
        <w:rPr>
          <w:sz w:val="8"/>
        </w:rPr>
      </w:pPr>
    </w:p>
    <w:p w14:paraId="51DE9094" w14:textId="77777777" w:rsidR="0010369C" w:rsidRDefault="008E43AE">
      <w:pPr>
        <w:pStyle w:val="BodyText"/>
        <w:spacing w:before="51" w:line="360" w:lineRule="auto"/>
        <w:ind w:left="237" w:right="613" w:firstLine="851"/>
        <w:jc w:val="both"/>
      </w:pPr>
      <w:r>
        <w:rPr>
          <w:noProof/>
        </w:rPr>
        <w:drawing>
          <wp:anchor distT="0" distB="0" distL="0" distR="0" simplePos="0" relativeHeight="251257344" behindDoc="1" locked="0" layoutInCell="1" allowOverlap="1" wp14:anchorId="51DEA525" wp14:editId="51DEA526">
            <wp:simplePos x="0" y="0"/>
            <wp:positionH relativeFrom="page">
              <wp:posOffset>905255</wp:posOffset>
            </wp:positionH>
            <wp:positionV relativeFrom="paragraph">
              <wp:posOffset>76150</wp:posOffset>
            </wp:positionV>
            <wp:extent cx="259079" cy="106679"/>
            <wp:effectExtent l="0" t="0" r="0" b="0"/>
            <wp:wrapNone/>
            <wp:docPr id="1259" name="image6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 name="image651.png"/>
                    <pic:cNvPicPr/>
                  </pic:nvPicPr>
                  <pic:blipFill>
                    <a:blip r:embed="rId853" cstate="print"/>
                    <a:stretch>
                      <a:fillRect/>
                    </a:stretch>
                  </pic:blipFill>
                  <pic:spPr>
                    <a:xfrm>
                      <a:off x="0" y="0"/>
                      <a:ext cx="259079" cy="106679"/>
                    </a:xfrm>
                    <a:prstGeom prst="rect">
                      <a:avLst/>
                    </a:prstGeom>
                  </pic:spPr>
                </pic:pic>
              </a:graphicData>
            </a:graphic>
          </wp:anchor>
        </w:drawing>
      </w:r>
      <w:r>
        <w:t>Article 3.4 lists "fac</w:t>
      </w:r>
      <w:r>
        <w:t>tors affecting domestic prices" as one of the relevant factors having a bearing on the state of the domestic industry. Investigating authorities have discretion to determine what specific factors affecting domestic prices are to be considered</w:t>
      </w:r>
    </w:p>
    <w:p w14:paraId="51DE9095" w14:textId="77777777" w:rsidR="0010369C" w:rsidRDefault="0010369C">
      <w:pPr>
        <w:pStyle w:val="BodyText"/>
        <w:rPr>
          <w:sz w:val="20"/>
        </w:rPr>
      </w:pPr>
    </w:p>
    <w:p w14:paraId="51DE9096" w14:textId="77777777" w:rsidR="0010369C" w:rsidRDefault="0010369C">
      <w:pPr>
        <w:pStyle w:val="BodyText"/>
        <w:rPr>
          <w:sz w:val="20"/>
        </w:rPr>
      </w:pPr>
    </w:p>
    <w:p w14:paraId="51DE9097" w14:textId="77777777" w:rsidR="0010369C" w:rsidRDefault="0010369C">
      <w:pPr>
        <w:pStyle w:val="BodyText"/>
        <w:rPr>
          <w:sz w:val="20"/>
        </w:rPr>
      </w:pPr>
    </w:p>
    <w:p w14:paraId="51DE9098" w14:textId="77777777" w:rsidR="0010369C" w:rsidRDefault="008E43AE">
      <w:pPr>
        <w:pStyle w:val="BodyText"/>
        <w:spacing w:before="5"/>
        <w:rPr>
          <w:sz w:val="19"/>
        </w:rPr>
      </w:pPr>
      <w:r>
        <w:pict w14:anchorId="51DEA527">
          <v:rect id="docshape1115" o:spid="_x0000_s1277" style="position:absolute;margin-left:70.9pt;margin-top:13.05pt;width:2in;height:.8pt;z-index:-250809856;mso-wrap-distance-left:0;mso-wrap-distance-right:0;mso-position-horizontal-relative:page" fillcolor="black" stroked="f">
            <w10:wrap type="topAndBottom" anchorx="page"/>
          </v:rect>
        </w:pict>
      </w:r>
    </w:p>
    <w:p w14:paraId="51DE9099" w14:textId="77777777" w:rsidR="0010369C" w:rsidRDefault="008E43AE">
      <w:pPr>
        <w:spacing w:before="109"/>
        <w:ind w:left="238"/>
        <w:rPr>
          <w:sz w:val="18"/>
        </w:rPr>
      </w:pPr>
      <w:r>
        <w:rPr>
          <w:sz w:val="18"/>
          <w:vertAlign w:val="superscript"/>
        </w:rPr>
        <w:t>733</w:t>
      </w:r>
      <w:r>
        <w:rPr>
          <w:spacing w:val="-7"/>
          <w:sz w:val="18"/>
        </w:rPr>
        <w:t xml:space="preserve"> </w:t>
      </w:r>
      <w:r>
        <w:rPr>
          <w:sz w:val="18"/>
        </w:rPr>
        <w:t>Pane</w:t>
      </w:r>
      <w:r>
        <w:rPr>
          <w:sz w:val="18"/>
        </w:rPr>
        <w:t>l</w:t>
      </w:r>
      <w:r>
        <w:rPr>
          <w:spacing w:val="-7"/>
          <w:sz w:val="18"/>
        </w:rPr>
        <w:t xml:space="preserve"> </w:t>
      </w:r>
      <w:r>
        <w:rPr>
          <w:sz w:val="18"/>
        </w:rPr>
        <w:t>Report,</w:t>
      </w:r>
      <w:r>
        <w:rPr>
          <w:spacing w:val="-6"/>
          <w:sz w:val="18"/>
        </w:rPr>
        <w:t xml:space="preserve"> </w:t>
      </w:r>
      <w:r>
        <w:rPr>
          <w:i/>
          <w:sz w:val="18"/>
        </w:rPr>
        <w:t>Thailand</w:t>
      </w:r>
      <w:r>
        <w:rPr>
          <w:i/>
          <w:spacing w:val="-6"/>
          <w:sz w:val="18"/>
        </w:rPr>
        <w:t xml:space="preserve"> </w:t>
      </w:r>
      <w:r>
        <w:rPr>
          <w:i/>
          <w:sz w:val="18"/>
        </w:rPr>
        <w:t>–</w:t>
      </w:r>
      <w:r>
        <w:rPr>
          <w:i/>
          <w:spacing w:val="-6"/>
          <w:sz w:val="18"/>
        </w:rPr>
        <w:t xml:space="preserve"> </w:t>
      </w:r>
      <w:r>
        <w:rPr>
          <w:i/>
          <w:sz w:val="18"/>
        </w:rPr>
        <w:t>H‐Beams</w:t>
      </w:r>
      <w:r>
        <w:rPr>
          <w:sz w:val="18"/>
        </w:rPr>
        <w:t>,</w:t>
      </w:r>
      <w:r>
        <w:rPr>
          <w:spacing w:val="-8"/>
          <w:sz w:val="18"/>
        </w:rPr>
        <w:t xml:space="preserve"> </w:t>
      </w:r>
      <w:r>
        <w:rPr>
          <w:sz w:val="18"/>
        </w:rPr>
        <w:t>para.</w:t>
      </w:r>
      <w:r>
        <w:rPr>
          <w:spacing w:val="-6"/>
          <w:sz w:val="18"/>
        </w:rPr>
        <w:t xml:space="preserve"> </w:t>
      </w:r>
      <w:r>
        <w:rPr>
          <w:spacing w:val="-2"/>
          <w:sz w:val="18"/>
        </w:rPr>
        <w:t>7.236.</w:t>
      </w:r>
    </w:p>
    <w:p w14:paraId="51DE909A" w14:textId="77777777" w:rsidR="0010369C" w:rsidRDefault="008E43AE">
      <w:pPr>
        <w:ind w:left="238"/>
        <w:rPr>
          <w:sz w:val="18"/>
        </w:rPr>
      </w:pPr>
      <w:r>
        <w:rPr>
          <w:sz w:val="18"/>
          <w:vertAlign w:val="superscript"/>
        </w:rPr>
        <w:t>734</w:t>
      </w:r>
      <w:r>
        <w:rPr>
          <w:spacing w:val="-9"/>
          <w:sz w:val="18"/>
        </w:rPr>
        <w:t xml:space="preserve"> </w:t>
      </w:r>
      <w:r>
        <w:rPr>
          <w:sz w:val="18"/>
        </w:rPr>
        <w:t>Anti‐Dumping</w:t>
      </w:r>
      <w:r>
        <w:rPr>
          <w:spacing w:val="-9"/>
          <w:sz w:val="18"/>
        </w:rPr>
        <w:t xml:space="preserve"> </w:t>
      </w:r>
      <w:r>
        <w:rPr>
          <w:sz w:val="18"/>
        </w:rPr>
        <w:t>Final</w:t>
      </w:r>
      <w:r>
        <w:rPr>
          <w:spacing w:val="-9"/>
          <w:sz w:val="18"/>
        </w:rPr>
        <w:t xml:space="preserve"> </w:t>
      </w:r>
      <w:r>
        <w:rPr>
          <w:sz w:val="18"/>
        </w:rPr>
        <w:t>Determination</w:t>
      </w:r>
      <w:r>
        <w:rPr>
          <w:spacing w:val="-8"/>
          <w:sz w:val="18"/>
        </w:rPr>
        <w:t xml:space="preserve"> </w:t>
      </w:r>
      <w:r>
        <w:rPr>
          <w:sz w:val="18"/>
        </w:rPr>
        <w:t>(Exhibit</w:t>
      </w:r>
      <w:r>
        <w:rPr>
          <w:spacing w:val="-9"/>
          <w:sz w:val="18"/>
        </w:rPr>
        <w:t xml:space="preserve"> </w:t>
      </w:r>
      <w:r>
        <w:rPr>
          <w:sz w:val="18"/>
        </w:rPr>
        <w:t>AUS‐2),</w:t>
      </w:r>
      <w:r>
        <w:rPr>
          <w:spacing w:val="-9"/>
          <w:sz w:val="18"/>
        </w:rPr>
        <w:t xml:space="preserve"> </w:t>
      </w:r>
      <w:r>
        <w:rPr>
          <w:sz w:val="18"/>
        </w:rPr>
        <w:t>p.</w:t>
      </w:r>
      <w:r>
        <w:rPr>
          <w:spacing w:val="-9"/>
          <w:sz w:val="18"/>
        </w:rPr>
        <w:t xml:space="preserve"> </w:t>
      </w:r>
      <w:r>
        <w:rPr>
          <w:spacing w:val="-4"/>
          <w:sz w:val="18"/>
        </w:rPr>
        <w:t>131.</w:t>
      </w:r>
    </w:p>
    <w:p w14:paraId="51DE909B" w14:textId="77777777" w:rsidR="0010369C" w:rsidRDefault="008E43AE">
      <w:pPr>
        <w:ind w:left="238"/>
        <w:rPr>
          <w:sz w:val="18"/>
        </w:rPr>
      </w:pPr>
      <w:r>
        <w:rPr>
          <w:sz w:val="18"/>
          <w:vertAlign w:val="superscript"/>
        </w:rPr>
        <w:t>735</w:t>
      </w:r>
      <w:r>
        <w:rPr>
          <w:spacing w:val="-9"/>
          <w:sz w:val="18"/>
        </w:rPr>
        <w:t xml:space="preserve"> </w:t>
      </w:r>
      <w:r>
        <w:rPr>
          <w:sz w:val="18"/>
        </w:rPr>
        <w:t>Anti‐Dumping</w:t>
      </w:r>
      <w:r>
        <w:rPr>
          <w:spacing w:val="-9"/>
          <w:sz w:val="18"/>
        </w:rPr>
        <w:t xml:space="preserve"> </w:t>
      </w:r>
      <w:r>
        <w:rPr>
          <w:sz w:val="18"/>
        </w:rPr>
        <w:t>Final</w:t>
      </w:r>
      <w:r>
        <w:rPr>
          <w:spacing w:val="-9"/>
          <w:sz w:val="18"/>
        </w:rPr>
        <w:t xml:space="preserve"> </w:t>
      </w:r>
      <w:r>
        <w:rPr>
          <w:sz w:val="18"/>
        </w:rPr>
        <w:t>Determination</w:t>
      </w:r>
      <w:r>
        <w:rPr>
          <w:spacing w:val="-8"/>
          <w:sz w:val="18"/>
        </w:rPr>
        <w:t xml:space="preserve"> </w:t>
      </w:r>
      <w:r>
        <w:rPr>
          <w:sz w:val="18"/>
        </w:rPr>
        <w:t>(Exhibit</w:t>
      </w:r>
      <w:r>
        <w:rPr>
          <w:spacing w:val="-9"/>
          <w:sz w:val="18"/>
        </w:rPr>
        <w:t xml:space="preserve"> </w:t>
      </w:r>
      <w:r>
        <w:rPr>
          <w:sz w:val="18"/>
        </w:rPr>
        <w:t>AUS‐2),</w:t>
      </w:r>
      <w:r>
        <w:rPr>
          <w:spacing w:val="-9"/>
          <w:sz w:val="18"/>
        </w:rPr>
        <w:t xml:space="preserve"> </w:t>
      </w:r>
      <w:r>
        <w:rPr>
          <w:sz w:val="18"/>
        </w:rPr>
        <w:t>p.</w:t>
      </w:r>
      <w:r>
        <w:rPr>
          <w:spacing w:val="-9"/>
          <w:sz w:val="18"/>
        </w:rPr>
        <w:t xml:space="preserve"> </w:t>
      </w:r>
      <w:r>
        <w:rPr>
          <w:spacing w:val="-4"/>
          <w:sz w:val="18"/>
        </w:rPr>
        <w:t>134.</w:t>
      </w:r>
    </w:p>
    <w:p w14:paraId="51DE909C" w14:textId="77777777" w:rsidR="0010369C" w:rsidRDefault="0010369C">
      <w:pPr>
        <w:rPr>
          <w:sz w:val="18"/>
        </w:rPr>
        <w:sectPr w:rsidR="0010369C">
          <w:pgSz w:w="11910" w:h="16840"/>
          <w:pgMar w:top="880" w:right="800" w:bottom="980" w:left="1180" w:header="569" w:footer="788" w:gutter="0"/>
          <w:cols w:space="720"/>
        </w:sectPr>
      </w:pPr>
    </w:p>
    <w:p w14:paraId="51DE909D" w14:textId="77777777" w:rsidR="0010369C" w:rsidRDefault="008E43AE">
      <w:pPr>
        <w:tabs>
          <w:tab w:val="left" w:pos="6426"/>
        </w:tabs>
        <w:ind w:left="238"/>
        <w:jc w:val="both"/>
        <w:rPr>
          <w:sz w:val="20"/>
        </w:rPr>
      </w:pPr>
      <w:r>
        <w:rPr>
          <w:i/>
          <w:sz w:val="20"/>
        </w:rPr>
        <w:lastRenderedPageBreak/>
        <w:t>China</w:t>
      </w:r>
      <w:r>
        <w:rPr>
          <w:i/>
          <w:spacing w:val="-5"/>
          <w:sz w:val="20"/>
        </w:rPr>
        <w:t xml:space="preserve"> </w:t>
      </w:r>
      <w:r>
        <w:rPr>
          <w:i/>
          <w:sz w:val="20"/>
        </w:rPr>
        <w:t>–</w:t>
      </w:r>
      <w:r>
        <w:rPr>
          <w:i/>
          <w:spacing w:val="-5"/>
          <w:sz w:val="20"/>
        </w:rPr>
        <w:t xml:space="preserve"> </w:t>
      </w:r>
      <w:r>
        <w:rPr>
          <w:i/>
          <w:sz w:val="20"/>
        </w:rPr>
        <w:t>Anti‐Dumping</w:t>
      </w:r>
      <w:r>
        <w:rPr>
          <w:i/>
          <w:spacing w:val="-4"/>
          <w:sz w:val="20"/>
        </w:rPr>
        <w:t xml:space="preserve"> </w:t>
      </w:r>
      <w:r>
        <w:rPr>
          <w:i/>
          <w:sz w:val="20"/>
        </w:rPr>
        <w:t>and</w:t>
      </w:r>
      <w:r>
        <w:rPr>
          <w:i/>
          <w:spacing w:val="-5"/>
          <w:sz w:val="20"/>
        </w:rPr>
        <w:t xml:space="preserve"> </w:t>
      </w:r>
      <w:r>
        <w:rPr>
          <w:i/>
          <w:sz w:val="20"/>
        </w:rPr>
        <w:t>Countervailing</w:t>
      </w:r>
      <w:r>
        <w:rPr>
          <w:i/>
          <w:spacing w:val="-5"/>
          <w:sz w:val="20"/>
        </w:rPr>
        <w:t xml:space="preserve"> </w:t>
      </w:r>
      <w:r>
        <w:rPr>
          <w:i/>
          <w:sz w:val="20"/>
        </w:rPr>
        <w:t>Duty</w:t>
      </w:r>
      <w:r>
        <w:rPr>
          <w:i/>
          <w:spacing w:val="-4"/>
          <w:sz w:val="20"/>
        </w:rPr>
        <w:t xml:space="preserve"> </w:t>
      </w:r>
      <w:r>
        <w:rPr>
          <w:i/>
          <w:spacing w:val="-2"/>
          <w:sz w:val="20"/>
        </w:rPr>
        <w:t>Measures</w:t>
      </w:r>
      <w:r>
        <w:rPr>
          <w:i/>
          <w:sz w:val="20"/>
        </w:rPr>
        <w:tab/>
      </w:r>
      <w:r>
        <w:rPr>
          <w:sz w:val="20"/>
        </w:rPr>
        <w:t>Australia's</w:t>
      </w:r>
      <w:r>
        <w:rPr>
          <w:spacing w:val="-7"/>
          <w:sz w:val="20"/>
        </w:rPr>
        <w:t xml:space="preserve"> </w:t>
      </w:r>
      <w:r>
        <w:rPr>
          <w:sz w:val="20"/>
        </w:rPr>
        <w:t>First</w:t>
      </w:r>
      <w:r>
        <w:rPr>
          <w:spacing w:val="-2"/>
          <w:sz w:val="20"/>
        </w:rPr>
        <w:t xml:space="preserve"> </w:t>
      </w:r>
      <w:r>
        <w:rPr>
          <w:sz w:val="20"/>
        </w:rPr>
        <w:t>Written</w:t>
      </w:r>
      <w:r>
        <w:rPr>
          <w:spacing w:val="-2"/>
          <w:sz w:val="20"/>
        </w:rPr>
        <w:t xml:space="preserve"> Submission</w:t>
      </w:r>
    </w:p>
    <w:p w14:paraId="51DE909E" w14:textId="77777777" w:rsidR="0010369C" w:rsidRDefault="008E43AE">
      <w:pPr>
        <w:tabs>
          <w:tab w:val="left" w:pos="8228"/>
        </w:tabs>
        <w:spacing w:before="1"/>
        <w:ind w:left="239"/>
        <w:jc w:val="both"/>
        <w:rPr>
          <w:sz w:val="20"/>
        </w:rPr>
      </w:pPr>
      <w:r>
        <w:rPr>
          <w:i/>
          <w:sz w:val="20"/>
        </w:rPr>
        <w:t>on</w:t>
      </w:r>
      <w:r>
        <w:rPr>
          <w:i/>
          <w:spacing w:val="-1"/>
          <w:sz w:val="20"/>
        </w:rPr>
        <w:t xml:space="preserve"> </w:t>
      </w:r>
      <w:r>
        <w:rPr>
          <w:i/>
          <w:sz w:val="20"/>
        </w:rPr>
        <w:t>Wine</w:t>
      </w:r>
      <w:r>
        <w:rPr>
          <w:i/>
          <w:spacing w:val="-1"/>
          <w:sz w:val="20"/>
        </w:rPr>
        <w:t xml:space="preserve"> </w:t>
      </w:r>
      <w:r>
        <w:rPr>
          <w:i/>
          <w:sz w:val="20"/>
        </w:rPr>
        <w:t>from</w:t>
      </w:r>
      <w:r>
        <w:rPr>
          <w:i/>
          <w:spacing w:val="-3"/>
          <w:sz w:val="20"/>
        </w:rPr>
        <w:t xml:space="preserve"> </w:t>
      </w:r>
      <w:r>
        <w:rPr>
          <w:i/>
          <w:sz w:val="20"/>
        </w:rPr>
        <w:t>Australia</w:t>
      </w:r>
      <w:r>
        <w:rPr>
          <w:i/>
          <w:spacing w:val="-1"/>
          <w:sz w:val="20"/>
        </w:rPr>
        <w:t xml:space="preserve"> </w:t>
      </w:r>
      <w:r>
        <w:rPr>
          <w:spacing w:val="-2"/>
          <w:sz w:val="20"/>
        </w:rPr>
        <w:t>(DS602)</w:t>
      </w:r>
      <w:r>
        <w:rPr>
          <w:sz w:val="20"/>
        </w:rPr>
        <w:tab/>
        <w:t>29</w:t>
      </w:r>
      <w:r>
        <w:rPr>
          <w:spacing w:val="-1"/>
          <w:sz w:val="20"/>
        </w:rPr>
        <w:t xml:space="preserve"> </w:t>
      </w:r>
      <w:r>
        <w:rPr>
          <w:sz w:val="20"/>
        </w:rPr>
        <w:t>April</w:t>
      </w:r>
      <w:r>
        <w:rPr>
          <w:spacing w:val="-2"/>
          <w:sz w:val="20"/>
        </w:rPr>
        <w:t xml:space="preserve"> </w:t>
      </w:r>
      <w:r>
        <w:rPr>
          <w:spacing w:val="-4"/>
          <w:sz w:val="20"/>
        </w:rPr>
        <w:t>2022</w:t>
      </w:r>
    </w:p>
    <w:p w14:paraId="51DE909F" w14:textId="77777777" w:rsidR="0010369C" w:rsidRDefault="008E43AE">
      <w:pPr>
        <w:pStyle w:val="BodyText"/>
        <w:spacing w:before="34" w:line="360" w:lineRule="auto"/>
        <w:ind w:left="238" w:right="613"/>
        <w:jc w:val="both"/>
      </w:pPr>
      <w:r>
        <w:t>in any given case.</w:t>
      </w:r>
      <w:r>
        <w:rPr>
          <w:vertAlign w:val="superscript"/>
        </w:rPr>
        <w:t>736</w:t>
      </w:r>
      <w:r>
        <w:t xml:space="preserve"> However, once interested parties have demonstrated that a factor may be relevant to the state of the domestic industry, an investigating authority "is t</w:t>
      </w:r>
      <w:r>
        <w:t>asked with objectively examining such evidence".</w:t>
      </w:r>
      <w:r>
        <w:rPr>
          <w:vertAlign w:val="superscript"/>
        </w:rPr>
        <w:t>737</w:t>
      </w:r>
    </w:p>
    <w:p w14:paraId="51DE90A0" w14:textId="77777777" w:rsidR="0010369C" w:rsidRDefault="0010369C">
      <w:pPr>
        <w:pStyle w:val="BodyText"/>
        <w:spacing w:before="11"/>
        <w:rPr>
          <w:sz w:val="8"/>
        </w:rPr>
      </w:pPr>
    </w:p>
    <w:p w14:paraId="51DE90A1" w14:textId="77777777" w:rsidR="0010369C" w:rsidRDefault="008E43AE">
      <w:pPr>
        <w:pStyle w:val="BodyText"/>
        <w:spacing w:before="52" w:line="360" w:lineRule="auto"/>
        <w:ind w:left="237" w:right="613" w:firstLine="851"/>
        <w:jc w:val="both"/>
      </w:pPr>
      <w:r>
        <w:rPr>
          <w:noProof/>
        </w:rPr>
        <w:drawing>
          <wp:anchor distT="0" distB="0" distL="0" distR="0" simplePos="0" relativeHeight="251258368" behindDoc="1" locked="0" layoutInCell="1" allowOverlap="1" wp14:anchorId="51DEA528" wp14:editId="51DEA529">
            <wp:simplePos x="0" y="0"/>
            <wp:positionH relativeFrom="page">
              <wp:posOffset>905255</wp:posOffset>
            </wp:positionH>
            <wp:positionV relativeFrom="paragraph">
              <wp:posOffset>80595</wp:posOffset>
            </wp:positionV>
            <wp:extent cx="259079" cy="103631"/>
            <wp:effectExtent l="0" t="0" r="0" b="0"/>
            <wp:wrapNone/>
            <wp:docPr id="1261" name="image6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 name="image652.png"/>
                    <pic:cNvPicPr/>
                  </pic:nvPicPr>
                  <pic:blipFill>
                    <a:blip r:embed="rId854" cstate="print"/>
                    <a:stretch>
                      <a:fillRect/>
                    </a:stretch>
                  </pic:blipFill>
                  <pic:spPr>
                    <a:xfrm>
                      <a:off x="0" y="0"/>
                      <a:ext cx="259079" cy="103631"/>
                    </a:xfrm>
                    <a:prstGeom prst="rect">
                      <a:avLst/>
                    </a:prstGeom>
                  </pic:spPr>
                </pic:pic>
              </a:graphicData>
            </a:graphic>
          </wp:anchor>
        </w:drawing>
      </w:r>
      <w:r>
        <w:t>During the investigation, MOFCOM sought information from Chinese domestic producers regarding the "factors that your company believes affect price changes of your company's like product".</w:t>
      </w:r>
      <w:r>
        <w:rPr>
          <w:vertAlign w:val="superscript"/>
        </w:rPr>
        <w:t>738</w:t>
      </w:r>
      <w:r>
        <w:t xml:space="preserve"> All 21 Chinese producers informed MOFCOM that three main factors</w:t>
      </w:r>
      <w:r>
        <w:rPr>
          <w:spacing w:val="-8"/>
        </w:rPr>
        <w:t xml:space="preserve"> </w:t>
      </w:r>
      <w:r>
        <w:t>affected</w:t>
      </w:r>
      <w:r>
        <w:rPr>
          <w:spacing w:val="-8"/>
        </w:rPr>
        <w:t xml:space="preserve"> </w:t>
      </w:r>
      <w:r>
        <w:t>domestic</w:t>
      </w:r>
      <w:r>
        <w:rPr>
          <w:spacing w:val="-5"/>
        </w:rPr>
        <w:t xml:space="preserve"> </w:t>
      </w:r>
      <w:r>
        <w:t>prices:</w:t>
      </w:r>
      <w:r>
        <w:rPr>
          <w:spacing w:val="-6"/>
        </w:rPr>
        <w:t xml:space="preserve"> </w:t>
      </w:r>
      <w:r>
        <w:t>(i)</w:t>
      </w:r>
      <w:r>
        <w:rPr>
          <w:spacing w:val="-7"/>
        </w:rPr>
        <w:t xml:space="preserve"> </w:t>
      </w:r>
      <w:r>
        <w:t>market</w:t>
      </w:r>
      <w:r>
        <w:rPr>
          <w:spacing w:val="-8"/>
        </w:rPr>
        <w:t xml:space="preserve"> </w:t>
      </w:r>
      <w:r>
        <w:t>supply</w:t>
      </w:r>
      <w:r>
        <w:rPr>
          <w:spacing w:val="-7"/>
        </w:rPr>
        <w:t xml:space="preserve"> </w:t>
      </w:r>
      <w:r>
        <w:t>and</w:t>
      </w:r>
      <w:r>
        <w:rPr>
          <w:spacing w:val="-8"/>
        </w:rPr>
        <w:t xml:space="preserve"> </w:t>
      </w:r>
      <w:r>
        <w:t>demand;</w:t>
      </w:r>
      <w:r>
        <w:rPr>
          <w:spacing w:val="-6"/>
        </w:rPr>
        <w:t xml:space="preserve"> </w:t>
      </w:r>
      <w:r>
        <w:t>(ii)</w:t>
      </w:r>
      <w:r>
        <w:rPr>
          <w:spacing w:val="-7"/>
        </w:rPr>
        <w:t xml:space="preserve"> </w:t>
      </w:r>
      <w:r>
        <w:t>changes</w:t>
      </w:r>
      <w:r>
        <w:rPr>
          <w:spacing w:val="-8"/>
        </w:rPr>
        <w:t xml:space="preserve"> </w:t>
      </w:r>
      <w:r>
        <w:t>in</w:t>
      </w:r>
      <w:r>
        <w:rPr>
          <w:spacing w:val="-8"/>
        </w:rPr>
        <w:t xml:space="preserve"> </w:t>
      </w:r>
      <w:r>
        <w:t>the</w:t>
      </w:r>
      <w:r>
        <w:rPr>
          <w:spacing w:val="-7"/>
        </w:rPr>
        <w:t xml:space="preserve"> </w:t>
      </w:r>
      <w:r>
        <w:t>cost</w:t>
      </w:r>
      <w:r>
        <w:rPr>
          <w:spacing w:val="-7"/>
        </w:rPr>
        <w:t xml:space="preserve"> </w:t>
      </w:r>
      <w:r>
        <w:t>of</w:t>
      </w:r>
      <w:r>
        <w:rPr>
          <w:spacing w:val="-8"/>
        </w:rPr>
        <w:t xml:space="preserve"> </w:t>
      </w:r>
      <w:r>
        <w:t>raw materials; and (iii) import quantities and prices of subject imports.</w:t>
      </w:r>
      <w:r>
        <w:rPr>
          <w:vertAlign w:val="superscript"/>
        </w:rPr>
        <w:t>739</w:t>
      </w:r>
      <w:r>
        <w:t xml:space="preserve"> In its evaluation of the dome</w:t>
      </w:r>
      <w:r>
        <w:t xml:space="preserve">stic industry, MOFCOM failed to adequately examine the impact of market supply and demand on domestic prices and did not consider the cost of raw materials at all. Rather, MOFCOM simply asserted that the price of domestic like products was affected solely </w:t>
      </w:r>
      <w:r>
        <w:t xml:space="preserve">by the "continuous significant increase in the absolute volume and market share of the dumped imported products, and the cumulative decline in the price of the dumped imported </w:t>
      </w:r>
      <w:r>
        <w:rPr>
          <w:spacing w:val="-2"/>
        </w:rPr>
        <w:t>products".</w:t>
      </w:r>
      <w:r>
        <w:rPr>
          <w:spacing w:val="-2"/>
          <w:vertAlign w:val="superscript"/>
        </w:rPr>
        <w:t>740</w:t>
      </w:r>
    </w:p>
    <w:p w14:paraId="51DE90A2" w14:textId="77777777" w:rsidR="0010369C" w:rsidRDefault="008E43AE">
      <w:pPr>
        <w:pStyle w:val="ListParagraph"/>
        <w:numPr>
          <w:ilvl w:val="2"/>
          <w:numId w:val="50"/>
        </w:numPr>
        <w:tabs>
          <w:tab w:val="left" w:pos="4493"/>
          <w:tab w:val="left" w:pos="4494"/>
        </w:tabs>
        <w:spacing w:before="160"/>
        <w:ind w:hanging="852"/>
        <w:jc w:val="both"/>
        <w:rPr>
          <w:i/>
          <w:sz w:val="24"/>
        </w:rPr>
      </w:pPr>
      <w:r>
        <w:rPr>
          <w:i/>
          <w:sz w:val="24"/>
        </w:rPr>
        <w:t>Market</w:t>
      </w:r>
      <w:r>
        <w:rPr>
          <w:i/>
          <w:spacing w:val="-9"/>
          <w:sz w:val="24"/>
        </w:rPr>
        <w:t xml:space="preserve"> </w:t>
      </w:r>
      <w:r>
        <w:rPr>
          <w:i/>
          <w:sz w:val="24"/>
        </w:rPr>
        <w:t>supply</w:t>
      </w:r>
      <w:r>
        <w:rPr>
          <w:i/>
          <w:spacing w:val="-8"/>
          <w:sz w:val="24"/>
        </w:rPr>
        <w:t xml:space="preserve"> </w:t>
      </w:r>
      <w:r>
        <w:rPr>
          <w:i/>
          <w:sz w:val="24"/>
        </w:rPr>
        <w:t>and</w:t>
      </w:r>
      <w:r>
        <w:rPr>
          <w:i/>
          <w:spacing w:val="-8"/>
          <w:sz w:val="24"/>
        </w:rPr>
        <w:t xml:space="preserve"> </w:t>
      </w:r>
      <w:r>
        <w:rPr>
          <w:i/>
          <w:spacing w:val="-2"/>
          <w:sz w:val="24"/>
        </w:rPr>
        <w:t>demand</w:t>
      </w:r>
    </w:p>
    <w:p w14:paraId="51DE90A3" w14:textId="77777777" w:rsidR="0010369C" w:rsidRDefault="0010369C">
      <w:pPr>
        <w:pStyle w:val="BodyText"/>
        <w:spacing w:before="10"/>
        <w:rPr>
          <w:i/>
          <w:sz w:val="20"/>
        </w:rPr>
      </w:pPr>
    </w:p>
    <w:p w14:paraId="51DE90A4" w14:textId="77777777" w:rsidR="0010369C" w:rsidRDefault="008E43AE">
      <w:pPr>
        <w:pStyle w:val="BodyText"/>
        <w:spacing w:before="52" w:line="360" w:lineRule="auto"/>
        <w:ind w:left="238" w:right="611" w:firstLine="850"/>
      </w:pPr>
      <w:r>
        <w:rPr>
          <w:noProof/>
        </w:rPr>
        <w:drawing>
          <wp:anchor distT="0" distB="0" distL="0" distR="0" simplePos="0" relativeHeight="251259392" behindDoc="1" locked="0" layoutInCell="1" allowOverlap="1" wp14:anchorId="51DEA52A" wp14:editId="51DEA52B">
            <wp:simplePos x="0" y="0"/>
            <wp:positionH relativeFrom="page">
              <wp:posOffset>905255</wp:posOffset>
            </wp:positionH>
            <wp:positionV relativeFrom="paragraph">
              <wp:posOffset>76785</wp:posOffset>
            </wp:positionV>
            <wp:extent cx="259079" cy="106679"/>
            <wp:effectExtent l="0" t="0" r="0" b="0"/>
            <wp:wrapNone/>
            <wp:docPr id="1263" name="image6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 name="image653.png"/>
                    <pic:cNvPicPr/>
                  </pic:nvPicPr>
                  <pic:blipFill>
                    <a:blip r:embed="rId855" cstate="print"/>
                    <a:stretch>
                      <a:fillRect/>
                    </a:stretch>
                  </pic:blipFill>
                  <pic:spPr>
                    <a:xfrm>
                      <a:off x="0" y="0"/>
                      <a:ext cx="259079" cy="106679"/>
                    </a:xfrm>
                    <a:prstGeom prst="rect">
                      <a:avLst/>
                    </a:prstGeom>
                  </pic:spPr>
                </pic:pic>
              </a:graphicData>
            </a:graphic>
          </wp:anchor>
        </w:drawing>
      </w:r>
      <w:r>
        <w:t>Despite the</w:t>
      </w:r>
      <w:r>
        <w:rPr>
          <w:spacing w:val="-2"/>
        </w:rPr>
        <w:t xml:space="preserve"> </w:t>
      </w:r>
      <w:r>
        <w:t>responses</w:t>
      </w:r>
      <w:r>
        <w:rPr>
          <w:spacing w:val="-1"/>
        </w:rPr>
        <w:t xml:space="preserve"> </w:t>
      </w:r>
      <w:r>
        <w:t>supplied by the C</w:t>
      </w:r>
      <w:r>
        <w:t>hinese</w:t>
      </w:r>
      <w:r>
        <w:rPr>
          <w:spacing w:val="-1"/>
        </w:rPr>
        <w:t xml:space="preserve"> </w:t>
      </w:r>
      <w:r>
        <w:t xml:space="preserve">domestic producers, which indicated </w:t>
      </w:r>
      <w:r>
        <w:rPr>
          <w:w w:val="95"/>
        </w:rPr>
        <w:t>that</w:t>
      </w:r>
      <w:r>
        <w:rPr>
          <w:spacing w:val="11"/>
        </w:rPr>
        <w:t xml:space="preserve"> </w:t>
      </w:r>
      <w:r>
        <w:rPr>
          <w:w w:val="95"/>
        </w:rPr>
        <w:t>market</w:t>
      </w:r>
      <w:r>
        <w:rPr>
          <w:spacing w:val="9"/>
        </w:rPr>
        <w:t xml:space="preserve"> </w:t>
      </w:r>
      <w:r>
        <w:rPr>
          <w:w w:val="95"/>
        </w:rPr>
        <w:t>supply</w:t>
      </w:r>
      <w:r>
        <w:rPr>
          <w:spacing w:val="13"/>
        </w:rPr>
        <w:t xml:space="preserve"> </w:t>
      </w:r>
      <w:r>
        <w:rPr>
          <w:w w:val="95"/>
        </w:rPr>
        <w:t>and</w:t>
      </w:r>
      <w:r>
        <w:rPr>
          <w:spacing w:val="11"/>
        </w:rPr>
        <w:t xml:space="preserve"> </w:t>
      </w:r>
      <w:r>
        <w:rPr>
          <w:w w:val="95"/>
        </w:rPr>
        <w:t>demand</w:t>
      </w:r>
      <w:r>
        <w:rPr>
          <w:spacing w:val="12"/>
        </w:rPr>
        <w:t xml:space="preserve"> </w:t>
      </w:r>
      <w:r>
        <w:rPr>
          <w:w w:val="95"/>
        </w:rPr>
        <w:t>constituted</w:t>
      </w:r>
      <w:r>
        <w:rPr>
          <w:spacing w:val="11"/>
        </w:rPr>
        <w:t xml:space="preserve"> </w:t>
      </w:r>
      <w:r>
        <w:rPr>
          <w:w w:val="95"/>
        </w:rPr>
        <w:t>a</w:t>
      </w:r>
      <w:r>
        <w:rPr>
          <w:spacing w:val="11"/>
        </w:rPr>
        <w:t xml:space="preserve"> </w:t>
      </w:r>
      <w:r>
        <w:rPr>
          <w:w w:val="95"/>
        </w:rPr>
        <w:t>main</w:t>
      </w:r>
      <w:r>
        <w:rPr>
          <w:spacing w:val="11"/>
        </w:rPr>
        <w:t xml:space="preserve"> </w:t>
      </w:r>
      <w:r>
        <w:rPr>
          <w:w w:val="95"/>
        </w:rPr>
        <w:t>factor</w:t>
      </w:r>
      <w:r>
        <w:rPr>
          <w:spacing w:val="10"/>
        </w:rPr>
        <w:t xml:space="preserve"> </w:t>
      </w:r>
      <w:r>
        <w:rPr>
          <w:w w:val="95"/>
        </w:rPr>
        <w:t>affecting</w:t>
      </w:r>
      <w:r>
        <w:rPr>
          <w:spacing w:val="11"/>
        </w:rPr>
        <w:t xml:space="preserve"> </w:t>
      </w:r>
      <w:r>
        <w:rPr>
          <w:w w:val="95"/>
        </w:rPr>
        <w:t>domestic</w:t>
      </w:r>
      <w:r>
        <w:rPr>
          <w:spacing w:val="14"/>
        </w:rPr>
        <w:t xml:space="preserve"> </w:t>
      </w:r>
      <w:r>
        <w:rPr>
          <w:w w:val="95"/>
        </w:rPr>
        <w:t>prices,</w:t>
      </w:r>
      <w:r>
        <w:rPr>
          <w:spacing w:val="12"/>
        </w:rPr>
        <w:t xml:space="preserve"> </w:t>
      </w:r>
      <w:r>
        <w:rPr>
          <w:spacing w:val="-2"/>
          <w:w w:val="95"/>
        </w:rPr>
        <w:t>MOFCOM</w:t>
      </w:r>
    </w:p>
    <w:p w14:paraId="51DE90A5" w14:textId="77777777" w:rsidR="0010369C" w:rsidRDefault="0010369C">
      <w:pPr>
        <w:pStyle w:val="BodyText"/>
        <w:rPr>
          <w:sz w:val="20"/>
        </w:rPr>
      </w:pPr>
    </w:p>
    <w:p w14:paraId="51DE90A6" w14:textId="77777777" w:rsidR="0010369C" w:rsidRDefault="008E43AE">
      <w:pPr>
        <w:pStyle w:val="BodyText"/>
        <w:spacing w:before="6"/>
        <w:rPr>
          <w:sz w:val="13"/>
        </w:rPr>
      </w:pPr>
      <w:r>
        <w:pict w14:anchorId="51DEA52C">
          <v:rect id="docshape1116" o:spid="_x0000_s1276" style="position:absolute;margin-left:70.9pt;margin-top:9.45pt;width:2in;height:.8pt;z-index:-250808832;mso-wrap-distance-left:0;mso-wrap-distance-right:0;mso-position-horizontal-relative:page" fillcolor="black" stroked="f">
            <w10:wrap type="topAndBottom" anchorx="page"/>
          </v:rect>
        </w:pict>
      </w:r>
    </w:p>
    <w:p w14:paraId="51DE90A7" w14:textId="77777777" w:rsidR="0010369C" w:rsidRDefault="008E43AE">
      <w:pPr>
        <w:spacing w:before="109"/>
        <w:ind w:left="239" w:right="613" w:hanging="1"/>
        <w:jc w:val="both"/>
        <w:rPr>
          <w:sz w:val="18"/>
        </w:rPr>
      </w:pPr>
      <w:r>
        <w:rPr>
          <w:sz w:val="18"/>
          <w:vertAlign w:val="superscript"/>
        </w:rPr>
        <w:t>736</w:t>
      </w:r>
      <w:r>
        <w:rPr>
          <w:sz w:val="18"/>
        </w:rPr>
        <w:t xml:space="preserve"> Panel Reports, </w:t>
      </w:r>
      <w:r>
        <w:rPr>
          <w:i/>
          <w:sz w:val="18"/>
        </w:rPr>
        <w:t xml:space="preserve">Morocco </w:t>
      </w:r>
      <w:r>
        <w:rPr>
          <w:sz w:val="18"/>
        </w:rPr>
        <w:t xml:space="preserve">‐ </w:t>
      </w:r>
      <w:r>
        <w:rPr>
          <w:i/>
          <w:sz w:val="18"/>
        </w:rPr>
        <w:t>Hot‐Rolled Steel (Turkey)</w:t>
      </w:r>
      <w:r>
        <w:rPr>
          <w:sz w:val="18"/>
        </w:rPr>
        <w:t xml:space="preserve">, para. 7.260; </w:t>
      </w:r>
      <w:r>
        <w:rPr>
          <w:i/>
          <w:sz w:val="18"/>
        </w:rPr>
        <w:t>Egypt – Steel Rebar (Turkey)</w:t>
      </w:r>
      <w:r>
        <w:rPr>
          <w:sz w:val="18"/>
        </w:rPr>
        <w:t xml:space="preserve">, para. 7.65; </w:t>
      </w:r>
      <w:r>
        <w:rPr>
          <w:i/>
          <w:sz w:val="18"/>
        </w:rPr>
        <w:t>EU – Footwear (China)</w:t>
      </w:r>
      <w:r>
        <w:rPr>
          <w:sz w:val="18"/>
        </w:rPr>
        <w:t>, para. 7.445.</w:t>
      </w:r>
    </w:p>
    <w:p w14:paraId="51DE90A8" w14:textId="77777777" w:rsidR="0010369C" w:rsidRDefault="008E43AE">
      <w:pPr>
        <w:spacing w:before="1"/>
        <w:ind w:left="238"/>
        <w:jc w:val="both"/>
        <w:rPr>
          <w:sz w:val="18"/>
        </w:rPr>
      </w:pPr>
      <w:r>
        <w:rPr>
          <w:sz w:val="18"/>
          <w:vertAlign w:val="superscript"/>
        </w:rPr>
        <w:t>737</w:t>
      </w:r>
      <w:r>
        <w:rPr>
          <w:spacing w:val="-8"/>
          <w:sz w:val="18"/>
        </w:rPr>
        <w:t xml:space="preserve"> </w:t>
      </w:r>
      <w:r>
        <w:rPr>
          <w:sz w:val="18"/>
        </w:rPr>
        <w:t>Appellate</w:t>
      </w:r>
      <w:r>
        <w:rPr>
          <w:spacing w:val="-6"/>
          <w:sz w:val="18"/>
        </w:rPr>
        <w:t xml:space="preserve"> </w:t>
      </w:r>
      <w:r>
        <w:rPr>
          <w:sz w:val="18"/>
        </w:rPr>
        <w:t>Body</w:t>
      </w:r>
      <w:r>
        <w:rPr>
          <w:spacing w:val="-8"/>
          <w:sz w:val="18"/>
        </w:rPr>
        <w:t xml:space="preserve"> </w:t>
      </w:r>
      <w:r>
        <w:rPr>
          <w:sz w:val="18"/>
        </w:rPr>
        <w:t>Report,</w:t>
      </w:r>
      <w:r>
        <w:rPr>
          <w:spacing w:val="-6"/>
          <w:sz w:val="18"/>
        </w:rPr>
        <w:t xml:space="preserve"> </w:t>
      </w:r>
      <w:r>
        <w:rPr>
          <w:i/>
          <w:sz w:val="18"/>
        </w:rPr>
        <w:t>Russia</w:t>
      </w:r>
      <w:r>
        <w:rPr>
          <w:i/>
          <w:spacing w:val="-6"/>
          <w:sz w:val="18"/>
        </w:rPr>
        <w:t xml:space="preserve"> </w:t>
      </w:r>
      <w:r>
        <w:rPr>
          <w:i/>
          <w:sz w:val="18"/>
        </w:rPr>
        <w:t>‐</w:t>
      </w:r>
      <w:r>
        <w:rPr>
          <w:i/>
          <w:spacing w:val="-6"/>
          <w:sz w:val="18"/>
        </w:rPr>
        <w:t xml:space="preserve"> </w:t>
      </w:r>
      <w:r>
        <w:rPr>
          <w:i/>
          <w:sz w:val="18"/>
        </w:rPr>
        <w:t>Commercial</w:t>
      </w:r>
      <w:r>
        <w:rPr>
          <w:i/>
          <w:spacing w:val="-6"/>
          <w:sz w:val="18"/>
        </w:rPr>
        <w:t xml:space="preserve"> </w:t>
      </w:r>
      <w:r>
        <w:rPr>
          <w:i/>
          <w:sz w:val="18"/>
        </w:rPr>
        <w:t>Vehicles</w:t>
      </w:r>
      <w:r>
        <w:rPr>
          <w:sz w:val="18"/>
        </w:rPr>
        <w:t>,</w:t>
      </w:r>
      <w:r>
        <w:rPr>
          <w:spacing w:val="-7"/>
          <w:sz w:val="18"/>
        </w:rPr>
        <w:t xml:space="preserve"> </w:t>
      </w:r>
      <w:r>
        <w:rPr>
          <w:sz w:val="18"/>
        </w:rPr>
        <w:t>para.</w:t>
      </w:r>
      <w:r>
        <w:rPr>
          <w:spacing w:val="-5"/>
          <w:sz w:val="18"/>
        </w:rPr>
        <w:t xml:space="preserve"> </w:t>
      </w:r>
      <w:r>
        <w:rPr>
          <w:spacing w:val="-2"/>
          <w:sz w:val="18"/>
        </w:rPr>
        <w:t>5.158.</w:t>
      </w:r>
    </w:p>
    <w:p w14:paraId="51DE90A9" w14:textId="77777777" w:rsidR="0010369C" w:rsidRDefault="008E43AE">
      <w:pPr>
        <w:ind w:left="238"/>
        <w:jc w:val="both"/>
        <w:rPr>
          <w:sz w:val="18"/>
        </w:rPr>
      </w:pPr>
      <w:r>
        <w:rPr>
          <w:sz w:val="18"/>
          <w:vertAlign w:val="superscript"/>
        </w:rPr>
        <w:t>738</w:t>
      </w:r>
      <w:r>
        <w:rPr>
          <w:spacing w:val="-7"/>
          <w:sz w:val="18"/>
        </w:rPr>
        <w:t xml:space="preserve"> </w:t>
      </w:r>
      <w:r>
        <w:rPr>
          <w:sz w:val="18"/>
        </w:rPr>
        <w:t>Anti‐Dumping</w:t>
      </w:r>
      <w:r>
        <w:rPr>
          <w:spacing w:val="-7"/>
          <w:sz w:val="18"/>
        </w:rPr>
        <w:t xml:space="preserve"> </w:t>
      </w:r>
      <w:r>
        <w:rPr>
          <w:sz w:val="18"/>
        </w:rPr>
        <w:t>Questionnaire</w:t>
      </w:r>
      <w:r>
        <w:rPr>
          <w:spacing w:val="-8"/>
          <w:sz w:val="18"/>
        </w:rPr>
        <w:t xml:space="preserve"> </w:t>
      </w:r>
      <w:r>
        <w:rPr>
          <w:sz w:val="18"/>
        </w:rPr>
        <w:t>for</w:t>
      </w:r>
      <w:r>
        <w:rPr>
          <w:spacing w:val="-7"/>
          <w:sz w:val="18"/>
        </w:rPr>
        <w:t xml:space="preserve"> </w:t>
      </w:r>
      <w:r>
        <w:rPr>
          <w:sz w:val="18"/>
        </w:rPr>
        <w:t>Domestic</w:t>
      </w:r>
      <w:r>
        <w:rPr>
          <w:spacing w:val="-7"/>
          <w:sz w:val="18"/>
        </w:rPr>
        <w:t xml:space="preserve"> </w:t>
      </w:r>
      <w:r>
        <w:rPr>
          <w:sz w:val="18"/>
        </w:rPr>
        <w:t>Producers,</w:t>
      </w:r>
      <w:r>
        <w:rPr>
          <w:spacing w:val="-9"/>
          <w:sz w:val="18"/>
        </w:rPr>
        <w:t xml:space="preserve"> </w:t>
      </w:r>
      <w:r>
        <w:rPr>
          <w:sz w:val="18"/>
        </w:rPr>
        <w:t>Part</w:t>
      </w:r>
      <w:r>
        <w:rPr>
          <w:spacing w:val="-7"/>
          <w:sz w:val="18"/>
        </w:rPr>
        <w:t xml:space="preserve"> </w:t>
      </w:r>
      <w:r>
        <w:rPr>
          <w:sz w:val="18"/>
        </w:rPr>
        <w:t>4,</w:t>
      </w:r>
      <w:r>
        <w:rPr>
          <w:spacing w:val="-8"/>
          <w:sz w:val="18"/>
        </w:rPr>
        <w:t xml:space="preserve"> </w:t>
      </w:r>
      <w:r>
        <w:rPr>
          <w:sz w:val="18"/>
        </w:rPr>
        <w:t>Question</w:t>
      </w:r>
      <w:r>
        <w:rPr>
          <w:spacing w:val="-7"/>
          <w:sz w:val="18"/>
        </w:rPr>
        <w:t xml:space="preserve"> </w:t>
      </w:r>
      <w:r>
        <w:rPr>
          <w:sz w:val="18"/>
        </w:rPr>
        <w:t>39(5).</w:t>
      </w:r>
      <w:r>
        <w:rPr>
          <w:spacing w:val="-7"/>
          <w:sz w:val="18"/>
        </w:rPr>
        <w:t xml:space="preserve"> </w:t>
      </w:r>
      <w:r>
        <w:rPr>
          <w:sz w:val="18"/>
        </w:rPr>
        <w:t>See</w:t>
      </w:r>
      <w:r>
        <w:rPr>
          <w:spacing w:val="-7"/>
          <w:sz w:val="18"/>
        </w:rPr>
        <w:t xml:space="preserve"> </w:t>
      </w:r>
      <w:r>
        <w:rPr>
          <w:sz w:val="18"/>
        </w:rPr>
        <w:t>footnote</w:t>
      </w:r>
      <w:r>
        <w:rPr>
          <w:spacing w:val="-6"/>
          <w:sz w:val="18"/>
        </w:rPr>
        <w:t xml:space="preserve"> </w:t>
      </w:r>
      <w:r>
        <w:rPr>
          <w:sz w:val="18"/>
        </w:rPr>
        <w:t>[739]</w:t>
      </w:r>
      <w:r>
        <w:rPr>
          <w:spacing w:val="-8"/>
          <w:sz w:val="18"/>
        </w:rPr>
        <w:t xml:space="preserve"> </w:t>
      </w:r>
      <w:r>
        <w:rPr>
          <w:spacing w:val="-2"/>
          <w:sz w:val="18"/>
        </w:rPr>
        <w:t>below.</w:t>
      </w:r>
    </w:p>
    <w:p w14:paraId="51DE90AA" w14:textId="77777777" w:rsidR="0010369C" w:rsidRDefault="008E43AE">
      <w:pPr>
        <w:ind w:left="237" w:right="612" w:firstLine="1"/>
        <w:jc w:val="both"/>
        <w:rPr>
          <w:sz w:val="18"/>
        </w:rPr>
      </w:pPr>
      <w:r>
        <w:rPr>
          <w:sz w:val="18"/>
          <w:vertAlign w:val="superscript"/>
        </w:rPr>
        <w:t>739</w:t>
      </w:r>
      <w:r>
        <w:rPr>
          <w:sz w:val="18"/>
        </w:rPr>
        <w:t xml:space="preserve"> Beijing Fengshou Wine Anti‐Dumping Questionnaire Response (Exhibit AUS‐56), Section 4, Question 39(5), p. 35‐36; Chateau Junding Anti‐Dumping Questionnaire Response (Exhibit AUS‐48), Section 4, Question 39(5), pp. 36‐37; CITIC Guoan Anti‐Dumping</w:t>
      </w:r>
      <w:r>
        <w:rPr>
          <w:sz w:val="18"/>
        </w:rPr>
        <w:t xml:space="preserve"> Questionnaire Response (Exhibit AUS‐47), Section 4, Question 39(5), p. 36; Dynasty Fine Wine Anti‐Dumping Questionnaire Response (Exhibit AUS‐55), Section 4, Question 39(5), p. 37; Gansu Mogao Industrial Development Anti‐ Dumping</w:t>
      </w:r>
      <w:r>
        <w:rPr>
          <w:spacing w:val="-3"/>
          <w:sz w:val="18"/>
        </w:rPr>
        <w:t xml:space="preserve"> </w:t>
      </w:r>
      <w:r>
        <w:rPr>
          <w:sz w:val="18"/>
        </w:rPr>
        <w:t>Questionnaire</w:t>
      </w:r>
      <w:r>
        <w:rPr>
          <w:spacing w:val="-4"/>
          <w:sz w:val="18"/>
        </w:rPr>
        <w:t xml:space="preserve"> </w:t>
      </w:r>
      <w:r>
        <w:rPr>
          <w:sz w:val="18"/>
        </w:rPr>
        <w:t>Response</w:t>
      </w:r>
      <w:r>
        <w:rPr>
          <w:spacing w:val="-3"/>
          <w:sz w:val="18"/>
        </w:rPr>
        <w:t xml:space="preserve"> </w:t>
      </w:r>
      <w:r>
        <w:rPr>
          <w:sz w:val="18"/>
        </w:rPr>
        <w:t>(E</w:t>
      </w:r>
      <w:r>
        <w:rPr>
          <w:sz w:val="18"/>
        </w:rPr>
        <w:t>xhibit</w:t>
      </w:r>
      <w:r>
        <w:rPr>
          <w:spacing w:val="-4"/>
          <w:sz w:val="18"/>
        </w:rPr>
        <w:t xml:space="preserve"> </w:t>
      </w:r>
      <w:r>
        <w:rPr>
          <w:sz w:val="18"/>
        </w:rPr>
        <w:t>AUS‐58),</w:t>
      </w:r>
      <w:r>
        <w:rPr>
          <w:spacing w:val="-5"/>
          <w:sz w:val="18"/>
        </w:rPr>
        <w:t xml:space="preserve"> </w:t>
      </w:r>
      <w:r>
        <w:rPr>
          <w:sz w:val="18"/>
        </w:rPr>
        <w:t>Section</w:t>
      </w:r>
      <w:r>
        <w:rPr>
          <w:spacing w:val="-4"/>
          <w:sz w:val="18"/>
        </w:rPr>
        <w:t xml:space="preserve"> </w:t>
      </w:r>
      <w:r>
        <w:rPr>
          <w:sz w:val="18"/>
        </w:rPr>
        <w:t>4,</w:t>
      </w:r>
      <w:r>
        <w:rPr>
          <w:spacing w:val="-4"/>
          <w:sz w:val="18"/>
        </w:rPr>
        <w:t xml:space="preserve"> </w:t>
      </w:r>
      <w:r>
        <w:rPr>
          <w:sz w:val="18"/>
        </w:rPr>
        <w:t>Question</w:t>
      </w:r>
      <w:r>
        <w:rPr>
          <w:spacing w:val="-4"/>
          <w:sz w:val="18"/>
        </w:rPr>
        <w:t xml:space="preserve"> </w:t>
      </w:r>
      <w:r>
        <w:rPr>
          <w:sz w:val="18"/>
        </w:rPr>
        <w:t>39(5),</w:t>
      </w:r>
      <w:r>
        <w:rPr>
          <w:spacing w:val="-4"/>
          <w:sz w:val="18"/>
        </w:rPr>
        <w:t xml:space="preserve"> </w:t>
      </w:r>
      <w:r>
        <w:rPr>
          <w:sz w:val="18"/>
        </w:rPr>
        <w:t>pp.</w:t>
      </w:r>
      <w:r>
        <w:rPr>
          <w:spacing w:val="-5"/>
          <w:sz w:val="18"/>
        </w:rPr>
        <w:t xml:space="preserve"> </w:t>
      </w:r>
      <w:r>
        <w:rPr>
          <w:sz w:val="18"/>
        </w:rPr>
        <w:t>37</w:t>
      </w:r>
      <w:r>
        <w:rPr>
          <w:spacing w:val="-4"/>
          <w:sz w:val="18"/>
        </w:rPr>
        <w:t xml:space="preserve"> </w:t>
      </w:r>
      <w:r>
        <w:rPr>
          <w:sz w:val="18"/>
        </w:rPr>
        <w:t>–</w:t>
      </w:r>
      <w:r>
        <w:rPr>
          <w:spacing w:val="-4"/>
          <w:sz w:val="18"/>
        </w:rPr>
        <w:t xml:space="preserve"> </w:t>
      </w:r>
      <w:r>
        <w:rPr>
          <w:sz w:val="18"/>
        </w:rPr>
        <w:t>38;</w:t>
      </w:r>
      <w:r>
        <w:rPr>
          <w:spacing w:val="-4"/>
          <w:sz w:val="18"/>
        </w:rPr>
        <w:t xml:space="preserve"> </w:t>
      </w:r>
      <w:r>
        <w:rPr>
          <w:sz w:val="18"/>
        </w:rPr>
        <w:t>Gansu</w:t>
      </w:r>
      <w:r>
        <w:rPr>
          <w:spacing w:val="-4"/>
          <w:sz w:val="18"/>
        </w:rPr>
        <w:t xml:space="preserve"> </w:t>
      </w:r>
      <w:r>
        <w:rPr>
          <w:sz w:val="18"/>
        </w:rPr>
        <w:t>Zixuan</w:t>
      </w:r>
      <w:r>
        <w:rPr>
          <w:spacing w:val="-4"/>
          <w:sz w:val="18"/>
        </w:rPr>
        <w:t xml:space="preserve"> </w:t>
      </w:r>
      <w:r>
        <w:rPr>
          <w:sz w:val="18"/>
        </w:rPr>
        <w:t>Wine</w:t>
      </w:r>
      <w:r>
        <w:rPr>
          <w:spacing w:val="-4"/>
          <w:sz w:val="18"/>
        </w:rPr>
        <w:t xml:space="preserve"> </w:t>
      </w:r>
      <w:r>
        <w:rPr>
          <w:sz w:val="18"/>
        </w:rPr>
        <w:t>Anti‐Dumping Questionnaire</w:t>
      </w:r>
      <w:r>
        <w:rPr>
          <w:spacing w:val="-2"/>
          <w:sz w:val="18"/>
        </w:rPr>
        <w:t xml:space="preserve"> </w:t>
      </w:r>
      <w:r>
        <w:rPr>
          <w:sz w:val="18"/>
        </w:rPr>
        <w:t>Response</w:t>
      </w:r>
      <w:r>
        <w:rPr>
          <w:spacing w:val="-2"/>
          <w:sz w:val="18"/>
        </w:rPr>
        <w:t xml:space="preserve"> </w:t>
      </w:r>
      <w:r>
        <w:rPr>
          <w:sz w:val="18"/>
        </w:rPr>
        <w:t>(Exhibit</w:t>
      </w:r>
      <w:r>
        <w:rPr>
          <w:spacing w:val="-2"/>
          <w:sz w:val="18"/>
        </w:rPr>
        <w:t xml:space="preserve"> </w:t>
      </w:r>
      <w:r>
        <w:rPr>
          <w:sz w:val="18"/>
        </w:rPr>
        <w:t>AUS‐59),</w:t>
      </w:r>
      <w:r>
        <w:rPr>
          <w:spacing w:val="-3"/>
          <w:sz w:val="18"/>
        </w:rPr>
        <w:t xml:space="preserve"> </w:t>
      </w:r>
      <w:r>
        <w:rPr>
          <w:sz w:val="18"/>
        </w:rPr>
        <w:t>Section</w:t>
      </w:r>
      <w:r>
        <w:rPr>
          <w:spacing w:val="-2"/>
          <w:sz w:val="18"/>
        </w:rPr>
        <w:t xml:space="preserve"> </w:t>
      </w:r>
      <w:r>
        <w:rPr>
          <w:sz w:val="18"/>
        </w:rPr>
        <w:t>4,</w:t>
      </w:r>
      <w:r>
        <w:rPr>
          <w:spacing w:val="-3"/>
          <w:sz w:val="18"/>
        </w:rPr>
        <w:t xml:space="preserve"> </w:t>
      </w:r>
      <w:r>
        <w:rPr>
          <w:sz w:val="18"/>
        </w:rPr>
        <w:t>Question</w:t>
      </w:r>
      <w:r>
        <w:rPr>
          <w:spacing w:val="-2"/>
          <w:sz w:val="18"/>
        </w:rPr>
        <w:t xml:space="preserve"> </w:t>
      </w:r>
      <w:r>
        <w:rPr>
          <w:sz w:val="18"/>
        </w:rPr>
        <w:t>39(5),</w:t>
      </w:r>
      <w:r>
        <w:rPr>
          <w:spacing w:val="-3"/>
          <w:sz w:val="18"/>
        </w:rPr>
        <w:t xml:space="preserve"> </w:t>
      </w:r>
      <w:r>
        <w:rPr>
          <w:sz w:val="18"/>
        </w:rPr>
        <w:t>p.</w:t>
      </w:r>
      <w:r>
        <w:rPr>
          <w:spacing w:val="-3"/>
          <w:sz w:val="18"/>
        </w:rPr>
        <w:t xml:space="preserve"> </w:t>
      </w:r>
      <w:r>
        <w:rPr>
          <w:sz w:val="18"/>
        </w:rPr>
        <w:t>35;</w:t>
      </w:r>
      <w:r>
        <w:rPr>
          <w:spacing w:val="-4"/>
          <w:sz w:val="18"/>
        </w:rPr>
        <w:t xml:space="preserve"> </w:t>
      </w:r>
      <w:r>
        <w:rPr>
          <w:sz w:val="18"/>
        </w:rPr>
        <w:t>Grand</w:t>
      </w:r>
      <w:r>
        <w:rPr>
          <w:spacing w:val="-3"/>
          <w:sz w:val="18"/>
        </w:rPr>
        <w:t xml:space="preserve"> </w:t>
      </w:r>
      <w:r>
        <w:rPr>
          <w:sz w:val="18"/>
        </w:rPr>
        <w:t>Dragon</w:t>
      </w:r>
      <w:r>
        <w:rPr>
          <w:spacing w:val="-2"/>
          <w:sz w:val="18"/>
        </w:rPr>
        <w:t xml:space="preserve"> </w:t>
      </w:r>
      <w:r>
        <w:rPr>
          <w:sz w:val="18"/>
        </w:rPr>
        <w:t>Wine</w:t>
      </w:r>
      <w:r>
        <w:rPr>
          <w:spacing w:val="-4"/>
          <w:sz w:val="18"/>
        </w:rPr>
        <w:t xml:space="preserve"> </w:t>
      </w:r>
      <w:r>
        <w:rPr>
          <w:sz w:val="18"/>
        </w:rPr>
        <w:t>Anti‐Dumping</w:t>
      </w:r>
      <w:r>
        <w:rPr>
          <w:spacing w:val="-2"/>
          <w:sz w:val="18"/>
        </w:rPr>
        <w:t xml:space="preserve"> </w:t>
      </w:r>
      <w:r>
        <w:rPr>
          <w:sz w:val="18"/>
        </w:rPr>
        <w:t>Questionnaire Response (Exhibit AUS‐51), Section 4, Question 39(5), p. 39; Kweichow Moutai Distillery Anti‐Dumping Questionnaire Response</w:t>
      </w:r>
      <w:r>
        <w:rPr>
          <w:spacing w:val="-10"/>
          <w:sz w:val="18"/>
        </w:rPr>
        <w:t xml:space="preserve"> </w:t>
      </w:r>
      <w:r>
        <w:rPr>
          <w:sz w:val="18"/>
        </w:rPr>
        <w:t>(Exhibit</w:t>
      </w:r>
      <w:r>
        <w:rPr>
          <w:spacing w:val="-10"/>
          <w:sz w:val="18"/>
        </w:rPr>
        <w:t xml:space="preserve"> </w:t>
      </w:r>
      <w:r>
        <w:rPr>
          <w:sz w:val="18"/>
        </w:rPr>
        <w:t>AUS‐60),</w:t>
      </w:r>
      <w:r>
        <w:rPr>
          <w:spacing w:val="-10"/>
          <w:sz w:val="18"/>
        </w:rPr>
        <w:t xml:space="preserve"> </w:t>
      </w:r>
      <w:r>
        <w:rPr>
          <w:sz w:val="18"/>
        </w:rPr>
        <w:t>Section</w:t>
      </w:r>
      <w:r>
        <w:rPr>
          <w:spacing w:val="-9"/>
          <w:sz w:val="18"/>
        </w:rPr>
        <w:t xml:space="preserve"> </w:t>
      </w:r>
      <w:r>
        <w:rPr>
          <w:sz w:val="18"/>
        </w:rPr>
        <w:t>4,</w:t>
      </w:r>
      <w:r>
        <w:rPr>
          <w:spacing w:val="-10"/>
          <w:sz w:val="18"/>
        </w:rPr>
        <w:t xml:space="preserve"> </w:t>
      </w:r>
      <w:r>
        <w:rPr>
          <w:sz w:val="18"/>
        </w:rPr>
        <w:t>Question</w:t>
      </w:r>
      <w:r>
        <w:rPr>
          <w:spacing w:val="-10"/>
          <w:sz w:val="18"/>
        </w:rPr>
        <w:t xml:space="preserve"> </w:t>
      </w:r>
      <w:r>
        <w:rPr>
          <w:sz w:val="18"/>
        </w:rPr>
        <w:t>39(5),</w:t>
      </w:r>
      <w:r>
        <w:rPr>
          <w:spacing w:val="-10"/>
          <w:sz w:val="18"/>
        </w:rPr>
        <w:t xml:space="preserve"> </w:t>
      </w:r>
      <w:r>
        <w:rPr>
          <w:sz w:val="18"/>
        </w:rPr>
        <w:t>p.</w:t>
      </w:r>
      <w:r>
        <w:rPr>
          <w:spacing w:val="-10"/>
          <w:sz w:val="18"/>
        </w:rPr>
        <w:t xml:space="preserve"> </w:t>
      </w:r>
      <w:r>
        <w:rPr>
          <w:sz w:val="18"/>
        </w:rPr>
        <w:t>37;</w:t>
      </w:r>
      <w:r>
        <w:rPr>
          <w:spacing w:val="-10"/>
          <w:sz w:val="18"/>
        </w:rPr>
        <w:t xml:space="preserve"> </w:t>
      </w:r>
      <w:r>
        <w:rPr>
          <w:sz w:val="18"/>
        </w:rPr>
        <w:t>Qingdao</w:t>
      </w:r>
      <w:r>
        <w:rPr>
          <w:spacing w:val="-10"/>
          <w:sz w:val="18"/>
        </w:rPr>
        <w:t xml:space="preserve"> </w:t>
      </w:r>
      <w:r>
        <w:rPr>
          <w:sz w:val="18"/>
        </w:rPr>
        <w:t>Huadong</w:t>
      </w:r>
      <w:r>
        <w:rPr>
          <w:spacing w:val="-10"/>
          <w:sz w:val="18"/>
        </w:rPr>
        <w:t xml:space="preserve"> </w:t>
      </w:r>
      <w:r>
        <w:rPr>
          <w:sz w:val="18"/>
        </w:rPr>
        <w:t>Winery</w:t>
      </w:r>
      <w:r>
        <w:rPr>
          <w:spacing w:val="-10"/>
          <w:sz w:val="18"/>
        </w:rPr>
        <w:t xml:space="preserve"> </w:t>
      </w:r>
      <w:r>
        <w:rPr>
          <w:sz w:val="18"/>
        </w:rPr>
        <w:t>Anti‐Dumping</w:t>
      </w:r>
      <w:r>
        <w:rPr>
          <w:spacing w:val="-9"/>
          <w:sz w:val="18"/>
        </w:rPr>
        <w:t xml:space="preserve"> </w:t>
      </w:r>
      <w:r>
        <w:rPr>
          <w:sz w:val="18"/>
        </w:rPr>
        <w:t>Questionnaire</w:t>
      </w:r>
      <w:r>
        <w:rPr>
          <w:spacing w:val="-10"/>
          <w:sz w:val="18"/>
        </w:rPr>
        <w:t xml:space="preserve"> </w:t>
      </w:r>
      <w:r>
        <w:rPr>
          <w:sz w:val="18"/>
        </w:rPr>
        <w:t>Response (Exhibi</w:t>
      </w:r>
      <w:r>
        <w:rPr>
          <w:sz w:val="18"/>
        </w:rPr>
        <w:t>t AUS‐61), Section 4, Question 39(5), p. 36; Shangri‐La Wine Anti‐Dumping Questionnaire Response (Exhibit AUS‐62), Section 4, Question 39(5), p. 36; Shanxi Rongzi Winery Anti‐Dumping Questionnaire Response (Exhibit AUS‐63), Section 4, Question 39(5), p. 36</w:t>
      </w:r>
      <w:r>
        <w:rPr>
          <w:sz w:val="18"/>
        </w:rPr>
        <w:t>; Tonghua Tontine Wine Anti‐Dumping Questionnaire Response (Exhibit AUS‐50), Section 4, Question 39(5),</w:t>
      </w:r>
      <w:r>
        <w:rPr>
          <w:spacing w:val="-11"/>
          <w:sz w:val="18"/>
        </w:rPr>
        <w:t xml:space="preserve"> </w:t>
      </w:r>
      <w:r>
        <w:rPr>
          <w:sz w:val="18"/>
        </w:rPr>
        <w:t>p.</w:t>
      </w:r>
      <w:r>
        <w:rPr>
          <w:spacing w:val="-10"/>
          <w:sz w:val="18"/>
        </w:rPr>
        <w:t xml:space="preserve"> </w:t>
      </w:r>
      <w:r>
        <w:rPr>
          <w:sz w:val="18"/>
        </w:rPr>
        <w:t>38;</w:t>
      </w:r>
      <w:r>
        <w:rPr>
          <w:spacing w:val="-10"/>
          <w:sz w:val="18"/>
        </w:rPr>
        <w:t xml:space="preserve"> </w:t>
      </w:r>
      <w:r>
        <w:rPr>
          <w:sz w:val="18"/>
        </w:rPr>
        <w:t>Tonghua</w:t>
      </w:r>
      <w:r>
        <w:rPr>
          <w:spacing w:val="-10"/>
          <w:sz w:val="18"/>
        </w:rPr>
        <w:t xml:space="preserve"> </w:t>
      </w:r>
      <w:r>
        <w:rPr>
          <w:sz w:val="18"/>
        </w:rPr>
        <w:t>Winery</w:t>
      </w:r>
      <w:r>
        <w:rPr>
          <w:spacing w:val="-10"/>
          <w:sz w:val="18"/>
        </w:rPr>
        <w:t xml:space="preserve"> </w:t>
      </w:r>
      <w:r>
        <w:rPr>
          <w:sz w:val="18"/>
        </w:rPr>
        <w:t>Anti‐Dumping</w:t>
      </w:r>
      <w:r>
        <w:rPr>
          <w:spacing w:val="-11"/>
          <w:sz w:val="18"/>
        </w:rPr>
        <w:t xml:space="preserve"> </w:t>
      </w:r>
      <w:r>
        <w:rPr>
          <w:sz w:val="18"/>
        </w:rPr>
        <w:t>Questionnaire</w:t>
      </w:r>
      <w:r>
        <w:rPr>
          <w:spacing w:val="-10"/>
          <w:sz w:val="18"/>
        </w:rPr>
        <w:t xml:space="preserve"> </w:t>
      </w:r>
      <w:r>
        <w:rPr>
          <w:sz w:val="18"/>
        </w:rPr>
        <w:t>Response</w:t>
      </w:r>
      <w:r>
        <w:rPr>
          <w:spacing w:val="-10"/>
          <w:sz w:val="18"/>
        </w:rPr>
        <w:t xml:space="preserve"> </w:t>
      </w:r>
      <w:r>
        <w:rPr>
          <w:sz w:val="18"/>
        </w:rPr>
        <w:t>(Exhibit</w:t>
      </w:r>
      <w:r>
        <w:rPr>
          <w:spacing w:val="-10"/>
          <w:sz w:val="18"/>
        </w:rPr>
        <w:t xml:space="preserve"> </w:t>
      </w:r>
      <w:r>
        <w:rPr>
          <w:sz w:val="18"/>
        </w:rPr>
        <w:t>AUS‐43),</w:t>
      </w:r>
      <w:r>
        <w:rPr>
          <w:spacing w:val="-10"/>
          <w:sz w:val="18"/>
        </w:rPr>
        <w:t xml:space="preserve"> </w:t>
      </w:r>
      <w:r>
        <w:rPr>
          <w:sz w:val="18"/>
        </w:rPr>
        <w:t>Section</w:t>
      </w:r>
      <w:r>
        <w:rPr>
          <w:spacing w:val="-10"/>
          <w:sz w:val="18"/>
        </w:rPr>
        <w:t xml:space="preserve"> </w:t>
      </w:r>
      <w:r>
        <w:rPr>
          <w:sz w:val="18"/>
        </w:rPr>
        <w:t>4,</w:t>
      </w:r>
      <w:r>
        <w:rPr>
          <w:spacing w:val="-11"/>
          <w:sz w:val="18"/>
        </w:rPr>
        <w:t xml:space="preserve"> </w:t>
      </w:r>
      <w:r>
        <w:rPr>
          <w:sz w:val="18"/>
        </w:rPr>
        <w:t>Question</w:t>
      </w:r>
      <w:r>
        <w:rPr>
          <w:spacing w:val="-10"/>
          <w:sz w:val="18"/>
        </w:rPr>
        <w:t xml:space="preserve"> </w:t>
      </w:r>
      <w:r>
        <w:rPr>
          <w:sz w:val="18"/>
        </w:rPr>
        <w:t>39(5),</w:t>
      </w:r>
      <w:r>
        <w:rPr>
          <w:spacing w:val="-10"/>
          <w:sz w:val="18"/>
        </w:rPr>
        <w:t xml:space="preserve"> </w:t>
      </w:r>
      <w:r>
        <w:rPr>
          <w:sz w:val="18"/>
        </w:rPr>
        <w:t>p.</w:t>
      </w:r>
      <w:r>
        <w:rPr>
          <w:spacing w:val="-10"/>
          <w:sz w:val="18"/>
        </w:rPr>
        <w:t xml:space="preserve"> </w:t>
      </w:r>
      <w:r>
        <w:rPr>
          <w:sz w:val="18"/>
        </w:rPr>
        <w:t>37;</w:t>
      </w:r>
      <w:r>
        <w:rPr>
          <w:spacing w:val="-10"/>
          <w:sz w:val="18"/>
        </w:rPr>
        <w:t xml:space="preserve"> </w:t>
      </w:r>
      <w:r>
        <w:rPr>
          <w:sz w:val="18"/>
        </w:rPr>
        <w:t>Turpan LouLan</w:t>
      </w:r>
      <w:r>
        <w:rPr>
          <w:spacing w:val="-3"/>
          <w:sz w:val="18"/>
        </w:rPr>
        <w:t xml:space="preserve"> </w:t>
      </w:r>
      <w:r>
        <w:rPr>
          <w:sz w:val="18"/>
        </w:rPr>
        <w:t>Wine</w:t>
      </w:r>
      <w:r>
        <w:rPr>
          <w:spacing w:val="-4"/>
          <w:sz w:val="18"/>
        </w:rPr>
        <w:t xml:space="preserve"> </w:t>
      </w:r>
      <w:r>
        <w:rPr>
          <w:sz w:val="18"/>
        </w:rPr>
        <w:t>Anti‐Dumping</w:t>
      </w:r>
      <w:r>
        <w:rPr>
          <w:spacing w:val="-3"/>
          <w:sz w:val="18"/>
        </w:rPr>
        <w:t xml:space="preserve"> </w:t>
      </w:r>
      <w:r>
        <w:rPr>
          <w:sz w:val="18"/>
        </w:rPr>
        <w:t>Questionna</w:t>
      </w:r>
      <w:r>
        <w:rPr>
          <w:sz w:val="18"/>
        </w:rPr>
        <w:t>ire</w:t>
      </w:r>
      <w:r>
        <w:rPr>
          <w:spacing w:val="-3"/>
          <w:sz w:val="18"/>
        </w:rPr>
        <w:t xml:space="preserve"> </w:t>
      </w:r>
      <w:r>
        <w:rPr>
          <w:sz w:val="18"/>
        </w:rPr>
        <w:t>Response</w:t>
      </w:r>
      <w:r>
        <w:rPr>
          <w:spacing w:val="-3"/>
          <w:sz w:val="18"/>
        </w:rPr>
        <w:t xml:space="preserve"> </w:t>
      </w:r>
      <w:r>
        <w:rPr>
          <w:sz w:val="18"/>
        </w:rPr>
        <w:t>(Exhibit</w:t>
      </w:r>
      <w:r>
        <w:rPr>
          <w:spacing w:val="-3"/>
          <w:sz w:val="18"/>
        </w:rPr>
        <w:t xml:space="preserve"> </w:t>
      </w:r>
      <w:r>
        <w:rPr>
          <w:sz w:val="18"/>
        </w:rPr>
        <w:t>AUS‐54),</w:t>
      </w:r>
      <w:r>
        <w:rPr>
          <w:spacing w:val="-4"/>
          <w:sz w:val="18"/>
        </w:rPr>
        <w:t xml:space="preserve"> </w:t>
      </w:r>
      <w:r>
        <w:rPr>
          <w:sz w:val="18"/>
        </w:rPr>
        <w:t>Section</w:t>
      </w:r>
      <w:r>
        <w:rPr>
          <w:spacing w:val="-3"/>
          <w:sz w:val="18"/>
        </w:rPr>
        <w:t xml:space="preserve"> </w:t>
      </w:r>
      <w:r>
        <w:rPr>
          <w:sz w:val="18"/>
        </w:rPr>
        <w:t>4,</w:t>
      </w:r>
      <w:r>
        <w:rPr>
          <w:spacing w:val="-2"/>
          <w:sz w:val="18"/>
        </w:rPr>
        <w:t xml:space="preserve"> </w:t>
      </w:r>
      <w:r>
        <w:rPr>
          <w:sz w:val="18"/>
        </w:rPr>
        <w:t>Question</w:t>
      </w:r>
      <w:r>
        <w:rPr>
          <w:spacing w:val="-3"/>
          <w:sz w:val="18"/>
        </w:rPr>
        <w:t xml:space="preserve"> </w:t>
      </w:r>
      <w:r>
        <w:rPr>
          <w:sz w:val="18"/>
        </w:rPr>
        <w:t>39(5),</w:t>
      </w:r>
      <w:r>
        <w:rPr>
          <w:spacing w:val="-4"/>
          <w:sz w:val="18"/>
        </w:rPr>
        <w:t xml:space="preserve"> </w:t>
      </w:r>
      <w:r>
        <w:rPr>
          <w:sz w:val="18"/>
        </w:rPr>
        <w:t>pp.</w:t>
      </w:r>
      <w:r>
        <w:rPr>
          <w:spacing w:val="-3"/>
          <w:sz w:val="18"/>
        </w:rPr>
        <w:t xml:space="preserve"> </w:t>
      </w:r>
      <w:r>
        <w:rPr>
          <w:sz w:val="18"/>
        </w:rPr>
        <w:t>35‐36;</w:t>
      </w:r>
      <w:r>
        <w:rPr>
          <w:spacing w:val="-4"/>
          <w:sz w:val="18"/>
        </w:rPr>
        <w:t xml:space="preserve"> </w:t>
      </w:r>
      <w:r>
        <w:rPr>
          <w:sz w:val="18"/>
        </w:rPr>
        <w:t>Xinjiang</w:t>
      </w:r>
      <w:r>
        <w:rPr>
          <w:spacing w:val="-3"/>
          <w:sz w:val="18"/>
        </w:rPr>
        <w:t xml:space="preserve"> </w:t>
      </w:r>
      <w:r>
        <w:rPr>
          <w:sz w:val="18"/>
        </w:rPr>
        <w:t>Sunyard Wine Anti‐Dumping Questionnaire Response (Exhibit AUS‐49), Section 4, Question 39(5), pp. 35‐36; Xinjiang West Region Pearl Winery Anti‐Dumping Questionnaire Response (Exhibit AUS‐45), Section 4, Question 39(5), pp. 34‐35; Yunan Gaoyuan Wine Anti‐D</w:t>
      </w:r>
      <w:r>
        <w:rPr>
          <w:sz w:val="18"/>
        </w:rPr>
        <w:t>umping Questionnaire Response (Exhibit AUS‐46), Section 4, Question 39(5), pp. 34‐35; Ningxia Anti‐Dumping Questionnaire Response (Exhibit AUS‐57), Section 4, Question 39(5), p. 37; Yantai Landsun Anti‐Dumping Questionnaire Response (Exhibit AUS‐52), Secti</w:t>
      </w:r>
      <w:r>
        <w:rPr>
          <w:sz w:val="18"/>
        </w:rPr>
        <w:t>on 4, Question 39(5), p. 37; COFCO Wine Anti‐Dumping Questionnaire Response (Exhibit AUS‐44),</w:t>
      </w:r>
      <w:r>
        <w:rPr>
          <w:spacing w:val="-10"/>
          <w:sz w:val="18"/>
        </w:rPr>
        <w:t xml:space="preserve"> </w:t>
      </w:r>
      <w:r>
        <w:rPr>
          <w:sz w:val="18"/>
        </w:rPr>
        <w:t>Section</w:t>
      </w:r>
      <w:r>
        <w:rPr>
          <w:spacing w:val="-9"/>
          <w:sz w:val="18"/>
        </w:rPr>
        <w:t xml:space="preserve"> </w:t>
      </w:r>
      <w:r>
        <w:rPr>
          <w:sz w:val="18"/>
        </w:rPr>
        <w:t>4,</w:t>
      </w:r>
      <w:r>
        <w:rPr>
          <w:spacing w:val="-10"/>
          <w:sz w:val="18"/>
        </w:rPr>
        <w:t xml:space="preserve"> </w:t>
      </w:r>
      <w:r>
        <w:rPr>
          <w:sz w:val="18"/>
        </w:rPr>
        <w:t>Question</w:t>
      </w:r>
      <w:r>
        <w:rPr>
          <w:spacing w:val="-9"/>
          <w:sz w:val="18"/>
        </w:rPr>
        <w:t xml:space="preserve"> </w:t>
      </w:r>
      <w:r>
        <w:rPr>
          <w:sz w:val="18"/>
        </w:rPr>
        <w:t>39(5),</w:t>
      </w:r>
      <w:r>
        <w:rPr>
          <w:spacing w:val="-10"/>
          <w:sz w:val="18"/>
        </w:rPr>
        <w:t xml:space="preserve"> </w:t>
      </w:r>
      <w:r>
        <w:rPr>
          <w:sz w:val="18"/>
        </w:rPr>
        <w:t>p.</w:t>
      </w:r>
      <w:r>
        <w:rPr>
          <w:spacing w:val="-9"/>
          <w:sz w:val="18"/>
        </w:rPr>
        <w:t xml:space="preserve"> </w:t>
      </w:r>
      <w:r>
        <w:rPr>
          <w:sz w:val="18"/>
        </w:rPr>
        <w:t>38;</w:t>
      </w:r>
      <w:r>
        <w:rPr>
          <w:spacing w:val="-10"/>
          <w:sz w:val="18"/>
        </w:rPr>
        <w:t xml:space="preserve"> </w:t>
      </w:r>
      <w:r>
        <w:rPr>
          <w:sz w:val="18"/>
        </w:rPr>
        <w:t>and</w:t>
      </w:r>
      <w:r>
        <w:rPr>
          <w:spacing w:val="-9"/>
          <w:sz w:val="18"/>
        </w:rPr>
        <w:t xml:space="preserve"> </w:t>
      </w:r>
      <w:r>
        <w:rPr>
          <w:sz w:val="18"/>
        </w:rPr>
        <w:t>Changyu</w:t>
      </w:r>
      <w:r>
        <w:rPr>
          <w:spacing w:val="-9"/>
          <w:sz w:val="18"/>
        </w:rPr>
        <w:t xml:space="preserve"> </w:t>
      </w:r>
      <w:r>
        <w:rPr>
          <w:sz w:val="18"/>
        </w:rPr>
        <w:t>Wine</w:t>
      </w:r>
      <w:r>
        <w:rPr>
          <w:spacing w:val="-10"/>
          <w:sz w:val="18"/>
        </w:rPr>
        <w:t xml:space="preserve"> </w:t>
      </w:r>
      <w:r>
        <w:rPr>
          <w:sz w:val="18"/>
        </w:rPr>
        <w:t>Anti‐Dumping</w:t>
      </w:r>
      <w:r>
        <w:rPr>
          <w:spacing w:val="-9"/>
          <w:sz w:val="18"/>
        </w:rPr>
        <w:t xml:space="preserve"> </w:t>
      </w:r>
      <w:r>
        <w:rPr>
          <w:sz w:val="18"/>
        </w:rPr>
        <w:t>Questionnaire</w:t>
      </w:r>
      <w:r>
        <w:rPr>
          <w:spacing w:val="-9"/>
          <w:sz w:val="18"/>
        </w:rPr>
        <w:t xml:space="preserve"> </w:t>
      </w:r>
      <w:r>
        <w:rPr>
          <w:sz w:val="18"/>
        </w:rPr>
        <w:t>Response</w:t>
      </w:r>
      <w:r>
        <w:rPr>
          <w:spacing w:val="-9"/>
          <w:sz w:val="18"/>
        </w:rPr>
        <w:t xml:space="preserve"> </w:t>
      </w:r>
      <w:r>
        <w:rPr>
          <w:sz w:val="18"/>
        </w:rPr>
        <w:t>(Exhibit</w:t>
      </w:r>
      <w:r>
        <w:rPr>
          <w:spacing w:val="-9"/>
          <w:sz w:val="18"/>
        </w:rPr>
        <w:t xml:space="preserve"> </w:t>
      </w:r>
      <w:r>
        <w:rPr>
          <w:sz w:val="18"/>
        </w:rPr>
        <w:t>AUS‐53),</w:t>
      </w:r>
      <w:r>
        <w:rPr>
          <w:spacing w:val="-10"/>
          <w:sz w:val="18"/>
        </w:rPr>
        <w:t xml:space="preserve"> </w:t>
      </w:r>
      <w:r>
        <w:rPr>
          <w:sz w:val="18"/>
        </w:rPr>
        <w:t>Section 4, Question 39(5), p. 37.</w:t>
      </w:r>
    </w:p>
    <w:p w14:paraId="51DE90AB" w14:textId="77777777" w:rsidR="0010369C" w:rsidRDefault="008E43AE">
      <w:pPr>
        <w:ind w:left="238"/>
        <w:jc w:val="both"/>
        <w:rPr>
          <w:sz w:val="18"/>
        </w:rPr>
      </w:pPr>
      <w:r>
        <w:rPr>
          <w:sz w:val="18"/>
          <w:vertAlign w:val="superscript"/>
        </w:rPr>
        <w:t>740</w:t>
      </w:r>
      <w:r>
        <w:rPr>
          <w:spacing w:val="-9"/>
          <w:sz w:val="18"/>
        </w:rPr>
        <w:t xml:space="preserve"> </w:t>
      </w:r>
      <w:r>
        <w:rPr>
          <w:sz w:val="18"/>
        </w:rPr>
        <w:t>Anti‐Dumping</w:t>
      </w:r>
      <w:r>
        <w:rPr>
          <w:spacing w:val="-9"/>
          <w:sz w:val="18"/>
        </w:rPr>
        <w:t xml:space="preserve"> </w:t>
      </w:r>
      <w:r>
        <w:rPr>
          <w:sz w:val="18"/>
        </w:rPr>
        <w:t>Final</w:t>
      </w:r>
      <w:r>
        <w:rPr>
          <w:spacing w:val="-9"/>
          <w:sz w:val="18"/>
        </w:rPr>
        <w:t xml:space="preserve"> </w:t>
      </w:r>
      <w:r>
        <w:rPr>
          <w:sz w:val="18"/>
        </w:rPr>
        <w:t>Determination</w:t>
      </w:r>
      <w:r>
        <w:rPr>
          <w:spacing w:val="-8"/>
          <w:sz w:val="18"/>
        </w:rPr>
        <w:t xml:space="preserve"> </w:t>
      </w:r>
      <w:r>
        <w:rPr>
          <w:sz w:val="18"/>
        </w:rPr>
        <w:t>(Exhibit</w:t>
      </w:r>
      <w:r>
        <w:rPr>
          <w:spacing w:val="-9"/>
          <w:sz w:val="18"/>
        </w:rPr>
        <w:t xml:space="preserve"> </w:t>
      </w:r>
      <w:r>
        <w:rPr>
          <w:sz w:val="18"/>
        </w:rPr>
        <w:t>AUS‐2),</w:t>
      </w:r>
      <w:r>
        <w:rPr>
          <w:spacing w:val="-9"/>
          <w:sz w:val="18"/>
        </w:rPr>
        <w:t xml:space="preserve"> </w:t>
      </w:r>
      <w:r>
        <w:rPr>
          <w:sz w:val="18"/>
        </w:rPr>
        <w:t>p.</w:t>
      </w:r>
      <w:r>
        <w:rPr>
          <w:spacing w:val="-9"/>
          <w:sz w:val="18"/>
        </w:rPr>
        <w:t xml:space="preserve"> </w:t>
      </w:r>
      <w:r>
        <w:rPr>
          <w:spacing w:val="-4"/>
          <w:sz w:val="18"/>
        </w:rPr>
        <w:t>130.</w:t>
      </w:r>
    </w:p>
    <w:p w14:paraId="51DE90AC" w14:textId="77777777" w:rsidR="0010369C" w:rsidRDefault="0010369C">
      <w:pPr>
        <w:jc w:val="both"/>
        <w:rPr>
          <w:sz w:val="18"/>
        </w:rPr>
        <w:sectPr w:rsidR="0010369C">
          <w:pgSz w:w="11910" w:h="16840"/>
          <w:pgMar w:top="880" w:right="800" w:bottom="980" w:left="1180" w:header="569" w:footer="788" w:gutter="0"/>
          <w:cols w:space="720"/>
        </w:sectPr>
      </w:pPr>
    </w:p>
    <w:p w14:paraId="51DE90AD" w14:textId="77777777" w:rsidR="0010369C" w:rsidRDefault="008E43AE">
      <w:pPr>
        <w:tabs>
          <w:tab w:val="left" w:pos="6426"/>
        </w:tabs>
        <w:ind w:left="238"/>
        <w:jc w:val="both"/>
        <w:rPr>
          <w:sz w:val="20"/>
        </w:rPr>
      </w:pPr>
      <w:r>
        <w:rPr>
          <w:i/>
          <w:sz w:val="20"/>
        </w:rPr>
        <w:lastRenderedPageBreak/>
        <w:t>China</w:t>
      </w:r>
      <w:r>
        <w:rPr>
          <w:i/>
          <w:spacing w:val="-5"/>
          <w:sz w:val="20"/>
        </w:rPr>
        <w:t xml:space="preserve"> </w:t>
      </w:r>
      <w:r>
        <w:rPr>
          <w:i/>
          <w:sz w:val="20"/>
        </w:rPr>
        <w:t>–</w:t>
      </w:r>
      <w:r>
        <w:rPr>
          <w:i/>
          <w:spacing w:val="-5"/>
          <w:sz w:val="20"/>
        </w:rPr>
        <w:t xml:space="preserve"> </w:t>
      </w:r>
      <w:r>
        <w:rPr>
          <w:i/>
          <w:sz w:val="20"/>
        </w:rPr>
        <w:t>Anti‐Dumping</w:t>
      </w:r>
      <w:r>
        <w:rPr>
          <w:i/>
          <w:spacing w:val="-4"/>
          <w:sz w:val="20"/>
        </w:rPr>
        <w:t xml:space="preserve"> </w:t>
      </w:r>
      <w:r>
        <w:rPr>
          <w:i/>
          <w:sz w:val="20"/>
        </w:rPr>
        <w:t>and</w:t>
      </w:r>
      <w:r>
        <w:rPr>
          <w:i/>
          <w:spacing w:val="-5"/>
          <w:sz w:val="20"/>
        </w:rPr>
        <w:t xml:space="preserve"> </w:t>
      </w:r>
      <w:r>
        <w:rPr>
          <w:i/>
          <w:sz w:val="20"/>
        </w:rPr>
        <w:t>Countervailing</w:t>
      </w:r>
      <w:r>
        <w:rPr>
          <w:i/>
          <w:spacing w:val="-5"/>
          <w:sz w:val="20"/>
        </w:rPr>
        <w:t xml:space="preserve"> </w:t>
      </w:r>
      <w:r>
        <w:rPr>
          <w:i/>
          <w:sz w:val="20"/>
        </w:rPr>
        <w:t>Duty</w:t>
      </w:r>
      <w:r>
        <w:rPr>
          <w:i/>
          <w:spacing w:val="-4"/>
          <w:sz w:val="20"/>
        </w:rPr>
        <w:t xml:space="preserve"> </w:t>
      </w:r>
      <w:r>
        <w:rPr>
          <w:i/>
          <w:spacing w:val="-2"/>
          <w:sz w:val="20"/>
        </w:rPr>
        <w:t>Measures</w:t>
      </w:r>
      <w:r>
        <w:rPr>
          <w:i/>
          <w:sz w:val="20"/>
        </w:rPr>
        <w:tab/>
      </w:r>
      <w:r>
        <w:rPr>
          <w:sz w:val="20"/>
        </w:rPr>
        <w:t>Australia's</w:t>
      </w:r>
      <w:r>
        <w:rPr>
          <w:spacing w:val="-7"/>
          <w:sz w:val="20"/>
        </w:rPr>
        <w:t xml:space="preserve"> </w:t>
      </w:r>
      <w:r>
        <w:rPr>
          <w:sz w:val="20"/>
        </w:rPr>
        <w:t>First</w:t>
      </w:r>
      <w:r>
        <w:rPr>
          <w:spacing w:val="-2"/>
          <w:sz w:val="20"/>
        </w:rPr>
        <w:t xml:space="preserve"> </w:t>
      </w:r>
      <w:r>
        <w:rPr>
          <w:sz w:val="20"/>
        </w:rPr>
        <w:t>Written</w:t>
      </w:r>
      <w:r>
        <w:rPr>
          <w:spacing w:val="-2"/>
          <w:sz w:val="20"/>
        </w:rPr>
        <w:t xml:space="preserve"> Submission</w:t>
      </w:r>
    </w:p>
    <w:p w14:paraId="51DE90AE" w14:textId="77777777" w:rsidR="0010369C" w:rsidRDefault="008E43AE">
      <w:pPr>
        <w:tabs>
          <w:tab w:val="left" w:pos="8228"/>
        </w:tabs>
        <w:spacing w:before="1"/>
        <w:ind w:left="239"/>
        <w:jc w:val="both"/>
        <w:rPr>
          <w:sz w:val="20"/>
        </w:rPr>
      </w:pPr>
      <w:r>
        <w:rPr>
          <w:i/>
          <w:sz w:val="20"/>
        </w:rPr>
        <w:t>on</w:t>
      </w:r>
      <w:r>
        <w:rPr>
          <w:i/>
          <w:spacing w:val="-1"/>
          <w:sz w:val="20"/>
        </w:rPr>
        <w:t xml:space="preserve"> </w:t>
      </w:r>
      <w:r>
        <w:rPr>
          <w:i/>
          <w:sz w:val="20"/>
        </w:rPr>
        <w:t>Wine</w:t>
      </w:r>
      <w:r>
        <w:rPr>
          <w:i/>
          <w:spacing w:val="-1"/>
          <w:sz w:val="20"/>
        </w:rPr>
        <w:t xml:space="preserve"> </w:t>
      </w:r>
      <w:r>
        <w:rPr>
          <w:i/>
          <w:sz w:val="20"/>
        </w:rPr>
        <w:t>from</w:t>
      </w:r>
      <w:r>
        <w:rPr>
          <w:i/>
          <w:spacing w:val="-3"/>
          <w:sz w:val="20"/>
        </w:rPr>
        <w:t xml:space="preserve"> </w:t>
      </w:r>
      <w:r>
        <w:rPr>
          <w:i/>
          <w:sz w:val="20"/>
        </w:rPr>
        <w:t>Australia</w:t>
      </w:r>
      <w:r>
        <w:rPr>
          <w:i/>
          <w:spacing w:val="-1"/>
          <w:sz w:val="20"/>
        </w:rPr>
        <w:t xml:space="preserve"> </w:t>
      </w:r>
      <w:r>
        <w:rPr>
          <w:spacing w:val="-2"/>
          <w:sz w:val="20"/>
        </w:rPr>
        <w:t>(DS602)</w:t>
      </w:r>
      <w:r>
        <w:rPr>
          <w:sz w:val="20"/>
        </w:rPr>
        <w:tab/>
        <w:t>29</w:t>
      </w:r>
      <w:r>
        <w:rPr>
          <w:spacing w:val="-1"/>
          <w:sz w:val="20"/>
        </w:rPr>
        <w:t xml:space="preserve"> </w:t>
      </w:r>
      <w:r>
        <w:rPr>
          <w:sz w:val="20"/>
        </w:rPr>
        <w:t>April</w:t>
      </w:r>
      <w:r>
        <w:rPr>
          <w:spacing w:val="-2"/>
          <w:sz w:val="20"/>
        </w:rPr>
        <w:t xml:space="preserve"> </w:t>
      </w:r>
      <w:r>
        <w:rPr>
          <w:spacing w:val="-4"/>
          <w:sz w:val="20"/>
        </w:rPr>
        <w:t>2022</w:t>
      </w:r>
    </w:p>
    <w:p w14:paraId="51DE90AF" w14:textId="77777777" w:rsidR="0010369C" w:rsidRDefault="008E43AE">
      <w:pPr>
        <w:pStyle w:val="BodyText"/>
        <w:spacing w:before="34" w:line="360" w:lineRule="auto"/>
        <w:ind w:left="237" w:right="614" w:firstLine="1"/>
        <w:jc w:val="both"/>
      </w:pPr>
      <w:r>
        <w:t>did not evaluate or consider the impact that supply and demand trends had on the price of domestic like products. Rather,</w:t>
      </w:r>
      <w:r>
        <w:rPr>
          <w:spacing w:val="-2"/>
        </w:rPr>
        <w:t xml:space="preserve"> </w:t>
      </w:r>
      <w:r>
        <w:t>in Part</w:t>
      </w:r>
      <w:r>
        <w:rPr>
          <w:spacing w:val="-1"/>
        </w:rPr>
        <w:t xml:space="preserve"> </w:t>
      </w:r>
      <w:r>
        <w:t>1</w:t>
      </w:r>
      <w:r>
        <w:rPr>
          <w:spacing w:val="-1"/>
        </w:rPr>
        <w:t xml:space="preserve"> </w:t>
      </w:r>
      <w:r>
        <w:t>of its evaluation</w:t>
      </w:r>
      <w:r>
        <w:rPr>
          <w:spacing w:val="-1"/>
        </w:rPr>
        <w:t xml:space="preserve"> </w:t>
      </w:r>
      <w:r>
        <w:t>of</w:t>
      </w:r>
      <w:r>
        <w:rPr>
          <w:spacing w:val="-2"/>
        </w:rPr>
        <w:t xml:space="preserve"> </w:t>
      </w:r>
      <w:r>
        <w:t>the domestic industry,</w:t>
      </w:r>
      <w:r>
        <w:rPr>
          <w:spacing w:val="-1"/>
        </w:rPr>
        <w:t xml:space="preserve"> </w:t>
      </w:r>
      <w:r>
        <w:t>MOFCOM provided yearly volumes and change rates relating to apparent consumption</w:t>
      </w:r>
      <w:r>
        <w:t xml:space="preserve"> volumes, production capacity and output volumes.</w:t>
      </w:r>
      <w:r>
        <w:rPr>
          <w:vertAlign w:val="superscript"/>
        </w:rPr>
        <w:t>741</w:t>
      </w:r>
      <w:r>
        <w:t xml:space="preserve"> In Part 2, MOFCOM merely reiterated the apparent consumption, production capacity and output trends identified in Part 1. </w:t>
      </w:r>
      <w:r>
        <w:rPr>
          <w:vertAlign w:val="superscript"/>
        </w:rPr>
        <w:t>742</w:t>
      </w:r>
      <w:r>
        <w:t xml:space="preserve"> In particular, MOFCOM's figures show that during the Injury POI:</w:t>
      </w:r>
    </w:p>
    <w:p w14:paraId="51DE90B0" w14:textId="77777777" w:rsidR="0010369C" w:rsidRDefault="008E43AE">
      <w:pPr>
        <w:pStyle w:val="ListParagraph"/>
        <w:numPr>
          <w:ilvl w:val="0"/>
          <w:numId w:val="49"/>
        </w:numPr>
        <w:tabs>
          <w:tab w:val="left" w:pos="1939"/>
          <w:tab w:val="left" w:pos="1941"/>
        </w:tabs>
        <w:spacing w:before="160" w:line="357" w:lineRule="auto"/>
        <w:ind w:left="1938" w:right="614" w:hanging="850"/>
        <w:rPr>
          <w:sz w:val="24"/>
        </w:rPr>
      </w:pPr>
      <w:r>
        <w:rPr>
          <w:sz w:val="24"/>
        </w:rPr>
        <w:t>apparent con</w:t>
      </w:r>
      <w:r>
        <w:rPr>
          <w:sz w:val="24"/>
        </w:rPr>
        <w:t>sumption increased by 19.85% (765,900 kl to 918,000 kl) between</w:t>
      </w:r>
      <w:r>
        <w:rPr>
          <w:spacing w:val="-12"/>
          <w:sz w:val="24"/>
        </w:rPr>
        <w:t xml:space="preserve"> </w:t>
      </w:r>
      <w:r>
        <w:rPr>
          <w:sz w:val="24"/>
        </w:rPr>
        <w:t>2015</w:t>
      </w:r>
      <w:r>
        <w:rPr>
          <w:spacing w:val="-13"/>
          <w:sz w:val="24"/>
        </w:rPr>
        <w:t xml:space="preserve"> </w:t>
      </w:r>
      <w:r>
        <w:rPr>
          <w:sz w:val="24"/>
        </w:rPr>
        <w:t>and</w:t>
      </w:r>
      <w:r>
        <w:rPr>
          <w:spacing w:val="-11"/>
          <w:sz w:val="24"/>
        </w:rPr>
        <w:t xml:space="preserve"> </w:t>
      </w:r>
      <w:r>
        <w:rPr>
          <w:sz w:val="24"/>
        </w:rPr>
        <w:t>2017</w:t>
      </w:r>
      <w:r>
        <w:rPr>
          <w:spacing w:val="-11"/>
          <w:sz w:val="24"/>
        </w:rPr>
        <w:t xml:space="preserve"> </w:t>
      </w:r>
      <w:r>
        <w:rPr>
          <w:sz w:val="24"/>
        </w:rPr>
        <w:t>and</w:t>
      </w:r>
      <w:r>
        <w:rPr>
          <w:spacing w:val="-12"/>
          <w:sz w:val="24"/>
        </w:rPr>
        <w:t xml:space="preserve"> </w:t>
      </w:r>
      <w:r>
        <w:rPr>
          <w:sz w:val="24"/>
        </w:rPr>
        <w:t>then</w:t>
      </w:r>
      <w:r>
        <w:rPr>
          <w:spacing w:val="-11"/>
          <w:sz w:val="24"/>
        </w:rPr>
        <w:t xml:space="preserve"> </w:t>
      </w:r>
      <w:r>
        <w:rPr>
          <w:sz w:val="24"/>
        </w:rPr>
        <w:t>declined</w:t>
      </w:r>
      <w:r>
        <w:rPr>
          <w:spacing w:val="-12"/>
          <w:sz w:val="24"/>
        </w:rPr>
        <w:t xml:space="preserve"> </w:t>
      </w:r>
      <w:r>
        <w:rPr>
          <w:sz w:val="24"/>
        </w:rPr>
        <w:t>by</w:t>
      </w:r>
      <w:r>
        <w:rPr>
          <w:spacing w:val="-12"/>
          <w:sz w:val="24"/>
        </w:rPr>
        <w:t xml:space="preserve"> </w:t>
      </w:r>
      <w:r>
        <w:rPr>
          <w:sz w:val="24"/>
        </w:rPr>
        <w:t>19.25%</w:t>
      </w:r>
      <w:r>
        <w:rPr>
          <w:spacing w:val="-12"/>
          <w:sz w:val="24"/>
        </w:rPr>
        <w:t xml:space="preserve"> </w:t>
      </w:r>
      <w:r>
        <w:rPr>
          <w:sz w:val="24"/>
        </w:rPr>
        <w:t>(918,000</w:t>
      </w:r>
      <w:r>
        <w:rPr>
          <w:spacing w:val="-13"/>
          <w:sz w:val="24"/>
        </w:rPr>
        <w:t xml:space="preserve"> </w:t>
      </w:r>
      <w:r>
        <w:rPr>
          <w:sz w:val="24"/>
        </w:rPr>
        <w:t>kl</w:t>
      </w:r>
      <w:r>
        <w:rPr>
          <w:spacing w:val="-12"/>
          <w:sz w:val="24"/>
        </w:rPr>
        <w:t xml:space="preserve"> </w:t>
      </w:r>
      <w:r>
        <w:rPr>
          <w:sz w:val="24"/>
        </w:rPr>
        <w:t>to</w:t>
      </w:r>
      <w:r>
        <w:rPr>
          <w:spacing w:val="-11"/>
          <w:sz w:val="24"/>
        </w:rPr>
        <w:t xml:space="preserve"> </w:t>
      </w:r>
      <w:r>
        <w:rPr>
          <w:sz w:val="24"/>
        </w:rPr>
        <w:t>741,200 kl) between 2017 and 2019.</w:t>
      </w:r>
      <w:r>
        <w:rPr>
          <w:sz w:val="24"/>
          <w:vertAlign w:val="superscript"/>
        </w:rPr>
        <w:t>743</w:t>
      </w:r>
    </w:p>
    <w:p w14:paraId="51DE90B1" w14:textId="77777777" w:rsidR="0010369C" w:rsidRDefault="008E43AE">
      <w:pPr>
        <w:pStyle w:val="ListParagraph"/>
        <w:numPr>
          <w:ilvl w:val="0"/>
          <w:numId w:val="49"/>
        </w:numPr>
        <w:tabs>
          <w:tab w:val="left" w:pos="1939"/>
          <w:tab w:val="left" w:pos="1940"/>
        </w:tabs>
        <w:spacing w:before="129" w:line="352" w:lineRule="auto"/>
        <w:ind w:right="613"/>
        <w:rPr>
          <w:sz w:val="24"/>
        </w:rPr>
      </w:pPr>
      <w:r>
        <w:rPr>
          <w:sz w:val="24"/>
        </w:rPr>
        <w:t>the</w:t>
      </w:r>
      <w:r>
        <w:rPr>
          <w:spacing w:val="-3"/>
          <w:sz w:val="24"/>
        </w:rPr>
        <w:t xml:space="preserve"> </w:t>
      </w:r>
      <w:r>
        <w:rPr>
          <w:sz w:val="24"/>
        </w:rPr>
        <w:t>domestic</w:t>
      </w:r>
      <w:r>
        <w:rPr>
          <w:spacing w:val="-2"/>
          <w:sz w:val="24"/>
        </w:rPr>
        <w:t xml:space="preserve"> </w:t>
      </w:r>
      <w:r>
        <w:rPr>
          <w:sz w:val="24"/>
        </w:rPr>
        <w:t>output</w:t>
      </w:r>
      <w:r>
        <w:rPr>
          <w:spacing w:val="-3"/>
          <w:sz w:val="24"/>
        </w:rPr>
        <w:t xml:space="preserve"> </w:t>
      </w:r>
      <w:r>
        <w:rPr>
          <w:sz w:val="24"/>
        </w:rPr>
        <w:t>reported</w:t>
      </w:r>
      <w:r>
        <w:rPr>
          <w:spacing w:val="-3"/>
          <w:sz w:val="24"/>
        </w:rPr>
        <w:t xml:space="preserve"> </w:t>
      </w:r>
      <w:r>
        <w:rPr>
          <w:sz w:val="24"/>
        </w:rPr>
        <w:t>by</w:t>
      </w:r>
      <w:r>
        <w:rPr>
          <w:spacing w:val="-3"/>
          <w:sz w:val="24"/>
        </w:rPr>
        <w:t xml:space="preserve"> </w:t>
      </w:r>
      <w:r>
        <w:rPr>
          <w:sz w:val="24"/>
        </w:rPr>
        <w:t>the</w:t>
      </w:r>
      <w:r>
        <w:rPr>
          <w:spacing w:val="-4"/>
          <w:sz w:val="24"/>
        </w:rPr>
        <w:t xml:space="preserve"> </w:t>
      </w:r>
      <w:r>
        <w:rPr>
          <w:sz w:val="24"/>
        </w:rPr>
        <w:t>21</w:t>
      </w:r>
      <w:r>
        <w:rPr>
          <w:spacing w:val="-4"/>
          <w:sz w:val="24"/>
        </w:rPr>
        <w:t xml:space="preserve"> </w:t>
      </w:r>
      <w:r>
        <w:rPr>
          <w:sz w:val="24"/>
        </w:rPr>
        <w:t>respondents</w:t>
      </w:r>
      <w:r>
        <w:rPr>
          <w:spacing w:val="-5"/>
          <w:sz w:val="24"/>
        </w:rPr>
        <w:t xml:space="preserve"> </w:t>
      </w:r>
      <w:r>
        <w:rPr>
          <w:sz w:val="24"/>
        </w:rPr>
        <w:t>did</w:t>
      </w:r>
      <w:r>
        <w:rPr>
          <w:spacing w:val="-4"/>
          <w:sz w:val="24"/>
        </w:rPr>
        <w:t xml:space="preserve"> </w:t>
      </w:r>
      <w:r>
        <w:rPr>
          <w:sz w:val="24"/>
        </w:rPr>
        <w:t>not</w:t>
      </w:r>
      <w:r>
        <w:rPr>
          <w:spacing w:val="-5"/>
          <w:sz w:val="24"/>
        </w:rPr>
        <w:t xml:space="preserve"> </w:t>
      </w:r>
      <w:r>
        <w:rPr>
          <w:sz w:val="24"/>
        </w:rPr>
        <w:t>exceed</w:t>
      </w:r>
      <w:r>
        <w:rPr>
          <w:spacing w:val="-4"/>
          <w:sz w:val="24"/>
        </w:rPr>
        <w:t xml:space="preserve"> </w:t>
      </w:r>
      <w:r>
        <w:rPr>
          <w:sz w:val="24"/>
        </w:rPr>
        <w:t>33%</w:t>
      </w:r>
      <w:r>
        <w:rPr>
          <w:spacing w:val="-5"/>
          <w:sz w:val="24"/>
        </w:rPr>
        <w:t xml:space="preserve"> </w:t>
      </w:r>
      <w:r>
        <w:rPr>
          <w:sz w:val="24"/>
        </w:rPr>
        <w:t>of apparent consumption during any year of the Injury POI;</w:t>
      </w:r>
      <w:r>
        <w:rPr>
          <w:sz w:val="24"/>
          <w:vertAlign w:val="superscript"/>
        </w:rPr>
        <w:t>744</w:t>
      </w:r>
      <w:r>
        <w:rPr>
          <w:sz w:val="24"/>
        </w:rPr>
        <w:t xml:space="preserve"> and</w:t>
      </w:r>
    </w:p>
    <w:p w14:paraId="51DE90B2" w14:textId="77777777" w:rsidR="0010369C" w:rsidRDefault="008E43AE">
      <w:pPr>
        <w:pStyle w:val="ListParagraph"/>
        <w:numPr>
          <w:ilvl w:val="0"/>
          <w:numId w:val="49"/>
        </w:numPr>
        <w:tabs>
          <w:tab w:val="left" w:pos="1940"/>
          <w:tab w:val="left" w:pos="1941"/>
        </w:tabs>
        <w:spacing w:before="137" w:line="352" w:lineRule="auto"/>
        <w:ind w:left="1940" w:right="612"/>
        <w:rPr>
          <w:sz w:val="24"/>
        </w:rPr>
      </w:pPr>
      <w:r>
        <w:rPr>
          <w:sz w:val="24"/>
        </w:rPr>
        <w:t>the</w:t>
      </w:r>
      <w:r>
        <w:rPr>
          <w:spacing w:val="-9"/>
          <w:sz w:val="24"/>
        </w:rPr>
        <w:t xml:space="preserve"> </w:t>
      </w:r>
      <w:r>
        <w:rPr>
          <w:sz w:val="24"/>
        </w:rPr>
        <w:t>21</w:t>
      </w:r>
      <w:r>
        <w:rPr>
          <w:spacing w:val="-11"/>
          <w:sz w:val="24"/>
        </w:rPr>
        <w:t xml:space="preserve"> </w:t>
      </w:r>
      <w:r>
        <w:rPr>
          <w:sz w:val="24"/>
        </w:rPr>
        <w:t>respondents</w:t>
      </w:r>
      <w:r>
        <w:rPr>
          <w:spacing w:val="-11"/>
          <w:sz w:val="24"/>
        </w:rPr>
        <w:t xml:space="preserve"> </w:t>
      </w:r>
      <w:r>
        <w:rPr>
          <w:sz w:val="24"/>
        </w:rPr>
        <w:t>reported</w:t>
      </w:r>
      <w:r>
        <w:rPr>
          <w:spacing w:val="-11"/>
          <w:sz w:val="24"/>
        </w:rPr>
        <w:t xml:space="preserve"> </w:t>
      </w:r>
      <w:r>
        <w:rPr>
          <w:sz w:val="24"/>
        </w:rPr>
        <w:t>that</w:t>
      </w:r>
      <w:r>
        <w:rPr>
          <w:spacing w:val="-10"/>
          <w:sz w:val="24"/>
        </w:rPr>
        <w:t xml:space="preserve"> </w:t>
      </w:r>
      <w:r>
        <w:rPr>
          <w:sz w:val="24"/>
        </w:rPr>
        <w:t>they</w:t>
      </w:r>
      <w:r>
        <w:rPr>
          <w:spacing w:val="-10"/>
          <w:sz w:val="24"/>
        </w:rPr>
        <w:t xml:space="preserve"> </w:t>
      </w:r>
      <w:r>
        <w:rPr>
          <w:sz w:val="24"/>
        </w:rPr>
        <w:t>never</w:t>
      </w:r>
      <w:r>
        <w:rPr>
          <w:spacing w:val="-9"/>
          <w:sz w:val="24"/>
        </w:rPr>
        <w:t xml:space="preserve"> </w:t>
      </w:r>
      <w:r>
        <w:rPr>
          <w:sz w:val="24"/>
        </w:rPr>
        <w:t>utilised</w:t>
      </w:r>
      <w:r>
        <w:rPr>
          <w:spacing w:val="-10"/>
          <w:sz w:val="24"/>
        </w:rPr>
        <w:t xml:space="preserve"> </w:t>
      </w:r>
      <w:r>
        <w:rPr>
          <w:sz w:val="24"/>
        </w:rPr>
        <w:t>more</w:t>
      </w:r>
      <w:r>
        <w:rPr>
          <w:spacing w:val="-9"/>
          <w:sz w:val="24"/>
        </w:rPr>
        <w:t xml:space="preserve"> </w:t>
      </w:r>
      <w:r>
        <w:rPr>
          <w:sz w:val="24"/>
        </w:rPr>
        <w:t>than</w:t>
      </w:r>
      <w:r>
        <w:rPr>
          <w:spacing w:val="-10"/>
          <w:sz w:val="24"/>
        </w:rPr>
        <w:t xml:space="preserve"> </w:t>
      </w:r>
      <w:r>
        <w:rPr>
          <w:sz w:val="24"/>
        </w:rPr>
        <w:t>40%</w:t>
      </w:r>
      <w:r>
        <w:rPr>
          <w:spacing w:val="-10"/>
          <w:sz w:val="24"/>
        </w:rPr>
        <w:t xml:space="preserve"> </w:t>
      </w:r>
      <w:r>
        <w:rPr>
          <w:sz w:val="24"/>
        </w:rPr>
        <w:t>of</w:t>
      </w:r>
      <w:r>
        <w:rPr>
          <w:spacing w:val="-10"/>
          <w:sz w:val="24"/>
        </w:rPr>
        <w:t xml:space="preserve"> </w:t>
      </w:r>
      <w:r>
        <w:rPr>
          <w:sz w:val="24"/>
        </w:rPr>
        <w:t>total production capacity.</w:t>
      </w:r>
      <w:r>
        <w:rPr>
          <w:sz w:val="24"/>
          <w:vertAlign w:val="superscript"/>
        </w:rPr>
        <w:t>745</w:t>
      </w:r>
    </w:p>
    <w:p w14:paraId="51DE90B3" w14:textId="77777777" w:rsidR="0010369C" w:rsidRDefault="008E43AE">
      <w:pPr>
        <w:pStyle w:val="BodyText"/>
        <w:spacing w:before="137" w:line="360" w:lineRule="auto"/>
        <w:ind w:left="236" w:right="613" w:firstLine="852"/>
        <w:jc w:val="both"/>
      </w:pPr>
      <w:r>
        <w:rPr>
          <w:noProof/>
        </w:rPr>
        <w:drawing>
          <wp:anchor distT="0" distB="0" distL="0" distR="0" simplePos="0" relativeHeight="251260416" behindDoc="1" locked="0" layoutInCell="1" allowOverlap="1" wp14:anchorId="51DEA52D" wp14:editId="51DEA52E">
            <wp:simplePos x="0" y="0"/>
            <wp:positionH relativeFrom="page">
              <wp:posOffset>905255</wp:posOffset>
            </wp:positionH>
            <wp:positionV relativeFrom="paragraph">
              <wp:posOffset>135924</wp:posOffset>
            </wp:positionV>
            <wp:extent cx="259079" cy="100753"/>
            <wp:effectExtent l="0" t="0" r="0" b="0"/>
            <wp:wrapNone/>
            <wp:docPr id="1265" name="image6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 name="image654.png"/>
                    <pic:cNvPicPr/>
                  </pic:nvPicPr>
                  <pic:blipFill>
                    <a:blip r:embed="rId856" cstate="print"/>
                    <a:stretch>
                      <a:fillRect/>
                    </a:stretch>
                  </pic:blipFill>
                  <pic:spPr>
                    <a:xfrm>
                      <a:off x="0" y="0"/>
                      <a:ext cx="259079" cy="100753"/>
                    </a:xfrm>
                    <a:prstGeom prst="rect">
                      <a:avLst/>
                    </a:prstGeom>
                  </pic:spPr>
                </pic:pic>
              </a:graphicData>
            </a:graphic>
          </wp:anchor>
        </w:drawing>
      </w:r>
      <w:r>
        <w:t>Such significant fluctuations in consumption volumes are highly unusual for a consumer product such as wine. Further, the significant gap between output volumes and overall production capacity is unusual. These supply and demand issues required careful con</w:t>
      </w:r>
      <w:r>
        <w:t>sideration</w:t>
      </w:r>
      <w:r>
        <w:rPr>
          <w:spacing w:val="-13"/>
        </w:rPr>
        <w:t xml:space="preserve"> </w:t>
      </w:r>
      <w:r>
        <w:t>in</w:t>
      </w:r>
      <w:r>
        <w:rPr>
          <w:spacing w:val="-13"/>
        </w:rPr>
        <w:t xml:space="preserve"> </w:t>
      </w:r>
      <w:r>
        <w:t>order</w:t>
      </w:r>
      <w:r>
        <w:rPr>
          <w:spacing w:val="-13"/>
        </w:rPr>
        <w:t xml:space="preserve"> </w:t>
      </w:r>
      <w:r>
        <w:t>to</w:t>
      </w:r>
      <w:r>
        <w:rPr>
          <w:spacing w:val="-13"/>
        </w:rPr>
        <w:t xml:space="preserve"> </w:t>
      </w:r>
      <w:r>
        <w:t>establish</w:t>
      </w:r>
      <w:r>
        <w:rPr>
          <w:spacing w:val="-13"/>
        </w:rPr>
        <w:t xml:space="preserve"> </w:t>
      </w:r>
      <w:r>
        <w:t>the</w:t>
      </w:r>
      <w:r>
        <w:rPr>
          <w:spacing w:val="-13"/>
        </w:rPr>
        <w:t xml:space="preserve"> </w:t>
      </w:r>
      <w:r>
        <w:t>impact</w:t>
      </w:r>
      <w:r>
        <w:rPr>
          <w:spacing w:val="-13"/>
        </w:rPr>
        <w:t xml:space="preserve"> </w:t>
      </w:r>
      <w:r>
        <w:t>that</w:t>
      </w:r>
      <w:r>
        <w:rPr>
          <w:spacing w:val="-13"/>
        </w:rPr>
        <w:t xml:space="preserve"> </w:t>
      </w:r>
      <w:r>
        <w:t>they</w:t>
      </w:r>
      <w:r>
        <w:rPr>
          <w:spacing w:val="-13"/>
        </w:rPr>
        <w:t xml:space="preserve"> </w:t>
      </w:r>
      <w:r>
        <w:t>may</w:t>
      </w:r>
      <w:r>
        <w:rPr>
          <w:spacing w:val="-13"/>
        </w:rPr>
        <w:t xml:space="preserve"> </w:t>
      </w:r>
      <w:r>
        <w:t>have</w:t>
      </w:r>
      <w:r>
        <w:rPr>
          <w:spacing w:val="-12"/>
        </w:rPr>
        <w:t xml:space="preserve"> </w:t>
      </w:r>
      <w:r>
        <w:t>had</w:t>
      </w:r>
      <w:r>
        <w:rPr>
          <w:spacing w:val="-13"/>
        </w:rPr>
        <w:t xml:space="preserve"> </w:t>
      </w:r>
      <w:r>
        <w:t>on</w:t>
      </w:r>
      <w:r>
        <w:rPr>
          <w:spacing w:val="-13"/>
        </w:rPr>
        <w:t xml:space="preserve"> </w:t>
      </w:r>
      <w:r>
        <w:t>the</w:t>
      </w:r>
      <w:r>
        <w:rPr>
          <w:spacing w:val="-13"/>
        </w:rPr>
        <w:t xml:space="preserve"> </w:t>
      </w:r>
      <w:r>
        <w:t>price</w:t>
      </w:r>
      <w:r>
        <w:rPr>
          <w:spacing w:val="-13"/>
        </w:rPr>
        <w:t xml:space="preserve"> </w:t>
      </w:r>
      <w:r>
        <w:t>of</w:t>
      </w:r>
      <w:r>
        <w:rPr>
          <w:spacing w:val="-13"/>
        </w:rPr>
        <w:t xml:space="preserve"> </w:t>
      </w:r>
      <w:r>
        <w:t>domestic like products. However, at no point in its analysis did MOFCOM evaluate or consider the impact that these issues had on the prices of domestic like products or the state of the domestic industry.</w:t>
      </w:r>
    </w:p>
    <w:p w14:paraId="51DE90B4" w14:textId="77777777" w:rsidR="0010369C" w:rsidRDefault="0010369C">
      <w:pPr>
        <w:pStyle w:val="BodyText"/>
        <w:rPr>
          <w:sz w:val="20"/>
        </w:rPr>
      </w:pPr>
    </w:p>
    <w:p w14:paraId="51DE90B5" w14:textId="77777777" w:rsidR="0010369C" w:rsidRDefault="0010369C">
      <w:pPr>
        <w:pStyle w:val="BodyText"/>
        <w:rPr>
          <w:sz w:val="20"/>
        </w:rPr>
      </w:pPr>
    </w:p>
    <w:p w14:paraId="51DE90B6" w14:textId="77777777" w:rsidR="0010369C" w:rsidRDefault="0010369C">
      <w:pPr>
        <w:pStyle w:val="BodyText"/>
        <w:rPr>
          <w:sz w:val="20"/>
        </w:rPr>
      </w:pPr>
    </w:p>
    <w:p w14:paraId="51DE90B7" w14:textId="77777777" w:rsidR="0010369C" w:rsidRDefault="0010369C">
      <w:pPr>
        <w:pStyle w:val="BodyText"/>
        <w:rPr>
          <w:sz w:val="20"/>
        </w:rPr>
      </w:pPr>
    </w:p>
    <w:p w14:paraId="51DE90B8" w14:textId="77777777" w:rsidR="0010369C" w:rsidRDefault="0010369C">
      <w:pPr>
        <w:pStyle w:val="BodyText"/>
        <w:rPr>
          <w:sz w:val="20"/>
        </w:rPr>
      </w:pPr>
    </w:p>
    <w:p w14:paraId="51DE90B9" w14:textId="77777777" w:rsidR="0010369C" w:rsidRDefault="0010369C">
      <w:pPr>
        <w:pStyle w:val="BodyText"/>
        <w:rPr>
          <w:sz w:val="20"/>
        </w:rPr>
      </w:pPr>
    </w:p>
    <w:p w14:paraId="51DE90BA" w14:textId="77777777" w:rsidR="0010369C" w:rsidRDefault="0010369C">
      <w:pPr>
        <w:pStyle w:val="BodyText"/>
        <w:rPr>
          <w:sz w:val="20"/>
        </w:rPr>
      </w:pPr>
    </w:p>
    <w:p w14:paraId="51DE90BB" w14:textId="77777777" w:rsidR="0010369C" w:rsidRDefault="008E43AE">
      <w:pPr>
        <w:pStyle w:val="BodyText"/>
        <w:spacing w:before="1"/>
        <w:rPr>
          <w:sz w:val="13"/>
        </w:rPr>
      </w:pPr>
      <w:r>
        <w:pict w14:anchorId="51DEA52F">
          <v:rect id="docshape1117" o:spid="_x0000_s1275" style="position:absolute;margin-left:70.9pt;margin-top:9.25pt;width:2in;height:.8pt;z-index:-250807808;mso-wrap-distance-left:0;mso-wrap-distance-right:0;mso-position-horizontal-relative:page" fillcolor="black" stroked="f">
            <w10:wrap type="topAndBottom" anchorx="page"/>
          </v:rect>
        </w:pict>
      </w:r>
    </w:p>
    <w:p w14:paraId="51DE90BC" w14:textId="77777777" w:rsidR="0010369C" w:rsidRDefault="008E43AE">
      <w:pPr>
        <w:spacing w:before="109"/>
        <w:ind w:left="238" w:right="4765"/>
        <w:jc w:val="both"/>
        <w:rPr>
          <w:sz w:val="18"/>
        </w:rPr>
      </w:pPr>
      <w:r>
        <w:rPr>
          <w:sz w:val="18"/>
          <w:vertAlign w:val="superscript"/>
        </w:rPr>
        <w:t>741</w:t>
      </w:r>
      <w:r>
        <w:rPr>
          <w:sz w:val="18"/>
        </w:rPr>
        <w:t xml:space="preserve"> Anti‐Dumping Final Determination (Exhi</w:t>
      </w:r>
      <w:r>
        <w:rPr>
          <w:sz w:val="18"/>
        </w:rPr>
        <w:t>bit AUS‐2),</w:t>
      </w:r>
      <w:r>
        <w:rPr>
          <w:spacing w:val="-1"/>
          <w:sz w:val="18"/>
        </w:rPr>
        <w:t xml:space="preserve"> </w:t>
      </w:r>
      <w:r>
        <w:rPr>
          <w:sz w:val="18"/>
        </w:rPr>
        <w:t xml:space="preserve">pp. 123‐124. </w:t>
      </w:r>
      <w:r>
        <w:rPr>
          <w:sz w:val="18"/>
          <w:vertAlign w:val="superscript"/>
        </w:rPr>
        <w:t>742</w:t>
      </w:r>
      <w:r>
        <w:rPr>
          <w:sz w:val="18"/>
        </w:rPr>
        <w:t xml:space="preserve"> Anti‐Dumping Final Determination (Exhibit AUS‐2),</w:t>
      </w:r>
      <w:r>
        <w:rPr>
          <w:spacing w:val="-1"/>
          <w:sz w:val="18"/>
        </w:rPr>
        <w:t xml:space="preserve"> </w:t>
      </w:r>
      <w:r>
        <w:rPr>
          <w:sz w:val="18"/>
        </w:rPr>
        <w:t xml:space="preserve">pp. 129‐130. </w:t>
      </w:r>
      <w:r>
        <w:rPr>
          <w:sz w:val="18"/>
          <w:vertAlign w:val="superscript"/>
        </w:rPr>
        <w:t>743</w:t>
      </w:r>
      <w:r>
        <w:rPr>
          <w:spacing w:val="-9"/>
          <w:sz w:val="18"/>
        </w:rPr>
        <w:t xml:space="preserve"> </w:t>
      </w:r>
      <w:r>
        <w:rPr>
          <w:sz w:val="18"/>
        </w:rPr>
        <w:t>Anti‐Dumping</w:t>
      </w:r>
      <w:r>
        <w:rPr>
          <w:spacing w:val="-8"/>
          <w:sz w:val="18"/>
        </w:rPr>
        <w:t xml:space="preserve"> </w:t>
      </w:r>
      <w:r>
        <w:rPr>
          <w:sz w:val="18"/>
        </w:rPr>
        <w:t>Final</w:t>
      </w:r>
      <w:r>
        <w:rPr>
          <w:spacing w:val="-8"/>
          <w:sz w:val="18"/>
        </w:rPr>
        <w:t xml:space="preserve"> </w:t>
      </w:r>
      <w:r>
        <w:rPr>
          <w:sz w:val="18"/>
        </w:rPr>
        <w:t>Determination</w:t>
      </w:r>
      <w:r>
        <w:rPr>
          <w:spacing w:val="-8"/>
          <w:sz w:val="18"/>
        </w:rPr>
        <w:t xml:space="preserve"> </w:t>
      </w:r>
      <w:r>
        <w:rPr>
          <w:sz w:val="18"/>
        </w:rPr>
        <w:t>(Exhibit</w:t>
      </w:r>
      <w:r>
        <w:rPr>
          <w:spacing w:val="-8"/>
          <w:sz w:val="18"/>
        </w:rPr>
        <w:t xml:space="preserve"> </w:t>
      </w:r>
      <w:r>
        <w:rPr>
          <w:sz w:val="18"/>
        </w:rPr>
        <w:t>AUS‐2),</w:t>
      </w:r>
      <w:r>
        <w:rPr>
          <w:spacing w:val="-9"/>
          <w:sz w:val="18"/>
        </w:rPr>
        <w:t xml:space="preserve"> </w:t>
      </w:r>
      <w:r>
        <w:rPr>
          <w:sz w:val="18"/>
        </w:rPr>
        <w:t>pp.</w:t>
      </w:r>
      <w:r>
        <w:rPr>
          <w:spacing w:val="-8"/>
          <w:sz w:val="18"/>
        </w:rPr>
        <w:t xml:space="preserve"> </w:t>
      </w:r>
      <w:r>
        <w:rPr>
          <w:sz w:val="18"/>
        </w:rPr>
        <w:t>123,</w:t>
      </w:r>
      <w:r>
        <w:rPr>
          <w:spacing w:val="-9"/>
          <w:sz w:val="18"/>
        </w:rPr>
        <w:t xml:space="preserve"> </w:t>
      </w:r>
      <w:r>
        <w:rPr>
          <w:spacing w:val="-4"/>
          <w:sz w:val="18"/>
        </w:rPr>
        <w:t>148.</w:t>
      </w:r>
    </w:p>
    <w:p w14:paraId="51DE90BD" w14:textId="77777777" w:rsidR="0010369C" w:rsidRDefault="008E43AE">
      <w:pPr>
        <w:ind w:left="237" w:right="612" w:firstLine="1"/>
        <w:jc w:val="both"/>
        <w:rPr>
          <w:sz w:val="18"/>
        </w:rPr>
      </w:pPr>
      <w:r>
        <w:rPr>
          <w:sz w:val="18"/>
          <w:vertAlign w:val="superscript"/>
        </w:rPr>
        <w:t>744</w:t>
      </w:r>
      <w:r>
        <w:rPr>
          <w:spacing w:val="-6"/>
          <w:sz w:val="18"/>
        </w:rPr>
        <w:t xml:space="preserve"> </w:t>
      </w:r>
      <w:r>
        <w:rPr>
          <w:sz w:val="18"/>
        </w:rPr>
        <w:t>Output</w:t>
      </w:r>
      <w:r>
        <w:rPr>
          <w:spacing w:val="-6"/>
          <w:sz w:val="18"/>
        </w:rPr>
        <w:t xml:space="preserve"> </w:t>
      </w:r>
      <w:r>
        <w:rPr>
          <w:sz w:val="18"/>
        </w:rPr>
        <w:t>volumes</w:t>
      </w:r>
      <w:r>
        <w:rPr>
          <w:spacing w:val="-7"/>
          <w:sz w:val="18"/>
        </w:rPr>
        <w:t xml:space="preserve"> </w:t>
      </w:r>
      <w:r>
        <w:rPr>
          <w:sz w:val="18"/>
        </w:rPr>
        <w:t>as</w:t>
      </w:r>
      <w:r>
        <w:rPr>
          <w:spacing w:val="-7"/>
          <w:sz w:val="18"/>
        </w:rPr>
        <w:t xml:space="preserve"> </w:t>
      </w:r>
      <w:r>
        <w:rPr>
          <w:sz w:val="18"/>
        </w:rPr>
        <w:t>a</w:t>
      </w:r>
      <w:r>
        <w:rPr>
          <w:spacing w:val="-6"/>
          <w:sz w:val="18"/>
        </w:rPr>
        <w:t xml:space="preserve"> </w:t>
      </w:r>
      <w:r>
        <w:rPr>
          <w:sz w:val="18"/>
        </w:rPr>
        <w:t>percentage</w:t>
      </w:r>
      <w:r>
        <w:rPr>
          <w:spacing w:val="-7"/>
          <w:sz w:val="18"/>
        </w:rPr>
        <w:t xml:space="preserve"> </w:t>
      </w:r>
      <w:r>
        <w:rPr>
          <w:sz w:val="18"/>
        </w:rPr>
        <w:t>of</w:t>
      </w:r>
      <w:r>
        <w:rPr>
          <w:spacing w:val="-6"/>
          <w:sz w:val="18"/>
        </w:rPr>
        <w:t xml:space="preserve"> </w:t>
      </w:r>
      <w:r>
        <w:rPr>
          <w:sz w:val="18"/>
        </w:rPr>
        <w:t>apparent</w:t>
      </w:r>
      <w:r>
        <w:rPr>
          <w:spacing w:val="-6"/>
          <w:sz w:val="18"/>
        </w:rPr>
        <w:t xml:space="preserve"> </w:t>
      </w:r>
      <w:r>
        <w:rPr>
          <w:sz w:val="18"/>
        </w:rPr>
        <w:t>consumption</w:t>
      </w:r>
      <w:r>
        <w:rPr>
          <w:spacing w:val="-6"/>
          <w:sz w:val="18"/>
        </w:rPr>
        <w:t xml:space="preserve"> </w:t>
      </w:r>
      <w:r>
        <w:rPr>
          <w:sz w:val="18"/>
        </w:rPr>
        <w:t>for</w:t>
      </w:r>
      <w:r>
        <w:rPr>
          <w:spacing w:val="-6"/>
          <w:sz w:val="18"/>
        </w:rPr>
        <w:t xml:space="preserve"> </w:t>
      </w:r>
      <w:r>
        <w:rPr>
          <w:sz w:val="18"/>
        </w:rPr>
        <w:t>the</w:t>
      </w:r>
      <w:r>
        <w:rPr>
          <w:spacing w:val="-7"/>
          <w:sz w:val="18"/>
        </w:rPr>
        <w:t xml:space="preserve"> </w:t>
      </w:r>
      <w:r>
        <w:rPr>
          <w:sz w:val="18"/>
        </w:rPr>
        <w:t>21</w:t>
      </w:r>
      <w:r>
        <w:rPr>
          <w:spacing w:val="-6"/>
          <w:sz w:val="18"/>
        </w:rPr>
        <w:t xml:space="preserve"> </w:t>
      </w:r>
      <w:r>
        <w:rPr>
          <w:sz w:val="18"/>
        </w:rPr>
        <w:t>domestic</w:t>
      </w:r>
      <w:r>
        <w:rPr>
          <w:spacing w:val="-5"/>
          <w:sz w:val="18"/>
        </w:rPr>
        <w:t xml:space="preserve"> </w:t>
      </w:r>
      <w:r>
        <w:rPr>
          <w:sz w:val="18"/>
        </w:rPr>
        <w:t>respondents</w:t>
      </w:r>
      <w:r>
        <w:rPr>
          <w:spacing w:val="-6"/>
          <w:sz w:val="18"/>
        </w:rPr>
        <w:t xml:space="preserve"> </w:t>
      </w:r>
      <w:r>
        <w:rPr>
          <w:sz w:val="18"/>
        </w:rPr>
        <w:t>for</w:t>
      </w:r>
      <w:r>
        <w:rPr>
          <w:spacing w:val="-6"/>
          <w:sz w:val="18"/>
        </w:rPr>
        <w:t xml:space="preserve"> </w:t>
      </w:r>
      <w:r>
        <w:rPr>
          <w:sz w:val="18"/>
        </w:rPr>
        <w:t>each</w:t>
      </w:r>
      <w:r>
        <w:rPr>
          <w:spacing w:val="-6"/>
          <w:sz w:val="18"/>
        </w:rPr>
        <w:t xml:space="preserve"> </w:t>
      </w:r>
      <w:r>
        <w:rPr>
          <w:sz w:val="18"/>
        </w:rPr>
        <w:t>year</w:t>
      </w:r>
      <w:r>
        <w:rPr>
          <w:spacing w:val="-6"/>
          <w:sz w:val="18"/>
        </w:rPr>
        <w:t xml:space="preserve"> </w:t>
      </w:r>
      <w:r>
        <w:rPr>
          <w:sz w:val="18"/>
        </w:rPr>
        <w:t>in</w:t>
      </w:r>
      <w:r>
        <w:rPr>
          <w:spacing w:val="-6"/>
          <w:sz w:val="18"/>
        </w:rPr>
        <w:t xml:space="preserve"> </w:t>
      </w:r>
      <w:r>
        <w:rPr>
          <w:sz w:val="18"/>
        </w:rPr>
        <w:t>the</w:t>
      </w:r>
      <w:r>
        <w:rPr>
          <w:spacing w:val="-5"/>
          <w:sz w:val="18"/>
        </w:rPr>
        <w:t xml:space="preserve"> </w:t>
      </w:r>
      <w:r>
        <w:rPr>
          <w:sz w:val="18"/>
        </w:rPr>
        <w:t>Injury</w:t>
      </w:r>
      <w:r>
        <w:rPr>
          <w:spacing w:val="-7"/>
          <w:sz w:val="18"/>
        </w:rPr>
        <w:t xml:space="preserve"> </w:t>
      </w:r>
      <w:r>
        <w:rPr>
          <w:sz w:val="18"/>
        </w:rPr>
        <w:t>POI were: 33.01% in</w:t>
      </w:r>
      <w:r>
        <w:rPr>
          <w:spacing w:val="-1"/>
          <w:sz w:val="18"/>
        </w:rPr>
        <w:t xml:space="preserve"> </w:t>
      </w:r>
      <w:r>
        <w:rPr>
          <w:sz w:val="18"/>
        </w:rPr>
        <w:t>2015,</w:t>
      </w:r>
      <w:r>
        <w:rPr>
          <w:spacing w:val="-1"/>
          <w:sz w:val="18"/>
        </w:rPr>
        <w:t xml:space="preserve"> </w:t>
      </w:r>
      <w:r>
        <w:rPr>
          <w:sz w:val="18"/>
        </w:rPr>
        <w:t>28.95% in</w:t>
      </w:r>
      <w:r>
        <w:rPr>
          <w:spacing w:val="-1"/>
          <w:sz w:val="18"/>
        </w:rPr>
        <w:t xml:space="preserve"> </w:t>
      </w:r>
      <w:r>
        <w:rPr>
          <w:sz w:val="18"/>
        </w:rPr>
        <w:t>2016,</w:t>
      </w:r>
      <w:r>
        <w:rPr>
          <w:spacing w:val="-1"/>
          <w:sz w:val="18"/>
        </w:rPr>
        <w:t xml:space="preserve"> </w:t>
      </w:r>
      <w:r>
        <w:rPr>
          <w:sz w:val="18"/>
        </w:rPr>
        <w:t>24.80% in</w:t>
      </w:r>
      <w:r>
        <w:rPr>
          <w:spacing w:val="-1"/>
          <w:sz w:val="18"/>
        </w:rPr>
        <w:t xml:space="preserve"> </w:t>
      </w:r>
      <w:r>
        <w:rPr>
          <w:sz w:val="18"/>
        </w:rPr>
        <w:t>2017,</w:t>
      </w:r>
      <w:r>
        <w:rPr>
          <w:spacing w:val="-1"/>
          <w:sz w:val="18"/>
        </w:rPr>
        <w:t xml:space="preserve"> </w:t>
      </w:r>
      <w:r>
        <w:rPr>
          <w:sz w:val="18"/>
        </w:rPr>
        <w:t>25.81% in</w:t>
      </w:r>
      <w:r>
        <w:rPr>
          <w:spacing w:val="-1"/>
          <w:sz w:val="18"/>
        </w:rPr>
        <w:t xml:space="preserve"> </w:t>
      </w:r>
      <w:r>
        <w:rPr>
          <w:sz w:val="18"/>
        </w:rPr>
        <w:t>2018 and 23.61% in 2019. Australia has calculated output as</w:t>
      </w:r>
      <w:r>
        <w:rPr>
          <w:spacing w:val="-3"/>
          <w:sz w:val="18"/>
        </w:rPr>
        <w:t xml:space="preserve"> </w:t>
      </w:r>
      <w:r>
        <w:rPr>
          <w:sz w:val="18"/>
        </w:rPr>
        <w:t>a</w:t>
      </w:r>
      <w:r>
        <w:rPr>
          <w:spacing w:val="-4"/>
          <w:sz w:val="18"/>
        </w:rPr>
        <w:t xml:space="preserve"> </w:t>
      </w:r>
      <w:r>
        <w:rPr>
          <w:sz w:val="18"/>
        </w:rPr>
        <w:t>percentage</w:t>
      </w:r>
      <w:r>
        <w:rPr>
          <w:spacing w:val="-3"/>
          <w:sz w:val="18"/>
        </w:rPr>
        <w:t xml:space="preserve"> </w:t>
      </w:r>
      <w:r>
        <w:rPr>
          <w:sz w:val="18"/>
        </w:rPr>
        <w:t>of</w:t>
      </w:r>
      <w:r>
        <w:rPr>
          <w:spacing w:val="-3"/>
          <w:sz w:val="18"/>
        </w:rPr>
        <w:t xml:space="preserve"> </w:t>
      </w:r>
      <w:r>
        <w:rPr>
          <w:sz w:val="18"/>
        </w:rPr>
        <w:t>apparent</w:t>
      </w:r>
      <w:r>
        <w:rPr>
          <w:spacing w:val="-3"/>
          <w:sz w:val="18"/>
        </w:rPr>
        <w:t xml:space="preserve"> </w:t>
      </w:r>
      <w:r>
        <w:rPr>
          <w:sz w:val="18"/>
        </w:rPr>
        <w:t>consumption</w:t>
      </w:r>
      <w:r>
        <w:rPr>
          <w:spacing w:val="-3"/>
          <w:sz w:val="18"/>
        </w:rPr>
        <w:t xml:space="preserve"> </w:t>
      </w:r>
      <w:r>
        <w:rPr>
          <w:sz w:val="18"/>
        </w:rPr>
        <w:t>using</w:t>
      </w:r>
      <w:r>
        <w:rPr>
          <w:spacing w:val="-2"/>
          <w:sz w:val="18"/>
        </w:rPr>
        <w:t xml:space="preserve"> </w:t>
      </w:r>
      <w:r>
        <w:rPr>
          <w:sz w:val="18"/>
        </w:rPr>
        <w:t>the</w:t>
      </w:r>
      <w:r>
        <w:rPr>
          <w:spacing w:val="-3"/>
          <w:sz w:val="18"/>
        </w:rPr>
        <w:t xml:space="preserve"> </w:t>
      </w:r>
      <w:r>
        <w:rPr>
          <w:sz w:val="18"/>
        </w:rPr>
        <w:t>following</w:t>
      </w:r>
      <w:r>
        <w:rPr>
          <w:spacing w:val="-3"/>
          <w:sz w:val="18"/>
        </w:rPr>
        <w:t xml:space="preserve"> </w:t>
      </w:r>
      <w:r>
        <w:rPr>
          <w:sz w:val="18"/>
        </w:rPr>
        <w:t>formula:</w:t>
      </w:r>
      <w:r>
        <w:rPr>
          <w:spacing w:val="-4"/>
          <w:sz w:val="18"/>
        </w:rPr>
        <w:t xml:space="preserve"> </w:t>
      </w:r>
      <w:r>
        <w:rPr>
          <w:sz w:val="18"/>
        </w:rPr>
        <w:t>(Domestic</w:t>
      </w:r>
      <w:r>
        <w:rPr>
          <w:spacing w:val="-3"/>
          <w:sz w:val="18"/>
        </w:rPr>
        <w:t xml:space="preserve"> </w:t>
      </w:r>
      <w:r>
        <w:rPr>
          <w:sz w:val="18"/>
        </w:rPr>
        <w:t>Output</w:t>
      </w:r>
      <w:r>
        <w:rPr>
          <w:spacing w:val="-4"/>
          <w:sz w:val="18"/>
        </w:rPr>
        <w:t xml:space="preserve"> </w:t>
      </w:r>
      <w:r>
        <w:rPr>
          <w:sz w:val="18"/>
        </w:rPr>
        <w:t>/</w:t>
      </w:r>
      <w:r>
        <w:rPr>
          <w:spacing w:val="-4"/>
          <w:sz w:val="18"/>
        </w:rPr>
        <w:t xml:space="preserve"> </w:t>
      </w:r>
      <w:r>
        <w:rPr>
          <w:sz w:val="18"/>
        </w:rPr>
        <w:t>App</w:t>
      </w:r>
      <w:r>
        <w:rPr>
          <w:sz w:val="18"/>
        </w:rPr>
        <w:t>arent</w:t>
      </w:r>
      <w:r>
        <w:rPr>
          <w:spacing w:val="-4"/>
          <w:sz w:val="18"/>
        </w:rPr>
        <w:t xml:space="preserve"> </w:t>
      </w:r>
      <w:r>
        <w:rPr>
          <w:sz w:val="18"/>
        </w:rPr>
        <w:t>consumption)*100.</w:t>
      </w:r>
      <w:r>
        <w:rPr>
          <w:spacing w:val="-4"/>
          <w:sz w:val="18"/>
        </w:rPr>
        <w:t xml:space="preserve"> </w:t>
      </w:r>
      <w:r>
        <w:rPr>
          <w:sz w:val="18"/>
        </w:rPr>
        <w:t xml:space="preserve">For output and apparent consumption volumes see Anti‐Dumping Final Determination (Exhibit AUS‐2), pp. 111, 123‐124, 148‐ </w:t>
      </w:r>
      <w:r>
        <w:rPr>
          <w:spacing w:val="-4"/>
          <w:sz w:val="18"/>
        </w:rPr>
        <w:t>149.</w:t>
      </w:r>
    </w:p>
    <w:p w14:paraId="51DE90BE" w14:textId="77777777" w:rsidR="0010369C" w:rsidRDefault="008E43AE">
      <w:pPr>
        <w:ind w:left="238" w:right="612"/>
        <w:jc w:val="both"/>
        <w:rPr>
          <w:sz w:val="18"/>
        </w:rPr>
      </w:pPr>
      <w:r>
        <w:rPr>
          <w:sz w:val="18"/>
          <w:vertAlign w:val="superscript"/>
        </w:rPr>
        <w:t>745</w:t>
      </w:r>
      <w:r>
        <w:rPr>
          <w:sz w:val="18"/>
        </w:rPr>
        <w:t xml:space="preserve"> Output volumes as a percentage of production capacity for the 21 domestic respondents for each year in</w:t>
      </w:r>
      <w:r>
        <w:rPr>
          <w:sz w:val="18"/>
        </w:rPr>
        <w:t xml:space="preserve"> the Injury POI were: 39.43% in</w:t>
      </w:r>
      <w:r>
        <w:rPr>
          <w:spacing w:val="-1"/>
          <w:sz w:val="18"/>
        </w:rPr>
        <w:t xml:space="preserve"> </w:t>
      </w:r>
      <w:r>
        <w:rPr>
          <w:sz w:val="18"/>
        </w:rPr>
        <w:t>2015,</w:t>
      </w:r>
      <w:r>
        <w:rPr>
          <w:spacing w:val="-1"/>
          <w:sz w:val="18"/>
        </w:rPr>
        <w:t xml:space="preserve"> </w:t>
      </w:r>
      <w:r>
        <w:rPr>
          <w:sz w:val="18"/>
        </w:rPr>
        <w:t>37.01% in</w:t>
      </w:r>
      <w:r>
        <w:rPr>
          <w:spacing w:val="-1"/>
          <w:sz w:val="18"/>
        </w:rPr>
        <w:t xml:space="preserve"> </w:t>
      </w:r>
      <w:r>
        <w:rPr>
          <w:sz w:val="18"/>
        </w:rPr>
        <w:t>2016,</w:t>
      </w:r>
      <w:r>
        <w:rPr>
          <w:spacing w:val="-1"/>
          <w:sz w:val="18"/>
        </w:rPr>
        <w:t xml:space="preserve"> </w:t>
      </w:r>
      <w:r>
        <w:rPr>
          <w:sz w:val="18"/>
        </w:rPr>
        <w:t>36.11% in</w:t>
      </w:r>
      <w:r>
        <w:rPr>
          <w:spacing w:val="-1"/>
          <w:sz w:val="18"/>
        </w:rPr>
        <w:t xml:space="preserve"> </w:t>
      </w:r>
      <w:r>
        <w:rPr>
          <w:sz w:val="18"/>
        </w:rPr>
        <w:t>2017,</w:t>
      </w:r>
      <w:r>
        <w:rPr>
          <w:spacing w:val="-1"/>
          <w:sz w:val="18"/>
        </w:rPr>
        <w:t xml:space="preserve"> </w:t>
      </w:r>
      <w:r>
        <w:rPr>
          <w:sz w:val="18"/>
        </w:rPr>
        <w:t>34.52% in</w:t>
      </w:r>
      <w:r>
        <w:rPr>
          <w:spacing w:val="-1"/>
          <w:sz w:val="18"/>
        </w:rPr>
        <w:t xml:space="preserve"> </w:t>
      </w:r>
      <w:r>
        <w:rPr>
          <w:sz w:val="18"/>
        </w:rPr>
        <w:t>2018 and 26.98% in 2019. Australia has calculated output as</w:t>
      </w:r>
      <w:r>
        <w:rPr>
          <w:spacing w:val="-1"/>
          <w:sz w:val="18"/>
        </w:rPr>
        <w:t xml:space="preserve"> </w:t>
      </w:r>
      <w:r>
        <w:rPr>
          <w:sz w:val="18"/>
        </w:rPr>
        <w:t>a</w:t>
      </w:r>
      <w:r>
        <w:rPr>
          <w:spacing w:val="-1"/>
          <w:sz w:val="18"/>
        </w:rPr>
        <w:t xml:space="preserve"> </w:t>
      </w:r>
      <w:r>
        <w:rPr>
          <w:sz w:val="18"/>
        </w:rPr>
        <w:t>percentage</w:t>
      </w:r>
      <w:r>
        <w:rPr>
          <w:spacing w:val="-1"/>
          <w:sz w:val="18"/>
        </w:rPr>
        <w:t xml:space="preserve"> </w:t>
      </w:r>
      <w:r>
        <w:rPr>
          <w:sz w:val="18"/>
        </w:rPr>
        <w:t>of</w:t>
      </w:r>
      <w:r>
        <w:rPr>
          <w:spacing w:val="-1"/>
          <w:sz w:val="18"/>
        </w:rPr>
        <w:t xml:space="preserve"> </w:t>
      </w:r>
      <w:r>
        <w:rPr>
          <w:sz w:val="18"/>
        </w:rPr>
        <w:t>production capacity</w:t>
      </w:r>
      <w:r>
        <w:rPr>
          <w:spacing w:val="-1"/>
          <w:sz w:val="18"/>
        </w:rPr>
        <w:t xml:space="preserve"> </w:t>
      </w:r>
      <w:r>
        <w:rPr>
          <w:sz w:val="18"/>
        </w:rPr>
        <w:t>using the following</w:t>
      </w:r>
      <w:r>
        <w:rPr>
          <w:spacing w:val="-1"/>
          <w:sz w:val="18"/>
        </w:rPr>
        <w:t xml:space="preserve"> </w:t>
      </w:r>
      <w:r>
        <w:rPr>
          <w:sz w:val="18"/>
        </w:rPr>
        <w:t>formula:</w:t>
      </w:r>
      <w:r>
        <w:rPr>
          <w:spacing w:val="-1"/>
          <w:sz w:val="18"/>
        </w:rPr>
        <w:t xml:space="preserve"> </w:t>
      </w:r>
      <w:r>
        <w:rPr>
          <w:sz w:val="18"/>
        </w:rPr>
        <w:t>(Domestic</w:t>
      </w:r>
      <w:r>
        <w:rPr>
          <w:spacing w:val="-2"/>
          <w:sz w:val="18"/>
        </w:rPr>
        <w:t xml:space="preserve"> </w:t>
      </w:r>
      <w:r>
        <w:rPr>
          <w:sz w:val="18"/>
        </w:rPr>
        <w:t>Output</w:t>
      </w:r>
      <w:r>
        <w:rPr>
          <w:spacing w:val="-1"/>
          <w:sz w:val="18"/>
        </w:rPr>
        <w:t xml:space="preserve"> </w:t>
      </w:r>
      <w:r>
        <w:rPr>
          <w:sz w:val="18"/>
        </w:rPr>
        <w:t>/</w:t>
      </w:r>
      <w:r>
        <w:rPr>
          <w:spacing w:val="-1"/>
          <w:sz w:val="18"/>
        </w:rPr>
        <w:t xml:space="preserve"> </w:t>
      </w:r>
      <w:r>
        <w:rPr>
          <w:sz w:val="18"/>
        </w:rPr>
        <w:t>Domestic capacity)*100.</w:t>
      </w:r>
      <w:r>
        <w:rPr>
          <w:spacing w:val="-1"/>
          <w:sz w:val="18"/>
        </w:rPr>
        <w:t xml:space="preserve"> </w:t>
      </w:r>
      <w:r>
        <w:rPr>
          <w:sz w:val="18"/>
        </w:rPr>
        <w:t>For</w:t>
      </w:r>
      <w:r>
        <w:rPr>
          <w:spacing w:val="-1"/>
          <w:sz w:val="18"/>
        </w:rPr>
        <w:t xml:space="preserve"> </w:t>
      </w:r>
      <w:r>
        <w:rPr>
          <w:sz w:val="18"/>
        </w:rPr>
        <w:t>output and capacity volumes see Anti‐Dumping Final Determination (Exhibit AUS‐2), pp. 123‐124, 148‐149.</w:t>
      </w:r>
    </w:p>
    <w:p w14:paraId="51DE90BF" w14:textId="77777777" w:rsidR="0010369C" w:rsidRDefault="0010369C">
      <w:pPr>
        <w:jc w:val="both"/>
        <w:rPr>
          <w:sz w:val="18"/>
        </w:rPr>
        <w:sectPr w:rsidR="0010369C">
          <w:pgSz w:w="11910" w:h="16840"/>
          <w:pgMar w:top="880" w:right="800" w:bottom="980" w:left="1180" w:header="569" w:footer="788" w:gutter="0"/>
          <w:cols w:space="720"/>
        </w:sectPr>
      </w:pPr>
    </w:p>
    <w:p w14:paraId="51DE90C0" w14:textId="77777777" w:rsidR="0010369C" w:rsidRDefault="008E43AE">
      <w:pPr>
        <w:tabs>
          <w:tab w:val="left" w:pos="6426"/>
        </w:tabs>
        <w:ind w:left="238"/>
        <w:rPr>
          <w:sz w:val="20"/>
        </w:rPr>
      </w:pPr>
      <w:r>
        <w:rPr>
          <w:i/>
          <w:sz w:val="20"/>
        </w:rPr>
        <w:lastRenderedPageBreak/>
        <w:t>China</w:t>
      </w:r>
      <w:r>
        <w:rPr>
          <w:i/>
          <w:spacing w:val="-5"/>
          <w:sz w:val="20"/>
        </w:rPr>
        <w:t xml:space="preserve"> </w:t>
      </w:r>
      <w:r>
        <w:rPr>
          <w:i/>
          <w:sz w:val="20"/>
        </w:rPr>
        <w:t>–</w:t>
      </w:r>
      <w:r>
        <w:rPr>
          <w:i/>
          <w:spacing w:val="-5"/>
          <w:sz w:val="20"/>
        </w:rPr>
        <w:t xml:space="preserve"> </w:t>
      </w:r>
      <w:r>
        <w:rPr>
          <w:i/>
          <w:sz w:val="20"/>
        </w:rPr>
        <w:t>Anti‐Dumping</w:t>
      </w:r>
      <w:r>
        <w:rPr>
          <w:i/>
          <w:spacing w:val="-4"/>
          <w:sz w:val="20"/>
        </w:rPr>
        <w:t xml:space="preserve"> </w:t>
      </w:r>
      <w:r>
        <w:rPr>
          <w:i/>
          <w:sz w:val="20"/>
        </w:rPr>
        <w:t>and</w:t>
      </w:r>
      <w:r>
        <w:rPr>
          <w:i/>
          <w:spacing w:val="-5"/>
          <w:sz w:val="20"/>
        </w:rPr>
        <w:t xml:space="preserve"> </w:t>
      </w:r>
      <w:r>
        <w:rPr>
          <w:i/>
          <w:sz w:val="20"/>
        </w:rPr>
        <w:t>Countervailing</w:t>
      </w:r>
      <w:r>
        <w:rPr>
          <w:i/>
          <w:spacing w:val="-5"/>
          <w:sz w:val="20"/>
        </w:rPr>
        <w:t xml:space="preserve"> </w:t>
      </w:r>
      <w:r>
        <w:rPr>
          <w:i/>
          <w:sz w:val="20"/>
        </w:rPr>
        <w:t>Duty</w:t>
      </w:r>
      <w:r>
        <w:rPr>
          <w:i/>
          <w:spacing w:val="-4"/>
          <w:sz w:val="20"/>
        </w:rPr>
        <w:t xml:space="preserve"> </w:t>
      </w:r>
      <w:r>
        <w:rPr>
          <w:i/>
          <w:spacing w:val="-2"/>
          <w:sz w:val="20"/>
        </w:rPr>
        <w:t>Measures</w:t>
      </w:r>
      <w:r>
        <w:rPr>
          <w:i/>
          <w:sz w:val="20"/>
        </w:rPr>
        <w:tab/>
      </w:r>
      <w:r>
        <w:rPr>
          <w:sz w:val="20"/>
        </w:rPr>
        <w:t>Australia's</w:t>
      </w:r>
      <w:r>
        <w:rPr>
          <w:spacing w:val="-7"/>
          <w:sz w:val="20"/>
        </w:rPr>
        <w:t xml:space="preserve"> </w:t>
      </w:r>
      <w:r>
        <w:rPr>
          <w:sz w:val="20"/>
        </w:rPr>
        <w:t>First</w:t>
      </w:r>
      <w:r>
        <w:rPr>
          <w:spacing w:val="-2"/>
          <w:sz w:val="20"/>
        </w:rPr>
        <w:t xml:space="preserve"> </w:t>
      </w:r>
      <w:r>
        <w:rPr>
          <w:sz w:val="20"/>
        </w:rPr>
        <w:t>Written</w:t>
      </w:r>
      <w:r>
        <w:rPr>
          <w:spacing w:val="-2"/>
          <w:sz w:val="20"/>
        </w:rPr>
        <w:t xml:space="preserve"> Submission</w:t>
      </w:r>
    </w:p>
    <w:p w14:paraId="51DE90C1" w14:textId="77777777" w:rsidR="0010369C" w:rsidRDefault="008E43AE">
      <w:pPr>
        <w:tabs>
          <w:tab w:val="left" w:pos="8228"/>
        </w:tabs>
        <w:spacing w:before="1"/>
        <w:ind w:left="239"/>
        <w:rPr>
          <w:sz w:val="20"/>
        </w:rPr>
      </w:pPr>
      <w:r>
        <w:rPr>
          <w:i/>
          <w:sz w:val="20"/>
        </w:rPr>
        <w:t>on</w:t>
      </w:r>
      <w:r>
        <w:rPr>
          <w:i/>
          <w:spacing w:val="-1"/>
          <w:sz w:val="20"/>
        </w:rPr>
        <w:t xml:space="preserve"> </w:t>
      </w:r>
      <w:r>
        <w:rPr>
          <w:i/>
          <w:sz w:val="20"/>
        </w:rPr>
        <w:t>Wine</w:t>
      </w:r>
      <w:r>
        <w:rPr>
          <w:i/>
          <w:spacing w:val="-1"/>
          <w:sz w:val="20"/>
        </w:rPr>
        <w:t xml:space="preserve"> </w:t>
      </w:r>
      <w:r>
        <w:rPr>
          <w:i/>
          <w:sz w:val="20"/>
        </w:rPr>
        <w:t>from</w:t>
      </w:r>
      <w:r>
        <w:rPr>
          <w:i/>
          <w:spacing w:val="-3"/>
          <w:sz w:val="20"/>
        </w:rPr>
        <w:t xml:space="preserve"> </w:t>
      </w:r>
      <w:r>
        <w:rPr>
          <w:i/>
          <w:sz w:val="20"/>
        </w:rPr>
        <w:t>Australia</w:t>
      </w:r>
      <w:r>
        <w:rPr>
          <w:i/>
          <w:spacing w:val="-1"/>
          <w:sz w:val="20"/>
        </w:rPr>
        <w:t xml:space="preserve"> </w:t>
      </w:r>
      <w:r>
        <w:rPr>
          <w:spacing w:val="-2"/>
          <w:sz w:val="20"/>
        </w:rPr>
        <w:t>(DS602)</w:t>
      </w:r>
      <w:r>
        <w:rPr>
          <w:sz w:val="20"/>
        </w:rPr>
        <w:tab/>
        <w:t>29</w:t>
      </w:r>
      <w:r>
        <w:rPr>
          <w:spacing w:val="-1"/>
          <w:sz w:val="20"/>
        </w:rPr>
        <w:t xml:space="preserve"> </w:t>
      </w:r>
      <w:r>
        <w:rPr>
          <w:sz w:val="20"/>
        </w:rPr>
        <w:t>April</w:t>
      </w:r>
      <w:r>
        <w:rPr>
          <w:spacing w:val="-2"/>
          <w:sz w:val="20"/>
        </w:rPr>
        <w:t xml:space="preserve"> </w:t>
      </w:r>
      <w:r>
        <w:rPr>
          <w:spacing w:val="-4"/>
          <w:sz w:val="20"/>
        </w:rPr>
        <w:t>2022</w:t>
      </w:r>
    </w:p>
    <w:p w14:paraId="51DE90C2" w14:textId="77777777" w:rsidR="0010369C" w:rsidRDefault="008E43AE">
      <w:pPr>
        <w:pStyle w:val="ListParagraph"/>
        <w:numPr>
          <w:ilvl w:val="2"/>
          <w:numId w:val="50"/>
        </w:numPr>
        <w:tabs>
          <w:tab w:val="left" w:pos="4493"/>
          <w:tab w:val="left" w:pos="4494"/>
        </w:tabs>
        <w:spacing w:before="35"/>
        <w:ind w:hanging="852"/>
        <w:rPr>
          <w:i/>
          <w:sz w:val="24"/>
        </w:rPr>
      </w:pPr>
      <w:r>
        <w:rPr>
          <w:i/>
          <w:sz w:val="24"/>
        </w:rPr>
        <w:t>Cost</w:t>
      </w:r>
      <w:r>
        <w:rPr>
          <w:i/>
          <w:spacing w:val="-5"/>
          <w:sz w:val="24"/>
        </w:rPr>
        <w:t xml:space="preserve"> </w:t>
      </w:r>
      <w:r>
        <w:rPr>
          <w:i/>
          <w:sz w:val="24"/>
        </w:rPr>
        <w:t>of</w:t>
      </w:r>
      <w:r>
        <w:rPr>
          <w:i/>
          <w:spacing w:val="-4"/>
          <w:sz w:val="24"/>
        </w:rPr>
        <w:t xml:space="preserve"> </w:t>
      </w:r>
      <w:r>
        <w:rPr>
          <w:i/>
          <w:sz w:val="24"/>
        </w:rPr>
        <w:t>raw</w:t>
      </w:r>
      <w:r>
        <w:rPr>
          <w:i/>
          <w:spacing w:val="-5"/>
          <w:sz w:val="24"/>
        </w:rPr>
        <w:t xml:space="preserve"> </w:t>
      </w:r>
      <w:r>
        <w:rPr>
          <w:i/>
          <w:spacing w:val="-2"/>
          <w:sz w:val="24"/>
        </w:rPr>
        <w:t>materials</w:t>
      </w:r>
    </w:p>
    <w:p w14:paraId="51DE90C3" w14:textId="77777777" w:rsidR="0010369C" w:rsidRDefault="0010369C">
      <w:pPr>
        <w:pStyle w:val="BodyText"/>
        <w:spacing w:before="9"/>
        <w:rPr>
          <w:i/>
          <w:sz w:val="20"/>
        </w:rPr>
      </w:pPr>
    </w:p>
    <w:p w14:paraId="51DE90C4" w14:textId="77777777" w:rsidR="0010369C" w:rsidRDefault="008E43AE">
      <w:pPr>
        <w:pStyle w:val="BodyText"/>
        <w:spacing w:before="52" w:line="360" w:lineRule="auto"/>
        <w:ind w:left="238" w:right="614" w:firstLine="850"/>
        <w:jc w:val="both"/>
      </w:pPr>
      <w:r>
        <w:rPr>
          <w:noProof/>
        </w:rPr>
        <w:drawing>
          <wp:anchor distT="0" distB="0" distL="0" distR="0" simplePos="0" relativeHeight="251261440" behindDoc="1" locked="0" layoutInCell="1" allowOverlap="1" wp14:anchorId="51DEA530" wp14:editId="51DEA531">
            <wp:simplePos x="0" y="0"/>
            <wp:positionH relativeFrom="page">
              <wp:posOffset>905255</wp:posOffset>
            </wp:positionH>
            <wp:positionV relativeFrom="paragraph">
              <wp:posOffset>81357</wp:posOffset>
            </wp:positionV>
            <wp:extent cx="259079" cy="103631"/>
            <wp:effectExtent l="0" t="0" r="0" b="0"/>
            <wp:wrapNone/>
            <wp:docPr id="1267" name="image6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 name="image655.png"/>
                    <pic:cNvPicPr/>
                  </pic:nvPicPr>
                  <pic:blipFill>
                    <a:blip r:embed="rId857" cstate="print"/>
                    <a:stretch>
                      <a:fillRect/>
                    </a:stretch>
                  </pic:blipFill>
                  <pic:spPr>
                    <a:xfrm>
                      <a:off x="0" y="0"/>
                      <a:ext cx="259079" cy="103631"/>
                    </a:xfrm>
                    <a:prstGeom prst="rect">
                      <a:avLst/>
                    </a:prstGeom>
                  </pic:spPr>
                </pic:pic>
              </a:graphicData>
            </a:graphic>
          </wp:anchor>
        </w:drawing>
      </w:r>
      <w:r>
        <w:t>Despite being informed by domestic producers that the cost of raw materials was a key</w:t>
      </w:r>
      <w:r>
        <w:rPr>
          <w:spacing w:val="-8"/>
        </w:rPr>
        <w:t xml:space="preserve"> </w:t>
      </w:r>
      <w:r>
        <w:t>factor</w:t>
      </w:r>
      <w:r>
        <w:rPr>
          <w:spacing w:val="-9"/>
        </w:rPr>
        <w:t xml:space="preserve"> </w:t>
      </w:r>
      <w:r>
        <w:t>affecting</w:t>
      </w:r>
      <w:r>
        <w:rPr>
          <w:spacing w:val="-9"/>
        </w:rPr>
        <w:t xml:space="preserve"> </w:t>
      </w:r>
      <w:r>
        <w:t>domestic</w:t>
      </w:r>
      <w:r>
        <w:rPr>
          <w:spacing w:val="-8"/>
        </w:rPr>
        <w:t xml:space="preserve"> </w:t>
      </w:r>
      <w:r>
        <w:t>prices,</w:t>
      </w:r>
      <w:r>
        <w:rPr>
          <w:spacing w:val="-8"/>
        </w:rPr>
        <w:t xml:space="preserve"> </w:t>
      </w:r>
      <w:r>
        <w:t>MOFCOM</w:t>
      </w:r>
      <w:r>
        <w:rPr>
          <w:spacing w:val="-8"/>
        </w:rPr>
        <w:t xml:space="preserve"> </w:t>
      </w:r>
      <w:r>
        <w:t>did</w:t>
      </w:r>
      <w:r>
        <w:rPr>
          <w:spacing w:val="-9"/>
        </w:rPr>
        <w:t xml:space="preserve"> </w:t>
      </w:r>
      <w:r>
        <w:t>not</w:t>
      </w:r>
      <w:r>
        <w:rPr>
          <w:spacing w:val="-8"/>
        </w:rPr>
        <w:t xml:space="preserve"> </w:t>
      </w:r>
      <w:r>
        <w:t>consider</w:t>
      </w:r>
      <w:r>
        <w:rPr>
          <w:spacing w:val="-9"/>
        </w:rPr>
        <w:t xml:space="preserve"> </w:t>
      </w:r>
      <w:r>
        <w:t>the</w:t>
      </w:r>
      <w:r>
        <w:rPr>
          <w:spacing w:val="-8"/>
        </w:rPr>
        <w:t xml:space="preserve"> </w:t>
      </w:r>
      <w:r>
        <w:t>effect</w:t>
      </w:r>
      <w:r>
        <w:rPr>
          <w:spacing w:val="-11"/>
        </w:rPr>
        <w:t xml:space="preserve"> </w:t>
      </w:r>
      <w:r>
        <w:t>that</w:t>
      </w:r>
      <w:r>
        <w:rPr>
          <w:spacing w:val="-9"/>
        </w:rPr>
        <w:t xml:space="preserve"> </w:t>
      </w:r>
      <w:r>
        <w:t>the</w:t>
      </w:r>
      <w:r>
        <w:rPr>
          <w:spacing w:val="-8"/>
        </w:rPr>
        <w:t xml:space="preserve"> </w:t>
      </w:r>
      <w:r>
        <w:t>cost</w:t>
      </w:r>
      <w:r>
        <w:rPr>
          <w:spacing w:val="-8"/>
        </w:rPr>
        <w:t xml:space="preserve"> </w:t>
      </w:r>
      <w:r>
        <w:t>of</w:t>
      </w:r>
      <w:r>
        <w:rPr>
          <w:spacing w:val="-9"/>
        </w:rPr>
        <w:t xml:space="preserve"> </w:t>
      </w:r>
      <w:r>
        <w:t>raw materials had on domestic prices.</w:t>
      </w:r>
      <w:r>
        <w:rPr>
          <w:vertAlign w:val="superscript"/>
        </w:rPr>
        <w:t>746</w:t>
      </w:r>
    </w:p>
    <w:p w14:paraId="51DE90C5" w14:textId="77777777" w:rsidR="0010369C" w:rsidRDefault="008E43AE">
      <w:pPr>
        <w:pStyle w:val="ListParagraph"/>
        <w:numPr>
          <w:ilvl w:val="2"/>
          <w:numId w:val="50"/>
        </w:numPr>
        <w:tabs>
          <w:tab w:val="left" w:pos="4493"/>
          <w:tab w:val="left" w:pos="4494"/>
        </w:tabs>
        <w:spacing w:before="161"/>
        <w:ind w:hanging="852"/>
        <w:jc w:val="both"/>
        <w:rPr>
          <w:i/>
          <w:sz w:val="24"/>
        </w:rPr>
      </w:pPr>
      <w:r>
        <w:rPr>
          <w:i/>
          <w:spacing w:val="-2"/>
          <w:sz w:val="24"/>
        </w:rPr>
        <w:t>Conclusion</w:t>
      </w:r>
    </w:p>
    <w:p w14:paraId="51DE90C6" w14:textId="77777777" w:rsidR="0010369C" w:rsidRDefault="0010369C">
      <w:pPr>
        <w:pStyle w:val="BodyText"/>
        <w:spacing w:before="10"/>
        <w:rPr>
          <w:i/>
          <w:sz w:val="20"/>
        </w:rPr>
      </w:pPr>
    </w:p>
    <w:p w14:paraId="51DE90C7" w14:textId="77777777" w:rsidR="0010369C" w:rsidRDefault="008E43AE">
      <w:pPr>
        <w:pStyle w:val="BodyText"/>
        <w:spacing w:before="52" w:line="360" w:lineRule="auto"/>
        <w:ind w:left="237" w:right="612" w:firstLine="851"/>
        <w:jc w:val="both"/>
      </w:pPr>
      <w:r>
        <w:rPr>
          <w:noProof/>
        </w:rPr>
        <w:drawing>
          <wp:anchor distT="0" distB="0" distL="0" distR="0" simplePos="0" relativeHeight="251262464" behindDoc="1" locked="0" layoutInCell="1" allowOverlap="1" wp14:anchorId="51DEA532" wp14:editId="51DEA533">
            <wp:simplePos x="0" y="0"/>
            <wp:positionH relativeFrom="page">
              <wp:posOffset>905255</wp:posOffset>
            </wp:positionH>
            <wp:positionV relativeFrom="paragraph">
              <wp:posOffset>81357</wp:posOffset>
            </wp:positionV>
            <wp:extent cx="259079" cy="103631"/>
            <wp:effectExtent l="0" t="0" r="0" b="0"/>
            <wp:wrapNone/>
            <wp:docPr id="1269" name="image6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 name="image656.png"/>
                    <pic:cNvPicPr/>
                  </pic:nvPicPr>
                  <pic:blipFill>
                    <a:blip r:embed="rId858" cstate="print"/>
                    <a:stretch>
                      <a:fillRect/>
                    </a:stretch>
                  </pic:blipFill>
                  <pic:spPr>
                    <a:xfrm>
                      <a:off x="0" y="0"/>
                      <a:ext cx="259079" cy="103631"/>
                    </a:xfrm>
                    <a:prstGeom prst="rect">
                      <a:avLst/>
                    </a:prstGeom>
                  </pic:spPr>
                </pic:pic>
              </a:graphicData>
            </a:graphic>
          </wp:anchor>
        </w:drawing>
      </w:r>
      <w:r>
        <w:t>Once informed that supply and demand in China's market and changes in raw material</w:t>
      </w:r>
      <w:r>
        <w:rPr>
          <w:spacing w:val="-7"/>
        </w:rPr>
        <w:t xml:space="preserve"> </w:t>
      </w:r>
      <w:r>
        <w:t>costs</w:t>
      </w:r>
      <w:r>
        <w:rPr>
          <w:spacing w:val="-7"/>
        </w:rPr>
        <w:t xml:space="preserve"> </w:t>
      </w:r>
      <w:r>
        <w:t>were</w:t>
      </w:r>
      <w:r>
        <w:rPr>
          <w:spacing w:val="-6"/>
        </w:rPr>
        <w:t xml:space="preserve"> </w:t>
      </w:r>
      <w:r>
        <w:t>factors</w:t>
      </w:r>
      <w:r>
        <w:rPr>
          <w:spacing w:val="-6"/>
        </w:rPr>
        <w:t xml:space="preserve"> </w:t>
      </w:r>
      <w:r>
        <w:t>affecting</w:t>
      </w:r>
      <w:r>
        <w:rPr>
          <w:spacing w:val="-7"/>
        </w:rPr>
        <w:t xml:space="preserve"> </w:t>
      </w:r>
      <w:r>
        <w:t>prices</w:t>
      </w:r>
      <w:r>
        <w:rPr>
          <w:spacing w:val="-6"/>
        </w:rPr>
        <w:t xml:space="preserve"> </w:t>
      </w:r>
      <w:r>
        <w:t>of</w:t>
      </w:r>
      <w:r>
        <w:rPr>
          <w:spacing w:val="-6"/>
        </w:rPr>
        <w:t xml:space="preserve"> </w:t>
      </w:r>
      <w:r>
        <w:t>domestic</w:t>
      </w:r>
      <w:r>
        <w:rPr>
          <w:spacing w:val="-5"/>
        </w:rPr>
        <w:t xml:space="preserve"> </w:t>
      </w:r>
      <w:r>
        <w:t>like</w:t>
      </w:r>
      <w:r>
        <w:rPr>
          <w:spacing w:val="-5"/>
        </w:rPr>
        <w:t xml:space="preserve"> </w:t>
      </w:r>
      <w:r>
        <w:t>products,</w:t>
      </w:r>
      <w:r>
        <w:rPr>
          <w:spacing w:val="-5"/>
        </w:rPr>
        <w:t xml:space="preserve"> </w:t>
      </w:r>
      <w:r>
        <w:t>MOFCOM</w:t>
      </w:r>
      <w:r>
        <w:rPr>
          <w:spacing w:val="-6"/>
        </w:rPr>
        <w:t xml:space="preserve"> </w:t>
      </w:r>
      <w:r>
        <w:t>was</w:t>
      </w:r>
      <w:r>
        <w:rPr>
          <w:spacing w:val="-7"/>
        </w:rPr>
        <w:t xml:space="preserve"> </w:t>
      </w:r>
      <w:r>
        <w:t>required to evaluate the impact that these fa</w:t>
      </w:r>
      <w:r>
        <w:t>ctors had on the price of domestic like products.</w:t>
      </w:r>
    </w:p>
    <w:p w14:paraId="51DE90C8" w14:textId="77777777" w:rsidR="0010369C" w:rsidRDefault="0010369C">
      <w:pPr>
        <w:pStyle w:val="BodyText"/>
        <w:spacing w:before="11"/>
        <w:rPr>
          <w:sz w:val="8"/>
        </w:rPr>
      </w:pPr>
    </w:p>
    <w:p w14:paraId="51DE90C9" w14:textId="77777777" w:rsidR="0010369C" w:rsidRDefault="008E43AE">
      <w:pPr>
        <w:pStyle w:val="BodyText"/>
        <w:spacing w:before="51" w:line="360" w:lineRule="auto"/>
        <w:ind w:left="236" w:right="613" w:firstLine="852"/>
        <w:jc w:val="both"/>
      </w:pPr>
      <w:r>
        <w:rPr>
          <w:noProof/>
        </w:rPr>
        <w:drawing>
          <wp:anchor distT="0" distB="0" distL="0" distR="0" simplePos="0" relativeHeight="251263488" behindDoc="1" locked="0" layoutInCell="1" allowOverlap="1" wp14:anchorId="51DEA534" wp14:editId="51DEA535">
            <wp:simplePos x="0" y="0"/>
            <wp:positionH relativeFrom="page">
              <wp:posOffset>905255</wp:posOffset>
            </wp:positionH>
            <wp:positionV relativeFrom="paragraph">
              <wp:posOffset>80722</wp:posOffset>
            </wp:positionV>
            <wp:extent cx="259079" cy="103631"/>
            <wp:effectExtent l="0" t="0" r="0" b="0"/>
            <wp:wrapNone/>
            <wp:docPr id="1271" name="image6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 name="image657.png"/>
                    <pic:cNvPicPr/>
                  </pic:nvPicPr>
                  <pic:blipFill>
                    <a:blip r:embed="rId859" cstate="print"/>
                    <a:stretch>
                      <a:fillRect/>
                    </a:stretch>
                  </pic:blipFill>
                  <pic:spPr>
                    <a:xfrm>
                      <a:off x="0" y="0"/>
                      <a:ext cx="259079" cy="103631"/>
                    </a:xfrm>
                    <a:prstGeom prst="rect">
                      <a:avLst/>
                    </a:prstGeom>
                  </pic:spPr>
                </pic:pic>
              </a:graphicData>
            </a:graphic>
          </wp:anchor>
        </w:drawing>
      </w:r>
      <w:r>
        <w:t>MOFCOM's failure to do so means that it has failed to adequately examine a mandatory Article</w:t>
      </w:r>
      <w:r>
        <w:rPr>
          <w:spacing w:val="-1"/>
        </w:rPr>
        <w:t xml:space="preserve"> </w:t>
      </w:r>
      <w:r>
        <w:t>3.4</w:t>
      </w:r>
      <w:r>
        <w:rPr>
          <w:spacing w:val="-1"/>
        </w:rPr>
        <w:t xml:space="preserve"> </w:t>
      </w:r>
      <w:r>
        <w:t>factor and</w:t>
      </w:r>
      <w:r>
        <w:rPr>
          <w:spacing w:val="-1"/>
        </w:rPr>
        <w:t xml:space="preserve"> </w:t>
      </w:r>
      <w:r>
        <w:t>that</w:t>
      </w:r>
      <w:r>
        <w:rPr>
          <w:spacing w:val="-1"/>
        </w:rPr>
        <w:t xml:space="preserve"> </w:t>
      </w:r>
      <w:r>
        <w:t>its</w:t>
      </w:r>
      <w:r>
        <w:rPr>
          <w:spacing w:val="-1"/>
        </w:rPr>
        <w:t xml:space="preserve"> </w:t>
      </w:r>
      <w:r>
        <w:t>evaluation</w:t>
      </w:r>
      <w:r>
        <w:rPr>
          <w:spacing w:val="-2"/>
        </w:rPr>
        <w:t xml:space="preserve"> </w:t>
      </w:r>
      <w:r>
        <w:t>of</w:t>
      </w:r>
      <w:r>
        <w:rPr>
          <w:spacing w:val="-1"/>
        </w:rPr>
        <w:t xml:space="preserve"> </w:t>
      </w:r>
      <w:r>
        <w:t>the state of</w:t>
      </w:r>
      <w:r>
        <w:rPr>
          <w:spacing w:val="-1"/>
        </w:rPr>
        <w:t xml:space="preserve"> </w:t>
      </w:r>
      <w:r>
        <w:t>the domestic industry was not an objective examination of positive evidence. Consequently, MOFCOM's evaluation of the economic factors having a bearing on the state of the domestic industry is inconsistent with China's obligations under Articles 3.1 and 3.</w:t>
      </w:r>
      <w:r>
        <w:t>4 of the Anti‐Dumping Agreement.</w:t>
      </w:r>
    </w:p>
    <w:p w14:paraId="51DE90CA" w14:textId="77777777" w:rsidR="0010369C" w:rsidRDefault="008E43AE">
      <w:pPr>
        <w:pStyle w:val="ListParagraph"/>
        <w:numPr>
          <w:ilvl w:val="1"/>
          <w:numId w:val="50"/>
        </w:numPr>
        <w:tabs>
          <w:tab w:val="left" w:pos="3642"/>
          <w:tab w:val="left" w:pos="3643"/>
        </w:tabs>
        <w:spacing w:before="160" w:line="360" w:lineRule="auto"/>
        <w:ind w:right="611" w:hanging="853"/>
        <w:jc w:val="both"/>
        <w:rPr>
          <w:sz w:val="24"/>
        </w:rPr>
      </w:pPr>
      <w:r>
        <w:rPr>
          <w:sz w:val="24"/>
          <w:u w:val="single"/>
        </w:rPr>
        <w:t>There</w:t>
      </w:r>
      <w:r>
        <w:rPr>
          <w:spacing w:val="-6"/>
          <w:sz w:val="24"/>
          <w:u w:val="single"/>
        </w:rPr>
        <w:t xml:space="preserve"> </w:t>
      </w:r>
      <w:r>
        <w:rPr>
          <w:sz w:val="24"/>
          <w:u w:val="single"/>
        </w:rPr>
        <w:t>were</w:t>
      </w:r>
      <w:r>
        <w:rPr>
          <w:spacing w:val="-6"/>
          <w:sz w:val="24"/>
          <w:u w:val="single"/>
        </w:rPr>
        <w:t xml:space="preserve"> </w:t>
      </w:r>
      <w:r>
        <w:rPr>
          <w:sz w:val="24"/>
          <w:u w:val="single"/>
        </w:rPr>
        <w:t>errors</w:t>
      </w:r>
      <w:r>
        <w:rPr>
          <w:spacing w:val="-8"/>
          <w:sz w:val="24"/>
          <w:u w:val="single"/>
        </w:rPr>
        <w:t xml:space="preserve"> </w:t>
      </w:r>
      <w:r>
        <w:rPr>
          <w:sz w:val="24"/>
          <w:u w:val="single"/>
        </w:rPr>
        <w:t>and</w:t>
      </w:r>
      <w:r>
        <w:rPr>
          <w:spacing w:val="-7"/>
          <w:sz w:val="24"/>
          <w:u w:val="single"/>
        </w:rPr>
        <w:t xml:space="preserve"> </w:t>
      </w:r>
      <w:r>
        <w:rPr>
          <w:sz w:val="24"/>
          <w:u w:val="single"/>
        </w:rPr>
        <w:t>omissions</w:t>
      </w:r>
      <w:r>
        <w:rPr>
          <w:spacing w:val="-7"/>
          <w:sz w:val="24"/>
          <w:u w:val="single"/>
        </w:rPr>
        <w:t xml:space="preserve"> </w:t>
      </w:r>
      <w:r>
        <w:rPr>
          <w:sz w:val="24"/>
          <w:u w:val="single"/>
        </w:rPr>
        <w:t>in</w:t>
      </w:r>
      <w:r>
        <w:rPr>
          <w:spacing w:val="-7"/>
          <w:sz w:val="24"/>
          <w:u w:val="single"/>
        </w:rPr>
        <w:t xml:space="preserve"> </w:t>
      </w:r>
      <w:r>
        <w:rPr>
          <w:sz w:val="24"/>
          <w:u w:val="single"/>
        </w:rPr>
        <w:t>MOFCOM's</w:t>
      </w:r>
      <w:r>
        <w:rPr>
          <w:spacing w:val="-6"/>
          <w:sz w:val="24"/>
          <w:u w:val="single"/>
        </w:rPr>
        <w:t xml:space="preserve"> </w:t>
      </w:r>
      <w:r>
        <w:rPr>
          <w:sz w:val="24"/>
          <w:u w:val="single"/>
        </w:rPr>
        <w:t>evaluation</w:t>
      </w:r>
      <w:r>
        <w:rPr>
          <w:sz w:val="24"/>
        </w:rPr>
        <w:t xml:space="preserve"> </w:t>
      </w:r>
      <w:r>
        <w:rPr>
          <w:sz w:val="24"/>
          <w:u w:val="single"/>
        </w:rPr>
        <w:t>of the data relating to relevant economic factors and</w:t>
      </w:r>
      <w:r>
        <w:rPr>
          <w:sz w:val="24"/>
        </w:rPr>
        <w:t xml:space="preserve"> </w:t>
      </w:r>
      <w:r>
        <w:rPr>
          <w:spacing w:val="-2"/>
          <w:sz w:val="24"/>
          <w:u w:val="single"/>
        </w:rPr>
        <w:t>indices</w:t>
      </w:r>
    </w:p>
    <w:p w14:paraId="51DE90CB" w14:textId="77777777" w:rsidR="0010369C" w:rsidRDefault="0010369C">
      <w:pPr>
        <w:pStyle w:val="BodyText"/>
        <w:spacing w:before="11"/>
        <w:rPr>
          <w:sz w:val="8"/>
        </w:rPr>
      </w:pPr>
    </w:p>
    <w:p w14:paraId="51DE90CC" w14:textId="77777777" w:rsidR="0010369C" w:rsidRDefault="008E43AE">
      <w:pPr>
        <w:pStyle w:val="BodyText"/>
        <w:spacing w:before="51" w:line="360" w:lineRule="auto"/>
        <w:ind w:left="238" w:right="611" w:firstLine="851"/>
      </w:pPr>
      <w:r>
        <w:rPr>
          <w:noProof/>
        </w:rPr>
        <w:drawing>
          <wp:anchor distT="0" distB="0" distL="0" distR="0" simplePos="0" relativeHeight="251264512" behindDoc="1" locked="0" layoutInCell="1" allowOverlap="1" wp14:anchorId="51DEA536" wp14:editId="51DEA537">
            <wp:simplePos x="0" y="0"/>
            <wp:positionH relativeFrom="page">
              <wp:posOffset>905255</wp:posOffset>
            </wp:positionH>
            <wp:positionV relativeFrom="paragraph">
              <wp:posOffset>80722</wp:posOffset>
            </wp:positionV>
            <wp:extent cx="259079" cy="103631"/>
            <wp:effectExtent l="0" t="0" r="0" b="0"/>
            <wp:wrapNone/>
            <wp:docPr id="1273" name="image6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 name="image658.png"/>
                    <pic:cNvPicPr/>
                  </pic:nvPicPr>
                  <pic:blipFill>
                    <a:blip r:embed="rId860" cstate="print"/>
                    <a:stretch>
                      <a:fillRect/>
                    </a:stretch>
                  </pic:blipFill>
                  <pic:spPr>
                    <a:xfrm>
                      <a:off x="0" y="0"/>
                      <a:ext cx="259079" cy="103631"/>
                    </a:xfrm>
                    <a:prstGeom prst="rect">
                      <a:avLst/>
                    </a:prstGeom>
                  </pic:spPr>
                </pic:pic>
              </a:graphicData>
            </a:graphic>
          </wp:anchor>
        </w:drawing>
      </w:r>
      <w:r>
        <w:t>MOFCOM</w:t>
      </w:r>
      <w:r>
        <w:rPr>
          <w:spacing w:val="-14"/>
        </w:rPr>
        <w:t xml:space="preserve"> </w:t>
      </w:r>
      <w:r>
        <w:t>made</w:t>
      </w:r>
      <w:r>
        <w:rPr>
          <w:spacing w:val="-14"/>
        </w:rPr>
        <w:t xml:space="preserve"> </w:t>
      </w:r>
      <w:r>
        <w:t>a</w:t>
      </w:r>
      <w:r>
        <w:rPr>
          <w:spacing w:val="-13"/>
        </w:rPr>
        <w:t xml:space="preserve"> </w:t>
      </w:r>
      <w:r>
        <w:t>number</w:t>
      </w:r>
      <w:r>
        <w:rPr>
          <w:spacing w:val="-14"/>
        </w:rPr>
        <w:t xml:space="preserve"> </w:t>
      </w:r>
      <w:r>
        <w:t>of</w:t>
      </w:r>
      <w:r>
        <w:rPr>
          <w:spacing w:val="-13"/>
        </w:rPr>
        <w:t xml:space="preserve"> </w:t>
      </w:r>
      <w:r>
        <w:t>errors</w:t>
      </w:r>
      <w:r>
        <w:rPr>
          <w:spacing w:val="-14"/>
        </w:rPr>
        <w:t xml:space="preserve"> </w:t>
      </w:r>
      <w:r>
        <w:t>and</w:t>
      </w:r>
      <w:r>
        <w:rPr>
          <w:spacing w:val="-14"/>
        </w:rPr>
        <w:t xml:space="preserve"> </w:t>
      </w:r>
      <w:r>
        <w:t>omissions</w:t>
      </w:r>
      <w:r>
        <w:rPr>
          <w:spacing w:val="-13"/>
        </w:rPr>
        <w:t xml:space="preserve"> </w:t>
      </w:r>
      <w:r>
        <w:t>in</w:t>
      </w:r>
      <w:r>
        <w:rPr>
          <w:spacing w:val="-14"/>
        </w:rPr>
        <w:t xml:space="preserve"> </w:t>
      </w:r>
      <w:r>
        <w:t>its</w:t>
      </w:r>
      <w:r>
        <w:rPr>
          <w:spacing w:val="-14"/>
        </w:rPr>
        <w:t xml:space="preserve"> </w:t>
      </w:r>
      <w:r>
        <w:t>evaluation</w:t>
      </w:r>
      <w:r>
        <w:rPr>
          <w:spacing w:val="-14"/>
        </w:rPr>
        <w:t xml:space="preserve"> </w:t>
      </w:r>
      <w:r>
        <w:t>of</w:t>
      </w:r>
      <w:r>
        <w:rPr>
          <w:spacing w:val="-13"/>
        </w:rPr>
        <w:t xml:space="preserve"> </w:t>
      </w:r>
      <w:r>
        <w:t>the</w:t>
      </w:r>
      <w:r>
        <w:rPr>
          <w:spacing w:val="-14"/>
        </w:rPr>
        <w:t xml:space="preserve"> </w:t>
      </w:r>
      <w:r>
        <w:t>data</w:t>
      </w:r>
      <w:r>
        <w:rPr>
          <w:spacing w:val="-13"/>
        </w:rPr>
        <w:t xml:space="preserve"> </w:t>
      </w:r>
      <w:r>
        <w:t>related to</w:t>
      </w:r>
      <w:r>
        <w:rPr>
          <w:spacing w:val="11"/>
        </w:rPr>
        <w:t xml:space="preserve"> </w:t>
      </w:r>
      <w:r>
        <w:t>the</w:t>
      </w:r>
      <w:r>
        <w:rPr>
          <w:spacing w:val="12"/>
        </w:rPr>
        <w:t xml:space="preserve"> </w:t>
      </w:r>
      <w:r>
        <w:t>relevant</w:t>
      </w:r>
      <w:r>
        <w:rPr>
          <w:spacing w:val="11"/>
        </w:rPr>
        <w:t xml:space="preserve"> </w:t>
      </w:r>
      <w:r>
        <w:t>economic</w:t>
      </w:r>
      <w:r>
        <w:rPr>
          <w:spacing w:val="12"/>
        </w:rPr>
        <w:t xml:space="preserve"> </w:t>
      </w:r>
      <w:r>
        <w:t>factors</w:t>
      </w:r>
      <w:r>
        <w:rPr>
          <w:spacing w:val="10"/>
        </w:rPr>
        <w:t xml:space="preserve"> </w:t>
      </w:r>
      <w:r>
        <w:t>and</w:t>
      </w:r>
      <w:r>
        <w:rPr>
          <w:spacing w:val="11"/>
        </w:rPr>
        <w:t xml:space="preserve"> </w:t>
      </w:r>
      <w:r>
        <w:t>indices</w:t>
      </w:r>
      <w:r>
        <w:rPr>
          <w:spacing w:val="11"/>
        </w:rPr>
        <w:t xml:space="preserve"> </w:t>
      </w:r>
      <w:r>
        <w:t>having</w:t>
      </w:r>
      <w:r>
        <w:rPr>
          <w:spacing w:val="11"/>
        </w:rPr>
        <w:t xml:space="preserve"> </w:t>
      </w:r>
      <w:r>
        <w:t>a</w:t>
      </w:r>
      <w:r>
        <w:rPr>
          <w:spacing w:val="10"/>
        </w:rPr>
        <w:t xml:space="preserve"> </w:t>
      </w:r>
      <w:r>
        <w:t>bearing</w:t>
      </w:r>
      <w:r>
        <w:rPr>
          <w:spacing w:val="12"/>
        </w:rPr>
        <w:t xml:space="preserve"> </w:t>
      </w:r>
      <w:r>
        <w:t>on</w:t>
      </w:r>
      <w:r>
        <w:rPr>
          <w:spacing w:val="10"/>
        </w:rPr>
        <w:t xml:space="preserve"> </w:t>
      </w:r>
      <w:r>
        <w:t>the</w:t>
      </w:r>
      <w:r>
        <w:rPr>
          <w:spacing w:val="12"/>
        </w:rPr>
        <w:t xml:space="preserve"> </w:t>
      </w:r>
      <w:r>
        <w:t>state</w:t>
      </w:r>
      <w:r>
        <w:rPr>
          <w:spacing w:val="11"/>
        </w:rPr>
        <w:t xml:space="preserve"> </w:t>
      </w:r>
      <w:r>
        <w:t>of</w:t>
      </w:r>
      <w:r>
        <w:rPr>
          <w:spacing w:val="11"/>
        </w:rPr>
        <w:t xml:space="preserve"> </w:t>
      </w:r>
      <w:r>
        <w:t>the</w:t>
      </w:r>
      <w:r>
        <w:rPr>
          <w:spacing w:val="12"/>
        </w:rPr>
        <w:t xml:space="preserve"> </w:t>
      </w:r>
      <w:r>
        <w:rPr>
          <w:spacing w:val="-2"/>
        </w:rPr>
        <w:t>domestic</w:t>
      </w:r>
    </w:p>
    <w:p w14:paraId="51DE90CD" w14:textId="77777777" w:rsidR="0010369C" w:rsidRDefault="0010369C">
      <w:pPr>
        <w:pStyle w:val="BodyText"/>
        <w:rPr>
          <w:sz w:val="20"/>
        </w:rPr>
      </w:pPr>
    </w:p>
    <w:p w14:paraId="51DE90CE" w14:textId="77777777" w:rsidR="0010369C" w:rsidRDefault="008E43AE">
      <w:pPr>
        <w:pStyle w:val="BodyText"/>
        <w:spacing w:before="3"/>
        <w:rPr>
          <w:sz w:val="10"/>
        </w:rPr>
      </w:pPr>
      <w:r>
        <w:pict w14:anchorId="51DEA538">
          <v:rect id="docshape1118" o:spid="_x0000_s1274" style="position:absolute;margin-left:70.9pt;margin-top:7.5pt;width:2in;height:.8pt;z-index:-250806784;mso-wrap-distance-left:0;mso-wrap-distance-right:0;mso-position-horizontal-relative:page" fillcolor="black" stroked="f">
            <w10:wrap type="topAndBottom" anchorx="page"/>
          </v:rect>
        </w:pict>
      </w:r>
    </w:p>
    <w:p w14:paraId="51DE90CF" w14:textId="77777777" w:rsidR="0010369C" w:rsidRDefault="008E43AE">
      <w:pPr>
        <w:spacing w:before="109"/>
        <w:ind w:left="236" w:right="612" w:firstLine="1"/>
        <w:jc w:val="both"/>
        <w:rPr>
          <w:sz w:val="18"/>
        </w:rPr>
      </w:pPr>
      <w:r>
        <w:rPr>
          <w:sz w:val="18"/>
          <w:vertAlign w:val="superscript"/>
        </w:rPr>
        <w:t>746</w:t>
      </w:r>
      <w:r>
        <w:rPr>
          <w:spacing w:val="-6"/>
          <w:sz w:val="18"/>
        </w:rPr>
        <w:t xml:space="preserve"> </w:t>
      </w:r>
      <w:r>
        <w:rPr>
          <w:sz w:val="18"/>
        </w:rPr>
        <w:t>MOFCOM</w:t>
      </w:r>
      <w:r>
        <w:rPr>
          <w:spacing w:val="-6"/>
          <w:sz w:val="18"/>
        </w:rPr>
        <w:t xml:space="preserve"> </w:t>
      </w:r>
      <w:r>
        <w:rPr>
          <w:sz w:val="18"/>
        </w:rPr>
        <w:t>sought</w:t>
      </w:r>
      <w:r>
        <w:rPr>
          <w:spacing w:val="-6"/>
          <w:sz w:val="18"/>
        </w:rPr>
        <w:t xml:space="preserve"> </w:t>
      </w:r>
      <w:r>
        <w:rPr>
          <w:sz w:val="18"/>
        </w:rPr>
        <w:t>information</w:t>
      </w:r>
      <w:r>
        <w:rPr>
          <w:spacing w:val="-6"/>
          <w:sz w:val="18"/>
        </w:rPr>
        <w:t xml:space="preserve"> </w:t>
      </w:r>
      <w:r>
        <w:rPr>
          <w:sz w:val="18"/>
        </w:rPr>
        <w:t>regarding</w:t>
      </w:r>
      <w:r>
        <w:rPr>
          <w:spacing w:val="-6"/>
          <w:sz w:val="18"/>
        </w:rPr>
        <w:t xml:space="preserve"> </w:t>
      </w:r>
      <w:r>
        <w:rPr>
          <w:sz w:val="18"/>
        </w:rPr>
        <w:t>the</w:t>
      </w:r>
      <w:r>
        <w:rPr>
          <w:spacing w:val="-6"/>
          <w:sz w:val="18"/>
        </w:rPr>
        <w:t xml:space="preserve"> </w:t>
      </w:r>
      <w:r>
        <w:rPr>
          <w:sz w:val="18"/>
        </w:rPr>
        <w:t>costs</w:t>
      </w:r>
      <w:r>
        <w:rPr>
          <w:spacing w:val="-6"/>
          <w:sz w:val="18"/>
        </w:rPr>
        <w:t xml:space="preserve"> </w:t>
      </w:r>
      <w:r>
        <w:rPr>
          <w:sz w:val="18"/>
        </w:rPr>
        <w:t>of</w:t>
      </w:r>
      <w:r>
        <w:rPr>
          <w:spacing w:val="-6"/>
          <w:sz w:val="18"/>
        </w:rPr>
        <w:t xml:space="preserve"> </w:t>
      </w:r>
      <w:r>
        <w:rPr>
          <w:sz w:val="18"/>
        </w:rPr>
        <w:t>raw</w:t>
      </w:r>
      <w:r>
        <w:rPr>
          <w:spacing w:val="-6"/>
          <w:sz w:val="18"/>
        </w:rPr>
        <w:t xml:space="preserve"> </w:t>
      </w:r>
      <w:r>
        <w:rPr>
          <w:sz w:val="18"/>
        </w:rPr>
        <w:t>materials</w:t>
      </w:r>
      <w:r>
        <w:rPr>
          <w:spacing w:val="-6"/>
          <w:sz w:val="18"/>
        </w:rPr>
        <w:t xml:space="preserve"> </w:t>
      </w:r>
      <w:r>
        <w:rPr>
          <w:sz w:val="18"/>
        </w:rPr>
        <w:t>from</w:t>
      </w:r>
      <w:r>
        <w:rPr>
          <w:spacing w:val="-6"/>
          <w:sz w:val="18"/>
        </w:rPr>
        <w:t xml:space="preserve"> </w:t>
      </w:r>
      <w:r>
        <w:rPr>
          <w:sz w:val="18"/>
        </w:rPr>
        <w:t>the</w:t>
      </w:r>
      <w:r>
        <w:rPr>
          <w:spacing w:val="-7"/>
          <w:sz w:val="18"/>
        </w:rPr>
        <w:t xml:space="preserve"> </w:t>
      </w:r>
      <w:r>
        <w:rPr>
          <w:sz w:val="18"/>
        </w:rPr>
        <w:t>domestic</w:t>
      </w:r>
      <w:r>
        <w:rPr>
          <w:spacing w:val="-6"/>
          <w:sz w:val="18"/>
        </w:rPr>
        <w:t xml:space="preserve"> </w:t>
      </w:r>
      <w:r>
        <w:rPr>
          <w:sz w:val="18"/>
        </w:rPr>
        <w:t>producers.</w:t>
      </w:r>
      <w:r>
        <w:rPr>
          <w:spacing w:val="-6"/>
          <w:sz w:val="18"/>
        </w:rPr>
        <w:t xml:space="preserve"> </w:t>
      </w:r>
      <w:r>
        <w:rPr>
          <w:sz w:val="18"/>
        </w:rPr>
        <w:t>The</w:t>
      </w:r>
      <w:r>
        <w:rPr>
          <w:spacing w:val="-7"/>
          <w:sz w:val="18"/>
        </w:rPr>
        <w:t xml:space="preserve"> </w:t>
      </w:r>
      <w:r>
        <w:rPr>
          <w:sz w:val="18"/>
        </w:rPr>
        <w:t>domestic</w:t>
      </w:r>
      <w:r>
        <w:rPr>
          <w:spacing w:val="-6"/>
          <w:sz w:val="18"/>
        </w:rPr>
        <w:t xml:space="preserve"> </w:t>
      </w:r>
      <w:r>
        <w:rPr>
          <w:sz w:val="18"/>
        </w:rPr>
        <w:t>producers' responses to these questions are subject to confi</w:t>
      </w:r>
      <w:r>
        <w:rPr>
          <w:sz w:val="18"/>
        </w:rPr>
        <w:t>dentiality claims: see Beijing Fengshou Wine Anti‐Dumping Questionnaire Response (Exhibit AUS‐56), Questions 12, 13 and 40, pp. 18‐19, 36; Chateau Junding Anti‐Dumping Questionnaire Response (Exhibit AUS‐48), Questions 12, 13 and 40, pp. 20, 37; CITIC Guoa</w:t>
      </w:r>
      <w:r>
        <w:rPr>
          <w:sz w:val="18"/>
        </w:rPr>
        <w:t>n Anti‐Dumping Questionnaire Response (Exhibit AUS‐47), Questions 12, 13, 40, pp. 19, 37; Dynasty Fine Wine Anti‐Dumping Questionnaire Response (Exhibit AUS‐55), Questions 12, 13, 40, pp. 19, 37‐38; Gansu Mogao Industrial Development Anti‐Dumping Questionn</w:t>
      </w:r>
      <w:r>
        <w:rPr>
          <w:sz w:val="18"/>
        </w:rPr>
        <w:t>aire Response (Exhibit AUS‐58), Questions</w:t>
      </w:r>
      <w:r>
        <w:rPr>
          <w:spacing w:val="-3"/>
          <w:sz w:val="18"/>
        </w:rPr>
        <w:t xml:space="preserve"> </w:t>
      </w:r>
      <w:r>
        <w:rPr>
          <w:sz w:val="18"/>
        </w:rPr>
        <w:t>12,</w:t>
      </w:r>
      <w:r>
        <w:rPr>
          <w:spacing w:val="-5"/>
          <w:sz w:val="18"/>
        </w:rPr>
        <w:t xml:space="preserve"> </w:t>
      </w:r>
      <w:r>
        <w:rPr>
          <w:sz w:val="18"/>
        </w:rPr>
        <w:t>13,</w:t>
      </w:r>
      <w:r>
        <w:rPr>
          <w:spacing w:val="-3"/>
          <w:sz w:val="18"/>
        </w:rPr>
        <w:t xml:space="preserve"> </w:t>
      </w:r>
      <w:r>
        <w:rPr>
          <w:sz w:val="18"/>
        </w:rPr>
        <w:t>40,</w:t>
      </w:r>
      <w:r>
        <w:rPr>
          <w:spacing w:val="-4"/>
          <w:sz w:val="18"/>
        </w:rPr>
        <w:t xml:space="preserve"> </w:t>
      </w:r>
      <w:r>
        <w:rPr>
          <w:sz w:val="18"/>
        </w:rPr>
        <w:t>pp.</w:t>
      </w:r>
      <w:r>
        <w:rPr>
          <w:spacing w:val="-2"/>
          <w:sz w:val="18"/>
        </w:rPr>
        <w:t xml:space="preserve"> </w:t>
      </w:r>
      <w:r>
        <w:rPr>
          <w:sz w:val="18"/>
        </w:rPr>
        <w:t>20,</w:t>
      </w:r>
      <w:r>
        <w:rPr>
          <w:spacing w:val="-4"/>
          <w:sz w:val="18"/>
        </w:rPr>
        <w:t xml:space="preserve"> </w:t>
      </w:r>
      <w:r>
        <w:rPr>
          <w:sz w:val="18"/>
        </w:rPr>
        <w:t>38;</w:t>
      </w:r>
      <w:r>
        <w:rPr>
          <w:spacing w:val="-3"/>
          <w:sz w:val="18"/>
        </w:rPr>
        <w:t xml:space="preserve"> </w:t>
      </w:r>
      <w:r>
        <w:rPr>
          <w:sz w:val="18"/>
        </w:rPr>
        <w:t>Gansu</w:t>
      </w:r>
      <w:r>
        <w:rPr>
          <w:spacing w:val="-4"/>
          <w:sz w:val="18"/>
        </w:rPr>
        <w:t xml:space="preserve"> </w:t>
      </w:r>
      <w:r>
        <w:rPr>
          <w:sz w:val="18"/>
        </w:rPr>
        <w:t>Zixuan</w:t>
      </w:r>
      <w:r>
        <w:rPr>
          <w:spacing w:val="-3"/>
          <w:sz w:val="18"/>
        </w:rPr>
        <w:t xml:space="preserve"> </w:t>
      </w:r>
      <w:r>
        <w:rPr>
          <w:sz w:val="18"/>
        </w:rPr>
        <w:t>Wine</w:t>
      </w:r>
      <w:r>
        <w:rPr>
          <w:spacing w:val="-3"/>
          <w:sz w:val="18"/>
        </w:rPr>
        <w:t xml:space="preserve"> </w:t>
      </w:r>
      <w:r>
        <w:rPr>
          <w:sz w:val="18"/>
        </w:rPr>
        <w:t>Anti‐Dumping</w:t>
      </w:r>
      <w:r>
        <w:rPr>
          <w:spacing w:val="-3"/>
          <w:sz w:val="18"/>
        </w:rPr>
        <w:t xml:space="preserve"> </w:t>
      </w:r>
      <w:r>
        <w:rPr>
          <w:sz w:val="18"/>
        </w:rPr>
        <w:t>Questionnaire</w:t>
      </w:r>
      <w:r>
        <w:rPr>
          <w:spacing w:val="-3"/>
          <w:sz w:val="18"/>
        </w:rPr>
        <w:t xml:space="preserve"> </w:t>
      </w:r>
      <w:r>
        <w:rPr>
          <w:sz w:val="18"/>
        </w:rPr>
        <w:t>Response</w:t>
      </w:r>
      <w:r>
        <w:rPr>
          <w:spacing w:val="-3"/>
          <w:sz w:val="18"/>
        </w:rPr>
        <w:t xml:space="preserve"> </w:t>
      </w:r>
      <w:r>
        <w:rPr>
          <w:sz w:val="18"/>
        </w:rPr>
        <w:t>(Exhibit</w:t>
      </w:r>
      <w:r>
        <w:rPr>
          <w:spacing w:val="-3"/>
          <w:sz w:val="18"/>
        </w:rPr>
        <w:t xml:space="preserve"> </w:t>
      </w:r>
      <w:r>
        <w:rPr>
          <w:sz w:val="18"/>
        </w:rPr>
        <w:t>AUS‐59),</w:t>
      </w:r>
      <w:r>
        <w:rPr>
          <w:spacing w:val="-3"/>
          <w:sz w:val="18"/>
        </w:rPr>
        <w:t xml:space="preserve"> </w:t>
      </w:r>
      <w:r>
        <w:rPr>
          <w:sz w:val="18"/>
        </w:rPr>
        <w:t>Questions</w:t>
      </w:r>
      <w:r>
        <w:rPr>
          <w:spacing w:val="-4"/>
          <w:sz w:val="18"/>
        </w:rPr>
        <w:t xml:space="preserve"> </w:t>
      </w:r>
      <w:r>
        <w:rPr>
          <w:spacing w:val="-5"/>
          <w:sz w:val="18"/>
        </w:rPr>
        <w:t>12,</w:t>
      </w:r>
    </w:p>
    <w:p w14:paraId="51DE90D0" w14:textId="77777777" w:rsidR="0010369C" w:rsidRDefault="008E43AE">
      <w:pPr>
        <w:ind w:left="238"/>
        <w:jc w:val="both"/>
        <w:rPr>
          <w:sz w:val="18"/>
        </w:rPr>
      </w:pPr>
      <w:r>
        <w:rPr>
          <w:sz w:val="18"/>
        </w:rPr>
        <w:t>13,</w:t>
      </w:r>
      <w:r>
        <w:rPr>
          <w:spacing w:val="-8"/>
          <w:sz w:val="18"/>
        </w:rPr>
        <w:t xml:space="preserve"> </w:t>
      </w:r>
      <w:r>
        <w:rPr>
          <w:sz w:val="18"/>
        </w:rPr>
        <w:t>40,</w:t>
      </w:r>
      <w:r>
        <w:rPr>
          <w:spacing w:val="-8"/>
          <w:sz w:val="18"/>
        </w:rPr>
        <w:t xml:space="preserve"> </w:t>
      </w:r>
      <w:r>
        <w:rPr>
          <w:sz w:val="18"/>
        </w:rPr>
        <w:t>pp.</w:t>
      </w:r>
      <w:r>
        <w:rPr>
          <w:spacing w:val="-7"/>
          <w:sz w:val="18"/>
        </w:rPr>
        <w:t xml:space="preserve"> </w:t>
      </w:r>
      <w:r>
        <w:rPr>
          <w:sz w:val="18"/>
        </w:rPr>
        <w:t>18,</w:t>
      </w:r>
      <w:r>
        <w:rPr>
          <w:spacing w:val="-8"/>
          <w:sz w:val="18"/>
        </w:rPr>
        <w:t xml:space="preserve"> </w:t>
      </w:r>
      <w:r>
        <w:rPr>
          <w:sz w:val="18"/>
        </w:rPr>
        <w:t>35;</w:t>
      </w:r>
      <w:r>
        <w:rPr>
          <w:spacing w:val="-8"/>
          <w:sz w:val="18"/>
        </w:rPr>
        <w:t xml:space="preserve"> </w:t>
      </w:r>
      <w:r>
        <w:rPr>
          <w:sz w:val="18"/>
        </w:rPr>
        <w:t>Grand</w:t>
      </w:r>
      <w:r>
        <w:rPr>
          <w:spacing w:val="-7"/>
          <w:sz w:val="18"/>
        </w:rPr>
        <w:t xml:space="preserve"> </w:t>
      </w:r>
      <w:r>
        <w:rPr>
          <w:sz w:val="18"/>
        </w:rPr>
        <w:t>Dragon</w:t>
      </w:r>
      <w:r>
        <w:rPr>
          <w:spacing w:val="-7"/>
          <w:sz w:val="18"/>
        </w:rPr>
        <w:t xml:space="preserve"> </w:t>
      </w:r>
      <w:r>
        <w:rPr>
          <w:sz w:val="18"/>
        </w:rPr>
        <w:t>Wine</w:t>
      </w:r>
      <w:r>
        <w:rPr>
          <w:spacing w:val="-8"/>
          <w:sz w:val="18"/>
        </w:rPr>
        <w:t xml:space="preserve"> </w:t>
      </w:r>
      <w:r>
        <w:rPr>
          <w:sz w:val="18"/>
        </w:rPr>
        <w:t>Anti‐Dumping</w:t>
      </w:r>
      <w:r>
        <w:rPr>
          <w:spacing w:val="-7"/>
          <w:sz w:val="18"/>
        </w:rPr>
        <w:t xml:space="preserve"> </w:t>
      </w:r>
      <w:r>
        <w:rPr>
          <w:sz w:val="18"/>
        </w:rPr>
        <w:t>Questionnaire</w:t>
      </w:r>
      <w:r>
        <w:rPr>
          <w:spacing w:val="-7"/>
          <w:sz w:val="18"/>
        </w:rPr>
        <w:t xml:space="preserve"> </w:t>
      </w:r>
      <w:r>
        <w:rPr>
          <w:sz w:val="18"/>
        </w:rPr>
        <w:t>Response</w:t>
      </w:r>
      <w:r>
        <w:rPr>
          <w:spacing w:val="-7"/>
          <w:sz w:val="18"/>
        </w:rPr>
        <w:t xml:space="preserve"> </w:t>
      </w:r>
      <w:r>
        <w:rPr>
          <w:sz w:val="18"/>
        </w:rPr>
        <w:t>(Exhibit</w:t>
      </w:r>
      <w:r>
        <w:rPr>
          <w:spacing w:val="-6"/>
          <w:sz w:val="18"/>
        </w:rPr>
        <w:t xml:space="preserve"> </w:t>
      </w:r>
      <w:r>
        <w:rPr>
          <w:sz w:val="18"/>
        </w:rPr>
        <w:t>AUS‐51),</w:t>
      </w:r>
      <w:r>
        <w:rPr>
          <w:spacing w:val="-8"/>
          <w:sz w:val="18"/>
        </w:rPr>
        <w:t xml:space="preserve"> </w:t>
      </w:r>
      <w:r>
        <w:rPr>
          <w:sz w:val="18"/>
        </w:rPr>
        <w:t>Questions</w:t>
      </w:r>
      <w:r>
        <w:rPr>
          <w:spacing w:val="-8"/>
          <w:sz w:val="18"/>
        </w:rPr>
        <w:t xml:space="preserve"> </w:t>
      </w:r>
      <w:r>
        <w:rPr>
          <w:sz w:val="18"/>
        </w:rPr>
        <w:t>12,</w:t>
      </w:r>
      <w:r>
        <w:rPr>
          <w:spacing w:val="-8"/>
          <w:sz w:val="18"/>
        </w:rPr>
        <w:t xml:space="preserve"> </w:t>
      </w:r>
      <w:r>
        <w:rPr>
          <w:sz w:val="18"/>
        </w:rPr>
        <w:t>13,</w:t>
      </w:r>
      <w:r>
        <w:rPr>
          <w:spacing w:val="-7"/>
          <w:sz w:val="18"/>
        </w:rPr>
        <w:t xml:space="preserve"> </w:t>
      </w:r>
      <w:r>
        <w:rPr>
          <w:sz w:val="18"/>
        </w:rPr>
        <w:t>40,</w:t>
      </w:r>
      <w:r>
        <w:rPr>
          <w:spacing w:val="-8"/>
          <w:sz w:val="18"/>
        </w:rPr>
        <w:t xml:space="preserve"> </w:t>
      </w:r>
      <w:r>
        <w:rPr>
          <w:sz w:val="18"/>
        </w:rPr>
        <w:t>pp.</w:t>
      </w:r>
      <w:r>
        <w:rPr>
          <w:spacing w:val="-7"/>
          <w:sz w:val="18"/>
        </w:rPr>
        <w:t xml:space="preserve"> </w:t>
      </w:r>
      <w:r>
        <w:rPr>
          <w:spacing w:val="-5"/>
          <w:sz w:val="18"/>
        </w:rPr>
        <w:t>21,</w:t>
      </w:r>
    </w:p>
    <w:p w14:paraId="51DE90D1" w14:textId="77777777" w:rsidR="0010369C" w:rsidRDefault="008E43AE">
      <w:pPr>
        <w:ind w:left="236"/>
        <w:jc w:val="both"/>
        <w:rPr>
          <w:sz w:val="18"/>
        </w:rPr>
      </w:pPr>
      <w:r>
        <w:rPr>
          <w:sz w:val="18"/>
        </w:rPr>
        <w:t>39‐40;</w:t>
      </w:r>
      <w:r>
        <w:rPr>
          <w:spacing w:val="-8"/>
          <w:sz w:val="18"/>
        </w:rPr>
        <w:t xml:space="preserve"> </w:t>
      </w:r>
      <w:r>
        <w:rPr>
          <w:sz w:val="18"/>
        </w:rPr>
        <w:t>Kweichow</w:t>
      </w:r>
      <w:r>
        <w:rPr>
          <w:spacing w:val="-6"/>
          <w:sz w:val="18"/>
        </w:rPr>
        <w:t xml:space="preserve"> </w:t>
      </w:r>
      <w:r>
        <w:rPr>
          <w:sz w:val="18"/>
        </w:rPr>
        <w:t>Moutai</w:t>
      </w:r>
      <w:r>
        <w:rPr>
          <w:spacing w:val="-7"/>
          <w:sz w:val="18"/>
        </w:rPr>
        <w:t xml:space="preserve"> </w:t>
      </w:r>
      <w:r>
        <w:rPr>
          <w:sz w:val="18"/>
        </w:rPr>
        <w:t>Distillery</w:t>
      </w:r>
      <w:r>
        <w:rPr>
          <w:spacing w:val="-6"/>
          <w:sz w:val="18"/>
        </w:rPr>
        <w:t xml:space="preserve"> </w:t>
      </w:r>
      <w:r>
        <w:rPr>
          <w:sz w:val="18"/>
        </w:rPr>
        <w:t>Anti‐Dumping</w:t>
      </w:r>
      <w:r>
        <w:rPr>
          <w:spacing w:val="-6"/>
          <w:sz w:val="18"/>
        </w:rPr>
        <w:t xml:space="preserve"> </w:t>
      </w:r>
      <w:r>
        <w:rPr>
          <w:sz w:val="18"/>
        </w:rPr>
        <w:t>Questionnaire</w:t>
      </w:r>
      <w:r>
        <w:rPr>
          <w:spacing w:val="-7"/>
          <w:sz w:val="18"/>
        </w:rPr>
        <w:t xml:space="preserve"> </w:t>
      </w:r>
      <w:r>
        <w:rPr>
          <w:sz w:val="18"/>
        </w:rPr>
        <w:t>Response</w:t>
      </w:r>
      <w:r>
        <w:rPr>
          <w:spacing w:val="-7"/>
          <w:sz w:val="18"/>
        </w:rPr>
        <w:t xml:space="preserve"> </w:t>
      </w:r>
      <w:r>
        <w:rPr>
          <w:sz w:val="18"/>
        </w:rPr>
        <w:t>(Exhibit</w:t>
      </w:r>
      <w:r>
        <w:rPr>
          <w:spacing w:val="-7"/>
          <w:sz w:val="18"/>
        </w:rPr>
        <w:t xml:space="preserve"> </w:t>
      </w:r>
      <w:r>
        <w:rPr>
          <w:sz w:val="18"/>
        </w:rPr>
        <w:t>AUS‐60),</w:t>
      </w:r>
      <w:r>
        <w:rPr>
          <w:spacing w:val="-7"/>
          <w:sz w:val="18"/>
        </w:rPr>
        <w:t xml:space="preserve"> </w:t>
      </w:r>
      <w:r>
        <w:rPr>
          <w:sz w:val="18"/>
        </w:rPr>
        <w:t>Questions</w:t>
      </w:r>
      <w:r>
        <w:rPr>
          <w:spacing w:val="-6"/>
          <w:sz w:val="18"/>
        </w:rPr>
        <w:t xml:space="preserve"> </w:t>
      </w:r>
      <w:r>
        <w:rPr>
          <w:sz w:val="18"/>
        </w:rPr>
        <w:t>12,</w:t>
      </w:r>
      <w:r>
        <w:rPr>
          <w:spacing w:val="-8"/>
          <w:sz w:val="18"/>
        </w:rPr>
        <w:t xml:space="preserve"> </w:t>
      </w:r>
      <w:r>
        <w:rPr>
          <w:sz w:val="18"/>
        </w:rPr>
        <w:t>13,</w:t>
      </w:r>
      <w:r>
        <w:rPr>
          <w:spacing w:val="-7"/>
          <w:sz w:val="18"/>
        </w:rPr>
        <w:t xml:space="preserve"> </w:t>
      </w:r>
      <w:r>
        <w:rPr>
          <w:sz w:val="18"/>
        </w:rPr>
        <w:t>40,</w:t>
      </w:r>
      <w:r>
        <w:rPr>
          <w:spacing w:val="-6"/>
          <w:sz w:val="18"/>
        </w:rPr>
        <w:t xml:space="preserve"> </w:t>
      </w:r>
      <w:r>
        <w:rPr>
          <w:sz w:val="18"/>
        </w:rPr>
        <w:t>pp.</w:t>
      </w:r>
      <w:r>
        <w:rPr>
          <w:spacing w:val="-6"/>
          <w:sz w:val="18"/>
        </w:rPr>
        <w:t xml:space="preserve"> </w:t>
      </w:r>
      <w:r>
        <w:rPr>
          <w:sz w:val="18"/>
        </w:rPr>
        <w:t>20,</w:t>
      </w:r>
      <w:r>
        <w:rPr>
          <w:spacing w:val="-8"/>
          <w:sz w:val="18"/>
        </w:rPr>
        <w:t xml:space="preserve"> </w:t>
      </w:r>
      <w:r>
        <w:rPr>
          <w:spacing w:val="-5"/>
          <w:sz w:val="18"/>
        </w:rPr>
        <w:t>37;</w:t>
      </w:r>
    </w:p>
    <w:p w14:paraId="51DE90D2" w14:textId="77777777" w:rsidR="0010369C" w:rsidRDefault="008E43AE">
      <w:pPr>
        <w:ind w:left="237" w:right="612"/>
        <w:jc w:val="both"/>
        <w:rPr>
          <w:sz w:val="18"/>
        </w:rPr>
      </w:pPr>
      <w:r>
        <w:rPr>
          <w:sz w:val="18"/>
        </w:rPr>
        <w:t>Qingdao</w:t>
      </w:r>
      <w:r>
        <w:rPr>
          <w:spacing w:val="-4"/>
          <w:sz w:val="18"/>
        </w:rPr>
        <w:t xml:space="preserve"> </w:t>
      </w:r>
      <w:r>
        <w:rPr>
          <w:sz w:val="18"/>
        </w:rPr>
        <w:t>Huadong</w:t>
      </w:r>
      <w:r>
        <w:rPr>
          <w:spacing w:val="-3"/>
          <w:sz w:val="18"/>
        </w:rPr>
        <w:t xml:space="preserve"> </w:t>
      </w:r>
      <w:r>
        <w:rPr>
          <w:sz w:val="18"/>
        </w:rPr>
        <w:t>Winery</w:t>
      </w:r>
      <w:r>
        <w:rPr>
          <w:spacing w:val="-4"/>
          <w:sz w:val="18"/>
        </w:rPr>
        <w:t xml:space="preserve"> </w:t>
      </w:r>
      <w:r>
        <w:rPr>
          <w:sz w:val="18"/>
        </w:rPr>
        <w:t>Anti‐Dumping</w:t>
      </w:r>
      <w:r>
        <w:rPr>
          <w:spacing w:val="-3"/>
          <w:sz w:val="18"/>
        </w:rPr>
        <w:t xml:space="preserve"> </w:t>
      </w:r>
      <w:r>
        <w:rPr>
          <w:sz w:val="18"/>
        </w:rPr>
        <w:t>Questionnaire</w:t>
      </w:r>
      <w:r>
        <w:rPr>
          <w:spacing w:val="-3"/>
          <w:sz w:val="18"/>
        </w:rPr>
        <w:t xml:space="preserve"> </w:t>
      </w:r>
      <w:r>
        <w:rPr>
          <w:sz w:val="18"/>
        </w:rPr>
        <w:t>Response</w:t>
      </w:r>
      <w:r>
        <w:rPr>
          <w:spacing w:val="-2"/>
          <w:sz w:val="18"/>
        </w:rPr>
        <w:t xml:space="preserve"> </w:t>
      </w:r>
      <w:r>
        <w:rPr>
          <w:sz w:val="18"/>
        </w:rPr>
        <w:t>(Exhibit</w:t>
      </w:r>
      <w:r>
        <w:rPr>
          <w:spacing w:val="-3"/>
          <w:sz w:val="18"/>
        </w:rPr>
        <w:t xml:space="preserve"> </w:t>
      </w:r>
      <w:r>
        <w:rPr>
          <w:sz w:val="18"/>
        </w:rPr>
        <w:t>AUS‐61),</w:t>
      </w:r>
      <w:r>
        <w:rPr>
          <w:spacing w:val="-4"/>
          <w:sz w:val="18"/>
        </w:rPr>
        <w:t xml:space="preserve"> </w:t>
      </w:r>
      <w:r>
        <w:rPr>
          <w:sz w:val="18"/>
        </w:rPr>
        <w:t>Questions</w:t>
      </w:r>
      <w:r>
        <w:rPr>
          <w:spacing w:val="-3"/>
          <w:sz w:val="18"/>
        </w:rPr>
        <w:t xml:space="preserve"> </w:t>
      </w:r>
      <w:r>
        <w:rPr>
          <w:sz w:val="18"/>
        </w:rPr>
        <w:t>12,</w:t>
      </w:r>
      <w:r>
        <w:rPr>
          <w:spacing w:val="-4"/>
          <w:sz w:val="18"/>
        </w:rPr>
        <w:t xml:space="preserve"> </w:t>
      </w:r>
      <w:r>
        <w:rPr>
          <w:sz w:val="18"/>
        </w:rPr>
        <w:t>13,</w:t>
      </w:r>
      <w:r>
        <w:rPr>
          <w:spacing w:val="-4"/>
          <w:sz w:val="18"/>
        </w:rPr>
        <w:t xml:space="preserve"> </w:t>
      </w:r>
      <w:r>
        <w:rPr>
          <w:sz w:val="18"/>
        </w:rPr>
        <w:t>40,</w:t>
      </w:r>
      <w:r>
        <w:rPr>
          <w:spacing w:val="-4"/>
          <w:sz w:val="18"/>
        </w:rPr>
        <w:t xml:space="preserve"> </w:t>
      </w:r>
      <w:r>
        <w:rPr>
          <w:sz w:val="18"/>
        </w:rPr>
        <w:t>pp.</w:t>
      </w:r>
      <w:r>
        <w:rPr>
          <w:spacing w:val="-3"/>
          <w:sz w:val="18"/>
        </w:rPr>
        <w:t xml:space="preserve"> </w:t>
      </w:r>
      <w:r>
        <w:rPr>
          <w:sz w:val="18"/>
        </w:rPr>
        <w:t>19,</w:t>
      </w:r>
      <w:r>
        <w:rPr>
          <w:spacing w:val="-3"/>
          <w:sz w:val="18"/>
        </w:rPr>
        <w:t xml:space="preserve"> </w:t>
      </w:r>
      <w:r>
        <w:rPr>
          <w:sz w:val="18"/>
        </w:rPr>
        <w:t>36;</w:t>
      </w:r>
      <w:r>
        <w:rPr>
          <w:spacing w:val="-4"/>
          <w:sz w:val="18"/>
        </w:rPr>
        <w:t xml:space="preserve"> </w:t>
      </w:r>
      <w:r>
        <w:rPr>
          <w:sz w:val="18"/>
        </w:rPr>
        <w:t>Shangri‐ La Wine Anti‐Dumping Questionnaire Response (Exhibit AUS‐62), Questions 12, 13, 40, pp. 19, 36‐37; Shanxi Rongzi Winery Anti‐Dumping</w:t>
      </w:r>
      <w:r>
        <w:rPr>
          <w:spacing w:val="29"/>
          <w:sz w:val="18"/>
        </w:rPr>
        <w:t xml:space="preserve"> </w:t>
      </w:r>
      <w:r>
        <w:rPr>
          <w:sz w:val="18"/>
        </w:rPr>
        <w:t>Questionnaire</w:t>
      </w:r>
      <w:r>
        <w:rPr>
          <w:spacing w:val="28"/>
          <w:sz w:val="18"/>
        </w:rPr>
        <w:t xml:space="preserve"> </w:t>
      </w:r>
      <w:r>
        <w:rPr>
          <w:sz w:val="18"/>
        </w:rPr>
        <w:t>Response</w:t>
      </w:r>
      <w:r>
        <w:rPr>
          <w:spacing w:val="27"/>
          <w:sz w:val="18"/>
        </w:rPr>
        <w:t xml:space="preserve"> </w:t>
      </w:r>
      <w:r>
        <w:rPr>
          <w:sz w:val="18"/>
        </w:rPr>
        <w:t>(Exhibit</w:t>
      </w:r>
      <w:r>
        <w:rPr>
          <w:spacing w:val="28"/>
          <w:sz w:val="18"/>
        </w:rPr>
        <w:t xml:space="preserve"> </w:t>
      </w:r>
      <w:r>
        <w:rPr>
          <w:sz w:val="18"/>
        </w:rPr>
        <w:t>AUS‐63),</w:t>
      </w:r>
      <w:r>
        <w:rPr>
          <w:spacing w:val="27"/>
          <w:sz w:val="18"/>
        </w:rPr>
        <w:t xml:space="preserve"> </w:t>
      </w:r>
      <w:r>
        <w:rPr>
          <w:sz w:val="18"/>
        </w:rPr>
        <w:t>Questions</w:t>
      </w:r>
      <w:r>
        <w:rPr>
          <w:spacing w:val="28"/>
          <w:sz w:val="18"/>
        </w:rPr>
        <w:t xml:space="preserve"> </w:t>
      </w:r>
      <w:r>
        <w:rPr>
          <w:sz w:val="18"/>
        </w:rPr>
        <w:t>12,</w:t>
      </w:r>
      <w:r>
        <w:rPr>
          <w:spacing w:val="27"/>
          <w:sz w:val="18"/>
        </w:rPr>
        <w:t xml:space="preserve"> </w:t>
      </w:r>
      <w:r>
        <w:rPr>
          <w:sz w:val="18"/>
        </w:rPr>
        <w:t>13,</w:t>
      </w:r>
      <w:r>
        <w:rPr>
          <w:spacing w:val="27"/>
          <w:sz w:val="18"/>
        </w:rPr>
        <w:t xml:space="preserve"> </w:t>
      </w:r>
      <w:r>
        <w:rPr>
          <w:sz w:val="18"/>
        </w:rPr>
        <w:t>40,</w:t>
      </w:r>
      <w:r>
        <w:rPr>
          <w:spacing w:val="28"/>
          <w:sz w:val="18"/>
        </w:rPr>
        <w:t xml:space="preserve"> </w:t>
      </w:r>
      <w:r>
        <w:rPr>
          <w:sz w:val="18"/>
        </w:rPr>
        <w:t>pp.</w:t>
      </w:r>
      <w:r>
        <w:rPr>
          <w:spacing w:val="28"/>
          <w:sz w:val="18"/>
        </w:rPr>
        <w:t xml:space="preserve"> </w:t>
      </w:r>
      <w:r>
        <w:rPr>
          <w:sz w:val="18"/>
        </w:rPr>
        <w:t>19,</w:t>
      </w:r>
      <w:r>
        <w:rPr>
          <w:spacing w:val="27"/>
          <w:sz w:val="18"/>
        </w:rPr>
        <w:t xml:space="preserve"> </w:t>
      </w:r>
      <w:r>
        <w:rPr>
          <w:sz w:val="18"/>
        </w:rPr>
        <w:t>36;</w:t>
      </w:r>
      <w:r>
        <w:rPr>
          <w:spacing w:val="28"/>
          <w:sz w:val="18"/>
        </w:rPr>
        <w:t xml:space="preserve"> </w:t>
      </w:r>
      <w:r>
        <w:rPr>
          <w:sz w:val="18"/>
        </w:rPr>
        <w:t>Tonghua</w:t>
      </w:r>
      <w:r>
        <w:rPr>
          <w:spacing w:val="29"/>
          <w:sz w:val="18"/>
        </w:rPr>
        <w:t xml:space="preserve"> </w:t>
      </w:r>
      <w:r>
        <w:rPr>
          <w:sz w:val="18"/>
        </w:rPr>
        <w:t>Tontine</w:t>
      </w:r>
      <w:r>
        <w:rPr>
          <w:spacing w:val="29"/>
          <w:sz w:val="18"/>
        </w:rPr>
        <w:t xml:space="preserve"> </w:t>
      </w:r>
      <w:r>
        <w:rPr>
          <w:sz w:val="18"/>
        </w:rPr>
        <w:t>Wine</w:t>
      </w:r>
      <w:r>
        <w:rPr>
          <w:spacing w:val="28"/>
          <w:sz w:val="18"/>
        </w:rPr>
        <w:t xml:space="preserve"> </w:t>
      </w:r>
      <w:r>
        <w:rPr>
          <w:sz w:val="18"/>
        </w:rPr>
        <w:t>Anti‐</w:t>
      </w:r>
    </w:p>
    <w:p w14:paraId="51DE90D3" w14:textId="77777777" w:rsidR="0010369C" w:rsidRDefault="008E43AE">
      <w:pPr>
        <w:ind w:left="238" w:right="613"/>
        <w:jc w:val="both"/>
        <w:rPr>
          <w:sz w:val="18"/>
        </w:rPr>
      </w:pPr>
      <w:r>
        <w:rPr>
          <w:sz w:val="18"/>
        </w:rPr>
        <w:t>Dumping Questionnaire Response (Exhibit AUS‐50), Questions 12, 13, 40, pp. 19, 38; Tonghua Winery Anti‐Dumping Questionnaire Response (Exhibit AUS‐43), Questions 12, 13, 40, pp. 20, 37‐38; Turpan LouLan Wine Anti‐Dumping Questionnaire Response (Exhib</w:t>
      </w:r>
      <w:r>
        <w:rPr>
          <w:sz w:val="18"/>
        </w:rPr>
        <w:t>it AUS‐54), Questions 12, 13, 40, pp. 19, 36; Xinjiang Sunyard Wine Anti‐Dumping Questionnaire</w:t>
      </w:r>
      <w:r>
        <w:rPr>
          <w:spacing w:val="-3"/>
          <w:sz w:val="18"/>
        </w:rPr>
        <w:t xml:space="preserve"> </w:t>
      </w:r>
      <w:r>
        <w:rPr>
          <w:sz w:val="18"/>
        </w:rPr>
        <w:t>Response</w:t>
      </w:r>
      <w:r>
        <w:rPr>
          <w:spacing w:val="-2"/>
          <w:sz w:val="18"/>
        </w:rPr>
        <w:t xml:space="preserve"> </w:t>
      </w:r>
      <w:r>
        <w:rPr>
          <w:sz w:val="18"/>
        </w:rPr>
        <w:t>(Exhibit</w:t>
      </w:r>
      <w:r>
        <w:rPr>
          <w:spacing w:val="-3"/>
          <w:sz w:val="18"/>
        </w:rPr>
        <w:t xml:space="preserve"> </w:t>
      </w:r>
      <w:r>
        <w:rPr>
          <w:sz w:val="18"/>
        </w:rPr>
        <w:t>AUS‐49),</w:t>
      </w:r>
      <w:r>
        <w:rPr>
          <w:spacing w:val="-4"/>
          <w:sz w:val="18"/>
        </w:rPr>
        <w:t xml:space="preserve"> </w:t>
      </w:r>
      <w:r>
        <w:rPr>
          <w:sz w:val="18"/>
        </w:rPr>
        <w:t>Questions</w:t>
      </w:r>
      <w:r>
        <w:rPr>
          <w:spacing w:val="-3"/>
          <w:sz w:val="18"/>
        </w:rPr>
        <w:t xml:space="preserve"> </w:t>
      </w:r>
      <w:r>
        <w:rPr>
          <w:sz w:val="18"/>
        </w:rPr>
        <w:t>12,</w:t>
      </w:r>
      <w:r>
        <w:rPr>
          <w:spacing w:val="-4"/>
          <w:sz w:val="18"/>
        </w:rPr>
        <w:t xml:space="preserve"> </w:t>
      </w:r>
      <w:r>
        <w:rPr>
          <w:sz w:val="18"/>
        </w:rPr>
        <w:t>13,</w:t>
      </w:r>
      <w:r>
        <w:rPr>
          <w:spacing w:val="-4"/>
          <w:sz w:val="18"/>
        </w:rPr>
        <w:t xml:space="preserve"> </w:t>
      </w:r>
      <w:r>
        <w:rPr>
          <w:sz w:val="18"/>
        </w:rPr>
        <w:t>40,</w:t>
      </w:r>
      <w:r>
        <w:rPr>
          <w:spacing w:val="-4"/>
          <w:sz w:val="18"/>
        </w:rPr>
        <w:t xml:space="preserve"> </w:t>
      </w:r>
      <w:r>
        <w:rPr>
          <w:sz w:val="18"/>
        </w:rPr>
        <w:t>pp.</w:t>
      </w:r>
      <w:r>
        <w:rPr>
          <w:spacing w:val="-3"/>
          <w:sz w:val="18"/>
        </w:rPr>
        <w:t xml:space="preserve"> </w:t>
      </w:r>
      <w:r>
        <w:rPr>
          <w:sz w:val="18"/>
        </w:rPr>
        <w:t>19,</w:t>
      </w:r>
      <w:r>
        <w:rPr>
          <w:spacing w:val="-4"/>
          <w:sz w:val="18"/>
        </w:rPr>
        <w:t xml:space="preserve"> </w:t>
      </w:r>
      <w:r>
        <w:rPr>
          <w:sz w:val="18"/>
        </w:rPr>
        <w:t>36;</w:t>
      </w:r>
      <w:r>
        <w:rPr>
          <w:spacing w:val="-4"/>
          <w:sz w:val="18"/>
        </w:rPr>
        <w:t xml:space="preserve"> </w:t>
      </w:r>
      <w:r>
        <w:rPr>
          <w:sz w:val="18"/>
        </w:rPr>
        <w:t>Xinjiang</w:t>
      </w:r>
      <w:r>
        <w:rPr>
          <w:spacing w:val="-3"/>
          <w:sz w:val="18"/>
        </w:rPr>
        <w:t xml:space="preserve"> </w:t>
      </w:r>
      <w:r>
        <w:rPr>
          <w:sz w:val="18"/>
        </w:rPr>
        <w:t>West</w:t>
      </w:r>
      <w:r>
        <w:rPr>
          <w:spacing w:val="-4"/>
          <w:sz w:val="18"/>
        </w:rPr>
        <w:t xml:space="preserve"> </w:t>
      </w:r>
      <w:r>
        <w:rPr>
          <w:sz w:val="18"/>
        </w:rPr>
        <w:t>Region</w:t>
      </w:r>
      <w:r>
        <w:rPr>
          <w:spacing w:val="-3"/>
          <w:sz w:val="18"/>
        </w:rPr>
        <w:t xml:space="preserve"> </w:t>
      </w:r>
      <w:r>
        <w:rPr>
          <w:sz w:val="18"/>
        </w:rPr>
        <w:t>Pearl</w:t>
      </w:r>
      <w:r>
        <w:rPr>
          <w:spacing w:val="-4"/>
          <w:sz w:val="18"/>
        </w:rPr>
        <w:t xml:space="preserve"> </w:t>
      </w:r>
      <w:r>
        <w:rPr>
          <w:sz w:val="18"/>
        </w:rPr>
        <w:t>Winery</w:t>
      </w:r>
      <w:r>
        <w:rPr>
          <w:spacing w:val="-4"/>
          <w:sz w:val="18"/>
        </w:rPr>
        <w:t xml:space="preserve"> </w:t>
      </w:r>
      <w:r>
        <w:rPr>
          <w:sz w:val="18"/>
        </w:rPr>
        <w:t xml:space="preserve">Anti‐Dumping </w:t>
      </w:r>
      <w:r>
        <w:rPr>
          <w:w w:val="95"/>
          <w:sz w:val="18"/>
        </w:rPr>
        <w:t>Questionnaire</w:t>
      </w:r>
      <w:r>
        <w:rPr>
          <w:spacing w:val="9"/>
          <w:sz w:val="18"/>
        </w:rPr>
        <w:t xml:space="preserve"> </w:t>
      </w:r>
      <w:r>
        <w:rPr>
          <w:w w:val="95"/>
          <w:sz w:val="18"/>
        </w:rPr>
        <w:t>Response</w:t>
      </w:r>
      <w:r>
        <w:rPr>
          <w:spacing w:val="10"/>
          <w:sz w:val="18"/>
        </w:rPr>
        <w:t xml:space="preserve"> </w:t>
      </w:r>
      <w:r>
        <w:rPr>
          <w:w w:val="95"/>
          <w:sz w:val="18"/>
        </w:rPr>
        <w:t>(Exhibit</w:t>
      </w:r>
      <w:r>
        <w:rPr>
          <w:spacing w:val="10"/>
          <w:sz w:val="18"/>
        </w:rPr>
        <w:t xml:space="preserve"> </w:t>
      </w:r>
      <w:r>
        <w:rPr>
          <w:w w:val="95"/>
          <w:sz w:val="18"/>
        </w:rPr>
        <w:t>AUS‐45),</w:t>
      </w:r>
      <w:r>
        <w:rPr>
          <w:spacing w:val="7"/>
          <w:sz w:val="18"/>
        </w:rPr>
        <w:t xml:space="preserve"> </w:t>
      </w:r>
      <w:r>
        <w:rPr>
          <w:w w:val="95"/>
          <w:sz w:val="18"/>
        </w:rPr>
        <w:t>Questions</w:t>
      </w:r>
      <w:r>
        <w:rPr>
          <w:spacing w:val="11"/>
          <w:sz w:val="18"/>
        </w:rPr>
        <w:t xml:space="preserve"> </w:t>
      </w:r>
      <w:r>
        <w:rPr>
          <w:w w:val="95"/>
          <w:sz w:val="18"/>
        </w:rPr>
        <w:t>12</w:t>
      </w:r>
      <w:r>
        <w:rPr>
          <w:w w:val="95"/>
          <w:sz w:val="18"/>
        </w:rPr>
        <w:t>,</w:t>
      </w:r>
      <w:r>
        <w:rPr>
          <w:spacing w:val="8"/>
          <w:sz w:val="18"/>
        </w:rPr>
        <w:t xml:space="preserve"> </w:t>
      </w:r>
      <w:r>
        <w:rPr>
          <w:w w:val="95"/>
          <w:sz w:val="18"/>
        </w:rPr>
        <w:t>13,</w:t>
      </w:r>
      <w:r>
        <w:rPr>
          <w:spacing w:val="7"/>
          <w:sz w:val="18"/>
        </w:rPr>
        <w:t xml:space="preserve"> </w:t>
      </w:r>
      <w:r>
        <w:rPr>
          <w:w w:val="95"/>
          <w:sz w:val="18"/>
        </w:rPr>
        <w:t>40,</w:t>
      </w:r>
      <w:r>
        <w:rPr>
          <w:spacing w:val="8"/>
          <w:sz w:val="18"/>
        </w:rPr>
        <w:t xml:space="preserve"> </w:t>
      </w:r>
      <w:r>
        <w:rPr>
          <w:w w:val="95"/>
          <w:sz w:val="18"/>
        </w:rPr>
        <w:t>pp.</w:t>
      </w:r>
      <w:r>
        <w:rPr>
          <w:spacing w:val="9"/>
          <w:sz w:val="18"/>
        </w:rPr>
        <w:t xml:space="preserve"> </w:t>
      </w:r>
      <w:r>
        <w:rPr>
          <w:w w:val="95"/>
          <w:sz w:val="18"/>
        </w:rPr>
        <w:t>18,</w:t>
      </w:r>
      <w:r>
        <w:rPr>
          <w:spacing w:val="7"/>
          <w:sz w:val="18"/>
        </w:rPr>
        <w:t xml:space="preserve"> </w:t>
      </w:r>
      <w:r>
        <w:rPr>
          <w:w w:val="95"/>
          <w:sz w:val="18"/>
        </w:rPr>
        <w:t>35;</w:t>
      </w:r>
      <w:r>
        <w:rPr>
          <w:spacing w:val="10"/>
          <w:sz w:val="18"/>
        </w:rPr>
        <w:t xml:space="preserve"> </w:t>
      </w:r>
      <w:r>
        <w:rPr>
          <w:w w:val="95"/>
          <w:sz w:val="18"/>
        </w:rPr>
        <w:t>Yunan</w:t>
      </w:r>
      <w:r>
        <w:rPr>
          <w:spacing w:val="9"/>
          <w:sz w:val="18"/>
        </w:rPr>
        <w:t xml:space="preserve"> </w:t>
      </w:r>
      <w:r>
        <w:rPr>
          <w:w w:val="95"/>
          <w:sz w:val="18"/>
        </w:rPr>
        <w:t>Gaoyuan</w:t>
      </w:r>
      <w:r>
        <w:rPr>
          <w:spacing w:val="9"/>
          <w:sz w:val="18"/>
        </w:rPr>
        <w:t xml:space="preserve"> </w:t>
      </w:r>
      <w:r>
        <w:rPr>
          <w:w w:val="95"/>
          <w:sz w:val="18"/>
        </w:rPr>
        <w:t>Wine</w:t>
      </w:r>
      <w:r>
        <w:rPr>
          <w:spacing w:val="9"/>
          <w:sz w:val="18"/>
        </w:rPr>
        <w:t xml:space="preserve"> </w:t>
      </w:r>
      <w:r>
        <w:rPr>
          <w:w w:val="95"/>
          <w:sz w:val="18"/>
        </w:rPr>
        <w:t>Anti‐Dumping</w:t>
      </w:r>
      <w:r>
        <w:rPr>
          <w:spacing w:val="11"/>
          <w:sz w:val="18"/>
        </w:rPr>
        <w:t xml:space="preserve"> </w:t>
      </w:r>
      <w:r>
        <w:rPr>
          <w:spacing w:val="-2"/>
          <w:w w:val="95"/>
          <w:sz w:val="18"/>
        </w:rPr>
        <w:t>Questionnaire</w:t>
      </w:r>
    </w:p>
    <w:p w14:paraId="51DE90D4" w14:textId="77777777" w:rsidR="0010369C" w:rsidRDefault="008E43AE">
      <w:pPr>
        <w:ind w:left="238"/>
        <w:jc w:val="both"/>
        <w:rPr>
          <w:sz w:val="18"/>
        </w:rPr>
      </w:pPr>
      <w:r>
        <w:rPr>
          <w:sz w:val="18"/>
        </w:rPr>
        <w:t>Response</w:t>
      </w:r>
      <w:r>
        <w:rPr>
          <w:spacing w:val="-11"/>
          <w:sz w:val="18"/>
        </w:rPr>
        <w:t xml:space="preserve"> </w:t>
      </w:r>
      <w:r>
        <w:rPr>
          <w:sz w:val="18"/>
        </w:rPr>
        <w:t>(Exhibit</w:t>
      </w:r>
      <w:r>
        <w:rPr>
          <w:spacing w:val="-10"/>
          <w:sz w:val="18"/>
        </w:rPr>
        <w:t xml:space="preserve"> </w:t>
      </w:r>
      <w:r>
        <w:rPr>
          <w:sz w:val="18"/>
        </w:rPr>
        <w:t>AUS‐46),</w:t>
      </w:r>
      <w:r>
        <w:rPr>
          <w:spacing w:val="-10"/>
          <w:sz w:val="18"/>
        </w:rPr>
        <w:t xml:space="preserve"> </w:t>
      </w:r>
      <w:r>
        <w:rPr>
          <w:sz w:val="18"/>
        </w:rPr>
        <w:t>Questions</w:t>
      </w:r>
      <w:r>
        <w:rPr>
          <w:spacing w:val="-10"/>
          <w:sz w:val="18"/>
        </w:rPr>
        <w:t xml:space="preserve"> </w:t>
      </w:r>
      <w:r>
        <w:rPr>
          <w:sz w:val="18"/>
        </w:rPr>
        <w:t>12,</w:t>
      </w:r>
      <w:r>
        <w:rPr>
          <w:spacing w:val="-10"/>
          <w:sz w:val="18"/>
        </w:rPr>
        <w:t xml:space="preserve"> </w:t>
      </w:r>
      <w:r>
        <w:rPr>
          <w:sz w:val="18"/>
        </w:rPr>
        <w:t>13,</w:t>
      </w:r>
      <w:r>
        <w:rPr>
          <w:spacing w:val="-11"/>
          <w:sz w:val="18"/>
        </w:rPr>
        <w:t xml:space="preserve"> </w:t>
      </w:r>
      <w:r>
        <w:rPr>
          <w:sz w:val="18"/>
        </w:rPr>
        <w:t>40,</w:t>
      </w:r>
      <w:r>
        <w:rPr>
          <w:spacing w:val="-10"/>
          <w:sz w:val="18"/>
        </w:rPr>
        <w:t xml:space="preserve"> </w:t>
      </w:r>
      <w:r>
        <w:rPr>
          <w:sz w:val="18"/>
        </w:rPr>
        <w:t>pp.</w:t>
      </w:r>
      <w:r>
        <w:rPr>
          <w:spacing w:val="-10"/>
          <w:sz w:val="18"/>
        </w:rPr>
        <w:t xml:space="preserve"> </w:t>
      </w:r>
      <w:r>
        <w:rPr>
          <w:sz w:val="18"/>
        </w:rPr>
        <w:t>18,</w:t>
      </w:r>
      <w:r>
        <w:rPr>
          <w:spacing w:val="-10"/>
          <w:sz w:val="18"/>
        </w:rPr>
        <w:t xml:space="preserve"> </w:t>
      </w:r>
      <w:r>
        <w:rPr>
          <w:sz w:val="18"/>
        </w:rPr>
        <w:t>35;</w:t>
      </w:r>
      <w:r>
        <w:rPr>
          <w:spacing w:val="-10"/>
          <w:sz w:val="18"/>
        </w:rPr>
        <w:t xml:space="preserve"> </w:t>
      </w:r>
      <w:r>
        <w:rPr>
          <w:sz w:val="18"/>
        </w:rPr>
        <w:t>Ningxia</w:t>
      </w:r>
      <w:r>
        <w:rPr>
          <w:spacing w:val="-10"/>
          <w:sz w:val="18"/>
        </w:rPr>
        <w:t xml:space="preserve"> </w:t>
      </w:r>
      <w:r>
        <w:rPr>
          <w:sz w:val="18"/>
        </w:rPr>
        <w:t>Anti‐Dumping</w:t>
      </w:r>
      <w:r>
        <w:rPr>
          <w:spacing w:val="-10"/>
          <w:sz w:val="18"/>
        </w:rPr>
        <w:t xml:space="preserve"> </w:t>
      </w:r>
      <w:r>
        <w:rPr>
          <w:sz w:val="18"/>
        </w:rPr>
        <w:t>Questionnaire</w:t>
      </w:r>
      <w:r>
        <w:rPr>
          <w:spacing w:val="-10"/>
          <w:sz w:val="18"/>
        </w:rPr>
        <w:t xml:space="preserve"> </w:t>
      </w:r>
      <w:r>
        <w:rPr>
          <w:sz w:val="18"/>
        </w:rPr>
        <w:t>Response</w:t>
      </w:r>
      <w:r>
        <w:rPr>
          <w:spacing w:val="-10"/>
          <w:sz w:val="18"/>
        </w:rPr>
        <w:t xml:space="preserve"> </w:t>
      </w:r>
      <w:r>
        <w:rPr>
          <w:sz w:val="18"/>
        </w:rPr>
        <w:t>(Exhibit</w:t>
      </w:r>
      <w:r>
        <w:rPr>
          <w:spacing w:val="-10"/>
          <w:sz w:val="18"/>
        </w:rPr>
        <w:t xml:space="preserve"> </w:t>
      </w:r>
      <w:r>
        <w:rPr>
          <w:spacing w:val="-2"/>
          <w:sz w:val="18"/>
        </w:rPr>
        <w:t>AUS‐57),</w:t>
      </w:r>
    </w:p>
    <w:p w14:paraId="51DE90D5" w14:textId="77777777" w:rsidR="0010369C" w:rsidRDefault="008E43AE">
      <w:pPr>
        <w:ind w:left="236"/>
        <w:jc w:val="both"/>
        <w:rPr>
          <w:sz w:val="18"/>
        </w:rPr>
      </w:pPr>
      <w:r>
        <w:rPr>
          <w:sz w:val="18"/>
        </w:rPr>
        <w:t>Questions</w:t>
      </w:r>
      <w:r>
        <w:rPr>
          <w:spacing w:val="-1"/>
          <w:sz w:val="18"/>
        </w:rPr>
        <w:t xml:space="preserve"> </w:t>
      </w:r>
      <w:r>
        <w:rPr>
          <w:sz w:val="18"/>
        </w:rPr>
        <w:t>12,</w:t>
      </w:r>
      <w:r>
        <w:rPr>
          <w:spacing w:val="-1"/>
          <w:sz w:val="18"/>
        </w:rPr>
        <w:t xml:space="preserve"> </w:t>
      </w:r>
      <w:r>
        <w:rPr>
          <w:sz w:val="18"/>
        </w:rPr>
        <w:t>13,</w:t>
      </w:r>
      <w:r>
        <w:rPr>
          <w:spacing w:val="-2"/>
          <w:sz w:val="18"/>
        </w:rPr>
        <w:t xml:space="preserve"> </w:t>
      </w:r>
      <w:r>
        <w:rPr>
          <w:sz w:val="18"/>
        </w:rPr>
        <w:t>40,</w:t>
      </w:r>
      <w:r>
        <w:rPr>
          <w:spacing w:val="-1"/>
          <w:sz w:val="18"/>
        </w:rPr>
        <w:t xml:space="preserve"> </w:t>
      </w:r>
      <w:r>
        <w:rPr>
          <w:sz w:val="18"/>
        </w:rPr>
        <w:t>pp.</w:t>
      </w:r>
      <w:r>
        <w:rPr>
          <w:spacing w:val="-1"/>
          <w:sz w:val="18"/>
        </w:rPr>
        <w:t xml:space="preserve"> </w:t>
      </w:r>
      <w:r>
        <w:rPr>
          <w:sz w:val="18"/>
        </w:rPr>
        <w:t>19,</w:t>
      </w:r>
      <w:r>
        <w:rPr>
          <w:spacing w:val="-1"/>
          <w:sz w:val="18"/>
        </w:rPr>
        <w:t xml:space="preserve"> </w:t>
      </w:r>
      <w:r>
        <w:rPr>
          <w:sz w:val="18"/>
        </w:rPr>
        <w:t>37;</w:t>
      </w:r>
      <w:r>
        <w:rPr>
          <w:spacing w:val="-1"/>
          <w:sz w:val="18"/>
        </w:rPr>
        <w:t xml:space="preserve"> </w:t>
      </w:r>
      <w:r>
        <w:rPr>
          <w:sz w:val="18"/>
        </w:rPr>
        <w:t>Yantai</w:t>
      </w:r>
      <w:r>
        <w:rPr>
          <w:spacing w:val="-2"/>
          <w:sz w:val="18"/>
        </w:rPr>
        <w:t xml:space="preserve"> </w:t>
      </w:r>
      <w:r>
        <w:rPr>
          <w:sz w:val="18"/>
        </w:rPr>
        <w:t>Landsun</w:t>
      </w:r>
      <w:r>
        <w:rPr>
          <w:spacing w:val="-1"/>
          <w:sz w:val="18"/>
        </w:rPr>
        <w:t xml:space="preserve"> </w:t>
      </w:r>
      <w:r>
        <w:rPr>
          <w:sz w:val="18"/>
        </w:rPr>
        <w:t>Anti‐Dumping</w:t>
      </w:r>
      <w:r>
        <w:rPr>
          <w:spacing w:val="-2"/>
          <w:sz w:val="18"/>
        </w:rPr>
        <w:t xml:space="preserve"> </w:t>
      </w:r>
      <w:r>
        <w:rPr>
          <w:sz w:val="18"/>
        </w:rPr>
        <w:t>Questionnaire Response (Exhibit</w:t>
      </w:r>
      <w:r>
        <w:rPr>
          <w:spacing w:val="-1"/>
          <w:sz w:val="18"/>
        </w:rPr>
        <w:t xml:space="preserve"> </w:t>
      </w:r>
      <w:r>
        <w:rPr>
          <w:sz w:val="18"/>
        </w:rPr>
        <w:t>AUS‐52),</w:t>
      </w:r>
      <w:r>
        <w:rPr>
          <w:spacing w:val="-2"/>
          <w:sz w:val="18"/>
        </w:rPr>
        <w:t xml:space="preserve"> </w:t>
      </w:r>
      <w:r>
        <w:rPr>
          <w:sz w:val="18"/>
        </w:rPr>
        <w:t>Questions 12,</w:t>
      </w:r>
      <w:r>
        <w:rPr>
          <w:spacing w:val="-1"/>
          <w:sz w:val="18"/>
        </w:rPr>
        <w:t xml:space="preserve"> </w:t>
      </w:r>
      <w:r>
        <w:rPr>
          <w:spacing w:val="-5"/>
          <w:sz w:val="18"/>
        </w:rPr>
        <w:t>13,</w:t>
      </w:r>
    </w:p>
    <w:p w14:paraId="51DE90D6" w14:textId="77777777" w:rsidR="0010369C" w:rsidRDefault="008E43AE">
      <w:pPr>
        <w:ind w:left="238" w:right="613" w:hanging="3"/>
        <w:jc w:val="both"/>
        <w:rPr>
          <w:sz w:val="18"/>
        </w:rPr>
      </w:pPr>
      <w:r>
        <w:rPr>
          <w:sz w:val="18"/>
        </w:rPr>
        <w:t>40,</w:t>
      </w:r>
      <w:r>
        <w:rPr>
          <w:spacing w:val="-6"/>
          <w:sz w:val="18"/>
        </w:rPr>
        <w:t xml:space="preserve"> </w:t>
      </w:r>
      <w:r>
        <w:rPr>
          <w:sz w:val="18"/>
        </w:rPr>
        <w:t>pp.</w:t>
      </w:r>
      <w:r>
        <w:rPr>
          <w:spacing w:val="-5"/>
          <w:sz w:val="18"/>
        </w:rPr>
        <w:t xml:space="preserve"> </w:t>
      </w:r>
      <w:r>
        <w:rPr>
          <w:sz w:val="18"/>
        </w:rPr>
        <w:t>19,</w:t>
      </w:r>
      <w:r>
        <w:rPr>
          <w:spacing w:val="-6"/>
          <w:sz w:val="18"/>
        </w:rPr>
        <w:t xml:space="preserve"> </w:t>
      </w:r>
      <w:r>
        <w:rPr>
          <w:sz w:val="18"/>
        </w:rPr>
        <w:t>37‐38;</w:t>
      </w:r>
      <w:r>
        <w:rPr>
          <w:spacing w:val="-5"/>
          <w:sz w:val="18"/>
        </w:rPr>
        <w:t xml:space="preserve"> </w:t>
      </w:r>
      <w:r>
        <w:rPr>
          <w:sz w:val="18"/>
        </w:rPr>
        <w:t>COFCO</w:t>
      </w:r>
      <w:r>
        <w:rPr>
          <w:spacing w:val="-5"/>
          <w:sz w:val="18"/>
        </w:rPr>
        <w:t xml:space="preserve"> </w:t>
      </w:r>
      <w:r>
        <w:rPr>
          <w:sz w:val="18"/>
        </w:rPr>
        <w:t>Wine</w:t>
      </w:r>
      <w:r>
        <w:rPr>
          <w:spacing w:val="-5"/>
          <w:sz w:val="18"/>
        </w:rPr>
        <w:t xml:space="preserve"> </w:t>
      </w:r>
      <w:r>
        <w:rPr>
          <w:sz w:val="18"/>
        </w:rPr>
        <w:t>Anti‐Dumping</w:t>
      </w:r>
      <w:r>
        <w:rPr>
          <w:spacing w:val="-4"/>
          <w:sz w:val="18"/>
        </w:rPr>
        <w:t xml:space="preserve"> </w:t>
      </w:r>
      <w:r>
        <w:rPr>
          <w:sz w:val="18"/>
        </w:rPr>
        <w:t>Questionnaire</w:t>
      </w:r>
      <w:r>
        <w:rPr>
          <w:spacing w:val="-5"/>
          <w:sz w:val="18"/>
        </w:rPr>
        <w:t xml:space="preserve"> </w:t>
      </w:r>
      <w:r>
        <w:rPr>
          <w:sz w:val="18"/>
        </w:rPr>
        <w:t>Response</w:t>
      </w:r>
      <w:r>
        <w:rPr>
          <w:spacing w:val="-5"/>
          <w:sz w:val="18"/>
        </w:rPr>
        <w:t xml:space="preserve"> </w:t>
      </w:r>
      <w:r>
        <w:rPr>
          <w:sz w:val="18"/>
        </w:rPr>
        <w:t>(Exhibit</w:t>
      </w:r>
      <w:r>
        <w:rPr>
          <w:spacing w:val="-5"/>
          <w:sz w:val="18"/>
        </w:rPr>
        <w:t xml:space="preserve"> </w:t>
      </w:r>
      <w:r>
        <w:rPr>
          <w:sz w:val="18"/>
        </w:rPr>
        <w:t>AUS‐44),</w:t>
      </w:r>
      <w:r>
        <w:rPr>
          <w:spacing w:val="-6"/>
          <w:sz w:val="18"/>
        </w:rPr>
        <w:t xml:space="preserve"> </w:t>
      </w:r>
      <w:r>
        <w:rPr>
          <w:sz w:val="18"/>
        </w:rPr>
        <w:t>Questions</w:t>
      </w:r>
      <w:r>
        <w:rPr>
          <w:spacing w:val="-6"/>
          <w:sz w:val="18"/>
        </w:rPr>
        <w:t xml:space="preserve"> </w:t>
      </w:r>
      <w:r>
        <w:rPr>
          <w:sz w:val="18"/>
        </w:rPr>
        <w:t>12,</w:t>
      </w:r>
      <w:r>
        <w:rPr>
          <w:spacing w:val="-6"/>
          <w:sz w:val="18"/>
        </w:rPr>
        <w:t xml:space="preserve"> </w:t>
      </w:r>
      <w:r>
        <w:rPr>
          <w:sz w:val="18"/>
        </w:rPr>
        <w:t>13,</w:t>
      </w:r>
      <w:r>
        <w:rPr>
          <w:spacing w:val="-6"/>
          <w:sz w:val="18"/>
        </w:rPr>
        <w:t xml:space="preserve"> </w:t>
      </w:r>
      <w:r>
        <w:rPr>
          <w:sz w:val="18"/>
        </w:rPr>
        <w:t>40,</w:t>
      </w:r>
      <w:r>
        <w:rPr>
          <w:spacing w:val="-6"/>
          <w:sz w:val="18"/>
        </w:rPr>
        <w:t xml:space="preserve"> </w:t>
      </w:r>
      <w:r>
        <w:rPr>
          <w:sz w:val="18"/>
        </w:rPr>
        <w:t>pp.</w:t>
      </w:r>
      <w:r>
        <w:rPr>
          <w:spacing w:val="-5"/>
          <w:sz w:val="18"/>
        </w:rPr>
        <w:t xml:space="preserve"> </w:t>
      </w:r>
      <w:r>
        <w:rPr>
          <w:sz w:val="18"/>
        </w:rPr>
        <w:t>19,</w:t>
      </w:r>
      <w:r>
        <w:rPr>
          <w:spacing w:val="-6"/>
          <w:sz w:val="18"/>
        </w:rPr>
        <w:t xml:space="preserve"> </w:t>
      </w:r>
      <w:r>
        <w:rPr>
          <w:sz w:val="18"/>
        </w:rPr>
        <w:t>39;</w:t>
      </w:r>
      <w:r>
        <w:rPr>
          <w:spacing w:val="-5"/>
          <w:sz w:val="18"/>
        </w:rPr>
        <w:t xml:space="preserve"> </w:t>
      </w:r>
      <w:r>
        <w:rPr>
          <w:sz w:val="18"/>
        </w:rPr>
        <w:t>and Changyu Wine Anti‐Dumping Questionnaire Response (Exhibit AUS‐53), Questions 12, 13, 40, pp. 20, 37‐38.</w:t>
      </w:r>
    </w:p>
    <w:p w14:paraId="51DE90D7" w14:textId="77777777" w:rsidR="0010369C" w:rsidRDefault="0010369C">
      <w:pPr>
        <w:jc w:val="both"/>
        <w:rPr>
          <w:sz w:val="18"/>
        </w:rPr>
        <w:sectPr w:rsidR="0010369C">
          <w:pgSz w:w="11910" w:h="16840"/>
          <w:pgMar w:top="880" w:right="800" w:bottom="980" w:left="1180" w:header="569" w:footer="788" w:gutter="0"/>
          <w:cols w:space="720"/>
        </w:sectPr>
      </w:pPr>
    </w:p>
    <w:p w14:paraId="51DE90D8" w14:textId="77777777" w:rsidR="0010369C" w:rsidRDefault="008E43AE">
      <w:pPr>
        <w:tabs>
          <w:tab w:val="left" w:pos="6426"/>
        </w:tabs>
        <w:ind w:left="238"/>
        <w:rPr>
          <w:sz w:val="20"/>
        </w:rPr>
      </w:pPr>
      <w:r>
        <w:rPr>
          <w:i/>
          <w:sz w:val="20"/>
        </w:rPr>
        <w:lastRenderedPageBreak/>
        <w:t>China</w:t>
      </w:r>
      <w:r>
        <w:rPr>
          <w:i/>
          <w:spacing w:val="-5"/>
          <w:sz w:val="20"/>
        </w:rPr>
        <w:t xml:space="preserve"> </w:t>
      </w:r>
      <w:r>
        <w:rPr>
          <w:i/>
          <w:sz w:val="20"/>
        </w:rPr>
        <w:t>–</w:t>
      </w:r>
      <w:r>
        <w:rPr>
          <w:i/>
          <w:spacing w:val="-5"/>
          <w:sz w:val="20"/>
        </w:rPr>
        <w:t xml:space="preserve"> </w:t>
      </w:r>
      <w:r>
        <w:rPr>
          <w:i/>
          <w:sz w:val="20"/>
        </w:rPr>
        <w:t>Anti‐Dumping</w:t>
      </w:r>
      <w:r>
        <w:rPr>
          <w:i/>
          <w:spacing w:val="-4"/>
          <w:sz w:val="20"/>
        </w:rPr>
        <w:t xml:space="preserve"> </w:t>
      </w:r>
      <w:r>
        <w:rPr>
          <w:i/>
          <w:sz w:val="20"/>
        </w:rPr>
        <w:t>and</w:t>
      </w:r>
      <w:r>
        <w:rPr>
          <w:i/>
          <w:spacing w:val="-5"/>
          <w:sz w:val="20"/>
        </w:rPr>
        <w:t xml:space="preserve"> </w:t>
      </w:r>
      <w:r>
        <w:rPr>
          <w:i/>
          <w:sz w:val="20"/>
        </w:rPr>
        <w:t>Countervailing</w:t>
      </w:r>
      <w:r>
        <w:rPr>
          <w:i/>
          <w:spacing w:val="-5"/>
          <w:sz w:val="20"/>
        </w:rPr>
        <w:t xml:space="preserve"> </w:t>
      </w:r>
      <w:r>
        <w:rPr>
          <w:i/>
          <w:sz w:val="20"/>
        </w:rPr>
        <w:t>Duty</w:t>
      </w:r>
      <w:r>
        <w:rPr>
          <w:i/>
          <w:spacing w:val="-4"/>
          <w:sz w:val="20"/>
        </w:rPr>
        <w:t xml:space="preserve"> </w:t>
      </w:r>
      <w:r>
        <w:rPr>
          <w:i/>
          <w:spacing w:val="-2"/>
          <w:sz w:val="20"/>
        </w:rPr>
        <w:t>Measures</w:t>
      </w:r>
      <w:r>
        <w:rPr>
          <w:i/>
          <w:sz w:val="20"/>
        </w:rPr>
        <w:tab/>
      </w:r>
      <w:r>
        <w:rPr>
          <w:sz w:val="20"/>
        </w:rPr>
        <w:t>Australia's</w:t>
      </w:r>
      <w:r>
        <w:rPr>
          <w:spacing w:val="-7"/>
          <w:sz w:val="20"/>
        </w:rPr>
        <w:t xml:space="preserve"> </w:t>
      </w:r>
      <w:r>
        <w:rPr>
          <w:sz w:val="20"/>
        </w:rPr>
        <w:t>First</w:t>
      </w:r>
      <w:r>
        <w:rPr>
          <w:spacing w:val="-2"/>
          <w:sz w:val="20"/>
        </w:rPr>
        <w:t xml:space="preserve"> </w:t>
      </w:r>
      <w:r>
        <w:rPr>
          <w:sz w:val="20"/>
        </w:rPr>
        <w:t>Written</w:t>
      </w:r>
      <w:r>
        <w:rPr>
          <w:spacing w:val="-2"/>
          <w:sz w:val="20"/>
        </w:rPr>
        <w:t xml:space="preserve"> Submission</w:t>
      </w:r>
    </w:p>
    <w:p w14:paraId="51DE90D9" w14:textId="77777777" w:rsidR="0010369C" w:rsidRDefault="008E43AE">
      <w:pPr>
        <w:tabs>
          <w:tab w:val="left" w:pos="8228"/>
        </w:tabs>
        <w:spacing w:before="1"/>
        <w:ind w:left="239"/>
        <w:rPr>
          <w:sz w:val="20"/>
        </w:rPr>
      </w:pPr>
      <w:r>
        <w:rPr>
          <w:i/>
          <w:sz w:val="20"/>
        </w:rPr>
        <w:t>on</w:t>
      </w:r>
      <w:r>
        <w:rPr>
          <w:i/>
          <w:spacing w:val="-1"/>
          <w:sz w:val="20"/>
        </w:rPr>
        <w:t xml:space="preserve"> </w:t>
      </w:r>
      <w:r>
        <w:rPr>
          <w:i/>
          <w:sz w:val="20"/>
        </w:rPr>
        <w:t>Wine</w:t>
      </w:r>
      <w:r>
        <w:rPr>
          <w:i/>
          <w:spacing w:val="-1"/>
          <w:sz w:val="20"/>
        </w:rPr>
        <w:t xml:space="preserve"> </w:t>
      </w:r>
      <w:r>
        <w:rPr>
          <w:i/>
          <w:sz w:val="20"/>
        </w:rPr>
        <w:t>from</w:t>
      </w:r>
      <w:r>
        <w:rPr>
          <w:i/>
          <w:spacing w:val="-3"/>
          <w:sz w:val="20"/>
        </w:rPr>
        <w:t xml:space="preserve"> </w:t>
      </w:r>
      <w:r>
        <w:rPr>
          <w:i/>
          <w:sz w:val="20"/>
        </w:rPr>
        <w:t>Australia</w:t>
      </w:r>
      <w:r>
        <w:rPr>
          <w:i/>
          <w:spacing w:val="-1"/>
          <w:sz w:val="20"/>
        </w:rPr>
        <w:t xml:space="preserve"> </w:t>
      </w:r>
      <w:r>
        <w:rPr>
          <w:spacing w:val="-2"/>
          <w:sz w:val="20"/>
        </w:rPr>
        <w:t>(DS602)</w:t>
      </w:r>
      <w:r>
        <w:rPr>
          <w:sz w:val="20"/>
        </w:rPr>
        <w:tab/>
        <w:t>29</w:t>
      </w:r>
      <w:r>
        <w:rPr>
          <w:spacing w:val="-1"/>
          <w:sz w:val="20"/>
        </w:rPr>
        <w:t xml:space="preserve"> </w:t>
      </w:r>
      <w:r>
        <w:rPr>
          <w:sz w:val="20"/>
        </w:rPr>
        <w:t>April</w:t>
      </w:r>
      <w:r>
        <w:rPr>
          <w:spacing w:val="-2"/>
          <w:sz w:val="20"/>
        </w:rPr>
        <w:t xml:space="preserve"> </w:t>
      </w:r>
      <w:r>
        <w:rPr>
          <w:spacing w:val="-4"/>
          <w:sz w:val="20"/>
        </w:rPr>
        <w:t>2022</w:t>
      </w:r>
    </w:p>
    <w:p w14:paraId="51DE90DA" w14:textId="77777777" w:rsidR="0010369C" w:rsidRDefault="008E43AE">
      <w:pPr>
        <w:pStyle w:val="BodyText"/>
        <w:spacing w:before="34" w:line="360" w:lineRule="auto"/>
        <w:ind w:left="238" w:right="614"/>
      </w:pPr>
      <w:r>
        <w:t>industry. In this respect, MOFCOM's analyses and reasoning were inconsistent with its own data and factual findings.</w:t>
      </w:r>
    </w:p>
    <w:p w14:paraId="51DE90DB" w14:textId="77777777" w:rsidR="0010369C" w:rsidRDefault="0010369C">
      <w:pPr>
        <w:pStyle w:val="BodyText"/>
        <w:spacing w:before="10"/>
        <w:rPr>
          <w:sz w:val="8"/>
        </w:rPr>
      </w:pPr>
    </w:p>
    <w:p w14:paraId="51DE90DC" w14:textId="77777777" w:rsidR="0010369C" w:rsidRDefault="008E43AE">
      <w:pPr>
        <w:pStyle w:val="BodyText"/>
        <w:spacing w:before="52" w:line="360" w:lineRule="auto"/>
        <w:ind w:left="236" w:right="613" w:firstLine="852"/>
        <w:jc w:val="both"/>
      </w:pPr>
      <w:r>
        <w:rPr>
          <w:noProof/>
        </w:rPr>
        <w:drawing>
          <wp:anchor distT="0" distB="0" distL="0" distR="0" simplePos="0" relativeHeight="251265536" behindDoc="1" locked="0" layoutInCell="1" allowOverlap="1" wp14:anchorId="51DEA539" wp14:editId="51DEA53A">
            <wp:simplePos x="0" y="0"/>
            <wp:positionH relativeFrom="page">
              <wp:posOffset>905255</wp:posOffset>
            </wp:positionH>
            <wp:positionV relativeFrom="paragraph">
              <wp:posOffset>76785</wp:posOffset>
            </wp:positionV>
            <wp:extent cx="259079" cy="106679"/>
            <wp:effectExtent l="0" t="0" r="0" b="0"/>
            <wp:wrapNone/>
            <wp:docPr id="1275" name="image6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 name="image659.png"/>
                    <pic:cNvPicPr/>
                  </pic:nvPicPr>
                  <pic:blipFill>
                    <a:blip r:embed="rId861" cstate="print"/>
                    <a:stretch>
                      <a:fillRect/>
                    </a:stretch>
                  </pic:blipFill>
                  <pic:spPr>
                    <a:xfrm>
                      <a:off x="0" y="0"/>
                      <a:ext cx="259079" cy="106679"/>
                    </a:xfrm>
                    <a:prstGeom prst="rect">
                      <a:avLst/>
                    </a:prstGeom>
                  </pic:spPr>
                </pic:pic>
              </a:graphicData>
            </a:graphic>
          </wp:anchor>
        </w:drawing>
      </w:r>
      <w:r>
        <w:t>First,</w:t>
      </w:r>
      <w:r>
        <w:rPr>
          <w:spacing w:val="-10"/>
        </w:rPr>
        <w:t xml:space="preserve"> </w:t>
      </w:r>
      <w:r>
        <w:t>as</w:t>
      </w:r>
      <w:r>
        <w:rPr>
          <w:spacing w:val="-11"/>
        </w:rPr>
        <w:t xml:space="preserve"> </w:t>
      </w:r>
      <w:r>
        <w:t>noted</w:t>
      </w:r>
      <w:r>
        <w:rPr>
          <w:spacing w:val="-11"/>
        </w:rPr>
        <w:t xml:space="preserve"> </w:t>
      </w:r>
      <w:r>
        <w:t>above,</w:t>
      </w:r>
      <w:r>
        <w:rPr>
          <w:spacing w:val="-11"/>
        </w:rPr>
        <w:t xml:space="preserve"> </w:t>
      </w:r>
      <w:r>
        <w:t>MOFCOM's</w:t>
      </w:r>
      <w:r>
        <w:rPr>
          <w:spacing w:val="-11"/>
        </w:rPr>
        <w:t xml:space="preserve"> </w:t>
      </w:r>
      <w:r>
        <w:t>apparent</w:t>
      </w:r>
      <w:r>
        <w:rPr>
          <w:spacing w:val="-10"/>
        </w:rPr>
        <w:t xml:space="preserve"> </w:t>
      </w:r>
      <w:r>
        <w:t>consumption</w:t>
      </w:r>
      <w:r>
        <w:rPr>
          <w:spacing w:val="-11"/>
        </w:rPr>
        <w:t xml:space="preserve"> </w:t>
      </w:r>
      <w:r>
        <w:t>figures</w:t>
      </w:r>
      <w:r>
        <w:rPr>
          <w:spacing w:val="-11"/>
        </w:rPr>
        <w:t xml:space="preserve"> </w:t>
      </w:r>
      <w:r>
        <w:t>show</w:t>
      </w:r>
      <w:r>
        <w:rPr>
          <w:spacing w:val="-11"/>
        </w:rPr>
        <w:t xml:space="preserve"> </w:t>
      </w:r>
      <w:r>
        <w:t>that</w:t>
      </w:r>
      <w:r>
        <w:rPr>
          <w:spacing w:val="-11"/>
        </w:rPr>
        <w:t xml:space="preserve"> </w:t>
      </w:r>
      <w:r>
        <w:t>there</w:t>
      </w:r>
      <w:r>
        <w:rPr>
          <w:spacing w:val="-10"/>
        </w:rPr>
        <w:t xml:space="preserve"> </w:t>
      </w:r>
      <w:r>
        <w:t>was significant growth (19.85%) between 2015 and 2017 and a significant contraction (‐19.26%) between 2017 and 2019.</w:t>
      </w:r>
      <w:r>
        <w:rPr>
          <w:vertAlign w:val="superscript"/>
        </w:rPr>
        <w:t>747</w:t>
      </w:r>
      <w:r>
        <w:t xml:space="preserve"> MOFCOM did not consider what factors were driving the significant growth in apparent consumption experienced between 2015 and 2017, nor </w:t>
      </w:r>
      <w:r>
        <w:t>did it evaluate</w:t>
      </w:r>
      <w:r>
        <w:rPr>
          <w:spacing w:val="-14"/>
        </w:rPr>
        <w:t xml:space="preserve"> </w:t>
      </w:r>
      <w:r>
        <w:t>the</w:t>
      </w:r>
      <w:r>
        <w:rPr>
          <w:spacing w:val="-14"/>
        </w:rPr>
        <w:t xml:space="preserve"> </w:t>
      </w:r>
      <w:r>
        <w:t>factors</w:t>
      </w:r>
      <w:r>
        <w:rPr>
          <w:spacing w:val="-13"/>
        </w:rPr>
        <w:t xml:space="preserve"> </w:t>
      </w:r>
      <w:r>
        <w:t>which</w:t>
      </w:r>
      <w:r>
        <w:rPr>
          <w:spacing w:val="-14"/>
        </w:rPr>
        <w:t xml:space="preserve"> </w:t>
      </w:r>
      <w:r>
        <w:t>caused</w:t>
      </w:r>
      <w:r>
        <w:rPr>
          <w:spacing w:val="-13"/>
        </w:rPr>
        <w:t xml:space="preserve"> </w:t>
      </w:r>
      <w:r>
        <w:t>the</w:t>
      </w:r>
      <w:r>
        <w:rPr>
          <w:spacing w:val="-14"/>
        </w:rPr>
        <w:t xml:space="preserve"> </w:t>
      </w:r>
      <w:r>
        <w:t>contraction</w:t>
      </w:r>
      <w:r>
        <w:rPr>
          <w:spacing w:val="-13"/>
        </w:rPr>
        <w:t xml:space="preserve"> </w:t>
      </w:r>
      <w:r>
        <w:t>between</w:t>
      </w:r>
      <w:r>
        <w:rPr>
          <w:spacing w:val="-14"/>
        </w:rPr>
        <w:t xml:space="preserve"> </w:t>
      </w:r>
      <w:r>
        <w:t>2017</w:t>
      </w:r>
      <w:r>
        <w:rPr>
          <w:spacing w:val="-14"/>
        </w:rPr>
        <w:t xml:space="preserve"> </w:t>
      </w:r>
      <w:r>
        <w:t>and</w:t>
      </w:r>
      <w:r>
        <w:rPr>
          <w:spacing w:val="-13"/>
        </w:rPr>
        <w:t xml:space="preserve"> </w:t>
      </w:r>
      <w:r>
        <w:t>2019.</w:t>
      </w:r>
      <w:r>
        <w:rPr>
          <w:spacing w:val="-14"/>
        </w:rPr>
        <w:t xml:space="preserve"> </w:t>
      </w:r>
      <w:r>
        <w:t>Instead,</w:t>
      </w:r>
      <w:r>
        <w:rPr>
          <w:spacing w:val="-13"/>
        </w:rPr>
        <w:t xml:space="preserve"> </w:t>
      </w:r>
      <w:r>
        <w:t>MOFCOM simply stated that during the Injury POI "the apparent consumption in the Chinese relevant wine market first increased and then decreased, the overall market de</w:t>
      </w:r>
      <w:r>
        <w:t>mand was steady".</w:t>
      </w:r>
      <w:r>
        <w:rPr>
          <w:vertAlign w:val="superscript"/>
        </w:rPr>
        <w:t>748</w:t>
      </w:r>
      <w:r>
        <w:t xml:space="preserve"> MOFCOM's characterisation of market demand as "steady" appears to be based on an end‐ to‐end</w:t>
      </w:r>
      <w:r>
        <w:rPr>
          <w:spacing w:val="-13"/>
        </w:rPr>
        <w:t xml:space="preserve"> </w:t>
      </w:r>
      <w:r>
        <w:t>comparison</w:t>
      </w:r>
      <w:r>
        <w:rPr>
          <w:spacing w:val="-12"/>
        </w:rPr>
        <w:t xml:space="preserve"> </w:t>
      </w:r>
      <w:r>
        <w:t>of</w:t>
      </w:r>
      <w:r>
        <w:rPr>
          <w:spacing w:val="-14"/>
        </w:rPr>
        <w:t xml:space="preserve"> </w:t>
      </w:r>
      <w:r>
        <w:t>consumption</w:t>
      </w:r>
      <w:r>
        <w:rPr>
          <w:spacing w:val="-13"/>
        </w:rPr>
        <w:t xml:space="preserve"> </w:t>
      </w:r>
      <w:r>
        <w:t>volumes</w:t>
      </w:r>
      <w:r>
        <w:rPr>
          <w:spacing w:val="-13"/>
        </w:rPr>
        <w:t xml:space="preserve"> </w:t>
      </w:r>
      <w:r>
        <w:t>in</w:t>
      </w:r>
      <w:r>
        <w:rPr>
          <w:spacing w:val="-12"/>
        </w:rPr>
        <w:t xml:space="preserve"> </w:t>
      </w:r>
      <w:r>
        <w:t>2015</w:t>
      </w:r>
      <w:r>
        <w:rPr>
          <w:spacing w:val="-13"/>
        </w:rPr>
        <w:t xml:space="preserve"> </w:t>
      </w:r>
      <w:r>
        <w:t>and</w:t>
      </w:r>
      <w:r>
        <w:rPr>
          <w:spacing w:val="-12"/>
        </w:rPr>
        <w:t xml:space="preserve"> </w:t>
      </w:r>
      <w:r>
        <w:t>2019,</w:t>
      </w:r>
      <w:r>
        <w:rPr>
          <w:spacing w:val="-12"/>
        </w:rPr>
        <w:t xml:space="preserve"> </w:t>
      </w:r>
      <w:r>
        <w:t>which</w:t>
      </w:r>
      <w:r>
        <w:rPr>
          <w:spacing w:val="-13"/>
        </w:rPr>
        <w:t xml:space="preserve"> </w:t>
      </w:r>
      <w:r>
        <w:t>fails</w:t>
      </w:r>
      <w:r>
        <w:rPr>
          <w:spacing w:val="-12"/>
        </w:rPr>
        <w:t xml:space="preserve"> </w:t>
      </w:r>
      <w:r>
        <w:t>to</w:t>
      </w:r>
      <w:r>
        <w:rPr>
          <w:spacing w:val="-12"/>
        </w:rPr>
        <w:t xml:space="preserve"> </w:t>
      </w:r>
      <w:r>
        <w:t>take</w:t>
      </w:r>
      <w:r>
        <w:rPr>
          <w:spacing w:val="-12"/>
        </w:rPr>
        <w:t xml:space="preserve"> </w:t>
      </w:r>
      <w:r>
        <w:t>into</w:t>
      </w:r>
      <w:r>
        <w:rPr>
          <w:spacing w:val="-11"/>
        </w:rPr>
        <w:t xml:space="preserve"> </w:t>
      </w:r>
      <w:r>
        <w:t>account the substantial growth and contraction trends that occurr</w:t>
      </w:r>
      <w:r>
        <w:t>ed during the injury POI or their impact on the relevant economic factors and indices having a bearing on the state of the domestic industry.</w:t>
      </w:r>
    </w:p>
    <w:p w14:paraId="51DE90DD" w14:textId="77777777" w:rsidR="0010369C" w:rsidRDefault="0010369C">
      <w:pPr>
        <w:pStyle w:val="BodyText"/>
        <w:spacing w:before="11"/>
        <w:rPr>
          <w:sz w:val="8"/>
        </w:rPr>
      </w:pPr>
    </w:p>
    <w:p w14:paraId="51DE90DE" w14:textId="77777777" w:rsidR="0010369C" w:rsidRDefault="008E43AE">
      <w:pPr>
        <w:pStyle w:val="BodyText"/>
        <w:spacing w:before="51" w:line="360" w:lineRule="auto"/>
        <w:ind w:left="236" w:right="613" w:firstLine="853"/>
        <w:jc w:val="both"/>
      </w:pPr>
      <w:r>
        <w:rPr>
          <w:noProof/>
        </w:rPr>
        <w:drawing>
          <wp:anchor distT="0" distB="0" distL="0" distR="0" simplePos="0" relativeHeight="251266560" behindDoc="1" locked="0" layoutInCell="1" allowOverlap="1" wp14:anchorId="51DEA53B" wp14:editId="51DEA53C">
            <wp:simplePos x="0" y="0"/>
            <wp:positionH relativeFrom="page">
              <wp:posOffset>905255</wp:posOffset>
            </wp:positionH>
            <wp:positionV relativeFrom="paragraph">
              <wp:posOffset>76150</wp:posOffset>
            </wp:positionV>
            <wp:extent cx="259079" cy="106679"/>
            <wp:effectExtent l="0" t="0" r="0" b="0"/>
            <wp:wrapNone/>
            <wp:docPr id="1277" name="image6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 name="image660.png"/>
                    <pic:cNvPicPr/>
                  </pic:nvPicPr>
                  <pic:blipFill>
                    <a:blip r:embed="rId862" cstate="print"/>
                    <a:stretch>
                      <a:fillRect/>
                    </a:stretch>
                  </pic:blipFill>
                  <pic:spPr>
                    <a:xfrm>
                      <a:off x="0" y="0"/>
                      <a:ext cx="259079" cy="106679"/>
                    </a:xfrm>
                    <a:prstGeom prst="rect">
                      <a:avLst/>
                    </a:prstGeom>
                  </pic:spPr>
                </pic:pic>
              </a:graphicData>
            </a:graphic>
          </wp:anchor>
        </w:drawing>
      </w:r>
      <w:r>
        <w:t>Substantial changes in consumption volumes were likely to have an impact on the domestic industry in</w:t>
      </w:r>
      <w:r>
        <w:rPr>
          <w:spacing w:val="-1"/>
        </w:rPr>
        <w:t xml:space="preserve"> </w:t>
      </w:r>
      <w:r>
        <w:t>terms</w:t>
      </w:r>
      <w:r>
        <w:rPr>
          <w:spacing w:val="-2"/>
        </w:rPr>
        <w:t xml:space="preserve"> </w:t>
      </w:r>
      <w:r>
        <w:t>of</w:t>
      </w:r>
      <w:r>
        <w:rPr>
          <w:spacing w:val="-1"/>
        </w:rPr>
        <w:t xml:space="preserve"> </w:t>
      </w:r>
      <w:r>
        <w:t>sales</w:t>
      </w:r>
      <w:r>
        <w:rPr>
          <w:spacing w:val="-2"/>
        </w:rPr>
        <w:t xml:space="preserve"> </w:t>
      </w:r>
      <w:r>
        <w:t>volume</w:t>
      </w:r>
      <w:r>
        <w:rPr>
          <w:spacing w:val="-1"/>
        </w:rPr>
        <w:t xml:space="preserve"> </w:t>
      </w:r>
      <w:r>
        <w:t>and</w:t>
      </w:r>
      <w:r>
        <w:rPr>
          <w:spacing w:val="-2"/>
        </w:rPr>
        <w:t xml:space="preserve"> </w:t>
      </w:r>
      <w:r>
        <w:t>revenue,</w:t>
      </w:r>
      <w:r>
        <w:rPr>
          <w:spacing w:val="-3"/>
        </w:rPr>
        <w:t xml:space="preserve"> </w:t>
      </w:r>
      <w:r>
        <w:t>profits, return</w:t>
      </w:r>
      <w:r>
        <w:rPr>
          <w:spacing w:val="-2"/>
        </w:rPr>
        <w:t xml:space="preserve"> </w:t>
      </w:r>
      <w:r>
        <w:t>on</w:t>
      </w:r>
      <w:r>
        <w:rPr>
          <w:spacing w:val="-1"/>
        </w:rPr>
        <w:t xml:space="preserve"> </w:t>
      </w:r>
      <w:r>
        <w:t>investments, cash flow, employment, wages, growth and ability to raise capital or attract investment. As noted above, the domestic producers indicated in their questionnaire responses that supply and demand cons</w:t>
      </w:r>
      <w:r>
        <w:t>tituted a main factor affecting the price of domestic like products. Article 3.4 required MOFCOM to properly evaluate the impact of significant changes in apparent consumption</w:t>
      </w:r>
      <w:r>
        <w:rPr>
          <w:spacing w:val="-6"/>
        </w:rPr>
        <w:t xml:space="preserve"> </w:t>
      </w:r>
      <w:r>
        <w:t>to</w:t>
      </w:r>
      <w:r>
        <w:rPr>
          <w:spacing w:val="-5"/>
        </w:rPr>
        <w:t xml:space="preserve"> </w:t>
      </w:r>
      <w:r>
        <w:t>the</w:t>
      </w:r>
      <w:r>
        <w:rPr>
          <w:spacing w:val="-4"/>
        </w:rPr>
        <w:t xml:space="preserve"> </w:t>
      </w:r>
      <w:r>
        <w:t>extent</w:t>
      </w:r>
      <w:r>
        <w:rPr>
          <w:spacing w:val="-6"/>
        </w:rPr>
        <w:t xml:space="preserve"> </w:t>
      </w:r>
      <w:r>
        <w:t>that</w:t>
      </w:r>
      <w:r>
        <w:rPr>
          <w:spacing w:val="-5"/>
        </w:rPr>
        <w:t xml:space="preserve"> </w:t>
      </w:r>
      <w:r>
        <w:t>it</w:t>
      </w:r>
      <w:r>
        <w:rPr>
          <w:spacing w:val="-5"/>
        </w:rPr>
        <w:t xml:space="preserve"> </w:t>
      </w:r>
      <w:r>
        <w:t>affected</w:t>
      </w:r>
      <w:r>
        <w:rPr>
          <w:spacing w:val="-5"/>
        </w:rPr>
        <w:t xml:space="preserve"> </w:t>
      </w:r>
      <w:r>
        <w:t>the</w:t>
      </w:r>
      <w:r>
        <w:rPr>
          <w:spacing w:val="-4"/>
        </w:rPr>
        <w:t xml:space="preserve"> </w:t>
      </w:r>
      <w:r>
        <w:t>relevant</w:t>
      </w:r>
      <w:r>
        <w:rPr>
          <w:spacing w:val="-5"/>
        </w:rPr>
        <w:t xml:space="preserve"> </w:t>
      </w:r>
      <w:r>
        <w:t>economic</w:t>
      </w:r>
      <w:r>
        <w:rPr>
          <w:spacing w:val="-5"/>
        </w:rPr>
        <w:t xml:space="preserve"> </w:t>
      </w:r>
      <w:r>
        <w:t>factors</w:t>
      </w:r>
      <w:r>
        <w:rPr>
          <w:spacing w:val="-5"/>
        </w:rPr>
        <w:t xml:space="preserve"> </w:t>
      </w:r>
      <w:r>
        <w:t>and</w:t>
      </w:r>
      <w:r>
        <w:rPr>
          <w:spacing w:val="-5"/>
        </w:rPr>
        <w:t xml:space="preserve"> </w:t>
      </w:r>
      <w:r>
        <w:t>indices</w:t>
      </w:r>
      <w:r>
        <w:rPr>
          <w:spacing w:val="-5"/>
        </w:rPr>
        <w:t xml:space="preserve"> </w:t>
      </w:r>
      <w:r>
        <w:t>having</w:t>
      </w:r>
      <w:r>
        <w:rPr>
          <w:spacing w:val="-5"/>
        </w:rPr>
        <w:t xml:space="preserve"> </w:t>
      </w:r>
      <w:r>
        <w:t>a bearing</w:t>
      </w:r>
      <w:r>
        <w:rPr>
          <w:spacing w:val="-14"/>
        </w:rPr>
        <w:t xml:space="preserve"> </w:t>
      </w:r>
      <w:r>
        <w:t>on</w:t>
      </w:r>
      <w:r>
        <w:rPr>
          <w:spacing w:val="-14"/>
        </w:rPr>
        <w:t xml:space="preserve"> </w:t>
      </w:r>
      <w:r>
        <w:t>the</w:t>
      </w:r>
      <w:r>
        <w:rPr>
          <w:spacing w:val="-13"/>
        </w:rPr>
        <w:t xml:space="preserve"> </w:t>
      </w:r>
      <w:r>
        <w:t>state</w:t>
      </w:r>
      <w:r>
        <w:rPr>
          <w:spacing w:val="-14"/>
        </w:rPr>
        <w:t xml:space="preserve"> </w:t>
      </w:r>
      <w:r>
        <w:t>of</w:t>
      </w:r>
      <w:r>
        <w:rPr>
          <w:spacing w:val="-13"/>
        </w:rPr>
        <w:t xml:space="preserve"> </w:t>
      </w:r>
      <w:r>
        <w:t>the</w:t>
      </w:r>
      <w:r>
        <w:rPr>
          <w:spacing w:val="-14"/>
        </w:rPr>
        <w:t xml:space="preserve"> </w:t>
      </w:r>
      <w:r>
        <w:t>domestic</w:t>
      </w:r>
      <w:r>
        <w:rPr>
          <w:spacing w:val="-13"/>
        </w:rPr>
        <w:t xml:space="preserve"> </w:t>
      </w:r>
      <w:r>
        <w:t>industry.</w:t>
      </w:r>
      <w:r>
        <w:rPr>
          <w:spacing w:val="-14"/>
        </w:rPr>
        <w:t xml:space="preserve"> </w:t>
      </w:r>
      <w:r>
        <w:t>MOFCOM's</w:t>
      </w:r>
      <w:r>
        <w:rPr>
          <w:spacing w:val="-14"/>
        </w:rPr>
        <w:t xml:space="preserve"> </w:t>
      </w:r>
      <w:r>
        <w:t>failure</w:t>
      </w:r>
      <w:r>
        <w:rPr>
          <w:spacing w:val="-13"/>
        </w:rPr>
        <w:t xml:space="preserve"> </w:t>
      </w:r>
      <w:r>
        <w:t>to</w:t>
      </w:r>
      <w:r>
        <w:rPr>
          <w:spacing w:val="-14"/>
        </w:rPr>
        <w:t xml:space="preserve"> </w:t>
      </w:r>
      <w:r>
        <w:t>engage</w:t>
      </w:r>
      <w:r>
        <w:rPr>
          <w:spacing w:val="-13"/>
        </w:rPr>
        <w:t xml:space="preserve"> </w:t>
      </w:r>
      <w:r>
        <w:t>with</w:t>
      </w:r>
      <w:r>
        <w:rPr>
          <w:spacing w:val="-14"/>
        </w:rPr>
        <w:t xml:space="preserve"> </w:t>
      </w:r>
      <w:r>
        <w:t>the</w:t>
      </w:r>
      <w:r>
        <w:rPr>
          <w:spacing w:val="-13"/>
        </w:rPr>
        <w:t xml:space="preserve"> </w:t>
      </w:r>
      <w:r>
        <w:t>significant changes in apparent consumption volumes experienced during the Injury POI means that its evaluation of the domestic industry does not provide a meaningful basi</w:t>
      </w:r>
      <w:r>
        <w:t xml:space="preserve">s for the injury </w:t>
      </w:r>
      <w:r>
        <w:rPr>
          <w:spacing w:val="-2"/>
        </w:rPr>
        <w:t>determination.</w:t>
      </w:r>
    </w:p>
    <w:p w14:paraId="51DE90DF" w14:textId="77777777" w:rsidR="0010369C" w:rsidRDefault="0010369C">
      <w:pPr>
        <w:pStyle w:val="BodyText"/>
        <w:spacing w:before="11"/>
        <w:rPr>
          <w:sz w:val="8"/>
        </w:rPr>
      </w:pPr>
    </w:p>
    <w:p w14:paraId="51DE90E0" w14:textId="77777777" w:rsidR="0010369C" w:rsidRDefault="008E43AE">
      <w:pPr>
        <w:pStyle w:val="BodyText"/>
        <w:spacing w:before="52" w:line="360" w:lineRule="auto"/>
        <w:ind w:left="238" w:right="613" w:firstLine="851"/>
        <w:jc w:val="both"/>
      </w:pPr>
      <w:r>
        <w:rPr>
          <w:noProof/>
        </w:rPr>
        <w:drawing>
          <wp:anchor distT="0" distB="0" distL="0" distR="0" simplePos="0" relativeHeight="251267584" behindDoc="1" locked="0" layoutInCell="1" allowOverlap="1" wp14:anchorId="51DEA53D" wp14:editId="51DEA53E">
            <wp:simplePos x="0" y="0"/>
            <wp:positionH relativeFrom="page">
              <wp:posOffset>905255</wp:posOffset>
            </wp:positionH>
            <wp:positionV relativeFrom="paragraph">
              <wp:posOffset>81357</wp:posOffset>
            </wp:positionV>
            <wp:extent cx="259079" cy="103631"/>
            <wp:effectExtent l="0" t="0" r="0" b="0"/>
            <wp:wrapNone/>
            <wp:docPr id="1279" name="image6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 name="image661.png"/>
                    <pic:cNvPicPr/>
                  </pic:nvPicPr>
                  <pic:blipFill>
                    <a:blip r:embed="rId863" cstate="print"/>
                    <a:stretch>
                      <a:fillRect/>
                    </a:stretch>
                  </pic:blipFill>
                  <pic:spPr>
                    <a:xfrm>
                      <a:off x="0" y="0"/>
                      <a:ext cx="259079" cy="103631"/>
                    </a:xfrm>
                    <a:prstGeom prst="rect">
                      <a:avLst/>
                    </a:prstGeom>
                  </pic:spPr>
                </pic:pic>
              </a:graphicData>
            </a:graphic>
          </wp:anchor>
        </w:drawing>
      </w:r>
      <w:r>
        <w:t>Second, MOFCOM stated that "evidence shows … the domestic industry capacity expansion plan was suspended with the volume increase and price decrease of the product under</w:t>
      </w:r>
      <w:r>
        <w:rPr>
          <w:spacing w:val="31"/>
        </w:rPr>
        <w:t xml:space="preserve"> </w:t>
      </w:r>
      <w:r>
        <w:t>investigation".</w:t>
      </w:r>
      <w:r>
        <w:rPr>
          <w:vertAlign w:val="superscript"/>
        </w:rPr>
        <w:t>749</w:t>
      </w:r>
      <w:r>
        <w:rPr>
          <w:spacing w:val="29"/>
        </w:rPr>
        <w:t xml:space="preserve"> </w:t>
      </w:r>
      <w:r>
        <w:t>MOFCOM</w:t>
      </w:r>
      <w:r>
        <w:rPr>
          <w:spacing w:val="30"/>
        </w:rPr>
        <w:t xml:space="preserve"> </w:t>
      </w:r>
      <w:r>
        <w:t>does</w:t>
      </w:r>
      <w:r>
        <w:rPr>
          <w:spacing w:val="31"/>
        </w:rPr>
        <w:t xml:space="preserve"> </w:t>
      </w:r>
      <w:r>
        <w:t>not</w:t>
      </w:r>
      <w:r>
        <w:rPr>
          <w:spacing w:val="30"/>
        </w:rPr>
        <w:t xml:space="preserve"> </w:t>
      </w:r>
      <w:r>
        <w:t>explain</w:t>
      </w:r>
      <w:r>
        <w:rPr>
          <w:spacing w:val="29"/>
        </w:rPr>
        <w:t xml:space="preserve"> </w:t>
      </w:r>
      <w:r>
        <w:t>what</w:t>
      </w:r>
      <w:r>
        <w:rPr>
          <w:spacing w:val="31"/>
        </w:rPr>
        <w:t xml:space="preserve"> </w:t>
      </w:r>
      <w:r>
        <w:t>the</w:t>
      </w:r>
      <w:r>
        <w:rPr>
          <w:spacing w:val="30"/>
        </w:rPr>
        <w:t xml:space="preserve"> </w:t>
      </w:r>
      <w:r>
        <w:t>"domestic</w:t>
      </w:r>
      <w:r>
        <w:rPr>
          <w:spacing w:val="29"/>
        </w:rPr>
        <w:t xml:space="preserve"> </w:t>
      </w:r>
      <w:r>
        <w:t>industry</w:t>
      </w:r>
      <w:r>
        <w:rPr>
          <w:spacing w:val="31"/>
        </w:rPr>
        <w:t xml:space="preserve"> </w:t>
      </w:r>
      <w:r>
        <w:rPr>
          <w:spacing w:val="-2"/>
        </w:rPr>
        <w:t>capacity</w:t>
      </w:r>
    </w:p>
    <w:p w14:paraId="51DE90E1" w14:textId="77777777" w:rsidR="0010369C" w:rsidRDefault="008E43AE">
      <w:pPr>
        <w:pStyle w:val="BodyText"/>
        <w:spacing w:before="6"/>
        <w:rPr>
          <w:sz w:val="15"/>
        </w:rPr>
      </w:pPr>
      <w:r>
        <w:pict w14:anchorId="51DEA53F">
          <v:rect id="docshape1119" o:spid="_x0000_s1273" style="position:absolute;margin-left:70.9pt;margin-top:10.7pt;width:2in;height:.8pt;z-index:-250805760;mso-wrap-distance-left:0;mso-wrap-distance-right:0;mso-position-horizontal-relative:page" fillcolor="black" stroked="f">
            <w10:wrap type="topAndBottom" anchorx="page"/>
          </v:rect>
        </w:pict>
      </w:r>
    </w:p>
    <w:p w14:paraId="51DE90E2" w14:textId="77777777" w:rsidR="0010369C" w:rsidRDefault="008E43AE">
      <w:pPr>
        <w:spacing w:before="110"/>
        <w:ind w:left="237" w:right="611"/>
        <w:rPr>
          <w:sz w:val="18"/>
        </w:rPr>
      </w:pPr>
      <w:r>
        <w:rPr>
          <w:sz w:val="18"/>
          <w:vertAlign w:val="superscript"/>
        </w:rPr>
        <w:t>747</w:t>
      </w:r>
      <w:r>
        <w:rPr>
          <w:spacing w:val="-3"/>
          <w:sz w:val="18"/>
        </w:rPr>
        <w:t xml:space="preserve"> </w:t>
      </w:r>
      <w:r>
        <w:rPr>
          <w:sz w:val="18"/>
        </w:rPr>
        <w:t>Anti‐Dumping</w:t>
      </w:r>
      <w:r>
        <w:rPr>
          <w:spacing w:val="-3"/>
          <w:sz w:val="18"/>
        </w:rPr>
        <w:t xml:space="preserve"> </w:t>
      </w:r>
      <w:r>
        <w:rPr>
          <w:sz w:val="18"/>
        </w:rPr>
        <w:t>Final</w:t>
      </w:r>
      <w:r>
        <w:rPr>
          <w:spacing w:val="-4"/>
          <w:sz w:val="18"/>
        </w:rPr>
        <w:t xml:space="preserve"> </w:t>
      </w:r>
      <w:r>
        <w:rPr>
          <w:sz w:val="18"/>
        </w:rPr>
        <w:t>Determination</w:t>
      </w:r>
      <w:r>
        <w:rPr>
          <w:spacing w:val="-4"/>
          <w:sz w:val="18"/>
        </w:rPr>
        <w:t xml:space="preserve"> </w:t>
      </w:r>
      <w:r>
        <w:rPr>
          <w:sz w:val="18"/>
        </w:rPr>
        <w:t>(Exhibit</w:t>
      </w:r>
      <w:r>
        <w:rPr>
          <w:spacing w:val="-3"/>
          <w:sz w:val="18"/>
        </w:rPr>
        <w:t xml:space="preserve"> </w:t>
      </w:r>
      <w:r>
        <w:rPr>
          <w:sz w:val="18"/>
        </w:rPr>
        <w:t>AUS‐2),</w:t>
      </w:r>
      <w:r>
        <w:rPr>
          <w:spacing w:val="-4"/>
          <w:sz w:val="18"/>
        </w:rPr>
        <w:t xml:space="preserve"> </w:t>
      </w:r>
      <w:r>
        <w:rPr>
          <w:sz w:val="18"/>
        </w:rPr>
        <w:t>p.</w:t>
      </w:r>
      <w:r>
        <w:rPr>
          <w:spacing w:val="-3"/>
          <w:sz w:val="18"/>
        </w:rPr>
        <w:t xml:space="preserve"> </w:t>
      </w:r>
      <w:r>
        <w:rPr>
          <w:sz w:val="18"/>
        </w:rPr>
        <w:t>148</w:t>
      </w:r>
      <w:r>
        <w:rPr>
          <w:spacing w:val="-5"/>
          <w:sz w:val="18"/>
        </w:rPr>
        <w:t xml:space="preserve"> </w:t>
      </w:r>
      <w:r>
        <w:rPr>
          <w:sz w:val="18"/>
        </w:rPr>
        <w:t>(Table</w:t>
      </w:r>
      <w:r>
        <w:rPr>
          <w:spacing w:val="-4"/>
          <w:sz w:val="18"/>
        </w:rPr>
        <w:t xml:space="preserve"> </w:t>
      </w:r>
      <w:r>
        <w:rPr>
          <w:sz w:val="18"/>
        </w:rPr>
        <w:t>entitled</w:t>
      </w:r>
      <w:r>
        <w:rPr>
          <w:spacing w:val="-4"/>
          <w:sz w:val="18"/>
        </w:rPr>
        <w:t xml:space="preserve"> </w:t>
      </w:r>
      <w:r>
        <w:rPr>
          <w:sz w:val="18"/>
        </w:rPr>
        <w:t>"Form:</w:t>
      </w:r>
      <w:r>
        <w:rPr>
          <w:spacing w:val="-4"/>
          <w:sz w:val="18"/>
        </w:rPr>
        <w:t xml:space="preserve"> </w:t>
      </w:r>
      <w:r>
        <w:rPr>
          <w:sz w:val="18"/>
        </w:rPr>
        <w:t>Data</w:t>
      </w:r>
      <w:r>
        <w:rPr>
          <w:spacing w:val="-3"/>
          <w:sz w:val="18"/>
        </w:rPr>
        <w:t xml:space="preserve"> </w:t>
      </w:r>
      <w:r>
        <w:rPr>
          <w:sz w:val="18"/>
        </w:rPr>
        <w:t>Table</w:t>
      </w:r>
      <w:r>
        <w:rPr>
          <w:spacing w:val="-3"/>
          <w:sz w:val="18"/>
        </w:rPr>
        <w:t xml:space="preserve"> </w:t>
      </w:r>
      <w:r>
        <w:rPr>
          <w:sz w:val="18"/>
        </w:rPr>
        <w:t>of</w:t>
      </w:r>
      <w:r>
        <w:rPr>
          <w:spacing w:val="-3"/>
          <w:sz w:val="18"/>
        </w:rPr>
        <w:t xml:space="preserve"> </w:t>
      </w:r>
      <w:r>
        <w:rPr>
          <w:sz w:val="18"/>
        </w:rPr>
        <w:t>Anti‐Dumping</w:t>
      </w:r>
      <w:r>
        <w:rPr>
          <w:spacing w:val="-3"/>
          <w:sz w:val="18"/>
        </w:rPr>
        <w:t xml:space="preserve"> </w:t>
      </w:r>
      <w:r>
        <w:rPr>
          <w:sz w:val="18"/>
        </w:rPr>
        <w:t>Case</w:t>
      </w:r>
      <w:r>
        <w:rPr>
          <w:spacing w:val="-4"/>
          <w:sz w:val="18"/>
        </w:rPr>
        <w:t xml:space="preserve"> </w:t>
      </w:r>
      <w:r>
        <w:rPr>
          <w:sz w:val="18"/>
        </w:rPr>
        <w:t>against Relevant Australian Wines", row entitled "Apparent consumption (10,000 kl)".</w:t>
      </w:r>
    </w:p>
    <w:p w14:paraId="51DE90E3" w14:textId="77777777" w:rsidR="0010369C" w:rsidRDefault="008E43AE">
      <w:pPr>
        <w:spacing w:line="219" w:lineRule="exact"/>
        <w:ind w:left="238"/>
        <w:rPr>
          <w:sz w:val="18"/>
        </w:rPr>
      </w:pPr>
      <w:r>
        <w:rPr>
          <w:sz w:val="18"/>
          <w:vertAlign w:val="superscript"/>
        </w:rPr>
        <w:t>748</w:t>
      </w:r>
      <w:r>
        <w:rPr>
          <w:spacing w:val="-9"/>
          <w:sz w:val="18"/>
        </w:rPr>
        <w:t xml:space="preserve"> </w:t>
      </w:r>
      <w:r>
        <w:rPr>
          <w:sz w:val="18"/>
        </w:rPr>
        <w:t>Anti‐Dumping</w:t>
      </w:r>
      <w:r>
        <w:rPr>
          <w:spacing w:val="-9"/>
          <w:sz w:val="18"/>
        </w:rPr>
        <w:t xml:space="preserve"> </w:t>
      </w:r>
      <w:r>
        <w:rPr>
          <w:sz w:val="18"/>
        </w:rPr>
        <w:t>Fina</w:t>
      </w:r>
      <w:r>
        <w:rPr>
          <w:sz w:val="18"/>
        </w:rPr>
        <w:t>l</w:t>
      </w:r>
      <w:r>
        <w:rPr>
          <w:spacing w:val="-9"/>
          <w:sz w:val="18"/>
        </w:rPr>
        <w:t xml:space="preserve"> </w:t>
      </w:r>
      <w:r>
        <w:rPr>
          <w:sz w:val="18"/>
        </w:rPr>
        <w:t>Determination</w:t>
      </w:r>
      <w:r>
        <w:rPr>
          <w:spacing w:val="-8"/>
          <w:sz w:val="18"/>
        </w:rPr>
        <w:t xml:space="preserve"> </w:t>
      </w:r>
      <w:r>
        <w:rPr>
          <w:sz w:val="18"/>
        </w:rPr>
        <w:t>(Exhibit</w:t>
      </w:r>
      <w:r>
        <w:rPr>
          <w:spacing w:val="-9"/>
          <w:sz w:val="18"/>
        </w:rPr>
        <w:t xml:space="preserve"> </w:t>
      </w:r>
      <w:r>
        <w:rPr>
          <w:sz w:val="18"/>
        </w:rPr>
        <w:t>AUS‐2),</w:t>
      </w:r>
      <w:r>
        <w:rPr>
          <w:spacing w:val="-9"/>
          <w:sz w:val="18"/>
        </w:rPr>
        <w:t xml:space="preserve"> </w:t>
      </w:r>
      <w:r>
        <w:rPr>
          <w:sz w:val="18"/>
        </w:rPr>
        <w:t>p.</w:t>
      </w:r>
      <w:r>
        <w:rPr>
          <w:spacing w:val="-9"/>
          <w:sz w:val="18"/>
        </w:rPr>
        <w:t xml:space="preserve"> </w:t>
      </w:r>
      <w:r>
        <w:rPr>
          <w:spacing w:val="-4"/>
          <w:sz w:val="18"/>
        </w:rPr>
        <w:t>129.</w:t>
      </w:r>
    </w:p>
    <w:p w14:paraId="51DE90E4" w14:textId="77777777" w:rsidR="0010369C" w:rsidRDefault="008E43AE">
      <w:pPr>
        <w:ind w:left="238"/>
        <w:rPr>
          <w:sz w:val="18"/>
        </w:rPr>
      </w:pPr>
      <w:r>
        <w:rPr>
          <w:sz w:val="18"/>
          <w:vertAlign w:val="superscript"/>
        </w:rPr>
        <w:t>749</w:t>
      </w:r>
      <w:r>
        <w:rPr>
          <w:spacing w:val="-9"/>
          <w:sz w:val="18"/>
        </w:rPr>
        <w:t xml:space="preserve"> </w:t>
      </w:r>
      <w:r>
        <w:rPr>
          <w:sz w:val="18"/>
        </w:rPr>
        <w:t>Anti‐Dumping</w:t>
      </w:r>
      <w:r>
        <w:rPr>
          <w:spacing w:val="-9"/>
          <w:sz w:val="18"/>
        </w:rPr>
        <w:t xml:space="preserve"> </w:t>
      </w:r>
      <w:r>
        <w:rPr>
          <w:sz w:val="18"/>
        </w:rPr>
        <w:t>Final</w:t>
      </w:r>
      <w:r>
        <w:rPr>
          <w:spacing w:val="-9"/>
          <w:sz w:val="18"/>
        </w:rPr>
        <w:t xml:space="preserve"> </w:t>
      </w:r>
      <w:r>
        <w:rPr>
          <w:sz w:val="18"/>
        </w:rPr>
        <w:t>Determination</w:t>
      </w:r>
      <w:r>
        <w:rPr>
          <w:spacing w:val="-8"/>
          <w:sz w:val="18"/>
        </w:rPr>
        <w:t xml:space="preserve"> </w:t>
      </w:r>
      <w:r>
        <w:rPr>
          <w:sz w:val="18"/>
        </w:rPr>
        <w:t>(Exhibit</w:t>
      </w:r>
      <w:r>
        <w:rPr>
          <w:spacing w:val="-9"/>
          <w:sz w:val="18"/>
        </w:rPr>
        <w:t xml:space="preserve"> </w:t>
      </w:r>
      <w:r>
        <w:rPr>
          <w:sz w:val="18"/>
        </w:rPr>
        <w:t>AUS‐2),</w:t>
      </w:r>
      <w:r>
        <w:rPr>
          <w:spacing w:val="-9"/>
          <w:sz w:val="18"/>
        </w:rPr>
        <w:t xml:space="preserve"> </w:t>
      </w:r>
      <w:r>
        <w:rPr>
          <w:sz w:val="18"/>
        </w:rPr>
        <w:t>p.</w:t>
      </w:r>
      <w:r>
        <w:rPr>
          <w:spacing w:val="-9"/>
          <w:sz w:val="18"/>
        </w:rPr>
        <w:t xml:space="preserve"> </w:t>
      </w:r>
      <w:r>
        <w:rPr>
          <w:spacing w:val="-4"/>
          <w:sz w:val="18"/>
        </w:rPr>
        <w:t>129.</w:t>
      </w:r>
    </w:p>
    <w:p w14:paraId="51DE90E5" w14:textId="77777777" w:rsidR="0010369C" w:rsidRDefault="0010369C">
      <w:pPr>
        <w:rPr>
          <w:sz w:val="18"/>
        </w:rPr>
        <w:sectPr w:rsidR="0010369C">
          <w:pgSz w:w="11910" w:h="16840"/>
          <w:pgMar w:top="880" w:right="800" w:bottom="980" w:left="1180" w:header="569" w:footer="788" w:gutter="0"/>
          <w:cols w:space="720"/>
        </w:sectPr>
      </w:pPr>
    </w:p>
    <w:p w14:paraId="51DE90E6" w14:textId="77777777" w:rsidR="0010369C" w:rsidRDefault="008E43AE">
      <w:pPr>
        <w:tabs>
          <w:tab w:val="left" w:pos="6426"/>
        </w:tabs>
        <w:ind w:left="238"/>
        <w:rPr>
          <w:sz w:val="20"/>
        </w:rPr>
      </w:pPr>
      <w:r>
        <w:rPr>
          <w:i/>
          <w:sz w:val="20"/>
        </w:rPr>
        <w:lastRenderedPageBreak/>
        <w:t>China</w:t>
      </w:r>
      <w:r>
        <w:rPr>
          <w:i/>
          <w:spacing w:val="-5"/>
          <w:sz w:val="20"/>
        </w:rPr>
        <w:t xml:space="preserve"> </w:t>
      </w:r>
      <w:r>
        <w:rPr>
          <w:i/>
          <w:sz w:val="20"/>
        </w:rPr>
        <w:t>–</w:t>
      </w:r>
      <w:r>
        <w:rPr>
          <w:i/>
          <w:spacing w:val="-5"/>
          <w:sz w:val="20"/>
        </w:rPr>
        <w:t xml:space="preserve"> </w:t>
      </w:r>
      <w:r>
        <w:rPr>
          <w:i/>
          <w:sz w:val="20"/>
        </w:rPr>
        <w:t>Anti‐Dumping</w:t>
      </w:r>
      <w:r>
        <w:rPr>
          <w:i/>
          <w:spacing w:val="-4"/>
          <w:sz w:val="20"/>
        </w:rPr>
        <w:t xml:space="preserve"> </w:t>
      </w:r>
      <w:r>
        <w:rPr>
          <w:i/>
          <w:sz w:val="20"/>
        </w:rPr>
        <w:t>and</w:t>
      </w:r>
      <w:r>
        <w:rPr>
          <w:i/>
          <w:spacing w:val="-5"/>
          <w:sz w:val="20"/>
        </w:rPr>
        <w:t xml:space="preserve"> </w:t>
      </w:r>
      <w:r>
        <w:rPr>
          <w:i/>
          <w:sz w:val="20"/>
        </w:rPr>
        <w:t>Countervailing</w:t>
      </w:r>
      <w:r>
        <w:rPr>
          <w:i/>
          <w:spacing w:val="-5"/>
          <w:sz w:val="20"/>
        </w:rPr>
        <w:t xml:space="preserve"> </w:t>
      </w:r>
      <w:r>
        <w:rPr>
          <w:i/>
          <w:sz w:val="20"/>
        </w:rPr>
        <w:t>Duty</w:t>
      </w:r>
      <w:r>
        <w:rPr>
          <w:i/>
          <w:spacing w:val="-4"/>
          <w:sz w:val="20"/>
        </w:rPr>
        <w:t xml:space="preserve"> </w:t>
      </w:r>
      <w:r>
        <w:rPr>
          <w:i/>
          <w:spacing w:val="-2"/>
          <w:sz w:val="20"/>
        </w:rPr>
        <w:t>Measures</w:t>
      </w:r>
      <w:r>
        <w:rPr>
          <w:i/>
          <w:sz w:val="20"/>
        </w:rPr>
        <w:tab/>
      </w:r>
      <w:r>
        <w:rPr>
          <w:sz w:val="20"/>
        </w:rPr>
        <w:t>Australia's</w:t>
      </w:r>
      <w:r>
        <w:rPr>
          <w:spacing w:val="-7"/>
          <w:sz w:val="20"/>
        </w:rPr>
        <w:t xml:space="preserve"> </w:t>
      </w:r>
      <w:r>
        <w:rPr>
          <w:sz w:val="20"/>
        </w:rPr>
        <w:t>First</w:t>
      </w:r>
      <w:r>
        <w:rPr>
          <w:spacing w:val="-2"/>
          <w:sz w:val="20"/>
        </w:rPr>
        <w:t xml:space="preserve"> </w:t>
      </w:r>
      <w:r>
        <w:rPr>
          <w:sz w:val="20"/>
        </w:rPr>
        <w:t>Written</w:t>
      </w:r>
      <w:r>
        <w:rPr>
          <w:spacing w:val="-2"/>
          <w:sz w:val="20"/>
        </w:rPr>
        <w:t xml:space="preserve"> Submission</w:t>
      </w:r>
    </w:p>
    <w:p w14:paraId="51DE90E7" w14:textId="77777777" w:rsidR="0010369C" w:rsidRDefault="008E43AE">
      <w:pPr>
        <w:tabs>
          <w:tab w:val="left" w:pos="8228"/>
        </w:tabs>
        <w:spacing w:before="1"/>
        <w:ind w:left="239"/>
        <w:rPr>
          <w:sz w:val="20"/>
        </w:rPr>
      </w:pPr>
      <w:r>
        <w:rPr>
          <w:i/>
          <w:sz w:val="20"/>
        </w:rPr>
        <w:t>on</w:t>
      </w:r>
      <w:r>
        <w:rPr>
          <w:i/>
          <w:spacing w:val="-1"/>
          <w:sz w:val="20"/>
        </w:rPr>
        <w:t xml:space="preserve"> </w:t>
      </w:r>
      <w:r>
        <w:rPr>
          <w:i/>
          <w:sz w:val="20"/>
        </w:rPr>
        <w:t>Wine</w:t>
      </w:r>
      <w:r>
        <w:rPr>
          <w:i/>
          <w:spacing w:val="-1"/>
          <w:sz w:val="20"/>
        </w:rPr>
        <w:t xml:space="preserve"> </w:t>
      </w:r>
      <w:r>
        <w:rPr>
          <w:i/>
          <w:sz w:val="20"/>
        </w:rPr>
        <w:t>from</w:t>
      </w:r>
      <w:r>
        <w:rPr>
          <w:i/>
          <w:spacing w:val="-3"/>
          <w:sz w:val="20"/>
        </w:rPr>
        <w:t xml:space="preserve"> </w:t>
      </w:r>
      <w:r>
        <w:rPr>
          <w:i/>
          <w:sz w:val="20"/>
        </w:rPr>
        <w:t>Australia</w:t>
      </w:r>
      <w:r>
        <w:rPr>
          <w:i/>
          <w:spacing w:val="-1"/>
          <w:sz w:val="20"/>
        </w:rPr>
        <w:t xml:space="preserve"> </w:t>
      </w:r>
      <w:r>
        <w:rPr>
          <w:spacing w:val="-2"/>
          <w:sz w:val="20"/>
        </w:rPr>
        <w:t>(DS602)</w:t>
      </w:r>
      <w:r>
        <w:rPr>
          <w:sz w:val="20"/>
        </w:rPr>
        <w:tab/>
        <w:t>29</w:t>
      </w:r>
      <w:r>
        <w:rPr>
          <w:spacing w:val="-1"/>
          <w:sz w:val="20"/>
        </w:rPr>
        <w:t xml:space="preserve"> </w:t>
      </w:r>
      <w:r>
        <w:rPr>
          <w:sz w:val="20"/>
        </w:rPr>
        <w:t>April</w:t>
      </w:r>
      <w:r>
        <w:rPr>
          <w:spacing w:val="-2"/>
          <w:sz w:val="20"/>
        </w:rPr>
        <w:t xml:space="preserve"> </w:t>
      </w:r>
      <w:r>
        <w:rPr>
          <w:spacing w:val="-4"/>
          <w:sz w:val="20"/>
        </w:rPr>
        <w:t>2022</w:t>
      </w:r>
    </w:p>
    <w:p w14:paraId="51DE90E8" w14:textId="77777777" w:rsidR="0010369C" w:rsidRDefault="008E43AE">
      <w:pPr>
        <w:pStyle w:val="BodyText"/>
        <w:spacing w:before="34" w:line="360" w:lineRule="auto"/>
        <w:ind w:left="238" w:right="614" w:hanging="1"/>
      </w:pPr>
      <w:r>
        <w:t>expansion</w:t>
      </w:r>
      <w:r>
        <w:rPr>
          <w:spacing w:val="-10"/>
        </w:rPr>
        <w:t xml:space="preserve"> </w:t>
      </w:r>
      <w:r>
        <w:t>plan"</w:t>
      </w:r>
      <w:r>
        <w:rPr>
          <w:spacing w:val="-9"/>
        </w:rPr>
        <w:t xml:space="preserve"> </w:t>
      </w:r>
      <w:r>
        <w:t>was</w:t>
      </w:r>
      <w:r>
        <w:rPr>
          <w:spacing w:val="-9"/>
        </w:rPr>
        <w:t xml:space="preserve"> </w:t>
      </w:r>
      <w:r>
        <w:t>and</w:t>
      </w:r>
      <w:r>
        <w:rPr>
          <w:spacing w:val="-7"/>
        </w:rPr>
        <w:t xml:space="preserve"> </w:t>
      </w:r>
      <w:r>
        <w:t>does</w:t>
      </w:r>
      <w:r>
        <w:rPr>
          <w:spacing w:val="-9"/>
        </w:rPr>
        <w:t xml:space="preserve"> </w:t>
      </w:r>
      <w:r>
        <w:t>not</w:t>
      </w:r>
      <w:r>
        <w:rPr>
          <w:spacing w:val="-9"/>
        </w:rPr>
        <w:t xml:space="preserve"> </w:t>
      </w:r>
      <w:r>
        <w:t>provide</w:t>
      </w:r>
      <w:r>
        <w:rPr>
          <w:spacing w:val="-8"/>
        </w:rPr>
        <w:t xml:space="preserve"> </w:t>
      </w:r>
      <w:r>
        <w:t>any</w:t>
      </w:r>
      <w:r>
        <w:rPr>
          <w:spacing w:val="-8"/>
        </w:rPr>
        <w:t xml:space="preserve"> </w:t>
      </w:r>
      <w:r>
        <w:t>evidence</w:t>
      </w:r>
      <w:r>
        <w:rPr>
          <w:spacing w:val="-9"/>
        </w:rPr>
        <w:t xml:space="preserve"> </w:t>
      </w:r>
      <w:r>
        <w:t>in</w:t>
      </w:r>
      <w:r>
        <w:rPr>
          <w:spacing w:val="-9"/>
        </w:rPr>
        <w:t xml:space="preserve"> </w:t>
      </w:r>
      <w:r>
        <w:t>support</w:t>
      </w:r>
      <w:r>
        <w:rPr>
          <w:spacing w:val="-9"/>
        </w:rPr>
        <w:t xml:space="preserve"> </w:t>
      </w:r>
      <w:r>
        <w:t>of</w:t>
      </w:r>
      <w:r>
        <w:rPr>
          <w:spacing w:val="-9"/>
        </w:rPr>
        <w:t xml:space="preserve"> </w:t>
      </w:r>
      <w:r>
        <w:t>the</w:t>
      </w:r>
      <w:r>
        <w:rPr>
          <w:spacing w:val="-8"/>
        </w:rPr>
        <w:t xml:space="preserve"> </w:t>
      </w:r>
      <w:r>
        <w:t>assertion</w:t>
      </w:r>
      <w:r>
        <w:rPr>
          <w:spacing w:val="-9"/>
        </w:rPr>
        <w:t xml:space="preserve"> </w:t>
      </w:r>
      <w:r>
        <w:t>that</w:t>
      </w:r>
      <w:r>
        <w:rPr>
          <w:spacing w:val="-9"/>
        </w:rPr>
        <w:t xml:space="preserve"> </w:t>
      </w:r>
      <w:r>
        <w:t>it</w:t>
      </w:r>
      <w:r>
        <w:rPr>
          <w:spacing w:val="-9"/>
        </w:rPr>
        <w:t xml:space="preserve"> </w:t>
      </w:r>
      <w:r>
        <w:t>was "suspended" because of price and volume fluctuations in subject imports.</w:t>
      </w:r>
    </w:p>
    <w:p w14:paraId="51DE90E9" w14:textId="77777777" w:rsidR="0010369C" w:rsidRDefault="0010369C">
      <w:pPr>
        <w:pStyle w:val="BodyText"/>
        <w:spacing w:before="10"/>
        <w:rPr>
          <w:sz w:val="8"/>
        </w:rPr>
      </w:pPr>
    </w:p>
    <w:p w14:paraId="51DE90EA" w14:textId="77777777" w:rsidR="0010369C" w:rsidRDefault="008E43AE">
      <w:pPr>
        <w:pStyle w:val="BodyText"/>
        <w:spacing w:before="52" w:line="360" w:lineRule="auto"/>
        <w:ind w:left="236" w:right="613" w:firstLine="852"/>
        <w:jc w:val="both"/>
      </w:pPr>
      <w:r>
        <w:rPr>
          <w:noProof/>
        </w:rPr>
        <w:drawing>
          <wp:anchor distT="0" distB="0" distL="0" distR="0" simplePos="0" relativeHeight="251268608" behindDoc="1" locked="0" layoutInCell="1" allowOverlap="1" wp14:anchorId="51DEA540" wp14:editId="51DEA541">
            <wp:simplePos x="0" y="0"/>
            <wp:positionH relativeFrom="page">
              <wp:posOffset>905255</wp:posOffset>
            </wp:positionH>
            <wp:positionV relativeFrom="paragraph">
              <wp:posOffset>76785</wp:posOffset>
            </wp:positionV>
            <wp:extent cx="259079" cy="106679"/>
            <wp:effectExtent l="0" t="0" r="0" b="0"/>
            <wp:wrapNone/>
            <wp:docPr id="1281" name="image6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 name="image662.png"/>
                    <pic:cNvPicPr/>
                  </pic:nvPicPr>
                  <pic:blipFill>
                    <a:blip r:embed="rId864" cstate="print"/>
                    <a:stretch>
                      <a:fillRect/>
                    </a:stretch>
                  </pic:blipFill>
                  <pic:spPr>
                    <a:xfrm>
                      <a:off x="0" y="0"/>
                      <a:ext cx="259079" cy="106679"/>
                    </a:xfrm>
                    <a:prstGeom prst="rect">
                      <a:avLst/>
                    </a:prstGeom>
                  </pic:spPr>
                </pic:pic>
              </a:graphicData>
            </a:graphic>
          </wp:anchor>
        </w:drawing>
      </w:r>
      <w:r>
        <w:t>In its Domestic Producer Questionnaire, MOFCOM requested information regarding the</w:t>
      </w:r>
      <w:r>
        <w:rPr>
          <w:spacing w:val="-9"/>
        </w:rPr>
        <w:t xml:space="preserve"> </w:t>
      </w:r>
      <w:r>
        <w:t>"impact</w:t>
      </w:r>
      <w:r>
        <w:rPr>
          <w:spacing w:val="-13"/>
        </w:rPr>
        <w:t xml:space="preserve"> </w:t>
      </w:r>
      <w:r>
        <w:t>of</w:t>
      </w:r>
      <w:r>
        <w:rPr>
          <w:spacing w:val="-10"/>
        </w:rPr>
        <w:t xml:space="preserve"> </w:t>
      </w:r>
      <w:r>
        <w:t>domestic</w:t>
      </w:r>
      <w:r>
        <w:rPr>
          <w:spacing w:val="-11"/>
        </w:rPr>
        <w:t xml:space="preserve"> </w:t>
      </w:r>
      <w:r>
        <w:t>production</w:t>
      </w:r>
      <w:r>
        <w:rPr>
          <w:spacing w:val="-10"/>
        </w:rPr>
        <w:t xml:space="preserve"> </w:t>
      </w:r>
      <w:r>
        <w:t>capacity</w:t>
      </w:r>
      <w:r>
        <w:rPr>
          <w:spacing w:val="-11"/>
        </w:rPr>
        <w:t xml:space="preserve"> </w:t>
      </w:r>
      <w:r>
        <w:t>expansion".</w:t>
      </w:r>
      <w:r>
        <w:rPr>
          <w:vertAlign w:val="superscript"/>
        </w:rPr>
        <w:t>750</w:t>
      </w:r>
      <w:r>
        <w:rPr>
          <w:spacing w:val="-10"/>
        </w:rPr>
        <w:t xml:space="preserve"> </w:t>
      </w:r>
      <w:r>
        <w:t>It</w:t>
      </w:r>
      <w:r>
        <w:rPr>
          <w:spacing w:val="-10"/>
        </w:rPr>
        <w:t xml:space="preserve"> </w:t>
      </w:r>
      <w:r>
        <w:t>is</w:t>
      </w:r>
      <w:r>
        <w:rPr>
          <w:spacing w:val="-10"/>
        </w:rPr>
        <w:t xml:space="preserve"> </w:t>
      </w:r>
      <w:r>
        <w:t>unclear</w:t>
      </w:r>
      <w:r>
        <w:rPr>
          <w:spacing w:val="-10"/>
        </w:rPr>
        <w:t xml:space="preserve"> </w:t>
      </w:r>
      <w:r>
        <w:t>whether</w:t>
      </w:r>
      <w:r>
        <w:rPr>
          <w:spacing w:val="-10"/>
        </w:rPr>
        <w:t xml:space="preserve"> </w:t>
      </w:r>
      <w:r>
        <w:t>this</w:t>
      </w:r>
      <w:r>
        <w:rPr>
          <w:spacing w:val="-10"/>
        </w:rPr>
        <w:t xml:space="preserve"> </w:t>
      </w:r>
      <w:r>
        <w:t>question is related to the "the domestic industry capacity expansion plan" referred to in t</w:t>
      </w:r>
      <w:r>
        <w:t>he Final Determination. However, MOFCOM ignored evidence before it that weighed against the existence</w:t>
      </w:r>
      <w:r>
        <w:rPr>
          <w:spacing w:val="-14"/>
        </w:rPr>
        <w:t xml:space="preserve"> </w:t>
      </w:r>
      <w:r>
        <w:t>of</w:t>
      </w:r>
      <w:r>
        <w:rPr>
          <w:spacing w:val="-14"/>
        </w:rPr>
        <w:t xml:space="preserve"> </w:t>
      </w:r>
      <w:r>
        <w:t>a</w:t>
      </w:r>
      <w:r>
        <w:rPr>
          <w:spacing w:val="-13"/>
        </w:rPr>
        <w:t xml:space="preserve"> </w:t>
      </w:r>
      <w:r>
        <w:t>causal</w:t>
      </w:r>
      <w:r>
        <w:rPr>
          <w:spacing w:val="-14"/>
        </w:rPr>
        <w:t xml:space="preserve"> </w:t>
      </w:r>
      <w:r>
        <w:t>relationship</w:t>
      </w:r>
      <w:r>
        <w:rPr>
          <w:spacing w:val="-13"/>
        </w:rPr>
        <w:t xml:space="preserve"> </w:t>
      </w:r>
      <w:r>
        <w:t>between</w:t>
      </w:r>
      <w:r>
        <w:rPr>
          <w:spacing w:val="-14"/>
        </w:rPr>
        <w:t xml:space="preserve"> </w:t>
      </w:r>
      <w:r>
        <w:t>subject</w:t>
      </w:r>
      <w:r>
        <w:rPr>
          <w:spacing w:val="-13"/>
        </w:rPr>
        <w:t xml:space="preserve"> </w:t>
      </w:r>
      <w:r>
        <w:t>imports</w:t>
      </w:r>
      <w:r>
        <w:rPr>
          <w:spacing w:val="-14"/>
        </w:rPr>
        <w:t xml:space="preserve"> </w:t>
      </w:r>
      <w:r>
        <w:t>and</w:t>
      </w:r>
      <w:r>
        <w:rPr>
          <w:spacing w:val="-14"/>
        </w:rPr>
        <w:t xml:space="preserve"> </w:t>
      </w:r>
      <w:r>
        <w:t>the</w:t>
      </w:r>
      <w:r>
        <w:rPr>
          <w:spacing w:val="-13"/>
        </w:rPr>
        <w:t xml:space="preserve"> </w:t>
      </w:r>
      <w:r>
        <w:t>suspension</w:t>
      </w:r>
      <w:r>
        <w:rPr>
          <w:spacing w:val="-14"/>
        </w:rPr>
        <w:t xml:space="preserve"> </w:t>
      </w:r>
      <w:r>
        <w:t>of</w:t>
      </w:r>
      <w:r>
        <w:rPr>
          <w:spacing w:val="-13"/>
        </w:rPr>
        <w:t xml:space="preserve"> </w:t>
      </w:r>
      <w:r>
        <w:t>the</w:t>
      </w:r>
      <w:r>
        <w:rPr>
          <w:spacing w:val="-14"/>
        </w:rPr>
        <w:t xml:space="preserve"> </w:t>
      </w:r>
      <w:r>
        <w:t>domestic industry capacity expansion plan. Specifically, there was evidence before MOFCOM which demonstrated that:</w:t>
      </w:r>
    </w:p>
    <w:p w14:paraId="51DE90EB" w14:textId="77777777" w:rsidR="0010369C" w:rsidRDefault="008E43AE">
      <w:pPr>
        <w:pStyle w:val="ListParagraph"/>
        <w:numPr>
          <w:ilvl w:val="0"/>
          <w:numId w:val="49"/>
        </w:numPr>
        <w:tabs>
          <w:tab w:val="left" w:pos="1939"/>
          <w:tab w:val="left" w:pos="1940"/>
        </w:tabs>
        <w:spacing w:before="160" w:line="355" w:lineRule="auto"/>
        <w:ind w:right="614"/>
        <w:rPr>
          <w:sz w:val="24"/>
        </w:rPr>
      </w:pPr>
      <w:r>
        <w:rPr>
          <w:sz w:val="24"/>
        </w:rPr>
        <w:t>there was significant idle capacity already existing in the domestic industry during the Injury POI;</w:t>
      </w:r>
      <w:r>
        <w:rPr>
          <w:sz w:val="24"/>
          <w:vertAlign w:val="superscript"/>
        </w:rPr>
        <w:t>751</w:t>
      </w:r>
      <w:r>
        <w:rPr>
          <w:sz w:val="24"/>
        </w:rPr>
        <w:t xml:space="preserve"> and</w:t>
      </w:r>
    </w:p>
    <w:p w14:paraId="51DE90EC" w14:textId="77777777" w:rsidR="0010369C" w:rsidRDefault="008E43AE">
      <w:pPr>
        <w:pStyle w:val="ListParagraph"/>
        <w:numPr>
          <w:ilvl w:val="0"/>
          <w:numId w:val="49"/>
        </w:numPr>
        <w:tabs>
          <w:tab w:val="left" w:pos="1939"/>
          <w:tab w:val="left" w:pos="1940"/>
        </w:tabs>
        <w:spacing w:before="132" w:line="357" w:lineRule="auto"/>
        <w:ind w:right="613"/>
        <w:rPr>
          <w:sz w:val="24"/>
        </w:rPr>
      </w:pPr>
      <w:r>
        <w:rPr>
          <w:sz w:val="24"/>
        </w:rPr>
        <w:t>between</w:t>
      </w:r>
      <w:r>
        <w:rPr>
          <w:spacing w:val="-7"/>
          <w:sz w:val="24"/>
        </w:rPr>
        <w:t xml:space="preserve"> </w:t>
      </w:r>
      <w:r>
        <w:rPr>
          <w:sz w:val="24"/>
        </w:rPr>
        <w:t>2017</w:t>
      </w:r>
      <w:r>
        <w:rPr>
          <w:spacing w:val="-8"/>
          <w:sz w:val="24"/>
        </w:rPr>
        <w:t xml:space="preserve"> </w:t>
      </w:r>
      <w:r>
        <w:rPr>
          <w:sz w:val="24"/>
        </w:rPr>
        <w:t>and</w:t>
      </w:r>
      <w:r>
        <w:rPr>
          <w:spacing w:val="-6"/>
          <w:sz w:val="24"/>
        </w:rPr>
        <w:t xml:space="preserve"> </w:t>
      </w:r>
      <w:r>
        <w:rPr>
          <w:sz w:val="24"/>
        </w:rPr>
        <w:t>2019,</w:t>
      </w:r>
      <w:r>
        <w:rPr>
          <w:spacing w:val="-7"/>
          <w:sz w:val="24"/>
        </w:rPr>
        <w:t xml:space="preserve"> </w:t>
      </w:r>
      <w:r>
        <w:rPr>
          <w:sz w:val="24"/>
        </w:rPr>
        <w:t>the</w:t>
      </w:r>
      <w:r>
        <w:rPr>
          <w:spacing w:val="-7"/>
          <w:sz w:val="24"/>
        </w:rPr>
        <w:t xml:space="preserve"> </w:t>
      </w:r>
      <w:r>
        <w:rPr>
          <w:sz w:val="24"/>
        </w:rPr>
        <w:t>volume</w:t>
      </w:r>
      <w:r>
        <w:rPr>
          <w:spacing w:val="-9"/>
          <w:sz w:val="24"/>
        </w:rPr>
        <w:t xml:space="preserve"> </w:t>
      </w:r>
      <w:r>
        <w:rPr>
          <w:sz w:val="24"/>
        </w:rPr>
        <w:t>of</w:t>
      </w:r>
      <w:r>
        <w:rPr>
          <w:spacing w:val="-7"/>
          <w:sz w:val="24"/>
        </w:rPr>
        <w:t xml:space="preserve"> </w:t>
      </w:r>
      <w:r>
        <w:rPr>
          <w:sz w:val="24"/>
        </w:rPr>
        <w:t>apparent</w:t>
      </w:r>
      <w:r>
        <w:rPr>
          <w:spacing w:val="-8"/>
          <w:sz w:val="24"/>
        </w:rPr>
        <w:t xml:space="preserve"> </w:t>
      </w:r>
      <w:r>
        <w:rPr>
          <w:sz w:val="24"/>
        </w:rPr>
        <w:t>consumption</w:t>
      </w:r>
      <w:r>
        <w:rPr>
          <w:spacing w:val="-8"/>
          <w:sz w:val="24"/>
        </w:rPr>
        <w:t xml:space="preserve"> </w:t>
      </w:r>
      <w:r>
        <w:rPr>
          <w:sz w:val="24"/>
        </w:rPr>
        <w:t>(i.e.</w:t>
      </w:r>
      <w:r>
        <w:rPr>
          <w:spacing w:val="-6"/>
          <w:sz w:val="24"/>
        </w:rPr>
        <w:t xml:space="preserve"> </w:t>
      </w:r>
      <w:r>
        <w:rPr>
          <w:sz w:val="24"/>
        </w:rPr>
        <w:t>demand in the domestic market) contracted by‐</w:t>
      </w:r>
      <w:r>
        <w:rPr>
          <w:spacing w:val="-3"/>
          <w:sz w:val="24"/>
        </w:rPr>
        <w:t xml:space="preserve"> </w:t>
      </w:r>
      <w:r>
        <w:rPr>
          <w:sz w:val="24"/>
        </w:rPr>
        <w:t>176,800 kl (a decrease of 19.26%). This contraction was far greater than the increase in import volume of subject imports in the same period (15,000 kl).</w:t>
      </w:r>
      <w:r>
        <w:rPr>
          <w:sz w:val="24"/>
          <w:vertAlign w:val="superscript"/>
        </w:rPr>
        <w:t>752</w:t>
      </w:r>
    </w:p>
    <w:p w14:paraId="51DE90ED" w14:textId="77777777" w:rsidR="0010369C" w:rsidRDefault="008E43AE">
      <w:pPr>
        <w:pStyle w:val="BodyText"/>
        <w:spacing w:before="131" w:line="360" w:lineRule="auto"/>
        <w:ind w:left="236" w:right="612" w:firstLine="852"/>
        <w:jc w:val="both"/>
      </w:pPr>
      <w:r>
        <w:rPr>
          <w:noProof/>
        </w:rPr>
        <w:drawing>
          <wp:anchor distT="0" distB="0" distL="0" distR="0" simplePos="0" relativeHeight="251269632" behindDoc="1" locked="0" layoutInCell="1" allowOverlap="1" wp14:anchorId="51DEA542" wp14:editId="51DEA543">
            <wp:simplePos x="0" y="0"/>
            <wp:positionH relativeFrom="page">
              <wp:posOffset>905255</wp:posOffset>
            </wp:positionH>
            <wp:positionV relativeFrom="paragraph">
              <wp:posOffset>126950</wp:posOffset>
            </wp:positionV>
            <wp:extent cx="259079" cy="106679"/>
            <wp:effectExtent l="0" t="0" r="0" b="0"/>
            <wp:wrapNone/>
            <wp:docPr id="1283" name="image6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 name="image663.png"/>
                    <pic:cNvPicPr/>
                  </pic:nvPicPr>
                  <pic:blipFill>
                    <a:blip r:embed="rId865" cstate="print"/>
                    <a:stretch>
                      <a:fillRect/>
                    </a:stretch>
                  </pic:blipFill>
                  <pic:spPr>
                    <a:xfrm>
                      <a:off x="0" y="0"/>
                      <a:ext cx="259079" cy="106679"/>
                    </a:xfrm>
                    <a:prstGeom prst="rect">
                      <a:avLst/>
                    </a:prstGeom>
                  </pic:spPr>
                </pic:pic>
              </a:graphicData>
            </a:graphic>
          </wp:anchor>
        </w:drawing>
      </w:r>
      <w:r>
        <w:t xml:space="preserve">Third, MOFCOM stated </w:t>
      </w:r>
      <w:r>
        <w:t>that "the operating rate of domestic like products was decreasing and seriously inadequate, which was only 35%, with lots of idle production equipment and the capacity could not be released effectively".</w:t>
      </w:r>
      <w:r>
        <w:rPr>
          <w:vertAlign w:val="superscript"/>
        </w:rPr>
        <w:t>753</w:t>
      </w:r>
      <w:r>
        <w:t xml:space="preserve"> Beyond asserting that the "operating rate" of the</w:t>
      </w:r>
      <w:r>
        <w:t xml:space="preserve"> domestic industry was "seriously inadequate", MOFCOM failed to provide any explanation as to why the unutilised "capacity could not be released effectively" or</w:t>
      </w:r>
      <w:r>
        <w:rPr>
          <w:spacing w:val="-12"/>
        </w:rPr>
        <w:t xml:space="preserve"> </w:t>
      </w:r>
      <w:r>
        <w:t>any</w:t>
      </w:r>
      <w:r>
        <w:rPr>
          <w:spacing w:val="-12"/>
        </w:rPr>
        <w:t xml:space="preserve"> </w:t>
      </w:r>
      <w:r>
        <w:t>evidence</w:t>
      </w:r>
      <w:r>
        <w:rPr>
          <w:spacing w:val="-13"/>
        </w:rPr>
        <w:t xml:space="preserve"> </w:t>
      </w:r>
      <w:r>
        <w:t>to</w:t>
      </w:r>
      <w:r>
        <w:rPr>
          <w:spacing w:val="-12"/>
        </w:rPr>
        <w:t xml:space="preserve"> </w:t>
      </w:r>
      <w:r>
        <w:t>support</w:t>
      </w:r>
      <w:r>
        <w:rPr>
          <w:spacing w:val="-12"/>
        </w:rPr>
        <w:t xml:space="preserve"> </w:t>
      </w:r>
      <w:r>
        <w:t>this</w:t>
      </w:r>
      <w:r>
        <w:rPr>
          <w:spacing w:val="-13"/>
        </w:rPr>
        <w:t xml:space="preserve"> </w:t>
      </w:r>
      <w:r>
        <w:t>statement.</w:t>
      </w:r>
      <w:r>
        <w:rPr>
          <w:spacing w:val="-11"/>
        </w:rPr>
        <w:t xml:space="preserve"> </w:t>
      </w:r>
      <w:r>
        <w:t>Moreover,</w:t>
      </w:r>
      <w:r>
        <w:rPr>
          <w:spacing w:val="-12"/>
        </w:rPr>
        <w:t xml:space="preserve"> </w:t>
      </w:r>
      <w:r>
        <w:t>there</w:t>
      </w:r>
      <w:r>
        <w:rPr>
          <w:spacing w:val="-12"/>
        </w:rPr>
        <w:t xml:space="preserve"> </w:t>
      </w:r>
      <w:r>
        <w:t>is</w:t>
      </w:r>
      <w:r>
        <w:rPr>
          <w:spacing w:val="-13"/>
        </w:rPr>
        <w:t xml:space="preserve"> </w:t>
      </w:r>
      <w:r>
        <w:t>no</w:t>
      </w:r>
      <w:r>
        <w:rPr>
          <w:spacing w:val="-12"/>
        </w:rPr>
        <w:t xml:space="preserve"> </w:t>
      </w:r>
      <w:r>
        <w:t>consideration</w:t>
      </w:r>
      <w:r>
        <w:rPr>
          <w:spacing w:val="-13"/>
        </w:rPr>
        <w:t xml:space="preserve"> </w:t>
      </w:r>
      <w:r>
        <w:t>or</w:t>
      </w:r>
      <w:r>
        <w:rPr>
          <w:spacing w:val="-12"/>
        </w:rPr>
        <w:t xml:space="preserve"> </w:t>
      </w:r>
      <w:r>
        <w:t>explanation prov</w:t>
      </w:r>
      <w:r>
        <w:t xml:space="preserve">ided as to whether the subject imports have any "explanatory force" for the domestic industry's low rate of capacity utilization or the purported inability to release capacity </w:t>
      </w:r>
      <w:r>
        <w:rPr>
          <w:spacing w:val="-2"/>
        </w:rPr>
        <w:t>effectively.</w:t>
      </w:r>
    </w:p>
    <w:p w14:paraId="51DE90EE" w14:textId="77777777" w:rsidR="0010369C" w:rsidRDefault="0010369C">
      <w:pPr>
        <w:pStyle w:val="BodyText"/>
        <w:spacing w:before="10"/>
        <w:rPr>
          <w:sz w:val="8"/>
        </w:rPr>
      </w:pPr>
    </w:p>
    <w:p w14:paraId="51DE90EF" w14:textId="77777777" w:rsidR="0010369C" w:rsidRDefault="008E43AE">
      <w:pPr>
        <w:pStyle w:val="BodyText"/>
        <w:spacing w:before="52" w:line="360" w:lineRule="auto"/>
        <w:ind w:left="238" w:firstLine="850"/>
      </w:pPr>
      <w:r>
        <w:rPr>
          <w:noProof/>
        </w:rPr>
        <w:drawing>
          <wp:anchor distT="0" distB="0" distL="0" distR="0" simplePos="0" relativeHeight="251270656" behindDoc="1" locked="0" layoutInCell="1" allowOverlap="1" wp14:anchorId="51DEA544" wp14:editId="51DEA545">
            <wp:simplePos x="0" y="0"/>
            <wp:positionH relativeFrom="page">
              <wp:posOffset>905255</wp:posOffset>
            </wp:positionH>
            <wp:positionV relativeFrom="paragraph">
              <wp:posOffset>81949</wp:posOffset>
            </wp:positionV>
            <wp:extent cx="259079" cy="100753"/>
            <wp:effectExtent l="0" t="0" r="0" b="0"/>
            <wp:wrapNone/>
            <wp:docPr id="1285" name="image6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 name="image664.png"/>
                    <pic:cNvPicPr/>
                  </pic:nvPicPr>
                  <pic:blipFill>
                    <a:blip r:embed="rId866" cstate="print"/>
                    <a:stretch>
                      <a:fillRect/>
                    </a:stretch>
                  </pic:blipFill>
                  <pic:spPr>
                    <a:xfrm>
                      <a:off x="0" y="0"/>
                      <a:ext cx="259079" cy="100753"/>
                    </a:xfrm>
                    <a:prstGeom prst="rect">
                      <a:avLst/>
                    </a:prstGeom>
                  </pic:spPr>
                </pic:pic>
              </a:graphicData>
            </a:graphic>
          </wp:anchor>
        </w:drawing>
      </w:r>
      <w:r>
        <w:t>Fourth,</w:t>
      </w:r>
      <w:r>
        <w:rPr>
          <w:spacing w:val="-14"/>
        </w:rPr>
        <w:t xml:space="preserve"> </w:t>
      </w:r>
      <w:r>
        <w:t>MOFCOM</w:t>
      </w:r>
      <w:r>
        <w:rPr>
          <w:spacing w:val="-13"/>
        </w:rPr>
        <w:t xml:space="preserve"> </w:t>
      </w:r>
      <w:r>
        <w:t>sought</w:t>
      </w:r>
      <w:r>
        <w:rPr>
          <w:spacing w:val="-13"/>
        </w:rPr>
        <w:t xml:space="preserve"> </w:t>
      </w:r>
      <w:r>
        <w:t>to</w:t>
      </w:r>
      <w:r>
        <w:rPr>
          <w:spacing w:val="-13"/>
        </w:rPr>
        <w:t xml:space="preserve"> </w:t>
      </w:r>
      <w:r>
        <w:t>contrast</w:t>
      </w:r>
      <w:r>
        <w:rPr>
          <w:spacing w:val="-13"/>
        </w:rPr>
        <w:t xml:space="preserve"> </w:t>
      </w:r>
      <w:r>
        <w:t>the</w:t>
      </w:r>
      <w:r>
        <w:rPr>
          <w:spacing w:val="-13"/>
        </w:rPr>
        <w:t xml:space="preserve"> </w:t>
      </w:r>
      <w:r>
        <w:t>price</w:t>
      </w:r>
      <w:r>
        <w:rPr>
          <w:spacing w:val="-13"/>
        </w:rPr>
        <w:t xml:space="preserve"> </w:t>
      </w:r>
      <w:r>
        <w:t>increases</w:t>
      </w:r>
      <w:r>
        <w:rPr>
          <w:spacing w:val="-14"/>
        </w:rPr>
        <w:t xml:space="preserve"> </w:t>
      </w:r>
      <w:r>
        <w:t>experienced</w:t>
      </w:r>
      <w:r>
        <w:rPr>
          <w:spacing w:val="-14"/>
        </w:rPr>
        <w:t xml:space="preserve"> </w:t>
      </w:r>
      <w:r>
        <w:t>by</w:t>
      </w:r>
      <w:r>
        <w:rPr>
          <w:spacing w:val="-13"/>
        </w:rPr>
        <w:t xml:space="preserve"> </w:t>
      </w:r>
      <w:r>
        <w:t>the</w:t>
      </w:r>
      <w:r>
        <w:rPr>
          <w:spacing w:val="-13"/>
        </w:rPr>
        <w:t xml:space="preserve"> </w:t>
      </w:r>
      <w:r>
        <w:t>domestic industry with decline in the average unit price of the basket of subject imports as follows:</w:t>
      </w:r>
    </w:p>
    <w:p w14:paraId="51DE90F0" w14:textId="77777777" w:rsidR="0010369C" w:rsidRDefault="008E43AE">
      <w:pPr>
        <w:pStyle w:val="BodyText"/>
        <w:spacing w:before="9"/>
        <w:rPr>
          <w:sz w:val="29"/>
        </w:rPr>
      </w:pPr>
      <w:r>
        <w:pict w14:anchorId="51DEA546">
          <v:rect id="docshape1120" o:spid="_x0000_s1272" style="position:absolute;margin-left:70.9pt;margin-top:19.4pt;width:2in;height:.8pt;z-index:-250804736;mso-wrap-distance-left:0;mso-wrap-distance-right:0;mso-position-horizontal-relative:page" fillcolor="black" stroked="f">
            <w10:wrap type="topAndBottom" anchorx="page"/>
          </v:rect>
        </w:pict>
      </w:r>
    </w:p>
    <w:p w14:paraId="51DE90F1" w14:textId="77777777" w:rsidR="0010369C" w:rsidRDefault="008E43AE">
      <w:pPr>
        <w:spacing w:before="109"/>
        <w:ind w:left="238"/>
        <w:rPr>
          <w:sz w:val="18"/>
        </w:rPr>
      </w:pPr>
      <w:r>
        <w:rPr>
          <w:sz w:val="18"/>
          <w:vertAlign w:val="superscript"/>
        </w:rPr>
        <w:t>750</w:t>
      </w:r>
      <w:r>
        <w:rPr>
          <w:spacing w:val="-8"/>
          <w:sz w:val="18"/>
        </w:rPr>
        <w:t xml:space="preserve"> </w:t>
      </w:r>
      <w:r>
        <w:rPr>
          <w:sz w:val="18"/>
        </w:rPr>
        <w:t>See</w:t>
      </w:r>
      <w:r>
        <w:rPr>
          <w:spacing w:val="-8"/>
          <w:sz w:val="18"/>
        </w:rPr>
        <w:t xml:space="preserve"> </w:t>
      </w:r>
      <w:r>
        <w:rPr>
          <w:sz w:val="18"/>
        </w:rPr>
        <w:t>e.g.,</w:t>
      </w:r>
      <w:r>
        <w:rPr>
          <w:spacing w:val="-9"/>
          <w:sz w:val="18"/>
        </w:rPr>
        <w:t xml:space="preserve"> </w:t>
      </w:r>
      <w:r>
        <w:rPr>
          <w:sz w:val="18"/>
        </w:rPr>
        <w:t>Changyu</w:t>
      </w:r>
      <w:r>
        <w:rPr>
          <w:spacing w:val="-8"/>
          <w:sz w:val="18"/>
        </w:rPr>
        <w:t xml:space="preserve"> </w:t>
      </w:r>
      <w:r>
        <w:rPr>
          <w:sz w:val="18"/>
        </w:rPr>
        <w:t>Wines</w:t>
      </w:r>
      <w:r>
        <w:rPr>
          <w:spacing w:val="-9"/>
          <w:sz w:val="18"/>
        </w:rPr>
        <w:t xml:space="preserve"> </w:t>
      </w:r>
      <w:r>
        <w:rPr>
          <w:sz w:val="18"/>
        </w:rPr>
        <w:t>Anti‐Dumping</w:t>
      </w:r>
      <w:r>
        <w:rPr>
          <w:spacing w:val="-8"/>
          <w:sz w:val="18"/>
        </w:rPr>
        <w:t xml:space="preserve"> </w:t>
      </w:r>
      <w:r>
        <w:rPr>
          <w:sz w:val="18"/>
        </w:rPr>
        <w:t>Questionnaire</w:t>
      </w:r>
      <w:r>
        <w:rPr>
          <w:spacing w:val="-8"/>
          <w:sz w:val="18"/>
        </w:rPr>
        <w:t xml:space="preserve"> </w:t>
      </w:r>
      <w:r>
        <w:rPr>
          <w:sz w:val="18"/>
        </w:rPr>
        <w:t>Response,</w:t>
      </w:r>
      <w:r>
        <w:rPr>
          <w:spacing w:val="-8"/>
          <w:sz w:val="18"/>
        </w:rPr>
        <w:t xml:space="preserve"> </w:t>
      </w:r>
      <w:r>
        <w:rPr>
          <w:sz w:val="18"/>
        </w:rPr>
        <w:t>p.</w:t>
      </w:r>
      <w:r>
        <w:rPr>
          <w:spacing w:val="-8"/>
          <w:sz w:val="18"/>
        </w:rPr>
        <w:t xml:space="preserve"> </w:t>
      </w:r>
      <w:r>
        <w:rPr>
          <w:spacing w:val="-5"/>
          <w:sz w:val="18"/>
        </w:rPr>
        <w:t>46.</w:t>
      </w:r>
    </w:p>
    <w:p w14:paraId="51DE90F2" w14:textId="77777777" w:rsidR="0010369C" w:rsidRDefault="008E43AE">
      <w:pPr>
        <w:ind w:left="237" w:right="614"/>
        <w:rPr>
          <w:sz w:val="18"/>
        </w:rPr>
      </w:pPr>
      <w:r>
        <w:rPr>
          <w:sz w:val="18"/>
          <w:vertAlign w:val="superscript"/>
        </w:rPr>
        <w:t>751</w:t>
      </w:r>
      <w:r>
        <w:rPr>
          <w:sz w:val="18"/>
        </w:rPr>
        <w:t xml:space="preserve"> See difference between yearly 'capacity', 'output and 'total national output' figures: Anti‐Dumping Final Determination (Exhibit AUS‐2), p. 129.</w:t>
      </w:r>
    </w:p>
    <w:p w14:paraId="51DE90F3" w14:textId="77777777" w:rsidR="0010369C" w:rsidRDefault="008E43AE">
      <w:pPr>
        <w:spacing w:before="1"/>
        <w:ind w:left="237"/>
        <w:rPr>
          <w:sz w:val="18"/>
        </w:rPr>
      </w:pPr>
      <w:r>
        <w:rPr>
          <w:sz w:val="18"/>
          <w:vertAlign w:val="superscript"/>
        </w:rPr>
        <w:t>752</w:t>
      </w:r>
      <w:r>
        <w:rPr>
          <w:spacing w:val="40"/>
          <w:sz w:val="18"/>
        </w:rPr>
        <w:t xml:space="preserve"> </w:t>
      </w:r>
      <w:r>
        <w:rPr>
          <w:sz w:val="18"/>
        </w:rPr>
        <w:t>See</w:t>
      </w:r>
      <w:r>
        <w:rPr>
          <w:spacing w:val="40"/>
          <w:sz w:val="18"/>
        </w:rPr>
        <w:t xml:space="preserve"> </w:t>
      </w:r>
      <w:r>
        <w:rPr>
          <w:sz w:val="18"/>
        </w:rPr>
        <w:t>'apparent</w:t>
      </w:r>
      <w:r>
        <w:rPr>
          <w:spacing w:val="40"/>
          <w:sz w:val="18"/>
        </w:rPr>
        <w:t xml:space="preserve"> </w:t>
      </w:r>
      <w:r>
        <w:rPr>
          <w:sz w:val="18"/>
        </w:rPr>
        <w:t>consumption'</w:t>
      </w:r>
      <w:r>
        <w:rPr>
          <w:spacing w:val="40"/>
          <w:sz w:val="18"/>
        </w:rPr>
        <w:t xml:space="preserve"> </w:t>
      </w:r>
      <w:r>
        <w:rPr>
          <w:sz w:val="18"/>
        </w:rPr>
        <w:t>and</w:t>
      </w:r>
      <w:r>
        <w:rPr>
          <w:spacing w:val="40"/>
          <w:sz w:val="18"/>
        </w:rPr>
        <w:t xml:space="preserve"> </w:t>
      </w:r>
      <w:r>
        <w:rPr>
          <w:sz w:val="18"/>
        </w:rPr>
        <w:t>'Import</w:t>
      </w:r>
      <w:r>
        <w:rPr>
          <w:spacing w:val="40"/>
          <w:sz w:val="18"/>
        </w:rPr>
        <w:t xml:space="preserve"> </w:t>
      </w:r>
      <w:r>
        <w:rPr>
          <w:sz w:val="18"/>
        </w:rPr>
        <w:t>volume</w:t>
      </w:r>
      <w:r>
        <w:rPr>
          <w:spacing w:val="40"/>
          <w:sz w:val="18"/>
        </w:rPr>
        <w:t xml:space="preserve"> </w:t>
      </w:r>
      <w:r>
        <w:rPr>
          <w:sz w:val="18"/>
        </w:rPr>
        <w:t>of</w:t>
      </w:r>
      <w:r>
        <w:rPr>
          <w:spacing w:val="40"/>
          <w:sz w:val="18"/>
        </w:rPr>
        <w:t xml:space="preserve"> </w:t>
      </w:r>
      <w:r>
        <w:rPr>
          <w:sz w:val="18"/>
        </w:rPr>
        <w:t>the</w:t>
      </w:r>
      <w:r>
        <w:rPr>
          <w:spacing w:val="40"/>
          <w:sz w:val="18"/>
        </w:rPr>
        <w:t xml:space="preserve"> </w:t>
      </w:r>
      <w:r>
        <w:rPr>
          <w:sz w:val="18"/>
        </w:rPr>
        <w:t>product</w:t>
      </w:r>
      <w:r>
        <w:rPr>
          <w:spacing w:val="40"/>
          <w:sz w:val="18"/>
        </w:rPr>
        <w:t xml:space="preserve"> </w:t>
      </w:r>
      <w:r>
        <w:rPr>
          <w:sz w:val="18"/>
        </w:rPr>
        <w:t>under</w:t>
      </w:r>
      <w:r>
        <w:rPr>
          <w:spacing w:val="40"/>
          <w:sz w:val="18"/>
        </w:rPr>
        <w:t xml:space="preserve"> </w:t>
      </w:r>
      <w:r>
        <w:rPr>
          <w:sz w:val="18"/>
        </w:rPr>
        <w:t>investigation'</w:t>
      </w:r>
      <w:r>
        <w:rPr>
          <w:spacing w:val="40"/>
          <w:sz w:val="18"/>
        </w:rPr>
        <w:t xml:space="preserve"> </w:t>
      </w:r>
      <w:r>
        <w:rPr>
          <w:sz w:val="18"/>
        </w:rPr>
        <w:t>figures:</w:t>
      </w:r>
      <w:r>
        <w:rPr>
          <w:spacing w:val="40"/>
          <w:sz w:val="18"/>
        </w:rPr>
        <w:t xml:space="preserve"> </w:t>
      </w:r>
      <w:r>
        <w:rPr>
          <w:sz w:val="18"/>
        </w:rPr>
        <w:t>Anti‐Dumping</w:t>
      </w:r>
      <w:r>
        <w:rPr>
          <w:spacing w:val="40"/>
          <w:sz w:val="18"/>
        </w:rPr>
        <w:t xml:space="preserve"> </w:t>
      </w:r>
      <w:r>
        <w:rPr>
          <w:sz w:val="18"/>
        </w:rPr>
        <w:t>Final Determination, p. 148.</w:t>
      </w:r>
    </w:p>
    <w:p w14:paraId="51DE90F4" w14:textId="77777777" w:rsidR="0010369C" w:rsidRDefault="008E43AE">
      <w:pPr>
        <w:spacing w:line="219" w:lineRule="exact"/>
        <w:ind w:left="238"/>
        <w:rPr>
          <w:sz w:val="18"/>
        </w:rPr>
      </w:pPr>
      <w:r>
        <w:rPr>
          <w:sz w:val="18"/>
          <w:vertAlign w:val="superscript"/>
        </w:rPr>
        <w:t>753</w:t>
      </w:r>
      <w:r>
        <w:rPr>
          <w:spacing w:val="-9"/>
          <w:sz w:val="18"/>
        </w:rPr>
        <w:t xml:space="preserve"> </w:t>
      </w:r>
      <w:r>
        <w:rPr>
          <w:sz w:val="18"/>
        </w:rPr>
        <w:t>Anti‐Dumping</w:t>
      </w:r>
      <w:r>
        <w:rPr>
          <w:spacing w:val="-9"/>
          <w:sz w:val="18"/>
        </w:rPr>
        <w:t xml:space="preserve"> </w:t>
      </w:r>
      <w:r>
        <w:rPr>
          <w:sz w:val="18"/>
        </w:rPr>
        <w:t>Final</w:t>
      </w:r>
      <w:r>
        <w:rPr>
          <w:spacing w:val="-9"/>
          <w:sz w:val="18"/>
        </w:rPr>
        <w:t xml:space="preserve"> </w:t>
      </w:r>
      <w:r>
        <w:rPr>
          <w:sz w:val="18"/>
        </w:rPr>
        <w:t>Determination</w:t>
      </w:r>
      <w:r>
        <w:rPr>
          <w:spacing w:val="-8"/>
          <w:sz w:val="18"/>
        </w:rPr>
        <w:t xml:space="preserve"> </w:t>
      </w:r>
      <w:r>
        <w:rPr>
          <w:sz w:val="18"/>
        </w:rPr>
        <w:t>(Exhibit</w:t>
      </w:r>
      <w:r>
        <w:rPr>
          <w:spacing w:val="-9"/>
          <w:sz w:val="18"/>
        </w:rPr>
        <w:t xml:space="preserve"> </w:t>
      </w:r>
      <w:r>
        <w:rPr>
          <w:sz w:val="18"/>
        </w:rPr>
        <w:t>AUS‐2),</w:t>
      </w:r>
      <w:r>
        <w:rPr>
          <w:spacing w:val="-9"/>
          <w:sz w:val="18"/>
        </w:rPr>
        <w:t xml:space="preserve"> </w:t>
      </w:r>
      <w:r>
        <w:rPr>
          <w:sz w:val="18"/>
        </w:rPr>
        <w:t>p.</w:t>
      </w:r>
      <w:r>
        <w:rPr>
          <w:spacing w:val="-9"/>
          <w:sz w:val="18"/>
        </w:rPr>
        <w:t xml:space="preserve"> </w:t>
      </w:r>
      <w:r>
        <w:rPr>
          <w:spacing w:val="-4"/>
          <w:sz w:val="18"/>
        </w:rPr>
        <w:t>130.</w:t>
      </w:r>
    </w:p>
    <w:p w14:paraId="51DE90F5" w14:textId="77777777" w:rsidR="0010369C" w:rsidRDefault="0010369C">
      <w:pPr>
        <w:spacing w:line="219" w:lineRule="exact"/>
        <w:rPr>
          <w:sz w:val="18"/>
        </w:rPr>
        <w:sectPr w:rsidR="0010369C">
          <w:pgSz w:w="11910" w:h="16840"/>
          <w:pgMar w:top="880" w:right="800" w:bottom="980" w:left="1180" w:header="569" w:footer="788" w:gutter="0"/>
          <w:cols w:space="720"/>
        </w:sectPr>
      </w:pPr>
    </w:p>
    <w:p w14:paraId="51DE90F6" w14:textId="77777777" w:rsidR="0010369C" w:rsidRDefault="008E43AE">
      <w:pPr>
        <w:tabs>
          <w:tab w:val="left" w:pos="6426"/>
        </w:tabs>
        <w:ind w:left="238"/>
        <w:jc w:val="both"/>
        <w:rPr>
          <w:sz w:val="20"/>
        </w:rPr>
      </w:pPr>
      <w:r>
        <w:rPr>
          <w:i/>
          <w:sz w:val="20"/>
        </w:rPr>
        <w:lastRenderedPageBreak/>
        <w:t>China</w:t>
      </w:r>
      <w:r>
        <w:rPr>
          <w:i/>
          <w:spacing w:val="-5"/>
          <w:sz w:val="20"/>
        </w:rPr>
        <w:t xml:space="preserve"> </w:t>
      </w:r>
      <w:r>
        <w:rPr>
          <w:i/>
          <w:sz w:val="20"/>
        </w:rPr>
        <w:t>–</w:t>
      </w:r>
      <w:r>
        <w:rPr>
          <w:i/>
          <w:spacing w:val="-5"/>
          <w:sz w:val="20"/>
        </w:rPr>
        <w:t xml:space="preserve"> </w:t>
      </w:r>
      <w:r>
        <w:rPr>
          <w:i/>
          <w:sz w:val="20"/>
        </w:rPr>
        <w:t>Anti‐Dumping</w:t>
      </w:r>
      <w:r>
        <w:rPr>
          <w:i/>
          <w:spacing w:val="-4"/>
          <w:sz w:val="20"/>
        </w:rPr>
        <w:t xml:space="preserve"> </w:t>
      </w:r>
      <w:r>
        <w:rPr>
          <w:i/>
          <w:sz w:val="20"/>
        </w:rPr>
        <w:t>and</w:t>
      </w:r>
      <w:r>
        <w:rPr>
          <w:i/>
          <w:spacing w:val="-5"/>
          <w:sz w:val="20"/>
        </w:rPr>
        <w:t xml:space="preserve"> </w:t>
      </w:r>
      <w:r>
        <w:rPr>
          <w:i/>
          <w:sz w:val="20"/>
        </w:rPr>
        <w:t>Countervailing</w:t>
      </w:r>
      <w:r>
        <w:rPr>
          <w:i/>
          <w:spacing w:val="-5"/>
          <w:sz w:val="20"/>
        </w:rPr>
        <w:t xml:space="preserve"> </w:t>
      </w:r>
      <w:r>
        <w:rPr>
          <w:i/>
          <w:sz w:val="20"/>
        </w:rPr>
        <w:t>Duty</w:t>
      </w:r>
      <w:r>
        <w:rPr>
          <w:i/>
          <w:spacing w:val="-4"/>
          <w:sz w:val="20"/>
        </w:rPr>
        <w:t xml:space="preserve"> </w:t>
      </w:r>
      <w:r>
        <w:rPr>
          <w:i/>
          <w:spacing w:val="-2"/>
          <w:sz w:val="20"/>
        </w:rPr>
        <w:t>Measures</w:t>
      </w:r>
      <w:r>
        <w:rPr>
          <w:i/>
          <w:sz w:val="20"/>
        </w:rPr>
        <w:tab/>
      </w:r>
      <w:r>
        <w:rPr>
          <w:sz w:val="20"/>
        </w:rPr>
        <w:t>Australia's</w:t>
      </w:r>
      <w:r>
        <w:rPr>
          <w:spacing w:val="-7"/>
          <w:sz w:val="20"/>
        </w:rPr>
        <w:t xml:space="preserve"> </w:t>
      </w:r>
      <w:r>
        <w:rPr>
          <w:sz w:val="20"/>
        </w:rPr>
        <w:t>First</w:t>
      </w:r>
      <w:r>
        <w:rPr>
          <w:spacing w:val="-2"/>
          <w:sz w:val="20"/>
        </w:rPr>
        <w:t xml:space="preserve"> </w:t>
      </w:r>
      <w:r>
        <w:rPr>
          <w:sz w:val="20"/>
        </w:rPr>
        <w:t>Written</w:t>
      </w:r>
      <w:r>
        <w:rPr>
          <w:spacing w:val="-2"/>
          <w:sz w:val="20"/>
        </w:rPr>
        <w:t xml:space="preserve"> Submission</w:t>
      </w:r>
    </w:p>
    <w:p w14:paraId="51DE90F7" w14:textId="77777777" w:rsidR="0010369C" w:rsidRDefault="008E43AE">
      <w:pPr>
        <w:tabs>
          <w:tab w:val="left" w:pos="8228"/>
        </w:tabs>
        <w:spacing w:before="1"/>
        <w:ind w:left="239"/>
        <w:jc w:val="both"/>
        <w:rPr>
          <w:sz w:val="20"/>
        </w:rPr>
      </w:pPr>
      <w:r>
        <w:rPr>
          <w:i/>
          <w:sz w:val="20"/>
        </w:rPr>
        <w:t>on</w:t>
      </w:r>
      <w:r>
        <w:rPr>
          <w:i/>
          <w:spacing w:val="-1"/>
          <w:sz w:val="20"/>
        </w:rPr>
        <w:t xml:space="preserve"> </w:t>
      </w:r>
      <w:r>
        <w:rPr>
          <w:i/>
          <w:sz w:val="20"/>
        </w:rPr>
        <w:t>Wine</w:t>
      </w:r>
      <w:r>
        <w:rPr>
          <w:i/>
          <w:spacing w:val="-1"/>
          <w:sz w:val="20"/>
        </w:rPr>
        <w:t xml:space="preserve"> </w:t>
      </w:r>
      <w:r>
        <w:rPr>
          <w:i/>
          <w:sz w:val="20"/>
        </w:rPr>
        <w:t>from</w:t>
      </w:r>
      <w:r>
        <w:rPr>
          <w:i/>
          <w:spacing w:val="-3"/>
          <w:sz w:val="20"/>
        </w:rPr>
        <w:t xml:space="preserve"> </w:t>
      </w:r>
      <w:r>
        <w:rPr>
          <w:i/>
          <w:sz w:val="20"/>
        </w:rPr>
        <w:t>Australia</w:t>
      </w:r>
      <w:r>
        <w:rPr>
          <w:i/>
          <w:spacing w:val="-1"/>
          <w:sz w:val="20"/>
        </w:rPr>
        <w:t xml:space="preserve"> </w:t>
      </w:r>
      <w:r>
        <w:rPr>
          <w:spacing w:val="-2"/>
          <w:sz w:val="20"/>
        </w:rPr>
        <w:t>(DS602)</w:t>
      </w:r>
      <w:r>
        <w:rPr>
          <w:sz w:val="20"/>
        </w:rPr>
        <w:tab/>
        <w:t>29</w:t>
      </w:r>
      <w:r>
        <w:rPr>
          <w:spacing w:val="-1"/>
          <w:sz w:val="20"/>
        </w:rPr>
        <w:t xml:space="preserve"> </w:t>
      </w:r>
      <w:r>
        <w:rPr>
          <w:sz w:val="20"/>
        </w:rPr>
        <w:t>April</w:t>
      </w:r>
      <w:r>
        <w:rPr>
          <w:spacing w:val="-2"/>
          <w:sz w:val="20"/>
        </w:rPr>
        <w:t xml:space="preserve"> </w:t>
      </w:r>
      <w:r>
        <w:rPr>
          <w:spacing w:val="-4"/>
          <w:sz w:val="20"/>
        </w:rPr>
        <w:t>2022</w:t>
      </w:r>
    </w:p>
    <w:p w14:paraId="51DE90F8" w14:textId="77777777" w:rsidR="0010369C" w:rsidRDefault="008E43AE">
      <w:pPr>
        <w:spacing w:before="35" w:line="276" w:lineRule="auto"/>
        <w:ind w:left="1088" w:right="613"/>
        <w:jc w:val="both"/>
      </w:pPr>
      <w:r>
        <w:t>With the continuous significant increase in the absolute volume and market share of the dumped</w:t>
      </w:r>
      <w:r>
        <w:rPr>
          <w:spacing w:val="-11"/>
        </w:rPr>
        <w:t xml:space="preserve"> </w:t>
      </w:r>
      <w:r>
        <w:t>imported</w:t>
      </w:r>
      <w:r>
        <w:rPr>
          <w:spacing w:val="-11"/>
        </w:rPr>
        <w:t xml:space="preserve"> </w:t>
      </w:r>
      <w:r>
        <w:t>products,</w:t>
      </w:r>
      <w:r>
        <w:rPr>
          <w:spacing w:val="-11"/>
        </w:rPr>
        <w:t xml:space="preserve"> </w:t>
      </w:r>
      <w:r>
        <w:t>and</w:t>
      </w:r>
      <w:r>
        <w:rPr>
          <w:spacing w:val="-11"/>
        </w:rPr>
        <w:t xml:space="preserve"> </w:t>
      </w:r>
      <w:r>
        <w:t>the</w:t>
      </w:r>
      <w:r>
        <w:rPr>
          <w:spacing w:val="-10"/>
        </w:rPr>
        <w:t xml:space="preserve"> </w:t>
      </w:r>
      <w:r>
        <w:t>cumulative</w:t>
      </w:r>
      <w:r>
        <w:rPr>
          <w:spacing w:val="-10"/>
        </w:rPr>
        <w:t xml:space="preserve"> </w:t>
      </w:r>
      <w:r>
        <w:t>decline</w:t>
      </w:r>
      <w:r>
        <w:rPr>
          <w:spacing w:val="-11"/>
        </w:rPr>
        <w:t xml:space="preserve"> </w:t>
      </w:r>
      <w:r>
        <w:t>in</w:t>
      </w:r>
      <w:r>
        <w:rPr>
          <w:spacing w:val="-10"/>
        </w:rPr>
        <w:t xml:space="preserve"> </w:t>
      </w:r>
      <w:r>
        <w:t>the</w:t>
      </w:r>
      <w:r>
        <w:rPr>
          <w:spacing w:val="-10"/>
        </w:rPr>
        <w:t xml:space="preserve"> </w:t>
      </w:r>
      <w:r>
        <w:t>price</w:t>
      </w:r>
      <w:r>
        <w:rPr>
          <w:spacing w:val="-11"/>
        </w:rPr>
        <w:t xml:space="preserve"> </w:t>
      </w:r>
      <w:r>
        <w:t>of</w:t>
      </w:r>
      <w:r>
        <w:rPr>
          <w:spacing w:val="-11"/>
        </w:rPr>
        <w:t xml:space="preserve"> </w:t>
      </w:r>
      <w:r>
        <w:t>the</w:t>
      </w:r>
      <w:r>
        <w:rPr>
          <w:spacing w:val="-10"/>
        </w:rPr>
        <w:t xml:space="preserve"> </w:t>
      </w:r>
      <w:r>
        <w:t>dumped</w:t>
      </w:r>
      <w:r>
        <w:rPr>
          <w:spacing w:val="-11"/>
        </w:rPr>
        <w:t xml:space="preserve"> </w:t>
      </w:r>
      <w:r>
        <w:t>imported products</w:t>
      </w:r>
      <w:r>
        <w:rPr>
          <w:spacing w:val="-4"/>
        </w:rPr>
        <w:t xml:space="preserve"> </w:t>
      </w:r>
      <w:r>
        <w:t>by</w:t>
      </w:r>
      <w:r>
        <w:rPr>
          <w:spacing w:val="-5"/>
        </w:rPr>
        <w:t xml:space="preserve"> </w:t>
      </w:r>
      <w:r>
        <w:t>15.91%,</w:t>
      </w:r>
      <w:r>
        <w:rPr>
          <w:spacing w:val="-5"/>
        </w:rPr>
        <w:t xml:space="preserve"> </w:t>
      </w:r>
      <w:r>
        <w:t>the</w:t>
      </w:r>
      <w:r>
        <w:rPr>
          <w:spacing w:val="-5"/>
        </w:rPr>
        <w:t xml:space="preserve"> </w:t>
      </w:r>
      <w:r>
        <w:t>domestic</w:t>
      </w:r>
      <w:r>
        <w:rPr>
          <w:spacing w:val="-6"/>
        </w:rPr>
        <w:t xml:space="preserve"> </w:t>
      </w:r>
      <w:r>
        <w:t>like</w:t>
      </w:r>
      <w:r>
        <w:rPr>
          <w:spacing w:val="-5"/>
        </w:rPr>
        <w:t xml:space="preserve"> </w:t>
      </w:r>
      <w:r>
        <w:t>products</w:t>
      </w:r>
      <w:r>
        <w:rPr>
          <w:spacing w:val="-5"/>
        </w:rPr>
        <w:t xml:space="preserve"> </w:t>
      </w:r>
      <w:r>
        <w:t>saw</w:t>
      </w:r>
      <w:r>
        <w:rPr>
          <w:spacing w:val="-5"/>
        </w:rPr>
        <w:t xml:space="preserve"> </w:t>
      </w:r>
      <w:r>
        <w:t>some</w:t>
      </w:r>
      <w:r>
        <w:rPr>
          <w:spacing w:val="-5"/>
        </w:rPr>
        <w:t xml:space="preserve"> </w:t>
      </w:r>
      <w:r>
        <w:t>growth</w:t>
      </w:r>
      <w:r>
        <w:rPr>
          <w:spacing w:val="-5"/>
        </w:rPr>
        <w:t xml:space="preserve"> </w:t>
      </w:r>
      <w:r>
        <w:t>in</w:t>
      </w:r>
      <w:r>
        <w:rPr>
          <w:spacing w:val="-5"/>
        </w:rPr>
        <w:t xml:space="preserve"> </w:t>
      </w:r>
      <w:r>
        <w:t>the</w:t>
      </w:r>
      <w:r>
        <w:rPr>
          <w:spacing w:val="-5"/>
        </w:rPr>
        <w:t xml:space="preserve"> </w:t>
      </w:r>
      <w:r>
        <w:t>sale</w:t>
      </w:r>
      <w:r>
        <w:t>s</w:t>
      </w:r>
      <w:r>
        <w:rPr>
          <w:spacing w:val="-5"/>
        </w:rPr>
        <w:t xml:space="preserve"> </w:t>
      </w:r>
      <w:r>
        <w:t>price,</w:t>
      </w:r>
      <w:r>
        <w:rPr>
          <w:spacing w:val="-5"/>
        </w:rPr>
        <w:t xml:space="preserve"> </w:t>
      </w:r>
      <w:r>
        <w:t>yet</w:t>
      </w:r>
      <w:r>
        <w:rPr>
          <w:spacing w:val="-6"/>
        </w:rPr>
        <w:t xml:space="preserve"> </w:t>
      </w:r>
      <w:r>
        <w:t>such growth was lower than the cost rise at the same time, indicating that the rise of the sales price failed to reach the level where it should be able to offset the cost rise.</w:t>
      </w:r>
      <w:r>
        <w:rPr>
          <w:vertAlign w:val="superscript"/>
        </w:rPr>
        <w:t>754</w:t>
      </w:r>
    </w:p>
    <w:p w14:paraId="51DE90F9" w14:textId="77777777" w:rsidR="0010369C" w:rsidRDefault="0010369C">
      <w:pPr>
        <w:pStyle w:val="BodyText"/>
        <w:spacing w:before="4"/>
        <w:rPr>
          <w:sz w:val="15"/>
        </w:rPr>
      </w:pPr>
    </w:p>
    <w:p w14:paraId="51DE90FA" w14:textId="77777777" w:rsidR="0010369C" w:rsidRDefault="008E43AE">
      <w:pPr>
        <w:pStyle w:val="BodyText"/>
        <w:spacing w:before="51" w:line="362" w:lineRule="auto"/>
        <w:ind w:left="238" w:right="614" w:firstLine="851"/>
        <w:jc w:val="both"/>
      </w:pPr>
      <w:r>
        <w:rPr>
          <w:noProof/>
        </w:rPr>
        <w:drawing>
          <wp:anchor distT="0" distB="0" distL="0" distR="0" simplePos="0" relativeHeight="251271680" behindDoc="1" locked="0" layoutInCell="1" allowOverlap="1" wp14:anchorId="51DEA547" wp14:editId="51DEA548">
            <wp:simplePos x="0" y="0"/>
            <wp:positionH relativeFrom="page">
              <wp:posOffset>905255</wp:posOffset>
            </wp:positionH>
            <wp:positionV relativeFrom="paragraph">
              <wp:posOffset>81315</wp:posOffset>
            </wp:positionV>
            <wp:extent cx="259079" cy="100753"/>
            <wp:effectExtent l="0" t="0" r="0" b="0"/>
            <wp:wrapNone/>
            <wp:docPr id="1287" name="image6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 name="image665.png"/>
                    <pic:cNvPicPr/>
                  </pic:nvPicPr>
                  <pic:blipFill>
                    <a:blip r:embed="rId867" cstate="print"/>
                    <a:stretch>
                      <a:fillRect/>
                    </a:stretch>
                  </pic:blipFill>
                  <pic:spPr>
                    <a:xfrm>
                      <a:off x="0" y="0"/>
                      <a:ext cx="259079" cy="100753"/>
                    </a:xfrm>
                    <a:prstGeom prst="rect">
                      <a:avLst/>
                    </a:prstGeom>
                  </pic:spPr>
                </pic:pic>
              </a:graphicData>
            </a:graphic>
          </wp:anchor>
        </w:drawing>
      </w:r>
      <w:r>
        <w:t>In making this statement, MOFCOM ignored evidence on the rec</w:t>
      </w:r>
      <w:r>
        <w:t>ord which demonstrated that:</w:t>
      </w:r>
    </w:p>
    <w:p w14:paraId="51DE90FB" w14:textId="77777777" w:rsidR="0010369C" w:rsidRDefault="008E43AE">
      <w:pPr>
        <w:pStyle w:val="ListParagraph"/>
        <w:numPr>
          <w:ilvl w:val="0"/>
          <w:numId w:val="49"/>
        </w:numPr>
        <w:tabs>
          <w:tab w:val="left" w:pos="1939"/>
          <w:tab w:val="left" w:pos="1940"/>
        </w:tabs>
        <w:spacing w:before="155" w:line="355" w:lineRule="auto"/>
        <w:ind w:right="614"/>
        <w:rPr>
          <w:sz w:val="24"/>
        </w:rPr>
      </w:pPr>
      <w:r>
        <w:rPr>
          <w:sz w:val="24"/>
        </w:rPr>
        <w:t>The growth in domestic prices was in fact a cumulative price increase of 20.54% (6,576 RMB/kl) between 2015 and 2019.</w:t>
      </w:r>
      <w:r>
        <w:rPr>
          <w:sz w:val="24"/>
          <w:vertAlign w:val="superscript"/>
        </w:rPr>
        <w:t>755</w:t>
      </w:r>
    </w:p>
    <w:p w14:paraId="51DE90FC" w14:textId="77777777" w:rsidR="0010369C" w:rsidRDefault="008E43AE">
      <w:pPr>
        <w:pStyle w:val="ListParagraph"/>
        <w:numPr>
          <w:ilvl w:val="0"/>
          <w:numId w:val="49"/>
        </w:numPr>
        <w:tabs>
          <w:tab w:val="left" w:pos="1940"/>
          <w:tab w:val="left" w:pos="1941"/>
        </w:tabs>
        <w:spacing w:before="131" w:line="360" w:lineRule="auto"/>
        <w:ind w:right="613"/>
        <w:rPr>
          <w:sz w:val="24"/>
        </w:rPr>
      </w:pPr>
      <w:r>
        <w:rPr>
          <w:sz w:val="24"/>
        </w:rPr>
        <w:t>While the increase in the average unit price was lower than the increase in the average unit cost for each year in the Injury POI, the difference was minimal. Specifically, the change rates for domestic unit price and cost increases were within one percent</w:t>
      </w:r>
      <w:r>
        <w:rPr>
          <w:sz w:val="24"/>
        </w:rPr>
        <w:t>age point for every year, except 2015 to 2016, where the difference was 2.79 percentage points.</w:t>
      </w:r>
      <w:r>
        <w:rPr>
          <w:sz w:val="24"/>
          <w:vertAlign w:val="superscript"/>
        </w:rPr>
        <w:t>756</w:t>
      </w:r>
      <w:r>
        <w:rPr>
          <w:sz w:val="24"/>
        </w:rPr>
        <w:t xml:space="preserve"> Moreover, in each</w:t>
      </w:r>
      <w:r>
        <w:rPr>
          <w:spacing w:val="-4"/>
          <w:sz w:val="24"/>
        </w:rPr>
        <w:t xml:space="preserve"> </w:t>
      </w:r>
      <w:r>
        <w:rPr>
          <w:sz w:val="24"/>
        </w:rPr>
        <w:t>year,</w:t>
      </w:r>
      <w:r>
        <w:rPr>
          <w:spacing w:val="-3"/>
          <w:sz w:val="24"/>
        </w:rPr>
        <w:t xml:space="preserve"> </w:t>
      </w:r>
      <w:r>
        <w:rPr>
          <w:sz w:val="24"/>
        </w:rPr>
        <w:t>the</w:t>
      </w:r>
      <w:r>
        <w:rPr>
          <w:spacing w:val="-3"/>
          <w:sz w:val="24"/>
        </w:rPr>
        <w:t xml:space="preserve"> </w:t>
      </w:r>
      <w:r>
        <w:rPr>
          <w:sz w:val="24"/>
        </w:rPr>
        <w:t>difference</w:t>
      </w:r>
      <w:r>
        <w:rPr>
          <w:spacing w:val="-3"/>
          <w:sz w:val="24"/>
        </w:rPr>
        <w:t xml:space="preserve"> </w:t>
      </w:r>
      <w:r>
        <w:rPr>
          <w:sz w:val="24"/>
        </w:rPr>
        <w:t>between</w:t>
      </w:r>
      <w:r>
        <w:rPr>
          <w:spacing w:val="-3"/>
          <w:sz w:val="24"/>
        </w:rPr>
        <w:t xml:space="preserve"> </w:t>
      </w:r>
      <w:r>
        <w:rPr>
          <w:sz w:val="24"/>
        </w:rPr>
        <w:t>the</w:t>
      </w:r>
      <w:r>
        <w:rPr>
          <w:spacing w:val="-3"/>
          <w:sz w:val="24"/>
        </w:rPr>
        <w:t xml:space="preserve"> </w:t>
      </w:r>
      <w:r>
        <w:rPr>
          <w:sz w:val="24"/>
        </w:rPr>
        <w:t>average</w:t>
      </w:r>
      <w:r>
        <w:rPr>
          <w:spacing w:val="-4"/>
          <w:sz w:val="24"/>
        </w:rPr>
        <w:t xml:space="preserve"> </w:t>
      </w:r>
      <w:r>
        <w:rPr>
          <w:sz w:val="24"/>
        </w:rPr>
        <w:t>unit</w:t>
      </w:r>
      <w:r>
        <w:rPr>
          <w:spacing w:val="-3"/>
          <w:sz w:val="24"/>
        </w:rPr>
        <w:t xml:space="preserve"> </w:t>
      </w:r>
      <w:r>
        <w:rPr>
          <w:sz w:val="24"/>
        </w:rPr>
        <w:t>price</w:t>
      </w:r>
      <w:r>
        <w:rPr>
          <w:spacing w:val="-3"/>
          <w:sz w:val="24"/>
        </w:rPr>
        <w:t xml:space="preserve"> </w:t>
      </w:r>
      <w:r>
        <w:rPr>
          <w:sz w:val="24"/>
        </w:rPr>
        <w:t>of</w:t>
      </w:r>
      <w:r>
        <w:rPr>
          <w:spacing w:val="-5"/>
          <w:sz w:val="24"/>
        </w:rPr>
        <w:t xml:space="preserve"> </w:t>
      </w:r>
      <w:r>
        <w:rPr>
          <w:sz w:val="24"/>
        </w:rPr>
        <w:t>subject</w:t>
      </w:r>
      <w:r>
        <w:rPr>
          <w:spacing w:val="-4"/>
          <w:sz w:val="24"/>
        </w:rPr>
        <w:t xml:space="preserve"> </w:t>
      </w:r>
      <w:r>
        <w:rPr>
          <w:sz w:val="24"/>
        </w:rPr>
        <w:t>imports and that of domestic like products vastly exceeded the difference be</w:t>
      </w:r>
      <w:r>
        <w:rPr>
          <w:sz w:val="24"/>
        </w:rPr>
        <w:t>tween the</w:t>
      </w:r>
      <w:r>
        <w:rPr>
          <w:spacing w:val="-14"/>
          <w:sz w:val="24"/>
        </w:rPr>
        <w:t xml:space="preserve"> </w:t>
      </w:r>
      <w:r>
        <w:rPr>
          <w:sz w:val="24"/>
        </w:rPr>
        <w:t>average</w:t>
      </w:r>
      <w:r>
        <w:rPr>
          <w:spacing w:val="-14"/>
          <w:sz w:val="24"/>
        </w:rPr>
        <w:t xml:space="preserve"> </w:t>
      </w:r>
      <w:r>
        <w:rPr>
          <w:sz w:val="24"/>
        </w:rPr>
        <w:t>unit</w:t>
      </w:r>
      <w:r>
        <w:rPr>
          <w:spacing w:val="-13"/>
          <w:sz w:val="24"/>
        </w:rPr>
        <w:t xml:space="preserve"> </w:t>
      </w:r>
      <w:r>
        <w:rPr>
          <w:sz w:val="24"/>
        </w:rPr>
        <w:t>price</w:t>
      </w:r>
      <w:r>
        <w:rPr>
          <w:spacing w:val="-13"/>
          <w:sz w:val="24"/>
        </w:rPr>
        <w:t xml:space="preserve"> </w:t>
      </w:r>
      <w:r>
        <w:rPr>
          <w:sz w:val="24"/>
        </w:rPr>
        <w:t>and</w:t>
      </w:r>
      <w:r>
        <w:rPr>
          <w:spacing w:val="-14"/>
          <w:sz w:val="24"/>
        </w:rPr>
        <w:t xml:space="preserve"> </w:t>
      </w:r>
      <w:r>
        <w:rPr>
          <w:sz w:val="24"/>
        </w:rPr>
        <w:t>average</w:t>
      </w:r>
      <w:r>
        <w:rPr>
          <w:spacing w:val="-13"/>
          <w:sz w:val="24"/>
        </w:rPr>
        <w:t xml:space="preserve"> </w:t>
      </w:r>
      <w:r>
        <w:rPr>
          <w:sz w:val="24"/>
        </w:rPr>
        <w:t>unit</w:t>
      </w:r>
      <w:r>
        <w:rPr>
          <w:spacing w:val="-13"/>
          <w:sz w:val="24"/>
        </w:rPr>
        <w:t xml:space="preserve"> </w:t>
      </w:r>
      <w:r>
        <w:rPr>
          <w:sz w:val="24"/>
        </w:rPr>
        <w:t>cost</w:t>
      </w:r>
      <w:r>
        <w:rPr>
          <w:spacing w:val="-13"/>
          <w:sz w:val="24"/>
        </w:rPr>
        <w:t xml:space="preserve"> </w:t>
      </w:r>
      <w:r>
        <w:rPr>
          <w:sz w:val="24"/>
        </w:rPr>
        <w:t>of</w:t>
      </w:r>
      <w:r>
        <w:rPr>
          <w:spacing w:val="-14"/>
          <w:sz w:val="24"/>
        </w:rPr>
        <w:t xml:space="preserve"> </w:t>
      </w:r>
      <w:r>
        <w:rPr>
          <w:sz w:val="24"/>
        </w:rPr>
        <w:t>domestic</w:t>
      </w:r>
      <w:r>
        <w:rPr>
          <w:spacing w:val="-13"/>
          <w:sz w:val="24"/>
        </w:rPr>
        <w:t xml:space="preserve"> </w:t>
      </w:r>
      <w:r>
        <w:rPr>
          <w:sz w:val="24"/>
        </w:rPr>
        <w:t>like</w:t>
      </w:r>
      <w:r>
        <w:rPr>
          <w:spacing w:val="-14"/>
          <w:sz w:val="24"/>
        </w:rPr>
        <w:t xml:space="preserve"> </w:t>
      </w:r>
      <w:r>
        <w:rPr>
          <w:sz w:val="24"/>
        </w:rPr>
        <w:t>products.</w:t>
      </w:r>
      <w:r>
        <w:rPr>
          <w:spacing w:val="-12"/>
          <w:sz w:val="24"/>
        </w:rPr>
        <w:t xml:space="preserve"> </w:t>
      </w:r>
      <w:r>
        <w:rPr>
          <w:sz w:val="24"/>
        </w:rPr>
        <w:t>In</w:t>
      </w:r>
      <w:r>
        <w:rPr>
          <w:spacing w:val="-14"/>
          <w:sz w:val="24"/>
        </w:rPr>
        <w:t xml:space="preserve"> </w:t>
      </w:r>
      <w:r>
        <w:rPr>
          <w:sz w:val="24"/>
        </w:rPr>
        <w:t>this way,</w:t>
      </w:r>
      <w:r>
        <w:rPr>
          <w:spacing w:val="-14"/>
          <w:sz w:val="24"/>
        </w:rPr>
        <w:t xml:space="preserve"> </w:t>
      </w:r>
      <w:r>
        <w:rPr>
          <w:sz w:val="24"/>
        </w:rPr>
        <w:t>the</w:t>
      </w:r>
      <w:r>
        <w:rPr>
          <w:spacing w:val="-12"/>
          <w:sz w:val="24"/>
        </w:rPr>
        <w:t xml:space="preserve"> </w:t>
      </w:r>
      <w:r>
        <w:rPr>
          <w:sz w:val="24"/>
        </w:rPr>
        <w:t>evidence</w:t>
      </w:r>
      <w:r>
        <w:rPr>
          <w:spacing w:val="-13"/>
          <w:sz w:val="24"/>
        </w:rPr>
        <w:t xml:space="preserve"> </w:t>
      </w:r>
      <w:r>
        <w:rPr>
          <w:sz w:val="24"/>
        </w:rPr>
        <w:t>on</w:t>
      </w:r>
      <w:r>
        <w:rPr>
          <w:spacing w:val="-13"/>
          <w:sz w:val="24"/>
        </w:rPr>
        <w:t xml:space="preserve"> </w:t>
      </w:r>
      <w:r>
        <w:rPr>
          <w:sz w:val="24"/>
        </w:rPr>
        <w:t>the</w:t>
      </w:r>
      <w:r>
        <w:rPr>
          <w:spacing w:val="-13"/>
          <w:sz w:val="24"/>
        </w:rPr>
        <w:t xml:space="preserve"> </w:t>
      </w:r>
      <w:r>
        <w:rPr>
          <w:sz w:val="24"/>
        </w:rPr>
        <w:t>record</w:t>
      </w:r>
      <w:r>
        <w:rPr>
          <w:spacing w:val="-14"/>
          <w:sz w:val="24"/>
        </w:rPr>
        <w:t xml:space="preserve"> </w:t>
      </w:r>
      <w:r>
        <w:rPr>
          <w:sz w:val="24"/>
        </w:rPr>
        <w:t>before</w:t>
      </w:r>
      <w:r>
        <w:rPr>
          <w:spacing w:val="-11"/>
          <w:sz w:val="24"/>
        </w:rPr>
        <w:t xml:space="preserve"> </w:t>
      </w:r>
      <w:r>
        <w:rPr>
          <w:sz w:val="24"/>
        </w:rPr>
        <w:t>MOFCOM</w:t>
      </w:r>
      <w:r>
        <w:rPr>
          <w:spacing w:val="-13"/>
          <w:sz w:val="24"/>
        </w:rPr>
        <w:t xml:space="preserve"> </w:t>
      </w:r>
      <w:r>
        <w:rPr>
          <w:sz w:val="24"/>
        </w:rPr>
        <w:t>clearly</w:t>
      </w:r>
      <w:r>
        <w:rPr>
          <w:spacing w:val="-13"/>
          <w:sz w:val="24"/>
        </w:rPr>
        <w:t xml:space="preserve"> </w:t>
      </w:r>
      <w:r>
        <w:rPr>
          <w:sz w:val="24"/>
        </w:rPr>
        <w:t>demonstrated</w:t>
      </w:r>
      <w:r>
        <w:rPr>
          <w:spacing w:val="-14"/>
          <w:sz w:val="24"/>
        </w:rPr>
        <w:t xml:space="preserve"> </w:t>
      </w:r>
      <w:r>
        <w:rPr>
          <w:sz w:val="24"/>
        </w:rPr>
        <w:t>that the average unit price of subject imports was not preventing the average unit</w:t>
      </w:r>
      <w:r>
        <w:rPr>
          <w:spacing w:val="-12"/>
          <w:sz w:val="24"/>
        </w:rPr>
        <w:t xml:space="preserve"> </w:t>
      </w:r>
      <w:r>
        <w:rPr>
          <w:sz w:val="24"/>
        </w:rPr>
        <w:t>price</w:t>
      </w:r>
      <w:r>
        <w:rPr>
          <w:spacing w:val="-11"/>
          <w:sz w:val="24"/>
        </w:rPr>
        <w:t xml:space="preserve"> </w:t>
      </w:r>
      <w:r>
        <w:rPr>
          <w:sz w:val="24"/>
        </w:rPr>
        <w:t>of</w:t>
      </w:r>
      <w:r>
        <w:rPr>
          <w:spacing w:val="-13"/>
          <w:sz w:val="24"/>
        </w:rPr>
        <w:t xml:space="preserve"> </w:t>
      </w:r>
      <w:r>
        <w:rPr>
          <w:sz w:val="24"/>
        </w:rPr>
        <w:t>domestic</w:t>
      </w:r>
      <w:r>
        <w:rPr>
          <w:spacing w:val="-10"/>
          <w:sz w:val="24"/>
        </w:rPr>
        <w:t xml:space="preserve"> </w:t>
      </w:r>
      <w:r>
        <w:rPr>
          <w:sz w:val="24"/>
        </w:rPr>
        <w:t>like</w:t>
      </w:r>
      <w:r>
        <w:rPr>
          <w:spacing w:val="-11"/>
          <w:sz w:val="24"/>
        </w:rPr>
        <w:t xml:space="preserve"> </w:t>
      </w:r>
      <w:r>
        <w:rPr>
          <w:sz w:val="24"/>
        </w:rPr>
        <w:t>products</w:t>
      </w:r>
      <w:r>
        <w:rPr>
          <w:spacing w:val="-11"/>
          <w:sz w:val="24"/>
        </w:rPr>
        <w:t xml:space="preserve"> </w:t>
      </w:r>
      <w:r>
        <w:rPr>
          <w:sz w:val="24"/>
        </w:rPr>
        <w:t>from</w:t>
      </w:r>
      <w:r>
        <w:rPr>
          <w:spacing w:val="-12"/>
          <w:sz w:val="24"/>
        </w:rPr>
        <w:t xml:space="preserve"> </w:t>
      </w:r>
      <w:r>
        <w:rPr>
          <w:sz w:val="24"/>
        </w:rPr>
        <w:t>further</w:t>
      </w:r>
      <w:r>
        <w:rPr>
          <w:spacing w:val="-12"/>
          <w:sz w:val="24"/>
        </w:rPr>
        <w:t xml:space="preserve"> </w:t>
      </w:r>
      <w:r>
        <w:rPr>
          <w:sz w:val="24"/>
        </w:rPr>
        <w:t>increasing</w:t>
      </w:r>
      <w:r>
        <w:rPr>
          <w:spacing w:val="-11"/>
          <w:sz w:val="24"/>
        </w:rPr>
        <w:t xml:space="preserve"> </w:t>
      </w:r>
      <w:r>
        <w:rPr>
          <w:sz w:val="24"/>
        </w:rPr>
        <w:t>to</w:t>
      </w:r>
      <w:r>
        <w:rPr>
          <w:spacing w:val="-12"/>
          <w:sz w:val="24"/>
        </w:rPr>
        <w:t xml:space="preserve"> </w:t>
      </w:r>
      <w:r>
        <w:rPr>
          <w:sz w:val="24"/>
        </w:rPr>
        <w:t>fully</w:t>
      </w:r>
      <w:r>
        <w:rPr>
          <w:spacing w:val="-11"/>
          <w:sz w:val="24"/>
        </w:rPr>
        <w:t xml:space="preserve"> </w:t>
      </w:r>
      <w:r>
        <w:rPr>
          <w:sz w:val="24"/>
        </w:rPr>
        <w:t>cover</w:t>
      </w:r>
      <w:r>
        <w:rPr>
          <w:spacing w:val="-13"/>
          <w:sz w:val="24"/>
        </w:rPr>
        <w:t xml:space="preserve"> </w:t>
      </w:r>
      <w:r>
        <w:rPr>
          <w:sz w:val="24"/>
        </w:rPr>
        <w:t>the rise in average unit cost.</w:t>
      </w:r>
    </w:p>
    <w:p w14:paraId="51DE90FD" w14:textId="77777777" w:rsidR="0010369C" w:rsidRDefault="0010369C">
      <w:pPr>
        <w:pStyle w:val="BodyText"/>
        <w:rPr>
          <w:sz w:val="20"/>
        </w:rPr>
      </w:pPr>
    </w:p>
    <w:p w14:paraId="51DE90FE" w14:textId="77777777" w:rsidR="0010369C" w:rsidRDefault="0010369C">
      <w:pPr>
        <w:pStyle w:val="BodyText"/>
        <w:rPr>
          <w:sz w:val="20"/>
        </w:rPr>
      </w:pPr>
    </w:p>
    <w:p w14:paraId="51DE90FF" w14:textId="77777777" w:rsidR="0010369C" w:rsidRDefault="0010369C">
      <w:pPr>
        <w:pStyle w:val="BodyText"/>
        <w:rPr>
          <w:sz w:val="20"/>
        </w:rPr>
      </w:pPr>
    </w:p>
    <w:p w14:paraId="51DE9100" w14:textId="77777777" w:rsidR="0010369C" w:rsidRDefault="0010369C">
      <w:pPr>
        <w:pStyle w:val="BodyText"/>
        <w:rPr>
          <w:sz w:val="20"/>
        </w:rPr>
      </w:pPr>
    </w:p>
    <w:p w14:paraId="51DE9101" w14:textId="77777777" w:rsidR="0010369C" w:rsidRDefault="0010369C">
      <w:pPr>
        <w:pStyle w:val="BodyText"/>
        <w:rPr>
          <w:sz w:val="20"/>
        </w:rPr>
      </w:pPr>
    </w:p>
    <w:p w14:paraId="51DE9102" w14:textId="77777777" w:rsidR="0010369C" w:rsidRDefault="0010369C">
      <w:pPr>
        <w:pStyle w:val="BodyText"/>
        <w:rPr>
          <w:sz w:val="20"/>
        </w:rPr>
      </w:pPr>
    </w:p>
    <w:p w14:paraId="51DE9103" w14:textId="77777777" w:rsidR="0010369C" w:rsidRDefault="0010369C">
      <w:pPr>
        <w:pStyle w:val="BodyText"/>
        <w:rPr>
          <w:sz w:val="20"/>
        </w:rPr>
      </w:pPr>
    </w:p>
    <w:p w14:paraId="51DE9104" w14:textId="77777777" w:rsidR="0010369C" w:rsidRDefault="0010369C">
      <w:pPr>
        <w:pStyle w:val="BodyText"/>
        <w:rPr>
          <w:sz w:val="20"/>
        </w:rPr>
      </w:pPr>
    </w:p>
    <w:p w14:paraId="51DE9105" w14:textId="77777777" w:rsidR="0010369C" w:rsidRDefault="008E43AE">
      <w:pPr>
        <w:pStyle w:val="BodyText"/>
        <w:spacing w:before="8"/>
        <w:rPr>
          <w:sz w:val="29"/>
        </w:rPr>
      </w:pPr>
      <w:r>
        <w:pict w14:anchorId="51DEA549">
          <v:rect id="docshape1121" o:spid="_x0000_s1271" style="position:absolute;margin-left:70.9pt;margin-top:19.35pt;width:2in;height:.8pt;z-index:-250803712;mso-wrap-distance-left:0;mso-wrap-distance-right:0;mso-position-horizontal-relative:page" fillcolor="black" stroked="f">
            <w10:wrap type="topAndBottom" anchorx="page"/>
          </v:rect>
        </w:pict>
      </w:r>
    </w:p>
    <w:p w14:paraId="51DE9106" w14:textId="77777777" w:rsidR="0010369C" w:rsidRDefault="008E43AE">
      <w:pPr>
        <w:spacing w:before="109"/>
        <w:ind w:left="238"/>
        <w:jc w:val="both"/>
        <w:rPr>
          <w:sz w:val="18"/>
        </w:rPr>
      </w:pPr>
      <w:r>
        <w:rPr>
          <w:sz w:val="18"/>
          <w:vertAlign w:val="superscript"/>
        </w:rPr>
        <w:t>754</w:t>
      </w:r>
      <w:r>
        <w:rPr>
          <w:spacing w:val="-9"/>
          <w:sz w:val="18"/>
        </w:rPr>
        <w:t xml:space="preserve"> </w:t>
      </w:r>
      <w:r>
        <w:rPr>
          <w:sz w:val="18"/>
        </w:rPr>
        <w:t>Anti‐Dumping</w:t>
      </w:r>
      <w:r>
        <w:rPr>
          <w:spacing w:val="-9"/>
          <w:sz w:val="18"/>
        </w:rPr>
        <w:t xml:space="preserve"> </w:t>
      </w:r>
      <w:r>
        <w:rPr>
          <w:sz w:val="18"/>
        </w:rPr>
        <w:t>Final</w:t>
      </w:r>
      <w:r>
        <w:rPr>
          <w:spacing w:val="-9"/>
          <w:sz w:val="18"/>
        </w:rPr>
        <w:t xml:space="preserve"> </w:t>
      </w:r>
      <w:r>
        <w:rPr>
          <w:sz w:val="18"/>
        </w:rPr>
        <w:t>Determination</w:t>
      </w:r>
      <w:r>
        <w:rPr>
          <w:spacing w:val="-8"/>
          <w:sz w:val="18"/>
        </w:rPr>
        <w:t xml:space="preserve"> </w:t>
      </w:r>
      <w:r>
        <w:rPr>
          <w:sz w:val="18"/>
        </w:rPr>
        <w:t>(Exhibit</w:t>
      </w:r>
      <w:r>
        <w:rPr>
          <w:spacing w:val="-9"/>
          <w:sz w:val="18"/>
        </w:rPr>
        <w:t xml:space="preserve"> </w:t>
      </w:r>
      <w:r>
        <w:rPr>
          <w:sz w:val="18"/>
        </w:rPr>
        <w:t>AUS‐2),</w:t>
      </w:r>
      <w:r>
        <w:rPr>
          <w:spacing w:val="-9"/>
          <w:sz w:val="18"/>
        </w:rPr>
        <w:t xml:space="preserve"> </w:t>
      </w:r>
      <w:r>
        <w:rPr>
          <w:sz w:val="18"/>
        </w:rPr>
        <w:t>p.</w:t>
      </w:r>
      <w:r>
        <w:rPr>
          <w:spacing w:val="-9"/>
          <w:sz w:val="18"/>
        </w:rPr>
        <w:t xml:space="preserve"> </w:t>
      </w:r>
      <w:r>
        <w:rPr>
          <w:spacing w:val="-4"/>
          <w:sz w:val="18"/>
        </w:rPr>
        <w:t>130.</w:t>
      </w:r>
    </w:p>
    <w:p w14:paraId="51DE9107" w14:textId="77777777" w:rsidR="0010369C" w:rsidRDefault="008E43AE">
      <w:pPr>
        <w:ind w:left="237" w:right="613" w:firstLine="1"/>
        <w:jc w:val="both"/>
        <w:rPr>
          <w:sz w:val="18"/>
        </w:rPr>
      </w:pPr>
      <w:r>
        <w:rPr>
          <w:sz w:val="18"/>
          <w:vertAlign w:val="superscript"/>
        </w:rPr>
        <w:t>755</w:t>
      </w:r>
      <w:r>
        <w:rPr>
          <w:sz w:val="18"/>
        </w:rPr>
        <w:t xml:space="preserve"> For end‐to‐end domestic price increase percentage see Anti‐Dumping Final Determination (Exhibit AUS‐2), pp. 120, 136. Australia has been able to replicate this percentage using the formula: (2019 domestic price – 2015 domestic price)/2015 domestic price. </w:t>
      </w:r>
      <w:r>
        <w:rPr>
          <w:sz w:val="18"/>
        </w:rPr>
        <w:t xml:space="preserve">Australia has calculated the RMB/kl end‐to‐end price difference using the formula: 2019 domestic price – 2015 domestic price. For domestic price figures see Anti‐Dumping Final Determination (Exhibit AUS‐2), pp. 114, 120, 125, </w:t>
      </w:r>
      <w:r>
        <w:rPr>
          <w:spacing w:val="-4"/>
          <w:sz w:val="18"/>
        </w:rPr>
        <w:t>149.</w:t>
      </w:r>
    </w:p>
    <w:p w14:paraId="51DE9108" w14:textId="77777777" w:rsidR="0010369C" w:rsidRDefault="008E43AE">
      <w:pPr>
        <w:ind w:left="236" w:right="613" w:firstLine="1"/>
        <w:jc w:val="both"/>
        <w:rPr>
          <w:sz w:val="18"/>
        </w:rPr>
      </w:pPr>
      <w:r>
        <w:rPr>
          <w:sz w:val="18"/>
          <w:vertAlign w:val="superscript"/>
        </w:rPr>
        <w:t>756</w:t>
      </w:r>
      <w:r>
        <w:rPr>
          <w:sz w:val="18"/>
        </w:rPr>
        <w:t xml:space="preserve"> Australia has relied </w:t>
      </w:r>
      <w:r>
        <w:rPr>
          <w:sz w:val="18"/>
        </w:rPr>
        <w:t>on the yearly domestic price change rates calculated by MOFCOM, see Anti‐Dumping Final Determination (Exhibit AUS‐2), pp. 114, 125, 149. Australia has been able to replicate these percentages using the formula: (domestic</w:t>
      </w:r>
      <w:r>
        <w:rPr>
          <w:spacing w:val="-5"/>
          <w:sz w:val="18"/>
        </w:rPr>
        <w:t xml:space="preserve"> </w:t>
      </w:r>
      <w:r>
        <w:rPr>
          <w:sz w:val="18"/>
        </w:rPr>
        <w:t>price</w:t>
      </w:r>
      <w:r>
        <w:rPr>
          <w:spacing w:val="-4"/>
          <w:sz w:val="18"/>
        </w:rPr>
        <w:t xml:space="preserve"> </w:t>
      </w:r>
      <w:r>
        <w:rPr>
          <w:sz w:val="18"/>
        </w:rPr>
        <w:t>–</w:t>
      </w:r>
      <w:r>
        <w:rPr>
          <w:spacing w:val="-5"/>
          <w:sz w:val="18"/>
        </w:rPr>
        <w:t xml:space="preserve"> </w:t>
      </w:r>
      <w:r>
        <w:rPr>
          <w:sz w:val="18"/>
        </w:rPr>
        <w:t>domestic</w:t>
      </w:r>
      <w:r>
        <w:rPr>
          <w:spacing w:val="-4"/>
          <w:sz w:val="18"/>
        </w:rPr>
        <w:t xml:space="preserve"> </w:t>
      </w:r>
      <w:r>
        <w:rPr>
          <w:sz w:val="18"/>
        </w:rPr>
        <w:t>price</w:t>
      </w:r>
      <w:r>
        <w:rPr>
          <w:spacing w:val="-4"/>
          <w:sz w:val="18"/>
        </w:rPr>
        <w:t xml:space="preserve"> </w:t>
      </w:r>
      <w:r>
        <w:rPr>
          <w:sz w:val="18"/>
        </w:rPr>
        <w:t>of</w:t>
      </w:r>
      <w:r>
        <w:rPr>
          <w:spacing w:val="-4"/>
          <w:sz w:val="18"/>
        </w:rPr>
        <w:t xml:space="preserve"> </w:t>
      </w:r>
      <w:r>
        <w:rPr>
          <w:sz w:val="18"/>
        </w:rPr>
        <w:t>previous</w:t>
      </w:r>
      <w:r>
        <w:rPr>
          <w:spacing w:val="-4"/>
          <w:sz w:val="18"/>
        </w:rPr>
        <w:t xml:space="preserve"> </w:t>
      </w:r>
      <w:r>
        <w:rPr>
          <w:sz w:val="18"/>
        </w:rPr>
        <w:t>year)</w:t>
      </w:r>
      <w:r>
        <w:rPr>
          <w:spacing w:val="-4"/>
          <w:sz w:val="18"/>
        </w:rPr>
        <w:t xml:space="preserve"> </w:t>
      </w:r>
      <w:r>
        <w:rPr>
          <w:sz w:val="18"/>
        </w:rPr>
        <w:t>/</w:t>
      </w:r>
      <w:r>
        <w:rPr>
          <w:spacing w:val="-5"/>
          <w:sz w:val="18"/>
        </w:rPr>
        <w:t xml:space="preserve"> </w:t>
      </w:r>
      <w:r>
        <w:rPr>
          <w:sz w:val="18"/>
        </w:rPr>
        <w:t>domestic</w:t>
      </w:r>
      <w:r>
        <w:rPr>
          <w:spacing w:val="-5"/>
          <w:sz w:val="18"/>
        </w:rPr>
        <w:t xml:space="preserve"> </w:t>
      </w:r>
      <w:r>
        <w:rPr>
          <w:sz w:val="18"/>
        </w:rPr>
        <w:t>price</w:t>
      </w:r>
      <w:r>
        <w:rPr>
          <w:spacing w:val="-4"/>
          <w:sz w:val="18"/>
        </w:rPr>
        <w:t xml:space="preserve"> </w:t>
      </w:r>
      <w:r>
        <w:rPr>
          <w:sz w:val="18"/>
        </w:rPr>
        <w:t>of</w:t>
      </w:r>
      <w:r>
        <w:rPr>
          <w:spacing w:val="-4"/>
          <w:sz w:val="18"/>
        </w:rPr>
        <w:t xml:space="preserve"> </w:t>
      </w:r>
      <w:r>
        <w:rPr>
          <w:sz w:val="18"/>
        </w:rPr>
        <w:t>previous</w:t>
      </w:r>
      <w:r>
        <w:rPr>
          <w:spacing w:val="-4"/>
          <w:sz w:val="18"/>
        </w:rPr>
        <w:t xml:space="preserve"> </w:t>
      </w:r>
      <w:r>
        <w:rPr>
          <w:sz w:val="18"/>
        </w:rPr>
        <w:t>year.</w:t>
      </w:r>
      <w:r>
        <w:rPr>
          <w:spacing w:val="-5"/>
          <w:sz w:val="18"/>
        </w:rPr>
        <w:t xml:space="preserve"> </w:t>
      </w:r>
      <w:r>
        <w:rPr>
          <w:sz w:val="18"/>
        </w:rPr>
        <w:t>Australia</w:t>
      </w:r>
      <w:r>
        <w:rPr>
          <w:spacing w:val="-5"/>
          <w:sz w:val="18"/>
        </w:rPr>
        <w:t xml:space="preserve"> </w:t>
      </w:r>
      <w:r>
        <w:rPr>
          <w:sz w:val="18"/>
        </w:rPr>
        <w:t>has</w:t>
      </w:r>
      <w:r>
        <w:rPr>
          <w:spacing w:val="-4"/>
          <w:sz w:val="18"/>
        </w:rPr>
        <w:t xml:space="preserve"> </w:t>
      </w:r>
      <w:r>
        <w:rPr>
          <w:sz w:val="18"/>
        </w:rPr>
        <w:t>calculated</w:t>
      </w:r>
      <w:r>
        <w:rPr>
          <w:spacing w:val="-5"/>
          <w:sz w:val="18"/>
        </w:rPr>
        <w:t xml:space="preserve"> </w:t>
      </w:r>
      <w:r>
        <w:rPr>
          <w:sz w:val="18"/>
        </w:rPr>
        <w:t>the</w:t>
      </w:r>
      <w:r>
        <w:rPr>
          <w:spacing w:val="-4"/>
          <w:sz w:val="18"/>
        </w:rPr>
        <w:t xml:space="preserve"> </w:t>
      </w:r>
      <w:r>
        <w:rPr>
          <w:sz w:val="18"/>
        </w:rPr>
        <w:t>year</w:t>
      </w:r>
      <w:r>
        <w:rPr>
          <w:spacing w:val="-5"/>
          <w:sz w:val="18"/>
        </w:rPr>
        <w:t xml:space="preserve"> </w:t>
      </w:r>
      <w:r>
        <w:rPr>
          <w:sz w:val="18"/>
        </w:rPr>
        <w:t>to</w:t>
      </w:r>
      <w:r>
        <w:rPr>
          <w:spacing w:val="-5"/>
          <w:sz w:val="18"/>
        </w:rPr>
        <w:t xml:space="preserve"> </w:t>
      </w:r>
      <w:r>
        <w:rPr>
          <w:sz w:val="18"/>
        </w:rPr>
        <w:t>year change</w:t>
      </w:r>
      <w:r>
        <w:rPr>
          <w:spacing w:val="-7"/>
          <w:sz w:val="18"/>
        </w:rPr>
        <w:t xml:space="preserve"> </w:t>
      </w:r>
      <w:r>
        <w:rPr>
          <w:sz w:val="18"/>
        </w:rPr>
        <w:t>rate</w:t>
      </w:r>
      <w:r>
        <w:rPr>
          <w:spacing w:val="-7"/>
          <w:sz w:val="18"/>
        </w:rPr>
        <w:t xml:space="preserve"> </w:t>
      </w:r>
      <w:r>
        <w:rPr>
          <w:sz w:val="18"/>
        </w:rPr>
        <w:t>for</w:t>
      </w:r>
      <w:r>
        <w:rPr>
          <w:spacing w:val="-9"/>
          <w:sz w:val="18"/>
        </w:rPr>
        <w:t xml:space="preserve"> </w:t>
      </w:r>
      <w:r>
        <w:rPr>
          <w:sz w:val="18"/>
        </w:rPr>
        <w:t>unit</w:t>
      </w:r>
      <w:r>
        <w:rPr>
          <w:spacing w:val="-8"/>
          <w:sz w:val="18"/>
        </w:rPr>
        <w:t xml:space="preserve"> </w:t>
      </w:r>
      <w:r>
        <w:rPr>
          <w:sz w:val="18"/>
        </w:rPr>
        <w:t>costs</w:t>
      </w:r>
      <w:r>
        <w:rPr>
          <w:spacing w:val="-7"/>
          <w:sz w:val="18"/>
        </w:rPr>
        <w:t xml:space="preserve"> </w:t>
      </w:r>
      <w:r>
        <w:rPr>
          <w:sz w:val="18"/>
        </w:rPr>
        <w:t>using</w:t>
      </w:r>
      <w:r>
        <w:rPr>
          <w:spacing w:val="-7"/>
          <w:sz w:val="18"/>
        </w:rPr>
        <w:t xml:space="preserve"> </w:t>
      </w:r>
      <w:r>
        <w:rPr>
          <w:sz w:val="18"/>
        </w:rPr>
        <w:t>the</w:t>
      </w:r>
      <w:r>
        <w:rPr>
          <w:spacing w:val="-7"/>
          <w:sz w:val="18"/>
        </w:rPr>
        <w:t xml:space="preserve"> </w:t>
      </w:r>
      <w:r>
        <w:rPr>
          <w:sz w:val="18"/>
        </w:rPr>
        <w:t>formula:</w:t>
      </w:r>
      <w:r>
        <w:rPr>
          <w:spacing w:val="-8"/>
          <w:sz w:val="18"/>
        </w:rPr>
        <w:t xml:space="preserve"> </w:t>
      </w:r>
      <w:r>
        <w:rPr>
          <w:sz w:val="18"/>
        </w:rPr>
        <w:t>(unit</w:t>
      </w:r>
      <w:r>
        <w:rPr>
          <w:spacing w:val="-8"/>
          <w:sz w:val="18"/>
        </w:rPr>
        <w:t xml:space="preserve"> </w:t>
      </w:r>
      <w:r>
        <w:rPr>
          <w:sz w:val="18"/>
        </w:rPr>
        <w:t>cost</w:t>
      </w:r>
      <w:r>
        <w:rPr>
          <w:spacing w:val="-8"/>
          <w:sz w:val="18"/>
        </w:rPr>
        <w:t xml:space="preserve"> </w:t>
      </w:r>
      <w:r>
        <w:rPr>
          <w:sz w:val="18"/>
        </w:rPr>
        <w:t>–</w:t>
      </w:r>
      <w:r>
        <w:rPr>
          <w:spacing w:val="-7"/>
          <w:sz w:val="18"/>
        </w:rPr>
        <w:t xml:space="preserve"> </w:t>
      </w:r>
      <w:r>
        <w:rPr>
          <w:sz w:val="18"/>
        </w:rPr>
        <w:t>unit</w:t>
      </w:r>
      <w:r>
        <w:rPr>
          <w:spacing w:val="-8"/>
          <w:sz w:val="18"/>
        </w:rPr>
        <w:t xml:space="preserve"> </w:t>
      </w:r>
      <w:r>
        <w:rPr>
          <w:sz w:val="18"/>
        </w:rPr>
        <w:t>cost</w:t>
      </w:r>
      <w:r>
        <w:rPr>
          <w:spacing w:val="-8"/>
          <w:sz w:val="18"/>
        </w:rPr>
        <w:t xml:space="preserve"> </w:t>
      </w:r>
      <w:r>
        <w:rPr>
          <w:sz w:val="18"/>
        </w:rPr>
        <w:t>for</w:t>
      </w:r>
      <w:r>
        <w:rPr>
          <w:spacing w:val="-8"/>
          <w:sz w:val="18"/>
        </w:rPr>
        <w:t xml:space="preserve"> </w:t>
      </w:r>
      <w:r>
        <w:rPr>
          <w:sz w:val="18"/>
        </w:rPr>
        <w:t>previous</w:t>
      </w:r>
      <w:r>
        <w:rPr>
          <w:spacing w:val="-7"/>
          <w:sz w:val="18"/>
        </w:rPr>
        <w:t xml:space="preserve"> </w:t>
      </w:r>
      <w:r>
        <w:rPr>
          <w:sz w:val="18"/>
        </w:rPr>
        <w:t>year)/</w:t>
      </w:r>
      <w:r>
        <w:rPr>
          <w:spacing w:val="-8"/>
          <w:sz w:val="18"/>
        </w:rPr>
        <w:t xml:space="preserve"> </w:t>
      </w:r>
      <w:r>
        <w:rPr>
          <w:sz w:val="18"/>
        </w:rPr>
        <w:t>unit</w:t>
      </w:r>
      <w:r>
        <w:rPr>
          <w:spacing w:val="-8"/>
          <w:sz w:val="18"/>
        </w:rPr>
        <w:t xml:space="preserve"> </w:t>
      </w:r>
      <w:r>
        <w:rPr>
          <w:sz w:val="18"/>
        </w:rPr>
        <w:t>cost</w:t>
      </w:r>
      <w:r>
        <w:rPr>
          <w:spacing w:val="-8"/>
          <w:sz w:val="18"/>
        </w:rPr>
        <w:t xml:space="preserve"> </w:t>
      </w:r>
      <w:r>
        <w:rPr>
          <w:sz w:val="18"/>
        </w:rPr>
        <w:t>for</w:t>
      </w:r>
      <w:r>
        <w:rPr>
          <w:spacing w:val="-8"/>
          <w:sz w:val="18"/>
        </w:rPr>
        <w:t xml:space="preserve"> </w:t>
      </w:r>
      <w:r>
        <w:rPr>
          <w:sz w:val="18"/>
        </w:rPr>
        <w:t>previous</w:t>
      </w:r>
      <w:r>
        <w:rPr>
          <w:spacing w:val="-7"/>
          <w:sz w:val="18"/>
        </w:rPr>
        <w:t xml:space="preserve"> </w:t>
      </w:r>
      <w:r>
        <w:rPr>
          <w:sz w:val="18"/>
        </w:rPr>
        <w:t>year.</w:t>
      </w:r>
      <w:r>
        <w:rPr>
          <w:spacing w:val="-9"/>
          <w:sz w:val="18"/>
        </w:rPr>
        <w:t xml:space="preserve"> </w:t>
      </w:r>
      <w:r>
        <w:rPr>
          <w:sz w:val="18"/>
        </w:rPr>
        <w:t>For</w:t>
      </w:r>
      <w:r>
        <w:rPr>
          <w:spacing w:val="-8"/>
          <w:sz w:val="18"/>
        </w:rPr>
        <w:t xml:space="preserve"> </w:t>
      </w:r>
      <w:r>
        <w:rPr>
          <w:sz w:val="18"/>
        </w:rPr>
        <w:t>unit</w:t>
      </w:r>
      <w:r>
        <w:rPr>
          <w:spacing w:val="-8"/>
          <w:sz w:val="18"/>
        </w:rPr>
        <w:t xml:space="preserve"> </w:t>
      </w:r>
      <w:r>
        <w:rPr>
          <w:sz w:val="18"/>
        </w:rPr>
        <w:t>costs see Anti‐Dumping Final Determination (Exhibit AUS‐2), p. 120.</w:t>
      </w:r>
    </w:p>
    <w:p w14:paraId="51DE9109" w14:textId="77777777" w:rsidR="0010369C" w:rsidRDefault="0010369C">
      <w:pPr>
        <w:jc w:val="both"/>
        <w:rPr>
          <w:sz w:val="18"/>
        </w:rPr>
        <w:sectPr w:rsidR="0010369C">
          <w:pgSz w:w="11910" w:h="16840"/>
          <w:pgMar w:top="880" w:right="800" w:bottom="980" w:left="1180" w:header="569" w:footer="788" w:gutter="0"/>
          <w:cols w:space="720"/>
        </w:sectPr>
      </w:pPr>
    </w:p>
    <w:p w14:paraId="51DE910A" w14:textId="77777777" w:rsidR="0010369C" w:rsidRDefault="008E43AE">
      <w:pPr>
        <w:tabs>
          <w:tab w:val="left" w:pos="6426"/>
        </w:tabs>
        <w:ind w:left="238"/>
        <w:rPr>
          <w:sz w:val="20"/>
        </w:rPr>
      </w:pPr>
      <w:r>
        <w:rPr>
          <w:i/>
          <w:sz w:val="20"/>
        </w:rPr>
        <w:lastRenderedPageBreak/>
        <w:t>China</w:t>
      </w:r>
      <w:r>
        <w:rPr>
          <w:i/>
          <w:spacing w:val="-5"/>
          <w:sz w:val="20"/>
        </w:rPr>
        <w:t xml:space="preserve"> </w:t>
      </w:r>
      <w:r>
        <w:rPr>
          <w:i/>
          <w:sz w:val="20"/>
        </w:rPr>
        <w:t>–</w:t>
      </w:r>
      <w:r>
        <w:rPr>
          <w:i/>
          <w:spacing w:val="-5"/>
          <w:sz w:val="20"/>
        </w:rPr>
        <w:t xml:space="preserve"> </w:t>
      </w:r>
      <w:r>
        <w:rPr>
          <w:i/>
          <w:sz w:val="20"/>
        </w:rPr>
        <w:t>Anti‐Dumping</w:t>
      </w:r>
      <w:r>
        <w:rPr>
          <w:i/>
          <w:spacing w:val="-4"/>
          <w:sz w:val="20"/>
        </w:rPr>
        <w:t xml:space="preserve"> </w:t>
      </w:r>
      <w:r>
        <w:rPr>
          <w:i/>
          <w:sz w:val="20"/>
        </w:rPr>
        <w:t>and</w:t>
      </w:r>
      <w:r>
        <w:rPr>
          <w:i/>
          <w:spacing w:val="-5"/>
          <w:sz w:val="20"/>
        </w:rPr>
        <w:t xml:space="preserve"> </w:t>
      </w:r>
      <w:r>
        <w:rPr>
          <w:i/>
          <w:sz w:val="20"/>
        </w:rPr>
        <w:t>Countervailing</w:t>
      </w:r>
      <w:r>
        <w:rPr>
          <w:i/>
          <w:spacing w:val="-5"/>
          <w:sz w:val="20"/>
        </w:rPr>
        <w:t xml:space="preserve"> </w:t>
      </w:r>
      <w:r>
        <w:rPr>
          <w:i/>
          <w:sz w:val="20"/>
        </w:rPr>
        <w:t>Duty</w:t>
      </w:r>
      <w:r>
        <w:rPr>
          <w:i/>
          <w:spacing w:val="-4"/>
          <w:sz w:val="20"/>
        </w:rPr>
        <w:t xml:space="preserve"> </w:t>
      </w:r>
      <w:r>
        <w:rPr>
          <w:i/>
          <w:spacing w:val="-2"/>
          <w:sz w:val="20"/>
        </w:rPr>
        <w:t>Measures</w:t>
      </w:r>
      <w:r>
        <w:rPr>
          <w:i/>
          <w:sz w:val="20"/>
        </w:rPr>
        <w:tab/>
      </w:r>
      <w:r>
        <w:rPr>
          <w:sz w:val="20"/>
        </w:rPr>
        <w:t>Australia's</w:t>
      </w:r>
      <w:r>
        <w:rPr>
          <w:spacing w:val="-7"/>
          <w:sz w:val="20"/>
        </w:rPr>
        <w:t xml:space="preserve"> </w:t>
      </w:r>
      <w:r>
        <w:rPr>
          <w:sz w:val="20"/>
        </w:rPr>
        <w:t>First</w:t>
      </w:r>
      <w:r>
        <w:rPr>
          <w:spacing w:val="-2"/>
          <w:sz w:val="20"/>
        </w:rPr>
        <w:t xml:space="preserve"> </w:t>
      </w:r>
      <w:r>
        <w:rPr>
          <w:sz w:val="20"/>
        </w:rPr>
        <w:t>Written</w:t>
      </w:r>
      <w:r>
        <w:rPr>
          <w:spacing w:val="-2"/>
          <w:sz w:val="20"/>
        </w:rPr>
        <w:t xml:space="preserve"> Submission</w:t>
      </w:r>
    </w:p>
    <w:p w14:paraId="51DE910B" w14:textId="77777777" w:rsidR="0010369C" w:rsidRDefault="008E43AE">
      <w:pPr>
        <w:tabs>
          <w:tab w:val="left" w:pos="8228"/>
        </w:tabs>
        <w:spacing w:before="1"/>
        <w:ind w:left="239"/>
        <w:rPr>
          <w:sz w:val="20"/>
        </w:rPr>
      </w:pPr>
      <w:r>
        <w:rPr>
          <w:i/>
          <w:sz w:val="20"/>
        </w:rPr>
        <w:t>on</w:t>
      </w:r>
      <w:r>
        <w:rPr>
          <w:i/>
          <w:spacing w:val="-1"/>
          <w:sz w:val="20"/>
        </w:rPr>
        <w:t xml:space="preserve"> </w:t>
      </w:r>
      <w:r>
        <w:rPr>
          <w:i/>
          <w:sz w:val="20"/>
        </w:rPr>
        <w:t>Wine</w:t>
      </w:r>
      <w:r>
        <w:rPr>
          <w:i/>
          <w:spacing w:val="-1"/>
          <w:sz w:val="20"/>
        </w:rPr>
        <w:t xml:space="preserve"> </w:t>
      </w:r>
      <w:r>
        <w:rPr>
          <w:i/>
          <w:sz w:val="20"/>
        </w:rPr>
        <w:t>from</w:t>
      </w:r>
      <w:r>
        <w:rPr>
          <w:i/>
          <w:spacing w:val="-3"/>
          <w:sz w:val="20"/>
        </w:rPr>
        <w:t xml:space="preserve"> </w:t>
      </w:r>
      <w:r>
        <w:rPr>
          <w:i/>
          <w:sz w:val="20"/>
        </w:rPr>
        <w:t>Australia</w:t>
      </w:r>
      <w:r>
        <w:rPr>
          <w:i/>
          <w:spacing w:val="-1"/>
          <w:sz w:val="20"/>
        </w:rPr>
        <w:t xml:space="preserve"> </w:t>
      </w:r>
      <w:r>
        <w:rPr>
          <w:spacing w:val="-2"/>
          <w:sz w:val="20"/>
        </w:rPr>
        <w:t>(DS602)</w:t>
      </w:r>
      <w:r>
        <w:rPr>
          <w:sz w:val="20"/>
        </w:rPr>
        <w:tab/>
        <w:t>29</w:t>
      </w:r>
      <w:r>
        <w:rPr>
          <w:spacing w:val="-1"/>
          <w:sz w:val="20"/>
        </w:rPr>
        <w:t xml:space="preserve"> </w:t>
      </w:r>
      <w:r>
        <w:rPr>
          <w:sz w:val="20"/>
        </w:rPr>
        <w:t>April</w:t>
      </w:r>
      <w:r>
        <w:rPr>
          <w:spacing w:val="-2"/>
          <w:sz w:val="20"/>
        </w:rPr>
        <w:t xml:space="preserve"> </w:t>
      </w:r>
      <w:r>
        <w:rPr>
          <w:spacing w:val="-4"/>
          <w:sz w:val="20"/>
        </w:rPr>
        <w:t>2022</w:t>
      </w:r>
    </w:p>
    <w:p w14:paraId="51DE910C" w14:textId="77777777" w:rsidR="0010369C" w:rsidRDefault="008E43AE">
      <w:pPr>
        <w:pStyle w:val="ListParagraph"/>
        <w:numPr>
          <w:ilvl w:val="0"/>
          <w:numId w:val="49"/>
        </w:numPr>
        <w:tabs>
          <w:tab w:val="left" w:pos="1940"/>
          <w:tab w:val="left" w:pos="1941"/>
        </w:tabs>
        <w:spacing w:before="35" w:line="357" w:lineRule="auto"/>
        <w:ind w:left="1940" w:right="613" w:hanging="852"/>
        <w:rPr>
          <w:sz w:val="24"/>
        </w:rPr>
      </w:pPr>
      <w:r>
        <w:rPr>
          <w:sz w:val="24"/>
        </w:rPr>
        <w:t>Despite the average unit cost increases, the sale price of domestic like product was always higher than the unit cost during the Injury POI, suggesting that the sale price was "able to offset the cost rise".</w:t>
      </w:r>
      <w:r>
        <w:rPr>
          <w:sz w:val="24"/>
          <w:vertAlign w:val="superscript"/>
        </w:rPr>
        <w:t>757</w:t>
      </w:r>
    </w:p>
    <w:p w14:paraId="51DE910D" w14:textId="77777777" w:rsidR="0010369C" w:rsidRDefault="008E43AE">
      <w:pPr>
        <w:pStyle w:val="BodyText"/>
        <w:spacing w:before="127" w:line="360" w:lineRule="auto"/>
        <w:ind w:left="237" w:right="613" w:firstLine="851"/>
        <w:jc w:val="both"/>
      </w:pPr>
      <w:r>
        <w:rPr>
          <w:noProof/>
        </w:rPr>
        <w:drawing>
          <wp:anchor distT="0" distB="0" distL="0" distR="0" simplePos="0" relativeHeight="251272704" behindDoc="1" locked="0" layoutInCell="1" allowOverlap="1" wp14:anchorId="51DEA54A" wp14:editId="51DEA54B">
            <wp:simplePos x="0" y="0"/>
            <wp:positionH relativeFrom="page">
              <wp:posOffset>905255</wp:posOffset>
            </wp:positionH>
            <wp:positionV relativeFrom="paragraph">
              <wp:posOffset>124410</wp:posOffset>
            </wp:positionV>
            <wp:extent cx="259079" cy="106679"/>
            <wp:effectExtent l="0" t="0" r="0" b="0"/>
            <wp:wrapNone/>
            <wp:docPr id="1289" name="image6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 name="image666.png"/>
                    <pic:cNvPicPr/>
                  </pic:nvPicPr>
                  <pic:blipFill>
                    <a:blip r:embed="rId868" cstate="print"/>
                    <a:stretch>
                      <a:fillRect/>
                    </a:stretch>
                  </pic:blipFill>
                  <pic:spPr>
                    <a:xfrm>
                      <a:off x="0" y="0"/>
                      <a:ext cx="259079" cy="106679"/>
                    </a:xfrm>
                    <a:prstGeom prst="rect">
                      <a:avLst/>
                    </a:prstGeom>
                  </pic:spPr>
                </pic:pic>
              </a:graphicData>
            </a:graphic>
          </wp:anchor>
        </w:drawing>
      </w:r>
      <w:r>
        <w:t>MOFCOM did not explain why it chose to place significant weight on the increase in the average unit costs and disregard evidence placing that increase in context. MOFCOM did not</w:t>
      </w:r>
      <w:r>
        <w:rPr>
          <w:spacing w:val="-9"/>
        </w:rPr>
        <w:t xml:space="preserve"> </w:t>
      </w:r>
      <w:r>
        <w:t>identify</w:t>
      </w:r>
      <w:r>
        <w:rPr>
          <w:spacing w:val="-10"/>
        </w:rPr>
        <w:t xml:space="preserve"> </w:t>
      </w:r>
      <w:r>
        <w:t>any</w:t>
      </w:r>
      <w:r>
        <w:rPr>
          <w:spacing w:val="-9"/>
        </w:rPr>
        <w:t xml:space="preserve"> </w:t>
      </w:r>
      <w:r>
        <w:t>evidence</w:t>
      </w:r>
      <w:r>
        <w:rPr>
          <w:spacing w:val="-10"/>
        </w:rPr>
        <w:t xml:space="preserve"> </w:t>
      </w:r>
      <w:r>
        <w:t>to</w:t>
      </w:r>
      <w:r>
        <w:rPr>
          <w:spacing w:val="-9"/>
        </w:rPr>
        <w:t xml:space="preserve"> </w:t>
      </w:r>
      <w:r>
        <w:t>support</w:t>
      </w:r>
      <w:r>
        <w:rPr>
          <w:spacing w:val="-11"/>
        </w:rPr>
        <w:t xml:space="preserve"> </w:t>
      </w:r>
      <w:r>
        <w:t>the</w:t>
      </w:r>
      <w:r>
        <w:rPr>
          <w:spacing w:val="-9"/>
        </w:rPr>
        <w:t xml:space="preserve"> </w:t>
      </w:r>
      <w:r>
        <w:t>proposition</w:t>
      </w:r>
      <w:r>
        <w:rPr>
          <w:spacing w:val="-9"/>
        </w:rPr>
        <w:t xml:space="preserve"> </w:t>
      </w:r>
      <w:r>
        <w:t>that</w:t>
      </w:r>
      <w:r>
        <w:rPr>
          <w:spacing w:val="-10"/>
        </w:rPr>
        <w:t xml:space="preserve"> </w:t>
      </w:r>
      <w:r>
        <w:t>the</w:t>
      </w:r>
      <w:r>
        <w:rPr>
          <w:spacing w:val="-10"/>
        </w:rPr>
        <w:t xml:space="preserve"> </w:t>
      </w:r>
      <w:r>
        <w:t>domestic</w:t>
      </w:r>
      <w:r>
        <w:rPr>
          <w:spacing w:val="-7"/>
        </w:rPr>
        <w:t xml:space="preserve"> </w:t>
      </w:r>
      <w:r>
        <w:t>industry</w:t>
      </w:r>
      <w:r>
        <w:rPr>
          <w:spacing w:val="-8"/>
        </w:rPr>
        <w:t xml:space="preserve"> </w:t>
      </w:r>
      <w:r>
        <w:t>wa</w:t>
      </w:r>
      <w:r>
        <w:t>s</w:t>
      </w:r>
      <w:r>
        <w:rPr>
          <w:spacing w:val="-10"/>
        </w:rPr>
        <w:t xml:space="preserve"> </w:t>
      </w:r>
      <w:r>
        <w:t>unable</w:t>
      </w:r>
      <w:r>
        <w:rPr>
          <w:spacing w:val="-9"/>
        </w:rPr>
        <w:t xml:space="preserve"> </w:t>
      </w:r>
      <w:r>
        <w:t xml:space="preserve">to increase its prices in line with its increased costs </w:t>
      </w:r>
      <w:r>
        <w:rPr>
          <w:u w:val="single"/>
        </w:rPr>
        <w:t>because of</w:t>
      </w:r>
      <w:r>
        <w:t xml:space="preserve"> (that is, as a result of) subject imports. Rather, MOFCOM describes the trends related to the subject imports on one hand, and the trends related</w:t>
      </w:r>
      <w:r>
        <w:rPr>
          <w:spacing w:val="-1"/>
        </w:rPr>
        <w:t xml:space="preserve"> </w:t>
      </w:r>
      <w:r>
        <w:t>to the domestic industry on the other hand, but provides no evidence or</w:t>
      </w:r>
      <w:r>
        <w:rPr>
          <w:spacing w:val="-8"/>
        </w:rPr>
        <w:t xml:space="preserve"> </w:t>
      </w:r>
      <w:r>
        <w:t>explanation</w:t>
      </w:r>
      <w:r>
        <w:rPr>
          <w:spacing w:val="-9"/>
        </w:rPr>
        <w:t xml:space="preserve"> </w:t>
      </w:r>
      <w:r>
        <w:t>indicating</w:t>
      </w:r>
      <w:r>
        <w:rPr>
          <w:spacing w:val="-7"/>
        </w:rPr>
        <w:t xml:space="preserve"> </w:t>
      </w:r>
      <w:r>
        <w:t>any</w:t>
      </w:r>
      <w:r>
        <w:rPr>
          <w:spacing w:val="-8"/>
        </w:rPr>
        <w:t xml:space="preserve"> </w:t>
      </w:r>
      <w:r>
        <w:t>relationsh</w:t>
      </w:r>
      <w:r>
        <w:t>ip</w:t>
      </w:r>
      <w:r>
        <w:rPr>
          <w:spacing w:val="-10"/>
        </w:rPr>
        <w:t xml:space="preserve"> </w:t>
      </w:r>
      <w:r>
        <w:t>of</w:t>
      </w:r>
      <w:r>
        <w:rPr>
          <w:spacing w:val="-9"/>
        </w:rPr>
        <w:t xml:space="preserve"> </w:t>
      </w:r>
      <w:r>
        <w:t>cause</w:t>
      </w:r>
      <w:r>
        <w:rPr>
          <w:spacing w:val="-8"/>
        </w:rPr>
        <w:t xml:space="preserve"> </w:t>
      </w:r>
      <w:r>
        <w:t>and</w:t>
      </w:r>
      <w:r>
        <w:rPr>
          <w:spacing w:val="-9"/>
        </w:rPr>
        <w:t xml:space="preserve"> </w:t>
      </w:r>
      <w:r>
        <w:t>effect.</w:t>
      </w:r>
      <w:r>
        <w:rPr>
          <w:spacing w:val="-9"/>
        </w:rPr>
        <w:t xml:space="preserve"> </w:t>
      </w:r>
      <w:r>
        <w:t>There</w:t>
      </w:r>
      <w:r>
        <w:rPr>
          <w:spacing w:val="-8"/>
        </w:rPr>
        <w:t xml:space="preserve"> </w:t>
      </w:r>
      <w:r>
        <w:t>is</w:t>
      </w:r>
      <w:r>
        <w:rPr>
          <w:spacing w:val="-9"/>
        </w:rPr>
        <w:t xml:space="preserve"> </w:t>
      </w:r>
      <w:r>
        <w:t>nothing</w:t>
      </w:r>
      <w:r>
        <w:rPr>
          <w:spacing w:val="-8"/>
        </w:rPr>
        <w:t xml:space="preserve"> </w:t>
      </w:r>
      <w:r>
        <w:t>to</w:t>
      </w:r>
      <w:r>
        <w:rPr>
          <w:spacing w:val="-8"/>
        </w:rPr>
        <w:t xml:space="preserve"> </w:t>
      </w:r>
      <w:r>
        <w:t>suggest</w:t>
      </w:r>
      <w:r>
        <w:rPr>
          <w:spacing w:val="-8"/>
        </w:rPr>
        <w:t xml:space="preserve"> </w:t>
      </w:r>
      <w:r>
        <w:t>that the presence of the subject imports in China's market prevented the domestic industry from further increasing prices of domestic like products. As noted above, this is evidenced by the substantial ga</w:t>
      </w:r>
      <w:r>
        <w:t>p between the average unit price of the basket of subject imports and the average unit price of the basket of like domestic products.</w:t>
      </w:r>
    </w:p>
    <w:p w14:paraId="51DE910E" w14:textId="77777777" w:rsidR="0010369C" w:rsidRDefault="0010369C">
      <w:pPr>
        <w:pStyle w:val="BodyText"/>
        <w:rPr>
          <w:sz w:val="9"/>
        </w:rPr>
      </w:pPr>
    </w:p>
    <w:p w14:paraId="51DE910F" w14:textId="77777777" w:rsidR="0010369C" w:rsidRDefault="008E43AE">
      <w:pPr>
        <w:pStyle w:val="BodyText"/>
        <w:spacing w:before="52"/>
        <w:ind w:left="1089"/>
        <w:jc w:val="both"/>
      </w:pPr>
      <w:r>
        <w:rPr>
          <w:noProof/>
        </w:rPr>
        <w:drawing>
          <wp:anchor distT="0" distB="0" distL="0" distR="0" simplePos="0" relativeHeight="250678784" behindDoc="0" locked="0" layoutInCell="1" allowOverlap="1" wp14:anchorId="51DEA54C" wp14:editId="51DEA54D">
            <wp:simplePos x="0" y="0"/>
            <wp:positionH relativeFrom="page">
              <wp:posOffset>905255</wp:posOffset>
            </wp:positionH>
            <wp:positionV relativeFrom="paragraph">
              <wp:posOffset>80595</wp:posOffset>
            </wp:positionV>
            <wp:extent cx="259079" cy="103631"/>
            <wp:effectExtent l="0" t="0" r="0" b="0"/>
            <wp:wrapNone/>
            <wp:docPr id="1291" name="image6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 name="image667.png"/>
                    <pic:cNvPicPr/>
                  </pic:nvPicPr>
                  <pic:blipFill>
                    <a:blip r:embed="rId869" cstate="print"/>
                    <a:stretch>
                      <a:fillRect/>
                    </a:stretch>
                  </pic:blipFill>
                  <pic:spPr>
                    <a:xfrm>
                      <a:off x="0" y="0"/>
                      <a:ext cx="259079" cy="103631"/>
                    </a:xfrm>
                    <a:prstGeom prst="rect">
                      <a:avLst/>
                    </a:prstGeom>
                  </pic:spPr>
                </pic:pic>
              </a:graphicData>
            </a:graphic>
          </wp:anchor>
        </w:drawing>
      </w:r>
      <w:r>
        <w:t>Fifth,</w:t>
      </w:r>
      <w:r>
        <w:rPr>
          <w:spacing w:val="-8"/>
        </w:rPr>
        <w:t xml:space="preserve"> </w:t>
      </w:r>
      <w:r>
        <w:t>MOFCOM</w:t>
      </w:r>
      <w:r>
        <w:rPr>
          <w:spacing w:val="-8"/>
        </w:rPr>
        <w:t xml:space="preserve"> </w:t>
      </w:r>
      <w:r>
        <w:t>stated</w:t>
      </w:r>
      <w:r>
        <w:rPr>
          <w:spacing w:val="-9"/>
        </w:rPr>
        <w:t xml:space="preserve"> </w:t>
      </w:r>
      <w:r>
        <w:t>in</w:t>
      </w:r>
      <w:r>
        <w:rPr>
          <w:spacing w:val="-9"/>
        </w:rPr>
        <w:t xml:space="preserve"> </w:t>
      </w:r>
      <w:r>
        <w:t>the</w:t>
      </w:r>
      <w:r>
        <w:rPr>
          <w:spacing w:val="-8"/>
        </w:rPr>
        <w:t xml:space="preserve"> </w:t>
      </w:r>
      <w:r>
        <w:t>Final</w:t>
      </w:r>
      <w:r>
        <w:rPr>
          <w:spacing w:val="-7"/>
        </w:rPr>
        <w:t xml:space="preserve"> </w:t>
      </w:r>
      <w:r>
        <w:t>Determination</w:t>
      </w:r>
      <w:r>
        <w:rPr>
          <w:spacing w:val="-8"/>
        </w:rPr>
        <w:t xml:space="preserve"> </w:t>
      </w:r>
      <w:r>
        <w:rPr>
          <w:spacing w:val="-2"/>
        </w:rPr>
        <w:t>that:</w:t>
      </w:r>
    </w:p>
    <w:p w14:paraId="51DE9110" w14:textId="77777777" w:rsidR="0010369C" w:rsidRDefault="0010369C">
      <w:pPr>
        <w:pStyle w:val="BodyText"/>
        <w:rPr>
          <w:sz w:val="25"/>
        </w:rPr>
      </w:pPr>
    </w:p>
    <w:p w14:paraId="51DE9111" w14:textId="77777777" w:rsidR="0010369C" w:rsidRDefault="008E43AE">
      <w:pPr>
        <w:spacing w:line="276" w:lineRule="auto"/>
        <w:ind w:left="1088" w:right="614"/>
        <w:jc w:val="both"/>
        <w:rPr>
          <w:rFonts w:ascii="Arial"/>
          <w:sz w:val="32"/>
        </w:rPr>
      </w:pPr>
      <w:r>
        <w:t>During the injury investigation period, the sales revenue and the</w:t>
      </w:r>
      <w:r>
        <w:t xml:space="preserve"> PBT of domestic like products continued to decline, resulting in the continuous deterioration of the production and operation of such products and in the forced reduction of the employment in the domestic</w:t>
      </w:r>
      <w:r>
        <w:rPr>
          <w:spacing w:val="-7"/>
        </w:rPr>
        <w:t xml:space="preserve"> </w:t>
      </w:r>
      <w:r>
        <w:t>industry,</w:t>
      </w:r>
      <w:r>
        <w:rPr>
          <w:spacing w:val="-7"/>
        </w:rPr>
        <w:t xml:space="preserve"> </w:t>
      </w:r>
      <w:r>
        <w:t>which</w:t>
      </w:r>
      <w:r>
        <w:rPr>
          <w:spacing w:val="-8"/>
        </w:rPr>
        <w:t xml:space="preserve"> </w:t>
      </w:r>
      <w:r>
        <w:t>saw</w:t>
      </w:r>
      <w:r>
        <w:rPr>
          <w:spacing w:val="-8"/>
        </w:rPr>
        <w:t xml:space="preserve"> </w:t>
      </w:r>
      <w:r>
        <w:t>a</w:t>
      </w:r>
      <w:r>
        <w:rPr>
          <w:spacing w:val="-8"/>
        </w:rPr>
        <w:t xml:space="preserve"> </w:t>
      </w:r>
      <w:r>
        <w:t>continuous</w:t>
      </w:r>
      <w:r>
        <w:rPr>
          <w:spacing w:val="-7"/>
        </w:rPr>
        <w:t xml:space="preserve"> </w:t>
      </w:r>
      <w:r>
        <w:t>decline</w:t>
      </w:r>
      <w:r>
        <w:rPr>
          <w:spacing w:val="-7"/>
        </w:rPr>
        <w:t xml:space="preserve"> </w:t>
      </w:r>
      <w:r>
        <w:t>in</w:t>
      </w:r>
      <w:r>
        <w:rPr>
          <w:spacing w:val="-7"/>
        </w:rPr>
        <w:t xml:space="preserve"> </w:t>
      </w:r>
      <w:r>
        <w:t>employ</w:t>
      </w:r>
      <w:r>
        <w:t>ees</w:t>
      </w:r>
      <w:r>
        <w:rPr>
          <w:spacing w:val="-8"/>
        </w:rPr>
        <w:t xml:space="preserve"> </w:t>
      </w:r>
      <w:r>
        <w:t>engaged</w:t>
      </w:r>
      <w:r>
        <w:rPr>
          <w:spacing w:val="-7"/>
        </w:rPr>
        <w:t xml:space="preserve"> </w:t>
      </w:r>
      <w:r>
        <w:t>in</w:t>
      </w:r>
      <w:r>
        <w:rPr>
          <w:spacing w:val="-7"/>
        </w:rPr>
        <w:t xml:space="preserve"> </w:t>
      </w:r>
      <w:r>
        <w:t>such</w:t>
      </w:r>
      <w:r>
        <w:rPr>
          <w:spacing w:val="-8"/>
        </w:rPr>
        <w:t xml:space="preserve"> </w:t>
      </w:r>
      <w:r>
        <w:rPr>
          <w:spacing w:val="-2"/>
        </w:rPr>
        <w:t>products</w:t>
      </w:r>
      <w:r>
        <w:rPr>
          <w:rFonts w:ascii="Arial"/>
          <w:spacing w:val="-2"/>
          <w:sz w:val="32"/>
        </w:rPr>
        <w:t>.</w:t>
      </w:r>
    </w:p>
    <w:p w14:paraId="51DE9112" w14:textId="77777777" w:rsidR="0010369C" w:rsidRDefault="0010369C">
      <w:pPr>
        <w:pStyle w:val="BodyText"/>
        <w:spacing w:before="4"/>
        <w:rPr>
          <w:rFonts w:ascii="Arial"/>
          <w:sz w:val="16"/>
        </w:rPr>
      </w:pPr>
    </w:p>
    <w:p w14:paraId="51DE9113" w14:textId="77777777" w:rsidR="0010369C" w:rsidRDefault="008E43AE">
      <w:pPr>
        <w:pStyle w:val="BodyText"/>
        <w:spacing w:before="52" w:line="360" w:lineRule="auto"/>
        <w:ind w:left="238" w:right="613" w:firstLine="850"/>
        <w:jc w:val="both"/>
      </w:pPr>
      <w:r>
        <w:rPr>
          <w:noProof/>
        </w:rPr>
        <w:drawing>
          <wp:anchor distT="0" distB="0" distL="0" distR="0" simplePos="0" relativeHeight="251273728" behindDoc="1" locked="0" layoutInCell="1" allowOverlap="1" wp14:anchorId="51DEA54E" wp14:editId="51DEA54F">
            <wp:simplePos x="0" y="0"/>
            <wp:positionH relativeFrom="page">
              <wp:posOffset>905255</wp:posOffset>
            </wp:positionH>
            <wp:positionV relativeFrom="paragraph">
              <wp:posOffset>81357</wp:posOffset>
            </wp:positionV>
            <wp:extent cx="259079" cy="103631"/>
            <wp:effectExtent l="0" t="0" r="0" b="0"/>
            <wp:wrapNone/>
            <wp:docPr id="1293" name="image6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 name="image668.png"/>
                    <pic:cNvPicPr/>
                  </pic:nvPicPr>
                  <pic:blipFill>
                    <a:blip r:embed="rId870" cstate="print"/>
                    <a:stretch>
                      <a:fillRect/>
                    </a:stretch>
                  </pic:blipFill>
                  <pic:spPr>
                    <a:xfrm>
                      <a:off x="0" y="0"/>
                      <a:ext cx="259079" cy="103631"/>
                    </a:xfrm>
                    <a:prstGeom prst="rect">
                      <a:avLst/>
                    </a:prstGeom>
                  </pic:spPr>
                </pic:pic>
              </a:graphicData>
            </a:graphic>
          </wp:anchor>
        </w:drawing>
      </w:r>
      <w:r>
        <w:t>In making this statement, MOFCOM ignored evidence on the record that called into question MOFCOM's assertion that the "deterioration of the production and operation" resulted from declining revenue and PBT, including:</w:t>
      </w:r>
    </w:p>
    <w:p w14:paraId="51DE9114" w14:textId="77777777" w:rsidR="0010369C" w:rsidRDefault="008E43AE">
      <w:pPr>
        <w:pStyle w:val="ListParagraph"/>
        <w:numPr>
          <w:ilvl w:val="0"/>
          <w:numId w:val="49"/>
        </w:numPr>
        <w:tabs>
          <w:tab w:val="left" w:pos="1940"/>
          <w:tab w:val="left" w:pos="1941"/>
        </w:tabs>
        <w:spacing w:before="160" w:line="357" w:lineRule="auto"/>
        <w:ind w:right="612"/>
        <w:rPr>
          <w:sz w:val="24"/>
        </w:rPr>
      </w:pPr>
      <w:r>
        <w:rPr>
          <w:sz w:val="24"/>
        </w:rPr>
        <w:t>sales revenue during the Injury POI di</w:t>
      </w:r>
      <w:r>
        <w:rPr>
          <w:sz w:val="24"/>
        </w:rPr>
        <w:t>d not "continue to decline". Rather, sales revenue (RMB) fluctuated year to year, reaching its highest point in 2018.</w:t>
      </w:r>
      <w:r>
        <w:rPr>
          <w:spacing w:val="68"/>
          <w:sz w:val="24"/>
        </w:rPr>
        <w:t xml:space="preserve"> </w:t>
      </w:r>
      <w:r>
        <w:rPr>
          <w:sz w:val="24"/>
        </w:rPr>
        <w:t>It</w:t>
      </w:r>
      <w:r>
        <w:rPr>
          <w:spacing w:val="67"/>
          <w:sz w:val="24"/>
        </w:rPr>
        <w:t xml:space="preserve"> </w:t>
      </w:r>
      <w:r>
        <w:rPr>
          <w:sz w:val="24"/>
        </w:rPr>
        <w:t>then</w:t>
      </w:r>
      <w:r>
        <w:rPr>
          <w:spacing w:val="67"/>
          <w:sz w:val="24"/>
        </w:rPr>
        <w:t xml:space="preserve"> </w:t>
      </w:r>
      <w:r>
        <w:rPr>
          <w:sz w:val="24"/>
        </w:rPr>
        <w:t>experienced</w:t>
      </w:r>
      <w:r>
        <w:rPr>
          <w:spacing w:val="66"/>
          <w:sz w:val="24"/>
        </w:rPr>
        <w:t xml:space="preserve"> </w:t>
      </w:r>
      <w:r>
        <w:rPr>
          <w:sz w:val="24"/>
        </w:rPr>
        <w:t>significant</w:t>
      </w:r>
      <w:r>
        <w:rPr>
          <w:spacing w:val="67"/>
          <w:sz w:val="24"/>
        </w:rPr>
        <w:t xml:space="preserve"> </w:t>
      </w:r>
      <w:r>
        <w:rPr>
          <w:sz w:val="24"/>
        </w:rPr>
        <w:t>decline</w:t>
      </w:r>
      <w:r>
        <w:rPr>
          <w:spacing w:val="67"/>
          <w:sz w:val="24"/>
        </w:rPr>
        <w:t xml:space="preserve"> </w:t>
      </w:r>
      <w:r>
        <w:rPr>
          <w:sz w:val="24"/>
        </w:rPr>
        <w:t>between</w:t>
      </w:r>
      <w:r>
        <w:rPr>
          <w:spacing w:val="67"/>
          <w:sz w:val="24"/>
        </w:rPr>
        <w:t xml:space="preserve"> </w:t>
      </w:r>
      <w:r>
        <w:rPr>
          <w:sz w:val="24"/>
        </w:rPr>
        <w:t>2018</w:t>
      </w:r>
      <w:r>
        <w:rPr>
          <w:spacing w:val="67"/>
          <w:sz w:val="24"/>
        </w:rPr>
        <w:t xml:space="preserve"> </w:t>
      </w:r>
      <w:r>
        <w:rPr>
          <w:sz w:val="24"/>
        </w:rPr>
        <w:t>and</w:t>
      </w:r>
      <w:r>
        <w:rPr>
          <w:spacing w:val="68"/>
          <w:sz w:val="24"/>
        </w:rPr>
        <w:t xml:space="preserve"> </w:t>
      </w:r>
      <w:r>
        <w:rPr>
          <w:sz w:val="24"/>
        </w:rPr>
        <w:t>2019 (‐ 9.76%);</w:t>
      </w:r>
      <w:r>
        <w:rPr>
          <w:sz w:val="24"/>
          <w:vertAlign w:val="superscript"/>
        </w:rPr>
        <w:t>758</w:t>
      </w:r>
    </w:p>
    <w:p w14:paraId="51DE9115" w14:textId="77777777" w:rsidR="0010369C" w:rsidRDefault="0010369C">
      <w:pPr>
        <w:pStyle w:val="BodyText"/>
        <w:rPr>
          <w:sz w:val="20"/>
        </w:rPr>
      </w:pPr>
    </w:p>
    <w:p w14:paraId="51DE9116" w14:textId="77777777" w:rsidR="0010369C" w:rsidRDefault="0010369C">
      <w:pPr>
        <w:pStyle w:val="BodyText"/>
        <w:rPr>
          <w:sz w:val="20"/>
        </w:rPr>
      </w:pPr>
    </w:p>
    <w:p w14:paraId="51DE9117" w14:textId="77777777" w:rsidR="0010369C" w:rsidRDefault="0010369C">
      <w:pPr>
        <w:pStyle w:val="BodyText"/>
        <w:rPr>
          <w:sz w:val="20"/>
        </w:rPr>
      </w:pPr>
    </w:p>
    <w:p w14:paraId="51DE9118" w14:textId="77777777" w:rsidR="0010369C" w:rsidRDefault="0010369C">
      <w:pPr>
        <w:pStyle w:val="BodyText"/>
        <w:rPr>
          <w:sz w:val="20"/>
        </w:rPr>
      </w:pPr>
    </w:p>
    <w:p w14:paraId="51DE9119" w14:textId="77777777" w:rsidR="0010369C" w:rsidRDefault="008E43AE">
      <w:pPr>
        <w:pStyle w:val="BodyText"/>
        <w:spacing w:before="3"/>
        <w:rPr>
          <w:sz w:val="10"/>
        </w:rPr>
      </w:pPr>
      <w:r>
        <w:pict w14:anchorId="51DEA550">
          <v:rect id="docshape1122" o:spid="_x0000_s1270" style="position:absolute;margin-left:70.9pt;margin-top:7.45pt;width:2in;height:.8pt;z-index:-250802688;mso-wrap-distance-left:0;mso-wrap-distance-right:0;mso-position-horizontal-relative:page" fillcolor="black" stroked="f">
            <w10:wrap type="topAndBottom" anchorx="page"/>
          </v:rect>
        </w:pict>
      </w:r>
    </w:p>
    <w:p w14:paraId="51DE911A" w14:textId="77777777" w:rsidR="0010369C" w:rsidRDefault="008E43AE">
      <w:pPr>
        <w:spacing w:before="110"/>
        <w:ind w:left="239" w:right="611" w:hanging="1"/>
        <w:jc w:val="both"/>
        <w:rPr>
          <w:sz w:val="18"/>
        </w:rPr>
      </w:pPr>
      <w:r>
        <w:rPr>
          <w:sz w:val="18"/>
          <w:vertAlign w:val="superscript"/>
        </w:rPr>
        <w:t>757</w:t>
      </w:r>
      <w:r>
        <w:rPr>
          <w:sz w:val="18"/>
        </w:rPr>
        <w:t xml:space="preserve"> Anti‐Dumping Final Determination (Exhibit AUS‐2), p.</w:t>
      </w:r>
      <w:r>
        <w:rPr>
          <w:sz w:val="18"/>
        </w:rPr>
        <w:t xml:space="preserve"> 130. For domestic sale price figures see Anti‐Dumping Final Determination (Exhibit AUS‐2), pp. 114, 120, 125, 149; For unit cost figures see Anti‐Dumping Final Determination (Exhibit AUS‐2), p. 120.</w:t>
      </w:r>
    </w:p>
    <w:p w14:paraId="51DE911B" w14:textId="77777777" w:rsidR="0010369C" w:rsidRDefault="008E43AE">
      <w:pPr>
        <w:spacing w:line="219" w:lineRule="exact"/>
        <w:ind w:left="238"/>
        <w:jc w:val="both"/>
        <w:rPr>
          <w:sz w:val="18"/>
        </w:rPr>
      </w:pPr>
      <w:r>
        <w:rPr>
          <w:sz w:val="18"/>
          <w:vertAlign w:val="superscript"/>
        </w:rPr>
        <w:t>758</w:t>
      </w:r>
      <w:r>
        <w:rPr>
          <w:spacing w:val="-11"/>
          <w:sz w:val="18"/>
        </w:rPr>
        <w:t xml:space="preserve"> </w:t>
      </w:r>
      <w:r>
        <w:rPr>
          <w:sz w:val="18"/>
        </w:rPr>
        <w:t>Anti‐Dumping</w:t>
      </w:r>
      <w:r>
        <w:rPr>
          <w:spacing w:val="-9"/>
          <w:sz w:val="18"/>
        </w:rPr>
        <w:t xml:space="preserve"> </w:t>
      </w:r>
      <w:r>
        <w:rPr>
          <w:sz w:val="18"/>
        </w:rPr>
        <w:t>Final</w:t>
      </w:r>
      <w:r>
        <w:rPr>
          <w:spacing w:val="-9"/>
          <w:sz w:val="18"/>
        </w:rPr>
        <w:t xml:space="preserve"> </w:t>
      </w:r>
      <w:r>
        <w:rPr>
          <w:sz w:val="18"/>
        </w:rPr>
        <w:t>Determination</w:t>
      </w:r>
      <w:r>
        <w:rPr>
          <w:spacing w:val="-8"/>
          <w:sz w:val="18"/>
        </w:rPr>
        <w:t xml:space="preserve"> </w:t>
      </w:r>
      <w:r>
        <w:rPr>
          <w:sz w:val="18"/>
        </w:rPr>
        <w:t>(Exhibit</w:t>
      </w:r>
      <w:r>
        <w:rPr>
          <w:spacing w:val="-9"/>
          <w:sz w:val="18"/>
        </w:rPr>
        <w:t xml:space="preserve"> </w:t>
      </w:r>
      <w:r>
        <w:rPr>
          <w:sz w:val="18"/>
        </w:rPr>
        <w:t>AUS‐2),</w:t>
      </w:r>
      <w:r>
        <w:rPr>
          <w:spacing w:val="-9"/>
          <w:sz w:val="18"/>
        </w:rPr>
        <w:t xml:space="preserve"> </w:t>
      </w:r>
      <w:r>
        <w:rPr>
          <w:sz w:val="18"/>
        </w:rPr>
        <w:t>pp.</w:t>
      </w:r>
      <w:r>
        <w:rPr>
          <w:spacing w:val="-9"/>
          <w:sz w:val="18"/>
        </w:rPr>
        <w:t xml:space="preserve"> </w:t>
      </w:r>
      <w:r>
        <w:rPr>
          <w:sz w:val="18"/>
        </w:rPr>
        <w:t>125‐126,</w:t>
      </w:r>
      <w:r>
        <w:rPr>
          <w:spacing w:val="-9"/>
          <w:sz w:val="18"/>
        </w:rPr>
        <w:t xml:space="preserve"> </w:t>
      </w:r>
      <w:r>
        <w:rPr>
          <w:spacing w:val="-4"/>
          <w:sz w:val="18"/>
        </w:rPr>
        <w:t>149.</w:t>
      </w:r>
    </w:p>
    <w:p w14:paraId="51DE911C" w14:textId="77777777" w:rsidR="0010369C" w:rsidRDefault="0010369C">
      <w:pPr>
        <w:spacing w:line="219" w:lineRule="exact"/>
        <w:jc w:val="both"/>
        <w:rPr>
          <w:sz w:val="18"/>
        </w:rPr>
        <w:sectPr w:rsidR="0010369C">
          <w:pgSz w:w="11910" w:h="16840"/>
          <w:pgMar w:top="880" w:right="800" w:bottom="980" w:left="1180" w:header="569" w:footer="788" w:gutter="0"/>
          <w:cols w:space="720"/>
        </w:sectPr>
      </w:pPr>
    </w:p>
    <w:p w14:paraId="51DE911D" w14:textId="77777777" w:rsidR="0010369C" w:rsidRDefault="008E43AE">
      <w:pPr>
        <w:tabs>
          <w:tab w:val="left" w:pos="6426"/>
        </w:tabs>
        <w:ind w:left="238"/>
        <w:rPr>
          <w:sz w:val="20"/>
        </w:rPr>
      </w:pPr>
      <w:r>
        <w:rPr>
          <w:i/>
          <w:sz w:val="20"/>
        </w:rPr>
        <w:lastRenderedPageBreak/>
        <w:t>China</w:t>
      </w:r>
      <w:r>
        <w:rPr>
          <w:i/>
          <w:spacing w:val="-5"/>
          <w:sz w:val="20"/>
        </w:rPr>
        <w:t xml:space="preserve"> </w:t>
      </w:r>
      <w:r>
        <w:rPr>
          <w:i/>
          <w:sz w:val="20"/>
        </w:rPr>
        <w:t>–</w:t>
      </w:r>
      <w:r>
        <w:rPr>
          <w:i/>
          <w:spacing w:val="-5"/>
          <w:sz w:val="20"/>
        </w:rPr>
        <w:t xml:space="preserve"> </w:t>
      </w:r>
      <w:r>
        <w:rPr>
          <w:i/>
          <w:sz w:val="20"/>
        </w:rPr>
        <w:t>Anti‐Dumping</w:t>
      </w:r>
      <w:r>
        <w:rPr>
          <w:i/>
          <w:spacing w:val="-4"/>
          <w:sz w:val="20"/>
        </w:rPr>
        <w:t xml:space="preserve"> </w:t>
      </w:r>
      <w:r>
        <w:rPr>
          <w:i/>
          <w:sz w:val="20"/>
        </w:rPr>
        <w:t>and</w:t>
      </w:r>
      <w:r>
        <w:rPr>
          <w:i/>
          <w:spacing w:val="-5"/>
          <w:sz w:val="20"/>
        </w:rPr>
        <w:t xml:space="preserve"> </w:t>
      </w:r>
      <w:r>
        <w:rPr>
          <w:i/>
          <w:sz w:val="20"/>
        </w:rPr>
        <w:t>Countervailing</w:t>
      </w:r>
      <w:r>
        <w:rPr>
          <w:i/>
          <w:spacing w:val="-5"/>
          <w:sz w:val="20"/>
        </w:rPr>
        <w:t xml:space="preserve"> </w:t>
      </w:r>
      <w:r>
        <w:rPr>
          <w:i/>
          <w:sz w:val="20"/>
        </w:rPr>
        <w:t>Duty</w:t>
      </w:r>
      <w:r>
        <w:rPr>
          <w:i/>
          <w:spacing w:val="-4"/>
          <w:sz w:val="20"/>
        </w:rPr>
        <w:t xml:space="preserve"> </w:t>
      </w:r>
      <w:r>
        <w:rPr>
          <w:i/>
          <w:spacing w:val="-2"/>
          <w:sz w:val="20"/>
        </w:rPr>
        <w:t>Measures</w:t>
      </w:r>
      <w:r>
        <w:rPr>
          <w:i/>
          <w:sz w:val="20"/>
        </w:rPr>
        <w:tab/>
      </w:r>
      <w:r>
        <w:rPr>
          <w:sz w:val="20"/>
        </w:rPr>
        <w:t>Australia's</w:t>
      </w:r>
      <w:r>
        <w:rPr>
          <w:spacing w:val="-7"/>
          <w:sz w:val="20"/>
        </w:rPr>
        <w:t xml:space="preserve"> </w:t>
      </w:r>
      <w:r>
        <w:rPr>
          <w:sz w:val="20"/>
        </w:rPr>
        <w:t>First</w:t>
      </w:r>
      <w:r>
        <w:rPr>
          <w:spacing w:val="-2"/>
          <w:sz w:val="20"/>
        </w:rPr>
        <w:t xml:space="preserve"> </w:t>
      </w:r>
      <w:r>
        <w:rPr>
          <w:sz w:val="20"/>
        </w:rPr>
        <w:t>Written</w:t>
      </w:r>
      <w:r>
        <w:rPr>
          <w:spacing w:val="-2"/>
          <w:sz w:val="20"/>
        </w:rPr>
        <w:t xml:space="preserve"> Submission</w:t>
      </w:r>
    </w:p>
    <w:p w14:paraId="51DE911E" w14:textId="77777777" w:rsidR="0010369C" w:rsidRDefault="008E43AE">
      <w:pPr>
        <w:tabs>
          <w:tab w:val="left" w:pos="8228"/>
        </w:tabs>
        <w:spacing w:before="1"/>
        <w:ind w:left="239"/>
        <w:rPr>
          <w:sz w:val="20"/>
        </w:rPr>
      </w:pPr>
      <w:r>
        <w:rPr>
          <w:i/>
          <w:sz w:val="20"/>
        </w:rPr>
        <w:t>on</w:t>
      </w:r>
      <w:r>
        <w:rPr>
          <w:i/>
          <w:spacing w:val="-1"/>
          <w:sz w:val="20"/>
        </w:rPr>
        <w:t xml:space="preserve"> </w:t>
      </w:r>
      <w:r>
        <w:rPr>
          <w:i/>
          <w:sz w:val="20"/>
        </w:rPr>
        <w:t>Wine</w:t>
      </w:r>
      <w:r>
        <w:rPr>
          <w:i/>
          <w:spacing w:val="-1"/>
          <w:sz w:val="20"/>
        </w:rPr>
        <w:t xml:space="preserve"> </w:t>
      </w:r>
      <w:r>
        <w:rPr>
          <w:i/>
          <w:sz w:val="20"/>
        </w:rPr>
        <w:t>from</w:t>
      </w:r>
      <w:r>
        <w:rPr>
          <w:i/>
          <w:spacing w:val="-3"/>
          <w:sz w:val="20"/>
        </w:rPr>
        <w:t xml:space="preserve"> </w:t>
      </w:r>
      <w:r>
        <w:rPr>
          <w:i/>
          <w:sz w:val="20"/>
        </w:rPr>
        <w:t>Australia</w:t>
      </w:r>
      <w:r>
        <w:rPr>
          <w:i/>
          <w:spacing w:val="-1"/>
          <w:sz w:val="20"/>
        </w:rPr>
        <w:t xml:space="preserve"> </w:t>
      </w:r>
      <w:r>
        <w:rPr>
          <w:spacing w:val="-2"/>
          <w:sz w:val="20"/>
        </w:rPr>
        <w:t>(DS602)</w:t>
      </w:r>
      <w:r>
        <w:rPr>
          <w:sz w:val="20"/>
        </w:rPr>
        <w:tab/>
        <w:t>29</w:t>
      </w:r>
      <w:r>
        <w:rPr>
          <w:spacing w:val="-1"/>
          <w:sz w:val="20"/>
        </w:rPr>
        <w:t xml:space="preserve"> </w:t>
      </w:r>
      <w:r>
        <w:rPr>
          <w:sz w:val="20"/>
        </w:rPr>
        <w:t>April</w:t>
      </w:r>
      <w:r>
        <w:rPr>
          <w:spacing w:val="-2"/>
          <w:sz w:val="20"/>
        </w:rPr>
        <w:t xml:space="preserve"> </w:t>
      </w:r>
      <w:r>
        <w:rPr>
          <w:spacing w:val="-4"/>
          <w:sz w:val="20"/>
        </w:rPr>
        <w:t>2022</w:t>
      </w:r>
    </w:p>
    <w:p w14:paraId="51DE911F" w14:textId="77777777" w:rsidR="0010369C" w:rsidRDefault="008E43AE">
      <w:pPr>
        <w:pStyle w:val="ListParagraph"/>
        <w:numPr>
          <w:ilvl w:val="0"/>
          <w:numId w:val="49"/>
        </w:numPr>
        <w:tabs>
          <w:tab w:val="left" w:pos="1940"/>
          <w:tab w:val="left" w:pos="1941"/>
        </w:tabs>
        <w:spacing w:before="35" w:line="357" w:lineRule="auto"/>
        <w:ind w:right="614"/>
        <w:rPr>
          <w:sz w:val="24"/>
        </w:rPr>
      </w:pPr>
      <w:r>
        <w:rPr>
          <w:sz w:val="24"/>
        </w:rPr>
        <w:t xml:space="preserve">there was significant idle production capacity and "lots of idle production </w:t>
      </w:r>
      <w:r>
        <w:rPr>
          <w:sz w:val="24"/>
        </w:rPr>
        <w:t>equipment"</w:t>
      </w:r>
      <w:r>
        <w:rPr>
          <w:spacing w:val="-10"/>
          <w:sz w:val="24"/>
        </w:rPr>
        <w:t xml:space="preserve"> </w:t>
      </w:r>
      <w:r>
        <w:rPr>
          <w:sz w:val="24"/>
        </w:rPr>
        <w:t>available</w:t>
      </w:r>
      <w:r>
        <w:rPr>
          <w:spacing w:val="-7"/>
          <w:sz w:val="24"/>
        </w:rPr>
        <w:t xml:space="preserve"> </w:t>
      </w:r>
      <w:r>
        <w:rPr>
          <w:sz w:val="24"/>
        </w:rPr>
        <w:t>to</w:t>
      </w:r>
      <w:r>
        <w:rPr>
          <w:spacing w:val="-8"/>
          <w:sz w:val="24"/>
        </w:rPr>
        <w:t xml:space="preserve"> </w:t>
      </w:r>
      <w:r>
        <w:rPr>
          <w:sz w:val="24"/>
        </w:rPr>
        <w:t>the</w:t>
      </w:r>
      <w:r>
        <w:rPr>
          <w:spacing w:val="-7"/>
          <w:sz w:val="24"/>
        </w:rPr>
        <w:t xml:space="preserve"> </w:t>
      </w:r>
      <w:r>
        <w:rPr>
          <w:sz w:val="24"/>
        </w:rPr>
        <w:t>domestic</w:t>
      </w:r>
      <w:r>
        <w:rPr>
          <w:spacing w:val="-6"/>
          <w:sz w:val="24"/>
        </w:rPr>
        <w:t xml:space="preserve"> </w:t>
      </w:r>
      <w:r>
        <w:rPr>
          <w:sz w:val="24"/>
        </w:rPr>
        <w:t>industry</w:t>
      </w:r>
      <w:r>
        <w:rPr>
          <w:spacing w:val="-7"/>
          <w:sz w:val="24"/>
        </w:rPr>
        <w:t xml:space="preserve"> </w:t>
      </w:r>
      <w:r>
        <w:rPr>
          <w:sz w:val="24"/>
        </w:rPr>
        <w:t>throughout</w:t>
      </w:r>
      <w:r>
        <w:rPr>
          <w:spacing w:val="-7"/>
          <w:sz w:val="24"/>
        </w:rPr>
        <w:t xml:space="preserve"> </w:t>
      </w:r>
      <w:r>
        <w:rPr>
          <w:sz w:val="24"/>
        </w:rPr>
        <w:t>the</w:t>
      </w:r>
      <w:r>
        <w:rPr>
          <w:spacing w:val="-7"/>
          <w:sz w:val="24"/>
        </w:rPr>
        <w:t xml:space="preserve"> </w:t>
      </w:r>
      <w:r>
        <w:rPr>
          <w:sz w:val="24"/>
        </w:rPr>
        <w:t>Injury</w:t>
      </w:r>
      <w:r>
        <w:rPr>
          <w:spacing w:val="-7"/>
          <w:sz w:val="24"/>
        </w:rPr>
        <w:t xml:space="preserve"> </w:t>
      </w:r>
      <w:r>
        <w:rPr>
          <w:sz w:val="24"/>
        </w:rPr>
        <w:t>POI;</w:t>
      </w:r>
      <w:r>
        <w:rPr>
          <w:sz w:val="24"/>
          <w:vertAlign w:val="superscript"/>
        </w:rPr>
        <w:t>759</w:t>
      </w:r>
      <w:r>
        <w:rPr>
          <w:sz w:val="24"/>
        </w:rPr>
        <w:t xml:space="preserve"> </w:t>
      </w:r>
      <w:r>
        <w:rPr>
          <w:spacing w:val="-4"/>
          <w:sz w:val="24"/>
        </w:rPr>
        <w:t>and</w:t>
      </w:r>
    </w:p>
    <w:p w14:paraId="51DE9120" w14:textId="77777777" w:rsidR="0010369C" w:rsidRDefault="008E43AE">
      <w:pPr>
        <w:pStyle w:val="ListParagraph"/>
        <w:numPr>
          <w:ilvl w:val="0"/>
          <w:numId w:val="49"/>
        </w:numPr>
        <w:tabs>
          <w:tab w:val="left" w:pos="1939"/>
          <w:tab w:val="left" w:pos="1940"/>
        </w:tabs>
        <w:spacing w:before="128" w:line="355" w:lineRule="auto"/>
        <w:ind w:right="613"/>
        <w:rPr>
          <w:sz w:val="24"/>
        </w:rPr>
      </w:pPr>
      <w:r>
        <w:rPr>
          <w:sz w:val="24"/>
        </w:rPr>
        <w:t>despite declines, the domestic industry remained profitable on a PBT basis throughout the Injury POI.</w:t>
      </w:r>
      <w:r>
        <w:rPr>
          <w:sz w:val="24"/>
          <w:vertAlign w:val="superscript"/>
        </w:rPr>
        <w:t>760</w:t>
      </w:r>
    </w:p>
    <w:p w14:paraId="51DE9121" w14:textId="77777777" w:rsidR="0010369C" w:rsidRDefault="008E43AE">
      <w:pPr>
        <w:pStyle w:val="BodyText"/>
        <w:spacing w:before="130" w:line="360" w:lineRule="auto"/>
        <w:ind w:left="237" w:right="612" w:firstLine="852"/>
        <w:jc w:val="both"/>
      </w:pPr>
      <w:r>
        <w:rPr>
          <w:noProof/>
        </w:rPr>
        <w:drawing>
          <wp:anchor distT="0" distB="0" distL="0" distR="0" simplePos="0" relativeHeight="251274752" behindDoc="1" locked="0" layoutInCell="1" allowOverlap="1" wp14:anchorId="51DEA551" wp14:editId="51DEA552">
            <wp:simplePos x="0" y="0"/>
            <wp:positionH relativeFrom="page">
              <wp:posOffset>905255</wp:posOffset>
            </wp:positionH>
            <wp:positionV relativeFrom="paragraph">
              <wp:posOffset>130125</wp:posOffset>
            </wp:positionV>
            <wp:extent cx="259079" cy="103631"/>
            <wp:effectExtent l="0" t="0" r="0" b="0"/>
            <wp:wrapNone/>
            <wp:docPr id="1295" name="image6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 name="image669.png"/>
                    <pic:cNvPicPr/>
                  </pic:nvPicPr>
                  <pic:blipFill>
                    <a:blip r:embed="rId871" cstate="print"/>
                    <a:stretch>
                      <a:fillRect/>
                    </a:stretch>
                  </pic:blipFill>
                  <pic:spPr>
                    <a:xfrm>
                      <a:off x="0" y="0"/>
                      <a:ext cx="259079" cy="103631"/>
                    </a:xfrm>
                    <a:prstGeom prst="rect">
                      <a:avLst/>
                    </a:prstGeom>
                  </pic:spPr>
                </pic:pic>
              </a:graphicData>
            </a:graphic>
          </wp:anchor>
        </w:drawing>
      </w:r>
      <w:r>
        <w:t>Individually and cumulatively, these errors undermine the veracity and credibility of MOFCOM's evaluation of the relevant economic factors and indices</w:t>
      </w:r>
      <w:r>
        <w:t xml:space="preserve"> having a bearing on the state</w:t>
      </w:r>
      <w:r>
        <w:rPr>
          <w:spacing w:val="-3"/>
        </w:rPr>
        <w:t xml:space="preserve"> </w:t>
      </w:r>
      <w:r>
        <w:t>of</w:t>
      </w:r>
      <w:r>
        <w:rPr>
          <w:spacing w:val="-4"/>
        </w:rPr>
        <w:t xml:space="preserve"> </w:t>
      </w:r>
      <w:r>
        <w:t>the</w:t>
      </w:r>
      <w:r>
        <w:rPr>
          <w:spacing w:val="-4"/>
        </w:rPr>
        <w:t xml:space="preserve"> </w:t>
      </w:r>
      <w:r>
        <w:t>domestic</w:t>
      </w:r>
      <w:r>
        <w:rPr>
          <w:spacing w:val="-2"/>
        </w:rPr>
        <w:t xml:space="preserve"> </w:t>
      </w:r>
      <w:r>
        <w:t>industry</w:t>
      </w:r>
      <w:r>
        <w:rPr>
          <w:spacing w:val="-3"/>
        </w:rPr>
        <w:t xml:space="preserve"> </w:t>
      </w:r>
      <w:r>
        <w:t>under</w:t>
      </w:r>
      <w:r>
        <w:rPr>
          <w:spacing w:val="-3"/>
        </w:rPr>
        <w:t xml:space="preserve"> </w:t>
      </w:r>
      <w:r>
        <w:t>Article</w:t>
      </w:r>
      <w:r>
        <w:rPr>
          <w:spacing w:val="-4"/>
        </w:rPr>
        <w:t xml:space="preserve"> </w:t>
      </w:r>
      <w:r>
        <w:t>3.4,</w:t>
      </w:r>
      <w:r>
        <w:rPr>
          <w:spacing w:val="-5"/>
        </w:rPr>
        <w:t xml:space="preserve"> </w:t>
      </w:r>
      <w:r>
        <w:t>such</w:t>
      </w:r>
      <w:r>
        <w:rPr>
          <w:spacing w:val="-4"/>
        </w:rPr>
        <w:t xml:space="preserve"> </w:t>
      </w:r>
      <w:r>
        <w:t>that</w:t>
      </w:r>
      <w:r>
        <w:rPr>
          <w:spacing w:val="-4"/>
        </w:rPr>
        <w:t xml:space="preserve"> </w:t>
      </w:r>
      <w:r>
        <w:t>it</w:t>
      </w:r>
      <w:r>
        <w:rPr>
          <w:spacing w:val="-4"/>
        </w:rPr>
        <w:t xml:space="preserve"> </w:t>
      </w:r>
      <w:r>
        <w:t>cannot</w:t>
      </w:r>
      <w:r>
        <w:rPr>
          <w:spacing w:val="-4"/>
        </w:rPr>
        <w:t xml:space="preserve"> </w:t>
      </w:r>
      <w:r>
        <w:t>be</w:t>
      </w:r>
      <w:r>
        <w:rPr>
          <w:spacing w:val="-3"/>
        </w:rPr>
        <w:t xml:space="preserve"> </w:t>
      </w:r>
      <w:r>
        <w:t>said</w:t>
      </w:r>
      <w:r>
        <w:rPr>
          <w:spacing w:val="-4"/>
        </w:rPr>
        <w:t xml:space="preserve"> </w:t>
      </w:r>
      <w:r>
        <w:t>to</w:t>
      </w:r>
      <w:r>
        <w:rPr>
          <w:spacing w:val="-3"/>
        </w:rPr>
        <w:t xml:space="preserve"> </w:t>
      </w:r>
      <w:r>
        <w:t>be</w:t>
      </w:r>
      <w:r>
        <w:rPr>
          <w:spacing w:val="-3"/>
        </w:rPr>
        <w:t xml:space="preserve"> </w:t>
      </w:r>
      <w:r>
        <w:t>an</w:t>
      </w:r>
      <w:r>
        <w:rPr>
          <w:spacing w:val="-5"/>
        </w:rPr>
        <w:t xml:space="preserve"> </w:t>
      </w:r>
      <w:r>
        <w:t>objective examination of positive evidence or to provide a satisfactory basis for the injury determination. As a consequence, MOFCOM's examinati</w:t>
      </w:r>
      <w:r>
        <w:t>on of the impact of subject imports on</w:t>
      </w:r>
      <w:r>
        <w:rPr>
          <w:spacing w:val="-2"/>
        </w:rPr>
        <w:t xml:space="preserve"> </w:t>
      </w:r>
      <w:r>
        <w:t>the</w:t>
      </w:r>
      <w:r>
        <w:rPr>
          <w:spacing w:val="-1"/>
        </w:rPr>
        <w:t xml:space="preserve"> </w:t>
      </w:r>
      <w:r>
        <w:t>domestic industry is</w:t>
      </w:r>
      <w:r>
        <w:rPr>
          <w:spacing w:val="-2"/>
        </w:rPr>
        <w:t xml:space="preserve"> </w:t>
      </w:r>
      <w:r>
        <w:t>inconsistent with</w:t>
      </w:r>
      <w:r>
        <w:rPr>
          <w:spacing w:val="-2"/>
        </w:rPr>
        <w:t xml:space="preserve"> </w:t>
      </w:r>
      <w:r>
        <w:t>China's</w:t>
      </w:r>
      <w:r>
        <w:rPr>
          <w:spacing w:val="-2"/>
        </w:rPr>
        <w:t xml:space="preserve"> </w:t>
      </w:r>
      <w:r>
        <w:t>obligations</w:t>
      </w:r>
      <w:r>
        <w:rPr>
          <w:spacing w:val="-1"/>
        </w:rPr>
        <w:t xml:space="preserve"> </w:t>
      </w:r>
      <w:r>
        <w:t>under</w:t>
      </w:r>
      <w:r>
        <w:rPr>
          <w:spacing w:val="-1"/>
        </w:rPr>
        <w:t xml:space="preserve"> </w:t>
      </w:r>
      <w:r>
        <w:t>Articles</w:t>
      </w:r>
      <w:r>
        <w:rPr>
          <w:spacing w:val="-2"/>
        </w:rPr>
        <w:t xml:space="preserve"> </w:t>
      </w:r>
      <w:r>
        <w:t>3.1</w:t>
      </w:r>
      <w:r>
        <w:rPr>
          <w:spacing w:val="-2"/>
        </w:rPr>
        <w:t xml:space="preserve"> </w:t>
      </w:r>
      <w:r>
        <w:t>and</w:t>
      </w:r>
      <w:r>
        <w:rPr>
          <w:spacing w:val="-2"/>
        </w:rPr>
        <w:t xml:space="preserve"> </w:t>
      </w:r>
      <w:r>
        <w:t>3.4</w:t>
      </w:r>
      <w:r>
        <w:rPr>
          <w:spacing w:val="-2"/>
        </w:rPr>
        <w:t xml:space="preserve"> </w:t>
      </w:r>
      <w:r>
        <w:t>of the Anti‐Dumping Agreement.</w:t>
      </w:r>
    </w:p>
    <w:p w14:paraId="51DE9122" w14:textId="77777777" w:rsidR="0010369C" w:rsidRDefault="008E43AE">
      <w:pPr>
        <w:pStyle w:val="Heading4"/>
        <w:numPr>
          <w:ilvl w:val="0"/>
          <w:numId w:val="50"/>
        </w:numPr>
        <w:tabs>
          <w:tab w:val="left" w:pos="2648"/>
          <w:tab w:val="left" w:pos="2649"/>
        </w:tabs>
        <w:spacing w:before="162"/>
        <w:ind w:left="2648" w:hanging="852"/>
        <w:jc w:val="both"/>
      </w:pPr>
      <w:r>
        <w:rPr>
          <w:spacing w:val="-2"/>
        </w:rPr>
        <w:t>Conclusion</w:t>
      </w:r>
    </w:p>
    <w:p w14:paraId="51DE9123" w14:textId="77777777" w:rsidR="0010369C" w:rsidRDefault="0010369C">
      <w:pPr>
        <w:pStyle w:val="BodyText"/>
        <w:spacing w:before="9"/>
        <w:rPr>
          <w:b/>
          <w:sz w:val="20"/>
        </w:rPr>
      </w:pPr>
    </w:p>
    <w:p w14:paraId="51DE9124" w14:textId="77777777" w:rsidR="0010369C" w:rsidRDefault="008E43AE">
      <w:pPr>
        <w:pStyle w:val="BodyText"/>
        <w:spacing w:before="51" w:line="360" w:lineRule="auto"/>
        <w:ind w:left="237" w:right="613" w:firstLine="851"/>
        <w:jc w:val="both"/>
      </w:pPr>
      <w:r>
        <w:rPr>
          <w:noProof/>
        </w:rPr>
        <w:drawing>
          <wp:anchor distT="0" distB="0" distL="0" distR="0" simplePos="0" relativeHeight="251275776" behindDoc="1" locked="0" layoutInCell="1" allowOverlap="1" wp14:anchorId="51DEA553" wp14:editId="51DEA554">
            <wp:simplePos x="0" y="0"/>
            <wp:positionH relativeFrom="page">
              <wp:posOffset>905255</wp:posOffset>
            </wp:positionH>
            <wp:positionV relativeFrom="paragraph">
              <wp:posOffset>79960</wp:posOffset>
            </wp:positionV>
            <wp:extent cx="259079" cy="103631"/>
            <wp:effectExtent l="0" t="0" r="0" b="0"/>
            <wp:wrapNone/>
            <wp:docPr id="1297" name="image6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 name="image670.png"/>
                    <pic:cNvPicPr/>
                  </pic:nvPicPr>
                  <pic:blipFill>
                    <a:blip r:embed="rId872" cstate="print"/>
                    <a:stretch>
                      <a:fillRect/>
                    </a:stretch>
                  </pic:blipFill>
                  <pic:spPr>
                    <a:xfrm>
                      <a:off x="0" y="0"/>
                      <a:ext cx="259079" cy="103631"/>
                    </a:xfrm>
                    <a:prstGeom prst="rect">
                      <a:avLst/>
                    </a:prstGeom>
                  </pic:spPr>
                </pic:pic>
              </a:graphicData>
            </a:graphic>
          </wp:anchor>
        </w:drawing>
      </w:r>
      <w:r>
        <w:t>For the foregoing reasons, MOFCOM's examination of the domestic industry was inconsistent</w:t>
      </w:r>
      <w:r>
        <w:rPr>
          <w:spacing w:val="80"/>
          <w:w w:val="150"/>
        </w:rPr>
        <w:t xml:space="preserve"> </w:t>
      </w:r>
      <w:r>
        <w:t>with</w:t>
      </w:r>
      <w:r>
        <w:rPr>
          <w:spacing w:val="80"/>
          <w:w w:val="150"/>
        </w:rPr>
        <w:t xml:space="preserve"> </w:t>
      </w:r>
      <w:r>
        <w:t>China's</w:t>
      </w:r>
      <w:r>
        <w:rPr>
          <w:spacing w:val="80"/>
          <w:w w:val="150"/>
        </w:rPr>
        <w:t xml:space="preserve"> </w:t>
      </w:r>
      <w:r>
        <w:t>obligations</w:t>
      </w:r>
      <w:r>
        <w:rPr>
          <w:spacing w:val="80"/>
          <w:w w:val="150"/>
        </w:rPr>
        <w:t xml:space="preserve"> </w:t>
      </w:r>
      <w:r>
        <w:t>under</w:t>
      </w:r>
      <w:r>
        <w:rPr>
          <w:spacing w:val="80"/>
          <w:w w:val="150"/>
        </w:rPr>
        <w:t xml:space="preserve"> </w:t>
      </w:r>
      <w:r>
        <w:t>Articles</w:t>
      </w:r>
      <w:r>
        <w:rPr>
          <w:spacing w:val="80"/>
          <w:w w:val="150"/>
        </w:rPr>
        <w:t xml:space="preserve"> </w:t>
      </w:r>
      <w:r>
        <w:t>3.1</w:t>
      </w:r>
      <w:r>
        <w:rPr>
          <w:spacing w:val="80"/>
          <w:w w:val="150"/>
        </w:rPr>
        <w:t xml:space="preserve"> </w:t>
      </w:r>
      <w:r>
        <w:t>and</w:t>
      </w:r>
      <w:r>
        <w:rPr>
          <w:spacing w:val="80"/>
          <w:w w:val="150"/>
        </w:rPr>
        <w:t xml:space="preserve"> </w:t>
      </w:r>
      <w:r>
        <w:t>3.4</w:t>
      </w:r>
      <w:r>
        <w:rPr>
          <w:spacing w:val="80"/>
          <w:w w:val="150"/>
        </w:rPr>
        <w:t xml:space="preserve"> </w:t>
      </w:r>
      <w:r>
        <w:t>of</w:t>
      </w:r>
      <w:r>
        <w:rPr>
          <w:spacing w:val="80"/>
          <w:w w:val="150"/>
        </w:rPr>
        <w:t xml:space="preserve"> </w:t>
      </w:r>
      <w:r>
        <w:t>the Anti‐Dumping Agreement.</w:t>
      </w:r>
    </w:p>
    <w:p w14:paraId="51DE9125" w14:textId="77777777" w:rsidR="0010369C" w:rsidRDefault="008E43AE">
      <w:pPr>
        <w:pStyle w:val="ListParagraph"/>
        <w:numPr>
          <w:ilvl w:val="0"/>
          <w:numId w:val="48"/>
        </w:numPr>
        <w:tabs>
          <w:tab w:val="left" w:pos="1940"/>
          <w:tab w:val="left" w:pos="1941"/>
        </w:tabs>
        <w:spacing w:before="161"/>
        <w:rPr>
          <w:b/>
        </w:rPr>
      </w:pPr>
      <w:r>
        <w:rPr>
          <w:b/>
          <w:sz w:val="28"/>
        </w:rPr>
        <w:t>MOFCOM'</w:t>
      </w:r>
      <w:r>
        <w:rPr>
          <w:b/>
        </w:rPr>
        <w:t>S</w:t>
      </w:r>
      <w:r>
        <w:rPr>
          <w:b/>
          <w:spacing w:val="-13"/>
        </w:rPr>
        <w:t xml:space="preserve"> </w:t>
      </w:r>
      <w:r>
        <w:rPr>
          <w:b/>
        </w:rPr>
        <w:t>CAUSATION</w:t>
      </w:r>
      <w:r>
        <w:rPr>
          <w:b/>
          <w:spacing w:val="-8"/>
        </w:rPr>
        <w:t xml:space="preserve"> </w:t>
      </w:r>
      <w:r>
        <w:rPr>
          <w:b/>
        </w:rPr>
        <w:t>ANALYSIS</w:t>
      </w:r>
      <w:r>
        <w:rPr>
          <w:b/>
          <w:spacing w:val="-9"/>
        </w:rPr>
        <w:t xml:space="preserve"> </w:t>
      </w:r>
      <w:r>
        <w:rPr>
          <w:b/>
        </w:rPr>
        <w:t>IS</w:t>
      </w:r>
      <w:r>
        <w:rPr>
          <w:b/>
          <w:spacing w:val="-8"/>
        </w:rPr>
        <w:t xml:space="preserve"> </w:t>
      </w:r>
      <w:r>
        <w:rPr>
          <w:b/>
        </w:rPr>
        <w:t>INCONSISTENT</w:t>
      </w:r>
      <w:r>
        <w:rPr>
          <w:b/>
          <w:spacing w:val="-10"/>
        </w:rPr>
        <w:t xml:space="preserve"> </w:t>
      </w:r>
      <w:r>
        <w:rPr>
          <w:b/>
        </w:rPr>
        <w:t>WITH</w:t>
      </w:r>
      <w:r>
        <w:rPr>
          <w:b/>
          <w:spacing w:val="-8"/>
        </w:rPr>
        <w:t xml:space="preserve"> </w:t>
      </w:r>
      <w:r>
        <w:rPr>
          <w:b/>
          <w:sz w:val="28"/>
        </w:rPr>
        <w:t>A</w:t>
      </w:r>
      <w:r>
        <w:rPr>
          <w:b/>
        </w:rPr>
        <w:t>RTICLES</w:t>
      </w:r>
      <w:r>
        <w:rPr>
          <w:b/>
          <w:spacing w:val="-8"/>
        </w:rPr>
        <w:t xml:space="preserve"> </w:t>
      </w:r>
      <w:r>
        <w:rPr>
          <w:b/>
          <w:sz w:val="28"/>
        </w:rPr>
        <w:t>3.1</w:t>
      </w:r>
      <w:r>
        <w:rPr>
          <w:b/>
          <w:spacing w:val="-16"/>
          <w:sz w:val="28"/>
        </w:rPr>
        <w:t xml:space="preserve"> </w:t>
      </w:r>
      <w:r>
        <w:rPr>
          <w:b/>
          <w:spacing w:val="-5"/>
        </w:rPr>
        <w:t>AND</w:t>
      </w:r>
    </w:p>
    <w:p w14:paraId="51DE9126" w14:textId="77777777" w:rsidR="0010369C" w:rsidRDefault="008E43AE">
      <w:pPr>
        <w:spacing w:before="171"/>
        <w:ind w:left="1940"/>
        <w:rPr>
          <w:b/>
        </w:rPr>
      </w:pPr>
      <w:r>
        <w:rPr>
          <w:b/>
          <w:sz w:val="28"/>
        </w:rPr>
        <w:t>3.5</w:t>
      </w:r>
      <w:r>
        <w:rPr>
          <w:b/>
          <w:spacing w:val="-16"/>
          <w:sz w:val="28"/>
        </w:rPr>
        <w:t xml:space="preserve"> </w:t>
      </w:r>
      <w:r>
        <w:rPr>
          <w:b/>
        </w:rPr>
        <w:t>OF</w:t>
      </w:r>
      <w:r>
        <w:rPr>
          <w:b/>
          <w:spacing w:val="-13"/>
        </w:rPr>
        <w:t xml:space="preserve"> </w:t>
      </w:r>
      <w:r>
        <w:rPr>
          <w:b/>
        </w:rPr>
        <w:t>THE</w:t>
      </w:r>
      <w:r>
        <w:rPr>
          <w:b/>
          <w:spacing w:val="-8"/>
        </w:rPr>
        <w:t xml:space="preserve"> </w:t>
      </w:r>
      <w:r>
        <w:rPr>
          <w:b/>
          <w:sz w:val="28"/>
        </w:rPr>
        <w:t>A</w:t>
      </w:r>
      <w:r>
        <w:rPr>
          <w:b/>
        </w:rPr>
        <w:t>NTI</w:t>
      </w:r>
      <w:r>
        <w:rPr>
          <w:b/>
          <w:sz w:val="28"/>
        </w:rPr>
        <w:t>‐D</w:t>
      </w:r>
      <w:r>
        <w:rPr>
          <w:b/>
        </w:rPr>
        <w:t>UMPING</w:t>
      </w:r>
      <w:r>
        <w:rPr>
          <w:b/>
          <w:spacing w:val="-9"/>
        </w:rPr>
        <w:t xml:space="preserve"> </w:t>
      </w:r>
      <w:r>
        <w:rPr>
          <w:b/>
          <w:spacing w:val="-2"/>
          <w:sz w:val="28"/>
        </w:rPr>
        <w:t>A</w:t>
      </w:r>
      <w:r>
        <w:rPr>
          <w:b/>
          <w:spacing w:val="-2"/>
        </w:rPr>
        <w:t>GREEMENT</w:t>
      </w:r>
    </w:p>
    <w:p w14:paraId="51DE9127" w14:textId="77777777" w:rsidR="0010369C" w:rsidRDefault="0010369C">
      <w:pPr>
        <w:pStyle w:val="BodyText"/>
        <w:spacing w:before="2"/>
        <w:rPr>
          <w:b/>
          <w:sz w:val="27"/>
        </w:rPr>
      </w:pPr>
    </w:p>
    <w:p w14:paraId="51DE9128" w14:textId="77777777" w:rsidR="0010369C" w:rsidRDefault="008E43AE">
      <w:pPr>
        <w:pStyle w:val="Heading4"/>
        <w:numPr>
          <w:ilvl w:val="1"/>
          <w:numId w:val="48"/>
        </w:numPr>
        <w:tabs>
          <w:tab w:val="left" w:pos="2649"/>
          <w:tab w:val="left" w:pos="2650"/>
        </w:tabs>
        <w:spacing w:before="0"/>
        <w:ind w:hanging="852"/>
      </w:pPr>
      <w:r>
        <w:rPr>
          <w:spacing w:val="-2"/>
        </w:rPr>
        <w:t>Introduction</w:t>
      </w:r>
    </w:p>
    <w:p w14:paraId="51DE9129" w14:textId="77777777" w:rsidR="0010369C" w:rsidRDefault="0010369C">
      <w:pPr>
        <w:pStyle w:val="BodyText"/>
        <w:spacing w:before="10"/>
        <w:rPr>
          <w:b/>
          <w:sz w:val="20"/>
        </w:rPr>
      </w:pPr>
    </w:p>
    <w:p w14:paraId="51DE912A" w14:textId="77777777" w:rsidR="0010369C" w:rsidRDefault="008E43AE">
      <w:pPr>
        <w:pStyle w:val="BodyText"/>
        <w:spacing w:before="52" w:line="360" w:lineRule="auto"/>
        <w:ind w:left="237" w:right="611" w:firstLine="851"/>
        <w:jc w:val="both"/>
      </w:pPr>
      <w:r>
        <w:rPr>
          <w:noProof/>
        </w:rPr>
        <w:drawing>
          <wp:anchor distT="0" distB="0" distL="0" distR="0" simplePos="0" relativeHeight="251276800" behindDoc="1" locked="0" layoutInCell="1" allowOverlap="1" wp14:anchorId="51DEA555" wp14:editId="51DEA556">
            <wp:simplePos x="0" y="0"/>
            <wp:positionH relativeFrom="page">
              <wp:posOffset>905255</wp:posOffset>
            </wp:positionH>
            <wp:positionV relativeFrom="paragraph">
              <wp:posOffset>80595</wp:posOffset>
            </wp:positionV>
            <wp:extent cx="259079" cy="103631"/>
            <wp:effectExtent l="0" t="0" r="0" b="0"/>
            <wp:wrapNone/>
            <wp:docPr id="1299" name="image6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 name="image671.png"/>
                    <pic:cNvPicPr/>
                  </pic:nvPicPr>
                  <pic:blipFill>
                    <a:blip r:embed="rId873" cstate="print"/>
                    <a:stretch>
                      <a:fillRect/>
                    </a:stretch>
                  </pic:blipFill>
                  <pic:spPr>
                    <a:xfrm>
                      <a:off x="0" y="0"/>
                      <a:ext cx="259079" cy="103631"/>
                    </a:xfrm>
                    <a:prstGeom prst="rect">
                      <a:avLst/>
                    </a:prstGeom>
                  </pic:spPr>
                </pic:pic>
              </a:graphicData>
            </a:graphic>
          </wp:anchor>
        </w:drawing>
      </w:r>
      <w:r>
        <w:t>MOFCOM's causation analysis in the Anti‐Dumping Final Determination is inconsistent</w:t>
      </w:r>
      <w:r>
        <w:rPr>
          <w:spacing w:val="80"/>
          <w:w w:val="150"/>
        </w:rPr>
        <w:t xml:space="preserve"> </w:t>
      </w:r>
      <w:r>
        <w:t>with</w:t>
      </w:r>
      <w:r>
        <w:rPr>
          <w:spacing w:val="80"/>
          <w:w w:val="150"/>
        </w:rPr>
        <w:t xml:space="preserve"> </w:t>
      </w:r>
      <w:r>
        <w:t>China's</w:t>
      </w:r>
      <w:r>
        <w:rPr>
          <w:spacing w:val="80"/>
          <w:w w:val="150"/>
        </w:rPr>
        <w:t xml:space="preserve"> </w:t>
      </w:r>
      <w:r>
        <w:t>obligations</w:t>
      </w:r>
      <w:r>
        <w:rPr>
          <w:spacing w:val="80"/>
          <w:w w:val="150"/>
        </w:rPr>
        <w:t xml:space="preserve"> </w:t>
      </w:r>
      <w:r>
        <w:t>under</w:t>
      </w:r>
      <w:r>
        <w:rPr>
          <w:spacing w:val="80"/>
          <w:w w:val="150"/>
        </w:rPr>
        <w:t xml:space="preserve"> </w:t>
      </w:r>
      <w:r>
        <w:t>Articles</w:t>
      </w:r>
      <w:r>
        <w:rPr>
          <w:spacing w:val="80"/>
          <w:w w:val="150"/>
        </w:rPr>
        <w:t xml:space="preserve"> </w:t>
      </w:r>
      <w:r>
        <w:t>3.1</w:t>
      </w:r>
      <w:r>
        <w:rPr>
          <w:spacing w:val="80"/>
          <w:w w:val="150"/>
        </w:rPr>
        <w:t xml:space="preserve"> </w:t>
      </w:r>
      <w:r>
        <w:t>and</w:t>
      </w:r>
      <w:r>
        <w:rPr>
          <w:spacing w:val="80"/>
          <w:w w:val="150"/>
        </w:rPr>
        <w:t xml:space="preserve"> </w:t>
      </w:r>
      <w:r>
        <w:t>3.5</w:t>
      </w:r>
      <w:r>
        <w:rPr>
          <w:spacing w:val="80"/>
          <w:w w:val="150"/>
        </w:rPr>
        <w:t xml:space="preserve"> </w:t>
      </w:r>
      <w:r>
        <w:t>of</w:t>
      </w:r>
      <w:r>
        <w:rPr>
          <w:spacing w:val="80"/>
          <w:w w:val="150"/>
        </w:rPr>
        <w:t xml:space="preserve"> </w:t>
      </w:r>
      <w:r>
        <w:t>the Anti‐Dumping Agreement because MOFCOM:</w:t>
      </w:r>
    </w:p>
    <w:p w14:paraId="51DE912B" w14:textId="77777777" w:rsidR="0010369C" w:rsidRDefault="008E43AE">
      <w:pPr>
        <w:pStyle w:val="ListParagraph"/>
        <w:numPr>
          <w:ilvl w:val="0"/>
          <w:numId w:val="49"/>
        </w:numPr>
        <w:tabs>
          <w:tab w:val="left" w:pos="1939"/>
          <w:tab w:val="left" w:pos="1940"/>
        </w:tabs>
        <w:spacing w:before="160" w:line="357" w:lineRule="auto"/>
        <w:ind w:right="612"/>
        <w:rPr>
          <w:sz w:val="24"/>
        </w:rPr>
      </w:pPr>
      <w:r>
        <w:rPr>
          <w:sz w:val="24"/>
        </w:rPr>
        <w:t>relied on the outcomes of its flawed evaluations under Articles 3.2 and 3.4 of the Anti‐Dumping Agreement, vitiating its causation analysis under Article 3.5;</w:t>
      </w:r>
    </w:p>
    <w:p w14:paraId="51DE912C" w14:textId="77777777" w:rsidR="0010369C" w:rsidRDefault="0010369C">
      <w:pPr>
        <w:pStyle w:val="BodyText"/>
        <w:rPr>
          <w:sz w:val="20"/>
        </w:rPr>
      </w:pPr>
    </w:p>
    <w:p w14:paraId="51DE912D" w14:textId="77777777" w:rsidR="0010369C" w:rsidRDefault="0010369C">
      <w:pPr>
        <w:pStyle w:val="BodyText"/>
        <w:rPr>
          <w:sz w:val="20"/>
        </w:rPr>
      </w:pPr>
    </w:p>
    <w:p w14:paraId="51DE912E" w14:textId="77777777" w:rsidR="0010369C" w:rsidRDefault="0010369C">
      <w:pPr>
        <w:pStyle w:val="BodyText"/>
        <w:rPr>
          <w:sz w:val="20"/>
        </w:rPr>
      </w:pPr>
    </w:p>
    <w:p w14:paraId="51DE912F" w14:textId="77777777" w:rsidR="0010369C" w:rsidRDefault="008E43AE">
      <w:pPr>
        <w:pStyle w:val="BodyText"/>
        <w:spacing w:before="1"/>
        <w:rPr>
          <w:sz w:val="26"/>
        </w:rPr>
      </w:pPr>
      <w:r>
        <w:pict w14:anchorId="51DEA557">
          <v:rect id="docshape1123" o:spid="_x0000_s1269" style="position:absolute;margin-left:70.9pt;margin-top:17.15pt;width:2in;height:.8pt;z-index:-250801664;mso-wrap-distance-left:0;mso-wrap-distance-right:0;mso-position-horizontal-relative:page" fillcolor="black" stroked="f">
            <w10:wrap type="topAndBottom" anchorx="page"/>
          </v:rect>
        </w:pict>
      </w:r>
    </w:p>
    <w:p w14:paraId="51DE9130" w14:textId="77777777" w:rsidR="0010369C" w:rsidRDefault="008E43AE">
      <w:pPr>
        <w:spacing w:before="109"/>
        <w:ind w:left="238"/>
        <w:rPr>
          <w:sz w:val="18"/>
        </w:rPr>
      </w:pPr>
      <w:r>
        <w:rPr>
          <w:sz w:val="18"/>
          <w:vertAlign w:val="superscript"/>
        </w:rPr>
        <w:t>759</w:t>
      </w:r>
      <w:r>
        <w:rPr>
          <w:spacing w:val="-9"/>
          <w:sz w:val="18"/>
        </w:rPr>
        <w:t xml:space="preserve"> </w:t>
      </w:r>
      <w:r>
        <w:rPr>
          <w:sz w:val="18"/>
        </w:rPr>
        <w:t>Anti‐Dumping</w:t>
      </w:r>
      <w:r>
        <w:rPr>
          <w:spacing w:val="-9"/>
          <w:sz w:val="18"/>
        </w:rPr>
        <w:t xml:space="preserve"> </w:t>
      </w:r>
      <w:r>
        <w:rPr>
          <w:sz w:val="18"/>
        </w:rPr>
        <w:t>Final</w:t>
      </w:r>
      <w:r>
        <w:rPr>
          <w:spacing w:val="-9"/>
          <w:sz w:val="18"/>
        </w:rPr>
        <w:t xml:space="preserve"> </w:t>
      </w:r>
      <w:r>
        <w:rPr>
          <w:sz w:val="18"/>
        </w:rPr>
        <w:t>Determination</w:t>
      </w:r>
      <w:r>
        <w:rPr>
          <w:spacing w:val="-8"/>
          <w:sz w:val="18"/>
        </w:rPr>
        <w:t xml:space="preserve"> </w:t>
      </w:r>
      <w:r>
        <w:rPr>
          <w:sz w:val="18"/>
        </w:rPr>
        <w:t>(Exhibit</w:t>
      </w:r>
      <w:r>
        <w:rPr>
          <w:spacing w:val="-9"/>
          <w:sz w:val="18"/>
        </w:rPr>
        <w:t xml:space="preserve"> </w:t>
      </w:r>
      <w:r>
        <w:rPr>
          <w:sz w:val="18"/>
        </w:rPr>
        <w:t>AUS</w:t>
      </w:r>
      <w:r>
        <w:rPr>
          <w:sz w:val="18"/>
        </w:rPr>
        <w:t>‐2),</w:t>
      </w:r>
      <w:r>
        <w:rPr>
          <w:spacing w:val="-9"/>
          <w:sz w:val="18"/>
        </w:rPr>
        <w:t xml:space="preserve"> </w:t>
      </w:r>
      <w:r>
        <w:rPr>
          <w:sz w:val="18"/>
        </w:rPr>
        <w:t>p.</w:t>
      </w:r>
      <w:r>
        <w:rPr>
          <w:spacing w:val="-9"/>
          <w:sz w:val="18"/>
        </w:rPr>
        <w:t xml:space="preserve"> </w:t>
      </w:r>
      <w:r>
        <w:rPr>
          <w:spacing w:val="-4"/>
          <w:sz w:val="18"/>
        </w:rPr>
        <w:t>130.</w:t>
      </w:r>
    </w:p>
    <w:p w14:paraId="51DE9131" w14:textId="77777777" w:rsidR="0010369C" w:rsidRDefault="008E43AE">
      <w:pPr>
        <w:ind w:left="238"/>
        <w:rPr>
          <w:sz w:val="18"/>
        </w:rPr>
      </w:pPr>
      <w:r>
        <w:rPr>
          <w:sz w:val="18"/>
          <w:vertAlign w:val="superscript"/>
        </w:rPr>
        <w:t>760</w:t>
      </w:r>
      <w:r>
        <w:rPr>
          <w:spacing w:val="-9"/>
          <w:sz w:val="18"/>
        </w:rPr>
        <w:t xml:space="preserve"> </w:t>
      </w:r>
      <w:r>
        <w:rPr>
          <w:sz w:val="18"/>
        </w:rPr>
        <w:t>Anti‐Dumping</w:t>
      </w:r>
      <w:r>
        <w:rPr>
          <w:spacing w:val="-8"/>
          <w:sz w:val="18"/>
        </w:rPr>
        <w:t xml:space="preserve"> </w:t>
      </w:r>
      <w:r>
        <w:rPr>
          <w:sz w:val="18"/>
        </w:rPr>
        <w:t>Final</w:t>
      </w:r>
      <w:r>
        <w:rPr>
          <w:spacing w:val="-8"/>
          <w:sz w:val="18"/>
        </w:rPr>
        <w:t xml:space="preserve"> </w:t>
      </w:r>
      <w:r>
        <w:rPr>
          <w:sz w:val="18"/>
        </w:rPr>
        <w:t>Determination</w:t>
      </w:r>
      <w:r>
        <w:rPr>
          <w:spacing w:val="-8"/>
          <w:sz w:val="18"/>
        </w:rPr>
        <w:t xml:space="preserve"> </w:t>
      </w:r>
      <w:r>
        <w:rPr>
          <w:sz w:val="18"/>
        </w:rPr>
        <w:t>(Exhibit</w:t>
      </w:r>
      <w:r>
        <w:rPr>
          <w:spacing w:val="-8"/>
          <w:sz w:val="18"/>
        </w:rPr>
        <w:t xml:space="preserve"> </w:t>
      </w:r>
      <w:r>
        <w:rPr>
          <w:sz w:val="18"/>
        </w:rPr>
        <w:t>AUS‐2),</w:t>
      </w:r>
      <w:r>
        <w:rPr>
          <w:spacing w:val="-9"/>
          <w:sz w:val="18"/>
        </w:rPr>
        <w:t xml:space="preserve"> </w:t>
      </w:r>
      <w:r>
        <w:rPr>
          <w:sz w:val="18"/>
        </w:rPr>
        <w:t>pp.</w:t>
      </w:r>
      <w:r>
        <w:rPr>
          <w:spacing w:val="-8"/>
          <w:sz w:val="18"/>
        </w:rPr>
        <w:t xml:space="preserve"> </w:t>
      </w:r>
      <w:r>
        <w:rPr>
          <w:sz w:val="18"/>
        </w:rPr>
        <w:t>126,</w:t>
      </w:r>
      <w:r>
        <w:rPr>
          <w:spacing w:val="-9"/>
          <w:sz w:val="18"/>
        </w:rPr>
        <w:t xml:space="preserve"> </w:t>
      </w:r>
      <w:r>
        <w:rPr>
          <w:spacing w:val="-4"/>
          <w:sz w:val="18"/>
        </w:rPr>
        <w:t>149.</w:t>
      </w:r>
    </w:p>
    <w:p w14:paraId="51DE9132" w14:textId="77777777" w:rsidR="0010369C" w:rsidRDefault="0010369C">
      <w:pPr>
        <w:rPr>
          <w:sz w:val="18"/>
        </w:rPr>
        <w:sectPr w:rsidR="0010369C">
          <w:pgSz w:w="11910" w:h="16840"/>
          <w:pgMar w:top="880" w:right="800" w:bottom="980" w:left="1180" w:header="569" w:footer="788" w:gutter="0"/>
          <w:cols w:space="720"/>
        </w:sectPr>
      </w:pPr>
    </w:p>
    <w:p w14:paraId="51DE9133" w14:textId="77777777" w:rsidR="0010369C" w:rsidRDefault="008E43AE">
      <w:pPr>
        <w:tabs>
          <w:tab w:val="left" w:pos="6426"/>
        </w:tabs>
        <w:ind w:left="238"/>
        <w:rPr>
          <w:sz w:val="20"/>
        </w:rPr>
      </w:pPr>
      <w:r>
        <w:rPr>
          <w:i/>
          <w:sz w:val="20"/>
        </w:rPr>
        <w:lastRenderedPageBreak/>
        <w:t>China</w:t>
      </w:r>
      <w:r>
        <w:rPr>
          <w:i/>
          <w:spacing w:val="-5"/>
          <w:sz w:val="20"/>
        </w:rPr>
        <w:t xml:space="preserve"> </w:t>
      </w:r>
      <w:r>
        <w:rPr>
          <w:i/>
          <w:sz w:val="20"/>
        </w:rPr>
        <w:t>–</w:t>
      </w:r>
      <w:r>
        <w:rPr>
          <w:i/>
          <w:spacing w:val="-5"/>
          <w:sz w:val="20"/>
        </w:rPr>
        <w:t xml:space="preserve"> </w:t>
      </w:r>
      <w:r>
        <w:rPr>
          <w:i/>
          <w:sz w:val="20"/>
        </w:rPr>
        <w:t>Anti‐Dumping</w:t>
      </w:r>
      <w:r>
        <w:rPr>
          <w:i/>
          <w:spacing w:val="-4"/>
          <w:sz w:val="20"/>
        </w:rPr>
        <w:t xml:space="preserve"> </w:t>
      </w:r>
      <w:r>
        <w:rPr>
          <w:i/>
          <w:sz w:val="20"/>
        </w:rPr>
        <w:t>and</w:t>
      </w:r>
      <w:r>
        <w:rPr>
          <w:i/>
          <w:spacing w:val="-5"/>
          <w:sz w:val="20"/>
        </w:rPr>
        <w:t xml:space="preserve"> </w:t>
      </w:r>
      <w:r>
        <w:rPr>
          <w:i/>
          <w:sz w:val="20"/>
        </w:rPr>
        <w:t>Countervailing</w:t>
      </w:r>
      <w:r>
        <w:rPr>
          <w:i/>
          <w:spacing w:val="-5"/>
          <w:sz w:val="20"/>
        </w:rPr>
        <w:t xml:space="preserve"> </w:t>
      </w:r>
      <w:r>
        <w:rPr>
          <w:i/>
          <w:sz w:val="20"/>
        </w:rPr>
        <w:t>Duty</w:t>
      </w:r>
      <w:r>
        <w:rPr>
          <w:i/>
          <w:spacing w:val="-4"/>
          <w:sz w:val="20"/>
        </w:rPr>
        <w:t xml:space="preserve"> </w:t>
      </w:r>
      <w:r>
        <w:rPr>
          <w:i/>
          <w:spacing w:val="-2"/>
          <w:sz w:val="20"/>
        </w:rPr>
        <w:t>Measures</w:t>
      </w:r>
      <w:r>
        <w:rPr>
          <w:i/>
          <w:sz w:val="20"/>
        </w:rPr>
        <w:tab/>
      </w:r>
      <w:r>
        <w:rPr>
          <w:sz w:val="20"/>
        </w:rPr>
        <w:t>Australia's</w:t>
      </w:r>
      <w:r>
        <w:rPr>
          <w:spacing w:val="-7"/>
          <w:sz w:val="20"/>
        </w:rPr>
        <w:t xml:space="preserve"> </w:t>
      </w:r>
      <w:r>
        <w:rPr>
          <w:sz w:val="20"/>
        </w:rPr>
        <w:t>First</w:t>
      </w:r>
      <w:r>
        <w:rPr>
          <w:spacing w:val="-2"/>
          <w:sz w:val="20"/>
        </w:rPr>
        <w:t xml:space="preserve"> </w:t>
      </w:r>
      <w:r>
        <w:rPr>
          <w:sz w:val="20"/>
        </w:rPr>
        <w:t>Written</w:t>
      </w:r>
      <w:r>
        <w:rPr>
          <w:spacing w:val="-2"/>
          <w:sz w:val="20"/>
        </w:rPr>
        <w:t xml:space="preserve"> Submission</w:t>
      </w:r>
    </w:p>
    <w:p w14:paraId="51DE9134" w14:textId="77777777" w:rsidR="0010369C" w:rsidRDefault="008E43AE">
      <w:pPr>
        <w:tabs>
          <w:tab w:val="left" w:pos="8228"/>
        </w:tabs>
        <w:spacing w:before="1"/>
        <w:ind w:left="239"/>
        <w:rPr>
          <w:sz w:val="20"/>
        </w:rPr>
      </w:pPr>
      <w:r>
        <w:rPr>
          <w:i/>
          <w:sz w:val="20"/>
        </w:rPr>
        <w:t>on</w:t>
      </w:r>
      <w:r>
        <w:rPr>
          <w:i/>
          <w:spacing w:val="-1"/>
          <w:sz w:val="20"/>
        </w:rPr>
        <w:t xml:space="preserve"> </w:t>
      </w:r>
      <w:r>
        <w:rPr>
          <w:i/>
          <w:sz w:val="20"/>
        </w:rPr>
        <w:t>Wine</w:t>
      </w:r>
      <w:r>
        <w:rPr>
          <w:i/>
          <w:spacing w:val="-1"/>
          <w:sz w:val="20"/>
        </w:rPr>
        <w:t xml:space="preserve"> </w:t>
      </w:r>
      <w:r>
        <w:rPr>
          <w:i/>
          <w:sz w:val="20"/>
        </w:rPr>
        <w:t>from</w:t>
      </w:r>
      <w:r>
        <w:rPr>
          <w:i/>
          <w:spacing w:val="-3"/>
          <w:sz w:val="20"/>
        </w:rPr>
        <w:t xml:space="preserve"> </w:t>
      </w:r>
      <w:r>
        <w:rPr>
          <w:i/>
          <w:sz w:val="20"/>
        </w:rPr>
        <w:t>Australia</w:t>
      </w:r>
      <w:r>
        <w:rPr>
          <w:i/>
          <w:spacing w:val="-1"/>
          <w:sz w:val="20"/>
        </w:rPr>
        <w:t xml:space="preserve"> </w:t>
      </w:r>
      <w:r>
        <w:rPr>
          <w:spacing w:val="-2"/>
          <w:sz w:val="20"/>
        </w:rPr>
        <w:t>(DS602)</w:t>
      </w:r>
      <w:r>
        <w:rPr>
          <w:sz w:val="20"/>
        </w:rPr>
        <w:tab/>
        <w:t>29</w:t>
      </w:r>
      <w:r>
        <w:rPr>
          <w:spacing w:val="-1"/>
          <w:sz w:val="20"/>
        </w:rPr>
        <w:t xml:space="preserve"> </w:t>
      </w:r>
      <w:r>
        <w:rPr>
          <w:sz w:val="20"/>
        </w:rPr>
        <w:t>April</w:t>
      </w:r>
      <w:r>
        <w:rPr>
          <w:spacing w:val="-2"/>
          <w:sz w:val="20"/>
        </w:rPr>
        <w:t xml:space="preserve"> </w:t>
      </w:r>
      <w:r>
        <w:rPr>
          <w:spacing w:val="-4"/>
          <w:sz w:val="20"/>
        </w:rPr>
        <w:t>2022</w:t>
      </w:r>
    </w:p>
    <w:p w14:paraId="51DE9135" w14:textId="77777777" w:rsidR="0010369C" w:rsidRDefault="008E43AE">
      <w:pPr>
        <w:pStyle w:val="ListParagraph"/>
        <w:numPr>
          <w:ilvl w:val="0"/>
          <w:numId w:val="49"/>
        </w:numPr>
        <w:tabs>
          <w:tab w:val="left" w:pos="1940"/>
          <w:tab w:val="left" w:pos="1941"/>
        </w:tabs>
        <w:spacing w:before="35" w:line="357" w:lineRule="auto"/>
        <w:ind w:right="614"/>
        <w:rPr>
          <w:sz w:val="24"/>
        </w:rPr>
      </w:pPr>
      <w:r>
        <w:rPr>
          <w:sz w:val="24"/>
        </w:rPr>
        <w:t>failed to conduct a proper causation analysis to demonstrate the existence of a "genuine and substantial relationship of cause and effect" between subject imports and the alleged injury to the Chinese domestic industry;</w:t>
      </w:r>
    </w:p>
    <w:p w14:paraId="51DE9136" w14:textId="77777777" w:rsidR="0010369C" w:rsidRDefault="008E43AE">
      <w:pPr>
        <w:pStyle w:val="ListParagraph"/>
        <w:numPr>
          <w:ilvl w:val="0"/>
          <w:numId w:val="49"/>
        </w:numPr>
        <w:tabs>
          <w:tab w:val="left" w:pos="1939"/>
          <w:tab w:val="left" w:pos="1940"/>
        </w:tabs>
        <w:spacing w:before="128" w:line="355" w:lineRule="auto"/>
        <w:ind w:left="1938" w:right="615"/>
        <w:rPr>
          <w:sz w:val="24"/>
        </w:rPr>
      </w:pPr>
      <w:r>
        <w:rPr>
          <w:sz w:val="24"/>
        </w:rPr>
        <w:t>failed to conduct non‐attribution an</w:t>
      </w:r>
      <w:r>
        <w:rPr>
          <w:sz w:val="24"/>
        </w:rPr>
        <w:t>alyses in relation to other "known" factors; and</w:t>
      </w:r>
    </w:p>
    <w:p w14:paraId="51DE9137" w14:textId="77777777" w:rsidR="0010369C" w:rsidRDefault="008E43AE">
      <w:pPr>
        <w:pStyle w:val="ListParagraph"/>
        <w:numPr>
          <w:ilvl w:val="0"/>
          <w:numId w:val="49"/>
        </w:numPr>
        <w:tabs>
          <w:tab w:val="left" w:pos="1939"/>
          <w:tab w:val="left" w:pos="1940"/>
        </w:tabs>
        <w:spacing w:before="131" w:line="357" w:lineRule="auto"/>
        <w:ind w:right="613"/>
        <w:rPr>
          <w:sz w:val="24"/>
        </w:rPr>
      </w:pPr>
      <w:r>
        <w:rPr>
          <w:sz w:val="24"/>
        </w:rPr>
        <w:t>failed to undertake an objective examination of causation based on all relevant evidence before MOFCOM or to make determinations based on positive evidence.</w:t>
      </w:r>
    </w:p>
    <w:p w14:paraId="51DE9138" w14:textId="77777777" w:rsidR="0010369C" w:rsidRDefault="008E43AE">
      <w:pPr>
        <w:pStyle w:val="Heading4"/>
        <w:numPr>
          <w:ilvl w:val="1"/>
          <w:numId w:val="48"/>
        </w:numPr>
        <w:tabs>
          <w:tab w:val="left" w:pos="2648"/>
          <w:tab w:val="left" w:pos="2649"/>
        </w:tabs>
        <w:spacing w:before="127" w:line="360" w:lineRule="auto"/>
        <w:ind w:left="2648" w:right="614"/>
        <w:jc w:val="both"/>
      </w:pPr>
      <w:r>
        <w:t>The</w:t>
      </w:r>
      <w:r>
        <w:rPr>
          <w:spacing w:val="-1"/>
        </w:rPr>
        <w:t xml:space="preserve"> </w:t>
      </w:r>
      <w:r>
        <w:t>examinations of</w:t>
      </w:r>
      <w:r>
        <w:rPr>
          <w:spacing w:val="-2"/>
        </w:rPr>
        <w:t xml:space="preserve"> </w:t>
      </w:r>
      <w:r>
        <w:t>causation</w:t>
      </w:r>
      <w:r>
        <w:rPr>
          <w:spacing w:val="-2"/>
        </w:rPr>
        <w:t xml:space="preserve"> </w:t>
      </w:r>
      <w:r>
        <w:t>and</w:t>
      </w:r>
      <w:r>
        <w:rPr>
          <w:spacing w:val="-1"/>
        </w:rPr>
        <w:t xml:space="preserve"> </w:t>
      </w:r>
      <w:r>
        <w:t>non‐attribution</w:t>
      </w:r>
      <w:r>
        <w:rPr>
          <w:spacing w:val="-2"/>
        </w:rPr>
        <w:t xml:space="preserve"> </w:t>
      </w:r>
      <w:r>
        <w:t>required</w:t>
      </w:r>
      <w:r>
        <w:rPr>
          <w:spacing w:val="-1"/>
        </w:rPr>
        <w:t xml:space="preserve"> </w:t>
      </w:r>
      <w:r>
        <w:t>under Articles 3.5 and 3.1 of the Anti‐Dumping Agreement</w:t>
      </w:r>
    </w:p>
    <w:p w14:paraId="51DE9139" w14:textId="77777777" w:rsidR="0010369C" w:rsidRDefault="0010369C">
      <w:pPr>
        <w:pStyle w:val="BodyText"/>
        <w:spacing w:before="11"/>
        <w:rPr>
          <w:b/>
          <w:sz w:val="8"/>
        </w:rPr>
      </w:pPr>
    </w:p>
    <w:p w14:paraId="51DE913A" w14:textId="77777777" w:rsidR="0010369C" w:rsidRDefault="008E43AE">
      <w:pPr>
        <w:pStyle w:val="BodyText"/>
        <w:spacing w:before="52" w:line="360" w:lineRule="auto"/>
        <w:ind w:left="238" w:right="613" w:firstLine="851"/>
        <w:jc w:val="both"/>
      </w:pPr>
      <w:r>
        <w:rPr>
          <w:noProof/>
        </w:rPr>
        <w:drawing>
          <wp:anchor distT="0" distB="0" distL="0" distR="0" simplePos="0" relativeHeight="251277824" behindDoc="1" locked="0" layoutInCell="1" allowOverlap="1" wp14:anchorId="51DEA558" wp14:editId="51DEA559">
            <wp:simplePos x="0" y="0"/>
            <wp:positionH relativeFrom="page">
              <wp:posOffset>905255</wp:posOffset>
            </wp:positionH>
            <wp:positionV relativeFrom="paragraph">
              <wp:posOffset>81357</wp:posOffset>
            </wp:positionV>
            <wp:extent cx="259079" cy="103631"/>
            <wp:effectExtent l="0" t="0" r="0" b="0"/>
            <wp:wrapNone/>
            <wp:docPr id="1301" name="image6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 name="image672.png"/>
                    <pic:cNvPicPr/>
                  </pic:nvPicPr>
                  <pic:blipFill>
                    <a:blip r:embed="rId874" cstate="print"/>
                    <a:stretch>
                      <a:fillRect/>
                    </a:stretch>
                  </pic:blipFill>
                  <pic:spPr>
                    <a:xfrm>
                      <a:off x="0" y="0"/>
                      <a:ext cx="259079" cy="103631"/>
                    </a:xfrm>
                    <a:prstGeom prst="rect">
                      <a:avLst/>
                    </a:prstGeom>
                  </pic:spPr>
                </pic:pic>
              </a:graphicData>
            </a:graphic>
          </wp:anchor>
        </w:drawing>
      </w:r>
      <w:r>
        <w:t>Article 3.5 of the Anti‐Dumping Agreement establishes the framework for an investigating authority to determine whether a "causal relationship" exists between the allegedly dumped imports and injury to the domestic industry.</w:t>
      </w:r>
      <w:r>
        <w:rPr>
          <w:vertAlign w:val="superscript"/>
        </w:rPr>
        <w:t>761</w:t>
      </w:r>
    </w:p>
    <w:p w14:paraId="51DE913B" w14:textId="77777777" w:rsidR="0010369C" w:rsidRDefault="0010369C">
      <w:pPr>
        <w:pStyle w:val="BodyText"/>
        <w:spacing w:before="11"/>
        <w:rPr>
          <w:sz w:val="8"/>
        </w:rPr>
      </w:pPr>
    </w:p>
    <w:p w14:paraId="51DE913C" w14:textId="77777777" w:rsidR="0010369C" w:rsidRDefault="008E43AE">
      <w:pPr>
        <w:pStyle w:val="BodyText"/>
        <w:spacing w:before="51" w:line="360" w:lineRule="auto"/>
        <w:ind w:left="237" w:right="614" w:firstLine="851"/>
        <w:jc w:val="both"/>
      </w:pPr>
      <w:r>
        <w:rPr>
          <w:noProof/>
        </w:rPr>
        <w:drawing>
          <wp:anchor distT="0" distB="0" distL="0" distR="0" simplePos="0" relativeHeight="251278848" behindDoc="1" locked="0" layoutInCell="1" allowOverlap="1" wp14:anchorId="51DEA55A" wp14:editId="51DEA55B">
            <wp:simplePos x="0" y="0"/>
            <wp:positionH relativeFrom="page">
              <wp:posOffset>905255</wp:posOffset>
            </wp:positionH>
            <wp:positionV relativeFrom="paragraph">
              <wp:posOffset>80722</wp:posOffset>
            </wp:positionV>
            <wp:extent cx="259079" cy="103631"/>
            <wp:effectExtent l="0" t="0" r="0" b="0"/>
            <wp:wrapNone/>
            <wp:docPr id="1303" name="image6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 name="image673.png"/>
                    <pic:cNvPicPr/>
                  </pic:nvPicPr>
                  <pic:blipFill>
                    <a:blip r:embed="rId875" cstate="print"/>
                    <a:stretch>
                      <a:fillRect/>
                    </a:stretch>
                  </pic:blipFill>
                  <pic:spPr>
                    <a:xfrm>
                      <a:off x="0" y="0"/>
                      <a:ext cx="259079" cy="103631"/>
                    </a:xfrm>
                    <a:prstGeom prst="rect">
                      <a:avLst/>
                    </a:prstGeom>
                  </pic:spPr>
                </pic:pic>
              </a:graphicData>
            </a:graphic>
          </wp:anchor>
        </w:drawing>
      </w:r>
      <w:r>
        <w:t>The first sentence of Arti</w:t>
      </w:r>
      <w:r>
        <w:t>cle 3.5 requires an investigating authority to demonstrate that the allegedly dumped imports are, through the effects of dumping, as set forth in paragraphs</w:t>
      </w:r>
      <w:r>
        <w:rPr>
          <w:spacing w:val="-14"/>
        </w:rPr>
        <w:t xml:space="preserve"> </w:t>
      </w:r>
      <w:r>
        <w:t>2</w:t>
      </w:r>
      <w:r>
        <w:rPr>
          <w:spacing w:val="-13"/>
        </w:rPr>
        <w:t xml:space="preserve"> </w:t>
      </w:r>
      <w:r>
        <w:t>and</w:t>
      </w:r>
      <w:r>
        <w:rPr>
          <w:spacing w:val="-14"/>
        </w:rPr>
        <w:t xml:space="preserve"> </w:t>
      </w:r>
      <w:r>
        <w:t>4</w:t>
      </w:r>
      <w:r>
        <w:rPr>
          <w:spacing w:val="-13"/>
        </w:rPr>
        <w:t xml:space="preserve"> </w:t>
      </w:r>
      <w:r>
        <w:t>—</w:t>
      </w:r>
      <w:r>
        <w:rPr>
          <w:spacing w:val="-14"/>
        </w:rPr>
        <w:t xml:space="preserve"> </w:t>
      </w:r>
      <w:r>
        <w:t>that</w:t>
      </w:r>
      <w:r>
        <w:rPr>
          <w:spacing w:val="-13"/>
        </w:rPr>
        <w:t xml:space="preserve"> </w:t>
      </w:r>
      <w:r>
        <w:t>is,</w:t>
      </w:r>
      <w:r>
        <w:rPr>
          <w:spacing w:val="-13"/>
        </w:rPr>
        <w:t xml:space="preserve"> </w:t>
      </w:r>
      <w:r>
        <w:t>"through</w:t>
      </w:r>
      <w:r>
        <w:rPr>
          <w:spacing w:val="-14"/>
        </w:rPr>
        <w:t xml:space="preserve"> </w:t>
      </w:r>
      <w:r>
        <w:t>their</w:t>
      </w:r>
      <w:r>
        <w:rPr>
          <w:spacing w:val="-12"/>
        </w:rPr>
        <w:t xml:space="preserve"> </w:t>
      </w:r>
      <w:r>
        <w:t>volume,</w:t>
      </w:r>
      <w:r>
        <w:rPr>
          <w:spacing w:val="-14"/>
        </w:rPr>
        <w:t xml:space="preserve"> </w:t>
      </w:r>
      <w:r>
        <w:t>price</w:t>
      </w:r>
      <w:r>
        <w:rPr>
          <w:spacing w:val="-13"/>
        </w:rPr>
        <w:t xml:space="preserve"> </w:t>
      </w:r>
      <w:r>
        <w:t>effects,</w:t>
      </w:r>
      <w:r>
        <w:rPr>
          <w:spacing w:val="-14"/>
        </w:rPr>
        <w:t xml:space="preserve"> </w:t>
      </w:r>
      <w:r>
        <w:t>and</w:t>
      </w:r>
      <w:r>
        <w:rPr>
          <w:spacing w:val="-13"/>
        </w:rPr>
        <w:t xml:space="preserve"> </w:t>
      </w:r>
      <w:r>
        <w:t>impact</w:t>
      </w:r>
      <w:r>
        <w:rPr>
          <w:spacing w:val="-14"/>
        </w:rPr>
        <w:t xml:space="preserve"> </w:t>
      </w:r>
      <w:r>
        <w:t>on</w:t>
      </w:r>
      <w:r>
        <w:rPr>
          <w:spacing w:val="-13"/>
        </w:rPr>
        <w:t xml:space="preserve"> </w:t>
      </w:r>
      <w:r>
        <w:t>the</w:t>
      </w:r>
      <w:r>
        <w:rPr>
          <w:spacing w:val="-14"/>
        </w:rPr>
        <w:t xml:space="preserve"> </w:t>
      </w:r>
      <w:r>
        <w:t>domestic industry"</w:t>
      </w:r>
      <w:r>
        <w:rPr>
          <w:vertAlign w:val="superscript"/>
        </w:rPr>
        <w:t>762</w:t>
      </w:r>
      <w:r>
        <w:t xml:space="preserve"> — </w:t>
      </w:r>
      <w:r>
        <w:t>causing material injury to the domestic industry.</w:t>
      </w:r>
      <w:r>
        <w:rPr>
          <w:vertAlign w:val="superscript"/>
        </w:rPr>
        <w:t>763</w:t>
      </w:r>
      <w:r>
        <w:t xml:space="preserve"> However, the second sentence also requires that the establishment of this "causal link" be "based on an examination of </w:t>
      </w:r>
      <w:r>
        <w:rPr>
          <w:i/>
        </w:rPr>
        <w:t xml:space="preserve">all relevant evidence </w:t>
      </w:r>
      <w:r>
        <w:t>before the authorities".</w:t>
      </w:r>
      <w:r>
        <w:rPr>
          <w:vertAlign w:val="superscript"/>
        </w:rPr>
        <w:t>764</w:t>
      </w:r>
      <w:r>
        <w:t xml:space="preserve"> In the context of Article 15.5</w:t>
      </w:r>
    </w:p>
    <w:p w14:paraId="51DE913D" w14:textId="77777777" w:rsidR="0010369C" w:rsidRDefault="008E43AE">
      <w:pPr>
        <w:pStyle w:val="BodyText"/>
        <w:spacing w:before="1"/>
        <w:rPr>
          <w:sz w:val="26"/>
        </w:rPr>
      </w:pPr>
      <w:r>
        <w:pict w14:anchorId="51DEA55C">
          <v:rect id="docshape1124" o:spid="_x0000_s1268" style="position:absolute;margin-left:70.9pt;margin-top:17.15pt;width:2in;height:.8pt;z-index:-250800640;mso-wrap-distance-left:0;mso-wrap-distance-right:0;mso-position-horizontal-relative:page" fillcolor="black" stroked="f">
            <w10:wrap type="topAndBottom" anchorx="page"/>
          </v:rect>
        </w:pict>
      </w:r>
    </w:p>
    <w:p w14:paraId="51DE913E" w14:textId="77777777" w:rsidR="0010369C" w:rsidRDefault="008E43AE">
      <w:pPr>
        <w:spacing w:before="109"/>
        <w:ind w:left="237" w:right="613" w:firstLine="1"/>
        <w:jc w:val="both"/>
        <w:rPr>
          <w:sz w:val="18"/>
        </w:rPr>
      </w:pPr>
      <w:r>
        <w:rPr>
          <w:sz w:val="18"/>
          <w:vertAlign w:val="superscript"/>
        </w:rPr>
        <w:t>761</w:t>
      </w:r>
      <w:r>
        <w:rPr>
          <w:sz w:val="18"/>
        </w:rPr>
        <w:t xml:space="preserve"> Article 3.5 of the Anti‐Dumping Agreement provides as follows: "It must be demonstrated that the dumped imports are, through</w:t>
      </w:r>
      <w:r>
        <w:rPr>
          <w:spacing w:val="-3"/>
          <w:sz w:val="18"/>
        </w:rPr>
        <w:t xml:space="preserve"> </w:t>
      </w:r>
      <w:r>
        <w:rPr>
          <w:sz w:val="18"/>
        </w:rPr>
        <w:t>the</w:t>
      </w:r>
      <w:r>
        <w:rPr>
          <w:spacing w:val="-3"/>
          <w:sz w:val="18"/>
        </w:rPr>
        <w:t xml:space="preserve"> </w:t>
      </w:r>
      <w:r>
        <w:rPr>
          <w:sz w:val="18"/>
        </w:rPr>
        <w:t>effects</w:t>
      </w:r>
      <w:r>
        <w:rPr>
          <w:spacing w:val="-4"/>
          <w:sz w:val="18"/>
        </w:rPr>
        <w:t xml:space="preserve"> </w:t>
      </w:r>
      <w:r>
        <w:rPr>
          <w:sz w:val="18"/>
        </w:rPr>
        <w:t>of</w:t>
      </w:r>
      <w:r>
        <w:rPr>
          <w:spacing w:val="-3"/>
          <w:sz w:val="18"/>
        </w:rPr>
        <w:t xml:space="preserve"> </w:t>
      </w:r>
      <w:r>
        <w:rPr>
          <w:sz w:val="18"/>
        </w:rPr>
        <w:t>dumping,</w:t>
      </w:r>
      <w:r>
        <w:rPr>
          <w:spacing w:val="-4"/>
          <w:sz w:val="18"/>
        </w:rPr>
        <w:t xml:space="preserve"> </w:t>
      </w:r>
      <w:r>
        <w:rPr>
          <w:sz w:val="18"/>
        </w:rPr>
        <w:t>as</w:t>
      </w:r>
      <w:r>
        <w:rPr>
          <w:spacing w:val="-3"/>
          <w:sz w:val="18"/>
        </w:rPr>
        <w:t xml:space="preserve"> </w:t>
      </w:r>
      <w:r>
        <w:rPr>
          <w:sz w:val="18"/>
        </w:rPr>
        <w:t>set</w:t>
      </w:r>
      <w:r>
        <w:rPr>
          <w:spacing w:val="-4"/>
          <w:sz w:val="18"/>
        </w:rPr>
        <w:t xml:space="preserve"> </w:t>
      </w:r>
      <w:r>
        <w:rPr>
          <w:sz w:val="18"/>
        </w:rPr>
        <w:t>forth</w:t>
      </w:r>
      <w:r>
        <w:rPr>
          <w:spacing w:val="-3"/>
          <w:sz w:val="18"/>
        </w:rPr>
        <w:t xml:space="preserve"> </w:t>
      </w:r>
      <w:r>
        <w:rPr>
          <w:sz w:val="18"/>
        </w:rPr>
        <w:t>in</w:t>
      </w:r>
      <w:r>
        <w:rPr>
          <w:spacing w:val="-3"/>
          <w:sz w:val="18"/>
        </w:rPr>
        <w:t xml:space="preserve"> </w:t>
      </w:r>
      <w:r>
        <w:rPr>
          <w:sz w:val="18"/>
        </w:rPr>
        <w:t>paragraphs</w:t>
      </w:r>
      <w:r>
        <w:rPr>
          <w:spacing w:val="-3"/>
          <w:sz w:val="18"/>
        </w:rPr>
        <w:t xml:space="preserve"> </w:t>
      </w:r>
      <w:r>
        <w:rPr>
          <w:sz w:val="18"/>
        </w:rPr>
        <w:t>2</w:t>
      </w:r>
      <w:r>
        <w:rPr>
          <w:spacing w:val="-4"/>
          <w:sz w:val="18"/>
        </w:rPr>
        <w:t xml:space="preserve"> </w:t>
      </w:r>
      <w:r>
        <w:rPr>
          <w:sz w:val="18"/>
        </w:rPr>
        <w:t>and</w:t>
      </w:r>
      <w:r>
        <w:rPr>
          <w:spacing w:val="-3"/>
          <w:sz w:val="18"/>
        </w:rPr>
        <w:t xml:space="preserve"> </w:t>
      </w:r>
      <w:r>
        <w:rPr>
          <w:sz w:val="18"/>
        </w:rPr>
        <w:t>4,</w:t>
      </w:r>
      <w:r>
        <w:rPr>
          <w:spacing w:val="-4"/>
          <w:sz w:val="18"/>
        </w:rPr>
        <w:t xml:space="preserve"> </w:t>
      </w:r>
      <w:r>
        <w:rPr>
          <w:sz w:val="18"/>
        </w:rPr>
        <w:t>causing</w:t>
      </w:r>
      <w:r>
        <w:rPr>
          <w:spacing w:val="-3"/>
          <w:sz w:val="18"/>
        </w:rPr>
        <w:t xml:space="preserve"> </w:t>
      </w:r>
      <w:r>
        <w:rPr>
          <w:sz w:val="18"/>
        </w:rPr>
        <w:t>injury</w:t>
      </w:r>
      <w:r>
        <w:rPr>
          <w:spacing w:val="-2"/>
          <w:sz w:val="18"/>
        </w:rPr>
        <w:t xml:space="preserve"> </w:t>
      </w:r>
      <w:r>
        <w:rPr>
          <w:sz w:val="18"/>
        </w:rPr>
        <w:t>within</w:t>
      </w:r>
      <w:r>
        <w:rPr>
          <w:spacing w:val="-3"/>
          <w:sz w:val="18"/>
        </w:rPr>
        <w:t xml:space="preserve"> </w:t>
      </w:r>
      <w:r>
        <w:rPr>
          <w:sz w:val="18"/>
        </w:rPr>
        <w:t>the</w:t>
      </w:r>
      <w:r>
        <w:rPr>
          <w:spacing w:val="-3"/>
          <w:sz w:val="18"/>
        </w:rPr>
        <w:t xml:space="preserve"> </w:t>
      </w:r>
      <w:r>
        <w:rPr>
          <w:sz w:val="18"/>
        </w:rPr>
        <w:t>meaning</w:t>
      </w:r>
      <w:r>
        <w:rPr>
          <w:spacing w:val="-3"/>
          <w:sz w:val="18"/>
        </w:rPr>
        <w:t xml:space="preserve"> </w:t>
      </w:r>
      <w:r>
        <w:rPr>
          <w:sz w:val="18"/>
        </w:rPr>
        <w:t>of</w:t>
      </w:r>
      <w:r>
        <w:rPr>
          <w:spacing w:val="-3"/>
          <w:sz w:val="18"/>
        </w:rPr>
        <w:t xml:space="preserve"> </w:t>
      </w:r>
      <w:r>
        <w:rPr>
          <w:sz w:val="18"/>
        </w:rPr>
        <w:t>this</w:t>
      </w:r>
      <w:r>
        <w:rPr>
          <w:spacing w:val="-3"/>
          <w:sz w:val="18"/>
        </w:rPr>
        <w:t xml:space="preserve"> </w:t>
      </w:r>
      <w:r>
        <w:rPr>
          <w:sz w:val="18"/>
        </w:rPr>
        <w:t>Agreement.</w:t>
      </w:r>
      <w:r>
        <w:rPr>
          <w:spacing w:val="-4"/>
          <w:sz w:val="18"/>
        </w:rPr>
        <w:t xml:space="preserve"> </w:t>
      </w:r>
      <w:r>
        <w:rPr>
          <w:sz w:val="18"/>
        </w:rPr>
        <w:t>The demonstration of a</w:t>
      </w:r>
      <w:r>
        <w:rPr>
          <w:spacing w:val="-1"/>
          <w:sz w:val="18"/>
        </w:rPr>
        <w:t xml:space="preserve"> </w:t>
      </w:r>
      <w:r>
        <w:rPr>
          <w:sz w:val="18"/>
        </w:rPr>
        <w:t>causal</w:t>
      </w:r>
      <w:r>
        <w:rPr>
          <w:spacing w:val="-1"/>
          <w:sz w:val="18"/>
        </w:rPr>
        <w:t xml:space="preserve"> </w:t>
      </w:r>
      <w:r>
        <w:rPr>
          <w:sz w:val="18"/>
        </w:rPr>
        <w:t>relationship between</w:t>
      </w:r>
      <w:r>
        <w:rPr>
          <w:spacing w:val="-1"/>
          <w:sz w:val="18"/>
        </w:rPr>
        <w:t xml:space="preserve"> </w:t>
      </w:r>
      <w:r>
        <w:rPr>
          <w:sz w:val="18"/>
        </w:rPr>
        <w:t>the dumped imports and the injury to the domestic industry shall be based on</w:t>
      </w:r>
      <w:r>
        <w:rPr>
          <w:spacing w:val="-7"/>
          <w:sz w:val="18"/>
        </w:rPr>
        <w:t xml:space="preserve"> </w:t>
      </w:r>
      <w:r>
        <w:rPr>
          <w:sz w:val="18"/>
        </w:rPr>
        <w:t>an</w:t>
      </w:r>
      <w:r>
        <w:rPr>
          <w:spacing w:val="-7"/>
          <w:sz w:val="18"/>
        </w:rPr>
        <w:t xml:space="preserve"> </w:t>
      </w:r>
      <w:r>
        <w:rPr>
          <w:sz w:val="18"/>
        </w:rPr>
        <w:t>examination</w:t>
      </w:r>
      <w:r>
        <w:rPr>
          <w:spacing w:val="-8"/>
          <w:sz w:val="18"/>
        </w:rPr>
        <w:t xml:space="preserve"> </w:t>
      </w:r>
      <w:r>
        <w:rPr>
          <w:sz w:val="18"/>
        </w:rPr>
        <w:t>of</w:t>
      </w:r>
      <w:r>
        <w:rPr>
          <w:spacing w:val="-7"/>
          <w:sz w:val="18"/>
        </w:rPr>
        <w:t xml:space="preserve"> </w:t>
      </w:r>
      <w:r>
        <w:rPr>
          <w:sz w:val="18"/>
        </w:rPr>
        <w:t>all</w:t>
      </w:r>
      <w:r>
        <w:rPr>
          <w:spacing w:val="-6"/>
          <w:sz w:val="18"/>
        </w:rPr>
        <w:t xml:space="preserve"> </w:t>
      </w:r>
      <w:r>
        <w:rPr>
          <w:sz w:val="18"/>
        </w:rPr>
        <w:t>relevant</w:t>
      </w:r>
      <w:r>
        <w:rPr>
          <w:spacing w:val="-8"/>
          <w:sz w:val="18"/>
        </w:rPr>
        <w:t xml:space="preserve"> </w:t>
      </w:r>
      <w:r>
        <w:rPr>
          <w:sz w:val="18"/>
        </w:rPr>
        <w:t>evidence</w:t>
      </w:r>
      <w:r>
        <w:rPr>
          <w:spacing w:val="-7"/>
          <w:sz w:val="18"/>
        </w:rPr>
        <w:t xml:space="preserve"> </w:t>
      </w:r>
      <w:r>
        <w:rPr>
          <w:sz w:val="18"/>
        </w:rPr>
        <w:t>before</w:t>
      </w:r>
      <w:r>
        <w:rPr>
          <w:spacing w:val="-7"/>
          <w:sz w:val="18"/>
        </w:rPr>
        <w:t xml:space="preserve"> </w:t>
      </w:r>
      <w:r>
        <w:rPr>
          <w:sz w:val="18"/>
        </w:rPr>
        <w:t>the</w:t>
      </w:r>
      <w:r>
        <w:rPr>
          <w:spacing w:val="-7"/>
          <w:sz w:val="18"/>
        </w:rPr>
        <w:t xml:space="preserve"> </w:t>
      </w:r>
      <w:r>
        <w:rPr>
          <w:sz w:val="18"/>
        </w:rPr>
        <w:t>authorities.</w:t>
      </w:r>
      <w:r>
        <w:rPr>
          <w:spacing w:val="-5"/>
          <w:sz w:val="18"/>
        </w:rPr>
        <w:t xml:space="preserve"> </w:t>
      </w:r>
      <w:r>
        <w:rPr>
          <w:sz w:val="18"/>
        </w:rPr>
        <w:t>The</w:t>
      </w:r>
      <w:r>
        <w:rPr>
          <w:spacing w:val="-7"/>
          <w:sz w:val="18"/>
        </w:rPr>
        <w:t xml:space="preserve"> </w:t>
      </w:r>
      <w:r>
        <w:rPr>
          <w:sz w:val="18"/>
        </w:rPr>
        <w:t>authorities</w:t>
      </w:r>
      <w:r>
        <w:rPr>
          <w:spacing w:val="-6"/>
          <w:sz w:val="18"/>
        </w:rPr>
        <w:t xml:space="preserve"> </w:t>
      </w:r>
      <w:r>
        <w:rPr>
          <w:sz w:val="18"/>
        </w:rPr>
        <w:t>shall</w:t>
      </w:r>
      <w:r>
        <w:rPr>
          <w:spacing w:val="-8"/>
          <w:sz w:val="18"/>
        </w:rPr>
        <w:t xml:space="preserve"> </w:t>
      </w:r>
      <w:r>
        <w:rPr>
          <w:sz w:val="18"/>
        </w:rPr>
        <w:t>also</w:t>
      </w:r>
      <w:r>
        <w:rPr>
          <w:spacing w:val="-8"/>
          <w:sz w:val="18"/>
        </w:rPr>
        <w:t xml:space="preserve"> </w:t>
      </w:r>
      <w:r>
        <w:rPr>
          <w:sz w:val="18"/>
        </w:rPr>
        <w:t>examine</w:t>
      </w:r>
      <w:r>
        <w:rPr>
          <w:spacing w:val="-7"/>
          <w:sz w:val="18"/>
        </w:rPr>
        <w:t xml:space="preserve"> </w:t>
      </w:r>
      <w:r>
        <w:rPr>
          <w:sz w:val="18"/>
        </w:rPr>
        <w:t>any</w:t>
      </w:r>
      <w:r>
        <w:rPr>
          <w:spacing w:val="-7"/>
          <w:sz w:val="18"/>
        </w:rPr>
        <w:t xml:space="preserve"> </w:t>
      </w:r>
      <w:r>
        <w:rPr>
          <w:sz w:val="18"/>
        </w:rPr>
        <w:t>known</w:t>
      </w:r>
      <w:r>
        <w:rPr>
          <w:spacing w:val="-7"/>
          <w:sz w:val="18"/>
        </w:rPr>
        <w:t xml:space="preserve"> </w:t>
      </w:r>
      <w:r>
        <w:rPr>
          <w:sz w:val="18"/>
        </w:rPr>
        <w:t>factors</w:t>
      </w:r>
      <w:r>
        <w:rPr>
          <w:spacing w:val="-7"/>
          <w:sz w:val="18"/>
        </w:rPr>
        <w:t xml:space="preserve"> </w:t>
      </w:r>
      <w:r>
        <w:rPr>
          <w:sz w:val="18"/>
        </w:rPr>
        <w:t xml:space="preserve">other than </w:t>
      </w:r>
      <w:r>
        <w:rPr>
          <w:sz w:val="18"/>
        </w:rPr>
        <w:t>the</w:t>
      </w:r>
      <w:r>
        <w:rPr>
          <w:spacing w:val="-1"/>
          <w:sz w:val="18"/>
        </w:rPr>
        <w:t xml:space="preserve"> </w:t>
      </w:r>
      <w:r>
        <w:rPr>
          <w:sz w:val="18"/>
        </w:rPr>
        <w:t>dumped imports which</w:t>
      </w:r>
      <w:r>
        <w:rPr>
          <w:spacing w:val="-1"/>
          <w:sz w:val="18"/>
        </w:rPr>
        <w:t xml:space="preserve"> </w:t>
      </w:r>
      <w:r>
        <w:rPr>
          <w:sz w:val="18"/>
        </w:rPr>
        <w:t>at the</w:t>
      </w:r>
      <w:r>
        <w:rPr>
          <w:spacing w:val="-1"/>
          <w:sz w:val="18"/>
        </w:rPr>
        <w:t xml:space="preserve"> </w:t>
      </w:r>
      <w:r>
        <w:rPr>
          <w:sz w:val="18"/>
        </w:rPr>
        <w:t>same</w:t>
      </w:r>
      <w:r>
        <w:rPr>
          <w:spacing w:val="-1"/>
          <w:sz w:val="18"/>
        </w:rPr>
        <w:t xml:space="preserve"> </w:t>
      </w:r>
      <w:r>
        <w:rPr>
          <w:sz w:val="18"/>
        </w:rPr>
        <w:t>time are</w:t>
      </w:r>
      <w:r>
        <w:rPr>
          <w:spacing w:val="-1"/>
          <w:sz w:val="18"/>
        </w:rPr>
        <w:t xml:space="preserve"> </w:t>
      </w:r>
      <w:r>
        <w:rPr>
          <w:sz w:val="18"/>
        </w:rPr>
        <w:t>injuring the domestic industry, and the</w:t>
      </w:r>
      <w:r>
        <w:rPr>
          <w:spacing w:val="-1"/>
          <w:sz w:val="18"/>
        </w:rPr>
        <w:t xml:space="preserve"> </w:t>
      </w:r>
      <w:r>
        <w:rPr>
          <w:sz w:val="18"/>
        </w:rPr>
        <w:t>injuries caused</w:t>
      </w:r>
      <w:r>
        <w:rPr>
          <w:spacing w:val="-1"/>
          <w:sz w:val="18"/>
        </w:rPr>
        <w:t xml:space="preserve"> </w:t>
      </w:r>
      <w:r>
        <w:rPr>
          <w:sz w:val="18"/>
        </w:rPr>
        <w:t>by</w:t>
      </w:r>
      <w:r>
        <w:rPr>
          <w:spacing w:val="-2"/>
          <w:sz w:val="18"/>
        </w:rPr>
        <w:t xml:space="preserve"> </w:t>
      </w:r>
      <w:r>
        <w:rPr>
          <w:sz w:val="18"/>
        </w:rPr>
        <w:t>these</w:t>
      </w:r>
      <w:r>
        <w:rPr>
          <w:spacing w:val="-1"/>
          <w:sz w:val="18"/>
        </w:rPr>
        <w:t xml:space="preserve"> </w:t>
      </w:r>
      <w:r>
        <w:rPr>
          <w:sz w:val="18"/>
        </w:rPr>
        <w:t xml:space="preserve">other factors must not be attributed to the dumped imports. Factors which may be relevant in this respect include, </w:t>
      </w:r>
      <w:r>
        <w:rPr>
          <w:i/>
          <w:sz w:val="18"/>
        </w:rPr>
        <w:t>inter alia</w:t>
      </w:r>
      <w:r>
        <w:rPr>
          <w:sz w:val="18"/>
        </w:rPr>
        <w:t>, the volume</w:t>
      </w:r>
      <w:r>
        <w:rPr>
          <w:spacing w:val="-1"/>
          <w:sz w:val="18"/>
        </w:rPr>
        <w:t xml:space="preserve"> </w:t>
      </w:r>
      <w:r>
        <w:rPr>
          <w:sz w:val="18"/>
        </w:rPr>
        <w:t>and</w:t>
      </w:r>
      <w:r>
        <w:rPr>
          <w:spacing w:val="-1"/>
          <w:sz w:val="18"/>
        </w:rPr>
        <w:t xml:space="preserve"> </w:t>
      </w:r>
      <w:r>
        <w:rPr>
          <w:sz w:val="18"/>
        </w:rPr>
        <w:t>prices</w:t>
      </w:r>
      <w:r>
        <w:rPr>
          <w:spacing w:val="-1"/>
          <w:sz w:val="18"/>
        </w:rPr>
        <w:t xml:space="preserve"> </w:t>
      </w:r>
      <w:r>
        <w:rPr>
          <w:sz w:val="18"/>
        </w:rPr>
        <w:t>of</w:t>
      </w:r>
      <w:r>
        <w:rPr>
          <w:spacing w:val="-1"/>
          <w:sz w:val="18"/>
        </w:rPr>
        <w:t xml:space="preserve"> </w:t>
      </w:r>
      <w:r>
        <w:rPr>
          <w:sz w:val="18"/>
        </w:rPr>
        <w:t>imports</w:t>
      </w:r>
      <w:r>
        <w:rPr>
          <w:spacing w:val="-1"/>
          <w:sz w:val="18"/>
        </w:rPr>
        <w:t xml:space="preserve"> </w:t>
      </w:r>
      <w:r>
        <w:rPr>
          <w:sz w:val="18"/>
        </w:rPr>
        <w:t>not</w:t>
      </w:r>
      <w:r>
        <w:rPr>
          <w:spacing w:val="-2"/>
          <w:sz w:val="18"/>
        </w:rPr>
        <w:t xml:space="preserve"> </w:t>
      </w:r>
      <w:r>
        <w:rPr>
          <w:sz w:val="18"/>
        </w:rPr>
        <w:t>sold</w:t>
      </w:r>
      <w:r>
        <w:rPr>
          <w:spacing w:val="-1"/>
          <w:sz w:val="18"/>
        </w:rPr>
        <w:t xml:space="preserve"> </w:t>
      </w:r>
      <w:r>
        <w:rPr>
          <w:sz w:val="18"/>
        </w:rPr>
        <w:t>at</w:t>
      </w:r>
      <w:r>
        <w:rPr>
          <w:spacing w:val="-2"/>
          <w:sz w:val="18"/>
        </w:rPr>
        <w:t xml:space="preserve"> </w:t>
      </w:r>
      <w:r>
        <w:rPr>
          <w:sz w:val="18"/>
        </w:rPr>
        <w:t>dumping</w:t>
      </w:r>
      <w:r>
        <w:rPr>
          <w:spacing w:val="-1"/>
          <w:sz w:val="18"/>
        </w:rPr>
        <w:t xml:space="preserve"> </w:t>
      </w:r>
      <w:r>
        <w:rPr>
          <w:sz w:val="18"/>
        </w:rPr>
        <w:t>prices,</w:t>
      </w:r>
      <w:r>
        <w:rPr>
          <w:spacing w:val="-1"/>
          <w:sz w:val="18"/>
        </w:rPr>
        <w:t xml:space="preserve"> </w:t>
      </w:r>
      <w:r>
        <w:rPr>
          <w:sz w:val="18"/>
        </w:rPr>
        <w:t>contraction</w:t>
      </w:r>
      <w:r>
        <w:rPr>
          <w:spacing w:val="-2"/>
          <w:sz w:val="18"/>
        </w:rPr>
        <w:t xml:space="preserve"> </w:t>
      </w:r>
      <w:r>
        <w:rPr>
          <w:sz w:val="18"/>
        </w:rPr>
        <w:t>in</w:t>
      </w:r>
      <w:r>
        <w:rPr>
          <w:spacing w:val="-1"/>
          <w:sz w:val="18"/>
        </w:rPr>
        <w:t xml:space="preserve"> </w:t>
      </w:r>
      <w:r>
        <w:rPr>
          <w:sz w:val="18"/>
        </w:rPr>
        <w:t>demand</w:t>
      </w:r>
      <w:r>
        <w:rPr>
          <w:spacing w:val="-1"/>
          <w:sz w:val="18"/>
        </w:rPr>
        <w:t xml:space="preserve"> </w:t>
      </w:r>
      <w:r>
        <w:rPr>
          <w:sz w:val="18"/>
        </w:rPr>
        <w:t>or</w:t>
      </w:r>
      <w:r>
        <w:rPr>
          <w:spacing w:val="-2"/>
          <w:sz w:val="18"/>
        </w:rPr>
        <w:t xml:space="preserve"> </w:t>
      </w:r>
      <w:r>
        <w:rPr>
          <w:sz w:val="18"/>
        </w:rPr>
        <w:t>changes</w:t>
      </w:r>
      <w:r>
        <w:rPr>
          <w:spacing w:val="-1"/>
          <w:sz w:val="18"/>
        </w:rPr>
        <w:t xml:space="preserve"> </w:t>
      </w:r>
      <w:r>
        <w:rPr>
          <w:sz w:val="18"/>
        </w:rPr>
        <w:t>in</w:t>
      </w:r>
      <w:r>
        <w:rPr>
          <w:spacing w:val="-1"/>
          <w:sz w:val="18"/>
        </w:rPr>
        <w:t xml:space="preserve"> </w:t>
      </w:r>
      <w:r>
        <w:rPr>
          <w:sz w:val="18"/>
        </w:rPr>
        <w:t>the</w:t>
      </w:r>
      <w:r>
        <w:rPr>
          <w:spacing w:val="-1"/>
          <w:sz w:val="18"/>
        </w:rPr>
        <w:t xml:space="preserve"> </w:t>
      </w:r>
      <w:r>
        <w:rPr>
          <w:sz w:val="18"/>
        </w:rPr>
        <w:t>patterns</w:t>
      </w:r>
      <w:r>
        <w:rPr>
          <w:spacing w:val="-1"/>
          <w:sz w:val="18"/>
        </w:rPr>
        <w:t xml:space="preserve"> </w:t>
      </w:r>
      <w:r>
        <w:rPr>
          <w:sz w:val="18"/>
        </w:rPr>
        <w:t>of</w:t>
      </w:r>
      <w:r>
        <w:rPr>
          <w:spacing w:val="-1"/>
          <w:sz w:val="18"/>
        </w:rPr>
        <w:t xml:space="preserve"> </w:t>
      </w:r>
      <w:r>
        <w:rPr>
          <w:sz w:val="18"/>
        </w:rPr>
        <w:t>consumption, tra</w:t>
      </w:r>
      <w:r>
        <w:rPr>
          <w:sz w:val="18"/>
        </w:rPr>
        <w:t>de</w:t>
      </w:r>
      <w:r>
        <w:rPr>
          <w:spacing w:val="-6"/>
          <w:sz w:val="18"/>
        </w:rPr>
        <w:t xml:space="preserve"> </w:t>
      </w:r>
      <w:r>
        <w:rPr>
          <w:sz w:val="18"/>
        </w:rPr>
        <w:t>restrictive</w:t>
      </w:r>
      <w:r>
        <w:rPr>
          <w:spacing w:val="-7"/>
          <w:sz w:val="18"/>
        </w:rPr>
        <w:t xml:space="preserve"> </w:t>
      </w:r>
      <w:r>
        <w:rPr>
          <w:sz w:val="18"/>
        </w:rPr>
        <w:t>practices</w:t>
      </w:r>
      <w:r>
        <w:rPr>
          <w:spacing w:val="-6"/>
          <w:sz w:val="18"/>
        </w:rPr>
        <w:t xml:space="preserve"> </w:t>
      </w:r>
      <w:r>
        <w:rPr>
          <w:sz w:val="18"/>
        </w:rPr>
        <w:t>of</w:t>
      </w:r>
      <w:r>
        <w:rPr>
          <w:spacing w:val="-7"/>
          <w:sz w:val="18"/>
        </w:rPr>
        <w:t xml:space="preserve"> </w:t>
      </w:r>
      <w:r>
        <w:rPr>
          <w:sz w:val="18"/>
        </w:rPr>
        <w:t>and</w:t>
      </w:r>
      <w:r>
        <w:rPr>
          <w:spacing w:val="-7"/>
          <w:sz w:val="18"/>
        </w:rPr>
        <w:t xml:space="preserve"> </w:t>
      </w:r>
      <w:r>
        <w:rPr>
          <w:sz w:val="18"/>
        </w:rPr>
        <w:t>competition</w:t>
      </w:r>
      <w:r>
        <w:rPr>
          <w:spacing w:val="-7"/>
          <w:sz w:val="18"/>
        </w:rPr>
        <w:t xml:space="preserve"> </w:t>
      </w:r>
      <w:r>
        <w:rPr>
          <w:sz w:val="18"/>
        </w:rPr>
        <w:t>between</w:t>
      </w:r>
      <w:r>
        <w:rPr>
          <w:spacing w:val="-6"/>
          <w:sz w:val="18"/>
        </w:rPr>
        <w:t xml:space="preserve"> </w:t>
      </w:r>
      <w:r>
        <w:rPr>
          <w:sz w:val="18"/>
        </w:rPr>
        <w:t>the</w:t>
      </w:r>
      <w:r>
        <w:rPr>
          <w:spacing w:val="-7"/>
          <w:sz w:val="18"/>
        </w:rPr>
        <w:t xml:space="preserve"> </w:t>
      </w:r>
      <w:r>
        <w:rPr>
          <w:sz w:val="18"/>
        </w:rPr>
        <w:t>foreign</w:t>
      </w:r>
      <w:r>
        <w:rPr>
          <w:spacing w:val="-6"/>
          <w:sz w:val="18"/>
        </w:rPr>
        <w:t xml:space="preserve"> </w:t>
      </w:r>
      <w:r>
        <w:rPr>
          <w:sz w:val="18"/>
        </w:rPr>
        <w:t>and</w:t>
      </w:r>
      <w:r>
        <w:rPr>
          <w:spacing w:val="-7"/>
          <w:sz w:val="18"/>
        </w:rPr>
        <w:t xml:space="preserve"> </w:t>
      </w:r>
      <w:r>
        <w:rPr>
          <w:sz w:val="18"/>
        </w:rPr>
        <w:t>domestic</w:t>
      </w:r>
      <w:r>
        <w:rPr>
          <w:spacing w:val="-7"/>
          <w:sz w:val="18"/>
        </w:rPr>
        <w:t xml:space="preserve"> </w:t>
      </w:r>
      <w:r>
        <w:rPr>
          <w:sz w:val="18"/>
        </w:rPr>
        <w:t>producers,</w:t>
      </w:r>
      <w:r>
        <w:rPr>
          <w:spacing w:val="-7"/>
          <w:sz w:val="18"/>
        </w:rPr>
        <w:t xml:space="preserve"> </w:t>
      </w:r>
      <w:r>
        <w:rPr>
          <w:sz w:val="18"/>
        </w:rPr>
        <w:t>developments</w:t>
      </w:r>
      <w:r>
        <w:rPr>
          <w:spacing w:val="-6"/>
          <w:sz w:val="18"/>
        </w:rPr>
        <w:t xml:space="preserve"> </w:t>
      </w:r>
      <w:r>
        <w:rPr>
          <w:sz w:val="18"/>
        </w:rPr>
        <w:t>in</w:t>
      </w:r>
      <w:r>
        <w:rPr>
          <w:spacing w:val="-7"/>
          <w:sz w:val="18"/>
        </w:rPr>
        <w:t xml:space="preserve"> </w:t>
      </w:r>
      <w:r>
        <w:rPr>
          <w:sz w:val="18"/>
        </w:rPr>
        <w:t>technology</w:t>
      </w:r>
      <w:r>
        <w:rPr>
          <w:spacing w:val="-7"/>
          <w:sz w:val="18"/>
        </w:rPr>
        <w:t xml:space="preserve"> </w:t>
      </w:r>
      <w:r>
        <w:rPr>
          <w:sz w:val="18"/>
        </w:rPr>
        <w:t>and the export performance and productivity of the domestic industry".</w:t>
      </w:r>
    </w:p>
    <w:p w14:paraId="51DE913F" w14:textId="77777777" w:rsidR="0010369C" w:rsidRDefault="008E43AE">
      <w:pPr>
        <w:ind w:left="237" w:right="613" w:firstLine="1"/>
        <w:jc w:val="both"/>
        <w:rPr>
          <w:sz w:val="18"/>
        </w:rPr>
      </w:pPr>
      <w:r>
        <w:rPr>
          <w:sz w:val="18"/>
          <w:vertAlign w:val="superscript"/>
        </w:rPr>
        <w:t>762</w:t>
      </w:r>
      <w:r>
        <w:rPr>
          <w:spacing w:val="-6"/>
          <w:sz w:val="18"/>
        </w:rPr>
        <w:t xml:space="preserve"> </w:t>
      </w:r>
      <w:r>
        <w:rPr>
          <w:sz w:val="18"/>
        </w:rPr>
        <w:t>Panel</w:t>
      </w:r>
      <w:r>
        <w:rPr>
          <w:spacing w:val="-7"/>
          <w:sz w:val="18"/>
        </w:rPr>
        <w:t xml:space="preserve"> </w:t>
      </w:r>
      <w:r>
        <w:rPr>
          <w:sz w:val="18"/>
        </w:rPr>
        <w:t>Report,</w:t>
      </w:r>
      <w:r>
        <w:rPr>
          <w:spacing w:val="-6"/>
          <w:sz w:val="18"/>
        </w:rPr>
        <w:t xml:space="preserve"> </w:t>
      </w:r>
      <w:r>
        <w:rPr>
          <w:i/>
          <w:sz w:val="18"/>
        </w:rPr>
        <w:t>Korea</w:t>
      </w:r>
      <w:r>
        <w:rPr>
          <w:i/>
          <w:spacing w:val="-7"/>
          <w:sz w:val="18"/>
        </w:rPr>
        <w:t xml:space="preserve"> </w:t>
      </w:r>
      <w:r>
        <w:rPr>
          <w:i/>
          <w:sz w:val="18"/>
        </w:rPr>
        <w:t>–</w:t>
      </w:r>
      <w:r>
        <w:rPr>
          <w:i/>
          <w:spacing w:val="-6"/>
          <w:sz w:val="18"/>
        </w:rPr>
        <w:t xml:space="preserve"> </w:t>
      </w:r>
      <w:r>
        <w:rPr>
          <w:i/>
          <w:sz w:val="18"/>
        </w:rPr>
        <w:t>Pneumatic</w:t>
      </w:r>
      <w:r>
        <w:rPr>
          <w:i/>
          <w:spacing w:val="-7"/>
          <w:sz w:val="18"/>
        </w:rPr>
        <w:t xml:space="preserve"> </w:t>
      </w:r>
      <w:r>
        <w:rPr>
          <w:i/>
          <w:sz w:val="18"/>
        </w:rPr>
        <w:t>Valves</w:t>
      </w:r>
      <w:r>
        <w:rPr>
          <w:sz w:val="18"/>
        </w:rPr>
        <w:t>,</w:t>
      </w:r>
      <w:r>
        <w:rPr>
          <w:spacing w:val="-7"/>
          <w:sz w:val="18"/>
        </w:rPr>
        <w:t xml:space="preserve"> </w:t>
      </w:r>
      <w:r>
        <w:rPr>
          <w:sz w:val="18"/>
        </w:rPr>
        <w:t>para.</w:t>
      </w:r>
      <w:r>
        <w:rPr>
          <w:spacing w:val="-6"/>
          <w:sz w:val="18"/>
        </w:rPr>
        <w:t xml:space="preserve"> </w:t>
      </w:r>
      <w:r>
        <w:rPr>
          <w:sz w:val="18"/>
        </w:rPr>
        <w:t>7.248.</w:t>
      </w:r>
      <w:r>
        <w:rPr>
          <w:spacing w:val="-6"/>
          <w:sz w:val="18"/>
        </w:rPr>
        <w:t xml:space="preserve"> </w:t>
      </w:r>
      <w:r>
        <w:rPr>
          <w:sz w:val="18"/>
        </w:rPr>
        <w:t>See</w:t>
      </w:r>
      <w:r>
        <w:rPr>
          <w:spacing w:val="-5"/>
          <w:sz w:val="18"/>
        </w:rPr>
        <w:t xml:space="preserve"> </w:t>
      </w:r>
      <w:r>
        <w:rPr>
          <w:sz w:val="18"/>
        </w:rPr>
        <w:t>also</w:t>
      </w:r>
      <w:r>
        <w:rPr>
          <w:spacing w:val="-7"/>
          <w:sz w:val="18"/>
        </w:rPr>
        <w:t xml:space="preserve"> </w:t>
      </w:r>
      <w:r>
        <w:rPr>
          <w:sz w:val="18"/>
        </w:rPr>
        <w:t>Appellate</w:t>
      </w:r>
      <w:r>
        <w:rPr>
          <w:spacing w:val="-6"/>
          <w:sz w:val="18"/>
        </w:rPr>
        <w:t xml:space="preserve"> </w:t>
      </w:r>
      <w:r>
        <w:rPr>
          <w:sz w:val="18"/>
        </w:rPr>
        <w:t>Body</w:t>
      </w:r>
      <w:r>
        <w:rPr>
          <w:spacing w:val="-6"/>
          <w:sz w:val="18"/>
        </w:rPr>
        <w:t xml:space="preserve"> </w:t>
      </w:r>
      <w:r>
        <w:rPr>
          <w:sz w:val="18"/>
        </w:rPr>
        <w:t>Reports,</w:t>
      </w:r>
      <w:r>
        <w:rPr>
          <w:spacing w:val="-6"/>
          <w:sz w:val="18"/>
        </w:rPr>
        <w:t xml:space="preserve"> </w:t>
      </w:r>
      <w:r>
        <w:rPr>
          <w:i/>
          <w:sz w:val="18"/>
        </w:rPr>
        <w:t>China</w:t>
      </w:r>
      <w:r>
        <w:rPr>
          <w:i/>
          <w:spacing w:val="-5"/>
          <w:sz w:val="18"/>
        </w:rPr>
        <w:t xml:space="preserve"> </w:t>
      </w:r>
      <w:r>
        <w:rPr>
          <w:i/>
          <w:sz w:val="18"/>
        </w:rPr>
        <w:t>–</w:t>
      </w:r>
      <w:r>
        <w:rPr>
          <w:i/>
          <w:spacing w:val="-6"/>
          <w:sz w:val="18"/>
        </w:rPr>
        <w:t xml:space="preserve"> </w:t>
      </w:r>
      <w:r>
        <w:rPr>
          <w:i/>
          <w:sz w:val="18"/>
        </w:rPr>
        <w:t>GOES</w:t>
      </w:r>
      <w:r>
        <w:rPr>
          <w:sz w:val="18"/>
        </w:rPr>
        <w:t>,</w:t>
      </w:r>
      <w:r>
        <w:rPr>
          <w:spacing w:val="-7"/>
          <w:sz w:val="18"/>
        </w:rPr>
        <w:t xml:space="preserve"> </w:t>
      </w:r>
      <w:r>
        <w:rPr>
          <w:sz w:val="18"/>
        </w:rPr>
        <w:t>para.</w:t>
      </w:r>
      <w:r>
        <w:rPr>
          <w:spacing w:val="-6"/>
          <w:sz w:val="18"/>
        </w:rPr>
        <w:t xml:space="preserve"> </w:t>
      </w:r>
      <w:r>
        <w:rPr>
          <w:sz w:val="18"/>
        </w:rPr>
        <w:t>143</w:t>
      </w:r>
      <w:r>
        <w:rPr>
          <w:spacing w:val="-6"/>
          <w:sz w:val="18"/>
        </w:rPr>
        <w:t xml:space="preserve"> </w:t>
      </w:r>
      <w:r>
        <w:rPr>
          <w:sz w:val="18"/>
        </w:rPr>
        <w:t>("by</w:t>
      </w:r>
      <w:r>
        <w:rPr>
          <w:spacing w:val="-7"/>
          <w:sz w:val="18"/>
        </w:rPr>
        <w:t xml:space="preserve"> </w:t>
      </w:r>
      <w:r>
        <w:rPr>
          <w:sz w:val="18"/>
        </w:rPr>
        <w:t>virtue of</w:t>
      </w:r>
      <w:r>
        <w:rPr>
          <w:spacing w:val="-3"/>
          <w:sz w:val="18"/>
        </w:rPr>
        <w:t xml:space="preserve"> </w:t>
      </w:r>
      <w:r>
        <w:rPr>
          <w:sz w:val="18"/>
        </w:rPr>
        <w:t>the</w:t>
      </w:r>
      <w:r>
        <w:rPr>
          <w:spacing w:val="-3"/>
          <w:sz w:val="18"/>
        </w:rPr>
        <w:t xml:space="preserve"> </w:t>
      </w:r>
      <w:r>
        <w:rPr>
          <w:sz w:val="18"/>
        </w:rPr>
        <w:t>phrase</w:t>
      </w:r>
      <w:r>
        <w:rPr>
          <w:spacing w:val="-3"/>
          <w:sz w:val="18"/>
        </w:rPr>
        <w:t xml:space="preserve"> </w:t>
      </w:r>
      <w:r>
        <w:rPr>
          <w:sz w:val="18"/>
        </w:rPr>
        <w:t>"</w:t>
      </w:r>
      <w:r>
        <w:rPr>
          <w:i/>
          <w:sz w:val="18"/>
        </w:rPr>
        <w:t>through</w:t>
      </w:r>
      <w:r>
        <w:rPr>
          <w:i/>
          <w:spacing w:val="-3"/>
          <w:sz w:val="18"/>
        </w:rPr>
        <w:t xml:space="preserve"> </w:t>
      </w:r>
      <w:r>
        <w:rPr>
          <w:sz w:val="18"/>
        </w:rPr>
        <w:t>the</w:t>
      </w:r>
      <w:r>
        <w:rPr>
          <w:spacing w:val="-3"/>
          <w:sz w:val="18"/>
        </w:rPr>
        <w:t xml:space="preserve"> </w:t>
      </w:r>
      <w:r>
        <w:rPr>
          <w:sz w:val="18"/>
        </w:rPr>
        <w:t>effects</w:t>
      </w:r>
      <w:r>
        <w:rPr>
          <w:spacing w:val="-4"/>
          <w:sz w:val="18"/>
        </w:rPr>
        <w:t xml:space="preserve"> </w:t>
      </w:r>
      <w:r>
        <w:rPr>
          <w:sz w:val="18"/>
        </w:rPr>
        <w:t>of"</w:t>
      </w:r>
      <w:r>
        <w:rPr>
          <w:spacing w:val="-4"/>
          <w:sz w:val="18"/>
        </w:rPr>
        <w:t xml:space="preserve"> </w:t>
      </w:r>
      <w:r>
        <w:rPr>
          <w:sz w:val="18"/>
        </w:rPr>
        <w:t>dumping</w:t>
      </w:r>
      <w:r>
        <w:rPr>
          <w:spacing w:val="-3"/>
          <w:sz w:val="18"/>
        </w:rPr>
        <w:t xml:space="preserve"> </w:t>
      </w:r>
      <w:r>
        <w:rPr>
          <w:sz w:val="18"/>
        </w:rPr>
        <w:t>or</w:t>
      </w:r>
      <w:r>
        <w:rPr>
          <w:spacing w:val="-4"/>
          <w:sz w:val="18"/>
        </w:rPr>
        <w:t xml:space="preserve"> </w:t>
      </w:r>
      <w:r>
        <w:rPr>
          <w:sz w:val="18"/>
        </w:rPr>
        <w:t>subsidies</w:t>
      </w:r>
      <w:r>
        <w:rPr>
          <w:spacing w:val="-3"/>
          <w:sz w:val="18"/>
        </w:rPr>
        <w:t xml:space="preserve"> </w:t>
      </w:r>
      <w:r>
        <w:rPr>
          <w:sz w:val="18"/>
        </w:rPr>
        <w:t>"[a]s</w:t>
      </w:r>
      <w:r>
        <w:rPr>
          <w:spacing w:val="-4"/>
          <w:sz w:val="18"/>
        </w:rPr>
        <w:t xml:space="preserve"> </w:t>
      </w:r>
      <w:r>
        <w:rPr>
          <w:sz w:val="18"/>
        </w:rPr>
        <w:t>set</w:t>
      </w:r>
      <w:r>
        <w:rPr>
          <w:spacing w:val="-4"/>
          <w:sz w:val="18"/>
        </w:rPr>
        <w:t xml:space="preserve"> </w:t>
      </w:r>
      <w:r>
        <w:rPr>
          <w:sz w:val="18"/>
        </w:rPr>
        <w:t>forth</w:t>
      </w:r>
      <w:r>
        <w:rPr>
          <w:spacing w:val="-3"/>
          <w:sz w:val="18"/>
        </w:rPr>
        <w:t xml:space="preserve"> </w:t>
      </w:r>
      <w:r>
        <w:rPr>
          <w:sz w:val="18"/>
        </w:rPr>
        <w:t>in</w:t>
      </w:r>
      <w:r>
        <w:rPr>
          <w:spacing w:val="-3"/>
          <w:sz w:val="18"/>
        </w:rPr>
        <w:t xml:space="preserve"> </w:t>
      </w:r>
      <w:r>
        <w:rPr>
          <w:sz w:val="18"/>
        </w:rPr>
        <w:t>paragraphs</w:t>
      </w:r>
      <w:r>
        <w:rPr>
          <w:spacing w:val="-3"/>
          <w:sz w:val="18"/>
        </w:rPr>
        <w:t xml:space="preserve"> </w:t>
      </w:r>
      <w:r>
        <w:rPr>
          <w:sz w:val="18"/>
        </w:rPr>
        <w:t>2</w:t>
      </w:r>
      <w:r>
        <w:rPr>
          <w:spacing w:val="-4"/>
          <w:sz w:val="18"/>
        </w:rPr>
        <w:t xml:space="preserve"> </w:t>
      </w:r>
      <w:r>
        <w:rPr>
          <w:sz w:val="18"/>
        </w:rPr>
        <w:t>and</w:t>
      </w:r>
      <w:r>
        <w:rPr>
          <w:spacing w:val="-4"/>
          <w:sz w:val="18"/>
        </w:rPr>
        <w:t xml:space="preserve"> </w:t>
      </w:r>
      <w:r>
        <w:rPr>
          <w:sz w:val="18"/>
        </w:rPr>
        <w:t>4",</w:t>
      </w:r>
      <w:r>
        <w:rPr>
          <w:spacing w:val="-3"/>
          <w:sz w:val="18"/>
        </w:rPr>
        <w:t xml:space="preserve"> </w:t>
      </w:r>
      <w:r>
        <w:rPr>
          <w:sz w:val="18"/>
        </w:rPr>
        <w:t>Articles</w:t>
      </w:r>
      <w:r>
        <w:rPr>
          <w:spacing w:val="-4"/>
          <w:sz w:val="18"/>
        </w:rPr>
        <w:t xml:space="preserve"> </w:t>
      </w:r>
      <w:r>
        <w:rPr>
          <w:sz w:val="18"/>
        </w:rPr>
        <w:t>3.5</w:t>
      </w:r>
      <w:r>
        <w:rPr>
          <w:spacing w:val="-4"/>
          <w:sz w:val="18"/>
        </w:rPr>
        <w:t xml:space="preserve"> </w:t>
      </w:r>
      <w:r>
        <w:rPr>
          <w:sz w:val="18"/>
        </w:rPr>
        <w:t>and</w:t>
      </w:r>
      <w:r>
        <w:rPr>
          <w:spacing w:val="-4"/>
          <w:sz w:val="18"/>
        </w:rPr>
        <w:t xml:space="preserve"> </w:t>
      </w:r>
      <w:r>
        <w:rPr>
          <w:sz w:val="18"/>
        </w:rPr>
        <w:t>15.5</w:t>
      </w:r>
      <w:r>
        <w:rPr>
          <w:spacing w:val="-4"/>
          <w:sz w:val="18"/>
        </w:rPr>
        <w:t xml:space="preserve"> </w:t>
      </w:r>
      <w:r>
        <w:rPr>
          <w:sz w:val="18"/>
        </w:rPr>
        <w:t>make clear</w:t>
      </w:r>
      <w:r>
        <w:rPr>
          <w:spacing w:val="-4"/>
          <w:sz w:val="18"/>
        </w:rPr>
        <w:t xml:space="preserve"> </w:t>
      </w:r>
      <w:r>
        <w:rPr>
          <w:sz w:val="18"/>
        </w:rPr>
        <w:t>that</w:t>
      </w:r>
      <w:r>
        <w:rPr>
          <w:spacing w:val="-4"/>
          <w:sz w:val="18"/>
        </w:rPr>
        <w:t xml:space="preserve"> </w:t>
      </w:r>
      <w:r>
        <w:rPr>
          <w:sz w:val="18"/>
        </w:rPr>
        <w:t>the</w:t>
      </w:r>
      <w:r>
        <w:rPr>
          <w:spacing w:val="-3"/>
          <w:sz w:val="18"/>
        </w:rPr>
        <w:t xml:space="preserve"> </w:t>
      </w:r>
      <w:r>
        <w:rPr>
          <w:sz w:val="18"/>
        </w:rPr>
        <w:t>inquiries</w:t>
      </w:r>
      <w:r>
        <w:rPr>
          <w:spacing w:val="-3"/>
          <w:sz w:val="18"/>
        </w:rPr>
        <w:t xml:space="preserve"> </w:t>
      </w:r>
      <w:r>
        <w:rPr>
          <w:sz w:val="18"/>
        </w:rPr>
        <w:t>set</w:t>
      </w:r>
      <w:r>
        <w:rPr>
          <w:spacing w:val="-4"/>
          <w:sz w:val="18"/>
        </w:rPr>
        <w:t xml:space="preserve"> </w:t>
      </w:r>
      <w:r>
        <w:rPr>
          <w:sz w:val="18"/>
        </w:rPr>
        <w:t>forth</w:t>
      </w:r>
      <w:r>
        <w:rPr>
          <w:spacing w:val="-3"/>
          <w:sz w:val="18"/>
        </w:rPr>
        <w:t xml:space="preserve"> </w:t>
      </w:r>
      <w:r>
        <w:rPr>
          <w:sz w:val="18"/>
        </w:rPr>
        <w:t>in</w:t>
      </w:r>
      <w:r>
        <w:rPr>
          <w:spacing w:val="-3"/>
          <w:sz w:val="18"/>
        </w:rPr>
        <w:t xml:space="preserve"> </w:t>
      </w:r>
      <w:r>
        <w:rPr>
          <w:sz w:val="18"/>
        </w:rPr>
        <w:t>Articles</w:t>
      </w:r>
      <w:r>
        <w:rPr>
          <w:spacing w:val="-4"/>
          <w:sz w:val="18"/>
        </w:rPr>
        <w:t xml:space="preserve"> </w:t>
      </w:r>
      <w:r>
        <w:rPr>
          <w:sz w:val="18"/>
        </w:rPr>
        <w:t>3.2</w:t>
      </w:r>
      <w:r>
        <w:rPr>
          <w:spacing w:val="-4"/>
          <w:sz w:val="18"/>
        </w:rPr>
        <w:t xml:space="preserve"> </w:t>
      </w:r>
      <w:r>
        <w:rPr>
          <w:sz w:val="18"/>
        </w:rPr>
        <w:t>and</w:t>
      </w:r>
      <w:r>
        <w:rPr>
          <w:spacing w:val="-3"/>
          <w:sz w:val="18"/>
        </w:rPr>
        <w:t xml:space="preserve"> </w:t>
      </w:r>
      <w:r>
        <w:rPr>
          <w:sz w:val="18"/>
        </w:rPr>
        <w:t>15.2,</w:t>
      </w:r>
      <w:r>
        <w:rPr>
          <w:spacing w:val="-4"/>
          <w:sz w:val="18"/>
        </w:rPr>
        <w:t xml:space="preserve"> </w:t>
      </w:r>
      <w:r>
        <w:rPr>
          <w:sz w:val="18"/>
        </w:rPr>
        <w:t>and</w:t>
      </w:r>
      <w:r>
        <w:rPr>
          <w:spacing w:val="-3"/>
          <w:sz w:val="18"/>
        </w:rPr>
        <w:t xml:space="preserve"> </w:t>
      </w:r>
      <w:r>
        <w:rPr>
          <w:sz w:val="18"/>
        </w:rPr>
        <w:t>the</w:t>
      </w:r>
      <w:r>
        <w:rPr>
          <w:spacing w:val="-3"/>
          <w:sz w:val="18"/>
        </w:rPr>
        <w:t xml:space="preserve"> </w:t>
      </w:r>
      <w:r>
        <w:rPr>
          <w:sz w:val="18"/>
        </w:rPr>
        <w:t>examination</w:t>
      </w:r>
      <w:r>
        <w:rPr>
          <w:spacing w:val="-3"/>
          <w:sz w:val="18"/>
        </w:rPr>
        <w:t xml:space="preserve"> </w:t>
      </w:r>
      <w:r>
        <w:rPr>
          <w:sz w:val="18"/>
        </w:rPr>
        <w:t>required</w:t>
      </w:r>
      <w:r>
        <w:rPr>
          <w:spacing w:val="-4"/>
          <w:sz w:val="18"/>
        </w:rPr>
        <w:t xml:space="preserve"> </w:t>
      </w:r>
      <w:r>
        <w:rPr>
          <w:sz w:val="18"/>
        </w:rPr>
        <w:t>in</w:t>
      </w:r>
      <w:r>
        <w:rPr>
          <w:spacing w:val="-3"/>
          <w:sz w:val="18"/>
        </w:rPr>
        <w:t xml:space="preserve"> </w:t>
      </w:r>
      <w:r>
        <w:rPr>
          <w:sz w:val="18"/>
        </w:rPr>
        <w:t>Articles</w:t>
      </w:r>
      <w:r>
        <w:rPr>
          <w:spacing w:val="-3"/>
          <w:sz w:val="18"/>
        </w:rPr>
        <w:t xml:space="preserve"> </w:t>
      </w:r>
      <w:r>
        <w:rPr>
          <w:sz w:val="18"/>
        </w:rPr>
        <w:t>3.4</w:t>
      </w:r>
      <w:r>
        <w:rPr>
          <w:spacing w:val="-4"/>
          <w:sz w:val="18"/>
        </w:rPr>
        <w:t xml:space="preserve"> </w:t>
      </w:r>
      <w:r>
        <w:rPr>
          <w:sz w:val="18"/>
        </w:rPr>
        <w:t>and</w:t>
      </w:r>
      <w:r>
        <w:rPr>
          <w:spacing w:val="-3"/>
          <w:sz w:val="18"/>
        </w:rPr>
        <w:t xml:space="preserve"> </w:t>
      </w:r>
      <w:r>
        <w:rPr>
          <w:sz w:val="18"/>
        </w:rPr>
        <w:t>15.4,</w:t>
      </w:r>
      <w:r>
        <w:rPr>
          <w:spacing w:val="-4"/>
          <w:sz w:val="18"/>
        </w:rPr>
        <w:t xml:space="preserve"> </w:t>
      </w:r>
      <w:r>
        <w:rPr>
          <w:sz w:val="18"/>
        </w:rPr>
        <w:t>are</w:t>
      </w:r>
      <w:r>
        <w:rPr>
          <w:spacing w:val="-3"/>
          <w:sz w:val="18"/>
        </w:rPr>
        <w:t xml:space="preserve"> </w:t>
      </w:r>
      <w:r>
        <w:rPr>
          <w:sz w:val="18"/>
        </w:rPr>
        <w:t>necessary in order to answer the ultimate question in Articles 3.5 and 15.5 as to whether subject imports are causing injury to the domestic industry. The outcomes of these inquiries thus form the basi</w:t>
      </w:r>
      <w:r>
        <w:rPr>
          <w:sz w:val="18"/>
        </w:rPr>
        <w:t xml:space="preserve">s for the overall causation analysis contemplated in Articles 3.5 and 15.5") (emphasis in original) (footnotes omitted); </w:t>
      </w:r>
      <w:r>
        <w:rPr>
          <w:i/>
          <w:sz w:val="18"/>
        </w:rPr>
        <w:t>Korea – Pneumatic Valves</w:t>
      </w:r>
      <w:r>
        <w:rPr>
          <w:sz w:val="18"/>
        </w:rPr>
        <w:t>, para. 5.191.</w:t>
      </w:r>
    </w:p>
    <w:p w14:paraId="51DE9140" w14:textId="77777777" w:rsidR="0010369C" w:rsidRDefault="008E43AE">
      <w:pPr>
        <w:ind w:left="237" w:right="615" w:firstLine="1"/>
        <w:jc w:val="both"/>
        <w:rPr>
          <w:sz w:val="18"/>
        </w:rPr>
      </w:pPr>
      <w:r>
        <w:rPr>
          <w:sz w:val="18"/>
          <w:vertAlign w:val="superscript"/>
        </w:rPr>
        <w:t>763</w:t>
      </w:r>
      <w:r>
        <w:rPr>
          <w:sz w:val="18"/>
        </w:rPr>
        <w:t xml:space="preserve"> Panel Reports, </w:t>
      </w:r>
      <w:r>
        <w:rPr>
          <w:i/>
          <w:sz w:val="18"/>
        </w:rPr>
        <w:t>EU – Footwear (China)</w:t>
      </w:r>
      <w:r>
        <w:rPr>
          <w:sz w:val="18"/>
        </w:rPr>
        <w:t xml:space="preserve">, para. 7.482; Appellate Body, </w:t>
      </w:r>
      <w:r>
        <w:rPr>
          <w:i/>
          <w:sz w:val="18"/>
        </w:rPr>
        <w:t>US – Anti‐Dumping Measure</w:t>
      </w:r>
      <w:r>
        <w:rPr>
          <w:i/>
          <w:sz w:val="18"/>
        </w:rPr>
        <w:t>s on Oil Country Tubular Goods</w:t>
      </w:r>
      <w:r>
        <w:rPr>
          <w:sz w:val="18"/>
        </w:rPr>
        <w:t>, para. 117.</w:t>
      </w:r>
    </w:p>
    <w:p w14:paraId="51DE9141" w14:textId="77777777" w:rsidR="0010369C" w:rsidRDefault="008E43AE">
      <w:pPr>
        <w:ind w:left="238" w:right="612" w:hanging="1"/>
        <w:jc w:val="both"/>
        <w:rPr>
          <w:sz w:val="18"/>
        </w:rPr>
      </w:pPr>
      <w:r>
        <w:rPr>
          <w:sz w:val="18"/>
          <w:vertAlign w:val="superscript"/>
        </w:rPr>
        <w:t>764</w:t>
      </w:r>
      <w:r>
        <w:rPr>
          <w:sz w:val="18"/>
        </w:rPr>
        <w:t xml:space="preserve"> Appellate Body Reports</w:t>
      </w:r>
      <w:r>
        <w:rPr>
          <w:i/>
          <w:sz w:val="18"/>
        </w:rPr>
        <w:t>, China – HP‐SSST (Japan)</w:t>
      </w:r>
      <w:r>
        <w:rPr>
          <w:sz w:val="18"/>
        </w:rPr>
        <w:t xml:space="preserve">, para. 5.225 ("The first two sentences of Article 3.5 identify the </w:t>
      </w:r>
      <w:r>
        <w:rPr>
          <w:b/>
          <w:i/>
          <w:sz w:val="18"/>
        </w:rPr>
        <w:t xml:space="preserve">causal link </w:t>
      </w:r>
      <w:r>
        <w:rPr>
          <w:sz w:val="18"/>
        </w:rPr>
        <w:t xml:space="preserve">that must be shown in reaching an injury determination. These sentences expressly </w:t>
      </w:r>
      <w:r>
        <w:rPr>
          <w:sz w:val="18"/>
        </w:rPr>
        <w:t>require investigating authorities to</w:t>
      </w:r>
    </w:p>
    <w:p w14:paraId="51DE9142" w14:textId="77777777" w:rsidR="0010369C" w:rsidRDefault="0010369C">
      <w:pPr>
        <w:jc w:val="both"/>
        <w:rPr>
          <w:sz w:val="18"/>
        </w:rPr>
        <w:sectPr w:rsidR="0010369C">
          <w:pgSz w:w="11910" w:h="16840"/>
          <w:pgMar w:top="880" w:right="800" w:bottom="980" w:left="1180" w:header="569" w:footer="788" w:gutter="0"/>
          <w:cols w:space="720"/>
        </w:sectPr>
      </w:pPr>
    </w:p>
    <w:p w14:paraId="51DE9143" w14:textId="77777777" w:rsidR="0010369C" w:rsidRDefault="008E43AE">
      <w:pPr>
        <w:tabs>
          <w:tab w:val="left" w:pos="6426"/>
        </w:tabs>
        <w:ind w:left="238"/>
        <w:jc w:val="both"/>
        <w:rPr>
          <w:sz w:val="20"/>
        </w:rPr>
      </w:pPr>
      <w:r>
        <w:rPr>
          <w:i/>
          <w:sz w:val="20"/>
        </w:rPr>
        <w:lastRenderedPageBreak/>
        <w:t>China</w:t>
      </w:r>
      <w:r>
        <w:rPr>
          <w:i/>
          <w:spacing w:val="-5"/>
          <w:sz w:val="20"/>
        </w:rPr>
        <w:t xml:space="preserve"> </w:t>
      </w:r>
      <w:r>
        <w:rPr>
          <w:i/>
          <w:sz w:val="20"/>
        </w:rPr>
        <w:t>–</w:t>
      </w:r>
      <w:r>
        <w:rPr>
          <w:i/>
          <w:spacing w:val="-5"/>
          <w:sz w:val="20"/>
        </w:rPr>
        <w:t xml:space="preserve"> </w:t>
      </w:r>
      <w:r>
        <w:rPr>
          <w:i/>
          <w:sz w:val="20"/>
        </w:rPr>
        <w:t>Anti‐Dumping</w:t>
      </w:r>
      <w:r>
        <w:rPr>
          <w:i/>
          <w:spacing w:val="-4"/>
          <w:sz w:val="20"/>
        </w:rPr>
        <w:t xml:space="preserve"> </w:t>
      </w:r>
      <w:r>
        <w:rPr>
          <w:i/>
          <w:sz w:val="20"/>
        </w:rPr>
        <w:t>and</w:t>
      </w:r>
      <w:r>
        <w:rPr>
          <w:i/>
          <w:spacing w:val="-5"/>
          <w:sz w:val="20"/>
        </w:rPr>
        <w:t xml:space="preserve"> </w:t>
      </w:r>
      <w:r>
        <w:rPr>
          <w:i/>
          <w:sz w:val="20"/>
        </w:rPr>
        <w:t>Countervailing</w:t>
      </w:r>
      <w:r>
        <w:rPr>
          <w:i/>
          <w:spacing w:val="-5"/>
          <w:sz w:val="20"/>
        </w:rPr>
        <w:t xml:space="preserve"> </w:t>
      </w:r>
      <w:r>
        <w:rPr>
          <w:i/>
          <w:sz w:val="20"/>
        </w:rPr>
        <w:t>Duty</w:t>
      </w:r>
      <w:r>
        <w:rPr>
          <w:i/>
          <w:spacing w:val="-4"/>
          <w:sz w:val="20"/>
        </w:rPr>
        <w:t xml:space="preserve"> </w:t>
      </w:r>
      <w:r>
        <w:rPr>
          <w:i/>
          <w:spacing w:val="-2"/>
          <w:sz w:val="20"/>
        </w:rPr>
        <w:t>Measures</w:t>
      </w:r>
      <w:r>
        <w:rPr>
          <w:i/>
          <w:sz w:val="20"/>
        </w:rPr>
        <w:tab/>
      </w:r>
      <w:r>
        <w:rPr>
          <w:sz w:val="20"/>
        </w:rPr>
        <w:t>Australia's</w:t>
      </w:r>
      <w:r>
        <w:rPr>
          <w:spacing w:val="-7"/>
          <w:sz w:val="20"/>
        </w:rPr>
        <w:t xml:space="preserve"> </w:t>
      </w:r>
      <w:r>
        <w:rPr>
          <w:sz w:val="20"/>
        </w:rPr>
        <w:t>First</w:t>
      </w:r>
      <w:r>
        <w:rPr>
          <w:spacing w:val="-2"/>
          <w:sz w:val="20"/>
        </w:rPr>
        <w:t xml:space="preserve"> </w:t>
      </w:r>
      <w:r>
        <w:rPr>
          <w:sz w:val="20"/>
        </w:rPr>
        <w:t>Written</w:t>
      </w:r>
      <w:r>
        <w:rPr>
          <w:spacing w:val="-2"/>
          <w:sz w:val="20"/>
        </w:rPr>
        <w:t xml:space="preserve"> Submission</w:t>
      </w:r>
    </w:p>
    <w:p w14:paraId="51DE9144" w14:textId="77777777" w:rsidR="0010369C" w:rsidRDefault="008E43AE">
      <w:pPr>
        <w:tabs>
          <w:tab w:val="left" w:pos="8228"/>
        </w:tabs>
        <w:spacing w:before="1"/>
        <w:ind w:left="239"/>
        <w:jc w:val="both"/>
        <w:rPr>
          <w:sz w:val="20"/>
        </w:rPr>
      </w:pPr>
      <w:r>
        <w:rPr>
          <w:i/>
          <w:sz w:val="20"/>
        </w:rPr>
        <w:t>on</w:t>
      </w:r>
      <w:r>
        <w:rPr>
          <w:i/>
          <w:spacing w:val="-1"/>
          <w:sz w:val="20"/>
        </w:rPr>
        <w:t xml:space="preserve"> </w:t>
      </w:r>
      <w:r>
        <w:rPr>
          <w:i/>
          <w:sz w:val="20"/>
        </w:rPr>
        <w:t>Wine</w:t>
      </w:r>
      <w:r>
        <w:rPr>
          <w:i/>
          <w:spacing w:val="-1"/>
          <w:sz w:val="20"/>
        </w:rPr>
        <w:t xml:space="preserve"> </w:t>
      </w:r>
      <w:r>
        <w:rPr>
          <w:i/>
          <w:sz w:val="20"/>
        </w:rPr>
        <w:t>from</w:t>
      </w:r>
      <w:r>
        <w:rPr>
          <w:i/>
          <w:spacing w:val="-3"/>
          <w:sz w:val="20"/>
        </w:rPr>
        <w:t xml:space="preserve"> </w:t>
      </w:r>
      <w:r>
        <w:rPr>
          <w:i/>
          <w:sz w:val="20"/>
        </w:rPr>
        <w:t>Australia</w:t>
      </w:r>
      <w:r>
        <w:rPr>
          <w:i/>
          <w:spacing w:val="-1"/>
          <w:sz w:val="20"/>
        </w:rPr>
        <w:t xml:space="preserve"> </w:t>
      </w:r>
      <w:r>
        <w:rPr>
          <w:spacing w:val="-2"/>
          <w:sz w:val="20"/>
        </w:rPr>
        <w:t>(DS602)</w:t>
      </w:r>
      <w:r>
        <w:rPr>
          <w:sz w:val="20"/>
        </w:rPr>
        <w:tab/>
        <w:t>29</w:t>
      </w:r>
      <w:r>
        <w:rPr>
          <w:spacing w:val="-1"/>
          <w:sz w:val="20"/>
        </w:rPr>
        <w:t xml:space="preserve"> </w:t>
      </w:r>
      <w:r>
        <w:rPr>
          <w:sz w:val="20"/>
        </w:rPr>
        <w:t>April</w:t>
      </w:r>
      <w:r>
        <w:rPr>
          <w:spacing w:val="-2"/>
          <w:sz w:val="20"/>
        </w:rPr>
        <w:t xml:space="preserve"> </w:t>
      </w:r>
      <w:r>
        <w:rPr>
          <w:spacing w:val="-4"/>
          <w:sz w:val="20"/>
        </w:rPr>
        <w:t>2022</w:t>
      </w:r>
    </w:p>
    <w:p w14:paraId="51DE9145" w14:textId="77777777" w:rsidR="0010369C" w:rsidRDefault="008E43AE">
      <w:pPr>
        <w:pStyle w:val="BodyText"/>
        <w:spacing w:before="34" w:line="360" w:lineRule="auto"/>
        <w:ind w:left="237" w:right="612"/>
        <w:jc w:val="both"/>
      </w:pPr>
      <w:r>
        <w:t>of</w:t>
      </w:r>
      <w:r>
        <w:rPr>
          <w:spacing w:val="-14"/>
        </w:rPr>
        <w:t xml:space="preserve"> </w:t>
      </w:r>
      <w:r>
        <w:t>the</w:t>
      </w:r>
      <w:r>
        <w:rPr>
          <w:spacing w:val="-14"/>
        </w:rPr>
        <w:t xml:space="preserve"> </w:t>
      </w:r>
      <w:r>
        <w:t>SCM</w:t>
      </w:r>
      <w:r>
        <w:rPr>
          <w:spacing w:val="-13"/>
        </w:rPr>
        <w:t xml:space="preserve"> </w:t>
      </w:r>
      <w:r>
        <w:t>Agreement,</w:t>
      </w:r>
      <w:r>
        <w:rPr>
          <w:spacing w:val="-14"/>
        </w:rPr>
        <w:t xml:space="preserve"> </w:t>
      </w:r>
      <w:r>
        <w:t>which</w:t>
      </w:r>
      <w:r>
        <w:rPr>
          <w:spacing w:val="-13"/>
        </w:rPr>
        <w:t xml:space="preserve"> </w:t>
      </w:r>
      <w:r>
        <w:t>is</w:t>
      </w:r>
      <w:r>
        <w:rPr>
          <w:spacing w:val="-14"/>
        </w:rPr>
        <w:t xml:space="preserve"> </w:t>
      </w:r>
      <w:r>
        <w:t>nearly</w:t>
      </w:r>
      <w:r>
        <w:rPr>
          <w:spacing w:val="-13"/>
        </w:rPr>
        <w:t xml:space="preserve"> </w:t>
      </w:r>
      <w:r>
        <w:t>identical</w:t>
      </w:r>
      <w:r>
        <w:rPr>
          <w:spacing w:val="-14"/>
        </w:rPr>
        <w:t xml:space="preserve"> </w:t>
      </w:r>
      <w:r>
        <w:t>to</w:t>
      </w:r>
      <w:r>
        <w:rPr>
          <w:spacing w:val="-14"/>
        </w:rPr>
        <w:t xml:space="preserve"> </w:t>
      </w:r>
      <w:r>
        <w:t>Article</w:t>
      </w:r>
      <w:r>
        <w:rPr>
          <w:spacing w:val="-13"/>
        </w:rPr>
        <w:t xml:space="preserve"> </w:t>
      </w:r>
      <w:r>
        <w:t>3.5</w:t>
      </w:r>
      <w:r>
        <w:rPr>
          <w:spacing w:val="-14"/>
        </w:rPr>
        <w:t xml:space="preserve"> </w:t>
      </w:r>
      <w:r>
        <w:t>of</w:t>
      </w:r>
      <w:r>
        <w:rPr>
          <w:spacing w:val="-13"/>
        </w:rPr>
        <w:t xml:space="preserve"> </w:t>
      </w:r>
      <w:r>
        <w:t>the</w:t>
      </w:r>
      <w:r>
        <w:rPr>
          <w:spacing w:val="-14"/>
        </w:rPr>
        <w:t xml:space="preserve"> </w:t>
      </w:r>
      <w:r>
        <w:t>Anti‐Dumping</w:t>
      </w:r>
      <w:r>
        <w:rPr>
          <w:spacing w:val="-13"/>
        </w:rPr>
        <w:t xml:space="preserve"> </w:t>
      </w:r>
      <w:r>
        <w:t>Agreement, the Appellate Body has held that a showing of a "causal relationship" between the subject imports and the injury requires the existence of a "genuine and substantial relationship of cause</w:t>
      </w:r>
      <w:r>
        <w:rPr>
          <w:spacing w:val="-8"/>
        </w:rPr>
        <w:t xml:space="preserve"> </w:t>
      </w:r>
      <w:r>
        <w:t>and</w:t>
      </w:r>
      <w:r>
        <w:rPr>
          <w:spacing w:val="-9"/>
        </w:rPr>
        <w:t xml:space="preserve"> </w:t>
      </w:r>
      <w:r>
        <w:t>effect".</w:t>
      </w:r>
      <w:r>
        <w:rPr>
          <w:vertAlign w:val="superscript"/>
        </w:rPr>
        <w:t>765</w:t>
      </w:r>
      <w:r>
        <w:rPr>
          <w:spacing w:val="-9"/>
        </w:rPr>
        <w:t xml:space="preserve"> </w:t>
      </w:r>
      <w:r>
        <w:t>Australia</w:t>
      </w:r>
      <w:r>
        <w:rPr>
          <w:spacing w:val="-9"/>
        </w:rPr>
        <w:t xml:space="preserve"> </w:t>
      </w:r>
      <w:r>
        <w:t>submits</w:t>
      </w:r>
      <w:r>
        <w:rPr>
          <w:spacing w:val="-9"/>
        </w:rPr>
        <w:t xml:space="preserve"> </w:t>
      </w:r>
      <w:r>
        <w:t>that</w:t>
      </w:r>
      <w:r>
        <w:rPr>
          <w:spacing w:val="-9"/>
        </w:rPr>
        <w:t xml:space="preserve"> </w:t>
      </w:r>
      <w:r>
        <w:t>the</w:t>
      </w:r>
      <w:r>
        <w:rPr>
          <w:spacing w:val="-8"/>
        </w:rPr>
        <w:t xml:space="preserve"> </w:t>
      </w:r>
      <w:r>
        <w:t>same</w:t>
      </w:r>
      <w:r>
        <w:rPr>
          <w:spacing w:val="-8"/>
        </w:rPr>
        <w:t xml:space="preserve"> </w:t>
      </w:r>
      <w:r>
        <w:t>"causation</w:t>
      </w:r>
      <w:r>
        <w:rPr>
          <w:spacing w:val="-11"/>
        </w:rPr>
        <w:t xml:space="preserve"> </w:t>
      </w:r>
      <w:r>
        <w:t>standard"</w:t>
      </w:r>
      <w:r>
        <w:rPr>
          <w:spacing w:val="-9"/>
        </w:rPr>
        <w:t xml:space="preserve"> </w:t>
      </w:r>
      <w:r>
        <w:t>is</w:t>
      </w:r>
      <w:r>
        <w:rPr>
          <w:spacing w:val="-9"/>
        </w:rPr>
        <w:t xml:space="preserve"> </w:t>
      </w:r>
      <w:r>
        <w:t>applicable</w:t>
      </w:r>
      <w:r>
        <w:rPr>
          <w:spacing w:val="-8"/>
        </w:rPr>
        <w:t xml:space="preserve"> </w:t>
      </w:r>
      <w:r>
        <w:t>under Article 3.5.</w:t>
      </w:r>
    </w:p>
    <w:p w14:paraId="51DE9146" w14:textId="77777777" w:rsidR="0010369C" w:rsidRDefault="0010369C">
      <w:pPr>
        <w:pStyle w:val="BodyText"/>
        <w:spacing w:before="11"/>
        <w:rPr>
          <w:sz w:val="8"/>
        </w:rPr>
      </w:pPr>
    </w:p>
    <w:p w14:paraId="51DE9147" w14:textId="77777777" w:rsidR="0010369C" w:rsidRDefault="008E43AE">
      <w:pPr>
        <w:pStyle w:val="BodyText"/>
        <w:spacing w:before="51" w:line="360" w:lineRule="auto"/>
        <w:ind w:left="237" w:right="612" w:firstLine="851"/>
        <w:jc w:val="both"/>
      </w:pPr>
      <w:r>
        <w:rPr>
          <w:noProof/>
        </w:rPr>
        <w:drawing>
          <wp:anchor distT="0" distB="0" distL="0" distR="0" simplePos="0" relativeHeight="251279872" behindDoc="1" locked="0" layoutInCell="1" allowOverlap="1" wp14:anchorId="51DEA55D" wp14:editId="51DEA55E">
            <wp:simplePos x="0" y="0"/>
            <wp:positionH relativeFrom="page">
              <wp:posOffset>905255</wp:posOffset>
            </wp:positionH>
            <wp:positionV relativeFrom="paragraph">
              <wp:posOffset>79960</wp:posOffset>
            </wp:positionV>
            <wp:extent cx="259079" cy="103631"/>
            <wp:effectExtent l="0" t="0" r="0" b="0"/>
            <wp:wrapNone/>
            <wp:docPr id="1305" name="image6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 name="image674.png"/>
                    <pic:cNvPicPr/>
                  </pic:nvPicPr>
                  <pic:blipFill>
                    <a:blip r:embed="rId876" cstate="print"/>
                    <a:stretch>
                      <a:fillRect/>
                    </a:stretch>
                  </pic:blipFill>
                  <pic:spPr>
                    <a:xfrm>
                      <a:off x="0" y="0"/>
                      <a:ext cx="259079" cy="103631"/>
                    </a:xfrm>
                    <a:prstGeom prst="rect">
                      <a:avLst/>
                    </a:prstGeom>
                  </pic:spPr>
                </pic:pic>
              </a:graphicData>
            </a:graphic>
          </wp:anchor>
        </w:drawing>
      </w:r>
      <w:r>
        <w:t>In the course of identifying this causal relationship, investigating authorities are not permitted to attribute to dumped imports injuries caused</w:t>
      </w:r>
      <w:r>
        <w:rPr>
          <w:spacing w:val="-1"/>
        </w:rPr>
        <w:t xml:space="preserve"> </w:t>
      </w:r>
      <w:r>
        <w:t>by other factors.</w:t>
      </w:r>
      <w:r>
        <w:rPr>
          <w:vertAlign w:val="superscript"/>
        </w:rPr>
        <w:t>766</w:t>
      </w:r>
      <w:r>
        <w:t xml:space="preserve"> In this res</w:t>
      </w:r>
      <w:r>
        <w:t>pect, the third sentence of Article 3.5 requires an investigating authority to "ensure that the injurious effects of other known factors are not 'attributed' to dumped imports".</w:t>
      </w:r>
      <w:r>
        <w:rPr>
          <w:vertAlign w:val="superscript"/>
        </w:rPr>
        <w:t>767</w:t>
      </w:r>
      <w:r>
        <w:t xml:space="preserve"> The Appellate Body has explained that this requires the investigating autho</w:t>
      </w:r>
      <w:r>
        <w:t>rity to identify, separate, and distinguish the injurious effects of the other factors from the injurious effects of the dumped imports because, in the absence of such separation and distinction of the different injurious effects, the authority will have n</w:t>
      </w:r>
      <w:r>
        <w:t>o rational basis to conclude that the dumped imports are indeed causing the injury.</w:t>
      </w:r>
      <w:r>
        <w:rPr>
          <w:vertAlign w:val="superscript"/>
        </w:rPr>
        <w:t>768</w:t>
      </w:r>
      <w:r>
        <w:t xml:space="preserve"> The list of factors</w:t>
      </w:r>
      <w:r>
        <w:rPr>
          <w:spacing w:val="-1"/>
        </w:rPr>
        <w:t xml:space="preserve"> </w:t>
      </w:r>
      <w:r>
        <w:t xml:space="preserve">in the fourth sentence of Article 3.5 is "illustrative", and each of these factors may or may not be relevant in a given </w:t>
      </w:r>
      <w:r>
        <w:rPr>
          <w:spacing w:val="-2"/>
        </w:rPr>
        <w:t>case.</w:t>
      </w:r>
      <w:r>
        <w:rPr>
          <w:spacing w:val="-2"/>
          <w:vertAlign w:val="superscript"/>
        </w:rPr>
        <w:t>769</w:t>
      </w:r>
    </w:p>
    <w:p w14:paraId="51DE9148" w14:textId="77777777" w:rsidR="0010369C" w:rsidRDefault="0010369C">
      <w:pPr>
        <w:pStyle w:val="BodyText"/>
        <w:spacing w:before="11"/>
        <w:rPr>
          <w:sz w:val="8"/>
        </w:rPr>
      </w:pPr>
    </w:p>
    <w:p w14:paraId="51DE9149" w14:textId="77777777" w:rsidR="0010369C" w:rsidRDefault="008E43AE">
      <w:pPr>
        <w:pStyle w:val="BodyText"/>
        <w:spacing w:before="52" w:line="360" w:lineRule="auto"/>
        <w:ind w:left="238" w:right="611" w:firstLine="850"/>
      </w:pPr>
      <w:r>
        <w:rPr>
          <w:noProof/>
        </w:rPr>
        <w:drawing>
          <wp:anchor distT="0" distB="0" distL="0" distR="0" simplePos="0" relativeHeight="251280896" behindDoc="1" locked="0" layoutInCell="1" allowOverlap="1" wp14:anchorId="51DEA55F" wp14:editId="51DEA560">
            <wp:simplePos x="0" y="0"/>
            <wp:positionH relativeFrom="page">
              <wp:posOffset>905255</wp:posOffset>
            </wp:positionH>
            <wp:positionV relativeFrom="paragraph">
              <wp:posOffset>81949</wp:posOffset>
            </wp:positionV>
            <wp:extent cx="259079" cy="100753"/>
            <wp:effectExtent l="0" t="0" r="0" b="0"/>
            <wp:wrapNone/>
            <wp:docPr id="1307" name="image6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 name="image675.png"/>
                    <pic:cNvPicPr/>
                  </pic:nvPicPr>
                  <pic:blipFill>
                    <a:blip r:embed="rId877" cstate="print"/>
                    <a:stretch>
                      <a:fillRect/>
                    </a:stretch>
                  </pic:blipFill>
                  <pic:spPr>
                    <a:xfrm>
                      <a:off x="0" y="0"/>
                      <a:ext cx="259079" cy="100753"/>
                    </a:xfrm>
                    <a:prstGeom prst="rect">
                      <a:avLst/>
                    </a:prstGeom>
                  </pic:spPr>
                </pic:pic>
              </a:graphicData>
            </a:graphic>
          </wp:anchor>
        </w:drawing>
      </w:r>
      <w:r>
        <w:t>Article 3.5</w:t>
      </w:r>
      <w:r>
        <w:rPr>
          <w:spacing w:val="-1"/>
        </w:rPr>
        <w:t xml:space="preserve"> </w:t>
      </w:r>
      <w:r>
        <w:t>does not prescribe any particular methodology for how the examinations of</w:t>
      </w:r>
      <w:r>
        <w:rPr>
          <w:spacing w:val="45"/>
        </w:rPr>
        <w:t xml:space="preserve"> </w:t>
      </w:r>
      <w:r>
        <w:t>causation</w:t>
      </w:r>
      <w:r>
        <w:rPr>
          <w:spacing w:val="46"/>
        </w:rPr>
        <w:t xml:space="preserve"> </w:t>
      </w:r>
      <w:r>
        <w:t>and</w:t>
      </w:r>
      <w:r>
        <w:rPr>
          <w:spacing w:val="45"/>
        </w:rPr>
        <w:t xml:space="preserve"> </w:t>
      </w:r>
      <w:r>
        <w:t>non‐attribution</w:t>
      </w:r>
      <w:r>
        <w:rPr>
          <w:spacing w:val="45"/>
        </w:rPr>
        <w:t xml:space="preserve"> </w:t>
      </w:r>
      <w:r>
        <w:t>are</w:t>
      </w:r>
      <w:r>
        <w:rPr>
          <w:spacing w:val="47"/>
        </w:rPr>
        <w:t xml:space="preserve"> </w:t>
      </w:r>
      <w:r>
        <w:t>to</w:t>
      </w:r>
      <w:r>
        <w:rPr>
          <w:spacing w:val="46"/>
        </w:rPr>
        <w:t xml:space="preserve"> </w:t>
      </w:r>
      <w:r>
        <w:t>be</w:t>
      </w:r>
      <w:r>
        <w:rPr>
          <w:spacing w:val="47"/>
        </w:rPr>
        <w:t xml:space="preserve"> </w:t>
      </w:r>
      <w:r>
        <w:t>undertaken.</w:t>
      </w:r>
      <w:r>
        <w:rPr>
          <w:vertAlign w:val="superscript"/>
        </w:rPr>
        <w:t>770</w:t>
      </w:r>
      <w:r>
        <w:rPr>
          <w:spacing w:val="45"/>
        </w:rPr>
        <w:t xml:space="preserve"> </w:t>
      </w:r>
      <w:r>
        <w:t>However,</w:t>
      </w:r>
      <w:r>
        <w:rPr>
          <w:spacing w:val="47"/>
        </w:rPr>
        <w:t xml:space="preserve"> </w:t>
      </w:r>
      <w:r>
        <w:t>"[t]he</w:t>
      </w:r>
      <w:r>
        <w:rPr>
          <w:spacing w:val="46"/>
        </w:rPr>
        <w:t xml:space="preserve"> </w:t>
      </w:r>
      <w:r>
        <w:rPr>
          <w:spacing w:val="-2"/>
        </w:rPr>
        <w:t>investigating</w:t>
      </w:r>
    </w:p>
    <w:p w14:paraId="51DE914A" w14:textId="77777777" w:rsidR="0010369C" w:rsidRDefault="0010369C">
      <w:pPr>
        <w:pStyle w:val="BodyText"/>
        <w:rPr>
          <w:sz w:val="20"/>
        </w:rPr>
      </w:pPr>
    </w:p>
    <w:p w14:paraId="51DE914B" w14:textId="77777777" w:rsidR="0010369C" w:rsidRDefault="008E43AE">
      <w:pPr>
        <w:pStyle w:val="BodyText"/>
        <w:spacing w:before="7"/>
        <w:rPr>
          <w:sz w:val="26"/>
        </w:rPr>
      </w:pPr>
      <w:r>
        <w:pict w14:anchorId="51DEA561">
          <v:rect id="docshape1125" o:spid="_x0000_s1267" style="position:absolute;margin-left:70.9pt;margin-top:17.45pt;width:2in;height:.8pt;z-index:-250799616;mso-wrap-distance-left:0;mso-wrap-distance-right:0;mso-position-horizontal-relative:page" fillcolor="black" stroked="f">
            <w10:wrap type="topAndBottom" anchorx="page"/>
          </v:rect>
        </w:pict>
      </w:r>
    </w:p>
    <w:p w14:paraId="51DE914C" w14:textId="77777777" w:rsidR="0010369C" w:rsidRDefault="008E43AE">
      <w:pPr>
        <w:spacing w:before="110"/>
        <w:ind w:left="237" w:right="613" w:firstLine="1"/>
        <w:jc w:val="both"/>
        <w:rPr>
          <w:sz w:val="18"/>
        </w:rPr>
      </w:pPr>
      <w:r>
        <w:rPr>
          <w:sz w:val="18"/>
        </w:rPr>
        <w:t>demonstrate that the dumped imports are causing injury, and stipulate that such 'demonstration of a causal relationship between</w:t>
      </w:r>
      <w:r>
        <w:rPr>
          <w:spacing w:val="-6"/>
          <w:sz w:val="18"/>
        </w:rPr>
        <w:t xml:space="preserve"> </w:t>
      </w:r>
      <w:r>
        <w:rPr>
          <w:sz w:val="18"/>
        </w:rPr>
        <w:t>the</w:t>
      </w:r>
      <w:r>
        <w:rPr>
          <w:spacing w:val="-6"/>
          <w:sz w:val="18"/>
        </w:rPr>
        <w:t xml:space="preserve"> </w:t>
      </w:r>
      <w:r>
        <w:rPr>
          <w:sz w:val="18"/>
        </w:rPr>
        <w:t>dumped</w:t>
      </w:r>
      <w:r>
        <w:rPr>
          <w:spacing w:val="-6"/>
          <w:sz w:val="18"/>
        </w:rPr>
        <w:t xml:space="preserve"> </w:t>
      </w:r>
      <w:r>
        <w:rPr>
          <w:sz w:val="18"/>
        </w:rPr>
        <w:t>imports</w:t>
      </w:r>
      <w:r>
        <w:rPr>
          <w:spacing w:val="-5"/>
          <w:sz w:val="18"/>
        </w:rPr>
        <w:t xml:space="preserve"> </w:t>
      </w:r>
      <w:r>
        <w:rPr>
          <w:sz w:val="18"/>
        </w:rPr>
        <w:t>and</w:t>
      </w:r>
      <w:r>
        <w:rPr>
          <w:spacing w:val="-6"/>
          <w:sz w:val="18"/>
        </w:rPr>
        <w:t xml:space="preserve"> </w:t>
      </w:r>
      <w:r>
        <w:rPr>
          <w:sz w:val="18"/>
        </w:rPr>
        <w:t>the</w:t>
      </w:r>
      <w:r>
        <w:rPr>
          <w:spacing w:val="-6"/>
          <w:sz w:val="18"/>
        </w:rPr>
        <w:t xml:space="preserve"> </w:t>
      </w:r>
      <w:r>
        <w:rPr>
          <w:sz w:val="18"/>
        </w:rPr>
        <w:t>injury</w:t>
      </w:r>
      <w:r>
        <w:rPr>
          <w:spacing w:val="-5"/>
          <w:sz w:val="18"/>
        </w:rPr>
        <w:t xml:space="preserve"> </w:t>
      </w:r>
      <w:r>
        <w:rPr>
          <w:sz w:val="18"/>
        </w:rPr>
        <w:t>to</w:t>
      </w:r>
      <w:r>
        <w:rPr>
          <w:spacing w:val="-6"/>
          <w:sz w:val="18"/>
        </w:rPr>
        <w:t xml:space="preserve"> </w:t>
      </w:r>
      <w:r>
        <w:rPr>
          <w:sz w:val="18"/>
        </w:rPr>
        <w:t>the</w:t>
      </w:r>
      <w:r>
        <w:rPr>
          <w:spacing w:val="-6"/>
          <w:sz w:val="18"/>
        </w:rPr>
        <w:t xml:space="preserve"> </w:t>
      </w:r>
      <w:r>
        <w:rPr>
          <w:sz w:val="18"/>
        </w:rPr>
        <w:t>domestic</w:t>
      </w:r>
      <w:r>
        <w:rPr>
          <w:spacing w:val="-6"/>
          <w:sz w:val="18"/>
        </w:rPr>
        <w:t xml:space="preserve"> </w:t>
      </w:r>
      <w:r>
        <w:rPr>
          <w:sz w:val="18"/>
        </w:rPr>
        <w:t>injury</w:t>
      </w:r>
      <w:r>
        <w:rPr>
          <w:spacing w:val="-5"/>
          <w:sz w:val="18"/>
        </w:rPr>
        <w:t xml:space="preserve"> </w:t>
      </w:r>
      <w:r>
        <w:rPr>
          <w:sz w:val="18"/>
        </w:rPr>
        <w:t>shall</w:t>
      </w:r>
      <w:r>
        <w:rPr>
          <w:spacing w:val="-7"/>
          <w:sz w:val="18"/>
        </w:rPr>
        <w:t xml:space="preserve"> </w:t>
      </w:r>
      <w:r>
        <w:rPr>
          <w:sz w:val="18"/>
        </w:rPr>
        <w:t>be</w:t>
      </w:r>
      <w:r>
        <w:rPr>
          <w:spacing w:val="-6"/>
          <w:sz w:val="18"/>
        </w:rPr>
        <w:t xml:space="preserve"> </w:t>
      </w:r>
      <w:r>
        <w:rPr>
          <w:sz w:val="18"/>
        </w:rPr>
        <w:t>based</w:t>
      </w:r>
      <w:r>
        <w:rPr>
          <w:spacing w:val="-7"/>
          <w:sz w:val="18"/>
        </w:rPr>
        <w:t xml:space="preserve"> </w:t>
      </w:r>
      <w:r>
        <w:rPr>
          <w:sz w:val="18"/>
        </w:rPr>
        <w:t>on</w:t>
      </w:r>
      <w:r>
        <w:rPr>
          <w:spacing w:val="-6"/>
          <w:sz w:val="18"/>
        </w:rPr>
        <w:t xml:space="preserve"> </w:t>
      </w:r>
      <w:r>
        <w:rPr>
          <w:sz w:val="18"/>
        </w:rPr>
        <w:t>an</w:t>
      </w:r>
      <w:r>
        <w:rPr>
          <w:spacing w:val="-6"/>
          <w:sz w:val="18"/>
        </w:rPr>
        <w:t xml:space="preserve"> </w:t>
      </w:r>
      <w:r>
        <w:rPr>
          <w:sz w:val="18"/>
        </w:rPr>
        <w:t>examination</w:t>
      </w:r>
      <w:r>
        <w:rPr>
          <w:spacing w:val="-7"/>
          <w:sz w:val="18"/>
        </w:rPr>
        <w:t xml:space="preserve"> </w:t>
      </w:r>
      <w:r>
        <w:rPr>
          <w:sz w:val="18"/>
        </w:rPr>
        <w:t>of</w:t>
      </w:r>
      <w:r>
        <w:rPr>
          <w:spacing w:val="-6"/>
          <w:sz w:val="18"/>
        </w:rPr>
        <w:t xml:space="preserve"> </w:t>
      </w:r>
      <w:r>
        <w:rPr>
          <w:b/>
          <w:i/>
          <w:sz w:val="18"/>
        </w:rPr>
        <w:t>all</w:t>
      </w:r>
      <w:r>
        <w:rPr>
          <w:b/>
          <w:i/>
          <w:spacing w:val="-6"/>
          <w:sz w:val="18"/>
        </w:rPr>
        <w:t xml:space="preserve"> </w:t>
      </w:r>
      <w:r>
        <w:rPr>
          <w:b/>
          <w:i/>
          <w:sz w:val="18"/>
        </w:rPr>
        <w:t>relevant</w:t>
      </w:r>
      <w:r>
        <w:rPr>
          <w:b/>
          <w:i/>
          <w:spacing w:val="-6"/>
          <w:sz w:val="18"/>
        </w:rPr>
        <w:t xml:space="preserve"> </w:t>
      </w:r>
      <w:r>
        <w:rPr>
          <w:b/>
          <w:i/>
          <w:sz w:val="18"/>
        </w:rPr>
        <w:t xml:space="preserve">evidence </w:t>
      </w:r>
      <w:r>
        <w:rPr>
          <w:sz w:val="18"/>
        </w:rPr>
        <w:t>before the au</w:t>
      </w:r>
      <w:r>
        <w:rPr>
          <w:sz w:val="18"/>
        </w:rPr>
        <w:t xml:space="preserve">thorities'"[emphasis original]); </w:t>
      </w:r>
      <w:r>
        <w:rPr>
          <w:i/>
          <w:sz w:val="18"/>
        </w:rPr>
        <w:t>Korea – Pneumatic Valves</w:t>
      </w:r>
      <w:r>
        <w:rPr>
          <w:sz w:val="18"/>
        </w:rPr>
        <w:t>, para. 5.291 ("evidence that does not fall squarely within the parameters of Articles 3.2 and</w:t>
      </w:r>
      <w:r>
        <w:rPr>
          <w:spacing w:val="-1"/>
          <w:sz w:val="18"/>
        </w:rPr>
        <w:t xml:space="preserve"> </w:t>
      </w:r>
      <w:r>
        <w:rPr>
          <w:sz w:val="18"/>
        </w:rPr>
        <w:t>3.4 may nevertheless be relevant</w:t>
      </w:r>
      <w:r>
        <w:rPr>
          <w:spacing w:val="-1"/>
          <w:sz w:val="18"/>
        </w:rPr>
        <w:t xml:space="preserve"> </w:t>
      </w:r>
      <w:r>
        <w:rPr>
          <w:sz w:val="18"/>
        </w:rPr>
        <w:t>and persuasive with respect to whether</w:t>
      </w:r>
      <w:r>
        <w:rPr>
          <w:spacing w:val="-1"/>
          <w:sz w:val="18"/>
        </w:rPr>
        <w:t xml:space="preserve"> </w:t>
      </w:r>
      <w:r>
        <w:rPr>
          <w:sz w:val="18"/>
        </w:rPr>
        <w:t>a causal relationship can be dem</w:t>
      </w:r>
      <w:r>
        <w:rPr>
          <w:sz w:val="18"/>
        </w:rPr>
        <w:t xml:space="preserve">onstrated under Article 3.5"). See also Panel Report, </w:t>
      </w:r>
      <w:r>
        <w:rPr>
          <w:i/>
          <w:sz w:val="18"/>
        </w:rPr>
        <w:t>China – Cellulose Pulp</w:t>
      </w:r>
      <w:r>
        <w:rPr>
          <w:sz w:val="18"/>
        </w:rPr>
        <w:t xml:space="preserve">, para. 7.141; Appellate Body Report, </w:t>
      </w:r>
      <w:r>
        <w:rPr>
          <w:i/>
          <w:sz w:val="18"/>
        </w:rPr>
        <w:t>EU – Biodiesel</w:t>
      </w:r>
      <w:r>
        <w:rPr>
          <w:sz w:val="18"/>
        </w:rPr>
        <w:t>, para. 6.125.</w:t>
      </w:r>
    </w:p>
    <w:p w14:paraId="51DE914D" w14:textId="77777777" w:rsidR="0010369C" w:rsidRDefault="008E43AE">
      <w:pPr>
        <w:spacing w:line="219" w:lineRule="exact"/>
        <w:ind w:left="238"/>
        <w:jc w:val="both"/>
        <w:rPr>
          <w:i/>
          <w:sz w:val="18"/>
        </w:rPr>
      </w:pPr>
      <w:r>
        <w:rPr>
          <w:sz w:val="18"/>
          <w:vertAlign w:val="superscript"/>
        </w:rPr>
        <w:t>765</w:t>
      </w:r>
      <w:r>
        <w:rPr>
          <w:spacing w:val="-1"/>
          <w:sz w:val="18"/>
        </w:rPr>
        <w:t xml:space="preserve"> </w:t>
      </w:r>
      <w:r>
        <w:rPr>
          <w:sz w:val="18"/>
        </w:rPr>
        <w:t>Appellate</w:t>
      </w:r>
      <w:r>
        <w:rPr>
          <w:spacing w:val="-1"/>
          <w:sz w:val="18"/>
        </w:rPr>
        <w:t xml:space="preserve"> </w:t>
      </w:r>
      <w:r>
        <w:rPr>
          <w:sz w:val="18"/>
        </w:rPr>
        <w:t>Body</w:t>
      </w:r>
      <w:r>
        <w:rPr>
          <w:spacing w:val="-2"/>
          <w:sz w:val="18"/>
        </w:rPr>
        <w:t xml:space="preserve"> </w:t>
      </w:r>
      <w:r>
        <w:rPr>
          <w:sz w:val="18"/>
        </w:rPr>
        <w:t>Report,</w:t>
      </w:r>
      <w:r>
        <w:rPr>
          <w:spacing w:val="-1"/>
          <w:sz w:val="18"/>
        </w:rPr>
        <w:t xml:space="preserve"> </w:t>
      </w:r>
      <w:r>
        <w:rPr>
          <w:i/>
          <w:sz w:val="18"/>
        </w:rPr>
        <w:t>EU</w:t>
      </w:r>
      <w:r>
        <w:rPr>
          <w:i/>
          <w:spacing w:val="-2"/>
          <w:sz w:val="18"/>
        </w:rPr>
        <w:t xml:space="preserve"> </w:t>
      </w:r>
      <w:r>
        <w:rPr>
          <w:i/>
          <w:sz w:val="18"/>
        </w:rPr>
        <w:t>–</w:t>
      </w:r>
      <w:r>
        <w:rPr>
          <w:i/>
          <w:spacing w:val="-1"/>
          <w:sz w:val="18"/>
        </w:rPr>
        <w:t xml:space="preserve"> </w:t>
      </w:r>
      <w:r>
        <w:rPr>
          <w:i/>
          <w:sz w:val="18"/>
        </w:rPr>
        <w:t>PET</w:t>
      </w:r>
      <w:r>
        <w:rPr>
          <w:i/>
          <w:spacing w:val="-2"/>
          <w:sz w:val="18"/>
        </w:rPr>
        <w:t xml:space="preserve"> </w:t>
      </w:r>
      <w:r>
        <w:rPr>
          <w:i/>
          <w:sz w:val="18"/>
        </w:rPr>
        <w:t>(Pakistan)</w:t>
      </w:r>
      <w:r>
        <w:rPr>
          <w:sz w:val="18"/>
        </w:rPr>
        <w:t>,</w:t>
      </w:r>
      <w:r>
        <w:rPr>
          <w:spacing w:val="-1"/>
          <w:sz w:val="18"/>
        </w:rPr>
        <w:t xml:space="preserve"> </w:t>
      </w:r>
      <w:r>
        <w:rPr>
          <w:sz w:val="18"/>
        </w:rPr>
        <w:t>para.</w:t>
      </w:r>
      <w:r>
        <w:rPr>
          <w:spacing w:val="-1"/>
          <w:sz w:val="18"/>
        </w:rPr>
        <w:t xml:space="preserve"> </w:t>
      </w:r>
      <w:r>
        <w:rPr>
          <w:sz w:val="18"/>
        </w:rPr>
        <w:t>5.168</w:t>
      </w:r>
      <w:r>
        <w:rPr>
          <w:spacing w:val="-2"/>
          <w:sz w:val="18"/>
        </w:rPr>
        <w:t xml:space="preserve"> </w:t>
      </w:r>
      <w:r>
        <w:rPr>
          <w:sz w:val="18"/>
        </w:rPr>
        <w:t>citing Appellate</w:t>
      </w:r>
      <w:r>
        <w:rPr>
          <w:spacing w:val="-1"/>
          <w:sz w:val="18"/>
        </w:rPr>
        <w:t xml:space="preserve"> </w:t>
      </w:r>
      <w:r>
        <w:rPr>
          <w:sz w:val="18"/>
        </w:rPr>
        <w:t>Body</w:t>
      </w:r>
      <w:r>
        <w:rPr>
          <w:spacing w:val="-1"/>
          <w:sz w:val="18"/>
        </w:rPr>
        <w:t xml:space="preserve"> </w:t>
      </w:r>
      <w:r>
        <w:rPr>
          <w:sz w:val="18"/>
        </w:rPr>
        <w:t>Reports,</w:t>
      </w:r>
      <w:r>
        <w:rPr>
          <w:spacing w:val="-2"/>
          <w:sz w:val="18"/>
        </w:rPr>
        <w:t xml:space="preserve"> </w:t>
      </w:r>
      <w:r>
        <w:rPr>
          <w:i/>
          <w:sz w:val="18"/>
        </w:rPr>
        <w:t>US –</w:t>
      </w:r>
      <w:r>
        <w:rPr>
          <w:i/>
          <w:spacing w:val="-1"/>
          <w:sz w:val="18"/>
        </w:rPr>
        <w:t xml:space="preserve"> </w:t>
      </w:r>
      <w:r>
        <w:rPr>
          <w:i/>
          <w:sz w:val="18"/>
        </w:rPr>
        <w:t>Softwood</w:t>
      </w:r>
      <w:r>
        <w:rPr>
          <w:i/>
          <w:spacing w:val="-2"/>
          <w:sz w:val="18"/>
        </w:rPr>
        <w:t xml:space="preserve"> </w:t>
      </w:r>
      <w:r>
        <w:rPr>
          <w:i/>
          <w:sz w:val="18"/>
        </w:rPr>
        <w:t>Lumber</w:t>
      </w:r>
      <w:r>
        <w:rPr>
          <w:i/>
          <w:spacing w:val="-2"/>
          <w:sz w:val="18"/>
        </w:rPr>
        <w:t xml:space="preserve"> </w:t>
      </w:r>
      <w:r>
        <w:rPr>
          <w:i/>
          <w:sz w:val="18"/>
        </w:rPr>
        <w:t xml:space="preserve">VI </w:t>
      </w:r>
      <w:r>
        <w:rPr>
          <w:i/>
          <w:spacing w:val="-2"/>
          <w:sz w:val="18"/>
        </w:rPr>
        <w:t>(Article</w:t>
      </w:r>
    </w:p>
    <w:p w14:paraId="51DE914E" w14:textId="77777777" w:rsidR="0010369C" w:rsidRDefault="008E43AE">
      <w:pPr>
        <w:ind w:left="238" w:right="611" w:hanging="2"/>
        <w:jc w:val="both"/>
        <w:rPr>
          <w:sz w:val="18"/>
        </w:rPr>
      </w:pPr>
      <w:r>
        <w:rPr>
          <w:i/>
          <w:sz w:val="18"/>
        </w:rPr>
        <w:t>21.5 – Canada)</w:t>
      </w:r>
      <w:r>
        <w:rPr>
          <w:sz w:val="18"/>
        </w:rPr>
        <w:t xml:space="preserve">, para. 132; </w:t>
      </w:r>
      <w:r>
        <w:rPr>
          <w:i/>
          <w:sz w:val="18"/>
        </w:rPr>
        <w:t>US – Wheat Gluten</w:t>
      </w:r>
      <w:r>
        <w:rPr>
          <w:sz w:val="18"/>
        </w:rPr>
        <w:t xml:space="preserve">, para. 69; </w:t>
      </w:r>
      <w:r>
        <w:rPr>
          <w:i/>
          <w:sz w:val="18"/>
        </w:rPr>
        <w:t>US – Lamb</w:t>
      </w:r>
      <w:r>
        <w:rPr>
          <w:sz w:val="18"/>
        </w:rPr>
        <w:t>, para. 179 (addressing the causation standard under Article</w:t>
      </w:r>
      <w:r>
        <w:rPr>
          <w:spacing w:val="-6"/>
          <w:sz w:val="18"/>
        </w:rPr>
        <w:t xml:space="preserve"> </w:t>
      </w:r>
      <w:r>
        <w:rPr>
          <w:sz w:val="18"/>
        </w:rPr>
        <w:t>4.2(b)</w:t>
      </w:r>
      <w:r>
        <w:rPr>
          <w:spacing w:val="-6"/>
          <w:sz w:val="18"/>
        </w:rPr>
        <w:t xml:space="preserve"> </w:t>
      </w:r>
      <w:r>
        <w:rPr>
          <w:sz w:val="18"/>
        </w:rPr>
        <w:t>of</w:t>
      </w:r>
      <w:r>
        <w:rPr>
          <w:spacing w:val="-6"/>
          <w:sz w:val="18"/>
        </w:rPr>
        <w:t xml:space="preserve"> </w:t>
      </w:r>
      <w:r>
        <w:rPr>
          <w:sz w:val="18"/>
        </w:rPr>
        <w:t>the</w:t>
      </w:r>
      <w:r>
        <w:rPr>
          <w:spacing w:val="-6"/>
          <w:sz w:val="18"/>
        </w:rPr>
        <w:t xml:space="preserve"> </w:t>
      </w:r>
      <w:r>
        <w:rPr>
          <w:sz w:val="18"/>
        </w:rPr>
        <w:t>Agreement</w:t>
      </w:r>
      <w:r>
        <w:rPr>
          <w:spacing w:val="-7"/>
          <w:sz w:val="18"/>
        </w:rPr>
        <w:t xml:space="preserve"> </w:t>
      </w:r>
      <w:r>
        <w:rPr>
          <w:sz w:val="18"/>
        </w:rPr>
        <w:t>on</w:t>
      </w:r>
      <w:r>
        <w:rPr>
          <w:spacing w:val="-6"/>
          <w:sz w:val="18"/>
        </w:rPr>
        <w:t xml:space="preserve"> </w:t>
      </w:r>
      <w:r>
        <w:rPr>
          <w:sz w:val="18"/>
        </w:rPr>
        <w:t>Safeguards);</w:t>
      </w:r>
      <w:r>
        <w:rPr>
          <w:spacing w:val="-6"/>
          <w:sz w:val="18"/>
        </w:rPr>
        <w:t xml:space="preserve"> </w:t>
      </w:r>
      <w:r>
        <w:rPr>
          <w:i/>
          <w:sz w:val="18"/>
        </w:rPr>
        <w:t>US</w:t>
      </w:r>
      <w:r>
        <w:rPr>
          <w:i/>
          <w:spacing w:val="-6"/>
          <w:sz w:val="18"/>
        </w:rPr>
        <w:t xml:space="preserve"> </w:t>
      </w:r>
      <w:r>
        <w:rPr>
          <w:i/>
          <w:sz w:val="18"/>
        </w:rPr>
        <w:t>–</w:t>
      </w:r>
      <w:r>
        <w:rPr>
          <w:i/>
          <w:spacing w:val="-6"/>
          <w:sz w:val="18"/>
        </w:rPr>
        <w:t xml:space="preserve"> </w:t>
      </w:r>
      <w:r>
        <w:rPr>
          <w:i/>
          <w:sz w:val="18"/>
        </w:rPr>
        <w:t>Upland</w:t>
      </w:r>
      <w:r>
        <w:rPr>
          <w:i/>
          <w:spacing w:val="-7"/>
          <w:sz w:val="18"/>
        </w:rPr>
        <w:t xml:space="preserve"> </w:t>
      </w:r>
      <w:r>
        <w:rPr>
          <w:i/>
          <w:sz w:val="18"/>
        </w:rPr>
        <w:t>Cotton</w:t>
      </w:r>
      <w:r>
        <w:rPr>
          <w:sz w:val="18"/>
        </w:rPr>
        <w:t>,</w:t>
      </w:r>
      <w:r>
        <w:rPr>
          <w:spacing w:val="-7"/>
          <w:sz w:val="18"/>
        </w:rPr>
        <w:t xml:space="preserve"> </w:t>
      </w:r>
      <w:r>
        <w:rPr>
          <w:sz w:val="18"/>
        </w:rPr>
        <w:t>para.</w:t>
      </w:r>
      <w:r>
        <w:rPr>
          <w:spacing w:val="-6"/>
          <w:sz w:val="18"/>
        </w:rPr>
        <w:t xml:space="preserve"> </w:t>
      </w:r>
      <w:r>
        <w:rPr>
          <w:sz w:val="18"/>
        </w:rPr>
        <w:t>438;</w:t>
      </w:r>
      <w:r>
        <w:rPr>
          <w:spacing w:val="-6"/>
          <w:sz w:val="18"/>
        </w:rPr>
        <w:t xml:space="preserve"> </w:t>
      </w:r>
      <w:r>
        <w:rPr>
          <w:i/>
          <w:sz w:val="18"/>
        </w:rPr>
        <w:t>US</w:t>
      </w:r>
      <w:r>
        <w:rPr>
          <w:i/>
          <w:spacing w:val="-5"/>
          <w:sz w:val="18"/>
        </w:rPr>
        <w:t xml:space="preserve"> </w:t>
      </w:r>
      <w:r>
        <w:rPr>
          <w:i/>
          <w:sz w:val="18"/>
        </w:rPr>
        <w:t>–</w:t>
      </w:r>
      <w:r>
        <w:rPr>
          <w:i/>
          <w:spacing w:val="-6"/>
          <w:sz w:val="18"/>
        </w:rPr>
        <w:t xml:space="preserve"> </w:t>
      </w:r>
      <w:r>
        <w:rPr>
          <w:i/>
          <w:sz w:val="18"/>
        </w:rPr>
        <w:t>Large</w:t>
      </w:r>
      <w:r>
        <w:rPr>
          <w:i/>
          <w:spacing w:val="-5"/>
          <w:sz w:val="18"/>
        </w:rPr>
        <w:t xml:space="preserve"> </w:t>
      </w:r>
      <w:r>
        <w:rPr>
          <w:i/>
          <w:sz w:val="18"/>
        </w:rPr>
        <w:t>Civil</w:t>
      </w:r>
      <w:r>
        <w:rPr>
          <w:i/>
          <w:spacing w:val="-7"/>
          <w:sz w:val="18"/>
        </w:rPr>
        <w:t xml:space="preserve"> </w:t>
      </w:r>
      <w:r>
        <w:rPr>
          <w:i/>
          <w:sz w:val="18"/>
        </w:rPr>
        <w:t>Aircraft</w:t>
      </w:r>
      <w:r>
        <w:rPr>
          <w:i/>
          <w:spacing w:val="-7"/>
          <w:sz w:val="18"/>
        </w:rPr>
        <w:t xml:space="preserve"> </w:t>
      </w:r>
      <w:r>
        <w:rPr>
          <w:i/>
          <w:sz w:val="18"/>
        </w:rPr>
        <w:t>(2nd</w:t>
      </w:r>
      <w:r>
        <w:rPr>
          <w:i/>
          <w:spacing w:val="-6"/>
          <w:sz w:val="18"/>
        </w:rPr>
        <w:t xml:space="preserve"> </w:t>
      </w:r>
      <w:r>
        <w:rPr>
          <w:i/>
          <w:sz w:val="18"/>
        </w:rPr>
        <w:t>complaint)</w:t>
      </w:r>
      <w:r>
        <w:rPr>
          <w:sz w:val="18"/>
        </w:rPr>
        <w:t>,</w:t>
      </w:r>
      <w:r>
        <w:rPr>
          <w:spacing w:val="-7"/>
          <w:sz w:val="18"/>
        </w:rPr>
        <w:t xml:space="preserve"> </w:t>
      </w:r>
      <w:r>
        <w:rPr>
          <w:sz w:val="18"/>
        </w:rPr>
        <w:t>para. 913 (addressing the causation standard under Articles 5 and 6 of the SCM Agreement).</w:t>
      </w:r>
    </w:p>
    <w:p w14:paraId="51DE914F" w14:textId="77777777" w:rsidR="0010369C" w:rsidRDefault="008E43AE">
      <w:pPr>
        <w:spacing w:before="1"/>
        <w:ind w:left="238"/>
        <w:jc w:val="both"/>
        <w:rPr>
          <w:sz w:val="18"/>
        </w:rPr>
      </w:pPr>
      <w:r>
        <w:rPr>
          <w:sz w:val="18"/>
          <w:vertAlign w:val="superscript"/>
        </w:rPr>
        <w:t>766</w:t>
      </w:r>
      <w:r>
        <w:rPr>
          <w:spacing w:val="-5"/>
          <w:sz w:val="18"/>
        </w:rPr>
        <w:t xml:space="preserve"> </w:t>
      </w:r>
      <w:r>
        <w:rPr>
          <w:sz w:val="18"/>
        </w:rPr>
        <w:t>Appellate</w:t>
      </w:r>
      <w:r>
        <w:rPr>
          <w:spacing w:val="-5"/>
          <w:sz w:val="18"/>
        </w:rPr>
        <w:t xml:space="preserve"> </w:t>
      </w:r>
      <w:r>
        <w:rPr>
          <w:sz w:val="18"/>
        </w:rPr>
        <w:t>Body</w:t>
      </w:r>
      <w:r>
        <w:rPr>
          <w:spacing w:val="-7"/>
          <w:sz w:val="18"/>
        </w:rPr>
        <w:t xml:space="preserve"> </w:t>
      </w:r>
      <w:r>
        <w:rPr>
          <w:sz w:val="18"/>
        </w:rPr>
        <w:t>Report,</w:t>
      </w:r>
      <w:r>
        <w:rPr>
          <w:spacing w:val="-5"/>
          <w:sz w:val="18"/>
        </w:rPr>
        <w:t xml:space="preserve"> </w:t>
      </w:r>
      <w:r>
        <w:rPr>
          <w:i/>
          <w:sz w:val="18"/>
        </w:rPr>
        <w:t>EC</w:t>
      </w:r>
      <w:r>
        <w:rPr>
          <w:i/>
          <w:spacing w:val="-5"/>
          <w:sz w:val="18"/>
        </w:rPr>
        <w:t xml:space="preserve"> </w:t>
      </w:r>
      <w:r>
        <w:rPr>
          <w:i/>
          <w:sz w:val="18"/>
        </w:rPr>
        <w:t>–</w:t>
      </w:r>
      <w:r>
        <w:rPr>
          <w:i/>
          <w:spacing w:val="-5"/>
          <w:sz w:val="18"/>
        </w:rPr>
        <w:t xml:space="preserve"> </w:t>
      </w:r>
      <w:r>
        <w:rPr>
          <w:i/>
          <w:sz w:val="18"/>
        </w:rPr>
        <w:t>Tube</w:t>
      </w:r>
      <w:r>
        <w:rPr>
          <w:i/>
          <w:spacing w:val="-5"/>
          <w:sz w:val="18"/>
        </w:rPr>
        <w:t xml:space="preserve"> </w:t>
      </w:r>
      <w:r>
        <w:rPr>
          <w:i/>
          <w:sz w:val="18"/>
        </w:rPr>
        <w:t>or</w:t>
      </w:r>
      <w:r>
        <w:rPr>
          <w:i/>
          <w:spacing w:val="-6"/>
          <w:sz w:val="18"/>
        </w:rPr>
        <w:t xml:space="preserve"> </w:t>
      </w:r>
      <w:r>
        <w:rPr>
          <w:i/>
          <w:sz w:val="18"/>
        </w:rPr>
        <w:t>Pipe</w:t>
      </w:r>
      <w:r>
        <w:rPr>
          <w:i/>
          <w:spacing w:val="-5"/>
          <w:sz w:val="18"/>
        </w:rPr>
        <w:t xml:space="preserve"> </w:t>
      </w:r>
      <w:r>
        <w:rPr>
          <w:i/>
          <w:sz w:val="18"/>
        </w:rPr>
        <w:t>Fittings</w:t>
      </w:r>
      <w:r>
        <w:rPr>
          <w:sz w:val="18"/>
        </w:rPr>
        <w:t>,</w:t>
      </w:r>
      <w:r>
        <w:rPr>
          <w:spacing w:val="-5"/>
          <w:sz w:val="18"/>
        </w:rPr>
        <w:t xml:space="preserve"> </w:t>
      </w:r>
      <w:r>
        <w:rPr>
          <w:sz w:val="18"/>
        </w:rPr>
        <w:t>para.</w:t>
      </w:r>
      <w:r>
        <w:rPr>
          <w:spacing w:val="-5"/>
          <w:sz w:val="18"/>
        </w:rPr>
        <w:t xml:space="preserve"> </w:t>
      </w:r>
      <w:r>
        <w:rPr>
          <w:spacing w:val="-4"/>
          <w:sz w:val="18"/>
        </w:rPr>
        <w:t>175.</w:t>
      </w:r>
    </w:p>
    <w:p w14:paraId="51DE9150" w14:textId="77777777" w:rsidR="0010369C" w:rsidRDefault="008E43AE">
      <w:pPr>
        <w:ind w:left="238"/>
        <w:jc w:val="both"/>
        <w:rPr>
          <w:sz w:val="18"/>
        </w:rPr>
      </w:pPr>
      <w:r>
        <w:rPr>
          <w:sz w:val="18"/>
          <w:vertAlign w:val="superscript"/>
        </w:rPr>
        <w:t>767</w:t>
      </w:r>
      <w:r>
        <w:rPr>
          <w:spacing w:val="-6"/>
          <w:sz w:val="18"/>
        </w:rPr>
        <w:t xml:space="preserve"> </w:t>
      </w:r>
      <w:r>
        <w:rPr>
          <w:sz w:val="18"/>
        </w:rPr>
        <w:t>Appellate</w:t>
      </w:r>
      <w:r>
        <w:rPr>
          <w:spacing w:val="-5"/>
          <w:sz w:val="18"/>
        </w:rPr>
        <w:t xml:space="preserve"> </w:t>
      </w:r>
      <w:r>
        <w:rPr>
          <w:sz w:val="18"/>
        </w:rPr>
        <w:t>Body</w:t>
      </w:r>
      <w:r>
        <w:rPr>
          <w:spacing w:val="-7"/>
          <w:sz w:val="18"/>
        </w:rPr>
        <w:t xml:space="preserve"> </w:t>
      </w:r>
      <w:r>
        <w:rPr>
          <w:sz w:val="18"/>
        </w:rPr>
        <w:t>Report,</w:t>
      </w:r>
      <w:r>
        <w:rPr>
          <w:spacing w:val="-6"/>
          <w:sz w:val="18"/>
        </w:rPr>
        <w:t xml:space="preserve"> </w:t>
      </w:r>
      <w:r>
        <w:rPr>
          <w:i/>
          <w:sz w:val="18"/>
        </w:rPr>
        <w:t>US</w:t>
      </w:r>
      <w:r>
        <w:rPr>
          <w:i/>
          <w:spacing w:val="-5"/>
          <w:sz w:val="18"/>
        </w:rPr>
        <w:t xml:space="preserve"> </w:t>
      </w:r>
      <w:r>
        <w:rPr>
          <w:i/>
          <w:sz w:val="18"/>
        </w:rPr>
        <w:t>–</w:t>
      </w:r>
      <w:r>
        <w:rPr>
          <w:i/>
          <w:spacing w:val="-6"/>
          <w:sz w:val="18"/>
        </w:rPr>
        <w:t xml:space="preserve"> </w:t>
      </w:r>
      <w:r>
        <w:rPr>
          <w:i/>
          <w:sz w:val="18"/>
        </w:rPr>
        <w:t>Hot‐Rolled</w:t>
      </w:r>
      <w:r>
        <w:rPr>
          <w:i/>
          <w:spacing w:val="-5"/>
          <w:sz w:val="18"/>
        </w:rPr>
        <w:t xml:space="preserve"> </w:t>
      </w:r>
      <w:r>
        <w:rPr>
          <w:i/>
          <w:sz w:val="18"/>
        </w:rPr>
        <w:t>Steel</w:t>
      </w:r>
      <w:r>
        <w:rPr>
          <w:sz w:val="18"/>
        </w:rPr>
        <w:t>,</w:t>
      </w:r>
      <w:r>
        <w:rPr>
          <w:spacing w:val="-6"/>
          <w:sz w:val="18"/>
        </w:rPr>
        <w:t xml:space="preserve"> </w:t>
      </w:r>
      <w:r>
        <w:rPr>
          <w:sz w:val="18"/>
        </w:rPr>
        <w:t>para.</w:t>
      </w:r>
      <w:r>
        <w:rPr>
          <w:spacing w:val="-6"/>
          <w:sz w:val="18"/>
        </w:rPr>
        <w:t xml:space="preserve"> </w:t>
      </w:r>
      <w:r>
        <w:rPr>
          <w:spacing w:val="-4"/>
          <w:sz w:val="18"/>
        </w:rPr>
        <w:t>223.</w:t>
      </w:r>
    </w:p>
    <w:p w14:paraId="51DE9151" w14:textId="77777777" w:rsidR="0010369C" w:rsidRDefault="008E43AE">
      <w:pPr>
        <w:ind w:left="237" w:right="611"/>
        <w:jc w:val="both"/>
        <w:rPr>
          <w:sz w:val="18"/>
        </w:rPr>
      </w:pPr>
      <w:r>
        <w:rPr>
          <w:sz w:val="18"/>
          <w:vertAlign w:val="superscript"/>
        </w:rPr>
        <w:t>768</w:t>
      </w:r>
      <w:r>
        <w:rPr>
          <w:sz w:val="18"/>
        </w:rPr>
        <w:t xml:space="preserve"> Appellate Body Report,</w:t>
      </w:r>
      <w:r>
        <w:rPr>
          <w:sz w:val="18"/>
        </w:rPr>
        <w:t xml:space="preserve"> </w:t>
      </w:r>
      <w:r>
        <w:rPr>
          <w:i/>
          <w:sz w:val="18"/>
        </w:rPr>
        <w:t>US – Hot‐Rolled Steel</w:t>
      </w:r>
      <w:r>
        <w:rPr>
          <w:sz w:val="18"/>
        </w:rPr>
        <w:t>, para. 223 ("If the injurious effects of the dumped imports are not appropriately separated and distinguished from the injurious effects of the other factors, the authorities will be unable to conclude that the injury they ascribe to</w:t>
      </w:r>
      <w:r>
        <w:rPr>
          <w:sz w:val="18"/>
        </w:rPr>
        <w:t xml:space="preserve"> dumped imports is actually caused by those imports, rather than by the other factors");</w:t>
      </w:r>
      <w:r>
        <w:rPr>
          <w:spacing w:val="-5"/>
          <w:sz w:val="18"/>
        </w:rPr>
        <w:t xml:space="preserve"> </w:t>
      </w:r>
      <w:r>
        <w:rPr>
          <w:sz w:val="18"/>
        </w:rPr>
        <w:t>see</w:t>
      </w:r>
      <w:r>
        <w:rPr>
          <w:spacing w:val="-6"/>
          <w:sz w:val="18"/>
        </w:rPr>
        <w:t xml:space="preserve"> </w:t>
      </w:r>
      <w:r>
        <w:rPr>
          <w:sz w:val="18"/>
        </w:rPr>
        <w:t>also</w:t>
      </w:r>
      <w:r>
        <w:rPr>
          <w:spacing w:val="-5"/>
          <w:sz w:val="18"/>
        </w:rPr>
        <w:t xml:space="preserve"> </w:t>
      </w:r>
      <w:r>
        <w:rPr>
          <w:sz w:val="18"/>
        </w:rPr>
        <w:t>Appellate</w:t>
      </w:r>
      <w:r>
        <w:rPr>
          <w:spacing w:val="-5"/>
          <w:sz w:val="18"/>
        </w:rPr>
        <w:t xml:space="preserve"> </w:t>
      </w:r>
      <w:r>
        <w:rPr>
          <w:sz w:val="18"/>
        </w:rPr>
        <w:t>Body</w:t>
      </w:r>
      <w:r>
        <w:rPr>
          <w:spacing w:val="-5"/>
          <w:sz w:val="18"/>
        </w:rPr>
        <w:t xml:space="preserve"> </w:t>
      </w:r>
      <w:r>
        <w:rPr>
          <w:sz w:val="18"/>
        </w:rPr>
        <w:t>Report,</w:t>
      </w:r>
      <w:r>
        <w:rPr>
          <w:spacing w:val="-5"/>
          <w:sz w:val="18"/>
        </w:rPr>
        <w:t xml:space="preserve"> </w:t>
      </w:r>
      <w:r>
        <w:rPr>
          <w:i/>
          <w:sz w:val="18"/>
        </w:rPr>
        <w:t>EU</w:t>
      </w:r>
      <w:r>
        <w:rPr>
          <w:i/>
          <w:spacing w:val="-5"/>
          <w:sz w:val="18"/>
        </w:rPr>
        <w:t xml:space="preserve"> </w:t>
      </w:r>
      <w:r>
        <w:rPr>
          <w:i/>
          <w:sz w:val="18"/>
        </w:rPr>
        <w:t>–</w:t>
      </w:r>
      <w:r>
        <w:rPr>
          <w:i/>
          <w:spacing w:val="-5"/>
          <w:sz w:val="18"/>
        </w:rPr>
        <w:t xml:space="preserve"> </w:t>
      </w:r>
      <w:r>
        <w:rPr>
          <w:i/>
          <w:sz w:val="18"/>
        </w:rPr>
        <w:t>Biodiesel</w:t>
      </w:r>
      <w:r>
        <w:rPr>
          <w:sz w:val="18"/>
        </w:rPr>
        <w:t>,</w:t>
      </w:r>
      <w:r>
        <w:rPr>
          <w:spacing w:val="-5"/>
          <w:sz w:val="18"/>
        </w:rPr>
        <w:t xml:space="preserve"> </w:t>
      </w:r>
      <w:r>
        <w:rPr>
          <w:sz w:val="18"/>
        </w:rPr>
        <w:t>para.</w:t>
      </w:r>
      <w:r>
        <w:rPr>
          <w:spacing w:val="-4"/>
          <w:sz w:val="18"/>
        </w:rPr>
        <w:t xml:space="preserve"> </w:t>
      </w:r>
      <w:r>
        <w:rPr>
          <w:sz w:val="18"/>
        </w:rPr>
        <w:t>6.125</w:t>
      </w:r>
      <w:r>
        <w:rPr>
          <w:spacing w:val="-5"/>
          <w:sz w:val="18"/>
        </w:rPr>
        <w:t xml:space="preserve"> </w:t>
      </w:r>
      <w:r>
        <w:rPr>
          <w:sz w:val="18"/>
        </w:rPr>
        <w:t>("The</w:t>
      </w:r>
      <w:r>
        <w:rPr>
          <w:spacing w:val="-5"/>
          <w:sz w:val="18"/>
        </w:rPr>
        <w:t xml:space="preserve"> </w:t>
      </w:r>
      <w:r>
        <w:rPr>
          <w:sz w:val="18"/>
        </w:rPr>
        <w:t>non‐attribution</w:t>
      </w:r>
      <w:r>
        <w:rPr>
          <w:spacing w:val="-5"/>
          <w:sz w:val="18"/>
        </w:rPr>
        <w:t xml:space="preserve"> </w:t>
      </w:r>
      <w:r>
        <w:rPr>
          <w:sz w:val="18"/>
        </w:rPr>
        <w:t>language</w:t>
      </w:r>
      <w:r>
        <w:rPr>
          <w:spacing w:val="-4"/>
          <w:sz w:val="18"/>
        </w:rPr>
        <w:t xml:space="preserve"> </w:t>
      </w:r>
      <w:r>
        <w:rPr>
          <w:sz w:val="18"/>
        </w:rPr>
        <w:t>in</w:t>
      </w:r>
      <w:r>
        <w:rPr>
          <w:spacing w:val="-6"/>
          <w:sz w:val="18"/>
        </w:rPr>
        <w:t xml:space="preserve"> </w:t>
      </w:r>
      <w:r>
        <w:rPr>
          <w:sz w:val="18"/>
        </w:rPr>
        <w:t>Article</w:t>
      </w:r>
      <w:r>
        <w:rPr>
          <w:spacing w:val="-5"/>
          <w:sz w:val="18"/>
        </w:rPr>
        <w:t xml:space="preserve"> </w:t>
      </w:r>
      <w:r>
        <w:rPr>
          <w:sz w:val="18"/>
        </w:rPr>
        <w:t>3.5</w:t>
      </w:r>
      <w:r>
        <w:rPr>
          <w:spacing w:val="-5"/>
          <w:sz w:val="18"/>
        </w:rPr>
        <w:t xml:space="preserve"> </w:t>
      </w:r>
      <w:r>
        <w:rPr>
          <w:sz w:val="18"/>
        </w:rPr>
        <w:t>calls</w:t>
      </w:r>
      <w:r>
        <w:rPr>
          <w:spacing w:val="-4"/>
          <w:sz w:val="18"/>
        </w:rPr>
        <w:t xml:space="preserve"> </w:t>
      </w:r>
      <w:r>
        <w:rPr>
          <w:sz w:val="18"/>
        </w:rPr>
        <w:t>for</w:t>
      </w:r>
      <w:r>
        <w:rPr>
          <w:spacing w:val="-5"/>
          <w:sz w:val="18"/>
        </w:rPr>
        <w:t xml:space="preserve"> </w:t>
      </w:r>
      <w:r>
        <w:rPr>
          <w:sz w:val="18"/>
        </w:rPr>
        <w:t>an assessment</w:t>
      </w:r>
      <w:r>
        <w:rPr>
          <w:spacing w:val="-6"/>
          <w:sz w:val="18"/>
        </w:rPr>
        <w:t xml:space="preserve"> </w:t>
      </w:r>
      <w:r>
        <w:rPr>
          <w:sz w:val="18"/>
        </w:rPr>
        <w:t>that</w:t>
      </w:r>
      <w:r>
        <w:rPr>
          <w:spacing w:val="-6"/>
          <w:sz w:val="18"/>
        </w:rPr>
        <w:t xml:space="preserve"> </w:t>
      </w:r>
      <w:r>
        <w:rPr>
          <w:sz w:val="18"/>
        </w:rPr>
        <w:t>involves</w:t>
      </w:r>
      <w:r>
        <w:rPr>
          <w:spacing w:val="-5"/>
          <w:sz w:val="18"/>
        </w:rPr>
        <w:t xml:space="preserve"> </w:t>
      </w:r>
      <w:r>
        <w:rPr>
          <w:sz w:val="18"/>
        </w:rPr>
        <w:t>"separating</w:t>
      </w:r>
      <w:r>
        <w:rPr>
          <w:spacing w:val="-6"/>
          <w:sz w:val="18"/>
        </w:rPr>
        <w:t xml:space="preserve"> </w:t>
      </w:r>
      <w:r>
        <w:rPr>
          <w:sz w:val="18"/>
        </w:rPr>
        <w:t>and</w:t>
      </w:r>
      <w:r>
        <w:rPr>
          <w:spacing w:val="-6"/>
          <w:sz w:val="18"/>
        </w:rPr>
        <w:t xml:space="preserve"> </w:t>
      </w:r>
      <w:r>
        <w:rPr>
          <w:sz w:val="18"/>
        </w:rPr>
        <w:t>distinguishing</w:t>
      </w:r>
      <w:r>
        <w:rPr>
          <w:spacing w:val="-5"/>
          <w:sz w:val="18"/>
        </w:rPr>
        <w:t xml:space="preserve"> </w:t>
      </w:r>
      <w:r>
        <w:rPr>
          <w:sz w:val="18"/>
        </w:rPr>
        <w:t>the</w:t>
      </w:r>
      <w:r>
        <w:rPr>
          <w:spacing w:val="-5"/>
          <w:sz w:val="18"/>
        </w:rPr>
        <w:t xml:space="preserve"> </w:t>
      </w:r>
      <w:r>
        <w:rPr>
          <w:sz w:val="18"/>
        </w:rPr>
        <w:t>injurious</w:t>
      </w:r>
      <w:r>
        <w:rPr>
          <w:spacing w:val="-5"/>
          <w:sz w:val="18"/>
        </w:rPr>
        <w:t xml:space="preserve"> </w:t>
      </w:r>
      <w:r>
        <w:rPr>
          <w:sz w:val="18"/>
        </w:rPr>
        <w:t>effects</w:t>
      </w:r>
      <w:r>
        <w:rPr>
          <w:spacing w:val="-6"/>
          <w:sz w:val="18"/>
        </w:rPr>
        <w:t xml:space="preserve"> </w:t>
      </w:r>
      <w:r>
        <w:rPr>
          <w:sz w:val="18"/>
        </w:rPr>
        <w:t>of</w:t>
      </w:r>
      <w:r>
        <w:rPr>
          <w:spacing w:val="-6"/>
          <w:sz w:val="18"/>
        </w:rPr>
        <w:t xml:space="preserve"> </w:t>
      </w:r>
      <w:r>
        <w:rPr>
          <w:sz w:val="18"/>
        </w:rPr>
        <w:t>the</w:t>
      </w:r>
      <w:r>
        <w:rPr>
          <w:spacing w:val="-7"/>
          <w:sz w:val="18"/>
        </w:rPr>
        <w:t xml:space="preserve"> </w:t>
      </w:r>
      <w:r>
        <w:rPr>
          <w:sz w:val="18"/>
        </w:rPr>
        <w:t>other</w:t>
      </w:r>
      <w:r>
        <w:rPr>
          <w:spacing w:val="-6"/>
          <w:sz w:val="18"/>
        </w:rPr>
        <w:t xml:space="preserve"> </w:t>
      </w:r>
      <w:r>
        <w:rPr>
          <w:sz w:val="18"/>
        </w:rPr>
        <w:t>factors</w:t>
      </w:r>
      <w:r>
        <w:rPr>
          <w:spacing w:val="-5"/>
          <w:sz w:val="18"/>
        </w:rPr>
        <w:t xml:space="preserve"> </w:t>
      </w:r>
      <w:r>
        <w:rPr>
          <w:sz w:val="18"/>
        </w:rPr>
        <w:t>from</w:t>
      </w:r>
      <w:r>
        <w:rPr>
          <w:spacing w:val="-6"/>
          <w:sz w:val="18"/>
        </w:rPr>
        <w:t xml:space="preserve"> </w:t>
      </w:r>
      <w:r>
        <w:rPr>
          <w:sz w:val="18"/>
        </w:rPr>
        <w:t>the</w:t>
      </w:r>
      <w:r>
        <w:rPr>
          <w:spacing w:val="-5"/>
          <w:sz w:val="18"/>
        </w:rPr>
        <w:t xml:space="preserve"> </w:t>
      </w:r>
      <w:r>
        <w:rPr>
          <w:sz w:val="18"/>
        </w:rPr>
        <w:t>injurious</w:t>
      </w:r>
      <w:r>
        <w:rPr>
          <w:spacing w:val="-5"/>
          <w:sz w:val="18"/>
        </w:rPr>
        <w:t xml:space="preserve"> </w:t>
      </w:r>
      <w:r>
        <w:rPr>
          <w:sz w:val="18"/>
        </w:rPr>
        <w:t>effects</w:t>
      </w:r>
      <w:r>
        <w:rPr>
          <w:spacing w:val="-6"/>
          <w:sz w:val="18"/>
        </w:rPr>
        <w:t xml:space="preserve"> </w:t>
      </w:r>
      <w:r>
        <w:rPr>
          <w:sz w:val="18"/>
        </w:rPr>
        <w:t>of the dumped imports" and requires "a satisfactory explanation of the nature and extent of the injurious effects of the other factors,</w:t>
      </w:r>
      <w:r>
        <w:rPr>
          <w:spacing w:val="-3"/>
          <w:sz w:val="18"/>
        </w:rPr>
        <w:t xml:space="preserve"> </w:t>
      </w:r>
      <w:r>
        <w:rPr>
          <w:sz w:val="18"/>
        </w:rPr>
        <w:t>as</w:t>
      </w:r>
      <w:r>
        <w:rPr>
          <w:spacing w:val="-2"/>
          <w:sz w:val="18"/>
        </w:rPr>
        <w:t xml:space="preserve"> </w:t>
      </w:r>
      <w:r>
        <w:rPr>
          <w:sz w:val="18"/>
        </w:rPr>
        <w:t>distinguished</w:t>
      </w:r>
      <w:r>
        <w:rPr>
          <w:spacing w:val="-3"/>
          <w:sz w:val="18"/>
        </w:rPr>
        <w:t xml:space="preserve"> </w:t>
      </w:r>
      <w:r>
        <w:rPr>
          <w:sz w:val="18"/>
        </w:rPr>
        <w:t>from</w:t>
      </w:r>
      <w:r>
        <w:rPr>
          <w:spacing w:val="-2"/>
          <w:sz w:val="18"/>
        </w:rPr>
        <w:t xml:space="preserve"> </w:t>
      </w:r>
      <w:r>
        <w:rPr>
          <w:sz w:val="18"/>
        </w:rPr>
        <w:t>the</w:t>
      </w:r>
      <w:r>
        <w:rPr>
          <w:spacing w:val="-2"/>
          <w:sz w:val="18"/>
        </w:rPr>
        <w:t xml:space="preserve"> </w:t>
      </w:r>
      <w:r>
        <w:rPr>
          <w:sz w:val="18"/>
        </w:rPr>
        <w:t>injurious</w:t>
      </w:r>
      <w:r>
        <w:rPr>
          <w:spacing w:val="-2"/>
          <w:sz w:val="18"/>
        </w:rPr>
        <w:t xml:space="preserve"> </w:t>
      </w:r>
      <w:r>
        <w:rPr>
          <w:sz w:val="18"/>
        </w:rPr>
        <w:t>effects</w:t>
      </w:r>
      <w:r>
        <w:rPr>
          <w:spacing w:val="-2"/>
          <w:sz w:val="18"/>
        </w:rPr>
        <w:t xml:space="preserve"> </w:t>
      </w:r>
      <w:r>
        <w:rPr>
          <w:sz w:val="18"/>
        </w:rPr>
        <w:t>of</w:t>
      </w:r>
      <w:r>
        <w:rPr>
          <w:spacing w:val="-2"/>
          <w:sz w:val="18"/>
        </w:rPr>
        <w:t xml:space="preserve"> </w:t>
      </w:r>
      <w:r>
        <w:rPr>
          <w:sz w:val="18"/>
        </w:rPr>
        <w:t>the</w:t>
      </w:r>
      <w:r>
        <w:rPr>
          <w:spacing w:val="-2"/>
          <w:sz w:val="18"/>
        </w:rPr>
        <w:t xml:space="preserve"> </w:t>
      </w:r>
      <w:r>
        <w:rPr>
          <w:sz w:val="18"/>
        </w:rPr>
        <w:t>dumped</w:t>
      </w:r>
      <w:r>
        <w:rPr>
          <w:spacing w:val="-2"/>
          <w:sz w:val="18"/>
        </w:rPr>
        <w:t xml:space="preserve"> </w:t>
      </w:r>
      <w:r>
        <w:rPr>
          <w:sz w:val="18"/>
        </w:rPr>
        <w:t>imports").</w:t>
      </w:r>
      <w:r>
        <w:rPr>
          <w:spacing w:val="-3"/>
          <w:sz w:val="18"/>
        </w:rPr>
        <w:t xml:space="preserve"> </w:t>
      </w:r>
      <w:r>
        <w:rPr>
          <w:sz w:val="18"/>
        </w:rPr>
        <w:t>See</w:t>
      </w:r>
      <w:r>
        <w:rPr>
          <w:spacing w:val="-4"/>
          <w:sz w:val="18"/>
        </w:rPr>
        <w:t xml:space="preserve"> </w:t>
      </w:r>
      <w:r>
        <w:rPr>
          <w:sz w:val="18"/>
        </w:rPr>
        <w:t>also</w:t>
      </w:r>
      <w:r>
        <w:rPr>
          <w:spacing w:val="-3"/>
          <w:sz w:val="18"/>
        </w:rPr>
        <w:t xml:space="preserve"> </w:t>
      </w:r>
      <w:r>
        <w:rPr>
          <w:sz w:val="18"/>
        </w:rPr>
        <w:t>Appellate</w:t>
      </w:r>
      <w:r>
        <w:rPr>
          <w:spacing w:val="-1"/>
          <w:sz w:val="18"/>
        </w:rPr>
        <w:t xml:space="preserve"> </w:t>
      </w:r>
      <w:r>
        <w:rPr>
          <w:sz w:val="18"/>
        </w:rPr>
        <w:t>Body</w:t>
      </w:r>
      <w:r>
        <w:rPr>
          <w:spacing w:val="-2"/>
          <w:sz w:val="18"/>
        </w:rPr>
        <w:t xml:space="preserve"> </w:t>
      </w:r>
      <w:r>
        <w:rPr>
          <w:sz w:val="18"/>
        </w:rPr>
        <w:t>Reports,</w:t>
      </w:r>
      <w:r>
        <w:rPr>
          <w:spacing w:val="-2"/>
          <w:sz w:val="18"/>
        </w:rPr>
        <w:t xml:space="preserve"> </w:t>
      </w:r>
      <w:r>
        <w:rPr>
          <w:i/>
          <w:sz w:val="18"/>
        </w:rPr>
        <w:t>China</w:t>
      </w:r>
      <w:r>
        <w:rPr>
          <w:i/>
          <w:spacing w:val="-2"/>
          <w:sz w:val="18"/>
        </w:rPr>
        <w:t xml:space="preserve"> </w:t>
      </w:r>
      <w:r>
        <w:rPr>
          <w:i/>
          <w:sz w:val="18"/>
        </w:rPr>
        <w:t>–</w:t>
      </w:r>
      <w:r>
        <w:rPr>
          <w:i/>
          <w:spacing w:val="-3"/>
          <w:sz w:val="18"/>
        </w:rPr>
        <w:t xml:space="preserve"> </w:t>
      </w:r>
      <w:r>
        <w:rPr>
          <w:i/>
          <w:sz w:val="18"/>
        </w:rPr>
        <w:t>GOES</w:t>
      </w:r>
      <w:r>
        <w:rPr>
          <w:sz w:val="18"/>
        </w:rPr>
        <w:t xml:space="preserve">, para. 151; </w:t>
      </w:r>
      <w:r>
        <w:rPr>
          <w:i/>
          <w:sz w:val="18"/>
        </w:rPr>
        <w:t>China – HP‐SSST (Japan)</w:t>
      </w:r>
      <w:r>
        <w:rPr>
          <w:sz w:val="18"/>
        </w:rPr>
        <w:t xml:space="preserve">, para. 5.283; and Panel Report, </w:t>
      </w:r>
      <w:r>
        <w:rPr>
          <w:i/>
          <w:sz w:val="18"/>
        </w:rPr>
        <w:t>Pakistan – BOPP Film (UAE)</w:t>
      </w:r>
      <w:r>
        <w:rPr>
          <w:sz w:val="18"/>
        </w:rPr>
        <w:t xml:space="preserve">, para. 7.434. (footnote </w:t>
      </w:r>
      <w:r>
        <w:rPr>
          <w:spacing w:val="-2"/>
          <w:sz w:val="18"/>
        </w:rPr>
        <w:t>omitted).</w:t>
      </w:r>
    </w:p>
    <w:p w14:paraId="51DE9152" w14:textId="77777777" w:rsidR="0010369C" w:rsidRDefault="008E43AE">
      <w:pPr>
        <w:ind w:left="238"/>
        <w:jc w:val="both"/>
        <w:rPr>
          <w:sz w:val="18"/>
        </w:rPr>
      </w:pPr>
      <w:r>
        <w:rPr>
          <w:sz w:val="18"/>
          <w:vertAlign w:val="superscript"/>
        </w:rPr>
        <w:t>769</w:t>
      </w:r>
      <w:r>
        <w:rPr>
          <w:spacing w:val="-7"/>
          <w:sz w:val="18"/>
        </w:rPr>
        <w:t xml:space="preserve"> </w:t>
      </w:r>
      <w:r>
        <w:rPr>
          <w:sz w:val="18"/>
        </w:rPr>
        <w:t>Panel</w:t>
      </w:r>
      <w:r>
        <w:rPr>
          <w:spacing w:val="-7"/>
          <w:sz w:val="18"/>
        </w:rPr>
        <w:t xml:space="preserve"> </w:t>
      </w:r>
      <w:r>
        <w:rPr>
          <w:sz w:val="18"/>
        </w:rPr>
        <w:t>Report,</w:t>
      </w:r>
      <w:r>
        <w:rPr>
          <w:spacing w:val="-6"/>
          <w:sz w:val="18"/>
        </w:rPr>
        <w:t xml:space="preserve"> </w:t>
      </w:r>
      <w:r>
        <w:rPr>
          <w:i/>
          <w:sz w:val="18"/>
        </w:rPr>
        <w:t>Thailand</w:t>
      </w:r>
      <w:r>
        <w:rPr>
          <w:i/>
          <w:spacing w:val="-6"/>
          <w:sz w:val="18"/>
        </w:rPr>
        <w:t xml:space="preserve"> </w:t>
      </w:r>
      <w:r>
        <w:rPr>
          <w:i/>
          <w:sz w:val="18"/>
        </w:rPr>
        <w:t>–</w:t>
      </w:r>
      <w:r>
        <w:rPr>
          <w:i/>
          <w:spacing w:val="-6"/>
          <w:sz w:val="18"/>
        </w:rPr>
        <w:t xml:space="preserve"> </w:t>
      </w:r>
      <w:r>
        <w:rPr>
          <w:i/>
          <w:sz w:val="18"/>
        </w:rPr>
        <w:t>H‐Beams</w:t>
      </w:r>
      <w:r>
        <w:rPr>
          <w:sz w:val="18"/>
        </w:rPr>
        <w:t>,</w:t>
      </w:r>
      <w:r>
        <w:rPr>
          <w:spacing w:val="-8"/>
          <w:sz w:val="18"/>
        </w:rPr>
        <w:t xml:space="preserve"> </w:t>
      </w:r>
      <w:r>
        <w:rPr>
          <w:sz w:val="18"/>
        </w:rPr>
        <w:t>para.</w:t>
      </w:r>
      <w:r>
        <w:rPr>
          <w:spacing w:val="-6"/>
          <w:sz w:val="18"/>
        </w:rPr>
        <w:t xml:space="preserve"> </w:t>
      </w:r>
      <w:r>
        <w:rPr>
          <w:spacing w:val="-2"/>
          <w:sz w:val="18"/>
        </w:rPr>
        <w:t>7.274.</w:t>
      </w:r>
    </w:p>
    <w:p w14:paraId="51DE9153" w14:textId="77777777" w:rsidR="0010369C" w:rsidRDefault="008E43AE">
      <w:pPr>
        <w:ind w:left="238"/>
        <w:jc w:val="both"/>
        <w:rPr>
          <w:sz w:val="18"/>
        </w:rPr>
      </w:pPr>
      <w:r>
        <w:rPr>
          <w:sz w:val="18"/>
          <w:vertAlign w:val="superscript"/>
        </w:rPr>
        <w:t>770</w:t>
      </w:r>
      <w:r>
        <w:rPr>
          <w:spacing w:val="-6"/>
          <w:sz w:val="18"/>
        </w:rPr>
        <w:t xml:space="preserve"> </w:t>
      </w:r>
      <w:r>
        <w:rPr>
          <w:sz w:val="18"/>
        </w:rPr>
        <w:t>Panel</w:t>
      </w:r>
      <w:r>
        <w:rPr>
          <w:spacing w:val="-6"/>
          <w:sz w:val="18"/>
        </w:rPr>
        <w:t xml:space="preserve"> </w:t>
      </w:r>
      <w:r>
        <w:rPr>
          <w:sz w:val="18"/>
        </w:rPr>
        <w:t>Report,</w:t>
      </w:r>
      <w:r>
        <w:rPr>
          <w:spacing w:val="-6"/>
          <w:sz w:val="18"/>
        </w:rPr>
        <w:t xml:space="preserve"> </w:t>
      </w:r>
      <w:r>
        <w:rPr>
          <w:i/>
          <w:sz w:val="18"/>
        </w:rPr>
        <w:t>China</w:t>
      </w:r>
      <w:r>
        <w:rPr>
          <w:i/>
          <w:spacing w:val="-5"/>
          <w:sz w:val="18"/>
        </w:rPr>
        <w:t xml:space="preserve"> </w:t>
      </w:r>
      <w:r>
        <w:rPr>
          <w:i/>
          <w:sz w:val="18"/>
        </w:rPr>
        <w:t>–</w:t>
      </w:r>
      <w:r>
        <w:rPr>
          <w:i/>
          <w:spacing w:val="-6"/>
          <w:sz w:val="18"/>
        </w:rPr>
        <w:t xml:space="preserve"> </w:t>
      </w:r>
      <w:r>
        <w:rPr>
          <w:i/>
          <w:sz w:val="18"/>
        </w:rPr>
        <w:t>Cellulose</w:t>
      </w:r>
      <w:r>
        <w:rPr>
          <w:i/>
          <w:spacing w:val="-3"/>
          <w:sz w:val="18"/>
        </w:rPr>
        <w:t xml:space="preserve"> </w:t>
      </w:r>
      <w:r>
        <w:rPr>
          <w:i/>
          <w:sz w:val="18"/>
        </w:rPr>
        <w:t>Pulp</w:t>
      </w:r>
      <w:r>
        <w:rPr>
          <w:sz w:val="18"/>
        </w:rPr>
        <w:t>,</w:t>
      </w:r>
      <w:r>
        <w:rPr>
          <w:spacing w:val="-7"/>
          <w:sz w:val="18"/>
        </w:rPr>
        <w:t xml:space="preserve"> </w:t>
      </w:r>
      <w:r>
        <w:rPr>
          <w:sz w:val="18"/>
        </w:rPr>
        <w:t>para.</w:t>
      </w:r>
      <w:r>
        <w:rPr>
          <w:spacing w:val="-5"/>
          <w:sz w:val="18"/>
        </w:rPr>
        <w:t xml:space="preserve"> </w:t>
      </w:r>
      <w:r>
        <w:rPr>
          <w:sz w:val="18"/>
        </w:rPr>
        <w:t>7.24</w:t>
      </w:r>
      <w:r>
        <w:rPr>
          <w:spacing w:val="-6"/>
          <w:sz w:val="18"/>
        </w:rPr>
        <w:t xml:space="preserve"> </w:t>
      </w:r>
      <w:r>
        <w:rPr>
          <w:sz w:val="18"/>
        </w:rPr>
        <w:t>and</w:t>
      </w:r>
      <w:r>
        <w:rPr>
          <w:spacing w:val="-5"/>
          <w:sz w:val="18"/>
        </w:rPr>
        <w:t xml:space="preserve"> </w:t>
      </w:r>
      <w:r>
        <w:rPr>
          <w:sz w:val="18"/>
        </w:rPr>
        <w:t>7.142;</w:t>
      </w:r>
      <w:r>
        <w:rPr>
          <w:spacing w:val="-6"/>
          <w:sz w:val="18"/>
        </w:rPr>
        <w:t xml:space="preserve"> </w:t>
      </w:r>
      <w:r>
        <w:rPr>
          <w:sz w:val="18"/>
        </w:rPr>
        <w:t>Appellate</w:t>
      </w:r>
      <w:r>
        <w:rPr>
          <w:spacing w:val="-6"/>
          <w:sz w:val="18"/>
        </w:rPr>
        <w:t xml:space="preserve"> </w:t>
      </w:r>
      <w:r>
        <w:rPr>
          <w:sz w:val="18"/>
        </w:rPr>
        <w:t>Body</w:t>
      </w:r>
      <w:r>
        <w:rPr>
          <w:spacing w:val="-5"/>
          <w:sz w:val="18"/>
        </w:rPr>
        <w:t xml:space="preserve"> </w:t>
      </w:r>
      <w:r>
        <w:rPr>
          <w:sz w:val="18"/>
        </w:rPr>
        <w:t>Report,</w:t>
      </w:r>
      <w:r>
        <w:rPr>
          <w:spacing w:val="-6"/>
          <w:sz w:val="18"/>
        </w:rPr>
        <w:t xml:space="preserve"> </w:t>
      </w:r>
      <w:r>
        <w:rPr>
          <w:i/>
          <w:sz w:val="18"/>
        </w:rPr>
        <w:t>US</w:t>
      </w:r>
      <w:r>
        <w:rPr>
          <w:i/>
          <w:spacing w:val="-5"/>
          <w:sz w:val="18"/>
        </w:rPr>
        <w:t xml:space="preserve"> </w:t>
      </w:r>
      <w:r>
        <w:rPr>
          <w:i/>
          <w:sz w:val="18"/>
        </w:rPr>
        <w:t>–</w:t>
      </w:r>
      <w:r>
        <w:rPr>
          <w:i/>
          <w:spacing w:val="-6"/>
          <w:sz w:val="18"/>
        </w:rPr>
        <w:t xml:space="preserve"> </w:t>
      </w:r>
      <w:r>
        <w:rPr>
          <w:i/>
          <w:sz w:val="18"/>
        </w:rPr>
        <w:t>Hot</w:t>
      </w:r>
      <w:r>
        <w:rPr>
          <w:i/>
          <w:spacing w:val="-6"/>
          <w:sz w:val="18"/>
        </w:rPr>
        <w:t xml:space="preserve"> </w:t>
      </w:r>
      <w:r>
        <w:rPr>
          <w:i/>
          <w:sz w:val="18"/>
        </w:rPr>
        <w:t>Rolled</w:t>
      </w:r>
      <w:r>
        <w:rPr>
          <w:i/>
          <w:spacing w:val="-5"/>
          <w:sz w:val="18"/>
        </w:rPr>
        <w:t xml:space="preserve"> </w:t>
      </w:r>
      <w:r>
        <w:rPr>
          <w:i/>
          <w:sz w:val="18"/>
        </w:rPr>
        <w:t>Steel</w:t>
      </w:r>
      <w:r>
        <w:rPr>
          <w:sz w:val="18"/>
        </w:rPr>
        <w:t>,</w:t>
      </w:r>
      <w:r>
        <w:rPr>
          <w:spacing w:val="-7"/>
          <w:sz w:val="18"/>
        </w:rPr>
        <w:t xml:space="preserve"> </w:t>
      </w:r>
      <w:r>
        <w:rPr>
          <w:sz w:val="18"/>
        </w:rPr>
        <w:t>para.</w:t>
      </w:r>
      <w:r>
        <w:rPr>
          <w:spacing w:val="-5"/>
          <w:sz w:val="18"/>
        </w:rPr>
        <w:t xml:space="preserve"> </w:t>
      </w:r>
      <w:r>
        <w:rPr>
          <w:spacing w:val="-4"/>
          <w:sz w:val="18"/>
        </w:rPr>
        <w:t>224.</w:t>
      </w:r>
    </w:p>
    <w:p w14:paraId="51DE9154" w14:textId="77777777" w:rsidR="0010369C" w:rsidRDefault="0010369C">
      <w:pPr>
        <w:jc w:val="both"/>
        <w:rPr>
          <w:sz w:val="18"/>
        </w:rPr>
        <w:sectPr w:rsidR="0010369C">
          <w:pgSz w:w="11910" w:h="16840"/>
          <w:pgMar w:top="880" w:right="800" w:bottom="980" w:left="1180" w:header="569" w:footer="788" w:gutter="0"/>
          <w:cols w:space="720"/>
        </w:sectPr>
      </w:pPr>
    </w:p>
    <w:p w14:paraId="51DE9155" w14:textId="77777777" w:rsidR="0010369C" w:rsidRDefault="008E43AE">
      <w:pPr>
        <w:tabs>
          <w:tab w:val="left" w:pos="6426"/>
        </w:tabs>
        <w:ind w:left="238"/>
        <w:jc w:val="both"/>
        <w:rPr>
          <w:sz w:val="20"/>
        </w:rPr>
      </w:pPr>
      <w:r>
        <w:rPr>
          <w:i/>
          <w:sz w:val="20"/>
        </w:rPr>
        <w:lastRenderedPageBreak/>
        <w:t>China</w:t>
      </w:r>
      <w:r>
        <w:rPr>
          <w:i/>
          <w:spacing w:val="-5"/>
          <w:sz w:val="20"/>
        </w:rPr>
        <w:t xml:space="preserve"> </w:t>
      </w:r>
      <w:r>
        <w:rPr>
          <w:i/>
          <w:sz w:val="20"/>
        </w:rPr>
        <w:t>–</w:t>
      </w:r>
      <w:r>
        <w:rPr>
          <w:i/>
          <w:spacing w:val="-5"/>
          <w:sz w:val="20"/>
        </w:rPr>
        <w:t xml:space="preserve"> </w:t>
      </w:r>
      <w:r>
        <w:rPr>
          <w:i/>
          <w:sz w:val="20"/>
        </w:rPr>
        <w:t>Anti‐Dumping</w:t>
      </w:r>
      <w:r>
        <w:rPr>
          <w:i/>
          <w:spacing w:val="-4"/>
          <w:sz w:val="20"/>
        </w:rPr>
        <w:t xml:space="preserve"> </w:t>
      </w:r>
      <w:r>
        <w:rPr>
          <w:i/>
          <w:sz w:val="20"/>
        </w:rPr>
        <w:t>and</w:t>
      </w:r>
      <w:r>
        <w:rPr>
          <w:i/>
          <w:spacing w:val="-5"/>
          <w:sz w:val="20"/>
        </w:rPr>
        <w:t xml:space="preserve"> </w:t>
      </w:r>
      <w:r>
        <w:rPr>
          <w:i/>
          <w:sz w:val="20"/>
        </w:rPr>
        <w:t>Countervailing</w:t>
      </w:r>
      <w:r>
        <w:rPr>
          <w:i/>
          <w:spacing w:val="-5"/>
          <w:sz w:val="20"/>
        </w:rPr>
        <w:t xml:space="preserve"> </w:t>
      </w:r>
      <w:r>
        <w:rPr>
          <w:i/>
          <w:sz w:val="20"/>
        </w:rPr>
        <w:t>Duty</w:t>
      </w:r>
      <w:r>
        <w:rPr>
          <w:i/>
          <w:spacing w:val="-4"/>
          <w:sz w:val="20"/>
        </w:rPr>
        <w:t xml:space="preserve"> </w:t>
      </w:r>
      <w:r>
        <w:rPr>
          <w:i/>
          <w:spacing w:val="-2"/>
          <w:sz w:val="20"/>
        </w:rPr>
        <w:t>Measures</w:t>
      </w:r>
      <w:r>
        <w:rPr>
          <w:i/>
          <w:sz w:val="20"/>
        </w:rPr>
        <w:tab/>
      </w:r>
      <w:r>
        <w:rPr>
          <w:sz w:val="20"/>
        </w:rPr>
        <w:t>Australia's</w:t>
      </w:r>
      <w:r>
        <w:rPr>
          <w:spacing w:val="-7"/>
          <w:sz w:val="20"/>
        </w:rPr>
        <w:t xml:space="preserve"> </w:t>
      </w:r>
      <w:r>
        <w:rPr>
          <w:sz w:val="20"/>
        </w:rPr>
        <w:t>First</w:t>
      </w:r>
      <w:r>
        <w:rPr>
          <w:spacing w:val="-2"/>
          <w:sz w:val="20"/>
        </w:rPr>
        <w:t xml:space="preserve"> </w:t>
      </w:r>
      <w:r>
        <w:rPr>
          <w:sz w:val="20"/>
        </w:rPr>
        <w:t>Written</w:t>
      </w:r>
      <w:r>
        <w:rPr>
          <w:spacing w:val="-2"/>
          <w:sz w:val="20"/>
        </w:rPr>
        <w:t xml:space="preserve"> Submission</w:t>
      </w:r>
    </w:p>
    <w:p w14:paraId="51DE9156" w14:textId="77777777" w:rsidR="0010369C" w:rsidRDefault="008E43AE">
      <w:pPr>
        <w:tabs>
          <w:tab w:val="left" w:pos="8228"/>
        </w:tabs>
        <w:spacing w:before="1"/>
        <w:ind w:left="239"/>
        <w:jc w:val="both"/>
        <w:rPr>
          <w:sz w:val="20"/>
        </w:rPr>
      </w:pPr>
      <w:r>
        <w:rPr>
          <w:i/>
          <w:sz w:val="20"/>
        </w:rPr>
        <w:t>on</w:t>
      </w:r>
      <w:r>
        <w:rPr>
          <w:i/>
          <w:spacing w:val="-1"/>
          <w:sz w:val="20"/>
        </w:rPr>
        <w:t xml:space="preserve"> </w:t>
      </w:r>
      <w:r>
        <w:rPr>
          <w:i/>
          <w:sz w:val="20"/>
        </w:rPr>
        <w:t>Wine</w:t>
      </w:r>
      <w:r>
        <w:rPr>
          <w:i/>
          <w:spacing w:val="-1"/>
          <w:sz w:val="20"/>
        </w:rPr>
        <w:t xml:space="preserve"> </w:t>
      </w:r>
      <w:r>
        <w:rPr>
          <w:i/>
          <w:sz w:val="20"/>
        </w:rPr>
        <w:t>from</w:t>
      </w:r>
      <w:r>
        <w:rPr>
          <w:i/>
          <w:spacing w:val="-3"/>
          <w:sz w:val="20"/>
        </w:rPr>
        <w:t xml:space="preserve"> </w:t>
      </w:r>
      <w:r>
        <w:rPr>
          <w:i/>
          <w:sz w:val="20"/>
        </w:rPr>
        <w:t>Australia</w:t>
      </w:r>
      <w:r>
        <w:rPr>
          <w:i/>
          <w:spacing w:val="-1"/>
          <w:sz w:val="20"/>
        </w:rPr>
        <w:t xml:space="preserve"> </w:t>
      </w:r>
      <w:r>
        <w:rPr>
          <w:spacing w:val="-2"/>
          <w:sz w:val="20"/>
        </w:rPr>
        <w:t>(DS602)</w:t>
      </w:r>
      <w:r>
        <w:rPr>
          <w:sz w:val="20"/>
        </w:rPr>
        <w:tab/>
        <w:t>29</w:t>
      </w:r>
      <w:r>
        <w:rPr>
          <w:spacing w:val="-1"/>
          <w:sz w:val="20"/>
        </w:rPr>
        <w:t xml:space="preserve"> </w:t>
      </w:r>
      <w:r>
        <w:rPr>
          <w:sz w:val="20"/>
        </w:rPr>
        <w:t>April</w:t>
      </w:r>
      <w:r>
        <w:rPr>
          <w:spacing w:val="-2"/>
          <w:sz w:val="20"/>
        </w:rPr>
        <w:t xml:space="preserve"> </w:t>
      </w:r>
      <w:r>
        <w:rPr>
          <w:spacing w:val="-4"/>
          <w:sz w:val="20"/>
        </w:rPr>
        <w:t>2022</w:t>
      </w:r>
    </w:p>
    <w:p w14:paraId="51DE9157" w14:textId="77777777" w:rsidR="0010369C" w:rsidRDefault="008E43AE">
      <w:pPr>
        <w:pStyle w:val="BodyText"/>
        <w:spacing w:before="34" w:line="360" w:lineRule="auto"/>
        <w:ind w:left="237" w:right="612" w:firstLine="1"/>
        <w:jc w:val="both"/>
      </w:pPr>
      <w:r>
        <w:t>authority's demonstration of causation and non‐attribution is subject to the overarching obligation under Article 3.1 that the determination of injury must involve an objective examination</w:t>
      </w:r>
      <w:r>
        <w:rPr>
          <w:spacing w:val="-2"/>
        </w:rPr>
        <w:t xml:space="preserve"> </w:t>
      </w:r>
      <w:r>
        <w:t>based on positive evidence".</w:t>
      </w:r>
      <w:r>
        <w:rPr>
          <w:vertAlign w:val="superscript"/>
        </w:rPr>
        <w:t>771</w:t>
      </w:r>
      <w:r>
        <w:rPr>
          <w:spacing w:val="-1"/>
        </w:rPr>
        <w:t xml:space="preserve"> </w:t>
      </w:r>
      <w:r>
        <w:t>Further, the investigating authorit</w:t>
      </w:r>
      <w:r>
        <w:t>y's "reasoning and explanations" regarding its causation determination "must be reflected in relevant documentation, such as a public notice or other separate report of its final determination whether or not to impose an anti‐dumping measure".</w:t>
      </w:r>
      <w:r>
        <w:rPr>
          <w:vertAlign w:val="superscript"/>
        </w:rPr>
        <w:t>772</w:t>
      </w:r>
      <w:r>
        <w:t xml:space="preserve"> The Appel</w:t>
      </w:r>
      <w:r>
        <w:t>late Body has explained that</w:t>
      </w:r>
      <w:r>
        <w:rPr>
          <w:spacing w:val="-11"/>
        </w:rPr>
        <w:t xml:space="preserve"> </w:t>
      </w:r>
      <w:r>
        <w:t>"the</w:t>
      </w:r>
      <w:r>
        <w:rPr>
          <w:spacing w:val="-11"/>
        </w:rPr>
        <w:t xml:space="preserve"> </w:t>
      </w:r>
      <w:r>
        <w:t>entire</w:t>
      </w:r>
      <w:r>
        <w:rPr>
          <w:spacing w:val="-11"/>
        </w:rPr>
        <w:t xml:space="preserve"> </w:t>
      </w:r>
      <w:r>
        <w:t>rationale</w:t>
      </w:r>
      <w:r>
        <w:rPr>
          <w:spacing w:val="-10"/>
        </w:rPr>
        <w:t xml:space="preserve"> </w:t>
      </w:r>
      <w:r>
        <w:t>for</w:t>
      </w:r>
      <w:r>
        <w:rPr>
          <w:spacing w:val="-11"/>
        </w:rPr>
        <w:t xml:space="preserve"> </w:t>
      </w:r>
      <w:r>
        <w:t>the</w:t>
      </w:r>
      <w:r>
        <w:rPr>
          <w:spacing w:val="-10"/>
        </w:rPr>
        <w:t xml:space="preserve"> </w:t>
      </w:r>
      <w:r>
        <w:t>investigating</w:t>
      </w:r>
      <w:r>
        <w:rPr>
          <w:spacing w:val="-11"/>
        </w:rPr>
        <w:t xml:space="preserve"> </w:t>
      </w:r>
      <w:r>
        <w:t>authority's</w:t>
      </w:r>
      <w:r>
        <w:rPr>
          <w:spacing w:val="-11"/>
        </w:rPr>
        <w:t xml:space="preserve"> </w:t>
      </w:r>
      <w:r>
        <w:t>decision</w:t>
      </w:r>
      <w:r>
        <w:rPr>
          <w:spacing w:val="-11"/>
        </w:rPr>
        <w:t xml:space="preserve"> </w:t>
      </w:r>
      <w:r>
        <w:t>must</w:t>
      </w:r>
      <w:r>
        <w:rPr>
          <w:spacing w:val="-11"/>
        </w:rPr>
        <w:t xml:space="preserve"> </w:t>
      </w:r>
      <w:r>
        <w:t>be</w:t>
      </w:r>
      <w:r>
        <w:rPr>
          <w:spacing w:val="-11"/>
        </w:rPr>
        <w:t xml:space="preserve"> </w:t>
      </w:r>
      <w:r>
        <w:t>set</w:t>
      </w:r>
      <w:r>
        <w:rPr>
          <w:spacing w:val="-11"/>
        </w:rPr>
        <w:t xml:space="preserve"> </w:t>
      </w:r>
      <w:r>
        <w:t>out</w:t>
      </w:r>
      <w:r>
        <w:rPr>
          <w:spacing w:val="-11"/>
        </w:rPr>
        <w:t xml:space="preserve"> </w:t>
      </w:r>
      <w:r>
        <w:t>in</w:t>
      </w:r>
      <w:r>
        <w:rPr>
          <w:spacing w:val="-11"/>
        </w:rPr>
        <w:t xml:space="preserve"> </w:t>
      </w:r>
      <w:r>
        <w:t>its</w:t>
      </w:r>
      <w:r>
        <w:rPr>
          <w:spacing w:val="-11"/>
        </w:rPr>
        <w:t xml:space="preserve"> </w:t>
      </w:r>
      <w:r>
        <w:t>report on</w:t>
      </w:r>
      <w:r>
        <w:rPr>
          <w:spacing w:val="-14"/>
        </w:rPr>
        <w:t xml:space="preserve"> </w:t>
      </w:r>
      <w:r>
        <w:t>the</w:t>
      </w:r>
      <w:r>
        <w:rPr>
          <w:spacing w:val="-14"/>
        </w:rPr>
        <w:t xml:space="preserve"> </w:t>
      </w:r>
      <w:r>
        <w:t>determination",</w:t>
      </w:r>
      <w:r>
        <w:rPr>
          <w:spacing w:val="-13"/>
        </w:rPr>
        <w:t xml:space="preserve"> </w:t>
      </w:r>
      <w:r>
        <w:t>and</w:t>
      </w:r>
      <w:r>
        <w:rPr>
          <w:spacing w:val="-14"/>
        </w:rPr>
        <w:t xml:space="preserve"> </w:t>
      </w:r>
      <w:r>
        <w:t>"in</w:t>
      </w:r>
      <w:r>
        <w:rPr>
          <w:spacing w:val="-13"/>
        </w:rPr>
        <w:t xml:space="preserve"> </w:t>
      </w:r>
      <w:r>
        <w:t>all</w:t>
      </w:r>
      <w:r>
        <w:rPr>
          <w:spacing w:val="-14"/>
        </w:rPr>
        <w:t xml:space="preserve"> </w:t>
      </w:r>
      <w:r>
        <w:t>instances,</w:t>
      </w:r>
      <w:r>
        <w:rPr>
          <w:spacing w:val="-13"/>
        </w:rPr>
        <w:t xml:space="preserve"> </w:t>
      </w:r>
      <w:r>
        <w:t>it</w:t>
      </w:r>
      <w:r>
        <w:rPr>
          <w:spacing w:val="-14"/>
        </w:rPr>
        <w:t xml:space="preserve"> </w:t>
      </w:r>
      <w:r>
        <w:t>is</w:t>
      </w:r>
      <w:r>
        <w:rPr>
          <w:spacing w:val="-14"/>
        </w:rPr>
        <w:t xml:space="preserve"> </w:t>
      </w:r>
      <w:r>
        <w:t>the</w:t>
      </w:r>
      <w:r>
        <w:rPr>
          <w:spacing w:val="-13"/>
        </w:rPr>
        <w:t xml:space="preserve"> </w:t>
      </w:r>
      <w:r>
        <w:t>explanation</w:t>
      </w:r>
      <w:r>
        <w:rPr>
          <w:spacing w:val="-14"/>
        </w:rPr>
        <w:t xml:space="preserve"> </w:t>
      </w:r>
      <w:r>
        <w:t>provided</w:t>
      </w:r>
      <w:r>
        <w:rPr>
          <w:spacing w:val="-13"/>
        </w:rPr>
        <w:t xml:space="preserve"> </w:t>
      </w:r>
      <w:r>
        <w:t>in</w:t>
      </w:r>
      <w:r>
        <w:rPr>
          <w:spacing w:val="-14"/>
        </w:rPr>
        <w:t xml:space="preserve"> </w:t>
      </w:r>
      <w:r>
        <w:t>the</w:t>
      </w:r>
      <w:r>
        <w:rPr>
          <w:spacing w:val="-13"/>
        </w:rPr>
        <w:t xml:space="preserve"> </w:t>
      </w:r>
      <w:r>
        <w:t>written</w:t>
      </w:r>
      <w:r>
        <w:rPr>
          <w:spacing w:val="-14"/>
        </w:rPr>
        <w:t xml:space="preserve"> </w:t>
      </w:r>
      <w:r>
        <w:t>report of the investigating authorities</w:t>
      </w:r>
      <w:r>
        <w:rPr>
          <w:spacing w:val="-1"/>
        </w:rPr>
        <w:t xml:space="preserve"> </w:t>
      </w:r>
      <w:r>
        <w:t>(and supporting documents) that is</w:t>
      </w:r>
      <w:r>
        <w:rPr>
          <w:spacing w:val="-1"/>
        </w:rPr>
        <w:t xml:space="preserve"> </w:t>
      </w:r>
      <w:r>
        <w:t>to be assessed in order to determine whether the determination was sufficiently explained and reasoned".</w:t>
      </w:r>
      <w:r>
        <w:rPr>
          <w:vertAlign w:val="superscript"/>
        </w:rPr>
        <w:t>773</w:t>
      </w:r>
    </w:p>
    <w:p w14:paraId="51DE9158" w14:textId="77777777" w:rsidR="0010369C" w:rsidRDefault="008E43AE">
      <w:pPr>
        <w:pStyle w:val="Heading4"/>
        <w:numPr>
          <w:ilvl w:val="1"/>
          <w:numId w:val="48"/>
        </w:numPr>
        <w:tabs>
          <w:tab w:val="left" w:pos="2649"/>
          <w:tab w:val="left" w:pos="2650"/>
        </w:tabs>
        <w:spacing w:before="160"/>
        <w:ind w:hanging="852"/>
        <w:jc w:val="both"/>
      </w:pPr>
      <w:r>
        <w:t>The</w:t>
      </w:r>
      <w:r>
        <w:rPr>
          <w:spacing w:val="8"/>
        </w:rPr>
        <w:t xml:space="preserve"> </w:t>
      </w:r>
      <w:r>
        <w:t>inconsistencies</w:t>
      </w:r>
      <w:r>
        <w:rPr>
          <w:spacing w:val="7"/>
        </w:rPr>
        <w:t xml:space="preserve"> </w:t>
      </w:r>
      <w:r>
        <w:t>of</w:t>
      </w:r>
      <w:r>
        <w:rPr>
          <w:spacing w:val="8"/>
        </w:rPr>
        <w:t xml:space="preserve"> </w:t>
      </w:r>
      <w:r>
        <w:t>MOFCOM's</w:t>
      </w:r>
      <w:r>
        <w:rPr>
          <w:spacing w:val="8"/>
        </w:rPr>
        <w:t xml:space="preserve"> </w:t>
      </w:r>
      <w:r>
        <w:t>analyses</w:t>
      </w:r>
      <w:r>
        <w:rPr>
          <w:spacing w:val="8"/>
        </w:rPr>
        <w:t xml:space="preserve"> </w:t>
      </w:r>
      <w:r>
        <w:t>under</w:t>
      </w:r>
      <w:r>
        <w:rPr>
          <w:spacing w:val="8"/>
        </w:rPr>
        <w:t xml:space="preserve"> </w:t>
      </w:r>
      <w:r>
        <w:t>Articles</w:t>
      </w:r>
      <w:r>
        <w:rPr>
          <w:spacing w:val="9"/>
        </w:rPr>
        <w:t xml:space="preserve"> </w:t>
      </w:r>
      <w:r>
        <w:t>3.2</w:t>
      </w:r>
      <w:r>
        <w:rPr>
          <w:spacing w:val="8"/>
        </w:rPr>
        <w:t xml:space="preserve"> </w:t>
      </w:r>
      <w:r>
        <w:rPr>
          <w:spacing w:val="-5"/>
        </w:rPr>
        <w:t>and</w:t>
      </w:r>
    </w:p>
    <w:p w14:paraId="51DE9159" w14:textId="77777777" w:rsidR="0010369C" w:rsidRDefault="008E43AE">
      <w:pPr>
        <w:pStyle w:val="ListParagraph"/>
        <w:numPr>
          <w:ilvl w:val="1"/>
          <w:numId w:val="47"/>
        </w:numPr>
        <w:tabs>
          <w:tab w:val="left" w:pos="3040"/>
        </w:tabs>
        <w:spacing w:before="146" w:line="362" w:lineRule="auto"/>
        <w:ind w:right="614" w:firstLine="0"/>
        <w:jc w:val="both"/>
        <w:rPr>
          <w:b/>
          <w:sz w:val="24"/>
        </w:rPr>
      </w:pPr>
      <w:r>
        <w:rPr>
          <w:b/>
          <w:sz w:val="24"/>
        </w:rPr>
        <w:t>of the Anti‐Dumping Agreement vitiate its causation analysis under Article 3.5</w:t>
      </w:r>
    </w:p>
    <w:p w14:paraId="51DE915A" w14:textId="77777777" w:rsidR="0010369C" w:rsidRDefault="0010369C">
      <w:pPr>
        <w:pStyle w:val="BodyText"/>
        <w:spacing w:before="5"/>
        <w:rPr>
          <w:b/>
          <w:sz w:val="8"/>
        </w:rPr>
      </w:pPr>
    </w:p>
    <w:p w14:paraId="51DE915B" w14:textId="77777777" w:rsidR="0010369C" w:rsidRDefault="008E43AE">
      <w:pPr>
        <w:pStyle w:val="BodyText"/>
        <w:spacing w:before="52" w:line="360" w:lineRule="auto"/>
        <w:ind w:left="237" w:right="612" w:firstLine="852"/>
        <w:jc w:val="both"/>
      </w:pPr>
      <w:r>
        <w:rPr>
          <w:noProof/>
        </w:rPr>
        <w:drawing>
          <wp:anchor distT="0" distB="0" distL="0" distR="0" simplePos="0" relativeHeight="251281920" behindDoc="1" locked="0" layoutInCell="1" allowOverlap="1" wp14:anchorId="51DEA562" wp14:editId="51DEA563">
            <wp:simplePos x="0" y="0"/>
            <wp:positionH relativeFrom="page">
              <wp:posOffset>905255</wp:posOffset>
            </wp:positionH>
            <wp:positionV relativeFrom="paragraph">
              <wp:posOffset>81357</wp:posOffset>
            </wp:positionV>
            <wp:extent cx="259079" cy="103631"/>
            <wp:effectExtent l="0" t="0" r="0" b="0"/>
            <wp:wrapNone/>
            <wp:docPr id="1309" name="image6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 name="image676.png"/>
                    <pic:cNvPicPr/>
                  </pic:nvPicPr>
                  <pic:blipFill>
                    <a:blip r:embed="rId878" cstate="print"/>
                    <a:stretch>
                      <a:fillRect/>
                    </a:stretch>
                  </pic:blipFill>
                  <pic:spPr>
                    <a:xfrm>
                      <a:off x="0" y="0"/>
                      <a:ext cx="259079" cy="103631"/>
                    </a:xfrm>
                    <a:prstGeom prst="rect">
                      <a:avLst/>
                    </a:prstGeom>
                  </pic:spPr>
                </pic:pic>
              </a:graphicData>
            </a:graphic>
          </wp:anchor>
        </w:drawing>
      </w:r>
      <w:r>
        <w:t>The Appellate Body has explained that the examinations required under Articles 3.2 and 3.4 of the Anti‐Dumping Agreement "are necessary in order to answer the ultimate questio</w:t>
      </w:r>
      <w:r>
        <w:t>n" in Article 3.5 "as to whether subject imports are causing injury to the domestic industry",</w:t>
      </w:r>
      <w:r>
        <w:rPr>
          <w:spacing w:val="-4"/>
        </w:rPr>
        <w:t xml:space="preserve"> </w:t>
      </w:r>
      <w:r>
        <w:t>and</w:t>
      </w:r>
      <w:r>
        <w:rPr>
          <w:spacing w:val="-5"/>
        </w:rPr>
        <w:t xml:space="preserve"> </w:t>
      </w:r>
      <w:r>
        <w:t>that</w:t>
      </w:r>
      <w:r>
        <w:rPr>
          <w:spacing w:val="-5"/>
        </w:rPr>
        <w:t xml:space="preserve"> </w:t>
      </w:r>
      <w:r>
        <w:t>"[t]he</w:t>
      </w:r>
      <w:r>
        <w:rPr>
          <w:spacing w:val="-5"/>
        </w:rPr>
        <w:t xml:space="preserve"> </w:t>
      </w:r>
      <w:r>
        <w:t>outcomes</w:t>
      </w:r>
      <w:r>
        <w:rPr>
          <w:spacing w:val="-5"/>
        </w:rPr>
        <w:t xml:space="preserve"> </w:t>
      </w:r>
      <w:r>
        <w:t>of</w:t>
      </w:r>
      <w:r>
        <w:rPr>
          <w:spacing w:val="-5"/>
        </w:rPr>
        <w:t xml:space="preserve"> </w:t>
      </w:r>
      <w:r>
        <w:t>these</w:t>
      </w:r>
      <w:r>
        <w:rPr>
          <w:spacing w:val="-5"/>
        </w:rPr>
        <w:t xml:space="preserve"> </w:t>
      </w:r>
      <w:r>
        <w:t>inquiries</w:t>
      </w:r>
      <w:r>
        <w:rPr>
          <w:spacing w:val="-5"/>
        </w:rPr>
        <w:t xml:space="preserve"> </w:t>
      </w:r>
      <w:r>
        <w:t>form</w:t>
      </w:r>
      <w:r>
        <w:rPr>
          <w:spacing w:val="-5"/>
        </w:rPr>
        <w:t xml:space="preserve"> </w:t>
      </w:r>
      <w:r>
        <w:t>the</w:t>
      </w:r>
      <w:r>
        <w:rPr>
          <w:spacing w:val="-4"/>
        </w:rPr>
        <w:t xml:space="preserve"> </w:t>
      </w:r>
      <w:r>
        <w:t>basis</w:t>
      </w:r>
      <w:r>
        <w:rPr>
          <w:spacing w:val="-5"/>
        </w:rPr>
        <w:t xml:space="preserve"> </w:t>
      </w:r>
      <w:r>
        <w:t>for</w:t>
      </w:r>
      <w:r>
        <w:rPr>
          <w:spacing w:val="-3"/>
        </w:rPr>
        <w:t xml:space="preserve"> </w:t>
      </w:r>
      <w:r>
        <w:t>the</w:t>
      </w:r>
      <w:r>
        <w:rPr>
          <w:spacing w:val="-4"/>
        </w:rPr>
        <w:t xml:space="preserve"> </w:t>
      </w:r>
      <w:r>
        <w:t>overall</w:t>
      </w:r>
      <w:r>
        <w:rPr>
          <w:spacing w:val="-5"/>
        </w:rPr>
        <w:t xml:space="preserve"> </w:t>
      </w:r>
      <w:r>
        <w:t>causation analysis contemplated" in Article 3.5.</w:t>
      </w:r>
      <w:r>
        <w:rPr>
          <w:vertAlign w:val="superscript"/>
        </w:rPr>
        <w:t>774</w:t>
      </w:r>
      <w:r>
        <w:t xml:space="preserve"> In turn, the Appellate Body has co</w:t>
      </w:r>
      <w:r>
        <w:t>nsidered that "to the</w:t>
      </w:r>
      <w:r>
        <w:rPr>
          <w:spacing w:val="-4"/>
        </w:rPr>
        <w:t xml:space="preserve"> </w:t>
      </w:r>
      <w:r>
        <w:t>extent</w:t>
      </w:r>
      <w:r>
        <w:rPr>
          <w:spacing w:val="-5"/>
        </w:rPr>
        <w:t xml:space="preserve"> </w:t>
      </w:r>
      <w:r>
        <w:t>that</w:t>
      </w:r>
      <w:r>
        <w:rPr>
          <w:spacing w:val="-5"/>
        </w:rPr>
        <w:t xml:space="preserve"> </w:t>
      </w:r>
      <w:r>
        <w:t>a</w:t>
      </w:r>
      <w:r>
        <w:rPr>
          <w:spacing w:val="-5"/>
        </w:rPr>
        <w:t xml:space="preserve"> </w:t>
      </w:r>
      <w:r>
        <w:t>panel</w:t>
      </w:r>
      <w:r>
        <w:rPr>
          <w:spacing w:val="-5"/>
        </w:rPr>
        <w:t xml:space="preserve"> </w:t>
      </w:r>
      <w:r>
        <w:t>finds</w:t>
      </w:r>
      <w:r>
        <w:rPr>
          <w:spacing w:val="-5"/>
        </w:rPr>
        <w:t xml:space="preserve"> </w:t>
      </w:r>
      <w:r>
        <w:t>that</w:t>
      </w:r>
      <w:r>
        <w:rPr>
          <w:spacing w:val="-5"/>
        </w:rPr>
        <w:t xml:space="preserve"> </w:t>
      </w:r>
      <w:r>
        <w:t>an</w:t>
      </w:r>
      <w:r>
        <w:rPr>
          <w:spacing w:val="-5"/>
        </w:rPr>
        <w:t xml:space="preserve"> </w:t>
      </w:r>
      <w:r>
        <w:t>investigating</w:t>
      </w:r>
      <w:r>
        <w:rPr>
          <w:spacing w:val="-4"/>
        </w:rPr>
        <w:t xml:space="preserve"> </w:t>
      </w:r>
      <w:r>
        <w:t>authority's</w:t>
      </w:r>
      <w:r>
        <w:rPr>
          <w:spacing w:val="-7"/>
        </w:rPr>
        <w:t xml:space="preserve"> </w:t>
      </w:r>
      <w:r>
        <w:t>…</w:t>
      </w:r>
      <w:r>
        <w:rPr>
          <w:spacing w:val="-5"/>
        </w:rPr>
        <w:t xml:space="preserve"> </w:t>
      </w:r>
      <w:r>
        <w:t>analyses</w:t>
      </w:r>
      <w:r>
        <w:rPr>
          <w:spacing w:val="-7"/>
        </w:rPr>
        <w:t xml:space="preserve"> </w:t>
      </w:r>
      <w:r>
        <w:t>are</w:t>
      </w:r>
      <w:r>
        <w:rPr>
          <w:spacing w:val="-4"/>
        </w:rPr>
        <w:t xml:space="preserve"> </w:t>
      </w:r>
      <w:r>
        <w:t>inconsistent</w:t>
      </w:r>
      <w:r>
        <w:rPr>
          <w:spacing w:val="-5"/>
        </w:rPr>
        <w:t xml:space="preserve"> </w:t>
      </w:r>
      <w:r>
        <w:t xml:space="preserve">with its obligations under Articles 3.2 and 3.4, such inconsistencies would likely undermine an investigating authority's overall causation determination and </w:t>
      </w:r>
      <w:r>
        <w:rPr>
          <w:i/>
        </w:rPr>
        <w:t xml:space="preserve">consequentially </w:t>
      </w:r>
      <w:r>
        <w:t>lead to an inconsistency with Article 3.5".</w:t>
      </w:r>
      <w:r>
        <w:rPr>
          <w:vertAlign w:val="superscript"/>
        </w:rPr>
        <w:t>775</w:t>
      </w:r>
    </w:p>
    <w:p w14:paraId="51DE915C" w14:textId="77777777" w:rsidR="0010369C" w:rsidRDefault="0010369C">
      <w:pPr>
        <w:pStyle w:val="BodyText"/>
        <w:rPr>
          <w:sz w:val="20"/>
        </w:rPr>
      </w:pPr>
    </w:p>
    <w:p w14:paraId="51DE915D" w14:textId="77777777" w:rsidR="0010369C" w:rsidRDefault="0010369C">
      <w:pPr>
        <w:pStyle w:val="BodyText"/>
        <w:rPr>
          <w:sz w:val="20"/>
        </w:rPr>
      </w:pPr>
    </w:p>
    <w:p w14:paraId="51DE915E" w14:textId="77777777" w:rsidR="0010369C" w:rsidRDefault="008E43AE">
      <w:pPr>
        <w:pStyle w:val="BodyText"/>
        <w:spacing w:before="7"/>
      </w:pPr>
      <w:r>
        <w:pict w14:anchorId="51DEA564">
          <v:rect id="docshape1126" o:spid="_x0000_s1266" style="position:absolute;margin-left:70.9pt;margin-top:16.25pt;width:2in;height:.8pt;z-index:-250798592;mso-wrap-distance-left:0;mso-wrap-distance-right:0;mso-position-horizontal-relative:page" fillcolor="black" stroked="f">
            <w10:wrap type="topAndBottom" anchorx="page"/>
          </v:rect>
        </w:pict>
      </w:r>
    </w:p>
    <w:p w14:paraId="51DE915F" w14:textId="77777777" w:rsidR="0010369C" w:rsidRDefault="008E43AE">
      <w:pPr>
        <w:spacing w:before="110"/>
        <w:ind w:left="238"/>
        <w:rPr>
          <w:sz w:val="18"/>
        </w:rPr>
      </w:pPr>
      <w:r>
        <w:rPr>
          <w:sz w:val="18"/>
          <w:vertAlign w:val="superscript"/>
        </w:rPr>
        <w:t>771</w:t>
      </w:r>
      <w:r>
        <w:rPr>
          <w:spacing w:val="-6"/>
          <w:sz w:val="18"/>
        </w:rPr>
        <w:t xml:space="preserve"> </w:t>
      </w:r>
      <w:r>
        <w:rPr>
          <w:sz w:val="18"/>
        </w:rPr>
        <w:t>Panel</w:t>
      </w:r>
      <w:r>
        <w:rPr>
          <w:spacing w:val="-6"/>
          <w:sz w:val="18"/>
        </w:rPr>
        <w:t xml:space="preserve"> </w:t>
      </w:r>
      <w:r>
        <w:rPr>
          <w:sz w:val="18"/>
        </w:rPr>
        <w:t>Report,</w:t>
      </w:r>
      <w:r>
        <w:rPr>
          <w:spacing w:val="-5"/>
          <w:sz w:val="18"/>
        </w:rPr>
        <w:t xml:space="preserve"> </w:t>
      </w:r>
      <w:r>
        <w:rPr>
          <w:i/>
          <w:sz w:val="18"/>
        </w:rPr>
        <w:t>Korea</w:t>
      </w:r>
      <w:r>
        <w:rPr>
          <w:i/>
          <w:spacing w:val="-7"/>
          <w:sz w:val="18"/>
        </w:rPr>
        <w:t xml:space="preserve"> </w:t>
      </w:r>
      <w:r>
        <w:rPr>
          <w:i/>
          <w:sz w:val="18"/>
        </w:rPr>
        <w:t>–</w:t>
      </w:r>
      <w:r>
        <w:rPr>
          <w:i/>
          <w:spacing w:val="-5"/>
          <w:sz w:val="18"/>
        </w:rPr>
        <w:t xml:space="preserve"> </w:t>
      </w:r>
      <w:r>
        <w:rPr>
          <w:i/>
          <w:sz w:val="18"/>
        </w:rPr>
        <w:t>Pneum</w:t>
      </w:r>
      <w:r>
        <w:rPr>
          <w:i/>
          <w:sz w:val="18"/>
        </w:rPr>
        <w:t>atic</w:t>
      </w:r>
      <w:r>
        <w:rPr>
          <w:i/>
          <w:spacing w:val="-6"/>
          <w:sz w:val="18"/>
        </w:rPr>
        <w:t xml:space="preserve"> </w:t>
      </w:r>
      <w:r>
        <w:rPr>
          <w:i/>
          <w:sz w:val="18"/>
        </w:rPr>
        <w:t>Valves</w:t>
      </w:r>
      <w:r>
        <w:rPr>
          <w:sz w:val="18"/>
        </w:rPr>
        <w:t>,</w:t>
      </w:r>
      <w:r>
        <w:rPr>
          <w:spacing w:val="-6"/>
          <w:sz w:val="18"/>
        </w:rPr>
        <w:t xml:space="preserve"> </w:t>
      </w:r>
      <w:r>
        <w:rPr>
          <w:sz w:val="18"/>
        </w:rPr>
        <w:t>para.</w:t>
      </w:r>
      <w:r>
        <w:rPr>
          <w:spacing w:val="-6"/>
          <w:sz w:val="18"/>
        </w:rPr>
        <w:t xml:space="preserve"> </w:t>
      </w:r>
      <w:r>
        <w:rPr>
          <w:spacing w:val="-2"/>
          <w:sz w:val="18"/>
        </w:rPr>
        <w:t>7.249.</w:t>
      </w:r>
    </w:p>
    <w:p w14:paraId="51DE9160" w14:textId="77777777" w:rsidR="0010369C" w:rsidRDefault="008E43AE">
      <w:pPr>
        <w:ind w:left="238"/>
        <w:rPr>
          <w:sz w:val="18"/>
        </w:rPr>
      </w:pPr>
      <w:r>
        <w:rPr>
          <w:sz w:val="18"/>
          <w:vertAlign w:val="superscript"/>
        </w:rPr>
        <w:t>772</w:t>
      </w:r>
      <w:r>
        <w:rPr>
          <w:spacing w:val="-6"/>
          <w:sz w:val="18"/>
        </w:rPr>
        <w:t xml:space="preserve"> </w:t>
      </w:r>
      <w:r>
        <w:rPr>
          <w:sz w:val="18"/>
        </w:rPr>
        <w:t>Panel</w:t>
      </w:r>
      <w:r>
        <w:rPr>
          <w:spacing w:val="-7"/>
          <w:sz w:val="18"/>
        </w:rPr>
        <w:t xml:space="preserve"> </w:t>
      </w:r>
      <w:r>
        <w:rPr>
          <w:sz w:val="18"/>
        </w:rPr>
        <w:t>Report,</w:t>
      </w:r>
      <w:r>
        <w:rPr>
          <w:spacing w:val="-5"/>
          <w:sz w:val="18"/>
        </w:rPr>
        <w:t xml:space="preserve"> </w:t>
      </w:r>
      <w:r>
        <w:rPr>
          <w:i/>
          <w:sz w:val="18"/>
        </w:rPr>
        <w:t>China</w:t>
      </w:r>
      <w:r>
        <w:rPr>
          <w:i/>
          <w:spacing w:val="-6"/>
          <w:sz w:val="18"/>
        </w:rPr>
        <w:t xml:space="preserve"> </w:t>
      </w:r>
      <w:r>
        <w:rPr>
          <w:i/>
          <w:sz w:val="18"/>
        </w:rPr>
        <w:t>‐</w:t>
      </w:r>
      <w:r>
        <w:rPr>
          <w:i/>
          <w:spacing w:val="-6"/>
          <w:sz w:val="18"/>
        </w:rPr>
        <w:t xml:space="preserve"> </w:t>
      </w:r>
      <w:r>
        <w:rPr>
          <w:i/>
          <w:sz w:val="18"/>
        </w:rPr>
        <w:t>Cellulose</w:t>
      </w:r>
      <w:r>
        <w:rPr>
          <w:i/>
          <w:spacing w:val="-4"/>
          <w:sz w:val="18"/>
        </w:rPr>
        <w:t xml:space="preserve"> </w:t>
      </w:r>
      <w:r>
        <w:rPr>
          <w:i/>
          <w:sz w:val="18"/>
        </w:rPr>
        <w:t>Pulp</w:t>
      </w:r>
      <w:r>
        <w:rPr>
          <w:sz w:val="18"/>
        </w:rPr>
        <w:t>,</w:t>
      </w:r>
      <w:r>
        <w:rPr>
          <w:spacing w:val="-6"/>
          <w:sz w:val="18"/>
        </w:rPr>
        <w:t xml:space="preserve"> </w:t>
      </w:r>
      <w:r>
        <w:rPr>
          <w:sz w:val="18"/>
        </w:rPr>
        <w:t>para.</w:t>
      </w:r>
      <w:r>
        <w:rPr>
          <w:spacing w:val="-6"/>
          <w:sz w:val="18"/>
        </w:rPr>
        <w:t xml:space="preserve"> </w:t>
      </w:r>
      <w:r>
        <w:rPr>
          <w:sz w:val="18"/>
        </w:rPr>
        <w:t>7.30</w:t>
      </w:r>
      <w:r>
        <w:rPr>
          <w:spacing w:val="-6"/>
          <w:sz w:val="18"/>
        </w:rPr>
        <w:t xml:space="preserve"> </w:t>
      </w:r>
      <w:r>
        <w:rPr>
          <w:sz w:val="18"/>
        </w:rPr>
        <w:t>citing</w:t>
      </w:r>
      <w:r>
        <w:rPr>
          <w:spacing w:val="-5"/>
          <w:sz w:val="18"/>
        </w:rPr>
        <w:t xml:space="preserve"> </w:t>
      </w:r>
      <w:r>
        <w:rPr>
          <w:sz w:val="18"/>
        </w:rPr>
        <w:t>Appellate</w:t>
      </w:r>
      <w:r>
        <w:rPr>
          <w:spacing w:val="-7"/>
          <w:sz w:val="18"/>
        </w:rPr>
        <w:t xml:space="preserve"> </w:t>
      </w:r>
      <w:r>
        <w:rPr>
          <w:sz w:val="18"/>
        </w:rPr>
        <w:t>Body</w:t>
      </w:r>
      <w:r>
        <w:rPr>
          <w:spacing w:val="-6"/>
          <w:sz w:val="18"/>
        </w:rPr>
        <w:t xml:space="preserve"> </w:t>
      </w:r>
      <w:r>
        <w:rPr>
          <w:sz w:val="18"/>
        </w:rPr>
        <w:t>Report</w:t>
      </w:r>
      <w:r>
        <w:rPr>
          <w:i/>
          <w:sz w:val="18"/>
        </w:rPr>
        <w:t>,</w:t>
      </w:r>
      <w:r>
        <w:rPr>
          <w:i/>
          <w:spacing w:val="-6"/>
          <w:sz w:val="18"/>
        </w:rPr>
        <w:t xml:space="preserve"> </w:t>
      </w:r>
      <w:r>
        <w:rPr>
          <w:i/>
          <w:sz w:val="18"/>
        </w:rPr>
        <w:t>China</w:t>
      </w:r>
      <w:r>
        <w:rPr>
          <w:i/>
          <w:spacing w:val="-6"/>
          <w:sz w:val="18"/>
        </w:rPr>
        <w:t xml:space="preserve"> </w:t>
      </w:r>
      <w:r>
        <w:rPr>
          <w:i/>
          <w:sz w:val="18"/>
        </w:rPr>
        <w:t>–</w:t>
      </w:r>
      <w:r>
        <w:rPr>
          <w:i/>
          <w:spacing w:val="-6"/>
          <w:sz w:val="18"/>
        </w:rPr>
        <w:t xml:space="preserve"> </w:t>
      </w:r>
      <w:r>
        <w:rPr>
          <w:i/>
          <w:sz w:val="18"/>
        </w:rPr>
        <w:t>GOES</w:t>
      </w:r>
      <w:r>
        <w:rPr>
          <w:sz w:val="18"/>
        </w:rPr>
        <w:t>,</w:t>
      </w:r>
      <w:r>
        <w:rPr>
          <w:spacing w:val="-6"/>
          <w:sz w:val="18"/>
        </w:rPr>
        <w:t xml:space="preserve"> </w:t>
      </w:r>
      <w:r>
        <w:rPr>
          <w:sz w:val="18"/>
        </w:rPr>
        <w:t>para.</w:t>
      </w:r>
      <w:r>
        <w:rPr>
          <w:spacing w:val="-6"/>
          <w:sz w:val="18"/>
        </w:rPr>
        <w:t xml:space="preserve"> </w:t>
      </w:r>
      <w:r>
        <w:rPr>
          <w:spacing w:val="-2"/>
          <w:sz w:val="18"/>
        </w:rPr>
        <w:t>131..</w:t>
      </w:r>
    </w:p>
    <w:p w14:paraId="51DE9161" w14:textId="77777777" w:rsidR="0010369C" w:rsidRDefault="008E43AE">
      <w:pPr>
        <w:ind w:left="238"/>
        <w:rPr>
          <w:sz w:val="18"/>
        </w:rPr>
      </w:pPr>
      <w:r>
        <w:rPr>
          <w:sz w:val="18"/>
          <w:vertAlign w:val="superscript"/>
        </w:rPr>
        <w:t>773</w:t>
      </w:r>
      <w:r>
        <w:rPr>
          <w:spacing w:val="-6"/>
          <w:sz w:val="18"/>
        </w:rPr>
        <w:t xml:space="preserve"> </w:t>
      </w:r>
      <w:r>
        <w:rPr>
          <w:sz w:val="18"/>
        </w:rPr>
        <w:t>Appellate</w:t>
      </w:r>
      <w:r>
        <w:rPr>
          <w:spacing w:val="-5"/>
          <w:sz w:val="18"/>
        </w:rPr>
        <w:t xml:space="preserve"> </w:t>
      </w:r>
      <w:r>
        <w:rPr>
          <w:sz w:val="18"/>
        </w:rPr>
        <w:t>Body</w:t>
      </w:r>
      <w:r>
        <w:rPr>
          <w:spacing w:val="-7"/>
          <w:sz w:val="18"/>
        </w:rPr>
        <w:t xml:space="preserve"> </w:t>
      </w:r>
      <w:r>
        <w:rPr>
          <w:sz w:val="18"/>
        </w:rPr>
        <w:t>Report,</w:t>
      </w:r>
      <w:r>
        <w:rPr>
          <w:spacing w:val="-5"/>
          <w:sz w:val="18"/>
        </w:rPr>
        <w:t xml:space="preserve"> </w:t>
      </w:r>
      <w:r>
        <w:rPr>
          <w:i/>
          <w:sz w:val="18"/>
        </w:rPr>
        <w:t>China</w:t>
      </w:r>
      <w:r>
        <w:rPr>
          <w:i/>
          <w:spacing w:val="-5"/>
          <w:sz w:val="18"/>
        </w:rPr>
        <w:t xml:space="preserve"> </w:t>
      </w:r>
      <w:r>
        <w:rPr>
          <w:i/>
          <w:sz w:val="18"/>
        </w:rPr>
        <w:t>–</w:t>
      </w:r>
      <w:r>
        <w:rPr>
          <w:i/>
          <w:spacing w:val="-4"/>
          <w:sz w:val="18"/>
        </w:rPr>
        <w:t xml:space="preserve"> </w:t>
      </w:r>
      <w:r>
        <w:rPr>
          <w:i/>
          <w:sz w:val="18"/>
        </w:rPr>
        <w:t>HP‐SSST</w:t>
      </w:r>
      <w:r>
        <w:rPr>
          <w:i/>
          <w:spacing w:val="-5"/>
          <w:sz w:val="18"/>
        </w:rPr>
        <w:t xml:space="preserve"> </w:t>
      </w:r>
      <w:r>
        <w:rPr>
          <w:i/>
          <w:sz w:val="18"/>
        </w:rPr>
        <w:t>(Japan)</w:t>
      </w:r>
      <w:r>
        <w:rPr>
          <w:sz w:val="18"/>
        </w:rPr>
        <w:t>,</w:t>
      </w:r>
      <w:r>
        <w:rPr>
          <w:spacing w:val="-7"/>
          <w:sz w:val="18"/>
        </w:rPr>
        <w:t xml:space="preserve"> </w:t>
      </w:r>
      <w:r>
        <w:rPr>
          <w:sz w:val="18"/>
        </w:rPr>
        <w:t>para.</w:t>
      </w:r>
      <w:r>
        <w:rPr>
          <w:spacing w:val="-5"/>
          <w:sz w:val="18"/>
        </w:rPr>
        <w:t xml:space="preserve"> </w:t>
      </w:r>
      <w:r>
        <w:rPr>
          <w:spacing w:val="-2"/>
          <w:sz w:val="18"/>
        </w:rPr>
        <w:t>5.255.</w:t>
      </w:r>
    </w:p>
    <w:p w14:paraId="51DE9162" w14:textId="77777777" w:rsidR="0010369C" w:rsidRDefault="008E43AE">
      <w:pPr>
        <w:ind w:left="238"/>
        <w:rPr>
          <w:sz w:val="18"/>
        </w:rPr>
      </w:pPr>
      <w:r>
        <w:rPr>
          <w:sz w:val="18"/>
          <w:vertAlign w:val="superscript"/>
        </w:rPr>
        <w:t>774</w:t>
      </w:r>
      <w:r>
        <w:rPr>
          <w:spacing w:val="-6"/>
          <w:sz w:val="18"/>
        </w:rPr>
        <w:t xml:space="preserve"> </w:t>
      </w:r>
      <w:r>
        <w:rPr>
          <w:sz w:val="18"/>
        </w:rPr>
        <w:t>Appellate</w:t>
      </w:r>
      <w:r>
        <w:rPr>
          <w:spacing w:val="-5"/>
          <w:sz w:val="18"/>
        </w:rPr>
        <w:t xml:space="preserve"> </w:t>
      </w:r>
      <w:r>
        <w:rPr>
          <w:sz w:val="18"/>
        </w:rPr>
        <w:t>Body</w:t>
      </w:r>
      <w:r>
        <w:rPr>
          <w:spacing w:val="-7"/>
          <w:sz w:val="18"/>
        </w:rPr>
        <w:t xml:space="preserve"> </w:t>
      </w:r>
      <w:r>
        <w:rPr>
          <w:sz w:val="18"/>
        </w:rPr>
        <w:t>Report,</w:t>
      </w:r>
      <w:r>
        <w:rPr>
          <w:spacing w:val="-5"/>
          <w:sz w:val="18"/>
        </w:rPr>
        <w:t xml:space="preserve"> </w:t>
      </w:r>
      <w:r>
        <w:rPr>
          <w:i/>
          <w:sz w:val="18"/>
        </w:rPr>
        <w:t>China</w:t>
      </w:r>
      <w:r>
        <w:rPr>
          <w:i/>
          <w:spacing w:val="-5"/>
          <w:sz w:val="18"/>
        </w:rPr>
        <w:t xml:space="preserve"> </w:t>
      </w:r>
      <w:r>
        <w:rPr>
          <w:i/>
          <w:sz w:val="18"/>
        </w:rPr>
        <w:t>–</w:t>
      </w:r>
      <w:r>
        <w:rPr>
          <w:i/>
          <w:spacing w:val="-4"/>
          <w:sz w:val="18"/>
        </w:rPr>
        <w:t xml:space="preserve"> </w:t>
      </w:r>
      <w:r>
        <w:rPr>
          <w:i/>
          <w:sz w:val="18"/>
        </w:rPr>
        <w:t>GOES</w:t>
      </w:r>
      <w:r>
        <w:rPr>
          <w:sz w:val="18"/>
        </w:rPr>
        <w:t>,</w:t>
      </w:r>
      <w:r>
        <w:rPr>
          <w:spacing w:val="-7"/>
          <w:sz w:val="18"/>
        </w:rPr>
        <w:t xml:space="preserve"> </w:t>
      </w:r>
      <w:r>
        <w:rPr>
          <w:sz w:val="18"/>
        </w:rPr>
        <w:t>para.</w:t>
      </w:r>
      <w:r>
        <w:rPr>
          <w:spacing w:val="-5"/>
          <w:sz w:val="18"/>
        </w:rPr>
        <w:t xml:space="preserve"> </w:t>
      </w:r>
      <w:r>
        <w:rPr>
          <w:spacing w:val="-4"/>
          <w:sz w:val="18"/>
        </w:rPr>
        <w:t>149.</w:t>
      </w:r>
    </w:p>
    <w:p w14:paraId="51DE9163" w14:textId="77777777" w:rsidR="0010369C" w:rsidRDefault="008E43AE">
      <w:pPr>
        <w:ind w:left="236" w:right="612" w:firstLine="1"/>
        <w:jc w:val="both"/>
        <w:rPr>
          <w:sz w:val="18"/>
        </w:rPr>
      </w:pPr>
      <w:r>
        <w:rPr>
          <w:sz w:val="18"/>
          <w:vertAlign w:val="superscript"/>
        </w:rPr>
        <w:t>775</w:t>
      </w:r>
      <w:r>
        <w:rPr>
          <w:spacing w:val="-6"/>
          <w:sz w:val="18"/>
        </w:rPr>
        <w:t xml:space="preserve"> </w:t>
      </w:r>
      <w:r>
        <w:rPr>
          <w:sz w:val="18"/>
        </w:rPr>
        <w:t>Appellate</w:t>
      </w:r>
      <w:r>
        <w:rPr>
          <w:spacing w:val="-6"/>
          <w:sz w:val="18"/>
        </w:rPr>
        <w:t xml:space="preserve"> </w:t>
      </w:r>
      <w:r>
        <w:rPr>
          <w:sz w:val="18"/>
        </w:rPr>
        <w:t>Body</w:t>
      </w:r>
      <w:r>
        <w:rPr>
          <w:spacing w:val="-6"/>
          <w:sz w:val="18"/>
        </w:rPr>
        <w:t xml:space="preserve"> </w:t>
      </w:r>
      <w:r>
        <w:rPr>
          <w:sz w:val="18"/>
        </w:rPr>
        <w:t>Report,</w:t>
      </w:r>
      <w:r>
        <w:rPr>
          <w:spacing w:val="-6"/>
          <w:sz w:val="18"/>
        </w:rPr>
        <w:t xml:space="preserve"> </w:t>
      </w:r>
      <w:r>
        <w:rPr>
          <w:i/>
          <w:sz w:val="18"/>
        </w:rPr>
        <w:t>Korea</w:t>
      </w:r>
      <w:r>
        <w:rPr>
          <w:i/>
          <w:spacing w:val="-6"/>
          <w:sz w:val="18"/>
        </w:rPr>
        <w:t xml:space="preserve"> </w:t>
      </w:r>
      <w:r>
        <w:rPr>
          <w:i/>
          <w:sz w:val="18"/>
        </w:rPr>
        <w:t>–</w:t>
      </w:r>
      <w:r>
        <w:rPr>
          <w:i/>
          <w:spacing w:val="-5"/>
          <w:sz w:val="18"/>
        </w:rPr>
        <w:t xml:space="preserve"> </w:t>
      </w:r>
      <w:r>
        <w:rPr>
          <w:i/>
          <w:sz w:val="18"/>
        </w:rPr>
        <w:t>Pneumatic</w:t>
      </w:r>
      <w:r>
        <w:rPr>
          <w:i/>
          <w:spacing w:val="-7"/>
          <w:sz w:val="18"/>
        </w:rPr>
        <w:t xml:space="preserve"> </w:t>
      </w:r>
      <w:r>
        <w:rPr>
          <w:i/>
          <w:sz w:val="18"/>
        </w:rPr>
        <w:t>Valves</w:t>
      </w:r>
      <w:r>
        <w:rPr>
          <w:i/>
          <w:spacing w:val="-6"/>
          <w:sz w:val="18"/>
        </w:rPr>
        <w:t xml:space="preserve"> </w:t>
      </w:r>
      <w:r>
        <w:rPr>
          <w:i/>
          <w:sz w:val="18"/>
        </w:rPr>
        <w:t>(Japan)</w:t>
      </w:r>
      <w:r>
        <w:rPr>
          <w:sz w:val="18"/>
        </w:rPr>
        <w:t>,</w:t>
      </w:r>
      <w:r>
        <w:rPr>
          <w:spacing w:val="-6"/>
          <w:sz w:val="18"/>
        </w:rPr>
        <w:t xml:space="preserve"> </w:t>
      </w:r>
      <w:r>
        <w:rPr>
          <w:sz w:val="18"/>
        </w:rPr>
        <w:t>para.</w:t>
      </w:r>
      <w:r>
        <w:rPr>
          <w:spacing w:val="-5"/>
          <w:sz w:val="18"/>
        </w:rPr>
        <w:t xml:space="preserve"> </w:t>
      </w:r>
      <w:r>
        <w:rPr>
          <w:sz w:val="18"/>
        </w:rPr>
        <w:t>5.196</w:t>
      </w:r>
      <w:r>
        <w:rPr>
          <w:spacing w:val="-6"/>
          <w:sz w:val="18"/>
        </w:rPr>
        <w:t xml:space="preserve"> </w:t>
      </w:r>
      <w:r>
        <w:rPr>
          <w:sz w:val="18"/>
        </w:rPr>
        <w:t>(emphasis</w:t>
      </w:r>
      <w:r>
        <w:rPr>
          <w:spacing w:val="-6"/>
          <w:sz w:val="18"/>
        </w:rPr>
        <w:t xml:space="preserve"> </w:t>
      </w:r>
      <w:r>
        <w:rPr>
          <w:sz w:val="18"/>
        </w:rPr>
        <w:t>original).</w:t>
      </w:r>
      <w:r>
        <w:rPr>
          <w:spacing w:val="-5"/>
          <w:sz w:val="18"/>
        </w:rPr>
        <w:t xml:space="preserve"> </w:t>
      </w:r>
      <w:r>
        <w:rPr>
          <w:sz w:val="18"/>
        </w:rPr>
        <w:t>A</w:t>
      </w:r>
      <w:r>
        <w:rPr>
          <w:spacing w:val="-6"/>
          <w:sz w:val="18"/>
        </w:rPr>
        <w:t xml:space="preserve"> </w:t>
      </w:r>
      <w:r>
        <w:rPr>
          <w:sz w:val="18"/>
        </w:rPr>
        <w:t>number</w:t>
      </w:r>
      <w:r>
        <w:rPr>
          <w:spacing w:val="-6"/>
          <w:sz w:val="18"/>
        </w:rPr>
        <w:t xml:space="preserve"> </w:t>
      </w:r>
      <w:r>
        <w:rPr>
          <w:sz w:val="18"/>
        </w:rPr>
        <w:t>of</w:t>
      </w:r>
      <w:r>
        <w:rPr>
          <w:spacing w:val="-6"/>
          <w:sz w:val="18"/>
        </w:rPr>
        <w:t xml:space="preserve"> </w:t>
      </w:r>
      <w:r>
        <w:rPr>
          <w:sz w:val="18"/>
        </w:rPr>
        <w:t>panels</w:t>
      </w:r>
      <w:r>
        <w:rPr>
          <w:spacing w:val="-5"/>
          <w:sz w:val="18"/>
        </w:rPr>
        <w:t xml:space="preserve"> </w:t>
      </w:r>
      <w:r>
        <w:rPr>
          <w:sz w:val="18"/>
        </w:rPr>
        <w:t>have</w:t>
      </w:r>
      <w:r>
        <w:rPr>
          <w:spacing w:val="-5"/>
          <w:sz w:val="18"/>
        </w:rPr>
        <w:t xml:space="preserve"> </w:t>
      </w:r>
      <w:r>
        <w:rPr>
          <w:sz w:val="18"/>
        </w:rPr>
        <w:t xml:space="preserve">taken this view, see e.g. Panel Report, </w:t>
      </w:r>
      <w:r>
        <w:rPr>
          <w:i/>
          <w:sz w:val="18"/>
        </w:rPr>
        <w:t>China – GOES</w:t>
      </w:r>
      <w:r>
        <w:rPr>
          <w:sz w:val="18"/>
        </w:rPr>
        <w:t>, para. 7.620 ("Our evaluation of MOFCOM's findings on price depression and price</w:t>
      </w:r>
      <w:r>
        <w:rPr>
          <w:spacing w:val="-5"/>
          <w:sz w:val="18"/>
        </w:rPr>
        <w:t xml:space="preserve"> </w:t>
      </w:r>
      <w:r>
        <w:rPr>
          <w:sz w:val="18"/>
        </w:rPr>
        <w:t>suppression</w:t>
      </w:r>
      <w:r>
        <w:rPr>
          <w:spacing w:val="-6"/>
          <w:sz w:val="18"/>
        </w:rPr>
        <w:t xml:space="preserve"> </w:t>
      </w:r>
      <w:r>
        <w:rPr>
          <w:sz w:val="18"/>
        </w:rPr>
        <w:t>has</w:t>
      </w:r>
      <w:r>
        <w:rPr>
          <w:spacing w:val="-5"/>
          <w:sz w:val="18"/>
        </w:rPr>
        <w:t xml:space="preserve"> </w:t>
      </w:r>
      <w:r>
        <w:rPr>
          <w:sz w:val="18"/>
        </w:rPr>
        <w:t>revealed</w:t>
      </w:r>
      <w:r>
        <w:rPr>
          <w:spacing w:val="-7"/>
          <w:sz w:val="18"/>
        </w:rPr>
        <w:t xml:space="preserve"> </w:t>
      </w:r>
      <w:r>
        <w:rPr>
          <w:sz w:val="18"/>
        </w:rPr>
        <w:t>a</w:t>
      </w:r>
      <w:r>
        <w:rPr>
          <w:spacing w:val="-7"/>
          <w:sz w:val="18"/>
        </w:rPr>
        <w:t xml:space="preserve"> </w:t>
      </w:r>
      <w:r>
        <w:rPr>
          <w:sz w:val="18"/>
        </w:rPr>
        <w:t>number</w:t>
      </w:r>
      <w:r>
        <w:rPr>
          <w:spacing w:val="-6"/>
          <w:sz w:val="18"/>
        </w:rPr>
        <w:t xml:space="preserve"> </w:t>
      </w:r>
      <w:r>
        <w:rPr>
          <w:sz w:val="18"/>
        </w:rPr>
        <w:t>of</w:t>
      </w:r>
      <w:r>
        <w:rPr>
          <w:spacing w:val="-7"/>
          <w:sz w:val="18"/>
        </w:rPr>
        <w:t xml:space="preserve"> </w:t>
      </w:r>
      <w:r>
        <w:rPr>
          <w:sz w:val="18"/>
        </w:rPr>
        <w:t>shortcomings</w:t>
      </w:r>
      <w:r>
        <w:rPr>
          <w:spacing w:val="-6"/>
          <w:sz w:val="18"/>
        </w:rPr>
        <w:t xml:space="preserve"> </w:t>
      </w:r>
      <w:r>
        <w:rPr>
          <w:sz w:val="18"/>
        </w:rPr>
        <w:t>in</w:t>
      </w:r>
      <w:r>
        <w:rPr>
          <w:spacing w:val="-6"/>
          <w:sz w:val="18"/>
        </w:rPr>
        <w:t xml:space="preserve"> </w:t>
      </w:r>
      <w:r>
        <w:rPr>
          <w:sz w:val="18"/>
        </w:rPr>
        <w:t>MOFCOM's</w:t>
      </w:r>
      <w:r>
        <w:rPr>
          <w:spacing w:val="-6"/>
          <w:sz w:val="18"/>
        </w:rPr>
        <w:t xml:space="preserve"> </w:t>
      </w:r>
      <w:r>
        <w:rPr>
          <w:sz w:val="18"/>
        </w:rPr>
        <w:t>analysis</w:t>
      </w:r>
      <w:r>
        <w:rPr>
          <w:spacing w:val="-5"/>
          <w:sz w:val="18"/>
        </w:rPr>
        <w:t xml:space="preserve"> </w:t>
      </w:r>
      <w:r>
        <w:rPr>
          <w:sz w:val="18"/>
        </w:rPr>
        <w:t>of</w:t>
      </w:r>
      <w:r>
        <w:rPr>
          <w:spacing w:val="-6"/>
          <w:sz w:val="18"/>
        </w:rPr>
        <w:t xml:space="preserve"> </w:t>
      </w:r>
      <w:r>
        <w:rPr>
          <w:sz w:val="18"/>
        </w:rPr>
        <w:t>the</w:t>
      </w:r>
      <w:r>
        <w:rPr>
          <w:spacing w:val="-5"/>
          <w:sz w:val="18"/>
        </w:rPr>
        <w:t xml:space="preserve"> </w:t>
      </w:r>
      <w:r>
        <w:rPr>
          <w:sz w:val="18"/>
        </w:rPr>
        <w:t>price</w:t>
      </w:r>
      <w:r>
        <w:rPr>
          <w:spacing w:val="-5"/>
          <w:sz w:val="18"/>
        </w:rPr>
        <w:t xml:space="preserve"> </w:t>
      </w:r>
      <w:r>
        <w:rPr>
          <w:sz w:val="18"/>
        </w:rPr>
        <w:t>effects</w:t>
      </w:r>
      <w:r>
        <w:rPr>
          <w:spacing w:val="-6"/>
          <w:sz w:val="18"/>
        </w:rPr>
        <w:t xml:space="preserve"> </w:t>
      </w:r>
      <w:r>
        <w:rPr>
          <w:sz w:val="18"/>
        </w:rPr>
        <w:t>of</w:t>
      </w:r>
      <w:r>
        <w:rPr>
          <w:spacing w:val="-6"/>
          <w:sz w:val="18"/>
        </w:rPr>
        <w:t xml:space="preserve"> </w:t>
      </w:r>
      <w:r>
        <w:rPr>
          <w:sz w:val="18"/>
        </w:rPr>
        <w:t>subject</w:t>
      </w:r>
      <w:r>
        <w:rPr>
          <w:spacing w:val="-6"/>
          <w:sz w:val="18"/>
        </w:rPr>
        <w:t xml:space="preserve"> </w:t>
      </w:r>
      <w:r>
        <w:rPr>
          <w:sz w:val="18"/>
        </w:rPr>
        <w:t>imports.</w:t>
      </w:r>
      <w:r>
        <w:rPr>
          <w:spacing w:val="-5"/>
          <w:sz w:val="18"/>
        </w:rPr>
        <w:t xml:space="preserve"> </w:t>
      </w:r>
      <w:r>
        <w:rPr>
          <w:sz w:val="18"/>
        </w:rPr>
        <w:t>Since MOFCOM</w:t>
      </w:r>
      <w:r>
        <w:rPr>
          <w:spacing w:val="-5"/>
          <w:sz w:val="18"/>
        </w:rPr>
        <w:t xml:space="preserve"> </w:t>
      </w:r>
      <w:r>
        <w:rPr>
          <w:sz w:val="18"/>
        </w:rPr>
        <w:t>relied</w:t>
      </w:r>
      <w:r>
        <w:rPr>
          <w:spacing w:val="-4"/>
          <w:sz w:val="18"/>
        </w:rPr>
        <w:t xml:space="preserve"> </w:t>
      </w:r>
      <w:r>
        <w:rPr>
          <w:sz w:val="18"/>
        </w:rPr>
        <w:t>on</w:t>
      </w:r>
      <w:r>
        <w:rPr>
          <w:spacing w:val="-4"/>
          <w:sz w:val="18"/>
        </w:rPr>
        <w:t xml:space="preserve"> </w:t>
      </w:r>
      <w:r>
        <w:rPr>
          <w:sz w:val="18"/>
        </w:rPr>
        <w:t>the</w:t>
      </w:r>
      <w:r>
        <w:rPr>
          <w:spacing w:val="-5"/>
          <w:sz w:val="18"/>
        </w:rPr>
        <w:t xml:space="preserve"> </w:t>
      </w:r>
      <w:r>
        <w:rPr>
          <w:sz w:val="18"/>
        </w:rPr>
        <w:t>price</w:t>
      </w:r>
      <w:r>
        <w:rPr>
          <w:spacing w:val="-4"/>
          <w:sz w:val="18"/>
        </w:rPr>
        <w:t xml:space="preserve"> </w:t>
      </w:r>
      <w:r>
        <w:rPr>
          <w:sz w:val="18"/>
        </w:rPr>
        <w:t>effects</w:t>
      </w:r>
      <w:r>
        <w:rPr>
          <w:spacing w:val="-5"/>
          <w:sz w:val="18"/>
        </w:rPr>
        <w:t xml:space="preserve"> </w:t>
      </w:r>
      <w:r>
        <w:rPr>
          <w:sz w:val="18"/>
        </w:rPr>
        <w:t>of</w:t>
      </w:r>
      <w:r>
        <w:rPr>
          <w:spacing w:val="-4"/>
          <w:sz w:val="18"/>
        </w:rPr>
        <w:t xml:space="preserve"> </w:t>
      </w:r>
      <w:r>
        <w:rPr>
          <w:sz w:val="18"/>
        </w:rPr>
        <w:t>subject</w:t>
      </w:r>
      <w:r>
        <w:rPr>
          <w:spacing w:val="-5"/>
          <w:sz w:val="18"/>
        </w:rPr>
        <w:t xml:space="preserve"> </w:t>
      </w:r>
      <w:r>
        <w:rPr>
          <w:sz w:val="18"/>
        </w:rPr>
        <w:t>imports</w:t>
      </w:r>
      <w:r>
        <w:rPr>
          <w:spacing w:val="-4"/>
          <w:sz w:val="18"/>
        </w:rPr>
        <w:t xml:space="preserve"> </w:t>
      </w:r>
      <w:r>
        <w:rPr>
          <w:sz w:val="18"/>
        </w:rPr>
        <w:t>in</w:t>
      </w:r>
      <w:r>
        <w:rPr>
          <w:spacing w:val="-4"/>
          <w:sz w:val="18"/>
        </w:rPr>
        <w:t xml:space="preserve"> </w:t>
      </w:r>
      <w:r>
        <w:rPr>
          <w:sz w:val="18"/>
        </w:rPr>
        <w:t>support</w:t>
      </w:r>
      <w:r>
        <w:rPr>
          <w:spacing w:val="-5"/>
          <w:sz w:val="18"/>
        </w:rPr>
        <w:t xml:space="preserve"> </w:t>
      </w:r>
      <w:r>
        <w:rPr>
          <w:sz w:val="18"/>
        </w:rPr>
        <w:t>of</w:t>
      </w:r>
      <w:r>
        <w:rPr>
          <w:spacing w:val="-4"/>
          <w:sz w:val="18"/>
        </w:rPr>
        <w:t xml:space="preserve"> </w:t>
      </w:r>
      <w:r>
        <w:rPr>
          <w:sz w:val="18"/>
        </w:rPr>
        <w:t>its</w:t>
      </w:r>
      <w:r>
        <w:rPr>
          <w:spacing w:val="-4"/>
          <w:sz w:val="18"/>
        </w:rPr>
        <w:t xml:space="preserve"> </w:t>
      </w:r>
      <w:r>
        <w:rPr>
          <w:sz w:val="18"/>
        </w:rPr>
        <w:t>finding</w:t>
      </w:r>
      <w:r>
        <w:rPr>
          <w:spacing w:val="-6"/>
          <w:sz w:val="18"/>
        </w:rPr>
        <w:t xml:space="preserve"> </w:t>
      </w:r>
      <w:r>
        <w:rPr>
          <w:sz w:val="18"/>
        </w:rPr>
        <w:t>that</w:t>
      </w:r>
      <w:r>
        <w:rPr>
          <w:spacing w:val="-5"/>
          <w:sz w:val="18"/>
        </w:rPr>
        <w:t xml:space="preserve"> </w:t>
      </w:r>
      <w:r>
        <w:rPr>
          <w:sz w:val="18"/>
        </w:rPr>
        <w:t>subject</w:t>
      </w:r>
      <w:r>
        <w:rPr>
          <w:spacing w:val="-5"/>
          <w:sz w:val="18"/>
        </w:rPr>
        <w:t xml:space="preserve"> </w:t>
      </w:r>
      <w:r>
        <w:rPr>
          <w:sz w:val="18"/>
        </w:rPr>
        <w:t>imports</w:t>
      </w:r>
      <w:r>
        <w:rPr>
          <w:spacing w:val="-4"/>
          <w:sz w:val="18"/>
        </w:rPr>
        <w:t xml:space="preserve"> </w:t>
      </w:r>
      <w:r>
        <w:rPr>
          <w:sz w:val="18"/>
        </w:rPr>
        <w:t>caused</w:t>
      </w:r>
      <w:r>
        <w:rPr>
          <w:spacing w:val="-5"/>
          <w:sz w:val="18"/>
        </w:rPr>
        <w:t xml:space="preserve"> </w:t>
      </w:r>
      <w:r>
        <w:rPr>
          <w:sz w:val="18"/>
        </w:rPr>
        <w:t>material</w:t>
      </w:r>
      <w:r>
        <w:rPr>
          <w:spacing w:val="-6"/>
          <w:sz w:val="18"/>
        </w:rPr>
        <w:t xml:space="preserve"> </w:t>
      </w:r>
      <w:r>
        <w:rPr>
          <w:sz w:val="18"/>
        </w:rPr>
        <w:t>injury</w:t>
      </w:r>
      <w:r>
        <w:rPr>
          <w:spacing w:val="-4"/>
          <w:sz w:val="18"/>
        </w:rPr>
        <w:t xml:space="preserve"> </w:t>
      </w:r>
      <w:r>
        <w:rPr>
          <w:sz w:val="18"/>
        </w:rPr>
        <w:t>to the</w:t>
      </w:r>
      <w:r>
        <w:rPr>
          <w:spacing w:val="-5"/>
          <w:sz w:val="18"/>
        </w:rPr>
        <w:t xml:space="preserve"> </w:t>
      </w:r>
      <w:r>
        <w:rPr>
          <w:sz w:val="18"/>
        </w:rPr>
        <w:t>domestic</w:t>
      </w:r>
      <w:r>
        <w:rPr>
          <w:spacing w:val="-5"/>
          <w:sz w:val="18"/>
        </w:rPr>
        <w:t xml:space="preserve"> </w:t>
      </w:r>
      <w:r>
        <w:rPr>
          <w:sz w:val="18"/>
        </w:rPr>
        <w:t>industry,</w:t>
      </w:r>
      <w:r>
        <w:rPr>
          <w:spacing w:val="-6"/>
          <w:sz w:val="18"/>
        </w:rPr>
        <w:t xml:space="preserve"> </w:t>
      </w:r>
      <w:r>
        <w:rPr>
          <w:sz w:val="18"/>
        </w:rPr>
        <w:t>the</w:t>
      </w:r>
      <w:r>
        <w:rPr>
          <w:spacing w:val="-5"/>
          <w:sz w:val="18"/>
        </w:rPr>
        <w:t xml:space="preserve"> </w:t>
      </w:r>
      <w:r>
        <w:rPr>
          <w:sz w:val="18"/>
        </w:rPr>
        <w:t>abovementioned</w:t>
      </w:r>
      <w:r>
        <w:rPr>
          <w:spacing w:val="-6"/>
          <w:sz w:val="18"/>
        </w:rPr>
        <w:t xml:space="preserve"> </w:t>
      </w:r>
      <w:r>
        <w:rPr>
          <w:sz w:val="18"/>
        </w:rPr>
        <w:t>shortcomings</w:t>
      </w:r>
      <w:r>
        <w:rPr>
          <w:spacing w:val="-5"/>
          <w:sz w:val="18"/>
        </w:rPr>
        <w:t xml:space="preserve"> </w:t>
      </w:r>
      <w:r>
        <w:rPr>
          <w:sz w:val="18"/>
        </w:rPr>
        <w:t>also</w:t>
      </w:r>
      <w:r>
        <w:rPr>
          <w:spacing w:val="-6"/>
          <w:sz w:val="18"/>
        </w:rPr>
        <w:t xml:space="preserve"> </w:t>
      </w:r>
      <w:r>
        <w:rPr>
          <w:sz w:val="18"/>
        </w:rPr>
        <w:t>undermine</w:t>
      </w:r>
      <w:r>
        <w:rPr>
          <w:spacing w:val="-5"/>
          <w:sz w:val="18"/>
        </w:rPr>
        <w:t xml:space="preserve"> </w:t>
      </w:r>
      <w:r>
        <w:rPr>
          <w:sz w:val="18"/>
        </w:rPr>
        <w:t>MOFCOM's</w:t>
      </w:r>
      <w:r>
        <w:rPr>
          <w:spacing w:val="-6"/>
          <w:sz w:val="18"/>
        </w:rPr>
        <w:t xml:space="preserve"> </w:t>
      </w:r>
      <w:r>
        <w:rPr>
          <w:sz w:val="18"/>
        </w:rPr>
        <w:t>conclusion</w:t>
      </w:r>
      <w:r>
        <w:rPr>
          <w:spacing w:val="-6"/>
          <w:sz w:val="18"/>
        </w:rPr>
        <w:t xml:space="preserve"> </w:t>
      </w:r>
      <w:r>
        <w:rPr>
          <w:sz w:val="18"/>
        </w:rPr>
        <w:t>on</w:t>
      </w:r>
      <w:r>
        <w:rPr>
          <w:spacing w:val="-6"/>
          <w:sz w:val="18"/>
        </w:rPr>
        <w:t xml:space="preserve"> </w:t>
      </w:r>
      <w:r>
        <w:rPr>
          <w:sz w:val="18"/>
        </w:rPr>
        <w:t>the</w:t>
      </w:r>
      <w:r>
        <w:rPr>
          <w:spacing w:val="-5"/>
          <w:sz w:val="18"/>
        </w:rPr>
        <w:t xml:space="preserve"> </w:t>
      </w:r>
      <w:r>
        <w:rPr>
          <w:sz w:val="18"/>
        </w:rPr>
        <w:t>causal</w:t>
      </w:r>
      <w:r>
        <w:rPr>
          <w:spacing w:val="-7"/>
          <w:sz w:val="18"/>
        </w:rPr>
        <w:t xml:space="preserve"> </w:t>
      </w:r>
      <w:r>
        <w:rPr>
          <w:sz w:val="18"/>
        </w:rPr>
        <w:t>link</w:t>
      </w:r>
      <w:r>
        <w:rPr>
          <w:spacing w:val="-6"/>
          <w:sz w:val="18"/>
        </w:rPr>
        <w:t xml:space="preserve"> </w:t>
      </w:r>
      <w:r>
        <w:rPr>
          <w:sz w:val="18"/>
        </w:rPr>
        <w:t>between subject</w:t>
      </w:r>
      <w:r>
        <w:rPr>
          <w:spacing w:val="-8"/>
          <w:sz w:val="18"/>
        </w:rPr>
        <w:t xml:space="preserve"> </w:t>
      </w:r>
      <w:r>
        <w:rPr>
          <w:sz w:val="18"/>
        </w:rPr>
        <w:t>imports</w:t>
      </w:r>
      <w:r>
        <w:rPr>
          <w:spacing w:val="-7"/>
          <w:sz w:val="18"/>
        </w:rPr>
        <w:t xml:space="preserve"> </w:t>
      </w:r>
      <w:r>
        <w:rPr>
          <w:sz w:val="18"/>
        </w:rPr>
        <w:t>and</w:t>
      </w:r>
      <w:r>
        <w:rPr>
          <w:spacing w:val="-7"/>
          <w:sz w:val="18"/>
        </w:rPr>
        <w:t xml:space="preserve"> </w:t>
      </w:r>
      <w:r>
        <w:rPr>
          <w:sz w:val="18"/>
        </w:rPr>
        <w:t>the</w:t>
      </w:r>
      <w:r>
        <w:rPr>
          <w:spacing w:val="-7"/>
          <w:sz w:val="18"/>
        </w:rPr>
        <w:t xml:space="preserve"> </w:t>
      </w:r>
      <w:r>
        <w:rPr>
          <w:sz w:val="18"/>
        </w:rPr>
        <w:t>material</w:t>
      </w:r>
      <w:r>
        <w:rPr>
          <w:spacing w:val="-8"/>
          <w:sz w:val="18"/>
        </w:rPr>
        <w:t xml:space="preserve"> </w:t>
      </w:r>
      <w:r>
        <w:rPr>
          <w:sz w:val="18"/>
        </w:rPr>
        <w:t>injury</w:t>
      </w:r>
      <w:r>
        <w:rPr>
          <w:spacing w:val="-7"/>
          <w:sz w:val="18"/>
        </w:rPr>
        <w:t xml:space="preserve"> </w:t>
      </w:r>
      <w:r>
        <w:rPr>
          <w:sz w:val="18"/>
        </w:rPr>
        <w:t>suffered</w:t>
      </w:r>
      <w:r>
        <w:rPr>
          <w:spacing w:val="-8"/>
          <w:sz w:val="18"/>
        </w:rPr>
        <w:t xml:space="preserve"> </w:t>
      </w:r>
      <w:r>
        <w:rPr>
          <w:sz w:val="18"/>
        </w:rPr>
        <w:t>by</w:t>
      </w:r>
      <w:r>
        <w:rPr>
          <w:spacing w:val="-7"/>
          <w:sz w:val="18"/>
        </w:rPr>
        <w:t xml:space="preserve"> </w:t>
      </w:r>
      <w:r>
        <w:rPr>
          <w:sz w:val="18"/>
        </w:rPr>
        <w:t>the</w:t>
      </w:r>
      <w:r>
        <w:rPr>
          <w:spacing w:val="-7"/>
          <w:sz w:val="18"/>
        </w:rPr>
        <w:t xml:space="preserve"> </w:t>
      </w:r>
      <w:r>
        <w:rPr>
          <w:sz w:val="18"/>
        </w:rPr>
        <w:t>domestic</w:t>
      </w:r>
      <w:r>
        <w:rPr>
          <w:spacing w:val="-7"/>
          <w:sz w:val="18"/>
        </w:rPr>
        <w:t xml:space="preserve"> </w:t>
      </w:r>
      <w:r>
        <w:rPr>
          <w:sz w:val="18"/>
        </w:rPr>
        <w:t>industry");</w:t>
      </w:r>
      <w:r>
        <w:rPr>
          <w:spacing w:val="-7"/>
          <w:sz w:val="18"/>
        </w:rPr>
        <w:t xml:space="preserve"> </w:t>
      </w:r>
      <w:r>
        <w:rPr>
          <w:sz w:val="18"/>
        </w:rPr>
        <w:t>and</w:t>
      </w:r>
      <w:r>
        <w:rPr>
          <w:spacing w:val="-7"/>
          <w:sz w:val="18"/>
        </w:rPr>
        <w:t xml:space="preserve"> </w:t>
      </w:r>
      <w:r>
        <w:rPr>
          <w:sz w:val="18"/>
        </w:rPr>
        <w:t>Panel</w:t>
      </w:r>
      <w:r>
        <w:rPr>
          <w:spacing w:val="-8"/>
          <w:sz w:val="18"/>
        </w:rPr>
        <w:t xml:space="preserve"> </w:t>
      </w:r>
      <w:r>
        <w:rPr>
          <w:sz w:val="18"/>
        </w:rPr>
        <w:t>Report,</w:t>
      </w:r>
      <w:r>
        <w:rPr>
          <w:spacing w:val="-7"/>
          <w:sz w:val="18"/>
        </w:rPr>
        <w:t xml:space="preserve"> </w:t>
      </w:r>
      <w:r>
        <w:rPr>
          <w:i/>
          <w:sz w:val="18"/>
        </w:rPr>
        <w:t>China</w:t>
      </w:r>
      <w:r>
        <w:rPr>
          <w:i/>
          <w:spacing w:val="-7"/>
          <w:sz w:val="18"/>
        </w:rPr>
        <w:t xml:space="preserve"> </w:t>
      </w:r>
      <w:r>
        <w:rPr>
          <w:i/>
          <w:sz w:val="18"/>
        </w:rPr>
        <w:t>–</w:t>
      </w:r>
      <w:r>
        <w:rPr>
          <w:i/>
          <w:spacing w:val="-7"/>
          <w:sz w:val="18"/>
        </w:rPr>
        <w:t xml:space="preserve"> </w:t>
      </w:r>
      <w:r>
        <w:rPr>
          <w:i/>
          <w:sz w:val="18"/>
        </w:rPr>
        <w:t>Autos</w:t>
      </w:r>
      <w:r>
        <w:rPr>
          <w:i/>
          <w:spacing w:val="-8"/>
          <w:sz w:val="18"/>
        </w:rPr>
        <w:t xml:space="preserve"> </w:t>
      </w:r>
      <w:r>
        <w:rPr>
          <w:i/>
          <w:sz w:val="18"/>
        </w:rPr>
        <w:t>(US)</w:t>
      </w:r>
      <w:r>
        <w:rPr>
          <w:sz w:val="18"/>
        </w:rPr>
        <w:t>,</w:t>
      </w:r>
      <w:r>
        <w:rPr>
          <w:spacing w:val="-8"/>
          <w:sz w:val="18"/>
        </w:rPr>
        <w:t xml:space="preserve"> </w:t>
      </w:r>
      <w:r>
        <w:rPr>
          <w:sz w:val="18"/>
        </w:rPr>
        <w:t>para.</w:t>
      </w:r>
      <w:r>
        <w:rPr>
          <w:spacing w:val="-7"/>
          <w:sz w:val="18"/>
        </w:rPr>
        <w:t xml:space="preserve"> </w:t>
      </w:r>
      <w:r>
        <w:rPr>
          <w:sz w:val="18"/>
        </w:rPr>
        <w:t>7.327 ("it</w:t>
      </w:r>
      <w:r>
        <w:rPr>
          <w:spacing w:val="-11"/>
          <w:sz w:val="18"/>
        </w:rPr>
        <w:t xml:space="preserve"> </w:t>
      </w:r>
      <w:r>
        <w:rPr>
          <w:sz w:val="18"/>
        </w:rPr>
        <w:t>would</w:t>
      </w:r>
      <w:r>
        <w:rPr>
          <w:spacing w:val="-10"/>
          <w:sz w:val="18"/>
        </w:rPr>
        <w:t xml:space="preserve"> </w:t>
      </w:r>
      <w:r>
        <w:rPr>
          <w:sz w:val="18"/>
        </w:rPr>
        <w:t>be</w:t>
      </w:r>
      <w:r>
        <w:rPr>
          <w:spacing w:val="-9"/>
          <w:sz w:val="18"/>
        </w:rPr>
        <w:t xml:space="preserve"> </w:t>
      </w:r>
      <w:r>
        <w:rPr>
          <w:sz w:val="18"/>
        </w:rPr>
        <w:t>difficult,</w:t>
      </w:r>
      <w:r>
        <w:rPr>
          <w:spacing w:val="-10"/>
          <w:sz w:val="18"/>
        </w:rPr>
        <w:t xml:space="preserve"> </w:t>
      </w:r>
      <w:r>
        <w:rPr>
          <w:sz w:val="18"/>
        </w:rPr>
        <w:t>if</w:t>
      </w:r>
      <w:r>
        <w:rPr>
          <w:spacing w:val="-9"/>
          <w:sz w:val="18"/>
        </w:rPr>
        <w:t xml:space="preserve"> </w:t>
      </w:r>
      <w:r>
        <w:rPr>
          <w:sz w:val="18"/>
        </w:rPr>
        <w:t>not</w:t>
      </w:r>
      <w:r>
        <w:rPr>
          <w:spacing w:val="-10"/>
          <w:sz w:val="18"/>
        </w:rPr>
        <w:t xml:space="preserve"> </w:t>
      </w:r>
      <w:r>
        <w:rPr>
          <w:sz w:val="18"/>
        </w:rPr>
        <w:t>impossible,</w:t>
      </w:r>
      <w:r>
        <w:rPr>
          <w:spacing w:val="-10"/>
          <w:sz w:val="18"/>
        </w:rPr>
        <w:t xml:space="preserve"> </w:t>
      </w:r>
      <w:r>
        <w:rPr>
          <w:sz w:val="18"/>
        </w:rPr>
        <w:t>to</w:t>
      </w:r>
      <w:r>
        <w:rPr>
          <w:spacing w:val="-10"/>
          <w:sz w:val="18"/>
        </w:rPr>
        <w:t xml:space="preserve"> </w:t>
      </w:r>
      <w:r>
        <w:rPr>
          <w:sz w:val="18"/>
        </w:rPr>
        <w:t>make</w:t>
      </w:r>
      <w:r>
        <w:rPr>
          <w:spacing w:val="-10"/>
          <w:sz w:val="18"/>
        </w:rPr>
        <w:t xml:space="preserve"> </w:t>
      </w:r>
      <w:r>
        <w:rPr>
          <w:sz w:val="18"/>
        </w:rPr>
        <w:t>a</w:t>
      </w:r>
      <w:r>
        <w:rPr>
          <w:spacing w:val="-10"/>
          <w:sz w:val="18"/>
        </w:rPr>
        <w:t xml:space="preserve"> </w:t>
      </w:r>
      <w:r>
        <w:rPr>
          <w:sz w:val="18"/>
        </w:rPr>
        <w:t>determination</w:t>
      </w:r>
      <w:r>
        <w:rPr>
          <w:spacing w:val="-10"/>
          <w:sz w:val="18"/>
        </w:rPr>
        <w:t xml:space="preserve"> </w:t>
      </w:r>
      <w:r>
        <w:rPr>
          <w:sz w:val="18"/>
        </w:rPr>
        <w:t>of</w:t>
      </w:r>
      <w:r>
        <w:rPr>
          <w:spacing w:val="-10"/>
          <w:sz w:val="18"/>
        </w:rPr>
        <w:t xml:space="preserve"> </w:t>
      </w:r>
      <w:r>
        <w:rPr>
          <w:sz w:val="18"/>
        </w:rPr>
        <w:t>causation</w:t>
      </w:r>
      <w:r>
        <w:rPr>
          <w:spacing w:val="-10"/>
          <w:sz w:val="18"/>
        </w:rPr>
        <w:t xml:space="preserve"> </w:t>
      </w:r>
      <w:r>
        <w:rPr>
          <w:sz w:val="18"/>
        </w:rPr>
        <w:t>consistent</w:t>
      </w:r>
      <w:r>
        <w:rPr>
          <w:spacing w:val="-10"/>
          <w:sz w:val="18"/>
        </w:rPr>
        <w:t xml:space="preserve"> </w:t>
      </w:r>
      <w:r>
        <w:rPr>
          <w:sz w:val="18"/>
        </w:rPr>
        <w:t>with</w:t>
      </w:r>
      <w:r>
        <w:rPr>
          <w:spacing w:val="-11"/>
          <w:sz w:val="18"/>
        </w:rPr>
        <w:t xml:space="preserve"> </w:t>
      </w:r>
      <w:r>
        <w:rPr>
          <w:sz w:val="18"/>
        </w:rPr>
        <w:t>the</w:t>
      </w:r>
      <w:r>
        <w:rPr>
          <w:spacing w:val="-9"/>
          <w:sz w:val="18"/>
        </w:rPr>
        <w:t xml:space="preserve"> </w:t>
      </w:r>
      <w:r>
        <w:rPr>
          <w:sz w:val="18"/>
        </w:rPr>
        <w:t>requirements</w:t>
      </w:r>
      <w:r>
        <w:rPr>
          <w:spacing w:val="-10"/>
          <w:sz w:val="18"/>
        </w:rPr>
        <w:t xml:space="preserve"> </w:t>
      </w:r>
      <w:r>
        <w:rPr>
          <w:sz w:val="18"/>
        </w:rPr>
        <w:t>of</w:t>
      </w:r>
      <w:r>
        <w:rPr>
          <w:spacing w:val="-10"/>
          <w:sz w:val="18"/>
        </w:rPr>
        <w:t xml:space="preserve"> </w:t>
      </w:r>
      <w:r>
        <w:rPr>
          <w:sz w:val="18"/>
        </w:rPr>
        <w:t>the</w:t>
      </w:r>
      <w:r>
        <w:rPr>
          <w:spacing w:val="-9"/>
          <w:sz w:val="18"/>
        </w:rPr>
        <w:t xml:space="preserve"> </w:t>
      </w:r>
      <w:r>
        <w:rPr>
          <w:sz w:val="18"/>
        </w:rPr>
        <w:t>Articles 3 and 15 of the Anti‐Dumping and SCM Agreements, respectively, in a situation where an important element of that determination,</w:t>
      </w:r>
      <w:r>
        <w:rPr>
          <w:spacing w:val="-6"/>
          <w:sz w:val="18"/>
        </w:rPr>
        <w:t xml:space="preserve"> </w:t>
      </w:r>
      <w:r>
        <w:rPr>
          <w:sz w:val="18"/>
        </w:rPr>
        <w:t>the</w:t>
      </w:r>
      <w:r>
        <w:rPr>
          <w:spacing w:val="-4"/>
          <w:sz w:val="18"/>
        </w:rPr>
        <w:t xml:space="preserve"> </w:t>
      </w:r>
      <w:r>
        <w:rPr>
          <w:sz w:val="18"/>
        </w:rPr>
        <w:t>underlying</w:t>
      </w:r>
      <w:r>
        <w:rPr>
          <w:spacing w:val="-4"/>
          <w:sz w:val="18"/>
        </w:rPr>
        <w:t xml:space="preserve"> </w:t>
      </w:r>
      <w:r>
        <w:rPr>
          <w:sz w:val="18"/>
        </w:rPr>
        <w:t>price</w:t>
      </w:r>
      <w:r>
        <w:rPr>
          <w:spacing w:val="-4"/>
          <w:sz w:val="18"/>
        </w:rPr>
        <w:t xml:space="preserve"> </w:t>
      </w:r>
      <w:r>
        <w:rPr>
          <w:sz w:val="18"/>
        </w:rPr>
        <w:t>effects</w:t>
      </w:r>
      <w:r>
        <w:rPr>
          <w:spacing w:val="-5"/>
          <w:sz w:val="18"/>
        </w:rPr>
        <w:t xml:space="preserve"> </w:t>
      </w:r>
      <w:r>
        <w:rPr>
          <w:sz w:val="18"/>
        </w:rPr>
        <w:t>analysis,</w:t>
      </w:r>
      <w:r>
        <w:rPr>
          <w:spacing w:val="-5"/>
          <w:sz w:val="18"/>
        </w:rPr>
        <w:t xml:space="preserve"> </w:t>
      </w:r>
      <w:r>
        <w:rPr>
          <w:sz w:val="18"/>
        </w:rPr>
        <w:t>is</w:t>
      </w:r>
      <w:r>
        <w:rPr>
          <w:spacing w:val="-4"/>
          <w:sz w:val="18"/>
        </w:rPr>
        <w:t xml:space="preserve"> </w:t>
      </w:r>
      <w:r>
        <w:rPr>
          <w:sz w:val="18"/>
        </w:rPr>
        <w:t>itself</w:t>
      </w:r>
      <w:r>
        <w:rPr>
          <w:spacing w:val="-5"/>
          <w:sz w:val="18"/>
        </w:rPr>
        <w:t xml:space="preserve"> </w:t>
      </w:r>
      <w:r>
        <w:rPr>
          <w:sz w:val="18"/>
        </w:rPr>
        <w:t>inconsistent</w:t>
      </w:r>
      <w:r>
        <w:rPr>
          <w:spacing w:val="-4"/>
          <w:sz w:val="18"/>
        </w:rPr>
        <w:t xml:space="preserve"> </w:t>
      </w:r>
      <w:r>
        <w:rPr>
          <w:sz w:val="18"/>
        </w:rPr>
        <w:t>with</w:t>
      </w:r>
      <w:r>
        <w:rPr>
          <w:spacing w:val="-5"/>
          <w:sz w:val="18"/>
        </w:rPr>
        <w:t xml:space="preserve"> </w:t>
      </w:r>
      <w:r>
        <w:rPr>
          <w:sz w:val="18"/>
        </w:rPr>
        <w:t>the</w:t>
      </w:r>
      <w:r>
        <w:rPr>
          <w:spacing w:val="-3"/>
          <w:sz w:val="18"/>
        </w:rPr>
        <w:t xml:space="preserve"> </w:t>
      </w:r>
      <w:r>
        <w:rPr>
          <w:sz w:val="18"/>
        </w:rPr>
        <w:t>provisions</w:t>
      </w:r>
      <w:r>
        <w:rPr>
          <w:spacing w:val="-4"/>
          <w:sz w:val="18"/>
        </w:rPr>
        <w:t xml:space="preserve"> </w:t>
      </w:r>
      <w:r>
        <w:rPr>
          <w:sz w:val="18"/>
        </w:rPr>
        <w:t>of</w:t>
      </w:r>
      <w:r>
        <w:rPr>
          <w:spacing w:val="-4"/>
          <w:sz w:val="18"/>
        </w:rPr>
        <w:t xml:space="preserve"> </w:t>
      </w:r>
      <w:r>
        <w:rPr>
          <w:sz w:val="18"/>
        </w:rPr>
        <w:t>those</w:t>
      </w:r>
      <w:r>
        <w:rPr>
          <w:spacing w:val="-4"/>
          <w:sz w:val="18"/>
        </w:rPr>
        <w:t xml:space="preserve"> </w:t>
      </w:r>
      <w:r>
        <w:rPr>
          <w:sz w:val="18"/>
        </w:rPr>
        <w:t>Agreements").</w:t>
      </w:r>
      <w:r>
        <w:rPr>
          <w:spacing w:val="-5"/>
          <w:sz w:val="18"/>
        </w:rPr>
        <w:t xml:space="preserve"> </w:t>
      </w:r>
      <w:r>
        <w:rPr>
          <w:sz w:val="18"/>
        </w:rPr>
        <w:t>See</w:t>
      </w:r>
      <w:r>
        <w:rPr>
          <w:spacing w:val="-4"/>
          <w:sz w:val="18"/>
        </w:rPr>
        <w:t xml:space="preserve"> </w:t>
      </w:r>
      <w:r>
        <w:rPr>
          <w:sz w:val="18"/>
        </w:rPr>
        <w:t xml:space="preserve">also Panel Report, </w:t>
      </w:r>
      <w:r>
        <w:rPr>
          <w:i/>
          <w:sz w:val="18"/>
        </w:rPr>
        <w:t>China ‐ X‐Ray Equipment</w:t>
      </w:r>
      <w:r>
        <w:rPr>
          <w:sz w:val="18"/>
        </w:rPr>
        <w:t>, para. 7.250.</w:t>
      </w:r>
    </w:p>
    <w:p w14:paraId="51DE9164" w14:textId="77777777" w:rsidR="0010369C" w:rsidRDefault="0010369C">
      <w:pPr>
        <w:jc w:val="both"/>
        <w:rPr>
          <w:sz w:val="18"/>
        </w:rPr>
        <w:sectPr w:rsidR="0010369C">
          <w:pgSz w:w="11910" w:h="16840"/>
          <w:pgMar w:top="880" w:right="800" w:bottom="980" w:left="1180" w:header="569" w:footer="788" w:gutter="0"/>
          <w:cols w:space="720"/>
        </w:sectPr>
      </w:pPr>
    </w:p>
    <w:p w14:paraId="51DE9165" w14:textId="77777777" w:rsidR="0010369C" w:rsidRDefault="008E43AE">
      <w:pPr>
        <w:tabs>
          <w:tab w:val="left" w:pos="6426"/>
        </w:tabs>
        <w:ind w:left="238"/>
        <w:rPr>
          <w:sz w:val="20"/>
        </w:rPr>
      </w:pPr>
      <w:r>
        <w:rPr>
          <w:i/>
          <w:sz w:val="20"/>
        </w:rPr>
        <w:lastRenderedPageBreak/>
        <w:t>China</w:t>
      </w:r>
      <w:r>
        <w:rPr>
          <w:i/>
          <w:spacing w:val="-5"/>
          <w:sz w:val="20"/>
        </w:rPr>
        <w:t xml:space="preserve"> </w:t>
      </w:r>
      <w:r>
        <w:rPr>
          <w:i/>
          <w:sz w:val="20"/>
        </w:rPr>
        <w:t>–</w:t>
      </w:r>
      <w:r>
        <w:rPr>
          <w:i/>
          <w:spacing w:val="-5"/>
          <w:sz w:val="20"/>
        </w:rPr>
        <w:t xml:space="preserve"> </w:t>
      </w:r>
      <w:r>
        <w:rPr>
          <w:i/>
          <w:sz w:val="20"/>
        </w:rPr>
        <w:t>Anti‐Dumping</w:t>
      </w:r>
      <w:r>
        <w:rPr>
          <w:i/>
          <w:spacing w:val="-4"/>
          <w:sz w:val="20"/>
        </w:rPr>
        <w:t xml:space="preserve"> </w:t>
      </w:r>
      <w:r>
        <w:rPr>
          <w:i/>
          <w:sz w:val="20"/>
        </w:rPr>
        <w:t>and</w:t>
      </w:r>
      <w:r>
        <w:rPr>
          <w:i/>
          <w:spacing w:val="-5"/>
          <w:sz w:val="20"/>
        </w:rPr>
        <w:t xml:space="preserve"> </w:t>
      </w:r>
      <w:r>
        <w:rPr>
          <w:i/>
          <w:sz w:val="20"/>
        </w:rPr>
        <w:t>Countervailing</w:t>
      </w:r>
      <w:r>
        <w:rPr>
          <w:i/>
          <w:spacing w:val="-5"/>
          <w:sz w:val="20"/>
        </w:rPr>
        <w:t xml:space="preserve"> </w:t>
      </w:r>
      <w:r>
        <w:rPr>
          <w:i/>
          <w:sz w:val="20"/>
        </w:rPr>
        <w:t>Duty</w:t>
      </w:r>
      <w:r>
        <w:rPr>
          <w:i/>
          <w:spacing w:val="-4"/>
          <w:sz w:val="20"/>
        </w:rPr>
        <w:t xml:space="preserve"> </w:t>
      </w:r>
      <w:r>
        <w:rPr>
          <w:i/>
          <w:spacing w:val="-2"/>
          <w:sz w:val="20"/>
        </w:rPr>
        <w:t>Measures</w:t>
      </w:r>
      <w:r>
        <w:rPr>
          <w:i/>
          <w:sz w:val="20"/>
        </w:rPr>
        <w:tab/>
      </w:r>
      <w:r>
        <w:rPr>
          <w:sz w:val="20"/>
        </w:rPr>
        <w:t>Australia's</w:t>
      </w:r>
      <w:r>
        <w:rPr>
          <w:spacing w:val="-7"/>
          <w:sz w:val="20"/>
        </w:rPr>
        <w:t xml:space="preserve"> </w:t>
      </w:r>
      <w:r>
        <w:rPr>
          <w:sz w:val="20"/>
        </w:rPr>
        <w:t>First</w:t>
      </w:r>
      <w:r>
        <w:rPr>
          <w:spacing w:val="-2"/>
          <w:sz w:val="20"/>
        </w:rPr>
        <w:t xml:space="preserve"> </w:t>
      </w:r>
      <w:r>
        <w:rPr>
          <w:sz w:val="20"/>
        </w:rPr>
        <w:t>Written</w:t>
      </w:r>
      <w:r>
        <w:rPr>
          <w:spacing w:val="-2"/>
          <w:sz w:val="20"/>
        </w:rPr>
        <w:t xml:space="preserve"> Submission</w:t>
      </w:r>
    </w:p>
    <w:p w14:paraId="51DE9166" w14:textId="77777777" w:rsidR="0010369C" w:rsidRDefault="008E43AE">
      <w:pPr>
        <w:tabs>
          <w:tab w:val="left" w:pos="8228"/>
        </w:tabs>
        <w:spacing w:before="1"/>
        <w:ind w:left="239"/>
        <w:rPr>
          <w:sz w:val="20"/>
        </w:rPr>
      </w:pPr>
      <w:r>
        <w:rPr>
          <w:i/>
          <w:sz w:val="20"/>
        </w:rPr>
        <w:t>on</w:t>
      </w:r>
      <w:r>
        <w:rPr>
          <w:i/>
          <w:spacing w:val="-1"/>
          <w:sz w:val="20"/>
        </w:rPr>
        <w:t xml:space="preserve"> </w:t>
      </w:r>
      <w:r>
        <w:rPr>
          <w:i/>
          <w:sz w:val="20"/>
        </w:rPr>
        <w:t>Wine</w:t>
      </w:r>
      <w:r>
        <w:rPr>
          <w:i/>
          <w:spacing w:val="-1"/>
          <w:sz w:val="20"/>
        </w:rPr>
        <w:t xml:space="preserve"> </w:t>
      </w:r>
      <w:r>
        <w:rPr>
          <w:i/>
          <w:sz w:val="20"/>
        </w:rPr>
        <w:t>from</w:t>
      </w:r>
      <w:r>
        <w:rPr>
          <w:i/>
          <w:spacing w:val="-3"/>
          <w:sz w:val="20"/>
        </w:rPr>
        <w:t xml:space="preserve"> </w:t>
      </w:r>
      <w:r>
        <w:rPr>
          <w:i/>
          <w:sz w:val="20"/>
        </w:rPr>
        <w:t>Australia</w:t>
      </w:r>
      <w:r>
        <w:rPr>
          <w:i/>
          <w:spacing w:val="-1"/>
          <w:sz w:val="20"/>
        </w:rPr>
        <w:t xml:space="preserve"> </w:t>
      </w:r>
      <w:r>
        <w:rPr>
          <w:spacing w:val="-2"/>
          <w:sz w:val="20"/>
        </w:rPr>
        <w:t>(DS602)</w:t>
      </w:r>
      <w:r>
        <w:rPr>
          <w:sz w:val="20"/>
        </w:rPr>
        <w:tab/>
        <w:t>29</w:t>
      </w:r>
      <w:r>
        <w:rPr>
          <w:spacing w:val="-1"/>
          <w:sz w:val="20"/>
        </w:rPr>
        <w:t xml:space="preserve"> </w:t>
      </w:r>
      <w:r>
        <w:rPr>
          <w:sz w:val="20"/>
        </w:rPr>
        <w:t>April</w:t>
      </w:r>
      <w:r>
        <w:rPr>
          <w:spacing w:val="-2"/>
          <w:sz w:val="20"/>
        </w:rPr>
        <w:t xml:space="preserve"> </w:t>
      </w:r>
      <w:r>
        <w:rPr>
          <w:spacing w:val="-4"/>
          <w:sz w:val="20"/>
        </w:rPr>
        <w:t>2022</w:t>
      </w:r>
    </w:p>
    <w:p w14:paraId="51DE9167" w14:textId="77777777" w:rsidR="0010369C" w:rsidRDefault="008E43AE">
      <w:pPr>
        <w:pStyle w:val="BodyText"/>
        <w:spacing w:before="35"/>
        <w:ind w:left="1089"/>
      </w:pPr>
      <w:r>
        <w:rPr>
          <w:noProof/>
        </w:rPr>
        <w:drawing>
          <wp:anchor distT="0" distB="0" distL="0" distR="0" simplePos="0" relativeHeight="250679808" behindDoc="0" locked="0" layoutInCell="1" allowOverlap="1" wp14:anchorId="51DEA565" wp14:editId="51DEA566">
            <wp:simplePos x="0" y="0"/>
            <wp:positionH relativeFrom="page">
              <wp:posOffset>905255</wp:posOffset>
            </wp:positionH>
            <wp:positionV relativeFrom="paragraph">
              <wp:posOffset>65990</wp:posOffset>
            </wp:positionV>
            <wp:extent cx="259079" cy="106679"/>
            <wp:effectExtent l="0" t="0" r="0" b="0"/>
            <wp:wrapNone/>
            <wp:docPr id="1311" name="image6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 name="image677.png"/>
                    <pic:cNvPicPr/>
                  </pic:nvPicPr>
                  <pic:blipFill>
                    <a:blip r:embed="rId879" cstate="print"/>
                    <a:stretch>
                      <a:fillRect/>
                    </a:stretch>
                  </pic:blipFill>
                  <pic:spPr>
                    <a:xfrm>
                      <a:off x="0" y="0"/>
                      <a:ext cx="259079" cy="106679"/>
                    </a:xfrm>
                    <a:prstGeom prst="rect">
                      <a:avLst/>
                    </a:prstGeom>
                  </pic:spPr>
                </pic:pic>
              </a:graphicData>
            </a:graphic>
          </wp:anchor>
        </w:drawing>
      </w:r>
      <w:r>
        <w:t>Australia</w:t>
      </w:r>
      <w:r>
        <w:rPr>
          <w:spacing w:val="-11"/>
        </w:rPr>
        <w:t xml:space="preserve"> </w:t>
      </w:r>
      <w:r>
        <w:t>has</w:t>
      </w:r>
      <w:r>
        <w:rPr>
          <w:spacing w:val="-11"/>
        </w:rPr>
        <w:t xml:space="preserve"> </w:t>
      </w:r>
      <w:r>
        <w:t>demonstrated</w:t>
      </w:r>
      <w:r>
        <w:rPr>
          <w:spacing w:val="-9"/>
        </w:rPr>
        <w:t xml:space="preserve"> </w:t>
      </w:r>
      <w:r>
        <w:t>that</w:t>
      </w:r>
      <w:r>
        <w:rPr>
          <w:spacing w:val="-11"/>
        </w:rPr>
        <w:t xml:space="preserve"> </w:t>
      </w:r>
      <w:r>
        <w:t>MOFCOM</w:t>
      </w:r>
      <w:r>
        <w:rPr>
          <w:spacing w:val="-10"/>
        </w:rPr>
        <w:t xml:space="preserve"> </w:t>
      </w:r>
      <w:r>
        <w:t>acted</w:t>
      </w:r>
      <w:r>
        <w:rPr>
          <w:spacing w:val="-11"/>
        </w:rPr>
        <w:t xml:space="preserve"> </w:t>
      </w:r>
      <w:r>
        <w:t>inconsistently</w:t>
      </w:r>
      <w:r>
        <w:rPr>
          <w:spacing w:val="-9"/>
        </w:rPr>
        <w:t xml:space="preserve"> </w:t>
      </w:r>
      <w:r>
        <w:rPr>
          <w:spacing w:val="-2"/>
        </w:rPr>
        <w:t>with:</w:t>
      </w:r>
    </w:p>
    <w:p w14:paraId="51DE9168" w14:textId="77777777" w:rsidR="0010369C" w:rsidRDefault="0010369C">
      <w:pPr>
        <w:pStyle w:val="BodyText"/>
        <w:rPr>
          <w:sz w:val="25"/>
        </w:rPr>
      </w:pPr>
    </w:p>
    <w:p w14:paraId="51DE9169" w14:textId="77777777" w:rsidR="0010369C" w:rsidRDefault="008E43AE">
      <w:pPr>
        <w:pStyle w:val="ListParagraph"/>
        <w:numPr>
          <w:ilvl w:val="0"/>
          <w:numId w:val="46"/>
        </w:numPr>
        <w:tabs>
          <w:tab w:val="left" w:pos="1940"/>
          <w:tab w:val="left" w:pos="1941"/>
        </w:tabs>
        <w:spacing w:before="0" w:line="357" w:lineRule="auto"/>
        <w:ind w:right="612" w:hanging="850"/>
        <w:rPr>
          <w:sz w:val="24"/>
        </w:rPr>
      </w:pPr>
      <w:r>
        <w:rPr>
          <w:sz w:val="24"/>
        </w:rPr>
        <w:t>Article</w:t>
      </w:r>
      <w:r>
        <w:rPr>
          <w:spacing w:val="80"/>
          <w:sz w:val="24"/>
        </w:rPr>
        <w:t xml:space="preserve"> </w:t>
      </w:r>
      <w:r>
        <w:rPr>
          <w:sz w:val="24"/>
        </w:rPr>
        <w:t>3.1</w:t>
      </w:r>
      <w:r>
        <w:rPr>
          <w:spacing w:val="80"/>
          <w:sz w:val="24"/>
        </w:rPr>
        <w:t xml:space="preserve"> </w:t>
      </w:r>
      <w:r>
        <w:rPr>
          <w:sz w:val="24"/>
        </w:rPr>
        <w:t>and</w:t>
      </w:r>
      <w:r>
        <w:rPr>
          <w:spacing w:val="80"/>
          <w:sz w:val="24"/>
        </w:rPr>
        <w:t xml:space="preserve"> </w:t>
      </w:r>
      <w:r>
        <w:rPr>
          <w:sz w:val="24"/>
        </w:rPr>
        <w:t>the</w:t>
      </w:r>
      <w:r>
        <w:rPr>
          <w:spacing w:val="80"/>
          <w:sz w:val="24"/>
        </w:rPr>
        <w:t xml:space="preserve"> </w:t>
      </w:r>
      <w:r>
        <w:rPr>
          <w:sz w:val="24"/>
        </w:rPr>
        <w:t>second</w:t>
      </w:r>
      <w:r>
        <w:rPr>
          <w:spacing w:val="80"/>
          <w:sz w:val="24"/>
        </w:rPr>
        <w:t xml:space="preserve"> </w:t>
      </w:r>
      <w:r>
        <w:rPr>
          <w:sz w:val="24"/>
        </w:rPr>
        <w:t>sentence</w:t>
      </w:r>
      <w:r>
        <w:rPr>
          <w:spacing w:val="80"/>
          <w:sz w:val="24"/>
        </w:rPr>
        <w:t xml:space="preserve"> </w:t>
      </w:r>
      <w:r>
        <w:rPr>
          <w:sz w:val="24"/>
        </w:rPr>
        <w:t>of</w:t>
      </w:r>
      <w:r>
        <w:rPr>
          <w:spacing w:val="80"/>
          <w:sz w:val="24"/>
        </w:rPr>
        <w:t xml:space="preserve"> </w:t>
      </w:r>
      <w:r>
        <w:rPr>
          <w:sz w:val="24"/>
        </w:rPr>
        <w:t>Article</w:t>
      </w:r>
      <w:r>
        <w:rPr>
          <w:spacing w:val="80"/>
          <w:sz w:val="24"/>
        </w:rPr>
        <w:t xml:space="preserve"> </w:t>
      </w:r>
      <w:r>
        <w:rPr>
          <w:sz w:val="24"/>
        </w:rPr>
        <w:t>3.2</w:t>
      </w:r>
      <w:r>
        <w:rPr>
          <w:spacing w:val="80"/>
          <w:sz w:val="24"/>
        </w:rPr>
        <w:t xml:space="preserve"> </w:t>
      </w:r>
      <w:r>
        <w:rPr>
          <w:sz w:val="24"/>
        </w:rPr>
        <w:t>of</w:t>
      </w:r>
      <w:r>
        <w:rPr>
          <w:spacing w:val="80"/>
          <w:sz w:val="24"/>
        </w:rPr>
        <w:t xml:space="preserve"> </w:t>
      </w:r>
      <w:r>
        <w:rPr>
          <w:sz w:val="24"/>
        </w:rPr>
        <w:t>the Anti‐Dumping Agreement by failing to conduct an objective examination based on positive evidence of the price effects of the allegedly dumped imports of Australian wine on pri</w:t>
      </w:r>
      <w:r>
        <w:rPr>
          <w:sz w:val="24"/>
        </w:rPr>
        <w:t>ces for domestic like products; and</w:t>
      </w:r>
    </w:p>
    <w:p w14:paraId="51DE916A" w14:textId="77777777" w:rsidR="0010369C" w:rsidRDefault="008E43AE">
      <w:pPr>
        <w:pStyle w:val="ListParagraph"/>
        <w:numPr>
          <w:ilvl w:val="0"/>
          <w:numId w:val="46"/>
        </w:numPr>
        <w:tabs>
          <w:tab w:val="left" w:pos="1938"/>
          <w:tab w:val="left" w:pos="1939"/>
        </w:tabs>
        <w:spacing w:before="132" w:line="357" w:lineRule="auto"/>
        <w:ind w:right="612"/>
        <w:rPr>
          <w:sz w:val="24"/>
        </w:rPr>
      </w:pPr>
      <w:r>
        <w:rPr>
          <w:sz w:val="24"/>
        </w:rPr>
        <w:t>Articles</w:t>
      </w:r>
      <w:r>
        <w:rPr>
          <w:spacing w:val="-6"/>
          <w:sz w:val="24"/>
        </w:rPr>
        <w:t xml:space="preserve"> </w:t>
      </w:r>
      <w:r>
        <w:rPr>
          <w:sz w:val="24"/>
        </w:rPr>
        <w:t>3.1</w:t>
      </w:r>
      <w:r>
        <w:rPr>
          <w:spacing w:val="-4"/>
          <w:sz w:val="24"/>
        </w:rPr>
        <w:t xml:space="preserve"> </w:t>
      </w:r>
      <w:r>
        <w:rPr>
          <w:sz w:val="24"/>
        </w:rPr>
        <w:t>and</w:t>
      </w:r>
      <w:r>
        <w:rPr>
          <w:spacing w:val="-5"/>
          <w:sz w:val="24"/>
        </w:rPr>
        <w:t xml:space="preserve"> </w:t>
      </w:r>
      <w:r>
        <w:rPr>
          <w:sz w:val="24"/>
        </w:rPr>
        <w:t>3.4</w:t>
      </w:r>
      <w:r>
        <w:rPr>
          <w:spacing w:val="-6"/>
          <w:sz w:val="24"/>
        </w:rPr>
        <w:t xml:space="preserve"> </w:t>
      </w:r>
      <w:r>
        <w:rPr>
          <w:sz w:val="24"/>
        </w:rPr>
        <w:t>of</w:t>
      </w:r>
      <w:r>
        <w:rPr>
          <w:spacing w:val="-5"/>
          <w:sz w:val="24"/>
        </w:rPr>
        <w:t xml:space="preserve"> </w:t>
      </w:r>
      <w:r>
        <w:rPr>
          <w:sz w:val="24"/>
        </w:rPr>
        <w:t>the</w:t>
      </w:r>
      <w:r>
        <w:rPr>
          <w:spacing w:val="-5"/>
          <w:sz w:val="24"/>
        </w:rPr>
        <w:t xml:space="preserve"> </w:t>
      </w:r>
      <w:r>
        <w:rPr>
          <w:sz w:val="24"/>
        </w:rPr>
        <w:t>Anti‐Dumping</w:t>
      </w:r>
      <w:r>
        <w:rPr>
          <w:spacing w:val="-5"/>
          <w:sz w:val="24"/>
        </w:rPr>
        <w:t xml:space="preserve"> </w:t>
      </w:r>
      <w:r>
        <w:rPr>
          <w:sz w:val="24"/>
        </w:rPr>
        <w:t>Agreement</w:t>
      </w:r>
      <w:r>
        <w:rPr>
          <w:spacing w:val="-6"/>
          <w:sz w:val="24"/>
        </w:rPr>
        <w:t xml:space="preserve"> </w:t>
      </w:r>
      <w:r>
        <w:rPr>
          <w:sz w:val="24"/>
        </w:rPr>
        <w:t>by</w:t>
      </w:r>
      <w:r>
        <w:rPr>
          <w:spacing w:val="-5"/>
          <w:sz w:val="24"/>
        </w:rPr>
        <w:t xml:space="preserve"> </w:t>
      </w:r>
      <w:r>
        <w:rPr>
          <w:sz w:val="24"/>
        </w:rPr>
        <w:t>failing</w:t>
      </w:r>
      <w:r>
        <w:rPr>
          <w:spacing w:val="-5"/>
          <w:sz w:val="24"/>
        </w:rPr>
        <w:t xml:space="preserve"> </w:t>
      </w:r>
      <w:r>
        <w:rPr>
          <w:sz w:val="24"/>
        </w:rPr>
        <w:t>to</w:t>
      </w:r>
      <w:r>
        <w:rPr>
          <w:spacing w:val="-5"/>
          <w:sz w:val="24"/>
        </w:rPr>
        <w:t xml:space="preserve"> </w:t>
      </w:r>
      <w:r>
        <w:rPr>
          <w:sz w:val="24"/>
        </w:rPr>
        <w:t>conduct</w:t>
      </w:r>
      <w:r>
        <w:rPr>
          <w:spacing w:val="-5"/>
          <w:sz w:val="24"/>
        </w:rPr>
        <w:t xml:space="preserve"> </w:t>
      </w:r>
      <w:r>
        <w:rPr>
          <w:sz w:val="24"/>
        </w:rPr>
        <w:t>an objective evaluation based on positive evidence of the economic factors bearing on the state of China's wine industry in the context of its exam</w:t>
      </w:r>
      <w:r>
        <w:rPr>
          <w:sz w:val="24"/>
        </w:rPr>
        <w:t>ination of injury.</w:t>
      </w:r>
    </w:p>
    <w:p w14:paraId="51DE916B" w14:textId="77777777" w:rsidR="0010369C" w:rsidRDefault="008E43AE">
      <w:pPr>
        <w:pStyle w:val="BodyText"/>
        <w:spacing w:before="130" w:line="360" w:lineRule="auto"/>
        <w:ind w:left="236" w:right="613" w:firstLine="852"/>
        <w:jc w:val="both"/>
      </w:pPr>
      <w:r>
        <w:rPr>
          <w:noProof/>
        </w:rPr>
        <w:drawing>
          <wp:anchor distT="0" distB="0" distL="0" distR="0" simplePos="0" relativeHeight="251282944" behindDoc="1" locked="0" layoutInCell="1" allowOverlap="1" wp14:anchorId="51DEA567" wp14:editId="51DEA568">
            <wp:simplePos x="0" y="0"/>
            <wp:positionH relativeFrom="page">
              <wp:posOffset>905255</wp:posOffset>
            </wp:positionH>
            <wp:positionV relativeFrom="paragraph">
              <wp:posOffset>131479</wp:posOffset>
            </wp:positionV>
            <wp:extent cx="259079" cy="100753"/>
            <wp:effectExtent l="0" t="0" r="0" b="0"/>
            <wp:wrapNone/>
            <wp:docPr id="1313" name="image6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 name="image678.png"/>
                    <pic:cNvPicPr/>
                  </pic:nvPicPr>
                  <pic:blipFill>
                    <a:blip r:embed="rId880" cstate="print"/>
                    <a:stretch>
                      <a:fillRect/>
                    </a:stretch>
                  </pic:blipFill>
                  <pic:spPr>
                    <a:xfrm>
                      <a:off x="0" y="0"/>
                      <a:ext cx="259079" cy="100753"/>
                    </a:xfrm>
                    <a:prstGeom prst="rect">
                      <a:avLst/>
                    </a:prstGeom>
                  </pic:spPr>
                </pic:pic>
              </a:graphicData>
            </a:graphic>
          </wp:anchor>
        </w:drawing>
      </w:r>
      <w:r>
        <w:t>MOFCOM</w:t>
      </w:r>
      <w:r>
        <w:rPr>
          <w:spacing w:val="-14"/>
        </w:rPr>
        <w:t xml:space="preserve"> </w:t>
      </w:r>
      <w:r>
        <w:t>relied</w:t>
      </w:r>
      <w:r>
        <w:rPr>
          <w:spacing w:val="-14"/>
        </w:rPr>
        <w:t xml:space="preserve"> </w:t>
      </w:r>
      <w:r>
        <w:t>on</w:t>
      </w:r>
      <w:r>
        <w:rPr>
          <w:spacing w:val="-13"/>
        </w:rPr>
        <w:t xml:space="preserve"> </w:t>
      </w:r>
      <w:r>
        <w:t>the</w:t>
      </w:r>
      <w:r>
        <w:rPr>
          <w:spacing w:val="-14"/>
        </w:rPr>
        <w:t xml:space="preserve"> </w:t>
      </w:r>
      <w:r>
        <w:t>outcomes</w:t>
      </w:r>
      <w:r>
        <w:rPr>
          <w:spacing w:val="-13"/>
        </w:rPr>
        <w:t xml:space="preserve"> </w:t>
      </w:r>
      <w:r>
        <w:t>of</w:t>
      </w:r>
      <w:r>
        <w:rPr>
          <w:spacing w:val="-14"/>
        </w:rPr>
        <w:t xml:space="preserve"> </w:t>
      </w:r>
      <w:r>
        <w:t>these</w:t>
      </w:r>
      <w:r>
        <w:rPr>
          <w:spacing w:val="-13"/>
        </w:rPr>
        <w:t xml:space="preserve"> </w:t>
      </w:r>
      <w:r>
        <w:t>WTO‐inconsistent</w:t>
      </w:r>
      <w:r>
        <w:rPr>
          <w:spacing w:val="-14"/>
        </w:rPr>
        <w:t xml:space="preserve"> </w:t>
      </w:r>
      <w:r>
        <w:t>examinations</w:t>
      </w:r>
      <w:r>
        <w:rPr>
          <w:spacing w:val="-14"/>
        </w:rPr>
        <w:t xml:space="preserve"> </w:t>
      </w:r>
      <w:r>
        <w:t>in</w:t>
      </w:r>
      <w:r>
        <w:rPr>
          <w:spacing w:val="-13"/>
        </w:rPr>
        <w:t xml:space="preserve"> </w:t>
      </w:r>
      <w:r>
        <w:t>support of</w:t>
      </w:r>
      <w:r>
        <w:rPr>
          <w:spacing w:val="-2"/>
        </w:rPr>
        <w:t xml:space="preserve"> </w:t>
      </w:r>
      <w:r>
        <w:t>its</w:t>
      </w:r>
      <w:r>
        <w:rPr>
          <w:spacing w:val="-2"/>
        </w:rPr>
        <w:t xml:space="preserve"> </w:t>
      </w:r>
      <w:r>
        <w:t>finding</w:t>
      </w:r>
      <w:r>
        <w:rPr>
          <w:spacing w:val="-1"/>
        </w:rPr>
        <w:t xml:space="preserve"> </w:t>
      </w:r>
      <w:r>
        <w:t>that</w:t>
      </w:r>
      <w:r>
        <w:rPr>
          <w:spacing w:val="-2"/>
        </w:rPr>
        <w:t xml:space="preserve"> </w:t>
      </w:r>
      <w:r>
        <w:t>subject</w:t>
      </w:r>
      <w:r>
        <w:rPr>
          <w:spacing w:val="-1"/>
        </w:rPr>
        <w:t xml:space="preserve"> </w:t>
      </w:r>
      <w:r>
        <w:t>imports</w:t>
      </w:r>
      <w:r>
        <w:rPr>
          <w:spacing w:val="-1"/>
        </w:rPr>
        <w:t xml:space="preserve"> </w:t>
      </w:r>
      <w:r>
        <w:t>caused</w:t>
      </w:r>
      <w:r>
        <w:rPr>
          <w:spacing w:val="-2"/>
        </w:rPr>
        <w:t xml:space="preserve"> </w:t>
      </w:r>
      <w:r>
        <w:t>material</w:t>
      </w:r>
      <w:r>
        <w:rPr>
          <w:spacing w:val="-3"/>
        </w:rPr>
        <w:t xml:space="preserve"> </w:t>
      </w:r>
      <w:r>
        <w:t>injury</w:t>
      </w:r>
      <w:r>
        <w:rPr>
          <w:spacing w:val="-1"/>
        </w:rPr>
        <w:t xml:space="preserve"> </w:t>
      </w:r>
      <w:r>
        <w:t>to</w:t>
      </w:r>
      <w:r>
        <w:rPr>
          <w:spacing w:val="-1"/>
        </w:rPr>
        <w:t xml:space="preserve"> </w:t>
      </w:r>
      <w:r>
        <w:t>the</w:t>
      </w:r>
      <w:r>
        <w:rPr>
          <w:spacing w:val="-1"/>
        </w:rPr>
        <w:t xml:space="preserve"> </w:t>
      </w:r>
      <w:r>
        <w:t>domestic industry.</w:t>
      </w:r>
      <w:r>
        <w:rPr>
          <w:vertAlign w:val="superscript"/>
        </w:rPr>
        <w:t>776</w:t>
      </w:r>
      <w:r>
        <w:rPr>
          <w:spacing w:val="-2"/>
        </w:rPr>
        <w:t xml:space="preserve"> </w:t>
      </w:r>
      <w:r>
        <w:t>As</w:t>
      </w:r>
      <w:r>
        <w:rPr>
          <w:spacing w:val="-1"/>
        </w:rPr>
        <w:t xml:space="preserve"> </w:t>
      </w:r>
      <w:r>
        <w:t>such, these</w:t>
      </w:r>
      <w:r>
        <w:rPr>
          <w:spacing w:val="-13"/>
        </w:rPr>
        <w:t xml:space="preserve"> </w:t>
      </w:r>
      <w:r>
        <w:t>shortcomings</w:t>
      </w:r>
      <w:r>
        <w:rPr>
          <w:spacing w:val="-12"/>
        </w:rPr>
        <w:t xml:space="preserve"> </w:t>
      </w:r>
      <w:r>
        <w:t>also</w:t>
      </w:r>
      <w:r>
        <w:rPr>
          <w:spacing w:val="-12"/>
        </w:rPr>
        <w:t xml:space="preserve"> </w:t>
      </w:r>
      <w:r>
        <w:t>undermine</w:t>
      </w:r>
      <w:r>
        <w:rPr>
          <w:spacing w:val="-12"/>
        </w:rPr>
        <w:t xml:space="preserve"> </w:t>
      </w:r>
      <w:r>
        <w:t>MOFCOM's</w:t>
      </w:r>
      <w:r>
        <w:rPr>
          <w:spacing w:val="-11"/>
        </w:rPr>
        <w:t xml:space="preserve"> </w:t>
      </w:r>
      <w:r>
        <w:t>conclusion</w:t>
      </w:r>
      <w:r>
        <w:rPr>
          <w:spacing w:val="-12"/>
        </w:rPr>
        <w:t xml:space="preserve"> </w:t>
      </w:r>
      <w:r>
        <w:t>on</w:t>
      </w:r>
      <w:r>
        <w:rPr>
          <w:spacing w:val="-12"/>
        </w:rPr>
        <w:t xml:space="preserve"> </w:t>
      </w:r>
      <w:r>
        <w:t>the</w:t>
      </w:r>
      <w:r>
        <w:rPr>
          <w:spacing w:val="-11"/>
        </w:rPr>
        <w:t xml:space="preserve"> </w:t>
      </w:r>
      <w:r>
        <w:t>causal</w:t>
      </w:r>
      <w:r>
        <w:rPr>
          <w:spacing w:val="-14"/>
        </w:rPr>
        <w:t xml:space="preserve"> </w:t>
      </w:r>
      <w:r>
        <w:t>link</w:t>
      </w:r>
      <w:r>
        <w:rPr>
          <w:spacing w:val="-12"/>
        </w:rPr>
        <w:t xml:space="preserve"> </w:t>
      </w:r>
      <w:r>
        <w:t>between</w:t>
      </w:r>
      <w:r>
        <w:rPr>
          <w:spacing w:val="-11"/>
        </w:rPr>
        <w:t xml:space="preserve"> </w:t>
      </w:r>
      <w:r>
        <w:t>subject imports of Australian wine and the injury allegedly suffered by the domestic industry. Therefore, as a consequence of the inconsistencies with Articles 3.2 and 3.4 of the Anti‐ Dumping Agreement, MOFCOM's deter</w:t>
      </w:r>
      <w:r>
        <w:t>mination that subject imports of Australian wine caused material injury to the domestic wine industry in China is inconsistent with China's obligations under Articles 3.1 and 3.5 of the Anti‐Dumping Agreement.</w:t>
      </w:r>
    </w:p>
    <w:p w14:paraId="51DE916C" w14:textId="77777777" w:rsidR="0010369C" w:rsidRDefault="008E43AE">
      <w:pPr>
        <w:pStyle w:val="Heading4"/>
        <w:numPr>
          <w:ilvl w:val="1"/>
          <w:numId w:val="48"/>
        </w:numPr>
        <w:tabs>
          <w:tab w:val="left" w:pos="2648"/>
          <w:tab w:val="left" w:pos="2649"/>
        </w:tabs>
        <w:spacing w:before="160" w:line="360" w:lineRule="auto"/>
        <w:ind w:left="2647" w:right="616" w:hanging="850"/>
        <w:jc w:val="both"/>
      </w:pPr>
      <w:r>
        <w:t>MOFCOM's analysis failed to establish a genuin</w:t>
      </w:r>
      <w:r>
        <w:t>e causal link between Australian imports and injury to the domestic industry</w:t>
      </w:r>
    </w:p>
    <w:p w14:paraId="51DE916D" w14:textId="77777777" w:rsidR="0010369C" w:rsidRDefault="0010369C">
      <w:pPr>
        <w:pStyle w:val="BodyText"/>
        <w:spacing w:before="11"/>
        <w:rPr>
          <w:b/>
          <w:sz w:val="8"/>
        </w:rPr>
      </w:pPr>
    </w:p>
    <w:p w14:paraId="51DE916E" w14:textId="77777777" w:rsidR="0010369C" w:rsidRDefault="008E43AE">
      <w:pPr>
        <w:pStyle w:val="BodyText"/>
        <w:spacing w:before="52" w:line="360" w:lineRule="auto"/>
        <w:ind w:left="237" w:right="611" w:firstLine="852"/>
        <w:jc w:val="both"/>
      </w:pPr>
      <w:r>
        <w:rPr>
          <w:noProof/>
        </w:rPr>
        <w:drawing>
          <wp:anchor distT="0" distB="0" distL="0" distR="0" simplePos="0" relativeHeight="251283968" behindDoc="1" locked="0" layoutInCell="1" allowOverlap="1" wp14:anchorId="51DEA569" wp14:editId="51DEA56A">
            <wp:simplePos x="0" y="0"/>
            <wp:positionH relativeFrom="page">
              <wp:posOffset>905255</wp:posOffset>
            </wp:positionH>
            <wp:positionV relativeFrom="paragraph">
              <wp:posOffset>81357</wp:posOffset>
            </wp:positionV>
            <wp:extent cx="259079" cy="103631"/>
            <wp:effectExtent l="0" t="0" r="0" b="0"/>
            <wp:wrapNone/>
            <wp:docPr id="1315" name="image6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 name="image679.png"/>
                    <pic:cNvPicPr/>
                  </pic:nvPicPr>
                  <pic:blipFill>
                    <a:blip r:embed="rId881" cstate="print"/>
                    <a:stretch>
                      <a:fillRect/>
                    </a:stretch>
                  </pic:blipFill>
                  <pic:spPr>
                    <a:xfrm>
                      <a:off x="0" y="0"/>
                      <a:ext cx="259079" cy="103631"/>
                    </a:xfrm>
                    <a:prstGeom prst="rect">
                      <a:avLst/>
                    </a:prstGeom>
                  </pic:spPr>
                </pic:pic>
              </a:graphicData>
            </a:graphic>
          </wp:anchor>
        </w:drawing>
      </w:r>
      <w:r>
        <w:t>Under</w:t>
      </w:r>
      <w:r>
        <w:rPr>
          <w:spacing w:val="-2"/>
        </w:rPr>
        <w:t xml:space="preserve"> </w:t>
      </w:r>
      <w:r>
        <w:t>Article</w:t>
      </w:r>
      <w:r>
        <w:rPr>
          <w:spacing w:val="-2"/>
        </w:rPr>
        <w:t xml:space="preserve"> </w:t>
      </w:r>
      <w:r>
        <w:t>3.5,</w:t>
      </w:r>
      <w:r>
        <w:rPr>
          <w:spacing w:val="-1"/>
        </w:rPr>
        <w:t xml:space="preserve"> </w:t>
      </w:r>
      <w:r>
        <w:t>MOFCOM</w:t>
      </w:r>
      <w:r>
        <w:rPr>
          <w:spacing w:val="-1"/>
        </w:rPr>
        <w:t xml:space="preserve"> </w:t>
      </w:r>
      <w:r>
        <w:t>was</w:t>
      </w:r>
      <w:r>
        <w:rPr>
          <w:spacing w:val="-2"/>
        </w:rPr>
        <w:t xml:space="preserve"> </w:t>
      </w:r>
      <w:r>
        <w:t>required</w:t>
      </w:r>
      <w:r>
        <w:rPr>
          <w:spacing w:val="-2"/>
        </w:rPr>
        <w:t xml:space="preserve"> </w:t>
      </w:r>
      <w:r>
        <w:t>to</w:t>
      </w:r>
      <w:r>
        <w:rPr>
          <w:spacing w:val="-1"/>
        </w:rPr>
        <w:t xml:space="preserve"> </w:t>
      </w:r>
      <w:r>
        <w:t>demonstrate,</w:t>
      </w:r>
      <w:r>
        <w:rPr>
          <w:spacing w:val="-2"/>
        </w:rPr>
        <w:t xml:space="preserve"> </w:t>
      </w:r>
      <w:r>
        <w:t>based</w:t>
      </w:r>
      <w:r>
        <w:rPr>
          <w:spacing w:val="-1"/>
        </w:rPr>
        <w:t xml:space="preserve"> </w:t>
      </w:r>
      <w:r>
        <w:t>on</w:t>
      </w:r>
      <w:r>
        <w:rPr>
          <w:spacing w:val="-2"/>
        </w:rPr>
        <w:t xml:space="preserve"> </w:t>
      </w:r>
      <w:r>
        <w:t>an</w:t>
      </w:r>
      <w:r>
        <w:rPr>
          <w:spacing w:val="-3"/>
        </w:rPr>
        <w:t xml:space="preserve"> </w:t>
      </w:r>
      <w:r>
        <w:t xml:space="preserve">examination of all relevant evidence on the investigation record, that subject imports of Australian wine were, through the effects of dumping, </w:t>
      </w:r>
      <w:r>
        <w:rPr>
          <w:i/>
        </w:rPr>
        <w:t xml:space="preserve">causing </w:t>
      </w:r>
      <w:r>
        <w:t>material injury to the domestic wine industry in China. MOFCOM failed to do so. Rather, MOFCOM's causati</w:t>
      </w:r>
      <w:r>
        <w:t>on analysis simply reiterated the outcomes of its examinations under Articles 3.2 and 3.4 and concluded, without further analysis,</w:t>
      </w:r>
      <w:r>
        <w:rPr>
          <w:spacing w:val="27"/>
        </w:rPr>
        <w:t xml:space="preserve"> </w:t>
      </w:r>
      <w:r>
        <w:t>that</w:t>
      </w:r>
      <w:r>
        <w:rPr>
          <w:spacing w:val="28"/>
        </w:rPr>
        <w:t xml:space="preserve"> </w:t>
      </w:r>
      <w:r>
        <w:t>"the</w:t>
      </w:r>
      <w:r>
        <w:rPr>
          <w:spacing w:val="28"/>
        </w:rPr>
        <w:t xml:space="preserve"> </w:t>
      </w:r>
      <w:r>
        <w:t>market</w:t>
      </w:r>
      <w:r>
        <w:rPr>
          <w:spacing w:val="27"/>
        </w:rPr>
        <w:t xml:space="preserve"> </w:t>
      </w:r>
      <w:r>
        <w:t>share</w:t>
      </w:r>
      <w:r>
        <w:rPr>
          <w:spacing w:val="28"/>
        </w:rPr>
        <w:t xml:space="preserve"> </w:t>
      </w:r>
      <w:r>
        <w:t>of</w:t>
      </w:r>
      <w:r>
        <w:rPr>
          <w:spacing w:val="26"/>
        </w:rPr>
        <w:t xml:space="preserve"> </w:t>
      </w:r>
      <w:r>
        <w:t>domestic</w:t>
      </w:r>
      <w:r>
        <w:rPr>
          <w:spacing w:val="29"/>
        </w:rPr>
        <w:t xml:space="preserve"> </w:t>
      </w:r>
      <w:r>
        <w:t>like</w:t>
      </w:r>
      <w:r>
        <w:rPr>
          <w:spacing w:val="28"/>
        </w:rPr>
        <w:t xml:space="preserve"> </w:t>
      </w:r>
      <w:r>
        <w:t>products</w:t>
      </w:r>
      <w:r>
        <w:rPr>
          <w:spacing w:val="26"/>
        </w:rPr>
        <w:t xml:space="preserve"> </w:t>
      </w:r>
      <w:r>
        <w:t>was</w:t>
      </w:r>
      <w:r>
        <w:rPr>
          <w:spacing w:val="27"/>
        </w:rPr>
        <w:t xml:space="preserve"> </w:t>
      </w:r>
      <w:r>
        <w:t>obviously</w:t>
      </w:r>
      <w:r>
        <w:rPr>
          <w:spacing w:val="28"/>
        </w:rPr>
        <w:t xml:space="preserve"> </w:t>
      </w:r>
      <w:r>
        <w:t>squeezed</w:t>
      </w:r>
      <w:r>
        <w:rPr>
          <w:spacing w:val="26"/>
        </w:rPr>
        <w:t xml:space="preserve"> </w:t>
      </w:r>
      <w:r>
        <w:t>by</w:t>
      </w:r>
      <w:r>
        <w:rPr>
          <w:spacing w:val="28"/>
        </w:rPr>
        <w:t xml:space="preserve"> </w:t>
      </w:r>
      <w:r>
        <w:t>the</w:t>
      </w:r>
    </w:p>
    <w:p w14:paraId="51DE916F" w14:textId="77777777" w:rsidR="0010369C" w:rsidRDefault="0010369C">
      <w:pPr>
        <w:pStyle w:val="BodyText"/>
        <w:rPr>
          <w:sz w:val="20"/>
        </w:rPr>
      </w:pPr>
    </w:p>
    <w:p w14:paraId="51DE9170" w14:textId="77777777" w:rsidR="0010369C" w:rsidRDefault="0010369C">
      <w:pPr>
        <w:pStyle w:val="BodyText"/>
        <w:rPr>
          <w:sz w:val="20"/>
        </w:rPr>
      </w:pPr>
    </w:p>
    <w:p w14:paraId="51DE9171" w14:textId="77777777" w:rsidR="0010369C" w:rsidRDefault="0010369C">
      <w:pPr>
        <w:pStyle w:val="BodyText"/>
        <w:rPr>
          <w:sz w:val="20"/>
        </w:rPr>
      </w:pPr>
    </w:p>
    <w:p w14:paraId="51DE9172" w14:textId="77777777" w:rsidR="0010369C" w:rsidRDefault="0010369C">
      <w:pPr>
        <w:pStyle w:val="BodyText"/>
        <w:rPr>
          <w:sz w:val="20"/>
        </w:rPr>
      </w:pPr>
    </w:p>
    <w:p w14:paraId="51DE9173" w14:textId="77777777" w:rsidR="0010369C" w:rsidRDefault="0010369C">
      <w:pPr>
        <w:pStyle w:val="BodyText"/>
        <w:rPr>
          <w:sz w:val="20"/>
        </w:rPr>
      </w:pPr>
    </w:p>
    <w:p w14:paraId="51DE9174" w14:textId="77777777" w:rsidR="0010369C" w:rsidRDefault="0010369C">
      <w:pPr>
        <w:pStyle w:val="BodyText"/>
        <w:rPr>
          <w:sz w:val="20"/>
        </w:rPr>
      </w:pPr>
    </w:p>
    <w:p w14:paraId="51DE9175" w14:textId="77777777" w:rsidR="0010369C" w:rsidRDefault="0010369C">
      <w:pPr>
        <w:pStyle w:val="BodyText"/>
        <w:rPr>
          <w:sz w:val="20"/>
        </w:rPr>
      </w:pPr>
    </w:p>
    <w:p w14:paraId="51DE9176" w14:textId="77777777" w:rsidR="0010369C" w:rsidRDefault="008E43AE">
      <w:pPr>
        <w:pStyle w:val="BodyText"/>
        <w:spacing w:before="10"/>
        <w:rPr>
          <w:sz w:val="15"/>
        </w:rPr>
      </w:pPr>
      <w:r>
        <w:pict w14:anchorId="51DEA56B">
          <v:rect id="docshape1127" o:spid="_x0000_s1265" style="position:absolute;margin-left:70.9pt;margin-top:10.9pt;width:2in;height:.8pt;z-index:-250797568;mso-wrap-distance-left:0;mso-wrap-distance-right:0;mso-position-horizontal-relative:page" fillcolor="black" stroked="f">
            <w10:wrap type="topAndBottom" anchorx="page"/>
          </v:rect>
        </w:pict>
      </w:r>
    </w:p>
    <w:p w14:paraId="51DE9177" w14:textId="77777777" w:rsidR="0010369C" w:rsidRDefault="008E43AE">
      <w:pPr>
        <w:spacing w:before="109"/>
        <w:ind w:left="238"/>
        <w:rPr>
          <w:sz w:val="18"/>
        </w:rPr>
      </w:pPr>
      <w:r>
        <w:rPr>
          <w:sz w:val="18"/>
          <w:vertAlign w:val="superscript"/>
        </w:rPr>
        <w:t>776</w:t>
      </w:r>
      <w:r>
        <w:rPr>
          <w:spacing w:val="-9"/>
          <w:sz w:val="18"/>
        </w:rPr>
        <w:t xml:space="preserve"> </w:t>
      </w:r>
      <w:r>
        <w:rPr>
          <w:sz w:val="18"/>
        </w:rPr>
        <w:t>Anti‐Dumping</w:t>
      </w:r>
      <w:r>
        <w:rPr>
          <w:spacing w:val="-9"/>
          <w:sz w:val="18"/>
        </w:rPr>
        <w:t xml:space="preserve"> </w:t>
      </w:r>
      <w:r>
        <w:rPr>
          <w:sz w:val="18"/>
        </w:rPr>
        <w:t>Final</w:t>
      </w:r>
      <w:r>
        <w:rPr>
          <w:spacing w:val="-9"/>
          <w:sz w:val="18"/>
        </w:rPr>
        <w:t xml:space="preserve"> </w:t>
      </w:r>
      <w:r>
        <w:rPr>
          <w:sz w:val="18"/>
        </w:rPr>
        <w:t>Determination</w:t>
      </w:r>
      <w:r>
        <w:rPr>
          <w:spacing w:val="-8"/>
          <w:sz w:val="18"/>
        </w:rPr>
        <w:t xml:space="preserve"> </w:t>
      </w:r>
      <w:r>
        <w:rPr>
          <w:sz w:val="18"/>
        </w:rPr>
        <w:t>(Exhibit</w:t>
      </w:r>
      <w:r>
        <w:rPr>
          <w:spacing w:val="-9"/>
          <w:sz w:val="18"/>
        </w:rPr>
        <w:t xml:space="preserve"> </w:t>
      </w:r>
      <w:r>
        <w:rPr>
          <w:sz w:val="18"/>
        </w:rPr>
        <w:t>AUS‐2),</w:t>
      </w:r>
      <w:r>
        <w:rPr>
          <w:spacing w:val="-10"/>
          <w:sz w:val="18"/>
        </w:rPr>
        <w:t xml:space="preserve"> </w:t>
      </w:r>
      <w:r>
        <w:rPr>
          <w:sz w:val="18"/>
        </w:rPr>
        <w:t>pp.</w:t>
      </w:r>
      <w:r>
        <w:rPr>
          <w:spacing w:val="-9"/>
          <w:sz w:val="18"/>
        </w:rPr>
        <w:t xml:space="preserve"> </w:t>
      </w:r>
      <w:r>
        <w:rPr>
          <w:spacing w:val="-2"/>
          <w:sz w:val="18"/>
        </w:rPr>
        <w:t>134‐137.</w:t>
      </w:r>
    </w:p>
    <w:p w14:paraId="51DE9178" w14:textId="77777777" w:rsidR="0010369C" w:rsidRDefault="0010369C">
      <w:pPr>
        <w:rPr>
          <w:sz w:val="18"/>
        </w:rPr>
        <w:sectPr w:rsidR="0010369C">
          <w:pgSz w:w="11910" w:h="16840"/>
          <w:pgMar w:top="880" w:right="800" w:bottom="980" w:left="1180" w:header="569" w:footer="788" w:gutter="0"/>
          <w:cols w:space="720"/>
        </w:sectPr>
      </w:pPr>
    </w:p>
    <w:p w14:paraId="51DE9179" w14:textId="77777777" w:rsidR="0010369C" w:rsidRDefault="008E43AE">
      <w:pPr>
        <w:tabs>
          <w:tab w:val="left" w:pos="6426"/>
        </w:tabs>
        <w:ind w:left="238"/>
        <w:rPr>
          <w:sz w:val="20"/>
        </w:rPr>
      </w:pPr>
      <w:r>
        <w:rPr>
          <w:i/>
          <w:sz w:val="20"/>
        </w:rPr>
        <w:lastRenderedPageBreak/>
        <w:t>China</w:t>
      </w:r>
      <w:r>
        <w:rPr>
          <w:i/>
          <w:spacing w:val="-5"/>
          <w:sz w:val="20"/>
        </w:rPr>
        <w:t xml:space="preserve"> </w:t>
      </w:r>
      <w:r>
        <w:rPr>
          <w:i/>
          <w:sz w:val="20"/>
        </w:rPr>
        <w:t>–</w:t>
      </w:r>
      <w:r>
        <w:rPr>
          <w:i/>
          <w:spacing w:val="-5"/>
          <w:sz w:val="20"/>
        </w:rPr>
        <w:t xml:space="preserve"> </w:t>
      </w:r>
      <w:r>
        <w:rPr>
          <w:i/>
          <w:sz w:val="20"/>
        </w:rPr>
        <w:t>Anti‐Dumping</w:t>
      </w:r>
      <w:r>
        <w:rPr>
          <w:i/>
          <w:spacing w:val="-4"/>
          <w:sz w:val="20"/>
        </w:rPr>
        <w:t xml:space="preserve"> </w:t>
      </w:r>
      <w:r>
        <w:rPr>
          <w:i/>
          <w:sz w:val="20"/>
        </w:rPr>
        <w:t>and</w:t>
      </w:r>
      <w:r>
        <w:rPr>
          <w:i/>
          <w:spacing w:val="-5"/>
          <w:sz w:val="20"/>
        </w:rPr>
        <w:t xml:space="preserve"> </w:t>
      </w:r>
      <w:r>
        <w:rPr>
          <w:i/>
          <w:sz w:val="20"/>
        </w:rPr>
        <w:t>Countervailing</w:t>
      </w:r>
      <w:r>
        <w:rPr>
          <w:i/>
          <w:spacing w:val="-5"/>
          <w:sz w:val="20"/>
        </w:rPr>
        <w:t xml:space="preserve"> </w:t>
      </w:r>
      <w:r>
        <w:rPr>
          <w:i/>
          <w:sz w:val="20"/>
        </w:rPr>
        <w:t>Duty</w:t>
      </w:r>
      <w:r>
        <w:rPr>
          <w:i/>
          <w:spacing w:val="-4"/>
          <w:sz w:val="20"/>
        </w:rPr>
        <w:t xml:space="preserve"> </w:t>
      </w:r>
      <w:r>
        <w:rPr>
          <w:i/>
          <w:spacing w:val="-2"/>
          <w:sz w:val="20"/>
        </w:rPr>
        <w:t>Measures</w:t>
      </w:r>
      <w:r>
        <w:rPr>
          <w:i/>
          <w:sz w:val="20"/>
        </w:rPr>
        <w:tab/>
      </w:r>
      <w:r>
        <w:rPr>
          <w:sz w:val="20"/>
        </w:rPr>
        <w:t>Australia's</w:t>
      </w:r>
      <w:r>
        <w:rPr>
          <w:spacing w:val="-7"/>
          <w:sz w:val="20"/>
        </w:rPr>
        <w:t xml:space="preserve"> </w:t>
      </w:r>
      <w:r>
        <w:rPr>
          <w:sz w:val="20"/>
        </w:rPr>
        <w:t>First</w:t>
      </w:r>
      <w:r>
        <w:rPr>
          <w:spacing w:val="-2"/>
          <w:sz w:val="20"/>
        </w:rPr>
        <w:t xml:space="preserve"> </w:t>
      </w:r>
      <w:r>
        <w:rPr>
          <w:sz w:val="20"/>
        </w:rPr>
        <w:t>Written</w:t>
      </w:r>
      <w:r>
        <w:rPr>
          <w:spacing w:val="-2"/>
          <w:sz w:val="20"/>
        </w:rPr>
        <w:t xml:space="preserve"> Submission</w:t>
      </w:r>
    </w:p>
    <w:p w14:paraId="51DE917A" w14:textId="77777777" w:rsidR="0010369C" w:rsidRDefault="008E43AE">
      <w:pPr>
        <w:tabs>
          <w:tab w:val="left" w:pos="8228"/>
        </w:tabs>
        <w:spacing w:before="1"/>
        <w:ind w:left="239"/>
        <w:rPr>
          <w:sz w:val="20"/>
        </w:rPr>
      </w:pPr>
      <w:r>
        <w:rPr>
          <w:i/>
          <w:sz w:val="20"/>
        </w:rPr>
        <w:t>on</w:t>
      </w:r>
      <w:r>
        <w:rPr>
          <w:i/>
          <w:spacing w:val="-1"/>
          <w:sz w:val="20"/>
        </w:rPr>
        <w:t xml:space="preserve"> </w:t>
      </w:r>
      <w:r>
        <w:rPr>
          <w:i/>
          <w:sz w:val="20"/>
        </w:rPr>
        <w:t>Wine</w:t>
      </w:r>
      <w:r>
        <w:rPr>
          <w:i/>
          <w:spacing w:val="-1"/>
          <w:sz w:val="20"/>
        </w:rPr>
        <w:t xml:space="preserve"> </w:t>
      </w:r>
      <w:r>
        <w:rPr>
          <w:i/>
          <w:sz w:val="20"/>
        </w:rPr>
        <w:t>from</w:t>
      </w:r>
      <w:r>
        <w:rPr>
          <w:i/>
          <w:spacing w:val="-3"/>
          <w:sz w:val="20"/>
        </w:rPr>
        <w:t xml:space="preserve"> </w:t>
      </w:r>
      <w:r>
        <w:rPr>
          <w:i/>
          <w:sz w:val="20"/>
        </w:rPr>
        <w:t>Australia</w:t>
      </w:r>
      <w:r>
        <w:rPr>
          <w:i/>
          <w:spacing w:val="-1"/>
          <w:sz w:val="20"/>
        </w:rPr>
        <w:t xml:space="preserve"> </w:t>
      </w:r>
      <w:r>
        <w:rPr>
          <w:spacing w:val="-2"/>
          <w:sz w:val="20"/>
        </w:rPr>
        <w:t>(DS602)</w:t>
      </w:r>
      <w:r>
        <w:rPr>
          <w:sz w:val="20"/>
        </w:rPr>
        <w:tab/>
        <w:t>29</w:t>
      </w:r>
      <w:r>
        <w:rPr>
          <w:spacing w:val="-1"/>
          <w:sz w:val="20"/>
        </w:rPr>
        <w:t xml:space="preserve"> </w:t>
      </w:r>
      <w:r>
        <w:rPr>
          <w:sz w:val="20"/>
        </w:rPr>
        <w:t>April</w:t>
      </w:r>
      <w:r>
        <w:rPr>
          <w:spacing w:val="-2"/>
          <w:sz w:val="20"/>
        </w:rPr>
        <w:t xml:space="preserve"> </w:t>
      </w:r>
      <w:r>
        <w:rPr>
          <w:spacing w:val="-4"/>
          <w:sz w:val="20"/>
        </w:rPr>
        <w:t>2022</w:t>
      </w:r>
    </w:p>
    <w:p w14:paraId="51DE917B" w14:textId="77777777" w:rsidR="0010369C" w:rsidRDefault="008E43AE">
      <w:pPr>
        <w:pStyle w:val="BodyText"/>
        <w:spacing w:before="34" w:line="360" w:lineRule="auto"/>
        <w:ind w:left="237" w:right="611"/>
      </w:pPr>
      <w:r>
        <w:t>dumped</w:t>
      </w:r>
      <w:r>
        <w:rPr>
          <w:spacing w:val="40"/>
        </w:rPr>
        <w:t xml:space="preserve"> </w:t>
      </w:r>
      <w:r>
        <w:t>imported</w:t>
      </w:r>
      <w:r>
        <w:rPr>
          <w:spacing w:val="40"/>
        </w:rPr>
        <w:t xml:space="preserve"> </w:t>
      </w:r>
      <w:r>
        <w:t>product"</w:t>
      </w:r>
      <w:r>
        <w:rPr>
          <w:vertAlign w:val="superscript"/>
        </w:rPr>
        <w:t>777</w:t>
      </w:r>
      <w:r>
        <w:rPr>
          <w:spacing w:val="40"/>
        </w:rPr>
        <w:t xml:space="preserve"> </w:t>
      </w:r>
      <w:r>
        <w:t>and</w:t>
      </w:r>
      <w:r>
        <w:rPr>
          <w:spacing w:val="40"/>
        </w:rPr>
        <w:t xml:space="preserve"> </w:t>
      </w:r>
      <w:r>
        <w:t>"[b]ecause</w:t>
      </w:r>
      <w:r>
        <w:rPr>
          <w:spacing w:val="40"/>
        </w:rPr>
        <w:t xml:space="preserve"> </w:t>
      </w:r>
      <w:r>
        <w:t>of</w:t>
      </w:r>
      <w:r>
        <w:rPr>
          <w:spacing w:val="40"/>
        </w:rPr>
        <w:t xml:space="preserve"> </w:t>
      </w:r>
      <w:r>
        <w:t>the</w:t>
      </w:r>
      <w:r>
        <w:rPr>
          <w:spacing w:val="40"/>
        </w:rPr>
        <w:t xml:space="preserve"> </w:t>
      </w:r>
      <w:r>
        <w:t>suppressed</w:t>
      </w:r>
      <w:r>
        <w:rPr>
          <w:spacing w:val="40"/>
        </w:rPr>
        <w:t xml:space="preserve"> </w:t>
      </w:r>
      <w:r>
        <w:t>price,</w:t>
      </w:r>
      <w:r>
        <w:rPr>
          <w:spacing w:val="40"/>
        </w:rPr>
        <w:t xml:space="preserve"> </w:t>
      </w:r>
      <w:r>
        <w:t>…</w:t>
      </w:r>
      <w:r>
        <w:rPr>
          <w:spacing w:val="40"/>
        </w:rPr>
        <w:t xml:space="preserve"> </w:t>
      </w:r>
      <w:r>
        <w:t>the</w:t>
      </w:r>
      <w:r>
        <w:rPr>
          <w:spacing w:val="40"/>
        </w:rPr>
        <w:t xml:space="preserve"> </w:t>
      </w:r>
      <w:r>
        <w:t>dumped</w:t>
      </w:r>
      <w:r>
        <w:rPr>
          <w:spacing w:val="80"/>
        </w:rPr>
        <w:t xml:space="preserve"> </w:t>
      </w:r>
      <w:r>
        <w:t>imported product caused severe injury to domestic industrial production and operation".</w:t>
      </w:r>
      <w:r>
        <w:rPr>
          <w:vertAlign w:val="superscript"/>
        </w:rPr>
        <w:t>778</w:t>
      </w:r>
    </w:p>
    <w:p w14:paraId="51DE917C" w14:textId="77777777" w:rsidR="0010369C" w:rsidRDefault="0010369C">
      <w:pPr>
        <w:pStyle w:val="BodyText"/>
        <w:spacing w:before="10"/>
        <w:rPr>
          <w:sz w:val="8"/>
        </w:rPr>
      </w:pPr>
    </w:p>
    <w:p w14:paraId="51DE917D" w14:textId="77777777" w:rsidR="0010369C" w:rsidRDefault="008E43AE">
      <w:pPr>
        <w:pStyle w:val="BodyText"/>
        <w:spacing w:before="52" w:line="360" w:lineRule="auto"/>
        <w:ind w:left="237" w:right="613" w:firstLine="852"/>
        <w:jc w:val="both"/>
      </w:pPr>
      <w:r>
        <w:rPr>
          <w:noProof/>
        </w:rPr>
        <w:drawing>
          <wp:anchor distT="0" distB="0" distL="0" distR="0" simplePos="0" relativeHeight="251284992" behindDoc="1" locked="0" layoutInCell="1" allowOverlap="1" wp14:anchorId="51DEA56C" wp14:editId="51DEA56D">
            <wp:simplePos x="0" y="0"/>
            <wp:positionH relativeFrom="page">
              <wp:posOffset>905255</wp:posOffset>
            </wp:positionH>
            <wp:positionV relativeFrom="paragraph">
              <wp:posOffset>76785</wp:posOffset>
            </wp:positionV>
            <wp:extent cx="259079" cy="106679"/>
            <wp:effectExtent l="0" t="0" r="0" b="0"/>
            <wp:wrapNone/>
            <wp:docPr id="1317" name="image6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 name="image680.png"/>
                    <pic:cNvPicPr/>
                  </pic:nvPicPr>
                  <pic:blipFill>
                    <a:blip r:embed="rId882" cstate="print"/>
                    <a:stretch>
                      <a:fillRect/>
                    </a:stretch>
                  </pic:blipFill>
                  <pic:spPr>
                    <a:xfrm>
                      <a:off x="0" y="0"/>
                      <a:ext cx="259079" cy="106679"/>
                    </a:xfrm>
                    <a:prstGeom prst="rect">
                      <a:avLst/>
                    </a:prstGeom>
                  </pic:spPr>
                </pic:pic>
              </a:graphicData>
            </a:graphic>
          </wp:anchor>
        </w:drawing>
      </w:r>
      <w:r>
        <w:t>Like</w:t>
      </w:r>
      <w:r>
        <w:rPr>
          <w:spacing w:val="-10"/>
        </w:rPr>
        <w:t xml:space="preserve"> </w:t>
      </w:r>
      <w:r>
        <w:t>MOFCOM's</w:t>
      </w:r>
      <w:r>
        <w:rPr>
          <w:spacing w:val="-11"/>
        </w:rPr>
        <w:t xml:space="preserve"> </w:t>
      </w:r>
      <w:r>
        <w:t>examinations</w:t>
      </w:r>
      <w:r>
        <w:rPr>
          <w:spacing w:val="-12"/>
        </w:rPr>
        <w:t xml:space="preserve"> </w:t>
      </w:r>
      <w:r>
        <w:t>under</w:t>
      </w:r>
      <w:r>
        <w:rPr>
          <w:spacing w:val="-12"/>
        </w:rPr>
        <w:t xml:space="preserve"> </w:t>
      </w:r>
      <w:r>
        <w:t>Articles</w:t>
      </w:r>
      <w:r>
        <w:rPr>
          <w:spacing w:val="-12"/>
        </w:rPr>
        <w:t xml:space="preserve"> </w:t>
      </w:r>
      <w:r>
        <w:t>3.2</w:t>
      </w:r>
      <w:r>
        <w:rPr>
          <w:spacing w:val="-13"/>
        </w:rPr>
        <w:t xml:space="preserve"> </w:t>
      </w:r>
      <w:r>
        <w:t>and</w:t>
      </w:r>
      <w:r>
        <w:rPr>
          <w:spacing w:val="-11"/>
        </w:rPr>
        <w:t xml:space="preserve"> </w:t>
      </w:r>
      <w:r>
        <w:t>3.4,</w:t>
      </w:r>
      <w:r>
        <w:rPr>
          <w:spacing w:val="-11"/>
        </w:rPr>
        <w:t xml:space="preserve"> </w:t>
      </w:r>
      <w:r>
        <w:t>in</w:t>
      </w:r>
      <w:r>
        <w:rPr>
          <w:spacing w:val="-11"/>
        </w:rPr>
        <w:t xml:space="preserve"> </w:t>
      </w:r>
      <w:r>
        <w:t>which</w:t>
      </w:r>
      <w:r>
        <w:rPr>
          <w:spacing w:val="-11"/>
        </w:rPr>
        <w:t xml:space="preserve"> </w:t>
      </w:r>
      <w:r>
        <w:t>it</w:t>
      </w:r>
      <w:r>
        <w:rPr>
          <w:spacing w:val="-11"/>
        </w:rPr>
        <w:t xml:space="preserve"> </w:t>
      </w:r>
      <w:r>
        <w:t>failed</w:t>
      </w:r>
      <w:r>
        <w:rPr>
          <w:spacing w:val="-13"/>
        </w:rPr>
        <w:t xml:space="preserve"> </w:t>
      </w:r>
      <w:r>
        <w:t>to</w:t>
      </w:r>
      <w:r>
        <w:rPr>
          <w:spacing w:val="-11"/>
        </w:rPr>
        <w:t xml:space="preserve"> </w:t>
      </w:r>
      <w:r>
        <w:t>consider or</w:t>
      </w:r>
      <w:r>
        <w:rPr>
          <w:spacing w:val="-14"/>
        </w:rPr>
        <w:t xml:space="preserve"> </w:t>
      </w:r>
      <w:r>
        <w:t>explain</w:t>
      </w:r>
      <w:r>
        <w:rPr>
          <w:spacing w:val="-14"/>
        </w:rPr>
        <w:t xml:space="preserve"> </w:t>
      </w:r>
      <w:r>
        <w:t>the</w:t>
      </w:r>
      <w:r>
        <w:rPr>
          <w:spacing w:val="-13"/>
        </w:rPr>
        <w:t xml:space="preserve"> </w:t>
      </w:r>
      <w:r>
        <w:t>"explanatory</w:t>
      </w:r>
      <w:r>
        <w:rPr>
          <w:spacing w:val="-14"/>
        </w:rPr>
        <w:t xml:space="preserve"> </w:t>
      </w:r>
      <w:r>
        <w:t>force"</w:t>
      </w:r>
      <w:r>
        <w:rPr>
          <w:spacing w:val="-13"/>
        </w:rPr>
        <w:t xml:space="preserve"> </w:t>
      </w:r>
      <w:r>
        <w:t>of</w:t>
      </w:r>
      <w:r>
        <w:rPr>
          <w:spacing w:val="-14"/>
        </w:rPr>
        <w:t xml:space="preserve"> </w:t>
      </w:r>
      <w:r>
        <w:t>subject</w:t>
      </w:r>
      <w:r>
        <w:rPr>
          <w:spacing w:val="-13"/>
        </w:rPr>
        <w:t xml:space="preserve"> </w:t>
      </w:r>
      <w:r>
        <w:t>imports</w:t>
      </w:r>
      <w:r>
        <w:rPr>
          <w:spacing w:val="-14"/>
        </w:rPr>
        <w:t xml:space="preserve"> </w:t>
      </w:r>
      <w:r>
        <w:t>for</w:t>
      </w:r>
      <w:r>
        <w:rPr>
          <w:spacing w:val="-14"/>
        </w:rPr>
        <w:t xml:space="preserve"> </w:t>
      </w:r>
      <w:r>
        <w:t>the</w:t>
      </w:r>
      <w:r>
        <w:rPr>
          <w:spacing w:val="-13"/>
        </w:rPr>
        <w:t xml:space="preserve"> </w:t>
      </w:r>
      <w:r>
        <w:t>alleged</w:t>
      </w:r>
      <w:r>
        <w:rPr>
          <w:spacing w:val="-14"/>
        </w:rPr>
        <w:t xml:space="preserve"> </w:t>
      </w:r>
      <w:r>
        <w:t>price</w:t>
      </w:r>
      <w:r>
        <w:rPr>
          <w:spacing w:val="-13"/>
        </w:rPr>
        <w:t xml:space="preserve"> </w:t>
      </w:r>
      <w:r>
        <w:t>suppression</w:t>
      </w:r>
      <w:r>
        <w:rPr>
          <w:spacing w:val="-14"/>
        </w:rPr>
        <w:t xml:space="preserve"> </w:t>
      </w:r>
      <w:r>
        <w:t>or</w:t>
      </w:r>
      <w:r>
        <w:rPr>
          <w:spacing w:val="-13"/>
        </w:rPr>
        <w:t xml:space="preserve"> </w:t>
      </w:r>
      <w:r>
        <w:t>other factors affecting the state of the domestic industry, MOFCOM's analysis under Article 3.5 merely asserted that there was a "causal relationship" without actually establishing the existence</w:t>
      </w:r>
      <w:r>
        <w:rPr>
          <w:spacing w:val="-3"/>
        </w:rPr>
        <w:t xml:space="preserve"> </w:t>
      </w:r>
      <w:r>
        <w:t>of</w:t>
      </w:r>
      <w:r>
        <w:rPr>
          <w:spacing w:val="-4"/>
        </w:rPr>
        <w:t xml:space="preserve"> </w:t>
      </w:r>
      <w:r>
        <w:t>a</w:t>
      </w:r>
      <w:r>
        <w:rPr>
          <w:spacing w:val="-3"/>
        </w:rPr>
        <w:t xml:space="preserve"> </w:t>
      </w:r>
      <w:r>
        <w:t>genuine</w:t>
      </w:r>
      <w:r>
        <w:rPr>
          <w:spacing w:val="-3"/>
        </w:rPr>
        <w:t xml:space="preserve"> </w:t>
      </w:r>
      <w:r>
        <w:t>and</w:t>
      </w:r>
      <w:r>
        <w:rPr>
          <w:spacing w:val="-3"/>
        </w:rPr>
        <w:t xml:space="preserve"> </w:t>
      </w:r>
      <w:r>
        <w:t>substantial</w:t>
      </w:r>
      <w:r>
        <w:rPr>
          <w:spacing w:val="-2"/>
        </w:rPr>
        <w:t xml:space="preserve"> </w:t>
      </w:r>
      <w:r>
        <w:t>relationship</w:t>
      </w:r>
      <w:r>
        <w:rPr>
          <w:spacing w:val="-4"/>
        </w:rPr>
        <w:t xml:space="preserve"> </w:t>
      </w:r>
      <w:r>
        <w:t>of</w:t>
      </w:r>
      <w:r>
        <w:rPr>
          <w:spacing w:val="-3"/>
        </w:rPr>
        <w:t xml:space="preserve"> </w:t>
      </w:r>
      <w:r>
        <w:t>cause</w:t>
      </w:r>
      <w:r>
        <w:rPr>
          <w:spacing w:val="-2"/>
        </w:rPr>
        <w:t xml:space="preserve"> </w:t>
      </w:r>
      <w:r>
        <w:t>and</w:t>
      </w:r>
      <w:r>
        <w:rPr>
          <w:spacing w:val="-3"/>
        </w:rPr>
        <w:t xml:space="preserve"> </w:t>
      </w:r>
      <w:r>
        <w:t>effect</w:t>
      </w:r>
      <w:r>
        <w:rPr>
          <w:spacing w:val="-3"/>
        </w:rPr>
        <w:t xml:space="preserve"> </w:t>
      </w:r>
      <w:r>
        <w:t>between</w:t>
      </w:r>
      <w:r>
        <w:rPr>
          <w:spacing w:val="-3"/>
        </w:rPr>
        <w:t xml:space="preserve"> </w:t>
      </w:r>
      <w:r>
        <w:t>the</w:t>
      </w:r>
      <w:r>
        <w:rPr>
          <w:spacing w:val="-2"/>
        </w:rPr>
        <w:t xml:space="preserve"> </w:t>
      </w:r>
      <w:r>
        <w:t>allegedly dumped imports of Australian wine and the material injury. Absent from the Final Determination is any evaluation, explanation, or reasoning to demonstrate how the volumes and prices of the</w:t>
      </w:r>
      <w:r>
        <w:t xml:space="preserve"> subject imports are causally linked to the price suppression allegedly affecting China's domestic market and injuring the domestic industry. In order to properly establish whether such a causal relationship existed, MOFCOM was required, at a minimum, to e</w:t>
      </w:r>
      <w:r>
        <w:t>xamine how the volumes and prices of the subject imports interacted with the prices of domestic like products in order to cause price suppression.</w:t>
      </w:r>
      <w:r>
        <w:rPr>
          <w:vertAlign w:val="superscript"/>
        </w:rPr>
        <w:t>779</w:t>
      </w:r>
      <w:r>
        <w:t xml:space="preserve"> It failed to do so.</w:t>
      </w:r>
    </w:p>
    <w:p w14:paraId="51DE917E" w14:textId="77777777" w:rsidR="0010369C" w:rsidRDefault="0010369C">
      <w:pPr>
        <w:pStyle w:val="BodyText"/>
        <w:spacing w:before="11"/>
        <w:rPr>
          <w:sz w:val="8"/>
        </w:rPr>
      </w:pPr>
    </w:p>
    <w:p w14:paraId="51DE917F" w14:textId="77777777" w:rsidR="0010369C" w:rsidRDefault="008E43AE">
      <w:pPr>
        <w:pStyle w:val="BodyText"/>
        <w:spacing w:before="51" w:line="360" w:lineRule="auto"/>
        <w:ind w:left="237" w:right="614" w:firstLine="851"/>
        <w:jc w:val="both"/>
      </w:pPr>
      <w:r>
        <w:rPr>
          <w:noProof/>
        </w:rPr>
        <w:drawing>
          <wp:anchor distT="0" distB="0" distL="0" distR="0" simplePos="0" relativeHeight="251286016" behindDoc="1" locked="0" layoutInCell="1" allowOverlap="1" wp14:anchorId="51DEA56E" wp14:editId="51DEA56F">
            <wp:simplePos x="0" y="0"/>
            <wp:positionH relativeFrom="page">
              <wp:posOffset>905255</wp:posOffset>
            </wp:positionH>
            <wp:positionV relativeFrom="paragraph">
              <wp:posOffset>76150</wp:posOffset>
            </wp:positionV>
            <wp:extent cx="259079" cy="106679"/>
            <wp:effectExtent l="0" t="0" r="0" b="0"/>
            <wp:wrapNone/>
            <wp:docPr id="1319" name="image6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 name="image681.png"/>
                    <pic:cNvPicPr/>
                  </pic:nvPicPr>
                  <pic:blipFill>
                    <a:blip r:embed="rId883" cstate="print"/>
                    <a:stretch>
                      <a:fillRect/>
                    </a:stretch>
                  </pic:blipFill>
                  <pic:spPr>
                    <a:xfrm>
                      <a:off x="0" y="0"/>
                      <a:ext cx="259079" cy="106679"/>
                    </a:xfrm>
                    <a:prstGeom prst="rect">
                      <a:avLst/>
                    </a:prstGeom>
                  </pic:spPr>
                </pic:pic>
              </a:graphicData>
            </a:graphic>
          </wp:anchor>
        </w:drawing>
      </w:r>
      <w:r>
        <w:t>To the extent that MOFCOM's determination of causation was based on a mere correlation drawn between the increasing volume and declining average unit price of the basket</w:t>
      </w:r>
      <w:r>
        <w:rPr>
          <w:spacing w:val="-7"/>
        </w:rPr>
        <w:t xml:space="preserve"> </w:t>
      </w:r>
      <w:r>
        <w:t>of</w:t>
      </w:r>
      <w:r>
        <w:rPr>
          <w:spacing w:val="-8"/>
        </w:rPr>
        <w:t xml:space="preserve"> </w:t>
      </w:r>
      <w:r>
        <w:t>subject</w:t>
      </w:r>
      <w:r>
        <w:rPr>
          <w:spacing w:val="-7"/>
        </w:rPr>
        <w:t xml:space="preserve"> </w:t>
      </w:r>
      <w:r>
        <w:t>imports</w:t>
      </w:r>
      <w:r>
        <w:rPr>
          <w:spacing w:val="-7"/>
        </w:rPr>
        <w:t xml:space="preserve"> </w:t>
      </w:r>
      <w:r>
        <w:t>on</w:t>
      </w:r>
      <w:r>
        <w:rPr>
          <w:spacing w:val="-8"/>
        </w:rPr>
        <w:t xml:space="preserve"> </w:t>
      </w:r>
      <w:r>
        <w:t>the</w:t>
      </w:r>
      <w:r>
        <w:rPr>
          <w:spacing w:val="-7"/>
        </w:rPr>
        <w:t xml:space="preserve"> </w:t>
      </w:r>
      <w:r>
        <w:t>one</w:t>
      </w:r>
      <w:r>
        <w:rPr>
          <w:spacing w:val="-7"/>
        </w:rPr>
        <w:t xml:space="preserve"> </w:t>
      </w:r>
      <w:r>
        <w:t>hand,</w:t>
      </w:r>
      <w:r>
        <w:rPr>
          <w:spacing w:val="-7"/>
        </w:rPr>
        <w:t xml:space="preserve"> </w:t>
      </w:r>
      <w:r>
        <w:t>and</w:t>
      </w:r>
      <w:r>
        <w:rPr>
          <w:spacing w:val="-6"/>
        </w:rPr>
        <w:t xml:space="preserve"> </w:t>
      </w:r>
      <w:r>
        <w:t>the</w:t>
      </w:r>
      <w:r>
        <w:rPr>
          <w:spacing w:val="-7"/>
        </w:rPr>
        <w:t xml:space="preserve"> </w:t>
      </w:r>
      <w:r>
        <w:t>decreasing</w:t>
      </w:r>
      <w:r>
        <w:rPr>
          <w:spacing w:val="-7"/>
        </w:rPr>
        <w:t xml:space="preserve"> </w:t>
      </w:r>
      <w:r>
        <w:t>production</w:t>
      </w:r>
      <w:r>
        <w:rPr>
          <w:spacing w:val="-7"/>
        </w:rPr>
        <w:t xml:space="preserve"> </w:t>
      </w:r>
      <w:r>
        <w:t>volume</w:t>
      </w:r>
      <w:r>
        <w:rPr>
          <w:spacing w:val="-8"/>
        </w:rPr>
        <w:t xml:space="preserve"> </w:t>
      </w:r>
      <w:r>
        <w:t>and</w:t>
      </w:r>
      <w:r>
        <w:rPr>
          <w:spacing w:val="-8"/>
        </w:rPr>
        <w:t xml:space="preserve"> </w:t>
      </w:r>
      <w:r>
        <w:t>rate</w:t>
      </w:r>
      <w:r>
        <w:rPr>
          <w:spacing w:val="-7"/>
        </w:rPr>
        <w:t xml:space="preserve"> </w:t>
      </w:r>
      <w:r>
        <w:t>at w</w:t>
      </w:r>
      <w:r>
        <w:t>hich</w:t>
      </w:r>
      <w:r>
        <w:rPr>
          <w:spacing w:val="-1"/>
        </w:rPr>
        <w:t xml:space="preserve"> </w:t>
      </w:r>
      <w:r>
        <w:t>the average unit price of the like domestic products was</w:t>
      </w:r>
      <w:r>
        <w:rPr>
          <w:spacing w:val="-1"/>
        </w:rPr>
        <w:t xml:space="preserve"> </w:t>
      </w:r>
      <w:r>
        <w:t>increasing on the other hand, this was not — without more — sufficient to establish a causal relationship. Correlation and causation are two distinct concepts.</w:t>
      </w:r>
      <w:r>
        <w:rPr>
          <w:vertAlign w:val="superscript"/>
        </w:rPr>
        <w:t>780</w:t>
      </w:r>
      <w:r>
        <w:t xml:space="preserve"> While a correlation may be indi</w:t>
      </w:r>
      <w:r>
        <w:t>cative of a causal relationship, it is "not dispositive of the causation question".</w:t>
      </w:r>
      <w:r>
        <w:rPr>
          <w:vertAlign w:val="superscript"/>
        </w:rPr>
        <w:t>781</w:t>
      </w:r>
      <w:r>
        <w:t xml:space="preserve"> An analysis grounded in coincidence is not sufficient for the purposes of Article 3.5; a more detailed analysis is required.</w:t>
      </w:r>
      <w:r>
        <w:rPr>
          <w:vertAlign w:val="superscript"/>
        </w:rPr>
        <w:t>782</w:t>
      </w:r>
      <w:r>
        <w:t xml:space="preserve"> This is manifestly demonstrated in the ci</w:t>
      </w:r>
      <w:r>
        <w:t>rcumstances of this investigation, in which the evidence on the record before MOFCOM clearly established that certain other factors,</w:t>
      </w:r>
      <w:r>
        <w:rPr>
          <w:spacing w:val="-14"/>
        </w:rPr>
        <w:t xml:space="preserve"> </w:t>
      </w:r>
      <w:r>
        <w:t>including</w:t>
      </w:r>
      <w:r>
        <w:rPr>
          <w:spacing w:val="-14"/>
        </w:rPr>
        <w:t xml:space="preserve"> </w:t>
      </w:r>
      <w:r>
        <w:t>the</w:t>
      </w:r>
      <w:r>
        <w:rPr>
          <w:spacing w:val="-13"/>
        </w:rPr>
        <w:t xml:space="preserve"> </w:t>
      </w:r>
      <w:r>
        <w:t>prices</w:t>
      </w:r>
      <w:r>
        <w:rPr>
          <w:spacing w:val="-14"/>
        </w:rPr>
        <w:t xml:space="preserve"> </w:t>
      </w:r>
      <w:r>
        <w:t>of</w:t>
      </w:r>
      <w:r>
        <w:rPr>
          <w:spacing w:val="-13"/>
        </w:rPr>
        <w:t xml:space="preserve"> </w:t>
      </w:r>
      <w:r>
        <w:t>like</w:t>
      </w:r>
      <w:r>
        <w:rPr>
          <w:spacing w:val="-14"/>
        </w:rPr>
        <w:t xml:space="preserve"> </w:t>
      </w:r>
      <w:r>
        <w:t>imports</w:t>
      </w:r>
      <w:r>
        <w:rPr>
          <w:spacing w:val="-13"/>
        </w:rPr>
        <w:t xml:space="preserve"> </w:t>
      </w:r>
      <w:r>
        <w:t>from</w:t>
      </w:r>
      <w:r>
        <w:rPr>
          <w:spacing w:val="-14"/>
        </w:rPr>
        <w:t xml:space="preserve"> </w:t>
      </w:r>
      <w:r>
        <w:t>third</w:t>
      </w:r>
      <w:r>
        <w:rPr>
          <w:spacing w:val="-14"/>
        </w:rPr>
        <w:t xml:space="preserve"> </w:t>
      </w:r>
      <w:r>
        <w:t>countries</w:t>
      </w:r>
      <w:r>
        <w:rPr>
          <w:spacing w:val="-14"/>
        </w:rPr>
        <w:t xml:space="preserve"> </w:t>
      </w:r>
      <w:r>
        <w:t>and</w:t>
      </w:r>
      <w:r>
        <w:rPr>
          <w:spacing w:val="-13"/>
        </w:rPr>
        <w:t xml:space="preserve"> </w:t>
      </w:r>
      <w:r>
        <w:t>the</w:t>
      </w:r>
      <w:r>
        <w:rPr>
          <w:spacing w:val="-14"/>
        </w:rPr>
        <w:t xml:space="preserve"> </w:t>
      </w:r>
      <w:r>
        <w:t>preferential</w:t>
      </w:r>
      <w:r>
        <w:rPr>
          <w:spacing w:val="-13"/>
        </w:rPr>
        <w:t xml:space="preserve"> </w:t>
      </w:r>
      <w:r>
        <w:t>treatment</w:t>
      </w:r>
    </w:p>
    <w:p w14:paraId="51DE9180" w14:textId="77777777" w:rsidR="0010369C" w:rsidRDefault="008E43AE">
      <w:pPr>
        <w:pStyle w:val="BodyText"/>
        <w:spacing w:before="9"/>
        <w:rPr>
          <w:sz w:val="28"/>
        </w:rPr>
      </w:pPr>
      <w:r>
        <w:pict w14:anchorId="51DEA570">
          <v:rect id="docshape1128" o:spid="_x0000_s1264" style="position:absolute;margin-left:70.9pt;margin-top:18.75pt;width:2in;height:.8pt;z-index:-250796544;mso-wrap-distance-left:0;mso-wrap-distance-right:0;mso-position-horizontal-relative:page" fillcolor="black" stroked="f">
            <w10:wrap type="topAndBottom" anchorx="page"/>
          </v:rect>
        </w:pict>
      </w:r>
    </w:p>
    <w:p w14:paraId="51DE9181" w14:textId="77777777" w:rsidR="0010369C" w:rsidRDefault="008E43AE">
      <w:pPr>
        <w:spacing w:before="109"/>
        <w:ind w:left="238"/>
        <w:jc w:val="both"/>
        <w:rPr>
          <w:sz w:val="18"/>
        </w:rPr>
      </w:pPr>
      <w:r>
        <w:rPr>
          <w:sz w:val="18"/>
          <w:vertAlign w:val="superscript"/>
        </w:rPr>
        <w:t>777</w:t>
      </w:r>
      <w:r>
        <w:rPr>
          <w:spacing w:val="-9"/>
          <w:sz w:val="18"/>
        </w:rPr>
        <w:t xml:space="preserve"> </w:t>
      </w:r>
      <w:r>
        <w:rPr>
          <w:sz w:val="18"/>
        </w:rPr>
        <w:t>Anti‐Dumping</w:t>
      </w:r>
      <w:r>
        <w:rPr>
          <w:spacing w:val="-9"/>
          <w:sz w:val="18"/>
        </w:rPr>
        <w:t xml:space="preserve"> </w:t>
      </w:r>
      <w:r>
        <w:rPr>
          <w:sz w:val="18"/>
        </w:rPr>
        <w:t>Final</w:t>
      </w:r>
      <w:r>
        <w:rPr>
          <w:spacing w:val="-9"/>
          <w:sz w:val="18"/>
        </w:rPr>
        <w:t xml:space="preserve"> </w:t>
      </w:r>
      <w:r>
        <w:rPr>
          <w:sz w:val="18"/>
        </w:rPr>
        <w:t>Determination</w:t>
      </w:r>
      <w:r>
        <w:rPr>
          <w:spacing w:val="-8"/>
          <w:sz w:val="18"/>
        </w:rPr>
        <w:t xml:space="preserve"> </w:t>
      </w:r>
      <w:r>
        <w:rPr>
          <w:sz w:val="18"/>
        </w:rPr>
        <w:t>(Exhibit</w:t>
      </w:r>
      <w:r>
        <w:rPr>
          <w:spacing w:val="-9"/>
          <w:sz w:val="18"/>
        </w:rPr>
        <w:t xml:space="preserve"> </w:t>
      </w:r>
      <w:r>
        <w:rPr>
          <w:sz w:val="18"/>
        </w:rPr>
        <w:t>AUS‐2),</w:t>
      </w:r>
      <w:r>
        <w:rPr>
          <w:spacing w:val="-9"/>
          <w:sz w:val="18"/>
        </w:rPr>
        <w:t xml:space="preserve"> </w:t>
      </w:r>
      <w:r>
        <w:rPr>
          <w:sz w:val="18"/>
        </w:rPr>
        <w:t>p.</w:t>
      </w:r>
      <w:r>
        <w:rPr>
          <w:spacing w:val="-9"/>
          <w:sz w:val="18"/>
        </w:rPr>
        <w:t xml:space="preserve"> </w:t>
      </w:r>
      <w:r>
        <w:rPr>
          <w:spacing w:val="-4"/>
          <w:sz w:val="18"/>
        </w:rPr>
        <w:t>135.</w:t>
      </w:r>
    </w:p>
    <w:p w14:paraId="51DE9182" w14:textId="77777777" w:rsidR="0010369C" w:rsidRDefault="008E43AE">
      <w:pPr>
        <w:ind w:left="237" w:right="612" w:firstLine="1"/>
        <w:jc w:val="both"/>
        <w:rPr>
          <w:sz w:val="18"/>
        </w:rPr>
      </w:pPr>
      <w:r>
        <w:rPr>
          <w:sz w:val="18"/>
          <w:vertAlign w:val="superscript"/>
        </w:rPr>
        <w:t>778</w:t>
      </w:r>
      <w:r>
        <w:rPr>
          <w:spacing w:val="-9"/>
          <w:sz w:val="18"/>
        </w:rPr>
        <w:t xml:space="preserve"> </w:t>
      </w:r>
      <w:r>
        <w:rPr>
          <w:sz w:val="18"/>
        </w:rPr>
        <w:t>Anti‐Dumping</w:t>
      </w:r>
      <w:r>
        <w:rPr>
          <w:spacing w:val="-9"/>
          <w:sz w:val="18"/>
        </w:rPr>
        <w:t xml:space="preserve"> </w:t>
      </w:r>
      <w:r>
        <w:rPr>
          <w:sz w:val="18"/>
        </w:rPr>
        <w:t>Final</w:t>
      </w:r>
      <w:r>
        <w:rPr>
          <w:spacing w:val="-10"/>
          <w:sz w:val="18"/>
        </w:rPr>
        <w:t xml:space="preserve"> </w:t>
      </w:r>
      <w:r>
        <w:rPr>
          <w:sz w:val="18"/>
        </w:rPr>
        <w:t>Determination</w:t>
      </w:r>
      <w:r>
        <w:rPr>
          <w:spacing w:val="-9"/>
          <w:sz w:val="18"/>
        </w:rPr>
        <w:t xml:space="preserve"> </w:t>
      </w:r>
      <w:r>
        <w:rPr>
          <w:sz w:val="18"/>
        </w:rPr>
        <w:t>(Exhibit</w:t>
      </w:r>
      <w:r>
        <w:rPr>
          <w:spacing w:val="-9"/>
          <w:sz w:val="18"/>
        </w:rPr>
        <w:t xml:space="preserve"> </w:t>
      </w:r>
      <w:r>
        <w:rPr>
          <w:sz w:val="18"/>
        </w:rPr>
        <w:t>AUS‐2),</w:t>
      </w:r>
      <w:r>
        <w:rPr>
          <w:spacing w:val="-10"/>
          <w:sz w:val="18"/>
        </w:rPr>
        <w:t xml:space="preserve"> </w:t>
      </w:r>
      <w:r>
        <w:rPr>
          <w:sz w:val="18"/>
        </w:rPr>
        <w:t>p.</w:t>
      </w:r>
      <w:r>
        <w:rPr>
          <w:spacing w:val="-9"/>
          <w:sz w:val="18"/>
        </w:rPr>
        <w:t xml:space="preserve"> </w:t>
      </w:r>
      <w:r>
        <w:rPr>
          <w:sz w:val="18"/>
        </w:rPr>
        <w:t>136</w:t>
      </w:r>
      <w:r>
        <w:rPr>
          <w:spacing w:val="-10"/>
          <w:sz w:val="18"/>
        </w:rPr>
        <w:t xml:space="preserve"> </w:t>
      </w:r>
      <w:r>
        <w:rPr>
          <w:sz w:val="18"/>
        </w:rPr>
        <w:t>("Because</w:t>
      </w:r>
      <w:r>
        <w:rPr>
          <w:spacing w:val="-9"/>
          <w:sz w:val="18"/>
        </w:rPr>
        <w:t xml:space="preserve"> </w:t>
      </w:r>
      <w:r>
        <w:rPr>
          <w:sz w:val="18"/>
        </w:rPr>
        <w:t>of</w:t>
      </w:r>
      <w:r>
        <w:rPr>
          <w:spacing w:val="-9"/>
          <w:sz w:val="18"/>
        </w:rPr>
        <w:t xml:space="preserve"> </w:t>
      </w:r>
      <w:r>
        <w:rPr>
          <w:sz w:val="18"/>
        </w:rPr>
        <w:t>the</w:t>
      </w:r>
      <w:r>
        <w:rPr>
          <w:spacing w:val="-10"/>
          <w:sz w:val="18"/>
        </w:rPr>
        <w:t xml:space="preserve"> </w:t>
      </w:r>
      <w:r>
        <w:rPr>
          <w:sz w:val="18"/>
        </w:rPr>
        <w:t>suppressed</w:t>
      </w:r>
      <w:r>
        <w:rPr>
          <w:spacing w:val="-9"/>
          <w:sz w:val="18"/>
        </w:rPr>
        <w:t xml:space="preserve"> </w:t>
      </w:r>
      <w:r>
        <w:rPr>
          <w:sz w:val="18"/>
        </w:rPr>
        <w:t>price,</w:t>
      </w:r>
      <w:r>
        <w:rPr>
          <w:spacing w:val="-9"/>
          <w:sz w:val="18"/>
        </w:rPr>
        <w:t xml:space="preserve"> </w:t>
      </w:r>
      <w:r>
        <w:rPr>
          <w:sz w:val="18"/>
        </w:rPr>
        <w:t>the</w:t>
      </w:r>
      <w:r>
        <w:rPr>
          <w:spacing w:val="-9"/>
          <w:sz w:val="18"/>
        </w:rPr>
        <w:t xml:space="preserve"> </w:t>
      </w:r>
      <w:r>
        <w:rPr>
          <w:sz w:val="18"/>
        </w:rPr>
        <w:t>pre‐tax</w:t>
      </w:r>
      <w:r>
        <w:rPr>
          <w:spacing w:val="-9"/>
          <w:sz w:val="18"/>
        </w:rPr>
        <w:t xml:space="preserve"> </w:t>
      </w:r>
      <w:r>
        <w:rPr>
          <w:sz w:val="18"/>
        </w:rPr>
        <w:t>profit</w:t>
      </w:r>
      <w:r>
        <w:rPr>
          <w:spacing w:val="-9"/>
          <w:sz w:val="18"/>
        </w:rPr>
        <w:t xml:space="preserve"> </w:t>
      </w:r>
      <w:r>
        <w:rPr>
          <w:sz w:val="18"/>
        </w:rPr>
        <w:t>of</w:t>
      </w:r>
      <w:r>
        <w:rPr>
          <w:spacing w:val="-9"/>
          <w:sz w:val="18"/>
        </w:rPr>
        <w:t xml:space="preserve"> </w:t>
      </w:r>
      <w:r>
        <w:rPr>
          <w:sz w:val="18"/>
        </w:rPr>
        <w:t>domestic like</w:t>
      </w:r>
      <w:r>
        <w:rPr>
          <w:spacing w:val="-1"/>
          <w:sz w:val="18"/>
        </w:rPr>
        <w:t xml:space="preserve"> </w:t>
      </w:r>
      <w:r>
        <w:rPr>
          <w:sz w:val="18"/>
        </w:rPr>
        <w:t>products dropped,</w:t>
      </w:r>
      <w:r>
        <w:rPr>
          <w:spacing w:val="-1"/>
          <w:sz w:val="18"/>
        </w:rPr>
        <w:t xml:space="preserve"> </w:t>
      </w:r>
      <w:r>
        <w:rPr>
          <w:sz w:val="18"/>
        </w:rPr>
        <w:t>their</w:t>
      </w:r>
      <w:r>
        <w:rPr>
          <w:spacing w:val="-2"/>
          <w:sz w:val="18"/>
        </w:rPr>
        <w:t xml:space="preserve"> </w:t>
      </w:r>
      <w:r>
        <w:rPr>
          <w:sz w:val="18"/>
        </w:rPr>
        <w:t>output,</w:t>
      </w:r>
      <w:r>
        <w:rPr>
          <w:spacing w:val="-1"/>
          <w:sz w:val="18"/>
        </w:rPr>
        <w:t xml:space="preserve"> </w:t>
      </w:r>
      <w:r>
        <w:rPr>
          <w:sz w:val="18"/>
        </w:rPr>
        <w:t>sales</w:t>
      </w:r>
      <w:r>
        <w:rPr>
          <w:spacing w:val="-1"/>
          <w:sz w:val="18"/>
        </w:rPr>
        <w:t xml:space="preserve"> </w:t>
      </w:r>
      <w:r>
        <w:rPr>
          <w:sz w:val="18"/>
        </w:rPr>
        <w:t>volume,</w:t>
      </w:r>
      <w:r>
        <w:rPr>
          <w:spacing w:val="-2"/>
          <w:sz w:val="18"/>
        </w:rPr>
        <w:t xml:space="preserve"> </w:t>
      </w:r>
      <w:r>
        <w:rPr>
          <w:sz w:val="18"/>
        </w:rPr>
        <w:t>PBT,</w:t>
      </w:r>
      <w:r>
        <w:rPr>
          <w:spacing w:val="-2"/>
          <w:sz w:val="18"/>
        </w:rPr>
        <w:t xml:space="preserve"> </w:t>
      </w:r>
      <w:r>
        <w:rPr>
          <w:sz w:val="18"/>
        </w:rPr>
        <w:t>return</w:t>
      </w:r>
      <w:r>
        <w:rPr>
          <w:spacing w:val="-1"/>
          <w:sz w:val="18"/>
        </w:rPr>
        <w:t xml:space="preserve"> </w:t>
      </w:r>
      <w:r>
        <w:rPr>
          <w:sz w:val="18"/>
        </w:rPr>
        <w:t>on</w:t>
      </w:r>
      <w:r>
        <w:rPr>
          <w:spacing w:val="-1"/>
          <w:sz w:val="18"/>
        </w:rPr>
        <w:t xml:space="preserve"> </w:t>
      </w:r>
      <w:r>
        <w:rPr>
          <w:sz w:val="18"/>
        </w:rPr>
        <w:t>investment</w:t>
      </w:r>
      <w:r>
        <w:rPr>
          <w:spacing w:val="-1"/>
          <w:sz w:val="18"/>
        </w:rPr>
        <w:t xml:space="preserve"> </w:t>
      </w:r>
      <w:r>
        <w:rPr>
          <w:sz w:val="18"/>
        </w:rPr>
        <w:t>(ROI),</w:t>
      </w:r>
      <w:r>
        <w:rPr>
          <w:spacing w:val="-2"/>
          <w:sz w:val="18"/>
        </w:rPr>
        <w:t xml:space="preserve"> </w:t>
      </w:r>
      <w:r>
        <w:rPr>
          <w:sz w:val="18"/>
        </w:rPr>
        <w:t>operat</w:t>
      </w:r>
      <w:r>
        <w:rPr>
          <w:sz w:val="18"/>
        </w:rPr>
        <w:t>ing rate</w:t>
      </w:r>
      <w:r>
        <w:rPr>
          <w:spacing w:val="-1"/>
          <w:sz w:val="18"/>
        </w:rPr>
        <w:t xml:space="preserve"> </w:t>
      </w:r>
      <w:r>
        <w:rPr>
          <w:sz w:val="18"/>
        </w:rPr>
        <w:t>and</w:t>
      </w:r>
      <w:r>
        <w:rPr>
          <w:spacing w:val="-1"/>
          <w:sz w:val="18"/>
        </w:rPr>
        <w:t xml:space="preserve"> </w:t>
      </w:r>
      <w:r>
        <w:rPr>
          <w:sz w:val="18"/>
        </w:rPr>
        <w:t>employment</w:t>
      </w:r>
      <w:r>
        <w:rPr>
          <w:spacing w:val="-2"/>
          <w:sz w:val="18"/>
        </w:rPr>
        <w:t xml:space="preserve"> </w:t>
      </w:r>
      <w:r>
        <w:rPr>
          <w:sz w:val="18"/>
        </w:rPr>
        <w:t>volume declined</w:t>
      </w:r>
      <w:r>
        <w:rPr>
          <w:spacing w:val="-1"/>
          <w:sz w:val="18"/>
        </w:rPr>
        <w:t xml:space="preserve"> </w:t>
      </w:r>
      <w:r>
        <w:rPr>
          <w:sz w:val="18"/>
        </w:rPr>
        <w:t>year</w:t>
      </w:r>
      <w:r>
        <w:rPr>
          <w:spacing w:val="-2"/>
          <w:sz w:val="18"/>
        </w:rPr>
        <w:t xml:space="preserve"> </w:t>
      </w:r>
      <w:r>
        <w:rPr>
          <w:sz w:val="18"/>
        </w:rPr>
        <w:t>by</w:t>
      </w:r>
      <w:r>
        <w:rPr>
          <w:spacing w:val="-2"/>
          <w:sz w:val="18"/>
        </w:rPr>
        <w:t xml:space="preserve"> </w:t>
      </w:r>
      <w:r>
        <w:rPr>
          <w:sz w:val="18"/>
        </w:rPr>
        <w:t>year,</w:t>
      </w:r>
      <w:r>
        <w:rPr>
          <w:spacing w:val="-2"/>
          <w:sz w:val="18"/>
        </w:rPr>
        <w:t xml:space="preserve"> </w:t>
      </w:r>
      <w:r>
        <w:rPr>
          <w:sz w:val="18"/>
        </w:rPr>
        <w:t>and</w:t>
      </w:r>
      <w:r>
        <w:rPr>
          <w:spacing w:val="-2"/>
          <w:sz w:val="18"/>
        </w:rPr>
        <w:t xml:space="preserve"> </w:t>
      </w:r>
      <w:r>
        <w:rPr>
          <w:sz w:val="18"/>
        </w:rPr>
        <w:t>their</w:t>
      </w:r>
      <w:r>
        <w:rPr>
          <w:spacing w:val="-3"/>
          <w:sz w:val="18"/>
        </w:rPr>
        <w:t xml:space="preserve"> </w:t>
      </w:r>
      <w:r>
        <w:rPr>
          <w:sz w:val="18"/>
        </w:rPr>
        <w:t>market</w:t>
      </w:r>
      <w:r>
        <w:rPr>
          <w:spacing w:val="-2"/>
          <w:sz w:val="18"/>
        </w:rPr>
        <w:t xml:space="preserve"> </w:t>
      </w:r>
      <w:r>
        <w:rPr>
          <w:sz w:val="18"/>
        </w:rPr>
        <w:t>share,</w:t>
      </w:r>
      <w:r>
        <w:rPr>
          <w:spacing w:val="-2"/>
          <w:sz w:val="18"/>
        </w:rPr>
        <w:t xml:space="preserve"> </w:t>
      </w:r>
      <w:r>
        <w:rPr>
          <w:sz w:val="18"/>
        </w:rPr>
        <w:t>sales</w:t>
      </w:r>
      <w:r>
        <w:rPr>
          <w:spacing w:val="-1"/>
          <w:sz w:val="18"/>
        </w:rPr>
        <w:t xml:space="preserve"> </w:t>
      </w:r>
      <w:r>
        <w:rPr>
          <w:sz w:val="18"/>
        </w:rPr>
        <w:t>revenue,</w:t>
      </w:r>
      <w:r>
        <w:rPr>
          <w:spacing w:val="-2"/>
          <w:sz w:val="18"/>
        </w:rPr>
        <w:t xml:space="preserve"> </w:t>
      </w:r>
      <w:r>
        <w:rPr>
          <w:sz w:val="18"/>
        </w:rPr>
        <w:t>labour</w:t>
      </w:r>
      <w:r>
        <w:rPr>
          <w:spacing w:val="-1"/>
          <w:sz w:val="18"/>
        </w:rPr>
        <w:t xml:space="preserve"> </w:t>
      </w:r>
      <w:r>
        <w:rPr>
          <w:sz w:val="18"/>
        </w:rPr>
        <w:t>productivity and</w:t>
      </w:r>
      <w:r>
        <w:rPr>
          <w:spacing w:val="-1"/>
          <w:sz w:val="18"/>
        </w:rPr>
        <w:t xml:space="preserve"> </w:t>
      </w:r>
      <w:r>
        <w:rPr>
          <w:sz w:val="18"/>
        </w:rPr>
        <w:t>net</w:t>
      </w:r>
      <w:r>
        <w:rPr>
          <w:spacing w:val="-3"/>
          <w:sz w:val="18"/>
        </w:rPr>
        <w:t xml:space="preserve"> </w:t>
      </w:r>
      <w:r>
        <w:rPr>
          <w:sz w:val="18"/>
        </w:rPr>
        <w:t>cash</w:t>
      </w:r>
      <w:r>
        <w:rPr>
          <w:spacing w:val="-1"/>
          <w:sz w:val="18"/>
        </w:rPr>
        <w:t xml:space="preserve"> </w:t>
      </w:r>
      <w:r>
        <w:rPr>
          <w:sz w:val="18"/>
        </w:rPr>
        <w:t>flow</w:t>
      </w:r>
      <w:r>
        <w:rPr>
          <w:spacing w:val="-1"/>
          <w:sz w:val="18"/>
        </w:rPr>
        <w:t xml:space="preserve"> </w:t>
      </w:r>
      <w:r>
        <w:rPr>
          <w:sz w:val="18"/>
        </w:rPr>
        <w:t>from</w:t>
      </w:r>
      <w:r>
        <w:rPr>
          <w:spacing w:val="-1"/>
          <w:sz w:val="18"/>
        </w:rPr>
        <w:t xml:space="preserve"> </w:t>
      </w:r>
      <w:r>
        <w:rPr>
          <w:sz w:val="18"/>
        </w:rPr>
        <w:t xml:space="preserve">operating activities were in a downtrend. To sum up the dumped imported product caused severe injury to domestic industrial production and </w:t>
      </w:r>
      <w:r>
        <w:rPr>
          <w:spacing w:val="-2"/>
          <w:sz w:val="18"/>
        </w:rPr>
        <w:t>operation").</w:t>
      </w:r>
    </w:p>
    <w:p w14:paraId="51DE9183" w14:textId="77777777" w:rsidR="0010369C" w:rsidRDefault="008E43AE">
      <w:pPr>
        <w:spacing w:before="1"/>
        <w:ind w:left="238" w:right="5639"/>
        <w:jc w:val="both"/>
        <w:rPr>
          <w:sz w:val="18"/>
        </w:rPr>
      </w:pPr>
      <w:r>
        <w:rPr>
          <w:sz w:val="18"/>
          <w:vertAlign w:val="superscript"/>
        </w:rPr>
        <w:t>779</w:t>
      </w:r>
      <w:r>
        <w:rPr>
          <w:spacing w:val="-4"/>
          <w:sz w:val="18"/>
        </w:rPr>
        <w:t xml:space="preserve"> </w:t>
      </w:r>
      <w:r>
        <w:rPr>
          <w:sz w:val="18"/>
        </w:rPr>
        <w:t>Panel</w:t>
      </w:r>
      <w:r>
        <w:rPr>
          <w:spacing w:val="-5"/>
          <w:sz w:val="18"/>
        </w:rPr>
        <w:t xml:space="preserve"> </w:t>
      </w:r>
      <w:r>
        <w:rPr>
          <w:sz w:val="18"/>
        </w:rPr>
        <w:t>Report,</w:t>
      </w:r>
      <w:r>
        <w:rPr>
          <w:spacing w:val="-4"/>
          <w:sz w:val="18"/>
        </w:rPr>
        <w:t xml:space="preserve"> </w:t>
      </w:r>
      <w:r>
        <w:rPr>
          <w:i/>
          <w:sz w:val="18"/>
        </w:rPr>
        <w:t>China</w:t>
      </w:r>
      <w:r>
        <w:rPr>
          <w:i/>
          <w:spacing w:val="-4"/>
          <w:sz w:val="18"/>
        </w:rPr>
        <w:t xml:space="preserve"> </w:t>
      </w:r>
      <w:r>
        <w:rPr>
          <w:i/>
          <w:sz w:val="18"/>
        </w:rPr>
        <w:t>–</w:t>
      </w:r>
      <w:r>
        <w:rPr>
          <w:i/>
          <w:spacing w:val="-4"/>
          <w:sz w:val="18"/>
        </w:rPr>
        <w:t xml:space="preserve"> </w:t>
      </w:r>
      <w:r>
        <w:rPr>
          <w:i/>
          <w:sz w:val="18"/>
        </w:rPr>
        <w:t>X‐Ray</w:t>
      </w:r>
      <w:r>
        <w:rPr>
          <w:i/>
          <w:spacing w:val="-4"/>
          <w:sz w:val="18"/>
        </w:rPr>
        <w:t xml:space="preserve"> </w:t>
      </w:r>
      <w:r>
        <w:rPr>
          <w:i/>
          <w:sz w:val="18"/>
        </w:rPr>
        <w:t>Equipment</w:t>
      </w:r>
      <w:r>
        <w:rPr>
          <w:sz w:val="18"/>
        </w:rPr>
        <w:t>,</w:t>
      </w:r>
      <w:r>
        <w:rPr>
          <w:spacing w:val="-5"/>
          <w:sz w:val="18"/>
        </w:rPr>
        <w:t xml:space="preserve"> </w:t>
      </w:r>
      <w:r>
        <w:rPr>
          <w:sz w:val="18"/>
        </w:rPr>
        <w:t>para.</w:t>
      </w:r>
      <w:r>
        <w:rPr>
          <w:spacing w:val="-4"/>
          <w:sz w:val="18"/>
        </w:rPr>
        <w:t xml:space="preserve"> </w:t>
      </w:r>
      <w:r>
        <w:rPr>
          <w:sz w:val="18"/>
        </w:rPr>
        <w:t xml:space="preserve">7.251. </w:t>
      </w:r>
      <w:r>
        <w:rPr>
          <w:sz w:val="18"/>
          <w:vertAlign w:val="superscript"/>
        </w:rPr>
        <w:t>780</w:t>
      </w:r>
      <w:r>
        <w:rPr>
          <w:sz w:val="18"/>
        </w:rPr>
        <w:t xml:space="preserve"> Panel</w:t>
      </w:r>
      <w:r>
        <w:rPr>
          <w:spacing w:val="-1"/>
          <w:sz w:val="18"/>
        </w:rPr>
        <w:t xml:space="preserve"> </w:t>
      </w:r>
      <w:r>
        <w:rPr>
          <w:sz w:val="18"/>
        </w:rPr>
        <w:t xml:space="preserve">Report, </w:t>
      </w:r>
      <w:r>
        <w:rPr>
          <w:i/>
          <w:sz w:val="18"/>
        </w:rPr>
        <w:t>China ‐ X‐Ray Equipment</w:t>
      </w:r>
      <w:r>
        <w:rPr>
          <w:sz w:val="18"/>
        </w:rPr>
        <w:t>,</w:t>
      </w:r>
      <w:r>
        <w:rPr>
          <w:spacing w:val="-1"/>
          <w:sz w:val="18"/>
        </w:rPr>
        <w:t xml:space="preserve"> </w:t>
      </w:r>
      <w:r>
        <w:rPr>
          <w:sz w:val="18"/>
        </w:rPr>
        <w:t>para.</w:t>
      </w:r>
      <w:r>
        <w:rPr>
          <w:sz w:val="18"/>
        </w:rPr>
        <w:t xml:space="preserve"> 7.247. </w:t>
      </w:r>
      <w:r>
        <w:rPr>
          <w:sz w:val="18"/>
          <w:vertAlign w:val="superscript"/>
        </w:rPr>
        <w:t>781</w:t>
      </w:r>
      <w:r>
        <w:rPr>
          <w:sz w:val="18"/>
        </w:rPr>
        <w:t xml:space="preserve"> Panel</w:t>
      </w:r>
      <w:r>
        <w:rPr>
          <w:spacing w:val="-1"/>
          <w:sz w:val="18"/>
        </w:rPr>
        <w:t xml:space="preserve"> </w:t>
      </w:r>
      <w:r>
        <w:rPr>
          <w:sz w:val="18"/>
        </w:rPr>
        <w:t xml:space="preserve">Report, </w:t>
      </w:r>
      <w:r>
        <w:rPr>
          <w:i/>
          <w:sz w:val="18"/>
        </w:rPr>
        <w:t>China ‐ X‐Ray Equipment</w:t>
      </w:r>
      <w:r>
        <w:rPr>
          <w:sz w:val="18"/>
        </w:rPr>
        <w:t>,</w:t>
      </w:r>
      <w:r>
        <w:rPr>
          <w:spacing w:val="-1"/>
          <w:sz w:val="18"/>
        </w:rPr>
        <w:t xml:space="preserve"> </w:t>
      </w:r>
      <w:r>
        <w:rPr>
          <w:sz w:val="18"/>
        </w:rPr>
        <w:t xml:space="preserve">para. 7.247. </w:t>
      </w:r>
      <w:r>
        <w:rPr>
          <w:sz w:val="18"/>
          <w:vertAlign w:val="superscript"/>
        </w:rPr>
        <w:t>782</w:t>
      </w:r>
      <w:r>
        <w:rPr>
          <w:sz w:val="18"/>
        </w:rPr>
        <w:t xml:space="preserve"> Panel</w:t>
      </w:r>
      <w:r>
        <w:rPr>
          <w:spacing w:val="-1"/>
          <w:sz w:val="18"/>
        </w:rPr>
        <w:t xml:space="preserve"> </w:t>
      </w:r>
      <w:r>
        <w:rPr>
          <w:sz w:val="18"/>
        </w:rPr>
        <w:t xml:space="preserve">Report, </w:t>
      </w:r>
      <w:r>
        <w:rPr>
          <w:i/>
          <w:sz w:val="18"/>
        </w:rPr>
        <w:t>China ‐ X‐Ray Equipment</w:t>
      </w:r>
      <w:r>
        <w:rPr>
          <w:sz w:val="18"/>
        </w:rPr>
        <w:t>,</w:t>
      </w:r>
      <w:r>
        <w:rPr>
          <w:spacing w:val="-1"/>
          <w:sz w:val="18"/>
        </w:rPr>
        <w:t xml:space="preserve"> </w:t>
      </w:r>
      <w:r>
        <w:rPr>
          <w:sz w:val="18"/>
        </w:rPr>
        <w:t>para. 7.247.</w:t>
      </w:r>
    </w:p>
    <w:p w14:paraId="51DE9184" w14:textId="77777777" w:rsidR="0010369C" w:rsidRDefault="0010369C">
      <w:pPr>
        <w:jc w:val="both"/>
        <w:rPr>
          <w:sz w:val="18"/>
        </w:rPr>
        <w:sectPr w:rsidR="0010369C">
          <w:pgSz w:w="11910" w:h="16840"/>
          <w:pgMar w:top="880" w:right="800" w:bottom="980" w:left="1180" w:header="569" w:footer="788" w:gutter="0"/>
          <w:cols w:space="720"/>
        </w:sectPr>
      </w:pPr>
    </w:p>
    <w:p w14:paraId="51DE9185" w14:textId="77777777" w:rsidR="0010369C" w:rsidRDefault="008E43AE">
      <w:pPr>
        <w:tabs>
          <w:tab w:val="left" w:pos="6445"/>
        </w:tabs>
        <w:spacing w:before="21"/>
        <w:ind w:left="228"/>
        <w:rPr>
          <w:rFonts w:ascii="Arial"/>
          <w:sz w:val="18"/>
        </w:rPr>
      </w:pPr>
      <w:r>
        <w:rPr>
          <w:rFonts w:ascii="Arial"/>
          <w:i/>
          <w:color w:val="1D1D1D"/>
          <w:w w:val="105"/>
          <w:sz w:val="18"/>
        </w:rPr>
        <w:lastRenderedPageBreak/>
        <w:t>China</w:t>
      </w:r>
      <w:r>
        <w:rPr>
          <w:rFonts w:ascii="Arial"/>
          <w:i/>
          <w:color w:val="1D1D1D"/>
          <w:spacing w:val="-17"/>
          <w:w w:val="105"/>
          <w:sz w:val="18"/>
        </w:rPr>
        <w:t xml:space="preserve"> </w:t>
      </w:r>
      <w:r>
        <w:rPr>
          <w:rFonts w:ascii="Arial"/>
          <w:i/>
          <w:color w:val="1D1D1D"/>
          <w:w w:val="105"/>
          <w:sz w:val="18"/>
        </w:rPr>
        <w:t>-Anti-Dumping</w:t>
      </w:r>
      <w:r>
        <w:rPr>
          <w:rFonts w:ascii="Arial"/>
          <w:i/>
          <w:color w:val="1D1D1D"/>
          <w:spacing w:val="-5"/>
          <w:w w:val="105"/>
          <w:sz w:val="18"/>
        </w:rPr>
        <w:t xml:space="preserve"> </w:t>
      </w:r>
      <w:r>
        <w:rPr>
          <w:rFonts w:ascii="Arial"/>
          <w:i/>
          <w:color w:val="1D1D1D"/>
          <w:w w:val="105"/>
          <w:sz w:val="18"/>
        </w:rPr>
        <w:t>and</w:t>
      </w:r>
      <w:r>
        <w:rPr>
          <w:rFonts w:ascii="Arial"/>
          <w:i/>
          <w:color w:val="1D1D1D"/>
          <w:spacing w:val="-23"/>
          <w:w w:val="105"/>
          <w:sz w:val="18"/>
        </w:rPr>
        <w:t xml:space="preserve"> </w:t>
      </w:r>
      <w:r>
        <w:rPr>
          <w:rFonts w:ascii="Arial"/>
          <w:i/>
          <w:color w:val="1D1D1D"/>
          <w:w w:val="105"/>
          <w:sz w:val="18"/>
        </w:rPr>
        <w:t>Countervailing</w:t>
      </w:r>
      <w:r>
        <w:rPr>
          <w:rFonts w:ascii="Arial"/>
          <w:i/>
          <w:color w:val="1D1D1D"/>
          <w:spacing w:val="-6"/>
          <w:w w:val="105"/>
          <w:sz w:val="18"/>
        </w:rPr>
        <w:t xml:space="preserve"> </w:t>
      </w:r>
      <w:r>
        <w:rPr>
          <w:rFonts w:ascii="Arial"/>
          <w:i/>
          <w:color w:val="1D1D1D"/>
          <w:w w:val="105"/>
          <w:sz w:val="18"/>
        </w:rPr>
        <w:t>Duty</w:t>
      </w:r>
      <w:r>
        <w:rPr>
          <w:rFonts w:ascii="Arial"/>
          <w:i/>
          <w:color w:val="1D1D1D"/>
          <w:spacing w:val="-12"/>
          <w:w w:val="105"/>
          <w:sz w:val="18"/>
        </w:rPr>
        <w:t xml:space="preserve"> </w:t>
      </w:r>
      <w:r>
        <w:rPr>
          <w:rFonts w:ascii="Arial"/>
          <w:i/>
          <w:color w:val="0A0A0A"/>
          <w:spacing w:val="-2"/>
          <w:w w:val="105"/>
          <w:sz w:val="18"/>
        </w:rPr>
        <w:t>Measures</w:t>
      </w:r>
      <w:r>
        <w:rPr>
          <w:rFonts w:ascii="Arial"/>
          <w:i/>
          <w:color w:val="0A0A0A"/>
          <w:sz w:val="18"/>
        </w:rPr>
        <w:tab/>
      </w:r>
      <w:r>
        <w:rPr>
          <w:rFonts w:ascii="Arial"/>
          <w:color w:val="1D1D1D"/>
          <w:spacing w:val="-2"/>
          <w:w w:val="105"/>
          <w:sz w:val="18"/>
        </w:rPr>
        <w:t>Australia's</w:t>
      </w:r>
      <w:r>
        <w:rPr>
          <w:rFonts w:ascii="Arial"/>
          <w:color w:val="1D1D1D"/>
          <w:spacing w:val="5"/>
          <w:w w:val="105"/>
          <w:sz w:val="18"/>
        </w:rPr>
        <w:t xml:space="preserve"> </w:t>
      </w:r>
      <w:r>
        <w:rPr>
          <w:rFonts w:ascii="Arial"/>
          <w:color w:val="0A0A0A"/>
          <w:spacing w:val="-2"/>
          <w:w w:val="105"/>
          <w:sz w:val="18"/>
        </w:rPr>
        <w:t>First</w:t>
      </w:r>
      <w:r>
        <w:rPr>
          <w:rFonts w:ascii="Arial"/>
          <w:color w:val="0A0A0A"/>
          <w:spacing w:val="1"/>
          <w:w w:val="105"/>
          <w:sz w:val="18"/>
        </w:rPr>
        <w:t xml:space="preserve"> </w:t>
      </w:r>
      <w:r>
        <w:rPr>
          <w:rFonts w:ascii="Arial"/>
          <w:color w:val="1D1D1D"/>
          <w:spacing w:val="-2"/>
          <w:w w:val="105"/>
          <w:sz w:val="18"/>
        </w:rPr>
        <w:t>Written</w:t>
      </w:r>
      <w:r>
        <w:rPr>
          <w:rFonts w:ascii="Arial"/>
          <w:color w:val="1D1D1D"/>
          <w:spacing w:val="-7"/>
          <w:w w:val="105"/>
          <w:sz w:val="18"/>
        </w:rPr>
        <w:t xml:space="preserve"> </w:t>
      </w:r>
      <w:r>
        <w:rPr>
          <w:rFonts w:ascii="Arial"/>
          <w:color w:val="1D1D1D"/>
          <w:spacing w:val="-2"/>
          <w:w w:val="105"/>
          <w:sz w:val="18"/>
        </w:rPr>
        <w:t>Submission</w:t>
      </w:r>
    </w:p>
    <w:p w14:paraId="51DE9186" w14:textId="77777777" w:rsidR="0010369C" w:rsidRDefault="008E43AE">
      <w:pPr>
        <w:tabs>
          <w:tab w:val="left" w:pos="8256"/>
        </w:tabs>
        <w:spacing w:before="44"/>
        <w:ind w:left="235"/>
        <w:rPr>
          <w:rFonts w:ascii="Arial"/>
          <w:sz w:val="18"/>
        </w:rPr>
      </w:pPr>
      <w:r>
        <w:rPr>
          <w:rFonts w:ascii="Arial"/>
          <w:i/>
          <w:color w:val="1D1D1D"/>
          <w:w w:val="105"/>
          <w:sz w:val="18"/>
        </w:rPr>
        <w:t>on</w:t>
      </w:r>
      <w:r>
        <w:rPr>
          <w:rFonts w:ascii="Arial"/>
          <w:i/>
          <w:color w:val="1D1D1D"/>
          <w:spacing w:val="-11"/>
          <w:w w:val="105"/>
          <w:sz w:val="18"/>
        </w:rPr>
        <w:t xml:space="preserve"> </w:t>
      </w:r>
      <w:r>
        <w:rPr>
          <w:rFonts w:ascii="Arial"/>
          <w:i/>
          <w:color w:val="1D1D1D"/>
          <w:w w:val="105"/>
          <w:sz w:val="18"/>
        </w:rPr>
        <w:t>Winefrom Australia</w:t>
      </w:r>
      <w:r>
        <w:rPr>
          <w:rFonts w:ascii="Arial"/>
          <w:i/>
          <w:color w:val="1D1D1D"/>
          <w:spacing w:val="13"/>
          <w:w w:val="105"/>
          <w:sz w:val="18"/>
        </w:rPr>
        <w:t xml:space="preserve"> </w:t>
      </w:r>
      <w:r>
        <w:rPr>
          <w:rFonts w:ascii="Arial"/>
          <w:color w:val="1D1D1D"/>
          <w:spacing w:val="-2"/>
          <w:w w:val="105"/>
          <w:sz w:val="18"/>
        </w:rPr>
        <w:t>(0S602)</w:t>
      </w:r>
      <w:r>
        <w:rPr>
          <w:rFonts w:ascii="Arial"/>
          <w:color w:val="1D1D1D"/>
          <w:sz w:val="18"/>
        </w:rPr>
        <w:tab/>
      </w:r>
      <w:r>
        <w:rPr>
          <w:rFonts w:ascii="Arial"/>
          <w:color w:val="1D1D1D"/>
          <w:w w:val="105"/>
          <w:sz w:val="18"/>
        </w:rPr>
        <w:t>29</w:t>
      </w:r>
      <w:r>
        <w:rPr>
          <w:rFonts w:ascii="Arial"/>
          <w:color w:val="1D1D1D"/>
          <w:spacing w:val="-19"/>
          <w:w w:val="105"/>
          <w:sz w:val="18"/>
        </w:rPr>
        <w:t xml:space="preserve"> </w:t>
      </w:r>
      <w:r>
        <w:rPr>
          <w:rFonts w:ascii="Arial"/>
          <w:color w:val="1D1D1D"/>
          <w:w w:val="105"/>
          <w:sz w:val="18"/>
        </w:rPr>
        <w:t>April</w:t>
      </w:r>
      <w:r>
        <w:rPr>
          <w:rFonts w:ascii="Arial"/>
          <w:color w:val="1D1D1D"/>
          <w:spacing w:val="1"/>
          <w:w w:val="105"/>
          <w:sz w:val="18"/>
        </w:rPr>
        <w:t xml:space="preserve"> </w:t>
      </w:r>
      <w:r>
        <w:rPr>
          <w:rFonts w:ascii="Arial"/>
          <w:color w:val="1D1D1D"/>
          <w:spacing w:val="-4"/>
          <w:w w:val="105"/>
          <w:sz w:val="18"/>
        </w:rPr>
        <w:t>2022</w:t>
      </w:r>
    </w:p>
    <w:p w14:paraId="51DE9187" w14:textId="77777777" w:rsidR="0010369C" w:rsidRDefault="008E43AE">
      <w:pPr>
        <w:spacing w:before="76" w:line="439" w:lineRule="auto"/>
        <w:ind w:left="247" w:right="578" w:hanging="7"/>
        <w:jc w:val="both"/>
        <w:rPr>
          <w:rFonts w:ascii="Arial"/>
          <w:sz w:val="21"/>
        </w:rPr>
      </w:pPr>
      <w:r>
        <w:rPr>
          <w:rFonts w:ascii="Arial"/>
          <w:color w:val="0A0A0A"/>
          <w:w w:val="105"/>
          <w:sz w:val="21"/>
        </w:rPr>
        <w:t>phased</w:t>
      </w:r>
      <w:r>
        <w:rPr>
          <w:rFonts w:ascii="Arial"/>
          <w:color w:val="0A0A0A"/>
          <w:spacing w:val="-16"/>
          <w:w w:val="105"/>
          <w:sz w:val="21"/>
        </w:rPr>
        <w:t xml:space="preserve"> </w:t>
      </w:r>
      <w:r>
        <w:rPr>
          <w:rFonts w:ascii="Arial"/>
          <w:color w:val="1D1D1D"/>
          <w:w w:val="105"/>
          <w:sz w:val="21"/>
        </w:rPr>
        <w:t>in</w:t>
      </w:r>
      <w:r>
        <w:rPr>
          <w:rFonts w:ascii="Arial"/>
          <w:color w:val="1D1D1D"/>
          <w:spacing w:val="-15"/>
          <w:w w:val="105"/>
          <w:sz w:val="21"/>
        </w:rPr>
        <w:t xml:space="preserve"> </w:t>
      </w:r>
      <w:r>
        <w:rPr>
          <w:rFonts w:ascii="Arial"/>
          <w:color w:val="0A0A0A"/>
          <w:w w:val="105"/>
          <w:sz w:val="21"/>
        </w:rPr>
        <w:t>under</w:t>
      </w:r>
      <w:r>
        <w:rPr>
          <w:rFonts w:ascii="Arial"/>
          <w:color w:val="0A0A0A"/>
          <w:spacing w:val="-15"/>
          <w:w w:val="105"/>
          <w:sz w:val="21"/>
        </w:rPr>
        <w:t xml:space="preserve"> </w:t>
      </w:r>
      <w:r>
        <w:rPr>
          <w:rFonts w:ascii="Arial"/>
          <w:color w:val="0A0A0A"/>
          <w:w w:val="105"/>
          <w:sz w:val="21"/>
        </w:rPr>
        <w:t>the</w:t>
      </w:r>
      <w:r>
        <w:rPr>
          <w:rFonts w:ascii="Arial"/>
          <w:color w:val="0A0A0A"/>
          <w:spacing w:val="-16"/>
          <w:w w:val="105"/>
          <w:sz w:val="21"/>
        </w:rPr>
        <w:t xml:space="preserve"> </w:t>
      </w:r>
      <w:r>
        <w:rPr>
          <w:rFonts w:ascii="Arial"/>
          <w:color w:val="1D1D1D"/>
          <w:w w:val="105"/>
          <w:sz w:val="21"/>
        </w:rPr>
        <w:t>China-Australia</w:t>
      </w:r>
      <w:r>
        <w:rPr>
          <w:rFonts w:ascii="Arial"/>
          <w:color w:val="1D1D1D"/>
          <w:spacing w:val="-15"/>
          <w:w w:val="105"/>
          <w:sz w:val="21"/>
        </w:rPr>
        <w:t xml:space="preserve"> </w:t>
      </w:r>
      <w:r>
        <w:rPr>
          <w:rFonts w:ascii="Arial"/>
          <w:color w:val="0A0A0A"/>
          <w:w w:val="105"/>
          <w:sz w:val="21"/>
        </w:rPr>
        <w:t>Free</w:t>
      </w:r>
      <w:r>
        <w:rPr>
          <w:rFonts w:ascii="Arial"/>
          <w:color w:val="0A0A0A"/>
          <w:spacing w:val="-15"/>
          <w:w w:val="105"/>
          <w:sz w:val="21"/>
        </w:rPr>
        <w:t xml:space="preserve"> </w:t>
      </w:r>
      <w:r>
        <w:rPr>
          <w:rFonts w:ascii="Arial"/>
          <w:color w:val="1D1D1D"/>
          <w:w w:val="105"/>
          <w:sz w:val="21"/>
        </w:rPr>
        <w:t>Trade</w:t>
      </w:r>
      <w:r>
        <w:rPr>
          <w:rFonts w:ascii="Arial"/>
          <w:color w:val="1D1D1D"/>
          <w:spacing w:val="-16"/>
          <w:w w:val="105"/>
          <w:sz w:val="21"/>
        </w:rPr>
        <w:t xml:space="preserve"> </w:t>
      </w:r>
      <w:r>
        <w:rPr>
          <w:rFonts w:ascii="Arial"/>
          <w:color w:val="1D1D1D"/>
          <w:w w:val="105"/>
          <w:sz w:val="21"/>
        </w:rPr>
        <w:t>Agreement,</w:t>
      </w:r>
      <w:r>
        <w:rPr>
          <w:rFonts w:ascii="Arial"/>
          <w:color w:val="1D1D1D"/>
          <w:spacing w:val="-15"/>
          <w:w w:val="105"/>
          <w:sz w:val="21"/>
        </w:rPr>
        <w:t xml:space="preserve"> </w:t>
      </w:r>
      <w:r>
        <w:rPr>
          <w:rFonts w:ascii="Arial"/>
          <w:color w:val="1D1D1D"/>
          <w:w w:val="105"/>
          <w:sz w:val="21"/>
        </w:rPr>
        <w:t>were</w:t>
      </w:r>
      <w:r>
        <w:rPr>
          <w:rFonts w:ascii="Arial"/>
          <w:color w:val="1D1D1D"/>
          <w:spacing w:val="-15"/>
          <w:w w:val="105"/>
          <w:sz w:val="21"/>
        </w:rPr>
        <w:t xml:space="preserve"> </w:t>
      </w:r>
      <w:r>
        <w:rPr>
          <w:rFonts w:ascii="Arial"/>
          <w:color w:val="1D1D1D"/>
          <w:w w:val="105"/>
          <w:sz w:val="21"/>
        </w:rPr>
        <w:t>causing</w:t>
      </w:r>
      <w:r>
        <w:rPr>
          <w:rFonts w:ascii="Arial"/>
          <w:color w:val="1D1D1D"/>
          <w:spacing w:val="-16"/>
          <w:w w:val="105"/>
          <w:sz w:val="21"/>
        </w:rPr>
        <w:t xml:space="preserve"> </w:t>
      </w:r>
      <w:r>
        <w:rPr>
          <w:rFonts w:ascii="Arial"/>
          <w:color w:val="1D1D1D"/>
          <w:w w:val="105"/>
          <w:sz w:val="21"/>
        </w:rPr>
        <w:t>the</w:t>
      </w:r>
      <w:r>
        <w:rPr>
          <w:rFonts w:ascii="Arial"/>
          <w:color w:val="1D1D1D"/>
          <w:spacing w:val="-13"/>
          <w:w w:val="105"/>
          <w:sz w:val="21"/>
        </w:rPr>
        <w:t xml:space="preserve"> </w:t>
      </w:r>
      <w:r>
        <w:rPr>
          <w:rFonts w:ascii="Arial"/>
          <w:color w:val="1D1D1D"/>
          <w:w w:val="105"/>
          <w:sz w:val="21"/>
        </w:rPr>
        <w:t>alleged</w:t>
      </w:r>
      <w:r>
        <w:rPr>
          <w:rFonts w:ascii="Arial"/>
          <w:color w:val="1D1D1D"/>
          <w:spacing w:val="-16"/>
          <w:w w:val="105"/>
          <w:sz w:val="21"/>
        </w:rPr>
        <w:t xml:space="preserve"> </w:t>
      </w:r>
      <w:r>
        <w:rPr>
          <w:rFonts w:ascii="Arial"/>
          <w:color w:val="1D1D1D"/>
          <w:w w:val="105"/>
          <w:sz w:val="21"/>
        </w:rPr>
        <w:t xml:space="preserve">injurious effects </w:t>
      </w:r>
      <w:r>
        <w:rPr>
          <w:rFonts w:ascii="Arial"/>
          <w:color w:val="0A0A0A"/>
          <w:w w:val="105"/>
          <w:sz w:val="21"/>
        </w:rPr>
        <w:t xml:space="preserve">that MOFCOM </w:t>
      </w:r>
      <w:r>
        <w:rPr>
          <w:rFonts w:ascii="Arial"/>
          <w:color w:val="1D1D1D"/>
          <w:w w:val="105"/>
          <w:sz w:val="21"/>
        </w:rPr>
        <w:t>attributed to</w:t>
      </w:r>
      <w:r>
        <w:rPr>
          <w:rFonts w:ascii="Arial"/>
          <w:color w:val="1D1D1D"/>
          <w:spacing w:val="40"/>
          <w:w w:val="105"/>
          <w:sz w:val="21"/>
        </w:rPr>
        <w:t xml:space="preserve"> </w:t>
      </w:r>
      <w:r>
        <w:rPr>
          <w:rFonts w:ascii="Arial"/>
          <w:color w:val="1D1D1D"/>
          <w:w w:val="105"/>
          <w:sz w:val="21"/>
        </w:rPr>
        <w:t xml:space="preserve">the </w:t>
      </w:r>
      <w:r>
        <w:rPr>
          <w:rFonts w:ascii="Arial"/>
          <w:color w:val="0A0A0A"/>
          <w:w w:val="105"/>
          <w:sz w:val="21"/>
        </w:rPr>
        <w:t xml:space="preserve">alleged dumping </w:t>
      </w:r>
      <w:r>
        <w:rPr>
          <w:rFonts w:ascii="Arial"/>
          <w:color w:val="1D1D1D"/>
          <w:w w:val="105"/>
          <w:sz w:val="21"/>
        </w:rPr>
        <w:t>of Australian wine.</w:t>
      </w:r>
    </w:p>
    <w:p w14:paraId="51DE9188" w14:textId="77777777" w:rsidR="0010369C" w:rsidRDefault="008E43AE">
      <w:pPr>
        <w:pStyle w:val="ListParagraph"/>
        <w:numPr>
          <w:ilvl w:val="1"/>
          <w:numId w:val="48"/>
        </w:numPr>
        <w:tabs>
          <w:tab w:val="left" w:pos="2657"/>
          <w:tab w:val="left" w:pos="2658"/>
        </w:tabs>
        <w:spacing w:before="158" w:line="448" w:lineRule="auto"/>
        <w:ind w:left="2659" w:right="584" w:hanging="859"/>
        <w:jc w:val="both"/>
        <w:rPr>
          <w:rFonts w:ascii="Arial"/>
          <w:b/>
          <w:color w:val="0A0A0A"/>
          <w:sz w:val="21"/>
        </w:rPr>
      </w:pPr>
      <w:r>
        <w:rPr>
          <w:rFonts w:ascii="Arial"/>
          <w:b/>
          <w:color w:val="0A0A0A"/>
          <w:sz w:val="21"/>
        </w:rPr>
        <w:t>MOFCOM</w:t>
      </w:r>
      <w:r>
        <w:rPr>
          <w:rFonts w:ascii="Arial"/>
          <w:b/>
          <w:color w:val="0A0A0A"/>
          <w:spacing w:val="-6"/>
          <w:sz w:val="21"/>
        </w:rPr>
        <w:t xml:space="preserve"> </w:t>
      </w:r>
      <w:r>
        <w:rPr>
          <w:rFonts w:ascii="Arial"/>
          <w:b/>
          <w:color w:val="0A0A0A"/>
          <w:sz w:val="21"/>
        </w:rPr>
        <w:t>failed</w:t>
      </w:r>
      <w:r>
        <w:rPr>
          <w:rFonts w:ascii="Arial"/>
          <w:b/>
          <w:color w:val="0A0A0A"/>
          <w:spacing w:val="-3"/>
          <w:sz w:val="21"/>
        </w:rPr>
        <w:t xml:space="preserve"> </w:t>
      </w:r>
      <w:r>
        <w:rPr>
          <w:rFonts w:ascii="Arial"/>
          <w:b/>
          <w:color w:val="0A0A0A"/>
          <w:sz w:val="21"/>
        </w:rPr>
        <w:t>to conduct an</w:t>
      </w:r>
      <w:r>
        <w:rPr>
          <w:rFonts w:ascii="Arial"/>
          <w:b/>
          <w:color w:val="0A0A0A"/>
          <w:spacing w:val="-15"/>
          <w:sz w:val="21"/>
        </w:rPr>
        <w:t xml:space="preserve"> </w:t>
      </w:r>
      <w:r>
        <w:rPr>
          <w:rFonts w:ascii="Arial"/>
          <w:b/>
          <w:color w:val="0A0A0A"/>
          <w:sz w:val="21"/>
        </w:rPr>
        <w:t>examination of</w:t>
      </w:r>
      <w:r>
        <w:rPr>
          <w:rFonts w:ascii="Arial"/>
          <w:b/>
          <w:color w:val="0A0A0A"/>
          <w:spacing w:val="-15"/>
          <w:sz w:val="21"/>
        </w:rPr>
        <w:t xml:space="preserve"> </w:t>
      </w:r>
      <w:r>
        <w:rPr>
          <w:rFonts w:ascii="Arial"/>
          <w:b/>
          <w:color w:val="0A0A0A"/>
          <w:sz w:val="21"/>
        </w:rPr>
        <w:t>all</w:t>
      </w:r>
      <w:r>
        <w:rPr>
          <w:rFonts w:ascii="Arial"/>
          <w:b/>
          <w:color w:val="0A0A0A"/>
          <w:spacing w:val="-3"/>
          <w:sz w:val="21"/>
        </w:rPr>
        <w:t xml:space="preserve"> </w:t>
      </w:r>
      <w:r>
        <w:rPr>
          <w:rFonts w:ascii="Arial"/>
          <w:b/>
          <w:color w:val="0A0A0A"/>
          <w:sz w:val="21"/>
        </w:rPr>
        <w:t>relevant evidence that was before it on the investigation record</w:t>
      </w:r>
    </w:p>
    <w:p w14:paraId="51DE9189" w14:textId="77777777" w:rsidR="0010369C" w:rsidRDefault="008E43AE">
      <w:pPr>
        <w:pStyle w:val="ListParagraph"/>
        <w:numPr>
          <w:ilvl w:val="0"/>
          <w:numId w:val="45"/>
        </w:numPr>
        <w:tabs>
          <w:tab w:val="left" w:pos="1092"/>
        </w:tabs>
        <w:spacing w:before="140" w:line="432" w:lineRule="auto"/>
        <w:ind w:right="578" w:firstLine="0"/>
        <w:jc w:val="both"/>
        <w:rPr>
          <w:rFonts w:ascii="Arial"/>
          <w:color w:val="1D1D1D"/>
          <w:sz w:val="21"/>
        </w:rPr>
      </w:pPr>
      <w:r>
        <w:rPr>
          <w:rFonts w:ascii="Arial"/>
          <w:color w:val="0A0A0A"/>
          <w:w w:val="105"/>
          <w:sz w:val="21"/>
        </w:rPr>
        <w:t xml:space="preserve">MOFCOM failed </w:t>
      </w:r>
      <w:r>
        <w:rPr>
          <w:rFonts w:ascii="Arial"/>
          <w:color w:val="1D1D1D"/>
          <w:w w:val="105"/>
          <w:sz w:val="21"/>
        </w:rPr>
        <w:t xml:space="preserve">to conduct an examination of all relevant evidence before it </w:t>
      </w:r>
      <w:r>
        <w:rPr>
          <w:rFonts w:ascii="Arial"/>
          <w:color w:val="0A0A0A"/>
          <w:w w:val="105"/>
          <w:sz w:val="21"/>
        </w:rPr>
        <w:t xml:space="preserve">in accordance </w:t>
      </w:r>
      <w:r>
        <w:rPr>
          <w:rFonts w:ascii="Arial"/>
          <w:color w:val="1D1D1D"/>
          <w:w w:val="105"/>
          <w:sz w:val="21"/>
        </w:rPr>
        <w:t xml:space="preserve">with </w:t>
      </w:r>
      <w:r>
        <w:rPr>
          <w:rFonts w:ascii="Arial"/>
          <w:color w:val="0A0A0A"/>
          <w:w w:val="105"/>
          <w:sz w:val="21"/>
        </w:rPr>
        <w:t xml:space="preserve">the </w:t>
      </w:r>
      <w:r>
        <w:rPr>
          <w:rFonts w:ascii="Arial"/>
          <w:color w:val="1D1D1D"/>
          <w:w w:val="105"/>
          <w:sz w:val="21"/>
        </w:rPr>
        <w:t>second sentence of Article 3.5 of the</w:t>
      </w:r>
      <w:r>
        <w:rPr>
          <w:rFonts w:ascii="Arial"/>
          <w:color w:val="1D1D1D"/>
          <w:w w:val="105"/>
          <w:sz w:val="21"/>
        </w:rPr>
        <w:t xml:space="preserve"> Anti-Dumping Agreement. </w:t>
      </w:r>
      <w:r>
        <w:rPr>
          <w:rFonts w:ascii="Arial"/>
          <w:color w:val="0A0A0A"/>
          <w:w w:val="105"/>
          <w:sz w:val="21"/>
        </w:rPr>
        <w:t xml:space="preserve">In its </w:t>
      </w:r>
      <w:r>
        <w:rPr>
          <w:rFonts w:ascii="Arial"/>
          <w:color w:val="1D1D1D"/>
          <w:w w:val="105"/>
          <w:sz w:val="21"/>
        </w:rPr>
        <w:t>causation analysis, it</w:t>
      </w:r>
      <w:r>
        <w:rPr>
          <w:rFonts w:ascii="Arial"/>
          <w:color w:val="1D1D1D"/>
          <w:spacing w:val="34"/>
          <w:w w:val="105"/>
          <w:sz w:val="21"/>
        </w:rPr>
        <w:t xml:space="preserve"> </w:t>
      </w:r>
      <w:r>
        <w:rPr>
          <w:rFonts w:ascii="Arial"/>
          <w:color w:val="1D1D1D"/>
          <w:w w:val="105"/>
          <w:sz w:val="21"/>
        </w:rPr>
        <w:t>failed</w:t>
      </w:r>
      <w:r>
        <w:rPr>
          <w:rFonts w:ascii="Arial"/>
          <w:color w:val="1D1D1D"/>
          <w:spacing w:val="-4"/>
          <w:w w:val="105"/>
          <w:sz w:val="21"/>
        </w:rPr>
        <w:t xml:space="preserve"> </w:t>
      </w:r>
      <w:r>
        <w:rPr>
          <w:rFonts w:ascii="Arial"/>
          <w:color w:val="1D1D1D"/>
          <w:w w:val="105"/>
          <w:sz w:val="21"/>
        </w:rPr>
        <w:t>to engage with</w:t>
      </w:r>
      <w:r>
        <w:rPr>
          <w:rFonts w:ascii="Arial"/>
          <w:color w:val="1D1D1D"/>
          <w:spacing w:val="-10"/>
          <w:w w:val="105"/>
          <w:sz w:val="21"/>
        </w:rPr>
        <w:t xml:space="preserve"> </w:t>
      </w:r>
      <w:r>
        <w:rPr>
          <w:rFonts w:ascii="Arial"/>
          <w:color w:val="1D1D1D"/>
          <w:w w:val="105"/>
          <w:sz w:val="21"/>
        </w:rPr>
        <w:t>relevant</w:t>
      </w:r>
      <w:r>
        <w:rPr>
          <w:rFonts w:ascii="Arial"/>
          <w:color w:val="1D1D1D"/>
          <w:spacing w:val="-5"/>
          <w:w w:val="105"/>
          <w:sz w:val="21"/>
        </w:rPr>
        <w:t xml:space="preserve"> </w:t>
      </w:r>
      <w:r>
        <w:rPr>
          <w:rFonts w:ascii="Arial"/>
          <w:color w:val="1D1D1D"/>
          <w:w w:val="105"/>
          <w:sz w:val="21"/>
        </w:rPr>
        <w:t>evidence on the</w:t>
      </w:r>
      <w:r>
        <w:rPr>
          <w:rFonts w:ascii="Arial"/>
          <w:color w:val="1D1D1D"/>
          <w:spacing w:val="34"/>
          <w:w w:val="105"/>
          <w:sz w:val="21"/>
        </w:rPr>
        <w:t xml:space="preserve"> </w:t>
      </w:r>
      <w:r>
        <w:rPr>
          <w:rFonts w:ascii="Arial"/>
          <w:color w:val="0A0A0A"/>
          <w:w w:val="105"/>
          <w:sz w:val="21"/>
        </w:rPr>
        <w:t>investigation record</w:t>
      </w:r>
      <w:r>
        <w:rPr>
          <w:rFonts w:ascii="Arial"/>
          <w:color w:val="0A0A0A"/>
          <w:spacing w:val="-9"/>
          <w:w w:val="105"/>
          <w:sz w:val="21"/>
        </w:rPr>
        <w:t xml:space="preserve"> </w:t>
      </w:r>
      <w:r>
        <w:rPr>
          <w:rFonts w:ascii="Arial"/>
          <w:color w:val="0A0A0A"/>
          <w:w w:val="105"/>
          <w:sz w:val="21"/>
        </w:rPr>
        <w:t xml:space="preserve">that </w:t>
      </w:r>
      <w:r>
        <w:rPr>
          <w:rFonts w:ascii="Arial"/>
          <w:color w:val="1D1D1D"/>
          <w:w w:val="105"/>
          <w:sz w:val="21"/>
        </w:rPr>
        <w:t>weighed</w:t>
      </w:r>
      <w:r>
        <w:rPr>
          <w:rFonts w:ascii="Arial"/>
          <w:color w:val="1D1D1D"/>
          <w:spacing w:val="-1"/>
          <w:w w:val="105"/>
          <w:sz w:val="21"/>
        </w:rPr>
        <w:t xml:space="preserve"> </w:t>
      </w:r>
      <w:r>
        <w:rPr>
          <w:rFonts w:ascii="Arial"/>
          <w:color w:val="1D1D1D"/>
          <w:w w:val="105"/>
          <w:sz w:val="21"/>
        </w:rPr>
        <w:t>against the</w:t>
      </w:r>
      <w:r>
        <w:rPr>
          <w:rFonts w:ascii="Arial"/>
          <w:color w:val="1D1D1D"/>
          <w:spacing w:val="27"/>
          <w:w w:val="105"/>
          <w:sz w:val="21"/>
        </w:rPr>
        <w:t xml:space="preserve"> </w:t>
      </w:r>
      <w:r>
        <w:rPr>
          <w:rFonts w:ascii="Arial"/>
          <w:color w:val="1D1D1D"/>
          <w:w w:val="105"/>
          <w:sz w:val="21"/>
        </w:rPr>
        <w:t>existence</w:t>
      </w:r>
      <w:r>
        <w:rPr>
          <w:rFonts w:ascii="Arial"/>
          <w:color w:val="1D1D1D"/>
          <w:spacing w:val="-5"/>
          <w:w w:val="105"/>
          <w:sz w:val="21"/>
        </w:rPr>
        <w:t xml:space="preserve"> </w:t>
      </w:r>
      <w:r>
        <w:rPr>
          <w:rFonts w:ascii="Arial"/>
          <w:color w:val="1D1D1D"/>
          <w:w w:val="105"/>
          <w:sz w:val="21"/>
        </w:rPr>
        <w:t>of a</w:t>
      </w:r>
      <w:r>
        <w:rPr>
          <w:rFonts w:ascii="Arial"/>
          <w:color w:val="1D1D1D"/>
          <w:spacing w:val="-1"/>
          <w:w w:val="105"/>
          <w:sz w:val="21"/>
        </w:rPr>
        <w:t xml:space="preserve"> </w:t>
      </w:r>
      <w:r>
        <w:rPr>
          <w:rFonts w:ascii="Arial"/>
          <w:color w:val="1D1D1D"/>
          <w:w w:val="105"/>
          <w:sz w:val="21"/>
        </w:rPr>
        <w:t>"causal</w:t>
      </w:r>
      <w:r>
        <w:rPr>
          <w:rFonts w:ascii="Arial"/>
          <w:color w:val="1D1D1D"/>
          <w:spacing w:val="-8"/>
          <w:w w:val="105"/>
          <w:sz w:val="21"/>
        </w:rPr>
        <w:t xml:space="preserve"> </w:t>
      </w:r>
      <w:r>
        <w:rPr>
          <w:rFonts w:ascii="Arial"/>
          <w:color w:val="1D1D1D"/>
          <w:w w:val="105"/>
          <w:sz w:val="21"/>
        </w:rPr>
        <w:t xml:space="preserve">relationship" </w:t>
      </w:r>
      <w:r>
        <w:rPr>
          <w:rFonts w:ascii="Arial"/>
          <w:color w:val="0A0A0A"/>
          <w:w w:val="105"/>
          <w:sz w:val="21"/>
        </w:rPr>
        <w:t>between</w:t>
      </w:r>
      <w:r>
        <w:rPr>
          <w:rFonts w:ascii="Arial"/>
          <w:color w:val="0A0A0A"/>
          <w:spacing w:val="-9"/>
          <w:w w:val="105"/>
          <w:sz w:val="21"/>
        </w:rPr>
        <w:t xml:space="preserve"> </w:t>
      </w:r>
      <w:r>
        <w:rPr>
          <w:rFonts w:ascii="Arial"/>
          <w:color w:val="1D1D1D"/>
          <w:w w:val="105"/>
          <w:sz w:val="21"/>
        </w:rPr>
        <w:t>the subject</w:t>
      </w:r>
      <w:r>
        <w:rPr>
          <w:rFonts w:ascii="Arial"/>
          <w:color w:val="1D1D1D"/>
          <w:spacing w:val="-6"/>
          <w:w w:val="105"/>
          <w:sz w:val="21"/>
        </w:rPr>
        <w:t xml:space="preserve"> </w:t>
      </w:r>
      <w:r>
        <w:rPr>
          <w:rFonts w:ascii="Arial"/>
          <w:color w:val="1D1D1D"/>
          <w:w w:val="105"/>
          <w:sz w:val="21"/>
        </w:rPr>
        <w:t>imports</w:t>
      </w:r>
      <w:r>
        <w:rPr>
          <w:rFonts w:ascii="Arial"/>
          <w:color w:val="1D1D1D"/>
          <w:spacing w:val="-12"/>
          <w:w w:val="105"/>
          <w:sz w:val="21"/>
        </w:rPr>
        <w:t xml:space="preserve"> </w:t>
      </w:r>
      <w:r>
        <w:rPr>
          <w:rFonts w:ascii="Arial"/>
          <w:color w:val="1D1D1D"/>
          <w:w w:val="105"/>
          <w:sz w:val="21"/>
        </w:rPr>
        <w:t>and</w:t>
      </w:r>
      <w:r>
        <w:rPr>
          <w:rFonts w:ascii="Arial"/>
          <w:color w:val="1D1D1D"/>
          <w:spacing w:val="-8"/>
          <w:w w:val="105"/>
          <w:sz w:val="21"/>
        </w:rPr>
        <w:t xml:space="preserve"> </w:t>
      </w:r>
      <w:r>
        <w:rPr>
          <w:rFonts w:ascii="Arial"/>
          <w:color w:val="1D1D1D"/>
          <w:w w:val="105"/>
          <w:sz w:val="21"/>
        </w:rPr>
        <w:t xml:space="preserve">the </w:t>
      </w:r>
      <w:r>
        <w:rPr>
          <w:rFonts w:ascii="Arial"/>
          <w:color w:val="0A0A0A"/>
          <w:w w:val="105"/>
          <w:sz w:val="21"/>
        </w:rPr>
        <w:t xml:space="preserve">injury </w:t>
      </w:r>
      <w:r>
        <w:rPr>
          <w:rFonts w:ascii="Arial"/>
          <w:color w:val="1D1D1D"/>
          <w:w w:val="105"/>
          <w:sz w:val="21"/>
        </w:rPr>
        <w:t xml:space="preserve">allegedly caused by </w:t>
      </w:r>
      <w:r>
        <w:rPr>
          <w:rFonts w:ascii="Arial"/>
          <w:color w:val="0A0A0A"/>
          <w:w w:val="105"/>
          <w:sz w:val="21"/>
        </w:rPr>
        <w:t xml:space="preserve">the </w:t>
      </w:r>
      <w:r>
        <w:rPr>
          <w:rFonts w:ascii="Arial"/>
          <w:color w:val="1D1D1D"/>
          <w:w w:val="105"/>
          <w:sz w:val="21"/>
        </w:rPr>
        <w:t xml:space="preserve">suppression of the prices of domestic like </w:t>
      </w:r>
      <w:r>
        <w:rPr>
          <w:rFonts w:ascii="Arial"/>
          <w:color w:val="0A0A0A"/>
          <w:w w:val="105"/>
          <w:sz w:val="21"/>
        </w:rPr>
        <w:t xml:space="preserve">products. This </w:t>
      </w:r>
      <w:r>
        <w:rPr>
          <w:rFonts w:ascii="Arial"/>
          <w:color w:val="1D1D1D"/>
          <w:w w:val="105"/>
          <w:sz w:val="21"/>
        </w:rPr>
        <w:t xml:space="preserve">evidence clearly established, </w:t>
      </w:r>
      <w:r>
        <w:rPr>
          <w:rFonts w:ascii="Times New Roman"/>
          <w:i/>
          <w:color w:val="1D1D1D"/>
          <w:w w:val="105"/>
          <w:sz w:val="23"/>
        </w:rPr>
        <w:t>inter alia,</w:t>
      </w:r>
      <w:r>
        <w:rPr>
          <w:rFonts w:ascii="Times New Roman"/>
          <w:i/>
          <w:color w:val="1D1D1D"/>
          <w:spacing w:val="-14"/>
          <w:w w:val="105"/>
          <w:sz w:val="23"/>
        </w:rPr>
        <w:t xml:space="preserve"> </w:t>
      </w:r>
      <w:r>
        <w:rPr>
          <w:rFonts w:ascii="Arial"/>
          <w:color w:val="1D1D1D"/>
          <w:w w:val="105"/>
          <w:sz w:val="21"/>
        </w:rPr>
        <w:t>that:</w:t>
      </w:r>
    </w:p>
    <w:p w14:paraId="51DE918A" w14:textId="77777777" w:rsidR="0010369C" w:rsidRDefault="008E43AE">
      <w:pPr>
        <w:pStyle w:val="ListParagraph"/>
        <w:numPr>
          <w:ilvl w:val="1"/>
          <w:numId w:val="45"/>
        </w:numPr>
        <w:tabs>
          <w:tab w:val="left" w:pos="1940"/>
          <w:tab w:val="left" w:pos="1941"/>
        </w:tabs>
        <w:spacing w:before="167" w:line="429" w:lineRule="auto"/>
        <w:ind w:right="581" w:hanging="847"/>
        <w:rPr>
          <w:rFonts w:ascii="Arial" w:hAnsi="Arial"/>
          <w:color w:val="0A0A0A"/>
          <w:sz w:val="21"/>
        </w:rPr>
      </w:pPr>
      <w:r>
        <w:rPr>
          <w:rFonts w:ascii="Arial" w:hAnsi="Arial"/>
          <w:color w:val="0A0A0A"/>
          <w:w w:val="105"/>
          <w:sz w:val="21"/>
        </w:rPr>
        <w:t>In</w:t>
      </w:r>
      <w:r>
        <w:rPr>
          <w:rFonts w:ascii="Arial" w:hAnsi="Arial"/>
          <w:color w:val="0A0A0A"/>
          <w:spacing w:val="-4"/>
          <w:w w:val="105"/>
          <w:sz w:val="21"/>
        </w:rPr>
        <w:t xml:space="preserve"> </w:t>
      </w:r>
      <w:r>
        <w:rPr>
          <w:rFonts w:ascii="Arial" w:hAnsi="Arial"/>
          <w:color w:val="1D1D1D"/>
          <w:w w:val="105"/>
          <w:sz w:val="21"/>
        </w:rPr>
        <w:t xml:space="preserve">each year of the </w:t>
      </w:r>
      <w:r>
        <w:rPr>
          <w:rFonts w:ascii="Arial" w:hAnsi="Arial"/>
          <w:color w:val="0A0A0A"/>
          <w:w w:val="105"/>
          <w:sz w:val="21"/>
        </w:rPr>
        <w:t xml:space="preserve">Injury </w:t>
      </w:r>
      <w:r>
        <w:rPr>
          <w:rFonts w:ascii="Arial" w:hAnsi="Arial"/>
          <w:color w:val="1D1D1D"/>
          <w:w w:val="105"/>
          <w:sz w:val="21"/>
        </w:rPr>
        <w:t>POI, the</w:t>
      </w:r>
      <w:r>
        <w:rPr>
          <w:rFonts w:ascii="Arial" w:hAnsi="Arial"/>
          <w:color w:val="1D1D1D"/>
          <w:spacing w:val="40"/>
          <w:w w:val="105"/>
          <w:sz w:val="21"/>
        </w:rPr>
        <w:t xml:space="preserve"> </w:t>
      </w:r>
      <w:r>
        <w:rPr>
          <w:rFonts w:ascii="Arial" w:hAnsi="Arial"/>
          <w:color w:val="1D1D1D"/>
          <w:w w:val="105"/>
          <w:sz w:val="21"/>
        </w:rPr>
        <w:t xml:space="preserve">average </w:t>
      </w:r>
      <w:r>
        <w:rPr>
          <w:rFonts w:ascii="Arial" w:hAnsi="Arial"/>
          <w:color w:val="0A0A0A"/>
          <w:w w:val="105"/>
          <w:sz w:val="21"/>
        </w:rPr>
        <w:t xml:space="preserve">unit </w:t>
      </w:r>
      <w:r>
        <w:rPr>
          <w:rFonts w:ascii="Arial" w:hAnsi="Arial"/>
          <w:color w:val="1D1D1D"/>
          <w:w w:val="105"/>
          <w:sz w:val="21"/>
        </w:rPr>
        <w:t>price of subject imports of Australian wine was</w:t>
      </w:r>
      <w:r>
        <w:rPr>
          <w:rFonts w:ascii="Arial" w:hAnsi="Arial"/>
          <w:color w:val="1D1D1D"/>
          <w:spacing w:val="-9"/>
          <w:w w:val="105"/>
          <w:sz w:val="21"/>
        </w:rPr>
        <w:t xml:space="preserve"> </w:t>
      </w:r>
      <w:r>
        <w:rPr>
          <w:rFonts w:ascii="Arial" w:hAnsi="Arial"/>
          <w:color w:val="1D1D1D"/>
          <w:w w:val="105"/>
          <w:sz w:val="21"/>
        </w:rPr>
        <w:t>consistently</w:t>
      </w:r>
      <w:r>
        <w:rPr>
          <w:rFonts w:ascii="Arial" w:hAnsi="Arial"/>
          <w:color w:val="1D1D1D"/>
          <w:spacing w:val="16"/>
          <w:w w:val="105"/>
          <w:sz w:val="21"/>
        </w:rPr>
        <w:t xml:space="preserve"> </w:t>
      </w:r>
      <w:r>
        <w:rPr>
          <w:rFonts w:ascii="Arial" w:hAnsi="Arial"/>
          <w:color w:val="0A0A0A"/>
          <w:w w:val="105"/>
          <w:sz w:val="21"/>
        </w:rPr>
        <w:t>higher,</w:t>
      </w:r>
      <w:r>
        <w:rPr>
          <w:rFonts w:ascii="Arial" w:hAnsi="Arial"/>
          <w:color w:val="0A0A0A"/>
          <w:spacing w:val="-16"/>
          <w:w w:val="105"/>
          <w:sz w:val="21"/>
        </w:rPr>
        <w:t xml:space="preserve"> </w:t>
      </w:r>
      <w:r>
        <w:rPr>
          <w:rFonts w:ascii="Arial" w:hAnsi="Arial"/>
          <w:color w:val="0A0A0A"/>
          <w:w w:val="105"/>
          <w:sz w:val="21"/>
        </w:rPr>
        <w:t>by</w:t>
      </w:r>
      <w:r>
        <w:rPr>
          <w:rFonts w:ascii="Arial" w:hAnsi="Arial"/>
          <w:color w:val="0A0A0A"/>
          <w:spacing w:val="-9"/>
          <w:w w:val="105"/>
          <w:sz w:val="21"/>
        </w:rPr>
        <w:t xml:space="preserve"> </w:t>
      </w:r>
      <w:r>
        <w:rPr>
          <w:rFonts w:ascii="Arial" w:hAnsi="Arial"/>
          <w:color w:val="1D1D1D"/>
          <w:w w:val="105"/>
          <w:sz w:val="21"/>
        </w:rPr>
        <w:t>a</w:t>
      </w:r>
      <w:r>
        <w:rPr>
          <w:rFonts w:ascii="Arial" w:hAnsi="Arial"/>
          <w:color w:val="1D1D1D"/>
          <w:spacing w:val="-3"/>
          <w:w w:val="105"/>
          <w:sz w:val="21"/>
        </w:rPr>
        <w:t xml:space="preserve"> </w:t>
      </w:r>
      <w:r>
        <w:rPr>
          <w:rFonts w:ascii="Arial" w:hAnsi="Arial"/>
          <w:color w:val="1D1D1D"/>
          <w:w w:val="105"/>
          <w:sz w:val="21"/>
        </w:rPr>
        <w:t>substantial</w:t>
      </w:r>
      <w:r>
        <w:rPr>
          <w:rFonts w:ascii="Arial" w:hAnsi="Arial"/>
          <w:color w:val="1D1D1D"/>
          <w:spacing w:val="-1"/>
          <w:w w:val="105"/>
          <w:sz w:val="21"/>
        </w:rPr>
        <w:t xml:space="preserve"> </w:t>
      </w:r>
      <w:r>
        <w:rPr>
          <w:rFonts w:ascii="Arial" w:hAnsi="Arial"/>
          <w:color w:val="0A0A0A"/>
          <w:w w:val="105"/>
          <w:sz w:val="21"/>
        </w:rPr>
        <w:t>margin,</w:t>
      </w:r>
      <w:r>
        <w:rPr>
          <w:rFonts w:ascii="Arial" w:hAnsi="Arial"/>
          <w:color w:val="0A0A0A"/>
          <w:spacing w:val="-9"/>
          <w:w w:val="105"/>
          <w:sz w:val="21"/>
        </w:rPr>
        <w:t xml:space="preserve"> </w:t>
      </w:r>
      <w:r>
        <w:rPr>
          <w:rFonts w:ascii="Arial" w:hAnsi="Arial"/>
          <w:color w:val="0A0A0A"/>
          <w:w w:val="105"/>
          <w:sz w:val="21"/>
        </w:rPr>
        <w:t>than</w:t>
      </w:r>
      <w:r>
        <w:rPr>
          <w:rFonts w:ascii="Arial" w:hAnsi="Arial"/>
          <w:color w:val="0A0A0A"/>
          <w:spacing w:val="-12"/>
          <w:w w:val="105"/>
          <w:sz w:val="21"/>
        </w:rPr>
        <w:t xml:space="preserve"> </w:t>
      </w:r>
      <w:r>
        <w:rPr>
          <w:rFonts w:ascii="Arial" w:hAnsi="Arial"/>
          <w:color w:val="1D1D1D"/>
          <w:w w:val="105"/>
          <w:sz w:val="21"/>
        </w:rPr>
        <w:t>(i)</w:t>
      </w:r>
      <w:r>
        <w:rPr>
          <w:rFonts w:ascii="Arial" w:hAnsi="Arial"/>
          <w:color w:val="1D1D1D"/>
          <w:spacing w:val="-13"/>
          <w:w w:val="105"/>
          <w:sz w:val="21"/>
        </w:rPr>
        <w:t xml:space="preserve"> </w:t>
      </w:r>
      <w:r>
        <w:rPr>
          <w:rFonts w:ascii="Arial" w:hAnsi="Arial"/>
          <w:color w:val="0A0A0A"/>
          <w:w w:val="105"/>
          <w:sz w:val="21"/>
        </w:rPr>
        <w:t xml:space="preserve">the </w:t>
      </w:r>
      <w:r>
        <w:rPr>
          <w:rFonts w:ascii="Arial" w:hAnsi="Arial"/>
          <w:color w:val="1D1D1D"/>
          <w:w w:val="105"/>
          <w:sz w:val="21"/>
        </w:rPr>
        <w:t xml:space="preserve">average </w:t>
      </w:r>
      <w:r>
        <w:rPr>
          <w:rFonts w:ascii="Arial" w:hAnsi="Arial"/>
          <w:color w:val="0A0A0A"/>
          <w:w w:val="105"/>
          <w:sz w:val="21"/>
        </w:rPr>
        <w:t xml:space="preserve">unit </w:t>
      </w:r>
      <w:r>
        <w:rPr>
          <w:rFonts w:ascii="Arial" w:hAnsi="Arial"/>
          <w:color w:val="1D1D1D"/>
          <w:w w:val="105"/>
          <w:sz w:val="21"/>
        </w:rPr>
        <w:t xml:space="preserve">price of </w:t>
      </w:r>
      <w:r>
        <w:rPr>
          <w:rFonts w:ascii="Arial" w:hAnsi="Arial"/>
          <w:color w:val="0A0A0A"/>
          <w:w w:val="105"/>
          <w:sz w:val="21"/>
        </w:rPr>
        <w:t>domestic like</w:t>
      </w:r>
      <w:r>
        <w:rPr>
          <w:rFonts w:ascii="Arial" w:hAnsi="Arial"/>
          <w:color w:val="0A0A0A"/>
          <w:spacing w:val="-7"/>
          <w:w w:val="105"/>
          <w:sz w:val="21"/>
        </w:rPr>
        <w:t xml:space="preserve"> </w:t>
      </w:r>
      <w:r>
        <w:rPr>
          <w:rFonts w:ascii="Arial" w:hAnsi="Arial"/>
          <w:color w:val="1D1D1D"/>
          <w:w w:val="105"/>
          <w:sz w:val="21"/>
        </w:rPr>
        <w:t>products,</w:t>
      </w:r>
      <w:r>
        <w:rPr>
          <w:rFonts w:ascii="Arial" w:hAnsi="Arial"/>
          <w:color w:val="1D1D1D"/>
          <w:spacing w:val="-3"/>
          <w:w w:val="105"/>
          <w:sz w:val="21"/>
        </w:rPr>
        <w:t xml:space="preserve"> </w:t>
      </w:r>
      <w:r>
        <w:rPr>
          <w:rFonts w:ascii="Arial" w:hAnsi="Arial"/>
          <w:color w:val="1D1D1D"/>
          <w:w w:val="105"/>
          <w:sz w:val="21"/>
        </w:rPr>
        <w:t xml:space="preserve">and </w:t>
      </w:r>
      <w:r>
        <w:rPr>
          <w:rFonts w:ascii="Times New Roman" w:hAnsi="Times New Roman"/>
          <w:color w:val="1D1D1D"/>
          <w:w w:val="105"/>
        </w:rPr>
        <w:t xml:space="preserve">(ii) </w:t>
      </w:r>
      <w:r>
        <w:rPr>
          <w:rFonts w:ascii="Arial" w:hAnsi="Arial"/>
          <w:color w:val="0A0A0A"/>
          <w:w w:val="105"/>
          <w:sz w:val="21"/>
        </w:rPr>
        <w:t>the</w:t>
      </w:r>
      <w:r>
        <w:rPr>
          <w:rFonts w:ascii="Arial" w:hAnsi="Arial"/>
          <w:color w:val="0A0A0A"/>
          <w:spacing w:val="40"/>
          <w:w w:val="105"/>
          <w:sz w:val="21"/>
        </w:rPr>
        <w:t xml:space="preserve"> </w:t>
      </w:r>
      <w:r>
        <w:rPr>
          <w:rFonts w:ascii="Arial" w:hAnsi="Arial"/>
          <w:color w:val="0A0A0A"/>
          <w:w w:val="105"/>
          <w:sz w:val="21"/>
        </w:rPr>
        <w:t>level</w:t>
      </w:r>
      <w:r>
        <w:rPr>
          <w:rFonts w:ascii="Arial" w:hAnsi="Arial"/>
          <w:color w:val="0A0A0A"/>
          <w:spacing w:val="-7"/>
          <w:w w:val="105"/>
          <w:sz w:val="21"/>
        </w:rPr>
        <w:t xml:space="preserve"> </w:t>
      </w:r>
      <w:r>
        <w:rPr>
          <w:rFonts w:ascii="Arial" w:hAnsi="Arial"/>
          <w:color w:val="1D1D1D"/>
          <w:w w:val="105"/>
          <w:sz w:val="21"/>
        </w:rPr>
        <w:t>to</w:t>
      </w:r>
      <w:r>
        <w:rPr>
          <w:rFonts w:ascii="Arial" w:hAnsi="Arial"/>
          <w:color w:val="1D1D1D"/>
          <w:spacing w:val="40"/>
          <w:w w:val="105"/>
          <w:sz w:val="21"/>
        </w:rPr>
        <w:t xml:space="preserve"> </w:t>
      </w:r>
      <w:r>
        <w:rPr>
          <w:rFonts w:ascii="Arial" w:hAnsi="Arial"/>
          <w:color w:val="1D1D1D"/>
          <w:w w:val="105"/>
          <w:sz w:val="21"/>
        </w:rPr>
        <w:t xml:space="preserve">which </w:t>
      </w:r>
      <w:r>
        <w:rPr>
          <w:rFonts w:ascii="Arial" w:hAnsi="Arial"/>
          <w:color w:val="0A0A0A"/>
          <w:w w:val="105"/>
          <w:sz w:val="21"/>
        </w:rPr>
        <w:t xml:space="preserve">the </w:t>
      </w:r>
      <w:r>
        <w:rPr>
          <w:rFonts w:ascii="Arial" w:hAnsi="Arial"/>
          <w:color w:val="1D1D1D"/>
          <w:w w:val="105"/>
          <w:sz w:val="21"/>
        </w:rPr>
        <w:t>average</w:t>
      </w:r>
      <w:r>
        <w:rPr>
          <w:rFonts w:ascii="Arial" w:hAnsi="Arial"/>
          <w:color w:val="1D1D1D"/>
          <w:spacing w:val="-13"/>
          <w:w w:val="105"/>
          <w:sz w:val="21"/>
        </w:rPr>
        <w:t xml:space="preserve"> </w:t>
      </w:r>
      <w:r>
        <w:rPr>
          <w:rFonts w:ascii="Arial" w:hAnsi="Arial"/>
          <w:color w:val="1D1D1D"/>
          <w:w w:val="105"/>
          <w:sz w:val="21"/>
        </w:rPr>
        <w:t>unit</w:t>
      </w:r>
      <w:r>
        <w:rPr>
          <w:rFonts w:ascii="Arial" w:hAnsi="Arial"/>
          <w:color w:val="1D1D1D"/>
          <w:spacing w:val="-15"/>
          <w:w w:val="105"/>
          <w:sz w:val="21"/>
        </w:rPr>
        <w:t xml:space="preserve"> </w:t>
      </w:r>
      <w:r>
        <w:rPr>
          <w:rFonts w:ascii="Arial" w:hAnsi="Arial"/>
          <w:color w:val="0A0A0A"/>
          <w:w w:val="105"/>
          <w:sz w:val="21"/>
        </w:rPr>
        <w:t>price</w:t>
      </w:r>
      <w:r>
        <w:rPr>
          <w:rFonts w:ascii="Arial" w:hAnsi="Arial"/>
          <w:color w:val="0A0A0A"/>
          <w:spacing w:val="-11"/>
          <w:w w:val="105"/>
          <w:sz w:val="21"/>
        </w:rPr>
        <w:t xml:space="preserve"> </w:t>
      </w:r>
      <w:r>
        <w:rPr>
          <w:rFonts w:ascii="Arial" w:hAnsi="Arial"/>
          <w:color w:val="1D1D1D"/>
          <w:w w:val="105"/>
          <w:sz w:val="21"/>
        </w:rPr>
        <w:t>of</w:t>
      </w:r>
      <w:r>
        <w:rPr>
          <w:rFonts w:ascii="Arial" w:hAnsi="Arial"/>
          <w:color w:val="1D1D1D"/>
          <w:spacing w:val="19"/>
          <w:w w:val="105"/>
          <w:sz w:val="21"/>
        </w:rPr>
        <w:t xml:space="preserve"> </w:t>
      </w:r>
      <w:r>
        <w:rPr>
          <w:rFonts w:ascii="Arial" w:hAnsi="Arial"/>
          <w:color w:val="0A0A0A"/>
          <w:w w:val="105"/>
          <w:sz w:val="21"/>
        </w:rPr>
        <w:t>domestic</w:t>
      </w:r>
      <w:r>
        <w:rPr>
          <w:rFonts w:ascii="Arial" w:hAnsi="Arial"/>
          <w:color w:val="0A0A0A"/>
          <w:spacing w:val="18"/>
          <w:w w:val="105"/>
          <w:sz w:val="21"/>
        </w:rPr>
        <w:t xml:space="preserve"> </w:t>
      </w:r>
      <w:r>
        <w:rPr>
          <w:rFonts w:ascii="Arial" w:hAnsi="Arial"/>
          <w:color w:val="0A0A0A"/>
          <w:w w:val="105"/>
          <w:sz w:val="21"/>
        </w:rPr>
        <w:t>like</w:t>
      </w:r>
      <w:r>
        <w:rPr>
          <w:rFonts w:ascii="Arial" w:hAnsi="Arial"/>
          <w:color w:val="0A0A0A"/>
          <w:spacing w:val="-7"/>
          <w:w w:val="105"/>
          <w:sz w:val="21"/>
        </w:rPr>
        <w:t xml:space="preserve"> </w:t>
      </w:r>
      <w:r>
        <w:rPr>
          <w:rFonts w:ascii="Arial" w:hAnsi="Arial"/>
          <w:color w:val="1D1D1D"/>
          <w:w w:val="105"/>
          <w:sz w:val="21"/>
        </w:rPr>
        <w:t>products</w:t>
      </w:r>
      <w:r>
        <w:rPr>
          <w:rFonts w:ascii="Arial" w:hAnsi="Arial"/>
          <w:color w:val="1D1D1D"/>
          <w:spacing w:val="-6"/>
          <w:w w:val="105"/>
          <w:sz w:val="21"/>
        </w:rPr>
        <w:t xml:space="preserve"> </w:t>
      </w:r>
      <w:r>
        <w:rPr>
          <w:rFonts w:ascii="Arial" w:hAnsi="Arial"/>
          <w:color w:val="1D1D1D"/>
          <w:w w:val="105"/>
          <w:sz w:val="21"/>
        </w:rPr>
        <w:t>would</w:t>
      </w:r>
      <w:r>
        <w:rPr>
          <w:rFonts w:ascii="Arial" w:hAnsi="Arial"/>
          <w:color w:val="1D1D1D"/>
          <w:spacing w:val="-13"/>
          <w:w w:val="105"/>
          <w:sz w:val="21"/>
        </w:rPr>
        <w:t xml:space="preserve"> </w:t>
      </w:r>
      <w:r>
        <w:rPr>
          <w:rFonts w:ascii="Arial" w:hAnsi="Arial"/>
          <w:color w:val="1D1D1D"/>
          <w:w w:val="105"/>
          <w:sz w:val="21"/>
        </w:rPr>
        <w:t>need</w:t>
      </w:r>
      <w:r>
        <w:rPr>
          <w:rFonts w:ascii="Arial" w:hAnsi="Arial"/>
          <w:color w:val="1D1D1D"/>
          <w:spacing w:val="-16"/>
          <w:w w:val="105"/>
          <w:sz w:val="21"/>
        </w:rPr>
        <w:t xml:space="preserve"> </w:t>
      </w:r>
      <w:r>
        <w:rPr>
          <w:rFonts w:ascii="Arial" w:hAnsi="Arial"/>
          <w:color w:val="1D1D1D"/>
          <w:w w:val="105"/>
          <w:sz w:val="21"/>
        </w:rPr>
        <w:t>to rise</w:t>
      </w:r>
      <w:r>
        <w:rPr>
          <w:rFonts w:ascii="Arial" w:hAnsi="Arial"/>
          <w:color w:val="1D1D1D"/>
          <w:spacing w:val="-16"/>
          <w:w w:val="105"/>
          <w:sz w:val="21"/>
        </w:rPr>
        <w:t xml:space="preserve"> </w:t>
      </w:r>
      <w:r>
        <w:rPr>
          <w:rFonts w:ascii="Arial" w:hAnsi="Arial"/>
          <w:color w:val="0A0A0A"/>
          <w:w w:val="105"/>
          <w:sz w:val="21"/>
        </w:rPr>
        <w:t>to</w:t>
      </w:r>
      <w:r>
        <w:rPr>
          <w:rFonts w:ascii="Arial" w:hAnsi="Arial"/>
          <w:color w:val="0A0A0A"/>
          <w:spacing w:val="30"/>
          <w:w w:val="105"/>
          <w:sz w:val="21"/>
        </w:rPr>
        <w:t xml:space="preserve"> </w:t>
      </w:r>
      <w:r>
        <w:rPr>
          <w:rFonts w:ascii="Arial" w:hAnsi="Arial"/>
          <w:color w:val="1D1D1D"/>
          <w:w w:val="105"/>
          <w:sz w:val="21"/>
        </w:rPr>
        <w:t>fully</w:t>
      </w:r>
      <w:r>
        <w:rPr>
          <w:rFonts w:ascii="Arial" w:hAnsi="Arial"/>
          <w:color w:val="1D1D1D"/>
          <w:spacing w:val="-16"/>
          <w:w w:val="105"/>
          <w:sz w:val="21"/>
        </w:rPr>
        <w:t xml:space="preserve"> </w:t>
      </w:r>
      <w:r>
        <w:rPr>
          <w:rFonts w:ascii="Arial" w:hAnsi="Arial"/>
          <w:color w:val="1D1D1D"/>
          <w:w w:val="105"/>
          <w:sz w:val="21"/>
        </w:rPr>
        <w:t xml:space="preserve">cover the average </w:t>
      </w:r>
      <w:r>
        <w:rPr>
          <w:rFonts w:ascii="Arial" w:hAnsi="Arial"/>
          <w:color w:val="0A0A0A"/>
          <w:w w:val="105"/>
          <w:sz w:val="21"/>
        </w:rPr>
        <w:t xml:space="preserve">unit </w:t>
      </w:r>
      <w:r>
        <w:rPr>
          <w:rFonts w:ascii="Arial" w:hAnsi="Arial"/>
          <w:color w:val="1D1D1D"/>
          <w:w w:val="105"/>
          <w:sz w:val="21"/>
        </w:rPr>
        <w:t xml:space="preserve">cost </w:t>
      </w:r>
      <w:r>
        <w:rPr>
          <w:rFonts w:ascii="Arial" w:hAnsi="Arial"/>
          <w:color w:val="0A0A0A"/>
          <w:w w:val="105"/>
          <w:sz w:val="21"/>
        </w:rPr>
        <w:t>increase;</w:t>
      </w:r>
      <w:r>
        <w:rPr>
          <w:rFonts w:ascii="Arial" w:hAnsi="Arial"/>
          <w:color w:val="0A0A0A"/>
          <w:w w:val="105"/>
          <w:position w:val="7"/>
          <w:sz w:val="14"/>
        </w:rPr>
        <w:t>783</w:t>
      </w:r>
    </w:p>
    <w:p w14:paraId="51DE918B" w14:textId="77777777" w:rsidR="0010369C" w:rsidRDefault="008E43AE">
      <w:pPr>
        <w:pStyle w:val="ListParagraph"/>
        <w:numPr>
          <w:ilvl w:val="1"/>
          <w:numId w:val="45"/>
        </w:numPr>
        <w:tabs>
          <w:tab w:val="left" w:pos="1940"/>
          <w:tab w:val="left" w:pos="1941"/>
        </w:tabs>
        <w:spacing w:before="149" w:line="439" w:lineRule="auto"/>
        <w:ind w:left="1946" w:right="570" w:hanging="851"/>
        <w:rPr>
          <w:rFonts w:ascii="Arial" w:hAnsi="Arial"/>
          <w:color w:val="0A0A0A"/>
          <w:sz w:val="21"/>
        </w:rPr>
      </w:pPr>
      <w:r>
        <w:rPr>
          <w:rFonts w:ascii="Arial" w:hAnsi="Arial"/>
          <w:color w:val="0A0A0A"/>
          <w:w w:val="105"/>
          <w:sz w:val="21"/>
        </w:rPr>
        <w:t xml:space="preserve">Imports </w:t>
      </w:r>
      <w:r>
        <w:rPr>
          <w:rFonts w:ascii="Arial" w:hAnsi="Arial"/>
          <w:color w:val="1D1D1D"/>
          <w:w w:val="105"/>
          <w:sz w:val="21"/>
        </w:rPr>
        <w:t xml:space="preserve">of </w:t>
      </w:r>
      <w:r>
        <w:rPr>
          <w:rFonts w:ascii="Arial" w:hAnsi="Arial"/>
          <w:color w:val="0A0A0A"/>
          <w:w w:val="105"/>
          <w:sz w:val="21"/>
        </w:rPr>
        <w:t xml:space="preserve">like </w:t>
      </w:r>
      <w:r>
        <w:rPr>
          <w:rFonts w:ascii="Arial" w:hAnsi="Arial"/>
          <w:color w:val="1D1D1D"/>
          <w:w w:val="105"/>
          <w:sz w:val="21"/>
        </w:rPr>
        <w:t xml:space="preserve">products from </w:t>
      </w:r>
      <w:r>
        <w:rPr>
          <w:rFonts w:ascii="Arial" w:hAnsi="Arial"/>
          <w:color w:val="0A0A0A"/>
          <w:w w:val="105"/>
          <w:sz w:val="21"/>
        </w:rPr>
        <w:t xml:space="preserve">third </w:t>
      </w:r>
      <w:r>
        <w:rPr>
          <w:rFonts w:ascii="Arial" w:hAnsi="Arial"/>
          <w:color w:val="1D1D1D"/>
          <w:w w:val="105"/>
          <w:sz w:val="21"/>
        </w:rPr>
        <w:t xml:space="preserve">countries were substantially greater in volume than subject imports from Australia, </w:t>
      </w:r>
      <w:r>
        <w:rPr>
          <w:rFonts w:ascii="Arial" w:hAnsi="Arial"/>
          <w:color w:val="0A0A0A"/>
          <w:w w:val="105"/>
          <w:sz w:val="21"/>
        </w:rPr>
        <w:t xml:space="preserve">but </w:t>
      </w:r>
      <w:r>
        <w:rPr>
          <w:rFonts w:ascii="Arial" w:hAnsi="Arial"/>
          <w:color w:val="1D1D1D"/>
          <w:w w:val="105"/>
          <w:sz w:val="21"/>
        </w:rPr>
        <w:t xml:space="preserve">at average </w:t>
      </w:r>
      <w:r>
        <w:rPr>
          <w:rFonts w:ascii="Arial" w:hAnsi="Arial"/>
          <w:color w:val="0A0A0A"/>
          <w:w w:val="105"/>
          <w:sz w:val="21"/>
        </w:rPr>
        <w:t>unit prices</w:t>
      </w:r>
      <w:r>
        <w:rPr>
          <w:rFonts w:ascii="Arial" w:hAnsi="Arial"/>
          <w:color w:val="0A0A0A"/>
          <w:spacing w:val="-1"/>
          <w:w w:val="105"/>
          <w:sz w:val="21"/>
        </w:rPr>
        <w:t xml:space="preserve"> </w:t>
      </w:r>
      <w:r>
        <w:rPr>
          <w:rFonts w:ascii="Arial" w:hAnsi="Arial"/>
          <w:color w:val="1D1D1D"/>
          <w:w w:val="105"/>
          <w:sz w:val="21"/>
        </w:rPr>
        <w:t xml:space="preserve">that were </w:t>
      </w:r>
      <w:r>
        <w:rPr>
          <w:rFonts w:ascii="Arial" w:hAnsi="Arial"/>
          <w:color w:val="0A0A0A"/>
          <w:w w:val="105"/>
          <w:sz w:val="21"/>
        </w:rPr>
        <w:t xml:space="preserve">much closer </w:t>
      </w:r>
      <w:r>
        <w:rPr>
          <w:rFonts w:ascii="Arial" w:hAnsi="Arial"/>
          <w:color w:val="1D1D1D"/>
          <w:w w:val="105"/>
          <w:sz w:val="21"/>
        </w:rPr>
        <w:t>to</w:t>
      </w:r>
      <w:r>
        <w:rPr>
          <w:rFonts w:ascii="Arial" w:hAnsi="Arial"/>
          <w:color w:val="1D1D1D"/>
          <w:spacing w:val="40"/>
          <w:w w:val="105"/>
          <w:sz w:val="21"/>
        </w:rPr>
        <w:t xml:space="preserve"> </w:t>
      </w:r>
      <w:r>
        <w:rPr>
          <w:rFonts w:ascii="Arial" w:hAnsi="Arial"/>
          <w:color w:val="1D1D1D"/>
          <w:w w:val="105"/>
          <w:sz w:val="21"/>
        </w:rPr>
        <w:t xml:space="preserve">or </w:t>
      </w:r>
      <w:r>
        <w:rPr>
          <w:rFonts w:ascii="Arial" w:hAnsi="Arial"/>
          <w:color w:val="0A0A0A"/>
          <w:w w:val="105"/>
          <w:sz w:val="21"/>
        </w:rPr>
        <w:t xml:space="preserve">lower </w:t>
      </w:r>
      <w:r>
        <w:rPr>
          <w:rFonts w:ascii="Arial" w:hAnsi="Arial"/>
          <w:color w:val="1D1D1D"/>
          <w:w w:val="105"/>
          <w:sz w:val="21"/>
        </w:rPr>
        <w:t>than</w:t>
      </w:r>
      <w:r>
        <w:rPr>
          <w:rFonts w:ascii="Arial" w:hAnsi="Arial"/>
          <w:color w:val="1D1D1D"/>
          <w:spacing w:val="-3"/>
          <w:w w:val="105"/>
          <w:sz w:val="21"/>
        </w:rPr>
        <w:t xml:space="preserve"> </w:t>
      </w:r>
      <w:r>
        <w:rPr>
          <w:rFonts w:ascii="Arial" w:hAnsi="Arial"/>
          <w:color w:val="1D1D1D"/>
          <w:w w:val="105"/>
          <w:sz w:val="21"/>
        </w:rPr>
        <w:t>the average unit</w:t>
      </w:r>
      <w:r>
        <w:rPr>
          <w:rFonts w:ascii="Arial" w:hAnsi="Arial"/>
          <w:color w:val="1D1D1D"/>
          <w:spacing w:val="-6"/>
          <w:w w:val="105"/>
          <w:sz w:val="21"/>
        </w:rPr>
        <w:t xml:space="preserve"> </w:t>
      </w:r>
      <w:r>
        <w:rPr>
          <w:rFonts w:ascii="Arial" w:hAnsi="Arial"/>
          <w:color w:val="1D1D1D"/>
          <w:w w:val="105"/>
          <w:sz w:val="21"/>
        </w:rPr>
        <w:t xml:space="preserve">prices of domestic like </w:t>
      </w:r>
      <w:r>
        <w:rPr>
          <w:rFonts w:ascii="Arial" w:hAnsi="Arial"/>
          <w:color w:val="1D1D1D"/>
          <w:spacing w:val="-2"/>
          <w:w w:val="105"/>
          <w:sz w:val="21"/>
        </w:rPr>
        <w:t>products;7</w:t>
      </w:r>
      <w:r>
        <w:rPr>
          <w:rFonts w:ascii="Arial" w:hAnsi="Arial"/>
          <w:color w:val="1D1D1D"/>
          <w:spacing w:val="-2"/>
          <w:w w:val="105"/>
          <w:sz w:val="21"/>
          <w:vertAlign w:val="superscript"/>
        </w:rPr>
        <w:t>84</w:t>
      </w:r>
    </w:p>
    <w:p w14:paraId="51DE918C" w14:textId="77777777" w:rsidR="0010369C" w:rsidRDefault="008E43AE">
      <w:pPr>
        <w:pStyle w:val="ListParagraph"/>
        <w:numPr>
          <w:ilvl w:val="1"/>
          <w:numId w:val="45"/>
        </w:numPr>
        <w:tabs>
          <w:tab w:val="left" w:pos="1944"/>
          <w:tab w:val="left" w:pos="1945"/>
        </w:tabs>
        <w:spacing w:before="127" w:line="432" w:lineRule="auto"/>
        <w:ind w:left="1939" w:right="577" w:hanging="844"/>
        <w:rPr>
          <w:rFonts w:ascii="Arial" w:hAnsi="Arial"/>
          <w:color w:val="0A0A0A"/>
          <w:sz w:val="21"/>
        </w:rPr>
      </w:pPr>
      <w:r>
        <w:rPr>
          <w:rFonts w:ascii="Arial" w:hAnsi="Arial"/>
          <w:color w:val="1D1D1D"/>
          <w:w w:val="105"/>
          <w:sz w:val="21"/>
        </w:rPr>
        <w:t xml:space="preserve">Despite increasing </w:t>
      </w:r>
      <w:r>
        <w:rPr>
          <w:rFonts w:ascii="Arial" w:hAnsi="Arial"/>
          <w:color w:val="0A0A0A"/>
          <w:w w:val="105"/>
          <w:sz w:val="21"/>
        </w:rPr>
        <w:t xml:space="preserve">due to </w:t>
      </w:r>
      <w:r>
        <w:rPr>
          <w:rFonts w:ascii="Arial" w:hAnsi="Arial"/>
          <w:color w:val="1D1D1D"/>
          <w:w w:val="105"/>
          <w:sz w:val="21"/>
        </w:rPr>
        <w:t>the</w:t>
      </w:r>
      <w:r>
        <w:rPr>
          <w:rFonts w:ascii="Arial" w:hAnsi="Arial"/>
          <w:color w:val="1D1D1D"/>
          <w:w w:val="105"/>
          <w:sz w:val="21"/>
        </w:rPr>
        <w:t xml:space="preserve"> preferential treatment accorded </w:t>
      </w:r>
      <w:r>
        <w:rPr>
          <w:rFonts w:ascii="Arial" w:hAnsi="Arial"/>
          <w:color w:val="0A0A0A"/>
          <w:w w:val="105"/>
          <w:sz w:val="21"/>
        </w:rPr>
        <w:t xml:space="preserve">under </w:t>
      </w:r>
      <w:r>
        <w:rPr>
          <w:rFonts w:ascii="Arial" w:hAnsi="Arial"/>
          <w:color w:val="1D1D1D"/>
          <w:w w:val="105"/>
          <w:sz w:val="21"/>
        </w:rPr>
        <w:t>ChAFTA,7</w:t>
      </w:r>
      <w:r>
        <w:rPr>
          <w:rFonts w:ascii="Arial" w:hAnsi="Arial"/>
          <w:color w:val="1D1D1D"/>
          <w:w w:val="105"/>
          <w:position w:val="7"/>
          <w:sz w:val="15"/>
        </w:rPr>
        <w:t>8</w:t>
      </w:r>
      <w:r>
        <w:rPr>
          <w:rFonts w:ascii="Arial" w:hAnsi="Arial"/>
          <w:color w:val="1D1D1D"/>
          <w:w w:val="105"/>
          <w:sz w:val="21"/>
        </w:rPr>
        <w:t>s</w:t>
      </w:r>
      <w:r>
        <w:rPr>
          <w:rFonts w:ascii="Arial" w:hAnsi="Arial"/>
          <w:color w:val="1D1D1D"/>
          <w:spacing w:val="-16"/>
          <w:w w:val="105"/>
          <w:sz w:val="21"/>
        </w:rPr>
        <w:t xml:space="preserve"> </w:t>
      </w:r>
      <w:r>
        <w:rPr>
          <w:rFonts w:ascii="Arial" w:hAnsi="Arial"/>
          <w:color w:val="1D1D1D"/>
          <w:w w:val="105"/>
          <w:sz w:val="21"/>
        </w:rPr>
        <w:t>the</w:t>
      </w:r>
      <w:r>
        <w:rPr>
          <w:rFonts w:ascii="Arial" w:hAnsi="Arial"/>
          <w:color w:val="1D1D1D"/>
          <w:spacing w:val="2"/>
          <w:w w:val="105"/>
          <w:sz w:val="21"/>
        </w:rPr>
        <w:t xml:space="preserve"> </w:t>
      </w:r>
      <w:r>
        <w:rPr>
          <w:rFonts w:ascii="Arial" w:hAnsi="Arial"/>
          <w:color w:val="1D1D1D"/>
          <w:w w:val="105"/>
          <w:sz w:val="21"/>
        </w:rPr>
        <w:t>volumes</w:t>
      </w:r>
      <w:r>
        <w:rPr>
          <w:rFonts w:ascii="Arial" w:hAnsi="Arial"/>
          <w:color w:val="1D1D1D"/>
          <w:spacing w:val="-15"/>
          <w:w w:val="105"/>
          <w:sz w:val="21"/>
        </w:rPr>
        <w:t xml:space="preserve"> </w:t>
      </w:r>
      <w:r>
        <w:rPr>
          <w:rFonts w:ascii="Arial" w:hAnsi="Arial"/>
          <w:color w:val="1D1D1D"/>
          <w:w w:val="105"/>
          <w:sz w:val="21"/>
        </w:rPr>
        <w:t>of subject</w:t>
      </w:r>
      <w:r>
        <w:rPr>
          <w:rFonts w:ascii="Arial" w:hAnsi="Arial"/>
          <w:color w:val="1D1D1D"/>
          <w:spacing w:val="-5"/>
          <w:w w:val="105"/>
          <w:sz w:val="21"/>
        </w:rPr>
        <w:t xml:space="preserve"> </w:t>
      </w:r>
      <w:r>
        <w:rPr>
          <w:rFonts w:ascii="Arial" w:hAnsi="Arial"/>
          <w:color w:val="0A0A0A"/>
          <w:w w:val="105"/>
          <w:sz w:val="21"/>
        </w:rPr>
        <w:t>imports</w:t>
      </w:r>
      <w:r>
        <w:rPr>
          <w:rFonts w:ascii="Arial" w:hAnsi="Arial"/>
          <w:color w:val="0A0A0A"/>
          <w:spacing w:val="-16"/>
          <w:w w:val="105"/>
          <w:sz w:val="21"/>
        </w:rPr>
        <w:t xml:space="preserve"> </w:t>
      </w:r>
      <w:r>
        <w:rPr>
          <w:rFonts w:ascii="Arial" w:hAnsi="Arial"/>
          <w:color w:val="1D1D1D"/>
          <w:w w:val="105"/>
          <w:sz w:val="21"/>
        </w:rPr>
        <w:t>were</w:t>
      </w:r>
      <w:r>
        <w:rPr>
          <w:rFonts w:ascii="Arial" w:hAnsi="Arial"/>
          <w:color w:val="1D1D1D"/>
          <w:spacing w:val="-15"/>
          <w:w w:val="105"/>
          <w:sz w:val="21"/>
        </w:rPr>
        <w:t xml:space="preserve"> </w:t>
      </w:r>
      <w:r>
        <w:rPr>
          <w:rFonts w:ascii="Arial" w:hAnsi="Arial"/>
          <w:color w:val="1D1D1D"/>
          <w:w w:val="105"/>
          <w:sz w:val="21"/>
        </w:rPr>
        <w:t>consistently</w:t>
      </w:r>
      <w:r>
        <w:rPr>
          <w:rFonts w:ascii="Arial" w:hAnsi="Arial"/>
          <w:color w:val="1D1D1D"/>
          <w:spacing w:val="-1"/>
          <w:w w:val="105"/>
          <w:sz w:val="21"/>
        </w:rPr>
        <w:t xml:space="preserve"> </w:t>
      </w:r>
      <w:r>
        <w:rPr>
          <w:rFonts w:ascii="Arial" w:hAnsi="Arial"/>
          <w:color w:val="0A0A0A"/>
          <w:w w:val="105"/>
          <w:sz w:val="21"/>
        </w:rPr>
        <w:t>lower</w:t>
      </w:r>
      <w:r>
        <w:rPr>
          <w:rFonts w:ascii="Arial" w:hAnsi="Arial"/>
          <w:color w:val="0A0A0A"/>
          <w:spacing w:val="-14"/>
          <w:w w:val="105"/>
          <w:sz w:val="21"/>
        </w:rPr>
        <w:t xml:space="preserve"> </w:t>
      </w:r>
      <w:r>
        <w:rPr>
          <w:rFonts w:ascii="Arial" w:hAnsi="Arial"/>
          <w:color w:val="0A0A0A"/>
          <w:w w:val="105"/>
          <w:sz w:val="21"/>
        </w:rPr>
        <w:t>than</w:t>
      </w:r>
      <w:r>
        <w:rPr>
          <w:rFonts w:ascii="Arial" w:hAnsi="Arial"/>
          <w:color w:val="0A0A0A"/>
          <w:spacing w:val="-16"/>
          <w:w w:val="105"/>
          <w:sz w:val="21"/>
        </w:rPr>
        <w:t xml:space="preserve"> </w:t>
      </w:r>
      <w:r>
        <w:rPr>
          <w:rFonts w:ascii="Arial" w:hAnsi="Arial"/>
          <w:color w:val="1D1D1D"/>
          <w:w w:val="105"/>
          <w:sz w:val="21"/>
        </w:rPr>
        <w:t xml:space="preserve">the sales volumes of domestic </w:t>
      </w:r>
      <w:r>
        <w:rPr>
          <w:rFonts w:ascii="Arial" w:hAnsi="Arial"/>
          <w:color w:val="0A0A0A"/>
          <w:w w:val="105"/>
          <w:sz w:val="21"/>
        </w:rPr>
        <w:t xml:space="preserve">like products </w:t>
      </w:r>
      <w:r>
        <w:rPr>
          <w:rFonts w:ascii="Arial" w:hAnsi="Arial"/>
          <w:color w:val="1D1D1D"/>
          <w:w w:val="105"/>
          <w:sz w:val="21"/>
        </w:rPr>
        <w:t xml:space="preserve">reported </w:t>
      </w:r>
      <w:r>
        <w:rPr>
          <w:rFonts w:ascii="Arial" w:hAnsi="Arial"/>
          <w:color w:val="0A0A0A"/>
          <w:w w:val="105"/>
          <w:sz w:val="21"/>
        </w:rPr>
        <w:t xml:space="preserve">by the </w:t>
      </w:r>
      <w:r>
        <w:rPr>
          <w:rFonts w:ascii="Arial" w:hAnsi="Arial"/>
          <w:color w:val="1D1D1D"/>
          <w:w w:val="105"/>
          <w:sz w:val="21"/>
        </w:rPr>
        <w:t xml:space="preserve">21 </w:t>
      </w:r>
      <w:r>
        <w:rPr>
          <w:rFonts w:ascii="Arial" w:hAnsi="Arial"/>
          <w:color w:val="0A0A0A"/>
          <w:w w:val="105"/>
          <w:sz w:val="21"/>
        </w:rPr>
        <w:t xml:space="preserve">domestic </w:t>
      </w:r>
      <w:r>
        <w:rPr>
          <w:rFonts w:ascii="Arial" w:hAnsi="Arial"/>
          <w:color w:val="1D1D1D"/>
          <w:w w:val="105"/>
          <w:sz w:val="21"/>
        </w:rPr>
        <w:t xml:space="preserve">producers that submitted questionnaire </w:t>
      </w:r>
      <w:r>
        <w:rPr>
          <w:rFonts w:ascii="Arial" w:hAnsi="Arial"/>
          <w:color w:val="0A0A0A"/>
          <w:w w:val="105"/>
          <w:sz w:val="21"/>
        </w:rPr>
        <w:t xml:space="preserve">responses </w:t>
      </w:r>
      <w:r>
        <w:rPr>
          <w:rFonts w:ascii="Arial" w:hAnsi="Arial"/>
          <w:color w:val="1D1D1D"/>
          <w:w w:val="105"/>
          <w:sz w:val="21"/>
        </w:rPr>
        <w:t>(representing only a portion</w:t>
      </w:r>
      <w:r>
        <w:rPr>
          <w:rFonts w:ascii="Arial" w:hAnsi="Arial"/>
          <w:color w:val="1D1D1D"/>
          <w:spacing w:val="-4"/>
          <w:w w:val="105"/>
          <w:sz w:val="21"/>
        </w:rPr>
        <w:t xml:space="preserve"> </w:t>
      </w:r>
      <w:r>
        <w:rPr>
          <w:rFonts w:ascii="Arial" w:hAnsi="Arial"/>
          <w:color w:val="1D1D1D"/>
          <w:w w:val="105"/>
          <w:sz w:val="21"/>
        </w:rPr>
        <w:t>of</w:t>
      </w:r>
      <w:r>
        <w:rPr>
          <w:rFonts w:ascii="Arial" w:hAnsi="Arial"/>
          <w:color w:val="1D1D1D"/>
          <w:spacing w:val="-5"/>
          <w:w w:val="105"/>
          <w:sz w:val="21"/>
        </w:rPr>
        <w:t xml:space="preserve"> </w:t>
      </w:r>
      <w:r>
        <w:rPr>
          <w:rFonts w:ascii="Arial" w:hAnsi="Arial"/>
          <w:color w:val="1D1D1D"/>
          <w:w w:val="105"/>
          <w:sz w:val="21"/>
        </w:rPr>
        <w:t>the</w:t>
      </w:r>
      <w:r>
        <w:rPr>
          <w:rFonts w:ascii="Arial" w:hAnsi="Arial"/>
          <w:color w:val="1D1D1D"/>
          <w:spacing w:val="-4"/>
          <w:w w:val="105"/>
          <w:sz w:val="21"/>
        </w:rPr>
        <w:t xml:space="preserve"> </w:t>
      </w:r>
      <w:r>
        <w:rPr>
          <w:rFonts w:ascii="Arial" w:hAnsi="Arial"/>
          <w:color w:val="1D1D1D"/>
          <w:w w:val="105"/>
          <w:sz w:val="21"/>
        </w:rPr>
        <w:t>sales</w:t>
      </w:r>
      <w:r>
        <w:rPr>
          <w:rFonts w:ascii="Arial" w:hAnsi="Arial"/>
          <w:color w:val="1D1D1D"/>
          <w:spacing w:val="-12"/>
          <w:w w:val="105"/>
          <w:sz w:val="21"/>
        </w:rPr>
        <w:t xml:space="preserve"> </w:t>
      </w:r>
      <w:r>
        <w:rPr>
          <w:rFonts w:ascii="Arial" w:hAnsi="Arial"/>
          <w:color w:val="1D1D1D"/>
          <w:w w:val="105"/>
          <w:sz w:val="21"/>
        </w:rPr>
        <w:t>volume of domestic like</w:t>
      </w:r>
      <w:r>
        <w:rPr>
          <w:rFonts w:ascii="Arial" w:hAnsi="Arial"/>
          <w:color w:val="1D1D1D"/>
          <w:spacing w:val="-11"/>
          <w:w w:val="105"/>
          <w:sz w:val="21"/>
        </w:rPr>
        <w:t xml:space="preserve"> </w:t>
      </w:r>
      <w:r>
        <w:rPr>
          <w:rFonts w:ascii="Arial" w:hAnsi="Arial"/>
          <w:color w:val="0A0A0A"/>
          <w:w w:val="105"/>
          <w:sz w:val="21"/>
        </w:rPr>
        <w:t>products)</w:t>
      </w:r>
      <w:r>
        <w:rPr>
          <w:rFonts w:ascii="Arial" w:hAnsi="Arial"/>
          <w:color w:val="343434"/>
          <w:w w:val="105"/>
          <w:sz w:val="21"/>
        </w:rPr>
        <w:t>.</w:t>
      </w:r>
      <w:r>
        <w:rPr>
          <w:rFonts w:ascii="Arial" w:hAnsi="Arial"/>
          <w:color w:val="343434"/>
          <w:w w:val="105"/>
          <w:position w:val="7"/>
          <w:sz w:val="14"/>
        </w:rPr>
        <w:t>786</w:t>
      </w:r>
      <w:r>
        <w:rPr>
          <w:rFonts w:ascii="Arial" w:hAnsi="Arial"/>
          <w:color w:val="343434"/>
          <w:spacing w:val="16"/>
          <w:w w:val="105"/>
          <w:position w:val="7"/>
          <w:sz w:val="14"/>
        </w:rPr>
        <w:t xml:space="preserve"> </w:t>
      </w:r>
      <w:r>
        <w:rPr>
          <w:rFonts w:ascii="Arial" w:hAnsi="Arial"/>
          <w:color w:val="1D1D1D"/>
          <w:w w:val="105"/>
          <w:sz w:val="21"/>
        </w:rPr>
        <w:t>As</w:t>
      </w:r>
      <w:r>
        <w:rPr>
          <w:rFonts w:ascii="Arial" w:hAnsi="Arial"/>
          <w:color w:val="1D1D1D"/>
          <w:spacing w:val="-9"/>
          <w:w w:val="105"/>
          <w:sz w:val="21"/>
        </w:rPr>
        <w:t xml:space="preserve"> </w:t>
      </w:r>
      <w:r>
        <w:rPr>
          <w:rFonts w:ascii="Arial" w:hAnsi="Arial"/>
          <w:color w:val="1D1D1D"/>
          <w:w w:val="105"/>
          <w:sz w:val="21"/>
        </w:rPr>
        <w:t>such,</w:t>
      </w:r>
      <w:r>
        <w:rPr>
          <w:rFonts w:ascii="Arial" w:hAnsi="Arial"/>
          <w:color w:val="1D1D1D"/>
          <w:spacing w:val="-16"/>
          <w:w w:val="105"/>
          <w:sz w:val="21"/>
        </w:rPr>
        <w:t xml:space="preserve"> </w:t>
      </w:r>
      <w:r>
        <w:rPr>
          <w:rFonts w:ascii="Arial" w:hAnsi="Arial"/>
          <w:color w:val="1D1D1D"/>
          <w:w w:val="105"/>
          <w:sz w:val="21"/>
        </w:rPr>
        <w:t>they</w:t>
      </w:r>
      <w:r>
        <w:rPr>
          <w:rFonts w:ascii="Arial" w:hAnsi="Arial"/>
          <w:color w:val="1D1D1D"/>
          <w:spacing w:val="-1"/>
          <w:w w:val="105"/>
          <w:sz w:val="21"/>
        </w:rPr>
        <w:t xml:space="preserve"> </w:t>
      </w:r>
      <w:r>
        <w:rPr>
          <w:rFonts w:ascii="Arial" w:hAnsi="Arial"/>
          <w:color w:val="1D1D1D"/>
          <w:w w:val="105"/>
          <w:sz w:val="21"/>
        </w:rPr>
        <w:t>were</w:t>
      </w:r>
    </w:p>
    <w:p w14:paraId="51DE918D" w14:textId="77777777" w:rsidR="0010369C" w:rsidRDefault="0010369C">
      <w:pPr>
        <w:pStyle w:val="BodyText"/>
        <w:rPr>
          <w:rFonts w:ascii="Arial"/>
          <w:sz w:val="20"/>
        </w:rPr>
      </w:pPr>
    </w:p>
    <w:p w14:paraId="51DE918E" w14:textId="77777777" w:rsidR="0010369C" w:rsidRDefault="008E43AE">
      <w:pPr>
        <w:pStyle w:val="BodyText"/>
        <w:spacing w:before="6"/>
        <w:rPr>
          <w:rFonts w:ascii="Arial"/>
          <w:sz w:val="28"/>
        </w:rPr>
      </w:pPr>
      <w:r>
        <w:pict w14:anchorId="51DEA571">
          <v:shape id="docshape1131" o:spid="_x0000_s1263" style="position:absolute;margin-left:70.25pt;margin-top:17.6pt;width:145.5pt;height:.1pt;z-index:-250795520;mso-wrap-distance-left:0;mso-wrap-distance-right:0;mso-position-horizontal-relative:page" coordorigin="1405,352" coordsize="2910,0" path="m1405,352r2909,e" filled="f" strokeweight=".53042mm">
            <v:path arrowok="t"/>
            <w10:wrap type="topAndBottom" anchorx="page"/>
          </v:shape>
        </w:pict>
      </w:r>
    </w:p>
    <w:p w14:paraId="51DE918F" w14:textId="77777777" w:rsidR="0010369C" w:rsidRDefault="008E43AE">
      <w:pPr>
        <w:spacing w:before="96" w:line="235" w:lineRule="auto"/>
        <w:ind w:left="234" w:right="611" w:firstLine="6"/>
        <w:rPr>
          <w:rFonts w:ascii="Arial"/>
          <w:sz w:val="16"/>
        </w:rPr>
      </w:pPr>
      <w:r>
        <w:rPr>
          <w:rFonts w:ascii="Times New Roman"/>
          <w:color w:val="343434"/>
          <w:w w:val="105"/>
          <w:position w:val="6"/>
          <w:sz w:val="12"/>
        </w:rPr>
        <w:t xml:space="preserve">783 </w:t>
      </w:r>
      <w:r>
        <w:rPr>
          <w:rFonts w:ascii="Arial"/>
          <w:color w:val="1D1D1D"/>
          <w:w w:val="105"/>
          <w:sz w:val="16"/>
        </w:rPr>
        <w:t>For</w:t>
      </w:r>
      <w:r>
        <w:rPr>
          <w:rFonts w:ascii="Arial"/>
          <w:color w:val="1D1D1D"/>
          <w:spacing w:val="-1"/>
          <w:w w:val="105"/>
          <w:sz w:val="16"/>
        </w:rPr>
        <w:t xml:space="preserve"> </w:t>
      </w:r>
      <w:r>
        <w:rPr>
          <w:rFonts w:ascii="Arial"/>
          <w:color w:val="1D1D1D"/>
          <w:w w:val="105"/>
          <w:sz w:val="16"/>
        </w:rPr>
        <w:t>example, the</w:t>
      </w:r>
      <w:r>
        <w:rPr>
          <w:rFonts w:ascii="Arial"/>
          <w:color w:val="1D1D1D"/>
          <w:spacing w:val="25"/>
          <w:w w:val="105"/>
          <w:sz w:val="16"/>
        </w:rPr>
        <w:t xml:space="preserve"> </w:t>
      </w:r>
      <w:r>
        <w:rPr>
          <w:rFonts w:ascii="Arial"/>
          <w:color w:val="1D1D1D"/>
          <w:w w:val="105"/>
          <w:sz w:val="16"/>
        </w:rPr>
        <w:t xml:space="preserve">average </w:t>
      </w:r>
      <w:r>
        <w:rPr>
          <w:rFonts w:ascii="Arial"/>
          <w:color w:val="343434"/>
          <w:w w:val="105"/>
          <w:sz w:val="16"/>
        </w:rPr>
        <w:t>unit</w:t>
      </w:r>
      <w:r>
        <w:rPr>
          <w:rFonts w:ascii="Arial"/>
          <w:color w:val="343434"/>
          <w:spacing w:val="-1"/>
          <w:w w:val="105"/>
          <w:sz w:val="16"/>
        </w:rPr>
        <w:t xml:space="preserve"> </w:t>
      </w:r>
      <w:r>
        <w:rPr>
          <w:rFonts w:ascii="Arial"/>
          <w:color w:val="1D1D1D"/>
          <w:w w:val="105"/>
          <w:sz w:val="16"/>
        </w:rPr>
        <w:t>price of</w:t>
      </w:r>
      <w:r>
        <w:rPr>
          <w:rFonts w:ascii="Arial"/>
          <w:color w:val="1D1D1D"/>
          <w:spacing w:val="28"/>
          <w:w w:val="105"/>
          <w:sz w:val="16"/>
        </w:rPr>
        <w:t xml:space="preserve"> </w:t>
      </w:r>
      <w:r>
        <w:rPr>
          <w:rFonts w:ascii="Arial"/>
          <w:color w:val="1D1D1D"/>
          <w:w w:val="105"/>
          <w:sz w:val="16"/>
        </w:rPr>
        <w:t>subject imports was 72.99%</w:t>
      </w:r>
      <w:r>
        <w:rPr>
          <w:rFonts w:ascii="Arial"/>
          <w:color w:val="1D1D1D"/>
          <w:spacing w:val="-5"/>
          <w:w w:val="105"/>
          <w:sz w:val="16"/>
        </w:rPr>
        <w:t xml:space="preserve"> </w:t>
      </w:r>
      <w:r>
        <w:rPr>
          <w:rFonts w:ascii="Arial"/>
          <w:color w:val="1D1D1D"/>
          <w:w w:val="105"/>
          <w:sz w:val="16"/>
        </w:rPr>
        <w:t>higher than the average unit</w:t>
      </w:r>
      <w:r>
        <w:rPr>
          <w:rFonts w:ascii="Arial"/>
          <w:color w:val="1D1D1D"/>
          <w:spacing w:val="-1"/>
          <w:w w:val="105"/>
          <w:sz w:val="16"/>
        </w:rPr>
        <w:t xml:space="preserve"> </w:t>
      </w:r>
      <w:r>
        <w:rPr>
          <w:rFonts w:ascii="Arial"/>
          <w:color w:val="1D1D1D"/>
          <w:w w:val="105"/>
          <w:sz w:val="16"/>
        </w:rPr>
        <w:t>price of domestic like products</w:t>
      </w:r>
      <w:r>
        <w:rPr>
          <w:rFonts w:ascii="Arial"/>
          <w:color w:val="1D1D1D"/>
          <w:spacing w:val="-11"/>
          <w:w w:val="105"/>
          <w:sz w:val="16"/>
        </w:rPr>
        <w:t xml:space="preserve"> </w:t>
      </w:r>
      <w:r>
        <w:rPr>
          <w:rFonts w:ascii="Arial"/>
          <w:color w:val="1D1D1D"/>
          <w:w w:val="105"/>
          <w:sz w:val="16"/>
        </w:rPr>
        <w:t>in 2015,</w:t>
      </w:r>
      <w:r>
        <w:rPr>
          <w:rFonts w:ascii="Arial"/>
          <w:color w:val="1D1D1D"/>
          <w:spacing w:val="-11"/>
          <w:w w:val="105"/>
          <w:sz w:val="16"/>
        </w:rPr>
        <w:t xml:space="preserve"> </w:t>
      </w:r>
      <w:r>
        <w:rPr>
          <w:rFonts w:ascii="Arial"/>
          <w:color w:val="1D1D1D"/>
          <w:w w:val="105"/>
          <w:sz w:val="16"/>
        </w:rPr>
        <w:t>which</w:t>
      </w:r>
      <w:r>
        <w:rPr>
          <w:rFonts w:ascii="Arial"/>
          <w:color w:val="1D1D1D"/>
          <w:spacing w:val="-21"/>
          <w:w w:val="105"/>
          <w:sz w:val="16"/>
        </w:rPr>
        <w:t xml:space="preserve"> </w:t>
      </w:r>
      <w:r>
        <w:rPr>
          <w:rFonts w:ascii="Arial"/>
          <w:color w:val="1D1D1D"/>
          <w:w w:val="105"/>
          <w:sz w:val="16"/>
        </w:rPr>
        <w:t>was</w:t>
      </w:r>
      <w:r>
        <w:rPr>
          <w:rFonts w:ascii="Arial"/>
          <w:color w:val="1D1D1D"/>
          <w:spacing w:val="-19"/>
          <w:w w:val="105"/>
          <w:sz w:val="16"/>
        </w:rPr>
        <w:t xml:space="preserve"> </w:t>
      </w:r>
      <w:r>
        <w:rPr>
          <w:rFonts w:ascii="Arial"/>
          <w:color w:val="1D1D1D"/>
          <w:w w:val="105"/>
          <w:sz w:val="16"/>
        </w:rPr>
        <w:t>the</w:t>
      </w:r>
      <w:r>
        <w:rPr>
          <w:rFonts w:ascii="Arial"/>
          <w:color w:val="1D1D1D"/>
          <w:spacing w:val="4"/>
          <w:w w:val="105"/>
          <w:sz w:val="16"/>
        </w:rPr>
        <w:t xml:space="preserve"> </w:t>
      </w:r>
      <w:r>
        <w:rPr>
          <w:rFonts w:ascii="Arial"/>
          <w:color w:val="1D1D1D"/>
          <w:w w:val="105"/>
          <w:sz w:val="16"/>
        </w:rPr>
        <w:t>largest</w:t>
      </w:r>
      <w:r>
        <w:rPr>
          <w:rFonts w:ascii="Arial"/>
          <w:color w:val="1D1D1D"/>
          <w:spacing w:val="-13"/>
          <w:w w:val="105"/>
          <w:sz w:val="16"/>
        </w:rPr>
        <w:t xml:space="preserve"> </w:t>
      </w:r>
      <w:r>
        <w:rPr>
          <w:rFonts w:ascii="Arial"/>
          <w:color w:val="1D1D1D"/>
          <w:w w:val="105"/>
          <w:sz w:val="16"/>
        </w:rPr>
        <w:t>difference</w:t>
      </w:r>
      <w:r>
        <w:rPr>
          <w:rFonts w:ascii="Arial"/>
          <w:color w:val="1D1D1D"/>
          <w:spacing w:val="-5"/>
          <w:w w:val="105"/>
          <w:sz w:val="16"/>
        </w:rPr>
        <w:t xml:space="preserve"> </w:t>
      </w:r>
      <w:r>
        <w:rPr>
          <w:rFonts w:ascii="Arial"/>
          <w:color w:val="1D1D1D"/>
          <w:w w:val="105"/>
          <w:sz w:val="16"/>
        </w:rPr>
        <w:t>during</w:t>
      </w:r>
      <w:r>
        <w:rPr>
          <w:rFonts w:ascii="Arial"/>
          <w:color w:val="1D1D1D"/>
          <w:spacing w:val="-21"/>
          <w:w w:val="105"/>
          <w:sz w:val="16"/>
        </w:rPr>
        <w:t xml:space="preserve"> </w:t>
      </w:r>
      <w:r>
        <w:rPr>
          <w:rFonts w:ascii="Arial"/>
          <w:color w:val="1D1D1D"/>
          <w:w w:val="105"/>
          <w:sz w:val="16"/>
        </w:rPr>
        <w:t>the Injury</w:t>
      </w:r>
      <w:r>
        <w:rPr>
          <w:rFonts w:ascii="Arial"/>
          <w:color w:val="1D1D1D"/>
          <w:spacing w:val="-11"/>
          <w:w w:val="105"/>
          <w:sz w:val="16"/>
        </w:rPr>
        <w:t xml:space="preserve"> </w:t>
      </w:r>
      <w:r>
        <w:rPr>
          <w:rFonts w:ascii="Arial"/>
          <w:color w:val="1D1D1D"/>
          <w:w w:val="105"/>
          <w:sz w:val="16"/>
        </w:rPr>
        <w:t>POI,</w:t>
      </w:r>
      <w:r>
        <w:rPr>
          <w:rFonts w:ascii="Arial"/>
          <w:color w:val="1D1D1D"/>
          <w:spacing w:val="-18"/>
          <w:w w:val="105"/>
          <w:sz w:val="16"/>
        </w:rPr>
        <w:t xml:space="preserve"> </w:t>
      </w:r>
      <w:r>
        <w:rPr>
          <w:rFonts w:ascii="Arial"/>
          <w:color w:val="1D1D1D"/>
          <w:w w:val="105"/>
          <w:sz w:val="16"/>
        </w:rPr>
        <w:t>and16.28%</w:t>
      </w:r>
      <w:r>
        <w:rPr>
          <w:rFonts w:ascii="Arial"/>
          <w:color w:val="1D1D1D"/>
          <w:spacing w:val="-17"/>
          <w:w w:val="105"/>
          <w:sz w:val="16"/>
        </w:rPr>
        <w:t xml:space="preserve"> </w:t>
      </w:r>
      <w:r>
        <w:rPr>
          <w:rFonts w:ascii="Arial"/>
          <w:color w:val="1D1D1D"/>
          <w:w w:val="105"/>
          <w:sz w:val="16"/>
        </w:rPr>
        <w:t>higher</w:t>
      </w:r>
      <w:r>
        <w:rPr>
          <w:rFonts w:ascii="Arial"/>
          <w:color w:val="1D1D1D"/>
          <w:spacing w:val="-5"/>
          <w:w w:val="105"/>
          <w:sz w:val="16"/>
        </w:rPr>
        <w:t xml:space="preserve"> </w:t>
      </w:r>
      <w:r>
        <w:rPr>
          <w:rFonts w:ascii="Arial"/>
          <w:color w:val="343434"/>
          <w:w w:val="105"/>
          <w:sz w:val="16"/>
        </w:rPr>
        <w:t>in</w:t>
      </w:r>
      <w:r>
        <w:rPr>
          <w:rFonts w:ascii="Arial"/>
          <w:color w:val="343434"/>
          <w:spacing w:val="1"/>
          <w:w w:val="105"/>
          <w:sz w:val="16"/>
        </w:rPr>
        <w:t xml:space="preserve"> </w:t>
      </w:r>
      <w:r>
        <w:rPr>
          <w:rFonts w:ascii="Arial"/>
          <w:color w:val="1D1D1D"/>
          <w:w w:val="105"/>
          <w:sz w:val="16"/>
        </w:rPr>
        <w:t>2018,</w:t>
      </w:r>
      <w:r>
        <w:rPr>
          <w:rFonts w:ascii="Arial"/>
          <w:color w:val="1D1D1D"/>
          <w:spacing w:val="-10"/>
          <w:w w:val="105"/>
          <w:sz w:val="16"/>
        </w:rPr>
        <w:t xml:space="preserve"> </w:t>
      </w:r>
      <w:r>
        <w:rPr>
          <w:rFonts w:ascii="Arial"/>
          <w:color w:val="1D1D1D"/>
          <w:w w:val="105"/>
          <w:sz w:val="16"/>
        </w:rPr>
        <w:t>which</w:t>
      </w:r>
      <w:r>
        <w:rPr>
          <w:rFonts w:ascii="Arial"/>
          <w:color w:val="1D1D1D"/>
          <w:spacing w:val="-21"/>
          <w:w w:val="105"/>
          <w:sz w:val="16"/>
        </w:rPr>
        <w:t xml:space="preserve"> </w:t>
      </w:r>
      <w:r>
        <w:rPr>
          <w:rFonts w:ascii="Arial"/>
          <w:color w:val="1D1D1D"/>
          <w:w w:val="105"/>
          <w:sz w:val="16"/>
        </w:rPr>
        <w:t>was</w:t>
      </w:r>
      <w:r>
        <w:rPr>
          <w:rFonts w:ascii="Arial"/>
          <w:color w:val="1D1D1D"/>
          <w:spacing w:val="-19"/>
          <w:w w:val="105"/>
          <w:sz w:val="16"/>
        </w:rPr>
        <w:t xml:space="preserve"> </w:t>
      </w:r>
      <w:r>
        <w:rPr>
          <w:rFonts w:ascii="Arial"/>
          <w:color w:val="1D1D1D"/>
          <w:w w:val="105"/>
          <w:sz w:val="16"/>
        </w:rPr>
        <w:t>the</w:t>
      </w:r>
      <w:r>
        <w:rPr>
          <w:rFonts w:ascii="Arial"/>
          <w:color w:val="1D1D1D"/>
          <w:spacing w:val="-2"/>
          <w:w w:val="105"/>
          <w:sz w:val="16"/>
        </w:rPr>
        <w:t xml:space="preserve"> </w:t>
      </w:r>
      <w:r>
        <w:rPr>
          <w:rFonts w:ascii="Arial"/>
          <w:color w:val="343434"/>
          <w:spacing w:val="-2"/>
          <w:w w:val="105"/>
          <w:sz w:val="16"/>
        </w:rPr>
        <w:t>smallest</w:t>
      </w:r>
    </w:p>
    <w:p w14:paraId="51DE9190" w14:textId="77777777" w:rsidR="0010369C" w:rsidRDefault="008E43AE">
      <w:pPr>
        <w:spacing w:before="48"/>
        <w:ind w:left="239"/>
        <w:rPr>
          <w:rFonts w:ascii="Arial"/>
          <w:sz w:val="16"/>
        </w:rPr>
      </w:pPr>
      <w:r>
        <w:rPr>
          <w:rFonts w:ascii="Arial"/>
          <w:color w:val="1D1D1D"/>
          <w:w w:val="105"/>
          <w:sz w:val="16"/>
        </w:rPr>
        <w:t>difference</w:t>
      </w:r>
      <w:r>
        <w:rPr>
          <w:rFonts w:ascii="Arial"/>
          <w:color w:val="1D1D1D"/>
          <w:spacing w:val="-5"/>
          <w:w w:val="105"/>
          <w:sz w:val="16"/>
        </w:rPr>
        <w:t xml:space="preserve"> </w:t>
      </w:r>
      <w:r>
        <w:rPr>
          <w:rFonts w:ascii="Arial"/>
          <w:color w:val="1D1D1D"/>
          <w:w w:val="105"/>
          <w:sz w:val="16"/>
        </w:rPr>
        <w:t>during</w:t>
      </w:r>
      <w:r>
        <w:rPr>
          <w:rFonts w:ascii="Arial"/>
          <w:color w:val="1D1D1D"/>
          <w:spacing w:val="-21"/>
          <w:w w:val="105"/>
          <w:sz w:val="16"/>
        </w:rPr>
        <w:t xml:space="preserve"> </w:t>
      </w:r>
      <w:r>
        <w:rPr>
          <w:rFonts w:ascii="Arial"/>
          <w:color w:val="1D1D1D"/>
          <w:w w:val="105"/>
          <w:sz w:val="16"/>
        </w:rPr>
        <w:t>the</w:t>
      </w:r>
      <w:r>
        <w:rPr>
          <w:rFonts w:ascii="Arial"/>
          <w:color w:val="1D1D1D"/>
          <w:spacing w:val="5"/>
          <w:w w:val="105"/>
          <w:sz w:val="16"/>
        </w:rPr>
        <w:t xml:space="preserve"> </w:t>
      </w:r>
      <w:r>
        <w:rPr>
          <w:rFonts w:ascii="Arial"/>
          <w:color w:val="1D1D1D"/>
          <w:w w:val="105"/>
          <w:sz w:val="16"/>
        </w:rPr>
        <w:t>Injury</w:t>
      </w:r>
      <w:r>
        <w:rPr>
          <w:rFonts w:ascii="Arial"/>
          <w:color w:val="1D1D1D"/>
          <w:spacing w:val="-10"/>
          <w:w w:val="105"/>
          <w:sz w:val="16"/>
        </w:rPr>
        <w:t xml:space="preserve"> </w:t>
      </w:r>
      <w:r>
        <w:rPr>
          <w:rFonts w:ascii="Arial"/>
          <w:color w:val="1D1D1D"/>
          <w:w w:val="105"/>
          <w:sz w:val="16"/>
        </w:rPr>
        <w:t>POI.</w:t>
      </w:r>
      <w:r>
        <w:rPr>
          <w:rFonts w:ascii="Arial"/>
          <w:color w:val="1D1D1D"/>
          <w:spacing w:val="-14"/>
          <w:w w:val="105"/>
          <w:sz w:val="16"/>
        </w:rPr>
        <w:t xml:space="preserve"> </w:t>
      </w:r>
      <w:r>
        <w:rPr>
          <w:rFonts w:ascii="Arial"/>
          <w:color w:val="1D1D1D"/>
          <w:w w:val="105"/>
          <w:sz w:val="16"/>
        </w:rPr>
        <w:t>For</w:t>
      </w:r>
      <w:r>
        <w:rPr>
          <w:rFonts w:ascii="Arial"/>
          <w:color w:val="1D1D1D"/>
          <w:spacing w:val="-13"/>
          <w:w w:val="105"/>
          <w:sz w:val="16"/>
        </w:rPr>
        <w:t xml:space="preserve"> </w:t>
      </w:r>
      <w:r>
        <w:rPr>
          <w:rFonts w:ascii="Arial"/>
          <w:color w:val="1D1D1D"/>
          <w:w w:val="105"/>
          <w:sz w:val="16"/>
        </w:rPr>
        <w:t>a</w:t>
      </w:r>
      <w:r>
        <w:rPr>
          <w:rFonts w:ascii="Arial"/>
          <w:color w:val="1D1D1D"/>
          <w:spacing w:val="-10"/>
          <w:w w:val="105"/>
          <w:sz w:val="16"/>
        </w:rPr>
        <w:t xml:space="preserve"> </w:t>
      </w:r>
      <w:r>
        <w:rPr>
          <w:rFonts w:ascii="Arial"/>
          <w:color w:val="1D1D1D"/>
          <w:w w:val="105"/>
          <w:sz w:val="16"/>
        </w:rPr>
        <w:t>price</w:t>
      </w:r>
      <w:r>
        <w:rPr>
          <w:rFonts w:ascii="Arial"/>
          <w:color w:val="1D1D1D"/>
          <w:spacing w:val="-11"/>
          <w:w w:val="105"/>
          <w:sz w:val="16"/>
        </w:rPr>
        <w:t xml:space="preserve"> </w:t>
      </w:r>
      <w:r>
        <w:rPr>
          <w:rFonts w:ascii="Arial"/>
          <w:color w:val="1D1D1D"/>
          <w:w w:val="105"/>
          <w:sz w:val="16"/>
        </w:rPr>
        <w:t>comparison</w:t>
      </w:r>
      <w:r>
        <w:rPr>
          <w:rFonts w:ascii="Arial"/>
          <w:color w:val="1D1D1D"/>
          <w:spacing w:val="-1"/>
          <w:w w:val="105"/>
          <w:sz w:val="16"/>
        </w:rPr>
        <w:t xml:space="preserve"> </w:t>
      </w:r>
      <w:r>
        <w:rPr>
          <w:rFonts w:ascii="Arial"/>
          <w:color w:val="1D1D1D"/>
          <w:w w:val="105"/>
          <w:sz w:val="16"/>
        </w:rPr>
        <w:t>of</w:t>
      </w:r>
      <w:r>
        <w:rPr>
          <w:rFonts w:ascii="Arial"/>
          <w:color w:val="1D1D1D"/>
          <w:spacing w:val="10"/>
          <w:w w:val="105"/>
          <w:sz w:val="16"/>
        </w:rPr>
        <w:t xml:space="preserve"> </w:t>
      </w:r>
      <w:r>
        <w:rPr>
          <w:rFonts w:ascii="Arial"/>
          <w:color w:val="1D1D1D"/>
          <w:w w:val="105"/>
          <w:sz w:val="16"/>
        </w:rPr>
        <w:t>subject</w:t>
      </w:r>
      <w:r>
        <w:rPr>
          <w:rFonts w:ascii="Arial"/>
          <w:color w:val="1D1D1D"/>
          <w:spacing w:val="-18"/>
          <w:w w:val="105"/>
          <w:sz w:val="16"/>
        </w:rPr>
        <w:t xml:space="preserve"> </w:t>
      </w:r>
      <w:r>
        <w:rPr>
          <w:rFonts w:ascii="Arial"/>
          <w:color w:val="1D1D1D"/>
          <w:w w:val="105"/>
          <w:sz w:val="16"/>
        </w:rPr>
        <w:t>imports</w:t>
      </w:r>
      <w:r>
        <w:rPr>
          <w:rFonts w:ascii="Arial"/>
          <w:color w:val="1D1D1D"/>
          <w:spacing w:val="-16"/>
          <w:w w:val="105"/>
          <w:sz w:val="16"/>
        </w:rPr>
        <w:t xml:space="preserve"> </w:t>
      </w:r>
      <w:r>
        <w:rPr>
          <w:rFonts w:ascii="Arial"/>
          <w:color w:val="1D1D1D"/>
          <w:w w:val="105"/>
          <w:sz w:val="16"/>
        </w:rPr>
        <w:t>and</w:t>
      </w:r>
      <w:r>
        <w:rPr>
          <w:rFonts w:ascii="Arial"/>
          <w:color w:val="1D1D1D"/>
          <w:spacing w:val="-17"/>
          <w:w w:val="105"/>
          <w:sz w:val="16"/>
        </w:rPr>
        <w:t xml:space="preserve"> </w:t>
      </w:r>
      <w:r>
        <w:rPr>
          <w:rFonts w:ascii="Arial"/>
          <w:color w:val="1D1D1D"/>
          <w:w w:val="105"/>
          <w:sz w:val="16"/>
          <w:u w:val="thick" w:color="1D1D1D"/>
        </w:rPr>
        <w:t>domestic</w:t>
      </w:r>
      <w:r>
        <w:rPr>
          <w:rFonts w:ascii="Arial"/>
          <w:color w:val="1D1D1D"/>
          <w:spacing w:val="-2"/>
          <w:w w:val="105"/>
          <w:sz w:val="16"/>
          <w:u w:val="thick" w:color="1D1D1D"/>
        </w:rPr>
        <w:t xml:space="preserve"> </w:t>
      </w:r>
      <w:r>
        <w:rPr>
          <w:rFonts w:ascii="Arial"/>
          <w:color w:val="343434"/>
          <w:w w:val="105"/>
          <w:sz w:val="16"/>
          <w:u w:val="thick" w:color="1D1D1D"/>
        </w:rPr>
        <w:t>like</w:t>
      </w:r>
      <w:r>
        <w:rPr>
          <w:rFonts w:ascii="Arial"/>
          <w:color w:val="343434"/>
          <w:spacing w:val="-16"/>
          <w:w w:val="105"/>
          <w:sz w:val="16"/>
          <w:u w:val="thick" w:color="1D1D1D"/>
        </w:rPr>
        <w:t xml:space="preserve"> </w:t>
      </w:r>
      <w:r>
        <w:rPr>
          <w:rFonts w:ascii="Arial"/>
          <w:color w:val="1D1D1D"/>
          <w:w w:val="105"/>
          <w:sz w:val="16"/>
          <w:u w:val="thick" w:color="1D1D1D"/>
        </w:rPr>
        <w:t>product</w:t>
      </w:r>
      <w:r>
        <w:rPr>
          <w:rFonts w:ascii="Arial"/>
          <w:color w:val="1D1D1D"/>
          <w:spacing w:val="6"/>
          <w:w w:val="105"/>
          <w:sz w:val="16"/>
          <w:u w:val="thick" w:color="1D1D1D"/>
        </w:rPr>
        <w:t xml:space="preserve"> </w:t>
      </w:r>
      <w:r>
        <w:rPr>
          <w:rFonts w:ascii="Arial"/>
          <w:color w:val="1D1D1D"/>
          <w:w w:val="105"/>
          <w:sz w:val="16"/>
          <w:u w:val="thick" w:color="1D1D1D"/>
        </w:rPr>
        <w:t>during</w:t>
      </w:r>
      <w:r>
        <w:rPr>
          <w:rFonts w:ascii="Arial"/>
          <w:color w:val="1D1D1D"/>
          <w:spacing w:val="-24"/>
          <w:w w:val="105"/>
          <w:sz w:val="16"/>
        </w:rPr>
        <w:t xml:space="preserve"> </w:t>
      </w:r>
      <w:r>
        <w:rPr>
          <w:rFonts w:ascii="Arial"/>
          <w:color w:val="1D1D1D"/>
          <w:w w:val="105"/>
          <w:sz w:val="16"/>
        </w:rPr>
        <w:t>Injury</w:t>
      </w:r>
      <w:r>
        <w:rPr>
          <w:rFonts w:ascii="Arial"/>
          <w:color w:val="1D1D1D"/>
          <w:spacing w:val="-11"/>
          <w:w w:val="105"/>
          <w:sz w:val="16"/>
        </w:rPr>
        <w:t xml:space="preserve"> </w:t>
      </w:r>
      <w:r>
        <w:rPr>
          <w:rFonts w:ascii="Arial"/>
          <w:color w:val="1D1D1D"/>
          <w:w w:val="105"/>
          <w:sz w:val="16"/>
        </w:rPr>
        <w:t>POI,</w:t>
      </w:r>
      <w:r>
        <w:rPr>
          <w:rFonts w:ascii="Arial"/>
          <w:color w:val="1D1D1D"/>
          <w:spacing w:val="-16"/>
          <w:w w:val="105"/>
          <w:sz w:val="16"/>
        </w:rPr>
        <w:t xml:space="preserve"> </w:t>
      </w:r>
      <w:r>
        <w:rPr>
          <w:rFonts w:ascii="Arial"/>
          <w:color w:val="1D1D1D"/>
          <w:spacing w:val="-5"/>
          <w:w w:val="105"/>
          <w:sz w:val="16"/>
        </w:rPr>
        <w:t>see</w:t>
      </w:r>
    </w:p>
    <w:p w14:paraId="51DE9191" w14:textId="77777777" w:rsidR="0010369C" w:rsidRDefault="008E43AE">
      <w:pPr>
        <w:tabs>
          <w:tab w:val="left" w:pos="6538"/>
        </w:tabs>
        <w:spacing w:before="28"/>
        <w:ind w:left="229"/>
        <w:jc w:val="both"/>
        <w:rPr>
          <w:rFonts w:ascii="Times New Roman"/>
          <w:b/>
          <w:sz w:val="18"/>
        </w:rPr>
      </w:pPr>
      <w:r>
        <w:pict w14:anchorId="51DEA572">
          <v:shape id="docshape1132" o:spid="_x0000_s1262" type="#_x0000_t202" style="position:absolute;left:0;text-align:left;margin-left:67pt;margin-top:3.6pt;width:75.8pt;height:80.65pt;z-index:-251289088;mso-position-horizontal-relative:page" filled="f" stroked="f">
            <v:textbox inset="0,0,0,0">
              <w:txbxContent>
                <w:p w14:paraId="51DEAC8C" w14:textId="77777777" w:rsidR="0010369C" w:rsidRDefault="008E43AE">
                  <w:pPr>
                    <w:spacing w:line="1612" w:lineRule="exact"/>
                    <w:rPr>
                      <w:rFonts w:ascii="Arial"/>
                      <w:sz w:val="144"/>
                    </w:rPr>
                  </w:pPr>
                  <w:r>
                    <w:rPr>
                      <w:rFonts w:ascii="Arial"/>
                      <w:color w:val="0A0A0A"/>
                      <w:w w:val="110"/>
                      <w:sz w:val="144"/>
                    </w:rPr>
                    <w:t>-</w:t>
                  </w:r>
                  <w:r>
                    <w:rPr>
                      <w:rFonts w:ascii="Arial"/>
                      <w:color w:val="343434"/>
                      <w:spacing w:val="-5"/>
                      <w:w w:val="110"/>
                      <w:sz w:val="144"/>
                    </w:rPr>
                    <w:t>])</w:t>
                  </w:r>
                </w:p>
              </w:txbxContent>
            </v:textbox>
            <w10:wrap anchorx="page"/>
          </v:shape>
        </w:pict>
      </w:r>
      <w:r>
        <w:rPr>
          <w:rFonts w:ascii="Times New Roman"/>
          <w:color w:val="1D1D1D"/>
          <w:spacing w:val="-10"/>
          <w:w w:val="105"/>
          <w:sz w:val="18"/>
        </w:rPr>
        <w:t>[</w:t>
      </w:r>
      <w:r>
        <w:rPr>
          <w:rFonts w:ascii="Times New Roman"/>
          <w:color w:val="1D1D1D"/>
          <w:sz w:val="18"/>
        </w:rPr>
        <w:tab/>
      </w:r>
      <w:r>
        <w:rPr>
          <w:rFonts w:ascii="Times New Roman"/>
          <w:b/>
          <w:color w:val="1D1D1D"/>
          <w:w w:val="105"/>
          <w:sz w:val="18"/>
        </w:rPr>
        <w:t>(Exhibit</w:t>
      </w:r>
      <w:r>
        <w:rPr>
          <w:rFonts w:ascii="Times New Roman"/>
          <w:b/>
          <w:color w:val="1D1D1D"/>
          <w:spacing w:val="-11"/>
          <w:w w:val="105"/>
          <w:sz w:val="18"/>
        </w:rPr>
        <w:t xml:space="preserve"> </w:t>
      </w:r>
      <w:r>
        <w:rPr>
          <w:rFonts w:ascii="Times New Roman"/>
          <w:b/>
          <w:color w:val="1D1D1D"/>
          <w:w w:val="105"/>
          <w:sz w:val="18"/>
        </w:rPr>
        <w:t>AUS=65</w:t>
      </w:r>
      <w:r>
        <w:rPr>
          <w:rFonts w:ascii="Times New Roman"/>
          <w:b/>
          <w:color w:val="1D1D1D"/>
          <w:spacing w:val="-11"/>
          <w:w w:val="105"/>
          <w:sz w:val="18"/>
        </w:rPr>
        <w:t xml:space="preserve"> </w:t>
      </w:r>
      <w:r>
        <w:rPr>
          <w:rFonts w:ascii="Times New Roman"/>
          <w:b/>
          <w:color w:val="343434"/>
          <w:w w:val="115"/>
          <w:sz w:val="18"/>
        </w:rPr>
        <w:t>(BCl)f.</w:t>
      </w:r>
      <w:r>
        <w:rPr>
          <w:rFonts w:ascii="Times New Roman"/>
          <w:b/>
          <w:color w:val="0A0A0A"/>
          <w:w w:val="115"/>
          <w:sz w:val="18"/>
        </w:rPr>
        <w:t>-</w:t>
      </w:r>
      <w:r>
        <w:rPr>
          <w:rFonts w:ascii="Times New Roman"/>
          <w:b/>
          <w:color w:val="343434"/>
          <w:spacing w:val="-5"/>
          <w:w w:val="115"/>
          <w:sz w:val="18"/>
        </w:rPr>
        <w:t>.]]</w:t>
      </w:r>
    </w:p>
    <w:p w14:paraId="51DE9192" w14:textId="77777777" w:rsidR="0010369C" w:rsidRDefault="008E43AE">
      <w:pPr>
        <w:spacing w:before="60"/>
        <w:ind w:left="240"/>
        <w:rPr>
          <w:rFonts w:ascii="Arial"/>
          <w:sz w:val="16"/>
        </w:rPr>
      </w:pPr>
      <w:r>
        <w:rPr>
          <w:rFonts w:ascii="Times New Roman"/>
          <w:color w:val="343434"/>
          <w:position w:val="6"/>
          <w:sz w:val="12"/>
        </w:rPr>
        <w:t>784</w:t>
      </w:r>
      <w:r>
        <w:rPr>
          <w:rFonts w:ascii="Times New Roman"/>
          <w:color w:val="343434"/>
          <w:spacing w:val="4"/>
          <w:position w:val="6"/>
          <w:sz w:val="12"/>
        </w:rPr>
        <w:t xml:space="preserve"> </w:t>
      </w:r>
      <w:r>
        <w:rPr>
          <w:rFonts w:ascii="Arial"/>
          <w:color w:val="1D1D1D"/>
          <w:sz w:val="16"/>
        </w:rPr>
        <w:t>For</w:t>
      </w:r>
      <w:r>
        <w:rPr>
          <w:rFonts w:ascii="Arial"/>
          <w:color w:val="1D1D1D"/>
          <w:spacing w:val="-2"/>
          <w:sz w:val="16"/>
        </w:rPr>
        <w:t xml:space="preserve"> </w:t>
      </w:r>
      <w:r>
        <w:rPr>
          <w:rFonts w:ascii="Arial"/>
          <w:color w:val="1D1D1D"/>
          <w:sz w:val="16"/>
        </w:rPr>
        <w:t>a</w:t>
      </w:r>
      <w:r>
        <w:rPr>
          <w:rFonts w:ascii="Arial"/>
          <w:color w:val="1D1D1D"/>
          <w:spacing w:val="9"/>
          <w:sz w:val="16"/>
        </w:rPr>
        <w:t xml:space="preserve"> </w:t>
      </w:r>
      <w:r>
        <w:rPr>
          <w:rFonts w:ascii="Arial"/>
          <w:color w:val="1D1D1D"/>
          <w:sz w:val="16"/>
        </w:rPr>
        <w:t>discussion</w:t>
      </w:r>
      <w:r>
        <w:rPr>
          <w:rFonts w:ascii="Arial"/>
          <w:color w:val="1D1D1D"/>
          <w:spacing w:val="5"/>
          <w:sz w:val="16"/>
        </w:rPr>
        <w:t xml:space="preserve"> </w:t>
      </w:r>
      <w:r>
        <w:rPr>
          <w:rFonts w:ascii="Arial"/>
          <w:color w:val="1D1D1D"/>
          <w:sz w:val="16"/>
        </w:rPr>
        <w:t>of</w:t>
      </w:r>
      <w:r>
        <w:rPr>
          <w:rFonts w:ascii="Arial"/>
          <w:color w:val="1D1D1D"/>
          <w:spacing w:val="36"/>
          <w:sz w:val="16"/>
        </w:rPr>
        <w:t xml:space="preserve"> </w:t>
      </w:r>
      <w:r>
        <w:rPr>
          <w:rFonts w:ascii="Arial"/>
          <w:color w:val="1D1D1D"/>
          <w:sz w:val="16"/>
        </w:rPr>
        <w:t>the</w:t>
      </w:r>
      <w:r>
        <w:rPr>
          <w:rFonts w:ascii="Arial"/>
          <w:color w:val="1D1D1D"/>
          <w:spacing w:val="42"/>
          <w:sz w:val="16"/>
        </w:rPr>
        <w:t xml:space="preserve"> </w:t>
      </w:r>
      <w:r>
        <w:rPr>
          <w:rFonts w:ascii="Arial"/>
          <w:color w:val="1D1D1D"/>
          <w:sz w:val="16"/>
        </w:rPr>
        <w:t>evidence</w:t>
      </w:r>
      <w:r>
        <w:rPr>
          <w:rFonts w:ascii="Arial"/>
          <w:color w:val="1D1D1D"/>
          <w:spacing w:val="1"/>
          <w:sz w:val="16"/>
        </w:rPr>
        <w:t xml:space="preserve"> </w:t>
      </w:r>
      <w:r>
        <w:rPr>
          <w:rFonts w:ascii="Arial"/>
          <w:color w:val="1D1D1D"/>
          <w:sz w:val="16"/>
        </w:rPr>
        <w:t>relating</w:t>
      </w:r>
      <w:r>
        <w:rPr>
          <w:rFonts w:ascii="Arial"/>
          <w:color w:val="1D1D1D"/>
          <w:spacing w:val="-9"/>
          <w:sz w:val="16"/>
        </w:rPr>
        <w:t xml:space="preserve"> </w:t>
      </w:r>
      <w:r>
        <w:rPr>
          <w:rFonts w:ascii="Arial"/>
          <w:color w:val="1D1D1D"/>
          <w:sz w:val="16"/>
        </w:rPr>
        <w:t>to</w:t>
      </w:r>
      <w:r>
        <w:rPr>
          <w:rFonts w:ascii="Arial"/>
          <w:color w:val="1D1D1D"/>
          <w:spacing w:val="16"/>
          <w:sz w:val="16"/>
        </w:rPr>
        <w:t xml:space="preserve"> </w:t>
      </w:r>
      <w:r>
        <w:rPr>
          <w:rFonts w:ascii="Arial"/>
          <w:color w:val="1D1D1D"/>
          <w:sz w:val="16"/>
        </w:rPr>
        <w:t>non-subject</w:t>
      </w:r>
      <w:r>
        <w:rPr>
          <w:rFonts w:ascii="Arial"/>
          <w:color w:val="1D1D1D"/>
          <w:spacing w:val="13"/>
          <w:sz w:val="16"/>
        </w:rPr>
        <w:t xml:space="preserve"> </w:t>
      </w:r>
      <w:r>
        <w:rPr>
          <w:rFonts w:ascii="Arial"/>
          <w:color w:val="1D1D1D"/>
          <w:sz w:val="16"/>
        </w:rPr>
        <w:t>imports,</w:t>
      </w:r>
      <w:r>
        <w:rPr>
          <w:rFonts w:ascii="Arial"/>
          <w:color w:val="1D1D1D"/>
          <w:spacing w:val="-4"/>
          <w:sz w:val="16"/>
        </w:rPr>
        <w:t xml:space="preserve"> </w:t>
      </w:r>
      <w:r>
        <w:rPr>
          <w:rFonts w:ascii="Arial"/>
          <w:color w:val="343434"/>
          <w:sz w:val="16"/>
        </w:rPr>
        <w:t>see</w:t>
      </w:r>
      <w:r>
        <w:rPr>
          <w:rFonts w:ascii="Arial"/>
          <w:color w:val="343434"/>
          <w:spacing w:val="-14"/>
          <w:sz w:val="16"/>
        </w:rPr>
        <w:t xml:space="preserve"> </w:t>
      </w:r>
      <w:r>
        <w:rPr>
          <w:rFonts w:ascii="Arial"/>
          <w:color w:val="343434"/>
          <w:sz w:val="16"/>
        </w:rPr>
        <w:t>section</w:t>
      </w:r>
      <w:r>
        <w:rPr>
          <w:rFonts w:ascii="Arial"/>
          <w:color w:val="343434"/>
          <w:spacing w:val="-14"/>
          <w:sz w:val="16"/>
        </w:rPr>
        <w:t xml:space="preserve"> </w:t>
      </w:r>
      <w:r>
        <w:rPr>
          <w:rFonts w:ascii="Arial"/>
          <w:color w:val="1D1D1D"/>
          <w:sz w:val="16"/>
        </w:rPr>
        <w:t>IV.E.S(b)</w:t>
      </w:r>
      <w:r>
        <w:rPr>
          <w:rFonts w:ascii="Arial"/>
          <w:color w:val="1D1D1D"/>
          <w:spacing w:val="5"/>
          <w:sz w:val="16"/>
        </w:rPr>
        <w:t xml:space="preserve"> </w:t>
      </w:r>
      <w:r>
        <w:rPr>
          <w:rFonts w:ascii="Arial"/>
          <w:color w:val="1D1D1D"/>
          <w:spacing w:val="-2"/>
          <w:sz w:val="16"/>
        </w:rPr>
        <w:t>below.</w:t>
      </w:r>
    </w:p>
    <w:p w14:paraId="51DE9193" w14:textId="77777777" w:rsidR="0010369C" w:rsidRDefault="008E43AE">
      <w:pPr>
        <w:spacing w:before="24"/>
        <w:ind w:left="239"/>
        <w:rPr>
          <w:rFonts w:ascii="Arial"/>
          <w:sz w:val="16"/>
        </w:rPr>
      </w:pPr>
      <w:r>
        <w:rPr>
          <w:rFonts w:ascii="Arial"/>
          <w:color w:val="343434"/>
          <w:position w:val="6"/>
          <w:sz w:val="12"/>
        </w:rPr>
        <w:t>785</w:t>
      </w:r>
      <w:r>
        <w:rPr>
          <w:rFonts w:ascii="Arial"/>
          <w:color w:val="343434"/>
          <w:spacing w:val="-6"/>
          <w:position w:val="6"/>
          <w:sz w:val="12"/>
        </w:rPr>
        <w:t xml:space="preserve"> </w:t>
      </w:r>
      <w:r>
        <w:rPr>
          <w:rFonts w:ascii="Arial"/>
          <w:color w:val="343434"/>
          <w:sz w:val="16"/>
        </w:rPr>
        <w:t>For</w:t>
      </w:r>
      <w:r>
        <w:rPr>
          <w:rFonts w:ascii="Arial"/>
          <w:color w:val="343434"/>
          <w:spacing w:val="-13"/>
          <w:sz w:val="16"/>
        </w:rPr>
        <w:t xml:space="preserve"> </w:t>
      </w:r>
      <w:r>
        <w:rPr>
          <w:rFonts w:ascii="Arial"/>
          <w:color w:val="1D1D1D"/>
          <w:sz w:val="16"/>
        </w:rPr>
        <w:t>a</w:t>
      </w:r>
      <w:r>
        <w:rPr>
          <w:rFonts w:ascii="Arial"/>
          <w:color w:val="1D1D1D"/>
          <w:spacing w:val="-4"/>
          <w:sz w:val="16"/>
        </w:rPr>
        <w:t xml:space="preserve"> </w:t>
      </w:r>
      <w:r>
        <w:rPr>
          <w:rFonts w:ascii="Arial"/>
          <w:color w:val="1D1D1D"/>
          <w:sz w:val="16"/>
        </w:rPr>
        <w:t>discussion</w:t>
      </w:r>
      <w:r>
        <w:rPr>
          <w:rFonts w:ascii="Arial"/>
          <w:color w:val="1D1D1D"/>
          <w:spacing w:val="-7"/>
          <w:sz w:val="16"/>
        </w:rPr>
        <w:t xml:space="preserve"> </w:t>
      </w:r>
      <w:r>
        <w:rPr>
          <w:rFonts w:ascii="Arial"/>
          <w:color w:val="1D1D1D"/>
          <w:sz w:val="16"/>
        </w:rPr>
        <w:t>of</w:t>
      </w:r>
      <w:r>
        <w:rPr>
          <w:rFonts w:ascii="Arial"/>
          <w:color w:val="1D1D1D"/>
          <w:spacing w:val="12"/>
          <w:sz w:val="16"/>
        </w:rPr>
        <w:t xml:space="preserve"> </w:t>
      </w:r>
      <w:r>
        <w:rPr>
          <w:rFonts w:ascii="Arial"/>
          <w:color w:val="1D1D1D"/>
          <w:sz w:val="16"/>
        </w:rPr>
        <w:t>evidence</w:t>
      </w:r>
      <w:r>
        <w:rPr>
          <w:rFonts w:ascii="Arial"/>
          <w:color w:val="1D1D1D"/>
          <w:spacing w:val="3"/>
          <w:sz w:val="16"/>
        </w:rPr>
        <w:t xml:space="preserve"> </w:t>
      </w:r>
      <w:r>
        <w:rPr>
          <w:rFonts w:ascii="Arial"/>
          <w:color w:val="1D1D1D"/>
          <w:sz w:val="16"/>
        </w:rPr>
        <w:t>relating</w:t>
      </w:r>
      <w:r>
        <w:rPr>
          <w:rFonts w:ascii="Arial"/>
          <w:color w:val="1D1D1D"/>
          <w:spacing w:val="-18"/>
          <w:sz w:val="16"/>
        </w:rPr>
        <w:t xml:space="preserve"> </w:t>
      </w:r>
      <w:r>
        <w:rPr>
          <w:rFonts w:ascii="Arial"/>
          <w:color w:val="1D1D1D"/>
          <w:sz w:val="16"/>
        </w:rPr>
        <w:t>to</w:t>
      </w:r>
      <w:r>
        <w:rPr>
          <w:rFonts w:ascii="Arial"/>
          <w:color w:val="1D1D1D"/>
          <w:spacing w:val="7"/>
          <w:sz w:val="16"/>
        </w:rPr>
        <w:t xml:space="preserve"> </w:t>
      </w:r>
      <w:r>
        <w:rPr>
          <w:rFonts w:ascii="Arial"/>
          <w:color w:val="1D1D1D"/>
          <w:sz w:val="16"/>
        </w:rPr>
        <w:t>ChAFTA,</w:t>
      </w:r>
      <w:r>
        <w:rPr>
          <w:rFonts w:ascii="Arial"/>
          <w:color w:val="1D1D1D"/>
          <w:spacing w:val="-9"/>
          <w:sz w:val="16"/>
        </w:rPr>
        <w:t xml:space="preserve"> </w:t>
      </w:r>
      <w:r>
        <w:rPr>
          <w:rFonts w:ascii="Arial"/>
          <w:color w:val="343434"/>
          <w:sz w:val="16"/>
        </w:rPr>
        <w:t>see</w:t>
      </w:r>
      <w:r>
        <w:rPr>
          <w:rFonts w:ascii="Arial"/>
          <w:color w:val="343434"/>
          <w:spacing w:val="-22"/>
          <w:sz w:val="16"/>
        </w:rPr>
        <w:t xml:space="preserve"> </w:t>
      </w:r>
      <w:r>
        <w:rPr>
          <w:rFonts w:ascii="Arial"/>
          <w:color w:val="343434"/>
          <w:sz w:val="16"/>
        </w:rPr>
        <w:t>section</w:t>
      </w:r>
      <w:r>
        <w:rPr>
          <w:rFonts w:ascii="Arial"/>
          <w:color w:val="343434"/>
          <w:spacing w:val="-10"/>
          <w:sz w:val="16"/>
        </w:rPr>
        <w:t xml:space="preserve"> </w:t>
      </w:r>
      <w:r>
        <w:rPr>
          <w:rFonts w:ascii="Arial"/>
          <w:color w:val="1D1D1D"/>
          <w:sz w:val="16"/>
        </w:rPr>
        <w:t>IV.E.S(a)</w:t>
      </w:r>
      <w:r>
        <w:rPr>
          <w:rFonts w:ascii="Arial"/>
          <w:color w:val="1D1D1D"/>
          <w:spacing w:val="2"/>
          <w:sz w:val="16"/>
        </w:rPr>
        <w:t xml:space="preserve"> </w:t>
      </w:r>
      <w:r>
        <w:rPr>
          <w:rFonts w:ascii="Arial"/>
          <w:color w:val="1D1D1D"/>
          <w:spacing w:val="-2"/>
          <w:sz w:val="16"/>
        </w:rPr>
        <w:t>below.</w:t>
      </w:r>
    </w:p>
    <w:p w14:paraId="51DE9194" w14:textId="77777777" w:rsidR="0010369C" w:rsidRDefault="008E43AE">
      <w:pPr>
        <w:tabs>
          <w:tab w:val="left" w:pos="4494"/>
        </w:tabs>
        <w:spacing w:before="25" w:line="167" w:lineRule="exact"/>
        <w:ind w:left="240"/>
        <w:rPr>
          <w:rFonts w:ascii="Arial"/>
          <w:sz w:val="16"/>
        </w:rPr>
      </w:pPr>
      <w:r>
        <w:rPr>
          <w:noProof/>
        </w:rPr>
        <w:drawing>
          <wp:anchor distT="0" distB="0" distL="0" distR="0" simplePos="0" relativeHeight="251287040" behindDoc="1" locked="0" layoutInCell="1" allowOverlap="1" wp14:anchorId="51DEA573" wp14:editId="51DEA574">
            <wp:simplePos x="0" y="0"/>
            <wp:positionH relativeFrom="page">
              <wp:posOffset>1439924</wp:posOffset>
            </wp:positionH>
            <wp:positionV relativeFrom="paragraph">
              <wp:posOffset>55098</wp:posOffset>
            </wp:positionV>
            <wp:extent cx="5237245" cy="229142"/>
            <wp:effectExtent l="0" t="0" r="0" b="0"/>
            <wp:wrapNone/>
            <wp:docPr id="1321" name="image6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 name="image682.png"/>
                    <pic:cNvPicPr/>
                  </pic:nvPicPr>
                  <pic:blipFill>
                    <a:blip r:embed="rId884" cstate="print"/>
                    <a:stretch>
                      <a:fillRect/>
                    </a:stretch>
                  </pic:blipFill>
                  <pic:spPr>
                    <a:xfrm>
                      <a:off x="0" y="0"/>
                      <a:ext cx="5237245" cy="229142"/>
                    </a:xfrm>
                    <a:prstGeom prst="rect">
                      <a:avLst/>
                    </a:prstGeom>
                  </pic:spPr>
                </pic:pic>
              </a:graphicData>
            </a:graphic>
          </wp:anchor>
        </w:drawing>
      </w:r>
      <w:r>
        <w:rPr>
          <w:rFonts w:ascii="Times New Roman"/>
          <w:color w:val="343434"/>
          <w:w w:val="105"/>
          <w:position w:val="6"/>
          <w:sz w:val="12"/>
        </w:rPr>
        <w:t>786</w:t>
      </w:r>
      <w:r>
        <w:rPr>
          <w:rFonts w:ascii="Times New Roman"/>
          <w:color w:val="343434"/>
          <w:spacing w:val="6"/>
          <w:w w:val="105"/>
          <w:position w:val="6"/>
          <w:sz w:val="12"/>
        </w:rPr>
        <w:t xml:space="preserve"> </w:t>
      </w:r>
      <w:r>
        <w:rPr>
          <w:rFonts w:ascii="Arial"/>
          <w:color w:val="1D1D1D"/>
          <w:w w:val="105"/>
          <w:sz w:val="16"/>
        </w:rPr>
        <w:t>Anti-Dum</w:t>
      </w:r>
      <w:r>
        <w:rPr>
          <w:rFonts w:ascii="Arial"/>
          <w:color w:val="1D1D1D"/>
          <w:spacing w:val="47"/>
          <w:w w:val="105"/>
          <w:sz w:val="16"/>
        </w:rPr>
        <w:t xml:space="preserve"> </w:t>
      </w:r>
      <w:r>
        <w:rPr>
          <w:rFonts w:ascii="Arial"/>
          <w:color w:val="1D1D1D"/>
          <w:w w:val="105"/>
          <w:sz w:val="16"/>
        </w:rPr>
        <w:t>in</w:t>
      </w:r>
      <w:r>
        <w:rPr>
          <w:rFonts w:ascii="Arial"/>
          <w:color w:val="1D1D1D"/>
          <w:spacing w:val="78"/>
          <w:w w:val="150"/>
          <w:sz w:val="16"/>
        </w:rPr>
        <w:t xml:space="preserve"> </w:t>
      </w:r>
      <w:r>
        <w:rPr>
          <w:rFonts w:ascii="Arial"/>
          <w:color w:val="343434"/>
          <w:w w:val="105"/>
          <w:sz w:val="16"/>
        </w:rPr>
        <w:t>Fin</w:t>
      </w:r>
      <w:r>
        <w:rPr>
          <w:rFonts w:ascii="Arial"/>
          <w:color w:val="343434"/>
          <w:spacing w:val="20"/>
          <w:w w:val="105"/>
          <w:sz w:val="16"/>
        </w:rPr>
        <w:t xml:space="preserve"> </w:t>
      </w:r>
      <w:r>
        <w:rPr>
          <w:rFonts w:ascii="Arial"/>
          <w:color w:val="1D1D1D"/>
          <w:w w:val="105"/>
          <w:sz w:val="16"/>
        </w:rPr>
        <w:t>I</w:t>
      </w:r>
      <w:r>
        <w:rPr>
          <w:rFonts w:ascii="Arial"/>
          <w:color w:val="1D1D1D"/>
          <w:spacing w:val="11"/>
          <w:w w:val="105"/>
          <w:sz w:val="16"/>
        </w:rPr>
        <w:t xml:space="preserve"> </w:t>
      </w:r>
      <w:r>
        <w:rPr>
          <w:rFonts w:ascii="Arial"/>
          <w:color w:val="1D1D1D"/>
          <w:spacing w:val="-10"/>
          <w:w w:val="105"/>
          <w:sz w:val="16"/>
        </w:rPr>
        <w:t>D</w:t>
      </w:r>
      <w:r>
        <w:rPr>
          <w:rFonts w:ascii="Arial"/>
          <w:color w:val="1D1D1D"/>
          <w:sz w:val="16"/>
        </w:rPr>
        <w:tab/>
      </w:r>
      <w:r>
        <w:rPr>
          <w:rFonts w:ascii="Arial"/>
          <w:color w:val="1D1D1D"/>
          <w:w w:val="105"/>
          <w:sz w:val="16"/>
        </w:rPr>
        <w:t>.</w:t>
      </w:r>
      <w:r>
        <w:rPr>
          <w:rFonts w:ascii="Arial"/>
          <w:color w:val="1D1D1D"/>
          <w:spacing w:val="3"/>
          <w:w w:val="105"/>
          <w:sz w:val="16"/>
        </w:rPr>
        <w:t xml:space="preserve"> </w:t>
      </w:r>
      <w:r>
        <w:rPr>
          <w:rFonts w:ascii="Arial"/>
          <w:color w:val="1D1D1D"/>
          <w:w w:val="105"/>
          <w:sz w:val="16"/>
        </w:rPr>
        <w:t>11</w:t>
      </w:r>
      <w:r>
        <w:rPr>
          <w:rFonts w:ascii="Arial"/>
          <w:color w:val="1D1D1D"/>
          <w:spacing w:val="49"/>
          <w:w w:val="105"/>
          <w:sz w:val="16"/>
        </w:rPr>
        <w:t xml:space="preserve">  </w:t>
      </w:r>
      <w:r>
        <w:rPr>
          <w:rFonts w:ascii="Arial"/>
          <w:color w:val="1D1D1D"/>
          <w:w w:val="105"/>
          <w:sz w:val="16"/>
        </w:rPr>
        <w:t>1</w:t>
      </w:r>
      <w:r>
        <w:rPr>
          <w:rFonts w:ascii="Arial"/>
          <w:color w:val="1D1D1D"/>
          <w:spacing w:val="41"/>
          <w:w w:val="105"/>
          <w:sz w:val="16"/>
        </w:rPr>
        <w:t xml:space="preserve">  </w:t>
      </w:r>
      <w:r>
        <w:rPr>
          <w:rFonts w:ascii="Arial"/>
          <w:color w:val="343434"/>
          <w:w w:val="105"/>
          <w:sz w:val="16"/>
        </w:rPr>
        <w:t>-14</w:t>
      </w:r>
      <w:r>
        <w:rPr>
          <w:rFonts w:ascii="Arial"/>
          <w:color w:val="343434"/>
          <w:spacing w:val="42"/>
          <w:w w:val="105"/>
          <w:sz w:val="16"/>
        </w:rPr>
        <w:t xml:space="preserve"> </w:t>
      </w:r>
      <w:r>
        <w:rPr>
          <w:rFonts w:ascii="Arial"/>
          <w:color w:val="1D1D1D"/>
          <w:w w:val="105"/>
          <w:sz w:val="16"/>
        </w:rPr>
        <w:t>.</w:t>
      </w:r>
      <w:r>
        <w:rPr>
          <w:rFonts w:ascii="Arial"/>
          <w:color w:val="1D1D1D"/>
          <w:spacing w:val="7"/>
          <w:w w:val="105"/>
          <w:sz w:val="16"/>
        </w:rPr>
        <w:t xml:space="preserve"> </w:t>
      </w:r>
      <w:r>
        <w:rPr>
          <w:rFonts w:ascii="Arial"/>
          <w:color w:val="1D1D1D"/>
          <w:w w:val="105"/>
          <w:sz w:val="16"/>
        </w:rPr>
        <w:t>F</w:t>
      </w:r>
      <w:r>
        <w:rPr>
          <w:rFonts w:ascii="Arial"/>
          <w:color w:val="1D1D1D"/>
          <w:spacing w:val="25"/>
          <w:w w:val="105"/>
          <w:sz w:val="16"/>
        </w:rPr>
        <w:t xml:space="preserve"> </w:t>
      </w:r>
      <w:r>
        <w:rPr>
          <w:rFonts w:ascii="Arial"/>
          <w:color w:val="1D1D1D"/>
          <w:spacing w:val="-10"/>
          <w:w w:val="105"/>
          <w:sz w:val="16"/>
        </w:rPr>
        <w:t>r</w:t>
      </w:r>
    </w:p>
    <w:p w14:paraId="51DE9195" w14:textId="77777777" w:rsidR="0010369C" w:rsidRDefault="008E43AE">
      <w:pPr>
        <w:spacing w:line="225" w:lineRule="exact"/>
        <w:ind w:left="234"/>
        <w:jc w:val="both"/>
        <w:rPr>
          <w:rFonts w:ascii="Times New Roman"/>
          <w:sz w:val="23"/>
        </w:rPr>
      </w:pPr>
      <w:r>
        <w:rPr>
          <w:rFonts w:ascii="Arial"/>
          <w:color w:val="1D1D1D"/>
          <w:w w:val="105"/>
          <w:sz w:val="16"/>
        </w:rPr>
        <w:t>rates,</w:t>
      </w:r>
      <w:r>
        <w:rPr>
          <w:rFonts w:ascii="Arial"/>
          <w:color w:val="1D1D1D"/>
          <w:spacing w:val="-18"/>
          <w:w w:val="105"/>
          <w:sz w:val="16"/>
        </w:rPr>
        <w:t xml:space="preserve"> </w:t>
      </w:r>
      <w:r>
        <w:rPr>
          <w:rFonts w:ascii="Arial"/>
          <w:color w:val="343434"/>
          <w:w w:val="105"/>
          <w:sz w:val="16"/>
        </w:rPr>
        <w:t>see</w:t>
      </w:r>
      <w:r>
        <w:rPr>
          <w:rFonts w:ascii="Arial"/>
          <w:color w:val="343434"/>
          <w:spacing w:val="-14"/>
          <w:w w:val="105"/>
          <w:sz w:val="16"/>
        </w:rPr>
        <w:t xml:space="preserve"> </w:t>
      </w:r>
      <w:r>
        <w:rPr>
          <w:rFonts w:ascii="Times New Roman"/>
          <w:color w:val="1D1D1D"/>
          <w:spacing w:val="-10"/>
          <w:w w:val="105"/>
          <w:sz w:val="23"/>
        </w:rPr>
        <w:t>I</w:t>
      </w:r>
    </w:p>
    <w:p w14:paraId="51DE9196" w14:textId="77777777" w:rsidR="0010369C" w:rsidRDefault="0010369C">
      <w:pPr>
        <w:spacing w:line="225" w:lineRule="exact"/>
        <w:jc w:val="both"/>
        <w:rPr>
          <w:rFonts w:ascii="Times New Roman"/>
          <w:sz w:val="23"/>
        </w:rPr>
        <w:sectPr w:rsidR="0010369C">
          <w:headerReference w:type="default" r:id="rId885"/>
          <w:footerReference w:type="default" r:id="rId886"/>
          <w:pgSz w:w="11910" w:h="16840"/>
          <w:pgMar w:top="820" w:right="800" w:bottom="1000" w:left="1180" w:header="491" w:footer="814" w:gutter="0"/>
          <w:cols w:space="720"/>
        </w:sectPr>
      </w:pPr>
    </w:p>
    <w:p w14:paraId="51DE9197" w14:textId="77777777" w:rsidR="0010369C" w:rsidRDefault="008E43AE">
      <w:pPr>
        <w:tabs>
          <w:tab w:val="left" w:pos="6445"/>
        </w:tabs>
        <w:spacing w:before="21"/>
        <w:ind w:left="228"/>
        <w:rPr>
          <w:rFonts w:ascii="Arial"/>
          <w:sz w:val="18"/>
        </w:rPr>
      </w:pPr>
      <w:r>
        <w:rPr>
          <w:rFonts w:ascii="Arial"/>
          <w:i/>
          <w:color w:val="1C1C1C"/>
          <w:w w:val="105"/>
          <w:sz w:val="18"/>
        </w:rPr>
        <w:lastRenderedPageBreak/>
        <w:t>China</w:t>
      </w:r>
      <w:r>
        <w:rPr>
          <w:rFonts w:ascii="Arial"/>
          <w:i/>
          <w:color w:val="1C1C1C"/>
          <w:spacing w:val="-17"/>
          <w:w w:val="105"/>
          <w:sz w:val="18"/>
        </w:rPr>
        <w:t xml:space="preserve"> </w:t>
      </w:r>
      <w:r>
        <w:rPr>
          <w:rFonts w:ascii="Arial"/>
          <w:i/>
          <w:color w:val="1C1C1C"/>
          <w:w w:val="105"/>
          <w:sz w:val="18"/>
        </w:rPr>
        <w:t>-Anti-Dumping</w:t>
      </w:r>
      <w:r>
        <w:rPr>
          <w:rFonts w:ascii="Arial"/>
          <w:i/>
          <w:color w:val="1C1C1C"/>
          <w:spacing w:val="-5"/>
          <w:w w:val="105"/>
          <w:sz w:val="18"/>
        </w:rPr>
        <w:t xml:space="preserve"> </w:t>
      </w:r>
      <w:r>
        <w:rPr>
          <w:rFonts w:ascii="Arial"/>
          <w:i/>
          <w:color w:val="1C1C1C"/>
          <w:w w:val="105"/>
          <w:sz w:val="18"/>
        </w:rPr>
        <w:t>and</w:t>
      </w:r>
      <w:r>
        <w:rPr>
          <w:rFonts w:ascii="Arial"/>
          <w:i/>
          <w:color w:val="1C1C1C"/>
          <w:spacing w:val="-23"/>
          <w:w w:val="105"/>
          <w:sz w:val="18"/>
        </w:rPr>
        <w:t xml:space="preserve"> </w:t>
      </w:r>
      <w:r>
        <w:rPr>
          <w:rFonts w:ascii="Arial"/>
          <w:i/>
          <w:color w:val="1C1C1C"/>
          <w:w w:val="105"/>
          <w:sz w:val="18"/>
        </w:rPr>
        <w:t>Countervailing</w:t>
      </w:r>
      <w:r>
        <w:rPr>
          <w:rFonts w:ascii="Arial"/>
          <w:i/>
          <w:color w:val="1C1C1C"/>
          <w:spacing w:val="-6"/>
          <w:w w:val="105"/>
          <w:sz w:val="18"/>
        </w:rPr>
        <w:t xml:space="preserve"> </w:t>
      </w:r>
      <w:r>
        <w:rPr>
          <w:rFonts w:ascii="Arial"/>
          <w:i/>
          <w:color w:val="1C1C1C"/>
          <w:w w:val="105"/>
          <w:sz w:val="18"/>
        </w:rPr>
        <w:t>Duty</w:t>
      </w:r>
      <w:r>
        <w:rPr>
          <w:rFonts w:ascii="Arial"/>
          <w:i/>
          <w:color w:val="1C1C1C"/>
          <w:spacing w:val="-12"/>
          <w:w w:val="105"/>
          <w:sz w:val="18"/>
        </w:rPr>
        <w:t xml:space="preserve"> </w:t>
      </w:r>
      <w:r>
        <w:rPr>
          <w:rFonts w:ascii="Arial"/>
          <w:i/>
          <w:color w:val="0C0C0C"/>
          <w:spacing w:val="-2"/>
          <w:w w:val="105"/>
          <w:sz w:val="18"/>
        </w:rPr>
        <w:t>Measures</w:t>
      </w:r>
      <w:r>
        <w:rPr>
          <w:rFonts w:ascii="Arial"/>
          <w:i/>
          <w:color w:val="0C0C0C"/>
          <w:sz w:val="18"/>
        </w:rPr>
        <w:tab/>
      </w:r>
      <w:r>
        <w:rPr>
          <w:rFonts w:ascii="Arial"/>
          <w:color w:val="1C1C1C"/>
          <w:spacing w:val="-2"/>
          <w:w w:val="105"/>
          <w:sz w:val="18"/>
        </w:rPr>
        <w:t>Australia's</w:t>
      </w:r>
      <w:r>
        <w:rPr>
          <w:rFonts w:ascii="Arial"/>
          <w:color w:val="1C1C1C"/>
          <w:spacing w:val="5"/>
          <w:w w:val="105"/>
          <w:sz w:val="18"/>
        </w:rPr>
        <w:t xml:space="preserve"> </w:t>
      </w:r>
      <w:r>
        <w:rPr>
          <w:rFonts w:ascii="Arial"/>
          <w:color w:val="0C0C0C"/>
          <w:spacing w:val="-2"/>
          <w:w w:val="105"/>
          <w:sz w:val="18"/>
        </w:rPr>
        <w:t>First</w:t>
      </w:r>
      <w:r>
        <w:rPr>
          <w:rFonts w:ascii="Arial"/>
          <w:color w:val="0C0C0C"/>
          <w:spacing w:val="1"/>
          <w:w w:val="105"/>
          <w:sz w:val="18"/>
        </w:rPr>
        <w:t xml:space="preserve"> </w:t>
      </w:r>
      <w:r>
        <w:rPr>
          <w:rFonts w:ascii="Arial"/>
          <w:color w:val="1C1C1C"/>
          <w:spacing w:val="-2"/>
          <w:w w:val="105"/>
          <w:sz w:val="18"/>
        </w:rPr>
        <w:t>Written</w:t>
      </w:r>
      <w:r>
        <w:rPr>
          <w:rFonts w:ascii="Arial"/>
          <w:color w:val="1C1C1C"/>
          <w:spacing w:val="-7"/>
          <w:w w:val="105"/>
          <w:sz w:val="18"/>
        </w:rPr>
        <w:t xml:space="preserve"> </w:t>
      </w:r>
      <w:r>
        <w:rPr>
          <w:rFonts w:ascii="Arial"/>
          <w:color w:val="1C1C1C"/>
          <w:spacing w:val="-2"/>
          <w:w w:val="105"/>
          <w:sz w:val="18"/>
        </w:rPr>
        <w:t>Submission</w:t>
      </w:r>
    </w:p>
    <w:p w14:paraId="51DE9198" w14:textId="77777777" w:rsidR="0010369C" w:rsidRDefault="008E43AE">
      <w:pPr>
        <w:tabs>
          <w:tab w:val="left" w:pos="8256"/>
        </w:tabs>
        <w:spacing w:before="44"/>
        <w:ind w:left="235"/>
        <w:rPr>
          <w:rFonts w:ascii="Arial"/>
          <w:sz w:val="18"/>
        </w:rPr>
      </w:pPr>
      <w:r>
        <w:rPr>
          <w:rFonts w:ascii="Arial"/>
          <w:i/>
          <w:color w:val="1C1C1C"/>
          <w:w w:val="105"/>
          <w:sz w:val="18"/>
        </w:rPr>
        <w:t>on</w:t>
      </w:r>
      <w:r>
        <w:rPr>
          <w:rFonts w:ascii="Arial"/>
          <w:i/>
          <w:color w:val="1C1C1C"/>
          <w:spacing w:val="-11"/>
          <w:w w:val="105"/>
          <w:sz w:val="18"/>
        </w:rPr>
        <w:t xml:space="preserve"> </w:t>
      </w:r>
      <w:r>
        <w:rPr>
          <w:rFonts w:ascii="Arial"/>
          <w:i/>
          <w:color w:val="1C1C1C"/>
          <w:w w:val="105"/>
          <w:sz w:val="18"/>
        </w:rPr>
        <w:t>Winefrom Australia</w:t>
      </w:r>
      <w:r>
        <w:rPr>
          <w:rFonts w:ascii="Arial"/>
          <w:i/>
          <w:color w:val="1C1C1C"/>
          <w:spacing w:val="13"/>
          <w:w w:val="105"/>
          <w:sz w:val="18"/>
        </w:rPr>
        <w:t xml:space="preserve"> </w:t>
      </w:r>
      <w:r>
        <w:rPr>
          <w:rFonts w:ascii="Arial"/>
          <w:color w:val="1C1C1C"/>
          <w:spacing w:val="-2"/>
          <w:w w:val="105"/>
          <w:sz w:val="18"/>
        </w:rPr>
        <w:t>(0S602)</w:t>
      </w:r>
      <w:r>
        <w:rPr>
          <w:rFonts w:ascii="Arial"/>
          <w:color w:val="1C1C1C"/>
          <w:sz w:val="18"/>
        </w:rPr>
        <w:tab/>
      </w:r>
      <w:r>
        <w:rPr>
          <w:rFonts w:ascii="Arial"/>
          <w:color w:val="1C1C1C"/>
          <w:w w:val="105"/>
          <w:sz w:val="18"/>
        </w:rPr>
        <w:t>29</w:t>
      </w:r>
      <w:r>
        <w:rPr>
          <w:rFonts w:ascii="Arial"/>
          <w:color w:val="1C1C1C"/>
          <w:spacing w:val="-19"/>
          <w:w w:val="105"/>
          <w:sz w:val="18"/>
        </w:rPr>
        <w:t xml:space="preserve"> </w:t>
      </w:r>
      <w:r>
        <w:rPr>
          <w:rFonts w:ascii="Arial"/>
          <w:color w:val="1C1C1C"/>
          <w:w w:val="105"/>
          <w:sz w:val="18"/>
        </w:rPr>
        <w:t>April</w:t>
      </w:r>
      <w:r>
        <w:rPr>
          <w:rFonts w:ascii="Arial"/>
          <w:color w:val="1C1C1C"/>
          <w:spacing w:val="1"/>
          <w:w w:val="105"/>
          <w:sz w:val="18"/>
        </w:rPr>
        <w:t xml:space="preserve"> </w:t>
      </w:r>
      <w:r>
        <w:rPr>
          <w:rFonts w:ascii="Arial"/>
          <w:color w:val="1C1C1C"/>
          <w:spacing w:val="-4"/>
          <w:w w:val="105"/>
          <w:sz w:val="18"/>
        </w:rPr>
        <w:t>2022</w:t>
      </w:r>
    </w:p>
    <w:p w14:paraId="51DE9199" w14:textId="77777777" w:rsidR="0010369C" w:rsidRDefault="008E43AE">
      <w:pPr>
        <w:spacing w:before="86" w:line="434" w:lineRule="auto"/>
        <w:ind w:left="1942" w:right="570"/>
        <w:jc w:val="both"/>
        <w:rPr>
          <w:rFonts w:ascii="Arial"/>
          <w:sz w:val="21"/>
        </w:rPr>
      </w:pPr>
      <w:r>
        <w:rPr>
          <w:rFonts w:ascii="Arial"/>
          <w:color w:val="1C1C1C"/>
          <w:w w:val="110"/>
          <w:sz w:val="21"/>
        </w:rPr>
        <w:t>also</w:t>
      </w:r>
      <w:r>
        <w:rPr>
          <w:rFonts w:ascii="Arial"/>
          <w:color w:val="1C1C1C"/>
          <w:spacing w:val="-6"/>
          <w:w w:val="110"/>
          <w:sz w:val="21"/>
        </w:rPr>
        <w:t xml:space="preserve"> </w:t>
      </w:r>
      <w:r>
        <w:rPr>
          <w:rFonts w:ascii="Arial"/>
          <w:color w:val="0C0C0C"/>
          <w:w w:val="110"/>
          <w:sz w:val="21"/>
        </w:rPr>
        <w:t xml:space="preserve">lower than </w:t>
      </w:r>
      <w:r>
        <w:rPr>
          <w:rFonts w:ascii="Arial"/>
          <w:color w:val="1C1C1C"/>
          <w:w w:val="110"/>
          <w:sz w:val="21"/>
        </w:rPr>
        <w:t>the total production output of the 21</w:t>
      </w:r>
      <w:r>
        <w:rPr>
          <w:rFonts w:ascii="Arial"/>
          <w:color w:val="1C1C1C"/>
          <w:spacing w:val="-17"/>
          <w:w w:val="110"/>
          <w:sz w:val="21"/>
        </w:rPr>
        <w:t xml:space="preserve"> </w:t>
      </w:r>
      <w:r>
        <w:rPr>
          <w:rFonts w:ascii="Arial"/>
          <w:color w:val="0C0C0C"/>
          <w:w w:val="110"/>
          <w:sz w:val="21"/>
        </w:rPr>
        <w:t xml:space="preserve">domestic </w:t>
      </w:r>
      <w:r>
        <w:rPr>
          <w:rFonts w:ascii="Arial"/>
          <w:color w:val="1C1C1C"/>
          <w:w w:val="110"/>
          <w:sz w:val="21"/>
        </w:rPr>
        <w:t xml:space="preserve">producers and </w:t>
      </w:r>
      <w:r>
        <w:rPr>
          <w:rFonts w:ascii="Arial"/>
          <w:color w:val="0C0C0C"/>
          <w:w w:val="110"/>
          <w:sz w:val="21"/>
        </w:rPr>
        <w:t xml:space="preserve">MOFCOM's </w:t>
      </w:r>
      <w:r>
        <w:rPr>
          <w:rFonts w:ascii="Arial"/>
          <w:color w:val="1C1C1C"/>
          <w:w w:val="110"/>
          <w:sz w:val="21"/>
        </w:rPr>
        <w:t xml:space="preserve">estimate of the "total national output" of </w:t>
      </w:r>
      <w:r>
        <w:rPr>
          <w:rFonts w:ascii="Arial"/>
          <w:color w:val="0C0C0C"/>
          <w:w w:val="110"/>
          <w:sz w:val="21"/>
        </w:rPr>
        <w:t xml:space="preserve">domestic </w:t>
      </w:r>
      <w:r>
        <w:rPr>
          <w:rFonts w:ascii="Arial"/>
          <w:color w:val="1C1C1C"/>
          <w:w w:val="110"/>
          <w:sz w:val="21"/>
        </w:rPr>
        <w:t xml:space="preserve">like </w:t>
      </w:r>
      <w:r>
        <w:rPr>
          <w:rFonts w:ascii="Arial"/>
          <w:color w:val="1C1C1C"/>
          <w:spacing w:val="-2"/>
          <w:w w:val="110"/>
          <w:sz w:val="21"/>
        </w:rPr>
        <w:t>products;</w:t>
      </w:r>
      <w:r>
        <w:rPr>
          <w:rFonts w:ascii="Arial"/>
          <w:color w:val="1C1C1C"/>
          <w:spacing w:val="-2"/>
          <w:w w:val="110"/>
          <w:sz w:val="21"/>
          <w:vertAlign w:val="superscript"/>
        </w:rPr>
        <w:t>787</w:t>
      </w:r>
    </w:p>
    <w:p w14:paraId="51DE919A" w14:textId="77777777" w:rsidR="0010369C" w:rsidRDefault="008E43AE">
      <w:pPr>
        <w:pStyle w:val="ListParagraph"/>
        <w:numPr>
          <w:ilvl w:val="1"/>
          <w:numId w:val="45"/>
        </w:numPr>
        <w:tabs>
          <w:tab w:val="left" w:pos="1940"/>
          <w:tab w:val="left" w:pos="1941"/>
        </w:tabs>
        <w:spacing w:before="142" w:line="434" w:lineRule="auto"/>
        <w:ind w:right="572" w:hanging="847"/>
        <w:rPr>
          <w:rFonts w:ascii="Arial" w:hAnsi="Arial"/>
          <w:color w:val="0C0C0C"/>
          <w:sz w:val="21"/>
        </w:rPr>
      </w:pPr>
      <w:r>
        <w:rPr>
          <w:rFonts w:ascii="Arial" w:hAnsi="Arial"/>
          <w:color w:val="0C0C0C"/>
          <w:w w:val="105"/>
          <w:sz w:val="21"/>
        </w:rPr>
        <w:t xml:space="preserve">In </w:t>
      </w:r>
      <w:r>
        <w:rPr>
          <w:rFonts w:ascii="Arial" w:hAnsi="Arial"/>
          <w:color w:val="1C1C1C"/>
          <w:w w:val="105"/>
          <w:sz w:val="21"/>
        </w:rPr>
        <w:t xml:space="preserve">each year of the </w:t>
      </w:r>
      <w:r>
        <w:rPr>
          <w:rFonts w:ascii="Arial" w:hAnsi="Arial"/>
          <w:color w:val="0C0C0C"/>
          <w:w w:val="105"/>
          <w:sz w:val="21"/>
        </w:rPr>
        <w:t xml:space="preserve">Injury </w:t>
      </w:r>
      <w:r>
        <w:rPr>
          <w:rFonts w:ascii="Arial" w:hAnsi="Arial"/>
          <w:color w:val="1C1C1C"/>
          <w:w w:val="105"/>
          <w:sz w:val="21"/>
        </w:rPr>
        <w:t>POI, the volume of</w:t>
      </w:r>
      <w:r>
        <w:rPr>
          <w:rFonts w:ascii="Arial" w:hAnsi="Arial"/>
          <w:color w:val="1C1C1C"/>
          <w:w w:val="105"/>
          <w:sz w:val="21"/>
        </w:rPr>
        <w:t xml:space="preserve"> subject imports </w:t>
      </w:r>
      <w:r>
        <w:rPr>
          <w:rFonts w:ascii="Arial" w:hAnsi="Arial"/>
          <w:color w:val="0C0C0C"/>
          <w:w w:val="105"/>
          <w:sz w:val="21"/>
        </w:rPr>
        <w:t xml:space="preserve">relative </w:t>
      </w:r>
      <w:r>
        <w:rPr>
          <w:rFonts w:ascii="Arial" w:hAnsi="Arial"/>
          <w:color w:val="1C1C1C"/>
          <w:w w:val="105"/>
          <w:sz w:val="21"/>
        </w:rPr>
        <w:t xml:space="preserve">to apparent domestic consumption in China (referred </w:t>
      </w:r>
      <w:r>
        <w:rPr>
          <w:rFonts w:ascii="Arial" w:hAnsi="Arial"/>
          <w:color w:val="0C0C0C"/>
          <w:w w:val="105"/>
          <w:sz w:val="21"/>
        </w:rPr>
        <w:t xml:space="preserve">to by MOFCOM </w:t>
      </w:r>
      <w:r>
        <w:rPr>
          <w:rFonts w:ascii="Arial" w:hAnsi="Arial"/>
          <w:color w:val="1C1C1C"/>
          <w:w w:val="105"/>
          <w:sz w:val="21"/>
        </w:rPr>
        <w:t xml:space="preserve">as "market share") was significantly </w:t>
      </w:r>
      <w:r>
        <w:rPr>
          <w:rFonts w:ascii="Arial" w:hAnsi="Arial"/>
          <w:color w:val="0C0C0C"/>
          <w:w w:val="105"/>
          <w:sz w:val="21"/>
        </w:rPr>
        <w:t xml:space="preserve">lower </w:t>
      </w:r>
      <w:r>
        <w:rPr>
          <w:rFonts w:ascii="Arial" w:hAnsi="Arial"/>
          <w:color w:val="1C1C1C"/>
          <w:w w:val="105"/>
          <w:sz w:val="21"/>
        </w:rPr>
        <w:t xml:space="preserve">than the market share of sales of domestic </w:t>
      </w:r>
      <w:r>
        <w:rPr>
          <w:rFonts w:ascii="Arial" w:hAnsi="Arial"/>
          <w:color w:val="0C0C0C"/>
          <w:w w:val="105"/>
          <w:sz w:val="21"/>
        </w:rPr>
        <w:t xml:space="preserve">like </w:t>
      </w:r>
      <w:r>
        <w:rPr>
          <w:rFonts w:ascii="Arial" w:hAnsi="Arial"/>
          <w:color w:val="1C1C1C"/>
          <w:w w:val="105"/>
          <w:sz w:val="21"/>
        </w:rPr>
        <w:t xml:space="preserve">products </w:t>
      </w:r>
      <w:r>
        <w:rPr>
          <w:rFonts w:ascii="Arial" w:hAnsi="Arial"/>
          <w:color w:val="0C0C0C"/>
          <w:w w:val="105"/>
          <w:sz w:val="21"/>
        </w:rPr>
        <w:t>by</w:t>
      </w:r>
      <w:r>
        <w:rPr>
          <w:rFonts w:ascii="Arial" w:hAnsi="Arial"/>
          <w:color w:val="0C0C0C"/>
          <w:spacing w:val="-2"/>
          <w:w w:val="105"/>
          <w:sz w:val="21"/>
        </w:rPr>
        <w:t xml:space="preserve"> </w:t>
      </w:r>
      <w:r>
        <w:rPr>
          <w:rFonts w:ascii="Arial" w:hAnsi="Arial"/>
          <w:color w:val="1C1C1C"/>
          <w:w w:val="105"/>
          <w:sz w:val="21"/>
        </w:rPr>
        <w:t xml:space="preserve">the 21 </w:t>
      </w:r>
      <w:r>
        <w:rPr>
          <w:rFonts w:ascii="Arial" w:hAnsi="Arial"/>
          <w:color w:val="0C0C0C"/>
          <w:w w:val="105"/>
          <w:sz w:val="21"/>
        </w:rPr>
        <w:t>domestic producers;</w:t>
      </w:r>
      <w:r>
        <w:rPr>
          <w:rFonts w:ascii="Arial" w:hAnsi="Arial"/>
          <w:color w:val="0C0C0C"/>
          <w:w w:val="105"/>
          <w:position w:val="7"/>
          <w:sz w:val="14"/>
        </w:rPr>
        <w:t>788</w:t>
      </w:r>
    </w:p>
    <w:p w14:paraId="51DE919B" w14:textId="77777777" w:rsidR="0010369C" w:rsidRDefault="008E43AE">
      <w:pPr>
        <w:pStyle w:val="ListParagraph"/>
        <w:numPr>
          <w:ilvl w:val="1"/>
          <w:numId w:val="45"/>
        </w:numPr>
        <w:tabs>
          <w:tab w:val="left" w:pos="1944"/>
          <w:tab w:val="left" w:pos="1945"/>
        </w:tabs>
        <w:spacing w:before="142" w:line="424" w:lineRule="auto"/>
        <w:ind w:left="1947" w:right="578" w:hanging="851"/>
        <w:rPr>
          <w:rFonts w:ascii="Arial" w:hAnsi="Arial"/>
          <w:color w:val="0C0C0C"/>
          <w:sz w:val="21"/>
        </w:rPr>
      </w:pPr>
      <w:r>
        <w:rPr>
          <w:rFonts w:ascii="Arial" w:hAnsi="Arial"/>
          <w:color w:val="1C1C1C"/>
          <w:w w:val="105"/>
          <w:sz w:val="21"/>
        </w:rPr>
        <w:t>Despite</w:t>
      </w:r>
      <w:r>
        <w:rPr>
          <w:rFonts w:ascii="Arial" w:hAnsi="Arial"/>
          <w:color w:val="1C1C1C"/>
          <w:spacing w:val="-3"/>
          <w:w w:val="105"/>
          <w:sz w:val="21"/>
        </w:rPr>
        <w:t xml:space="preserve"> </w:t>
      </w:r>
      <w:r>
        <w:rPr>
          <w:rFonts w:ascii="Arial" w:hAnsi="Arial"/>
          <w:color w:val="1C1C1C"/>
          <w:w w:val="105"/>
          <w:sz w:val="21"/>
        </w:rPr>
        <w:t>experiencing declines,</w:t>
      </w:r>
      <w:r>
        <w:rPr>
          <w:rFonts w:ascii="Arial" w:hAnsi="Arial"/>
          <w:color w:val="1C1C1C"/>
          <w:spacing w:val="-16"/>
          <w:w w:val="105"/>
          <w:sz w:val="21"/>
        </w:rPr>
        <w:t xml:space="preserve"> </w:t>
      </w:r>
      <w:r>
        <w:rPr>
          <w:rFonts w:ascii="Arial" w:hAnsi="Arial"/>
          <w:color w:val="0C0C0C"/>
          <w:w w:val="105"/>
          <w:sz w:val="21"/>
        </w:rPr>
        <w:t>t</w:t>
      </w:r>
      <w:r>
        <w:rPr>
          <w:rFonts w:ascii="Arial" w:hAnsi="Arial"/>
          <w:color w:val="0C0C0C"/>
          <w:w w:val="105"/>
          <w:sz w:val="21"/>
        </w:rPr>
        <w:t>he</w:t>
      </w:r>
      <w:r>
        <w:rPr>
          <w:rFonts w:ascii="Arial" w:hAnsi="Arial"/>
          <w:color w:val="0C0C0C"/>
          <w:spacing w:val="27"/>
          <w:w w:val="105"/>
          <w:sz w:val="21"/>
        </w:rPr>
        <w:t xml:space="preserve"> </w:t>
      </w:r>
      <w:r>
        <w:rPr>
          <w:rFonts w:ascii="Arial" w:hAnsi="Arial"/>
          <w:color w:val="0C0C0C"/>
          <w:w w:val="105"/>
          <w:sz w:val="21"/>
        </w:rPr>
        <w:t>domestic industry</w:t>
      </w:r>
      <w:r>
        <w:rPr>
          <w:rFonts w:ascii="Arial" w:hAnsi="Arial"/>
          <w:color w:val="0C0C0C"/>
          <w:spacing w:val="-6"/>
          <w:w w:val="105"/>
          <w:sz w:val="21"/>
        </w:rPr>
        <w:t xml:space="preserve"> </w:t>
      </w:r>
      <w:r>
        <w:rPr>
          <w:rFonts w:ascii="Arial" w:hAnsi="Arial"/>
          <w:color w:val="1C1C1C"/>
          <w:w w:val="105"/>
          <w:sz w:val="21"/>
        </w:rPr>
        <w:t>remained</w:t>
      </w:r>
      <w:r>
        <w:rPr>
          <w:rFonts w:ascii="Arial" w:hAnsi="Arial"/>
          <w:color w:val="1C1C1C"/>
          <w:spacing w:val="-11"/>
          <w:w w:val="105"/>
          <w:sz w:val="21"/>
        </w:rPr>
        <w:t xml:space="preserve"> </w:t>
      </w:r>
      <w:r>
        <w:rPr>
          <w:rFonts w:ascii="Arial" w:hAnsi="Arial"/>
          <w:color w:val="1C1C1C"/>
          <w:w w:val="105"/>
          <w:sz w:val="21"/>
        </w:rPr>
        <w:t>profitable,</w:t>
      </w:r>
      <w:r>
        <w:rPr>
          <w:rFonts w:ascii="Arial" w:hAnsi="Arial"/>
          <w:color w:val="1C1C1C"/>
          <w:spacing w:val="-16"/>
          <w:w w:val="105"/>
          <w:sz w:val="21"/>
        </w:rPr>
        <w:t xml:space="preserve"> </w:t>
      </w:r>
      <w:r>
        <w:rPr>
          <w:rFonts w:ascii="Arial" w:hAnsi="Arial"/>
          <w:color w:val="0C0C0C"/>
          <w:w w:val="105"/>
          <w:sz w:val="21"/>
        </w:rPr>
        <w:t xml:space="preserve">in </w:t>
      </w:r>
      <w:r>
        <w:rPr>
          <w:rFonts w:ascii="Arial" w:hAnsi="Arial"/>
          <w:color w:val="1C1C1C"/>
          <w:w w:val="105"/>
          <w:sz w:val="21"/>
        </w:rPr>
        <w:t xml:space="preserve">terms of profit </w:t>
      </w:r>
      <w:r>
        <w:rPr>
          <w:rFonts w:ascii="Arial" w:hAnsi="Arial"/>
          <w:color w:val="0C0C0C"/>
          <w:w w:val="105"/>
          <w:sz w:val="21"/>
        </w:rPr>
        <w:t xml:space="preserve">before </w:t>
      </w:r>
      <w:r>
        <w:rPr>
          <w:rFonts w:ascii="Arial" w:hAnsi="Arial"/>
          <w:color w:val="1C1C1C"/>
          <w:w w:val="105"/>
          <w:sz w:val="21"/>
        </w:rPr>
        <w:t xml:space="preserve">tax (PBT), </w:t>
      </w:r>
      <w:r>
        <w:rPr>
          <w:rFonts w:ascii="Arial" w:hAnsi="Arial"/>
          <w:color w:val="0C0C0C"/>
          <w:w w:val="105"/>
          <w:sz w:val="21"/>
        </w:rPr>
        <w:t xml:space="preserve">throughout the Injury </w:t>
      </w:r>
      <w:r>
        <w:rPr>
          <w:rFonts w:ascii="Arial" w:hAnsi="Arial"/>
          <w:color w:val="1C1C1C"/>
          <w:w w:val="105"/>
          <w:sz w:val="21"/>
        </w:rPr>
        <w:t>POl.</w:t>
      </w:r>
      <w:r>
        <w:rPr>
          <w:rFonts w:ascii="Arial" w:hAnsi="Arial"/>
          <w:color w:val="1C1C1C"/>
          <w:w w:val="105"/>
          <w:position w:val="7"/>
          <w:sz w:val="14"/>
        </w:rPr>
        <w:t>789</w:t>
      </w:r>
    </w:p>
    <w:p w14:paraId="51DE919C" w14:textId="77777777" w:rsidR="0010369C" w:rsidRDefault="008E43AE">
      <w:pPr>
        <w:pStyle w:val="ListParagraph"/>
        <w:numPr>
          <w:ilvl w:val="0"/>
          <w:numId w:val="45"/>
        </w:numPr>
        <w:tabs>
          <w:tab w:val="left" w:pos="1093"/>
        </w:tabs>
        <w:spacing w:before="143" w:line="434" w:lineRule="auto"/>
        <w:ind w:right="574" w:hanging="1"/>
        <w:jc w:val="both"/>
        <w:rPr>
          <w:rFonts w:ascii="Arial"/>
          <w:color w:val="1C1C1C"/>
          <w:sz w:val="21"/>
        </w:rPr>
      </w:pPr>
      <w:r>
        <w:rPr>
          <w:rFonts w:ascii="Arial"/>
          <w:color w:val="1C1C1C"/>
          <w:w w:val="105"/>
          <w:sz w:val="21"/>
        </w:rPr>
        <w:t>Table</w:t>
      </w:r>
      <w:r>
        <w:rPr>
          <w:rFonts w:ascii="Arial"/>
          <w:color w:val="1C1C1C"/>
          <w:spacing w:val="40"/>
          <w:w w:val="105"/>
          <w:sz w:val="21"/>
        </w:rPr>
        <w:t xml:space="preserve"> </w:t>
      </w:r>
      <w:r>
        <w:rPr>
          <w:rFonts w:ascii="Arial"/>
          <w:color w:val="1C1C1C"/>
          <w:w w:val="105"/>
          <w:sz w:val="21"/>
        </w:rPr>
        <w:t>7</w:t>
      </w:r>
      <w:r>
        <w:rPr>
          <w:rFonts w:ascii="Arial"/>
          <w:color w:val="1C1C1C"/>
          <w:spacing w:val="40"/>
          <w:w w:val="105"/>
          <w:sz w:val="21"/>
        </w:rPr>
        <w:t xml:space="preserve"> </w:t>
      </w:r>
      <w:r>
        <w:rPr>
          <w:rFonts w:ascii="Arial"/>
          <w:color w:val="1C1C1C"/>
          <w:w w:val="105"/>
          <w:sz w:val="21"/>
        </w:rPr>
        <w:t>in</w:t>
      </w:r>
      <w:r>
        <w:rPr>
          <w:rFonts w:ascii="Arial"/>
          <w:color w:val="1C1C1C"/>
          <w:spacing w:val="40"/>
          <w:w w:val="105"/>
          <w:sz w:val="21"/>
        </w:rPr>
        <w:t xml:space="preserve"> </w:t>
      </w:r>
      <w:r>
        <w:rPr>
          <w:rFonts w:ascii="Arial"/>
          <w:color w:val="0C0C0C"/>
          <w:w w:val="105"/>
          <w:sz w:val="21"/>
        </w:rPr>
        <w:t>Exhibit</w:t>
      </w:r>
      <w:r>
        <w:rPr>
          <w:rFonts w:ascii="Arial"/>
          <w:color w:val="0C0C0C"/>
          <w:spacing w:val="40"/>
          <w:w w:val="105"/>
          <w:sz w:val="21"/>
        </w:rPr>
        <w:t xml:space="preserve"> </w:t>
      </w:r>
      <w:r>
        <w:rPr>
          <w:rFonts w:ascii="Arial"/>
          <w:color w:val="1C1C1C"/>
          <w:w w:val="105"/>
          <w:sz w:val="21"/>
        </w:rPr>
        <w:t>AUS-65</w:t>
      </w:r>
      <w:r>
        <w:rPr>
          <w:rFonts w:ascii="Arial"/>
          <w:color w:val="1C1C1C"/>
          <w:spacing w:val="40"/>
          <w:w w:val="105"/>
          <w:sz w:val="21"/>
        </w:rPr>
        <w:t xml:space="preserve"> </w:t>
      </w:r>
      <w:r>
        <w:rPr>
          <w:rFonts w:ascii="Arial"/>
          <w:color w:val="1C1C1C"/>
          <w:w w:val="105"/>
          <w:sz w:val="21"/>
        </w:rPr>
        <w:t>(BCI)</w:t>
      </w:r>
      <w:r>
        <w:rPr>
          <w:rFonts w:ascii="Arial"/>
          <w:color w:val="1C1C1C"/>
          <w:spacing w:val="40"/>
          <w:w w:val="105"/>
          <w:sz w:val="21"/>
        </w:rPr>
        <w:t xml:space="preserve"> </w:t>
      </w:r>
      <w:r>
        <w:rPr>
          <w:rFonts w:ascii="Arial"/>
          <w:color w:val="0C0C0C"/>
          <w:w w:val="105"/>
          <w:sz w:val="21"/>
        </w:rPr>
        <w:t>provides</w:t>
      </w:r>
      <w:r>
        <w:rPr>
          <w:rFonts w:ascii="Arial"/>
          <w:color w:val="0C0C0C"/>
          <w:spacing w:val="40"/>
          <w:w w:val="105"/>
          <w:sz w:val="21"/>
        </w:rPr>
        <w:t xml:space="preserve"> </w:t>
      </w:r>
      <w:r>
        <w:rPr>
          <w:rFonts w:ascii="Arial"/>
          <w:color w:val="1C1C1C"/>
          <w:w w:val="105"/>
          <w:sz w:val="21"/>
        </w:rPr>
        <w:t>examples</w:t>
      </w:r>
      <w:r>
        <w:rPr>
          <w:rFonts w:ascii="Arial"/>
          <w:color w:val="1C1C1C"/>
          <w:spacing w:val="40"/>
          <w:w w:val="105"/>
          <w:sz w:val="21"/>
        </w:rPr>
        <w:t xml:space="preserve"> </w:t>
      </w:r>
      <w:r>
        <w:rPr>
          <w:rFonts w:ascii="Arial"/>
          <w:color w:val="1C1C1C"/>
          <w:w w:val="105"/>
          <w:sz w:val="21"/>
        </w:rPr>
        <w:t>of</w:t>
      </w:r>
      <w:r>
        <w:rPr>
          <w:rFonts w:ascii="Arial"/>
          <w:color w:val="1C1C1C"/>
          <w:spacing w:val="40"/>
          <w:w w:val="105"/>
          <w:sz w:val="21"/>
        </w:rPr>
        <w:t xml:space="preserve"> </w:t>
      </w:r>
      <w:r>
        <w:rPr>
          <w:rFonts w:ascii="Arial"/>
          <w:color w:val="1C1C1C"/>
          <w:w w:val="105"/>
          <w:sz w:val="21"/>
        </w:rPr>
        <w:t>relevant</w:t>
      </w:r>
      <w:r>
        <w:rPr>
          <w:rFonts w:ascii="Arial"/>
          <w:color w:val="1C1C1C"/>
          <w:spacing w:val="40"/>
          <w:w w:val="105"/>
          <w:sz w:val="21"/>
        </w:rPr>
        <w:t xml:space="preserve"> </w:t>
      </w:r>
      <w:r>
        <w:rPr>
          <w:rFonts w:ascii="Arial"/>
          <w:color w:val="1C1C1C"/>
          <w:w w:val="105"/>
          <w:sz w:val="21"/>
        </w:rPr>
        <w:t>evidence</w:t>
      </w:r>
      <w:r>
        <w:rPr>
          <w:rFonts w:ascii="Arial"/>
          <w:color w:val="1C1C1C"/>
          <w:spacing w:val="40"/>
          <w:w w:val="105"/>
          <w:sz w:val="21"/>
        </w:rPr>
        <w:t xml:space="preserve"> </w:t>
      </w:r>
      <w:r>
        <w:rPr>
          <w:rFonts w:ascii="Arial"/>
          <w:color w:val="1C1C1C"/>
          <w:w w:val="105"/>
          <w:sz w:val="21"/>
        </w:rPr>
        <w:t>on</w:t>
      </w:r>
      <w:r>
        <w:rPr>
          <w:rFonts w:ascii="Arial"/>
          <w:color w:val="1C1C1C"/>
          <w:spacing w:val="40"/>
          <w:w w:val="105"/>
          <w:sz w:val="21"/>
        </w:rPr>
        <w:t xml:space="preserve"> </w:t>
      </w:r>
      <w:r>
        <w:rPr>
          <w:rFonts w:ascii="Arial"/>
          <w:color w:val="1C1C1C"/>
          <w:w w:val="105"/>
          <w:sz w:val="21"/>
        </w:rPr>
        <w:t xml:space="preserve">the </w:t>
      </w:r>
      <w:r>
        <w:rPr>
          <w:rFonts w:ascii="Arial"/>
          <w:color w:val="0C0C0C"/>
          <w:w w:val="105"/>
          <w:sz w:val="21"/>
        </w:rPr>
        <w:t xml:space="preserve">investigation record, </w:t>
      </w:r>
      <w:r>
        <w:rPr>
          <w:rFonts w:ascii="Arial"/>
          <w:color w:val="1C1C1C"/>
          <w:w w:val="105"/>
          <w:sz w:val="21"/>
        </w:rPr>
        <w:t xml:space="preserve">including data that </w:t>
      </w:r>
      <w:r>
        <w:rPr>
          <w:rFonts w:ascii="Arial"/>
          <w:color w:val="0C0C0C"/>
          <w:w w:val="105"/>
          <w:sz w:val="21"/>
        </w:rPr>
        <w:t xml:space="preserve">MOFCOM </w:t>
      </w:r>
      <w:r>
        <w:rPr>
          <w:rFonts w:ascii="Arial"/>
          <w:color w:val="1C1C1C"/>
          <w:w w:val="105"/>
          <w:sz w:val="21"/>
        </w:rPr>
        <w:t>used in its own</w:t>
      </w:r>
      <w:r>
        <w:rPr>
          <w:rFonts w:ascii="Arial"/>
          <w:color w:val="1C1C1C"/>
          <w:w w:val="105"/>
          <w:sz w:val="21"/>
        </w:rPr>
        <w:t xml:space="preserve"> analyses, </w:t>
      </w:r>
      <w:r>
        <w:rPr>
          <w:rFonts w:ascii="Arial"/>
          <w:color w:val="0C0C0C"/>
          <w:w w:val="105"/>
          <w:sz w:val="21"/>
        </w:rPr>
        <w:t xml:space="preserve">that </w:t>
      </w:r>
      <w:r>
        <w:rPr>
          <w:rFonts w:ascii="Arial"/>
          <w:color w:val="1C1C1C"/>
          <w:w w:val="105"/>
          <w:sz w:val="21"/>
        </w:rPr>
        <w:t xml:space="preserve">weighed </w:t>
      </w:r>
      <w:r>
        <w:rPr>
          <w:rFonts w:ascii="Arial"/>
          <w:color w:val="1C1C1C"/>
          <w:spacing w:val="-2"/>
          <w:w w:val="105"/>
          <w:sz w:val="21"/>
        </w:rPr>
        <w:t>against</w:t>
      </w:r>
      <w:r>
        <w:rPr>
          <w:rFonts w:ascii="Arial"/>
          <w:color w:val="1C1C1C"/>
          <w:spacing w:val="-14"/>
          <w:w w:val="105"/>
          <w:sz w:val="21"/>
        </w:rPr>
        <w:t xml:space="preserve"> </w:t>
      </w:r>
      <w:r>
        <w:rPr>
          <w:rFonts w:ascii="Arial"/>
          <w:color w:val="1C1C1C"/>
          <w:spacing w:val="-2"/>
          <w:w w:val="105"/>
          <w:sz w:val="21"/>
        </w:rPr>
        <w:t>the</w:t>
      </w:r>
      <w:r>
        <w:rPr>
          <w:rFonts w:ascii="Arial"/>
          <w:color w:val="1C1C1C"/>
          <w:spacing w:val="10"/>
          <w:w w:val="105"/>
          <w:sz w:val="21"/>
        </w:rPr>
        <w:t xml:space="preserve"> </w:t>
      </w:r>
      <w:r>
        <w:rPr>
          <w:rFonts w:ascii="Arial"/>
          <w:color w:val="1C1C1C"/>
          <w:spacing w:val="-2"/>
          <w:w w:val="105"/>
          <w:sz w:val="21"/>
        </w:rPr>
        <w:t>existence</w:t>
      </w:r>
      <w:r>
        <w:rPr>
          <w:rFonts w:ascii="Arial"/>
          <w:color w:val="1C1C1C"/>
          <w:spacing w:val="-7"/>
          <w:w w:val="105"/>
          <w:sz w:val="21"/>
        </w:rPr>
        <w:t xml:space="preserve"> </w:t>
      </w:r>
      <w:r>
        <w:rPr>
          <w:rFonts w:ascii="Arial"/>
          <w:color w:val="1C1C1C"/>
          <w:spacing w:val="-2"/>
          <w:w w:val="105"/>
          <w:sz w:val="21"/>
        </w:rPr>
        <w:t>of a</w:t>
      </w:r>
      <w:r>
        <w:rPr>
          <w:rFonts w:ascii="Arial"/>
          <w:color w:val="1C1C1C"/>
          <w:spacing w:val="-14"/>
          <w:w w:val="105"/>
          <w:sz w:val="21"/>
        </w:rPr>
        <w:t xml:space="preserve"> </w:t>
      </w:r>
      <w:r>
        <w:rPr>
          <w:rFonts w:ascii="Arial"/>
          <w:color w:val="1C1C1C"/>
          <w:spacing w:val="-2"/>
          <w:w w:val="105"/>
          <w:sz w:val="21"/>
        </w:rPr>
        <w:t>"causal</w:t>
      </w:r>
      <w:r>
        <w:rPr>
          <w:rFonts w:ascii="Arial"/>
          <w:color w:val="1C1C1C"/>
          <w:spacing w:val="-13"/>
          <w:w w:val="105"/>
          <w:sz w:val="21"/>
        </w:rPr>
        <w:t xml:space="preserve"> </w:t>
      </w:r>
      <w:r>
        <w:rPr>
          <w:rFonts w:ascii="Arial"/>
          <w:color w:val="1C1C1C"/>
          <w:spacing w:val="-2"/>
          <w:w w:val="105"/>
          <w:sz w:val="21"/>
        </w:rPr>
        <w:t>relationship" and</w:t>
      </w:r>
      <w:r>
        <w:rPr>
          <w:rFonts w:ascii="Arial"/>
          <w:color w:val="1C1C1C"/>
          <w:spacing w:val="-14"/>
          <w:w w:val="105"/>
          <w:sz w:val="21"/>
        </w:rPr>
        <w:t xml:space="preserve"> </w:t>
      </w:r>
      <w:r>
        <w:rPr>
          <w:rFonts w:ascii="Arial"/>
          <w:color w:val="1C1C1C"/>
          <w:spacing w:val="-2"/>
          <w:w w:val="105"/>
          <w:sz w:val="21"/>
        </w:rPr>
        <w:t>should</w:t>
      </w:r>
      <w:r>
        <w:rPr>
          <w:rFonts w:ascii="Arial"/>
          <w:color w:val="1C1C1C"/>
          <w:spacing w:val="-13"/>
          <w:w w:val="105"/>
          <w:sz w:val="21"/>
        </w:rPr>
        <w:t xml:space="preserve"> </w:t>
      </w:r>
      <w:r>
        <w:rPr>
          <w:rFonts w:ascii="Arial"/>
          <w:color w:val="1C1C1C"/>
          <w:spacing w:val="-2"/>
          <w:w w:val="105"/>
          <w:sz w:val="21"/>
        </w:rPr>
        <w:t>have</w:t>
      </w:r>
      <w:r>
        <w:rPr>
          <w:rFonts w:ascii="Arial"/>
          <w:color w:val="1C1C1C"/>
          <w:spacing w:val="-8"/>
          <w:w w:val="105"/>
          <w:sz w:val="21"/>
        </w:rPr>
        <w:t xml:space="preserve"> </w:t>
      </w:r>
      <w:r>
        <w:rPr>
          <w:rFonts w:ascii="Arial"/>
          <w:color w:val="0C0C0C"/>
          <w:spacing w:val="-2"/>
          <w:w w:val="105"/>
          <w:sz w:val="21"/>
        </w:rPr>
        <w:t>been</w:t>
      </w:r>
      <w:r>
        <w:rPr>
          <w:rFonts w:ascii="Arial"/>
          <w:color w:val="0C0C0C"/>
          <w:spacing w:val="-14"/>
          <w:w w:val="105"/>
          <w:sz w:val="21"/>
        </w:rPr>
        <w:t xml:space="preserve"> </w:t>
      </w:r>
      <w:r>
        <w:rPr>
          <w:rFonts w:ascii="Arial"/>
          <w:color w:val="1C1C1C"/>
          <w:spacing w:val="-2"/>
          <w:w w:val="105"/>
          <w:sz w:val="21"/>
        </w:rPr>
        <w:t>addressed in</w:t>
      </w:r>
      <w:r>
        <w:rPr>
          <w:rFonts w:ascii="Arial"/>
          <w:color w:val="1C1C1C"/>
          <w:spacing w:val="-3"/>
          <w:w w:val="105"/>
          <w:sz w:val="21"/>
        </w:rPr>
        <w:t xml:space="preserve"> </w:t>
      </w:r>
      <w:r>
        <w:rPr>
          <w:rFonts w:ascii="Arial"/>
          <w:color w:val="0C0C0C"/>
          <w:spacing w:val="-2"/>
          <w:w w:val="105"/>
          <w:sz w:val="21"/>
        </w:rPr>
        <w:t xml:space="preserve">MOFCOM's </w:t>
      </w:r>
      <w:r>
        <w:rPr>
          <w:rFonts w:ascii="Arial"/>
          <w:color w:val="1C1C1C"/>
          <w:w w:val="105"/>
          <w:sz w:val="21"/>
        </w:rPr>
        <w:t>examination</w:t>
      </w:r>
      <w:r>
        <w:rPr>
          <w:rFonts w:ascii="Arial"/>
          <w:color w:val="1C1C1C"/>
          <w:spacing w:val="-16"/>
          <w:w w:val="105"/>
          <w:sz w:val="21"/>
        </w:rPr>
        <w:t xml:space="preserve"> </w:t>
      </w:r>
      <w:r>
        <w:rPr>
          <w:rFonts w:ascii="Arial"/>
          <w:color w:val="1C1C1C"/>
          <w:w w:val="105"/>
          <w:sz w:val="21"/>
        </w:rPr>
        <w:t>under</w:t>
      </w:r>
      <w:r>
        <w:rPr>
          <w:rFonts w:ascii="Arial"/>
          <w:color w:val="1C1C1C"/>
          <w:spacing w:val="-15"/>
          <w:w w:val="105"/>
          <w:sz w:val="21"/>
        </w:rPr>
        <w:t xml:space="preserve"> </w:t>
      </w:r>
      <w:r>
        <w:rPr>
          <w:rFonts w:ascii="Arial"/>
          <w:color w:val="1C1C1C"/>
          <w:w w:val="105"/>
          <w:sz w:val="21"/>
        </w:rPr>
        <w:t>Article</w:t>
      </w:r>
      <w:r>
        <w:rPr>
          <w:rFonts w:ascii="Arial"/>
          <w:color w:val="1C1C1C"/>
          <w:spacing w:val="-15"/>
          <w:w w:val="105"/>
          <w:sz w:val="21"/>
        </w:rPr>
        <w:t xml:space="preserve"> </w:t>
      </w:r>
      <w:r>
        <w:rPr>
          <w:rFonts w:ascii="Arial"/>
          <w:color w:val="1C1C1C"/>
          <w:w w:val="105"/>
          <w:sz w:val="21"/>
        </w:rPr>
        <w:t>3.5.</w:t>
      </w:r>
      <w:r>
        <w:rPr>
          <w:rFonts w:ascii="Arial"/>
          <w:color w:val="1C1C1C"/>
          <w:w w:val="105"/>
          <w:sz w:val="21"/>
          <w:vertAlign w:val="superscript"/>
        </w:rPr>
        <w:t>790</w:t>
      </w:r>
      <w:r>
        <w:rPr>
          <w:rFonts w:ascii="Arial"/>
          <w:color w:val="1C1C1C"/>
          <w:spacing w:val="-7"/>
          <w:w w:val="105"/>
          <w:sz w:val="21"/>
        </w:rPr>
        <w:t xml:space="preserve"> </w:t>
      </w:r>
      <w:r>
        <w:rPr>
          <w:rFonts w:ascii="Arial"/>
          <w:color w:val="1C1C1C"/>
          <w:w w:val="105"/>
          <w:sz w:val="21"/>
        </w:rPr>
        <w:t>At a</w:t>
      </w:r>
      <w:r>
        <w:rPr>
          <w:rFonts w:ascii="Arial"/>
          <w:color w:val="1C1C1C"/>
          <w:spacing w:val="-16"/>
          <w:w w:val="105"/>
          <w:sz w:val="21"/>
        </w:rPr>
        <w:t xml:space="preserve"> </w:t>
      </w:r>
      <w:r>
        <w:rPr>
          <w:rFonts w:ascii="Arial"/>
          <w:color w:val="0C0C0C"/>
          <w:w w:val="105"/>
          <w:sz w:val="21"/>
        </w:rPr>
        <w:t>minimum,</w:t>
      </w:r>
      <w:r>
        <w:rPr>
          <w:rFonts w:ascii="Arial"/>
          <w:color w:val="0C0C0C"/>
          <w:spacing w:val="-15"/>
          <w:w w:val="105"/>
          <w:sz w:val="21"/>
        </w:rPr>
        <w:t xml:space="preserve"> </w:t>
      </w:r>
      <w:r>
        <w:rPr>
          <w:rFonts w:ascii="Arial"/>
          <w:color w:val="1C1C1C"/>
          <w:w w:val="105"/>
          <w:sz w:val="21"/>
        </w:rPr>
        <w:t>MOFCOM was</w:t>
      </w:r>
      <w:r>
        <w:rPr>
          <w:rFonts w:ascii="Arial"/>
          <w:color w:val="1C1C1C"/>
          <w:spacing w:val="-16"/>
          <w:w w:val="105"/>
          <w:sz w:val="21"/>
        </w:rPr>
        <w:t xml:space="preserve"> </w:t>
      </w:r>
      <w:r>
        <w:rPr>
          <w:rFonts w:ascii="Arial"/>
          <w:color w:val="1C1C1C"/>
          <w:w w:val="105"/>
          <w:sz w:val="21"/>
        </w:rPr>
        <w:t>required</w:t>
      </w:r>
      <w:r>
        <w:rPr>
          <w:rFonts w:ascii="Arial"/>
          <w:color w:val="1C1C1C"/>
          <w:spacing w:val="-15"/>
          <w:w w:val="105"/>
          <w:sz w:val="21"/>
        </w:rPr>
        <w:t xml:space="preserve"> </w:t>
      </w:r>
      <w:r>
        <w:rPr>
          <w:rFonts w:ascii="Arial"/>
          <w:color w:val="0C0C0C"/>
          <w:w w:val="105"/>
          <w:sz w:val="21"/>
        </w:rPr>
        <w:t>to</w:t>
      </w:r>
      <w:r>
        <w:rPr>
          <w:rFonts w:ascii="Arial"/>
          <w:color w:val="0C0C0C"/>
          <w:spacing w:val="14"/>
          <w:w w:val="105"/>
          <w:sz w:val="21"/>
        </w:rPr>
        <w:t xml:space="preserve"> </w:t>
      </w:r>
      <w:r>
        <w:rPr>
          <w:rFonts w:ascii="Arial"/>
          <w:color w:val="1C1C1C"/>
          <w:w w:val="105"/>
          <w:sz w:val="21"/>
        </w:rPr>
        <w:t>explain</w:t>
      </w:r>
      <w:r>
        <w:rPr>
          <w:rFonts w:ascii="Arial"/>
          <w:color w:val="1C1C1C"/>
          <w:spacing w:val="-8"/>
          <w:w w:val="105"/>
          <w:sz w:val="21"/>
        </w:rPr>
        <w:t xml:space="preserve"> </w:t>
      </w:r>
      <w:r>
        <w:rPr>
          <w:rFonts w:ascii="Arial"/>
          <w:color w:val="0C0C0C"/>
          <w:w w:val="105"/>
          <w:sz w:val="21"/>
        </w:rPr>
        <w:t>how</w:t>
      </w:r>
      <w:r>
        <w:rPr>
          <w:rFonts w:ascii="Arial"/>
          <w:color w:val="0C0C0C"/>
          <w:spacing w:val="16"/>
          <w:w w:val="105"/>
          <w:sz w:val="21"/>
        </w:rPr>
        <w:t xml:space="preserve"> </w:t>
      </w:r>
      <w:r>
        <w:rPr>
          <w:rFonts w:ascii="Arial"/>
          <w:color w:val="0C0C0C"/>
          <w:w w:val="105"/>
          <w:sz w:val="21"/>
        </w:rPr>
        <w:t xml:space="preserve">it took </w:t>
      </w:r>
      <w:r>
        <w:rPr>
          <w:rFonts w:ascii="Arial"/>
          <w:color w:val="1C1C1C"/>
          <w:w w:val="105"/>
          <w:sz w:val="21"/>
        </w:rPr>
        <w:t>such</w:t>
      </w:r>
      <w:r>
        <w:rPr>
          <w:rFonts w:ascii="Arial"/>
          <w:color w:val="1C1C1C"/>
          <w:spacing w:val="-16"/>
          <w:w w:val="105"/>
          <w:sz w:val="21"/>
        </w:rPr>
        <w:t xml:space="preserve"> </w:t>
      </w:r>
      <w:r>
        <w:rPr>
          <w:rFonts w:ascii="Arial"/>
          <w:color w:val="1C1C1C"/>
          <w:w w:val="105"/>
          <w:sz w:val="21"/>
        </w:rPr>
        <w:t>evidence</w:t>
      </w:r>
      <w:r>
        <w:rPr>
          <w:rFonts w:ascii="Arial"/>
          <w:color w:val="1C1C1C"/>
          <w:spacing w:val="-15"/>
          <w:w w:val="105"/>
          <w:sz w:val="21"/>
        </w:rPr>
        <w:t xml:space="preserve"> </w:t>
      </w:r>
      <w:r>
        <w:rPr>
          <w:rFonts w:ascii="Arial"/>
          <w:color w:val="1C1C1C"/>
          <w:w w:val="105"/>
          <w:sz w:val="21"/>
        </w:rPr>
        <w:t>into</w:t>
      </w:r>
      <w:r>
        <w:rPr>
          <w:rFonts w:ascii="Arial"/>
          <w:color w:val="1C1C1C"/>
          <w:spacing w:val="-15"/>
          <w:w w:val="105"/>
          <w:sz w:val="21"/>
        </w:rPr>
        <w:t xml:space="preserve"> </w:t>
      </w:r>
      <w:r>
        <w:rPr>
          <w:rFonts w:ascii="Arial"/>
          <w:color w:val="1C1C1C"/>
          <w:w w:val="105"/>
          <w:sz w:val="21"/>
        </w:rPr>
        <w:t>account and</w:t>
      </w:r>
      <w:r>
        <w:rPr>
          <w:rFonts w:ascii="Arial"/>
          <w:color w:val="1C1C1C"/>
          <w:spacing w:val="-16"/>
          <w:w w:val="105"/>
          <w:sz w:val="21"/>
        </w:rPr>
        <w:t xml:space="preserve"> </w:t>
      </w:r>
      <w:r>
        <w:rPr>
          <w:rFonts w:ascii="Arial"/>
          <w:color w:val="1C1C1C"/>
          <w:w w:val="105"/>
          <w:sz w:val="21"/>
        </w:rPr>
        <w:t xml:space="preserve">reconciled </w:t>
      </w:r>
      <w:r>
        <w:rPr>
          <w:rFonts w:ascii="Arial"/>
          <w:color w:val="0C0C0C"/>
          <w:w w:val="105"/>
          <w:sz w:val="21"/>
        </w:rPr>
        <w:t>it</w:t>
      </w:r>
      <w:r>
        <w:rPr>
          <w:rFonts w:ascii="Arial"/>
          <w:color w:val="0C0C0C"/>
          <w:spacing w:val="17"/>
          <w:w w:val="105"/>
          <w:sz w:val="21"/>
        </w:rPr>
        <w:t xml:space="preserve"> </w:t>
      </w:r>
      <w:r>
        <w:rPr>
          <w:rFonts w:ascii="Arial"/>
          <w:color w:val="1C1C1C"/>
          <w:w w:val="105"/>
          <w:sz w:val="21"/>
        </w:rPr>
        <w:t>in reaching</w:t>
      </w:r>
      <w:r>
        <w:rPr>
          <w:rFonts w:ascii="Arial"/>
          <w:color w:val="1C1C1C"/>
          <w:spacing w:val="-16"/>
          <w:w w:val="105"/>
          <w:sz w:val="21"/>
        </w:rPr>
        <w:t xml:space="preserve"> </w:t>
      </w:r>
      <w:r>
        <w:rPr>
          <w:rFonts w:ascii="Arial"/>
          <w:color w:val="1C1C1C"/>
          <w:w w:val="105"/>
          <w:sz w:val="21"/>
        </w:rPr>
        <w:t>its conclusion</w:t>
      </w:r>
      <w:r>
        <w:rPr>
          <w:rFonts w:ascii="Arial"/>
          <w:color w:val="1C1C1C"/>
          <w:spacing w:val="-1"/>
          <w:w w:val="105"/>
          <w:sz w:val="21"/>
        </w:rPr>
        <w:t xml:space="preserve"> </w:t>
      </w:r>
      <w:r>
        <w:rPr>
          <w:rFonts w:ascii="Arial"/>
          <w:color w:val="1C1C1C"/>
          <w:w w:val="105"/>
          <w:sz w:val="21"/>
        </w:rPr>
        <w:t>that</w:t>
      </w:r>
      <w:r>
        <w:rPr>
          <w:rFonts w:ascii="Arial"/>
          <w:color w:val="1C1C1C"/>
          <w:spacing w:val="-15"/>
          <w:w w:val="105"/>
          <w:sz w:val="21"/>
        </w:rPr>
        <w:t xml:space="preserve"> </w:t>
      </w:r>
      <w:r>
        <w:rPr>
          <w:rFonts w:ascii="Arial"/>
          <w:color w:val="1C1C1C"/>
          <w:w w:val="105"/>
          <w:sz w:val="21"/>
        </w:rPr>
        <w:t>there</w:t>
      </w:r>
      <w:r>
        <w:rPr>
          <w:rFonts w:ascii="Arial"/>
          <w:color w:val="1C1C1C"/>
          <w:spacing w:val="-7"/>
          <w:w w:val="105"/>
          <w:sz w:val="21"/>
        </w:rPr>
        <w:t xml:space="preserve"> </w:t>
      </w:r>
      <w:r>
        <w:rPr>
          <w:rFonts w:ascii="Arial"/>
          <w:color w:val="1C1C1C"/>
          <w:w w:val="105"/>
          <w:sz w:val="21"/>
        </w:rPr>
        <w:t>was</w:t>
      </w:r>
      <w:r>
        <w:rPr>
          <w:rFonts w:ascii="Arial"/>
          <w:color w:val="1C1C1C"/>
          <w:spacing w:val="-14"/>
          <w:w w:val="105"/>
          <w:sz w:val="21"/>
        </w:rPr>
        <w:t xml:space="preserve"> </w:t>
      </w:r>
      <w:r>
        <w:rPr>
          <w:rFonts w:ascii="Arial"/>
          <w:color w:val="1C1C1C"/>
          <w:w w:val="105"/>
          <w:sz w:val="21"/>
        </w:rPr>
        <w:t>a</w:t>
      </w:r>
      <w:r>
        <w:rPr>
          <w:rFonts w:ascii="Arial"/>
          <w:color w:val="1C1C1C"/>
          <w:spacing w:val="-16"/>
          <w:w w:val="105"/>
          <w:sz w:val="21"/>
        </w:rPr>
        <w:t xml:space="preserve"> </w:t>
      </w:r>
      <w:r>
        <w:rPr>
          <w:rFonts w:ascii="Arial"/>
          <w:color w:val="1C1C1C"/>
          <w:w w:val="105"/>
          <w:sz w:val="21"/>
        </w:rPr>
        <w:t xml:space="preserve">causal </w:t>
      </w:r>
      <w:r>
        <w:rPr>
          <w:rFonts w:ascii="Arial"/>
          <w:color w:val="0C0C0C"/>
          <w:w w:val="105"/>
          <w:sz w:val="21"/>
        </w:rPr>
        <w:t xml:space="preserve">relationship </w:t>
      </w:r>
      <w:r>
        <w:rPr>
          <w:rFonts w:ascii="Arial"/>
          <w:color w:val="1C1C1C"/>
          <w:w w:val="105"/>
          <w:sz w:val="21"/>
        </w:rPr>
        <w:t xml:space="preserve">between subject </w:t>
      </w:r>
      <w:r>
        <w:rPr>
          <w:rFonts w:ascii="Arial"/>
          <w:color w:val="0C0C0C"/>
          <w:w w:val="105"/>
          <w:sz w:val="21"/>
        </w:rPr>
        <w:t xml:space="preserve">imports </w:t>
      </w:r>
      <w:r>
        <w:rPr>
          <w:rFonts w:ascii="Arial"/>
          <w:color w:val="1C1C1C"/>
          <w:w w:val="105"/>
          <w:sz w:val="21"/>
        </w:rPr>
        <w:t xml:space="preserve">and </w:t>
      </w:r>
      <w:r>
        <w:rPr>
          <w:rFonts w:ascii="Arial"/>
          <w:color w:val="0C0C0C"/>
          <w:w w:val="105"/>
          <w:sz w:val="21"/>
        </w:rPr>
        <w:t xml:space="preserve">price </w:t>
      </w:r>
      <w:r>
        <w:rPr>
          <w:rFonts w:ascii="Arial"/>
          <w:color w:val="1C1C1C"/>
          <w:w w:val="105"/>
          <w:sz w:val="21"/>
        </w:rPr>
        <w:t xml:space="preserve">suppression allegedly injuring </w:t>
      </w:r>
      <w:r>
        <w:rPr>
          <w:rFonts w:ascii="Arial"/>
          <w:color w:val="0C0C0C"/>
          <w:w w:val="105"/>
          <w:sz w:val="21"/>
        </w:rPr>
        <w:t xml:space="preserve">the domestic </w:t>
      </w:r>
      <w:r>
        <w:rPr>
          <w:rFonts w:ascii="Arial"/>
          <w:color w:val="1C1C1C"/>
          <w:w w:val="105"/>
          <w:sz w:val="21"/>
        </w:rPr>
        <w:t>wine industry.</w:t>
      </w:r>
      <w:r>
        <w:rPr>
          <w:rFonts w:ascii="Arial"/>
          <w:color w:val="1C1C1C"/>
          <w:spacing w:val="-8"/>
          <w:w w:val="105"/>
          <w:sz w:val="21"/>
        </w:rPr>
        <w:t xml:space="preserve"> </w:t>
      </w:r>
      <w:r>
        <w:rPr>
          <w:rFonts w:ascii="Arial"/>
          <w:color w:val="1C1C1C"/>
          <w:w w:val="105"/>
          <w:sz w:val="21"/>
        </w:rPr>
        <w:t>By</w:t>
      </w:r>
      <w:r>
        <w:rPr>
          <w:rFonts w:ascii="Arial"/>
          <w:color w:val="1C1C1C"/>
          <w:spacing w:val="-1"/>
          <w:w w:val="105"/>
          <w:sz w:val="21"/>
        </w:rPr>
        <w:t xml:space="preserve"> </w:t>
      </w:r>
      <w:r>
        <w:rPr>
          <w:rFonts w:ascii="Arial"/>
          <w:color w:val="1C1C1C"/>
          <w:w w:val="105"/>
          <w:sz w:val="21"/>
        </w:rPr>
        <w:t>failing</w:t>
      </w:r>
      <w:r>
        <w:rPr>
          <w:rFonts w:ascii="Arial"/>
          <w:color w:val="1C1C1C"/>
          <w:spacing w:val="-14"/>
          <w:w w:val="105"/>
          <w:sz w:val="21"/>
        </w:rPr>
        <w:t xml:space="preserve"> </w:t>
      </w:r>
      <w:r>
        <w:rPr>
          <w:rFonts w:ascii="Arial"/>
          <w:color w:val="1C1C1C"/>
          <w:w w:val="105"/>
          <w:sz w:val="21"/>
        </w:rPr>
        <w:t xml:space="preserve">to </w:t>
      </w:r>
      <w:r>
        <w:rPr>
          <w:rFonts w:ascii="Arial"/>
          <w:color w:val="0C0C0C"/>
          <w:w w:val="105"/>
          <w:sz w:val="21"/>
        </w:rPr>
        <w:t>do</w:t>
      </w:r>
      <w:r>
        <w:rPr>
          <w:rFonts w:ascii="Arial"/>
          <w:color w:val="0C0C0C"/>
          <w:spacing w:val="-1"/>
          <w:w w:val="105"/>
          <w:sz w:val="21"/>
        </w:rPr>
        <w:t xml:space="preserve"> </w:t>
      </w:r>
      <w:r>
        <w:rPr>
          <w:rFonts w:ascii="Arial"/>
          <w:color w:val="1C1C1C"/>
          <w:w w:val="105"/>
          <w:sz w:val="21"/>
        </w:rPr>
        <w:t>so,</w:t>
      </w:r>
      <w:r>
        <w:rPr>
          <w:rFonts w:ascii="Arial"/>
          <w:color w:val="1C1C1C"/>
          <w:spacing w:val="-3"/>
          <w:w w:val="105"/>
          <w:sz w:val="21"/>
        </w:rPr>
        <w:t xml:space="preserve"> </w:t>
      </w:r>
      <w:r>
        <w:rPr>
          <w:rFonts w:ascii="Arial"/>
          <w:color w:val="1C1C1C"/>
          <w:w w:val="105"/>
          <w:sz w:val="21"/>
        </w:rPr>
        <w:t>MOFCOM failed to conduct the examination of all relevant evidence required under the second sentence of Article 3.5.</w:t>
      </w:r>
    </w:p>
    <w:p w14:paraId="51DE919D" w14:textId="77777777" w:rsidR="0010369C" w:rsidRDefault="008E43AE">
      <w:pPr>
        <w:pStyle w:val="ListParagraph"/>
        <w:numPr>
          <w:ilvl w:val="0"/>
          <w:numId w:val="45"/>
        </w:numPr>
        <w:tabs>
          <w:tab w:val="left" w:pos="1091"/>
        </w:tabs>
        <w:spacing w:before="182" w:line="439" w:lineRule="auto"/>
        <w:ind w:right="563" w:hanging="1"/>
        <w:jc w:val="both"/>
        <w:rPr>
          <w:rFonts w:ascii="Arial"/>
          <w:color w:val="1C1C1C"/>
          <w:sz w:val="21"/>
        </w:rPr>
      </w:pPr>
      <w:r>
        <w:rPr>
          <w:rFonts w:ascii="Arial"/>
          <w:color w:val="0C0C0C"/>
          <w:w w:val="105"/>
          <w:sz w:val="21"/>
        </w:rPr>
        <w:t xml:space="preserve">For </w:t>
      </w:r>
      <w:r>
        <w:rPr>
          <w:rFonts w:ascii="Arial"/>
          <w:color w:val="1C1C1C"/>
          <w:w w:val="105"/>
          <w:sz w:val="21"/>
        </w:rPr>
        <w:t>example,</w:t>
      </w:r>
      <w:r>
        <w:rPr>
          <w:rFonts w:ascii="Arial"/>
          <w:color w:val="1C1C1C"/>
          <w:spacing w:val="-4"/>
          <w:w w:val="105"/>
          <w:sz w:val="21"/>
        </w:rPr>
        <w:t xml:space="preserve"> </w:t>
      </w:r>
      <w:r>
        <w:rPr>
          <w:rFonts w:ascii="Arial"/>
          <w:color w:val="1C1C1C"/>
          <w:w w:val="105"/>
          <w:sz w:val="21"/>
        </w:rPr>
        <w:t>MOCOM's written</w:t>
      </w:r>
      <w:r>
        <w:rPr>
          <w:rFonts w:ascii="Arial"/>
          <w:color w:val="1C1C1C"/>
          <w:spacing w:val="-2"/>
          <w:w w:val="105"/>
          <w:sz w:val="21"/>
        </w:rPr>
        <w:t xml:space="preserve"> </w:t>
      </w:r>
      <w:r>
        <w:rPr>
          <w:rFonts w:ascii="Arial"/>
          <w:color w:val="1C1C1C"/>
          <w:w w:val="105"/>
          <w:sz w:val="21"/>
        </w:rPr>
        <w:t>reasons in the</w:t>
      </w:r>
      <w:r>
        <w:rPr>
          <w:rFonts w:ascii="Arial"/>
          <w:color w:val="1C1C1C"/>
          <w:spacing w:val="40"/>
          <w:w w:val="105"/>
          <w:sz w:val="21"/>
        </w:rPr>
        <w:t xml:space="preserve"> </w:t>
      </w:r>
      <w:r>
        <w:rPr>
          <w:rFonts w:ascii="Arial"/>
          <w:color w:val="1C1C1C"/>
          <w:w w:val="105"/>
          <w:sz w:val="21"/>
        </w:rPr>
        <w:t>final</w:t>
      </w:r>
      <w:r>
        <w:rPr>
          <w:rFonts w:ascii="Arial"/>
          <w:color w:val="1C1C1C"/>
          <w:spacing w:val="-8"/>
          <w:w w:val="105"/>
          <w:sz w:val="21"/>
        </w:rPr>
        <w:t xml:space="preserve"> </w:t>
      </w:r>
      <w:r>
        <w:rPr>
          <w:rFonts w:ascii="Arial"/>
          <w:color w:val="0C0C0C"/>
          <w:w w:val="105"/>
          <w:sz w:val="21"/>
        </w:rPr>
        <w:t xml:space="preserve">determination </w:t>
      </w:r>
      <w:r>
        <w:rPr>
          <w:rFonts w:ascii="Arial"/>
          <w:color w:val="1C1C1C"/>
          <w:w w:val="105"/>
          <w:sz w:val="21"/>
        </w:rPr>
        <w:t>are</w:t>
      </w:r>
      <w:r>
        <w:rPr>
          <w:rFonts w:ascii="Arial"/>
          <w:color w:val="1C1C1C"/>
          <w:spacing w:val="-11"/>
          <w:w w:val="105"/>
          <w:sz w:val="21"/>
        </w:rPr>
        <w:t xml:space="preserve"> </w:t>
      </w:r>
      <w:r>
        <w:rPr>
          <w:rFonts w:ascii="Arial"/>
          <w:color w:val="1C1C1C"/>
          <w:w w:val="105"/>
          <w:sz w:val="21"/>
        </w:rPr>
        <w:t xml:space="preserve">insufficient </w:t>
      </w:r>
      <w:r>
        <w:rPr>
          <w:rFonts w:ascii="Arial"/>
          <w:color w:val="0C0C0C"/>
          <w:w w:val="105"/>
          <w:sz w:val="21"/>
        </w:rPr>
        <w:t xml:space="preserve">to </w:t>
      </w:r>
      <w:r>
        <w:rPr>
          <w:rFonts w:ascii="Arial"/>
          <w:color w:val="1C1C1C"/>
          <w:w w:val="105"/>
          <w:sz w:val="21"/>
        </w:rPr>
        <w:t xml:space="preserve">address </w:t>
      </w:r>
      <w:r>
        <w:rPr>
          <w:rFonts w:ascii="Arial"/>
          <w:color w:val="0C0C0C"/>
          <w:w w:val="110"/>
          <w:sz w:val="21"/>
        </w:rPr>
        <w:t>the</w:t>
      </w:r>
      <w:r>
        <w:rPr>
          <w:rFonts w:ascii="Arial"/>
          <w:color w:val="0C0C0C"/>
          <w:spacing w:val="80"/>
          <w:w w:val="110"/>
          <w:sz w:val="21"/>
        </w:rPr>
        <w:t xml:space="preserve"> </w:t>
      </w:r>
      <w:r>
        <w:rPr>
          <w:rFonts w:ascii="Arial"/>
          <w:color w:val="1C1C1C"/>
          <w:w w:val="110"/>
          <w:sz w:val="21"/>
        </w:rPr>
        <w:t>following</w:t>
      </w:r>
      <w:r>
        <w:rPr>
          <w:rFonts w:ascii="Arial"/>
          <w:color w:val="1C1C1C"/>
          <w:spacing w:val="40"/>
          <w:w w:val="110"/>
          <w:sz w:val="21"/>
        </w:rPr>
        <w:t xml:space="preserve"> </w:t>
      </w:r>
      <w:r>
        <w:rPr>
          <w:rFonts w:ascii="Arial"/>
          <w:color w:val="1C1C1C"/>
          <w:w w:val="110"/>
          <w:sz w:val="21"/>
        </w:rPr>
        <w:t>issues</w:t>
      </w:r>
      <w:r>
        <w:rPr>
          <w:rFonts w:ascii="Arial"/>
          <w:color w:val="1C1C1C"/>
          <w:spacing w:val="40"/>
          <w:w w:val="110"/>
          <w:sz w:val="21"/>
        </w:rPr>
        <w:t xml:space="preserve"> </w:t>
      </w:r>
      <w:r>
        <w:rPr>
          <w:rFonts w:ascii="Arial"/>
          <w:color w:val="1C1C1C"/>
          <w:w w:val="110"/>
          <w:sz w:val="21"/>
        </w:rPr>
        <w:t>that</w:t>
      </w:r>
      <w:r>
        <w:rPr>
          <w:rFonts w:ascii="Arial"/>
          <w:color w:val="1C1C1C"/>
          <w:spacing w:val="40"/>
          <w:w w:val="110"/>
          <w:sz w:val="21"/>
        </w:rPr>
        <w:t xml:space="preserve"> </w:t>
      </w:r>
      <w:r>
        <w:rPr>
          <w:rFonts w:ascii="Arial"/>
          <w:color w:val="1C1C1C"/>
          <w:w w:val="110"/>
          <w:sz w:val="21"/>
        </w:rPr>
        <w:t>arise</w:t>
      </w:r>
      <w:r>
        <w:rPr>
          <w:rFonts w:ascii="Arial"/>
          <w:color w:val="1C1C1C"/>
          <w:spacing w:val="40"/>
          <w:w w:val="110"/>
          <w:sz w:val="21"/>
        </w:rPr>
        <w:t xml:space="preserve"> </w:t>
      </w:r>
      <w:r>
        <w:rPr>
          <w:rFonts w:ascii="Arial"/>
          <w:color w:val="0C0C0C"/>
          <w:w w:val="110"/>
          <w:sz w:val="21"/>
        </w:rPr>
        <w:t>from</w:t>
      </w:r>
      <w:r>
        <w:rPr>
          <w:rFonts w:ascii="Arial"/>
          <w:color w:val="0C0C0C"/>
          <w:spacing w:val="40"/>
          <w:w w:val="110"/>
          <w:sz w:val="21"/>
        </w:rPr>
        <w:t xml:space="preserve"> </w:t>
      </w:r>
      <w:r>
        <w:rPr>
          <w:rFonts w:ascii="Arial"/>
          <w:color w:val="1C1C1C"/>
          <w:w w:val="110"/>
          <w:sz w:val="21"/>
        </w:rPr>
        <w:t>a</w:t>
      </w:r>
      <w:r>
        <w:rPr>
          <w:rFonts w:ascii="Arial"/>
          <w:color w:val="1C1C1C"/>
          <w:spacing w:val="40"/>
          <w:w w:val="110"/>
          <w:sz w:val="21"/>
        </w:rPr>
        <w:t xml:space="preserve"> </w:t>
      </w:r>
      <w:r>
        <w:rPr>
          <w:rFonts w:ascii="Arial"/>
          <w:color w:val="1C1C1C"/>
          <w:w w:val="110"/>
          <w:sz w:val="21"/>
        </w:rPr>
        <w:t>cursory</w:t>
      </w:r>
      <w:r>
        <w:rPr>
          <w:rFonts w:ascii="Arial"/>
          <w:color w:val="1C1C1C"/>
          <w:spacing w:val="40"/>
          <w:w w:val="110"/>
          <w:sz w:val="21"/>
        </w:rPr>
        <w:t xml:space="preserve"> </w:t>
      </w:r>
      <w:r>
        <w:rPr>
          <w:rFonts w:ascii="Arial"/>
          <w:color w:val="0C0C0C"/>
          <w:w w:val="110"/>
          <w:sz w:val="21"/>
        </w:rPr>
        <w:t>review</w:t>
      </w:r>
      <w:r>
        <w:rPr>
          <w:rFonts w:ascii="Arial"/>
          <w:color w:val="0C0C0C"/>
          <w:spacing w:val="40"/>
          <w:w w:val="110"/>
          <w:sz w:val="21"/>
        </w:rPr>
        <w:t xml:space="preserve"> </w:t>
      </w:r>
      <w:r>
        <w:rPr>
          <w:rFonts w:ascii="Arial"/>
          <w:color w:val="1C1C1C"/>
          <w:w w:val="110"/>
          <w:sz w:val="21"/>
        </w:rPr>
        <w:t>of</w:t>
      </w:r>
      <w:r>
        <w:rPr>
          <w:rFonts w:ascii="Arial"/>
          <w:color w:val="1C1C1C"/>
          <w:spacing w:val="40"/>
          <w:w w:val="110"/>
          <w:sz w:val="21"/>
        </w:rPr>
        <w:t xml:space="preserve"> </w:t>
      </w:r>
      <w:r>
        <w:rPr>
          <w:rFonts w:ascii="Arial"/>
          <w:color w:val="1C1C1C"/>
          <w:w w:val="110"/>
          <w:sz w:val="21"/>
        </w:rPr>
        <w:t>the</w:t>
      </w:r>
      <w:r>
        <w:rPr>
          <w:rFonts w:ascii="Arial"/>
          <w:color w:val="1C1C1C"/>
          <w:spacing w:val="40"/>
          <w:w w:val="110"/>
          <w:sz w:val="21"/>
        </w:rPr>
        <w:t xml:space="preserve"> </w:t>
      </w:r>
      <w:r>
        <w:rPr>
          <w:rFonts w:ascii="Arial"/>
          <w:color w:val="1C1C1C"/>
          <w:w w:val="110"/>
          <w:sz w:val="21"/>
        </w:rPr>
        <w:t xml:space="preserve">above-referenced </w:t>
      </w:r>
      <w:r>
        <w:rPr>
          <w:rFonts w:ascii="Arial"/>
          <w:color w:val="1C1C1C"/>
          <w:spacing w:val="-2"/>
          <w:w w:val="110"/>
          <w:sz w:val="21"/>
        </w:rPr>
        <w:t>evidence:</w:t>
      </w:r>
    </w:p>
    <w:p w14:paraId="51DE919E" w14:textId="77777777" w:rsidR="0010369C" w:rsidRDefault="008E43AE">
      <w:pPr>
        <w:pStyle w:val="ListParagraph"/>
        <w:numPr>
          <w:ilvl w:val="1"/>
          <w:numId w:val="45"/>
        </w:numPr>
        <w:tabs>
          <w:tab w:val="left" w:pos="961"/>
        </w:tabs>
        <w:spacing w:before="168" w:line="434" w:lineRule="auto"/>
        <w:ind w:left="953" w:right="575" w:hanging="359"/>
        <w:rPr>
          <w:rFonts w:ascii="Arial" w:hAnsi="Arial"/>
          <w:color w:val="0C0C0C"/>
          <w:sz w:val="21"/>
        </w:rPr>
      </w:pPr>
      <w:r>
        <w:rPr>
          <w:rFonts w:ascii="Arial" w:hAnsi="Arial"/>
          <w:color w:val="0C0C0C"/>
          <w:w w:val="105"/>
          <w:sz w:val="21"/>
        </w:rPr>
        <w:t xml:space="preserve">How </w:t>
      </w:r>
      <w:r>
        <w:rPr>
          <w:rFonts w:ascii="Arial" w:hAnsi="Arial"/>
          <w:color w:val="1C1C1C"/>
          <w:w w:val="105"/>
          <w:sz w:val="21"/>
        </w:rPr>
        <w:t xml:space="preserve">subject imports of Australian wine could cause significant suppression of </w:t>
      </w:r>
      <w:r>
        <w:rPr>
          <w:rFonts w:ascii="Arial" w:hAnsi="Arial"/>
          <w:color w:val="0C0C0C"/>
          <w:w w:val="105"/>
          <w:sz w:val="21"/>
        </w:rPr>
        <w:t>the increasing</w:t>
      </w:r>
      <w:r>
        <w:rPr>
          <w:rFonts w:ascii="Arial" w:hAnsi="Arial"/>
          <w:color w:val="0C0C0C"/>
          <w:spacing w:val="-9"/>
          <w:w w:val="105"/>
          <w:sz w:val="21"/>
        </w:rPr>
        <w:t xml:space="preserve"> </w:t>
      </w:r>
      <w:r>
        <w:rPr>
          <w:rFonts w:ascii="Arial" w:hAnsi="Arial"/>
          <w:color w:val="0C0C0C"/>
          <w:w w:val="105"/>
          <w:sz w:val="21"/>
        </w:rPr>
        <w:t>prices</w:t>
      </w:r>
      <w:r>
        <w:rPr>
          <w:rFonts w:ascii="Arial" w:hAnsi="Arial"/>
          <w:color w:val="0C0C0C"/>
          <w:spacing w:val="-15"/>
          <w:w w:val="105"/>
          <w:sz w:val="21"/>
        </w:rPr>
        <w:t xml:space="preserve"> </w:t>
      </w:r>
      <w:r>
        <w:rPr>
          <w:rFonts w:ascii="Arial" w:hAnsi="Arial"/>
          <w:color w:val="1C1C1C"/>
          <w:w w:val="105"/>
          <w:sz w:val="21"/>
        </w:rPr>
        <w:t>of the</w:t>
      </w:r>
      <w:r>
        <w:rPr>
          <w:rFonts w:ascii="Arial" w:hAnsi="Arial"/>
          <w:color w:val="1C1C1C"/>
          <w:spacing w:val="18"/>
          <w:w w:val="105"/>
          <w:sz w:val="21"/>
        </w:rPr>
        <w:t xml:space="preserve"> </w:t>
      </w:r>
      <w:r>
        <w:rPr>
          <w:rFonts w:ascii="Arial" w:hAnsi="Arial"/>
          <w:color w:val="0C0C0C"/>
          <w:w w:val="105"/>
          <w:sz w:val="21"/>
        </w:rPr>
        <w:t>like</w:t>
      </w:r>
      <w:r>
        <w:rPr>
          <w:rFonts w:ascii="Arial" w:hAnsi="Arial"/>
          <w:color w:val="0C0C0C"/>
          <w:spacing w:val="-13"/>
          <w:w w:val="105"/>
          <w:sz w:val="21"/>
        </w:rPr>
        <w:t xml:space="preserve"> </w:t>
      </w:r>
      <w:r>
        <w:rPr>
          <w:rFonts w:ascii="Arial" w:hAnsi="Arial"/>
          <w:color w:val="1C1C1C"/>
          <w:w w:val="105"/>
          <w:sz w:val="21"/>
        </w:rPr>
        <w:t xml:space="preserve">domestic </w:t>
      </w:r>
      <w:r>
        <w:rPr>
          <w:rFonts w:ascii="Arial" w:hAnsi="Arial"/>
          <w:color w:val="0C0C0C"/>
          <w:w w:val="105"/>
          <w:sz w:val="21"/>
        </w:rPr>
        <w:t>products</w:t>
      </w:r>
      <w:r>
        <w:rPr>
          <w:rFonts w:ascii="Arial" w:hAnsi="Arial"/>
          <w:color w:val="0C0C0C"/>
          <w:spacing w:val="-11"/>
          <w:w w:val="105"/>
          <w:sz w:val="21"/>
        </w:rPr>
        <w:t xml:space="preserve"> </w:t>
      </w:r>
      <w:r>
        <w:rPr>
          <w:rFonts w:ascii="Arial" w:hAnsi="Arial"/>
          <w:color w:val="1C1C1C"/>
          <w:w w:val="105"/>
          <w:sz w:val="21"/>
        </w:rPr>
        <w:t>in</w:t>
      </w:r>
      <w:r>
        <w:rPr>
          <w:rFonts w:ascii="Arial" w:hAnsi="Arial"/>
          <w:color w:val="1C1C1C"/>
          <w:spacing w:val="-9"/>
          <w:w w:val="105"/>
          <w:sz w:val="21"/>
        </w:rPr>
        <w:t xml:space="preserve"> </w:t>
      </w:r>
      <w:r>
        <w:rPr>
          <w:rFonts w:ascii="Arial" w:hAnsi="Arial"/>
          <w:color w:val="1C1C1C"/>
          <w:w w:val="105"/>
          <w:sz w:val="21"/>
        </w:rPr>
        <w:t>circumstances</w:t>
      </w:r>
      <w:r>
        <w:rPr>
          <w:rFonts w:ascii="Arial" w:hAnsi="Arial"/>
          <w:color w:val="1C1C1C"/>
          <w:spacing w:val="-7"/>
          <w:w w:val="105"/>
          <w:sz w:val="21"/>
        </w:rPr>
        <w:t xml:space="preserve"> </w:t>
      </w:r>
      <w:r>
        <w:rPr>
          <w:rFonts w:ascii="Arial" w:hAnsi="Arial"/>
          <w:color w:val="1C1C1C"/>
          <w:w w:val="105"/>
          <w:sz w:val="21"/>
        </w:rPr>
        <w:t>where:</w:t>
      </w:r>
      <w:r>
        <w:rPr>
          <w:rFonts w:ascii="Arial" w:hAnsi="Arial"/>
          <w:color w:val="1C1C1C"/>
          <w:spacing w:val="-16"/>
          <w:w w:val="105"/>
          <w:sz w:val="21"/>
        </w:rPr>
        <w:t xml:space="preserve"> </w:t>
      </w:r>
      <w:r>
        <w:rPr>
          <w:rFonts w:ascii="Arial" w:hAnsi="Arial"/>
          <w:color w:val="1C1C1C"/>
          <w:w w:val="105"/>
          <w:sz w:val="21"/>
        </w:rPr>
        <w:t>(i)</w:t>
      </w:r>
      <w:r>
        <w:rPr>
          <w:rFonts w:ascii="Arial" w:hAnsi="Arial"/>
          <w:color w:val="1C1C1C"/>
          <w:spacing w:val="-13"/>
          <w:w w:val="105"/>
          <w:sz w:val="21"/>
        </w:rPr>
        <w:t xml:space="preserve"> </w:t>
      </w:r>
      <w:r>
        <w:rPr>
          <w:rFonts w:ascii="Arial" w:hAnsi="Arial"/>
          <w:color w:val="1C1C1C"/>
          <w:w w:val="105"/>
          <w:sz w:val="21"/>
        </w:rPr>
        <w:t xml:space="preserve">the average </w:t>
      </w:r>
      <w:r>
        <w:rPr>
          <w:rFonts w:ascii="Arial" w:hAnsi="Arial"/>
          <w:color w:val="0C0C0C"/>
          <w:w w:val="105"/>
          <w:sz w:val="21"/>
        </w:rPr>
        <w:t xml:space="preserve">unit price </w:t>
      </w:r>
      <w:r>
        <w:rPr>
          <w:rFonts w:ascii="Arial" w:hAnsi="Arial"/>
          <w:color w:val="1C1C1C"/>
          <w:w w:val="105"/>
          <w:sz w:val="21"/>
        </w:rPr>
        <w:t xml:space="preserve">of the </w:t>
      </w:r>
      <w:r>
        <w:rPr>
          <w:rFonts w:ascii="Arial" w:hAnsi="Arial"/>
          <w:color w:val="0C0C0C"/>
          <w:w w:val="105"/>
          <w:sz w:val="21"/>
        </w:rPr>
        <w:t xml:space="preserve">basket </w:t>
      </w:r>
      <w:r>
        <w:rPr>
          <w:rFonts w:ascii="Arial" w:hAnsi="Arial"/>
          <w:color w:val="1C1C1C"/>
          <w:w w:val="105"/>
          <w:sz w:val="21"/>
        </w:rPr>
        <w:t xml:space="preserve">of </w:t>
      </w:r>
      <w:r>
        <w:rPr>
          <w:rFonts w:ascii="Arial" w:hAnsi="Arial"/>
          <w:color w:val="0C0C0C"/>
          <w:w w:val="105"/>
          <w:sz w:val="21"/>
        </w:rPr>
        <w:t xml:space="preserve">like </w:t>
      </w:r>
      <w:r>
        <w:rPr>
          <w:rFonts w:ascii="Arial" w:hAnsi="Arial"/>
          <w:color w:val="1C1C1C"/>
          <w:w w:val="105"/>
          <w:sz w:val="21"/>
        </w:rPr>
        <w:t xml:space="preserve">domestic </w:t>
      </w:r>
      <w:r>
        <w:rPr>
          <w:rFonts w:ascii="Arial" w:hAnsi="Arial"/>
          <w:color w:val="0C0C0C"/>
          <w:w w:val="105"/>
          <w:sz w:val="21"/>
        </w:rPr>
        <w:t xml:space="preserve">products </w:t>
      </w:r>
      <w:r>
        <w:rPr>
          <w:rFonts w:ascii="Arial" w:hAnsi="Arial"/>
          <w:color w:val="1C1C1C"/>
          <w:w w:val="105"/>
          <w:sz w:val="21"/>
        </w:rPr>
        <w:t xml:space="preserve">steadily increased throughout </w:t>
      </w:r>
      <w:r>
        <w:rPr>
          <w:rFonts w:ascii="Arial" w:hAnsi="Arial"/>
          <w:color w:val="0C0C0C"/>
          <w:w w:val="105"/>
          <w:sz w:val="21"/>
        </w:rPr>
        <w:t>the Injury POI,</w:t>
      </w:r>
      <w:r>
        <w:rPr>
          <w:rFonts w:ascii="Arial" w:hAnsi="Arial"/>
          <w:color w:val="0C0C0C"/>
          <w:spacing w:val="-1"/>
          <w:w w:val="105"/>
          <w:sz w:val="21"/>
        </w:rPr>
        <w:t xml:space="preserve"> </w:t>
      </w:r>
      <w:r>
        <w:rPr>
          <w:rFonts w:ascii="Arial" w:hAnsi="Arial"/>
          <w:color w:val="0C0C0C"/>
          <w:w w:val="105"/>
          <w:sz w:val="21"/>
        </w:rPr>
        <w:t>rising</w:t>
      </w:r>
      <w:r>
        <w:rPr>
          <w:rFonts w:ascii="Arial" w:hAnsi="Arial"/>
          <w:color w:val="0C0C0C"/>
          <w:spacing w:val="-1"/>
          <w:w w:val="105"/>
          <w:sz w:val="21"/>
        </w:rPr>
        <w:t xml:space="preserve"> </w:t>
      </w:r>
      <w:r>
        <w:rPr>
          <w:rFonts w:ascii="Arial" w:hAnsi="Arial"/>
          <w:color w:val="1C1C1C"/>
          <w:w w:val="105"/>
          <w:sz w:val="21"/>
        </w:rPr>
        <w:t>20.5%</w:t>
      </w:r>
      <w:r>
        <w:rPr>
          <w:rFonts w:ascii="Arial" w:hAnsi="Arial"/>
          <w:color w:val="1C1C1C"/>
          <w:spacing w:val="-3"/>
          <w:w w:val="105"/>
          <w:sz w:val="21"/>
        </w:rPr>
        <w:t xml:space="preserve"> </w:t>
      </w:r>
      <w:r>
        <w:rPr>
          <w:rFonts w:ascii="Arial" w:hAnsi="Arial"/>
          <w:color w:val="1C1C1C"/>
          <w:w w:val="105"/>
          <w:sz w:val="21"/>
        </w:rPr>
        <w:t>over the 5-year period;</w:t>
      </w:r>
      <w:r>
        <w:rPr>
          <w:rFonts w:ascii="Arial" w:hAnsi="Arial"/>
          <w:color w:val="1C1C1C"/>
          <w:spacing w:val="-4"/>
          <w:w w:val="105"/>
          <w:sz w:val="21"/>
        </w:rPr>
        <w:t xml:space="preserve"> </w:t>
      </w:r>
      <w:r>
        <w:rPr>
          <w:rFonts w:ascii="Times New Roman" w:hAnsi="Times New Roman"/>
          <w:color w:val="1C1C1C"/>
          <w:w w:val="105"/>
        </w:rPr>
        <w:t>(ii)</w:t>
      </w:r>
      <w:r>
        <w:rPr>
          <w:rFonts w:ascii="Times New Roman" w:hAnsi="Times New Roman"/>
          <w:color w:val="1C1C1C"/>
          <w:spacing w:val="-1"/>
          <w:w w:val="105"/>
        </w:rPr>
        <w:t xml:space="preserve"> </w:t>
      </w:r>
      <w:r>
        <w:rPr>
          <w:rFonts w:ascii="Arial" w:hAnsi="Arial"/>
          <w:color w:val="1C1C1C"/>
          <w:w w:val="105"/>
          <w:sz w:val="21"/>
        </w:rPr>
        <w:t>there</w:t>
      </w:r>
      <w:r>
        <w:rPr>
          <w:rFonts w:ascii="Arial" w:hAnsi="Arial"/>
          <w:color w:val="1C1C1C"/>
          <w:spacing w:val="-2"/>
          <w:w w:val="105"/>
          <w:sz w:val="21"/>
        </w:rPr>
        <w:t xml:space="preserve"> </w:t>
      </w:r>
      <w:r>
        <w:rPr>
          <w:rFonts w:ascii="Arial" w:hAnsi="Arial"/>
          <w:color w:val="0C0C0C"/>
          <w:w w:val="105"/>
          <w:sz w:val="21"/>
        </w:rPr>
        <w:t>is</w:t>
      </w:r>
      <w:r>
        <w:rPr>
          <w:rFonts w:ascii="Arial" w:hAnsi="Arial"/>
          <w:color w:val="0C0C0C"/>
          <w:spacing w:val="-8"/>
          <w:w w:val="105"/>
          <w:sz w:val="21"/>
        </w:rPr>
        <w:t xml:space="preserve"> </w:t>
      </w:r>
      <w:r>
        <w:rPr>
          <w:rFonts w:ascii="Arial" w:hAnsi="Arial"/>
          <w:color w:val="1C1C1C"/>
          <w:w w:val="105"/>
          <w:sz w:val="21"/>
        </w:rPr>
        <w:t xml:space="preserve">no evidence of </w:t>
      </w:r>
      <w:r>
        <w:rPr>
          <w:rFonts w:ascii="Arial" w:hAnsi="Arial"/>
          <w:color w:val="0C0C0C"/>
          <w:w w:val="105"/>
          <w:sz w:val="21"/>
        </w:rPr>
        <w:t xml:space="preserve">how </w:t>
      </w:r>
      <w:r>
        <w:rPr>
          <w:rFonts w:ascii="Arial" w:hAnsi="Arial"/>
          <w:color w:val="1C1C1C"/>
          <w:w w:val="105"/>
          <w:sz w:val="21"/>
        </w:rPr>
        <w:t xml:space="preserve">much </w:t>
      </w:r>
      <w:r>
        <w:rPr>
          <w:rFonts w:ascii="Arial" w:hAnsi="Arial"/>
          <w:color w:val="0C0C0C"/>
          <w:w w:val="105"/>
          <w:sz w:val="21"/>
        </w:rPr>
        <w:t>more</w:t>
      </w:r>
      <w:r>
        <w:rPr>
          <w:rFonts w:ascii="Arial" w:hAnsi="Arial"/>
          <w:color w:val="0C0C0C"/>
          <w:spacing w:val="-16"/>
          <w:w w:val="105"/>
          <w:sz w:val="21"/>
        </w:rPr>
        <w:t xml:space="preserve"> </w:t>
      </w:r>
      <w:r>
        <w:rPr>
          <w:rFonts w:ascii="Arial" w:hAnsi="Arial"/>
          <w:color w:val="1C1C1C"/>
          <w:w w:val="105"/>
          <w:sz w:val="21"/>
        </w:rPr>
        <w:t>those</w:t>
      </w:r>
      <w:r>
        <w:rPr>
          <w:rFonts w:ascii="Arial" w:hAnsi="Arial"/>
          <w:color w:val="1C1C1C"/>
          <w:spacing w:val="-15"/>
          <w:w w:val="105"/>
          <w:sz w:val="21"/>
        </w:rPr>
        <w:t xml:space="preserve"> </w:t>
      </w:r>
      <w:r>
        <w:rPr>
          <w:rFonts w:ascii="Arial" w:hAnsi="Arial"/>
          <w:color w:val="1C1C1C"/>
          <w:w w:val="105"/>
          <w:sz w:val="21"/>
        </w:rPr>
        <w:t>prices</w:t>
      </w:r>
      <w:r>
        <w:rPr>
          <w:rFonts w:ascii="Arial" w:hAnsi="Arial"/>
          <w:color w:val="1C1C1C"/>
          <w:spacing w:val="-15"/>
          <w:w w:val="105"/>
          <w:sz w:val="21"/>
        </w:rPr>
        <w:t xml:space="preserve"> </w:t>
      </w:r>
      <w:r>
        <w:rPr>
          <w:rFonts w:ascii="Arial" w:hAnsi="Arial"/>
          <w:color w:val="1C1C1C"/>
          <w:w w:val="105"/>
          <w:sz w:val="21"/>
        </w:rPr>
        <w:t>were</w:t>
      </w:r>
      <w:r>
        <w:rPr>
          <w:rFonts w:ascii="Arial" w:hAnsi="Arial"/>
          <w:color w:val="1C1C1C"/>
          <w:spacing w:val="-16"/>
          <w:w w:val="105"/>
          <w:sz w:val="21"/>
        </w:rPr>
        <w:t xml:space="preserve"> </w:t>
      </w:r>
      <w:r>
        <w:rPr>
          <w:rFonts w:ascii="Arial" w:hAnsi="Arial"/>
          <w:color w:val="1C1C1C"/>
          <w:w w:val="105"/>
          <w:sz w:val="21"/>
        </w:rPr>
        <w:t>expected</w:t>
      </w:r>
      <w:r>
        <w:rPr>
          <w:rFonts w:ascii="Arial" w:hAnsi="Arial"/>
          <w:color w:val="1C1C1C"/>
          <w:spacing w:val="-6"/>
          <w:w w:val="105"/>
          <w:sz w:val="21"/>
        </w:rPr>
        <w:t xml:space="preserve"> </w:t>
      </w:r>
      <w:r>
        <w:rPr>
          <w:rFonts w:ascii="Arial" w:hAnsi="Arial"/>
          <w:color w:val="0C0C0C"/>
          <w:w w:val="105"/>
          <w:sz w:val="21"/>
        </w:rPr>
        <w:t>to</w:t>
      </w:r>
      <w:r>
        <w:rPr>
          <w:rFonts w:ascii="Arial" w:hAnsi="Arial"/>
          <w:color w:val="0C0C0C"/>
          <w:spacing w:val="28"/>
          <w:w w:val="105"/>
          <w:sz w:val="21"/>
        </w:rPr>
        <w:t xml:space="preserve"> </w:t>
      </w:r>
      <w:r>
        <w:rPr>
          <w:rFonts w:ascii="Arial" w:hAnsi="Arial"/>
          <w:color w:val="0C0C0C"/>
          <w:w w:val="105"/>
          <w:sz w:val="21"/>
        </w:rPr>
        <w:t>rise</w:t>
      </w:r>
      <w:r>
        <w:rPr>
          <w:rFonts w:ascii="Arial" w:hAnsi="Arial"/>
          <w:color w:val="0C0C0C"/>
          <w:spacing w:val="-16"/>
          <w:w w:val="105"/>
          <w:sz w:val="21"/>
        </w:rPr>
        <w:t xml:space="preserve"> </w:t>
      </w:r>
      <w:r>
        <w:rPr>
          <w:rFonts w:ascii="Arial" w:hAnsi="Arial"/>
          <w:color w:val="1C1C1C"/>
          <w:w w:val="105"/>
          <w:sz w:val="21"/>
        </w:rPr>
        <w:t>(or could</w:t>
      </w:r>
      <w:r>
        <w:rPr>
          <w:rFonts w:ascii="Arial" w:hAnsi="Arial"/>
          <w:color w:val="1C1C1C"/>
          <w:spacing w:val="-16"/>
          <w:w w:val="105"/>
          <w:sz w:val="21"/>
        </w:rPr>
        <w:t xml:space="preserve"> </w:t>
      </w:r>
      <w:r>
        <w:rPr>
          <w:rFonts w:ascii="Arial" w:hAnsi="Arial"/>
          <w:color w:val="1C1C1C"/>
          <w:w w:val="105"/>
          <w:sz w:val="21"/>
        </w:rPr>
        <w:t>reasonably</w:t>
      </w:r>
      <w:r>
        <w:rPr>
          <w:rFonts w:ascii="Arial" w:hAnsi="Arial"/>
          <w:color w:val="1C1C1C"/>
          <w:spacing w:val="-2"/>
          <w:w w:val="105"/>
          <w:sz w:val="21"/>
        </w:rPr>
        <w:t xml:space="preserve"> </w:t>
      </w:r>
      <w:r>
        <w:rPr>
          <w:rFonts w:ascii="Arial" w:hAnsi="Arial"/>
          <w:color w:val="0C0C0C"/>
          <w:w w:val="105"/>
          <w:sz w:val="21"/>
        </w:rPr>
        <w:t>be</w:t>
      </w:r>
      <w:r>
        <w:rPr>
          <w:rFonts w:ascii="Arial" w:hAnsi="Arial"/>
          <w:color w:val="0C0C0C"/>
          <w:spacing w:val="-9"/>
          <w:w w:val="105"/>
          <w:sz w:val="21"/>
        </w:rPr>
        <w:t xml:space="preserve"> </w:t>
      </w:r>
      <w:r>
        <w:rPr>
          <w:rFonts w:ascii="Arial" w:hAnsi="Arial"/>
          <w:color w:val="1C1C1C"/>
          <w:w w:val="105"/>
          <w:sz w:val="21"/>
        </w:rPr>
        <w:t>expected</w:t>
      </w:r>
      <w:r>
        <w:rPr>
          <w:rFonts w:ascii="Arial" w:hAnsi="Arial"/>
          <w:color w:val="1C1C1C"/>
          <w:spacing w:val="-6"/>
          <w:w w:val="105"/>
          <w:sz w:val="21"/>
        </w:rPr>
        <w:t xml:space="preserve"> </w:t>
      </w:r>
      <w:r>
        <w:rPr>
          <w:rFonts w:ascii="Arial" w:hAnsi="Arial"/>
          <w:color w:val="0C0C0C"/>
          <w:w w:val="105"/>
          <w:sz w:val="21"/>
        </w:rPr>
        <w:t>to</w:t>
      </w:r>
      <w:r>
        <w:rPr>
          <w:rFonts w:ascii="Arial" w:hAnsi="Arial"/>
          <w:color w:val="0C0C0C"/>
          <w:spacing w:val="28"/>
          <w:w w:val="105"/>
          <w:sz w:val="21"/>
        </w:rPr>
        <w:t xml:space="preserve"> </w:t>
      </w:r>
      <w:r>
        <w:rPr>
          <w:rFonts w:ascii="Arial" w:hAnsi="Arial"/>
          <w:color w:val="0C0C0C"/>
          <w:w w:val="105"/>
          <w:sz w:val="21"/>
        </w:rPr>
        <w:t>rise)</w:t>
      </w:r>
      <w:r>
        <w:rPr>
          <w:rFonts w:ascii="Arial" w:hAnsi="Arial"/>
          <w:color w:val="0C0C0C"/>
          <w:spacing w:val="-5"/>
          <w:w w:val="105"/>
          <w:sz w:val="21"/>
        </w:rPr>
        <w:t xml:space="preserve"> </w:t>
      </w:r>
      <w:r>
        <w:rPr>
          <w:rFonts w:ascii="Arial" w:hAnsi="Arial"/>
          <w:color w:val="1C1C1C"/>
          <w:w w:val="105"/>
          <w:sz w:val="21"/>
        </w:rPr>
        <w:t>"but for" the</w:t>
      </w:r>
      <w:r>
        <w:rPr>
          <w:rFonts w:ascii="Arial" w:hAnsi="Arial"/>
          <w:color w:val="1C1C1C"/>
          <w:spacing w:val="-16"/>
          <w:w w:val="105"/>
          <w:sz w:val="21"/>
        </w:rPr>
        <w:t xml:space="preserve"> </w:t>
      </w:r>
      <w:r>
        <w:rPr>
          <w:rFonts w:ascii="Arial" w:hAnsi="Arial"/>
          <w:color w:val="1C1C1C"/>
          <w:w w:val="105"/>
          <w:sz w:val="21"/>
        </w:rPr>
        <w:t>alleged impact</w:t>
      </w:r>
      <w:r>
        <w:rPr>
          <w:rFonts w:ascii="Arial" w:hAnsi="Arial"/>
          <w:color w:val="1C1C1C"/>
          <w:spacing w:val="-3"/>
          <w:w w:val="105"/>
          <w:sz w:val="21"/>
        </w:rPr>
        <w:t xml:space="preserve"> </w:t>
      </w:r>
      <w:r>
        <w:rPr>
          <w:rFonts w:ascii="Arial" w:hAnsi="Arial"/>
          <w:color w:val="1C1C1C"/>
          <w:w w:val="105"/>
          <w:sz w:val="21"/>
        </w:rPr>
        <w:t>of</w:t>
      </w:r>
      <w:r>
        <w:rPr>
          <w:rFonts w:ascii="Arial" w:hAnsi="Arial"/>
          <w:color w:val="1C1C1C"/>
          <w:spacing w:val="24"/>
          <w:w w:val="105"/>
          <w:sz w:val="21"/>
        </w:rPr>
        <w:t xml:space="preserve"> </w:t>
      </w:r>
      <w:r>
        <w:rPr>
          <w:rFonts w:ascii="Arial" w:hAnsi="Arial"/>
          <w:color w:val="1C1C1C"/>
          <w:w w:val="105"/>
          <w:sz w:val="21"/>
        </w:rPr>
        <w:t>the subject imports;</w:t>
      </w:r>
      <w:r>
        <w:rPr>
          <w:rFonts w:ascii="Arial" w:hAnsi="Arial"/>
          <w:color w:val="1C1C1C"/>
          <w:spacing w:val="-3"/>
          <w:w w:val="105"/>
          <w:sz w:val="21"/>
        </w:rPr>
        <w:t xml:space="preserve"> </w:t>
      </w:r>
      <w:r>
        <w:rPr>
          <w:rFonts w:ascii="Arial" w:hAnsi="Arial"/>
          <w:color w:val="1C1C1C"/>
          <w:w w:val="105"/>
          <w:sz w:val="21"/>
        </w:rPr>
        <w:t>(iii) the</w:t>
      </w:r>
      <w:r>
        <w:rPr>
          <w:rFonts w:ascii="Arial" w:hAnsi="Arial"/>
          <w:color w:val="1C1C1C"/>
          <w:spacing w:val="-2"/>
          <w:w w:val="105"/>
          <w:sz w:val="21"/>
        </w:rPr>
        <w:t xml:space="preserve"> </w:t>
      </w:r>
      <w:r>
        <w:rPr>
          <w:rFonts w:ascii="Arial" w:hAnsi="Arial"/>
          <w:color w:val="1C1C1C"/>
          <w:w w:val="105"/>
          <w:sz w:val="21"/>
        </w:rPr>
        <w:t xml:space="preserve">average </w:t>
      </w:r>
      <w:r>
        <w:rPr>
          <w:rFonts w:ascii="Arial" w:hAnsi="Arial"/>
          <w:color w:val="0C0C0C"/>
          <w:w w:val="105"/>
          <w:sz w:val="21"/>
        </w:rPr>
        <w:t>unit price</w:t>
      </w:r>
      <w:r>
        <w:rPr>
          <w:rFonts w:ascii="Arial" w:hAnsi="Arial"/>
          <w:color w:val="0C0C0C"/>
          <w:spacing w:val="-6"/>
          <w:w w:val="105"/>
          <w:sz w:val="21"/>
        </w:rPr>
        <w:t xml:space="preserve"> </w:t>
      </w:r>
      <w:r>
        <w:rPr>
          <w:rFonts w:ascii="Arial" w:hAnsi="Arial"/>
          <w:color w:val="1C1C1C"/>
          <w:w w:val="105"/>
          <w:sz w:val="21"/>
        </w:rPr>
        <w:t>of the</w:t>
      </w:r>
      <w:r>
        <w:rPr>
          <w:rFonts w:ascii="Arial" w:hAnsi="Arial"/>
          <w:color w:val="1C1C1C"/>
          <w:spacing w:val="23"/>
          <w:w w:val="105"/>
          <w:sz w:val="21"/>
        </w:rPr>
        <w:t xml:space="preserve"> </w:t>
      </w:r>
      <w:r>
        <w:rPr>
          <w:rFonts w:ascii="Arial" w:hAnsi="Arial"/>
          <w:color w:val="1C1C1C"/>
          <w:w w:val="105"/>
          <w:sz w:val="21"/>
        </w:rPr>
        <w:t>basket of imported</w:t>
      </w:r>
      <w:r>
        <w:rPr>
          <w:rFonts w:ascii="Arial" w:hAnsi="Arial"/>
          <w:color w:val="1C1C1C"/>
          <w:spacing w:val="-6"/>
          <w:w w:val="105"/>
          <w:sz w:val="21"/>
        </w:rPr>
        <w:t xml:space="preserve"> </w:t>
      </w:r>
      <w:r>
        <w:rPr>
          <w:rFonts w:ascii="Arial" w:hAnsi="Arial"/>
          <w:color w:val="1C1C1C"/>
          <w:w w:val="105"/>
          <w:sz w:val="21"/>
        </w:rPr>
        <w:t>products</w:t>
      </w:r>
      <w:r>
        <w:rPr>
          <w:rFonts w:ascii="Arial" w:hAnsi="Arial"/>
          <w:color w:val="1C1C1C"/>
          <w:spacing w:val="-6"/>
          <w:w w:val="105"/>
          <w:sz w:val="21"/>
        </w:rPr>
        <w:t xml:space="preserve"> </w:t>
      </w:r>
      <w:r>
        <w:rPr>
          <w:rFonts w:ascii="Arial" w:hAnsi="Arial"/>
          <w:color w:val="1C1C1C"/>
          <w:w w:val="105"/>
          <w:sz w:val="21"/>
        </w:rPr>
        <w:t>was</w:t>
      </w:r>
      <w:r>
        <w:rPr>
          <w:rFonts w:ascii="Arial" w:hAnsi="Arial"/>
          <w:color w:val="1C1C1C"/>
          <w:spacing w:val="-22"/>
          <w:w w:val="105"/>
          <w:sz w:val="21"/>
        </w:rPr>
        <w:t xml:space="preserve"> </w:t>
      </w:r>
      <w:r>
        <w:rPr>
          <w:rFonts w:ascii="Arial" w:hAnsi="Arial"/>
          <w:color w:val="1C1C1C"/>
          <w:w w:val="105"/>
          <w:sz w:val="21"/>
        </w:rPr>
        <w:t>considerably</w:t>
      </w:r>
      <w:r>
        <w:rPr>
          <w:rFonts w:ascii="Arial" w:hAnsi="Arial"/>
          <w:color w:val="1C1C1C"/>
          <w:spacing w:val="-3"/>
          <w:w w:val="105"/>
          <w:sz w:val="21"/>
        </w:rPr>
        <w:t xml:space="preserve"> </w:t>
      </w:r>
      <w:r>
        <w:rPr>
          <w:rFonts w:ascii="Arial" w:hAnsi="Arial"/>
          <w:color w:val="1C1C1C"/>
          <w:w w:val="105"/>
          <w:sz w:val="21"/>
        </w:rPr>
        <w:t>higher</w:t>
      </w:r>
      <w:r>
        <w:rPr>
          <w:rFonts w:ascii="Arial" w:hAnsi="Arial"/>
          <w:color w:val="1C1C1C"/>
          <w:spacing w:val="-9"/>
          <w:w w:val="105"/>
          <w:sz w:val="21"/>
        </w:rPr>
        <w:t xml:space="preserve"> </w:t>
      </w:r>
      <w:r>
        <w:rPr>
          <w:rFonts w:ascii="Arial" w:hAnsi="Arial"/>
          <w:color w:val="1C1C1C"/>
          <w:w w:val="105"/>
          <w:sz w:val="21"/>
        </w:rPr>
        <w:t>than</w:t>
      </w:r>
      <w:r>
        <w:rPr>
          <w:rFonts w:ascii="Arial" w:hAnsi="Arial"/>
          <w:color w:val="1C1C1C"/>
          <w:spacing w:val="-26"/>
          <w:w w:val="105"/>
          <w:sz w:val="21"/>
        </w:rPr>
        <w:t xml:space="preserve"> </w:t>
      </w:r>
      <w:r>
        <w:rPr>
          <w:rFonts w:ascii="Arial" w:hAnsi="Arial"/>
          <w:color w:val="0C0C0C"/>
          <w:w w:val="105"/>
          <w:sz w:val="21"/>
        </w:rPr>
        <w:t>the</w:t>
      </w:r>
      <w:r>
        <w:rPr>
          <w:rFonts w:ascii="Arial" w:hAnsi="Arial"/>
          <w:color w:val="0C0C0C"/>
          <w:spacing w:val="-3"/>
          <w:w w:val="105"/>
          <w:sz w:val="21"/>
        </w:rPr>
        <w:t xml:space="preserve"> </w:t>
      </w:r>
      <w:r>
        <w:rPr>
          <w:rFonts w:ascii="Arial" w:hAnsi="Arial"/>
          <w:color w:val="1C1C1C"/>
          <w:w w:val="105"/>
          <w:sz w:val="21"/>
        </w:rPr>
        <w:t>average</w:t>
      </w:r>
      <w:r>
        <w:rPr>
          <w:rFonts w:ascii="Arial" w:hAnsi="Arial"/>
          <w:color w:val="1C1C1C"/>
          <w:spacing w:val="-10"/>
          <w:w w:val="105"/>
          <w:sz w:val="21"/>
        </w:rPr>
        <w:t xml:space="preserve"> </w:t>
      </w:r>
      <w:r>
        <w:rPr>
          <w:rFonts w:ascii="Arial" w:hAnsi="Arial"/>
          <w:color w:val="0C0C0C"/>
          <w:w w:val="105"/>
          <w:sz w:val="21"/>
        </w:rPr>
        <w:t>unit</w:t>
      </w:r>
      <w:r>
        <w:rPr>
          <w:rFonts w:ascii="Arial" w:hAnsi="Arial"/>
          <w:color w:val="0C0C0C"/>
          <w:spacing w:val="-15"/>
          <w:w w:val="105"/>
          <w:sz w:val="21"/>
        </w:rPr>
        <w:t xml:space="preserve"> </w:t>
      </w:r>
      <w:r>
        <w:rPr>
          <w:rFonts w:ascii="Arial" w:hAnsi="Arial"/>
          <w:color w:val="1C1C1C"/>
          <w:w w:val="105"/>
          <w:sz w:val="21"/>
        </w:rPr>
        <w:t>price</w:t>
      </w:r>
      <w:r>
        <w:rPr>
          <w:rFonts w:ascii="Arial" w:hAnsi="Arial"/>
          <w:color w:val="1C1C1C"/>
          <w:spacing w:val="-11"/>
          <w:w w:val="105"/>
          <w:sz w:val="21"/>
        </w:rPr>
        <w:t xml:space="preserve"> </w:t>
      </w:r>
      <w:r>
        <w:rPr>
          <w:rFonts w:ascii="Arial" w:hAnsi="Arial"/>
          <w:color w:val="1C1C1C"/>
          <w:w w:val="105"/>
          <w:sz w:val="21"/>
        </w:rPr>
        <w:t>of</w:t>
      </w:r>
      <w:r>
        <w:rPr>
          <w:rFonts w:ascii="Arial" w:hAnsi="Arial"/>
          <w:color w:val="1C1C1C"/>
          <w:spacing w:val="-3"/>
          <w:w w:val="105"/>
          <w:sz w:val="21"/>
        </w:rPr>
        <w:t xml:space="preserve"> </w:t>
      </w:r>
      <w:r>
        <w:rPr>
          <w:rFonts w:ascii="Arial" w:hAnsi="Arial"/>
          <w:color w:val="1C1C1C"/>
          <w:w w:val="105"/>
          <w:sz w:val="21"/>
        </w:rPr>
        <w:t>the</w:t>
      </w:r>
      <w:r>
        <w:rPr>
          <w:rFonts w:ascii="Arial" w:hAnsi="Arial"/>
          <w:color w:val="1C1C1C"/>
          <w:spacing w:val="24"/>
          <w:w w:val="105"/>
          <w:sz w:val="21"/>
        </w:rPr>
        <w:t xml:space="preserve"> </w:t>
      </w:r>
      <w:r>
        <w:rPr>
          <w:rFonts w:ascii="Arial" w:hAnsi="Arial"/>
          <w:color w:val="0C0C0C"/>
          <w:w w:val="105"/>
          <w:sz w:val="21"/>
        </w:rPr>
        <w:t>basket</w:t>
      </w:r>
    </w:p>
    <w:p w14:paraId="51DE919F" w14:textId="77777777" w:rsidR="0010369C" w:rsidRDefault="008E43AE">
      <w:pPr>
        <w:pStyle w:val="BodyText"/>
        <w:rPr>
          <w:rFonts w:ascii="Arial"/>
          <w:sz w:val="13"/>
        </w:rPr>
      </w:pPr>
      <w:r>
        <w:pict w14:anchorId="51DEA575">
          <v:shape id="docshape1133" o:spid="_x0000_s1261" style="position:absolute;margin-left:70.25pt;margin-top:8.7pt;width:145.5pt;height:.1pt;z-index:-250794496;mso-wrap-distance-left:0;mso-wrap-distance-right:0;mso-position-horizontal-relative:page" coordorigin="1405,174" coordsize="2910,0" path="m1405,174r2909,e" filled="f" strokeweight=".53042mm">
            <v:path arrowok="t"/>
            <w10:wrap type="topAndBottom" anchorx="page"/>
          </v:shape>
        </w:pict>
      </w:r>
    </w:p>
    <w:p w14:paraId="51DE91A0" w14:textId="77777777" w:rsidR="0010369C" w:rsidRDefault="008E43AE">
      <w:pPr>
        <w:spacing w:before="103"/>
        <w:ind w:left="239"/>
        <w:rPr>
          <w:rFonts w:ascii="Arial"/>
          <w:sz w:val="16"/>
        </w:rPr>
      </w:pPr>
      <w:r>
        <w:rPr>
          <w:rFonts w:ascii="Arial"/>
          <w:color w:val="1C1C1C"/>
          <w:position w:val="6"/>
          <w:sz w:val="12"/>
        </w:rPr>
        <w:t>787</w:t>
      </w:r>
      <w:r>
        <w:rPr>
          <w:rFonts w:ascii="Arial"/>
          <w:color w:val="1C1C1C"/>
          <w:spacing w:val="4"/>
          <w:position w:val="6"/>
          <w:sz w:val="12"/>
        </w:rPr>
        <w:t xml:space="preserve"> </w:t>
      </w:r>
      <w:r>
        <w:rPr>
          <w:rFonts w:ascii="Arial"/>
          <w:color w:val="1C1C1C"/>
          <w:sz w:val="16"/>
        </w:rPr>
        <w:t>Anti-Dumping</w:t>
      </w:r>
      <w:r>
        <w:rPr>
          <w:rFonts w:ascii="Arial"/>
          <w:color w:val="1C1C1C"/>
          <w:spacing w:val="12"/>
          <w:sz w:val="16"/>
        </w:rPr>
        <w:t xml:space="preserve"> </w:t>
      </w:r>
      <w:r>
        <w:rPr>
          <w:rFonts w:ascii="Arial"/>
          <w:color w:val="1C1C1C"/>
          <w:sz w:val="16"/>
        </w:rPr>
        <w:t>Final</w:t>
      </w:r>
      <w:r>
        <w:rPr>
          <w:rFonts w:ascii="Arial"/>
          <w:color w:val="1C1C1C"/>
          <w:spacing w:val="-2"/>
          <w:sz w:val="16"/>
        </w:rPr>
        <w:t xml:space="preserve"> </w:t>
      </w:r>
      <w:r>
        <w:rPr>
          <w:rFonts w:ascii="Arial"/>
          <w:color w:val="1C1C1C"/>
          <w:sz w:val="16"/>
          <w:u w:val="thick" w:color="1C1C1C"/>
        </w:rPr>
        <w:t>Determination</w:t>
      </w:r>
      <w:r>
        <w:rPr>
          <w:rFonts w:ascii="Arial"/>
          <w:color w:val="1C1C1C"/>
          <w:spacing w:val="7"/>
          <w:sz w:val="16"/>
        </w:rPr>
        <w:t xml:space="preserve"> </w:t>
      </w:r>
      <w:r>
        <w:rPr>
          <w:rFonts w:ascii="Arial"/>
          <w:color w:val="1C1C1C"/>
          <w:sz w:val="16"/>
        </w:rPr>
        <w:t>(Exhibit</w:t>
      </w:r>
      <w:r>
        <w:rPr>
          <w:rFonts w:ascii="Arial"/>
          <w:color w:val="1C1C1C"/>
          <w:spacing w:val="12"/>
          <w:sz w:val="16"/>
        </w:rPr>
        <w:t xml:space="preserve"> </w:t>
      </w:r>
      <w:r>
        <w:rPr>
          <w:rFonts w:ascii="Arial"/>
          <w:color w:val="1C1C1C"/>
          <w:sz w:val="16"/>
        </w:rPr>
        <w:t>AUS-2),</w:t>
      </w:r>
      <w:r>
        <w:rPr>
          <w:rFonts w:ascii="Arial"/>
          <w:color w:val="1C1C1C"/>
          <w:spacing w:val="-6"/>
          <w:sz w:val="16"/>
        </w:rPr>
        <w:t xml:space="preserve"> </w:t>
      </w:r>
      <w:r>
        <w:rPr>
          <w:rFonts w:ascii="Arial"/>
          <w:color w:val="1C1C1C"/>
          <w:sz w:val="16"/>
        </w:rPr>
        <w:t>pp.</w:t>
      </w:r>
      <w:r>
        <w:rPr>
          <w:rFonts w:ascii="Arial"/>
          <w:color w:val="1C1C1C"/>
          <w:spacing w:val="36"/>
          <w:sz w:val="16"/>
        </w:rPr>
        <w:t xml:space="preserve"> </w:t>
      </w:r>
      <w:r>
        <w:rPr>
          <w:rFonts w:ascii="Arial"/>
          <w:color w:val="1C1C1C"/>
          <w:sz w:val="16"/>
        </w:rPr>
        <w:t>148-</w:t>
      </w:r>
      <w:r>
        <w:rPr>
          <w:rFonts w:ascii="Arial"/>
          <w:color w:val="1C1C1C"/>
          <w:spacing w:val="-4"/>
          <w:sz w:val="16"/>
        </w:rPr>
        <w:t>149.</w:t>
      </w:r>
    </w:p>
    <w:p w14:paraId="51DE91A1" w14:textId="77777777" w:rsidR="0010369C" w:rsidRDefault="008E43AE">
      <w:pPr>
        <w:tabs>
          <w:tab w:val="left" w:pos="3336"/>
        </w:tabs>
        <w:spacing w:before="14" w:line="187" w:lineRule="exact"/>
        <w:ind w:left="239"/>
        <w:rPr>
          <w:rFonts w:ascii="Arial" w:hAnsi="Arial"/>
          <w:sz w:val="16"/>
        </w:rPr>
      </w:pPr>
      <w:r>
        <w:rPr>
          <w:noProof/>
        </w:rPr>
        <w:drawing>
          <wp:anchor distT="0" distB="0" distL="0" distR="0" simplePos="0" relativeHeight="250680832" behindDoc="0" locked="0" layoutInCell="1" allowOverlap="1" wp14:anchorId="51DEA576" wp14:editId="51DEA577">
            <wp:simplePos x="0" y="0"/>
            <wp:positionH relativeFrom="page">
              <wp:posOffset>891988</wp:posOffset>
            </wp:positionH>
            <wp:positionV relativeFrom="paragraph">
              <wp:posOffset>105734</wp:posOffset>
            </wp:positionV>
            <wp:extent cx="2026087" cy="171857"/>
            <wp:effectExtent l="0" t="0" r="0" b="0"/>
            <wp:wrapNone/>
            <wp:docPr id="1323" name="image6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 name="image683.png"/>
                    <pic:cNvPicPr/>
                  </pic:nvPicPr>
                  <pic:blipFill>
                    <a:blip r:embed="rId887" cstate="print"/>
                    <a:stretch>
                      <a:fillRect/>
                    </a:stretch>
                  </pic:blipFill>
                  <pic:spPr>
                    <a:xfrm>
                      <a:off x="0" y="0"/>
                      <a:ext cx="2026087" cy="171857"/>
                    </a:xfrm>
                    <a:prstGeom prst="rect">
                      <a:avLst/>
                    </a:prstGeom>
                  </pic:spPr>
                </pic:pic>
              </a:graphicData>
            </a:graphic>
          </wp:anchor>
        </w:drawing>
      </w:r>
      <w:r>
        <w:rPr>
          <w:noProof/>
        </w:rPr>
        <w:drawing>
          <wp:anchor distT="0" distB="0" distL="0" distR="0" simplePos="0" relativeHeight="250681856" behindDoc="0" locked="0" layoutInCell="1" allowOverlap="1" wp14:anchorId="51DEA578" wp14:editId="51DEA579">
            <wp:simplePos x="0" y="0"/>
            <wp:positionH relativeFrom="page">
              <wp:posOffset>4753022</wp:posOffset>
            </wp:positionH>
            <wp:positionV relativeFrom="paragraph">
              <wp:posOffset>22988</wp:posOffset>
            </wp:positionV>
            <wp:extent cx="1936888" cy="152762"/>
            <wp:effectExtent l="0" t="0" r="0" b="0"/>
            <wp:wrapNone/>
            <wp:docPr id="1325" name="image6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 name="image684.png"/>
                    <pic:cNvPicPr/>
                  </pic:nvPicPr>
                  <pic:blipFill>
                    <a:blip r:embed="rId888" cstate="print"/>
                    <a:stretch>
                      <a:fillRect/>
                    </a:stretch>
                  </pic:blipFill>
                  <pic:spPr>
                    <a:xfrm>
                      <a:off x="0" y="0"/>
                      <a:ext cx="1936888" cy="152762"/>
                    </a:xfrm>
                    <a:prstGeom prst="rect">
                      <a:avLst/>
                    </a:prstGeom>
                  </pic:spPr>
                </pic:pic>
              </a:graphicData>
            </a:graphic>
          </wp:anchor>
        </w:drawing>
      </w:r>
      <w:r>
        <w:rPr>
          <w:rFonts w:ascii="Arial" w:hAnsi="Arial"/>
          <w:color w:val="1C1C1C"/>
          <w:spacing w:val="-5"/>
          <w:w w:val="105"/>
          <w:position w:val="6"/>
          <w:sz w:val="12"/>
        </w:rPr>
        <w:t>788</w:t>
      </w:r>
      <w:r>
        <w:rPr>
          <w:rFonts w:ascii="Arial" w:hAnsi="Arial"/>
          <w:color w:val="1C1C1C"/>
          <w:position w:val="6"/>
          <w:sz w:val="12"/>
        </w:rPr>
        <w:tab/>
      </w:r>
      <w:r>
        <w:rPr>
          <w:rFonts w:ascii="Arial" w:hAnsi="Arial"/>
          <w:color w:val="414141"/>
          <w:w w:val="120"/>
          <w:sz w:val="16"/>
        </w:rPr>
        <w:t>·bit</w:t>
      </w:r>
      <w:r>
        <w:rPr>
          <w:rFonts w:ascii="Arial" w:hAnsi="Arial"/>
          <w:color w:val="414141"/>
          <w:spacing w:val="-25"/>
          <w:w w:val="120"/>
          <w:sz w:val="16"/>
        </w:rPr>
        <w:t xml:space="preserve"> </w:t>
      </w:r>
      <w:r>
        <w:rPr>
          <w:rFonts w:ascii="Arial" w:hAnsi="Arial"/>
          <w:color w:val="1C1C1C"/>
          <w:w w:val="105"/>
          <w:sz w:val="16"/>
        </w:rPr>
        <w:t>AUS-2),</w:t>
      </w:r>
      <w:r>
        <w:rPr>
          <w:rFonts w:ascii="Arial" w:hAnsi="Arial"/>
          <w:color w:val="1C1C1C"/>
          <w:spacing w:val="-18"/>
          <w:w w:val="105"/>
          <w:sz w:val="16"/>
        </w:rPr>
        <w:t xml:space="preserve"> </w:t>
      </w:r>
      <w:r>
        <w:rPr>
          <w:rFonts w:ascii="Arial" w:hAnsi="Arial"/>
          <w:color w:val="1C1C1C"/>
          <w:w w:val="105"/>
          <w:sz w:val="16"/>
        </w:rPr>
        <w:t>pp.</w:t>
      </w:r>
      <w:r>
        <w:rPr>
          <w:rFonts w:ascii="Arial" w:hAnsi="Arial"/>
          <w:color w:val="1C1C1C"/>
          <w:spacing w:val="5"/>
          <w:w w:val="120"/>
          <w:sz w:val="16"/>
        </w:rPr>
        <w:t xml:space="preserve"> </w:t>
      </w:r>
      <w:r>
        <w:rPr>
          <w:rFonts w:ascii="Arial" w:hAnsi="Arial"/>
          <w:color w:val="1C1C1C"/>
          <w:w w:val="120"/>
          <w:sz w:val="16"/>
        </w:rPr>
        <w:t>111,</w:t>
      </w:r>
      <w:r>
        <w:rPr>
          <w:rFonts w:ascii="Arial" w:hAnsi="Arial"/>
          <w:color w:val="1C1C1C"/>
          <w:spacing w:val="-36"/>
          <w:w w:val="120"/>
          <w:sz w:val="16"/>
        </w:rPr>
        <w:t xml:space="preserve"> </w:t>
      </w:r>
      <w:r>
        <w:rPr>
          <w:rFonts w:ascii="Times New Roman" w:hAnsi="Times New Roman"/>
          <w:b/>
          <w:color w:val="1C1C1C"/>
          <w:w w:val="120"/>
          <w:sz w:val="17"/>
        </w:rPr>
        <w:t>12!UW49.</w:t>
      </w:r>
      <w:r>
        <w:rPr>
          <w:rFonts w:ascii="Times New Roman" w:hAnsi="Times New Roman"/>
          <w:b/>
          <w:color w:val="1C1C1C"/>
          <w:spacing w:val="-17"/>
          <w:w w:val="120"/>
          <w:sz w:val="17"/>
        </w:rPr>
        <w:t xml:space="preserve"> </w:t>
      </w:r>
      <w:r>
        <w:rPr>
          <w:rFonts w:ascii="Arial" w:hAnsi="Arial"/>
          <w:color w:val="1C1C1C"/>
          <w:w w:val="105"/>
          <w:sz w:val="16"/>
        </w:rPr>
        <w:t>See</w:t>
      </w:r>
      <w:r>
        <w:rPr>
          <w:rFonts w:ascii="Arial" w:hAnsi="Arial"/>
          <w:color w:val="1C1C1C"/>
          <w:spacing w:val="-18"/>
          <w:w w:val="105"/>
          <w:sz w:val="16"/>
        </w:rPr>
        <w:t xml:space="preserve"> </w:t>
      </w:r>
      <w:r>
        <w:rPr>
          <w:rFonts w:ascii="Arial" w:hAnsi="Arial"/>
          <w:color w:val="1C1C1C"/>
          <w:spacing w:val="-10"/>
          <w:w w:val="105"/>
          <w:sz w:val="16"/>
        </w:rPr>
        <w:t>[</w:t>
      </w:r>
    </w:p>
    <w:p w14:paraId="51DE91A2" w14:textId="77777777" w:rsidR="0010369C" w:rsidRDefault="008E43AE">
      <w:pPr>
        <w:spacing w:line="185" w:lineRule="exact"/>
        <w:ind w:left="3428"/>
        <w:rPr>
          <w:rFonts w:ascii="Arial"/>
          <w:b/>
          <w:sz w:val="17"/>
        </w:rPr>
      </w:pPr>
      <w:r>
        <w:rPr>
          <w:rFonts w:ascii="Times New Roman"/>
          <w:b/>
          <w:color w:val="1C1C1C"/>
          <w:spacing w:val="-2"/>
          <w:sz w:val="18"/>
        </w:rPr>
        <w:t>(Extiil&gt;it</w:t>
      </w:r>
      <w:r>
        <w:rPr>
          <w:rFonts w:ascii="Times New Roman"/>
          <w:b/>
          <w:color w:val="1C1C1C"/>
          <w:spacing w:val="22"/>
          <w:sz w:val="18"/>
        </w:rPr>
        <w:t xml:space="preserve"> </w:t>
      </w:r>
      <w:r>
        <w:rPr>
          <w:rFonts w:ascii="Arial"/>
          <w:b/>
          <w:color w:val="1C1C1C"/>
          <w:spacing w:val="-2"/>
          <w:sz w:val="17"/>
        </w:rPr>
        <w:t>AIJS-65</w:t>
      </w:r>
      <w:r>
        <w:rPr>
          <w:rFonts w:ascii="Arial"/>
          <w:b/>
          <w:color w:val="1C1C1C"/>
          <w:spacing w:val="-4"/>
          <w:sz w:val="17"/>
        </w:rPr>
        <w:t xml:space="preserve"> </w:t>
      </w:r>
      <w:r>
        <w:rPr>
          <w:rFonts w:ascii="Arial"/>
          <w:b/>
          <w:color w:val="1C1C1C"/>
          <w:spacing w:val="-2"/>
          <w:w w:val="125"/>
          <w:sz w:val="17"/>
        </w:rPr>
        <w:t>(BCI)),-</w:t>
      </w:r>
      <w:r>
        <w:rPr>
          <w:rFonts w:ascii="Arial"/>
          <w:b/>
          <w:color w:val="1C1C1C"/>
          <w:spacing w:val="-5"/>
          <w:w w:val="125"/>
          <w:sz w:val="17"/>
        </w:rPr>
        <w:t>.]]</w:t>
      </w:r>
    </w:p>
    <w:p w14:paraId="51DE91A3" w14:textId="77777777" w:rsidR="0010369C" w:rsidRDefault="008E43AE">
      <w:pPr>
        <w:spacing w:before="70" w:line="187" w:lineRule="exact"/>
        <w:ind w:left="240"/>
        <w:rPr>
          <w:rFonts w:ascii="Arial"/>
          <w:sz w:val="16"/>
        </w:rPr>
      </w:pPr>
      <w:r>
        <w:rPr>
          <w:rFonts w:ascii="Times New Roman"/>
          <w:color w:val="1C1C1C"/>
          <w:position w:val="6"/>
          <w:sz w:val="12"/>
        </w:rPr>
        <w:t>789</w:t>
      </w:r>
      <w:r>
        <w:rPr>
          <w:rFonts w:ascii="Times New Roman"/>
          <w:color w:val="1C1C1C"/>
          <w:spacing w:val="5"/>
          <w:position w:val="6"/>
          <w:sz w:val="12"/>
        </w:rPr>
        <w:t xml:space="preserve"> </w:t>
      </w:r>
      <w:r>
        <w:rPr>
          <w:rFonts w:ascii="Arial"/>
          <w:color w:val="1C1C1C"/>
          <w:sz w:val="16"/>
        </w:rPr>
        <w:t>Anti-Dumping</w:t>
      </w:r>
      <w:r>
        <w:rPr>
          <w:rFonts w:ascii="Arial"/>
          <w:color w:val="1C1C1C"/>
          <w:spacing w:val="14"/>
          <w:sz w:val="16"/>
        </w:rPr>
        <w:t xml:space="preserve"> </w:t>
      </w:r>
      <w:r>
        <w:rPr>
          <w:rFonts w:ascii="Arial"/>
          <w:color w:val="1C1C1C"/>
          <w:sz w:val="16"/>
        </w:rPr>
        <w:t>Final</w:t>
      </w:r>
      <w:r>
        <w:rPr>
          <w:rFonts w:ascii="Arial"/>
          <w:color w:val="1C1C1C"/>
          <w:spacing w:val="-1"/>
          <w:sz w:val="16"/>
        </w:rPr>
        <w:t xml:space="preserve"> </w:t>
      </w:r>
      <w:r>
        <w:rPr>
          <w:rFonts w:ascii="Arial"/>
          <w:color w:val="1C1C1C"/>
          <w:sz w:val="16"/>
        </w:rPr>
        <w:t>Determination</w:t>
      </w:r>
      <w:r>
        <w:rPr>
          <w:rFonts w:ascii="Arial"/>
          <w:color w:val="1C1C1C"/>
          <w:spacing w:val="8"/>
          <w:sz w:val="16"/>
        </w:rPr>
        <w:t xml:space="preserve"> </w:t>
      </w:r>
      <w:r>
        <w:rPr>
          <w:rFonts w:ascii="Arial"/>
          <w:color w:val="1C1C1C"/>
          <w:sz w:val="16"/>
        </w:rPr>
        <w:t>(Exhibit</w:t>
      </w:r>
      <w:r>
        <w:rPr>
          <w:rFonts w:ascii="Arial"/>
          <w:color w:val="1C1C1C"/>
          <w:spacing w:val="13"/>
          <w:sz w:val="16"/>
        </w:rPr>
        <w:t xml:space="preserve"> </w:t>
      </w:r>
      <w:r>
        <w:rPr>
          <w:rFonts w:ascii="Arial"/>
          <w:color w:val="1C1C1C"/>
          <w:sz w:val="16"/>
        </w:rPr>
        <w:t>AUS-2),</w:t>
      </w:r>
      <w:r>
        <w:rPr>
          <w:rFonts w:ascii="Arial"/>
          <w:color w:val="1C1C1C"/>
          <w:spacing w:val="-5"/>
          <w:sz w:val="16"/>
        </w:rPr>
        <w:t xml:space="preserve"> </w:t>
      </w:r>
      <w:r>
        <w:rPr>
          <w:rFonts w:ascii="Arial"/>
          <w:color w:val="1C1C1C"/>
          <w:sz w:val="16"/>
        </w:rPr>
        <w:t>pp.</w:t>
      </w:r>
      <w:r>
        <w:rPr>
          <w:rFonts w:ascii="Arial"/>
          <w:color w:val="1C1C1C"/>
          <w:spacing w:val="39"/>
          <w:sz w:val="16"/>
        </w:rPr>
        <w:t xml:space="preserve"> </w:t>
      </w:r>
      <w:r>
        <w:rPr>
          <w:rFonts w:ascii="Arial"/>
          <w:color w:val="1C1C1C"/>
          <w:spacing w:val="-2"/>
          <w:sz w:val="16"/>
        </w:rPr>
        <w:t>126,149.</w:t>
      </w:r>
    </w:p>
    <w:p w14:paraId="51DE91A4" w14:textId="77777777" w:rsidR="0010369C" w:rsidRDefault="008E43AE">
      <w:pPr>
        <w:spacing w:line="234" w:lineRule="exact"/>
        <w:ind w:left="239"/>
        <w:jc w:val="both"/>
        <w:rPr>
          <w:rFonts w:ascii="Times New Roman"/>
        </w:rPr>
      </w:pPr>
      <w:r>
        <w:pict w14:anchorId="51DEA57A">
          <v:group id="docshapegroup1134" o:spid="_x0000_s1256" style="position:absolute;left:0;text-align:left;margin-left:87.3pt;margin-top:1.3pt;width:427.45pt;height:13.55pt;z-index:251858432;mso-position-horizontal-relative:page" coordorigin="1746,26" coordsize="8549,271">
            <v:shape id="docshape1135" o:spid="_x0000_s1260" type="#_x0000_t75" style="position:absolute;left:1745;top:55;width:6161;height:241">
              <v:imagedata r:id="rId889" o:title=""/>
            </v:shape>
            <v:shape id="docshape1136" o:spid="_x0000_s1259" type="#_x0000_t75" style="position:absolute;left:9572;top:55;width:723;height:241">
              <v:imagedata r:id="rId890" o:title=""/>
            </v:shape>
            <v:line id="_x0000_s1258" style="position:absolute" from="7906,36" to="9572,36" strokeweight=".35361mm"/>
            <v:shape id="docshape1137" o:spid="_x0000_s1257" type="#_x0000_t202" style="position:absolute;left:1745;top:25;width:8549;height:271" filled="f" stroked="f">
              <v:textbox inset="0,0,0,0">
                <w:txbxContent>
                  <w:p w14:paraId="51DEAC8D" w14:textId="77777777" w:rsidR="0010369C" w:rsidRDefault="008E43AE">
                    <w:pPr>
                      <w:spacing w:before="21"/>
                      <w:ind w:right="710"/>
                      <w:jc w:val="right"/>
                      <w:rPr>
                        <w:rFonts w:ascii="Arial"/>
                        <w:b/>
                        <w:sz w:val="17"/>
                      </w:rPr>
                    </w:pPr>
                    <w:r>
                      <w:rPr>
                        <w:rFonts w:ascii="Arial"/>
                        <w:b/>
                        <w:color w:val="1C1C1C"/>
                        <w:w w:val="90"/>
                        <w:sz w:val="17"/>
                        <w:u w:val="thick" w:color="1C1C1C"/>
                      </w:rPr>
                      <w:t>{Exhibit</w:t>
                    </w:r>
                    <w:r>
                      <w:rPr>
                        <w:rFonts w:ascii="Arial"/>
                        <w:b/>
                        <w:color w:val="1C1C1C"/>
                        <w:spacing w:val="-10"/>
                        <w:w w:val="90"/>
                        <w:sz w:val="17"/>
                        <w:u w:val="thick" w:color="1C1C1C"/>
                      </w:rPr>
                      <w:t xml:space="preserve"> </w:t>
                    </w:r>
                    <w:r>
                      <w:rPr>
                        <w:rFonts w:ascii="Arial"/>
                        <w:b/>
                        <w:color w:val="1C1C1C"/>
                        <w:w w:val="90"/>
                        <w:sz w:val="17"/>
                        <w:u w:val="thick" w:color="1C1C1C"/>
                      </w:rPr>
                      <w:t>AUS-65</w:t>
                    </w:r>
                    <w:r>
                      <w:rPr>
                        <w:rFonts w:ascii="Arial"/>
                        <w:b/>
                        <w:color w:val="1C1C1C"/>
                        <w:spacing w:val="3"/>
                        <w:sz w:val="17"/>
                        <w:u w:val="thick" w:color="1C1C1C"/>
                      </w:rPr>
                      <w:t xml:space="preserve"> </w:t>
                    </w:r>
                    <w:r>
                      <w:rPr>
                        <w:rFonts w:ascii="Arial"/>
                        <w:b/>
                        <w:color w:val="1C1C1C"/>
                        <w:spacing w:val="-2"/>
                        <w:w w:val="90"/>
                        <w:sz w:val="17"/>
                        <w:u w:val="thick" w:color="1C1C1C"/>
                      </w:rPr>
                      <w:t>BCI))</w:t>
                    </w:r>
                    <w:r>
                      <w:rPr>
                        <w:rFonts w:ascii="Arial"/>
                        <w:b/>
                        <w:color w:val="1C1C1C"/>
                        <w:spacing w:val="-2"/>
                        <w:w w:val="90"/>
                        <w:sz w:val="17"/>
                      </w:rPr>
                      <w:t>,</w:t>
                    </w:r>
                  </w:p>
                </w:txbxContent>
              </v:textbox>
            </v:shape>
            <w10:wrap anchorx="page"/>
          </v:group>
        </w:pict>
      </w:r>
      <w:r>
        <w:rPr>
          <w:rFonts w:ascii="Arial"/>
          <w:color w:val="1C1C1C"/>
          <w:sz w:val="11"/>
        </w:rPr>
        <w:t>790</w:t>
      </w:r>
      <w:r>
        <w:rPr>
          <w:rFonts w:ascii="Arial"/>
          <w:color w:val="1C1C1C"/>
          <w:spacing w:val="13"/>
          <w:sz w:val="11"/>
        </w:rPr>
        <w:t xml:space="preserve"> </w:t>
      </w:r>
      <w:r>
        <w:rPr>
          <w:rFonts w:ascii="Times New Roman"/>
          <w:color w:val="1C1C1C"/>
          <w:spacing w:val="-10"/>
        </w:rPr>
        <w:t>I</w:t>
      </w:r>
    </w:p>
    <w:p w14:paraId="51DE91A5" w14:textId="77777777" w:rsidR="0010369C" w:rsidRDefault="0010369C">
      <w:pPr>
        <w:spacing w:line="234" w:lineRule="exact"/>
        <w:jc w:val="both"/>
        <w:rPr>
          <w:rFonts w:ascii="Times New Roman"/>
        </w:rPr>
        <w:sectPr w:rsidR="0010369C">
          <w:pgSz w:w="11910" w:h="16840"/>
          <w:pgMar w:top="820" w:right="800" w:bottom="1020" w:left="1180" w:header="491" w:footer="814" w:gutter="0"/>
          <w:cols w:space="720"/>
        </w:sectPr>
      </w:pPr>
    </w:p>
    <w:p w14:paraId="51DE91A6" w14:textId="77777777" w:rsidR="0010369C" w:rsidRDefault="008E43AE">
      <w:pPr>
        <w:tabs>
          <w:tab w:val="left" w:pos="6426"/>
        </w:tabs>
        <w:ind w:left="238"/>
        <w:jc w:val="both"/>
        <w:rPr>
          <w:sz w:val="20"/>
        </w:rPr>
      </w:pPr>
      <w:r>
        <w:rPr>
          <w:i/>
          <w:sz w:val="20"/>
        </w:rPr>
        <w:lastRenderedPageBreak/>
        <w:t>China</w:t>
      </w:r>
      <w:r>
        <w:rPr>
          <w:i/>
          <w:spacing w:val="-5"/>
          <w:sz w:val="20"/>
        </w:rPr>
        <w:t xml:space="preserve"> </w:t>
      </w:r>
      <w:r>
        <w:rPr>
          <w:i/>
          <w:sz w:val="20"/>
        </w:rPr>
        <w:t>–</w:t>
      </w:r>
      <w:r>
        <w:rPr>
          <w:i/>
          <w:spacing w:val="-5"/>
          <w:sz w:val="20"/>
        </w:rPr>
        <w:t xml:space="preserve"> </w:t>
      </w:r>
      <w:r>
        <w:rPr>
          <w:i/>
          <w:sz w:val="20"/>
        </w:rPr>
        <w:t>Anti‐Dumping</w:t>
      </w:r>
      <w:r>
        <w:rPr>
          <w:i/>
          <w:spacing w:val="-4"/>
          <w:sz w:val="20"/>
        </w:rPr>
        <w:t xml:space="preserve"> </w:t>
      </w:r>
      <w:r>
        <w:rPr>
          <w:i/>
          <w:sz w:val="20"/>
        </w:rPr>
        <w:t>and</w:t>
      </w:r>
      <w:r>
        <w:rPr>
          <w:i/>
          <w:spacing w:val="-5"/>
          <w:sz w:val="20"/>
        </w:rPr>
        <w:t xml:space="preserve"> </w:t>
      </w:r>
      <w:r>
        <w:rPr>
          <w:i/>
          <w:sz w:val="20"/>
        </w:rPr>
        <w:t>Countervailing</w:t>
      </w:r>
      <w:r>
        <w:rPr>
          <w:i/>
          <w:spacing w:val="-5"/>
          <w:sz w:val="20"/>
        </w:rPr>
        <w:t xml:space="preserve"> </w:t>
      </w:r>
      <w:r>
        <w:rPr>
          <w:i/>
          <w:sz w:val="20"/>
        </w:rPr>
        <w:t>Duty</w:t>
      </w:r>
      <w:r>
        <w:rPr>
          <w:i/>
          <w:spacing w:val="-4"/>
          <w:sz w:val="20"/>
        </w:rPr>
        <w:t xml:space="preserve"> </w:t>
      </w:r>
      <w:r>
        <w:rPr>
          <w:i/>
          <w:spacing w:val="-2"/>
          <w:sz w:val="20"/>
        </w:rPr>
        <w:t>Measures</w:t>
      </w:r>
      <w:r>
        <w:rPr>
          <w:i/>
          <w:sz w:val="20"/>
        </w:rPr>
        <w:tab/>
      </w:r>
      <w:r>
        <w:rPr>
          <w:sz w:val="20"/>
        </w:rPr>
        <w:t>Australia's</w:t>
      </w:r>
      <w:r>
        <w:rPr>
          <w:spacing w:val="-7"/>
          <w:sz w:val="20"/>
        </w:rPr>
        <w:t xml:space="preserve"> </w:t>
      </w:r>
      <w:r>
        <w:rPr>
          <w:sz w:val="20"/>
        </w:rPr>
        <w:t>First</w:t>
      </w:r>
      <w:r>
        <w:rPr>
          <w:spacing w:val="-2"/>
          <w:sz w:val="20"/>
        </w:rPr>
        <w:t xml:space="preserve"> </w:t>
      </w:r>
      <w:r>
        <w:rPr>
          <w:sz w:val="20"/>
        </w:rPr>
        <w:t>Written</w:t>
      </w:r>
      <w:r>
        <w:rPr>
          <w:spacing w:val="-2"/>
          <w:sz w:val="20"/>
        </w:rPr>
        <w:t xml:space="preserve"> Submission</w:t>
      </w:r>
    </w:p>
    <w:p w14:paraId="51DE91A7" w14:textId="77777777" w:rsidR="0010369C" w:rsidRDefault="008E43AE">
      <w:pPr>
        <w:tabs>
          <w:tab w:val="left" w:pos="8228"/>
        </w:tabs>
        <w:spacing w:before="1"/>
        <w:ind w:left="239"/>
        <w:jc w:val="both"/>
        <w:rPr>
          <w:sz w:val="20"/>
        </w:rPr>
      </w:pPr>
      <w:r>
        <w:rPr>
          <w:i/>
          <w:sz w:val="20"/>
        </w:rPr>
        <w:t>on</w:t>
      </w:r>
      <w:r>
        <w:rPr>
          <w:i/>
          <w:spacing w:val="-1"/>
          <w:sz w:val="20"/>
        </w:rPr>
        <w:t xml:space="preserve"> </w:t>
      </w:r>
      <w:r>
        <w:rPr>
          <w:i/>
          <w:sz w:val="20"/>
        </w:rPr>
        <w:t>Wine</w:t>
      </w:r>
      <w:r>
        <w:rPr>
          <w:i/>
          <w:spacing w:val="-1"/>
          <w:sz w:val="20"/>
        </w:rPr>
        <w:t xml:space="preserve"> </w:t>
      </w:r>
      <w:r>
        <w:rPr>
          <w:i/>
          <w:sz w:val="20"/>
        </w:rPr>
        <w:t>from</w:t>
      </w:r>
      <w:r>
        <w:rPr>
          <w:i/>
          <w:spacing w:val="-3"/>
          <w:sz w:val="20"/>
        </w:rPr>
        <w:t xml:space="preserve"> </w:t>
      </w:r>
      <w:r>
        <w:rPr>
          <w:i/>
          <w:sz w:val="20"/>
        </w:rPr>
        <w:t>Australia</w:t>
      </w:r>
      <w:r>
        <w:rPr>
          <w:i/>
          <w:spacing w:val="-1"/>
          <w:sz w:val="20"/>
        </w:rPr>
        <w:t xml:space="preserve"> </w:t>
      </w:r>
      <w:r>
        <w:rPr>
          <w:spacing w:val="-2"/>
          <w:sz w:val="20"/>
        </w:rPr>
        <w:t>(DS602)</w:t>
      </w:r>
      <w:r>
        <w:rPr>
          <w:sz w:val="20"/>
        </w:rPr>
        <w:tab/>
        <w:t>29</w:t>
      </w:r>
      <w:r>
        <w:rPr>
          <w:spacing w:val="-1"/>
          <w:sz w:val="20"/>
        </w:rPr>
        <w:t xml:space="preserve"> </w:t>
      </w:r>
      <w:r>
        <w:rPr>
          <w:sz w:val="20"/>
        </w:rPr>
        <w:t>April</w:t>
      </w:r>
      <w:r>
        <w:rPr>
          <w:spacing w:val="-2"/>
          <w:sz w:val="20"/>
        </w:rPr>
        <w:t xml:space="preserve"> </w:t>
      </w:r>
      <w:r>
        <w:rPr>
          <w:spacing w:val="-4"/>
          <w:sz w:val="20"/>
        </w:rPr>
        <w:t>2022</w:t>
      </w:r>
    </w:p>
    <w:p w14:paraId="51DE91A8" w14:textId="77777777" w:rsidR="0010369C" w:rsidRDefault="008E43AE">
      <w:pPr>
        <w:pStyle w:val="BodyText"/>
        <w:spacing w:before="34" w:line="360" w:lineRule="auto"/>
        <w:ind w:left="957" w:right="613"/>
        <w:jc w:val="both"/>
      </w:pPr>
      <w:r>
        <w:t>of like domestic products, indicating that, on average, there was significant room for the price of domestic like products to be further increased before competition with sub</w:t>
      </w:r>
      <w:r>
        <w:t>ject imports on the basis of price became an issue; and (iv) although import volumes of subject imports increased during the Injury POI, these volumes were consistently</w:t>
      </w:r>
      <w:r>
        <w:rPr>
          <w:spacing w:val="-6"/>
        </w:rPr>
        <w:t xml:space="preserve"> </w:t>
      </w:r>
      <w:r>
        <w:t>smaller</w:t>
      </w:r>
      <w:r>
        <w:rPr>
          <w:spacing w:val="-7"/>
        </w:rPr>
        <w:t xml:space="preserve"> </w:t>
      </w:r>
      <w:r>
        <w:t>than</w:t>
      </w:r>
      <w:r>
        <w:rPr>
          <w:spacing w:val="-8"/>
        </w:rPr>
        <w:t xml:space="preserve"> </w:t>
      </w:r>
      <w:r>
        <w:t>both</w:t>
      </w:r>
      <w:r>
        <w:rPr>
          <w:spacing w:val="-7"/>
        </w:rPr>
        <w:t xml:space="preserve"> </w:t>
      </w:r>
      <w:r>
        <w:t>output</w:t>
      </w:r>
      <w:r>
        <w:rPr>
          <w:spacing w:val="-7"/>
        </w:rPr>
        <w:t xml:space="preserve"> </w:t>
      </w:r>
      <w:r>
        <w:t>and</w:t>
      </w:r>
      <w:r>
        <w:rPr>
          <w:spacing w:val="-7"/>
        </w:rPr>
        <w:t xml:space="preserve"> </w:t>
      </w:r>
      <w:r>
        <w:t>sales</w:t>
      </w:r>
      <w:r>
        <w:rPr>
          <w:spacing w:val="-7"/>
        </w:rPr>
        <w:t xml:space="preserve"> </w:t>
      </w:r>
      <w:r>
        <w:t>volumes</w:t>
      </w:r>
      <w:r>
        <w:rPr>
          <w:spacing w:val="-8"/>
        </w:rPr>
        <w:t xml:space="preserve"> </w:t>
      </w:r>
      <w:r>
        <w:t>of</w:t>
      </w:r>
      <w:r>
        <w:rPr>
          <w:spacing w:val="-7"/>
        </w:rPr>
        <w:t xml:space="preserve"> </w:t>
      </w:r>
      <w:r>
        <w:t>the</w:t>
      </w:r>
      <w:r>
        <w:rPr>
          <w:spacing w:val="-7"/>
        </w:rPr>
        <w:t xml:space="preserve"> </w:t>
      </w:r>
      <w:r>
        <w:t>domestic</w:t>
      </w:r>
      <w:r>
        <w:rPr>
          <w:spacing w:val="-5"/>
        </w:rPr>
        <w:t xml:space="preserve"> </w:t>
      </w:r>
      <w:r>
        <w:t>like</w:t>
      </w:r>
      <w:r>
        <w:rPr>
          <w:spacing w:val="-7"/>
        </w:rPr>
        <w:t xml:space="preserve"> </w:t>
      </w:r>
      <w:r>
        <w:t>products in China's market in each year of the Injury POI.</w:t>
      </w:r>
    </w:p>
    <w:p w14:paraId="51DE91A9" w14:textId="77777777" w:rsidR="0010369C" w:rsidRDefault="008E43AE">
      <w:pPr>
        <w:pStyle w:val="ListParagraph"/>
        <w:numPr>
          <w:ilvl w:val="0"/>
          <w:numId w:val="44"/>
        </w:numPr>
        <w:tabs>
          <w:tab w:val="left" w:pos="959"/>
        </w:tabs>
        <w:spacing w:before="160" w:line="357" w:lineRule="auto"/>
        <w:ind w:right="613" w:hanging="360"/>
        <w:rPr>
          <w:sz w:val="24"/>
        </w:rPr>
      </w:pPr>
      <w:r>
        <w:rPr>
          <w:sz w:val="24"/>
        </w:rPr>
        <w:t>If, as MOFCOM determined, all subject imports and all domestic like products were "basically</w:t>
      </w:r>
      <w:r>
        <w:rPr>
          <w:spacing w:val="-14"/>
          <w:sz w:val="24"/>
        </w:rPr>
        <w:t xml:space="preserve"> </w:t>
      </w:r>
      <w:r>
        <w:rPr>
          <w:sz w:val="24"/>
        </w:rPr>
        <w:t>the</w:t>
      </w:r>
      <w:r>
        <w:rPr>
          <w:spacing w:val="-14"/>
          <w:sz w:val="24"/>
        </w:rPr>
        <w:t xml:space="preserve"> </w:t>
      </w:r>
      <w:r>
        <w:rPr>
          <w:sz w:val="24"/>
        </w:rPr>
        <w:t>same'"</w:t>
      </w:r>
      <w:r>
        <w:rPr>
          <w:sz w:val="24"/>
          <w:vertAlign w:val="superscript"/>
        </w:rPr>
        <w:t>791</w:t>
      </w:r>
      <w:r>
        <w:rPr>
          <w:spacing w:val="-13"/>
          <w:sz w:val="24"/>
        </w:rPr>
        <w:t xml:space="preserve"> </w:t>
      </w:r>
      <w:r>
        <w:rPr>
          <w:sz w:val="24"/>
        </w:rPr>
        <w:t>and</w:t>
      </w:r>
      <w:r>
        <w:rPr>
          <w:spacing w:val="-14"/>
          <w:sz w:val="24"/>
        </w:rPr>
        <w:t xml:space="preserve"> </w:t>
      </w:r>
      <w:r>
        <w:rPr>
          <w:sz w:val="24"/>
        </w:rPr>
        <w:t>"mutually‐substitutable",</w:t>
      </w:r>
      <w:r>
        <w:rPr>
          <w:sz w:val="24"/>
          <w:vertAlign w:val="superscript"/>
        </w:rPr>
        <w:t>792</w:t>
      </w:r>
      <w:r>
        <w:rPr>
          <w:spacing w:val="-13"/>
          <w:sz w:val="24"/>
        </w:rPr>
        <w:t xml:space="preserve"> </w:t>
      </w:r>
      <w:r>
        <w:rPr>
          <w:sz w:val="24"/>
        </w:rPr>
        <w:t>why</w:t>
      </w:r>
      <w:r>
        <w:rPr>
          <w:spacing w:val="-14"/>
          <w:sz w:val="24"/>
        </w:rPr>
        <w:t xml:space="preserve"> </w:t>
      </w:r>
      <w:r>
        <w:rPr>
          <w:sz w:val="24"/>
        </w:rPr>
        <w:t>the</w:t>
      </w:r>
      <w:r>
        <w:rPr>
          <w:spacing w:val="-13"/>
          <w:sz w:val="24"/>
        </w:rPr>
        <w:t xml:space="preserve"> </w:t>
      </w:r>
      <w:r>
        <w:rPr>
          <w:sz w:val="24"/>
        </w:rPr>
        <w:t>domestic</w:t>
      </w:r>
      <w:r>
        <w:rPr>
          <w:spacing w:val="-14"/>
          <w:sz w:val="24"/>
        </w:rPr>
        <w:t xml:space="preserve"> </w:t>
      </w:r>
      <w:r>
        <w:rPr>
          <w:sz w:val="24"/>
        </w:rPr>
        <w:t>industry</w:t>
      </w:r>
      <w:r>
        <w:rPr>
          <w:spacing w:val="-14"/>
          <w:sz w:val="24"/>
        </w:rPr>
        <w:t xml:space="preserve"> </w:t>
      </w:r>
      <w:r>
        <w:rPr>
          <w:sz w:val="24"/>
        </w:rPr>
        <w:t>did not simply raise their dome</w:t>
      </w:r>
      <w:r>
        <w:rPr>
          <w:sz w:val="24"/>
        </w:rPr>
        <w:t>stic sales prices to a level more closely approaching the average unit price of the basket of subject imports.</w:t>
      </w:r>
    </w:p>
    <w:p w14:paraId="51DE91AA" w14:textId="77777777" w:rsidR="0010369C" w:rsidRDefault="008E43AE">
      <w:pPr>
        <w:pStyle w:val="ListParagraph"/>
        <w:numPr>
          <w:ilvl w:val="0"/>
          <w:numId w:val="44"/>
        </w:numPr>
        <w:tabs>
          <w:tab w:val="left" w:pos="959"/>
        </w:tabs>
        <w:spacing w:before="171" w:line="360" w:lineRule="auto"/>
        <w:ind w:left="957" w:right="611" w:hanging="360"/>
        <w:rPr>
          <w:sz w:val="24"/>
        </w:rPr>
      </w:pPr>
      <w:r>
        <w:rPr>
          <w:sz w:val="24"/>
        </w:rPr>
        <w:t>If Australian imports were responsible for causing material injury to the domestic industry in the form of declining production output, why Chinese producers did not simply increase their output of domestic like products, in circumstances where: (i) domest</w:t>
      </w:r>
      <w:r>
        <w:rPr>
          <w:sz w:val="24"/>
        </w:rPr>
        <w:t>ic</w:t>
      </w:r>
      <w:r>
        <w:rPr>
          <w:spacing w:val="-2"/>
          <w:sz w:val="24"/>
        </w:rPr>
        <w:t xml:space="preserve"> </w:t>
      </w:r>
      <w:r>
        <w:rPr>
          <w:sz w:val="24"/>
        </w:rPr>
        <w:t>industry</w:t>
      </w:r>
      <w:r>
        <w:rPr>
          <w:spacing w:val="-3"/>
          <w:sz w:val="24"/>
        </w:rPr>
        <w:t xml:space="preserve"> </w:t>
      </w:r>
      <w:r>
        <w:rPr>
          <w:sz w:val="24"/>
        </w:rPr>
        <w:t>sales</w:t>
      </w:r>
      <w:r>
        <w:rPr>
          <w:spacing w:val="-6"/>
          <w:sz w:val="24"/>
        </w:rPr>
        <w:t xml:space="preserve"> </w:t>
      </w:r>
      <w:r>
        <w:rPr>
          <w:sz w:val="24"/>
        </w:rPr>
        <w:t>remained</w:t>
      </w:r>
      <w:r>
        <w:rPr>
          <w:spacing w:val="-5"/>
          <w:sz w:val="24"/>
        </w:rPr>
        <w:t xml:space="preserve"> </w:t>
      </w:r>
      <w:r>
        <w:rPr>
          <w:sz w:val="24"/>
        </w:rPr>
        <w:t>profitable</w:t>
      </w:r>
      <w:r>
        <w:rPr>
          <w:spacing w:val="-4"/>
          <w:sz w:val="24"/>
        </w:rPr>
        <w:t xml:space="preserve"> </w:t>
      </w:r>
      <w:r>
        <w:rPr>
          <w:sz w:val="24"/>
        </w:rPr>
        <w:t>throughout</w:t>
      </w:r>
      <w:r>
        <w:rPr>
          <w:spacing w:val="-5"/>
          <w:sz w:val="24"/>
        </w:rPr>
        <w:t xml:space="preserve"> </w:t>
      </w:r>
      <w:r>
        <w:rPr>
          <w:sz w:val="24"/>
        </w:rPr>
        <w:t>the</w:t>
      </w:r>
      <w:r>
        <w:rPr>
          <w:spacing w:val="-4"/>
          <w:sz w:val="24"/>
        </w:rPr>
        <w:t xml:space="preserve"> </w:t>
      </w:r>
      <w:r>
        <w:rPr>
          <w:sz w:val="24"/>
        </w:rPr>
        <w:t>Injury</w:t>
      </w:r>
      <w:r>
        <w:rPr>
          <w:spacing w:val="-4"/>
          <w:sz w:val="24"/>
        </w:rPr>
        <w:t xml:space="preserve"> </w:t>
      </w:r>
      <w:r>
        <w:rPr>
          <w:sz w:val="24"/>
        </w:rPr>
        <w:t>POI;</w:t>
      </w:r>
      <w:r>
        <w:rPr>
          <w:spacing w:val="-4"/>
          <w:sz w:val="24"/>
        </w:rPr>
        <w:t xml:space="preserve"> </w:t>
      </w:r>
      <w:r>
        <w:rPr>
          <w:sz w:val="24"/>
        </w:rPr>
        <w:t>(ii)</w:t>
      </w:r>
      <w:r>
        <w:rPr>
          <w:spacing w:val="-4"/>
          <w:sz w:val="24"/>
        </w:rPr>
        <w:t xml:space="preserve"> </w:t>
      </w:r>
      <w:r>
        <w:rPr>
          <w:sz w:val="24"/>
        </w:rPr>
        <w:t>production capacity</w:t>
      </w:r>
      <w:r>
        <w:rPr>
          <w:spacing w:val="-7"/>
          <w:sz w:val="24"/>
        </w:rPr>
        <w:t xml:space="preserve"> </w:t>
      </w:r>
      <w:r>
        <w:rPr>
          <w:sz w:val="24"/>
        </w:rPr>
        <w:t>remained</w:t>
      </w:r>
      <w:r>
        <w:rPr>
          <w:spacing w:val="-8"/>
          <w:sz w:val="24"/>
        </w:rPr>
        <w:t xml:space="preserve"> </w:t>
      </w:r>
      <w:r>
        <w:rPr>
          <w:sz w:val="24"/>
        </w:rPr>
        <w:t>significantly</w:t>
      </w:r>
      <w:r>
        <w:rPr>
          <w:spacing w:val="-6"/>
          <w:sz w:val="24"/>
        </w:rPr>
        <w:t xml:space="preserve"> </w:t>
      </w:r>
      <w:r>
        <w:rPr>
          <w:sz w:val="24"/>
        </w:rPr>
        <w:t>higher</w:t>
      </w:r>
      <w:r>
        <w:rPr>
          <w:spacing w:val="-7"/>
          <w:sz w:val="24"/>
        </w:rPr>
        <w:t xml:space="preserve"> </w:t>
      </w:r>
      <w:r>
        <w:rPr>
          <w:sz w:val="24"/>
        </w:rPr>
        <w:t>than</w:t>
      </w:r>
      <w:r>
        <w:rPr>
          <w:spacing w:val="-8"/>
          <w:sz w:val="24"/>
        </w:rPr>
        <w:t xml:space="preserve"> </w:t>
      </w:r>
      <w:r>
        <w:rPr>
          <w:sz w:val="24"/>
        </w:rPr>
        <w:t>production</w:t>
      </w:r>
      <w:r>
        <w:rPr>
          <w:spacing w:val="-7"/>
          <w:sz w:val="24"/>
        </w:rPr>
        <w:t xml:space="preserve"> </w:t>
      </w:r>
      <w:r>
        <w:rPr>
          <w:sz w:val="24"/>
        </w:rPr>
        <w:t>output</w:t>
      </w:r>
      <w:r>
        <w:rPr>
          <w:spacing w:val="-7"/>
          <w:sz w:val="24"/>
        </w:rPr>
        <w:t xml:space="preserve"> </w:t>
      </w:r>
      <w:r>
        <w:rPr>
          <w:sz w:val="24"/>
        </w:rPr>
        <w:t>volumes;</w:t>
      </w:r>
      <w:r>
        <w:rPr>
          <w:sz w:val="24"/>
          <w:vertAlign w:val="superscript"/>
        </w:rPr>
        <w:t>793</w:t>
      </w:r>
      <w:r>
        <w:rPr>
          <w:spacing w:val="-8"/>
          <w:sz w:val="24"/>
        </w:rPr>
        <w:t xml:space="preserve"> </w:t>
      </w:r>
      <w:r>
        <w:rPr>
          <w:sz w:val="24"/>
        </w:rPr>
        <w:t>and</w:t>
      </w:r>
      <w:r>
        <w:rPr>
          <w:spacing w:val="-7"/>
          <w:sz w:val="24"/>
        </w:rPr>
        <w:t xml:space="preserve"> </w:t>
      </w:r>
      <w:r>
        <w:rPr>
          <w:sz w:val="24"/>
        </w:rPr>
        <w:t>(iii)</w:t>
      </w:r>
      <w:r>
        <w:rPr>
          <w:spacing w:val="-7"/>
          <w:sz w:val="24"/>
        </w:rPr>
        <w:t xml:space="preserve"> </w:t>
      </w:r>
      <w:r>
        <w:rPr>
          <w:sz w:val="24"/>
        </w:rPr>
        <w:t>the correlation between output and sales volumes suggested that domestic producers were able to sell what they produced.</w:t>
      </w:r>
    </w:p>
    <w:p w14:paraId="51DE91AB" w14:textId="77777777" w:rsidR="0010369C" w:rsidRDefault="0010369C">
      <w:pPr>
        <w:pStyle w:val="BodyText"/>
        <w:spacing w:before="11"/>
        <w:rPr>
          <w:sz w:val="8"/>
        </w:rPr>
      </w:pPr>
    </w:p>
    <w:p w14:paraId="51DE91AC" w14:textId="77777777" w:rsidR="0010369C" w:rsidRDefault="008E43AE">
      <w:pPr>
        <w:pStyle w:val="BodyText"/>
        <w:spacing w:before="51" w:line="360" w:lineRule="auto"/>
        <w:ind w:left="238" w:right="612" w:firstLine="850"/>
        <w:jc w:val="both"/>
      </w:pPr>
      <w:r>
        <w:rPr>
          <w:noProof/>
        </w:rPr>
        <w:drawing>
          <wp:anchor distT="0" distB="0" distL="0" distR="0" simplePos="0" relativeHeight="251288064" behindDoc="1" locked="0" layoutInCell="1" allowOverlap="1" wp14:anchorId="51DEA57B" wp14:editId="51DEA57C">
            <wp:simplePos x="0" y="0"/>
            <wp:positionH relativeFrom="page">
              <wp:posOffset>905255</wp:posOffset>
            </wp:positionH>
            <wp:positionV relativeFrom="paragraph">
              <wp:posOffset>80722</wp:posOffset>
            </wp:positionV>
            <wp:extent cx="259079" cy="103631"/>
            <wp:effectExtent l="0" t="0" r="0" b="0"/>
            <wp:wrapNone/>
            <wp:docPr id="1327" name="image6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 name="image687.png"/>
                    <pic:cNvPicPr/>
                  </pic:nvPicPr>
                  <pic:blipFill>
                    <a:blip r:embed="rId891" cstate="print"/>
                    <a:stretch>
                      <a:fillRect/>
                    </a:stretch>
                  </pic:blipFill>
                  <pic:spPr>
                    <a:xfrm>
                      <a:off x="0" y="0"/>
                      <a:ext cx="259079" cy="103631"/>
                    </a:xfrm>
                    <a:prstGeom prst="rect">
                      <a:avLst/>
                    </a:prstGeom>
                  </pic:spPr>
                </pic:pic>
              </a:graphicData>
            </a:graphic>
          </wp:anchor>
        </w:drawing>
      </w:r>
      <w:r>
        <w:t>For the foregoing reasons, MOFCOM's examination and determination of causation were inconsistent with China's obligations under Artic</w:t>
      </w:r>
      <w:r>
        <w:t xml:space="preserve">les 3.1 and 3.5 of the Anti‐Dumping </w:t>
      </w:r>
      <w:r>
        <w:rPr>
          <w:spacing w:val="-2"/>
        </w:rPr>
        <w:t>Agreement.</w:t>
      </w:r>
    </w:p>
    <w:p w14:paraId="51DE91AD" w14:textId="77777777" w:rsidR="0010369C" w:rsidRDefault="008E43AE">
      <w:pPr>
        <w:pStyle w:val="Heading4"/>
        <w:numPr>
          <w:ilvl w:val="0"/>
          <w:numId w:val="43"/>
        </w:numPr>
        <w:tabs>
          <w:tab w:val="left" w:pos="2649"/>
          <w:tab w:val="left" w:pos="2650"/>
        </w:tabs>
        <w:spacing w:line="360" w:lineRule="auto"/>
        <w:ind w:right="615" w:hanging="852"/>
        <w:jc w:val="both"/>
      </w:pPr>
      <w:r>
        <w:t>MOFCOM</w:t>
      </w:r>
      <w:r>
        <w:rPr>
          <w:spacing w:val="-8"/>
        </w:rPr>
        <w:t xml:space="preserve"> </w:t>
      </w:r>
      <w:r>
        <w:t>failed</w:t>
      </w:r>
      <w:r>
        <w:rPr>
          <w:spacing w:val="-8"/>
        </w:rPr>
        <w:t xml:space="preserve"> </w:t>
      </w:r>
      <w:r>
        <w:t>to</w:t>
      </w:r>
      <w:r>
        <w:rPr>
          <w:spacing w:val="-8"/>
        </w:rPr>
        <w:t xml:space="preserve"> </w:t>
      </w:r>
      <w:r>
        <w:t>establish</w:t>
      </w:r>
      <w:r>
        <w:rPr>
          <w:spacing w:val="-8"/>
        </w:rPr>
        <w:t xml:space="preserve"> </w:t>
      </w:r>
      <w:r>
        <w:t>that</w:t>
      </w:r>
      <w:r>
        <w:rPr>
          <w:spacing w:val="-9"/>
        </w:rPr>
        <w:t xml:space="preserve"> </w:t>
      </w:r>
      <w:r>
        <w:t>Australian</w:t>
      </w:r>
      <w:r>
        <w:rPr>
          <w:spacing w:val="-9"/>
        </w:rPr>
        <w:t xml:space="preserve"> </w:t>
      </w:r>
      <w:r>
        <w:t>wine</w:t>
      </w:r>
      <w:r>
        <w:rPr>
          <w:spacing w:val="-7"/>
        </w:rPr>
        <w:t xml:space="preserve"> </w:t>
      </w:r>
      <w:r>
        <w:t>and</w:t>
      </w:r>
      <w:r>
        <w:rPr>
          <w:spacing w:val="-8"/>
        </w:rPr>
        <w:t xml:space="preserve"> </w:t>
      </w:r>
      <w:r>
        <w:t>domestic</w:t>
      </w:r>
      <w:r>
        <w:rPr>
          <w:spacing w:val="-9"/>
        </w:rPr>
        <w:t xml:space="preserve"> </w:t>
      </w:r>
      <w:r>
        <w:t>like products were substitutable with each other</w:t>
      </w:r>
    </w:p>
    <w:p w14:paraId="51DE91AE" w14:textId="77777777" w:rsidR="0010369C" w:rsidRDefault="0010369C">
      <w:pPr>
        <w:pStyle w:val="BodyText"/>
        <w:spacing w:before="9"/>
        <w:rPr>
          <w:b/>
          <w:sz w:val="8"/>
        </w:rPr>
      </w:pPr>
    </w:p>
    <w:p w14:paraId="51DE91AF" w14:textId="77777777" w:rsidR="0010369C" w:rsidRDefault="008E43AE">
      <w:pPr>
        <w:pStyle w:val="BodyText"/>
        <w:spacing w:before="52" w:line="360" w:lineRule="auto"/>
        <w:ind w:left="237" w:right="613" w:firstLine="852"/>
        <w:jc w:val="both"/>
      </w:pPr>
      <w:r>
        <w:rPr>
          <w:noProof/>
        </w:rPr>
        <w:drawing>
          <wp:anchor distT="0" distB="0" distL="0" distR="0" simplePos="0" relativeHeight="251289088" behindDoc="1" locked="0" layoutInCell="1" allowOverlap="1" wp14:anchorId="51DEA57D" wp14:editId="51DEA57E">
            <wp:simplePos x="0" y="0"/>
            <wp:positionH relativeFrom="page">
              <wp:posOffset>905255</wp:posOffset>
            </wp:positionH>
            <wp:positionV relativeFrom="paragraph">
              <wp:posOffset>80595</wp:posOffset>
            </wp:positionV>
            <wp:extent cx="259079" cy="103632"/>
            <wp:effectExtent l="0" t="0" r="0" b="0"/>
            <wp:wrapNone/>
            <wp:docPr id="1329" name="image6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 name="image688.png"/>
                    <pic:cNvPicPr/>
                  </pic:nvPicPr>
                  <pic:blipFill>
                    <a:blip r:embed="rId892" cstate="print"/>
                    <a:stretch>
                      <a:fillRect/>
                    </a:stretch>
                  </pic:blipFill>
                  <pic:spPr>
                    <a:xfrm>
                      <a:off x="0" y="0"/>
                      <a:ext cx="259079" cy="103632"/>
                    </a:xfrm>
                    <a:prstGeom prst="rect">
                      <a:avLst/>
                    </a:prstGeom>
                  </pic:spPr>
                </pic:pic>
              </a:graphicData>
            </a:graphic>
          </wp:anchor>
        </w:drawing>
      </w:r>
      <w:r>
        <w:t xml:space="preserve">In </w:t>
      </w:r>
      <w:r>
        <w:rPr>
          <w:i/>
        </w:rPr>
        <w:t>China ‐ HP‐SSST (Japan)</w:t>
      </w:r>
      <w:r>
        <w:t>, the Appellate Body considered that, in order to make a finding of mat</w:t>
      </w:r>
      <w:r>
        <w:t>erial injury under Article 3.5 of the Anti‐Dumping Agreement, an analysis of "substitutability" or "price correlation" may well be required in cases involving a dumped product and a like domestic product consisting of a range of different product types tha</w:t>
      </w:r>
      <w:r>
        <w:t>t are</w:t>
      </w:r>
    </w:p>
    <w:p w14:paraId="51DE91B0" w14:textId="77777777" w:rsidR="0010369C" w:rsidRDefault="0010369C">
      <w:pPr>
        <w:pStyle w:val="BodyText"/>
        <w:rPr>
          <w:sz w:val="20"/>
        </w:rPr>
      </w:pPr>
    </w:p>
    <w:p w14:paraId="51DE91B1" w14:textId="77777777" w:rsidR="0010369C" w:rsidRDefault="0010369C">
      <w:pPr>
        <w:pStyle w:val="BodyText"/>
        <w:rPr>
          <w:sz w:val="20"/>
        </w:rPr>
      </w:pPr>
    </w:p>
    <w:p w14:paraId="51DE91B2" w14:textId="77777777" w:rsidR="0010369C" w:rsidRDefault="0010369C">
      <w:pPr>
        <w:pStyle w:val="BodyText"/>
        <w:rPr>
          <w:sz w:val="20"/>
        </w:rPr>
      </w:pPr>
    </w:p>
    <w:p w14:paraId="51DE91B3" w14:textId="77777777" w:rsidR="0010369C" w:rsidRDefault="008E43AE">
      <w:pPr>
        <w:pStyle w:val="BodyText"/>
        <w:spacing w:before="4"/>
        <w:rPr>
          <w:sz w:val="17"/>
        </w:rPr>
      </w:pPr>
      <w:r>
        <w:pict w14:anchorId="51DEA57F">
          <v:rect id="docshape1141" o:spid="_x0000_s1255" style="position:absolute;margin-left:70.9pt;margin-top:11.8pt;width:2in;height:.8pt;z-index:-250793472;mso-wrap-distance-left:0;mso-wrap-distance-right:0;mso-position-horizontal-relative:page" fillcolor="black" stroked="f">
            <w10:wrap type="topAndBottom" anchorx="page"/>
          </v:rect>
        </w:pict>
      </w:r>
    </w:p>
    <w:p w14:paraId="51DE91B4" w14:textId="77777777" w:rsidR="0010369C" w:rsidRDefault="008E43AE">
      <w:pPr>
        <w:spacing w:before="109"/>
        <w:ind w:left="238"/>
        <w:rPr>
          <w:sz w:val="18"/>
        </w:rPr>
      </w:pPr>
      <w:r>
        <w:rPr>
          <w:sz w:val="18"/>
          <w:vertAlign w:val="superscript"/>
        </w:rPr>
        <w:t>791</w:t>
      </w:r>
      <w:r>
        <w:rPr>
          <w:spacing w:val="-8"/>
          <w:sz w:val="18"/>
        </w:rPr>
        <w:t xml:space="preserve"> </w:t>
      </w:r>
      <w:r>
        <w:rPr>
          <w:sz w:val="18"/>
        </w:rPr>
        <w:t>Anti‐Dumping</w:t>
      </w:r>
      <w:r>
        <w:rPr>
          <w:spacing w:val="-8"/>
          <w:sz w:val="18"/>
        </w:rPr>
        <w:t xml:space="preserve"> </w:t>
      </w:r>
      <w:r>
        <w:rPr>
          <w:sz w:val="18"/>
        </w:rPr>
        <w:t>Final</w:t>
      </w:r>
      <w:r>
        <w:rPr>
          <w:spacing w:val="-8"/>
          <w:sz w:val="18"/>
        </w:rPr>
        <w:t xml:space="preserve"> </w:t>
      </w:r>
      <w:r>
        <w:rPr>
          <w:sz w:val="18"/>
        </w:rPr>
        <w:t>Determination</w:t>
      </w:r>
      <w:r>
        <w:rPr>
          <w:spacing w:val="-6"/>
          <w:sz w:val="18"/>
        </w:rPr>
        <w:t xml:space="preserve"> </w:t>
      </w:r>
      <w:r>
        <w:rPr>
          <w:sz w:val="18"/>
        </w:rPr>
        <w:t>(Exhibit</w:t>
      </w:r>
      <w:r>
        <w:rPr>
          <w:spacing w:val="-8"/>
          <w:sz w:val="18"/>
        </w:rPr>
        <w:t xml:space="preserve"> </w:t>
      </w:r>
      <w:r>
        <w:rPr>
          <w:sz w:val="18"/>
        </w:rPr>
        <w:t>AUS‐2),</w:t>
      </w:r>
      <w:r>
        <w:rPr>
          <w:spacing w:val="-9"/>
          <w:sz w:val="18"/>
        </w:rPr>
        <w:t xml:space="preserve"> </w:t>
      </w:r>
      <w:r>
        <w:rPr>
          <w:sz w:val="18"/>
        </w:rPr>
        <w:t>pp.</w:t>
      </w:r>
      <w:r>
        <w:rPr>
          <w:spacing w:val="-7"/>
          <w:sz w:val="18"/>
        </w:rPr>
        <w:t xml:space="preserve"> </w:t>
      </w:r>
      <w:r>
        <w:rPr>
          <w:sz w:val="18"/>
        </w:rPr>
        <w:t>105,</w:t>
      </w:r>
      <w:r>
        <w:rPr>
          <w:spacing w:val="-9"/>
          <w:sz w:val="18"/>
        </w:rPr>
        <w:t xml:space="preserve"> </w:t>
      </w:r>
      <w:r>
        <w:rPr>
          <w:sz w:val="18"/>
        </w:rPr>
        <w:t>119,</w:t>
      </w:r>
      <w:r>
        <w:rPr>
          <w:spacing w:val="-8"/>
          <w:sz w:val="18"/>
        </w:rPr>
        <w:t xml:space="preserve"> </w:t>
      </w:r>
      <w:r>
        <w:rPr>
          <w:spacing w:val="-4"/>
          <w:sz w:val="18"/>
        </w:rPr>
        <w:t>135.</w:t>
      </w:r>
    </w:p>
    <w:p w14:paraId="51DE91B5" w14:textId="77777777" w:rsidR="0010369C" w:rsidRDefault="008E43AE">
      <w:pPr>
        <w:ind w:left="238"/>
        <w:rPr>
          <w:sz w:val="18"/>
        </w:rPr>
      </w:pPr>
      <w:r>
        <w:rPr>
          <w:sz w:val="18"/>
          <w:vertAlign w:val="superscript"/>
        </w:rPr>
        <w:t>792</w:t>
      </w:r>
      <w:r>
        <w:rPr>
          <w:spacing w:val="-8"/>
          <w:sz w:val="18"/>
        </w:rPr>
        <w:t xml:space="preserve"> </w:t>
      </w:r>
      <w:r>
        <w:rPr>
          <w:sz w:val="18"/>
        </w:rPr>
        <w:t>Anti‐Dumping</w:t>
      </w:r>
      <w:r>
        <w:rPr>
          <w:spacing w:val="-8"/>
          <w:sz w:val="18"/>
        </w:rPr>
        <w:t xml:space="preserve"> </w:t>
      </w:r>
      <w:r>
        <w:rPr>
          <w:sz w:val="18"/>
        </w:rPr>
        <w:t>Final</w:t>
      </w:r>
      <w:r>
        <w:rPr>
          <w:spacing w:val="-8"/>
          <w:sz w:val="18"/>
        </w:rPr>
        <w:t xml:space="preserve"> </w:t>
      </w:r>
      <w:r>
        <w:rPr>
          <w:sz w:val="18"/>
        </w:rPr>
        <w:t>Determination</w:t>
      </w:r>
      <w:r>
        <w:rPr>
          <w:spacing w:val="-6"/>
          <w:sz w:val="18"/>
        </w:rPr>
        <w:t xml:space="preserve"> </w:t>
      </w:r>
      <w:r>
        <w:rPr>
          <w:sz w:val="18"/>
        </w:rPr>
        <w:t>(Exhibit</w:t>
      </w:r>
      <w:r>
        <w:rPr>
          <w:spacing w:val="-8"/>
          <w:sz w:val="18"/>
        </w:rPr>
        <w:t xml:space="preserve"> </w:t>
      </w:r>
      <w:r>
        <w:rPr>
          <w:sz w:val="18"/>
        </w:rPr>
        <w:t>AUS‐2),</w:t>
      </w:r>
      <w:r>
        <w:rPr>
          <w:spacing w:val="-9"/>
          <w:sz w:val="18"/>
        </w:rPr>
        <w:t xml:space="preserve"> </w:t>
      </w:r>
      <w:r>
        <w:rPr>
          <w:sz w:val="18"/>
        </w:rPr>
        <w:t>pp.</w:t>
      </w:r>
      <w:r>
        <w:rPr>
          <w:spacing w:val="-7"/>
          <w:sz w:val="18"/>
        </w:rPr>
        <w:t xml:space="preserve"> </w:t>
      </w:r>
      <w:r>
        <w:rPr>
          <w:sz w:val="18"/>
        </w:rPr>
        <w:t>103,</w:t>
      </w:r>
      <w:r>
        <w:rPr>
          <w:spacing w:val="-9"/>
          <w:sz w:val="18"/>
        </w:rPr>
        <w:t xml:space="preserve"> </w:t>
      </w:r>
      <w:r>
        <w:rPr>
          <w:sz w:val="18"/>
        </w:rPr>
        <w:t>105,</w:t>
      </w:r>
      <w:r>
        <w:rPr>
          <w:spacing w:val="-8"/>
          <w:sz w:val="18"/>
        </w:rPr>
        <w:t xml:space="preserve"> </w:t>
      </w:r>
      <w:r>
        <w:rPr>
          <w:spacing w:val="-4"/>
          <w:sz w:val="18"/>
        </w:rPr>
        <w:t>108.</w:t>
      </w:r>
    </w:p>
    <w:p w14:paraId="51DE91B6" w14:textId="77777777" w:rsidR="0010369C" w:rsidRDefault="008E43AE">
      <w:pPr>
        <w:ind w:left="238"/>
        <w:rPr>
          <w:sz w:val="18"/>
        </w:rPr>
      </w:pPr>
      <w:r>
        <w:rPr>
          <w:sz w:val="18"/>
          <w:vertAlign w:val="superscript"/>
        </w:rPr>
        <w:t>793</w:t>
      </w:r>
      <w:r>
        <w:rPr>
          <w:spacing w:val="-9"/>
          <w:sz w:val="18"/>
        </w:rPr>
        <w:t xml:space="preserve"> </w:t>
      </w:r>
      <w:r>
        <w:rPr>
          <w:sz w:val="18"/>
        </w:rPr>
        <w:t>Anti‐Dumping</w:t>
      </w:r>
      <w:r>
        <w:rPr>
          <w:spacing w:val="-9"/>
          <w:sz w:val="18"/>
        </w:rPr>
        <w:t xml:space="preserve"> </w:t>
      </w:r>
      <w:r>
        <w:rPr>
          <w:sz w:val="18"/>
        </w:rPr>
        <w:t>Final</w:t>
      </w:r>
      <w:r>
        <w:rPr>
          <w:spacing w:val="-9"/>
          <w:sz w:val="18"/>
        </w:rPr>
        <w:t xml:space="preserve"> </w:t>
      </w:r>
      <w:r>
        <w:rPr>
          <w:sz w:val="18"/>
        </w:rPr>
        <w:t>Determination</w:t>
      </w:r>
      <w:r>
        <w:rPr>
          <w:spacing w:val="-8"/>
          <w:sz w:val="18"/>
        </w:rPr>
        <w:t xml:space="preserve"> </w:t>
      </w:r>
      <w:r>
        <w:rPr>
          <w:sz w:val="18"/>
        </w:rPr>
        <w:t>(Exhibit</w:t>
      </w:r>
      <w:r>
        <w:rPr>
          <w:spacing w:val="-9"/>
          <w:sz w:val="18"/>
        </w:rPr>
        <w:t xml:space="preserve"> </w:t>
      </w:r>
      <w:r>
        <w:rPr>
          <w:sz w:val="18"/>
        </w:rPr>
        <w:t>AUS‐2),</w:t>
      </w:r>
      <w:r>
        <w:rPr>
          <w:spacing w:val="-10"/>
          <w:sz w:val="18"/>
        </w:rPr>
        <w:t xml:space="preserve"> </w:t>
      </w:r>
      <w:r>
        <w:rPr>
          <w:sz w:val="18"/>
        </w:rPr>
        <w:t>pp.</w:t>
      </w:r>
      <w:r>
        <w:rPr>
          <w:spacing w:val="-9"/>
          <w:sz w:val="18"/>
        </w:rPr>
        <w:t xml:space="preserve"> </w:t>
      </w:r>
      <w:r>
        <w:rPr>
          <w:spacing w:val="-2"/>
          <w:sz w:val="18"/>
        </w:rPr>
        <w:t>123‐124.</w:t>
      </w:r>
    </w:p>
    <w:p w14:paraId="51DE91B7" w14:textId="77777777" w:rsidR="0010369C" w:rsidRDefault="0010369C">
      <w:pPr>
        <w:rPr>
          <w:sz w:val="18"/>
        </w:rPr>
        <w:sectPr w:rsidR="0010369C">
          <w:headerReference w:type="default" r:id="rId893"/>
          <w:footerReference w:type="default" r:id="rId894"/>
          <w:pgSz w:w="11910" w:h="16840"/>
          <w:pgMar w:top="880" w:right="800" w:bottom="980" w:left="1180" w:header="569" w:footer="788" w:gutter="0"/>
          <w:cols w:space="720"/>
        </w:sectPr>
      </w:pPr>
    </w:p>
    <w:p w14:paraId="51DE91B8" w14:textId="77777777" w:rsidR="0010369C" w:rsidRDefault="008E43AE">
      <w:pPr>
        <w:tabs>
          <w:tab w:val="left" w:pos="6426"/>
        </w:tabs>
        <w:ind w:left="238"/>
        <w:jc w:val="both"/>
        <w:rPr>
          <w:sz w:val="20"/>
        </w:rPr>
      </w:pPr>
      <w:r>
        <w:rPr>
          <w:i/>
          <w:sz w:val="20"/>
        </w:rPr>
        <w:lastRenderedPageBreak/>
        <w:t>China</w:t>
      </w:r>
      <w:r>
        <w:rPr>
          <w:i/>
          <w:spacing w:val="-5"/>
          <w:sz w:val="20"/>
        </w:rPr>
        <w:t xml:space="preserve"> </w:t>
      </w:r>
      <w:r>
        <w:rPr>
          <w:i/>
          <w:sz w:val="20"/>
        </w:rPr>
        <w:t>–</w:t>
      </w:r>
      <w:r>
        <w:rPr>
          <w:i/>
          <w:spacing w:val="-5"/>
          <w:sz w:val="20"/>
        </w:rPr>
        <w:t xml:space="preserve"> </w:t>
      </w:r>
      <w:r>
        <w:rPr>
          <w:i/>
          <w:sz w:val="20"/>
        </w:rPr>
        <w:t>Anti‐Dumping</w:t>
      </w:r>
      <w:r>
        <w:rPr>
          <w:i/>
          <w:spacing w:val="-4"/>
          <w:sz w:val="20"/>
        </w:rPr>
        <w:t xml:space="preserve"> </w:t>
      </w:r>
      <w:r>
        <w:rPr>
          <w:i/>
          <w:sz w:val="20"/>
        </w:rPr>
        <w:t>and</w:t>
      </w:r>
      <w:r>
        <w:rPr>
          <w:i/>
          <w:spacing w:val="-5"/>
          <w:sz w:val="20"/>
        </w:rPr>
        <w:t xml:space="preserve"> </w:t>
      </w:r>
      <w:r>
        <w:rPr>
          <w:i/>
          <w:sz w:val="20"/>
        </w:rPr>
        <w:t>Countervailing</w:t>
      </w:r>
      <w:r>
        <w:rPr>
          <w:i/>
          <w:spacing w:val="-5"/>
          <w:sz w:val="20"/>
        </w:rPr>
        <w:t xml:space="preserve"> </w:t>
      </w:r>
      <w:r>
        <w:rPr>
          <w:i/>
          <w:sz w:val="20"/>
        </w:rPr>
        <w:t>Duty</w:t>
      </w:r>
      <w:r>
        <w:rPr>
          <w:i/>
          <w:spacing w:val="-4"/>
          <w:sz w:val="20"/>
        </w:rPr>
        <w:t xml:space="preserve"> </w:t>
      </w:r>
      <w:r>
        <w:rPr>
          <w:i/>
          <w:spacing w:val="-2"/>
          <w:sz w:val="20"/>
        </w:rPr>
        <w:t>Measures</w:t>
      </w:r>
      <w:r>
        <w:rPr>
          <w:i/>
          <w:sz w:val="20"/>
        </w:rPr>
        <w:tab/>
      </w:r>
      <w:r>
        <w:rPr>
          <w:sz w:val="20"/>
        </w:rPr>
        <w:t>Australia's</w:t>
      </w:r>
      <w:r>
        <w:rPr>
          <w:spacing w:val="-7"/>
          <w:sz w:val="20"/>
        </w:rPr>
        <w:t xml:space="preserve"> </w:t>
      </w:r>
      <w:r>
        <w:rPr>
          <w:sz w:val="20"/>
        </w:rPr>
        <w:t>First</w:t>
      </w:r>
      <w:r>
        <w:rPr>
          <w:spacing w:val="-2"/>
          <w:sz w:val="20"/>
        </w:rPr>
        <w:t xml:space="preserve"> </w:t>
      </w:r>
      <w:r>
        <w:rPr>
          <w:sz w:val="20"/>
        </w:rPr>
        <w:t>Written</w:t>
      </w:r>
      <w:r>
        <w:rPr>
          <w:spacing w:val="-2"/>
          <w:sz w:val="20"/>
        </w:rPr>
        <w:t xml:space="preserve"> Submission</w:t>
      </w:r>
    </w:p>
    <w:p w14:paraId="51DE91B9" w14:textId="77777777" w:rsidR="0010369C" w:rsidRDefault="008E43AE">
      <w:pPr>
        <w:tabs>
          <w:tab w:val="left" w:pos="8228"/>
        </w:tabs>
        <w:spacing w:before="1"/>
        <w:ind w:left="239"/>
        <w:jc w:val="both"/>
        <w:rPr>
          <w:sz w:val="20"/>
        </w:rPr>
      </w:pPr>
      <w:r>
        <w:rPr>
          <w:i/>
          <w:sz w:val="20"/>
        </w:rPr>
        <w:t>on</w:t>
      </w:r>
      <w:r>
        <w:rPr>
          <w:i/>
          <w:spacing w:val="-1"/>
          <w:sz w:val="20"/>
        </w:rPr>
        <w:t xml:space="preserve"> </w:t>
      </w:r>
      <w:r>
        <w:rPr>
          <w:i/>
          <w:sz w:val="20"/>
        </w:rPr>
        <w:t>Wine</w:t>
      </w:r>
      <w:r>
        <w:rPr>
          <w:i/>
          <w:spacing w:val="-1"/>
          <w:sz w:val="20"/>
        </w:rPr>
        <w:t xml:space="preserve"> </w:t>
      </w:r>
      <w:r>
        <w:rPr>
          <w:i/>
          <w:sz w:val="20"/>
        </w:rPr>
        <w:t>from</w:t>
      </w:r>
      <w:r>
        <w:rPr>
          <w:i/>
          <w:spacing w:val="-3"/>
          <w:sz w:val="20"/>
        </w:rPr>
        <w:t xml:space="preserve"> </w:t>
      </w:r>
      <w:r>
        <w:rPr>
          <w:i/>
          <w:sz w:val="20"/>
        </w:rPr>
        <w:t>Australia</w:t>
      </w:r>
      <w:r>
        <w:rPr>
          <w:i/>
          <w:spacing w:val="-1"/>
          <w:sz w:val="20"/>
        </w:rPr>
        <w:t xml:space="preserve"> </w:t>
      </w:r>
      <w:r>
        <w:rPr>
          <w:spacing w:val="-2"/>
          <w:sz w:val="20"/>
        </w:rPr>
        <w:t>(DS602)</w:t>
      </w:r>
      <w:r>
        <w:rPr>
          <w:sz w:val="20"/>
        </w:rPr>
        <w:tab/>
        <w:t>29</w:t>
      </w:r>
      <w:r>
        <w:rPr>
          <w:spacing w:val="-1"/>
          <w:sz w:val="20"/>
        </w:rPr>
        <w:t xml:space="preserve"> </w:t>
      </w:r>
      <w:r>
        <w:rPr>
          <w:sz w:val="20"/>
        </w:rPr>
        <w:t>April</w:t>
      </w:r>
      <w:r>
        <w:rPr>
          <w:spacing w:val="-2"/>
          <w:sz w:val="20"/>
        </w:rPr>
        <w:t xml:space="preserve"> </w:t>
      </w:r>
      <w:r>
        <w:rPr>
          <w:spacing w:val="-4"/>
          <w:sz w:val="20"/>
        </w:rPr>
        <w:t>2022</w:t>
      </w:r>
    </w:p>
    <w:p w14:paraId="51DE91BA" w14:textId="77777777" w:rsidR="0010369C" w:rsidRDefault="008E43AE">
      <w:pPr>
        <w:pStyle w:val="BodyText"/>
        <w:spacing w:before="34" w:line="360" w:lineRule="auto"/>
        <w:ind w:left="237" w:right="613"/>
        <w:jc w:val="both"/>
      </w:pPr>
      <w:r>
        <w:t>distinguished by considerable price differences.</w:t>
      </w:r>
      <w:r>
        <w:rPr>
          <w:vertAlign w:val="superscript"/>
        </w:rPr>
        <w:t>794</w:t>
      </w:r>
      <w:r>
        <w:t xml:space="preserve"> In this regard, it considered that an affirmative finding of causation under Article 3.5 could not be made to the extent that the relevant imports "are not substitutable for the domestic like products".</w:t>
      </w:r>
      <w:r>
        <w:rPr>
          <w:vertAlign w:val="superscript"/>
        </w:rPr>
        <w:t>79</w:t>
      </w:r>
      <w:r>
        <w:rPr>
          <w:vertAlign w:val="superscript"/>
        </w:rPr>
        <w:t>5</w:t>
      </w:r>
      <w:r>
        <w:t xml:space="preserve"> In the circumstances</w:t>
      </w:r>
      <w:r>
        <w:rPr>
          <w:spacing w:val="-11"/>
        </w:rPr>
        <w:t xml:space="preserve"> </w:t>
      </w:r>
      <w:r>
        <w:t>of</w:t>
      </w:r>
      <w:r>
        <w:rPr>
          <w:spacing w:val="-10"/>
        </w:rPr>
        <w:t xml:space="preserve"> </w:t>
      </w:r>
      <w:r>
        <w:t>that</w:t>
      </w:r>
      <w:r>
        <w:rPr>
          <w:spacing w:val="-10"/>
        </w:rPr>
        <w:t xml:space="preserve"> </w:t>
      </w:r>
      <w:r>
        <w:t>dispute,</w:t>
      </w:r>
      <w:r>
        <w:rPr>
          <w:spacing w:val="-10"/>
        </w:rPr>
        <w:t xml:space="preserve"> </w:t>
      </w:r>
      <w:r>
        <w:t>the</w:t>
      </w:r>
      <w:r>
        <w:rPr>
          <w:spacing w:val="-10"/>
        </w:rPr>
        <w:t xml:space="preserve"> </w:t>
      </w:r>
      <w:r>
        <w:t>Appellate</w:t>
      </w:r>
      <w:r>
        <w:rPr>
          <w:spacing w:val="-10"/>
        </w:rPr>
        <w:t xml:space="preserve"> </w:t>
      </w:r>
      <w:r>
        <w:t>Body</w:t>
      </w:r>
      <w:r>
        <w:rPr>
          <w:spacing w:val="-10"/>
        </w:rPr>
        <w:t xml:space="preserve"> </w:t>
      </w:r>
      <w:r>
        <w:t>determined</w:t>
      </w:r>
      <w:r>
        <w:rPr>
          <w:spacing w:val="-10"/>
        </w:rPr>
        <w:t xml:space="preserve"> </w:t>
      </w:r>
      <w:r>
        <w:t>that</w:t>
      </w:r>
      <w:r>
        <w:rPr>
          <w:spacing w:val="-10"/>
        </w:rPr>
        <w:t xml:space="preserve"> </w:t>
      </w:r>
      <w:r>
        <w:t>the</w:t>
      </w:r>
      <w:r>
        <w:rPr>
          <w:spacing w:val="-10"/>
        </w:rPr>
        <w:t xml:space="preserve"> </w:t>
      </w:r>
      <w:r>
        <w:t>investigating</w:t>
      </w:r>
      <w:r>
        <w:rPr>
          <w:spacing w:val="-10"/>
        </w:rPr>
        <w:t xml:space="preserve"> </w:t>
      </w:r>
      <w:r>
        <w:t>authority (MOFCOM) "should, at the very least, have assessed the existence and the extent of substitutability of lower‐ and higher‐end [subject and like products] in order to show that 'alleged</w:t>
      </w:r>
      <w:r>
        <w:rPr>
          <w:spacing w:val="-4"/>
        </w:rPr>
        <w:t xml:space="preserve"> </w:t>
      </w:r>
      <w:r>
        <w:t>substitutability</w:t>
      </w:r>
      <w:r>
        <w:rPr>
          <w:spacing w:val="-4"/>
        </w:rPr>
        <w:t xml:space="preserve"> </w:t>
      </w:r>
      <w:r>
        <w:t>demonstrates</w:t>
      </w:r>
      <w:r>
        <w:rPr>
          <w:spacing w:val="-3"/>
        </w:rPr>
        <w:t xml:space="preserve"> </w:t>
      </w:r>
      <w:r>
        <w:t>price</w:t>
      </w:r>
      <w:r>
        <w:rPr>
          <w:spacing w:val="-4"/>
        </w:rPr>
        <w:t xml:space="preserve"> </w:t>
      </w:r>
      <w:r>
        <w:t>correlation'</w:t>
      </w:r>
      <w:r>
        <w:rPr>
          <w:spacing w:val="-4"/>
        </w:rPr>
        <w:t xml:space="preserve"> </w:t>
      </w:r>
      <w:r>
        <w:t>between</w:t>
      </w:r>
      <w:r>
        <w:rPr>
          <w:spacing w:val="-5"/>
        </w:rPr>
        <w:t xml:space="preserve"> </w:t>
      </w:r>
      <w:r>
        <w:t>each</w:t>
      </w:r>
      <w:r>
        <w:rPr>
          <w:spacing w:val="-5"/>
        </w:rPr>
        <w:t xml:space="preserve"> </w:t>
      </w:r>
      <w:r>
        <w:t>product</w:t>
      </w:r>
      <w:r>
        <w:rPr>
          <w:spacing w:val="-3"/>
        </w:rPr>
        <w:t xml:space="preserve"> </w:t>
      </w:r>
      <w:r>
        <w:t>type".</w:t>
      </w:r>
      <w:r>
        <w:rPr>
          <w:vertAlign w:val="superscript"/>
        </w:rPr>
        <w:t>796</w:t>
      </w:r>
      <w:r>
        <w:rPr>
          <w:spacing w:val="-4"/>
        </w:rPr>
        <w:t xml:space="preserve"> </w:t>
      </w:r>
      <w:r>
        <w:t>With regard to the "substitutability of different product types", it considered that "whether two products compete in the same market is not determined simply by assessing whether they share particular physical characteristics or have the</w:t>
      </w:r>
      <w:r>
        <w:t xml:space="preserve"> same general uses".</w:t>
      </w:r>
      <w:r>
        <w:rPr>
          <w:vertAlign w:val="superscript"/>
        </w:rPr>
        <w:t>797</w:t>
      </w:r>
    </w:p>
    <w:p w14:paraId="51DE91BB" w14:textId="77777777" w:rsidR="0010369C" w:rsidRDefault="0010369C">
      <w:pPr>
        <w:pStyle w:val="BodyText"/>
        <w:spacing w:before="10"/>
        <w:rPr>
          <w:sz w:val="8"/>
        </w:rPr>
      </w:pPr>
    </w:p>
    <w:p w14:paraId="51DE91BC" w14:textId="77777777" w:rsidR="0010369C" w:rsidRDefault="008E43AE">
      <w:pPr>
        <w:pStyle w:val="BodyText"/>
        <w:spacing w:before="52" w:line="360" w:lineRule="auto"/>
        <w:ind w:left="236" w:right="613" w:firstLine="853"/>
        <w:jc w:val="both"/>
      </w:pPr>
      <w:r>
        <w:rPr>
          <w:noProof/>
        </w:rPr>
        <w:drawing>
          <wp:anchor distT="0" distB="0" distL="0" distR="0" simplePos="0" relativeHeight="251290112" behindDoc="1" locked="0" layoutInCell="1" allowOverlap="1" wp14:anchorId="51DEA580" wp14:editId="51DEA581">
            <wp:simplePos x="0" y="0"/>
            <wp:positionH relativeFrom="page">
              <wp:posOffset>905255</wp:posOffset>
            </wp:positionH>
            <wp:positionV relativeFrom="paragraph">
              <wp:posOffset>81357</wp:posOffset>
            </wp:positionV>
            <wp:extent cx="259079" cy="103631"/>
            <wp:effectExtent l="0" t="0" r="0" b="0"/>
            <wp:wrapNone/>
            <wp:docPr id="1331" name="image6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 name="image689.png"/>
                    <pic:cNvPicPr/>
                  </pic:nvPicPr>
                  <pic:blipFill>
                    <a:blip r:embed="rId895" cstate="print"/>
                    <a:stretch>
                      <a:fillRect/>
                    </a:stretch>
                  </pic:blipFill>
                  <pic:spPr>
                    <a:xfrm>
                      <a:off x="0" y="0"/>
                      <a:ext cx="259079" cy="103631"/>
                    </a:xfrm>
                    <a:prstGeom prst="rect">
                      <a:avLst/>
                    </a:prstGeom>
                  </pic:spPr>
                </pic:pic>
              </a:graphicData>
            </a:graphic>
          </wp:anchor>
        </w:drawing>
      </w:r>
      <w:r>
        <w:t>Australia considers that this obligation goes hand‐in‐hand with the obligation to ensure price comparability in the examination of price effects under the second sentence of Article 3.2. Australia</w:t>
      </w:r>
      <w:r>
        <w:rPr>
          <w:spacing w:val="-1"/>
        </w:rPr>
        <w:t xml:space="preserve"> </w:t>
      </w:r>
      <w:r>
        <w:t>has established</w:t>
      </w:r>
      <w:r>
        <w:rPr>
          <w:spacing w:val="-1"/>
        </w:rPr>
        <w:t xml:space="preserve"> </w:t>
      </w:r>
      <w:r>
        <w:t>that MOFCOM faile</w:t>
      </w:r>
      <w:r>
        <w:t>d to ensure price comparability in its examination</w:t>
      </w:r>
      <w:r>
        <w:rPr>
          <w:spacing w:val="-6"/>
        </w:rPr>
        <w:t xml:space="preserve"> </w:t>
      </w:r>
      <w:r>
        <w:t>of</w:t>
      </w:r>
      <w:r>
        <w:rPr>
          <w:spacing w:val="-4"/>
        </w:rPr>
        <w:t xml:space="preserve"> </w:t>
      </w:r>
      <w:r>
        <w:t>price</w:t>
      </w:r>
      <w:r>
        <w:rPr>
          <w:spacing w:val="-3"/>
        </w:rPr>
        <w:t xml:space="preserve"> </w:t>
      </w:r>
      <w:r>
        <w:t>effects</w:t>
      </w:r>
      <w:r>
        <w:rPr>
          <w:spacing w:val="-5"/>
        </w:rPr>
        <w:t xml:space="preserve"> </w:t>
      </w:r>
      <w:r>
        <w:t>under</w:t>
      </w:r>
      <w:r>
        <w:rPr>
          <w:spacing w:val="-3"/>
        </w:rPr>
        <w:t xml:space="preserve"> </w:t>
      </w:r>
      <w:r>
        <w:t>this</w:t>
      </w:r>
      <w:r>
        <w:rPr>
          <w:spacing w:val="-4"/>
        </w:rPr>
        <w:t xml:space="preserve"> </w:t>
      </w:r>
      <w:r>
        <w:t>provision.</w:t>
      </w:r>
      <w:r>
        <w:rPr>
          <w:vertAlign w:val="superscript"/>
        </w:rPr>
        <w:t>798</w:t>
      </w:r>
      <w:r>
        <w:rPr>
          <w:spacing w:val="-4"/>
        </w:rPr>
        <w:t xml:space="preserve"> </w:t>
      </w:r>
      <w:r>
        <w:t>For</w:t>
      </w:r>
      <w:r>
        <w:rPr>
          <w:spacing w:val="-3"/>
        </w:rPr>
        <w:t xml:space="preserve"> </w:t>
      </w:r>
      <w:r>
        <w:t>the</w:t>
      </w:r>
      <w:r>
        <w:rPr>
          <w:spacing w:val="-3"/>
        </w:rPr>
        <w:t xml:space="preserve"> </w:t>
      </w:r>
      <w:r>
        <w:t>same</w:t>
      </w:r>
      <w:r>
        <w:rPr>
          <w:spacing w:val="-4"/>
        </w:rPr>
        <w:t xml:space="preserve"> </w:t>
      </w:r>
      <w:r>
        <w:t>reasons,</w:t>
      </w:r>
      <w:r>
        <w:rPr>
          <w:spacing w:val="-5"/>
        </w:rPr>
        <w:t xml:space="preserve"> </w:t>
      </w:r>
      <w:r>
        <w:t>MOFCOM</w:t>
      </w:r>
      <w:r>
        <w:rPr>
          <w:spacing w:val="-3"/>
        </w:rPr>
        <w:t xml:space="preserve"> </w:t>
      </w:r>
      <w:r>
        <w:t>failed</w:t>
      </w:r>
      <w:r>
        <w:rPr>
          <w:spacing w:val="-4"/>
        </w:rPr>
        <w:t xml:space="preserve"> </w:t>
      </w:r>
      <w:r>
        <w:t>in its causation analysis under Article 3.5 to assess "the existence and the extent of substitutability of lower‐ and higher‐en</w:t>
      </w:r>
      <w:r>
        <w:t>d" wine products "in order to show that 'alleged substitutability demonstrates price correlation' between each product type". As a result, MOFCOM's determination that subject imports caused injury to the domestic industry is inconsistent with China's oblig</w:t>
      </w:r>
      <w:r>
        <w:t>ations under Articles 3.1 and 3.5.</w:t>
      </w:r>
    </w:p>
    <w:p w14:paraId="51DE91BD" w14:textId="77777777" w:rsidR="0010369C" w:rsidRDefault="0010369C">
      <w:pPr>
        <w:pStyle w:val="BodyText"/>
        <w:spacing w:before="10"/>
        <w:rPr>
          <w:sz w:val="8"/>
        </w:rPr>
      </w:pPr>
    </w:p>
    <w:p w14:paraId="51DE91BE" w14:textId="77777777" w:rsidR="0010369C" w:rsidRDefault="008E43AE">
      <w:pPr>
        <w:pStyle w:val="BodyText"/>
        <w:spacing w:before="52" w:line="362" w:lineRule="auto"/>
        <w:ind w:left="238" w:right="613" w:firstLine="851"/>
        <w:jc w:val="both"/>
      </w:pPr>
      <w:r>
        <w:rPr>
          <w:noProof/>
        </w:rPr>
        <w:drawing>
          <wp:anchor distT="0" distB="0" distL="0" distR="0" simplePos="0" relativeHeight="251291136" behindDoc="1" locked="0" layoutInCell="1" allowOverlap="1" wp14:anchorId="51DEA582" wp14:editId="51DEA583">
            <wp:simplePos x="0" y="0"/>
            <wp:positionH relativeFrom="page">
              <wp:posOffset>905255</wp:posOffset>
            </wp:positionH>
            <wp:positionV relativeFrom="paragraph">
              <wp:posOffset>80596</wp:posOffset>
            </wp:positionV>
            <wp:extent cx="259079" cy="103631"/>
            <wp:effectExtent l="0" t="0" r="0" b="0"/>
            <wp:wrapNone/>
            <wp:docPr id="1333" name="image6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 name="image690.png"/>
                    <pic:cNvPicPr/>
                  </pic:nvPicPr>
                  <pic:blipFill>
                    <a:blip r:embed="rId896" cstate="print"/>
                    <a:stretch>
                      <a:fillRect/>
                    </a:stretch>
                  </pic:blipFill>
                  <pic:spPr>
                    <a:xfrm>
                      <a:off x="0" y="0"/>
                      <a:ext cx="259079" cy="103631"/>
                    </a:xfrm>
                    <a:prstGeom prst="rect">
                      <a:avLst/>
                    </a:prstGeom>
                  </pic:spPr>
                </pic:pic>
              </a:graphicData>
            </a:graphic>
          </wp:anchor>
        </w:drawing>
      </w:r>
      <w:r>
        <w:t>In its causation analysis, MOFCOM's examination of the competitive relationship between</w:t>
      </w:r>
      <w:r>
        <w:rPr>
          <w:spacing w:val="-11"/>
        </w:rPr>
        <w:t xml:space="preserve"> </w:t>
      </w:r>
      <w:r>
        <w:t>subject</w:t>
      </w:r>
      <w:r>
        <w:rPr>
          <w:spacing w:val="-11"/>
        </w:rPr>
        <w:t xml:space="preserve"> </w:t>
      </w:r>
      <w:r>
        <w:t>imports</w:t>
      </w:r>
      <w:r>
        <w:rPr>
          <w:spacing w:val="-11"/>
        </w:rPr>
        <w:t xml:space="preserve"> </w:t>
      </w:r>
      <w:r>
        <w:t>and</w:t>
      </w:r>
      <w:r>
        <w:rPr>
          <w:spacing w:val="-11"/>
        </w:rPr>
        <w:t xml:space="preserve"> </w:t>
      </w:r>
      <w:r>
        <w:t>domestic</w:t>
      </w:r>
      <w:r>
        <w:rPr>
          <w:spacing w:val="-10"/>
        </w:rPr>
        <w:t xml:space="preserve"> </w:t>
      </w:r>
      <w:r>
        <w:t>like</w:t>
      </w:r>
      <w:r>
        <w:rPr>
          <w:spacing w:val="-11"/>
        </w:rPr>
        <w:t xml:space="preserve"> </w:t>
      </w:r>
      <w:r>
        <w:t>products</w:t>
      </w:r>
      <w:r>
        <w:rPr>
          <w:spacing w:val="-11"/>
        </w:rPr>
        <w:t xml:space="preserve"> </w:t>
      </w:r>
      <w:r>
        <w:t>was</w:t>
      </w:r>
      <w:r>
        <w:rPr>
          <w:spacing w:val="-11"/>
        </w:rPr>
        <w:t xml:space="preserve"> </w:t>
      </w:r>
      <w:r>
        <w:t>limited</w:t>
      </w:r>
      <w:r>
        <w:rPr>
          <w:spacing w:val="-11"/>
        </w:rPr>
        <w:t xml:space="preserve"> </w:t>
      </w:r>
      <w:r>
        <w:t>to</w:t>
      </w:r>
      <w:r>
        <w:rPr>
          <w:spacing w:val="-11"/>
        </w:rPr>
        <w:t xml:space="preserve"> </w:t>
      </w:r>
      <w:r>
        <w:t>the</w:t>
      </w:r>
      <w:r>
        <w:rPr>
          <w:spacing w:val="-10"/>
        </w:rPr>
        <w:t xml:space="preserve"> </w:t>
      </w:r>
      <w:r>
        <w:t>following</w:t>
      </w:r>
      <w:r>
        <w:rPr>
          <w:spacing w:val="-10"/>
        </w:rPr>
        <w:t xml:space="preserve"> </w:t>
      </w:r>
      <w:r>
        <w:rPr>
          <w:spacing w:val="-2"/>
        </w:rPr>
        <w:t>statements:</w:t>
      </w:r>
    </w:p>
    <w:p w14:paraId="51DE91BF" w14:textId="77777777" w:rsidR="0010369C" w:rsidRDefault="008E43AE">
      <w:pPr>
        <w:spacing w:before="156" w:line="276" w:lineRule="auto"/>
        <w:ind w:left="1089" w:right="612" w:hanging="1"/>
        <w:jc w:val="both"/>
      </w:pPr>
      <w:r>
        <w:t>As</w:t>
      </w:r>
      <w:r>
        <w:rPr>
          <w:spacing w:val="-1"/>
        </w:rPr>
        <w:t xml:space="preserve"> </w:t>
      </w:r>
      <w:r>
        <w:t>the</w:t>
      </w:r>
      <w:r>
        <w:rPr>
          <w:spacing w:val="-1"/>
        </w:rPr>
        <w:t xml:space="preserve"> </w:t>
      </w:r>
      <w:r>
        <w:t>dumped</w:t>
      </w:r>
      <w:r>
        <w:rPr>
          <w:spacing w:val="-2"/>
        </w:rPr>
        <w:t xml:space="preserve"> </w:t>
      </w:r>
      <w:r>
        <w:t>imported product is basically</w:t>
      </w:r>
      <w:r>
        <w:rPr>
          <w:spacing w:val="-1"/>
        </w:rPr>
        <w:t xml:space="preserve"> </w:t>
      </w:r>
      <w:r>
        <w:t>the</w:t>
      </w:r>
      <w:r>
        <w:rPr>
          <w:spacing w:val="-2"/>
        </w:rPr>
        <w:t xml:space="preserve"> </w:t>
      </w:r>
      <w:r>
        <w:t>same</w:t>
      </w:r>
      <w:r>
        <w:rPr>
          <w:spacing w:val="-1"/>
        </w:rPr>
        <w:t xml:space="preserve"> </w:t>
      </w:r>
      <w:r>
        <w:t>as domestic like products in</w:t>
      </w:r>
      <w:r>
        <w:rPr>
          <w:spacing w:val="-1"/>
        </w:rPr>
        <w:t xml:space="preserve"> </w:t>
      </w:r>
      <w:r>
        <w:t>terms</w:t>
      </w:r>
      <w:r>
        <w:rPr>
          <w:spacing w:val="-1"/>
        </w:rPr>
        <w:t xml:space="preserve"> </w:t>
      </w:r>
      <w:r>
        <w:t>of physical</w:t>
      </w:r>
      <w:r>
        <w:rPr>
          <w:spacing w:val="-13"/>
        </w:rPr>
        <w:t xml:space="preserve"> </w:t>
      </w:r>
      <w:r>
        <w:t>properties,</w:t>
      </w:r>
      <w:r>
        <w:rPr>
          <w:spacing w:val="-12"/>
        </w:rPr>
        <w:t xml:space="preserve"> </w:t>
      </w:r>
      <w:r>
        <w:t>raw</w:t>
      </w:r>
      <w:r>
        <w:rPr>
          <w:spacing w:val="-13"/>
        </w:rPr>
        <w:t xml:space="preserve"> </w:t>
      </w:r>
      <w:r>
        <w:t>materials</w:t>
      </w:r>
      <w:r>
        <w:rPr>
          <w:spacing w:val="-12"/>
        </w:rPr>
        <w:t xml:space="preserve"> </w:t>
      </w:r>
      <w:r>
        <w:t>and</w:t>
      </w:r>
      <w:r>
        <w:rPr>
          <w:spacing w:val="-13"/>
        </w:rPr>
        <w:t xml:space="preserve"> </w:t>
      </w:r>
      <w:r>
        <w:t>production</w:t>
      </w:r>
      <w:r>
        <w:rPr>
          <w:spacing w:val="-12"/>
        </w:rPr>
        <w:t xml:space="preserve"> </w:t>
      </w:r>
      <w:r>
        <w:t>techniques,</w:t>
      </w:r>
      <w:r>
        <w:rPr>
          <w:spacing w:val="-13"/>
        </w:rPr>
        <w:t xml:space="preserve"> </w:t>
      </w:r>
      <w:r>
        <w:t>product</w:t>
      </w:r>
      <w:r>
        <w:rPr>
          <w:spacing w:val="-12"/>
        </w:rPr>
        <w:t xml:space="preserve"> </w:t>
      </w:r>
      <w:r>
        <w:t>usages,</w:t>
      </w:r>
      <w:r>
        <w:rPr>
          <w:spacing w:val="-12"/>
        </w:rPr>
        <w:t xml:space="preserve"> </w:t>
      </w:r>
      <w:r>
        <w:t>sales</w:t>
      </w:r>
      <w:r>
        <w:rPr>
          <w:spacing w:val="-13"/>
        </w:rPr>
        <w:t xml:space="preserve"> </w:t>
      </w:r>
      <w:r>
        <w:t>channels and customer groups, they can be replaced by each other and actually compete with each</w:t>
      </w:r>
    </w:p>
    <w:p w14:paraId="51DE91C0" w14:textId="77777777" w:rsidR="0010369C" w:rsidRDefault="008E43AE">
      <w:pPr>
        <w:pStyle w:val="BodyText"/>
        <w:spacing w:before="6"/>
        <w:rPr>
          <w:sz w:val="29"/>
        </w:rPr>
      </w:pPr>
      <w:r>
        <w:pict w14:anchorId="51DEA584">
          <v:rect id="docshape1142" o:spid="_x0000_s1254" style="position:absolute;margin-left:70.9pt;margin-top:19.25pt;width:2in;height:.8pt;z-index:-250792448;mso-wrap-distance-left:0;mso-wrap-distance-right:0;mso-position-horizontal-relative:page" fillcolor="black" stroked="f">
            <w10:wrap type="topAndBottom" anchorx="page"/>
          </v:rect>
        </w:pict>
      </w:r>
    </w:p>
    <w:p w14:paraId="51DE91C1" w14:textId="77777777" w:rsidR="0010369C" w:rsidRDefault="008E43AE">
      <w:pPr>
        <w:spacing w:before="110"/>
        <w:ind w:left="238" w:right="615" w:hanging="1"/>
        <w:jc w:val="both"/>
        <w:rPr>
          <w:sz w:val="18"/>
        </w:rPr>
      </w:pPr>
      <w:r>
        <w:rPr>
          <w:sz w:val="18"/>
          <w:vertAlign w:val="superscript"/>
        </w:rPr>
        <w:t>794</w:t>
      </w:r>
      <w:r>
        <w:rPr>
          <w:sz w:val="18"/>
        </w:rPr>
        <w:t xml:space="preserve"> Appellate Body Report, </w:t>
      </w:r>
      <w:r>
        <w:rPr>
          <w:i/>
          <w:sz w:val="18"/>
        </w:rPr>
        <w:t>China ‐ HP‐SSST (Japan)</w:t>
      </w:r>
      <w:r>
        <w:rPr>
          <w:sz w:val="18"/>
        </w:rPr>
        <w:t xml:space="preserve">, paras. 5.262‐5.263. See also Appellate Body Report, </w:t>
      </w:r>
      <w:r>
        <w:rPr>
          <w:i/>
          <w:sz w:val="18"/>
        </w:rPr>
        <w:t>EC and certain member States – Large Civil Aircraft</w:t>
      </w:r>
      <w:r>
        <w:rPr>
          <w:sz w:val="18"/>
        </w:rPr>
        <w:t>, para. 1119.</w:t>
      </w:r>
    </w:p>
    <w:p w14:paraId="51DE91C2" w14:textId="77777777" w:rsidR="0010369C" w:rsidRDefault="008E43AE">
      <w:pPr>
        <w:spacing w:line="219" w:lineRule="exact"/>
        <w:ind w:left="238"/>
        <w:jc w:val="both"/>
        <w:rPr>
          <w:sz w:val="18"/>
        </w:rPr>
      </w:pPr>
      <w:r>
        <w:rPr>
          <w:sz w:val="18"/>
          <w:vertAlign w:val="superscript"/>
        </w:rPr>
        <w:t>795</w:t>
      </w:r>
      <w:r>
        <w:rPr>
          <w:spacing w:val="-6"/>
          <w:sz w:val="18"/>
        </w:rPr>
        <w:t xml:space="preserve"> </w:t>
      </w:r>
      <w:r>
        <w:rPr>
          <w:sz w:val="18"/>
        </w:rPr>
        <w:t>Appellate</w:t>
      </w:r>
      <w:r>
        <w:rPr>
          <w:spacing w:val="-5"/>
          <w:sz w:val="18"/>
        </w:rPr>
        <w:t xml:space="preserve"> </w:t>
      </w:r>
      <w:r>
        <w:rPr>
          <w:sz w:val="18"/>
        </w:rPr>
        <w:t>Body</w:t>
      </w:r>
      <w:r>
        <w:rPr>
          <w:spacing w:val="-6"/>
          <w:sz w:val="18"/>
        </w:rPr>
        <w:t xml:space="preserve"> </w:t>
      </w:r>
      <w:r>
        <w:rPr>
          <w:sz w:val="18"/>
        </w:rPr>
        <w:t>Report,</w:t>
      </w:r>
      <w:r>
        <w:rPr>
          <w:spacing w:val="-5"/>
          <w:sz w:val="18"/>
        </w:rPr>
        <w:t xml:space="preserve"> </w:t>
      </w:r>
      <w:r>
        <w:rPr>
          <w:i/>
          <w:sz w:val="18"/>
        </w:rPr>
        <w:t>China</w:t>
      </w:r>
      <w:r>
        <w:rPr>
          <w:i/>
          <w:spacing w:val="-6"/>
          <w:sz w:val="18"/>
        </w:rPr>
        <w:t xml:space="preserve"> </w:t>
      </w:r>
      <w:r>
        <w:rPr>
          <w:i/>
          <w:sz w:val="18"/>
        </w:rPr>
        <w:t>‐</w:t>
      </w:r>
      <w:r>
        <w:rPr>
          <w:i/>
          <w:spacing w:val="-4"/>
          <w:sz w:val="18"/>
        </w:rPr>
        <w:t xml:space="preserve"> </w:t>
      </w:r>
      <w:r>
        <w:rPr>
          <w:i/>
          <w:sz w:val="18"/>
        </w:rPr>
        <w:t>HP‐SSST</w:t>
      </w:r>
      <w:r>
        <w:rPr>
          <w:i/>
          <w:spacing w:val="-5"/>
          <w:sz w:val="18"/>
        </w:rPr>
        <w:t xml:space="preserve"> </w:t>
      </w:r>
      <w:r>
        <w:rPr>
          <w:i/>
          <w:sz w:val="18"/>
        </w:rPr>
        <w:t>(Japan)</w:t>
      </w:r>
      <w:r>
        <w:rPr>
          <w:sz w:val="18"/>
        </w:rPr>
        <w:t>,</w:t>
      </w:r>
      <w:r>
        <w:rPr>
          <w:spacing w:val="-7"/>
          <w:sz w:val="18"/>
        </w:rPr>
        <w:t xml:space="preserve"> </w:t>
      </w:r>
      <w:r>
        <w:rPr>
          <w:sz w:val="18"/>
        </w:rPr>
        <w:t>para.</w:t>
      </w:r>
      <w:r>
        <w:rPr>
          <w:spacing w:val="-5"/>
          <w:sz w:val="18"/>
        </w:rPr>
        <w:t xml:space="preserve"> </w:t>
      </w:r>
      <w:r>
        <w:rPr>
          <w:spacing w:val="-2"/>
          <w:sz w:val="18"/>
        </w:rPr>
        <w:t>5.262.</w:t>
      </w:r>
    </w:p>
    <w:p w14:paraId="51DE91C3" w14:textId="77777777" w:rsidR="0010369C" w:rsidRDefault="008E43AE">
      <w:pPr>
        <w:ind w:left="237" w:right="611"/>
        <w:jc w:val="both"/>
        <w:rPr>
          <w:sz w:val="18"/>
        </w:rPr>
      </w:pPr>
      <w:r>
        <w:rPr>
          <w:sz w:val="18"/>
          <w:vertAlign w:val="superscript"/>
        </w:rPr>
        <w:t>796</w:t>
      </w:r>
      <w:r>
        <w:rPr>
          <w:sz w:val="18"/>
        </w:rPr>
        <w:t xml:space="preserve"> Appellate Body Report, </w:t>
      </w:r>
      <w:r>
        <w:rPr>
          <w:i/>
          <w:sz w:val="18"/>
        </w:rPr>
        <w:t>China ‐ HP‐SSST (Japan)</w:t>
      </w:r>
      <w:r>
        <w:rPr>
          <w:sz w:val="18"/>
        </w:rPr>
        <w:t>, para. 5.263. The Appellate Body also considered that: "As noted by the Panel, there was no 'consideration by MOFCOM of how [the] unspecified degree of substitutability, and the resultant price correlation,</w:t>
      </w:r>
      <w:r>
        <w:rPr>
          <w:spacing w:val="-2"/>
          <w:sz w:val="18"/>
        </w:rPr>
        <w:t xml:space="preserve"> </w:t>
      </w:r>
      <w:r>
        <w:rPr>
          <w:sz w:val="18"/>
        </w:rPr>
        <w:t>m</w:t>
      </w:r>
      <w:r>
        <w:rPr>
          <w:sz w:val="18"/>
        </w:rPr>
        <w:t>ight</w:t>
      </w:r>
      <w:r>
        <w:rPr>
          <w:spacing w:val="-3"/>
          <w:sz w:val="18"/>
        </w:rPr>
        <w:t xml:space="preserve"> </w:t>
      </w:r>
      <w:r>
        <w:rPr>
          <w:sz w:val="18"/>
        </w:rPr>
        <w:t>enable</w:t>
      </w:r>
      <w:r>
        <w:rPr>
          <w:spacing w:val="-2"/>
          <w:sz w:val="18"/>
        </w:rPr>
        <w:t xml:space="preserve"> </w:t>
      </w:r>
      <w:r>
        <w:rPr>
          <w:sz w:val="18"/>
        </w:rPr>
        <w:t>Grade</w:t>
      </w:r>
      <w:r>
        <w:rPr>
          <w:spacing w:val="-3"/>
          <w:sz w:val="18"/>
        </w:rPr>
        <w:t xml:space="preserve"> </w:t>
      </w:r>
      <w:r>
        <w:rPr>
          <w:sz w:val="18"/>
        </w:rPr>
        <w:t>B</w:t>
      </w:r>
      <w:r>
        <w:rPr>
          <w:spacing w:val="-2"/>
          <w:sz w:val="18"/>
        </w:rPr>
        <w:t xml:space="preserve"> </w:t>
      </w:r>
      <w:r>
        <w:rPr>
          <w:sz w:val="18"/>
        </w:rPr>
        <w:t>and</w:t>
      </w:r>
      <w:r>
        <w:rPr>
          <w:spacing w:val="-2"/>
          <w:sz w:val="18"/>
        </w:rPr>
        <w:t xml:space="preserve"> </w:t>
      </w:r>
      <w:r>
        <w:rPr>
          <w:sz w:val="18"/>
        </w:rPr>
        <w:t>C</w:t>
      </w:r>
      <w:r>
        <w:rPr>
          <w:spacing w:val="-2"/>
          <w:sz w:val="18"/>
        </w:rPr>
        <w:t xml:space="preserve"> </w:t>
      </w:r>
      <w:r>
        <w:rPr>
          <w:sz w:val="18"/>
        </w:rPr>
        <w:t>subject</w:t>
      </w:r>
      <w:r>
        <w:rPr>
          <w:spacing w:val="-2"/>
          <w:sz w:val="18"/>
        </w:rPr>
        <w:t xml:space="preserve"> </w:t>
      </w:r>
      <w:r>
        <w:rPr>
          <w:sz w:val="18"/>
        </w:rPr>
        <w:t>imports</w:t>
      </w:r>
      <w:r>
        <w:rPr>
          <w:spacing w:val="-1"/>
          <w:sz w:val="18"/>
        </w:rPr>
        <w:t xml:space="preserve"> </w:t>
      </w:r>
      <w:r>
        <w:rPr>
          <w:sz w:val="18"/>
        </w:rPr>
        <w:t>[i.e.</w:t>
      </w:r>
      <w:r>
        <w:rPr>
          <w:spacing w:val="-2"/>
          <w:sz w:val="18"/>
        </w:rPr>
        <w:t xml:space="preserve"> </w:t>
      </w:r>
      <w:r>
        <w:rPr>
          <w:sz w:val="18"/>
        </w:rPr>
        <w:t>higher‐end</w:t>
      </w:r>
      <w:r>
        <w:rPr>
          <w:spacing w:val="-2"/>
          <w:sz w:val="18"/>
        </w:rPr>
        <w:t xml:space="preserve"> </w:t>
      </w:r>
      <w:r>
        <w:rPr>
          <w:sz w:val="18"/>
        </w:rPr>
        <w:t>products]</w:t>
      </w:r>
      <w:r>
        <w:rPr>
          <w:spacing w:val="-2"/>
          <w:sz w:val="18"/>
        </w:rPr>
        <w:t xml:space="preserve"> </w:t>
      </w:r>
      <w:r>
        <w:rPr>
          <w:sz w:val="18"/>
        </w:rPr>
        <w:t>to</w:t>
      </w:r>
      <w:r>
        <w:rPr>
          <w:spacing w:val="-2"/>
          <w:sz w:val="18"/>
        </w:rPr>
        <w:t xml:space="preserve"> </w:t>
      </w:r>
      <w:r>
        <w:rPr>
          <w:sz w:val="18"/>
        </w:rPr>
        <w:t>cause</w:t>
      </w:r>
      <w:r>
        <w:rPr>
          <w:spacing w:val="-2"/>
          <w:sz w:val="18"/>
        </w:rPr>
        <w:t xml:space="preserve"> </w:t>
      </w:r>
      <w:r>
        <w:rPr>
          <w:sz w:val="18"/>
        </w:rPr>
        <w:t>injury of</w:t>
      </w:r>
      <w:r>
        <w:rPr>
          <w:spacing w:val="-2"/>
          <w:sz w:val="18"/>
        </w:rPr>
        <w:t xml:space="preserve"> </w:t>
      </w:r>
      <w:r>
        <w:rPr>
          <w:sz w:val="18"/>
        </w:rPr>
        <w:t>the</w:t>
      </w:r>
      <w:r>
        <w:rPr>
          <w:spacing w:val="-2"/>
          <w:sz w:val="18"/>
        </w:rPr>
        <w:t xml:space="preserve"> </w:t>
      </w:r>
      <w:r>
        <w:rPr>
          <w:sz w:val="18"/>
        </w:rPr>
        <w:t>domestic</w:t>
      </w:r>
      <w:r>
        <w:rPr>
          <w:spacing w:val="-1"/>
          <w:sz w:val="18"/>
        </w:rPr>
        <w:t xml:space="preserve"> </w:t>
      </w:r>
      <w:r>
        <w:rPr>
          <w:sz w:val="18"/>
        </w:rPr>
        <w:t>industry's Grade A [i.e. low‐end products] operations'" (see para. 5.263). The Appellate Body explained that " we do not see how MOFCOM, under the specific</w:t>
      </w:r>
      <w:r>
        <w:rPr>
          <w:sz w:val="18"/>
        </w:rPr>
        <w:t xml:space="preserve"> facts of this case, could provide a 'meaningful basis' for an analysis of whether the dumped imports are causing injury, without considering the degree of impact that movements of prices of imported Grades B and C might have on the price of domestic Grade</w:t>
      </w:r>
      <w:r>
        <w:rPr>
          <w:sz w:val="18"/>
        </w:rPr>
        <w:t xml:space="preserve"> A" (see para. 5.262).</w:t>
      </w:r>
    </w:p>
    <w:p w14:paraId="51DE91C4" w14:textId="77777777" w:rsidR="0010369C" w:rsidRDefault="008E43AE">
      <w:pPr>
        <w:spacing w:before="1"/>
        <w:ind w:left="238"/>
        <w:jc w:val="both"/>
        <w:rPr>
          <w:i/>
          <w:sz w:val="18"/>
        </w:rPr>
      </w:pPr>
      <w:r>
        <w:rPr>
          <w:sz w:val="18"/>
          <w:vertAlign w:val="superscript"/>
        </w:rPr>
        <w:t>797</w:t>
      </w:r>
      <w:r>
        <w:rPr>
          <w:spacing w:val="-2"/>
          <w:sz w:val="18"/>
        </w:rPr>
        <w:t xml:space="preserve"> </w:t>
      </w:r>
      <w:r>
        <w:rPr>
          <w:sz w:val="18"/>
        </w:rPr>
        <w:t>Appellate</w:t>
      </w:r>
      <w:r>
        <w:rPr>
          <w:spacing w:val="-2"/>
          <w:sz w:val="18"/>
        </w:rPr>
        <w:t xml:space="preserve"> </w:t>
      </w:r>
      <w:r>
        <w:rPr>
          <w:sz w:val="18"/>
        </w:rPr>
        <w:t>Body</w:t>
      </w:r>
      <w:r>
        <w:rPr>
          <w:spacing w:val="-3"/>
          <w:sz w:val="18"/>
        </w:rPr>
        <w:t xml:space="preserve"> </w:t>
      </w:r>
      <w:r>
        <w:rPr>
          <w:sz w:val="18"/>
        </w:rPr>
        <w:t>Report,</w:t>
      </w:r>
      <w:r>
        <w:rPr>
          <w:spacing w:val="-3"/>
          <w:sz w:val="18"/>
        </w:rPr>
        <w:t xml:space="preserve"> </w:t>
      </w:r>
      <w:r>
        <w:rPr>
          <w:i/>
          <w:sz w:val="18"/>
        </w:rPr>
        <w:t>China</w:t>
      </w:r>
      <w:r>
        <w:rPr>
          <w:i/>
          <w:spacing w:val="-2"/>
          <w:sz w:val="18"/>
        </w:rPr>
        <w:t xml:space="preserve"> </w:t>
      </w:r>
      <w:r>
        <w:rPr>
          <w:i/>
          <w:sz w:val="18"/>
        </w:rPr>
        <w:t>‐</w:t>
      </w:r>
      <w:r>
        <w:rPr>
          <w:i/>
          <w:spacing w:val="-2"/>
          <w:sz w:val="18"/>
        </w:rPr>
        <w:t xml:space="preserve"> </w:t>
      </w:r>
      <w:r>
        <w:rPr>
          <w:i/>
          <w:sz w:val="18"/>
        </w:rPr>
        <w:t>HP‐SSST</w:t>
      </w:r>
      <w:r>
        <w:rPr>
          <w:i/>
          <w:spacing w:val="-2"/>
          <w:sz w:val="18"/>
        </w:rPr>
        <w:t xml:space="preserve"> </w:t>
      </w:r>
      <w:r>
        <w:rPr>
          <w:i/>
          <w:sz w:val="18"/>
        </w:rPr>
        <w:t>(Japan)</w:t>
      </w:r>
      <w:r>
        <w:rPr>
          <w:sz w:val="18"/>
        </w:rPr>
        <w:t>,</w:t>
      </w:r>
      <w:r>
        <w:rPr>
          <w:spacing w:val="-4"/>
          <w:sz w:val="18"/>
        </w:rPr>
        <w:t xml:space="preserve"> </w:t>
      </w:r>
      <w:r>
        <w:rPr>
          <w:sz w:val="18"/>
        </w:rPr>
        <w:t>para.</w:t>
      </w:r>
      <w:r>
        <w:rPr>
          <w:spacing w:val="-2"/>
          <w:sz w:val="18"/>
        </w:rPr>
        <w:t xml:space="preserve"> </w:t>
      </w:r>
      <w:r>
        <w:rPr>
          <w:sz w:val="18"/>
        </w:rPr>
        <w:t>5.263</w:t>
      </w:r>
      <w:r>
        <w:rPr>
          <w:spacing w:val="-2"/>
          <w:sz w:val="18"/>
        </w:rPr>
        <w:t xml:space="preserve"> </w:t>
      </w:r>
      <w:r>
        <w:rPr>
          <w:sz w:val="18"/>
        </w:rPr>
        <w:t>citing</w:t>
      </w:r>
      <w:r>
        <w:rPr>
          <w:spacing w:val="-2"/>
          <w:sz w:val="18"/>
        </w:rPr>
        <w:t xml:space="preserve"> </w:t>
      </w:r>
      <w:r>
        <w:rPr>
          <w:sz w:val="18"/>
        </w:rPr>
        <w:t>Appellate</w:t>
      </w:r>
      <w:r>
        <w:rPr>
          <w:spacing w:val="-1"/>
          <w:sz w:val="18"/>
        </w:rPr>
        <w:t xml:space="preserve"> </w:t>
      </w:r>
      <w:r>
        <w:rPr>
          <w:sz w:val="18"/>
        </w:rPr>
        <w:t>Body</w:t>
      </w:r>
      <w:r>
        <w:rPr>
          <w:spacing w:val="-2"/>
          <w:sz w:val="18"/>
        </w:rPr>
        <w:t xml:space="preserve"> </w:t>
      </w:r>
      <w:r>
        <w:rPr>
          <w:sz w:val="18"/>
        </w:rPr>
        <w:t>Report,</w:t>
      </w:r>
      <w:r>
        <w:rPr>
          <w:spacing w:val="-3"/>
          <w:sz w:val="18"/>
        </w:rPr>
        <w:t xml:space="preserve"> </w:t>
      </w:r>
      <w:r>
        <w:rPr>
          <w:i/>
          <w:sz w:val="18"/>
        </w:rPr>
        <w:t>EC</w:t>
      </w:r>
      <w:r>
        <w:rPr>
          <w:i/>
          <w:spacing w:val="-1"/>
          <w:sz w:val="18"/>
        </w:rPr>
        <w:t xml:space="preserve"> </w:t>
      </w:r>
      <w:r>
        <w:rPr>
          <w:i/>
          <w:sz w:val="18"/>
        </w:rPr>
        <w:t>and</w:t>
      </w:r>
      <w:r>
        <w:rPr>
          <w:i/>
          <w:spacing w:val="-3"/>
          <w:sz w:val="18"/>
        </w:rPr>
        <w:t xml:space="preserve"> </w:t>
      </w:r>
      <w:r>
        <w:rPr>
          <w:i/>
          <w:sz w:val="18"/>
        </w:rPr>
        <w:t>certain</w:t>
      </w:r>
      <w:r>
        <w:rPr>
          <w:i/>
          <w:spacing w:val="-2"/>
          <w:sz w:val="18"/>
        </w:rPr>
        <w:t xml:space="preserve"> </w:t>
      </w:r>
      <w:r>
        <w:rPr>
          <w:i/>
          <w:sz w:val="18"/>
        </w:rPr>
        <w:t>member</w:t>
      </w:r>
      <w:r>
        <w:rPr>
          <w:i/>
          <w:spacing w:val="-4"/>
          <w:sz w:val="18"/>
        </w:rPr>
        <w:t xml:space="preserve"> </w:t>
      </w:r>
      <w:r>
        <w:rPr>
          <w:i/>
          <w:spacing w:val="-2"/>
          <w:sz w:val="18"/>
        </w:rPr>
        <w:t>States</w:t>
      </w:r>
    </w:p>
    <w:p w14:paraId="51DE91C5" w14:textId="77777777" w:rsidR="0010369C" w:rsidRDefault="008E43AE">
      <w:pPr>
        <w:ind w:left="239"/>
        <w:jc w:val="both"/>
        <w:rPr>
          <w:sz w:val="18"/>
        </w:rPr>
      </w:pPr>
      <w:r>
        <w:rPr>
          <w:i/>
          <w:sz w:val="18"/>
        </w:rPr>
        <w:t>–</w:t>
      </w:r>
      <w:r>
        <w:rPr>
          <w:i/>
          <w:spacing w:val="-7"/>
          <w:sz w:val="18"/>
        </w:rPr>
        <w:t xml:space="preserve"> </w:t>
      </w:r>
      <w:r>
        <w:rPr>
          <w:i/>
          <w:sz w:val="18"/>
        </w:rPr>
        <w:t>Large</w:t>
      </w:r>
      <w:r>
        <w:rPr>
          <w:i/>
          <w:spacing w:val="-6"/>
          <w:sz w:val="18"/>
        </w:rPr>
        <w:t xml:space="preserve"> </w:t>
      </w:r>
      <w:r>
        <w:rPr>
          <w:i/>
          <w:sz w:val="18"/>
        </w:rPr>
        <w:t>Civil</w:t>
      </w:r>
      <w:r>
        <w:rPr>
          <w:i/>
          <w:spacing w:val="-7"/>
          <w:sz w:val="18"/>
        </w:rPr>
        <w:t xml:space="preserve"> </w:t>
      </w:r>
      <w:r>
        <w:rPr>
          <w:i/>
          <w:sz w:val="18"/>
        </w:rPr>
        <w:t>Aircraft</w:t>
      </w:r>
      <w:r>
        <w:rPr>
          <w:sz w:val="18"/>
        </w:rPr>
        <w:t>,</w:t>
      </w:r>
      <w:r>
        <w:rPr>
          <w:spacing w:val="-7"/>
          <w:sz w:val="18"/>
        </w:rPr>
        <w:t xml:space="preserve"> </w:t>
      </w:r>
      <w:r>
        <w:rPr>
          <w:sz w:val="18"/>
        </w:rPr>
        <w:t>para.</w:t>
      </w:r>
      <w:r>
        <w:rPr>
          <w:spacing w:val="-6"/>
          <w:sz w:val="18"/>
        </w:rPr>
        <w:t xml:space="preserve"> </w:t>
      </w:r>
      <w:r>
        <w:rPr>
          <w:spacing w:val="-2"/>
          <w:sz w:val="18"/>
        </w:rPr>
        <w:t>1120.</w:t>
      </w:r>
    </w:p>
    <w:p w14:paraId="51DE91C6" w14:textId="77777777" w:rsidR="0010369C" w:rsidRDefault="008E43AE">
      <w:pPr>
        <w:ind w:left="238"/>
        <w:jc w:val="both"/>
        <w:rPr>
          <w:sz w:val="18"/>
        </w:rPr>
      </w:pPr>
      <w:r>
        <w:rPr>
          <w:sz w:val="18"/>
          <w:vertAlign w:val="superscript"/>
        </w:rPr>
        <w:t>798</w:t>
      </w:r>
      <w:r>
        <w:rPr>
          <w:spacing w:val="-7"/>
          <w:sz w:val="18"/>
        </w:rPr>
        <w:t xml:space="preserve"> </w:t>
      </w:r>
      <w:r>
        <w:rPr>
          <w:sz w:val="18"/>
        </w:rPr>
        <w:t>See</w:t>
      </w:r>
      <w:r>
        <w:rPr>
          <w:spacing w:val="-7"/>
          <w:sz w:val="18"/>
        </w:rPr>
        <w:t xml:space="preserve"> </w:t>
      </w:r>
      <w:r>
        <w:rPr>
          <w:sz w:val="18"/>
        </w:rPr>
        <w:t>section</w:t>
      </w:r>
      <w:r>
        <w:rPr>
          <w:spacing w:val="-6"/>
          <w:sz w:val="18"/>
        </w:rPr>
        <w:t xml:space="preserve"> </w:t>
      </w:r>
      <w:r>
        <w:rPr>
          <w:sz w:val="18"/>
        </w:rPr>
        <w:t>IV.C.3(b)i(C)</w:t>
      </w:r>
      <w:r>
        <w:rPr>
          <w:spacing w:val="-7"/>
          <w:sz w:val="18"/>
        </w:rPr>
        <w:t xml:space="preserve"> </w:t>
      </w:r>
      <w:r>
        <w:rPr>
          <w:spacing w:val="-2"/>
          <w:sz w:val="18"/>
        </w:rPr>
        <w:t>above.</w:t>
      </w:r>
    </w:p>
    <w:p w14:paraId="51DE91C7" w14:textId="77777777" w:rsidR="0010369C" w:rsidRDefault="0010369C">
      <w:pPr>
        <w:jc w:val="both"/>
        <w:rPr>
          <w:sz w:val="18"/>
        </w:rPr>
        <w:sectPr w:rsidR="0010369C">
          <w:pgSz w:w="11910" w:h="16840"/>
          <w:pgMar w:top="880" w:right="800" w:bottom="980" w:left="1180" w:header="569" w:footer="788" w:gutter="0"/>
          <w:cols w:space="720"/>
        </w:sectPr>
      </w:pPr>
    </w:p>
    <w:p w14:paraId="51DE91C8" w14:textId="77777777" w:rsidR="0010369C" w:rsidRDefault="008E43AE">
      <w:pPr>
        <w:tabs>
          <w:tab w:val="left" w:pos="6426"/>
        </w:tabs>
        <w:ind w:left="238"/>
        <w:rPr>
          <w:sz w:val="20"/>
        </w:rPr>
      </w:pPr>
      <w:r>
        <w:rPr>
          <w:i/>
          <w:sz w:val="20"/>
        </w:rPr>
        <w:lastRenderedPageBreak/>
        <w:t>China</w:t>
      </w:r>
      <w:r>
        <w:rPr>
          <w:i/>
          <w:spacing w:val="-5"/>
          <w:sz w:val="20"/>
        </w:rPr>
        <w:t xml:space="preserve"> </w:t>
      </w:r>
      <w:r>
        <w:rPr>
          <w:i/>
          <w:sz w:val="20"/>
        </w:rPr>
        <w:t>–</w:t>
      </w:r>
      <w:r>
        <w:rPr>
          <w:i/>
          <w:spacing w:val="-5"/>
          <w:sz w:val="20"/>
        </w:rPr>
        <w:t xml:space="preserve"> </w:t>
      </w:r>
      <w:r>
        <w:rPr>
          <w:i/>
          <w:sz w:val="20"/>
        </w:rPr>
        <w:t>Anti‐Dumping</w:t>
      </w:r>
      <w:r>
        <w:rPr>
          <w:i/>
          <w:spacing w:val="-4"/>
          <w:sz w:val="20"/>
        </w:rPr>
        <w:t xml:space="preserve"> </w:t>
      </w:r>
      <w:r>
        <w:rPr>
          <w:i/>
          <w:sz w:val="20"/>
        </w:rPr>
        <w:t>and</w:t>
      </w:r>
      <w:r>
        <w:rPr>
          <w:i/>
          <w:spacing w:val="-5"/>
          <w:sz w:val="20"/>
        </w:rPr>
        <w:t xml:space="preserve"> </w:t>
      </w:r>
      <w:r>
        <w:rPr>
          <w:i/>
          <w:sz w:val="20"/>
        </w:rPr>
        <w:t>Countervailing</w:t>
      </w:r>
      <w:r>
        <w:rPr>
          <w:i/>
          <w:spacing w:val="-5"/>
          <w:sz w:val="20"/>
        </w:rPr>
        <w:t xml:space="preserve"> </w:t>
      </w:r>
      <w:r>
        <w:rPr>
          <w:i/>
          <w:sz w:val="20"/>
        </w:rPr>
        <w:t>Duty</w:t>
      </w:r>
      <w:r>
        <w:rPr>
          <w:i/>
          <w:spacing w:val="-4"/>
          <w:sz w:val="20"/>
        </w:rPr>
        <w:t xml:space="preserve"> </w:t>
      </w:r>
      <w:r>
        <w:rPr>
          <w:i/>
          <w:spacing w:val="-2"/>
          <w:sz w:val="20"/>
        </w:rPr>
        <w:t>Measures</w:t>
      </w:r>
      <w:r>
        <w:rPr>
          <w:i/>
          <w:sz w:val="20"/>
        </w:rPr>
        <w:tab/>
      </w:r>
      <w:r>
        <w:rPr>
          <w:sz w:val="20"/>
        </w:rPr>
        <w:t>Australia's</w:t>
      </w:r>
      <w:r>
        <w:rPr>
          <w:spacing w:val="-7"/>
          <w:sz w:val="20"/>
        </w:rPr>
        <w:t xml:space="preserve"> </w:t>
      </w:r>
      <w:r>
        <w:rPr>
          <w:sz w:val="20"/>
        </w:rPr>
        <w:t>First</w:t>
      </w:r>
      <w:r>
        <w:rPr>
          <w:spacing w:val="-2"/>
          <w:sz w:val="20"/>
        </w:rPr>
        <w:t xml:space="preserve"> </w:t>
      </w:r>
      <w:r>
        <w:rPr>
          <w:sz w:val="20"/>
        </w:rPr>
        <w:t>Written</w:t>
      </w:r>
      <w:r>
        <w:rPr>
          <w:spacing w:val="-2"/>
          <w:sz w:val="20"/>
        </w:rPr>
        <w:t xml:space="preserve"> Submission</w:t>
      </w:r>
    </w:p>
    <w:p w14:paraId="51DE91C9" w14:textId="77777777" w:rsidR="0010369C" w:rsidRDefault="008E43AE">
      <w:pPr>
        <w:tabs>
          <w:tab w:val="left" w:pos="8228"/>
        </w:tabs>
        <w:spacing w:before="1"/>
        <w:ind w:left="239"/>
        <w:rPr>
          <w:sz w:val="20"/>
        </w:rPr>
      </w:pPr>
      <w:r>
        <w:rPr>
          <w:i/>
          <w:sz w:val="20"/>
        </w:rPr>
        <w:t>on</w:t>
      </w:r>
      <w:r>
        <w:rPr>
          <w:i/>
          <w:spacing w:val="-1"/>
          <w:sz w:val="20"/>
        </w:rPr>
        <w:t xml:space="preserve"> </w:t>
      </w:r>
      <w:r>
        <w:rPr>
          <w:i/>
          <w:sz w:val="20"/>
        </w:rPr>
        <w:t>Wine</w:t>
      </w:r>
      <w:r>
        <w:rPr>
          <w:i/>
          <w:spacing w:val="-1"/>
          <w:sz w:val="20"/>
        </w:rPr>
        <w:t xml:space="preserve"> </w:t>
      </w:r>
      <w:r>
        <w:rPr>
          <w:i/>
          <w:sz w:val="20"/>
        </w:rPr>
        <w:t>from</w:t>
      </w:r>
      <w:r>
        <w:rPr>
          <w:i/>
          <w:spacing w:val="-3"/>
          <w:sz w:val="20"/>
        </w:rPr>
        <w:t xml:space="preserve"> </w:t>
      </w:r>
      <w:r>
        <w:rPr>
          <w:i/>
          <w:sz w:val="20"/>
        </w:rPr>
        <w:t>Australia</w:t>
      </w:r>
      <w:r>
        <w:rPr>
          <w:i/>
          <w:spacing w:val="-1"/>
          <w:sz w:val="20"/>
        </w:rPr>
        <w:t xml:space="preserve"> </w:t>
      </w:r>
      <w:r>
        <w:rPr>
          <w:spacing w:val="-2"/>
          <w:sz w:val="20"/>
        </w:rPr>
        <w:t>(DS602)</w:t>
      </w:r>
      <w:r>
        <w:rPr>
          <w:sz w:val="20"/>
        </w:rPr>
        <w:tab/>
        <w:t>29</w:t>
      </w:r>
      <w:r>
        <w:rPr>
          <w:spacing w:val="-1"/>
          <w:sz w:val="20"/>
        </w:rPr>
        <w:t xml:space="preserve"> </w:t>
      </w:r>
      <w:r>
        <w:rPr>
          <w:sz w:val="20"/>
        </w:rPr>
        <w:t>April</w:t>
      </w:r>
      <w:r>
        <w:rPr>
          <w:spacing w:val="-2"/>
          <w:sz w:val="20"/>
        </w:rPr>
        <w:t xml:space="preserve"> </w:t>
      </w:r>
      <w:r>
        <w:rPr>
          <w:spacing w:val="-4"/>
          <w:sz w:val="20"/>
        </w:rPr>
        <w:t>2022</w:t>
      </w:r>
    </w:p>
    <w:p w14:paraId="51DE91CA" w14:textId="77777777" w:rsidR="0010369C" w:rsidRDefault="008E43AE">
      <w:pPr>
        <w:spacing w:before="35" w:line="276" w:lineRule="auto"/>
        <w:ind w:left="1089" w:hanging="1"/>
      </w:pPr>
      <w:r>
        <w:t>other,</w:t>
      </w:r>
      <w:r>
        <w:rPr>
          <w:spacing w:val="40"/>
        </w:rPr>
        <w:t xml:space="preserve"> </w:t>
      </w:r>
      <w:r>
        <w:t>and</w:t>
      </w:r>
      <w:r>
        <w:rPr>
          <w:spacing w:val="40"/>
        </w:rPr>
        <w:t xml:space="preserve"> </w:t>
      </w:r>
      <w:r>
        <w:t>consequently</w:t>
      </w:r>
      <w:r>
        <w:rPr>
          <w:spacing w:val="40"/>
        </w:rPr>
        <w:t xml:space="preserve"> </w:t>
      </w:r>
      <w:r>
        <w:t>price</w:t>
      </w:r>
      <w:r>
        <w:rPr>
          <w:spacing w:val="40"/>
        </w:rPr>
        <w:t xml:space="preserve"> </w:t>
      </w:r>
      <w:r>
        <w:t>has</w:t>
      </w:r>
      <w:r>
        <w:rPr>
          <w:spacing w:val="40"/>
        </w:rPr>
        <w:t xml:space="preserve"> </w:t>
      </w:r>
      <w:r>
        <w:t>become</w:t>
      </w:r>
      <w:r>
        <w:rPr>
          <w:spacing w:val="40"/>
        </w:rPr>
        <w:t xml:space="preserve"> </w:t>
      </w:r>
      <w:r>
        <w:t>the</w:t>
      </w:r>
      <w:r>
        <w:rPr>
          <w:spacing w:val="40"/>
        </w:rPr>
        <w:t xml:space="preserve"> </w:t>
      </w:r>
      <w:r>
        <w:t>primary</w:t>
      </w:r>
      <w:r>
        <w:rPr>
          <w:spacing w:val="40"/>
        </w:rPr>
        <w:t xml:space="preserve"> </w:t>
      </w:r>
      <w:r>
        <w:t>factor</w:t>
      </w:r>
      <w:r>
        <w:rPr>
          <w:spacing w:val="40"/>
        </w:rPr>
        <w:t xml:space="preserve"> </w:t>
      </w:r>
      <w:r>
        <w:t>for</w:t>
      </w:r>
      <w:r>
        <w:rPr>
          <w:spacing w:val="40"/>
        </w:rPr>
        <w:t xml:space="preserve"> </w:t>
      </w:r>
      <w:r>
        <w:t>consideration</w:t>
      </w:r>
      <w:r>
        <w:rPr>
          <w:spacing w:val="40"/>
        </w:rPr>
        <w:t xml:space="preserve"> </w:t>
      </w:r>
      <w:r>
        <w:t>when downstream customers choose products.</w:t>
      </w:r>
      <w:r>
        <w:rPr>
          <w:vertAlign w:val="superscript"/>
        </w:rPr>
        <w:t>799</w:t>
      </w:r>
    </w:p>
    <w:p w14:paraId="51DE91CB" w14:textId="77777777" w:rsidR="0010369C" w:rsidRDefault="0010369C">
      <w:pPr>
        <w:pStyle w:val="BodyText"/>
        <w:spacing w:before="4"/>
        <w:rPr>
          <w:sz w:val="15"/>
        </w:rPr>
      </w:pPr>
    </w:p>
    <w:p w14:paraId="51DE91CC" w14:textId="77777777" w:rsidR="0010369C" w:rsidRDefault="008E43AE">
      <w:pPr>
        <w:pStyle w:val="BodyText"/>
        <w:spacing w:before="51" w:line="360" w:lineRule="auto"/>
        <w:ind w:left="237" w:right="613" w:firstLine="851"/>
        <w:jc w:val="both"/>
      </w:pPr>
      <w:r>
        <w:rPr>
          <w:noProof/>
        </w:rPr>
        <w:drawing>
          <wp:anchor distT="0" distB="0" distL="0" distR="0" simplePos="0" relativeHeight="251292160" behindDoc="1" locked="0" layoutInCell="1" allowOverlap="1" wp14:anchorId="51DEA585" wp14:editId="51DEA586">
            <wp:simplePos x="0" y="0"/>
            <wp:positionH relativeFrom="page">
              <wp:posOffset>905255</wp:posOffset>
            </wp:positionH>
            <wp:positionV relativeFrom="paragraph">
              <wp:posOffset>81314</wp:posOffset>
            </wp:positionV>
            <wp:extent cx="259079" cy="100753"/>
            <wp:effectExtent l="0" t="0" r="0" b="0"/>
            <wp:wrapNone/>
            <wp:docPr id="1335" name="image6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 name="image691.png"/>
                    <pic:cNvPicPr/>
                  </pic:nvPicPr>
                  <pic:blipFill>
                    <a:blip r:embed="rId897" cstate="print"/>
                    <a:stretch>
                      <a:fillRect/>
                    </a:stretch>
                  </pic:blipFill>
                  <pic:spPr>
                    <a:xfrm>
                      <a:off x="0" y="0"/>
                      <a:ext cx="259079" cy="100753"/>
                    </a:xfrm>
                    <a:prstGeom prst="rect">
                      <a:avLst/>
                    </a:prstGeom>
                  </pic:spPr>
                </pic:pic>
              </a:graphicData>
            </a:graphic>
          </wp:anchor>
        </w:drawing>
      </w:r>
      <w:r>
        <w:t>MOFCOM's assessment ignores the evidence on the investigation record before MOFCOM regarding substantial, commercially important differences between the mix of product</w:t>
      </w:r>
      <w:r>
        <w:rPr>
          <w:spacing w:val="-3"/>
        </w:rPr>
        <w:t xml:space="preserve"> </w:t>
      </w:r>
      <w:r>
        <w:t>types</w:t>
      </w:r>
      <w:r>
        <w:rPr>
          <w:spacing w:val="-4"/>
        </w:rPr>
        <w:t xml:space="preserve"> </w:t>
      </w:r>
      <w:r>
        <w:t>in</w:t>
      </w:r>
      <w:r>
        <w:rPr>
          <w:spacing w:val="-4"/>
        </w:rPr>
        <w:t xml:space="preserve"> </w:t>
      </w:r>
      <w:r>
        <w:t>the</w:t>
      </w:r>
      <w:r>
        <w:rPr>
          <w:spacing w:val="-3"/>
        </w:rPr>
        <w:t xml:space="preserve"> </w:t>
      </w:r>
      <w:r>
        <w:t>basket</w:t>
      </w:r>
      <w:r>
        <w:rPr>
          <w:spacing w:val="-4"/>
        </w:rPr>
        <w:t xml:space="preserve"> </w:t>
      </w:r>
      <w:r>
        <w:t>of</w:t>
      </w:r>
      <w:r>
        <w:rPr>
          <w:spacing w:val="-4"/>
        </w:rPr>
        <w:t xml:space="preserve"> </w:t>
      </w:r>
      <w:r>
        <w:t>Australian</w:t>
      </w:r>
      <w:r>
        <w:rPr>
          <w:spacing w:val="-5"/>
        </w:rPr>
        <w:t xml:space="preserve"> </w:t>
      </w:r>
      <w:r>
        <w:t>wine</w:t>
      </w:r>
      <w:r>
        <w:rPr>
          <w:spacing w:val="-3"/>
        </w:rPr>
        <w:t xml:space="preserve"> </w:t>
      </w:r>
      <w:r>
        <w:t>i</w:t>
      </w:r>
      <w:r>
        <w:t>mports</w:t>
      </w:r>
      <w:r>
        <w:rPr>
          <w:spacing w:val="-4"/>
        </w:rPr>
        <w:t xml:space="preserve"> </w:t>
      </w:r>
      <w:r>
        <w:t>and</w:t>
      </w:r>
      <w:r>
        <w:rPr>
          <w:spacing w:val="-4"/>
        </w:rPr>
        <w:t xml:space="preserve"> </w:t>
      </w:r>
      <w:r>
        <w:t>that</w:t>
      </w:r>
      <w:r>
        <w:rPr>
          <w:spacing w:val="-4"/>
        </w:rPr>
        <w:t xml:space="preserve"> </w:t>
      </w:r>
      <w:r>
        <w:t>in</w:t>
      </w:r>
      <w:r>
        <w:rPr>
          <w:spacing w:val="-4"/>
        </w:rPr>
        <w:t xml:space="preserve"> </w:t>
      </w:r>
      <w:r>
        <w:t>the</w:t>
      </w:r>
      <w:r>
        <w:rPr>
          <w:spacing w:val="-3"/>
        </w:rPr>
        <w:t xml:space="preserve"> </w:t>
      </w:r>
      <w:r>
        <w:t>basket</w:t>
      </w:r>
      <w:r>
        <w:rPr>
          <w:spacing w:val="-4"/>
        </w:rPr>
        <w:t xml:space="preserve"> </w:t>
      </w:r>
      <w:r>
        <w:t>of</w:t>
      </w:r>
      <w:r>
        <w:rPr>
          <w:spacing w:val="-4"/>
        </w:rPr>
        <w:t xml:space="preserve"> </w:t>
      </w:r>
      <w:r>
        <w:t>domestic</w:t>
      </w:r>
      <w:r>
        <w:rPr>
          <w:spacing w:val="-3"/>
        </w:rPr>
        <w:t xml:space="preserve"> </w:t>
      </w:r>
      <w:r>
        <w:t>like products.</w:t>
      </w:r>
      <w:r>
        <w:rPr>
          <w:vertAlign w:val="superscript"/>
        </w:rPr>
        <w:t>800</w:t>
      </w:r>
      <w:r>
        <w:t xml:space="preserve"> These differences impact the overall quality and consumer perceptions of the wine products in each basket.</w:t>
      </w:r>
      <w:r>
        <w:rPr>
          <w:vertAlign w:val="superscript"/>
        </w:rPr>
        <w:t>801</w:t>
      </w:r>
      <w:r>
        <w:t xml:space="preserve"> Australia's detailed submissions regarding product mix differences in the baskets of s</w:t>
      </w:r>
      <w:r>
        <w:t>ubject imports and like domestic products are set out at</w:t>
      </w:r>
      <w:r>
        <w:rPr>
          <w:spacing w:val="40"/>
        </w:rPr>
        <w:t xml:space="preserve"> </w:t>
      </w:r>
      <w:r>
        <w:t>section C.3(b)(i) above.</w:t>
      </w:r>
    </w:p>
    <w:p w14:paraId="51DE91CD" w14:textId="77777777" w:rsidR="0010369C" w:rsidRDefault="0010369C">
      <w:pPr>
        <w:pStyle w:val="BodyText"/>
        <w:spacing w:before="11"/>
        <w:rPr>
          <w:sz w:val="8"/>
        </w:rPr>
      </w:pPr>
    </w:p>
    <w:p w14:paraId="51DE91CE" w14:textId="77777777" w:rsidR="0010369C" w:rsidRDefault="008E43AE">
      <w:pPr>
        <w:pStyle w:val="BodyText"/>
        <w:spacing w:before="52" w:line="360" w:lineRule="auto"/>
        <w:ind w:left="237" w:right="612" w:firstLine="851"/>
        <w:jc w:val="both"/>
      </w:pPr>
      <w:r>
        <w:rPr>
          <w:noProof/>
        </w:rPr>
        <w:drawing>
          <wp:anchor distT="0" distB="0" distL="0" distR="0" simplePos="0" relativeHeight="251293184" behindDoc="1" locked="0" layoutInCell="1" allowOverlap="1" wp14:anchorId="51DEA587" wp14:editId="51DEA588">
            <wp:simplePos x="0" y="0"/>
            <wp:positionH relativeFrom="page">
              <wp:posOffset>905255</wp:posOffset>
            </wp:positionH>
            <wp:positionV relativeFrom="paragraph">
              <wp:posOffset>81357</wp:posOffset>
            </wp:positionV>
            <wp:extent cx="259079" cy="103631"/>
            <wp:effectExtent l="0" t="0" r="0" b="0"/>
            <wp:wrapNone/>
            <wp:docPr id="1337" name="image6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 name="image692.png"/>
                    <pic:cNvPicPr/>
                  </pic:nvPicPr>
                  <pic:blipFill>
                    <a:blip r:embed="rId898" cstate="print"/>
                    <a:stretch>
                      <a:fillRect/>
                    </a:stretch>
                  </pic:blipFill>
                  <pic:spPr>
                    <a:xfrm>
                      <a:off x="0" y="0"/>
                      <a:ext cx="259079" cy="103631"/>
                    </a:xfrm>
                    <a:prstGeom prst="rect">
                      <a:avLst/>
                    </a:prstGeom>
                  </pic:spPr>
                </pic:pic>
              </a:graphicData>
            </a:graphic>
          </wp:anchor>
        </w:drawing>
      </w:r>
      <w:r>
        <w:t>Further,</w:t>
      </w:r>
      <w:r>
        <w:rPr>
          <w:spacing w:val="-8"/>
        </w:rPr>
        <w:t xml:space="preserve"> </w:t>
      </w:r>
      <w:r>
        <w:t>an</w:t>
      </w:r>
      <w:r>
        <w:rPr>
          <w:spacing w:val="-10"/>
        </w:rPr>
        <w:t xml:space="preserve"> </w:t>
      </w:r>
      <w:r>
        <w:t>assessment</w:t>
      </w:r>
      <w:r>
        <w:rPr>
          <w:spacing w:val="-9"/>
        </w:rPr>
        <w:t xml:space="preserve"> </w:t>
      </w:r>
      <w:r>
        <w:t>of</w:t>
      </w:r>
      <w:r>
        <w:rPr>
          <w:spacing w:val="-9"/>
        </w:rPr>
        <w:t xml:space="preserve"> </w:t>
      </w:r>
      <w:r>
        <w:t>whether</w:t>
      </w:r>
      <w:r>
        <w:rPr>
          <w:spacing w:val="-8"/>
        </w:rPr>
        <w:t xml:space="preserve"> </w:t>
      </w:r>
      <w:r>
        <w:t>"different</w:t>
      </w:r>
      <w:r>
        <w:rPr>
          <w:spacing w:val="-9"/>
        </w:rPr>
        <w:t xml:space="preserve"> </w:t>
      </w:r>
      <w:r>
        <w:t>product</w:t>
      </w:r>
      <w:r>
        <w:rPr>
          <w:spacing w:val="-8"/>
        </w:rPr>
        <w:t xml:space="preserve"> </w:t>
      </w:r>
      <w:r>
        <w:t>types</w:t>
      </w:r>
      <w:r>
        <w:rPr>
          <w:spacing w:val="-10"/>
        </w:rPr>
        <w:t xml:space="preserve"> </w:t>
      </w:r>
      <w:r>
        <w:t>that</w:t>
      </w:r>
      <w:r>
        <w:rPr>
          <w:spacing w:val="-9"/>
        </w:rPr>
        <w:t xml:space="preserve"> </w:t>
      </w:r>
      <w:r>
        <w:t>are</w:t>
      </w:r>
      <w:r>
        <w:rPr>
          <w:spacing w:val="-8"/>
        </w:rPr>
        <w:t xml:space="preserve"> </w:t>
      </w:r>
      <w:r>
        <w:t>distinguished</w:t>
      </w:r>
      <w:r>
        <w:rPr>
          <w:spacing w:val="-8"/>
        </w:rPr>
        <w:t xml:space="preserve"> </w:t>
      </w:r>
      <w:r>
        <w:t>by considerable</w:t>
      </w:r>
      <w:r>
        <w:rPr>
          <w:spacing w:val="-4"/>
        </w:rPr>
        <w:t xml:space="preserve"> </w:t>
      </w:r>
      <w:r>
        <w:t>price</w:t>
      </w:r>
      <w:r>
        <w:rPr>
          <w:spacing w:val="-3"/>
        </w:rPr>
        <w:t xml:space="preserve"> </w:t>
      </w:r>
      <w:r>
        <w:t>differences"</w:t>
      </w:r>
      <w:r>
        <w:rPr>
          <w:spacing w:val="-3"/>
        </w:rPr>
        <w:t xml:space="preserve"> </w:t>
      </w:r>
      <w:r>
        <w:t>are</w:t>
      </w:r>
      <w:r>
        <w:rPr>
          <w:spacing w:val="-4"/>
        </w:rPr>
        <w:t xml:space="preserve"> </w:t>
      </w:r>
      <w:r>
        <w:t>"substitutable"</w:t>
      </w:r>
      <w:r>
        <w:rPr>
          <w:spacing w:val="-5"/>
        </w:rPr>
        <w:t xml:space="preserve"> </w:t>
      </w:r>
      <w:r>
        <w:t>or</w:t>
      </w:r>
      <w:r>
        <w:rPr>
          <w:spacing w:val="-3"/>
        </w:rPr>
        <w:t xml:space="preserve"> </w:t>
      </w:r>
      <w:r>
        <w:t>"exercise</w:t>
      </w:r>
      <w:r>
        <w:rPr>
          <w:spacing w:val="-3"/>
        </w:rPr>
        <w:t xml:space="preserve"> </w:t>
      </w:r>
      <w:r>
        <w:t>competitive</w:t>
      </w:r>
      <w:r>
        <w:rPr>
          <w:spacing w:val="-3"/>
        </w:rPr>
        <w:t xml:space="preserve"> </w:t>
      </w:r>
      <w:r>
        <w:t>restraint</w:t>
      </w:r>
      <w:r>
        <w:rPr>
          <w:spacing w:val="-6"/>
        </w:rPr>
        <w:t xml:space="preserve"> </w:t>
      </w:r>
      <w:r>
        <w:t>on</w:t>
      </w:r>
      <w:r>
        <w:rPr>
          <w:spacing w:val="-4"/>
        </w:rPr>
        <w:t xml:space="preserve"> </w:t>
      </w:r>
      <w:r>
        <w:t>each other" in the same market cannot be determined "simply by assessing whether they share particular physical characteristics or have the same general uses".</w:t>
      </w:r>
      <w:r>
        <w:rPr>
          <w:vertAlign w:val="superscript"/>
        </w:rPr>
        <w:t>802</w:t>
      </w:r>
      <w:r>
        <w:t xml:space="preserve"> Consideration should also be given to customer preferences.</w:t>
      </w:r>
      <w:r>
        <w:rPr>
          <w:vertAlign w:val="superscript"/>
        </w:rPr>
        <w:t>803</w:t>
      </w:r>
      <w:r>
        <w:t xml:space="preserve"> MOFCOM ignored th</w:t>
      </w:r>
      <w:r>
        <w:t>e significant evidence which demonstrated that domestic like products suffered from relatively lower quality and less favourable</w:t>
      </w:r>
      <w:r>
        <w:rPr>
          <w:spacing w:val="-14"/>
        </w:rPr>
        <w:t xml:space="preserve"> </w:t>
      </w:r>
      <w:r>
        <w:t>consumer</w:t>
      </w:r>
      <w:r>
        <w:rPr>
          <w:spacing w:val="-14"/>
        </w:rPr>
        <w:t xml:space="preserve"> </w:t>
      </w:r>
      <w:r>
        <w:t>perceptions</w:t>
      </w:r>
      <w:r>
        <w:rPr>
          <w:spacing w:val="-13"/>
        </w:rPr>
        <w:t xml:space="preserve"> </w:t>
      </w:r>
      <w:r>
        <w:t>than</w:t>
      </w:r>
      <w:r>
        <w:rPr>
          <w:spacing w:val="-14"/>
        </w:rPr>
        <w:t xml:space="preserve"> </w:t>
      </w:r>
      <w:r>
        <w:t>subject</w:t>
      </w:r>
      <w:r>
        <w:rPr>
          <w:spacing w:val="-13"/>
        </w:rPr>
        <w:t xml:space="preserve"> </w:t>
      </w:r>
      <w:r>
        <w:t>imports</w:t>
      </w:r>
      <w:r>
        <w:rPr>
          <w:spacing w:val="-14"/>
        </w:rPr>
        <w:t xml:space="preserve"> </w:t>
      </w:r>
      <w:r>
        <w:t>from</w:t>
      </w:r>
      <w:r>
        <w:rPr>
          <w:spacing w:val="-13"/>
        </w:rPr>
        <w:t xml:space="preserve"> </w:t>
      </w:r>
      <w:r>
        <w:t>Australia.</w:t>
      </w:r>
      <w:r>
        <w:rPr>
          <w:spacing w:val="-14"/>
        </w:rPr>
        <w:t xml:space="preserve"> </w:t>
      </w:r>
      <w:r>
        <w:t>This</w:t>
      </w:r>
      <w:r>
        <w:rPr>
          <w:spacing w:val="-14"/>
        </w:rPr>
        <w:t xml:space="preserve"> </w:t>
      </w:r>
      <w:r>
        <w:t>evidence</w:t>
      </w:r>
      <w:r>
        <w:rPr>
          <w:spacing w:val="-13"/>
        </w:rPr>
        <w:t xml:space="preserve"> </w:t>
      </w:r>
      <w:r>
        <w:t xml:space="preserve">included, </w:t>
      </w:r>
      <w:r>
        <w:rPr>
          <w:i/>
        </w:rPr>
        <w:t>inter alia</w:t>
      </w:r>
      <w:r>
        <w:t>, the following:</w:t>
      </w:r>
    </w:p>
    <w:p w14:paraId="51DE91CF" w14:textId="77777777" w:rsidR="0010369C" w:rsidRDefault="008E43AE">
      <w:pPr>
        <w:pStyle w:val="ListParagraph"/>
        <w:numPr>
          <w:ilvl w:val="0"/>
          <w:numId w:val="42"/>
        </w:numPr>
        <w:tabs>
          <w:tab w:val="left" w:pos="1940"/>
          <w:tab w:val="left" w:pos="1941"/>
        </w:tabs>
        <w:spacing w:before="160" w:line="357" w:lineRule="auto"/>
        <w:ind w:right="612" w:hanging="850"/>
        <w:rPr>
          <w:sz w:val="24"/>
        </w:rPr>
      </w:pPr>
      <w:r>
        <w:rPr>
          <w:sz w:val="24"/>
        </w:rPr>
        <w:t xml:space="preserve">MOFCOM and CADA's </w:t>
      </w:r>
      <w:r>
        <w:rPr>
          <w:sz w:val="24"/>
        </w:rPr>
        <w:t>acknowledgment that Australian imports occupied a strong position in the Chinese domestic market.</w:t>
      </w:r>
      <w:r>
        <w:rPr>
          <w:sz w:val="24"/>
          <w:vertAlign w:val="superscript"/>
        </w:rPr>
        <w:t>804</w:t>
      </w:r>
      <w:r>
        <w:rPr>
          <w:sz w:val="24"/>
        </w:rPr>
        <w:t xml:space="preserve"> CADA submitted to MOFCOM that "Australian wine manufacturers have a definite competitive</w:t>
      </w:r>
    </w:p>
    <w:p w14:paraId="51DE91D0" w14:textId="77777777" w:rsidR="0010369C" w:rsidRDefault="0010369C">
      <w:pPr>
        <w:pStyle w:val="BodyText"/>
        <w:rPr>
          <w:sz w:val="20"/>
        </w:rPr>
      </w:pPr>
    </w:p>
    <w:p w14:paraId="51DE91D1" w14:textId="77777777" w:rsidR="0010369C" w:rsidRDefault="0010369C">
      <w:pPr>
        <w:pStyle w:val="BodyText"/>
        <w:rPr>
          <w:sz w:val="20"/>
        </w:rPr>
      </w:pPr>
    </w:p>
    <w:p w14:paraId="51DE91D2" w14:textId="77777777" w:rsidR="0010369C" w:rsidRDefault="008E43AE">
      <w:pPr>
        <w:pStyle w:val="BodyText"/>
        <w:rPr>
          <w:sz w:val="26"/>
        </w:rPr>
      </w:pPr>
      <w:r>
        <w:pict w14:anchorId="51DEA589">
          <v:rect id="docshape1143" o:spid="_x0000_s1253" style="position:absolute;margin-left:70.9pt;margin-top:17.1pt;width:2in;height:.8pt;z-index:-250791424;mso-wrap-distance-left:0;mso-wrap-distance-right:0;mso-position-horizontal-relative:page" fillcolor="black" stroked="f">
            <w10:wrap type="topAndBottom" anchorx="page"/>
          </v:rect>
        </w:pict>
      </w:r>
    </w:p>
    <w:p w14:paraId="51DE91D3" w14:textId="77777777" w:rsidR="0010369C" w:rsidRDefault="008E43AE">
      <w:pPr>
        <w:spacing w:before="109"/>
        <w:ind w:left="237" w:right="613"/>
        <w:jc w:val="both"/>
        <w:rPr>
          <w:sz w:val="18"/>
        </w:rPr>
      </w:pPr>
      <w:r>
        <w:rPr>
          <w:sz w:val="18"/>
          <w:vertAlign w:val="superscript"/>
        </w:rPr>
        <w:t>799</w:t>
      </w:r>
      <w:r>
        <w:rPr>
          <w:sz w:val="18"/>
        </w:rPr>
        <w:t xml:space="preserve"> Anti‐Dumping Final Determination (Exhibit AUS‐2), pp. 135‐</w:t>
      </w:r>
      <w:r>
        <w:rPr>
          <w:sz w:val="18"/>
        </w:rPr>
        <w:t>136. See also MOFCOM's examination of the competitive relationship between subject imports and domestic like products for the purposes of its examination of price effects under Article 3.2, ibid., pp. 119‐120.</w:t>
      </w:r>
    </w:p>
    <w:p w14:paraId="51DE91D4" w14:textId="77777777" w:rsidR="0010369C" w:rsidRDefault="008E43AE">
      <w:pPr>
        <w:ind w:left="238" w:right="612"/>
        <w:jc w:val="both"/>
        <w:rPr>
          <w:sz w:val="18"/>
        </w:rPr>
      </w:pPr>
      <w:r>
        <w:rPr>
          <w:sz w:val="18"/>
          <w:vertAlign w:val="superscript"/>
        </w:rPr>
        <w:t>800</w:t>
      </w:r>
      <w:r>
        <w:rPr>
          <w:sz w:val="18"/>
        </w:rPr>
        <w:t xml:space="preserve"> Treasury Wines Anti‐Dumping Questionnaire </w:t>
      </w:r>
      <w:r>
        <w:rPr>
          <w:sz w:val="18"/>
        </w:rPr>
        <w:t>Response (Exhibit AUS‐73), Section 2, Questions 4, 5, 6, pp. 16‐21; Casella Wines Anti‐Dumping Questionnaire Response (Exhibit AUS‐72), Section 2, Questions 4, 5, 6, pp. 12‐21; Treasury Wines Sampling Questionnaire Response (Exhibit AUS‐74),</w:t>
      </w:r>
      <w:r>
        <w:rPr>
          <w:spacing w:val="-1"/>
          <w:sz w:val="18"/>
        </w:rPr>
        <w:t xml:space="preserve"> </w:t>
      </w:r>
      <w:r>
        <w:rPr>
          <w:sz w:val="18"/>
        </w:rPr>
        <w:t>Section 2, Que</w:t>
      </w:r>
      <w:r>
        <w:rPr>
          <w:sz w:val="18"/>
        </w:rPr>
        <w:t>stion 3, pp. 14‐20; Casella Wines Sampling Questionnaire Response</w:t>
      </w:r>
      <w:r>
        <w:rPr>
          <w:spacing w:val="-3"/>
          <w:sz w:val="18"/>
        </w:rPr>
        <w:t xml:space="preserve"> </w:t>
      </w:r>
      <w:r>
        <w:rPr>
          <w:sz w:val="18"/>
        </w:rPr>
        <w:t>(Exhibit</w:t>
      </w:r>
      <w:r>
        <w:rPr>
          <w:spacing w:val="-2"/>
          <w:sz w:val="18"/>
        </w:rPr>
        <w:t xml:space="preserve"> </w:t>
      </w:r>
      <w:r>
        <w:rPr>
          <w:sz w:val="18"/>
        </w:rPr>
        <w:t>AUS‐75),</w:t>
      </w:r>
      <w:r>
        <w:rPr>
          <w:spacing w:val="-3"/>
          <w:sz w:val="18"/>
        </w:rPr>
        <w:t xml:space="preserve"> </w:t>
      </w:r>
      <w:r>
        <w:rPr>
          <w:sz w:val="18"/>
        </w:rPr>
        <w:t>Section</w:t>
      </w:r>
      <w:r>
        <w:rPr>
          <w:spacing w:val="-2"/>
          <w:sz w:val="18"/>
        </w:rPr>
        <w:t xml:space="preserve"> </w:t>
      </w:r>
      <w:r>
        <w:rPr>
          <w:sz w:val="18"/>
        </w:rPr>
        <w:t>2,</w:t>
      </w:r>
      <w:r>
        <w:rPr>
          <w:spacing w:val="-3"/>
          <w:sz w:val="18"/>
        </w:rPr>
        <w:t xml:space="preserve"> </w:t>
      </w:r>
      <w:r>
        <w:rPr>
          <w:sz w:val="18"/>
        </w:rPr>
        <w:t>Question</w:t>
      </w:r>
      <w:r>
        <w:rPr>
          <w:spacing w:val="-2"/>
          <w:sz w:val="18"/>
        </w:rPr>
        <w:t xml:space="preserve"> </w:t>
      </w:r>
      <w:r>
        <w:rPr>
          <w:sz w:val="18"/>
        </w:rPr>
        <w:t>3,</w:t>
      </w:r>
      <w:r>
        <w:rPr>
          <w:spacing w:val="-3"/>
          <w:sz w:val="18"/>
        </w:rPr>
        <w:t xml:space="preserve"> </w:t>
      </w:r>
      <w:r>
        <w:rPr>
          <w:sz w:val="18"/>
        </w:rPr>
        <w:t>pp.</w:t>
      </w:r>
      <w:r>
        <w:rPr>
          <w:spacing w:val="-2"/>
          <w:sz w:val="18"/>
        </w:rPr>
        <w:t xml:space="preserve"> </w:t>
      </w:r>
      <w:r>
        <w:rPr>
          <w:sz w:val="18"/>
        </w:rPr>
        <w:t>16‐28,</w:t>
      </w:r>
      <w:r>
        <w:rPr>
          <w:spacing w:val="-3"/>
          <w:sz w:val="18"/>
        </w:rPr>
        <w:t xml:space="preserve"> </w:t>
      </w:r>
      <w:r>
        <w:rPr>
          <w:sz w:val="18"/>
        </w:rPr>
        <w:t>AGW</w:t>
      </w:r>
      <w:r>
        <w:rPr>
          <w:spacing w:val="-3"/>
          <w:sz w:val="18"/>
        </w:rPr>
        <w:t xml:space="preserve"> </w:t>
      </w:r>
      <w:r>
        <w:rPr>
          <w:sz w:val="18"/>
        </w:rPr>
        <w:t>Submission</w:t>
      </w:r>
      <w:r>
        <w:rPr>
          <w:spacing w:val="-1"/>
          <w:sz w:val="18"/>
        </w:rPr>
        <w:t xml:space="preserve"> </w:t>
      </w:r>
      <w:r>
        <w:rPr>
          <w:sz w:val="18"/>
        </w:rPr>
        <w:t>on</w:t>
      </w:r>
      <w:r>
        <w:rPr>
          <w:spacing w:val="-2"/>
          <w:sz w:val="18"/>
        </w:rPr>
        <w:t xml:space="preserve"> </w:t>
      </w:r>
      <w:r>
        <w:rPr>
          <w:sz w:val="18"/>
        </w:rPr>
        <w:t>Initiation</w:t>
      </w:r>
      <w:r>
        <w:rPr>
          <w:spacing w:val="-2"/>
          <w:sz w:val="18"/>
        </w:rPr>
        <w:t xml:space="preserve"> </w:t>
      </w:r>
      <w:r>
        <w:rPr>
          <w:sz w:val="18"/>
        </w:rPr>
        <w:t>of</w:t>
      </w:r>
      <w:r>
        <w:rPr>
          <w:spacing w:val="-2"/>
          <w:sz w:val="18"/>
        </w:rPr>
        <w:t xml:space="preserve"> </w:t>
      </w:r>
      <w:r>
        <w:rPr>
          <w:sz w:val="18"/>
        </w:rPr>
        <w:t>the</w:t>
      </w:r>
      <w:r>
        <w:rPr>
          <w:spacing w:val="-2"/>
          <w:sz w:val="18"/>
        </w:rPr>
        <w:t xml:space="preserve"> </w:t>
      </w:r>
      <w:r>
        <w:rPr>
          <w:sz w:val="18"/>
        </w:rPr>
        <w:t>Investigation</w:t>
      </w:r>
      <w:r>
        <w:rPr>
          <w:spacing w:val="-2"/>
          <w:sz w:val="18"/>
        </w:rPr>
        <w:t xml:space="preserve"> </w:t>
      </w:r>
      <w:r>
        <w:rPr>
          <w:sz w:val="18"/>
        </w:rPr>
        <w:t>(Exhibit</w:t>
      </w:r>
      <w:r>
        <w:rPr>
          <w:spacing w:val="-2"/>
          <w:sz w:val="18"/>
        </w:rPr>
        <w:t xml:space="preserve"> </w:t>
      </w:r>
      <w:r>
        <w:rPr>
          <w:sz w:val="18"/>
        </w:rPr>
        <w:t>AUS‐ 71), pp. 3‐4.</w:t>
      </w:r>
    </w:p>
    <w:p w14:paraId="51DE91D5" w14:textId="77777777" w:rsidR="0010369C" w:rsidRDefault="008E43AE">
      <w:pPr>
        <w:ind w:left="237" w:right="613"/>
        <w:jc w:val="both"/>
        <w:rPr>
          <w:sz w:val="18"/>
        </w:rPr>
      </w:pPr>
      <w:r>
        <w:rPr>
          <w:sz w:val="18"/>
          <w:vertAlign w:val="superscript"/>
        </w:rPr>
        <w:t>801</w:t>
      </w:r>
      <w:r>
        <w:rPr>
          <w:sz w:val="18"/>
        </w:rPr>
        <w:t xml:space="preserve"> Treasury Wines Anti‐Dumping Questionnaire Response (Exhibit AUS‐73), Section 2, Questions 4, 5, 6, pp. 16‐21; Casella Wines</w:t>
      </w:r>
      <w:r>
        <w:rPr>
          <w:spacing w:val="-11"/>
          <w:sz w:val="18"/>
        </w:rPr>
        <w:t xml:space="preserve"> </w:t>
      </w:r>
      <w:r>
        <w:rPr>
          <w:sz w:val="18"/>
        </w:rPr>
        <w:t>Anti‐Dumping</w:t>
      </w:r>
      <w:r>
        <w:rPr>
          <w:spacing w:val="-10"/>
          <w:sz w:val="18"/>
        </w:rPr>
        <w:t xml:space="preserve"> </w:t>
      </w:r>
      <w:r>
        <w:rPr>
          <w:sz w:val="18"/>
        </w:rPr>
        <w:t>Questionnaire</w:t>
      </w:r>
      <w:r>
        <w:rPr>
          <w:spacing w:val="-10"/>
          <w:sz w:val="18"/>
        </w:rPr>
        <w:t xml:space="preserve"> </w:t>
      </w:r>
      <w:r>
        <w:rPr>
          <w:sz w:val="18"/>
        </w:rPr>
        <w:t>Response,</w:t>
      </w:r>
      <w:r>
        <w:rPr>
          <w:spacing w:val="-10"/>
          <w:sz w:val="18"/>
        </w:rPr>
        <w:t xml:space="preserve"> </w:t>
      </w:r>
      <w:r>
        <w:rPr>
          <w:sz w:val="18"/>
        </w:rPr>
        <w:t>Section</w:t>
      </w:r>
      <w:r>
        <w:rPr>
          <w:spacing w:val="-10"/>
          <w:sz w:val="18"/>
        </w:rPr>
        <w:t xml:space="preserve"> </w:t>
      </w:r>
      <w:r>
        <w:rPr>
          <w:sz w:val="18"/>
        </w:rPr>
        <w:t>2,</w:t>
      </w:r>
      <w:r>
        <w:rPr>
          <w:spacing w:val="-11"/>
          <w:sz w:val="18"/>
        </w:rPr>
        <w:t xml:space="preserve"> </w:t>
      </w:r>
      <w:r>
        <w:rPr>
          <w:sz w:val="18"/>
        </w:rPr>
        <w:t>Questions</w:t>
      </w:r>
      <w:r>
        <w:rPr>
          <w:spacing w:val="-10"/>
          <w:sz w:val="18"/>
        </w:rPr>
        <w:t xml:space="preserve"> </w:t>
      </w:r>
      <w:r>
        <w:rPr>
          <w:sz w:val="18"/>
        </w:rPr>
        <w:t>4,</w:t>
      </w:r>
      <w:r>
        <w:rPr>
          <w:spacing w:val="-10"/>
          <w:sz w:val="18"/>
        </w:rPr>
        <w:t xml:space="preserve"> </w:t>
      </w:r>
      <w:r>
        <w:rPr>
          <w:sz w:val="18"/>
        </w:rPr>
        <w:t>5,</w:t>
      </w:r>
      <w:r>
        <w:rPr>
          <w:spacing w:val="-10"/>
          <w:sz w:val="18"/>
        </w:rPr>
        <w:t xml:space="preserve"> </w:t>
      </w:r>
      <w:r>
        <w:rPr>
          <w:sz w:val="18"/>
        </w:rPr>
        <w:t>6,</w:t>
      </w:r>
      <w:r>
        <w:rPr>
          <w:spacing w:val="-10"/>
          <w:sz w:val="18"/>
        </w:rPr>
        <w:t xml:space="preserve"> </w:t>
      </w:r>
      <w:r>
        <w:rPr>
          <w:sz w:val="18"/>
        </w:rPr>
        <w:t>pp.</w:t>
      </w:r>
      <w:r>
        <w:rPr>
          <w:spacing w:val="-10"/>
          <w:sz w:val="18"/>
        </w:rPr>
        <w:t xml:space="preserve"> </w:t>
      </w:r>
      <w:r>
        <w:rPr>
          <w:sz w:val="18"/>
        </w:rPr>
        <w:t>12‐21;</w:t>
      </w:r>
      <w:r>
        <w:rPr>
          <w:spacing w:val="-11"/>
          <w:sz w:val="18"/>
        </w:rPr>
        <w:t xml:space="preserve"> </w:t>
      </w:r>
      <w:r>
        <w:rPr>
          <w:sz w:val="18"/>
        </w:rPr>
        <w:t>Treasury</w:t>
      </w:r>
      <w:r>
        <w:rPr>
          <w:spacing w:val="-10"/>
          <w:sz w:val="18"/>
        </w:rPr>
        <w:t xml:space="preserve"> </w:t>
      </w:r>
      <w:r>
        <w:rPr>
          <w:sz w:val="18"/>
        </w:rPr>
        <w:t>Wines</w:t>
      </w:r>
      <w:r>
        <w:rPr>
          <w:spacing w:val="-10"/>
          <w:sz w:val="18"/>
        </w:rPr>
        <w:t xml:space="preserve"> </w:t>
      </w:r>
      <w:r>
        <w:rPr>
          <w:sz w:val="18"/>
        </w:rPr>
        <w:t>Sampling</w:t>
      </w:r>
      <w:r>
        <w:rPr>
          <w:spacing w:val="-10"/>
          <w:sz w:val="18"/>
        </w:rPr>
        <w:t xml:space="preserve"> </w:t>
      </w:r>
      <w:r>
        <w:rPr>
          <w:sz w:val="18"/>
        </w:rPr>
        <w:t>Questionnaire Response</w:t>
      </w:r>
      <w:r>
        <w:rPr>
          <w:spacing w:val="-11"/>
          <w:sz w:val="18"/>
        </w:rPr>
        <w:t xml:space="preserve"> </w:t>
      </w:r>
      <w:r>
        <w:rPr>
          <w:sz w:val="18"/>
        </w:rPr>
        <w:t>(Exhib</w:t>
      </w:r>
      <w:r>
        <w:rPr>
          <w:sz w:val="18"/>
        </w:rPr>
        <w:t>it</w:t>
      </w:r>
      <w:r>
        <w:rPr>
          <w:spacing w:val="-10"/>
          <w:sz w:val="18"/>
        </w:rPr>
        <w:t xml:space="preserve"> </w:t>
      </w:r>
      <w:r>
        <w:rPr>
          <w:sz w:val="18"/>
        </w:rPr>
        <w:t>AUS‐74)</w:t>
      </w:r>
      <w:r>
        <w:rPr>
          <w:spacing w:val="-10"/>
          <w:sz w:val="18"/>
        </w:rPr>
        <w:t xml:space="preserve"> </w:t>
      </w:r>
      <w:r>
        <w:rPr>
          <w:sz w:val="18"/>
        </w:rPr>
        <w:t>Section</w:t>
      </w:r>
      <w:r>
        <w:rPr>
          <w:spacing w:val="-10"/>
          <w:sz w:val="18"/>
        </w:rPr>
        <w:t xml:space="preserve"> </w:t>
      </w:r>
      <w:r>
        <w:rPr>
          <w:sz w:val="18"/>
        </w:rPr>
        <w:t>2,</w:t>
      </w:r>
      <w:r>
        <w:rPr>
          <w:spacing w:val="-10"/>
          <w:sz w:val="18"/>
        </w:rPr>
        <w:t xml:space="preserve"> </w:t>
      </w:r>
      <w:r>
        <w:rPr>
          <w:sz w:val="18"/>
        </w:rPr>
        <w:t>Question</w:t>
      </w:r>
      <w:r>
        <w:rPr>
          <w:spacing w:val="-11"/>
          <w:sz w:val="18"/>
        </w:rPr>
        <w:t xml:space="preserve"> </w:t>
      </w:r>
      <w:r>
        <w:rPr>
          <w:sz w:val="18"/>
        </w:rPr>
        <w:t>3,</w:t>
      </w:r>
      <w:r>
        <w:rPr>
          <w:spacing w:val="-10"/>
          <w:sz w:val="18"/>
        </w:rPr>
        <w:t xml:space="preserve"> </w:t>
      </w:r>
      <w:r>
        <w:rPr>
          <w:sz w:val="18"/>
        </w:rPr>
        <w:t>pp.</w:t>
      </w:r>
      <w:r>
        <w:rPr>
          <w:spacing w:val="-10"/>
          <w:sz w:val="18"/>
        </w:rPr>
        <w:t xml:space="preserve"> </w:t>
      </w:r>
      <w:r>
        <w:rPr>
          <w:sz w:val="18"/>
        </w:rPr>
        <w:t>14‐20;</w:t>
      </w:r>
      <w:r>
        <w:rPr>
          <w:spacing w:val="-10"/>
          <w:sz w:val="18"/>
        </w:rPr>
        <w:t xml:space="preserve"> </w:t>
      </w:r>
      <w:r>
        <w:rPr>
          <w:sz w:val="18"/>
        </w:rPr>
        <w:t>Casella</w:t>
      </w:r>
      <w:r>
        <w:rPr>
          <w:spacing w:val="-10"/>
          <w:sz w:val="18"/>
        </w:rPr>
        <w:t xml:space="preserve"> </w:t>
      </w:r>
      <w:r>
        <w:rPr>
          <w:sz w:val="18"/>
        </w:rPr>
        <w:t>Wines</w:t>
      </w:r>
      <w:r>
        <w:rPr>
          <w:spacing w:val="-10"/>
          <w:sz w:val="18"/>
        </w:rPr>
        <w:t xml:space="preserve"> </w:t>
      </w:r>
      <w:r>
        <w:rPr>
          <w:sz w:val="18"/>
        </w:rPr>
        <w:t>Sampling</w:t>
      </w:r>
      <w:r>
        <w:rPr>
          <w:spacing w:val="-11"/>
          <w:sz w:val="18"/>
        </w:rPr>
        <w:t xml:space="preserve"> </w:t>
      </w:r>
      <w:r>
        <w:rPr>
          <w:sz w:val="18"/>
        </w:rPr>
        <w:t>Questionnaire</w:t>
      </w:r>
      <w:r>
        <w:rPr>
          <w:spacing w:val="-10"/>
          <w:sz w:val="18"/>
        </w:rPr>
        <w:t xml:space="preserve"> </w:t>
      </w:r>
      <w:r>
        <w:rPr>
          <w:sz w:val="18"/>
        </w:rPr>
        <w:t>Response</w:t>
      </w:r>
      <w:r>
        <w:rPr>
          <w:spacing w:val="-10"/>
          <w:sz w:val="18"/>
        </w:rPr>
        <w:t xml:space="preserve"> </w:t>
      </w:r>
      <w:r>
        <w:rPr>
          <w:sz w:val="18"/>
        </w:rPr>
        <w:t>(Exhibit</w:t>
      </w:r>
      <w:r>
        <w:rPr>
          <w:spacing w:val="-10"/>
          <w:sz w:val="18"/>
        </w:rPr>
        <w:t xml:space="preserve"> </w:t>
      </w:r>
      <w:r>
        <w:rPr>
          <w:sz w:val="18"/>
        </w:rPr>
        <w:t>AUS‐75), Section 2, Question 3, pp. 16‐28, AGW Submission on Initiation of the Investigation (Exhibit AUS‐71), pp. 3‐4.</w:t>
      </w:r>
    </w:p>
    <w:p w14:paraId="51DE91D6" w14:textId="77777777" w:rsidR="0010369C" w:rsidRDefault="008E43AE">
      <w:pPr>
        <w:spacing w:line="219" w:lineRule="exact"/>
        <w:ind w:left="238"/>
        <w:jc w:val="both"/>
        <w:rPr>
          <w:i/>
          <w:sz w:val="18"/>
        </w:rPr>
      </w:pPr>
      <w:r>
        <w:rPr>
          <w:sz w:val="18"/>
          <w:vertAlign w:val="superscript"/>
        </w:rPr>
        <w:t>802</w:t>
      </w:r>
      <w:r>
        <w:rPr>
          <w:spacing w:val="-3"/>
          <w:sz w:val="18"/>
        </w:rPr>
        <w:t xml:space="preserve"> </w:t>
      </w:r>
      <w:r>
        <w:rPr>
          <w:sz w:val="18"/>
        </w:rPr>
        <w:t>Appellate</w:t>
      </w:r>
      <w:r>
        <w:rPr>
          <w:spacing w:val="-2"/>
          <w:sz w:val="18"/>
        </w:rPr>
        <w:t xml:space="preserve"> </w:t>
      </w:r>
      <w:r>
        <w:rPr>
          <w:sz w:val="18"/>
        </w:rPr>
        <w:t>Body</w:t>
      </w:r>
      <w:r>
        <w:rPr>
          <w:spacing w:val="-4"/>
          <w:sz w:val="18"/>
        </w:rPr>
        <w:t xml:space="preserve"> </w:t>
      </w:r>
      <w:r>
        <w:rPr>
          <w:sz w:val="18"/>
        </w:rPr>
        <w:t>Report,</w:t>
      </w:r>
      <w:r>
        <w:rPr>
          <w:spacing w:val="-3"/>
          <w:sz w:val="18"/>
        </w:rPr>
        <w:t xml:space="preserve"> </w:t>
      </w:r>
      <w:r>
        <w:rPr>
          <w:i/>
          <w:sz w:val="18"/>
        </w:rPr>
        <w:t>China</w:t>
      </w:r>
      <w:r>
        <w:rPr>
          <w:i/>
          <w:spacing w:val="-2"/>
          <w:sz w:val="18"/>
        </w:rPr>
        <w:t xml:space="preserve"> </w:t>
      </w:r>
      <w:r>
        <w:rPr>
          <w:i/>
          <w:sz w:val="18"/>
        </w:rPr>
        <w:t>‐</w:t>
      </w:r>
      <w:r>
        <w:rPr>
          <w:i/>
          <w:spacing w:val="-3"/>
          <w:sz w:val="18"/>
        </w:rPr>
        <w:t xml:space="preserve"> </w:t>
      </w:r>
      <w:r>
        <w:rPr>
          <w:i/>
          <w:sz w:val="18"/>
        </w:rPr>
        <w:t>HP‐SSST</w:t>
      </w:r>
      <w:r>
        <w:rPr>
          <w:i/>
          <w:spacing w:val="-3"/>
          <w:sz w:val="18"/>
        </w:rPr>
        <w:t xml:space="preserve"> </w:t>
      </w:r>
      <w:r>
        <w:rPr>
          <w:i/>
          <w:sz w:val="18"/>
        </w:rPr>
        <w:t>(Japa</w:t>
      </w:r>
      <w:r>
        <w:rPr>
          <w:sz w:val="18"/>
        </w:rPr>
        <w:t>n),</w:t>
      </w:r>
      <w:r>
        <w:rPr>
          <w:spacing w:val="-3"/>
          <w:sz w:val="18"/>
        </w:rPr>
        <w:t xml:space="preserve"> </w:t>
      </w:r>
      <w:r>
        <w:rPr>
          <w:sz w:val="18"/>
        </w:rPr>
        <w:t>para.</w:t>
      </w:r>
      <w:r>
        <w:rPr>
          <w:spacing w:val="-2"/>
          <w:sz w:val="18"/>
        </w:rPr>
        <w:t xml:space="preserve"> </w:t>
      </w:r>
      <w:r>
        <w:rPr>
          <w:sz w:val="18"/>
        </w:rPr>
        <w:t>5.263</w:t>
      </w:r>
      <w:r>
        <w:rPr>
          <w:spacing w:val="-3"/>
          <w:sz w:val="18"/>
        </w:rPr>
        <w:t xml:space="preserve"> </w:t>
      </w:r>
      <w:r>
        <w:rPr>
          <w:sz w:val="18"/>
        </w:rPr>
        <w:t>citing</w:t>
      </w:r>
      <w:r>
        <w:rPr>
          <w:spacing w:val="-2"/>
          <w:sz w:val="18"/>
        </w:rPr>
        <w:t xml:space="preserve"> </w:t>
      </w:r>
      <w:r>
        <w:rPr>
          <w:sz w:val="18"/>
        </w:rPr>
        <w:t>Appellate</w:t>
      </w:r>
      <w:r>
        <w:rPr>
          <w:spacing w:val="-2"/>
          <w:sz w:val="18"/>
        </w:rPr>
        <w:t xml:space="preserve"> </w:t>
      </w:r>
      <w:r>
        <w:rPr>
          <w:sz w:val="18"/>
        </w:rPr>
        <w:t>Body</w:t>
      </w:r>
      <w:r>
        <w:rPr>
          <w:spacing w:val="-3"/>
          <w:sz w:val="18"/>
        </w:rPr>
        <w:t xml:space="preserve"> </w:t>
      </w:r>
      <w:r>
        <w:rPr>
          <w:sz w:val="18"/>
        </w:rPr>
        <w:t>Report,</w:t>
      </w:r>
      <w:r>
        <w:rPr>
          <w:spacing w:val="-3"/>
          <w:sz w:val="18"/>
        </w:rPr>
        <w:t xml:space="preserve"> </w:t>
      </w:r>
      <w:r>
        <w:rPr>
          <w:i/>
          <w:sz w:val="18"/>
        </w:rPr>
        <w:t>EC</w:t>
      </w:r>
      <w:r>
        <w:rPr>
          <w:i/>
          <w:spacing w:val="-3"/>
          <w:sz w:val="18"/>
        </w:rPr>
        <w:t xml:space="preserve"> </w:t>
      </w:r>
      <w:r>
        <w:rPr>
          <w:i/>
          <w:sz w:val="18"/>
        </w:rPr>
        <w:t>and</w:t>
      </w:r>
      <w:r>
        <w:rPr>
          <w:i/>
          <w:spacing w:val="-3"/>
          <w:sz w:val="18"/>
        </w:rPr>
        <w:t xml:space="preserve"> </w:t>
      </w:r>
      <w:r>
        <w:rPr>
          <w:i/>
          <w:sz w:val="18"/>
        </w:rPr>
        <w:t>certain</w:t>
      </w:r>
      <w:r>
        <w:rPr>
          <w:i/>
          <w:spacing w:val="-3"/>
          <w:sz w:val="18"/>
        </w:rPr>
        <w:t xml:space="preserve"> </w:t>
      </w:r>
      <w:r>
        <w:rPr>
          <w:i/>
          <w:sz w:val="18"/>
        </w:rPr>
        <w:t>member</w:t>
      </w:r>
      <w:r>
        <w:rPr>
          <w:i/>
          <w:spacing w:val="-3"/>
          <w:sz w:val="18"/>
        </w:rPr>
        <w:t xml:space="preserve"> </w:t>
      </w:r>
      <w:r>
        <w:rPr>
          <w:i/>
          <w:spacing w:val="-2"/>
          <w:sz w:val="18"/>
        </w:rPr>
        <w:t>States</w:t>
      </w:r>
    </w:p>
    <w:p w14:paraId="51DE91D7" w14:textId="77777777" w:rsidR="0010369C" w:rsidRDefault="008E43AE">
      <w:pPr>
        <w:pStyle w:val="ListParagraph"/>
        <w:numPr>
          <w:ilvl w:val="0"/>
          <w:numId w:val="41"/>
        </w:numPr>
        <w:tabs>
          <w:tab w:val="left" w:pos="370"/>
        </w:tabs>
        <w:spacing w:before="0"/>
        <w:ind w:hanging="132"/>
        <w:jc w:val="left"/>
        <w:rPr>
          <w:sz w:val="18"/>
        </w:rPr>
      </w:pPr>
      <w:r>
        <w:rPr>
          <w:i/>
          <w:sz w:val="18"/>
        </w:rPr>
        <w:t>Large</w:t>
      </w:r>
      <w:r>
        <w:rPr>
          <w:i/>
          <w:spacing w:val="-8"/>
          <w:sz w:val="18"/>
        </w:rPr>
        <w:t xml:space="preserve"> </w:t>
      </w:r>
      <w:r>
        <w:rPr>
          <w:i/>
          <w:sz w:val="18"/>
        </w:rPr>
        <w:t>Civil</w:t>
      </w:r>
      <w:r>
        <w:rPr>
          <w:i/>
          <w:spacing w:val="-8"/>
          <w:sz w:val="18"/>
        </w:rPr>
        <w:t xml:space="preserve"> </w:t>
      </w:r>
      <w:r>
        <w:rPr>
          <w:i/>
          <w:sz w:val="18"/>
        </w:rPr>
        <w:t>Aircraft</w:t>
      </w:r>
      <w:r>
        <w:rPr>
          <w:sz w:val="18"/>
        </w:rPr>
        <w:t>,</w:t>
      </w:r>
      <w:r>
        <w:rPr>
          <w:spacing w:val="-9"/>
          <w:sz w:val="18"/>
        </w:rPr>
        <w:t xml:space="preserve"> </w:t>
      </w:r>
      <w:r>
        <w:rPr>
          <w:sz w:val="18"/>
        </w:rPr>
        <w:t>para.</w:t>
      </w:r>
      <w:r>
        <w:rPr>
          <w:spacing w:val="-7"/>
          <w:sz w:val="18"/>
        </w:rPr>
        <w:t xml:space="preserve"> </w:t>
      </w:r>
      <w:r>
        <w:rPr>
          <w:spacing w:val="-2"/>
          <w:sz w:val="18"/>
        </w:rPr>
        <w:t>1120.</w:t>
      </w:r>
    </w:p>
    <w:p w14:paraId="51DE91D8" w14:textId="77777777" w:rsidR="0010369C" w:rsidRDefault="008E43AE">
      <w:pPr>
        <w:spacing w:before="1"/>
        <w:ind w:left="238"/>
        <w:rPr>
          <w:i/>
          <w:sz w:val="18"/>
        </w:rPr>
      </w:pPr>
      <w:r>
        <w:rPr>
          <w:sz w:val="18"/>
          <w:vertAlign w:val="superscript"/>
        </w:rPr>
        <w:t>803</w:t>
      </w:r>
      <w:r>
        <w:rPr>
          <w:spacing w:val="-3"/>
          <w:sz w:val="18"/>
        </w:rPr>
        <w:t xml:space="preserve"> </w:t>
      </w:r>
      <w:r>
        <w:rPr>
          <w:sz w:val="18"/>
        </w:rPr>
        <w:t>Appellate</w:t>
      </w:r>
      <w:r>
        <w:rPr>
          <w:spacing w:val="-2"/>
          <w:sz w:val="18"/>
        </w:rPr>
        <w:t xml:space="preserve"> </w:t>
      </w:r>
      <w:r>
        <w:rPr>
          <w:sz w:val="18"/>
        </w:rPr>
        <w:t>Body</w:t>
      </w:r>
      <w:r>
        <w:rPr>
          <w:spacing w:val="-4"/>
          <w:sz w:val="18"/>
        </w:rPr>
        <w:t xml:space="preserve"> </w:t>
      </w:r>
      <w:r>
        <w:rPr>
          <w:sz w:val="18"/>
        </w:rPr>
        <w:t>Report,</w:t>
      </w:r>
      <w:r>
        <w:rPr>
          <w:spacing w:val="-3"/>
          <w:sz w:val="18"/>
        </w:rPr>
        <w:t xml:space="preserve"> </w:t>
      </w:r>
      <w:r>
        <w:rPr>
          <w:i/>
          <w:sz w:val="18"/>
        </w:rPr>
        <w:t>China</w:t>
      </w:r>
      <w:r>
        <w:rPr>
          <w:i/>
          <w:spacing w:val="-2"/>
          <w:sz w:val="18"/>
        </w:rPr>
        <w:t xml:space="preserve"> </w:t>
      </w:r>
      <w:r>
        <w:rPr>
          <w:i/>
          <w:sz w:val="18"/>
        </w:rPr>
        <w:t>‐</w:t>
      </w:r>
      <w:r>
        <w:rPr>
          <w:i/>
          <w:spacing w:val="-3"/>
          <w:sz w:val="18"/>
        </w:rPr>
        <w:t xml:space="preserve"> </w:t>
      </w:r>
      <w:r>
        <w:rPr>
          <w:i/>
          <w:sz w:val="18"/>
        </w:rPr>
        <w:t>HP‐SSST</w:t>
      </w:r>
      <w:r>
        <w:rPr>
          <w:i/>
          <w:spacing w:val="-3"/>
          <w:sz w:val="18"/>
        </w:rPr>
        <w:t xml:space="preserve"> </w:t>
      </w:r>
      <w:r>
        <w:rPr>
          <w:i/>
          <w:sz w:val="18"/>
        </w:rPr>
        <w:t>(Japa</w:t>
      </w:r>
      <w:r>
        <w:rPr>
          <w:sz w:val="18"/>
        </w:rPr>
        <w:t>n),</w:t>
      </w:r>
      <w:r>
        <w:rPr>
          <w:spacing w:val="-3"/>
          <w:sz w:val="18"/>
        </w:rPr>
        <w:t xml:space="preserve"> </w:t>
      </w:r>
      <w:r>
        <w:rPr>
          <w:sz w:val="18"/>
        </w:rPr>
        <w:t>para.</w:t>
      </w:r>
      <w:r>
        <w:rPr>
          <w:spacing w:val="-2"/>
          <w:sz w:val="18"/>
        </w:rPr>
        <w:t xml:space="preserve"> </w:t>
      </w:r>
      <w:r>
        <w:rPr>
          <w:sz w:val="18"/>
        </w:rPr>
        <w:t>5.263</w:t>
      </w:r>
      <w:r>
        <w:rPr>
          <w:spacing w:val="-3"/>
          <w:sz w:val="18"/>
        </w:rPr>
        <w:t xml:space="preserve"> </w:t>
      </w:r>
      <w:r>
        <w:rPr>
          <w:sz w:val="18"/>
        </w:rPr>
        <w:t>citing</w:t>
      </w:r>
      <w:r>
        <w:rPr>
          <w:spacing w:val="-2"/>
          <w:sz w:val="18"/>
        </w:rPr>
        <w:t xml:space="preserve"> </w:t>
      </w:r>
      <w:r>
        <w:rPr>
          <w:sz w:val="18"/>
        </w:rPr>
        <w:t>Appellate</w:t>
      </w:r>
      <w:r>
        <w:rPr>
          <w:spacing w:val="-2"/>
          <w:sz w:val="18"/>
        </w:rPr>
        <w:t xml:space="preserve"> </w:t>
      </w:r>
      <w:r>
        <w:rPr>
          <w:sz w:val="18"/>
        </w:rPr>
        <w:t>Body</w:t>
      </w:r>
      <w:r>
        <w:rPr>
          <w:spacing w:val="-3"/>
          <w:sz w:val="18"/>
        </w:rPr>
        <w:t xml:space="preserve"> </w:t>
      </w:r>
      <w:r>
        <w:rPr>
          <w:sz w:val="18"/>
        </w:rPr>
        <w:t>Report,</w:t>
      </w:r>
      <w:r>
        <w:rPr>
          <w:spacing w:val="-3"/>
          <w:sz w:val="18"/>
        </w:rPr>
        <w:t xml:space="preserve"> </w:t>
      </w:r>
      <w:r>
        <w:rPr>
          <w:i/>
          <w:sz w:val="18"/>
        </w:rPr>
        <w:t>EC</w:t>
      </w:r>
      <w:r>
        <w:rPr>
          <w:i/>
          <w:spacing w:val="-3"/>
          <w:sz w:val="18"/>
        </w:rPr>
        <w:t xml:space="preserve"> </w:t>
      </w:r>
      <w:r>
        <w:rPr>
          <w:i/>
          <w:sz w:val="18"/>
        </w:rPr>
        <w:t>and</w:t>
      </w:r>
      <w:r>
        <w:rPr>
          <w:i/>
          <w:spacing w:val="-3"/>
          <w:sz w:val="18"/>
        </w:rPr>
        <w:t xml:space="preserve"> </w:t>
      </w:r>
      <w:r>
        <w:rPr>
          <w:i/>
          <w:sz w:val="18"/>
        </w:rPr>
        <w:t>certain</w:t>
      </w:r>
      <w:r>
        <w:rPr>
          <w:i/>
          <w:spacing w:val="-3"/>
          <w:sz w:val="18"/>
        </w:rPr>
        <w:t xml:space="preserve"> </w:t>
      </w:r>
      <w:r>
        <w:rPr>
          <w:i/>
          <w:sz w:val="18"/>
        </w:rPr>
        <w:t>member</w:t>
      </w:r>
      <w:r>
        <w:rPr>
          <w:i/>
          <w:spacing w:val="-3"/>
          <w:sz w:val="18"/>
        </w:rPr>
        <w:t xml:space="preserve"> </w:t>
      </w:r>
      <w:r>
        <w:rPr>
          <w:i/>
          <w:spacing w:val="-2"/>
          <w:sz w:val="18"/>
        </w:rPr>
        <w:t>States</w:t>
      </w:r>
    </w:p>
    <w:p w14:paraId="51DE91D9" w14:textId="77777777" w:rsidR="0010369C" w:rsidRDefault="008E43AE">
      <w:pPr>
        <w:pStyle w:val="ListParagraph"/>
        <w:numPr>
          <w:ilvl w:val="0"/>
          <w:numId w:val="41"/>
        </w:numPr>
        <w:tabs>
          <w:tab w:val="left" w:pos="370"/>
        </w:tabs>
        <w:spacing w:before="0"/>
        <w:ind w:hanging="132"/>
        <w:jc w:val="left"/>
        <w:rPr>
          <w:sz w:val="18"/>
        </w:rPr>
      </w:pPr>
      <w:r>
        <w:rPr>
          <w:i/>
          <w:sz w:val="18"/>
        </w:rPr>
        <w:t>Large</w:t>
      </w:r>
      <w:r>
        <w:rPr>
          <w:i/>
          <w:spacing w:val="-8"/>
          <w:sz w:val="18"/>
        </w:rPr>
        <w:t xml:space="preserve"> </w:t>
      </w:r>
      <w:r>
        <w:rPr>
          <w:i/>
          <w:sz w:val="18"/>
        </w:rPr>
        <w:t>Civil</w:t>
      </w:r>
      <w:r>
        <w:rPr>
          <w:i/>
          <w:spacing w:val="-8"/>
          <w:sz w:val="18"/>
        </w:rPr>
        <w:t xml:space="preserve"> </w:t>
      </w:r>
      <w:r>
        <w:rPr>
          <w:i/>
          <w:sz w:val="18"/>
        </w:rPr>
        <w:t>Aircraft</w:t>
      </w:r>
      <w:r>
        <w:rPr>
          <w:sz w:val="18"/>
        </w:rPr>
        <w:t>,</w:t>
      </w:r>
      <w:r>
        <w:rPr>
          <w:spacing w:val="-9"/>
          <w:sz w:val="18"/>
        </w:rPr>
        <w:t xml:space="preserve"> </w:t>
      </w:r>
      <w:r>
        <w:rPr>
          <w:sz w:val="18"/>
        </w:rPr>
        <w:t>para.</w:t>
      </w:r>
      <w:r>
        <w:rPr>
          <w:spacing w:val="-7"/>
          <w:sz w:val="18"/>
        </w:rPr>
        <w:t xml:space="preserve"> </w:t>
      </w:r>
      <w:r>
        <w:rPr>
          <w:spacing w:val="-2"/>
          <w:sz w:val="18"/>
        </w:rPr>
        <w:t>1120.</w:t>
      </w:r>
    </w:p>
    <w:p w14:paraId="51DE91DA" w14:textId="77777777" w:rsidR="0010369C" w:rsidRDefault="008E43AE">
      <w:pPr>
        <w:ind w:left="238" w:right="614" w:hanging="1"/>
        <w:rPr>
          <w:sz w:val="18"/>
        </w:rPr>
      </w:pPr>
      <w:r>
        <w:rPr>
          <w:sz w:val="18"/>
          <w:vertAlign w:val="superscript"/>
        </w:rPr>
        <w:t>804</w:t>
      </w:r>
      <w:r>
        <w:rPr>
          <w:spacing w:val="-6"/>
          <w:sz w:val="18"/>
        </w:rPr>
        <w:t xml:space="preserve"> </w:t>
      </w:r>
      <w:r>
        <w:rPr>
          <w:sz w:val="18"/>
        </w:rPr>
        <w:t>Anti‐Dumping</w:t>
      </w:r>
      <w:r>
        <w:rPr>
          <w:spacing w:val="-5"/>
          <w:sz w:val="18"/>
        </w:rPr>
        <w:t xml:space="preserve"> </w:t>
      </w:r>
      <w:r>
        <w:rPr>
          <w:sz w:val="18"/>
        </w:rPr>
        <w:t>Final</w:t>
      </w:r>
      <w:r>
        <w:rPr>
          <w:spacing w:val="-6"/>
          <w:sz w:val="18"/>
        </w:rPr>
        <w:t xml:space="preserve"> </w:t>
      </w:r>
      <w:r>
        <w:rPr>
          <w:sz w:val="18"/>
        </w:rPr>
        <w:t>Determination</w:t>
      </w:r>
      <w:r>
        <w:rPr>
          <w:spacing w:val="-5"/>
          <w:sz w:val="18"/>
        </w:rPr>
        <w:t xml:space="preserve"> </w:t>
      </w:r>
      <w:r>
        <w:rPr>
          <w:sz w:val="18"/>
        </w:rPr>
        <w:t>(Exhibit</w:t>
      </w:r>
      <w:r>
        <w:rPr>
          <w:spacing w:val="-6"/>
          <w:sz w:val="18"/>
        </w:rPr>
        <w:t xml:space="preserve"> </w:t>
      </w:r>
      <w:r>
        <w:rPr>
          <w:sz w:val="18"/>
        </w:rPr>
        <w:t>AUS‐2),</w:t>
      </w:r>
      <w:r>
        <w:rPr>
          <w:spacing w:val="-7"/>
          <w:sz w:val="18"/>
        </w:rPr>
        <w:t xml:space="preserve"> </w:t>
      </w:r>
      <w:r>
        <w:rPr>
          <w:sz w:val="18"/>
        </w:rPr>
        <w:t>p.</w:t>
      </w:r>
      <w:r>
        <w:rPr>
          <w:spacing w:val="-6"/>
          <w:sz w:val="18"/>
        </w:rPr>
        <w:t xml:space="preserve"> </w:t>
      </w:r>
      <w:r>
        <w:rPr>
          <w:sz w:val="18"/>
        </w:rPr>
        <w:t>120;</w:t>
      </w:r>
      <w:r>
        <w:rPr>
          <w:spacing w:val="28"/>
          <w:sz w:val="18"/>
        </w:rPr>
        <w:t xml:space="preserve"> </w:t>
      </w:r>
      <w:r>
        <w:rPr>
          <w:sz w:val="18"/>
        </w:rPr>
        <w:t>CADA</w:t>
      </w:r>
      <w:r>
        <w:rPr>
          <w:spacing w:val="-5"/>
          <w:sz w:val="18"/>
        </w:rPr>
        <w:t xml:space="preserve"> </w:t>
      </w:r>
      <w:r>
        <w:rPr>
          <w:sz w:val="18"/>
        </w:rPr>
        <w:t>Application</w:t>
      </w:r>
      <w:r>
        <w:rPr>
          <w:spacing w:val="-6"/>
          <w:sz w:val="18"/>
        </w:rPr>
        <w:t xml:space="preserve"> </w:t>
      </w:r>
      <w:r>
        <w:rPr>
          <w:sz w:val="18"/>
        </w:rPr>
        <w:t>for</w:t>
      </w:r>
      <w:r>
        <w:rPr>
          <w:spacing w:val="-5"/>
          <w:sz w:val="18"/>
        </w:rPr>
        <w:t xml:space="preserve"> </w:t>
      </w:r>
      <w:r>
        <w:rPr>
          <w:sz w:val="18"/>
        </w:rPr>
        <w:t>Anti‐Dumping</w:t>
      </w:r>
      <w:r>
        <w:rPr>
          <w:spacing w:val="-5"/>
          <w:sz w:val="18"/>
        </w:rPr>
        <w:t xml:space="preserve"> </w:t>
      </w:r>
      <w:r>
        <w:rPr>
          <w:sz w:val="18"/>
        </w:rPr>
        <w:t>Investigation</w:t>
      </w:r>
      <w:r>
        <w:rPr>
          <w:spacing w:val="-6"/>
          <w:sz w:val="18"/>
        </w:rPr>
        <w:t xml:space="preserve"> </w:t>
      </w:r>
      <w:r>
        <w:rPr>
          <w:sz w:val="18"/>
        </w:rPr>
        <w:t>(Exhibit</w:t>
      </w:r>
      <w:r>
        <w:rPr>
          <w:spacing w:val="-6"/>
          <w:sz w:val="18"/>
        </w:rPr>
        <w:t xml:space="preserve"> </w:t>
      </w:r>
      <w:r>
        <w:rPr>
          <w:sz w:val="18"/>
        </w:rPr>
        <w:t>AUS‐ 64), p. 55.</w:t>
      </w:r>
    </w:p>
    <w:p w14:paraId="51DE91DB" w14:textId="77777777" w:rsidR="0010369C" w:rsidRDefault="0010369C">
      <w:pPr>
        <w:rPr>
          <w:sz w:val="18"/>
        </w:rPr>
        <w:sectPr w:rsidR="0010369C">
          <w:pgSz w:w="11910" w:h="16840"/>
          <w:pgMar w:top="880" w:right="800" w:bottom="980" w:left="1180" w:header="569" w:footer="788" w:gutter="0"/>
          <w:cols w:space="720"/>
        </w:sectPr>
      </w:pPr>
    </w:p>
    <w:p w14:paraId="51DE91DC" w14:textId="77777777" w:rsidR="0010369C" w:rsidRDefault="008E43AE">
      <w:pPr>
        <w:tabs>
          <w:tab w:val="left" w:pos="6426"/>
        </w:tabs>
        <w:ind w:left="238"/>
        <w:jc w:val="both"/>
        <w:rPr>
          <w:sz w:val="20"/>
        </w:rPr>
      </w:pPr>
      <w:r>
        <w:rPr>
          <w:i/>
          <w:sz w:val="20"/>
        </w:rPr>
        <w:lastRenderedPageBreak/>
        <w:t>China</w:t>
      </w:r>
      <w:r>
        <w:rPr>
          <w:i/>
          <w:spacing w:val="-5"/>
          <w:sz w:val="20"/>
        </w:rPr>
        <w:t xml:space="preserve"> </w:t>
      </w:r>
      <w:r>
        <w:rPr>
          <w:i/>
          <w:sz w:val="20"/>
        </w:rPr>
        <w:t>–</w:t>
      </w:r>
      <w:r>
        <w:rPr>
          <w:i/>
          <w:spacing w:val="-5"/>
          <w:sz w:val="20"/>
        </w:rPr>
        <w:t xml:space="preserve"> </w:t>
      </w:r>
      <w:r>
        <w:rPr>
          <w:i/>
          <w:sz w:val="20"/>
        </w:rPr>
        <w:t>Anti‐Dumping</w:t>
      </w:r>
      <w:r>
        <w:rPr>
          <w:i/>
          <w:spacing w:val="-4"/>
          <w:sz w:val="20"/>
        </w:rPr>
        <w:t xml:space="preserve"> </w:t>
      </w:r>
      <w:r>
        <w:rPr>
          <w:i/>
          <w:sz w:val="20"/>
        </w:rPr>
        <w:t>and</w:t>
      </w:r>
      <w:r>
        <w:rPr>
          <w:i/>
          <w:spacing w:val="-5"/>
          <w:sz w:val="20"/>
        </w:rPr>
        <w:t xml:space="preserve"> </w:t>
      </w:r>
      <w:r>
        <w:rPr>
          <w:i/>
          <w:sz w:val="20"/>
        </w:rPr>
        <w:t>Countervailing</w:t>
      </w:r>
      <w:r>
        <w:rPr>
          <w:i/>
          <w:spacing w:val="-5"/>
          <w:sz w:val="20"/>
        </w:rPr>
        <w:t xml:space="preserve"> </w:t>
      </w:r>
      <w:r>
        <w:rPr>
          <w:i/>
          <w:sz w:val="20"/>
        </w:rPr>
        <w:t>Duty</w:t>
      </w:r>
      <w:r>
        <w:rPr>
          <w:i/>
          <w:spacing w:val="-4"/>
          <w:sz w:val="20"/>
        </w:rPr>
        <w:t xml:space="preserve"> </w:t>
      </w:r>
      <w:r>
        <w:rPr>
          <w:i/>
          <w:spacing w:val="-2"/>
          <w:sz w:val="20"/>
        </w:rPr>
        <w:t>Measures</w:t>
      </w:r>
      <w:r>
        <w:rPr>
          <w:i/>
          <w:sz w:val="20"/>
        </w:rPr>
        <w:tab/>
      </w:r>
      <w:r>
        <w:rPr>
          <w:sz w:val="20"/>
        </w:rPr>
        <w:t>Australia's</w:t>
      </w:r>
      <w:r>
        <w:rPr>
          <w:spacing w:val="-6"/>
          <w:sz w:val="20"/>
        </w:rPr>
        <w:t xml:space="preserve"> </w:t>
      </w:r>
      <w:r>
        <w:rPr>
          <w:sz w:val="20"/>
        </w:rPr>
        <w:t>First</w:t>
      </w:r>
      <w:r>
        <w:rPr>
          <w:spacing w:val="-2"/>
          <w:sz w:val="20"/>
        </w:rPr>
        <w:t xml:space="preserve"> </w:t>
      </w:r>
      <w:r>
        <w:rPr>
          <w:sz w:val="20"/>
        </w:rPr>
        <w:t>Written</w:t>
      </w:r>
      <w:r>
        <w:rPr>
          <w:spacing w:val="-2"/>
          <w:sz w:val="20"/>
        </w:rPr>
        <w:t xml:space="preserve"> Submission</w:t>
      </w:r>
    </w:p>
    <w:p w14:paraId="51DE91DD" w14:textId="77777777" w:rsidR="0010369C" w:rsidRDefault="008E43AE">
      <w:pPr>
        <w:tabs>
          <w:tab w:val="left" w:pos="8228"/>
        </w:tabs>
        <w:spacing w:before="1"/>
        <w:ind w:left="239"/>
        <w:jc w:val="both"/>
        <w:rPr>
          <w:sz w:val="20"/>
        </w:rPr>
      </w:pPr>
      <w:r>
        <w:rPr>
          <w:i/>
          <w:sz w:val="20"/>
        </w:rPr>
        <w:t>on</w:t>
      </w:r>
      <w:r>
        <w:rPr>
          <w:i/>
          <w:spacing w:val="-1"/>
          <w:sz w:val="20"/>
        </w:rPr>
        <w:t xml:space="preserve"> </w:t>
      </w:r>
      <w:r>
        <w:rPr>
          <w:i/>
          <w:sz w:val="20"/>
        </w:rPr>
        <w:t>Wine</w:t>
      </w:r>
      <w:r>
        <w:rPr>
          <w:i/>
          <w:spacing w:val="-1"/>
          <w:sz w:val="20"/>
        </w:rPr>
        <w:t xml:space="preserve"> </w:t>
      </w:r>
      <w:r>
        <w:rPr>
          <w:i/>
          <w:sz w:val="20"/>
        </w:rPr>
        <w:t>from</w:t>
      </w:r>
      <w:r>
        <w:rPr>
          <w:i/>
          <w:spacing w:val="-3"/>
          <w:sz w:val="20"/>
        </w:rPr>
        <w:t xml:space="preserve"> </w:t>
      </w:r>
      <w:r>
        <w:rPr>
          <w:i/>
          <w:sz w:val="20"/>
        </w:rPr>
        <w:t>Australia</w:t>
      </w:r>
      <w:r>
        <w:rPr>
          <w:i/>
          <w:spacing w:val="-1"/>
          <w:sz w:val="20"/>
        </w:rPr>
        <w:t xml:space="preserve"> </w:t>
      </w:r>
      <w:r>
        <w:rPr>
          <w:spacing w:val="-2"/>
          <w:sz w:val="20"/>
        </w:rPr>
        <w:t>(DS602)</w:t>
      </w:r>
      <w:r>
        <w:rPr>
          <w:sz w:val="20"/>
        </w:rPr>
        <w:tab/>
        <w:t>29</w:t>
      </w:r>
      <w:r>
        <w:rPr>
          <w:spacing w:val="-1"/>
          <w:sz w:val="20"/>
        </w:rPr>
        <w:t xml:space="preserve"> </w:t>
      </w:r>
      <w:r>
        <w:rPr>
          <w:sz w:val="20"/>
        </w:rPr>
        <w:t>April</w:t>
      </w:r>
      <w:r>
        <w:rPr>
          <w:spacing w:val="-2"/>
          <w:sz w:val="20"/>
        </w:rPr>
        <w:t xml:space="preserve"> </w:t>
      </w:r>
      <w:r>
        <w:rPr>
          <w:spacing w:val="-4"/>
          <w:sz w:val="20"/>
        </w:rPr>
        <w:t>2022</w:t>
      </w:r>
    </w:p>
    <w:p w14:paraId="51DE91DE" w14:textId="77777777" w:rsidR="0010369C" w:rsidRDefault="008E43AE">
      <w:pPr>
        <w:pStyle w:val="BodyText"/>
        <w:spacing w:before="34" w:line="360" w:lineRule="auto"/>
        <w:ind w:left="1940" w:right="612"/>
        <w:jc w:val="both"/>
      </w:pPr>
      <w:r>
        <w:t>advantage by virtue of their exis</w:t>
      </w:r>
      <w:r>
        <w:t>ting public praise and brands, as well as consumption habits formed in consumer groups".</w:t>
      </w:r>
      <w:r>
        <w:rPr>
          <w:vertAlign w:val="superscript"/>
        </w:rPr>
        <w:t>805</w:t>
      </w:r>
    </w:p>
    <w:p w14:paraId="51DE91DF" w14:textId="77777777" w:rsidR="0010369C" w:rsidRDefault="008E43AE">
      <w:pPr>
        <w:pStyle w:val="ListParagraph"/>
        <w:numPr>
          <w:ilvl w:val="1"/>
          <w:numId w:val="41"/>
        </w:numPr>
        <w:tabs>
          <w:tab w:val="left" w:pos="1939"/>
          <w:tab w:val="left" w:pos="1940"/>
        </w:tabs>
        <w:spacing w:line="357" w:lineRule="auto"/>
        <w:ind w:right="612"/>
        <w:rPr>
          <w:sz w:val="24"/>
        </w:rPr>
      </w:pPr>
      <w:r>
        <w:rPr>
          <w:sz w:val="24"/>
        </w:rPr>
        <w:t>Evidence which demonstrated that the Chinese domestic wine market was highly</w:t>
      </w:r>
      <w:r>
        <w:rPr>
          <w:spacing w:val="-2"/>
          <w:sz w:val="24"/>
        </w:rPr>
        <w:t xml:space="preserve"> </w:t>
      </w:r>
      <w:r>
        <w:rPr>
          <w:sz w:val="24"/>
        </w:rPr>
        <w:t>segmented</w:t>
      </w:r>
      <w:r>
        <w:rPr>
          <w:spacing w:val="-3"/>
          <w:sz w:val="24"/>
        </w:rPr>
        <w:t xml:space="preserve"> </w:t>
      </w:r>
      <w:r>
        <w:rPr>
          <w:sz w:val="24"/>
        </w:rPr>
        <w:t>on</w:t>
      </w:r>
      <w:r>
        <w:rPr>
          <w:spacing w:val="-3"/>
          <w:sz w:val="24"/>
        </w:rPr>
        <w:t xml:space="preserve"> </w:t>
      </w:r>
      <w:r>
        <w:rPr>
          <w:sz w:val="24"/>
        </w:rPr>
        <w:t>the</w:t>
      </w:r>
      <w:r>
        <w:rPr>
          <w:spacing w:val="-2"/>
          <w:sz w:val="24"/>
        </w:rPr>
        <w:t xml:space="preserve"> </w:t>
      </w:r>
      <w:r>
        <w:rPr>
          <w:sz w:val="24"/>
        </w:rPr>
        <w:t>basis</w:t>
      </w:r>
      <w:r>
        <w:rPr>
          <w:spacing w:val="-3"/>
          <w:sz w:val="24"/>
        </w:rPr>
        <w:t xml:space="preserve"> </w:t>
      </w:r>
      <w:r>
        <w:rPr>
          <w:sz w:val="24"/>
        </w:rPr>
        <w:t>of</w:t>
      </w:r>
      <w:r>
        <w:rPr>
          <w:spacing w:val="-3"/>
          <w:sz w:val="24"/>
        </w:rPr>
        <w:t xml:space="preserve"> </w:t>
      </w:r>
      <w:r>
        <w:rPr>
          <w:sz w:val="24"/>
        </w:rPr>
        <w:t>perceived</w:t>
      </w:r>
      <w:r>
        <w:rPr>
          <w:spacing w:val="-3"/>
          <w:sz w:val="24"/>
        </w:rPr>
        <w:t xml:space="preserve"> </w:t>
      </w:r>
      <w:r>
        <w:rPr>
          <w:sz w:val="24"/>
        </w:rPr>
        <w:t>quality</w:t>
      </w:r>
      <w:r>
        <w:rPr>
          <w:spacing w:val="-2"/>
          <w:sz w:val="24"/>
        </w:rPr>
        <w:t xml:space="preserve"> </w:t>
      </w:r>
      <w:r>
        <w:rPr>
          <w:sz w:val="24"/>
        </w:rPr>
        <w:t>and</w:t>
      </w:r>
      <w:r>
        <w:rPr>
          <w:spacing w:val="-3"/>
          <w:sz w:val="24"/>
        </w:rPr>
        <w:t xml:space="preserve"> </w:t>
      </w:r>
      <w:r>
        <w:rPr>
          <w:sz w:val="24"/>
        </w:rPr>
        <w:t>price</w:t>
      </w:r>
      <w:r>
        <w:rPr>
          <w:spacing w:val="-3"/>
          <w:sz w:val="24"/>
        </w:rPr>
        <w:t xml:space="preserve"> </w:t>
      </w:r>
      <w:r>
        <w:rPr>
          <w:sz w:val="24"/>
        </w:rPr>
        <w:t>and</w:t>
      </w:r>
      <w:r>
        <w:rPr>
          <w:spacing w:val="-3"/>
          <w:sz w:val="24"/>
        </w:rPr>
        <w:t xml:space="preserve"> </w:t>
      </w:r>
      <w:r>
        <w:rPr>
          <w:sz w:val="24"/>
        </w:rPr>
        <w:t>that</w:t>
      </w:r>
      <w:r>
        <w:rPr>
          <w:spacing w:val="-2"/>
          <w:sz w:val="24"/>
        </w:rPr>
        <w:t xml:space="preserve"> </w:t>
      </w:r>
      <w:r>
        <w:rPr>
          <w:sz w:val="24"/>
        </w:rPr>
        <w:t>there was limited overlap in the quality and price categories between subject imports and domestic like products.</w:t>
      </w:r>
      <w:r>
        <w:rPr>
          <w:sz w:val="24"/>
          <w:vertAlign w:val="superscript"/>
        </w:rPr>
        <w:t>806</w:t>
      </w:r>
    </w:p>
    <w:p w14:paraId="51DE91E0" w14:textId="77777777" w:rsidR="0010369C" w:rsidRDefault="008E43AE">
      <w:pPr>
        <w:pStyle w:val="ListParagraph"/>
        <w:numPr>
          <w:ilvl w:val="1"/>
          <w:numId w:val="41"/>
        </w:numPr>
        <w:tabs>
          <w:tab w:val="left" w:pos="1939"/>
          <w:tab w:val="left" w:pos="1940"/>
        </w:tabs>
        <w:spacing w:before="132" w:line="360" w:lineRule="auto"/>
        <w:ind w:left="1939" w:right="612"/>
        <w:rPr>
          <w:sz w:val="24"/>
        </w:rPr>
      </w:pPr>
      <w:r>
        <w:rPr>
          <w:sz w:val="24"/>
        </w:rPr>
        <w:t>Evidence establishing the differences in wine products created by grape variety, region and terroir, vintage cultivation and wine making te</w:t>
      </w:r>
      <w:r>
        <w:rPr>
          <w:sz w:val="24"/>
        </w:rPr>
        <w:t>chniques.</w:t>
      </w:r>
      <w:r>
        <w:rPr>
          <w:sz w:val="24"/>
          <w:vertAlign w:val="superscript"/>
        </w:rPr>
        <w:t>807</w:t>
      </w:r>
      <w:r>
        <w:rPr>
          <w:sz w:val="24"/>
        </w:rPr>
        <w:t xml:space="preserve"> CADA explained that "[d]ue to the influence of the climate, soil and planting technology, the quality of grapes produced in different regions varies, which further affects the quality of the wines …".</w:t>
      </w:r>
      <w:r>
        <w:rPr>
          <w:sz w:val="24"/>
          <w:vertAlign w:val="superscript"/>
        </w:rPr>
        <w:t>808</w:t>
      </w:r>
      <w:r>
        <w:rPr>
          <w:sz w:val="24"/>
        </w:rPr>
        <w:t xml:space="preserve"> Differences</w:t>
      </w:r>
      <w:r>
        <w:rPr>
          <w:spacing w:val="-10"/>
          <w:sz w:val="24"/>
        </w:rPr>
        <w:t xml:space="preserve"> </w:t>
      </w:r>
      <w:r>
        <w:rPr>
          <w:sz w:val="24"/>
        </w:rPr>
        <w:t>of</w:t>
      </w:r>
      <w:r>
        <w:rPr>
          <w:spacing w:val="-9"/>
          <w:sz w:val="24"/>
        </w:rPr>
        <w:t xml:space="preserve"> </w:t>
      </w:r>
      <w:r>
        <w:rPr>
          <w:sz w:val="24"/>
        </w:rPr>
        <w:t>this</w:t>
      </w:r>
      <w:r>
        <w:rPr>
          <w:spacing w:val="-9"/>
          <w:sz w:val="24"/>
        </w:rPr>
        <w:t xml:space="preserve"> </w:t>
      </w:r>
      <w:r>
        <w:rPr>
          <w:sz w:val="24"/>
        </w:rPr>
        <w:t>nature</w:t>
      </w:r>
      <w:r>
        <w:rPr>
          <w:spacing w:val="-7"/>
          <w:sz w:val="24"/>
        </w:rPr>
        <w:t xml:space="preserve"> </w:t>
      </w:r>
      <w:r>
        <w:rPr>
          <w:sz w:val="24"/>
        </w:rPr>
        <w:t>impact</w:t>
      </w:r>
      <w:r>
        <w:rPr>
          <w:spacing w:val="-8"/>
          <w:sz w:val="24"/>
        </w:rPr>
        <w:t xml:space="preserve"> </w:t>
      </w:r>
      <w:r>
        <w:rPr>
          <w:sz w:val="24"/>
        </w:rPr>
        <w:t>custo</w:t>
      </w:r>
      <w:r>
        <w:rPr>
          <w:sz w:val="24"/>
        </w:rPr>
        <w:t>mer</w:t>
      </w:r>
      <w:r>
        <w:rPr>
          <w:spacing w:val="-8"/>
          <w:sz w:val="24"/>
        </w:rPr>
        <w:t xml:space="preserve"> </w:t>
      </w:r>
      <w:r>
        <w:rPr>
          <w:sz w:val="24"/>
        </w:rPr>
        <w:t>preferences</w:t>
      </w:r>
      <w:r>
        <w:rPr>
          <w:spacing w:val="-9"/>
          <w:sz w:val="24"/>
        </w:rPr>
        <w:t xml:space="preserve"> </w:t>
      </w:r>
      <w:r>
        <w:rPr>
          <w:sz w:val="24"/>
        </w:rPr>
        <w:t>and</w:t>
      </w:r>
      <w:r>
        <w:rPr>
          <w:spacing w:val="-10"/>
          <w:sz w:val="24"/>
        </w:rPr>
        <w:t xml:space="preserve"> </w:t>
      </w:r>
      <w:r>
        <w:rPr>
          <w:sz w:val="24"/>
        </w:rPr>
        <w:t>perceived</w:t>
      </w:r>
      <w:r>
        <w:rPr>
          <w:spacing w:val="-8"/>
          <w:sz w:val="24"/>
        </w:rPr>
        <w:t xml:space="preserve"> </w:t>
      </w:r>
      <w:r>
        <w:rPr>
          <w:sz w:val="24"/>
        </w:rPr>
        <w:t>value of a given wine product.</w:t>
      </w:r>
    </w:p>
    <w:p w14:paraId="51DE91E1" w14:textId="77777777" w:rsidR="0010369C" w:rsidRDefault="008E43AE">
      <w:pPr>
        <w:pStyle w:val="ListParagraph"/>
        <w:numPr>
          <w:ilvl w:val="1"/>
          <w:numId w:val="41"/>
        </w:numPr>
        <w:tabs>
          <w:tab w:val="left" w:pos="1939"/>
          <w:tab w:val="left" w:pos="1940"/>
        </w:tabs>
        <w:spacing w:before="119" w:line="360" w:lineRule="auto"/>
        <w:ind w:left="1939" w:right="611"/>
        <w:rPr>
          <w:sz w:val="24"/>
        </w:rPr>
      </w:pPr>
      <w:r>
        <w:rPr>
          <w:sz w:val="24"/>
        </w:rPr>
        <w:t>Evidence of a Global Brand Tracking survey conducted by Wine Intelligence that showed that Chinese consumers ranked Chinese wine 6</w:t>
      </w:r>
      <w:r>
        <w:rPr>
          <w:sz w:val="24"/>
          <w:vertAlign w:val="superscript"/>
        </w:rPr>
        <w:t>th</w:t>
      </w:r>
      <w:r>
        <w:rPr>
          <w:sz w:val="24"/>
        </w:rPr>
        <w:t xml:space="preserve"> in terms of quality, when compared to wines from other nations. Australian wine ranked 3</w:t>
      </w:r>
      <w:r>
        <w:rPr>
          <w:sz w:val="24"/>
          <w:vertAlign w:val="superscript"/>
        </w:rPr>
        <w:t>rd</w:t>
      </w:r>
      <w:r>
        <w:rPr>
          <w:sz w:val="24"/>
        </w:rPr>
        <w:t>, behind French and Italian wine.</w:t>
      </w:r>
      <w:r>
        <w:rPr>
          <w:sz w:val="24"/>
        </w:rPr>
        <w:t xml:space="preserve"> Notably, only 35% of Chinese respondents</w:t>
      </w:r>
      <w:r>
        <w:rPr>
          <w:spacing w:val="-10"/>
          <w:sz w:val="24"/>
        </w:rPr>
        <w:t xml:space="preserve"> </w:t>
      </w:r>
      <w:r>
        <w:rPr>
          <w:sz w:val="24"/>
        </w:rPr>
        <w:t>to</w:t>
      </w:r>
      <w:r>
        <w:rPr>
          <w:spacing w:val="-8"/>
          <w:sz w:val="24"/>
        </w:rPr>
        <w:t xml:space="preserve"> </w:t>
      </w:r>
      <w:r>
        <w:rPr>
          <w:sz w:val="24"/>
        </w:rPr>
        <w:t>the</w:t>
      </w:r>
      <w:r>
        <w:rPr>
          <w:spacing w:val="-8"/>
          <w:sz w:val="24"/>
        </w:rPr>
        <w:t xml:space="preserve"> </w:t>
      </w:r>
      <w:r>
        <w:rPr>
          <w:sz w:val="24"/>
        </w:rPr>
        <w:t>survey</w:t>
      </w:r>
      <w:r>
        <w:rPr>
          <w:spacing w:val="-7"/>
          <w:sz w:val="24"/>
        </w:rPr>
        <w:t xml:space="preserve"> </w:t>
      </w:r>
      <w:r>
        <w:rPr>
          <w:sz w:val="24"/>
        </w:rPr>
        <w:t>ranked</w:t>
      </w:r>
      <w:r>
        <w:rPr>
          <w:spacing w:val="-10"/>
          <w:sz w:val="24"/>
        </w:rPr>
        <w:t xml:space="preserve"> </w:t>
      </w:r>
      <w:r>
        <w:rPr>
          <w:sz w:val="24"/>
        </w:rPr>
        <w:t>Chinese</w:t>
      </w:r>
      <w:r>
        <w:rPr>
          <w:spacing w:val="-8"/>
          <w:sz w:val="24"/>
        </w:rPr>
        <w:t xml:space="preserve"> </w:t>
      </w:r>
      <w:r>
        <w:rPr>
          <w:sz w:val="24"/>
        </w:rPr>
        <w:t>wine</w:t>
      </w:r>
      <w:r>
        <w:rPr>
          <w:spacing w:val="-8"/>
          <w:sz w:val="24"/>
        </w:rPr>
        <w:t xml:space="preserve"> </w:t>
      </w:r>
      <w:r>
        <w:rPr>
          <w:sz w:val="24"/>
        </w:rPr>
        <w:t>in</w:t>
      </w:r>
      <w:r>
        <w:rPr>
          <w:spacing w:val="-10"/>
          <w:sz w:val="24"/>
        </w:rPr>
        <w:t xml:space="preserve"> </w:t>
      </w:r>
      <w:r>
        <w:rPr>
          <w:sz w:val="24"/>
        </w:rPr>
        <w:t>the</w:t>
      </w:r>
      <w:r>
        <w:rPr>
          <w:spacing w:val="-8"/>
          <w:sz w:val="24"/>
        </w:rPr>
        <w:t xml:space="preserve"> </w:t>
      </w:r>
      <w:r>
        <w:rPr>
          <w:sz w:val="24"/>
        </w:rPr>
        <w:t>top</w:t>
      </w:r>
      <w:r>
        <w:rPr>
          <w:spacing w:val="-9"/>
          <w:sz w:val="24"/>
        </w:rPr>
        <w:t xml:space="preserve"> </w:t>
      </w:r>
      <w:r>
        <w:rPr>
          <w:sz w:val="24"/>
        </w:rPr>
        <w:t>quality</w:t>
      </w:r>
      <w:r>
        <w:rPr>
          <w:spacing w:val="-7"/>
          <w:sz w:val="24"/>
        </w:rPr>
        <w:t xml:space="preserve"> </w:t>
      </w:r>
      <w:r>
        <w:rPr>
          <w:sz w:val="24"/>
        </w:rPr>
        <w:t>categories (9</w:t>
      </w:r>
      <w:r>
        <w:rPr>
          <w:spacing w:val="-1"/>
          <w:sz w:val="24"/>
        </w:rPr>
        <w:t xml:space="preserve"> </w:t>
      </w:r>
      <w:r>
        <w:rPr>
          <w:sz w:val="24"/>
        </w:rPr>
        <w:t>and 10). In contrast,</w:t>
      </w:r>
      <w:r>
        <w:rPr>
          <w:spacing w:val="-1"/>
          <w:sz w:val="24"/>
        </w:rPr>
        <w:t xml:space="preserve"> </w:t>
      </w:r>
      <w:r>
        <w:rPr>
          <w:sz w:val="24"/>
        </w:rPr>
        <w:t>52% of Chinese respondents ranked</w:t>
      </w:r>
      <w:r>
        <w:rPr>
          <w:spacing w:val="-2"/>
          <w:sz w:val="24"/>
        </w:rPr>
        <w:t xml:space="preserve"> </w:t>
      </w:r>
      <w:r>
        <w:rPr>
          <w:sz w:val="24"/>
        </w:rPr>
        <w:t>Australian</w:t>
      </w:r>
      <w:r>
        <w:rPr>
          <w:spacing w:val="-1"/>
          <w:sz w:val="24"/>
        </w:rPr>
        <w:t xml:space="preserve"> </w:t>
      </w:r>
      <w:r>
        <w:rPr>
          <w:sz w:val="24"/>
        </w:rPr>
        <w:t>wine in the top quality categories.</w:t>
      </w:r>
      <w:r>
        <w:rPr>
          <w:sz w:val="24"/>
          <w:vertAlign w:val="superscript"/>
        </w:rPr>
        <w:t>809</w:t>
      </w:r>
    </w:p>
    <w:p w14:paraId="51DE91E2" w14:textId="77777777" w:rsidR="0010369C" w:rsidRDefault="008E43AE">
      <w:pPr>
        <w:pStyle w:val="ListParagraph"/>
        <w:numPr>
          <w:ilvl w:val="1"/>
          <w:numId w:val="41"/>
        </w:numPr>
        <w:tabs>
          <w:tab w:val="left" w:pos="1939"/>
          <w:tab w:val="left" w:pos="1940"/>
        </w:tabs>
        <w:spacing w:line="357" w:lineRule="auto"/>
        <w:ind w:left="1939" w:right="613"/>
        <w:rPr>
          <w:sz w:val="24"/>
        </w:rPr>
      </w:pPr>
      <w:r>
        <w:rPr>
          <w:sz w:val="24"/>
        </w:rPr>
        <w:t>Evidence</w:t>
      </w:r>
      <w:r>
        <w:rPr>
          <w:spacing w:val="-14"/>
          <w:sz w:val="24"/>
        </w:rPr>
        <w:t xml:space="preserve"> </w:t>
      </w:r>
      <w:r>
        <w:rPr>
          <w:sz w:val="24"/>
        </w:rPr>
        <w:t>from</w:t>
      </w:r>
      <w:r>
        <w:rPr>
          <w:spacing w:val="-14"/>
          <w:sz w:val="24"/>
        </w:rPr>
        <w:t xml:space="preserve"> </w:t>
      </w:r>
      <w:r>
        <w:rPr>
          <w:sz w:val="24"/>
        </w:rPr>
        <w:t>Treasury</w:t>
      </w:r>
      <w:r>
        <w:rPr>
          <w:spacing w:val="-13"/>
          <w:sz w:val="24"/>
        </w:rPr>
        <w:t xml:space="preserve"> </w:t>
      </w:r>
      <w:r>
        <w:rPr>
          <w:sz w:val="24"/>
        </w:rPr>
        <w:t>Wines</w:t>
      </w:r>
      <w:r>
        <w:rPr>
          <w:spacing w:val="-14"/>
          <w:sz w:val="24"/>
        </w:rPr>
        <w:t xml:space="preserve"> </w:t>
      </w:r>
      <w:r>
        <w:rPr>
          <w:sz w:val="24"/>
        </w:rPr>
        <w:t>which</w:t>
      </w:r>
      <w:r>
        <w:rPr>
          <w:spacing w:val="-13"/>
          <w:sz w:val="24"/>
        </w:rPr>
        <w:t xml:space="preserve"> </w:t>
      </w:r>
      <w:r>
        <w:rPr>
          <w:sz w:val="24"/>
        </w:rPr>
        <w:t>demonstrated</w:t>
      </w:r>
      <w:r>
        <w:rPr>
          <w:spacing w:val="-14"/>
          <w:sz w:val="24"/>
        </w:rPr>
        <w:t xml:space="preserve"> </w:t>
      </w:r>
      <w:r>
        <w:rPr>
          <w:sz w:val="24"/>
        </w:rPr>
        <w:t>that</w:t>
      </w:r>
      <w:r>
        <w:rPr>
          <w:spacing w:val="-13"/>
          <w:sz w:val="24"/>
        </w:rPr>
        <w:t xml:space="preserve"> </w:t>
      </w:r>
      <w:r>
        <w:rPr>
          <w:sz w:val="24"/>
        </w:rPr>
        <w:t>their</w:t>
      </w:r>
      <w:r>
        <w:rPr>
          <w:spacing w:val="-14"/>
          <w:sz w:val="24"/>
        </w:rPr>
        <w:t xml:space="preserve"> </w:t>
      </w:r>
      <w:r>
        <w:rPr>
          <w:sz w:val="24"/>
        </w:rPr>
        <w:t>products</w:t>
      </w:r>
      <w:r>
        <w:rPr>
          <w:spacing w:val="-14"/>
          <w:sz w:val="24"/>
        </w:rPr>
        <w:t xml:space="preserve"> </w:t>
      </w:r>
      <w:r>
        <w:rPr>
          <w:sz w:val="24"/>
        </w:rPr>
        <w:t>were preferred by customers for "high‐end commercial consumption sites, such as hotels and upscale restaurants", whereas domestic like products were preferred for "public consumption occasions at affordable prices".</w:t>
      </w:r>
      <w:r>
        <w:rPr>
          <w:sz w:val="24"/>
          <w:vertAlign w:val="superscript"/>
        </w:rPr>
        <w:t>810</w:t>
      </w:r>
    </w:p>
    <w:p w14:paraId="51DE91E3" w14:textId="77777777" w:rsidR="0010369C" w:rsidRDefault="0010369C">
      <w:pPr>
        <w:pStyle w:val="BodyText"/>
        <w:rPr>
          <w:sz w:val="20"/>
        </w:rPr>
      </w:pPr>
    </w:p>
    <w:p w14:paraId="51DE91E4" w14:textId="77777777" w:rsidR="0010369C" w:rsidRDefault="008E43AE">
      <w:pPr>
        <w:pStyle w:val="BodyText"/>
        <w:spacing w:before="3"/>
        <w:rPr>
          <w:sz w:val="28"/>
        </w:rPr>
      </w:pPr>
      <w:r>
        <w:pict w14:anchorId="51DEA58A">
          <v:rect id="docshape1144" o:spid="_x0000_s1252" style="position:absolute;margin-left:70.9pt;margin-top:18.45pt;width:2in;height:.8pt;z-index:-250790400;mso-wrap-distance-left:0;mso-wrap-distance-right:0;mso-position-horizontal-relative:page" fillcolor="black" stroked="f">
            <w10:wrap type="topAndBottom" anchorx="page"/>
          </v:rect>
        </w:pict>
      </w:r>
    </w:p>
    <w:p w14:paraId="51DE91E5" w14:textId="77777777" w:rsidR="0010369C" w:rsidRDefault="008E43AE">
      <w:pPr>
        <w:spacing w:before="109"/>
        <w:ind w:left="238"/>
        <w:jc w:val="both"/>
        <w:rPr>
          <w:sz w:val="18"/>
        </w:rPr>
      </w:pPr>
      <w:r>
        <w:rPr>
          <w:sz w:val="18"/>
          <w:vertAlign w:val="superscript"/>
        </w:rPr>
        <w:t>8</w:t>
      </w:r>
      <w:r>
        <w:rPr>
          <w:sz w:val="18"/>
          <w:vertAlign w:val="superscript"/>
        </w:rPr>
        <w:t>05</w:t>
      </w:r>
      <w:r>
        <w:rPr>
          <w:spacing w:val="-5"/>
          <w:sz w:val="18"/>
        </w:rPr>
        <w:t xml:space="preserve"> </w:t>
      </w:r>
      <w:r>
        <w:rPr>
          <w:sz w:val="18"/>
        </w:rPr>
        <w:t>CADA</w:t>
      </w:r>
      <w:r>
        <w:rPr>
          <w:spacing w:val="-4"/>
          <w:sz w:val="18"/>
        </w:rPr>
        <w:t xml:space="preserve"> </w:t>
      </w:r>
      <w:r>
        <w:rPr>
          <w:sz w:val="18"/>
        </w:rPr>
        <w:t>Application</w:t>
      </w:r>
      <w:r>
        <w:rPr>
          <w:spacing w:val="-4"/>
          <w:sz w:val="18"/>
        </w:rPr>
        <w:t xml:space="preserve"> </w:t>
      </w:r>
      <w:r>
        <w:rPr>
          <w:sz w:val="18"/>
        </w:rPr>
        <w:t>for</w:t>
      </w:r>
      <w:r>
        <w:rPr>
          <w:spacing w:val="-5"/>
          <w:sz w:val="18"/>
        </w:rPr>
        <w:t xml:space="preserve"> </w:t>
      </w:r>
      <w:r>
        <w:rPr>
          <w:sz w:val="18"/>
        </w:rPr>
        <w:t>Anti‐Dumping</w:t>
      </w:r>
      <w:r>
        <w:rPr>
          <w:spacing w:val="-4"/>
          <w:sz w:val="18"/>
        </w:rPr>
        <w:t xml:space="preserve"> </w:t>
      </w:r>
      <w:r>
        <w:rPr>
          <w:sz w:val="18"/>
        </w:rPr>
        <w:t>Investigation</w:t>
      </w:r>
      <w:r>
        <w:rPr>
          <w:spacing w:val="-4"/>
          <w:sz w:val="18"/>
        </w:rPr>
        <w:t xml:space="preserve"> </w:t>
      </w:r>
      <w:r>
        <w:rPr>
          <w:sz w:val="18"/>
        </w:rPr>
        <w:t>(Exhibit</w:t>
      </w:r>
      <w:r>
        <w:rPr>
          <w:spacing w:val="-5"/>
          <w:sz w:val="18"/>
        </w:rPr>
        <w:t xml:space="preserve"> </w:t>
      </w:r>
      <w:r>
        <w:rPr>
          <w:sz w:val="18"/>
        </w:rPr>
        <w:t>AUS‐64),</w:t>
      </w:r>
      <w:r>
        <w:rPr>
          <w:spacing w:val="-4"/>
          <w:sz w:val="18"/>
        </w:rPr>
        <w:t xml:space="preserve"> </w:t>
      </w:r>
      <w:r>
        <w:rPr>
          <w:sz w:val="18"/>
        </w:rPr>
        <w:t>p.</w:t>
      </w:r>
      <w:r>
        <w:rPr>
          <w:spacing w:val="-4"/>
          <w:sz w:val="18"/>
        </w:rPr>
        <w:t xml:space="preserve"> </w:t>
      </w:r>
      <w:r>
        <w:rPr>
          <w:spacing w:val="-5"/>
          <w:sz w:val="18"/>
        </w:rPr>
        <w:t>55.</w:t>
      </w:r>
    </w:p>
    <w:p w14:paraId="51DE91E6" w14:textId="77777777" w:rsidR="0010369C" w:rsidRDefault="008E43AE">
      <w:pPr>
        <w:ind w:left="238"/>
        <w:jc w:val="both"/>
        <w:rPr>
          <w:sz w:val="18"/>
        </w:rPr>
      </w:pPr>
      <w:r>
        <w:rPr>
          <w:sz w:val="18"/>
          <w:vertAlign w:val="superscript"/>
        </w:rPr>
        <w:t>806</w:t>
      </w:r>
      <w:r>
        <w:rPr>
          <w:spacing w:val="-2"/>
          <w:sz w:val="18"/>
        </w:rPr>
        <w:t xml:space="preserve"> </w:t>
      </w:r>
      <w:r>
        <w:rPr>
          <w:sz w:val="18"/>
        </w:rPr>
        <w:t>See</w:t>
      </w:r>
      <w:r>
        <w:rPr>
          <w:spacing w:val="-1"/>
          <w:sz w:val="18"/>
        </w:rPr>
        <w:t xml:space="preserve"> </w:t>
      </w:r>
      <w:r>
        <w:rPr>
          <w:sz w:val="18"/>
        </w:rPr>
        <w:t>section</w:t>
      </w:r>
      <w:r>
        <w:rPr>
          <w:spacing w:val="-1"/>
          <w:sz w:val="18"/>
        </w:rPr>
        <w:t xml:space="preserve"> </w:t>
      </w:r>
      <w:r>
        <w:rPr>
          <w:sz w:val="18"/>
        </w:rPr>
        <w:t>IV.C.3(b)</w:t>
      </w:r>
      <w:r>
        <w:rPr>
          <w:spacing w:val="-2"/>
          <w:sz w:val="18"/>
        </w:rPr>
        <w:t xml:space="preserve"> above.</w:t>
      </w:r>
    </w:p>
    <w:p w14:paraId="51DE91E7" w14:textId="77777777" w:rsidR="0010369C" w:rsidRDefault="008E43AE">
      <w:pPr>
        <w:ind w:left="237" w:right="612"/>
        <w:jc w:val="both"/>
        <w:rPr>
          <w:sz w:val="18"/>
        </w:rPr>
      </w:pPr>
      <w:r>
        <w:rPr>
          <w:sz w:val="18"/>
          <w:vertAlign w:val="superscript"/>
        </w:rPr>
        <w:t>807</w:t>
      </w:r>
      <w:r>
        <w:rPr>
          <w:sz w:val="18"/>
        </w:rPr>
        <w:t xml:space="preserve"> Treasury Wines Anti‐Dumping Questionnaire Response (Exhibit AUS‐73), Section 2, Questions 4, 5, 6, pp. 16‐21; Casella Wines Anti‐Dumping Questionnaire Response (Exhibit AUS‐72), Section 2, Questions 4, 5, 6, pp. 12‐21; Treasury Wines Sampling Questionnair</w:t>
      </w:r>
      <w:r>
        <w:rPr>
          <w:sz w:val="18"/>
        </w:rPr>
        <w:t>e Response (Exhibit AUS‐74),</w:t>
      </w:r>
      <w:r>
        <w:rPr>
          <w:spacing w:val="-1"/>
          <w:sz w:val="18"/>
        </w:rPr>
        <w:t xml:space="preserve"> </w:t>
      </w:r>
      <w:r>
        <w:rPr>
          <w:sz w:val="18"/>
        </w:rPr>
        <w:t>Section 2,</w:t>
      </w:r>
      <w:r>
        <w:rPr>
          <w:spacing w:val="-1"/>
          <w:sz w:val="18"/>
        </w:rPr>
        <w:t xml:space="preserve"> </w:t>
      </w:r>
      <w:r>
        <w:rPr>
          <w:sz w:val="18"/>
        </w:rPr>
        <w:t>Question 3,</w:t>
      </w:r>
      <w:r>
        <w:rPr>
          <w:spacing w:val="-1"/>
          <w:sz w:val="18"/>
        </w:rPr>
        <w:t xml:space="preserve"> </w:t>
      </w:r>
      <w:r>
        <w:rPr>
          <w:sz w:val="18"/>
        </w:rPr>
        <w:t>pp. 14‐20; Casella Wines Sampling Questionnaire Response (Exhibit AUS‐75), Section 2, Question 3, pp. 16 – 28; AGW Submission on Initiation of the Investigation (Exhibit AUS‐71), pp. 3‐4.</w:t>
      </w:r>
    </w:p>
    <w:p w14:paraId="51DE91E8" w14:textId="77777777" w:rsidR="0010369C" w:rsidRDefault="008E43AE">
      <w:pPr>
        <w:ind w:left="238"/>
        <w:jc w:val="both"/>
        <w:rPr>
          <w:sz w:val="18"/>
        </w:rPr>
      </w:pPr>
      <w:r>
        <w:rPr>
          <w:sz w:val="18"/>
          <w:vertAlign w:val="superscript"/>
        </w:rPr>
        <w:t>808</w:t>
      </w:r>
      <w:r>
        <w:rPr>
          <w:spacing w:val="-6"/>
          <w:sz w:val="18"/>
        </w:rPr>
        <w:t xml:space="preserve"> </w:t>
      </w:r>
      <w:r>
        <w:rPr>
          <w:sz w:val="18"/>
        </w:rPr>
        <w:t>CADA</w:t>
      </w:r>
      <w:r>
        <w:rPr>
          <w:spacing w:val="-3"/>
          <w:sz w:val="18"/>
        </w:rPr>
        <w:t xml:space="preserve"> </w:t>
      </w:r>
      <w:r>
        <w:rPr>
          <w:sz w:val="18"/>
        </w:rPr>
        <w:t>Applica</w:t>
      </w:r>
      <w:r>
        <w:rPr>
          <w:sz w:val="18"/>
        </w:rPr>
        <w:t>tion</w:t>
      </w:r>
      <w:r>
        <w:rPr>
          <w:spacing w:val="-3"/>
          <w:sz w:val="18"/>
        </w:rPr>
        <w:t xml:space="preserve"> </w:t>
      </w:r>
      <w:r>
        <w:rPr>
          <w:sz w:val="18"/>
        </w:rPr>
        <w:t>for</w:t>
      </w:r>
      <w:r>
        <w:rPr>
          <w:spacing w:val="-4"/>
          <w:sz w:val="18"/>
        </w:rPr>
        <w:t xml:space="preserve"> </w:t>
      </w:r>
      <w:r>
        <w:rPr>
          <w:sz w:val="18"/>
        </w:rPr>
        <w:t>Anti‐Dumping</w:t>
      </w:r>
      <w:r>
        <w:rPr>
          <w:spacing w:val="-3"/>
          <w:sz w:val="18"/>
        </w:rPr>
        <w:t xml:space="preserve"> </w:t>
      </w:r>
      <w:r>
        <w:rPr>
          <w:sz w:val="18"/>
        </w:rPr>
        <w:t>Investigation</w:t>
      </w:r>
      <w:r>
        <w:rPr>
          <w:spacing w:val="-3"/>
          <w:sz w:val="18"/>
        </w:rPr>
        <w:t xml:space="preserve"> </w:t>
      </w:r>
      <w:r>
        <w:rPr>
          <w:sz w:val="18"/>
        </w:rPr>
        <w:t>(Exhibit</w:t>
      </w:r>
      <w:r>
        <w:rPr>
          <w:spacing w:val="-4"/>
          <w:sz w:val="18"/>
        </w:rPr>
        <w:t xml:space="preserve"> </w:t>
      </w:r>
      <w:r>
        <w:rPr>
          <w:sz w:val="18"/>
        </w:rPr>
        <w:t>AUS‐64),</w:t>
      </w:r>
      <w:r>
        <w:rPr>
          <w:spacing w:val="-3"/>
          <w:sz w:val="18"/>
        </w:rPr>
        <w:t xml:space="preserve"> </w:t>
      </w:r>
      <w:r>
        <w:rPr>
          <w:sz w:val="18"/>
        </w:rPr>
        <w:t>p.</w:t>
      </w:r>
      <w:r>
        <w:rPr>
          <w:spacing w:val="-3"/>
          <w:sz w:val="18"/>
        </w:rPr>
        <w:t xml:space="preserve"> </w:t>
      </w:r>
      <w:r>
        <w:rPr>
          <w:sz w:val="18"/>
        </w:rPr>
        <w:t>18.</w:t>
      </w:r>
      <w:r>
        <w:rPr>
          <w:spacing w:val="-4"/>
          <w:sz w:val="18"/>
        </w:rPr>
        <w:t xml:space="preserve"> </w:t>
      </w:r>
      <w:r>
        <w:rPr>
          <w:sz w:val="18"/>
        </w:rPr>
        <w:t>See</w:t>
      </w:r>
      <w:r>
        <w:rPr>
          <w:spacing w:val="-3"/>
          <w:sz w:val="18"/>
        </w:rPr>
        <w:t xml:space="preserve"> </w:t>
      </w:r>
      <w:r>
        <w:rPr>
          <w:sz w:val="18"/>
        </w:rPr>
        <w:t>also</w:t>
      </w:r>
      <w:r>
        <w:rPr>
          <w:spacing w:val="-3"/>
          <w:sz w:val="18"/>
        </w:rPr>
        <w:t xml:space="preserve"> </w:t>
      </w:r>
      <w:r>
        <w:rPr>
          <w:sz w:val="18"/>
        </w:rPr>
        <w:t>ibid,</w:t>
      </w:r>
      <w:r>
        <w:rPr>
          <w:spacing w:val="-4"/>
          <w:sz w:val="18"/>
        </w:rPr>
        <w:t xml:space="preserve"> </w:t>
      </w:r>
      <w:r>
        <w:rPr>
          <w:sz w:val="18"/>
        </w:rPr>
        <w:t>pp.</w:t>
      </w:r>
      <w:r>
        <w:rPr>
          <w:spacing w:val="-3"/>
          <w:sz w:val="18"/>
        </w:rPr>
        <w:t xml:space="preserve"> </w:t>
      </w:r>
      <w:r>
        <w:rPr>
          <w:sz w:val="18"/>
        </w:rPr>
        <w:t>10,</w:t>
      </w:r>
      <w:r>
        <w:rPr>
          <w:spacing w:val="-3"/>
          <w:sz w:val="18"/>
        </w:rPr>
        <w:t xml:space="preserve"> </w:t>
      </w:r>
      <w:r>
        <w:rPr>
          <w:spacing w:val="-5"/>
          <w:sz w:val="18"/>
        </w:rPr>
        <w:t>17.</w:t>
      </w:r>
    </w:p>
    <w:p w14:paraId="51DE91E9" w14:textId="77777777" w:rsidR="0010369C" w:rsidRDefault="008E43AE">
      <w:pPr>
        <w:ind w:left="238"/>
        <w:jc w:val="both"/>
        <w:rPr>
          <w:sz w:val="18"/>
        </w:rPr>
      </w:pPr>
      <w:r>
        <w:rPr>
          <w:sz w:val="18"/>
          <w:vertAlign w:val="superscript"/>
        </w:rPr>
        <w:t>809</w:t>
      </w:r>
      <w:r>
        <w:rPr>
          <w:spacing w:val="-4"/>
          <w:sz w:val="18"/>
        </w:rPr>
        <w:t xml:space="preserve"> </w:t>
      </w:r>
      <w:r>
        <w:rPr>
          <w:sz w:val="18"/>
        </w:rPr>
        <w:t>AGW</w:t>
      </w:r>
      <w:r>
        <w:rPr>
          <w:spacing w:val="-5"/>
          <w:sz w:val="18"/>
        </w:rPr>
        <w:t xml:space="preserve"> </w:t>
      </w:r>
      <w:r>
        <w:rPr>
          <w:sz w:val="18"/>
        </w:rPr>
        <w:t>Submission</w:t>
      </w:r>
      <w:r>
        <w:rPr>
          <w:spacing w:val="-3"/>
          <w:sz w:val="18"/>
        </w:rPr>
        <w:t xml:space="preserve"> </w:t>
      </w:r>
      <w:r>
        <w:rPr>
          <w:sz w:val="18"/>
        </w:rPr>
        <w:t>on</w:t>
      </w:r>
      <w:r>
        <w:rPr>
          <w:spacing w:val="-4"/>
          <w:sz w:val="18"/>
        </w:rPr>
        <w:t xml:space="preserve"> </w:t>
      </w:r>
      <w:r>
        <w:rPr>
          <w:sz w:val="18"/>
        </w:rPr>
        <w:t>initiation</w:t>
      </w:r>
      <w:r>
        <w:rPr>
          <w:spacing w:val="-2"/>
          <w:sz w:val="18"/>
        </w:rPr>
        <w:t xml:space="preserve"> </w:t>
      </w:r>
      <w:r>
        <w:rPr>
          <w:sz w:val="18"/>
        </w:rPr>
        <w:t>of</w:t>
      </w:r>
      <w:r>
        <w:rPr>
          <w:spacing w:val="-3"/>
          <w:sz w:val="18"/>
        </w:rPr>
        <w:t xml:space="preserve"> </w:t>
      </w:r>
      <w:r>
        <w:rPr>
          <w:sz w:val="18"/>
        </w:rPr>
        <w:t>Investigation</w:t>
      </w:r>
      <w:r>
        <w:rPr>
          <w:spacing w:val="-4"/>
          <w:sz w:val="18"/>
        </w:rPr>
        <w:t xml:space="preserve"> </w:t>
      </w:r>
      <w:r>
        <w:rPr>
          <w:sz w:val="18"/>
        </w:rPr>
        <w:t>(Exhibit</w:t>
      </w:r>
      <w:r>
        <w:rPr>
          <w:spacing w:val="-4"/>
          <w:sz w:val="18"/>
        </w:rPr>
        <w:t xml:space="preserve"> </w:t>
      </w:r>
      <w:r>
        <w:rPr>
          <w:sz w:val="18"/>
        </w:rPr>
        <w:t>AUS‐71)</w:t>
      </w:r>
      <w:r>
        <w:rPr>
          <w:spacing w:val="-4"/>
          <w:sz w:val="18"/>
        </w:rPr>
        <w:t xml:space="preserve"> </w:t>
      </w:r>
      <w:r>
        <w:rPr>
          <w:sz w:val="18"/>
        </w:rPr>
        <w:t>pp.</w:t>
      </w:r>
      <w:r>
        <w:rPr>
          <w:spacing w:val="-3"/>
          <w:sz w:val="18"/>
        </w:rPr>
        <w:t xml:space="preserve"> </w:t>
      </w:r>
      <w:r>
        <w:rPr>
          <w:spacing w:val="-2"/>
          <w:sz w:val="18"/>
        </w:rPr>
        <w:t>9‐10.</w:t>
      </w:r>
    </w:p>
    <w:p w14:paraId="51DE91EA" w14:textId="77777777" w:rsidR="0010369C" w:rsidRDefault="008E43AE">
      <w:pPr>
        <w:ind w:left="238"/>
        <w:jc w:val="both"/>
        <w:rPr>
          <w:sz w:val="18"/>
        </w:rPr>
      </w:pPr>
      <w:r>
        <w:rPr>
          <w:sz w:val="18"/>
          <w:vertAlign w:val="superscript"/>
        </w:rPr>
        <w:t>810</w:t>
      </w:r>
      <w:r>
        <w:rPr>
          <w:spacing w:val="-5"/>
          <w:sz w:val="18"/>
        </w:rPr>
        <w:t xml:space="preserve"> </w:t>
      </w:r>
      <w:r>
        <w:rPr>
          <w:sz w:val="18"/>
        </w:rPr>
        <w:t>Treasury</w:t>
      </w:r>
      <w:r>
        <w:rPr>
          <w:spacing w:val="-2"/>
          <w:sz w:val="18"/>
        </w:rPr>
        <w:t xml:space="preserve"> </w:t>
      </w:r>
      <w:r>
        <w:rPr>
          <w:sz w:val="18"/>
        </w:rPr>
        <w:t>Wines</w:t>
      </w:r>
      <w:r>
        <w:rPr>
          <w:spacing w:val="-5"/>
          <w:sz w:val="18"/>
        </w:rPr>
        <w:t xml:space="preserve"> </w:t>
      </w:r>
      <w:r>
        <w:rPr>
          <w:sz w:val="18"/>
        </w:rPr>
        <w:t>Anti‐Dumping</w:t>
      </w:r>
      <w:r>
        <w:rPr>
          <w:spacing w:val="-2"/>
          <w:sz w:val="18"/>
        </w:rPr>
        <w:t xml:space="preserve"> </w:t>
      </w:r>
      <w:r>
        <w:rPr>
          <w:sz w:val="18"/>
        </w:rPr>
        <w:t>Questionnaire</w:t>
      </w:r>
      <w:r>
        <w:rPr>
          <w:spacing w:val="-3"/>
          <w:sz w:val="18"/>
        </w:rPr>
        <w:t xml:space="preserve"> </w:t>
      </w:r>
      <w:r>
        <w:rPr>
          <w:sz w:val="18"/>
        </w:rPr>
        <w:t>Response</w:t>
      </w:r>
      <w:r>
        <w:rPr>
          <w:spacing w:val="-4"/>
          <w:sz w:val="18"/>
        </w:rPr>
        <w:t xml:space="preserve"> </w:t>
      </w:r>
      <w:r>
        <w:rPr>
          <w:sz w:val="18"/>
        </w:rPr>
        <w:t>(Exhibit</w:t>
      </w:r>
      <w:r>
        <w:rPr>
          <w:spacing w:val="-2"/>
          <w:sz w:val="18"/>
        </w:rPr>
        <w:t xml:space="preserve"> </w:t>
      </w:r>
      <w:r>
        <w:rPr>
          <w:sz w:val="18"/>
        </w:rPr>
        <w:t>AUS‐73),</w:t>
      </w:r>
      <w:r>
        <w:rPr>
          <w:spacing w:val="-4"/>
          <w:sz w:val="18"/>
        </w:rPr>
        <w:t xml:space="preserve"> </w:t>
      </w:r>
      <w:r>
        <w:rPr>
          <w:sz w:val="18"/>
        </w:rPr>
        <w:t>Section</w:t>
      </w:r>
      <w:r>
        <w:rPr>
          <w:spacing w:val="-3"/>
          <w:sz w:val="18"/>
        </w:rPr>
        <w:t xml:space="preserve"> </w:t>
      </w:r>
      <w:r>
        <w:rPr>
          <w:sz w:val="18"/>
        </w:rPr>
        <w:t>2,</w:t>
      </w:r>
      <w:r>
        <w:rPr>
          <w:spacing w:val="-3"/>
          <w:sz w:val="18"/>
        </w:rPr>
        <w:t xml:space="preserve"> </w:t>
      </w:r>
      <w:r>
        <w:rPr>
          <w:sz w:val="18"/>
        </w:rPr>
        <w:t>Questions</w:t>
      </w:r>
      <w:r>
        <w:rPr>
          <w:spacing w:val="-3"/>
          <w:sz w:val="18"/>
        </w:rPr>
        <w:t xml:space="preserve"> </w:t>
      </w:r>
      <w:r>
        <w:rPr>
          <w:sz w:val="18"/>
        </w:rPr>
        <w:t>4(5),</w:t>
      </w:r>
      <w:r>
        <w:rPr>
          <w:spacing w:val="-4"/>
          <w:sz w:val="18"/>
        </w:rPr>
        <w:t xml:space="preserve"> </w:t>
      </w:r>
      <w:r>
        <w:rPr>
          <w:sz w:val="18"/>
        </w:rPr>
        <w:t>p.</w:t>
      </w:r>
      <w:r>
        <w:rPr>
          <w:spacing w:val="-2"/>
          <w:sz w:val="18"/>
        </w:rPr>
        <w:t xml:space="preserve"> </w:t>
      </w:r>
      <w:r>
        <w:rPr>
          <w:spacing w:val="-5"/>
          <w:sz w:val="18"/>
        </w:rPr>
        <w:t>17.</w:t>
      </w:r>
    </w:p>
    <w:p w14:paraId="51DE91EB" w14:textId="77777777" w:rsidR="0010369C" w:rsidRDefault="0010369C">
      <w:pPr>
        <w:jc w:val="both"/>
        <w:rPr>
          <w:sz w:val="18"/>
        </w:rPr>
        <w:sectPr w:rsidR="0010369C">
          <w:pgSz w:w="11910" w:h="16840"/>
          <w:pgMar w:top="880" w:right="800" w:bottom="980" w:left="1180" w:header="569" w:footer="788" w:gutter="0"/>
          <w:cols w:space="720"/>
        </w:sectPr>
      </w:pPr>
    </w:p>
    <w:p w14:paraId="51DE91EC" w14:textId="77777777" w:rsidR="0010369C" w:rsidRDefault="008E43AE">
      <w:pPr>
        <w:tabs>
          <w:tab w:val="left" w:pos="6426"/>
        </w:tabs>
        <w:ind w:left="238"/>
        <w:rPr>
          <w:sz w:val="20"/>
        </w:rPr>
      </w:pPr>
      <w:r>
        <w:rPr>
          <w:i/>
          <w:sz w:val="20"/>
        </w:rPr>
        <w:lastRenderedPageBreak/>
        <w:t>China</w:t>
      </w:r>
      <w:r>
        <w:rPr>
          <w:i/>
          <w:spacing w:val="-5"/>
          <w:sz w:val="20"/>
        </w:rPr>
        <w:t xml:space="preserve"> </w:t>
      </w:r>
      <w:r>
        <w:rPr>
          <w:i/>
          <w:sz w:val="20"/>
        </w:rPr>
        <w:t>–</w:t>
      </w:r>
      <w:r>
        <w:rPr>
          <w:i/>
          <w:spacing w:val="-5"/>
          <w:sz w:val="20"/>
        </w:rPr>
        <w:t xml:space="preserve"> </w:t>
      </w:r>
      <w:r>
        <w:rPr>
          <w:i/>
          <w:sz w:val="20"/>
        </w:rPr>
        <w:t>Anti‐Dumping</w:t>
      </w:r>
      <w:r>
        <w:rPr>
          <w:i/>
          <w:spacing w:val="-4"/>
          <w:sz w:val="20"/>
        </w:rPr>
        <w:t xml:space="preserve"> </w:t>
      </w:r>
      <w:r>
        <w:rPr>
          <w:i/>
          <w:sz w:val="20"/>
        </w:rPr>
        <w:t>and</w:t>
      </w:r>
      <w:r>
        <w:rPr>
          <w:i/>
          <w:spacing w:val="-5"/>
          <w:sz w:val="20"/>
        </w:rPr>
        <w:t xml:space="preserve"> </w:t>
      </w:r>
      <w:r>
        <w:rPr>
          <w:i/>
          <w:sz w:val="20"/>
        </w:rPr>
        <w:t>Countervailing</w:t>
      </w:r>
      <w:r>
        <w:rPr>
          <w:i/>
          <w:spacing w:val="-5"/>
          <w:sz w:val="20"/>
        </w:rPr>
        <w:t xml:space="preserve"> </w:t>
      </w:r>
      <w:r>
        <w:rPr>
          <w:i/>
          <w:sz w:val="20"/>
        </w:rPr>
        <w:t>Duty</w:t>
      </w:r>
      <w:r>
        <w:rPr>
          <w:i/>
          <w:spacing w:val="-4"/>
          <w:sz w:val="20"/>
        </w:rPr>
        <w:t xml:space="preserve"> </w:t>
      </w:r>
      <w:r>
        <w:rPr>
          <w:i/>
          <w:spacing w:val="-2"/>
          <w:sz w:val="20"/>
        </w:rPr>
        <w:t>Measures</w:t>
      </w:r>
      <w:r>
        <w:rPr>
          <w:i/>
          <w:sz w:val="20"/>
        </w:rPr>
        <w:tab/>
      </w:r>
      <w:r>
        <w:rPr>
          <w:sz w:val="20"/>
        </w:rPr>
        <w:t>Australia's</w:t>
      </w:r>
      <w:r>
        <w:rPr>
          <w:spacing w:val="-7"/>
          <w:sz w:val="20"/>
        </w:rPr>
        <w:t xml:space="preserve"> </w:t>
      </w:r>
      <w:r>
        <w:rPr>
          <w:sz w:val="20"/>
        </w:rPr>
        <w:t>First</w:t>
      </w:r>
      <w:r>
        <w:rPr>
          <w:spacing w:val="-2"/>
          <w:sz w:val="20"/>
        </w:rPr>
        <w:t xml:space="preserve"> </w:t>
      </w:r>
      <w:r>
        <w:rPr>
          <w:sz w:val="20"/>
        </w:rPr>
        <w:t>Written</w:t>
      </w:r>
      <w:r>
        <w:rPr>
          <w:spacing w:val="-2"/>
          <w:sz w:val="20"/>
        </w:rPr>
        <w:t xml:space="preserve"> Submission</w:t>
      </w:r>
    </w:p>
    <w:p w14:paraId="51DE91ED" w14:textId="77777777" w:rsidR="0010369C" w:rsidRDefault="008E43AE">
      <w:pPr>
        <w:tabs>
          <w:tab w:val="left" w:pos="8228"/>
        </w:tabs>
        <w:spacing w:before="1"/>
        <w:ind w:left="239"/>
        <w:rPr>
          <w:sz w:val="20"/>
        </w:rPr>
      </w:pPr>
      <w:r>
        <w:rPr>
          <w:i/>
          <w:sz w:val="20"/>
        </w:rPr>
        <w:t>on</w:t>
      </w:r>
      <w:r>
        <w:rPr>
          <w:i/>
          <w:spacing w:val="-1"/>
          <w:sz w:val="20"/>
        </w:rPr>
        <w:t xml:space="preserve"> </w:t>
      </w:r>
      <w:r>
        <w:rPr>
          <w:i/>
          <w:sz w:val="20"/>
        </w:rPr>
        <w:t>Wine</w:t>
      </w:r>
      <w:r>
        <w:rPr>
          <w:i/>
          <w:spacing w:val="-1"/>
          <w:sz w:val="20"/>
        </w:rPr>
        <w:t xml:space="preserve"> </w:t>
      </w:r>
      <w:r>
        <w:rPr>
          <w:i/>
          <w:sz w:val="20"/>
        </w:rPr>
        <w:t>from</w:t>
      </w:r>
      <w:r>
        <w:rPr>
          <w:i/>
          <w:spacing w:val="-3"/>
          <w:sz w:val="20"/>
        </w:rPr>
        <w:t xml:space="preserve"> </w:t>
      </w:r>
      <w:r>
        <w:rPr>
          <w:i/>
          <w:sz w:val="20"/>
        </w:rPr>
        <w:t>Australia</w:t>
      </w:r>
      <w:r>
        <w:rPr>
          <w:i/>
          <w:spacing w:val="-1"/>
          <w:sz w:val="20"/>
        </w:rPr>
        <w:t xml:space="preserve"> </w:t>
      </w:r>
      <w:r>
        <w:rPr>
          <w:spacing w:val="-2"/>
          <w:sz w:val="20"/>
        </w:rPr>
        <w:t>(DS602)</w:t>
      </w:r>
      <w:r>
        <w:rPr>
          <w:sz w:val="20"/>
        </w:rPr>
        <w:tab/>
        <w:t>29</w:t>
      </w:r>
      <w:r>
        <w:rPr>
          <w:spacing w:val="-1"/>
          <w:sz w:val="20"/>
        </w:rPr>
        <w:t xml:space="preserve"> </w:t>
      </w:r>
      <w:r>
        <w:rPr>
          <w:sz w:val="20"/>
        </w:rPr>
        <w:t>April</w:t>
      </w:r>
      <w:r>
        <w:rPr>
          <w:spacing w:val="-2"/>
          <w:sz w:val="20"/>
        </w:rPr>
        <w:t xml:space="preserve"> </w:t>
      </w:r>
      <w:r>
        <w:rPr>
          <w:spacing w:val="-4"/>
          <w:sz w:val="20"/>
        </w:rPr>
        <w:t>2022</w:t>
      </w:r>
    </w:p>
    <w:p w14:paraId="51DE91EE" w14:textId="77777777" w:rsidR="0010369C" w:rsidRDefault="008E43AE">
      <w:pPr>
        <w:pStyle w:val="ListParagraph"/>
        <w:numPr>
          <w:ilvl w:val="1"/>
          <w:numId w:val="41"/>
        </w:numPr>
        <w:tabs>
          <w:tab w:val="left" w:pos="1940"/>
          <w:tab w:val="left" w:pos="1941"/>
        </w:tabs>
        <w:spacing w:before="35" w:line="357" w:lineRule="auto"/>
        <w:ind w:left="1939" w:right="613"/>
        <w:rPr>
          <w:sz w:val="24"/>
        </w:rPr>
      </w:pPr>
      <w:r>
        <w:rPr>
          <w:sz w:val="24"/>
        </w:rPr>
        <w:t>MOFCOM's consumption and sales volume data, which demonstrated that despite</w:t>
      </w:r>
      <w:r>
        <w:rPr>
          <w:spacing w:val="-1"/>
          <w:sz w:val="24"/>
        </w:rPr>
        <w:t xml:space="preserve"> </w:t>
      </w:r>
      <w:r>
        <w:rPr>
          <w:sz w:val="24"/>
        </w:rPr>
        <w:t>consuming</w:t>
      </w:r>
      <w:r>
        <w:rPr>
          <w:spacing w:val="-2"/>
          <w:sz w:val="24"/>
        </w:rPr>
        <w:t xml:space="preserve"> </w:t>
      </w:r>
      <w:r>
        <w:rPr>
          <w:sz w:val="24"/>
        </w:rPr>
        <w:t>more</w:t>
      </w:r>
      <w:r>
        <w:rPr>
          <w:spacing w:val="-3"/>
          <w:sz w:val="24"/>
        </w:rPr>
        <w:t xml:space="preserve"> </w:t>
      </w:r>
      <w:r>
        <w:rPr>
          <w:sz w:val="24"/>
        </w:rPr>
        <w:t>wine</w:t>
      </w:r>
      <w:r>
        <w:rPr>
          <w:spacing w:val="-2"/>
          <w:sz w:val="24"/>
        </w:rPr>
        <w:t xml:space="preserve"> </w:t>
      </w:r>
      <w:r>
        <w:rPr>
          <w:sz w:val="24"/>
        </w:rPr>
        <w:t>between</w:t>
      </w:r>
      <w:r>
        <w:rPr>
          <w:spacing w:val="-2"/>
          <w:sz w:val="24"/>
        </w:rPr>
        <w:t xml:space="preserve"> </w:t>
      </w:r>
      <w:r>
        <w:rPr>
          <w:sz w:val="24"/>
        </w:rPr>
        <w:t>2015</w:t>
      </w:r>
      <w:r>
        <w:rPr>
          <w:spacing w:val="-3"/>
          <w:sz w:val="24"/>
        </w:rPr>
        <w:t xml:space="preserve"> </w:t>
      </w:r>
      <w:r>
        <w:rPr>
          <w:sz w:val="24"/>
        </w:rPr>
        <w:t>and</w:t>
      </w:r>
      <w:r>
        <w:rPr>
          <w:spacing w:val="-1"/>
          <w:sz w:val="24"/>
        </w:rPr>
        <w:t xml:space="preserve"> </w:t>
      </w:r>
      <w:r>
        <w:rPr>
          <w:sz w:val="24"/>
        </w:rPr>
        <w:t>2017,</w:t>
      </w:r>
      <w:r>
        <w:rPr>
          <w:spacing w:val="-2"/>
          <w:sz w:val="24"/>
        </w:rPr>
        <w:t xml:space="preserve"> </w:t>
      </w:r>
      <w:r>
        <w:rPr>
          <w:sz w:val="24"/>
        </w:rPr>
        <w:t>Chinese</w:t>
      </w:r>
      <w:r>
        <w:rPr>
          <w:spacing w:val="-2"/>
          <w:sz w:val="24"/>
        </w:rPr>
        <w:t xml:space="preserve"> </w:t>
      </w:r>
      <w:r>
        <w:rPr>
          <w:sz w:val="24"/>
        </w:rPr>
        <w:t>consumers chose not to purchase more domestic like product.</w:t>
      </w:r>
      <w:r>
        <w:rPr>
          <w:sz w:val="24"/>
          <w:vertAlign w:val="superscript"/>
        </w:rPr>
        <w:t>811</w:t>
      </w:r>
    </w:p>
    <w:p w14:paraId="51DE91EF" w14:textId="77777777" w:rsidR="0010369C" w:rsidRDefault="008E43AE">
      <w:pPr>
        <w:pStyle w:val="BodyText"/>
        <w:spacing w:before="127" w:line="360" w:lineRule="auto"/>
        <w:ind w:left="237" w:right="613" w:firstLine="851"/>
        <w:jc w:val="both"/>
      </w:pPr>
      <w:r>
        <w:rPr>
          <w:noProof/>
        </w:rPr>
        <w:drawing>
          <wp:anchor distT="0" distB="0" distL="0" distR="0" simplePos="0" relativeHeight="251294208" behindDoc="1" locked="0" layoutInCell="1" allowOverlap="1" wp14:anchorId="51DEA58B" wp14:editId="51DEA58C">
            <wp:simplePos x="0" y="0"/>
            <wp:positionH relativeFrom="page">
              <wp:posOffset>905255</wp:posOffset>
            </wp:positionH>
            <wp:positionV relativeFrom="paragraph">
              <wp:posOffset>124410</wp:posOffset>
            </wp:positionV>
            <wp:extent cx="259079" cy="106679"/>
            <wp:effectExtent l="0" t="0" r="0" b="0"/>
            <wp:wrapNone/>
            <wp:docPr id="1339" name="image6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 name="image693.png"/>
                    <pic:cNvPicPr/>
                  </pic:nvPicPr>
                  <pic:blipFill>
                    <a:blip r:embed="rId899" cstate="print"/>
                    <a:stretch>
                      <a:fillRect/>
                    </a:stretch>
                  </pic:blipFill>
                  <pic:spPr>
                    <a:xfrm>
                      <a:off x="0" y="0"/>
                      <a:ext cx="259079" cy="106679"/>
                    </a:xfrm>
                    <a:prstGeom prst="rect">
                      <a:avLst/>
                    </a:prstGeom>
                  </pic:spPr>
                </pic:pic>
              </a:graphicData>
            </a:graphic>
          </wp:anchor>
        </w:drawing>
      </w:r>
      <w:r>
        <w:t>MOFCOM was required to examine this evidence in assessing the existence and the extent of substitutability between different types of wine products (e.g. low, medium, and high‐end</w:t>
      </w:r>
      <w:r>
        <w:rPr>
          <w:spacing w:val="-8"/>
        </w:rPr>
        <w:t xml:space="preserve"> </w:t>
      </w:r>
      <w:r>
        <w:t>wine</w:t>
      </w:r>
      <w:r>
        <w:rPr>
          <w:spacing w:val="-7"/>
        </w:rPr>
        <w:t xml:space="preserve"> </w:t>
      </w:r>
      <w:r>
        <w:t>products)</w:t>
      </w:r>
      <w:r>
        <w:rPr>
          <w:spacing w:val="-6"/>
        </w:rPr>
        <w:t xml:space="preserve"> </w:t>
      </w:r>
      <w:r>
        <w:t>in</w:t>
      </w:r>
      <w:r>
        <w:rPr>
          <w:spacing w:val="-8"/>
        </w:rPr>
        <w:t xml:space="preserve"> </w:t>
      </w:r>
      <w:r>
        <w:t>China's</w:t>
      </w:r>
      <w:r>
        <w:rPr>
          <w:spacing w:val="-8"/>
        </w:rPr>
        <w:t xml:space="preserve"> </w:t>
      </w:r>
      <w:r>
        <w:t>domestic</w:t>
      </w:r>
      <w:r>
        <w:rPr>
          <w:spacing w:val="-6"/>
        </w:rPr>
        <w:t xml:space="preserve"> </w:t>
      </w:r>
      <w:r>
        <w:t>market</w:t>
      </w:r>
      <w:r>
        <w:rPr>
          <w:spacing w:val="-8"/>
        </w:rPr>
        <w:t xml:space="preserve"> </w:t>
      </w:r>
      <w:r>
        <w:t>in</w:t>
      </w:r>
      <w:r>
        <w:rPr>
          <w:spacing w:val="-8"/>
        </w:rPr>
        <w:t xml:space="preserve"> </w:t>
      </w:r>
      <w:r>
        <w:t>order</w:t>
      </w:r>
      <w:r>
        <w:rPr>
          <w:spacing w:val="-8"/>
        </w:rPr>
        <w:t xml:space="preserve"> </w:t>
      </w:r>
      <w:r>
        <w:t>to</w:t>
      </w:r>
      <w:r>
        <w:rPr>
          <w:spacing w:val="-7"/>
        </w:rPr>
        <w:t xml:space="preserve"> </w:t>
      </w:r>
      <w:r>
        <w:t>establish</w:t>
      </w:r>
      <w:r>
        <w:rPr>
          <w:spacing w:val="-8"/>
        </w:rPr>
        <w:t xml:space="preserve"> </w:t>
      </w:r>
      <w:r>
        <w:t>whether</w:t>
      </w:r>
      <w:r>
        <w:rPr>
          <w:spacing w:val="-7"/>
        </w:rPr>
        <w:t xml:space="preserve"> </w:t>
      </w:r>
      <w:r>
        <w:t>this</w:t>
      </w:r>
      <w:r>
        <w:rPr>
          <w:spacing w:val="-7"/>
        </w:rPr>
        <w:t xml:space="preserve"> </w:t>
      </w:r>
      <w:r>
        <w:t>alleged "substitutability" demonstrated price correlation between each product type. Its failure to undertake such an assessment means that it failed to adequately demonstrate that different types of Australian imports were mutually substitutable with dif</w:t>
      </w:r>
      <w:r>
        <w:t>ferent types of domestic like products.</w:t>
      </w:r>
      <w:r>
        <w:rPr>
          <w:spacing w:val="-2"/>
        </w:rPr>
        <w:t xml:space="preserve"> </w:t>
      </w:r>
      <w:r>
        <w:t>As</w:t>
      </w:r>
      <w:r>
        <w:rPr>
          <w:spacing w:val="-3"/>
        </w:rPr>
        <w:t xml:space="preserve"> </w:t>
      </w:r>
      <w:r>
        <w:t>a</w:t>
      </w:r>
      <w:r>
        <w:rPr>
          <w:spacing w:val="-2"/>
        </w:rPr>
        <w:t xml:space="preserve"> </w:t>
      </w:r>
      <w:r>
        <w:t>consequence,</w:t>
      </w:r>
      <w:r>
        <w:rPr>
          <w:spacing w:val="-3"/>
        </w:rPr>
        <w:t xml:space="preserve"> </w:t>
      </w:r>
      <w:r>
        <w:t>MOFCOM's</w:t>
      </w:r>
      <w:r>
        <w:rPr>
          <w:spacing w:val="-3"/>
        </w:rPr>
        <w:t xml:space="preserve"> </w:t>
      </w:r>
      <w:r>
        <w:t>causation</w:t>
      </w:r>
      <w:r>
        <w:rPr>
          <w:spacing w:val="-3"/>
        </w:rPr>
        <w:t xml:space="preserve"> </w:t>
      </w:r>
      <w:r>
        <w:t>analysis</w:t>
      </w:r>
      <w:r>
        <w:rPr>
          <w:spacing w:val="-3"/>
        </w:rPr>
        <w:t xml:space="preserve"> </w:t>
      </w:r>
      <w:r>
        <w:t>was</w:t>
      </w:r>
      <w:r>
        <w:rPr>
          <w:spacing w:val="-3"/>
        </w:rPr>
        <w:t xml:space="preserve"> </w:t>
      </w:r>
      <w:r>
        <w:t>inconsistent</w:t>
      </w:r>
      <w:r>
        <w:rPr>
          <w:spacing w:val="-1"/>
        </w:rPr>
        <w:t xml:space="preserve"> </w:t>
      </w:r>
      <w:r>
        <w:t>with</w:t>
      </w:r>
      <w:r>
        <w:rPr>
          <w:spacing w:val="-3"/>
        </w:rPr>
        <w:t xml:space="preserve"> </w:t>
      </w:r>
      <w:r>
        <w:t>Articles</w:t>
      </w:r>
      <w:r>
        <w:rPr>
          <w:spacing w:val="-3"/>
        </w:rPr>
        <w:t xml:space="preserve"> </w:t>
      </w:r>
      <w:r>
        <w:t>3.1 and 3.5.</w:t>
      </w:r>
    </w:p>
    <w:p w14:paraId="51DE91F0" w14:textId="77777777" w:rsidR="0010369C" w:rsidRDefault="008E43AE">
      <w:pPr>
        <w:pStyle w:val="Heading4"/>
        <w:numPr>
          <w:ilvl w:val="0"/>
          <w:numId w:val="43"/>
        </w:numPr>
        <w:tabs>
          <w:tab w:val="left" w:pos="2648"/>
          <w:tab w:val="left" w:pos="2649"/>
        </w:tabs>
        <w:spacing w:before="160" w:line="360" w:lineRule="auto"/>
        <w:ind w:right="614" w:hanging="852"/>
        <w:jc w:val="both"/>
      </w:pPr>
      <w:r>
        <w:t>MOFCOM's comparison of the "market share" of subject imports and domestic like products was flawed</w:t>
      </w:r>
    </w:p>
    <w:p w14:paraId="51DE91F1" w14:textId="77777777" w:rsidR="0010369C" w:rsidRDefault="0010369C">
      <w:pPr>
        <w:pStyle w:val="BodyText"/>
        <w:spacing w:before="11"/>
        <w:rPr>
          <w:b/>
          <w:sz w:val="8"/>
        </w:rPr>
      </w:pPr>
    </w:p>
    <w:p w14:paraId="51DE91F2" w14:textId="77777777" w:rsidR="0010369C" w:rsidRDefault="008E43AE">
      <w:pPr>
        <w:pStyle w:val="BodyText"/>
        <w:spacing w:before="52" w:line="360" w:lineRule="auto"/>
        <w:ind w:left="236" w:right="614" w:firstLine="852"/>
        <w:jc w:val="both"/>
      </w:pPr>
      <w:r>
        <w:rPr>
          <w:noProof/>
        </w:rPr>
        <w:drawing>
          <wp:anchor distT="0" distB="0" distL="0" distR="0" simplePos="0" relativeHeight="251295232" behindDoc="1" locked="0" layoutInCell="1" allowOverlap="1" wp14:anchorId="51DEA58D" wp14:editId="51DEA58E">
            <wp:simplePos x="0" y="0"/>
            <wp:positionH relativeFrom="page">
              <wp:posOffset>905255</wp:posOffset>
            </wp:positionH>
            <wp:positionV relativeFrom="paragraph">
              <wp:posOffset>81949</wp:posOffset>
            </wp:positionV>
            <wp:extent cx="259079" cy="100753"/>
            <wp:effectExtent l="0" t="0" r="0" b="0"/>
            <wp:wrapNone/>
            <wp:docPr id="1341" name="image6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 name="image694.png"/>
                    <pic:cNvPicPr/>
                  </pic:nvPicPr>
                  <pic:blipFill>
                    <a:blip r:embed="rId900" cstate="print"/>
                    <a:stretch>
                      <a:fillRect/>
                    </a:stretch>
                  </pic:blipFill>
                  <pic:spPr>
                    <a:xfrm>
                      <a:off x="0" y="0"/>
                      <a:ext cx="259079" cy="100753"/>
                    </a:xfrm>
                    <a:prstGeom prst="rect">
                      <a:avLst/>
                    </a:prstGeom>
                  </pic:spPr>
                </pic:pic>
              </a:graphicData>
            </a:graphic>
          </wp:anchor>
        </w:drawing>
      </w:r>
      <w:r>
        <w:t>Throughout the Final Dete</w:t>
      </w:r>
      <w:r>
        <w:t>rmination, MOFCOM considered Australian import volumes and domestic like product sales volumes relative to apparent consumption volumes.</w:t>
      </w:r>
      <w:r>
        <w:rPr>
          <w:vertAlign w:val="superscript"/>
        </w:rPr>
        <w:t>812</w:t>
      </w:r>
      <w:r>
        <w:t xml:space="preserve"> In each case, MOFCOM expressed the volume as a percentage of apparent domestic consumption and termed the percentage</w:t>
      </w:r>
      <w:r>
        <w:t xml:space="preserve"> "market share". During its causation analysis, MOFCOM conducted a direct comparison between the so‐called "market share" of subject imports and that of sales of domestic like products, and determined that:</w:t>
      </w:r>
    </w:p>
    <w:p w14:paraId="51DE91F3" w14:textId="77777777" w:rsidR="0010369C" w:rsidRDefault="008E43AE">
      <w:pPr>
        <w:spacing w:before="160" w:line="276" w:lineRule="auto"/>
        <w:ind w:left="1088" w:right="614"/>
        <w:jc w:val="both"/>
      </w:pPr>
      <w:r>
        <w:t>During the injury investigation period, the market share of domestic like products experienced a cumulative decrease of 7.01%. In contrast, the market share of the dumped imported product experienced a cumulative increase of 8.90%, which was inversely rela</w:t>
      </w:r>
      <w:r>
        <w:t>ted to the decreased market share of domestic like products. In other words, the market share of domestic like products was obviously squeezed by the dumped imported product.</w:t>
      </w:r>
      <w:r>
        <w:rPr>
          <w:vertAlign w:val="superscript"/>
        </w:rPr>
        <w:t>813</w:t>
      </w:r>
    </w:p>
    <w:p w14:paraId="51DE91F4" w14:textId="77777777" w:rsidR="0010369C" w:rsidRDefault="0010369C">
      <w:pPr>
        <w:pStyle w:val="BodyText"/>
        <w:spacing w:before="5"/>
        <w:rPr>
          <w:sz w:val="15"/>
        </w:rPr>
      </w:pPr>
    </w:p>
    <w:p w14:paraId="51DE91F5" w14:textId="77777777" w:rsidR="0010369C" w:rsidRDefault="008E43AE">
      <w:pPr>
        <w:pStyle w:val="BodyText"/>
        <w:spacing w:before="51" w:line="360" w:lineRule="auto"/>
        <w:ind w:left="237" w:right="614" w:firstLine="852"/>
        <w:jc w:val="both"/>
      </w:pPr>
      <w:r>
        <w:rPr>
          <w:noProof/>
        </w:rPr>
        <w:drawing>
          <wp:anchor distT="0" distB="0" distL="0" distR="0" simplePos="0" relativeHeight="251296256" behindDoc="1" locked="0" layoutInCell="1" allowOverlap="1" wp14:anchorId="51DEA58F" wp14:editId="51DEA590">
            <wp:simplePos x="0" y="0"/>
            <wp:positionH relativeFrom="page">
              <wp:posOffset>905255</wp:posOffset>
            </wp:positionH>
            <wp:positionV relativeFrom="paragraph">
              <wp:posOffset>80722</wp:posOffset>
            </wp:positionV>
            <wp:extent cx="259079" cy="103631"/>
            <wp:effectExtent l="0" t="0" r="0" b="0"/>
            <wp:wrapNone/>
            <wp:docPr id="1343" name="image6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 name="image695.png"/>
                    <pic:cNvPicPr/>
                  </pic:nvPicPr>
                  <pic:blipFill>
                    <a:blip r:embed="rId901" cstate="print"/>
                    <a:stretch>
                      <a:fillRect/>
                    </a:stretch>
                  </pic:blipFill>
                  <pic:spPr>
                    <a:xfrm>
                      <a:off x="0" y="0"/>
                      <a:ext cx="259079" cy="103631"/>
                    </a:xfrm>
                    <a:prstGeom prst="rect">
                      <a:avLst/>
                    </a:prstGeom>
                  </pic:spPr>
                </pic:pic>
              </a:graphicData>
            </a:graphic>
          </wp:anchor>
        </w:drawing>
      </w:r>
      <w:r>
        <w:t>The problem with this comparison is that MOFCOM adopted inconsistent methodo</w:t>
      </w:r>
      <w:r>
        <w:t>logies</w:t>
      </w:r>
      <w:r>
        <w:rPr>
          <w:spacing w:val="-3"/>
        </w:rPr>
        <w:t xml:space="preserve"> </w:t>
      </w:r>
      <w:r>
        <w:t>for</w:t>
      </w:r>
      <w:r>
        <w:rPr>
          <w:spacing w:val="-2"/>
        </w:rPr>
        <w:t xml:space="preserve"> </w:t>
      </w:r>
      <w:r>
        <w:t>calculating</w:t>
      </w:r>
      <w:r>
        <w:rPr>
          <w:spacing w:val="-3"/>
        </w:rPr>
        <w:t xml:space="preserve"> </w:t>
      </w:r>
      <w:r>
        <w:t>the</w:t>
      </w:r>
      <w:r>
        <w:rPr>
          <w:spacing w:val="-2"/>
        </w:rPr>
        <w:t xml:space="preserve"> </w:t>
      </w:r>
      <w:r>
        <w:t>so‐called</w:t>
      </w:r>
      <w:r>
        <w:rPr>
          <w:spacing w:val="-3"/>
        </w:rPr>
        <w:t xml:space="preserve"> </w:t>
      </w:r>
      <w:r>
        <w:t>"market</w:t>
      </w:r>
      <w:r>
        <w:rPr>
          <w:spacing w:val="-3"/>
        </w:rPr>
        <w:t xml:space="preserve"> </w:t>
      </w:r>
      <w:r>
        <w:t>share"</w:t>
      </w:r>
      <w:r>
        <w:rPr>
          <w:spacing w:val="-3"/>
        </w:rPr>
        <w:t xml:space="preserve"> </w:t>
      </w:r>
      <w:r>
        <w:t>percentages</w:t>
      </w:r>
      <w:r>
        <w:rPr>
          <w:spacing w:val="-2"/>
        </w:rPr>
        <w:t xml:space="preserve"> </w:t>
      </w:r>
      <w:r>
        <w:t>of</w:t>
      </w:r>
      <w:r>
        <w:rPr>
          <w:spacing w:val="-3"/>
        </w:rPr>
        <w:t xml:space="preserve"> </w:t>
      </w:r>
      <w:r>
        <w:t>subject</w:t>
      </w:r>
      <w:r>
        <w:rPr>
          <w:spacing w:val="-3"/>
        </w:rPr>
        <w:t xml:space="preserve"> </w:t>
      </w:r>
      <w:r>
        <w:t>imports</w:t>
      </w:r>
      <w:r>
        <w:rPr>
          <w:spacing w:val="-2"/>
        </w:rPr>
        <w:t xml:space="preserve"> </w:t>
      </w:r>
      <w:r>
        <w:t>of Australian wine and domestic like products. These inconsistent methodologies resulted in MOFCOM calculating a percentage that understated the "market share" of domestic l</w:t>
      </w:r>
      <w:r>
        <w:t>ike products</w:t>
      </w:r>
      <w:r>
        <w:rPr>
          <w:spacing w:val="-6"/>
        </w:rPr>
        <w:t xml:space="preserve"> </w:t>
      </w:r>
      <w:r>
        <w:rPr>
          <w:i/>
        </w:rPr>
        <w:t>vis‐à‐vis</w:t>
      </w:r>
      <w:r>
        <w:rPr>
          <w:i/>
          <w:spacing w:val="-7"/>
        </w:rPr>
        <w:t xml:space="preserve"> </w:t>
      </w:r>
      <w:r>
        <w:t>that</w:t>
      </w:r>
      <w:r>
        <w:rPr>
          <w:spacing w:val="-7"/>
        </w:rPr>
        <w:t xml:space="preserve"> </w:t>
      </w:r>
      <w:r>
        <w:t>of</w:t>
      </w:r>
      <w:r>
        <w:rPr>
          <w:spacing w:val="-6"/>
        </w:rPr>
        <w:t xml:space="preserve"> </w:t>
      </w:r>
      <w:r>
        <w:t>subject</w:t>
      </w:r>
      <w:r>
        <w:rPr>
          <w:spacing w:val="-6"/>
        </w:rPr>
        <w:t xml:space="preserve"> </w:t>
      </w:r>
      <w:r>
        <w:t>imports,</w:t>
      </w:r>
      <w:r>
        <w:rPr>
          <w:spacing w:val="-5"/>
        </w:rPr>
        <w:t xml:space="preserve"> </w:t>
      </w:r>
      <w:r>
        <w:t>resulting</w:t>
      </w:r>
      <w:r>
        <w:rPr>
          <w:spacing w:val="-7"/>
        </w:rPr>
        <w:t xml:space="preserve"> </w:t>
      </w:r>
      <w:r>
        <w:t>in</w:t>
      </w:r>
      <w:r>
        <w:rPr>
          <w:spacing w:val="-7"/>
        </w:rPr>
        <w:t xml:space="preserve"> </w:t>
      </w:r>
      <w:r>
        <w:t>an</w:t>
      </w:r>
      <w:r>
        <w:rPr>
          <w:spacing w:val="-6"/>
        </w:rPr>
        <w:t xml:space="preserve"> </w:t>
      </w:r>
      <w:r>
        <w:t>unfair</w:t>
      </w:r>
      <w:r>
        <w:rPr>
          <w:spacing w:val="-6"/>
        </w:rPr>
        <w:t xml:space="preserve"> </w:t>
      </w:r>
      <w:r>
        <w:t>comparison.</w:t>
      </w:r>
      <w:r>
        <w:rPr>
          <w:spacing w:val="-6"/>
        </w:rPr>
        <w:t xml:space="preserve"> </w:t>
      </w:r>
      <w:r>
        <w:t>In</w:t>
      </w:r>
      <w:r>
        <w:rPr>
          <w:spacing w:val="-7"/>
        </w:rPr>
        <w:t xml:space="preserve"> </w:t>
      </w:r>
      <w:r>
        <w:t>each</w:t>
      </w:r>
      <w:r>
        <w:rPr>
          <w:spacing w:val="-7"/>
        </w:rPr>
        <w:t xml:space="preserve"> </w:t>
      </w:r>
      <w:r>
        <w:t>case,</w:t>
      </w:r>
      <w:r>
        <w:rPr>
          <w:spacing w:val="-7"/>
        </w:rPr>
        <w:t xml:space="preserve"> </w:t>
      </w:r>
      <w:r>
        <w:rPr>
          <w:spacing w:val="-5"/>
        </w:rPr>
        <w:t>the</w:t>
      </w:r>
    </w:p>
    <w:p w14:paraId="51DE91F6" w14:textId="77777777" w:rsidR="0010369C" w:rsidRDefault="008E43AE">
      <w:pPr>
        <w:pStyle w:val="BodyText"/>
        <w:spacing w:before="7"/>
        <w:rPr>
          <w:sz w:val="20"/>
        </w:rPr>
      </w:pPr>
      <w:r>
        <w:pict w14:anchorId="51DEA591">
          <v:rect id="docshape1145" o:spid="_x0000_s1251" style="position:absolute;margin-left:70.9pt;margin-top:13.8pt;width:2in;height:.8pt;z-index:-250789376;mso-wrap-distance-left:0;mso-wrap-distance-right:0;mso-position-horizontal-relative:page" fillcolor="black" stroked="f">
            <w10:wrap type="topAndBottom" anchorx="page"/>
          </v:rect>
        </w:pict>
      </w:r>
    </w:p>
    <w:p w14:paraId="51DE91F7" w14:textId="77777777" w:rsidR="0010369C" w:rsidRDefault="008E43AE">
      <w:pPr>
        <w:spacing w:before="109"/>
        <w:ind w:left="238"/>
        <w:rPr>
          <w:sz w:val="18"/>
        </w:rPr>
      </w:pPr>
      <w:r>
        <w:rPr>
          <w:sz w:val="18"/>
          <w:vertAlign w:val="superscript"/>
        </w:rPr>
        <w:t>811</w:t>
      </w:r>
      <w:r>
        <w:rPr>
          <w:spacing w:val="-9"/>
          <w:sz w:val="18"/>
        </w:rPr>
        <w:t xml:space="preserve"> </w:t>
      </w:r>
      <w:r>
        <w:rPr>
          <w:sz w:val="18"/>
        </w:rPr>
        <w:t>Anti‐Dumping</w:t>
      </w:r>
      <w:r>
        <w:rPr>
          <w:spacing w:val="-8"/>
          <w:sz w:val="18"/>
        </w:rPr>
        <w:t xml:space="preserve"> </w:t>
      </w:r>
      <w:r>
        <w:rPr>
          <w:sz w:val="18"/>
        </w:rPr>
        <w:t>Final</w:t>
      </w:r>
      <w:r>
        <w:rPr>
          <w:spacing w:val="-8"/>
          <w:sz w:val="18"/>
        </w:rPr>
        <w:t xml:space="preserve"> </w:t>
      </w:r>
      <w:r>
        <w:rPr>
          <w:sz w:val="18"/>
        </w:rPr>
        <w:t>Determination</w:t>
      </w:r>
      <w:r>
        <w:rPr>
          <w:spacing w:val="-8"/>
          <w:sz w:val="18"/>
        </w:rPr>
        <w:t xml:space="preserve"> </w:t>
      </w:r>
      <w:r>
        <w:rPr>
          <w:sz w:val="18"/>
        </w:rPr>
        <w:t>(Exhibit</w:t>
      </w:r>
      <w:r>
        <w:rPr>
          <w:spacing w:val="-8"/>
          <w:sz w:val="18"/>
        </w:rPr>
        <w:t xml:space="preserve"> </w:t>
      </w:r>
      <w:r>
        <w:rPr>
          <w:sz w:val="18"/>
        </w:rPr>
        <w:t>AUS‐2),</w:t>
      </w:r>
      <w:r>
        <w:rPr>
          <w:spacing w:val="-9"/>
          <w:sz w:val="18"/>
        </w:rPr>
        <w:t xml:space="preserve"> </w:t>
      </w:r>
      <w:r>
        <w:rPr>
          <w:sz w:val="18"/>
        </w:rPr>
        <w:t>pp.</w:t>
      </w:r>
      <w:r>
        <w:rPr>
          <w:spacing w:val="-8"/>
          <w:sz w:val="18"/>
        </w:rPr>
        <w:t xml:space="preserve"> </w:t>
      </w:r>
      <w:r>
        <w:rPr>
          <w:sz w:val="18"/>
        </w:rPr>
        <w:t>123,</w:t>
      </w:r>
      <w:r>
        <w:rPr>
          <w:spacing w:val="-9"/>
          <w:sz w:val="18"/>
        </w:rPr>
        <w:t xml:space="preserve"> </w:t>
      </w:r>
      <w:r>
        <w:rPr>
          <w:spacing w:val="-4"/>
          <w:sz w:val="18"/>
        </w:rPr>
        <w:t>148.</w:t>
      </w:r>
    </w:p>
    <w:p w14:paraId="51DE91F8" w14:textId="77777777" w:rsidR="0010369C" w:rsidRDefault="008E43AE">
      <w:pPr>
        <w:ind w:left="238"/>
        <w:rPr>
          <w:sz w:val="18"/>
        </w:rPr>
      </w:pPr>
      <w:r>
        <w:rPr>
          <w:sz w:val="18"/>
          <w:vertAlign w:val="superscript"/>
        </w:rPr>
        <w:t>812</w:t>
      </w:r>
      <w:r>
        <w:rPr>
          <w:spacing w:val="-7"/>
          <w:sz w:val="18"/>
        </w:rPr>
        <w:t xml:space="preserve"> </w:t>
      </w:r>
      <w:r>
        <w:rPr>
          <w:sz w:val="18"/>
        </w:rPr>
        <w:t>Anti‐Dumping</w:t>
      </w:r>
      <w:r>
        <w:rPr>
          <w:spacing w:val="-7"/>
          <w:sz w:val="18"/>
        </w:rPr>
        <w:t xml:space="preserve"> </w:t>
      </w:r>
      <w:r>
        <w:rPr>
          <w:sz w:val="18"/>
        </w:rPr>
        <w:t>Final</w:t>
      </w:r>
      <w:r>
        <w:rPr>
          <w:spacing w:val="-7"/>
          <w:sz w:val="18"/>
        </w:rPr>
        <w:t xml:space="preserve"> </w:t>
      </w:r>
      <w:r>
        <w:rPr>
          <w:sz w:val="18"/>
        </w:rPr>
        <w:t>Determination</w:t>
      </w:r>
      <w:r>
        <w:rPr>
          <w:spacing w:val="-6"/>
          <w:sz w:val="18"/>
        </w:rPr>
        <w:t xml:space="preserve"> </w:t>
      </w:r>
      <w:r>
        <w:rPr>
          <w:sz w:val="18"/>
        </w:rPr>
        <w:t>(Exhibit</w:t>
      </w:r>
      <w:r>
        <w:rPr>
          <w:spacing w:val="-7"/>
          <w:sz w:val="18"/>
        </w:rPr>
        <w:t xml:space="preserve"> </w:t>
      </w:r>
      <w:r>
        <w:rPr>
          <w:sz w:val="18"/>
        </w:rPr>
        <w:t>AUS‐2),</w:t>
      </w:r>
      <w:r>
        <w:rPr>
          <w:spacing w:val="-8"/>
          <w:sz w:val="18"/>
        </w:rPr>
        <w:t xml:space="preserve"> </w:t>
      </w:r>
      <w:r>
        <w:rPr>
          <w:sz w:val="18"/>
        </w:rPr>
        <w:t>pp.</w:t>
      </w:r>
      <w:r>
        <w:rPr>
          <w:spacing w:val="-7"/>
          <w:sz w:val="18"/>
        </w:rPr>
        <w:t xml:space="preserve"> </w:t>
      </w:r>
      <w:r>
        <w:rPr>
          <w:sz w:val="18"/>
        </w:rPr>
        <w:t>111‐112,</w:t>
      </w:r>
      <w:r>
        <w:rPr>
          <w:spacing w:val="-8"/>
          <w:sz w:val="18"/>
        </w:rPr>
        <w:t xml:space="preserve"> </w:t>
      </w:r>
      <w:r>
        <w:rPr>
          <w:sz w:val="18"/>
        </w:rPr>
        <w:t>119,</w:t>
      </w:r>
      <w:r>
        <w:rPr>
          <w:spacing w:val="-8"/>
          <w:sz w:val="18"/>
        </w:rPr>
        <w:t xml:space="preserve"> </w:t>
      </w:r>
      <w:r>
        <w:rPr>
          <w:sz w:val="18"/>
        </w:rPr>
        <w:t>125,</w:t>
      </w:r>
      <w:r>
        <w:rPr>
          <w:spacing w:val="-7"/>
          <w:sz w:val="18"/>
        </w:rPr>
        <w:t xml:space="preserve"> </w:t>
      </w:r>
      <w:r>
        <w:rPr>
          <w:sz w:val="18"/>
        </w:rPr>
        <w:t>130,</w:t>
      </w:r>
      <w:r>
        <w:rPr>
          <w:spacing w:val="-8"/>
          <w:sz w:val="18"/>
        </w:rPr>
        <w:t xml:space="preserve"> </w:t>
      </w:r>
      <w:r>
        <w:rPr>
          <w:sz w:val="18"/>
        </w:rPr>
        <w:t>135‐136,</w:t>
      </w:r>
      <w:r>
        <w:rPr>
          <w:spacing w:val="-8"/>
          <w:sz w:val="18"/>
        </w:rPr>
        <w:t xml:space="preserve"> </w:t>
      </w:r>
      <w:r>
        <w:rPr>
          <w:sz w:val="18"/>
        </w:rPr>
        <w:t>142,</w:t>
      </w:r>
      <w:r>
        <w:rPr>
          <w:spacing w:val="-8"/>
          <w:sz w:val="18"/>
        </w:rPr>
        <w:t xml:space="preserve"> </w:t>
      </w:r>
      <w:r>
        <w:rPr>
          <w:spacing w:val="-4"/>
          <w:sz w:val="18"/>
        </w:rPr>
        <w:t>145.</w:t>
      </w:r>
    </w:p>
    <w:p w14:paraId="51DE91F9" w14:textId="77777777" w:rsidR="0010369C" w:rsidRDefault="008E43AE">
      <w:pPr>
        <w:ind w:left="238"/>
        <w:rPr>
          <w:sz w:val="18"/>
        </w:rPr>
      </w:pPr>
      <w:r>
        <w:rPr>
          <w:sz w:val="18"/>
          <w:vertAlign w:val="superscript"/>
        </w:rPr>
        <w:t>813</w:t>
      </w:r>
      <w:r>
        <w:rPr>
          <w:spacing w:val="-9"/>
          <w:sz w:val="18"/>
        </w:rPr>
        <w:t xml:space="preserve"> </w:t>
      </w:r>
      <w:r>
        <w:rPr>
          <w:sz w:val="18"/>
        </w:rPr>
        <w:t>Anti‐Dumping</w:t>
      </w:r>
      <w:r>
        <w:rPr>
          <w:spacing w:val="-9"/>
          <w:sz w:val="18"/>
        </w:rPr>
        <w:t xml:space="preserve"> </w:t>
      </w:r>
      <w:r>
        <w:rPr>
          <w:sz w:val="18"/>
        </w:rPr>
        <w:t>Final</w:t>
      </w:r>
      <w:r>
        <w:rPr>
          <w:spacing w:val="-9"/>
          <w:sz w:val="18"/>
        </w:rPr>
        <w:t xml:space="preserve"> </w:t>
      </w:r>
      <w:r>
        <w:rPr>
          <w:sz w:val="18"/>
        </w:rPr>
        <w:t>Determination</w:t>
      </w:r>
      <w:r>
        <w:rPr>
          <w:spacing w:val="-8"/>
          <w:sz w:val="18"/>
        </w:rPr>
        <w:t xml:space="preserve"> </w:t>
      </w:r>
      <w:r>
        <w:rPr>
          <w:sz w:val="18"/>
        </w:rPr>
        <w:t>(Exhibit</w:t>
      </w:r>
      <w:r>
        <w:rPr>
          <w:spacing w:val="-9"/>
          <w:sz w:val="18"/>
        </w:rPr>
        <w:t xml:space="preserve"> </w:t>
      </w:r>
      <w:r>
        <w:rPr>
          <w:sz w:val="18"/>
        </w:rPr>
        <w:t>AUS‐2),</w:t>
      </w:r>
      <w:r>
        <w:rPr>
          <w:spacing w:val="-9"/>
          <w:sz w:val="18"/>
        </w:rPr>
        <w:t xml:space="preserve"> </w:t>
      </w:r>
      <w:r>
        <w:rPr>
          <w:sz w:val="18"/>
        </w:rPr>
        <w:t>p.</w:t>
      </w:r>
      <w:r>
        <w:rPr>
          <w:spacing w:val="-9"/>
          <w:sz w:val="18"/>
        </w:rPr>
        <w:t xml:space="preserve"> </w:t>
      </w:r>
      <w:r>
        <w:rPr>
          <w:spacing w:val="-4"/>
          <w:sz w:val="18"/>
        </w:rPr>
        <w:t>135.</w:t>
      </w:r>
    </w:p>
    <w:p w14:paraId="51DE91FA" w14:textId="77777777" w:rsidR="0010369C" w:rsidRDefault="0010369C">
      <w:pPr>
        <w:rPr>
          <w:sz w:val="18"/>
        </w:rPr>
        <w:sectPr w:rsidR="0010369C">
          <w:pgSz w:w="11910" w:h="16840"/>
          <w:pgMar w:top="880" w:right="800" w:bottom="980" w:left="1180" w:header="569" w:footer="788" w:gutter="0"/>
          <w:cols w:space="720"/>
        </w:sectPr>
      </w:pPr>
    </w:p>
    <w:p w14:paraId="51DE91FB" w14:textId="77777777" w:rsidR="0010369C" w:rsidRDefault="008E43AE">
      <w:pPr>
        <w:pStyle w:val="BodyText"/>
        <w:spacing w:line="20" w:lineRule="exact"/>
        <w:ind w:left="104"/>
        <w:rPr>
          <w:sz w:val="2"/>
        </w:rPr>
      </w:pPr>
      <w:r>
        <w:rPr>
          <w:sz w:val="2"/>
        </w:rPr>
      </w:r>
      <w:r>
        <w:rPr>
          <w:sz w:val="2"/>
        </w:rPr>
        <w:pict w14:anchorId="51DEA593">
          <v:group id="docshapegroup1147" o:spid="_x0000_s1249" style="width:464.6pt;height:1.05pt;mso-position-horizontal-relative:char;mso-position-vertical-relative:line" coordsize="9292,21">
            <v:line id="_x0000_s1250" style="position:absolute" from="0,10" to="9291,10" strokeweight=".35361mm"/>
            <w10:anchorlock/>
          </v:group>
        </w:pict>
      </w:r>
    </w:p>
    <w:p w14:paraId="51DE91FC" w14:textId="77777777" w:rsidR="0010369C" w:rsidRDefault="008E43AE">
      <w:pPr>
        <w:spacing w:before="45"/>
        <w:ind w:right="357"/>
        <w:jc w:val="center"/>
        <w:rPr>
          <w:rFonts w:ascii="Arial"/>
          <w:sz w:val="21"/>
        </w:rPr>
      </w:pPr>
      <w:r>
        <w:pict w14:anchorId="51DEA594">
          <v:shape id="docshape1148" o:spid="_x0000_s1248" style="position:absolute;left:0;text-align:left;margin-left:64.2pt;margin-top:16.1pt;width:464.6pt;height:.1pt;z-index:-250788352;mso-wrap-distance-left:0;mso-wrap-distance-right:0;mso-position-horizontal-relative:page" coordorigin="1284,322" coordsize="9292,0" path="m1284,322r9291,e" filled="f" strokeweight=".35361mm">
            <v:path arrowok="t"/>
            <w10:wrap type="topAndBottom" anchorx="page"/>
          </v:shape>
        </w:pict>
      </w:r>
      <w:r>
        <w:rPr>
          <w:rFonts w:ascii="Arial"/>
          <w:color w:val="1D1D1D"/>
          <w:w w:val="95"/>
          <w:sz w:val="21"/>
        </w:rPr>
        <w:t>Business</w:t>
      </w:r>
      <w:r>
        <w:rPr>
          <w:rFonts w:ascii="Arial"/>
          <w:color w:val="1D1D1D"/>
          <w:spacing w:val="1"/>
          <w:sz w:val="21"/>
        </w:rPr>
        <w:t xml:space="preserve"> </w:t>
      </w:r>
      <w:r>
        <w:rPr>
          <w:rFonts w:ascii="Arial"/>
          <w:color w:val="1D1D1D"/>
          <w:w w:val="95"/>
          <w:sz w:val="21"/>
        </w:rPr>
        <w:t>Confidential</w:t>
      </w:r>
      <w:r>
        <w:rPr>
          <w:rFonts w:ascii="Arial"/>
          <w:color w:val="1D1D1D"/>
          <w:spacing w:val="-2"/>
          <w:w w:val="95"/>
          <w:sz w:val="21"/>
        </w:rPr>
        <w:t xml:space="preserve"> </w:t>
      </w:r>
      <w:r>
        <w:rPr>
          <w:rFonts w:ascii="Arial"/>
          <w:color w:val="0C0C0C"/>
          <w:w w:val="95"/>
          <w:sz w:val="21"/>
        </w:rPr>
        <w:t>Information</w:t>
      </w:r>
      <w:r>
        <w:rPr>
          <w:rFonts w:ascii="Arial"/>
          <w:color w:val="0C0C0C"/>
          <w:spacing w:val="6"/>
          <w:sz w:val="21"/>
        </w:rPr>
        <w:t xml:space="preserve"> </w:t>
      </w:r>
      <w:r>
        <w:rPr>
          <w:rFonts w:ascii="Arial"/>
          <w:color w:val="1D1D1D"/>
          <w:w w:val="95"/>
          <w:sz w:val="21"/>
        </w:rPr>
        <w:t>-</w:t>
      </w:r>
      <w:r>
        <w:rPr>
          <w:rFonts w:ascii="Arial"/>
          <w:color w:val="1D1D1D"/>
          <w:spacing w:val="1"/>
          <w:sz w:val="21"/>
        </w:rPr>
        <w:t xml:space="preserve"> </w:t>
      </w:r>
      <w:r>
        <w:rPr>
          <w:rFonts w:ascii="Arial"/>
          <w:color w:val="1D1D1D"/>
          <w:spacing w:val="-2"/>
          <w:w w:val="95"/>
          <w:sz w:val="21"/>
        </w:rPr>
        <w:t>REDACTED</w:t>
      </w:r>
    </w:p>
    <w:p w14:paraId="51DE91FD" w14:textId="77777777" w:rsidR="0010369C" w:rsidRDefault="008E43AE">
      <w:pPr>
        <w:tabs>
          <w:tab w:val="left" w:pos="6217"/>
        </w:tabs>
        <w:spacing w:before="21"/>
        <w:ind w:right="357"/>
        <w:jc w:val="center"/>
        <w:rPr>
          <w:rFonts w:ascii="Arial"/>
          <w:sz w:val="18"/>
        </w:rPr>
      </w:pPr>
      <w:r>
        <w:rPr>
          <w:rFonts w:ascii="Arial"/>
          <w:i/>
          <w:color w:val="1D1D1D"/>
          <w:w w:val="105"/>
          <w:sz w:val="18"/>
        </w:rPr>
        <w:t>China</w:t>
      </w:r>
      <w:r>
        <w:rPr>
          <w:rFonts w:ascii="Arial"/>
          <w:i/>
          <w:color w:val="1D1D1D"/>
          <w:spacing w:val="-17"/>
          <w:w w:val="105"/>
          <w:sz w:val="18"/>
        </w:rPr>
        <w:t xml:space="preserve"> </w:t>
      </w:r>
      <w:r>
        <w:rPr>
          <w:rFonts w:ascii="Arial"/>
          <w:i/>
          <w:color w:val="1D1D1D"/>
          <w:w w:val="105"/>
          <w:sz w:val="18"/>
        </w:rPr>
        <w:t>-Anti-Dumping</w:t>
      </w:r>
      <w:r>
        <w:rPr>
          <w:rFonts w:ascii="Arial"/>
          <w:i/>
          <w:color w:val="1D1D1D"/>
          <w:spacing w:val="-5"/>
          <w:w w:val="105"/>
          <w:sz w:val="18"/>
        </w:rPr>
        <w:t xml:space="preserve"> </w:t>
      </w:r>
      <w:r>
        <w:rPr>
          <w:rFonts w:ascii="Arial"/>
          <w:i/>
          <w:color w:val="1D1D1D"/>
          <w:w w:val="105"/>
          <w:sz w:val="18"/>
        </w:rPr>
        <w:t>and</w:t>
      </w:r>
      <w:r>
        <w:rPr>
          <w:rFonts w:ascii="Arial"/>
          <w:i/>
          <w:color w:val="1D1D1D"/>
          <w:spacing w:val="-23"/>
          <w:w w:val="105"/>
          <w:sz w:val="18"/>
        </w:rPr>
        <w:t xml:space="preserve"> </w:t>
      </w:r>
      <w:r>
        <w:rPr>
          <w:rFonts w:ascii="Arial"/>
          <w:i/>
          <w:color w:val="1D1D1D"/>
          <w:w w:val="105"/>
          <w:sz w:val="18"/>
        </w:rPr>
        <w:t>Countervailing</w:t>
      </w:r>
      <w:r>
        <w:rPr>
          <w:rFonts w:ascii="Arial"/>
          <w:i/>
          <w:color w:val="1D1D1D"/>
          <w:spacing w:val="-6"/>
          <w:w w:val="105"/>
          <w:sz w:val="18"/>
        </w:rPr>
        <w:t xml:space="preserve"> </w:t>
      </w:r>
      <w:r>
        <w:rPr>
          <w:rFonts w:ascii="Arial"/>
          <w:i/>
          <w:color w:val="1D1D1D"/>
          <w:w w:val="105"/>
          <w:sz w:val="18"/>
        </w:rPr>
        <w:t>Duty</w:t>
      </w:r>
      <w:r>
        <w:rPr>
          <w:rFonts w:ascii="Arial"/>
          <w:i/>
          <w:color w:val="1D1D1D"/>
          <w:spacing w:val="-12"/>
          <w:w w:val="105"/>
          <w:sz w:val="18"/>
        </w:rPr>
        <w:t xml:space="preserve"> </w:t>
      </w:r>
      <w:r>
        <w:rPr>
          <w:rFonts w:ascii="Arial"/>
          <w:i/>
          <w:color w:val="0C0C0C"/>
          <w:spacing w:val="-2"/>
          <w:w w:val="105"/>
          <w:sz w:val="18"/>
        </w:rPr>
        <w:t>Measures</w:t>
      </w:r>
      <w:r>
        <w:rPr>
          <w:rFonts w:ascii="Arial"/>
          <w:i/>
          <w:color w:val="0C0C0C"/>
          <w:sz w:val="18"/>
        </w:rPr>
        <w:tab/>
      </w:r>
      <w:r>
        <w:rPr>
          <w:rFonts w:ascii="Arial"/>
          <w:color w:val="1D1D1D"/>
          <w:spacing w:val="-2"/>
          <w:w w:val="105"/>
          <w:sz w:val="18"/>
        </w:rPr>
        <w:t>Australia's</w:t>
      </w:r>
      <w:r>
        <w:rPr>
          <w:rFonts w:ascii="Arial"/>
          <w:color w:val="1D1D1D"/>
          <w:spacing w:val="5"/>
          <w:w w:val="105"/>
          <w:sz w:val="18"/>
        </w:rPr>
        <w:t xml:space="preserve"> </w:t>
      </w:r>
      <w:r>
        <w:rPr>
          <w:rFonts w:ascii="Arial"/>
          <w:color w:val="0C0C0C"/>
          <w:spacing w:val="-2"/>
          <w:w w:val="105"/>
          <w:sz w:val="18"/>
        </w:rPr>
        <w:t>First</w:t>
      </w:r>
      <w:r>
        <w:rPr>
          <w:rFonts w:ascii="Arial"/>
          <w:color w:val="0C0C0C"/>
          <w:spacing w:val="1"/>
          <w:w w:val="105"/>
          <w:sz w:val="18"/>
        </w:rPr>
        <w:t xml:space="preserve"> </w:t>
      </w:r>
      <w:r>
        <w:rPr>
          <w:rFonts w:ascii="Arial"/>
          <w:color w:val="1D1D1D"/>
          <w:spacing w:val="-2"/>
          <w:w w:val="105"/>
          <w:sz w:val="18"/>
        </w:rPr>
        <w:t>Written</w:t>
      </w:r>
      <w:r>
        <w:rPr>
          <w:rFonts w:ascii="Arial"/>
          <w:color w:val="1D1D1D"/>
          <w:spacing w:val="-7"/>
          <w:w w:val="105"/>
          <w:sz w:val="18"/>
        </w:rPr>
        <w:t xml:space="preserve"> </w:t>
      </w:r>
      <w:r>
        <w:rPr>
          <w:rFonts w:ascii="Arial"/>
          <w:color w:val="1D1D1D"/>
          <w:spacing w:val="-2"/>
          <w:w w:val="105"/>
          <w:sz w:val="18"/>
        </w:rPr>
        <w:t>Submission</w:t>
      </w:r>
    </w:p>
    <w:p w14:paraId="51DE91FE" w14:textId="77777777" w:rsidR="0010369C" w:rsidRDefault="008E43AE">
      <w:pPr>
        <w:tabs>
          <w:tab w:val="left" w:pos="8020"/>
        </w:tabs>
        <w:spacing w:before="44"/>
        <w:ind w:right="337"/>
        <w:jc w:val="center"/>
        <w:rPr>
          <w:rFonts w:ascii="Arial"/>
          <w:sz w:val="18"/>
        </w:rPr>
      </w:pPr>
      <w:r>
        <w:rPr>
          <w:rFonts w:ascii="Arial"/>
          <w:i/>
          <w:color w:val="1D1D1D"/>
          <w:w w:val="105"/>
          <w:sz w:val="18"/>
        </w:rPr>
        <w:t>on</w:t>
      </w:r>
      <w:r>
        <w:rPr>
          <w:rFonts w:ascii="Arial"/>
          <w:i/>
          <w:color w:val="1D1D1D"/>
          <w:spacing w:val="-11"/>
          <w:w w:val="105"/>
          <w:sz w:val="18"/>
        </w:rPr>
        <w:t xml:space="preserve"> </w:t>
      </w:r>
      <w:r>
        <w:rPr>
          <w:rFonts w:ascii="Arial"/>
          <w:i/>
          <w:color w:val="1D1D1D"/>
          <w:w w:val="105"/>
          <w:sz w:val="18"/>
        </w:rPr>
        <w:t>Winefrom Australia</w:t>
      </w:r>
      <w:r>
        <w:rPr>
          <w:rFonts w:ascii="Arial"/>
          <w:i/>
          <w:color w:val="1D1D1D"/>
          <w:spacing w:val="13"/>
          <w:w w:val="105"/>
          <w:sz w:val="18"/>
        </w:rPr>
        <w:t xml:space="preserve"> </w:t>
      </w:r>
      <w:r>
        <w:rPr>
          <w:rFonts w:ascii="Arial"/>
          <w:color w:val="1D1D1D"/>
          <w:spacing w:val="-2"/>
          <w:w w:val="105"/>
          <w:sz w:val="18"/>
        </w:rPr>
        <w:t>(0S602)</w:t>
      </w:r>
      <w:r>
        <w:rPr>
          <w:rFonts w:ascii="Arial"/>
          <w:color w:val="1D1D1D"/>
          <w:sz w:val="18"/>
        </w:rPr>
        <w:tab/>
      </w:r>
      <w:r>
        <w:rPr>
          <w:rFonts w:ascii="Arial"/>
          <w:color w:val="1D1D1D"/>
          <w:w w:val="105"/>
          <w:sz w:val="18"/>
        </w:rPr>
        <w:t>29</w:t>
      </w:r>
      <w:r>
        <w:rPr>
          <w:rFonts w:ascii="Arial"/>
          <w:color w:val="1D1D1D"/>
          <w:spacing w:val="-19"/>
          <w:w w:val="105"/>
          <w:sz w:val="18"/>
        </w:rPr>
        <w:t xml:space="preserve"> </w:t>
      </w:r>
      <w:r>
        <w:rPr>
          <w:rFonts w:ascii="Arial"/>
          <w:color w:val="1D1D1D"/>
          <w:w w:val="105"/>
          <w:sz w:val="18"/>
        </w:rPr>
        <w:t>April</w:t>
      </w:r>
      <w:r>
        <w:rPr>
          <w:rFonts w:ascii="Arial"/>
          <w:color w:val="1D1D1D"/>
          <w:spacing w:val="1"/>
          <w:w w:val="105"/>
          <w:sz w:val="18"/>
        </w:rPr>
        <w:t xml:space="preserve"> </w:t>
      </w:r>
      <w:r>
        <w:rPr>
          <w:rFonts w:ascii="Arial"/>
          <w:color w:val="1D1D1D"/>
          <w:spacing w:val="-4"/>
          <w:w w:val="105"/>
          <w:sz w:val="18"/>
        </w:rPr>
        <w:t>2022</w:t>
      </w:r>
    </w:p>
    <w:p w14:paraId="51DE91FF" w14:textId="77777777" w:rsidR="0010369C" w:rsidRDefault="008E43AE">
      <w:pPr>
        <w:spacing w:before="76" w:line="432" w:lineRule="auto"/>
        <w:ind w:left="229" w:right="554" w:firstLine="7"/>
        <w:jc w:val="both"/>
        <w:rPr>
          <w:rFonts w:ascii="Times New Roman"/>
          <w:sz w:val="15"/>
        </w:rPr>
      </w:pPr>
      <w:r>
        <w:rPr>
          <w:rFonts w:ascii="Arial"/>
          <w:color w:val="1D1D1D"/>
          <w:w w:val="105"/>
          <w:sz w:val="21"/>
        </w:rPr>
        <w:t xml:space="preserve">denominator was the </w:t>
      </w:r>
      <w:r>
        <w:rPr>
          <w:rFonts w:ascii="Arial"/>
          <w:color w:val="0C0C0C"/>
          <w:w w:val="105"/>
          <w:sz w:val="21"/>
        </w:rPr>
        <w:t xml:space="preserve">apparent </w:t>
      </w:r>
      <w:r>
        <w:rPr>
          <w:rFonts w:ascii="Arial"/>
          <w:color w:val="1D1D1D"/>
          <w:w w:val="105"/>
          <w:sz w:val="21"/>
        </w:rPr>
        <w:t xml:space="preserve">consumption volume in each year of </w:t>
      </w:r>
      <w:r>
        <w:rPr>
          <w:rFonts w:ascii="Arial"/>
          <w:color w:val="0C0C0C"/>
          <w:w w:val="105"/>
          <w:sz w:val="21"/>
        </w:rPr>
        <w:t xml:space="preserve">the Injury POI. </w:t>
      </w:r>
      <w:r>
        <w:rPr>
          <w:rFonts w:ascii="Arial"/>
          <w:color w:val="1D1D1D"/>
          <w:w w:val="105"/>
          <w:sz w:val="21"/>
        </w:rPr>
        <w:t xml:space="preserve">While </w:t>
      </w:r>
      <w:r>
        <w:rPr>
          <w:rFonts w:ascii="Arial"/>
          <w:color w:val="0C0C0C"/>
          <w:w w:val="105"/>
          <w:sz w:val="21"/>
        </w:rPr>
        <w:t>MOFCOM used the</w:t>
      </w:r>
      <w:r>
        <w:rPr>
          <w:rFonts w:ascii="Arial"/>
          <w:color w:val="0C0C0C"/>
          <w:spacing w:val="40"/>
          <w:w w:val="105"/>
          <w:sz w:val="21"/>
        </w:rPr>
        <w:t xml:space="preserve"> </w:t>
      </w:r>
      <w:r>
        <w:rPr>
          <w:rFonts w:ascii="Arial"/>
          <w:color w:val="0C0C0C"/>
          <w:w w:val="105"/>
          <w:sz w:val="21"/>
        </w:rPr>
        <w:t xml:space="preserve">total </w:t>
      </w:r>
      <w:r>
        <w:rPr>
          <w:rFonts w:ascii="Arial"/>
          <w:color w:val="1D1D1D"/>
          <w:w w:val="105"/>
          <w:sz w:val="21"/>
        </w:rPr>
        <w:t>volume of</w:t>
      </w:r>
      <w:r>
        <w:rPr>
          <w:rFonts w:ascii="Arial"/>
          <w:color w:val="1D1D1D"/>
          <w:spacing w:val="40"/>
          <w:w w:val="105"/>
          <w:sz w:val="21"/>
        </w:rPr>
        <w:t xml:space="preserve"> </w:t>
      </w:r>
      <w:r>
        <w:rPr>
          <w:rFonts w:ascii="Arial"/>
          <w:color w:val="1D1D1D"/>
          <w:w w:val="105"/>
          <w:sz w:val="21"/>
        </w:rPr>
        <w:t xml:space="preserve">subject imports </w:t>
      </w:r>
      <w:r>
        <w:rPr>
          <w:rFonts w:ascii="Arial"/>
          <w:color w:val="0C0C0C"/>
          <w:w w:val="105"/>
          <w:sz w:val="21"/>
        </w:rPr>
        <w:t xml:space="preserve">as </w:t>
      </w:r>
      <w:r>
        <w:rPr>
          <w:rFonts w:ascii="Arial"/>
          <w:color w:val="1D1D1D"/>
          <w:w w:val="105"/>
          <w:sz w:val="21"/>
        </w:rPr>
        <w:t>the</w:t>
      </w:r>
      <w:r>
        <w:rPr>
          <w:rFonts w:ascii="Arial"/>
          <w:color w:val="1D1D1D"/>
          <w:spacing w:val="40"/>
          <w:w w:val="105"/>
          <w:sz w:val="21"/>
        </w:rPr>
        <w:t xml:space="preserve"> </w:t>
      </w:r>
      <w:r>
        <w:rPr>
          <w:rFonts w:ascii="Arial"/>
          <w:color w:val="0C0C0C"/>
          <w:w w:val="105"/>
          <w:sz w:val="21"/>
        </w:rPr>
        <w:t xml:space="preserve">numerator </w:t>
      </w:r>
      <w:r>
        <w:rPr>
          <w:rFonts w:ascii="Arial"/>
          <w:color w:val="1D1D1D"/>
          <w:w w:val="105"/>
          <w:sz w:val="21"/>
        </w:rPr>
        <w:t>to</w:t>
      </w:r>
      <w:r>
        <w:rPr>
          <w:rFonts w:ascii="Arial"/>
          <w:color w:val="1D1D1D"/>
          <w:spacing w:val="40"/>
          <w:w w:val="105"/>
          <w:sz w:val="21"/>
        </w:rPr>
        <w:t xml:space="preserve"> </w:t>
      </w:r>
      <w:r>
        <w:rPr>
          <w:rFonts w:ascii="Arial"/>
          <w:color w:val="1D1D1D"/>
          <w:w w:val="105"/>
          <w:sz w:val="21"/>
        </w:rPr>
        <w:t xml:space="preserve">determine </w:t>
      </w:r>
      <w:r>
        <w:rPr>
          <w:rFonts w:ascii="Arial"/>
          <w:color w:val="0C0C0C"/>
          <w:w w:val="105"/>
          <w:sz w:val="21"/>
        </w:rPr>
        <w:t xml:space="preserve">the </w:t>
      </w:r>
      <w:r>
        <w:rPr>
          <w:rFonts w:ascii="Arial"/>
          <w:color w:val="1D1D1D"/>
          <w:w w:val="105"/>
          <w:sz w:val="21"/>
        </w:rPr>
        <w:t>"market share" of subject Australian wine,</w:t>
      </w:r>
      <w:r>
        <w:rPr>
          <w:rFonts w:ascii="Times New Roman"/>
          <w:color w:val="1D1D1D"/>
          <w:w w:val="105"/>
          <w:position w:val="7"/>
          <w:sz w:val="15"/>
        </w:rPr>
        <w:t>814</w:t>
      </w:r>
      <w:r>
        <w:rPr>
          <w:rFonts w:ascii="Times New Roman"/>
          <w:color w:val="1D1D1D"/>
          <w:spacing w:val="38"/>
          <w:w w:val="105"/>
          <w:position w:val="7"/>
          <w:sz w:val="15"/>
        </w:rPr>
        <w:t xml:space="preserve"> </w:t>
      </w:r>
      <w:r>
        <w:rPr>
          <w:rFonts w:ascii="Arial"/>
          <w:color w:val="0C0C0C"/>
          <w:w w:val="105"/>
          <w:sz w:val="21"/>
        </w:rPr>
        <w:t>it used</w:t>
      </w:r>
      <w:r>
        <w:rPr>
          <w:rFonts w:ascii="Arial"/>
          <w:color w:val="0C0C0C"/>
          <w:spacing w:val="-12"/>
          <w:w w:val="105"/>
          <w:sz w:val="21"/>
        </w:rPr>
        <w:t xml:space="preserve"> </w:t>
      </w:r>
      <w:r>
        <w:rPr>
          <w:rFonts w:ascii="Arial"/>
          <w:color w:val="1D1D1D"/>
          <w:w w:val="105"/>
          <w:sz w:val="21"/>
        </w:rPr>
        <w:t xml:space="preserve">the sum of the domestic sales volumes </w:t>
      </w:r>
      <w:r>
        <w:rPr>
          <w:rFonts w:ascii="Arial"/>
          <w:color w:val="0C0C0C"/>
          <w:w w:val="105"/>
          <w:sz w:val="21"/>
        </w:rPr>
        <w:t xml:space="preserve">reported by </w:t>
      </w:r>
      <w:r>
        <w:rPr>
          <w:rFonts w:ascii="Arial"/>
          <w:color w:val="1D1D1D"/>
          <w:w w:val="105"/>
          <w:sz w:val="21"/>
        </w:rPr>
        <w:t>the 21</w:t>
      </w:r>
      <w:r>
        <w:rPr>
          <w:rFonts w:ascii="Arial"/>
          <w:color w:val="1D1D1D"/>
          <w:spacing w:val="-8"/>
          <w:w w:val="105"/>
          <w:sz w:val="21"/>
        </w:rPr>
        <w:t xml:space="preserve"> </w:t>
      </w:r>
      <w:r>
        <w:rPr>
          <w:rFonts w:ascii="Arial"/>
          <w:color w:val="0C0C0C"/>
          <w:w w:val="105"/>
          <w:sz w:val="21"/>
        </w:rPr>
        <w:t xml:space="preserve">Chinese </w:t>
      </w:r>
      <w:r>
        <w:rPr>
          <w:rFonts w:ascii="Arial"/>
          <w:color w:val="1D1D1D"/>
          <w:w w:val="105"/>
          <w:sz w:val="21"/>
        </w:rPr>
        <w:t>companies who submitted responses to</w:t>
      </w:r>
      <w:r>
        <w:rPr>
          <w:rFonts w:ascii="Arial"/>
          <w:color w:val="1D1D1D"/>
          <w:spacing w:val="40"/>
          <w:w w:val="105"/>
          <w:sz w:val="21"/>
        </w:rPr>
        <w:t xml:space="preserve"> </w:t>
      </w:r>
      <w:r>
        <w:rPr>
          <w:rFonts w:ascii="Arial"/>
          <w:color w:val="0C0C0C"/>
          <w:w w:val="105"/>
          <w:sz w:val="21"/>
        </w:rPr>
        <w:t>the</w:t>
      </w:r>
      <w:r>
        <w:rPr>
          <w:rFonts w:ascii="Arial"/>
          <w:color w:val="0C0C0C"/>
          <w:spacing w:val="40"/>
          <w:w w:val="105"/>
          <w:sz w:val="21"/>
        </w:rPr>
        <w:t xml:space="preserve"> </w:t>
      </w:r>
      <w:r>
        <w:rPr>
          <w:rFonts w:ascii="Arial"/>
          <w:color w:val="1D1D1D"/>
          <w:w w:val="105"/>
          <w:sz w:val="21"/>
        </w:rPr>
        <w:t xml:space="preserve">domestic </w:t>
      </w:r>
      <w:r>
        <w:rPr>
          <w:rFonts w:ascii="Arial"/>
          <w:color w:val="0C0C0C"/>
          <w:w w:val="105"/>
          <w:sz w:val="21"/>
        </w:rPr>
        <w:t>producer questionnaire</w:t>
      </w:r>
      <w:r>
        <w:rPr>
          <w:rFonts w:ascii="Arial"/>
          <w:color w:val="0C0C0C"/>
          <w:spacing w:val="-3"/>
          <w:w w:val="105"/>
          <w:sz w:val="21"/>
        </w:rPr>
        <w:t xml:space="preserve"> </w:t>
      </w:r>
      <w:r>
        <w:rPr>
          <w:rFonts w:ascii="Arial"/>
          <w:color w:val="1D1D1D"/>
          <w:w w:val="105"/>
          <w:sz w:val="21"/>
        </w:rPr>
        <w:t>as</w:t>
      </w:r>
      <w:r>
        <w:rPr>
          <w:rFonts w:ascii="Arial"/>
          <w:color w:val="1D1D1D"/>
          <w:spacing w:val="-16"/>
          <w:w w:val="105"/>
          <w:sz w:val="21"/>
        </w:rPr>
        <w:t xml:space="preserve"> </w:t>
      </w:r>
      <w:r>
        <w:rPr>
          <w:rFonts w:ascii="Arial"/>
          <w:color w:val="0C0C0C"/>
          <w:w w:val="105"/>
          <w:sz w:val="21"/>
        </w:rPr>
        <w:t>the</w:t>
      </w:r>
      <w:r>
        <w:rPr>
          <w:rFonts w:ascii="Arial"/>
          <w:color w:val="0C0C0C"/>
          <w:spacing w:val="36"/>
          <w:w w:val="105"/>
          <w:sz w:val="21"/>
        </w:rPr>
        <w:t xml:space="preserve"> </w:t>
      </w:r>
      <w:r>
        <w:rPr>
          <w:rFonts w:ascii="Arial"/>
          <w:color w:val="1D1D1D"/>
          <w:w w:val="105"/>
          <w:sz w:val="21"/>
        </w:rPr>
        <w:t xml:space="preserve">numerator to </w:t>
      </w:r>
      <w:r>
        <w:rPr>
          <w:rFonts w:ascii="Arial"/>
          <w:color w:val="0C0C0C"/>
          <w:w w:val="105"/>
          <w:sz w:val="21"/>
        </w:rPr>
        <w:t xml:space="preserve">determine </w:t>
      </w:r>
      <w:r>
        <w:rPr>
          <w:rFonts w:ascii="Arial"/>
          <w:color w:val="1D1D1D"/>
          <w:w w:val="105"/>
          <w:sz w:val="21"/>
        </w:rPr>
        <w:t>the "ma</w:t>
      </w:r>
      <w:r>
        <w:rPr>
          <w:rFonts w:ascii="Arial"/>
          <w:color w:val="1D1D1D"/>
          <w:w w:val="105"/>
          <w:sz w:val="21"/>
        </w:rPr>
        <w:t>rket</w:t>
      </w:r>
      <w:r>
        <w:rPr>
          <w:rFonts w:ascii="Arial"/>
          <w:color w:val="1D1D1D"/>
          <w:spacing w:val="-3"/>
          <w:w w:val="105"/>
          <w:sz w:val="21"/>
        </w:rPr>
        <w:t xml:space="preserve"> </w:t>
      </w:r>
      <w:r>
        <w:rPr>
          <w:rFonts w:ascii="Arial"/>
          <w:color w:val="1D1D1D"/>
          <w:w w:val="105"/>
          <w:sz w:val="21"/>
        </w:rPr>
        <w:t>share"</w:t>
      </w:r>
      <w:r>
        <w:rPr>
          <w:rFonts w:ascii="Arial"/>
          <w:color w:val="1D1D1D"/>
          <w:spacing w:val="-7"/>
          <w:w w:val="105"/>
          <w:sz w:val="21"/>
        </w:rPr>
        <w:t xml:space="preserve"> </w:t>
      </w:r>
      <w:r>
        <w:rPr>
          <w:rFonts w:ascii="Arial"/>
          <w:color w:val="1D1D1D"/>
          <w:w w:val="105"/>
          <w:sz w:val="21"/>
        </w:rPr>
        <w:t xml:space="preserve">of </w:t>
      </w:r>
      <w:r>
        <w:rPr>
          <w:rFonts w:ascii="Arial"/>
          <w:color w:val="0C0C0C"/>
          <w:w w:val="105"/>
          <w:sz w:val="21"/>
        </w:rPr>
        <w:t>domestic like</w:t>
      </w:r>
      <w:r>
        <w:rPr>
          <w:rFonts w:ascii="Arial"/>
          <w:color w:val="0C0C0C"/>
          <w:spacing w:val="-8"/>
          <w:w w:val="105"/>
          <w:sz w:val="21"/>
        </w:rPr>
        <w:t xml:space="preserve"> </w:t>
      </w:r>
      <w:r>
        <w:rPr>
          <w:rFonts w:ascii="Arial"/>
          <w:color w:val="1D1D1D"/>
          <w:w w:val="105"/>
          <w:sz w:val="21"/>
        </w:rPr>
        <w:t>products.</w:t>
      </w:r>
      <w:r>
        <w:rPr>
          <w:rFonts w:ascii="Times New Roman"/>
          <w:color w:val="1D1D1D"/>
          <w:w w:val="105"/>
          <w:position w:val="7"/>
          <w:sz w:val="15"/>
        </w:rPr>
        <w:t>81</w:t>
      </w:r>
      <w:r>
        <w:rPr>
          <w:rFonts w:ascii="Arial"/>
          <w:color w:val="1D1D1D"/>
          <w:w w:val="105"/>
          <w:sz w:val="21"/>
        </w:rPr>
        <w:t xml:space="preserve">s As a consequence, the domestic sales volume relied on by </w:t>
      </w:r>
      <w:r>
        <w:rPr>
          <w:rFonts w:ascii="Arial"/>
          <w:color w:val="0C0C0C"/>
          <w:w w:val="105"/>
          <w:sz w:val="21"/>
        </w:rPr>
        <w:t xml:space="preserve">MOFCOM </w:t>
      </w:r>
      <w:r>
        <w:rPr>
          <w:rFonts w:ascii="Arial"/>
          <w:color w:val="1D1D1D"/>
          <w:w w:val="105"/>
          <w:sz w:val="21"/>
        </w:rPr>
        <w:t>for</w:t>
      </w:r>
      <w:r>
        <w:rPr>
          <w:rFonts w:ascii="Arial"/>
          <w:color w:val="1D1D1D"/>
          <w:spacing w:val="40"/>
          <w:w w:val="105"/>
          <w:sz w:val="21"/>
        </w:rPr>
        <w:t xml:space="preserve"> </w:t>
      </w:r>
      <w:r>
        <w:rPr>
          <w:rFonts w:ascii="Arial"/>
          <w:color w:val="1D1D1D"/>
          <w:w w:val="105"/>
          <w:sz w:val="21"/>
        </w:rPr>
        <w:t>the</w:t>
      </w:r>
      <w:r>
        <w:rPr>
          <w:rFonts w:ascii="Arial"/>
          <w:color w:val="1D1D1D"/>
          <w:spacing w:val="40"/>
          <w:w w:val="105"/>
          <w:sz w:val="21"/>
        </w:rPr>
        <w:t xml:space="preserve"> </w:t>
      </w:r>
      <w:r>
        <w:rPr>
          <w:rFonts w:ascii="Arial"/>
          <w:color w:val="0C0C0C"/>
          <w:w w:val="105"/>
          <w:sz w:val="21"/>
        </w:rPr>
        <w:t xml:space="preserve">purposes </w:t>
      </w:r>
      <w:r>
        <w:rPr>
          <w:rFonts w:ascii="Arial"/>
          <w:color w:val="1D1D1D"/>
          <w:w w:val="105"/>
          <w:sz w:val="21"/>
        </w:rPr>
        <w:t>of calculating</w:t>
      </w:r>
      <w:r>
        <w:rPr>
          <w:rFonts w:ascii="Arial"/>
          <w:color w:val="1D1D1D"/>
          <w:spacing w:val="-7"/>
          <w:w w:val="105"/>
          <w:sz w:val="21"/>
        </w:rPr>
        <w:t xml:space="preserve"> </w:t>
      </w:r>
      <w:r>
        <w:rPr>
          <w:rFonts w:ascii="Arial"/>
          <w:color w:val="1D1D1D"/>
          <w:w w:val="105"/>
          <w:sz w:val="21"/>
        </w:rPr>
        <w:t>"market share" only</w:t>
      </w:r>
      <w:r>
        <w:rPr>
          <w:rFonts w:ascii="Arial"/>
          <w:color w:val="1D1D1D"/>
          <w:spacing w:val="-15"/>
          <w:w w:val="105"/>
          <w:sz w:val="21"/>
        </w:rPr>
        <w:t xml:space="preserve"> </w:t>
      </w:r>
      <w:r>
        <w:rPr>
          <w:rFonts w:ascii="Arial"/>
          <w:color w:val="1D1D1D"/>
          <w:w w:val="105"/>
          <w:sz w:val="21"/>
        </w:rPr>
        <w:t>represents a</w:t>
      </w:r>
      <w:r>
        <w:rPr>
          <w:rFonts w:ascii="Arial"/>
          <w:color w:val="1D1D1D"/>
          <w:spacing w:val="-6"/>
          <w:w w:val="105"/>
          <w:sz w:val="21"/>
        </w:rPr>
        <w:t xml:space="preserve"> </w:t>
      </w:r>
      <w:r>
        <w:rPr>
          <w:rFonts w:ascii="Arial"/>
          <w:color w:val="1D1D1D"/>
          <w:w w:val="105"/>
          <w:sz w:val="21"/>
        </w:rPr>
        <w:t>portion</w:t>
      </w:r>
      <w:r>
        <w:rPr>
          <w:rFonts w:ascii="Arial"/>
          <w:color w:val="1D1D1D"/>
          <w:spacing w:val="-10"/>
          <w:w w:val="105"/>
          <w:sz w:val="21"/>
        </w:rPr>
        <w:t xml:space="preserve"> </w:t>
      </w:r>
      <w:r>
        <w:rPr>
          <w:rFonts w:ascii="Arial"/>
          <w:color w:val="1D1D1D"/>
          <w:w w:val="105"/>
          <w:sz w:val="21"/>
        </w:rPr>
        <w:t>of the</w:t>
      </w:r>
      <w:r>
        <w:rPr>
          <w:rFonts w:ascii="Arial"/>
          <w:color w:val="1D1D1D"/>
          <w:spacing w:val="-12"/>
          <w:w w:val="105"/>
          <w:sz w:val="21"/>
        </w:rPr>
        <w:t xml:space="preserve"> </w:t>
      </w:r>
      <w:r>
        <w:rPr>
          <w:rFonts w:ascii="Arial"/>
          <w:color w:val="1D1D1D"/>
          <w:w w:val="105"/>
          <w:sz w:val="21"/>
        </w:rPr>
        <w:t>domestic</w:t>
      </w:r>
      <w:r>
        <w:rPr>
          <w:rFonts w:ascii="Arial"/>
          <w:color w:val="1D1D1D"/>
          <w:spacing w:val="21"/>
          <w:w w:val="105"/>
          <w:sz w:val="21"/>
        </w:rPr>
        <w:t xml:space="preserve"> </w:t>
      </w:r>
      <w:r>
        <w:rPr>
          <w:rFonts w:ascii="Arial"/>
          <w:color w:val="1D1D1D"/>
          <w:w w:val="105"/>
          <w:sz w:val="21"/>
        </w:rPr>
        <w:t>wine</w:t>
      </w:r>
      <w:r>
        <w:rPr>
          <w:rFonts w:ascii="Arial"/>
          <w:color w:val="1D1D1D"/>
          <w:spacing w:val="-9"/>
          <w:w w:val="105"/>
          <w:sz w:val="21"/>
        </w:rPr>
        <w:t xml:space="preserve"> </w:t>
      </w:r>
      <w:r>
        <w:rPr>
          <w:rFonts w:ascii="Arial"/>
          <w:color w:val="1D1D1D"/>
          <w:w w:val="105"/>
          <w:sz w:val="21"/>
        </w:rPr>
        <w:t xml:space="preserve">industry </w:t>
      </w:r>
      <w:r>
        <w:rPr>
          <w:rFonts w:ascii="Arial"/>
          <w:color w:val="0C0C0C"/>
          <w:w w:val="105"/>
          <w:sz w:val="21"/>
        </w:rPr>
        <w:t xml:space="preserve">in </w:t>
      </w:r>
      <w:r>
        <w:rPr>
          <w:rFonts w:ascii="Arial"/>
          <w:color w:val="1D1D1D"/>
          <w:w w:val="105"/>
          <w:sz w:val="21"/>
        </w:rPr>
        <w:t>China.</w:t>
      </w:r>
      <w:r>
        <w:rPr>
          <w:rFonts w:ascii="Times New Roman"/>
          <w:color w:val="1D1D1D"/>
          <w:w w:val="105"/>
          <w:position w:val="7"/>
          <w:sz w:val="15"/>
        </w:rPr>
        <w:t>816</w:t>
      </w:r>
      <w:r>
        <w:rPr>
          <w:rFonts w:ascii="Times New Roman"/>
          <w:color w:val="1D1D1D"/>
          <w:spacing w:val="40"/>
          <w:w w:val="105"/>
          <w:position w:val="7"/>
          <w:sz w:val="15"/>
        </w:rPr>
        <w:t xml:space="preserve"> </w:t>
      </w:r>
      <w:r>
        <w:rPr>
          <w:rFonts w:ascii="Arial"/>
          <w:color w:val="0C0C0C"/>
          <w:w w:val="105"/>
          <w:sz w:val="21"/>
        </w:rPr>
        <w:t xml:space="preserve">The </w:t>
      </w:r>
      <w:r>
        <w:rPr>
          <w:rFonts w:ascii="Arial"/>
          <w:color w:val="1D1D1D"/>
          <w:w w:val="105"/>
          <w:sz w:val="21"/>
        </w:rPr>
        <w:t xml:space="preserve">effect of </w:t>
      </w:r>
      <w:r>
        <w:rPr>
          <w:rFonts w:ascii="Arial"/>
          <w:color w:val="0C0C0C"/>
          <w:w w:val="105"/>
          <w:sz w:val="21"/>
        </w:rPr>
        <w:t xml:space="preserve">this </w:t>
      </w:r>
      <w:r>
        <w:rPr>
          <w:rFonts w:ascii="Arial"/>
          <w:color w:val="1D1D1D"/>
          <w:w w:val="105"/>
          <w:sz w:val="21"/>
        </w:rPr>
        <w:t>is that</w:t>
      </w:r>
      <w:r>
        <w:rPr>
          <w:rFonts w:ascii="Arial"/>
          <w:color w:val="1D1D1D"/>
          <w:w w:val="105"/>
          <w:sz w:val="21"/>
        </w:rPr>
        <w:t xml:space="preserve"> MOFCOM's "market share" </w:t>
      </w:r>
      <w:r>
        <w:rPr>
          <w:rFonts w:ascii="Arial"/>
          <w:color w:val="0C0C0C"/>
          <w:w w:val="105"/>
          <w:sz w:val="21"/>
        </w:rPr>
        <w:t xml:space="preserve">percentages </w:t>
      </w:r>
      <w:r>
        <w:rPr>
          <w:rFonts w:ascii="Arial"/>
          <w:color w:val="1D1D1D"/>
          <w:w w:val="105"/>
          <w:sz w:val="21"/>
        </w:rPr>
        <w:t xml:space="preserve">unfairly compare only a </w:t>
      </w:r>
      <w:r>
        <w:rPr>
          <w:rFonts w:ascii="Arial"/>
          <w:color w:val="0C0C0C"/>
          <w:w w:val="105"/>
          <w:sz w:val="21"/>
        </w:rPr>
        <w:t xml:space="preserve">portion </w:t>
      </w:r>
      <w:r>
        <w:rPr>
          <w:rFonts w:ascii="Arial"/>
          <w:color w:val="1D1D1D"/>
          <w:w w:val="105"/>
          <w:sz w:val="21"/>
        </w:rPr>
        <w:t>of domestic sales to</w:t>
      </w:r>
      <w:r>
        <w:rPr>
          <w:rFonts w:ascii="Arial"/>
          <w:color w:val="1D1D1D"/>
          <w:spacing w:val="40"/>
          <w:w w:val="105"/>
          <w:sz w:val="21"/>
        </w:rPr>
        <w:t xml:space="preserve"> </w:t>
      </w:r>
      <w:r>
        <w:rPr>
          <w:rFonts w:ascii="Arial"/>
          <w:color w:val="0C0C0C"/>
          <w:w w:val="105"/>
          <w:sz w:val="21"/>
        </w:rPr>
        <w:t>the</w:t>
      </w:r>
      <w:r>
        <w:rPr>
          <w:rFonts w:ascii="Arial"/>
          <w:color w:val="0C0C0C"/>
          <w:spacing w:val="40"/>
          <w:w w:val="105"/>
          <w:sz w:val="21"/>
        </w:rPr>
        <w:t xml:space="preserve"> </w:t>
      </w:r>
      <w:r>
        <w:rPr>
          <w:rFonts w:ascii="Arial"/>
          <w:color w:val="1D1D1D"/>
          <w:w w:val="105"/>
          <w:sz w:val="21"/>
        </w:rPr>
        <w:t xml:space="preserve">total volume of subject imports </w:t>
      </w:r>
      <w:r>
        <w:rPr>
          <w:rFonts w:ascii="Arial"/>
          <w:color w:val="0C0C0C"/>
          <w:w w:val="105"/>
          <w:sz w:val="21"/>
        </w:rPr>
        <w:t xml:space="preserve">relative to </w:t>
      </w:r>
      <w:r>
        <w:rPr>
          <w:rFonts w:ascii="Arial"/>
          <w:color w:val="1D1D1D"/>
          <w:w w:val="105"/>
          <w:sz w:val="21"/>
        </w:rPr>
        <w:t>total apparent consumption.</w:t>
      </w:r>
      <w:r>
        <w:rPr>
          <w:rFonts w:ascii="Arial"/>
          <w:color w:val="1D1D1D"/>
          <w:spacing w:val="-16"/>
          <w:w w:val="105"/>
          <w:sz w:val="21"/>
        </w:rPr>
        <w:t xml:space="preserve"> </w:t>
      </w:r>
      <w:r>
        <w:rPr>
          <w:rFonts w:ascii="Arial"/>
          <w:color w:val="0C0C0C"/>
          <w:w w:val="105"/>
          <w:sz w:val="21"/>
        </w:rPr>
        <w:t>For</w:t>
      </w:r>
      <w:r>
        <w:rPr>
          <w:rFonts w:ascii="Arial"/>
          <w:color w:val="0C0C0C"/>
          <w:spacing w:val="-15"/>
          <w:w w:val="105"/>
          <w:sz w:val="21"/>
        </w:rPr>
        <w:t xml:space="preserve"> </w:t>
      </w:r>
      <w:r>
        <w:rPr>
          <w:rFonts w:ascii="Arial"/>
          <w:color w:val="1D1D1D"/>
          <w:w w:val="105"/>
          <w:sz w:val="21"/>
        </w:rPr>
        <w:t>ease</w:t>
      </w:r>
      <w:r>
        <w:rPr>
          <w:rFonts w:ascii="Arial"/>
          <w:color w:val="1D1D1D"/>
          <w:spacing w:val="-15"/>
          <w:w w:val="105"/>
          <w:sz w:val="21"/>
        </w:rPr>
        <w:t xml:space="preserve"> </w:t>
      </w:r>
      <w:r>
        <w:rPr>
          <w:rFonts w:ascii="Arial"/>
          <w:color w:val="1D1D1D"/>
          <w:w w:val="105"/>
          <w:sz w:val="21"/>
        </w:rPr>
        <w:t>of</w:t>
      </w:r>
      <w:r>
        <w:rPr>
          <w:rFonts w:ascii="Arial"/>
          <w:color w:val="1D1D1D"/>
          <w:spacing w:val="2"/>
          <w:w w:val="105"/>
          <w:sz w:val="21"/>
        </w:rPr>
        <w:t xml:space="preserve"> </w:t>
      </w:r>
      <w:r>
        <w:rPr>
          <w:rFonts w:ascii="Arial"/>
          <w:color w:val="1D1D1D"/>
          <w:w w:val="105"/>
          <w:sz w:val="21"/>
        </w:rPr>
        <w:t>reference,</w:t>
      </w:r>
      <w:r>
        <w:rPr>
          <w:rFonts w:ascii="Arial"/>
          <w:color w:val="1D1D1D"/>
          <w:spacing w:val="-13"/>
          <w:w w:val="105"/>
          <w:sz w:val="21"/>
        </w:rPr>
        <w:t xml:space="preserve"> </w:t>
      </w:r>
      <w:r>
        <w:rPr>
          <w:rFonts w:ascii="Arial"/>
          <w:color w:val="0C0C0C"/>
          <w:w w:val="105"/>
          <w:sz w:val="21"/>
        </w:rPr>
        <w:t>these</w:t>
      </w:r>
      <w:r>
        <w:rPr>
          <w:rFonts w:ascii="Arial"/>
          <w:color w:val="0C0C0C"/>
          <w:spacing w:val="-15"/>
          <w:w w:val="105"/>
          <w:sz w:val="21"/>
        </w:rPr>
        <w:t xml:space="preserve"> </w:t>
      </w:r>
      <w:r>
        <w:rPr>
          <w:rFonts w:ascii="Arial"/>
          <w:color w:val="0C0C0C"/>
          <w:w w:val="105"/>
          <w:sz w:val="21"/>
        </w:rPr>
        <w:t>market</w:t>
      </w:r>
      <w:r>
        <w:rPr>
          <w:rFonts w:ascii="Arial"/>
          <w:color w:val="0C0C0C"/>
          <w:spacing w:val="-16"/>
          <w:w w:val="105"/>
          <w:sz w:val="21"/>
        </w:rPr>
        <w:t xml:space="preserve"> </w:t>
      </w:r>
      <w:r>
        <w:rPr>
          <w:rFonts w:ascii="Arial"/>
          <w:color w:val="1D1D1D"/>
          <w:w w:val="105"/>
          <w:sz w:val="21"/>
        </w:rPr>
        <w:t>share</w:t>
      </w:r>
      <w:r>
        <w:rPr>
          <w:rFonts w:ascii="Arial"/>
          <w:color w:val="1D1D1D"/>
          <w:spacing w:val="-15"/>
          <w:w w:val="105"/>
          <w:sz w:val="21"/>
        </w:rPr>
        <w:t xml:space="preserve"> </w:t>
      </w:r>
      <w:r>
        <w:rPr>
          <w:rFonts w:ascii="Arial"/>
          <w:color w:val="1D1D1D"/>
          <w:w w:val="105"/>
          <w:sz w:val="21"/>
        </w:rPr>
        <w:t>values</w:t>
      </w:r>
      <w:r>
        <w:rPr>
          <w:rFonts w:ascii="Arial"/>
          <w:color w:val="1D1D1D"/>
          <w:spacing w:val="-15"/>
          <w:w w:val="105"/>
          <w:sz w:val="21"/>
        </w:rPr>
        <w:t xml:space="preserve"> </w:t>
      </w:r>
      <w:r>
        <w:rPr>
          <w:rFonts w:ascii="Arial"/>
          <w:color w:val="1D1D1D"/>
          <w:w w:val="105"/>
          <w:sz w:val="21"/>
        </w:rPr>
        <w:t>are</w:t>
      </w:r>
      <w:r>
        <w:rPr>
          <w:rFonts w:ascii="Arial"/>
          <w:color w:val="1D1D1D"/>
          <w:spacing w:val="-16"/>
          <w:w w:val="105"/>
          <w:sz w:val="21"/>
        </w:rPr>
        <w:t xml:space="preserve"> </w:t>
      </w:r>
      <w:r>
        <w:rPr>
          <w:rFonts w:ascii="Arial"/>
          <w:color w:val="1D1D1D"/>
          <w:w w:val="105"/>
          <w:sz w:val="21"/>
        </w:rPr>
        <w:t>set</w:t>
      </w:r>
      <w:r>
        <w:rPr>
          <w:rFonts w:ascii="Arial"/>
          <w:color w:val="1D1D1D"/>
          <w:spacing w:val="-14"/>
          <w:w w:val="105"/>
          <w:sz w:val="21"/>
        </w:rPr>
        <w:t xml:space="preserve"> </w:t>
      </w:r>
      <w:r>
        <w:rPr>
          <w:rFonts w:ascii="Arial"/>
          <w:color w:val="1D1D1D"/>
          <w:w w:val="105"/>
          <w:sz w:val="21"/>
        </w:rPr>
        <w:t>out</w:t>
      </w:r>
      <w:r>
        <w:rPr>
          <w:rFonts w:ascii="Arial"/>
          <w:color w:val="1D1D1D"/>
          <w:spacing w:val="7"/>
          <w:w w:val="105"/>
          <w:sz w:val="21"/>
        </w:rPr>
        <w:t xml:space="preserve"> </w:t>
      </w:r>
      <w:r>
        <w:rPr>
          <w:rFonts w:ascii="Arial"/>
          <w:color w:val="1D1D1D"/>
          <w:w w:val="105"/>
          <w:sz w:val="21"/>
        </w:rPr>
        <w:t>in</w:t>
      </w:r>
      <w:r>
        <w:rPr>
          <w:rFonts w:ascii="Arial"/>
          <w:color w:val="1D1D1D"/>
          <w:spacing w:val="-3"/>
          <w:w w:val="105"/>
          <w:sz w:val="21"/>
        </w:rPr>
        <w:t xml:space="preserve"> </w:t>
      </w:r>
      <w:r>
        <w:rPr>
          <w:rFonts w:ascii="Arial"/>
          <w:color w:val="1D1D1D"/>
          <w:w w:val="105"/>
          <w:sz w:val="21"/>
        </w:rPr>
        <w:t>Table</w:t>
      </w:r>
      <w:r>
        <w:rPr>
          <w:rFonts w:ascii="Arial"/>
          <w:color w:val="1D1D1D"/>
          <w:spacing w:val="-16"/>
          <w:w w:val="105"/>
          <w:sz w:val="21"/>
        </w:rPr>
        <w:t xml:space="preserve"> </w:t>
      </w:r>
      <w:r>
        <w:rPr>
          <w:rFonts w:ascii="Arial"/>
          <w:color w:val="1D1D1D"/>
          <w:w w:val="105"/>
          <w:sz w:val="20"/>
        </w:rPr>
        <w:t>8</w:t>
      </w:r>
      <w:r>
        <w:rPr>
          <w:rFonts w:ascii="Arial"/>
          <w:color w:val="1D1D1D"/>
          <w:spacing w:val="-6"/>
          <w:w w:val="105"/>
          <w:sz w:val="20"/>
        </w:rPr>
        <w:t xml:space="preserve"> </w:t>
      </w:r>
      <w:r>
        <w:rPr>
          <w:rFonts w:ascii="Arial"/>
          <w:color w:val="1D1D1D"/>
          <w:w w:val="105"/>
          <w:sz w:val="21"/>
        </w:rPr>
        <w:t xml:space="preserve">in Exhibit </w:t>
      </w:r>
      <w:r>
        <w:rPr>
          <w:rFonts w:ascii="Arial"/>
          <w:color w:val="1D1D1D"/>
          <w:w w:val="105"/>
          <w:sz w:val="19"/>
        </w:rPr>
        <w:t xml:space="preserve">AUS-65 </w:t>
      </w:r>
      <w:r>
        <w:rPr>
          <w:rFonts w:ascii="Arial"/>
          <w:color w:val="1D1D1D"/>
          <w:w w:val="105"/>
          <w:sz w:val="21"/>
        </w:rPr>
        <w:t>(BCl).</w:t>
      </w:r>
      <w:r>
        <w:rPr>
          <w:rFonts w:ascii="Times New Roman"/>
          <w:color w:val="1D1D1D"/>
          <w:w w:val="105"/>
          <w:position w:val="7"/>
          <w:sz w:val="15"/>
        </w:rPr>
        <w:t>817</w:t>
      </w:r>
    </w:p>
    <w:p w14:paraId="51DE9200" w14:textId="77777777" w:rsidR="0010369C" w:rsidRDefault="008E43AE">
      <w:pPr>
        <w:spacing w:before="178" w:line="436" w:lineRule="auto"/>
        <w:ind w:left="236" w:right="574" w:hanging="1"/>
        <w:jc w:val="both"/>
        <w:rPr>
          <w:rFonts w:ascii="Arial"/>
          <w:sz w:val="21"/>
        </w:rPr>
      </w:pPr>
      <w:r>
        <w:rPr>
          <w:rFonts w:ascii="Arial"/>
          <w:color w:val="1D1D1D"/>
          <w:w w:val="105"/>
          <w:sz w:val="21"/>
        </w:rPr>
        <w:t>682.</w:t>
      </w:r>
      <w:r>
        <w:rPr>
          <w:rFonts w:ascii="Arial"/>
          <w:color w:val="1D1D1D"/>
          <w:spacing w:val="80"/>
          <w:w w:val="105"/>
          <w:sz w:val="21"/>
        </w:rPr>
        <w:t xml:space="preserve">  </w:t>
      </w:r>
      <w:r>
        <w:rPr>
          <w:rFonts w:ascii="Arial"/>
          <w:color w:val="0C0C0C"/>
          <w:w w:val="105"/>
          <w:sz w:val="21"/>
        </w:rPr>
        <w:t>Further,</w:t>
      </w:r>
      <w:r>
        <w:rPr>
          <w:rFonts w:ascii="Arial"/>
          <w:color w:val="0C0C0C"/>
          <w:spacing w:val="-14"/>
          <w:w w:val="105"/>
          <w:sz w:val="21"/>
        </w:rPr>
        <w:t xml:space="preserve"> </w:t>
      </w:r>
      <w:r>
        <w:rPr>
          <w:rFonts w:ascii="Arial"/>
          <w:color w:val="1D1D1D"/>
          <w:w w:val="105"/>
          <w:sz w:val="21"/>
        </w:rPr>
        <w:t xml:space="preserve">MOFCOM </w:t>
      </w:r>
      <w:r>
        <w:rPr>
          <w:rFonts w:ascii="Arial"/>
          <w:color w:val="0C0C0C"/>
          <w:w w:val="105"/>
          <w:sz w:val="21"/>
        </w:rPr>
        <w:t>used</w:t>
      </w:r>
      <w:r>
        <w:rPr>
          <w:rFonts w:ascii="Arial"/>
          <w:color w:val="0C0C0C"/>
          <w:spacing w:val="-11"/>
          <w:w w:val="105"/>
          <w:sz w:val="21"/>
        </w:rPr>
        <w:t xml:space="preserve"> </w:t>
      </w:r>
      <w:r>
        <w:rPr>
          <w:rFonts w:ascii="Arial"/>
          <w:color w:val="1D1D1D"/>
          <w:w w:val="105"/>
          <w:sz w:val="21"/>
        </w:rPr>
        <w:t>import</w:t>
      </w:r>
      <w:r>
        <w:rPr>
          <w:rFonts w:ascii="Arial"/>
          <w:color w:val="1D1D1D"/>
          <w:spacing w:val="-12"/>
          <w:w w:val="105"/>
          <w:sz w:val="21"/>
        </w:rPr>
        <w:t xml:space="preserve"> </w:t>
      </w:r>
      <w:r>
        <w:rPr>
          <w:rFonts w:ascii="Arial"/>
          <w:color w:val="1D1D1D"/>
          <w:w w:val="105"/>
          <w:sz w:val="21"/>
        </w:rPr>
        <w:t xml:space="preserve">volumes, </w:t>
      </w:r>
      <w:r>
        <w:rPr>
          <w:rFonts w:ascii="Arial"/>
          <w:color w:val="0C0C0C"/>
          <w:w w:val="105"/>
          <w:sz w:val="21"/>
        </w:rPr>
        <w:t xml:space="preserve">rather </w:t>
      </w:r>
      <w:r>
        <w:rPr>
          <w:rFonts w:ascii="Arial"/>
          <w:color w:val="1D1D1D"/>
          <w:w w:val="105"/>
          <w:sz w:val="21"/>
        </w:rPr>
        <w:t>than</w:t>
      </w:r>
      <w:r>
        <w:rPr>
          <w:rFonts w:ascii="Arial"/>
          <w:color w:val="1D1D1D"/>
          <w:spacing w:val="-2"/>
          <w:w w:val="105"/>
          <w:sz w:val="21"/>
        </w:rPr>
        <w:t xml:space="preserve"> </w:t>
      </w:r>
      <w:r>
        <w:rPr>
          <w:rFonts w:ascii="Arial"/>
          <w:color w:val="1D1D1D"/>
          <w:w w:val="105"/>
          <w:sz w:val="21"/>
        </w:rPr>
        <w:t>sales</w:t>
      </w:r>
      <w:r>
        <w:rPr>
          <w:rFonts w:ascii="Arial"/>
          <w:color w:val="1D1D1D"/>
          <w:spacing w:val="-8"/>
          <w:w w:val="105"/>
          <w:sz w:val="21"/>
        </w:rPr>
        <w:t xml:space="preserve"> </w:t>
      </w:r>
      <w:r>
        <w:rPr>
          <w:rFonts w:ascii="Arial"/>
          <w:color w:val="1D1D1D"/>
          <w:w w:val="105"/>
          <w:sz w:val="21"/>
        </w:rPr>
        <w:t>volumes, to calculate</w:t>
      </w:r>
      <w:r>
        <w:rPr>
          <w:rFonts w:ascii="Arial"/>
          <w:color w:val="1D1D1D"/>
          <w:spacing w:val="-1"/>
          <w:w w:val="105"/>
          <w:sz w:val="21"/>
        </w:rPr>
        <w:t xml:space="preserve"> </w:t>
      </w:r>
      <w:r>
        <w:rPr>
          <w:rFonts w:ascii="Arial"/>
          <w:color w:val="0C0C0C"/>
          <w:w w:val="105"/>
          <w:sz w:val="21"/>
        </w:rPr>
        <w:t xml:space="preserve">the market </w:t>
      </w:r>
      <w:r>
        <w:rPr>
          <w:rFonts w:ascii="Arial"/>
          <w:color w:val="1D1D1D"/>
          <w:w w:val="105"/>
          <w:sz w:val="21"/>
        </w:rPr>
        <w:t>share of</w:t>
      </w:r>
      <w:r>
        <w:rPr>
          <w:rFonts w:ascii="Arial"/>
          <w:color w:val="1D1D1D"/>
          <w:spacing w:val="34"/>
          <w:w w:val="105"/>
          <w:sz w:val="21"/>
        </w:rPr>
        <w:t xml:space="preserve"> </w:t>
      </w:r>
      <w:r>
        <w:rPr>
          <w:rFonts w:ascii="Arial"/>
          <w:color w:val="1D1D1D"/>
          <w:w w:val="105"/>
          <w:sz w:val="21"/>
        </w:rPr>
        <w:t xml:space="preserve">subject </w:t>
      </w:r>
      <w:r>
        <w:rPr>
          <w:rFonts w:ascii="Arial"/>
          <w:color w:val="0C0C0C"/>
          <w:w w:val="105"/>
          <w:sz w:val="21"/>
        </w:rPr>
        <w:t>imports.</w:t>
      </w:r>
      <w:r>
        <w:rPr>
          <w:rFonts w:ascii="Arial"/>
          <w:color w:val="0C0C0C"/>
          <w:spacing w:val="-4"/>
          <w:w w:val="105"/>
          <w:sz w:val="21"/>
        </w:rPr>
        <w:t xml:space="preserve"> </w:t>
      </w:r>
      <w:r>
        <w:rPr>
          <w:rFonts w:ascii="Arial"/>
          <w:color w:val="0C0C0C"/>
          <w:w w:val="105"/>
          <w:sz w:val="21"/>
        </w:rPr>
        <w:t xml:space="preserve">This methodology </w:t>
      </w:r>
      <w:r>
        <w:rPr>
          <w:rFonts w:ascii="Arial"/>
          <w:color w:val="1D1D1D"/>
          <w:w w:val="105"/>
          <w:sz w:val="21"/>
        </w:rPr>
        <w:t>assumes that all</w:t>
      </w:r>
      <w:r>
        <w:rPr>
          <w:rFonts w:ascii="Arial"/>
          <w:color w:val="1D1D1D"/>
          <w:spacing w:val="-1"/>
          <w:w w:val="105"/>
          <w:sz w:val="21"/>
        </w:rPr>
        <w:t xml:space="preserve"> </w:t>
      </w:r>
      <w:r>
        <w:rPr>
          <w:rFonts w:ascii="Arial"/>
          <w:color w:val="1D1D1D"/>
          <w:w w:val="105"/>
          <w:sz w:val="21"/>
        </w:rPr>
        <w:t>subject imports are sold for</w:t>
      </w:r>
      <w:r>
        <w:rPr>
          <w:rFonts w:ascii="Arial"/>
          <w:color w:val="1D1D1D"/>
          <w:spacing w:val="40"/>
          <w:w w:val="105"/>
          <w:sz w:val="21"/>
        </w:rPr>
        <w:t xml:space="preserve"> </w:t>
      </w:r>
      <w:r>
        <w:rPr>
          <w:rFonts w:ascii="Arial"/>
          <w:color w:val="1D1D1D"/>
          <w:w w:val="105"/>
          <w:sz w:val="21"/>
        </w:rPr>
        <w:t xml:space="preserve">consumption in </w:t>
      </w:r>
      <w:r>
        <w:rPr>
          <w:rFonts w:ascii="Arial"/>
          <w:color w:val="0C0C0C"/>
          <w:w w:val="105"/>
          <w:sz w:val="21"/>
        </w:rPr>
        <w:t>the</w:t>
      </w:r>
      <w:r>
        <w:rPr>
          <w:rFonts w:ascii="Arial"/>
          <w:color w:val="0C0C0C"/>
          <w:spacing w:val="38"/>
          <w:w w:val="105"/>
          <w:sz w:val="21"/>
        </w:rPr>
        <w:t xml:space="preserve"> </w:t>
      </w:r>
      <w:r>
        <w:rPr>
          <w:rFonts w:ascii="Arial"/>
          <w:color w:val="1D1D1D"/>
          <w:w w:val="105"/>
          <w:sz w:val="21"/>
        </w:rPr>
        <w:t>same year that</w:t>
      </w:r>
      <w:r>
        <w:rPr>
          <w:rFonts w:ascii="Arial"/>
          <w:color w:val="1D1D1D"/>
          <w:spacing w:val="-8"/>
          <w:w w:val="105"/>
          <w:sz w:val="21"/>
        </w:rPr>
        <w:t xml:space="preserve"> </w:t>
      </w:r>
      <w:r>
        <w:rPr>
          <w:rFonts w:ascii="Arial"/>
          <w:color w:val="1D1D1D"/>
          <w:w w:val="105"/>
          <w:sz w:val="21"/>
        </w:rPr>
        <w:t xml:space="preserve">they are </w:t>
      </w:r>
      <w:r>
        <w:rPr>
          <w:rFonts w:ascii="Arial"/>
          <w:color w:val="0C0C0C"/>
          <w:w w:val="105"/>
          <w:sz w:val="21"/>
        </w:rPr>
        <w:t>imported.</w:t>
      </w:r>
      <w:r>
        <w:rPr>
          <w:rFonts w:ascii="Arial"/>
          <w:color w:val="0C0C0C"/>
          <w:spacing w:val="-5"/>
          <w:w w:val="105"/>
          <w:sz w:val="21"/>
        </w:rPr>
        <w:t xml:space="preserve"> </w:t>
      </w:r>
      <w:r>
        <w:rPr>
          <w:rFonts w:ascii="Arial"/>
          <w:color w:val="0C0C0C"/>
          <w:w w:val="105"/>
          <w:sz w:val="21"/>
        </w:rPr>
        <w:t xml:space="preserve">In </w:t>
      </w:r>
      <w:r>
        <w:rPr>
          <w:rFonts w:ascii="Arial"/>
          <w:color w:val="1D1D1D"/>
          <w:w w:val="105"/>
          <w:sz w:val="21"/>
        </w:rPr>
        <w:t>the context of a</w:t>
      </w:r>
      <w:r>
        <w:rPr>
          <w:rFonts w:ascii="Arial"/>
          <w:color w:val="1D1D1D"/>
          <w:spacing w:val="-12"/>
          <w:w w:val="105"/>
          <w:sz w:val="21"/>
        </w:rPr>
        <w:t xml:space="preserve"> </w:t>
      </w:r>
      <w:r>
        <w:rPr>
          <w:rFonts w:ascii="Arial"/>
          <w:color w:val="1D1D1D"/>
          <w:w w:val="105"/>
          <w:sz w:val="21"/>
        </w:rPr>
        <w:t>product with</w:t>
      </w:r>
      <w:r>
        <w:rPr>
          <w:rFonts w:ascii="Arial"/>
          <w:color w:val="1D1D1D"/>
          <w:spacing w:val="-5"/>
          <w:w w:val="105"/>
          <w:sz w:val="21"/>
        </w:rPr>
        <w:t xml:space="preserve"> </w:t>
      </w:r>
      <w:r>
        <w:rPr>
          <w:rFonts w:ascii="Arial"/>
          <w:color w:val="1D1D1D"/>
          <w:w w:val="105"/>
          <w:sz w:val="21"/>
        </w:rPr>
        <w:t xml:space="preserve">an extensive shelf life, such as </w:t>
      </w:r>
      <w:r>
        <w:rPr>
          <w:rFonts w:ascii="Arial"/>
          <w:color w:val="0C0C0C"/>
          <w:w w:val="105"/>
          <w:sz w:val="21"/>
        </w:rPr>
        <w:t xml:space="preserve">bottled </w:t>
      </w:r>
      <w:r>
        <w:rPr>
          <w:rFonts w:ascii="Arial"/>
          <w:color w:val="1D1D1D"/>
          <w:w w:val="105"/>
          <w:sz w:val="21"/>
        </w:rPr>
        <w:t>wine,</w:t>
      </w:r>
      <w:r>
        <w:rPr>
          <w:rFonts w:ascii="Arial"/>
          <w:color w:val="1D1D1D"/>
          <w:spacing w:val="-4"/>
          <w:w w:val="105"/>
          <w:sz w:val="21"/>
        </w:rPr>
        <w:t xml:space="preserve"> </w:t>
      </w:r>
      <w:r>
        <w:rPr>
          <w:rFonts w:ascii="Arial"/>
          <w:color w:val="1D1D1D"/>
          <w:w w:val="105"/>
          <w:sz w:val="21"/>
        </w:rPr>
        <w:t>this is not</w:t>
      </w:r>
      <w:r>
        <w:rPr>
          <w:rFonts w:ascii="Arial"/>
          <w:color w:val="1D1D1D"/>
          <w:spacing w:val="40"/>
          <w:w w:val="105"/>
          <w:sz w:val="21"/>
        </w:rPr>
        <w:t xml:space="preserve"> </w:t>
      </w:r>
      <w:r>
        <w:rPr>
          <w:rFonts w:ascii="Arial"/>
          <w:color w:val="1D1D1D"/>
          <w:w w:val="105"/>
          <w:sz w:val="21"/>
        </w:rPr>
        <w:t xml:space="preserve">a sound assumption </w:t>
      </w:r>
      <w:r>
        <w:rPr>
          <w:rFonts w:ascii="Arial"/>
          <w:color w:val="0C0C0C"/>
          <w:w w:val="105"/>
          <w:sz w:val="21"/>
        </w:rPr>
        <w:t>in the</w:t>
      </w:r>
      <w:r>
        <w:rPr>
          <w:rFonts w:ascii="Arial"/>
          <w:color w:val="0C0C0C"/>
          <w:spacing w:val="40"/>
          <w:w w:val="105"/>
          <w:sz w:val="21"/>
        </w:rPr>
        <w:t xml:space="preserve"> </w:t>
      </w:r>
      <w:r>
        <w:rPr>
          <w:rFonts w:ascii="Arial"/>
          <w:color w:val="1D1D1D"/>
          <w:w w:val="105"/>
          <w:sz w:val="21"/>
        </w:rPr>
        <w:t xml:space="preserve">absence of </w:t>
      </w:r>
      <w:r>
        <w:rPr>
          <w:rFonts w:ascii="Arial"/>
          <w:color w:val="0C0C0C"/>
          <w:w w:val="105"/>
          <w:sz w:val="21"/>
        </w:rPr>
        <w:t xml:space="preserve">positive </w:t>
      </w:r>
      <w:r>
        <w:rPr>
          <w:rFonts w:ascii="Arial"/>
          <w:color w:val="1D1D1D"/>
          <w:w w:val="105"/>
          <w:sz w:val="21"/>
        </w:rPr>
        <w:t>evidence</w:t>
      </w:r>
      <w:r>
        <w:rPr>
          <w:rFonts w:ascii="Arial"/>
          <w:color w:val="1D1D1D"/>
          <w:spacing w:val="-5"/>
          <w:w w:val="105"/>
          <w:sz w:val="21"/>
        </w:rPr>
        <w:t xml:space="preserve"> </w:t>
      </w:r>
      <w:r>
        <w:rPr>
          <w:rFonts w:ascii="Arial"/>
          <w:color w:val="0C0C0C"/>
          <w:w w:val="105"/>
          <w:sz w:val="21"/>
        </w:rPr>
        <w:t>to</w:t>
      </w:r>
      <w:r>
        <w:rPr>
          <w:rFonts w:ascii="Arial"/>
          <w:color w:val="0C0C0C"/>
          <w:spacing w:val="34"/>
          <w:w w:val="105"/>
          <w:sz w:val="21"/>
        </w:rPr>
        <w:t xml:space="preserve"> </w:t>
      </w:r>
      <w:r>
        <w:rPr>
          <w:rFonts w:ascii="Arial"/>
          <w:color w:val="0C0C0C"/>
          <w:w w:val="105"/>
          <w:sz w:val="21"/>
        </w:rPr>
        <w:t>demonstrate</w:t>
      </w:r>
      <w:r>
        <w:rPr>
          <w:rFonts w:ascii="Arial"/>
          <w:color w:val="0C0C0C"/>
          <w:spacing w:val="12"/>
          <w:w w:val="105"/>
          <w:sz w:val="21"/>
        </w:rPr>
        <w:t xml:space="preserve"> </w:t>
      </w:r>
      <w:r>
        <w:rPr>
          <w:rFonts w:ascii="Arial"/>
          <w:color w:val="0C0C0C"/>
          <w:w w:val="105"/>
          <w:sz w:val="21"/>
        </w:rPr>
        <w:t>it</w:t>
      </w:r>
      <w:r>
        <w:rPr>
          <w:rFonts w:ascii="Arial"/>
          <w:color w:val="0C0C0C"/>
          <w:spacing w:val="15"/>
          <w:w w:val="105"/>
          <w:sz w:val="21"/>
        </w:rPr>
        <w:t xml:space="preserve"> </w:t>
      </w:r>
      <w:r>
        <w:rPr>
          <w:rFonts w:ascii="Arial"/>
          <w:color w:val="1D1D1D"/>
          <w:w w:val="105"/>
          <w:sz w:val="21"/>
        </w:rPr>
        <w:t>reflects</w:t>
      </w:r>
      <w:r>
        <w:rPr>
          <w:rFonts w:ascii="Arial"/>
          <w:color w:val="1D1D1D"/>
          <w:spacing w:val="-7"/>
          <w:w w:val="105"/>
          <w:sz w:val="21"/>
        </w:rPr>
        <w:t xml:space="preserve"> </w:t>
      </w:r>
      <w:r>
        <w:rPr>
          <w:rFonts w:ascii="Arial"/>
          <w:color w:val="1D1D1D"/>
          <w:w w:val="105"/>
          <w:sz w:val="21"/>
        </w:rPr>
        <w:t>actual</w:t>
      </w:r>
      <w:r>
        <w:rPr>
          <w:rFonts w:ascii="Arial"/>
          <w:color w:val="1D1D1D"/>
          <w:spacing w:val="-5"/>
          <w:w w:val="105"/>
          <w:sz w:val="21"/>
        </w:rPr>
        <w:t xml:space="preserve"> </w:t>
      </w:r>
      <w:r>
        <w:rPr>
          <w:rFonts w:ascii="Arial"/>
          <w:color w:val="0C0C0C"/>
          <w:w w:val="105"/>
          <w:sz w:val="21"/>
        </w:rPr>
        <w:t>market</w:t>
      </w:r>
      <w:r>
        <w:rPr>
          <w:rFonts w:ascii="Arial"/>
          <w:color w:val="0C0C0C"/>
          <w:spacing w:val="-12"/>
          <w:w w:val="105"/>
          <w:sz w:val="21"/>
        </w:rPr>
        <w:t xml:space="preserve"> </w:t>
      </w:r>
      <w:r>
        <w:rPr>
          <w:rFonts w:ascii="Arial"/>
          <w:color w:val="1D1D1D"/>
          <w:w w:val="105"/>
          <w:sz w:val="21"/>
        </w:rPr>
        <w:t>behaviours.</w:t>
      </w:r>
      <w:r>
        <w:rPr>
          <w:rFonts w:ascii="Arial"/>
          <w:color w:val="1D1D1D"/>
          <w:spacing w:val="3"/>
          <w:w w:val="105"/>
          <w:sz w:val="21"/>
        </w:rPr>
        <w:t xml:space="preserve"> </w:t>
      </w:r>
      <w:r>
        <w:rPr>
          <w:rFonts w:ascii="Arial"/>
          <w:color w:val="1D1D1D"/>
          <w:w w:val="105"/>
          <w:sz w:val="21"/>
        </w:rPr>
        <w:t>Further,</w:t>
      </w:r>
      <w:r>
        <w:rPr>
          <w:rFonts w:ascii="Arial"/>
          <w:color w:val="1D1D1D"/>
          <w:spacing w:val="-4"/>
          <w:w w:val="105"/>
          <w:sz w:val="21"/>
        </w:rPr>
        <w:t xml:space="preserve"> </w:t>
      </w:r>
      <w:r>
        <w:rPr>
          <w:rFonts w:ascii="Arial"/>
          <w:color w:val="0C0C0C"/>
          <w:w w:val="105"/>
          <w:sz w:val="21"/>
        </w:rPr>
        <w:t>in</w:t>
      </w:r>
      <w:r>
        <w:rPr>
          <w:rFonts w:ascii="Arial"/>
          <w:color w:val="0C0C0C"/>
          <w:spacing w:val="-1"/>
          <w:w w:val="105"/>
          <w:sz w:val="21"/>
        </w:rPr>
        <w:t xml:space="preserve"> </w:t>
      </w:r>
      <w:r>
        <w:rPr>
          <w:rFonts w:ascii="Arial"/>
          <w:color w:val="0C0C0C"/>
          <w:w w:val="105"/>
          <w:sz w:val="21"/>
        </w:rPr>
        <w:t>making</w:t>
      </w:r>
      <w:r>
        <w:rPr>
          <w:rFonts w:ascii="Arial"/>
          <w:color w:val="0C0C0C"/>
          <w:spacing w:val="-22"/>
          <w:w w:val="105"/>
          <w:sz w:val="21"/>
        </w:rPr>
        <w:t xml:space="preserve"> </w:t>
      </w:r>
      <w:r>
        <w:rPr>
          <w:rFonts w:ascii="Arial"/>
          <w:color w:val="0C0C0C"/>
          <w:spacing w:val="-4"/>
          <w:w w:val="105"/>
          <w:sz w:val="21"/>
        </w:rPr>
        <w:t>this</w:t>
      </w:r>
    </w:p>
    <w:p w14:paraId="51DE9201" w14:textId="77777777" w:rsidR="0010369C" w:rsidRDefault="008E43AE">
      <w:pPr>
        <w:spacing w:line="305" w:lineRule="exact"/>
        <w:ind w:left="237"/>
        <w:jc w:val="both"/>
        <w:rPr>
          <w:rFonts w:ascii="Arial"/>
          <w:sz w:val="21"/>
        </w:rPr>
      </w:pPr>
      <w:r>
        <w:rPr>
          <w:rFonts w:ascii="Arial"/>
          <w:color w:val="1D1D1D"/>
          <w:w w:val="105"/>
          <w:sz w:val="21"/>
        </w:rPr>
        <w:t>assumption,</w:t>
      </w:r>
      <w:r>
        <w:rPr>
          <w:rFonts w:ascii="Arial"/>
          <w:color w:val="1D1D1D"/>
          <w:spacing w:val="41"/>
          <w:w w:val="105"/>
          <w:sz w:val="21"/>
        </w:rPr>
        <w:t xml:space="preserve"> </w:t>
      </w:r>
      <w:r>
        <w:rPr>
          <w:rFonts w:ascii="Arial"/>
          <w:color w:val="1D1D1D"/>
          <w:w w:val="105"/>
          <w:sz w:val="21"/>
        </w:rPr>
        <w:t>MOFCOM</w:t>
      </w:r>
      <w:r>
        <w:rPr>
          <w:rFonts w:ascii="Arial"/>
          <w:color w:val="1D1D1D"/>
          <w:spacing w:val="55"/>
          <w:w w:val="105"/>
          <w:sz w:val="21"/>
        </w:rPr>
        <w:t xml:space="preserve"> </w:t>
      </w:r>
      <w:r>
        <w:rPr>
          <w:rFonts w:ascii="Arial"/>
          <w:color w:val="1D1D1D"/>
          <w:w w:val="105"/>
          <w:sz w:val="21"/>
        </w:rPr>
        <w:t>ignored</w:t>
      </w:r>
      <w:r>
        <w:rPr>
          <w:rFonts w:ascii="Arial"/>
          <w:color w:val="1D1D1D"/>
          <w:spacing w:val="39"/>
          <w:w w:val="105"/>
          <w:sz w:val="21"/>
        </w:rPr>
        <w:t xml:space="preserve"> </w:t>
      </w:r>
      <w:r>
        <w:rPr>
          <w:rFonts w:ascii="Arial"/>
          <w:color w:val="1D1D1D"/>
          <w:w w:val="105"/>
          <w:sz w:val="21"/>
        </w:rPr>
        <w:t>evidence</w:t>
      </w:r>
      <w:r>
        <w:rPr>
          <w:rFonts w:ascii="Arial"/>
          <w:color w:val="1D1D1D"/>
          <w:spacing w:val="46"/>
          <w:w w:val="105"/>
          <w:sz w:val="21"/>
        </w:rPr>
        <w:t xml:space="preserve"> </w:t>
      </w:r>
      <w:r>
        <w:rPr>
          <w:rFonts w:ascii="Arial"/>
          <w:color w:val="1D1D1D"/>
          <w:w w:val="105"/>
          <w:sz w:val="21"/>
        </w:rPr>
        <w:t>on</w:t>
      </w:r>
      <w:r>
        <w:rPr>
          <w:rFonts w:ascii="Arial"/>
          <w:color w:val="1D1D1D"/>
          <w:spacing w:val="50"/>
          <w:w w:val="105"/>
          <w:sz w:val="21"/>
        </w:rPr>
        <w:t xml:space="preserve"> </w:t>
      </w:r>
      <w:r>
        <w:rPr>
          <w:rFonts w:ascii="Arial"/>
          <w:color w:val="1D1D1D"/>
          <w:w w:val="105"/>
          <w:sz w:val="21"/>
        </w:rPr>
        <w:t>the</w:t>
      </w:r>
      <w:r>
        <w:rPr>
          <w:rFonts w:ascii="Arial"/>
          <w:color w:val="1D1D1D"/>
          <w:spacing w:val="76"/>
          <w:w w:val="105"/>
          <w:sz w:val="21"/>
        </w:rPr>
        <w:t xml:space="preserve"> </w:t>
      </w:r>
      <w:r>
        <w:rPr>
          <w:rFonts w:ascii="Arial"/>
          <w:color w:val="0C0C0C"/>
          <w:w w:val="105"/>
          <w:sz w:val="21"/>
        </w:rPr>
        <w:t>record</w:t>
      </w:r>
      <w:r>
        <w:rPr>
          <w:rFonts w:ascii="Arial"/>
          <w:color w:val="0C0C0C"/>
          <w:spacing w:val="43"/>
          <w:w w:val="105"/>
          <w:sz w:val="21"/>
        </w:rPr>
        <w:t xml:space="preserve"> </w:t>
      </w:r>
      <w:r>
        <w:rPr>
          <w:rFonts w:ascii="Arial"/>
          <w:color w:val="1D1D1D"/>
          <w:w w:val="105"/>
          <w:sz w:val="21"/>
        </w:rPr>
        <w:t>showing</w:t>
      </w:r>
      <w:r>
        <w:rPr>
          <w:rFonts w:ascii="Arial"/>
          <w:color w:val="1D1D1D"/>
          <w:spacing w:val="36"/>
          <w:w w:val="105"/>
          <w:sz w:val="21"/>
        </w:rPr>
        <w:t xml:space="preserve"> </w:t>
      </w:r>
      <w:r>
        <w:rPr>
          <w:rFonts w:ascii="Arial"/>
          <w:color w:val="0C0C0C"/>
          <w:w w:val="105"/>
          <w:sz w:val="21"/>
        </w:rPr>
        <w:t>that</w:t>
      </w:r>
      <w:r>
        <w:rPr>
          <w:rFonts w:ascii="Arial"/>
          <w:color w:val="0C0C0C"/>
          <w:spacing w:val="39"/>
          <w:w w:val="105"/>
          <w:sz w:val="21"/>
        </w:rPr>
        <w:t xml:space="preserve"> </w:t>
      </w:r>
      <w:r>
        <w:rPr>
          <w:rFonts w:ascii="Arial"/>
          <w:color w:val="1D1D1D"/>
          <w:w w:val="105"/>
          <w:sz w:val="21"/>
        </w:rPr>
        <w:t>[</w:t>
      </w:r>
      <w:r>
        <w:rPr>
          <w:rFonts w:ascii="Arial"/>
          <w:color w:val="1D1D1D"/>
          <w:spacing w:val="-25"/>
          <w:w w:val="105"/>
          <w:sz w:val="21"/>
        </w:rPr>
        <w:t xml:space="preserve"> </w:t>
      </w:r>
      <w:r>
        <w:rPr>
          <w:rFonts w:ascii="Arial"/>
          <w:noProof/>
          <w:color w:val="1D1D1D"/>
          <w:position w:val="-10"/>
          <w:sz w:val="21"/>
        </w:rPr>
        <w:drawing>
          <wp:inline distT="0" distB="0" distL="0" distR="0" wp14:anchorId="51DEA595" wp14:editId="51DEA596">
            <wp:extent cx="1140470" cy="197317"/>
            <wp:effectExtent l="0" t="0" r="0" b="0"/>
            <wp:docPr id="1345" name="image6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 name="image696.png"/>
                    <pic:cNvPicPr/>
                  </pic:nvPicPr>
                  <pic:blipFill>
                    <a:blip r:embed="rId902" cstate="print"/>
                    <a:stretch>
                      <a:fillRect/>
                    </a:stretch>
                  </pic:blipFill>
                  <pic:spPr>
                    <a:xfrm>
                      <a:off x="0" y="0"/>
                      <a:ext cx="1140470" cy="197317"/>
                    </a:xfrm>
                    <a:prstGeom prst="rect">
                      <a:avLst/>
                    </a:prstGeom>
                  </pic:spPr>
                </pic:pic>
              </a:graphicData>
            </a:graphic>
          </wp:inline>
        </w:drawing>
      </w:r>
    </w:p>
    <w:p w14:paraId="51DE9202" w14:textId="77777777" w:rsidR="0010369C" w:rsidRDefault="008E43AE">
      <w:pPr>
        <w:spacing w:before="130" w:line="333" w:lineRule="auto"/>
        <w:ind w:left="240" w:right="580" w:hanging="17"/>
        <w:jc w:val="both"/>
        <w:rPr>
          <w:rFonts w:ascii="Arial"/>
          <w:sz w:val="21"/>
        </w:rPr>
      </w:pPr>
      <w:r>
        <w:rPr>
          <w:noProof/>
          <w:position w:val="-10"/>
        </w:rPr>
        <w:drawing>
          <wp:inline distT="0" distB="0" distL="0" distR="0" wp14:anchorId="51DEA597" wp14:editId="51DEA598">
            <wp:extent cx="1924145" cy="197317"/>
            <wp:effectExtent l="0" t="0" r="0" b="0"/>
            <wp:docPr id="1347" name="image6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 name="image697.png"/>
                    <pic:cNvPicPr/>
                  </pic:nvPicPr>
                  <pic:blipFill>
                    <a:blip r:embed="rId903" cstate="print"/>
                    <a:stretch>
                      <a:fillRect/>
                    </a:stretch>
                  </pic:blipFill>
                  <pic:spPr>
                    <a:xfrm>
                      <a:off x="0" y="0"/>
                      <a:ext cx="1924145" cy="197317"/>
                    </a:xfrm>
                    <a:prstGeom prst="rect">
                      <a:avLst/>
                    </a:prstGeom>
                  </pic:spPr>
                </pic:pic>
              </a:graphicData>
            </a:graphic>
          </wp:inline>
        </w:drawing>
      </w:r>
      <w:r>
        <w:rPr>
          <w:rFonts w:ascii="Arial"/>
          <w:color w:val="0C0C0C"/>
          <w:w w:val="110"/>
          <w:sz w:val="21"/>
        </w:rPr>
        <w:t>]]</w:t>
      </w:r>
      <w:r>
        <w:rPr>
          <w:rFonts w:ascii="Arial"/>
          <w:color w:val="0C0C0C"/>
          <w:spacing w:val="-15"/>
          <w:w w:val="110"/>
          <w:sz w:val="21"/>
        </w:rPr>
        <w:t xml:space="preserve"> </w:t>
      </w:r>
      <w:r>
        <w:rPr>
          <w:rFonts w:ascii="Arial"/>
          <w:color w:val="1D1D1D"/>
          <w:w w:val="110"/>
          <w:sz w:val="21"/>
        </w:rPr>
        <w:t>had</w:t>
      </w:r>
      <w:r>
        <w:rPr>
          <w:rFonts w:ascii="Arial"/>
          <w:color w:val="1D1D1D"/>
          <w:spacing w:val="-11"/>
          <w:w w:val="110"/>
          <w:sz w:val="21"/>
        </w:rPr>
        <w:t xml:space="preserve"> </w:t>
      </w:r>
      <w:r>
        <w:rPr>
          <w:rFonts w:ascii="Arial"/>
          <w:color w:val="1D1D1D"/>
          <w:w w:val="110"/>
          <w:sz w:val="21"/>
        </w:rPr>
        <w:t>"inventory</w:t>
      </w:r>
      <w:r>
        <w:rPr>
          <w:rFonts w:ascii="Arial"/>
          <w:color w:val="1D1D1D"/>
          <w:spacing w:val="-12"/>
          <w:w w:val="110"/>
          <w:sz w:val="21"/>
        </w:rPr>
        <w:t xml:space="preserve"> </w:t>
      </w:r>
      <w:r>
        <w:rPr>
          <w:rFonts w:ascii="Arial"/>
          <w:color w:val="1D1D1D"/>
          <w:w w:val="110"/>
          <w:sz w:val="21"/>
        </w:rPr>
        <w:t>held</w:t>
      </w:r>
      <w:r>
        <w:rPr>
          <w:rFonts w:ascii="Arial"/>
          <w:color w:val="1D1D1D"/>
          <w:spacing w:val="-16"/>
          <w:w w:val="110"/>
          <w:sz w:val="21"/>
        </w:rPr>
        <w:t xml:space="preserve"> </w:t>
      </w:r>
      <w:r>
        <w:rPr>
          <w:rFonts w:ascii="Arial"/>
          <w:color w:val="1D1D1D"/>
          <w:w w:val="110"/>
          <w:sz w:val="21"/>
        </w:rPr>
        <w:t>in</w:t>
      </w:r>
      <w:r>
        <w:rPr>
          <w:rFonts w:ascii="Arial"/>
          <w:color w:val="1D1D1D"/>
          <w:spacing w:val="-3"/>
          <w:w w:val="110"/>
          <w:sz w:val="21"/>
        </w:rPr>
        <w:t xml:space="preserve"> </w:t>
      </w:r>
      <w:r>
        <w:rPr>
          <w:rFonts w:ascii="Arial"/>
          <w:color w:val="0C0C0C"/>
          <w:w w:val="110"/>
          <w:sz w:val="21"/>
        </w:rPr>
        <w:t>mainland</w:t>
      </w:r>
      <w:r>
        <w:rPr>
          <w:rFonts w:ascii="Arial"/>
          <w:color w:val="0C0C0C"/>
          <w:spacing w:val="-12"/>
          <w:w w:val="110"/>
          <w:sz w:val="21"/>
        </w:rPr>
        <w:t xml:space="preserve"> </w:t>
      </w:r>
      <w:r>
        <w:rPr>
          <w:rFonts w:ascii="Arial"/>
          <w:color w:val="1D1D1D"/>
          <w:w w:val="110"/>
          <w:sz w:val="21"/>
        </w:rPr>
        <w:t>China</w:t>
      </w:r>
      <w:r>
        <w:rPr>
          <w:rFonts w:ascii="Arial"/>
          <w:color w:val="1D1D1D"/>
          <w:spacing w:val="-4"/>
          <w:w w:val="110"/>
          <w:sz w:val="21"/>
        </w:rPr>
        <w:t xml:space="preserve"> </w:t>
      </w:r>
      <w:r>
        <w:rPr>
          <w:rFonts w:ascii="Arial"/>
          <w:color w:val="1D1D1D"/>
          <w:w w:val="110"/>
          <w:sz w:val="21"/>
        </w:rPr>
        <w:t>(excluding</w:t>
      </w:r>
      <w:r>
        <w:rPr>
          <w:rFonts w:ascii="Arial"/>
          <w:color w:val="1D1D1D"/>
          <w:spacing w:val="-17"/>
          <w:w w:val="110"/>
          <w:sz w:val="21"/>
        </w:rPr>
        <w:t xml:space="preserve"> </w:t>
      </w:r>
      <w:r>
        <w:rPr>
          <w:rFonts w:ascii="Arial"/>
          <w:color w:val="1D1D1D"/>
          <w:w w:val="110"/>
          <w:sz w:val="21"/>
        </w:rPr>
        <w:t xml:space="preserve">products </w:t>
      </w:r>
      <w:r>
        <w:rPr>
          <w:rFonts w:ascii="Arial"/>
          <w:color w:val="0C0C0C"/>
          <w:w w:val="110"/>
          <w:sz w:val="21"/>
        </w:rPr>
        <w:t>purchased</w:t>
      </w:r>
      <w:r>
        <w:rPr>
          <w:rFonts w:ascii="Arial"/>
          <w:color w:val="0C0C0C"/>
          <w:spacing w:val="-9"/>
          <w:w w:val="110"/>
          <w:sz w:val="21"/>
        </w:rPr>
        <w:t xml:space="preserve"> </w:t>
      </w:r>
      <w:r>
        <w:rPr>
          <w:rFonts w:ascii="Arial"/>
          <w:color w:val="0C0C0C"/>
          <w:w w:val="110"/>
          <w:sz w:val="21"/>
        </w:rPr>
        <w:t>by</w:t>
      </w:r>
      <w:r>
        <w:rPr>
          <w:rFonts w:ascii="Arial"/>
          <w:color w:val="0C0C0C"/>
          <w:spacing w:val="-12"/>
          <w:w w:val="110"/>
          <w:sz w:val="21"/>
        </w:rPr>
        <w:t xml:space="preserve"> </w:t>
      </w:r>
      <w:r>
        <w:rPr>
          <w:rFonts w:ascii="Arial"/>
          <w:color w:val="0C0C0C"/>
          <w:w w:val="110"/>
          <w:sz w:val="21"/>
        </w:rPr>
        <w:t>related</w:t>
      </w:r>
      <w:r>
        <w:rPr>
          <w:rFonts w:ascii="Arial"/>
          <w:color w:val="0C0C0C"/>
          <w:spacing w:val="-9"/>
          <w:w w:val="110"/>
          <w:sz w:val="21"/>
        </w:rPr>
        <w:t xml:space="preserve"> </w:t>
      </w:r>
      <w:r>
        <w:rPr>
          <w:rFonts w:ascii="Arial"/>
          <w:color w:val="1D1D1D"/>
          <w:w w:val="110"/>
          <w:sz w:val="21"/>
        </w:rPr>
        <w:t>parties</w:t>
      </w:r>
      <w:r>
        <w:rPr>
          <w:rFonts w:ascii="Arial"/>
          <w:color w:val="1D1D1D"/>
          <w:spacing w:val="-12"/>
          <w:w w:val="110"/>
          <w:sz w:val="21"/>
        </w:rPr>
        <w:t xml:space="preserve"> </w:t>
      </w:r>
      <w:r>
        <w:rPr>
          <w:rFonts w:ascii="Arial"/>
          <w:color w:val="1D1D1D"/>
          <w:w w:val="110"/>
          <w:sz w:val="21"/>
        </w:rPr>
        <w:t>or importers)",</w:t>
      </w:r>
      <w:r>
        <w:rPr>
          <w:rFonts w:ascii="Arial"/>
          <w:color w:val="1D1D1D"/>
          <w:spacing w:val="-8"/>
          <w:w w:val="110"/>
          <w:sz w:val="21"/>
        </w:rPr>
        <w:t xml:space="preserve"> </w:t>
      </w:r>
      <w:r>
        <w:rPr>
          <w:rFonts w:ascii="Arial"/>
          <w:color w:val="1D1D1D"/>
          <w:w w:val="110"/>
          <w:sz w:val="21"/>
        </w:rPr>
        <w:t>at</w:t>
      </w:r>
      <w:r>
        <w:rPr>
          <w:rFonts w:ascii="Arial"/>
          <w:color w:val="1D1D1D"/>
          <w:spacing w:val="-7"/>
          <w:w w:val="110"/>
          <w:sz w:val="21"/>
        </w:rPr>
        <w:t xml:space="preserve"> </w:t>
      </w:r>
      <w:r>
        <w:rPr>
          <w:rFonts w:ascii="Arial"/>
          <w:color w:val="1D1D1D"/>
          <w:w w:val="110"/>
          <w:sz w:val="21"/>
        </w:rPr>
        <w:t>various</w:t>
      </w:r>
      <w:r>
        <w:rPr>
          <w:rFonts w:ascii="Arial"/>
          <w:color w:val="1D1D1D"/>
          <w:spacing w:val="-8"/>
          <w:w w:val="110"/>
          <w:sz w:val="21"/>
        </w:rPr>
        <w:t xml:space="preserve"> </w:t>
      </w:r>
      <w:r>
        <w:rPr>
          <w:rFonts w:ascii="Arial"/>
          <w:color w:val="1D1D1D"/>
          <w:w w:val="110"/>
          <w:sz w:val="21"/>
        </w:rPr>
        <w:t>points</w:t>
      </w:r>
      <w:r>
        <w:rPr>
          <w:rFonts w:ascii="Arial"/>
          <w:color w:val="1D1D1D"/>
          <w:spacing w:val="-12"/>
          <w:w w:val="110"/>
          <w:sz w:val="21"/>
        </w:rPr>
        <w:t xml:space="preserve"> </w:t>
      </w:r>
      <w:r>
        <w:rPr>
          <w:rFonts w:ascii="Arial"/>
          <w:color w:val="1D1D1D"/>
          <w:w w:val="110"/>
          <w:sz w:val="21"/>
        </w:rPr>
        <w:t>during</w:t>
      </w:r>
      <w:r>
        <w:rPr>
          <w:rFonts w:ascii="Arial"/>
          <w:color w:val="1D1D1D"/>
          <w:spacing w:val="-17"/>
          <w:w w:val="110"/>
          <w:sz w:val="21"/>
        </w:rPr>
        <w:t xml:space="preserve"> </w:t>
      </w:r>
      <w:r>
        <w:rPr>
          <w:rFonts w:ascii="Arial"/>
          <w:color w:val="0C0C0C"/>
          <w:w w:val="110"/>
          <w:sz w:val="21"/>
        </w:rPr>
        <w:t>the</w:t>
      </w:r>
      <w:r>
        <w:rPr>
          <w:rFonts w:ascii="Arial"/>
          <w:color w:val="0C0C0C"/>
          <w:spacing w:val="-10"/>
          <w:w w:val="110"/>
          <w:sz w:val="21"/>
        </w:rPr>
        <w:t xml:space="preserve"> </w:t>
      </w:r>
      <w:r>
        <w:rPr>
          <w:rFonts w:ascii="Arial"/>
          <w:color w:val="0C0C0C"/>
          <w:w w:val="110"/>
          <w:sz w:val="21"/>
        </w:rPr>
        <w:t>Injury</w:t>
      </w:r>
      <w:r>
        <w:rPr>
          <w:rFonts w:ascii="Arial"/>
          <w:color w:val="0C0C0C"/>
          <w:spacing w:val="-9"/>
          <w:w w:val="110"/>
          <w:sz w:val="21"/>
        </w:rPr>
        <w:t xml:space="preserve"> </w:t>
      </w:r>
      <w:r>
        <w:rPr>
          <w:rFonts w:ascii="Arial"/>
          <w:color w:val="1D1D1D"/>
          <w:w w:val="110"/>
          <w:sz w:val="21"/>
        </w:rPr>
        <w:t>POl.</w:t>
      </w:r>
      <w:r>
        <w:rPr>
          <w:rFonts w:ascii="Times New Roman"/>
          <w:color w:val="1D1D1D"/>
          <w:w w:val="110"/>
          <w:position w:val="7"/>
          <w:sz w:val="15"/>
        </w:rPr>
        <w:t>818</w:t>
      </w:r>
      <w:r>
        <w:rPr>
          <w:rFonts w:ascii="Times New Roman"/>
          <w:color w:val="1D1D1D"/>
          <w:spacing w:val="19"/>
          <w:w w:val="110"/>
          <w:position w:val="7"/>
          <w:sz w:val="15"/>
        </w:rPr>
        <w:t xml:space="preserve"> </w:t>
      </w:r>
      <w:r>
        <w:rPr>
          <w:rFonts w:ascii="Arial"/>
          <w:color w:val="1D1D1D"/>
          <w:w w:val="110"/>
          <w:sz w:val="21"/>
        </w:rPr>
        <w:t>As</w:t>
      </w:r>
      <w:r>
        <w:rPr>
          <w:rFonts w:ascii="Arial"/>
          <w:color w:val="1D1D1D"/>
          <w:spacing w:val="-9"/>
          <w:w w:val="110"/>
          <w:sz w:val="21"/>
        </w:rPr>
        <w:t xml:space="preserve"> </w:t>
      </w:r>
      <w:r>
        <w:rPr>
          <w:rFonts w:ascii="Arial"/>
          <w:color w:val="1D1D1D"/>
          <w:w w:val="110"/>
          <w:sz w:val="21"/>
        </w:rPr>
        <w:t>a</w:t>
      </w:r>
    </w:p>
    <w:p w14:paraId="51DE9203" w14:textId="77777777" w:rsidR="0010369C" w:rsidRDefault="008E43AE">
      <w:pPr>
        <w:spacing w:before="105" w:line="439" w:lineRule="auto"/>
        <w:ind w:left="240" w:right="574"/>
        <w:jc w:val="both"/>
        <w:rPr>
          <w:rFonts w:ascii="Arial"/>
          <w:sz w:val="21"/>
        </w:rPr>
      </w:pPr>
      <w:r>
        <w:rPr>
          <w:rFonts w:ascii="Arial"/>
          <w:color w:val="0C0C0C"/>
          <w:w w:val="110"/>
          <w:sz w:val="21"/>
        </w:rPr>
        <w:t xml:space="preserve">result, </w:t>
      </w:r>
      <w:r>
        <w:rPr>
          <w:rFonts w:ascii="Arial"/>
          <w:color w:val="1D1D1D"/>
          <w:w w:val="110"/>
          <w:sz w:val="21"/>
        </w:rPr>
        <w:t>the</w:t>
      </w:r>
      <w:r>
        <w:rPr>
          <w:rFonts w:ascii="Arial"/>
          <w:color w:val="1D1D1D"/>
          <w:w w:val="110"/>
          <w:sz w:val="21"/>
        </w:rPr>
        <w:t xml:space="preserve"> "market share" </w:t>
      </w:r>
      <w:r>
        <w:rPr>
          <w:rFonts w:ascii="Arial"/>
          <w:color w:val="0C0C0C"/>
          <w:w w:val="110"/>
          <w:sz w:val="21"/>
        </w:rPr>
        <w:t xml:space="preserve">percentage </w:t>
      </w:r>
      <w:r>
        <w:rPr>
          <w:rFonts w:ascii="Arial"/>
          <w:color w:val="1D1D1D"/>
          <w:w w:val="110"/>
          <w:sz w:val="21"/>
        </w:rPr>
        <w:t xml:space="preserve">calculated </w:t>
      </w:r>
      <w:r>
        <w:rPr>
          <w:rFonts w:ascii="Arial"/>
          <w:color w:val="0C0C0C"/>
          <w:w w:val="110"/>
          <w:sz w:val="21"/>
        </w:rPr>
        <w:t xml:space="preserve">by MOFCOM likely </w:t>
      </w:r>
      <w:r>
        <w:rPr>
          <w:rFonts w:ascii="Arial"/>
          <w:color w:val="1D1D1D"/>
          <w:w w:val="110"/>
          <w:sz w:val="21"/>
        </w:rPr>
        <w:t xml:space="preserve">overstates the true </w:t>
      </w:r>
      <w:r>
        <w:rPr>
          <w:rFonts w:ascii="Arial"/>
          <w:color w:val="0C0C0C"/>
          <w:w w:val="110"/>
          <w:sz w:val="21"/>
        </w:rPr>
        <w:t>market</w:t>
      </w:r>
      <w:r>
        <w:rPr>
          <w:rFonts w:ascii="Arial"/>
          <w:color w:val="0C0C0C"/>
          <w:spacing w:val="-2"/>
          <w:w w:val="110"/>
          <w:sz w:val="21"/>
        </w:rPr>
        <w:t xml:space="preserve"> </w:t>
      </w:r>
      <w:r>
        <w:rPr>
          <w:rFonts w:ascii="Arial"/>
          <w:color w:val="1D1D1D"/>
          <w:w w:val="110"/>
          <w:sz w:val="21"/>
        </w:rPr>
        <w:t xml:space="preserve">share of subject </w:t>
      </w:r>
      <w:r>
        <w:rPr>
          <w:rFonts w:ascii="Arial"/>
          <w:color w:val="0C0C0C"/>
          <w:w w:val="110"/>
          <w:sz w:val="21"/>
        </w:rPr>
        <w:t>imports</w:t>
      </w:r>
      <w:r>
        <w:rPr>
          <w:rFonts w:ascii="Arial"/>
          <w:color w:val="0C0C0C"/>
          <w:spacing w:val="-9"/>
          <w:w w:val="110"/>
          <w:sz w:val="21"/>
        </w:rPr>
        <w:t xml:space="preserve"> </w:t>
      </w:r>
      <w:r>
        <w:rPr>
          <w:rFonts w:ascii="Arial"/>
          <w:color w:val="1D1D1D"/>
          <w:w w:val="110"/>
          <w:sz w:val="21"/>
        </w:rPr>
        <w:t>in</w:t>
      </w:r>
      <w:r>
        <w:rPr>
          <w:rFonts w:ascii="Arial"/>
          <w:color w:val="1D1D1D"/>
          <w:spacing w:val="-5"/>
          <w:w w:val="110"/>
          <w:sz w:val="21"/>
        </w:rPr>
        <w:t xml:space="preserve"> </w:t>
      </w:r>
      <w:r>
        <w:rPr>
          <w:rFonts w:ascii="Arial"/>
          <w:color w:val="0C0C0C"/>
          <w:w w:val="110"/>
          <w:sz w:val="21"/>
        </w:rPr>
        <w:t>terms</w:t>
      </w:r>
      <w:r>
        <w:rPr>
          <w:rFonts w:ascii="Arial"/>
          <w:color w:val="0C0C0C"/>
          <w:spacing w:val="-10"/>
          <w:w w:val="110"/>
          <w:sz w:val="21"/>
        </w:rPr>
        <w:t xml:space="preserve"> </w:t>
      </w:r>
      <w:r>
        <w:rPr>
          <w:rFonts w:ascii="Arial"/>
          <w:color w:val="1D1D1D"/>
          <w:w w:val="110"/>
          <w:sz w:val="21"/>
        </w:rPr>
        <w:t>of "consumption".</w:t>
      </w:r>
    </w:p>
    <w:p w14:paraId="51DE9204" w14:textId="77777777" w:rsidR="0010369C" w:rsidRDefault="008E43AE">
      <w:pPr>
        <w:spacing w:before="159" w:line="434" w:lineRule="auto"/>
        <w:ind w:left="231" w:right="573" w:firstLine="5"/>
        <w:jc w:val="both"/>
        <w:rPr>
          <w:rFonts w:ascii="Arial"/>
          <w:sz w:val="21"/>
        </w:rPr>
      </w:pPr>
      <w:r>
        <w:rPr>
          <w:rFonts w:ascii="Arial"/>
          <w:color w:val="1D1D1D"/>
          <w:w w:val="110"/>
          <w:sz w:val="21"/>
        </w:rPr>
        <w:t>683.</w:t>
      </w:r>
      <w:r>
        <w:rPr>
          <w:rFonts w:ascii="Arial"/>
          <w:color w:val="1D1D1D"/>
          <w:spacing w:val="80"/>
          <w:w w:val="110"/>
          <w:sz w:val="21"/>
        </w:rPr>
        <w:t xml:space="preserve">  </w:t>
      </w:r>
      <w:r>
        <w:rPr>
          <w:rFonts w:ascii="Arial"/>
          <w:color w:val="0C0C0C"/>
          <w:w w:val="110"/>
          <w:sz w:val="21"/>
        </w:rPr>
        <w:t>In</w:t>
      </w:r>
      <w:r>
        <w:rPr>
          <w:rFonts w:ascii="Arial"/>
          <w:color w:val="0C0C0C"/>
          <w:spacing w:val="-6"/>
          <w:w w:val="110"/>
          <w:sz w:val="21"/>
        </w:rPr>
        <w:t xml:space="preserve"> </w:t>
      </w:r>
      <w:r>
        <w:rPr>
          <w:rFonts w:ascii="Arial"/>
          <w:color w:val="1D1D1D"/>
          <w:w w:val="110"/>
          <w:sz w:val="21"/>
        </w:rPr>
        <w:t>addition,</w:t>
      </w:r>
      <w:r>
        <w:rPr>
          <w:rFonts w:ascii="Arial"/>
          <w:color w:val="1D1D1D"/>
          <w:spacing w:val="-9"/>
          <w:w w:val="110"/>
          <w:sz w:val="21"/>
        </w:rPr>
        <w:t xml:space="preserve"> </w:t>
      </w:r>
      <w:r>
        <w:rPr>
          <w:rFonts w:ascii="Arial"/>
          <w:color w:val="0C0C0C"/>
          <w:w w:val="110"/>
          <w:sz w:val="21"/>
        </w:rPr>
        <w:t>MOFCOM</w:t>
      </w:r>
      <w:r>
        <w:rPr>
          <w:rFonts w:ascii="Arial"/>
          <w:color w:val="0C0C0C"/>
          <w:spacing w:val="-6"/>
          <w:w w:val="110"/>
          <w:sz w:val="21"/>
        </w:rPr>
        <w:t xml:space="preserve"> </w:t>
      </w:r>
      <w:r>
        <w:rPr>
          <w:rFonts w:ascii="Arial"/>
          <w:color w:val="0C0C0C"/>
          <w:w w:val="110"/>
          <w:sz w:val="21"/>
        </w:rPr>
        <w:t>does</w:t>
      </w:r>
      <w:r>
        <w:rPr>
          <w:rFonts w:ascii="Arial"/>
          <w:color w:val="0C0C0C"/>
          <w:spacing w:val="-17"/>
          <w:w w:val="110"/>
          <w:sz w:val="21"/>
        </w:rPr>
        <w:t xml:space="preserve"> </w:t>
      </w:r>
      <w:r>
        <w:rPr>
          <w:rFonts w:ascii="Arial"/>
          <w:color w:val="1D1D1D"/>
          <w:w w:val="110"/>
          <w:sz w:val="21"/>
        </w:rPr>
        <w:t>not explain</w:t>
      </w:r>
      <w:r>
        <w:rPr>
          <w:rFonts w:ascii="Arial"/>
          <w:color w:val="1D1D1D"/>
          <w:spacing w:val="-11"/>
          <w:w w:val="110"/>
          <w:sz w:val="21"/>
        </w:rPr>
        <w:t xml:space="preserve"> </w:t>
      </w:r>
      <w:r>
        <w:rPr>
          <w:rFonts w:ascii="Arial"/>
          <w:color w:val="1D1D1D"/>
          <w:w w:val="110"/>
          <w:sz w:val="21"/>
        </w:rPr>
        <w:t>how "consumption"</w:t>
      </w:r>
      <w:r>
        <w:rPr>
          <w:rFonts w:ascii="Arial"/>
          <w:color w:val="1D1D1D"/>
          <w:spacing w:val="-1"/>
          <w:w w:val="110"/>
          <w:sz w:val="21"/>
        </w:rPr>
        <w:t xml:space="preserve"> </w:t>
      </w:r>
      <w:r>
        <w:rPr>
          <w:rFonts w:ascii="Arial"/>
          <w:color w:val="1D1D1D"/>
          <w:w w:val="110"/>
          <w:sz w:val="21"/>
        </w:rPr>
        <w:t>is</w:t>
      </w:r>
      <w:r>
        <w:rPr>
          <w:rFonts w:ascii="Arial"/>
          <w:color w:val="1D1D1D"/>
          <w:spacing w:val="-17"/>
          <w:w w:val="110"/>
          <w:sz w:val="21"/>
        </w:rPr>
        <w:t xml:space="preserve"> </w:t>
      </w:r>
      <w:r>
        <w:rPr>
          <w:rFonts w:ascii="Arial"/>
          <w:color w:val="0C0C0C"/>
          <w:w w:val="110"/>
          <w:sz w:val="21"/>
        </w:rPr>
        <w:t>defined</w:t>
      </w:r>
      <w:r>
        <w:rPr>
          <w:rFonts w:ascii="Arial"/>
          <w:color w:val="0C0C0C"/>
          <w:spacing w:val="-10"/>
          <w:w w:val="110"/>
          <w:sz w:val="21"/>
        </w:rPr>
        <w:t xml:space="preserve"> </w:t>
      </w:r>
      <w:r>
        <w:rPr>
          <w:rFonts w:ascii="Arial"/>
          <w:color w:val="1D1D1D"/>
          <w:w w:val="110"/>
          <w:sz w:val="21"/>
        </w:rPr>
        <w:t>with</w:t>
      </w:r>
      <w:r>
        <w:rPr>
          <w:rFonts w:ascii="Arial"/>
          <w:color w:val="1D1D1D"/>
          <w:spacing w:val="-17"/>
          <w:w w:val="110"/>
          <w:sz w:val="21"/>
        </w:rPr>
        <w:t xml:space="preserve"> </w:t>
      </w:r>
      <w:r>
        <w:rPr>
          <w:rFonts w:ascii="Arial"/>
          <w:color w:val="1D1D1D"/>
          <w:w w:val="110"/>
          <w:sz w:val="21"/>
        </w:rPr>
        <w:t xml:space="preserve">respect </w:t>
      </w:r>
      <w:r>
        <w:rPr>
          <w:rFonts w:ascii="Arial"/>
          <w:color w:val="1D1D1D"/>
          <w:spacing w:val="-2"/>
          <w:w w:val="110"/>
          <w:sz w:val="21"/>
        </w:rPr>
        <w:t>to</w:t>
      </w:r>
      <w:r>
        <w:rPr>
          <w:rFonts w:ascii="Arial"/>
          <w:color w:val="1D1D1D"/>
          <w:w w:val="110"/>
          <w:sz w:val="21"/>
        </w:rPr>
        <w:t xml:space="preserve"> </w:t>
      </w:r>
      <w:r>
        <w:rPr>
          <w:rFonts w:ascii="Arial"/>
          <w:color w:val="1D1D1D"/>
          <w:spacing w:val="-2"/>
          <w:w w:val="110"/>
          <w:sz w:val="21"/>
        </w:rPr>
        <w:t>the</w:t>
      </w:r>
      <w:r>
        <w:rPr>
          <w:rFonts w:ascii="Arial"/>
          <w:color w:val="1D1D1D"/>
          <w:spacing w:val="11"/>
          <w:w w:val="110"/>
          <w:sz w:val="21"/>
        </w:rPr>
        <w:t xml:space="preserve"> </w:t>
      </w:r>
      <w:r>
        <w:rPr>
          <w:rFonts w:ascii="Arial"/>
          <w:color w:val="1D1D1D"/>
          <w:spacing w:val="-2"/>
          <w:w w:val="110"/>
          <w:sz w:val="21"/>
        </w:rPr>
        <w:t>"apparent</w:t>
      </w:r>
      <w:r>
        <w:rPr>
          <w:rFonts w:ascii="Arial"/>
          <w:color w:val="1D1D1D"/>
          <w:spacing w:val="-4"/>
          <w:w w:val="110"/>
          <w:sz w:val="21"/>
        </w:rPr>
        <w:t xml:space="preserve"> </w:t>
      </w:r>
      <w:r>
        <w:rPr>
          <w:rFonts w:ascii="Arial"/>
          <w:color w:val="1D1D1D"/>
          <w:spacing w:val="-2"/>
          <w:w w:val="110"/>
          <w:sz w:val="21"/>
        </w:rPr>
        <w:t>consumption volumes" (i.e.</w:t>
      </w:r>
      <w:r>
        <w:rPr>
          <w:rFonts w:ascii="Arial"/>
          <w:color w:val="1D1D1D"/>
          <w:spacing w:val="-15"/>
          <w:w w:val="110"/>
          <w:sz w:val="21"/>
        </w:rPr>
        <w:t xml:space="preserve"> </w:t>
      </w:r>
      <w:r>
        <w:rPr>
          <w:rFonts w:ascii="Arial"/>
          <w:color w:val="1D1D1D"/>
          <w:spacing w:val="-2"/>
          <w:w w:val="110"/>
          <w:sz w:val="21"/>
        </w:rPr>
        <w:t>which</w:t>
      </w:r>
      <w:r>
        <w:rPr>
          <w:rFonts w:ascii="Arial"/>
          <w:color w:val="1D1D1D"/>
          <w:spacing w:val="-10"/>
          <w:w w:val="110"/>
          <w:sz w:val="21"/>
        </w:rPr>
        <w:t xml:space="preserve"> </w:t>
      </w:r>
      <w:r>
        <w:rPr>
          <w:rFonts w:ascii="Arial"/>
          <w:color w:val="1D1D1D"/>
          <w:spacing w:val="-2"/>
          <w:w w:val="110"/>
          <w:sz w:val="21"/>
        </w:rPr>
        <w:t>sales</w:t>
      </w:r>
      <w:r>
        <w:rPr>
          <w:rFonts w:ascii="Arial"/>
          <w:color w:val="1D1D1D"/>
          <w:spacing w:val="-12"/>
          <w:w w:val="110"/>
          <w:sz w:val="21"/>
        </w:rPr>
        <w:t xml:space="preserve"> </w:t>
      </w:r>
      <w:r>
        <w:rPr>
          <w:rFonts w:ascii="Arial"/>
          <w:color w:val="1D1D1D"/>
          <w:spacing w:val="-2"/>
          <w:w w:val="110"/>
          <w:sz w:val="21"/>
        </w:rPr>
        <w:t>volumes are</w:t>
      </w:r>
      <w:r>
        <w:rPr>
          <w:rFonts w:ascii="Arial"/>
          <w:color w:val="1D1D1D"/>
          <w:spacing w:val="-10"/>
          <w:w w:val="110"/>
          <w:sz w:val="21"/>
        </w:rPr>
        <w:t xml:space="preserve"> </w:t>
      </w:r>
      <w:r>
        <w:rPr>
          <w:rFonts w:ascii="Arial"/>
          <w:color w:val="0C0C0C"/>
          <w:spacing w:val="-2"/>
          <w:w w:val="110"/>
          <w:sz w:val="21"/>
        </w:rPr>
        <w:t>included/excluded</w:t>
      </w:r>
      <w:r>
        <w:rPr>
          <w:rFonts w:ascii="Arial"/>
          <w:color w:val="0C0C0C"/>
          <w:spacing w:val="-15"/>
          <w:w w:val="110"/>
          <w:sz w:val="21"/>
        </w:rPr>
        <w:t xml:space="preserve"> </w:t>
      </w:r>
      <w:r>
        <w:rPr>
          <w:rFonts w:ascii="Arial"/>
          <w:color w:val="1D1D1D"/>
          <w:spacing w:val="-2"/>
          <w:w w:val="110"/>
          <w:sz w:val="21"/>
        </w:rPr>
        <w:t xml:space="preserve">for </w:t>
      </w:r>
      <w:r>
        <w:rPr>
          <w:rFonts w:ascii="Arial"/>
          <w:color w:val="1D1D1D"/>
          <w:w w:val="110"/>
          <w:sz w:val="21"/>
        </w:rPr>
        <w:t>the</w:t>
      </w:r>
      <w:r>
        <w:rPr>
          <w:rFonts w:ascii="Arial"/>
          <w:color w:val="1D1D1D"/>
          <w:spacing w:val="40"/>
          <w:w w:val="110"/>
          <w:sz w:val="21"/>
        </w:rPr>
        <w:t xml:space="preserve"> </w:t>
      </w:r>
      <w:r>
        <w:rPr>
          <w:rFonts w:ascii="Arial"/>
          <w:color w:val="1D1D1D"/>
          <w:w w:val="110"/>
          <w:sz w:val="21"/>
        </w:rPr>
        <w:t>purposes</w:t>
      </w:r>
      <w:r>
        <w:rPr>
          <w:rFonts w:ascii="Arial"/>
          <w:color w:val="1D1D1D"/>
          <w:spacing w:val="34"/>
          <w:w w:val="110"/>
          <w:sz w:val="21"/>
        </w:rPr>
        <w:t xml:space="preserve"> </w:t>
      </w:r>
      <w:r>
        <w:rPr>
          <w:rFonts w:ascii="Arial"/>
          <w:color w:val="1D1D1D"/>
          <w:w w:val="110"/>
          <w:sz w:val="21"/>
        </w:rPr>
        <w:t>of</w:t>
      </w:r>
      <w:r>
        <w:rPr>
          <w:rFonts w:ascii="Arial"/>
          <w:color w:val="1D1D1D"/>
          <w:spacing w:val="40"/>
          <w:w w:val="110"/>
          <w:sz w:val="21"/>
        </w:rPr>
        <w:t xml:space="preserve"> </w:t>
      </w:r>
      <w:r>
        <w:rPr>
          <w:rFonts w:ascii="Arial"/>
          <w:color w:val="1D1D1D"/>
          <w:w w:val="110"/>
          <w:sz w:val="21"/>
        </w:rPr>
        <w:t>determining</w:t>
      </w:r>
      <w:r>
        <w:rPr>
          <w:rFonts w:ascii="Arial"/>
          <w:color w:val="1D1D1D"/>
          <w:spacing w:val="26"/>
          <w:w w:val="110"/>
          <w:sz w:val="21"/>
        </w:rPr>
        <w:t xml:space="preserve"> </w:t>
      </w:r>
      <w:r>
        <w:rPr>
          <w:rFonts w:ascii="Arial"/>
          <w:color w:val="1D1D1D"/>
          <w:w w:val="110"/>
          <w:sz w:val="21"/>
        </w:rPr>
        <w:t>"consumption"),</w:t>
      </w:r>
      <w:r>
        <w:rPr>
          <w:rFonts w:ascii="Arial"/>
          <w:color w:val="1D1D1D"/>
          <w:spacing w:val="30"/>
          <w:w w:val="110"/>
          <w:sz w:val="21"/>
        </w:rPr>
        <w:t xml:space="preserve"> </w:t>
      </w:r>
      <w:r>
        <w:rPr>
          <w:rFonts w:ascii="Arial"/>
          <w:color w:val="1D1D1D"/>
          <w:w w:val="110"/>
          <w:sz w:val="21"/>
        </w:rPr>
        <w:t>the</w:t>
      </w:r>
      <w:r>
        <w:rPr>
          <w:rFonts w:ascii="Arial"/>
          <w:color w:val="1D1D1D"/>
          <w:spacing w:val="40"/>
          <w:w w:val="110"/>
          <w:sz w:val="21"/>
        </w:rPr>
        <w:t xml:space="preserve"> </w:t>
      </w:r>
      <w:r>
        <w:rPr>
          <w:rFonts w:ascii="Arial"/>
          <w:color w:val="0C0C0C"/>
          <w:w w:val="110"/>
          <w:sz w:val="21"/>
        </w:rPr>
        <w:t>method</w:t>
      </w:r>
      <w:r>
        <w:rPr>
          <w:rFonts w:ascii="Arial"/>
          <w:color w:val="0C0C0C"/>
          <w:spacing w:val="37"/>
          <w:w w:val="110"/>
          <w:sz w:val="21"/>
        </w:rPr>
        <w:t xml:space="preserve"> </w:t>
      </w:r>
      <w:r>
        <w:rPr>
          <w:rFonts w:ascii="Arial"/>
          <w:color w:val="0C0C0C"/>
          <w:w w:val="110"/>
          <w:sz w:val="21"/>
        </w:rPr>
        <w:t>by</w:t>
      </w:r>
      <w:r>
        <w:rPr>
          <w:rFonts w:ascii="Arial"/>
          <w:color w:val="0C0C0C"/>
          <w:spacing w:val="25"/>
          <w:w w:val="110"/>
          <w:sz w:val="21"/>
        </w:rPr>
        <w:t xml:space="preserve"> </w:t>
      </w:r>
      <w:r>
        <w:rPr>
          <w:rFonts w:ascii="Arial"/>
          <w:color w:val="1D1D1D"/>
          <w:w w:val="110"/>
          <w:sz w:val="21"/>
        </w:rPr>
        <w:t>which</w:t>
      </w:r>
      <w:r>
        <w:rPr>
          <w:rFonts w:ascii="Arial"/>
          <w:color w:val="1D1D1D"/>
          <w:spacing w:val="27"/>
          <w:w w:val="110"/>
          <w:sz w:val="21"/>
        </w:rPr>
        <w:t xml:space="preserve"> </w:t>
      </w:r>
      <w:r>
        <w:rPr>
          <w:rFonts w:ascii="Arial"/>
          <w:color w:val="1D1D1D"/>
          <w:w w:val="110"/>
          <w:sz w:val="21"/>
        </w:rPr>
        <w:t>these</w:t>
      </w:r>
      <w:r>
        <w:rPr>
          <w:rFonts w:ascii="Arial"/>
          <w:color w:val="1D1D1D"/>
          <w:spacing w:val="32"/>
          <w:w w:val="110"/>
          <w:sz w:val="21"/>
        </w:rPr>
        <w:t xml:space="preserve"> </w:t>
      </w:r>
      <w:r>
        <w:rPr>
          <w:rFonts w:ascii="Arial"/>
          <w:color w:val="1D1D1D"/>
          <w:w w:val="110"/>
          <w:sz w:val="21"/>
        </w:rPr>
        <w:t>volumes</w:t>
      </w:r>
      <w:r>
        <w:rPr>
          <w:rFonts w:ascii="Arial"/>
          <w:color w:val="1D1D1D"/>
          <w:spacing w:val="31"/>
          <w:w w:val="110"/>
          <w:sz w:val="21"/>
        </w:rPr>
        <w:t xml:space="preserve"> </w:t>
      </w:r>
      <w:r>
        <w:rPr>
          <w:rFonts w:ascii="Arial"/>
          <w:color w:val="1D1D1D"/>
          <w:w w:val="110"/>
          <w:sz w:val="21"/>
        </w:rPr>
        <w:t>are</w:t>
      </w:r>
    </w:p>
    <w:p w14:paraId="51DE9205" w14:textId="77777777" w:rsidR="0010369C" w:rsidRDefault="0010369C">
      <w:pPr>
        <w:pStyle w:val="BodyText"/>
        <w:rPr>
          <w:rFonts w:ascii="Arial"/>
          <w:sz w:val="20"/>
        </w:rPr>
      </w:pPr>
    </w:p>
    <w:p w14:paraId="51DE9206" w14:textId="77777777" w:rsidR="0010369C" w:rsidRDefault="008E43AE">
      <w:pPr>
        <w:pStyle w:val="BodyText"/>
        <w:spacing w:before="3"/>
        <w:rPr>
          <w:rFonts w:ascii="Arial"/>
          <w:sz w:val="28"/>
        </w:rPr>
      </w:pPr>
      <w:r>
        <w:pict w14:anchorId="51DEA599">
          <v:shape id="docshape1149" o:spid="_x0000_s1247" style="position:absolute;margin-left:70.25pt;margin-top:17.5pt;width:145.5pt;height:.1pt;z-index:-250787328;mso-wrap-distance-left:0;mso-wrap-distance-right:0;mso-position-horizontal-relative:page" coordorigin="1405,350" coordsize="2910,0" path="m1405,350r2909,e" filled="f" strokeweight=".53042mm">
            <v:path arrowok="t"/>
            <w10:wrap type="topAndBottom" anchorx="page"/>
          </v:shape>
        </w:pict>
      </w:r>
    </w:p>
    <w:p w14:paraId="51DE9207" w14:textId="77777777" w:rsidR="0010369C" w:rsidRDefault="008E43AE">
      <w:pPr>
        <w:spacing w:before="103"/>
        <w:ind w:left="227"/>
        <w:rPr>
          <w:rFonts w:ascii="Arial"/>
          <w:sz w:val="16"/>
        </w:rPr>
      </w:pPr>
      <w:r>
        <w:rPr>
          <w:rFonts w:ascii="Times New Roman"/>
          <w:color w:val="1D1D1D"/>
          <w:spacing w:val="-2"/>
          <w:w w:val="105"/>
          <w:position w:val="5"/>
          <w:sz w:val="12"/>
        </w:rPr>
        <w:t>814</w:t>
      </w:r>
      <w:r>
        <w:rPr>
          <w:rFonts w:ascii="Times New Roman"/>
          <w:color w:val="1D1D1D"/>
          <w:spacing w:val="7"/>
          <w:w w:val="105"/>
          <w:position w:val="5"/>
          <w:sz w:val="12"/>
        </w:rPr>
        <w:t xml:space="preserve"> </w:t>
      </w:r>
      <w:r>
        <w:rPr>
          <w:rFonts w:ascii="Arial"/>
          <w:color w:val="1D1D1D"/>
          <w:spacing w:val="-2"/>
          <w:w w:val="105"/>
          <w:sz w:val="16"/>
        </w:rPr>
        <w:t>Anti-Dumping</w:t>
      </w:r>
      <w:r>
        <w:rPr>
          <w:rFonts w:ascii="Arial"/>
          <w:color w:val="1D1D1D"/>
          <w:spacing w:val="-7"/>
          <w:w w:val="105"/>
          <w:sz w:val="16"/>
        </w:rPr>
        <w:t xml:space="preserve"> </w:t>
      </w:r>
      <w:r>
        <w:rPr>
          <w:rFonts w:ascii="Arial"/>
          <w:color w:val="1D1D1D"/>
          <w:spacing w:val="-2"/>
          <w:w w:val="105"/>
          <w:sz w:val="16"/>
        </w:rPr>
        <w:t>Final</w:t>
      </w:r>
      <w:r>
        <w:rPr>
          <w:rFonts w:ascii="Arial"/>
          <w:color w:val="1D1D1D"/>
          <w:spacing w:val="-21"/>
          <w:w w:val="105"/>
          <w:sz w:val="16"/>
        </w:rPr>
        <w:t xml:space="preserve"> </w:t>
      </w:r>
      <w:r>
        <w:rPr>
          <w:rFonts w:ascii="Arial"/>
          <w:color w:val="1D1D1D"/>
          <w:spacing w:val="-2"/>
          <w:w w:val="105"/>
          <w:sz w:val="16"/>
        </w:rPr>
        <w:t>Determination</w:t>
      </w:r>
      <w:r>
        <w:rPr>
          <w:rFonts w:ascii="Arial"/>
          <w:color w:val="1D1D1D"/>
          <w:spacing w:val="-1"/>
          <w:w w:val="105"/>
          <w:sz w:val="16"/>
        </w:rPr>
        <w:t xml:space="preserve"> </w:t>
      </w:r>
      <w:r>
        <w:rPr>
          <w:rFonts w:ascii="Arial"/>
          <w:color w:val="1D1D1D"/>
          <w:spacing w:val="-2"/>
          <w:w w:val="105"/>
          <w:sz w:val="16"/>
        </w:rPr>
        <w:t>(Exhibit</w:t>
      </w:r>
      <w:r>
        <w:rPr>
          <w:rFonts w:ascii="Arial"/>
          <w:color w:val="1D1D1D"/>
          <w:spacing w:val="5"/>
          <w:w w:val="105"/>
          <w:sz w:val="16"/>
        </w:rPr>
        <w:t xml:space="preserve"> </w:t>
      </w:r>
      <w:r>
        <w:rPr>
          <w:rFonts w:ascii="Arial"/>
          <w:color w:val="1D1D1D"/>
          <w:spacing w:val="-2"/>
          <w:w w:val="105"/>
          <w:sz w:val="16"/>
        </w:rPr>
        <w:t>AUS-2),</w:t>
      </w:r>
      <w:r>
        <w:rPr>
          <w:rFonts w:ascii="Arial"/>
          <w:color w:val="1D1D1D"/>
          <w:spacing w:val="-14"/>
          <w:w w:val="105"/>
          <w:sz w:val="16"/>
        </w:rPr>
        <w:t xml:space="preserve"> </w:t>
      </w:r>
      <w:r>
        <w:rPr>
          <w:rFonts w:ascii="Arial"/>
          <w:color w:val="1D1D1D"/>
          <w:spacing w:val="-2"/>
          <w:w w:val="105"/>
          <w:sz w:val="16"/>
        </w:rPr>
        <w:t>pp.</w:t>
      </w:r>
      <w:r>
        <w:rPr>
          <w:rFonts w:ascii="Arial"/>
          <w:color w:val="1D1D1D"/>
          <w:spacing w:val="20"/>
          <w:w w:val="105"/>
          <w:sz w:val="16"/>
        </w:rPr>
        <w:t xml:space="preserve"> </w:t>
      </w:r>
      <w:r>
        <w:rPr>
          <w:rFonts w:ascii="Arial"/>
          <w:color w:val="1D1D1D"/>
          <w:spacing w:val="-2"/>
          <w:w w:val="105"/>
          <w:sz w:val="16"/>
        </w:rPr>
        <w:t>110-</w:t>
      </w:r>
      <w:r>
        <w:rPr>
          <w:rFonts w:ascii="Arial"/>
          <w:color w:val="1D1D1D"/>
          <w:spacing w:val="-4"/>
          <w:w w:val="105"/>
          <w:sz w:val="16"/>
        </w:rPr>
        <w:t>111.</w:t>
      </w:r>
    </w:p>
    <w:p w14:paraId="51DE9208" w14:textId="77777777" w:rsidR="0010369C" w:rsidRDefault="008E43AE">
      <w:pPr>
        <w:spacing w:before="35"/>
        <w:ind w:left="227"/>
        <w:rPr>
          <w:rFonts w:ascii="Arial"/>
          <w:sz w:val="16"/>
        </w:rPr>
      </w:pPr>
      <w:r>
        <w:rPr>
          <w:rFonts w:ascii="Times New Roman"/>
          <w:color w:val="1D1D1D"/>
          <w:spacing w:val="-2"/>
          <w:w w:val="105"/>
          <w:position w:val="6"/>
          <w:sz w:val="12"/>
        </w:rPr>
        <w:t>815</w:t>
      </w:r>
      <w:r>
        <w:rPr>
          <w:rFonts w:ascii="Times New Roman"/>
          <w:color w:val="1D1D1D"/>
          <w:spacing w:val="15"/>
          <w:w w:val="105"/>
          <w:position w:val="6"/>
          <w:sz w:val="12"/>
        </w:rPr>
        <w:t xml:space="preserve"> </w:t>
      </w:r>
      <w:r>
        <w:rPr>
          <w:rFonts w:ascii="Arial"/>
          <w:color w:val="1D1D1D"/>
          <w:spacing w:val="-2"/>
          <w:w w:val="105"/>
          <w:sz w:val="16"/>
        </w:rPr>
        <w:t>Anti-Dumping</w:t>
      </w:r>
      <w:r>
        <w:rPr>
          <w:rFonts w:ascii="Arial"/>
          <w:color w:val="1D1D1D"/>
          <w:spacing w:val="-8"/>
          <w:w w:val="105"/>
          <w:sz w:val="16"/>
        </w:rPr>
        <w:t xml:space="preserve"> </w:t>
      </w:r>
      <w:r>
        <w:rPr>
          <w:rFonts w:ascii="Arial"/>
          <w:color w:val="1D1D1D"/>
          <w:spacing w:val="-2"/>
          <w:w w:val="105"/>
          <w:sz w:val="16"/>
        </w:rPr>
        <w:t>Final</w:t>
      </w:r>
      <w:r>
        <w:rPr>
          <w:rFonts w:ascii="Arial"/>
          <w:color w:val="1D1D1D"/>
          <w:spacing w:val="-22"/>
          <w:w w:val="105"/>
          <w:sz w:val="16"/>
        </w:rPr>
        <w:t xml:space="preserve"> </w:t>
      </w:r>
      <w:r>
        <w:rPr>
          <w:rFonts w:ascii="Arial"/>
          <w:color w:val="1D1D1D"/>
          <w:spacing w:val="-2"/>
          <w:w w:val="105"/>
          <w:sz w:val="16"/>
        </w:rPr>
        <w:t>Determination (Exhibit</w:t>
      </w:r>
      <w:r>
        <w:rPr>
          <w:rFonts w:ascii="Arial"/>
          <w:color w:val="1D1D1D"/>
          <w:spacing w:val="5"/>
          <w:w w:val="105"/>
          <w:sz w:val="16"/>
        </w:rPr>
        <w:t xml:space="preserve"> </w:t>
      </w:r>
      <w:r>
        <w:rPr>
          <w:rFonts w:ascii="Arial"/>
          <w:color w:val="1D1D1D"/>
          <w:spacing w:val="-2"/>
          <w:w w:val="105"/>
          <w:sz w:val="16"/>
        </w:rPr>
        <w:t>AUS-2),</w:t>
      </w:r>
      <w:r>
        <w:rPr>
          <w:rFonts w:ascii="Arial"/>
          <w:color w:val="1D1D1D"/>
          <w:spacing w:val="-14"/>
          <w:w w:val="105"/>
          <w:sz w:val="16"/>
        </w:rPr>
        <w:t xml:space="preserve"> </w:t>
      </w:r>
      <w:r>
        <w:rPr>
          <w:rFonts w:ascii="Arial"/>
          <w:color w:val="1D1D1D"/>
          <w:spacing w:val="-2"/>
          <w:w w:val="105"/>
          <w:sz w:val="16"/>
        </w:rPr>
        <w:t>p.</w:t>
      </w:r>
      <w:r>
        <w:rPr>
          <w:rFonts w:ascii="Arial"/>
          <w:color w:val="1D1D1D"/>
          <w:spacing w:val="3"/>
          <w:w w:val="105"/>
          <w:sz w:val="16"/>
        </w:rPr>
        <w:t xml:space="preserve"> </w:t>
      </w:r>
      <w:r>
        <w:rPr>
          <w:rFonts w:ascii="Arial"/>
          <w:color w:val="1D1D1D"/>
          <w:spacing w:val="-4"/>
          <w:w w:val="105"/>
          <w:sz w:val="16"/>
        </w:rPr>
        <w:t>126.</w:t>
      </w:r>
    </w:p>
    <w:p w14:paraId="51DE9209" w14:textId="77777777" w:rsidR="0010369C" w:rsidRDefault="008E43AE">
      <w:pPr>
        <w:spacing w:before="18" w:line="235" w:lineRule="auto"/>
        <w:ind w:left="238" w:right="614" w:hanging="12"/>
        <w:rPr>
          <w:rFonts w:ascii="Arial"/>
          <w:sz w:val="16"/>
        </w:rPr>
      </w:pPr>
      <w:r>
        <w:rPr>
          <w:rFonts w:ascii="Times New Roman"/>
          <w:color w:val="1D1D1D"/>
          <w:w w:val="105"/>
          <w:position w:val="6"/>
          <w:sz w:val="12"/>
        </w:rPr>
        <w:t xml:space="preserve">816 </w:t>
      </w:r>
      <w:r>
        <w:rPr>
          <w:rFonts w:ascii="Arial"/>
          <w:color w:val="1D1D1D"/>
          <w:w w:val="105"/>
          <w:sz w:val="16"/>
        </w:rPr>
        <w:t>In the Final</w:t>
      </w:r>
      <w:r>
        <w:rPr>
          <w:rFonts w:ascii="Arial"/>
          <w:color w:val="1D1D1D"/>
          <w:spacing w:val="-6"/>
          <w:w w:val="105"/>
          <w:sz w:val="16"/>
        </w:rPr>
        <w:t xml:space="preserve"> </w:t>
      </w:r>
      <w:r>
        <w:rPr>
          <w:rFonts w:ascii="Arial"/>
          <w:color w:val="1D1D1D"/>
          <w:w w:val="105"/>
          <w:sz w:val="16"/>
        </w:rPr>
        <w:t>Determination,MOFCOM explained</w:t>
      </w:r>
      <w:r>
        <w:rPr>
          <w:rFonts w:ascii="Arial"/>
          <w:color w:val="1D1D1D"/>
          <w:spacing w:val="-10"/>
          <w:w w:val="105"/>
          <w:sz w:val="16"/>
        </w:rPr>
        <w:t xml:space="preserve"> </w:t>
      </w:r>
      <w:r>
        <w:rPr>
          <w:rFonts w:ascii="Arial"/>
          <w:color w:val="1D1D1D"/>
          <w:w w:val="105"/>
          <w:sz w:val="16"/>
        </w:rPr>
        <w:t>that</w:t>
      </w:r>
      <w:r>
        <w:rPr>
          <w:rFonts w:ascii="Arial"/>
          <w:color w:val="1D1D1D"/>
          <w:spacing w:val="-3"/>
          <w:w w:val="105"/>
          <w:sz w:val="16"/>
        </w:rPr>
        <w:t xml:space="preserve"> </w:t>
      </w:r>
      <w:r>
        <w:rPr>
          <w:rFonts w:ascii="Arial"/>
          <w:color w:val="1D1D1D"/>
          <w:w w:val="105"/>
          <w:sz w:val="16"/>
        </w:rPr>
        <w:t>between 2015 and</w:t>
      </w:r>
      <w:r>
        <w:rPr>
          <w:rFonts w:ascii="Arial"/>
          <w:color w:val="1D1D1D"/>
          <w:spacing w:val="-10"/>
          <w:w w:val="105"/>
          <w:sz w:val="16"/>
        </w:rPr>
        <w:t xml:space="preserve"> </w:t>
      </w:r>
      <w:r>
        <w:rPr>
          <w:rFonts w:ascii="Arial"/>
          <w:color w:val="1D1D1D"/>
          <w:w w:val="105"/>
          <w:sz w:val="16"/>
        </w:rPr>
        <w:t>2019,</w:t>
      </w:r>
      <w:r>
        <w:rPr>
          <w:rFonts w:ascii="Arial"/>
          <w:color w:val="1D1D1D"/>
          <w:spacing w:val="-18"/>
          <w:w w:val="105"/>
          <w:sz w:val="16"/>
        </w:rPr>
        <w:t xml:space="preserve"> </w:t>
      </w:r>
      <w:r>
        <w:rPr>
          <w:rFonts w:ascii="Arial"/>
          <w:color w:val="1D1D1D"/>
          <w:w w:val="105"/>
          <w:sz w:val="16"/>
        </w:rPr>
        <w:t>these</w:t>
      </w:r>
      <w:r>
        <w:rPr>
          <w:rFonts w:ascii="Arial"/>
          <w:color w:val="1D1D1D"/>
          <w:spacing w:val="-2"/>
          <w:w w:val="105"/>
          <w:sz w:val="16"/>
        </w:rPr>
        <w:t xml:space="preserve"> </w:t>
      </w:r>
      <w:r>
        <w:rPr>
          <w:rFonts w:ascii="Arial"/>
          <w:color w:val="1D1D1D"/>
          <w:w w:val="105"/>
          <w:sz w:val="16"/>
        </w:rPr>
        <w:t>companies accounted</w:t>
      </w:r>
      <w:r>
        <w:rPr>
          <w:rFonts w:ascii="Arial"/>
          <w:color w:val="1D1D1D"/>
          <w:spacing w:val="-9"/>
          <w:w w:val="105"/>
          <w:sz w:val="16"/>
        </w:rPr>
        <w:t xml:space="preserve"> </w:t>
      </w:r>
      <w:r>
        <w:rPr>
          <w:rFonts w:ascii="Arial"/>
          <w:color w:val="1D1D1D"/>
          <w:w w:val="105"/>
          <w:sz w:val="16"/>
        </w:rPr>
        <w:t>for</w:t>
      </w:r>
      <w:r>
        <w:rPr>
          <w:rFonts w:ascii="Arial"/>
          <w:color w:val="1D1D1D"/>
          <w:spacing w:val="33"/>
          <w:w w:val="105"/>
          <w:sz w:val="16"/>
        </w:rPr>
        <w:t xml:space="preserve"> </w:t>
      </w:r>
      <w:r>
        <w:rPr>
          <w:rFonts w:ascii="Arial"/>
          <w:color w:val="1D1D1D"/>
          <w:w w:val="105"/>
          <w:sz w:val="16"/>
        </w:rPr>
        <w:t>66.95%, 68.27%, 60.75%,</w:t>
      </w:r>
      <w:r>
        <w:rPr>
          <w:rFonts w:ascii="Arial"/>
          <w:color w:val="1D1D1D"/>
          <w:spacing w:val="-4"/>
          <w:w w:val="105"/>
          <w:sz w:val="16"/>
        </w:rPr>
        <w:t xml:space="preserve"> </w:t>
      </w:r>
      <w:r>
        <w:rPr>
          <w:rFonts w:ascii="Arial"/>
          <w:color w:val="1D1D1D"/>
          <w:w w:val="105"/>
          <w:sz w:val="16"/>
        </w:rPr>
        <w:t>62.76% and 60.72%</w:t>
      </w:r>
      <w:r>
        <w:rPr>
          <w:rFonts w:ascii="Arial"/>
          <w:color w:val="1D1D1D"/>
          <w:spacing w:val="-4"/>
          <w:w w:val="105"/>
          <w:sz w:val="16"/>
        </w:rPr>
        <w:t xml:space="preserve"> </w:t>
      </w:r>
      <w:r>
        <w:rPr>
          <w:rFonts w:ascii="Arial"/>
          <w:color w:val="1D1D1D"/>
          <w:w w:val="105"/>
          <w:sz w:val="16"/>
        </w:rPr>
        <w:t>of</w:t>
      </w:r>
      <w:r>
        <w:rPr>
          <w:rFonts w:ascii="Arial"/>
          <w:color w:val="1D1D1D"/>
          <w:spacing w:val="22"/>
          <w:w w:val="105"/>
          <w:sz w:val="16"/>
        </w:rPr>
        <w:t xml:space="preserve"> </w:t>
      </w:r>
      <w:r>
        <w:rPr>
          <w:rFonts w:ascii="Arial"/>
          <w:color w:val="1D1D1D"/>
          <w:w w:val="105"/>
          <w:sz w:val="16"/>
        </w:rPr>
        <w:t>the</w:t>
      </w:r>
      <w:r>
        <w:rPr>
          <w:rFonts w:ascii="Arial"/>
          <w:color w:val="1D1D1D"/>
          <w:spacing w:val="29"/>
          <w:w w:val="105"/>
          <w:sz w:val="16"/>
        </w:rPr>
        <w:t xml:space="preserve"> </w:t>
      </w:r>
      <w:r>
        <w:rPr>
          <w:rFonts w:ascii="Arial"/>
          <w:color w:val="1D1D1D"/>
          <w:w w:val="105"/>
          <w:sz w:val="16"/>
        </w:rPr>
        <w:t>total</w:t>
      </w:r>
      <w:r>
        <w:rPr>
          <w:rFonts w:ascii="Arial"/>
          <w:color w:val="1D1D1D"/>
          <w:spacing w:val="-9"/>
          <w:w w:val="105"/>
          <w:sz w:val="16"/>
        </w:rPr>
        <w:t xml:space="preserve"> </w:t>
      </w:r>
      <w:r>
        <w:rPr>
          <w:rFonts w:ascii="Arial"/>
          <w:color w:val="1D1D1D"/>
          <w:w w:val="105"/>
          <w:sz w:val="16"/>
        </w:rPr>
        <w:t>output of the</w:t>
      </w:r>
      <w:r>
        <w:rPr>
          <w:rFonts w:ascii="Arial"/>
          <w:color w:val="1D1D1D"/>
          <w:spacing w:val="-13"/>
          <w:w w:val="105"/>
          <w:sz w:val="16"/>
        </w:rPr>
        <w:t xml:space="preserve"> </w:t>
      </w:r>
      <w:r>
        <w:rPr>
          <w:rFonts w:ascii="Arial"/>
          <w:color w:val="1D1D1D"/>
          <w:w w:val="105"/>
          <w:sz w:val="16"/>
        </w:rPr>
        <w:t>domestic wine</w:t>
      </w:r>
      <w:r>
        <w:rPr>
          <w:rFonts w:ascii="Arial"/>
          <w:color w:val="1D1D1D"/>
          <w:spacing w:val="-9"/>
          <w:w w:val="105"/>
          <w:sz w:val="16"/>
        </w:rPr>
        <w:t xml:space="preserve"> </w:t>
      </w:r>
      <w:r>
        <w:rPr>
          <w:rFonts w:ascii="Arial"/>
          <w:color w:val="1D1D1D"/>
          <w:w w:val="105"/>
          <w:sz w:val="16"/>
        </w:rPr>
        <w:t>industry". MOFCOM explained that,</w:t>
      </w:r>
      <w:r>
        <w:rPr>
          <w:rFonts w:ascii="Arial"/>
          <w:color w:val="1D1D1D"/>
          <w:spacing w:val="-8"/>
          <w:w w:val="105"/>
          <w:sz w:val="16"/>
        </w:rPr>
        <w:t xml:space="preserve"> </w:t>
      </w:r>
      <w:r>
        <w:rPr>
          <w:rFonts w:ascii="Arial"/>
          <w:color w:val="1D1D1D"/>
          <w:w w:val="105"/>
          <w:sz w:val="16"/>
        </w:rPr>
        <w:t>unless</w:t>
      </w:r>
    </w:p>
    <w:p w14:paraId="51DE920A" w14:textId="77777777" w:rsidR="0010369C" w:rsidRDefault="008E43AE">
      <w:pPr>
        <w:spacing w:before="47" w:line="273" w:lineRule="auto"/>
        <w:ind w:left="234" w:hanging="5"/>
        <w:rPr>
          <w:rFonts w:ascii="Times New Roman"/>
          <w:i/>
          <w:sz w:val="12"/>
        </w:rPr>
      </w:pPr>
      <w:r>
        <w:pict w14:anchorId="51DEA59A">
          <v:group id="docshapegroup1150" o:spid="_x0000_s1243" style="position:absolute;left:0;text-align:left;margin-left:70.25pt;margin-top:17.7pt;width:456.55pt;height:62.85pt;z-index:-251288064;mso-position-horizontal-relative:page" coordorigin="1405,354" coordsize="9131,1257">
            <v:shape id="docshape1151" o:spid="_x0000_s1246" type="#_x0000_t75" style="position:absolute;left:1404;top:457;width:9131;height:1153">
              <v:imagedata r:id="rId904" o:title=""/>
            </v:shape>
            <v:rect id="docshape1152" o:spid="_x0000_s1245" style="position:absolute;left:9581;top:354;width:753;height:452" fillcolor="#e6e6e6" stroked="f"/>
            <v:line id="_x0000_s1244" style="position:absolute" from="10044,754" to="10353,754" strokecolor="#bebebe" strokeweight=".36794mm"/>
            <w10:wrap anchorx="page"/>
          </v:group>
        </w:pict>
      </w:r>
      <w:r>
        <w:rPr>
          <w:rFonts w:ascii="Arial"/>
          <w:color w:val="1D1D1D"/>
          <w:w w:val="105"/>
          <w:sz w:val="16"/>
        </w:rPr>
        <w:t>otherwise</w:t>
      </w:r>
      <w:r>
        <w:rPr>
          <w:rFonts w:ascii="Arial"/>
          <w:color w:val="1D1D1D"/>
          <w:spacing w:val="28"/>
          <w:w w:val="105"/>
          <w:sz w:val="16"/>
        </w:rPr>
        <w:t xml:space="preserve"> </w:t>
      </w:r>
      <w:r>
        <w:rPr>
          <w:rFonts w:ascii="Arial"/>
          <w:color w:val="1D1D1D"/>
          <w:w w:val="105"/>
          <w:sz w:val="16"/>
        </w:rPr>
        <w:t>specified, all</w:t>
      </w:r>
      <w:r>
        <w:rPr>
          <w:rFonts w:ascii="Arial"/>
          <w:color w:val="1D1D1D"/>
          <w:spacing w:val="23"/>
          <w:w w:val="105"/>
          <w:sz w:val="16"/>
        </w:rPr>
        <w:t xml:space="preserve"> </w:t>
      </w:r>
      <w:r>
        <w:rPr>
          <w:rFonts w:ascii="Arial"/>
          <w:color w:val="1D1D1D"/>
          <w:w w:val="105"/>
          <w:sz w:val="16"/>
        </w:rPr>
        <w:t>industry</w:t>
      </w:r>
      <w:r>
        <w:rPr>
          <w:rFonts w:ascii="Arial"/>
          <w:color w:val="1D1D1D"/>
          <w:spacing w:val="20"/>
          <w:w w:val="105"/>
          <w:sz w:val="16"/>
        </w:rPr>
        <w:t xml:space="preserve"> </w:t>
      </w:r>
      <w:r>
        <w:rPr>
          <w:rFonts w:ascii="Arial"/>
          <w:color w:val="1D1D1D"/>
          <w:w w:val="105"/>
          <w:sz w:val="16"/>
        </w:rPr>
        <w:t>data</w:t>
      </w:r>
      <w:r>
        <w:rPr>
          <w:rFonts w:ascii="Arial"/>
          <w:color w:val="1D1D1D"/>
          <w:spacing w:val="25"/>
          <w:w w:val="105"/>
          <w:sz w:val="16"/>
        </w:rPr>
        <w:t xml:space="preserve"> </w:t>
      </w:r>
      <w:r>
        <w:rPr>
          <w:rFonts w:ascii="Arial"/>
          <w:color w:val="0C0C0C"/>
          <w:w w:val="105"/>
          <w:sz w:val="16"/>
        </w:rPr>
        <w:t xml:space="preserve">relied </w:t>
      </w:r>
      <w:r>
        <w:rPr>
          <w:rFonts w:ascii="Arial"/>
          <w:color w:val="1D1D1D"/>
          <w:w w:val="105"/>
          <w:sz w:val="16"/>
        </w:rPr>
        <w:t>on</w:t>
      </w:r>
      <w:r>
        <w:rPr>
          <w:rFonts w:ascii="Arial"/>
          <w:color w:val="1D1D1D"/>
          <w:spacing w:val="28"/>
          <w:w w:val="105"/>
          <w:sz w:val="16"/>
        </w:rPr>
        <w:t xml:space="preserve"> </w:t>
      </w:r>
      <w:r>
        <w:rPr>
          <w:rFonts w:ascii="Arial"/>
          <w:color w:val="1D1D1D"/>
          <w:w w:val="105"/>
          <w:sz w:val="16"/>
        </w:rPr>
        <w:t>in</w:t>
      </w:r>
      <w:r>
        <w:rPr>
          <w:rFonts w:ascii="Arial"/>
          <w:color w:val="1D1D1D"/>
          <w:spacing w:val="30"/>
          <w:w w:val="105"/>
          <w:sz w:val="16"/>
        </w:rPr>
        <w:t xml:space="preserve"> </w:t>
      </w:r>
      <w:r>
        <w:rPr>
          <w:rFonts w:ascii="Arial"/>
          <w:color w:val="1D1D1D"/>
          <w:w w:val="105"/>
          <w:sz w:val="16"/>
        </w:rPr>
        <w:t>the</w:t>
      </w:r>
      <w:r>
        <w:rPr>
          <w:rFonts w:ascii="Arial"/>
          <w:color w:val="1D1D1D"/>
          <w:spacing w:val="39"/>
          <w:w w:val="105"/>
          <w:sz w:val="16"/>
        </w:rPr>
        <w:t xml:space="preserve"> </w:t>
      </w:r>
      <w:r>
        <w:rPr>
          <w:rFonts w:ascii="Arial"/>
          <w:color w:val="1D1D1D"/>
          <w:w w:val="105"/>
          <w:sz w:val="16"/>
        </w:rPr>
        <w:t>ruling was obtained</w:t>
      </w:r>
      <w:r>
        <w:rPr>
          <w:rFonts w:ascii="Arial"/>
          <w:color w:val="1D1D1D"/>
          <w:spacing w:val="20"/>
          <w:w w:val="105"/>
          <w:sz w:val="16"/>
        </w:rPr>
        <w:t xml:space="preserve"> </w:t>
      </w:r>
      <w:r>
        <w:rPr>
          <w:rFonts w:ascii="Arial"/>
          <w:color w:val="1D1D1D"/>
          <w:w w:val="105"/>
          <w:sz w:val="16"/>
        </w:rPr>
        <w:t>from</w:t>
      </w:r>
      <w:r>
        <w:rPr>
          <w:rFonts w:ascii="Arial"/>
          <w:color w:val="1D1D1D"/>
          <w:spacing w:val="17"/>
          <w:w w:val="105"/>
          <w:sz w:val="16"/>
        </w:rPr>
        <w:t xml:space="preserve"> </w:t>
      </w:r>
      <w:r>
        <w:rPr>
          <w:rFonts w:ascii="Arial"/>
          <w:color w:val="1D1D1D"/>
          <w:w w:val="105"/>
          <w:sz w:val="16"/>
        </w:rPr>
        <w:t>the</w:t>
      </w:r>
      <w:r>
        <w:rPr>
          <w:rFonts w:ascii="Arial"/>
          <w:color w:val="1D1D1D"/>
          <w:spacing w:val="17"/>
          <w:w w:val="105"/>
          <w:sz w:val="16"/>
        </w:rPr>
        <w:t xml:space="preserve"> </w:t>
      </w:r>
      <w:r>
        <w:rPr>
          <w:rFonts w:ascii="Arial"/>
          <w:color w:val="1D1D1D"/>
          <w:w w:val="105"/>
          <w:sz w:val="16"/>
        </w:rPr>
        <w:t>domestic</w:t>
      </w:r>
      <w:r>
        <w:rPr>
          <w:rFonts w:ascii="Arial"/>
          <w:color w:val="1D1D1D"/>
          <w:spacing w:val="35"/>
          <w:w w:val="105"/>
          <w:sz w:val="16"/>
        </w:rPr>
        <w:t xml:space="preserve"> </w:t>
      </w:r>
      <w:r>
        <w:rPr>
          <w:rFonts w:ascii="Arial"/>
          <w:color w:val="1D1D1D"/>
          <w:w w:val="105"/>
          <w:sz w:val="16"/>
        </w:rPr>
        <w:t>companies</w:t>
      </w:r>
      <w:r>
        <w:rPr>
          <w:rFonts w:ascii="Arial"/>
          <w:color w:val="1D1D1D"/>
          <w:spacing w:val="33"/>
          <w:w w:val="105"/>
          <w:sz w:val="16"/>
        </w:rPr>
        <w:t xml:space="preserve"> </w:t>
      </w:r>
      <w:r>
        <w:rPr>
          <w:rFonts w:ascii="Arial"/>
          <w:color w:val="1D1D1D"/>
          <w:w w:val="105"/>
          <w:sz w:val="16"/>
        </w:rPr>
        <w:t>that</w:t>
      </w:r>
      <w:r>
        <w:rPr>
          <w:rFonts w:ascii="Arial"/>
          <w:color w:val="1D1D1D"/>
          <w:spacing w:val="25"/>
          <w:w w:val="105"/>
          <w:sz w:val="16"/>
        </w:rPr>
        <w:t xml:space="preserve"> </w:t>
      </w:r>
      <w:r>
        <w:rPr>
          <w:rFonts w:ascii="Arial"/>
          <w:color w:val="1D1D1D"/>
          <w:w w:val="105"/>
          <w:sz w:val="16"/>
        </w:rPr>
        <w:t xml:space="preserve">submitted </w:t>
      </w:r>
      <w:r>
        <w:rPr>
          <w:rFonts w:ascii="Arial"/>
          <w:color w:val="1D1D1D"/>
          <w:w w:val="105"/>
          <w:sz w:val="16"/>
          <w:u w:val="thick" w:color="1D1D1D"/>
        </w:rPr>
        <w:t>responses</w:t>
      </w:r>
      <w:r>
        <w:rPr>
          <w:rFonts w:ascii="Arial"/>
          <w:color w:val="1D1D1D"/>
          <w:spacing w:val="-13"/>
          <w:w w:val="105"/>
          <w:sz w:val="16"/>
          <w:u w:val="thick" w:color="1D1D1D"/>
        </w:rPr>
        <w:t xml:space="preserve"> </w:t>
      </w:r>
      <w:r>
        <w:rPr>
          <w:rFonts w:ascii="Arial"/>
          <w:color w:val="1D1D1D"/>
          <w:w w:val="105"/>
          <w:sz w:val="16"/>
          <w:u w:val="thick" w:color="1D1D1D"/>
        </w:rPr>
        <w:t>to</w:t>
      </w:r>
      <w:r>
        <w:rPr>
          <w:rFonts w:ascii="Arial"/>
          <w:color w:val="1D1D1D"/>
          <w:spacing w:val="22"/>
          <w:w w:val="105"/>
          <w:sz w:val="16"/>
          <w:u w:val="thick" w:color="1D1D1D"/>
        </w:rPr>
        <w:t xml:space="preserve"> </w:t>
      </w:r>
      <w:r>
        <w:rPr>
          <w:rFonts w:ascii="Arial"/>
          <w:color w:val="0C0C0C"/>
          <w:w w:val="105"/>
          <w:sz w:val="16"/>
          <w:u w:val="thick" w:color="1D1D1D"/>
        </w:rPr>
        <w:t xml:space="preserve">the </w:t>
      </w:r>
      <w:r>
        <w:rPr>
          <w:rFonts w:ascii="Arial"/>
          <w:color w:val="1D1D1D"/>
          <w:w w:val="105"/>
          <w:sz w:val="16"/>
          <w:u w:val="thick" w:color="1D1D1D"/>
        </w:rPr>
        <w:t>domestic producer</w:t>
      </w:r>
      <w:r>
        <w:rPr>
          <w:rFonts w:ascii="Arial"/>
          <w:color w:val="1D1D1D"/>
          <w:spacing w:val="-3"/>
          <w:w w:val="105"/>
          <w:sz w:val="16"/>
          <w:u w:val="thick" w:color="1D1D1D"/>
        </w:rPr>
        <w:t xml:space="preserve"> </w:t>
      </w:r>
      <w:r>
        <w:rPr>
          <w:rFonts w:ascii="Arial"/>
          <w:color w:val="1D1D1D"/>
          <w:w w:val="105"/>
          <w:sz w:val="16"/>
          <w:u w:val="thick" w:color="1D1D1D"/>
        </w:rPr>
        <w:t>questionnaire:see</w:t>
      </w:r>
      <w:r>
        <w:rPr>
          <w:rFonts w:ascii="Arial"/>
          <w:color w:val="1D1D1D"/>
          <w:spacing w:val="-9"/>
          <w:w w:val="105"/>
          <w:sz w:val="16"/>
          <w:u w:val="thick" w:color="1D1D1D"/>
        </w:rPr>
        <w:t xml:space="preserve"> </w:t>
      </w:r>
      <w:r>
        <w:rPr>
          <w:rFonts w:ascii="Arial"/>
          <w:color w:val="1D1D1D"/>
          <w:w w:val="105"/>
          <w:sz w:val="16"/>
          <w:u w:val="thick" w:color="1D1D1D"/>
        </w:rPr>
        <w:t>Anti-Dumping</w:t>
      </w:r>
      <w:r>
        <w:rPr>
          <w:rFonts w:ascii="Arial"/>
          <w:color w:val="1D1D1D"/>
          <w:spacing w:val="-2"/>
          <w:w w:val="105"/>
          <w:sz w:val="16"/>
          <w:u w:val="thick" w:color="1D1D1D"/>
        </w:rPr>
        <w:t xml:space="preserve"> </w:t>
      </w:r>
      <w:r>
        <w:rPr>
          <w:rFonts w:ascii="Arial"/>
          <w:color w:val="1D1D1D"/>
          <w:w w:val="105"/>
          <w:sz w:val="16"/>
          <w:u w:val="thick" w:color="1D1D1D"/>
        </w:rPr>
        <w:t>Final</w:t>
      </w:r>
      <w:r>
        <w:rPr>
          <w:rFonts w:ascii="Arial"/>
          <w:color w:val="1D1D1D"/>
          <w:spacing w:val="-14"/>
          <w:w w:val="105"/>
          <w:sz w:val="16"/>
          <w:u w:val="thick" w:color="1D1D1D"/>
        </w:rPr>
        <w:t xml:space="preserve"> </w:t>
      </w:r>
      <w:r>
        <w:rPr>
          <w:rFonts w:ascii="Arial"/>
          <w:color w:val="1D1D1D"/>
          <w:w w:val="105"/>
          <w:sz w:val="16"/>
          <w:u w:val="thick" w:color="1D1D1D"/>
        </w:rPr>
        <w:t>Determination</w:t>
      </w:r>
      <w:r>
        <w:rPr>
          <w:rFonts w:ascii="Arial"/>
          <w:color w:val="1D1D1D"/>
          <w:spacing w:val="-5"/>
          <w:w w:val="105"/>
          <w:sz w:val="16"/>
          <w:u w:val="thick" w:color="1D1D1D"/>
        </w:rPr>
        <w:t xml:space="preserve"> </w:t>
      </w:r>
      <w:r>
        <w:rPr>
          <w:rFonts w:ascii="Arial"/>
          <w:color w:val="1D1D1D"/>
          <w:w w:val="105"/>
          <w:sz w:val="16"/>
          <w:u w:val="thick" w:color="1D1D1D"/>
        </w:rPr>
        <w:t>(Exhibit</w:t>
      </w:r>
      <w:r>
        <w:rPr>
          <w:rFonts w:ascii="Arial"/>
          <w:color w:val="1D1D1D"/>
          <w:spacing w:val="-2"/>
          <w:w w:val="105"/>
          <w:sz w:val="16"/>
          <w:u w:val="thick" w:color="1D1D1D"/>
        </w:rPr>
        <w:t xml:space="preserve"> </w:t>
      </w:r>
      <w:r>
        <w:rPr>
          <w:rFonts w:ascii="Arial"/>
          <w:color w:val="1D1D1D"/>
          <w:w w:val="105"/>
          <w:sz w:val="16"/>
          <w:u w:val="thick" w:color="1D1D1D"/>
        </w:rPr>
        <w:t>AUS-2),</w:t>
      </w:r>
      <w:r>
        <w:rPr>
          <w:rFonts w:ascii="Arial"/>
          <w:color w:val="1D1D1D"/>
          <w:spacing w:val="-9"/>
          <w:w w:val="105"/>
          <w:sz w:val="16"/>
          <w:u w:val="thick" w:color="1D1D1D"/>
        </w:rPr>
        <w:t xml:space="preserve"> </w:t>
      </w:r>
      <w:r>
        <w:rPr>
          <w:rFonts w:ascii="Arial"/>
          <w:color w:val="0C0C0C"/>
          <w:w w:val="105"/>
          <w:sz w:val="16"/>
          <w:u w:val="thick" w:color="1D1D1D"/>
        </w:rPr>
        <w:t xml:space="preserve">pp. </w:t>
      </w:r>
      <w:r>
        <w:rPr>
          <w:rFonts w:ascii="Arial"/>
          <w:color w:val="1D1D1D"/>
          <w:w w:val="105"/>
          <w:sz w:val="16"/>
          <w:u w:val="thick" w:color="1D1D1D"/>
        </w:rPr>
        <w:t>1</w:t>
      </w:r>
      <w:r>
        <w:rPr>
          <w:rFonts w:ascii="Arial"/>
          <w:color w:val="1D1D1D"/>
          <w:w w:val="105"/>
          <w:sz w:val="16"/>
        </w:rPr>
        <w:t>09-110.</w:t>
      </w:r>
      <w:r>
        <w:rPr>
          <w:rFonts w:ascii="Arial"/>
          <w:color w:val="1D1D1D"/>
          <w:spacing w:val="-14"/>
          <w:w w:val="105"/>
          <w:sz w:val="16"/>
        </w:rPr>
        <w:t xml:space="preserve"> </w:t>
      </w:r>
      <w:r>
        <w:rPr>
          <w:rFonts w:ascii="Times New Roman"/>
          <w:i/>
          <w:color w:val="1D1D1D"/>
          <w:w w:val="105"/>
          <w:sz w:val="12"/>
        </w:rPr>
        <w:t>811</w:t>
      </w:r>
    </w:p>
    <w:p w14:paraId="51DE920B" w14:textId="77777777" w:rsidR="0010369C" w:rsidRDefault="008E43AE">
      <w:pPr>
        <w:tabs>
          <w:tab w:val="left" w:pos="9107"/>
        </w:tabs>
        <w:spacing w:line="302" w:lineRule="exact"/>
        <w:ind w:left="6526"/>
        <w:rPr>
          <w:rFonts w:ascii="Arial"/>
          <w:sz w:val="33"/>
        </w:rPr>
      </w:pPr>
      <w:r>
        <w:rPr>
          <w:rFonts w:ascii="Arial"/>
          <w:b/>
          <w:color w:val="1D1D1D"/>
          <w:w w:val="110"/>
          <w:sz w:val="17"/>
        </w:rPr>
        <w:t>(AUS-65</w:t>
      </w:r>
      <w:r>
        <w:rPr>
          <w:rFonts w:ascii="Arial"/>
          <w:b/>
          <w:color w:val="1D1D1D"/>
          <w:spacing w:val="-3"/>
          <w:w w:val="110"/>
          <w:sz w:val="17"/>
        </w:rPr>
        <w:t xml:space="preserve"> </w:t>
      </w:r>
      <w:r>
        <w:rPr>
          <w:rFonts w:ascii="Arial"/>
          <w:b/>
          <w:color w:val="1D1D1D"/>
          <w:w w:val="145"/>
          <w:sz w:val="17"/>
        </w:rPr>
        <w:t>(BCl)),-</w:t>
      </w:r>
      <w:r>
        <w:rPr>
          <w:rFonts w:ascii="Arial"/>
          <w:b/>
          <w:color w:val="1D1D1D"/>
          <w:spacing w:val="-2"/>
          <w:w w:val="104"/>
          <w:sz w:val="17"/>
        </w:rPr>
        <w:t>)1</w:t>
      </w:r>
      <w:r>
        <w:rPr>
          <w:rFonts w:ascii="Arial"/>
          <w:color w:val="BFBFBF"/>
          <w:spacing w:val="-2"/>
          <w:w w:val="104"/>
          <w:sz w:val="33"/>
          <w:u w:val="thick" w:color="BFBFBF"/>
        </w:rPr>
        <w:t>I.....</w:t>
      </w:r>
      <w:r>
        <w:rPr>
          <w:rFonts w:ascii="Arial"/>
          <w:color w:val="BFBFBF"/>
          <w:sz w:val="33"/>
          <w:u w:val="thick" w:color="BFBFBF"/>
        </w:rPr>
        <w:tab/>
      </w:r>
    </w:p>
    <w:p w14:paraId="51DE920C" w14:textId="77777777" w:rsidR="0010369C" w:rsidRDefault="008E43AE">
      <w:pPr>
        <w:tabs>
          <w:tab w:val="left" w:pos="1230"/>
        </w:tabs>
        <w:spacing w:before="10" w:line="155" w:lineRule="exact"/>
        <w:ind w:right="1458"/>
        <w:jc w:val="right"/>
        <w:rPr>
          <w:rFonts w:ascii="Times New Roman"/>
          <w:sz w:val="16"/>
        </w:rPr>
      </w:pPr>
      <w:r>
        <w:rPr>
          <w:rFonts w:ascii="Arial"/>
          <w:b/>
          <w:color w:val="1D1D1D"/>
          <w:w w:val="95"/>
          <w:sz w:val="16"/>
        </w:rPr>
        <w:t>(Exhibit</w:t>
      </w:r>
      <w:r>
        <w:rPr>
          <w:rFonts w:ascii="Arial"/>
          <w:b/>
          <w:color w:val="1D1D1D"/>
          <w:spacing w:val="-7"/>
          <w:w w:val="95"/>
          <w:sz w:val="16"/>
        </w:rPr>
        <w:t xml:space="preserve"> </w:t>
      </w:r>
      <w:r>
        <w:rPr>
          <w:rFonts w:ascii="Arial"/>
          <w:b/>
          <w:color w:val="1D1D1D"/>
          <w:spacing w:val="-10"/>
          <w:sz w:val="16"/>
        </w:rPr>
        <w:t>A</w:t>
      </w:r>
      <w:r>
        <w:rPr>
          <w:rFonts w:ascii="Arial"/>
          <w:b/>
          <w:color w:val="1D1D1D"/>
          <w:sz w:val="16"/>
        </w:rPr>
        <w:tab/>
      </w:r>
      <w:r>
        <w:rPr>
          <w:rFonts w:ascii="Arial"/>
          <w:b/>
          <w:color w:val="0C0C0C"/>
          <w:sz w:val="16"/>
        </w:rPr>
        <w:t>B</w:t>
      </w:r>
      <w:r>
        <w:rPr>
          <w:rFonts w:ascii="Arial"/>
          <w:b/>
          <w:color w:val="0C0C0C"/>
          <w:spacing w:val="47"/>
          <w:sz w:val="16"/>
        </w:rPr>
        <w:t xml:space="preserve"> </w:t>
      </w:r>
      <w:r>
        <w:rPr>
          <w:rFonts w:ascii="Times New Roman"/>
          <w:color w:val="1D1D1D"/>
          <w:spacing w:val="-10"/>
          <w:sz w:val="16"/>
        </w:rPr>
        <w:t>I</w:t>
      </w:r>
    </w:p>
    <w:p w14:paraId="51DE920D" w14:textId="77777777" w:rsidR="0010369C" w:rsidRDefault="008E43AE">
      <w:pPr>
        <w:tabs>
          <w:tab w:val="left" w:pos="282"/>
        </w:tabs>
        <w:spacing w:line="223" w:lineRule="exact"/>
        <w:ind w:right="2200"/>
        <w:jc w:val="right"/>
        <w:rPr>
          <w:rFonts w:ascii="Times New Roman"/>
        </w:rPr>
      </w:pPr>
      <w:r>
        <w:rPr>
          <w:rFonts w:ascii="Arial"/>
          <w:color w:val="1D1D1D"/>
          <w:spacing w:val="-10"/>
          <w:sz w:val="16"/>
        </w:rPr>
        <w:t>-</w:t>
      </w:r>
      <w:r>
        <w:rPr>
          <w:rFonts w:ascii="Arial"/>
          <w:color w:val="1D1D1D"/>
          <w:sz w:val="16"/>
        </w:rPr>
        <w:tab/>
      </w:r>
      <w:r>
        <w:rPr>
          <w:rFonts w:ascii="Arial"/>
          <w:color w:val="3D3D3D"/>
          <w:sz w:val="16"/>
        </w:rPr>
        <w:t>,</w:t>
      </w:r>
      <w:r>
        <w:rPr>
          <w:rFonts w:ascii="Arial"/>
          <w:color w:val="3D3D3D"/>
          <w:spacing w:val="10"/>
          <w:sz w:val="16"/>
        </w:rPr>
        <w:t xml:space="preserve"> </w:t>
      </w:r>
      <w:r>
        <w:rPr>
          <w:rFonts w:ascii="Arial"/>
          <w:color w:val="1D1D1D"/>
          <w:sz w:val="16"/>
        </w:rPr>
        <w:t>Row</w:t>
      </w:r>
      <w:r>
        <w:rPr>
          <w:rFonts w:ascii="Arial"/>
          <w:color w:val="1D1D1D"/>
          <w:spacing w:val="-18"/>
          <w:sz w:val="16"/>
        </w:rPr>
        <w:t xml:space="preserve"> </w:t>
      </w:r>
      <w:r>
        <w:rPr>
          <w:rFonts w:ascii="Arial"/>
          <w:color w:val="1D1D1D"/>
          <w:sz w:val="16"/>
        </w:rPr>
        <w:t>16.</w:t>
      </w:r>
      <w:r>
        <w:rPr>
          <w:rFonts w:ascii="Arial"/>
          <w:color w:val="1D1D1D"/>
          <w:spacing w:val="11"/>
          <w:sz w:val="16"/>
        </w:rPr>
        <w:t xml:space="preserve"> </w:t>
      </w:r>
      <w:r>
        <w:rPr>
          <w:rFonts w:ascii="Times New Roman"/>
          <w:color w:val="1D1D1D"/>
          <w:spacing w:val="-10"/>
        </w:rPr>
        <w:t>I</w:t>
      </w:r>
    </w:p>
    <w:p w14:paraId="51DE920E" w14:textId="77777777" w:rsidR="0010369C" w:rsidRDefault="0010369C">
      <w:pPr>
        <w:spacing w:line="223" w:lineRule="exact"/>
        <w:jc w:val="right"/>
        <w:rPr>
          <w:rFonts w:ascii="Times New Roman"/>
        </w:rPr>
        <w:sectPr w:rsidR="0010369C">
          <w:headerReference w:type="default" r:id="rId905"/>
          <w:footerReference w:type="default" r:id="rId906"/>
          <w:pgSz w:w="11910" w:h="16840"/>
          <w:pgMar w:top="480" w:right="800" w:bottom="1020" w:left="1180" w:header="0" w:footer="826" w:gutter="0"/>
          <w:cols w:space="720"/>
        </w:sectPr>
      </w:pPr>
    </w:p>
    <w:p w14:paraId="51DE920F" w14:textId="77777777" w:rsidR="0010369C" w:rsidRDefault="008E43AE">
      <w:pPr>
        <w:tabs>
          <w:tab w:val="left" w:pos="6426"/>
        </w:tabs>
        <w:ind w:left="238"/>
        <w:jc w:val="both"/>
        <w:rPr>
          <w:sz w:val="20"/>
        </w:rPr>
      </w:pPr>
      <w:r>
        <w:rPr>
          <w:i/>
          <w:sz w:val="20"/>
        </w:rPr>
        <w:lastRenderedPageBreak/>
        <w:t>China</w:t>
      </w:r>
      <w:r>
        <w:rPr>
          <w:i/>
          <w:spacing w:val="-5"/>
          <w:sz w:val="20"/>
        </w:rPr>
        <w:t xml:space="preserve"> </w:t>
      </w:r>
      <w:r>
        <w:rPr>
          <w:i/>
          <w:sz w:val="20"/>
        </w:rPr>
        <w:t>–</w:t>
      </w:r>
      <w:r>
        <w:rPr>
          <w:i/>
          <w:spacing w:val="-5"/>
          <w:sz w:val="20"/>
        </w:rPr>
        <w:t xml:space="preserve"> </w:t>
      </w:r>
      <w:r>
        <w:rPr>
          <w:i/>
          <w:sz w:val="20"/>
        </w:rPr>
        <w:t>Anti‐Dumping</w:t>
      </w:r>
      <w:r>
        <w:rPr>
          <w:i/>
          <w:spacing w:val="-4"/>
          <w:sz w:val="20"/>
        </w:rPr>
        <w:t xml:space="preserve"> </w:t>
      </w:r>
      <w:r>
        <w:rPr>
          <w:i/>
          <w:sz w:val="20"/>
        </w:rPr>
        <w:t>and</w:t>
      </w:r>
      <w:r>
        <w:rPr>
          <w:i/>
          <w:spacing w:val="-5"/>
          <w:sz w:val="20"/>
        </w:rPr>
        <w:t xml:space="preserve"> </w:t>
      </w:r>
      <w:r>
        <w:rPr>
          <w:i/>
          <w:sz w:val="20"/>
        </w:rPr>
        <w:t>Countervailing</w:t>
      </w:r>
      <w:r>
        <w:rPr>
          <w:i/>
          <w:spacing w:val="-5"/>
          <w:sz w:val="20"/>
        </w:rPr>
        <w:t xml:space="preserve"> </w:t>
      </w:r>
      <w:r>
        <w:rPr>
          <w:i/>
          <w:sz w:val="20"/>
        </w:rPr>
        <w:t>Duty</w:t>
      </w:r>
      <w:r>
        <w:rPr>
          <w:i/>
          <w:spacing w:val="-4"/>
          <w:sz w:val="20"/>
        </w:rPr>
        <w:t xml:space="preserve"> </w:t>
      </w:r>
      <w:r>
        <w:rPr>
          <w:i/>
          <w:spacing w:val="-2"/>
          <w:sz w:val="20"/>
        </w:rPr>
        <w:t>Measures</w:t>
      </w:r>
      <w:r>
        <w:rPr>
          <w:i/>
          <w:sz w:val="20"/>
        </w:rPr>
        <w:tab/>
      </w:r>
      <w:r>
        <w:rPr>
          <w:sz w:val="20"/>
        </w:rPr>
        <w:t>Australia's</w:t>
      </w:r>
      <w:r>
        <w:rPr>
          <w:spacing w:val="-7"/>
          <w:sz w:val="20"/>
        </w:rPr>
        <w:t xml:space="preserve"> </w:t>
      </w:r>
      <w:r>
        <w:rPr>
          <w:sz w:val="20"/>
        </w:rPr>
        <w:t>First</w:t>
      </w:r>
      <w:r>
        <w:rPr>
          <w:spacing w:val="-2"/>
          <w:sz w:val="20"/>
        </w:rPr>
        <w:t xml:space="preserve"> </w:t>
      </w:r>
      <w:r>
        <w:rPr>
          <w:sz w:val="20"/>
        </w:rPr>
        <w:t>Written</w:t>
      </w:r>
      <w:r>
        <w:rPr>
          <w:spacing w:val="-2"/>
          <w:sz w:val="20"/>
        </w:rPr>
        <w:t xml:space="preserve"> Submission</w:t>
      </w:r>
    </w:p>
    <w:p w14:paraId="51DE9210" w14:textId="77777777" w:rsidR="0010369C" w:rsidRDefault="008E43AE">
      <w:pPr>
        <w:tabs>
          <w:tab w:val="left" w:pos="8228"/>
        </w:tabs>
        <w:spacing w:before="1"/>
        <w:ind w:left="239"/>
        <w:jc w:val="both"/>
        <w:rPr>
          <w:sz w:val="20"/>
        </w:rPr>
      </w:pPr>
      <w:r>
        <w:rPr>
          <w:i/>
          <w:sz w:val="20"/>
        </w:rPr>
        <w:t>on</w:t>
      </w:r>
      <w:r>
        <w:rPr>
          <w:i/>
          <w:spacing w:val="-1"/>
          <w:sz w:val="20"/>
        </w:rPr>
        <w:t xml:space="preserve"> </w:t>
      </w:r>
      <w:r>
        <w:rPr>
          <w:i/>
          <w:sz w:val="20"/>
        </w:rPr>
        <w:t>Wine</w:t>
      </w:r>
      <w:r>
        <w:rPr>
          <w:i/>
          <w:spacing w:val="-1"/>
          <w:sz w:val="20"/>
        </w:rPr>
        <w:t xml:space="preserve"> </w:t>
      </w:r>
      <w:r>
        <w:rPr>
          <w:i/>
          <w:sz w:val="20"/>
        </w:rPr>
        <w:t>from</w:t>
      </w:r>
      <w:r>
        <w:rPr>
          <w:i/>
          <w:spacing w:val="-3"/>
          <w:sz w:val="20"/>
        </w:rPr>
        <w:t xml:space="preserve"> </w:t>
      </w:r>
      <w:r>
        <w:rPr>
          <w:i/>
          <w:sz w:val="20"/>
        </w:rPr>
        <w:t>Australia</w:t>
      </w:r>
      <w:r>
        <w:rPr>
          <w:i/>
          <w:spacing w:val="-1"/>
          <w:sz w:val="20"/>
        </w:rPr>
        <w:t xml:space="preserve"> </w:t>
      </w:r>
      <w:r>
        <w:rPr>
          <w:spacing w:val="-2"/>
          <w:sz w:val="20"/>
        </w:rPr>
        <w:t>(DS602)</w:t>
      </w:r>
      <w:r>
        <w:rPr>
          <w:sz w:val="20"/>
        </w:rPr>
        <w:tab/>
        <w:t>29</w:t>
      </w:r>
      <w:r>
        <w:rPr>
          <w:spacing w:val="-1"/>
          <w:sz w:val="20"/>
        </w:rPr>
        <w:t xml:space="preserve"> </w:t>
      </w:r>
      <w:r>
        <w:rPr>
          <w:sz w:val="20"/>
        </w:rPr>
        <w:t>April</w:t>
      </w:r>
      <w:r>
        <w:rPr>
          <w:spacing w:val="-2"/>
          <w:sz w:val="20"/>
        </w:rPr>
        <w:t xml:space="preserve"> </w:t>
      </w:r>
      <w:r>
        <w:rPr>
          <w:spacing w:val="-4"/>
          <w:sz w:val="20"/>
        </w:rPr>
        <w:t>2022</w:t>
      </w:r>
    </w:p>
    <w:p w14:paraId="51DE9211" w14:textId="77777777" w:rsidR="0010369C" w:rsidRDefault="008E43AE">
      <w:pPr>
        <w:pStyle w:val="BodyText"/>
        <w:spacing w:before="34" w:line="360" w:lineRule="auto"/>
        <w:ind w:left="237" w:right="612"/>
        <w:jc w:val="both"/>
      </w:pPr>
      <w:r>
        <w:t>calculated, or the underlying data and its source(s). It is unclear whether MOFCOM relied on the "total national output" figures calculated using "statistics from authoritative domestic organizations" for the purposes of cal</w:t>
      </w:r>
      <w:r>
        <w:t>culating apparent consumption volumes.</w:t>
      </w:r>
      <w:r>
        <w:rPr>
          <w:vertAlign w:val="superscript"/>
        </w:rPr>
        <w:t>819</w:t>
      </w:r>
    </w:p>
    <w:p w14:paraId="51DE9212" w14:textId="77777777" w:rsidR="0010369C" w:rsidRDefault="0010369C">
      <w:pPr>
        <w:pStyle w:val="BodyText"/>
        <w:spacing w:before="11"/>
        <w:rPr>
          <w:sz w:val="8"/>
        </w:rPr>
      </w:pPr>
    </w:p>
    <w:p w14:paraId="51DE9213" w14:textId="77777777" w:rsidR="0010369C" w:rsidRDefault="008E43AE">
      <w:pPr>
        <w:pStyle w:val="BodyText"/>
        <w:spacing w:before="52" w:line="360" w:lineRule="auto"/>
        <w:ind w:left="236" w:right="613" w:firstLine="852"/>
        <w:jc w:val="both"/>
      </w:pPr>
      <w:r>
        <w:rPr>
          <w:noProof/>
        </w:rPr>
        <w:drawing>
          <wp:anchor distT="0" distB="0" distL="0" distR="0" simplePos="0" relativeHeight="251297280" behindDoc="1" locked="0" layoutInCell="1" allowOverlap="1" wp14:anchorId="51DEA59B" wp14:editId="51DEA59C">
            <wp:simplePos x="0" y="0"/>
            <wp:positionH relativeFrom="page">
              <wp:posOffset>905255</wp:posOffset>
            </wp:positionH>
            <wp:positionV relativeFrom="paragraph">
              <wp:posOffset>80595</wp:posOffset>
            </wp:positionV>
            <wp:extent cx="259079" cy="103631"/>
            <wp:effectExtent l="0" t="0" r="0" b="0"/>
            <wp:wrapNone/>
            <wp:docPr id="1349" name="image6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 name="image699.png"/>
                    <pic:cNvPicPr/>
                  </pic:nvPicPr>
                  <pic:blipFill>
                    <a:blip r:embed="rId907" cstate="print"/>
                    <a:stretch>
                      <a:fillRect/>
                    </a:stretch>
                  </pic:blipFill>
                  <pic:spPr>
                    <a:xfrm>
                      <a:off x="0" y="0"/>
                      <a:ext cx="259079" cy="103631"/>
                    </a:xfrm>
                    <a:prstGeom prst="rect">
                      <a:avLst/>
                    </a:prstGeom>
                  </pic:spPr>
                </pic:pic>
              </a:graphicData>
            </a:graphic>
          </wp:anchor>
        </w:drawing>
      </w:r>
      <w:r>
        <w:t>For</w:t>
      </w:r>
      <w:r>
        <w:rPr>
          <w:spacing w:val="-2"/>
        </w:rPr>
        <w:t xml:space="preserve"> </w:t>
      </w:r>
      <w:r>
        <w:t>the</w:t>
      </w:r>
      <w:r>
        <w:rPr>
          <w:spacing w:val="-2"/>
        </w:rPr>
        <w:t xml:space="preserve"> </w:t>
      </w:r>
      <w:r>
        <w:t>foregoing</w:t>
      </w:r>
      <w:r>
        <w:rPr>
          <w:spacing w:val="-3"/>
        </w:rPr>
        <w:t xml:space="preserve"> </w:t>
      </w:r>
      <w:r>
        <w:t>reasons,</w:t>
      </w:r>
      <w:r>
        <w:rPr>
          <w:spacing w:val="-3"/>
        </w:rPr>
        <w:t xml:space="preserve"> </w:t>
      </w:r>
      <w:r>
        <w:t>MOFCOM's</w:t>
      </w:r>
      <w:r>
        <w:rPr>
          <w:spacing w:val="-3"/>
        </w:rPr>
        <w:t xml:space="preserve"> </w:t>
      </w:r>
      <w:r>
        <w:t>comparison</w:t>
      </w:r>
      <w:r>
        <w:rPr>
          <w:spacing w:val="-3"/>
        </w:rPr>
        <w:t xml:space="preserve"> </w:t>
      </w:r>
      <w:r>
        <w:t>of</w:t>
      </w:r>
      <w:r>
        <w:rPr>
          <w:spacing w:val="-3"/>
        </w:rPr>
        <w:t xml:space="preserve"> </w:t>
      </w:r>
      <w:r>
        <w:t>market</w:t>
      </w:r>
      <w:r>
        <w:rPr>
          <w:spacing w:val="-3"/>
        </w:rPr>
        <w:t xml:space="preserve"> </w:t>
      </w:r>
      <w:r>
        <w:t>share</w:t>
      </w:r>
      <w:r>
        <w:rPr>
          <w:spacing w:val="-2"/>
        </w:rPr>
        <w:t xml:space="preserve"> </w:t>
      </w:r>
      <w:r>
        <w:t>between</w:t>
      </w:r>
      <w:r>
        <w:rPr>
          <w:spacing w:val="-3"/>
        </w:rPr>
        <w:t xml:space="preserve"> </w:t>
      </w:r>
      <w:r>
        <w:t>subject imports and domestic like products is not based on an objective examination of positive evidence and does not represent a fair compar</w:t>
      </w:r>
      <w:r>
        <w:t>ison of like volumes. Accordingly, MOFCOM's ostensible comparison of "market share" is incapable of supporting an affirmative determination</w:t>
      </w:r>
      <w:r>
        <w:rPr>
          <w:spacing w:val="-9"/>
        </w:rPr>
        <w:t xml:space="preserve"> </w:t>
      </w:r>
      <w:r>
        <w:t>of</w:t>
      </w:r>
      <w:r>
        <w:rPr>
          <w:spacing w:val="-10"/>
        </w:rPr>
        <w:t xml:space="preserve"> </w:t>
      </w:r>
      <w:r>
        <w:t>causation</w:t>
      </w:r>
      <w:r>
        <w:rPr>
          <w:spacing w:val="-10"/>
        </w:rPr>
        <w:t xml:space="preserve"> </w:t>
      </w:r>
      <w:r>
        <w:t>and</w:t>
      </w:r>
      <w:r>
        <w:rPr>
          <w:spacing w:val="-9"/>
        </w:rPr>
        <w:t xml:space="preserve"> </w:t>
      </w:r>
      <w:r>
        <w:t>is</w:t>
      </w:r>
      <w:r>
        <w:rPr>
          <w:spacing w:val="-10"/>
        </w:rPr>
        <w:t xml:space="preserve"> </w:t>
      </w:r>
      <w:r>
        <w:t>inconsistent</w:t>
      </w:r>
      <w:r>
        <w:rPr>
          <w:spacing w:val="-8"/>
        </w:rPr>
        <w:t xml:space="preserve"> </w:t>
      </w:r>
      <w:r>
        <w:t>with</w:t>
      </w:r>
      <w:r>
        <w:rPr>
          <w:spacing w:val="-10"/>
        </w:rPr>
        <w:t xml:space="preserve"> </w:t>
      </w:r>
      <w:r>
        <w:t>China's</w:t>
      </w:r>
      <w:r>
        <w:rPr>
          <w:spacing w:val="-9"/>
        </w:rPr>
        <w:t xml:space="preserve"> </w:t>
      </w:r>
      <w:r>
        <w:t>obligations</w:t>
      </w:r>
      <w:r>
        <w:rPr>
          <w:spacing w:val="-9"/>
        </w:rPr>
        <w:t xml:space="preserve"> </w:t>
      </w:r>
      <w:r>
        <w:t>under</w:t>
      </w:r>
      <w:r>
        <w:rPr>
          <w:spacing w:val="-9"/>
        </w:rPr>
        <w:t xml:space="preserve"> </w:t>
      </w:r>
      <w:r>
        <w:t>Articles</w:t>
      </w:r>
      <w:r>
        <w:rPr>
          <w:spacing w:val="-10"/>
        </w:rPr>
        <w:t xml:space="preserve"> </w:t>
      </w:r>
      <w:r>
        <w:t>3.1</w:t>
      </w:r>
      <w:r>
        <w:rPr>
          <w:spacing w:val="-10"/>
        </w:rPr>
        <w:t xml:space="preserve"> </w:t>
      </w:r>
      <w:r>
        <w:rPr>
          <w:spacing w:val="-5"/>
        </w:rPr>
        <w:t>and</w:t>
      </w:r>
    </w:p>
    <w:p w14:paraId="51DE9214" w14:textId="77777777" w:rsidR="0010369C" w:rsidRDefault="008E43AE">
      <w:pPr>
        <w:pStyle w:val="ListParagraph"/>
        <w:numPr>
          <w:ilvl w:val="1"/>
          <w:numId w:val="47"/>
        </w:numPr>
        <w:tabs>
          <w:tab w:val="left" w:pos="597"/>
        </w:tabs>
        <w:spacing w:before="1"/>
        <w:ind w:left="596" w:hanging="359"/>
        <w:jc w:val="both"/>
        <w:rPr>
          <w:sz w:val="24"/>
        </w:rPr>
      </w:pPr>
      <w:r>
        <w:rPr>
          <w:sz w:val="24"/>
        </w:rPr>
        <w:t>of</w:t>
      </w:r>
      <w:r>
        <w:rPr>
          <w:spacing w:val="-8"/>
          <w:sz w:val="24"/>
        </w:rPr>
        <w:t xml:space="preserve"> </w:t>
      </w:r>
      <w:r>
        <w:rPr>
          <w:sz w:val="24"/>
        </w:rPr>
        <w:t>the</w:t>
      </w:r>
      <w:r>
        <w:rPr>
          <w:spacing w:val="-7"/>
          <w:sz w:val="24"/>
        </w:rPr>
        <w:t xml:space="preserve"> </w:t>
      </w:r>
      <w:r>
        <w:rPr>
          <w:sz w:val="24"/>
        </w:rPr>
        <w:t>Anti‐Dumping</w:t>
      </w:r>
      <w:r>
        <w:rPr>
          <w:spacing w:val="-7"/>
          <w:sz w:val="24"/>
        </w:rPr>
        <w:t xml:space="preserve"> </w:t>
      </w:r>
      <w:r>
        <w:rPr>
          <w:spacing w:val="-2"/>
          <w:sz w:val="24"/>
        </w:rPr>
        <w:t>Agreement.</w:t>
      </w:r>
    </w:p>
    <w:p w14:paraId="51DE9215" w14:textId="77777777" w:rsidR="0010369C" w:rsidRDefault="0010369C">
      <w:pPr>
        <w:pStyle w:val="BodyText"/>
        <w:spacing w:before="11"/>
      </w:pPr>
    </w:p>
    <w:p w14:paraId="51DE9216" w14:textId="77777777" w:rsidR="0010369C" w:rsidRDefault="008E43AE">
      <w:pPr>
        <w:pStyle w:val="Heading4"/>
        <w:numPr>
          <w:ilvl w:val="0"/>
          <w:numId w:val="3"/>
        </w:numPr>
        <w:tabs>
          <w:tab w:val="left" w:pos="2649"/>
          <w:tab w:val="left" w:pos="2650"/>
        </w:tabs>
        <w:spacing w:before="0" w:line="360" w:lineRule="auto"/>
        <w:ind w:right="614"/>
        <w:jc w:val="both"/>
      </w:pPr>
      <w:r>
        <w:t>MOFCOM failed to conduct non‐attribution analyses in relation to "known"</w:t>
      </w:r>
      <w:r>
        <w:rPr>
          <w:spacing w:val="-7"/>
        </w:rPr>
        <w:t xml:space="preserve"> </w:t>
      </w:r>
      <w:r>
        <w:t>factors</w:t>
      </w:r>
      <w:r>
        <w:rPr>
          <w:spacing w:val="-8"/>
        </w:rPr>
        <w:t xml:space="preserve"> </w:t>
      </w:r>
      <w:r>
        <w:t>in</w:t>
      </w:r>
      <w:r>
        <w:rPr>
          <w:spacing w:val="-9"/>
        </w:rPr>
        <w:t xml:space="preserve"> </w:t>
      </w:r>
      <w:r>
        <w:t>accordance</w:t>
      </w:r>
      <w:r>
        <w:rPr>
          <w:spacing w:val="-9"/>
        </w:rPr>
        <w:t xml:space="preserve"> </w:t>
      </w:r>
      <w:r>
        <w:t>with</w:t>
      </w:r>
      <w:r>
        <w:rPr>
          <w:spacing w:val="-9"/>
        </w:rPr>
        <w:t xml:space="preserve"> </w:t>
      </w:r>
      <w:r>
        <w:t>Articles</w:t>
      </w:r>
      <w:r>
        <w:rPr>
          <w:spacing w:val="-9"/>
        </w:rPr>
        <w:t xml:space="preserve"> </w:t>
      </w:r>
      <w:r>
        <w:t>3.1</w:t>
      </w:r>
      <w:r>
        <w:rPr>
          <w:spacing w:val="-9"/>
        </w:rPr>
        <w:t xml:space="preserve"> </w:t>
      </w:r>
      <w:r>
        <w:t>and</w:t>
      </w:r>
      <w:r>
        <w:rPr>
          <w:spacing w:val="-8"/>
        </w:rPr>
        <w:t xml:space="preserve"> </w:t>
      </w:r>
      <w:r>
        <w:t>3.5</w:t>
      </w:r>
      <w:r>
        <w:rPr>
          <w:spacing w:val="-8"/>
        </w:rPr>
        <w:t xml:space="preserve"> </w:t>
      </w:r>
      <w:r>
        <w:t>of</w:t>
      </w:r>
      <w:r>
        <w:rPr>
          <w:spacing w:val="-8"/>
        </w:rPr>
        <w:t xml:space="preserve"> </w:t>
      </w:r>
      <w:r>
        <w:t>the</w:t>
      </w:r>
      <w:r>
        <w:rPr>
          <w:spacing w:val="-8"/>
        </w:rPr>
        <w:t xml:space="preserve"> </w:t>
      </w:r>
      <w:r>
        <w:t>Anti‐ Dumping Agreement</w:t>
      </w:r>
    </w:p>
    <w:p w14:paraId="51DE9217" w14:textId="77777777" w:rsidR="0010369C" w:rsidRDefault="0010369C">
      <w:pPr>
        <w:pStyle w:val="BodyText"/>
        <w:spacing w:before="11"/>
        <w:rPr>
          <w:b/>
          <w:sz w:val="8"/>
        </w:rPr>
      </w:pPr>
    </w:p>
    <w:p w14:paraId="51DE9218" w14:textId="77777777" w:rsidR="0010369C" w:rsidRDefault="008E43AE">
      <w:pPr>
        <w:pStyle w:val="BodyText"/>
        <w:spacing w:before="52" w:line="360" w:lineRule="auto"/>
        <w:ind w:left="237" w:right="612" w:firstLine="852"/>
        <w:jc w:val="both"/>
      </w:pPr>
      <w:r>
        <w:rPr>
          <w:noProof/>
        </w:rPr>
        <w:drawing>
          <wp:anchor distT="0" distB="0" distL="0" distR="0" simplePos="0" relativeHeight="251298304" behindDoc="1" locked="0" layoutInCell="1" allowOverlap="1" wp14:anchorId="51DEA59D" wp14:editId="51DEA59E">
            <wp:simplePos x="0" y="0"/>
            <wp:positionH relativeFrom="page">
              <wp:posOffset>905255</wp:posOffset>
            </wp:positionH>
            <wp:positionV relativeFrom="paragraph">
              <wp:posOffset>81950</wp:posOffset>
            </wp:positionV>
            <wp:extent cx="259079" cy="100753"/>
            <wp:effectExtent l="0" t="0" r="0" b="0"/>
            <wp:wrapNone/>
            <wp:docPr id="1351" name="image7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 name="image700.png"/>
                    <pic:cNvPicPr/>
                  </pic:nvPicPr>
                  <pic:blipFill>
                    <a:blip r:embed="rId908" cstate="print"/>
                    <a:stretch>
                      <a:fillRect/>
                    </a:stretch>
                  </pic:blipFill>
                  <pic:spPr>
                    <a:xfrm>
                      <a:off x="0" y="0"/>
                      <a:ext cx="259079" cy="100753"/>
                    </a:xfrm>
                    <a:prstGeom prst="rect">
                      <a:avLst/>
                    </a:prstGeom>
                  </pic:spPr>
                </pic:pic>
              </a:graphicData>
            </a:graphic>
          </wp:anchor>
        </w:drawing>
      </w:r>
      <w:r>
        <w:t xml:space="preserve">Australia submits that MOFCOM failed to conduct a proper non‐attribution analysis in relation to the following known factors in its Final Determination: (i) the progressive elimination of China's import tariffs on subject imports pursuant to the </w:t>
      </w:r>
      <w:r>
        <w:rPr>
          <w:i/>
        </w:rPr>
        <w:t>China‐Aust</w:t>
      </w:r>
      <w:r>
        <w:rPr>
          <w:i/>
        </w:rPr>
        <w:t xml:space="preserve">ralia Free Trade Agreement </w:t>
      </w:r>
      <w:r>
        <w:t>(ChAFTA); (ii) low‐priced imports of like products from third countries; (iii) exchange rate fluctuations; and (iv) non‐price factors impacting purchasing decisions of Chinese consumers.</w:t>
      </w:r>
    </w:p>
    <w:p w14:paraId="51DE9219" w14:textId="77777777" w:rsidR="0010369C" w:rsidRDefault="0010369C">
      <w:pPr>
        <w:pStyle w:val="BodyText"/>
        <w:spacing w:before="11"/>
        <w:rPr>
          <w:sz w:val="8"/>
        </w:rPr>
      </w:pPr>
    </w:p>
    <w:p w14:paraId="51DE921A" w14:textId="77777777" w:rsidR="0010369C" w:rsidRDefault="008E43AE">
      <w:pPr>
        <w:pStyle w:val="BodyText"/>
        <w:spacing w:before="52" w:line="360" w:lineRule="auto"/>
        <w:ind w:left="237" w:right="613" w:firstLine="851"/>
        <w:jc w:val="both"/>
      </w:pPr>
      <w:r>
        <w:rPr>
          <w:noProof/>
        </w:rPr>
        <w:drawing>
          <wp:anchor distT="0" distB="0" distL="0" distR="0" simplePos="0" relativeHeight="251299328" behindDoc="1" locked="0" layoutInCell="1" allowOverlap="1" wp14:anchorId="51DEA59F" wp14:editId="51DEA5A0">
            <wp:simplePos x="0" y="0"/>
            <wp:positionH relativeFrom="page">
              <wp:posOffset>905255</wp:posOffset>
            </wp:positionH>
            <wp:positionV relativeFrom="paragraph">
              <wp:posOffset>76786</wp:posOffset>
            </wp:positionV>
            <wp:extent cx="259079" cy="106679"/>
            <wp:effectExtent l="0" t="0" r="0" b="0"/>
            <wp:wrapNone/>
            <wp:docPr id="1353" name="image7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 name="image701.png"/>
                    <pic:cNvPicPr/>
                  </pic:nvPicPr>
                  <pic:blipFill>
                    <a:blip r:embed="rId909" cstate="print"/>
                    <a:stretch>
                      <a:fillRect/>
                    </a:stretch>
                  </pic:blipFill>
                  <pic:spPr>
                    <a:xfrm>
                      <a:off x="0" y="0"/>
                      <a:ext cx="259079" cy="106679"/>
                    </a:xfrm>
                    <a:prstGeom prst="rect">
                      <a:avLst/>
                    </a:prstGeom>
                  </pic:spPr>
                </pic:pic>
              </a:graphicData>
            </a:graphic>
          </wp:anchor>
        </w:drawing>
      </w:r>
      <w:r>
        <w:t>An investigating authority must consider</w:t>
      </w:r>
      <w:r>
        <w:t xml:space="preserve"> the effects of other factors "known" to it which may be causing injury to the domestic industry.</w:t>
      </w:r>
      <w:r>
        <w:rPr>
          <w:vertAlign w:val="superscript"/>
        </w:rPr>
        <w:t>820</w:t>
      </w:r>
      <w:r>
        <w:t xml:space="preserve"> This requires the investigating authority</w:t>
      </w:r>
      <w:r>
        <w:rPr>
          <w:spacing w:val="-14"/>
        </w:rPr>
        <w:t xml:space="preserve"> </w:t>
      </w:r>
      <w:r>
        <w:t>to</w:t>
      </w:r>
      <w:r>
        <w:rPr>
          <w:spacing w:val="-14"/>
        </w:rPr>
        <w:t xml:space="preserve"> </w:t>
      </w:r>
      <w:r>
        <w:t>"appropriately</w:t>
      </w:r>
      <w:r>
        <w:rPr>
          <w:spacing w:val="-13"/>
        </w:rPr>
        <w:t xml:space="preserve"> </w:t>
      </w:r>
      <w:r>
        <w:t>assess</w:t>
      </w:r>
      <w:r>
        <w:rPr>
          <w:spacing w:val="-13"/>
        </w:rPr>
        <w:t xml:space="preserve"> </w:t>
      </w:r>
      <w:r>
        <w:t>the</w:t>
      </w:r>
      <w:r>
        <w:rPr>
          <w:spacing w:val="-13"/>
        </w:rPr>
        <w:t xml:space="preserve"> </w:t>
      </w:r>
      <w:r>
        <w:t>injurious</w:t>
      </w:r>
      <w:r>
        <w:rPr>
          <w:spacing w:val="-12"/>
        </w:rPr>
        <w:t xml:space="preserve"> </w:t>
      </w:r>
      <w:r>
        <w:t>effects</w:t>
      </w:r>
      <w:r>
        <w:rPr>
          <w:spacing w:val="-14"/>
        </w:rPr>
        <w:t xml:space="preserve"> </w:t>
      </w:r>
      <w:r>
        <w:t>of</w:t>
      </w:r>
      <w:r>
        <w:rPr>
          <w:spacing w:val="-14"/>
        </w:rPr>
        <w:t xml:space="preserve"> </w:t>
      </w:r>
      <w:r>
        <w:t>those</w:t>
      </w:r>
      <w:r>
        <w:rPr>
          <w:spacing w:val="-12"/>
        </w:rPr>
        <w:t xml:space="preserve"> </w:t>
      </w:r>
      <w:r>
        <w:t>other</w:t>
      </w:r>
      <w:r>
        <w:rPr>
          <w:spacing w:val="-12"/>
        </w:rPr>
        <w:t xml:space="preserve"> </w:t>
      </w:r>
      <w:r>
        <w:t>factors",</w:t>
      </w:r>
      <w:r>
        <w:rPr>
          <w:spacing w:val="-13"/>
        </w:rPr>
        <w:t xml:space="preserve"> </w:t>
      </w:r>
      <w:r>
        <w:t>and</w:t>
      </w:r>
      <w:r>
        <w:rPr>
          <w:spacing w:val="-13"/>
        </w:rPr>
        <w:t xml:space="preserve"> </w:t>
      </w:r>
      <w:r>
        <w:t>"[l]ogically, such an assessment must</w:t>
      </w:r>
      <w:r>
        <w:t xml:space="preserve"> involve separating and distinguishing the injurious effects of the other factors from the injurious effects of the dumped imports".</w:t>
      </w:r>
      <w:r>
        <w:rPr>
          <w:vertAlign w:val="superscript"/>
        </w:rPr>
        <w:t>821</w:t>
      </w:r>
      <w:r>
        <w:t xml:space="preserve"> The Anti‐Dumping Agreement does not expressly state how such factors should become "known" to the investigating authorit</w:t>
      </w:r>
      <w:r>
        <w:t>y or if and in what manner they must be raised by interested parties in</w:t>
      </w:r>
    </w:p>
    <w:p w14:paraId="51DE921B" w14:textId="77777777" w:rsidR="0010369C" w:rsidRDefault="0010369C">
      <w:pPr>
        <w:pStyle w:val="BodyText"/>
        <w:rPr>
          <w:sz w:val="20"/>
        </w:rPr>
      </w:pPr>
    </w:p>
    <w:p w14:paraId="51DE921C" w14:textId="77777777" w:rsidR="0010369C" w:rsidRDefault="0010369C">
      <w:pPr>
        <w:pStyle w:val="BodyText"/>
        <w:rPr>
          <w:sz w:val="20"/>
        </w:rPr>
      </w:pPr>
    </w:p>
    <w:p w14:paraId="51DE921D" w14:textId="77777777" w:rsidR="0010369C" w:rsidRDefault="008E43AE">
      <w:pPr>
        <w:pStyle w:val="BodyText"/>
        <w:spacing w:before="5"/>
        <w:rPr>
          <w:sz w:val="16"/>
        </w:rPr>
      </w:pPr>
      <w:r>
        <w:pict w14:anchorId="51DEA5A1">
          <v:rect id="docshape1156" o:spid="_x0000_s1242" style="position:absolute;margin-left:70.9pt;margin-top:11.2pt;width:2in;height:.8pt;z-index:-250786304;mso-wrap-distance-left:0;mso-wrap-distance-right:0;mso-position-horizontal-relative:page" fillcolor="black" stroked="f">
            <w10:wrap type="topAndBottom" anchorx="page"/>
          </v:rect>
        </w:pict>
      </w:r>
    </w:p>
    <w:p w14:paraId="51DE921E" w14:textId="77777777" w:rsidR="0010369C" w:rsidRDefault="008E43AE">
      <w:pPr>
        <w:spacing w:before="109"/>
        <w:ind w:left="236" w:right="613" w:firstLine="1"/>
        <w:jc w:val="both"/>
        <w:rPr>
          <w:sz w:val="18"/>
        </w:rPr>
      </w:pPr>
      <w:r>
        <w:rPr>
          <w:sz w:val="18"/>
          <w:vertAlign w:val="superscript"/>
        </w:rPr>
        <w:t>819</w:t>
      </w:r>
      <w:r>
        <w:rPr>
          <w:sz w:val="18"/>
        </w:rPr>
        <w:t xml:space="preserve"> Anti‐Dumping Final Determination (Exhibit AUS‐2),</w:t>
      </w:r>
      <w:r>
        <w:rPr>
          <w:spacing w:val="-1"/>
          <w:sz w:val="18"/>
        </w:rPr>
        <w:t xml:space="preserve"> </w:t>
      </w:r>
      <w:r>
        <w:rPr>
          <w:sz w:val="18"/>
        </w:rPr>
        <w:t>pp. 109,</w:t>
      </w:r>
      <w:r>
        <w:rPr>
          <w:spacing w:val="-1"/>
          <w:sz w:val="18"/>
        </w:rPr>
        <w:t xml:space="preserve"> </w:t>
      </w:r>
      <w:r>
        <w:rPr>
          <w:sz w:val="18"/>
        </w:rPr>
        <w:t>148. As set out in section III above,</w:t>
      </w:r>
      <w:r>
        <w:rPr>
          <w:spacing w:val="-1"/>
          <w:sz w:val="18"/>
        </w:rPr>
        <w:t xml:space="preserve"> </w:t>
      </w:r>
      <w:r>
        <w:rPr>
          <w:sz w:val="18"/>
        </w:rPr>
        <w:t>MOFCOM's methodology for calculating total national output was flawed and unreliable. To the extent that MOFCOM relied on total national output figures for the purposes of calculating apparent consumption, the apparent consumption volumes are also flawed a</w:t>
      </w:r>
      <w:r>
        <w:rPr>
          <w:sz w:val="18"/>
        </w:rPr>
        <w:t>nd unreliable, particularly for the purposes of determining whether subject imports have caused injury to the domestic wine industry in China.</w:t>
      </w:r>
    </w:p>
    <w:p w14:paraId="51DE921F" w14:textId="77777777" w:rsidR="0010369C" w:rsidRDefault="008E43AE">
      <w:pPr>
        <w:spacing w:before="1"/>
        <w:ind w:left="238"/>
        <w:jc w:val="both"/>
        <w:rPr>
          <w:sz w:val="18"/>
        </w:rPr>
      </w:pPr>
      <w:r>
        <w:rPr>
          <w:sz w:val="18"/>
          <w:vertAlign w:val="superscript"/>
        </w:rPr>
        <w:t>820</w:t>
      </w:r>
      <w:r>
        <w:rPr>
          <w:spacing w:val="-7"/>
          <w:sz w:val="18"/>
        </w:rPr>
        <w:t xml:space="preserve"> </w:t>
      </w:r>
      <w:r>
        <w:rPr>
          <w:sz w:val="18"/>
        </w:rPr>
        <w:t>Panel</w:t>
      </w:r>
      <w:r>
        <w:rPr>
          <w:spacing w:val="-7"/>
          <w:sz w:val="18"/>
        </w:rPr>
        <w:t xml:space="preserve"> </w:t>
      </w:r>
      <w:r>
        <w:rPr>
          <w:sz w:val="18"/>
        </w:rPr>
        <w:t>Report,</w:t>
      </w:r>
      <w:r>
        <w:rPr>
          <w:spacing w:val="-7"/>
          <w:sz w:val="18"/>
        </w:rPr>
        <w:t xml:space="preserve"> </w:t>
      </w:r>
      <w:r>
        <w:rPr>
          <w:i/>
          <w:sz w:val="18"/>
        </w:rPr>
        <w:t>EU</w:t>
      </w:r>
      <w:r>
        <w:rPr>
          <w:i/>
          <w:spacing w:val="-7"/>
          <w:sz w:val="18"/>
        </w:rPr>
        <w:t xml:space="preserve"> </w:t>
      </w:r>
      <w:r>
        <w:rPr>
          <w:i/>
          <w:sz w:val="18"/>
        </w:rPr>
        <w:t>–</w:t>
      </w:r>
      <w:r>
        <w:rPr>
          <w:i/>
          <w:spacing w:val="-6"/>
          <w:sz w:val="18"/>
        </w:rPr>
        <w:t xml:space="preserve"> </w:t>
      </w:r>
      <w:r>
        <w:rPr>
          <w:i/>
          <w:sz w:val="18"/>
        </w:rPr>
        <w:t>Footwear</w:t>
      </w:r>
      <w:r>
        <w:rPr>
          <w:i/>
          <w:spacing w:val="-7"/>
          <w:sz w:val="18"/>
        </w:rPr>
        <w:t xml:space="preserve"> </w:t>
      </w:r>
      <w:r>
        <w:rPr>
          <w:i/>
          <w:sz w:val="18"/>
        </w:rPr>
        <w:t>(China)</w:t>
      </w:r>
      <w:r>
        <w:rPr>
          <w:sz w:val="18"/>
        </w:rPr>
        <w:t>,</w:t>
      </w:r>
      <w:r>
        <w:rPr>
          <w:spacing w:val="-7"/>
          <w:sz w:val="18"/>
        </w:rPr>
        <w:t xml:space="preserve"> </w:t>
      </w:r>
      <w:r>
        <w:rPr>
          <w:sz w:val="18"/>
        </w:rPr>
        <w:t>para.</w:t>
      </w:r>
      <w:r>
        <w:rPr>
          <w:spacing w:val="-6"/>
          <w:sz w:val="18"/>
        </w:rPr>
        <w:t xml:space="preserve"> </w:t>
      </w:r>
      <w:r>
        <w:rPr>
          <w:sz w:val="18"/>
        </w:rPr>
        <w:t>7.484</w:t>
      </w:r>
      <w:r>
        <w:rPr>
          <w:spacing w:val="-7"/>
          <w:sz w:val="18"/>
        </w:rPr>
        <w:t xml:space="preserve"> </w:t>
      </w:r>
      <w:r>
        <w:rPr>
          <w:sz w:val="18"/>
        </w:rPr>
        <w:t>citing</w:t>
      </w:r>
      <w:r>
        <w:rPr>
          <w:spacing w:val="-6"/>
          <w:sz w:val="18"/>
        </w:rPr>
        <w:t xml:space="preserve"> </w:t>
      </w:r>
      <w:r>
        <w:rPr>
          <w:sz w:val="18"/>
        </w:rPr>
        <w:t>Panel</w:t>
      </w:r>
      <w:r>
        <w:rPr>
          <w:spacing w:val="-8"/>
          <w:sz w:val="18"/>
        </w:rPr>
        <w:t xml:space="preserve"> </w:t>
      </w:r>
      <w:r>
        <w:rPr>
          <w:sz w:val="18"/>
        </w:rPr>
        <w:t>Report,</w:t>
      </w:r>
      <w:r>
        <w:rPr>
          <w:spacing w:val="-6"/>
          <w:sz w:val="18"/>
        </w:rPr>
        <w:t xml:space="preserve"> </w:t>
      </w:r>
      <w:r>
        <w:rPr>
          <w:i/>
          <w:sz w:val="18"/>
        </w:rPr>
        <w:t>Thailand</w:t>
      </w:r>
      <w:r>
        <w:rPr>
          <w:i/>
          <w:spacing w:val="-6"/>
          <w:sz w:val="18"/>
        </w:rPr>
        <w:t xml:space="preserve"> </w:t>
      </w:r>
      <w:r>
        <w:rPr>
          <w:i/>
          <w:sz w:val="18"/>
        </w:rPr>
        <w:t>–</w:t>
      </w:r>
      <w:r>
        <w:rPr>
          <w:i/>
          <w:spacing w:val="-6"/>
          <w:sz w:val="18"/>
        </w:rPr>
        <w:t xml:space="preserve"> </w:t>
      </w:r>
      <w:r>
        <w:rPr>
          <w:i/>
          <w:sz w:val="18"/>
        </w:rPr>
        <w:t>H‐Beams,</w:t>
      </w:r>
      <w:r>
        <w:rPr>
          <w:i/>
          <w:spacing w:val="-7"/>
          <w:sz w:val="18"/>
        </w:rPr>
        <w:t xml:space="preserve"> </w:t>
      </w:r>
      <w:r>
        <w:rPr>
          <w:sz w:val="18"/>
        </w:rPr>
        <w:t>para.</w:t>
      </w:r>
      <w:r>
        <w:rPr>
          <w:spacing w:val="-7"/>
          <w:sz w:val="18"/>
        </w:rPr>
        <w:t xml:space="preserve"> </w:t>
      </w:r>
      <w:r>
        <w:rPr>
          <w:spacing w:val="-2"/>
          <w:sz w:val="18"/>
        </w:rPr>
        <w:t>7.484.</w:t>
      </w:r>
    </w:p>
    <w:p w14:paraId="51DE9220" w14:textId="77777777" w:rsidR="0010369C" w:rsidRDefault="008E43AE">
      <w:pPr>
        <w:ind w:left="238"/>
        <w:jc w:val="both"/>
        <w:rPr>
          <w:sz w:val="18"/>
        </w:rPr>
      </w:pPr>
      <w:r>
        <w:rPr>
          <w:sz w:val="18"/>
          <w:vertAlign w:val="superscript"/>
        </w:rPr>
        <w:t>821</w:t>
      </w:r>
      <w:r>
        <w:rPr>
          <w:spacing w:val="-6"/>
          <w:sz w:val="18"/>
        </w:rPr>
        <w:t xml:space="preserve"> </w:t>
      </w:r>
      <w:r>
        <w:rPr>
          <w:sz w:val="18"/>
        </w:rPr>
        <w:t>Ap</w:t>
      </w:r>
      <w:r>
        <w:rPr>
          <w:sz w:val="18"/>
        </w:rPr>
        <w:t>pellate</w:t>
      </w:r>
      <w:r>
        <w:rPr>
          <w:spacing w:val="-5"/>
          <w:sz w:val="18"/>
        </w:rPr>
        <w:t xml:space="preserve"> </w:t>
      </w:r>
      <w:r>
        <w:rPr>
          <w:sz w:val="18"/>
        </w:rPr>
        <w:t>Body</w:t>
      </w:r>
      <w:r>
        <w:rPr>
          <w:spacing w:val="-7"/>
          <w:sz w:val="18"/>
        </w:rPr>
        <w:t xml:space="preserve"> </w:t>
      </w:r>
      <w:r>
        <w:rPr>
          <w:sz w:val="18"/>
        </w:rPr>
        <w:t>Report,</w:t>
      </w:r>
      <w:r>
        <w:rPr>
          <w:spacing w:val="-6"/>
          <w:sz w:val="18"/>
        </w:rPr>
        <w:t xml:space="preserve"> </w:t>
      </w:r>
      <w:r>
        <w:rPr>
          <w:i/>
          <w:sz w:val="18"/>
        </w:rPr>
        <w:t>US</w:t>
      </w:r>
      <w:r>
        <w:rPr>
          <w:i/>
          <w:spacing w:val="-5"/>
          <w:sz w:val="18"/>
        </w:rPr>
        <w:t xml:space="preserve"> </w:t>
      </w:r>
      <w:r>
        <w:rPr>
          <w:i/>
          <w:sz w:val="18"/>
        </w:rPr>
        <w:t>–</w:t>
      </w:r>
      <w:r>
        <w:rPr>
          <w:i/>
          <w:spacing w:val="-6"/>
          <w:sz w:val="18"/>
        </w:rPr>
        <w:t xml:space="preserve"> </w:t>
      </w:r>
      <w:r>
        <w:rPr>
          <w:i/>
          <w:sz w:val="18"/>
        </w:rPr>
        <w:t>Hot‐Rolled</w:t>
      </w:r>
      <w:r>
        <w:rPr>
          <w:i/>
          <w:spacing w:val="-5"/>
          <w:sz w:val="18"/>
        </w:rPr>
        <w:t xml:space="preserve"> </w:t>
      </w:r>
      <w:r>
        <w:rPr>
          <w:i/>
          <w:sz w:val="18"/>
        </w:rPr>
        <w:t>Steel</w:t>
      </w:r>
      <w:r>
        <w:rPr>
          <w:sz w:val="18"/>
        </w:rPr>
        <w:t>,</w:t>
      </w:r>
      <w:r>
        <w:rPr>
          <w:spacing w:val="-6"/>
          <w:sz w:val="18"/>
        </w:rPr>
        <w:t xml:space="preserve"> </w:t>
      </w:r>
      <w:r>
        <w:rPr>
          <w:sz w:val="18"/>
        </w:rPr>
        <w:t>para.</w:t>
      </w:r>
      <w:r>
        <w:rPr>
          <w:spacing w:val="-6"/>
          <w:sz w:val="18"/>
        </w:rPr>
        <w:t xml:space="preserve"> </w:t>
      </w:r>
      <w:r>
        <w:rPr>
          <w:spacing w:val="-4"/>
          <w:sz w:val="18"/>
        </w:rPr>
        <w:t>223.</w:t>
      </w:r>
    </w:p>
    <w:p w14:paraId="51DE9221" w14:textId="77777777" w:rsidR="0010369C" w:rsidRDefault="0010369C">
      <w:pPr>
        <w:jc w:val="both"/>
        <w:rPr>
          <w:sz w:val="18"/>
        </w:rPr>
        <w:sectPr w:rsidR="0010369C">
          <w:headerReference w:type="default" r:id="rId910"/>
          <w:footerReference w:type="default" r:id="rId911"/>
          <w:pgSz w:w="11910" w:h="16840"/>
          <w:pgMar w:top="880" w:right="800" w:bottom="980" w:left="1180" w:header="569" w:footer="788" w:gutter="0"/>
          <w:cols w:space="720"/>
        </w:sectPr>
      </w:pPr>
    </w:p>
    <w:p w14:paraId="51DE9222" w14:textId="77777777" w:rsidR="0010369C" w:rsidRDefault="008E43AE">
      <w:pPr>
        <w:tabs>
          <w:tab w:val="left" w:pos="6426"/>
        </w:tabs>
        <w:ind w:left="238"/>
        <w:jc w:val="both"/>
        <w:rPr>
          <w:sz w:val="20"/>
        </w:rPr>
      </w:pPr>
      <w:r>
        <w:rPr>
          <w:i/>
          <w:sz w:val="20"/>
        </w:rPr>
        <w:lastRenderedPageBreak/>
        <w:t>China</w:t>
      </w:r>
      <w:r>
        <w:rPr>
          <w:i/>
          <w:spacing w:val="-5"/>
          <w:sz w:val="20"/>
        </w:rPr>
        <w:t xml:space="preserve"> </w:t>
      </w:r>
      <w:r>
        <w:rPr>
          <w:i/>
          <w:sz w:val="20"/>
        </w:rPr>
        <w:t>–</w:t>
      </w:r>
      <w:r>
        <w:rPr>
          <w:i/>
          <w:spacing w:val="-5"/>
          <w:sz w:val="20"/>
        </w:rPr>
        <w:t xml:space="preserve"> </w:t>
      </w:r>
      <w:r>
        <w:rPr>
          <w:i/>
          <w:sz w:val="20"/>
        </w:rPr>
        <w:t>Anti‐Dumping</w:t>
      </w:r>
      <w:r>
        <w:rPr>
          <w:i/>
          <w:spacing w:val="-4"/>
          <w:sz w:val="20"/>
        </w:rPr>
        <w:t xml:space="preserve"> </w:t>
      </w:r>
      <w:r>
        <w:rPr>
          <w:i/>
          <w:sz w:val="20"/>
        </w:rPr>
        <w:t>and</w:t>
      </w:r>
      <w:r>
        <w:rPr>
          <w:i/>
          <w:spacing w:val="-5"/>
          <w:sz w:val="20"/>
        </w:rPr>
        <w:t xml:space="preserve"> </w:t>
      </w:r>
      <w:r>
        <w:rPr>
          <w:i/>
          <w:sz w:val="20"/>
        </w:rPr>
        <w:t>Countervailing</w:t>
      </w:r>
      <w:r>
        <w:rPr>
          <w:i/>
          <w:spacing w:val="-5"/>
          <w:sz w:val="20"/>
        </w:rPr>
        <w:t xml:space="preserve"> </w:t>
      </w:r>
      <w:r>
        <w:rPr>
          <w:i/>
          <w:sz w:val="20"/>
        </w:rPr>
        <w:t>Duty</w:t>
      </w:r>
      <w:r>
        <w:rPr>
          <w:i/>
          <w:spacing w:val="-4"/>
          <w:sz w:val="20"/>
        </w:rPr>
        <w:t xml:space="preserve"> </w:t>
      </w:r>
      <w:r>
        <w:rPr>
          <w:i/>
          <w:spacing w:val="-2"/>
          <w:sz w:val="20"/>
        </w:rPr>
        <w:t>Measures</w:t>
      </w:r>
      <w:r>
        <w:rPr>
          <w:i/>
          <w:sz w:val="20"/>
        </w:rPr>
        <w:tab/>
      </w:r>
      <w:r>
        <w:rPr>
          <w:sz w:val="20"/>
        </w:rPr>
        <w:t>Australia's</w:t>
      </w:r>
      <w:r>
        <w:rPr>
          <w:spacing w:val="-7"/>
          <w:sz w:val="20"/>
        </w:rPr>
        <w:t xml:space="preserve"> </w:t>
      </w:r>
      <w:r>
        <w:rPr>
          <w:sz w:val="20"/>
        </w:rPr>
        <w:t>First</w:t>
      </w:r>
      <w:r>
        <w:rPr>
          <w:spacing w:val="-2"/>
          <w:sz w:val="20"/>
        </w:rPr>
        <w:t xml:space="preserve"> </w:t>
      </w:r>
      <w:r>
        <w:rPr>
          <w:sz w:val="20"/>
        </w:rPr>
        <w:t>Written</w:t>
      </w:r>
      <w:r>
        <w:rPr>
          <w:spacing w:val="-2"/>
          <w:sz w:val="20"/>
        </w:rPr>
        <w:t xml:space="preserve"> Submission</w:t>
      </w:r>
    </w:p>
    <w:p w14:paraId="51DE9223" w14:textId="77777777" w:rsidR="0010369C" w:rsidRDefault="008E43AE">
      <w:pPr>
        <w:tabs>
          <w:tab w:val="left" w:pos="8228"/>
        </w:tabs>
        <w:spacing w:before="1"/>
        <w:ind w:left="239"/>
        <w:jc w:val="both"/>
        <w:rPr>
          <w:sz w:val="20"/>
        </w:rPr>
      </w:pPr>
      <w:r>
        <w:rPr>
          <w:i/>
          <w:sz w:val="20"/>
        </w:rPr>
        <w:t>on</w:t>
      </w:r>
      <w:r>
        <w:rPr>
          <w:i/>
          <w:spacing w:val="-1"/>
          <w:sz w:val="20"/>
        </w:rPr>
        <w:t xml:space="preserve"> </w:t>
      </w:r>
      <w:r>
        <w:rPr>
          <w:i/>
          <w:sz w:val="20"/>
        </w:rPr>
        <w:t>Wine</w:t>
      </w:r>
      <w:r>
        <w:rPr>
          <w:i/>
          <w:spacing w:val="-1"/>
          <w:sz w:val="20"/>
        </w:rPr>
        <w:t xml:space="preserve"> </w:t>
      </w:r>
      <w:r>
        <w:rPr>
          <w:i/>
          <w:sz w:val="20"/>
        </w:rPr>
        <w:t>from</w:t>
      </w:r>
      <w:r>
        <w:rPr>
          <w:i/>
          <w:spacing w:val="-3"/>
          <w:sz w:val="20"/>
        </w:rPr>
        <w:t xml:space="preserve"> </w:t>
      </w:r>
      <w:r>
        <w:rPr>
          <w:i/>
          <w:sz w:val="20"/>
        </w:rPr>
        <w:t>Australia</w:t>
      </w:r>
      <w:r>
        <w:rPr>
          <w:i/>
          <w:spacing w:val="-1"/>
          <w:sz w:val="20"/>
        </w:rPr>
        <w:t xml:space="preserve"> </w:t>
      </w:r>
      <w:r>
        <w:rPr>
          <w:spacing w:val="-2"/>
          <w:sz w:val="20"/>
        </w:rPr>
        <w:t>(DS602)</w:t>
      </w:r>
      <w:r>
        <w:rPr>
          <w:sz w:val="20"/>
        </w:rPr>
        <w:tab/>
        <w:t>29</w:t>
      </w:r>
      <w:r>
        <w:rPr>
          <w:spacing w:val="-1"/>
          <w:sz w:val="20"/>
        </w:rPr>
        <w:t xml:space="preserve"> </w:t>
      </w:r>
      <w:r>
        <w:rPr>
          <w:sz w:val="20"/>
        </w:rPr>
        <w:t>April</w:t>
      </w:r>
      <w:r>
        <w:rPr>
          <w:spacing w:val="-2"/>
          <w:sz w:val="20"/>
        </w:rPr>
        <w:t xml:space="preserve"> </w:t>
      </w:r>
      <w:r>
        <w:rPr>
          <w:spacing w:val="-4"/>
          <w:sz w:val="20"/>
        </w:rPr>
        <w:t>2022</w:t>
      </w:r>
    </w:p>
    <w:p w14:paraId="51DE9224" w14:textId="77777777" w:rsidR="0010369C" w:rsidRDefault="008E43AE">
      <w:pPr>
        <w:pStyle w:val="BodyText"/>
        <w:spacing w:before="34" w:line="360" w:lineRule="auto"/>
        <w:ind w:left="237" w:right="614"/>
        <w:jc w:val="both"/>
      </w:pPr>
      <w:r>
        <w:t>order to</w:t>
      </w:r>
      <w:r>
        <w:rPr>
          <w:spacing w:val="-1"/>
        </w:rPr>
        <w:t xml:space="preserve"> </w:t>
      </w:r>
      <w:r>
        <w:t>qualify as</w:t>
      </w:r>
      <w:r>
        <w:rPr>
          <w:spacing w:val="-1"/>
        </w:rPr>
        <w:t xml:space="preserve"> </w:t>
      </w:r>
      <w:r>
        <w:t>"known".</w:t>
      </w:r>
      <w:r>
        <w:rPr>
          <w:vertAlign w:val="superscript"/>
        </w:rPr>
        <w:t>822</w:t>
      </w:r>
      <w:r>
        <w:rPr>
          <w:spacing w:val="-1"/>
        </w:rPr>
        <w:t xml:space="preserve"> </w:t>
      </w:r>
      <w:r>
        <w:t>However, a</w:t>
      </w:r>
      <w:r>
        <w:rPr>
          <w:spacing w:val="-1"/>
        </w:rPr>
        <w:t xml:space="preserve"> </w:t>
      </w:r>
      <w:r>
        <w:t>factor is</w:t>
      </w:r>
      <w:r>
        <w:rPr>
          <w:spacing w:val="-1"/>
        </w:rPr>
        <w:t xml:space="preserve"> </w:t>
      </w:r>
      <w:r>
        <w:t>either</w:t>
      </w:r>
      <w:r>
        <w:rPr>
          <w:spacing w:val="-2"/>
        </w:rPr>
        <w:t xml:space="preserve"> </w:t>
      </w:r>
      <w:r>
        <w:t>"known"</w:t>
      </w:r>
      <w:r>
        <w:rPr>
          <w:spacing w:val="-1"/>
        </w:rPr>
        <w:t xml:space="preserve"> </w:t>
      </w:r>
      <w:r>
        <w:t>or</w:t>
      </w:r>
      <w:r>
        <w:rPr>
          <w:spacing w:val="-1"/>
        </w:rPr>
        <w:t xml:space="preserve"> </w:t>
      </w:r>
      <w:r>
        <w:t>it is</w:t>
      </w:r>
      <w:r>
        <w:rPr>
          <w:spacing w:val="-2"/>
        </w:rPr>
        <w:t xml:space="preserve"> </w:t>
      </w:r>
      <w:r>
        <w:t>not "known"</w:t>
      </w:r>
      <w:r>
        <w:rPr>
          <w:spacing w:val="-1"/>
        </w:rPr>
        <w:t xml:space="preserve"> </w:t>
      </w:r>
      <w:r>
        <w:t>to an investigating authority.</w:t>
      </w:r>
      <w:r>
        <w:rPr>
          <w:vertAlign w:val="superscript"/>
        </w:rPr>
        <w:t>823</w:t>
      </w:r>
      <w:r>
        <w:t xml:space="preserve"> It is well‐established that such factors, "at a minimum, include factors allegedly causing injury tha</w:t>
      </w:r>
      <w:r>
        <w:t>t are clearly raised by interested parties during the course of the anti‐dumping investigation".</w:t>
      </w:r>
      <w:r>
        <w:rPr>
          <w:vertAlign w:val="superscript"/>
        </w:rPr>
        <w:t>824</w:t>
      </w:r>
    </w:p>
    <w:p w14:paraId="51DE9225" w14:textId="77777777" w:rsidR="0010369C" w:rsidRDefault="0010369C">
      <w:pPr>
        <w:pStyle w:val="BodyText"/>
        <w:spacing w:before="11"/>
        <w:rPr>
          <w:sz w:val="8"/>
        </w:rPr>
      </w:pPr>
    </w:p>
    <w:p w14:paraId="51DE9226" w14:textId="77777777" w:rsidR="0010369C" w:rsidRDefault="008E43AE">
      <w:pPr>
        <w:pStyle w:val="BodyText"/>
        <w:spacing w:before="51" w:line="360" w:lineRule="auto"/>
        <w:ind w:left="237" w:right="612" w:firstLine="851"/>
        <w:jc w:val="both"/>
      </w:pPr>
      <w:r>
        <w:rPr>
          <w:noProof/>
        </w:rPr>
        <w:drawing>
          <wp:anchor distT="0" distB="0" distL="0" distR="0" simplePos="0" relativeHeight="251300352" behindDoc="1" locked="0" layoutInCell="1" allowOverlap="1" wp14:anchorId="51DEA5A2" wp14:editId="51DEA5A3">
            <wp:simplePos x="0" y="0"/>
            <wp:positionH relativeFrom="page">
              <wp:posOffset>905255</wp:posOffset>
            </wp:positionH>
            <wp:positionV relativeFrom="paragraph">
              <wp:posOffset>81314</wp:posOffset>
            </wp:positionV>
            <wp:extent cx="259079" cy="100753"/>
            <wp:effectExtent l="0" t="0" r="0" b="0"/>
            <wp:wrapNone/>
            <wp:docPr id="1355" name="image7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 name="image702.png"/>
                    <pic:cNvPicPr/>
                  </pic:nvPicPr>
                  <pic:blipFill>
                    <a:blip r:embed="rId912" cstate="print"/>
                    <a:stretch>
                      <a:fillRect/>
                    </a:stretch>
                  </pic:blipFill>
                  <pic:spPr>
                    <a:xfrm>
                      <a:off x="0" y="0"/>
                      <a:ext cx="259079" cy="100753"/>
                    </a:xfrm>
                    <a:prstGeom prst="rect">
                      <a:avLst/>
                    </a:prstGeom>
                  </pic:spPr>
                </pic:pic>
              </a:graphicData>
            </a:graphic>
          </wp:anchor>
        </w:drawing>
      </w:r>
      <w:r>
        <w:t>Although Article 3.5 does not set out a specific methodology for undertaking a non‐ attribution analysis, the methods that an investigating authority appl</w:t>
      </w:r>
      <w:r>
        <w:t>ies must comport with the overarching obligations in Article 3.1 to undertake an objective examination based on positive evidence.</w:t>
      </w:r>
      <w:r>
        <w:rPr>
          <w:vertAlign w:val="superscript"/>
        </w:rPr>
        <w:t>825</w:t>
      </w:r>
      <w:r>
        <w:t xml:space="preserve"> In determining whether and to what extent a "known" factor is in fact causing injury to the domestic industry at the same </w:t>
      </w:r>
      <w:r>
        <w:t>time as the dumped imports, "[t]he task of the investigating authority is to weigh the evidence and make a reasoned judgement" in accordance with these overarching obligations.</w:t>
      </w:r>
      <w:r>
        <w:rPr>
          <w:vertAlign w:val="superscript"/>
        </w:rPr>
        <w:t>826</w:t>
      </w:r>
    </w:p>
    <w:p w14:paraId="51DE9227" w14:textId="77777777" w:rsidR="0010369C" w:rsidRDefault="0010369C">
      <w:pPr>
        <w:pStyle w:val="BodyText"/>
        <w:spacing w:before="11"/>
        <w:rPr>
          <w:sz w:val="8"/>
        </w:rPr>
      </w:pPr>
    </w:p>
    <w:p w14:paraId="51DE9228" w14:textId="77777777" w:rsidR="0010369C" w:rsidRDefault="008E43AE">
      <w:pPr>
        <w:pStyle w:val="BodyText"/>
        <w:spacing w:before="52" w:line="360" w:lineRule="auto"/>
        <w:ind w:left="237" w:right="612" w:firstLine="852"/>
        <w:jc w:val="both"/>
      </w:pPr>
      <w:r>
        <w:rPr>
          <w:noProof/>
        </w:rPr>
        <w:drawing>
          <wp:anchor distT="0" distB="0" distL="0" distR="0" simplePos="0" relativeHeight="251301376" behindDoc="1" locked="0" layoutInCell="1" allowOverlap="1" wp14:anchorId="51DEA5A4" wp14:editId="51DEA5A5">
            <wp:simplePos x="0" y="0"/>
            <wp:positionH relativeFrom="page">
              <wp:posOffset>905255</wp:posOffset>
            </wp:positionH>
            <wp:positionV relativeFrom="paragraph">
              <wp:posOffset>81357</wp:posOffset>
            </wp:positionV>
            <wp:extent cx="259079" cy="103631"/>
            <wp:effectExtent l="0" t="0" r="0" b="0"/>
            <wp:wrapNone/>
            <wp:docPr id="1357" name="image7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 name="image703.png"/>
                    <pic:cNvPicPr/>
                  </pic:nvPicPr>
                  <pic:blipFill>
                    <a:blip r:embed="rId913" cstate="print"/>
                    <a:stretch>
                      <a:fillRect/>
                    </a:stretch>
                  </pic:blipFill>
                  <pic:spPr>
                    <a:xfrm>
                      <a:off x="0" y="0"/>
                      <a:ext cx="259079" cy="103631"/>
                    </a:xfrm>
                    <a:prstGeom prst="rect">
                      <a:avLst/>
                    </a:prstGeom>
                  </pic:spPr>
                </pic:pic>
              </a:graphicData>
            </a:graphic>
          </wp:anchor>
        </w:drawing>
      </w:r>
      <w:r>
        <w:t>In</w:t>
      </w:r>
      <w:r>
        <w:rPr>
          <w:spacing w:val="-2"/>
        </w:rPr>
        <w:t xml:space="preserve"> </w:t>
      </w:r>
      <w:r>
        <w:t>its</w:t>
      </w:r>
      <w:r>
        <w:rPr>
          <w:spacing w:val="-1"/>
        </w:rPr>
        <w:t xml:space="preserve"> </w:t>
      </w:r>
      <w:r>
        <w:t>Final</w:t>
      </w:r>
      <w:r>
        <w:rPr>
          <w:spacing w:val="-2"/>
        </w:rPr>
        <w:t xml:space="preserve"> </w:t>
      </w:r>
      <w:r>
        <w:t>Determination,</w:t>
      </w:r>
      <w:r>
        <w:rPr>
          <w:spacing w:val="-2"/>
        </w:rPr>
        <w:t xml:space="preserve"> </w:t>
      </w:r>
      <w:r>
        <w:t>MOFCOM</w:t>
      </w:r>
      <w:r>
        <w:rPr>
          <w:spacing w:val="-1"/>
        </w:rPr>
        <w:t xml:space="preserve"> </w:t>
      </w:r>
      <w:r>
        <w:t>failed</w:t>
      </w:r>
      <w:r>
        <w:rPr>
          <w:spacing w:val="-2"/>
        </w:rPr>
        <w:t xml:space="preserve"> </w:t>
      </w:r>
      <w:r>
        <w:t>to</w:t>
      </w:r>
      <w:r>
        <w:rPr>
          <w:spacing w:val="-2"/>
        </w:rPr>
        <w:t xml:space="preserve"> </w:t>
      </w:r>
      <w:r>
        <w:t>properly examine</w:t>
      </w:r>
      <w:r>
        <w:rPr>
          <w:spacing w:val="-2"/>
        </w:rPr>
        <w:t xml:space="preserve"> </w:t>
      </w:r>
      <w:r>
        <w:t>or</w:t>
      </w:r>
      <w:r>
        <w:rPr>
          <w:spacing w:val="-2"/>
        </w:rPr>
        <w:t xml:space="preserve"> </w:t>
      </w:r>
      <w:r>
        <w:t>assess</w:t>
      </w:r>
      <w:r>
        <w:rPr>
          <w:spacing w:val="-2"/>
        </w:rPr>
        <w:t xml:space="preserve"> </w:t>
      </w:r>
      <w:r>
        <w:t>th</w:t>
      </w:r>
      <w:r>
        <w:t>e</w:t>
      </w:r>
      <w:r>
        <w:rPr>
          <w:spacing w:val="-2"/>
        </w:rPr>
        <w:t xml:space="preserve"> </w:t>
      </w:r>
      <w:r>
        <w:t>effects of the other "known" factors on the domestic wine industry based on the relevant evidence before it and failed to identify, separate, and distinguish their injurious effects from those allegedly caused by subject imports through price suppression</w:t>
      </w:r>
      <w:r>
        <w:t>. The explanations that MOFCOM provides in the Final Determination reveal that MOFCOM failed to conduct an objective</w:t>
      </w:r>
      <w:r>
        <w:rPr>
          <w:spacing w:val="-1"/>
        </w:rPr>
        <w:t xml:space="preserve"> </w:t>
      </w:r>
      <w:r>
        <w:t>examination</w:t>
      </w:r>
      <w:r>
        <w:rPr>
          <w:spacing w:val="-3"/>
        </w:rPr>
        <w:t xml:space="preserve"> </w:t>
      </w:r>
      <w:r>
        <w:t>based</w:t>
      </w:r>
      <w:r>
        <w:rPr>
          <w:spacing w:val="-1"/>
        </w:rPr>
        <w:t xml:space="preserve"> </w:t>
      </w:r>
      <w:r>
        <w:t>on</w:t>
      </w:r>
      <w:r>
        <w:rPr>
          <w:spacing w:val="-2"/>
        </w:rPr>
        <w:t xml:space="preserve"> </w:t>
      </w:r>
      <w:r>
        <w:t>positive evidence.</w:t>
      </w:r>
      <w:r>
        <w:rPr>
          <w:spacing w:val="-2"/>
        </w:rPr>
        <w:t xml:space="preserve"> </w:t>
      </w:r>
      <w:r>
        <w:t>Due</w:t>
      </w:r>
      <w:r>
        <w:rPr>
          <w:spacing w:val="-1"/>
        </w:rPr>
        <w:t xml:space="preserve"> </w:t>
      </w:r>
      <w:r>
        <w:t>to</w:t>
      </w:r>
      <w:r>
        <w:rPr>
          <w:spacing w:val="-1"/>
        </w:rPr>
        <w:t xml:space="preserve"> </w:t>
      </w:r>
      <w:r>
        <w:t>these</w:t>
      </w:r>
      <w:r>
        <w:rPr>
          <w:spacing w:val="-1"/>
        </w:rPr>
        <w:t xml:space="preserve"> </w:t>
      </w:r>
      <w:r>
        <w:t>deficiencies,</w:t>
      </w:r>
      <w:r>
        <w:rPr>
          <w:spacing w:val="-2"/>
        </w:rPr>
        <w:t xml:space="preserve"> </w:t>
      </w:r>
      <w:r>
        <w:t>its</w:t>
      </w:r>
      <w:r>
        <w:rPr>
          <w:spacing w:val="-2"/>
        </w:rPr>
        <w:t xml:space="preserve"> </w:t>
      </w:r>
      <w:r>
        <w:t>explanations and reasoning are not sufficient to support its conclusions that the other "known" factors either "cannot be established", "cannot deny the causal link ", or "cannot negate the causal link between the dumped imported product and the material i</w:t>
      </w:r>
      <w:r>
        <w:t xml:space="preserve">njury to the domestic </w:t>
      </w:r>
      <w:r>
        <w:rPr>
          <w:spacing w:val="-2"/>
        </w:rPr>
        <w:t>industry".</w:t>
      </w:r>
      <w:r>
        <w:rPr>
          <w:spacing w:val="-2"/>
          <w:vertAlign w:val="superscript"/>
        </w:rPr>
        <w:t>827</w:t>
      </w:r>
    </w:p>
    <w:p w14:paraId="51DE9229" w14:textId="77777777" w:rsidR="0010369C" w:rsidRDefault="0010369C">
      <w:pPr>
        <w:pStyle w:val="BodyText"/>
        <w:spacing w:before="10"/>
        <w:rPr>
          <w:sz w:val="8"/>
        </w:rPr>
      </w:pPr>
    </w:p>
    <w:p w14:paraId="51DE922A" w14:textId="77777777" w:rsidR="0010369C" w:rsidRDefault="008E43AE">
      <w:pPr>
        <w:pStyle w:val="BodyText"/>
        <w:spacing w:before="52" w:line="360" w:lineRule="auto"/>
        <w:ind w:left="237" w:right="614" w:firstLine="851"/>
        <w:jc w:val="both"/>
      </w:pPr>
      <w:r>
        <w:rPr>
          <w:noProof/>
        </w:rPr>
        <w:drawing>
          <wp:anchor distT="0" distB="0" distL="0" distR="0" simplePos="0" relativeHeight="251302400" behindDoc="1" locked="0" layoutInCell="1" allowOverlap="1" wp14:anchorId="51DEA5A6" wp14:editId="51DEA5A7">
            <wp:simplePos x="0" y="0"/>
            <wp:positionH relativeFrom="page">
              <wp:posOffset>905255</wp:posOffset>
            </wp:positionH>
            <wp:positionV relativeFrom="paragraph">
              <wp:posOffset>81949</wp:posOffset>
            </wp:positionV>
            <wp:extent cx="259079" cy="100753"/>
            <wp:effectExtent l="0" t="0" r="0" b="0"/>
            <wp:wrapNone/>
            <wp:docPr id="1359" name="image7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 name="image704.png"/>
                    <pic:cNvPicPr/>
                  </pic:nvPicPr>
                  <pic:blipFill>
                    <a:blip r:embed="rId914" cstate="print"/>
                    <a:stretch>
                      <a:fillRect/>
                    </a:stretch>
                  </pic:blipFill>
                  <pic:spPr>
                    <a:xfrm>
                      <a:off x="0" y="0"/>
                      <a:ext cx="259079" cy="100753"/>
                    </a:xfrm>
                    <a:prstGeom prst="rect">
                      <a:avLst/>
                    </a:prstGeom>
                  </pic:spPr>
                </pic:pic>
              </a:graphicData>
            </a:graphic>
          </wp:anchor>
        </w:drawing>
      </w:r>
      <w:r>
        <w:t>Further, Australia submits that MOFCOM was not entitled to dismiss other "known" factors</w:t>
      </w:r>
      <w:r>
        <w:rPr>
          <w:spacing w:val="-5"/>
        </w:rPr>
        <w:t xml:space="preserve"> </w:t>
      </w:r>
      <w:r>
        <w:t>on</w:t>
      </w:r>
      <w:r>
        <w:rPr>
          <w:spacing w:val="-4"/>
        </w:rPr>
        <w:t xml:space="preserve"> </w:t>
      </w:r>
      <w:r>
        <w:t>the</w:t>
      </w:r>
      <w:r>
        <w:rPr>
          <w:spacing w:val="-3"/>
        </w:rPr>
        <w:t xml:space="preserve"> </w:t>
      </w:r>
      <w:r>
        <w:t>basis</w:t>
      </w:r>
      <w:r>
        <w:rPr>
          <w:spacing w:val="-4"/>
        </w:rPr>
        <w:t xml:space="preserve"> </w:t>
      </w:r>
      <w:r>
        <w:t>that</w:t>
      </w:r>
      <w:r>
        <w:rPr>
          <w:spacing w:val="-3"/>
        </w:rPr>
        <w:t xml:space="preserve"> </w:t>
      </w:r>
      <w:r>
        <w:t>their</w:t>
      </w:r>
      <w:r>
        <w:rPr>
          <w:spacing w:val="-4"/>
        </w:rPr>
        <w:t xml:space="preserve"> </w:t>
      </w:r>
      <w:r>
        <w:t>impact</w:t>
      </w:r>
      <w:r>
        <w:rPr>
          <w:spacing w:val="-3"/>
        </w:rPr>
        <w:t xml:space="preserve"> </w:t>
      </w:r>
      <w:r>
        <w:t>"cannot</w:t>
      </w:r>
      <w:r>
        <w:rPr>
          <w:spacing w:val="-5"/>
        </w:rPr>
        <w:t xml:space="preserve"> </w:t>
      </w:r>
      <w:r>
        <w:t>deny"</w:t>
      </w:r>
      <w:r>
        <w:rPr>
          <w:spacing w:val="-4"/>
        </w:rPr>
        <w:t xml:space="preserve"> </w:t>
      </w:r>
      <w:r>
        <w:t>or</w:t>
      </w:r>
      <w:r>
        <w:rPr>
          <w:spacing w:val="-4"/>
        </w:rPr>
        <w:t xml:space="preserve"> </w:t>
      </w:r>
      <w:r>
        <w:t>"cannot</w:t>
      </w:r>
      <w:r>
        <w:rPr>
          <w:spacing w:val="-4"/>
        </w:rPr>
        <w:t xml:space="preserve"> </w:t>
      </w:r>
      <w:r>
        <w:t>negate</w:t>
      </w:r>
      <w:r>
        <w:rPr>
          <w:spacing w:val="-3"/>
        </w:rPr>
        <w:t xml:space="preserve"> </w:t>
      </w:r>
      <w:r>
        <w:t>the</w:t>
      </w:r>
      <w:r>
        <w:rPr>
          <w:spacing w:val="-3"/>
        </w:rPr>
        <w:t xml:space="preserve"> </w:t>
      </w:r>
      <w:r>
        <w:t>causal</w:t>
      </w:r>
      <w:r>
        <w:rPr>
          <w:spacing w:val="-5"/>
        </w:rPr>
        <w:t xml:space="preserve"> </w:t>
      </w:r>
      <w:r>
        <w:t>link"</w:t>
      </w:r>
      <w:r>
        <w:rPr>
          <w:spacing w:val="-4"/>
        </w:rPr>
        <w:t xml:space="preserve"> </w:t>
      </w:r>
      <w:r>
        <w:rPr>
          <w:i/>
        </w:rPr>
        <w:t xml:space="preserve">before </w:t>
      </w:r>
      <w:r>
        <w:t>it had identified, examined, and assessed their distinct injurious effects on the domestic industry. Nothing</w:t>
      </w:r>
      <w:r>
        <w:rPr>
          <w:spacing w:val="-2"/>
        </w:rPr>
        <w:t xml:space="preserve"> </w:t>
      </w:r>
      <w:r>
        <w:t>in</w:t>
      </w:r>
      <w:r>
        <w:rPr>
          <w:spacing w:val="-1"/>
        </w:rPr>
        <w:t xml:space="preserve"> </w:t>
      </w:r>
      <w:r>
        <w:t>the text</w:t>
      </w:r>
      <w:r>
        <w:rPr>
          <w:spacing w:val="-1"/>
        </w:rPr>
        <w:t xml:space="preserve"> </w:t>
      </w:r>
      <w:r>
        <w:t>of</w:t>
      </w:r>
      <w:r>
        <w:rPr>
          <w:spacing w:val="-1"/>
        </w:rPr>
        <w:t xml:space="preserve"> </w:t>
      </w:r>
      <w:r>
        <w:t>Article</w:t>
      </w:r>
      <w:r>
        <w:rPr>
          <w:spacing w:val="-1"/>
        </w:rPr>
        <w:t xml:space="preserve"> </w:t>
      </w:r>
      <w:r>
        <w:t>3.5</w:t>
      </w:r>
      <w:r>
        <w:rPr>
          <w:spacing w:val="-1"/>
        </w:rPr>
        <w:t xml:space="preserve"> </w:t>
      </w:r>
      <w:r>
        <w:t>or any of</w:t>
      </w:r>
      <w:r>
        <w:rPr>
          <w:spacing w:val="-1"/>
        </w:rPr>
        <w:t xml:space="preserve"> </w:t>
      </w:r>
      <w:r>
        <w:t>the other</w:t>
      </w:r>
      <w:r>
        <w:rPr>
          <w:spacing w:val="-1"/>
        </w:rPr>
        <w:t xml:space="preserve"> </w:t>
      </w:r>
      <w:r>
        <w:t>provisions of</w:t>
      </w:r>
      <w:r>
        <w:rPr>
          <w:spacing w:val="-1"/>
        </w:rPr>
        <w:t xml:space="preserve"> </w:t>
      </w:r>
      <w:r>
        <w:t>the Anti‐Dumping Agreement</w:t>
      </w:r>
      <w:r>
        <w:rPr>
          <w:spacing w:val="-14"/>
        </w:rPr>
        <w:t xml:space="preserve"> </w:t>
      </w:r>
      <w:r>
        <w:t>supports</w:t>
      </w:r>
      <w:r>
        <w:rPr>
          <w:spacing w:val="-12"/>
        </w:rPr>
        <w:t xml:space="preserve"> </w:t>
      </w:r>
      <w:r>
        <w:t>the</w:t>
      </w:r>
      <w:r>
        <w:rPr>
          <w:spacing w:val="-12"/>
        </w:rPr>
        <w:t xml:space="preserve"> </w:t>
      </w:r>
      <w:r>
        <w:t>notion</w:t>
      </w:r>
      <w:r>
        <w:rPr>
          <w:spacing w:val="-12"/>
        </w:rPr>
        <w:t xml:space="preserve"> </w:t>
      </w:r>
      <w:r>
        <w:t>that</w:t>
      </w:r>
      <w:r>
        <w:rPr>
          <w:spacing w:val="-12"/>
        </w:rPr>
        <w:t xml:space="preserve"> </w:t>
      </w:r>
      <w:r>
        <w:t>only</w:t>
      </w:r>
      <w:r>
        <w:rPr>
          <w:spacing w:val="-12"/>
        </w:rPr>
        <w:t xml:space="preserve"> </w:t>
      </w:r>
      <w:r>
        <w:t>factors</w:t>
      </w:r>
      <w:r>
        <w:rPr>
          <w:spacing w:val="-13"/>
        </w:rPr>
        <w:t xml:space="preserve"> </w:t>
      </w:r>
      <w:r>
        <w:t>that</w:t>
      </w:r>
      <w:r>
        <w:rPr>
          <w:spacing w:val="-12"/>
        </w:rPr>
        <w:t xml:space="preserve"> </w:t>
      </w:r>
      <w:r>
        <w:t>are</w:t>
      </w:r>
      <w:r>
        <w:rPr>
          <w:spacing w:val="-12"/>
        </w:rPr>
        <w:t xml:space="preserve"> </w:t>
      </w:r>
      <w:r>
        <w:t>sufficient</w:t>
      </w:r>
      <w:r>
        <w:rPr>
          <w:spacing w:val="-12"/>
        </w:rPr>
        <w:t xml:space="preserve"> </w:t>
      </w:r>
      <w:r>
        <w:t>to</w:t>
      </w:r>
      <w:r>
        <w:rPr>
          <w:spacing w:val="-12"/>
        </w:rPr>
        <w:t xml:space="preserve"> </w:t>
      </w:r>
      <w:r>
        <w:t>"negate</w:t>
      </w:r>
      <w:r>
        <w:rPr>
          <w:spacing w:val="-11"/>
        </w:rPr>
        <w:t xml:space="preserve"> </w:t>
      </w:r>
      <w:r>
        <w:t>the</w:t>
      </w:r>
      <w:r>
        <w:rPr>
          <w:spacing w:val="-12"/>
        </w:rPr>
        <w:t xml:space="preserve"> </w:t>
      </w:r>
      <w:r>
        <w:t>casual</w:t>
      </w:r>
      <w:r>
        <w:rPr>
          <w:spacing w:val="-13"/>
        </w:rPr>
        <w:t xml:space="preserve"> </w:t>
      </w:r>
      <w:r>
        <w:rPr>
          <w:spacing w:val="-2"/>
        </w:rPr>
        <w:t>link"</w:t>
      </w:r>
    </w:p>
    <w:p w14:paraId="51DE922B" w14:textId="77777777" w:rsidR="0010369C" w:rsidRDefault="008E43AE">
      <w:pPr>
        <w:pStyle w:val="BodyText"/>
        <w:spacing w:before="7"/>
        <w:rPr>
          <w:sz w:val="15"/>
        </w:rPr>
      </w:pPr>
      <w:r>
        <w:pict w14:anchorId="51DEA5A8">
          <v:rect id="docshape1157" o:spid="_x0000_s1241" style="position:absolute;margin-left:70.9pt;margin-top:10.7pt;width:2in;height:.8pt;z-index:-250785280;mso-wrap-distance-left:0;mso-wrap-distance-right:0;mso-position-horizontal-relative:page" fillcolor="black" stroked="f">
            <w10:wrap type="topAndBottom" anchorx="page"/>
          </v:rect>
        </w:pict>
      </w:r>
    </w:p>
    <w:p w14:paraId="51DE922C" w14:textId="77777777" w:rsidR="0010369C" w:rsidRDefault="008E43AE">
      <w:pPr>
        <w:spacing w:before="109"/>
        <w:ind w:left="238"/>
        <w:rPr>
          <w:sz w:val="18"/>
        </w:rPr>
      </w:pPr>
      <w:r>
        <w:rPr>
          <w:sz w:val="18"/>
          <w:vertAlign w:val="superscript"/>
        </w:rPr>
        <w:t>822</w:t>
      </w:r>
      <w:r>
        <w:rPr>
          <w:spacing w:val="-5"/>
          <w:sz w:val="18"/>
        </w:rPr>
        <w:t xml:space="preserve"> </w:t>
      </w:r>
      <w:r>
        <w:rPr>
          <w:sz w:val="18"/>
        </w:rPr>
        <w:t>Appellate</w:t>
      </w:r>
      <w:r>
        <w:rPr>
          <w:spacing w:val="-5"/>
          <w:sz w:val="18"/>
        </w:rPr>
        <w:t xml:space="preserve"> </w:t>
      </w:r>
      <w:r>
        <w:rPr>
          <w:sz w:val="18"/>
        </w:rPr>
        <w:t>Body</w:t>
      </w:r>
      <w:r>
        <w:rPr>
          <w:spacing w:val="-7"/>
          <w:sz w:val="18"/>
        </w:rPr>
        <w:t xml:space="preserve"> </w:t>
      </w:r>
      <w:r>
        <w:rPr>
          <w:sz w:val="18"/>
        </w:rPr>
        <w:t>Report,</w:t>
      </w:r>
      <w:r>
        <w:rPr>
          <w:spacing w:val="-5"/>
          <w:sz w:val="18"/>
        </w:rPr>
        <w:t xml:space="preserve"> </w:t>
      </w:r>
      <w:r>
        <w:rPr>
          <w:i/>
          <w:sz w:val="18"/>
        </w:rPr>
        <w:t>EC</w:t>
      </w:r>
      <w:r>
        <w:rPr>
          <w:i/>
          <w:spacing w:val="-5"/>
          <w:sz w:val="18"/>
        </w:rPr>
        <w:t xml:space="preserve"> </w:t>
      </w:r>
      <w:r>
        <w:rPr>
          <w:i/>
          <w:sz w:val="18"/>
        </w:rPr>
        <w:t>–</w:t>
      </w:r>
      <w:r>
        <w:rPr>
          <w:i/>
          <w:spacing w:val="-5"/>
          <w:sz w:val="18"/>
        </w:rPr>
        <w:t xml:space="preserve"> </w:t>
      </w:r>
      <w:r>
        <w:rPr>
          <w:i/>
          <w:sz w:val="18"/>
        </w:rPr>
        <w:t>Tube</w:t>
      </w:r>
      <w:r>
        <w:rPr>
          <w:i/>
          <w:spacing w:val="-5"/>
          <w:sz w:val="18"/>
        </w:rPr>
        <w:t xml:space="preserve"> </w:t>
      </w:r>
      <w:r>
        <w:rPr>
          <w:i/>
          <w:sz w:val="18"/>
        </w:rPr>
        <w:t>or</w:t>
      </w:r>
      <w:r>
        <w:rPr>
          <w:i/>
          <w:spacing w:val="-6"/>
          <w:sz w:val="18"/>
        </w:rPr>
        <w:t xml:space="preserve"> </w:t>
      </w:r>
      <w:r>
        <w:rPr>
          <w:i/>
          <w:sz w:val="18"/>
        </w:rPr>
        <w:t>Pipe</w:t>
      </w:r>
      <w:r>
        <w:rPr>
          <w:i/>
          <w:spacing w:val="-5"/>
          <w:sz w:val="18"/>
        </w:rPr>
        <w:t xml:space="preserve"> </w:t>
      </w:r>
      <w:r>
        <w:rPr>
          <w:i/>
          <w:sz w:val="18"/>
        </w:rPr>
        <w:t>Fittings</w:t>
      </w:r>
      <w:r>
        <w:rPr>
          <w:sz w:val="18"/>
        </w:rPr>
        <w:t>,</w:t>
      </w:r>
      <w:r>
        <w:rPr>
          <w:spacing w:val="-5"/>
          <w:sz w:val="18"/>
        </w:rPr>
        <w:t xml:space="preserve"> </w:t>
      </w:r>
      <w:r>
        <w:rPr>
          <w:sz w:val="18"/>
        </w:rPr>
        <w:t>para.</w:t>
      </w:r>
      <w:r>
        <w:rPr>
          <w:spacing w:val="-5"/>
          <w:sz w:val="18"/>
        </w:rPr>
        <w:t xml:space="preserve"> </w:t>
      </w:r>
      <w:r>
        <w:rPr>
          <w:spacing w:val="-4"/>
          <w:sz w:val="18"/>
        </w:rPr>
        <w:t>176.</w:t>
      </w:r>
    </w:p>
    <w:p w14:paraId="51DE922D" w14:textId="77777777" w:rsidR="0010369C" w:rsidRDefault="008E43AE">
      <w:pPr>
        <w:ind w:left="238"/>
        <w:rPr>
          <w:sz w:val="18"/>
        </w:rPr>
      </w:pPr>
      <w:r>
        <w:rPr>
          <w:sz w:val="18"/>
          <w:vertAlign w:val="superscript"/>
        </w:rPr>
        <w:t>823</w:t>
      </w:r>
      <w:r>
        <w:rPr>
          <w:spacing w:val="-5"/>
          <w:sz w:val="18"/>
        </w:rPr>
        <w:t xml:space="preserve"> </w:t>
      </w:r>
      <w:r>
        <w:rPr>
          <w:sz w:val="18"/>
        </w:rPr>
        <w:t>Appellate</w:t>
      </w:r>
      <w:r>
        <w:rPr>
          <w:spacing w:val="-5"/>
          <w:sz w:val="18"/>
        </w:rPr>
        <w:t xml:space="preserve"> </w:t>
      </w:r>
      <w:r>
        <w:rPr>
          <w:sz w:val="18"/>
        </w:rPr>
        <w:t>Body</w:t>
      </w:r>
      <w:r>
        <w:rPr>
          <w:spacing w:val="-7"/>
          <w:sz w:val="18"/>
        </w:rPr>
        <w:t xml:space="preserve"> </w:t>
      </w:r>
      <w:r>
        <w:rPr>
          <w:sz w:val="18"/>
        </w:rPr>
        <w:t>Report,</w:t>
      </w:r>
      <w:r>
        <w:rPr>
          <w:spacing w:val="-5"/>
          <w:sz w:val="18"/>
        </w:rPr>
        <w:t xml:space="preserve"> </w:t>
      </w:r>
      <w:r>
        <w:rPr>
          <w:i/>
          <w:sz w:val="18"/>
        </w:rPr>
        <w:t>EC</w:t>
      </w:r>
      <w:r>
        <w:rPr>
          <w:i/>
          <w:spacing w:val="-5"/>
          <w:sz w:val="18"/>
        </w:rPr>
        <w:t xml:space="preserve"> </w:t>
      </w:r>
      <w:r>
        <w:rPr>
          <w:i/>
          <w:sz w:val="18"/>
        </w:rPr>
        <w:t>–</w:t>
      </w:r>
      <w:r>
        <w:rPr>
          <w:i/>
          <w:spacing w:val="-5"/>
          <w:sz w:val="18"/>
        </w:rPr>
        <w:t xml:space="preserve"> </w:t>
      </w:r>
      <w:r>
        <w:rPr>
          <w:i/>
          <w:sz w:val="18"/>
        </w:rPr>
        <w:t>Tube</w:t>
      </w:r>
      <w:r>
        <w:rPr>
          <w:i/>
          <w:spacing w:val="-5"/>
          <w:sz w:val="18"/>
        </w:rPr>
        <w:t xml:space="preserve"> </w:t>
      </w:r>
      <w:r>
        <w:rPr>
          <w:i/>
          <w:sz w:val="18"/>
        </w:rPr>
        <w:t>or</w:t>
      </w:r>
      <w:r>
        <w:rPr>
          <w:i/>
          <w:spacing w:val="-6"/>
          <w:sz w:val="18"/>
        </w:rPr>
        <w:t xml:space="preserve"> </w:t>
      </w:r>
      <w:r>
        <w:rPr>
          <w:i/>
          <w:sz w:val="18"/>
        </w:rPr>
        <w:t>Pipe</w:t>
      </w:r>
      <w:r>
        <w:rPr>
          <w:i/>
          <w:spacing w:val="-5"/>
          <w:sz w:val="18"/>
        </w:rPr>
        <w:t xml:space="preserve"> </w:t>
      </w:r>
      <w:r>
        <w:rPr>
          <w:i/>
          <w:sz w:val="18"/>
        </w:rPr>
        <w:t>Fittings</w:t>
      </w:r>
      <w:r>
        <w:rPr>
          <w:sz w:val="18"/>
        </w:rPr>
        <w:t>,</w:t>
      </w:r>
      <w:r>
        <w:rPr>
          <w:spacing w:val="-5"/>
          <w:sz w:val="18"/>
        </w:rPr>
        <w:t xml:space="preserve"> </w:t>
      </w:r>
      <w:r>
        <w:rPr>
          <w:sz w:val="18"/>
        </w:rPr>
        <w:t>para.</w:t>
      </w:r>
      <w:r>
        <w:rPr>
          <w:spacing w:val="-5"/>
          <w:sz w:val="18"/>
        </w:rPr>
        <w:t xml:space="preserve"> </w:t>
      </w:r>
      <w:r>
        <w:rPr>
          <w:spacing w:val="-4"/>
          <w:sz w:val="18"/>
        </w:rPr>
        <w:t>178.</w:t>
      </w:r>
    </w:p>
    <w:p w14:paraId="51DE922E" w14:textId="77777777" w:rsidR="0010369C" w:rsidRDefault="008E43AE">
      <w:pPr>
        <w:ind w:left="238"/>
        <w:rPr>
          <w:i/>
          <w:sz w:val="18"/>
        </w:rPr>
      </w:pPr>
      <w:r>
        <w:rPr>
          <w:sz w:val="18"/>
          <w:vertAlign w:val="superscript"/>
        </w:rPr>
        <w:t>824</w:t>
      </w:r>
      <w:r>
        <w:rPr>
          <w:spacing w:val="-7"/>
          <w:sz w:val="18"/>
        </w:rPr>
        <w:t xml:space="preserve"> </w:t>
      </w:r>
      <w:r>
        <w:rPr>
          <w:sz w:val="18"/>
        </w:rPr>
        <w:t>Panel</w:t>
      </w:r>
      <w:r>
        <w:rPr>
          <w:spacing w:val="-7"/>
          <w:sz w:val="18"/>
        </w:rPr>
        <w:t xml:space="preserve"> </w:t>
      </w:r>
      <w:r>
        <w:rPr>
          <w:sz w:val="18"/>
        </w:rPr>
        <w:t>Report,</w:t>
      </w:r>
      <w:r>
        <w:rPr>
          <w:spacing w:val="-7"/>
          <w:sz w:val="18"/>
        </w:rPr>
        <w:t xml:space="preserve"> </w:t>
      </w:r>
      <w:r>
        <w:rPr>
          <w:i/>
          <w:sz w:val="18"/>
        </w:rPr>
        <w:t>EU</w:t>
      </w:r>
      <w:r>
        <w:rPr>
          <w:i/>
          <w:spacing w:val="-8"/>
          <w:sz w:val="18"/>
        </w:rPr>
        <w:t xml:space="preserve"> </w:t>
      </w:r>
      <w:r>
        <w:rPr>
          <w:i/>
          <w:sz w:val="18"/>
        </w:rPr>
        <w:t>–</w:t>
      </w:r>
      <w:r>
        <w:rPr>
          <w:i/>
          <w:spacing w:val="-6"/>
          <w:sz w:val="18"/>
        </w:rPr>
        <w:t xml:space="preserve"> </w:t>
      </w:r>
      <w:r>
        <w:rPr>
          <w:i/>
          <w:sz w:val="18"/>
        </w:rPr>
        <w:t>Footwear</w:t>
      </w:r>
      <w:r>
        <w:rPr>
          <w:i/>
          <w:spacing w:val="-6"/>
          <w:sz w:val="18"/>
        </w:rPr>
        <w:t xml:space="preserve"> </w:t>
      </w:r>
      <w:r>
        <w:rPr>
          <w:i/>
          <w:sz w:val="18"/>
        </w:rPr>
        <w:t>(China)</w:t>
      </w:r>
      <w:r>
        <w:rPr>
          <w:sz w:val="18"/>
        </w:rPr>
        <w:t>,</w:t>
      </w:r>
      <w:r>
        <w:rPr>
          <w:spacing w:val="-8"/>
          <w:sz w:val="18"/>
        </w:rPr>
        <w:t xml:space="preserve"> </w:t>
      </w:r>
      <w:r>
        <w:rPr>
          <w:sz w:val="18"/>
        </w:rPr>
        <w:t>para.</w:t>
      </w:r>
      <w:r>
        <w:rPr>
          <w:spacing w:val="-6"/>
          <w:sz w:val="18"/>
        </w:rPr>
        <w:t xml:space="preserve"> </w:t>
      </w:r>
      <w:r>
        <w:rPr>
          <w:sz w:val="18"/>
        </w:rPr>
        <w:t>7.484;</w:t>
      </w:r>
      <w:r>
        <w:rPr>
          <w:spacing w:val="-7"/>
          <w:sz w:val="18"/>
        </w:rPr>
        <w:t xml:space="preserve"> </w:t>
      </w:r>
      <w:r>
        <w:rPr>
          <w:sz w:val="18"/>
        </w:rPr>
        <w:t>See</w:t>
      </w:r>
      <w:r>
        <w:rPr>
          <w:spacing w:val="-7"/>
          <w:sz w:val="18"/>
        </w:rPr>
        <w:t xml:space="preserve"> </w:t>
      </w:r>
      <w:r>
        <w:rPr>
          <w:sz w:val="18"/>
        </w:rPr>
        <w:t>also</w:t>
      </w:r>
      <w:r>
        <w:rPr>
          <w:spacing w:val="-8"/>
          <w:sz w:val="18"/>
        </w:rPr>
        <w:t xml:space="preserve"> </w:t>
      </w:r>
      <w:r>
        <w:rPr>
          <w:sz w:val="18"/>
        </w:rPr>
        <w:t>Panel</w:t>
      </w:r>
      <w:r>
        <w:rPr>
          <w:spacing w:val="-7"/>
          <w:sz w:val="18"/>
        </w:rPr>
        <w:t xml:space="preserve"> </w:t>
      </w:r>
      <w:r>
        <w:rPr>
          <w:sz w:val="18"/>
        </w:rPr>
        <w:t>Reports,</w:t>
      </w:r>
      <w:r>
        <w:rPr>
          <w:spacing w:val="-6"/>
          <w:sz w:val="18"/>
        </w:rPr>
        <w:t xml:space="preserve"> </w:t>
      </w:r>
      <w:r>
        <w:rPr>
          <w:i/>
          <w:sz w:val="18"/>
        </w:rPr>
        <w:t>EC</w:t>
      </w:r>
      <w:r>
        <w:rPr>
          <w:i/>
          <w:spacing w:val="-7"/>
          <w:sz w:val="18"/>
        </w:rPr>
        <w:t xml:space="preserve"> </w:t>
      </w:r>
      <w:r>
        <w:rPr>
          <w:i/>
          <w:sz w:val="18"/>
        </w:rPr>
        <w:t>–</w:t>
      </w:r>
      <w:r>
        <w:rPr>
          <w:i/>
          <w:spacing w:val="-7"/>
          <w:sz w:val="18"/>
        </w:rPr>
        <w:t xml:space="preserve"> </w:t>
      </w:r>
      <w:r>
        <w:rPr>
          <w:i/>
          <w:sz w:val="18"/>
        </w:rPr>
        <w:t>Tube</w:t>
      </w:r>
      <w:r>
        <w:rPr>
          <w:i/>
          <w:spacing w:val="-6"/>
          <w:sz w:val="18"/>
        </w:rPr>
        <w:t xml:space="preserve"> </w:t>
      </w:r>
      <w:r>
        <w:rPr>
          <w:i/>
          <w:sz w:val="18"/>
        </w:rPr>
        <w:t>or</w:t>
      </w:r>
      <w:r>
        <w:rPr>
          <w:i/>
          <w:spacing w:val="-7"/>
          <w:sz w:val="18"/>
        </w:rPr>
        <w:t xml:space="preserve"> </w:t>
      </w:r>
      <w:r>
        <w:rPr>
          <w:i/>
          <w:sz w:val="18"/>
        </w:rPr>
        <w:t>Pipe</w:t>
      </w:r>
      <w:r>
        <w:rPr>
          <w:i/>
          <w:spacing w:val="-7"/>
          <w:sz w:val="18"/>
        </w:rPr>
        <w:t xml:space="preserve"> </w:t>
      </w:r>
      <w:r>
        <w:rPr>
          <w:i/>
          <w:sz w:val="18"/>
        </w:rPr>
        <w:t>Fittings</w:t>
      </w:r>
      <w:r>
        <w:rPr>
          <w:sz w:val="18"/>
        </w:rPr>
        <w:t>,</w:t>
      </w:r>
      <w:r>
        <w:rPr>
          <w:spacing w:val="-7"/>
          <w:sz w:val="18"/>
        </w:rPr>
        <w:t xml:space="preserve"> </w:t>
      </w:r>
      <w:r>
        <w:rPr>
          <w:sz w:val="18"/>
        </w:rPr>
        <w:t>para.</w:t>
      </w:r>
      <w:r>
        <w:rPr>
          <w:spacing w:val="-6"/>
          <w:sz w:val="18"/>
        </w:rPr>
        <w:t xml:space="preserve"> </w:t>
      </w:r>
      <w:r>
        <w:rPr>
          <w:sz w:val="18"/>
        </w:rPr>
        <w:t>7.359;</w:t>
      </w:r>
      <w:r>
        <w:rPr>
          <w:spacing w:val="-8"/>
          <w:sz w:val="18"/>
        </w:rPr>
        <w:t xml:space="preserve"> </w:t>
      </w:r>
      <w:r>
        <w:rPr>
          <w:i/>
          <w:spacing w:val="-2"/>
          <w:sz w:val="18"/>
        </w:rPr>
        <w:t>Thailand</w:t>
      </w:r>
    </w:p>
    <w:p w14:paraId="51DE922F" w14:textId="77777777" w:rsidR="0010369C" w:rsidRDefault="008E43AE">
      <w:pPr>
        <w:pStyle w:val="ListParagraph"/>
        <w:numPr>
          <w:ilvl w:val="0"/>
          <w:numId w:val="41"/>
        </w:numPr>
        <w:tabs>
          <w:tab w:val="left" w:pos="370"/>
        </w:tabs>
        <w:spacing w:before="0"/>
        <w:ind w:hanging="132"/>
        <w:jc w:val="left"/>
        <w:rPr>
          <w:sz w:val="18"/>
        </w:rPr>
      </w:pPr>
      <w:r>
        <w:rPr>
          <w:i/>
          <w:sz w:val="18"/>
        </w:rPr>
        <w:t>H‐Beams</w:t>
      </w:r>
      <w:r>
        <w:rPr>
          <w:sz w:val="18"/>
        </w:rPr>
        <w:t>,</w:t>
      </w:r>
      <w:r>
        <w:rPr>
          <w:spacing w:val="-10"/>
          <w:sz w:val="18"/>
        </w:rPr>
        <w:t xml:space="preserve"> </w:t>
      </w:r>
      <w:r>
        <w:rPr>
          <w:sz w:val="18"/>
        </w:rPr>
        <w:t>para.</w:t>
      </w:r>
      <w:r>
        <w:rPr>
          <w:spacing w:val="-9"/>
          <w:sz w:val="18"/>
        </w:rPr>
        <w:t xml:space="preserve"> </w:t>
      </w:r>
      <w:r>
        <w:rPr>
          <w:spacing w:val="-2"/>
          <w:sz w:val="18"/>
        </w:rPr>
        <w:t>7.273.</w:t>
      </w:r>
    </w:p>
    <w:p w14:paraId="51DE9230" w14:textId="77777777" w:rsidR="0010369C" w:rsidRDefault="008E43AE">
      <w:pPr>
        <w:spacing w:before="1"/>
        <w:ind w:left="236" w:right="611" w:firstLine="1"/>
        <w:rPr>
          <w:sz w:val="18"/>
        </w:rPr>
      </w:pPr>
      <w:r>
        <w:rPr>
          <w:sz w:val="18"/>
          <w:vertAlign w:val="superscript"/>
        </w:rPr>
        <w:t>825</w:t>
      </w:r>
      <w:r>
        <w:rPr>
          <w:sz w:val="18"/>
        </w:rPr>
        <w:t xml:space="preserve"> Panel Report, </w:t>
      </w:r>
      <w:r>
        <w:rPr>
          <w:i/>
          <w:sz w:val="18"/>
        </w:rPr>
        <w:t>US – Ripe Olives from Spain</w:t>
      </w:r>
      <w:r>
        <w:rPr>
          <w:sz w:val="18"/>
        </w:rPr>
        <w:t xml:space="preserve">, para. 7.306. See also Panel Report, </w:t>
      </w:r>
      <w:r>
        <w:rPr>
          <w:i/>
          <w:sz w:val="18"/>
        </w:rPr>
        <w:t>China ‐ Cellulose Pulp</w:t>
      </w:r>
      <w:r>
        <w:rPr>
          <w:sz w:val="18"/>
        </w:rPr>
        <w:t>, paras. 7.24, 7.27,</w:t>
      </w:r>
      <w:r>
        <w:rPr>
          <w:spacing w:val="40"/>
          <w:sz w:val="18"/>
        </w:rPr>
        <w:t xml:space="preserve"> </w:t>
      </w:r>
      <w:r>
        <w:rPr>
          <w:sz w:val="18"/>
        </w:rPr>
        <w:t xml:space="preserve">7.141; Panel Report, </w:t>
      </w:r>
      <w:r>
        <w:rPr>
          <w:i/>
          <w:sz w:val="18"/>
        </w:rPr>
        <w:t>Korea – Pneumatic Valves</w:t>
      </w:r>
      <w:r>
        <w:rPr>
          <w:sz w:val="18"/>
        </w:rPr>
        <w:t xml:space="preserve">, para. 7.249; Appellate Body Report, </w:t>
      </w:r>
      <w:r>
        <w:rPr>
          <w:i/>
          <w:sz w:val="18"/>
        </w:rPr>
        <w:t xml:space="preserve">Thailand – H‐Beams, </w:t>
      </w:r>
      <w:r>
        <w:rPr>
          <w:sz w:val="18"/>
        </w:rPr>
        <w:t>para. 106.</w:t>
      </w:r>
    </w:p>
    <w:p w14:paraId="51DE9231" w14:textId="77777777" w:rsidR="0010369C" w:rsidRDefault="008E43AE">
      <w:pPr>
        <w:spacing w:line="219" w:lineRule="exact"/>
        <w:ind w:left="238"/>
        <w:rPr>
          <w:sz w:val="18"/>
        </w:rPr>
      </w:pPr>
      <w:r>
        <w:rPr>
          <w:sz w:val="18"/>
          <w:vertAlign w:val="superscript"/>
        </w:rPr>
        <w:t>826</w:t>
      </w:r>
      <w:r>
        <w:rPr>
          <w:spacing w:val="-7"/>
          <w:sz w:val="18"/>
        </w:rPr>
        <w:t xml:space="preserve"> </w:t>
      </w:r>
      <w:r>
        <w:rPr>
          <w:sz w:val="18"/>
        </w:rPr>
        <w:t>Panel</w:t>
      </w:r>
      <w:r>
        <w:rPr>
          <w:spacing w:val="-7"/>
          <w:sz w:val="18"/>
        </w:rPr>
        <w:t xml:space="preserve"> </w:t>
      </w:r>
      <w:r>
        <w:rPr>
          <w:sz w:val="18"/>
        </w:rPr>
        <w:t>Report,</w:t>
      </w:r>
      <w:r>
        <w:rPr>
          <w:spacing w:val="-6"/>
          <w:sz w:val="18"/>
        </w:rPr>
        <w:t xml:space="preserve"> </w:t>
      </w:r>
      <w:r>
        <w:rPr>
          <w:i/>
          <w:sz w:val="18"/>
        </w:rPr>
        <w:t>EU</w:t>
      </w:r>
      <w:r>
        <w:rPr>
          <w:i/>
          <w:spacing w:val="-7"/>
          <w:sz w:val="18"/>
        </w:rPr>
        <w:t xml:space="preserve"> </w:t>
      </w:r>
      <w:r>
        <w:rPr>
          <w:i/>
          <w:sz w:val="18"/>
        </w:rPr>
        <w:t>–</w:t>
      </w:r>
      <w:r>
        <w:rPr>
          <w:i/>
          <w:spacing w:val="-6"/>
          <w:sz w:val="18"/>
        </w:rPr>
        <w:t xml:space="preserve"> </w:t>
      </w:r>
      <w:r>
        <w:rPr>
          <w:i/>
          <w:sz w:val="18"/>
        </w:rPr>
        <w:t>Footwear</w:t>
      </w:r>
      <w:r>
        <w:rPr>
          <w:i/>
          <w:spacing w:val="-7"/>
          <w:sz w:val="18"/>
        </w:rPr>
        <w:t xml:space="preserve"> </w:t>
      </w:r>
      <w:r>
        <w:rPr>
          <w:i/>
          <w:sz w:val="18"/>
        </w:rPr>
        <w:t>(China)</w:t>
      </w:r>
      <w:r>
        <w:rPr>
          <w:sz w:val="18"/>
        </w:rPr>
        <w:t>,</w:t>
      </w:r>
      <w:r>
        <w:rPr>
          <w:spacing w:val="-7"/>
          <w:sz w:val="18"/>
        </w:rPr>
        <w:t xml:space="preserve"> </w:t>
      </w:r>
      <w:r>
        <w:rPr>
          <w:sz w:val="18"/>
        </w:rPr>
        <w:t>para.</w:t>
      </w:r>
      <w:r>
        <w:rPr>
          <w:spacing w:val="-6"/>
          <w:sz w:val="18"/>
        </w:rPr>
        <w:t xml:space="preserve"> </w:t>
      </w:r>
      <w:r>
        <w:rPr>
          <w:spacing w:val="-2"/>
          <w:sz w:val="18"/>
        </w:rPr>
        <w:t>7.484</w:t>
      </w:r>
    </w:p>
    <w:p w14:paraId="51DE9232" w14:textId="77777777" w:rsidR="0010369C" w:rsidRDefault="008E43AE">
      <w:pPr>
        <w:ind w:left="238"/>
        <w:rPr>
          <w:sz w:val="18"/>
        </w:rPr>
      </w:pPr>
      <w:r>
        <w:rPr>
          <w:sz w:val="18"/>
          <w:vertAlign w:val="superscript"/>
        </w:rPr>
        <w:t>827</w:t>
      </w:r>
      <w:r>
        <w:rPr>
          <w:spacing w:val="-9"/>
          <w:sz w:val="18"/>
        </w:rPr>
        <w:t xml:space="preserve"> </w:t>
      </w:r>
      <w:r>
        <w:rPr>
          <w:sz w:val="18"/>
        </w:rPr>
        <w:t>Anti‐Dumping</w:t>
      </w:r>
      <w:r>
        <w:rPr>
          <w:spacing w:val="-9"/>
          <w:sz w:val="18"/>
        </w:rPr>
        <w:t xml:space="preserve"> </w:t>
      </w:r>
      <w:r>
        <w:rPr>
          <w:sz w:val="18"/>
        </w:rPr>
        <w:t>Final</w:t>
      </w:r>
      <w:r>
        <w:rPr>
          <w:spacing w:val="-9"/>
          <w:sz w:val="18"/>
        </w:rPr>
        <w:t xml:space="preserve"> </w:t>
      </w:r>
      <w:r>
        <w:rPr>
          <w:sz w:val="18"/>
        </w:rPr>
        <w:t>Determination</w:t>
      </w:r>
      <w:r>
        <w:rPr>
          <w:spacing w:val="-8"/>
          <w:sz w:val="18"/>
        </w:rPr>
        <w:t xml:space="preserve"> </w:t>
      </w:r>
      <w:r>
        <w:rPr>
          <w:sz w:val="18"/>
        </w:rPr>
        <w:t>(Exhibit</w:t>
      </w:r>
      <w:r>
        <w:rPr>
          <w:spacing w:val="-9"/>
          <w:sz w:val="18"/>
        </w:rPr>
        <w:t xml:space="preserve"> </w:t>
      </w:r>
      <w:r>
        <w:rPr>
          <w:sz w:val="18"/>
        </w:rPr>
        <w:t>AUS‐2),</w:t>
      </w:r>
      <w:r>
        <w:rPr>
          <w:spacing w:val="-10"/>
          <w:sz w:val="18"/>
        </w:rPr>
        <w:t xml:space="preserve"> </w:t>
      </w:r>
      <w:r>
        <w:rPr>
          <w:sz w:val="18"/>
        </w:rPr>
        <w:t>pp.</w:t>
      </w:r>
      <w:r>
        <w:rPr>
          <w:spacing w:val="-9"/>
          <w:sz w:val="18"/>
        </w:rPr>
        <w:t xml:space="preserve"> </w:t>
      </w:r>
      <w:r>
        <w:rPr>
          <w:spacing w:val="-2"/>
          <w:sz w:val="18"/>
        </w:rPr>
        <w:t>139‐146.</w:t>
      </w:r>
    </w:p>
    <w:p w14:paraId="51DE9233" w14:textId="77777777" w:rsidR="0010369C" w:rsidRDefault="0010369C">
      <w:pPr>
        <w:rPr>
          <w:sz w:val="18"/>
        </w:rPr>
        <w:sectPr w:rsidR="0010369C">
          <w:pgSz w:w="11910" w:h="16840"/>
          <w:pgMar w:top="880" w:right="800" w:bottom="980" w:left="1180" w:header="569" w:footer="788" w:gutter="0"/>
          <w:cols w:space="720"/>
        </w:sectPr>
      </w:pPr>
    </w:p>
    <w:p w14:paraId="51DE9234" w14:textId="77777777" w:rsidR="0010369C" w:rsidRDefault="008E43AE">
      <w:pPr>
        <w:tabs>
          <w:tab w:val="left" w:pos="6426"/>
        </w:tabs>
        <w:ind w:left="238"/>
        <w:jc w:val="both"/>
        <w:rPr>
          <w:sz w:val="20"/>
        </w:rPr>
      </w:pPr>
      <w:r>
        <w:rPr>
          <w:i/>
          <w:sz w:val="20"/>
        </w:rPr>
        <w:lastRenderedPageBreak/>
        <w:t>China</w:t>
      </w:r>
      <w:r>
        <w:rPr>
          <w:i/>
          <w:spacing w:val="-5"/>
          <w:sz w:val="20"/>
        </w:rPr>
        <w:t xml:space="preserve"> </w:t>
      </w:r>
      <w:r>
        <w:rPr>
          <w:i/>
          <w:sz w:val="20"/>
        </w:rPr>
        <w:t>–</w:t>
      </w:r>
      <w:r>
        <w:rPr>
          <w:i/>
          <w:spacing w:val="-5"/>
          <w:sz w:val="20"/>
        </w:rPr>
        <w:t xml:space="preserve"> </w:t>
      </w:r>
      <w:r>
        <w:rPr>
          <w:i/>
          <w:sz w:val="20"/>
        </w:rPr>
        <w:t>Anti‐Dumping</w:t>
      </w:r>
      <w:r>
        <w:rPr>
          <w:i/>
          <w:spacing w:val="-4"/>
          <w:sz w:val="20"/>
        </w:rPr>
        <w:t xml:space="preserve"> </w:t>
      </w:r>
      <w:r>
        <w:rPr>
          <w:i/>
          <w:sz w:val="20"/>
        </w:rPr>
        <w:t>and</w:t>
      </w:r>
      <w:r>
        <w:rPr>
          <w:i/>
          <w:spacing w:val="-5"/>
          <w:sz w:val="20"/>
        </w:rPr>
        <w:t xml:space="preserve"> </w:t>
      </w:r>
      <w:r>
        <w:rPr>
          <w:i/>
          <w:sz w:val="20"/>
        </w:rPr>
        <w:t>Countervailing</w:t>
      </w:r>
      <w:r>
        <w:rPr>
          <w:i/>
          <w:spacing w:val="-5"/>
          <w:sz w:val="20"/>
        </w:rPr>
        <w:t xml:space="preserve"> </w:t>
      </w:r>
      <w:r>
        <w:rPr>
          <w:i/>
          <w:sz w:val="20"/>
        </w:rPr>
        <w:t>Duty</w:t>
      </w:r>
      <w:r>
        <w:rPr>
          <w:i/>
          <w:spacing w:val="-4"/>
          <w:sz w:val="20"/>
        </w:rPr>
        <w:t xml:space="preserve"> </w:t>
      </w:r>
      <w:r>
        <w:rPr>
          <w:i/>
          <w:spacing w:val="-2"/>
          <w:sz w:val="20"/>
        </w:rPr>
        <w:t>Measures</w:t>
      </w:r>
      <w:r>
        <w:rPr>
          <w:i/>
          <w:sz w:val="20"/>
        </w:rPr>
        <w:tab/>
      </w:r>
      <w:r>
        <w:rPr>
          <w:sz w:val="20"/>
        </w:rPr>
        <w:t>Australia's</w:t>
      </w:r>
      <w:r>
        <w:rPr>
          <w:spacing w:val="-7"/>
          <w:sz w:val="20"/>
        </w:rPr>
        <w:t xml:space="preserve"> </w:t>
      </w:r>
      <w:r>
        <w:rPr>
          <w:sz w:val="20"/>
        </w:rPr>
        <w:t>First</w:t>
      </w:r>
      <w:r>
        <w:rPr>
          <w:spacing w:val="-2"/>
          <w:sz w:val="20"/>
        </w:rPr>
        <w:t xml:space="preserve"> </w:t>
      </w:r>
      <w:r>
        <w:rPr>
          <w:sz w:val="20"/>
        </w:rPr>
        <w:t>Written</w:t>
      </w:r>
      <w:r>
        <w:rPr>
          <w:spacing w:val="-2"/>
          <w:sz w:val="20"/>
        </w:rPr>
        <w:t xml:space="preserve"> Submission</w:t>
      </w:r>
    </w:p>
    <w:p w14:paraId="51DE9235" w14:textId="77777777" w:rsidR="0010369C" w:rsidRDefault="008E43AE">
      <w:pPr>
        <w:tabs>
          <w:tab w:val="left" w:pos="8228"/>
        </w:tabs>
        <w:spacing w:before="1"/>
        <w:ind w:left="239"/>
        <w:jc w:val="both"/>
        <w:rPr>
          <w:sz w:val="20"/>
        </w:rPr>
      </w:pPr>
      <w:r>
        <w:rPr>
          <w:i/>
          <w:sz w:val="20"/>
        </w:rPr>
        <w:t>on</w:t>
      </w:r>
      <w:r>
        <w:rPr>
          <w:i/>
          <w:spacing w:val="-1"/>
          <w:sz w:val="20"/>
        </w:rPr>
        <w:t xml:space="preserve"> </w:t>
      </w:r>
      <w:r>
        <w:rPr>
          <w:i/>
          <w:sz w:val="20"/>
        </w:rPr>
        <w:t>Wine</w:t>
      </w:r>
      <w:r>
        <w:rPr>
          <w:i/>
          <w:spacing w:val="-1"/>
          <w:sz w:val="20"/>
        </w:rPr>
        <w:t xml:space="preserve"> </w:t>
      </w:r>
      <w:r>
        <w:rPr>
          <w:i/>
          <w:sz w:val="20"/>
        </w:rPr>
        <w:t>from</w:t>
      </w:r>
      <w:r>
        <w:rPr>
          <w:i/>
          <w:spacing w:val="-3"/>
          <w:sz w:val="20"/>
        </w:rPr>
        <w:t xml:space="preserve"> </w:t>
      </w:r>
      <w:r>
        <w:rPr>
          <w:i/>
          <w:sz w:val="20"/>
        </w:rPr>
        <w:t>Australia</w:t>
      </w:r>
      <w:r>
        <w:rPr>
          <w:i/>
          <w:spacing w:val="-1"/>
          <w:sz w:val="20"/>
        </w:rPr>
        <w:t xml:space="preserve"> </w:t>
      </w:r>
      <w:r>
        <w:rPr>
          <w:spacing w:val="-2"/>
          <w:sz w:val="20"/>
        </w:rPr>
        <w:t>(DS602)</w:t>
      </w:r>
      <w:r>
        <w:rPr>
          <w:sz w:val="20"/>
        </w:rPr>
        <w:tab/>
        <w:t>29</w:t>
      </w:r>
      <w:r>
        <w:rPr>
          <w:spacing w:val="-1"/>
          <w:sz w:val="20"/>
        </w:rPr>
        <w:t xml:space="preserve"> </w:t>
      </w:r>
      <w:r>
        <w:rPr>
          <w:sz w:val="20"/>
        </w:rPr>
        <w:t>April</w:t>
      </w:r>
      <w:r>
        <w:rPr>
          <w:spacing w:val="-2"/>
          <w:sz w:val="20"/>
        </w:rPr>
        <w:t xml:space="preserve"> </w:t>
      </w:r>
      <w:r>
        <w:rPr>
          <w:spacing w:val="-4"/>
          <w:sz w:val="20"/>
        </w:rPr>
        <w:t>2022</w:t>
      </w:r>
    </w:p>
    <w:p w14:paraId="51DE9236" w14:textId="77777777" w:rsidR="0010369C" w:rsidRDefault="008E43AE">
      <w:pPr>
        <w:pStyle w:val="BodyText"/>
        <w:spacing w:before="34" w:line="360" w:lineRule="auto"/>
        <w:ind w:left="236" w:right="612" w:firstLine="1"/>
        <w:jc w:val="both"/>
      </w:pPr>
      <w:r>
        <w:t>between</w:t>
      </w:r>
      <w:r>
        <w:rPr>
          <w:spacing w:val="-7"/>
        </w:rPr>
        <w:t xml:space="preserve"> </w:t>
      </w:r>
      <w:r>
        <w:t>dumped</w:t>
      </w:r>
      <w:r>
        <w:rPr>
          <w:spacing w:val="-8"/>
        </w:rPr>
        <w:t xml:space="preserve"> </w:t>
      </w:r>
      <w:r>
        <w:t>imports</w:t>
      </w:r>
      <w:r>
        <w:rPr>
          <w:spacing w:val="-7"/>
        </w:rPr>
        <w:t xml:space="preserve"> </w:t>
      </w:r>
      <w:r>
        <w:t>and</w:t>
      </w:r>
      <w:r>
        <w:rPr>
          <w:spacing w:val="-8"/>
        </w:rPr>
        <w:t xml:space="preserve"> </w:t>
      </w:r>
      <w:r>
        <w:t>material</w:t>
      </w:r>
      <w:r>
        <w:rPr>
          <w:spacing w:val="-8"/>
        </w:rPr>
        <w:t xml:space="preserve"> </w:t>
      </w:r>
      <w:r>
        <w:t>injury</w:t>
      </w:r>
      <w:r>
        <w:rPr>
          <w:spacing w:val="-7"/>
        </w:rPr>
        <w:t xml:space="preserve"> </w:t>
      </w:r>
      <w:r>
        <w:t>to</w:t>
      </w:r>
      <w:r>
        <w:rPr>
          <w:spacing w:val="-8"/>
        </w:rPr>
        <w:t xml:space="preserve"> </w:t>
      </w:r>
      <w:r>
        <w:t>the</w:t>
      </w:r>
      <w:r>
        <w:rPr>
          <w:spacing w:val="-7"/>
        </w:rPr>
        <w:t xml:space="preserve"> </w:t>
      </w:r>
      <w:r>
        <w:t>domestic</w:t>
      </w:r>
      <w:r>
        <w:rPr>
          <w:spacing w:val="-5"/>
        </w:rPr>
        <w:t xml:space="preserve"> </w:t>
      </w:r>
      <w:r>
        <w:t>industry</w:t>
      </w:r>
      <w:r>
        <w:rPr>
          <w:spacing w:val="-6"/>
        </w:rPr>
        <w:t xml:space="preserve"> </w:t>
      </w:r>
      <w:r>
        <w:t>need</w:t>
      </w:r>
      <w:r>
        <w:rPr>
          <w:spacing w:val="-7"/>
        </w:rPr>
        <w:t xml:space="preserve"> </w:t>
      </w:r>
      <w:r>
        <w:t>to</w:t>
      </w:r>
      <w:r>
        <w:rPr>
          <w:spacing w:val="-7"/>
        </w:rPr>
        <w:t xml:space="preserve"> </w:t>
      </w:r>
      <w:r>
        <w:t>be</w:t>
      </w:r>
      <w:r>
        <w:rPr>
          <w:spacing w:val="-7"/>
        </w:rPr>
        <w:t xml:space="preserve"> </w:t>
      </w:r>
      <w:r>
        <w:t>considered in a non‐attribution analysis. Rather, investigating authorities are required to identify, separate,</w:t>
      </w:r>
      <w:r>
        <w:rPr>
          <w:spacing w:val="-11"/>
        </w:rPr>
        <w:t xml:space="preserve"> </w:t>
      </w:r>
      <w:r>
        <w:t>and</w:t>
      </w:r>
      <w:r>
        <w:rPr>
          <w:spacing w:val="-10"/>
        </w:rPr>
        <w:t xml:space="preserve"> </w:t>
      </w:r>
      <w:r>
        <w:t>distinguish</w:t>
      </w:r>
      <w:r>
        <w:rPr>
          <w:spacing w:val="-8"/>
        </w:rPr>
        <w:t xml:space="preserve"> </w:t>
      </w:r>
      <w:r>
        <w:t>any</w:t>
      </w:r>
      <w:r>
        <w:rPr>
          <w:spacing w:val="-9"/>
        </w:rPr>
        <w:t xml:space="preserve"> </w:t>
      </w:r>
      <w:r>
        <w:t>injury</w:t>
      </w:r>
      <w:r>
        <w:rPr>
          <w:spacing w:val="-10"/>
        </w:rPr>
        <w:t xml:space="preserve"> </w:t>
      </w:r>
      <w:r>
        <w:t>caused</w:t>
      </w:r>
      <w:r>
        <w:rPr>
          <w:spacing w:val="-10"/>
        </w:rPr>
        <w:t xml:space="preserve"> </w:t>
      </w:r>
      <w:r>
        <w:t>by</w:t>
      </w:r>
      <w:r>
        <w:rPr>
          <w:spacing w:val="-9"/>
        </w:rPr>
        <w:t xml:space="preserve"> </w:t>
      </w:r>
      <w:r>
        <w:t>other</w:t>
      </w:r>
      <w:r>
        <w:rPr>
          <w:spacing w:val="-9"/>
        </w:rPr>
        <w:t xml:space="preserve"> </w:t>
      </w:r>
      <w:r>
        <w:t>factors</w:t>
      </w:r>
      <w:r>
        <w:rPr>
          <w:spacing w:val="-10"/>
        </w:rPr>
        <w:t xml:space="preserve"> </w:t>
      </w:r>
      <w:r>
        <w:t>in</w:t>
      </w:r>
      <w:r>
        <w:rPr>
          <w:spacing w:val="-10"/>
        </w:rPr>
        <w:t xml:space="preserve"> </w:t>
      </w:r>
      <w:r>
        <w:t>order</w:t>
      </w:r>
      <w:r>
        <w:rPr>
          <w:spacing w:val="-9"/>
        </w:rPr>
        <w:t xml:space="preserve"> </w:t>
      </w:r>
      <w:r>
        <w:t>to</w:t>
      </w:r>
      <w:r>
        <w:rPr>
          <w:spacing w:val="-9"/>
        </w:rPr>
        <w:t xml:space="preserve"> </w:t>
      </w:r>
      <w:r>
        <w:t>ensure</w:t>
      </w:r>
      <w:r>
        <w:rPr>
          <w:spacing w:val="-10"/>
        </w:rPr>
        <w:t xml:space="preserve"> </w:t>
      </w:r>
      <w:r>
        <w:t>that</w:t>
      </w:r>
      <w:r>
        <w:rPr>
          <w:spacing w:val="-10"/>
        </w:rPr>
        <w:t xml:space="preserve"> </w:t>
      </w:r>
      <w:r>
        <w:t>such</w:t>
      </w:r>
      <w:r>
        <w:rPr>
          <w:spacing w:val="-10"/>
        </w:rPr>
        <w:t xml:space="preserve"> </w:t>
      </w:r>
      <w:r>
        <w:t>injury is not attributed to the dumped imports.</w:t>
      </w:r>
      <w:r>
        <w:rPr>
          <w:vertAlign w:val="superscript"/>
        </w:rPr>
        <w:t>828</w:t>
      </w:r>
      <w:r>
        <w:t xml:space="preserve"> As a result, MOFCOM's examination of the other known</w:t>
      </w:r>
      <w:r>
        <w:rPr>
          <w:spacing w:val="-10"/>
        </w:rPr>
        <w:t xml:space="preserve"> </w:t>
      </w:r>
      <w:r>
        <w:t>factors</w:t>
      </w:r>
      <w:r>
        <w:rPr>
          <w:spacing w:val="-10"/>
        </w:rPr>
        <w:t xml:space="preserve"> </w:t>
      </w:r>
      <w:r>
        <w:t>was</w:t>
      </w:r>
      <w:r>
        <w:rPr>
          <w:spacing w:val="-10"/>
        </w:rPr>
        <w:t xml:space="preserve"> </w:t>
      </w:r>
      <w:r>
        <w:t>inconsistent</w:t>
      </w:r>
      <w:r>
        <w:rPr>
          <w:spacing w:val="-9"/>
        </w:rPr>
        <w:t xml:space="preserve"> </w:t>
      </w:r>
      <w:r>
        <w:t>with</w:t>
      </w:r>
      <w:r>
        <w:rPr>
          <w:spacing w:val="-10"/>
        </w:rPr>
        <w:t xml:space="preserve"> </w:t>
      </w:r>
      <w:r>
        <w:t>China's</w:t>
      </w:r>
      <w:r>
        <w:rPr>
          <w:spacing w:val="-10"/>
        </w:rPr>
        <w:t xml:space="preserve"> </w:t>
      </w:r>
      <w:r>
        <w:t>obligations</w:t>
      </w:r>
      <w:r>
        <w:rPr>
          <w:spacing w:val="-9"/>
        </w:rPr>
        <w:t xml:space="preserve"> </w:t>
      </w:r>
      <w:r>
        <w:t>under</w:t>
      </w:r>
      <w:r>
        <w:rPr>
          <w:spacing w:val="-10"/>
        </w:rPr>
        <w:t xml:space="preserve"> </w:t>
      </w:r>
      <w:r>
        <w:t>Article</w:t>
      </w:r>
      <w:r>
        <w:rPr>
          <w:spacing w:val="-10"/>
        </w:rPr>
        <w:t xml:space="preserve"> </w:t>
      </w:r>
      <w:r>
        <w:t>3.5</w:t>
      </w:r>
      <w:r>
        <w:rPr>
          <w:spacing w:val="-10"/>
        </w:rPr>
        <w:t xml:space="preserve"> </w:t>
      </w:r>
      <w:r>
        <w:t>of</w:t>
      </w:r>
      <w:r>
        <w:rPr>
          <w:spacing w:val="-10"/>
        </w:rPr>
        <w:t xml:space="preserve"> </w:t>
      </w:r>
      <w:r>
        <w:t>the</w:t>
      </w:r>
      <w:r>
        <w:rPr>
          <w:spacing w:val="-9"/>
        </w:rPr>
        <w:t xml:space="preserve"> </w:t>
      </w:r>
      <w:r>
        <w:t xml:space="preserve">Anti‐Dumping </w:t>
      </w:r>
      <w:r>
        <w:rPr>
          <w:spacing w:val="-2"/>
        </w:rPr>
        <w:t>Agreement.</w:t>
      </w:r>
    </w:p>
    <w:p w14:paraId="51DE9237" w14:textId="77777777" w:rsidR="0010369C" w:rsidRDefault="008E43AE">
      <w:pPr>
        <w:pStyle w:val="ListParagraph"/>
        <w:numPr>
          <w:ilvl w:val="1"/>
          <w:numId w:val="3"/>
        </w:numPr>
        <w:tabs>
          <w:tab w:val="left" w:pos="3642"/>
          <w:tab w:val="left" w:pos="3643"/>
        </w:tabs>
        <w:spacing w:before="161"/>
        <w:ind w:hanging="853"/>
        <w:jc w:val="both"/>
        <w:rPr>
          <w:sz w:val="24"/>
        </w:rPr>
      </w:pPr>
      <w:r>
        <w:rPr>
          <w:sz w:val="24"/>
          <w:u w:val="single"/>
        </w:rPr>
        <w:t>Changes</w:t>
      </w:r>
      <w:r>
        <w:rPr>
          <w:spacing w:val="-8"/>
          <w:sz w:val="24"/>
          <w:u w:val="single"/>
        </w:rPr>
        <w:t xml:space="preserve"> </w:t>
      </w:r>
      <w:r>
        <w:rPr>
          <w:sz w:val="24"/>
          <w:u w:val="single"/>
        </w:rPr>
        <w:t>to</w:t>
      </w:r>
      <w:r>
        <w:rPr>
          <w:spacing w:val="-6"/>
          <w:sz w:val="24"/>
          <w:u w:val="single"/>
        </w:rPr>
        <w:t xml:space="preserve"> </w:t>
      </w:r>
      <w:r>
        <w:rPr>
          <w:sz w:val="24"/>
          <w:u w:val="single"/>
        </w:rPr>
        <w:t>import</w:t>
      </w:r>
      <w:r>
        <w:rPr>
          <w:spacing w:val="-7"/>
          <w:sz w:val="24"/>
          <w:u w:val="single"/>
        </w:rPr>
        <w:t xml:space="preserve"> </w:t>
      </w:r>
      <w:r>
        <w:rPr>
          <w:sz w:val="24"/>
          <w:u w:val="single"/>
        </w:rPr>
        <w:t>tariffs</w:t>
      </w:r>
      <w:r>
        <w:rPr>
          <w:spacing w:val="-7"/>
          <w:sz w:val="24"/>
          <w:u w:val="single"/>
        </w:rPr>
        <w:t xml:space="preserve"> </w:t>
      </w:r>
      <w:r>
        <w:rPr>
          <w:sz w:val="24"/>
          <w:u w:val="single"/>
        </w:rPr>
        <w:t>under</w:t>
      </w:r>
      <w:r>
        <w:rPr>
          <w:spacing w:val="-7"/>
          <w:sz w:val="24"/>
          <w:u w:val="single"/>
        </w:rPr>
        <w:t xml:space="preserve"> </w:t>
      </w:r>
      <w:r>
        <w:rPr>
          <w:spacing w:val="-2"/>
          <w:sz w:val="24"/>
          <w:u w:val="single"/>
        </w:rPr>
        <w:t>ChAFTA</w:t>
      </w:r>
    </w:p>
    <w:p w14:paraId="51DE9238" w14:textId="77777777" w:rsidR="0010369C" w:rsidRDefault="0010369C">
      <w:pPr>
        <w:pStyle w:val="BodyText"/>
        <w:spacing w:before="10"/>
        <w:rPr>
          <w:sz w:val="20"/>
        </w:rPr>
      </w:pPr>
    </w:p>
    <w:p w14:paraId="51DE9239" w14:textId="77777777" w:rsidR="0010369C" w:rsidRDefault="008E43AE">
      <w:pPr>
        <w:pStyle w:val="BodyText"/>
        <w:spacing w:before="51" w:line="360" w:lineRule="auto"/>
        <w:ind w:left="236" w:right="613" w:firstLine="852"/>
        <w:jc w:val="both"/>
      </w:pPr>
      <w:r>
        <w:rPr>
          <w:noProof/>
        </w:rPr>
        <w:drawing>
          <wp:anchor distT="0" distB="0" distL="0" distR="0" simplePos="0" relativeHeight="251303424" behindDoc="1" locked="0" layoutInCell="1" allowOverlap="1" wp14:anchorId="51DEA5A9" wp14:editId="51DEA5AA">
            <wp:simplePos x="0" y="0"/>
            <wp:positionH relativeFrom="page">
              <wp:posOffset>905255</wp:posOffset>
            </wp:positionH>
            <wp:positionV relativeFrom="paragraph">
              <wp:posOffset>81314</wp:posOffset>
            </wp:positionV>
            <wp:extent cx="259079" cy="100753"/>
            <wp:effectExtent l="0" t="0" r="0" b="0"/>
            <wp:wrapNone/>
            <wp:docPr id="1361" name="image7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 name="image705.png"/>
                    <pic:cNvPicPr/>
                  </pic:nvPicPr>
                  <pic:blipFill>
                    <a:blip r:embed="rId915" cstate="print"/>
                    <a:stretch>
                      <a:fillRect/>
                    </a:stretch>
                  </pic:blipFill>
                  <pic:spPr>
                    <a:xfrm>
                      <a:off x="0" y="0"/>
                      <a:ext cx="259079" cy="100753"/>
                    </a:xfrm>
                    <a:prstGeom prst="rect">
                      <a:avLst/>
                    </a:prstGeom>
                  </pic:spPr>
                </pic:pic>
              </a:graphicData>
            </a:graphic>
          </wp:anchor>
        </w:drawing>
      </w:r>
      <w:r>
        <w:t>On 20</w:t>
      </w:r>
      <w:r>
        <w:rPr>
          <w:spacing w:val="-3"/>
        </w:rPr>
        <w:t xml:space="preserve"> </w:t>
      </w:r>
      <w:r>
        <w:t>Decemb</w:t>
      </w:r>
      <w:r>
        <w:t>er</w:t>
      </w:r>
      <w:r>
        <w:rPr>
          <w:spacing w:val="-2"/>
        </w:rPr>
        <w:t xml:space="preserve"> </w:t>
      </w:r>
      <w:r>
        <w:t xml:space="preserve">2015, Australia and China entered into the </w:t>
      </w:r>
      <w:r>
        <w:rPr>
          <w:i/>
        </w:rPr>
        <w:t xml:space="preserve">China‐Australia Free Trade Agreement </w:t>
      </w:r>
      <w:r>
        <w:t>(ChAFTA). Under the terms of ChAFTA, China agreed to reduce the import tariff on Australian wine in less than two litre containers,</w:t>
      </w:r>
      <w:r>
        <w:rPr>
          <w:vertAlign w:val="superscript"/>
        </w:rPr>
        <w:t>829</w:t>
      </w:r>
      <w:r>
        <w:t xml:space="preserve"> from 14% to zero. These tariff reductions occurred gradually between 20</w:t>
      </w:r>
      <w:r>
        <w:rPr>
          <w:spacing w:val="-3"/>
        </w:rPr>
        <w:t xml:space="preserve"> </w:t>
      </w:r>
      <w:r>
        <w:t>December</w:t>
      </w:r>
      <w:r>
        <w:rPr>
          <w:spacing w:val="-2"/>
        </w:rPr>
        <w:t xml:space="preserve"> </w:t>
      </w:r>
      <w:r>
        <w:t>2015 and 1</w:t>
      </w:r>
      <w:r>
        <w:rPr>
          <w:spacing w:val="-2"/>
        </w:rPr>
        <w:t xml:space="preserve"> </w:t>
      </w:r>
      <w:r>
        <w:t>January</w:t>
      </w:r>
      <w:r>
        <w:rPr>
          <w:spacing w:val="-3"/>
        </w:rPr>
        <w:t xml:space="preserve"> </w:t>
      </w:r>
      <w:r>
        <w:t>2019, coinciding with</w:t>
      </w:r>
      <w:r>
        <w:t xml:space="preserve"> the Injury POI. This preferential tariff treatment, as well as the other negotiated outcomes facilitating cross‐border trade in goods, could reasonably be expected to result in two intended and foreseeable trade outcomes: (i) the net unit price of imports</w:t>
      </w:r>
      <w:r>
        <w:t xml:space="preserve"> of Australian wine</w:t>
      </w:r>
      <w:r>
        <w:rPr>
          <w:spacing w:val="6"/>
        </w:rPr>
        <w:t xml:space="preserve"> </w:t>
      </w:r>
      <w:r>
        <w:t>in</w:t>
      </w:r>
      <w:r>
        <w:rPr>
          <w:spacing w:val="6"/>
        </w:rPr>
        <w:t xml:space="preserve"> </w:t>
      </w:r>
      <w:r>
        <w:t>China's</w:t>
      </w:r>
      <w:r>
        <w:rPr>
          <w:spacing w:val="6"/>
        </w:rPr>
        <w:t xml:space="preserve"> </w:t>
      </w:r>
      <w:r>
        <w:t>market</w:t>
      </w:r>
      <w:r>
        <w:rPr>
          <w:spacing w:val="5"/>
        </w:rPr>
        <w:t xml:space="preserve"> </w:t>
      </w:r>
      <w:r>
        <w:t>would</w:t>
      </w:r>
      <w:r>
        <w:rPr>
          <w:spacing w:val="7"/>
        </w:rPr>
        <w:t xml:space="preserve"> </w:t>
      </w:r>
      <w:r>
        <w:t>decrease</w:t>
      </w:r>
      <w:r>
        <w:rPr>
          <w:spacing w:val="7"/>
        </w:rPr>
        <w:t xml:space="preserve"> </w:t>
      </w:r>
      <w:r>
        <w:t>by</w:t>
      </w:r>
      <w:r>
        <w:rPr>
          <w:spacing w:val="7"/>
        </w:rPr>
        <w:t xml:space="preserve"> </w:t>
      </w:r>
      <w:r>
        <w:t>at</w:t>
      </w:r>
      <w:r>
        <w:rPr>
          <w:spacing w:val="5"/>
        </w:rPr>
        <w:t xml:space="preserve"> </w:t>
      </w:r>
      <w:r>
        <w:t>least</w:t>
      </w:r>
      <w:r>
        <w:rPr>
          <w:spacing w:val="7"/>
        </w:rPr>
        <w:t xml:space="preserve"> </w:t>
      </w:r>
      <w:r>
        <w:t>14</w:t>
      </w:r>
      <w:r>
        <w:rPr>
          <w:spacing w:val="6"/>
        </w:rPr>
        <w:t xml:space="preserve"> </w:t>
      </w:r>
      <w:r>
        <w:t>percent</w:t>
      </w:r>
      <w:r>
        <w:rPr>
          <w:spacing w:val="6"/>
        </w:rPr>
        <w:t xml:space="preserve"> </w:t>
      </w:r>
      <w:r>
        <w:t>between</w:t>
      </w:r>
      <w:r>
        <w:rPr>
          <w:spacing w:val="6"/>
        </w:rPr>
        <w:t xml:space="preserve"> </w:t>
      </w:r>
      <w:r>
        <w:t>2016</w:t>
      </w:r>
      <w:r>
        <w:rPr>
          <w:spacing w:val="6"/>
        </w:rPr>
        <w:t xml:space="preserve"> </w:t>
      </w:r>
      <w:r>
        <w:t>and</w:t>
      </w:r>
      <w:r>
        <w:rPr>
          <w:spacing w:val="6"/>
        </w:rPr>
        <w:t xml:space="preserve"> </w:t>
      </w:r>
      <w:r>
        <w:t>2019;</w:t>
      </w:r>
      <w:r>
        <w:rPr>
          <w:spacing w:val="7"/>
        </w:rPr>
        <w:t xml:space="preserve"> </w:t>
      </w:r>
      <w:r>
        <w:rPr>
          <w:spacing w:val="-5"/>
        </w:rPr>
        <w:t>and</w:t>
      </w:r>
    </w:p>
    <w:p w14:paraId="51DE923A" w14:textId="77777777" w:rsidR="0010369C" w:rsidRDefault="008E43AE">
      <w:pPr>
        <w:pStyle w:val="ListParagraph"/>
        <w:numPr>
          <w:ilvl w:val="0"/>
          <w:numId w:val="62"/>
        </w:numPr>
        <w:tabs>
          <w:tab w:val="left" w:pos="542"/>
        </w:tabs>
        <w:spacing w:before="0" w:line="360" w:lineRule="auto"/>
        <w:ind w:right="613" w:firstLine="0"/>
        <w:jc w:val="both"/>
        <w:rPr>
          <w:sz w:val="24"/>
        </w:rPr>
      </w:pPr>
      <w:r>
        <w:rPr>
          <w:sz w:val="24"/>
        </w:rPr>
        <w:t>the</w:t>
      </w:r>
      <w:r>
        <w:rPr>
          <w:spacing w:val="-9"/>
          <w:sz w:val="24"/>
        </w:rPr>
        <w:t xml:space="preserve"> </w:t>
      </w:r>
      <w:r>
        <w:rPr>
          <w:sz w:val="24"/>
        </w:rPr>
        <w:t>volume</w:t>
      </w:r>
      <w:r>
        <w:rPr>
          <w:spacing w:val="-9"/>
          <w:sz w:val="24"/>
        </w:rPr>
        <w:t xml:space="preserve"> </w:t>
      </w:r>
      <w:r>
        <w:rPr>
          <w:sz w:val="24"/>
        </w:rPr>
        <w:t>of</w:t>
      </w:r>
      <w:r>
        <w:rPr>
          <w:spacing w:val="-10"/>
          <w:sz w:val="24"/>
        </w:rPr>
        <w:t xml:space="preserve"> </w:t>
      </w:r>
      <w:r>
        <w:rPr>
          <w:sz w:val="24"/>
        </w:rPr>
        <w:t>imports</w:t>
      </w:r>
      <w:r>
        <w:rPr>
          <w:spacing w:val="-10"/>
          <w:sz w:val="24"/>
        </w:rPr>
        <w:t xml:space="preserve"> </w:t>
      </w:r>
      <w:r>
        <w:rPr>
          <w:sz w:val="24"/>
        </w:rPr>
        <w:t>of</w:t>
      </w:r>
      <w:r>
        <w:rPr>
          <w:spacing w:val="-10"/>
          <w:sz w:val="24"/>
        </w:rPr>
        <w:t xml:space="preserve"> </w:t>
      </w:r>
      <w:r>
        <w:rPr>
          <w:sz w:val="24"/>
        </w:rPr>
        <w:t>Australian</w:t>
      </w:r>
      <w:r>
        <w:rPr>
          <w:spacing w:val="-11"/>
          <w:sz w:val="24"/>
        </w:rPr>
        <w:t xml:space="preserve"> </w:t>
      </w:r>
      <w:r>
        <w:rPr>
          <w:sz w:val="24"/>
        </w:rPr>
        <w:t>wine</w:t>
      </w:r>
      <w:r>
        <w:rPr>
          <w:spacing w:val="-9"/>
          <w:sz w:val="24"/>
        </w:rPr>
        <w:t xml:space="preserve"> </w:t>
      </w:r>
      <w:r>
        <w:rPr>
          <w:sz w:val="24"/>
        </w:rPr>
        <w:t>into</w:t>
      </w:r>
      <w:r>
        <w:rPr>
          <w:spacing w:val="-10"/>
          <w:sz w:val="24"/>
        </w:rPr>
        <w:t xml:space="preserve"> </w:t>
      </w:r>
      <w:r>
        <w:rPr>
          <w:sz w:val="24"/>
        </w:rPr>
        <w:t>China's</w:t>
      </w:r>
      <w:r>
        <w:rPr>
          <w:spacing w:val="-10"/>
          <w:sz w:val="24"/>
        </w:rPr>
        <w:t xml:space="preserve"> </w:t>
      </w:r>
      <w:r>
        <w:rPr>
          <w:sz w:val="24"/>
        </w:rPr>
        <w:t>market</w:t>
      </w:r>
      <w:r>
        <w:rPr>
          <w:spacing w:val="-11"/>
          <w:sz w:val="24"/>
        </w:rPr>
        <w:t xml:space="preserve"> </w:t>
      </w:r>
      <w:r>
        <w:rPr>
          <w:sz w:val="24"/>
        </w:rPr>
        <w:t>would</w:t>
      </w:r>
      <w:r>
        <w:rPr>
          <w:spacing w:val="-10"/>
          <w:sz w:val="24"/>
        </w:rPr>
        <w:t xml:space="preserve"> </w:t>
      </w:r>
      <w:r>
        <w:rPr>
          <w:sz w:val="24"/>
        </w:rPr>
        <w:t>increase,</w:t>
      </w:r>
      <w:r>
        <w:rPr>
          <w:spacing w:val="-10"/>
          <w:sz w:val="24"/>
        </w:rPr>
        <w:t xml:space="preserve"> </w:t>
      </w:r>
      <w:r>
        <w:rPr>
          <w:sz w:val="24"/>
        </w:rPr>
        <w:t>which</w:t>
      </w:r>
      <w:r>
        <w:rPr>
          <w:spacing w:val="-10"/>
          <w:sz w:val="24"/>
        </w:rPr>
        <w:t xml:space="preserve"> </w:t>
      </w:r>
      <w:r>
        <w:rPr>
          <w:sz w:val="24"/>
        </w:rPr>
        <w:t>in</w:t>
      </w:r>
      <w:r>
        <w:rPr>
          <w:spacing w:val="-10"/>
          <w:sz w:val="24"/>
        </w:rPr>
        <w:t xml:space="preserve"> </w:t>
      </w:r>
      <w:r>
        <w:rPr>
          <w:sz w:val="24"/>
        </w:rPr>
        <w:t xml:space="preserve">turn could generate further reductions in unit prices (i.e. due to </w:t>
      </w:r>
      <w:r>
        <w:rPr>
          <w:sz w:val="24"/>
        </w:rPr>
        <w:t xml:space="preserve">economic benefits of increased </w:t>
      </w:r>
      <w:r>
        <w:rPr>
          <w:spacing w:val="-2"/>
          <w:sz w:val="24"/>
        </w:rPr>
        <w:t>volumes).</w:t>
      </w:r>
    </w:p>
    <w:p w14:paraId="51DE923B" w14:textId="77777777" w:rsidR="0010369C" w:rsidRDefault="0010369C">
      <w:pPr>
        <w:pStyle w:val="BodyText"/>
        <w:spacing w:before="10"/>
        <w:rPr>
          <w:sz w:val="8"/>
        </w:rPr>
      </w:pPr>
    </w:p>
    <w:p w14:paraId="51DE923C" w14:textId="77777777" w:rsidR="0010369C" w:rsidRDefault="008E43AE">
      <w:pPr>
        <w:pStyle w:val="BodyText"/>
        <w:spacing w:before="52" w:line="360" w:lineRule="auto"/>
        <w:ind w:left="236" w:right="613" w:firstLine="852"/>
        <w:jc w:val="both"/>
      </w:pPr>
      <w:r>
        <w:rPr>
          <w:noProof/>
        </w:rPr>
        <w:drawing>
          <wp:anchor distT="0" distB="0" distL="0" distR="0" simplePos="0" relativeHeight="251304448" behindDoc="1" locked="0" layoutInCell="1" allowOverlap="1" wp14:anchorId="51DEA5AB" wp14:editId="51DEA5AC">
            <wp:simplePos x="0" y="0"/>
            <wp:positionH relativeFrom="page">
              <wp:posOffset>905255</wp:posOffset>
            </wp:positionH>
            <wp:positionV relativeFrom="paragraph">
              <wp:posOffset>81357</wp:posOffset>
            </wp:positionV>
            <wp:extent cx="259079" cy="103631"/>
            <wp:effectExtent l="0" t="0" r="0" b="0"/>
            <wp:wrapNone/>
            <wp:docPr id="1363" name="image7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 name="image706.png"/>
                    <pic:cNvPicPr/>
                  </pic:nvPicPr>
                  <pic:blipFill>
                    <a:blip r:embed="rId916" cstate="print"/>
                    <a:stretch>
                      <a:fillRect/>
                    </a:stretch>
                  </pic:blipFill>
                  <pic:spPr>
                    <a:xfrm>
                      <a:off x="0" y="0"/>
                      <a:ext cx="259079" cy="103631"/>
                    </a:xfrm>
                    <a:prstGeom prst="rect">
                      <a:avLst/>
                    </a:prstGeom>
                  </pic:spPr>
                </pic:pic>
              </a:graphicData>
            </a:graphic>
          </wp:anchor>
        </w:drawing>
      </w:r>
      <w:r>
        <w:t>During MOFCOM's investigation, the Australian Government raised the progressive elimination of customs tariffs under the ChAFTA as a relevant factor.</w:t>
      </w:r>
      <w:r>
        <w:rPr>
          <w:vertAlign w:val="superscript"/>
        </w:rPr>
        <w:t>830</w:t>
      </w:r>
      <w:r>
        <w:t xml:space="preserve"> In the Final Determination, MOFCOM summarily dismissed this factor without properly examining its effec</w:t>
      </w:r>
      <w:r>
        <w:t>t</w:t>
      </w:r>
      <w:r>
        <w:rPr>
          <w:spacing w:val="-7"/>
        </w:rPr>
        <w:t xml:space="preserve"> </w:t>
      </w:r>
      <w:r>
        <w:t>on</w:t>
      </w:r>
      <w:r>
        <w:rPr>
          <w:spacing w:val="-6"/>
        </w:rPr>
        <w:t xml:space="preserve"> </w:t>
      </w:r>
      <w:r>
        <w:t>the</w:t>
      </w:r>
      <w:r>
        <w:rPr>
          <w:spacing w:val="-6"/>
        </w:rPr>
        <w:t xml:space="preserve"> </w:t>
      </w:r>
      <w:r>
        <w:t>domestic</w:t>
      </w:r>
      <w:r>
        <w:rPr>
          <w:spacing w:val="-4"/>
        </w:rPr>
        <w:t xml:space="preserve"> </w:t>
      </w:r>
      <w:r>
        <w:t>industry.</w:t>
      </w:r>
      <w:r>
        <w:rPr>
          <w:spacing w:val="-5"/>
        </w:rPr>
        <w:t xml:space="preserve"> </w:t>
      </w:r>
      <w:r>
        <w:t>Its</w:t>
      </w:r>
      <w:r>
        <w:rPr>
          <w:spacing w:val="-5"/>
        </w:rPr>
        <w:t xml:space="preserve"> </w:t>
      </w:r>
      <w:r>
        <w:t>explanation,</w:t>
      </w:r>
      <w:r>
        <w:rPr>
          <w:spacing w:val="-8"/>
        </w:rPr>
        <w:t xml:space="preserve"> </w:t>
      </w:r>
      <w:r>
        <w:t>which</w:t>
      </w:r>
      <w:r>
        <w:rPr>
          <w:spacing w:val="-7"/>
        </w:rPr>
        <w:t xml:space="preserve"> </w:t>
      </w:r>
      <w:r>
        <w:t>is</w:t>
      </w:r>
      <w:r>
        <w:rPr>
          <w:spacing w:val="-7"/>
        </w:rPr>
        <w:t xml:space="preserve"> </w:t>
      </w:r>
      <w:r>
        <w:t>difficult</w:t>
      </w:r>
      <w:r>
        <w:rPr>
          <w:spacing w:val="-5"/>
        </w:rPr>
        <w:t xml:space="preserve"> </w:t>
      </w:r>
      <w:r>
        <w:t>to</w:t>
      </w:r>
      <w:r>
        <w:rPr>
          <w:spacing w:val="-6"/>
        </w:rPr>
        <w:t xml:space="preserve"> </w:t>
      </w:r>
      <w:r>
        <w:t>follow,</w:t>
      </w:r>
      <w:r>
        <w:rPr>
          <w:spacing w:val="-6"/>
        </w:rPr>
        <w:t xml:space="preserve"> </w:t>
      </w:r>
      <w:r>
        <w:t>appears</w:t>
      </w:r>
      <w:r>
        <w:rPr>
          <w:spacing w:val="-7"/>
        </w:rPr>
        <w:t xml:space="preserve"> </w:t>
      </w:r>
      <w:r>
        <w:t>to</w:t>
      </w:r>
      <w:r>
        <w:rPr>
          <w:spacing w:val="-6"/>
        </w:rPr>
        <w:t xml:space="preserve"> </w:t>
      </w:r>
      <w:r>
        <w:t>consist of the following reasoning: "the price of the dumped imported product was in a downtrend with a cumulative decline of 15.91% in 2015‐2019, suppressing the price o</w:t>
      </w:r>
      <w:r>
        <w:t>f domestic like products", and "[t]herefore, the DFAT's [i.e. the Department of Foreign Affairs and Trade of the</w:t>
      </w:r>
      <w:r>
        <w:rPr>
          <w:spacing w:val="-9"/>
        </w:rPr>
        <w:t xml:space="preserve"> </w:t>
      </w:r>
      <w:r>
        <w:t>Australian</w:t>
      </w:r>
      <w:r>
        <w:rPr>
          <w:spacing w:val="-11"/>
        </w:rPr>
        <w:t xml:space="preserve"> </w:t>
      </w:r>
      <w:r>
        <w:t>Government]</w:t>
      </w:r>
      <w:r>
        <w:rPr>
          <w:spacing w:val="-11"/>
        </w:rPr>
        <w:t xml:space="preserve"> </w:t>
      </w:r>
      <w:r>
        <w:t>claim</w:t>
      </w:r>
      <w:r>
        <w:rPr>
          <w:spacing w:val="-10"/>
        </w:rPr>
        <w:t xml:space="preserve"> </w:t>
      </w:r>
      <w:r>
        <w:t>that</w:t>
      </w:r>
      <w:r>
        <w:rPr>
          <w:spacing w:val="-10"/>
        </w:rPr>
        <w:t xml:space="preserve"> </w:t>
      </w:r>
      <w:r>
        <w:t>the</w:t>
      </w:r>
      <w:r>
        <w:rPr>
          <w:spacing w:val="-9"/>
        </w:rPr>
        <w:t xml:space="preserve"> </w:t>
      </w:r>
      <w:r>
        <w:t>injury</w:t>
      </w:r>
      <w:r>
        <w:rPr>
          <w:spacing w:val="-8"/>
        </w:rPr>
        <w:t xml:space="preserve"> </w:t>
      </w:r>
      <w:r>
        <w:t>suffered</w:t>
      </w:r>
      <w:r>
        <w:rPr>
          <w:spacing w:val="-10"/>
        </w:rPr>
        <w:t xml:space="preserve"> </w:t>
      </w:r>
      <w:r>
        <w:t>by</w:t>
      </w:r>
      <w:r>
        <w:rPr>
          <w:spacing w:val="-9"/>
        </w:rPr>
        <w:t xml:space="preserve"> </w:t>
      </w:r>
      <w:r>
        <w:t>the</w:t>
      </w:r>
      <w:r>
        <w:rPr>
          <w:spacing w:val="-9"/>
        </w:rPr>
        <w:t xml:space="preserve"> </w:t>
      </w:r>
      <w:r>
        <w:t>domestic</w:t>
      </w:r>
      <w:r>
        <w:rPr>
          <w:spacing w:val="-10"/>
        </w:rPr>
        <w:t xml:space="preserve"> </w:t>
      </w:r>
      <w:r>
        <w:t>industry</w:t>
      </w:r>
      <w:r>
        <w:rPr>
          <w:spacing w:val="-9"/>
        </w:rPr>
        <w:t xml:space="preserve"> </w:t>
      </w:r>
      <w:r>
        <w:t>during</w:t>
      </w:r>
      <w:r>
        <w:rPr>
          <w:spacing w:val="-9"/>
        </w:rPr>
        <w:t xml:space="preserve"> </w:t>
      </w:r>
      <w:r>
        <w:t xml:space="preserve">the </w:t>
      </w:r>
      <w:r>
        <w:rPr>
          <w:w w:val="95"/>
        </w:rPr>
        <w:t>injury</w:t>
      </w:r>
      <w:r>
        <w:rPr>
          <w:spacing w:val="14"/>
        </w:rPr>
        <w:t xml:space="preserve"> </w:t>
      </w:r>
      <w:r>
        <w:rPr>
          <w:w w:val="95"/>
        </w:rPr>
        <w:t>investigation</w:t>
      </w:r>
      <w:r>
        <w:rPr>
          <w:spacing w:val="14"/>
        </w:rPr>
        <w:t xml:space="preserve"> </w:t>
      </w:r>
      <w:r>
        <w:rPr>
          <w:w w:val="95"/>
        </w:rPr>
        <w:t>period</w:t>
      </w:r>
      <w:r>
        <w:rPr>
          <w:spacing w:val="15"/>
        </w:rPr>
        <w:t xml:space="preserve"> </w:t>
      </w:r>
      <w:r>
        <w:rPr>
          <w:w w:val="95"/>
        </w:rPr>
        <w:t>was</w:t>
      </w:r>
      <w:r>
        <w:rPr>
          <w:spacing w:val="11"/>
        </w:rPr>
        <w:t xml:space="preserve"> </w:t>
      </w:r>
      <w:r>
        <w:rPr>
          <w:w w:val="95"/>
        </w:rPr>
        <w:t>related</w:t>
      </w:r>
      <w:r>
        <w:rPr>
          <w:spacing w:val="11"/>
        </w:rPr>
        <w:t xml:space="preserve"> </w:t>
      </w:r>
      <w:r>
        <w:rPr>
          <w:w w:val="95"/>
        </w:rPr>
        <w:t>to</w:t>
      </w:r>
      <w:r>
        <w:rPr>
          <w:spacing w:val="13"/>
        </w:rPr>
        <w:t xml:space="preserve"> </w:t>
      </w:r>
      <w:r>
        <w:rPr>
          <w:w w:val="95"/>
        </w:rPr>
        <w:t>changes</w:t>
      </w:r>
      <w:r>
        <w:rPr>
          <w:spacing w:val="11"/>
        </w:rPr>
        <w:t xml:space="preserve"> </w:t>
      </w:r>
      <w:r>
        <w:rPr>
          <w:w w:val="95"/>
        </w:rPr>
        <w:t>in</w:t>
      </w:r>
      <w:r>
        <w:rPr>
          <w:spacing w:val="13"/>
        </w:rPr>
        <w:t xml:space="preserve"> </w:t>
      </w:r>
      <w:r>
        <w:rPr>
          <w:w w:val="95"/>
        </w:rPr>
        <w:t>import</w:t>
      </w:r>
      <w:r>
        <w:rPr>
          <w:spacing w:val="13"/>
        </w:rPr>
        <w:t xml:space="preserve"> </w:t>
      </w:r>
      <w:r>
        <w:rPr>
          <w:w w:val="95"/>
        </w:rPr>
        <w:t>tariffs</w:t>
      </w:r>
      <w:r>
        <w:rPr>
          <w:spacing w:val="11"/>
        </w:rPr>
        <w:t xml:space="preserve"> </w:t>
      </w:r>
      <w:r>
        <w:rPr>
          <w:w w:val="95"/>
        </w:rPr>
        <w:t>…</w:t>
      </w:r>
      <w:r>
        <w:rPr>
          <w:spacing w:val="13"/>
        </w:rPr>
        <w:t xml:space="preserve"> </w:t>
      </w:r>
      <w:r>
        <w:rPr>
          <w:w w:val="95"/>
        </w:rPr>
        <w:t>was</w:t>
      </w:r>
      <w:r>
        <w:rPr>
          <w:spacing w:val="14"/>
        </w:rPr>
        <w:t xml:space="preserve"> </w:t>
      </w:r>
      <w:r>
        <w:rPr>
          <w:w w:val="95"/>
        </w:rPr>
        <w:t>inconsistent</w:t>
      </w:r>
      <w:r>
        <w:rPr>
          <w:spacing w:val="13"/>
        </w:rPr>
        <w:t xml:space="preserve"> </w:t>
      </w:r>
      <w:r>
        <w:rPr>
          <w:w w:val="95"/>
        </w:rPr>
        <w:t>with</w:t>
      </w:r>
      <w:r>
        <w:rPr>
          <w:spacing w:val="13"/>
        </w:rPr>
        <w:t xml:space="preserve"> </w:t>
      </w:r>
      <w:r>
        <w:rPr>
          <w:spacing w:val="-5"/>
          <w:w w:val="95"/>
        </w:rPr>
        <w:t>the</w:t>
      </w:r>
    </w:p>
    <w:p w14:paraId="51DE923D" w14:textId="77777777" w:rsidR="0010369C" w:rsidRDefault="008E43AE">
      <w:pPr>
        <w:pStyle w:val="BodyText"/>
        <w:spacing w:before="7"/>
        <w:rPr>
          <w:sz w:val="15"/>
        </w:rPr>
      </w:pPr>
      <w:r>
        <w:pict w14:anchorId="51DEA5AD">
          <v:rect id="docshape1158" o:spid="_x0000_s1240" style="position:absolute;margin-left:70.9pt;margin-top:10.75pt;width:2in;height:.8pt;z-index:-250784256;mso-wrap-distance-left:0;mso-wrap-distance-right:0;mso-position-horizontal-relative:page" fillcolor="black" stroked="f">
            <w10:wrap type="topAndBottom" anchorx="page"/>
          </v:rect>
        </w:pict>
      </w:r>
    </w:p>
    <w:p w14:paraId="51DE923E" w14:textId="77777777" w:rsidR="0010369C" w:rsidRDefault="008E43AE">
      <w:pPr>
        <w:spacing w:before="109"/>
        <w:ind w:left="237" w:right="613" w:firstLine="1"/>
        <w:jc w:val="both"/>
        <w:rPr>
          <w:sz w:val="18"/>
        </w:rPr>
      </w:pPr>
      <w:r>
        <w:rPr>
          <w:sz w:val="18"/>
          <w:vertAlign w:val="superscript"/>
        </w:rPr>
        <w:t>828</w:t>
      </w:r>
      <w:r>
        <w:rPr>
          <w:sz w:val="18"/>
        </w:rPr>
        <w:t xml:space="preserve"> See Panel Report, </w:t>
      </w:r>
      <w:r>
        <w:rPr>
          <w:i/>
          <w:sz w:val="18"/>
        </w:rPr>
        <w:t>Thailand – H‐Beams</w:t>
      </w:r>
      <w:r>
        <w:rPr>
          <w:sz w:val="18"/>
        </w:rPr>
        <w:t xml:space="preserve">, para. 7.275; Panel Report, </w:t>
      </w:r>
      <w:r>
        <w:rPr>
          <w:i/>
          <w:sz w:val="18"/>
        </w:rPr>
        <w:t>China ‐ Cellulose Pulp</w:t>
      </w:r>
      <w:r>
        <w:rPr>
          <w:sz w:val="18"/>
        </w:rPr>
        <w:t>, para. 7.25 citing Appellate Body Report,</w:t>
      </w:r>
      <w:r>
        <w:rPr>
          <w:spacing w:val="-5"/>
          <w:sz w:val="18"/>
        </w:rPr>
        <w:t xml:space="preserve"> </w:t>
      </w:r>
      <w:r>
        <w:rPr>
          <w:i/>
          <w:sz w:val="18"/>
        </w:rPr>
        <w:t>US</w:t>
      </w:r>
      <w:r>
        <w:rPr>
          <w:i/>
          <w:spacing w:val="-5"/>
          <w:sz w:val="18"/>
        </w:rPr>
        <w:t xml:space="preserve"> </w:t>
      </w:r>
      <w:r>
        <w:rPr>
          <w:i/>
          <w:sz w:val="18"/>
        </w:rPr>
        <w:t>–</w:t>
      </w:r>
      <w:r>
        <w:rPr>
          <w:i/>
          <w:spacing w:val="-5"/>
          <w:sz w:val="18"/>
        </w:rPr>
        <w:t xml:space="preserve"> </w:t>
      </w:r>
      <w:r>
        <w:rPr>
          <w:i/>
          <w:sz w:val="18"/>
        </w:rPr>
        <w:t>Hot‐Rolled</w:t>
      </w:r>
      <w:r>
        <w:rPr>
          <w:i/>
          <w:spacing w:val="-5"/>
          <w:sz w:val="18"/>
        </w:rPr>
        <w:t xml:space="preserve"> </w:t>
      </w:r>
      <w:r>
        <w:rPr>
          <w:i/>
          <w:sz w:val="18"/>
        </w:rPr>
        <w:t>Steel</w:t>
      </w:r>
      <w:r>
        <w:rPr>
          <w:sz w:val="18"/>
        </w:rPr>
        <w:t>,</w:t>
      </w:r>
      <w:r>
        <w:rPr>
          <w:spacing w:val="-5"/>
          <w:sz w:val="18"/>
        </w:rPr>
        <w:t xml:space="preserve"> </w:t>
      </w:r>
      <w:r>
        <w:rPr>
          <w:sz w:val="18"/>
        </w:rPr>
        <w:t>para.</w:t>
      </w:r>
      <w:r>
        <w:rPr>
          <w:spacing w:val="-4"/>
          <w:sz w:val="18"/>
        </w:rPr>
        <w:t xml:space="preserve"> </w:t>
      </w:r>
      <w:r>
        <w:rPr>
          <w:sz w:val="18"/>
        </w:rPr>
        <w:t>226;</w:t>
      </w:r>
      <w:r>
        <w:rPr>
          <w:spacing w:val="-5"/>
          <w:sz w:val="18"/>
        </w:rPr>
        <w:t xml:space="preserve"> </w:t>
      </w:r>
      <w:r>
        <w:rPr>
          <w:sz w:val="18"/>
        </w:rPr>
        <w:t>Appellate</w:t>
      </w:r>
      <w:r>
        <w:rPr>
          <w:spacing w:val="-5"/>
          <w:sz w:val="18"/>
        </w:rPr>
        <w:t xml:space="preserve"> </w:t>
      </w:r>
      <w:r>
        <w:rPr>
          <w:sz w:val="18"/>
        </w:rPr>
        <w:t>Body</w:t>
      </w:r>
      <w:r>
        <w:rPr>
          <w:spacing w:val="-5"/>
          <w:sz w:val="18"/>
        </w:rPr>
        <w:t xml:space="preserve"> </w:t>
      </w:r>
      <w:r>
        <w:rPr>
          <w:sz w:val="18"/>
        </w:rPr>
        <w:t>Reports,</w:t>
      </w:r>
      <w:r>
        <w:rPr>
          <w:spacing w:val="-6"/>
          <w:sz w:val="18"/>
        </w:rPr>
        <w:t xml:space="preserve"> </w:t>
      </w:r>
      <w:r>
        <w:rPr>
          <w:i/>
          <w:sz w:val="18"/>
        </w:rPr>
        <w:t>US</w:t>
      </w:r>
      <w:r>
        <w:rPr>
          <w:i/>
          <w:spacing w:val="-5"/>
          <w:sz w:val="18"/>
        </w:rPr>
        <w:t xml:space="preserve"> </w:t>
      </w:r>
      <w:r>
        <w:rPr>
          <w:i/>
          <w:sz w:val="18"/>
        </w:rPr>
        <w:t>–</w:t>
      </w:r>
      <w:r>
        <w:rPr>
          <w:i/>
          <w:spacing w:val="-5"/>
          <w:sz w:val="18"/>
        </w:rPr>
        <w:t xml:space="preserve"> </w:t>
      </w:r>
      <w:r>
        <w:rPr>
          <w:i/>
          <w:sz w:val="18"/>
        </w:rPr>
        <w:t>Steel</w:t>
      </w:r>
      <w:r>
        <w:rPr>
          <w:i/>
          <w:spacing w:val="-5"/>
          <w:sz w:val="18"/>
        </w:rPr>
        <w:t xml:space="preserve"> </w:t>
      </w:r>
      <w:r>
        <w:rPr>
          <w:i/>
          <w:sz w:val="18"/>
        </w:rPr>
        <w:t>Safegua</w:t>
      </w:r>
      <w:r>
        <w:rPr>
          <w:i/>
          <w:sz w:val="18"/>
        </w:rPr>
        <w:t>rds</w:t>
      </w:r>
      <w:r>
        <w:rPr>
          <w:sz w:val="18"/>
        </w:rPr>
        <w:t>,</w:t>
      </w:r>
      <w:r>
        <w:rPr>
          <w:spacing w:val="-5"/>
          <w:sz w:val="18"/>
        </w:rPr>
        <w:t xml:space="preserve"> </w:t>
      </w:r>
      <w:r>
        <w:rPr>
          <w:sz w:val="18"/>
        </w:rPr>
        <w:t>para.</w:t>
      </w:r>
      <w:r>
        <w:rPr>
          <w:spacing w:val="-4"/>
          <w:sz w:val="18"/>
        </w:rPr>
        <w:t xml:space="preserve"> </w:t>
      </w:r>
      <w:r>
        <w:rPr>
          <w:sz w:val="18"/>
        </w:rPr>
        <w:t>491;</w:t>
      </w:r>
      <w:r>
        <w:rPr>
          <w:spacing w:val="-5"/>
          <w:sz w:val="18"/>
        </w:rPr>
        <w:t xml:space="preserve"> </w:t>
      </w:r>
      <w:r>
        <w:rPr>
          <w:i/>
          <w:sz w:val="18"/>
        </w:rPr>
        <w:t>EC</w:t>
      </w:r>
      <w:r>
        <w:rPr>
          <w:i/>
          <w:spacing w:val="-5"/>
          <w:sz w:val="18"/>
        </w:rPr>
        <w:t xml:space="preserve"> </w:t>
      </w:r>
      <w:r>
        <w:rPr>
          <w:i/>
          <w:sz w:val="18"/>
        </w:rPr>
        <w:t>–</w:t>
      </w:r>
      <w:r>
        <w:rPr>
          <w:i/>
          <w:spacing w:val="-5"/>
          <w:sz w:val="18"/>
        </w:rPr>
        <w:t xml:space="preserve"> </w:t>
      </w:r>
      <w:r>
        <w:rPr>
          <w:i/>
          <w:sz w:val="18"/>
        </w:rPr>
        <w:t>Tube</w:t>
      </w:r>
      <w:r>
        <w:rPr>
          <w:i/>
          <w:spacing w:val="-4"/>
          <w:sz w:val="18"/>
        </w:rPr>
        <w:t xml:space="preserve"> </w:t>
      </w:r>
      <w:r>
        <w:rPr>
          <w:i/>
          <w:sz w:val="18"/>
        </w:rPr>
        <w:t>or</w:t>
      </w:r>
      <w:r>
        <w:rPr>
          <w:i/>
          <w:spacing w:val="-5"/>
          <w:sz w:val="18"/>
        </w:rPr>
        <w:t xml:space="preserve"> </w:t>
      </w:r>
      <w:r>
        <w:rPr>
          <w:i/>
          <w:sz w:val="18"/>
        </w:rPr>
        <w:t>Pipe</w:t>
      </w:r>
      <w:r>
        <w:rPr>
          <w:i/>
          <w:spacing w:val="-4"/>
          <w:sz w:val="18"/>
        </w:rPr>
        <w:t xml:space="preserve"> </w:t>
      </w:r>
      <w:r>
        <w:rPr>
          <w:i/>
          <w:sz w:val="18"/>
        </w:rPr>
        <w:t>Fittings</w:t>
      </w:r>
      <w:r>
        <w:rPr>
          <w:sz w:val="18"/>
        </w:rPr>
        <w:t>, para. 175.</w:t>
      </w:r>
    </w:p>
    <w:p w14:paraId="51DE923F" w14:textId="77777777" w:rsidR="0010369C" w:rsidRDefault="008E43AE">
      <w:pPr>
        <w:spacing w:before="1"/>
        <w:ind w:left="238"/>
        <w:jc w:val="both"/>
        <w:rPr>
          <w:sz w:val="18"/>
        </w:rPr>
      </w:pPr>
      <w:r>
        <w:rPr>
          <w:sz w:val="18"/>
          <w:vertAlign w:val="superscript"/>
        </w:rPr>
        <w:t>829</w:t>
      </w:r>
      <w:r>
        <w:rPr>
          <w:spacing w:val="-4"/>
          <w:sz w:val="18"/>
        </w:rPr>
        <w:t xml:space="preserve"> </w:t>
      </w:r>
      <w:r>
        <w:rPr>
          <w:sz w:val="18"/>
        </w:rPr>
        <w:t>Import</w:t>
      </w:r>
      <w:r>
        <w:rPr>
          <w:spacing w:val="-3"/>
          <w:sz w:val="18"/>
        </w:rPr>
        <w:t xml:space="preserve"> </w:t>
      </w:r>
      <w:r>
        <w:rPr>
          <w:sz w:val="18"/>
        </w:rPr>
        <w:t>code</w:t>
      </w:r>
      <w:r>
        <w:rPr>
          <w:spacing w:val="-3"/>
          <w:sz w:val="18"/>
        </w:rPr>
        <w:t xml:space="preserve"> </w:t>
      </w:r>
      <w:r>
        <w:rPr>
          <w:sz w:val="18"/>
        </w:rPr>
        <w:t>HS</w:t>
      </w:r>
      <w:r>
        <w:rPr>
          <w:spacing w:val="-4"/>
          <w:sz w:val="18"/>
        </w:rPr>
        <w:t xml:space="preserve"> </w:t>
      </w:r>
      <w:r>
        <w:rPr>
          <w:spacing w:val="-2"/>
          <w:sz w:val="18"/>
        </w:rPr>
        <w:t>2204.2100</w:t>
      </w:r>
    </w:p>
    <w:p w14:paraId="51DE9240" w14:textId="77777777" w:rsidR="0010369C" w:rsidRDefault="008E43AE">
      <w:pPr>
        <w:ind w:left="237" w:right="614"/>
        <w:jc w:val="both"/>
        <w:rPr>
          <w:sz w:val="18"/>
        </w:rPr>
      </w:pPr>
      <w:r>
        <w:rPr>
          <w:sz w:val="18"/>
          <w:vertAlign w:val="superscript"/>
        </w:rPr>
        <w:t>830</w:t>
      </w:r>
      <w:r>
        <w:rPr>
          <w:sz w:val="18"/>
        </w:rPr>
        <w:t xml:space="preserve"> Australian Government Submission on Initiation (Exhibit AUS‐87), pp. 3‐4, 8; Australian Government Anti‐Dumping Questionnaire Response, Section 7 (Exhibit AUS‐86), pp. 70, 74.</w:t>
      </w:r>
    </w:p>
    <w:p w14:paraId="51DE9241" w14:textId="77777777" w:rsidR="0010369C" w:rsidRDefault="0010369C">
      <w:pPr>
        <w:jc w:val="both"/>
        <w:rPr>
          <w:sz w:val="18"/>
        </w:rPr>
        <w:sectPr w:rsidR="0010369C">
          <w:pgSz w:w="11910" w:h="16840"/>
          <w:pgMar w:top="880" w:right="800" w:bottom="980" w:left="1180" w:header="569" w:footer="788" w:gutter="0"/>
          <w:cols w:space="720"/>
        </w:sectPr>
      </w:pPr>
    </w:p>
    <w:p w14:paraId="51DE9242" w14:textId="77777777" w:rsidR="0010369C" w:rsidRDefault="008E43AE">
      <w:pPr>
        <w:pStyle w:val="BodyText"/>
        <w:spacing w:line="20" w:lineRule="exact"/>
        <w:ind w:left="104"/>
        <w:rPr>
          <w:sz w:val="2"/>
        </w:rPr>
      </w:pPr>
      <w:r>
        <w:rPr>
          <w:sz w:val="2"/>
        </w:rPr>
      </w:r>
      <w:r>
        <w:rPr>
          <w:sz w:val="2"/>
        </w:rPr>
        <w:pict w14:anchorId="51DEA5AF">
          <v:group id="docshapegroup1160" o:spid="_x0000_s1238" style="width:464.6pt;height:1.05pt;mso-position-horizontal-relative:char;mso-position-vertical-relative:line" coordsize="9292,21">
            <v:line id="_x0000_s1239" style="position:absolute" from="0,10" to="9291,10" strokeweight=".35361mm"/>
            <w10:anchorlock/>
          </v:group>
        </w:pict>
      </w:r>
    </w:p>
    <w:p w14:paraId="51DE9243" w14:textId="77777777" w:rsidR="0010369C" w:rsidRDefault="008E43AE">
      <w:pPr>
        <w:spacing w:before="45"/>
        <w:ind w:right="357"/>
        <w:jc w:val="center"/>
        <w:rPr>
          <w:rFonts w:ascii="Arial"/>
          <w:sz w:val="21"/>
        </w:rPr>
      </w:pPr>
      <w:r>
        <w:pict w14:anchorId="51DEA5B0">
          <v:shape id="docshape1161" o:spid="_x0000_s1237" style="position:absolute;left:0;text-align:left;margin-left:64.2pt;margin-top:16.1pt;width:464.6pt;height:.1pt;z-index:-250783232;mso-wrap-distance-left:0;mso-wrap-distance-right:0;mso-position-horizontal-relative:page" coordorigin="1284,322" coordsize="9292,0" path="m1284,322r9291,e" filled="f" strokeweight=".35361mm">
            <v:path arrowok="t"/>
            <w10:wrap type="topAndBottom" anchorx="page"/>
          </v:shape>
        </w:pict>
      </w:r>
      <w:r>
        <w:rPr>
          <w:rFonts w:ascii="Arial"/>
          <w:color w:val="1F1F1F"/>
          <w:w w:val="95"/>
          <w:sz w:val="21"/>
        </w:rPr>
        <w:t>Business</w:t>
      </w:r>
      <w:r>
        <w:rPr>
          <w:rFonts w:ascii="Arial"/>
          <w:color w:val="1F1F1F"/>
          <w:spacing w:val="1"/>
          <w:sz w:val="21"/>
        </w:rPr>
        <w:t xml:space="preserve"> </w:t>
      </w:r>
      <w:r>
        <w:rPr>
          <w:rFonts w:ascii="Arial"/>
          <w:color w:val="1F1F1F"/>
          <w:w w:val="95"/>
          <w:sz w:val="21"/>
        </w:rPr>
        <w:t>Confidential</w:t>
      </w:r>
      <w:r>
        <w:rPr>
          <w:rFonts w:ascii="Arial"/>
          <w:color w:val="1F1F1F"/>
          <w:spacing w:val="-2"/>
          <w:w w:val="95"/>
          <w:sz w:val="21"/>
        </w:rPr>
        <w:t xml:space="preserve"> </w:t>
      </w:r>
      <w:r>
        <w:rPr>
          <w:rFonts w:ascii="Arial"/>
          <w:color w:val="0C0C0C"/>
          <w:w w:val="95"/>
          <w:sz w:val="21"/>
        </w:rPr>
        <w:t>Information</w:t>
      </w:r>
      <w:r>
        <w:rPr>
          <w:rFonts w:ascii="Arial"/>
          <w:color w:val="0C0C0C"/>
          <w:spacing w:val="6"/>
          <w:sz w:val="21"/>
        </w:rPr>
        <w:t xml:space="preserve"> </w:t>
      </w:r>
      <w:r>
        <w:rPr>
          <w:rFonts w:ascii="Arial"/>
          <w:color w:val="1F1F1F"/>
          <w:w w:val="95"/>
          <w:sz w:val="21"/>
        </w:rPr>
        <w:t>-</w:t>
      </w:r>
      <w:r>
        <w:rPr>
          <w:rFonts w:ascii="Arial"/>
          <w:color w:val="1F1F1F"/>
          <w:spacing w:val="1"/>
          <w:sz w:val="21"/>
        </w:rPr>
        <w:t xml:space="preserve"> </w:t>
      </w:r>
      <w:r>
        <w:rPr>
          <w:rFonts w:ascii="Arial"/>
          <w:color w:val="1F1F1F"/>
          <w:spacing w:val="-2"/>
          <w:w w:val="95"/>
          <w:sz w:val="21"/>
        </w:rPr>
        <w:t>REDACTED</w:t>
      </w:r>
    </w:p>
    <w:p w14:paraId="51DE9244" w14:textId="77777777" w:rsidR="0010369C" w:rsidRDefault="008E43AE">
      <w:pPr>
        <w:tabs>
          <w:tab w:val="left" w:pos="6217"/>
        </w:tabs>
        <w:spacing w:before="21"/>
        <w:ind w:right="357"/>
        <w:jc w:val="center"/>
        <w:rPr>
          <w:rFonts w:ascii="Arial"/>
          <w:sz w:val="18"/>
        </w:rPr>
      </w:pPr>
      <w:r>
        <w:rPr>
          <w:rFonts w:ascii="Arial"/>
          <w:i/>
          <w:color w:val="1F1F1F"/>
          <w:w w:val="105"/>
          <w:sz w:val="18"/>
        </w:rPr>
        <w:t>China</w:t>
      </w:r>
      <w:r>
        <w:rPr>
          <w:rFonts w:ascii="Arial"/>
          <w:i/>
          <w:color w:val="1F1F1F"/>
          <w:spacing w:val="-17"/>
          <w:w w:val="105"/>
          <w:sz w:val="18"/>
        </w:rPr>
        <w:t xml:space="preserve"> </w:t>
      </w:r>
      <w:r>
        <w:rPr>
          <w:rFonts w:ascii="Arial"/>
          <w:i/>
          <w:color w:val="1F1F1F"/>
          <w:w w:val="105"/>
          <w:sz w:val="18"/>
        </w:rPr>
        <w:t>-Anti-Dumping</w:t>
      </w:r>
      <w:r>
        <w:rPr>
          <w:rFonts w:ascii="Arial"/>
          <w:i/>
          <w:color w:val="1F1F1F"/>
          <w:spacing w:val="-5"/>
          <w:w w:val="105"/>
          <w:sz w:val="18"/>
        </w:rPr>
        <w:t xml:space="preserve"> </w:t>
      </w:r>
      <w:r>
        <w:rPr>
          <w:rFonts w:ascii="Arial"/>
          <w:i/>
          <w:color w:val="1F1F1F"/>
          <w:w w:val="105"/>
          <w:sz w:val="18"/>
        </w:rPr>
        <w:t>and</w:t>
      </w:r>
      <w:r>
        <w:rPr>
          <w:rFonts w:ascii="Arial"/>
          <w:i/>
          <w:color w:val="1F1F1F"/>
          <w:spacing w:val="-23"/>
          <w:w w:val="105"/>
          <w:sz w:val="18"/>
        </w:rPr>
        <w:t xml:space="preserve"> </w:t>
      </w:r>
      <w:r>
        <w:rPr>
          <w:rFonts w:ascii="Arial"/>
          <w:i/>
          <w:color w:val="1F1F1F"/>
          <w:w w:val="105"/>
          <w:sz w:val="18"/>
        </w:rPr>
        <w:t>Countervailing</w:t>
      </w:r>
      <w:r>
        <w:rPr>
          <w:rFonts w:ascii="Arial"/>
          <w:i/>
          <w:color w:val="1F1F1F"/>
          <w:spacing w:val="-6"/>
          <w:w w:val="105"/>
          <w:sz w:val="18"/>
        </w:rPr>
        <w:t xml:space="preserve"> </w:t>
      </w:r>
      <w:r>
        <w:rPr>
          <w:rFonts w:ascii="Arial"/>
          <w:i/>
          <w:color w:val="1F1F1F"/>
          <w:w w:val="105"/>
          <w:sz w:val="18"/>
        </w:rPr>
        <w:t>Duty</w:t>
      </w:r>
      <w:r>
        <w:rPr>
          <w:rFonts w:ascii="Arial"/>
          <w:i/>
          <w:color w:val="1F1F1F"/>
          <w:spacing w:val="-12"/>
          <w:w w:val="105"/>
          <w:sz w:val="18"/>
        </w:rPr>
        <w:t xml:space="preserve"> </w:t>
      </w:r>
      <w:r>
        <w:rPr>
          <w:rFonts w:ascii="Arial"/>
          <w:i/>
          <w:color w:val="0C0C0C"/>
          <w:spacing w:val="-2"/>
          <w:w w:val="105"/>
          <w:sz w:val="18"/>
        </w:rPr>
        <w:t>Measures</w:t>
      </w:r>
      <w:r>
        <w:rPr>
          <w:rFonts w:ascii="Arial"/>
          <w:i/>
          <w:color w:val="0C0C0C"/>
          <w:sz w:val="18"/>
        </w:rPr>
        <w:tab/>
      </w:r>
      <w:r>
        <w:rPr>
          <w:rFonts w:ascii="Arial"/>
          <w:color w:val="1F1F1F"/>
          <w:spacing w:val="-2"/>
          <w:w w:val="105"/>
          <w:sz w:val="18"/>
        </w:rPr>
        <w:t>Australia's</w:t>
      </w:r>
      <w:r>
        <w:rPr>
          <w:rFonts w:ascii="Arial"/>
          <w:color w:val="1F1F1F"/>
          <w:spacing w:val="5"/>
          <w:w w:val="105"/>
          <w:sz w:val="18"/>
        </w:rPr>
        <w:t xml:space="preserve"> </w:t>
      </w:r>
      <w:r>
        <w:rPr>
          <w:rFonts w:ascii="Arial"/>
          <w:color w:val="0C0C0C"/>
          <w:spacing w:val="-2"/>
          <w:w w:val="105"/>
          <w:sz w:val="18"/>
        </w:rPr>
        <w:t>First</w:t>
      </w:r>
      <w:r>
        <w:rPr>
          <w:rFonts w:ascii="Arial"/>
          <w:color w:val="0C0C0C"/>
          <w:spacing w:val="1"/>
          <w:w w:val="105"/>
          <w:sz w:val="18"/>
        </w:rPr>
        <w:t xml:space="preserve"> </w:t>
      </w:r>
      <w:r>
        <w:rPr>
          <w:rFonts w:ascii="Arial"/>
          <w:color w:val="1F1F1F"/>
          <w:spacing w:val="-2"/>
          <w:w w:val="105"/>
          <w:sz w:val="18"/>
        </w:rPr>
        <w:t>Written</w:t>
      </w:r>
      <w:r>
        <w:rPr>
          <w:rFonts w:ascii="Arial"/>
          <w:color w:val="1F1F1F"/>
          <w:spacing w:val="-7"/>
          <w:w w:val="105"/>
          <w:sz w:val="18"/>
        </w:rPr>
        <w:t xml:space="preserve"> </w:t>
      </w:r>
      <w:r>
        <w:rPr>
          <w:rFonts w:ascii="Arial"/>
          <w:color w:val="1F1F1F"/>
          <w:spacing w:val="-2"/>
          <w:w w:val="105"/>
          <w:sz w:val="18"/>
        </w:rPr>
        <w:t>Submission</w:t>
      </w:r>
    </w:p>
    <w:p w14:paraId="51DE9245" w14:textId="77777777" w:rsidR="0010369C" w:rsidRDefault="008E43AE">
      <w:pPr>
        <w:tabs>
          <w:tab w:val="left" w:pos="8020"/>
        </w:tabs>
        <w:spacing w:before="44"/>
        <w:ind w:right="337"/>
        <w:jc w:val="center"/>
        <w:rPr>
          <w:rFonts w:ascii="Arial"/>
          <w:sz w:val="18"/>
        </w:rPr>
      </w:pPr>
      <w:r>
        <w:rPr>
          <w:rFonts w:ascii="Arial"/>
          <w:i/>
          <w:color w:val="1F1F1F"/>
          <w:w w:val="105"/>
          <w:sz w:val="18"/>
        </w:rPr>
        <w:t>on</w:t>
      </w:r>
      <w:r>
        <w:rPr>
          <w:rFonts w:ascii="Arial"/>
          <w:i/>
          <w:color w:val="1F1F1F"/>
          <w:spacing w:val="-11"/>
          <w:w w:val="105"/>
          <w:sz w:val="18"/>
        </w:rPr>
        <w:t xml:space="preserve"> </w:t>
      </w:r>
      <w:r>
        <w:rPr>
          <w:rFonts w:ascii="Arial"/>
          <w:i/>
          <w:color w:val="1F1F1F"/>
          <w:w w:val="105"/>
          <w:sz w:val="18"/>
        </w:rPr>
        <w:t>Winefrom Australia</w:t>
      </w:r>
      <w:r>
        <w:rPr>
          <w:rFonts w:ascii="Arial"/>
          <w:i/>
          <w:color w:val="1F1F1F"/>
          <w:spacing w:val="13"/>
          <w:w w:val="105"/>
          <w:sz w:val="18"/>
        </w:rPr>
        <w:t xml:space="preserve"> </w:t>
      </w:r>
      <w:r>
        <w:rPr>
          <w:rFonts w:ascii="Arial"/>
          <w:color w:val="1F1F1F"/>
          <w:spacing w:val="-2"/>
          <w:w w:val="105"/>
          <w:sz w:val="18"/>
        </w:rPr>
        <w:t>(0S602)</w:t>
      </w:r>
      <w:r>
        <w:rPr>
          <w:rFonts w:ascii="Arial"/>
          <w:color w:val="1F1F1F"/>
          <w:sz w:val="18"/>
        </w:rPr>
        <w:tab/>
      </w:r>
      <w:r>
        <w:rPr>
          <w:rFonts w:ascii="Arial"/>
          <w:color w:val="1F1F1F"/>
          <w:w w:val="105"/>
          <w:sz w:val="18"/>
        </w:rPr>
        <w:t>29</w:t>
      </w:r>
      <w:r>
        <w:rPr>
          <w:rFonts w:ascii="Arial"/>
          <w:color w:val="1F1F1F"/>
          <w:spacing w:val="-19"/>
          <w:w w:val="105"/>
          <w:sz w:val="18"/>
        </w:rPr>
        <w:t xml:space="preserve"> </w:t>
      </w:r>
      <w:r>
        <w:rPr>
          <w:rFonts w:ascii="Arial"/>
          <w:color w:val="1F1F1F"/>
          <w:w w:val="105"/>
          <w:sz w:val="18"/>
        </w:rPr>
        <w:t>April</w:t>
      </w:r>
      <w:r>
        <w:rPr>
          <w:rFonts w:ascii="Arial"/>
          <w:color w:val="1F1F1F"/>
          <w:spacing w:val="1"/>
          <w:w w:val="105"/>
          <w:sz w:val="18"/>
        </w:rPr>
        <w:t xml:space="preserve"> </w:t>
      </w:r>
      <w:r>
        <w:rPr>
          <w:rFonts w:ascii="Arial"/>
          <w:color w:val="1F1F1F"/>
          <w:spacing w:val="-4"/>
          <w:w w:val="105"/>
          <w:sz w:val="18"/>
        </w:rPr>
        <w:t>2022</w:t>
      </w:r>
    </w:p>
    <w:p w14:paraId="51DE9246" w14:textId="77777777" w:rsidR="0010369C" w:rsidRDefault="008E43AE">
      <w:pPr>
        <w:spacing w:before="53" w:line="432" w:lineRule="auto"/>
        <w:ind w:left="231" w:right="580" w:firstLine="11"/>
        <w:jc w:val="both"/>
        <w:rPr>
          <w:rFonts w:ascii="Arial"/>
          <w:sz w:val="21"/>
        </w:rPr>
      </w:pPr>
      <w:r>
        <w:rPr>
          <w:rFonts w:ascii="Arial"/>
          <w:color w:val="1F1F1F"/>
          <w:w w:val="105"/>
          <w:sz w:val="21"/>
        </w:rPr>
        <w:t>facts".</w:t>
      </w:r>
      <w:r>
        <w:rPr>
          <w:rFonts w:ascii="Times New Roman"/>
          <w:color w:val="1F1F1F"/>
          <w:w w:val="105"/>
          <w:position w:val="7"/>
          <w:sz w:val="16"/>
        </w:rPr>
        <w:t xml:space="preserve">831 </w:t>
      </w:r>
      <w:r>
        <w:rPr>
          <w:rFonts w:ascii="Arial"/>
          <w:color w:val="0C0C0C"/>
          <w:w w:val="105"/>
          <w:sz w:val="21"/>
        </w:rPr>
        <w:t xml:space="preserve">MOFCOM's </w:t>
      </w:r>
      <w:r>
        <w:rPr>
          <w:rFonts w:ascii="Arial"/>
          <w:color w:val="1F1F1F"/>
          <w:w w:val="105"/>
          <w:sz w:val="21"/>
        </w:rPr>
        <w:t xml:space="preserve">explanation describes </w:t>
      </w:r>
      <w:r>
        <w:rPr>
          <w:rFonts w:ascii="Arial"/>
          <w:color w:val="0C0C0C"/>
          <w:w w:val="105"/>
          <w:sz w:val="21"/>
        </w:rPr>
        <w:t xml:space="preserve">a decrease </w:t>
      </w:r>
      <w:r>
        <w:rPr>
          <w:rFonts w:ascii="Arial"/>
          <w:color w:val="1F1F1F"/>
          <w:w w:val="105"/>
          <w:sz w:val="21"/>
        </w:rPr>
        <w:t>in the</w:t>
      </w:r>
      <w:r>
        <w:rPr>
          <w:rFonts w:ascii="Arial"/>
          <w:color w:val="1F1F1F"/>
          <w:w w:val="105"/>
          <w:sz w:val="21"/>
        </w:rPr>
        <w:t xml:space="preserve"> average price of the subject </w:t>
      </w:r>
      <w:r>
        <w:rPr>
          <w:rFonts w:ascii="Arial"/>
          <w:color w:val="0C0C0C"/>
          <w:w w:val="105"/>
          <w:sz w:val="21"/>
        </w:rPr>
        <w:t>imports</w:t>
      </w:r>
      <w:r>
        <w:rPr>
          <w:rFonts w:ascii="Arial"/>
          <w:color w:val="0C0C0C"/>
          <w:spacing w:val="-8"/>
          <w:w w:val="105"/>
          <w:sz w:val="21"/>
        </w:rPr>
        <w:t xml:space="preserve"> </w:t>
      </w:r>
      <w:r>
        <w:rPr>
          <w:rFonts w:ascii="Arial"/>
          <w:color w:val="1F1F1F"/>
          <w:w w:val="105"/>
          <w:sz w:val="21"/>
        </w:rPr>
        <w:t>of</w:t>
      </w:r>
      <w:r>
        <w:rPr>
          <w:rFonts w:ascii="Arial"/>
          <w:color w:val="1F1F1F"/>
          <w:spacing w:val="-11"/>
          <w:w w:val="105"/>
          <w:sz w:val="21"/>
        </w:rPr>
        <w:t xml:space="preserve"> </w:t>
      </w:r>
      <w:r>
        <w:rPr>
          <w:rFonts w:ascii="Arial"/>
          <w:color w:val="0C0C0C"/>
          <w:w w:val="105"/>
          <w:sz w:val="21"/>
        </w:rPr>
        <w:t>15.91%</w:t>
      </w:r>
      <w:r>
        <w:rPr>
          <w:rFonts w:ascii="Arial"/>
          <w:color w:val="0C0C0C"/>
          <w:spacing w:val="-8"/>
          <w:w w:val="105"/>
          <w:sz w:val="21"/>
        </w:rPr>
        <w:t xml:space="preserve"> </w:t>
      </w:r>
      <w:r>
        <w:rPr>
          <w:rFonts w:ascii="Arial"/>
          <w:color w:val="1F1F1F"/>
          <w:w w:val="105"/>
          <w:sz w:val="21"/>
        </w:rPr>
        <w:t>over</w:t>
      </w:r>
      <w:r>
        <w:rPr>
          <w:rFonts w:ascii="Arial"/>
          <w:color w:val="1F1F1F"/>
          <w:spacing w:val="-4"/>
          <w:w w:val="105"/>
          <w:sz w:val="21"/>
        </w:rPr>
        <w:t xml:space="preserve"> </w:t>
      </w:r>
      <w:r>
        <w:rPr>
          <w:rFonts w:ascii="Arial"/>
          <w:color w:val="1F1F1F"/>
          <w:w w:val="105"/>
          <w:sz w:val="21"/>
        </w:rPr>
        <w:t>the course</w:t>
      </w:r>
      <w:r>
        <w:rPr>
          <w:rFonts w:ascii="Arial"/>
          <w:color w:val="1F1F1F"/>
          <w:spacing w:val="-5"/>
          <w:w w:val="105"/>
          <w:sz w:val="21"/>
        </w:rPr>
        <w:t xml:space="preserve"> </w:t>
      </w:r>
      <w:r>
        <w:rPr>
          <w:rFonts w:ascii="Arial"/>
          <w:color w:val="1F1F1F"/>
          <w:w w:val="105"/>
          <w:sz w:val="21"/>
        </w:rPr>
        <w:t>of the course</w:t>
      </w:r>
      <w:r>
        <w:rPr>
          <w:rFonts w:ascii="Arial"/>
          <w:color w:val="1F1F1F"/>
          <w:spacing w:val="-5"/>
          <w:w w:val="105"/>
          <w:sz w:val="21"/>
        </w:rPr>
        <w:t xml:space="preserve"> </w:t>
      </w:r>
      <w:r>
        <w:rPr>
          <w:rFonts w:ascii="Arial"/>
          <w:color w:val="1F1F1F"/>
          <w:w w:val="105"/>
          <w:sz w:val="21"/>
        </w:rPr>
        <w:t xml:space="preserve">of the </w:t>
      </w:r>
      <w:r>
        <w:rPr>
          <w:rFonts w:ascii="Arial"/>
          <w:color w:val="0C0C0C"/>
          <w:w w:val="105"/>
          <w:sz w:val="21"/>
        </w:rPr>
        <w:t>Injury</w:t>
      </w:r>
      <w:r>
        <w:rPr>
          <w:rFonts w:ascii="Arial"/>
          <w:color w:val="0C0C0C"/>
          <w:spacing w:val="-1"/>
          <w:w w:val="105"/>
          <w:sz w:val="21"/>
        </w:rPr>
        <w:t xml:space="preserve"> </w:t>
      </w:r>
      <w:r>
        <w:rPr>
          <w:rFonts w:ascii="Arial"/>
          <w:color w:val="0C0C0C"/>
          <w:w w:val="105"/>
          <w:sz w:val="21"/>
        </w:rPr>
        <w:t>POl,</w:t>
      </w:r>
      <w:r>
        <w:rPr>
          <w:rFonts w:ascii="Times New Roman"/>
          <w:color w:val="0C0C0C"/>
          <w:w w:val="105"/>
          <w:position w:val="7"/>
          <w:sz w:val="16"/>
        </w:rPr>
        <w:t xml:space="preserve">832 </w:t>
      </w:r>
      <w:r>
        <w:rPr>
          <w:rFonts w:ascii="Arial"/>
          <w:color w:val="0C0C0C"/>
          <w:w w:val="105"/>
          <w:sz w:val="21"/>
        </w:rPr>
        <w:t>but</w:t>
      </w:r>
      <w:r>
        <w:rPr>
          <w:rFonts w:ascii="Arial"/>
          <w:color w:val="0C0C0C"/>
          <w:spacing w:val="40"/>
          <w:w w:val="105"/>
          <w:sz w:val="21"/>
        </w:rPr>
        <w:t xml:space="preserve"> </w:t>
      </w:r>
      <w:r>
        <w:rPr>
          <w:rFonts w:ascii="Arial"/>
          <w:color w:val="1F1F1F"/>
          <w:w w:val="105"/>
          <w:sz w:val="21"/>
        </w:rPr>
        <w:t>fails</w:t>
      </w:r>
      <w:r>
        <w:rPr>
          <w:rFonts w:ascii="Arial"/>
          <w:color w:val="1F1F1F"/>
          <w:spacing w:val="-14"/>
          <w:w w:val="105"/>
          <w:sz w:val="21"/>
        </w:rPr>
        <w:t xml:space="preserve"> </w:t>
      </w:r>
      <w:r>
        <w:rPr>
          <w:rFonts w:ascii="Arial"/>
          <w:color w:val="1F1F1F"/>
          <w:w w:val="105"/>
          <w:sz w:val="21"/>
        </w:rPr>
        <w:t xml:space="preserve">to consider the </w:t>
      </w:r>
      <w:r>
        <w:rPr>
          <w:rFonts w:ascii="Arial"/>
          <w:color w:val="0C0C0C"/>
          <w:w w:val="105"/>
          <w:sz w:val="21"/>
        </w:rPr>
        <w:t xml:space="preserve">role </w:t>
      </w:r>
      <w:r>
        <w:rPr>
          <w:rFonts w:ascii="Arial"/>
          <w:color w:val="1F1F1F"/>
          <w:w w:val="105"/>
          <w:sz w:val="21"/>
        </w:rPr>
        <w:t xml:space="preserve">of </w:t>
      </w:r>
      <w:r>
        <w:rPr>
          <w:rFonts w:ascii="Arial"/>
          <w:color w:val="0C0C0C"/>
          <w:w w:val="105"/>
          <w:sz w:val="21"/>
        </w:rPr>
        <w:t xml:space="preserve">the </w:t>
      </w:r>
      <w:r>
        <w:rPr>
          <w:rFonts w:ascii="Arial"/>
          <w:color w:val="1F1F1F"/>
          <w:w w:val="105"/>
          <w:sz w:val="21"/>
        </w:rPr>
        <w:t xml:space="preserve">14% decrease in </w:t>
      </w:r>
      <w:r>
        <w:rPr>
          <w:rFonts w:ascii="Arial"/>
          <w:color w:val="0C0C0C"/>
          <w:w w:val="105"/>
          <w:sz w:val="21"/>
        </w:rPr>
        <w:t xml:space="preserve">applicable </w:t>
      </w:r>
      <w:r>
        <w:rPr>
          <w:rFonts w:ascii="Arial"/>
          <w:color w:val="1F1F1F"/>
          <w:w w:val="105"/>
          <w:sz w:val="21"/>
        </w:rPr>
        <w:t xml:space="preserve">customs </w:t>
      </w:r>
      <w:r>
        <w:rPr>
          <w:rFonts w:ascii="Arial"/>
          <w:color w:val="0C0C0C"/>
          <w:w w:val="105"/>
          <w:sz w:val="21"/>
        </w:rPr>
        <w:t xml:space="preserve">duties </w:t>
      </w:r>
      <w:r>
        <w:rPr>
          <w:rFonts w:ascii="Arial"/>
          <w:color w:val="1F1F1F"/>
          <w:w w:val="105"/>
          <w:sz w:val="21"/>
        </w:rPr>
        <w:t xml:space="preserve">over exactly </w:t>
      </w:r>
      <w:r>
        <w:rPr>
          <w:rFonts w:ascii="Arial"/>
          <w:color w:val="0C0C0C"/>
          <w:w w:val="105"/>
          <w:sz w:val="21"/>
        </w:rPr>
        <w:t xml:space="preserve">the </w:t>
      </w:r>
      <w:r>
        <w:rPr>
          <w:rFonts w:ascii="Arial"/>
          <w:color w:val="1F1F1F"/>
          <w:w w:val="105"/>
          <w:sz w:val="21"/>
        </w:rPr>
        <w:t xml:space="preserve">same </w:t>
      </w:r>
      <w:r>
        <w:rPr>
          <w:rFonts w:ascii="Arial"/>
          <w:color w:val="0C0C0C"/>
          <w:w w:val="105"/>
          <w:sz w:val="21"/>
        </w:rPr>
        <w:t xml:space="preserve">period. </w:t>
      </w:r>
      <w:r>
        <w:rPr>
          <w:rFonts w:ascii="Arial"/>
          <w:color w:val="1F1F1F"/>
          <w:w w:val="105"/>
          <w:sz w:val="21"/>
        </w:rPr>
        <w:t xml:space="preserve">As a consequence, </w:t>
      </w:r>
      <w:r>
        <w:rPr>
          <w:rFonts w:ascii="Arial"/>
          <w:color w:val="0C0C0C"/>
          <w:w w:val="105"/>
          <w:sz w:val="21"/>
        </w:rPr>
        <w:t xml:space="preserve">MOFCOM </w:t>
      </w:r>
      <w:r>
        <w:rPr>
          <w:rFonts w:ascii="Arial"/>
          <w:color w:val="1F1F1F"/>
          <w:w w:val="105"/>
          <w:sz w:val="21"/>
        </w:rPr>
        <w:t xml:space="preserve">failed </w:t>
      </w:r>
      <w:r>
        <w:rPr>
          <w:rFonts w:ascii="Arial"/>
          <w:color w:val="0C0C0C"/>
          <w:w w:val="105"/>
          <w:sz w:val="21"/>
        </w:rPr>
        <w:t xml:space="preserve">to </w:t>
      </w:r>
      <w:r>
        <w:rPr>
          <w:rFonts w:ascii="Arial"/>
          <w:color w:val="1F1F1F"/>
          <w:w w:val="105"/>
          <w:sz w:val="21"/>
        </w:rPr>
        <w:t>identify, s</w:t>
      </w:r>
      <w:r>
        <w:rPr>
          <w:rFonts w:ascii="Arial"/>
          <w:color w:val="1F1F1F"/>
          <w:w w:val="105"/>
          <w:sz w:val="21"/>
        </w:rPr>
        <w:t xml:space="preserve">eparate, and </w:t>
      </w:r>
      <w:r>
        <w:rPr>
          <w:rFonts w:ascii="Arial"/>
          <w:color w:val="0C0C0C"/>
          <w:w w:val="105"/>
          <w:sz w:val="21"/>
        </w:rPr>
        <w:t>distinguish the</w:t>
      </w:r>
      <w:r>
        <w:rPr>
          <w:rFonts w:ascii="Arial"/>
          <w:color w:val="0C0C0C"/>
          <w:spacing w:val="40"/>
          <w:w w:val="105"/>
          <w:sz w:val="21"/>
        </w:rPr>
        <w:t xml:space="preserve"> </w:t>
      </w:r>
      <w:r>
        <w:rPr>
          <w:rFonts w:ascii="Arial"/>
          <w:color w:val="0C0C0C"/>
          <w:w w:val="105"/>
          <w:sz w:val="21"/>
        </w:rPr>
        <w:t xml:space="preserve">injurious </w:t>
      </w:r>
      <w:r>
        <w:rPr>
          <w:rFonts w:ascii="Arial"/>
          <w:color w:val="1F1F1F"/>
          <w:w w:val="105"/>
          <w:sz w:val="21"/>
        </w:rPr>
        <w:t>effects of the</w:t>
      </w:r>
      <w:r>
        <w:rPr>
          <w:rFonts w:ascii="Arial"/>
          <w:color w:val="1F1F1F"/>
          <w:spacing w:val="18"/>
          <w:w w:val="105"/>
          <w:sz w:val="21"/>
        </w:rPr>
        <w:t xml:space="preserve"> </w:t>
      </w:r>
      <w:r>
        <w:rPr>
          <w:rFonts w:ascii="Arial"/>
          <w:color w:val="1F1F1F"/>
          <w:w w:val="105"/>
          <w:sz w:val="21"/>
        </w:rPr>
        <w:t>elimination of customs</w:t>
      </w:r>
      <w:r>
        <w:rPr>
          <w:rFonts w:ascii="Arial"/>
          <w:color w:val="1F1F1F"/>
          <w:spacing w:val="-6"/>
          <w:w w:val="105"/>
          <w:sz w:val="21"/>
        </w:rPr>
        <w:t xml:space="preserve"> </w:t>
      </w:r>
      <w:r>
        <w:rPr>
          <w:rFonts w:ascii="Arial"/>
          <w:color w:val="0C0C0C"/>
          <w:w w:val="105"/>
          <w:sz w:val="21"/>
        </w:rPr>
        <w:t>duties</w:t>
      </w:r>
      <w:r>
        <w:rPr>
          <w:rFonts w:ascii="Arial"/>
          <w:color w:val="0C0C0C"/>
          <w:spacing w:val="-16"/>
          <w:w w:val="105"/>
          <w:sz w:val="21"/>
        </w:rPr>
        <w:t xml:space="preserve"> </w:t>
      </w:r>
      <w:r>
        <w:rPr>
          <w:rFonts w:ascii="Arial"/>
          <w:color w:val="0C0C0C"/>
          <w:w w:val="105"/>
          <w:sz w:val="21"/>
        </w:rPr>
        <w:t>under</w:t>
      </w:r>
      <w:r>
        <w:rPr>
          <w:rFonts w:ascii="Arial"/>
          <w:color w:val="0C0C0C"/>
          <w:spacing w:val="-4"/>
          <w:w w:val="105"/>
          <w:sz w:val="21"/>
        </w:rPr>
        <w:t xml:space="preserve"> </w:t>
      </w:r>
      <w:r>
        <w:rPr>
          <w:rFonts w:ascii="Arial"/>
          <w:color w:val="0C0C0C"/>
          <w:w w:val="105"/>
          <w:sz w:val="21"/>
        </w:rPr>
        <w:t xml:space="preserve">the </w:t>
      </w:r>
      <w:r>
        <w:rPr>
          <w:rFonts w:ascii="Arial"/>
          <w:color w:val="1F1F1F"/>
          <w:w w:val="105"/>
          <w:sz w:val="21"/>
        </w:rPr>
        <w:t>ChAFTA</w:t>
      </w:r>
      <w:r>
        <w:rPr>
          <w:rFonts w:ascii="Arial"/>
          <w:color w:val="1F1F1F"/>
          <w:spacing w:val="-2"/>
          <w:w w:val="105"/>
          <w:sz w:val="21"/>
        </w:rPr>
        <w:t xml:space="preserve"> </w:t>
      </w:r>
      <w:r>
        <w:rPr>
          <w:rFonts w:ascii="Arial"/>
          <w:color w:val="0C0C0C"/>
          <w:w w:val="105"/>
          <w:sz w:val="21"/>
        </w:rPr>
        <w:t>from</w:t>
      </w:r>
      <w:r>
        <w:rPr>
          <w:rFonts w:ascii="Arial"/>
          <w:color w:val="0C0C0C"/>
          <w:spacing w:val="-15"/>
          <w:w w:val="105"/>
          <w:sz w:val="21"/>
        </w:rPr>
        <w:t xml:space="preserve"> </w:t>
      </w:r>
      <w:r>
        <w:rPr>
          <w:rFonts w:ascii="Arial"/>
          <w:color w:val="1F1F1F"/>
          <w:w w:val="105"/>
          <w:sz w:val="21"/>
        </w:rPr>
        <w:t>those</w:t>
      </w:r>
      <w:r>
        <w:rPr>
          <w:rFonts w:ascii="Arial"/>
          <w:color w:val="1F1F1F"/>
          <w:spacing w:val="-13"/>
          <w:w w:val="105"/>
          <w:sz w:val="21"/>
        </w:rPr>
        <w:t xml:space="preserve"> </w:t>
      </w:r>
      <w:r>
        <w:rPr>
          <w:rFonts w:ascii="Arial"/>
          <w:color w:val="1F1F1F"/>
          <w:w w:val="105"/>
          <w:sz w:val="21"/>
        </w:rPr>
        <w:t>of the alleged</w:t>
      </w:r>
      <w:r>
        <w:rPr>
          <w:rFonts w:ascii="Arial"/>
          <w:color w:val="1F1F1F"/>
          <w:spacing w:val="-5"/>
          <w:w w:val="105"/>
          <w:sz w:val="21"/>
        </w:rPr>
        <w:t xml:space="preserve"> </w:t>
      </w:r>
      <w:r>
        <w:rPr>
          <w:rFonts w:ascii="Arial"/>
          <w:color w:val="0C0C0C"/>
          <w:w w:val="105"/>
          <w:sz w:val="21"/>
        </w:rPr>
        <w:t>dumping</w:t>
      </w:r>
      <w:r>
        <w:rPr>
          <w:rFonts w:ascii="Arial"/>
          <w:color w:val="0C0C0C"/>
          <w:spacing w:val="-15"/>
          <w:w w:val="105"/>
          <w:sz w:val="21"/>
        </w:rPr>
        <w:t xml:space="preserve"> </w:t>
      </w:r>
      <w:r>
        <w:rPr>
          <w:rFonts w:ascii="Arial"/>
          <w:color w:val="1F1F1F"/>
          <w:w w:val="105"/>
          <w:sz w:val="21"/>
        </w:rPr>
        <w:t xml:space="preserve">of </w:t>
      </w:r>
      <w:r>
        <w:rPr>
          <w:rFonts w:ascii="Arial"/>
          <w:color w:val="0C0C0C"/>
          <w:w w:val="105"/>
          <w:sz w:val="21"/>
        </w:rPr>
        <w:t xml:space="preserve">the </w:t>
      </w:r>
      <w:r>
        <w:rPr>
          <w:rFonts w:ascii="Arial"/>
          <w:color w:val="1F1F1F"/>
          <w:w w:val="105"/>
          <w:sz w:val="21"/>
        </w:rPr>
        <w:t xml:space="preserve">subject </w:t>
      </w:r>
      <w:r>
        <w:rPr>
          <w:rFonts w:ascii="Arial"/>
          <w:color w:val="0C0C0C"/>
          <w:w w:val="105"/>
          <w:sz w:val="21"/>
        </w:rPr>
        <w:t>imports.</w:t>
      </w:r>
    </w:p>
    <w:p w14:paraId="51DE9247" w14:textId="77777777" w:rsidR="0010369C" w:rsidRDefault="008E43AE">
      <w:pPr>
        <w:spacing w:before="176" w:line="434" w:lineRule="auto"/>
        <w:ind w:left="231" w:right="577" w:firstLine="5"/>
        <w:jc w:val="both"/>
        <w:rPr>
          <w:rFonts w:ascii="Arial"/>
          <w:sz w:val="21"/>
        </w:rPr>
      </w:pPr>
      <w:r>
        <w:rPr>
          <w:rFonts w:ascii="Arial"/>
          <w:color w:val="1F1F1F"/>
          <w:w w:val="110"/>
          <w:sz w:val="21"/>
        </w:rPr>
        <w:t>692.</w:t>
      </w:r>
      <w:r>
        <w:rPr>
          <w:rFonts w:ascii="Arial"/>
          <w:color w:val="1F1F1F"/>
          <w:spacing w:val="80"/>
          <w:w w:val="150"/>
          <w:sz w:val="21"/>
        </w:rPr>
        <w:t xml:space="preserve"> </w:t>
      </w:r>
      <w:r>
        <w:rPr>
          <w:rFonts w:ascii="Arial"/>
          <w:color w:val="0C0C0C"/>
          <w:w w:val="110"/>
          <w:sz w:val="21"/>
        </w:rPr>
        <w:t xml:space="preserve">MOFCOM's </w:t>
      </w:r>
      <w:r>
        <w:rPr>
          <w:rFonts w:ascii="Arial"/>
          <w:color w:val="1F1F1F"/>
          <w:w w:val="110"/>
          <w:sz w:val="21"/>
        </w:rPr>
        <w:t>explanation suggests that</w:t>
      </w:r>
      <w:r>
        <w:rPr>
          <w:rFonts w:ascii="Arial"/>
          <w:color w:val="1F1F1F"/>
          <w:spacing w:val="-7"/>
          <w:w w:val="110"/>
          <w:sz w:val="21"/>
        </w:rPr>
        <w:t xml:space="preserve"> </w:t>
      </w:r>
      <w:r>
        <w:rPr>
          <w:rFonts w:ascii="Arial"/>
          <w:color w:val="1F1F1F"/>
          <w:w w:val="110"/>
          <w:sz w:val="21"/>
        </w:rPr>
        <w:t xml:space="preserve">it </w:t>
      </w:r>
      <w:r>
        <w:rPr>
          <w:rFonts w:ascii="Arial"/>
          <w:color w:val="0C0C0C"/>
          <w:w w:val="110"/>
          <w:sz w:val="21"/>
        </w:rPr>
        <w:t>may</w:t>
      </w:r>
      <w:r>
        <w:rPr>
          <w:rFonts w:ascii="Arial"/>
          <w:color w:val="0C0C0C"/>
          <w:spacing w:val="-8"/>
          <w:w w:val="110"/>
          <w:sz w:val="21"/>
        </w:rPr>
        <w:t xml:space="preserve"> </w:t>
      </w:r>
      <w:r>
        <w:rPr>
          <w:rFonts w:ascii="Arial"/>
          <w:color w:val="1F1F1F"/>
          <w:w w:val="110"/>
          <w:sz w:val="21"/>
        </w:rPr>
        <w:t>have</w:t>
      </w:r>
      <w:r>
        <w:rPr>
          <w:rFonts w:ascii="Arial"/>
          <w:color w:val="1F1F1F"/>
          <w:spacing w:val="-6"/>
          <w:w w:val="110"/>
          <w:sz w:val="21"/>
        </w:rPr>
        <w:t xml:space="preserve"> </w:t>
      </w:r>
      <w:r>
        <w:rPr>
          <w:rFonts w:ascii="Arial"/>
          <w:color w:val="1F1F1F"/>
          <w:w w:val="110"/>
          <w:sz w:val="21"/>
        </w:rPr>
        <w:t>considered</w:t>
      </w:r>
      <w:r>
        <w:rPr>
          <w:rFonts w:ascii="Arial"/>
          <w:color w:val="1F1F1F"/>
          <w:spacing w:val="-3"/>
          <w:w w:val="110"/>
          <w:sz w:val="21"/>
        </w:rPr>
        <w:t xml:space="preserve"> </w:t>
      </w:r>
      <w:r>
        <w:rPr>
          <w:rFonts w:ascii="Arial"/>
          <w:color w:val="1F1F1F"/>
          <w:w w:val="110"/>
          <w:sz w:val="21"/>
        </w:rPr>
        <w:t>price</w:t>
      </w:r>
      <w:r>
        <w:rPr>
          <w:rFonts w:ascii="Arial"/>
          <w:color w:val="1F1F1F"/>
          <w:spacing w:val="-8"/>
          <w:w w:val="110"/>
          <w:sz w:val="21"/>
        </w:rPr>
        <w:t xml:space="preserve"> </w:t>
      </w:r>
      <w:r>
        <w:rPr>
          <w:rFonts w:ascii="Arial"/>
          <w:color w:val="1F1F1F"/>
          <w:w w:val="110"/>
          <w:sz w:val="21"/>
        </w:rPr>
        <w:t xml:space="preserve">comparability </w:t>
      </w:r>
      <w:r>
        <w:rPr>
          <w:rFonts w:ascii="Arial"/>
          <w:color w:val="0C0C0C"/>
          <w:w w:val="105"/>
          <w:sz w:val="21"/>
        </w:rPr>
        <w:t>related</w:t>
      </w:r>
      <w:r>
        <w:rPr>
          <w:rFonts w:ascii="Arial"/>
          <w:color w:val="0C0C0C"/>
          <w:spacing w:val="-16"/>
          <w:w w:val="105"/>
          <w:sz w:val="21"/>
        </w:rPr>
        <w:t xml:space="preserve"> </w:t>
      </w:r>
      <w:r>
        <w:rPr>
          <w:rFonts w:ascii="Arial"/>
          <w:color w:val="0C0C0C"/>
          <w:w w:val="105"/>
          <w:sz w:val="21"/>
        </w:rPr>
        <w:t xml:space="preserve">to </w:t>
      </w:r>
      <w:r>
        <w:rPr>
          <w:rFonts w:ascii="Arial"/>
          <w:color w:val="1F1F1F"/>
          <w:w w:val="105"/>
          <w:sz w:val="21"/>
        </w:rPr>
        <w:t>the</w:t>
      </w:r>
      <w:r>
        <w:rPr>
          <w:rFonts w:ascii="Arial"/>
          <w:color w:val="1F1F1F"/>
          <w:spacing w:val="19"/>
          <w:w w:val="105"/>
          <w:sz w:val="21"/>
        </w:rPr>
        <w:t xml:space="preserve"> </w:t>
      </w:r>
      <w:r>
        <w:rPr>
          <w:rFonts w:ascii="Arial"/>
          <w:color w:val="1F1F1F"/>
          <w:w w:val="105"/>
          <w:sz w:val="21"/>
        </w:rPr>
        <w:t>"level</w:t>
      </w:r>
      <w:r>
        <w:rPr>
          <w:rFonts w:ascii="Arial"/>
          <w:color w:val="1F1F1F"/>
          <w:spacing w:val="-16"/>
          <w:w w:val="105"/>
          <w:sz w:val="21"/>
        </w:rPr>
        <w:t xml:space="preserve"> </w:t>
      </w:r>
      <w:r>
        <w:rPr>
          <w:rFonts w:ascii="Arial"/>
          <w:color w:val="1F1F1F"/>
          <w:w w:val="105"/>
          <w:sz w:val="21"/>
        </w:rPr>
        <w:t xml:space="preserve">of </w:t>
      </w:r>
      <w:r>
        <w:rPr>
          <w:rFonts w:ascii="Arial"/>
          <w:color w:val="0C0C0C"/>
          <w:w w:val="105"/>
          <w:sz w:val="21"/>
        </w:rPr>
        <w:t>trade"</w:t>
      </w:r>
      <w:r>
        <w:rPr>
          <w:rFonts w:ascii="Arial"/>
          <w:color w:val="0C0C0C"/>
          <w:spacing w:val="-9"/>
          <w:w w:val="105"/>
          <w:sz w:val="21"/>
        </w:rPr>
        <w:t xml:space="preserve"> </w:t>
      </w:r>
      <w:r>
        <w:rPr>
          <w:rFonts w:ascii="Arial"/>
          <w:color w:val="1F1F1F"/>
          <w:w w:val="105"/>
          <w:sz w:val="21"/>
        </w:rPr>
        <w:t>of subject</w:t>
      </w:r>
      <w:r>
        <w:rPr>
          <w:rFonts w:ascii="Arial"/>
          <w:color w:val="1F1F1F"/>
          <w:spacing w:val="-3"/>
          <w:w w:val="105"/>
          <w:sz w:val="21"/>
        </w:rPr>
        <w:t xml:space="preserve"> </w:t>
      </w:r>
      <w:r>
        <w:rPr>
          <w:rFonts w:ascii="Arial"/>
          <w:color w:val="0C0C0C"/>
          <w:w w:val="105"/>
          <w:sz w:val="21"/>
        </w:rPr>
        <w:t>imports</w:t>
      </w:r>
      <w:r>
        <w:rPr>
          <w:rFonts w:ascii="Arial"/>
          <w:color w:val="0C0C0C"/>
          <w:spacing w:val="-16"/>
          <w:w w:val="105"/>
          <w:sz w:val="21"/>
        </w:rPr>
        <w:t xml:space="preserve"> </w:t>
      </w:r>
      <w:r>
        <w:rPr>
          <w:rFonts w:ascii="Arial"/>
          <w:color w:val="1F1F1F"/>
          <w:w w:val="105"/>
          <w:sz w:val="21"/>
        </w:rPr>
        <w:t>to be</w:t>
      </w:r>
      <w:r>
        <w:rPr>
          <w:rFonts w:ascii="Arial"/>
          <w:color w:val="1F1F1F"/>
          <w:spacing w:val="-16"/>
          <w:w w:val="105"/>
          <w:sz w:val="21"/>
        </w:rPr>
        <w:t xml:space="preserve"> </w:t>
      </w:r>
      <w:r>
        <w:rPr>
          <w:rFonts w:ascii="Arial"/>
          <w:color w:val="1F1F1F"/>
          <w:w w:val="105"/>
          <w:sz w:val="21"/>
        </w:rPr>
        <w:t>relevant</w:t>
      </w:r>
      <w:r>
        <w:rPr>
          <w:rFonts w:ascii="Arial"/>
          <w:color w:val="1F1F1F"/>
          <w:spacing w:val="-15"/>
          <w:w w:val="105"/>
          <w:sz w:val="21"/>
        </w:rPr>
        <w:t xml:space="preserve"> </w:t>
      </w:r>
      <w:r>
        <w:rPr>
          <w:rFonts w:ascii="Arial"/>
          <w:color w:val="1F1F1F"/>
          <w:w w:val="105"/>
          <w:sz w:val="21"/>
        </w:rPr>
        <w:t>to</w:t>
      </w:r>
      <w:r>
        <w:rPr>
          <w:rFonts w:ascii="Arial"/>
          <w:color w:val="1F1F1F"/>
          <w:spacing w:val="23"/>
          <w:w w:val="105"/>
          <w:sz w:val="21"/>
        </w:rPr>
        <w:t xml:space="preserve"> </w:t>
      </w:r>
      <w:r>
        <w:rPr>
          <w:rFonts w:ascii="Arial"/>
          <w:color w:val="1F1F1F"/>
          <w:w w:val="105"/>
          <w:sz w:val="21"/>
        </w:rPr>
        <w:t>its</w:t>
      </w:r>
      <w:r>
        <w:rPr>
          <w:rFonts w:ascii="Arial"/>
          <w:color w:val="1F1F1F"/>
          <w:spacing w:val="-3"/>
          <w:w w:val="105"/>
          <w:sz w:val="21"/>
        </w:rPr>
        <w:t xml:space="preserve"> </w:t>
      </w:r>
      <w:r>
        <w:rPr>
          <w:rFonts w:ascii="Arial"/>
          <w:color w:val="1F1F1F"/>
          <w:w w:val="105"/>
          <w:sz w:val="21"/>
        </w:rPr>
        <w:t>assessment of</w:t>
      </w:r>
      <w:r>
        <w:rPr>
          <w:rFonts w:ascii="Arial"/>
          <w:color w:val="1F1F1F"/>
          <w:spacing w:val="23"/>
          <w:w w:val="105"/>
          <w:sz w:val="21"/>
        </w:rPr>
        <w:t xml:space="preserve"> </w:t>
      </w:r>
      <w:r>
        <w:rPr>
          <w:rFonts w:ascii="Arial"/>
          <w:color w:val="1F1F1F"/>
          <w:w w:val="105"/>
          <w:sz w:val="21"/>
        </w:rPr>
        <w:t>the</w:t>
      </w:r>
      <w:r>
        <w:rPr>
          <w:rFonts w:ascii="Arial"/>
          <w:color w:val="1F1F1F"/>
          <w:spacing w:val="40"/>
          <w:w w:val="105"/>
          <w:sz w:val="21"/>
        </w:rPr>
        <w:t xml:space="preserve"> </w:t>
      </w:r>
      <w:r>
        <w:rPr>
          <w:rFonts w:ascii="Arial"/>
          <w:color w:val="1F1F1F"/>
          <w:w w:val="105"/>
          <w:sz w:val="21"/>
        </w:rPr>
        <w:t xml:space="preserve">impact </w:t>
      </w:r>
      <w:r>
        <w:rPr>
          <w:rFonts w:ascii="Arial"/>
          <w:color w:val="1F1F1F"/>
          <w:w w:val="110"/>
          <w:sz w:val="21"/>
        </w:rPr>
        <w:t xml:space="preserve">of </w:t>
      </w:r>
      <w:r>
        <w:rPr>
          <w:rFonts w:ascii="Arial"/>
          <w:color w:val="0C0C0C"/>
          <w:w w:val="110"/>
          <w:sz w:val="21"/>
        </w:rPr>
        <w:t>this</w:t>
      </w:r>
      <w:r>
        <w:rPr>
          <w:rFonts w:ascii="Arial"/>
          <w:color w:val="0C0C0C"/>
          <w:spacing w:val="-2"/>
          <w:w w:val="110"/>
          <w:sz w:val="21"/>
        </w:rPr>
        <w:t xml:space="preserve"> </w:t>
      </w:r>
      <w:r>
        <w:rPr>
          <w:rFonts w:ascii="Arial"/>
          <w:color w:val="1F1F1F"/>
          <w:w w:val="110"/>
          <w:sz w:val="21"/>
        </w:rPr>
        <w:t>factor (notwithstanding</w:t>
      </w:r>
      <w:r>
        <w:rPr>
          <w:rFonts w:ascii="Arial"/>
          <w:color w:val="1F1F1F"/>
          <w:spacing w:val="-17"/>
          <w:w w:val="110"/>
          <w:sz w:val="21"/>
        </w:rPr>
        <w:t xml:space="preserve"> </w:t>
      </w:r>
      <w:r>
        <w:rPr>
          <w:rFonts w:ascii="Arial"/>
          <w:color w:val="1F1F1F"/>
          <w:w w:val="110"/>
          <w:sz w:val="21"/>
        </w:rPr>
        <w:t xml:space="preserve">that "CIF" </w:t>
      </w:r>
      <w:r>
        <w:rPr>
          <w:rFonts w:ascii="Arial"/>
          <w:color w:val="0C0C0C"/>
          <w:w w:val="110"/>
          <w:sz w:val="21"/>
        </w:rPr>
        <w:t xml:space="preserve">describes </w:t>
      </w:r>
      <w:r>
        <w:rPr>
          <w:rFonts w:ascii="Arial"/>
          <w:color w:val="1F1F1F"/>
          <w:w w:val="110"/>
          <w:sz w:val="21"/>
        </w:rPr>
        <w:t>delivery terms rather than the "level</w:t>
      </w:r>
      <w:r>
        <w:rPr>
          <w:rFonts w:ascii="Arial"/>
          <w:color w:val="1F1F1F"/>
          <w:spacing w:val="-1"/>
          <w:w w:val="110"/>
          <w:sz w:val="21"/>
        </w:rPr>
        <w:t xml:space="preserve"> </w:t>
      </w:r>
      <w:r>
        <w:rPr>
          <w:rFonts w:ascii="Arial"/>
          <w:color w:val="1F1F1F"/>
          <w:w w:val="110"/>
          <w:sz w:val="21"/>
        </w:rPr>
        <w:t xml:space="preserve">of </w:t>
      </w:r>
      <w:r>
        <w:rPr>
          <w:rFonts w:ascii="Arial"/>
          <w:color w:val="1F1F1F"/>
          <w:spacing w:val="-2"/>
          <w:w w:val="110"/>
          <w:sz w:val="21"/>
        </w:rPr>
        <w:t>trade").</w:t>
      </w:r>
      <w:r>
        <w:rPr>
          <w:rFonts w:ascii="Times New Roman"/>
          <w:color w:val="1F1F1F"/>
          <w:spacing w:val="-2"/>
          <w:w w:val="110"/>
          <w:position w:val="7"/>
          <w:sz w:val="16"/>
        </w:rPr>
        <w:t>833</w:t>
      </w:r>
      <w:r>
        <w:rPr>
          <w:rFonts w:ascii="Times New Roman"/>
          <w:color w:val="1F1F1F"/>
          <w:spacing w:val="-1"/>
          <w:w w:val="110"/>
          <w:position w:val="7"/>
          <w:sz w:val="16"/>
        </w:rPr>
        <w:t xml:space="preserve"> </w:t>
      </w:r>
      <w:r>
        <w:rPr>
          <w:rFonts w:ascii="Arial"/>
          <w:color w:val="1F1F1F"/>
          <w:spacing w:val="-2"/>
          <w:w w:val="110"/>
          <w:sz w:val="21"/>
        </w:rPr>
        <w:t xml:space="preserve">MOFCOM's </w:t>
      </w:r>
      <w:r>
        <w:rPr>
          <w:rFonts w:ascii="Arial"/>
          <w:color w:val="0C0C0C"/>
          <w:spacing w:val="-2"/>
          <w:w w:val="110"/>
          <w:sz w:val="21"/>
        </w:rPr>
        <w:t>reasoning</w:t>
      </w:r>
      <w:r>
        <w:rPr>
          <w:rFonts w:ascii="Arial"/>
          <w:color w:val="0C0C0C"/>
          <w:spacing w:val="-14"/>
          <w:w w:val="110"/>
          <w:sz w:val="21"/>
        </w:rPr>
        <w:t xml:space="preserve"> </w:t>
      </w:r>
      <w:r>
        <w:rPr>
          <w:rFonts w:ascii="Arial"/>
          <w:color w:val="1F1F1F"/>
          <w:spacing w:val="-2"/>
          <w:w w:val="110"/>
          <w:sz w:val="21"/>
        </w:rPr>
        <w:t>is</w:t>
      </w:r>
      <w:r>
        <w:rPr>
          <w:rFonts w:ascii="Arial"/>
          <w:color w:val="1F1F1F"/>
          <w:spacing w:val="-15"/>
          <w:w w:val="110"/>
          <w:sz w:val="21"/>
        </w:rPr>
        <w:t xml:space="preserve"> </w:t>
      </w:r>
      <w:r>
        <w:rPr>
          <w:rFonts w:ascii="Arial"/>
          <w:color w:val="1F1F1F"/>
          <w:spacing w:val="-2"/>
          <w:w w:val="110"/>
          <w:sz w:val="21"/>
        </w:rPr>
        <w:t>neither</w:t>
      </w:r>
      <w:r>
        <w:rPr>
          <w:rFonts w:ascii="Arial"/>
          <w:color w:val="1F1F1F"/>
          <w:spacing w:val="-9"/>
          <w:w w:val="110"/>
          <w:sz w:val="21"/>
        </w:rPr>
        <w:t xml:space="preserve"> </w:t>
      </w:r>
      <w:r>
        <w:rPr>
          <w:rFonts w:ascii="Arial"/>
          <w:color w:val="1F1F1F"/>
          <w:spacing w:val="-2"/>
          <w:w w:val="110"/>
          <w:sz w:val="21"/>
        </w:rPr>
        <w:t>coherent</w:t>
      </w:r>
      <w:r>
        <w:rPr>
          <w:rFonts w:ascii="Arial"/>
          <w:color w:val="1F1F1F"/>
          <w:spacing w:val="-6"/>
          <w:w w:val="110"/>
          <w:sz w:val="21"/>
        </w:rPr>
        <w:t xml:space="preserve"> </w:t>
      </w:r>
      <w:r>
        <w:rPr>
          <w:rFonts w:ascii="Arial"/>
          <w:color w:val="1F1F1F"/>
          <w:spacing w:val="-2"/>
          <w:w w:val="110"/>
          <w:sz w:val="21"/>
        </w:rPr>
        <w:t>nor cogent.</w:t>
      </w:r>
      <w:r>
        <w:rPr>
          <w:rFonts w:ascii="Arial"/>
          <w:color w:val="1F1F1F"/>
          <w:spacing w:val="-15"/>
          <w:w w:val="110"/>
          <w:sz w:val="21"/>
        </w:rPr>
        <w:t xml:space="preserve"> </w:t>
      </w:r>
      <w:r>
        <w:rPr>
          <w:rFonts w:ascii="Arial"/>
          <w:color w:val="0C0C0C"/>
          <w:spacing w:val="-2"/>
          <w:w w:val="110"/>
          <w:sz w:val="21"/>
        </w:rPr>
        <w:t xml:space="preserve">MOFCOM </w:t>
      </w:r>
      <w:r>
        <w:rPr>
          <w:rFonts w:ascii="Arial"/>
          <w:color w:val="1F1F1F"/>
          <w:spacing w:val="-2"/>
          <w:w w:val="110"/>
          <w:sz w:val="21"/>
        </w:rPr>
        <w:t>was</w:t>
      </w:r>
      <w:r>
        <w:rPr>
          <w:rFonts w:ascii="Arial"/>
          <w:color w:val="1F1F1F"/>
          <w:spacing w:val="-15"/>
          <w:w w:val="110"/>
          <w:sz w:val="21"/>
        </w:rPr>
        <w:t xml:space="preserve"> </w:t>
      </w:r>
      <w:r>
        <w:rPr>
          <w:rFonts w:ascii="Arial"/>
          <w:color w:val="1F1F1F"/>
          <w:spacing w:val="-2"/>
          <w:w w:val="110"/>
          <w:sz w:val="21"/>
        </w:rPr>
        <w:t>required</w:t>
      </w:r>
      <w:r>
        <w:rPr>
          <w:rFonts w:ascii="Arial"/>
          <w:color w:val="1F1F1F"/>
          <w:spacing w:val="-4"/>
          <w:w w:val="110"/>
          <w:sz w:val="21"/>
        </w:rPr>
        <w:t xml:space="preserve"> </w:t>
      </w:r>
      <w:r>
        <w:rPr>
          <w:rFonts w:ascii="Arial"/>
          <w:color w:val="1F1F1F"/>
          <w:spacing w:val="-2"/>
          <w:w w:val="110"/>
          <w:sz w:val="21"/>
        </w:rPr>
        <w:t xml:space="preserve">to </w:t>
      </w:r>
      <w:r>
        <w:rPr>
          <w:rFonts w:ascii="Arial"/>
          <w:color w:val="1F1F1F"/>
          <w:w w:val="105"/>
          <w:sz w:val="21"/>
        </w:rPr>
        <w:t>examine</w:t>
      </w:r>
      <w:r>
        <w:rPr>
          <w:rFonts w:ascii="Arial"/>
          <w:color w:val="1F1F1F"/>
          <w:spacing w:val="-12"/>
          <w:w w:val="105"/>
          <w:sz w:val="21"/>
        </w:rPr>
        <w:t xml:space="preserve"> </w:t>
      </w:r>
      <w:r>
        <w:rPr>
          <w:rFonts w:ascii="Arial"/>
          <w:color w:val="1F1F1F"/>
          <w:w w:val="105"/>
          <w:sz w:val="21"/>
        </w:rPr>
        <w:t>whether the</w:t>
      </w:r>
      <w:r>
        <w:rPr>
          <w:rFonts w:ascii="Arial"/>
          <w:color w:val="1F1F1F"/>
          <w:spacing w:val="-9"/>
          <w:w w:val="105"/>
          <w:sz w:val="21"/>
        </w:rPr>
        <w:t xml:space="preserve"> </w:t>
      </w:r>
      <w:r>
        <w:rPr>
          <w:rFonts w:ascii="Arial"/>
          <w:color w:val="1F1F1F"/>
          <w:w w:val="105"/>
          <w:sz w:val="21"/>
        </w:rPr>
        <w:t>14%</w:t>
      </w:r>
      <w:r>
        <w:rPr>
          <w:rFonts w:ascii="Arial"/>
          <w:color w:val="1F1F1F"/>
          <w:spacing w:val="-16"/>
          <w:w w:val="105"/>
          <w:sz w:val="21"/>
        </w:rPr>
        <w:t xml:space="preserve"> </w:t>
      </w:r>
      <w:r>
        <w:rPr>
          <w:rFonts w:ascii="Arial"/>
          <w:color w:val="1F1F1F"/>
          <w:w w:val="105"/>
          <w:sz w:val="21"/>
        </w:rPr>
        <w:t xml:space="preserve">decrease </w:t>
      </w:r>
      <w:r>
        <w:rPr>
          <w:rFonts w:ascii="Arial"/>
          <w:color w:val="0C0C0C"/>
          <w:w w:val="105"/>
          <w:sz w:val="21"/>
        </w:rPr>
        <w:t xml:space="preserve">in </w:t>
      </w:r>
      <w:r>
        <w:rPr>
          <w:rFonts w:ascii="Arial"/>
          <w:color w:val="1F1F1F"/>
          <w:w w:val="105"/>
          <w:sz w:val="21"/>
        </w:rPr>
        <w:t>the</w:t>
      </w:r>
      <w:r>
        <w:rPr>
          <w:rFonts w:ascii="Arial"/>
          <w:color w:val="1F1F1F"/>
          <w:spacing w:val="34"/>
          <w:w w:val="105"/>
          <w:sz w:val="21"/>
        </w:rPr>
        <w:t xml:space="preserve"> </w:t>
      </w:r>
      <w:r>
        <w:rPr>
          <w:rFonts w:ascii="Arial"/>
          <w:color w:val="1F1F1F"/>
          <w:w w:val="105"/>
          <w:sz w:val="21"/>
        </w:rPr>
        <w:t>customs</w:t>
      </w:r>
      <w:r>
        <w:rPr>
          <w:rFonts w:ascii="Arial"/>
          <w:color w:val="1F1F1F"/>
          <w:spacing w:val="-11"/>
          <w:w w:val="105"/>
          <w:sz w:val="21"/>
        </w:rPr>
        <w:t xml:space="preserve"> </w:t>
      </w:r>
      <w:r>
        <w:rPr>
          <w:rFonts w:ascii="Arial"/>
          <w:color w:val="0C0C0C"/>
          <w:w w:val="105"/>
          <w:sz w:val="21"/>
        </w:rPr>
        <w:t>tariff</w:t>
      </w:r>
      <w:r>
        <w:rPr>
          <w:rFonts w:ascii="Arial"/>
          <w:color w:val="0C0C0C"/>
          <w:spacing w:val="-12"/>
          <w:w w:val="105"/>
          <w:sz w:val="21"/>
        </w:rPr>
        <w:t xml:space="preserve"> </w:t>
      </w:r>
      <w:r>
        <w:rPr>
          <w:rFonts w:ascii="Arial"/>
          <w:color w:val="1F1F1F"/>
          <w:w w:val="105"/>
          <w:sz w:val="21"/>
        </w:rPr>
        <w:t>applied</w:t>
      </w:r>
      <w:r>
        <w:rPr>
          <w:rFonts w:ascii="Arial"/>
          <w:color w:val="1F1F1F"/>
          <w:spacing w:val="-9"/>
          <w:w w:val="105"/>
          <w:sz w:val="21"/>
        </w:rPr>
        <w:t xml:space="preserve"> </w:t>
      </w:r>
      <w:r>
        <w:rPr>
          <w:rFonts w:ascii="Arial"/>
          <w:color w:val="1F1F1F"/>
          <w:w w:val="105"/>
          <w:sz w:val="21"/>
        </w:rPr>
        <w:t>to imports</w:t>
      </w:r>
      <w:r>
        <w:rPr>
          <w:rFonts w:ascii="Arial"/>
          <w:color w:val="1F1F1F"/>
          <w:spacing w:val="-9"/>
          <w:w w:val="105"/>
          <w:sz w:val="21"/>
        </w:rPr>
        <w:t xml:space="preserve"> </w:t>
      </w:r>
      <w:r>
        <w:rPr>
          <w:rFonts w:ascii="Arial"/>
          <w:color w:val="1F1F1F"/>
          <w:w w:val="105"/>
          <w:sz w:val="21"/>
        </w:rPr>
        <w:t>of Australian wine could</w:t>
      </w:r>
      <w:r>
        <w:rPr>
          <w:rFonts w:ascii="Arial"/>
          <w:color w:val="1F1F1F"/>
          <w:spacing w:val="-16"/>
          <w:w w:val="105"/>
          <w:sz w:val="21"/>
        </w:rPr>
        <w:t xml:space="preserve"> </w:t>
      </w:r>
      <w:r>
        <w:rPr>
          <w:rFonts w:ascii="Arial"/>
          <w:color w:val="1F1F1F"/>
          <w:w w:val="105"/>
          <w:sz w:val="21"/>
        </w:rPr>
        <w:t>have</w:t>
      </w:r>
      <w:r>
        <w:rPr>
          <w:rFonts w:ascii="Arial"/>
          <w:color w:val="1F1F1F"/>
          <w:spacing w:val="-15"/>
          <w:w w:val="105"/>
          <w:sz w:val="21"/>
        </w:rPr>
        <w:t xml:space="preserve"> </w:t>
      </w:r>
      <w:r>
        <w:rPr>
          <w:rFonts w:ascii="Arial"/>
          <w:color w:val="1F1F1F"/>
          <w:w w:val="105"/>
          <w:sz w:val="21"/>
        </w:rPr>
        <w:t>caused</w:t>
      </w:r>
      <w:r>
        <w:rPr>
          <w:rFonts w:ascii="Arial"/>
          <w:color w:val="1F1F1F"/>
          <w:spacing w:val="-7"/>
          <w:w w:val="105"/>
          <w:sz w:val="21"/>
        </w:rPr>
        <w:t xml:space="preserve"> </w:t>
      </w:r>
      <w:r>
        <w:rPr>
          <w:rFonts w:ascii="Arial"/>
          <w:color w:val="1F1F1F"/>
          <w:w w:val="105"/>
          <w:sz w:val="21"/>
        </w:rPr>
        <w:t>or</w:t>
      </w:r>
      <w:r>
        <w:rPr>
          <w:rFonts w:ascii="Arial"/>
          <w:color w:val="1F1F1F"/>
          <w:spacing w:val="22"/>
          <w:w w:val="105"/>
          <w:sz w:val="21"/>
        </w:rPr>
        <w:t xml:space="preserve"> </w:t>
      </w:r>
      <w:r>
        <w:rPr>
          <w:rFonts w:ascii="Arial"/>
          <w:color w:val="1F1F1F"/>
          <w:w w:val="105"/>
          <w:sz w:val="21"/>
        </w:rPr>
        <w:t xml:space="preserve">contributed </w:t>
      </w:r>
      <w:r>
        <w:rPr>
          <w:rFonts w:ascii="Arial"/>
          <w:color w:val="0C0C0C"/>
          <w:w w:val="105"/>
          <w:sz w:val="21"/>
        </w:rPr>
        <w:t xml:space="preserve">to </w:t>
      </w:r>
      <w:r>
        <w:rPr>
          <w:rFonts w:ascii="Arial"/>
          <w:color w:val="1F1F1F"/>
          <w:w w:val="105"/>
          <w:sz w:val="21"/>
        </w:rPr>
        <w:t>the injury</w:t>
      </w:r>
      <w:r>
        <w:rPr>
          <w:rFonts w:ascii="Arial"/>
          <w:color w:val="1F1F1F"/>
          <w:spacing w:val="-16"/>
          <w:w w:val="105"/>
          <w:sz w:val="21"/>
        </w:rPr>
        <w:t xml:space="preserve"> </w:t>
      </w:r>
      <w:r>
        <w:rPr>
          <w:rFonts w:ascii="Arial"/>
          <w:color w:val="1F1F1F"/>
          <w:w w:val="105"/>
          <w:sz w:val="21"/>
        </w:rPr>
        <w:t>to the</w:t>
      </w:r>
      <w:r>
        <w:rPr>
          <w:rFonts w:ascii="Arial"/>
          <w:color w:val="1F1F1F"/>
          <w:spacing w:val="-6"/>
          <w:w w:val="105"/>
          <w:sz w:val="21"/>
        </w:rPr>
        <w:t xml:space="preserve"> </w:t>
      </w:r>
      <w:r>
        <w:rPr>
          <w:rFonts w:ascii="Arial"/>
          <w:color w:val="0C0C0C"/>
          <w:w w:val="105"/>
          <w:sz w:val="21"/>
        </w:rPr>
        <w:t>domestic industry</w:t>
      </w:r>
      <w:r>
        <w:rPr>
          <w:rFonts w:ascii="Arial"/>
          <w:color w:val="0C0C0C"/>
          <w:spacing w:val="-6"/>
          <w:w w:val="105"/>
          <w:sz w:val="21"/>
        </w:rPr>
        <w:t xml:space="preserve"> </w:t>
      </w:r>
      <w:r>
        <w:rPr>
          <w:rFonts w:ascii="Arial"/>
          <w:color w:val="0C0C0C"/>
          <w:w w:val="105"/>
          <w:sz w:val="21"/>
        </w:rPr>
        <w:t>that</w:t>
      </w:r>
      <w:r>
        <w:rPr>
          <w:rFonts w:ascii="Arial"/>
          <w:color w:val="0C0C0C"/>
          <w:spacing w:val="-15"/>
          <w:w w:val="105"/>
          <w:sz w:val="21"/>
        </w:rPr>
        <w:t xml:space="preserve"> </w:t>
      </w:r>
      <w:r>
        <w:rPr>
          <w:rFonts w:ascii="Arial"/>
          <w:color w:val="0C0C0C"/>
          <w:w w:val="105"/>
          <w:sz w:val="21"/>
        </w:rPr>
        <w:t xml:space="preserve">MOFCOM </w:t>
      </w:r>
      <w:r>
        <w:rPr>
          <w:rFonts w:ascii="Arial"/>
          <w:color w:val="1F1F1F"/>
          <w:w w:val="105"/>
          <w:sz w:val="21"/>
        </w:rPr>
        <w:t>alleges was</w:t>
      </w:r>
      <w:r>
        <w:rPr>
          <w:rFonts w:ascii="Arial"/>
          <w:color w:val="1F1F1F"/>
          <w:spacing w:val="-13"/>
          <w:w w:val="105"/>
          <w:sz w:val="21"/>
        </w:rPr>
        <w:t xml:space="preserve"> </w:t>
      </w:r>
      <w:r>
        <w:rPr>
          <w:rFonts w:ascii="Arial"/>
          <w:color w:val="1F1F1F"/>
          <w:w w:val="105"/>
          <w:sz w:val="21"/>
        </w:rPr>
        <w:t xml:space="preserve">caused </w:t>
      </w:r>
      <w:r>
        <w:rPr>
          <w:rFonts w:ascii="Arial"/>
          <w:color w:val="0C0C0C"/>
          <w:w w:val="105"/>
          <w:sz w:val="21"/>
        </w:rPr>
        <w:t>by</w:t>
      </w:r>
      <w:r>
        <w:rPr>
          <w:rFonts w:ascii="Arial"/>
          <w:color w:val="0C0C0C"/>
          <w:spacing w:val="-16"/>
          <w:w w:val="105"/>
          <w:sz w:val="21"/>
        </w:rPr>
        <w:t xml:space="preserve"> </w:t>
      </w:r>
      <w:r>
        <w:rPr>
          <w:rFonts w:ascii="Arial"/>
          <w:color w:val="0C0C0C"/>
          <w:w w:val="105"/>
          <w:sz w:val="21"/>
        </w:rPr>
        <w:t xml:space="preserve">the </w:t>
      </w:r>
      <w:r>
        <w:rPr>
          <w:rFonts w:ascii="Arial"/>
          <w:color w:val="1F1F1F"/>
          <w:w w:val="105"/>
          <w:sz w:val="21"/>
        </w:rPr>
        <w:t>price</w:t>
      </w:r>
      <w:r>
        <w:rPr>
          <w:rFonts w:ascii="Arial"/>
          <w:color w:val="1F1F1F"/>
          <w:spacing w:val="-12"/>
          <w:w w:val="105"/>
          <w:sz w:val="21"/>
        </w:rPr>
        <w:t xml:space="preserve"> </w:t>
      </w:r>
      <w:r>
        <w:rPr>
          <w:rFonts w:ascii="Arial"/>
          <w:color w:val="1F1F1F"/>
          <w:w w:val="105"/>
          <w:sz w:val="21"/>
        </w:rPr>
        <w:t>suppression resulting</w:t>
      </w:r>
      <w:r>
        <w:rPr>
          <w:rFonts w:ascii="Arial"/>
          <w:color w:val="1F1F1F"/>
          <w:spacing w:val="-6"/>
          <w:w w:val="105"/>
          <w:sz w:val="21"/>
        </w:rPr>
        <w:t xml:space="preserve"> </w:t>
      </w:r>
      <w:r>
        <w:rPr>
          <w:rFonts w:ascii="Arial"/>
          <w:color w:val="1F1F1F"/>
          <w:w w:val="105"/>
          <w:sz w:val="21"/>
        </w:rPr>
        <w:t>from</w:t>
      </w:r>
      <w:r>
        <w:rPr>
          <w:rFonts w:ascii="Arial"/>
          <w:color w:val="1F1F1F"/>
          <w:spacing w:val="-13"/>
          <w:w w:val="105"/>
          <w:sz w:val="21"/>
        </w:rPr>
        <w:t xml:space="preserve"> </w:t>
      </w:r>
      <w:r>
        <w:rPr>
          <w:rFonts w:ascii="Arial"/>
          <w:color w:val="1F1F1F"/>
          <w:w w:val="105"/>
          <w:sz w:val="21"/>
        </w:rPr>
        <w:t xml:space="preserve">the "cumulative </w:t>
      </w:r>
      <w:r>
        <w:rPr>
          <w:rFonts w:ascii="Arial"/>
          <w:color w:val="0C0C0C"/>
          <w:w w:val="105"/>
          <w:sz w:val="21"/>
        </w:rPr>
        <w:t>decline</w:t>
      </w:r>
      <w:r>
        <w:rPr>
          <w:rFonts w:ascii="Arial"/>
          <w:color w:val="0C0C0C"/>
          <w:spacing w:val="-8"/>
          <w:w w:val="105"/>
          <w:sz w:val="21"/>
        </w:rPr>
        <w:t xml:space="preserve"> </w:t>
      </w:r>
      <w:r>
        <w:rPr>
          <w:rFonts w:ascii="Arial"/>
          <w:color w:val="1F1F1F"/>
          <w:w w:val="105"/>
          <w:sz w:val="21"/>
        </w:rPr>
        <w:t xml:space="preserve">of 15.91%" </w:t>
      </w:r>
      <w:r>
        <w:rPr>
          <w:rFonts w:ascii="Arial"/>
          <w:color w:val="0C0C0C"/>
          <w:w w:val="105"/>
          <w:sz w:val="21"/>
        </w:rPr>
        <w:t xml:space="preserve">in the </w:t>
      </w:r>
      <w:r>
        <w:rPr>
          <w:rFonts w:ascii="Arial"/>
          <w:color w:val="0C0C0C"/>
          <w:w w:val="110"/>
          <w:sz w:val="21"/>
        </w:rPr>
        <w:t>price</w:t>
      </w:r>
      <w:r>
        <w:rPr>
          <w:rFonts w:ascii="Arial"/>
          <w:color w:val="0C0C0C"/>
          <w:spacing w:val="-17"/>
          <w:w w:val="110"/>
          <w:sz w:val="21"/>
        </w:rPr>
        <w:t xml:space="preserve"> </w:t>
      </w:r>
      <w:r>
        <w:rPr>
          <w:rFonts w:ascii="Arial"/>
          <w:color w:val="1F1F1F"/>
          <w:w w:val="110"/>
          <w:sz w:val="21"/>
        </w:rPr>
        <w:t>of</w:t>
      </w:r>
      <w:r>
        <w:rPr>
          <w:rFonts w:ascii="Arial"/>
          <w:color w:val="1F1F1F"/>
          <w:spacing w:val="-16"/>
          <w:w w:val="110"/>
          <w:sz w:val="21"/>
        </w:rPr>
        <w:t xml:space="preserve"> </w:t>
      </w:r>
      <w:r>
        <w:rPr>
          <w:rFonts w:ascii="Arial"/>
          <w:color w:val="1F1F1F"/>
          <w:w w:val="110"/>
          <w:sz w:val="21"/>
        </w:rPr>
        <w:t>subject</w:t>
      </w:r>
      <w:r>
        <w:rPr>
          <w:rFonts w:ascii="Arial"/>
          <w:color w:val="1F1F1F"/>
          <w:spacing w:val="-16"/>
          <w:w w:val="110"/>
          <w:sz w:val="21"/>
        </w:rPr>
        <w:t xml:space="preserve"> </w:t>
      </w:r>
      <w:r>
        <w:rPr>
          <w:rFonts w:ascii="Arial"/>
          <w:color w:val="1F1F1F"/>
          <w:w w:val="110"/>
          <w:sz w:val="21"/>
        </w:rPr>
        <w:t>imports.</w:t>
      </w:r>
      <w:r>
        <w:rPr>
          <w:rFonts w:ascii="Arial"/>
          <w:color w:val="1F1F1F"/>
          <w:spacing w:val="-16"/>
          <w:w w:val="110"/>
          <w:sz w:val="21"/>
        </w:rPr>
        <w:t xml:space="preserve"> </w:t>
      </w:r>
      <w:r>
        <w:rPr>
          <w:rFonts w:ascii="Arial"/>
          <w:color w:val="0C0C0C"/>
          <w:w w:val="110"/>
          <w:sz w:val="21"/>
        </w:rPr>
        <w:t>If</w:t>
      </w:r>
      <w:r>
        <w:rPr>
          <w:rFonts w:ascii="Arial"/>
          <w:color w:val="0C0C0C"/>
          <w:spacing w:val="-9"/>
          <w:w w:val="110"/>
          <w:sz w:val="21"/>
        </w:rPr>
        <w:t xml:space="preserve"> </w:t>
      </w:r>
      <w:r>
        <w:rPr>
          <w:rFonts w:ascii="Arial"/>
          <w:color w:val="1F1F1F"/>
          <w:w w:val="110"/>
          <w:sz w:val="21"/>
        </w:rPr>
        <w:t>so,</w:t>
      </w:r>
      <w:r>
        <w:rPr>
          <w:rFonts w:ascii="Arial"/>
          <w:color w:val="1F1F1F"/>
          <w:spacing w:val="-16"/>
          <w:w w:val="110"/>
          <w:sz w:val="21"/>
        </w:rPr>
        <w:t xml:space="preserve"> </w:t>
      </w:r>
      <w:r>
        <w:rPr>
          <w:rFonts w:ascii="Arial"/>
          <w:color w:val="1F1F1F"/>
          <w:w w:val="110"/>
          <w:sz w:val="21"/>
        </w:rPr>
        <w:t>MOFCOM</w:t>
      </w:r>
      <w:r>
        <w:rPr>
          <w:rFonts w:ascii="Arial"/>
          <w:color w:val="1F1F1F"/>
          <w:spacing w:val="-6"/>
          <w:w w:val="110"/>
          <w:sz w:val="21"/>
        </w:rPr>
        <w:t xml:space="preserve"> </w:t>
      </w:r>
      <w:r>
        <w:rPr>
          <w:rFonts w:ascii="Arial"/>
          <w:color w:val="1F1F1F"/>
          <w:w w:val="110"/>
          <w:sz w:val="21"/>
        </w:rPr>
        <w:t>was</w:t>
      </w:r>
      <w:r>
        <w:rPr>
          <w:rFonts w:ascii="Arial"/>
          <w:color w:val="1F1F1F"/>
          <w:spacing w:val="-17"/>
          <w:w w:val="110"/>
          <w:sz w:val="21"/>
        </w:rPr>
        <w:t xml:space="preserve"> </w:t>
      </w:r>
      <w:r>
        <w:rPr>
          <w:rFonts w:ascii="Arial"/>
          <w:color w:val="1F1F1F"/>
          <w:w w:val="110"/>
          <w:sz w:val="21"/>
        </w:rPr>
        <w:t>required</w:t>
      </w:r>
      <w:r>
        <w:rPr>
          <w:rFonts w:ascii="Arial"/>
          <w:color w:val="1F1F1F"/>
          <w:spacing w:val="-16"/>
          <w:w w:val="110"/>
          <w:sz w:val="21"/>
        </w:rPr>
        <w:t xml:space="preserve"> </w:t>
      </w:r>
      <w:r>
        <w:rPr>
          <w:rFonts w:ascii="Arial"/>
          <w:color w:val="1F1F1F"/>
          <w:w w:val="110"/>
          <w:sz w:val="21"/>
        </w:rPr>
        <w:t>to identify,</w:t>
      </w:r>
      <w:r>
        <w:rPr>
          <w:rFonts w:ascii="Arial"/>
          <w:color w:val="1F1F1F"/>
          <w:spacing w:val="-15"/>
          <w:w w:val="110"/>
          <w:sz w:val="21"/>
        </w:rPr>
        <w:t xml:space="preserve"> </w:t>
      </w:r>
      <w:r>
        <w:rPr>
          <w:rFonts w:ascii="Arial"/>
          <w:color w:val="1F1F1F"/>
          <w:w w:val="110"/>
          <w:sz w:val="21"/>
        </w:rPr>
        <w:t>separate,</w:t>
      </w:r>
      <w:r>
        <w:rPr>
          <w:rFonts w:ascii="Arial"/>
          <w:color w:val="1F1F1F"/>
          <w:spacing w:val="-17"/>
          <w:w w:val="110"/>
          <w:sz w:val="21"/>
        </w:rPr>
        <w:t xml:space="preserve"> </w:t>
      </w:r>
      <w:r>
        <w:rPr>
          <w:rFonts w:ascii="Arial"/>
          <w:color w:val="1F1F1F"/>
          <w:w w:val="110"/>
          <w:sz w:val="21"/>
        </w:rPr>
        <w:t>and</w:t>
      </w:r>
      <w:r>
        <w:rPr>
          <w:rFonts w:ascii="Arial"/>
          <w:color w:val="1F1F1F"/>
          <w:spacing w:val="-16"/>
          <w:w w:val="110"/>
          <w:sz w:val="21"/>
        </w:rPr>
        <w:t xml:space="preserve"> </w:t>
      </w:r>
      <w:r>
        <w:rPr>
          <w:rFonts w:ascii="Arial"/>
          <w:color w:val="1F1F1F"/>
          <w:w w:val="110"/>
          <w:sz w:val="21"/>
        </w:rPr>
        <w:t>distinguish this</w:t>
      </w:r>
      <w:r>
        <w:rPr>
          <w:rFonts w:ascii="Arial"/>
          <w:color w:val="1F1F1F"/>
          <w:spacing w:val="-21"/>
          <w:w w:val="110"/>
          <w:sz w:val="21"/>
        </w:rPr>
        <w:t xml:space="preserve"> </w:t>
      </w:r>
      <w:r>
        <w:rPr>
          <w:rFonts w:ascii="Arial"/>
          <w:color w:val="0C0C0C"/>
          <w:w w:val="110"/>
          <w:sz w:val="21"/>
        </w:rPr>
        <w:t>injury</w:t>
      </w:r>
      <w:r>
        <w:rPr>
          <w:rFonts w:ascii="Arial"/>
          <w:color w:val="0C0C0C"/>
          <w:spacing w:val="-11"/>
          <w:w w:val="110"/>
          <w:sz w:val="21"/>
        </w:rPr>
        <w:t xml:space="preserve"> </w:t>
      </w:r>
      <w:r>
        <w:rPr>
          <w:rFonts w:ascii="Arial"/>
          <w:color w:val="1F1F1F"/>
          <w:w w:val="110"/>
          <w:sz w:val="21"/>
        </w:rPr>
        <w:t>from</w:t>
      </w:r>
      <w:r>
        <w:rPr>
          <w:rFonts w:ascii="Arial"/>
          <w:color w:val="1F1F1F"/>
          <w:spacing w:val="-15"/>
          <w:w w:val="110"/>
          <w:sz w:val="21"/>
        </w:rPr>
        <w:t xml:space="preserve"> </w:t>
      </w:r>
      <w:r>
        <w:rPr>
          <w:rFonts w:ascii="Arial"/>
          <w:color w:val="1F1F1F"/>
          <w:w w:val="110"/>
          <w:sz w:val="21"/>
        </w:rPr>
        <w:t>that</w:t>
      </w:r>
      <w:r>
        <w:rPr>
          <w:rFonts w:ascii="Arial"/>
          <w:color w:val="1F1F1F"/>
          <w:spacing w:val="-18"/>
          <w:w w:val="110"/>
          <w:sz w:val="21"/>
        </w:rPr>
        <w:t xml:space="preserve"> </w:t>
      </w:r>
      <w:r>
        <w:rPr>
          <w:rFonts w:ascii="Arial"/>
          <w:color w:val="1F1F1F"/>
          <w:w w:val="110"/>
          <w:sz w:val="21"/>
        </w:rPr>
        <w:t>allegedly</w:t>
      </w:r>
      <w:r>
        <w:rPr>
          <w:rFonts w:ascii="Arial"/>
          <w:color w:val="1F1F1F"/>
          <w:spacing w:val="-8"/>
          <w:w w:val="110"/>
          <w:sz w:val="21"/>
        </w:rPr>
        <w:t xml:space="preserve"> </w:t>
      </w:r>
      <w:r>
        <w:rPr>
          <w:rFonts w:ascii="Arial"/>
          <w:color w:val="1F1F1F"/>
          <w:w w:val="110"/>
          <w:sz w:val="21"/>
        </w:rPr>
        <w:t>caused</w:t>
      </w:r>
      <w:r>
        <w:rPr>
          <w:rFonts w:ascii="Arial"/>
          <w:color w:val="1F1F1F"/>
          <w:spacing w:val="-15"/>
          <w:w w:val="110"/>
          <w:sz w:val="21"/>
        </w:rPr>
        <w:t xml:space="preserve"> </w:t>
      </w:r>
      <w:r>
        <w:rPr>
          <w:rFonts w:ascii="Arial"/>
          <w:color w:val="1F1F1F"/>
          <w:w w:val="110"/>
          <w:sz w:val="21"/>
        </w:rPr>
        <w:t xml:space="preserve">by </w:t>
      </w:r>
      <w:r>
        <w:rPr>
          <w:rFonts w:ascii="Arial"/>
          <w:color w:val="0C0C0C"/>
          <w:w w:val="110"/>
          <w:sz w:val="21"/>
        </w:rPr>
        <w:t>the</w:t>
      </w:r>
      <w:r>
        <w:rPr>
          <w:rFonts w:ascii="Arial"/>
          <w:color w:val="0C0C0C"/>
          <w:spacing w:val="25"/>
          <w:w w:val="110"/>
          <w:sz w:val="21"/>
        </w:rPr>
        <w:t xml:space="preserve"> </w:t>
      </w:r>
      <w:r>
        <w:rPr>
          <w:rFonts w:ascii="Arial"/>
          <w:color w:val="1F1F1F"/>
          <w:w w:val="110"/>
          <w:sz w:val="21"/>
        </w:rPr>
        <w:t>effects</w:t>
      </w:r>
      <w:r>
        <w:rPr>
          <w:rFonts w:ascii="Arial"/>
          <w:color w:val="1F1F1F"/>
          <w:spacing w:val="-22"/>
          <w:w w:val="110"/>
          <w:sz w:val="21"/>
        </w:rPr>
        <w:t xml:space="preserve"> </w:t>
      </w:r>
      <w:r>
        <w:rPr>
          <w:rFonts w:ascii="Arial"/>
          <w:color w:val="1F1F1F"/>
          <w:w w:val="110"/>
          <w:sz w:val="21"/>
        </w:rPr>
        <w:t xml:space="preserve">of </w:t>
      </w:r>
      <w:r>
        <w:rPr>
          <w:rFonts w:ascii="Arial"/>
          <w:color w:val="0C0C0C"/>
          <w:w w:val="110"/>
          <w:sz w:val="21"/>
        </w:rPr>
        <w:t>dumping.</w:t>
      </w:r>
    </w:p>
    <w:p w14:paraId="51DE9248" w14:textId="77777777" w:rsidR="0010369C" w:rsidRDefault="008E43AE">
      <w:pPr>
        <w:spacing w:before="174" w:line="436" w:lineRule="auto"/>
        <w:ind w:left="236" w:right="572"/>
        <w:jc w:val="both"/>
        <w:rPr>
          <w:rFonts w:ascii="Arial"/>
          <w:sz w:val="21"/>
        </w:rPr>
      </w:pPr>
      <w:r>
        <w:rPr>
          <w:rFonts w:ascii="Arial"/>
          <w:color w:val="1F1F1F"/>
          <w:w w:val="105"/>
          <w:sz w:val="21"/>
        </w:rPr>
        <w:t>693.</w:t>
      </w:r>
      <w:r>
        <w:rPr>
          <w:rFonts w:ascii="Arial"/>
          <w:color w:val="1F1F1F"/>
          <w:spacing w:val="40"/>
          <w:w w:val="105"/>
          <w:sz w:val="21"/>
        </w:rPr>
        <w:t xml:space="preserve">  </w:t>
      </w:r>
      <w:r>
        <w:rPr>
          <w:rFonts w:ascii="Arial"/>
          <w:color w:val="1F1F1F"/>
          <w:w w:val="105"/>
          <w:sz w:val="21"/>
        </w:rPr>
        <w:t xml:space="preserve">Table 9 </w:t>
      </w:r>
      <w:r>
        <w:rPr>
          <w:rFonts w:ascii="Arial"/>
          <w:color w:val="0C0C0C"/>
          <w:w w:val="105"/>
          <w:sz w:val="21"/>
        </w:rPr>
        <w:t xml:space="preserve">in </w:t>
      </w:r>
      <w:r>
        <w:rPr>
          <w:rFonts w:ascii="Arial"/>
          <w:color w:val="1F1F1F"/>
          <w:w w:val="105"/>
          <w:sz w:val="21"/>
        </w:rPr>
        <w:t xml:space="preserve">Exhibit AUS-65 {BCI) compares the progressive elimination of the </w:t>
      </w:r>
      <w:r>
        <w:rPr>
          <w:rFonts w:ascii="Arial"/>
          <w:color w:val="0C0C0C"/>
          <w:w w:val="105"/>
          <w:sz w:val="21"/>
        </w:rPr>
        <w:t xml:space="preserve">tariffs </w:t>
      </w:r>
      <w:r>
        <w:rPr>
          <w:rFonts w:ascii="Arial"/>
          <w:color w:val="1F1F1F"/>
          <w:w w:val="105"/>
          <w:sz w:val="21"/>
        </w:rPr>
        <w:t>applied</w:t>
      </w:r>
      <w:r>
        <w:rPr>
          <w:rFonts w:ascii="Arial"/>
          <w:color w:val="1F1F1F"/>
          <w:spacing w:val="-16"/>
          <w:w w:val="105"/>
          <w:sz w:val="21"/>
        </w:rPr>
        <w:t xml:space="preserve"> </w:t>
      </w:r>
      <w:r>
        <w:rPr>
          <w:rFonts w:ascii="Arial"/>
          <w:color w:val="1F1F1F"/>
          <w:w w:val="105"/>
          <w:sz w:val="21"/>
        </w:rPr>
        <w:t>to</w:t>
      </w:r>
      <w:r>
        <w:rPr>
          <w:rFonts w:ascii="Arial"/>
          <w:color w:val="1F1F1F"/>
          <w:spacing w:val="31"/>
          <w:w w:val="105"/>
          <w:sz w:val="21"/>
        </w:rPr>
        <w:t xml:space="preserve"> </w:t>
      </w:r>
      <w:r>
        <w:rPr>
          <w:rFonts w:ascii="Arial"/>
          <w:color w:val="1F1F1F"/>
          <w:w w:val="105"/>
          <w:sz w:val="21"/>
        </w:rPr>
        <w:t>imports</w:t>
      </w:r>
      <w:r>
        <w:rPr>
          <w:rFonts w:ascii="Arial"/>
          <w:color w:val="1F1F1F"/>
          <w:spacing w:val="-1"/>
          <w:w w:val="105"/>
          <w:sz w:val="21"/>
        </w:rPr>
        <w:t xml:space="preserve"> </w:t>
      </w:r>
      <w:r>
        <w:rPr>
          <w:rFonts w:ascii="Arial"/>
          <w:color w:val="1F1F1F"/>
          <w:w w:val="105"/>
          <w:sz w:val="21"/>
        </w:rPr>
        <w:t>of Australian wine</w:t>
      </w:r>
      <w:r>
        <w:rPr>
          <w:rFonts w:ascii="Arial"/>
          <w:color w:val="1F1F1F"/>
          <w:spacing w:val="-12"/>
          <w:w w:val="105"/>
          <w:sz w:val="21"/>
        </w:rPr>
        <w:t xml:space="preserve"> </w:t>
      </w:r>
      <w:r>
        <w:rPr>
          <w:rFonts w:ascii="Arial"/>
          <w:color w:val="1F1F1F"/>
          <w:w w:val="105"/>
          <w:sz w:val="21"/>
        </w:rPr>
        <w:t>under the ChAFTA with</w:t>
      </w:r>
      <w:r>
        <w:rPr>
          <w:rFonts w:ascii="Arial"/>
          <w:color w:val="1F1F1F"/>
          <w:spacing w:val="-16"/>
          <w:w w:val="105"/>
          <w:sz w:val="21"/>
        </w:rPr>
        <w:t xml:space="preserve"> </w:t>
      </w:r>
      <w:r>
        <w:rPr>
          <w:rFonts w:ascii="Arial"/>
          <w:color w:val="1F1F1F"/>
          <w:w w:val="105"/>
          <w:sz w:val="21"/>
        </w:rPr>
        <w:t>the</w:t>
      </w:r>
      <w:r>
        <w:rPr>
          <w:rFonts w:ascii="Arial"/>
          <w:color w:val="1F1F1F"/>
          <w:spacing w:val="-9"/>
          <w:w w:val="105"/>
          <w:sz w:val="21"/>
        </w:rPr>
        <w:t xml:space="preserve"> </w:t>
      </w:r>
      <w:r>
        <w:rPr>
          <w:rFonts w:ascii="Arial"/>
          <w:color w:val="1F1F1F"/>
          <w:w w:val="105"/>
          <w:sz w:val="21"/>
        </w:rPr>
        <w:t>year-to-year changes</w:t>
      </w:r>
      <w:r>
        <w:rPr>
          <w:rFonts w:ascii="Arial"/>
          <w:color w:val="1F1F1F"/>
          <w:spacing w:val="-4"/>
          <w:w w:val="105"/>
          <w:sz w:val="21"/>
        </w:rPr>
        <w:t xml:space="preserve"> </w:t>
      </w:r>
      <w:r>
        <w:rPr>
          <w:rFonts w:ascii="Arial"/>
          <w:color w:val="1F1F1F"/>
          <w:w w:val="105"/>
          <w:sz w:val="21"/>
        </w:rPr>
        <w:t>in</w:t>
      </w:r>
      <w:r>
        <w:rPr>
          <w:rFonts w:ascii="Arial"/>
          <w:color w:val="1F1F1F"/>
          <w:spacing w:val="28"/>
          <w:w w:val="105"/>
          <w:sz w:val="21"/>
        </w:rPr>
        <w:t xml:space="preserve"> </w:t>
      </w:r>
      <w:r>
        <w:rPr>
          <w:rFonts w:ascii="Arial"/>
          <w:color w:val="0C0C0C"/>
          <w:w w:val="105"/>
          <w:sz w:val="21"/>
        </w:rPr>
        <w:t xml:space="preserve">the </w:t>
      </w:r>
      <w:r>
        <w:rPr>
          <w:rFonts w:ascii="Arial"/>
          <w:color w:val="1F1F1F"/>
          <w:w w:val="105"/>
          <w:sz w:val="21"/>
        </w:rPr>
        <w:t>average</w:t>
      </w:r>
      <w:r>
        <w:rPr>
          <w:rFonts w:ascii="Arial"/>
          <w:color w:val="1F1F1F"/>
          <w:spacing w:val="-2"/>
          <w:w w:val="105"/>
          <w:sz w:val="21"/>
        </w:rPr>
        <w:t xml:space="preserve"> </w:t>
      </w:r>
      <w:r>
        <w:rPr>
          <w:rFonts w:ascii="Arial"/>
          <w:color w:val="1F1F1F"/>
          <w:w w:val="105"/>
          <w:sz w:val="21"/>
        </w:rPr>
        <w:t>price</w:t>
      </w:r>
      <w:r>
        <w:rPr>
          <w:rFonts w:ascii="Arial"/>
          <w:color w:val="1F1F1F"/>
          <w:spacing w:val="-11"/>
          <w:w w:val="105"/>
          <w:sz w:val="21"/>
        </w:rPr>
        <w:t xml:space="preserve"> </w:t>
      </w:r>
      <w:r>
        <w:rPr>
          <w:rFonts w:ascii="Arial"/>
          <w:color w:val="1F1F1F"/>
          <w:w w:val="105"/>
          <w:sz w:val="21"/>
        </w:rPr>
        <w:t xml:space="preserve">of subject </w:t>
      </w:r>
      <w:r>
        <w:rPr>
          <w:rFonts w:ascii="Arial"/>
          <w:color w:val="0C0C0C"/>
          <w:w w:val="105"/>
          <w:sz w:val="21"/>
        </w:rPr>
        <w:t>imports</w:t>
      </w:r>
      <w:r>
        <w:rPr>
          <w:rFonts w:ascii="Arial"/>
          <w:color w:val="0C0C0C"/>
          <w:spacing w:val="-6"/>
          <w:w w:val="105"/>
          <w:sz w:val="21"/>
        </w:rPr>
        <w:t xml:space="preserve"> </w:t>
      </w:r>
      <w:r>
        <w:rPr>
          <w:rFonts w:ascii="Arial"/>
          <w:color w:val="0C0C0C"/>
          <w:w w:val="105"/>
          <w:sz w:val="21"/>
        </w:rPr>
        <w:t>in</w:t>
      </w:r>
      <w:r>
        <w:rPr>
          <w:rFonts w:ascii="Arial"/>
          <w:color w:val="0C0C0C"/>
          <w:spacing w:val="-5"/>
          <w:w w:val="105"/>
          <w:sz w:val="21"/>
        </w:rPr>
        <w:t xml:space="preserve"> </w:t>
      </w:r>
      <w:r>
        <w:rPr>
          <w:rFonts w:ascii="Arial"/>
          <w:color w:val="1F1F1F"/>
          <w:w w:val="105"/>
          <w:sz w:val="21"/>
        </w:rPr>
        <w:t>MOFCOM's evidence.</w:t>
      </w:r>
      <w:r>
        <w:rPr>
          <w:rFonts w:ascii="Arial"/>
          <w:color w:val="1F1F1F"/>
          <w:w w:val="105"/>
          <w:position w:val="7"/>
          <w:sz w:val="14"/>
        </w:rPr>
        <w:t>834</w:t>
      </w:r>
      <w:r>
        <w:rPr>
          <w:rFonts w:ascii="Arial"/>
          <w:color w:val="1F1F1F"/>
          <w:spacing w:val="26"/>
          <w:w w:val="105"/>
          <w:position w:val="7"/>
          <w:sz w:val="14"/>
        </w:rPr>
        <w:t xml:space="preserve"> </w:t>
      </w:r>
      <w:r>
        <w:rPr>
          <w:rFonts w:ascii="Arial"/>
          <w:color w:val="1F1F1F"/>
          <w:w w:val="105"/>
          <w:sz w:val="21"/>
        </w:rPr>
        <w:t>Australia also</w:t>
      </w:r>
      <w:r>
        <w:rPr>
          <w:rFonts w:ascii="Arial"/>
          <w:color w:val="1F1F1F"/>
          <w:spacing w:val="-5"/>
          <w:w w:val="105"/>
          <w:sz w:val="21"/>
        </w:rPr>
        <w:t xml:space="preserve"> </w:t>
      </w:r>
      <w:r>
        <w:rPr>
          <w:rFonts w:ascii="Arial"/>
          <w:color w:val="1F1F1F"/>
          <w:w w:val="105"/>
          <w:sz w:val="21"/>
        </w:rPr>
        <w:t>provided</w:t>
      </w:r>
      <w:r>
        <w:rPr>
          <w:rFonts w:ascii="Arial"/>
          <w:color w:val="1F1F1F"/>
          <w:spacing w:val="-3"/>
          <w:w w:val="105"/>
          <w:sz w:val="21"/>
        </w:rPr>
        <w:t xml:space="preserve"> </w:t>
      </w:r>
      <w:r>
        <w:rPr>
          <w:rFonts w:ascii="Arial"/>
          <w:color w:val="1F1F1F"/>
          <w:w w:val="105"/>
          <w:sz w:val="21"/>
        </w:rPr>
        <w:t>evidence to</w:t>
      </w:r>
      <w:r>
        <w:rPr>
          <w:rFonts w:ascii="Arial"/>
          <w:color w:val="1F1F1F"/>
          <w:spacing w:val="-16"/>
          <w:w w:val="105"/>
          <w:sz w:val="21"/>
        </w:rPr>
        <w:t xml:space="preserve"> </w:t>
      </w:r>
      <w:r>
        <w:rPr>
          <w:rFonts w:ascii="Arial"/>
          <w:color w:val="0C0C0C"/>
          <w:w w:val="105"/>
          <w:sz w:val="21"/>
        </w:rPr>
        <w:t>MOFCOM</w:t>
      </w:r>
      <w:r>
        <w:rPr>
          <w:rFonts w:ascii="Arial"/>
          <w:color w:val="0C0C0C"/>
          <w:spacing w:val="-15"/>
          <w:w w:val="105"/>
          <w:sz w:val="21"/>
        </w:rPr>
        <w:t xml:space="preserve"> </w:t>
      </w:r>
      <w:r>
        <w:rPr>
          <w:rFonts w:ascii="Arial"/>
          <w:color w:val="1F1F1F"/>
          <w:w w:val="105"/>
          <w:sz w:val="21"/>
        </w:rPr>
        <w:t>charting</w:t>
      </w:r>
      <w:r>
        <w:rPr>
          <w:rFonts w:ascii="Arial"/>
          <w:color w:val="1F1F1F"/>
          <w:spacing w:val="-15"/>
          <w:w w:val="105"/>
          <w:sz w:val="21"/>
        </w:rPr>
        <w:t xml:space="preserve"> </w:t>
      </w:r>
      <w:r>
        <w:rPr>
          <w:rFonts w:ascii="Arial"/>
          <w:color w:val="1F1F1F"/>
          <w:w w:val="105"/>
          <w:sz w:val="21"/>
        </w:rPr>
        <w:t xml:space="preserve">the </w:t>
      </w:r>
      <w:r>
        <w:rPr>
          <w:rFonts w:ascii="Arial"/>
          <w:color w:val="0C0C0C"/>
          <w:w w:val="105"/>
          <w:sz w:val="21"/>
        </w:rPr>
        <w:t>increase</w:t>
      </w:r>
      <w:r>
        <w:rPr>
          <w:rFonts w:ascii="Arial"/>
          <w:color w:val="0C0C0C"/>
          <w:spacing w:val="-5"/>
          <w:w w:val="105"/>
          <w:sz w:val="21"/>
        </w:rPr>
        <w:t xml:space="preserve"> </w:t>
      </w:r>
      <w:r>
        <w:rPr>
          <w:rFonts w:ascii="Arial"/>
          <w:color w:val="0C0C0C"/>
          <w:w w:val="105"/>
          <w:sz w:val="21"/>
        </w:rPr>
        <w:t xml:space="preserve">in </w:t>
      </w:r>
      <w:r>
        <w:rPr>
          <w:rFonts w:ascii="Arial"/>
          <w:color w:val="1F1F1F"/>
          <w:w w:val="105"/>
          <w:sz w:val="21"/>
        </w:rPr>
        <w:t>export</w:t>
      </w:r>
      <w:r>
        <w:rPr>
          <w:rFonts w:ascii="Arial"/>
          <w:color w:val="1F1F1F"/>
          <w:spacing w:val="-13"/>
          <w:w w:val="105"/>
          <w:sz w:val="21"/>
        </w:rPr>
        <w:t xml:space="preserve"> </w:t>
      </w:r>
      <w:r>
        <w:rPr>
          <w:rFonts w:ascii="Arial"/>
          <w:color w:val="1F1F1F"/>
          <w:w w:val="105"/>
          <w:sz w:val="21"/>
        </w:rPr>
        <w:t>volumes</w:t>
      </w:r>
      <w:r>
        <w:rPr>
          <w:rFonts w:ascii="Arial"/>
          <w:color w:val="1F1F1F"/>
          <w:spacing w:val="-3"/>
          <w:w w:val="105"/>
          <w:sz w:val="21"/>
        </w:rPr>
        <w:t xml:space="preserve"> </w:t>
      </w:r>
      <w:r>
        <w:rPr>
          <w:rFonts w:ascii="Arial"/>
          <w:color w:val="1F1F1F"/>
          <w:w w:val="105"/>
          <w:sz w:val="21"/>
        </w:rPr>
        <w:t>of</w:t>
      </w:r>
      <w:r>
        <w:rPr>
          <w:rFonts w:ascii="Arial"/>
          <w:color w:val="1F1F1F"/>
          <w:spacing w:val="12"/>
          <w:w w:val="105"/>
          <w:sz w:val="21"/>
        </w:rPr>
        <w:t xml:space="preserve"> </w:t>
      </w:r>
      <w:r>
        <w:rPr>
          <w:rFonts w:ascii="Arial"/>
          <w:color w:val="1F1F1F"/>
          <w:w w:val="105"/>
          <w:sz w:val="21"/>
        </w:rPr>
        <w:t>Australian</w:t>
      </w:r>
      <w:r>
        <w:rPr>
          <w:rFonts w:ascii="Arial"/>
          <w:color w:val="1F1F1F"/>
          <w:spacing w:val="-5"/>
          <w:w w:val="105"/>
          <w:sz w:val="21"/>
        </w:rPr>
        <w:t xml:space="preserve"> </w:t>
      </w:r>
      <w:r>
        <w:rPr>
          <w:rFonts w:ascii="Arial"/>
          <w:color w:val="1F1F1F"/>
          <w:w w:val="105"/>
          <w:sz w:val="21"/>
        </w:rPr>
        <w:t>wine</w:t>
      </w:r>
      <w:r>
        <w:rPr>
          <w:rFonts w:ascii="Arial"/>
          <w:color w:val="1F1F1F"/>
          <w:spacing w:val="-16"/>
          <w:w w:val="105"/>
          <w:sz w:val="21"/>
        </w:rPr>
        <w:t xml:space="preserve"> </w:t>
      </w:r>
      <w:r>
        <w:rPr>
          <w:rFonts w:ascii="Arial"/>
          <w:color w:val="1F1F1F"/>
          <w:w w:val="105"/>
          <w:sz w:val="21"/>
        </w:rPr>
        <w:t>products</w:t>
      </w:r>
      <w:r>
        <w:rPr>
          <w:rFonts w:ascii="Arial"/>
          <w:color w:val="1F1F1F"/>
          <w:spacing w:val="-15"/>
          <w:w w:val="105"/>
          <w:sz w:val="21"/>
        </w:rPr>
        <w:t xml:space="preserve"> </w:t>
      </w:r>
      <w:r>
        <w:rPr>
          <w:rFonts w:ascii="Arial"/>
          <w:color w:val="1F1F1F"/>
          <w:w w:val="105"/>
          <w:sz w:val="21"/>
        </w:rPr>
        <w:t>to China</w:t>
      </w:r>
      <w:r>
        <w:rPr>
          <w:rFonts w:ascii="Arial"/>
          <w:color w:val="1F1F1F"/>
          <w:spacing w:val="-16"/>
          <w:w w:val="105"/>
          <w:sz w:val="21"/>
        </w:rPr>
        <w:t xml:space="preserve"> </w:t>
      </w:r>
      <w:r>
        <w:rPr>
          <w:rFonts w:ascii="Arial"/>
          <w:color w:val="1F1F1F"/>
          <w:w w:val="105"/>
          <w:sz w:val="21"/>
        </w:rPr>
        <w:t xml:space="preserve">that coincided with </w:t>
      </w:r>
      <w:r>
        <w:rPr>
          <w:rFonts w:ascii="Arial"/>
          <w:color w:val="0C0C0C"/>
          <w:w w:val="105"/>
          <w:sz w:val="21"/>
        </w:rPr>
        <w:t xml:space="preserve">the </w:t>
      </w:r>
      <w:r>
        <w:rPr>
          <w:rFonts w:ascii="Arial"/>
          <w:color w:val="1F1F1F"/>
          <w:w w:val="105"/>
          <w:sz w:val="21"/>
        </w:rPr>
        <w:t xml:space="preserve">progressive elimination of </w:t>
      </w:r>
      <w:r>
        <w:rPr>
          <w:rFonts w:ascii="Arial"/>
          <w:color w:val="0C0C0C"/>
          <w:w w:val="105"/>
          <w:sz w:val="21"/>
        </w:rPr>
        <w:t xml:space="preserve">tariffs </w:t>
      </w:r>
      <w:r>
        <w:rPr>
          <w:rFonts w:ascii="Arial"/>
          <w:color w:val="1F1F1F"/>
          <w:w w:val="105"/>
          <w:sz w:val="21"/>
        </w:rPr>
        <w:t xml:space="preserve">during </w:t>
      </w:r>
      <w:r>
        <w:rPr>
          <w:rFonts w:ascii="Arial"/>
          <w:color w:val="0C0C0C"/>
          <w:w w:val="105"/>
          <w:sz w:val="21"/>
        </w:rPr>
        <w:t xml:space="preserve">the Injury </w:t>
      </w:r>
      <w:r>
        <w:rPr>
          <w:rFonts w:ascii="Arial"/>
          <w:color w:val="1F1F1F"/>
          <w:w w:val="105"/>
          <w:sz w:val="21"/>
        </w:rPr>
        <w:t>POl.</w:t>
      </w:r>
      <w:r>
        <w:rPr>
          <w:rFonts w:ascii="Times New Roman"/>
          <w:color w:val="1F1F1F"/>
          <w:w w:val="105"/>
          <w:sz w:val="21"/>
          <w:vertAlign w:val="superscript"/>
        </w:rPr>
        <w:t>83</w:t>
      </w:r>
      <w:r>
        <w:rPr>
          <w:rFonts w:ascii="Arial"/>
          <w:color w:val="1F1F1F"/>
          <w:w w:val="105"/>
          <w:sz w:val="21"/>
        </w:rPr>
        <w:t>s</w:t>
      </w:r>
      <w:r>
        <w:rPr>
          <w:rFonts w:ascii="Arial"/>
          <w:color w:val="1F1F1F"/>
          <w:w w:val="105"/>
          <w:sz w:val="21"/>
        </w:rPr>
        <w:t xml:space="preserve"> Australia summarised this evidence in </w:t>
      </w:r>
      <w:r>
        <w:rPr>
          <w:rFonts w:ascii="Arial"/>
          <w:color w:val="0C0C0C"/>
          <w:w w:val="105"/>
          <w:sz w:val="21"/>
        </w:rPr>
        <w:t>the</w:t>
      </w:r>
      <w:r>
        <w:rPr>
          <w:rFonts w:ascii="Arial"/>
          <w:color w:val="0C0C0C"/>
          <w:spacing w:val="40"/>
          <w:w w:val="105"/>
          <w:sz w:val="21"/>
        </w:rPr>
        <w:t xml:space="preserve"> </w:t>
      </w:r>
      <w:r>
        <w:rPr>
          <w:rFonts w:ascii="Arial"/>
          <w:color w:val="0C0C0C"/>
          <w:w w:val="105"/>
          <w:sz w:val="21"/>
        </w:rPr>
        <w:t>figure below.</w:t>
      </w:r>
    </w:p>
    <w:p w14:paraId="51DE9249" w14:textId="77777777" w:rsidR="0010369C" w:rsidRDefault="0010369C">
      <w:pPr>
        <w:pStyle w:val="BodyText"/>
        <w:rPr>
          <w:rFonts w:ascii="Arial"/>
          <w:sz w:val="20"/>
        </w:rPr>
      </w:pPr>
    </w:p>
    <w:p w14:paraId="51DE924A" w14:textId="77777777" w:rsidR="0010369C" w:rsidRDefault="0010369C">
      <w:pPr>
        <w:pStyle w:val="BodyText"/>
        <w:rPr>
          <w:rFonts w:ascii="Arial"/>
          <w:sz w:val="20"/>
        </w:rPr>
      </w:pPr>
    </w:p>
    <w:p w14:paraId="51DE924B" w14:textId="77777777" w:rsidR="0010369C" w:rsidRDefault="0010369C">
      <w:pPr>
        <w:pStyle w:val="BodyText"/>
        <w:rPr>
          <w:rFonts w:ascii="Arial"/>
          <w:sz w:val="20"/>
        </w:rPr>
      </w:pPr>
    </w:p>
    <w:p w14:paraId="51DE924C" w14:textId="77777777" w:rsidR="0010369C" w:rsidRDefault="0010369C">
      <w:pPr>
        <w:pStyle w:val="BodyText"/>
        <w:rPr>
          <w:rFonts w:ascii="Arial"/>
          <w:sz w:val="20"/>
        </w:rPr>
      </w:pPr>
    </w:p>
    <w:p w14:paraId="51DE924D" w14:textId="77777777" w:rsidR="0010369C" w:rsidRDefault="0010369C">
      <w:pPr>
        <w:pStyle w:val="BodyText"/>
        <w:rPr>
          <w:rFonts w:ascii="Arial"/>
          <w:sz w:val="20"/>
        </w:rPr>
      </w:pPr>
    </w:p>
    <w:p w14:paraId="51DE924E" w14:textId="77777777" w:rsidR="0010369C" w:rsidRDefault="0010369C">
      <w:pPr>
        <w:pStyle w:val="BodyText"/>
        <w:rPr>
          <w:rFonts w:ascii="Arial"/>
          <w:sz w:val="20"/>
        </w:rPr>
      </w:pPr>
    </w:p>
    <w:p w14:paraId="51DE924F" w14:textId="77777777" w:rsidR="0010369C" w:rsidRDefault="0010369C">
      <w:pPr>
        <w:pStyle w:val="BodyText"/>
        <w:rPr>
          <w:rFonts w:ascii="Arial"/>
          <w:sz w:val="20"/>
        </w:rPr>
      </w:pPr>
    </w:p>
    <w:p w14:paraId="51DE9250" w14:textId="77777777" w:rsidR="0010369C" w:rsidRDefault="0010369C">
      <w:pPr>
        <w:pStyle w:val="BodyText"/>
        <w:rPr>
          <w:rFonts w:ascii="Arial"/>
          <w:sz w:val="20"/>
        </w:rPr>
      </w:pPr>
    </w:p>
    <w:p w14:paraId="51DE9251" w14:textId="77777777" w:rsidR="0010369C" w:rsidRDefault="0010369C">
      <w:pPr>
        <w:pStyle w:val="BodyText"/>
        <w:rPr>
          <w:rFonts w:ascii="Arial"/>
          <w:sz w:val="20"/>
        </w:rPr>
      </w:pPr>
    </w:p>
    <w:p w14:paraId="51DE9252" w14:textId="77777777" w:rsidR="0010369C" w:rsidRDefault="008E43AE">
      <w:pPr>
        <w:pStyle w:val="BodyText"/>
        <w:spacing w:before="2"/>
        <w:rPr>
          <w:rFonts w:ascii="Arial"/>
          <w:sz w:val="20"/>
        </w:rPr>
      </w:pPr>
      <w:r>
        <w:pict w14:anchorId="51DEA5B1">
          <v:shape id="docshape1162" o:spid="_x0000_s1236" style="position:absolute;margin-left:70.25pt;margin-top:12.85pt;width:145.5pt;height:.1pt;z-index:-250782208;mso-wrap-distance-left:0;mso-wrap-distance-right:0;mso-position-horizontal-relative:page" coordorigin="1405,257" coordsize="2910,0" path="m1405,257r2909,e" filled="f" strokeweight=".53042mm">
            <v:path arrowok="t"/>
            <w10:wrap type="topAndBottom" anchorx="page"/>
          </v:shape>
        </w:pict>
      </w:r>
    </w:p>
    <w:p w14:paraId="51DE9253" w14:textId="77777777" w:rsidR="0010369C" w:rsidRDefault="008E43AE">
      <w:pPr>
        <w:spacing w:before="103"/>
        <w:ind w:left="237"/>
        <w:jc w:val="both"/>
        <w:rPr>
          <w:rFonts w:ascii="Arial"/>
          <w:sz w:val="16"/>
        </w:rPr>
      </w:pPr>
      <w:r>
        <w:rPr>
          <w:rFonts w:ascii="Times New Roman"/>
          <w:color w:val="1F1F1F"/>
          <w:position w:val="6"/>
          <w:sz w:val="12"/>
        </w:rPr>
        <w:t>831</w:t>
      </w:r>
      <w:r>
        <w:rPr>
          <w:rFonts w:ascii="Times New Roman"/>
          <w:color w:val="1F1F1F"/>
          <w:spacing w:val="9"/>
          <w:position w:val="6"/>
          <w:sz w:val="12"/>
        </w:rPr>
        <w:t xml:space="preserve"> </w:t>
      </w:r>
      <w:r>
        <w:rPr>
          <w:rFonts w:ascii="Arial"/>
          <w:color w:val="1F1F1F"/>
          <w:sz w:val="16"/>
        </w:rPr>
        <w:t>Anti-Dumping</w:t>
      </w:r>
      <w:r>
        <w:rPr>
          <w:rFonts w:ascii="Arial"/>
          <w:color w:val="1F1F1F"/>
          <w:spacing w:val="15"/>
          <w:sz w:val="16"/>
        </w:rPr>
        <w:t xml:space="preserve"> </w:t>
      </w:r>
      <w:r>
        <w:rPr>
          <w:rFonts w:ascii="Arial"/>
          <w:color w:val="1F1F1F"/>
          <w:sz w:val="16"/>
        </w:rPr>
        <w:t>Final</w:t>
      </w:r>
      <w:r>
        <w:rPr>
          <w:rFonts w:ascii="Arial"/>
          <w:color w:val="1F1F1F"/>
          <w:spacing w:val="1"/>
          <w:sz w:val="16"/>
        </w:rPr>
        <w:t xml:space="preserve"> </w:t>
      </w:r>
      <w:r>
        <w:rPr>
          <w:rFonts w:ascii="Arial"/>
          <w:color w:val="1F1F1F"/>
          <w:sz w:val="16"/>
        </w:rPr>
        <w:t>Determination</w:t>
      </w:r>
      <w:r>
        <w:rPr>
          <w:rFonts w:ascii="Arial"/>
          <w:color w:val="1F1F1F"/>
          <w:spacing w:val="9"/>
          <w:sz w:val="16"/>
        </w:rPr>
        <w:t xml:space="preserve"> </w:t>
      </w:r>
      <w:r>
        <w:rPr>
          <w:rFonts w:ascii="Arial"/>
          <w:color w:val="1F1F1F"/>
          <w:sz w:val="16"/>
        </w:rPr>
        <w:t>(Exhibit</w:t>
      </w:r>
      <w:r>
        <w:rPr>
          <w:rFonts w:ascii="Arial"/>
          <w:color w:val="1F1F1F"/>
          <w:spacing w:val="15"/>
          <w:sz w:val="16"/>
        </w:rPr>
        <w:t xml:space="preserve"> </w:t>
      </w:r>
      <w:r>
        <w:rPr>
          <w:rFonts w:ascii="Arial"/>
          <w:color w:val="1F1F1F"/>
          <w:sz w:val="16"/>
        </w:rPr>
        <w:t>AUS-2),</w:t>
      </w:r>
      <w:r>
        <w:rPr>
          <w:rFonts w:ascii="Arial"/>
          <w:color w:val="1F1F1F"/>
          <w:spacing w:val="10"/>
          <w:sz w:val="16"/>
        </w:rPr>
        <w:t xml:space="preserve"> </w:t>
      </w:r>
      <w:r>
        <w:rPr>
          <w:rFonts w:ascii="Arial"/>
          <w:color w:val="0C0C0C"/>
          <w:sz w:val="16"/>
        </w:rPr>
        <w:t>pp.</w:t>
      </w:r>
      <w:r>
        <w:rPr>
          <w:rFonts w:ascii="Arial"/>
          <w:color w:val="0C0C0C"/>
          <w:spacing w:val="40"/>
          <w:sz w:val="16"/>
        </w:rPr>
        <w:t xml:space="preserve"> </w:t>
      </w:r>
      <w:r>
        <w:rPr>
          <w:rFonts w:ascii="Arial"/>
          <w:color w:val="1F1F1F"/>
          <w:sz w:val="16"/>
        </w:rPr>
        <w:t>139-</w:t>
      </w:r>
      <w:r>
        <w:rPr>
          <w:rFonts w:ascii="Arial"/>
          <w:color w:val="1F1F1F"/>
          <w:spacing w:val="-4"/>
          <w:sz w:val="16"/>
        </w:rPr>
        <w:t>140.</w:t>
      </w:r>
    </w:p>
    <w:p w14:paraId="51DE9254" w14:textId="77777777" w:rsidR="0010369C" w:rsidRDefault="008E43AE">
      <w:pPr>
        <w:spacing w:before="15" w:line="288" w:lineRule="auto"/>
        <w:ind w:left="234" w:right="576" w:firstLine="3"/>
        <w:jc w:val="both"/>
        <w:rPr>
          <w:rFonts w:ascii="Arial"/>
          <w:sz w:val="16"/>
        </w:rPr>
      </w:pPr>
      <w:r>
        <w:rPr>
          <w:rFonts w:ascii="Times New Roman"/>
          <w:color w:val="1F1F1F"/>
          <w:w w:val="105"/>
          <w:position w:val="6"/>
          <w:sz w:val="12"/>
        </w:rPr>
        <w:t>832</w:t>
      </w:r>
      <w:r>
        <w:rPr>
          <w:rFonts w:ascii="Times New Roman"/>
          <w:color w:val="1F1F1F"/>
          <w:spacing w:val="-2"/>
          <w:w w:val="105"/>
          <w:position w:val="6"/>
          <w:sz w:val="12"/>
        </w:rPr>
        <w:t xml:space="preserve"> </w:t>
      </w:r>
      <w:r>
        <w:rPr>
          <w:rFonts w:ascii="Arial"/>
          <w:color w:val="1F1F1F"/>
          <w:w w:val="105"/>
          <w:sz w:val="16"/>
        </w:rPr>
        <w:t>Australia</w:t>
      </w:r>
      <w:r>
        <w:rPr>
          <w:rFonts w:ascii="Arial"/>
          <w:color w:val="1F1F1F"/>
          <w:spacing w:val="-5"/>
          <w:w w:val="105"/>
          <w:sz w:val="16"/>
        </w:rPr>
        <w:t xml:space="preserve"> </w:t>
      </w:r>
      <w:r>
        <w:rPr>
          <w:rFonts w:ascii="Arial"/>
          <w:color w:val="1F1F1F"/>
          <w:w w:val="105"/>
          <w:sz w:val="16"/>
        </w:rPr>
        <w:t>notes</w:t>
      </w:r>
      <w:r>
        <w:rPr>
          <w:rFonts w:ascii="Arial"/>
          <w:color w:val="1F1F1F"/>
          <w:spacing w:val="-11"/>
          <w:w w:val="105"/>
          <w:sz w:val="16"/>
        </w:rPr>
        <w:t xml:space="preserve"> </w:t>
      </w:r>
      <w:r>
        <w:rPr>
          <w:rFonts w:ascii="Arial"/>
          <w:color w:val="1F1F1F"/>
          <w:w w:val="105"/>
          <w:sz w:val="16"/>
        </w:rPr>
        <w:t>that a</w:t>
      </w:r>
      <w:r>
        <w:rPr>
          <w:rFonts w:ascii="Arial"/>
          <w:color w:val="1F1F1F"/>
          <w:spacing w:val="-11"/>
          <w:w w:val="105"/>
          <w:sz w:val="16"/>
        </w:rPr>
        <w:t xml:space="preserve"> </w:t>
      </w:r>
      <w:r>
        <w:rPr>
          <w:rFonts w:ascii="Arial"/>
          <w:color w:val="1F1F1F"/>
          <w:w w:val="105"/>
          <w:sz w:val="16"/>
        </w:rPr>
        <w:t xml:space="preserve">determination that subject </w:t>
      </w:r>
      <w:r>
        <w:rPr>
          <w:rFonts w:ascii="Arial"/>
          <w:color w:val="3F3F3F"/>
          <w:w w:val="105"/>
          <w:sz w:val="16"/>
        </w:rPr>
        <w:t>imports</w:t>
      </w:r>
      <w:r>
        <w:rPr>
          <w:rFonts w:ascii="Arial"/>
          <w:color w:val="3F3F3F"/>
          <w:spacing w:val="-12"/>
          <w:w w:val="105"/>
          <w:sz w:val="16"/>
        </w:rPr>
        <w:t xml:space="preserve"> </w:t>
      </w:r>
      <w:r>
        <w:rPr>
          <w:rFonts w:ascii="Arial"/>
          <w:color w:val="1F1F1F"/>
          <w:w w:val="105"/>
          <w:sz w:val="16"/>
        </w:rPr>
        <w:t>have</w:t>
      </w:r>
      <w:r>
        <w:rPr>
          <w:rFonts w:ascii="Arial"/>
          <w:color w:val="1F1F1F"/>
          <w:spacing w:val="-12"/>
          <w:w w:val="105"/>
          <w:sz w:val="16"/>
        </w:rPr>
        <w:t xml:space="preserve"> </w:t>
      </w:r>
      <w:r>
        <w:rPr>
          <w:rFonts w:ascii="Arial"/>
          <w:color w:val="1F1F1F"/>
          <w:w w:val="105"/>
          <w:sz w:val="16"/>
        </w:rPr>
        <w:t>caused</w:t>
      </w:r>
      <w:r>
        <w:rPr>
          <w:rFonts w:ascii="Arial"/>
          <w:color w:val="1F1F1F"/>
          <w:spacing w:val="-9"/>
          <w:w w:val="105"/>
          <w:sz w:val="16"/>
        </w:rPr>
        <w:t xml:space="preserve"> </w:t>
      </w:r>
      <w:r>
        <w:rPr>
          <w:rFonts w:ascii="Arial"/>
          <w:color w:val="3F3F3F"/>
          <w:w w:val="105"/>
          <w:sz w:val="16"/>
        </w:rPr>
        <w:t>injury</w:t>
      </w:r>
      <w:r>
        <w:rPr>
          <w:rFonts w:ascii="Arial"/>
          <w:color w:val="3F3F3F"/>
          <w:spacing w:val="-4"/>
          <w:w w:val="105"/>
          <w:sz w:val="16"/>
        </w:rPr>
        <w:t xml:space="preserve"> </w:t>
      </w:r>
      <w:r>
        <w:rPr>
          <w:rFonts w:ascii="Arial"/>
          <w:color w:val="0C0C0C"/>
          <w:w w:val="105"/>
          <w:sz w:val="16"/>
        </w:rPr>
        <w:t>through</w:t>
      </w:r>
      <w:r>
        <w:rPr>
          <w:rFonts w:ascii="Arial"/>
          <w:color w:val="0C0C0C"/>
          <w:spacing w:val="-12"/>
          <w:w w:val="105"/>
          <w:sz w:val="16"/>
        </w:rPr>
        <w:t xml:space="preserve"> </w:t>
      </w:r>
      <w:r>
        <w:rPr>
          <w:rFonts w:ascii="Arial"/>
          <w:color w:val="1F1F1F"/>
          <w:w w:val="105"/>
          <w:sz w:val="16"/>
        </w:rPr>
        <w:t>price</w:t>
      </w:r>
      <w:r>
        <w:rPr>
          <w:rFonts w:ascii="Arial"/>
          <w:color w:val="1F1F1F"/>
          <w:spacing w:val="-2"/>
          <w:w w:val="105"/>
          <w:sz w:val="16"/>
        </w:rPr>
        <w:t xml:space="preserve"> </w:t>
      </w:r>
      <w:r>
        <w:rPr>
          <w:rFonts w:ascii="Arial"/>
          <w:color w:val="1F1F1F"/>
          <w:w w:val="105"/>
          <w:sz w:val="16"/>
        </w:rPr>
        <w:t>suppression</w:t>
      </w:r>
      <w:r>
        <w:rPr>
          <w:rFonts w:ascii="Arial"/>
          <w:color w:val="1F1F1F"/>
          <w:spacing w:val="-3"/>
          <w:w w:val="105"/>
          <w:sz w:val="16"/>
        </w:rPr>
        <w:t xml:space="preserve"> </w:t>
      </w:r>
      <w:r>
        <w:rPr>
          <w:rFonts w:ascii="Arial"/>
          <w:color w:val="1F1F1F"/>
          <w:w w:val="105"/>
          <w:sz w:val="16"/>
        </w:rPr>
        <w:t>must</w:t>
      </w:r>
      <w:r>
        <w:rPr>
          <w:rFonts w:ascii="Arial"/>
          <w:color w:val="1F1F1F"/>
          <w:spacing w:val="-7"/>
          <w:w w:val="105"/>
          <w:sz w:val="16"/>
        </w:rPr>
        <w:t xml:space="preserve"> </w:t>
      </w:r>
      <w:r>
        <w:rPr>
          <w:rFonts w:ascii="Arial"/>
          <w:color w:val="1F1F1F"/>
          <w:w w:val="105"/>
          <w:sz w:val="16"/>
        </w:rPr>
        <w:t>be</w:t>
      </w:r>
      <w:r>
        <w:rPr>
          <w:rFonts w:ascii="Arial"/>
          <w:color w:val="1F1F1F"/>
          <w:spacing w:val="-12"/>
          <w:w w:val="105"/>
          <w:sz w:val="16"/>
        </w:rPr>
        <w:t xml:space="preserve"> </w:t>
      </w:r>
      <w:r>
        <w:rPr>
          <w:rFonts w:ascii="Arial"/>
          <w:color w:val="1F1F1F"/>
          <w:w w:val="105"/>
          <w:sz w:val="16"/>
        </w:rPr>
        <w:t>based</w:t>
      </w:r>
      <w:r>
        <w:rPr>
          <w:rFonts w:ascii="Arial"/>
          <w:color w:val="1F1F1F"/>
          <w:spacing w:val="-8"/>
          <w:w w:val="105"/>
          <w:sz w:val="16"/>
        </w:rPr>
        <w:t xml:space="preserve"> </w:t>
      </w:r>
      <w:r>
        <w:rPr>
          <w:rFonts w:ascii="Arial"/>
          <w:color w:val="1F1F1F"/>
          <w:w w:val="105"/>
          <w:sz w:val="16"/>
        </w:rPr>
        <w:t xml:space="preserve">on </w:t>
      </w:r>
      <w:r>
        <w:rPr>
          <w:rFonts w:ascii="Arial"/>
          <w:color w:val="1F1F1F"/>
          <w:spacing w:val="-2"/>
          <w:w w:val="110"/>
          <w:sz w:val="16"/>
        </w:rPr>
        <w:t>an</w:t>
      </w:r>
      <w:r>
        <w:rPr>
          <w:rFonts w:ascii="Arial"/>
          <w:color w:val="1F1F1F"/>
          <w:spacing w:val="-11"/>
          <w:w w:val="110"/>
          <w:sz w:val="16"/>
        </w:rPr>
        <w:t xml:space="preserve"> </w:t>
      </w:r>
      <w:r>
        <w:rPr>
          <w:rFonts w:ascii="Arial"/>
          <w:color w:val="1F1F1F"/>
          <w:spacing w:val="-2"/>
          <w:w w:val="110"/>
          <w:sz w:val="16"/>
        </w:rPr>
        <w:t>examination</w:t>
      </w:r>
      <w:r>
        <w:rPr>
          <w:rFonts w:ascii="Arial"/>
          <w:color w:val="1F1F1F"/>
          <w:spacing w:val="-10"/>
          <w:w w:val="110"/>
          <w:sz w:val="16"/>
        </w:rPr>
        <w:t xml:space="preserve"> </w:t>
      </w:r>
      <w:r>
        <w:rPr>
          <w:rFonts w:ascii="Arial"/>
          <w:color w:val="1F1F1F"/>
          <w:spacing w:val="-2"/>
          <w:w w:val="110"/>
          <w:sz w:val="16"/>
        </w:rPr>
        <w:t>of</w:t>
      </w:r>
      <w:r>
        <w:rPr>
          <w:rFonts w:ascii="Arial"/>
          <w:color w:val="1F1F1F"/>
          <w:spacing w:val="-10"/>
          <w:w w:val="110"/>
          <w:sz w:val="16"/>
        </w:rPr>
        <w:t xml:space="preserve"> </w:t>
      </w:r>
      <w:r>
        <w:rPr>
          <w:rFonts w:ascii="Arial"/>
          <w:color w:val="1F1F1F"/>
          <w:spacing w:val="-2"/>
          <w:w w:val="110"/>
          <w:sz w:val="16"/>
        </w:rPr>
        <w:t>the</w:t>
      </w:r>
      <w:r>
        <w:rPr>
          <w:rFonts w:ascii="Arial"/>
          <w:color w:val="1F1F1F"/>
          <w:spacing w:val="-10"/>
          <w:w w:val="110"/>
          <w:sz w:val="16"/>
        </w:rPr>
        <w:t xml:space="preserve"> </w:t>
      </w:r>
      <w:r>
        <w:rPr>
          <w:rFonts w:ascii="Arial"/>
          <w:color w:val="1F1F1F"/>
          <w:spacing w:val="-2"/>
          <w:w w:val="110"/>
          <w:sz w:val="16"/>
        </w:rPr>
        <w:t>effects</w:t>
      </w:r>
      <w:r>
        <w:rPr>
          <w:rFonts w:ascii="Arial"/>
          <w:color w:val="1F1F1F"/>
          <w:spacing w:val="-11"/>
          <w:w w:val="110"/>
          <w:sz w:val="16"/>
        </w:rPr>
        <w:t xml:space="preserve"> </w:t>
      </w:r>
      <w:r>
        <w:rPr>
          <w:rFonts w:ascii="Arial"/>
          <w:color w:val="1F1F1F"/>
          <w:spacing w:val="-2"/>
          <w:w w:val="110"/>
          <w:sz w:val="16"/>
        </w:rPr>
        <w:t>of</w:t>
      </w:r>
      <w:r>
        <w:rPr>
          <w:rFonts w:ascii="Arial"/>
          <w:color w:val="1F1F1F"/>
          <w:spacing w:val="-10"/>
          <w:w w:val="110"/>
          <w:sz w:val="16"/>
        </w:rPr>
        <w:t xml:space="preserve"> </w:t>
      </w:r>
      <w:r>
        <w:rPr>
          <w:rFonts w:ascii="Arial"/>
          <w:color w:val="3F3F3F"/>
          <w:spacing w:val="-2"/>
          <w:w w:val="110"/>
          <w:sz w:val="16"/>
        </w:rPr>
        <w:t>"prices</w:t>
      </w:r>
      <w:r>
        <w:rPr>
          <w:rFonts w:ascii="Arial"/>
          <w:color w:val="3F3F3F"/>
          <w:spacing w:val="-10"/>
          <w:w w:val="110"/>
          <w:sz w:val="16"/>
        </w:rPr>
        <w:t xml:space="preserve"> </w:t>
      </w:r>
      <w:r>
        <w:rPr>
          <w:rFonts w:ascii="Arial"/>
          <w:color w:val="0C0C0C"/>
          <w:spacing w:val="-2"/>
          <w:w w:val="110"/>
          <w:sz w:val="16"/>
        </w:rPr>
        <w:t>that</w:t>
      </w:r>
      <w:r>
        <w:rPr>
          <w:rFonts w:ascii="Arial"/>
          <w:color w:val="0C0C0C"/>
          <w:spacing w:val="-10"/>
          <w:w w:val="110"/>
          <w:sz w:val="16"/>
        </w:rPr>
        <w:t xml:space="preserve"> </w:t>
      </w:r>
      <w:r>
        <w:rPr>
          <w:rFonts w:ascii="Arial"/>
          <w:color w:val="1F1F1F"/>
          <w:spacing w:val="-2"/>
          <w:w w:val="110"/>
          <w:sz w:val="16"/>
        </w:rPr>
        <w:t>are</w:t>
      </w:r>
      <w:r>
        <w:rPr>
          <w:rFonts w:ascii="Arial"/>
          <w:color w:val="1F1F1F"/>
          <w:spacing w:val="-11"/>
          <w:w w:val="110"/>
          <w:sz w:val="16"/>
        </w:rPr>
        <w:t xml:space="preserve"> </w:t>
      </w:r>
      <w:r>
        <w:rPr>
          <w:rFonts w:ascii="Arial"/>
          <w:color w:val="1F1F1F"/>
          <w:spacing w:val="-2"/>
          <w:w w:val="110"/>
          <w:sz w:val="16"/>
        </w:rPr>
        <w:t>related</w:t>
      </w:r>
      <w:r>
        <w:rPr>
          <w:rFonts w:ascii="Arial"/>
          <w:color w:val="1F1F1F"/>
          <w:spacing w:val="-10"/>
          <w:w w:val="110"/>
          <w:sz w:val="16"/>
        </w:rPr>
        <w:t xml:space="preserve"> </w:t>
      </w:r>
      <w:r>
        <w:rPr>
          <w:rFonts w:ascii="Arial"/>
          <w:color w:val="1F1F1F"/>
          <w:spacing w:val="-2"/>
          <w:w w:val="110"/>
          <w:sz w:val="16"/>
        </w:rPr>
        <w:t>to</w:t>
      </w:r>
      <w:r>
        <w:rPr>
          <w:rFonts w:ascii="Arial"/>
          <w:color w:val="1F1F1F"/>
          <w:spacing w:val="-10"/>
          <w:w w:val="110"/>
          <w:sz w:val="16"/>
        </w:rPr>
        <w:t xml:space="preserve"> </w:t>
      </w:r>
      <w:r>
        <w:rPr>
          <w:rFonts w:ascii="Arial"/>
          <w:color w:val="1F1F1F"/>
          <w:spacing w:val="-2"/>
          <w:w w:val="110"/>
          <w:sz w:val="16"/>
        </w:rPr>
        <w:t>the</w:t>
      </w:r>
      <w:r>
        <w:rPr>
          <w:rFonts w:ascii="Arial"/>
          <w:color w:val="1F1F1F"/>
          <w:spacing w:val="-10"/>
          <w:w w:val="110"/>
          <w:sz w:val="16"/>
        </w:rPr>
        <w:t xml:space="preserve"> </w:t>
      </w:r>
      <w:r>
        <w:rPr>
          <w:rFonts w:ascii="Arial"/>
          <w:color w:val="1F1F1F"/>
          <w:spacing w:val="-2"/>
          <w:w w:val="110"/>
          <w:sz w:val="16"/>
        </w:rPr>
        <w:t>domestic</w:t>
      </w:r>
      <w:r>
        <w:rPr>
          <w:rFonts w:ascii="Arial"/>
          <w:color w:val="1F1F1F"/>
          <w:spacing w:val="-10"/>
          <w:w w:val="110"/>
          <w:sz w:val="16"/>
        </w:rPr>
        <w:t xml:space="preserve"> </w:t>
      </w:r>
      <w:r>
        <w:rPr>
          <w:rFonts w:ascii="Arial"/>
          <w:color w:val="1F1F1F"/>
          <w:spacing w:val="-2"/>
          <w:w w:val="110"/>
          <w:sz w:val="16"/>
        </w:rPr>
        <w:t>market</w:t>
      </w:r>
      <w:r>
        <w:rPr>
          <w:rFonts w:ascii="Arial"/>
          <w:color w:val="1F1F1F"/>
          <w:spacing w:val="-11"/>
          <w:w w:val="110"/>
          <w:sz w:val="16"/>
        </w:rPr>
        <w:t xml:space="preserve"> </w:t>
      </w:r>
      <w:r>
        <w:rPr>
          <w:rFonts w:ascii="Arial"/>
          <w:color w:val="1F1F1F"/>
          <w:spacing w:val="-2"/>
          <w:w w:val="110"/>
          <w:sz w:val="16"/>
        </w:rPr>
        <w:t>conditions</w:t>
      </w:r>
      <w:r>
        <w:rPr>
          <w:rFonts w:ascii="Arial"/>
          <w:color w:val="1F1F1F"/>
          <w:spacing w:val="-10"/>
          <w:w w:val="110"/>
          <w:sz w:val="16"/>
        </w:rPr>
        <w:t xml:space="preserve"> </w:t>
      </w:r>
      <w:r>
        <w:rPr>
          <w:rFonts w:ascii="Arial"/>
          <w:color w:val="1F1F1F"/>
          <w:spacing w:val="-2"/>
          <w:w w:val="110"/>
          <w:sz w:val="16"/>
        </w:rPr>
        <w:t>of</w:t>
      </w:r>
      <w:r>
        <w:rPr>
          <w:rFonts w:ascii="Arial"/>
          <w:color w:val="1F1F1F"/>
          <w:spacing w:val="-9"/>
          <w:w w:val="110"/>
          <w:sz w:val="16"/>
        </w:rPr>
        <w:t xml:space="preserve"> </w:t>
      </w:r>
      <w:r>
        <w:rPr>
          <w:rFonts w:ascii="Arial"/>
          <w:color w:val="1F1F1F"/>
          <w:spacing w:val="-2"/>
          <w:w w:val="110"/>
          <w:sz w:val="16"/>
        </w:rPr>
        <w:t>the importingMember"</w:t>
      </w:r>
      <w:r>
        <w:rPr>
          <w:rFonts w:ascii="Arial"/>
          <w:color w:val="1F1F1F"/>
          <w:spacing w:val="-6"/>
          <w:w w:val="110"/>
          <w:sz w:val="16"/>
        </w:rPr>
        <w:t xml:space="preserve"> </w:t>
      </w:r>
      <w:r>
        <w:rPr>
          <w:rFonts w:ascii="Arial"/>
          <w:color w:val="1F1F1F"/>
          <w:spacing w:val="-2"/>
          <w:w w:val="110"/>
          <w:sz w:val="16"/>
        </w:rPr>
        <w:t>-</w:t>
      </w:r>
      <w:r>
        <w:rPr>
          <w:rFonts w:ascii="Arial"/>
          <w:color w:val="1F1F1F"/>
          <w:spacing w:val="80"/>
          <w:w w:val="150"/>
          <w:sz w:val="16"/>
        </w:rPr>
        <w:t xml:space="preserve"> </w:t>
      </w:r>
      <w:r>
        <w:rPr>
          <w:rFonts w:ascii="Arial"/>
          <w:color w:val="1F1F1F"/>
          <w:spacing w:val="-2"/>
          <w:w w:val="110"/>
          <w:sz w:val="16"/>
        </w:rPr>
        <w:t xml:space="preserve">that </w:t>
      </w:r>
      <w:r>
        <w:rPr>
          <w:rFonts w:ascii="Arial"/>
          <w:color w:val="1F1F1F"/>
          <w:w w:val="105"/>
          <w:sz w:val="16"/>
        </w:rPr>
        <w:t>is,that</w:t>
      </w:r>
      <w:r>
        <w:rPr>
          <w:rFonts w:ascii="Arial"/>
          <w:color w:val="1F1F1F"/>
          <w:spacing w:val="-8"/>
          <w:w w:val="105"/>
          <w:sz w:val="16"/>
        </w:rPr>
        <w:t xml:space="preserve"> </w:t>
      </w:r>
      <w:r>
        <w:rPr>
          <w:rFonts w:ascii="Arial"/>
          <w:color w:val="3F3F3F"/>
          <w:w w:val="105"/>
          <w:sz w:val="16"/>
        </w:rPr>
        <w:t>landed</w:t>
      </w:r>
      <w:r>
        <w:rPr>
          <w:rFonts w:ascii="Arial"/>
          <w:color w:val="3F3F3F"/>
          <w:spacing w:val="-11"/>
          <w:w w:val="105"/>
          <w:sz w:val="16"/>
        </w:rPr>
        <w:t xml:space="preserve"> </w:t>
      </w:r>
      <w:r>
        <w:rPr>
          <w:rFonts w:ascii="Arial"/>
          <w:color w:val="1F1F1F"/>
          <w:w w:val="105"/>
          <w:sz w:val="16"/>
        </w:rPr>
        <w:t>prices at</w:t>
      </w:r>
      <w:r>
        <w:rPr>
          <w:rFonts w:ascii="Arial"/>
          <w:color w:val="1F1F1F"/>
          <w:spacing w:val="20"/>
          <w:w w:val="105"/>
          <w:sz w:val="16"/>
        </w:rPr>
        <w:t xml:space="preserve"> </w:t>
      </w:r>
      <w:r>
        <w:rPr>
          <w:rFonts w:ascii="Arial"/>
          <w:color w:val="1F1F1F"/>
          <w:w w:val="105"/>
          <w:sz w:val="16"/>
        </w:rPr>
        <w:t>which</w:t>
      </w:r>
      <w:r>
        <w:rPr>
          <w:rFonts w:ascii="Arial"/>
          <w:color w:val="1F1F1F"/>
          <w:spacing w:val="-12"/>
          <w:w w:val="105"/>
          <w:sz w:val="16"/>
        </w:rPr>
        <w:t xml:space="preserve"> </w:t>
      </w:r>
      <w:r>
        <w:rPr>
          <w:rFonts w:ascii="Arial"/>
          <w:color w:val="1F1F1F"/>
          <w:w w:val="105"/>
          <w:sz w:val="16"/>
        </w:rPr>
        <w:t>the</w:t>
      </w:r>
      <w:r>
        <w:rPr>
          <w:rFonts w:ascii="Arial"/>
          <w:color w:val="1F1F1F"/>
          <w:spacing w:val="17"/>
          <w:w w:val="105"/>
          <w:sz w:val="16"/>
        </w:rPr>
        <w:t xml:space="preserve"> </w:t>
      </w:r>
      <w:r>
        <w:rPr>
          <w:rFonts w:ascii="Arial"/>
          <w:color w:val="1F1F1F"/>
          <w:w w:val="105"/>
          <w:sz w:val="16"/>
        </w:rPr>
        <w:t>subject</w:t>
      </w:r>
      <w:r>
        <w:rPr>
          <w:rFonts w:ascii="Arial"/>
          <w:color w:val="1F1F1F"/>
          <w:spacing w:val="-1"/>
          <w:w w:val="105"/>
          <w:sz w:val="16"/>
        </w:rPr>
        <w:t xml:space="preserve"> </w:t>
      </w:r>
      <w:r>
        <w:rPr>
          <w:rFonts w:ascii="Arial"/>
          <w:color w:val="1F1F1F"/>
          <w:w w:val="105"/>
          <w:sz w:val="16"/>
        </w:rPr>
        <w:t>goods</w:t>
      </w:r>
      <w:r>
        <w:rPr>
          <w:rFonts w:ascii="Arial"/>
          <w:color w:val="1F1F1F"/>
          <w:spacing w:val="-11"/>
          <w:w w:val="105"/>
          <w:sz w:val="16"/>
        </w:rPr>
        <w:t xml:space="preserve"> </w:t>
      </w:r>
      <w:r>
        <w:rPr>
          <w:rFonts w:ascii="Arial"/>
          <w:color w:val="1F1F1F"/>
          <w:w w:val="105"/>
          <w:sz w:val="16"/>
        </w:rPr>
        <w:t>are</w:t>
      </w:r>
      <w:r>
        <w:rPr>
          <w:rFonts w:ascii="Arial"/>
          <w:color w:val="1F1F1F"/>
          <w:spacing w:val="-6"/>
          <w:w w:val="105"/>
          <w:sz w:val="16"/>
        </w:rPr>
        <w:t xml:space="preserve"> </w:t>
      </w:r>
      <w:r>
        <w:rPr>
          <w:rFonts w:ascii="Arial"/>
          <w:color w:val="1F1F1F"/>
          <w:w w:val="105"/>
          <w:sz w:val="16"/>
        </w:rPr>
        <w:t>alleged</w:t>
      </w:r>
      <w:r>
        <w:rPr>
          <w:rFonts w:ascii="Arial"/>
          <w:color w:val="1F1F1F"/>
          <w:spacing w:val="-10"/>
          <w:w w:val="105"/>
          <w:sz w:val="16"/>
        </w:rPr>
        <w:t xml:space="preserve"> </w:t>
      </w:r>
      <w:r>
        <w:rPr>
          <w:rFonts w:ascii="Arial"/>
          <w:color w:val="1F1F1F"/>
          <w:w w:val="105"/>
          <w:sz w:val="16"/>
        </w:rPr>
        <w:t>to</w:t>
      </w:r>
      <w:r>
        <w:rPr>
          <w:rFonts w:ascii="Arial"/>
          <w:color w:val="1F1F1F"/>
          <w:spacing w:val="34"/>
          <w:w w:val="105"/>
          <w:sz w:val="16"/>
        </w:rPr>
        <w:t xml:space="preserve"> </w:t>
      </w:r>
      <w:r>
        <w:rPr>
          <w:rFonts w:ascii="Arial"/>
          <w:color w:val="1F1F1F"/>
          <w:w w:val="105"/>
          <w:sz w:val="16"/>
        </w:rPr>
        <w:t>compete</w:t>
      </w:r>
      <w:r>
        <w:rPr>
          <w:rFonts w:ascii="Arial"/>
          <w:color w:val="1F1F1F"/>
          <w:spacing w:val="17"/>
          <w:w w:val="105"/>
          <w:sz w:val="16"/>
        </w:rPr>
        <w:t xml:space="preserve"> </w:t>
      </w:r>
      <w:r>
        <w:rPr>
          <w:rFonts w:ascii="Arial"/>
          <w:color w:val="1F1F1F"/>
          <w:w w:val="105"/>
          <w:sz w:val="16"/>
        </w:rPr>
        <w:t xml:space="preserve">withdomestic </w:t>
      </w:r>
      <w:r>
        <w:rPr>
          <w:rFonts w:ascii="Arial"/>
          <w:color w:val="3F3F3F"/>
          <w:w w:val="105"/>
          <w:sz w:val="16"/>
        </w:rPr>
        <w:t>like</w:t>
      </w:r>
      <w:r>
        <w:rPr>
          <w:rFonts w:ascii="Arial"/>
          <w:color w:val="3F3F3F"/>
          <w:spacing w:val="-11"/>
          <w:w w:val="105"/>
          <w:sz w:val="16"/>
        </w:rPr>
        <w:t xml:space="preserve"> </w:t>
      </w:r>
      <w:r>
        <w:rPr>
          <w:rFonts w:ascii="Arial"/>
          <w:color w:val="1F1F1F"/>
          <w:w w:val="105"/>
          <w:sz w:val="16"/>
        </w:rPr>
        <w:t>products within</w:t>
      </w:r>
      <w:r>
        <w:rPr>
          <w:rFonts w:ascii="Arial"/>
          <w:color w:val="1F1F1F"/>
          <w:spacing w:val="-12"/>
          <w:w w:val="105"/>
          <w:sz w:val="16"/>
        </w:rPr>
        <w:t xml:space="preserve"> </w:t>
      </w:r>
      <w:r>
        <w:rPr>
          <w:rFonts w:ascii="Arial"/>
          <w:color w:val="1F1F1F"/>
          <w:w w:val="105"/>
          <w:sz w:val="16"/>
        </w:rPr>
        <w:t>that</w:t>
      </w:r>
      <w:r>
        <w:rPr>
          <w:rFonts w:ascii="Arial"/>
          <w:color w:val="1F1F1F"/>
          <w:spacing w:val="-1"/>
          <w:w w:val="105"/>
          <w:sz w:val="16"/>
        </w:rPr>
        <w:t xml:space="preserve"> </w:t>
      </w:r>
      <w:r>
        <w:rPr>
          <w:rFonts w:ascii="Arial"/>
          <w:color w:val="1F1F1F"/>
          <w:w w:val="105"/>
          <w:sz w:val="16"/>
        </w:rPr>
        <w:t>market.</w:t>
      </w:r>
      <w:r>
        <w:rPr>
          <w:rFonts w:ascii="Arial"/>
          <w:color w:val="1F1F1F"/>
          <w:spacing w:val="-4"/>
          <w:w w:val="105"/>
          <w:sz w:val="16"/>
        </w:rPr>
        <w:t xml:space="preserve"> </w:t>
      </w:r>
      <w:r>
        <w:rPr>
          <w:rFonts w:ascii="Arial"/>
          <w:color w:val="1F1F1F"/>
          <w:w w:val="105"/>
          <w:sz w:val="16"/>
        </w:rPr>
        <w:t>This price</w:t>
      </w:r>
      <w:r>
        <w:rPr>
          <w:rFonts w:ascii="Arial"/>
          <w:color w:val="1F1F1F"/>
          <w:spacing w:val="-12"/>
          <w:w w:val="105"/>
          <w:sz w:val="16"/>
        </w:rPr>
        <w:t xml:space="preserve"> </w:t>
      </w:r>
      <w:r>
        <w:rPr>
          <w:rFonts w:ascii="Arial"/>
          <w:color w:val="1F1F1F"/>
          <w:w w:val="105"/>
          <w:sz w:val="16"/>
        </w:rPr>
        <w:t>must</w:t>
      </w:r>
      <w:r>
        <w:rPr>
          <w:rFonts w:ascii="Arial"/>
          <w:color w:val="1F1F1F"/>
          <w:spacing w:val="-12"/>
          <w:w w:val="105"/>
          <w:sz w:val="16"/>
        </w:rPr>
        <w:t xml:space="preserve"> </w:t>
      </w:r>
      <w:r>
        <w:rPr>
          <w:rFonts w:ascii="Arial"/>
          <w:color w:val="1F1F1F"/>
          <w:w w:val="105"/>
          <w:sz w:val="16"/>
        </w:rPr>
        <w:t>necessarily</w:t>
      </w:r>
      <w:r>
        <w:rPr>
          <w:rFonts w:ascii="Arial"/>
          <w:color w:val="1F1F1F"/>
          <w:spacing w:val="-11"/>
          <w:w w:val="105"/>
          <w:sz w:val="16"/>
        </w:rPr>
        <w:t xml:space="preserve"> </w:t>
      </w:r>
      <w:r>
        <w:rPr>
          <w:rFonts w:ascii="Arial"/>
          <w:color w:val="1F1F1F"/>
          <w:w w:val="105"/>
          <w:sz w:val="16"/>
        </w:rPr>
        <w:t>include</w:t>
      </w:r>
      <w:r>
        <w:rPr>
          <w:rFonts w:ascii="Arial"/>
          <w:color w:val="1F1F1F"/>
          <w:spacing w:val="-12"/>
          <w:w w:val="105"/>
          <w:sz w:val="16"/>
        </w:rPr>
        <w:t xml:space="preserve"> </w:t>
      </w:r>
      <w:r>
        <w:rPr>
          <w:rFonts w:ascii="Arial"/>
          <w:color w:val="1F1F1F"/>
          <w:w w:val="105"/>
          <w:sz w:val="16"/>
        </w:rPr>
        <w:t>any</w:t>
      </w:r>
      <w:r>
        <w:rPr>
          <w:rFonts w:ascii="Arial"/>
          <w:color w:val="1F1F1F"/>
          <w:spacing w:val="-12"/>
          <w:w w:val="105"/>
          <w:sz w:val="16"/>
        </w:rPr>
        <w:t xml:space="preserve"> </w:t>
      </w:r>
      <w:r>
        <w:rPr>
          <w:rFonts w:ascii="Arial"/>
          <w:color w:val="1F1F1F"/>
          <w:w w:val="105"/>
          <w:sz w:val="16"/>
        </w:rPr>
        <w:t>applicable</w:t>
      </w:r>
      <w:r>
        <w:rPr>
          <w:rFonts w:ascii="Arial"/>
          <w:color w:val="1F1F1F"/>
          <w:spacing w:val="-12"/>
          <w:w w:val="105"/>
          <w:sz w:val="16"/>
        </w:rPr>
        <w:t xml:space="preserve"> </w:t>
      </w:r>
      <w:r>
        <w:rPr>
          <w:rFonts w:ascii="Arial"/>
          <w:color w:val="1F1F1F"/>
          <w:w w:val="105"/>
          <w:sz w:val="16"/>
        </w:rPr>
        <w:t>customs</w:t>
      </w:r>
      <w:r>
        <w:rPr>
          <w:rFonts w:ascii="Arial"/>
          <w:color w:val="1F1F1F"/>
          <w:spacing w:val="-7"/>
          <w:w w:val="105"/>
          <w:sz w:val="16"/>
        </w:rPr>
        <w:t xml:space="preserve"> </w:t>
      </w:r>
      <w:r>
        <w:rPr>
          <w:rFonts w:ascii="Arial"/>
          <w:color w:val="1F1F1F"/>
          <w:w w:val="105"/>
          <w:sz w:val="16"/>
        </w:rPr>
        <w:t>tariffs</w:t>
      </w:r>
      <w:r>
        <w:rPr>
          <w:rFonts w:ascii="Arial"/>
          <w:color w:val="1F1F1F"/>
          <w:spacing w:val="-12"/>
          <w:w w:val="105"/>
          <w:sz w:val="16"/>
        </w:rPr>
        <w:t xml:space="preserve"> </w:t>
      </w:r>
      <w:r>
        <w:rPr>
          <w:rFonts w:ascii="Arial"/>
          <w:color w:val="1F1F1F"/>
          <w:w w:val="105"/>
          <w:sz w:val="16"/>
        </w:rPr>
        <w:t>and</w:t>
      </w:r>
      <w:r>
        <w:rPr>
          <w:rFonts w:ascii="Arial"/>
          <w:color w:val="1F1F1F"/>
          <w:spacing w:val="-12"/>
          <w:w w:val="105"/>
          <w:sz w:val="16"/>
        </w:rPr>
        <w:t xml:space="preserve"> </w:t>
      </w:r>
      <w:r>
        <w:rPr>
          <w:rFonts w:ascii="Arial"/>
          <w:color w:val="1F1F1F"/>
          <w:w w:val="105"/>
          <w:sz w:val="16"/>
        </w:rPr>
        <w:t>other</w:t>
      </w:r>
      <w:r>
        <w:rPr>
          <w:rFonts w:ascii="Arial"/>
          <w:color w:val="1F1F1F"/>
          <w:spacing w:val="-11"/>
          <w:w w:val="105"/>
          <w:sz w:val="16"/>
        </w:rPr>
        <w:t xml:space="preserve"> </w:t>
      </w:r>
      <w:r>
        <w:rPr>
          <w:rFonts w:ascii="Arial"/>
          <w:color w:val="1F1F1F"/>
          <w:w w:val="105"/>
          <w:sz w:val="16"/>
        </w:rPr>
        <w:t>charges</w:t>
      </w:r>
      <w:r>
        <w:rPr>
          <w:rFonts w:ascii="Arial"/>
          <w:color w:val="1F1F1F"/>
          <w:spacing w:val="-12"/>
          <w:w w:val="105"/>
          <w:sz w:val="16"/>
        </w:rPr>
        <w:t xml:space="preserve"> </w:t>
      </w:r>
      <w:r>
        <w:rPr>
          <w:rFonts w:ascii="Arial"/>
          <w:color w:val="1F1F1F"/>
          <w:w w:val="105"/>
          <w:sz w:val="16"/>
        </w:rPr>
        <w:t>incurred</w:t>
      </w:r>
      <w:r>
        <w:rPr>
          <w:rFonts w:ascii="Arial"/>
          <w:color w:val="1F1F1F"/>
          <w:spacing w:val="-12"/>
          <w:w w:val="105"/>
          <w:sz w:val="16"/>
        </w:rPr>
        <w:t xml:space="preserve"> </w:t>
      </w:r>
      <w:r>
        <w:rPr>
          <w:rFonts w:ascii="Arial"/>
          <w:color w:val="1F1F1F"/>
          <w:w w:val="105"/>
          <w:sz w:val="16"/>
        </w:rPr>
        <w:t>in</w:t>
      </w:r>
      <w:r>
        <w:rPr>
          <w:rFonts w:ascii="Arial"/>
          <w:color w:val="1F1F1F"/>
          <w:spacing w:val="14"/>
          <w:w w:val="105"/>
          <w:sz w:val="16"/>
        </w:rPr>
        <w:t xml:space="preserve"> </w:t>
      </w:r>
      <w:r>
        <w:rPr>
          <w:rFonts w:ascii="Arial"/>
          <w:color w:val="1F1F1F"/>
          <w:w w:val="105"/>
          <w:sz w:val="16"/>
        </w:rPr>
        <w:t>bringing</w:t>
      </w:r>
      <w:r>
        <w:rPr>
          <w:rFonts w:ascii="Arial"/>
          <w:color w:val="1F1F1F"/>
          <w:spacing w:val="-9"/>
          <w:w w:val="105"/>
          <w:sz w:val="16"/>
        </w:rPr>
        <w:t xml:space="preserve"> </w:t>
      </w:r>
      <w:r>
        <w:rPr>
          <w:rFonts w:ascii="Arial"/>
          <w:color w:val="0C0C0C"/>
          <w:w w:val="105"/>
          <w:sz w:val="16"/>
        </w:rPr>
        <w:t>the</w:t>
      </w:r>
      <w:r>
        <w:rPr>
          <w:rFonts w:ascii="Arial"/>
          <w:color w:val="0C0C0C"/>
          <w:spacing w:val="-3"/>
          <w:w w:val="105"/>
          <w:sz w:val="16"/>
        </w:rPr>
        <w:t xml:space="preserve"> </w:t>
      </w:r>
      <w:r>
        <w:rPr>
          <w:rFonts w:ascii="Arial"/>
          <w:color w:val="1F1F1F"/>
          <w:w w:val="105"/>
          <w:sz w:val="16"/>
        </w:rPr>
        <w:t>imported</w:t>
      </w:r>
      <w:r>
        <w:rPr>
          <w:rFonts w:ascii="Arial"/>
          <w:color w:val="1F1F1F"/>
          <w:spacing w:val="-9"/>
          <w:w w:val="105"/>
          <w:sz w:val="16"/>
        </w:rPr>
        <w:t xml:space="preserve"> </w:t>
      </w:r>
      <w:r>
        <w:rPr>
          <w:rFonts w:ascii="Arial"/>
          <w:color w:val="1F1F1F"/>
          <w:w w:val="105"/>
          <w:sz w:val="16"/>
        </w:rPr>
        <w:t>products</w:t>
      </w:r>
      <w:r>
        <w:rPr>
          <w:rFonts w:ascii="Arial"/>
          <w:color w:val="1F1F1F"/>
          <w:spacing w:val="-5"/>
          <w:w w:val="105"/>
          <w:sz w:val="16"/>
        </w:rPr>
        <w:t xml:space="preserve"> </w:t>
      </w:r>
      <w:r>
        <w:rPr>
          <w:rFonts w:ascii="Arial"/>
          <w:color w:val="1F1F1F"/>
          <w:w w:val="105"/>
          <w:sz w:val="16"/>
        </w:rPr>
        <w:t xml:space="preserve">to </w:t>
      </w:r>
      <w:r>
        <w:rPr>
          <w:rFonts w:ascii="Arial"/>
          <w:color w:val="1F1F1F"/>
          <w:w w:val="110"/>
          <w:sz w:val="16"/>
        </w:rPr>
        <w:t>market.</w:t>
      </w:r>
      <w:r>
        <w:rPr>
          <w:rFonts w:ascii="Arial"/>
          <w:color w:val="1F1F1F"/>
          <w:spacing w:val="-23"/>
          <w:w w:val="110"/>
          <w:sz w:val="16"/>
        </w:rPr>
        <w:t xml:space="preserve"> </w:t>
      </w:r>
      <w:r>
        <w:rPr>
          <w:rFonts w:ascii="Arial"/>
          <w:color w:val="1F1F1F"/>
          <w:w w:val="110"/>
          <w:sz w:val="16"/>
        </w:rPr>
        <w:t>See</w:t>
      </w:r>
      <w:r>
        <w:rPr>
          <w:rFonts w:ascii="Arial"/>
          <w:color w:val="1F1F1F"/>
          <w:spacing w:val="-22"/>
          <w:w w:val="110"/>
          <w:sz w:val="16"/>
        </w:rPr>
        <w:t xml:space="preserve"> </w:t>
      </w:r>
      <w:r>
        <w:rPr>
          <w:rFonts w:ascii="Arial"/>
          <w:color w:val="1F1F1F"/>
          <w:w w:val="110"/>
          <w:sz w:val="16"/>
        </w:rPr>
        <w:t>Panel</w:t>
      </w:r>
      <w:r>
        <w:rPr>
          <w:rFonts w:ascii="Arial"/>
          <w:color w:val="1F1F1F"/>
          <w:spacing w:val="-27"/>
          <w:w w:val="110"/>
          <w:sz w:val="16"/>
        </w:rPr>
        <w:t xml:space="preserve"> </w:t>
      </w:r>
      <w:r>
        <w:rPr>
          <w:rFonts w:ascii="Arial"/>
          <w:color w:val="1F1F1F"/>
          <w:w w:val="110"/>
          <w:sz w:val="16"/>
        </w:rPr>
        <w:t>Report,</w:t>
      </w:r>
      <w:r>
        <w:rPr>
          <w:rFonts w:ascii="Arial"/>
          <w:color w:val="1F1F1F"/>
          <w:spacing w:val="-25"/>
          <w:w w:val="110"/>
          <w:sz w:val="16"/>
        </w:rPr>
        <w:t xml:space="preserve"> </w:t>
      </w:r>
      <w:r>
        <w:rPr>
          <w:rFonts w:ascii="Arial"/>
          <w:i/>
          <w:color w:val="1F1F1F"/>
          <w:w w:val="110"/>
          <w:sz w:val="15"/>
        </w:rPr>
        <w:t>Morocco</w:t>
      </w:r>
      <w:r>
        <w:rPr>
          <w:rFonts w:ascii="Arial"/>
          <w:i/>
          <w:color w:val="1F1F1F"/>
          <w:spacing w:val="-13"/>
          <w:w w:val="110"/>
          <w:sz w:val="15"/>
        </w:rPr>
        <w:t xml:space="preserve"> </w:t>
      </w:r>
      <w:r>
        <w:rPr>
          <w:rFonts w:ascii="Arial"/>
          <w:color w:val="1F1F1F"/>
          <w:w w:val="110"/>
          <w:sz w:val="15"/>
        </w:rPr>
        <w:t>-</w:t>
      </w:r>
      <w:r>
        <w:rPr>
          <w:rFonts w:ascii="Arial"/>
          <w:color w:val="1F1F1F"/>
          <w:spacing w:val="14"/>
          <w:w w:val="110"/>
          <w:sz w:val="15"/>
        </w:rPr>
        <w:t xml:space="preserve"> </w:t>
      </w:r>
      <w:r>
        <w:rPr>
          <w:rFonts w:ascii="Arial"/>
          <w:i/>
          <w:color w:val="1F1F1F"/>
          <w:w w:val="110"/>
          <w:sz w:val="15"/>
        </w:rPr>
        <w:t>Definitive</w:t>
      </w:r>
      <w:r>
        <w:rPr>
          <w:rFonts w:ascii="Arial"/>
          <w:i/>
          <w:color w:val="1F1F1F"/>
          <w:spacing w:val="-13"/>
          <w:w w:val="110"/>
          <w:sz w:val="15"/>
        </w:rPr>
        <w:t xml:space="preserve"> </w:t>
      </w:r>
      <w:r>
        <w:rPr>
          <w:rFonts w:ascii="Arial"/>
          <w:i/>
          <w:color w:val="1F1F1F"/>
          <w:w w:val="110"/>
          <w:sz w:val="15"/>
        </w:rPr>
        <w:t>AD</w:t>
      </w:r>
      <w:r>
        <w:rPr>
          <w:rFonts w:ascii="Arial"/>
          <w:i/>
          <w:color w:val="1F1F1F"/>
          <w:spacing w:val="-22"/>
          <w:w w:val="110"/>
          <w:sz w:val="15"/>
        </w:rPr>
        <w:t xml:space="preserve"> </w:t>
      </w:r>
      <w:r>
        <w:rPr>
          <w:rFonts w:ascii="Arial"/>
          <w:i/>
          <w:color w:val="1F1F1F"/>
          <w:w w:val="110"/>
          <w:sz w:val="15"/>
        </w:rPr>
        <w:t>Measures</w:t>
      </w:r>
      <w:r>
        <w:rPr>
          <w:rFonts w:ascii="Arial"/>
          <w:i/>
          <w:color w:val="1F1F1F"/>
          <w:spacing w:val="-14"/>
          <w:w w:val="110"/>
          <w:sz w:val="15"/>
        </w:rPr>
        <w:t xml:space="preserve"> </w:t>
      </w:r>
      <w:r>
        <w:rPr>
          <w:rFonts w:ascii="Arial"/>
          <w:i/>
          <w:color w:val="1F1F1F"/>
          <w:w w:val="110"/>
          <w:sz w:val="15"/>
        </w:rPr>
        <w:t>on Exercise</w:t>
      </w:r>
      <w:r>
        <w:rPr>
          <w:rFonts w:ascii="Arial"/>
          <w:i/>
          <w:color w:val="1F1F1F"/>
          <w:spacing w:val="-13"/>
          <w:w w:val="110"/>
          <w:sz w:val="15"/>
        </w:rPr>
        <w:t xml:space="preserve"> </w:t>
      </w:r>
      <w:r>
        <w:rPr>
          <w:rFonts w:ascii="Arial"/>
          <w:i/>
          <w:color w:val="1F1F1F"/>
          <w:w w:val="110"/>
          <w:sz w:val="15"/>
        </w:rPr>
        <w:t>Books</w:t>
      </w:r>
      <w:r>
        <w:rPr>
          <w:rFonts w:ascii="Arial"/>
          <w:i/>
          <w:color w:val="1F1F1F"/>
          <w:spacing w:val="-22"/>
          <w:w w:val="110"/>
          <w:sz w:val="15"/>
        </w:rPr>
        <w:t xml:space="preserve"> </w:t>
      </w:r>
      <w:r>
        <w:rPr>
          <w:rFonts w:ascii="Arial"/>
          <w:i/>
          <w:color w:val="1F1F1F"/>
          <w:w w:val="110"/>
          <w:sz w:val="15"/>
        </w:rPr>
        <w:t>(Tunisia),</w:t>
      </w:r>
      <w:r>
        <w:rPr>
          <w:rFonts w:ascii="Arial"/>
          <w:i/>
          <w:color w:val="1F1F1F"/>
          <w:spacing w:val="-21"/>
          <w:w w:val="110"/>
          <w:sz w:val="15"/>
        </w:rPr>
        <w:t xml:space="preserve"> </w:t>
      </w:r>
      <w:r>
        <w:rPr>
          <w:rFonts w:ascii="Arial"/>
          <w:color w:val="1F1F1F"/>
          <w:w w:val="110"/>
          <w:sz w:val="16"/>
        </w:rPr>
        <w:t>para.</w:t>
      </w:r>
      <w:r>
        <w:rPr>
          <w:rFonts w:ascii="Arial"/>
          <w:color w:val="1F1F1F"/>
          <w:spacing w:val="-16"/>
          <w:w w:val="110"/>
          <w:sz w:val="16"/>
        </w:rPr>
        <w:t xml:space="preserve"> </w:t>
      </w:r>
      <w:r>
        <w:rPr>
          <w:rFonts w:ascii="Arial"/>
          <w:color w:val="1F1F1F"/>
          <w:w w:val="110"/>
          <w:sz w:val="16"/>
        </w:rPr>
        <w:t>7.208.</w:t>
      </w:r>
    </w:p>
    <w:p w14:paraId="51DE9255" w14:textId="77777777" w:rsidR="0010369C" w:rsidRDefault="008E43AE">
      <w:pPr>
        <w:spacing w:line="183" w:lineRule="exact"/>
        <w:ind w:left="237"/>
        <w:jc w:val="both"/>
        <w:rPr>
          <w:rFonts w:ascii="Arial"/>
          <w:sz w:val="16"/>
        </w:rPr>
      </w:pPr>
      <w:r>
        <w:rPr>
          <w:rFonts w:ascii="Times New Roman"/>
          <w:color w:val="1F1F1F"/>
          <w:position w:val="6"/>
          <w:sz w:val="12"/>
        </w:rPr>
        <w:t>833</w:t>
      </w:r>
      <w:r>
        <w:rPr>
          <w:rFonts w:ascii="Times New Roman"/>
          <w:color w:val="1F1F1F"/>
          <w:spacing w:val="25"/>
          <w:position w:val="6"/>
          <w:sz w:val="12"/>
        </w:rPr>
        <w:t xml:space="preserve"> </w:t>
      </w:r>
      <w:r>
        <w:rPr>
          <w:rFonts w:ascii="Arial"/>
          <w:color w:val="1F1F1F"/>
          <w:sz w:val="16"/>
        </w:rPr>
        <w:t>Anti-Dumping</w:t>
      </w:r>
      <w:r>
        <w:rPr>
          <w:rFonts w:ascii="Arial"/>
          <w:color w:val="1F1F1F"/>
          <w:spacing w:val="12"/>
          <w:sz w:val="16"/>
        </w:rPr>
        <w:t xml:space="preserve"> </w:t>
      </w:r>
      <w:r>
        <w:rPr>
          <w:rFonts w:ascii="Arial"/>
          <w:color w:val="1F1F1F"/>
          <w:sz w:val="16"/>
        </w:rPr>
        <w:t>Final</w:t>
      </w:r>
      <w:r>
        <w:rPr>
          <w:rFonts w:ascii="Arial"/>
          <w:color w:val="1F1F1F"/>
          <w:spacing w:val="-2"/>
          <w:sz w:val="16"/>
        </w:rPr>
        <w:t xml:space="preserve"> </w:t>
      </w:r>
      <w:r>
        <w:rPr>
          <w:rFonts w:ascii="Arial"/>
          <w:color w:val="1F1F1F"/>
          <w:sz w:val="16"/>
        </w:rPr>
        <w:t>Determination</w:t>
      </w:r>
      <w:r>
        <w:rPr>
          <w:rFonts w:ascii="Arial"/>
          <w:color w:val="1F1F1F"/>
          <w:spacing w:val="7"/>
          <w:sz w:val="16"/>
        </w:rPr>
        <w:t xml:space="preserve"> </w:t>
      </w:r>
      <w:r>
        <w:rPr>
          <w:rFonts w:ascii="Arial"/>
          <w:color w:val="1F1F1F"/>
          <w:sz w:val="16"/>
        </w:rPr>
        <w:t>(Exhibit</w:t>
      </w:r>
      <w:r>
        <w:rPr>
          <w:rFonts w:ascii="Arial"/>
          <w:color w:val="1F1F1F"/>
          <w:spacing w:val="11"/>
          <w:sz w:val="16"/>
        </w:rPr>
        <w:t xml:space="preserve"> </w:t>
      </w:r>
      <w:r>
        <w:rPr>
          <w:rFonts w:ascii="Arial"/>
          <w:color w:val="1F1F1F"/>
          <w:sz w:val="16"/>
        </w:rPr>
        <w:t>AUS-2),</w:t>
      </w:r>
      <w:r>
        <w:rPr>
          <w:rFonts w:ascii="Arial"/>
          <w:color w:val="1F1F1F"/>
          <w:spacing w:val="8"/>
          <w:sz w:val="16"/>
        </w:rPr>
        <w:t xml:space="preserve"> </w:t>
      </w:r>
      <w:r>
        <w:rPr>
          <w:rFonts w:ascii="Arial"/>
          <w:color w:val="0C0C0C"/>
          <w:sz w:val="16"/>
        </w:rPr>
        <w:t>p.</w:t>
      </w:r>
      <w:r>
        <w:rPr>
          <w:rFonts w:ascii="Arial"/>
          <w:color w:val="0C0C0C"/>
          <w:spacing w:val="16"/>
          <w:sz w:val="16"/>
        </w:rPr>
        <w:t xml:space="preserve"> </w:t>
      </w:r>
      <w:r>
        <w:rPr>
          <w:rFonts w:ascii="Arial"/>
          <w:color w:val="1F1F1F"/>
          <w:spacing w:val="-4"/>
          <w:sz w:val="16"/>
        </w:rPr>
        <w:t>139.</w:t>
      </w:r>
    </w:p>
    <w:p w14:paraId="51DE9256" w14:textId="77777777" w:rsidR="0010369C" w:rsidRDefault="008E43AE">
      <w:pPr>
        <w:tabs>
          <w:tab w:val="left" w:pos="7051"/>
        </w:tabs>
        <w:spacing w:before="10" w:line="239" w:lineRule="exact"/>
        <w:ind w:left="240"/>
        <w:jc w:val="both"/>
        <w:rPr>
          <w:rFonts w:ascii="Arial"/>
        </w:rPr>
      </w:pPr>
      <w:r>
        <w:rPr>
          <w:rFonts w:ascii="Arial"/>
          <w:color w:val="1F1F1F"/>
          <w:spacing w:val="-4"/>
          <w:w w:val="155"/>
          <w:position w:val="9"/>
          <w:sz w:val="10"/>
        </w:rPr>
        <w:t>834</w:t>
      </w:r>
      <w:r>
        <w:rPr>
          <w:rFonts w:ascii="Arial"/>
          <w:color w:val="1F1F1F"/>
          <w:spacing w:val="-4"/>
          <w:w w:val="155"/>
          <w:sz w:val="10"/>
        </w:rPr>
        <w:t>(</w:t>
      </w:r>
      <w:r>
        <w:rPr>
          <w:rFonts w:ascii="Arial"/>
          <w:color w:val="1F1F1F"/>
          <w:sz w:val="10"/>
        </w:rPr>
        <w:tab/>
      </w:r>
      <w:r>
        <w:rPr>
          <w:rFonts w:ascii="Arial"/>
          <w:color w:val="1F1F1F"/>
          <w:w w:val="530"/>
        </w:rPr>
        <w:t>-</w:t>
      </w:r>
      <w:r>
        <w:rPr>
          <w:rFonts w:ascii="Arial"/>
          <w:color w:val="1F1F1F"/>
          <w:spacing w:val="-5"/>
          <w:w w:val="530"/>
        </w:rPr>
        <w:t>11</w:t>
      </w:r>
    </w:p>
    <w:p w14:paraId="51DE9257" w14:textId="77777777" w:rsidR="0010369C" w:rsidRDefault="008E43AE">
      <w:pPr>
        <w:spacing w:line="193" w:lineRule="exact"/>
        <w:ind w:left="237"/>
        <w:jc w:val="both"/>
        <w:rPr>
          <w:rFonts w:ascii="Arial"/>
          <w:sz w:val="16"/>
        </w:rPr>
      </w:pPr>
      <w:r>
        <w:rPr>
          <w:rFonts w:ascii="Times New Roman"/>
          <w:color w:val="1F1F1F"/>
          <w:spacing w:val="-102"/>
          <w:w w:val="498"/>
          <w:position w:val="6"/>
          <w:sz w:val="12"/>
        </w:rPr>
        <w:t>8</w:t>
      </w:r>
      <w:r>
        <w:rPr>
          <w:rFonts w:ascii="Arial"/>
          <w:color w:val="1F1F1F"/>
          <w:spacing w:val="-11"/>
          <w:w w:val="54"/>
          <w:sz w:val="16"/>
        </w:rPr>
        <w:t>A</w:t>
      </w:r>
      <w:r>
        <w:rPr>
          <w:rFonts w:ascii="Times New Roman"/>
          <w:color w:val="1F1F1F"/>
          <w:spacing w:val="-320"/>
          <w:w w:val="549"/>
          <w:sz w:val="16"/>
          <w:vertAlign w:val="superscript"/>
        </w:rPr>
        <w:t>3</w:t>
      </w:r>
      <w:r>
        <w:rPr>
          <w:rFonts w:ascii="Arial"/>
          <w:color w:val="1F1F1F"/>
          <w:spacing w:val="-1"/>
          <w:w w:val="54"/>
          <w:sz w:val="16"/>
        </w:rPr>
        <w:t>ustr</w:t>
      </w:r>
      <w:r>
        <w:rPr>
          <w:rFonts w:ascii="Arial"/>
          <w:color w:val="1F1F1F"/>
          <w:spacing w:val="-55"/>
          <w:w w:val="54"/>
          <w:sz w:val="16"/>
        </w:rPr>
        <w:t>a</w:t>
      </w:r>
      <w:r>
        <w:rPr>
          <w:rFonts w:ascii="Times New Roman"/>
          <w:color w:val="1F1F1F"/>
          <w:spacing w:val="-276"/>
          <w:w w:val="549"/>
          <w:sz w:val="16"/>
          <w:vertAlign w:val="superscript"/>
        </w:rPr>
        <w:t>5</w:t>
      </w:r>
      <w:r>
        <w:rPr>
          <w:rFonts w:ascii="Arial"/>
          <w:color w:val="1F1F1F"/>
          <w:spacing w:val="-1"/>
          <w:w w:val="54"/>
          <w:sz w:val="16"/>
        </w:rPr>
        <w:t>lia</w:t>
      </w:r>
      <w:r>
        <w:rPr>
          <w:rFonts w:ascii="Arial"/>
          <w:color w:val="1F1F1F"/>
          <w:w w:val="54"/>
          <w:sz w:val="16"/>
        </w:rPr>
        <w:t>n</w:t>
      </w:r>
      <w:r>
        <w:rPr>
          <w:rFonts w:ascii="Arial"/>
          <w:color w:val="1F1F1F"/>
          <w:spacing w:val="-33"/>
          <w:w w:val="164"/>
          <w:sz w:val="16"/>
        </w:rPr>
        <w:t xml:space="preserve"> </w:t>
      </w:r>
      <w:r>
        <w:rPr>
          <w:rFonts w:ascii="Arial"/>
          <w:color w:val="1F1F1F"/>
          <w:spacing w:val="-2"/>
          <w:w w:val="115"/>
          <w:sz w:val="16"/>
        </w:rPr>
        <w:t>Government</w:t>
      </w:r>
      <w:r>
        <w:rPr>
          <w:rFonts w:ascii="Arial"/>
          <w:color w:val="1F1F1F"/>
          <w:spacing w:val="-8"/>
          <w:w w:val="115"/>
          <w:sz w:val="16"/>
        </w:rPr>
        <w:t xml:space="preserve"> </w:t>
      </w:r>
      <w:r>
        <w:rPr>
          <w:rFonts w:ascii="Arial"/>
          <w:color w:val="1F1F1F"/>
          <w:spacing w:val="-2"/>
          <w:w w:val="115"/>
          <w:sz w:val="16"/>
        </w:rPr>
        <w:t>Submission</w:t>
      </w:r>
      <w:r>
        <w:rPr>
          <w:rFonts w:ascii="Arial"/>
          <w:color w:val="1F1F1F"/>
          <w:spacing w:val="-9"/>
          <w:w w:val="115"/>
          <w:sz w:val="16"/>
        </w:rPr>
        <w:t xml:space="preserve"> </w:t>
      </w:r>
      <w:r>
        <w:rPr>
          <w:rFonts w:ascii="Arial"/>
          <w:color w:val="1F1F1F"/>
          <w:spacing w:val="-2"/>
          <w:w w:val="115"/>
          <w:sz w:val="16"/>
        </w:rPr>
        <w:t>on</w:t>
      </w:r>
      <w:r>
        <w:rPr>
          <w:rFonts w:ascii="Arial"/>
          <w:color w:val="1F1F1F"/>
          <w:spacing w:val="7"/>
          <w:w w:val="115"/>
          <w:sz w:val="16"/>
        </w:rPr>
        <w:t xml:space="preserve"> </w:t>
      </w:r>
      <w:r>
        <w:rPr>
          <w:rFonts w:ascii="Arial"/>
          <w:color w:val="1F1F1F"/>
          <w:spacing w:val="-2"/>
          <w:w w:val="115"/>
          <w:sz w:val="16"/>
        </w:rPr>
        <w:t>Initiation</w:t>
      </w:r>
      <w:r>
        <w:rPr>
          <w:rFonts w:ascii="Arial"/>
          <w:color w:val="1F1F1F"/>
          <w:spacing w:val="-19"/>
          <w:w w:val="115"/>
          <w:sz w:val="16"/>
        </w:rPr>
        <w:t xml:space="preserve"> </w:t>
      </w:r>
      <w:r>
        <w:rPr>
          <w:rFonts w:ascii="Arial"/>
          <w:color w:val="1F1F1F"/>
          <w:spacing w:val="-2"/>
          <w:w w:val="115"/>
          <w:sz w:val="16"/>
        </w:rPr>
        <w:t>(Exhibit</w:t>
      </w:r>
      <w:r>
        <w:rPr>
          <w:rFonts w:ascii="Arial"/>
          <w:color w:val="1F1F1F"/>
          <w:spacing w:val="-5"/>
          <w:w w:val="115"/>
          <w:sz w:val="16"/>
        </w:rPr>
        <w:t xml:space="preserve"> </w:t>
      </w:r>
      <w:r>
        <w:rPr>
          <w:rFonts w:ascii="Arial"/>
          <w:color w:val="1F1F1F"/>
          <w:spacing w:val="-2"/>
          <w:w w:val="115"/>
          <w:sz w:val="16"/>
        </w:rPr>
        <w:t>AUS-87),</w:t>
      </w:r>
      <w:r>
        <w:rPr>
          <w:rFonts w:ascii="Arial"/>
          <w:color w:val="1F1F1F"/>
          <w:spacing w:val="-19"/>
          <w:w w:val="115"/>
          <w:sz w:val="16"/>
        </w:rPr>
        <w:t xml:space="preserve"> </w:t>
      </w:r>
      <w:r>
        <w:rPr>
          <w:rFonts w:ascii="Arial"/>
          <w:color w:val="0C0C0C"/>
          <w:spacing w:val="-2"/>
          <w:w w:val="115"/>
          <w:sz w:val="16"/>
        </w:rPr>
        <w:t>p.</w:t>
      </w:r>
      <w:r>
        <w:rPr>
          <w:rFonts w:ascii="Arial"/>
          <w:color w:val="0C0C0C"/>
          <w:spacing w:val="2"/>
          <w:w w:val="115"/>
          <w:sz w:val="16"/>
        </w:rPr>
        <w:t xml:space="preserve"> </w:t>
      </w:r>
      <w:r>
        <w:rPr>
          <w:rFonts w:ascii="Arial"/>
          <w:color w:val="1F1F1F"/>
          <w:spacing w:val="-5"/>
          <w:w w:val="115"/>
          <w:sz w:val="16"/>
        </w:rPr>
        <w:t>4.</w:t>
      </w:r>
    </w:p>
    <w:p w14:paraId="51DE9258" w14:textId="77777777" w:rsidR="0010369C" w:rsidRDefault="0010369C">
      <w:pPr>
        <w:spacing w:line="193" w:lineRule="exact"/>
        <w:jc w:val="both"/>
        <w:rPr>
          <w:rFonts w:ascii="Arial"/>
          <w:sz w:val="16"/>
        </w:rPr>
        <w:sectPr w:rsidR="0010369C">
          <w:headerReference w:type="default" r:id="rId917"/>
          <w:footerReference w:type="default" r:id="rId918"/>
          <w:pgSz w:w="11910" w:h="16840"/>
          <w:pgMar w:top="480" w:right="800" w:bottom="1020" w:left="1180" w:header="0" w:footer="830" w:gutter="0"/>
          <w:cols w:space="720"/>
        </w:sectPr>
      </w:pPr>
    </w:p>
    <w:p w14:paraId="51DE9259" w14:textId="77777777" w:rsidR="0010369C" w:rsidRDefault="008E43AE">
      <w:pPr>
        <w:tabs>
          <w:tab w:val="left" w:pos="6426"/>
        </w:tabs>
        <w:ind w:left="238"/>
        <w:rPr>
          <w:sz w:val="20"/>
        </w:rPr>
      </w:pPr>
      <w:r>
        <w:rPr>
          <w:i/>
          <w:sz w:val="20"/>
        </w:rPr>
        <w:lastRenderedPageBreak/>
        <w:t>China</w:t>
      </w:r>
      <w:r>
        <w:rPr>
          <w:i/>
          <w:spacing w:val="-5"/>
          <w:sz w:val="20"/>
        </w:rPr>
        <w:t xml:space="preserve"> </w:t>
      </w:r>
      <w:r>
        <w:rPr>
          <w:i/>
          <w:sz w:val="20"/>
        </w:rPr>
        <w:t>–</w:t>
      </w:r>
      <w:r>
        <w:rPr>
          <w:i/>
          <w:spacing w:val="-5"/>
          <w:sz w:val="20"/>
        </w:rPr>
        <w:t xml:space="preserve"> </w:t>
      </w:r>
      <w:r>
        <w:rPr>
          <w:i/>
          <w:sz w:val="20"/>
        </w:rPr>
        <w:t>Anti‐Dumping</w:t>
      </w:r>
      <w:r>
        <w:rPr>
          <w:i/>
          <w:spacing w:val="-4"/>
          <w:sz w:val="20"/>
        </w:rPr>
        <w:t xml:space="preserve"> </w:t>
      </w:r>
      <w:r>
        <w:rPr>
          <w:i/>
          <w:sz w:val="20"/>
        </w:rPr>
        <w:t>and</w:t>
      </w:r>
      <w:r>
        <w:rPr>
          <w:i/>
          <w:spacing w:val="-5"/>
          <w:sz w:val="20"/>
        </w:rPr>
        <w:t xml:space="preserve"> </w:t>
      </w:r>
      <w:r>
        <w:rPr>
          <w:i/>
          <w:sz w:val="20"/>
        </w:rPr>
        <w:t>Countervailing</w:t>
      </w:r>
      <w:r>
        <w:rPr>
          <w:i/>
          <w:spacing w:val="-5"/>
          <w:sz w:val="20"/>
        </w:rPr>
        <w:t xml:space="preserve"> </w:t>
      </w:r>
      <w:r>
        <w:rPr>
          <w:i/>
          <w:sz w:val="20"/>
        </w:rPr>
        <w:t>Duty</w:t>
      </w:r>
      <w:r>
        <w:rPr>
          <w:i/>
          <w:spacing w:val="-4"/>
          <w:sz w:val="20"/>
        </w:rPr>
        <w:t xml:space="preserve"> </w:t>
      </w:r>
      <w:r>
        <w:rPr>
          <w:i/>
          <w:spacing w:val="-2"/>
          <w:sz w:val="20"/>
        </w:rPr>
        <w:t>Measures</w:t>
      </w:r>
      <w:r>
        <w:rPr>
          <w:i/>
          <w:sz w:val="20"/>
        </w:rPr>
        <w:tab/>
      </w:r>
      <w:r>
        <w:rPr>
          <w:sz w:val="20"/>
        </w:rPr>
        <w:t>Australia's</w:t>
      </w:r>
      <w:r>
        <w:rPr>
          <w:spacing w:val="-7"/>
          <w:sz w:val="20"/>
        </w:rPr>
        <w:t xml:space="preserve"> </w:t>
      </w:r>
      <w:r>
        <w:rPr>
          <w:sz w:val="20"/>
        </w:rPr>
        <w:t>First</w:t>
      </w:r>
      <w:r>
        <w:rPr>
          <w:spacing w:val="-2"/>
          <w:sz w:val="20"/>
        </w:rPr>
        <w:t xml:space="preserve"> </w:t>
      </w:r>
      <w:r>
        <w:rPr>
          <w:sz w:val="20"/>
        </w:rPr>
        <w:t>Written</w:t>
      </w:r>
      <w:r>
        <w:rPr>
          <w:spacing w:val="-2"/>
          <w:sz w:val="20"/>
        </w:rPr>
        <w:t xml:space="preserve"> Submission</w:t>
      </w:r>
    </w:p>
    <w:p w14:paraId="51DE925A" w14:textId="77777777" w:rsidR="0010369C" w:rsidRDefault="008E43AE">
      <w:pPr>
        <w:tabs>
          <w:tab w:val="left" w:pos="8228"/>
        </w:tabs>
        <w:spacing w:before="1"/>
        <w:ind w:left="239"/>
        <w:rPr>
          <w:sz w:val="20"/>
        </w:rPr>
      </w:pPr>
      <w:r>
        <w:rPr>
          <w:noProof/>
        </w:rPr>
        <w:drawing>
          <wp:anchor distT="0" distB="0" distL="0" distR="0" simplePos="0" relativeHeight="250603008" behindDoc="0" locked="0" layoutInCell="1" allowOverlap="1" wp14:anchorId="51DEA5B2" wp14:editId="51DEA5B3">
            <wp:simplePos x="0" y="0"/>
            <wp:positionH relativeFrom="page">
              <wp:posOffset>900683</wp:posOffset>
            </wp:positionH>
            <wp:positionV relativeFrom="paragraph">
              <wp:posOffset>177893</wp:posOffset>
            </wp:positionV>
            <wp:extent cx="5722749" cy="3679126"/>
            <wp:effectExtent l="0" t="0" r="0" b="0"/>
            <wp:wrapTopAndBottom/>
            <wp:docPr id="1365" name="image7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 name="image707.png"/>
                    <pic:cNvPicPr/>
                  </pic:nvPicPr>
                  <pic:blipFill>
                    <a:blip r:embed="rId919" cstate="print"/>
                    <a:stretch>
                      <a:fillRect/>
                    </a:stretch>
                  </pic:blipFill>
                  <pic:spPr>
                    <a:xfrm>
                      <a:off x="0" y="0"/>
                      <a:ext cx="5722749" cy="3679126"/>
                    </a:xfrm>
                    <a:prstGeom prst="rect">
                      <a:avLst/>
                    </a:prstGeom>
                  </pic:spPr>
                </pic:pic>
              </a:graphicData>
            </a:graphic>
          </wp:anchor>
        </w:drawing>
      </w:r>
      <w:r>
        <w:rPr>
          <w:i/>
          <w:sz w:val="20"/>
        </w:rPr>
        <w:t>on</w:t>
      </w:r>
      <w:r>
        <w:rPr>
          <w:i/>
          <w:spacing w:val="-1"/>
          <w:sz w:val="20"/>
        </w:rPr>
        <w:t xml:space="preserve"> </w:t>
      </w:r>
      <w:r>
        <w:rPr>
          <w:i/>
          <w:sz w:val="20"/>
        </w:rPr>
        <w:t>Wine</w:t>
      </w:r>
      <w:r>
        <w:rPr>
          <w:i/>
          <w:spacing w:val="-1"/>
          <w:sz w:val="20"/>
        </w:rPr>
        <w:t xml:space="preserve"> </w:t>
      </w:r>
      <w:r>
        <w:rPr>
          <w:i/>
          <w:sz w:val="20"/>
        </w:rPr>
        <w:t>from</w:t>
      </w:r>
      <w:r>
        <w:rPr>
          <w:i/>
          <w:spacing w:val="-3"/>
          <w:sz w:val="20"/>
        </w:rPr>
        <w:t xml:space="preserve"> </w:t>
      </w:r>
      <w:r>
        <w:rPr>
          <w:i/>
          <w:sz w:val="20"/>
        </w:rPr>
        <w:t>Australia</w:t>
      </w:r>
      <w:r>
        <w:rPr>
          <w:i/>
          <w:spacing w:val="-1"/>
          <w:sz w:val="20"/>
        </w:rPr>
        <w:t xml:space="preserve"> </w:t>
      </w:r>
      <w:r>
        <w:rPr>
          <w:spacing w:val="-2"/>
          <w:sz w:val="20"/>
        </w:rPr>
        <w:t>(DS602)</w:t>
      </w:r>
      <w:r>
        <w:rPr>
          <w:sz w:val="20"/>
        </w:rPr>
        <w:tab/>
        <w:t>29</w:t>
      </w:r>
      <w:r>
        <w:rPr>
          <w:spacing w:val="-1"/>
          <w:sz w:val="20"/>
        </w:rPr>
        <w:t xml:space="preserve"> </w:t>
      </w:r>
      <w:r>
        <w:rPr>
          <w:sz w:val="20"/>
        </w:rPr>
        <w:t>April</w:t>
      </w:r>
      <w:r>
        <w:rPr>
          <w:spacing w:val="-2"/>
          <w:sz w:val="20"/>
        </w:rPr>
        <w:t xml:space="preserve"> </w:t>
      </w:r>
      <w:r>
        <w:rPr>
          <w:spacing w:val="-4"/>
          <w:sz w:val="20"/>
        </w:rPr>
        <w:t>2022</w:t>
      </w:r>
    </w:p>
    <w:p w14:paraId="51DE925B" w14:textId="77777777" w:rsidR="0010369C" w:rsidRDefault="0010369C">
      <w:pPr>
        <w:pStyle w:val="BodyText"/>
        <w:rPr>
          <w:sz w:val="28"/>
        </w:rPr>
      </w:pPr>
    </w:p>
    <w:p w14:paraId="51DE925C" w14:textId="77777777" w:rsidR="0010369C" w:rsidRDefault="008E43AE">
      <w:pPr>
        <w:pStyle w:val="Heading4"/>
        <w:spacing w:before="0"/>
        <w:ind w:left="238" w:firstLine="0"/>
        <w:jc w:val="left"/>
      </w:pPr>
      <w:r>
        <w:t>Figure</w:t>
      </w:r>
      <w:r>
        <w:rPr>
          <w:spacing w:val="-8"/>
        </w:rPr>
        <w:t xml:space="preserve"> </w:t>
      </w:r>
      <w:r>
        <w:t>2</w:t>
      </w:r>
      <w:r>
        <w:rPr>
          <w:spacing w:val="-8"/>
        </w:rPr>
        <w:t xml:space="preserve"> </w:t>
      </w:r>
      <w:r>
        <w:t>‐</w:t>
      </w:r>
      <w:r>
        <w:rPr>
          <w:spacing w:val="-9"/>
        </w:rPr>
        <w:t xml:space="preserve"> </w:t>
      </w:r>
      <w:r>
        <w:t>Comparison</w:t>
      </w:r>
      <w:r>
        <w:rPr>
          <w:spacing w:val="-9"/>
        </w:rPr>
        <w:t xml:space="preserve"> </w:t>
      </w:r>
      <w:r>
        <w:t>of</w:t>
      </w:r>
      <w:r>
        <w:rPr>
          <w:spacing w:val="-8"/>
        </w:rPr>
        <w:t xml:space="preserve"> </w:t>
      </w:r>
      <w:r>
        <w:t>tariff</w:t>
      </w:r>
      <w:r>
        <w:rPr>
          <w:spacing w:val="-9"/>
        </w:rPr>
        <w:t xml:space="preserve"> </w:t>
      </w:r>
      <w:r>
        <w:t>reductions</w:t>
      </w:r>
      <w:r>
        <w:rPr>
          <w:spacing w:val="-7"/>
        </w:rPr>
        <w:t xml:space="preserve"> </w:t>
      </w:r>
      <w:r>
        <w:t>to</w:t>
      </w:r>
      <w:r>
        <w:rPr>
          <w:spacing w:val="-7"/>
        </w:rPr>
        <w:t xml:space="preserve"> </w:t>
      </w:r>
      <w:r>
        <w:t>Australian</w:t>
      </w:r>
      <w:r>
        <w:rPr>
          <w:spacing w:val="-9"/>
        </w:rPr>
        <w:t xml:space="preserve"> </w:t>
      </w:r>
      <w:r>
        <w:t>prices</w:t>
      </w:r>
      <w:r>
        <w:rPr>
          <w:spacing w:val="-8"/>
        </w:rPr>
        <w:t xml:space="preserve"> </w:t>
      </w:r>
      <w:r>
        <w:t>during</w:t>
      </w:r>
      <w:r>
        <w:rPr>
          <w:spacing w:val="-8"/>
        </w:rPr>
        <w:t xml:space="preserve"> </w:t>
      </w:r>
      <w:r>
        <w:t>Injury</w:t>
      </w:r>
      <w:r>
        <w:rPr>
          <w:spacing w:val="-9"/>
        </w:rPr>
        <w:t xml:space="preserve"> </w:t>
      </w:r>
      <w:r>
        <w:rPr>
          <w:spacing w:val="-5"/>
        </w:rPr>
        <w:t>POI</w:t>
      </w:r>
    </w:p>
    <w:p w14:paraId="51DE925D" w14:textId="77777777" w:rsidR="0010369C" w:rsidRDefault="0010369C">
      <w:pPr>
        <w:pStyle w:val="BodyText"/>
        <w:spacing w:before="2"/>
        <w:rPr>
          <w:b/>
          <w:sz w:val="12"/>
        </w:rPr>
      </w:pPr>
    </w:p>
    <w:p w14:paraId="51DE925E" w14:textId="77777777" w:rsidR="0010369C" w:rsidRDefault="008E43AE">
      <w:pPr>
        <w:pStyle w:val="BodyText"/>
        <w:spacing w:before="52" w:line="360" w:lineRule="auto"/>
        <w:ind w:left="237" w:right="612" w:firstLine="851"/>
        <w:jc w:val="both"/>
      </w:pPr>
      <w:r>
        <w:rPr>
          <w:noProof/>
        </w:rPr>
        <w:drawing>
          <wp:anchor distT="0" distB="0" distL="0" distR="0" simplePos="0" relativeHeight="251305472" behindDoc="1" locked="0" layoutInCell="1" allowOverlap="1" wp14:anchorId="51DEA5B4" wp14:editId="51DEA5B5">
            <wp:simplePos x="0" y="0"/>
            <wp:positionH relativeFrom="page">
              <wp:posOffset>905255</wp:posOffset>
            </wp:positionH>
            <wp:positionV relativeFrom="paragraph">
              <wp:posOffset>76785</wp:posOffset>
            </wp:positionV>
            <wp:extent cx="259079" cy="106679"/>
            <wp:effectExtent l="0" t="0" r="0" b="0"/>
            <wp:wrapNone/>
            <wp:docPr id="1367" name="image7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 name="image708.png"/>
                    <pic:cNvPicPr/>
                  </pic:nvPicPr>
                  <pic:blipFill>
                    <a:blip r:embed="rId920" cstate="print"/>
                    <a:stretch>
                      <a:fillRect/>
                    </a:stretch>
                  </pic:blipFill>
                  <pic:spPr>
                    <a:xfrm>
                      <a:off x="0" y="0"/>
                      <a:ext cx="259079" cy="106679"/>
                    </a:xfrm>
                    <a:prstGeom prst="rect">
                      <a:avLst/>
                    </a:prstGeom>
                  </pic:spPr>
                </pic:pic>
              </a:graphicData>
            </a:graphic>
          </wp:anchor>
        </w:drawing>
      </w:r>
      <w:r>
        <w:t>MOFCOM appears to have entirely ignored the apparent cause‐and‐effect relationship between the progressive elimination of tariffs under the ChAFTA, which are specifically designed to liberalise, facilitate, and benefit cross‐border trade in wine products,</w:t>
      </w:r>
      <w:r>
        <w:rPr>
          <w:vertAlign w:val="superscript"/>
        </w:rPr>
        <w:t>8</w:t>
      </w:r>
      <w:r>
        <w:rPr>
          <w:vertAlign w:val="superscript"/>
        </w:rPr>
        <w:t>36</w:t>
      </w:r>
      <w:r>
        <w:t xml:space="preserve"> and the evidence upon which MOFCOM's injury and causation determinations are</w:t>
      </w:r>
      <w:r>
        <w:rPr>
          <w:spacing w:val="-3"/>
        </w:rPr>
        <w:t xml:space="preserve"> </w:t>
      </w:r>
      <w:r>
        <w:t>founded,</w:t>
      </w:r>
      <w:r>
        <w:rPr>
          <w:spacing w:val="-2"/>
        </w:rPr>
        <w:t xml:space="preserve"> </w:t>
      </w:r>
      <w:r>
        <w:t>namely:</w:t>
      </w:r>
      <w:r>
        <w:rPr>
          <w:spacing w:val="-3"/>
        </w:rPr>
        <w:t xml:space="preserve"> </w:t>
      </w:r>
      <w:r>
        <w:t>(i)</w:t>
      </w:r>
      <w:r>
        <w:rPr>
          <w:spacing w:val="-4"/>
        </w:rPr>
        <w:t xml:space="preserve"> </w:t>
      </w:r>
      <w:r>
        <w:t>the</w:t>
      </w:r>
      <w:r>
        <w:rPr>
          <w:spacing w:val="-3"/>
        </w:rPr>
        <w:t xml:space="preserve"> </w:t>
      </w:r>
      <w:r>
        <w:t>decrease</w:t>
      </w:r>
      <w:r>
        <w:rPr>
          <w:spacing w:val="-2"/>
        </w:rPr>
        <w:t xml:space="preserve"> </w:t>
      </w:r>
      <w:r>
        <w:t>in</w:t>
      </w:r>
      <w:r>
        <w:rPr>
          <w:spacing w:val="-4"/>
        </w:rPr>
        <w:t xml:space="preserve"> </w:t>
      </w:r>
      <w:r>
        <w:t>the</w:t>
      </w:r>
      <w:r>
        <w:rPr>
          <w:spacing w:val="-3"/>
        </w:rPr>
        <w:t xml:space="preserve"> </w:t>
      </w:r>
      <w:r>
        <w:t>average</w:t>
      </w:r>
      <w:r>
        <w:rPr>
          <w:spacing w:val="-3"/>
        </w:rPr>
        <w:t xml:space="preserve"> </w:t>
      </w:r>
      <w:r>
        <w:t>unit</w:t>
      </w:r>
      <w:r>
        <w:rPr>
          <w:spacing w:val="-4"/>
        </w:rPr>
        <w:t xml:space="preserve"> </w:t>
      </w:r>
      <w:r>
        <w:t>price</w:t>
      </w:r>
      <w:r>
        <w:rPr>
          <w:spacing w:val="-3"/>
        </w:rPr>
        <w:t xml:space="preserve"> </w:t>
      </w:r>
      <w:r>
        <w:t>of</w:t>
      </w:r>
      <w:r>
        <w:rPr>
          <w:spacing w:val="-4"/>
        </w:rPr>
        <w:t xml:space="preserve"> </w:t>
      </w:r>
      <w:r>
        <w:t>the</w:t>
      </w:r>
      <w:r>
        <w:rPr>
          <w:spacing w:val="-3"/>
        </w:rPr>
        <w:t xml:space="preserve"> </w:t>
      </w:r>
      <w:r>
        <w:t>subject</w:t>
      </w:r>
      <w:r>
        <w:rPr>
          <w:spacing w:val="-4"/>
        </w:rPr>
        <w:t xml:space="preserve"> </w:t>
      </w:r>
      <w:r>
        <w:t>imports;</w:t>
      </w:r>
      <w:r>
        <w:rPr>
          <w:spacing w:val="-4"/>
        </w:rPr>
        <w:t xml:space="preserve"> </w:t>
      </w:r>
      <w:r>
        <w:t>and</w:t>
      </w:r>
      <w:r>
        <w:rPr>
          <w:spacing w:val="-4"/>
        </w:rPr>
        <w:t xml:space="preserve"> </w:t>
      </w:r>
      <w:r>
        <w:t>(ii) the increase in the volume of subject imports. In this way, MOFCOM improperly treat</w:t>
      </w:r>
      <w:r>
        <w:t>ed the price decrease and the volume increase associated with the negotiated outcomes of the ChAFTA as evidence that the subject imports were, through the effects of dumping, causing injury to the domestic industry.</w:t>
      </w:r>
    </w:p>
    <w:p w14:paraId="51DE925F" w14:textId="77777777" w:rsidR="0010369C" w:rsidRDefault="0010369C">
      <w:pPr>
        <w:pStyle w:val="BodyText"/>
        <w:spacing w:before="10"/>
        <w:rPr>
          <w:sz w:val="8"/>
        </w:rPr>
      </w:pPr>
    </w:p>
    <w:p w14:paraId="51DE9260" w14:textId="77777777" w:rsidR="0010369C" w:rsidRDefault="008E43AE">
      <w:pPr>
        <w:pStyle w:val="BodyText"/>
        <w:spacing w:before="52" w:line="360" w:lineRule="auto"/>
        <w:ind w:left="238" w:right="614" w:firstLine="851"/>
      </w:pPr>
      <w:r>
        <w:rPr>
          <w:noProof/>
        </w:rPr>
        <w:drawing>
          <wp:anchor distT="0" distB="0" distL="0" distR="0" simplePos="0" relativeHeight="251306496" behindDoc="1" locked="0" layoutInCell="1" allowOverlap="1" wp14:anchorId="51DEA5B6" wp14:editId="51DEA5B7">
            <wp:simplePos x="0" y="0"/>
            <wp:positionH relativeFrom="page">
              <wp:posOffset>905255</wp:posOffset>
            </wp:positionH>
            <wp:positionV relativeFrom="paragraph">
              <wp:posOffset>81949</wp:posOffset>
            </wp:positionV>
            <wp:extent cx="259079" cy="100753"/>
            <wp:effectExtent l="0" t="0" r="0" b="0"/>
            <wp:wrapNone/>
            <wp:docPr id="1369" name="image7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 name="image709.png"/>
                    <pic:cNvPicPr/>
                  </pic:nvPicPr>
                  <pic:blipFill>
                    <a:blip r:embed="rId921" cstate="print"/>
                    <a:stretch>
                      <a:fillRect/>
                    </a:stretch>
                  </pic:blipFill>
                  <pic:spPr>
                    <a:xfrm>
                      <a:off x="0" y="0"/>
                      <a:ext cx="259079" cy="100753"/>
                    </a:xfrm>
                    <a:prstGeom prst="rect">
                      <a:avLst/>
                    </a:prstGeom>
                  </pic:spPr>
                </pic:pic>
              </a:graphicData>
            </a:graphic>
          </wp:anchor>
        </w:drawing>
      </w:r>
      <w:r>
        <w:t>As</w:t>
      </w:r>
      <w:r>
        <w:rPr>
          <w:spacing w:val="28"/>
        </w:rPr>
        <w:t xml:space="preserve"> </w:t>
      </w:r>
      <w:r>
        <w:t>a</w:t>
      </w:r>
      <w:r>
        <w:rPr>
          <w:spacing w:val="28"/>
        </w:rPr>
        <w:t xml:space="preserve"> </w:t>
      </w:r>
      <w:r>
        <w:t>result,</w:t>
      </w:r>
      <w:r>
        <w:rPr>
          <w:spacing w:val="28"/>
        </w:rPr>
        <w:t xml:space="preserve"> </w:t>
      </w:r>
      <w:r>
        <w:t>MOFCOM's</w:t>
      </w:r>
      <w:r>
        <w:rPr>
          <w:spacing w:val="29"/>
        </w:rPr>
        <w:t xml:space="preserve"> </w:t>
      </w:r>
      <w:r>
        <w:t>examination of</w:t>
      </w:r>
      <w:r>
        <w:rPr>
          <w:spacing w:val="28"/>
        </w:rPr>
        <w:t xml:space="preserve"> </w:t>
      </w:r>
      <w:r>
        <w:t>this</w:t>
      </w:r>
      <w:r>
        <w:rPr>
          <w:spacing w:val="28"/>
        </w:rPr>
        <w:t xml:space="preserve"> </w:t>
      </w:r>
      <w:r>
        <w:t>"known"</w:t>
      </w:r>
      <w:r>
        <w:rPr>
          <w:spacing w:val="28"/>
        </w:rPr>
        <w:t xml:space="preserve"> </w:t>
      </w:r>
      <w:r>
        <w:t>factor</w:t>
      </w:r>
      <w:r>
        <w:rPr>
          <w:spacing w:val="28"/>
        </w:rPr>
        <w:t xml:space="preserve"> </w:t>
      </w:r>
      <w:r>
        <w:t>was</w:t>
      </w:r>
      <w:r>
        <w:rPr>
          <w:spacing w:val="28"/>
        </w:rPr>
        <w:t xml:space="preserve"> </w:t>
      </w:r>
      <w:r>
        <w:t>inconsistent</w:t>
      </w:r>
      <w:r>
        <w:rPr>
          <w:spacing w:val="30"/>
        </w:rPr>
        <w:t xml:space="preserve"> </w:t>
      </w:r>
      <w:r>
        <w:t>with China's obligations Articles 3.5 and 3.1 of the Anti‐Dumping Agreement.</w:t>
      </w:r>
    </w:p>
    <w:p w14:paraId="51DE9261" w14:textId="77777777" w:rsidR="0010369C" w:rsidRDefault="0010369C">
      <w:pPr>
        <w:pStyle w:val="BodyText"/>
        <w:rPr>
          <w:sz w:val="20"/>
        </w:rPr>
      </w:pPr>
    </w:p>
    <w:p w14:paraId="51DE9262" w14:textId="77777777" w:rsidR="0010369C" w:rsidRDefault="0010369C">
      <w:pPr>
        <w:pStyle w:val="BodyText"/>
        <w:rPr>
          <w:sz w:val="20"/>
        </w:rPr>
      </w:pPr>
    </w:p>
    <w:p w14:paraId="51DE9263" w14:textId="77777777" w:rsidR="0010369C" w:rsidRDefault="0010369C">
      <w:pPr>
        <w:pStyle w:val="BodyText"/>
        <w:rPr>
          <w:sz w:val="20"/>
        </w:rPr>
      </w:pPr>
    </w:p>
    <w:p w14:paraId="51DE9264" w14:textId="77777777" w:rsidR="0010369C" w:rsidRDefault="0010369C">
      <w:pPr>
        <w:pStyle w:val="BodyText"/>
        <w:rPr>
          <w:sz w:val="20"/>
        </w:rPr>
      </w:pPr>
    </w:p>
    <w:p w14:paraId="51DE9265" w14:textId="77777777" w:rsidR="0010369C" w:rsidRDefault="0010369C">
      <w:pPr>
        <w:pStyle w:val="BodyText"/>
        <w:rPr>
          <w:sz w:val="20"/>
        </w:rPr>
      </w:pPr>
    </w:p>
    <w:p w14:paraId="51DE9266" w14:textId="77777777" w:rsidR="0010369C" w:rsidRDefault="008E43AE">
      <w:pPr>
        <w:pStyle w:val="BodyText"/>
        <w:spacing w:before="8"/>
        <w:rPr>
          <w:sz w:val="28"/>
        </w:rPr>
      </w:pPr>
      <w:r>
        <w:pict w14:anchorId="51DEA5B8">
          <v:rect id="docshape1166" o:spid="_x0000_s1235" style="position:absolute;margin-left:70.9pt;margin-top:18.75pt;width:2in;height:.8pt;z-index:-250781184;mso-wrap-distance-left:0;mso-wrap-distance-right:0;mso-position-horizontal-relative:page" fillcolor="black" stroked="f">
            <w10:wrap type="topAndBottom" anchorx="page"/>
          </v:rect>
        </w:pict>
      </w:r>
    </w:p>
    <w:p w14:paraId="51DE9267" w14:textId="77777777" w:rsidR="0010369C" w:rsidRDefault="008E43AE">
      <w:pPr>
        <w:spacing w:before="109"/>
        <w:ind w:left="237" w:right="614" w:firstLine="1"/>
        <w:jc w:val="both"/>
        <w:rPr>
          <w:sz w:val="18"/>
        </w:rPr>
      </w:pPr>
      <w:r>
        <w:rPr>
          <w:sz w:val="18"/>
          <w:vertAlign w:val="superscript"/>
        </w:rPr>
        <w:t>836</w:t>
      </w:r>
      <w:r>
        <w:rPr>
          <w:sz w:val="18"/>
        </w:rPr>
        <w:t xml:space="preserve"> In addition, other negotiated outcomes to facilitate cross‐border trade in goods between Australia and China may have further reduced unit costs of subject imports, resulting in further reductions to their unit prices when they arrive in the Chinese marke</w:t>
      </w:r>
      <w:r>
        <w:rPr>
          <w:sz w:val="18"/>
        </w:rPr>
        <w:t>t.</w:t>
      </w:r>
    </w:p>
    <w:p w14:paraId="51DE9268" w14:textId="77777777" w:rsidR="0010369C" w:rsidRDefault="0010369C">
      <w:pPr>
        <w:jc w:val="both"/>
        <w:rPr>
          <w:sz w:val="18"/>
        </w:rPr>
        <w:sectPr w:rsidR="0010369C">
          <w:headerReference w:type="default" r:id="rId922"/>
          <w:footerReference w:type="default" r:id="rId923"/>
          <w:pgSz w:w="11910" w:h="16840"/>
          <w:pgMar w:top="880" w:right="800" w:bottom="980" w:left="1180" w:header="569" w:footer="788" w:gutter="0"/>
          <w:cols w:space="720"/>
        </w:sectPr>
      </w:pPr>
    </w:p>
    <w:p w14:paraId="51DE9269" w14:textId="77777777" w:rsidR="0010369C" w:rsidRDefault="008E43AE">
      <w:pPr>
        <w:tabs>
          <w:tab w:val="left" w:pos="6426"/>
        </w:tabs>
        <w:ind w:left="238"/>
        <w:rPr>
          <w:sz w:val="20"/>
        </w:rPr>
      </w:pPr>
      <w:r>
        <w:rPr>
          <w:i/>
          <w:sz w:val="20"/>
        </w:rPr>
        <w:lastRenderedPageBreak/>
        <w:t>China</w:t>
      </w:r>
      <w:r>
        <w:rPr>
          <w:i/>
          <w:spacing w:val="-5"/>
          <w:sz w:val="20"/>
        </w:rPr>
        <w:t xml:space="preserve"> </w:t>
      </w:r>
      <w:r>
        <w:rPr>
          <w:i/>
          <w:sz w:val="20"/>
        </w:rPr>
        <w:t>–</w:t>
      </w:r>
      <w:r>
        <w:rPr>
          <w:i/>
          <w:spacing w:val="-5"/>
          <w:sz w:val="20"/>
        </w:rPr>
        <w:t xml:space="preserve"> </w:t>
      </w:r>
      <w:r>
        <w:rPr>
          <w:i/>
          <w:sz w:val="20"/>
        </w:rPr>
        <w:t>Anti‐Dumping</w:t>
      </w:r>
      <w:r>
        <w:rPr>
          <w:i/>
          <w:spacing w:val="-4"/>
          <w:sz w:val="20"/>
        </w:rPr>
        <w:t xml:space="preserve"> </w:t>
      </w:r>
      <w:r>
        <w:rPr>
          <w:i/>
          <w:sz w:val="20"/>
        </w:rPr>
        <w:t>and</w:t>
      </w:r>
      <w:r>
        <w:rPr>
          <w:i/>
          <w:spacing w:val="-5"/>
          <w:sz w:val="20"/>
        </w:rPr>
        <w:t xml:space="preserve"> </w:t>
      </w:r>
      <w:r>
        <w:rPr>
          <w:i/>
          <w:sz w:val="20"/>
        </w:rPr>
        <w:t>Countervailing</w:t>
      </w:r>
      <w:r>
        <w:rPr>
          <w:i/>
          <w:spacing w:val="-5"/>
          <w:sz w:val="20"/>
        </w:rPr>
        <w:t xml:space="preserve"> </w:t>
      </w:r>
      <w:r>
        <w:rPr>
          <w:i/>
          <w:sz w:val="20"/>
        </w:rPr>
        <w:t>Duty</w:t>
      </w:r>
      <w:r>
        <w:rPr>
          <w:i/>
          <w:spacing w:val="-4"/>
          <w:sz w:val="20"/>
        </w:rPr>
        <w:t xml:space="preserve"> </w:t>
      </w:r>
      <w:r>
        <w:rPr>
          <w:i/>
          <w:spacing w:val="-2"/>
          <w:sz w:val="20"/>
        </w:rPr>
        <w:t>Measures</w:t>
      </w:r>
      <w:r>
        <w:rPr>
          <w:i/>
          <w:sz w:val="20"/>
        </w:rPr>
        <w:tab/>
      </w:r>
      <w:r>
        <w:rPr>
          <w:sz w:val="20"/>
        </w:rPr>
        <w:t>Australia's</w:t>
      </w:r>
      <w:r>
        <w:rPr>
          <w:spacing w:val="-7"/>
          <w:sz w:val="20"/>
        </w:rPr>
        <w:t xml:space="preserve"> </w:t>
      </w:r>
      <w:r>
        <w:rPr>
          <w:sz w:val="20"/>
        </w:rPr>
        <w:t>First</w:t>
      </w:r>
      <w:r>
        <w:rPr>
          <w:spacing w:val="-2"/>
          <w:sz w:val="20"/>
        </w:rPr>
        <w:t xml:space="preserve"> </w:t>
      </w:r>
      <w:r>
        <w:rPr>
          <w:sz w:val="20"/>
        </w:rPr>
        <w:t>Written</w:t>
      </w:r>
      <w:r>
        <w:rPr>
          <w:spacing w:val="-2"/>
          <w:sz w:val="20"/>
        </w:rPr>
        <w:t xml:space="preserve"> Submission</w:t>
      </w:r>
    </w:p>
    <w:p w14:paraId="51DE926A" w14:textId="77777777" w:rsidR="0010369C" w:rsidRDefault="008E43AE">
      <w:pPr>
        <w:tabs>
          <w:tab w:val="left" w:pos="8228"/>
        </w:tabs>
        <w:spacing w:before="1"/>
        <w:ind w:left="239"/>
        <w:rPr>
          <w:sz w:val="20"/>
        </w:rPr>
      </w:pPr>
      <w:r>
        <w:rPr>
          <w:i/>
          <w:sz w:val="20"/>
        </w:rPr>
        <w:t>on</w:t>
      </w:r>
      <w:r>
        <w:rPr>
          <w:i/>
          <w:spacing w:val="-1"/>
          <w:sz w:val="20"/>
        </w:rPr>
        <w:t xml:space="preserve"> </w:t>
      </w:r>
      <w:r>
        <w:rPr>
          <w:i/>
          <w:sz w:val="20"/>
        </w:rPr>
        <w:t>Wine</w:t>
      </w:r>
      <w:r>
        <w:rPr>
          <w:i/>
          <w:spacing w:val="-1"/>
          <w:sz w:val="20"/>
        </w:rPr>
        <w:t xml:space="preserve"> </w:t>
      </w:r>
      <w:r>
        <w:rPr>
          <w:i/>
          <w:sz w:val="20"/>
        </w:rPr>
        <w:t>from</w:t>
      </w:r>
      <w:r>
        <w:rPr>
          <w:i/>
          <w:spacing w:val="-3"/>
          <w:sz w:val="20"/>
        </w:rPr>
        <w:t xml:space="preserve"> </w:t>
      </w:r>
      <w:r>
        <w:rPr>
          <w:i/>
          <w:sz w:val="20"/>
        </w:rPr>
        <w:t>Australia</w:t>
      </w:r>
      <w:r>
        <w:rPr>
          <w:i/>
          <w:spacing w:val="-1"/>
          <w:sz w:val="20"/>
        </w:rPr>
        <w:t xml:space="preserve"> </w:t>
      </w:r>
      <w:r>
        <w:rPr>
          <w:spacing w:val="-2"/>
          <w:sz w:val="20"/>
        </w:rPr>
        <w:t>(DS602)</w:t>
      </w:r>
      <w:r>
        <w:rPr>
          <w:sz w:val="20"/>
        </w:rPr>
        <w:tab/>
        <w:t>29</w:t>
      </w:r>
      <w:r>
        <w:rPr>
          <w:spacing w:val="-1"/>
          <w:sz w:val="20"/>
        </w:rPr>
        <w:t xml:space="preserve"> </w:t>
      </w:r>
      <w:r>
        <w:rPr>
          <w:sz w:val="20"/>
        </w:rPr>
        <w:t>April</w:t>
      </w:r>
      <w:r>
        <w:rPr>
          <w:spacing w:val="-2"/>
          <w:sz w:val="20"/>
        </w:rPr>
        <w:t xml:space="preserve"> </w:t>
      </w:r>
      <w:r>
        <w:rPr>
          <w:spacing w:val="-4"/>
          <w:sz w:val="20"/>
        </w:rPr>
        <w:t>2022</w:t>
      </w:r>
    </w:p>
    <w:p w14:paraId="51DE926B" w14:textId="77777777" w:rsidR="0010369C" w:rsidRDefault="008E43AE">
      <w:pPr>
        <w:pStyle w:val="ListParagraph"/>
        <w:numPr>
          <w:ilvl w:val="1"/>
          <w:numId w:val="3"/>
        </w:numPr>
        <w:tabs>
          <w:tab w:val="left" w:pos="3642"/>
          <w:tab w:val="left" w:pos="3643"/>
        </w:tabs>
        <w:spacing w:before="35"/>
        <w:ind w:hanging="853"/>
        <w:rPr>
          <w:sz w:val="24"/>
        </w:rPr>
      </w:pPr>
      <w:r>
        <w:rPr>
          <w:sz w:val="24"/>
          <w:u w:val="single"/>
        </w:rPr>
        <w:t>Imports</w:t>
      </w:r>
      <w:r>
        <w:rPr>
          <w:spacing w:val="-9"/>
          <w:sz w:val="24"/>
          <w:u w:val="single"/>
        </w:rPr>
        <w:t xml:space="preserve"> </w:t>
      </w:r>
      <w:r>
        <w:rPr>
          <w:sz w:val="24"/>
          <w:u w:val="single"/>
        </w:rPr>
        <w:t>from</w:t>
      </w:r>
      <w:r>
        <w:rPr>
          <w:spacing w:val="-8"/>
          <w:sz w:val="24"/>
          <w:u w:val="single"/>
        </w:rPr>
        <w:t xml:space="preserve"> </w:t>
      </w:r>
      <w:r>
        <w:rPr>
          <w:sz w:val="24"/>
          <w:u w:val="single"/>
        </w:rPr>
        <w:t>other</w:t>
      </w:r>
      <w:r>
        <w:rPr>
          <w:spacing w:val="-7"/>
          <w:sz w:val="24"/>
          <w:u w:val="single"/>
        </w:rPr>
        <w:t xml:space="preserve"> </w:t>
      </w:r>
      <w:r>
        <w:rPr>
          <w:sz w:val="24"/>
          <w:u w:val="single"/>
        </w:rPr>
        <w:t>countries</w:t>
      </w:r>
      <w:r>
        <w:rPr>
          <w:spacing w:val="-8"/>
          <w:sz w:val="24"/>
          <w:u w:val="single"/>
        </w:rPr>
        <w:t xml:space="preserve"> </w:t>
      </w:r>
      <w:r>
        <w:rPr>
          <w:sz w:val="24"/>
          <w:u w:val="single"/>
        </w:rPr>
        <w:t>or</w:t>
      </w:r>
      <w:r>
        <w:rPr>
          <w:spacing w:val="-7"/>
          <w:sz w:val="24"/>
          <w:u w:val="single"/>
        </w:rPr>
        <w:t xml:space="preserve"> </w:t>
      </w:r>
      <w:r>
        <w:rPr>
          <w:spacing w:val="-2"/>
          <w:sz w:val="24"/>
          <w:u w:val="single"/>
        </w:rPr>
        <w:t>regions</w:t>
      </w:r>
    </w:p>
    <w:p w14:paraId="51DE926C" w14:textId="77777777" w:rsidR="0010369C" w:rsidRDefault="0010369C">
      <w:pPr>
        <w:pStyle w:val="BodyText"/>
        <w:spacing w:before="9"/>
        <w:rPr>
          <w:sz w:val="20"/>
        </w:rPr>
      </w:pPr>
    </w:p>
    <w:p w14:paraId="51DE926D" w14:textId="77777777" w:rsidR="0010369C" w:rsidRDefault="008E43AE">
      <w:pPr>
        <w:pStyle w:val="BodyText"/>
        <w:spacing w:before="52" w:line="360" w:lineRule="auto"/>
        <w:ind w:left="237" w:right="612" w:firstLine="851"/>
        <w:jc w:val="both"/>
      </w:pPr>
      <w:r>
        <w:rPr>
          <w:noProof/>
        </w:rPr>
        <w:drawing>
          <wp:anchor distT="0" distB="0" distL="0" distR="0" simplePos="0" relativeHeight="251307520" behindDoc="1" locked="0" layoutInCell="1" allowOverlap="1" wp14:anchorId="51DEA5B9" wp14:editId="51DEA5BA">
            <wp:simplePos x="0" y="0"/>
            <wp:positionH relativeFrom="page">
              <wp:posOffset>905255</wp:posOffset>
            </wp:positionH>
            <wp:positionV relativeFrom="paragraph">
              <wp:posOffset>81357</wp:posOffset>
            </wp:positionV>
            <wp:extent cx="259079" cy="103631"/>
            <wp:effectExtent l="0" t="0" r="0" b="0"/>
            <wp:wrapNone/>
            <wp:docPr id="1371" name="image7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 name="image710.png"/>
                    <pic:cNvPicPr/>
                  </pic:nvPicPr>
                  <pic:blipFill>
                    <a:blip r:embed="rId924" cstate="print"/>
                    <a:stretch>
                      <a:fillRect/>
                    </a:stretch>
                  </pic:blipFill>
                  <pic:spPr>
                    <a:xfrm>
                      <a:off x="0" y="0"/>
                      <a:ext cx="259079" cy="103631"/>
                    </a:xfrm>
                    <a:prstGeom prst="rect">
                      <a:avLst/>
                    </a:prstGeom>
                  </pic:spPr>
                </pic:pic>
              </a:graphicData>
            </a:graphic>
          </wp:anchor>
        </w:drawing>
      </w:r>
      <w:r>
        <w:t>In the Final Determination, MOFCOM states that "the impact of imported products from other countries (regions)" was one of the "other known factors that may have caused injury to the domestic industry other than dumped imported product".</w:t>
      </w:r>
      <w:r>
        <w:rPr>
          <w:vertAlign w:val="superscript"/>
        </w:rPr>
        <w:t>837</w:t>
      </w:r>
      <w:r>
        <w:t xml:space="preserve"> In addition, MO</w:t>
      </w:r>
      <w:r>
        <w:t>FCOM acknowledged that the Australian Government and AGW raised imports of like products</w:t>
      </w:r>
      <w:r>
        <w:rPr>
          <w:spacing w:val="-11"/>
        </w:rPr>
        <w:t xml:space="preserve"> </w:t>
      </w:r>
      <w:r>
        <w:t>from</w:t>
      </w:r>
      <w:r>
        <w:rPr>
          <w:spacing w:val="-10"/>
        </w:rPr>
        <w:t xml:space="preserve"> </w:t>
      </w:r>
      <w:r>
        <w:t>other</w:t>
      </w:r>
      <w:r>
        <w:rPr>
          <w:spacing w:val="-11"/>
        </w:rPr>
        <w:t xml:space="preserve"> </w:t>
      </w:r>
      <w:r>
        <w:t>countries</w:t>
      </w:r>
      <w:r>
        <w:rPr>
          <w:spacing w:val="-12"/>
        </w:rPr>
        <w:t xml:space="preserve"> </w:t>
      </w:r>
      <w:r>
        <w:t>as</w:t>
      </w:r>
      <w:r>
        <w:rPr>
          <w:spacing w:val="-12"/>
        </w:rPr>
        <w:t xml:space="preserve"> </w:t>
      </w:r>
      <w:r>
        <w:t>one</w:t>
      </w:r>
      <w:r>
        <w:rPr>
          <w:spacing w:val="-11"/>
        </w:rPr>
        <w:t xml:space="preserve"> </w:t>
      </w:r>
      <w:r>
        <w:t>of</w:t>
      </w:r>
      <w:r>
        <w:rPr>
          <w:spacing w:val="-11"/>
        </w:rPr>
        <w:t xml:space="preserve"> </w:t>
      </w:r>
      <w:r>
        <w:t>the</w:t>
      </w:r>
      <w:r>
        <w:rPr>
          <w:spacing w:val="-11"/>
        </w:rPr>
        <w:t xml:space="preserve"> </w:t>
      </w:r>
      <w:r>
        <w:t>factors</w:t>
      </w:r>
      <w:r>
        <w:rPr>
          <w:spacing w:val="-11"/>
        </w:rPr>
        <w:t xml:space="preserve"> </w:t>
      </w:r>
      <w:r>
        <w:t>that</w:t>
      </w:r>
      <w:r>
        <w:rPr>
          <w:spacing w:val="-11"/>
        </w:rPr>
        <w:t xml:space="preserve"> </w:t>
      </w:r>
      <w:r>
        <w:t>may</w:t>
      </w:r>
      <w:r>
        <w:rPr>
          <w:spacing w:val="-11"/>
        </w:rPr>
        <w:t xml:space="preserve"> </w:t>
      </w:r>
      <w:r>
        <w:t>be</w:t>
      </w:r>
      <w:r>
        <w:rPr>
          <w:spacing w:val="-11"/>
        </w:rPr>
        <w:t xml:space="preserve"> </w:t>
      </w:r>
      <w:r>
        <w:t>causing</w:t>
      </w:r>
      <w:r>
        <w:rPr>
          <w:spacing w:val="-12"/>
        </w:rPr>
        <w:t xml:space="preserve"> </w:t>
      </w:r>
      <w:r>
        <w:t>injury</w:t>
      </w:r>
      <w:r>
        <w:rPr>
          <w:spacing w:val="-10"/>
        </w:rPr>
        <w:t xml:space="preserve"> </w:t>
      </w:r>
      <w:r>
        <w:t>to</w:t>
      </w:r>
      <w:r>
        <w:rPr>
          <w:spacing w:val="-11"/>
        </w:rPr>
        <w:t xml:space="preserve"> </w:t>
      </w:r>
      <w:r>
        <w:t>the</w:t>
      </w:r>
      <w:r>
        <w:rPr>
          <w:spacing w:val="-11"/>
        </w:rPr>
        <w:t xml:space="preserve"> </w:t>
      </w:r>
      <w:r>
        <w:t xml:space="preserve">domestic </w:t>
      </w:r>
      <w:r>
        <w:rPr>
          <w:spacing w:val="-2"/>
        </w:rPr>
        <w:t>industry.</w:t>
      </w:r>
      <w:r>
        <w:rPr>
          <w:spacing w:val="-2"/>
          <w:vertAlign w:val="superscript"/>
        </w:rPr>
        <w:t>838</w:t>
      </w:r>
    </w:p>
    <w:p w14:paraId="51DE926E" w14:textId="77777777" w:rsidR="0010369C" w:rsidRDefault="0010369C">
      <w:pPr>
        <w:pStyle w:val="BodyText"/>
        <w:spacing w:before="11"/>
        <w:rPr>
          <w:sz w:val="8"/>
        </w:rPr>
      </w:pPr>
    </w:p>
    <w:p w14:paraId="51DE926F" w14:textId="77777777" w:rsidR="0010369C" w:rsidRDefault="008E43AE">
      <w:pPr>
        <w:pStyle w:val="BodyText"/>
        <w:spacing w:before="52" w:line="360" w:lineRule="auto"/>
        <w:ind w:left="237" w:right="612" w:firstLine="851"/>
        <w:jc w:val="both"/>
      </w:pPr>
      <w:r>
        <w:rPr>
          <w:noProof/>
        </w:rPr>
        <w:drawing>
          <wp:anchor distT="0" distB="0" distL="0" distR="0" simplePos="0" relativeHeight="251308544" behindDoc="1" locked="0" layoutInCell="1" allowOverlap="1" wp14:anchorId="51DEA5BB" wp14:editId="51DEA5BC">
            <wp:simplePos x="0" y="0"/>
            <wp:positionH relativeFrom="page">
              <wp:posOffset>905255</wp:posOffset>
            </wp:positionH>
            <wp:positionV relativeFrom="paragraph">
              <wp:posOffset>81949</wp:posOffset>
            </wp:positionV>
            <wp:extent cx="259079" cy="100753"/>
            <wp:effectExtent l="0" t="0" r="0" b="0"/>
            <wp:wrapNone/>
            <wp:docPr id="1373" name="image7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 name="image711.png"/>
                    <pic:cNvPicPr/>
                  </pic:nvPicPr>
                  <pic:blipFill>
                    <a:blip r:embed="rId925" cstate="print"/>
                    <a:stretch>
                      <a:fillRect/>
                    </a:stretch>
                  </pic:blipFill>
                  <pic:spPr>
                    <a:xfrm>
                      <a:off x="0" y="0"/>
                      <a:ext cx="259079" cy="100753"/>
                    </a:xfrm>
                    <a:prstGeom prst="rect">
                      <a:avLst/>
                    </a:prstGeom>
                  </pic:spPr>
                </pic:pic>
              </a:graphicData>
            </a:graphic>
          </wp:anchor>
        </w:drawing>
      </w:r>
      <w:r>
        <w:t>As</w:t>
      </w:r>
      <w:r>
        <w:rPr>
          <w:spacing w:val="-14"/>
        </w:rPr>
        <w:t xml:space="preserve"> </w:t>
      </w:r>
      <w:r>
        <w:t>discussed</w:t>
      </w:r>
      <w:r>
        <w:rPr>
          <w:spacing w:val="-14"/>
        </w:rPr>
        <w:t xml:space="preserve"> </w:t>
      </w:r>
      <w:r>
        <w:t>below,</w:t>
      </w:r>
      <w:r>
        <w:rPr>
          <w:spacing w:val="-13"/>
        </w:rPr>
        <w:t xml:space="preserve"> </w:t>
      </w:r>
      <w:r>
        <w:t>the</w:t>
      </w:r>
      <w:r>
        <w:rPr>
          <w:spacing w:val="-14"/>
        </w:rPr>
        <w:t xml:space="preserve"> </w:t>
      </w:r>
      <w:r>
        <w:t>evidence</w:t>
      </w:r>
      <w:r>
        <w:rPr>
          <w:spacing w:val="-13"/>
        </w:rPr>
        <w:t xml:space="preserve"> </w:t>
      </w:r>
      <w:r>
        <w:t>on</w:t>
      </w:r>
      <w:r>
        <w:rPr>
          <w:spacing w:val="-14"/>
        </w:rPr>
        <w:t xml:space="preserve"> </w:t>
      </w:r>
      <w:r>
        <w:t>the</w:t>
      </w:r>
      <w:r>
        <w:rPr>
          <w:spacing w:val="-13"/>
        </w:rPr>
        <w:t xml:space="preserve"> </w:t>
      </w:r>
      <w:r>
        <w:t>record</w:t>
      </w:r>
      <w:r>
        <w:rPr>
          <w:spacing w:val="-14"/>
        </w:rPr>
        <w:t xml:space="preserve"> </w:t>
      </w:r>
      <w:r>
        <w:t>before</w:t>
      </w:r>
      <w:r>
        <w:rPr>
          <w:spacing w:val="-14"/>
        </w:rPr>
        <w:t xml:space="preserve"> </w:t>
      </w:r>
      <w:r>
        <w:t>MOFCOM</w:t>
      </w:r>
      <w:r>
        <w:rPr>
          <w:spacing w:val="-13"/>
        </w:rPr>
        <w:t xml:space="preserve"> </w:t>
      </w:r>
      <w:r>
        <w:t>established</w:t>
      </w:r>
      <w:r>
        <w:rPr>
          <w:spacing w:val="-14"/>
        </w:rPr>
        <w:t xml:space="preserve"> </w:t>
      </w:r>
      <w:r>
        <w:t>not</w:t>
      </w:r>
      <w:r>
        <w:rPr>
          <w:spacing w:val="-13"/>
        </w:rPr>
        <w:t xml:space="preserve"> </w:t>
      </w:r>
      <w:r>
        <w:t>only that imports of like products from third countries were substantially greater in volume and lower</w:t>
      </w:r>
      <w:r>
        <w:rPr>
          <w:spacing w:val="-13"/>
        </w:rPr>
        <w:t xml:space="preserve"> </w:t>
      </w:r>
      <w:r>
        <w:t>in</w:t>
      </w:r>
      <w:r>
        <w:rPr>
          <w:spacing w:val="-14"/>
        </w:rPr>
        <w:t xml:space="preserve"> </w:t>
      </w:r>
      <w:r>
        <w:t>price</w:t>
      </w:r>
      <w:r>
        <w:rPr>
          <w:spacing w:val="-12"/>
        </w:rPr>
        <w:t xml:space="preserve"> </w:t>
      </w:r>
      <w:r>
        <w:t>than</w:t>
      </w:r>
      <w:r>
        <w:rPr>
          <w:spacing w:val="-14"/>
        </w:rPr>
        <w:t xml:space="preserve"> </w:t>
      </w:r>
      <w:r>
        <w:t>the</w:t>
      </w:r>
      <w:r>
        <w:rPr>
          <w:spacing w:val="-12"/>
        </w:rPr>
        <w:t xml:space="preserve"> </w:t>
      </w:r>
      <w:r>
        <w:t>subject</w:t>
      </w:r>
      <w:r>
        <w:rPr>
          <w:spacing w:val="-13"/>
        </w:rPr>
        <w:t xml:space="preserve"> </w:t>
      </w:r>
      <w:r>
        <w:t>imports</w:t>
      </w:r>
      <w:r>
        <w:rPr>
          <w:spacing w:val="-13"/>
        </w:rPr>
        <w:t xml:space="preserve"> </w:t>
      </w:r>
      <w:r>
        <w:t>of</w:t>
      </w:r>
      <w:r>
        <w:rPr>
          <w:spacing w:val="-14"/>
        </w:rPr>
        <w:t xml:space="preserve"> </w:t>
      </w:r>
      <w:r>
        <w:t>Australian</w:t>
      </w:r>
      <w:r>
        <w:rPr>
          <w:spacing w:val="-13"/>
        </w:rPr>
        <w:t xml:space="preserve"> </w:t>
      </w:r>
      <w:r>
        <w:t>wine,</w:t>
      </w:r>
      <w:r>
        <w:rPr>
          <w:spacing w:val="-14"/>
        </w:rPr>
        <w:t xml:space="preserve"> </w:t>
      </w:r>
      <w:r>
        <w:t>but</w:t>
      </w:r>
      <w:r>
        <w:rPr>
          <w:spacing w:val="-12"/>
        </w:rPr>
        <w:t xml:space="preserve"> </w:t>
      </w:r>
      <w:r>
        <w:t>also</w:t>
      </w:r>
      <w:r>
        <w:rPr>
          <w:spacing w:val="-13"/>
        </w:rPr>
        <w:t xml:space="preserve"> </w:t>
      </w:r>
      <w:r>
        <w:t>that</w:t>
      </w:r>
      <w:r>
        <w:rPr>
          <w:spacing w:val="-14"/>
        </w:rPr>
        <w:t xml:space="preserve"> </w:t>
      </w:r>
      <w:r>
        <w:t>the</w:t>
      </w:r>
      <w:r>
        <w:rPr>
          <w:spacing w:val="-12"/>
        </w:rPr>
        <w:t xml:space="preserve"> </w:t>
      </w:r>
      <w:r>
        <w:t>average</w:t>
      </w:r>
      <w:r>
        <w:rPr>
          <w:spacing w:val="-13"/>
        </w:rPr>
        <w:t xml:space="preserve"> </w:t>
      </w:r>
      <w:r>
        <w:t>unit</w:t>
      </w:r>
      <w:r>
        <w:rPr>
          <w:spacing w:val="-13"/>
        </w:rPr>
        <w:t xml:space="preserve"> </w:t>
      </w:r>
      <w:r>
        <w:t>prices of imports from third countries were lower — and, in some cases, much lower — than the average unit prices of domestic like products. In the light of the much higher average unit prices of the subject imports of Australian wine, this evidence indica</w:t>
      </w:r>
      <w:r>
        <w:t>ted that a causal relationship was much more likely to exist between imports of like products from third countries and the price suppression that was alleged to be injuring the domestic industry.</w:t>
      </w:r>
    </w:p>
    <w:p w14:paraId="51DE9270" w14:textId="77777777" w:rsidR="0010369C" w:rsidRDefault="0010369C">
      <w:pPr>
        <w:pStyle w:val="BodyText"/>
        <w:spacing w:before="10"/>
        <w:rPr>
          <w:sz w:val="8"/>
        </w:rPr>
      </w:pPr>
    </w:p>
    <w:p w14:paraId="51DE9271" w14:textId="77777777" w:rsidR="0010369C" w:rsidRDefault="008E43AE">
      <w:pPr>
        <w:pStyle w:val="BodyText"/>
        <w:spacing w:before="52" w:line="360" w:lineRule="auto"/>
        <w:ind w:left="237" w:right="613" w:firstLine="851"/>
        <w:jc w:val="both"/>
      </w:pPr>
      <w:r>
        <w:rPr>
          <w:noProof/>
        </w:rPr>
        <w:drawing>
          <wp:anchor distT="0" distB="0" distL="0" distR="0" simplePos="0" relativeHeight="251309568" behindDoc="1" locked="0" layoutInCell="1" allowOverlap="1" wp14:anchorId="51DEA5BD" wp14:editId="51DEA5BE">
            <wp:simplePos x="0" y="0"/>
            <wp:positionH relativeFrom="page">
              <wp:posOffset>905255</wp:posOffset>
            </wp:positionH>
            <wp:positionV relativeFrom="paragraph">
              <wp:posOffset>76785</wp:posOffset>
            </wp:positionV>
            <wp:extent cx="259079" cy="106679"/>
            <wp:effectExtent l="0" t="0" r="0" b="0"/>
            <wp:wrapNone/>
            <wp:docPr id="1375" name="image7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 name="image712.png"/>
                    <pic:cNvPicPr/>
                  </pic:nvPicPr>
                  <pic:blipFill>
                    <a:blip r:embed="rId926" cstate="print"/>
                    <a:stretch>
                      <a:fillRect/>
                    </a:stretch>
                  </pic:blipFill>
                  <pic:spPr>
                    <a:xfrm>
                      <a:off x="0" y="0"/>
                      <a:ext cx="259079" cy="106679"/>
                    </a:xfrm>
                    <a:prstGeom prst="rect">
                      <a:avLst/>
                    </a:prstGeom>
                  </pic:spPr>
                </pic:pic>
              </a:graphicData>
            </a:graphic>
          </wp:anchor>
        </w:drawing>
      </w:r>
      <w:r>
        <w:t xml:space="preserve">However, MOFCOM's examination of the evidence avoided any </w:t>
      </w:r>
      <w:r>
        <w:t>mention of these relevant</w:t>
      </w:r>
      <w:r>
        <w:rPr>
          <w:spacing w:val="-4"/>
        </w:rPr>
        <w:t xml:space="preserve"> </w:t>
      </w:r>
      <w:r>
        <w:t>facts,</w:t>
      </w:r>
      <w:r>
        <w:rPr>
          <w:spacing w:val="-4"/>
        </w:rPr>
        <w:t xml:space="preserve"> </w:t>
      </w:r>
      <w:r>
        <w:t>and</w:t>
      </w:r>
      <w:r>
        <w:rPr>
          <w:spacing w:val="-4"/>
        </w:rPr>
        <w:t xml:space="preserve"> </w:t>
      </w:r>
      <w:r>
        <w:t>instead</w:t>
      </w:r>
      <w:r>
        <w:rPr>
          <w:spacing w:val="-3"/>
        </w:rPr>
        <w:t xml:space="preserve"> </w:t>
      </w:r>
      <w:r>
        <w:t>focused</w:t>
      </w:r>
      <w:r>
        <w:rPr>
          <w:spacing w:val="-5"/>
        </w:rPr>
        <w:t xml:space="preserve"> </w:t>
      </w:r>
      <w:r>
        <w:t>on</w:t>
      </w:r>
      <w:r>
        <w:rPr>
          <w:spacing w:val="-4"/>
        </w:rPr>
        <w:t xml:space="preserve"> </w:t>
      </w:r>
      <w:r>
        <w:t>comparing</w:t>
      </w:r>
      <w:r>
        <w:rPr>
          <w:spacing w:val="-4"/>
        </w:rPr>
        <w:t xml:space="preserve"> </w:t>
      </w:r>
      <w:r>
        <w:t>certain</w:t>
      </w:r>
      <w:r>
        <w:rPr>
          <w:spacing w:val="-4"/>
        </w:rPr>
        <w:t xml:space="preserve"> </w:t>
      </w:r>
      <w:r>
        <w:t>isolated</w:t>
      </w:r>
      <w:r>
        <w:rPr>
          <w:spacing w:val="-4"/>
        </w:rPr>
        <w:t xml:space="preserve"> </w:t>
      </w:r>
      <w:r>
        <w:t>trends</w:t>
      </w:r>
      <w:r>
        <w:rPr>
          <w:spacing w:val="-4"/>
        </w:rPr>
        <w:t xml:space="preserve"> </w:t>
      </w:r>
      <w:r>
        <w:t>in</w:t>
      </w:r>
      <w:r>
        <w:rPr>
          <w:spacing w:val="-4"/>
        </w:rPr>
        <w:t xml:space="preserve"> </w:t>
      </w:r>
      <w:r>
        <w:t>the</w:t>
      </w:r>
      <w:r>
        <w:rPr>
          <w:spacing w:val="-3"/>
        </w:rPr>
        <w:t xml:space="preserve"> </w:t>
      </w:r>
      <w:r>
        <w:t>data</w:t>
      </w:r>
      <w:r>
        <w:rPr>
          <w:spacing w:val="-3"/>
        </w:rPr>
        <w:t xml:space="preserve"> </w:t>
      </w:r>
      <w:r>
        <w:t>for</w:t>
      </w:r>
      <w:r>
        <w:rPr>
          <w:spacing w:val="-3"/>
        </w:rPr>
        <w:t xml:space="preserve"> </w:t>
      </w:r>
      <w:r>
        <w:t>third‐ country imports with those for subject imports.</w:t>
      </w:r>
      <w:r>
        <w:rPr>
          <w:vertAlign w:val="superscript"/>
        </w:rPr>
        <w:t>839</w:t>
      </w:r>
      <w:r>
        <w:rPr>
          <w:spacing w:val="-1"/>
        </w:rPr>
        <w:t xml:space="preserve"> </w:t>
      </w:r>
      <w:r>
        <w:t>MOFCOM also considered that "there was no evidence showing the existence of dumping products</w:t>
      </w:r>
      <w:r>
        <w:t xml:space="preserve"> imported from other countries".</w:t>
      </w:r>
      <w:r>
        <w:rPr>
          <w:vertAlign w:val="superscript"/>
        </w:rPr>
        <w:t>840</w:t>
      </w:r>
      <w:r>
        <w:t xml:space="preserve"> On the basis of these considerations alone, MOFCOM concluded that "the impact of imports from other countries and regions on the domestic industry cannot deny the causal link between</w:t>
      </w:r>
      <w:r>
        <w:rPr>
          <w:spacing w:val="-3"/>
        </w:rPr>
        <w:t xml:space="preserve"> </w:t>
      </w:r>
      <w:r>
        <w:t>the</w:t>
      </w:r>
      <w:r>
        <w:rPr>
          <w:spacing w:val="-3"/>
        </w:rPr>
        <w:t xml:space="preserve"> </w:t>
      </w:r>
      <w:r>
        <w:t>import</w:t>
      </w:r>
      <w:r>
        <w:rPr>
          <w:spacing w:val="-3"/>
        </w:rPr>
        <w:t xml:space="preserve"> </w:t>
      </w:r>
      <w:r>
        <w:t>of</w:t>
      </w:r>
      <w:r>
        <w:rPr>
          <w:spacing w:val="-4"/>
        </w:rPr>
        <w:t xml:space="preserve"> </w:t>
      </w:r>
      <w:r>
        <w:t>the</w:t>
      </w:r>
      <w:r>
        <w:rPr>
          <w:spacing w:val="-3"/>
        </w:rPr>
        <w:t xml:space="preserve"> </w:t>
      </w:r>
      <w:r>
        <w:t>dumped</w:t>
      </w:r>
      <w:r>
        <w:rPr>
          <w:spacing w:val="-3"/>
        </w:rPr>
        <w:t xml:space="preserve"> </w:t>
      </w:r>
      <w:r>
        <w:t>imported</w:t>
      </w:r>
      <w:r>
        <w:rPr>
          <w:spacing w:val="-3"/>
        </w:rPr>
        <w:t xml:space="preserve"> </w:t>
      </w:r>
      <w:r>
        <w:t>pro</w:t>
      </w:r>
      <w:r>
        <w:t>duct</w:t>
      </w:r>
      <w:r>
        <w:rPr>
          <w:spacing w:val="-3"/>
        </w:rPr>
        <w:t xml:space="preserve"> </w:t>
      </w:r>
      <w:r>
        <w:t>and</w:t>
      </w:r>
      <w:r>
        <w:rPr>
          <w:spacing w:val="-4"/>
        </w:rPr>
        <w:t xml:space="preserve"> </w:t>
      </w:r>
      <w:r>
        <w:t>the</w:t>
      </w:r>
      <w:r>
        <w:rPr>
          <w:spacing w:val="-3"/>
        </w:rPr>
        <w:t xml:space="preserve"> </w:t>
      </w:r>
      <w:r>
        <w:t>material</w:t>
      </w:r>
      <w:r>
        <w:rPr>
          <w:spacing w:val="-4"/>
        </w:rPr>
        <w:t xml:space="preserve"> </w:t>
      </w:r>
      <w:r>
        <w:t>injury</w:t>
      </w:r>
      <w:r>
        <w:rPr>
          <w:spacing w:val="-3"/>
        </w:rPr>
        <w:t xml:space="preserve"> </w:t>
      </w:r>
      <w:r>
        <w:t>suffered</w:t>
      </w:r>
      <w:r>
        <w:rPr>
          <w:spacing w:val="-4"/>
        </w:rPr>
        <w:t xml:space="preserve"> </w:t>
      </w:r>
      <w:r>
        <w:t>by</w:t>
      </w:r>
      <w:r>
        <w:rPr>
          <w:spacing w:val="-3"/>
        </w:rPr>
        <w:t xml:space="preserve"> </w:t>
      </w:r>
      <w:r>
        <w:t>the domestic industry".</w:t>
      </w:r>
      <w:r>
        <w:rPr>
          <w:vertAlign w:val="superscript"/>
        </w:rPr>
        <w:t>841</w:t>
      </w:r>
      <w:r>
        <w:t xml:space="preserve"> MOFCOM failed to undertake any assessment of the impact of the prices or volumes of imports of like products from third countries on the domestic industry.</w:t>
      </w:r>
    </w:p>
    <w:p w14:paraId="51DE9272" w14:textId="77777777" w:rsidR="0010369C" w:rsidRDefault="0010369C">
      <w:pPr>
        <w:pStyle w:val="BodyText"/>
        <w:rPr>
          <w:sz w:val="20"/>
        </w:rPr>
      </w:pPr>
    </w:p>
    <w:p w14:paraId="51DE9273" w14:textId="77777777" w:rsidR="0010369C" w:rsidRDefault="0010369C">
      <w:pPr>
        <w:pStyle w:val="BodyText"/>
        <w:rPr>
          <w:sz w:val="20"/>
        </w:rPr>
      </w:pPr>
    </w:p>
    <w:p w14:paraId="51DE9274" w14:textId="77777777" w:rsidR="0010369C" w:rsidRDefault="008E43AE">
      <w:pPr>
        <w:pStyle w:val="BodyText"/>
        <w:spacing w:before="7"/>
        <w:rPr>
          <w:sz w:val="11"/>
        </w:rPr>
      </w:pPr>
      <w:r>
        <w:pict w14:anchorId="51DEA5BF">
          <v:rect id="docshape1167" o:spid="_x0000_s1234" style="position:absolute;margin-left:70.9pt;margin-top:8.3pt;width:2in;height:.8pt;z-index:-250780160;mso-wrap-distance-left:0;mso-wrap-distance-right:0;mso-position-horizontal-relative:page" fillcolor="black" stroked="f">
            <w10:wrap type="topAndBottom" anchorx="page"/>
          </v:rect>
        </w:pict>
      </w:r>
    </w:p>
    <w:p w14:paraId="51DE9275" w14:textId="77777777" w:rsidR="0010369C" w:rsidRDefault="008E43AE">
      <w:pPr>
        <w:spacing w:before="109"/>
        <w:ind w:left="238"/>
        <w:jc w:val="both"/>
        <w:rPr>
          <w:sz w:val="18"/>
        </w:rPr>
      </w:pPr>
      <w:r>
        <w:rPr>
          <w:sz w:val="18"/>
          <w:vertAlign w:val="superscript"/>
        </w:rPr>
        <w:t>837</w:t>
      </w:r>
      <w:r>
        <w:rPr>
          <w:spacing w:val="-9"/>
          <w:sz w:val="18"/>
        </w:rPr>
        <w:t xml:space="preserve"> </w:t>
      </w:r>
      <w:r>
        <w:rPr>
          <w:sz w:val="18"/>
        </w:rPr>
        <w:t>Anti‐Dumping</w:t>
      </w:r>
      <w:r>
        <w:rPr>
          <w:spacing w:val="-9"/>
          <w:sz w:val="18"/>
        </w:rPr>
        <w:t xml:space="preserve"> </w:t>
      </w:r>
      <w:r>
        <w:rPr>
          <w:sz w:val="18"/>
        </w:rPr>
        <w:t>Final</w:t>
      </w:r>
      <w:r>
        <w:rPr>
          <w:spacing w:val="-9"/>
          <w:sz w:val="18"/>
        </w:rPr>
        <w:t xml:space="preserve"> </w:t>
      </w:r>
      <w:r>
        <w:rPr>
          <w:sz w:val="18"/>
        </w:rPr>
        <w:t>Determination</w:t>
      </w:r>
      <w:r>
        <w:rPr>
          <w:spacing w:val="-8"/>
          <w:sz w:val="18"/>
        </w:rPr>
        <w:t xml:space="preserve"> </w:t>
      </w:r>
      <w:r>
        <w:rPr>
          <w:sz w:val="18"/>
        </w:rPr>
        <w:t>(Exhibit</w:t>
      </w:r>
      <w:r>
        <w:rPr>
          <w:spacing w:val="-9"/>
          <w:sz w:val="18"/>
        </w:rPr>
        <w:t xml:space="preserve"> </w:t>
      </w:r>
      <w:r>
        <w:rPr>
          <w:sz w:val="18"/>
        </w:rPr>
        <w:t>AUS‐2),</w:t>
      </w:r>
      <w:r>
        <w:rPr>
          <w:spacing w:val="-9"/>
          <w:sz w:val="18"/>
        </w:rPr>
        <w:t xml:space="preserve"> </w:t>
      </w:r>
      <w:r>
        <w:rPr>
          <w:sz w:val="18"/>
        </w:rPr>
        <w:t>p.</w:t>
      </w:r>
      <w:r>
        <w:rPr>
          <w:spacing w:val="-9"/>
          <w:sz w:val="18"/>
        </w:rPr>
        <w:t xml:space="preserve"> </w:t>
      </w:r>
      <w:r>
        <w:rPr>
          <w:spacing w:val="-4"/>
          <w:sz w:val="18"/>
        </w:rPr>
        <w:t>137.</w:t>
      </w:r>
    </w:p>
    <w:p w14:paraId="51DE9276" w14:textId="77777777" w:rsidR="0010369C" w:rsidRDefault="008E43AE">
      <w:pPr>
        <w:ind w:left="238"/>
        <w:jc w:val="both"/>
        <w:rPr>
          <w:sz w:val="18"/>
        </w:rPr>
      </w:pPr>
      <w:r>
        <w:rPr>
          <w:sz w:val="18"/>
          <w:vertAlign w:val="superscript"/>
        </w:rPr>
        <w:t>838</w:t>
      </w:r>
      <w:r>
        <w:rPr>
          <w:spacing w:val="-9"/>
          <w:sz w:val="18"/>
        </w:rPr>
        <w:t xml:space="preserve"> </w:t>
      </w:r>
      <w:r>
        <w:rPr>
          <w:sz w:val="18"/>
        </w:rPr>
        <w:t>Anti‐Dumping</w:t>
      </w:r>
      <w:r>
        <w:rPr>
          <w:spacing w:val="-9"/>
          <w:sz w:val="18"/>
        </w:rPr>
        <w:t xml:space="preserve"> </w:t>
      </w:r>
      <w:r>
        <w:rPr>
          <w:sz w:val="18"/>
        </w:rPr>
        <w:t>Final</w:t>
      </w:r>
      <w:r>
        <w:rPr>
          <w:spacing w:val="-9"/>
          <w:sz w:val="18"/>
        </w:rPr>
        <w:t xml:space="preserve"> </w:t>
      </w:r>
      <w:r>
        <w:rPr>
          <w:sz w:val="18"/>
        </w:rPr>
        <w:t>Determination</w:t>
      </w:r>
      <w:r>
        <w:rPr>
          <w:spacing w:val="-8"/>
          <w:sz w:val="18"/>
        </w:rPr>
        <w:t xml:space="preserve"> </w:t>
      </w:r>
      <w:r>
        <w:rPr>
          <w:sz w:val="18"/>
        </w:rPr>
        <w:t>(Exhibit</w:t>
      </w:r>
      <w:r>
        <w:rPr>
          <w:spacing w:val="-9"/>
          <w:sz w:val="18"/>
        </w:rPr>
        <w:t xml:space="preserve"> </w:t>
      </w:r>
      <w:r>
        <w:rPr>
          <w:sz w:val="18"/>
        </w:rPr>
        <w:t>AUS‐2),</w:t>
      </w:r>
      <w:r>
        <w:rPr>
          <w:spacing w:val="-10"/>
          <w:sz w:val="18"/>
        </w:rPr>
        <w:t xml:space="preserve"> </w:t>
      </w:r>
      <w:r>
        <w:rPr>
          <w:sz w:val="18"/>
        </w:rPr>
        <w:t>pp.</w:t>
      </w:r>
      <w:r>
        <w:rPr>
          <w:spacing w:val="-9"/>
          <w:sz w:val="18"/>
        </w:rPr>
        <w:t xml:space="preserve"> </w:t>
      </w:r>
      <w:r>
        <w:rPr>
          <w:spacing w:val="-2"/>
          <w:sz w:val="18"/>
        </w:rPr>
        <w:t>137‐138.</w:t>
      </w:r>
    </w:p>
    <w:p w14:paraId="51DE9277" w14:textId="77777777" w:rsidR="0010369C" w:rsidRDefault="008E43AE">
      <w:pPr>
        <w:ind w:left="237" w:right="612" w:firstLine="1"/>
        <w:jc w:val="both"/>
        <w:rPr>
          <w:sz w:val="18"/>
        </w:rPr>
      </w:pPr>
      <w:r>
        <w:rPr>
          <w:sz w:val="18"/>
          <w:vertAlign w:val="superscript"/>
        </w:rPr>
        <w:t>839</w:t>
      </w:r>
      <w:r>
        <w:rPr>
          <w:sz w:val="18"/>
        </w:rPr>
        <w:t xml:space="preserve"> In its brief explanation in the Final Determination, MOFCOM considered that: (i) "during the injury investigation period, the import volume of pro</w:t>
      </w:r>
      <w:r>
        <w:rPr>
          <w:sz w:val="18"/>
        </w:rPr>
        <w:t>ducts from other countries and regions was in a downtrend"; (ii) although the "import prices of products</w:t>
      </w:r>
      <w:r>
        <w:rPr>
          <w:spacing w:val="-2"/>
          <w:sz w:val="18"/>
        </w:rPr>
        <w:t xml:space="preserve"> </w:t>
      </w:r>
      <w:r>
        <w:rPr>
          <w:sz w:val="18"/>
        </w:rPr>
        <w:t>from</w:t>
      </w:r>
      <w:r>
        <w:rPr>
          <w:spacing w:val="-3"/>
          <w:sz w:val="18"/>
        </w:rPr>
        <w:t xml:space="preserve"> </w:t>
      </w:r>
      <w:r>
        <w:rPr>
          <w:sz w:val="18"/>
        </w:rPr>
        <w:t>other</w:t>
      </w:r>
      <w:r>
        <w:rPr>
          <w:spacing w:val="-4"/>
          <w:sz w:val="18"/>
        </w:rPr>
        <w:t xml:space="preserve"> </w:t>
      </w:r>
      <w:r>
        <w:rPr>
          <w:sz w:val="18"/>
        </w:rPr>
        <w:t>countries</w:t>
      </w:r>
      <w:r>
        <w:rPr>
          <w:spacing w:val="-4"/>
          <w:sz w:val="18"/>
        </w:rPr>
        <w:t xml:space="preserve"> </w:t>
      </w:r>
      <w:r>
        <w:rPr>
          <w:sz w:val="18"/>
        </w:rPr>
        <w:t>and</w:t>
      </w:r>
      <w:r>
        <w:rPr>
          <w:spacing w:val="-3"/>
          <w:sz w:val="18"/>
        </w:rPr>
        <w:t xml:space="preserve"> </w:t>
      </w:r>
      <w:r>
        <w:rPr>
          <w:sz w:val="18"/>
        </w:rPr>
        <w:t>regions</w:t>
      </w:r>
      <w:r>
        <w:rPr>
          <w:spacing w:val="-3"/>
          <w:sz w:val="18"/>
        </w:rPr>
        <w:t xml:space="preserve"> </w:t>
      </w:r>
      <w:r>
        <w:rPr>
          <w:sz w:val="18"/>
        </w:rPr>
        <w:t>were</w:t>
      </w:r>
      <w:r>
        <w:rPr>
          <w:spacing w:val="-3"/>
          <w:sz w:val="18"/>
        </w:rPr>
        <w:t xml:space="preserve"> </w:t>
      </w:r>
      <w:r>
        <w:rPr>
          <w:sz w:val="18"/>
        </w:rPr>
        <w:t>also</w:t>
      </w:r>
      <w:r>
        <w:rPr>
          <w:spacing w:val="-4"/>
          <w:sz w:val="18"/>
        </w:rPr>
        <w:t xml:space="preserve"> </w:t>
      </w:r>
      <w:r>
        <w:rPr>
          <w:sz w:val="18"/>
        </w:rPr>
        <w:t>in</w:t>
      </w:r>
      <w:r>
        <w:rPr>
          <w:spacing w:val="-3"/>
          <w:sz w:val="18"/>
        </w:rPr>
        <w:t xml:space="preserve"> </w:t>
      </w:r>
      <w:r>
        <w:rPr>
          <w:sz w:val="18"/>
        </w:rPr>
        <w:t>a</w:t>
      </w:r>
      <w:r>
        <w:rPr>
          <w:spacing w:val="-3"/>
          <w:sz w:val="18"/>
        </w:rPr>
        <w:t xml:space="preserve"> </w:t>
      </w:r>
      <w:r>
        <w:rPr>
          <w:sz w:val="18"/>
        </w:rPr>
        <w:t>downtrend",</w:t>
      </w:r>
      <w:r>
        <w:rPr>
          <w:spacing w:val="-3"/>
          <w:sz w:val="18"/>
        </w:rPr>
        <w:t xml:space="preserve"> </w:t>
      </w:r>
      <w:r>
        <w:rPr>
          <w:sz w:val="18"/>
        </w:rPr>
        <w:t>the</w:t>
      </w:r>
      <w:r>
        <w:rPr>
          <w:spacing w:val="-3"/>
          <w:sz w:val="18"/>
        </w:rPr>
        <w:t xml:space="preserve"> </w:t>
      </w:r>
      <w:r>
        <w:rPr>
          <w:sz w:val="18"/>
        </w:rPr>
        <w:t>"price</w:t>
      </w:r>
      <w:r>
        <w:rPr>
          <w:spacing w:val="-2"/>
          <w:sz w:val="18"/>
        </w:rPr>
        <w:t xml:space="preserve"> </w:t>
      </w:r>
      <w:r>
        <w:rPr>
          <w:sz w:val="18"/>
        </w:rPr>
        <w:t>reduction</w:t>
      </w:r>
      <w:r>
        <w:rPr>
          <w:spacing w:val="-4"/>
          <w:sz w:val="18"/>
        </w:rPr>
        <w:t xml:space="preserve"> </w:t>
      </w:r>
      <w:r>
        <w:rPr>
          <w:sz w:val="18"/>
        </w:rPr>
        <w:t>of</w:t>
      </w:r>
      <w:r>
        <w:rPr>
          <w:spacing w:val="-3"/>
          <w:sz w:val="18"/>
        </w:rPr>
        <w:t xml:space="preserve"> </w:t>
      </w:r>
      <w:r>
        <w:rPr>
          <w:sz w:val="18"/>
        </w:rPr>
        <w:t>products</w:t>
      </w:r>
      <w:r>
        <w:rPr>
          <w:spacing w:val="-2"/>
          <w:sz w:val="18"/>
        </w:rPr>
        <w:t xml:space="preserve"> </w:t>
      </w:r>
      <w:r>
        <w:rPr>
          <w:sz w:val="18"/>
        </w:rPr>
        <w:t>from</w:t>
      </w:r>
      <w:r>
        <w:rPr>
          <w:spacing w:val="-3"/>
          <w:sz w:val="18"/>
        </w:rPr>
        <w:t xml:space="preserve"> </w:t>
      </w:r>
      <w:r>
        <w:rPr>
          <w:sz w:val="18"/>
        </w:rPr>
        <w:t>other</w:t>
      </w:r>
      <w:r>
        <w:rPr>
          <w:spacing w:val="-4"/>
          <w:sz w:val="18"/>
        </w:rPr>
        <w:t xml:space="preserve"> </w:t>
      </w:r>
      <w:r>
        <w:rPr>
          <w:sz w:val="18"/>
        </w:rPr>
        <w:t>countries and regions is lower than that of the dumped imported product"; and (iii) "[c]ompared with products imported from other countries,</w:t>
      </w:r>
      <w:r>
        <w:rPr>
          <w:spacing w:val="-7"/>
          <w:sz w:val="18"/>
        </w:rPr>
        <w:t xml:space="preserve"> </w:t>
      </w:r>
      <w:r>
        <w:rPr>
          <w:sz w:val="18"/>
        </w:rPr>
        <w:t>the</w:t>
      </w:r>
      <w:r>
        <w:rPr>
          <w:spacing w:val="-5"/>
          <w:sz w:val="18"/>
        </w:rPr>
        <w:t xml:space="preserve"> </w:t>
      </w:r>
      <w:r>
        <w:rPr>
          <w:sz w:val="18"/>
        </w:rPr>
        <w:t>dumped</w:t>
      </w:r>
      <w:r>
        <w:rPr>
          <w:spacing w:val="-5"/>
          <w:sz w:val="18"/>
        </w:rPr>
        <w:t xml:space="preserve"> </w:t>
      </w:r>
      <w:r>
        <w:rPr>
          <w:sz w:val="18"/>
        </w:rPr>
        <w:t>imported</w:t>
      </w:r>
      <w:r>
        <w:rPr>
          <w:spacing w:val="-5"/>
          <w:sz w:val="18"/>
        </w:rPr>
        <w:t xml:space="preserve"> </w:t>
      </w:r>
      <w:r>
        <w:rPr>
          <w:sz w:val="18"/>
        </w:rPr>
        <w:t>product</w:t>
      </w:r>
      <w:r>
        <w:rPr>
          <w:spacing w:val="-6"/>
          <w:sz w:val="18"/>
        </w:rPr>
        <w:t xml:space="preserve"> </w:t>
      </w:r>
      <w:r>
        <w:rPr>
          <w:sz w:val="18"/>
        </w:rPr>
        <w:t>not</w:t>
      </w:r>
      <w:r>
        <w:rPr>
          <w:spacing w:val="-6"/>
          <w:sz w:val="18"/>
        </w:rPr>
        <w:t xml:space="preserve"> </w:t>
      </w:r>
      <w:r>
        <w:rPr>
          <w:sz w:val="18"/>
        </w:rPr>
        <w:t>only</w:t>
      </w:r>
      <w:r>
        <w:rPr>
          <w:spacing w:val="-5"/>
          <w:sz w:val="18"/>
        </w:rPr>
        <w:t xml:space="preserve"> </w:t>
      </w:r>
      <w:r>
        <w:rPr>
          <w:sz w:val="18"/>
        </w:rPr>
        <w:t>had</w:t>
      </w:r>
      <w:r>
        <w:rPr>
          <w:spacing w:val="-6"/>
          <w:sz w:val="18"/>
        </w:rPr>
        <w:t xml:space="preserve"> </w:t>
      </w:r>
      <w:r>
        <w:rPr>
          <w:sz w:val="18"/>
        </w:rPr>
        <w:t>a</w:t>
      </w:r>
      <w:r>
        <w:rPr>
          <w:spacing w:val="-6"/>
          <w:sz w:val="18"/>
        </w:rPr>
        <w:t xml:space="preserve"> </w:t>
      </w:r>
      <w:r>
        <w:rPr>
          <w:sz w:val="18"/>
        </w:rPr>
        <w:t>continuously</w:t>
      </w:r>
      <w:r>
        <w:rPr>
          <w:spacing w:val="-6"/>
          <w:sz w:val="18"/>
        </w:rPr>
        <w:t xml:space="preserve"> </w:t>
      </w:r>
      <w:r>
        <w:rPr>
          <w:sz w:val="18"/>
        </w:rPr>
        <w:t>increasing</w:t>
      </w:r>
      <w:r>
        <w:rPr>
          <w:spacing w:val="-5"/>
          <w:sz w:val="18"/>
        </w:rPr>
        <w:t xml:space="preserve"> </w:t>
      </w:r>
      <w:r>
        <w:rPr>
          <w:sz w:val="18"/>
        </w:rPr>
        <w:t>volume</w:t>
      </w:r>
      <w:r>
        <w:rPr>
          <w:spacing w:val="-6"/>
          <w:sz w:val="18"/>
        </w:rPr>
        <w:t xml:space="preserve"> </w:t>
      </w:r>
      <w:r>
        <w:rPr>
          <w:sz w:val="18"/>
        </w:rPr>
        <w:t>but</w:t>
      </w:r>
      <w:r>
        <w:rPr>
          <w:spacing w:val="-6"/>
          <w:sz w:val="18"/>
        </w:rPr>
        <w:t xml:space="preserve"> </w:t>
      </w:r>
      <w:r>
        <w:rPr>
          <w:sz w:val="18"/>
        </w:rPr>
        <w:t>also</w:t>
      </w:r>
      <w:r>
        <w:rPr>
          <w:spacing w:val="-6"/>
          <w:sz w:val="18"/>
        </w:rPr>
        <w:t xml:space="preserve"> </w:t>
      </w:r>
      <w:r>
        <w:rPr>
          <w:sz w:val="18"/>
        </w:rPr>
        <w:t>had</w:t>
      </w:r>
      <w:r>
        <w:rPr>
          <w:spacing w:val="-6"/>
          <w:sz w:val="18"/>
        </w:rPr>
        <w:t xml:space="preserve"> </w:t>
      </w:r>
      <w:r>
        <w:rPr>
          <w:sz w:val="18"/>
        </w:rPr>
        <w:t>a</w:t>
      </w:r>
      <w:r>
        <w:rPr>
          <w:spacing w:val="-6"/>
          <w:sz w:val="18"/>
        </w:rPr>
        <w:t xml:space="preserve"> </w:t>
      </w:r>
      <w:r>
        <w:rPr>
          <w:sz w:val="18"/>
        </w:rPr>
        <w:t>more</w:t>
      </w:r>
      <w:r>
        <w:rPr>
          <w:spacing w:val="-5"/>
          <w:sz w:val="18"/>
        </w:rPr>
        <w:t xml:space="preserve"> </w:t>
      </w:r>
      <w:r>
        <w:rPr>
          <w:sz w:val="18"/>
        </w:rPr>
        <w:t>significant</w:t>
      </w:r>
      <w:r>
        <w:rPr>
          <w:spacing w:val="-6"/>
          <w:sz w:val="18"/>
        </w:rPr>
        <w:t xml:space="preserve"> </w:t>
      </w:r>
      <w:r>
        <w:rPr>
          <w:sz w:val="18"/>
        </w:rPr>
        <w:t>price red</w:t>
      </w:r>
      <w:r>
        <w:rPr>
          <w:sz w:val="18"/>
        </w:rPr>
        <w:t>uction": see Anti‐Dumping Final Determination (Exhibit AUS‐2), pp. 140‐141.</w:t>
      </w:r>
    </w:p>
    <w:p w14:paraId="51DE9278" w14:textId="77777777" w:rsidR="0010369C" w:rsidRDefault="008E43AE">
      <w:pPr>
        <w:ind w:left="238"/>
        <w:jc w:val="both"/>
        <w:rPr>
          <w:sz w:val="18"/>
        </w:rPr>
      </w:pPr>
      <w:r>
        <w:rPr>
          <w:sz w:val="18"/>
          <w:vertAlign w:val="superscript"/>
        </w:rPr>
        <w:t>840</w:t>
      </w:r>
      <w:r>
        <w:rPr>
          <w:spacing w:val="-9"/>
          <w:sz w:val="18"/>
        </w:rPr>
        <w:t xml:space="preserve"> </w:t>
      </w:r>
      <w:r>
        <w:rPr>
          <w:sz w:val="18"/>
        </w:rPr>
        <w:t>Anti‐Dumping</w:t>
      </w:r>
      <w:r>
        <w:rPr>
          <w:spacing w:val="-9"/>
          <w:sz w:val="18"/>
        </w:rPr>
        <w:t xml:space="preserve"> </w:t>
      </w:r>
      <w:r>
        <w:rPr>
          <w:sz w:val="18"/>
        </w:rPr>
        <w:t>Final</w:t>
      </w:r>
      <w:r>
        <w:rPr>
          <w:spacing w:val="-9"/>
          <w:sz w:val="18"/>
        </w:rPr>
        <w:t xml:space="preserve"> </w:t>
      </w:r>
      <w:r>
        <w:rPr>
          <w:sz w:val="18"/>
        </w:rPr>
        <w:t>Determination</w:t>
      </w:r>
      <w:r>
        <w:rPr>
          <w:spacing w:val="-8"/>
          <w:sz w:val="18"/>
        </w:rPr>
        <w:t xml:space="preserve"> </w:t>
      </w:r>
      <w:r>
        <w:rPr>
          <w:sz w:val="18"/>
        </w:rPr>
        <w:t>(Exhibit</w:t>
      </w:r>
      <w:r>
        <w:rPr>
          <w:spacing w:val="-9"/>
          <w:sz w:val="18"/>
        </w:rPr>
        <w:t xml:space="preserve"> </w:t>
      </w:r>
      <w:r>
        <w:rPr>
          <w:sz w:val="18"/>
        </w:rPr>
        <w:t>AUS‐2),</w:t>
      </w:r>
      <w:r>
        <w:rPr>
          <w:spacing w:val="-9"/>
          <w:sz w:val="18"/>
        </w:rPr>
        <w:t xml:space="preserve"> </w:t>
      </w:r>
      <w:r>
        <w:rPr>
          <w:sz w:val="18"/>
        </w:rPr>
        <w:t>p.</w:t>
      </w:r>
      <w:r>
        <w:rPr>
          <w:spacing w:val="-9"/>
          <w:sz w:val="18"/>
        </w:rPr>
        <w:t xml:space="preserve"> </w:t>
      </w:r>
      <w:r>
        <w:rPr>
          <w:spacing w:val="-4"/>
          <w:sz w:val="18"/>
        </w:rPr>
        <w:t>141.</w:t>
      </w:r>
    </w:p>
    <w:p w14:paraId="51DE9279" w14:textId="77777777" w:rsidR="0010369C" w:rsidRDefault="008E43AE">
      <w:pPr>
        <w:ind w:left="238"/>
        <w:jc w:val="both"/>
        <w:rPr>
          <w:sz w:val="18"/>
        </w:rPr>
      </w:pPr>
      <w:r>
        <w:rPr>
          <w:sz w:val="18"/>
          <w:vertAlign w:val="superscript"/>
        </w:rPr>
        <w:t>841</w:t>
      </w:r>
      <w:r>
        <w:rPr>
          <w:spacing w:val="-9"/>
          <w:sz w:val="18"/>
        </w:rPr>
        <w:t xml:space="preserve"> </w:t>
      </w:r>
      <w:r>
        <w:rPr>
          <w:sz w:val="18"/>
        </w:rPr>
        <w:t>Anti‐Dumping</w:t>
      </w:r>
      <w:r>
        <w:rPr>
          <w:spacing w:val="-9"/>
          <w:sz w:val="18"/>
        </w:rPr>
        <w:t xml:space="preserve"> </w:t>
      </w:r>
      <w:r>
        <w:rPr>
          <w:sz w:val="18"/>
        </w:rPr>
        <w:t>Final</w:t>
      </w:r>
      <w:r>
        <w:rPr>
          <w:spacing w:val="-9"/>
          <w:sz w:val="18"/>
        </w:rPr>
        <w:t xml:space="preserve"> </w:t>
      </w:r>
      <w:r>
        <w:rPr>
          <w:sz w:val="18"/>
        </w:rPr>
        <w:t>Determination</w:t>
      </w:r>
      <w:r>
        <w:rPr>
          <w:spacing w:val="-8"/>
          <w:sz w:val="18"/>
        </w:rPr>
        <w:t xml:space="preserve"> </w:t>
      </w:r>
      <w:r>
        <w:rPr>
          <w:sz w:val="18"/>
        </w:rPr>
        <w:t>(Exhibit</w:t>
      </w:r>
      <w:r>
        <w:rPr>
          <w:spacing w:val="-9"/>
          <w:sz w:val="18"/>
        </w:rPr>
        <w:t xml:space="preserve"> </w:t>
      </w:r>
      <w:r>
        <w:rPr>
          <w:sz w:val="18"/>
        </w:rPr>
        <w:t>AUS‐2),</w:t>
      </w:r>
      <w:r>
        <w:rPr>
          <w:spacing w:val="-9"/>
          <w:sz w:val="18"/>
        </w:rPr>
        <w:t xml:space="preserve"> </w:t>
      </w:r>
      <w:r>
        <w:rPr>
          <w:sz w:val="18"/>
        </w:rPr>
        <w:t>p.</w:t>
      </w:r>
      <w:r>
        <w:rPr>
          <w:spacing w:val="-9"/>
          <w:sz w:val="18"/>
        </w:rPr>
        <w:t xml:space="preserve"> </w:t>
      </w:r>
      <w:r>
        <w:rPr>
          <w:spacing w:val="-4"/>
          <w:sz w:val="18"/>
        </w:rPr>
        <w:t>141.</w:t>
      </w:r>
    </w:p>
    <w:p w14:paraId="51DE927A" w14:textId="77777777" w:rsidR="0010369C" w:rsidRDefault="0010369C">
      <w:pPr>
        <w:jc w:val="both"/>
        <w:rPr>
          <w:sz w:val="18"/>
        </w:rPr>
        <w:sectPr w:rsidR="0010369C">
          <w:pgSz w:w="11910" w:h="16840"/>
          <w:pgMar w:top="880" w:right="800" w:bottom="980" w:left="1180" w:header="569" w:footer="788" w:gutter="0"/>
          <w:cols w:space="720"/>
        </w:sectPr>
      </w:pPr>
    </w:p>
    <w:p w14:paraId="51DE927B" w14:textId="77777777" w:rsidR="0010369C" w:rsidRDefault="008E43AE">
      <w:pPr>
        <w:tabs>
          <w:tab w:val="left" w:pos="6426"/>
        </w:tabs>
        <w:ind w:left="238"/>
        <w:rPr>
          <w:sz w:val="20"/>
        </w:rPr>
      </w:pPr>
      <w:r>
        <w:rPr>
          <w:i/>
          <w:sz w:val="20"/>
        </w:rPr>
        <w:lastRenderedPageBreak/>
        <w:t>China</w:t>
      </w:r>
      <w:r>
        <w:rPr>
          <w:i/>
          <w:spacing w:val="-5"/>
          <w:sz w:val="20"/>
        </w:rPr>
        <w:t xml:space="preserve"> </w:t>
      </w:r>
      <w:r>
        <w:rPr>
          <w:i/>
          <w:sz w:val="20"/>
        </w:rPr>
        <w:t>–</w:t>
      </w:r>
      <w:r>
        <w:rPr>
          <w:i/>
          <w:spacing w:val="-5"/>
          <w:sz w:val="20"/>
        </w:rPr>
        <w:t xml:space="preserve"> </w:t>
      </w:r>
      <w:r>
        <w:rPr>
          <w:i/>
          <w:sz w:val="20"/>
        </w:rPr>
        <w:t>Anti‐Dumping</w:t>
      </w:r>
      <w:r>
        <w:rPr>
          <w:i/>
          <w:spacing w:val="-4"/>
          <w:sz w:val="20"/>
        </w:rPr>
        <w:t xml:space="preserve"> </w:t>
      </w:r>
      <w:r>
        <w:rPr>
          <w:i/>
          <w:sz w:val="20"/>
        </w:rPr>
        <w:t>and</w:t>
      </w:r>
      <w:r>
        <w:rPr>
          <w:i/>
          <w:spacing w:val="-5"/>
          <w:sz w:val="20"/>
        </w:rPr>
        <w:t xml:space="preserve"> </w:t>
      </w:r>
      <w:r>
        <w:rPr>
          <w:i/>
          <w:sz w:val="20"/>
        </w:rPr>
        <w:t>Countervailing</w:t>
      </w:r>
      <w:r>
        <w:rPr>
          <w:i/>
          <w:spacing w:val="-5"/>
          <w:sz w:val="20"/>
        </w:rPr>
        <w:t xml:space="preserve"> </w:t>
      </w:r>
      <w:r>
        <w:rPr>
          <w:i/>
          <w:sz w:val="20"/>
        </w:rPr>
        <w:t>Duty</w:t>
      </w:r>
      <w:r>
        <w:rPr>
          <w:i/>
          <w:spacing w:val="-4"/>
          <w:sz w:val="20"/>
        </w:rPr>
        <w:t xml:space="preserve"> </w:t>
      </w:r>
      <w:r>
        <w:rPr>
          <w:i/>
          <w:spacing w:val="-2"/>
          <w:sz w:val="20"/>
        </w:rPr>
        <w:t>Measures</w:t>
      </w:r>
      <w:r>
        <w:rPr>
          <w:i/>
          <w:sz w:val="20"/>
        </w:rPr>
        <w:tab/>
      </w:r>
      <w:r>
        <w:rPr>
          <w:sz w:val="20"/>
        </w:rPr>
        <w:t>Australia's</w:t>
      </w:r>
      <w:r>
        <w:rPr>
          <w:spacing w:val="-7"/>
          <w:sz w:val="20"/>
        </w:rPr>
        <w:t xml:space="preserve"> </w:t>
      </w:r>
      <w:r>
        <w:rPr>
          <w:sz w:val="20"/>
        </w:rPr>
        <w:t>First</w:t>
      </w:r>
      <w:r>
        <w:rPr>
          <w:spacing w:val="-2"/>
          <w:sz w:val="20"/>
        </w:rPr>
        <w:t xml:space="preserve"> </w:t>
      </w:r>
      <w:r>
        <w:rPr>
          <w:sz w:val="20"/>
        </w:rPr>
        <w:t>Written</w:t>
      </w:r>
      <w:r>
        <w:rPr>
          <w:spacing w:val="-2"/>
          <w:sz w:val="20"/>
        </w:rPr>
        <w:t xml:space="preserve"> Submission</w:t>
      </w:r>
    </w:p>
    <w:p w14:paraId="51DE927C" w14:textId="77777777" w:rsidR="0010369C" w:rsidRDefault="008E43AE">
      <w:pPr>
        <w:tabs>
          <w:tab w:val="left" w:pos="8228"/>
        </w:tabs>
        <w:spacing w:before="1"/>
        <w:ind w:left="239"/>
        <w:rPr>
          <w:sz w:val="20"/>
        </w:rPr>
      </w:pPr>
      <w:r>
        <w:rPr>
          <w:i/>
          <w:sz w:val="20"/>
        </w:rPr>
        <w:t>on</w:t>
      </w:r>
      <w:r>
        <w:rPr>
          <w:i/>
          <w:spacing w:val="-1"/>
          <w:sz w:val="20"/>
        </w:rPr>
        <w:t xml:space="preserve"> </w:t>
      </w:r>
      <w:r>
        <w:rPr>
          <w:i/>
          <w:sz w:val="20"/>
        </w:rPr>
        <w:t>Wine</w:t>
      </w:r>
      <w:r>
        <w:rPr>
          <w:i/>
          <w:spacing w:val="-1"/>
          <w:sz w:val="20"/>
        </w:rPr>
        <w:t xml:space="preserve"> </w:t>
      </w:r>
      <w:r>
        <w:rPr>
          <w:i/>
          <w:sz w:val="20"/>
        </w:rPr>
        <w:t>from</w:t>
      </w:r>
      <w:r>
        <w:rPr>
          <w:i/>
          <w:spacing w:val="-3"/>
          <w:sz w:val="20"/>
        </w:rPr>
        <w:t xml:space="preserve"> </w:t>
      </w:r>
      <w:r>
        <w:rPr>
          <w:i/>
          <w:sz w:val="20"/>
        </w:rPr>
        <w:t>Australia</w:t>
      </w:r>
      <w:r>
        <w:rPr>
          <w:i/>
          <w:spacing w:val="-1"/>
          <w:sz w:val="20"/>
        </w:rPr>
        <w:t xml:space="preserve"> </w:t>
      </w:r>
      <w:r>
        <w:rPr>
          <w:spacing w:val="-2"/>
          <w:sz w:val="20"/>
        </w:rPr>
        <w:t>(DS602)</w:t>
      </w:r>
      <w:r>
        <w:rPr>
          <w:sz w:val="20"/>
        </w:rPr>
        <w:tab/>
        <w:t>29</w:t>
      </w:r>
      <w:r>
        <w:rPr>
          <w:spacing w:val="-1"/>
          <w:sz w:val="20"/>
        </w:rPr>
        <w:t xml:space="preserve"> </w:t>
      </w:r>
      <w:r>
        <w:rPr>
          <w:sz w:val="20"/>
        </w:rPr>
        <w:t>April</w:t>
      </w:r>
      <w:r>
        <w:rPr>
          <w:spacing w:val="-2"/>
          <w:sz w:val="20"/>
        </w:rPr>
        <w:t xml:space="preserve"> </w:t>
      </w:r>
      <w:r>
        <w:rPr>
          <w:spacing w:val="-4"/>
          <w:sz w:val="20"/>
        </w:rPr>
        <w:t>2022</w:t>
      </w:r>
    </w:p>
    <w:p w14:paraId="51DE927D" w14:textId="77777777" w:rsidR="0010369C" w:rsidRDefault="008E43AE">
      <w:pPr>
        <w:pStyle w:val="BodyText"/>
        <w:spacing w:before="34" w:line="360" w:lineRule="auto"/>
        <w:ind w:left="237" w:right="613" w:firstLine="851"/>
        <w:jc w:val="both"/>
      </w:pPr>
      <w:r>
        <w:rPr>
          <w:noProof/>
        </w:rPr>
        <w:drawing>
          <wp:anchor distT="0" distB="0" distL="0" distR="0" simplePos="0" relativeHeight="251310592" behindDoc="1" locked="0" layoutInCell="1" allowOverlap="1" wp14:anchorId="51DEA5C0" wp14:editId="51DEA5C1">
            <wp:simplePos x="0" y="0"/>
            <wp:positionH relativeFrom="page">
              <wp:posOffset>905255</wp:posOffset>
            </wp:positionH>
            <wp:positionV relativeFrom="paragraph">
              <wp:posOffset>69165</wp:posOffset>
            </wp:positionV>
            <wp:extent cx="259079" cy="103631"/>
            <wp:effectExtent l="0" t="0" r="0" b="0"/>
            <wp:wrapNone/>
            <wp:docPr id="1377" name="image7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 name="image713.png"/>
                    <pic:cNvPicPr/>
                  </pic:nvPicPr>
                  <pic:blipFill>
                    <a:blip r:embed="rId927" cstate="print"/>
                    <a:stretch>
                      <a:fillRect/>
                    </a:stretch>
                  </pic:blipFill>
                  <pic:spPr>
                    <a:xfrm>
                      <a:off x="0" y="0"/>
                      <a:ext cx="259079" cy="103631"/>
                    </a:xfrm>
                    <a:prstGeom prst="rect">
                      <a:avLst/>
                    </a:prstGeom>
                  </pic:spPr>
                </pic:pic>
              </a:graphicData>
            </a:graphic>
          </wp:anchor>
        </w:drawing>
      </w:r>
      <w:r>
        <w:t>In</w:t>
      </w:r>
      <w:r>
        <w:rPr>
          <w:spacing w:val="-13"/>
        </w:rPr>
        <w:t xml:space="preserve"> </w:t>
      </w:r>
      <w:r>
        <w:t>failing</w:t>
      </w:r>
      <w:r>
        <w:rPr>
          <w:spacing w:val="-13"/>
        </w:rPr>
        <w:t xml:space="preserve"> </w:t>
      </w:r>
      <w:r>
        <w:t>to</w:t>
      </w:r>
      <w:r>
        <w:rPr>
          <w:spacing w:val="-13"/>
        </w:rPr>
        <w:t xml:space="preserve"> </w:t>
      </w:r>
      <w:r>
        <w:t>undertake</w:t>
      </w:r>
      <w:r>
        <w:rPr>
          <w:spacing w:val="-13"/>
        </w:rPr>
        <w:t xml:space="preserve"> </w:t>
      </w:r>
      <w:r>
        <w:t>a</w:t>
      </w:r>
      <w:r>
        <w:rPr>
          <w:spacing w:val="-14"/>
        </w:rPr>
        <w:t xml:space="preserve"> </w:t>
      </w:r>
      <w:r>
        <w:t>proper</w:t>
      </w:r>
      <w:r>
        <w:rPr>
          <w:spacing w:val="-13"/>
        </w:rPr>
        <w:t xml:space="preserve"> </w:t>
      </w:r>
      <w:r>
        <w:t>assessment</w:t>
      </w:r>
      <w:r>
        <w:rPr>
          <w:spacing w:val="-13"/>
        </w:rPr>
        <w:t xml:space="preserve"> </w:t>
      </w:r>
      <w:r>
        <w:t>of</w:t>
      </w:r>
      <w:r>
        <w:rPr>
          <w:spacing w:val="-13"/>
        </w:rPr>
        <w:t xml:space="preserve"> </w:t>
      </w:r>
      <w:r>
        <w:t>this</w:t>
      </w:r>
      <w:r>
        <w:rPr>
          <w:spacing w:val="-13"/>
        </w:rPr>
        <w:t xml:space="preserve"> </w:t>
      </w:r>
      <w:r>
        <w:t>factor,</w:t>
      </w:r>
      <w:r>
        <w:rPr>
          <w:spacing w:val="-13"/>
        </w:rPr>
        <w:t xml:space="preserve"> </w:t>
      </w:r>
      <w:r>
        <w:t>MOFCOM</w:t>
      </w:r>
      <w:r>
        <w:rPr>
          <w:spacing w:val="-13"/>
        </w:rPr>
        <w:t xml:space="preserve"> </w:t>
      </w:r>
      <w:r>
        <w:t>ignored</w:t>
      </w:r>
      <w:r>
        <w:rPr>
          <w:spacing w:val="-13"/>
        </w:rPr>
        <w:t xml:space="preserve"> </w:t>
      </w:r>
      <w:r>
        <w:t>evidence on</w:t>
      </w:r>
      <w:r>
        <w:rPr>
          <w:spacing w:val="-5"/>
        </w:rPr>
        <w:t xml:space="preserve"> </w:t>
      </w:r>
      <w:r>
        <w:t>the</w:t>
      </w:r>
      <w:r>
        <w:rPr>
          <w:spacing w:val="-4"/>
        </w:rPr>
        <w:t xml:space="preserve"> </w:t>
      </w:r>
      <w:r>
        <w:t>record</w:t>
      </w:r>
      <w:r>
        <w:rPr>
          <w:spacing w:val="-5"/>
        </w:rPr>
        <w:t xml:space="preserve"> </w:t>
      </w:r>
      <w:r>
        <w:t>providing</w:t>
      </w:r>
      <w:r>
        <w:rPr>
          <w:spacing w:val="-3"/>
        </w:rPr>
        <w:t xml:space="preserve"> </w:t>
      </w:r>
      <w:r>
        <w:t>volume</w:t>
      </w:r>
      <w:r>
        <w:rPr>
          <w:spacing w:val="-5"/>
        </w:rPr>
        <w:t xml:space="preserve"> </w:t>
      </w:r>
      <w:r>
        <w:t>and</w:t>
      </w:r>
      <w:r>
        <w:rPr>
          <w:spacing w:val="-5"/>
        </w:rPr>
        <w:t xml:space="preserve"> </w:t>
      </w:r>
      <w:r>
        <w:t>price</w:t>
      </w:r>
      <w:r>
        <w:rPr>
          <w:spacing w:val="-4"/>
        </w:rPr>
        <w:t xml:space="preserve"> </w:t>
      </w:r>
      <w:r>
        <w:t>data</w:t>
      </w:r>
      <w:r>
        <w:rPr>
          <w:spacing w:val="-5"/>
        </w:rPr>
        <w:t xml:space="preserve"> </w:t>
      </w:r>
      <w:r>
        <w:t>for</w:t>
      </w:r>
      <w:r>
        <w:rPr>
          <w:spacing w:val="-5"/>
        </w:rPr>
        <w:t xml:space="preserve"> </w:t>
      </w:r>
      <w:r>
        <w:t>non‐subject</w:t>
      </w:r>
      <w:r>
        <w:rPr>
          <w:spacing w:val="-5"/>
        </w:rPr>
        <w:t xml:space="preserve"> </w:t>
      </w:r>
      <w:r>
        <w:t>imports</w:t>
      </w:r>
      <w:r>
        <w:rPr>
          <w:spacing w:val="-5"/>
        </w:rPr>
        <w:t xml:space="preserve"> </w:t>
      </w:r>
      <w:r>
        <w:t>on</w:t>
      </w:r>
      <w:r>
        <w:rPr>
          <w:spacing w:val="-5"/>
        </w:rPr>
        <w:t xml:space="preserve"> </w:t>
      </w:r>
      <w:r>
        <w:t>a</w:t>
      </w:r>
      <w:r>
        <w:rPr>
          <w:spacing w:val="-5"/>
        </w:rPr>
        <w:t xml:space="preserve"> </w:t>
      </w:r>
      <w:r>
        <w:t>per</w:t>
      </w:r>
      <w:r>
        <w:rPr>
          <w:spacing w:val="-4"/>
        </w:rPr>
        <w:t xml:space="preserve"> </w:t>
      </w:r>
      <w:r>
        <w:t>country</w:t>
      </w:r>
      <w:r>
        <w:rPr>
          <w:spacing w:val="-5"/>
        </w:rPr>
        <w:t xml:space="preserve"> </w:t>
      </w:r>
      <w:r>
        <w:t>basis for four of the five years</w:t>
      </w:r>
      <w:r>
        <w:rPr>
          <w:spacing w:val="-1"/>
        </w:rPr>
        <w:t xml:space="preserve"> </w:t>
      </w:r>
      <w:r>
        <w:t>in the Injury POI</w:t>
      </w:r>
      <w:r>
        <w:rPr>
          <w:spacing w:val="-1"/>
        </w:rPr>
        <w:t xml:space="preserve"> </w:t>
      </w:r>
      <w:r>
        <w:t>(2015, 2016, 2017, and 2019).</w:t>
      </w:r>
      <w:r>
        <w:rPr>
          <w:vertAlign w:val="superscript"/>
        </w:rPr>
        <w:t>842</w:t>
      </w:r>
      <w:r>
        <w:t xml:space="preserve"> These data,</w:t>
      </w:r>
      <w:r>
        <w:rPr>
          <w:spacing w:val="-1"/>
        </w:rPr>
        <w:t xml:space="preserve"> </w:t>
      </w:r>
      <w:r>
        <w:t>which are summarised below, demonstrated that there was substantially more direct price competition between non‐subject imp</w:t>
      </w:r>
      <w:r>
        <w:t>orts and domestic like products than there was between subject imports and domestic like products.</w:t>
      </w:r>
    </w:p>
    <w:p w14:paraId="51DE927E" w14:textId="77777777" w:rsidR="0010369C" w:rsidRDefault="0010369C">
      <w:pPr>
        <w:pStyle w:val="BodyText"/>
        <w:spacing w:before="10"/>
        <w:rPr>
          <w:sz w:val="8"/>
        </w:rPr>
      </w:pPr>
    </w:p>
    <w:p w14:paraId="51DE927F" w14:textId="77777777" w:rsidR="0010369C" w:rsidRDefault="008E43AE">
      <w:pPr>
        <w:pStyle w:val="BodyText"/>
        <w:spacing w:before="52" w:line="360" w:lineRule="auto"/>
        <w:ind w:left="237" w:right="613" w:firstLine="851"/>
        <w:jc w:val="both"/>
      </w:pPr>
      <w:r>
        <w:rPr>
          <w:noProof/>
        </w:rPr>
        <w:drawing>
          <wp:anchor distT="0" distB="0" distL="0" distR="0" simplePos="0" relativeHeight="251311616" behindDoc="1" locked="0" layoutInCell="1" allowOverlap="1" wp14:anchorId="51DEA5C2" wp14:editId="51DEA5C3">
            <wp:simplePos x="0" y="0"/>
            <wp:positionH relativeFrom="page">
              <wp:posOffset>902208</wp:posOffset>
            </wp:positionH>
            <wp:positionV relativeFrom="paragraph">
              <wp:posOffset>81949</wp:posOffset>
            </wp:positionV>
            <wp:extent cx="262127" cy="100753"/>
            <wp:effectExtent l="0" t="0" r="0" b="0"/>
            <wp:wrapNone/>
            <wp:docPr id="1379" name="image7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 name="image714.png"/>
                    <pic:cNvPicPr/>
                  </pic:nvPicPr>
                  <pic:blipFill>
                    <a:blip r:embed="rId928" cstate="print"/>
                    <a:stretch>
                      <a:fillRect/>
                    </a:stretch>
                  </pic:blipFill>
                  <pic:spPr>
                    <a:xfrm>
                      <a:off x="0" y="0"/>
                      <a:ext cx="262127" cy="100753"/>
                    </a:xfrm>
                    <a:prstGeom prst="rect">
                      <a:avLst/>
                    </a:prstGeom>
                  </pic:spPr>
                </pic:pic>
              </a:graphicData>
            </a:graphic>
          </wp:anchor>
        </w:drawing>
      </w:r>
      <w:r>
        <w:t>The import volume data showed that France, Australia, Chile, Spain and Italy were the top five exporting countries by volume of bottled wine to China in 20</w:t>
      </w:r>
      <w:r>
        <w:t>15, 2016, 2017 and 2019.</w:t>
      </w:r>
      <w:r>
        <w:rPr>
          <w:vertAlign w:val="superscript"/>
        </w:rPr>
        <w:t>843</w:t>
      </w:r>
      <w:r>
        <w:t xml:space="preserve"> Collectively, these five countries accounted for 89% of all bottled wine imports to China</w:t>
      </w:r>
      <w:r>
        <w:rPr>
          <w:spacing w:val="-12"/>
        </w:rPr>
        <w:t xml:space="preserve"> </w:t>
      </w:r>
      <w:r>
        <w:t>during</w:t>
      </w:r>
      <w:r>
        <w:rPr>
          <w:spacing w:val="-12"/>
        </w:rPr>
        <w:t xml:space="preserve"> </w:t>
      </w:r>
      <w:r>
        <w:t>the</w:t>
      </w:r>
      <w:r>
        <w:rPr>
          <w:spacing w:val="-11"/>
        </w:rPr>
        <w:t xml:space="preserve"> </w:t>
      </w:r>
      <w:r>
        <w:t>period.</w:t>
      </w:r>
      <w:r>
        <w:rPr>
          <w:vertAlign w:val="superscript"/>
        </w:rPr>
        <w:t>844</w:t>
      </w:r>
      <w:r>
        <w:rPr>
          <w:spacing w:val="-11"/>
        </w:rPr>
        <w:t xml:space="preserve"> </w:t>
      </w:r>
      <w:r>
        <w:t>France</w:t>
      </w:r>
      <w:r>
        <w:rPr>
          <w:spacing w:val="-11"/>
        </w:rPr>
        <w:t xml:space="preserve"> </w:t>
      </w:r>
      <w:r>
        <w:t>was</w:t>
      </w:r>
      <w:r>
        <w:rPr>
          <w:spacing w:val="-12"/>
        </w:rPr>
        <w:t xml:space="preserve"> </w:t>
      </w:r>
      <w:r>
        <w:t>the</w:t>
      </w:r>
      <w:r>
        <w:rPr>
          <w:spacing w:val="-11"/>
        </w:rPr>
        <w:t xml:space="preserve"> </w:t>
      </w:r>
      <w:r>
        <w:t>largest</w:t>
      </w:r>
      <w:r>
        <w:rPr>
          <w:spacing w:val="-11"/>
        </w:rPr>
        <w:t xml:space="preserve"> </w:t>
      </w:r>
      <w:r>
        <w:t>exporter</w:t>
      </w:r>
      <w:r>
        <w:rPr>
          <w:spacing w:val="-11"/>
        </w:rPr>
        <w:t xml:space="preserve"> </w:t>
      </w:r>
      <w:r>
        <w:t>by</w:t>
      </w:r>
      <w:r>
        <w:rPr>
          <w:spacing w:val="-12"/>
        </w:rPr>
        <w:t xml:space="preserve"> </w:t>
      </w:r>
      <w:r>
        <w:t>a</w:t>
      </w:r>
      <w:r>
        <w:rPr>
          <w:spacing w:val="-12"/>
        </w:rPr>
        <w:t xml:space="preserve"> </w:t>
      </w:r>
      <w:r>
        <w:t>significant</w:t>
      </w:r>
      <w:r>
        <w:rPr>
          <w:spacing w:val="-12"/>
        </w:rPr>
        <w:t xml:space="preserve"> </w:t>
      </w:r>
      <w:r>
        <w:t>margin,</w:t>
      </w:r>
      <w:r>
        <w:rPr>
          <w:spacing w:val="-12"/>
        </w:rPr>
        <w:t xml:space="preserve"> </w:t>
      </w:r>
      <w:r>
        <w:t xml:space="preserve">accounting for 37.69% of import volumes during the period, </w:t>
      </w:r>
      <w:r>
        <w:t>followed by Australia (19.23%), Chile (13.52%), Spain (13.03%) and Italy (5.70%).</w:t>
      </w:r>
      <w:r>
        <w:rPr>
          <w:vertAlign w:val="superscript"/>
        </w:rPr>
        <w:t>845</w:t>
      </w:r>
      <w:r>
        <w:t xml:space="preserve"> Import volumes for the top five exporting countries are illustrated in Figure 3 below.</w:t>
      </w:r>
    </w:p>
    <w:p w14:paraId="51DE9280" w14:textId="77777777" w:rsidR="0010369C" w:rsidRDefault="0010369C">
      <w:pPr>
        <w:pStyle w:val="BodyText"/>
        <w:rPr>
          <w:sz w:val="20"/>
        </w:rPr>
      </w:pPr>
    </w:p>
    <w:p w14:paraId="51DE9281" w14:textId="77777777" w:rsidR="0010369C" w:rsidRDefault="0010369C">
      <w:pPr>
        <w:pStyle w:val="BodyText"/>
        <w:rPr>
          <w:sz w:val="20"/>
        </w:rPr>
      </w:pPr>
    </w:p>
    <w:p w14:paraId="51DE9282" w14:textId="77777777" w:rsidR="0010369C" w:rsidRDefault="0010369C">
      <w:pPr>
        <w:pStyle w:val="BodyText"/>
        <w:rPr>
          <w:sz w:val="20"/>
        </w:rPr>
      </w:pPr>
    </w:p>
    <w:p w14:paraId="51DE9283" w14:textId="77777777" w:rsidR="0010369C" w:rsidRDefault="0010369C">
      <w:pPr>
        <w:pStyle w:val="BodyText"/>
        <w:rPr>
          <w:sz w:val="20"/>
        </w:rPr>
      </w:pPr>
    </w:p>
    <w:p w14:paraId="51DE9284" w14:textId="77777777" w:rsidR="0010369C" w:rsidRDefault="0010369C">
      <w:pPr>
        <w:pStyle w:val="BodyText"/>
        <w:rPr>
          <w:sz w:val="20"/>
        </w:rPr>
      </w:pPr>
    </w:p>
    <w:p w14:paraId="51DE9285" w14:textId="77777777" w:rsidR="0010369C" w:rsidRDefault="0010369C">
      <w:pPr>
        <w:pStyle w:val="BodyText"/>
        <w:rPr>
          <w:sz w:val="20"/>
        </w:rPr>
      </w:pPr>
    </w:p>
    <w:p w14:paraId="51DE9286" w14:textId="77777777" w:rsidR="0010369C" w:rsidRDefault="0010369C">
      <w:pPr>
        <w:pStyle w:val="BodyText"/>
        <w:rPr>
          <w:sz w:val="20"/>
        </w:rPr>
      </w:pPr>
    </w:p>
    <w:p w14:paraId="51DE9287" w14:textId="77777777" w:rsidR="0010369C" w:rsidRDefault="0010369C">
      <w:pPr>
        <w:pStyle w:val="BodyText"/>
        <w:rPr>
          <w:sz w:val="20"/>
        </w:rPr>
      </w:pPr>
    </w:p>
    <w:p w14:paraId="51DE9288" w14:textId="77777777" w:rsidR="0010369C" w:rsidRDefault="0010369C">
      <w:pPr>
        <w:pStyle w:val="BodyText"/>
        <w:rPr>
          <w:sz w:val="20"/>
        </w:rPr>
      </w:pPr>
    </w:p>
    <w:p w14:paraId="51DE9289" w14:textId="77777777" w:rsidR="0010369C" w:rsidRDefault="0010369C">
      <w:pPr>
        <w:pStyle w:val="BodyText"/>
        <w:rPr>
          <w:sz w:val="20"/>
        </w:rPr>
      </w:pPr>
    </w:p>
    <w:p w14:paraId="51DE928A" w14:textId="77777777" w:rsidR="0010369C" w:rsidRDefault="0010369C">
      <w:pPr>
        <w:pStyle w:val="BodyText"/>
        <w:rPr>
          <w:sz w:val="20"/>
        </w:rPr>
      </w:pPr>
    </w:p>
    <w:p w14:paraId="51DE928B" w14:textId="77777777" w:rsidR="0010369C" w:rsidRDefault="0010369C">
      <w:pPr>
        <w:pStyle w:val="BodyText"/>
        <w:rPr>
          <w:sz w:val="20"/>
        </w:rPr>
      </w:pPr>
    </w:p>
    <w:p w14:paraId="51DE928C" w14:textId="77777777" w:rsidR="0010369C" w:rsidRDefault="0010369C">
      <w:pPr>
        <w:pStyle w:val="BodyText"/>
        <w:rPr>
          <w:sz w:val="20"/>
        </w:rPr>
      </w:pPr>
    </w:p>
    <w:p w14:paraId="51DE928D" w14:textId="77777777" w:rsidR="0010369C" w:rsidRDefault="0010369C">
      <w:pPr>
        <w:pStyle w:val="BodyText"/>
        <w:rPr>
          <w:sz w:val="20"/>
        </w:rPr>
      </w:pPr>
    </w:p>
    <w:p w14:paraId="51DE928E" w14:textId="77777777" w:rsidR="0010369C" w:rsidRDefault="0010369C">
      <w:pPr>
        <w:pStyle w:val="BodyText"/>
        <w:rPr>
          <w:sz w:val="20"/>
        </w:rPr>
      </w:pPr>
    </w:p>
    <w:p w14:paraId="51DE928F" w14:textId="77777777" w:rsidR="0010369C" w:rsidRDefault="0010369C">
      <w:pPr>
        <w:pStyle w:val="BodyText"/>
        <w:rPr>
          <w:sz w:val="20"/>
        </w:rPr>
      </w:pPr>
    </w:p>
    <w:p w14:paraId="51DE9290" w14:textId="77777777" w:rsidR="0010369C" w:rsidRDefault="0010369C">
      <w:pPr>
        <w:pStyle w:val="BodyText"/>
        <w:rPr>
          <w:sz w:val="20"/>
        </w:rPr>
      </w:pPr>
    </w:p>
    <w:p w14:paraId="51DE9291" w14:textId="77777777" w:rsidR="0010369C" w:rsidRDefault="008E43AE">
      <w:pPr>
        <w:pStyle w:val="BodyText"/>
        <w:spacing w:before="9"/>
        <w:rPr>
          <w:sz w:val="25"/>
        </w:rPr>
      </w:pPr>
      <w:r>
        <w:pict w14:anchorId="51DEA5C4">
          <v:rect id="docshape1168" o:spid="_x0000_s1233" style="position:absolute;margin-left:70.9pt;margin-top:16.95pt;width:2in;height:.8pt;z-index:-250779136;mso-wrap-distance-left:0;mso-wrap-distance-right:0;mso-position-horizontal-relative:page" fillcolor="black" stroked="f">
            <w10:wrap type="topAndBottom" anchorx="page"/>
          </v:rect>
        </w:pict>
      </w:r>
    </w:p>
    <w:p w14:paraId="51DE9292" w14:textId="77777777" w:rsidR="0010369C" w:rsidRDefault="008E43AE">
      <w:pPr>
        <w:spacing w:before="109"/>
        <w:ind w:left="238"/>
        <w:jc w:val="both"/>
        <w:rPr>
          <w:sz w:val="18"/>
        </w:rPr>
      </w:pPr>
      <w:r>
        <w:rPr>
          <w:sz w:val="18"/>
          <w:vertAlign w:val="superscript"/>
        </w:rPr>
        <w:t>842</w:t>
      </w:r>
      <w:r>
        <w:rPr>
          <w:spacing w:val="14"/>
          <w:sz w:val="18"/>
        </w:rPr>
        <w:t xml:space="preserve"> </w:t>
      </w:r>
      <w:r>
        <w:rPr>
          <w:sz w:val="18"/>
        </w:rPr>
        <w:t>CADA</w:t>
      </w:r>
      <w:r>
        <w:rPr>
          <w:spacing w:val="14"/>
          <w:sz w:val="18"/>
        </w:rPr>
        <w:t xml:space="preserve"> </w:t>
      </w:r>
      <w:r>
        <w:rPr>
          <w:sz w:val="18"/>
        </w:rPr>
        <w:t>Application</w:t>
      </w:r>
      <w:r>
        <w:rPr>
          <w:spacing w:val="14"/>
          <w:sz w:val="18"/>
        </w:rPr>
        <w:t xml:space="preserve"> </w:t>
      </w:r>
      <w:r>
        <w:rPr>
          <w:sz w:val="18"/>
        </w:rPr>
        <w:t>for</w:t>
      </w:r>
      <w:r>
        <w:rPr>
          <w:spacing w:val="13"/>
          <w:sz w:val="18"/>
        </w:rPr>
        <w:t xml:space="preserve"> </w:t>
      </w:r>
      <w:r>
        <w:rPr>
          <w:sz w:val="18"/>
        </w:rPr>
        <w:t>Anti‐Dumping</w:t>
      </w:r>
      <w:r>
        <w:rPr>
          <w:spacing w:val="14"/>
          <w:sz w:val="18"/>
        </w:rPr>
        <w:t xml:space="preserve"> </w:t>
      </w:r>
      <w:r>
        <w:rPr>
          <w:sz w:val="18"/>
        </w:rPr>
        <w:t>Investigation,</w:t>
      </w:r>
      <w:r>
        <w:rPr>
          <w:spacing w:val="13"/>
          <w:sz w:val="18"/>
        </w:rPr>
        <w:t xml:space="preserve"> </w:t>
      </w:r>
      <w:r>
        <w:rPr>
          <w:sz w:val="18"/>
        </w:rPr>
        <w:t>Annexes</w:t>
      </w:r>
      <w:r>
        <w:rPr>
          <w:spacing w:val="14"/>
          <w:sz w:val="18"/>
        </w:rPr>
        <w:t xml:space="preserve"> </w:t>
      </w:r>
      <w:r>
        <w:rPr>
          <w:sz w:val="18"/>
        </w:rPr>
        <w:t>1‐12</w:t>
      </w:r>
      <w:r>
        <w:rPr>
          <w:spacing w:val="15"/>
          <w:sz w:val="18"/>
        </w:rPr>
        <w:t xml:space="preserve"> </w:t>
      </w:r>
      <w:r>
        <w:rPr>
          <w:sz w:val="18"/>
        </w:rPr>
        <w:t>(Part</w:t>
      </w:r>
      <w:r>
        <w:rPr>
          <w:spacing w:val="13"/>
          <w:sz w:val="18"/>
        </w:rPr>
        <w:t xml:space="preserve"> </w:t>
      </w:r>
      <w:r>
        <w:rPr>
          <w:sz w:val="18"/>
        </w:rPr>
        <w:t>2)</w:t>
      </w:r>
      <w:r>
        <w:rPr>
          <w:spacing w:val="13"/>
          <w:sz w:val="18"/>
        </w:rPr>
        <w:t xml:space="preserve"> </w:t>
      </w:r>
      <w:r>
        <w:rPr>
          <w:sz w:val="18"/>
        </w:rPr>
        <w:t>(Exhibit</w:t>
      </w:r>
      <w:r>
        <w:rPr>
          <w:spacing w:val="14"/>
          <w:sz w:val="18"/>
        </w:rPr>
        <w:t xml:space="preserve"> </w:t>
      </w:r>
      <w:r>
        <w:rPr>
          <w:sz w:val="18"/>
        </w:rPr>
        <w:t>AUS‐66),</w:t>
      </w:r>
      <w:r>
        <w:rPr>
          <w:spacing w:val="13"/>
          <w:sz w:val="18"/>
        </w:rPr>
        <w:t xml:space="preserve"> </w:t>
      </w:r>
      <w:r>
        <w:rPr>
          <w:sz w:val="18"/>
        </w:rPr>
        <w:t>Annex</w:t>
      </w:r>
      <w:r>
        <w:rPr>
          <w:spacing w:val="14"/>
          <w:sz w:val="18"/>
        </w:rPr>
        <w:t xml:space="preserve"> </w:t>
      </w:r>
      <w:r>
        <w:rPr>
          <w:sz w:val="18"/>
        </w:rPr>
        <w:t>8,</w:t>
      </w:r>
      <w:r>
        <w:rPr>
          <w:spacing w:val="13"/>
          <w:sz w:val="18"/>
        </w:rPr>
        <w:t xml:space="preserve"> </w:t>
      </w:r>
      <w:r>
        <w:rPr>
          <w:sz w:val="18"/>
        </w:rPr>
        <w:t>pp.</w:t>
      </w:r>
      <w:r>
        <w:rPr>
          <w:spacing w:val="14"/>
          <w:sz w:val="18"/>
        </w:rPr>
        <w:t xml:space="preserve"> </w:t>
      </w:r>
      <w:r>
        <w:rPr>
          <w:sz w:val="18"/>
        </w:rPr>
        <w:t>45</w:t>
      </w:r>
      <w:r>
        <w:rPr>
          <w:spacing w:val="14"/>
          <w:sz w:val="18"/>
        </w:rPr>
        <w:t xml:space="preserve"> </w:t>
      </w:r>
      <w:r>
        <w:rPr>
          <w:sz w:val="18"/>
        </w:rPr>
        <w:t>(2015),</w:t>
      </w:r>
      <w:r>
        <w:rPr>
          <w:spacing w:val="13"/>
          <w:sz w:val="18"/>
        </w:rPr>
        <w:t xml:space="preserve"> </w:t>
      </w:r>
      <w:r>
        <w:rPr>
          <w:spacing w:val="-5"/>
          <w:sz w:val="18"/>
        </w:rPr>
        <w:t>46</w:t>
      </w:r>
    </w:p>
    <w:p w14:paraId="51DE9293" w14:textId="77777777" w:rsidR="0010369C" w:rsidRDefault="008E43AE">
      <w:pPr>
        <w:ind w:left="238"/>
        <w:jc w:val="both"/>
        <w:rPr>
          <w:sz w:val="18"/>
        </w:rPr>
      </w:pPr>
      <w:r>
        <w:rPr>
          <w:sz w:val="18"/>
        </w:rPr>
        <w:t>(2016),</w:t>
      </w:r>
      <w:r>
        <w:rPr>
          <w:spacing w:val="-5"/>
          <w:sz w:val="18"/>
        </w:rPr>
        <w:t xml:space="preserve"> </w:t>
      </w:r>
      <w:r>
        <w:rPr>
          <w:sz w:val="18"/>
        </w:rPr>
        <w:t>47</w:t>
      </w:r>
      <w:r>
        <w:rPr>
          <w:spacing w:val="-5"/>
          <w:sz w:val="18"/>
        </w:rPr>
        <w:t xml:space="preserve"> </w:t>
      </w:r>
      <w:r>
        <w:rPr>
          <w:sz w:val="18"/>
        </w:rPr>
        <w:t>(2017),</w:t>
      </w:r>
      <w:r>
        <w:rPr>
          <w:spacing w:val="-4"/>
          <w:sz w:val="18"/>
        </w:rPr>
        <w:t xml:space="preserve"> </w:t>
      </w:r>
      <w:r>
        <w:rPr>
          <w:sz w:val="18"/>
        </w:rPr>
        <w:t>48</w:t>
      </w:r>
      <w:r>
        <w:rPr>
          <w:spacing w:val="-5"/>
          <w:sz w:val="18"/>
        </w:rPr>
        <w:t xml:space="preserve"> </w:t>
      </w:r>
      <w:r>
        <w:rPr>
          <w:spacing w:val="-2"/>
          <w:sz w:val="18"/>
        </w:rPr>
        <w:t>(2019).</w:t>
      </w:r>
    </w:p>
    <w:p w14:paraId="51DE9294" w14:textId="77777777" w:rsidR="0010369C" w:rsidRDefault="008E43AE">
      <w:pPr>
        <w:spacing w:before="1"/>
        <w:ind w:left="237" w:right="612" w:firstLine="1"/>
        <w:jc w:val="both"/>
        <w:rPr>
          <w:sz w:val="18"/>
        </w:rPr>
      </w:pPr>
      <w:r>
        <w:rPr>
          <w:sz w:val="18"/>
          <w:vertAlign w:val="superscript"/>
        </w:rPr>
        <w:t>843</w:t>
      </w:r>
      <w:r>
        <w:rPr>
          <w:sz w:val="18"/>
        </w:rPr>
        <w:t xml:space="preserve"> CADA Application for Anti‐Dumping Investigation, Annexes 1‐12 (Part 2) (Exhibit AUS‐66), Annex 8, pp. 45‐48. For 2015 import volumes see p. </w:t>
      </w:r>
      <w:r>
        <w:rPr>
          <w:sz w:val="18"/>
        </w:rPr>
        <w:t>45, column F: France – row 46; Australia – row 8; Chile – row 14; Spain – row 40; Italy – row 45. For 2016 import volumes see p. 46, column F: France – row 44; Australia – row 8; Chile – row 13; Spain – row 35, Italy ‐ 43. For 2017 import volumes see p. 47</w:t>
      </w:r>
      <w:r>
        <w:rPr>
          <w:sz w:val="18"/>
        </w:rPr>
        <w:t>, column F: France – row 45; Australia – row 9; Chile – row 14; Spain – row 39, Italy – 44. For 2019 import volumes see p. 48, column E: France – row 53; Australia – row 93; Chile – row 87; Spain – row 59, Italy – 55.</w:t>
      </w:r>
    </w:p>
    <w:p w14:paraId="51DE9295" w14:textId="77777777" w:rsidR="0010369C" w:rsidRDefault="008E43AE">
      <w:pPr>
        <w:ind w:left="237" w:right="612"/>
        <w:jc w:val="both"/>
        <w:rPr>
          <w:sz w:val="18"/>
        </w:rPr>
      </w:pPr>
      <w:r>
        <w:rPr>
          <w:sz w:val="18"/>
          <w:vertAlign w:val="superscript"/>
        </w:rPr>
        <w:t>844</w:t>
      </w:r>
      <w:r>
        <w:rPr>
          <w:sz w:val="18"/>
        </w:rPr>
        <w:t xml:space="preserve"> CADA Application for Anti‐Dumping </w:t>
      </w:r>
      <w:r>
        <w:rPr>
          <w:sz w:val="18"/>
        </w:rPr>
        <w:t>Investigation, Annexes 1‐12 (Part 2) (Exhibit AUS‐66), Annex 8, pp. 45‐48. Australia has</w:t>
      </w:r>
      <w:r>
        <w:rPr>
          <w:spacing w:val="-2"/>
          <w:sz w:val="18"/>
        </w:rPr>
        <w:t xml:space="preserve"> </w:t>
      </w:r>
      <w:r>
        <w:rPr>
          <w:sz w:val="18"/>
        </w:rPr>
        <w:t>calculated</w:t>
      </w:r>
      <w:r>
        <w:rPr>
          <w:spacing w:val="-2"/>
          <w:sz w:val="18"/>
        </w:rPr>
        <w:t xml:space="preserve"> </w:t>
      </w:r>
      <w:r>
        <w:rPr>
          <w:sz w:val="18"/>
        </w:rPr>
        <w:t>the</w:t>
      </w:r>
      <w:r>
        <w:rPr>
          <w:spacing w:val="-2"/>
          <w:sz w:val="18"/>
        </w:rPr>
        <w:t xml:space="preserve"> </w:t>
      </w:r>
      <w:r>
        <w:rPr>
          <w:sz w:val="18"/>
        </w:rPr>
        <w:t>proportion</w:t>
      </w:r>
      <w:r>
        <w:rPr>
          <w:spacing w:val="-1"/>
          <w:sz w:val="18"/>
        </w:rPr>
        <w:t xml:space="preserve"> </w:t>
      </w:r>
      <w:r>
        <w:rPr>
          <w:sz w:val="18"/>
        </w:rPr>
        <w:t>of</w:t>
      </w:r>
      <w:r>
        <w:rPr>
          <w:spacing w:val="-2"/>
          <w:sz w:val="18"/>
        </w:rPr>
        <w:t xml:space="preserve"> </w:t>
      </w:r>
      <w:r>
        <w:rPr>
          <w:sz w:val="18"/>
        </w:rPr>
        <w:t>imports</w:t>
      </w:r>
      <w:r>
        <w:rPr>
          <w:spacing w:val="-1"/>
          <w:sz w:val="18"/>
        </w:rPr>
        <w:t xml:space="preserve"> </w:t>
      </w:r>
      <w:r>
        <w:rPr>
          <w:sz w:val="18"/>
        </w:rPr>
        <w:t>by:</w:t>
      </w:r>
      <w:r>
        <w:rPr>
          <w:spacing w:val="-2"/>
          <w:sz w:val="18"/>
        </w:rPr>
        <w:t xml:space="preserve"> </w:t>
      </w:r>
      <w:r>
        <w:rPr>
          <w:sz w:val="18"/>
        </w:rPr>
        <w:t>(i)</w:t>
      </w:r>
      <w:r>
        <w:rPr>
          <w:spacing w:val="-2"/>
          <w:sz w:val="18"/>
        </w:rPr>
        <w:t xml:space="preserve"> </w:t>
      </w:r>
      <w:r>
        <w:rPr>
          <w:sz w:val="18"/>
        </w:rPr>
        <w:t>calculating</w:t>
      </w:r>
      <w:r>
        <w:rPr>
          <w:spacing w:val="-2"/>
          <w:sz w:val="18"/>
        </w:rPr>
        <w:t xml:space="preserve"> </w:t>
      </w:r>
      <w:r>
        <w:rPr>
          <w:sz w:val="18"/>
        </w:rPr>
        <w:t>the</w:t>
      </w:r>
      <w:r>
        <w:rPr>
          <w:spacing w:val="-2"/>
          <w:sz w:val="18"/>
        </w:rPr>
        <w:t xml:space="preserve"> </w:t>
      </w:r>
      <w:r>
        <w:rPr>
          <w:sz w:val="18"/>
        </w:rPr>
        <w:t>total</w:t>
      </w:r>
      <w:r>
        <w:rPr>
          <w:spacing w:val="-3"/>
          <w:sz w:val="18"/>
        </w:rPr>
        <w:t xml:space="preserve"> </w:t>
      </w:r>
      <w:r>
        <w:rPr>
          <w:sz w:val="18"/>
        </w:rPr>
        <w:t>import</w:t>
      </w:r>
      <w:r>
        <w:rPr>
          <w:spacing w:val="-2"/>
          <w:sz w:val="18"/>
        </w:rPr>
        <w:t xml:space="preserve"> </w:t>
      </w:r>
      <w:r>
        <w:rPr>
          <w:sz w:val="18"/>
        </w:rPr>
        <w:t>volume</w:t>
      </w:r>
      <w:r>
        <w:rPr>
          <w:spacing w:val="-2"/>
          <w:sz w:val="18"/>
        </w:rPr>
        <w:t xml:space="preserve"> </w:t>
      </w:r>
      <w:r>
        <w:rPr>
          <w:sz w:val="18"/>
        </w:rPr>
        <w:t>for</w:t>
      </w:r>
      <w:r>
        <w:rPr>
          <w:spacing w:val="-3"/>
          <w:sz w:val="18"/>
        </w:rPr>
        <w:t xml:space="preserve"> </w:t>
      </w:r>
      <w:r>
        <w:rPr>
          <w:sz w:val="18"/>
        </w:rPr>
        <w:t>each</w:t>
      </w:r>
      <w:r>
        <w:rPr>
          <w:spacing w:val="-3"/>
          <w:sz w:val="18"/>
        </w:rPr>
        <w:t xml:space="preserve"> </w:t>
      </w:r>
      <w:r>
        <w:rPr>
          <w:sz w:val="18"/>
        </w:rPr>
        <w:t>country,</w:t>
      </w:r>
      <w:r>
        <w:rPr>
          <w:spacing w:val="-3"/>
          <w:sz w:val="18"/>
        </w:rPr>
        <w:t xml:space="preserve"> </w:t>
      </w:r>
      <w:r>
        <w:rPr>
          <w:sz w:val="18"/>
        </w:rPr>
        <w:t>by</w:t>
      </w:r>
      <w:r>
        <w:rPr>
          <w:spacing w:val="-2"/>
          <w:sz w:val="18"/>
        </w:rPr>
        <w:t xml:space="preserve"> </w:t>
      </w:r>
      <w:r>
        <w:rPr>
          <w:sz w:val="18"/>
        </w:rPr>
        <w:t>summing</w:t>
      </w:r>
      <w:r>
        <w:rPr>
          <w:spacing w:val="-3"/>
          <w:sz w:val="18"/>
        </w:rPr>
        <w:t xml:space="preserve"> </w:t>
      </w:r>
      <w:r>
        <w:rPr>
          <w:sz w:val="18"/>
        </w:rPr>
        <w:t>the</w:t>
      </w:r>
      <w:r>
        <w:rPr>
          <w:spacing w:val="-2"/>
          <w:sz w:val="18"/>
        </w:rPr>
        <w:t xml:space="preserve"> </w:t>
      </w:r>
      <w:r>
        <w:rPr>
          <w:sz w:val="18"/>
        </w:rPr>
        <w:t>import volumes shown for 2015, 2016, 2017 and 2019 for each country (see pp. 45‐47 (column F), p. 48 (column E); (ii) calculating the total import volume for the whole period (2015, 2016, 2017 and 2019), by summing the total import volumes for each country</w:t>
      </w:r>
      <w:r>
        <w:rPr>
          <w:sz w:val="18"/>
        </w:rPr>
        <w:t xml:space="preserve"> calculated in step (i); and (iii) dividing the total import figure for each country by the total import volume for the whole period. For consistency with MOFCOM's units of measure, Australia has converted the volume data from litres to kilolitres, by divi</w:t>
      </w:r>
      <w:r>
        <w:rPr>
          <w:sz w:val="18"/>
        </w:rPr>
        <w:t>ding the litre figures by 1,000.</w:t>
      </w:r>
    </w:p>
    <w:p w14:paraId="51DE9296" w14:textId="77777777" w:rsidR="0010369C" w:rsidRDefault="008E43AE">
      <w:pPr>
        <w:ind w:left="237" w:right="615" w:firstLine="1"/>
        <w:jc w:val="both"/>
        <w:rPr>
          <w:sz w:val="18"/>
        </w:rPr>
      </w:pPr>
      <w:r>
        <w:rPr>
          <w:sz w:val="18"/>
          <w:vertAlign w:val="superscript"/>
        </w:rPr>
        <w:t>845</w:t>
      </w:r>
      <w:r>
        <w:rPr>
          <w:sz w:val="18"/>
        </w:rPr>
        <w:t xml:space="preserve"> These percentages result from Australia's calculations described in the footnote above. Notably, Australia's calculations show that no other individual importing country accounted for more than 2% of imports during the </w:t>
      </w:r>
      <w:r>
        <w:rPr>
          <w:sz w:val="18"/>
        </w:rPr>
        <w:t>period.</w:t>
      </w:r>
    </w:p>
    <w:p w14:paraId="51DE9297" w14:textId="77777777" w:rsidR="0010369C" w:rsidRDefault="0010369C">
      <w:pPr>
        <w:jc w:val="both"/>
        <w:rPr>
          <w:sz w:val="18"/>
        </w:rPr>
        <w:sectPr w:rsidR="0010369C">
          <w:pgSz w:w="11910" w:h="16840"/>
          <w:pgMar w:top="880" w:right="800" w:bottom="980" w:left="1180" w:header="569" w:footer="788" w:gutter="0"/>
          <w:cols w:space="720"/>
        </w:sectPr>
      </w:pPr>
    </w:p>
    <w:p w14:paraId="51DE9298" w14:textId="77777777" w:rsidR="0010369C" w:rsidRDefault="008E43AE">
      <w:pPr>
        <w:spacing w:before="11" w:line="302" w:lineRule="auto"/>
        <w:ind w:left="235" w:hanging="8"/>
        <w:rPr>
          <w:rFonts w:ascii="Arial"/>
          <w:sz w:val="18"/>
        </w:rPr>
      </w:pPr>
      <w:bookmarkStart w:id="30" w:name="DS602_-_Australia's_-_FWS_-_Redacted_(wo"/>
      <w:bookmarkEnd w:id="30"/>
      <w:r>
        <w:rPr>
          <w:rFonts w:ascii="Arial"/>
          <w:i/>
          <w:color w:val="281F2D"/>
          <w:sz w:val="18"/>
        </w:rPr>
        <w:lastRenderedPageBreak/>
        <w:t xml:space="preserve">China </w:t>
      </w:r>
      <w:r>
        <w:rPr>
          <w:rFonts w:ascii="Arial"/>
          <w:color w:val="281F2D"/>
          <w:sz w:val="18"/>
        </w:rPr>
        <w:t>-</w:t>
      </w:r>
      <w:r>
        <w:rPr>
          <w:rFonts w:ascii="Arial"/>
          <w:color w:val="281F2D"/>
          <w:spacing w:val="40"/>
          <w:sz w:val="18"/>
        </w:rPr>
        <w:t xml:space="preserve"> </w:t>
      </w:r>
      <w:r>
        <w:rPr>
          <w:rFonts w:ascii="Arial"/>
          <w:i/>
          <w:color w:val="281F2D"/>
          <w:sz w:val="18"/>
        </w:rPr>
        <w:t>Anti</w:t>
      </w:r>
      <w:r>
        <w:rPr>
          <w:rFonts w:ascii="Arial"/>
          <w:i/>
          <w:color w:val="343446"/>
          <w:sz w:val="18"/>
        </w:rPr>
        <w:t>-</w:t>
      </w:r>
      <w:r>
        <w:rPr>
          <w:rFonts w:ascii="Arial"/>
          <w:i/>
          <w:color w:val="281F2D"/>
          <w:sz w:val="18"/>
        </w:rPr>
        <w:t>Dumping</w:t>
      </w:r>
      <w:r>
        <w:rPr>
          <w:rFonts w:ascii="Arial"/>
          <w:i/>
          <w:color w:val="281F2D"/>
          <w:spacing w:val="-2"/>
          <w:sz w:val="18"/>
        </w:rPr>
        <w:t xml:space="preserve"> </w:t>
      </w:r>
      <w:r>
        <w:rPr>
          <w:rFonts w:ascii="Arial"/>
          <w:i/>
          <w:color w:val="281F2D"/>
          <w:sz w:val="18"/>
        </w:rPr>
        <w:t>and</w:t>
      </w:r>
      <w:r>
        <w:rPr>
          <w:rFonts w:ascii="Arial"/>
          <w:i/>
          <w:color w:val="281F2D"/>
          <w:spacing w:val="-12"/>
          <w:sz w:val="18"/>
        </w:rPr>
        <w:t xml:space="preserve"> </w:t>
      </w:r>
      <w:r>
        <w:rPr>
          <w:rFonts w:ascii="Arial"/>
          <w:i/>
          <w:color w:val="281F2D"/>
          <w:sz w:val="18"/>
        </w:rPr>
        <w:t xml:space="preserve">Countervailing Duty Measures </w:t>
      </w:r>
      <w:r>
        <w:rPr>
          <w:rFonts w:ascii="Arial"/>
          <w:i/>
          <w:color w:val="281F2D"/>
          <w:w w:val="105"/>
          <w:sz w:val="18"/>
        </w:rPr>
        <w:t>on</w:t>
      </w:r>
      <w:r>
        <w:rPr>
          <w:rFonts w:ascii="Arial"/>
          <w:i/>
          <w:color w:val="281F2D"/>
          <w:spacing w:val="-11"/>
          <w:w w:val="105"/>
          <w:sz w:val="18"/>
        </w:rPr>
        <w:t xml:space="preserve"> </w:t>
      </w:r>
      <w:r>
        <w:rPr>
          <w:rFonts w:ascii="Arial"/>
          <w:i/>
          <w:color w:val="281F2D"/>
          <w:w w:val="105"/>
          <w:sz w:val="18"/>
        </w:rPr>
        <w:t xml:space="preserve">Winefrom Australia </w:t>
      </w:r>
      <w:r>
        <w:rPr>
          <w:rFonts w:ascii="Arial"/>
          <w:color w:val="281F2D"/>
          <w:w w:val="105"/>
          <w:sz w:val="18"/>
        </w:rPr>
        <w:t>(0S602)</w:t>
      </w:r>
    </w:p>
    <w:p w14:paraId="51DE9299" w14:textId="77777777" w:rsidR="0010369C" w:rsidRDefault="008E43AE">
      <w:pPr>
        <w:spacing w:before="21"/>
        <w:ind w:right="579"/>
        <w:jc w:val="right"/>
        <w:rPr>
          <w:rFonts w:ascii="Arial"/>
          <w:sz w:val="18"/>
        </w:rPr>
      </w:pPr>
      <w:r>
        <w:br w:type="column"/>
      </w:r>
      <w:r>
        <w:rPr>
          <w:rFonts w:ascii="Arial"/>
          <w:color w:val="281F2D"/>
          <w:sz w:val="18"/>
        </w:rPr>
        <w:t>Australia's</w:t>
      </w:r>
      <w:r>
        <w:rPr>
          <w:rFonts w:ascii="Arial"/>
          <w:color w:val="281F2D"/>
          <w:spacing w:val="22"/>
          <w:sz w:val="18"/>
        </w:rPr>
        <w:t xml:space="preserve"> </w:t>
      </w:r>
      <w:r>
        <w:rPr>
          <w:rFonts w:ascii="Arial"/>
          <w:color w:val="281F2D"/>
          <w:sz w:val="18"/>
        </w:rPr>
        <w:t>First</w:t>
      </w:r>
      <w:r>
        <w:rPr>
          <w:rFonts w:ascii="Arial"/>
          <w:color w:val="281F2D"/>
          <w:spacing w:val="18"/>
          <w:sz w:val="18"/>
        </w:rPr>
        <w:t xml:space="preserve"> </w:t>
      </w:r>
      <w:r>
        <w:rPr>
          <w:rFonts w:ascii="Arial"/>
          <w:color w:val="281F2D"/>
          <w:sz w:val="18"/>
        </w:rPr>
        <w:t>Written</w:t>
      </w:r>
      <w:r>
        <w:rPr>
          <w:rFonts w:ascii="Arial"/>
          <w:color w:val="281F2D"/>
          <w:spacing w:val="8"/>
          <w:sz w:val="18"/>
        </w:rPr>
        <w:t xml:space="preserve"> </w:t>
      </w:r>
      <w:r>
        <w:rPr>
          <w:rFonts w:ascii="Arial"/>
          <w:color w:val="281F2D"/>
          <w:spacing w:val="-2"/>
          <w:sz w:val="18"/>
        </w:rPr>
        <w:t>Subm</w:t>
      </w:r>
      <w:r>
        <w:rPr>
          <w:rFonts w:ascii="Arial"/>
          <w:color w:val="573624"/>
          <w:spacing w:val="-2"/>
          <w:sz w:val="18"/>
        </w:rPr>
        <w:t>i</w:t>
      </w:r>
      <w:r>
        <w:rPr>
          <w:rFonts w:ascii="Arial"/>
          <w:color w:val="281F2D"/>
          <w:spacing w:val="-2"/>
          <w:sz w:val="18"/>
        </w:rPr>
        <w:t>ssion</w:t>
      </w:r>
    </w:p>
    <w:p w14:paraId="51DE929A" w14:textId="77777777" w:rsidR="0010369C" w:rsidRDefault="008E43AE">
      <w:pPr>
        <w:spacing w:before="44"/>
        <w:ind w:right="573"/>
        <w:jc w:val="right"/>
        <w:rPr>
          <w:rFonts w:ascii="Arial"/>
          <w:sz w:val="18"/>
        </w:rPr>
      </w:pPr>
      <w:r>
        <w:rPr>
          <w:rFonts w:ascii="Arial"/>
          <w:color w:val="281F2D"/>
          <w:w w:val="105"/>
          <w:sz w:val="18"/>
        </w:rPr>
        <w:t>29</w:t>
      </w:r>
      <w:r>
        <w:rPr>
          <w:rFonts w:ascii="Arial"/>
          <w:color w:val="281F2D"/>
          <w:spacing w:val="-12"/>
          <w:w w:val="105"/>
          <w:sz w:val="18"/>
        </w:rPr>
        <w:t xml:space="preserve"> </w:t>
      </w:r>
      <w:r>
        <w:rPr>
          <w:rFonts w:ascii="Arial"/>
          <w:color w:val="281F2D"/>
          <w:w w:val="105"/>
          <w:sz w:val="18"/>
        </w:rPr>
        <w:t>April</w:t>
      </w:r>
      <w:r>
        <w:rPr>
          <w:rFonts w:ascii="Arial"/>
          <w:color w:val="281F2D"/>
          <w:spacing w:val="-6"/>
          <w:w w:val="105"/>
          <w:sz w:val="18"/>
        </w:rPr>
        <w:t xml:space="preserve"> </w:t>
      </w:r>
      <w:r>
        <w:rPr>
          <w:rFonts w:ascii="Arial"/>
          <w:color w:val="281F2D"/>
          <w:spacing w:val="-4"/>
          <w:w w:val="105"/>
          <w:sz w:val="18"/>
        </w:rPr>
        <w:t>2022</w:t>
      </w:r>
    </w:p>
    <w:p w14:paraId="51DE929B" w14:textId="77777777" w:rsidR="0010369C" w:rsidRDefault="0010369C">
      <w:pPr>
        <w:jc w:val="right"/>
        <w:rPr>
          <w:rFonts w:ascii="Arial"/>
          <w:sz w:val="18"/>
        </w:rPr>
        <w:sectPr w:rsidR="0010369C">
          <w:headerReference w:type="default" r:id="rId929"/>
          <w:footerReference w:type="default" r:id="rId930"/>
          <w:pgSz w:w="11910" w:h="16840"/>
          <w:pgMar w:top="820" w:right="800" w:bottom="1000" w:left="1180" w:header="491" w:footer="814" w:gutter="0"/>
          <w:cols w:num="2" w:space="720" w:equalWidth="0">
            <w:col w:w="4912" w:space="1306"/>
            <w:col w:w="3712"/>
          </w:cols>
        </w:sectPr>
      </w:pPr>
    </w:p>
    <w:p w14:paraId="51DE929C" w14:textId="77777777" w:rsidR="0010369C" w:rsidRDefault="0010369C">
      <w:pPr>
        <w:pStyle w:val="BodyText"/>
        <w:spacing w:before="5"/>
        <w:rPr>
          <w:rFonts w:ascii="Arial"/>
          <w:sz w:val="29"/>
        </w:rPr>
      </w:pPr>
    </w:p>
    <w:p w14:paraId="51DE929D" w14:textId="77777777" w:rsidR="0010369C" w:rsidRDefault="008E43AE">
      <w:pPr>
        <w:spacing w:before="89"/>
        <w:ind w:right="466"/>
        <w:jc w:val="center"/>
        <w:rPr>
          <w:rFonts w:ascii="Arial"/>
          <w:sz w:val="25"/>
        </w:rPr>
      </w:pPr>
      <w:r>
        <w:pict w14:anchorId="51DEA5C5">
          <v:line id="_x0000_s1232" style="position:absolute;left:0;text-align:left;z-index:251860480;mso-position-horizontal-relative:page" from="66.7pt,38.1pt" to="66.7pt,-5pt" strokeweight=".35397mm">
            <w10:wrap anchorx="page"/>
          </v:line>
        </w:pict>
      </w:r>
      <w:r>
        <w:pict w14:anchorId="51DEA5C6">
          <v:group id="docshapegroup1171" o:spid="_x0000_s1229" style="position:absolute;left:0;text-align:left;margin-left:447.5pt;margin-top:-5pt;width:78.3pt;height:289.7pt;z-index:251861504;mso-position-horizontal-relative:page" coordorigin="8950,-100" coordsize="1566,5794">
            <v:line id="_x0000_s1231" style="position:absolute" from="10485,5694" to="10485,-100" strokeweight=".35397mm"/>
            <v:line id="_x0000_s1230" style="position:absolute" from="8950,-90" to="10515,-90" strokecolor="#d8d8d8" strokeweight="0"/>
            <w10:wrap anchorx="page"/>
          </v:group>
        </w:pict>
      </w:r>
      <w:r>
        <w:rPr>
          <w:rFonts w:ascii="Arial"/>
          <w:color w:val="67646B"/>
          <w:sz w:val="25"/>
        </w:rPr>
        <w:t>Top</w:t>
      </w:r>
      <w:r>
        <w:rPr>
          <w:rFonts w:ascii="Arial"/>
          <w:color w:val="67646B"/>
          <w:spacing w:val="-6"/>
          <w:sz w:val="25"/>
        </w:rPr>
        <w:t xml:space="preserve"> </w:t>
      </w:r>
      <w:r>
        <w:rPr>
          <w:rFonts w:ascii="Arial"/>
          <w:color w:val="67646B"/>
          <w:sz w:val="25"/>
        </w:rPr>
        <w:t>5</w:t>
      </w:r>
      <w:r>
        <w:rPr>
          <w:rFonts w:ascii="Arial"/>
          <w:color w:val="67646B"/>
          <w:spacing w:val="-3"/>
          <w:sz w:val="25"/>
        </w:rPr>
        <w:t xml:space="preserve"> </w:t>
      </w:r>
      <w:r>
        <w:rPr>
          <w:rFonts w:ascii="Arial"/>
          <w:color w:val="67646B"/>
          <w:sz w:val="25"/>
        </w:rPr>
        <w:t>exporting</w:t>
      </w:r>
      <w:r>
        <w:rPr>
          <w:rFonts w:ascii="Arial"/>
          <w:color w:val="67646B"/>
          <w:spacing w:val="-4"/>
          <w:sz w:val="25"/>
        </w:rPr>
        <w:t xml:space="preserve"> </w:t>
      </w:r>
      <w:r>
        <w:rPr>
          <w:rFonts w:ascii="Arial"/>
          <w:color w:val="67646B"/>
          <w:sz w:val="25"/>
        </w:rPr>
        <w:t>counties</w:t>
      </w:r>
      <w:r>
        <w:rPr>
          <w:rFonts w:ascii="Arial"/>
          <w:color w:val="67646B"/>
          <w:spacing w:val="15"/>
          <w:sz w:val="25"/>
        </w:rPr>
        <w:t xml:space="preserve"> </w:t>
      </w:r>
      <w:r>
        <w:rPr>
          <w:rFonts w:ascii="Arial"/>
          <w:color w:val="67646B"/>
          <w:sz w:val="25"/>
        </w:rPr>
        <w:t>to</w:t>
      </w:r>
      <w:r>
        <w:rPr>
          <w:rFonts w:ascii="Arial"/>
          <w:color w:val="67646B"/>
          <w:spacing w:val="29"/>
          <w:sz w:val="25"/>
        </w:rPr>
        <w:t xml:space="preserve"> </w:t>
      </w:r>
      <w:r>
        <w:rPr>
          <w:rFonts w:ascii="Arial"/>
          <w:color w:val="67646B"/>
          <w:sz w:val="25"/>
        </w:rPr>
        <w:t>China</w:t>
      </w:r>
      <w:r>
        <w:rPr>
          <w:rFonts w:ascii="Arial"/>
          <w:color w:val="67646B"/>
          <w:spacing w:val="37"/>
          <w:sz w:val="25"/>
        </w:rPr>
        <w:t xml:space="preserve"> </w:t>
      </w:r>
      <w:r>
        <w:rPr>
          <w:rFonts w:ascii="Times New Roman"/>
          <w:color w:val="67646B"/>
          <w:sz w:val="27"/>
        </w:rPr>
        <w:t>by</w:t>
      </w:r>
      <w:r>
        <w:rPr>
          <w:rFonts w:ascii="Times New Roman"/>
          <w:color w:val="67646B"/>
          <w:spacing w:val="-2"/>
          <w:sz w:val="27"/>
        </w:rPr>
        <w:t xml:space="preserve"> </w:t>
      </w:r>
      <w:r>
        <w:rPr>
          <w:rFonts w:ascii="Arial"/>
          <w:color w:val="67646B"/>
          <w:sz w:val="25"/>
        </w:rPr>
        <w:t>volume</w:t>
      </w:r>
      <w:r>
        <w:rPr>
          <w:rFonts w:ascii="Arial"/>
          <w:color w:val="67646B"/>
          <w:spacing w:val="8"/>
          <w:sz w:val="25"/>
        </w:rPr>
        <w:t xml:space="preserve"> </w:t>
      </w:r>
      <w:r>
        <w:rPr>
          <w:rFonts w:ascii="Arial"/>
          <w:color w:val="7B7580"/>
          <w:spacing w:val="-4"/>
          <w:sz w:val="25"/>
        </w:rPr>
        <w:t>(kl)</w:t>
      </w:r>
    </w:p>
    <w:p w14:paraId="51DE929E" w14:textId="77777777" w:rsidR="0010369C" w:rsidRDefault="0010369C">
      <w:pPr>
        <w:pStyle w:val="BodyText"/>
        <w:rPr>
          <w:rFonts w:ascii="Arial"/>
          <w:sz w:val="20"/>
        </w:rPr>
      </w:pPr>
    </w:p>
    <w:p w14:paraId="51DE929F" w14:textId="77777777" w:rsidR="0010369C" w:rsidRDefault="0010369C">
      <w:pPr>
        <w:pStyle w:val="BodyText"/>
        <w:spacing w:before="8"/>
        <w:rPr>
          <w:rFonts w:ascii="Arial"/>
          <w:sz w:val="27"/>
        </w:rPr>
      </w:pPr>
    </w:p>
    <w:p w14:paraId="51DE92A0" w14:textId="77777777" w:rsidR="0010369C" w:rsidRDefault="008E43AE">
      <w:pPr>
        <w:spacing w:before="96"/>
        <w:ind w:right="9040"/>
        <w:jc w:val="right"/>
        <w:rPr>
          <w:rFonts w:ascii="Arial"/>
          <w:sz w:val="16"/>
        </w:rPr>
      </w:pPr>
      <w:r>
        <w:rPr>
          <w:noProof/>
        </w:rPr>
        <w:drawing>
          <wp:anchor distT="0" distB="0" distL="0" distR="0" simplePos="0" relativeHeight="251312640" behindDoc="1" locked="0" layoutInCell="1" allowOverlap="1" wp14:anchorId="51DEA5C7" wp14:editId="51DEA5C8">
            <wp:simplePos x="0" y="0"/>
            <wp:positionH relativeFrom="page">
              <wp:posOffset>1261526</wp:posOffset>
            </wp:positionH>
            <wp:positionV relativeFrom="paragraph">
              <wp:posOffset>-161995</wp:posOffset>
            </wp:positionV>
            <wp:extent cx="5281844" cy="2730620"/>
            <wp:effectExtent l="0" t="0" r="0" b="0"/>
            <wp:wrapNone/>
            <wp:docPr id="1381" name="image7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 name="image715.png"/>
                    <pic:cNvPicPr/>
                  </pic:nvPicPr>
                  <pic:blipFill>
                    <a:blip r:embed="rId931" cstate="print"/>
                    <a:stretch>
                      <a:fillRect/>
                    </a:stretch>
                  </pic:blipFill>
                  <pic:spPr>
                    <a:xfrm>
                      <a:off x="0" y="0"/>
                      <a:ext cx="5281844" cy="2730620"/>
                    </a:xfrm>
                    <a:prstGeom prst="rect">
                      <a:avLst/>
                    </a:prstGeom>
                  </pic:spPr>
                </pic:pic>
              </a:graphicData>
            </a:graphic>
          </wp:anchor>
        </w:drawing>
      </w:r>
      <w:r>
        <w:rPr>
          <w:rFonts w:ascii="Arial"/>
          <w:color w:val="7B7580"/>
          <w:spacing w:val="-2"/>
          <w:sz w:val="16"/>
        </w:rPr>
        <w:t>200,000</w:t>
      </w:r>
    </w:p>
    <w:p w14:paraId="51DE92A1" w14:textId="77777777" w:rsidR="0010369C" w:rsidRDefault="0010369C">
      <w:pPr>
        <w:pStyle w:val="BodyText"/>
        <w:rPr>
          <w:rFonts w:ascii="Arial"/>
          <w:sz w:val="18"/>
        </w:rPr>
      </w:pPr>
    </w:p>
    <w:p w14:paraId="51DE92A2" w14:textId="77777777" w:rsidR="0010369C" w:rsidRDefault="0010369C">
      <w:pPr>
        <w:pStyle w:val="BodyText"/>
        <w:rPr>
          <w:rFonts w:ascii="Arial"/>
          <w:sz w:val="18"/>
        </w:rPr>
      </w:pPr>
    </w:p>
    <w:p w14:paraId="51DE92A3" w14:textId="77777777" w:rsidR="0010369C" w:rsidRDefault="0010369C">
      <w:pPr>
        <w:pStyle w:val="BodyText"/>
        <w:rPr>
          <w:rFonts w:ascii="Arial"/>
          <w:sz w:val="18"/>
        </w:rPr>
      </w:pPr>
    </w:p>
    <w:p w14:paraId="51DE92A4" w14:textId="77777777" w:rsidR="0010369C" w:rsidRDefault="008E43AE">
      <w:pPr>
        <w:spacing w:before="147"/>
        <w:ind w:right="9035"/>
        <w:jc w:val="right"/>
        <w:rPr>
          <w:rFonts w:ascii="Arial"/>
          <w:sz w:val="16"/>
        </w:rPr>
      </w:pPr>
      <w:r>
        <w:rPr>
          <w:rFonts w:ascii="Arial"/>
          <w:color w:val="7B7580"/>
          <w:spacing w:val="-2"/>
          <w:w w:val="105"/>
          <w:sz w:val="16"/>
        </w:rPr>
        <w:t>150,000</w:t>
      </w:r>
    </w:p>
    <w:p w14:paraId="51DE92A5" w14:textId="77777777" w:rsidR="0010369C" w:rsidRDefault="0010369C">
      <w:pPr>
        <w:pStyle w:val="BodyText"/>
        <w:rPr>
          <w:rFonts w:ascii="Arial"/>
          <w:sz w:val="18"/>
        </w:rPr>
      </w:pPr>
    </w:p>
    <w:p w14:paraId="51DE92A6" w14:textId="77777777" w:rsidR="0010369C" w:rsidRDefault="0010369C">
      <w:pPr>
        <w:pStyle w:val="BodyText"/>
        <w:rPr>
          <w:rFonts w:ascii="Arial"/>
          <w:sz w:val="18"/>
        </w:rPr>
      </w:pPr>
    </w:p>
    <w:p w14:paraId="51DE92A7" w14:textId="77777777" w:rsidR="0010369C" w:rsidRDefault="0010369C">
      <w:pPr>
        <w:pStyle w:val="BodyText"/>
        <w:rPr>
          <w:rFonts w:ascii="Arial"/>
          <w:sz w:val="18"/>
        </w:rPr>
      </w:pPr>
    </w:p>
    <w:p w14:paraId="51DE92A8" w14:textId="77777777" w:rsidR="0010369C" w:rsidRDefault="008E43AE">
      <w:pPr>
        <w:spacing w:before="137"/>
        <w:ind w:right="9035"/>
        <w:jc w:val="right"/>
        <w:rPr>
          <w:rFonts w:ascii="Arial"/>
          <w:sz w:val="16"/>
        </w:rPr>
      </w:pPr>
      <w:r>
        <w:rPr>
          <w:rFonts w:ascii="Arial"/>
          <w:color w:val="7B7580"/>
          <w:spacing w:val="-2"/>
          <w:w w:val="105"/>
          <w:sz w:val="16"/>
        </w:rPr>
        <w:t>100,000</w:t>
      </w:r>
    </w:p>
    <w:p w14:paraId="51DE92A9" w14:textId="77777777" w:rsidR="0010369C" w:rsidRDefault="0010369C">
      <w:pPr>
        <w:pStyle w:val="BodyText"/>
        <w:rPr>
          <w:rFonts w:ascii="Arial"/>
          <w:sz w:val="18"/>
        </w:rPr>
      </w:pPr>
    </w:p>
    <w:p w14:paraId="51DE92AA" w14:textId="77777777" w:rsidR="0010369C" w:rsidRDefault="0010369C">
      <w:pPr>
        <w:pStyle w:val="BodyText"/>
        <w:rPr>
          <w:rFonts w:ascii="Arial"/>
          <w:sz w:val="18"/>
        </w:rPr>
      </w:pPr>
    </w:p>
    <w:p w14:paraId="51DE92AB" w14:textId="77777777" w:rsidR="0010369C" w:rsidRDefault="0010369C">
      <w:pPr>
        <w:pStyle w:val="BodyText"/>
        <w:rPr>
          <w:rFonts w:ascii="Arial"/>
          <w:sz w:val="18"/>
        </w:rPr>
      </w:pPr>
    </w:p>
    <w:p w14:paraId="51DE92AC" w14:textId="77777777" w:rsidR="0010369C" w:rsidRDefault="008E43AE">
      <w:pPr>
        <w:spacing w:before="147"/>
        <w:ind w:right="9038"/>
        <w:jc w:val="right"/>
        <w:rPr>
          <w:rFonts w:ascii="Arial"/>
          <w:sz w:val="16"/>
        </w:rPr>
      </w:pPr>
      <w:r>
        <w:rPr>
          <w:rFonts w:ascii="Arial"/>
          <w:color w:val="7B7580"/>
          <w:spacing w:val="-2"/>
          <w:w w:val="105"/>
          <w:sz w:val="16"/>
        </w:rPr>
        <w:t>50,000</w:t>
      </w:r>
    </w:p>
    <w:p w14:paraId="51DE92AD" w14:textId="77777777" w:rsidR="0010369C" w:rsidRDefault="0010369C">
      <w:pPr>
        <w:pStyle w:val="BodyText"/>
        <w:rPr>
          <w:rFonts w:ascii="Arial"/>
          <w:sz w:val="20"/>
        </w:rPr>
      </w:pPr>
    </w:p>
    <w:p w14:paraId="51DE92AE" w14:textId="77777777" w:rsidR="0010369C" w:rsidRDefault="0010369C">
      <w:pPr>
        <w:pStyle w:val="BodyText"/>
        <w:rPr>
          <w:rFonts w:ascii="Arial"/>
          <w:sz w:val="20"/>
        </w:rPr>
      </w:pPr>
    </w:p>
    <w:p w14:paraId="51DE92AF" w14:textId="77777777" w:rsidR="0010369C" w:rsidRDefault="0010369C">
      <w:pPr>
        <w:pStyle w:val="BodyText"/>
        <w:rPr>
          <w:rFonts w:ascii="Arial"/>
          <w:sz w:val="20"/>
        </w:rPr>
      </w:pPr>
    </w:p>
    <w:p w14:paraId="51DE92B0" w14:textId="77777777" w:rsidR="0010369C" w:rsidRDefault="0010369C">
      <w:pPr>
        <w:pStyle w:val="BodyText"/>
        <w:spacing w:before="9"/>
        <w:rPr>
          <w:rFonts w:ascii="Arial"/>
          <w:sz w:val="17"/>
        </w:rPr>
      </w:pPr>
    </w:p>
    <w:p w14:paraId="51DE92B1" w14:textId="77777777" w:rsidR="0010369C" w:rsidRDefault="008E43AE">
      <w:pPr>
        <w:tabs>
          <w:tab w:val="left" w:pos="3882"/>
          <w:tab w:val="left" w:pos="5899"/>
        </w:tabs>
        <w:spacing w:before="95"/>
        <w:ind w:left="1875"/>
        <w:rPr>
          <w:rFonts w:ascii="Arial"/>
          <w:sz w:val="16"/>
        </w:rPr>
      </w:pPr>
      <w:r>
        <w:pict w14:anchorId="51DEA5C9">
          <v:line id="_x0000_s1228" style="position:absolute;left:0;text-align:left;z-index:251859456;mso-position-horizontal-relative:page" from="66.7pt,38.3pt" to="66.7pt,-30.85pt" strokeweight=".35397mm">
            <w10:wrap anchorx="page"/>
          </v:line>
        </w:pict>
      </w:r>
      <w:r>
        <w:pict w14:anchorId="51DEA5CA">
          <v:shape id="docshape1172" o:spid="_x0000_s1227" type="#_x0000_t202" style="position:absolute;left:0;text-align:left;margin-left:454.3pt;margin-top:5pt;width:19.75pt;height:9pt;z-index:251862528;mso-position-horizontal-relative:page" filled="f" stroked="f">
            <v:textbox inset="0,0,0,0">
              <w:txbxContent>
                <w:p w14:paraId="51DEAC8E" w14:textId="77777777" w:rsidR="0010369C" w:rsidRDefault="008E43AE">
                  <w:pPr>
                    <w:spacing w:line="179" w:lineRule="exact"/>
                    <w:rPr>
                      <w:rFonts w:ascii="Arial"/>
                      <w:sz w:val="16"/>
                    </w:rPr>
                  </w:pPr>
                  <w:r>
                    <w:rPr>
                      <w:rFonts w:ascii="Arial"/>
                      <w:color w:val="7B7580"/>
                      <w:spacing w:val="-4"/>
                      <w:w w:val="105"/>
                      <w:sz w:val="16"/>
                    </w:rPr>
                    <w:t>2019</w:t>
                  </w:r>
                </w:p>
              </w:txbxContent>
            </v:textbox>
            <w10:wrap anchorx="page"/>
          </v:shape>
        </w:pict>
      </w:r>
      <w:r>
        <w:rPr>
          <w:rFonts w:ascii="Arial"/>
          <w:color w:val="7B7580"/>
          <w:spacing w:val="-4"/>
          <w:w w:val="105"/>
          <w:sz w:val="16"/>
        </w:rPr>
        <w:t>2015</w:t>
      </w:r>
      <w:r>
        <w:rPr>
          <w:rFonts w:ascii="Arial"/>
          <w:color w:val="7B7580"/>
          <w:sz w:val="16"/>
        </w:rPr>
        <w:tab/>
      </w:r>
      <w:r>
        <w:rPr>
          <w:rFonts w:ascii="Arial"/>
          <w:color w:val="7B7580"/>
          <w:spacing w:val="-4"/>
          <w:w w:val="105"/>
          <w:sz w:val="16"/>
        </w:rPr>
        <w:t>2016</w:t>
      </w:r>
      <w:r>
        <w:rPr>
          <w:rFonts w:ascii="Arial"/>
          <w:color w:val="7B7580"/>
          <w:sz w:val="16"/>
        </w:rPr>
        <w:tab/>
      </w:r>
      <w:r>
        <w:rPr>
          <w:rFonts w:ascii="Arial"/>
          <w:color w:val="7B7580"/>
          <w:spacing w:val="-4"/>
          <w:w w:val="105"/>
          <w:sz w:val="16"/>
        </w:rPr>
        <w:t>2017</w:t>
      </w:r>
    </w:p>
    <w:p w14:paraId="51DE92B2" w14:textId="77777777" w:rsidR="0010369C" w:rsidRDefault="008E43AE">
      <w:pPr>
        <w:pStyle w:val="ListParagraph"/>
        <w:numPr>
          <w:ilvl w:val="0"/>
          <w:numId w:val="40"/>
        </w:numPr>
        <w:tabs>
          <w:tab w:val="left" w:pos="3122"/>
        </w:tabs>
        <w:spacing w:before="132"/>
        <w:ind w:hanging="177"/>
        <w:jc w:val="left"/>
        <w:rPr>
          <w:rFonts w:ascii="Arial" w:hAnsi="Arial"/>
          <w:sz w:val="16"/>
        </w:rPr>
      </w:pPr>
      <w:r>
        <w:rPr>
          <w:rFonts w:ascii="Arial" w:hAnsi="Arial"/>
          <w:color w:val="7B7580"/>
          <w:w w:val="105"/>
          <w:sz w:val="16"/>
        </w:rPr>
        <w:t>France</w:t>
      </w:r>
      <w:r>
        <w:rPr>
          <w:rFonts w:ascii="Arial" w:hAnsi="Arial"/>
          <w:color w:val="7B7580"/>
          <w:spacing w:val="77"/>
          <w:w w:val="105"/>
          <w:sz w:val="16"/>
        </w:rPr>
        <w:t xml:space="preserve"> </w:t>
      </w:r>
      <w:r>
        <w:rPr>
          <w:rFonts w:ascii="Arial" w:hAnsi="Arial"/>
          <w:color w:val="A5A5A5"/>
          <w:w w:val="105"/>
          <w:sz w:val="25"/>
        </w:rPr>
        <w:t>■</w:t>
      </w:r>
      <w:r>
        <w:rPr>
          <w:rFonts w:ascii="Arial" w:hAnsi="Arial"/>
          <w:color w:val="7B7580"/>
          <w:w w:val="105"/>
          <w:sz w:val="16"/>
        </w:rPr>
        <w:t>Austral</w:t>
      </w:r>
      <w:r>
        <w:rPr>
          <w:rFonts w:ascii="Arial" w:hAnsi="Arial"/>
          <w:color w:val="8087A1"/>
          <w:w w:val="105"/>
          <w:sz w:val="16"/>
        </w:rPr>
        <w:t>i</w:t>
      </w:r>
      <w:r>
        <w:rPr>
          <w:rFonts w:ascii="Arial" w:hAnsi="Arial"/>
          <w:color w:val="7B7580"/>
          <w:w w:val="105"/>
          <w:sz w:val="16"/>
        </w:rPr>
        <w:t>a</w:t>
      </w:r>
      <w:r>
        <w:rPr>
          <w:rFonts w:ascii="Arial" w:hAnsi="Arial"/>
          <w:color w:val="7B7580"/>
          <w:spacing w:val="66"/>
          <w:w w:val="105"/>
          <w:sz w:val="16"/>
        </w:rPr>
        <w:t xml:space="preserve"> </w:t>
      </w:r>
      <w:r>
        <w:rPr>
          <w:rFonts w:ascii="Arial" w:hAnsi="Arial"/>
          <w:color w:val="FFBF00"/>
          <w:w w:val="105"/>
          <w:sz w:val="25"/>
        </w:rPr>
        <w:t>■</w:t>
      </w:r>
      <w:r>
        <w:rPr>
          <w:rFonts w:ascii="Arial" w:hAnsi="Arial"/>
          <w:color w:val="7B7580"/>
          <w:w w:val="105"/>
          <w:sz w:val="16"/>
        </w:rPr>
        <w:t>Chile</w:t>
      </w:r>
      <w:r>
        <w:rPr>
          <w:rFonts w:ascii="Arial" w:hAnsi="Arial"/>
          <w:color w:val="7B7580"/>
          <w:spacing w:val="62"/>
          <w:w w:val="105"/>
          <w:sz w:val="16"/>
        </w:rPr>
        <w:t xml:space="preserve"> </w:t>
      </w:r>
      <w:r>
        <w:rPr>
          <w:rFonts w:ascii="Arial" w:hAnsi="Arial"/>
          <w:color w:val="5B9AD4"/>
          <w:w w:val="105"/>
          <w:sz w:val="25"/>
        </w:rPr>
        <w:t>■</w:t>
      </w:r>
      <w:r>
        <w:rPr>
          <w:rFonts w:ascii="Arial" w:hAnsi="Arial"/>
          <w:color w:val="7B7580"/>
          <w:w w:val="105"/>
          <w:sz w:val="16"/>
        </w:rPr>
        <w:t>Spain</w:t>
      </w:r>
      <w:r>
        <w:rPr>
          <w:rFonts w:ascii="Arial" w:hAnsi="Arial"/>
          <w:color w:val="7B7580"/>
          <w:spacing w:val="71"/>
          <w:w w:val="105"/>
          <w:sz w:val="16"/>
        </w:rPr>
        <w:t xml:space="preserve"> </w:t>
      </w:r>
      <w:r>
        <w:rPr>
          <w:rFonts w:ascii="Arial" w:hAnsi="Arial"/>
          <w:color w:val="70AC46"/>
          <w:spacing w:val="-2"/>
          <w:w w:val="105"/>
          <w:sz w:val="25"/>
        </w:rPr>
        <w:t>■</w:t>
      </w:r>
      <w:r>
        <w:rPr>
          <w:rFonts w:ascii="Arial" w:hAnsi="Arial"/>
          <w:color w:val="7B7580"/>
          <w:spacing w:val="-2"/>
          <w:w w:val="105"/>
          <w:sz w:val="16"/>
        </w:rPr>
        <w:t>Italy</w:t>
      </w:r>
    </w:p>
    <w:p w14:paraId="51DE92B3" w14:textId="77777777" w:rsidR="0010369C" w:rsidRDefault="0010369C">
      <w:pPr>
        <w:pStyle w:val="BodyText"/>
        <w:spacing w:before="4"/>
        <w:rPr>
          <w:rFonts w:ascii="Arial"/>
          <w:sz w:val="25"/>
        </w:rPr>
      </w:pPr>
    </w:p>
    <w:p w14:paraId="51DE92B4" w14:textId="77777777" w:rsidR="0010369C" w:rsidRDefault="008E43AE">
      <w:pPr>
        <w:spacing w:line="424" w:lineRule="auto"/>
        <w:ind w:left="240" w:right="573" w:hanging="2"/>
        <w:jc w:val="both"/>
        <w:rPr>
          <w:rFonts w:ascii="Times New Roman"/>
          <w:b/>
          <w:sz w:val="15"/>
        </w:rPr>
      </w:pPr>
      <w:r>
        <w:rPr>
          <w:rFonts w:ascii="Arial"/>
          <w:b/>
          <w:color w:val="030308"/>
          <w:sz w:val="21"/>
        </w:rPr>
        <w:t>F</w:t>
      </w:r>
      <w:r>
        <w:rPr>
          <w:rFonts w:ascii="Arial"/>
          <w:b/>
          <w:color w:val="281F2D"/>
          <w:sz w:val="21"/>
        </w:rPr>
        <w:t>ig</w:t>
      </w:r>
      <w:r>
        <w:rPr>
          <w:rFonts w:ascii="Arial"/>
          <w:b/>
          <w:color w:val="030308"/>
          <w:sz w:val="21"/>
        </w:rPr>
        <w:t>ur</w:t>
      </w:r>
      <w:r>
        <w:rPr>
          <w:rFonts w:ascii="Arial"/>
          <w:b/>
          <w:color w:val="281F2D"/>
          <w:sz w:val="21"/>
        </w:rPr>
        <w:t xml:space="preserve">e 3 - </w:t>
      </w:r>
      <w:r>
        <w:rPr>
          <w:rFonts w:ascii="Arial"/>
          <w:b/>
          <w:color w:val="030308"/>
          <w:sz w:val="21"/>
        </w:rPr>
        <w:t>Comp</w:t>
      </w:r>
      <w:r>
        <w:rPr>
          <w:rFonts w:ascii="Arial"/>
          <w:b/>
          <w:color w:val="281F2D"/>
          <w:sz w:val="21"/>
        </w:rPr>
        <w:t>a</w:t>
      </w:r>
      <w:r>
        <w:rPr>
          <w:rFonts w:ascii="Arial"/>
          <w:b/>
          <w:color w:val="030308"/>
          <w:sz w:val="21"/>
        </w:rPr>
        <w:t>r</w:t>
      </w:r>
      <w:r>
        <w:rPr>
          <w:rFonts w:ascii="Arial"/>
          <w:b/>
          <w:color w:val="281F2D"/>
          <w:sz w:val="21"/>
        </w:rPr>
        <w:t>is</w:t>
      </w:r>
      <w:r>
        <w:rPr>
          <w:rFonts w:ascii="Arial"/>
          <w:b/>
          <w:color w:val="030308"/>
          <w:sz w:val="21"/>
        </w:rPr>
        <w:t>on of export volume</w:t>
      </w:r>
      <w:r>
        <w:rPr>
          <w:rFonts w:ascii="Arial"/>
          <w:b/>
          <w:color w:val="281F2D"/>
          <w:sz w:val="21"/>
        </w:rPr>
        <w:t xml:space="preserve">s </w:t>
      </w:r>
      <w:r>
        <w:rPr>
          <w:rFonts w:ascii="Arial"/>
          <w:b/>
          <w:color w:val="030308"/>
          <w:sz w:val="21"/>
        </w:rPr>
        <w:t xml:space="preserve">from top 5 </w:t>
      </w:r>
      <w:r>
        <w:rPr>
          <w:rFonts w:ascii="Arial"/>
          <w:b/>
          <w:color w:val="281F2D"/>
          <w:sz w:val="21"/>
        </w:rPr>
        <w:t>e</w:t>
      </w:r>
      <w:r>
        <w:rPr>
          <w:rFonts w:ascii="Arial"/>
          <w:b/>
          <w:color w:val="030308"/>
          <w:sz w:val="21"/>
        </w:rPr>
        <w:t xml:space="preserve">xporting </w:t>
      </w:r>
      <w:r>
        <w:rPr>
          <w:rFonts w:ascii="Arial"/>
          <w:b/>
          <w:color w:val="281F2D"/>
          <w:sz w:val="21"/>
        </w:rPr>
        <w:t>c</w:t>
      </w:r>
      <w:r>
        <w:rPr>
          <w:rFonts w:ascii="Arial"/>
          <w:b/>
          <w:color w:val="030308"/>
          <w:sz w:val="21"/>
        </w:rPr>
        <w:t>ountri</w:t>
      </w:r>
      <w:r>
        <w:rPr>
          <w:rFonts w:ascii="Arial"/>
          <w:b/>
          <w:color w:val="281F2D"/>
          <w:sz w:val="21"/>
        </w:rPr>
        <w:t xml:space="preserve">es </w:t>
      </w:r>
      <w:r>
        <w:rPr>
          <w:rFonts w:ascii="Arial"/>
          <w:b/>
          <w:color w:val="030308"/>
          <w:sz w:val="21"/>
        </w:rPr>
        <w:t>to Chin</w:t>
      </w:r>
      <w:r>
        <w:rPr>
          <w:rFonts w:ascii="Arial"/>
          <w:b/>
          <w:color w:val="281F2D"/>
          <w:sz w:val="21"/>
        </w:rPr>
        <w:t xml:space="preserve">a </w:t>
      </w:r>
      <w:r>
        <w:rPr>
          <w:rFonts w:ascii="Arial"/>
          <w:b/>
          <w:color w:val="030308"/>
          <w:sz w:val="21"/>
        </w:rPr>
        <w:t>during Injury POl</w:t>
      </w:r>
      <w:r>
        <w:rPr>
          <w:rFonts w:ascii="Times New Roman"/>
          <w:b/>
          <w:color w:val="281F2D"/>
          <w:position w:val="7"/>
          <w:sz w:val="15"/>
        </w:rPr>
        <w:t>846</w:t>
      </w:r>
    </w:p>
    <w:p w14:paraId="51DE92B5" w14:textId="77777777" w:rsidR="0010369C" w:rsidRDefault="0010369C">
      <w:pPr>
        <w:pStyle w:val="BodyText"/>
        <w:rPr>
          <w:rFonts w:ascii="Times New Roman"/>
          <w:b/>
        </w:rPr>
      </w:pPr>
    </w:p>
    <w:p w14:paraId="51DE92B6" w14:textId="77777777" w:rsidR="0010369C" w:rsidRDefault="0010369C">
      <w:pPr>
        <w:pStyle w:val="BodyText"/>
        <w:spacing w:before="6"/>
        <w:rPr>
          <w:rFonts w:ascii="Times New Roman"/>
          <w:b/>
          <w:sz w:val="29"/>
        </w:rPr>
      </w:pPr>
    </w:p>
    <w:p w14:paraId="51DE92B7" w14:textId="77777777" w:rsidR="0010369C" w:rsidRDefault="008E43AE">
      <w:pPr>
        <w:pStyle w:val="ListParagraph"/>
        <w:numPr>
          <w:ilvl w:val="0"/>
          <w:numId w:val="39"/>
        </w:numPr>
        <w:tabs>
          <w:tab w:val="left" w:pos="1089"/>
        </w:tabs>
        <w:spacing w:before="0" w:line="436" w:lineRule="auto"/>
        <w:ind w:right="576" w:hanging="2"/>
        <w:jc w:val="both"/>
        <w:rPr>
          <w:rFonts w:ascii="Arial"/>
          <w:color w:val="281F2D"/>
          <w:sz w:val="21"/>
        </w:rPr>
      </w:pPr>
      <w:r>
        <w:rPr>
          <w:rFonts w:ascii="Arial"/>
          <w:color w:val="281F2D"/>
          <w:w w:val="105"/>
          <w:sz w:val="21"/>
        </w:rPr>
        <w:t>Importantly,</w:t>
      </w:r>
      <w:r>
        <w:rPr>
          <w:rFonts w:ascii="Arial"/>
          <w:color w:val="281F2D"/>
          <w:spacing w:val="40"/>
          <w:w w:val="105"/>
          <w:sz w:val="21"/>
        </w:rPr>
        <w:t xml:space="preserve"> </w:t>
      </w:r>
      <w:r>
        <w:rPr>
          <w:rFonts w:ascii="Arial"/>
          <w:color w:val="281F2D"/>
          <w:w w:val="105"/>
          <w:sz w:val="21"/>
        </w:rPr>
        <w:t>the</w:t>
      </w:r>
      <w:r>
        <w:rPr>
          <w:rFonts w:ascii="Arial"/>
          <w:color w:val="281F2D"/>
          <w:spacing w:val="40"/>
          <w:w w:val="105"/>
          <w:sz w:val="21"/>
        </w:rPr>
        <w:t xml:space="preserve"> </w:t>
      </w:r>
      <w:r>
        <w:rPr>
          <w:rFonts w:ascii="Arial"/>
          <w:color w:val="281F2D"/>
          <w:w w:val="105"/>
          <w:sz w:val="21"/>
        </w:rPr>
        <w:t>price</w:t>
      </w:r>
      <w:r>
        <w:rPr>
          <w:rFonts w:ascii="Arial"/>
          <w:color w:val="281F2D"/>
          <w:spacing w:val="40"/>
          <w:w w:val="105"/>
          <w:sz w:val="21"/>
        </w:rPr>
        <w:t xml:space="preserve"> </w:t>
      </w:r>
      <w:r>
        <w:rPr>
          <w:rFonts w:ascii="Arial"/>
          <w:color w:val="281F2D"/>
          <w:w w:val="105"/>
          <w:sz w:val="21"/>
        </w:rPr>
        <w:t>data</w:t>
      </w:r>
      <w:r>
        <w:rPr>
          <w:rFonts w:ascii="Arial"/>
          <w:color w:val="281F2D"/>
          <w:spacing w:val="40"/>
          <w:w w:val="105"/>
          <w:sz w:val="21"/>
        </w:rPr>
        <w:t xml:space="preserve"> </w:t>
      </w:r>
      <w:r>
        <w:rPr>
          <w:rFonts w:ascii="Arial"/>
          <w:color w:val="281F2D"/>
          <w:w w:val="105"/>
          <w:sz w:val="21"/>
        </w:rPr>
        <w:t>showed</w:t>
      </w:r>
      <w:r>
        <w:rPr>
          <w:rFonts w:ascii="Arial"/>
          <w:color w:val="281F2D"/>
          <w:spacing w:val="40"/>
          <w:w w:val="105"/>
          <w:sz w:val="21"/>
        </w:rPr>
        <w:t xml:space="preserve"> </w:t>
      </w:r>
      <w:r>
        <w:rPr>
          <w:rFonts w:ascii="Arial"/>
          <w:color w:val="281F2D"/>
          <w:w w:val="105"/>
          <w:sz w:val="21"/>
        </w:rPr>
        <w:t>that</w:t>
      </w:r>
      <w:r>
        <w:rPr>
          <w:rFonts w:ascii="Arial"/>
          <w:color w:val="281F2D"/>
          <w:spacing w:val="40"/>
          <w:w w:val="105"/>
          <w:sz w:val="21"/>
        </w:rPr>
        <w:t xml:space="preserve"> </w:t>
      </w:r>
      <w:r>
        <w:rPr>
          <w:rFonts w:ascii="Arial"/>
          <w:color w:val="281F2D"/>
          <w:w w:val="105"/>
          <w:sz w:val="21"/>
        </w:rPr>
        <w:t>the</w:t>
      </w:r>
      <w:r>
        <w:rPr>
          <w:rFonts w:ascii="Arial"/>
          <w:color w:val="281F2D"/>
          <w:spacing w:val="36"/>
          <w:w w:val="105"/>
          <w:sz w:val="21"/>
        </w:rPr>
        <w:t xml:space="preserve"> </w:t>
      </w:r>
      <w:r>
        <w:rPr>
          <w:rFonts w:ascii="Arial"/>
          <w:color w:val="281F2D"/>
          <w:w w:val="105"/>
          <w:sz w:val="21"/>
        </w:rPr>
        <w:t>average</w:t>
      </w:r>
      <w:r>
        <w:rPr>
          <w:rFonts w:ascii="Arial"/>
          <w:color w:val="281F2D"/>
          <w:spacing w:val="40"/>
          <w:w w:val="105"/>
          <w:sz w:val="21"/>
        </w:rPr>
        <w:t xml:space="preserve"> </w:t>
      </w:r>
      <w:r>
        <w:rPr>
          <w:rFonts w:ascii="Arial"/>
          <w:color w:val="281F2D"/>
          <w:w w:val="105"/>
          <w:sz w:val="21"/>
        </w:rPr>
        <w:t>un</w:t>
      </w:r>
      <w:r>
        <w:rPr>
          <w:rFonts w:ascii="Arial"/>
          <w:color w:val="573624"/>
          <w:w w:val="105"/>
          <w:sz w:val="21"/>
        </w:rPr>
        <w:t>i</w:t>
      </w:r>
      <w:r>
        <w:rPr>
          <w:rFonts w:ascii="Arial"/>
          <w:color w:val="281F2D"/>
          <w:w w:val="105"/>
          <w:sz w:val="21"/>
        </w:rPr>
        <w:t>t</w:t>
      </w:r>
      <w:r>
        <w:rPr>
          <w:rFonts w:ascii="Arial"/>
          <w:color w:val="281F2D"/>
          <w:spacing w:val="40"/>
          <w:w w:val="105"/>
          <w:sz w:val="21"/>
        </w:rPr>
        <w:t xml:space="preserve"> </w:t>
      </w:r>
      <w:r>
        <w:rPr>
          <w:rFonts w:ascii="Arial"/>
          <w:color w:val="281F2D"/>
          <w:w w:val="105"/>
          <w:sz w:val="21"/>
        </w:rPr>
        <w:t>pr</w:t>
      </w:r>
      <w:r>
        <w:rPr>
          <w:rFonts w:ascii="Arial"/>
          <w:color w:val="573624"/>
          <w:w w:val="105"/>
          <w:sz w:val="21"/>
        </w:rPr>
        <w:t>i</w:t>
      </w:r>
      <w:r>
        <w:rPr>
          <w:rFonts w:ascii="Arial"/>
          <w:color w:val="281F2D"/>
          <w:w w:val="105"/>
          <w:sz w:val="21"/>
        </w:rPr>
        <w:t>ce</w:t>
      </w:r>
      <w:r>
        <w:rPr>
          <w:rFonts w:ascii="Arial"/>
          <w:color w:val="281F2D"/>
          <w:spacing w:val="40"/>
          <w:w w:val="105"/>
          <w:sz w:val="21"/>
        </w:rPr>
        <w:t xml:space="preserve"> </w:t>
      </w:r>
      <w:r>
        <w:rPr>
          <w:rFonts w:ascii="Arial"/>
          <w:color w:val="281F2D"/>
          <w:w w:val="105"/>
          <w:sz w:val="21"/>
        </w:rPr>
        <w:t>for</w:t>
      </w:r>
      <w:r>
        <w:rPr>
          <w:rFonts w:ascii="Arial"/>
          <w:color w:val="281F2D"/>
          <w:spacing w:val="40"/>
          <w:w w:val="105"/>
          <w:sz w:val="21"/>
        </w:rPr>
        <w:t xml:space="preserve"> </w:t>
      </w:r>
      <w:r>
        <w:rPr>
          <w:rFonts w:ascii="Arial"/>
          <w:color w:val="281F2D"/>
          <w:w w:val="105"/>
          <w:sz w:val="21"/>
        </w:rPr>
        <w:t>bottled</w:t>
      </w:r>
      <w:r>
        <w:rPr>
          <w:rFonts w:ascii="Arial"/>
          <w:color w:val="281F2D"/>
          <w:spacing w:val="40"/>
          <w:w w:val="105"/>
          <w:sz w:val="21"/>
        </w:rPr>
        <w:t xml:space="preserve"> </w:t>
      </w:r>
      <w:r>
        <w:rPr>
          <w:rFonts w:ascii="Arial"/>
          <w:color w:val="281F2D"/>
          <w:w w:val="105"/>
          <w:sz w:val="21"/>
        </w:rPr>
        <w:t>wine (USD/kl) from the</w:t>
      </w:r>
      <w:r>
        <w:rPr>
          <w:rFonts w:ascii="Arial"/>
          <w:color w:val="281F2D"/>
          <w:spacing w:val="40"/>
          <w:w w:val="105"/>
          <w:sz w:val="21"/>
        </w:rPr>
        <w:t xml:space="preserve"> </w:t>
      </w:r>
      <w:r>
        <w:rPr>
          <w:rFonts w:ascii="Arial"/>
          <w:color w:val="281F2D"/>
          <w:w w:val="105"/>
          <w:sz w:val="21"/>
        </w:rPr>
        <w:t>top</w:t>
      </w:r>
      <w:r>
        <w:rPr>
          <w:rFonts w:ascii="Arial"/>
          <w:color w:val="281F2D"/>
          <w:spacing w:val="40"/>
          <w:w w:val="105"/>
          <w:sz w:val="21"/>
        </w:rPr>
        <w:t xml:space="preserve"> </w:t>
      </w:r>
      <w:r>
        <w:rPr>
          <w:rFonts w:ascii="Arial"/>
          <w:color w:val="281F2D"/>
          <w:w w:val="105"/>
          <w:sz w:val="21"/>
        </w:rPr>
        <w:t xml:space="preserve">four </w:t>
      </w:r>
      <w:r>
        <w:rPr>
          <w:rFonts w:ascii="Arial"/>
          <w:color w:val="162342"/>
          <w:w w:val="105"/>
          <w:sz w:val="21"/>
        </w:rPr>
        <w:t xml:space="preserve">importing </w:t>
      </w:r>
      <w:r>
        <w:rPr>
          <w:rFonts w:ascii="Arial"/>
          <w:color w:val="281F2D"/>
          <w:w w:val="105"/>
          <w:sz w:val="21"/>
        </w:rPr>
        <w:t>co</w:t>
      </w:r>
      <w:r>
        <w:rPr>
          <w:rFonts w:ascii="Arial"/>
          <w:color w:val="030308"/>
          <w:w w:val="105"/>
          <w:sz w:val="21"/>
        </w:rPr>
        <w:t>u</w:t>
      </w:r>
      <w:r>
        <w:rPr>
          <w:rFonts w:ascii="Arial"/>
          <w:color w:val="162342"/>
          <w:w w:val="105"/>
          <w:sz w:val="21"/>
        </w:rPr>
        <w:t>nt</w:t>
      </w:r>
      <w:r>
        <w:rPr>
          <w:rFonts w:ascii="Arial"/>
          <w:color w:val="573624"/>
          <w:w w:val="105"/>
          <w:sz w:val="21"/>
        </w:rPr>
        <w:t>i</w:t>
      </w:r>
      <w:r>
        <w:rPr>
          <w:rFonts w:ascii="Arial"/>
          <w:color w:val="281F2D"/>
          <w:w w:val="105"/>
          <w:sz w:val="21"/>
        </w:rPr>
        <w:t>es (excluding Austral</w:t>
      </w:r>
      <w:r>
        <w:rPr>
          <w:rFonts w:ascii="Arial"/>
          <w:color w:val="573624"/>
          <w:w w:val="105"/>
          <w:sz w:val="21"/>
        </w:rPr>
        <w:t>i</w:t>
      </w:r>
      <w:r>
        <w:rPr>
          <w:rFonts w:ascii="Arial"/>
          <w:color w:val="281F2D"/>
          <w:w w:val="105"/>
          <w:sz w:val="21"/>
        </w:rPr>
        <w:t>a) was not</w:t>
      </w:r>
      <w:r>
        <w:rPr>
          <w:rFonts w:ascii="Arial"/>
          <w:color w:val="281F2D"/>
          <w:spacing w:val="40"/>
          <w:w w:val="105"/>
          <w:sz w:val="21"/>
        </w:rPr>
        <w:t xml:space="preserve"> </w:t>
      </w:r>
      <w:r>
        <w:rPr>
          <w:rFonts w:ascii="Arial"/>
          <w:color w:val="281F2D"/>
          <w:w w:val="105"/>
          <w:sz w:val="21"/>
        </w:rPr>
        <w:t>only s</w:t>
      </w:r>
      <w:r>
        <w:rPr>
          <w:rFonts w:ascii="Arial"/>
          <w:color w:val="573624"/>
          <w:w w:val="105"/>
          <w:sz w:val="21"/>
        </w:rPr>
        <w:t>i</w:t>
      </w:r>
      <w:r>
        <w:rPr>
          <w:rFonts w:ascii="Arial"/>
          <w:color w:val="281F2D"/>
          <w:w w:val="105"/>
          <w:sz w:val="21"/>
        </w:rPr>
        <w:t>gnificantly</w:t>
      </w:r>
      <w:r>
        <w:rPr>
          <w:rFonts w:ascii="Arial"/>
          <w:color w:val="281F2D"/>
          <w:spacing w:val="40"/>
          <w:w w:val="105"/>
          <w:sz w:val="21"/>
        </w:rPr>
        <w:t xml:space="preserve"> </w:t>
      </w:r>
      <w:r>
        <w:rPr>
          <w:rFonts w:ascii="Arial"/>
          <w:color w:val="162342"/>
          <w:w w:val="105"/>
          <w:sz w:val="21"/>
        </w:rPr>
        <w:t xml:space="preserve">lower </w:t>
      </w:r>
      <w:r>
        <w:rPr>
          <w:rFonts w:ascii="Arial"/>
          <w:color w:val="281F2D"/>
          <w:w w:val="105"/>
          <w:sz w:val="21"/>
        </w:rPr>
        <w:t>than</w:t>
      </w:r>
      <w:r>
        <w:rPr>
          <w:rFonts w:ascii="Arial"/>
          <w:color w:val="281F2D"/>
          <w:spacing w:val="-16"/>
          <w:w w:val="105"/>
          <w:sz w:val="21"/>
        </w:rPr>
        <w:t xml:space="preserve"> </w:t>
      </w:r>
      <w:r>
        <w:rPr>
          <w:rFonts w:ascii="Arial"/>
          <w:color w:val="281F2D"/>
          <w:w w:val="105"/>
          <w:sz w:val="21"/>
        </w:rPr>
        <w:t xml:space="preserve">the average </w:t>
      </w:r>
      <w:r>
        <w:rPr>
          <w:rFonts w:ascii="Arial"/>
          <w:color w:val="162342"/>
          <w:w w:val="105"/>
          <w:sz w:val="21"/>
        </w:rPr>
        <w:t xml:space="preserve">unit </w:t>
      </w:r>
      <w:r>
        <w:rPr>
          <w:rFonts w:ascii="Arial"/>
          <w:color w:val="281F2D"/>
          <w:w w:val="105"/>
          <w:sz w:val="21"/>
        </w:rPr>
        <w:t>pr</w:t>
      </w:r>
      <w:r>
        <w:rPr>
          <w:rFonts w:ascii="Arial"/>
          <w:color w:val="573624"/>
          <w:w w:val="105"/>
          <w:sz w:val="21"/>
        </w:rPr>
        <w:t>i</w:t>
      </w:r>
      <w:r>
        <w:rPr>
          <w:rFonts w:ascii="Arial"/>
          <w:color w:val="281F2D"/>
          <w:w w:val="105"/>
          <w:sz w:val="21"/>
        </w:rPr>
        <w:t>ce for</w:t>
      </w:r>
      <w:r>
        <w:rPr>
          <w:rFonts w:ascii="Arial"/>
          <w:color w:val="281F2D"/>
          <w:spacing w:val="40"/>
          <w:w w:val="105"/>
          <w:sz w:val="21"/>
        </w:rPr>
        <w:t xml:space="preserve"> </w:t>
      </w:r>
      <w:r>
        <w:rPr>
          <w:rFonts w:ascii="Arial"/>
          <w:color w:val="281F2D"/>
          <w:w w:val="105"/>
          <w:sz w:val="21"/>
        </w:rPr>
        <w:t>Australian w</w:t>
      </w:r>
      <w:r>
        <w:rPr>
          <w:rFonts w:ascii="Arial"/>
          <w:color w:val="573624"/>
          <w:w w:val="105"/>
          <w:sz w:val="21"/>
        </w:rPr>
        <w:t>i</w:t>
      </w:r>
      <w:r>
        <w:rPr>
          <w:rFonts w:ascii="Arial"/>
          <w:color w:val="281F2D"/>
          <w:w w:val="105"/>
          <w:sz w:val="21"/>
        </w:rPr>
        <w:t>ne (USD/kl) but</w:t>
      </w:r>
      <w:r>
        <w:rPr>
          <w:rFonts w:ascii="Arial"/>
          <w:color w:val="281F2D"/>
          <w:spacing w:val="40"/>
          <w:w w:val="105"/>
          <w:sz w:val="21"/>
        </w:rPr>
        <w:t xml:space="preserve"> </w:t>
      </w:r>
      <w:r>
        <w:rPr>
          <w:rFonts w:ascii="Arial"/>
          <w:color w:val="281F2D"/>
          <w:w w:val="105"/>
          <w:sz w:val="21"/>
        </w:rPr>
        <w:t>also</w:t>
      </w:r>
      <w:r>
        <w:rPr>
          <w:rFonts w:ascii="Arial"/>
          <w:color w:val="281F2D"/>
          <w:spacing w:val="-7"/>
          <w:w w:val="105"/>
          <w:sz w:val="21"/>
        </w:rPr>
        <w:t xml:space="preserve"> </w:t>
      </w:r>
      <w:r>
        <w:rPr>
          <w:rFonts w:ascii="Arial"/>
          <w:color w:val="281F2D"/>
          <w:w w:val="105"/>
          <w:sz w:val="21"/>
        </w:rPr>
        <w:t>lower</w:t>
      </w:r>
      <w:r>
        <w:rPr>
          <w:rFonts w:ascii="Arial"/>
          <w:color w:val="281F2D"/>
          <w:spacing w:val="-7"/>
          <w:w w:val="105"/>
          <w:sz w:val="21"/>
        </w:rPr>
        <w:t xml:space="preserve"> </w:t>
      </w:r>
      <w:r>
        <w:rPr>
          <w:rFonts w:ascii="Arial"/>
          <w:color w:val="281F2D"/>
          <w:w w:val="105"/>
          <w:sz w:val="21"/>
        </w:rPr>
        <w:t>than</w:t>
      </w:r>
      <w:r>
        <w:rPr>
          <w:rFonts w:ascii="Arial"/>
          <w:color w:val="281F2D"/>
          <w:spacing w:val="-6"/>
          <w:w w:val="105"/>
          <w:sz w:val="21"/>
        </w:rPr>
        <w:t xml:space="preserve"> </w:t>
      </w:r>
      <w:r>
        <w:rPr>
          <w:rFonts w:ascii="Arial"/>
          <w:color w:val="281F2D"/>
          <w:w w:val="105"/>
          <w:sz w:val="21"/>
        </w:rPr>
        <w:t xml:space="preserve">the average </w:t>
      </w:r>
      <w:r>
        <w:rPr>
          <w:rFonts w:ascii="Arial"/>
          <w:color w:val="162342"/>
          <w:w w:val="105"/>
          <w:sz w:val="21"/>
        </w:rPr>
        <w:t xml:space="preserve">unit </w:t>
      </w:r>
      <w:r>
        <w:rPr>
          <w:rFonts w:ascii="Arial"/>
          <w:color w:val="281F2D"/>
          <w:w w:val="105"/>
          <w:sz w:val="21"/>
        </w:rPr>
        <w:t>price</w:t>
      </w:r>
      <w:r>
        <w:rPr>
          <w:rFonts w:ascii="Arial"/>
          <w:color w:val="281F2D"/>
          <w:spacing w:val="40"/>
          <w:w w:val="105"/>
          <w:sz w:val="21"/>
        </w:rPr>
        <w:t xml:space="preserve"> </w:t>
      </w:r>
      <w:r>
        <w:rPr>
          <w:rFonts w:ascii="Arial"/>
          <w:color w:val="281F2D"/>
          <w:w w:val="105"/>
          <w:sz w:val="21"/>
        </w:rPr>
        <w:t>of</w:t>
      </w:r>
      <w:r>
        <w:rPr>
          <w:rFonts w:ascii="Arial"/>
          <w:color w:val="281F2D"/>
          <w:spacing w:val="40"/>
          <w:w w:val="105"/>
          <w:sz w:val="21"/>
        </w:rPr>
        <w:t xml:space="preserve"> </w:t>
      </w:r>
      <w:r>
        <w:rPr>
          <w:rFonts w:ascii="Arial"/>
          <w:color w:val="281F2D"/>
          <w:w w:val="105"/>
          <w:sz w:val="21"/>
        </w:rPr>
        <w:t>the</w:t>
      </w:r>
      <w:r>
        <w:rPr>
          <w:rFonts w:ascii="Arial"/>
          <w:color w:val="281F2D"/>
          <w:spacing w:val="40"/>
          <w:w w:val="105"/>
          <w:sz w:val="21"/>
        </w:rPr>
        <w:t xml:space="preserve"> </w:t>
      </w:r>
      <w:r>
        <w:rPr>
          <w:rFonts w:ascii="Arial"/>
          <w:color w:val="281F2D"/>
          <w:w w:val="105"/>
          <w:sz w:val="21"/>
        </w:rPr>
        <w:t>domestic</w:t>
      </w:r>
      <w:r>
        <w:rPr>
          <w:rFonts w:ascii="Arial"/>
          <w:color w:val="281F2D"/>
          <w:spacing w:val="40"/>
          <w:w w:val="105"/>
          <w:sz w:val="21"/>
        </w:rPr>
        <w:t xml:space="preserve"> </w:t>
      </w:r>
      <w:r>
        <w:rPr>
          <w:rFonts w:ascii="Arial"/>
          <w:color w:val="281F2D"/>
          <w:w w:val="105"/>
          <w:sz w:val="21"/>
        </w:rPr>
        <w:t>like</w:t>
      </w:r>
      <w:r>
        <w:rPr>
          <w:rFonts w:ascii="Arial"/>
          <w:color w:val="281F2D"/>
          <w:spacing w:val="40"/>
          <w:w w:val="105"/>
          <w:sz w:val="21"/>
        </w:rPr>
        <w:t xml:space="preserve"> </w:t>
      </w:r>
      <w:r>
        <w:rPr>
          <w:rFonts w:ascii="Arial"/>
          <w:color w:val="281F2D"/>
          <w:w w:val="105"/>
          <w:sz w:val="21"/>
        </w:rPr>
        <w:t>products.</w:t>
      </w:r>
      <w:r>
        <w:rPr>
          <w:rFonts w:ascii="Arial"/>
          <w:color w:val="281F2D"/>
          <w:spacing w:val="40"/>
          <w:w w:val="105"/>
          <w:sz w:val="21"/>
        </w:rPr>
        <w:t xml:space="preserve"> </w:t>
      </w:r>
      <w:r>
        <w:rPr>
          <w:rFonts w:ascii="Arial"/>
          <w:color w:val="281F2D"/>
          <w:w w:val="105"/>
          <w:sz w:val="21"/>
        </w:rPr>
        <w:t>Figure</w:t>
      </w:r>
      <w:r>
        <w:rPr>
          <w:rFonts w:ascii="Arial"/>
          <w:color w:val="281F2D"/>
          <w:spacing w:val="40"/>
          <w:w w:val="105"/>
          <w:sz w:val="21"/>
        </w:rPr>
        <w:t xml:space="preserve"> </w:t>
      </w:r>
      <w:r>
        <w:rPr>
          <w:rFonts w:ascii="Arial"/>
          <w:color w:val="281F2D"/>
          <w:w w:val="105"/>
          <w:sz w:val="21"/>
        </w:rPr>
        <w:t>4</w:t>
      </w:r>
      <w:r>
        <w:rPr>
          <w:rFonts w:ascii="Arial"/>
          <w:color w:val="281F2D"/>
          <w:spacing w:val="40"/>
          <w:w w:val="105"/>
          <w:sz w:val="21"/>
        </w:rPr>
        <w:t xml:space="preserve"> </w:t>
      </w:r>
      <w:r>
        <w:rPr>
          <w:rFonts w:ascii="Arial"/>
          <w:color w:val="281F2D"/>
          <w:w w:val="105"/>
          <w:sz w:val="21"/>
        </w:rPr>
        <w:t>below</w:t>
      </w:r>
      <w:r>
        <w:rPr>
          <w:rFonts w:ascii="Arial"/>
          <w:color w:val="281F2D"/>
          <w:spacing w:val="40"/>
          <w:w w:val="105"/>
          <w:sz w:val="21"/>
        </w:rPr>
        <w:t xml:space="preserve"> </w:t>
      </w:r>
      <w:r>
        <w:rPr>
          <w:rFonts w:ascii="Arial"/>
          <w:color w:val="281F2D"/>
          <w:w w:val="105"/>
          <w:sz w:val="21"/>
        </w:rPr>
        <w:t>shows</w:t>
      </w:r>
      <w:r>
        <w:rPr>
          <w:rFonts w:ascii="Arial"/>
          <w:color w:val="281F2D"/>
          <w:spacing w:val="40"/>
          <w:w w:val="105"/>
          <w:sz w:val="21"/>
        </w:rPr>
        <w:t xml:space="preserve"> </w:t>
      </w:r>
      <w:r>
        <w:rPr>
          <w:rFonts w:ascii="Arial"/>
          <w:color w:val="281F2D"/>
          <w:w w:val="105"/>
          <w:sz w:val="21"/>
        </w:rPr>
        <w:t>that, the average</w:t>
      </w:r>
      <w:r>
        <w:rPr>
          <w:rFonts w:ascii="Arial"/>
          <w:color w:val="281F2D"/>
          <w:spacing w:val="40"/>
          <w:w w:val="105"/>
          <w:sz w:val="21"/>
        </w:rPr>
        <w:t xml:space="preserve"> </w:t>
      </w:r>
      <w:r>
        <w:rPr>
          <w:rFonts w:ascii="Arial"/>
          <w:color w:val="281F2D"/>
          <w:w w:val="105"/>
          <w:sz w:val="21"/>
        </w:rPr>
        <w:t>pr</w:t>
      </w:r>
      <w:r>
        <w:rPr>
          <w:rFonts w:ascii="Arial"/>
          <w:color w:val="573624"/>
          <w:w w:val="105"/>
          <w:sz w:val="21"/>
        </w:rPr>
        <w:t>i</w:t>
      </w:r>
      <w:r>
        <w:rPr>
          <w:rFonts w:ascii="Arial"/>
          <w:color w:val="281F2D"/>
          <w:w w:val="105"/>
          <w:sz w:val="21"/>
        </w:rPr>
        <w:t xml:space="preserve">ces of </w:t>
      </w:r>
      <w:r>
        <w:rPr>
          <w:rFonts w:ascii="Arial"/>
          <w:color w:val="162342"/>
          <w:w w:val="105"/>
          <w:sz w:val="21"/>
        </w:rPr>
        <w:t>French</w:t>
      </w:r>
      <w:r>
        <w:rPr>
          <w:rFonts w:ascii="Arial"/>
          <w:color w:val="162342"/>
          <w:spacing w:val="-4"/>
          <w:w w:val="105"/>
          <w:sz w:val="21"/>
        </w:rPr>
        <w:t xml:space="preserve"> </w:t>
      </w:r>
      <w:r>
        <w:rPr>
          <w:rFonts w:ascii="Arial"/>
          <w:color w:val="281F2D"/>
          <w:w w:val="105"/>
          <w:sz w:val="21"/>
        </w:rPr>
        <w:t>wine</w:t>
      </w:r>
      <w:r>
        <w:rPr>
          <w:rFonts w:ascii="Arial"/>
          <w:color w:val="281F2D"/>
          <w:spacing w:val="-8"/>
          <w:w w:val="105"/>
          <w:sz w:val="21"/>
        </w:rPr>
        <w:t xml:space="preserve"> </w:t>
      </w:r>
      <w:r>
        <w:rPr>
          <w:rFonts w:ascii="Arial"/>
          <w:color w:val="573624"/>
          <w:w w:val="105"/>
          <w:sz w:val="21"/>
        </w:rPr>
        <w:t>i</w:t>
      </w:r>
      <w:r>
        <w:rPr>
          <w:rFonts w:ascii="Arial"/>
          <w:color w:val="281F2D"/>
          <w:w w:val="105"/>
          <w:sz w:val="21"/>
        </w:rPr>
        <w:t>mports</w:t>
      </w:r>
      <w:r>
        <w:rPr>
          <w:rFonts w:ascii="Arial"/>
          <w:color w:val="281F2D"/>
          <w:spacing w:val="-16"/>
          <w:w w:val="105"/>
          <w:sz w:val="21"/>
        </w:rPr>
        <w:t xml:space="preserve"> </w:t>
      </w:r>
      <w:r>
        <w:rPr>
          <w:rFonts w:ascii="Arial"/>
          <w:color w:val="281F2D"/>
          <w:w w:val="105"/>
          <w:sz w:val="21"/>
        </w:rPr>
        <w:t>were</w:t>
      </w:r>
      <w:r>
        <w:rPr>
          <w:rFonts w:ascii="Arial"/>
          <w:color w:val="281F2D"/>
          <w:spacing w:val="-6"/>
          <w:w w:val="105"/>
          <w:sz w:val="21"/>
        </w:rPr>
        <w:t xml:space="preserve"> </w:t>
      </w:r>
      <w:r>
        <w:rPr>
          <w:rFonts w:ascii="Arial"/>
          <w:color w:val="281F2D"/>
          <w:w w:val="105"/>
          <w:sz w:val="21"/>
        </w:rPr>
        <w:t>very</w:t>
      </w:r>
      <w:r>
        <w:rPr>
          <w:rFonts w:ascii="Arial"/>
          <w:color w:val="281F2D"/>
          <w:spacing w:val="-3"/>
          <w:w w:val="105"/>
          <w:sz w:val="21"/>
        </w:rPr>
        <w:t xml:space="preserve"> </w:t>
      </w:r>
      <w:r>
        <w:rPr>
          <w:rFonts w:ascii="Arial"/>
          <w:color w:val="281F2D"/>
          <w:w w:val="105"/>
          <w:sz w:val="21"/>
        </w:rPr>
        <w:t>s</w:t>
      </w:r>
      <w:r>
        <w:rPr>
          <w:rFonts w:ascii="Arial"/>
          <w:color w:val="573624"/>
          <w:w w:val="105"/>
          <w:sz w:val="21"/>
        </w:rPr>
        <w:t>i</w:t>
      </w:r>
      <w:r>
        <w:rPr>
          <w:rFonts w:ascii="Arial"/>
          <w:color w:val="281F2D"/>
          <w:w w:val="105"/>
          <w:sz w:val="21"/>
        </w:rPr>
        <w:t>mi</w:t>
      </w:r>
      <w:r>
        <w:rPr>
          <w:rFonts w:ascii="Arial"/>
          <w:color w:val="573624"/>
          <w:w w:val="105"/>
          <w:sz w:val="21"/>
        </w:rPr>
        <w:t>l</w:t>
      </w:r>
      <w:r>
        <w:rPr>
          <w:rFonts w:ascii="Arial"/>
          <w:color w:val="281F2D"/>
          <w:w w:val="105"/>
          <w:sz w:val="21"/>
        </w:rPr>
        <w:t>ar</w:t>
      </w:r>
      <w:r>
        <w:rPr>
          <w:rFonts w:ascii="Arial"/>
          <w:color w:val="281F2D"/>
          <w:spacing w:val="-5"/>
          <w:w w:val="105"/>
          <w:sz w:val="21"/>
        </w:rPr>
        <w:t xml:space="preserve"> </w:t>
      </w:r>
      <w:r>
        <w:rPr>
          <w:rFonts w:ascii="Arial"/>
          <w:color w:val="281F2D"/>
          <w:w w:val="105"/>
          <w:sz w:val="21"/>
        </w:rPr>
        <w:t>to</w:t>
      </w:r>
      <w:r>
        <w:rPr>
          <w:rFonts w:ascii="Arial"/>
          <w:color w:val="281F2D"/>
          <w:spacing w:val="22"/>
          <w:w w:val="105"/>
          <w:sz w:val="21"/>
        </w:rPr>
        <w:t xml:space="preserve"> </w:t>
      </w:r>
      <w:r>
        <w:rPr>
          <w:rFonts w:ascii="Arial"/>
          <w:color w:val="281F2D"/>
          <w:w w:val="105"/>
          <w:sz w:val="21"/>
        </w:rPr>
        <w:t>the average</w:t>
      </w:r>
      <w:r>
        <w:rPr>
          <w:rFonts w:ascii="Arial"/>
          <w:color w:val="281F2D"/>
          <w:spacing w:val="-3"/>
          <w:w w:val="105"/>
          <w:sz w:val="21"/>
        </w:rPr>
        <w:t xml:space="preserve"> </w:t>
      </w:r>
      <w:r>
        <w:rPr>
          <w:rFonts w:ascii="Arial"/>
          <w:color w:val="281F2D"/>
          <w:w w:val="105"/>
          <w:sz w:val="21"/>
        </w:rPr>
        <w:t>prices</w:t>
      </w:r>
      <w:r>
        <w:rPr>
          <w:rFonts w:ascii="Arial"/>
          <w:color w:val="281F2D"/>
          <w:spacing w:val="-9"/>
          <w:w w:val="105"/>
          <w:sz w:val="21"/>
        </w:rPr>
        <w:t xml:space="preserve"> </w:t>
      </w:r>
      <w:r>
        <w:rPr>
          <w:rFonts w:ascii="Arial"/>
          <w:color w:val="281F2D"/>
          <w:w w:val="105"/>
          <w:sz w:val="21"/>
        </w:rPr>
        <w:t>of</w:t>
      </w:r>
      <w:r>
        <w:rPr>
          <w:rFonts w:ascii="Arial"/>
          <w:color w:val="281F2D"/>
          <w:spacing w:val="19"/>
          <w:w w:val="105"/>
          <w:sz w:val="21"/>
        </w:rPr>
        <w:t xml:space="preserve"> </w:t>
      </w:r>
      <w:r>
        <w:rPr>
          <w:rFonts w:ascii="Arial"/>
          <w:color w:val="281F2D"/>
          <w:w w:val="105"/>
          <w:sz w:val="21"/>
        </w:rPr>
        <w:t>domestic like</w:t>
      </w:r>
      <w:r>
        <w:rPr>
          <w:rFonts w:ascii="Arial"/>
          <w:color w:val="281F2D"/>
          <w:spacing w:val="-15"/>
          <w:w w:val="105"/>
          <w:sz w:val="21"/>
        </w:rPr>
        <w:t xml:space="preserve"> </w:t>
      </w:r>
      <w:r>
        <w:rPr>
          <w:rFonts w:ascii="Arial"/>
          <w:color w:val="281F2D"/>
          <w:w w:val="105"/>
          <w:sz w:val="21"/>
        </w:rPr>
        <w:t>prod</w:t>
      </w:r>
      <w:r>
        <w:rPr>
          <w:rFonts w:ascii="Arial"/>
          <w:color w:val="030308"/>
          <w:w w:val="105"/>
          <w:sz w:val="21"/>
        </w:rPr>
        <w:t>u</w:t>
      </w:r>
      <w:r>
        <w:rPr>
          <w:rFonts w:ascii="Arial"/>
          <w:color w:val="281F2D"/>
          <w:w w:val="105"/>
          <w:sz w:val="21"/>
        </w:rPr>
        <w:t>cts</w:t>
      </w:r>
      <w:r>
        <w:rPr>
          <w:rFonts w:ascii="Arial"/>
          <w:color w:val="281F2D"/>
          <w:spacing w:val="-16"/>
          <w:w w:val="105"/>
          <w:sz w:val="21"/>
        </w:rPr>
        <w:t xml:space="preserve"> </w:t>
      </w:r>
      <w:r>
        <w:rPr>
          <w:rFonts w:ascii="Arial"/>
          <w:color w:val="412823"/>
          <w:w w:val="105"/>
          <w:sz w:val="21"/>
        </w:rPr>
        <w:t xml:space="preserve">in </w:t>
      </w:r>
      <w:r>
        <w:rPr>
          <w:rFonts w:ascii="Arial"/>
          <w:color w:val="281F2D"/>
          <w:w w:val="105"/>
          <w:sz w:val="21"/>
        </w:rPr>
        <w:t>2015 and 2016 (USD/kl),</w:t>
      </w:r>
      <w:r>
        <w:rPr>
          <w:rFonts w:ascii="Arial"/>
          <w:color w:val="281F2D"/>
          <w:spacing w:val="-2"/>
          <w:w w:val="105"/>
          <w:sz w:val="21"/>
        </w:rPr>
        <w:t xml:space="preserve"> </w:t>
      </w:r>
      <w:r>
        <w:rPr>
          <w:rFonts w:ascii="Arial"/>
          <w:color w:val="281F2D"/>
          <w:w w:val="105"/>
          <w:sz w:val="21"/>
        </w:rPr>
        <w:t>but</w:t>
      </w:r>
      <w:r>
        <w:rPr>
          <w:rFonts w:ascii="Arial"/>
          <w:color w:val="281F2D"/>
          <w:spacing w:val="40"/>
          <w:w w:val="105"/>
          <w:sz w:val="21"/>
        </w:rPr>
        <w:t xml:space="preserve"> </w:t>
      </w:r>
      <w:r>
        <w:rPr>
          <w:rFonts w:ascii="Arial"/>
          <w:color w:val="281F2D"/>
          <w:w w:val="105"/>
          <w:sz w:val="21"/>
        </w:rPr>
        <w:t>lower than the average prices</w:t>
      </w:r>
      <w:r>
        <w:rPr>
          <w:rFonts w:ascii="Arial"/>
          <w:color w:val="281F2D"/>
          <w:spacing w:val="-2"/>
          <w:w w:val="105"/>
          <w:sz w:val="21"/>
        </w:rPr>
        <w:t xml:space="preserve"> </w:t>
      </w:r>
      <w:r>
        <w:rPr>
          <w:rFonts w:ascii="Arial"/>
          <w:color w:val="281F2D"/>
          <w:w w:val="105"/>
          <w:sz w:val="21"/>
        </w:rPr>
        <w:t xml:space="preserve">of domestic like products </w:t>
      </w:r>
      <w:r>
        <w:rPr>
          <w:rFonts w:ascii="Arial"/>
          <w:color w:val="162342"/>
          <w:w w:val="105"/>
          <w:sz w:val="21"/>
        </w:rPr>
        <w:t xml:space="preserve">in </w:t>
      </w:r>
      <w:r>
        <w:rPr>
          <w:rFonts w:ascii="Arial"/>
          <w:color w:val="281F2D"/>
          <w:w w:val="105"/>
          <w:sz w:val="21"/>
        </w:rPr>
        <w:t>2017</w:t>
      </w:r>
      <w:r>
        <w:rPr>
          <w:rFonts w:ascii="Arial"/>
          <w:color w:val="281F2D"/>
          <w:spacing w:val="-7"/>
          <w:w w:val="105"/>
          <w:sz w:val="21"/>
        </w:rPr>
        <w:t xml:space="preserve"> </w:t>
      </w:r>
      <w:r>
        <w:rPr>
          <w:rFonts w:ascii="Arial"/>
          <w:color w:val="281F2D"/>
          <w:w w:val="105"/>
          <w:sz w:val="21"/>
        </w:rPr>
        <w:t>and 2019</w:t>
      </w:r>
      <w:r>
        <w:rPr>
          <w:rFonts w:ascii="Arial"/>
          <w:color w:val="343446"/>
          <w:w w:val="105"/>
          <w:sz w:val="21"/>
        </w:rPr>
        <w:t xml:space="preserve">. </w:t>
      </w:r>
      <w:r>
        <w:rPr>
          <w:rFonts w:ascii="Arial"/>
          <w:color w:val="281F2D"/>
          <w:w w:val="105"/>
          <w:sz w:val="21"/>
        </w:rPr>
        <w:t>The average pr</w:t>
      </w:r>
      <w:r>
        <w:rPr>
          <w:rFonts w:ascii="Arial"/>
          <w:color w:val="573624"/>
          <w:w w:val="105"/>
          <w:sz w:val="21"/>
        </w:rPr>
        <w:t>i</w:t>
      </w:r>
      <w:r>
        <w:rPr>
          <w:rFonts w:ascii="Arial"/>
          <w:color w:val="281F2D"/>
          <w:w w:val="105"/>
          <w:sz w:val="21"/>
        </w:rPr>
        <w:t xml:space="preserve">ces of </w:t>
      </w:r>
      <w:r>
        <w:rPr>
          <w:rFonts w:ascii="Arial"/>
          <w:color w:val="162342"/>
          <w:w w:val="105"/>
          <w:sz w:val="21"/>
        </w:rPr>
        <w:t>Ital</w:t>
      </w:r>
      <w:r>
        <w:rPr>
          <w:rFonts w:ascii="Arial"/>
          <w:color w:val="573624"/>
          <w:w w:val="105"/>
          <w:sz w:val="21"/>
        </w:rPr>
        <w:t>i</w:t>
      </w:r>
      <w:r>
        <w:rPr>
          <w:rFonts w:ascii="Arial"/>
          <w:color w:val="281F2D"/>
          <w:w w:val="105"/>
          <w:sz w:val="21"/>
        </w:rPr>
        <w:t xml:space="preserve">an wine </w:t>
      </w:r>
      <w:r>
        <w:rPr>
          <w:rFonts w:ascii="Arial"/>
          <w:color w:val="162342"/>
          <w:w w:val="105"/>
          <w:sz w:val="21"/>
        </w:rPr>
        <w:t xml:space="preserve">imports </w:t>
      </w:r>
      <w:r>
        <w:rPr>
          <w:rFonts w:ascii="Arial"/>
          <w:color w:val="281F2D"/>
          <w:w w:val="105"/>
          <w:sz w:val="21"/>
        </w:rPr>
        <w:t>were consistent</w:t>
      </w:r>
      <w:r>
        <w:rPr>
          <w:rFonts w:ascii="Arial"/>
          <w:color w:val="573624"/>
          <w:w w:val="105"/>
          <w:sz w:val="21"/>
        </w:rPr>
        <w:t>l</w:t>
      </w:r>
      <w:r>
        <w:rPr>
          <w:rFonts w:ascii="Arial"/>
          <w:color w:val="281F2D"/>
          <w:w w:val="105"/>
          <w:sz w:val="21"/>
        </w:rPr>
        <w:t>y lower than the pr</w:t>
      </w:r>
      <w:r>
        <w:rPr>
          <w:rFonts w:ascii="Arial"/>
          <w:color w:val="573624"/>
          <w:w w:val="105"/>
          <w:sz w:val="21"/>
        </w:rPr>
        <w:t>i</w:t>
      </w:r>
      <w:r>
        <w:rPr>
          <w:rFonts w:ascii="Arial"/>
          <w:color w:val="281F2D"/>
          <w:w w:val="105"/>
          <w:sz w:val="21"/>
        </w:rPr>
        <w:t>ces</w:t>
      </w:r>
      <w:r>
        <w:rPr>
          <w:rFonts w:ascii="Arial"/>
          <w:color w:val="281F2D"/>
          <w:spacing w:val="-1"/>
          <w:w w:val="105"/>
          <w:sz w:val="21"/>
        </w:rPr>
        <w:t xml:space="preserve"> </w:t>
      </w:r>
      <w:r>
        <w:rPr>
          <w:rFonts w:ascii="Arial"/>
          <w:color w:val="281F2D"/>
          <w:w w:val="105"/>
          <w:sz w:val="21"/>
        </w:rPr>
        <w:t>of domestic like</w:t>
      </w:r>
      <w:r>
        <w:rPr>
          <w:rFonts w:ascii="Arial"/>
          <w:color w:val="281F2D"/>
          <w:spacing w:val="-16"/>
          <w:w w:val="105"/>
          <w:sz w:val="21"/>
        </w:rPr>
        <w:t xml:space="preserve"> </w:t>
      </w:r>
      <w:r>
        <w:rPr>
          <w:rFonts w:ascii="Arial"/>
          <w:color w:val="281F2D"/>
          <w:w w:val="105"/>
          <w:sz w:val="21"/>
        </w:rPr>
        <w:t>products. The</w:t>
      </w:r>
      <w:r>
        <w:rPr>
          <w:rFonts w:ascii="Arial"/>
          <w:color w:val="281F2D"/>
          <w:spacing w:val="-3"/>
          <w:w w:val="105"/>
          <w:sz w:val="21"/>
        </w:rPr>
        <w:t xml:space="preserve"> </w:t>
      </w:r>
      <w:r>
        <w:rPr>
          <w:rFonts w:ascii="Arial"/>
          <w:color w:val="281F2D"/>
          <w:w w:val="105"/>
          <w:sz w:val="21"/>
        </w:rPr>
        <w:t>average prices of</w:t>
      </w:r>
      <w:r>
        <w:rPr>
          <w:rFonts w:ascii="Arial"/>
          <w:color w:val="281F2D"/>
          <w:spacing w:val="19"/>
          <w:w w:val="105"/>
          <w:sz w:val="21"/>
        </w:rPr>
        <w:t xml:space="preserve"> </w:t>
      </w:r>
      <w:r>
        <w:rPr>
          <w:rFonts w:ascii="Arial"/>
          <w:color w:val="162342"/>
          <w:w w:val="105"/>
          <w:sz w:val="21"/>
        </w:rPr>
        <w:t>impo</w:t>
      </w:r>
      <w:r>
        <w:rPr>
          <w:rFonts w:ascii="Arial"/>
          <w:color w:val="412823"/>
          <w:w w:val="105"/>
          <w:sz w:val="21"/>
        </w:rPr>
        <w:t>rts</w:t>
      </w:r>
      <w:r>
        <w:rPr>
          <w:rFonts w:ascii="Arial"/>
          <w:color w:val="412823"/>
          <w:spacing w:val="-16"/>
          <w:w w:val="105"/>
          <w:sz w:val="21"/>
        </w:rPr>
        <w:t xml:space="preserve"> </w:t>
      </w:r>
      <w:r>
        <w:rPr>
          <w:rFonts w:ascii="Arial"/>
          <w:color w:val="281F2D"/>
          <w:w w:val="105"/>
          <w:sz w:val="21"/>
        </w:rPr>
        <w:t>from Chile and</w:t>
      </w:r>
      <w:r>
        <w:rPr>
          <w:rFonts w:ascii="Arial"/>
          <w:color w:val="281F2D"/>
          <w:spacing w:val="-5"/>
          <w:w w:val="105"/>
          <w:sz w:val="21"/>
        </w:rPr>
        <w:t xml:space="preserve"> </w:t>
      </w:r>
      <w:r>
        <w:rPr>
          <w:rFonts w:ascii="Arial"/>
          <w:color w:val="281F2D"/>
          <w:w w:val="105"/>
          <w:sz w:val="21"/>
        </w:rPr>
        <w:t>Spain were</w:t>
      </w:r>
      <w:r>
        <w:rPr>
          <w:rFonts w:ascii="Arial"/>
          <w:color w:val="281F2D"/>
          <w:spacing w:val="-15"/>
          <w:w w:val="105"/>
          <w:sz w:val="21"/>
        </w:rPr>
        <w:t xml:space="preserve"> </w:t>
      </w:r>
      <w:r>
        <w:rPr>
          <w:rFonts w:ascii="Arial"/>
          <w:color w:val="281F2D"/>
          <w:w w:val="105"/>
          <w:sz w:val="21"/>
        </w:rPr>
        <w:t>cons</w:t>
      </w:r>
      <w:r>
        <w:rPr>
          <w:rFonts w:ascii="Arial"/>
          <w:color w:val="573624"/>
          <w:w w:val="105"/>
          <w:sz w:val="21"/>
        </w:rPr>
        <w:t>i</w:t>
      </w:r>
      <w:r>
        <w:rPr>
          <w:rFonts w:ascii="Arial"/>
          <w:color w:val="281F2D"/>
          <w:w w:val="105"/>
          <w:sz w:val="21"/>
        </w:rPr>
        <w:t xml:space="preserve">stently </w:t>
      </w:r>
      <w:r>
        <w:rPr>
          <w:rFonts w:ascii="Times New Roman"/>
          <w:i/>
          <w:color w:val="281F2D"/>
          <w:w w:val="105"/>
        </w:rPr>
        <w:t>significantly</w:t>
      </w:r>
      <w:r>
        <w:rPr>
          <w:rFonts w:ascii="Times New Roman"/>
          <w:i/>
          <w:color w:val="281F2D"/>
          <w:spacing w:val="20"/>
          <w:w w:val="105"/>
        </w:rPr>
        <w:t xml:space="preserve"> </w:t>
      </w:r>
      <w:r>
        <w:rPr>
          <w:rFonts w:ascii="Arial"/>
          <w:color w:val="281F2D"/>
          <w:w w:val="105"/>
          <w:sz w:val="21"/>
        </w:rPr>
        <w:t>lower than the average prices</w:t>
      </w:r>
      <w:r>
        <w:rPr>
          <w:rFonts w:ascii="Arial"/>
          <w:color w:val="281F2D"/>
          <w:spacing w:val="-3"/>
          <w:w w:val="105"/>
          <w:sz w:val="21"/>
        </w:rPr>
        <w:t xml:space="preserve"> </w:t>
      </w:r>
      <w:r>
        <w:rPr>
          <w:rFonts w:ascii="Arial"/>
          <w:color w:val="281F2D"/>
          <w:w w:val="105"/>
          <w:sz w:val="21"/>
        </w:rPr>
        <w:t>of</w:t>
      </w:r>
      <w:r>
        <w:rPr>
          <w:rFonts w:ascii="Arial"/>
          <w:color w:val="281F2D"/>
          <w:spacing w:val="23"/>
          <w:w w:val="105"/>
          <w:sz w:val="21"/>
        </w:rPr>
        <w:t xml:space="preserve"> </w:t>
      </w:r>
      <w:r>
        <w:rPr>
          <w:rFonts w:ascii="Arial"/>
          <w:color w:val="281F2D"/>
          <w:w w:val="105"/>
          <w:sz w:val="21"/>
        </w:rPr>
        <w:t>the</w:t>
      </w:r>
      <w:r>
        <w:rPr>
          <w:rFonts w:ascii="Arial"/>
          <w:color w:val="281F2D"/>
          <w:spacing w:val="33"/>
          <w:w w:val="105"/>
          <w:sz w:val="21"/>
        </w:rPr>
        <w:t xml:space="preserve"> </w:t>
      </w:r>
      <w:r>
        <w:rPr>
          <w:rFonts w:ascii="Arial"/>
          <w:color w:val="281F2D"/>
          <w:w w:val="105"/>
          <w:sz w:val="21"/>
        </w:rPr>
        <w:t>domestic like products. This</w:t>
      </w:r>
      <w:r>
        <w:rPr>
          <w:rFonts w:ascii="Arial"/>
          <w:color w:val="281F2D"/>
          <w:spacing w:val="-3"/>
          <w:w w:val="105"/>
          <w:sz w:val="21"/>
        </w:rPr>
        <w:t xml:space="preserve"> </w:t>
      </w:r>
      <w:r>
        <w:rPr>
          <w:rFonts w:ascii="Arial"/>
          <w:color w:val="281F2D"/>
          <w:w w:val="105"/>
          <w:sz w:val="21"/>
        </w:rPr>
        <w:t>data suggests</w:t>
      </w:r>
    </w:p>
    <w:p w14:paraId="51DE92B8" w14:textId="77777777" w:rsidR="0010369C" w:rsidRDefault="0010369C">
      <w:pPr>
        <w:pStyle w:val="BodyText"/>
        <w:rPr>
          <w:rFonts w:ascii="Arial"/>
          <w:sz w:val="20"/>
        </w:rPr>
      </w:pPr>
    </w:p>
    <w:p w14:paraId="51DE92B9" w14:textId="77777777" w:rsidR="0010369C" w:rsidRDefault="0010369C">
      <w:pPr>
        <w:pStyle w:val="BodyText"/>
        <w:rPr>
          <w:rFonts w:ascii="Arial"/>
          <w:sz w:val="20"/>
        </w:rPr>
      </w:pPr>
    </w:p>
    <w:p w14:paraId="51DE92BA" w14:textId="77777777" w:rsidR="0010369C" w:rsidRDefault="0010369C">
      <w:pPr>
        <w:pStyle w:val="BodyText"/>
        <w:rPr>
          <w:rFonts w:ascii="Arial"/>
          <w:sz w:val="20"/>
        </w:rPr>
      </w:pPr>
    </w:p>
    <w:p w14:paraId="51DE92BB" w14:textId="77777777" w:rsidR="0010369C" w:rsidRDefault="008E43AE">
      <w:pPr>
        <w:pStyle w:val="BodyText"/>
        <w:spacing w:before="3"/>
        <w:rPr>
          <w:rFonts w:ascii="Arial"/>
          <w:sz w:val="10"/>
        </w:rPr>
      </w:pPr>
      <w:r>
        <w:pict w14:anchorId="51DEA5CB">
          <v:shape id="docshape1173" o:spid="_x0000_s1226" style="position:absolute;margin-left:70.25pt;margin-top:7.1pt;width:145.5pt;height:.1pt;z-index:-250778112;mso-wrap-distance-left:0;mso-wrap-distance-right:0;mso-position-horizontal-relative:page" coordorigin="1405,142" coordsize="2910,0" path="m1405,142r2909,e" filled="f" strokeweight=".53042mm">
            <v:path arrowok="t"/>
            <w10:wrap type="topAndBottom" anchorx="page"/>
          </v:shape>
        </w:pict>
      </w:r>
    </w:p>
    <w:p w14:paraId="51DE92BC" w14:textId="77777777" w:rsidR="0010369C" w:rsidRDefault="008E43AE">
      <w:pPr>
        <w:spacing w:before="112" w:line="300" w:lineRule="auto"/>
        <w:ind w:left="234" w:right="575" w:firstLine="5"/>
        <w:jc w:val="both"/>
        <w:rPr>
          <w:rFonts w:ascii="Arial"/>
          <w:sz w:val="16"/>
        </w:rPr>
      </w:pPr>
      <w:r>
        <w:rPr>
          <w:rFonts w:ascii="Arial"/>
          <w:color w:val="343446"/>
          <w:spacing w:val="-2"/>
          <w:w w:val="105"/>
          <w:position w:val="5"/>
          <w:sz w:val="11"/>
        </w:rPr>
        <w:t>846</w:t>
      </w:r>
      <w:r>
        <w:rPr>
          <w:rFonts w:ascii="Arial"/>
          <w:color w:val="343446"/>
          <w:spacing w:val="-7"/>
          <w:w w:val="105"/>
          <w:position w:val="5"/>
          <w:sz w:val="11"/>
        </w:rPr>
        <w:t xml:space="preserve"> </w:t>
      </w:r>
      <w:r>
        <w:rPr>
          <w:rFonts w:ascii="Arial"/>
          <w:color w:val="281F2D"/>
          <w:spacing w:val="-2"/>
          <w:w w:val="105"/>
          <w:sz w:val="16"/>
        </w:rPr>
        <w:t>This</w:t>
      </w:r>
      <w:r>
        <w:rPr>
          <w:rFonts w:ascii="Arial"/>
          <w:color w:val="281F2D"/>
          <w:spacing w:val="-9"/>
          <w:w w:val="105"/>
          <w:sz w:val="16"/>
        </w:rPr>
        <w:t xml:space="preserve"> </w:t>
      </w:r>
      <w:r>
        <w:rPr>
          <w:rFonts w:ascii="Arial"/>
          <w:color w:val="281F2D"/>
          <w:spacing w:val="-2"/>
          <w:w w:val="105"/>
          <w:sz w:val="16"/>
        </w:rPr>
        <w:t>Figure</w:t>
      </w:r>
      <w:r>
        <w:rPr>
          <w:rFonts w:ascii="Arial"/>
          <w:color w:val="281F2D"/>
          <w:spacing w:val="-10"/>
          <w:w w:val="105"/>
          <w:sz w:val="16"/>
        </w:rPr>
        <w:t xml:space="preserve"> </w:t>
      </w:r>
      <w:r>
        <w:rPr>
          <w:rFonts w:ascii="Arial"/>
          <w:color w:val="281F2D"/>
          <w:spacing w:val="-2"/>
          <w:w w:val="105"/>
          <w:sz w:val="16"/>
        </w:rPr>
        <w:t>is</w:t>
      </w:r>
      <w:r>
        <w:rPr>
          <w:rFonts w:ascii="Arial"/>
          <w:color w:val="281F2D"/>
          <w:spacing w:val="-10"/>
          <w:w w:val="105"/>
          <w:sz w:val="16"/>
        </w:rPr>
        <w:t xml:space="preserve"> </w:t>
      </w:r>
      <w:r>
        <w:rPr>
          <w:rFonts w:ascii="Arial"/>
          <w:color w:val="281F2D"/>
          <w:spacing w:val="-2"/>
          <w:w w:val="105"/>
          <w:sz w:val="16"/>
        </w:rPr>
        <w:t>generated</w:t>
      </w:r>
      <w:r>
        <w:rPr>
          <w:rFonts w:ascii="Arial"/>
          <w:color w:val="281F2D"/>
          <w:spacing w:val="-9"/>
          <w:w w:val="105"/>
          <w:sz w:val="16"/>
        </w:rPr>
        <w:t xml:space="preserve"> </w:t>
      </w:r>
      <w:r>
        <w:rPr>
          <w:rFonts w:ascii="Arial"/>
          <w:color w:val="162342"/>
          <w:spacing w:val="-2"/>
          <w:w w:val="105"/>
          <w:sz w:val="16"/>
        </w:rPr>
        <w:t>using</w:t>
      </w:r>
      <w:r>
        <w:rPr>
          <w:rFonts w:ascii="Arial"/>
          <w:color w:val="162342"/>
          <w:spacing w:val="-7"/>
          <w:w w:val="105"/>
          <w:sz w:val="16"/>
        </w:rPr>
        <w:t xml:space="preserve"> </w:t>
      </w:r>
      <w:r>
        <w:rPr>
          <w:rFonts w:ascii="Arial"/>
          <w:color w:val="281F2D"/>
          <w:spacing w:val="-2"/>
          <w:w w:val="105"/>
          <w:sz w:val="16"/>
        </w:rPr>
        <w:t>the</w:t>
      </w:r>
      <w:r>
        <w:rPr>
          <w:rFonts w:ascii="Arial"/>
          <w:color w:val="281F2D"/>
          <w:spacing w:val="20"/>
          <w:w w:val="105"/>
          <w:sz w:val="16"/>
        </w:rPr>
        <w:t xml:space="preserve"> </w:t>
      </w:r>
      <w:r>
        <w:rPr>
          <w:rFonts w:ascii="Arial"/>
          <w:color w:val="281F2D"/>
          <w:spacing w:val="-2"/>
          <w:w w:val="105"/>
          <w:sz w:val="16"/>
        </w:rPr>
        <w:t>fo</w:t>
      </w:r>
      <w:r>
        <w:rPr>
          <w:rFonts w:ascii="Arial"/>
          <w:color w:val="030308"/>
          <w:spacing w:val="-2"/>
          <w:w w:val="105"/>
          <w:sz w:val="16"/>
        </w:rPr>
        <w:t>ll</w:t>
      </w:r>
      <w:r>
        <w:rPr>
          <w:rFonts w:ascii="Arial"/>
          <w:color w:val="281F2D"/>
          <w:spacing w:val="-2"/>
          <w:w w:val="105"/>
          <w:sz w:val="16"/>
        </w:rPr>
        <w:t>owing dat</w:t>
      </w:r>
      <w:r>
        <w:rPr>
          <w:rFonts w:ascii="Arial"/>
          <w:color w:val="343446"/>
          <w:spacing w:val="-2"/>
          <w:w w:val="105"/>
          <w:sz w:val="16"/>
        </w:rPr>
        <w:t>a</w:t>
      </w:r>
      <w:r>
        <w:rPr>
          <w:rFonts w:ascii="Arial"/>
          <w:color w:val="412823"/>
          <w:spacing w:val="-2"/>
          <w:w w:val="105"/>
          <w:sz w:val="16"/>
        </w:rPr>
        <w:t>:</w:t>
      </w:r>
      <w:r>
        <w:rPr>
          <w:rFonts w:ascii="Arial"/>
          <w:color w:val="412823"/>
          <w:spacing w:val="-10"/>
          <w:w w:val="105"/>
          <w:sz w:val="16"/>
        </w:rPr>
        <w:t xml:space="preserve"> </w:t>
      </w:r>
      <w:r>
        <w:rPr>
          <w:rFonts w:ascii="Arial"/>
          <w:color w:val="281F2D"/>
          <w:spacing w:val="-2"/>
          <w:w w:val="105"/>
          <w:sz w:val="16"/>
        </w:rPr>
        <w:t>CADA Applic</w:t>
      </w:r>
      <w:r>
        <w:rPr>
          <w:rFonts w:ascii="Arial"/>
          <w:color w:val="343446"/>
          <w:spacing w:val="-2"/>
          <w:w w:val="105"/>
          <w:sz w:val="16"/>
        </w:rPr>
        <w:t>a</w:t>
      </w:r>
      <w:r>
        <w:rPr>
          <w:rFonts w:ascii="Arial"/>
          <w:color w:val="281F2D"/>
          <w:spacing w:val="-2"/>
          <w:w w:val="105"/>
          <w:sz w:val="16"/>
        </w:rPr>
        <w:t>tion</w:t>
      </w:r>
      <w:r>
        <w:rPr>
          <w:rFonts w:ascii="Arial"/>
          <w:color w:val="281F2D"/>
          <w:spacing w:val="-7"/>
          <w:w w:val="105"/>
          <w:sz w:val="16"/>
        </w:rPr>
        <w:t xml:space="preserve"> </w:t>
      </w:r>
      <w:r>
        <w:rPr>
          <w:rFonts w:ascii="Arial"/>
          <w:color w:val="281F2D"/>
          <w:spacing w:val="-2"/>
          <w:w w:val="105"/>
          <w:sz w:val="16"/>
        </w:rPr>
        <w:t>for</w:t>
      </w:r>
      <w:r>
        <w:rPr>
          <w:rFonts w:ascii="Arial"/>
          <w:color w:val="281F2D"/>
          <w:spacing w:val="37"/>
          <w:w w:val="105"/>
          <w:sz w:val="16"/>
        </w:rPr>
        <w:t xml:space="preserve"> </w:t>
      </w:r>
      <w:r>
        <w:rPr>
          <w:rFonts w:ascii="Arial"/>
          <w:color w:val="281F2D"/>
          <w:spacing w:val="-2"/>
          <w:w w:val="105"/>
          <w:sz w:val="16"/>
        </w:rPr>
        <w:t>Anti</w:t>
      </w:r>
      <w:r>
        <w:rPr>
          <w:rFonts w:ascii="Arial"/>
          <w:color w:val="030308"/>
          <w:spacing w:val="-2"/>
          <w:w w:val="105"/>
          <w:sz w:val="16"/>
        </w:rPr>
        <w:t>-</w:t>
      </w:r>
      <w:r>
        <w:rPr>
          <w:rFonts w:ascii="Arial"/>
          <w:color w:val="162342"/>
          <w:spacing w:val="-2"/>
          <w:w w:val="105"/>
          <w:sz w:val="16"/>
        </w:rPr>
        <w:t>Du</w:t>
      </w:r>
      <w:r>
        <w:rPr>
          <w:rFonts w:ascii="Arial"/>
          <w:color w:val="412823"/>
          <w:spacing w:val="-2"/>
          <w:w w:val="105"/>
          <w:sz w:val="16"/>
        </w:rPr>
        <w:t>mp</w:t>
      </w:r>
      <w:r>
        <w:rPr>
          <w:rFonts w:ascii="Arial"/>
          <w:color w:val="162342"/>
          <w:spacing w:val="-2"/>
          <w:w w:val="105"/>
          <w:sz w:val="16"/>
        </w:rPr>
        <w:t xml:space="preserve">ing </w:t>
      </w:r>
      <w:r>
        <w:rPr>
          <w:rFonts w:ascii="Arial"/>
          <w:color w:val="573624"/>
          <w:spacing w:val="-2"/>
          <w:w w:val="105"/>
          <w:sz w:val="16"/>
        </w:rPr>
        <w:t>I</w:t>
      </w:r>
      <w:r>
        <w:rPr>
          <w:rFonts w:ascii="Arial"/>
          <w:color w:val="281F2D"/>
          <w:spacing w:val="-2"/>
          <w:w w:val="105"/>
          <w:sz w:val="16"/>
        </w:rPr>
        <w:t>nvestigation</w:t>
      </w:r>
      <w:r>
        <w:rPr>
          <w:rFonts w:ascii="Arial"/>
          <w:color w:val="343446"/>
          <w:spacing w:val="-2"/>
          <w:w w:val="105"/>
          <w:sz w:val="16"/>
        </w:rPr>
        <w:t xml:space="preserve">, </w:t>
      </w:r>
      <w:r>
        <w:rPr>
          <w:rFonts w:ascii="Arial"/>
          <w:color w:val="281F2D"/>
          <w:spacing w:val="-2"/>
          <w:w w:val="105"/>
          <w:sz w:val="16"/>
        </w:rPr>
        <w:t>Annexes</w:t>
      </w:r>
      <w:r>
        <w:rPr>
          <w:rFonts w:ascii="Arial"/>
          <w:color w:val="281F2D"/>
          <w:spacing w:val="-10"/>
          <w:w w:val="105"/>
          <w:sz w:val="16"/>
        </w:rPr>
        <w:t xml:space="preserve"> </w:t>
      </w:r>
      <w:r>
        <w:rPr>
          <w:rFonts w:ascii="Arial"/>
          <w:color w:val="281F2D"/>
          <w:spacing w:val="-2"/>
          <w:w w:val="105"/>
          <w:sz w:val="16"/>
        </w:rPr>
        <w:t>1</w:t>
      </w:r>
      <w:r>
        <w:rPr>
          <w:rFonts w:ascii="Arial"/>
          <w:color w:val="030308"/>
          <w:spacing w:val="-2"/>
          <w:w w:val="105"/>
          <w:sz w:val="16"/>
        </w:rPr>
        <w:t>-</w:t>
      </w:r>
      <w:r>
        <w:rPr>
          <w:rFonts w:ascii="Arial"/>
          <w:color w:val="281F2D"/>
          <w:spacing w:val="-2"/>
          <w:w w:val="105"/>
          <w:sz w:val="16"/>
        </w:rPr>
        <w:t>12</w:t>
      </w:r>
      <w:r>
        <w:rPr>
          <w:rFonts w:ascii="Arial"/>
          <w:color w:val="281F2D"/>
          <w:spacing w:val="-10"/>
          <w:w w:val="105"/>
          <w:sz w:val="16"/>
        </w:rPr>
        <w:t xml:space="preserve"> </w:t>
      </w:r>
      <w:r>
        <w:rPr>
          <w:rFonts w:ascii="Arial"/>
          <w:color w:val="343446"/>
          <w:spacing w:val="-2"/>
          <w:w w:val="105"/>
          <w:sz w:val="16"/>
        </w:rPr>
        <w:t xml:space="preserve">(Part </w:t>
      </w:r>
      <w:r>
        <w:rPr>
          <w:rFonts w:ascii="Arial"/>
          <w:color w:val="281F2D"/>
          <w:spacing w:val="-2"/>
          <w:w w:val="105"/>
          <w:sz w:val="16"/>
        </w:rPr>
        <w:t>2</w:t>
      </w:r>
      <w:r>
        <w:rPr>
          <w:rFonts w:ascii="Arial"/>
          <w:color w:val="343446"/>
          <w:spacing w:val="-2"/>
          <w:w w:val="105"/>
          <w:sz w:val="16"/>
        </w:rPr>
        <w:t xml:space="preserve">) </w:t>
      </w:r>
      <w:r>
        <w:rPr>
          <w:rFonts w:ascii="Arial"/>
          <w:color w:val="281F2D"/>
          <w:w w:val="105"/>
          <w:sz w:val="16"/>
        </w:rPr>
        <w:t>(</w:t>
      </w:r>
      <w:r>
        <w:rPr>
          <w:rFonts w:ascii="Arial"/>
          <w:color w:val="343446"/>
          <w:w w:val="105"/>
          <w:sz w:val="16"/>
        </w:rPr>
        <w:t>E</w:t>
      </w:r>
      <w:r>
        <w:rPr>
          <w:rFonts w:ascii="Arial"/>
          <w:color w:val="281F2D"/>
          <w:w w:val="105"/>
          <w:sz w:val="16"/>
        </w:rPr>
        <w:t>xhibit AUS</w:t>
      </w:r>
      <w:r>
        <w:rPr>
          <w:rFonts w:ascii="Arial"/>
          <w:color w:val="030308"/>
          <w:w w:val="105"/>
          <w:sz w:val="16"/>
        </w:rPr>
        <w:t>-</w:t>
      </w:r>
      <w:r>
        <w:rPr>
          <w:rFonts w:ascii="Arial"/>
          <w:color w:val="281F2D"/>
          <w:w w:val="105"/>
          <w:sz w:val="16"/>
        </w:rPr>
        <w:t>66)</w:t>
      </w:r>
      <w:r>
        <w:rPr>
          <w:rFonts w:ascii="Arial"/>
          <w:color w:val="343446"/>
          <w:w w:val="105"/>
          <w:sz w:val="16"/>
        </w:rPr>
        <w:t>,</w:t>
      </w:r>
      <w:r>
        <w:rPr>
          <w:rFonts w:ascii="Arial"/>
          <w:color w:val="343446"/>
          <w:spacing w:val="-10"/>
          <w:w w:val="105"/>
          <w:sz w:val="16"/>
        </w:rPr>
        <w:t xml:space="preserve"> </w:t>
      </w:r>
      <w:r>
        <w:rPr>
          <w:rFonts w:ascii="Arial"/>
          <w:color w:val="281F2D"/>
          <w:w w:val="105"/>
          <w:sz w:val="16"/>
        </w:rPr>
        <w:t>Annex</w:t>
      </w:r>
      <w:r>
        <w:rPr>
          <w:rFonts w:ascii="Arial"/>
          <w:color w:val="281F2D"/>
          <w:spacing w:val="-16"/>
          <w:w w:val="105"/>
          <w:sz w:val="16"/>
        </w:rPr>
        <w:t xml:space="preserve"> </w:t>
      </w:r>
      <w:r>
        <w:rPr>
          <w:rFonts w:ascii="Arial"/>
          <w:color w:val="281F2D"/>
          <w:w w:val="105"/>
          <w:sz w:val="16"/>
        </w:rPr>
        <w:t>8</w:t>
      </w:r>
      <w:r>
        <w:rPr>
          <w:rFonts w:ascii="Arial"/>
          <w:color w:val="573624"/>
          <w:w w:val="105"/>
          <w:sz w:val="16"/>
        </w:rPr>
        <w:t>,</w:t>
      </w:r>
      <w:r>
        <w:rPr>
          <w:rFonts w:ascii="Arial"/>
          <w:color w:val="573624"/>
          <w:spacing w:val="-21"/>
          <w:w w:val="105"/>
          <w:sz w:val="16"/>
        </w:rPr>
        <w:t xml:space="preserve"> </w:t>
      </w:r>
      <w:r>
        <w:rPr>
          <w:rFonts w:ascii="Arial"/>
          <w:color w:val="281F2D"/>
          <w:w w:val="105"/>
          <w:sz w:val="16"/>
        </w:rPr>
        <w:t>pp.</w:t>
      </w:r>
      <w:r>
        <w:rPr>
          <w:rFonts w:ascii="Arial"/>
          <w:color w:val="281F2D"/>
          <w:spacing w:val="-2"/>
          <w:w w:val="105"/>
          <w:sz w:val="16"/>
        </w:rPr>
        <w:t xml:space="preserve"> </w:t>
      </w:r>
      <w:r>
        <w:rPr>
          <w:rFonts w:ascii="Arial"/>
          <w:color w:val="162342"/>
          <w:w w:val="105"/>
          <w:sz w:val="16"/>
        </w:rPr>
        <w:t>45</w:t>
      </w:r>
      <w:r>
        <w:rPr>
          <w:rFonts w:ascii="Arial"/>
          <w:color w:val="162342"/>
          <w:spacing w:val="-27"/>
          <w:w w:val="105"/>
          <w:sz w:val="16"/>
        </w:rPr>
        <w:t xml:space="preserve"> </w:t>
      </w:r>
      <w:r>
        <w:rPr>
          <w:rFonts w:ascii="Arial"/>
          <w:color w:val="281F2D"/>
          <w:w w:val="105"/>
          <w:sz w:val="16"/>
        </w:rPr>
        <w:t>-48.</w:t>
      </w:r>
      <w:r>
        <w:rPr>
          <w:rFonts w:ascii="Arial"/>
          <w:color w:val="281F2D"/>
          <w:spacing w:val="-24"/>
          <w:w w:val="105"/>
          <w:sz w:val="16"/>
        </w:rPr>
        <w:t xml:space="preserve"> </w:t>
      </w:r>
      <w:r>
        <w:rPr>
          <w:rFonts w:ascii="Arial"/>
          <w:color w:val="162342"/>
          <w:w w:val="105"/>
          <w:sz w:val="16"/>
        </w:rPr>
        <w:t>For</w:t>
      </w:r>
      <w:r>
        <w:rPr>
          <w:rFonts w:ascii="Arial"/>
          <w:color w:val="162342"/>
          <w:spacing w:val="-15"/>
          <w:w w:val="105"/>
          <w:sz w:val="16"/>
        </w:rPr>
        <w:t xml:space="preserve"> </w:t>
      </w:r>
      <w:r>
        <w:rPr>
          <w:rFonts w:ascii="Arial"/>
          <w:color w:val="281F2D"/>
          <w:w w:val="105"/>
          <w:sz w:val="16"/>
        </w:rPr>
        <w:t>201</w:t>
      </w:r>
      <w:r>
        <w:rPr>
          <w:rFonts w:ascii="Arial"/>
          <w:color w:val="343446"/>
          <w:w w:val="105"/>
          <w:sz w:val="16"/>
        </w:rPr>
        <w:t>5</w:t>
      </w:r>
      <w:r>
        <w:rPr>
          <w:rFonts w:ascii="Arial"/>
          <w:color w:val="343446"/>
          <w:spacing w:val="-14"/>
          <w:w w:val="105"/>
          <w:sz w:val="16"/>
        </w:rPr>
        <w:t xml:space="preserve"> </w:t>
      </w:r>
      <w:r>
        <w:rPr>
          <w:rFonts w:ascii="Arial"/>
          <w:color w:val="281F2D"/>
          <w:w w:val="105"/>
          <w:sz w:val="16"/>
        </w:rPr>
        <w:t>import</w:t>
      </w:r>
      <w:r>
        <w:rPr>
          <w:rFonts w:ascii="Arial"/>
          <w:color w:val="281F2D"/>
          <w:spacing w:val="-15"/>
          <w:w w:val="105"/>
          <w:sz w:val="16"/>
        </w:rPr>
        <w:t xml:space="preserve"> </w:t>
      </w:r>
      <w:r>
        <w:rPr>
          <w:rFonts w:ascii="Arial"/>
          <w:color w:val="281F2D"/>
          <w:w w:val="105"/>
          <w:sz w:val="16"/>
        </w:rPr>
        <w:t>volumes</w:t>
      </w:r>
      <w:r>
        <w:rPr>
          <w:rFonts w:ascii="Arial"/>
          <w:color w:val="281F2D"/>
          <w:spacing w:val="-15"/>
          <w:w w:val="105"/>
          <w:sz w:val="16"/>
        </w:rPr>
        <w:t xml:space="preserve"> </w:t>
      </w:r>
      <w:r>
        <w:rPr>
          <w:rFonts w:ascii="Arial"/>
          <w:color w:val="281F2D"/>
          <w:w w:val="105"/>
          <w:sz w:val="16"/>
        </w:rPr>
        <w:t>seep.</w:t>
      </w:r>
      <w:r>
        <w:rPr>
          <w:rFonts w:ascii="Arial"/>
          <w:color w:val="281F2D"/>
          <w:spacing w:val="-18"/>
          <w:w w:val="105"/>
          <w:sz w:val="16"/>
        </w:rPr>
        <w:t xml:space="preserve"> </w:t>
      </w:r>
      <w:r>
        <w:rPr>
          <w:rFonts w:ascii="Arial"/>
          <w:color w:val="281F2D"/>
          <w:w w:val="105"/>
          <w:sz w:val="16"/>
        </w:rPr>
        <w:t>4</w:t>
      </w:r>
      <w:r>
        <w:rPr>
          <w:rFonts w:ascii="Arial"/>
          <w:color w:val="343446"/>
          <w:w w:val="105"/>
          <w:sz w:val="16"/>
        </w:rPr>
        <w:t>5,</w:t>
      </w:r>
      <w:r>
        <w:rPr>
          <w:rFonts w:ascii="Arial"/>
          <w:color w:val="343446"/>
          <w:spacing w:val="-17"/>
          <w:w w:val="105"/>
          <w:sz w:val="16"/>
        </w:rPr>
        <w:t xml:space="preserve"> </w:t>
      </w:r>
      <w:r>
        <w:rPr>
          <w:rFonts w:ascii="Arial"/>
          <w:color w:val="281F2D"/>
          <w:w w:val="105"/>
          <w:sz w:val="16"/>
        </w:rPr>
        <w:t>co</w:t>
      </w:r>
      <w:r>
        <w:rPr>
          <w:rFonts w:ascii="Arial"/>
          <w:color w:val="030308"/>
          <w:w w:val="105"/>
          <w:sz w:val="16"/>
        </w:rPr>
        <w:t>l</w:t>
      </w:r>
      <w:r>
        <w:rPr>
          <w:rFonts w:ascii="Arial"/>
          <w:color w:val="162342"/>
          <w:w w:val="105"/>
          <w:sz w:val="16"/>
        </w:rPr>
        <w:t>u</w:t>
      </w:r>
      <w:r>
        <w:rPr>
          <w:rFonts w:ascii="Arial"/>
          <w:color w:val="412823"/>
          <w:w w:val="105"/>
          <w:sz w:val="16"/>
        </w:rPr>
        <w:t>m</w:t>
      </w:r>
      <w:r>
        <w:rPr>
          <w:rFonts w:ascii="Arial"/>
          <w:color w:val="162342"/>
          <w:w w:val="105"/>
          <w:sz w:val="16"/>
        </w:rPr>
        <w:t>n</w:t>
      </w:r>
      <w:r>
        <w:rPr>
          <w:rFonts w:ascii="Arial"/>
          <w:color w:val="162342"/>
          <w:spacing w:val="-17"/>
          <w:w w:val="105"/>
          <w:sz w:val="16"/>
        </w:rPr>
        <w:t xml:space="preserve"> </w:t>
      </w:r>
      <w:r>
        <w:rPr>
          <w:rFonts w:ascii="Arial"/>
          <w:color w:val="162342"/>
          <w:w w:val="105"/>
          <w:sz w:val="16"/>
        </w:rPr>
        <w:t>F</w:t>
      </w:r>
      <w:r>
        <w:rPr>
          <w:rFonts w:ascii="Arial"/>
          <w:color w:val="412823"/>
          <w:w w:val="105"/>
          <w:sz w:val="16"/>
        </w:rPr>
        <w:t>:</w:t>
      </w:r>
      <w:r>
        <w:rPr>
          <w:rFonts w:ascii="Arial"/>
          <w:color w:val="412823"/>
          <w:spacing w:val="-24"/>
          <w:w w:val="105"/>
          <w:sz w:val="16"/>
        </w:rPr>
        <w:t xml:space="preserve"> </w:t>
      </w:r>
      <w:r>
        <w:rPr>
          <w:rFonts w:ascii="Arial"/>
          <w:color w:val="412823"/>
          <w:w w:val="105"/>
          <w:sz w:val="16"/>
        </w:rPr>
        <w:t>F</w:t>
      </w:r>
      <w:r>
        <w:rPr>
          <w:rFonts w:ascii="Arial"/>
          <w:color w:val="162342"/>
          <w:w w:val="105"/>
          <w:sz w:val="16"/>
        </w:rPr>
        <w:t>rance</w:t>
      </w:r>
      <w:r>
        <w:rPr>
          <w:rFonts w:ascii="Arial"/>
          <w:color w:val="162342"/>
          <w:spacing w:val="-19"/>
          <w:w w:val="105"/>
          <w:sz w:val="16"/>
        </w:rPr>
        <w:t xml:space="preserve"> </w:t>
      </w:r>
      <w:r>
        <w:rPr>
          <w:rFonts w:ascii="Arial"/>
          <w:color w:val="281F2D"/>
          <w:w w:val="105"/>
          <w:sz w:val="16"/>
        </w:rPr>
        <w:t>-</w:t>
      </w:r>
      <w:r>
        <w:rPr>
          <w:rFonts w:ascii="Arial"/>
          <w:color w:val="281F2D"/>
          <w:spacing w:val="36"/>
          <w:w w:val="105"/>
          <w:sz w:val="16"/>
        </w:rPr>
        <w:t xml:space="preserve"> </w:t>
      </w:r>
      <w:r>
        <w:rPr>
          <w:rFonts w:ascii="Arial"/>
          <w:color w:val="162342"/>
          <w:w w:val="105"/>
          <w:sz w:val="16"/>
        </w:rPr>
        <w:t>row</w:t>
      </w:r>
      <w:r>
        <w:rPr>
          <w:rFonts w:ascii="Arial"/>
          <w:color w:val="162342"/>
          <w:spacing w:val="29"/>
          <w:w w:val="105"/>
          <w:sz w:val="16"/>
        </w:rPr>
        <w:t xml:space="preserve"> </w:t>
      </w:r>
      <w:r>
        <w:rPr>
          <w:rFonts w:ascii="Arial"/>
          <w:color w:val="281F2D"/>
          <w:w w:val="105"/>
          <w:sz w:val="16"/>
        </w:rPr>
        <w:t>46;</w:t>
      </w:r>
      <w:r>
        <w:rPr>
          <w:rFonts w:ascii="Arial"/>
          <w:color w:val="281F2D"/>
          <w:spacing w:val="-30"/>
          <w:w w:val="105"/>
          <w:sz w:val="16"/>
        </w:rPr>
        <w:t xml:space="preserve"> </w:t>
      </w:r>
      <w:r>
        <w:rPr>
          <w:rFonts w:ascii="Arial"/>
          <w:color w:val="281F2D"/>
          <w:w w:val="105"/>
          <w:sz w:val="16"/>
        </w:rPr>
        <w:t>Australia</w:t>
      </w:r>
      <w:r>
        <w:rPr>
          <w:rFonts w:ascii="Arial"/>
          <w:color w:val="281F2D"/>
          <w:spacing w:val="-18"/>
          <w:w w:val="105"/>
          <w:sz w:val="16"/>
        </w:rPr>
        <w:t xml:space="preserve"> </w:t>
      </w:r>
      <w:r>
        <w:rPr>
          <w:rFonts w:ascii="Arial"/>
          <w:color w:val="281F2D"/>
          <w:w w:val="105"/>
          <w:sz w:val="16"/>
        </w:rPr>
        <w:t>-</w:t>
      </w:r>
      <w:r>
        <w:rPr>
          <w:rFonts w:ascii="Arial"/>
          <w:color w:val="281F2D"/>
          <w:spacing w:val="33"/>
          <w:w w:val="105"/>
          <w:sz w:val="16"/>
        </w:rPr>
        <w:t xml:space="preserve"> </w:t>
      </w:r>
      <w:r>
        <w:rPr>
          <w:rFonts w:ascii="Arial"/>
          <w:color w:val="162342"/>
          <w:w w:val="105"/>
          <w:sz w:val="16"/>
        </w:rPr>
        <w:t>row</w:t>
      </w:r>
      <w:r>
        <w:rPr>
          <w:rFonts w:ascii="Arial"/>
          <w:color w:val="162342"/>
          <w:spacing w:val="9"/>
          <w:w w:val="105"/>
          <w:sz w:val="16"/>
        </w:rPr>
        <w:t xml:space="preserve"> </w:t>
      </w:r>
      <w:r>
        <w:rPr>
          <w:rFonts w:ascii="Arial"/>
          <w:color w:val="281F2D"/>
          <w:w w:val="105"/>
          <w:sz w:val="16"/>
        </w:rPr>
        <w:t>8</w:t>
      </w:r>
      <w:r>
        <w:rPr>
          <w:rFonts w:ascii="Arial"/>
          <w:color w:val="243B62"/>
          <w:w w:val="105"/>
          <w:sz w:val="16"/>
        </w:rPr>
        <w:t>;</w:t>
      </w:r>
      <w:r>
        <w:rPr>
          <w:rFonts w:ascii="Arial"/>
          <w:color w:val="243B62"/>
          <w:spacing w:val="-18"/>
          <w:w w:val="105"/>
          <w:sz w:val="16"/>
        </w:rPr>
        <w:t xml:space="preserve"> </w:t>
      </w:r>
      <w:r>
        <w:rPr>
          <w:rFonts w:ascii="Arial"/>
          <w:color w:val="281F2D"/>
          <w:w w:val="105"/>
          <w:sz w:val="16"/>
        </w:rPr>
        <w:t>Chile</w:t>
      </w:r>
    </w:p>
    <w:p w14:paraId="51DE92BD" w14:textId="77777777" w:rsidR="0010369C" w:rsidRDefault="008E43AE">
      <w:pPr>
        <w:spacing w:line="288" w:lineRule="auto"/>
        <w:ind w:left="236" w:right="583" w:hanging="7"/>
        <w:jc w:val="both"/>
        <w:rPr>
          <w:rFonts w:ascii="Arial"/>
          <w:sz w:val="16"/>
        </w:rPr>
      </w:pPr>
      <w:r>
        <w:rPr>
          <w:rFonts w:ascii="Arial"/>
          <w:color w:val="281F2D"/>
          <w:w w:val="105"/>
          <w:sz w:val="16"/>
        </w:rPr>
        <w:t>-</w:t>
      </w:r>
      <w:r>
        <w:rPr>
          <w:rFonts w:ascii="Arial"/>
          <w:color w:val="281F2D"/>
          <w:spacing w:val="-1"/>
          <w:w w:val="105"/>
          <w:sz w:val="16"/>
        </w:rPr>
        <w:t xml:space="preserve"> </w:t>
      </w:r>
      <w:r>
        <w:rPr>
          <w:rFonts w:ascii="Arial"/>
          <w:color w:val="162342"/>
          <w:w w:val="105"/>
          <w:sz w:val="16"/>
        </w:rPr>
        <w:t>row 14</w:t>
      </w:r>
      <w:r>
        <w:rPr>
          <w:rFonts w:ascii="Arial"/>
          <w:color w:val="243B62"/>
          <w:w w:val="105"/>
          <w:sz w:val="16"/>
        </w:rPr>
        <w:t>;</w:t>
      </w:r>
      <w:r>
        <w:rPr>
          <w:rFonts w:ascii="Arial"/>
          <w:color w:val="243B62"/>
          <w:spacing w:val="-7"/>
          <w:w w:val="105"/>
          <w:sz w:val="16"/>
        </w:rPr>
        <w:t xml:space="preserve"> </w:t>
      </w:r>
      <w:r>
        <w:rPr>
          <w:rFonts w:ascii="Arial"/>
          <w:color w:val="281F2D"/>
          <w:w w:val="105"/>
          <w:sz w:val="16"/>
        </w:rPr>
        <w:t>Sp</w:t>
      </w:r>
      <w:r>
        <w:rPr>
          <w:rFonts w:ascii="Arial"/>
          <w:color w:val="343446"/>
          <w:w w:val="105"/>
          <w:sz w:val="16"/>
        </w:rPr>
        <w:t>a</w:t>
      </w:r>
      <w:r>
        <w:rPr>
          <w:rFonts w:ascii="Arial"/>
          <w:color w:val="162342"/>
          <w:w w:val="105"/>
          <w:sz w:val="16"/>
        </w:rPr>
        <w:t>in</w:t>
      </w:r>
      <w:r>
        <w:rPr>
          <w:rFonts w:ascii="Arial"/>
          <w:color w:val="162342"/>
          <w:spacing w:val="-12"/>
          <w:w w:val="105"/>
          <w:sz w:val="16"/>
        </w:rPr>
        <w:t xml:space="preserve"> </w:t>
      </w:r>
      <w:r>
        <w:rPr>
          <w:rFonts w:ascii="Arial"/>
          <w:color w:val="281F2D"/>
          <w:w w:val="105"/>
          <w:sz w:val="16"/>
        </w:rPr>
        <w:t>-</w:t>
      </w:r>
      <w:r>
        <w:rPr>
          <w:rFonts w:ascii="Arial"/>
          <w:color w:val="281F2D"/>
          <w:spacing w:val="40"/>
          <w:w w:val="105"/>
          <w:sz w:val="16"/>
        </w:rPr>
        <w:t xml:space="preserve"> </w:t>
      </w:r>
      <w:r>
        <w:rPr>
          <w:rFonts w:ascii="Arial"/>
          <w:color w:val="162342"/>
          <w:w w:val="105"/>
          <w:sz w:val="16"/>
        </w:rPr>
        <w:t>row</w:t>
      </w:r>
      <w:r>
        <w:rPr>
          <w:rFonts w:ascii="Arial"/>
          <w:color w:val="162342"/>
          <w:spacing w:val="32"/>
          <w:w w:val="105"/>
          <w:sz w:val="16"/>
        </w:rPr>
        <w:t xml:space="preserve"> </w:t>
      </w:r>
      <w:r>
        <w:rPr>
          <w:rFonts w:ascii="Arial"/>
          <w:color w:val="281F2D"/>
          <w:w w:val="105"/>
          <w:sz w:val="16"/>
        </w:rPr>
        <w:t>40;</w:t>
      </w:r>
      <w:r>
        <w:rPr>
          <w:rFonts w:ascii="Arial"/>
          <w:color w:val="281F2D"/>
          <w:spacing w:val="-12"/>
          <w:w w:val="105"/>
          <w:sz w:val="16"/>
        </w:rPr>
        <w:t xml:space="preserve"> </w:t>
      </w:r>
      <w:r>
        <w:rPr>
          <w:rFonts w:ascii="Arial"/>
          <w:color w:val="281F2D"/>
          <w:w w:val="105"/>
          <w:sz w:val="16"/>
        </w:rPr>
        <w:t>Italy</w:t>
      </w:r>
      <w:r>
        <w:rPr>
          <w:rFonts w:ascii="Arial"/>
          <w:color w:val="281F2D"/>
          <w:spacing w:val="-12"/>
          <w:w w:val="105"/>
          <w:sz w:val="16"/>
        </w:rPr>
        <w:t xml:space="preserve"> </w:t>
      </w:r>
      <w:r>
        <w:rPr>
          <w:rFonts w:ascii="Arial"/>
          <w:color w:val="281F2D"/>
          <w:w w:val="105"/>
          <w:sz w:val="16"/>
        </w:rPr>
        <w:t>-</w:t>
      </w:r>
      <w:r>
        <w:rPr>
          <w:rFonts w:ascii="Arial"/>
          <w:color w:val="281F2D"/>
          <w:spacing w:val="38"/>
          <w:w w:val="105"/>
          <w:sz w:val="16"/>
        </w:rPr>
        <w:t xml:space="preserve"> </w:t>
      </w:r>
      <w:r>
        <w:rPr>
          <w:rFonts w:ascii="Arial"/>
          <w:color w:val="162342"/>
          <w:w w:val="105"/>
          <w:sz w:val="16"/>
        </w:rPr>
        <w:t>row</w:t>
      </w:r>
      <w:r>
        <w:rPr>
          <w:rFonts w:ascii="Arial"/>
          <w:color w:val="162342"/>
          <w:spacing w:val="-2"/>
          <w:w w:val="105"/>
          <w:sz w:val="16"/>
        </w:rPr>
        <w:t xml:space="preserve"> </w:t>
      </w:r>
      <w:r>
        <w:rPr>
          <w:rFonts w:ascii="Arial"/>
          <w:color w:val="281F2D"/>
          <w:w w:val="105"/>
          <w:sz w:val="16"/>
        </w:rPr>
        <w:t>45.</w:t>
      </w:r>
      <w:r>
        <w:rPr>
          <w:rFonts w:ascii="Arial"/>
          <w:color w:val="281F2D"/>
          <w:spacing w:val="-12"/>
          <w:w w:val="105"/>
          <w:sz w:val="16"/>
        </w:rPr>
        <w:t xml:space="preserve"> </w:t>
      </w:r>
      <w:r>
        <w:rPr>
          <w:rFonts w:ascii="Arial"/>
          <w:color w:val="162342"/>
          <w:w w:val="105"/>
          <w:sz w:val="16"/>
        </w:rPr>
        <w:t>For</w:t>
      </w:r>
      <w:r>
        <w:rPr>
          <w:rFonts w:ascii="Arial"/>
          <w:color w:val="162342"/>
          <w:spacing w:val="-5"/>
          <w:w w:val="105"/>
          <w:sz w:val="16"/>
        </w:rPr>
        <w:t xml:space="preserve"> </w:t>
      </w:r>
      <w:r>
        <w:rPr>
          <w:rFonts w:ascii="Arial"/>
          <w:color w:val="281F2D"/>
          <w:w w:val="105"/>
          <w:sz w:val="16"/>
        </w:rPr>
        <w:t>2016</w:t>
      </w:r>
      <w:r>
        <w:rPr>
          <w:rFonts w:ascii="Arial"/>
          <w:color w:val="281F2D"/>
          <w:spacing w:val="-10"/>
          <w:w w:val="105"/>
          <w:sz w:val="16"/>
        </w:rPr>
        <w:t xml:space="preserve"> </w:t>
      </w:r>
      <w:r>
        <w:rPr>
          <w:rFonts w:ascii="Arial"/>
          <w:color w:val="281F2D"/>
          <w:w w:val="105"/>
          <w:sz w:val="16"/>
        </w:rPr>
        <w:t>import</w:t>
      </w:r>
      <w:r>
        <w:rPr>
          <w:rFonts w:ascii="Arial"/>
          <w:color w:val="281F2D"/>
          <w:spacing w:val="-12"/>
          <w:w w:val="105"/>
          <w:sz w:val="16"/>
        </w:rPr>
        <w:t xml:space="preserve"> </w:t>
      </w:r>
      <w:r>
        <w:rPr>
          <w:rFonts w:ascii="Arial"/>
          <w:color w:val="281F2D"/>
          <w:w w:val="105"/>
          <w:sz w:val="16"/>
        </w:rPr>
        <w:t>vo</w:t>
      </w:r>
      <w:r>
        <w:rPr>
          <w:rFonts w:ascii="Arial"/>
          <w:color w:val="030308"/>
          <w:w w:val="105"/>
          <w:sz w:val="16"/>
        </w:rPr>
        <w:t>l</w:t>
      </w:r>
      <w:r>
        <w:rPr>
          <w:rFonts w:ascii="Arial"/>
          <w:color w:val="281F2D"/>
          <w:w w:val="105"/>
          <w:sz w:val="16"/>
        </w:rPr>
        <w:t>umes</w:t>
      </w:r>
      <w:r>
        <w:rPr>
          <w:rFonts w:ascii="Arial"/>
          <w:color w:val="281F2D"/>
          <w:spacing w:val="-10"/>
          <w:w w:val="105"/>
          <w:sz w:val="16"/>
        </w:rPr>
        <w:t xml:space="preserve"> </w:t>
      </w:r>
      <w:r>
        <w:rPr>
          <w:rFonts w:ascii="Arial"/>
          <w:color w:val="281F2D"/>
          <w:w w:val="105"/>
          <w:sz w:val="16"/>
        </w:rPr>
        <w:t>see</w:t>
      </w:r>
      <w:r>
        <w:rPr>
          <w:rFonts w:ascii="Arial"/>
          <w:color w:val="281F2D"/>
          <w:spacing w:val="-12"/>
          <w:w w:val="105"/>
          <w:sz w:val="16"/>
        </w:rPr>
        <w:t xml:space="preserve"> </w:t>
      </w:r>
      <w:r>
        <w:rPr>
          <w:rFonts w:ascii="Arial"/>
          <w:color w:val="281F2D"/>
          <w:w w:val="105"/>
          <w:sz w:val="16"/>
        </w:rPr>
        <w:t>p. 46,</w:t>
      </w:r>
      <w:r>
        <w:rPr>
          <w:rFonts w:ascii="Arial"/>
          <w:color w:val="281F2D"/>
          <w:spacing w:val="-12"/>
          <w:w w:val="105"/>
          <w:sz w:val="16"/>
        </w:rPr>
        <w:t xml:space="preserve"> </w:t>
      </w:r>
      <w:r>
        <w:rPr>
          <w:rFonts w:ascii="Arial"/>
          <w:color w:val="281F2D"/>
          <w:w w:val="105"/>
          <w:sz w:val="16"/>
        </w:rPr>
        <w:t xml:space="preserve">column </w:t>
      </w:r>
      <w:r>
        <w:rPr>
          <w:rFonts w:ascii="Arial"/>
          <w:color w:val="412823"/>
          <w:w w:val="105"/>
          <w:sz w:val="16"/>
        </w:rPr>
        <w:t>F:</w:t>
      </w:r>
      <w:r>
        <w:rPr>
          <w:rFonts w:ascii="Arial"/>
          <w:color w:val="412823"/>
          <w:spacing w:val="-12"/>
          <w:w w:val="105"/>
          <w:sz w:val="16"/>
        </w:rPr>
        <w:t xml:space="preserve"> </w:t>
      </w:r>
      <w:r>
        <w:rPr>
          <w:rFonts w:ascii="Arial"/>
          <w:color w:val="412823"/>
          <w:w w:val="105"/>
          <w:sz w:val="16"/>
        </w:rPr>
        <w:t>France</w:t>
      </w:r>
      <w:r>
        <w:rPr>
          <w:rFonts w:ascii="Arial"/>
          <w:color w:val="412823"/>
          <w:spacing w:val="-6"/>
          <w:w w:val="105"/>
          <w:sz w:val="16"/>
        </w:rPr>
        <w:t xml:space="preserve"> </w:t>
      </w:r>
      <w:r>
        <w:rPr>
          <w:rFonts w:ascii="Arial"/>
          <w:color w:val="281F2D"/>
          <w:w w:val="105"/>
          <w:sz w:val="16"/>
        </w:rPr>
        <w:t>-</w:t>
      </w:r>
      <w:r>
        <w:rPr>
          <w:rFonts w:ascii="Arial"/>
          <w:color w:val="281F2D"/>
          <w:spacing w:val="40"/>
          <w:w w:val="105"/>
          <w:sz w:val="16"/>
        </w:rPr>
        <w:t xml:space="preserve"> </w:t>
      </w:r>
      <w:r>
        <w:rPr>
          <w:rFonts w:ascii="Arial"/>
          <w:color w:val="162342"/>
          <w:w w:val="105"/>
          <w:sz w:val="16"/>
        </w:rPr>
        <w:t>row</w:t>
      </w:r>
      <w:r>
        <w:rPr>
          <w:rFonts w:ascii="Arial"/>
          <w:color w:val="162342"/>
          <w:spacing w:val="30"/>
          <w:w w:val="105"/>
          <w:sz w:val="16"/>
        </w:rPr>
        <w:t xml:space="preserve"> </w:t>
      </w:r>
      <w:r>
        <w:rPr>
          <w:rFonts w:ascii="Arial"/>
          <w:color w:val="281F2D"/>
          <w:w w:val="105"/>
          <w:sz w:val="16"/>
        </w:rPr>
        <w:t>44</w:t>
      </w:r>
      <w:r>
        <w:rPr>
          <w:rFonts w:ascii="Arial"/>
          <w:color w:val="243B62"/>
          <w:w w:val="105"/>
          <w:sz w:val="16"/>
        </w:rPr>
        <w:t xml:space="preserve">; </w:t>
      </w:r>
      <w:r>
        <w:rPr>
          <w:rFonts w:ascii="Arial"/>
          <w:color w:val="281F2D"/>
          <w:w w:val="105"/>
          <w:sz w:val="16"/>
        </w:rPr>
        <w:t>Austra</w:t>
      </w:r>
      <w:r>
        <w:rPr>
          <w:rFonts w:ascii="Arial"/>
          <w:color w:val="030308"/>
          <w:w w:val="105"/>
          <w:sz w:val="16"/>
        </w:rPr>
        <w:t>l</w:t>
      </w:r>
      <w:r>
        <w:rPr>
          <w:rFonts w:ascii="Arial"/>
          <w:color w:val="281F2D"/>
          <w:w w:val="105"/>
          <w:sz w:val="16"/>
        </w:rPr>
        <w:t>ia</w:t>
      </w:r>
      <w:r>
        <w:rPr>
          <w:rFonts w:ascii="Arial"/>
          <w:color w:val="281F2D"/>
          <w:spacing w:val="-8"/>
          <w:w w:val="105"/>
          <w:sz w:val="16"/>
        </w:rPr>
        <w:t xml:space="preserve"> </w:t>
      </w:r>
      <w:r>
        <w:rPr>
          <w:rFonts w:ascii="Arial"/>
          <w:color w:val="281F2D"/>
          <w:w w:val="105"/>
          <w:sz w:val="16"/>
        </w:rPr>
        <w:t>-</w:t>
      </w:r>
      <w:r>
        <w:rPr>
          <w:rFonts w:ascii="Arial"/>
          <w:color w:val="281F2D"/>
          <w:spacing w:val="40"/>
          <w:w w:val="105"/>
          <w:sz w:val="16"/>
        </w:rPr>
        <w:t xml:space="preserve"> </w:t>
      </w:r>
      <w:r>
        <w:rPr>
          <w:rFonts w:ascii="Arial"/>
          <w:color w:val="162342"/>
          <w:w w:val="105"/>
          <w:sz w:val="16"/>
        </w:rPr>
        <w:t>row</w:t>
      </w:r>
      <w:r>
        <w:rPr>
          <w:rFonts w:ascii="Arial"/>
          <w:color w:val="162342"/>
          <w:spacing w:val="21"/>
          <w:w w:val="105"/>
          <w:sz w:val="16"/>
        </w:rPr>
        <w:t xml:space="preserve"> </w:t>
      </w:r>
      <w:r>
        <w:rPr>
          <w:rFonts w:ascii="Arial"/>
          <w:color w:val="281F2D"/>
          <w:w w:val="105"/>
          <w:sz w:val="16"/>
        </w:rPr>
        <w:t>8</w:t>
      </w:r>
      <w:r>
        <w:rPr>
          <w:rFonts w:ascii="Arial"/>
          <w:color w:val="243B62"/>
          <w:w w:val="105"/>
          <w:sz w:val="16"/>
        </w:rPr>
        <w:t xml:space="preserve">; </w:t>
      </w:r>
      <w:r>
        <w:rPr>
          <w:rFonts w:ascii="Arial"/>
          <w:color w:val="281F2D"/>
          <w:w w:val="105"/>
          <w:sz w:val="16"/>
        </w:rPr>
        <w:t>Chile</w:t>
      </w:r>
      <w:r>
        <w:rPr>
          <w:rFonts w:ascii="Arial"/>
          <w:color w:val="281F2D"/>
          <w:spacing w:val="-12"/>
          <w:w w:val="105"/>
          <w:sz w:val="16"/>
        </w:rPr>
        <w:t xml:space="preserve"> </w:t>
      </w:r>
      <w:r>
        <w:rPr>
          <w:rFonts w:ascii="Arial"/>
          <w:color w:val="281F2D"/>
          <w:w w:val="105"/>
          <w:sz w:val="16"/>
        </w:rPr>
        <w:t>-</w:t>
      </w:r>
      <w:r>
        <w:rPr>
          <w:rFonts w:ascii="Arial"/>
          <w:color w:val="281F2D"/>
          <w:spacing w:val="2"/>
          <w:w w:val="105"/>
          <w:sz w:val="16"/>
        </w:rPr>
        <w:t xml:space="preserve"> </w:t>
      </w:r>
      <w:r>
        <w:rPr>
          <w:rFonts w:ascii="Arial"/>
          <w:color w:val="281F2D"/>
          <w:w w:val="105"/>
          <w:sz w:val="16"/>
        </w:rPr>
        <w:t>row 13;</w:t>
      </w:r>
      <w:r>
        <w:rPr>
          <w:rFonts w:ascii="Arial"/>
          <w:color w:val="281F2D"/>
          <w:spacing w:val="-1"/>
          <w:w w:val="105"/>
          <w:sz w:val="16"/>
        </w:rPr>
        <w:t xml:space="preserve"> </w:t>
      </w:r>
      <w:r>
        <w:rPr>
          <w:rFonts w:ascii="Arial"/>
          <w:color w:val="281F2D"/>
          <w:w w:val="105"/>
          <w:sz w:val="16"/>
        </w:rPr>
        <w:t>Spain</w:t>
      </w:r>
      <w:r>
        <w:rPr>
          <w:rFonts w:ascii="Arial"/>
          <w:color w:val="281F2D"/>
          <w:spacing w:val="-12"/>
          <w:w w:val="105"/>
          <w:sz w:val="16"/>
        </w:rPr>
        <w:t xml:space="preserve"> </w:t>
      </w:r>
      <w:r>
        <w:rPr>
          <w:rFonts w:ascii="Arial"/>
          <w:color w:val="281F2D"/>
          <w:w w:val="105"/>
          <w:sz w:val="16"/>
        </w:rPr>
        <w:t>-</w:t>
      </w:r>
      <w:r>
        <w:rPr>
          <w:rFonts w:ascii="Arial"/>
          <w:color w:val="281F2D"/>
          <w:spacing w:val="40"/>
          <w:w w:val="105"/>
          <w:sz w:val="16"/>
        </w:rPr>
        <w:t xml:space="preserve"> </w:t>
      </w:r>
      <w:r>
        <w:rPr>
          <w:rFonts w:ascii="Arial"/>
          <w:color w:val="281F2D"/>
          <w:w w:val="105"/>
          <w:sz w:val="16"/>
        </w:rPr>
        <w:t>row 35</w:t>
      </w:r>
      <w:r>
        <w:rPr>
          <w:rFonts w:ascii="Arial"/>
          <w:color w:val="343446"/>
          <w:w w:val="105"/>
          <w:sz w:val="16"/>
        </w:rPr>
        <w:t>,</w:t>
      </w:r>
      <w:r>
        <w:rPr>
          <w:rFonts w:ascii="Arial"/>
          <w:color w:val="343446"/>
          <w:spacing w:val="-5"/>
          <w:w w:val="105"/>
          <w:sz w:val="16"/>
        </w:rPr>
        <w:t xml:space="preserve"> </w:t>
      </w:r>
      <w:r>
        <w:rPr>
          <w:rFonts w:ascii="Arial"/>
          <w:color w:val="243B62"/>
          <w:w w:val="105"/>
          <w:sz w:val="16"/>
        </w:rPr>
        <w:t>I</w:t>
      </w:r>
      <w:r>
        <w:rPr>
          <w:rFonts w:ascii="Arial"/>
          <w:color w:val="281F2D"/>
          <w:w w:val="105"/>
          <w:sz w:val="16"/>
        </w:rPr>
        <w:t>ta</w:t>
      </w:r>
      <w:r>
        <w:rPr>
          <w:rFonts w:ascii="Arial"/>
          <w:color w:val="030308"/>
          <w:w w:val="105"/>
          <w:sz w:val="16"/>
        </w:rPr>
        <w:t>l</w:t>
      </w:r>
      <w:r>
        <w:rPr>
          <w:rFonts w:ascii="Arial"/>
          <w:color w:val="281F2D"/>
          <w:w w:val="105"/>
          <w:sz w:val="16"/>
        </w:rPr>
        <w:t xml:space="preserve">y </w:t>
      </w:r>
      <w:r>
        <w:rPr>
          <w:rFonts w:ascii="Arial"/>
          <w:color w:val="030308"/>
          <w:w w:val="105"/>
          <w:sz w:val="16"/>
        </w:rPr>
        <w:t xml:space="preserve">- </w:t>
      </w:r>
      <w:r>
        <w:rPr>
          <w:rFonts w:ascii="Arial"/>
          <w:color w:val="281F2D"/>
          <w:w w:val="105"/>
          <w:sz w:val="16"/>
        </w:rPr>
        <w:t>43.</w:t>
      </w:r>
      <w:r>
        <w:rPr>
          <w:rFonts w:ascii="Arial"/>
          <w:color w:val="281F2D"/>
          <w:spacing w:val="-12"/>
          <w:w w:val="105"/>
          <w:sz w:val="16"/>
        </w:rPr>
        <w:t xml:space="preserve"> </w:t>
      </w:r>
      <w:r>
        <w:rPr>
          <w:rFonts w:ascii="Arial"/>
          <w:color w:val="281F2D"/>
          <w:w w:val="105"/>
          <w:sz w:val="16"/>
        </w:rPr>
        <w:t>For</w:t>
      </w:r>
      <w:r>
        <w:rPr>
          <w:rFonts w:ascii="Arial"/>
          <w:color w:val="281F2D"/>
          <w:spacing w:val="-5"/>
          <w:w w:val="105"/>
          <w:sz w:val="16"/>
        </w:rPr>
        <w:t xml:space="preserve"> </w:t>
      </w:r>
      <w:r>
        <w:rPr>
          <w:rFonts w:ascii="Arial"/>
          <w:color w:val="281F2D"/>
          <w:w w:val="105"/>
          <w:sz w:val="16"/>
        </w:rPr>
        <w:t>2017</w:t>
      </w:r>
      <w:r>
        <w:rPr>
          <w:rFonts w:ascii="Arial"/>
          <w:color w:val="281F2D"/>
          <w:spacing w:val="-9"/>
          <w:w w:val="105"/>
          <w:sz w:val="16"/>
        </w:rPr>
        <w:t xml:space="preserve"> </w:t>
      </w:r>
      <w:r>
        <w:rPr>
          <w:rFonts w:ascii="Arial"/>
          <w:color w:val="281F2D"/>
          <w:w w:val="105"/>
          <w:sz w:val="16"/>
        </w:rPr>
        <w:t>import</w:t>
      </w:r>
      <w:r>
        <w:rPr>
          <w:rFonts w:ascii="Arial"/>
          <w:color w:val="281F2D"/>
          <w:spacing w:val="-12"/>
          <w:w w:val="105"/>
          <w:sz w:val="16"/>
        </w:rPr>
        <w:t xml:space="preserve"> </w:t>
      </w:r>
      <w:r>
        <w:rPr>
          <w:rFonts w:ascii="Arial"/>
          <w:color w:val="281F2D"/>
          <w:w w:val="105"/>
          <w:sz w:val="16"/>
        </w:rPr>
        <w:t>volumes</w:t>
      </w:r>
      <w:r>
        <w:rPr>
          <w:rFonts w:ascii="Arial"/>
          <w:color w:val="281F2D"/>
          <w:spacing w:val="-5"/>
          <w:w w:val="105"/>
          <w:sz w:val="16"/>
        </w:rPr>
        <w:t xml:space="preserve"> </w:t>
      </w:r>
      <w:r>
        <w:rPr>
          <w:rFonts w:ascii="Arial"/>
          <w:color w:val="281F2D"/>
          <w:w w:val="105"/>
          <w:sz w:val="16"/>
        </w:rPr>
        <w:t>seep.</w:t>
      </w:r>
      <w:r>
        <w:rPr>
          <w:rFonts w:ascii="Arial"/>
          <w:color w:val="281F2D"/>
          <w:spacing w:val="-12"/>
          <w:w w:val="105"/>
          <w:sz w:val="16"/>
        </w:rPr>
        <w:t xml:space="preserve"> </w:t>
      </w:r>
      <w:r>
        <w:rPr>
          <w:rFonts w:ascii="Arial"/>
          <w:color w:val="281F2D"/>
          <w:w w:val="105"/>
          <w:sz w:val="16"/>
        </w:rPr>
        <w:t>47</w:t>
      </w:r>
      <w:r>
        <w:rPr>
          <w:rFonts w:ascii="Arial"/>
          <w:color w:val="343446"/>
          <w:w w:val="105"/>
          <w:sz w:val="16"/>
        </w:rPr>
        <w:t>,</w:t>
      </w:r>
      <w:r>
        <w:rPr>
          <w:rFonts w:ascii="Arial"/>
          <w:color w:val="343446"/>
          <w:spacing w:val="-6"/>
          <w:w w:val="105"/>
          <w:sz w:val="16"/>
        </w:rPr>
        <w:t xml:space="preserve"> </w:t>
      </w:r>
      <w:r>
        <w:rPr>
          <w:rFonts w:ascii="Arial"/>
          <w:color w:val="281F2D"/>
          <w:w w:val="105"/>
          <w:sz w:val="16"/>
        </w:rPr>
        <w:t xml:space="preserve">column </w:t>
      </w:r>
      <w:r>
        <w:rPr>
          <w:rFonts w:ascii="Arial"/>
          <w:color w:val="412823"/>
          <w:w w:val="105"/>
          <w:sz w:val="16"/>
        </w:rPr>
        <w:t>F:</w:t>
      </w:r>
      <w:r>
        <w:rPr>
          <w:rFonts w:ascii="Arial"/>
          <w:color w:val="412823"/>
          <w:spacing w:val="-12"/>
          <w:w w:val="105"/>
          <w:sz w:val="16"/>
        </w:rPr>
        <w:t xml:space="preserve"> </w:t>
      </w:r>
      <w:r>
        <w:rPr>
          <w:rFonts w:ascii="Arial"/>
          <w:color w:val="281F2D"/>
          <w:w w:val="105"/>
          <w:sz w:val="16"/>
        </w:rPr>
        <w:t>France</w:t>
      </w:r>
      <w:r>
        <w:rPr>
          <w:rFonts w:ascii="Arial"/>
          <w:color w:val="281F2D"/>
          <w:spacing w:val="-11"/>
          <w:w w:val="105"/>
          <w:sz w:val="16"/>
        </w:rPr>
        <w:t xml:space="preserve"> </w:t>
      </w:r>
      <w:r>
        <w:rPr>
          <w:rFonts w:ascii="Arial"/>
          <w:color w:val="281F2D"/>
          <w:w w:val="105"/>
          <w:sz w:val="16"/>
        </w:rPr>
        <w:t>-</w:t>
      </w:r>
      <w:r>
        <w:rPr>
          <w:rFonts w:ascii="Arial"/>
          <w:color w:val="281F2D"/>
          <w:spacing w:val="40"/>
          <w:w w:val="105"/>
          <w:sz w:val="16"/>
        </w:rPr>
        <w:t xml:space="preserve"> </w:t>
      </w:r>
      <w:r>
        <w:rPr>
          <w:rFonts w:ascii="Arial"/>
          <w:color w:val="281F2D"/>
          <w:w w:val="105"/>
          <w:sz w:val="16"/>
        </w:rPr>
        <w:t>row</w:t>
      </w:r>
      <w:r>
        <w:rPr>
          <w:rFonts w:ascii="Arial"/>
          <w:color w:val="281F2D"/>
          <w:spacing w:val="21"/>
          <w:w w:val="105"/>
          <w:sz w:val="16"/>
        </w:rPr>
        <w:t xml:space="preserve"> </w:t>
      </w:r>
      <w:r>
        <w:rPr>
          <w:rFonts w:ascii="Arial"/>
          <w:color w:val="281F2D"/>
          <w:w w:val="105"/>
          <w:sz w:val="16"/>
        </w:rPr>
        <w:t>45;</w:t>
      </w:r>
      <w:r>
        <w:rPr>
          <w:rFonts w:ascii="Arial"/>
          <w:color w:val="281F2D"/>
          <w:spacing w:val="-12"/>
          <w:w w:val="105"/>
          <w:sz w:val="16"/>
        </w:rPr>
        <w:t xml:space="preserve"> </w:t>
      </w:r>
      <w:r>
        <w:rPr>
          <w:rFonts w:ascii="Arial"/>
          <w:color w:val="281F2D"/>
          <w:w w:val="105"/>
          <w:sz w:val="16"/>
        </w:rPr>
        <w:t>Austr</w:t>
      </w:r>
      <w:r>
        <w:rPr>
          <w:rFonts w:ascii="Arial"/>
          <w:color w:val="343446"/>
          <w:w w:val="105"/>
          <w:sz w:val="16"/>
        </w:rPr>
        <w:t>a</w:t>
      </w:r>
      <w:r>
        <w:rPr>
          <w:rFonts w:ascii="Arial"/>
          <w:color w:val="162342"/>
          <w:w w:val="105"/>
          <w:sz w:val="16"/>
        </w:rPr>
        <w:t>lia</w:t>
      </w:r>
      <w:r>
        <w:rPr>
          <w:rFonts w:ascii="Arial"/>
          <w:color w:val="162342"/>
          <w:spacing w:val="-12"/>
          <w:w w:val="105"/>
          <w:sz w:val="16"/>
        </w:rPr>
        <w:t xml:space="preserve"> </w:t>
      </w:r>
      <w:r>
        <w:rPr>
          <w:rFonts w:ascii="Arial"/>
          <w:color w:val="281F2D"/>
          <w:w w:val="105"/>
          <w:sz w:val="16"/>
        </w:rPr>
        <w:t>-</w:t>
      </w:r>
      <w:r>
        <w:rPr>
          <w:rFonts w:ascii="Arial"/>
          <w:color w:val="281F2D"/>
          <w:spacing w:val="40"/>
          <w:w w:val="105"/>
          <w:sz w:val="16"/>
        </w:rPr>
        <w:t xml:space="preserve"> </w:t>
      </w:r>
      <w:r>
        <w:rPr>
          <w:rFonts w:ascii="Arial"/>
          <w:color w:val="162342"/>
          <w:w w:val="105"/>
          <w:sz w:val="16"/>
        </w:rPr>
        <w:t xml:space="preserve">row </w:t>
      </w:r>
      <w:r>
        <w:rPr>
          <w:rFonts w:ascii="Arial"/>
          <w:color w:val="281F2D"/>
          <w:w w:val="105"/>
          <w:sz w:val="16"/>
        </w:rPr>
        <w:t>9</w:t>
      </w:r>
      <w:r>
        <w:rPr>
          <w:rFonts w:ascii="Arial"/>
          <w:color w:val="573624"/>
          <w:w w:val="105"/>
          <w:sz w:val="16"/>
        </w:rPr>
        <w:t xml:space="preserve">; </w:t>
      </w:r>
      <w:r>
        <w:rPr>
          <w:rFonts w:ascii="Arial"/>
          <w:color w:val="281F2D"/>
          <w:w w:val="105"/>
          <w:sz w:val="16"/>
        </w:rPr>
        <w:t>Chile</w:t>
      </w:r>
      <w:r>
        <w:rPr>
          <w:rFonts w:ascii="Arial"/>
          <w:color w:val="281F2D"/>
          <w:spacing w:val="-12"/>
          <w:w w:val="105"/>
          <w:sz w:val="16"/>
        </w:rPr>
        <w:t xml:space="preserve"> </w:t>
      </w:r>
      <w:r>
        <w:rPr>
          <w:rFonts w:ascii="Arial"/>
          <w:color w:val="281F2D"/>
          <w:w w:val="105"/>
          <w:sz w:val="16"/>
        </w:rPr>
        <w:t>-</w:t>
      </w:r>
      <w:r>
        <w:rPr>
          <w:rFonts w:ascii="Arial"/>
          <w:color w:val="281F2D"/>
          <w:spacing w:val="-12"/>
          <w:w w:val="105"/>
          <w:sz w:val="16"/>
        </w:rPr>
        <w:t xml:space="preserve"> </w:t>
      </w:r>
      <w:r>
        <w:rPr>
          <w:rFonts w:ascii="Arial"/>
          <w:color w:val="281F2D"/>
          <w:w w:val="105"/>
          <w:sz w:val="16"/>
        </w:rPr>
        <w:t>row</w:t>
      </w:r>
      <w:r>
        <w:rPr>
          <w:rFonts w:ascii="Arial"/>
          <w:color w:val="281F2D"/>
          <w:spacing w:val="-11"/>
          <w:w w:val="105"/>
          <w:sz w:val="16"/>
        </w:rPr>
        <w:t xml:space="preserve"> </w:t>
      </w:r>
      <w:r>
        <w:rPr>
          <w:rFonts w:ascii="Arial"/>
          <w:color w:val="162342"/>
          <w:w w:val="105"/>
          <w:sz w:val="16"/>
        </w:rPr>
        <w:t>14</w:t>
      </w:r>
      <w:r>
        <w:rPr>
          <w:rFonts w:ascii="Arial"/>
          <w:color w:val="243B62"/>
          <w:w w:val="105"/>
          <w:sz w:val="16"/>
        </w:rPr>
        <w:t>;</w:t>
      </w:r>
      <w:r>
        <w:rPr>
          <w:rFonts w:ascii="Arial"/>
          <w:color w:val="243B62"/>
          <w:spacing w:val="-12"/>
          <w:w w:val="105"/>
          <w:sz w:val="16"/>
        </w:rPr>
        <w:t xml:space="preserve"> </w:t>
      </w:r>
      <w:r>
        <w:rPr>
          <w:rFonts w:ascii="Arial"/>
          <w:color w:val="281F2D"/>
          <w:w w:val="105"/>
          <w:sz w:val="16"/>
        </w:rPr>
        <w:t>Spain</w:t>
      </w:r>
      <w:r>
        <w:rPr>
          <w:rFonts w:ascii="Arial"/>
          <w:color w:val="281F2D"/>
          <w:spacing w:val="-12"/>
          <w:w w:val="105"/>
          <w:sz w:val="16"/>
        </w:rPr>
        <w:t xml:space="preserve"> </w:t>
      </w:r>
      <w:r>
        <w:rPr>
          <w:rFonts w:ascii="Arial"/>
          <w:color w:val="281F2D"/>
          <w:w w:val="105"/>
          <w:sz w:val="16"/>
        </w:rPr>
        <w:t>-</w:t>
      </w:r>
      <w:r>
        <w:rPr>
          <w:rFonts w:ascii="Arial"/>
          <w:color w:val="281F2D"/>
          <w:spacing w:val="34"/>
          <w:w w:val="105"/>
          <w:sz w:val="16"/>
        </w:rPr>
        <w:t xml:space="preserve"> </w:t>
      </w:r>
      <w:r>
        <w:rPr>
          <w:rFonts w:ascii="Arial"/>
          <w:color w:val="281F2D"/>
          <w:w w:val="105"/>
          <w:sz w:val="16"/>
        </w:rPr>
        <w:t>row 39,</w:t>
      </w:r>
      <w:r>
        <w:rPr>
          <w:rFonts w:ascii="Arial"/>
          <w:color w:val="281F2D"/>
          <w:spacing w:val="-12"/>
          <w:w w:val="105"/>
          <w:sz w:val="16"/>
        </w:rPr>
        <w:t xml:space="preserve"> </w:t>
      </w:r>
      <w:r>
        <w:rPr>
          <w:rFonts w:ascii="Arial"/>
          <w:color w:val="243B62"/>
          <w:w w:val="105"/>
          <w:sz w:val="16"/>
        </w:rPr>
        <w:t>I</w:t>
      </w:r>
      <w:r>
        <w:rPr>
          <w:rFonts w:ascii="Arial"/>
          <w:color w:val="281F2D"/>
          <w:w w:val="105"/>
          <w:sz w:val="16"/>
        </w:rPr>
        <w:t>t</w:t>
      </w:r>
      <w:r>
        <w:rPr>
          <w:rFonts w:ascii="Arial"/>
          <w:color w:val="343446"/>
          <w:w w:val="105"/>
          <w:sz w:val="16"/>
        </w:rPr>
        <w:t>a</w:t>
      </w:r>
      <w:r>
        <w:rPr>
          <w:rFonts w:ascii="Arial"/>
          <w:color w:val="030308"/>
          <w:w w:val="105"/>
          <w:sz w:val="16"/>
        </w:rPr>
        <w:t>l</w:t>
      </w:r>
      <w:r>
        <w:rPr>
          <w:rFonts w:ascii="Arial"/>
          <w:color w:val="281F2D"/>
          <w:w w:val="105"/>
          <w:sz w:val="16"/>
        </w:rPr>
        <w:t>y-</w:t>
      </w:r>
      <w:r>
        <w:rPr>
          <w:rFonts w:ascii="Arial"/>
          <w:color w:val="281F2D"/>
          <w:spacing w:val="38"/>
          <w:w w:val="105"/>
          <w:sz w:val="16"/>
        </w:rPr>
        <w:t xml:space="preserve"> </w:t>
      </w:r>
      <w:r>
        <w:rPr>
          <w:rFonts w:ascii="Arial"/>
          <w:color w:val="281F2D"/>
          <w:w w:val="105"/>
          <w:sz w:val="16"/>
        </w:rPr>
        <w:t>44.</w:t>
      </w:r>
      <w:r>
        <w:rPr>
          <w:rFonts w:ascii="Arial"/>
          <w:color w:val="281F2D"/>
          <w:spacing w:val="-12"/>
          <w:w w:val="105"/>
          <w:sz w:val="16"/>
        </w:rPr>
        <w:t xml:space="preserve"> </w:t>
      </w:r>
      <w:r>
        <w:rPr>
          <w:rFonts w:ascii="Arial"/>
          <w:color w:val="281F2D"/>
          <w:w w:val="105"/>
          <w:sz w:val="16"/>
        </w:rPr>
        <w:t>For</w:t>
      </w:r>
      <w:r>
        <w:rPr>
          <w:rFonts w:ascii="Arial"/>
          <w:color w:val="281F2D"/>
          <w:spacing w:val="-12"/>
          <w:w w:val="105"/>
          <w:sz w:val="16"/>
        </w:rPr>
        <w:t xml:space="preserve"> </w:t>
      </w:r>
      <w:r>
        <w:rPr>
          <w:rFonts w:ascii="Arial"/>
          <w:color w:val="281F2D"/>
          <w:w w:val="105"/>
          <w:sz w:val="16"/>
        </w:rPr>
        <w:t>2019</w:t>
      </w:r>
      <w:r>
        <w:rPr>
          <w:rFonts w:ascii="Arial"/>
          <w:color w:val="281F2D"/>
          <w:spacing w:val="-11"/>
          <w:w w:val="105"/>
          <w:sz w:val="16"/>
        </w:rPr>
        <w:t xml:space="preserve"> </w:t>
      </w:r>
      <w:r>
        <w:rPr>
          <w:rFonts w:ascii="Arial"/>
          <w:color w:val="281F2D"/>
          <w:w w:val="105"/>
          <w:sz w:val="16"/>
        </w:rPr>
        <w:t>import</w:t>
      </w:r>
      <w:r>
        <w:rPr>
          <w:rFonts w:ascii="Arial"/>
          <w:color w:val="281F2D"/>
          <w:spacing w:val="-12"/>
          <w:w w:val="105"/>
          <w:sz w:val="16"/>
        </w:rPr>
        <w:t xml:space="preserve"> </w:t>
      </w:r>
      <w:r>
        <w:rPr>
          <w:rFonts w:ascii="Arial"/>
          <w:color w:val="281F2D"/>
          <w:w w:val="105"/>
          <w:sz w:val="16"/>
        </w:rPr>
        <w:t>volumes</w:t>
      </w:r>
      <w:r>
        <w:rPr>
          <w:rFonts w:ascii="Arial"/>
          <w:color w:val="281F2D"/>
          <w:spacing w:val="-12"/>
          <w:w w:val="105"/>
          <w:sz w:val="16"/>
        </w:rPr>
        <w:t xml:space="preserve"> </w:t>
      </w:r>
      <w:r>
        <w:rPr>
          <w:rFonts w:ascii="Arial"/>
          <w:color w:val="281F2D"/>
          <w:w w:val="105"/>
          <w:sz w:val="16"/>
        </w:rPr>
        <w:t>seep.</w:t>
      </w:r>
      <w:r>
        <w:rPr>
          <w:rFonts w:ascii="Arial"/>
          <w:color w:val="281F2D"/>
          <w:spacing w:val="-12"/>
          <w:w w:val="105"/>
          <w:sz w:val="16"/>
        </w:rPr>
        <w:t xml:space="preserve"> </w:t>
      </w:r>
      <w:r>
        <w:rPr>
          <w:rFonts w:ascii="Arial"/>
          <w:color w:val="281F2D"/>
          <w:w w:val="105"/>
          <w:sz w:val="16"/>
        </w:rPr>
        <w:t>48</w:t>
      </w:r>
      <w:r>
        <w:rPr>
          <w:rFonts w:ascii="Arial"/>
          <w:color w:val="343446"/>
          <w:w w:val="105"/>
          <w:sz w:val="16"/>
        </w:rPr>
        <w:t>,</w:t>
      </w:r>
      <w:r>
        <w:rPr>
          <w:rFonts w:ascii="Arial"/>
          <w:color w:val="343446"/>
          <w:spacing w:val="-7"/>
          <w:w w:val="105"/>
          <w:sz w:val="16"/>
        </w:rPr>
        <w:t xml:space="preserve"> </w:t>
      </w:r>
      <w:r>
        <w:rPr>
          <w:rFonts w:ascii="Arial"/>
          <w:color w:val="281F2D"/>
          <w:w w:val="105"/>
          <w:sz w:val="16"/>
        </w:rPr>
        <w:t>column</w:t>
      </w:r>
      <w:r>
        <w:rPr>
          <w:rFonts w:ascii="Arial"/>
          <w:color w:val="281F2D"/>
          <w:spacing w:val="-11"/>
          <w:w w:val="105"/>
          <w:sz w:val="16"/>
        </w:rPr>
        <w:t xml:space="preserve"> </w:t>
      </w:r>
      <w:r>
        <w:rPr>
          <w:rFonts w:ascii="Arial"/>
          <w:color w:val="281F2D"/>
          <w:w w:val="105"/>
          <w:sz w:val="16"/>
        </w:rPr>
        <w:t>E:</w:t>
      </w:r>
      <w:r>
        <w:rPr>
          <w:rFonts w:ascii="Arial"/>
          <w:color w:val="281F2D"/>
          <w:spacing w:val="-12"/>
          <w:w w:val="105"/>
          <w:sz w:val="16"/>
        </w:rPr>
        <w:t xml:space="preserve"> </w:t>
      </w:r>
      <w:r>
        <w:rPr>
          <w:rFonts w:ascii="Arial"/>
          <w:color w:val="412823"/>
          <w:w w:val="105"/>
          <w:sz w:val="16"/>
        </w:rPr>
        <w:t>F</w:t>
      </w:r>
      <w:r>
        <w:rPr>
          <w:rFonts w:ascii="Arial"/>
          <w:color w:val="162342"/>
          <w:w w:val="105"/>
          <w:sz w:val="16"/>
        </w:rPr>
        <w:t>rance</w:t>
      </w:r>
      <w:r>
        <w:rPr>
          <w:rFonts w:ascii="Arial"/>
          <w:color w:val="162342"/>
          <w:spacing w:val="-9"/>
          <w:w w:val="105"/>
          <w:sz w:val="16"/>
        </w:rPr>
        <w:t xml:space="preserve"> </w:t>
      </w:r>
      <w:r>
        <w:rPr>
          <w:rFonts w:ascii="Arial"/>
          <w:color w:val="281F2D"/>
          <w:w w:val="105"/>
          <w:sz w:val="16"/>
        </w:rPr>
        <w:t>-</w:t>
      </w:r>
      <w:r>
        <w:rPr>
          <w:rFonts w:ascii="Arial"/>
          <w:color w:val="281F2D"/>
          <w:spacing w:val="34"/>
          <w:w w:val="105"/>
          <w:sz w:val="16"/>
        </w:rPr>
        <w:t xml:space="preserve"> </w:t>
      </w:r>
      <w:r>
        <w:rPr>
          <w:rFonts w:ascii="Arial"/>
          <w:color w:val="162342"/>
          <w:w w:val="105"/>
          <w:sz w:val="16"/>
        </w:rPr>
        <w:t>row</w:t>
      </w:r>
      <w:r>
        <w:rPr>
          <w:rFonts w:ascii="Arial"/>
          <w:color w:val="162342"/>
          <w:spacing w:val="23"/>
          <w:w w:val="105"/>
          <w:sz w:val="16"/>
        </w:rPr>
        <w:t xml:space="preserve"> </w:t>
      </w:r>
      <w:r>
        <w:rPr>
          <w:rFonts w:ascii="Arial"/>
          <w:color w:val="281F2D"/>
          <w:w w:val="105"/>
          <w:sz w:val="16"/>
        </w:rPr>
        <w:t>53; Australia</w:t>
      </w:r>
      <w:r>
        <w:rPr>
          <w:rFonts w:ascii="Arial"/>
          <w:color w:val="281F2D"/>
          <w:spacing w:val="-12"/>
          <w:w w:val="105"/>
          <w:sz w:val="16"/>
        </w:rPr>
        <w:t xml:space="preserve"> </w:t>
      </w:r>
      <w:r>
        <w:rPr>
          <w:rFonts w:ascii="Arial"/>
          <w:color w:val="281F2D"/>
          <w:w w:val="105"/>
          <w:sz w:val="16"/>
        </w:rPr>
        <w:t>-</w:t>
      </w:r>
      <w:r>
        <w:rPr>
          <w:rFonts w:ascii="Arial"/>
          <w:color w:val="281F2D"/>
          <w:spacing w:val="40"/>
          <w:w w:val="105"/>
          <w:sz w:val="16"/>
        </w:rPr>
        <w:t xml:space="preserve"> </w:t>
      </w:r>
      <w:r>
        <w:rPr>
          <w:rFonts w:ascii="Arial"/>
          <w:color w:val="281F2D"/>
          <w:w w:val="105"/>
          <w:sz w:val="16"/>
        </w:rPr>
        <w:t>row 93</w:t>
      </w:r>
      <w:r>
        <w:rPr>
          <w:rFonts w:ascii="Arial"/>
          <w:color w:val="243B62"/>
          <w:w w:val="105"/>
          <w:sz w:val="16"/>
        </w:rPr>
        <w:t xml:space="preserve">; </w:t>
      </w:r>
      <w:r>
        <w:rPr>
          <w:rFonts w:ascii="Arial"/>
          <w:color w:val="281F2D"/>
          <w:w w:val="105"/>
          <w:sz w:val="16"/>
        </w:rPr>
        <w:t>Chile</w:t>
      </w:r>
      <w:r>
        <w:rPr>
          <w:rFonts w:ascii="Arial"/>
          <w:color w:val="281F2D"/>
          <w:spacing w:val="-4"/>
          <w:w w:val="105"/>
          <w:sz w:val="16"/>
        </w:rPr>
        <w:t xml:space="preserve"> </w:t>
      </w:r>
      <w:r>
        <w:rPr>
          <w:rFonts w:ascii="Arial"/>
          <w:color w:val="281F2D"/>
          <w:w w:val="105"/>
          <w:sz w:val="16"/>
        </w:rPr>
        <w:t>-</w:t>
      </w:r>
      <w:r>
        <w:rPr>
          <w:rFonts w:ascii="Arial"/>
          <w:color w:val="281F2D"/>
          <w:spacing w:val="40"/>
          <w:w w:val="105"/>
          <w:sz w:val="16"/>
        </w:rPr>
        <w:t xml:space="preserve"> </w:t>
      </w:r>
      <w:r>
        <w:rPr>
          <w:rFonts w:ascii="Arial"/>
          <w:color w:val="162342"/>
          <w:w w:val="105"/>
          <w:sz w:val="16"/>
        </w:rPr>
        <w:t xml:space="preserve">row </w:t>
      </w:r>
      <w:r>
        <w:rPr>
          <w:rFonts w:ascii="Arial"/>
          <w:color w:val="281F2D"/>
          <w:w w:val="105"/>
          <w:sz w:val="16"/>
        </w:rPr>
        <w:t>87</w:t>
      </w:r>
      <w:r>
        <w:rPr>
          <w:rFonts w:ascii="Arial"/>
          <w:color w:val="243B62"/>
          <w:w w:val="105"/>
          <w:sz w:val="16"/>
        </w:rPr>
        <w:t xml:space="preserve">; </w:t>
      </w:r>
      <w:r>
        <w:rPr>
          <w:rFonts w:ascii="Arial"/>
          <w:color w:val="281F2D"/>
          <w:w w:val="105"/>
          <w:sz w:val="16"/>
        </w:rPr>
        <w:t>Spain</w:t>
      </w:r>
      <w:r>
        <w:rPr>
          <w:rFonts w:ascii="Arial"/>
          <w:color w:val="281F2D"/>
          <w:spacing w:val="-18"/>
          <w:w w:val="105"/>
          <w:sz w:val="16"/>
        </w:rPr>
        <w:t xml:space="preserve"> </w:t>
      </w:r>
      <w:r>
        <w:rPr>
          <w:rFonts w:ascii="Arial"/>
          <w:color w:val="281F2D"/>
          <w:w w:val="105"/>
          <w:sz w:val="16"/>
        </w:rPr>
        <w:t>-</w:t>
      </w:r>
      <w:r>
        <w:rPr>
          <w:rFonts w:ascii="Arial"/>
          <w:color w:val="281F2D"/>
          <w:spacing w:val="40"/>
          <w:w w:val="105"/>
          <w:sz w:val="16"/>
        </w:rPr>
        <w:t xml:space="preserve"> </w:t>
      </w:r>
      <w:r>
        <w:rPr>
          <w:rFonts w:ascii="Arial"/>
          <w:color w:val="281F2D"/>
          <w:w w:val="105"/>
          <w:sz w:val="16"/>
        </w:rPr>
        <w:t>row</w:t>
      </w:r>
      <w:r>
        <w:rPr>
          <w:rFonts w:ascii="Arial"/>
          <w:color w:val="281F2D"/>
          <w:spacing w:val="34"/>
          <w:w w:val="105"/>
          <w:sz w:val="16"/>
        </w:rPr>
        <w:t xml:space="preserve"> </w:t>
      </w:r>
      <w:r>
        <w:rPr>
          <w:rFonts w:ascii="Arial"/>
          <w:color w:val="281F2D"/>
          <w:w w:val="105"/>
          <w:sz w:val="16"/>
        </w:rPr>
        <w:t>59</w:t>
      </w:r>
      <w:r>
        <w:rPr>
          <w:rFonts w:ascii="Arial"/>
          <w:color w:val="573624"/>
          <w:w w:val="105"/>
          <w:sz w:val="16"/>
        </w:rPr>
        <w:t>,</w:t>
      </w:r>
      <w:r>
        <w:rPr>
          <w:rFonts w:ascii="Arial"/>
          <w:color w:val="573624"/>
          <w:spacing w:val="-8"/>
          <w:w w:val="105"/>
          <w:sz w:val="16"/>
        </w:rPr>
        <w:t xml:space="preserve"> </w:t>
      </w:r>
      <w:r>
        <w:rPr>
          <w:rFonts w:ascii="Arial"/>
          <w:color w:val="281F2D"/>
          <w:w w:val="105"/>
          <w:sz w:val="16"/>
        </w:rPr>
        <w:t>It</w:t>
      </w:r>
      <w:r>
        <w:rPr>
          <w:rFonts w:ascii="Arial"/>
          <w:color w:val="343446"/>
          <w:w w:val="105"/>
          <w:sz w:val="16"/>
        </w:rPr>
        <w:t>a</w:t>
      </w:r>
      <w:r>
        <w:rPr>
          <w:rFonts w:ascii="Arial"/>
          <w:color w:val="162342"/>
          <w:w w:val="105"/>
          <w:sz w:val="16"/>
        </w:rPr>
        <w:t>ly-</w:t>
      </w:r>
      <w:r>
        <w:rPr>
          <w:rFonts w:ascii="Arial"/>
          <w:color w:val="162342"/>
          <w:spacing w:val="40"/>
          <w:w w:val="105"/>
          <w:sz w:val="16"/>
        </w:rPr>
        <w:t xml:space="preserve"> </w:t>
      </w:r>
      <w:r>
        <w:rPr>
          <w:rFonts w:ascii="Arial"/>
          <w:color w:val="281F2D"/>
          <w:w w:val="105"/>
          <w:sz w:val="16"/>
        </w:rPr>
        <w:t>5</w:t>
      </w:r>
      <w:r>
        <w:rPr>
          <w:rFonts w:ascii="Arial"/>
          <w:color w:val="343446"/>
          <w:w w:val="105"/>
          <w:sz w:val="16"/>
        </w:rPr>
        <w:t>5</w:t>
      </w:r>
      <w:r>
        <w:rPr>
          <w:rFonts w:ascii="Arial"/>
          <w:color w:val="162342"/>
          <w:w w:val="105"/>
          <w:sz w:val="16"/>
        </w:rPr>
        <w:t>.</w:t>
      </w:r>
    </w:p>
    <w:p w14:paraId="51DE92BE" w14:textId="77777777" w:rsidR="0010369C" w:rsidRDefault="0010369C">
      <w:pPr>
        <w:spacing w:line="288" w:lineRule="auto"/>
        <w:jc w:val="both"/>
        <w:rPr>
          <w:rFonts w:ascii="Arial"/>
          <w:sz w:val="16"/>
        </w:rPr>
        <w:sectPr w:rsidR="0010369C">
          <w:type w:val="continuous"/>
          <w:pgSz w:w="11910" w:h="16840"/>
          <w:pgMar w:top="1460" w:right="800" w:bottom="280" w:left="1180" w:header="491" w:footer="814" w:gutter="0"/>
          <w:cols w:space="720"/>
        </w:sectPr>
      </w:pPr>
    </w:p>
    <w:p w14:paraId="51DE92BF" w14:textId="77777777" w:rsidR="0010369C" w:rsidRDefault="008E43AE">
      <w:pPr>
        <w:tabs>
          <w:tab w:val="left" w:pos="6445"/>
        </w:tabs>
        <w:spacing w:before="11"/>
        <w:ind w:left="228"/>
        <w:rPr>
          <w:rFonts w:ascii="Arial"/>
          <w:sz w:val="18"/>
        </w:rPr>
      </w:pPr>
      <w:r>
        <w:rPr>
          <w:rFonts w:ascii="Arial"/>
          <w:i/>
          <w:color w:val="2A212F"/>
          <w:w w:val="105"/>
          <w:sz w:val="18"/>
        </w:rPr>
        <w:lastRenderedPageBreak/>
        <w:t>China</w:t>
      </w:r>
      <w:r>
        <w:rPr>
          <w:rFonts w:ascii="Arial"/>
          <w:i/>
          <w:color w:val="2A212F"/>
          <w:spacing w:val="-16"/>
          <w:w w:val="105"/>
          <w:sz w:val="18"/>
        </w:rPr>
        <w:t xml:space="preserve"> </w:t>
      </w:r>
      <w:r>
        <w:rPr>
          <w:rFonts w:ascii="Arial"/>
          <w:i/>
          <w:color w:val="05050C"/>
          <w:w w:val="105"/>
          <w:sz w:val="18"/>
        </w:rPr>
        <w:t>-</w:t>
      </w:r>
      <w:r>
        <w:rPr>
          <w:rFonts w:ascii="Arial"/>
          <w:i/>
          <w:color w:val="2A212F"/>
          <w:w w:val="105"/>
          <w:sz w:val="18"/>
        </w:rPr>
        <w:t>Anti-Dumping</w:t>
      </w:r>
      <w:r>
        <w:rPr>
          <w:rFonts w:ascii="Arial"/>
          <w:i/>
          <w:color w:val="2A212F"/>
          <w:spacing w:val="-15"/>
          <w:w w:val="105"/>
          <w:sz w:val="18"/>
        </w:rPr>
        <w:t xml:space="preserve"> </w:t>
      </w:r>
      <w:r>
        <w:rPr>
          <w:rFonts w:ascii="Arial"/>
          <w:i/>
          <w:color w:val="2A212F"/>
          <w:w w:val="105"/>
          <w:sz w:val="18"/>
        </w:rPr>
        <w:t>and</w:t>
      </w:r>
      <w:r>
        <w:rPr>
          <w:rFonts w:ascii="Arial"/>
          <w:i/>
          <w:color w:val="2A212F"/>
          <w:spacing w:val="-22"/>
          <w:w w:val="105"/>
          <w:sz w:val="18"/>
        </w:rPr>
        <w:t xml:space="preserve"> </w:t>
      </w:r>
      <w:r>
        <w:rPr>
          <w:rFonts w:ascii="Arial"/>
          <w:i/>
          <w:color w:val="2A212F"/>
          <w:w w:val="105"/>
          <w:sz w:val="18"/>
        </w:rPr>
        <w:t>Countervailing</w:t>
      </w:r>
      <w:r>
        <w:rPr>
          <w:rFonts w:ascii="Arial"/>
          <w:i/>
          <w:color w:val="2A212F"/>
          <w:spacing w:val="-6"/>
          <w:w w:val="105"/>
          <w:sz w:val="18"/>
        </w:rPr>
        <w:t xml:space="preserve"> </w:t>
      </w:r>
      <w:r>
        <w:rPr>
          <w:rFonts w:ascii="Arial"/>
          <w:i/>
          <w:color w:val="2A212F"/>
          <w:w w:val="105"/>
          <w:sz w:val="18"/>
        </w:rPr>
        <w:t>Duty</w:t>
      </w:r>
      <w:r>
        <w:rPr>
          <w:rFonts w:ascii="Arial"/>
          <w:i/>
          <w:color w:val="2A212F"/>
          <w:spacing w:val="-11"/>
          <w:w w:val="105"/>
          <w:sz w:val="18"/>
        </w:rPr>
        <w:t xml:space="preserve"> </w:t>
      </w:r>
      <w:r>
        <w:rPr>
          <w:rFonts w:ascii="Arial"/>
          <w:i/>
          <w:color w:val="2A212F"/>
          <w:spacing w:val="-2"/>
          <w:w w:val="105"/>
          <w:sz w:val="18"/>
        </w:rPr>
        <w:t>Measures</w:t>
      </w:r>
      <w:r>
        <w:rPr>
          <w:rFonts w:ascii="Arial"/>
          <w:i/>
          <w:color w:val="2A212F"/>
          <w:sz w:val="18"/>
        </w:rPr>
        <w:tab/>
      </w:r>
      <w:r>
        <w:rPr>
          <w:rFonts w:ascii="Arial"/>
          <w:color w:val="2A212F"/>
          <w:w w:val="105"/>
          <w:sz w:val="18"/>
        </w:rPr>
        <w:t>Austra</w:t>
      </w:r>
      <w:r>
        <w:rPr>
          <w:rFonts w:ascii="Arial"/>
          <w:color w:val="05050C"/>
          <w:w w:val="105"/>
          <w:sz w:val="18"/>
        </w:rPr>
        <w:t>l</w:t>
      </w:r>
      <w:r>
        <w:rPr>
          <w:rFonts w:ascii="Arial"/>
          <w:color w:val="1A2644"/>
          <w:w w:val="105"/>
          <w:sz w:val="18"/>
        </w:rPr>
        <w:t>ia's</w:t>
      </w:r>
      <w:r>
        <w:rPr>
          <w:rFonts w:ascii="Arial"/>
          <w:color w:val="1A2644"/>
          <w:spacing w:val="-23"/>
          <w:w w:val="105"/>
          <w:sz w:val="18"/>
        </w:rPr>
        <w:t xml:space="preserve"> </w:t>
      </w:r>
      <w:r>
        <w:rPr>
          <w:rFonts w:ascii="Arial"/>
          <w:color w:val="2A212F"/>
          <w:w w:val="105"/>
          <w:sz w:val="18"/>
        </w:rPr>
        <w:t>First</w:t>
      </w:r>
      <w:r>
        <w:rPr>
          <w:rFonts w:ascii="Arial"/>
          <w:color w:val="2A212F"/>
          <w:spacing w:val="-6"/>
          <w:w w:val="105"/>
          <w:sz w:val="18"/>
        </w:rPr>
        <w:t xml:space="preserve"> </w:t>
      </w:r>
      <w:r>
        <w:rPr>
          <w:rFonts w:ascii="Arial"/>
          <w:color w:val="2A212F"/>
          <w:w w:val="105"/>
          <w:sz w:val="18"/>
        </w:rPr>
        <w:t>Written</w:t>
      </w:r>
      <w:r>
        <w:rPr>
          <w:rFonts w:ascii="Arial"/>
          <w:color w:val="2A212F"/>
          <w:spacing w:val="-12"/>
          <w:w w:val="105"/>
          <w:sz w:val="18"/>
        </w:rPr>
        <w:t xml:space="preserve"> </w:t>
      </w:r>
      <w:r>
        <w:rPr>
          <w:rFonts w:ascii="Arial"/>
          <w:color w:val="2A212F"/>
          <w:spacing w:val="-2"/>
          <w:w w:val="105"/>
          <w:sz w:val="18"/>
        </w:rPr>
        <w:t>Subm</w:t>
      </w:r>
      <w:r>
        <w:rPr>
          <w:rFonts w:ascii="Arial"/>
          <w:color w:val="563321"/>
          <w:spacing w:val="-2"/>
          <w:w w:val="105"/>
          <w:sz w:val="18"/>
        </w:rPr>
        <w:t>i</w:t>
      </w:r>
      <w:r>
        <w:rPr>
          <w:rFonts w:ascii="Arial"/>
          <w:color w:val="2A212F"/>
          <w:spacing w:val="-2"/>
          <w:w w:val="105"/>
          <w:sz w:val="18"/>
        </w:rPr>
        <w:t>ssion</w:t>
      </w:r>
    </w:p>
    <w:p w14:paraId="51DE92C0" w14:textId="77777777" w:rsidR="0010369C" w:rsidRDefault="008E43AE">
      <w:pPr>
        <w:tabs>
          <w:tab w:val="left" w:pos="8256"/>
        </w:tabs>
        <w:spacing w:before="54"/>
        <w:ind w:left="235"/>
        <w:rPr>
          <w:rFonts w:ascii="Arial"/>
          <w:sz w:val="18"/>
        </w:rPr>
      </w:pPr>
      <w:r>
        <w:rPr>
          <w:rFonts w:ascii="Arial"/>
          <w:i/>
          <w:color w:val="2A212F"/>
          <w:w w:val="105"/>
          <w:sz w:val="18"/>
        </w:rPr>
        <w:t>on</w:t>
      </w:r>
      <w:r>
        <w:rPr>
          <w:rFonts w:ascii="Arial"/>
          <w:i/>
          <w:color w:val="2A212F"/>
          <w:spacing w:val="-11"/>
          <w:w w:val="105"/>
          <w:sz w:val="18"/>
        </w:rPr>
        <w:t xml:space="preserve"> </w:t>
      </w:r>
      <w:r>
        <w:rPr>
          <w:rFonts w:ascii="Arial"/>
          <w:i/>
          <w:color w:val="2A212F"/>
          <w:w w:val="105"/>
          <w:sz w:val="18"/>
        </w:rPr>
        <w:t>Winefrom Australia</w:t>
      </w:r>
      <w:r>
        <w:rPr>
          <w:rFonts w:ascii="Arial"/>
          <w:i/>
          <w:color w:val="2A212F"/>
          <w:spacing w:val="13"/>
          <w:w w:val="105"/>
          <w:sz w:val="18"/>
        </w:rPr>
        <w:t xml:space="preserve"> </w:t>
      </w:r>
      <w:r>
        <w:rPr>
          <w:rFonts w:ascii="Arial"/>
          <w:color w:val="2A212F"/>
          <w:spacing w:val="-2"/>
          <w:w w:val="105"/>
          <w:sz w:val="18"/>
        </w:rPr>
        <w:t>(0S602)</w:t>
      </w:r>
      <w:r>
        <w:rPr>
          <w:rFonts w:ascii="Arial"/>
          <w:color w:val="2A212F"/>
          <w:sz w:val="18"/>
        </w:rPr>
        <w:tab/>
      </w:r>
      <w:r>
        <w:rPr>
          <w:rFonts w:ascii="Arial"/>
          <w:color w:val="2A212F"/>
          <w:w w:val="105"/>
          <w:sz w:val="18"/>
        </w:rPr>
        <w:t>29</w:t>
      </w:r>
      <w:r>
        <w:rPr>
          <w:rFonts w:ascii="Arial"/>
          <w:color w:val="2A212F"/>
          <w:spacing w:val="-12"/>
          <w:w w:val="105"/>
          <w:sz w:val="18"/>
        </w:rPr>
        <w:t xml:space="preserve"> </w:t>
      </w:r>
      <w:r>
        <w:rPr>
          <w:rFonts w:ascii="Arial"/>
          <w:color w:val="2A212F"/>
          <w:w w:val="105"/>
          <w:sz w:val="18"/>
        </w:rPr>
        <w:t>April</w:t>
      </w:r>
      <w:r>
        <w:rPr>
          <w:rFonts w:ascii="Arial"/>
          <w:color w:val="2A212F"/>
          <w:spacing w:val="-6"/>
          <w:w w:val="105"/>
          <w:sz w:val="18"/>
        </w:rPr>
        <w:t xml:space="preserve"> </w:t>
      </w:r>
      <w:r>
        <w:rPr>
          <w:rFonts w:ascii="Arial"/>
          <w:color w:val="2A212F"/>
          <w:spacing w:val="-4"/>
          <w:w w:val="105"/>
          <w:sz w:val="18"/>
        </w:rPr>
        <w:t>2022</w:t>
      </w:r>
    </w:p>
    <w:p w14:paraId="51DE92C1" w14:textId="77777777" w:rsidR="0010369C" w:rsidRDefault="008E43AE">
      <w:pPr>
        <w:spacing w:before="76" w:line="439" w:lineRule="auto"/>
        <w:ind w:left="240" w:right="572"/>
        <w:jc w:val="both"/>
        <w:rPr>
          <w:rFonts w:ascii="Arial"/>
          <w:sz w:val="21"/>
        </w:rPr>
      </w:pPr>
      <w:r>
        <w:pict w14:anchorId="51DEA5CC">
          <v:line id="_x0000_s1225" style="position:absolute;left:0;text-align:left;z-index:251863552;mso-position-horizontal-relative:page" from="70.75pt,87.8pt" to="70.75pt,52.75pt" strokeweight=".35397mm">
            <w10:wrap anchorx="page"/>
          </v:line>
        </w:pict>
      </w:r>
      <w:r>
        <w:pict w14:anchorId="51DEA5CD">
          <v:group id="docshapegroup1174" o:spid="_x0000_s1222" style="position:absolute;left:0;text-align:left;margin-left:459.55pt;margin-top:48.75pt;width:67.25pt;height:297.75pt;z-index:-251287040;mso-position-horizontal-relative:page" coordorigin="9191,975" coordsize="1345,5955">
            <v:line id="_x0000_s1224" style="position:absolute" from="10515,6929" to="10515,975" strokeweight=".35397mm"/>
            <v:line id="_x0000_s1223" style="position:absolute" from="9191,6899" to="10535,6899" strokecolor="#d8d8d8" strokeweight="0"/>
            <w10:wrap anchorx="page"/>
          </v:group>
        </w:pict>
      </w:r>
      <w:r>
        <w:rPr>
          <w:rFonts w:ascii="Arial"/>
          <w:color w:val="2A212F"/>
          <w:w w:val="110"/>
          <w:sz w:val="21"/>
        </w:rPr>
        <w:t>that imports</w:t>
      </w:r>
      <w:r>
        <w:rPr>
          <w:rFonts w:ascii="Arial"/>
          <w:color w:val="2A212F"/>
          <w:spacing w:val="-4"/>
          <w:w w:val="110"/>
          <w:sz w:val="21"/>
        </w:rPr>
        <w:t xml:space="preserve"> </w:t>
      </w:r>
      <w:r>
        <w:rPr>
          <w:rFonts w:ascii="Arial"/>
          <w:color w:val="2A212F"/>
          <w:w w:val="110"/>
          <w:sz w:val="21"/>
        </w:rPr>
        <w:t>of like</w:t>
      </w:r>
      <w:r>
        <w:rPr>
          <w:rFonts w:ascii="Arial"/>
          <w:color w:val="2A212F"/>
          <w:spacing w:val="-7"/>
          <w:w w:val="110"/>
          <w:sz w:val="21"/>
        </w:rPr>
        <w:t xml:space="preserve"> </w:t>
      </w:r>
      <w:r>
        <w:rPr>
          <w:rFonts w:ascii="Arial"/>
          <w:color w:val="2A212F"/>
          <w:w w:val="110"/>
          <w:sz w:val="21"/>
        </w:rPr>
        <w:t>products from third</w:t>
      </w:r>
      <w:r>
        <w:rPr>
          <w:rFonts w:ascii="Arial"/>
          <w:color w:val="2A212F"/>
          <w:spacing w:val="-5"/>
          <w:w w:val="110"/>
          <w:sz w:val="21"/>
        </w:rPr>
        <w:t xml:space="preserve"> </w:t>
      </w:r>
      <w:r>
        <w:rPr>
          <w:rFonts w:ascii="Arial"/>
          <w:color w:val="2A212F"/>
          <w:w w:val="110"/>
          <w:sz w:val="21"/>
        </w:rPr>
        <w:t>countr</w:t>
      </w:r>
      <w:r>
        <w:rPr>
          <w:rFonts w:ascii="Arial"/>
          <w:color w:val="563321"/>
          <w:w w:val="110"/>
          <w:sz w:val="21"/>
        </w:rPr>
        <w:t>i</w:t>
      </w:r>
      <w:r>
        <w:rPr>
          <w:rFonts w:ascii="Arial"/>
          <w:color w:val="2A212F"/>
          <w:w w:val="110"/>
          <w:sz w:val="21"/>
        </w:rPr>
        <w:t>es were</w:t>
      </w:r>
      <w:r>
        <w:rPr>
          <w:rFonts w:ascii="Arial"/>
          <w:color w:val="2A212F"/>
          <w:spacing w:val="-1"/>
          <w:w w:val="110"/>
          <w:sz w:val="21"/>
        </w:rPr>
        <w:t xml:space="preserve"> </w:t>
      </w:r>
      <w:r>
        <w:rPr>
          <w:rFonts w:ascii="Arial"/>
          <w:color w:val="2A212F"/>
          <w:w w:val="110"/>
          <w:sz w:val="21"/>
        </w:rPr>
        <w:t xml:space="preserve">much </w:t>
      </w:r>
      <w:r>
        <w:rPr>
          <w:rFonts w:ascii="Arial"/>
          <w:color w:val="1A2644"/>
          <w:w w:val="110"/>
          <w:sz w:val="21"/>
        </w:rPr>
        <w:t>more</w:t>
      </w:r>
      <w:r>
        <w:rPr>
          <w:rFonts w:ascii="Arial"/>
          <w:color w:val="1A2644"/>
          <w:spacing w:val="-3"/>
          <w:w w:val="110"/>
          <w:sz w:val="21"/>
        </w:rPr>
        <w:t xml:space="preserve"> </w:t>
      </w:r>
      <w:r>
        <w:rPr>
          <w:rFonts w:ascii="Arial"/>
          <w:color w:val="463134"/>
          <w:w w:val="110"/>
          <w:sz w:val="21"/>
        </w:rPr>
        <w:t>likely</w:t>
      </w:r>
      <w:r>
        <w:rPr>
          <w:rFonts w:ascii="Arial"/>
          <w:color w:val="463134"/>
          <w:spacing w:val="-5"/>
          <w:w w:val="110"/>
          <w:sz w:val="21"/>
        </w:rPr>
        <w:t xml:space="preserve"> </w:t>
      </w:r>
      <w:r>
        <w:rPr>
          <w:rFonts w:ascii="Arial"/>
          <w:color w:val="2A212F"/>
          <w:w w:val="110"/>
          <w:sz w:val="21"/>
        </w:rPr>
        <w:t>to</w:t>
      </w:r>
      <w:r>
        <w:rPr>
          <w:rFonts w:ascii="Arial"/>
          <w:color w:val="2A212F"/>
          <w:spacing w:val="30"/>
          <w:w w:val="110"/>
          <w:sz w:val="21"/>
        </w:rPr>
        <w:t xml:space="preserve"> </w:t>
      </w:r>
      <w:r>
        <w:rPr>
          <w:rFonts w:ascii="Arial"/>
          <w:color w:val="2A212F"/>
          <w:w w:val="110"/>
          <w:sz w:val="21"/>
        </w:rPr>
        <w:t xml:space="preserve">impose </w:t>
      </w:r>
      <w:r>
        <w:rPr>
          <w:rFonts w:ascii="Arial"/>
          <w:color w:val="1A2644"/>
          <w:w w:val="110"/>
          <w:sz w:val="21"/>
        </w:rPr>
        <w:t>pric</w:t>
      </w:r>
      <w:r>
        <w:rPr>
          <w:rFonts w:ascii="Arial"/>
          <w:color w:val="563321"/>
          <w:w w:val="110"/>
          <w:sz w:val="21"/>
        </w:rPr>
        <w:t>i</w:t>
      </w:r>
      <w:r>
        <w:rPr>
          <w:rFonts w:ascii="Arial"/>
          <w:color w:val="1A2644"/>
          <w:w w:val="110"/>
          <w:sz w:val="21"/>
        </w:rPr>
        <w:t xml:space="preserve">ng </w:t>
      </w:r>
      <w:r>
        <w:rPr>
          <w:rFonts w:ascii="Arial"/>
          <w:color w:val="2A212F"/>
          <w:w w:val="110"/>
          <w:sz w:val="21"/>
        </w:rPr>
        <w:t>press</w:t>
      </w:r>
      <w:r>
        <w:rPr>
          <w:rFonts w:ascii="Arial"/>
          <w:color w:val="05050C"/>
          <w:w w:val="110"/>
          <w:sz w:val="21"/>
        </w:rPr>
        <w:t>u</w:t>
      </w:r>
      <w:r>
        <w:rPr>
          <w:rFonts w:ascii="Arial"/>
          <w:color w:val="2A212F"/>
          <w:w w:val="110"/>
          <w:sz w:val="21"/>
        </w:rPr>
        <w:t>re</w:t>
      </w:r>
      <w:r>
        <w:rPr>
          <w:rFonts w:ascii="Arial"/>
          <w:color w:val="2A212F"/>
          <w:spacing w:val="-17"/>
          <w:w w:val="110"/>
          <w:sz w:val="21"/>
        </w:rPr>
        <w:t xml:space="preserve"> </w:t>
      </w:r>
      <w:r>
        <w:rPr>
          <w:rFonts w:ascii="Arial"/>
          <w:color w:val="2A212F"/>
          <w:w w:val="110"/>
          <w:sz w:val="21"/>
        </w:rPr>
        <w:t>on</w:t>
      </w:r>
      <w:r>
        <w:rPr>
          <w:rFonts w:ascii="Arial"/>
          <w:color w:val="2A212F"/>
          <w:spacing w:val="-16"/>
          <w:w w:val="110"/>
          <w:sz w:val="21"/>
        </w:rPr>
        <w:t xml:space="preserve"> </w:t>
      </w:r>
      <w:r>
        <w:rPr>
          <w:rFonts w:ascii="Arial"/>
          <w:color w:val="2A212F"/>
          <w:w w:val="110"/>
          <w:sz w:val="21"/>
        </w:rPr>
        <w:t>the</w:t>
      </w:r>
      <w:r>
        <w:rPr>
          <w:rFonts w:ascii="Arial"/>
          <w:color w:val="2A212F"/>
          <w:spacing w:val="4"/>
          <w:w w:val="110"/>
          <w:sz w:val="21"/>
        </w:rPr>
        <w:t xml:space="preserve"> </w:t>
      </w:r>
      <w:r>
        <w:rPr>
          <w:rFonts w:ascii="Arial"/>
          <w:color w:val="05050C"/>
          <w:w w:val="110"/>
          <w:sz w:val="21"/>
        </w:rPr>
        <w:t>d</w:t>
      </w:r>
      <w:r>
        <w:rPr>
          <w:rFonts w:ascii="Arial"/>
          <w:color w:val="2A212F"/>
          <w:w w:val="110"/>
          <w:sz w:val="21"/>
        </w:rPr>
        <w:t>omestic</w:t>
      </w:r>
      <w:r>
        <w:rPr>
          <w:rFonts w:ascii="Arial"/>
          <w:color w:val="2A212F"/>
          <w:spacing w:val="-16"/>
          <w:w w:val="110"/>
          <w:sz w:val="21"/>
        </w:rPr>
        <w:t xml:space="preserve"> </w:t>
      </w:r>
      <w:r>
        <w:rPr>
          <w:rFonts w:ascii="Arial"/>
          <w:color w:val="2A212F"/>
          <w:w w:val="110"/>
          <w:sz w:val="21"/>
        </w:rPr>
        <w:t>like</w:t>
      </w:r>
      <w:r>
        <w:rPr>
          <w:rFonts w:ascii="Arial"/>
          <w:color w:val="2A212F"/>
          <w:spacing w:val="-16"/>
          <w:w w:val="110"/>
          <w:sz w:val="21"/>
        </w:rPr>
        <w:t xml:space="preserve"> </w:t>
      </w:r>
      <w:r>
        <w:rPr>
          <w:rFonts w:ascii="Arial"/>
          <w:color w:val="1A2644"/>
          <w:w w:val="110"/>
          <w:sz w:val="21"/>
        </w:rPr>
        <w:t>products</w:t>
      </w:r>
      <w:r>
        <w:rPr>
          <w:rFonts w:ascii="Arial"/>
          <w:color w:val="1A2644"/>
          <w:spacing w:val="-24"/>
          <w:w w:val="110"/>
          <w:sz w:val="21"/>
        </w:rPr>
        <w:t xml:space="preserve"> </w:t>
      </w:r>
      <w:r>
        <w:rPr>
          <w:rFonts w:ascii="Arial"/>
          <w:color w:val="2A212F"/>
          <w:w w:val="110"/>
          <w:sz w:val="21"/>
        </w:rPr>
        <w:t>than</w:t>
      </w:r>
      <w:r>
        <w:rPr>
          <w:rFonts w:ascii="Arial"/>
          <w:color w:val="2A212F"/>
          <w:spacing w:val="-25"/>
          <w:w w:val="110"/>
          <w:sz w:val="21"/>
        </w:rPr>
        <w:t xml:space="preserve"> </w:t>
      </w:r>
      <w:r>
        <w:rPr>
          <w:rFonts w:ascii="Arial"/>
          <w:color w:val="2A212F"/>
          <w:w w:val="110"/>
          <w:sz w:val="21"/>
        </w:rPr>
        <w:t>the</w:t>
      </w:r>
      <w:r>
        <w:rPr>
          <w:rFonts w:ascii="Arial"/>
          <w:color w:val="2A212F"/>
          <w:spacing w:val="-12"/>
          <w:w w:val="110"/>
          <w:sz w:val="21"/>
        </w:rPr>
        <w:t xml:space="preserve"> </w:t>
      </w:r>
      <w:r>
        <w:rPr>
          <w:rFonts w:ascii="Arial"/>
          <w:color w:val="2A212F"/>
          <w:w w:val="110"/>
          <w:sz w:val="21"/>
        </w:rPr>
        <w:t>sub</w:t>
      </w:r>
      <w:r>
        <w:rPr>
          <w:rFonts w:ascii="Arial"/>
          <w:color w:val="05050C"/>
          <w:w w:val="110"/>
          <w:sz w:val="21"/>
        </w:rPr>
        <w:t>j</w:t>
      </w:r>
      <w:r>
        <w:rPr>
          <w:rFonts w:ascii="Arial"/>
          <w:color w:val="2A212F"/>
          <w:w w:val="110"/>
          <w:sz w:val="21"/>
        </w:rPr>
        <w:t>ect</w:t>
      </w:r>
      <w:r>
        <w:rPr>
          <w:rFonts w:ascii="Arial"/>
          <w:color w:val="2A212F"/>
          <w:spacing w:val="8"/>
          <w:w w:val="110"/>
          <w:sz w:val="21"/>
        </w:rPr>
        <w:t xml:space="preserve"> </w:t>
      </w:r>
      <w:r>
        <w:rPr>
          <w:rFonts w:ascii="Arial"/>
          <w:color w:val="463134"/>
          <w:w w:val="110"/>
          <w:sz w:val="21"/>
        </w:rPr>
        <w:t>imports</w:t>
      </w:r>
      <w:r>
        <w:rPr>
          <w:rFonts w:ascii="Arial"/>
          <w:color w:val="463134"/>
          <w:spacing w:val="-22"/>
          <w:w w:val="110"/>
          <w:sz w:val="21"/>
        </w:rPr>
        <w:t xml:space="preserve"> </w:t>
      </w:r>
      <w:r>
        <w:rPr>
          <w:rFonts w:ascii="Arial"/>
          <w:color w:val="2A212F"/>
          <w:w w:val="110"/>
          <w:sz w:val="21"/>
        </w:rPr>
        <w:t>of</w:t>
      </w:r>
      <w:r>
        <w:rPr>
          <w:rFonts w:ascii="Arial"/>
          <w:color w:val="2A212F"/>
          <w:spacing w:val="-7"/>
          <w:w w:val="110"/>
          <w:sz w:val="21"/>
        </w:rPr>
        <w:t xml:space="preserve"> </w:t>
      </w:r>
      <w:r>
        <w:rPr>
          <w:rFonts w:ascii="Arial"/>
          <w:color w:val="2A212F"/>
          <w:w w:val="110"/>
          <w:sz w:val="21"/>
        </w:rPr>
        <w:t>Austral</w:t>
      </w:r>
      <w:r>
        <w:rPr>
          <w:rFonts w:ascii="Arial"/>
          <w:color w:val="563321"/>
          <w:w w:val="110"/>
          <w:sz w:val="21"/>
        </w:rPr>
        <w:t>i</w:t>
      </w:r>
      <w:r>
        <w:rPr>
          <w:rFonts w:ascii="Arial"/>
          <w:color w:val="2A212F"/>
          <w:w w:val="110"/>
          <w:sz w:val="21"/>
        </w:rPr>
        <w:t>an</w:t>
      </w:r>
      <w:r>
        <w:rPr>
          <w:rFonts w:ascii="Arial"/>
          <w:color w:val="2A212F"/>
          <w:spacing w:val="-14"/>
          <w:w w:val="110"/>
          <w:sz w:val="21"/>
        </w:rPr>
        <w:t xml:space="preserve"> </w:t>
      </w:r>
      <w:r>
        <w:rPr>
          <w:rFonts w:ascii="Arial"/>
          <w:color w:val="2A212F"/>
          <w:w w:val="110"/>
          <w:sz w:val="21"/>
        </w:rPr>
        <w:t>wine.</w:t>
      </w:r>
    </w:p>
    <w:p w14:paraId="51DE92C2" w14:textId="77777777" w:rsidR="0010369C" w:rsidRDefault="0010369C">
      <w:pPr>
        <w:pStyle w:val="BodyText"/>
        <w:spacing w:before="7"/>
        <w:rPr>
          <w:rFonts w:ascii="Arial"/>
          <w:sz w:val="19"/>
        </w:rPr>
      </w:pPr>
    </w:p>
    <w:p w14:paraId="51DE92C3" w14:textId="77777777" w:rsidR="0010369C" w:rsidRDefault="008E43AE">
      <w:pPr>
        <w:pStyle w:val="Heading2"/>
        <w:rPr>
          <w:rFonts w:ascii="Arial"/>
        </w:rPr>
      </w:pPr>
      <w:r>
        <w:rPr>
          <w:noProof/>
        </w:rPr>
        <w:drawing>
          <wp:anchor distT="0" distB="0" distL="0" distR="0" simplePos="0" relativeHeight="250682880" behindDoc="0" locked="0" layoutInCell="1" allowOverlap="1" wp14:anchorId="51DEA5CE" wp14:editId="51DEA5CF">
            <wp:simplePos x="0" y="0"/>
            <wp:positionH relativeFrom="page">
              <wp:posOffset>1573722</wp:posOffset>
            </wp:positionH>
            <wp:positionV relativeFrom="paragraph">
              <wp:posOffset>426107</wp:posOffset>
            </wp:positionV>
            <wp:extent cx="4982391" cy="2673335"/>
            <wp:effectExtent l="0" t="0" r="0" b="0"/>
            <wp:wrapNone/>
            <wp:docPr id="1383" name="image7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 name="image716.png"/>
                    <pic:cNvPicPr/>
                  </pic:nvPicPr>
                  <pic:blipFill>
                    <a:blip r:embed="rId932" cstate="print"/>
                    <a:stretch>
                      <a:fillRect/>
                    </a:stretch>
                  </pic:blipFill>
                  <pic:spPr>
                    <a:xfrm>
                      <a:off x="0" y="0"/>
                      <a:ext cx="4982391" cy="2673335"/>
                    </a:xfrm>
                    <a:prstGeom prst="rect">
                      <a:avLst/>
                    </a:prstGeom>
                  </pic:spPr>
                </pic:pic>
              </a:graphicData>
            </a:graphic>
          </wp:anchor>
        </w:drawing>
      </w:r>
      <w:r>
        <w:rPr>
          <w:rFonts w:ascii="Arial"/>
          <w:color w:val="5D5D66"/>
          <w:w w:val="95"/>
        </w:rPr>
        <w:t>Average</w:t>
      </w:r>
      <w:r>
        <w:rPr>
          <w:rFonts w:ascii="Arial"/>
          <w:color w:val="5D5D66"/>
          <w:spacing w:val="-7"/>
          <w:w w:val="95"/>
        </w:rPr>
        <w:t xml:space="preserve"> </w:t>
      </w:r>
      <w:r>
        <w:rPr>
          <w:rFonts w:ascii="Arial"/>
          <w:color w:val="5D5D66"/>
          <w:w w:val="95"/>
        </w:rPr>
        <w:t>Unit</w:t>
      </w:r>
      <w:r>
        <w:rPr>
          <w:rFonts w:ascii="Arial"/>
          <w:color w:val="5D5D66"/>
          <w:spacing w:val="-15"/>
          <w:w w:val="95"/>
        </w:rPr>
        <w:t xml:space="preserve"> </w:t>
      </w:r>
      <w:r>
        <w:rPr>
          <w:rFonts w:ascii="Arial"/>
          <w:color w:val="5D5D66"/>
          <w:w w:val="95"/>
        </w:rPr>
        <w:t>Price</w:t>
      </w:r>
      <w:r>
        <w:rPr>
          <w:rFonts w:ascii="Arial"/>
          <w:color w:val="5D5D66"/>
          <w:spacing w:val="-2"/>
        </w:rPr>
        <w:t xml:space="preserve"> </w:t>
      </w:r>
      <w:r>
        <w:rPr>
          <w:rFonts w:ascii="Arial"/>
          <w:color w:val="5D5D66"/>
          <w:spacing w:val="-2"/>
          <w:w w:val="95"/>
        </w:rPr>
        <w:t>{USO/kl)</w:t>
      </w:r>
    </w:p>
    <w:p w14:paraId="51DE92C4" w14:textId="77777777" w:rsidR="0010369C" w:rsidRDefault="0010369C">
      <w:pPr>
        <w:pStyle w:val="BodyText"/>
        <w:rPr>
          <w:rFonts w:ascii="Arial"/>
          <w:b/>
          <w:sz w:val="20"/>
        </w:rPr>
      </w:pPr>
    </w:p>
    <w:p w14:paraId="51DE92C5" w14:textId="77777777" w:rsidR="0010369C" w:rsidRDefault="0010369C">
      <w:pPr>
        <w:pStyle w:val="BodyText"/>
        <w:spacing w:before="3"/>
        <w:rPr>
          <w:rFonts w:ascii="Arial"/>
          <w:b/>
        </w:rPr>
      </w:pPr>
    </w:p>
    <w:tbl>
      <w:tblPr>
        <w:tblW w:w="0" w:type="auto"/>
        <w:tblInd w:w="367" w:type="dxa"/>
        <w:tblLayout w:type="fixed"/>
        <w:tblCellMar>
          <w:left w:w="0" w:type="dxa"/>
          <w:right w:w="0" w:type="dxa"/>
        </w:tblCellMar>
        <w:tblLook w:val="01E0" w:firstRow="1" w:lastRow="1" w:firstColumn="1" w:lastColumn="1" w:noHBand="0" w:noVBand="0"/>
      </w:tblPr>
      <w:tblGrid>
        <w:gridCol w:w="1281"/>
        <w:gridCol w:w="1656"/>
        <w:gridCol w:w="1948"/>
        <w:gridCol w:w="1936"/>
        <w:gridCol w:w="1209"/>
      </w:tblGrid>
      <w:tr w:rsidR="0010369C" w14:paraId="51DE92C8" w14:textId="77777777">
        <w:trPr>
          <w:trHeight w:val="410"/>
        </w:trPr>
        <w:tc>
          <w:tcPr>
            <w:tcW w:w="1281" w:type="dxa"/>
          </w:tcPr>
          <w:p w14:paraId="51DE92C6" w14:textId="77777777" w:rsidR="0010369C" w:rsidRDefault="008E43AE">
            <w:pPr>
              <w:pStyle w:val="TableParagraph"/>
              <w:spacing w:line="179" w:lineRule="exact"/>
              <w:ind w:left="50"/>
              <w:rPr>
                <w:rFonts w:ascii="Arial"/>
                <w:sz w:val="16"/>
              </w:rPr>
            </w:pPr>
            <w:r>
              <w:rPr>
                <w:rFonts w:ascii="Arial"/>
                <w:color w:val="7B7580"/>
                <w:spacing w:val="-2"/>
                <w:w w:val="105"/>
                <w:sz w:val="16"/>
              </w:rPr>
              <w:t>$7,500.00</w:t>
            </w:r>
          </w:p>
        </w:tc>
        <w:tc>
          <w:tcPr>
            <w:tcW w:w="6749" w:type="dxa"/>
            <w:gridSpan w:val="4"/>
          </w:tcPr>
          <w:p w14:paraId="51DE92C7" w14:textId="77777777" w:rsidR="0010369C" w:rsidRDefault="0010369C">
            <w:pPr>
              <w:pStyle w:val="TableParagraph"/>
              <w:rPr>
                <w:rFonts w:ascii="Times New Roman"/>
                <w:sz w:val="16"/>
              </w:rPr>
            </w:pPr>
          </w:p>
        </w:tc>
      </w:tr>
      <w:tr w:rsidR="0010369C" w14:paraId="51DE92CF" w14:textId="77777777">
        <w:trPr>
          <w:trHeight w:val="641"/>
        </w:trPr>
        <w:tc>
          <w:tcPr>
            <w:tcW w:w="1281" w:type="dxa"/>
          </w:tcPr>
          <w:p w14:paraId="51DE92C9" w14:textId="77777777" w:rsidR="0010369C" w:rsidRDefault="0010369C">
            <w:pPr>
              <w:pStyle w:val="TableParagraph"/>
              <w:spacing w:before="7"/>
              <w:rPr>
                <w:rFonts w:ascii="Arial"/>
                <w:b/>
                <w:sz w:val="19"/>
              </w:rPr>
            </w:pPr>
          </w:p>
          <w:p w14:paraId="51DE92CA" w14:textId="77777777" w:rsidR="0010369C" w:rsidRDefault="008E43AE">
            <w:pPr>
              <w:pStyle w:val="TableParagraph"/>
              <w:spacing w:before="1"/>
              <w:ind w:left="50"/>
              <w:rPr>
                <w:rFonts w:ascii="Arial"/>
                <w:sz w:val="16"/>
              </w:rPr>
            </w:pPr>
            <w:r>
              <w:rPr>
                <w:rFonts w:ascii="Arial"/>
                <w:color w:val="7B7580"/>
                <w:spacing w:val="-2"/>
                <w:w w:val="105"/>
                <w:sz w:val="16"/>
              </w:rPr>
              <w:t>$6,500.00</w:t>
            </w:r>
          </w:p>
        </w:tc>
        <w:tc>
          <w:tcPr>
            <w:tcW w:w="1656" w:type="dxa"/>
          </w:tcPr>
          <w:p w14:paraId="51DE92CB" w14:textId="77777777" w:rsidR="0010369C" w:rsidRDefault="0010369C">
            <w:pPr>
              <w:pStyle w:val="TableParagraph"/>
              <w:rPr>
                <w:rFonts w:ascii="Times New Roman"/>
                <w:sz w:val="16"/>
              </w:rPr>
            </w:pPr>
          </w:p>
        </w:tc>
        <w:tc>
          <w:tcPr>
            <w:tcW w:w="1948" w:type="dxa"/>
          </w:tcPr>
          <w:p w14:paraId="51DE92CC" w14:textId="77777777" w:rsidR="0010369C" w:rsidRDefault="0010369C">
            <w:pPr>
              <w:pStyle w:val="TableParagraph"/>
              <w:rPr>
                <w:rFonts w:ascii="Times New Roman"/>
                <w:sz w:val="16"/>
              </w:rPr>
            </w:pPr>
          </w:p>
        </w:tc>
        <w:tc>
          <w:tcPr>
            <w:tcW w:w="1936" w:type="dxa"/>
          </w:tcPr>
          <w:p w14:paraId="51DE92CD" w14:textId="77777777" w:rsidR="0010369C" w:rsidRDefault="0010369C">
            <w:pPr>
              <w:pStyle w:val="TableParagraph"/>
              <w:rPr>
                <w:rFonts w:ascii="Times New Roman"/>
                <w:sz w:val="16"/>
              </w:rPr>
            </w:pPr>
          </w:p>
        </w:tc>
        <w:tc>
          <w:tcPr>
            <w:tcW w:w="1209" w:type="dxa"/>
          </w:tcPr>
          <w:p w14:paraId="51DE92CE" w14:textId="77777777" w:rsidR="0010369C" w:rsidRDefault="0010369C">
            <w:pPr>
              <w:pStyle w:val="TableParagraph"/>
              <w:rPr>
                <w:rFonts w:ascii="Times New Roman"/>
                <w:sz w:val="16"/>
              </w:rPr>
            </w:pPr>
          </w:p>
        </w:tc>
      </w:tr>
      <w:tr w:rsidR="0010369C" w14:paraId="51DE92D6" w14:textId="77777777">
        <w:trPr>
          <w:trHeight w:val="641"/>
        </w:trPr>
        <w:tc>
          <w:tcPr>
            <w:tcW w:w="1281" w:type="dxa"/>
          </w:tcPr>
          <w:p w14:paraId="51DE92D0" w14:textId="77777777" w:rsidR="0010369C" w:rsidRDefault="0010369C">
            <w:pPr>
              <w:pStyle w:val="TableParagraph"/>
              <w:spacing w:before="7"/>
              <w:rPr>
                <w:rFonts w:ascii="Arial"/>
                <w:b/>
                <w:sz w:val="19"/>
              </w:rPr>
            </w:pPr>
          </w:p>
          <w:p w14:paraId="51DE92D1" w14:textId="77777777" w:rsidR="0010369C" w:rsidRDefault="008E43AE">
            <w:pPr>
              <w:pStyle w:val="TableParagraph"/>
              <w:spacing w:before="1"/>
              <w:ind w:left="50"/>
              <w:rPr>
                <w:rFonts w:ascii="Arial"/>
                <w:sz w:val="16"/>
              </w:rPr>
            </w:pPr>
            <w:r>
              <w:rPr>
                <w:rFonts w:ascii="Arial"/>
                <w:color w:val="7B7580"/>
                <w:spacing w:val="-2"/>
                <w:w w:val="105"/>
                <w:sz w:val="16"/>
              </w:rPr>
              <w:t>$5,500.00</w:t>
            </w:r>
          </w:p>
        </w:tc>
        <w:tc>
          <w:tcPr>
            <w:tcW w:w="1656" w:type="dxa"/>
          </w:tcPr>
          <w:p w14:paraId="51DE92D2" w14:textId="77777777" w:rsidR="0010369C" w:rsidRDefault="0010369C">
            <w:pPr>
              <w:pStyle w:val="TableParagraph"/>
              <w:rPr>
                <w:rFonts w:ascii="Times New Roman"/>
                <w:sz w:val="16"/>
              </w:rPr>
            </w:pPr>
          </w:p>
        </w:tc>
        <w:tc>
          <w:tcPr>
            <w:tcW w:w="1948" w:type="dxa"/>
          </w:tcPr>
          <w:p w14:paraId="51DE92D3" w14:textId="77777777" w:rsidR="0010369C" w:rsidRDefault="0010369C">
            <w:pPr>
              <w:pStyle w:val="TableParagraph"/>
              <w:rPr>
                <w:rFonts w:ascii="Times New Roman"/>
                <w:sz w:val="16"/>
              </w:rPr>
            </w:pPr>
          </w:p>
        </w:tc>
        <w:tc>
          <w:tcPr>
            <w:tcW w:w="1936" w:type="dxa"/>
          </w:tcPr>
          <w:p w14:paraId="51DE92D4" w14:textId="77777777" w:rsidR="0010369C" w:rsidRDefault="0010369C">
            <w:pPr>
              <w:pStyle w:val="TableParagraph"/>
              <w:rPr>
                <w:rFonts w:ascii="Times New Roman"/>
                <w:sz w:val="16"/>
              </w:rPr>
            </w:pPr>
          </w:p>
        </w:tc>
        <w:tc>
          <w:tcPr>
            <w:tcW w:w="1209" w:type="dxa"/>
          </w:tcPr>
          <w:p w14:paraId="51DE92D5" w14:textId="77777777" w:rsidR="0010369C" w:rsidRDefault="0010369C">
            <w:pPr>
              <w:pStyle w:val="TableParagraph"/>
              <w:rPr>
                <w:rFonts w:ascii="Times New Roman"/>
                <w:sz w:val="16"/>
              </w:rPr>
            </w:pPr>
          </w:p>
        </w:tc>
      </w:tr>
      <w:tr w:rsidR="0010369C" w14:paraId="51DE92DD" w14:textId="77777777">
        <w:trPr>
          <w:trHeight w:val="636"/>
        </w:trPr>
        <w:tc>
          <w:tcPr>
            <w:tcW w:w="1281" w:type="dxa"/>
          </w:tcPr>
          <w:p w14:paraId="51DE92D7" w14:textId="77777777" w:rsidR="0010369C" w:rsidRDefault="0010369C">
            <w:pPr>
              <w:pStyle w:val="TableParagraph"/>
              <w:spacing w:before="7"/>
              <w:rPr>
                <w:rFonts w:ascii="Arial"/>
                <w:b/>
                <w:sz w:val="19"/>
              </w:rPr>
            </w:pPr>
          </w:p>
          <w:p w14:paraId="51DE92D8" w14:textId="77777777" w:rsidR="0010369C" w:rsidRDefault="008E43AE">
            <w:pPr>
              <w:pStyle w:val="TableParagraph"/>
              <w:spacing w:before="1"/>
              <w:ind w:left="50"/>
              <w:rPr>
                <w:rFonts w:ascii="Arial"/>
                <w:sz w:val="16"/>
              </w:rPr>
            </w:pPr>
            <w:r>
              <w:rPr>
                <w:rFonts w:ascii="Arial"/>
                <w:color w:val="7B7580"/>
                <w:spacing w:val="-2"/>
                <w:w w:val="105"/>
                <w:sz w:val="16"/>
              </w:rPr>
              <w:t>$4,500.00</w:t>
            </w:r>
          </w:p>
        </w:tc>
        <w:tc>
          <w:tcPr>
            <w:tcW w:w="1656" w:type="dxa"/>
          </w:tcPr>
          <w:p w14:paraId="51DE92D9" w14:textId="77777777" w:rsidR="0010369C" w:rsidRDefault="0010369C">
            <w:pPr>
              <w:pStyle w:val="TableParagraph"/>
              <w:rPr>
                <w:rFonts w:ascii="Times New Roman"/>
                <w:sz w:val="16"/>
              </w:rPr>
            </w:pPr>
          </w:p>
        </w:tc>
        <w:tc>
          <w:tcPr>
            <w:tcW w:w="1948" w:type="dxa"/>
          </w:tcPr>
          <w:p w14:paraId="51DE92DA" w14:textId="77777777" w:rsidR="0010369C" w:rsidRDefault="0010369C">
            <w:pPr>
              <w:pStyle w:val="TableParagraph"/>
              <w:rPr>
                <w:rFonts w:ascii="Times New Roman"/>
                <w:sz w:val="16"/>
              </w:rPr>
            </w:pPr>
          </w:p>
        </w:tc>
        <w:tc>
          <w:tcPr>
            <w:tcW w:w="1936" w:type="dxa"/>
          </w:tcPr>
          <w:p w14:paraId="51DE92DB" w14:textId="77777777" w:rsidR="0010369C" w:rsidRDefault="0010369C">
            <w:pPr>
              <w:pStyle w:val="TableParagraph"/>
              <w:rPr>
                <w:rFonts w:ascii="Times New Roman"/>
                <w:sz w:val="16"/>
              </w:rPr>
            </w:pPr>
          </w:p>
        </w:tc>
        <w:tc>
          <w:tcPr>
            <w:tcW w:w="1209" w:type="dxa"/>
          </w:tcPr>
          <w:p w14:paraId="51DE92DC" w14:textId="77777777" w:rsidR="0010369C" w:rsidRDefault="0010369C">
            <w:pPr>
              <w:pStyle w:val="TableParagraph"/>
              <w:rPr>
                <w:rFonts w:ascii="Times New Roman"/>
                <w:sz w:val="16"/>
              </w:rPr>
            </w:pPr>
          </w:p>
        </w:tc>
      </w:tr>
      <w:tr w:rsidR="0010369C" w14:paraId="51DE92E4" w14:textId="77777777">
        <w:trPr>
          <w:trHeight w:val="636"/>
        </w:trPr>
        <w:tc>
          <w:tcPr>
            <w:tcW w:w="1281" w:type="dxa"/>
          </w:tcPr>
          <w:p w14:paraId="51DE92DE" w14:textId="77777777" w:rsidR="0010369C" w:rsidRDefault="0010369C">
            <w:pPr>
              <w:pStyle w:val="TableParagraph"/>
              <w:spacing w:before="2"/>
              <w:rPr>
                <w:rFonts w:ascii="Arial"/>
                <w:b/>
                <w:sz w:val="19"/>
              </w:rPr>
            </w:pPr>
          </w:p>
          <w:p w14:paraId="51DE92DF" w14:textId="77777777" w:rsidR="0010369C" w:rsidRDefault="008E43AE">
            <w:pPr>
              <w:pStyle w:val="TableParagraph"/>
              <w:ind w:left="50"/>
              <w:rPr>
                <w:rFonts w:ascii="Arial"/>
                <w:sz w:val="16"/>
              </w:rPr>
            </w:pPr>
            <w:r>
              <w:rPr>
                <w:rFonts w:ascii="Arial"/>
                <w:color w:val="7B7580"/>
                <w:spacing w:val="-2"/>
                <w:w w:val="105"/>
                <w:sz w:val="16"/>
              </w:rPr>
              <w:t>$3,500.00</w:t>
            </w:r>
          </w:p>
        </w:tc>
        <w:tc>
          <w:tcPr>
            <w:tcW w:w="1656" w:type="dxa"/>
          </w:tcPr>
          <w:p w14:paraId="51DE92E0" w14:textId="77777777" w:rsidR="0010369C" w:rsidRDefault="0010369C">
            <w:pPr>
              <w:pStyle w:val="TableParagraph"/>
              <w:rPr>
                <w:rFonts w:ascii="Times New Roman"/>
                <w:sz w:val="16"/>
              </w:rPr>
            </w:pPr>
          </w:p>
        </w:tc>
        <w:tc>
          <w:tcPr>
            <w:tcW w:w="1948" w:type="dxa"/>
          </w:tcPr>
          <w:p w14:paraId="51DE92E1" w14:textId="77777777" w:rsidR="0010369C" w:rsidRDefault="0010369C">
            <w:pPr>
              <w:pStyle w:val="TableParagraph"/>
              <w:rPr>
                <w:rFonts w:ascii="Times New Roman"/>
                <w:sz w:val="16"/>
              </w:rPr>
            </w:pPr>
          </w:p>
        </w:tc>
        <w:tc>
          <w:tcPr>
            <w:tcW w:w="1936" w:type="dxa"/>
          </w:tcPr>
          <w:p w14:paraId="51DE92E2" w14:textId="77777777" w:rsidR="0010369C" w:rsidRDefault="0010369C">
            <w:pPr>
              <w:pStyle w:val="TableParagraph"/>
              <w:rPr>
                <w:rFonts w:ascii="Times New Roman"/>
                <w:sz w:val="16"/>
              </w:rPr>
            </w:pPr>
          </w:p>
        </w:tc>
        <w:tc>
          <w:tcPr>
            <w:tcW w:w="1209" w:type="dxa"/>
          </w:tcPr>
          <w:p w14:paraId="51DE92E3" w14:textId="77777777" w:rsidR="0010369C" w:rsidRDefault="0010369C">
            <w:pPr>
              <w:pStyle w:val="TableParagraph"/>
              <w:rPr>
                <w:rFonts w:ascii="Times New Roman"/>
                <w:sz w:val="16"/>
              </w:rPr>
            </w:pPr>
          </w:p>
        </w:tc>
      </w:tr>
      <w:tr w:rsidR="0010369C" w14:paraId="51DE92EB" w14:textId="77777777">
        <w:trPr>
          <w:trHeight w:val="641"/>
        </w:trPr>
        <w:tc>
          <w:tcPr>
            <w:tcW w:w="1281" w:type="dxa"/>
          </w:tcPr>
          <w:p w14:paraId="51DE92E5" w14:textId="77777777" w:rsidR="0010369C" w:rsidRDefault="0010369C">
            <w:pPr>
              <w:pStyle w:val="TableParagraph"/>
              <w:spacing w:before="7"/>
              <w:rPr>
                <w:rFonts w:ascii="Arial"/>
                <w:b/>
                <w:sz w:val="19"/>
              </w:rPr>
            </w:pPr>
          </w:p>
          <w:p w14:paraId="51DE92E6" w14:textId="77777777" w:rsidR="0010369C" w:rsidRDefault="008E43AE">
            <w:pPr>
              <w:pStyle w:val="TableParagraph"/>
              <w:spacing w:before="1"/>
              <w:ind w:left="50"/>
              <w:rPr>
                <w:rFonts w:ascii="Arial"/>
                <w:sz w:val="16"/>
              </w:rPr>
            </w:pPr>
            <w:r>
              <w:rPr>
                <w:rFonts w:ascii="Arial"/>
                <w:color w:val="7B7580"/>
                <w:spacing w:val="-2"/>
                <w:w w:val="105"/>
                <w:sz w:val="16"/>
              </w:rPr>
              <w:t>$2,500.00</w:t>
            </w:r>
          </w:p>
        </w:tc>
        <w:tc>
          <w:tcPr>
            <w:tcW w:w="1656" w:type="dxa"/>
          </w:tcPr>
          <w:p w14:paraId="51DE92E7" w14:textId="77777777" w:rsidR="0010369C" w:rsidRDefault="0010369C">
            <w:pPr>
              <w:pStyle w:val="TableParagraph"/>
              <w:rPr>
                <w:rFonts w:ascii="Times New Roman"/>
                <w:sz w:val="16"/>
              </w:rPr>
            </w:pPr>
          </w:p>
        </w:tc>
        <w:tc>
          <w:tcPr>
            <w:tcW w:w="1948" w:type="dxa"/>
          </w:tcPr>
          <w:p w14:paraId="51DE92E8" w14:textId="77777777" w:rsidR="0010369C" w:rsidRDefault="0010369C">
            <w:pPr>
              <w:pStyle w:val="TableParagraph"/>
              <w:rPr>
                <w:rFonts w:ascii="Times New Roman"/>
                <w:sz w:val="16"/>
              </w:rPr>
            </w:pPr>
          </w:p>
        </w:tc>
        <w:tc>
          <w:tcPr>
            <w:tcW w:w="1936" w:type="dxa"/>
          </w:tcPr>
          <w:p w14:paraId="51DE92E9" w14:textId="77777777" w:rsidR="0010369C" w:rsidRDefault="0010369C">
            <w:pPr>
              <w:pStyle w:val="TableParagraph"/>
              <w:rPr>
                <w:rFonts w:ascii="Times New Roman"/>
                <w:sz w:val="16"/>
              </w:rPr>
            </w:pPr>
          </w:p>
        </w:tc>
        <w:tc>
          <w:tcPr>
            <w:tcW w:w="1209" w:type="dxa"/>
          </w:tcPr>
          <w:p w14:paraId="51DE92EA" w14:textId="77777777" w:rsidR="0010369C" w:rsidRDefault="0010369C">
            <w:pPr>
              <w:pStyle w:val="TableParagraph"/>
              <w:rPr>
                <w:rFonts w:ascii="Times New Roman"/>
                <w:sz w:val="16"/>
              </w:rPr>
            </w:pPr>
          </w:p>
        </w:tc>
      </w:tr>
      <w:tr w:rsidR="0010369C" w14:paraId="51DE92FA" w14:textId="77777777">
        <w:trPr>
          <w:trHeight w:val="650"/>
        </w:trPr>
        <w:tc>
          <w:tcPr>
            <w:tcW w:w="1281" w:type="dxa"/>
          </w:tcPr>
          <w:p w14:paraId="51DE92EC" w14:textId="77777777" w:rsidR="0010369C" w:rsidRDefault="0010369C">
            <w:pPr>
              <w:pStyle w:val="TableParagraph"/>
              <w:spacing w:before="7"/>
              <w:rPr>
                <w:rFonts w:ascii="Arial"/>
                <w:b/>
                <w:sz w:val="19"/>
              </w:rPr>
            </w:pPr>
          </w:p>
          <w:p w14:paraId="51DE92ED" w14:textId="77777777" w:rsidR="0010369C" w:rsidRDefault="008E43AE">
            <w:pPr>
              <w:pStyle w:val="TableParagraph"/>
              <w:spacing w:before="1"/>
              <w:ind w:left="50"/>
              <w:rPr>
                <w:rFonts w:ascii="Arial"/>
                <w:sz w:val="16"/>
              </w:rPr>
            </w:pPr>
            <w:r>
              <w:rPr>
                <w:rFonts w:ascii="Arial"/>
                <w:color w:val="7B7580"/>
                <w:spacing w:val="-2"/>
                <w:w w:val="105"/>
                <w:sz w:val="16"/>
              </w:rPr>
              <w:t>$1,500.00</w:t>
            </w:r>
          </w:p>
        </w:tc>
        <w:tc>
          <w:tcPr>
            <w:tcW w:w="1656" w:type="dxa"/>
          </w:tcPr>
          <w:p w14:paraId="51DE92EE" w14:textId="77777777" w:rsidR="0010369C" w:rsidRDefault="0010369C">
            <w:pPr>
              <w:pStyle w:val="TableParagraph"/>
              <w:rPr>
                <w:rFonts w:ascii="Arial"/>
                <w:b/>
                <w:sz w:val="18"/>
              </w:rPr>
            </w:pPr>
          </w:p>
          <w:p w14:paraId="51DE92EF" w14:textId="77777777" w:rsidR="0010369C" w:rsidRDefault="0010369C">
            <w:pPr>
              <w:pStyle w:val="TableParagraph"/>
              <w:spacing w:before="6"/>
              <w:rPr>
                <w:rFonts w:ascii="Arial"/>
                <w:b/>
              </w:rPr>
            </w:pPr>
          </w:p>
          <w:p w14:paraId="51DE92F0" w14:textId="77777777" w:rsidR="0010369C" w:rsidRDefault="008E43AE">
            <w:pPr>
              <w:pStyle w:val="TableParagraph"/>
              <w:spacing w:before="1" w:line="164" w:lineRule="exact"/>
              <w:ind w:left="496"/>
              <w:rPr>
                <w:rFonts w:ascii="Arial"/>
                <w:sz w:val="16"/>
              </w:rPr>
            </w:pPr>
            <w:r>
              <w:rPr>
                <w:rFonts w:ascii="Arial"/>
                <w:color w:val="7B7580"/>
                <w:spacing w:val="-4"/>
                <w:w w:val="105"/>
                <w:sz w:val="16"/>
              </w:rPr>
              <w:t>2015</w:t>
            </w:r>
          </w:p>
        </w:tc>
        <w:tc>
          <w:tcPr>
            <w:tcW w:w="1948" w:type="dxa"/>
          </w:tcPr>
          <w:p w14:paraId="51DE92F1" w14:textId="77777777" w:rsidR="0010369C" w:rsidRDefault="0010369C">
            <w:pPr>
              <w:pStyle w:val="TableParagraph"/>
              <w:rPr>
                <w:rFonts w:ascii="Arial"/>
                <w:b/>
                <w:sz w:val="18"/>
              </w:rPr>
            </w:pPr>
          </w:p>
          <w:p w14:paraId="51DE92F2" w14:textId="77777777" w:rsidR="0010369C" w:rsidRDefault="0010369C">
            <w:pPr>
              <w:pStyle w:val="TableParagraph"/>
              <w:spacing w:before="6"/>
              <w:rPr>
                <w:rFonts w:ascii="Arial"/>
                <w:b/>
              </w:rPr>
            </w:pPr>
          </w:p>
          <w:p w14:paraId="51DE92F3" w14:textId="77777777" w:rsidR="0010369C" w:rsidRDefault="008E43AE">
            <w:pPr>
              <w:pStyle w:val="TableParagraph"/>
              <w:spacing w:before="1" w:line="164" w:lineRule="exact"/>
              <w:ind w:left="776" w:right="773"/>
              <w:jc w:val="center"/>
              <w:rPr>
                <w:rFonts w:ascii="Arial"/>
                <w:sz w:val="16"/>
              </w:rPr>
            </w:pPr>
            <w:r>
              <w:rPr>
                <w:rFonts w:ascii="Arial"/>
                <w:color w:val="7B7580"/>
                <w:spacing w:val="-4"/>
                <w:w w:val="105"/>
                <w:sz w:val="16"/>
              </w:rPr>
              <w:t>2016</w:t>
            </w:r>
          </w:p>
        </w:tc>
        <w:tc>
          <w:tcPr>
            <w:tcW w:w="1936" w:type="dxa"/>
          </w:tcPr>
          <w:p w14:paraId="51DE92F4" w14:textId="77777777" w:rsidR="0010369C" w:rsidRDefault="0010369C">
            <w:pPr>
              <w:pStyle w:val="TableParagraph"/>
              <w:rPr>
                <w:rFonts w:ascii="Arial"/>
                <w:b/>
                <w:sz w:val="18"/>
              </w:rPr>
            </w:pPr>
          </w:p>
          <w:p w14:paraId="51DE92F5" w14:textId="77777777" w:rsidR="0010369C" w:rsidRDefault="0010369C">
            <w:pPr>
              <w:pStyle w:val="TableParagraph"/>
              <w:spacing w:before="6"/>
              <w:rPr>
                <w:rFonts w:ascii="Arial"/>
                <w:b/>
              </w:rPr>
            </w:pPr>
          </w:p>
          <w:p w14:paraId="51DE92F6" w14:textId="77777777" w:rsidR="0010369C" w:rsidRDefault="008E43AE">
            <w:pPr>
              <w:pStyle w:val="TableParagraph"/>
              <w:spacing w:before="1" w:line="164" w:lineRule="exact"/>
              <w:ind w:left="769" w:right="768"/>
              <w:jc w:val="center"/>
              <w:rPr>
                <w:rFonts w:ascii="Arial"/>
                <w:sz w:val="16"/>
              </w:rPr>
            </w:pPr>
            <w:r>
              <w:rPr>
                <w:rFonts w:ascii="Arial"/>
                <w:color w:val="7B7580"/>
                <w:spacing w:val="-4"/>
                <w:w w:val="105"/>
                <w:sz w:val="16"/>
              </w:rPr>
              <w:t>2017</w:t>
            </w:r>
          </w:p>
        </w:tc>
        <w:tc>
          <w:tcPr>
            <w:tcW w:w="1209" w:type="dxa"/>
          </w:tcPr>
          <w:p w14:paraId="51DE92F7" w14:textId="77777777" w:rsidR="0010369C" w:rsidRDefault="0010369C">
            <w:pPr>
              <w:pStyle w:val="TableParagraph"/>
              <w:rPr>
                <w:rFonts w:ascii="Arial"/>
                <w:b/>
                <w:sz w:val="18"/>
              </w:rPr>
            </w:pPr>
          </w:p>
          <w:p w14:paraId="51DE92F8" w14:textId="77777777" w:rsidR="0010369C" w:rsidRDefault="0010369C">
            <w:pPr>
              <w:pStyle w:val="TableParagraph"/>
              <w:spacing w:before="6"/>
              <w:rPr>
                <w:rFonts w:ascii="Arial"/>
                <w:b/>
              </w:rPr>
            </w:pPr>
          </w:p>
          <w:p w14:paraId="51DE92F9" w14:textId="77777777" w:rsidR="0010369C" w:rsidRDefault="008E43AE">
            <w:pPr>
              <w:pStyle w:val="TableParagraph"/>
              <w:spacing w:before="1" w:line="164" w:lineRule="exact"/>
              <w:ind w:left="785"/>
              <w:rPr>
                <w:rFonts w:ascii="Arial"/>
                <w:sz w:val="16"/>
              </w:rPr>
            </w:pPr>
            <w:r>
              <w:rPr>
                <w:rFonts w:ascii="Arial"/>
                <w:color w:val="7B7580"/>
                <w:spacing w:val="-4"/>
                <w:w w:val="105"/>
                <w:sz w:val="16"/>
              </w:rPr>
              <w:t>2019</w:t>
            </w:r>
          </w:p>
        </w:tc>
      </w:tr>
    </w:tbl>
    <w:p w14:paraId="51DE92FB" w14:textId="77777777" w:rsidR="0010369C" w:rsidRDefault="008E43AE">
      <w:pPr>
        <w:pStyle w:val="ListParagraph"/>
        <w:numPr>
          <w:ilvl w:val="1"/>
          <w:numId w:val="39"/>
        </w:numPr>
        <w:tabs>
          <w:tab w:val="left" w:pos="2040"/>
        </w:tabs>
        <w:spacing w:before="79"/>
        <w:ind w:right="345" w:hanging="2040"/>
        <w:jc w:val="left"/>
        <w:rPr>
          <w:rFonts w:ascii="Arial" w:hAnsi="Arial"/>
          <w:sz w:val="16"/>
        </w:rPr>
      </w:pPr>
      <w:r>
        <w:rPr>
          <w:rFonts w:ascii="Arial" w:hAnsi="Arial"/>
          <w:color w:val="5D5D66"/>
          <w:w w:val="105"/>
          <w:sz w:val="16"/>
        </w:rPr>
        <w:t>Fr</w:t>
      </w:r>
      <w:r>
        <w:rPr>
          <w:rFonts w:ascii="Arial" w:hAnsi="Arial"/>
          <w:color w:val="7B7580"/>
          <w:w w:val="105"/>
          <w:sz w:val="16"/>
        </w:rPr>
        <w:t>ance</w:t>
      </w:r>
      <w:r>
        <w:rPr>
          <w:rFonts w:ascii="Arial" w:hAnsi="Arial"/>
          <w:color w:val="7B7580"/>
          <w:spacing w:val="72"/>
          <w:w w:val="150"/>
          <w:sz w:val="16"/>
        </w:rPr>
        <w:t xml:space="preserve"> </w:t>
      </w:r>
      <w:r>
        <w:rPr>
          <w:rFonts w:ascii="Arial" w:hAnsi="Arial"/>
          <w:color w:val="AEAEAE"/>
          <w:w w:val="105"/>
          <w:sz w:val="30"/>
        </w:rPr>
        <w:t>■</w:t>
      </w:r>
      <w:r>
        <w:rPr>
          <w:rFonts w:ascii="Arial" w:hAnsi="Arial"/>
          <w:color w:val="7B7580"/>
          <w:w w:val="105"/>
          <w:sz w:val="16"/>
        </w:rPr>
        <w:t>Australia</w:t>
      </w:r>
      <w:r>
        <w:rPr>
          <w:rFonts w:ascii="Arial" w:hAnsi="Arial"/>
          <w:color w:val="7B7580"/>
          <w:spacing w:val="73"/>
          <w:w w:val="150"/>
          <w:sz w:val="16"/>
        </w:rPr>
        <w:t xml:space="preserve"> </w:t>
      </w:r>
      <w:r>
        <w:rPr>
          <w:rFonts w:ascii="Arial" w:hAnsi="Arial"/>
          <w:color w:val="FFBF00"/>
          <w:w w:val="105"/>
          <w:sz w:val="30"/>
        </w:rPr>
        <w:t>■</w:t>
      </w:r>
      <w:r>
        <w:rPr>
          <w:rFonts w:ascii="Arial" w:hAnsi="Arial"/>
          <w:color w:val="8E8289"/>
          <w:w w:val="105"/>
          <w:sz w:val="16"/>
        </w:rPr>
        <w:t>Ch</w:t>
      </w:r>
      <w:r>
        <w:rPr>
          <w:rFonts w:ascii="Arial" w:hAnsi="Arial"/>
          <w:color w:val="5D5D66"/>
          <w:w w:val="105"/>
          <w:sz w:val="16"/>
        </w:rPr>
        <w:t>il</w:t>
      </w:r>
      <w:r>
        <w:rPr>
          <w:rFonts w:ascii="Arial" w:hAnsi="Arial"/>
          <w:color w:val="7B7580"/>
          <w:w w:val="105"/>
          <w:sz w:val="16"/>
        </w:rPr>
        <w:t>e</w:t>
      </w:r>
      <w:r>
        <w:rPr>
          <w:rFonts w:ascii="Arial" w:hAnsi="Arial"/>
          <w:color w:val="7B7580"/>
          <w:spacing w:val="73"/>
          <w:w w:val="150"/>
          <w:sz w:val="16"/>
        </w:rPr>
        <w:t xml:space="preserve"> </w:t>
      </w:r>
      <w:r>
        <w:rPr>
          <w:rFonts w:ascii="Arial" w:hAnsi="Arial"/>
          <w:color w:val="4472C3"/>
          <w:w w:val="105"/>
          <w:sz w:val="30"/>
        </w:rPr>
        <w:t>■</w:t>
      </w:r>
      <w:r>
        <w:rPr>
          <w:rFonts w:ascii="Arial" w:hAnsi="Arial"/>
          <w:color w:val="7B7580"/>
          <w:w w:val="105"/>
          <w:sz w:val="16"/>
        </w:rPr>
        <w:t>Spa</w:t>
      </w:r>
      <w:r>
        <w:rPr>
          <w:rFonts w:ascii="Arial" w:hAnsi="Arial"/>
          <w:color w:val="5D5D66"/>
          <w:w w:val="105"/>
          <w:sz w:val="16"/>
        </w:rPr>
        <w:t>i</w:t>
      </w:r>
      <w:r>
        <w:rPr>
          <w:rFonts w:ascii="Arial" w:hAnsi="Arial"/>
          <w:color w:val="7B7580"/>
          <w:w w:val="105"/>
          <w:sz w:val="16"/>
        </w:rPr>
        <w:t>n</w:t>
      </w:r>
      <w:r>
        <w:rPr>
          <w:rFonts w:ascii="Arial" w:hAnsi="Arial"/>
          <w:color w:val="7B7580"/>
          <w:spacing w:val="72"/>
          <w:w w:val="150"/>
          <w:sz w:val="16"/>
        </w:rPr>
        <w:t xml:space="preserve"> </w:t>
      </w:r>
      <w:r>
        <w:rPr>
          <w:rFonts w:ascii="Arial" w:hAnsi="Arial"/>
          <w:color w:val="70AC46"/>
          <w:w w:val="105"/>
          <w:sz w:val="30"/>
        </w:rPr>
        <w:t>■</w:t>
      </w:r>
      <w:r>
        <w:rPr>
          <w:rFonts w:ascii="Arial" w:hAnsi="Arial"/>
          <w:color w:val="7B7580"/>
          <w:w w:val="105"/>
          <w:sz w:val="16"/>
        </w:rPr>
        <w:t>Italy</w:t>
      </w:r>
      <w:r>
        <w:rPr>
          <w:rFonts w:ascii="Arial" w:hAnsi="Arial"/>
          <w:color w:val="7B7580"/>
          <w:spacing w:val="35"/>
          <w:w w:val="105"/>
          <w:sz w:val="16"/>
        </w:rPr>
        <w:t xml:space="preserve">  </w:t>
      </w:r>
      <w:r>
        <w:rPr>
          <w:rFonts w:ascii="Arial" w:hAnsi="Arial"/>
          <w:color w:val="1A2644"/>
          <w:w w:val="105"/>
          <w:sz w:val="30"/>
        </w:rPr>
        <w:t>■</w:t>
      </w:r>
      <w:r>
        <w:rPr>
          <w:rFonts w:ascii="Arial" w:hAnsi="Arial"/>
          <w:color w:val="7B7580"/>
          <w:w w:val="105"/>
          <w:sz w:val="16"/>
        </w:rPr>
        <w:t>Domest</w:t>
      </w:r>
      <w:r>
        <w:rPr>
          <w:rFonts w:ascii="Arial" w:hAnsi="Arial"/>
          <w:color w:val="5D5D66"/>
          <w:w w:val="105"/>
          <w:sz w:val="16"/>
        </w:rPr>
        <w:t>i</w:t>
      </w:r>
      <w:r>
        <w:rPr>
          <w:rFonts w:ascii="Arial" w:hAnsi="Arial"/>
          <w:color w:val="7B7580"/>
          <w:w w:val="105"/>
          <w:sz w:val="16"/>
        </w:rPr>
        <w:t>c</w:t>
      </w:r>
      <w:r>
        <w:rPr>
          <w:rFonts w:ascii="Arial" w:hAnsi="Arial"/>
          <w:color w:val="7B7580"/>
          <w:spacing w:val="-15"/>
          <w:w w:val="105"/>
          <w:sz w:val="16"/>
        </w:rPr>
        <w:t xml:space="preserve"> </w:t>
      </w:r>
      <w:r>
        <w:rPr>
          <w:rFonts w:ascii="Arial" w:hAnsi="Arial"/>
          <w:color w:val="5D5D66"/>
          <w:w w:val="105"/>
          <w:sz w:val="16"/>
        </w:rPr>
        <w:t>li</w:t>
      </w:r>
      <w:r>
        <w:rPr>
          <w:rFonts w:ascii="Arial" w:hAnsi="Arial"/>
          <w:color w:val="7B7580"/>
          <w:w w:val="105"/>
          <w:sz w:val="16"/>
        </w:rPr>
        <w:t>ke</w:t>
      </w:r>
      <w:r>
        <w:rPr>
          <w:rFonts w:ascii="Arial" w:hAnsi="Arial"/>
          <w:color w:val="7B7580"/>
          <w:spacing w:val="-14"/>
          <w:w w:val="105"/>
          <w:sz w:val="16"/>
        </w:rPr>
        <w:t xml:space="preserve"> </w:t>
      </w:r>
      <w:r>
        <w:rPr>
          <w:rFonts w:ascii="Arial" w:hAnsi="Arial"/>
          <w:color w:val="7B7580"/>
          <w:spacing w:val="-2"/>
          <w:w w:val="105"/>
          <w:sz w:val="16"/>
        </w:rPr>
        <w:t>p</w:t>
      </w:r>
      <w:r>
        <w:rPr>
          <w:rFonts w:ascii="Arial" w:hAnsi="Arial"/>
          <w:color w:val="5D5D66"/>
          <w:spacing w:val="-2"/>
          <w:w w:val="105"/>
          <w:sz w:val="16"/>
        </w:rPr>
        <w:t>r</w:t>
      </w:r>
      <w:r>
        <w:rPr>
          <w:rFonts w:ascii="Arial" w:hAnsi="Arial"/>
          <w:color w:val="7B7580"/>
          <w:spacing w:val="-2"/>
          <w:w w:val="105"/>
          <w:sz w:val="16"/>
        </w:rPr>
        <w:t>oducts</w:t>
      </w:r>
    </w:p>
    <w:p w14:paraId="51DE92FC" w14:textId="77777777" w:rsidR="0010369C" w:rsidRDefault="008E43AE">
      <w:pPr>
        <w:spacing w:before="220"/>
        <w:ind w:left="240"/>
        <w:jc w:val="both"/>
        <w:rPr>
          <w:rFonts w:ascii="Times New Roman"/>
          <w:b/>
          <w:sz w:val="20"/>
        </w:rPr>
      </w:pPr>
      <w:r>
        <w:rPr>
          <w:rFonts w:ascii="Arial"/>
          <w:b/>
          <w:color w:val="05050C"/>
          <w:w w:val="105"/>
          <w:sz w:val="20"/>
        </w:rPr>
        <w:t>Figure</w:t>
      </w:r>
      <w:r>
        <w:rPr>
          <w:rFonts w:ascii="Arial"/>
          <w:b/>
          <w:color w:val="05050C"/>
          <w:spacing w:val="-15"/>
          <w:w w:val="105"/>
          <w:sz w:val="20"/>
        </w:rPr>
        <w:t xml:space="preserve"> </w:t>
      </w:r>
      <w:r>
        <w:rPr>
          <w:rFonts w:ascii="Arial"/>
          <w:b/>
          <w:color w:val="05050C"/>
          <w:w w:val="105"/>
          <w:sz w:val="20"/>
        </w:rPr>
        <w:t>4</w:t>
      </w:r>
      <w:r>
        <w:rPr>
          <w:rFonts w:ascii="Arial"/>
          <w:b/>
          <w:color w:val="05050C"/>
          <w:spacing w:val="-15"/>
          <w:w w:val="105"/>
          <w:sz w:val="20"/>
        </w:rPr>
        <w:t xml:space="preserve"> </w:t>
      </w:r>
      <w:r>
        <w:rPr>
          <w:rFonts w:ascii="Arial"/>
          <w:b/>
          <w:color w:val="05050C"/>
          <w:w w:val="105"/>
          <w:sz w:val="20"/>
        </w:rPr>
        <w:t>Comparison</w:t>
      </w:r>
      <w:r>
        <w:rPr>
          <w:rFonts w:ascii="Arial"/>
          <w:b/>
          <w:color w:val="05050C"/>
          <w:spacing w:val="-14"/>
          <w:w w:val="105"/>
          <w:sz w:val="20"/>
        </w:rPr>
        <w:t xml:space="preserve"> </w:t>
      </w:r>
      <w:r>
        <w:rPr>
          <w:rFonts w:ascii="Arial"/>
          <w:b/>
          <w:color w:val="05050C"/>
          <w:w w:val="105"/>
          <w:sz w:val="20"/>
        </w:rPr>
        <w:t>of</w:t>
      </w:r>
      <w:r>
        <w:rPr>
          <w:rFonts w:ascii="Arial"/>
          <w:b/>
          <w:color w:val="05050C"/>
          <w:spacing w:val="-8"/>
          <w:w w:val="105"/>
          <w:sz w:val="20"/>
        </w:rPr>
        <w:t xml:space="preserve"> </w:t>
      </w:r>
      <w:r>
        <w:rPr>
          <w:rFonts w:ascii="Arial"/>
          <w:b/>
          <w:color w:val="05050C"/>
          <w:w w:val="105"/>
          <w:sz w:val="20"/>
        </w:rPr>
        <w:t>average</w:t>
      </w:r>
      <w:r>
        <w:rPr>
          <w:rFonts w:ascii="Arial"/>
          <w:b/>
          <w:color w:val="05050C"/>
          <w:spacing w:val="-14"/>
          <w:w w:val="105"/>
          <w:sz w:val="20"/>
        </w:rPr>
        <w:t xml:space="preserve"> </w:t>
      </w:r>
      <w:r>
        <w:rPr>
          <w:rFonts w:ascii="Arial"/>
          <w:b/>
          <w:color w:val="05050C"/>
          <w:w w:val="105"/>
          <w:sz w:val="20"/>
        </w:rPr>
        <w:t>unit</w:t>
      </w:r>
      <w:r>
        <w:rPr>
          <w:rFonts w:ascii="Arial"/>
          <w:b/>
          <w:color w:val="05050C"/>
          <w:spacing w:val="-15"/>
          <w:w w:val="105"/>
          <w:sz w:val="20"/>
        </w:rPr>
        <w:t xml:space="preserve"> </w:t>
      </w:r>
      <w:r>
        <w:rPr>
          <w:rFonts w:ascii="Arial"/>
          <w:b/>
          <w:color w:val="05050C"/>
          <w:w w:val="105"/>
          <w:sz w:val="20"/>
        </w:rPr>
        <w:t>prices</w:t>
      </w:r>
      <w:r>
        <w:rPr>
          <w:rFonts w:ascii="Arial"/>
          <w:b/>
          <w:color w:val="05050C"/>
          <w:spacing w:val="-18"/>
          <w:w w:val="105"/>
          <w:sz w:val="20"/>
        </w:rPr>
        <w:t xml:space="preserve"> </w:t>
      </w:r>
      <w:r>
        <w:rPr>
          <w:rFonts w:ascii="Arial"/>
          <w:b/>
          <w:color w:val="05050C"/>
          <w:w w:val="105"/>
          <w:sz w:val="20"/>
        </w:rPr>
        <w:t>during</w:t>
      </w:r>
      <w:r>
        <w:rPr>
          <w:rFonts w:ascii="Arial"/>
          <w:b/>
          <w:color w:val="05050C"/>
          <w:spacing w:val="-14"/>
          <w:w w:val="105"/>
          <w:sz w:val="20"/>
        </w:rPr>
        <w:t xml:space="preserve"> </w:t>
      </w:r>
      <w:r>
        <w:rPr>
          <w:rFonts w:ascii="Arial"/>
          <w:b/>
          <w:color w:val="05050C"/>
          <w:w w:val="105"/>
          <w:sz w:val="20"/>
        </w:rPr>
        <w:t>Injury</w:t>
      </w:r>
      <w:r>
        <w:rPr>
          <w:rFonts w:ascii="Arial"/>
          <w:b/>
          <w:color w:val="05050C"/>
          <w:spacing w:val="-17"/>
          <w:w w:val="105"/>
          <w:sz w:val="20"/>
        </w:rPr>
        <w:t xml:space="preserve"> </w:t>
      </w:r>
      <w:r>
        <w:rPr>
          <w:rFonts w:ascii="Arial"/>
          <w:b/>
          <w:color w:val="05050C"/>
          <w:w w:val="105"/>
          <w:sz w:val="20"/>
        </w:rPr>
        <w:t>POI</w:t>
      </w:r>
      <w:r>
        <w:rPr>
          <w:rFonts w:ascii="Arial"/>
          <w:b/>
          <w:color w:val="05050C"/>
          <w:spacing w:val="-14"/>
          <w:w w:val="105"/>
          <w:sz w:val="20"/>
        </w:rPr>
        <w:t xml:space="preserve"> </w:t>
      </w:r>
      <w:r>
        <w:rPr>
          <w:rFonts w:ascii="Arial"/>
          <w:b/>
          <w:color w:val="05050C"/>
          <w:spacing w:val="-2"/>
          <w:w w:val="105"/>
          <w:sz w:val="20"/>
        </w:rPr>
        <w:t>(USD/kl)</w:t>
      </w:r>
      <w:r>
        <w:rPr>
          <w:rFonts w:ascii="Times New Roman"/>
          <w:b/>
          <w:color w:val="2A212F"/>
          <w:spacing w:val="-2"/>
          <w:w w:val="105"/>
          <w:sz w:val="20"/>
          <w:vertAlign w:val="superscript"/>
        </w:rPr>
        <w:t>847</w:t>
      </w:r>
    </w:p>
    <w:p w14:paraId="51DE92FD" w14:textId="77777777" w:rsidR="0010369C" w:rsidRDefault="0010369C">
      <w:pPr>
        <w:pStyle w:val="BodyText"/>
        <w:spacing w:before="6"/>
        <w:rPr>
          <w:rFonts w:ascii="Times New Roman"/>
          <w:b/>
          <w:sz w:val="30"/>
        </w:rPr>
      </w:pPr>
    </w:p>
    <w:p w14:paraId="51DE92FE" w14:textId="77777777" w:rsidR="0010369C" w:rsidRDefault="008E43AE">
      <w:pPr>
        <w:pStyle w:val="ListParagraph"/>
        <w:numPr>
          <w:ilvl w:val="0"/>
          <w:numId w:val="39"/>
        </w:numPr>
        <w:tabs>
          <w:tab w:val="left" w:pos="1098"/>
        </w:tabs>
        <w:spacing w:before="0" w:line="439" w:lineRule="auto"/>
        <w:ind w:right="575" w:hanging="3"/>
        <w:jc w:val="both"/>
        <w:rPr>
          <w:rFonts w:ascii="Arial"/>
          <w:color w:val="2A212F"/>
          <w:sz w:val="21"/>
        </w:rPr>
      </w:pPr>
      <w:r>
        <w:rPr>
          <w:rFonts w:ascii="Arial"/>
          <w:color w:val="2A212F"/>
          <w:w w:val="105"/>
          <w:sz w:val="21"/>
        </w:rPr>
        <w:t>Australia submits that</w:t>
      </w:r>
      <w:r>
        <w:rPr>
          <w:rFonts w:ascii="Arial"/>
          <w:color w:val="2A212F"/>
          <w:spacing w:val="-2"/>
          <w:w w:val="105"/>
          <w:sz w:val="21"/>
        </w:rPr>
        <w:t xml:space="preserve"> </w:t>
      </w:r>
      <w:r>
        <w:rPr>
          <w:rFonts w:ascii="Arial"/>
          <w:color w:val="2A212F"/>
          <w:w w:val="105"/>
          <w:sz w:val="21"/>
        </w:rPr>
        <w:t>this ev</w:t>
      </w:r>
      <w:r>
        <w:rPr>
          <w:rFonts w:ascii="Arial"/>
          <w:color w:val="563321"/>
          <w:w w:val="105"/>
          <w:sz w:val="21"/>
        </w:rPr>
        <w:t>i</w:t>
      </w:r>
      <w:r>
        <w:rPr>
          <w:rFonts w:ascii="Arial"/>
          <w:color w:val="2A212F"/>
          <w:w w:val="105"/>
          <w:sz w:val="21"/>
        </w:rPr>
        <w:t xml:space="preserve">dence, </w:t>
      </w:r>
      <w:r>
        <w:rPr>
          <w:rFonts w:ascii="Arial"/>
          <w:color w:val="1A2644"/>
          <w:w w:val="105"/>
          <w:sz w:val="21"/>
        </w:rPr>
        <w:t xml:space="preserve">present </w:t>
      </w:r>
      <w:r>
        <w:rPr>
          <w:rFonts w:ascii="Arial"/>
          <w:color w:val="2A212F"/>
          <w:w w:val="105"/>
          <w:sz w:val="21"/>
        </w:rPr>
        <w:t>on the</w:t>
      </w:r>
      <w:r>
        <w:rPr>
          <w:rFonts w:ascii="Arial"/>
          <w:color w:val="2A212F"/>
          <w:spacing w:val="40"/>
          <w:w w:val="105"/>
          <w:sz w:val="21"/>
        </w:rPr>
        <w:t xml:space="preserve"> </w:t>
      </w:r>
      <w:r>
        <w:rPr>
          <w:rFonts w:ascii="Arial"/>
          <w:color w:val="2A212F"/>
          <w:w w:val="105"/>
          <w:sz w:val="21"/>
        </w:rPr>
        <w:t xml:space="preserve">record before MOFCOM, clearly </w:t>
      </w:r>
      <w:r>
        <w:rPr>
          <w:rFonts w:ascii="Arial"/>
          <w:color w:val="1A2644"/>
          <w:w w:val="105"/>
          <w:sz w:val="21"/>
        </w:rPr>
        <w:t xml:space="preserve">raises </w:t>
      </w:r>
      <w:r>
        <w:rPr>
          <w:rFonts w:ascii="Arial"/>
          <w:color w:val="563321"/>
          <w:w w:val="105"/>
          <w:sz w:val="21"/>
        </w:rPr>
        <w:t>i</w:t>
      </w:r>
      <w:r>
        <w:rPr>
          <w:rFonts w:ascii="Arial"/>
          <w:color w:val="1A2644"/>
          <w:w w:val="105"/>
          <w:sz w:val="21"/>
        </w:rPr>
        <w:t xml:space="preserve">mports </w:t>
      </w:r>
      <w:r>
        <w:rPr>
          <w:rFonts w:ascii="Arial"/>
          <w:color w:val="2A212F"/>
          <w:w w:val="105"/>
          <w:sz w:val="21"/>
        </w:rPr>
        <w:t>from other countries an</w:t>
      </w:r>
      <w:r>
        <w:rPr>
          <w:rFonts w:ascii="Arial"/>
          <w:color w:val="05050C"/>
          <w:w w:val="105"/>
          <w:sz w:val="21"/>
        </w:rPr>
        <w:t xml:space="preserve">d </w:t>
      </w:r>
      <w:r>
        <w:rPr>
          <w:rFonts w:ascii="Arial"/>
          <w:color w:val="1A2644"/>
          <w:w w:val="105"/>
          <w:sz w:val="21"/>
        </w:rPr>
        <w:t>reg</w:t>
      </w:r>
      <w:r>
        <w:rPr>
          <w:rFonts w:ascii="Arial"/>
          <w:color w:val="563321"/>
          <w:w w:val="105"/>
          <w:sz w:val="21"/>
        </w:rPr>
        <w:t>i</w:t>
      </w:r>
      <w:r>
        <w:rPr>
          <w:rFonts w:ascii="Arial"/>
          <w:color w:val="2A212F"/>
          <w:w w:val="105"/>
          <w:sz w:val="21"/>
        </w:rPr>
        <w:t xml:space="preserve">ons as a </w:t>
      </w:r>
      <w:r>
        <w:rPr>
          <w:rFonts w:ascii="Arial"/>
          <w:color w:val="1A2644"/>
          <w:w w:val="105"/>
          <w:sz w:val="21"/>
        </w:rPr>
        <w:t xml:space="preserve">"known </w:t>
      </w:r>
      <w:r>
        <w:rPr>
          <w:rFonts w:ascii="Arial"/>
          <w:color w:val="2A212F"/>
          <w:w w:val="105"/>
          <w:sz w:val="21"/>
        </w:rPr>
        <w:t xml:space="preserve">factor" </w:t>
      </w:r>
      <w:r>
        <w:rPr>
          <w:rFonts w:ascii="Arial"/>
          <w:color w:val="1A2644"/>
          <w:w w:val="105"/>
          <w:sz w:val="21"/>
        </w:rPr>
        <w:t>hav</w:t>
      </w:r>
      <w:r>
        <w:rPr>
          <w:rFonts w:ascii="Arial"/>
          <w:color w:val="563321"/>
          <w:w w:val="105"/>
          <w:sz w:val="21"/>
        </w:rPr>
        <w:t>i</w:t>
      </w:r>
      <w:r>
        <w:rPr>
          <w:rFonts w:ascii="Arial"/>
          <w:color w:val="1A2644"/>
          <w:w w:val="105"/>
          <w:sz w:val="21"/>
        </w:rPr>
        <w:t xml:space="preserve">ng </w:t>
      </w:r>
      <w:r>
        <w:rPr>
          <w:rFonts w:ascii="Arial"/>
          <w:color w:val="2A212F"/>
          <w:w w:val="105"/>
          <w:sz w:val="21"/>
        </w:rPr>
        <w:t xml:space="preserve">an impact on the </w:t>
      </w:r>
      <w:r>
        <w:rPr>
          <w:rFonts w:ascii="Arial"/>
          <w:color w:val="05050C"/>
          <w:w w:val="105"/>
          <w:sz w:val="21"/>
        </w:rPr>
        <w:t>d</w:t>
      </w:r>
      <w:r>
        <w:rPr>
          <w:rFonts w:ascii="Arial"/>
          <w:color w:val="2A212F"/>
          <w:w w:val="105"/>
          <w:sz w:val="21"/>
        </w:rPr>
        <w:t xml:space="preserve">omestic industry. That being the case, </w:t>
      </w:r>
      <w:r>
        <w:rPr>
          <w:rFonts w:ascii="Arial"/>
          <w:color w:val="05050C"/>
          <w:w w:val="105"/>
          <w:sz w:val="21"/>
        </w:rPr>
        <w:t>M</w:t>
      </w:r>
      <w:r>
        <w:rPr>
          <w:rFonts w:ascii="Arial"/>
          <w:color w:val="2A212F"/>
          <w:w w:val="105"/>
          <w:sz w:val="21"/>
        </w:rPr>
        <w:t>O</w:t>
      </w:r>
      <w:r>
        <w:rPr>
          <w:rFonts w:ascii="Arial"/>
          <w:color w:val="05050C"/>
          <w:w w:val="105"/>
          <w:sz w:val="21"/>
        </w:rPr>
        <w:t>F</w:t>
      </w:r>
      <w:r>
        <w:rPr>
          <w:rFonts w:ascii="Arial"/>
          <w:color w:val="2A212F"/>
          <w:w w:val="105"/>
          <w:sz w:val="21"/>
        </w:rPr>
        <w:t>CO</w:t>
      </w:r>
      <w:r>
        <w:rPr>
          <w:rFonts w:ascii="Arial"/>
          <w:color w:val="05050C"/>
          <w:w w:val="105"/>
          <w:sz w:val="21"/>
        </w:rPr>
        <w:t xml:space="preserve">M </w:t>
      </w:r>
      <w:r>
        <w:rPr>
          <w:rFonts w:ascii="Arial"/>
          <w:color w:val="2A212F"/>
          <w:w w:val="105"/>
          <w:sz w:val="21"/>
        </w:rPr>
        <w:t>was not</w:t>
      </w:r>
      <w:r>
        <w:rPr>
          <w:rFonts w:ascii="Arial"/>
          <w:color w:val="2A212F"/>
          <w:spacing w:val="40"/>
          <w:w w:val="105"/>
          <w:sz w:val="21"/>
        </w:rPr>
        <w:t xml:space="preserve"> </w:t>
      </w:r>
      <w:r>
        <w:rPr>
          <w:rFonts w:ascii="Arial"/>
          <w:color w:val="2A212F"/>
          <w:w w:val="105"/>
          <w:sz w:val="21"/>
        </w:rPr>
        <w:t>ent</w:t>
      </w:r>
      <w:r>
        <w:rPr>
          <w:rFonts w:ascii="Arial"/>
          <w:color w:val="563321"/>
          <w:w w:val="105"/>
          <w:sz w:val="21"/>
        </w:rPr>
        <w:t>i</w:t>
      </w:r>
      <w:r>
        <w:rPr>
          <w:rFonts w:ascii="Arial"/>
          <w:color w:val="2A212F"/>
          <w:w w:val="105"/>
          <w:sz w:val="21"/>
        </w:rPr>
        <w:t>tled to simply</w:t>
      </w:r>
      <w:r>
        <w:rPr>
          <w:rFonts w:ascii="Arial"/>
          <w:color w:val="2A212F"/>
          <w:w w:val="105"/>
          <w:sz w:val="21"/>
        </w:rPr>
        <w:t xml:space="preserve"> dismiss this ev</w:t>
      </w:r>
      <w:r>
        <w:rPr>
          <w:rFonts w:ascii="Arial"/>
          <w:color w:val="563321"/>
          <w:w w:val="105"/>
          <w:sz w:val="21"/>
        </w:rPr>
        <w:t>i</w:t>
      </w:r>
      <w:r>
        <w:rPr>
          <w:rFonts w:ascii="Arial"/>
          <w:color w:val="2A212F"/>
          <w:w w:val="105"/>
          <w:sz w:val="21"/>
        </w:rPr>
        <w:t xml:space="preserve">dence. </w:t>
      </w:r>
      <w:r>
        <w:rPr>
          <w:rFonts w:ascii="Arial"/>
          <w:color w:val="1A2644"/>
          <w:w w:val="105"/>
          <w:sz w:val="21"/>
        </w:rPr>
        <w:t xml:space="preserve">Rather, </w:t>
      </w:r>
      <w:r>
        <w:rPr>
          <w:rFonts w:ascii="Arial"/>
          <w:color w:val="563321"/>
          <w:w w:val="105"/>
          <w:sz w:val="21"/>
        </w:rPr>
        <w:t>i</w:t>
      </w:r>
      <w:r>
        <w:rPr>
          <w:rFonts w:ascii="Arial"/>
          <w:color w:val="2A212F"/>
          <w:w w:val="105"/>
          <w:sz w:val="21"/>
        </w:rPr>
        <w:t xml:space="preserve">t was </w:t>
      </w:r>
      <w:r>
        <w:rPr>
          <w:rFonts w:ascii="Arial"/>
          <w:color w:val="1A2644"/>
          <w:w w:val="105"/>
          <w:sz w:val="21"/>
        </w:rPr>
        <w:t>requ</w:t>
      </w:r>
      <w:r>
        <w:rPr>
          <w:rFonts w:ascii="Arial"/>
          <w:color w:val="563321"/>
          <w:w w:val="105"/>
          <w:sz w:val="21"/>
        </w:rPr>
        <w:t>i</w:t>
      </w:r>
      <w:r>
        <w:rPr>
          <w:rFonts w:ascii="Arial"/>
          <w:color w:val="1A2644"/>
          <w:w w:val="105"/>
          <w:sz w:val="21"/>
        </w:rPr>
        <w:t xml:space="preserve">red </w:t>
      </w:r>
      <w:r>
        <w:rPr>
          <w:rFonts w:ascii="Arial"/>
          <w:color w:val="2A212F"/>
          <w:w w:val="105"/>
          <w:sz w:val="21"/>
        </w:rPr>
        <w:t>to conduct a proper non</w:t>
      </w:r>
      <w:r>
        <w:rPr>
          <w:rFonts w:ascii="Arial"/>
          <w:color w:val="494654"/>
          <w:w w:val="105"/>
          <w:sz w:val="21"/>
        </w:rPr>
        <w:t>-</w:t>
      </w:r>
      <w:r>
        <w:rPr>
          <w:rFonts w:ascii="Arial"/>
          <w:color w:val="2A212F"/>
          <w:w w:val="105"/>
          <w:sz w:val="21"/>
        </w:rPr>
        <w:t>attr</w:t>
      </w:r>
      <w:r>
        <w:rPr>
          <w:rFonts w:ascii="Arial"/>
          <w:color w:val="463134"/>
          <w:w w:val="105"/>
          <w:sz w:val="21"/>
        </w:rPr>
        <w:t>i</w:t>
      </w:r>
      <w:r>
        <w:rPr>
          <w:rFonts w:ascii="Arial"/>
          <w:color w:val="1A2644"/>
          <w:w w:val="105"/>
          <w:sz w:val="21"/>
        </w:rPr>
        <w:t xml:space="preserve">bution </w:t>
      </w:r>
      <w:r>
        <w:rPr>
          <w:rFonts w:ascii="Arial"/>
          <w:color w:val="2A212F"/>
          <w:w w:val="105"/>
          <w:sz w:val="21"/>
        </w:rPr>
        <w:t>analysis in or</w:t>
      </w:r>
      <w:r>
        <w:rPr>
          <w:rFonts w:ascii="Arial"/>
          <w:color w:val="05050C"/>
          <w:w w:val="105"/>
          <w:sz w:val="21"/>
        </w:rPr>
        <w:t>d</w:t>
      </w:r>
      <w:r>
        <w:rPr>
          <w:rFonts w:ascii="Arial"/>
          <w:color w:val="2A212F"/>
          <w:w w:val="105"/>
          <w:sz w:val="21"/>
        </w:rPr>
        <w:t xml:space="preserve">er to </w:t>
      </w:r>
      <w:r>
        <w:rPr>
          <w:rFonts w:ascii="Arial"/>
          <w:color w:val="05050C"/>
          <w:w w:val="105"/>
          <w:sz w:val="21"/>
        </w:rPr>
        <w:t>d</w:t>
      </w:r>
      <w:r>
        <w:rPr>
          <w:rFonts w:ascii="Arial"/>
          <w:color w:val="2A212F"/>
          <w:w w:val="105"/>
          <w:sz w:val="21"/>
        </w:rPr>
        <w:t>etermine</w:t>
      </w:r>
      <w:r>
        <w:rPr>
          <w:rFonts w:ascii="Arial"/>
          <w:color w:val="2A212F"/>
          <w:spacing w:val="20"/>
          <w:w w:val="105"/>
          <w:sz w:val="21"/>
        </w:rPr>
        <w:t xml:space="preserve"> </w:t>
      </w:r>
      <w:r>
        <w:rPr>
          <w:rFonts w:ascii="Arial"/>
          <w:color w:val="2A212F"/>
          <w:w w:val="105"/>
          <w:sz w:val="21"/>
        </w:rPr>
        <w:t>the</w:t>
      </w:r>
      <w:r>
        <w:rPr>
          <w:rFonts w:ascii="Arial"/>
          <w:color w:val="2A212F"/>
          <w:spacing w:val="62"/>
          <w:w w:val="105"/>
          <w:sz w:val="21"/>
        </w:rPr>
        <w:t xml:space="preserve"> </w:t>
      </w:r>
      <w:r>
        <w:rPr>
          <w:rFonts w:ascii="Arial"/>
          <w:color w:val="2A212F"/>
          <w:w w:val="105"/>
          <w:sz w:val="21"/>
        </w:rPr>
        <w:t>extent</w:t>
      </w:r>
      <w:r>
        <w:rPr>
          <w:rFonts w:ascii="Arial"/>
          <w:color w:val="2A212F"/>
          <w:spacing w:val="37"/>
          <w:w w:val="105"/>
          <w:sz w:val="21"/>
        </w:rPr>
        <w:t xml:space="preserve"> </w:t>
      </w:r>
      <w:r>
        <w:rPr>
          <w:rFonts w:ascii="Arial"/>
          <w:color w:val="2A212F"/>
          <w:w w:val="105"/>
          <w:sz w:val="21"/>
        </w:rPr>
        <w:t>to</w:t>
      </w:r>
      <w:r>
        <w:rPr>
          <w:rFonts w:ascii="Arial"/>
          <w:color w:val="2A212F"/>
          <w:spacing w:val="69"/>
          <w:w w:val="105"/>
          <w:sz w:val="21"/>
        </w:rPr>
        <w:t xml:space="preserve"> </w:t>
      </w:r>
      <w:r>
        <w:rPr>
          <w:rFonts w:ascii="Arial"/>
          <w:color w:val="2A212F"/>
          <w:w w:val="105"/>
          <w:sz w:val="21"/>
        </w:rPr>
        <w:t>which</w:t>
      </w:r>
      <w:r>
        <w:rPr>
          <w:rFonts w:ascii="Arial"/>
          <w:color w:val="2A212F"/>
          <w:spacing w:val="40"/>
          <w:w w:val="105"/>
          <w:sz w:val="21"/>
        </w:rPr>
        <w:t xml:space="preserve"> </w:t>
      </w:r>
      <w:r>
        <w:rPr>
          <w:rFonts w:ascii="Arial"/>
          <w:color w:val="563321"/>
          <w:w w:val="105"/>
          <w:sz w:val="21"/>
        </w:rPr>
        <w:t>i</w:t>
      </w:r>
      <w:r>
        <w:rPr>
          <w:rFonts w:ascii="Arial"/>
          <w:color w:val="1A2644"/>
          <w:w w:val="105"/>
          <w:sz w:val="21"/>
        </w:rPr>
        <w:t>mports</w:t>
      </w:r>
      <w:r>
        <w:rPr>
          <w:rFonts w:ascii="Arial"/>
          <w:color w:val="1A2644"/>
          <w:spacing w:val="24"/>
          <w:w w:val="105"/>
          <w:sz w:val="21"/>
        </w:rPr>
        <w:t xml:space="preserve"> </w:t>
      </w:r>
      <w:r>
        <w:rPr>
          <w:rFonts w:ascii="Arial"/>
          <w:color w:val="2A212F"/>
          <w:w w:val="105"/>
          <w:sz w:val="21"/>
        </w:rPr>
        <w:t>from</w:t>
      </w:r>
      <w:r>
        <w:rPr>
          <w:rFonts w:ascii="Arial"/>
          <w:color w:val="2A212F"/>
          <w:spacing w:val="30"/>
          <w:w w:val="105"/>
          <w:sz w:val="21"/>
        </w:rPr>
        <w:t xml:space="preserve"> </w:t>
      </w:r>
      <w:r>
        <w:rPr>
          <w:rFonts w:ascii="Arial"/>
          <w:color w:val="2A212F"/>
          <w:w w:val="105"/>
          <w:sz w:val="21"/>
        </w:rPr>
        <w:t>third</w:t>
      </w:r>
      <w:r>
        <w:rPr>
          <w:rFonts w:ascii="Arial"/>
          <w:color w:val="2A212F"/>
          <w:spacing w:val="29"/>
          <w:w w:val="105"/>
          <w:sz w:val="21"/>
        </w:rPr>
        <w:t xml:space="preserve"> </w:t>
      </w:r>
      <w:r>
        <w:rPr>
          <w:rFonts w:ascii="Arial"/>
          <w:color w:val="2A212F"/>
          <w:w w:val="105"/>
          <w:sz w:val="21"/>
        </w:rPr>
        <w:t>countries</w:t>
      </w:r>
      <w:r>
        <w:rPr>
          <w:rFonts w:ascii="Arial"/>
          <w:color w:val="2A212F"/>
          <w:spacing w:val="40"/>
          <w:w w:val="105"/>
          <w:sz w:val="21"/>
        </w:rPr>
        <w:t xml:space="preserve"> </w:t>
      </w:r>
      <w:r>
        <w:rPr>
          <w:rFonts w:ascii="Arial"/>
          <w:color w:val="2A212F"/>
          <w:w w:val="105"/>
          <w:sz w:val="21"/>
        </w:rPr>
        <w:t>caused</w:t>
      </w:r>
      <w:r>
        <w:rPr>
          <w:rFonts w:ascii="Arial"/>
          <w:color w:val="2A212F"/>
          <w:spacing w:val="40"/>
          <w:w w:val="105"/>
          <w:sz w:val="21"/>
        </w:rPr>
        <w:t xml:space="preserve"> </w:t>
      </w:r>
      <w:r>
        <w:rPr>
          <w:rFonts w:ascii="Arial"/>
          <w:color w:val="463134"/>
          <w:w w:val="105"/>
          <w:sz w:val="21"/>
        </w:rPr>
        <w:t>injury</w:t>
      </w:r>
      <w:r>
        <w:rPr>
          <w:rFonts w:ascii="Arial"/>
          <w:color w:val="463134"/>
          <w:spacing w:val="34"/>
          <w:w w:val="105"/>
          <w:sz w:val="21"/>
        </w:rPr>
        <w:t xml:space="preserve"> </w:t>
      </w:r>
      <w:r>
        <w:rPr>
          <w:rFonts w:ascii="Arial"/>
          <w:color w:val="2A212F"/>
          <w:w w:val="105"/>
          <w:sz w:val="21"/>
        </w:rPr>
        <w:t>to</w:t>
      </w:r>
      <w:r>
        <w:rPr>
          <w:rFonts w:ascii="Arial"/>
          <w:color w:val="2A212F"/>
          <w:spacing w:val="63"/>
          <w:w w:val="105"/>
          <w:sz w:val="21"/>
        </w:rPr>
        <w:t xml:space="preserve"> </w:t>
      </w:r>
      <w:r>
        <w:rPr>
          <w:rFonts w:ascii="Arial"/>
          <w:color w:val="2A212F"/>
          <w:w w:val="105"/>
          <w:sz w:val="21"/>
        </w:rPr>
        <w:t>the</w:t>
      </w:r>
      <w:r>
        <w:rPr>
          <w:rFonts w:ascii="Arial"/>
          <w:color w:val="2A212F"/>
          <w:spacing w:val="40"/>
          <w:w w:val="105"/>
          <w:sz w:val="21"/>
        </w:rPr>
        <w:t xml:space="preserve"> </w:t>
      </w:r>
      <w:r>
        <w:rPr>
          <w:rFonts w:ascii="Arial"/>
          <w:color w:val="2A212F"/>
          <w:w w:val="105"/>
          <w:sz w:val="21"/>
        </w:rPr>
        <w:t>domestic</w:t>
      </w:r>
    </w:p>
    <w:p w14:paraId="51DE92FF" w14:textId="77777777" w:rsidR="0010369C" w:rsidRDefault="0010369C">
      <w:pPr>
        <w:pStyle w:val="BodyText"/>
        <w:rPr>
          <w:rFonts w:ascii="Arial"/>
          <w:sz w:val="20"/>
        </w:rPr>
      </w:pPr>
    </w:p>
    <w:p w14:paraId="51DE9300" w14:textId="77777777" w:rsidR="0010369C" w:rsidRDefault="0010369C">
      <w:pPr>
        <w:pStyle w:val="BodyText"/>
        <w:rPr>
          <w:rFonts w:ascii="Arial"/>
          <w:sz w:val="20"/>
        </w:rPr>
      </w:pPr>
    </w:p>
    <w:p w14:paraId="51DE9301" w14:textId="77777777" w:rsidR="0010369C" w:rsidRDefault="008E43AE">
      <w:pPr>
        <w:pStyle w:val="BodyText"/>
        <w:spacing w:before="4"/>
        <w:rPr>
          <w:rFonts w:ascii="Arial"/>
          <w:sz w:val="17"/>
        </w:rPr>
      </w:pPr>
      <w:r>
        <w:pict w14:anchorId="51DEA5D0">
          <v:shape id="docshape1175" o:spid="_x0000_s1221" style="position:absolute;margin-left:70.25pt;margin-top:11.2pt;width:145.5pt;height:.1pt;z-index:-250777088;mso-wrap-distance-left:0;mso-wrap-distance-right:0;mso-position-horizontal-relative:page" coordorigin="1405,224" coordsize="2910,0" path="m1405,224r2909,e" filled="f" strokeweight=".53042mm">
            <v:path arrowok="t"/>
            <w10:wrap type="topAndBottom" anchorx="page"/>
          </v:shape>
        </w:pict>
      </w:r>
    </w:p>
    <w:p w14:paraId="51DE9302" w14:textId="77777777" w:rsidR="0010369C" w:rsidRDefault="008E43AE">
      <w:pPr>
        <w:spacing w:before="113"/>
        <w:ind w:left="237"/>
        <w:rPr>
          <w:rFonts w:ascii="Arial"/>
          <w:sz w:val="16"/>
        </w:rPr>
      </w:pPr>
      <w:r>
        <w:rPr>
          <w:rFonts w:ascii="Times New Roman"/>
          <w:color w:val="2A212F"/>
          <w:w w:val="105"/>
          <w:position w:val="5"/>
          <w:sz w:val="12"/>
        </w:rPr>
        <w:t>84</w:t>
      </w:r>
      <w:r>
        <w:rPr>
          <w:rFonts w:ascii="Times New Roman"/>
          <w:color w:val="494654"/>
          <w:w w:val="105"/>
          <w:position w:val="5"/>
          <w:sz w:val="12"/>
        </w:rPr>
        <w:t xml:space="preserve">7 </w:t>
      </w:r>
      <w:r>
        <w:rPr>
          <w:rFonts w:ascii="Arial"/>
          <w:color w:val="1A2644"/>
          <w:w w:val="105"/>
          <w:sz w:val="16"/>
        </w:rPr>
        <w:t>This</w:t>
      </w:r>
      <w:r>
        <w:rPr>
          <w:rFonts w:ascii="Arial"/>
          <w:color w:val="1A2644"/>
          <w:spacing w:val="-22"/>
          <w:w w:val="105"/>
          <w:sz w:val="16"/>
        </w:rPr>
        <w:t xml:space="preserve"> </w:t>
      </w:r>
      <w:r>
        <w:rPr>
          <w:rFonts w:ascii="Arial"/>
          <w:color w:val="2A212F"/>
          <w:w w:val="105"/>
          <w:sz w:val="16"/>
        </w:rPr>
        <w:t>Figure</w:t>
      </w:r>
      <w:r>
        <w:rPr>
          <w:rFonts w:ascii="Arial"/>
          <w:color w:val="2A212F"/>
          <w:spacing w:val="-15"/>
          <w:w w:val="105"/>
          <w:sz w:val="16"/>
        </w:rPr>
        <w:t xml:space="preserve"> </w:t>
      </w:r>
      <w:r>
        <w:rPr>
          <w:rFonts w:ascii="Arial"/>
          <w:color w:val="1A2644"/>
          <w:w w:val="105"/>
          <w:sz w:val="16"/>
        </w:rPr>
        <w:t>is</w:t>
      </w:r>
      <w:r>
        <w:rPr>
          <w:rFonts w:ascii="Arial"/>
          <w:color w:val="1A2644"/>
          <w:spacing w:val="-27"/>
          <w:w w:val="105"/>
          <w:sz w:val="16"/>
        </w:rPr>
        <w:t xml:space="preserve"> </w:t>
      </w:r>
      <w:r>
        <w:rPr>
          <w:rFonts w:ascii="Arial"/>
          <w:color w:val="2A212F"/>
          <w:w w:val="105"/>
          <w:sz w:val="16"/>
        </w:rPr>
        <w:t>generated</w:t>
      </w:r>
      <w:r>
        <w:rPr>
          <w:rFonts w:ascii="Arial"/>
          <w:color w:val="2A212F"/>
          <w:spacing w:val="-16"/>
          <w:w w:val="105"/>
          <w:sz w:val="16"/>
        </w:rPr>
        <w:t xml:space="preserve"> </w:t>
      </w:r>
      <w:r>
        <w:rPr>
          <w:rFonts w:ascii="Arial"/>
          <w:color w:val="2A212F"/>
          <w:w w:val="105"/>
          <w:sz w:val="16"/>
        </w:rPr>
        <w:t>using</w:t>
      </w:r>
      <w:r>
        <w:rPr>
          <w:rFonts w:ascii="Arial"/>
          <w:color w:val="2A212F"/>
          <w:spacing w:val="-25"/>
          <w:w w:val="105"/>
          <w:sz w:val="16"/>
        </w:rPr>
        <w:t xml:space="preserve"> </w:t>
      </w:r>
      <w:r>
        <w:rPr>
          <w:rFonts w:ascii="Arial"/>
          <w:color w:val="2A212F"/>
          <w:w w:val="105"/>
          <w:sz w:val="16"/>
        </w:rPr>
        <w:t>the</w:t>
      </w:r>
      <w:r>
        <w:rPr>
          <w:rFonts w:ascii="Arial"/>
          <w:color w:val="2A212F"/>
          <w:spacing w:val="6"/>
          <w:w w:val="105"/>
          <w:sz w:val="16"/>
        </w:rPr>
        <w:t xml:space="preserve"> </w:t>
      </w:r>
      <w:r>
        <w:rPr>
          <w:rFonts w:ascii="Arial"/>
          <w:color w:val="2A212F"/>
          <w:w w:val="105"/>
          <w:sz w:val="16"/>
        </w:rPr>
        <w:t>following</w:t>
      </w:r>
      <w:r>
        <w:rPr>
          <w:rFonts w:ascii="Arial"/>
          <w:color w:val="2A212F"/>
          <w:spacing w:val="-9"/>
          <w:w w:val="105"/>
          <w:sz w:val="16"/>
        </w:rPr>
        <w:t xml:space="preserve"> </w:t>
      </w:r>
      <w:r>
        <w:rPr>
          <w:rFonts w:ascii="Arial"/>
          <w:color w:val="2A212F"/>
          <w:spacing w:val="-2"/>
          <w:w w:val="105"/>
          <w:sz w:val="16"/>
        </w:rPr>
        <w:t>data:</w:t>
      </w:r>
    </w:p>
    <w:p w14:paraId="51DE9303" w14:textId="77777777" w:rsidR="0010369C" w:rsidRDefault="0010369C">
      <w:pPr>
        <w:pStyle w:val="BodyText"/>
        <w:spacing w:before="4"/>
        <w:rPr>
          <w:rFonts w:ascii="Arial"/>
          <w:sz w:val="22"/>
        </w:rPr>
      </w:pPr>
    </w:p>
    <w:p w14:paraId="51DE9304" w14:textId="77777777" w:rsidR="0010369C" w:rsidRDefault="008E43AE">
      <w:pPr>
        <w:spacing w:line="300" w:lineRule="auto"/>
        <w:ind w:left="245" w:right="582" w:hanging="4"/>
        <w:rPr>
          <w:rFonts w:ascii="Arial"/>
          <w:sz w:val="16"/>
        </w:rPr>
      </w:pPr>
      <w:r>
        <w:rPr>
          <w:rFonts w:ascii="Arial"/>
          <w:color w:val="2A212F"/>
          <w:w w:val="105"/>
          <w:sz w:val="16"/>
        </w:rPr>
        <w:t>For</w:t>
      </w:r>
      <w:r>
        <w:rPr>
          <w:rFonts w:ascii="Arial"/>
          <w:color w:val="2A212F"/>
          <w:spacing w:val="-15"/>
          <w:w w:val="105"/>
          <w:sz w:val="16"/>
        </w:rPr>
        <w:t xml:space="preserve"> </w:t>
      </w:r>
      <w:r>
        <w:rPr>
          <w:rFonts w:ascii="Arial"/>
          <w:color w:val="2A212F"/>
          <w:w w:val="105"/>
          <w:sz w:val="16"/>
        </w:rPr>
        <w:t>France,</w:t>
      </w:r>
      <w:r>
        <w:rPr>
          <w:rFonts w:ascii="Arial"/>
          <w:color w:val="2A212F"/>
          <w:spacing w:val="-11"/>
          <w:w w:val="105"/>
          <w:sz w:val="16"/>
        </w:rPr>
        <w:t xml:space="preserve"> </w:t>
      </w:r>
      <w:r>
        <w:rPr>
          <w:rFonts w:ascii="Arial"/>
          <w:color w:val="2A212F"/>
          <w:w w:val="105"/>
          <w:sz w:val="16"/>
        </w:rPr>
        <w:t>Australia,</w:t>
      </w:r>
      <w:r>
        <w:rPr>
          <w:rFonts w:ascii="Arial"/>
          <w:color w:val="2A212F"/>
          <w:spacing w:val="-15"/>
          <w:w w:val="105"/>
          <w:sz w:val="16"/>
        </w:rPr>
        <w:t xml:space="preserve"> </w:t>
      </w:r>
      <w:r>
        <w:rPr>
          <w:rFonts w:ascii="Arial"/>
          <w:color w:val="2A212F"/>
          <w:w w:val="105"/>
          <w:sz w:val="16"/>
        </w:rPr>
        <w:t>Chile,</w:t>
      </w:r>
      <w:r>
        <w:rPr>
          <w:rFonts w:ascii="Arial"/>
          <w:color w:val="2A212F"/>
          <w:spacing w:val="-19"/>
          <w:w w:val="105"/>
          <w:sz w:val="16"/>
        </w:rPr>
        <w:t xml:space="preserve"> </w:t>
      </w:r>
      <w:r>
        <w:rPr>
          <w:rFonts w:ascii="Arial"/>
          <w:color w:val="2A212F"/>
          <w:w w:val="105"/>
          <w:sz w:val="16"/>
        </w:rPr>
        <w:t>Spain</w:t>
      </w:r>
      <w:r>
        <w:rPr>
          <w:rFonts w:ascii="Arial"/>
          <w:color w:val="2A212F"/>
          <w:spacing w:val="-14"/>
          <w:w w:val="105"/>
          <w:sz w:val="16"/>
        </w:rPr>
        <w:t xml:space="preserve"> </w:t>
      </w:r>
      <w:r>
        <w:rPr>
          <w:rFonts w:ascii="Arial"/>
          <w:color w:val="2A212F"/>
          <w:w w:val="105"/>
          <w:sz w:val="16"/>
        </w:rPr>
        <w:t>and</w:t>
      </w:r>
      <w:r>
        <w:rPr>
          <w:rFonts w:ascii="Arial"/>
          <w:color w:val="2A212F"/>
          <w:spacing w:val="-20"/>
          <w:w w:val="105"/>
          <w:sz w:val="16"/>
        </w:rPr>
        <w:t xml:space="preserve"> </w:t>
      </w:r>
      <w:r>
        <w:rPr>
          <w:rFonts w:ascii="Arial"/>
          <w:color w:val="563321"/>
          <w:w w:val="105"/>
          <w:sz w:val="16"/>
        </w:rPr>
        <w:t>I</w:t>
      </w:r>
      <w:r>
        <w:rPr>
          <w:rFonts w:ascii="Arial"/>
          <w:color w:val="2A212F"/>
          <w:w w:val="105"/>
          <w:sz w:val="16"/>
        </w:rPr>
        <w:t>taly</w:t>
      </w:r>
      <w:r>
        <w:rPr>
          <w:rFonts w:ascii="Arial"/>
          <w:color w:val="05050C"/>
          <w:w w:val="105"/>
          <w:sz w:val="16"/>
        </w:rPr>
        <w:t>-</w:t>
      </w:r>
      <w:r>
        <w:rPr>
          <w:rFonts w:ascii="Arial"/>
          <w:color w:val="05050C"/>
          <w:spacing w:val="-12"/>
          <w:w w:val="105"/>
          <w:sz w:val="16"/>
        </w:rPr>
        <w:t xml:space="preserve"> </w:t>
      </w:r>
      <w:r>
        <w:rPr>
          <w:rFonts w:ascii="Arial"/>
          <w:color w:val="2A212F"/>
          <w:w w:val="105"/>
          <w:sz w:val="16"/>
        </w:rPr>
        <w:t>CADA</w:t>
      </w:r>
      <w:r>
        <w:rPr>
          <w:rFonts w:ascii="Arial"/>
          <w:color w:val="2A212F"/>
          <w:spacing w:val="-12"/>
          <w:w w:val="105"/>
          <w:sz w:val="16"/>
        </w:rPr>
        <w:t xml:space="preserve"> </w:t>
      </w:r>
      <w:r>
        <w:rPr>
          <w:rFonts w:ascii="Arial"/>
          <w:color w:val="2A212F"/>
          <w:w w:val="105"/>
          <w:sz w:val="16"/>
        </w:rPr>
        <w:t>Application</w:t>
      </w:r>
      <w:r>
        <w:rPr>
          <w:rFonts w:ascii="Arial"/>
          <w:color w:val="2A212F"/>
          <w:spacing w:val="-11"/>
          <w:w w:val="105"/>
          <w:sz w:val="16"/>
        </w:rPr>
        <w:t xml:space="preserve"> </w:t>
      </w:r>
      <w:r>
        <w:rPr>
          <w:rFonts w:ascii="Arial"/>
          <w:color w:val="2A212F"/>
          <w:w w:val="105"/>
          <w:sz w:val="16"/>
        </w:rPr>
        <w:t>for</w:t>
      </w:r>
      <w:r>
        <w:rPr>
          <w:rFonts w:ascii="Arial"/>
          <w:color w:val="2A212F"/>
          <w:spacing w:val="-12"/>
          <w:w w:val="105"/>
          <w:sz w:val="16"/>
        </w:rPr>
        <w:t xml:space="preserve"> </w:t>
      </w:r>
      <w:r>
        <w:rPr>
          <w:rFonts w:ascii="Arial"/>
          <w:color w:val="2A212F"/>
          <w:w w:val="105"/>
          <w:sz w:val="16"/>
        </w:rPr>
        <w:t>Anti</w:t>
      </w:r>
      <w:r>
        <w:rPr>
          <w:rFonts w:ascii="Arial"/>
          <w:color w:val="05050C"/>
          <w:w w:val="105"/>
          <w:sz w:val="16"/>
        </w:rPr>
        <w:t>-</w:t>
      </w:r>
      <w:r>
        <w:rPr>
          <w:rFonts w:ascii="Arial"/>
          <w:color w:val="2A212F"/>
          <w:w w:val="105"/>
          <w:sz w:val="16"/>
        </w:rPr>
        <w:t>Dumping</w:t>
      </w:r>
      <w:r>
        <w:rPr>
          <w:rFonts w:ascii="Arial"/>
          <w:color w:val="2A212F"/>
          <w:spacing w:val="-19"/>
          <w:w w:val="105"/>
          <w:sz w:val="16"/>
        </w:rPr>
        <w:t xml:space="preserve"> </w:t>
      </w:r>
      <w:r>
        <w:rPr>
          <w:rFonts w:ascii="Arial"/>
          <w:color w:val="1C4169"/>
          <w:w w:val="105"/>
          <w:sz w:val="16"/>
        </w:rPr>
        <w:t>I</w:t>
      </w:r>
      <w:r>
        <w:rPr>
          <w:rFonts w:ascii="Arial"/>
          <w:color w:val="2A212F"/>
          <w:w w:val="105"/>
          <w:sz w:val="16"/>
        </w:rPr>
        <w:t>nvestigation</w:t>
      </w:r>
      <w:r>
        <w:rPr>
          <w:rFonts w:ascii="Arial"/>
          <w:color w:val="463134"/>
          <w:w w:val="105"/>
          <w:sz w:val="16"/>
        </w:rPr>
        <w:t>,</w:t>
      </w:r>
      <w:r>
        <w:rPr>
          <w:rFonts w:ascii="Arial"/>
          <w:color w:val="463134"/>
          <w:spacing w:val="-12"/>
          <w:w w:val="105"/>
          <w:sz w:val="16"/>
        </w:rPr>
        <w:t xml:space="preserve"> </w:t>
      </w:r>
      <w:r>
        <w:rPr>
          <w:rFonts w:ascii="Arial"/>
          <w:color w:val="2A212F"/>
          <w:w w:val="105"/>
          <w:sz w:val="16"/>
        </w:rPr>
        <w:t>Annexes</w:t>
      </w:r>
      <w:r>
        <w:rPr>
          <w:rFonts w:ascii="Arial"/>
          <w:color w:val="2A212F"/>
          <w:spacing w:val="-12"/>
          <w:w w:val="105"/>
          <w:sz w:val="16"/>
        </w:rPr>
        <w:t xml:space="preserve"> </w:t>
      </w:r>
      <w:r>
        <w:rPr>
          <w:rFonts w:ascii="Arial"/>
          <w:color w:val="1A2644"/>
          <w:w w:val="105"/>
          <w:sz w:val="16"/>
        </w:rPr>
        <w:t>1-12</w:t>
      </w:r>
      <w:r>
        <w:rPr>
          <w:rFonts w:ascii="Arial"/>
          <w:color w:val="1A2644"/>
          <w:spacing w:val="-22"/>
          <w:w w:val="105"/>
          <w:sz w:val="16"/>
        </w:rPr>
        <w:t xml:space="preserve"> </w:t>
      </w:r>
      <w:r>
        <w:rPr>
          <w:rFonts w:ascii="Arial"/>
          <w:color w:val="2A212F"/>
          <w:w w:val="105"/>
          <w:sz w:val="16"/>
        </w:rPr>
        <w:t>(Part</w:t>
      </w:r>
      <w:r>
        <w:rPr>
          <w:rFonts w:ascii="Arial"/>
          <w:color w:val="2A212F"/>
          <w:spacing w:val="-15"/>
          <w:w w:val="105"/>
          <w:sz w:val="16"/>
        </w:rPr>
        <w:t xml:space="preserve"> </w:t>
      </w:r>
      <w:r>
        <w:rPr>
          <w:rFonts w:ascii="Arial"/>
          <w:color w:val="2A212F"/>
          <w:w w:val="105"/>
          <w:sz w:val="16"/>
        </w:rPr>
        <w:t>2)</w:t>
      </w:r>
      <w:r>
        <w:rPr>
          <w:rFonts w:ascii="Arial"/>
          <w:color w:val="2A212F"/>
          <w:spacing w:val="-12"/>
          <w:w w:val="105"/>
          <w:sz w:val="16"/>
        </w:rPr>
        <w:t xml:space="preserve"> </w:t>
      </w:r>
      <w:r>
        <w:rPr>
          <w:rFonts w:ascii="Arial"/>
          <w:color w:val="2A212F"/>
          <w:w w:val="105"/>
          <w:sz w:val="16"/>
        </w:rPr>
        <w:t xml:space="preserve">(Exhibit </w:t>
      </w:r>
      <w:r>
        <w:rPr>
          <w:rFonts w:ascii="Arial"/>
          <w:color w:val="2A212F"/>
          <w:sz w:val="16"/>
        </w:rPr>
        <w:t>AUS</w:t>
      </w:r>
      <w:r>
        <w:rPr>
          <w:rFonts w:ascii="Arial"/>
          <w:color w:val="05050C"/>
          <w:sz w:val="16"/>
        </w:rPr>
        <w:t>-</w:t>
      </w:r>
      <w:r>
        <w:rPr>
          <w:rFonts w:ascii="Arial"/>
          <w:color w:val="2A212F"/>
          <w:sz w:val="16"/>
        </w:rPr>
        <w:t>66),</w:t>
      </w:r>
      <w:r>
        <w:rPr>
          <w:rFonts w:ascii="Arial"/>
          <w:color w:val="2A212F"/>
          <w:spacing w:val="8"/>
          <w:sz w:val="16"/>
        </w:rPr>
        <w:t xml:space="preserve"> </w:t>
      </w:r>
      <w:r>
        <w:rPr>
          <w:rFonts w:ascii="Arial"/>
          <w:color w:val="2A212F"/>
          <w:sz w:val="16"/>
        </w:rPr>
        <w:t>Annex</w:t>
      </w:r>
      <w:r>
        <w:rPr>
          <w:rFonts w:ascii="Arial"/>
          <w:color w:val="2A212F"/>
          <w:spacing w:val="-1"/>
          <w:sz w:val="16"/>
        </w:rPr>
        <w:t xml:space="preserve"> </w:t>
      </w:r>
      <w:r>
        <w:rPr>
          <w:rFonts w:ascii="Arial"/>
          <w:color w:val="2A212F"/>
          <w:sz w:val="16"/>
        </w:rPr>
        <w:t>8,</w:t>
      </w:r>
      <w:r>
        <w:rPr>
          <w:rFonts w:ascii="Arial"/>
          <w:color w:val="2A212F"/>
          <w:spacing w:val="12"/>
          <w:sz w:val="16"/>
        </w:rPr>
        <w:t xml:space="preserve"> </w:t>
      </w:r>
      <w:r>
        <w:rPr>
          <w:rFonts w:ascii="Arial"/>
          <w:color w:val="2A212F"/>
          <w:sz w:val="16"/>
        </w:rPr>
        <w:t>pp.</w:t>
      </w:r>
      <w:r>
        <w:rPr>
          <w:rFonts w:ascii="Arial"/>
          <w:color w:val="2A212F"/>
          <w:spacing w:val="16"/>
          <w:sz w:val="16"/>
        </w:rPr>
        <w:t xml:space="preserve"> </w:t>
      </w:r>
      <w:r>
        <w:rPr>
          <w:rFonts w:ascii="Arial"/>
          <w:color w:val="1A2644"/>
          <w:sz w:val="16"/>
        </w:rPr>
        <w:t>45-48.</w:t>
      </w:r>
      <w:r>
        <w:rPr>
          <w:rFonts w:ascii="Arial"/>
          <w:color w:val="1A2644"/>
          <w:spacing w:val="-12"/>
          <w:sz w:val="16"/>
        </w:rPr>
        <w:t xml:space="preserve"> </w:t>
      </w:r>
      <w:r>
        <w:rPr>
          <w:rFonts w:ascii="Arial"/>
          <w:color w:val="2A212F"/>
          <w:sz w:val="16"/>
        </w:rPr>
        <w:t>For</w:t>
      </w:r>
      <w:r>
        <w:rPr>
          <w:rFonts w:ascii="Arial"/>
          <w:color w:val="2A212F"/>
          <w:spacing w:val="-14"/>
          <w:sz w:val="16"/>
        </w:rPr>
        <w:t xml:space="preserve"> </w:t>
      </w:r>
      <w:r>
        <w:rPr>
          <w:rFonts w:ascii="Arial"/>
          <w:color w:val="2A212F"/>
          <w:sz w:val="16"/>
        </w:rPr>
        <w:t>2015</w:t>
      </w:r>
      <w:r>
        <w:rPr>
          <w:rFonts w:ascii="Arial"/>
          <w:color w:val="2A212F"/>
          <w:spacing w:val="-2"/>
          <w:sz w:val="16"/>
        </w:rPr>
        <w:t xml:space="preserve"> </w:t>
      </w:r>
      <w:r>
        <w:rPr>
          <w:rFonts w:ascii="Arial"/>
          <w:color w:val="2A212F"/>
          <w:sz w:val="16"/>
        </w:rPr>
        <w:t>import</w:t>
      </w:r>
      <w:r>
        <w:rPr>
          <w:rFonts w:ascii="Arial"/>
          <w:color w:val="2A212F"/>
          <w:spacing w:val="-13"/>
          <w:sz w:val="16"/>
        </w:rPr>
        <w:t xml:space="preserve"> </w:t>
      </w:r>
      <w:r>
        <w:rPr>
          <w:rFonts w:ascii="Arial"/>
          <w:color w:val="2A212F"/>
          <w:sz w:val="16"/>
        </w:rPr>
        <w:t>vo</w:t>
      </w:r>
      <w:r>
        <w:rPr>
          <w:rFonts w:ascii="Arial"/>
          <w:color w:val="05050C"/>
          <w:sz w:val="16"/>
        </w:rPr>
        <w:t>l</w:t>
      </w:r>
      <w:r>
        <w:rPr>
          <w:rFonts w:ascii="Arial"/>
          <w:color w:val="1A2644"/>
          <w:sz w:val="16"/>
        </w:rPr>
        <w:t>umes</w:t>
      </w:r>
      <w:r>
        <w:rPr>
          <w:rFonts w:ascii="Arial"/>
          <w:color w:val="1A2644"/>
          <w:spacing w:val="-7"/>
          <w:sz w:val="16"/>
        </w:rPr>
        <w:t xml:space="preserve"> </w:t>
      </w:r>
      <w:r>
        <w:rPr>
          <w:rFonts w:ascii="Arial"/>
          <w:color w:val="2A212F"/>
          <w:sz w:val="16"/>
        </w:rPr>
        <w:t>and value(USO)</w:t>
      </w:r>
      <w:r>
        <w:rPr>
          <w:rFonts w:ascii="Arial"/>
          <w:color w:val="2A212F"/>
          <w:spacing w:val="-4"/>
          <w:sz w:val="16"/>
        </w:rPr>
        <w:t xml:space="preserve"> </w:t>
      </w:r>
      <w:r>
        <w:rPr>
          <w:rFonts w:ascii="Arial"/>
          <w:color w:val="2A212F"/>
          <w:sz w:val="16"/>
        </w:rPr>
        <w:t>seep.</w:t>
      </w:r>
      <w:r>
        <w:rPr>
          <w:rFonts w:ascii="Arial"/>
          <w:color w:val="2A212F"/>
          <w:spacing w:val="-15"/>
          <w:sz w:val="16"/>
        </w:rPr>
        <w:t xml:space="preserve"> </w:t>
      </w:r>
      <w:r>
        <w:rPr>
          <w:rFonts w:ascii="Arial"/>
          <w:color w:val="2A212F"/>
          <w:sz w:val="16"/>
        </w:rPr>
        <w:t>45,</w:t>
      </w:r>
      <w:r>
        <w:rPr>
          <w:rFonts w:ascii="Arial"/>
          <w:color w:val="2A212F"/>
          <w:spacing w:val="-15"/>
          <w:sz w:val="16"/>
        </w:rPr>
        <w:t xml:space="preserve"> </w:t>
      </w:r>
      <w:r>
        <w:rPr>
          <w:rFonts w:ascii="Arial"/>
          <w:color w:val="2A212F"/>
          <w:sz w:val="16"/>
        </w:rPr>
        <w:t>columns</w:t>
      </w:r>
      <w:r>
        <w:rPr>
          <w:rFonts w:ascii="Arial"/>
          <w:color w:val="2A212F"/>
          <w:spacing w:val="4"/>
          <w:sz w:val="16"/>
        </w:rPr>
        <w:t xml:space="preserve"> </w:t>
      </w:r>
      <w:r>
        <w:rPr>
          <w:rFonts w:ascii="Arial"/>
          <w:color w:val="463134"/>
          <w:sz w:val="16"/>
        </w:rPr>
        <w:t>F</w:t>
      </w:r>
      <w:r>
        <w:rPr>
          <w:rFonts w:ascii="Arial"/>
          <w:color w:val="463134"/>
          <w:spacing w:val="-19"/>
          <w:sz w:val="16"/>
        </w:rPr>
        <w:t xml:space="preserve"> </w:t>
      </w:r>
      <w:r>
        <w:rPr>
          <w:rFonts w:ascii="Arial"/>
          <w:color w:val="2A212F"/>
          <w:sz w:val="16"/>
        </w:rPr>
        <w:t>and</w:t>
      </w:r>
      <w:r>
        <w:rPr>
          <w:rFonts w:ascii="Arial"/>
          <w:color w:val="2A212F"/>
          <w:spacing w:val="-11"/>
          <w:sz w:val="16"/>
        </w:rPr>
        <w:t xml:space="preserve"> </w:t>
      </w:r>
      <w:r>
        <w:rPr>
          <w:rFonts w:ascii="Arial"/>
          <w:color w:val="2A212F"/>
          <w:sz w:val="16"/>
        </w:rPr>
        <w:t>G:</w:t>
      </w:r>
      <w:r>
        <w:rPr>
          <w:rFonts w:ascii="Arial"/>
          <w:color w:val="2A212F"/>
          <w:spacing w:val="-23"/>
          <w:sz w:val="16"/>
        </w:rPr>
        <w:t xml:space="preserve"> </w:t>
      </w:r>
      <w:r>
        <w:rPr>
          <w:rFonts w:ascii="Arial"/>
          <w:color w:val="2A212F"/>
          <w:sz w:val="16"/>
        </w:rPr>
        <w:t>France</w:t>
      </w:r>
      <w:r>
        <w:rPr>
          <w:rFonts w:ascii="Arial"/>
          <w:color w:val="2A212F"/>
          <w:spacing w:val="-8"/>
          <w:sz w:val="16"/>
        </w:rPr>
        <w:t xml:space="preserve"> </w:t>
      </w:r>
      <w:r>
        <w:rPr>
          <w:rFonts w:ascii="Arial"/>
          <w:color w:val="2A212F"/>
          <w:sz w:val="16"/>
        </w:rPr>
        <w:t>-</w:t>
      </w:r>
      <w:r>
        <w:rPr>
          <w:rFonts w:ascii="Arial"/>
          <w:color w:val="2A212F"/>
          <w:spacing w:val="71"/>
          <w:sz w:val="16"/>
        </w:rPr>
        <w:t xml:space="preserve"> </w:t>
      </w:r>
      <w:r>
        <w:rPr>
          <w:rFonts w:ascii="Arial"/>
          <w:color w:val="2A212F"/>
          <w:sz w:val="16"/>
        </w:rPr>
        <w:t>row</w:t>
      </w:r>
      <w:r>
        <w:rPr>
          <w:rFonts w:ascii="Arial"/>
          <w:color w:val="2A212F"/>
          <w:spacing w:val="39"/>
          <w:sz w:val="16"/>
        </w:rPr>
        <w:t xml:space="preserve"> </w:t>
      </w:r>
      <w:r>
        <w:rPr>
          <w:rFonts w:ascii="Arial"/>
          <w:color w:val="2A212F"/>
          <w:sz w:val="16"/>
        </w:rPr>
        <w:t>46;</w:t>
      </w:r>
      <w:r>
        <w:rPr>
          <w:rFonts w:ascii="Arial"/>
          <w:color w:val="2A212F"/>
          <w:spacing w:val="-5"/>
          <w:sz w:val="16"/>
        </w:rPr>
        <w:t xml:space="preserve"> </w:t>
      </w:r>
      <w:r>
        <w:rPr>
          <w:rFonts w:ascii="Arial"/>
          <w:color w:val="2A212F"/>
          <w:spacing w:val="-2"/>
          <w:sz w:val="16"/>
        </w:rPr>
        <w:t>Australia</w:t>
      </w:r>
    </w:p>
    <w:p w14:paraId="51DE9305" w14:textId="77777777" w:rsidR="0010369C" w:rsidRDefault="008E43AE">
      <w:pPr>
        <w:spacing w:line="176" w:lineRule="exact"/>
        <w:ind w:left="229"/>
        <w:rPr>
          <w:rFonts w:ascii="Arial"/>
          <w:sz w:val="16"/>
        </w:rPr>
      </w:pPr>
      <w:r>
        <w:rPr>
          <w:rFonts w:ascii="Arial"/>
          <w:color w:val="2A212F"/>
          <w:w w:val="105"/>
          <w:sz w:val="16"/>
        </w:rPr>
        <w:t>-</w:t>
      </w:r>
      <w:r>
        <w:rPr>
          <w:rFonts w:ascii="Arial"/>
          <w:color w:val="2A212F"/>
          <w:spacing w:val="37"/>
          <w:w w:val="105"/>
          <w:sz w:val="16"/>
        </w:rPr>
        <w:t xml:space="preserve"> </w:t>
      </w:r>
      <w:r>
        <w:rPr>
          <w:rFonts w:ascii="Arial"/>
          <w:color w:val="2A212F"/>
          <w:w w:val="105"/>
          <w:sz w:val="16"/>
        </w:rPr>
        <w:t>row</w:t>
      </w:r>
      <w:r>
        <w:rPr>
          <w:rFonts w:ascii="Arial"/>
          <w:color w:val="2A212F"/>
          <w:spacing w:val="13"/>
          <w:w w:val="105"/>
          <w:sz w:val="16"/>
        </w:rPr>
        <w:t xml:space="preserve"> </w:t>
      </w:r>
      <w:r>
        <w:rPr>
          <w:rFonts w:ascii="Arial"/>
          <w:color w:val="2A212F"/>
          <w:w w:val="105"/>
          <w:sz w:val="16"/>
        </w:rPr>
        <w:t>8;</w:t>
      </w:r>
      <w:r>
        <w:rPr>
          <w:rFonts w:ascii="Arial"/>
          <w:color w:val="2A212F"/>
          <w:spacing w:val="-15"/>
          <w:w w:val="105"/>
          <w:sz w:val="16"/>
        </w:rPr>
        <w:t xml:space="preserve"> </w:t>
      </w:r>
      <w:r>
        <w:rPr>
          <w:rFonts w:ascii="Arial"/>
          <w:color w:val="2A212F"/>
          <w:w w:val="105"/>
          <w:sz w:val="16"/>
        </w:rPr>
        <w:t>Chile</w:t>
      </w:r>
      <w:r>
        <w:rPr>
          <w:rFonts w:ascii="Arial"/>
          <w:color w:val="2A212F"/>
          <w:spacing w:val="-21"/>
          <w:w w:val="105"/>
          <w:sz w:val="16"/>
        </w:rPr>
        <w:t xml:space="preserve"> </w:t>
      </w:r>
      <w:r>
        <w:rPr>
          <w:rFonts w:ascii="Arial"/>
          <w:color w:val="2A212F"/>
          <w:w w:val="105"/>
          <w:sz w:val="16"/>
        </w:rPr>
        <w:t>-</w:t>
      </w:r>
      <w:r>
        <w:rPr>
          <w:rFonts w:ascii="Arial"/>
          <w:color w:val="2A212F"/>
          <w:spacing w:val="38"/>
          <w:w w:val="105"/>
          <w:sz w:val="16"/>
        </w:rPr>
        <w:t xml:space="preserve"> </w:t>
      </w:r>
      <w:r>
        <w:rPr>
          <w:rFonts w:ascii="Arial"/>
          <w:color w:val="1A2644"/>
          <w:w w:val="105"/>
          <w:sz w:val="16"/>
        </w:rPr>
        <w:t>row</w:t>
      </w:r>
      <w:r>
        <w:rPr>
          <w:rFonts w:ascii="Arial"/>
          <w:color w:val="1A2644"/>
          <w:spacing w:val="1"/>
          <w:w w:val="105"/>
          <w:sz w:val="16"/>
        </w:rPr>
        <w:t xml:space="preserve"> </w:t>
      </w:r>
      <w:r>
        <w:rPr>
          <w:rFonts w:ascii="Arial"/>
          <w:color w:val="2A212F"/>
          <w:w w:val="105"/>
          <w:sz w:val="16"/>
        </w:rPr>
        <w:t>14;</w:t>
      </w:r>
      <w:r>
        <w:rPr>
          <w:rFonts w:ascii="Arial"/>
          <w:color w:val="2A212F"/>
          <w:spacing w:val="-5"/>
          <w:w w:val="105"/>
          <w:sz w:val="16"/>
        </w:rPr>
        <w:t xml:space="preserve"> </w:t>
      </w:r>
      <w:r>
        <w:rPr>
          <w:rFonts w:ascii="Arial"/>
          <w:color w:val="2A212F"/>
          <w:w w:val="105"/>
          <w:sz w:val="16"/>
        </w:rPr>
        <w:t>Spain</w:t>
      </w:r>
      <w:r>
        <w:rPr>
          <w:rFonts w:ascii="Arial"/>
          <w:color w:val="2A212F"/>
          <w:spacing w:val="-22"/>
          <w:w w:val="105"/>
          <w:sz w:val="16"/>
        </w:rPr>
        <w:t xml:space="preserve"> </w:t>
      </w:r>
      <w:r>
        <w:rPr>
          <w:rFonts w:ascii="Arial"/>
          <w:color w:val="2A212F"/>
          <w:w w:val="105"/>
          <w:sz w:val="16"/>
        </w:rPr>
        <w:t>-</w:t>
      </w:r>
      <w:r>
        <w:rPr>
          <w:rFonts w:ascii="Arial"/>
          <w:color w:val="2A212F"/>
          <w:spacing w:val="40"/>
          <w:w w:val="105"/>
          <w:sz w:val="16"/>
        </w:rPr>
        <w:t xml:space="preserve"> </w:t>
      </w:r>
      <w:r>
        <w:rPr>
          <w:rFonts w:ascii="Arial"/>
          <w:color w:val="2A212F"/>
          <w:w w:val="105"/>
          <w:sz w:val="16"/>
        </w:rPr>
        <w:t>row</w:t>
      </w:r>
      <w:r>
        <w:rPr>
          <w:rFonts w:ascii="Arial"/>
          <w:color w:val="2A212F"/>
          <w:spacing w:val="18"/>
          <w:w w:val="105"/>
          <w:sz w:val="16"/>
        </w:rPr>
        <w:t xml:space="preserve"> </w:t>
      </w:r>
      <w:r>
        <w:rPr>
          <w:rFonts w:ascii="Arial"/>
          <w:color w:val="2A212F"/>
          <w:w w:val="105"/>
          <w:sz w:val="16"/>
        </w:rPr>
        <w:t>40;</w:t>
      </w:r>
      <w:r>
        <w:rPr>
          <w:rFonts w:ascii="Arial"/>
          <w:color w:val="2A212F"/>
          <w:spacing w:val="2"/>
          <w:w w:val="105"/>
          <w:sz w:val="16"/>
        </w:rPr>
        <w:t xml:space="preserve"> </w:t>
      </w:r>
      <w:r>
        <w:rPr>
          <w:rFonts w:ascii="Arial"/>
          <w:color w:val="1C4169"/>
          <w:w w:val="105"/>
          <w:sz w:val="16"/>
        </w:rPr>
        <w:t>I</w:t>
      </w:r>
      <w:r>
        <w:rPr>
          <w:rFonts w:ascii="Arial"/>
          <w:color w:val="2A212F"/>
          <w:w w:val="105"/>
          <w:sz w:val="16"/>
        </w:rPr>
        <w:t>taly-</w:t>
      </w:r>
      <w:r>
        <w:rPr>
          <w:rFonts w:ascii="Arial"/>
          <w:color w:val="2A212F"/>
          <w:spacing w:val="36"/>
          <w:w w:val="105"/>
          <w:sz w:val="16"/>
        </w:rPr>
        <w:t xml:space="preserve"> </w:t>
      </w:r>
      <w:r>
        <w:rPr>
          <w:rFonts w:ascii="Arial"/>
          <w:color w:val="1A2644"/>
          <w:w w:val="105"/>
          <w:sz w:val="16"/>
        </w:rPr>
        <w:t>row</w:t>
      </w:r>
      <w:r>
        <w:rPr>
          <w:rFonts w:ascii="Arial"/>
          <w:color w:val="1A2644"/>
          <w:spacing w:val="-29"/>
          <w:w w:val="105"/>
          <w:sz w:val="16"/>
        </w:rPr>
        <w:t xml:space="preserve"> </w:t>
      </w:r>
      <w:r>
        <w:rPr>
          <w:rFonts w:ascii="Arial"/>
          <w:color w:val="1A2644"/>
          <w:w w:val="105"/>
          <w:sz w:val="16"/>
        </w:rPr>
        <w:t>45.</w:t>
      </w:r>
      <w:r>
        <w:rPr>
          <w:rFonts w:ascii="Arial"/>
          <w:color w:val="1A2644"/>
          <w:spacing w:val="-18"/>
          <w:w w:val="105"/>
          <w:sz w:val="16"/>
        </w:rPr>
        <w:t xml:space="preserve"> </w:t>
      </w:r>
      <w:r>
        <w:rPr>
          <w:rFonts w:ascii="Arial"/>
          <w:color w:val="2A212F"/>
          <w:w w:val="105"/>
          <w:sz w:val="16"/>
        </w:rPr>
        <w:t>For</w:t>
      </w:r>
      <w:r>
        <w:rPr>
          <w:rFonts w:ascii="Arial"/>
          <w:color w:val="2A212F"/>
          <w:spacing w:val="-13"/>
          <w:w w:val="105"/>
          <w:sz w:val="16"/>
        </w:rPr>
        <w:t xml:space="preserve"> </w:t>
      </w:r>
      <w:r>
        <w:rPr>
          <w:rFonts w:ascii="Arial"/>
          <w:color w:val="2A212F"/>
          <w:w w:val="105"/>
          <w:sz w:val="16"/>
        </w:rPr>
        <w:t>2016</w:t>
      </w:r>
      <w:r>
        <w:rPr>
          <w:rFonts w:ascii="Arial"/>
          <w:color w:val="2A212F"/>
          <w:spacing w:val="-29"/>
          <w:w w:val="105"/>
          <w:sz w:val="16"/>
        </w:rPr>
        <w:t xml:space="preserve"> </w:t>
      </w:r>
      <w:r>
        <w:rPr>
          <w:rFonts w:ascii="Arial"/>
          <w:color w:val="2A212F"/>
          <w:w w:val="105"/>
          <w:sz w:val="16"/>
        </w:rPr>
        <w:t>import</w:t>
      </w:r>
      <w:r>
        <w:rPr>
          <w:rFonts w:ascii="Arial"/>
          <w:color w:val="2A212F"/>
          <w:spacing w:val="-13"/>
          <w:w w:val="105"/>
          <w:sz w:val="16"/>
        </w:rPr>
        <w:t xml:space="preserve"> </w:t>
      </w:r>
      <w:r>
        <w:rPr>
          <w:rFonts w:ascii="Arial"/>
          <w:color w:val="2A212F"/>
          <w:w w:val="105"/>
          <w:sz w:val="16"/>
        </w:rPr>
        <w:t>volumes</w:t>
      </w:r>
      <w:r>
        <w:rPr>
          <w:rFonts w:ascii="Arial"/>
          <w:color w:val="2A212F"/>
          <w:spacing w:val="-1"/>
          <w:w w:val="105"/>
          <w:sz w:val="16"/>
        </w:rPr>
        <w:t xml:space="preserve"> </w:t>
      </w:r>
      <w:r>
        <w:rPr>
          <w:rFonts w:ascii="Arial"/>
          <w:color w:val="2A212F"/>
          <w:w w:val="105"/>
          <w:sz w:val="16"/>
        </w:rPr>
        <w:t>and</w:t>
      </w:r>
      <w:r>
        <w:rPr>
          <w:rFonts w:ascii="Arial"/>
          <w:color w:val="2A212F"/>
          <w:spacing w:val="-13"/>
          <w:w w:val="105"/>
          <w:sz w:val="16"/>
        </w:rPr>
        <w:t xml:space="preserve"> </w:t>
      </w:r>
      <w:r>
        <w:rPr>
          <w:rFonts w:ascii="Arial"/>
          <w:color w:val="2A212F"/>
          <w:w w:val="105"/>
          <w:sz w:val="16"/>
        </w:rPr>
        <w:t>value</w:t>
      </w:r>
      <w:r>
        <w:rPr>
          <w:rFonts w:ascii="Arial"/>
          <w:color w:val="2A212F"/>
          <w:spacing w:val="-21"/>
          <w:w w:val="105"/>
          <w:sz w:val="16"/>
        </w:rPr>
        <w:t xml:space="preserve"> </w:t>
      </w:r>
      <w:r>
        <w:rPr>
          <w:rFonts w:ascii="Arial"/>
          <w:color w:val="2A212F"/>
          <w:w w:val="105"/>
          <w:sz w:val="16"/>
        </w:rPr>
        <w:t>seep</w:t>
      </w:r>
      <w:r>
        <w:rPr>
          <w:rFonts w:ascii="Arial"/>
          <w:color w:val="491F18"/>
          <w:w w:val="105"/>
          <w:sz w:val="16"/>
        </w:rPr>
        <w:t>.</w:t>
      </w:r>
      <w:r>
        <w:rPr>
          <w:rFonts w:ascii="Arial"/>
          <w:color w:val="491F18"/>
          <w:spacing w:val="-20"/>
          <w:w w:val="105"/>
          <w:sz w:val="16"/>
        </w:rPr>
        <w:t xml:space="preserve"> </w:t>
      </w:r>
      <w:r>
        <w:rPr>
          <w:rFonts w:ascii="Arial"/>
          <w:color w:val="2A212F"/>
          <w:w w:val="105"/>
          <w:sz w:val="16"/>
        </w:rPr>
        <w:t>46,co</w:t>
      </w:r>
      <w:r>
        <w:rPr>
          <w:rFonts w:ascii="Arial"/>
          <w:color w:val="05050C"/>
          <w:w w:val="105"/>
          <w:sz w:val="16"/>
        </w:rPr>
        <w:t>l</w:t>
      </w:r>
      <w:r>
        <w:rPr>
          <w:rFonts w:ascii="Arial"/>
          <w:color w:val="2A212F"/>
          <w:w w:val="105"/>
          <w:sz w:val="16"/>
        </w:rPr>
        <w:t>u</w:t>
      </w:r>
      <w:r>
        <w:rPr>
          <w:rFonts w:ascii="Arial"/>
          <w:color w:val="463134"/>
          <w:w w:val="105"/>
          <w:sz w:val="16"/>
        </w:rPr>
        <w:t>m</w:t>
      </w:r>
      <w:r>
        <w:rPr>
          <w:rFonts w:ascii="Arial"/>
          <w:color w:val="1A2644"/>
          <w:w w:val="105"/>
          <w:sz w:val="16"/>
        </w:rPr>
        <w:t>ns</w:t>
      </w:r>
      <w:r>
        <w:rPr>
          <w:rFonts w:ascii="Arial"/>
          <w:color w:val="1A2644"/>
          <w:spacing w:val="-27"/>
          <w:w w:val="105"/>
          <w:sz w:val="16"/>
        </w:rPr>
        <w:t xml:space="preserve"> </w:t>
      </w:r>
      <w:r>
        <w:rPr>
          <w:rFonts w:ascii="Arial"/>
          <w:color w:val="2A212F"/>
          <w:w w:val="105"/>
          <w:sz w:val="16"/>
        </w:rPr>
        <w:t>F</w:t>
      </w:r>
      <w:r>
        <w:rPr>
          <w:rFonts w:ascii="Arial"/>
          <w:color w:val="2A212F"/>
          <w:spacing w:val="-17"/>
          <w:w w:val="105"/>
          <w:sz w:val="16"/>
        </w:rPr>
        <w:t xml:space="preserve"> </w:t>
      </w:r>
      <w:r>
        <w:rPr>
          <w:rFonts w:ascii="Arial"/>
          <w:color w:val="2A212F"/>
          <w:w w:val="105"/>
          <w:sz w:val="16"/>
        </w:rPr>
        <w:t>and</w:t>
      </w:r>
      <w:r>
        <w:rPr>
          <w:rFonts w:ascii="Arial"/>
          <w:color w:val="2A212F"/>
          <w:spacing w:val="-18"/>
          <w:w w:val="105"/>
          <w:sz w:val="16"/>
        </w:rPr>
        <w:t xml:space="preserve"> </w:t>
      </w:r>
      <w:r>
        <w:rPr>
          <w:rFonts w:ascii="Times New Roman"/>
          <w:color w:val="2A212F"/>
          <w:w w:val="105"/>
          <w:sz w:val="16"/>
        </w:rPr>
        <w:t>G:</w:t>
      </w:r>
      <w:r>
        <w:rPr>
          <w:rFonts w:ascii="Times New Roman"/>
          <w:color w:val="2A212F"/>
          <w:spacing w:val="-19"/>
          <w:w w:val="105"/>
          <w:sz w:val="16"/>
        </w:rPr>
        <w:t xml:space="preserve"> </w:t>
      </w:r>
      <w:r>
        <w:rPr>
          <w:rFonts w:ascii="Arial"/>
          <w:color w:val="2A212F"/>
          <w:spacing w:val="-2"/>
          <w:w w:val="105"/>
          <w:sz w:val="16"/>
        </w:rPr>
        <w:t>France</w:t>
      </w:r>
    </w:p>
    <w:p w14:paraId="51DE9306" w14:textId="77777777" w:rsidR="0010369C" w:rsidRDefault="008E43AE">
      <w:pPr>
        <w:spacing w:before="18" w:line="271" w:lineRule="auto"/>
        <w:ind w:left="231" w:right="543" w:hanging="2"/>
        <w:rPr>
          <w:rFonts w:ascii="Arial"/>
          <w:sz w:val="16"/>
        </w:rPr>
      </w:pPr>
      <w:r>
        <w:rPr>
          <w:rFonts w:ascii="Arial"/>
          <w:color w:val="2A212F"/>
          <w:w w:val="105"/>
          <w:sz w:val="16"/>
        </w:rPr>
        <w:t>-</w:t>
      </w:r>
      <w:r>
        <w:rPr>
          <w:rFonts w:ascii="Arial"/>
          <w:color w:val="2A212F"/>
          <w:spacing w:val="53"/>
          <w:w w:val="105"/>
          <w:sz w:val="16"/>
        </w:rPr>
        <w:t xml:space="preserve"> </w:t>
      </w:r>
      <w:r>
        <w:rPr>
          <w:rFonts w:ascii="Arial"/>
          <w:color w:val="2A212F"/>
          <w:w w:val="105"/>
          <w:sz w:val="16"/>
        </w:rPr>
        <w:t>row</w:t>
      </w:r>
      <w:r>
        <w:rPr>
          <w:rFonts w:ascii="Arial"/>
          <w:color w:val="2A212F"/>
          <w:spacing w:val="16"/>
          <w:w w:val="105"/>
          <w:sz w:val="16"/>
        </w:rPr>
        <w:t xml:space="preserve"> </w:t>
      </w:r>
      <w:r>
        <w:rPr>
          <w:rFonts w:ascii="Times New Roman"/>
          <w:color w:val="2A212F"/>
          <w:w w:val="105"/>
          <w:sz w:val="17"/>
        </w:rPr>
        <w:t>44;</w:t>
      </w:r>
      <w:r>
        <w:rPr>
          <w:rFonts w:ascii="Times New Roman"/>
          <w:color w:val="2A212F"/>
          <w:spacing w:val="14"/>
          <w:w w:val="105"/>
          <w:sz w:val="17"/>
        </w:rPr>
        <w:t xml:space="preserve"> </w:t>
      </w:r>
      <w:r>
        <w:rPr>
          <w:rFonts w:ascii="Arial"/>
          <w:color w:val="2A212F"/>
          <w:w w:val="105"/>
          <w:sz w:val="16"/>
        </w:rPr>
        <w:t>Australia</w:t>
      </w:r>
      <w:r>
        <w:rPr>
          <w:rFonts w:ascii="Arial"/>
          <w:color w:val="2A212F"/>
          <w:spacing w:val="-11"/>
          <w:w w:val="105"/>
          <w:sz w:val="16"/>
        </w:rPr>
        <w:t xml:space="preserve"> </w:t>
      </w:r>
      <w:r>
        <w:rPr>
          <w:rFonts w:ascii="Arial"/>
          <w:color w:val="2A212F"/>
          <w:w w:val="105"/>
          <w:sz w:val="16"/>
        </w:rPr>
        <w:t>-</w:t>
      </w:r>
      <w:r>
        <w:rPr>
          <w:rFonts w:ascii="Arial"/>
          <w:color w:val="2A212F"/>
          <w:spacing w:val="38"/>
          <w:w w:val="105"/>
          <w:sz w:val="16"/>
        </w:rPr>
        <w:t xml:space="preserve"> </w:t>
      </w:r>
      <w:r>
        <w:rPr>
          <w:rFonts w:ascii="Arial"/>
          <w:color w:val="1A2644"/>
          <w:w w:val="105"/>
          <w:sz w:val="16"/>
        </w:rPr>
        <w:t>row</w:t>
      </w:r>
      <w:r>
        <w:rPr>
          <w:rFonts w:ascii="Arial"/>
          <w:color w:val="1A2644"/>
          <w:spacing w:val="11"/>
          <w:w w:val="105"/>
          <w:sz w:val="16"/>
        </w:rPr>
        <w:t xml:space="preserve"> </w:t>
      </w:r>
      <w:r>
        <w:rPr>
          <w:rFonts w:ascii="Arial"/>
          <w:color w:val="2A212F"/>
          <w:w w:val="105"/>
          <w:sz w:val="16"/>
        </w:rPr>
        <w:t>8;</w:t>
      </w:r>
      <w:r>
        <w:rPr>
          <w:rFonts w:ascii="Arial"/>
          <w:color w:val="2A212F"/>
          <w:spacing w:val="-5"/>
          <w:w w:val="105"/>
          <w:sz w:val="16"/>
        </w:rPr>
        <w:t xml:space="preserve"> </w:t>
      </w:r>
      <w:r>
        <w:rPr>
          <w:rFonts w:ascii="Arial"/>
          <w:color w:val="2A212F"/>
          <w:w w:val="105"/>
          <w:sz w:val="16"/>
        </w:rPr>
        <w:t>Chile</w:t>
      </w:r>
      <w:r>
        <w:rPr>
          <w:rFonts w:ascii="Arial"/>
          <w:color w:val="2A212F"/>
          <w:spacing w:val="-21"/>
          <w:w w:val="105"/>
          <w:sz w:val="16"/>
        </w:rPr>
        <w:t xml:space="preserve"> </w:t>
      </w:r>
      <w:r>
        <w:rPr>
          <w:rFonts w:ascii="Arial"/>
          <w:color w:val="2A212F"/>
          <w:w w:val="105"/>
          <w:sz w:val="16"/>
        </w:rPr>
        <w:t>-</w:t>
      </w:r>
      <w:r>
        <w:rPr>
          <w:rFonts w:ascii="Arial"/>
          <w:color w:val="2A212F"/>
          <w:spacing w:val="51"/>
          <w:w w:val="105"/>
          <w:sz w:val="16"/>
        </w:rPr>
        <w:t xml:space="preserve"> </w:t>
      </w:r>
      <w:r>
        <w:rPr>
          <w:rFonts w:ascii="Arial"/>
          <w:color w:val="2A212F"/>
          <w:w w:val="105"/>
          <w:sz w:val="16"/>
        </w:rPr>
        <w:t>row</w:t>
      </w:r>
      <w:r>
        <w:rPr>
          <w:rFonts w:ascii="Arial"/>
          <w:color w:val="2A212F"/>
          <w:spacing w:val="13"/>
          <w:w w:val="105"/>
          <w:sz w:val="16"/>
        </w:rPr>
        <w:t xml:space="preserve"> </w:t>
      </w:r>
      <w:r>
        <w:rPr>
          <w:rFonts w:ascii="Arial"/>
          <w:color w:val="2A212F"/>
          <w:w w:val="105"/>
          <w:sz w:val="16"/>
        </w:rPr>
        <w:t>13;</w:t>
      </w:r>
      <w:r>
        <w:rPr>
          <w:rFonts w:ascii="Arial"/>
          <w:color w:val="2A212F"/>
          <w:spacing w:val="-5"/>
          <w:w w:val="105"/>
          <w:sz w:val="16"/>
        </w:rPr>
        <w:t xml:space="preserve"> </w:t>
      </w:r>
      <w:r>
        <w:rPr>
          <w:rFonts w:ascii="Arial"/>
          <w:color w:val="2A212F"/>
          <w:w w:val="105"/>
          <w:sz w:val="16"/>
        </w:rPr>
        <w:t>Spain</w:t>
      </w:r>
      <w:r>
        <w:rPr>
          <w:rFonts w:ascii="Arial"/>
          <w:color w:val="2A212F"/>
          <w:spacing w:val="-10"/>
          <w:w w:val="105"/>
          <w:sz w:val="16"/>
        </w:rPr>
        <w:t xml:space="preserve"> </w:t>
      </w:r>
      <w:r>
        <w:rPr>
          <w:rFonts w:ascii="Arial"/>
          <w:color w:val="2A212F"/>
          <w:w w:val="105"/>
          <w:sz w:val="16"/>
        </w:rPr>
        <w:t>-</w:t>
      </w:r>
      <w:r>
        <w:rPr>
          <w:rFonts w:ascii="Arial"/>
          <w:color w:val="2A212F"/>
          <w:spacing w:val="40"/>
          <w:w w:val="105"/>
          <w:sz w:val="16"/>
        </w:rPr>
        <w:t xml:space="preserve"> </w:t>
      </w:r>
      <w:r>
        <w:rPr>
          <w:rFonts w:ascii="Arial"/>
          <w:color w:val="1A2644"/>
          <w:w w:val="105"/>
          <w:sz w:val="16"/>
        </w:rPr>
        <w:t>row</w:t>
      </w:r>
      <w:r>
        <w:rPr>
          <w:rFonts w:ascii="Arial"/>
          <w:color w:val="1A2644"/>
          <w:spacing w:val="25"/>
          <w:w w:val="105"/>
          <w:sz w:val="16"/>
        </w:rPr>
        <w:t xml:space="preserve"> </w:t>
      </w:r>
      <w:r>
        <w:rPr>
          <w:rFonts w:ascii="Arial"/>
          <w:color w:val="2A212F"/>
          <w:w w:val="105"/>
          <w:sz w:val="16"/>
        </w:rPr>
        <w:t>35,</w:t>
      </w:r>
      <w:r>
        <w:rPr>
          <w:rFonts w:ascii="Arial"/>
          <w:color w:val="2A212F"/>
          <w:spacing w:val="-21"/>
          <w:w w:val="105"/>
          <w:sz w:val="16"/>
        </w:rPr>
        <w:t xml:space="preserve"> </w:t>
      </w:r>
      <w:r>
        <w:rPr>
          <w:rFonts w:ascii="Arial"/>
          <w:color w:val="2A212F"/>
          <w:w w:val="105"/>
          <w:sz w:val="16"/>
        </w:rPr>
        <w:t>Italy</w:t>
      </w:r>
      <w:r>
        <w:rPr>
          <w:rFonts w:ascii="Arial"/>
          <w:color w:val="05050C"/>
          <w:w w:val="105"/>
          <w:sz w:val="16"/>
        </w:rPr>
        <w:t xml:space="preserve">- </w:t>
      </w:r>
      <w:r>
        <w:rPr>
          <w:rFonts w:ascii="Arial"/>
          <w:color w:val="2A212F"/>
          <w:w w:val="105"/>
          <w:sz w:val="16"/>
        </w:rPr>
        <w:t>43.</w:t>
      </w:r>
      <w:r>
        <w:rPr>
          <w:rFonts w:ascii="Arial"/>
          <w:color w:val="2A212F"/>
          <w:spacing w:val="-18"/>
          <w:w w:val="105"/>
          <w:sz w:val="16"/>
        </w:rPr>
        <w:t xml:space="preserve"> </w:t>
      </w:r>
      <w:r>
        <w:rPr>
          <w:rFonts w:ascii="Arial"/>
          <w:color w:val="2A212F"/>
          <w:w w:val="105"/>
          <w:sz w:val="16"/>
        </w:rPr>
        <w:t>For</w:t>
      </w:r>
      <w:r>
        <w:rPr>
          <w:rFonts w:ascii="Arial"/>
          <w:color w:val="2A212F"/>
          <w:spacing w:val="-12"/>
          <w:w w:val="105"/>
          <w:sz w:val="16"/>
        </w:rPr>
        <w:t xml:space="preserve"> </w:t>
      </w:r>
      <w:r>
        <w:rPr>
          <w:rFonts w:ascii="Arial"/>
          <w:color w:val="2A212F"/>
          <w:w w:val="105"/>
          <w:sz w:val="16"/>
        </w:rPr>
        <w:t>2017</w:t>
      </w:r>
      <w:r>
        <w:rPr>
          <w:rFonts w:ascii="Arial"/>
          <w:color w:val="2A212F"/>
          <w:spacing w:val="-18"/>
          <w:w w:val="105"/>
          <w:sz w:val="16"/>
        </w:rPr>
        <w:t xml:space="preserve"> </w:t>
      </w:r>
      <w:r>
        <w:rPr>
          <w:rFonts w:ascii="Arial"/>
          <w:color w:val="1A2644"/>
          <w:w w:val="105"/>
          <w:sz w:val="16"/>
        </w:rPr>
        <w:t>import</w:t>
      </w:r>
      <w:r>
        <w:rPr>
          <w:rFonts w:ascii="Arial"/>
          <w:color w:val="1A2644"/>
          <w:spacing w:val="-12"/>
          <w:w w:val="105"/>
          <w:sz w:val="16"/>
        </w:rPr>
        <w:t xml:space="preserve"> </w:t>
      </w:r>
      <w:r>
        <w:rPr>
          <w:rFonts w:ascii="Arial"/>
          <w:color w:val="2A212F"/>
          <w:w w:val="105"/>
          <w:sz w:val="16"/>
        </w:rPr>
        <w:t>volumes</w:t>
      </w:r>
      <w:r>
        <w:rPr>
          <w:rFonts w:ascii="Arial"/>
          <w:color w:val="2A212F"/>
          <w:spacing w:val="-14"/>
          <w:w w:val="105"/>
          <w:sz w:val="16"/>
        </w:rPr>
        <w:t xml:space="preserve"> </w:t>
      </w:r>
      <w:r>
        <w:rPr>
          <w:rFonts w:ascii="Arial"/>
          <w:color w:val="2A212F"/>
          <w:w w:val="105"/>
          <w:sz w:val="16"/>
        </w:rPr>
        <w:t>and</w:t>
      </w:r>
      <w:r>
        <w:rPr>
          <w:rFonts w:ascii="Arial"/>
          <w:color w:val="2A212F"/>
          <w:spacing w:val="-15"/>
          <w:w w:val="105"/>
          <w:sz w:val="16"/>
        </w:rPr>
        <w:t xml:space="preserve"> </w:t>
      </w:r>
      <w:r>
        <w:rPr>
          <w:rFonts w:ascii="Arial"/>
          <w:color w:val="2A212F"/>
          <w:w w:val="105"/>
          <w:sz w:val="16"/>
        </w:rPr>
        <w:t>value</w:t>
      </w:r>
      <w:r>
        <w:rPr>
          <w:rFonts w:ascii="Arial"/>
          <w:color w:val="2A212F"/>
          <w:spacing w:val="-20"/>
          <w:w w:val="105"/>
          <w:sz w:val="16"/>
        </w:rPr>
        <w:t xml:space="preserve"> </w:t>
      </w:r>
      <w:r>
        <w:rPr>
          <w:rFonts w:ascii="Arial"/>
          <w:color w:val="2A212F"/>
          <w:w w:val="105"/>
          <w:sz w:val="16"/>
        </w:rPr>
        <w:t>seep</w:t>
      </w:r>
      <w:r>
        <w:rPr>
          <w:rFonts w:ascii="Arial"/>
          <w:color w:val="491F18"/>
          <w:w w:val="105"/>
          <w:sz w:val="16"/>
        </w:rPr>
        <w:t>.</w:t>
      </w:r>
      <w:r>
        <w:rPr>
          <w:rFonts w:ascii="Arial"/>
          <w:color w:val="491F18"/>
          <w:spacing w:val="-20"/>
          <w:w w:val="105"/>
          <w:sz w:val="16"/>
        </w:rPr>
        <w:t xml:space="preserve"> </w:t>
      </w:r>
      <w:r>
        <w:rPr>
          <w:rFonts w:ascii="Arial"/>
          <w:color w:val="2A212F"/>
          <w:w w:val="105"/>
          <w:sz w:val="16"/>
        </w:rPr>
        <w:t>47,</w:t>
      </w:r>
      <w:r>
        <w:rPr>
          <w:rFonts w:ascii="Arial"/>
          <w:color w:val="2A212F"/>
          <w:spacing w:val="-25"/>
          <w:w w:val="105"/>
          <w:sz w:val="16"/>
        </w:rPr>
        <w:t xml:space="preserve"> </w:t>
      </w:r>
      <w:r>
        <w:rPr>
          <w:rFonts w:ascii="Arial"/>
          <w:color w:val="2A212F"/>
          <w:w w:val="105"/>
          <w:sz w:val="16"/>
        </w:rPr>
        <w:t>co</w:t>
      </w:r>
      <w:r>
        <w:rPr>
          <w:rFonts w:ascii="Arial"/>
          <w:color w:val="05050C"/>
          <w:w w:val="105"/>
          <w:sz w:val="16"/>
        </w:rPr>
        <w:t>l</w:t>
      </w:r>
      <w:r>
        <w:rPr>
          <w:rFonts w:ascii="Arial"/>
          <w:color w:val="1A2644"/>
          <w:w w:val="105"/>
          <w:sz w:val="16"/>
        </w:rPr>
        <w:t>u</w:t>
      </w:r>
      <w:r>
        <w:rPr>
          <w:rFonts w:ascii="Arial"/>
          <w:color w:val="463134"/>
          <w:w w:val="105"/>
          <w:sz w:val="16"/>
        </w:rPr>
        <w:t>m</w:t>
      </w:r>
      <w:r>
        <w:rPr>
          <w:rFonts w:ascii="Arial"/>
          <w:color w:val="1A2644"/>
          <w:w w:val="105"/>
          <w:sz w:val="16"/>
        </w:rPr>
        <w:t xml:space="preserve">ns </w:t>
      </w:r>
      <w:r>
        <w:rPr>
          <w:rFonts w:ascii="Arial"/>
          <w:color w:val="2A212F"/>
          <w:w w:val="105"/>
          <w:sz w:val="16"/>
        </w:rPr>
        <w:t>F</w:t>
      </w:r>
      <w:r>
        <w:rPr>
          <w:rFonts w:ascii="Arial"/>
          <w:color w:val="2A212F"/>
          <w:spacing w:val="-18"/>
          <w:w w:val="105"/>
          <w:sz w:val="16"/>
        </w:rPr>
        <w:t xml:space="preserve"> </w:t>
      </w:r>
      <w:r>
        <w:rPr>
          <w:rFonts w:ascii="Arial"/>
          <w:color w:val="2A212F"/>
          <w:w w:val="105"/>
          <w:sz w:val="16"/>
        </w:rPr>
        <w:t>and</w:t>
      </w:r>
      <w:r>
        <w:rPr>
          <w:rFonts w:ascii="Arial"/>
          <w:color w:val="2A212F"/>
          <w:spacing w:val="-18"/>
          <w:w w:val="105"/>
          <w:sz w:val="16"/>
        </w:rPr>
        <w:t xml:space="preserve"> </w:t>
      </w:r>
      <w:r>
        <w:rPr>
          <w:rFonts w:ascii="Times New Roman"/>
          <w:color w:val="2A212F"/>
          <w:w w:val="105"/>
          <w:sz w:val="17"/>
        </w:rPr>
        <w:t>G</w:t>
      </w:r>
      <w:r>
        <w:rPr>
          <w:rFonts w:ascii="Times New Roman"/>
          <w:color w:val="491F18"/>
          <w:w w:val="105"/>
          <w:sz w:val="17"/>
        </w:rPr>
        <w:t>:</w:t>
      </w:r>
      <w:r>
        <w:rPr>
          <w:rFonts w:ascii="Times New Roman"/>
          <w:color w:val="491F18"/>
          <w:spacing w:val="-23"/>
          <w:w w:val="105"/>
          <w:sz w:val="17"/>
        </w:rPr>
        <w:t xml:space="preserve"> </w:t>
      </w:r>
      <w:r>
        <w:rPr>
          <w:rFonts w:ascii="Arial"/>
          <w:color w:val="463134"/>
          <w:w w:val="105"/>
          <w:sz w:val="16"/>
        </w:rPr>
        <w:t>F</w:t>
      </w:r>
      <w:r>
        <w:rPr>
          <w:rFonts w:ascii="Arial"/>
          <w:color w:val="1A2644"/>
          <w:w w:val="105"/>
          <w:sz w:val="16"/>
        </w:rPr>
        <w:t>rance-</w:t>
      </w:r>
      <w:r>
        <w:rPr>
          <w:rFonts w:ascii="Arial"/>
          <w:color w:val="1A2644"/>
          <w:spacing w:val="34"/>
          <w:w w:val="105"/>
          <w:sz w:val="16"/>
        </w:rPr>
        <w:t xml:space="preserve"> </w:t>
      </w:r>
      <w:r>
        <w:rPr>
          <w:rFonts w:ascii="Arial"/>
          <w:color w:val="1A2644"/>
          <w:w w:val="105"/>
          <w:sz w:val="16"/>
        </w:rPr>
        <w:t>row</w:t>
      </w:r>
      <w:r>
        <w:rPr>
          <w:rFonts w:ascii="Arial"/>
          <w:color w:val="1A2644"/>
          <w:spacing w:val="18"/>
          <w:w w:val="105"/>
          <w:sz w:val="16"/>
        </w:rPr>
        <w:t xml:space="preserve"> </w:t>
      </w:r>
      <w:r>
        <w:rPr>
          <w:rFonts w:ascii="Arial"/>
          <w:color w:val="2A212F"/>
          <w:w w:val="105"/>
          <w:sz w:val="16"/>
        </w:rPr>
        <w:t>45;</w:t>
      </w:r>
      <w:r>
        <w:rPr>
          <w:rFonts w:ascii="Arial"/>
          <w:color w:val="2A212F"/>
          <w:spacing w:val="-28"/>
          <w:w w:val="105"/>
          <w:sz w:val="16"/>
        </w:rPr>
        <w:t xml:space="preserve"> </w:t>
      </w:r>
      <w:r>
        <w:rPr>
          <w:rFonts w:ascii="Arial"/>
          <w:color w:val="2A212F"/>
          <w:w w:val="105"/>
          <w:sz w:val="16"/>
        </w:rPr>
        <w:t>Australia</w:t>
      </w:r>
      <w:r>
        <w:rPr>
          <w:rFonts w:ascii="Arial"/>
          <w:color w:val="2A212F"/>
          <w:spacing w:val="-12"/>
          <w:w w:val="105"/>
          <w:sz w:val="16"/>
        </w:rPr>
        <w:t xml:space="preserve"> </w:t>
      </w:r>
      <w:r>
        <w:rPr>
          <w:rFonts w:ascii="Arial"/>
          <w:color w:val="2A212F"/>
          <w:w w:val="105"/>
          <w:sz w:val="16"/>
        </w:rPr>
        <w:t>-</w:t>
      </w:r>
      <w:r>
        <w:rPr>
          <w:rFonts w:ascii="Arial"/>
          <w:color w:val="2A212F"/>
          <w:spacing w:val="36"/>
          <w:w w:val="105"/>
          <w:sz w:val="16"/>
        </w:rPr>
        <w:t xml:space="preserve"> </w:t>
      </w:r>
      <w:r>
        <w:rPr>
          <w:rFonts w:ascii="Arial"/>
          <w:color w:val="2A212F"/>
          <w:w w:val="105"/>
          <w:sz w:val="16"/>
        </w:rPr>
        <w:t>row</w:t>
      </w:r>
      <w:r>
        <w:rPr>
          <w:rFonts w:ascii="Arial"/>
          <w:color w:val="2A212F"/>
          <w:spacing w:val="-2"/>
          <w:w w:val="105"/>
          <w:sz w:val="16"/>
        </w:rPr>
        <w:t xml:space="preserve"> </w:t>
      </w:r>
      <w:r>
        <w:rPr>
          <w:rFonts w:ascii="Arial"/>
          <w:color w:val="2A212F"/>
          <w:w w:val="105"/>
          <w:sz w:val="16"/>
        </w:rPr>
        <w:t>9;</w:t>
      </w:r>
      <w:r>
        <w:rPr>
          <w:rFonts w:ascii="Arial"/>
          <w:color w:val="2A212F"/>
          <w:spacing w:val="-6"/>
          <w:w w:val="105"/>
          <w:sz w:val="16"/>
        </w:rPr>
        <w:t xml:space="preserve"> </w:t>
      </w:r>
      <w:r>
        <w:rPr>
          <w:rFonts w:ascii="Arial"/>
          <w:color w:val="2A212F"/>
          <w:w w:val="105"/>
          <w:sz w:val="16"/>
        </w:rPr>
        <w:t>Chi</w:t>
      </w:r>
      <w:r>
        <w:rPr>
          <w:rFonts w:ascii="Arial"/>
          <w:color w:val="05050C"/>
          <w:w w:val="105"/>
          <w:sz w:val="16"/>
        </w:rPr>
        <w:t>l</w:t>
      </w:r>
      <w:r>
        <w:rPr>
          <w:rFonts w:ascii="Arial"/>
          <w:color w:val="2A212F"/>
          <w:w w:val="105"/>
          <w:sz w:val="16"/>
        </w:rPr>
        <w:t>e-</w:t>
      </w:r>
      <w:r>
        <w:rPr>
          <w:rFonts w:ascii="Arial"/>
          <w:color w:val="2A212F"/>
          <w:spacing w:val="47"/>
          <w:w w:val="105"/>
          <w:sz w:val="16"/>
        </w:rPr>
        <w:t xml:space="preserve"> </w:t>
      </w:r>
      <w:r>
        <w:rPr>
          <w:rFonts w:ascii="Arial"/>
          <w:color w:val="2A212F"/>
          <w:w w:val="105"/>
          <w:sz w:val="16"/>
        </w:rPr>
        <w:t>row</w:t>
      </w:r>
      <w:r>
        <w:rPr>
          <w:rFonts w:ascii="Arial"/>
          <w:color w:val="2A212F"/>
          <w:spacing w:val="-8"/>
          <w:w w:val="105"/>
          <w:sz w:val="16"/>
        </w:rPr>
        <w:t xml:space="preserve"> </w:t>
      </w:r>
      <w:r>
        <w:rPr>
          <w:rFonts w:ascii="Arial"/>
          <w:color w:val="2A212F"/>
          <w:w w:val="105"/>
          <w:sz w:val="16"/>
        </w:rPr>
        <w:t>14;</w:t>
      </w:r>
      <w:r>
        <w:rPr>
          <w:rFonts w:ascii="Arial"/>
          <w:color w:val="2A212F"/>
          <w:spacing w:val="-13"/>
          <w:w w:val="105"/>
          <w:sz w:val="16"/>
        </w:rPr>
        <w:t xml:space="preserve"> </w:t>
      </w:r>
      <w:r>
        <w:rPr>
          <w:rFonts w:ascii="Arial"/>
          <w:color w:val="2A212F"/>
          <w:w w:val="105"/>
          <w:sz w:val="16"/>
        </w:rPr>
        <w:t>Spain</w:t>
      </w:r>
      <w:r>
        <w:rPr>
          <w:rFonts w:ascii="Arial"/>
          <w:color w:val="2A212F"/>
          <w:spacing w:val="-22"/>
          <w:w w:val="105"/>
          <w:sz w:val="16"/>
        </w:rPr>
        <w:t xml:space="preserve"> </w:t>
      </w:r>
      <w:r>
        <w:rPr>
          <w:rFonts w:ascii="Arial"/>
          <w:color w:val="2A212F"/>
          <w:w w:val="105"/>
          <w:sz w:val="16"/>
        </w:rPr>
        <w:t>-</w:t>
      </w:r>
      <w:r>
        <w:rPr>
          <w:rFonts w:ascii="Arial"/>
          <w:color w:val="2A212F"/>
          <w:spacing w:val="39"/>
          <w:w w:val="105"/>
          <w:sz w:val="16"/>
        </w:rPr>
        <w:t xml:space="preserve"> </w:t>
      </w:r>
      <w:r>
        <w:rPr>
          <w:rFonts w:ascii="Arial"/>
          <w:color w:val="1A2644"/>
          <w:w w:val="105"/>
          <w:sz w:val="16"/>
        </w:rPr>
        <w:t>row</w:t>
      </w:r>
      <w:r>
        <w:rPr>
          <w:rFonts w:ascii="Arial"/>
          <w:color w:val="1A2644"/>
          <w:spacing w:val="23"/>
          <w:w w:val="105"/>
          <w:sz w:val="16"/>
        </w:rPr>
        <w:t xml:space="preserve"> </w:t>
      </w:r>
      <w:r>
        <w:rPr>
          <w:rFonts w:ascii="Arial"/>
          <w:color w:val="2A212F"/>
          <w:w w:val="105"/>
          <w:sz w:val="16"/>
        </w:rPr>
        <w:t>39,</w:t>
      </w:r>
      <w:r>
        <w:rPr>
          <w:rFonts w:ascii="Arial"/>
          <w:color w:val="2A212F"/>
          <w:spacing w:val="-22"/>
          <w:w w:val="105"/>
          <w:sz w:val="16"/>
        </w:rPr>
        <w:t xml:space="preserve"> </w:t>
      </w:r>
      <w:r>
        <w:rPr>
          <w:rFonts w:ascii="Arial"/>
          <w:color w:val="563321"/>
          <w:w w:val="105"/>
          <w:sz w:val="16"/>
        </w:rPr>
        <w:t>I</w:t>
      </w:r>
      <w:r>
        <w:rPr>
          <w:rFonts w:ascii="Arial"/>
          <w:color w:val="2A212F"/>
          <w:w w:val="105"/>
          <w:sz w:val="16"/>
        </w:rPr>
        <w:t>taly-</w:t>
      </w:r>
      <w:r>
        <w:rPr>
          <w:rFonts w:ascii="Arial"/>
          <w:color w:val="2A212F"/>
          <w:spacing w:val="33"/>
          <w:w w:val="105"/>
          <w:sz w:val="16"/>
        </w:rPr>
        <w:t xml:space="preserve"> </w:t>
      </w:r>
      <w:r>
        <w:rPr>
          <w:rFonts w:ascii="Times New Roman"/>
          <w:color w:val="2A212F"/>
          <w:w w:val="105"/>
          <w:sz w:val="17"/>
        </w:rPr>
        <w:t>44.</w:t>
      </w:r>
      <w:r>
        <w:rPr>
          <w:rFonts w:ascii="Arial"/>
          <w:color w:val="2A212F"/>
          <w:w w:val="105"/>
          <w:sz w:val="16"/>
        </w:rPr>
        <w:t>For</w:t>
      </w:r>
      <w:r>
        <w:rPr>
          <w:rFonts w:ascii="Arial"/>
          <w:color w:val="2A212F"/>
          <w:spacing w:val="-14"/>
          <w:w w:val="105"/>
          <w:sz w:val="16"/>
        </w:rPr>
        <w:t xml:space="preserve"> </w:t>
      </w:r>
      <w:r>
        <w:rPr>
          <w:rFonts w:ascii="Arial"/>
          <w:color w:val="2A212F"/>
          <w:w w:val="105"/>
          <w:sz w:val="16"/>
        </w:rPr>
        <w:t>2019</w:t>
      </w:r>
      <w:r>
        <w:rPr>
          <w:rFonts w:ascii="Arial"/>
          <w:color w:val="2A212F"/>
          <w:spacing w:val="-17"/>
          <w:w w:val="105"/>
          <w:sz w:val="16"/>
        </w:rPr>
        <w:t xml:space="preserve"> </w:t>
      </w:r>
      <w:r>
        <w:rPr>
          <w:rFonts w:ascii="Arial"/>
          <w:color w:val="1A2644"/>
          <w:w w:val="105"/>
          <w:sz w:val="16"/>
        </w:rPr>
        <w:t>import</w:t>
      </w:r>
      <w:r>
        <w:rPr>
          <w:rFonts w:ascii="Arial"/>
          <w:color w:val="1A2644"/>
          <w:spacing w:val="-13"/>
          <w:w w:val="105"/>
          <w:sz w:val="16"/>
        </w:rPr>
        <w:t xml:space="preserve"> </w:t>
      </w:r>
      <w:r>
        <w:rPr>
          <w:rFonts w:ascii="Arial"/>
          <w:color w:val="2A212F"/>
          <w:w w:val="105"/>
          <w:sz w:val="16"/>
        </w:rPr>
        <w:t>volumes</w:t>
      </w:r>
      <w:r>
        <w:rPr>
          <w:rFonts w:ascii="Arial"/>
          <w:color w:val="2A212F"/>
          <w:spacing w:val="-2"/>
          <w:w w:val="105"/>
          <w:sz w:val="16"/>
        </w:rPr>
        <w:t xml:space="preserve"> </w:t>
      </w:r>
      <w:r>
        <w:rPr>
          <w:rFonts w:ascii="Arial"/>
          <w:color w:val="2A212F"/>
          <w:w w:val="105"/>
          <w:sz w:val="16"/>
        </w:rPr>
        <w:t>and</w:t>
      </w:r>
      <w:r>
        <w:rPr>
          <w:rFonts w:ascii="Arial"/>
          <w:color w:val="2A212F"/>
          <w:spacing w:val="-14"/>
          <w:w w:val="105"/>
          <w:sz w:val="16"/>
        </w:rPr>
        <w:t xml:space="preserve"> </w:t>
      </w:r>
      <w:r>
        <w:rPr>
          <w:rFonts w:ascii="Arial"/>
          <w:color w:val="2A212F"/>
          <w:w w:val="105"/>
          <w:sz w:val="16"/>
        </w:rPr>
        <w:t>value</w:t>
      </w:r>
      <w:r>
        <w:rPr>
          <w:rFonts w:ascii="Arial"/>
          <w:color w:val="2A212F"/>
          <w:spacing w:val="-21"/>
          <w:w w:val="105"/>
          <w:sz w:val="16"/>
        </w:rPr>
        <w:t xml:space="preserve"> </w:t>
      </w:r>
      <w:r>
        <w:rPr>
          <w:rFonts w:ascii="Arial"/>
          <w:color w:val="2A212F"/>
          <w:spacing w:val="-5"/>
          <w:w w:val="105"/>
          <w:sz w:val="16"/>
        </w:rPr>
        <w:t>see</w:t>
      </w:r>
    </w:p>
    <w:p w14:paraId="51DE9307" w14:textId="77777777" w:rsidR="0010369C" w:rsidRDefault="008E43AE">
      <w:pPr>
        <w:spacing w:before="7" w:line="280" w:lineRule="auto"/>
        <w:ind w:left="232" w:right="585" w:firstLine="2"/>
        <w:jc w:val="both"/>
        <w:rPr>
          <w:rFonts w:ascii="Arial"/>
          <w:sz w:val="16"/>
        </w:rPr>
      </w:pPr>
      <w:r>
        <w:rPr>
          <w:rFonts w:ascii="Arial"/>
          <w:color w:val="2A212F"/>
          <w:w w:val="105"/>
          <w:sz w:val="16"/>
        </w:rPr>
        <w:t>p.</w:t>
      </w:r>
      <w:r>
        <w:rPr>
          <w:rFonts w:ascii="Arial"/>
          <w:color w:val="2A212F"/>
          <w:spacing w:val="-12"/>
          <w:w w:val="105"/>
          <w:sz w:val="16"/>
        </w:rPr>
        <w:t xml:space="preserve"> </w:t>
      </w:r>
      <w:r>
        <w:rPr>
          <w:rFonts w:ascii="Arial"/>
          <w:color w:val="2A212F"/>
          <w:w w:val="105"/>
          <w:sz w:val="16"/>
        </w:rPr>
        <w:t>48,</w:t>
      </w:r>
      <w:r>
        <w:rPr>
          <w:rFonts w:ascii="Arial"/>
          <w:color w:val="2A212F"/>
          <w:spacing w:val="-12"/>
          <w:w w:val="105"/>
          <w:sz w:val="16"/>
        </w:rPr>
        <w:t xml:space="preserve"> </w:t>
      </w:r>
      <w:r>
        <w:rPr>
          <w:rFonts w:ascii="Arial"/>
          <w:color w:val="2A212F"/>
          <w:w w:val="105"/>
          <w:sz w:val="16"/>
        </w:rPr>
        <w:t>co</w:t>
      </w:r>
      <w:r>
        <w:rPr>
          <w:rFonts w:ascii="Arial"/>
          <w:color w:val="05050C"/>
          <w:w w:val="105"/>
          <w:sz w:val="16"/>
        </w:rPr>
        <w:t>l</w:t>
      </w:r>
      <w:r>
        <w:rPr>
          <w:rFonts w:ascii="Arial"/>
          <w:color w:val="1A2644"/>
          <w:w w:val="105"/>
          <w:sz w:val="16"/>
        </w:rPr>
        <w:t>u</w:t>
      </w:r>
      <w:r>
        <w:rPr>
          <w:rFonts w:ascii="Arial"/>
          <w:color w:val="463134"/>
          <w:w w:val="105"/>
          <w:sz w:val="16"/>
        </w:rPr>
        <w:t>m</w:t>
      </w:r>
      <w:r>
        <w:rPr>
          <w:rFonts w:ascii="Arial"/>
          <w:color w:val="1A2644"/>
          <w:w w:val="105"/>
          <w:sz w:val="16"/>
        </w:rPr>
        <w:t>ns</w:t>
      </w:r>
      <w:r>
        <w:rPr>
          <w:rFonts w:ascii="Arial"/>
          <w:color w:val="1A2644"/>
          <w:spacing w:val="-11"/>
          <w:w w:val="105"/>
          <w:sz w:val="16"/>
        </w:rPr>
        <w:t xml:space="preserve"> </w:t>
      </w:r>
      <w:r>
        <w:rPr>
          <w:rFonts w:ascii="Arial"/>
          <w:color w:val="2A212F"/>
          <w:w w:val="105"/>
          <w:sz w:val="16"/>
        </w:rPr>
        <w:t>E</w:t>
      </w:r>
      <w:r>
        <w:rPr>
          <w:rFonts w:ascii="Arial"/>
          <w:color w:val="2A212F"/>
          <w:spacing w:val="-12"/>
          <w:w w:val="105"/>
          <w:sz w:val="16"/>
        </w:rPr>
        <w:t xml:space="preserve"> </w:t>
      </w:r>
      <w:r>
        <w:rPr>
          <w:rFonts w:ascii="Arial"/>
          <w:color w:val="2A212F"/>
          <w:w w:val="105"/>
          <w:sz w:val="16"/>
        </w:rPr>
        <w:t>and</w:t>
      </w:r>
      <w:r>
        <w:rPr>
          <w:rFonts w:ascii="Arial"/>
          <w:color w:val="2A212F"/>
          <w:spacing w:val="-12"/>
          <w:w w:val="105"/>
          <w:sz w:val="16"/>
        </w:rPr>
        <w:t xml:space="preserve"> </w:t>
      </w:r>
      <w:r>
        <w:rPr>
          <w:rFonts w:ascii="Arial"/>
          <w:color w:val="2A212F"/>
          <w:w w:val="105"/>
          <w:sz w:val="16"/>
        </w:rPr>
        <w:t>I:</w:t>
      </w:r>
      <w:r>
        <w:rPr>
          <w:rFonts w:ascii="Arial"/>
          <w:color w:val="2A212F"/>
          <w:spacing w:val="-12"/>
          <w:w w:val="105"/>
          <w:sz w:val="16"/>
        </w:rPr>
        <w:t xml:space="preserve"> </w:t>
      </w:r>
      <w:r>
        <w:rPr>
          <w:rFonts w:ascii="Arial"/>
          <w:color w:val="2A212F"/>
          <w:w w:val="105"/>
          <w:sz w:val="16"/>
        </w:rPr>
        <w:t>France</w:t>
      </w:r>
      <w:r>
        <w:rPr>
          <w:rFonts w:ascii="Arial"/>
          <w:color w:val="2A212F"/>
          <w:spacing w:val="-11"/>
          <w:w w:val="105"/>
          <w:sz w:val="16"/>
        </w:rPr>
        <w:t xml:space="preserve"> </w:t>
      </w:r>
      <w:r>
        <w:rPr>
          <w:rFonts w:ascii="Arial"/>
          <w:color w:val="2A212F"/>
          <w:w w:val="105"/>
          <w:sz w:val="16"/>
        </w:rPr>
        <w:t>-</w:t>
      </w:r>
      <w:r>
        <w:rPr>
          <w:rFonts w:ascii="Arial"/>
          <w:color w:val="2A212F"/>
          <w:spacing w:val="-12"/>
          <w:w w:val="105"/>
          <w:sz w:val="16"/>
        </w:rPr>
        <w:t xml:space="preserve"> </w:t>
      </w:r>
      <w:r>
        <w:rPr>
          <w:rFonts w:ascii="Arial"/>
          <w:color w:val="1A2644"/>
          <w:w w:val="105"/>
          <w:sz w:val="16"/>
        </w:rPr>
        <w:t>row</w:t>
      </w:r>
      <w:r>
        <w:rPr>
          <w:rFonts w:ascii="Arial"/>
          <w:color w:val="1A2644"/>
          <w:spacing w:val="-12"/>
          <w:w w:val="105"/>
          <w:sz w:val="16"/>
        </w:rPr>
        <w:t xml:space="preserve"> </w:t>
      </w:r>
      <w:r>
        <w:rPr>
          <w:rFonts w:ascii="Arial"/>
          <w:color w:val="2A212F"/>
          <w:w w:val="105"/>
          <w:sz w:val="16"/>
        </w:rPr>
        <w:t>53;</w:t>
      </w:r>
      <w:r>
        <w:rPr>
          <w:rFonts w:ascii="Arial"/>
          <w:color w:val="2A212F"/>
          <w:spacing w:val="-11"/>
          <w:w w:val="105"/>
          <w:sz w:val="16"/>
        </w:rPr>
        <w:t xml:space="preserve"> </w:t>
      </w:r>
      <w:r>
        <w:rPr>
          <w:rFonts w:ascii="Arial"/>
          <w:color w:val="2A212F"/>
          <w:w w:val="105"/>
          <w:sz w:val="16"/>
        </w:rPr>
        <w:t>Austra</w:t>
      </w:r>
      <w:r>
        <w:rPr>
          <w:rFonts w:ascii="Arial"/>
          <w:color w:val="05050C"/>
          <w:w w:val="105"/>
          <w:sz w:val="16"/>
        </w:rPr>
        <w:t>l</w:t>
      </w:r>
      <w:r>
        <w:rPr>
          <w:rFonts w:ascii="Arial"/>
          <w:color w:val="1A2644"/>
          <w:w w:val="105"/>
          <w:sz w:val="16"/>
        </w:rPr>
        <w:t>ia</w:t>
      </w:r>
      <w:r>
        <w:rPr>
          <w:rFonts w:ascii="Arial"/>
          <w:color w:val="1A2644"/>
          <w:spacing w:val="-12"/>
          <w:w w:val="105"/>
          <w:sz w:val="16"/>
        </w:rPr>
        <w:t xml:space="preserve"> </w:t>
      </w:r>
      <w:r>
        <w:rPr>
          <w:rFonts w:ascii="Arial"/>
          <w:color w:val="2A212F"/>
          <w:w w:val="105"/>
          <w:sz w:val="16"/>
        </w:rPr>
        <w:t>-</w:t>
      </w:r>
      <w:r>
        <w:rPr>
          <w:rFonts w:ascii="Arial"/>
          <w:color w:val="2A212F"/>
          <w:spacing w:val="-12"/>
          <w:w w:val="105"/>
          <w:sz w:val="16"/>
        </w:rPr>
        <w:t xml:space="preserve"> </w:t>
      </w:r>
      <w:r>
        <w:rPr>
          <w:rFonts w:ascii="Arial"/>
          <w:color w:val="2A212F"/>
          <w:w w:val="105"/>
          <w:sz w:val="16"/>
        </w:rPr>
        <w:t>row</w:t>
      </w:r>
      <w:r>
        <w:rPr>
          <w:rFonts w:ascii="Arial"/>
          <w:color w:val="2A212F"/>
          <w:spacing w:val="-10"/>
          <w:w w:val="105"/>
          <w:sz w:val="16"/>
        </w:rPr>
        <w:t xml:space="preserve"> </w:t>
      </w:r>
      <w:r>
        <w:rPr>
          <w:rFonts w:ascii="Arial"/>
          <w:color w:val="2A212F"/>
          <w:w w:val="105"/>
          <w:sz w:val="16"/>
        </w:rPr>
        <w:t>93;</w:t>
      </w:r>
      <w:r>
        <w:rPr>
          <w:rFonts w:ascii="Arial"/>
          <w:color w:val="2A212F"/>
          <w:spacing w:val="-12"/>
          <w:w w:val="105"/>
          <w:sz w:val="16"/>
        </w:rPr>
        <w:t xml:space="preserve"> </w:t>
      </w:r>
      <w:r>
        <w:rPr>
          <w:rFonts w:ascii="Arial"/>
          <w:color w:val="2A212F"/>
          <w:w w:val="105"/>
          <w:sz w:val="16"/>
        </w:rPr>
        <w:t>Chi</w:t>
      </w:r>
      <w:r>
        <w:rPr>
          <w:rFonts w:ascii="Arial"/>
          <w:color w:val="05050C"/>
          <w:w w:val="105"/>
          <w:sz w:val="16"/>
        </w:rPr>
        <w:t>l</w:t>
      </w:r>
      <w:r>
        <w:rPr>
          <w:rFonts w:ascii="Arial"/>
          <w:color w:val="2A212F"/>
          <w:w w:val="105"/>
          <w:sz w:val="16"/>
        </w:rPr>
        <w:t>e</w:t>
      </w:r>
      <w:r>
        <w:rPr>
          <w:rFonts w:ascii="Arial"/>
          <w:color w:val="2A212F"/>
          <w:spacing w:val="-9"/>
          <w:w w:val="105"/>
          <w:sz w:val="16"/>
        </w:rPr>
        <w:t xml:space="preserve"> </w:t>
      </w:r>
      <w:r>
        <w:rPr>
          <w:rFonts w:ascii="Arial"/>
          <w:color w:val="2A212F"/>
          <w:w w:val="105"/>
          <w:sz w:val="16"/>
        </w:rPr>
        <w:t>-</w:t>
      </w:r>
      <w:r>
        <w:rPr>
          <w:rFonts w:ascii="Arial"/>
          <w:color w:val="2A212F"/>
          <w:spacing w:val="35"/>
          <w:w w:val="105"/>
          <w:sz w:val="16"/>
        </w:rPr>
        <w:t xml:space="preserve"> </w:t>
      </w:r>
      <w:r>
        <w:rPr>
          <w:rFonts w:ascii="Arial"/>
          <w:color w:val="2A212F"/>
          <w:w w:val="105"/>
          <w:sz w:val="16"/>
        </w:rPr>
        <w:t>row</w:t>
      </w:r>
      <w:r>
        <w:rPr>
          <w:rFonts w:ascii="Arial"/>
          <w:color w:val="2A212F"/>
          <w:spacing w:val="9"/>
          <w:w w:val="105"/>
          <w:sz w:val="16"/>
        </w:rPr>
        <w:t xml:space="preserve"> </w:t>
      </w:r>
      <w:r>
        <w:rPr>
          <w:rFonts w:ascii="Arial"/>
          <w:color w:val="2A212F"/>
          <w:w w:val="105"/>
          <w:sz w:val="16"/>
        </w:rPr>
        <w:t>87; Spain</w:t>
      </w:r>
      <w:r>
        <w:rPr>
          <w:rFonts w:ascii="Arial"/>
          <w:color w:val="2A212F"/>
          <w:spacing w:val="-12"/>
          <w:w w:val="105"/>
          <w:sz w:val="16"/>
        </w:rPr>
        <w:t xml:space="preserve"> </w:t>
      </w:r>
      <w:r>
        <w:rPr>
          <w:rFonts w:ascii="Arial"/>
          <w:color w:val="2A212F"/>
          <w:w w:val="105"/>
          <w:sz w:val="16"/>
        </w:rPr>
        <w:t>-</w:t>
      </w:r>
      <w:r>
        <w:rPr>
          <w:rFonts w:ascii="Arial"/>
          <w:color w:val="2A212F"/>
          <w:spacing w:val="35"/>
          <w:w w:val="105"/>
          <w:sz w:val="16"/>
        </w:rPr>
        <w:t xml:space="preserve"> </w:t>
      </w:r>
      <w:r>
        <w:rPr>
          <w:rFonts w:ascii="Arial"/>
          <w:color w:val="1A2644"/>
          <w:w w:val="105"/>
          <w:sz w:val="16"/>
        </w:rPr>
        <w:t>row</w:t>
      </w:r>
      <w:r>
        <w:rPr>
          <w:rFonts w:ascii="Arial"/>
          <w:color w:val="1A2644"/>
          <w:spacing w:val="19"/>
          <w:w w:val="105"/>
          <w:sz w:val="16"/>
        </w:rPr>
        <w:t xml:space="preserve"> </w:t>
      </w:r>
      <w:r>
        <w:rPr>
          <w:rFonts w:ascii="Arial"/>
          <w:color w:val="2A212F"/>
          <w:w w:val="105"/>
          <w:sz w:val="16"/>
        </w:rPr>
        <w:t>59,</w:t>
      </w:r>
      <w:r>
        <w:rPr>
          <w:rFonts w:ascii="Arial"/>
          <w:color w:val="2A212F"/>
          <w:spacing w:val="-7"/>
          <w:w w:val="105"/>
          <w:sz w:val="16"/>
        </w:rPr>
        <w:t xml:space="preserve"> </w:t>
      </w:r>
      <w:r>
        <w:rPr>
          <w:rFonts w:ascii="Arial"/>
          <w:color w:val="2A212F"/>
          <w:w w:val="105"/>
          <w:sz w:val="16"/>
        </w:rPr>
        <w:t>Italy-</w:t>
      </w:r>
      <w:r>
        <w:rPr>
          <w:rFonts w:ascii="Arial"/>
          <w:color w:val="2A212F"/>
          <w:spacing w:val="-12"/>
          <w:w w:val="105"/>
          <w:sz w:val="16"/>
        </w:rPr>
        <w:t xml:space="preserve"> </w:t>
      </w:r>
      <w:r>
        <w:rPr>
          <w:rFonts w:ascii="Arial"/>
          <w:color w:val="2A212F"/>
          <w:w w:val="105"/>
          <w:sz w:val="16"/>
        </w:rPr>
        <w:t>55</w:t>
      </w:r>
      <w:r>
        <w:rPr>
          <w:rFonts w:ascii="Arial"/>
          <w:color w:val="491F18"/>
          <w:w w:val="105"/>
          <w:sz w:val="16"/>
        </w:rPr>
        <w:t>.</w:t>
      </w:r>
      <w:r>
        <w:rPr>
          <w:rFonts w:ascii="Arial"/>
          <w:color w:val="491F18"/>
          <w:spacing w:val="-12"/>
          <w:w w:val="105"/>
          <w:sz w:val="16"/>
        </w:rPr>
        <w:t xml:space="preserve"> </w:t>
      </w:r>
      <w:r>
        <w:rPr>
          <w:rFonts w:ascii="Arial"/>
          <w:color w:val="2A212F"/>
          <w:w w:val="105"/>
          <w:sz w:val="16"/>
        </w:rPr>
        <w:t>Austra</w:t>
      </w:r>
      <w:r>
        <w:rPr>
          <w:rFonts w:ascii="Arial"/>
          <w:color w:val="05050C"/>
          <w:w w:val="105"/>
          <w:sz w:val="16"/>
        </w:rPr>
        <w:t>l</w:t>
      </w:r>
      <w:r>
        <w:rPr>
          <w:rFonts w:ascii="Arial"/>
          <w:color w:val="2A212F"/>
          <w:w w:val="105"/>
          <w:sz w:val="16"/>
        </w:rPr>
        <w:t>ia</w:t>
      </w:r>
      <w:r>
        <w:rPr>
          <w:rFonts w:ascii="Arial"/>
          <w:color w:val="2A212F"/>
          <w:spacing w:val="-11"/>
          <w:w w:val="105"/>
          <w:sz w:val="16"/>
        </w:rPr>
        <w:t xml:space="preserve"> </w:t>
      </w:r>
      <w:r>
        <w:rPr>
          <w:rFonts w:ascii="Arial"/>
          <w:color w:val="2A212F"/>
          <w:w w:val="105"/>
          <w:sz w:val="16"/>
        </w:rPr>
        <w:t>has</w:t>
      </w:r>
      <w:r>
        <w:rPr>
          <w:rFonts w:ascii="Arial"/>
          <w:color w:val="2A212F"/>
          <w:spacing w:val="-12"/>
          <w:w w:val="105"/>
          <w:sz w:val="16"/>
        </w:rPr>
        <w:t xml:space="preserve"> </w:t>
      </w:r>
      <w:r>
        <w:rPr>
          <w:rFonts w:ascii="Arial"/>
          <w:color w:val="2A212F"/>
          <w:w w:val="105"/>
          <w:sz w:val="16"/>
        </w:rPr>
        <w:t>ca</w:t>
      </w:r>
      <w:r>
        <w:rPr>
          <w:rFonts w:ascii="Arial"/>
          <w:color w:val="05050C"/>
          <w:w w:val="105"/>
          <w:sz w:val="16"/>
        </w:rPr>
        <w:t>l</w:t>
      </w:r>
      <w:r>
        <w:rPr>
          <w:rFonts w:ascii="Arial"/>
          <w:color w:val="2A212F"/>
          <w:w w:val="105"/>
          <w:sz w:val="16"/>
        </w:rPr>
        <w:t>cu</w:t>
      </w:r>
      <w:r>
        <w:rPr>
          <w:rFonts w:ascii="Arial"/>
          <w:color w:val="05050C"/>
          <w:w w:val="105"/>
          <w:sz w:val="16"/>
        </w:rPr>
        <w:t>l</w:t>
      </w:r>
      <w:r>
        <w:rPr>
          <w:rFonts w:ascii="Arial"/>
          <w:color w:val="2A212F"/>
          <w:w w:val="105"/>
          <w:sz w:val="16"/>
        </w:rPr>
        <w:t>ated the</w:t>
      </w:r>
      <w:r>
        <w:rPr>
          <w:rFonts w:ascii="Arial"/>
          <w:color w:val="2A212F"/>
          <w:spacing w:val="-12"/>
          <w:w w:val="105"/>
          <w:sz w:val="16"/>
        </w:rPr>
        <w:t xml:space="preserve"> </w:t>
      </w:r>
      <w:r>
        <w:rPr>
          <w:rFonts w:ascii="Arial"/>
          <w:color w:val="2A212F"/>
          <w:w w:val="105"/>
          <w:sz w:val="16"/>
        </w:rPr>
        <w:t>average</w:t>
      </w:r>
      <w:r>
        <w:rPr>
          <w:rFonts w:ascii="Arial"/>
          <w:color w:val="2A212F"/>
          <w:spacing w:val="-12"/>
          <w:w w:val="105"/>
          <w:sz w:val="16"/>
        </w:rPr>
        <w:t xml:space="preserve"> </w:t>
      </w:r>
      <w:r>
        <w:rPr>
          <w:rFonts w:ascii="Arial"/>
          <w:color w:val="2A212F"/>
          <w:w w:val="105"/>
          <w:sz w:val="16"/>
        </w:rPr>
        <w:t>unit</w:t>
      </w:r>
      <w:r>
        <w:rPr>
          <w:rFonts w:ascii="Arial"/>
          <w:color w:val="2A212F"/>
          <w:spacing w:val="-11"/>
          <w:w w:val="105"/>
          <w:sz w:val="16"/>
        </w:rPr>
        <w:t xml:space="preserve"> </w:t>
      </w:r>
      <w:r>
        <w:rPr>
          <w:rFonts w:ascii="Arial"/>
          <w:color w:val="2A212F"/>
          <w:w w:val="105"/>
          <w:sz w:val="16"/>
        </w:rPr>
        <w:t>price</w:t>
      </w:r>
      <w:r>
        <w:rPr>
          <w:rFonts w:ascii="Arial"/>
          <w:color w:val="2A212F"/>
          <w:spacing w:val="-12"/>
          <w:w w:val="105"/>
          <w:sz w:val="16"/>
        </w:rPr>
        <w:t xml:space="preserve"> </w:t>
      </w:r>
      <w:r>
        <w:rPr>
          <w:rFonts w:ascii="Arial"/>
          <w:color w:val="2A212F"/>
          <w:w w:val="105"/>
          <w:sz w:val="16"/>
        </w:rPr>
        <w:t>(USO/kl)</w:t>
      </w:r>
      <w:r>
        <w:rPr>
          <w:rFonts w:ascii="Arial"/>
          <w:color w:val="2A212F"/>
          <w:spacing w:val="-12"/>
          <w:w w:val="105"/>
          <w:sz w:val="16"/>
        </w:rPr>
        <w:t xml:space="preserve"> </w:t>
      </w:r>
      <w:r>
        <w:rPr>
          <w:rFonts w:ascii="Arial"/>
          <w:color w:val="2A212F"/>
          <w:w w:val="105"/>
          <w:sz w:val="16"/>
        </w:rPr>
        <w:t>for</w:t>
      </w:r>
      <w:r>
        <w:rPr>
          <w:rFonts w:ascii="Arial"/>
          <w:color w:val="2A212F"/>
          <w:spacing w:val="20"/>
          <w:w w:val="105"/>
          <w:sz w:val="16"/>
        </w:rPr>
        <w:t xml:space="preserve"> </w:t>
      </w:r>
      <w:r>
        <w:rPr>
          <w:rFonts w:ascii="Arial"/>
          <w:color w:val="2A212F"/>
          <w:w w:val="105"/>
          <w:sz w:val="16"/>
        </w:rPr>
        <w:t>each</w:t>
      </w:r>
      <w:r>
        <w:rPr>
          <w:rFonts w:ascii="Arial"/>
          <w:color w:val="2A212F"/>
          <w:spacing w:val="-12"/>
          <w:w w:val="105"/>
          <w:sz w:val="16"/>
        </w:rPr>
        <w:t xml:space="preserve"> </w:t>
      </w:r>
      <w:r>
        <w:rPr>
          <w:rFonts w:ascii="Arial"/>
          <w:color w:val="2A212F"/>
          <w:w w:val="105"/>
          <w:sz w:val="16"/>
        </w:rPr>
        <w:t>country,</w:t>
      </w:r>
      <w:r>
        <w:rPr>
          <w:rFonts w:ascii="Arial"/>
          <w:color w:val="2A212F"/>
          <w:spacing w:val="-11"/>
          <w:w w:val="105"/>
          <w:sz w:val="16"/>
        </w:rPr>
        <w:t xml:space="preserve"> </w:t>
      </w:r>
      <w:r>
        <w:rPr>
          <w:rFonts w:ascii="Arial"/>
          <w:color w:val="2A212F"/>
          <w:w w:val="105"/>
          <w:sz w:val="16"/>
        </w:rPr>
        <w:t>in</w:t>
      </w:r>
      <w:r>
        <w:rPr>
          <w:rFonts w:ascii="Arial"/>
          <w:color w:val="2A212F"/>
          <w:spacing w:val="-8"/>
          <w:w w:val="105"/>
          <w:sz w:val="16"/>
        </w:rPr>
        <w:t xml:space="preserve"> </w:t>
      </w:r>
      <w:r>
        <w:rPr>
          <w:rFonts w:ascii="Arial"/>
          <w:color w:val="2A212F"/>
          <w:w w:val="105"/>
          <w:sz w:val="16"/>
        </w:rPr>
        <w:t>each</w:t>
      </w:r>
      <w:r>
        <w:rPr>
          <w:rFonts w:ascii="Arial"/>
          <w:color w:val="2A212F"/>
          <w:spacing w:val="-12"/>
          <w:w w:val="105"/>
          <w:sz w:val="16"/>
        </w:rPr>
        <w:t xml:space="preserve"> </w:t>
      </w:r>
      <w:r>
        <w:rPr>
          <w:rFonts w:ascii="Arial"/>
          <w:color w:val="2A212F"/>
          <w:w w:val="105"/>
          <w:sz w:val="16"/>
        </w:rPr>
        <w:t>year</w:t>
      </w:r>
      <w:r>
        <w:rPr>
          <w:rFonts w:ascii="Arial"/>
          <w:color w:val="2A212F"/>
          <w:spacing w:val="-7"/>
          <w:w w:val="105"/>
          <w:sz w:val="16"/>
        </w:rPr>
        <w:t xml:space="preserve"> </w:t>
      </w:r>
      <w:r>
        <w:rPr>
          <w:rFonts w:ascii="Arial"/>
          <w:color w:val="2A212F"/>
          <w:w w:val="105"/>
          <w:sz w:val="16"/>
        </w:rPr>
        <w:t>by</w:t>
      </w:r>
      <w:r>
        <w:rPr>
          <w:rFonts w:ascii="Arial"/>
          <w:color w:val="2A212F"/>
          <w:spacing w:val="-12"/>
          <w:w w:val="105"/>
          <w:sz w:val="16"/>
        </w:rPr>
        <w:t xml:space="preserve"> </w:t>
      </w:r>
      <w:r>
        <w:rPr>
          <w:rFonts w:ascii="Arial"/>
          <w:color w:val="2A212F"/>
          <w:w w:val="105"/>
          <w:sz w:val="16"/>
        </w:rPr>
        <w:t xml:space="preserve">(i) </w:t>
      </w:r>
      <w:r>
        <w:rPr>
          <w:rFonts w:ascii="Arial"/>
          <w:color w:val="1A2644"/>
          <w:w w:val="105"/>
          <w:sz w:val="16"/>
        </w:rPr>
        <w:t>dividing</w:t>
      </w:r>
      <w:r>
        <w:rPr>
          <w:rFonts w:ascii="Arial"/>
          <w:color w:val="1A2644"/>
          <w:spacing w:val="-10"/>
          <w:w w:val="105"/>
          <w:sz w:val="16"/>
        </w:rPr>
        <w:t xml:space="preserve"> </w:t>
      </w:r>
      <w:r>
        <w:rPr>
          <w:rFonts w:ascii="Arial"/>
          <w:color w:val="2A212F"/>
          <w:w w:val="105"/>
          <w:sz w:val="16"/>
        </w:rPr>
        <w:t>the</w:t>
      </w:r>
      <w:r>
        <w:rPr>
          <w:rFonts w:ascii="Arial"/>
          <w:color w:val="2A212F"/>
          <w:spacing w:val="-1"/>
          <w:w w:val="105"/>
          <w:sz w:val="16"/>
        </w:rPr>
        <w:t xml:space="preserve"> </w:t>
      </w:r>
      <w:r>
        <w:rPr>
          <w:rFonts w:ascii="Arial"/>
          <w:color w:val="1A2644"/>
          <w:w w:val="105"/>
          <w:sz w:val="16"/>
        </w:rPr>
        <w:t>'va</w:t>
      </w:r>
      <w:r>
        <w:rPr>
          <w:rFonts w:ascii="Arial"/>
          <w:color w:val="05050C"/>
          <w:w w:val="105"/>
          <w:sz w:val="16"/>
        </w:rPr>
        <w:t>l</w:t>
      </w:r>
      <w:r>
        <w:rPr>
          <w:rFonts w:ascii="Arial"/>
          <w:color w:val="1A2644"/>
          <w:w w:val="105"/>
          <w:sz w:val="16"/>
        </w:rPr>
        <w:t>ue</w:t>
      </w:r>
      <w:r>
        <w:rPr>
          <w:rFonts w:ascii="Arial"/>
          <w:color w:val="1A2644"/>
          <w:spacing w:val="-12"/>
          <w:w w:val="105"/>
          <w:sz w:val="16"/>
        </w:rPr>
        <w:t xml:space="preserve"> </w:t>
      </w:r>
      <w:r>
        <w:rPr>
          <w:rFonts w:ascii="Arial"/>
          <w:color w:val="2A212F"/>
          <w:w w:val="105"/>
          <w:sz w:val="16"/>
        </w:rPr>
        <w:t>in USO'</w:t>
      </w:r>
      <w:r>
        <w:rPr>
          <w:rFonts w:ascii="Arial"/>
          <w:color w:val="2A212F"/>
          <w:spacing w:val="-12"/>
          <w:w w:val="105"/>
          <w:sz w:val="16"/>
        </w:rPr>
        <w:t xml:space="preserve"> </w:t>
      </w:r>
      <w:r>
        <w:rPr>
          <w:rFonts w:ascii="Arial"/>
          <w:color w:val="2A212F"/>
          <w:w w:val="105"/>
          <w:sz w:val="16"/>
        </w:rPr>
        <w:t>figures</w:t>
      </w:r>
      <w:r>
        <w:rPr>
          <w:rFonts w:ascii="Arial"/>
          <w:color w:val="2A212F"/>
          <w:spacing w:val="-12"/>
          <w:w w:val="105"/>
          <w:sz w:val="16"/>
        </w:rPr>
        <w:t xml:space="preserve"> </w:t>
      </w:r>
      <w:r>
        <w:rPr>
          <w:rFonts w:ascii="Arial"/>
          <w:color w:val="2A212F"/>
          <w:w w:val="105"/>
          <w:sz w:val="16"/>
        </w:rPr>
        <w:t>(co</w:t>
      </w:r>
      <w:r>
        <w:rPr>
          <w:rFonts w:ascii="Arial"/>
          <w:color w:val="05050C"/>
          <w:w w:val="105"/>
          <w:sz w:val="16"/>
        </w:rPr>
        <w:t>l</w:t>
      </w:r>
      <w:r>
        <w:rPr>
          <w:rFonts w:ascii="Arial"/>
          <w:color w:val="2A212F"/>
          <w:w w:val="105"/>
          <w:sz w:val="16"/>
        </w:rPr>
        <w:t>u</w:t>
      </w:r>
      <w:r>
        <w:rPr>
          <w:rFonts w:ascii="Arial"/>
          <w:color w:val="463134"/>
          <w:w w:val="105"/>
          <w:sz w:val="16"/>
        </w:rPr>
        <w:t>m</w:t>
      </w:r>
      <w:r>
        <w:rPr>
          <w:rFonts w:ascii="Arial"/>
          <w:color w:val="1A2644"/>
          <w:w w:val="105"/>
          <w:sz w:val="16"/>
        </w:rPr>
        <w:t>n</w:t>
      </w:r>
      <w:r>
        <w:rPr>
          <w:rFonts w:ascii="Arial"/>
          <w:color w:val="1A2644"/>
          <w:spacing w:val="-8"/>
          <w:w w:val="105"/>
          <w:sz w:val="16"/>
        </w:rPr>
        <w:t xml:space="preserve"> </w:t>
      </w:r>
      <w:r>
        <w:rPr>
          <w:rFonts w:ascii="Times New Roman"/>
          <w:color w:val="2A212F"/>
          <w:w w:val="105"/>
          <w:sz w:val="17"/>
        </w:rPr>
        <w:t>G,</w:t>
      </w:r>
      <w:r>
        <w:rPr>
          <w:rFonts w:ascii="Times New Roman"/>
          <w:color w:val="2A212F"/>
          <w:spacing w:val="-12"/>
          <w:w w:val="105"/>
          <w:sz w:val="17"/>
        </w:rPr>
        <w:t xml:space="preserve"> </w:t>
      </w:r>
      <w:r>
        <w:rPr>
          <w:rFonts w:ascii="Arial"/>
          <w:color w:val="2A212F"/>
          <w:w w:val="105"/>
          <w:sz w:val="16"/>
        </w:rPr>
        <w:t>or</w:t>
      </w:r>
      <w:r>
        <w:rPr>
          <w:rFonts w:ascii="Arial"/>
          <w:color w:val="2A212F"/>
          <w:spacing w:val="7"/>
          <w:w w:val="105"/>
          <w:sz w:val="16"/>
        </w:rPr>
        <w:t xml:space="preserve"> </w:t>
      </w:r>
      <w:r>
        <w:rPr>
          <w:rFonts w:ascii="Arial"/>
          <w:color w:val="563321"/>
          <w:w w:val="105"/>
          <w:sz w:val="16"/>
        </w:rPr>
        <w:t>I</w:t>
      </w:r>
      <w:r>
        <w:rPr>
          <w:rFonts w:ascii="Arial"/>
          <w:color w:val="2A212F"/>
          <w:w w:val="105"/>
          <w:sz w:val="16"/>
        </w:rPr>
        <w:t>)</w:t>
      </w:r>
      <w:r>
        <w:rPr>
          <w:rFonts w:ascii="Arial"/>
          <w:color w:val="2A212F"/>
          <w:spacing w:val="-9"/>
          <w:w w:val="105"/>
          <w:sz w:val="16"/>
        </w:rPr>
        <w:t xml:space="preserve"> </w:t>
      </w:r>
      <w:r>
        <w:rPr>
          <w:rFonts w:ascii="Arial"/>
          <w:color w:val="2A212F"/>
          <w:w w:val="105"/>
          <w:sz w:val="16"/>
        </w:rPr>
        <w:t>by</w:t>
      </w:r>
      <w:r>
        <w:rPr>
          <w:rFonts w:ascii="Arial"/>
          <w:color w:val="2A212F"/>
          <w:spacing w:val="-12"/>
          <w:w w:val="105"/>
          <w:sz w:val="16"/>
        </w:rPr>
        <w:t xml:space="preserve"> </w:t>
      </w:r>
      <w:r>
        <w:rPr>
          <w:rFonts w:ascii="Arial"/>
          <w:color w:val="2A212F"/>
          <w:w w:val="105"/>
          <w:sz w:val="16"/>
        </w:rPr>
        <w:t xml:space="preserve">the </w:t>
      </w:r>
      <w:r>
        <w:rPr>
          <w:rFonts w:ascii="Arial"/>
          <w:color w:val="1A2644"/>
          <w:w w:val="105"/>
          <w:sz w:val="16"/>
        </w:rPr>
        <w:t>import</w:t>
      </w:r>
      <w:r>
        <w:rPr>
          <w:rFonts w:ascii="Arial"/>
          <w:color w:val="1A2644"/>
          <w:spacing w:val="-12"/>
          <w:w w:val="105"/>
          <w:sz w:val="16"/>
        </w:rPr>
        <w:t xml:space="preserve"> </w:t>
      </w:r>
      <w:r>
        <w:rPr>
          <w:rFonts w:ascii="Arial"/>
          <w:color w:val="2A212F"/>
          <w:w w:val="105"/>
          <w:sz w:val="16"/>
        </w:rPr>
        <w:t>volume</w:t>
      </w:r>
      <w:r>
        <w:rPr>
          <w:rFonts w:ascii="Arial"/>
          <w:color w:val="2A212F"/>
          <w:spacing w:val="-12"/>
          <w:w w:val="105"/>
          <w:sz w:val="16"/>
        </w:rPr>
        <w:t xml:space="preserve"> </w:t>
      </w:r>
      <w:r>
        <w:rPr>
          <w:rFonts w:ascii="Arial"/>
          <w:color w:val="2A212F"/>
          <w:w w:val="105"/>
          <w:sz w:val="16"/>
        </w:rPr>
        <w:t>(L)</w:t>
      </w:r>
      <w:r>
        <w:rPr>
          <w:rFonts w:ascii="Arial"/>
          <w:color w:val="2A212F"/>
          <w:spacing w:val="-11"/>
          <w:w w:val="105"/>
          <w:sz w:val="16"/>
        </w:rPr>
        <w:t xml:space="preserve"> </w:t>
      </w:r>
      <w:r>
        <w:rPr>
          <w:rFonts w:ascii="Arial"/>
          <w:color w:val="2A212F"/>
          <w:w w:val="105"/>
          <w:sz w:val="16"/>
        </w:rPr>
        <w:t>(column</w:t>
      </w:r>
      <w:r>
        <w:rPr>
          <w:rFonts w:ascii="Arial"/>
          <w:color w:val="2A212F"/>
          <w:spacing w:val="-12"/>
          <w:w w:val="105"/>
          <w:sz w:val="16"/>
        </w:rPr>
        <w:t xml:space="preserve"> </w:t>
      </w:r>
      <w:r>
        <w:rPr>
          <w:rFonts w:ascii="Arial"/>
          <w:color w:val="1A2644"/>
          <w:w w:val="105"/>
          <w:sz w:val="16"/>
        </w:rPr>
        <w:t>For</w:t>
      </w:r>
      <w:r>
        <w:rPr>
          <w:rFonts w:ascii="Arial"/>
          <w:color w:val="1A2644"/>
          <w:spacing w:val="-12"/>
          <w:w w:val="105"/>
          <w:sz w:val="16"/>
        </w:rPr>
        <w:t xml:space="preserve"> </w:t>
      </w:r>
      <w:r>
        <w:rPr>
          <w:rFonts w:ascii="Arial"/>
          <w:color w:val="2A212F"/>
          <w:w w:val="105"/>
          <w:sz w:val="16"/>
        </w:rPr>
        <w:t>E);</w:t>
      </w:r>
      <w:r>
        <w:rPr>
          <w:rFonts w:ascii="Arial"/>
          <w:color w:val="2A212F"/>
          <w:spacing w:val="-12"/>
          <w:w w:val="105"/>
          <w:sz w:val="16"/>
        </w:rPr>
        <w:t xml:space="preserve"> </w:t>
      </w:r>
      <w:r>
        <w:rPr>
          <w:rFonts w:ascii="Arial"/>
          <w:color w:val="2A212F"/>
          <w:w w:val="105"/>
          <w:sz w:val="16"/>
        </w:rPr>
        <w:t>and</w:t>
      </w:r>
      <w:r>
        <w:rPr>
          <w:rFonts w:ascii="Arial"/>
          <w:color w:val="2A212F"/>
          <w:spacing w:val="-11"/>
          <w:w w:val="105"/>
          <w:sz w:val="16"/>
        </w:rPr>
        <w:t xml:space="preserve"> </w:t>
      </w:r>
      <w:r>
        <w:rPr>
          <w:rFonts w:ascii="Arial"/>
          <w:color w:val="2A212F"/>
          <w:w w:val="105"/>
          <w:sz w:val="16"/>
        </w:rPr>
        <w:t>(ii)</w:t>
      </w:r>
      <w:r>
        <w:rPr>
          <w:rFonts w:ascii="Arial"/>
          <w:color w:val="2A212F"/>
          <w:spacing w:val="-12"/>
          <w:w w:val="105"/>
          <w:sz w:val="16"/>
        </w:rPr>
        <w:t xml:space="preserve"> </w:t>
      </w:r>
      <w:r>
        <w:rPr>
          <w:rFonts w:ascii="Arial"/>
          <w:color w:val="2A212F"/>
          <w:w w:val="105"/>
          <w:sz w:val="16"/>
        </w:rPr>
        <w:t>converting</w:t>
      </w:r>
      <w:r>
        <w:rPr>
          <w:rFonts w:ascii="Arial"/>
          <w:color w:val="2A212F"/>
          <w:spacing w:val="-12"/>
          <w:w w:val="105"/>
          <w:sz w:val="16"/>
        </w:rPr>
        <w:t xml:space="preserve"> </w:t>
      </w:r>
      <w:r>
        <w:rPr>
          <w:rFonts w:ascii="Arial"/>
          <w:color w:val="2A212F"/>
          <w:w w:val="105"/>
          <w:sz w:val="16"/>
        </w:rPr>
        <w:t>the</w:t>
      </w:r>
      <w:r>
        <w:rPr>
          <w:rFonts w:ascii="Arial"/>
          <w:color w:val="2A212F"/>
          <w:spacing w:val="-6"/>
          <w:w w:val="105"/>
          <w:sz w:val="16"/>
        </w:rPr>
        <w:t xml:space="preserve"> </w:t>
      </w:r>
      <w:r>
        <w:rPr>
          <w:rFonts w:ascii="Arial"/>
          <w:color w:val="2A212F"/>
          <w:w w:val="105"/>
          <w:sz w:val="16"/>
        </w:rPr>
        <w:t>average</w:t>
      </w:r>
      <w:r>
        <w:rPr>
          <w:rFonts w:ascii="Arial"/>
          <w:color w:val="2A212F"/>
          <w:spacing w:val="-11"/>
          <w:w w:val="105"/>
          <w:sz w:val="16"/>
        </w:rPr>
        <w:t xml:space="preserve"> </w:t>
      </w:r>
      <w:r>
        <w:rPr>
          <w:rFonts w:ascii="Arial"/>
          <w:color w:val="2A212F"/>
          <w:w w:val="105"/>
          <w:sz w:val="16"/>
        </w:rPr>
        <w:t>price</w:t>
      </w:r>
      <w:r>
        <w:rPr>
          <w:rFonts w:ascii="Arial"/>
          <w:color w:val="2A212F"/>
          <w:spacing w:val="-8"/>
          <w:w w:val="105"/>
          <w:sz w:val="16"/>
        </w:rPr>
        <w:t xml:space="preserve"> </w:t>
      </w:r>
      <w:r>
        <w:rPr>
          <w:rFonts w:ascii="Arial"/>
          <w:color w:val="2A212F"/>
          <w:w w:val="105"/>
          <w:sz w:val="16"/>
        </w:rPr>
        <w:t xml:space="preserve">to </w:t>
      </w:r>
      <w:r>
        <w:rPr>
          <w:rFonts w:ascii="Arial"/>
          <w:color w:val="1A2644"/>
          <w:w w:val="105"/>
          <w:sz w:val="16"/>
        </w:rPr>
        <w:t>USO/kl</w:t>
      </w:r>
      <w:r>
        <w:rPr>
          <w:rFonts w:ascii="Arial"/>
          <w:color w:val="1A2644"/>
          <w:spacing w:val="-12"/>
          <w:w w:val="105"/>
          <w:sz w:val="16"/>
        </w:rPr>
        <w:t xml:space="preserve"> </w:t>
      </w:r>
      <w:r>
        <w:rPr>
          <w:rFonts w:ascii="Arial"/>
          <w:color w:val="2A212F"/>
          <w:w w:val="105"/>
          <w:sz w:val="16"/>
        </w:rPr>
        <w:t>by mu</w:t>
      </w:r>
      <w:r>
        <w:rPr>
          <w:rFonts w:ascii="Arial"/>
          <w:color w:val="05050C"/>
          <w:w w:val="105"/>
          <w:sz w:val="16"/>
        </w:rPr>
        <w:t>l</w:t>
      </w:r>
      <w:r>
        <w:rPr>
          <w:rFonts w:ascii="Arial"/>
          <w:color w:val="1A2644"/>
          <w:w w:val="105"/>
          <w:sz w:val="16"/>
        </w:rPr>
        <w:t>tiplying</w:t>
      </w:r>
      <w:r>
        <w:rPr>
          <w:rFonts w:ascii="Arial"/>
          <w:color w:val="1A2644"/>
          <w:spacing w:val="-4"/>
          <w:w w:val="105"/>
          <w:sz w:val="16"/>
        </w:rPr>
        <w:t xml:space="preserve"> </w:t>
      </w:r>
      <w:r>
        <w:rPr>
          <w:rFonts w:ascii="Arial"/>
          <w:color w:val="1A2644"/>
          <w:w w:val="105"/>
          <w:sz w:val="16"/>
        </w:rPr>
        <w:t xml:space="preserve">the </w:t>
      </w:r>
      <w:r>
        <w:rPr>
          <w:rFonts w:ascii="Arial"/>
          <w:color w:val="2A212F"/>
          <w:w w:val="105"/>
          <w:sz w:val="16"/>
        </w:rPr>
        <w:t>average</w:t>
      </w:r>
      <w:r>
        <w:rPr>
          <w:rFonts w:ascii="Arial"/>
          <w:color w:val="2A212F"/>
          <w:spacing w:val="-6"/>
          <w:w w:val="105"/>
          <w:sz w:val="16"/>
        </w:rPr>
        <w:t xml:space="preserve"> </w:t>
      </w:r>
      <w:r>
        <w:rPr>
          <w:rFonts w:ascii="Arial"/>
          <w:color w:val="463134"/>
          <w:w w:val="105"/>
          <w:sz w:val="16"/>
        </w:rPr>
        <w:t>USD/L</w:t>
      </w:r>
      <w:r>
        <w:rPr>
          <w:rFonts w:ascii="Arial"/>
          <w:color w:val="463134"/>
          <w:spacing w:val="-11"/>
          <w:w w:val="105"/>
          <w:sz w:val="16"/>
        </w:rPr>
        <w:t xml:space="preserve"> </w:t>
      </w:r>
      <w:r>
        <w:rPr>
          <w:rFonts w:ascii="Arial"/>
          <w:color w:val="1A2644"/>
          <w:w w:val="105"/>
          <w:sz w:val="16"/>
        </w:rPr>
        <w:t>figure</w:t>
      </w:r>
      <w:r>
        <w:rPr>
          <w:rFonts w:ascii="Arial"/>
          <w:color w:val="1A2644"/>
          <w:spacing w:val="-12"/>
          <w:w w:val="105"/>
          <w:sz w:val="16"/>
        </w:rPr>
        <w:t xml:space="preserve"> </w:t>
      </w:r>
      <w:r>
        <w:rPr>
          <w:rFonts w:ascii="Arial"/>
          <w:color w:val="2A212F"/>
          <w:w w:val="105"/>
          <w:sz w:val="16"/>
        </w:rPr>
        <w:t xml:space="preserve">by </w:t>
      </w:r>
      <w:r>
        <w:rPr>
          <w:rFonts w:ascii="Arial"/>
          <w:color w:val="2A212F"/>
          <w:spacing w:val="-2"/>
          <w:w w:val="110"/>
          <w:sz w:val="16"/>
        </w:rPr>
        <w:t>1,000.</w:t>
      </w:r>
    </w:p>
    <w:p w14:paraId="51DE9308" w14:textId="77777777" w:rsidR="0010369C" w:rsidRDefault="0010369C">
      <w:pPr>
        <w:pStyle w:val="BodyText"/>
        <w:spacing w:before="10"/>
        <w:rPr>
          <w:rFonts w:ascii="Arial"/>
          <w:sz w:val="19"/>
        </w:rPr>
      </w:pPr>
    </w:p>
    <w:p w14:paraId="51DE9309" w14:textId="77777777" w:rsidR="0010369C" w:rsidRDefault="008E43AE">
      <w:pPr>
        <w:spacing w:line="283" w:lineRule="auto"/>
        <w:ind w:left="232" w:right="575" w:hanging="1"/>
        <w:jc w:val="both"/>
        <w:rPr>
          <w:rFonts w:ascii="Arial"/>
          <w:sz w:val="16"/>
        </w:rPr>
      </w:pPr>
      <w:r>
        <w:rPr>
          <w:rFonts w:ascii="Arial"/>
          <w:color w:val="2A212F"/>
          <w:w w:val="105"/>
          <w:sz w:val="16"/>
        </w:rPr>
        <w:t>For</w:t>
      </w:r>
      <w:r>
        <w:rPr>
          <w:rFonts w:ascii="Arial"/>
          <w:color w:val="2A212F"/>
          <w:spacing w:val="-12"/>
          <w:w w:val="105"/>
          <w:sz w:val="16"/>
        </w:rPr>
        <w:t xml:space="preserve"> </w:t>
      </w:r>
      <w:r>
        <w:rPr>
          <w:rFonts w:ascii="Arial"/>
          <w:color w:val="1A2644"/>
          <w:w w:val="105"/>
          <w:sz w:val="16"/>
        </w:rPr>
        <w:t>Do</w:t>
      </w:r>
      <w:r>
        <w:rPr>
          <w:rFonts w:ascii="Arial"/>
          <w:color w:val="463134"/>
          <w:w w:val="105"/>
          <w:sz w:val="16"/>
        </w:rPr>
        <w:t>m</w:t>
      </w:r>
      <w:r>
        <w:rPr>
          <w:rFonts w:ascii="Arial"/>
          <w:color w:val="2A212F"/>
          <w:w w:val="105"/>
          <w:sz w:val="16"/>
        </w:rPr>
        <w:t>estic</w:t>
      </w:r>
      <w:r>
        <w:rPr>
          <w:rFonts w:ascii="Arial"/>
          <w:color w:val="2A212F"/>
          <w:spacing w:val="-12"/>
          <w:w w:val="105"/>
          <w:sz w:val="16"/>
        </w:rPr>
        <w:t xml:space="preserve"> </w:t>
      </w:r>
      <w:r>
        <w:rPr>
          <w:rFonts w:ascii="Arial"/>
          <w:color w:val="1A2644"/>
          <w:w w:val="105"/>
          <w:sz w:val="16"/>
        </w:rPr>
        <w:t>like</w:t>
      </w:r>
      <w:r>
        <w:rPr>
          <w:rFonts w:ascii="Arial"/>
          <w:color w:val="1A2644"/>
          <w:spacing w:val="-11"/>
          <w:w w:val="105"/>
          <w:sz w:val="16"/>
        </w:rPr>
        <w:t xml:space="preserve"> </w:t>
      </w:r>
      <w:r>
        <w:rPr>
          <w:rFonts w:ascii="Arial"/>
          <w:color w:val="2A212F"/>
          <w:w w:val="105"/>
          <w:sz w:val="16"/>
        </w:rPr>
        <w:t>products</w:t>
      </w:r>
      <w:r>
        <w:rPr>
          <w:rFonts w:ascii="Arial"/>
          <w:color w:val="2A212F"/>
          <w:spacing w:val="-12"/>
          <w:w w:val="105"/>
          <w:sz w:val="16"/>
        </w:rPr>
        <w:t xml:space="preserve"> </w:t>
      </w:r>
      <w:r>
        <w:rPr>
          <w:rFonts w:ascii="Arial"/>
          <w:color w:val="2A212F"/>
          <w:w w:val="105"/>
          <w:sz w:val="16"/>
        </w:rPr>
        <w:t>-</w:t>
      </w:r>
      <w:r>
        <w:rPr>
          <w:rFonts w:ascii="Arial"/>
          <w:color w:val="2A212F"/>
          <w:spacing w:val="-10"/>
          <w:w w:val="105"/>
          <w:sz w:val="16"/>
        </w:rPr>
        <w:t xml:space="preserve"> </w:t>
      </w:r>
      <w:r>
        <w:rPr>
          <w:rFonts w:ascii="Arial"/>
          <w:color w:val="2A212F"/>
          <w:w w:val="105"/>
          <w:sz w:val="16"/>
        </w:rPr>
        <w:t>Anti</w:t>
      </w:r>
      <w:r>
        <w:rPr>
          <w:rFonts w:ascii="Arial"/>
          <w:color w:val="05050C"/>
          <w:w w:val="105"/>
          <w:sz w:val="16"/>
        </w:rPr>
        <w:t>-</w:t>
      </w:r>
      <w:r>
        <w:rPr>
          <w:rFonts w:ascii="Arial"/>
          <w:color w:val="463134"/>
          <w:w w:val="105"/>
          <w:sz w:val="16"/>
        </w:rPr>
        <w:t>D</w:t>
      </w:r>
      <w:r>
        <w:rPr>
          <w:rFonts w:ascii="Arial"/>
          <w:color w:val="2A212F"/>
          <w:w w:val="105"/>
          <w:sz w:val="16"/>
        </w:rPr>
        <w:t>umping</w:t>
      </w:r>
      <w:r>
        <w:rPr>
          <w:rFonts w:ascii="Arial"/>
          <w:color w:val="2A212F"/>
          <w:spacing w:val="-8"/>
          <w:w w:val="105"/>
          <w:sz w:val="16"/>
        </w:rPr>
        <w:t xml:space="preserve"> </w:t>
      </w:r>
      <w:r>
        <w:rPr>
          <w:rFonts w:ascii="Arial"/>
          <w:color w:val="463134"/>
          <w:w w:val="105"/>
          <w:sz w:val="16"/>
        </w:rPr>
        <w:t>F</w:t>
      </w:r>
      <w:r>
        <w:rPr>
          <w:rFonts w:ascii="Arial"/>
          <w:color w:val="2A212F"/>
          <w:w w:val="105"/>
          <w:sz w:val="16"/>
        </w:rPr>
        <w:t>ina</w:t>
      </w:r>
      <w:r>
        <w:rPr>
          <w:rFonts w:ascii="Arial"/>
          <w:color w:val="05050C"/>
          <w:w w:val="105"/>
          <w:sz w:val="16"/>
        </w:rPr>
        <w:t>l</w:t>
      </w:r>
      <w:r>
        <w:rPr>
          <w:rFonts w:ascii="Arial"/>
          <w:color w:val="05050C"/>
          <w:spacing w:val="-6"/>
          <w:w w:val="105"/>
          <w:sz w:val="16"/>
        </w:rPr>
        <w:t xml:space="preserve"> </w:t>
      </w:r>
      <w:r>
        <w:rPr>
          <w:rFonts w:ascii="Arial"/>
          <w:color w:val="463134"/>
          <w:w w:val="105"/>
          <w:sz w:val="16"/>
        </w:rPr>
        <w:t>Determination</w:t>
      </w:r>
      <w:r>
        <w:rPr>
          <w:rFonts w:ascii="Arial"/>
          <w:color w:val="463134"/>
          <w:spacing w:val="-2"/>
          <w:w w:val="105"/>
          <w:sz w:val="16"/>
        </w:rPr>
        <w:t xml:space="preserve"> </w:t>
      </w:r>
      <w:r>
        <w:rPr>
          <w:rFonts w:ascii="Arial"/>
          <w:color w:val="2A212F"/>
          <w:w w:val="105"/>
          <w:sz w:val="16"/>
        </w:rPr>
        <w:t>(Exhibit AUS-2),</w:t>
      </w:r>
      <w:r>
        <w:rPr>
          <w:rFonts w:ascii="Arial"/>
          <w:color w:val="2A212F"/>
          <w:spacing w:val="-10"/>
          <w:w w:val="105"/>
          <w:sz w:val="16"/>
        </w:rPr>
        <w:t xml:space="preserve"> </w:t>
      </w:r>
      <w:r>
        <w:rPr>
          <w:rFonts w:ascii="Arial"/>
          <w:color w:val="2A212F"/>
          <w:w w:val="105"/>
          <w:sz w:val="16"/>
        </w:rPr>
        <w:t>pp.</w:t>
      </w:r>
      <w:r>
        <w:rPr>
          <w:rFonts w:ascii="Arial"/>
          <w:color w:val="2A212F"/>
          <w:spacing w:val="18"/>
          <w:w w:val="105"/>
          <w:sz w:val="16"/>
        </w:rPr>
        <w:t xml:space="preserve"> </w:t>
      </w:r>
      <w:r>
        <w:rPr>
          <w:rFonts w:ascii="Arial"/>
          <w:color w:val="2A212F"/>
          <w:w w:val="105"/>
          <w:sz w:val="16"/>
        </w:rPr>
        <w:t>114,</w:t>
      </w:r>
      <w:r>
        <w:rPr>
          <w:rFonts w:ascii="Arial"/>
          <w:color w:val="2A212F"/>
          <w:spacing w:val="-12"/>
          <w:w w:val="105"/>
          <w:sz w:val="16"/>
        </w:rPr>
        <w:t xml:space="preserve"> </w:t>
      </w:r>
      <w:r>
        <w:rPr>
          <w:rFonts w:ascii="Arial"/>
          <w:color w:val="2A212F"/>
          <w:w w:val="105"/>
          <w:sz w:val="16"/>
        </w:rPr>
        <w:t>120,</w:t>
      </w:r>
      <w:r>
        <w:rPr>
          <w:rFonts w:ascii="Arial"/>
          <w:color w:val="2A212F"/>
          <w:spacing w:val="-12"/>
          <w:w w:val="105"/>
          <w:sz w:val="16"/>
        </w:rPr>
        <w:t xml:space="preserve"> </w:t>
      </w:r>
      <w:r>
        <w:rPr>
          <w:rFonts w:ascii="Arial"/>
          <w:color w:val="2A212F"/>
          <w:w w:val="105"/>
          <w:sz w:val="16"/>
        </w:rPr>
        <w:t>125,</w:t>
      </w:r>
      <w:r>
        <w:rPr>
          <w:rFonts w:ascii="Arial"/>
          <w:color w:val="2A212F"/>
          <w:spacing w:val="-11"/>
          <w:w w:val="105"/>
          <w:sz w:val="16"/>
        </w:rPr>
        <w:t xml:space="preserve"> </w:t>
      </w:r>
      <w:r>
        <w:rPr>
          <w:rFonts w:ascii="Arial"/>
          <w:color w:val="2A212F"/>
          <w:w w:val="105"/>
          <w:sz w:val="16"/>
        </w:rPr>
        <w:t>149.</w:t>
      </w:r>
      <w:r>
        <w:rPr>
          <w:rFonts w:ascii="Arial"/>
          <w:color w:val="2A212F"/>
          <w:spacing w:val="-12"/>
          <w:w w:val="105"/>
          <w:sz w:val="16"/>
        </w:rPr>
        <w:t xml:space="preserve"> </w:t>
      </w:r>
      <w:r>
        <w:rPr>
          <w:rFonts w:ascii="Arial"/>
          <w:color w:val="1A2644"/>
          <w:w w:val="105"/>
          <w:sz w:val="16"/>
        </w:rPr>
        <w:t xml:space="preserve">MOFCOM </w:t>
      </w:r>
      <w:r>
        <w:rPr>
          <w:rFonts w:ascii="Arial"/>
          <w:color w:val="2A212F"/>
          <w:w w:val="105"/>
          <w:sz w:val="16"/>
        </w:rPr>
        <w:t>provided the</w:t>
      </w:r>
      <w:r>
        <w:rPr>
          <w:rFonts w:ascii="Arial"/>
          <w:color w:val="2A212F"/>
          <w:spacing w:val="-12"/>
          <w:w w:val="105"/>
          <w:sz w:val="16"/>
        </w:rPr>
        <w:t xml:space="preserve"> </w:t>
      </w:r>
      <w:r>
        <w:rPr>
          <w:rFonts w:ascii="Arial"/>
          <w:color w:val="2A212F"/>
          <w:w w:val="105"/>
          <w:sz w:val="16"/>
        </w:rPr>
        <w:t>average</w:t>
      </w:r>
      <w:r>
        <w:rPr>
          <w:rFonts w:ascii="Arial"/>
          <w:color w:val="2A212F"/>
          <w:spacing w:val="-10"/>
          <w:w w:val="105"/>
          <w:sz w:val="16"/>
        </w:rPr>
        <w:t xml:space="preserve"> </w:t>
      </w:r>
      <w:r>
        <w:rPr>
          <w:rFonts w:ascii="Arial"/>
          <w:color w:val="1A2644"/>
          <w:w w:val="105"/>
          <w:sz w:val="16"/>
        </w:rPr>
        <w:t>unit</w:t>
      </w:r>
      <w:r>
        <w:rPr>
          <w:rFonts w:ascii="Arial"/>
          <w:color w:val="1A2644"/>
          <w:spacing w:val="-12"/>
          <w:w w:val="105"/>
          <w:sz w:val="16"/>
        </w:rPr>
        <w:t xml:space="preserve"> </w:t>
      </w:r>
      <w:r>
        <w:rPr>
          <w:rFonts w:ascii="Arial"/>
          <w:color w:val="2A212F"/>
          <w:w w:val="105"/>
          <w:sz w:val="16"/>
        </w:rPr>
        <w:t>price</w:t>
      </w:r>
      <w:r>
        <w:rPr>
          <w:rFonts w:ascii="Arial"/>
          <w:color w:val="2A212F"/>
          <w:spacing w:val="-10"/>
          <w:w w:val="105"/>
          <w:sz w:val="16"/>
        </w:rPr>
        <w:t xml:space="preserve"> </w:t>
      </w:r>
      <w:r>
        <w:rPr>
          <w:rFonts w:ascii="Arial"/>
          <w:color w:val="2A212F"/>
          <w:w w:val="105"/>
          <w:sz w:val="16"/>
        </w:rPr>
        <w:t xml:space="preserve">of domestic </w:t>
      </w:r>
      <w:r>
        <w:rPr>
          <w:rFonts w:ascii="Arial"/>
          <w:color w:val="05050C"/>
          <w:w w:val="105"/>
          <w:sz w:val="16"/>
        </w:rPr>
        <w:t>l</w:t>
      </w:r>
      <w:r>
        <w:rPr>
          <w:rFonts w:ascii="Arial"/>
          <w:color w:val="2A212F"/>
          <w:w w:val="105"/>
          <w:sz w:val="16"/>
        </w:rPr>
        <w:t>ike</w:t>
      </w:r>
      <w:r>
        <w:rPr>
          <w:rFonts w:ascii="Arial"/>
          <w:color w:val="2A212F"/>
          <w:spacing w:val="-11"/>
          <w:w w:val="105"/>
          <w:sz w:val="16"/>
        </w:rPr>
        <w:t xml:space="preserve"> </w:t>
      </w:r>
      <w:r>
        <w:rPr>
          <w:rFonts w:ascii="Arial"/>
          <w:color w:val="2A212F"/>
          <w:w w:val="105"/>
          <w:sz w:val="16"/>
        </w:rPr>
        <w:t>products</w:t>
      </w:r>
      <w:r>
        <w:rPr>
          <w:rFonts w:ascii="Arial"/>
          <w:color w:val="2A212F"/>
          <w:spacing w:val="-10"/>
          <w:w w:val="105"/>
          <w:sz w:val="16"/>
        </w:rPr>
        <w:t xml:space="preserve"> </w:t>
      </w:r>
      <w:r>
        <w:rPr>
          <w:rFonts w:ascii="Arial"/>
          <w:color w:val="1A2644"/>
          <w:w w:val="105"/>
          <w:sz w:val="16"/>
        </w:rPr>
        <w:t xml:space="preserve">in </w:t>
      </w:r>
      <w:r>
        <w:rPr>
          <w:rFonts w:ascii="Arial"/>
          <w:color w:val="2A212F"/>
          <w:w w:val="105"/>
          <w:sz w:val="16"/>
        </w:rPr>
        <w:t>RMB/kl.</w:t>
      </w:r>
      <w:r>
        <w:rPr>
          <w:rFonts w:ascii="Arial"/>
          <w:color w:val="2A212F"/>
          <w:spacing w:val="-12"/>
          <w:w w:val="105"/>
          <w:sz w:val="16"/>
        </w:rPr>
        <w:t xml:space="preserve"> </w:t>
      </w:r>
      <w:r>
        <w:rPr>
          <w:rFonts w:ascii="Arial"/>
          <w:color w:val="1A2644"/>
          <w:w w:val="105"/>
          <w:sz w:val="16"/>
        </w:rPr>
        <w:t>For</w:t>
      </w:r>
      <w:r>
        <w:rPr>
          <w:rFonts w:ascii="Arial"/>
          <w:color w:val="1A2644"/>
          <w:spacing w:val="-10"/>
          <w:w w:val="105"/>
          <w:sz w:val="16"/>
        </w:rPr>
        <w:t xml:space="preserve"> </w:t>
      </w:r>
      <w:r>
        <w:rPr>
          <w:rFonts w:ascii="Arial"/>
          <w:color w:val="1A2644"/>
          <w:w w:val="105"/>
          <w:sz w:val="16"/>
        </w:rPr>
        <w:t>the</w:t>
      </w:r>
      <w:r>
        <w:rPr>
          <w:rFonts w:ascii="Arial"/>
          <w:color w:val="1A2644"/>
          <w:spacing w:val="11"/>
          <w:w w:val="105"/>
          <w:sz w:val="16"/>
        </w:rPr>
        <w:t xml:space="preserve"> </w:t>
      </w:r>
      <w:r>
        <w:rPr>
          <w:rFonts w:ascii="Arial"/>
          <w:color w:val="2A212F"/>
          <w:w w:val="105"/>
          <w:sz w:val="16"/>
        </w:rPr>
        <w:t>purposes</w:t>
      </w:r>
      <w:r>
        <w:rPr>
          <w:rFonts w:ascii="Arial"/>
          <w:color w:val="2A212F"/>
          <w:spacing w:val="-12"/>
          <w:w w:val="105"/>
          <w:sz w:val="16"/>
        </w:rPr>
        <w:t xml:space="preserve"> </w:t>
      </w:r>
      <w:r>
        <w:rPr>
          <w:rFonts w:ascii="Arial"/>
          <w:color w:val="2A212F"/>
          <w:w w:val="105"/>
          <w:sz w:val="16"/>
        </w:rPr>
        <w:t>of</w:t>
      </w:r>
      <w:r>
        <w:rPr>
          <w:rFonts w:ascii="Arial"/>
          <w:color w:val="2A212F"/>
          <w:spacing w:val="12"/>
          <w:w w:val="105"/>
          <w:sz w:val="16"/>
        </w:rPr>
        <w:t xml:space="preserve"> </w:t>
      </w:r>
      <w:r>
        <w:rPr>
          <w:rFonts w:ascii="Arial"/>
          <w:color w:val="2A212F"/>
          <w:w w:val="105"/>
          <w:sz w:val="16"/>
        </w:rPr>
        <w:t>this</w:t>
      </w:r>
      <w:r>
        <w:rPr>
          <w:rFonts w:ascii="Arial"/>
          <w:color w:val="2A212F"/>
          <w:spacing w:val="-12"/>
          <w:w w:val="105"/>
          <w:sz w:val="16"/>
        </w:rPr>
        <w:t xml:space="preserve"> </w:t>
      </w:r>
      <w:r>
        <w:rPr>
          <w:rFonts w:ascii="Arial"/>
          <w:color w:val="2A212F"/>
          <w:w w:val="105"/>
          <w:sz w:val="16"/>
        </w:rPr>
        <w:t>comparison,</w:t>
      </w:r>
      <w:r>
        <w:rPr>
          <w:rFonts w:ascii="Arial"/>
          <w:color w:val="2A212F"/>
          <w:spacing w:val="-3"/>
          <w:w w:val="105"/>
          <w:sz w:val="16"/>
        </w:rPr>
        <w:t xml:space="preserve"> </w:t>
      </w:r>
      <w:r>
        <w:rPr>
          <w:rFonts w:ascii="Arial"/>
          <w:color w:val="2A212F"/>
          <w:w w:val="105"/>
          <w:sz w:val="16"/>
        </w:rPr>
        <w:t xml:space="preserve">Australia </w:t>
      </w:r>
      <w:r>
        <w:rPr>
          <w:rFonts w:ascii="Arial"/>
          <w:color w:val="1A2644"/>
          <w:w w:val="105"/>
          <w:sz w:val="16"/>
        </w:rPr>
        <w:t>has</w:t>
      </w:r>
      <w:r>
        <w:rPr>
          <w:rFonts w:ascii="Arial"/>
          <w:color w:val="1A2644"/>
          <w:spacing w:val="-12"/>
          <w:w w:val="105"/>
          <w:sz w:val="16"/>
        </w:rPr>
        <w:t xml:space="preserve"> </w:t>
      </w:r>
      <w:r>
        <w:rPr>
          <w:rFonts w:ascii="Arial"/>
          <w:color w:val="2A212F"/>
          <w:w w:val="105"/>
          <w:sz w:val="16"/>
        </w:rPr>
        <w:t>converted</w:t>
      </w:r>
      <w:r>
        <w:rPr>
          <w:rFonts w:ascii="Arial"/>
          <w:color w:val="2A212F"/>
          <w:spacing w:val="-4"/>
          <w:w w:val="105"/>
          <w:sz w:val="16"/>
        </w:rPr>
        <w:t xml:space="preserve"> </w:t>
      </w:r>
      <w:r>
        <w:rPr>
          <w:rFonts w:ascii="Arial"/>
          <w:color w:val="1A2644"/>
          <w:w w:val="105"/>
          <w:sz w:val="16"/>
        </w:rPr>
        <w:t xml:space="preserve">the </w:t>
      </w:r>
      <w:r>
        <w:rPr>
          <w:rFonts w:ascii="Arial"/>
          <w:color w:val="2A212F"/>
          <w:spacing w:val="-2"/>
          <w:w w:val="105"/>
          <w:sz w:val="16"/>
        </w:rPr>
        <w:t>domestic</w:t>
      </w:r>
      <w:r>
        <w:rPr>
          <w:rFonts w:ascii="Arial"/>
          <w:color w:val="2A212F"/>
          <w:spacing w:val="-10"/>
          <w:w w:val="105"/>
          <w:sz w:val="16"/>
        </w:rPr>
        <w:t xml:space="preserve"> </w:t>
      </w:r>
      <w:r>
        <w:rPr>
          <w:rFonts w:ascii="Arial"/>
          <w:color w:val="2A212F"/>
          <w:spacing w:val="-2"/>
          <w:w w:val="105"/>
          <w:sz w:val="16"/>
        </w:rPr>
        <w:t>sa</w:t>
      </w:r>
      <w:r>
        <w:rPr>
          <w:rFonts w:ascii="Arial"/>
          <w:color w:val="05050C"/>
          <w:spacing w:val="-2"/>
          <w:w w:val="105"/>
          <w:sz w:val="16"/>
        </w:rPr>
        <w:t>l</w:t>
      </w:r>
      <w:r>
        <w:rPr>
          <w:rFonts w:ascii="Arial"/>
          <w:color w:val="2A212F"/>
          <w:spacing w:val="-2"/>
          <w:w w:val="105"/>
          <w:sz w:val="16"/>
        </w:rPr>
        <w:t>e</w:t>
      </w:r>
      <w:r>
        <w:rPr>
          <w:rFonts w:ascii="Arial"/>
          <w:color w:val="2A212F"/>
          <w:spacing w:val="-10"/>
          <w:w w:val="105"/>
          <w:sz w:val="16"/>
        </w:rPr>
        <w:t xml:space="preserve"> </w:t>
      </w:r>
      <w:r>
        <w:rPr>
          <w:rFonts w:ascii="Arial"/>
          <w:color w:val="2A212F"/>
          <w:spacing w:val="-2"/>
          <w:w w:val="105"/>
          <w:sz w:val="16"/>
        </w:rPr>
        <w:t>price</w:t>
      </w:r>
      <w:r>
        <w:rPr>
          <w:rFonts w:ascii="Arial"/>
          <w:color w:val="2A212F"/>
          <w:spacing w:val="-9"/>
          <w:w w:val="105"/>
          <w:sz w:val="16"/>
        </w:rPr>
        <w:t xml:space="preserve"> </w:t>
      </w:r>
      <w:r>
        <w:rPr>
          <w:rFonts w:ascii="Arial"/>
          <w:color w:val="1A2644"/>
          <w:spacing w:val="-2"/>
          <w:w w:val="105"/>
          <w:sz w:val="16"/>
        </w:rPr>
        <w:t>from</w:t>
      </w:r>
      <w:r>
        <w:rPr>
          <w:rFonts w:ascii="Arial"/>
          <w:color w:val="1A2644"/>
          <w:spacing w:val="-10"/>
          <w:w w:val="105"/>
          <w:sz w:val="16"/>
        </w:rPr>
        <w:t xml:space="preserve"> </w:t>
      </w:r>
      <w:r>
        <w:rPr>
          <w:rFonts w:ascii="Arial"/>
          <w:color w:val="2A212F"/>
          <w:spacing w:val="-2"/>
          <w:w w:val="105"/>
          <w:sz w:val="16"/>
        </w:rPr>
        <w:t>RMB/kl</w:t>
      </w:r>
      <w:r>
        <w:rPr>
          <w:rFonts w:ascii="Arial"/>
          <w:color w:val="2A212F"/>
          <w:spacing w:val="-10"/>
          <w:w w:val="105"/>
          <w:sz w:val="16"/>
        </w:rPr>
        <w:t xml:space="preserve"> </w:t>
      </w:r>
      <w:r>
        <w:rPr>
          <w:rFonts w:ascii="Arial"/>
          <w:color w:val="1A2644"/>
          <w:spacing w:val="-2"/>
          <w:w w:val="105"/>
          <w:sz w:val="16"/>
        </w:rPr>
        <w:t>to</w:t>
      </w:r>
      <w:r>
        <w:rPr>
          <w:rFonts w:ascii="Arial"/>
          <w:color w:val="1A2644"/>
          <w:spacing w:val="-10"/>
          <w:w w:val="105"/>
          <w:sz w:val="16"/>
        </w:rPr>
        <w:t xml:space="preserve"> </w:t>
      </w:r>
      <w:r>
        <w:rPr>
          <w:rFonts w:ascii="Arial"/>
          <w:color w:val="2A212F"/>
          <w:spacing w:val="-2"/>
          <w:w w:val="105"/>
          <w:sz w:val="16"/>
        </w:rPr>
        <w:t>USO/k</w:t>
      </w:r>
      <w:r>
        <w:rPr>
          <w:rFonts w:ascii="Arial"/>
          <w:color w:val="05050C"/>
          <w:spacing w:val="-2"/>
          <w:w w:val="105"/>
          <w:sz w:val="16"/>
        </w:rPr>
        <w:t>l</w:t>
      </w:r>
      <w:r>
        <w:rPr>
          <w:rFonts w:ascii="Arial"/>
          <w:color w:val="05050C"/>
          <w:spacing w:val="-8"/>
          <w:w w:val="105"/>
          <w:sz w:val="16"/>
        </w:rPr>
        <w:t xml:space="preserve"> </w:t>
      </w:r>
      <w:r>
        <w:rPr>
          <w:rFonts w:ascii="Arial"/>
          <w:color w:val="1A2644"/>
          <w:spacing w:val="-2"/>
          <w:w w:val="105"/>
          <w:sz w:val="16"/>
        </w:rPr>
        <w:t>using</w:t>
      </w:r>
      <w:r>
        <w:rPr>
          <w:rFonts w:ascii="Arial"/>
          <w:color w:val="1A2644"/>
          <w:spacing w:val="-10"/>
          <w:w w:val="105"/>
          <w:sz w:val="16"/>
        </w:rPr>
        <w:t xml:space="preserve"> </w:t>
      </w:r>
      <w:r>
        <w:rPr>
          <w:rFonts w:ascii="Arial"/>
          <w:color w:val="2A212F"/>
          <w:spacing w:val="-2"/>
          <w:w w:val="105"/>
          <w:sz w:val="16"/>
        </w:rPr>
        <w:t>the</w:t>
      </w:r>
      <w:r>
        <w:rPr>
          <w:rFonts w:ascii="Arial"/>
          <w:color w:val="2A212F"/>
          <w:spacing w:val="26"/>
          <w:w w:val="105"/>
          <w:sz w:val="16"/>
        </w:rPr>
        <w:t xml:space="preserve"> </w:t>
      </w:r>
      <w:r>
        <w:rPr>
          <w:rFonts w:ascii="Arial"/>
          <w:color w:val="2A212F"/>
          <w:spacing w:val="-2"/>
          <w:w w:val="105"/>
          <w:sz w:val="16"/>
        </w:rPr>
        <w:t>average</w:t>
      </w:r>
      <w:r>
        <w:rPr>
          <w:rFonts w:ascii="Arial"/>
          <w:color w:val="2A212F"/>
          <w:spacing w:val="-10"/>
          <w:w w:val="105"/>
          <w:sz w:val="16"/>
        </w:rPr>
        <w:t xml:space="preserve"> </w:t>
      </w:r>
      <w:r>
        <w:rPr>
          <w:rFonts w:ascii="Arial"/>
          <w:color w:val="2A212F"/>
          <w:spacing w:val="-2"/>
          <w:w w:val="105"/>
          <w:sz w:val="16"/>
        </w:rPr>
        <w:t>yearlyconversion rates</w:t>
      </w:r>
      <w:r>
        <w:rPr>
          <w:rFonts w:ascii="Arial"/>
          <w:color w:val="2A212F"/>
          <w:spacing w:val="-10"/>
          <w:w w:val="105"/>
          <w:sz w:val="16"/>
        </w:rPr>
        <w:t xml:space="preserve"> </w:t>
      </w:r>
      <w:r>
        <w:rPr>
          <w:rFonts w:ascii="Arial"/>
          <w:color w:val="2A212F"/>
          <w:spacing w:val="-2"/>
          <w:w w:val="105"/>
          <w:sz w:val="16"/>
        </w:rPr>
        <w:t>published</w:t>
      </w:r>
      <w:r>
        <w:rPr>
          <w:rFonts w:ascii="Arial"/>
          <w:color w:val="2A212F"/>
          <w:spacing w:val="-8"/>
          <w:w w:val="105"/>
          <w:sz w:val="16"/>
        </w:rPr>
        <w:t xml:space="preserve"> </w:t>
      </w:r>
      <w:r>
        <w:rPr>
          <w:rFonts w:ascii="Arial"/>
          <w:color w:val="2A212F"/>
          <w:spacing w:val="-2"/>
          <w:w w:val="105"/>
          <w:sz w:val="16"/>
        </w:rPr>
        <w:t xml:space="preserve">by </w:t>
      </w:r>
      <w:r>
        <w:rPr>
          <w:rFonts w:ascii="Arial"/>
          <w:color w:val="1A2644"/>
          <w:spacing w:val="-2"/>
          <w:w w:val="105"/>
          <w:sz w:val="16"/>
        </w:rPr>
        <w:t>the</w:t>
      </w:r>
      <w:r>
        <w:rPr>
          <w:rFonts w:ascii="Arial"/>
          <w:color w:val="1A2644"/>
          <w:spacing w:val="12"/>
          <w:w w:val="105"/>
          <w:sz w:val="16"/>
        </w:rPr>
        <w:t xml:space="preserve"> </w:t>
      </w:r>
      <w:r>
        <w:rPr>
          <w:rFonts w:ascii="Arial"/>
          <w:color w:val="1A2644"/>
          <w:spacing w:val="-2"/>
          <w:w w:val="105"/>
          <w:sz w:val="16"/>
        </w:rPr>
        <w:t>Peop</w:t>
      </w:r>
      <w:r>
        <w:rPr>
          <w:rFonts w:ascii="Arial"/>
          <w:color w:val="05050C"/>
          <w:spacing w:val="-2"/>
          <w:w w:val="105"/>
          <w:sz w:val="16"/>
        </w:rPr>
        <w:t>l</w:t>
      </w:r>
      <w:r>
        <w:rPr>
          <w:rFonts w:ascii="Arial"/>
          <w:color w:val="2A212F"/>
          <w:spacing w:val="-2"/>
          <w:w w:val="105"/>
          <w:sz w:val="16"/>
        </w:rPr>
        <w:t>e's</w:t>
      </w:r>
      <w:r>
        <w:rPr>
          <w:rFonts w:ascii="Arial"/>
          <w:color w:val="2A212F"/>
          <w:spacing w:val="-10"/>
          <w:w w:val="105"/>
          <w:sz w:val="16"/>
        </w:rPr>
        <w:t xml:space="preserve"> </w:t>
      </w:r>
      <w:r>
        <w:rPr>
          <w:rFonts w:ascii="Arial"/>
          <w:color w:val="1A2644"/>
          <w:spacing w:val="-2"/>
          <w:w w:val="105"/>
          <w:sz w:val="16"/>
        </w:rPr>
        <w:t>Bank</w:t>
      </w:r>
      <w:r>
        <w:rPr>
          <w:rFonts w:ascii="Arial"/>
          <w:color w:val="1A2644"/>
          <w:spacing w:val="-7"/>
          <w:w w:val="105"/>
          <w:sz w:val="16"/>
        </w:rPr>
        <w:t xml:space="preserve"> </w:t>
      </w:r>
      <w:r>
        <w:rPr>
          <w:rFonts w:ascii="Arial"/>
          <w:color w:val="2A212F"/>
          <w:spacing w:val="-2"/>
          <w:w w:val="105"/>
          <w:sz w:val="16"/>
        </w:rPr>
        <w:t>of</w:t>
      </w:r>
      <w:r>
        <w:rPr>
          <w:rFonts w:ascii="Arial"/>
          <w:color w:val="2A212F"/>
          <w:spacing w:val="21"/>
          <w:w w:val="105"/>
          <w:sz w:val="16"/>
        </w:rPr>
        <w:t xml:space="preserve"> </w:t>
      </w:r>
      <w:r>
        <w:rPr>
          <w:rFonts w:ascii="Arial"/>
          <w:color w:val="2A212F"/>
          <w:spacing w:val="-2"/>
          <w:w w:val="105"/>
          <w:sz w:val="16"/>
        </w:rPr>
        <w:t xml:space="preserve">China </w:t>
      </w:r>
      <w:r>
        <w:rPr>
          <w:rFonts w:ascii="Arial"/>
          <w:color w:val="2A212F"/>
          <w:w w:val="105"/>
          <w:sz w:val="16"/>
        </w:rPr>
        <w:t>and</w:t>
      </w:r>
      <w:r>
        <w:rPr>
          <w:rFonts w:ascii="Arial"/>
          <w:color w:val="2A212F"/>
          <w:spacing w:val="-16"/>
          <w:w w:val="105"/>
          <w:sz w:val="16"/>
        </w:rPr>
        <w:t xml:space="preserve"> </w:t>
      </w:r>
      <w:r>
        <w:rPr>
          <w:rFonts w:ascii="Arial"/>
          <w:color w:val="1A2644"/>
          <w:w w:val="105"/>
          <w:sz w:val="16"/>
        </w:rPr>
        <w:t>included</w:t>
      </w:r>
      <w:r>
        <w:rPr>
          <w:rFonts w:ascii="Arial"/>
          <w:color w:val="1A2644"/>
          <w:spacing w:val="-14"/>
          <w:w w:val="105"/>
          <w:sz w:val="16"/>
        </w:rPr>
        <w:t xml:space="preserve"> </w:t>
      </w:r>
      <w:r>
        <w:rPr>
          <w:rFonts w:ascii="Arial"/>
          <w:color w:val="2A212F"/>
          <w:w w:val="105"/>
          <w:sz w:val="16"/>
        </w:rPr>
        <w:t>at CADA</w:t>
      </w:r>
      <w:r>
        <w:rPr>
          <w:rFonts w:ascii="Arial"/>
          <w:color w:val="2A212F"/>
          <w:spacing w:val="-6"/>
          <w:w w:val="105"/>
          <w:sz w:val="16"/>
        </w:rPr>
        <w:t xml:space="preserve"> </w:t>
      </w:r>
      <w:r>
        <w:rPr>
          <w:rFonts w:ascii="Arial"/>
          <w:color w:val="2A212F"/>
          <w:w w:val="105"/>
          <w:sz w:val="16"/>
        </w:rPr>
        <w:t>Application</w:t>
      </w:r>
      <w:r>
        <w:rPr>
          <w:rFonts w:ascii="Arial"/>
          <w:color w:val="2A212F"/>
          <w:spacing w:val="-6"/>
          <w:w w:val="105"/>
          <w:sz w:val="16"/>
        </w:rPr>
        <w:t xml:space="preserve"> </w:t>
      </w:r>
      <w:r>
        <w:rPr>
          <w:rFonts w:ascii="Arial"/>
          <w:color w:val="2A212F"/>
          <w:w w:val="105"/>
          <w:sz w:val="16"/>
        </w:rPr>
        <w:t>for</w:t>
      </w:r>
      <w:r>
        <w:rPr>
          <w:rFonts w:ascii="Arial"/>
          <w:color w:val="2A212F"/>
          <w:spacing w:val="17"/>
          <w:w w:val="105"/>
          <w:sz w:val="16"/>
        </w:rPr>
        <w:t xml:space="preserve"> </w:t>
      </w:r>
      <w:r>
        <w:rPr>
          <w:rFonts w:ascii="Arial"/>
          <w:color w:val="2A212F"/>
          <w:w w:val="105"/>
          <w:sz w:val="16"/>
        </w:rPr>
        <w:t>Anti</w:t>
      </w:r>
      <w:r>
        <w:rPr>
          <w:rFonts w:ascii="Arial"/>
          <w:color w:val="05050C"/>
          <w:w w:val="105"/>
          <w:sz w:val="16"/>
        </w:rPr>
        <w:t>-</w:t>
      </w:r>
      <w:r>
        <w:rPr>
          <w:rFonts w:ascii="Arial"/>
          <w:color w:val="1A2644"/>
          <w:w w:val="105"/>
          <w:sz w:val="16"/>
        </w:rPr>
        <w:t>Du</w:t>
      </w:r>
      <w:r>
        <w:rPr>
          <w:rFonts w:ascii="Arial"/>
          <w:color w:val="463134"/>
          <w:w w:val="105"/>
          <w:sz w:val="16"/>
        </w:rPr>
        <w:t>m</w:t>
      </w:r>
      <w:r>
        <w:rPr>
          <w:rFonts w:ascii="Arial"/>
          <w:color w:val="2A212F"/>
          <w:w w:val="105"/>
          <w:sz w:val="16"/>
        </w:rPr>
        <w:t>ping</w:t>
      </w:r>
      <w:r>
        <w:rPr>
          <w:rFonts w:ascii="Arial"/>
          <w:color w:val="2A212F"/>
          <w:spacing w:val="-9"/>
          <w:w w:val="105"/>
          <w:sz w:val="16"/>
        </w:rPr>
        <w:t xml:space="preserve"> </w:t>
      </w:r>
      <w:r>
        <w:rPr>
          <w:rFonts w:ascii="Arial"/>
          <w:color w:val="563321"/>
          <w:w w:val="105"/>
          <w:sz w:val="16"/>
        </w:rPr>
        <w:t>I</w:t>
      </w:r>
      <w:r>
        <w:rPr>
          <w:rFonts w:ascii="Arial"/>
          <w:color w:val="2A212F"/>
          <w:w w:val="105"/>
          <w:sz w:val="16"/>
        </w:rPr>
        <w:t>nvestigation, Annexes</w:t>
      </w:r>
      <w:r>
        <w:rPr>
          <w:rFonts w:ascii="Arial"/>
          <w:color w:val="2A212F"/>
          <w:spacing w:val="-17"/>
          <w:w w:val="105"/>
          <w:sz w:val="16"/>
        </w:rPr>
        <w:t xml:space="preserve"> </w:t>
      </w:r>
      <w:r>
        <w:rPr>
          <w:rFonts w:ascii="Arial"/>
          <w:color w:val="2A212F"/>
          <w:w w:val="105"/>
          <w:sz w:val="16"/>
        </w:rPr>
        <w:t>13-14</w:t>
      </w:r>
      <w:r>
        <w:rPr>
          <w:rFonts w:ascii="Arial"/>
          <w:color w:val="2A212F"/>
          <w:spacing w:val="-27"/>
          <w:w w:val="105"/>
          <w:sz w:val="16"/>
        </w:rPr>
        <w:t xml:space="preserve"> </w:t>
      </w:r>
      <w:r>
        <w:rPr>
          <w:rFonts w:ascii="Arial"/>
          <w:color w:val="2A212F"/>
          <w:w w:val="105"/>
          <w:sz w:val="16"/>
        </w:rPr>
        <w:t>(Exhibit</w:t>
      </w:r>
      <w:r>
        <w:rPr>
          <w:rFonts w:ascii="Arial"/>
          <w:color w:val="2A212F"/>
          <w:spacing w:val="-6"/>
          <w:w w:val="105"/>
          <w:sz w:val="16"/>
        </w:rPr>
        <w:t xml:space="preserve"> </w:t>
      </w:r>
      <w:r>
        <w:rPr>
          <w:rFonts w:ascii="Arial"/>
          <w:color w:val="2A212F"/>
          <w:w w:val="105"/>
          <w:sz w:val="16"/>
        </w:rPr>
        <w:t>AUS-67),</w:t>
      </w:r>
      <w:r>
        <w:rPr>
          <w:rFonts w:ascii="Arial"/>
          <w:color w:val="2A212F"/>
          <w:spacing w:val="-4"/>
          <w:w w:val="105"/>
          <w:sz w:val="16"/>
        </w:rPr>
        <w:t xml:space="preserve"> </w:t>
      </w:r>
      <w:r>
        <w:rPr>
          <w:rFonts w:ascii="Arial"/>
          <w:color w:val="2A212F"/>
          <w:w w:val="105"/>
          <w:sz w:val="16"/>
        </w:rPr>
        <w:t>Annex</w:t>
      </w:r>
      <w:r>
        <w:rPr>
          <w:rFonts w:ascii="Arial"/>
          <w:color w:val="2A212F"/>
          <w:spacing w:val="-6"/>
          <w:w w:val="105"/>
          <w:sz w:val="16"/>
        </w:rPr>
        <w:t xml:space="preserve"> </w:t>
      </w:r>
      <w:r>
        <w:rPr>
          <w:rFonts w:ascii="Arial"/>
          <w:color w:val="2A212F"/>
          <w:w w:val="105"/>
          <w:sz w:val="16"/>
        </w:rPr>
        <w:t>14,</w:t>
      </w:r>
      <w:r>
        <w:rPr>
          <w:rFonts w:ascii="Arial"/>
          <w:color w:val="2A212F"/>
          <w:spacing w:val="-21"/>
          <w:w w:val="105"/>
          <w:sz w:val="16"/>
        </w:rPr>
        <w:t xml:space="preserve"> </w:t>
      </w:r>
      <w:r>
        <w:rPr>
          <w:rFonts w:ascii="Arial"/>
          <w:color w:val="2A212F"/>
          <w:w w:val="105"/>
          <w:sz w:val="16"/>
        </w:rPr>
        <w:t>p</w:t>
      </w:r>
      <w:r>
        <w:rPr>
          <w:rFonts w:ascii="Arial"/>
          <w:color w:val="491F18"/>
          <w:w w:val="105"/>
          <w:sz w:val="16"/>
        </w:rPr>
        <w:t>.</w:t>
      </w:r>
      <w:r>
        <w:rPr>
          <w:rFonts w:ascii="Arial"/>
          <w:color w:val="491F18"/>
          <w:spacing w:val="-17"/>
          <w:w w:val="105"/>
          <w:sz w:val="16"/>
        </w:rPr>
        <w:t xml:space="preserve"> </w:t>
      </w:r>
      <w:r>
        <w:rPr>
          <w:rFonts w:ascii="Arial"/>
          <w:color w:val="2A212F"/>
          <w:w w:val="105"/>
          <w:sz w:val="16"/>
        </w:rPr>
        <w:t>59.</w:t>
      </w:r>
    </w:p>
    <w:p w14:paraId="51DE930A" w14:textId="77777777" w:rsidR="0010369C" w:rsidRDefault="0010369C">
      <w:pPr>
        <w:spacing w:line="283" w:lineRule="auto"/>
        <w:jc w:val="both"/>
        <w:rPr>
          <w:rFonts w:ascii="Arial"/>
          <w:sz w:val="16"/>
        </w:rPr>
        <w:sectPr w:rsidR="0010369C">
          <w:pgSz w:w="11910" w:h="16840"/>
          <w:pgMar w:top="820" w:right="800" w:bottom="1000" w:left="1180" w:header="491" w:footer="814" w:gutter="0"/>
          <w:cols w:space="720"/>
        </w:sectPr>
      </w:pPr>
    </w:p>
    <w:p w14:paraId="51DE930B" w14:textId="77777777" w:rsidR="0010369C" w:rsidRDefault="008E43AE">
      <w:pPr>
        <w:tabs>
          <w:tab w:val="left" w:pos="6445"/>
        </w:tabs>
        <w:spacing w:before="21"/>
        <w:ind w:left="228"/>
        <w:jc w:val="both"/>
        <w:rPr>
          <w:rFonts w:ascii="Arial"/>
          <w:sz w:val="18"/>
        </w:rPr>
      </w:pPr>
      <w:r>
        <w:rPr>
          <w:rFonts w:ascii="Arial"/>
          <w:i/>
          <w:color w:val="1C1C1C"/>
          <w:w w:val="105"/>
          <w:sz w:val="18"/>
        </w:rPr>
        <w:lastRenderedPageBreak/>
        <w:t>China</w:t>
      </w:r>
      <w:r>
        <w:rPr>
          <w:rFonts w:ascii="Arial"/>
          <w:i/>
          <w:color w:val="1C1C1C"/>
          <w:spacing w:val="-17"/>
          <w:w w:val="105"/>
          <w:sz w:val="18"/>
        </w:rPr>
        <w:t xml:space="preserve"> </w:t>
      </w:r>
      <w:r>
        <w:rPr>
          <w:rFonts w:ascii="Arial"/>
          <w:i/>
          <w:color w:val="1C1C1C"/>
          <w:w w:val="105"/>
          <w:sz w:val="18"/>
        </w:rPr>
        <w:t>-Anti-Dumping</w:t>
      </w:r>
      <w:r>
        <w:rPr>
          <w:rFonts w:ascii="Arial"/>
          <w:i/>
          <w:color w:val="1C1C1C"/>
          <w:spacing w:val="-5"/>
          <w:w w:val="105"/>
          <w:sz w:val="18"/>
        </w:rPr>
        <w:t xml:space="preserve"> </w:t>
      </w:r>
      <w:r>
        <w:rPr>
          <w:rFonts w:ascii="Arial"/>
          <w:i/>
          <w:color w:val="1C1C1C"/>
          <w:w w:val="105"/>
          <w:sz w:val="18"/>
        </w:rPr>
        <w:t>and</w:t>
      </w:r>
      <w:r>
        <w:rPr>
          <w:rFonts w:ascii="Arial"/>
          <w:i/>
          <w:color w:val="1C1C1C"/>
          <w:spacing w:val="-23"/>
          <w:w w:val="105"/>
          <w:sz w:val="18"/>
        </w:rPr>
        <w:t xml:space="preserve"> </w:t>
      </w:r>
      <w:r>
        <w:rPr>
          <w:rFonts w:ascii="Arial"/>
          <w:i/>
          <w:color w:val="1C1C1C"/>
          <w:w w:val="105"/>
          <w:sz w:val="18"/>
        </w:rPr>
        <w:t>Countervailing</w:t>
      </w:r>
      <w:r>
        <w:rPr>
          <w:rFonts w:ascii="Arial"/>
          <w:i/>
          <w:color w:val="1C1C1C"/>
          <w:spacing w:val="-6"/>
          <w:w w:val="105"/>
          <w:sz w:val="18"/>
        </w:rPr>
        <w:t xml:space="preserve"> </w:t>
      </w:r>
      <w:r>
        <w:rPr>
          <w:rFonts w:ascii="Arial"/>
          <w:i/>
          <w:color w:val="1C1C1C"/>
          <w:w w:val="105"/>
          <w:sz w:val="18"/>
        </w:rPr>
        <w:t>Duty</w:t>
      </w:r>
      <w:r>
        <w:rPr>
          <w:rFonts w:ascii="Arial"/>
          <w:i/>
          <w:color w:val="1C1C1C"/>
          <w:spacing w:val="-12"/>
          <w:w w:val="105"/>
          <w:sz w:val="18"/>
        </w:rPr>
        <w:t xml:space="preserve"> </w:t>
      </w:r>
      <w:r>
        <w:rPr>
          <w:rFonts w:ascii="Arial"/>
          <w:i/>
          <w:color w:val="0C0C0C"/>
          <w:spacing w:val="-2"/>
          <w:w w:val="105"/>
          <w:sz w:val="18"/>
        </w:rPr>
        <w:t>Measures</w:t>
      </w:r>
      <w:r>
        <w:rPr>
          <w:rFonts w:ascii="Arial"/>
          <w:i/>
          <w:color w:val="0C0C0C"/>
          <w:sz w:val="18"/>
        </w:rPr>
        <w:tab/>
      </w:r>
      <w:r>
        <w:rPr>
          <w:rFonts w:ascii="Arial"/>
          <w:color w:val="1C1C1C"/>
          <w:spacing w:val="-2"/>
          <w:w w:val="105"/>
          <w:sz w:val="18"/>
        </w:rPr>
        <w:t>Australia's</w:t>
      </w:r>
      <w:r>
        <w:rPr>
          <w:rFonts w:ascii="Arial"/>
          <w:color w:val="1C1C1C"/>
          <w:spacing w:val="5"/>
          <w:w w:val="105"/>
          <w:sz w:val="18"/>
        </w:rPr>
        <w:t xml:space="preserve"> </w:t>
      </w:r>
      <w:r>
        <w:rPr>
          <w:rFonts w:ascii="Arial"/>
          <w:color w:val="0C0C0C"/>
          <w:spacing w:val="-2"/>
          <w:w w:val="105"/>
          <w:sz w:val="18"/>
        </w:rPr>
        <w:t>First</w:t>
      </w:r>
      <w:r>
        <w:rPr>
          <w:rFonts w:ascii="Arial"/>
          <w:color w:val="0C0C0C"/>
          <w:spacing w:val="1"/>
          <w:w w:val="105"/>
          <w:sz w:val="18"/>
        </w:rPr>
        <w:t xml:space="preserve"> </w:t>
      </w:r>
      <w:r>
        <w:rPr>
          <w:rFonts w:ascii="Arial"/>
          <w:color w:val="1C1C1C"/>
          <w:spacing w:val="-2"/>
          <w:w w:val="105"/>
          <w:sz w:val="18"/>
        </w:rPr>
        <w:t>Written</w:t>
      </w:r>
      <w:r>
        <w:rPr>
          <w:rFonts w:ascii="Arial"/>
          <w:color w:val="1C1C1C"/>
          <w:spacing w:val="-7"/>
          <w:w w:val="105"/>
          <w:sz w:val="18"/>
        </w:rPr>
        <w:t xml:space="preserve"> </w:t>
      </w:r>
      <w:r>
        <w:rPr>
          <w:rFonts w:ascii="Arial"/>
          <w:color w:val="1C1C1C"/>
          <w:spacing w:val="-2"/>
          <w:w w:val="105"/>
          <w:sz w:val="18"/>
        </w:rPr>
        <w:t>Submission</w:t>
      </w:r>
    </w:p>
    <w:p w14:paraId="51DE930C" w14:textId="77777777" w:rsidR="0010369C" w:rsidRDefault="008E43AE">
      <w:pPr>
        <w:tabs>
          <w:tab w:val="left" w:pos="8256"/>
        </w:tabs>
        <w:spacing w:before="44"/>
        <w:ind w:left="235"/>
        <w:jc w:val="both"/>
        <w:rPr>
          <w:rFonts w:ascii="Arial"/>
          <w:sz w:val="18"/>
        </w:rPr>
      </w:pPr>
      <w:r>
        <w:rPr>
          <w:rFonts w:ascii="Arial"/>
          <w:i/>
          <w:color w:val="1C1C1C"/>
          <w:w w:val="105"/>
          <w:sz w:val="18"/>
        </w:rPr>
        <w:t>on</w:t>
      </w:r>
      <w:r>
        <w:rPr>
          <w:rFonts w:ascii="Arial"/>
          <w:i/>
          <w:color w:val="1C1C1C"/>
          <w:spacing w:val="-11"/>
          <w:w w:val="105"/>
          <w:sz w:val="18"/>
        </w:rPr>
        <w:t xml:space="preserve"> </w:t>
      </w:r>
      <w:r>
        <w:rPr>
          <w:rFonts w:ascii="Arial"/>
          <w:i/>
          <w:color w:val="1C1C1C"/>
          <w:w w:val="105"/>
          <w:sz w:val="18"/>
        </w:rPr>
        <w:t>Winefrom Australia</w:t>
      </w:r>
      <w:r>
        <w:rPr>
          <w:rFonts w:ascii="Arial"/>
          <w:i/>
          <w:color w:val="1C1C1C"/>
          <w:spacing w:val="13"/>
          <w:w w:val="105"/>
          <w:sz w:val="18"/>
        </w:rPr>
        <w:t xml:space="preserve"> </w:t>
      </w:r>
      <w:r>
        <w:rPr>
          <w:rFonts w:ascii="Arial"/>
          <w:color w:val="1C1C1C"/>
          <w:spacing w:val="-2"/>
          <w:w w:val="105"/>
          <w:sz w:val="18"/>
        </w:rPr>
        <w:t>(0S602)</w:t>
      </w:r>
      <w:r>
        <w:rPr>
          <w:rFonts w:ascii="Arial"/>
          <w:color w:val="1C1C1C"/>
          <w:sz w:val="18"/>
        </w:rPr>
        <w:tab/>
      </w:r>
      <w:r>
        <w:rPr>
          <w:rFonts w:ascii="Arial"/>
          <w:color w:val="1C1C1C"/>
          <w:w w:val="105"/>
          <w:sz w:val="18"/>
        </w:rPr>
        <w:t>29</w:t>
      </w:r>
      <w:r>
        <w:rPr>
          <w:rFonts w:ascii="Arial"/>
          <w:color w:val="1C1C1C"/>
          <w:spacing w:val="-19"/>
          <w:w w:val="105"/>
          <w:sz w:val="18"/>
        </w:rPr>
        <w:t xml:space="preserve"> </w:t>
      </w:r>
      <w:r>
        <w:rPr>
          <w:rFonts w:ascii="Arial"/>
          <w:color w:val="1C1C1C"/>
          <w:w w:val="105"/>
          <w:sz w:val="18"/>
        </w:rPr>
        <w:t>April</w:t>
      </w:r>
      <w:r>
        <w:rPr>
          <w:rFonts w:ascii="Arial"/>
          <w:color w:val="1C1C1C"/>
          <w:spacing w:val="1"/>
          <w:w w:val="105"/>
          <w:sz w:val="18"/>
        </w:rPr>
        <w:t xml:space="preserve"> </w:t>
      </w:r>
      <w:r>
        <w:rPr>
          <w:rFonts w:ascii="Arial"/>
          <w:color w:val="1C1C1C"/>
          <w:spacing w:val="-4"/>
          <w:w w:val="105"/>
          <w:sz w:val="18"/>
        </w:rPr>
        <w:t>2022</w:t>
      </w:r>
    </w:p>
    <w:p w14:paraId="51DE930D" w14:textId="77777777" w:rsidR="0010369C" w:rsidRDefault="008E43AE">
      <w:pPr>
        <w:spacing w:before="76" w:line="439" w:lineRule="auto"/>
        <w:ind w:left="241" w:right="566" w:hanging="1"/>
        <w:jc w:val="both"/>
        <w:rPr>
          <w:rFonts w:ascii="Arial"/>
          <w:sz w:val="21"/>
        </w:rPr>
      </w:pPr>
      <w:r>
        <w:rPr>
          <w:rFonts w:ascii="Arial"/>
          <w:color w:val="1C1C1C"/>
          <w:w w:val="110"/>
          <w:sz w:val="21"/>
        </w:rPr>
        <w:t xml:space="preserve">industry. </w:t>
      </w:r>
      <w:r>
        <w:rPr>
          <w:rFonts w:ascii="Arial"/>
          <w:color w:val="0C0C0C"/>
          <w:w w:val="110"/>
          <w:sz w:val="21"/>
        </w:rPr>
        <w:t xml:space="preserve">MOFCOM's </w:t>
      </w:r>
      <w:r>
        <w:rPr>
          <w:rFonts w:ascii="Arial"/>
          <w:color w:val="1C1C1C"/>
          <w:w w:val="110"/>
          <w:sz w:val="21"/>
        </w:rPr>
        <w:t xml:space="preserve">failure to </w:t>
      </w:r>
      <w:r>
        <w:rPr>
          <w:rFonts w:ascii="Arial"/>
          <w:color w:val="0C0C0C"/>
          <w:w w:val="110"/>
          <w:sz w:val="21"/>
        </w:rPr>
        <w:t xml:space="preserve">do </w:t>
      </w:r>
      <w:r>
        <w:rPr>
          <w:rFonts w:ascii="Arial"/>
          <w:color w:val="1C1C1C"/>
          <w:w w:val="110"/>
          <w:sz w:val="21"/>
        </w:rPr>
        <w:t xml:space="preserve">so </w:t>
      </w:r>
      <w:r>
        <w:rPr>
          <w:rFonts w:ascii="Arial"/>
          <w:color w:val="0C0C0C"/>
          <w:w w:val="110"/>
          <w:sz w:val="21"/>
        </w:rPr>
        <w:t xml:space="preserve">means that </w:t>
      </w:r>
      <w:r>
        <w:rPr>
          <w:rFonts w:ascii="Arial"/>
          <w:color w:val="1C1C1C"/>
          <w:w w:val="110"/>
          <w:sz w:val="21"/>
        </w:rPr>
        <w:t xml:space="preserve">its analysis was inconsistent with the </w:t>
      </w:r>
      <w:r>
        <w:rPr>
          <w:rFonts w:ascii="Arial"/>
          <w:color w:val="0C0C0C"/>
          <w:w w:val="110"/>
          <w:sz w:val="21"/>
        </w:rPr>
        <w:t>requirements</w:t>
      </w:r>
      <w:r>
        <w:rPr>
          <w:rFonts w:ascii="Arial"/>
          <w:color w:val="0C0C0C"/>
          <w:spacing w:val="-17"/>
          <w:w w:val="110"/>
          <w:sz w:val="21"/>
        </w:rPr>
        <w:t xml:space="preserve"> </w:t>
      </w:r>
      <w:r>
        <w:rPr>
          <w:rFonts w:ascii="Arial"/>
          <w:color w:val="1C1C1C"/>
          <w:w w:val="110"/>
          <w:sz w:val="21"/>
        </w:rPr>
        <w:t>of</w:t>
      </w:r>
      <w:r>
        <w:rPr>
          <w:rFonts w:ascii="Arial"/>
          <w:color w:val="1C1C1C"/>
          <w:spacing w:val="-16"/>
          <w:w w:val="110"/>
          <w:sz w:val="21"/>
        </w:rPr>
        <w:t xml:space="preserve"> </w:t>
      </w:r>
      <w:r>
        <w:rPr>
          <w:rFonts w:ascii="Arial"/>
          <w:color w:val="1C1C1C"/>
          <w:w w:val="110"/>
          <w:sz w:val="21"/>
        </w:rPr>
        <w:t>Articles</w:t>
      </w:r>
      <w:r>
        <w:rPr>
          <w:rFonts w:ascii="Arial"/>
          <w:color w:val="1C1C1C"/>
          <w:spacing w:val="-16"/>
          <w:w w:val="110"/>
          <w:sz w:val="21"/>
        </w:rPr>
        <w:t xml:space="preserve"> </w:t>
      </w:r>
      <w:r>
        <w:rPr>
          <w:rFonts w:ascii="Arial"/>
          <w:color w:val="1C1C1C"/>
          <w:w w:val="110"/>
          <w:sz w:val="21"/>
        </w:rPr>
        <w:t>3.1</w:t>
      </w:r>
      <w:r>
        <w:rPr>
          <w:rFonts w:ascii="Arial"/>
          <w:color w:val="1C1C1C"/>
          <w:spacing w:val="-19"/>
          <w:w w:val="110"/>
          <w:sz w:val="21"/>
        </w:rPr>
        <w:t xml:space="preserve"> </w:t>
      </w:r>
      <w:r>
        <w:rPr>
          <w:rFonts w:ascii="Arial"/>
          <w:color w:val="1C1C1C"/>
          <w:w w:val="110"/>
          <w:sz w:val="21"/>
        </w:rPr>
        <w:t>and</w:t>
      </w:r>
      <w:r>
        <w:rPr>
          <w:rFonts w:ascii="Arial"/>
          <w:color w:val="1C1C1C"/>
          <w:spacing w:val="-17"/>
          <w:w w:val="110"/>
          <w:sz w:val="21"/>
        </w:rPr>
        <w:t xml:space="preserve"> </w:t>
      </w:r>
      <w:r>
        <w:rPr>
          <w:rFonts w:ascii="Arial"/>
          <w:color w:val="1C1C1C"/>
          <w:w w:val="110"/>
          <w:sz w:val="21"/>
        </w:rPr>
        <w:t>3.5</w:t>
      </w:r>
      <w:r>
        <w:rPr>
          <w:rFonts w:ascii="Arial"/>
          <w:color w:val="1C1C1C"/>
          <w:spacing w:val="-16"/>
          <w:w w:val="110"/>
          <w:sz w:val="21"/>
        </w:rPr>
        <w:t xml:space="preserve"> </w:t>
      </w:r>
      <w:r>
        <w:rPr>
          <w:rFonts w:ascii="Arial"/>
          <w:color w:val="1C1C1C"/>
          <w:w w:val="110"/>
          <w:sz w:val="21"/>
        </w:rPr>
        <w:t>of</w:t>
      </w:r>
      <w:r>
        <w:rPr>
          <w:rFonts w:ascii="Arial"/>
          <w:color w:val="1C1C1C"/>
          <w:spacing w:val="-5"/>
          <w:w w:val="110"/>
          <w:sz w:val="21"/>
        </w:rPr>
        <w:t xml:space="preserve"> </w:t>
      </w:r>
      <w:r>
        <w:rPr>
          <w:rFonts w:ascii="Arial"/>
          <w:color w:val="1C1C1C"/>
          <w:w w:val="110"/>
          <w:sz w:val="21"/>
        </w:rPr>
        <w:t>the</w:t>
      </w:r>
      <w:r>
        <w:rPr>
          <w:rFonts w:ascii="Arial"/>
          <w:color w:val="1C1C1C"/>
          <w:spacing w:val="5"/>
          <w:w w:val="110"/>
          <w:sz w:val="21"/>
        </w:rPr>
        <w:t xml:space="preserve"> </w:t>
      </w:r>
      <w:r>
        <w:rPr>
          <w:rFonts w:ascii="Arial"/>
          <w:color w:val="1C1C1C"/>
          <w:w w:val="110"/>
          <w:sz w:val="21"/>
        </w:rPr>
        <w:t>Anti-Dumping</w:t>
      </w:r>
      <w:r>
        <w:rPr>
          <w:rFonts w:ascii="Arial"/>
          <w:color w:val="1C1C1C"/>
          <w:spacing w:val="-11"/>
          <w:w w:val="110"/>
          <w:sz w:val="21"/>
        </w:rPr>
        <w:t xml:space="preserve"> </w:t>
      </w:r>
      <w:r>
        <w:rPr>
          <w:rFonts w:ascii="Arial"/>
          <w:color w:val="1C1C1C"/>
          <w:w w:val="110"/>
          <w:sz w:val="21"/>
        </w:rPr>
        <w:t>Agreement.</w:t>
      </w:r>
    </w:p>
    <w:p w14:paraId="51DE930E" w14:textId="77777777" w:rsidR="0010369C" w:rsidRDefault="008E43AE">
      <w:pPr>
        <w:pStyle w:val="ListParagraph"/>
        <w:numPr>
          <w:ilvl w:val="0"/>
          <w:numId w:val="39"/>
        </w:numPr>
        <w:tabs>
          <w:tab w:val="left" w:pos="1089"/>
        </w:tabs>
        <w:spacing w:before="131" w:line="415" w:lineRule="auto"/>
        <w:ind w:right="577" w:hanging="1"/>
        <w:jc w:val="both"/>
        <w:rPr>
          <w:rFonts w:ascii="Times New Roman"/>
          <w:color w:val="1C1C1C"/>
          <w:sz w:val="24"/>
        </w:rPr>
      </w:pPr>
      <w:r>
        <w:rPr>
          <w:rFonts w:ascii="Arial"/>
          <w:color w:val="0C0C0C"/>
          <w:w w:val="110"/>
          <w:sz w:val="21"/>
        </w:rPr>
        <w:t xml:space="preserve">In </w:t>
      </w:r>
      <w:r>
        <w:rPr>
          <w:rFonts w:ascii="Arial"/>
          <w:color w:val="1C1C1C"/>
          <w:w w:val="110"/>
          <w:sz w:val="21"/>
        </w:rPr>
        <w:t>the light</w:t>
      </w:r>
      <w:r>
        <w:rPr>
          <w:rFonts w:ascii="Arial"/>
          <w:color w:val="1C1C1C"/>
          <w:spacing w:val="-3"/>
          <w:w w:val="110"/>
          <w:sz w:val="21"/>
        </w:rPr>
        <w:t xml:space="preserve"> </w:t>
      </w:r>
      <w:r>
        <w:rPr>
          <w:rFonts w:ascii="Arial"/>
          <w:color w:val="1C1C1C"/>
          <w:w w:val="110"/>
          <w:sz w:val="21"/>
        </w:rPr>
        <w:t>of this</w:t>
      </w:r>
      <w:r>
        <w:rPr>
          <w:rFonts w:ascii="Arial"/>
          <w:color w:val="1C1C1C"/>
          <w:spacing w:val="-1"/>
          <w:w w:val="110"/>
          <w:sz w:val="21"/>
        </w:rPr>
        <w:t xml:space="preserve"> </w:t>
      </w:r>
      <w:r>
        <w:rPr>
          <w:rFonts w:ascii="Arial"/>
          <w:color w:val="1C1C1C"/>
          <w:w w:val="110"/>
          <w:sz w:val="21"/>
        </w:rPr>
        <w:t>evidence, it is</w:t>
      </w:r>
      <w:r>
        <w:rPr>
          <w:rFonts w:ascii="Arial"/>
          <w:color w:val="1C1C1C"/>
          <w:spacing w:val="-4"/>
          <w:w w:val="110"/>
          <w:sz w:val="21"/>
        </w:rPr>
        <w:t xml:space="preserve"> </w:t>
      </w:r>
      <w:r>
        <w:rPr>
          <w:rFonts w:ascii="Arial"/>
          <w:color w:val="0C0C0C"/>
          <w:w w:val="110"/>
          <w:sz w:val="21"/>
        </w:rPr>
        <w:t>difficult</w:t>
      </w:r>
      <w:r>
        <w:rPr>
          <w:rFonts w:ascii="Arial"/>
          <w:color w:val="0C0C0C"/>
          <w:spacing w:val="-2"/>
          <w:w w:val="110"/>
          <w:sz w:val="21"/>
        </w:rPr>
        <w:t xml:space="preserve"> </w:t>
      </w:r>
      <w:r>
        <w:rPr>
          <w:rFonts w:ascii="Arial"/>
          <w:color w:val="1C1C1C"/>
          <w:w w:val="110"/>
          <w:sz w:val="21"/>
        </w:rPr>
        <w:t xml:space="preserve">to </w:t>
      </w:r>
      <w:r>
        <w:rPr>
          <w:rFonts w:ascii="Arial"/>
          <w:color w:val="0C0C0C"/>
          <w:w w:val="110"/>
          <w:sz w:val="21"/>
        </w:rPr>
        <w:t xml:space="preserve">understand </w:t>
      </w:r>
      <w:r>
        <w:rPr>
          <w:rFonts w:ascii="Arial"/>
          <w:color w:val="1C1C1C"/>
          <w:w w:val="110"/>
          <w:sz w:val="21"/>
        </w:rPr>
        <w:t xml:space="preserve">how </w:t>
      </w:r>
      <w:r>
        <w:rPr>
          <w:rFonts w:ascii="Arial"/>
          <w:color w:val="0C0C0C"/>
          <w:w w:val="110"/>
          <w:sz w:val="21"/>
        </w:rPr>
        <w:t xml:space="preserve">the </w:t>
      </w:r>
      <w:r>
        <w:rPr>
          <w:rFonts w:ascii="Arial"/>
          <w:color w:val="1C1C1C"/>
          <w:w w:val="110"/>
          <w:sz w:val="21"/>
        </w:rPr>
        <w:t>average</w:t>
      </w:r>
      <w:r>
        <w:rPr>
          <w:rFonts w:ascii="Arial"/>
          <w:color w:val="1C1C1C"/>
          <w:spacing w:val="-1"/>
          <w:w w:val="110"/>
          <w:sz w:val="21"/>
        </w:rPr>
        <w:t xml:space="preserve"> </w:t>
      </w:r>
      <w:r>
        <w:rPr>
          <w:rFonts w:ascii="Arial"/>
          <w:color w:val="1C1C1C"/>
          <w:w w:val="110"/>
          <w:sz w:val="21"/>
        </w:rPr>
        <w:t>prices</w:t>
      </w:r>
      <w:r>
        <w:rPr>
          <w:rFonts w:ascii="Arial"/>
          <w:color w:val="1C1C1C"/>
          <w:spacing w:val="-7"/>
          <w:w w:val="110"/>
          <w:sz w:val="21"/>
        </w:rPr>
        <w:t xml:space="preserve"> </w:t>
      </w:r>
      <w:r>
        <w:rPr>
          <w:rFonts w:ascii="Arial"/>
          <w:color w:val="1C1C1C"/>
          <w:w w:val="110"/>
          <w:sz w:val="21"/>
        </w:rPr>
        <w:t>of</w:t>
      </w:r>
      <w:r>
        <w:rPr>
          <w:rFonts w:ascii="Arial"/>
          <w:color w:val="1C1C1C"/>
          <w:spacing w:val="-9"/>
          <w:w w:val="110"/>
          <w:sz w:val="21"/>
        </w:rPr>
        <w:t xml:space="preserve"> </w:t>
      </w:r>
      <w:r>
        <w:rPr>
          <w:rFonts w:ascii="Arial"/>
          <w:color w:val="1C1C1C"/>
          <w:w w:val="110"/>
          <w:sz w:val="21"/>
        </w:rPr>
        <w:t xml:space="preserve">subject </w:t>
      </w:r>
      <w:r>
        <w:rPr>
          <w:rFonts w:ascii="Arial"/>
          <w:color w:val="0C0C0C"/>
          <w:w w:val="110"/>
          <w:sz w:val="21"/>
        </w:rPr>
        <w:t>imports</w:t>
      </w:r>
      <w:r>
        <w:rPr>
          <w:rFonts w:ascii="Arial"/>
          <w:color w:val="0C0C0C"/>
          <w:spacing w:val="-6"/>
          <w:w w:val="110"/>
          <w:sz w:val="21"/>
        </w:rPr>
        <w:t xml:space="preserve"> </w:t>
      </w:r>
      <w:r>
        <w:rPr>
          <w:rFonts w:ascii="Arial"/>
          <w:color w:val="1C1C1C"/>
          <w:w w:val="110"/>
          <w:sz w:val="21"/>
        </w:rPr>
        <w:t>that were</w:t>
      </w:r>
      <w:r>
        <w:rPr>
          <w:rFonts w:ascii="Arial"/>
          <w:color w:val="1C1C1C"/>
          <w:spacing w:val="-2"/>
          <w:w w:val="110"/>
          <w:sz w:val="21"/>
        </w:rPr>
        <w:t xml:space="preserve"> </w:t>
      </w:r>
      <w:r>
        <w:rPr>
          <w:rFonts w:ascii="Arial"/>
          <w:color w:val="1C1C1C"/>
          <w:w w:val="110"/>
          <w:sz w:val="21"/>
        </w:rPr>
        <w:t xml:space="preserve">considered </w:t>
      </w:r>
      <w:r>
        <w:rPr>
          <w:rFonts w:ascii="Arial"/>
          <w:color w:val="0C0C0C"/>
          <w:w w:val="110"/>
          <w:sz w:val="21"/>
        </w:rPr>
        <w:t xml:space="preserve">by MOFCOM </w:t>
      </w:r>
      <w:r>
        <w:rPr>
          <w:rFonts w:ascii="Arial"/>
          <w:color w:val="1C1C1C"/>
          <w:w w:val="110"/>
          <w:sz w:val="21"/>
        </w:rPr>
        <w:t xml:space="preserve">could </w:t>
      </w:r>
      <w:r>
        <w:rPr>
          <w:rFonts w:ascii="Arial"/>
          <w:color w:val="0C0C0C"/>
          <w:w w:val="110"/>
          <w:sz w:val="21"/>
        </w:rPr>
        <w:t xml:space="preserve">have </w:t>
      </w:r>
      <w:r>
        <w:rPr>
          <w:rFonts w:ascii="Arial"/>
          <w:color w:val="1C1C1C"/>
          <w:w w:val="110"/>
          <w:sz w:val="21"/>
        </w:rPr>
        <w:t xml:space="preserve">supported any </w:t>
      </w:r>
      <w:r>
        <w:rPr>
          <w:rFonts w:ascii="Arial"/>
          <w:color w:val="0C0C0C"/>
          <w:w w:val="110"/>
          <w:sz w:val="21"/>
        </w:rPr>
        <w:t>finding</w:t>
      </w:r>
      <w:r>
        <w:rPr>
          <w:rFonts w:ascii="Arial"/>
          <w:color w:val="0C0C0C"/>
          <w:spacing w:val="-4"/>
          <w:w w:val="110"/>
          <w:sz w:val="21"/>
        </w:rPr>
        <w:t xml:space="preserve"> </w:t>
      </w:r>
      <w:r>
        <w:rPr>
          <w:rFonts w:ascii="Arial"/>
          <w:color w:val="1C1C1C"/>
          <w:w w:val="110"/>
          <w:sz w:val="21"/>
        </w:rPr>
        <w:t>of a</w:t>
      </w:r>
      <w:r>
        <w:rPr>
          <w:rFonts w:ascii="Arial"/>
          <w:color w:val="1C1C1C"/>
          <w:spacing w:val="-14"/>
          <w:w w:val="110"/>
          <w:sz w:val="21"/>
        </w:rPr>
        <w:t xml:space="preserve"> </w:t>
      </w:r>
      <w:r>
        <w:rPr>
          <w:rFonts w:ascii="Arial"/>
          <w:color w:val="1C1C1C"/>
          <w:w w:val="110"/>
          <w:sz w:val="21"/>
        </w:rPr>
        <w:t>causal link.</w:t>
      </w:r>
      <w:r>
        <w:rPr>
          <w:rFonts w:ascii="Arial"/>
          <w:color w:val="1C1C1C"/>
          <w:spacing w:val="-6"/>
          <w:w w:val="110"/>
          <w:sz w:val="21"/>
        </w:rPr>
        <w:t xml:space="preserve"> </w:t>
      </w:r>
      <w:r>
        <w:rPr>
          <w:rFonts w:ascii="Arial"/>
          <w:color w:val="0C0C0C"/>
          <w:w w:val="110"/>
          <w:sz w:val="21"/>
        </w:rPr>
        <w:t>In</w:t>
      </w:r>
      <w:r>
        <w:rPr>
          <w:rFonts w:ascii="Arial"/>
          <w:color w:val="0C0C0C"/>
          <w:spacing w:val="-6"/>
          <w:w w:val="110"/>
          <w:sz w:val="21"/>
        </w:rPr>
        <w:t xml:space="preserve"> </w:t>
      </w:r>
      <w:r>
        <w:rPr>
          <w:rFonts w:ascii="Arial"/>
          <w:color w:val="1C1C1C"/>
          <w:w w:val="110"/>
          <w:sz w:val="21"/>
        </w:rPr>
        <w:t xml:space="preserve">contrast to </w:t>
      </w:r>
      <w:r>
        <w:rPr>
          <w:rFonts w:ascii="Arial"/>
          <w:color w:val="0C0C0C"/>
          <w:w w:val="110"/>
          <w:sz w:val="21"/>
        </w:rPr>
        <w:t xml:space="preserve">the </w:t>
      </w:r>
      <w:r>
        <w:rPr>
          <w:rFonts w:ascii="Arial"/>
          <w:color w:val="1C1C1C"/>
          <w:w w:val="110"/>
          <w:sz w:val="21"/>
        </w:rPr>
        <w:t>average</w:t>
      </w:r>
      <w:r>
        <w:rPr>
          <w:rFonts w:ascii="Arial"/>
          <w:color w:val="1C1C1C"/>
          <w:spacing w:val="-1"/>
          <w:w w:val="110"/>
          <w:sz w:val="21"/>
        </w:rPr>
        <w:t xml:space="preserve"> </w:t>
      </w:r>
      <w:r>
        <w:rPr>
          <w:rFonts w:ascii="Arial"/>
          <w:color w:val="1C1C1C"/>
          <w:w w:val="110"/>
          <w:sz w:val="21"/>
        </w:rPr>
        <w:t>unit</w:t>
      </w:r>
      <w:r>
        <w:rPr>
          <w:rFonts w:ascii="Arial"/>
          <w:color w:val="1C1C1C"/>
          <w:spacing w:val="-5"/>
          <w:w w:val="110"/>
          <w:sz w:val="21"/>
        </w:rPr>
        <w:t xml:space="preserve"> </w:t>
      </w:r>
      <w:r>
        <w:rPr>
          <w:rFonts w:ascii="Arial"/>
          <w:color w:val="0C0C0C"/>
          <w:w w:val="110"/>
          <w:sz w:val="21"/>
        </w:rPr>
        <w:t xml:space="preserve">prices </w:t>
      </w:r>
      <w:r>
        <w:rPr>
          <w:rFonts w:ascii="Arial"/>
          <w:color w:val="1C1C1C"/>
          <w:w w:val="110"/>
          <w:sz w:val="21"/>
        </w:rPr>
        <w:t>of like</w:t>
      </w:r>
      <w:r>
        <w:rPr>
          <w:rFonts w:ascii="Arial"/>
          <w:color w:val="1C1C1C"/>
          <w:spacing w:val="-2"/>
          <w:w w:val="110"/>
          <w:sz w:val="21"/>
        </w:rPr>
        <w:t xml:space="preserve"> </w:t>
      </w:r>
      <w:r>
        <w:rPr>
          <w:rFonts w:ascii="Arial"/>
          <w:color w:val="0C0C0C"/>
          <w:w w:val="110"/>
          <w:sz w:val="21"/>
        </w:rPr>
        <w:t>imports</w:t>
      </w:r>
      <w:r>
        <w:rPr>
          <w:rFonts w:ascii="Arial"/>
          <w:color w:val="0C0C0C"/>
          <w:spacing w:val="-4"/>
          <w:w w:val="110"/>
          <w:sz w:val="21"/>
        </w:rPr>
        <w:t xml:space="preserve"> </w:t>
      </w:r>
      <w:r>
        <w:rPr>
          <w:rFonts w:ascii="Arial"/>
          <w:color w:val="1C1C1C"/>
          <w:w w:val="110"/>
          <w:sz w:val="21"/>
        </w:rPr>
        <w:t>from</w:t>
      </w:r>
      <w:r>
        <w:rPr>
          <w:rFonts w:ascii="Arial"/>
          <w:color w:val="1C1C1C"/>
          <w:spacing w:val="-1"/>
          <w:w w:val="110"/>
          <w:sz w:val="21"/>
        </w:rPr>
        <w:t xml:space="preserve"> </w:t>
      </w:r>
      <w:r>
        <w:rPr>
          <w:rFonts w:ascii="Arial"/>
          <w:color w:val="1C1C1C"/>
          <w:w w:val="110"/>
          <w:sz w:val="21"/>
        </w:rPr>
        <w:t>third</w:t>
      </w:r>
      <w:r>
        <w:rPr>
          <w:rFonts w:ascii="Arial"/>
          <w:color w:val="1C1C1C"/>
          <w:spacing w:val="-12"/>
          <w:w w:val="110"/>
          <w:sz w:val="21"/>
        </w:rPr>
        <w:t xml:space="preserve"> </w:t>
      </w:r>
      <w:r>
        <w:rPr>
          <w:rFonts w:ascii="Arial"/>
          <w:color w:val="1C1C1C"/>
          <w:w w:val="110"/>
          <w:sz w:val="21"/>
        </w:rPr>
        <w:t xml:space="preserve">countries, which were </w:t>
      </w:r>
      <w:r>
        <w:rPr>
          <w:rFonts w:ascii="Arial"/>
          <w:color w:val="1C1C1C"/>
          <w:spacing w:val="-2"/>
          <w:w w:val="110"/>
          <w:sz w:val="21"/>
        </w:rPr>
        <w:t>generally</w:t>
      </w:r>
      <w:r>
        <w:rPr>
          <w:rFonts w:ascii="Arial"/>
          <w:color w:val="1C1C1C"/>
          <w:spacing w:val="-10"/>
          <w:w w:val="110"/>
          <w:sz w:val="21"/>
        </w:rPr>
        <w:t xml:space="preserve"> </w:t>
      </w:r>
      <w:r>
        <w:rPr>
          <w:rFonts w:ascii="Times New Roman"/>
          <w:i/>
          <w:color w:val="1C1C1C"/>
          <w:spacing w:val="-2"/>
          <w:w w:val="110"/>
          <w:sz w:val="24"/>
        </w:rPr>
        <w:t>lower</w:t>
      </w:r>
      <w:r>
        <w:rPr>
          <w:rFonts w:ascii="Times New Roman"/>
          <w:i/>
          <w:color w:val="1C1C1C"/>
          <w:spacing w:val="-16"/>
          <w:w w:val="110"/>
          <w:sz w:val="24"/>
        </w:rPr>
        <w:t xml:space="preserve"> </w:t>
      </w:r>
      <w:r>
        <w:rPr>
          <w:rFonts w:ascii="Arial"/>
          <w:color w:val="1C1C1C"/>
          <w:spacing w:val="-2"/>
          <w:w w:val="110"/>
          <w:sz w:val="21"/>
        </w:rPr>
        <w:t>than</w:t>
      </w:r>
      <w:r>
        <w:rPr>
          <w:rFonts w:ascii="Arial"/>
          <w:color w:val="1C1C1C"/>
          <w:spacing w:val="-17"/>
          <w:w w:val="110"/>
          <w:sz w:val="21"/>
        </w:rPr>
        <w:t xml:space="preserve"> </w:t>
      </w:r>
      <w:r>
        <w:rPr>
          <w:rFonts w:ascii="Arial"/>
          <w:color w:val="0C0C0C"/>
          <w:spacing w:val="-2"/>
          <w:w w:val="110"/>
          <w:sz w:val="21"/>
        </w:rPr>
        <w:t xml:space="preserve">the </w:t>
      </w:r>
      <w:r>
        <w:rPr>
          <w:rFonts w:ascii="Arial"/>
          <w:color w:val="1C1C1C"/>
          <w:spacing w:val="-2"/>
          <w:w w:val="110"/>
          <w:sz w:val="21"/>
        </w:rPr>
        <w:t>average</w:t>
      </w:r>
      <w:r>
        <w:rPr>
          <w:rFonts w:ascii="Arial"/>
          <w:color w:val="1C1C1C"/>
          <w:spacing w:val="-12"/>
          <w:w w:val="110"/>
          <w:sz w:val="21"/>
        </w:rPr>
        <w:t xml:space="preserve"> </w:t>
      </w:r>
      <w:r>
        <w:rPr>
          <w:rFonts w:ascii="Arial"/>
          <w:color w:val="1C1C1C"/>
          <w:spacing w:val="-2"/>
          <w:w w:val="110"/>
          <w:sz w:val="21"/>
        </w:rPr>
        <w:t>unit</w:t>
      </w:r>
      <w:r>
        <w:rPr>
          <w:rFonts w:ascii="Arial"/>
          <w:color w:val="1C1C1C"/>
          <w:spacing w:val="-17"/>
          <w:w w:val="110"/>
          <w:sz w:val="21"/>
        </w:rPr>
        <w:t xml:space="preserve"> </w:t>
      </w:r>
      <w:r>
        <w:rPr>
          <w:rFonts w:ascii="Arial"/>
          <w:color w:val="0C0C0C"/>
          <w:spacing w:val="-2"/>
          <w:w w:val="110"/>
          <w:sz w:val="21"/>
        </w:rPr>
        <w:t>prices</w:t>
      </w:r>
      <w:r>
        <w:rPr>
          <w:rFonts w:ascii="Arial"/>
          <w:color w:val="0C0C0C"/>
          <w:spacing w:val="-8"/>
          <w:w w:val="110"/>
          <w:sz w:val="21"/>
        </w:rPr>
        <w:t xml:space="preserve"> </w:t>
      </w:r>
      <w:r>
        <w:rPr>
          <w:rFonts w:ascii="Arial"/>
          <w:color w:val="1C1C1C"/>
          <w:spacing w:val="-2"/>
          <w:w w:val="110"/>
          <w:sz w:val="21"/>
        </w:rPr>
        <w:t>of</w:t>
      </w:r>
      <w:r>
        <w:rPr>
          <w:rFonts w:ascii="Arial"/>
          <w:color w:val="1C1C1C"/>
          <w:spacing w:val="9"/>
          <w:w w:val="110"/>
          <w:sz w:val="21"/>
        </w:rPr>
        <w:t xml:space="preserve"> </w:t>
      </w:r>
      <w:r>
        <w:rPr>
          <w:rFonts w:ascii="Arial"/>
          <w:color w:val="0C0C0C"/>
          <w:spacing w:val="-2"/>
          <w:w w:val="110"/>
          <w:sz w:val="21"/>
        </w:rPr>
        <w:t>like</w:t>
      </w:r>
      <w:r>
        <w:rPr>
          <w:rFonts w:ascii="Arial"/>
          <w:color w:val="0C0C0C"/>
          <w:spacing w:val="-17"/>
          <w:w w:val="110"/>
          <w:sz w:val="21"/>
        </w:rPr>
        <w:t xml:space="preserve"> </w:t>
      </w:r>
      <w:r>
        <w:rPr>
          <w:rFonts w:ascii="Arial"/>
          <w:color w:val="0C0C0C"/>
          <w:spacing w:val="-2"/>
          <w:w w:val="110"/>
          <w:sz w:val="21"/>
        </w:rPr>
        <w:t xml:space="preserve">domestic </w:t>
      </w:r>
      <w:r>
        <w:rPr>
          <w:rFonts w:ascii="Arial"/>
          <w:color w:val="1C1C1C"/>
          <w:spacing w:val="-2"/>
          <w:w w:val="110"/>
          <w:sz w:val="21"/>
        </w:rPr>
        <w:t>products,</w:t>
      </w:r>
      <w:r>
        <w:rPr>
          <w:rFonts w:ascii="Arial"/>
          <w:color w:val="1C1C1C"/>
          <w:spacing w:val="-16"/>
          <w:w w:val="110"/>
          <w:sz w:val="21"/>
        </w:rPr>
        <w:t xml:space="preserve"> </w:t>
      </w:r>
      <w:r>
        <w:rPr>
          <w:rFonts w:ascii="Arial"/>
          <w:color w:val="1C1C1C"/>
          <w:spacing w:val="-2"/>
          <w:w w:val="110"/>
          <w:sz w:val="21"/>
        </w:rPr>
        <w:t>the average</w:t>
      </w:r>
      <w:r>
        <w:rPr>
          <w:rFonts w:ascii="Arial"/>
          <w:color w:val="1C1C1C"/>
          <w:spacing w:val="-10"/>
          <w:w w:val="110"/>
          <w:sz w:val="21"/>
        </w:rPr>
        <w:t xml:space="preserve"> </w:t>
      </w:r>
      <w:r>
        <w:rPr>
          <w:rFonts w:ascii="Arial"/>
          <w:color w:val="0C0C0C"/>
          <w:spacing w:val="-2"/>
          <w:w w:val="110"/>
          <w:sz w:val="21"/>
        </w:rPr>
        <w:t>unit</w:t>
      </w:r>
    </w:p>
    <w:p w14:paraId="51DE930F" w14:textId="77777777" w:rsidR="0010369C" w:rsidRDefault="008E43AE">
      <w:pPr>
        <w:spacing w:line="240" w:lineRule="exact"/>
        <w:ind w:left="240"/>
        <w:jc w:val="both"/>
        <w:rPr>
          <w:rFonts w:ascii="Arial"/>
          <w:sz w:val="21"/>
        </w:rPr>
      </w:pPr>
      <w:r>
        <w:rPr>
          <w:rFonts w:ascii="Arial"/>
          <w:color w:val="1C1C1C"/>
          <w:w w:val="105"/>
          <w:sz w:val="21"/>
        </w:rPr>
        <w:t>prices</w:t>
      </w:r>
      <w:r>
        <w:rPr>
          <w:rFonts w:ascii="Arial"/>
          <w:color w:val="1C1C1C"/>
          <w:spacing w:val="-15"/>
          <w:w w:val="105"/>
          <w:sz w:val="21"/>
        </w:rPr>
        <w:t xml:space="preserve"> </w:t>
      </w:r>
      <w:r>
        <w:rPr>
          <w:rFonts w:ascii="Arial"/>
          <w:color w:val="1C1C1C"/>
          <w:w w:val="105"/>
          <w:sz w:val="21"/>
        </w:rPr>
        <w:t>of</w:t>
      </w:r>
      <w:r>
        <w:rPr>
          <w:rFonts w:ascii="Arial"/>
          <w:color w:val="1C1C1C"/>
          <w:spacing w:val="12"/>
          <w:w w:val="105"/>
          <w:sz w:val="21"/>
        </w:rPr>
        <w:t xml:space="preserve"> </w:t>
      </w:r>
      <w:r>
        <w:rPr>
          <w:rFonts w:ascii="Arial"/>
          <w:color w:val="1C1C1C"/>
          <w:w w:val="105"/>
          <w:sz w:val="21"/>
        </w:rPr>
        <w:t>subject</w:t>
      </w:r>
      <w:r>
        <w:rPr>
          <w:rFonts w:ascii="Arial"/>
          <w:color w:val="1C1C1C"/>
          <w:spacing w:val="-15"/>
          <w:w w:val="105"/>
          <w:sz w:val="21"/>
        </w:rPr>
        <w:t xml:space="preserve"> </w:t>
      </w:r>
      <w:r>
        <w:rPr>
          <w:rFonts w:ascii="Arial"/>
          <w:color w:val="1C1C1C"/>
          <w:w w:val="105"/>
          <w:sz w:val="21"/>
        </w:rPr>
        <w:t>imports</w:t>
      </w:r>
      <w:r>
        <w:rPr>
          <w:rFonts w:ascii="Arial"/>
          <w:color w:val="1C1C1C"/>
          <w:spacing w:val="-11"/>
          <w:w w:val="105"/>
          <w:sz w:val="21"/>
        </w:rPr>
        <w:t xml:space="preserve"> </w:t>
      </w:r>
      <w:r>
        <w:rPr>
          <w:rFonts w:ascii="Arial"/>
          <w:color w:val="1C1C1C"/>
          <w:w w:val="105"/>
          <w:sz w:val="21"/>
        </w:rPr>
        <w:t>from</w:t>
      </w:r>
      <w:r>
        <w:rPr>
          <w:rFonts w:ascii="Arial"/>
          <w:color w:val="1C1C1C"/>
          <w:spacing w:val="-15"/>
          <w:w w:val="105"/>
          <w:sz w:val="21"/>
        </w:rPr>
        <w:t xml:space="preserve"> </w:t>
      </w:r>
      <w:r>
        <w:rPr>
          <w:rFonts w:ascii="Arial"/>
          <w:color w:val="1C1C1C"/>
          <w:w w:val="105"/>
          <w:sz w:val="21"/>
        </w:rPr>
        <w:t>Australia</w:t>
      </w:r>
      <w:r>
        <w:rPr>
          <w:rFonts w:ascii="Arial"/>
          <w:color w:val="1C1C1C"/>
          <w:spacing w:val="4"/>
          <w:w w:val="105"/>
          <w:sz w:val="21"/>
        </w:rPr>
        <w:t xml:space="preserve"> </w:t>
      </w:r>
      <w:r>
        <w:rPr>
          <w:rFonts w:ascii="Arial"/>
          <w:color w:val="1C1C1C"/>
          <w:w w:val="105"/>
          <w:sz w:val="21"/>
        </w:rPr>
        <w:t>were</w:t>
      </w:r>
      <w:r>
        <w:rPr>
          <w:rFonts w:ascii="Arial"/>
          <w:color w:val="1C1C1C"/>
          <w:spacing w:val="-19"/>
          <w:w w:val="105"/>
          <w:sz w:val="21"/>
        </w:rPr>
        <w:t xml:space="preserve"> </w:t>
      </w:r>
      <w:r>
        <w:rPr>
          <w:rFonts w:ascii="Arial"/>
          <w:color w:val="1C1C1C"/>
          <w:w w:val="105"/>
          <w:sz w:val="21"/>
        </w:rPr>
        <w:t>consistently</w:t>
      </w:r>
      <w:r>
        <w:rPr>
          <w:rFonts w:ascii="Arial"/>
          <w:color w:val="1C1C1C"/>
          <w:spacing w:val="3"/>
          <w:w w:val="105"/>
          <w:sz w:val="21"/>
        </w:rPr>
        <w:t xml:space="preserve"> </w:t>
      </w:r>
      <w:r>
        <w:rPr>
          <w:rFonts w:ascii="Times New Roman"/>
          <w:i/>
          <w:color w:val="1C1C1C"/>
          <w:w w:val="105"/>
          <w:sz w:val="24"/>
        </w:rPr>
        <w:t>higher,</w:t>
      </w:r>
      <w:r>
        <w:rPr>
          <w:rFonts w:ascii="Times New Roman"/>
          <w:i/>
          <w:color w:val="1C1C1C"/>
          <w:spacing w:val="-34"/>
          <w:w w:val="105"/>
          <w:sz w:val="24"/>
        </w:rPr>
        <w:t xml:space="preserve"> </w:t>
      </w:r>
      <w:r>
        <w:rPr>
          <w:rFonts w:ascii="Arial"/>
          <w:color w:val="0C0C0C"/>
          <w:w w:val="105"/>
          <w:sz w:val="21"/>
        </w:rPr>
        <w:t>by</w:t>
      </w:r>
      <w:r>
        <w:rPr>
          <w:rFonts w:ascii="Arial"/>
          <w:color w:val="0C0C0C"/>
          <w:spacing w:val="-15"/>
          <w:w w:val="105"/>
          <w:sz w:val="21"/>
        </w:rPr>
        <w:t xml:space="preserve"> </w:t>
      </w:r>
      <w:r>
        <w:rPr>
          <w:rFonts w:ascii="Arial"/>
          <w:color w:val="1C1C1C"/>
          <w:w w:val="105"/>
          <w:sz w:val="21"/>
        </w:rPr>
        <w:t xml:space="preserve">substantial </w:t>
      </w:r>
      <w:r>
        <w:rPr>
          <w:rFonts w:ascii="Arial"/>
          <w:color w:val="0C0C0C"/>
          <w:w w:val="105"/>
          <w:sz w:val="21"/>
        </w:rPr>
        <w:t>margins,</w:t>
      </w:r>
      <w:r>
        <w:rPr>
          <w:rFonts w:ascii="Arial"/>
          <w:color w:val="0C0C0C"/>
          <w:spacing w:val="-16"/>
          <w:w w:val="105"/>
          <w:sz w:val="21"/>
        </w:rPr>
        <w:t xml:space="preserve"> </w:t>
      </w:r>
      <w:r>
        <w:rPr>
          <w:rFonts w:ascii="Arial"/>
          <w:color w:val="1C1C1C"/>
          <w:spacing w:val="-4"/>
          <w:w w:val="105"/>
          <w:sz w:val="21"/>
        </w:rPr>
        <w:t>than</w:t>
      </w:r>
    </w:p>
    <w:p w14:paraId="51DE9310" w14:textId="77777777" w:rsidR="0010369C" w:rsidRDefault="008E43AE">
      <w:pPr>
        <w:spacing w:before="192" w:line="436" w:lineRule="auto"/>
        <w:ind w:left="231" w:right="574"/>
        <w:jc w:val="both"/>
        <w:rPr>
          <w:rFonts w:ascii="Arial"/>
          <w:sz w:val="21"/>
        </w:rPr>
      </w:pPr>
      <w:r>
        <w:rPr>
          <w:rFonts w:ascii="Arial"/>
          <w:color w:val="1C1C1C"/>
          <w:w w:val="105"/>
          <w:sz w:val="21"/>
        </w:rPr>
        <w:t>the average unit</w:t>
      </w:r>
      <w:r>
        <w:rPr>
          <w:rFonts w:ascii="Arial"/>
          <w:color w:val="1C1C1C"/>
          <w:spacing w:val="-1"/>
          <w:w w:val="105"/>
          <w:sz w:val="21"/>
        </w:rPr>
        <w:t xml:space="preserve"> </w:t>
      </w:r>
      <w:r>
        <w:rPr>
          <w:rFonts w:ascii="Arial"/>
          <w:color w:val="0C0C0C"/>
          <w:w w:val="105"/>
          <w:sz w:val="21"/>
        </w:rPr>
        <w:t xml:space="preserve">prices </w:t>
      </w:r>
      <w:r>
        <w:rPr>
          <w:rFonts w:ascii="Arial"/>
          <w:color w:val="1C1C1C"/>
          <w:w w:val="105"/>
          <w:sz w:val="21"/>
        </w:rPr>
        <w:t xml:space="preserve">of </w:t>
      </w:r>
      <w:r>
        <w:rPr>
          <w:rFonts w:ascii="Arial"/>
          <w:color w:val="0C0C0C"/>
          <w:w w:val="105"/>
          <w:sz w:val="21"/>
        </w:rPr>
        <w:t>like</w:t>
      </w:r>
      <w:r>
        <w:rPr>
          <w:rFonts w:ascii="Arial"/>
          <w:color w:val="0C0C0C"/>
          <w:spacing w:val="-1"/>
          <w:w w:val="105"/>
          <w:sz w:val="21"/>
        </w:rPr>
        <w:t xml:space="preserve"> </w:t>
      </w:r>
      <w:r>
        <w:rPr>
          <w:rFonts w:ascii="Arial"/>
          <w:color w:val="1C1C1C"/>
          <w:w w:val="105"/>
          <w:sz w:val="21"/>
        </w:rPr>
        <w:t xml:space="preserve">domestic products. As Australia </w:t>
      </w:r>
      <w:r>
        <w:rPr>
          <w:rFonts w:ascii="Arial"/>
          <w:color w:val="0C0C0C"/>
          <w:w w:val="105"/>
          <w:sz w:val="21"/>
        </w:rPr>
        <w:t xml:space="preserve">has previously </w:t>
      </w:r>
      <w:r>
        <w:rPr>
          <w:rFonts w:ascii="Arial"/>
          <w:color w:val="1C1C1C"/>
          <w:w w:val="105"/>
          <w:sz w:val="21"/>
        </w:rPr>
        <w:t xml:space="preserve">explained, </w:t>
      </w:r>
      <w:r>
        <w:rPr>
          <w:rFonts w:ascii="Arial"/>
          <w:color w:val="0C0C0C"/>
          <w:w w:val="105"/>
          <w:sz w:val="21"/>
        </w:rPr>
        <w:t xml:space="preserve">the </w:t>
      </w:r>
      <w:r>
        <w:rPr>
          <w:rFonts w:ascii="Arial"/>
          <w:color w:val="1C1C1C"/>
          <w:w w:val="105"/>
          <w:sz w:val="21"/>
        </w:rPr>
        <w:t xml:space="preserve">average price of </w:t>
      </w:r>
      <w:r>
        <w:rPr>
          <w:rFonts w:ascii="Arial"/>
          <w:color w:val="0C0C0C"/>
          <w:w w:val="105"/>
          <w:sz w:val="21"/>
        </w:rPr>
        <w:t xml:space="preserve">like </w:t>
      </w:r>
      <w:r>
        <w:rPr>
          <w:rFonts w:ascii="Arial"/>
          <w:color w:val="1C1C1C"/>
          <w:w w:val="105"/>
          <w:sz w:val="21"/>
        </w:rPr>
        <w:t>domestic products (which consistently increased during</w:t>
      </w:r>
      <w:r>
        <w:rPr>
          <w:rFonts w:ascii="Arial"/>
          <w:color w:val="1C1C1C"/>
          <w:spacing w:val="-16"/>
          <w:w w:val="105"/>
          <w:sz w:val="21"/>
        </w:rPr>
        <w:t xml:space="preserve"> </w:t>
      </w:r>
      <w:r>
        <w:rPr>
          <w:rFonts w:ascii="Arial"/>
          <w:color w:val="1C1C1C"/>
          <w:w w:val="105"/>
          <w:sz w:val="21"/>
        </w:rPr>
        <w:t xml:space="preserve">the </w:t>
      </w:r>
      <w:r>
        <w:rPr>
          <w:rFonts w:ascii="Arial"/>
          <w:color w:val="0C0C0C"/>
          <w:w w:val="105"/>
          <w:sz w:val="21"/>
        </w:rPr>
        <w:t xml:space="preserve">Injury </w:t>
      </w:r>
      <w:r>
        <w:rPr>
          <w:rFonts w:ascii="Arial"/>
          <w:color w:val="1C1C1C"/>
          <w:w w:val="105"/>
          <w:sz w:val="21"/>
        </w:rPr>
        <w:t xml:space="preserve">POI) could </w:t>
      </w:r>
      <w:r>
        <w:rPr>
          <w:rFonts w:ascii="Arial"/>
          <w:color w:val="0C0C0C"/>
          <w:w w:val="105"/>
          <w:sz w:val="21"/>
        </w:rPr>
        <w:t xml:space="preserve">have </w:t>
      </w:r>
      <w:r>
        <w:rPr>
          <w:rFonts w:ascii="Arial"/>
          <w:color w:val="1C1C1C"/>
          <w:w w:val="105"/>
          <w:sz w:val="21"/>
        </w:rPr>
        <w:t xml:space="preserve">increased by an additional 72.99% in 2015, an additional 48.98% in 2016, an additional 34.12% </w:t>
      </w:r>
      <w:r>
        <w:rPr>
          <w:rFonts w:ascii="Arial"/>
          <w:color w:val="0C0C0C"/>
          <w:w w:val="105"/>
          <w:sz w:val="21"/>
        </w:rPr>
        <w:t xml:space="preserve">in </w:t>
      </w:r>
      <w:r>
        <w:rPr>
          <w:rFonts w:ascii="Arial"/>
          <w:color w:val="1C1C1C"/>
          <w:w w:val="105"/>
          <w:sz w:val="21"/>
        </w:rPr>
        <w:t>2017, an additional 16.28%</w:t>
      </w:r>
      <w:r>
        <w:rPr>
          <w:rFonts w:ascii="Arial"/>
          <w:color w:val="1C1C1C"/>
          <w:spacing w:val="-2"/>
          <w:w w:val="105"/>
          <w:sz w:val="21"/>
        </w:rPr>
        <w:t xml:space="preserve"> </w:t>
      </w:r>
      <w:r>
        <w:rPr>
          <w:rFonts w:ascii="Arial"/>
          <w:color w:val="1C1C1C"/>
          <w:w w:val="105"/>
          <w:sz w:val="21"/>
        </w:rPr>
        <w:t xml:space="preserve">in 2018, and an additional 20.68% </w:t>
      </w:r>
      <w:r>
        <w:rPr>
          <w:rFonts w:ascii="Arial"/>
          <w:color w:val="0C0C0C"/>
          <w:w w:val="105"/>
          <w:sz w:val="21"/>
        </w:rPr>
        <w:t xml:space="preserve">in </w:t>
      </w:r>
      <w:r>
        <w:rPr>
          <w:rFonts w:ascii="Arial"/>
          <w:color w:val="1C1C1C"/>
          <w:w w:val="105"/>
          <w:sz w:val="21"/>
        </w:rPr>
        <w:t xml:space="preserve">2019 </w:t>
      </w:r>
      <w:r>
        <w:rPr>
          <w:rFonts w:ascii="Arial"/>
          <w:color w:val="0C0C0C"/>
          <w:w w:val="105"/>
          <w:sz w:val="21"/>
        </w:rPr>
        <w:t>before</w:t>
      </w:r>
      <w:r>
        <w:rPr>
          <w:rFonts w:ascii="Arial"/>
          <w:color w:val="0C0C0C"/>
          <w:spacing w:val="-16"/>
          <w:w w:val="105"/>
          <w:sz w:val="21"/>
        </w:rPr>
        <w:t xml:space="preserve"> </w:t>
      </w:r>
      <w:r>
        <w:rPr>
          <w:rFonts w:ascii="Arial"/>
          <w:color w:val="1C1C1C"/>
          <w:w w:val="105"/>
          <w:sz w:val="21"/>
        </w:rPr>
        <w:t>r</w:t>
      </w:r>
      <w:r>
        <w:rPr>
          <w:rFonts w:ascii="Arial"/>
          <w:color w:val="1C1C1C"/>
          <w:w w:val="105"/>
          <w:sz w:val="21"/>
        </w:rPr>
        <w:t>eaching</w:t>
      </w:r>
      <w:r>
        <w:rPr>
          <w:rFonts w:ascii="Arial"/>
          <w:color w:val="1C1C1C"/>
          <w:spacing w:val="-15"/>
          <w:w w:val="105"/>
          <w:sz w:val="21"/>
        </w:rPr>
        <w:t xml:space="preserve"> </w:t>
      </w:r>
      <w:r>
        <w:rPr>
          <w:rFonts w:ascii="Arial"/>
          <w:color w:val="1C1C1C"/>
          <w:w w:val="105"/>
          <w:sz w:val="21"/>
        </w:rPr>
        <w:t>the</w:t>
      </w:r>
      <w:r>
        <w:rPr>
          <w:rFonts w:ascii="Arial"/>
          <w:color w:val="1C1C1C"/>
          <w:spacing w:val="32"/>
          <w:w w:val="105"/>
          <w:sz w:val="21"/>
        </w:rPr>
        <w:t xml:space="preserve"> </w:t>
      </w:r>
      <w:r>
        <w:rPr>
          <w:rFonts w:ascii="Arial"/>
          <w:color w:val="1C1C1C"/>
          <w:w w:val="105"/>
          <w:sz w:val="21"/>
        </w:rPr>
        <w:t>average</w:t>
      </w:r>
      <w:r>
        <w:rPr>
          <w:rFonts w:ascii="Arial"/>
          <w:color w:val="1C1C1C"/>
          <w:spacing w:val="-6"/>
          <w:w w:val="105"/>
          <w:sz w:val="21"/>
        </w:rPr>
        <w:t xml:space="preserve"> </w:t>
      </w:r>
      <w:r>
        <w:rPr>
          <w:rFonts w:ascii="Arial"/>
          <w:color w:val="1C1C1C"/>
          <w:w w:val="105"/>
          <w:sz w:val="21"/>
        </w:rPr>
        <w:t>price</w:t>
      </w:r>
      <w:r>
        <w:rPr>
          <w:rFonts w:ascii="Arial"/>
          <w:color w:val="1C1C1C"/>
          <w:spacing w:val="-5"/>
          <w:w w:val="105"/>
          <w:sz w:val="21"/>
        </w:rPr>
        <w:t xml:space="preserve"> </w:t>
      </w:r>
      <w:r>
        <w:rPr>
          <w:rFonts w:ascii="Arial"/>
          <w:color w:val="1C1C1C"/>
          <w:w w:val="105"/>
          <w:sz w:val="21"/>
        </w:rPr>
        <w:t>of Australian imports.</w:t>
      </w:r>
      <w:r>
        <w:rPr>
          <w:rFonts w:ascii="Arial"/>
          <w:color w:val="1C1C1C"/>
          <w:w w:val="105"/>
          <w:position w:val="7"/>
          <w:sz w:val="14"/>
        </w:rPr>
        <w:t>848</w:t>
      </w:r>
      <w:r>
        <w:rPr>
          <w:rFonts w:ascii="Arial"/>
          <w:color w:val="1C1C1C"/>
          <w:spacing w:val="28"/>
          <w:w w:val="105"/>
          <w:position w:val="7"/>
          <w:sz w:val="14"/>
        </w:rPr>
        <w:t xml:space="preserve"> </w:t>
      </w:r>
      <w:r>
        <w:rPr>
          <w:rFonts w:ascii="Arial"/>
          <w:color w:val="1C1C1C"/>
          <w:w w:val="105"/>
          <w:sz w:val="21"/>
        </w:rPr>
        <w:t>The fact</w:t>
      </w:r>
      <w:r>
        <w:rPr>
          <w:rFonts w:ascii="Arial"/>
          <w:color w:val="1C1C1C"/>
          <w:spacing w:val="-16"/>
          <w:w w:val="105"/>
          <w:sz w:val="21"/>
        </w:rPr>
        <w:t xml:space="preserve"> </w:t>
      </w:r>
      <w:r>
        <w:rPr>
          <w:rFonts w:ascii="Arial"/>
          <w:color w:val="1C1C1C"/>
          <w:w w:val="105"/>
          <w:sz w:val="21"/>
        </w:rPr>
        <w:t>that</w:t>
      </w:r>
      <w:r>
        <w:rPr>
          <w:rFonts w:ascii="Arial"/>
          <w:color w:val="1C1C1C"/>
          <w:spacing w:val="-15"/>
          <w:w w:val="105"/>
          <w:sz w:val="21"/>
        </w:rPr>
        <w:t xml:space="preserve"> </w:t>
      </w:r>
      <w:r>
        <w:rPr>
          <w:rFonts w:ascii="Arial"/>
          <w:color w:val="1C1C1C"/>
          <w:w w:val="105"/>
          <w:sz w:val="21"/>
        </w:rPr>
        <w:t>they</w:t>
      </w:r>
      <w:r>
        <w:rPr>
          <w:rFonts w:ascii="Arial"/>
          <w:color w:val="1C1C1C"/>
          <w:spacing w:val="-7"/>
          <w:w w:val="105"/>
          <w:sz w:val="21"/>
        </w:rPr>
        <w:t xml:space="preserve"> </w:t>
      </w:r>
      <w:r>
        <w:rPr>
          <w:rFonts w:ascii="Arial"/>
          <w:color w:val="1C1C1C"/>
          <w:w w:val="105"/>
          <w:sz w:val="21"/>
        </w:rPr>
        <w:t>did</w:t>
      </w:r>
      <w:r>
        <w:rPr>
          <w:rFonts w:ascii="Arial"/>
          <w:color w:val="1C1C1C"/>
          <w:spacing w:val="-11"/>
          <w:w w:val="105"/>
          <w:sz w:val="21"/>
        </w:rPr>
        <w:t xml:space="preserve"> </w:t>
      </w:r>
      <w:r>
        <w:rPr>
          <w:rFonts w:ascii="Arial"/>
          <w:color w:val="1C1C1C"/>
          <w:w w:val="105"/>
          <w:sz w:val="21"/>
        </w:rPr>
        <w:t xml:space="preserve">not indicates that some other factor(s) were </w:t>
      </w:r>
      <w:r>
        <w:rPr>
          <w:rFonts w:ascii="Arial"/>
          <w:color w:val="0C0C0C"/>
          <w:w w:val="105"/>
          <w:sz w:val="21"/>
        </w:rPr>
        <w:t xml:space="preserve">preventing </w:t>
      </w:r>
      <w:r>
        <w:rPr>
          <w:rFonts w:ascii="Arial"/>
          <w:color w:val="1C1C1C"/>
          <w:w w:val="105"/>
          <w:sz w:val="21"/>
        </w:rPr>
        <w:t xml:space="preserve">such further </w:t>
      </w:r>
      <w:r>
        <w:rPr>
          <w:rFonts w:ascii="Arial"/>
          <w:color w:val="0C0C0C"/>
          <w:w w:val="105"/>
          <w:sz w:val="21"/>
        </w:rPr>
        <w:t xml:space="preserve">increases </w:t>
      </w:r>
      <w:r>
        <w:rPr>
          <w:rFonts w:ascii="Arial"/>
          <w:color w:val="1C1C1C"/>
          <w:w w:val="105"/>
          <w:sz w:val="21"/>
        </w:rPr>
        <w:t>from happening. Based on the</w:t>
      </w:r>
      <w:r>
        <w:rPr>
          <w:rFonts w:ascii="Arial"/>
          <w:color w:val="1C1C1C"/>
          <w:spacing w:val="40"/>
          <w:w w:val="105"/>
          <w:sz w:val="21"/>
        </w:rPr>
        <w:t xml:space="preserve"> </w:t>
      </w:r>
      <w:r>
        <w:rPr>
          <w:rFonts w:ascii="Arial"/>
          <w:color w:val="1C1C1C"/>
          <w:w w:val="105"/>
          <w:sz w:val="21"/>
        </w:rPr>
        <w:t xml:space="preserve">evidence on </w:t>
      </w:r>
      <w:r>
        <w:rPr>
          <w:rFonts w:ascii="Arial"/>
          <w:color w:val="0C0C0C"/>
          <w:w w:val="105"/>
          <w:sz w:val="21"/>
        </w:rPr>
        <w:t xml:space="preserve">the </w:t>
      </w:r>
      <w:r>
        <w:rPr>
          <w:rFonts w:ascii="Arial"/>
          <w:color w:val="1C1C1C"/>
          <w:w w:val="105"/>
          <w:sz w:val="21"/>
        </w:rPr>
        <w:t>investigation</w:t>
      </w:r>
      <w:r>
        <w:rPr>
          <w:rFonts w:ascii="Arial"/>
          <w:color w:val="1C1C1C"/>
          <w:w w:val="105"/>
          <w:sz w:val="21"/>
        </w:rPr>
        <w:t xml:space="preserve"> record before MOFCOM, </w:t>
      </w:r>
      <w:r>
        <w:rPr>
          <w:rFonts w:ascii="Arial"/>
          <w:color w:val="0C0C0C"/>
          <w:w w:val="105"/>
          <w:sz w:val="21"/>
        </w:rPr>
        <w:t>the</w:t>
      </w:r>
      <w:r>
        <w:rPr>
          <w:rFonts w:ascii="Arial"/>
          <w:color w:val="0C0C0C"/>
          <w:spacing w:val="40"/>
          <w:w w:val="105"/>
          <w:sz w:val="21"/>
        </w:rPr>
        <w:t xml:space="preserve"> </w:t>
      </w:r>
      <w:r>
        <w:rPr>
          <w:rFonts w:ascii="Arial"/>
          <w:color w:val="1C1C1C"/>
          <w:w w:val="105"/>
          <w:sz w:val="21"/>
        </w:rPr>
        <w:t>significant import volumes from third countries at lower prices provides an apparent explanation.</w:t>
      </w:r>
    </w:p>
    <w:p w14:paraId="51DE9311" w14:textId="77777777" w:rsidR="0010369C" w:rsidRDefault="008E43AE">
      <w:pPr>
        <w:pStyle w:val="ListParagraph"/>
        <w:numPr>
          <w:ilvl w:val="0"/>
          <w:numId w:val="39"/>
        </w:numPr>
        <w:tabs>
          <w:tab w:val="left" w:pos="1091"/>
        </w:tabs>
        <w:spacing w:before="142" w:line="417" w:lineRule="auto"/>
        <w:ind w:left="231" w:right="575" w:firstLine="4"/>
        <w:jc w:val="both"/>
        <w:rPr>
          <w:rFonts w:ascii="Times New Roman"/>
          <w:color w:val="1C1C1C"/>
          <w:sz w:val="24"/>
        </w:rPr>
      </w:pPr>
      <w:r>
        <w:rPr>
          <w:rFonts w:ascii="Arial"/>
          <w:color w:val="0C0C0C"/>
          <w:w w:val="105"/>
          <w:sz w:val="21"/>
        </w:rPr>
        <w:t>Further,</w:t>
      </w:r>
      <w:r>
        <w:rPr>
          <w:rFonts w:ascii="Arial"/>
          <w:color w:val="0C0C0C"/>
          <w:spacing w:val="-16"/>
          <w:w w:val="105"/>
          <w:sz w:val="21"/>
        </w:rPr>
        <w:t xml:space="preserve"> </w:t>
      </w:r>
      <w:r>
        <w:rPr>
          <w:rFonts w:ascii="Arial"/>
          <w:color w:val="0C0C0C"/>
          <w:w w:val="105"/>
          <w:sz w:val="21"/>
        </w:rPr>
        <w:t>MOFCOM's</w:t>
      </w:r>
      <w:r>
        <w:rPr>
          <w:rFonts w:ascii="Arial"/>
          <w:color w:val="0C0C0C"/>
          <w:spacing w:val="-15"/>
          <w:w w:val="105"/>
          <w:sz w:val="21"/>
        </w:rPr>
        <w:t xml:space="preserve"> </w:t>
      </w:r>
      <w:r>
        <w:rPr>
          <w:rFonts w:ascii="Arial"/>
          <w:color w:val="1C1C1C"/>
          <w:w w:val="105"/>
          <w:sz w:val="21"/>
        </w:rPr>
        <w:t>dismissal of</w:t>
      </w:r>
      <w:r>
        <w:rPr>
          <w:rFonts w:ascii="Arial"/>
          <w:color w:val="1C1C1C"/>
          <w:spacing w:val="19"/>
          <w:w w:val="105"/>
          <w:sz w:val="21"/>
        </w:rPr>
        <w:t xml:space="preserve"> </w:t>
      </w:r>
      <w:r>
        <w:rPr>
          <w:rFonts w:ascii="Arial"/>
          <w:color w:val="1C1C1C"/>
          <w:w w:val="105"/>
          <w:sz w:val="21"/>
        </w:rPr>
        <w:t>this</w:t>
      </w:r>
      <w:r>
        <w:rPr>
          <w:rFonts w:ascii="Arial"/>
          <w:color w:val="1C1C1C"/>
          <w:spacing w:val="-4"/>
          <w:w w:val="105"/>
          <w:sz w:val="21"/>
        </w:rPr>
        <w:t xml:space="preserve"> </w:t>
      </w:r>
      <w:r>
        <w:rPr>
          <w:rFonts w:ascii="Arial"/>
          <w:color w:val="1C1C1C"/>
          <w:w w:val="105"/>
          <w:sz w:val="21"/>
        </w:rPr>
        <w:t>factor</w:t>
      </w:r>
      <w:r>
        <w:rPr>
          <w:rFonts w:ascii="Arial"/>
          <w:color w:val="1C1C1C"/>
          <w:spacing w:val="-11"/>
          <w:w w:val="105"/>
          <w:sz w:val="21"/>
        </w:rPr>
        <w:t xml:space="preserve"> </w:t>
      </w:r>
      <w:r>
        <w:rPr>
          <w:rFonts w:ascii="Arial"/>
          <w:color w:val="1C1C1C"/>
          <w:w w:val="105"/>
          <w:sz w:val="21"/>
        </w:rPr>
        <w:t>on</w:t>
      </w:r>
      <w:r>
        <w:rPr>
          <w:rFonts w:ascii="Arial"/>
          <w:color w:val="1C1C1C"/>
          <w:spacing w:val="-13"/>
          <w:w w:val="105"/>
          <w:sz w:val="21"/>
        </w:rPr>
        <w:t xml:space="preserve"> </w:t>
      </w:r>
      <w:r>
        <w:rPr>
          <w:rFonts w:ascii="Arial"/>
          <w:color w:val="1C1C1C"/>
          <w:w w:val="105"/>
          <w:sz w:val="21"/>
        </w:rPr>
        <w:t xml:space="preserve">the </w:t>
      </w:r>
      <w:r>
        <w:rPr>
          <w:rFonts w:ascii="Arial"/>
          <w:color w:val="0C0C0C"/>
          <w:w w:val="105"/>
          <w:sz w:val="21"/>
        </w:rPr>
        <w:t>basis</w:t>
      </w:r>
      <w:r>
        <w:rPr>
          <w:rFonts w:ascii="Arial"/>
          <w:color w:val="0C0C0C"/>
          <w:spacing w:val="-16"/>
          <w:w w:val="105"/>
          <w:sz w:val="21"/>
        </w:rPr>
        <w:t xml:space="preserve"> </w:t>
      </w:r>
      <w:r>
        <w:rPr>
          <w:rFonts w:ascii="Arial"/>
          <w:color w:val="1C1C1C"/>
          <w:w w:val="105"/>
          <w:sz w:val="21"/>
        </w:rPr>
        <w:t>that</w:t>
      </w:r>
      <w:r>
        <w:rPr>
          <w:rFonts w:ascii="Arial"/>
          <w:color w:val="1C1C1C"/>
          <w:spacing w:val="-8"/>
          <w:w w:val="105"/>
          <w:sz w:val="21"/>
        </w:rPr>
        <w:t xml:space="preserve"> </w:t>
      </w:r>
      <w:r>
        <w:rPr>
          <w:rFonts w:ascii="Arial"/>
          <w:color w:val="0C0C0C"/>
          <w:w w:val="105"/>
          <w:sz w:val="21"/>
        </w:rPr>
        <w:t>there</w:t>
      </w:r>
      <w:r>
        <w:rPr>
          <w:rFonts w:ascii="Arial"/>
          <w:color w:val="0C0C0C"/>
          <w:spacing w:val="-1"/>
          <w:w w:val="105"/>
          <w:sz w:val="21"/>
        </w:rPr>
        <w:t xml:space="preserve"> </w:t>
      </w:r>
      <w:r>
        <w:rPr>
          <w:rFonts w:ascii="Arial"/>
          <w:color w:val="1C1C1C"/>
          <w:w w:val="105"/>
          <w:sz w:val="21"/>
        </w:rPr>
        <w:t>was</w:t>
      </w:r>
      <w:r>
        <w:rPr>
          <w:rFonts w:ascii="Arial"/>
          <w:color w:val="1C1C1C"/>
          <w:spacing w:val="-10"/>
          <w:w w:val="105"/>
          <w:sz w:val="21"/>
        </w:rPr>
        <w:t xml:space="preserve"> </w:t>
      </w:r>
      <w:r>
        <w:rPr>
          <w:rFonts w:ascii="Arial"/>
          <w:color w:val="1C1C1C"/>
          <w:w w:val="105"/>
          <w:sz w:val="21"/>
        </w:rPr>
        <w:t>"no</w:t>
      </w:r>
      <w:r>
        <w:rPr>
          <w:rFonts w:ascii="Arial"/>
          <w:color w:val="1C1C1C"/>
          <w:spacing w:val="30"/>
          <w:w w:val="105"/>
          <w:sz w:val="21"/>
        </w:rPr>
        <w:t xml:space="preserve"> </w:t>
      </w:r>
      <w:r>
        <w:rPr>
          <w:rFonts w:ascii="Arial"/>
          <w:color w:val="1C1C1C"/>
          <w:w w:val="105"/>
          <w:sz w:val="21"/>
        </w:rPr>
        <w:t>evidence showing the</w:t>
      </w:r>
      <w:r>
        <w:rPr>
          <w:rFonts w:ascii="Arial"/>
          <w:color w:val="1C1C1C"/>
          <w:spacing w:val="40"/>
          <w:w w:val="105"/>
          <w:sz w:val="21"/>
        </w:rPr>
        <w:t xml:space="preserve"> </w:t>
      </w:r>
      <w:r>
        <w:rPr>
          <w:rFonts w:ascii="Arial"/>
          <w:color w:val="1C1C1C"/>
          <w:w w:val="105"/>
          <w:sz w:val="21"/>
        </w:rPr>
        <w:t>existence of</w:t>
      </w:r>
      <w:r>
        <w:rPr>
          <w:rFonts w:ascii="Arial"/>
          <w:color w:val="1C1C1C"/>
          <w:spacing w:val="40"/>
          <w:w w:val="105"/>
          <w:sz w:val="21"/>
        </w:rPr>
        <w:t xml:space="preserve"> </w:t>
      </w:r>
      <w:r>
        <w:rPr>
          <w:rFonts w:ascii="Arial"/>
          <w:color w:val="0C0C0C"/>
          <w:w w:val="105"/>
          <w:sz w:val="21"/>
        </w:rPr>
        <w:t xml:space="preserve">dumping </w:t>
      </w:r>
      <w:r>
        <w:rPr>
          <w:rFonts w:ascii="Arial"/>
          <w:color w:val="1C1C1C"/>
          <w:w w:val="105"/>
          <w:sz w:val="21"/>
        </w:rPr>
        <w:t>products imported from other countries"</w:t>
      </w:r>
      <w:r>
        <w:rPr>
          <w:rFonts w:ascii="Arial"/>
          <w:color w:val="1C1C1C"/>
          <w:spacing w:val="40"/>
          <w:w w:val="105"/>
          <w:sz w:val="21"/>
        </w:rPr>
        <w:t xml:space="preserve"> </w:t>
      </w:r>
      <w:r>
        <w:rPr>
          <w:rFonts w:ascii="Arial"/>
          <w:color w:val="1C1C1C"/>
          <w:w w:val="105"/>
          <w:sz w:val="21"/>
        </w:rPr>
        <w:t>is inconsistent with Article 3.5.</w:t>
      </w:r>
      <w:r>
        <w:rPr>
          <w:rFonts w:ascii="Times New Roman"/>
          <w:color w:val="1C1C1C"/>
          <w:w w:val="105"/>
          <w:position w:val="7"/>
          <w:sz w:val="16"/>
        </w:rPr>
        <w:t>849</w:t>
      </w:r>
      <w:r>
        <w:rPr>
          <w:rFonts w:ascii="Times New Roman"/>
          <w:color w:val="1C1C1C"/>
          <w:spacing w:val="40"/>
          <w:w w:val="105"/>
          <w:position w:val="7"/>
          <w:sz w:val="16"/>
        </w:rPr>
        <w:t xml:space="preserve"> </w:t>
      </w:r>
      <w:r>
        <w:rPr>
          <w:rFonts w:ascii="Arial"/>
          <w:color w:val="0C0C0C"/>
          <w:w w:val="105"/>
          <w:sz w:val="21"/>
        </w:rPr>
        <w:t xml:space="preserve">Nothing </w:t>
      </w:r>
      <w:r>
        <w:rPr>
          <w:rFonts w:ascii="Arial"/>
          <w:color w:val="1C1C1C"/>
          <w:w w:val="105"/>
          <w:sz w:val="21"/>
        </w:rPr>
        <w:t>in the text of Article</w:t>
      </w:r>
      <w:r>
        <w:rPr>
          <w:rFonts w:ascii="Arial"/>
          <w:color w:val="1C1C1C"/>
          <w:spacing w:val="40"/>
          <w:w w:val="105"/>
          <w:sz w:val="21"/>
        </w:rPr>
        <w:t xml:space="preserve"> </w:t>
      </w:r>
      <w:r>
        <w:rPr>
          <w:rFonts w:ascii="Arial"/>
          <w:color w:val="1C1C1C"/>
          <w:w w:val="105"/>
          <w:sz w:val="21"/>
        </w:rPr>
        <w:t xml:space="preserve">3.5 limits </w:t>
      </w:r>
      <w:r>
        <w:rPr>
          <w:rFonts w:ascii="Arial"/>
          <w:color w:val="0C0C0C"/>
          <w:w w:val="105"/>
          <w:sz w:val="21"/>
        </w:rPr>
        <w:t xml:space="preserve">the </w:t>
      </w:r>
      <w:r>
        <w:rPr>
          <w:rFonts w:ascii="Arial"/>
          <w:color w:val="1C1C1C"/>
          <w:w w:val="105"/>
          <w:sz w:val="21"/>
        </w:rPr>
        <w:t xml:space="preserve">non-attribution analysis to </w:t>
      </w:r>
      <w:r>
        <w:rPr>
          <w:rFonts w:ascii="Arial"/>
          <w:color w:val="0C0C0C"/>
          <w:w w:val="105"/>
          <w:sz w:val="21"/>
        </w:rPr>
        <w:t xml:space="preserve">imports </w:t>
      </w:r>
      <w:r>
        <w:rPr>
          <w:rFonts w:ascii="Arial"/>
          <w:color w:val="1C1C1C"/>
          <w:w w:val="105"/>
          <w:sz w:val="21"/>
        </w:rPr>
        <w:t xml:space="preserve">for which there </w:t>
      </w:r>
      <w:r>
        <w:rPr>
          <w:rFonts w:ascii="Arial"/>
          <w:color w:val="0C0C0C"/>
          <w:w w:val="105"/>
          <w:sz w:val="21"/>
        </w:rPr>
        <w:t xml:space="preserve">is </w:t>
      </w:r>
      <w:r>
        <w:rPr>
          <w:rFonts w:ascii="Arial"/>
          <w:color w:val="1C1C1C"/>
          <w:w w:val="105"/>
          <w:sz w:val="21"/>
        </w:rPr>
        <w:t xml:space="preserve">"evidence showing </w:t>
      </w:r>
      <w:r>
        <w:rPr>
          <w:rFonts w:ascii="Arial"/>
          <w:color w:val="0C0C0C"/>
          <w:w w:val="105"/>
          <w:sz w:val="21"/>
        </w:rPr>
        <w:t xml:space="preserve">the </w:t>
      </w:r>
      <w:r>
        <w:rPr>
          <w:rFonts w:ascii="Arial"/>
          <w:color w:val="1C1C1C"/>
          <w:w w:val="105"/>
          <w:sz w:val="21"/>
        </w:rPr>
        <w:t xml:space="preserve">existence of </w:t>
      </w:r>
      <w:r>
        <w:rPr>
          <w:rFonts w:ascii="Arial"/>
          <w:color w:val="0C0C0C"/>
          <w:w w:val="105"/>
          <w:sz w:val="21"/>
        </w:rPr>
        <w:t xml:space="preserve">dumping". </w:t>
      </w:r>
      <w:r>
        <w:rPr>
          <w:rFonts w:ascii="Arial"/>
          <w:color w:val="1C1C1C"/>
          <w:w w:val="105"/>
          <w:sz w:val="21"/>
        </w:rPr>
        <w:t xml:space="preserve">To </w:t>
      </w:r>
      <w:r>
        <w:rPr>
          <w:rFonts w:ascii="Arial"/>
          <w:color w:val="0C0C0C"/>
          <w:w w:val="105"/>
          <w:sz w:val="21"/>
        </w:rPr>
        <w:t xml:space="preserve">the </w:t>
      </w:r>
      <w:r>
        <w:rPr>
          <w:rFonts w:ascii="Arial"/>
          <w:color w:val="1C1C1C"/>
          <w:w w:val="105"/>
          <w:sz w:val="21"/>
        </w:rPr>
        <w:t>contrary, Article 3.5 expr</w:t>
      </w:r>
      <w:r>
        <w:rPr>
          <w:rFonts w:ascii="Arial"/>
          <w:color w:val="1C1C1C"/>
          <w:w w:val="105"/>
          <w:sz w:val="21"/>
        </w:rPr>
        <w:t xml:space="preserve">essly </w:t>
      </w:r>
      <w:r>
        <w:rPr>
          <w:rFonts w:ascii="Arial"/>
          <w:color w:val="0C0C0C"/>
          <w:w w:val="105"/>
          <w:sz w:val="21"/>
        </w:rPr>
        <w:t xml:space="preserve">provides </w:t>
      </w:r>
      <w:r>
        <w:rPr>
          <w:rFonts w:ascii="Arial"/>
          <w:color w:val="1C1C1C"/>
          <w:w w:val="105"/>
          <w:sz w:val="21"/>
        </w:rPr>
        <w:t xml:space="preserve">that "factors which </w:t>
      </w:r>
      <w:r>
        <w:rPr>
          <w:rFonts w:ascii="Arial"/>
          <w:color w:val="0C0C0C"/>
          <w:w w:val="105"/>
          <w:sz w:val="21"/>
        </w:rPr>
        <w:t xml:space="preserve">may be </w:t>
      </w:r>
      <w:r>
        <w:rPr>
          <w:rFonts w:ascii="Arial"/>
          <w:color w:val="1C1C1C"/>
          <w:w w:val="105"/>
          <w:sz w:val="21"/>
        </w:rPr>
        <w:t xml:space="preserve">relevant include, </w:t>
      </w:r>
      <w:r>
        <w:rPr>
          <w:rFonts w:ascii="Times New Roman"/>
          <w:i/>
          <w:color w:val="1C1C1C"/>
          <w:w w:val="105"/>
          <w:sz w:val="24"/>
        </w:rPr>
        <w:t xml:space="preserve">inter alia, </w:t>
      </w:r>
      <w:r>
        <w:rPr>
          <w:rFonts w:ascii="Arial"/>
          <w:color w:val="1C1C1C"/>
          <w:w w:val="105"/>
          <w:sz w:val="21"/>
        </w:rPr>
        <w:t>the volume</w:t>
      </w:r>
      <w:r>
        <w:rPr>
          <w:rFonts w:ascii="Arial"/>
          <w:color w:val="1C1C1C"/>
          <w:spacing w:val="-16"/>
          <w:w w:val="105"/>
          <w:sz w:val="21"/>
        </w:rPr>
        <w:t xml:space="preserve"> </w:t>
      </w:r>
      <w:r>
        <w:rPr>
          <w:rFonts w:ascii="Arial"/>
          <w:color w:val="1C1C1C"/>
          <w:w w:val="105"/>
          <w:sz w:val="21"/>
        </w:rPr>
        <w:t>and</w:t>
      </w:r>
      <w:r>
        <w:rPr>
          <w:rFonts w:ascii="Arial"/>
          <w:color w:val="1C1C1C"/>
          <w:spacing w:val="-15"/>
          <w:w w:val="105"/>
          <w:sz w:val="21"/>
        </w:rPr>
        <w:t xml:space="preserve"> </w:t>
      </w:r>
      <w:r>
        <w:rPr>
          <w:rFonts w:ascii="Arial"/>
          <w:color w:val="1C1C1C"/>
          <w:w w:val="105"/>
          <w:sz w:val="21"/>
        </w:rPr>
        <w:t>prices</w:t>
      </w:r>
      <w:r>
        <w:rPr>
          <w:rFonts w:ascii="Arial"/>
          <w:color w:val="1C1C1C"/>
          <w:spacing w:val="-15"/>
          <w:w w:val="105"/>
          <w:sz w:val="21"/>
        </w:rPr>
        <w:t xml:space="preserve"> </w:t>
      </w:r>
      <w:r>
        <w:rPr>
          <w:rFonts w:ascii="Arial"/>
          <w:color w:val="1C1C1C"/>
          <w:w w:val="105"/>
          <w:sz w:val="21"/>
        </w:rPr>
        <w:t>of</w:t>
      </w:r>
      <w:r>
        <w:rPr>
          <w:rFonts w:ascii="Arial"/>
          <w:color w:val="1C1C1C"/>
          <w:spacing w:val="-16"/>
          <w:w w:val="105"/>
          <w:sz w:val="21"/>
        </w:rPr>
        <w:t xml:space="preserve"> </w:t>
      </w:r>
      <w:r>
        <w:rPr>
          <w:rFonts w:ascii="Arial"/>
          <w:color w:val="0C0C0C"/>
          <w:w w:val="105"/>
          <w:sz w:val="21"/>
        </w:rPr>
        <w:t>imports</w:t>
      </w:r>
      <w:r>
        <w:rPr>
          <w:rFonts w:ascii="Arial"/>
          <w:color w:val="0C0C0C"/>
          <w:spacing w:val="-15"/>
          <w:w w:val="105"/>
          <w:sz w:val="21"/>
        </w:rPr>
        <w:t xml:space="preserve"> </w:t>
      </w:r>
      <w:r>
        <w:rPr>
          <w:rFonts w:ascii="Arial"/>
          <w:color w:val="1C1C1C"/>
          <w:w w:val="105"/>
          <w:sz w:val="21"/>
        </w:rPr>
        <w:t>not</w:t>
      </w:r>
      <w:r>
        <w:rPr>
          <w:rFonts w:ascii="Arial"/>
          <w:color w:val="1C1C1C"/>
          <w:spacing w:val="-15"/>
          <w:w w:val="105"/>
          <w:sz w:val="21"/>
        </w:rPr>
        <w:t xml:space="preserve"> </w:t>
      </w:r>
      <w:r>
        <w:rPr>
          <w:rFonts w:ascii="Arial"/>
          <w:color w:val="1C1C1C"/>
          <w:w w:val="105"/>
          <w:sz w:val="21"/>
        </w:rPr>
        <w:t>sold</w:t>
      </w:r>
      <w:r>
        <w:rPr>
          <w:rFonts w:ascii="Arial"/>
          <w:color w:val="1C1C1C"/>
          <w:spacing w:val="-16"/>
          <w:w w:val="105"/>
          <w:sz w:val="21"/>
        </w:rPr>
        <w:t xml:space="preserve"> </w:t>
      </w:r>
      <w:r>
        <w:rPr>
          <w:rFonts w:ascii="Arial"/>
          <w:color w:val="1C1C1C"/>
          <w:w w:val="105"/>
          <w:sz w:val="21"/>
        </w:rPr>
        <w:t>at</w:t>
      </w:r>
      <w:r>
        <w:rPr>
          <w:rFonts w:ascii="Arial"/>
          <w:color w:val="1C1C1C"/>
          <w:spacing w:val="-15"/>
          <w:w w:val="105"/>
          <w:sz w:val="21"/>
        </w:rPr>
        <w:t xml:space="preserve"> </w:t>
      </w:r>
      <w:r>
        <w:rPr>
          <w:rFonts w:ascii="Arial"/>
          <w:color w:val="0C0C0C"/>
          <w:w w:val="105"/>
          <w:sz w:val="21"/>
        </w:rPr>
        <w:t>dumping</w:t>
      </w:r>
      <w:r>
        <w:rPr>
          <w:rFonts w:ascii="Arial"/>
          <w:color w:val="0C0C0C"/>
          <w:spacing w:val="-15"/>
          <w:w w:val="105"/>
          <w:sz w:val="21"/>
        </w:rPr>
        <w:t xml:space="preserve"> </w:t>
      </w:r>
      <w:r>
        <w:rPr>
          <w:rFonts w:ascii="Arial"/>
          <w:color w:val="1C1C1C"/>
          <w:w w:val="105"/>
          <w:sz w:val="21"/>
        </w:rPr>
        <w:t>prices".</w:t>
      </w:r>
      <w:r>
        <w:rPr>
          <w:rFonts w:ascii="Arial"/>
          <w:color w:val="1C1C1C"/>
          <w:spacing w:val="-16"/>
          <w:w w:val="105"/>
          <w:sz w:val="21"/>
        </w:rPr>
        <w:t xml:space="preserve"> </w:t>
      </w:r>
      <w:r>
        <w:rPr>
          <w:rFonts w:ascii="Arial"/>
          <w:color w:val="1C1C1C"/>
          <w:w w:val="105"/>
          <w:sz w:val="21"/>
        </w:rPr>
        <w:t>As</w:t>
      </w:r>
      <w:r>
        <w:rPr>
          <w:rFonts w:ascii="Arial"/>
          <w:color w:val="1C1C1C"/>
          <w:spacing w:val="-15"/>
          <w:w w:val="105"/>
          <w:sz w:val="21"/>
        </w:rPr>
        <w:t xml:space="preserve"> </w:t>
      </w:r>
      <w:r>
        <w:rPr>
          <w:rFonts w:ascii="Arial"/>
          <w:color w:val="1C1C1C"/>
          <w:w w:val="105"/>
          <w:sz w:val="21"/>
        </w:rPr>
        <w:t>such,</w:t>
      </w:r>
      <w:r>
        <w:rPr>
          <w:rFonts w:ascii="Arial"/>
          <w:color w:val="1C1C1C"/>
          <w:spacing w:val="-15"/>
          <w:w w:val="105"/>
          <w:sz w:val="21"/>
        </w:rPr>
        <w:t xml:space="preserve"> </w:t>
      </w:r>
      <w:r>
        <w:rPr>
          <w:rFonts w:ascii="Arial"/>
          <w:color w:val="0C0C0C"/>
          <w:w w:val="105"/>
          <w:sz w:val="21"/>
        </w:rPr>
        <w:t>MOFCOM</w:t>
      </w:r>
      <w:r>
        <w:rPr>
          <w:rFonts w:ascii="Arial"/>
          <w:color w:val="0C0C0C"/>
          <w:spacing w:val="-9"/>
          <w:w w:val="105"/>
          <w:sz w:val="21"/>
        </w:rPr>
        <w:t xml:space="preserve"> </w:t>
      </w:r>
      <w:r>
        <w:rPr>
          <w:rFonts w:ascii="Arial"/>
          <w:color w:val="0C0C0C"/>
          <w:w w:val="105"/>
          <w:sz w:val="21"/>
        </w:rPr>
        <w:t>had</w:t>
      </w:r>
      <w:r>
        <w:rPr>
          <w:rFonts w:ascii="Arial"/>
          <w:color w:val="0C0C0C"/>
          <w:spacing w:val="-15"/>
          <w:w w:val="105"/>
          <w:sz w:val="21"/>
        </w:rPr>
        <w:t xml:space="preserve"> </w:t>
      </w:r>
      <w:r>
        <w:rPr>
          <w:rFonts w:ascii="Arial"/>
          <w:color w:val="1C1C1C"/>
          <w:w w:val="105"/>
          <w:sz w:val="21"/>
        </w:rPr>
        <w:t>an</w:t>
      </w:r>
      <w:r>
        <w:rPr>
          <w:rFonts w:ascii="Arial"/>
          <w:color w:val="1C1C1C"/>
          <w:spacing w:val="-16"/>
          <w:w w:val="105"/>
          <w:sz w:val="21"/>
        </w:rPr>
        <w:t xml:space="preserve"> </w:t>
      </w:r>
      <w:r>
        <w:rPr>
          <w:rFonts w:ascii="Arial"/>
          <w:color w:val="1C1C1C"/>
          <w:w w:val="105"/>
          <w:sz w:val="21"/>
        </w:rPr>
        <w:t>obligation to</w:t>
      </w:r>
      <w:r>
        <w:rPr>
          <w:rFonts w:ascii="Arial"/>
          <w:color w:val="1C1C1C"/>
          <w:spacing w:val="36"/>
          <w:w w:val="105"/>
          <w:sz w:val="21"/>
        </w:rPr>
        <w:t xml:space="preserve"> </w:t>
      </w:r>
      <w:r>
        <w:rPr>
          <w:rFonts w:ascii="Arial"/>
          <w:color w:val="1C1C1C"/>
          <w:w w:val="105"/>
          <w:sz w:val="21"/>
        </w:rPr>
        <w:t>consider</w:t>
      </w:r>
      <w:r>
        <w:rPr>
          <w:rFonts w:ascii="Arial"/>
          <w:color w:val="1C1C1C"/>
          <w:spacing w:val="-8"/>
          <w:w w:val="105"/>
          <w:sz w:val="21"/>
        </w:rPr>
        <w:t xml:space="preserve"> </w:t>
      </w:r>
      <w:r>
        <w:rPr>
          <w:rFonts w:ascii="Arial"/>
          <w:color w:val="0C0C0C"/>
          <w:w w:val="105"/>
          <w:sz w:val="21"/>
        </w:rPr>
        <w:t>the</w:t>
      </w:r>
      <w:r>
        <w:rPr>
          <w:rFonts w:ascii="Arial"/>
          <w:color w:val="0C0C0C"/>
          <w:spacing w:val="34"/>
          <w:w w:val="105"/>
          <w:sz w:val="21"/>
        </w:rPr>
        <w:t xml:space="preserve"> </w:t>
      </w:r>
      <w:r>
        <w:rPr>
          <w:rFonts w:ascii="Arial"/>
          <w:color w:val="0C0C0C"/>
          <w:w w:val="105"/>
          <w:sz w:val="21"/>
        </w:rPr>
        <w:t>impact</w:t>
      </w:r>
      <w:r>
        <w:rPr>
          <w:rFonts w:ascii="Arial"/>
          <w:color w:val="0C0C0C"/>
          <w:spacing w:val="-6"/>
          <w:w w:val="105"/>
          <w:sz w:val="21"/>
        </w:rPr>
        <w:t xml:space="preserve"> </w:t>
      </w:r>
      <w:r>
        <w:rPr>
          <w:rFonts w:ascii="Arial"/>
          <w:color w:val="1C1C1C"/>
          <w:w w:val="105"/>
          <w:sz w:val="21"/>
        </w:rPr>
        <w:t>of imports</w:t>
      </w:r>
      <w:r>
        <w:rPr>
          <w:rFonts w:ascii="Arial"/>
          <w:color w:val="1C1C1C"/>
          <w:spacing w:val="-9"/>
          <w:w w:val="105"/>
          <w:sz w:val="21"/>
        </w:rPr>
        <w:t xml:space="preserve"> </w:t>
      </w:r>
      <w:r>
        <w:rPr>
          <w:rFonts w:ascii="Arial"/>
          <w:color w:val="1C1C1C"/>
          <w:w w:val="105"/>
          <w:sz w:val="21"/>
        </w:rPr>
        <w:t>from</w:t>
      </w:r>
      <w:r>
        <w:rPr>
          <w:rFonts w:ascii="Arial"/>
          <w:color w:val="1C1C1C"/>
          <w:spacing w:val="-9"/>
          <w:w w:val="105"/>
          <w:sz w:val="21"/>
        </w:rPr>
        <w:t xml:space="preserve"> </w:t>
      </w:r>
      <w:r>
        <w:rPr>
          <w:rFonts w:ascii="Arial"/>
          <w:color w:val="0C0C0C"/>
          <w:w w:val="105"/>
          <w:sz w:val="21"/>
        </w:rPr>
        <w:t>third</w:t>
      </w:r>
      <w:r>
        <w:rPr>
          <w:rFonts w:ascii="Arial"/>
          <w:color w:val="0C0C0C"/>
          <w:spacing w:val="-10"/>
          <w:w w:val="105"/>
          <w:sz w:val="21"/>
        </w:rPr>
        <w:t xml:space="preserve"> </w:t>
      </w:r>
      <w:r>
        <w:rPr>
          <w:rFonts w:ascii="Arial"/>
          <w:color w:val="1C1C1C"/>
          <w:w w:val="105"/>
          <w:sz w:val="21"/>
        </w:rPr>
        <w:t>countries on</w:t>
      </w:r>
      <w:r>
        <w:rPr>
          <w:rFonts w:ascii="Arial"/>
          <w:color w:val="1C1C1C"/>
          <w:spacing w:val="-5"/>
          <w:w w:val="105"/>
          <w:sz w:val="21"/>
        </w:rPr>
        <w:t xml:space="preserve"> </w:t>
      </w:r>
      <w:r>
        <w:rPr>
          <w:rFonts w:ascii="Arial"/>
          <w:color w:val="1C1C1C"/>
          <w:w w:val="105"/>
          <w:sz w:val="21"/>
        </w:rPr>
        <w:t>the</w:t>
      </w:r>
      <w:r>
        <w:rPr>
          <w:rFonts w:ascii="Arial"/>
          <w:color w:val="1C1C1C"/>
          <w:spacing w:val="36"/>
          <w:w w:val="105"/>
          <w:sz w:val="21"/>
        </w:rPr>
        <w:t xml:space="preserve"> </w:t>
      </w:r>
      <w:r>
        <w:rPr>
          <w:rFonts w:ascii="Arial"/>
          <w:color w:val="1C1C1C"/>
          <w:w w:val="105"/>
          <w:sz w:val="21"/>
        </w:rPr>
        <w:t xml:space="preserve">domestic </w:t>
      </w:r>
      <w:r>
        <w:rPr>
          <w:rFonts w:ascii="Arial"/>
          <w:color w:val="0C0C0C"/>
          <w:w w:val="105"/>
          <w:sz w:val="21"/>
        </w:rPr>
        <w:t>industry,</w:t>
      </w:r>
      <w:r>
        <w:rPr>
          <w:rFonts w:ascii="Arial"/>
          <w:color w:val="0C0C0C"/>
          <w:spacing w:val="-5"/>
          <w:w w:val="105"/>
          <w:sz w:val="21"/>
        </w:rPr>
        <w:t xml:space="preserve"> </w:t>
      </w:r>
      <w:r>
        <w:rPr>
          <w:rFonts w:ascii="Arial"/>
          <w:color w:val="1C1C1C"/>
          <w:w w:val="105"/>
          <w:sz w:val="21"/>
        </w:rPr>
        <w:t>regardless of</w:t>
      </w:r>
    </w:p>
    <w:p w14:paraId="51DE9312" w14:textId="77777777" w:rsidR="0010369C" w:rsidRDefault="008E43AE">
      <w:pPr>
        <w:spacing w:before="30"/>
        <w:ind w:left="237"/>
        <w:jc w:val="both"/>
        <w:rPr>
          <w:rFonts w:ascii="Arial"/>
          <w:sz w:val="21"/>
        </w:rPr>
      </w:pPr>
      <w:r>
        <w:rPr>
          <w:rFonts w:ascii="Arial"/>
          <w:color w:val="1C1C1C"/>
          <w:w w:val="105"/>
          <w:sz w:val="21"/>
        </w:rPr>
        <w:t>any</w:t>
      </w:r>
      <w:r>
        <w:rPr>
          <w:rFonts w:ascii="Arial"/>
          <w:color w:val="1C1C1C"/>
          <w:spacing w:val="-6"/>
          <w:w w:val="105"/>
          <w:sz w:val="21"/>
        </w:rPr>
        <w:t xml:space="preserve"> </w:t>
      </w:r>
      <w:r>
        <w:rPr>
          <w:rFonts w:ascii="Arial"/>
          <w:color w:val="1C1C1C"/>
          <w:w w:val="105"/>
          <w:sz w:val="21"/>
        </w:rPr>
        <w:t>question</w:t>
      </w:r>
      <w:r>
        <w:rPr>
          <w:rFonts w:ascii="Arial"/>
          <w:color w:val="1C1C1C"/>
          <w:spacing w:val="1"/>
          <w:w w:val="105"/>
          <w:sz w:val="21"/>
        </w:rPr>
        <w:t xml:space="preserve"> </w:t>
      </w:r>
      <w:r>
        <w:rPr>
          <w:rFonts w:ascii="Arial"/>
          <w:color w:val="1C1C1C"/>
          <w:w w:val="105"/>
          <w:sz w:val="21"/>
        </w:rPr>
        <w:t>as</w:t>
      </w:r>
      <w:r>
        <w:rPr>
          <w:rFonts w:ascii="Arial"/>
          <w:color w:val="1C1C1C"/>
          <w:spacing w:val="-11"/>
          <w:w w:val="105"/>
          <w:sz w:val="21"/>
        </w:rPr>
        <w:t xml:space="preserve"> </w:t>
      </w:r>
      <w:r>
        <w:rPr>
          <w:rFonts w:ascii="Arial"/>
          <w:color w:val="1C1C1C"/>
          <w:w w:val="105"/>
          <w:sz w:val="21"/>
        </w:rPr>
        <w:t>to</w:t>
      </w:r>
      <w:r>
        <w:rPr>
          <w:rFonts w:ascii="Arial"/>
          <w:color w:val="1C1C1C"/>
          <w:spacing w:val="42"/>
          <w:w w:val="105"/>
          <w:sz w:val="21"/>
        </w:rPr>
        <w:t xml:space="preserve"> </w:t>
      </w:r>
      <w:r>
        <w:rPr>
          <w:rFonts w:ascii="Arial"/>
          <w:color w:val="1C1C1C"/>
          <w:w w:val="105"/>
          <w:sz w:val="21"/>
        </w:rPr>
        <w:t>whether</w:t>
      </w:r>
      <w:r>
        <w:rPr>
          <w:rFonts w:ascii="Arial"/>
          <w:color w:val="1C1C1C"/>
          <w:spacing w:val="4"/>
          <w:w w:val="105"/>
          <w:sz w:val="21"/>
        </w:rPr>
        <w:t xml:space="preserve"> </w:t>
      </w:r>
      <w:r>
        <w:rPr>
          <w:rFonts w:ascii="Arial"/>
          <w:color w:val="1C1C1C"/>
          <w:w w:val="105"/>
          <w:sz w:val="21"/>
        </w:rPr>
        <w:t>those</w:t>
      </w:r>
      <w:r>
        <w:rPr>
          <w:rFonts w:ascii="Arial"/>
          <w:color w:val="1C1C1C"/>
          <w:spacing w:val="5"/>
          <w:w w:val="105"/>
          <w:sz w:val="21"/>
        </w:rPr>
        <w:t xml:space="preserve"> </w:t>
      </w:r>
      <w:r>
        <w:rPr>
          <w:rFonts w:ascii="Arial"/>
          <w:color w:val="0C0C0C"/>
          <w:w w:val="105"/>
          <w:sz w:val="21"/>
        </w:rPr>
        <w:t>imports</w:t>
      </w:r>
      <w:r>
        <w:rPr>
          <w:rFonts w:ascii="Arial"/>
          <w:color w:val="0C0C0C"/>
          <w:spacing w:val="-8"/>
          <w:w w:val="105"/>
          <w:sz w:val="21"/>
        </w:rPr>
        <w:t xml:space="preserve"> </w:t>
      </w:r>
      <w:r>
        <w:rPr>
          <w:rFonts w:ascii="Arial"/>
          <w:color w:val="0C0C0C"/>
          <w:w w:val="105"/>
          <w:sz w:val="21"/>
        </w:rPr>
        <w:t>might</w:t>
      </w:r>
      <w:r>
        <w:rPr>
          <w:rFonts w:ascii="Arial"/>
          <w:color w:val="0C0C0C"/>
          <w:spacing w:val="-3"/>
          <w:w w:val="105"/>
          <w:sz w:val="21"/>
        </w:rPr>
        <w:t xml:space="preserve"> </w:t>
      </w:r>
      <w:r>
        <w:rPr>
          <w:rFonts w:ascii="Arial"/>
          <w:color w:val="0C0C0C"/>
          <w:w w:val="105"/>
          <w:sz w:val="21"/>
        </w:rPr>
        <w:t>have</w:t>
      </w:r>
      <w:r>
        <w:rPr>
          <w:rFonts w:ascii="Arial"/>
          <w:color w:val="0C0C0C"/>
          <w:spacing w:val="-6"/>
          <w:w w:val="105"/>
          <w:sz w:val="21"/>
        </w:rPr>
        <w:t xml:space="preserve"> </w:t>
      </w:r>
      <w:r>
        <w:rPr>
          <w:rFonts w:ascii="Arial"/>
          <w:color w:val="0C0C0C"/>
          <w:w w:val="105"/>
          <w:sz w:val="21"/>
        </w:rPr>
        <w:t>been</w:t>
      </w:r>
      <w:r>
        <w:rPr>
          <w:rFonts w:ascii="Arial"/>
          <w:color w:val="0C0C0C"/>
          <w:spacing w:val="-6"/>
          <w:w w:val="105"/>
          <w:sz w:val="21"/>
        </w:rPr>
        <w:t xml:space="preserve"> </w:t>
      </w:r>
      <w:r>
        <w:rPr>
          <w:rFonts w:ascii="Arial"/>
          <w:color w:val="0C0C0C"/>
          <w:spacing w:val="-2"/>
          <w:w w:val="105"/>
          <w:sz w:val="21"/>
        </w:rPr>
        <w:t>dumped.</w:t>
      </w:r>
    </w:p>
    <w:p w14:paraId="51DE9313" w14:textId="77777777" w:rsidR="0010369C" w:rsidRDefault="0010369C">
      <w:pPr>
        <w:pStyle w:val="BodyText"/>
        <w:spacing w:before="1"/>
        <w:rPr>
          <w:rFonts w:ascii="Arial"/>
        </w:rPr>
      </w:pPr>
    </w:p>
    <w:p w14:paraId="51DE9314" w14:textId="77777777" w:rsidR="0010369C" w:rsidRDefault="008E43AE">
      <w:pPr>
        <w:spacing w:before="93"/>
        <w:ind w:left="1325" w:right="2465"/>
        <w:jc w:val="center"/>
        <w:rPr>
          <w:rFonts w:ascii="Arial"/>
          <w:sz w:val="21"/>
        </w:rPr>
      </w:pPr>
      <w:r>
        <w:rPr>
          <w:rFonts w:ascii="Arial"/>
          <w:color w:val="0C0C0C"/>
          <w:spacing w:val="-2"/>
          <w:sz w:val="21"/>
          <w:u w:val="thick" w:color="1C1C1C"/>
        </w:rPr>
        <w:t>Exchange</w:t>
      </w:r>
      <w:r>
        <w:rPr>
          <w:rFonts w:ascii="Arial"/>
          <w:color w:val="0C0C0C"/>
          <w:spacing w:val="-1"/>
          <w:sz w:val="21"/>
          <w:u w:val="thick" w:color="1C1C1C"/>
        </w:rPr>
        <w:t xml:space="preserve"> </w:t>
      </w:r>
      <w:r>
        <w:rPr>
          <w:rFonts w:ascii="Arial"/>
          <w:color w:val="1C1C1C"/>
          <w:spacing w:val="-2"/>
          <w:sz w:val="21"/>
          <w:u w:val="thick" w:color="1C1C1C"/>
        </w:rPr>
        <w:t>rates</w:t>
      </w:r>
    </w:p>
    <w:p w14:paraId="51DE9315" w14:textId="77777777" w:rsidR="0010369C" w:rsidRDefault="0010369C">
      <w:pPr>
        <w:pStyle w:val="BodyText"/>
        <w:spacing w:before="1"/>
        <w:rPr>
          <w:rFonts w:ascii="Arial"/>
          <w:sz w:val="28"/>
        </w:rPr>
      </w:pPr>
    </w:p>
    <w:p w14:paraId="51DE9316" w14:textId="77777777" w:rsidR="0010369C" w:rsidRDefault="008E43AE">
      <w:pPr>
        <w:pStyle w:val="ListParagraph"/>
        <w:numPr>
          <w:ilvl w:val="0"/>
          <w:numId w:val="39"/>
        </w:numPr>
        <w:tabs>
          <w:tab w:val="left" w:pos="1087"/>
          <w:tab w:val="left" w:pos="1089"/>
        </w:tabs>
        <w:spacing w:before="0" w:line="393" w:lineRule="auto"/>
        <w:ind w:right="577" w:hanging="1"/>
        <w:rPr>
          <w:rFonts w:ascii="Times New Roman"/>
          <w:color w:val="1C1C1C"/>
          <w:sz w:val="24"/>
        </w:rPr>
      </w:pPr>
      <w:r>
        <w:rPr>
          <w:rFonts w:ascii="Arial"/>
          <w:color w:val="0C0C0C"/>
          <w:w w:val="105"/>
          <w:sz w:val="21"/>
        </w:rPr>
        <w:t>In</w:t>
      </w:r>
      <w:r>
        <w:rPr>
          <w:rFonts w:ascii="Arial"/>
          <w:color w:val="0C0C0C"/>
          <w:spacing w:val="-16"/>
          <w:w w:val="105"/>
          <w:sz w:val="21"/>
        </w:rPr>
        <w:t xml:space="preserve"> </w:t>
      </w:r>
      <w:r>
        <w:rPr>
          <w:rFonts w:ascii="Arial"/>
          <w:color w:val="1C1C1C"/>
          <w:w w:val="105"/>
          <w:sz w:val="21"/>
        </w:rPr>
        <w:t xml:space="preserve">the </w:t>
      </w:r>
      <w:r>
        <w:rPr>
          <w:rFonts w:ascii="Arial"/>
          <w:color w:val="0C0C0C"/>
          <w:w w:val="105"/>
          <w:sz w:val="21"/>
        </w:rPr>
        <w:t>Final</w:t>
      </w:r>
      <w:r>
        <w:rPr>
          <w:rFonts w:ascii="Arial"/>
          <w:color w:val="0C0C0C"/>
          <w:spacing w:val="-18"/>
          <w:w w:val="105"/>
          <w:sz w:val="21"/>
        </w:rPr>
        <w:t xml:space="preserve"> </w:t>
      </w:r>
      <w:r>
        <w:rPr>
          <w:rFonts w:ascii="Arial"/>
          <w:color w:val="1C1C1C"/>
          <w:w w:val="105"/>
          <w:sz w:val="21"/>
        </w:rPr>
        <w:t>Determination,</w:t>
      </w:r>
      <w:r>
        <w:rPr>
          <w:rFonts w:ascii="Arial"/>
          <w:color w:val="0C0C0C"/>
          <w:w w:val="105"/>
          <w:sz w:val="21"/>
        </w:rPr>
        <w:t>MOFCOM</w:t>
      </w:r>
      <w:r>
        <w:rPr>
          <w:rFonts w:ascii="Arial"/>
          <w:color w:val="0C0C0C"/>
          <w:spacing w:val="-12"/>
          <w:w w:val="105"/>
          <w:sz w:val="21"/>
        </w:rPr>
        <w:t xml:space="preserve"> </w:t>
      </w:r>
      <w:r>
        <w:rPr>
          <w:rFonts w:ascii="Arial"/>
          <w:color w:val="1C1C1C"/>
          <w:w w:val="105"/>
          <w:sz w:val="21"/>
        </w:rPr>
        <w:t>dismissed</w:t>
      </w:r>
      <w:r>
        <w:rPr>
          <w:rFonts w:ascii="Arial"/>
          <w:color w:val="1C1C1C"/>
          <w:spacing w:val="-7"/>
          <w:w w:val="105"/>
          <w:sz w:val="21"/>
        </w:rPr>
        <w:t xml:space="preserve"> </w:t>
      </w:r>
      <w:r>
        <w:rPr>
          <w:rFonts w:ascii="Arial"/>
          <w:color w:val="1C1C1C"/>
          <w:w w:val="105"/>
          <w:sz w:val="21"/>
        </w:rPr>
        <w:t>exchange</w:t>
      </w:r>
      <w:r>
        <w:rPr>
          <w:rFonts w:ascii="Arial"/>
          <w:color w:val="1C1C1C"/>
          <w:spacing w:val="-9"/>
          <w:w w:val="105"/>
          <w:sz w:val="21"/>
        </w:rPr>
        <w:t xml:space="preserve"> </w:t>
      </w:r>
      <w:r>
        <w:rPr>
          <w:rFonts w:ascii="Arial"/>
          <w:color w:val="1C1C1C"/>
          <w:w w:val="105"/>
          <w:sz w:val="21"/>
        </w:rPr>
        <w:t>rate</w:t>
      </w:r>
      <w:r>
        <w:rPr>
          <w:rFonts w:ascii="Arial"/>
          <w:color w:val="1C1C1C"/>
          <w:spacing w:val="-24"/>
          <w:w w:val="105"/>
          <w:sz w:val="21"/>
        </w:rPr>
        <w:t xml:space="preserve"> </w:t>
      </w:r>
      <w:r>
        <w:rPr>
          <w:rFonts w:ascii="Arial"/>
          <w:color w:val="1C1C1C"/>
          <w:w w:val="105"/>
          <w:sz w:val="21"/>
        </w:rPr>
        <w:t>fluctuations</w:t>
      </w:r>
      <w:r>
        <w:rPr>
          <w:rFonts w:ascii="Arial"/>
          <w:color w:val="1C1C1C"/>
          <w:spacing w:val="-5"/>
          <w:w w:val="105"/>
          <w:sz w:val="21"/>
        </w:rPr>
        <w:t xml:space="preserve"> </w:t>
      </w:r>
      <w:r>
        <w:rPr>
          <w:rFonts w:ascii="Arial"/>
          <w:color w:val="1C1C1C"/>
          <w:w w:val="105"/>
          <w:sz w:val="21"/>
        </w:rPr>
        <w:t>as</w:t>
      </w:r>
      <w:r>
        <w:rPr>
          <w:rFonts w:ascii="Arial"/>
          <w:color w:val="1C1C1C"/>
          <w:spacing w:val="-29"/>
          <w:w w:val="105"/>
          <w:sz w:val="21"/>
        </w:rPr>
        <w:t xml:space="preserve"> </w:t>
      </w:r>
      <w:r>
        <w:rPr>
          <w:rFonts w:ascii="Arial"/>
          <w:color w:val="1C1C1C"/>
          <w:w w:val="105"/>
          <w:sz w:val="21"/>
        </w:rPr>
        <w:t>a</w:t>
      </w:r>
      <w:r>
        <w:rPr>
          <w:rFonts w:ascii="Arial"/>
          <w:color w:val="1C1C1C"/>
          <w:spacing w:val="-15"/>
          <w:w w:val="105"/>
          <w:sz w:val="21"/>
        </w:rPr>
        <w:t xml:space="preserve"> </w:t>
      </w:r>
      <w:r>
        <w:rPr>
          <w:rFonts w:ascii="Arial"/>
          <w:color w:val="1C1C1C"/>
          <w:w w:val="105"/>
          <w:sz w:val="21"/>
        </w:rPr>
        <w:t xml:space="preserve">factor causing </w:t>
      </w:r>
      <w:r>
        <w:rPr>
          <w:rFonts w:ascii="Arial"/>
          <w:color w:val="1C1C1C"/>
          <w:w w:val="110"/>
          <w:sz w:val="21"/>
        </w:rPr>
        <w:t>injury</w:t>
      </w:r>
      <w:r>
        <w:rPr>
          <w:rFonts w:ascii="Arial"/>
          <w:color w:val="1C1C1C"/>
          <w:spacing w:val="-16"/>
          <w:w w:val="110"/>
          <w:sz w:val="21"/>
        </w:rPr>
        <w:t xml:space="preserve"> </w:t>
      </w:r>
      <w:r>
        <w:rPr>
          <w:rFonts w:ascii="Arial"/>
          <w:color w:val="1C1C1C"/>
          <w:w w:val="110"/>
          <w:sz w:val="21"/>
        </w:rPr>
        <w:t>to the</w:t>
      </w:r>
      <w:r>
        <w:rPr>
          <w:rFonts w:ascii="Arial"/>
          <w:color w:val="1C1C1C"/>
          <w:spacing w:val="-11"/>
          <w:w w:val="110"/>
          <w:sz w:val="21"/>
        </w:rPr>
        <w:t xml:space="preserve"> </w:t>
      </w:r>
      <w:r>
        <w:rPr>
          <w:rFonts w:ascii="Arial"/>
          <w:color w:val="1C1C1C"/>
          <w:w w:val="110"/>
          <w:sz w:val="21"/>
        </w:rPr>
        <w:t>domestic industry</w:t>
      </w:r>
      <w:r>
        <w:rPr>
          <w:rFonts w:ascii="Arial"/>
          <w:color w:val="1C1C1C"/>
          <w:spacing w:val="-3"/>
          <w:w w:val="110"/>
          <w:sz w:val="21"/>
        </w:rPr>
        <w:t xml:space="preserve"> </w:t>
      </w:r>
      <w:r>
        <w:rPr>
          <w:rFonts w:ascii="Arial"/>
          <w:color w:val="1C1C1C"/>
          <w:w w:val="110"/>
          <w:sz w:val="21"/>
        </w:rPr>
        <w:t>on</w:t>
      </w:r>
      <w:r>
        <w:rPr>
          <w:rFonts w:ascii="Arial"/>
          <w:color w:val="1C1C1C"/>
          <w:spacing w:val="-9"/>
          <w:w w:val="110"/>
          <w:sz w:val="21"/>
        </w:rPr>
        <w:t xml:space="preserve"> </w:t>
      </w:r>
      <w:r>
        <w:rPr>
          <w:rFonts w:ascii="Arial"/>
          <w:color w:val="1C1C1C"/>
          <w:w w:val="110"/>
          <w:sz w:val="21"/>
        </w:rPr>
        <w:t xml:space="preserve">the same </w:t>
      </w:r>
      <w:r>
        <w:rPr>
          <w:rFonts w:ascii="Arial"/>
          <w:color w:val="0C0C0C"/>
          <w:w w:val="110"/>
          <w:sz w:val="21"/>
        </w:rPr>
        <w:t>basis</w:t>
      </w:r>
      <w:r>
        <w:rPr>
          <w:rFonts w:ascii="Arial"/>
          <w:color w:val="0C0C0C"/>
          <w:spacing w:val="-3"/>
          <w:w w:val="110"/>
          <w:sz w:val="21"/>
        </w:rPr>
        <w:t xml:space="preserve"> </w:t>
      </w:r>
      <w:r>
        <w:rPr>
          <w:rFonts w:ascii="Arial"/>
          <w:color w:val="1C1C1C"/>
          <w:w w:val="110"/>
          <w:sz w:val="21"/>
        </w:rPr>
        <w:t>as</w:t>
      </w:r>
      <w:r>
        <w:rPr>
          <w:rFonts w:ascii="Arial"/>
          <w:color w:val="1C1C1C"/>
          <w:spacing w:val="-15"/>
          <w:w w:val="110"/>
          <w:sz w:val="21"/>
        </w:rPr>
        <w:t xml:space="preserve"> </w:t>
      </w:r>
      <w:r>
        <w:rPr>
          <w:rFonts w:ascii="Arial"/>
          <w:color w:val="1C1C1C"/>
          <w:w w:val="110"/>
          <w:sz w:val="21"/>
        </w:rPr>
        <w:t>tariff</w:t>
      </w:r>
      <w:r>
        <w:rPr>
          <w:rFonts w:ascii="Arial"/>
          <w:color w:val="1C1C1C"/>
          <w:spacing w:val="-6"/>
          <w:w w:val="110"/>
          <w:sz w:val="21"/>
        </w:rPr>
        <w:t xml:space="preserve"> </w:t>
      </w:r>
      <w:r>
        <w:rPr>
          <w:rFonts w:ascii="Arial"/>
          <w:color w:val="1C1C1C"/>
          <w:w w:val="110"/>
          <w:sz w:val="21"/>
        </w:rPr>
        <w:t>reductions.</w:t>
      </w:r>
      <w:r>
        <w:rPr>
          <w:rFonts w:ascii="Arial"/>
          <w:color w:val="1C1C1C"/>
          <w:w w:val="110"/>
          <w:position w:val="7"/>
          <w:sz w:val="14"/>
        </w:rPr>
        <w:t>850</w:t>
      </w:r>
      <w:r>
        <w:rPr>
          <w:rFonts w:ascii="Arial"/>
          <w:color w:val="1C1C1C"/>
          <w:spacing w:val="26"/>
          <w:w w:val="110"/>
          <w:position w:val="7"/>
          <w:sz w:val="14"/>
        </w:rPr>
        <w:t xml:space="preserve"> </w:t>
      </w:r>
      <w:r>
        <w:rPr>
          <w:rFonts w:ascii="Arial"/>
          <w:color w:val="1C1C1C"/>
          <w:w w:val="110"/>
          <w:sz w:val="21"/>
        </w:rPr>
        <w:t>As</w:t>
      </w:r>
      <w:r>
        <w:rPr>
          <w:rFonts w:ascii="Arial"/>
          <w:color w:val="1C1C1C"/>
          <w:spacing w:val="-17"/>
          <w:w w:val="110"/>
          <w:sz w:val="21"/>
        </w:rPr>
        <w:t xml:space="preserve"> </w:t>
      </w:r>
      <w:r>
        <w:rPr>
          <w:rFonts w:ascii="Arial"/>
          <w:color w:val="1C1C1C"/>
          <w:w w:val="110"/>
          <w:sz w:val="21"/>
        </w:rPr>
        <w:t>a</w:t>
      </w:r>
      <w:r>
        <w:rPr>
          <w:rFonts w:ascii="Arial"/>
          <w:color w:val="1C1C1C"/>
          <w:spacing w:val="-9"/>
          <w:w w:val="110"/>
          <w:sz w:val="21"/>
        </w:rPr>
        <w:t xml:space="preserve"> </w:t>
      </w:r>
      <w:r>
        <w:rPr>
          <w:rFonts w:ascii="Arial"/>
          <w:color w:val="0C0C0C"/>
          <w:w w:val="110"/>
          <w:sz w:val="21"/>
        </w:rPr>
        <w:t>result,</w:t>
      </w:r>
    </w:p>
    <w:p w14:paraId="51DE9317" w14:textId="77777777" w:rsidR="0010369C" w:rsidRDefault="0010369C">
      <w:pPr>
        <w:pStyle w:val="BodyText"/>
        <w:rPr>
          <w:rFonts w:ascii="Arial"/>
          <w:sz w:val="20"/>
        </w:rPr>
      </w:pPr>
    </w:p>
    <w:p w14:paraId="51DE9318" w14:textId="77777777" w:rsidR="0010369C" w:rsidRDefault="0010369C">
      <w:pPr>
        <w:pStyle w:val="BodyText"/>
        <w:rPr>
          <w:rFonts w:ascii="Arial"/>
          <w:sz w:val="20"/>
        </w:rPr>
      </w:pPr>
    </w:p>
    <w:p w14:paraId="51DE9319" w14:textId="77777777" w:rsidR="0010369C" w:rsidRDefault="0010369C">
      <w:pPr>
        <w:pStyle w:val="BodyText"/>
        <w:rPr>
          <w:rFonts w:ascii="Arial"/>
          <w:sz w:val="20"/>
        </w:rPr>
      </w:pPr>
    </w:p>
    <w:p w14:paraId="51DE931A" w14:textId="77777777" w:rsidR="0010369C" w:rsidRDefault="0010369C">
      <w:pPr>
        <w:pStyle w:val="BodyText"/>
        <w:rPr>
          <w:rFonts w:ascii="Arial"/>
          <w:sz w:val="20"/>
        </w:rPr>
      </w:pPr>
    </w:p>
    <w:p w14:paraId="51DE931B" w14:textId="77777777" w:rsidR="0010369C" w:rsidRDefault="0010369C">
      <w:pPr>
        <w:pStyle w:val="BodyText"/>
        <w:spacing w:before="4"/>
        <w:rPr>
          <w:rFonts w:ascii="Arial"/>
          <w:sz w:val="23"/>
        </w:rPr>
      </w:pPr>
    </w:p>
    <w:p w14:paraId="51DE931C" w14:textId="77777777" w:rsidR="0010369C" w:rsidRDefault="0010369C">
      <w:pPr>
        <w:rPr>
          <w:rFonts w:ascii="Arial"/>
          <w:sz w:val="23"/>
        </w:rPr>
        <w:sectPr w:rsidR="0010369C">
          <w:pgSz w:w="11910" w:h="16840"/>
          <w:pgMar w:top="820" w:right="800" w:bottom="1020" w:left="1180" w:header="491" w:footer="814" w:gutter="0"/>
          <w:cols w:space="720"/>
        </w:sectPr>
      </w:pPr>
    </w:p>
    <w:p w14:paraId="51DE931D" w14:textId="77777777" w:rsidR="0010369C" w:rsidRDefault="008E43AE">
      <w:pPr>
        <w:spacing w:before="86" w:line="498" w:lineRule="exact"/>
        <w:ind w:left="162"/>
        <w:rPr>
          <w:rFonts w:ascii="Arial"/>
          <w:sz w:val="11"/>
        </w:rPr>
      </w:pPr>
      <w:r>
        <w:rPr>
          <w:rFonts w:ascii="Arial"/>
          <w:color w:val="0C0C0C"/>
          <w:spacing w:val="-8"/>
          <w:w w:val="66"/>
          <w:position w:val="-23"/>
          <w:sz w:val="45"/>
        </w:rPr>
        <w:lastRenderedPageBreak/>
        <w:t>I</w:t>
      </w:r>
      <w:r>
        <w:rPr>
          <w:rFonts w:ascii="Arial"/>
          <w:color w:val="313131"/>
          <w:spacing w:val="-56"/>
          <w:w w:val="104"/>
          <w:sz w:val="11"/>
        </w:rPr>
        <w:t>8</w:t>
      </w:r>
      <w:r>
        <w:rPr>
          <w:rFonts w:ascii="Arial"/>
          <w:color w:val="0C0C0C"/>
          <w:spacing w:val="-98"/>
          <w:w w:val="66"/>
          <w:position w:val="-23"/>
          <w:sz w:val="45"/>
        </w:rPr>
        <w:t>J</w:t>
      </w:r>
      <w:r>
        <w:rPr>
          <w:rFonts w:ascii="Arial"/>
          <w:color w:val="313131"/>
          <w:w w:val="104"/>
          <w:sz w:val="11"/>
        </w:rPr>
        <w:t>4</w:t>
      </w:r>
      <w:r>
        <w:rPr>
          <w:rFonts w:ascii="Arial"/>
          <w:color w:val="313131"/>
          <w:spacing w:val="-32"/>
          <w:w w:val="104"/>
          <w:sz w:val="11"/>
        </w:rPr>
        <w:t>8</w:t>
      </w:r>
      <w:r>
        <w:rPr>
          <w:rFonts w:ascii="Arial"/>
          <w:color w:val="0C0C0C"/>
          <w:spacing w:val="-22"/>
          <w:w w:val="66"/>
          <w:position w:val="-23"/>
          <w:sz w:val="45"/>
        </w:rPr>
        <w:t>I</w:t>
      </w:r>
      <w:r>
        <w:rPr>
          <w:rFonts w:ascii="Arial"/>
          <w:color w:val="1C1C1C"/>
          <w:w w:val="104"/>
          <w:sz w:val="11"/>
        </w:rPr>
        <w:t>[</w:t>
      </w:r>
      <w:r>
        <w:rPr>
          <w:rFonts w:ascii="Arial"/>
          <w:color w:val="1C1C1C"/>
          <w:spacing w:val="1"/>
          <w:w w:val="104"/>
          <w:sz w:val="11"/>
        </w:rPr>
        <w:t>(</w:t>
      </w:r>
    </w:p>
    <w:p w14:paraId="51DE931E" w14:textId="77777777" w:rsidR="0010369C" w:rsidRDefault="008E43AE">
      <w:pPr>
        <w:ind w:left="-9"/>
        <w:rPr>
          <w:rFonts w:ascii="Arial"/>
          <w:sz w:val="20"/>
        </w:rPr>
      </w:pPr>
      <w:r>
        <w:br w:type="column"/>
      </w:r>
      <w:r>
        <w:rPr>
          <w:rFonts w:ascii="Arial"/>
          <w:sz w:val="20"/>
        </w:rPr>
      </w:r>
      <w:r>
        <w:rPr>
          <w:rFonts w:ascii="Arial"/>
          <w:sz w:val="20"/>
        </w:rPr>
        <w:pict w14:anchorId="51DEA5D2">
          <v:group id="docshapegroup1176" o:spid="_x0000_s1216" style="width:357.2pt;height:18.55pt;mso-position-horizontal-relative:char;mso-position-vertical-relative:line" coordsize="7144,371">
            <v:shape id="docshape1177" o:spid="_x0000_s1220" type="#_x0000_t75" style="position:absolute;width:4897;height:371">
              <v:imagedata r:id="rId933" o:title=""/>
            </v:shape>
            <v:shape id="docshape1178" o:spid="_x0000_s1219" type="#_x0000_t75" style="position:absolute;left:6521;top:130;width:623;height:241">
              <v:imagedata r:id="rId934" o:title=""/>
            </v:shape>
            <v:line id="_x0000_s1218" style="position:absolute" from="4896,110" to="6522,110" strokeweight=".35361mm"/>
            <v:shape id="docshape1179" o:spid="_x0000_s1217" type="#_x0000_t202" style="position:absolute;width:7144;height:371" filled="f" stroked="f">
              <v:textbox inset="0,0,0,0">
                <w:txbxContent>
                  <w:p w14:paraId="51DEAC8F" w14:textId="77777777" w:rsidR="0010369C" w:rsidRDefault="008E43AE">
                    <w:pPr>
                      <w:spacing w:before="121"/>
                      <w:ind w:right="622"/>
                      <w:jc w:val="right"/>
                      <w:rPr>
                        <w:rFonts w:ascii="Arial"/>
                        <w:b/>
                        <w:sz w:val="17"/>
                      </w:rPr>
                    </w:pPr>
                    <w:r>
                      <w:rPr>
                        <w:rFonts w:ascii="Arial"/>
                        <w:b/>
                        <w:color w:val="1C1C1C"/>
                        <w:w w:val="85"/>
                        <w:sz w:val="17"/>
                      </w:rPr>
                      <w:t>(Exhibit</w:t>
                    </w:r>
                    <w:r>
                      <w:rPr>
                        <w:rFonts w:ascii="Arial"/>
                        <w:b/>
                        <w:color w:val="1C1C1C"/>
                        <w:spacing w:val="9"/>
                        <w:sz w:val="17"/>
                      </w:rPr>
                      <w:t xml:space="preserve"> </w:t>
                    </w:r>
                    <w:r>
                      <w:rPr>
                        <w:rFonts w:ascii="Arial"/>
                        <w:b/>
                        <w:color w:val="1C1C1C"/>
                        <w:w w:val="85"/>
                        <w:sz w:val="17"/>
                      </w:rPr>
                      <w:t>AUS-65</w:t>
                    </w:r>
                    <w:r>
                      <w:rPr>
                        <w:rFonts w:ascii="Arial"/>
                        <w:b/>
                        <w:color w:val="1C1C1C"/>
                        <w:spacing w:val="12"/>
                        <w:sz w:val="17"/>
                      </w:rPr>
                      <w:t xml:space="preserve"> </w:t>
                    </w:r>
                    <w:r>
                      <w:rPr>
                        <w:rFonts w:ascii="Arial"/>
                        <w:b/>
                        <w:color w:val="1C1C1C"/>
                        <w:spacing w:val="-2"/>
                        <w:w w:val="85"/>
                        <w:sz w:val="17"/>
                      </w:rPr>
                      <w:t>(BCI))</w:t>
                    </w:r>
                  </w:p>
                </w:txbxContent>
              </v:textbox>
            </v:shape>
            <w10:anchorlock/>
          </v:group>
        </w:pict>
      </w:r>
    </w:p>
    <w:p w14:paraId="51DE931F" w14:textId="77777777" w:rsidR="0010369C" w:rsidRDefault="008E43AE">
      <w:pPr>
        <w:ind w:left="162"/>
        <w:rPr>
          <w:rFonts w:ascii="Arial"/>
          <w:sz w:val="16"/>
        </w:rPr>
      </w:pPr>
      <w:r>
        <w:rPr>
          <w:rFonts w:ascii="Arial"/>
          <w:color w:val="1C1C1C"/>
          <w:sz w:val="16"/>
        </w:rPr>
        <w:t>Anti-Dumping</w:t>
      </w:r>
      <w:r>
        <w:rPr>
          <w:rFonts w:ascii="Arial"/>
          <w:color w:val="1C1C1C"/>
          <w:spacing w:val="16"/>
          <w:sz w:val="16"/>
        </w:rPr>
        <w:t xml:space="preserve"> </w:t>
      </w:r>
      <w:r>
        <w:rPr>
          <w:rFonts w:ascii="Arial"/>
          <w:color w:val="1C1C1C"/>
          <w:sz w:val="16"/>
        </w:rPr>
        <w:t>Final</w:t>
      </w:r>
      <w:r>
        <w:rPr>
          <w:rFonts w:ascii="Arial"/>
          <w:color w:val="1C1C1C"/>
          <w:spacing w:val="-14"/>
          <w:sz w:val="16"/>
        </w:rPr>
        <w:t xml:space="preserve"> </w:t>
      </w:r>
      <w:r>
        <w:rPr>
          <w:rFonts w:ascii="Arial"/>
          <w:color w:val="1C1C1C"/>
          <w:sz w:val="16"/>
        </w:rPr>
        <w:t>Determination</w:t>
      </w:r>
      <w:r>
        <w:rPr>
          <w:rFonts w:ascii="Arial"/>
          <w:color w:val="1C1C1C"/>
          <w:spacing w:val="10"/>
          <w:sz w:val="16"/>
        </w:rPr>
        <w:t xml:space="preserve"> </w:t>
      </w:r>
      <w:r>
        <w:rPr>
          <w:rFonts w:ascii="Arial"/>
          <w:color w:val="1C1C1C"/>
          <w:sz w:val="16"/>
        </w:rPr>
        <w:t>(Exhibit</w:t>
      </w:r>
      <w:r>
        <w:rPr>
          <w:rFonts w:ascii="Arial"/>
          <w:color w:val="1C1C1C"/>
          <w:spacing w:val="16"/>
          <w:sz w:val="16"/>
        </w:rPr>
        <w:t xml:space="preserve"> </w:t>
      </w:r>
      <w:r>
        <w:rPr>
          <w:rFonts w:ascii="Arial"/>
          <w:color w:val="1C1C1C"/>
          <w:sz w:val="16"/>
        </w:rPr>
        <w:t>AUS-2),</w:t>
      </w:r>
      <w:r>
        <w:rPr>
          <w:rFonts w:ascii="Arial"/>
          <w:color w:val="1C1C1C"/>
          <w:spacing w:val="-3"/>
          <w:sz w:val="16"/>
        </w:rPr>
        <w:t xml:space="preserve"> </w:t>
      </w:r>
      <w:r>
        <w:rPr>
          <w:rFonts w:ascii="Arial"/>
          <w:color w:val="1C1C1C"/>
          <w:sz w:val="16"/>
        </w:rPr>
        <w:t>p.</w:t>
      </w:r>
      <w:r>
        <w:rPr>
          <w:rFonts w:ascii="Arial"/>
          <w:color w:val="1C1C1C"/>
          <w:spacing w:val="35"/>
          <w:sz w:val="16"/>
        </w:rPr>
        <w:t xml:space="preserve"> </w:t>
      </w:r>
      <w:r>
        <w:rPr>
          <w:rFonts w:ascii="Arial"/>
          <w:color w:val="1C1C1C"/>
          <w:spacing w:val="-4"/>
          <w:sz w:val="16"/>
        </w:rPr>
        <w:t>141.</w:t>
      </w:r>
    </w:p>
    <w:p w14:paraId="51DE9320" w14:textId="77777777" w:rsidR="0010369C" w:rsidRDefault="0010369C">
      <w:pPr>
        <w:rPr>
          <w:rFonts w:ascii="Arial"/>
          <w:sz w:val="16"/>
        </w:rPr>
        <w:sectPr w:rsidR="0010369C">
          <w:type w:val="continuous"/>
          <w:pgSz w:w="11910" w:h="16840"/>
          <w:pgMar w:top="1460" w:right="800" w:bottom="280" w:left="1180" w:header="491" w:footer="814" w:gutter="0"/>
          <w:cols w:num="2" w:space="720" w:equalWidth="0">
            <w:col w:w="541" w:space="54"/>
            <w:col w:w="9335"/>
          </w:cols>
        </w:sectPr>
      </w:pPr>
    </w:p>
    <w:p w14:paraId="51DE9321" w14:textId="77777777" w:rsidR="0010369C" w:rsidRDefault="008E43AE">
      <w:pPr>
        <w:spacing w:line="179" w:lineRule="exact"/>
        <w:ind w:left="465"/>
        <w:rPr>
          <w:rFonts w:ascii="Arial"/>
          <w:sz w:val="16"/>
        </w:rPr>
      </w:pPr>
      <w:r>
        <w:rPr>
          <w:rFonts w:ascii="Arial"/>
          <w:color w:val="1C1C1C"/>
          <w:sz w:val="16"/>
        </w:rPr>
        <w:t>Anti-Dumping</w:t>
      </w:r>
      <w:r>
        <w:rPr>
          <w:rFonts w:ascii="Arial"/>
          <w:color w:val="1C1C1C"/>
          <w:spacing w:val="14"/>
          <w:sz w:val="16"/>
        </w:rPr>
        <w:t xml:space="preserve"> </w:t>
      </w:r>
      <w:r>
        <w:rPr>
          <w:rFonts w:ascii="Arial"/>
          <w:color w:val="1C1C1C"/>
          <w:sz w:val="16"/>
        </w:rPr>
        <w:t>Final Determination</w:t>
      </w:r>
      <w:r>
        <w:rPr>
          <w:rFonts w:ascii="Arial"/>
          <w:color w:val="1C1C1C"/>
          <w:spacing w:val="9"/>
          <w:sz w:val="16"/>
        </w:rPr>
        <w:t xml:space="preserve"> </w:t>
      </w:r>
      <w:r>
        <w:rPr>
          <w:rFonts w:ascii="Arial"/>
          <w:color w:val="1C1C1C"/>
          <w:sz w:val="16"/>
        </w:rPr>
        <w:t>(Exhibit</w:t>
      </w:r>
      <w:r>
        <w:rPr>
          <w:rFonts w:ascii="Arial"/>
          <w:color w:val="1C1C1C"/>
          <w:spacing w:val="14"/>
          <w:sz w:val="16"/>
        </w:rPr>
        <w:t xml:space="preserve"> </w:t>
      </w:r>
      <w:r>
        <w:rPr>
          <w:rFonts w:ascii="Arial"/>
          <w:color w:val="1C1C1C"/>
          <w:sz w:val="16"/>
        </w:rPr>
        <w:t>AUS-2),</w:t>
      </w:r>
      <w:r>
        <w:rPr>
          <w:rFonts w:ascii="Arial"/>
          <w:color w:val="1C1C1C"/>
          <w:spacing w:val="-4"/>
          <w:sz w:val="16"/>
        </w:rPr>
        <w:t xml:space="preserve"> </w:t>
      </w:r>
      <w:r>
        <w:rPr>
          <w:rFonts w:ascii="Arial"/>
          <w:color w:val="1C1C1C"/>
          <w:sz w:val="16"/>
        </w:rPr>
        <w:t>pp.</w:t>
      </w:r>
      <w:r>
        <w:rPr>
          <w:rFonts w:ascii="Arial"/>
          <w:color w:val="1C1C1C"/>
          <w:spacing w:val="40"/>
          <w:sz w:val="16"/>
        </w:rPr>
        <w:t xml:space="preserve"> </w:t>
      </w:r>
      <w:r>
        <w:rPr>
          <w:rFonts w:ascii="Arial"/>
          <w:color w:val="1C1C1C"/>
          <w:sz w:val="16"/>
        </w:rPr>
        <w:t>139-</w:t>
      </w:r>
      <w:r>
        <w:rPr>
          <w:rFonts w:ascii="Arial"/>
          <w:color w:val="1C1C1C"/>
          <w:spacing w:val="-4"/>
          <w:sz w:val="16"/>
        </w:rPr>
        <w:t>140.</w:t>
      </w:r>
    </w:p>
    <w:p w14:paraId="51DE9322" w14:textId="77777777" w:rsidR="0010369C" w:rsidRDefault="0010369C">
      <w:pPr>
        <w:spacing w:line="179" w:lineRule="exact"/>
        <w:rPr>
          <w:rFonts w:ascii="Arial"/>
          <w:sz w:val="16"/>
        </w:rPr>
        <w:sectPr w:rsidR="0010369C">
          <w:type w:val="continuous"/>
          <w:pgSz w:w="11910" w:h="16840"/>
          <w:pgMar w:top="1460" w:right="800" w:bottom="280" w:left="1180" w:header="491" w:footer="814" w:gutter="0"/>
          <w:cols w:space="720"/>
        </w:sectPr>
      </w:pPr>
    </w:p>
    <w:p w14:paraId="51DE9323" w14:textId="77777777" w:rsidR="0010369C" w:rsidRDefault="008E43AE">
      <w:pPr>
        <w:tabs>
          <w:tab w:val="left" w:pos="6426"/>
        </w:tabs>
        <w:ind w:left="238"/>
        <w:rPr>
          <w:sz w:val="20"/>
        </w:rPr>
      </w:pPr>
      <w:r>
        <w:rPr>
          <w:i/>
          <w:sz w:val="20"/>
        </w:rPr>
        <w:lastRenderedPageBreak/>
        <w:t>China</w:t>
      </w:r>
      <w:r>
        <w:rPr>
          <w:i/>
          <w:spacing w:val="-5"/>
          <w:sz w:val="20"/>
        </w:rPr>
        <w:t xml:space="preserve"> </w:t>
      </w:r>
      <w:r>
        <w:rPr>
          <w:i/>
          <w:sz w:val="20"/>
        </w:rPr>
        <w:t>–</w:t>
      </w:r>
      <w:r>
        <w:rPr>
          <w:i/>
          <w:spacing w:val="-5"/>
          <w:sz w:val="20"/>
        </w:rPr>
        <w:t xml:space="preserve"> </w:t>
      </w:r>
      <w:r>
        <w:rPr>
          <w:i/>
          <w:sz w:val="20"/>
        </w:rPr>
        <w:t>Anti‐Dumping</w:t>
      </w:r>
      <w:r>
        <w:rPr>
          <w:i/>
          <w:spacing w:val="-4"/>
          <w:sz w:val="20"/>
        </w:rPr>
        <w:t xml:space="preserve"> </w:t>
      </w:r>
      <w:r>
        <w:rPr>
          <w:i/>
          <w:sz w:val="20"/>
        </w:rPr>
        <w:t>and</w:t>
      </w:r>
      <w:r>
        <w:rPr>
          <w:i/>
          <w:spacing w:val="-5"/>
          <w:sz w:val="20"/>
        </w:rPr>
        <w:t xml:space="preserve"> </w:t>
      </w:r>
      <w:r>
        <w:rPr>
          <w:i/>
          <w:sz w:val="20"/>
        </w:rPr>
        <w:t>Countervailing</w:t>
      </w:r>
      <w:r>
        <w:rPr>
          <w:i/>
          <w:spacing w:val="-5"/>
          <w:sz w:val="20"/>
        </w:rPr>
        <w:t xml:space="preserve"> </w:t>
      </w:r>
      <w:r>
        <w:rPr>
          <w:i/>
          <w:sz w:val="20"/>
        </w:rPr>
        <w:t>Duty</w:t>
      </w:r>
      <w:r>
        <w:rPr>
          <w:i/>
          <w:spacing w:val="-4"/>
          <w:sz w:val="20"/>
        </w:rPr>
        <w:t xml:space="preserve"> </w:t>
      </w:r>
      <w:r>
        <w:rPr>
          <w:i/>
          <w:spacing w:val="-2"/>
          <w:sz w:val="20"/>
        </w:rPr>
        <w:t>Measures</w:t>
      </w:r>
      <w:r>
        <w:rPr>
          <w:i/>
          <w:sz w:val="20"/>
        </w:rPr>
        <w:tab/>
      </w:r>
      <w:r>
        <w:rPr>
          <w:sz w:val="20"/>
        </w:rPr>
        <w:t>Australia's</w:t>
      </w:r>
      <w:r>
        <w:rPr>
          <w:spacing w:val="-7"/>
          <w:sz w:val="20"/>
        </w:rPr>
        <w:t xml:space="preserve"> </w:t>
      </w:r>
      <w:r>
        <w:rPr>
          <w:sz w:val="20"/>
        </w:rPr>
        <w:t>First</w:t>
      </w:r>
      <w:r>
        <w:rPr>
          <w:spacing w:val="-2"/>
          <w:sz w:val="20"/>
        </w:rPr>
        <w:t xml:space="preserve"> </w:t>
      </w:r>
      <w:r>
        <w:rPr>
          <w:sz w:val="20"/>
        </w:rPr>
        <w:t>Written</w:t>
      </w:r>
      <w:r>
        <w:rPr>
          <w:spacing w:val="-2"/>
          <w:sz w:val="20"/>
        </w:rPr>
        <w:t xml:space="preserve"> Submission</w:t>
      </w:r>
    </w:p>
    <w:p w14:paraId="51DE9324" w14:textId="77777777" w:rsidR="0010369C" w:rsidRDefault="008E43AE">
      <w:pPr>
        <w:tabs>
          <w:tab w:val="left" w:pos="8228"/>
        </w:tabs>
        <w:spacing w:before="1"/>
        <w:ind w:left="239"/>
        <w:rPr>
          <w:sz w:val="20"/>
        </w:rPr>
      </w:pPr>
      <w:r>
        <w:rPr>
          <w:i/>
          <w:sz w:val="20"/>
        </w:rPr>
        <w:t>on</w:t>
      </w:r>
      <w:r>
        <w:rPr>
          <w:i/>
          <w:spacing w:val="-1"/>
          <w:sz w:val="20"/>
        </w:rPr>
        <w:t xml:space="preserve"> </w:t>
      </w:r>
      <w:r>
        <w:rPr>
          <w:i/>
          <w:sz w:val="20"/>
        </w:rPr>
        <w:t>Wine</w:t>
      </w:r>
      <w:r>
        <w:rPr>
          <w:i/>
          <w:spacing w:val="-1"/>
          <w:sz w:val="20"/>
        </w:rPr>
        <w:t xml:space="preserve"> </w:t>
      </w:r>
      <w:r>
        <w:rPr>
          <w:i/>
          <w:sz w:val="20"/>
        </w:rPr>
        <w:t>from</w:t>
      </w:r>
      <w:r>
        <w:rPr>
          <w:i/>
          <w:spacing w:val="-3"/>
          <w:sz w:val="20"/>
        </w:rPr>
        <w:t xml:space="preserve"> </w:t>
      </w:r>
      <w:r>
        <w:rPr>
          <w:i/>
          <w:sz w:val="20"/>
        </w:rPr>
        <w:t>Australia</w:t>
      </w:r>
      <w:r>
        <w:rPr>
          <w:i/>
          <w:spacing w:val="-1"/>
          <w:sz w:val="20"/>
        </w:rPr>
        <w:t xml:space="preserve"> </w:t>
      </w:r>
      <w:r>
        <w:rPr>
          <w:spacing w:val="-2"/>
          <w:sz w:val="20"/>
        </w:rPr>
        <w:t>(DS602)</w:t>
      </w:r>
      <w:r>
        <w:rPr>
          <w:sz w:val="20"/>
        </w:rPr>
        <w:tab/>
        <w:t>29</w:t>
      </w:r>
      <w:r>
        <w:rPr>
          <w:spacing w:val="-1"/>
          <w:sz w:val="20"/>
        </w:rPr>
        <w:t xml:space="preserve"> </w:t>
      </w:r>
      <w:r>
        <w:rPr>
          <w:sz w:val="20"/>
        </w:rPr>
        <w:t>April</w:t>
      </w:r>
      <w:r>
        <w:rPr>
          <w:spacing w:val="-2"/>
          <w:sz w:val="20"/>
        </w:rPr>
        <w:t xml:space="preserve"> </w:t>
      </w:r>
      <w:r>
        <w:rPr>
          <w:spacing w:val="-4"/>
          <w:sz w:val="20"/>
        </w:rPr>
        <w:t>2022</w:t>
      </w:r>
    </w:p>
    <w:p w14:paraId="51DE9325" w14:textId="77777777" w:rsidR="0010369C" w:rsidRDefault="008E43AE">
      <w:pPr>
        <w:pStyle w:val="BodyText"/>
        <w:spacing w:before="34" w:line="360" w:lineRule="auto"/>
        <w:ind w:left="237" w:right="614"/>
      </w:pPr>
      <w:r>
        <w:t>MOFCOM's analysis of exchange rates is subject to similar errors to those discussed above in relation to the ChAFTA tariff reductions.</w:t>
      </w:r>
    </w:p>
    <w:p w14:paraId="51DE9326" w14:textId="77777777" w:rsidR="0010369C" w:rsidRDefault="0010369C">
      <w:pPr>
        <w:pStyle w:val="BodyText"/>
        <w:spacing w:before="10"/>
        <w:rPr>
          <w:sz w:val="8"/>
        </w:rPr>
      </w:pPr>
    </w:p>
    <w:p w14:paraId="51DE9327" w14:textId="77777777" w:rsidR="0010369C" w:rsidRDefault="008E43AE">
      <w:pPr>
        <w:pStyle w:val="BodyText"/>
        <w:spacing w:before="52" w:line="360" w:lineRule="auto"/>
        <w:ind w:left="237" w:right="612" w:firstLine="851"/>
        <w:jc w:val="both"/>
      </w:pPr>
      <w:r>
        <w:rPr>
          <w:noProof/>
        </w:rPr>
        <w:drawing>
          <wp:anchor distT="0" distB="0" distL="0" distR="0" simplePos="0" relativeHeight="251313664" behindDoc="1" locked="0" layoutInCell="1" allowOverlap="1" wp14:anchorId="51DEA5D3" wp14:editId="51DEA5D4">
            <wp:simplePos x="0" y="0"/>
            <wp:positionH relativeFrom="page">
              <wp:posOffset>902208</wp:posOffset>
            </wp:positionH>
            <wp:positionV relativeFrom="paragraph">
              <wp:posOffset>76785</wp:posOffset>
            </wp:positionV>
            <wp:extent cx="262127" cy="106679"/>
            <wp:effectExtent l="0" t="0" r="0" b="0"/>
            <wp:wrapNone/>
            <wp:docPr id="1385" name="image7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 name="image719.png"/>
                    <pic:cNvPicPr/>
                  </pic:nvPicPr>
                  <pic:blipFill>
                    <a:blip r:embed="rId935" cstate="print"/>
                    <a:stretch>
                      <a:fillRect/>
                    </a:stretch>
                  </pic:blipFill>
                  <pic:spPr>
                    <a:xfrm>
                      <a:off x="0" y="0"/>
                      <a:ext cx="262127" cy="106679"/>
                    </a:xfrm>
                    <a:prstGeom prst="rect">
                      <a:avLst/>
                    </a:prstGeom>
                  </pic:spPr>
                </pic:pic>
              </a:graphicData>
            </a:graphic>
          </wp:anchor>
        </w:drawing>
      </w:r>
      <w:r>
        <w:t>MOFCOM</w:t>
      </w:r>
      <w:r>
        <w:rPr>
          <w:spacing w:val="-6"/>
        </w:rPr>
        <w:t xml:space="preserve"> </w:t>
      </w:r>
      <w:r>
        <w:t>was</w:t>
      </w:r>
      <w:r>
        <w:rPr>
          <w:spacing w:val="-6"/>
        </w:rPr>
        <w:t xml:space="preserve"> </w:t>
      </w:r>
      <w:r>
        <w:t>clearly</w:t>
      </w:r>
      <w:r>
        <w:rPr>
          <w:spacing w:val="-6"/>
        </w:rPr>
        <w:t xml:space="preserve"> </w:t>
      </w:r>
      <w:r>
        <w:t>aware</w:t>
      </w:r>
      <w:r>
        <w:rPr>
          <w:spacing w:val="-6"/>
        </w:rPr>
        <w:t xml:space="preserve"> </w:t>
      </w:r>
      <w:r>
        <w:t>of</w:t>
      </w:r>
      <w:r>
        <w:rPr>
          <w:spacing w:val="-6"/>
        </w:rPr>
        <w:t xml:space="preserve"> </w:t>
      </w:r>
      <w:r>
        <w:t>the</w:t>
      </w:r>
      <w:r>
        <w:rPr>
          <w:spacing w:val="-6"/>
        </w:rPr>
        <w:t xml:space="preserve"> </w:t>
      </w:r>
      <w:r>
        <w:t>potential</w:t>
      </w:r>
      <w:r>
        <w:rPr>
          <w:spacing w:val="-6"/>
        </w:rPr>
        <w:t xml:space="preserve"> </w:t>
      </w:r>
      <w:r>
        <w:t>impact</w:t>
      </w:r>
      <w:r>
        <w:rPr>
          <w:spacing w:val="-6"/>
        </w:rPr>
        <w:t xml:space="preserve"> </w:t>
      </w:r>
      <w:r>
        <w:t>of</w:t>
      </w:r>
      <w:r>
        <w:rPr>
          <w:spacing w:val="-6"/>
        </w:rPr>
        <w:t xml:space="preserve"> </w:t>
      </w:r>
      <w:r>
        <w:t>exchange</w:t>
      </w:r>
      <w:r>
        <w:rPr>
          <w:spacing w:val="-6"/>
        </w:rPr>
        <w:t xml:space="preserve"> </w:t>
      </w:r>
      <w:r>
        <w:t>rate</w:t>
      </w:r>
      <w:r>
        <w:rPr>
          <w:spacing w:val="-6"/>
        </w:rPr>
        <w:t xml:space="preserve"> </w:t>
      </w:r>
      <w:r>
        <w:t>fluctuations</w:t>
      </w:r>
      <w:r>
        <w:rPr>
          <w:spacing w:val="-6"/>
        </w:rPr>
        <w:t xml:space="preserve"> </w:t>
      </w:r>
      <w:r>
        <w:t>on the domestic industry because it rais</w:t>
      </w:r>
      <w:r>
        <w:t xml:space="preserve">ed and then dismissed the issue in the Final Determination. However, in dismissing the issue, MOFCOM appears to have considered the impact of exchange rate fluctuations as a price comparability / level of trade issue. For the purposes of a non‐attribution </w:t>
      </w:r>
      <w:r>
        <w:t>analysis, the correct question is whether exchange rate fluctuations could have caused the injury to the domestic industry, for example by lowering the effective price of Australian wine for Chinese consumers and making it more affordable. MOFCOM did not c</w:t>
      </w:r>
      <w:r>
        <w:t>onsider this possibility prior to dismissing exchange rates as a cause of injury to the domestic industry.</w:t>
      </w:r>
    </w:p>
    <w:p w14:paraId="51DE9328" w14:textId="77777777" w:rsidR="0010369C" w:rsidRDefault="0010369C">
      <w:pPr>
        <w:pStyle w:val="BodyText"/>
        <w:spacing w:before="11"/>
        <w:rPr>
          <w:sz w:val="8"/>
        </w:rPr>
      </w:pPr>
    </w:p>
    <w:p w14:paraId="51DE9329" w14:textId="77777777" w:rsidR="0010369C" w:rsidRDefault="008E43AE">
      <w:pPr>
        <w:pStyle w:val="BodyText"/>
        <w:spacing w:before="52" w:line="360" w:lineRule="auto"/>
        <w:ind w:left="237" w:right="613" w:firstLine="851"/>
        <w:jc w:val="both"/>
      </w:pPr>
      <w:r>
        <w:rPr>
          <w:noProof/>
        </w:rPr>
        <w:drawing>
          <wp:anchor distT="0" distB="0" distL="0" distR="0" simplePos="0" relativeHeight="251314688" behindDoc="1" locked="0" layoutInCell="1" allowOverlap="1" wp14:anchorId="51DEA5D5" wp14:editId="51DEA5D6">
            <wp:simplePos x="0" y="0"/>
            <wp:positionH relativeFrom="page">
              <wp:posOffset>902208</wp:posOffset>
            </wp:positionH>
            <wp:positionV relativeFrom="paragraph">
              <wp:posOffset>81357</wp:posOffset>
            </wp:positionV>
            <wp:extent cx="262127" cy="103631"/>
            <wp:effectExtent l="0" t="0" r="0" b="0"/>
            <wp:wrapNone/>
            <wp:docPr id="1387" name="image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 name="image720.png"/>
                    <pic:cNvPicPr/>
                  </pic:nvPicPr>
                  <pic:blipFill>
                    <a:blip r:embed="rId936" cstate="print"/>
                    <a:stretch>
                      <a:fillRect/>
                    </a:stretch>
                  </pic:blipFill>
                  <pic:spPr>
                    <a:xfrm>
                      <a:off x="0" y="0"/>
                      <a:ext cx="262127" cy="103631"/>
                    </a:xfrm>
                    <a:prstGeom prst="rect">
                      <a:avLst/>
                    </a:prstGeom>
                  </pic:spPr>
                </pic:pic>
              </a:graphicData>
            </a:graphic>
          </wp:anchor>
        </w:drawing>
      </w:r>
      <w:r>
        <w:t>Exchange rate fluctuations had the potential to impact the price of Australian imports.</w:t>
      </w:r>
      <w:r>
        <w:rPr>
          <w:spacing w:val="-9"/>
        </w:rPr>
        <w:t xml:space="preserve"> </w:t>
      </w:r>
      <w:r>
        <w:t>Decreases</w:t>
      </w:r>
      <w:r>
        <w:rPr>
          <w:spacing w:val="-11"/>
        </w:rPr>
        <w:t xml:space="preserve"> </w:t>
      </w:r>
      <w:r>
        <w:t>in</w:t>
      </w:r>
      <w:r>
        <w:rPr>
          <w:spacing w:val="-11"/>
        </w:rPr>
        <w:t xml:space="preserve"> </w:t>
      </w:r>
      <w:r>
        <w:t>the</w:t>
      </w:r>
      <w:r>
        <w:rPr>
          <w:spacing w:val="-10"/>
        </w:rPr>
        <w:t xml:space="preserve"> </w:t>
      </w:r>
      <w:r>
        <w:t>price</w:t>
      </w:r>
      <w:r>
        <w:rPr>
          <w:spacing w:val="-10"/>
        </w:rPr>
        <w:t xml:space="preserve"> </w:t>
      </w:r>
      <w:r>
        <w:t>of</w:t>
      </w:r>
      <w:r>
        <w:rPr>
          <w:spacing w:val="-11"/>
        </w:rPr>
        <w:t xml:space="preserve"> </w:t>
      </w:r>
      <w:r>
        <w:t>Australian</w:t>
      </w:r>
      <w:r>
        <w:rPr>
          <w:spacing w:val="-11"/>
        </w:rPr>
        <w:t xml:space="preserve"> </w:t>
      </w:r>
      <w:r>
        <w:t>imports</w:t>
      </w:r>
      <w:r>
        <w:rPr>
          <w:spacing w:val="-11"/>
        </w:rPr>
        <w:t xml:space="preserve"> </w:t>
      </w:r>
      <w:r>
        <w:t>caused</w:t>
      </w:r>
      <w:r>
        <w:rPr>
          <w:spacing w:val="-12"/>
        </w:rPr>
        <w:t xml:space="preserve"> </w:t>
      </w:r>
      <w:r>
        <w:t>by</w:t>
      </w:r>
      <w:r>
        <w:rPr>
          <w:spacing w:val="-11"/>
        </w:rPr>
        <w:t xml:space="preserve"> </w:t>
      </w:r>
      <w:r>
        <w:t>exch</w:t>
      </w:r>
      <w:r>
        <w:t>ange</w:t>
      </w:r>
      <w:r>
        <w:rPr>
          <w:spacing w:val="-12"/>
        </w:rPr>
        <w:t xml:space="preserve"> </w:t>
      </w:r>
      <w:r>
        <w:t>rate</w:t>
      </w:r>
      <w:r>
        <w:rPr>
          <w:spacing w:val="-11"/>
        </w:rPr>
        <w:t xml:space="preserve"> </w:t>
      </w:r>
      <w:r>
        <w:t>fluctuations</w:t>
      </w:r>
      <w:r>
        <w:rPr>
          <w:spacing w:val="-11"/>
        </w:rPr>
        <w:t xml:space="preserve"> </w:t>
      </w:r>
      <w:r>
        <w:t>are not attributable to the effects of dumping. MOFCOM was required to conduct a proper non‐ attribution analysis in order to determine the extent to which exchange rate fluctuations caused injury to the domestic industry. MOFCOM fai</w:t>
      </w:r>
      <w:r>
        <w:t xml:space="preserve">led to do so. As a result, MOFCOM's analysis was inconsistent with the requirements of Articles 3.1 and 3.5 of the Anti‐Dumping </w:t>
      </w:r>
      <w:r>
        <w:rPr>
          <w:spacing w:val="-2"/>
        </w:rPr>
        <w:t>Agreement.</w:t>
      </w:r>
    </w:p>
    <w:p w14:paraId="51DE932A" w14:textId="77777777" w:rsidR="0010369C" w:rsidRDefault="008E43AE">
      <w:pPr>
        <w:pStyle w:val="BodyText"/>
        <w:tabs>
          <w:tab w:val="left" w:pos="3641"/>
        </w:tabs>
        <w:spacing w:before="159" w:line="362" w:lineRule="auto"/>
        <w:ind w:left="3642" w:right="614" w:hanging="853"/>
        <w:jc w:val="both"/>
      </w:pPr>
      <w:r>
        <w:rPr>
          <w:spacing w:val="-4"/>
          <w:u w:val="single"/>
        </w:rPr>
        <w:t>(d)</w:t>
      </w:r>
      <w:r>
        <w:tab/>
      </w:r>
      <w:r>
        <w:rPr>
          <w:u w:val="single"/>
        </w:rPr>
        <w:t>Purchase</w:t>
      </w:r>
      <w:r>
        <w:rPr>
          <w:spacing w:val="-4"/>
          <w:u w:val="single"/>
        </w:rPr>
        <w:t xml:space="preserve"> </w:t>
      </w:r>
      <w:r>
        <w:rPr>
          <w:u w:val="single"/>
        </w:rPr>
        <w:t>of</w:t>
      </w:r>
      <w:r>
        <w:rPr>
          <w:spacing w:val="-5"/>
          <w:u w:val="single"/>
        </w:rPr>
        <w:t xml:space="preserve"> </w:t>
      </w:r>
      <w:r>
        <w:rPr>
          <w:u w:val="single"/>
        </w:rPr>
        <w:t>imported</w:t>
      </w:r>
      <w:r>
        <w:rPr>
          <w:spacing w:val="-4"/>
          <w:u w:val="single"/>
        </w:rPr>
        <w:t xml:space="preserve"> </w:t>
      </w:r>
      <w:r>
        <w:rPr>
          <w:u w:val="single"/>
        </w:rPr>
        <w:t>Australian</w:t>
      </w:r>
      <w:r>
        <w:rPr>
          <w:spacing w:val="-5"/>
          <w:u w:val="single"/>
        </w:rPr>
        <w:t xml:space="preserve"> </w:t>
      </w:r>
      <w:r>
        <w:rPr>
          <w:u w:val="single"/>
        </w:rPr>
        <w:t>wine</w:t>
      </w:r>
      <w:r>
        <w:rPr>
          <w:spacing w:val="-4"/>
          <w:u w:val="single"/>
        </w:rPr>
        <w:t xml:space="preserve"> </w:t>
      </w:r>
      <w:r>
        <w:rPr>
          <w:u w:val="single"/>
        </w:rPr>
        <w:t>rather</w:t>
      </w:r>
      <w:r>
        <w:rPr>
          <w:spacing w:val="-5"/>
          <w:u w:val="single"/>
        </w:rPr>
        <w:t xml:space="preserve"> </w:t>
      </w:r>
      <w:r>
        <w:rPr>
          <w:u w:val="single"/>
        </w:rPr>
        <w:t>than</w:t>
      </w:r>
      <w:r>
        <w:rPr>
          <w:spacing w:val="-5"/>
          <w:u w:val="single"/>
        </w:rPr>
        <w:t xml:space="preserve"> </w:t>
      </w:r>
      <w:r>
        <w:rPr>
          <w:u w:val="single"/>
        </w:rPr>
        <w:t>Chinese</w:t>
      </w:r>
      <w:r>
        <w:t xml:space="preserve"> </w:t>
      </w:r>
      <w:r>
        <w:rPr>
          <w:u w:val="single"/>
        </w:rPr>
        <w:t>domestic wine because of factors other than price</w:t>
      </w:r>
    </w:p>
    <w:p w14:paraId="51DE932B" w14:textId="77777777" w:rsidR="0010369C" w:rsidRDefault="0010369C">
      <w:pPr>
        <w:pStyle w:val="BodyText"/>
        <w:spacing w:before="5"/>
        <w:rPr>
          <w:sz w:val="8"/>
        </w:rPr>
      </w:pPr>
    </w:p>
    <w:p w14:paraId="51DE932C" w14:textId="77777777" w:rsidR="0010369C" w:rsidRDefault="008E43AE">
      <w:pPr>
        <w:pStyle w:val="BodyText"/>
        <w:spacing w:before="52" w:line="360" w:lineRule="auto"/>
        <w:ind w:left="237" w:right="613" w:firstLine="851"/>
        <w:jc w:val="both"/>
      </w:pPr>
      <w:r>
        <w:rPr>
          <w:noProof/>
        </w:rPr>
        <w:drawing>
          <wp:anchor distT="0" distB="0" distL="0" distR="0" simplePos="0" relativeHeight="251315712" behindDoc="1" locked="0" layoutInCell="1" allowOverlap="1" wp14:anchorId="51DEA5D7" wp14:editId="51DEA5D8">
            <wp:simplePos x="0" y="0"/>
            <wp:positionH relativeFrom="page">
              <wp:posOffset>902208</wp:posOffset>
            </wp:positionH>
            <wp:positionV relativeFrom="paragraph">
              <wp:posOffset>76785</wp:posOffset>
            </wp:positionV>
            <wp:extent cx="262127" cy="106679"/>
            <wp:effectExtent l="0" t="0" r="0" b="0"/>
            <wp:wrapNone/>
            <wp:docPr id="1389" name="image7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 name="image721.png"/>
                    <pic:cNvPicPr/>
                  </pic:nvPicPr>
                  <pic:blipFill>
                    <a:blip r:embed="rId937" cstate="print"/>
                    <a:stretch>
                      <a:fillRect/>
                    </a:stretch>
                  </pic:blipFill>
                  <pic:spPr>
                    <a:xfrm>
                      <a:off x="0" y="0"/>
                      <a:ext cx="262127" cy="106679"/>
                    </a:xfrm>
                    <a:prstGeom prst="rect">
                      <a:avLst/>
                    </a:prstGeom>
                  </pic:spPr>
                </pic:pic>
              </a:graphicData>
            </a:graphic>
          </wp:anchor>
        </w:drawing>
      </w:r>
      <w:r>
        <w:t>There was significant evidence on the record establishing that purchasing decisions for wine products were impacted by various non‐price factors such as grape variety, harvesting region, vintage, age, pro</w:t>
      </w:r>
      <w:r>
        <w:t>duct quality, branding and, importantly, consumer perceptions regarding the quality of the product.</w:t>
      </w:r>
      <w:r>
        <w:rPr>
          <w:vertAlign w:val="superscript"/>
        </w:rPr>
        <w:t>851</w:t>
      </w:r>
    </w:p>
    <w:p w14:paraId="51DE932D" w14:textId="77777777" w:rsidR="0010369C" w:rsidRDefault="0010369C">
      <w:pPr>
        <w:pStyle w:val="BodyText"/>
        <w:rPr>
          <w:sz w:val="20"/>
        </w:rPr>
      </w:pPr>
    </w:p>
    <w:p w14:paraId="51DE932E" w14:textId="77777777" w:rsidR="0010369C" w:rsidRDefault="0010369C">
      <w:pPr>
        <w:pStyle w:val="BodyText"/>
        <w:rPr>
          <w:sz w:val="20"/>
        </w:rPr>
      </w:pPr>
    </w:p>
    <w:p w14:paraId="51DE932F" w14:textId="77777777" w:rsidR="0010369C" w:rsidRDefault="0010369C">
      <w:pPr>
        <w:pStyle w:val="BodyText"/>
        <w:rPr>
          <w:sz w:val="20"/>
        </w:rPr>
      </w:pPr>
    </w:p>
    <w:p w14:paraId="51DE9330" w14:textId="77777777" w:rsidR="0010369C" w:rsidRDefault="0010369C">
      <w:pPr>
        <w:pStyle w:val="BodyText"/>
        <w:rPr>
          <w:sz w:val="20"/>
        </w:rPr>
      </w:pPr>
    </w:p>
    <w:p w14:paraId="51DE9331" w14:textId="77777777" w:rsidR="0010369C" w:rsidRDefault="008E43AE">
      <w:pPr>
        <w:pStyle w:val="BodyText"/>
        <w:spacing w:before="5"/>
        <w:rPr>
          <w:sz w:val="12"/>
        </w:rPr>
      </w:pPr>
      <w:r>
        <w:pict w14:anchorId="51DEA5D9">
          <v:rect id="docshape1183" o:spid="_x0000_s1215" style="position:absolute;margin-left:70.9pt;margin-top:8.8pt;width:2in;height:.8pt;z-index:-250776064;mso-wrap-distance-left:0;mso-wrap-distance-right:0;mso-position-horizontal-relative:page" fillcolor="black" stroked="f">
            <w10:wrap type="topAndBottom" anchorx="page"/>
          </v:rect>
        </w:pict>
      </w:r>
    </w:p>
    <w:p w14:paraId="51DE9332" w14:textId="77777777" w:rsidR="0010369C" w:rsidRDefault="008E43AE">
      <w:pPr>
        <w:spacing w:before="109"/>
        <w:ind w:left="237" w:right="612"/>
        <w:jc w:val="both"/>
        <w:rPr>
          <w:sz w:val="18"/>
        </w:rPr>
      </w:pPr>
      <w:r>
        <w:rPr>
          <w:sz w:val="18"/>
          <w:vertAlign w:val="superscript"/>
        </w:rPr>
        <w:t>851</w:t>
      </w:r>
      <w:r>
        <w:rPr>
          <w:spacing w:val="-11"/>
          <w:sz w:val="18"/>
        </w:rPr>
        <w:t xml:space="preserve"> </w:t>
      </w:r>
      <w:r>
        <w:rPr>
          <w:sz w:val="18"/>
        </w:rPr>
        <w:t>See</w:t>
      </w:r>
      <w:r>
        <w:rPr>
          <w:spacing w:val="-10"/>
          <w:sz w:val="18"/>
        </w:rPr>
        <w:t xml:space="preserve"> </w:t>
      </w:r>
      <w:r>
        <w:rPr>
          <w:sz w:val="18"/>
        </w:rPr>
        <w:t>Treasury</w:t>
      </w:r>
      <w:r>
        <w:rPr>
          <w:spacing w:val="-10"/>
          <w:sz w:val="18"/>
        </w:rPr>
        <w:t xml:space="preserve"> </w:t>
      </w:r>
      <w:r>
        <w:rPr>
          <w:sz w:val="18"/>
        </w:rPr>
        <w:t>Wines</w:t>
      </w:r>
      <w:r>
        <w:rPr>
          <w:spacing w:val="-10"/>
          <w:sz w:val="18"/>
        </w:rPr>
        <w:t xml:space="preserve"> </w:t>
      </w:r>
      <w:r>
        <w:rPr>
          <w:sz w:val="18"/>
        </w:rPr>
        <w:t>Anti‐Dumping</w:t>
      </w:r>
      <w:r>
        <w:rPr>
          <w:spacing w:val="-10"/>
          <w:sz w:val="18"/>
        </w:rPr>
        <w:t xml:space="preserve"> </w:t>
      </w:r>
      <w:r>
        <w:rPr>
          <w:sz w:val="18"/>
        </w:rPr>
        <w:t>Questionnaire</w:t>
      </w:r>
      <w:r>
        <w:rPr>
          <w:spacing w:val="-11"/>
          <w:sz w:val="18"/>
        </w:rPr>
        <w:t xml:space="preserve"> </w:t>
      </w:r>
      <w:r>
        <w:rPr>
          <w:sz w:val="18"/>
        </w:rPr>
        <w:t>Response</w:t>
      </w:r>
      <w:r>
        <w:rPr>
          <w:spacing w:val="-10"/>
          <w:sz w:val="18"/>
        </w:rPr>
        <w:t xml:space="preserve"> </w:t>
      </w:r>
      <w:r>
        <w:rPr>
          <w:sz w:val="18"/>
        </w:rPr>
        <w:t>(Exhibit</w:t>
      </w:r>
      <w:r>
        <w:rPr>
          <w:spacing w:val="-10"/>
          <w:sz w:val="18"/>
        </w:rPr>
        <w:t xml:space="preserve"> </w:t>
      </w:r>
      <w:r>
        <w:rPr>
          <w:sz w:val="18"/>
        </w:rPr>
        <w:t>AUS‐73),</w:t>
      </w:r>
      <w:r>
        <w:rPr>
          <w:spacing w:val="-10"/>
          <w:sz w:val="18"/>
        </w:rPr>
        <w:t xml:space="preserve"> </w:t>
      </w:r>
      <w:r>
        <w:rPr>
          <w:sz w:val="18"/>
        </w:rPr>
        <w:t>Section</w:t>
      </w:r>
      <w:r>
        <w:rPr>
          <w:spacing w:val="-10"/>
          <w:sz w:val="18"/>
        </w:rPr>
        <w:t xml:space="preserve"> </w:t>
      </w:r>
      <w:r>
        <w:rPr>
          <w:sz w:val="18"/>
        </w:rPr>
        <w:t>2,</w:t>
      </w:r>
      <w:r>
        <w:rPr>
          <w:spacing w:val="-10"/>
          <w:sz w:val="18"/>
        </w:rPr>
        <w:t xml:space="preserve"> </w:t>
      </w:r>
      <w:r>
        <w:rPr>
          <w:sz w:val="18"/>
        </w:rPr>
        <w:t>Questions</w:t>
      </w:r>
      <w:r>
        <w:rPr>
          <w:spacing w:val="-11"/>
          <w:sz w:val="18"/>
        </w:rPr>
        <w:t xml:space="preserve"> </w:t>
      </w:r>
      <w:r>
        <w:rPr>
          <w:sz w:val="18"/>
        </w:rPr>
        <w:t>4,</w:t>
      </w:r>
      <w:r>
        <w:rPr>
          <w:spacing w:val="-10"/>
          <w:sz w:val="18"/>
        </w:rPr>
        <w:t xml:space="preserve"> </w:t>
      </w:r>
      <w:r>
        <w:rPr>
          <w:sz w:val="18"/>
        </w:rPr>
        <w:t>5,</w:t>
      </w:r>
      <w:r>
        <w:rPr>
          <w:spacing w:val="-10"/>
          <w:sz w:val="18"/>
        </w:rPr>
        <w:t xml:space="preserve"> </w:t>
      </w:r>
      <w:r>
        <w:rPr>
          <w:sz w:val="18"/>
        </w:rPr>
        <w:t>6,</w:t>
      </w:r>
      <w:r>
        <w:rPr>
          <w:spacing w:val="-10"/>
          <w:sz w:val="18"/>
        </w:rPr>
        <w:t xml:space="preserve"> </w:t>
      </w:r>
      <w:r>
        <w:rPr>
          <w:sz w:val="18"/>
        </w:rPr>
        <w:t>pp.</w:t>
      </w:r>
      <w:r>
        <w:rPr>
          <w:spacing w:val="-10"/>
          <w:sz w:val="18"/>
        </w:rPr>
        <w:t xml:space="preserve"> </w:t>
      </w:r>
      <w:r>
        <w:rPr>
          <w:sz w:val="18"/>
        </w:rPr>
        <w:t>16‐21;</w:t>
      </w:r>
      <w:r>
        <w:rPr>
          <w:spacing w:val="-10"/>
          <w:sz w:val="18"/>
        </w:rPr>
        <w:t xml:space="preserve"> </w:t>
      </w:r>
      <w:r>
        <w:rPr>
          <w:sz w:val="18"/>
        </w:rPr>
        <w:t>Casella Wines Anti‐Dumping Questionnaire Response (Exhibit AUS‐72), Section 2, Questions 4, 5, 6, pp. 12‐21; Treasury Wines Sampling</w:t>
      </w:r>
      <w:r>
        <w:rPr>
          <w:spacing w:val="-2"/>
          <w:sz w:val="18"/>
        </w:rPr>
        <w:t xml:space="preserve"> </w:t>
      </w:r>
      <w:r>
        <w:rPr>
          <w:sz w:val="18"/>
        </w:rPr>
        <w:t>Questionnaire</w:t>
      </w:r>
      <w:r>
        <w:rPr>
          <w:spacing w:val="-4"/>
          <w:sz w:val="18"/>
        </w:rPr>
        <w:t xml:space="preserve"> </w:t>
      </w:r>
      <w:r>
        <w:rPr>
          <w:sz w:val="18"/>
        </w:rPr>
        <w:t>Response</w:t>
      </w:r>
      <w:r>
        <w:rPr>
          <w:spacing w:val="-2"/>
          <w:sz w:val="18"/>
        </w:rPr>
        <w:t xml:space="preserve"> </w:t>
      </w:r>
      <w:r>
        <w:rPr>
          <w:sz w:val="18"/>
        </w:rPr>
        <w:t>(Exhibit</w:t>
      </w:r>
      <w:r>
        <w:rPr>
          <w:spacing w:val="-3"/>
          <w:sz w:val="18"/>
        </w:rPr>
        <w:t xml:space="preserve"> </w:t>
      </w:r>
      <w:r>
        <w:rPr>
          <w:sz w:val="18"/>
        </w:rPr>
        <w:t>AUS‐74),</w:t>
      </w:r>
      <w:r>
        <w:rPr>
          <w:spacing w:val="-4"/>
          <w:sz w:val="18"/>
        </w:rPr>
        <w:t xml:space="preserve"> </w:t>
      </w:r>
      <w:r>
        <w:rPr>
          <w:sz w:val="18"/>
        </w:rPr>
        <w:t>Section</w:t>
      </w:r>
      <w:r>
        <w:rPr>
          <w:spacing w:val="-3"/>
          <w:sz w:val="18"/>
        </w:rPr>
        <w:t xml:space="preserve"> </w:t>
      </w:r>
      <w:r>
        <w:rPr>
          <w:sz w:val="18"/>
        </w:rPr>
        <w:t>2,</w:t>
      </w:r>
      <w:r>
        <w:rPr>
          <w:spacing w:val="-4"/>
          <w:sz w:val="18"/>
        </w:rPr>
        <w:t xml:space="preserve"> </w:t>
      </w:r>
      <w:r>
        <w:rPr>
          <w:sz w:val="18"/>
        </w:rPr>
        <w:t>Question</w:t>
      </w:r>
      <w:r>
        <w:rPr>
          <w:spacing w:val="-4"/>
          <w:sz w:val="18"/>
        </w:rPr>
        <w:t xml:space="preserve"> </w:t>
      </w:r>
      <w:r>
        <w:rPr>
          <w:sz w:val="18"/>
        </w:rPr>
        <w:t>3,</w:t>
      </w:r>
      <w:r>
        <w:rPr>
          <w:spacing w:val="-4"/>
          <w:sz w:val="18"/>
        </w:rPr>
        <w:t xml:space="preserve"> </w:t>
      </w:r>
      <w:r>
        <w:rPr>
          <w:sz w:val="18"/>
        </w:rPr>
        <w:t>pp.</w:t>
      </w:r>
      <w:r>
        <w:rPr>
          <w:spacing w:val="-4"/>
          <w:sz w:val="18"/>
        </w:rPr>
        <w:t xml:space="preserve"> </w:t>
      </w:r>
      <w:r>
        <w:rPr>
          <w:sz w:val="18"/>
        </w:rPr>
        <w:t>14‐19;</w:t>
      </w:r>
      <w:r>
        <w:rPr>
          <w:spacing w:val="-4"/>
          <w:sz w:val="18"/>
        </w:rPr>
        <w:t xml:space="preserve"> </w:t>
      </w:r>
      <w:r>
        <w:rPr>
          <w:sz w:val="18"/>
        </w:rPr>
        <w:t>Casella</w:t>
      </w:r>
      <w:r>
        <w:rPr>
          <w:spacing w:val="-3"/>
          <w:sz w:val="18"/>
        </w:rPr>
        <w:t xml:space="preserve"> </w:t>
      </w:r>
      <w:r>
        <w:rPr>
          <w:sz w:val="18"/>
        </w:rPr>
        <w:t>Wines,</w:t>
      </w:r>
      <w:r>
        <w:rPr>
          <w:spacing w:val="-5"/>
          <w:sz w:val="18"/>
        </w:rPr>
        <w:t xml:space="preserve"> </w:t>
      </w:r>
      <w:r>
        <w:rPr>
          <w:sz w:val="18"/>
        </w:rPr>
        <w:t>Sampling</w:t>
      </w:r>
      <w:r>
        <w:rPr>
          <w:spacing w:val="-2"/>
          <w:sz w:val="18"/>
        </w:rPr>
        <w:t xml:space="preserve"> </w:t>
      </w:r>
      <w:r>
        <w:rPr>
          <w:sz w:val="18"/>
        </w:rPr>
        <w:t>Questionnaire Response (Exhibit AUS‐75), Section 2, Question 3, pp. 16‐19; AGW Submission on Initiation of the Investigation, (Exhibit AUS‐71),</w:t>
      </w:r>
      <w:r>
        <w:rPr>
          <w:spacing w:val="-2"/>
          <w:sz w:val="18"/>
        </w:rPr>
        <w:t xml:space="preserve"> </w:t>
      </w:r>
      <w:r>
        <w:rPr>
          <w:sz w:val="18"/>
        </w:rPr>
        <w:t>pp.</w:t>
      </w:r>
      <w:r>
        <w:rPr>
          <w:spacing w:val="-2"/>
          <w:sz w:val="18"/>
        </w:rPr>
        <w:t xml:space="preserve"> </w:t>
      </w:r>
      <w:r>
        <w:rPr>
          <w:sz w:val="18"/>
        </w:rPr>
        <w:t>3‐4,</w:t>
      </w:r>
      <w:r>
        <w:rPr>
          <w:spacing w:val="-2"/>
          <w:sz w:val="18"/>
        </w:rPr>
        <w:t xml:space="preserve"> </w:t>
      </w:r>
      <w:r>
        <w:rPr>
          <w:sz w:val="18"/>
        </w:rPr>
        <w:t>9‐10;</w:t>
      </w:r>
      <w:r>
        <w:rPr>
          <w:spacing w:val="-2"/>
          <w:sz w:val="18"/>
        </w:rPr>
        <w:t xml:space="preserve"> </w:t>
      </w:r>
      <w:r>
        <w:rPr>
          <w:sz w:val="18"/>
        </w:rPr>
        <w:t>AGW</w:t>
      </w:r>
      <w:r>
        <w:rPr>
          <w:spacing w:val="-2"/>
          <w:sz w:val="18"/>
        </w:rPr>
        <w:t xml:space="preserve"> </w:t>
      </w:r>
      <w:r>
        <w:rPr>
          <w:sz w:val="18"/>
        </w:rPr>
        <w:t>Comments</w:t>
      </w:r>
      <w:r>
        <w:rPr>
          <w:spacing w:val="-1"/>
          <w:sz w:val="18"/>
        </w:rPr>
        <w:t xml:space="preserve"> </w:t>
      </w:r>
      <w:r>
        <w:rPr>
          <w:sz w:val="18"/>
        </w:rPr>
        <w:t>on</w:t>
      </w:r>
      <w:r>
        <w:rPr>
          <w:spacing w:val="-1"/>
          <w:sz w:val="18"/>
        </w:rPr>
        <w:t xml:space="preserve"> </w:t>
      </w:r>
      <w:r>
        <w:rPr>
          <w:sz w:val="18"/>
        </w:rPr>
        <w:t>the</w:t>
      </w:r>
      <w:r>
        <w:rPr>
          <w:spacing w:val="-3"/>
          <w:sz w:val="18"/>
        </w:rPr>
        <w:t xml:space="preserve"> </w:t>
      </w:r>
      <w:r>
        <w:rPr>
          <w:sz w:val="18"/>
        </w:rPr>
        <w:t>Preliminary</w:t>
      </w:r>
      <w:r>
        <w:rPr>
          <w:spacing w:val="-1"/>
          <w:sz w:val="18"/>
        </w:rPr>
        <w:t xml:space="preserve"> </w:t>
      </w:r>
      <w:r>
        <w:rPr>
          <w:sz w:val="18"/>
        </w:rPr>
        <w:t>Determination</w:t>
      </w:r>
      <w:r>
        <w:rPr>
          <w:spacing w:val="-1"/>
          <w:sz w:val="18"/>
        </w:rPr>
        <w:t xml:space="preserve"> </w:t>
      </w:r>
      <w:r>
        <w:rPr>
          <w:sz w:val="18"/>
        </w:rPr>
        <w:t>(AUS‐69),</w:t>
      </w:r>
      <w:r>
        <w:rPr>
          <w:spacing w:val="-2"/>
          <w:sz w:val="18"/>
        </w:rPr>
        <w:t xml:space="preserve"> </w:t>
      </w:r>
      <w:r>
        <w:rPr>
          <w:sz w:val="18"/>
        </w:rPr>
        <w:t>p.</w:t>
      </w:r>
      <w:r>
        <w:rPr>
          <w:spacing w:val="-1"/>
          <w:sz w:val="18"/>
        </w:rPr>
        <w:t xml:space="preserve"> </w:t>
      </w:r>
      <w:r>
        <w:rPr>
          <w:sz w:val="18"/>
        </w:rPr>
        <w:t>4;</w:t>
      </w:r>
      <w:r>
        <w:rPr>
          <w:spacing w:val="-3"/>
          <w:sz w:val="18"/>
        </w:rPr>
        <w:t xml:space="preserve"> </w:t>
      </w:r>
      <w:r>
        <w:rPr>
          <w:sz w:val="18"/>
        </w:rPr>
        <w:t>CADA</w:t>
      </w:r>
      <w:r>
        <w:rPr>
          <w:spacing w:val="-2"/>
          <w:sz w:val="18"/>
        </w:rPr>
        <w:t xml:space="preserve"> </w:t>
      </w:r>
      <w:r>
        <w:rPr>
          <w:sz w:val="18"/>
        </w:rPr>
        <w:t>Comments</w:t>
      </w:r>
      <w:r>
        <w:rPr>
          <w:spacing w:val="-1"/>
          <w:sz w:val="18"/>
        </w:rPr>
        <w:t xml:space="preserve"> </w:t>
      </w:r>
      <w:r>
        <w:rPr>
          <w:sz w:val="18"/>
        </w:rPr>
        <w:t>on</w:t>
      </w:r>
      <w:r>
        <w:rPr>
          <w:spacing w:val="-2"/>
          <w:sz w:val="18"/>
        </w:rPr>
        <w:t xml:space="preserve"> </w:t>
      </w:r>
      <w:r>
        <w:rPr>
          <w:sz w:val="18"/>
        </w:rPr>
        <w:t>Stakeholder's Comm</w:t>
      </w:r>
      <w:r>
        <w:rPr>
          <w:sz w:val="18"/>
        </w:rPr>
        <w:t>ents on the Preliminary Determination (Exhibit AUS‐70), p. 11; CADA Application for Anti‐Dumping Investigation (Exhibit AUS‐64), pp. 10, 17, 18.</w:t>
      </w:r>
    </w:p>
    <w:p w14:paraId="51DE9333" w14:textId="77777777" w:rsidR="0010369C" w:rsidRDefault="0010369C">
      <w:pPr>
        <w:jc w:val="both"/>
        <w:rPr>
          <w:sz w:val="18"/>
        </w:rPr>
        <w:sectPr w:rsidR="0010369C">
          <w:headerReference w:type="default" r:id="rId938"/>
          <w:footerReference w:type="default" r:id="rId939"/>
          <w:pgSz w:w="11910" w:h="16840"/>
          <w:pgMar w:top="880" w:right="800" w:bottom="980" w:left="1180" w:header="569" w:footer="788" w:gutter="0"/>
          <w:cols w:space="720"/>
        </w:sectPr>
      </w:pPr>
    </w:p>
    <w:p w14:paraId="51DE9334" w14:textId="77777777" w:rsidR="0010369C" w:rsidRDefault="008E43AE">
      <w:pPr>
        <w:tabs>
          <w:tab w:val="left" w:pos="6426"/>
        </w:tabs>
        <w:ind w:left="238"/>
        <w:jc w:val="both"/>
        <w:rPr>
          <w:sz w:val="20"/>
        </w:rPr>
      </w:pPr>
      <w:r>
        <w:rPr>
          <w:i/>
          <w:sz w:val="20"/>
        </w:rPr>
        <w:lastRenderedPageBreak/>
        <w:t>China</w:t>
      </w:r>
      <w:r>
        <w:rPr>
          <w:i/>
          <w:spacing w:val="-5"/>
          <w:sz w:val="20"/>
        </w:rPr>
        <w:t xml:space="preserve"> </w:t>
      </w:r>
      <w:r>
        <w:rPr>
          <w:i/>
          <w:sz w:val="20"/>
        </w:rPr>
        <w:t>–</w:t>
      </w:r>
      <w:r>
        <w:rPr>
          <w:i/>
          <w:spacing w:val="-5"/>
          <w:sz w:val="20"/>
        </w:rPr>
        <w:t xml:space="preserve"> </w:t>
      </w:r>
      <w:r>
        <w:rPr>
          <w:i/>
          <w:sz w:val="20"/>
        </w:rPr>
        <w:t>Anti‐Dumping</w:t>
      </w:r>
      <w:r>
        <w:rPr>
          <w:i/>
          <w:spacing w:val="-4"/>
          <w:sz w:val="20"/>
        </w:rPr>
        <w:t xml:space="preserve"> </w:t>
      </w:r>
      <w:r>
        <w:rPr>
          <w:i/>
          <w:sz w:val="20"/>
        </w:rPr>
        <w:t>and</w:t>
      </w:r>
      <w:r>
        <w:rPr>
          <w:i/>
          <w:spacing w:val="-5"/>
          <w:sz w:val="20"/>
        </w:rPr>
        <w:t xml:space="preserve"> </w:t>
      </w:r>
      <w:r>
        <w:rPr>
          <w:i/>
          <w:sz w:val="20"/>
        </w:rPr>
        <w:t>Countervailing</w:t>
      </w:r>
      <w:r>
        <w:rPr>
          <w:i/>
          <w:spacing w:val="-5"/>
          <w:sz w:val="20"/>
        </w:rPr>
        <w:t xml:space="preserve"> </w:t>
      </w:r>
      <w:r>
        <w:rPr>
          <w:i/>
          <w:sz w:val="20"/>
        </w:rPr>
        <w:t>Duty</w:t>
      </w:r>
      <w:r>
        <w:rPr>
          <w:i/>
          <w:spacing w:val="-4"/>
          <w:sz w:val="20"/>
        </w:rPr>
        <w:t xml:space="preserve"> </w:t>
      </w:r>
      <w:r>
        <w:rPr>
          <w:i/>
          <w:spacing w:val="-2"/>
          <w:sz w:val="20"/>
        </w:rPr>
        <w:t>Measures</w:t>
      </w:r>
      <w:r>
        <w:rPr>
          <w:i/>
          <w:sz w:val="20"/>
        </w:rPr>
        <w:tab/>
      </w:r>
      <w:r>
        <w:rPr>
          <w:sz w:val="20"/>
        </w:rPr>
        <w:t>Australia's</w:t>
      </w:r>
      <w:r>
        <w:rPr>
          <w:spacing w:val="-7"/>
          <w:sz w:val="20"/>
        </w:rPr>
        <w:t xml:space="preserve"> </w:t>
      </w:r>
      <w:r>
        <w:rPr>
          <w:sz w:val="20"/>
        </w:rPr>
        <w:t>First</w:t>
      </w:r>
      <w:r>
        <w:rPr>
          <w:spacing w:val="-2"/>
          <w:sz w:val="20"/>
        </w:rPr>
        <w:t xml:space="preserve"> </w:t>
      </w:r>
      <w:r>
        <w:rPr>
          <w:sz w:val="20"/>
        </w:rPr>
        <w:t>Written</w:t>
      </w:r>
      <w:r>
        <w:rPr>
          <w:spacing w:val="-2"/>
          <w:sz w:val="20"/>
        </w:rPr>
        <w:t xml:space="preserve"> Submission</w:t>
      </w:r>
    </w:p>
    <w:p w14:paraId="51DE9335" w14:textId="77777777" w:rsidR="0010369C" w:rsidRDefault="008E43AE">
      <w:pPr>
        <w:tabs>
          <w:tab w:val="left" w:pos="8228"/>
        </w:tabs>
        <w:spacing w:before="1"/>
        <w:ind w:left="239"/>
        <w:jc w:val="both"/>
        <w:rPr>
          <w:sz w:val="20"/>
        </w:rPr>
      </w:pPr>
      <w:r>
        <w:rPr>
          <w:i/>
          <w:sz w:val="20"/>
        </w:rPr>
        <w:t>on</w:t>
      </w:r>
      <w:r>
        <w:rPr>
          <w:i/>
          <w:spacing w:val="-1"/>
          <w:sz w:val="20"/>
        </w:rPr>
        <w:t xml:space="preserve"> </w:t>
      </w:r>
      <w:r>
        <w:rPr>
          <w:i/>
          <w:sz w:val="20"/>
        </w:rPr>
        <w:t>Wine</w:t>
      </w:r>
      <w:r>
        <w:rPr>
          <w:i/>
          <w:spacing w:val="-1"/>
          <w:sz w:val="20"/>
        </w:rPr>
        <w:t xml:space="preserve"> </w:t>
      </w:r>
      <w:r>
        <w:rPr>
          <w:i/>
          <w:sz w:val="20"/>
        </w:rPr>
        <w:t>from</w:t>
      </w:r>
      <w:r>
        <w:rPr>
          <w:i/>
          <w:spacing w:val="-3"/>
          <w:sz w:val="20"/>
        </w:rPr>
        <w:t xml:space="preserve"> </w:t>
      </w:r>
      <w:r>
        <w:rPr>
          <w:i/>
          <w:sz w:val="20"/>
        </w:rPr>
        <w:t>Australia</w:t>
      </w:r>
      <w:r>
        <w:rPr>
          <w:i/>
          <w:spacing w:val="-1"/>
          <w:sz w:val="20"/>
        </w:rPr>
        <w:t xml:space="preserve"> </w:t>
      </w:r>
      <w:r>
        <w:rPr>
          <w:spacing w:val="-2"/>
          <w:sz w:val="20"/>
        </w:rPr>
        <w:t>(DS602)</w:t>
      </w:r>
      <w:r>
        <w:rPr>
          <w:sz w:val="20"/>
        </w:rPr>
        <w:tab/>
        <w:t>29</w:t>
      </w:r>
      <w:r>
        <w:rPr>
          <w:spacing w:val="-1"/>
          <w:sz w:val="20"/>
        </w:rPr>
        <w:t xml:space="preserve"> </w:t>
      </w:r>
      <w:r>
        <w:rPr>
          <w:sz w:val="20"/>
        </w:rPr>
        <w:t>April</w:t>
      </w:r>
      <w:r>
        <w:rPr>
          <w:spacing w:val="-2"/>
          <w:sz w:val="20"/>
        </w:rPr>
        <w:t xml:space="preserve"> </w:t>
      </w:r>
      <w:r>
        <w:rPr>
          <w:spacing w:val="-4"/>
          <w:sz w:val="20"/>
        </w:rPr>
        <w:t>2022</w:t>
      </w:r>
    </w:p>
    <w:p w14:paraId="51DE9336" w14:textId="77777777" w:rsidR="0010369C" w:rsidRDefault="008E43AE">
      <w:pPr>
        <w:pStyle w:val="BodyText"/>
        <w:spacing w:before="34" w:line="360" w:lineRule="auto"/>
        <w:ind w:left="237" w:right="614" w:firstLine="851"/>
        <w:jc w:val="both"/>
      </w:pPr>
      <w:r>
        <w:rPr>
          <w:noProof/>
        </w:rPr>
        <w:drawing>
          <wp:anchor distT="0" distB="0" distL="0" distR="0" simplePos="0" relativeHeight="251316736" behindDoc="1" locked="0" layoutInCell="1" allowOverlap="1" wp14:anchorId="51DEA5DA" wp14:editId="51DEA5DB">
            <wp:simplePos x="0" y="0"/>
            <wp:positionH relativeFrom="page">
              <wp:posOffset>902208</wp:posOffset>
            </wp:positionH>
            <wp:positionV relativeFrom="paragraph">
              <wp:posOffset>69165</wp:posOffset>
            </wp:positionV>
            <wp:extent cx="262127" cy="103631"/>
            <wp:effectExtent l="0" t="0" r="0" b="0"/>
            <wp:wrapNone/>
            <wp:docPr id="1391" name="image7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 name="image722.png"/>
                    <pic:cNvPicPr/>
                  </pic:nvPicPr>
                  <pic:blipFill>
                    <a:blip r:embed="rId940" cstate="print"/>
                    <a:stretch>
                      <a:fillRect/>
                    </a:stretch>
                  </pic:blipFill>
                  <pic:spPr>
                    <a:xfrm>
                      <a:off x="0" y="0"/>
                      <a:ext cx="262127" cy="103631"/>
                    </a:xfrm>
                    <a:prstGeom prst="rect">
                      <a:avLst/>
                    </a:prstGeom>
                  </pic:spPr>
                </pic:pic>
              </a:graphicData>
            </a:graphic>
          </wp:anchor>
        </w:drawing>
      </w:r>
      <w:r>
        <w:t>In relation to consumer perceptions, the evidence on the record established that consumers</w:t>
      </w:r>
      <w:r>
        <w:rPr>
          <w:spacing w:val="-14"/>
        </w:rPr>
        <w:t xml:space="preserve"> </w:t>
      </w:r>
      <w:r>
        <w:t>in</w:t>
      </w:r>
      <w:r>
        <w:rPr>
          <w:spacing w:val="-14"/>
        </w:rPr>
        <w:t xml:space="preserve"> </w:t>
      </w:r>
      <w:r>
        <w:t>the</w:t>
      </w:r>
      <w:r>
        <w:rPr>
          <w:spacing w:val="-13"/>
        </w:rPr>
        <w:t xml:space="preserve"> </w:t>
      </w:r>
      <w:r>
        <w:t>Chinese</w:t>
      </w:r>
      <w:r>
        <w:rPr>
          <w:spacing w:val="-14"/>
        </w:rPr>
        <w:t xml:space="preserve"> </w:t>
      </w:r>
      <w:r>
        <w:t>market</w:t>
      </w:r>
      <w:r>
        <w:rPr>
          <w:spacing w:val="-13"/>
        </w:rPr>
        <w:t xml:space="preserve"> </w:t>
      </w:r>
      <w:r>
        <w:t>perceived</w:t>
      </w:r>
      <w:r>
        <w:rPr>
          <w:spacing w:val="-14"/>
        </w:rPr>
        <w:t xml:space="preserve"> </w:t>
      </w:r>
      <w:r>
        <w:t>domestic</w:t>
      </w:r>
      <w:r>
        <w:rPr>
          <w:spacing w:val="-13"/>
        </w:rPr>
        <w:t xml:space="preserve"> </w:t>
      </w:r>
      <w:r>
        <w:t>like</w:t>
      </w:r>
      <w:r>
        <w:rPr>
          <w:spacing w:val="-14"/>
        </w:rPr>
        <w:t xml:space="preserve"> </w:t>
      </w:r>
      <w:r>
        <w:t>products</w:t>
      </w:r>
      <w:r>
        <w:rPr>
          <w:spacing w:val="-14"/>
        </w:rPr>
        <w:t xml:space="preserve"> </w:t>
      </w:r>
      <w:r>
        <w:t>as</w:t>
      </w:r>
      <w:r>
        <w:rPr>
          <w:spacing w:val="-13"/>
        </w:rPr>
        <w:t xml:space="preserve"> </w:t>
      </w:r>
      <w:r>
        <w:t>being</w:t>
      </w:r>
      <w:r>
        <w:rPr>
          <w:spacing w:val="-14"/>
        </w:rPr>
        <w:t xml:space="preserve"> </w:t>
      </w:r>
      <w:r>
        <w:t>of</w:t>
      </w:r>
      <w:r>
        <w:rPr>
          <w:spacing w:val="-13"/>
        </w:rPr>
        <w:t xml:space="preserve"> </w:t>
      </w:r>
      <w:r>
        <w:t>a</w:t>
      </w:r>
      <w:r>
        <w:rPr>
          <w:spacing w:val="-14"/>
        </w:rPr>
        <w:t xml:space="preserve"> </w:t>
      </w:r>
      <w:r>
        <w:t>poorer</w:t>
      </w:r>
      <w:r>
        <w:rPr>
          <w:spacing w:val="-13"/>
        </w:rPr>
        <w:t xml:space="preserve"> </w:t>
      </w:r>
      <w:r>
        <w:t>quality that subject imports. This evidence included:</w:t>
      </w:r>
    </w:p>
    <w:p w14:paraId="51DE9337" w14:textId="77777777" w:rsidR="0010369C" w:rsidRDefault="008E43AE">
      <w:pPr>
        <w:pStyle w:val="ListParagraph"/>
        <w:numPr>
          <w:ilvl w:val="0"/>
          <w:numId w:val="38"/>
        </w:numPr>
        <w:tabs>
          <w:tab w:val="left" w:pos="1939"/>
          <w:tab w:val="left" w:pos="1940"/>
        </w:tabs>
        <w:spacing w:before="161" w:line="360" w:lineRule="auto"/>
        <w:ind w:right="612"/>
        <w:rPr>
          <w:sz w:val="24"/>
        </w:rPr>
      </w:pPr>
      <w:r>
        <w:rPr>
          <w:sz w:val="24"/>
        </w:rPr>
        <w:t>Evidence of a Global Brand Tracking survey conducted by Wine Intelligence that showed that Chinese consumers ranked Chinese wine 6</w:t>
      </w:r>
      <w:r>
        <w:rPr>
          <w:sz w:val="24"/>
          <w:vertAlign w:val="superscript"/>
        </w:rPr>
        <w:t>th</w:t>
      </w:r>
      <w:r>
        <w:rPr>
          <w:sz w:val="24"/>
        </w:rPr>
        <w:t xml:space="preserve"> in terms of qua</w:t>
      </w:r>
      <w:r>
        <w:rPr>
          <w:sz w:val="24"/>
        </w:rPr>
        <w:t>lity, when compared to wines from other nations. Australian wine ranked 3</w:t>
      </w:r>
      <w:r>
        <w:rPr>
          <w:sz w:val="24"/>
          <w:vertAlign w:val="superscript"/>
        </w:rPr>
        <w:t>rd</w:t>
      </w:r>
      <w:r>
        <w:rPr>
          <w:sz w:val="24"/>
        </w:rPr>
        <w:t>, behind French and Italian wine. Notably, only 35% of Chinese respondents</w:t>
      </w:r>
      <w:r>
        <w:rPr>
          <w:spacing w:val="-10"/>
          <w:sz w:val="24"/>
        </w:rPr>
        <w:t xml:space="preserve"> </w:t>
      </w:r>
      <w:r>
        <w:rPr>
          <w:sz w:val="24"/>
        </w:rPr>
        <w:t>to</w:t>
      </w:r>
      <w:r>
        <w:rPr>
          <w:spacing w:val="-8"/>
          <w:sz w:val="24"/>
        </w:rPr>
        <w:t xml:space="preserve"> </w:t>
      </w:r>
      <w:r>
        <w:rPr>
          <w:sz w:val="24"/>
        </w:rPr>
        <w:t>the</w:t>
      </w:r>
      <w:r>
        <w:rPr>
          <w:spacing w:val="-8"/>
          <w:sz w:val="24"/>
        </w:rPr>
        <w:t xml:space="preserve"> </w:t>
      </w:r>
      <w:r>
        <w:rPr>
          <w:sz w:val="24"/>
        </w:rPr>
        <w:t>survey</w:t>
      </w:r>
      <w:r>
        <w:rPr>
          <w:spacing w:val="-7"/>
          <w:sz w:val="24"/>
        </w:rPr>
        <w:t xml:space="preserve"> </w:t>
      </w:r>
      <w:r>
        <w:rPr>
          <w:sz w:val="24"/>
        </w:rPr>
        <w:t>ranked</w:t>
      </w:r>
      <w:r>
        <w:rPr>
          <w:spacing w:val="-10"/>
          <w:sz w:val="24"/>
        </w:rPr>
        <w:t xml:space="preserve"> </w:t>
      </w:r>
      <w:r>
        <w:rPr>
          <w:sz w:val="24"/>
        </w:rPr>
        <w:t>Chinese</w:t>
      </w:r>
      <w:r>
        <w:rPr>
          <w:spacing w:val="-8"/>
          <w:sz w:val="24"/>
        </w:rPr>
        <w:t xml:space="preserve"> </w:t>
      </w:r>
      <w:r>
        <w:rPr>
          <w:sz w:val="24"/>
        </w:rPr>
        <w:t>wine</w:t>
      </w:r>
      <w:r>
        <w:rPr>
          <w:spacing w:val="-8"/>
          <w:sz w:val="24"/>
        </w:rPr>
        <w:t xml:space="preserve"> </w:t>
      </w:r>
      <w:r>
        <w:rPr>
          <w:sz w:val="24"/>
        </w:rPr>
        <w:t>in</w:t>
      </w:r>
      <w:r>
        <w:rPr>
          <w:spacing w:val="-10"/>
          <w:sz w:val="24"/>
        </w:rPr>
        <w:t xml:space="preserve"> </w:t>
      </w:r>
      <w:r>
        <w:rPr>
          <w:sz w:val="24"/>
        </w:rPr>
        <w:t>the</w:t>
      </w:r>
      <w:r>
        <w:rPr>
          <w:spacing w:val="-8"/>
          <w:sz w:val="24"/>
        </w:rPr>
        <w:t xml:space="preserve"> </w:t>
      </w:r>
      <w:r>
        <w:rPr>
          <w:sz w:val="24"/>
        </w:rPr>
        <w:t>top</w:t>
      </w:r>
      <w:r>
        <w:rPr>
          <w:spacing w:val="-9"/>
          <w:sz w:val="24"/>
        </w:rPr>
        <w:t xml:space="preserve"> </w:t>
      </w:r>
      <w:r>
        <w:rPr>
          <w:sz w:val="24"/>
        </w:rPr>
        <w:t>quality</w:t>
      </w:r>
      <w:r>
        <w:rPr>
          <w:spacing w:val="-7"/>
          <w:sz w:val="24"/>
        </w:rPr>
        <w:t xml:space="preserve"> </w:t>
      </w:r>
      <w:r>
        <w:rPr>
          <w:sz w:val="24"/>
        </w:rPr>
        <w:t>categories (9</w:t>
      </w:r>
      <w:r>
        <w:rPr>
          <w:spacing w:val="-1"/>
          <w:sz w:val="24"/>
        </w:rPr>
        <w:t xml:space="preserve"> </w:t>
      </w:r>
      <w:r>
        <w:rPr>
          <w:sz w:val="24"/>
        </w:rPr>
        <w:t>and 10). In contrast,</w:t>
      </w:r>
      <w:r>
        <w:rPr>
          <w:spacing w:val="-1"/>
          <w:sz w:val="24"/>
        </w:rPr>
        <w:t xml:space="preserve"> </w:t>
      </w:r>
      <w:r>
        <w:rPr>
          <w:sz w:val="24"/>
        </w:rPr>
        <w:t>52% of Chinese re</w:t>
      </w:r>
      <w:r>
        <w:rPr>
          <w:sz w:val="24"/>
        </w:rPr>
        <w:t>spondents ranked</w:t>
      </w:r>
      <w:r>
        <w:rPr>
          <w:spacing w:val="-2"/>
          <w:sz w:val="24"/>
        </w:rPr>
        <w:t xml:space="preserve"> </w:t>
      </w:r>
      <w:r>
        <w:rPr>
          <w:sz w:val="24"/>
        </w:rPr>
        <w:t>Australian</w:t>
      </w:r>
      <w:r>
        <w:rPr>
          <w:spacing w:val="-1"/>
          <w:sz w:val="24"/>
        </w:rPr>
        <w:t xml:space="preserve"> </w:t>
      </w:r>
      <w:r>
        <w:rPr>
          <w:sz w:val="24"/>
        </w:rPr>
        <w:t>wine in the top quality categories.</w:t>
      </w:r>
      <w:r>
        <w:rPr>
          <w:sz w:val="24"/>
          <w:vertAlign w:val="superscript"/>
        </w:rPr>
        <w:t>852</w:t>
      </w:r>
    </w:p>
    <w:p w14:paraId="51DE9338" w14:textId="77777777" w:rsidR="0010369C" w:rsidRDefault="008E43AE">
      <w:pPr>
        <w:pStyle w:val="ListParagraph"/>
        <w:numPr>
          <w:ilvl w:val="0"/>
          <w:numId w:val="38"/>
        </w:numPr>
        <w:tabs>
          <w:tab w:val="left" w:pos="1939"/>
          <w:tab w:val="left" w:pos="1941"/>
        </w:tabs>
        <w:spacing w:before="119" w:line="357" w:lineRule="auto"/>
        <w:ind w:left="1940" w:right="613"/>
        <w:rPr>
          <w:sz w:val="24"/>
        </w:rPr>
      </w:pPr>
      <w:r>
        <w:rPr>
          <w:sz w:val="24"/>
        </w:rPr>
        <w:t>Evidence</w:t>
      </w:r>
      <w:r>
        <w:rPr>
          <w:spacing w:val="-14"/>
          <w:sz w:val="24"/>
        </w:rPr>
        <w:t xml:space="preserve"> </w:t>
      </w:r>
      <w:r>
        <w:rPr>
          <w:sz w:val="24"/>
        </w:rPr>
        <w:t>from</w:t>
      </w:r>
      <w:r>
        <w:rPr>
          <w:spacing w:val="-14"/>
          <w:sz w:val="24"/>
        </w:rPr>
        <w:t xml:space="preserve"> </w:t>
      </w:r>
      <w:r>
        <w:rPr>
          <w:sz w:val="24"/>
        </w:rPr>
        <w:t>Treasury</w:t>
      </w:r>
      <w:r>
        <w:rPr>
          <w:spacing w:val="-13"/>
          <w:sz w:val="24"/>
        </w:rPr>
        <w:t xml:space="preserve"> </w:t>
      </w:r>
      <w:r>
        <w:rPr>
          <w:sz w:val="24"/>
        </w:rPr>
        <w:t>Wines</w:t>
      </w:r>
      <w:r>
        <w:rPr>
          <w:spacing w:val="-14"/>
          <w:sz w:val="24"/>
        </w:rPr>
        <w:t xml:space="preserve"> </w:t>
      </w:r>
      <w:r>
        <w:rPr>
          <w:sz w:val="24"/>
        </w:rPr>
        <w:t>which</w:t>
      </w:r>
      <w:r>
        <w:rPr>
          <w:spacing w:val="-13"/>
          <w:sz w:val="24"/>
        </w:rPr>
        <w:t xml:space="preserve"> </w:t>
      </w:r>
      <w:r>
        <w:rPr>
          <w:sz w:val="24"/>
        </w:rPr>
        <w:t>demonstrated</w:t>
      </w:r>
      <w:r>
        <w:rPr>
          <w:spacing w:val="-14"/>
          <w:sz w:val="24"/>
        </w:rPr>
        <w:t xml:space="preserve"> </w:t>
      </w:r>
      <w:r>
        <w:rPr>
          <w:sz w:val="24"/>
        </w:rPr>
        <w:t>that</w:t>
      </w:r>
      <w:r>
        <w:rPr>
          <w:spacing w:val="-13"/>
          <w:sz w:val="24"/>
        </w:rPr>
        <w:t xml:space="preserve"> </w:t>
      </w:r>
      <w:r>
        <w:rPr>
          <w:sz w:val="24"/>
        </w:rPr>
        <w:t>their</w:t>
      </w:r>
      <w:r>
        <w:rPr>
          <w:spacing w:val="-14"/>
          <w:sz w:val="24"/>
        </w:rPr>
        <w:t xml:space="preserve"> </w:t>
      </w:r>
      <w:r>
        <w:rPr>
          <w:sz w:val="24"/>
        </w:rPr>
        <w:t>products</w:t>
      </w:r>
      <w:r>
        <w:rPr>
          <w:spacing w:val="-14"/>
          <w:sz w:val="24"/>
        </w:rPr>
        <w:t xml:space="preserve"> </w:t>
      </w:r>
      <w:r>
        <w:rPr>
          <w:sz w:val="24"/>
        </w:rPr>
        <w:t>were preferred by customers for "high‐end commercial consumption sites, such as hotels and upscale restaurants", whereas domestic like products were preferred for "public consumption occasions at affordable prices".</w:t>
      </w:r>
      <w:r>
        <w:rPr>
          <w:sz w:val="24"/>
          <w:vertAlign w:val="superscript"/>
        </w:rPr>
        <w:t>853</w:t>
      </w:r>
    </w:p>
    <w:p w14:paraId="51DE9339" w14:textId="77777777" w:rsidR="0010369C" w:rsidRDefault="008E43AE">
      <w:pPr>
        <w:pStyle w:val="ListParagraph"/>
        <w:numPr>
          <w:ilvl w:val="0"/>
          <w:numId w:val="38"/>
        </w:numPr>
        <w:tabs>
          <w:tab w:val="left" w:pos="1940"/>
          <w:tab w:val="left" w:pos="1941"/>
        </w:tabs>
        <w:spacing w:before="131" w:line="360" w:lineRule="auto"/>
        <w:ind w:right="612" w:hanging="850"/>
        <w:rPr>
          <w:sz w:val="24"/>
        </w:rPr>
      </w:pPr>
      <w:r>
        <w:rPr>
          <w:sz w:val="24"/>
        </w:rPr>
        <w:t>Evidence provided by COFCO W&amp;W Intern</w:t>
      </w:r>
      <w:r>
        <w:rPr>
          <w:sz w:val="24"/>
        </w:rPr>
        <w:t xml:space="preserve">ational Co that Australian wine imports were not an alternative to domestic like products due to various factors including "production area, grape variety, winery and brand". Additionally, COFCO noted that as "Australian wine has its own targeted consumer </w:t>
      </w:r>
      <w:r>
        <w:rPr>
          <w:sz w:val="24"/>
        </w:rPr>
        <w:t>groups, and many Australian wine brands are well recognised by the Chinese people, they are difficult to be replaced in a short time".</w:t>
      </w:r>
      <w:r>
        <w:rPr>
          <w:sz w:val="24"/>
          <w:vertAlign w:val="superscript"/>
        </w:rPr>
        <w:t>854</w:t>
      </w:r>
    </w:p>
    <w:p w14:paraId="51DE933A" w14:textId="77777777" w:rsidR="0010369C" w:rsidRDefault="008E43AE">
      <w:pPr>
        <w:pStyle w:val="ListParagraph"/>
        <w:numPr>
          <w:ilvl w:val="0"/>
          <w:numId w:val="38"/>
        </w:numPr>
        <w:tabs>
          <w:tab w:val="left" w:pos="1940"/>
          <w:tab w:val="left" w:pos="1941"/>
        </w:tabs>
        <w:spacing w:before="119" w:line="360" w:lineRule="auto"/>
        <w:ind w:right="614" w:hanging="850"/>
        <w:rPr>
          <w:sz w:val="24"/>
        </w:rPr>
      </w:pPr>
      <w:r>
        <w:rPr>
          <w:sz w:val="24"/>
        </w:rPr>
        <w:t>MOFCOM found that imported products typically enjoyed a "traditionally strong" position in the Chinese market.</w:t>
      </w:r>
      <w:r>
        <w:rPr>
          <w:sz w:val="24"/>
          <w:vertAlign w:val="superscript"/>
        </w:rPr>
        <w:t>855</w:t>
      </w:r>
      <w:r>
        <w:rPr>
          <w:sz w:val="24"/>
        </w:rPr>
        <w:t xml:space="preserve"> Simi</w:t>
      </w:r>
      <w:r>
        <w:rPr>
          <w:sz w:val="24"/>
        </w:rPr>
        <w:t>larly, in its application for initiation of the anti‐dumping investigation, CADA acknowledged that "[i]n the Chinese market, Australian wine manufacturers have a definite competitive advantage by virtue of their existing public praise and brands, as well a</w:t>
      </w:r>
      <w:r>
        <w:rPr>
          <w:sz w:val="24"/>
        </w:rPr>
        <w:t>s the consumption habits developed in consumer groups".</w:t>
      </w:r>
      <w:r>
        <w:rPr>
          <w:sz w:val="24"/>
          <w:vertAlign w:val="superscript"/>
        </w:rPr>
        <w:t>856</w:t>
      </w:r>
    </w:p>
    <w:p w14:paraId="51DE933B" w14:textId="77777777" w:rsidR="0010369C" w:rsidRDefault="0010369C">
      <w:pPr>
        <w:pStyle w:val="BodyText"/>
        <w:spacing w:before="3"/>
        <w:rPr>
          <w:sz w:val="38"/>
        </w:rPr>
      </w:pPr>
    </w:p>
    <w:p w14:paraId="51DE933C" w14:textId="77777777" w:rsidR="0010369C" w:rsidRDefault="008E43AE">
      <w:pPr>
        <w:ind w:left="238"/>
        <w:jc w:val="both"/>
        <w:rPr>
          <w:sz w:val="18"/>
        </w:rPr>
      </w:pPr>
      <w:r>
        <w:rPr>
          <w:sz w:val="18"/>
          <w:vertAlign w:val="superscript"/>
        </w:rPr>
        <w:t>852</w:t>
      </w:r>
      <w:r>
        <w:rPr>
          <w:spacing w:val="-7"/>
          <w:sz w:val="18"/>
        </w:rPr>
        <w:t xml:space="preserve"> </w:t>
      </w:r>
      <w:r>
        <w:rPr>
          <w:sz w:val="18"/>
        </w:rPr>
        <w:t>AGW</w:t>
      </w:r>
      <w:r>
        <w:rPr>
          <w:spacing w:val="-8"/>
          <w:sz w:val="18"/>
        </w:rPr>
        <w:t xml:space="preserve"> </w:t>
      </w:r>
      <w:r>
        <w:rPr>
          <w:sz w:val="18"/>
        </w:rPr>
        <w:t>Submission</w:t>
      </w:r>
      <w:r>
        <w:rPr>
          <w:spacing w:val="-6"/>
          <w:sz w:val="18"/>
        </w:rPr>
        <w:t xml:space="preserve"> </w:t>
      </w:r>
      <w:r>
        <w:rPr>
          <w:sz w:val="18"/>
        </w:rPr>
        <w:t>on</w:t>
      </w:r>
      <w:r>
        <w:rPr>
          <w:spacing w:val="-7"/>
          <w:sz w:val="18"/>
        </w:rPr>
        <w:t xml:space="preserve"> </w:t>
      </w:r>
      <w:r>
        <w:rPr>
          <w:sz w:val="18"/>
        </w:rPr>
        <w:t>Initiation</w:t>
      </w:r>
      <w:r>
        <w:rPr>
          <w:spacing w:val="-7"/>
          <w:sz w:val="18"/>
        </w:rPr>
        <w:t xml:space="preserve"> </w:t>
      </w:r>
      <w:r>
        <w:rPr>
          <w:sz w:val="18"/>
        </w:rPr>
        <w:t>of</w:t>
      </w:r>
      <w:r>
        <w:rPr>
          <w:spacing w:val="-7"/>
          <w:sz w:val="18"/>
        </w:rPr>
        <w:t xml:space="preserve"> </w:t>
      </w:r>
      <w:r>
        <w:rPr>
          <w:sz w:val="18"/>
        </w:rPr>
        <w:t>Investigation</w:t>
      </w:r>
      <w:r>
        <w:rPr>
          <w:spacing w:val="-7"/>
          <w:sz w:val="18"/>
        </w:rPr>
        <w:t xml:space="preserve"> </w:t>
      </w:r>
      <w:r>
        <w:rPr>
          <w:sz w:val="18"/>
        </w:rPr>
        <w:t>(Exhibit</w:t>
      </w:r>
      <w:r>
        <w:rPr>
          <w:spacing w:val="-7"/>
          <w:sz w:val="18"/>
        </w:rPr>
        <w:t xml:space="preserve"> </w:t>
      </w:r>
      <w:r>
        <w:rPr>
          <w:sz w:val="18"/>
        </w:rPr>
        <w:t>AUS‐71),</w:t>
      </w:r>
      <w:r>
        <w:rPr>
          <w:spacing w:val="-7"/>
          <w:sz w:val="18"/>
        </w:rPr>
        <w:t xml:space="preserve"> </w:t>
      </w:r>
      <w:r>
        <w:rPr>
          <w:sz w:val="18"/>
        </w:rPr>
        <w:t>pp.</w:t>
      </w:r>
      <w:r>
        <w:rPr>
          <w:spacing w:val="-7"/>
          <w:sz w:val="18"/>
        </w:rPr>
        <w:t xml:space="preserve"> </w:t>
      </w:r>
      <w:r>
        <w:rPr>
          <w:spacing w:val="-2"/>
          <w:sz w:val="18"/>
        </w:rPr>
        <w:t>9‐10.</w:t>
      </w:r>
    </w:p>
    <w:p w14:paraId="51DE933D" w14:textId="77777777" w:rsidR="0010369C" w:rsidRDefault="008E43AE">
      <w:pPr>
        <w:ind w:left="238"/>
        <w:jc w:val="both"/>
        <w:rPr>
          <w:sz w:val="18"/>
        </w:rPr>
      </w:pPr>
      <w:r>
        <w:rPr>
          <w:sz w:val="18"/>
          <w:vertAlign w:val="superscript"/>
        </w:rPr>
        <w:t>853</w:t>
      </w:r>
      <w:r>
        <w:rPr>
          <w:spacing w:val="-8"/>
          <w:sz w:val="18"/>
        </w:rPr>
        <w:t xml:space="preserve"> </w:t>
      </w:r>
      <w:r>
        <w:rPr>
          <w:sz w:val="18"/>
        </w:rPr>
        <w:t>Treasury</w:t>
      </w:r>
      <w:r>
        <w:rPr>
          <w:spacing w:val="-7"/>
          <w:sz w:val="18"/>
        </w:rPr>
        <w:t xml:space="preserve"> </w:t>
      </w:r>
      <w:r>
        <w:rPr>
          <w:sz w:val="18"/>
        </w:rPr>
        <w:t>Wines</w:t>
      </w:r>
      <w:r>
        <w:rPr>
          <w:spacing w:val="-10"/>
          <w:sz w:val="18"/>
        </w:rPr>
        <w:t xml:space="preserve"> </w:t>
      </w:r>
      <w:r>
        <w:rPr>
          <w:sz w:val="18"/>
        </w:rPr>
        <w:t>Anti‐Dumping</w:t>
      </w:r>
      <w:r>
        <w:rPr>
          <w:spacing w:val="-8"/>
          <w:sz w:val="18"/>
        </w:rPr>
        <w:t xml:space="preserve"> </w:t>
      </w:r>
      <w:r>
        <w:rPr>
          <w:sz w:val="18"/>
        </w:rPr>
        <w:t>Questionnaire</w:t>
      </w:r>
      <w:r>
        <w:rPr>
          <w:spacing w:val="-8"/>
          <w:sz w:val="18"/>
        </w:rPr>
        <w:t xml:space="preserve"> </w:t>
      </w:r>
      <w:r>
        <w:rPr>
          <w:sz w:val="18"/>
        </w:rPr>
        <w:t>Response</w:t>
      </w:r>
      <w:r>
        <w:rPr>
          <w:spacing w:val="-8"/>
          <w:sz w:val="18"/>
        </w:rPr>
        <w:t xml:space="preserve"> </w:t>
      </w:r>
      <w:r>
        <w:rPr>
          <w:sz w:val="18"/>
        </w:rPr>
        <w:t>(Exhibit</w:t>
      </w:r>
      <w:r>
        <w:rPr>
          <w:spacing w:val="-8"/>
          <w:sz w:val="18"/>
        </w:rPr>
        <w:t xml:space="preserve"> </w:t>
      </w:r>
      <w:r>
        <w:rPr>
          <w:sz w:val="18"/>
        </w:rPr>
        <w:t>AUS‐73),</w:t>
      </w:r>
      <w:r>
        <w:rPr>
          <w:spacing w:val="-9"/>
          <w:sz w:val="18"/>
        </w:rPr>
        <w:t xml:space="preserve"> </w:t>
      </w:r>
      <w:r>
        <w:rPr>
          <w:sz w:val="18"/>
        </w:rPr>
        <w:t>Section</w:t>
      </w:r>
      <w:r>
        <w:rPr>
          <w:spacing w:val="-8"/>
          <w:sz w:val="18"/>
        </w:rPr>
        <w:t xml:space="preserve"> </w:t>
      </w:r>
      <w:r>
        <w:rPr>
          <w:sz w:val="18"/>
        </w:rPr>
        <w:t>2,</w:t>
      </w:r>
      <w:r>
        <w:rPr>
          <w:spacing w:val="-8"/>
          <w:sz w:val="18"/>
        </w:rPr>
        <w:t xml:space="preserve"> </w:t>
      </w:r>
      <w:r>
        <w:rPr>
          <w:sz w:val="18"/>
        </w:rPr>
        <w:t>Questions</w:t>
      </w:r>
      <w:r>
        <w:rPr>
          <w:spacing w:val="-8"/>
          <w:sz w:val="18"/>
        </w:rPr>
        <w:t xml:space="preserve"> </w:t>
      </w:r>
      <w:r>
        <w:rPr>
          <w:sz w:val="18"/>
        </w:rPr>
        <w:t>4(5),</w:t>
      </w:r>
      <w:r>
        <w:rPr>
          <w:spacing w:val="-9"/>
          <w:sz w:val="18"/>
        </w:rPr>
        <w:t xml:space="preserve"> </w:t>
      </w:r>
      <w:r>
        <w:rPr>
          <w:sz w:val="18"/>
        </w:rPr>
        <w:t>p.</w:t>
      </w:r>
      <w:r>
        <w:rPr>
          <w:spacing w:val="-8"/>
          <w:sz w:val="18"/>
        </w:rPr>
        <w:t xml:space="preserve"> </w:t>
      </w:r>
      <w:r>
        <w:rPr>
          <w:spacing w:val="-5"/>
          <w:sz w:val="18"/>
        </w:rPr>
        <w:t>17.</w:t>
      </w:r>
    </w:p>
    <w:p w14:paraId="51DE933E" w14:textId="77777777" w:rsidR="0010369C" w:rsidRDefault="008E43AE">
      <w:pPr>
        <w:ind w:left="237" w:right="614" w:firstLine="1"/>
        <w:jc w:val="both"/>
        <w:rPr>
          <w:sz w:val="18"/>
        </w:rPr>
      </w:pPr>
      <w:r>
        <w:rPr>
          <w:sz w:val="18"/>
          <w:vertAlign w:val="superscript"/>
        </w:rPr>
        <w:t>854</w:t>
      </w:r>
      <w:r>
        <w:rPr>
          <w:sz w:val="18"/>
        </w:rPr>
        <w:t xml:space="preserve"> COFCO W&amp;W</w:t>
      </w:r>
      <w:r>
        <w:rPr>
          <w:spacing w:val="-1"/>
          <w:sz w:val="18"/>
        </w:rPr>
        <w:t xml:space="preserve"> </w:t>
      </w:r>
      <w:r>
        <w:rPr>
          <w:sz w:val="18"/>
        </w:rPr>
        <w:t>International</w:t>
      </w:r>
      <w:r>
        <w:rPr>
          <w:spacing w:val="-1"/>
          <w:sz w:val="18"/>
        </w:rPr>
        <w:t xml:space="preserve"> </w:t>
      </w:r>
      <w:r>
        <w:rPr>
          <w:sz w:val="18"/>
        </w:rPr>
        <w:t>Anti‐Dumping Questionnaire</w:t>
      </w:r>
      <w:r>
        <w:rPr>
          <w:spacing w:val="-1"/>
          <w:sz w:val="18"/>
        </w:rPr>
        <w:t xml:space="preserve"> </w:t>
      </w:r>
      <w:r>
        <w:rPr>
          <w:sz w:val="18"/>
        </w:rPr>
        <w:t>Response (Exhibit AUS‐103),</w:t>
      </w:r>
      <w:r>
        <w:rPr>
          <w:spacing w:val="-1"/>
          <w:sz w:val="18"/>
        </w:rPr>
        <w:t xml:space="preserve"> </w:t>
      </w:r>
      <w:r>
        <w:rPr>
          <w:sz w:val="18"/>
        </w:rPr>
        <w:t>Section 2, Question 19,</w:t>
      </w:r>
      <w:r>
        <w:rPr>
          <w:spacing w:val="-1"/>
          <w:sz w:val="18"/>
        </w:rPr>
        <w:t xml:space="preserve"> </w:t>
      </w:r>
      <w:r>
        <w:rPr>
          <w:sz w:val="18"/>
        </w:rPr>
        <w:t>pp.</w:t>
      </w:r>
      <w:r>
        <w:rPr>
          <w:spacing w:val="-1"/>
          <w:sz w:val="18"/>
        </w:rPr>
        <w:t xml:space="preserve"> </w:t>
      </w:r>
      <w:r>
        <w:rPr>
          <w:sz w:val="18"/>
        </w:rPr>
        <w:t>28. See also COFCO W&amp;W International Anti‐Dumping Questionnaire Response (Exhibit AUS‐103), Section 2, Questions 20 ‐24, pp. 28‐30; Longcheng Wine A</w:t>
      </w:r>
      <w:r>
        <w:rPr>
          <w:sz w:val="18"/>
        </w:rPr>
        <w:t>nti‐Dumping Questionnaire Response (Exhibit AUS‐68), Section 2, Question 22, p. 24.</w:t>
      </w:r>
    </w:p>
    <w:p w14:paraId="51DE933F" w14:textId="77777777" w:rsidR="0010369C" w:rsidRDefault="008E43AE">
      <w:pPr>
        <w:spacing w:before="1"/>
        <w:ind w:left="238"/>
        <w:jc w:val="both"/>
        <w:rPr>
          <w:sz w:val="18"/>
        </w:rPr>
      </w:pPr>
      <w:r>
        <w:rPr>
          <w:sz w:val="18"/>
          <w:vertAlign w:val="superscript"/>
        </w:rPr>
        <w:t>855</w:t>
      </w:r>
      <w:r>
        <w:rPr>
          <w:spacing w:val="-9"/>
          <w:sz w:val="18"/>
        </w:rPr>
        <w:t xml:space="preserve"> </w:t>
      </w:r>
      <w:r>
        <w:rPr>
          <w:sz w:val="18"/>
        </w:rPr>
        <w:t>Anti‐Dumping</w:t>
      </w:r>
      <w:r>
        <w:rPr>
          <w:spacing w:val="-9"/>
          <w:sz w:val="18"/>
        </w:rPr>
        <w:t xml:space="preserve"> </w:t>
      </w:r>
      <w:r>
        <w:rPr>
          <w:sz w:val="18"/>
        </w:rPr>
        <w:t>Final</w:t>
      </w:r>
      <w:r>
        <w:rPr>
          <w:spacing w:val="-9"/>
          <w:sz w:val="18"/>
        </w:rPr>
        <w:t xml:space="preserve"> </w:t>
      </w:r>
      <w:r>
        <w:rPr>
          <w:sz w:val="18"/>
        </w:rPr>
        <w:t>Determination</w:t>
      </w:r>
      <w:r>
        <w:rPr>
          <w:spacing w:val="-8"/>
          <w:sz w:val="18"/>
        </w:rPr>
        <w:t xml:space="preserve"> </w:t>
      </w:r>
      <w:r>
        <w:rPr>
          <w:sz w:val="18"/>
        </w:rPr>
        <w:t>(Exhibit</w:t>
      </w:r>
      <w:r>
        <w:rPr>
          <w:spacing w:val="-9"/>
          <w:sz w:val="18"/>
        </w:rPr>
        <w:t xml:space="preserve"> </w:t>
      </w:r>
      <w:r>
        <w:rPr>
          <w:sz w:val="18"/>
        </w:rPr>
        <w:t>AUS‐2),</w:t>
      </w:r>
      <w:r>
        <w:rPr>
          <w:spacing w:val="-9"/>
          <w:sz w:val="18"/>
        </w:rPr>
        <w:t xml:space="preserve"> </w:t>
      </w:r>
      <w:r>
        <w:rPr>
          <w:sz w:val="18"/>
        </w:rPr>
        <w:t>p.</w:t>
      </w:r>
      <w:r>
        <w:rPr>
          <w:spacing w:val="-9"/>
          <w:sz w:val="18"/>
        </w:rPr>
        <w:t xml:space="preserve"> </w:t>
      </w:r>
      <w:r>
        <w:rPr>
          <w:spacing w:val="-4"/>
          <w:sz w:val="18"/>
        </w:rPr>
        <w:t>120.</w:t>
      </w:r>
    </w:p>
    <w:p w14:paraId="51DE9340" w14:textId="77777777" w:rsidR="0010369C" w:rsidRDefault="008E43AE">
      <w:pPr>
        <w:ind w:left="238"/>
        <w:jc w:val="both"/>
        <w:rPr>
          <w:sz w:val="18"/>
        </w:rPr>
      </w:pPr>
      <w:r>
        <w:rPr>
          <w:sz w:val="18"/>
          <w:vertAlign w:val="superscript"/>
        </w:rPr>
        <w:t>856</w:t>
      </w:r>
      <w:r>
        <w:rPr>
          <w:spacing w:val="-10"/>
          <w:sz w:val="18"/>
        </w:rPr>
        <w:t xml:space="preserve"> </w:t>
      </w:r>
      <w:r>
        <w:rPr>
          <w:sz w:val="18"/>
        </w:rPr>
        <w:t>CADA</w:t>
      </w:r>
      <w:r>
        <w:rPr>
          <w:spacing w:val="-9"/>
          <w:sz w:val="18"/>
        </w:rPr>
        <w:t xml:space="preserve"> </w:t>
      </w:r>
      <w:r>
        <w:rPr>
          <w:sz w:val="18"/>
        </w:rPr>
        <w:t>Application</w:t>
      </w:r>
      <w:r>
        <w:rPr>
          <w:spacing w:val="-9"/>
          <w:sz w:val="18"/>
        </w:rPr>
        <w:t xml:space="preserve"> </w:t>
      </w:r>
      <w:r>
        <w:rPr>
          <w:sz w:val="18"/>
        </w:rPr>
        <w:t>for</w:t>
      </w:r>
      <w:r>
        <w:rPr>
          <w:spacing w:val="-10"/>
          <w:sz w:val="18"/>
        </w:rPr>
        <w:t xml:space="preserve"> </w:t>
      </w:r>
      <w:r>
        <w:rPr>
          <w:sz w:val="18"/>
        </w:rPr>
        <w:t>Anti‐Dumping</w:t>
      </w:r>
      <w:r>
        <w:rPr>
          <w:spacing w:val="-9"/>
          <w:sz w:val="18"/>
        </w:rPr>
        <w:t xml:space="preserve"> </w:t>
      </w:r>
      <w:r>
        <w:rPr>
          <w:sz w:val="18"/>
        </w:rPr>
        <w:t>Investigation</w:t>
      </w:r>
      <w:r>
        <w:rPr>
          <w:spacing w:val="-9"/>
          <w:sz w:val="18"/>
        </w:rPr>
        <w:t xml:space="preserve"> </w:t>
      </w:r>
      <w:r>
        <w:rPr>
          <w:sz w:val="18"/>
        </w:rPr>
        <w:t>(Exhibit</w:t>
      </w:r>
      <w:r>
        <w:rPr>
          <w:spacing w:val="-9"/>
          <w:sz w:val="18"/>
        </w:rPr>
        <w:t xml:space="preserve"> </w:t>
      </w:r>
      <w:r>
        <w:rPr>
          <w:sz w:val="18"/>
        </w:rPr>
        <w:t>AUS‐64),</w:t>
      </w:r>
      <w:r>
        <w:rPr>
          <w:spacing w:val="-10"/>
          <w:sz w:val="18"/>
        </w:rPr>
        <w:t xml:space="preserve"> </w:t>
      </w:r>
      <w:r>
        <w:rPr>
          <w:sz w:val="18"/>
        </w:rPr>
        <w:t>p.</w:t>
      </w:r>
      <w:r>
        <w:rPr>
          <w:spacing w:val="-9"/>
          <w:sz w:val="18"/>
        </w:rPr>
        <w:t xml:space="preserve"> </w:t>
      </w:r>
      <w:r>
        <w:rPr>
          <w:spacing w:val="-5"/>
          <w:sz w:val="18"/>
        </w:rPr>
        <w:t>55.</w:t>
      </w:r>
    </w:p>
    <w:p w14:paraId="51DE9341" w14:textId="77777777" w:rsidR="0010369C" w:rsidRDefault="0010369C">
      <w:pPr>
        <w:jc w:val="both"/>
        <w:rPr>
          <w:sz w:val="18"/>
        </w:rPr>
        <w:sectPr w:rsidR="0010369C">
          <w:headerReference w:type="default" r:id="rId941"/>
          <w:footerReference w:type="default" r:id="rId942"/>
          <w:pgSz w:w="11910" w:h="16840"/>
          <w:pgMar w:top="880" w:right="800" w:bottom="1340" w:left="1180" w:header="569" w:footer="1143" w:gutter="0"/>
          <w:cols w:space="720"/>
        </w:sectPr>
      </w:pPr>
    </w:p>
    <w:p w14:paraId="51DE9342" w14:textId="77777777" w:rsidR="0010369C" w:rsidRDefault="008E43AE">
      <w:pPr>
        <w:tabs>
          <w:tab w:val="left" w:pos="6425"/>
        </w:tabs>
        <w:ind w:left="238"/>
        <w:rPr>
          <w:sz w:val="20"/>
        </w:rPr>
      </w:pPr>
      <w:r>
        <w:rPr>
          <w:i/>
          <w:sz w:val="20"/>
        </w:rPr>
        <w:lastRenderedPageBreak/>
        <w:t>China</w:t>
      </w:r>
      <w:r>
        <w:rPr>
          <w:i/>
          <w:spacing w:val="-5"/>
          <w:sz w:val="20"/>
        </w:rPr>
        <w:t xml:space="preserve"> </w:t>
      </w:r>
      <w:r>
        <w:rPr>
          <w:i/>
          <w:sz w:val="20"/>
        </w:rPr>
        <w:t>–</w:t>
      </w:r>
      <w:r>
        <w:rPr>
          <w:i/>
          <w:spacing w:val="-5"/>
          <w:sz w:val="20"/>
        </w:rPr>
        <w:t xml:space="preserve"> </w:t>
      </w:r>
      <w:r>
        <w:rPr>
          <w:i/>
          <w:sz w:val="20"/>
        </w:rPr>
        <w:t>Anti‐Dumping</w:t>
      </w:r>
      <w:r>
        <w:rPr>
          <w:i/>
          <w:spacing w:val="-4"/>
          <w:sz w:val="20"/>
        </w:rPr>
        <w:t xml:space="preserve"> </w:t>
      </w:r>
      <w:r>
        <w:rPr>
          <w:i/>
          <w:sz w:val="20"/>
        </w:rPr>
        <w:t>and</w:t>
      </w:r>
      <w:r>
        <w:rPr>
          <w:i/>
          <w:spacing w:val="-5"/>
          <w:sz w:val="20"/>
        </w:rPr>
        <w:t xml:space="preserve"> </w:t>
      </w:r>
      <w:r>
        <w:rPr>
          <w:i/>
          <w:sz w:val="20"/>
        </w:rPr>
        <w:t>Countervailing</w:t>
      </w:r>
      <w:r>
        <w:rPr>
          <w:i/>
          <w:spacing w:val="-5"/>
          <w:sz w:val="20"/>
        </w:rPr>
        <w:t xml:space="preserve"> </w:t>
      </w:r>
      <w:r>
        <w:rPr>
          <w:i/>
          <w:sz w:val="20"/>
        </w:rPr>
        <w:t>Duty</w:t>
      </w:r>
      <w:r>
        <w:rPr>
          <w:i/>
          <w:spacing w:val="-4"/>
          <w:sz w:val="20"/>
        </w:rPr>
        <w:t xml:space="preserve"> </w:t>
      </w:r>
      <w:r>
        <w:rPr>
          <w:i/>
          <w:spacing w:val="-2"/>
          <w:sz w:val="20"/>
        </w:rPr>
        <w:t>Measures</w:t>
      </w:r>
      <w:r>
        <w:rPr>
          <w:i/>
          <w:sz w:val="20"/>
        </w:rPr>
        <w:tab/>
      </w:r>
      <w:r>
        <w:rPr>
          <w:sz w:val="20"/>
        </w:rPr>
        <w:t>Australia's</w:t>
      </w:r>
      <w:r>
        <w:rPr>
          <w:spacing w:val="-7"/>
          <w:sz w:val="20"/>
        </w:rPr>
        <w:t xml:space="preserve"> </w:t>
      </w:r>
      <w:r>
        <w:rPr>
          <w:sz w:val="20"/>
        </w:rPr>
        <w:t>First</w:t>
      </w:r>
      <w:r>
        <w:rPr>
          <w:spacing w:val="-2"/>
          <w:sz w:val="20"/>
        </w:rPr>
        <w:t xml:space="preserve"> </w:t>
      </w:r>
      <w:r>
        <w:rPr>
          <w:sz w:val="20"/>
        </w:rPr>
        <w:t>Written</w:t>
      </w:r>
      <w:r>
        <w:rPr>
          <w:spacing w:val="-2"/>
          <w:sz w:val="20"/>
        </w:rPr>
        <w:t xml:space="preserve"> Submission</w:t>
      </w:r>
    </w:p>
    <w:p w14:paraId="51DE9343" w14:textId="77777777" w:rsidR="0010369C" w:rsidRDefault="008E43AE">
      <w:pPr>
        <w:tabs>
          <w:tab w:val="left" w:pos="8227"/>
        </w:tabs>
        <w:spacing w:before="1"/>
        <w:ind w:left="239"/>
        <w:rPr>
          <w:sz w:val="20"/>
        </w:rPr>
      </w:pPr>
      <w:r>
        <w:rPr>
          <w:i/>
          <w:sz w:val="20"/>
        </w:rPr>
        <w:t>on</w:t>
      </w:r>
      <w:r>
        <w:rPr>
          <w:i/>
          <w:spacing w:val="-1"/>
          <w:sz w:val="20"/>
        </w:rPr>
        <w:t xml:space="preserve"> </w:t>
      </w:r>
      <w:r>
        <w:rPr>
          <w:i/>
          <w:sz w:val="20"/>
        </w:rPr>
        <w:t>Wine</w:t>
      </w:r>
      <w:r>
        <w:rPr>
          <w:i/>
          <w:spacing w:val="-1"/>
          <w:sz w:val="20"/>
        </w:rPr>
        <w:t xml:space="preserve"> </w:t>
      </w:r>
      <w:r>
        <w:rPr>
          <w:i/>
          <w:sz w:val="20"/>
        </w:rPr>
        <w:t>from</w:t>
      </w:r>
      <w:r>
        <w:rPr>
          <w:i/>
          <w:spacing w:val="-3"/>
          <w:sz w:val="20"/>
        </w:rPr>
        <w:t xml:space="preserve"> </w:t>
      </w:r>
      <w:r>
        <w:rPr>
          <w:i/>
          <w:sz w:val="20"/>
        </w:rPr>
        <w:t>Australia</w:t>
      </w:r>
      <w:r>
        <w:rPr>
          <w:i/>
          <w:spacing w:val="-1"/>
          <w:sz w:val="20"/>
        </w:rPr>
        <w:t xml:space="preserve"> </w:t>
      </w:r>
      <w:r>
        <w:rPr>
          <w:spacing w:val="-2"/>
          <w:sz w:val="20"/>
        </w:rPr>
        <w:t>(DS602)</w:t>
      </w:r>
      <w:r>
        <w:rPr>
          <w:sz w:val="20"/>
        </w:rPr>
        <w:tab/>
        <w:t>29</w:t>
      </w:r>
      <w:r>
        <w:rPr>
          <w:spacing w:val="-1"/>
          <w:sz w:val="20"/>
        </w:rPr>
        <w:t xml:space="preserve"> </w:t>
      </w:r>
      <w:r>
        <w:rPr>
          <w:sz w:val="20"/>
        </w:rPr>
        <w:t>April</w:t>
      </w:r>
      <w:r>
        <w:rPr>
          <w:spacing w:val="-2"/>
          <w:sz w:val="20"/>
        </w:rPr>
        <w:t xml:space="preserve"> </w:t>
      </w:r>
      <w:r>
        <w:rPr>
          <w:spacing w:val="-4"/>
          <w:sz w:val="20"/>
        </w:rPr>
        <w:t>2022</w:t>
      </w:r>
    </w:p>
    <w:p w14:paraId="51DE9344" w14:textId="77777777" w:rsidR="0010369C" w:rsidRDefault="008E43AE">
      <w:pPr>
        <w:pStyle w:val="ListParagraph"/>
        <w:numPr>
          <w:ilvl w:val="0"/>
          <w:numId w:val="38"/>
        </w:numPr>
        <w:tabs>
          <w:tab w:val="left" w:pos="1940"/>
          <w:tab w:val="left" w:pos="1941"/>
        </w:tabs>
        <w:spacing w:before="35" w:line="357" w:lineRule="auto"/>
        <w:ind w:left="1939" w:right="613"/>
        <w:rPr>
          <w:sz w:val="24"/>
        </w:rPr>
      </w:pPr>
      <w:r>
        <w:rPr>
          <w:sz w:val="24"/>
        </w:rPr>
        <w:t>MOFCOM's apparent consumption and sales volume data, which demonstrated that despite consuming more wine between 2015 and 2017, consumers in China chose not to purchase more domestic like products.</w:t>
      </w:r>
      <w:r>
        <w:rPr>
          <w:sz w:val="24"/>
          <w:vertAlign w:val="superscript"/>
        </w:rPr>
        <w:t>857</w:t>
      </w:r>
    </w:p>
    <w:p w14:paraId="51DE9345" w14:textId="77777777" w:rsidR="0010369C" w:rsidRDefault="008E43AE">
      <w:pPr>
        <w:pStyle w:val="BodyText"/>
        <w:spacing w:before="127" w:line="360" w:lineRule="auto"/>
        <w:ind w:left="236" w:right="612" w:firstLine="852"/>
        <w:jc w:val="both"/>
      </w:pPr>
      <w:r>
        <w:rPr>
          <w:noProof/>
        </w:rPr>
        <w:drawing>
          <wp:anchor distT="0" distB="0" distL="0" distR="0" simplePos="0" relativeHeight="251317760" behindDoc="1" locked="0" layoutInCell="1" allowOverlap="1" wp14:anchorId="51DEA5DC" wp14:editId="51DEA5DD">
            <wp:simplePos x="0" y="0"/>
            <wp:positionH relativeFrom="page">
              <wp:posOffset>902208</wp:posOffset>
            </wp:positionH>
            <wp:positionV relativeFrom="paragraph">
              <wp:posOffset>124410</wp:posOffset>
            </wp:positionV>
            <wp:extent cx="262127" cy="106679"/>
            <wp:effectExtent l="0" t="0" r="0" b="0"/>
            <wp:wrapNone/>
            <wp:docPr id="1393" name="image7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 name="image723.png"/>
                    <pic:cNvPicPr/>
                  </pic:nvPicPr>
                  <pic:blipFill>
                    <a:blip r:embed="rId943" cstate="print"/>
                    <a:stretch>
                      <a:fillRect/>
                    </a:stretch>
                  </pic:blipFill>
                  <pic:spPr>
                    <a:xfrm>
                      <a:off x="0" y="0"/>
                      <a:ext cx="262127" cy="106679"/>
                    </a:xfrm>
                    <a:prstGeom prst="rect">
                      <a:avLst/>
                    </a:prstGeom>
                  </pic:spPr>
                </pic:pic>
              </a:graphicData>
            </a:graphic>
          </wp:anchor>
        </w:drawing>
      </w:r>
      <w:r>
        <w:t>This evidence shows that, in the Chinese market, impor</w:t>
      </w:r>
      <w:r>
        <w:t>ted wine products from Australia enjoyed a "strong competitive advantage" based on well‐established consumer preferences, while domestic like products suffered from less favourable consumer perceptions. This issue was clearly raised on the record and, as s</w:t>
      </w:r>
      <w:r>
        <w:t>uch, was "known" to MOFCOM. Despite this, there is nothing in the Final Determination to suggest that MOFCOM considered the impact that consumer perceptions and preferences had on the domestic industry or attempted to identify, separate, and distinguish an</w:t>
      </w:r>
      <w:r>
        <w:t>y injury being caused by this factor from the injury allegedly being caused by subject imports. As a result, MOFCOM's analysis was inconsistent with Articles 3.1 and 3.5 of the Anti‐Dumping Agreement.</w:t>
      </w:r>
    </w:p>
    <w:p w14:paraId="51DE9346" w14:textId="77777777" w:rsidR="0010369C" w:rsidRDefault="008E43AE">
      <w:pPr>
        <w:pStyle w:val="Heading4"/>
        <w:tabs>
          <w:tab w:val="left" w:pos="2649"/>
        </w:tabs>
        <w:ind w:left="1798" w:firstLine="0"/>
      </w:pPr>
      <w:r>
        <w:rPr>
          <w:spacing w:val="-5"/>
        </w:rPr>
        <w:t>9.</w:t>
      </w:r>
      <w:r>
        <w:tab/>
      </w:r>
      <w:r>
        <w:rPr>
          <w:spacing w:val="-2"/>
        </w:rPr>
        <w:t>Conclusion</w:t>
      </w:r>
    </w:p>
    <w:p w14:paraId="51DE9347" w14:textId="77777777" w:rsidR="0010369C" w:rsidRDefault="0010369C">
      <w:pPr>
        <w:pStyle w:val="BodyText"/>
        <w:spacing w:before="10"/>
        <w:rPr>
          <w:b/>
          <w:sz w:val="20"/>
        </w:rPr>
      </w:pPr>
    </w:p>
    <w:p w14:paraId="51DE9348" w14:textId="77777777" w:rsidR="0010369C" w:rsidRDefault="008E43AE">
      <w:pPr>
        <w:pStyle w:val="BodyText"/>
        <w:spacing w:before="52" w:line="360" w:lineRule="auto"/>
        <w:ind w:left="237" w:right="613" w:firstLine="851"/>
        <w:jc w:val="both"/>
      </w:pPr>
      <w:r>
        <w:rPr>
          <w:noProof/>
        </w:rPr>
        <w:drawing>
          <wp:anchor distT="0" distB="0" distL="0" distR="0" simplePos="0" relativeHeight="251318784" behindDoc="1" locked="0" layoutInCell="1" allowOverlap="1" wp14:anchorId="51DEA5DE" wp14:editId="51DEA5DF">
            <wp:simplePos x="0" y="0"/>
            <wp:positionH relativeFrom="page">
              <wp:posOffset>902208</wp:posOffset>
            </wp:positionH>
            <wp:positionV relativeFrom="paragraph">
              <wp:posOffset>81949</wp:posOffset>
            </wp:positionV>
            <wp:extent cx="262127" cy="100753"/>
            <wp:effectExtent l="0" t="0" r="0" b="0"/>
            <wp:wrapNone/>
            <wp:docPr id="1395" name="image7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 name="image724.png"/>
                    <pic:cNvPicPr/>
                  </pic:nvPicPr>
                  <pic:blipFill>
                    <a:blip r:embed="rId944" cstate="print"/>
                    <a:stretch>
                      <a:fillRect/>
                    </a:stretch>
                  </pic:blipFill>
                  <pic:spPr>
                    <a:xfrm>
                      <a:off x="0" y="0"/>
                      <a:ext cx="262127" cy="100753"/>
                    </a:xfrm>
                    <a:prstGeom prst="rect">
                      <a:avLst/>
                    </a:prstGeom>
                  </pic:spPr>
                </pic:pic>
              </a:graphicData>
            </a:graphic>
          </wp:anchor>
        </w:drawing>
      </w:r>
      <w:r>
        <w:t>For the foregoing reasons, MOFCOM's exa</w:t>
      </w:r>
      <w:r>
        <w:t>mination of the domestic industry was inconsistent</w:t>
      </w:r>
      <w:r>
        <w:rPr>
          <w:spacing w:val="80"/>
          <w:w w:val="150"/>
        </w:rPr>
        <w:t xml:space="preserve"> </w:t>
      </w:r>
      <w:r>
        <w:t>with</w:t>
      </w:r>
      <w:r>
        <w:rPr>
          <w:spacing w:val="80"/>
          <w:w w:val="150"/>
        </w:rPr>
        <w:t xml:space="preserve"> </w:t>
      </w:r>
      <w:r>
        <w:t>China's</w:t>
      </w:r>
      <w:r>
        <w:rPr>
          <w:spacing w:val="80"/>
          <w:w w:val="150"/>
        </w:rPr>
        <w:t xml:space="preserve"> </w:t>
      </w:r>
      <w:r>
        <w:t>obligations</w:t>
      </w:r>
      <w:r>
        <w:rPr>
          <w:spacing w:val="80"/>
          <w:w w:val="150"/>
        </w:rPr>
        <w:t xml:space="preserve"> </w:t>
      </w:r>
      <w:r>
        <w:t>under</w:t>
      </w:r>
      <w:r>
        <w:rPr>
          <w:spacing w:val="80"/>
          <w:w w:val="150"/>
        </w:rPr>
        <w:t xml:space="preserve"> </w:t>
      </w:r>
      <w:r>
        <w:t>Articles</w:t>
      </w:r>
      <w:r>
        <w:rPr>
          <w:spacing w:val="80"/>
          <w:w w:val="150"/>
        </w:rPr>
        <w:t xml:space="preserve"> </w:t>
      </w:r>
      <w:r>
        <w:t>3.1</w:t>
      </w:r>
      <w:r>
        <w:rPr>
          <w:spacing w:val="80"/>
          <w:w w:val="150"/>
        </w:rPr>
        <w:t xml:space="preserve"> </w:t>
      </w:r>
      <w:r>
        <w:t>and</w:t>
      </w:r>
      <w:r>
        <w:rPr>
          <w:spacing w:val="80"/>
          <w:w w:val="150"/>
        </w:rPr>
        <w:t xml:space="preserve"> </w:t>
      </w:r>
      <w:r>
        <w:t>3.5</w:t>
      </w:r>
      <w:r>
        <w:rPr>
          <w:spacing w:val="80"/>
          <w:w w:val="150"/>
        </w:rPr>
        <w:t xml:space="preserve"> </w:t>
      </w:r>
      <w:r>
        <w:t>of</w:t>
      </w:r>
      <w:r>
        <w:rPr>
          <w:spacing w:val="80"/>
          <w:w w:val="150"/>
        </w:rPr>
        <w:t xml:space="preserve"> </w:t>
      </w:r>
      <w:r>
        <w:t>the Anti‐Dumping Agreement.</w:t>
      </w:r>
    </w:p>
    <w:p w14:paraId="51DE9349" w14:textId="77777777" w:rsidR="0010369C" w:rsidRDefault="008E43AE">
      <w:pPr>
        <w:pStyle w:val="ListParagraph"/>
        <w:numPr>
          <w:ilvl w:val="0"/>
          <w:numId w:val="48"/>
        </w:numPr>
        <w:tabs>
          <w:tab w:val="left" w:pos="1939"/>
          <w:tab w:val="left" w:pos="1940"/>
        </w:tabs>
        <w:spacing w:before="160"/>
        <w:ind w:left="1939" w:hanging="851"/>
        <w:rPr>
          <w:b/>
        </w:rPr>
      </w:pPr>
      <w:r>
        <w:rPr>
          <w:b/>
          <w:spacing w:val="-2"/>
          <w:sz w:val="28"/>
        </w:rPr>
        <w:t>C</w:t>
      </w:r>
      <w:r>
        <w:rPr>
          <w:b/>
          <w:spacing w:val="-2"/>
        </w:rPr>
        <w:t>ONCLUSION</w:t>
      </w:r>
    </w:p>
    <w:p w14:paraId="51DE934A" w14:textId="77777777" w:rsidR="0010369C" w:rsidRDefault="0010369C">
      <w:pPr>
        <w:pStyle w:val="BodyText"/>
        <w:spacing w:before="10"/>
        <w:rPr>
          <w:b/>
          <w:sz w:val="22"/>
        </w:rPr>
      </w:pPr>
    </w:p>
    <w:p w14:paraId="51DE934B" w14:textId="77777777" w:rsidR="0010369C" w:rsidRDefault="008E43AE">
      <w:pPr>
        <w:pStyle w:val="BodyText"/>
        <w:spacing w:before="52" w:line="360" w:lineRule="auto"/>
        <w:ind w:left="238" w:right="612" w:firstLine="850"/>
        <w:jc w:val="both"/>
      </w:pPr>
      <w:r>
        <w:rPr>
          <w:noProof/>
        </w:rPr>
        <w:drawing>
          <wp:anchor distT="0" distB="0" distL="0" distR="0" simplePos="0" relativeHeight="251319808" behindDoc="1" locked="0" layoutInCell="1" allowOverlap="1" wp14:anchorId="51DEA5E0" wp14:editId="51DEA5E1">
            <wp:simplePos x="0" y="0"/>
            <wp:positionH relativeFrom="page">
              <wp:posOffset>902208</wp:posOffset>
            </wp:positionH>
            <wp:positionV relativeFrom="paragraph">
              <wp:posOffset>81950</wp:posOffset>
            </wp:positionV>
            <wp:extent cx="262127" cy="100753"/>
            <wp:effectExtent l="0" t="0" r="0" b="0"/>
            <wp:wrapNone/>
            <wp:docPr id="1397" name="image7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 name="image725.png"/>
                    <pic:cNvPicPr/>
                  </pic:nvPicPr>
                  <pic:blipFill>
                    <a:blip r:embed="rId945" cstate="print"/>
                    <a:stretch>
                      <a:fillRect/>
                    </a:stretch>
                  </pic:blipFill>
                  <pic:spPr>
                    <a:xfrm>
                      <a:off x="0" y="0"/>
                      <a:ext cx="262127" cy="100753"/>
                    </a:xfrm>
                    <a:prstGeom prst="rect">
                      <a:avLst/>
                    </a:prstGeom>
                  </pic:spPr>
                </pic:pic>
              </a:graphicData>
            </a:graphic>
          </wp:anchor>
        </w:drawing>
      </w:r>
      <w:r>
        <w:t>For the reasons set out above, Australia has established that MOFCOM acted inconsistently</w:t>
      </w:r>
      <w:r>
        <w:rPr>
          <w:spacing w:val="-7"/>
        </w:rPr>
        <w:t xml:space="preserve"> </w:t>
      </w:r>
      <w:r>
        <w:t>with</w:t>
      </w:r>
      <w:r>
        <w:rPr>
          <w:spacing w:val="-10"/>
        </w:rPr>
        <w:t xml:space="preserve"> </w:t>
      </w:r>
      <w:r>
        <w:t>China's</w:t>
      </w:r>
      <w:r>
        <w:rPr>
          <w:spacing w:val="-10"/>
        </w:rPr>
        <w:t xml:space="preserve"> </w:t>
      </w:r>
      <w:r>
        <w:t>obligations</w:t>
      </w:r>
      <w:r>
        <w:rPr>
          <w:spacing w:val="-9"/>
        </w:rPr>
        <w:t xml:space="preserve"> </w:t>
      </w:r>
      <w:r>
        <w:t>under</w:t>
      </w:r>
      <w:r>
        <w:rPr>
          <w:spacing w:val="-9"/>
        </w:rPr>
        <w:t xml:space="preserve"> </w:t>
      </w:r>
      <w:r>
        <w:t>Articles</w:t>
      </w:r>
      <w:r>
        <w:rPr>
          <w:spacing w:val="-11"/>
        </w:rPr>
        <w:t xml:space="preserve"> </w:t>
      </w:r>
      <w:r>
        <w:t>3.1,</w:t>
      </w:r>
      <w:r>
        <w:rPr>
          <w:spacing w:val="-9"/>
        </w:rPr>
        <w:t xml:space="preserve"> </w:t>
      </w:r>
      <w:r>
        <w:t>3.2,</w:t>
      </w:r>
      <w:r>
        <w:rPr>
          <w:spacing w:val="-9"/>
        </w:rPr>
        <w:t xml:space="preserve"> </w:t>
      </w:r>
      <w:r>
        <w:t>3.4</w:t>
      </w:r>
      <w:r>
        <w:rPr>
          <w:spacing w:val="-10"/>
        </w:rPr>
        <w:t xml:space="preserve"> </w:t>
      </w:r>
      <w:r>
        <w:t>and</w:t>
      </w:r>
      <w:r>
        <w:rPr>
          <w:spacing w:val="-10"/>
        </w:rPr>
        <w:t xml:space="preserve"> </w:t>
      </w:r>
      <w:r>
        <w:t>3.5</w:t>
      </w:r>
      <w:r>
        <w:rPr>
          <w:spacing w:val="-10"/>
        </w:rPr>
        <w:t xml:space="preserve"> </w:t>
      </w:r>
      <w:r>
        <w:t>of</w:t>
      </w:r>
      <w:r>
        <w:rPr>
          <w:spacing w:val="-10"/>
        </w:rPr>
        <w:t xml:space="preserve"> </w:t>
      </w:r>
      <w:r>
        <w:t>the</w:t>
      </w:r>
      <w:r>
        <w:rPr>
          <w:spacing w:val="-9"/>
        </w:rPr>
        <w:t xml:space="preserve"> </w:t>
      </w:r>
      <w:r>
        <w:t xml:space="preserve">Anti‐Dumping </w:t>
      </w:r>
      <w:r>
        <w:rPr>
          <w:spacing w:val="-2"/>
        </w:rPr>
        <w:t>Agreement.</w:t>
      </w:r>
    </w:p>
    <w:p w14:paraId="51DE934C" w14:textId="77777777" w:rsidR="0010369C" w:rsidRDefault="0010369C">
      <w:pPr>
        <w:pStyle w:val="BodyText"/>
        <w:rPr>
          <w:sz w:val="20"/>
        </w:rPr>
      </w:pPr>
    </w:p>
    <w:p w14:paraId="51DE934D" w14:textId="77777777" w:rsidR="0010369C" w:rsidRDefault="0010369C">
      <w:pPr>
        <w:pStyle w:val="BodyText"/>
        <w:rPr>
          <w:sz w:val="20"/>
        </w:rPr>
      </w:pPr>
    </w:p>
    <w:p w14:paraId="51DE934E" w14:textId="77777777" w:rsidR="0010369C" w:rsidRDefault="0010369C">
      <w:pPr>
        <w:pStyle w:val="BodyText"/>
        <w:rPr>
          <w:sz w:val="20"/>
        </w:rPr>
      </w:pPr>
    </w:p>
    <w:p w14:paraId="51DE934F" w14:textId="77777777" w:rsidR="0010369C" w:rsidRDefault="0010369C">
      <w:pPr>
        <w:pStyle w:val="BodyText"/>
        <w:rPr>
          <w:sz w:val="20"/>
        </w:rPr>
      </w:pPr>
    </w:p>
    <w:p w14:paraId="51DE9350" w14:textId="77777777" w:rsidR="0010369C" w:rsidRDefault="0010369C">
      <w:pPr>
        <w:pStyle w:val="BodyText"/>
        <w:rPr>
          <w:sz w:val="20"/>
        </w:rPr>
      </w:pPr>
    </w:p>
    <w:p w14:paraId="51DE9351" w14:textId="77777777" w:rsidR="0010369C" w:rsidRDefault="0010369C">
      <w:pPr>
        <w:pStyle w:val="BodyText"/>
        <w:rPr>
          <w:sz w:val="20"/>
        </w:rPr>
      </w:pPr>
    </w:p>
    <w:p w14:paraId="51DE9352" w14:textId="77777777" w:rsidR="0010369C" w:rsidRDefault="0010369C">
      <w:pPr>
        <w:pStyle w:val="BodyText"/>
        <w:rPr>
          <w:sz w:val="20"/>
        </w:rPr>
      </w:pPr>
    </w:p>
    <w:p w14:paraId="51DE9353" w14:textId="77777777" w:rsidR="0010369C" w:rsidRDefault="0010369C">
      <w:pPr>
        <w:pStyle w:val="BodyText"/>
        <w:rPr>
          <w:sz w:val="20"/>
        </w:rPr>
      </w:pPr>
    </w:p>
    <w:p w14:paraId="51DE9354" w14:textId="77777777" w:rsidR="0010369C" w:rsidRDefault="0010369C">
      <w:pPr>
        <w:pStyle w:val="BodyText"/>
        <w:rPr>
          <w:sz w:val="20"/>
        </w:rPr>
      </w:pPr>
    </w:p>
    <w:p w14:paraId="51DE9355" w14:textId="77777777" w:rsidR="0010369C" w:rsidRDefault="0010369C">
      <w:pPr>
        <w:pStyle w:val="BodyText"/>
        <w:rPr>
          <w:sz w:val="20"/>
        </w:rPr>
      </w:pPr>
    </w:p>
    <w:p w14:paraId="51DE9356" w14:textId="77777777" w:rsidR="0010369C" w:rsidRDefault="0010369C">
      <w:pPr>
        <w:pStyle w:val="BodyText"/>
        <w:rPr>
          <w:sz w:val="20"/>
        </w:rPr>
      </w:pPr>
    </w:p>
    <w:p w14:paraId="51DE9357" w14:textId="77777777" w:rsidR="0010369C" w:rsidRDefault="0010369C">
      <w:pPr>
        <w:pStyle w:val="BodyText"/>
        <w:rPr>
          <w:sz w:val="20"/>
        </w:rPr>
      </w:pPr>
    </w:p>
    <w:p w14:paraId="51DE9358" w14:textId="77777777" w:rsidR="0010369C" w:rsidRDefault="0010369C">
      <w:pPr>
        <w:pStyle w:val="BodyText"/>
        <w:rPr>
          <w:sz w:val="20"/>
        </w:rPr>
      </w:pPr>
    </w:p>
    <w:p w14:paraId="51DE9359" w14:textId="77777777" w:rsidR="0010369C" w:rsidRDefault="0010369C">
      <w:pPr>
        <w:pStyle w:val="BodyText"/>
        <w:rPr>
          <w:sz w:val="20"/>
        </w:rPr>
      </w:pPr>
    </w:p>
    <w:p w14:paraId="51DE935A" w14:textId="77777777" w:rsidR="0010369C" w:rsidRDefault="0010369C">
      <w:pPr>
        <w:pStyle w:val="BodyText"/>
        <w:rPr>
          <w:sz w:val="20"/>
        </w:rPr>
      </w:pPr>
    </w:p>
    <w:p w14:paraId="51DE935B" w14:textId="77777777" w:rsidR="0010369C" w:rsidRDefault="008E43AE">
      <w:pPr>
        <w:pStyle w:val="BodyText"/>
        <w:spacing w:before="7"/>
        <w:rPr>
          <w:sz w:val="27"/>
        </w:rPr>
      </w:pPr>
      <w:r>
        <w:pict w14:anchorId="51DEA5E2">
          <v:rect id="docshape1191" o:spid="_x0000_s1214" style="position:absolute;margin-left:70.9pt;margin-top:18.05pt;width:2in;height:.8pt;z-index:-250775040;mso-wrap-distance-left:0;mso-wrap-distance-right:0;mso-position-horizontal-relative:page" fillcolor="black" stroked="f">
            <w10:wrap type="topAndBottom" anchorx="page"/>
          </v:rect>
        </w:pict>
      </w:r>
    </w:p>
    <w:p w14:paraId="51DE935C" w14:textId="77777777" w:rsidR="0010369C" w:rsidRDefault="008E43AE">
      <w:pPr>
        <w:spacing w:before="109"/>
        <w:ind w:left="238"/>
        <w:rPr>
          <w:sz w:val="18"/>
        </w:rPr>
      </w:pPr>
      <w:r>
        <w:rPr>
          <w:sz w:val="18"/>
          <w:vertAlign w:val="superscript"/>
        </w:rPr>
        <w:t>857</w:t>
      </w:r>
      <w:r>
        <w:rPr>
          <w:spacing w:val="-11"/>
          <w:sz w:val="18"/>
        </w:rPr>
        <w:t xml:space="preserve"> </w:t>
      </w:r>
      <w:r>
        <w:rPr>
          <w:sz w:val="18"/>
        </w:rPr>
        <w:t>Anti‐Dumping</w:t>
      </w:r>
      <w:r>
        <w:rPr>
          <w:spacing w:val="-9"/>
          <w:sz w:val="18"/>
        </w:rPr>
        <w:t xml:space="preserve"> </w:t>
      </w:r>
      <w:r>
        <w:rPr>
          <w:sz w:val="18"/>
        </w:rPr>
        <w:t>Final</w:t>
      </w:r>
      <w:r>
        <w:rPr>
          <w:spacing w:val="-9"/>
          <w:sz w:val="18"/>
        </w:rPr>
        <w:t xml:space="preserve"> </w:t>
      </w:r>
      <w:r>
        <w:rPr>
          <w:sz w:val="18"/>
        </w:rPr>
        <w:t>Determination</w:t>
      </w:r>
      <w:r>
        <w:rPr>
          <w:spacing w:val="-8"/>
          <w:sz w:val="18"/>
        </w:rPr>
        <w:t xml:space="preserve"> </w:t>
      </w:r>
      <w:r>
        <w:rPr>
          <w:sz w:val="18"/>
        </w:rPr>
        <w:t>(Exhibit</w:t>
      </w:r>
      <w:r>
        <w:rPr>
          <w:spacing w:val="-9"/>
          <w:sz w:val="18"/>
        </w:rPr>
        <w:t xml:space="preserve"> </w:t>
      </w:r>
      <w:r>
        <w:rPr>
          <w:sz w:val="18"/>
        </w:rPr>
        <w:t>AUS‐2),</w:t>
      </w:r>
      <w:r>
        <w:rPr>
          <w:spacing w:val="-9"/>
          <w:sz w:val="18"/>
        </w:rPr>
        <w:t xml:space="preserve"> </w:t>
      </w:r>
      <w:r>
        <w:rPr>
          <w:sz w:val="18"/>
        </w:rPr>
        <w:t>pp.</w:t>
      </w:r>
      <w:r>
        <w:rPr>
          <w:spacing w:val="-9"/>
          <w:sz w:val="18"/>
        </w:rPr>
        <w:t xml:space="preserve"> </w:t>
      </w:r>
      <w:r>
        <w:rPr>
          <w:sz w:val="18"/>
        </w:rPr>
        <w:t>123‐124,</w:t>
      </w:r>
      <w:r>
        <w:rPr>
          <w:spacing w:val="-9"/>
          <w:sz w:val="18"/>
        </w:rPr>
        <w:t xml:space="preserve"> </w:t>
      </w:r>
      <w:r>
        <w:rPr>
          <w:spacing w:val="-2"/>
          <w:sz w:val="18"/>
        </w:rPr>
        <w:t>148‐149.</w:t>
      </w:r>
    </w:p>
    <w:p w14:paraId="51DE935D" w14:textId="77777777" w:rsidR="0010369C" w:rsidRDefault="0010369C">
      <w:pPr>
        <w:rPr>
          <w:sz w:val="18"/>
        </w:rPr>
        <w:sectPr w:rsidR="0010369C">
          <w:headerReference w:type="default" r:id="rId946"/>
          <w:footerReference w:type="default" r:id="rId947"/>
          <w:pgSz w:w="11910" w:h="16840"/>
          <w:pgMar w:top="880" w:right="800" w:bottom="980" w:left="1180" w:header="569" w:footer="788" w:gutter="0"/>
          <w:cols w:space="720"/>
        </w:sectPr>
      </w:pPr>
    </w:p>
    <w:p w14:paraId="51DE935E" w14:textId="77777777" w:rsidR="0010369C" w:rsidRDefault="008E43AE">
      <w:pPr>
        <w:tabs>
          <w:tab w:val="left" w:pos="6425"/>
        </w:tabs>
        <w:spacing w:line="243" w:lineRule="exact"/>
        <w:ind w:left="238"/>
        <w:rPr>
          <w:sz w:val="20"/>
        </w:rPr>
      </w:pPr>
      <w:r>
        <w:rPr>
          <w:i/>
          <w:sz w:val="20"/>
        </w:rPr>
        <w:lastRenderedPageBreak/>
        <w:t>China</w:t>
      </w:r>
      <w:r>
        <w:rPr>
          <w:i/>
          <w:spacing w:val="-5"/>
          <w:sz w:val="20"/>
        </w:rPr>
        <w:t xml:space="preserve"> </w:t>
      </w:r>
      <w:r>
        <w:rPr>
          <w:i/>
          <w:sz w:val="20"/>
        </w:rPr>
        <w:t>–</w:t>
      </w:r>
      <w:r>
        <w:rPr>
          <w:i/>
          <w:spacing w:val="-5"/>
          <w:sz w:val="20"/>
        </w:rPr>
        <w:t xml:space="preserve"> </w:t>
      </w:r>
      <w:r>
        <w:rPr>
          <w:i/>
          <w:sz w:val="20"/>
        </w:rPr>
        <w:t>Anti‐Dumping</w:t>
      </w:r>
      <w:r>
        <w:rPr>
          <w:i/>
          <w:spacing w:val="-4"/>
          <w:sz w:val="20"/>
        </w:rPr>
        <w:t xml:space="preserve"> </w:t>
      </w:r>
      <w:r>
        <w:rPr>
          <w:i/>
          <w:sz w:val="20"/>
        </w:rPr>
        <w:t>and</w:t>
      </w:r>
      <w:r>
        <w:rPr>
          <w:i/>
          <w:spacing w:val="-5"/>
          <w:sz w:val="20"/>
        </w:rPr>
        <w:t xml:space="preserve"> </w:t>
      </w:r>
      <w:r>
        <w:rPr>
          <w:i/>
          <w:sz w:val="20"/>
        </w:rPr>
        <w:t>Countervailing</w:t>
      </w:r>
      <w:r>
        <w:rPr>
          <w:i/>
          <w:spacing w:val="-5"/>
          <w:sz w:val="20"/>
        </w:rPr>
        <w:t xml:space="preserve"> </w:t>
      </w:r>
      <w:r>
        <w:rPr>
          <w:i/>
          <w:sz w:val="20"/>
        </w:rPr>
        <w:t>Duty</w:t>
      </w:r>
      <w:r>
        <w:rPr>
          <w:i/>
          <w:spacing w:val="-4"/>
          <w:sz w:val="20"/>
        </w:rPr>
        <w:t xml:space="preserve"> </w:t>
      </w:r>
      <w:r>
        <w:rPr>
          <w:i/>
          <w:spacing w:val="-2"/>
          <w:sz w:val="20"/>
        </w:rPr>
        <w:t>Measures</w:t>
      </w:r>
      <w:r>
        <w:rPr>
          <w:i/>
          <w:sz w:val="20"/>
        </w:rPr>
        <w:tab/>
      </w:r>
      <w:r>
        <w:rPr>
          <w:sz w:val="20"/>
        </w:rPr>
        <w:t>Australia's</w:t>
      </w:r>
      <w:r>
        <w:rPr>
          <w:spacing w:val="-7"/>
          <w:sz w:val="20"/>
        </w:rPr>
        <w:t xml:space="preserve"> </w:t>
      </w:r>
      <w:r>
        <w:rPr>
          <w:sz w:val="20"/>
        </w:rPr>
        <w:t>First</w:t>
      </w:r>
      <w:r>
        <w:rPr>
          <w:spacing w:val="-2"/>
          <w:sz w:val="20"/>
        </w:rPr>
        <w:t xml:space="preserve"> </w:t>
      </w:r>
      <w:r>
        <w:rPr>
          <w:sz w:val="20"/>
        </w:rPr>
        <w:t>Written</w:t>
      </w:r>
      <w:r>
        <w:rPr>
          <w:spacing w:val="-2"/>
          <w:sz w:val="20"/>
        </w:rPr>
        <w:t xml:space="preserve"> Submission</w:t>
      </w:r>
    </w:p>
    <w:p w14:paraId="51DE935F" w14:textId="77777777" w:rsidR="0010369C" w:rsidRDefault="008E43AE">
      <w:pPr>
        <w:tabs>
          <w:tab w:val="left" w:pos="8227"/>
        </w:tabs>
        <w:spacing w:line="244" w:lineRule="exact"/>
        <w:ind w:left="239"/>
        <w:rPr>
          <w:sz w:val="20"/>
        </w:rPr>
      </w:pPr>
      <w:r>
        <w:rPr>
          <w:i/>
          <w:sz w:val="20"/>
        </w:rPr>
        <w:t>on</w:t>
      </w:r>
      <w:r>
        <w:rPr>
          <w:i/>
          <w:spacing w:val="-1"/>
          <w:sz w:val="20"/>
        </w:rPr>
        <w:t xml:space="preserve"> </w:t>
      </w:r>
      <w:r>
        <w:rPr>
          <w:i/>
          <w:sz w:val="20"/>
        </w:rPr>
        <w:t>Wine</w:t>
      </w:r>
      <w:r>
        <w:rPr>
          <w:i/>
          <w:spacing w:val="-1"/>
          <w:sz w:val="20"/>
        </w:rPr>
        <w:t xml:space="preserve"> </w:t>
      </w:r>
      <w:r>
        <w:rPr>
          <w:i/>
          <w:sz w:val="20"/>
        </w:rPr>
        <w:t>from</w:t>
      </w:r>
      <w:r>
        <w:rPr>
          <w:i/>
          <w:spacing w:val="-3"/>
          <w:sz w:val="20"/>
        </w:rPr>
        <w:t xml:space="preserve"> </w:t>
      </w:r>
      <w:r>
        <w:rPr>
          <w:i/>
          <w:sz w:val="20"/>
        </w:rPr>
        <w:t>Australia</w:t>
      </w:r>
      <w:r>
        <w:rPr>
          <w:i/>
          <w:spacing w:val="-1"/>
          <w:sz w:val="20"/>
        </w:rPr>
        <w:t xml:space="preserve"> </w:t>
      </w:r>
      <w:r>
        <w:rPr>
          <w:spacing w:val="-2"/>
          <w:sz w:val="20"/>
        </w:rPr>
        <w:t>(DS602)</w:t>
      </w:r>
      <w:r>
        <w:rPr>
          <w:sz w:val="20"/>
        </w:rPr>
        <w:tab/>
        <w:t>29</w:t>
      </w:r>
      <w:r>
        <w:rPr>
          <w:spacing w:val="-1"/>
          <w:sz w:val="20"/>
        </w:rPr>
        <w:t xml:space="preserve"> </w:t>
      </w:r>
      <w:r>
        <w:rPr>
          <w:sz w:val="20"/>
        </w:rPr>
        <w:t>April</w:t>
      </w:r>
      <w:r>
        <w:rPr>
          <w:spacing w:val="-2"/>
          <w:sz w:val="20"/>
        </w:rPr>
        <w:t xml:space="preserve"> </w:t>
      </w:r>
      <w:r>
        <w:rPr>
          <w:spacing w:val="-4"/>
          <w:sz w:val="20"/>
        </w:rPr>
        <w:t>2022</w:t>
      </w:r>
    </w:p>
    <w:p w14:paraId="51DE9360" w14:textId="77777777" w:rsidR="0010369C" w:rsidRDefault="008E43AE">
      <w:pPr>
        <w:pStyle w:val="Heading3"/>
        <w:numPr>
          <w:ilvl w:val="0"/>
          <w:numId w:val="75"/>
        </w:numPr>
        <w:tabs>
          <w:tab w:val="left" w:pos="1089"/>
          <w:tab w:val="left" w:pos="1090"/>
        </w:tabs>
        <w:spacing w:before="140"/>
        <w:ind w:hanging="852"/>
        <w:jc w:val="left"/>
      </w:pPr>
      <w:r>
        <w:t>AUSTRALIA'S</w:t>
      </w:r>
      <w:r>
        <w:rPr>
          <w:spacing w:val="-11"/>
        </w:rPr>
        <w:t xml:space="preserve"> </w:t>
      </w:r>
      <w:r>
        <w:t>CLAIMS</w:t>
      </w:r>
      <w:r>
        <w:rPr>
          <w:spacing w:val="-11"/>
        </w:rPr>
        <w:t xml:space="preserve"> </w:t>
      </w:r>
      <w:r>
        <w:t>CONCERNING</w:t>
      </w:r>
      <w:r>
        <w:rPr>
          <w:spacing w:val="-9"/>
        </w:rPr>
        <w:t xml:space="preserve"> </w:t>
      </w:r>
      <w:r>
        <w:t>THE</w:t>
      </w:r>
      <w:r>
        <w:rPr>
          <w:spacing w:val="-12"/>
        </w:rPr>
        <w:t xml:space="preserve"> </w:t>
      </w:r>
      <w:r>
        <w:t>IMPOSITION</w:t>
      </w:r>
      <w:r>
        <w:rPr>
          <w:spacing w:val="-10"/>
        </w:rPr>
        <w:t xml:space="preserve"> </w:t>
      </w:r>
      <w:r>
        <w:t>OF</w:t>
      </w:r>
      <w:r>
        <w:rPr>
          <w:spacing w:val="-11"/>
        </w:rPr>
        <w:t xml:space="preserve"> </w:t>
      </w:r>
      <w:r>
        <w:rPr>
          <w:spacing w:val="-2"/>
        </w:rPr>
        <w:t>DUTIES</w:t>
      </w:r>
    </w:p>
    <w:p w14:paraId="51DE9361" w14:textId="77777777" w:rsidR="0010369C" w:rsidRDefault="0010369C">
      <w:pPr>
        <w:pStyle w:val="BodyText"/>
        <w:rPr>
          <w:b/>
          <w:sz w:val="27"/>
        </w:rPr>
      </w:pPr>
    </w:p>
    <w:p w14:paraId="51DE9362" w14:textId="77777777" w:rsidR="0010369C" w:rsidRDefault="008E43AE">
      <w:pPr>
        <w:pStyle w:val="ListParagraph"/>
        <w:numPr>
          <w:ilvl w:val="1"/>
          <w:numId w:val="75"/>
        </w:numPr>
        <w:tabs>
          <w:tab w:val="left" w:pos="1941"/>
        </w:tabs>
        <w:spacing w:before="1" w:line="360" w:lineRule="auto"/>
        <w:ind w:left="1939" w:right="613"/>
        <w:jc w:val="both"/>
        <w:rPr>
          <w:b/>
          <w:sz w:val="28"/>
        </w:rPr>
      </w:pPr>
      <w:r>
        <w:rPr>
          <w:b/>
          <w:sz w:val="28"/>
        </w:rPr>
        <w:t>C</w:t>
      </w:r>
      <w:r>
        <w:rPr>
          <w:b/>
        </w:rPr>
        <w:t>HINA</w:t>
      </w:r>
      <w:r>
        <w:rPr>
          <w:b/>
          <w:sz w:val="28"/>
        </w:rPr>
        <w:t>'</w:t>
      </w:r>
      <w:r>
        <w:rPr>
          <w:b/>
        </w:rPr>
        <w:t>S IMPOSITION OF ANTI</w:t>
      </w:r>
      <w:r>
        <w:rPr>
          <w:b/>
          <w:sz w:val="28"/>
        </w:rPr>
        <w:t>‐</w:t>
      </w:r>
      <w:r>
        <w:rPr>
          <w:b/>
        </w:rPr>
        <w:t xml:space="preserve">DUMPING DUTIES WAS CONTRARY TO </w:t>
      </w:r>
      <w:r>
        <w:rPr>
          <w:b/>
          <w:sz w:val="28"/>
        </w:rPr>
        <w:t>A</w:t>
      </w:r>
      <w:r>
        <w:rPr>
          <w:b/>
        </w:rPr>
        <w:t xml:space="preserve">RTICLES </w:t>
      </w:r>
      <w:r>
        <w:rPr>
          <w:b/>
          <w:sz w:val="28"/>
        </w:rPr>
        <w:t>1,</w:t>
      </w:r>
      <w:r>
        <w:rPr>
          <w:b/>
          <w:spacing w:val="-14"/>
          <w:sz w:val="28"/>
        </w:rPr>
        <w:t xml:space="preserve"> </w:t>
      </w:r>
      <w:r>
        <w:rPr>
          <w:b/>
          <w:sz w:val="28"/>
        </w:rPr>
        <w:t>9.1,</w:t>
      </w:r>
      <w:r>
        <w:rPr>
          <w:b/>
          <w:spacing w:val="-13"/>
          <w:sz w:val="28"/>
        </w:rPr>
        <w:t xml:space="preserve"> </w:t>
      </w:r>
      <w:r>
        <w:rPr>
          <w:b/>
          <w:sz w:val="28"/>
        </w:rPr>
        <w:t>9.2</w:t>
      </w:r>
      <w:r>
        <w:rPr>
          <w:b/>
          <w:spacing w:val="-12"/>
          <w:sz w:val="28"/>
        </w:rPr>
        <w:t xml:space="preserve"> </w:t>
      </w:r>
      <w:r>
        <w:rPr>
          <w:b/>
        </w:rPr>
        <w:t>AND</w:t>
      </w:r>
      <w:r>
        <w:rPr>
          <w:b/>
          <w:spacing w:val="-1"/>
        </w:rPr>
        <w:t xml:space="preserve"> </w:t>
      </w:r>
      <w:r>
        <w:rPr>
          <w:b/>
          <w:sz w:val="28"/>
        </w:rPr>
        <w:t>9.3</w:t>
      </w:r>
      <w:r>
        <w:rPr>
          <w:b/>
          <w:spacing w:val="-14"/>
          <w:sz w:val="28"/>
        </w:rPr>
        <w:t xml:space="preserve"> </w:t>
      </w:r>
      <w:r>
        <w:rPr>
          <w:b/>
        </w:rPr>
        <w:t xml:space="preserve">OF THE </w:t>
      </w:r>
      <w:r>
        <w:rPr>
          <w:b/>
          <w:sz w:val="28"/>
        </w:rPr>
        <w:t>A</w:t>
      </w:r>
      <w:r>
        <w:rPr>
          <w:b/>
        </w:rPr>
        <w:t>NTI</w:t>
      </w:r>
      <w:r>
        <w:rPr>
          <w:b/>
          <w:sz w:val="28"/>
        </w:rPr>
        <w:t>‐D</w:t>
      </w:r>
      <w:r>
        <w:rPr>
          <w:b/>
        </w:rPr>
        <w:t xml:space="preserve">UMPING </w:t>
      </w:r>
      <w:r>
        <w:rPr>
          <w:b/>
          <w:sz w:val="28"/>
        </w:rPr>
        <w:t>A</w:t>
      </w:r>
      <w:r>
        <w:rPr>
          <w:b/>
        </w:rPr>
        <w:t>GREEMENT AND</w:t>
      </w:r>
      <w:r>
        <w:rPr>
          <w:b/>
          <w:spacing w:val="-1"/>
        </w:rPr>
        <w:t xml:space="preserve"> </w:t>
      </w:r>
      <w:r>
        <w:rPr>
          <w:b/>
          <w:sz w:val="28"/>
        </w:rPr>
        <w:t>A</w:t>
      </w:r>
      <w:r>
        <w:rPr>
          <w:b/>
        </w:rPr>
        <w:t xml:space="preserve">RTICLE </w:t>
      </w:r>
      <w:r>
        <w:rPr>
          <w:b/>
          <w:sz w:val="28"/>
        </w:rPr>
        <w:t xml:space="preserve">VI:2 </w:t>
      </w:r>
      <w:r>
        <w:rPr>
          <w:b/>
        </w:rPr>
        <w:t xml:space="preserve">OF THE </w:t>
      </w:r>
      <w:r>
        <w:rPr>
          <w:b/>
          <w:sz w:val="28"/>
        </w:rPr>
        <w:t>GATT 1994</w:t>
      </w:r>
    </w:p>
    <w:p w14:paraId="51DE9363" w14:textId="77777777" w:rsidR="0010369C" w:rsidRDefault="0010369C">
      <w:pPr>
        <w:pStyle w:val="BodyText"/>
        <w:spacing w:before="10"/>
        <w:rPr>
          <w:b/>
          <w:sz w:val="8"/>
        </w:rPr>
      </w:pPr>
    </w:p>
    <w:p w14:paraId="51DE9364" w14:textId="77777777" w:rsidR="0010369C" w:rsidRDefault="008E43AE">
      <w:pPr>
        <w:pStyle w:val="BodyText"/>
        <w:spacing w:before="52" w:line="360" w:lineRule="auto"/>
        <w:ind w:left="236" w:right="612" w:firstLine="852"/>
        <w:jc w:val="both"/>
      </w:pPr>
      <w:r>
        <w:rPr>
          <w:noProof/>
        </w:rPr>
        <w:drawing>
          <wp:anchor distT="0" distB="0" distL="0" distR="0" simplePos="0" relativeHeight="251320832" behindDoc="1" locked="0" layoutInCell="1" allowOverlap="1" wp14:anchorId="51DEA5E3" wp14:editId="51DEA5E4">
            <wp:simplePos x="0" y="0"/>
            <wp:positionH relativeFrom="page">
              <wp:posOffset>902208</wp:posOffset>
            </wp:positionH>
            <wp:positionV relativeFrom="paragraph">
              <wp:posOffset>81949</wp:posOffset>
            </wp:positionV>
            <wp:extent cx="262127" cy="100753"/>
            <wp:effectExtent l="0" t="0" r="0" b="0"/>
            <wp:wrapNone/>
            <wp:docPr id="1399" name="image7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 name="image726.png"/>
                    <pic:cNvPicPr/>
                  </pic:nvPicPr>
                  <pic:blipFill>
                    <a:blip r:embed="rId948" cstate="print"/>
                    <a:stretch>
                      <a:fillRect/>
                    </a:stretch>
                  </pic:blipFill>
                  <pic:spPr>
                    <a:xfrm>
                      <a:off x="0" y="0"/>
                      <a:ext cx="262127" cy="100753"/>
                    </a:xfrm>
                    <a:prstGeom prst="rect">
                      <a:avLst/>
                    </a:prstGeom>
                  </pic:spPr>
                </pic:pic>
              </a:graphicData>
            </a:graphic>
          </wp:anchor>
        </w:drawing>
      </w:r>
      <w:r>
        <w:t>MOFCOM's imposition of anti‐dumping duties was inconsistent with China's obligations</w:t>
      </w:r>
      <w:r>
        <w:rPr>
          <w:spacing w:val="-4"/>
        </w:rPr>
        <w:t xml:space="preserve"> </w:t>
      </w:r>
      <w:r>
        <w:t>under</w:t>
      </w:r>
      <w:r>
        <w:rPr>
          <w:spacing w:val="-3"/>
        </w:rPr>
        <w:t xml:space="preserve"> </w:t>
      </w:r>
      <w:r>
        <w:t>Articles</w:t>
      </w:r>
      <w:r>
        <w:rPr>
          <w:spacing w:val="-5"/>
        </w:rPr>
        <w:t xml:space="preserve"> </w:t>
      </w:r>
      <w:r>
        <w:t>1,</w:t>
      </w:r>
      <w:r>
        <w:rPr>
          <w:spacing w:val="-4"/>
        </w:rPr>
        <w:t xml:space="preserve"> </w:t>
      </w:r>
      <w:r>
        <w:t>9.1,</w:t>
      </w:r>
      <w:r>
        <w:rPr>
          <w:spacing w:val="-2"/>
        </w:rPr>
        <w:t xml:space="preserve"> </w:t>
      </w:r>
      <w:r>
        <w:t>9.2</w:t>
      </w:r>
      <w:r>
        <w:rPr>
          <w:spacing w:val="-3"/>
        </w:rPr>
        <w:t xml:space="preserve"> </w:t>
      </w:r>
      <w:r>
        <w:t>and</w:t>
      </w:r>
      <w:r>
        <w:rPr>
          <w:spacing w:val="-4"/>
        </w:rPr>
        <w:t xml:space="preserve"> </w:t>
      </w:r>
      <w:r>
        <w:t>9.3</w:t>
      </w:r>
      <w:r>
        <w:rPr>
          <w:spacing w:val="-3"/>
        </w:rPr>
        <w:t xml:space="preserve"> </w:t>
      </w:r>
      <w:r>
        <w:t>of</w:t>
      </w:r>
      <w:r>
        <w:rPr>
          <w:spacing w:val="-4"/>
        </w:rPr>
        <w:t xml:space="preserve"> </w:t>
      </w:r>
      <w:r>
        <w:t>the</w:t>
      </w:r>
      <w:r>
        <w:rPr>
          <w:spacing w:val="-3"/>
        </w:rPr>
        <w:t xml:space="preserve"> </w:t>
      </w:r>
      <w:r>
        <w:t>Anti‐Dumping</w:t>
      </w:r>
      <w:r>
        <w:rPr>
          <w:spacing w:val="-4"/>
        </w:rPr>
        <w:t xml:space="preserve"> </w:t>
      </w:r>
      <w:r>
        <w:t>Agreement,</w:t>
      </w:r>
      <w:r>
        <w:rPr>
          <w:spacing w:val="-4"/>
        </w:rPr>
        <w:t xml:space="preserve"> </w:t>
      </w:r>
      <w:r>
        <w:t>and</w:t>
      </w:r>
      <w:r>
        <w:rPr>
          <w:spacing w:val="-4"/>
        </w:rPr>
        <w:t xml:space="preserve"> </w:t>
      </w:r>
      <w:r>
        <w:t>Article</w:t>
      </w:r>
      <w:r>
        <w:rPr>
          <w:spacing w:val="-4"/>
        </w:rPr>
        <w:t xml:space="preserve"> </w:t>
      </w:r>
      <w:r>
        <w:t>VI:2 of the GATT 1994, because it: improperly imposed anti‐dumping duties where all requireme</w:t>
      </w:r>
      <w:r>
        <w:t>nts for their imposition had not been fulfilled; did not impose anti‐dumping duties in</w:t>
      </w:r>
      <w:r>
        <w:rPr>
          <w:spacing w:val="-14"/>
        </w:rPr>
        <w:t xml:space="preserve"> </w:t>
      </w:r>
      <w:r>
        <w:t>appropriate</w:t>
      </w:r>
      <w:r>
        <w:rPr>
          <w:spacing w:val="-12"/>
        </w:rPr>
        <w:t xml:space="preserve"> </w:t>
      </w:r>
      <w:r>
        <w:t>amounts</w:t>
      </w:r>
      <w:r>
        <w:rPr>
          <w:spacing w:val="-14"/>
        </w:rPr>
        <w:t xml:space="preserve"> </w:t>
      </w:r>
      <w:r>
        <w:t>and</w:t>
      </w:r>
      <w:r>
        <w:rPr>
          <w:spacing w:val="-13"/>
        </w:rPr>
        <w:t xml:space="preserve"> </w:t>
      </w:r>
      <w:r>
        <w:t>imposed</w:t>
      </w:r>
      <w:r>
        <w:rPr>
          <w:spacing w:val="-13"/>
        </w:rPr>
        <w:t xml:space="preserve"> </w:t>
      </w:r>
      <w:r>
        <w:t>anti‐dumping</w:t>
      </w:r>
      <w:r>
        <w:rPr>
          <w:spacing w:val="-13"/>
        </w:rPr>
        <w:t xml:space="preserve"> </w:t>
      </w:r>
      <w:r>
        <w:t>duties</w:t>
      </w:r>
      <w:r>
        <w:rPr>
          <w:spacing w:val="-13"/>
        </w:rPr>
        <w:t xml:space="preserve"> </w:t>
      </w:r>
      <w:r>
        <w:t>in</w:t>
      </w:r>
      <w:r>
        <w:rPr>
          <w:spacing w:val="-12"/>
        </w:rPr>
        <w:t xml:space="preserve"> </w:t>
      </w:r>
      <w:r>
        <w:t>excess</w:t>
      </w:r>
      <w:r>
        <w:rPr>
          <w:spacing w:val="-14"/>
        </w:rPr>
        <w:t xml:space="preserve"> </w:t>
      </w:r>
      <w:r>
        <w:t>of</w:t>
      </w:r>
      <w:r>
        <w:rPr>
          <w:spacing w:val="-13"/>
        </w:rPr>
        <w:t xml:space="preserve"> </w:t>
      </w:r>
      <w:r>
        <w:t>the</w:t>
      </w:r>
      <w:r>
        <w:rPr>
          <w:spacing w:val="-13"/>
        </w:rPr>
        <w:t xml:space="preserve"> </w:t>
      </w:r>
      <w:r>
        <w:t>margins</w:t>
      </w:r>
      <w:r>
        <w:rPr>
          <w:spacing w:val="-14"/>
        </w:rPr>
        <w:t xml:space="preserve"> </w:t>
      </w:r>
      <w:r>
        <w:t>of</w:t>
      </w:r>
      <w:r>
        <w:rPr>
          <w:spacing w:val="-13"/>
        </w:rPr>
        <w:t xml:space="preserve"> </w:t>
      </w:r>
      <w:r>
        <w:t>dumping that could have been established under Article 2 of the Anti‐Dumping Agreement (if any). As Australia</w:t>
      </w:r>
      <w:r>
        <w:rPr>
          <w:spacing w:val="-7"/>
        </w:rPr>
        <w:t xml:space="preserve"> </w:t>
      </w:r>
      <w:r>
        <w:t>has</w:t>
      </w:r>
      <w:r>
        <w:rPr>
          <w:spacing w:val="-6"/>
        </w:rPr>
        <w:t xml:space="preserve"> </w:t>
      </w:r>
      <w:r>
        <w:t>demonstrated,</w:t>
      </w:r>
      <w:r>
        <w:rPr>
          <w:spacing w:val="-5"/>
        </w:rPr>
        <w:t xml:space="preserve"> </w:t>
      </w:r>
      <w:r>
        <w:t>MOFCOM</w:t>
      </w:r>
      <w:r>
        <w:rPr>
          <w:spacing w:val="-6"/>
        </w:rPr>
        <w:t xml:space="preserve"> </w:t>
      </w:r>
      <w:r>
        <w:t>erred</w:t>
      </w:r>
      <w:r>
        <w:rPr>
          <w:spacing w:val="-7"/>
        </w:rPr>
        <w:t xml:space="preserve"> </w:t>
      </w:r>
      <w:r>
        <w:t>in</w:t>
      </w:r>
      <w:r>
        <w:rPr>
          <w:spacing w:val="-6"/>
        </w:rPr>
        <w:t xml:space="preserve"> </w:t>
      </w:r>
      <w:r>
        <w:t>its</w:t>
      </w:r>
      <w:r>
        <w:rPr>
          <w:spacing w:val="-6"/>
        </w:rPr>
        <w:t xml:space="preserve"> </w:t>
      </w:r>
      <w:r>
        <w:t>application</w:t>
      </w:r>
      <w:r>
        <w:rPr>
          <w:spacing w:val="-8"/>
        </w:rPr>
        <w:t xml:space="preserve"> </w:t>
      </w:r>
      <w:r>
        <w:t>of</w:t>
      </w:r>
      <w:r>
        <w:rPr>
          <w:spacing w:val="-6"/>
        </w:rPr>
        <w:t xml:space="preserve"> </w:t>
      </w:r>
      <w:r>
        <w:t>Article</w:t>
      </w:r>
      <w:r>
        <w:rPr>
          <w:spacing w:val="-6"/>
        </w:rPr>
        <w:t xml:space="preserve"> </w:t>
      </w:r>
      <w:r>
        <w:t>2,</w:t>
      </w:r>
      <w:r>
        <w:rPr>
          <w:spacing w:val="-8"/>
        </w:rPr>
        <w:t xml:space="preserve"> </w:t>
      </w:r>
      <w:r>
        <w:t>as</w:t>
      </w:r>
      <w:r>
        <w:rPr>
          <w:spacing w:val="-7"/>
        </w:rPr>
        <w:t xml:space="preserve"> </w:t>
      </w:r>
      <w:r>
        <w:t>a</w:t>
      </w:r>
      <w:r>
        <w:rPr>
          <w:spacing w:val="-6"/>
        </w:rPr>
        <w:t xml:space="preserve"> </w:t>
      </w:r>
      <w:r>
        <w:t>result</w:t>
      </w:r>
      <w:r>
        <w:rPr>
          <w:spacing w:val="-8"/>
        </w:rPr>
        <w:t xml:space="preserve"> </w:t>
      </w:r>
      <w:r>
        <w:t>of</w:t>
      </w:r>
      <w:r>
        <w:rPr>
          <w:spacing w:val="-6"/>
        </w:rPr>
        <w:t xml:space="preserve"> </w:t>
      </w:r>
      <w:r>
        <w:t>which MOFCOM</w:t>
      </w:r>
      <w:r>
        <w:rPr>
          <w:spacing w:val="-4"/>
        </w:rPr>
        <w:t xml:space="preserve"> </w:t>
      </w:r>
      <w:r>
        <w:t>erroneously</w:t>
      </w:r>
      <w:r>
        <w:rPr>
          <w:spacing w:val="-4"/>
        </w:rPr>
        <w:t xml:space="preserve"> </w:t>
      </w:r>
      <w:r>
        <w:t>identified</w:t>
      </w:r>
      <w:r>
        <w:rPr>
          <w:spacing w:val="-4"/>
        </w:rPr>
        <w:t xml:space="preserve"> </w:t>
      </w:r>
      <w:r>
        <w:t>the</w:t>
      </w:r>
      <w:r>
        <w:rPr>
          <w:spacing w:val="-4"/>
        </w:rPr>
        <w:t xml:space="preserve"> </w:t>
      </w:r>
      <w:r>
        <w:t>existence</w:t>
      </w:r>
      <w:r>
        <w:rPr>
          <w:spacing w:val="-5"/>
        </w:rPr>
        <w:t xml:space="preserve"> </w:t>
      </w:r>
      <w:r>
        <w:t>of</w:t>
      </w:r>
      <w:r>
        <w:rPr>
          <w:spacing w:val="-5"/>
        </w:rPr>
        <w:t xml:space="preserve"> </w:t>
      </w:r>
      <w:r>
        <w:t>dumping</w:t>
      </w:r>
      <w:r>
        <w:rPr>
          <w:spacing w:val="-3"/>
        </w:rPr>
        <w:t xml:space="preserve"> </w:t>
      </w:r>
      <w:r>
        <w:t>and</w:t>
      </w:r>
      <w:r>
        <w:rPr>
          <w:spacing w:val="-4"/>
        </w:rPr>
        <w:t xml:space="preserve"> </w:t>
      </w:r>
      <w:r>
        <w:t>er</w:t>
      </w:r>
      <w:r>
        <w:t>roneously</w:t>
      </w:r>
      <w:r>
        <w:rPr>
          <w:spacing w:val="-3"/>
        </w:rPr>
        <w:t xml:space="preserve"> </w:t>
      </w:r>
      <w:r>
        <w:t>inflated</w:t>
      </w:r>
      <w:r>
        <w:rPr>
          <w:spacing w:val="-5"/>
        </w:rPr>
        <w:t xml:space="preserve"> </w:t>
      </w:r>
      <w:r>
        <w:t xml:space="preserve">dumping </w:t>
      </w:r>
      <w:r>
        <w:rPr>
          <w:spacing w:val="-2"/>
        </w:rPr>
        <w:t>margins.</w:t>
      </w:r>
    </w:p>
    <w:p w14:paraId="51DE9365" w14:textId="77777777" w:rsidR="0010369C" w:rsidRDefault="008E43AE">
      <w:pPr>
        <w:pStyle w:val="Heading4"/>
        <w:numPr>
          <w:ilvl w:val="2"/>
          <w:numId w:val="75"/>
        </w:numPr>
        <w:tabs>
          <w:tab w:val="left" w:pos="2649"/>
          <w:tab w:val="left" w:pos="2650"/>
        </w:tabs>
        <w:spacing w:before="159" w:line="360" w:lineRule="auto"/>
        <w:ind w:right="615"/>
        <w:jc w:val="both"/>
      </w:pPr>
      <w:r>
        <w:t>MOFCOM</w:t>
      </w:r>
      <w:r>
        <w:rPr>
          <w:spacing w:val="-3"/>
        </w:rPr>
        <w:t xml:space="preserve"> </w:t>
      </w:r>
      <w:r>
        <w:t>failed</w:t>
      </w:r>
      <w:r>
        <w:rPr>
          <w:spacing w:val="-3"/>
        </w:rPr>
        <w:t xml:space="preserve"> </w:t>
      </w:r>
      <w:r>
        <w:t>to</w:t>
      </w:r>
      <w:r>
        <w:rPr>
          <w:spacing w:val="-3"/>
        </w:rPr>
        <w:t xml:space="preserve"> </w:t>
      </w:r>
      <w:r>
        <w:t>impose</w:t>
      </w:r>
      <w:r>
        <w:rPr>
          <w:spacing w:val="-4"/>
        </w:rPr>
        <w:t xml:space="preserve"> </w:t>
      </w:r>
      <w:r>
        <w:t>anti‐dumping</w:t>
      </w:r>
      <w:r>
        <w:rPr>
          <w:spacing w:val="-4"/>
        </w:rPr>
        <w:t xml:space="preserve"> </w:t>
      </w:r>
      <w:r>
        <w:t>duties</w:t>
      </w:r>
      <w:r>
        <w:rPr>
          <w:spacing w:val="-4"/>
        </w:rPr>
        <w:t xml:space="preserve"> </w:t>
      </w:r>
      <w:r>
        <w:t>in</w:t>
      </w:r>
      <w:r>
        <w:rPr>
          <w:spacing w:val="-4"/>
        </w:rPr>
        <w:t xml:space="preserve"> </w:t>
      </w:r>
      <w:r>
        <w:t>accordance</w:t>
      </w:r>
      <w:r>
        <w:rPr>
          <w:spacing w:val="-4"/>
        </w:rPr>
        <w:t xml:space="preserve"> </w:t>
      </w:r>
      <w:r>
        <w:t>with the Anti‐Dumping Agreement</w:t>
      </w:r>
    </w:p>
    <w:p w14:paraId="51DE9366" w14:textId="77777777" w:rsidR="0010369C" w:rsidRDefault="0010369C">
      <w:pPr>
        <w:pStyle w:val="BodyText"/>
        <w:spacing w:before="11"/>
        <w:rPr>
          <w:b/>
          <w:sz w:val="8"/>
        </w:rPr>
      </w:pPr>
    </w:p>
    <w:p w14:paraId="51DE9367" w14:textId="77777777" w:rsidR="0010369C" w:rsidRDefault="008E43AE">
      <w:pPr>
        <w:pStyle w:val="BodyText"/>
        <w:spacing w:before="52" w:line="360" w:lineRule="auto"/>
        <w:ind w:left="237" w:right="612" w:firstLine="852"/>
        <w:jc w:val="both"/>
      </w:pPr>
      <w:r>
        <w:rPr>
          <w:noProof/>
        </w:rPr>
        <w:drawing>
          <wp:anchor distT="0" distB="0" distL="0" distR="0" simplePos="0" relativeHeight="251321856" behindDoc="1" locked="0" layoutInCell="1" allowOverlap="1" wp14:anchorId="51DEA5E5" wp14:editId="51DEA5E6">
            <wp:simplePos x="0" y="0"/>
            <wp:positionH relativeFrom="page">
              <wp:posOffset>902208</wp:posOffset>
            </wp:positionH>
            <wp:positionV relativeFrom="paragraph">
              <wp:posOffset>82711</wp:posOffset>
            </wp:positionV>
            <wp:extent cx="262127" cy="100753"/>
            <wp:effectExtent l="0" t="0" r="0" b="0"/>
            <wp:wrapNone/>
            <wp:docPr id="1401" name="image7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 name="image727.png"/>
                    <pic:cNvPicPr/>
                  </pic:nvPicPr>
                  <pic:blipFill>
                    <a:blip r:embed="rId949" cstate="print"/>
                    <a:stretch>
                      <a:fillRect/>
                    </a:stretch>
                  </pic:blipFill>
                  <pic:spPr>
                    <a:xfrm>
                      <a:off x="0" y="0"/>
                      <a:ext cx="262127" cy="100753"/>
                    </a:xfrm>
                    <a:prstGeom prst="rect">
                      <a:avLst/>
                    </a:prstGeom>
                  </pic:spPr>
                </pic:pic>
              </a:graphicData>
            </a:graphic>
          </wp:anchor>
        </w:drawing>
      </w:r>
      <w:r>
        <w:t>In</w:t>
      </w:r>
      <w:r>
        <w:rPr>
          <w:spacing w:val="-9"/>
        </w:rPr>
        <w:t xml:space="preserve"> </w:t>
      </w:r>
      <w:r>
        <w:t>the</w:t>
      </w:r>
      <w:r>
        <w:rPr>
          <w:spacing w:val="-8"/>
        </w:rPr>
        <w:t xml:space="preserve"> </w:t>
      </w:r>
      <w:r>
        <w:t>Final</w:t>
      </w:r>
      <w:r>
        <w:rPr>
          <w:spacing w:val="-9"/>
        </w:rPr>
        <w:t xml:space="preserve"> </w:t>
      </w:r>
      <w:r>
        <w:t>Determination,</w:t>
      </w:r>
      <w:r>
        <w:rPr>
          <w:spacing w:val="-8"/>
        </w:rPr>
        <w:t xml:space="preserve"> </w:t>
      </w:r>
      <w:r>
        <w:t>MOFCOM</w:t>
      </w:r>
      <w:r>
        <w:rPr>
          <w:spacing w:val="-8"/>
        </w:rPr>
        <w:t xml:space="preserve"> </w:t>
      </w:r>
      <w:r>
        <w:t>imposed</w:t>
      </w:r>
      <w:r>
        <w:rPr>
          <w:spacing w:val="-8"/>
        </w:rPr>
        <w:t xml:space="preserve"> </w:t>
      </w:r>
      <w:r>
        <w:t>the</w:t>
      </w:r>
      <w:r>
        <w:rPr>
          <w:spacing w:val="-8"/>
        </w:rPr>
        <w:t xml:space="preserve"> </w:t>
      </w:r>
      <w:r>
        <w:t>following</w:t>
      </w:r>
      <w:r>
        <w:rPr>
          <w:spacing w:val="-10"/>
        </w:rPr>
        <w:t xml:space="preserve"> </w:t>
      </w:r>
      <w:r>
        <w:t>three</w:t>
      </w:r>
      <w:r>
        <w:rPr>
          <w:spacing w:val="-9"/>
        </w:rPr>
        <w:t xml:space="preserve"> </w:t>
      </w:r>
      <w:r>
        <w:t>categories</w:t>
      </w:r>
      <w:r>
        <w:rPr>
          <w:spacing w:val="-11"/>
        </w:rPr>
        <w:t xml:space="preserve"> </w:t>
      </w:r>
      <w:r>
        <w:t>of</w:t>
      </w:r>
      <w:r>
        <w:rPr>
          <w:spacing w:val="-9"/>
        </w:rPr>
        <w:t xml:space="preserve"> </w:t>
      </w:r>
      <w:r>
        <w:t>anti‐ dumping</w:t>
      </w:r>
      <w:r>
        <w:rPr>
          <w:spacing w:val="-14"/>
        </w:rPr>
        <w:t xml:space="preserve"> </w:t>
      </w:r>
      <w:r>
        <w:t>duties:</w:t>
      </w:r>
      <w:r>
        <w:rPr>
          <w:spacing w:val="-14"/>
        </w:rPr>
        <w:t xml:space="preserve"> </w:t>
      </w:r>
      <w:r>
        <w:t>(I)</w:t>
      </w:r>
      <w:r>
        <w:rPr>
          <w:spacing w:val="-13"/>
        </w:rPr>
        <w:t xml:space="preserve"> </w:t>
      </w:r>
      <w:r>
        <w:t>"Sampled</w:t>
      </w:r>
      <w:r>
        <w:rPr>
          <w:spacing w:val="-14"/>
        </w:rPr>
        <w:t xml:space="preserve"> </w:t>
      </w:r>
      <w:r>
        <w:t>Companies",</w:t>
      </w:r>
      <w:r>
        <w:rPr>
          <w:spacing w:val="-13"/>
        </w:rPr>
        <w:t xml:space="preserve"> </w:t>
      </w:r>
      <w:r>
        <w:t>in</w:t>
      </w:r>
      <w:r>
        <w:rPr>
          <w:spacing w:val="-14"/>
        </w:rPr>
        <w:t xml:space="preserve"> </w:t>
      </w:r>
      <w:r>
        <w:t>which</w:t>
      </w:r>
      <w:r>
        <w:rPr>
          <w:spacing w:val="-13"/>
        </w:rPr>
        <w:t xml:space="preserve"> </w:t>
      </w:r>
      <w:r>
        <w:t>MOFCOM</w:t>
      </w:r>
      <w:r>
        <w:rPr>
          <w:spacing w:val="-14"/>
        </w:rPr>
        <w:t xml:space="preserve"> </w:t>
      </w:r>
      <w:r>
        <w:t>imposed</w:t>
      </w:r>
      <w:r>
        <w:rPr>
          <w:spacing w:val="-14"/>
        </w:rPr>
        <w:t xml:space="preserve"> </w:t>
      </w:r>
      <w:r>
        <w:t>individual</w:t>
      </w:r>
      <w:r>
        <w:rPr>
          <w:spacing w:val="-13"/>
        </w:rPr>
        <w:t xml:space="preserve"> </w:t>
      </w:r>
      <w:r>
        <w:t>rates</w:t>
      </w:r>
      <w:r>
        <w:rPr>
          <w:spacing w:val="-14"/>
        </w:rPr>
        <w:t xml:space="preserve"> </w:t>
      </w:r>
      <w:r>
        <w:t>of</w:t>
      </w:r>
      <w:r>
        <w:rPr>
          <w:spacing w:val="-13"/>
        </w:rPr>
        <w:t xml:space="preserve"> </w:t>
      </w:r>
      <w:r>
        <w:t>anti‐ dumping duty on each of the three sampled exporters;</w:t>
      </w:r>
      <w:r>
        <w:rPr>
          <w:vertAlign w:val="superscript"/>
        </w:rPr>
        <w:t>858</w:t>
      </w:r>
      <w:r>
        <w:t xml:space="preserve"> (II) "Other Cooperative in the Investigation" (other named Australian exporters), in which MOFCOM imposed a single rate of anti‐dumping du</w:t>
      </w:r>
      <w:r>
        <w:t>ty on the 21 non‐sampled exporters that it deemed to be "cooperative" with</w:t>
      </w:r>
      <w:r>
        <w:rPr>
          <w:spacing w:val="-3"/>
        </w:rPr>
        <w:t xml:space="preserve"> </w:t>
      </w:r>
      <w:r>
        <w:t>the</w:t>
      </w:r>
      <w:r>
        <w:rPr>
          <w:spacing w:val="-2"/>
        </w:rPr>
        <w:t xml:space="preserve"> </w:t>
      </w:r>
      <w:r>
        <w:t>investigation</w:t>
      </w:r>
      <w:r>
        <w:rPr>
          <w:spacing w:val="-3"/>
        </w:rPr>
        <w:t xml:space="preserve"> </w:t>
      </w:r>
      <w:r>
        <w:t>(on</w:t>
      </w:r>
      <w:r>
        <w:rPr>
          <w:spacing w:val="-3"/>
        </w:rPr>
        <w:t xml:space="preserve"> </w:t>
      </w:r>
      <w:r>
        <w:t>the</w:t>
      </w:r>
      <w:r>
        <w:rPr>
          <w:spacing w:val="-2"/>
        </w:rPr>
        <w:t xml:space="preserve"> </w:t>
      </w:r>
      <w:r>
        <w:t>basis</w:t>
      </w:r>
      <w:r>
        <w:rPr>
          <w:spacing w:val="-3"/>
        </w:rPr>
        <w:t xml:space="preserve"> </w:t>
      </w:r>
      <w:r>
        <w:t>that</w:t>
      </w:r>
      <w:r>
        <w:rPr>
          <w:spacing w:val="-3"/>
        </w:rPr>
        <w:t xml:space="preserve"> </w:t>
      </w:r>
      <w:r>
        <w:t>they</w:t>
      </w:r>
      <w:r>
        <w:rPr>
          <w:spacing w:val="-3"/>
        </w:rPr>
        <w:t xml:space="preserve"> </w:t>
      </w:r>
      <w:r>
        <w:t>both</w:t>
      </w:r>
      <w:r>
        <w:rPr>
          <w:spacing w:val="-3"/>
        </w:rPr>
        <w:t xml:space="preserve"> </w:t>
      </w:r>
      <w:r>
        <w:t>registered</w:t>
      </w:r>
      <w:r>
        <w:rPr>
          <w:spacing w:val="-4"/>
        </w:rPr>
        <w:t xml:space="preserve"> </w:t>
      </w:r>
      <w:r>
        <w:t>and</w:t>
      </w:r>
      <w:r>
        <w:rPr>
          <w:spacing w:val="-3"/>
        </w:rPr>
        <w:t xml:space="preserve"> </w:t>
      </w:r>
      <w:r>
        <w:t>submitted</w:t>
      </w:r>
      <w:r>
        <w:rPr>
          <w:spacing w:val="-3"/>
        </w:rPr>
        <w:t xml:space="preserve"> </w:t>
      </w:r>
      <w:r>
        <w:t>responses</w:t>
      </w:r>
      <w:r>
        <w:rPr>
          <w:spacing w:val="-4"/>
        </w:rPr>
        <w:t xml:space="preserve"> </w:t>
      </w:r>
      <w:r>
        <w:t>to</w:t>
      </w:r>
      <w:r>
        <w:rPr>
          <w:spacing w:val="-2"/>
        </w:rPr>
        <w:t xml:space="preserve"> </w:t>
      </w:r>
      <w:r>
        <w:t>the sampling questionnaires);</w:t>
      </w:r>
      <w:r>
        <w:rPr>
          <w:vertAlign w:val="superscript"/>
        </w:rPr>
        <w:t>859</w:t>
      </w:r>
      <w:r>
        <w:t xml:space="preserve"> and (III) "All Others", a residual</w:t>
      </w:r>
      <w:r>
        <w:rPr>
          <w:spacing w:val="-1"/>
        </w:rPr>
        <w:t xml:space="preserve"> </w:t>
      </w:r>
      <w:r>
        <w:t xml:space="preserve">category under which MOFCOM </w:t>
      </w:r>
      <w:r>
        <w:t>imposed an even higher rate of anti‐dumping duty to every exporter that was not identified in categories I and II.</w:t>
      </w:r>
      <w:r>
        <w:rPr>
          <w:vertAlign w:val="superscript"/>
        </w:rPr>
        <w:t>860</w:t>
      </w:r>
      <w:r>
        <w:t xml:space="preserve"> These outcomes are summarised in the table below.</w:t>
      </w:r>
    </w:p>
    <w:p w14:paraId="51DE9368" w14:textId="77777777" w:rsidR="0010369C" w:rsidRDefault="0010369C">
      <w:pPr>
        <w:pStyle w:val="BodyText"/>
        <w:rPr>
          <w:sz w:val="20"/>
        </w:rPr>
      </w:pPr>
    </w:p>
    <w:p w14:paraId="51DE9369" w14:textId="77777777" w:rsidR="0010369C" w:rsidRDefault="0010369C">
      <w:pPr>
        <w:pStyle w:val="BodyText"/>
        <w:rPr>
          <w:sz w:val="20"/>
        </w:rPr>
      </w:pPr>
    </w:p>
    <w:p w14:paraId="51DE936A" w14:textId="77777777" w:rsidR="0010369C" w:rsidRDefault="008E43AE">
      <w:pPr>
        <w:pStyle w:val="BodyText"/>
        <w:spacing w:before="11"/>
        <w:rPr>
          <w:sz w:val="21"/>
        </w:rPr>
      </w:pPr>
      <w:r>
        <w:pict w14:anchorId="51DEA5E7">
          <v:rect id="docshape1194" o:spid="_x0000_s1213" style="position:absolute;margin-left:70.9pt;margin-top:14.6pt;width:2in;height:.8pt;z-index:-250774016;mso-wrap-distance-left:0;mso-wrap-distance-right:0;mso-position-horizontal-relative:page" fillcolor="black" stroked="f">
            <w10:wrap type="topAndBottom" anchorx="page"/>
          </v:rect>
        </w:pict>
      </w:r>
    </w:p>
    <w:p w14:paraId="51DE936B" w14:textId="77777777" w:rsidR="0010369C" w:rsidRDefault="008E43AE">
      <w:pPr>
        <w:spacing w:before="109"/>
        <w:ind w:left="236" w:right="614" w:firstLine="1"/>
        <w:jc w:val="both"/>
        <w:rPr>
          <w:sz w:val="18"/>
        </w:rPr>
      </w:pPr>
      <w:r>
        <w:rPr>
          <w:sz w:val="18"/>
          <w:vertAlign w:val="superscript"/>
        </w:rPr>
        <w:t>858</w:t>
      </w:r>
      <w:r>
        <w:rPr>
          <w:spacing w:val="-1"/>
          <w:sz w:val="18"/>
        </w:rPr>
        <w:t xml:space="preserve"> </w:t>
      </w:r>
      <w:r>
        <w:rPr>
          <w:sz w:val="18"/>
        </w:rPr>
        <w:t>Anti‐Dumping</w:t>
      </w:r>
      <w:r>
        <w:rPr>
          <w:spacing w:val="-1"/>
          <w:sz w:val="18"/>
        </w:rPr>
        <w:t xml:space="preserve"> </w:t>
      </w:r>
      <w:r>
        <w:rPr>
          <w:sz w:val="18"/>
        </w:rPr>
        <w:t>Final</w:t>
      </w:r>
      <w:r>
        <w:rPr>
          <w:spacing w:val="-1"/>
          <w:sz w:val="18"/>
        </w:rPr>
        <w:t xml:space="preserve"> </w:t>
      </w:r>
      <w:r>
        <w:rPr>
          <w:sz w:val="18"/>
        </w:rPr>
        <w:t>Determination</w:t>
      </w:r>
      <w:r>
        <w:rPr>
          <w:spacing w:val="-1"/>
          <w:sz w:val="18"/>
        </w:rPr>
        <w:t xml:space="preserve"> </w:t>
      </w:r>
      <w:r>
        <w:rPr>
          <w:sz w:val="18"/>
        </w:rPr>
        <w:t>(Exhibit</w:t>
      </w:r>
      <w:r>
        <w:rPr>
          <w:spacing w:val="-1"/>
          <w:sz w:val="18"/>
        </w:rPr>
        <w:t xml:space="preserve"> </w:t>
      </w:r>
      <w:r>
        <w:rPr>
          <w:sz w:val="18"/>
        </w:rPr>
        <w:t>AUS‐2),</w:t>
      </w:r>
      <w:r>
        <w:rPr>
          <w:spacing w:val="-2"/>
          <w:sz w:val="18"/>
        </w:rPr>
        <w:t xml:space="preserve"> </w:t>
      </w:r>
      <w:r>
        <w:rPr>
          <w:sz w:val="18"/>
        </w:rPr>
        <w:t>Annex</w:t>
      </w:r>
      <w:r>
        <w:rPr>
          <w:spacing w:val="-3"/>
          <w:sz w:val="18"/>
        </w:rPr>
        <w:t xml:space="preserve"> </w:t>
      </w:r>
      <w:r>
        <w:rPr>
          <w:sz w:val="18"/>
        </w:rPr>
        <w:t>1.</w:t>
      </w:r>
      <w:r>
        <w:rPr>
          <w:spacing w:val="-1"/>
          <w:sz w:val="18"/>
        </w:rPr>
        <w:t xml:space="preserve"> </w:t>
      </w:r>
      <w:r>
        <w:rPr>
          <w:sz w:val="18"/>
        </w:rPr>
        <w:t>MOFCOM</w:t>
      </w:r>
      <w:r>
        <w:rPr>
          <w:spacing w:val="-1"/>
          <w:sz w:val="18"/>
        </w:rPr>
        <w:t xml:space="preserve"> </w:t>
      </w:r>
      <w:r>
        <w:rPr>
          <w:sz w:val="18"/>
        </w:rPr>
        <w:t>imposed</w:t>
      </w:r>
      <w:r>
        <w:rPr>
          <w:spacing w:val="-2"/>
          <w:sz w:val="18"/>
        </w:rPr>
        <w:t xml:space="preserve"> </w:t>
      </w:r>
      <w:r>
        <w:rPr>
          <w:sz w:val="18"/>
        </w:rPr>
        <w:t>anti‐dumping</w:t>
      </w:r>
      <w:r>
        <w:rPr>
          <w:spacing w:val="-1"/>
          <w:sz w:val="18"/>
        </w:rPr>
        <w:t xml:space="preserve"> </w:t>
      </w:r>
      <w:r>
        <w:rPr>
          <w:sz w:val="18"/>
        </w:rPr>
        <w:t>duty</w:t>
      </w:r>
      <w:r>
        <w:rPr>
          <w:spacing w:val="-1"/>
          <w:sz w:val="18"/>
        </w:rPr>
        <w:t xml:space="preserve"> </w:t>
      </w:r>
      <w:r>
        <w:rPr>
          <w:sz w:val="18"/>
        </w:rPr>
        <w:t>at</w:t>
      </w:r>
      <w:r>
        <w:rPr>
          <w:spacing w:val="-1"/>
          <w:sz w:val="18"/>
        </w:rPr>
        <w:t xml:space="preserve"> </w:t>
      </w:r>
      <w:r>
        <w:rPr>
          <w:sz w:val="18"/>
        </w:rPr>
        <w:t>rates</w:t>
      </w:r>
      <w:r>
        <w:rPr>
          <w:spacing w:val="-1"/>
          <w:sz w:val="18"/>
        </w:rPr>
        <w:t xml:space="preserve"> </w:t>
      </w:r>
      <w:r>
        <w:rPr>
          <w:sz w:val="18"/>
        </w:rPr>
        <w:t>of</w:t>
      </w:r>
      <w:r>
        <w:rPr>
          <w:spacing w:val="-1"/>
          <w:sz w:val="18"/>
        </w:rPr>
        <w:t xml:space="preserve"> </w:t>
      </w:r>
      <w:r>
        <w:rPr>
          <w:sz w:val="18"/>
        </w:rPr>
        <w:t>175.6%</w:t>
      </w:r>
      <w:r>
        <w:rPr>
          <w:spacing w:val="-2"/>
          <w:sz w:val="18"/>
        </w:rPr>
        <w:t xml:space="preserve"> </w:t>
      </w:r>
      <w:r>
        <w:rPr>
          <w:sz w:val="18"/>
        </w:rPr>
        <w:t>for subject imports from Treasury Wine Estates Vintners Limited, 170.9% for subject imports from Casella Wines Pty. Limited; and 116.2% for subject imports from Australia Swan Vintage Pty. Ltd.</w:t>
      </w:r>
    </w:p>
    <w:p w14:paraId="51DE936C" w14:textId="77777777" w:rsidR="0010369C" w:rsidRDefault="008E43AE">
      <w:pPr>
        <w:spacing w:before="1"/>
        <w:ind w:left="238" w:right="612" w:hanging="1"/>
        <w:jc w:val="both"/>
        <w:rPr>
          <w:sz w:val="18"/>
        </w:rPr>
      </w:pPr>
      <w:r>
        <w:rPr>
          <w:sz w:val="18"/>
          <w:vertAlign w:val="superscript"/>
        </w:rPr>
        <w:t>859</w:t>
      </w:r>
      <w:r>
        <w:rPr>
          <w:sz w:val="18"/>
        </w:rPr>
        <w:t xml:space="preserve"> Anti‐Dumping Final De</w:t>
      </w:r>
      <w:r>
        <w:rPr>
          <w:sz w:val="18"/>
        </w:rPr>
        <w:t>termination (Exhibit AUS‐2), Annex 1. MOFCOM imposed anti‐dumping duty at the rate of</w:t>
      </w:r>
      <w:r>
        <w:rPr>
          <w:spacing w:val="-1"/>
          <w:sz w:val="18"/>
        </w:rPr>
        <w:t xml:space="preserve"> </w:t>
      </w:r>
      <w:r>
        <w:rPr>
          <w:sz w:val="18"/>
        </w:rPr>
        <w:t>167.1% on subject imports from all other exporters deemed to be "cooperative" with the investigation.</w:t>
      </w:r>
    </w:p>
    <w:p w14:paraId="51DE936D" w14:textId="77777777" w:rsidR="0010369C" w:rsidRDefault="008E43AE">
      <w:pPr>
        <w:ind w:left="238" w:right="612" w:hanging="1"/>
        <w:jc w:val="both"/>
        <w:rPr>
          <w:sz w:val="18"/>
        </w:rPr>
      </w:pPr>
      <w:r>
        <w:rPr>
          <w:sz w:val="18"/>
          <w:vertAlign w:val="superscript"/>
        </w:rPr>
        <w:t>860</w:t>
      </w:r>
      <w:r>
        <w:rPr>
          <w:sz w:val="18"/>
        </w:rPr>
        <w:t xml:space="preserve"> Anti‐Dumping Final Determination (Exhibit AUS‐2), Annex 1. MOFCO</w:t>
      </w:r>
      <w:r>
        <w:rPr>
          <w:sz w:val="18"/>
        </w:rPr>
        <w:t>M imposed anti‐dumping duty at the rate of</w:t>
      </w:r>
      <w:r>
        <w:rPr>
          <w:spacing w:val="-1"/>
          <w:sz w:val="18"/>
        </w:rPr>
        <w:t xml:space="preserve"> </w:t>
      </w:r>
      <w:r>
        <w:rPr>
          <w:sz w:val="18"/>
        </w:rPr>
        <w:t>218.4% on subject imports from "all other" exporters.</w:t>
      </w:r>
    </w:p>
    <w:p w14:paraId="51DE936E" w14:textId="77777777" w:rsidR="0010369C" w:rsidRDefault="0010369C">
      <w:pPr>
        <w:jc w:val="both"/>
        <w:rPr>
          <w:sz w:val="18"/>
        </w:rPr>
        <w:sectPr w:rsidR="0010369C">
          <w:headerReference w:type="default" r:id="rId950"/>
          <w:footerReference w:type="default" r:id="rId951"/>
          <w:pgSz w:w="11910" w:h="16840"/>
          <w:pgMar w:top="860" w:right="800" w:bottom="280" w:left="1180" w:header="569" w:footer="0" w:gutter="0"/>
          <w:cols w:space="720"/>
        </w:sectPr>
      </w:pPr>
    </w:p>
    <w:p w14:paraId="51DE936F" w14:textId="77777777" w:rsidR="0010369C" w:rsidRDefault="008E43AE">
      <w:pPr>
        <w:tabs>
          <w:tab w:val="left" w:pos="6425"/>
        </w:tabs>
        <w:ind w:left="238"/>
        <w:rPr>
          <w:sz w:val="20"/>
        </w:rPr>
      </w:pPr>
      <w:r>
        <w:rPr>
          <w:i/>
          <w:sz w:val="20"/>
        </w:rPr>
        <w:lastRenderedPageBreak/>
        <w:t>China</w:t>
      </w:r>
      <w:r>
        <w:rPr>
          <w:i/>
          <w:spacing w:val="-5"/>
          <w:sz w:val="20"/>
        </w:rPr>
        <w:t xml:space="preserve"> </w:t>
      </w:r>
      <w:r>
        <w:rPr>
          <w:i/>
          <w:sz w:val="20"/>
        </w:rPr>
        <w:t>–</w:t>
      </w:r>
      <w:r>
        <w:rPr>
          <w:i/>
          <w:spacing w:val="-5"/>
          <w:sz w:val="20"/>
        </w:rPr>
        <w:t xml:space="preserve"> </w:t>
      </w:r>
      <w:r>
        <w:rPr>
          <w:i/>
          <w:sz w:val="20"/>
        </w:rPr>
        <w:t>Anti‐Dumping</w:t>
      </w:r>
      <w:r>
        <w:rPr>
          <w:i/>
          <w:spacing w:val="-4"/>
          <w:sz w:val="20"/>
        </w:rPr>
        <w:t xml:space="preserve"> </w:t>
      </w:r>
      <w:r>
        <w:rPr>
          <w:i/>
          <w:sz w:val="20"/>
        </w:rPr>
        <w:t>and</w:t>
      </w:r>
      <w:r>
        <w:rPr>
          <w:i/>
          <w:spacing w:val="-5"/>
          <w:sz w:val="20"/>
        </w:rPr>
        <w:t xml:space="preserve"> </w:t>
      </w:r>
      <w:r>
        <w:rPr>
          <w:i/>
          <w:sz w:val="20"/>
        </w:rPr>
        <w:t>Countervailing</w:t>
      </w:r>
      <w:r>
        <w:rPr>
          <w:i/>
          <w:spacing w:val="-5"/>
          <w:sz w:val="20"/>
        </w:rPr>
        <w:t xml:space="preserve"> </w:t>
      </w:r>
      <w:r>
        <w:rPr>
          <w:i/>
          <w:sz w:val="20"/>
        </w:rPr>
        <w:t>Duty</w:t>
      </w:r>
      <w:r>
        <w:rPr>
          <w:i/>
          <w:spacing w:val="-4"/>
          <w:sz w:val="20"/>
        </w:rPr>
        <w:t xml:space="preserve"> </w:t>
      </w:r>
      <w:r>
        <w:rPr>
          <w:i/>
          <w:spacing w:val="-2"/>
          <w:sz w:val="20"/>
        </w:rPr>
        <w:t>Measures</w:t>
      </w:r>
      <w:r>
        <w:rPr>
          <w:i/>
          <w:sz w:val="20"/>
        </w:rPr>
        <w:tab/>
      </w:r>
      <w:r>
        <w:rPr>
          <w:sz w:val="20"/>
        </w:rPr>
        <w:t>Australia's</w:t>
      </w:r>
      <w:r>
        <w:rPr>
          <w:spacing w:val="-7"/>
          <w:sz w:val="20"/>
        </w:rPr>
        <w:t xml:space="preserve"> </w:t>
      </w:r>
      <w:r>
        <w:rPr>
          <w:sz w:val="20"/>
        </w:rPr>
        <w:t>First</w:t>
      </w:r>
      <w:r>
        <w:rPr>
          <w:spacing w:val="-2"/>
          <w:sz w:val="20"/>
        </w:rPr>
        <w:t xml:space="preserve"> </w:t>
      </w:r>
      <w:r>
        <w:rPr>
          <w:sz w:val="20"/>
        </w:rPr>
        <w:t>Written</w:t>
      </w:r>
      <w:r>
        <w:rPr>
          <w:spacing w:val="-2"/>
          <w:sz w:val="20"/>
        </w:rPr>
        <w:t xml:space="preserve"> Submission</w:t>
      </w:r>
    </w:p>
    <w:p w14:paraId="51DE9370" w14:textId="77777777" w:rsidR="0010369C" w:rsidRDefault="008E43AE">
      <w:pPr>
        <w:tabs>
          <w:tab w:val="left" w:pos="8227"/>
        </w:tabs>
        <w:spacing w:before="1" w:after="35"/>
        <w:ind w:left="239"/>
        <w:rPr>
          <w:sz w:val="20"/>
        </w:rPr>
      </w:pPr>
      <w:r>
        <w:rPr>
          <w:i/>
          <w:sz w:val="20"/>
        </w:rPr>
        <w:t>on</w:t>
      </w:r>
      <w:r>
        <w:rPr>
          <w:i/>
          <w:spacing w:val="-1"/>
          <w:sz w:val="20"/>
        </w:rPr>
        <w:t xml:space="preserve"> </w:t>
      </w:r>
      <w:r>
        <w:rPr>
          <w:i/>
          <w:sz w:val="20"/>
        </w:rPr>
        <w:t>Wine</w:t>
      </w:r>
      <w:r>
        <w:rPr>
          <w:i/>
          <w:spacing w:val="-1"/>
          <w:sz w:val="20"/>
        </w:rPr>
        <w:t xml:space="preserve"> </w:t>
      </w:r>
      <w:r>
        <w:rPr>
          <w:i/>
          <w:sz w:val="20"/>
        </w:rPr>
        <w:t>from</w:t>
      </w:r>
      <w:r>
        <w:rPr>
          <w:i/>
          <w:spacing w:val="-3"/>
          <w:sz w:val="20"/>
        </w:rPr>
        <w:t xml:space="preserve"> </w:t>
      </w:r>
      <w:r>
        <w:rPr>
          <w:i/>
          <w:sz w:val="20"/>
        </w:rPr>
        <w:t>Australia</w:t>
      </w:r>
      <w:r>
        <w:rPr>
          <w:i/>
          <w:spacing w:val="-1"/>
          <w:sz w:val="20"/>
        </w:rPr>
        <w:t xml:space="preserve"> </w:t>
      </w:r>
      <w:r>
        <w:rPr>
          <w:spacing w:val="-2"/>
          <w:sz w:val="20"/>
        </w:rPr>
        <w:t>(DS602)</w:t>
      </w:r>
      <w:r>
        <w:rPr>
          <w:sz w:val="20"/>
        </w:rPr>
        <w:tab/>
        <w:t>29</w:t>
      </w:r>
      <w:r>
        <w:rPr>
          <w:spacing w:val="-1"/>
          <w:sz w:val="20"/>
        </w:rPr>
        <w:t xml:space="preserve"> </w:t>
      </w:r>
      <w:r>
        <w:rPr>
          <w:sz w:val="20"/>
        </w:rPr>
        <w:t>April</w:t>
      </w:r>
      <w:r>
        <w:rPr>
          <w:spacing w:val="-2"/>
          <w:sz w:val="20"/>
        </w:rPr>
        <w:t xml:space="preserve"> </w:t>
      </w:r>
      <w:r>
        <w:rPr>
          <w:spacing w:val="-4"/>
          <w:sz w:val="20"/>
        </w:rPr>
        <w:t>2022</w:t>
      </w:r>
    </w:p>
    <w:tbl>
      <w:tblPr>
        <w:tblW w:w="0" w:type="auto"/>
        <w:tblInd w:w="2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020"/>
        <w:gridCol w:w="3368"/>
      </w:tblGrid>
      <w:tr w:rsidR="0010369C" w14:paraId="51DE9373" w14:textId="77777777">
        <w:trPr>
          <w:trHeight w:val="618"/>
        </w:trPr>
        <w:tc>
          <w:tcPr>
            <w:tcW w:w="6020" w:type="dxa"/>
          </w:tcPr>
          <w:p w14:paraId="51DE9371" w14:textId="77777777" w:rsidR="0010369C" w:rsidRDefault="008E43AE">
            <w:pPr>
              <w:pStyle w:val="TableParagraph"/>
              <w:spacing w:before="162"/>
              <w:ind w:left="2076" w:right="2069"/>
              <w:jc w:val="center"/>
              <w:rPr>
                <w:b/>
                <w:sz w:val="24"/>
              </w:rPr>
            </w:pPr>
            <w:r>
              <w:rPr>
                <w:b/>
                <w:sz w:val="24"/>
              </w:rPr>
              <w:t>Name</w:t>
            </w:r>
            <w:r>
              <w:rPr>
                <w:b/>
                <w:spacing w:val="-5"/>
                <w:sz w:val="24"/>
              </w:rPr>
              <w:t xml:space="preserve"> </w:t>
            </w:r>
            <w:r>
              <w:rPr>
                <w:b/>
                <w:sz w:val="24"/>
              </w:rPr>
              <w:t>of</w:t>
            </w:r>
            <w:r>
              <w:rPr>
                <w:b/>
                <w:spacing w:val="-5"/>
                <w:sz w:val="24"/>
              </w:rPr>
              <w:t xml:space="preserve"> </w:t>
            </w:r>
            <w:r>
              <w:rPr>
                <w:b/>
                <w:spacing w:val="-2"/>
                <w:sz w:val="24"/>
              </w:rPr>
              <w:t>Company</w:t>
            </w:r>
          </w:p>
        </w:tc>
        <w:tc>
          <w:tcPr>
            <w:tcW w:w="3368" w:type="dxa"/>
          </w:tcPr>
          <w:p w14:paraId="51DE9372" w14:textId="77777777" w:rsidR="0010369C" w:rsidRDefault="008E43AE">
            <w:pPr>
              <w:pStyle w:val="TableParagraph"/>
              <w:spacing w:before="13" w:line="290" w:lineRule="atLeast"/>
              <w:ind w:left="1141" w:right="82" w:hanging="1045"/>
              <w:rPr>
                <w:b/>
                <w:sz w:val="24"/>
              </w:rPr>
            </w:pPr>
            <w:r>
              <w:rPr>
                <w:b/>
                <w:sz w:val="24"/>
              </w:rPr>
              <w:t>Dumping</w:t>
            </w:r>
            <w:r>
              <w:rPr>
                <w:b/>
                <w:spacing w:val="-14"/>
                <w:sz w:val="24"/>
              </w:rPr>
              <w:t xml:space="preserve"> </w:t>
            </w:r>
            <w:r>
              <w:rPr>
                <w:b/>
                <w:sz w:val="24"/>
              </w:rPr>
              <w:t>Margin/Anti‐Dumping Duty Rates</w:t>
            </w:r>
          </w:p>
        </w:tc>
      </w:tr>
      <w:tr w:rsidR="0010369C" w14:paraId="51DE9375" w14:textId="77777777">
        <w:trPr>
          <w:trHeight w:val="618"/>
        </w:trPr>
        <w:tc>
          <w:tcPr>
            <w:tcW w:w="9388" w:type="dxa"/>
            <w:gridSpan w:val="2"/>
          </w:tcPr>
          <w:p w14:paraId="51DE9374" w14:textId="77777777" w:rsidR="0010369C" w:rsidRDefault="008E43AE">
            <w:pPr>
              <w:pStyle w:val="TableParagraph"/>
              <w:spacing w:before="162"/>
              <w:ind w:left="14"/>
              <w:rPr>
                <w:b/>
                <w:sz w:val="24"/>
              </w:rPr>
            </w:pPr>
            <w:r>
              <w:rPr>
                <w:b/>
                <w:sz w:val="24"/>
              </w:rPr>
              <w:t>I.</w:t>
            </w:r>
            <w:r>
              <w:rPr>
                <w:b/>
                <w:spacing w:val="-7"/>
                <w:sz w:val="24"/>
              </w:rPr>
              <w:t xml:space="preserve"> </w:t>
            </w:r>
            <w:r>
              <w:rPr>
                <w:b/>
                <w:sz w:val="24"/>
              </w:rPr>
              <w:t>"Sampled</w:t>
            </w:r>
            <w:r>
              <w:rPr>
                <w:b/>
                <w:spacing w:val="-6"/>
                <w:sz w:val="24"/>
              </w:rPr>
              <w:t xml:space="preserve"> </w:t>
            </w:r>
            <w:r>
              <w:rPr>
                <w:b/>
                <w:spacing w:val="-2"/>
                <w:sz w:val="24"/>
              </w:rPr>
              <w:t>Companies"</w:t>
            </w:r>
          </w:p>
        </w:tc>
      </w:tr>
      <w:tr w:rsidR="0010369C" w14:paraId="51DE9378" w14:textId="77777777">
        <w:trPr>
          <w:trHeight w:val="556"/>
        </w:trPr>
        <w:tc>
          <w:tcPr>
            <w:tcW w:w="6020" w:type="dxa"/>
          </w:tcPr>
          <w:p w14:paraId="51DE9376" w14:textId="77777777" w:rsidR="0010369C" w:rsidRDefault="008E43AE">
            <w:pPr>
              <w:pStyle w:val="TableParagraph"/>
              <w:numPr>
                <w:ilvl w:val="0"/>
                <w:numId w:val="37"/>
              </w:numPr>
              <w:tabs>
                <w:tab w:val="left" w:pos="374"/>
                <w:tab w:val="left" w:pos="375"/>
              </w:tabs>
              <w:spacing w:before="133"/>
              <w:rPr>
                <w:sz w:val="24"/>
              </w:rPr>
            </w:pPr>
            <w:r>
              <w:rPr>
                <w:position w:val="1"/>
                <w:sz w:val="24"/>
              </w:rPr>
              <w:t>Treasury</w:t>
            </w:r>
            <w:r>
              <w:rPr>
                <w:spacing w:val="-10"/>
                <w:position w:val="1"/>
                <w:sz w:val="24"/>
              </w:rPr>
              <w:t xml:space="preserve"> </w:t>
            </w:r>
            <w:r>
              <w:rPr>
                <w:spacing w:val="-2"/>
                <w:position w:val="1"/>
                <w:sz w:val="24"/>
              </w:rPr>
              <w:t>Wines</w:t>
            </w:r>
          </w:p>
        </w:tc>
        <w:tc>
          <w:tcPr>
            <w:tcW w:w="3368" w:type="dxa"/>
          </w:tcPr>
          <w:p w14:paraId="51DE9377" w14:textId="77777777" w:rsidR="0010369C" w:rsidRDefault="008E43AE">
            <w:pPr>
              <w:pStyle w:val="TableParagraph"/>
              <w:spacing w:before="131"/>
              <w:ind w:right="1314"/>
              <w:jc w:val="right"/>
              <w:rPr>
                <w:sz w:val="24"/>
              </w:rPr>
            </w:pPr>
            <w:r>
              <w:rPr>
                <w:spacing w:val="-2"/>
                <w:sz w:val="24"/>
              </w:rPr>
              <w:t>175.6%</w:t>
            </w:r>
          </w:p>
        </w:tc>
      </w:tr>
      <w:tr w:rsidR="0010369C" w14:paraId="51DE937B" w14:textId="77777777">
        <w:trPr>
          <w:trHeight w:val="410"/>
        </w:trPr>
        <w:tc>
          <w:tcPr>
            <w:tcW w:w="6020" w:type="dxa"/>
          </w:tcPr>
          <w:p w14:paraId="51DE9379" w14:textId="77777777" w:rsidR="0010369C" w:rsidRDefault="008E43AE">
            <w:pPr>
              <w:pStyle w:val="TableParagraph"/>
              <w:numPr>
                <w:ilvl w:val="0"/>
                <w:numId w:val="36"/>
              </w:numPr>
              <w:tabs>
                <w:tab w:val="left" w:pos="374"/>
                <w:tab w:val="left" w:pos="375"/>
              </w:tabs>
              <w:spacing w:before="59"/>
              <w:rPr>
                <w:sz w:val="24"/>
              </w:rPr>
            </w:pPr>
            <w:r>
              <w:rPr>
                <w:position w:val="1"/>
                <w:sz w:val="24"/>
              </w:rPr>
              <w:t>Casella</w:t>
            </w:r>
            <w:r>
              <w:rPr>
                <w:spacing w:val="-7"/>
                <w:position w:val="1"/>
                <w:sz w:val="24"/>
              </w:rPr>
              <w:t xml:space="preserve"> </w:t>
            </w:r>
            <w:r>
              <w:rPr>
                <w:spacing w:val="-2"/>
                <w:position w:val="1"/>
                <w:sz w:val="24"/>
              </w:rPr>
              <w:t>Wines</w:t>
            </w:r>
          </w:p>
        </w:tc>
        <w:tc>
          <w:tcPr>
            <w:tcW w:w="3368" w:type="dxa"/>
          </w:tcPr>
          <w:p w14:paraId="51DE937A" w14:textId="77777777" w:rsidR="0010369C" w:rsidRDefault="008E43AE">
            <w:pPr>
              <w:pStyle w:val="TableParagraph"/>
              <w:spacing w:before="59"/>
              <w:ind w:right="1314"/>
              <w:jc w:val="right"/>
              <w:rPr>
                <w:sz w:val="24"/>
              </w:rPr>
            </w:pPr>
            <w:r>
              <w:rPr>
                <w:spacing w:val="-2"/>
                <w:sz w:val="24"/>
              </w:rPr>
              <w:t>170.9%</w:t>
            </w:r>
          </w:p>
        </w:tc>
      </w:tr>
      <w:tr w:rsidR="0010369C" w14:paraId="51DE937E" w14:textId="77777777">
        <w:trPr>
          <w:trHeight w:val="408"/>
        </w:trPr>
        <w:tc>
          <w:tcPr>
            <w:tcW w:w="6020" w:type="dxa"/>
          </w:tcPr>
          <w:p w14:paraId="51DE937C" w14:textId="77777777" w:rsidR="0010369C" w:rsidRDefault="008E43AE">
            <w:pPr>
              <w:pStyle w:val="TableParagraph"/>
              <w:numPr>
                <w:ilvl w:val="0"/>
                <w:numId w:val="35"/>
              </w:numPr>
              <w:tabs>
                <w:tab w:val="left" w:pos="374"/>
                <w:tab w:val="left" w:pos="375"/>
              </w:tabs>
              <w:spacing w:before="58"/>
              <w:rPr>
                <w:sz w:val="24"/>
              </w:rPr>
            </w:pPr>
            <w:r>
              <w:rPr>
                <w:position w:val="1"/>
                <w:sz w:val="24"/>
              </w:rPr>
              <w:t>Swan</w:t>
            </w:r>
            <w:r>
              <w:rPr>
                <w:spacing w:val="-7"/>
                <w:position w:val="1"/>
                <w:sz w:val="24"/>
              </w:rPr>
              <w:t xml:space="preserve"> </w:t>
            </w:r>
            <w:r>
              <w:rPr>
                <w:spacing w:val="-2"/>
                <w:position w:val="1"/>
                <w:sz w:val="24"/>
              </w:rPr>
              <w:t>Vintage</w:t>
            </w:r>
          </w:p>
        </w:tc>
        <w:tc>
          <w:tcPr>
            <w:tcW w:w="3368" w:type="dxa"/>
          </w:tcPr>
          <w:p w14:paraId="51DE937D" w14:textId="77777777" w:rsidR="0010369C" w:rsidRDefault="008E43AE">
            <w:pPr>
              <w:pStyle w:val="TableParagraph"/>
              <w:spacing w:before="58"/>
              <w:ind w:right="1314"/>
              <w:jc w:val="right"/>
              <w:rPr>
                <w:sz w:val="24"/>
              </w:rPr>
            </w:pPr>
            <w:r>
              <w:rPr>
                <w:spacing w:val="-2"/>
                <w:sz w:val="24"/>
              </w:rPr>
              <w:t>116.2%</w:t>
            </w:r>
          </w:p>
        </w:tc>
      </w:tr>
      <w:tr w:rsidR="0010369C" w14:paraId="51DE9383" w14:textId="77777777">
        <w:trPr>
          <w:trHeight w:val="1202"/>
        </w:trPr>
        <w:tc>
          <w:tcPr>
            <w:tcW w:w="6020" w:type="dxa"/>
          </w:tcPr>
          <w:p w14:paraId="51DE937F" w14:textId="77777777" w:rsidR="0010369C" w:rsidRDefault="008E43AE">
            <w:pPr>
              <w:pStyle w:val="TableParagraph"/>
              <w:spacing w:before="15"/>
              <w:ind w:left="13"/>
              <w:rPr>
                <w:b/>
                <w:sz w:val="24"/>
              </w:rPr>
            </w:pPr>
            <w:r>
              <w:rPr>
                <w:b/>
                <w:sz w:val="24"/>
              </w:rPr>
              <w:t>II.</w:t>
            </w:r>
            <w:r>
              <w:rPr>
                <w:b/>
                <w:spacing w:val="-7"/>
                <w:sz w:val="24"/>
              </w:rPr>
              <w:t xml:space="preserve"> </w:t>
            </w:r>
            <w:r>
              <w:rPr>
                <w:b/>
                <w:sz w:val="24"/>
              </w:rPr>
              <w:t>"Other</w:t>
            </w:r>
            <w:r>
              <w:rPr>
                <w:b/>
                <w:spacing w:val="-7"/>
                <w:sz w:val="24"/>
              </w:rPr>
              <w:t xml:space="preserve"> </w:t>
            </w:r>
            <w:r>
              <w:rPr>
                <w:b/>
                <w:sz w:val="24"/>
              </w:rPr>
              <w:t>Cooperative</w:t>
            </w:r>
            <w:r>
              <w:rPr>
                <w:b/>
                <w:spacing w:val="-6"/>
                <w:sz w:val="24"/>
              </w:rPr>
              <w:t xml:space="preserve"> </w:t>
            </w:r>
            <w:r>
              <w:rPr>
                <w:b/>
                <w:sz w:val="24"/>
              </w:rPr>
              <w:t>in</w:t>
            </w:r>
            <w:r>
              <w:rPr>
                <w:b/>
                <w:spacing w:val="-7"/>
                <w:sz w:val="24"/>
              </w:rPr>
              <w:t xml:space="preserve"> </w:t>
            </w:r>
            <w:r>
              <w:rPr>
                <w:b/>
                <w:sz w:val="24"/>
              </w:rPr>
              <w:t>the</w:t>
            </w:r>
            <w:r>
              <w:rPr>
                <w:b/>
                <w:spacing w:val="-6"/>
                <w:sz w:val="24"/>
              </w:rPr>
              <w:t xml:space="preserve"> </w:t>
            </w:r>
            <w:r>
              <w:rPr>
                <w:b/>
                <w:sz w:val="24"/>
              </w:rPr>
              <w:t>Investigation"</w:t>
            </w:r>
            <w:r>
              <w:rPr>
                <w:b/>
                <w:spacing w:val="-7"/>
                <w:sz w:val="24"/>
              </w:rPr>
              <w:t xml:space="preserve"> </w:t>
            </w:r>
            <w:r>
              <w:rPr>
                <w:b/>
                <w:sz w:val="24"/>
              </w:rPr>
              <w:t>(MOFCOM's classification for other registered Australian exporters)</w:t>
            </w:r>
          </w:p>
          <w:p w14:paraId="51DE9380" w14:textId="77777777" w:rsidR="0010369C" w:rsidRDefault="008E43AE">
            <w:pPr>
              <w:pStyle w:val="TableParagraph"/>
              <w:numPr>
                <w:ilvl w:val="0"/>
                <w:numId w:val="34"/>
              </w:numPr>
              <w:tabs>
                <w:tab w:val="left" w:pos="373"/>
                <w:tab w:val="left" w:pos="374"/>
              </w:tabs>
              <w:spacing w:before="17" w:line="280" w:lineRule="exact"/>
              <w:ind w:right="222"/>
              <w:rPr>
                <w:sz w:val="24"/>
              </w:rPr>
            </w:pPr>
            <w:r>
              <w:rPr>
                <w:position w:val="1"/>
                <w:sz w:val="24"/>
              </w:rPr>
              <w:t>21</w:t>
            </w:r>
            <w:r>
              <w:rPr>
                <w:spacing w:val="-6"/>
                <w:position w:val="1"/>
                <w:sz w:val="24"/>
              </w:rPr>
              <w:t xml:space="preserve"> </w:t>
            </w:r>
            <w:r>
              <w:rPr>
                <w:position w:val="1"/>
                <w:sz w:val="24"/>
              </w:rPr>
              <w:t>other</w:t>
            </w:r>
            <w:r>
              <w:rPr>
                <w:spacing w:val="-5"/>
                <w:position w:val="1"/>
                <w:sz w:val="24"/>
              </w:rPr>
              <w:t xml:space="preserve"> </w:t>
            </w:r>
            <w:r>
              <w:rPr>
                <w:position w:val="1"/>
                <w:sz w:val="24"/>
              </w:rPr>
              <w:t>registered</w:t>
            </w:r>
            <w:r>
              <w:rPr>
                <w:spacing w:val="-6"/>
                <w:position w:val="1"/>
                <w:sz w:val="24"/>
              </w:rPr>
              <w:t xml:space="preserve"> </w:t>
            </w:r>
            <w:r>
              <w:rPr>
                <w:position w:val="1"/>
                <w:sz w:val="24"/>
              </w:rPr>
              <w:t>exporters</w:t>
            </w:r>
            <w:r>
              <w:rPr>
                <w:spacing w:val="-6"/>
                <w:position w:val="1"/>
                <w:sz w:val="24"/>
              </w:rPr>
              <w:t xml:space="preserve"> </w:t>
            </w:r>
            <w:r>
              <w:rPr>
                <w:position w:val="1"/>
                <w:sz w:val="24"/>
              </w:rPr>
              <w:t>who</w:t>
            </w:r>
            <w:r>
              <w:rPr>
                <w:spacing w:val="-5"/>
                <w:position w:val="1"/>
                <w:sz w:val="24"/>
              </w:rPr>
              <w:t xml:space="preserve"> </w:t>
            </w:r>
            <w:r>
              <w:rPr>
                <w:position w:val="1"/>
                <w:sz w:val="24"/>
              </w:rPr>
              <w:t>were</w:t>
            </w:r>
            <w:r>
              <w:rPr>
                <w:spacing w:val="-5"/>
                <w:position w:val="1"/>
                <w:sz w:val="24"/>
              </w:rPr>
              <w:t xml:space="preserve"> </w:t>
            </w:r>
            <w:r>
              <w:rPr>
                <w:position w:val="1"/>
                <w:sz w:val="24"/>
              </w:rPr>
              <w:t>not</w:t>
            </w:r>
            <w:r>
              <w:rPr>
                <w:spacing w:val="-5"/>
                <w:position w:val="1"/>
                <w:sz w:val="24"/>
              </w:rPr>
              <w:t xml:space="preserve"> </w:t>
            </w:r>
            <w:r>
              <w:rPr>
                <w:position w:val="1"/>
                <w:sz w:val="24"/>
              </w:rPr>
              <w:t>included</w:t>
            </w:r>
            <w:r>
              <w:rPr>
                <w:spacing w:val="-6"/>
                <w:position w:val="1"/>
                <w:sz w:val="24"/>
              </w:rPr>
              <w:t xml:space="preserve"> </w:t>
            </w:r>
            <w:r>
              <w:rPr>
                <w:position w:val="1"/>
                <w:sz w:val="24"/>
              </w:rPr>
              <w:t xml:space="preserve">in </w:t>
            </w:r>
            <w:r>
              <w:rPr>
                <w:sz w:val="24"/>
              </w:rPr>
              <w:t>the examination of sampled exporters</w:t>
            </w:r>
          </w:p>
        </w:tc>
        <w:tc>
          <w:tcPr>
            <w:tcW w:w="3368" w:type="dxa"/>
          </w:tcPr>
          <w:p w14:paraId="51DE9381" w14:textId="77777777" w:rsidR="0010369C" w:rsidRDefault="0010369C">
            <w:pPr>
              <w:pStyle w:val="TableParagraph"/>
              <w:rPr>
                <w:sz w:val="24"/>
              </w:rPr>
            </w:pPr>
          </w:p>
          <w:p w14:paraId="51DE9382" w14:textId="77777777" w:rsidR="0010369C" w:rsidRDefault="008E43AE">
            <w:pPr>
              <w:pStyle w:val="TableParagraph"/>
              <w:spacing w:before="161"/>
              <w:ind w:right="1315"/>
              <w:jc w:val="right"/>
              <w:rPr>
                <w:sz w:val="24"/>
              </w:rPr>
            </w:pPr>
            <w:r>
              <w:rPr>
                <w:spacing w:val="-2"/>
                <w:sz w:val="24"/>
              </w:rPr>
              <w:t>167.1%</w:t>
            </w:r>
          </w:p>
        </w:tc>
      </w:tr>
      <w:tr w:rsidR="0010369C" w14:paraId="51DE9386" w14:textId="77777777">
        <w:trPr>
          <w:trHeight w:val="517"/>
        </w:trPr>
        <w:tc>
          <w:tcPr>
            <w:tcW w:w="6020" w:type="dxa"/>
          </w:tcPr>
          <w:p w14:paraId="51DE9384" w14:textId="77777777" w:rsidR="0010369C" w:rsidRDefault="008E43AE">
            <w:pPr>
              <w:pStyle w:val="TableParagraph"/>
              <w:spacing w:before="112"/>
              <w:ind w:left="14"/>
              <w:rPr>
                <w:b/>
                <w:sz w:val="24"/>
              </w:rPr>
            </w:pPr>
            <w:r>
              <w:rPr>
                <w:b/>
                <w:sz w:val="24"/>
              </w:rPr>
              <w:t>III.</w:t>
            </w:r>
            <w:r>
              <w:rPr>
                <w:b/>
                <w:spacing w:val="-7"/>
                <w:sz w:val="24"/>
              </w:rPr>
              <w:t xml:space="preserve"> </w:t>
            </w:r>
            <w:r>
              <w:rPr>
                <w:b/>
                <w:sz w:val="24"/>
              </w:rPr>
              <w:t>"All</w:t>
            </w:r>
            <w:r>
              <w:rPr>
                <w:b/>
                <w:spacing w:val="-6"/>
                <w:sz w:val="24"/>
              </w:rPr>
              <w:t xml:space="preserve"> </w:t>
            </w:r>
            <w:r>
              <w:rPr>
                <w:b/>
                <w:spacing w:val="-2"/>
                <w:sz w:val="24"/>
              </w:rPr>
              <w:t>Others"</w:t>
            </w:r>
          </w:p>
        </w:tc>
        <w:tc>
          <w:tcPr>
            <w:tcW w:w="3368" w:type="dxa"/>
          </w:tcPr>
          <w:p w14:paraId="51DE9385" w14:textId="77777777" w:rsidR="0010369C" w:rsidRDefault="008E43AE">
            <w:pPr>
              <w:pStyle w:val="TableParagraph"/>
              <w:spacing w:before="112"/>
              <w:ind w:right="1315"/>
              <w:jc w:val="right"/>
              <w:rPr>
                <w:sz w:val="24"/>
              </w:rPr>
            </w:pPr>
            <w:r>
              <w:rPr>
                <w:spacing w:val="-2"/>
                <w:sz w:val="24"/>
              </w:rPr>
              <w:t>218.4%</w:t>
            </w:r>
          </w:p>
        </w:tc>
      </w:tr>
    </w:tbl>
    <w:p w14:paraId="51DE9387" w14:textId="77777777" w:rsidR="0010369C" w:rsidRDefault="008E43AE">
      <w:pPr>
        <w:pStyle w:val="Heading4"/>
        <w:spacing w:before="3"/>
        <w:ind w:left="238" w:firstLine="0"/>
        <w:jc w:val="left"/>
      </w:pPr>
      <w:r>
        <w:t>Table</w:t>
      </w:r>
      <w:r>
        <w:rPr>
          <w:spacing w:val="-9"/>
        </w:rPr>
        <w:t xml:space="preserve"> </w:t>
      </w:r>
      <w:r>
        <w:t>1</w:t>
      </w:r>
      <w:r>
        <w:rPr>
          <w:spacing w:val="-10"/>
        </w:rPr>
        <w:t xml:space="preserve"> </w:t>
      </w:r>
      <w:r>
        <w:t>Summary</w:t>
      </w:r>
      <w:r>
        <w:rPr>
          <w:spacing w:val="-9"/>
        </w:rPr>
        <w:t xml:space="preserve"> </w:t>
      </w:r>
      <w:r>
        <w:t>of</w:t>
      </w:r>
      <w:r>
        <w:rPr>
          <w:spacing w:val="-9"/>
        </w:rPr>
        <w:t xml:space="preserve"> </w:t>
      </w:r>
      <w:r>
        <w:t>Anti‐Dumping</w:t>
      </w:r>
      <w:r>
        <w:rPr>
          <w:spacing w:val="-8"/>
        </w:rPr>
        <w:t xml:space="preserve"> </w:t>
      </w:r>
      <w:r>
        <w:t>Duties</w:t>
      </w:r>
      <w:r>
        <w:rPr>
          <w:spacing w:val="-9"/>
        </w:rPr>
        <w:t xml:space="preserve"> </w:t>
      </w:r>
      <w:r>
        <w:t>Imposed</w:t>
      </w:r>
      <w:r>
        <w:rPr>
          <w:spacing w:val="-10"/>
        </w:rPr>
        <w:t xml:space="preserve"> </w:t>
      </w:r>
      <w:r>
        <w:t>by</w:t>
      </w:r>
      <w:r>
        <w:rPr>
          <w:spacing w:val="-10"/>
        </w:rPr>
        <w:t xml:space="preserve"> </w:t>
      </w:r>
      <w:r>
        <w:rPr>
          <w:spacing w:val="-2"/>
        </w:rPr>
        <w:t>MOFCOM</w:t>
      </w:r>
    </w:p>
    <w:p w14:paraId="51DE9388" w14:textId="77777777" w:rsidR="0010369C" w:rsidRDefault="0010369C">
      <w:pPr>
        <w:pStyle w:val="BodyText"/>
        <w:spacing w:before="6"/>
        <w:rPr>
          <w:b/>
          <w:sz w:val="15"/>
        </w:rPr>
      </w:pPr>
    </w:p>
    <w:p w14:paraId="51DE9389" w14:textId="77777777" w:rsidR="0010369C" w:rsidRDefault="008E43AE">
      <w:pPr>
        <w:pStyle w:val="BodyText"/>
        <w:spacing w:before="52" w:line="360" w:lineRule="auto"/>
        <w:ind w:left="237" w:right="612" w:firstLine="851"/>
        <w:jc w:val="both"/>
      </w:pPr>
      <w:r>
        <w:rPr>
          <w:noProof/>
        </w:rPr>
        <w:drawing>
          <wp:anchor distT="0" distB="0" distL="0" distR="0" simplePos="0" relativeHeight="251322880" behindDoc="1" locked="0" layoutInCell="1" allowOverlap="1" wp14:anchorId="51DEA5E8" wp14:editId="51DEA5E9">
            <wp:simplePos x="0" y="0"/>
            <wp:positionH relativeFrom="page">
              <wp:posOffset>902208</wp:posOffset>
            </wp:positionH>
            <wp:positionV relativeFrom="paragraph">
              <wp:posOffset>81951</wp:posOffset>
            </wp:positionV>
            <wp:extent cx="262127" cy="100753"/>
            <wp:effectExtent l="0" t="0" r="0" b="0"/>
            <wp:wrapNone/>
            <wp:docPr id="1403" name="image7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 name="image728.png"/>
                    <pic:cNvPicPr/>
                  </pic:nvPicPr>
                  <pic:blipFill>
                    <a:blip r:embed="rId952" cstate="print"/>
                    <a:stretch>
                      <a:fillRect/>
                    </a:stretch>
                  </pic:blipFill>
                  <pic:spPr>
                    <a:xfrm>
                      <a:off x="0" y="0"/>
                      <a:ext cx="262127" cy="100753"/>
                    </a:xfrm>
                    <a:prstGeom prst="rect">
                      <a:avLst/>
                    </a:prstGeom>
                  </pic:spPr>
                </pic:pic>
              </a:graphicData>
            </a:graphic>
          </wp:anchor>
        </w:drawing>
      </w:r>
      <w:r>
        <w:t>Australia has demonstrated that MOFCOM's determinations of the existence of dumping</w:t>
      </w:r>
      <w:r>
        <w:rPr>
          <w:spacing w:val="-9"/>
        </w:rPr>
        <w:t xml:space="preserve"> </w:t>
      </w:r>
      <w:r>
        <w:t>and</w:t>
      </w:r>
      <w:r>
        <w:rPr>
          <w:spacing w:val="-10"/>
        </w:rPr>
        <w:t xml:space="preserve"> </w:t>
      </w:r>
      <w:r>
        <w:t>the</w:t>
      </w:r>
      <w:r>
        <w:rPr>
          <w:spacing w:val="-9"/>
        </w:rPr>
        <w:t xml:space="preserve"> </w:t>
      </w:r>
      <w:r>
        <w:t>margins</w:t>
      </w:r>
      <w:r>
        <w:rPr>
          <w:spacing w:val="-10"/>
        </w:rPr>
        <w:t xml:space="preserve"> </w:t>
      </w:r>
      <w:r>
        <w:t>of</w:t>
      </w:r>
      <w:r>
        <w:rPr>
          <w:spacing w:val="-10"/>
        </w:rPr>
        <w:t xml:space="preserve"> </w:t>
      </w:r>
      <w:r>
        <w:t>dumping</w:t>
      </w:r>
      <w:r>
        <w:rPr>
          <w:spacing w:val="-9"/>
        </w:rPr>
        <w:t xml:space="preserve"> </w:t>
      </w:r>
      <w:r>
        <w:t>were</w:t>
      </w:r>
      <w:r>
        <w:rPr>
          <w:spacing w:val="-10"/>
        </w:rPr>
        <w:t xml:space="preserve"> </w:t>
      </w:r>
      <w:r>
        <w:t>inconsistent</w:t>
      </w:r>
      <w:r>
        <w:rPr>
          <w:spacing w:val="-8"/>
        </w:rPr>
        <w:t xml:space="preserve"> </w:t>
      </w:r>
      <w:r>
        <w:t>with</w:t>
      </w:r>
      <w:r>
        <w:rPr>
          <w:spacing w:val="-10"/>
        </w:rPr>
        <w:t xml:space="preserve"> </w:t>
      </w:r>
      <w:r>
        <w:t>China's</w:t>
      </w:r>
      <w:r>
        <w:rPr>
          <w:spacing w:val="-10"/>
        </w:rPr>
        <w:t xml:space="preserve"> </w:t>
      </w:r>
      <w:r>
        <w:t>obligations</w:t>
      </w:r>
      <w:r>
        <w:rPr>
          <w:spacing w:val="-9"/>
        </w:rPr>
        <w:t xml:space="preserve"> </w:t>
      </w:r>
      <w:r>
        <w:t>under</w:t>
      </w:r>
      <w:r>
        <w:rPr>
          <w:spacing w:val="-9"/>
        </w:rPr>
        <w:t xml:space="preserve"> </w:t>
      </w:r>
      <w:r>
        <w:t>Article 2</w:t>
      </w:r>
      <w:r>
        <w:rPr>
          <w:spacing w:val="-12"/>
        </w:rPr>
        <w:t xml:space="preserve"> </w:t>
      </w:r>
      <w:r>
        <w:t>of</w:t>
      </w:r>
      <w:r>
        <w:rPr>
          <w:spacing w:val="-11"/>
        </w:rPr>
        <w:t xml:space="preserve"> </w:t>
      </w:r>
      <w:r>
        <w:t>the</w:t>
      </w:r>
      <w:r>
        <w:rPr>
          <w:spacing w:val="-10"/>
        </w:rPr>
        <w:t xml:space="preserve"> </w:t>
      </w:r>
      <w:r>
        <w:t>Anti‐Dumping</w:t>
      </w:r>
      <w:r>
        <w:rPr>
          <w:spacing w:val="-11"/>
        </w:rPr>
        <w:t xml:space="preserve"> </w:t>
      </w:r>
      <w:r>
        <w:t>Agreement.</w:t>
      </w:r>
      <w:r>
        <w:rPr>
          <w:vertAlign w:val="superscript"/>
        </w:rPr>
        <w:t>861</w:t>
      </w:r>
      <w:r>
        <w:rPr>
          <w:spacing w:val="-12"/>
        </w:rPr>
        <w:t xml:space="preserve"> </w:t>
      </w:r>
      <w:r>
        <w:t>In</w:t>
      </w:r>
      <w:r>
        <w:rPr>
          <w:spacing w:val="-11"/>
        </w:rPr>
        <w:t xml:space="preserve"> </w:t>
      </w:r>
      <w:r>
        <w:t>addition,</w:t>
      </w:r>
      <w:r>
        <w:rPr>
          <w:spacing w:val="-11"/>
        </w:rPr>
        <w:t xml:space="preserve"> </w:t>
      </w:r>
      <w:r>
        <w:t>Australia</w:t>
      </w:r>
      <w:r>
        <w:rPr>
          <w:spacing w:val="-12"/>
        </w:rPr>
        <w:t xml:space="preserve"> </w:t>
      </w:r>
      <w:r>
        <w:t>has</w:t>
      </w:r>
      <w:r>
        <w:rPr>
          <w:spacing w:val="-10"/>
        </w:rPr>
        <w:t xml:space="preserve"> </w:t>
      </w:r>
      <w:r>
        <w:t>demonstrated</w:t>
      </w:r>
      <w:r>
        <w:rPr>
          <w:spacing w:val="-11"/>
        </w:rPr>
        <w:t xml:space="preserve"> </w:t>
      </w:r>
      <w:r>
        <w:t>that</w:t>
      </w:r>
      <w:r>
        <w:rPr>
          <w:spacing w:val="-11"/>
        </w:rPr>
        <w:t xml:space="preserve"> </w:t>
      </w:r>
      <w:r>
        <w:t>MOFCOM's definition of the domestic industry and determinations of injury and causation were inconsistent with obligations under Articles 3 and 4 of the Anti‐Dumping Agreement</w:t>
      </w:r>
      <w:r>
        <w:rPr>
          <w:vertAlign w:val="superscript"/>
        </w:rPr>
        <w:t>862</w:t>
      </w:r>
      <w:r>
        <w:t>. As a consequence, MOFCOM's imposition of anti‐dumping duti</w:t>
      </w:r>
      <w:r>
        <w:t>es breached the requirements of the Anti‐Dumping Agreement.</w:t>
      </w:r>
    </w:p>
    <w:p w14:paraId="51DE938A" w14:textId="77777777" w:rsidR="0010369C" w:rsidRDefault="008E43AE">
      <w:pPr>
        <w:pStyle w:val="Heading4"/>
        <w:numPr>
          <w:ilvl w:val="2"/>
          <w:numId w:val="75"/>
        </w:numPr>
        <w:tabs>
          <w:tab w:val="left" w:pos="2648"/>
          <w:tab w:val="left" w:pos="2649"/>
        </w:tabs>
        <w:spacing w:before="160"/>
        <w:jc w:val="both"/>
      </w:pPr>
      <w:r>
        <w:t>Breach</w:t>
      </w:r>
      <w:r>
        <w:rPr>
          <w:spacing w:val="-10"/>
        </w:rPr>
        <w:t xml:space="preserve"> </w:t>
      </w:r>
      <w:r>
        <w:t>of</w:t>
      </w:r>
      <w:r>
        <w:rPr>
          <w:spacing w:val="-8"/>
        </w:rPr>
        <w:t xml:space="preserve"> </w:t>
      </w:r>
      <w:r>
        <w:t>Article</w:t>
      </w:r>
      <w:r>
        <w:rPr>
          <w:spacing w:val="-7"/>
        </w:rPr>
        <w:t xml:space="preserve"> </w:t>
      </w:r>
      <w:r>
        <w:rPr>
          <w:spacing w:val="-5"/>
        </w:rPr>
        <w:t>9.1</w:t>
      </w:r>
    </w:p>
    <w:p w14:paraId="51DE938B" w14:textId="77777777" w:rsidR="0010369C" w:rsidRDefault="0010369C">
      <w:pPr>
        <w:pStyle w:val="BodyText"/>
        <w:spacing w:before="10"/>
        <w:rPr>
          <w:b/>
          <w:sz w:val="20"/>
        </w:rPr>
      </w:pPr>
    </w:p>
    <w:p w14:paraId="51DE938C" w14:textId="77777777" w:rsidR="0010369C" w:rsidRDefault="008E43AE">
      <w:pPr>
        <w:pStyle w:val="BodyText"/>
        <w:spacing w:before="51"/>
        <w:ind w:left="1089"/>
        <w:jc w:val="both"/>
      </w:pPr>
      <w:r>
        <w:rPr>
          <w:noProof/>
        </w:rPr>
        <w:drawing>
          <wp:anchor distT="0" distB="0" distL="0" distR="0" simplePos="0" relativeHeight="250683904" behindDoc="0" locked="0" layoutInCell="1" allowOverlap="1" wp14:anchorId="51DEA5EA" wp14:editId="51DEA5EB">
            <wp:simplePos x="0" y="0"/>
            <wp:positionH relativeFrom="page">
              <wp:posOffset>902208</wp:posOffset>
            </wp:positionH>
            <wp:positionV relativeFrom="paragraph">
              <wp:posOffset>81315</wp:posOffset>
            </wp:positionV>
            <wp:extent cx="262127" cy="100753"/>
            <wp:effectExtent l="0" t="0" r="0" b="0"/>
            <wp:wrapNone/>
            <wp:docPr id="1405" name="image7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 name="image729.png"/>
                    <pic:cNvPicPr/>
                  </pic:nvPicPr>
                  <pic:blipFill>
                    <a:blip r:embed="rId953" cstate="print"/>
                    <a:stretch>
                      <a:fillRect/>
                    </a:stretch>
                  </pic:blipFill>
                  <pic:spPr>
                    <a:xfrm>
                      <a:off x="0" y="0"/>
                      <a:ext cx="262127" cy="100753"/>
                    </a:xfrm>
                    <a:prstGeom prst="rect">
                      <a:avLst/>
                    </a:prstGeom>
                  </pic:spPr>
                </pic:pic>
              </a:graphicData>
            </a:graphic>
          </wp:anchor>
        </w:drawing>
      </w:r>
      <w:r>
        <w:t>MOFCOM's decisions</w:t>
      </w:r>
      <w:r>
        <w:rPr>
          <w:spacing w:val="-1"/>
        </w:rPr>
        <w:t xml:space="preserve"> </w:t>
      </w:r>
      <w:r>
        <w:t>to</w:t>
      </w:r>
      <w:r>
        <w:rPr>
          <w:spacing w:val="-1"/>
        </w:rPr>
        <w:t xml:space="preserve"> </w:t>
      </w:r>
      <w:r>
        <w:t>impose anti‐dumping duties caused</w:t>
      </w:r>
      <w:r>
        <w:rPr>
          <w:spacing w:val="-3"/>
        </w:rPr>
        <w:t xml:space="preserve"> </w:t>
      </w:r>
      <w:r>
        <w:t>China to</w:t>
      </w:r>
      <w:r>
        <w:rPr>
          <w:spacing w:val="-1"/>
        </w:rPr>
        <w:t xml:space="preserve"> </w:t>
      </w:r>
      <w:r>
        <w:t xml:space="preserve">breach </w:t>
      </w:r>
      <w:r>
        <w:rPr>
          <w:spacing w:val="-2"/>
        </w:rPr>
        <w:t>Article</w:t>
      </w:r>
    </w:p>
    <w:p w14:paraId="51DE938D" w14:textId="77777777" w:rsidR="0010369C" w:rsidRDefault="008E43AE">
      <w:pPr>
        <w:pStyle w:val="ListParagraph"/>
        <w:numPr>
          <w:ilvl w:val="1"/>
          <w:numId w:val="33"/>
        </w:numPr>
        <w:tabs>
          <w:tab w:val="left" w:pos="625"/>
        </w:tabs>
        <w:spacing w:before="147" w:line="360" w:lineRule="auto"/>
        <w:ind w:right="614" w:firstLine="0"/>
        <w:jc w:val="both"/>
        <w:rPr>
          <w:sz w:val="24"/>
        </w:rPr>
      </w:pPr>
      <w:r>
        <w:rPr>
          <w:sz w:val="24"/>
        </w:rPr>
        <w:t>of the Anti‐Dumping Agreement because MOFCOM failed to fulfil key substantive and procedural requirements for their imposition, both in the investigation and the dumping determinations, as outlined above.</w:t>
      </w:r>
    </w:p>
    <w:p w14:paraId="51DE938E" w14:textId="77777777" w:rsidR="0010369C" w:rsidRDefault="0010369C">
      <w:pPr>
        <w:pStyle w:val="BodyText"/>
        <w:spacing w:before="12"/>
        <w:rPr>
          <w:sz w:val="8"/>
        </w:rPr>
      </w:pPr>
    </w:p>
    <w:p w14:paraId="51DE938F" w14:textId="77777777" w:rsidR="0010369C" w:rsidRDefault="008E43AE">
      <w:pPr>
        <w:pStyle w:val="BodyText"/>
        <w:spacing w:before="51"/>
        <w:ind w:left="1089"/>
        <w:jc w:val="both"/>
      </w:pPr>
      <w:r>
        <w:rPr>
          <w:noProof/>
        </w:rPr>
        <w:drawing>
          <wp:anchor distT="0" distB="0" distL="0" distR="0" simplePos="0" relativeHeight="250684928" behindDoc="0" locked="0" layoutInCell="1" allowOverlap="1" wp14:anchorId="51DEA5EC" wp14:editId="51DEA5ED">
            <wp:simplePos x="0" y="0"/>
            <wp:positionH relativeFrom="page">
              <wp:posOffset>902208</wp:posOffset>
            </wp:positionH>
            <wp:positionV relativeFrom="paragraph">
              <wp:posOffset>82076</wp:posOffset>
            </wp:positionV>
            <wp:extent cx="262127" cy="100753"/>
            <wp:effectExtent l="0" t="0" r="0" b="0"/>
            <wp:wrapNone/>
            <wp:docPr id="1407" name="image7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 name="image730.png"/>
                    <pic:cNvPicPr/>
                  </pic:nvPicPr>
                  <pic:blipFill>
                    <a:blip r:embed="rId954" cstate="print"/>
                    <a:stretch>
                      <a:fillRect/>
                    </a:stretch>
                  </pic:blipFill>
                  <pic:spPr>
                    <a:xfrm>
                      <a:off x="0" y="0"/>
                      <a:ext cx="262127" cy="100753"/>
                    </a:xfrm>
                    <a:prstGeom prst="rect">
                      <a:avLst/>
                    </a:prstGeom>
                  </pic:spPr>
                </pic:pic>
              </a:graphicData>
            </a:graphic>
          </wp:anchor>
        </w:drawing>
      </w:r>
      <w:r>
        <w:t>The</w:t>
      </w:r>
      <w:r>
        <w:rPr>
          <w:spacing w:val="-7"/>
        </w:rPr>
        <w:t xml:space="preserve"> </w:t>
      </w:r>
      <w:r>
        <w:t>first</w:t>
      </w:r>
      <w:r>
        <w:rPr>
          <w:spacing w:val="-6"/>
        </w:rPr>
        <w:t xml:space="preserve"> </w:t>
      </w:r>
      <w:r>
        <w:t>sentence</w:t>
      </w:r>
      <w:r>
        <w:rPr>
          <w:spacing w:val="-8"/>
        </w:rPr>
        <w:t xml:space="preserve"> </w:t>
      </w:r>
      <w:r>
        <w:t>of</w:t>
      </w:r>
      <w:r>
        <w:rPr>
          <w:spacing w:val="-7"/>
        </w:rPr>
        <w:t xml:space="preserve"> </w:t>
      </w:r>
      <w:r>
        <w:t>Article</w:t>
      </w:r>
      <w:r>
        <w:rPr>
          <w:spacing w:val="-7"/>
        </w:rPr>
        <w:t xml:space="preserve"> </w:t>
      </w:r>
      <w:r>
        <w:t>9.1</w:t>
      </w:r>
      <w:r>
        <w:rPr>
          <w:spacing w:val="-7"/>
        </w:rPr>
        <w:t xml:space="preserve"> </w:t>
      </w:r>
      <w:r>
        <w:t>of</w:t>
      </w:r>
      <w:r>
        <w:rPr>
          <w:spacing w:val="-8"/>
        </w:rPr>
        <w:t xml:space="preserve"> </w:t>
      </w:r>
      <w:r>
        <w:t>the</w:t>
      </w:r>
      <w:r>
        <w:rPr>
          <w:spacing w:val="-6"/>
        </w:rPr>
        <w:t xml:space="preserve"> </w:t>
      </w:r>
      <w:r>
        <w:t>Anti‐Dum</w:t>
      </w:r>
      <w:r>
        <w:t>ping</w:t>
      </w:r>
      <w:r>
        <w:rPr>
          <w:spacing w:val="-6"/>
        </w:rPr>
        <w:t xml:space="preserve"> </w:t>
      </w:r>
      <w:r>
        <w:t>Agreement</w:t>
      </w:r>
      <w:r>
        <w:rPr>
          <w:spacing w:val="-7"/>
        </w:rPr>
        <w:t xml:space="preserve"> </w:t>
      </w:r>
      <w:r>
        <w:t>provides</w:t>
      </w:r>
      <w:r>
        <w:rPr>
          <w:spacing w:val="-7"/>
        </w:rPr>
        <w:t xml:space="preserve"> </w:t>
      </w:r>
      <w:r>
        <w:t>as</w:t>
      </w:r>
      <w:r>
        <w:rPr>
          <w:spacing w:val="-7"/>
        </w:rPr>
        <w:t xml:space="preserve"> </w:t>
      </w:r>
      <w:r>
        <w:rPr>
          <w:spacing w:val="-2"/>
        </w:rPr>
        <w:t>follows:</w:t>
      </w:r>
    </w:p>
    <w:p w14:paraId="51DE9390" w14:textId="77777777" w:rsidR="0010369C" w:rsidRDefault="0010369C">
      <w:pPr>
        <w:pStyle w:val="BodyText"/>
        <w:spacing w:before="2"/>
        <w:rPr>
          <w:sz w:val="25"/>
        </w:rPr>
      </w:pPr>
    </w:p>
    <w:p w14:paraId="51DE9391" w14:textId="77777777" w:rsidR="0010369C" w:rsidRDefault="008E43AE">
      <w:pPr>
        <w:spacing w:line="276" w:lineRule="auto"/>
        <w:ind w:left="1088" w:right="614"/>
        <w:jc w:val="both"/>
      </w:pPr>
      <w:r>
        <w:t>The</w:t>
      </w:r>
      <w:r>
        <w:rPr>
          <w:spacing w:val="-10"/>
        </w:rPr>
        <w:t xml:space="preserve"> </w:t>
      </w:r>
      <w:r>
        <w:t>decision</w:t>
      </w:r>
      <w:r>
        <w:rPr>
          <w:spacing w:val="-9"/>
        </w:rPr>
        <w:t xml:space="preserve"> </w:t>
      </w:r>
      <w:r>
        <w:t>whether</w:t>
      </w:r>
      <w:r>
        <w:rPr>
          <w:spacing w:val="-12"/>
        </w:rPr>
        <w:t xml:space="preserve"> </w:t>
      </w:r>
      <w:r>
        <w:t>or</w:t>
      </w:r>
      <w:r>
        <w:rPr>
          <w:spacing w:val="-10"/>
        </w:rPr>
        <w:t xml:space="preserve"> </w:t>
      </w:r>
      <w:r>
        <w:t>not</w:t>
      </w:r>
      <w:r>
        <w:rPr>
          <w:spacing w:val="-12"/>
        </w:rPr>
        <w:t xml:space="preserve"> </w:t>
      </w:r>
      <w:r>
        <w:t>to</w:t>
      </w:r>
      <w:r>
        <w:rPr>
          <w:spacing w:val="-10"/>
        </w:rPr>
        <w:t xml:space="preserve"> </w:t>
      </w:r>
      <w:r>
        <w:t>impose</w:t>
      </w:r>
      <w:r>
        <w:rPr>
          <w:spacing w:val="-10"/>
        </w:rPr>
        <w:t xml:space="preserve"> </w:t>
      </w:r>
      <w:r>
        <w:t>an</w:t>
      </w:r>
      <w:r>
        <w:rPr>
          <w:spacing w:val="-12"/>
        </w:rPr>
        <w:t xml:space="preserve"> </w:t>
      </w:r>
      <w:r>
        <w:t>anti‐dumping</w:t>
      </w:r>
      <w:r>
        <w:rPr>
          <w:spacing w:val="-10"/>
        </w:rPr>
        <w:t xml:space="preserve"> </w:t>
      </w:r>
      <w:r>
        <w:t>duty</w:t>
      </w:r>
      <w:r>
        <w:rPr>
          <w:spacing w:val="-10"/>
        </w:rPr>
        <w:t xml:space="preserve"> </w:t>
      </w:r>
      <w:r>
        <w:t>in</w:t>
      </w:r>
      <w:r>
        <w:rPr>
          <w:spacing w:val="-10"/>
        </w:rPr>
        <w:t xml:space="preserve"> </w:t>
      </w:r>
      <w:r>
        <w:t>cases</w:t>
      </w:r>
      <w:r>
        <w:rPr>
          <w:spacing w:val="-11"/>
        </w:rPr>
        <w:t xml:space="preserve"> </w:t>
      </w:r>
      <w:r>
        <w:t>where</w:t>
      </w:r>
      <w:r>
        <w:rPr>
          <w:spacing w:val="-10"/>
        </w:rPr>
        <w:t xml:space="preserve"> </w:t>
      </w:r>
      <w:r>
        <w:t>all</w:t>
      </w:r>
      <w:r>
        <w:rPr>
          <w:spacing w:val="-9"/>
        </w:rPr>
        <w:t xml:space="preserve"> </w:t>
      </w:r>
      <w:r>
        <w:t>requirements for the imposition have been fulfilled, and the decision whether the amount of the anti‐ dumping duty to be imposed shall be the full margin of dumping or less, are decisions to be made by the authorities of the importing Member.</w:t>
      </w:r>
    </w:p>
    <w:p w14:paraId="51DE9392" w14:textId="77777777" w:rsidR="0010369C" w:rsidRDefault="0010369C">
      <w:pPr>
        <w:pStyle w:val="BodyText"/>
        <w:rPr>
          <w:sz w:val="20"/>
        </w:rPr>
      </w:pPr>
    </w:p>
    <w:p w14:paraId="51DE9393" w14:textId="77777777" w:rsidR="0010369C" w:rsidRDefault="0010369C">
      <w:pPr>
        <w:pStyle w:val="BodyText"/>
        <w:rPr>
          <w:sz w:val="20"/>
        </w:rPr>
      </w:pPr>
    </w:p>
    <w:p w14:paraId="51DE9394" w14:textId="77777777" w:rsidR="0010369C" w:rsidRDefault="0010369C">
      <w:pPr>
        <w:pStyle w:val="BodyText"/>
        <w:rPr>
          <w:sz w:val="20"/>
        </w:rPr>
      </w:pPr>
    </w:p>
    <w:p w14:paraId="51DE9395" w14:textId="77777777" w:rsidR="0010369C" w:rsidRDefault="008E43AE">
      <w:pPr>
        <w:pStyle w:val="BodyText"/>
        <w:spacing w:before="12"/>
        <w:rPr>
          <w:sz w:val="11"/>
        </w:rPr>
      </w:pPr>
      <w:r>
        <w:pict w14:anchorId="51DEA5EE">
          <v:rect id="docshape1198" o:spid="_x0000_s1212" style="position:absolute;margin-left:70.9pt;margin-top:8.5pt;width:2in;height:.8pt;z-index:-250772992;mso-wrap-distance-left:0;mso-wrap-distance-right:0;mso-position-horizontal-relative:page" fillcolor="black" stroked="f">
            <w10:wrap type="topAndBottom" anchorx="page"/>
          </v:rect>
        </w:pict>
      </w:r>
    </w:p>
    <w:p w14:paraId="51DE9396" w14:textId="77777777" w:rsidR="0010369C" w:rsidRDefault="008E43AE">
      <w:pPr>
        <w:spacing w:before="109"/>
        <w:ind w:left="238"/>
        <w:rPr>
          <w:sz w:val="18"/>
        </w:rPr>
      </w:pPr>
      <w:r>
        <w:rPr>
          <w:sz w:val="18"/>
          <w:vertAlign w:val="superscript"/>
        </w:rPr>
        <w:t>861</w:t>
      </w:r>
      <w:r>
        <w:rPr>
          <w:spacing w:val="-6"/>
          <w:sz w:val="18"/>
        </w:rPr>
        <w:t xml:space="preserve"> </w:t>
      </w:r>
      <w:r>
        <w:rPr>
          <w:sz w:val="18"/>
        </w:rPr>
        <w:t>See</w:t>
      </w:r>
      <w:r>
        <w:rPr>
          <w:spacing w:val="-5"/>
          <w:sz w:val="18"/>
        </w:rPr>
        <w:t xml:space="preserve"> </w:t>
      </w:r>
      <w:r>
        <w:rPr>
          <w:sz w:val="18"/>
        </w:rPr>
        <w:t>above,</w:t>
      </w:r>
      <w:r>
        <w:rPr>
          <w:spacing w:val="-6"/>
          <w:sz w:val="18"/>
        </w:rPr>
        <w:t xml:space="preserve"> </w:t>
      </w:r>
      <w:r>
        <w:rPr>
          <w:sz w:val="18"/>
        </w:rPr>
        <w:t>section</w:t>
      </w:r>
      <w:r>
        <w:rPr>
          <w:spacing w:val="-5"/>
          <w:sz w:val="18"/>
        </w:rPr>
        <w:t xml:space="preserve"> II.</w:t>
      </w:r>
    </w:p>
    <w:p w14:paraId="51DE9397" w14:textId="77777777" w:rsidR="0010369C" w:rsidRDefault="008E43AE">
      <w:pPr>
        <w:ind w:left="238"/>
        <w:rPr>
          <w:sz w:val="18"/>
        </w:rPr>
      </w:pPr>
      <w:r>
        <w:rPr>
          <w:sz w:val="18"/>
          <w:vertAlign w:val="superscript"/>
        </w:rPr>
        <w:t>862</w:t>
      </w:r>
      <w:r>
        <w:rPr>
          <w:spacing w:val="-5"/>
          <w:sz w:val="18"/>
        </w:rPr>
        <w:t xml:space="preserve"> </w:t>
      </w:r>
      <w:r>
        <w:rPr>
          <w:sz w:val="18"/>
        </w:rPr>
        <w:t>See</w:t>
      </w:r>
      <w:r>
        <w:rPr>
          <w:spacing w:val="-5"/>
          <w:sz w:val="18"/>
        </w:rPr>
        <w:t xml:space="preserve"> </w:t>
      </w:r>
      <w:r>
        <w:rPr>
          <w:sz w:val="18"/>
        </w:rPr>
        <w:t>above,</w:t>
      </w:r>
      <w:r>
        <w:rPr>
          <w:spacing w:val="-5"/>
          <w:sz w:val="18"/>
        </w:rPr>
        <w:t xml:space="preserve"> </w:t>
      </w:r>
      <w:r>
        <w:rPr>
          <w:sz w:val="18"/>
        </w:rPr>
        <w:t>sections</w:t>
      </w:r>
      <w:r>
        <w:rPr>
          <w:spacing w:val="-6"/>
          <w:sz w:val="18"/>
        </w:rPr>
        <w:t xml:space="preserve"> </w:t>
      </w:r>
      <w:r>
        <w:rPr>
          <w:sz w:val="18"/>
        </w:rPr>
        <w:t>III</w:t>
      </w:r>
      <w:r>
        <w:rPr>
          <w:spacing w:val="-4"/>
          <w:sz w:val="18"/>
        </w:rPr>
        <w:t xml:space="preserve"> </w:t>
      </w:r>
      <w:r>
        <w:rPr>
          <w:sz w:val="18"/>
        </w:rPr>
        <w:t>and</w:t>
      </w:r>
      <w:r>
        <w:rPr>
          <w:spacing w:val="-5"/>
          <w:sz w:val="18"/>
        </w:rPr>
        <w:t xml:space="preserve"> IV.</w:t>
      </w:r>
    </w:p>
    <w:p w14:paraId="51DE9398" w14:textId="77777777" w:rsidR="0010369C" w:rsidRDefault="0010369C">
      <w:pPr>
        <w:rPr>
          <w:sz w:val="18"/>
        </w:rPr>
        <w:sectPr w:rsidR="0010369C">
          <w:headerReference w:type="default" r:id="rId955"/>
          <w:footerReference w:type="default" r:id="rId956"/>
          <w:pgSz w:w="11910" w:h="16840"/>
          <w:pgMar w:top="880" w:right="800" w:bottom="980" w:left="1180" w:header="569" w:footer="788" w:gutter="0"/>
          <w:pgNumType w:start="270"/>
          <w:cols w:space="720"/>
        </w:sectPr>
      </w:pPr>
    </w:p>
    <w:p w14:paraId="51DE9399" w14:textId="77777777" w:rsidR="0010369C" w:rsidRDefault="008E43AE">
      <w:pPr>
        <w:tabs>
          <w:tab w:val="left" w:pos="6425"/>
        </w:tabs>
        <w:ind w:left="238"/>
        <w:rPr>
          <w:sz w:val="20"/>
        </w:rPr>
      </w:pPr>
      <w:r>
        <w:rPr>
          <w:i/>
          <w:sz w:val="20"/>
        </w:rPr>
        <w:lastRenderedPageBreak/>
        <w:t>China</w:t>
      </w:r>
      <w:r>
        <w:rPr>
          <w:i/>
          <w:spacing w:val="-5"/>
          <w:sz w:val="20"/>
        </w:rPr>
        <w:t xml:space="preserve"> </w:t>
      </w:r>
      <w:r>
        <w:rPr>
          <w:i/>
          <w:sz w:val="20"/>
        </w:rPr>
        <w:t>–</w:t>
      </w:r>
      <w:r>
        <w:rPr>
          <w:i/>
          <w:spacing w:val="-5"/>
          <w:sz w:val="20"/>
        </w:rPr>
        <w:t xml:space="preserve"> </w:t>
      </w:r>
      <w:r>
        <w:rPr>
          <w:i/>
          <w:sz w:val="20"/>
        </w:rPr>
        <w:t>Anti‐Dumping</w:t>
      </w:r>
      <w:r>
        <w:rPr>
          <w:i/>
          <w:spacing w:val="-4"/>
          <w:sz w:val="20"/>
        </w:rPr>
        <w:t xml:space="preserve"> </w:t>
      </w:r>
      <w:r>
        <w:rPr>
          <w:i/>
          <w:sz w:val="20"/>
        </w:rPr>
        <w:t>and</w:t>
      </w:r>
      <w:r>
        <w:rPr>
          <w:i/>
          <w:spacing w:val="-5"/>
          <w:sz w:val="20"/>
        </w:rPr>
        <w:t xml:space="preserve"> </w:t>
      </w:r>
      <w:r>
        <w:rPr>
          <w:i/>
          <w:sz w:val="20"/>
        </w:rPr>
        <w:t>Countervailing</w:t>
      </w:r>
      <w:r>
        <w:rPr>
          <w:i/>
          <w:spacing w:val="-5"/>
          <w:sz w:val="20"/>
        </w:rPr>
        <w:t xml:space="preserve"> </w:t>
      </w:r>
      <w:r>
        <w:rPr>
          <w:i/>
          <w:sz w:val="20"/>
        </w:rPr>
        <w:t>Duty</w:t>
      </w:r>
      <w:r>
        <w:rPr>
          <w:i/>
          <w:spacing w:val="-4"/>
          <w:sz w:val="20"/>
        </w:rPr>
        <w:t xml:space="preserve"> </w:t>
      </w:r>
      <w:r>
        <w:rPr>
          <w:i/>
          <w:spacing w:val="-2"/>
          <w:sz w:val="20"/>
        </w:rPr>
        <w:t>Measures</w:t>
      </w:r>
      <w:r>
        <w:rPr>
          <w:i/>
          <w:sz w:val="20"/>
        </w:rPr>
        <w:tab/>
      </w:r>
      <w:r>
        <w:rPr>
          <w:sz w:val="20"/>
        </w:rPr>
        <w:t>Australia's</w:t>
      </w:r>
      <w:r>
        <w:rPr>
          <w:spacing w:val="-7"/>
          <w:sz w:val="20"/>
        </w:rPr>
        <w:t xml:space="preserve"> </w:t>
      </w:r>
      <w:r>
        <w:rPr>
          <w:sz w:val="20"/>
        </w:rPr>
        <w:t>First</w:t>
      </w:r>
      <w:r>
        <w:rPr>
          <w:spacing w:val="-2"/>
          <w:sz w:val="20"/>
        </w:rPr>
        <w:t xml:space="preserve"> </w:t>
      </w:r>
      <w:r>
        <w:rPr>
          <w:sz w:val="20"/>
        </w:rPr>
        <w:t>Written</w:t>
      </w:r>
      <w:r>
        <w:rPr>
          <w:spacing w:val="-2"/>
          <w:sz w:val="20"/>
        </w:rPr>
        <w:t xml:space="preserve"> Submission</w:t>
      </w:r>
    </w:p>
    <w:p w14:paraId="51DE939A" w14:textId="77777777" w:rsidR="0010369C" w:rsidRDefault="008E43AE">
      <w:pPr>
        <w:tabs>
          <w:tab w:val="left" w:pos="8227"/>
        </w:tabs>
        <w:spacing w:before="1"/>
        <w:ind w:left="239"/>
        <w:rPr>
          <w:sz w:val="20"/>
        </w:rPr>
      </w:pPr>
      <w:r>
        <w:rPr>
          <w:i/>
          <w:sz w:val="20"/>
        </w:rPr>
        <w:t>on</w:t>
      </w:r>
      <w:r>
        <w:rPr>
          <w:i/>
          <w:spacing w:val="-1"/>
          <w:sz w:val="20"/>
        </w:rPr>
        <w:t xml:space="preserve"> </w:t>
      </w:r>
      <w:r>
        <w:rPr>
          <w:i/>
          <w:sz w:val="20"/>
        </w:rPr>
        <w:t>Wine</w:t>
      </w:r>
      <w:r>
        <w:rPr>
          <w:i/>
          <w:spacing w:val="-1"/>
          <w:sz w:val="20"/>
        </w:rPr>
        <w:t xml:space="preserve"> </w:t>
      </w:r>
      <w:r>
        <w:rPr>
          <w:i/>
          <w:sz w:val="20"/>
        </w:rPr>
        <w:t>from</w:t>
      </w:r>
      <w:r>
        <w:rPr>
          <w:i/>
          <w:spacing w:val="-3"/>
          <w:sz w:val="20"/>
        </w:rPr>
        <w:t xml:space="preserve"> </w:t>
      </w:r>
      <w:r>
        <w:rPr>
          <w:i/>
          <w:sz w:val="20"/>
        </w:rPr>
        <w:t>Australia</w:t>
      </w:r>
      <w:r>
        <w:rPr>
          <w:i/>
          <w:spacing w:val="-1"/>
          <w:sz w:val="20"/>
        </w:rPr>
        <w:t xml:space="preserve"> </w:t>
      </w:r>
      <w:r>
        <w:rPr>
          <w:spacing w:val="-2"/>
          <w:sz w:val="20"/>
        </w:rPr>
        <w:t>(DS602)</w:t>
      </w:r>
      <w:r>
        <w:rPr>
          <w:sz w:val="20"/>
        </w:rPr>
        <w:tab/>
        <w:t>29</w:t>
      </w:r>
      <w:r>
        <w:rPr>
          <w:spacing w:val="-1"/>
          <w:sz w:val="20"/>
        </w:rPr>
        <w:t xml:space="preserve"> </w:t>
      </w:r>
      <w:r>
        <w:rPr>
          <w:sz w:val="20"/>
        </w:rPr>
        <w:t>April</w:t>
      </w:r>
      <w:r>
        <w:rPr>
          <w:spacing w:val="-2"/>
          <w:sz w:val="20"/>
        </w:rPr>
        <w:t xml:space="preserve"> </w:t>
      </w:r>
      <w:r>
        <w:rPr>
          <w:spacing w:val="-4"/>
          <w:sz w:val="20"/>
        </w:rPr>
        <w:t>2022</w:t>
      </w:r>
    </w:p>
    <w:p w14:paraId="51DE939B" w14:textId="77777777" w:rsidR="0010369C" w:rsidRDefault="008E43AE">
      <w:pPr>
        <w:pStyle w:val="BodyText"/>
        <w:spacing w:before="34" w:line="360" w:lineRule="auto"/>
        <w:ind w:left="237" w:right="613" w:firstLine="851"/>
        <w:jc w:val="both"/>
      </w:pPr>
      <w:r>
        <w:rPr>
          <w:noProof/>
        </w:rPr>
        <w:drawing>
          <wp:anchor distT="0" distB="0" distL="0" distR="0" simplePos="0" relativeHeight="251323904" behindDoc="1" locked="0" layoutInCell="1" allowOverlap="1" wp14:anchorId="51DEA5EF" wp14:editId="51DEA5F0">
            <wp:simplePos x="0" y="0"/>
            <wp:positionH relativeFrom="page">
              <wp:posOffset>902208</wp:posOffset>
            </wp:positionH>
            <wp:positionV relativeFrom="paragraph">
              <wp:posOffset>69165</wp:posOffset>
            </wp:positionV>
            <wp:extent cx="262127" cy="103631"/>
            <wp:effectExtent l="0" t="0" r="0" b="0"/>
            <wp:wrapNone/>
            <wp:docPr id="1409" name="image7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 name="image731.png"/>
                    <pic:cNvPicPr/>
                  </pic:nvPicPr>
                  <pic:blipFill>
                    <a:blip r:embed="rId957" cstate="print"/>
                    <a:stretch>
                      <a:fillRect/>
                    </a:stretch>
                  </pic:blipFill>
                  <pic:spPr>
                    <a:xfrm>
                      <a:off x="0" y="0"/>
                      <a:ext cx="262127" cy="103631"/>
                    </a:xfrm>
                    <a:prstGeom prst="rect">
                      <a:avLst/>
                    </a:prstGeom>
                  </pic:spPr>
                </pic:pic>
              </a:graphicData>
            </a:graphic>
          </wp:anchor>
        </w:drawing>
      </w:r>
      <w:r>
        <w:t>The</w:t>
      </w:r>
      <w:r>
        <w:rPr>
          <w:spacing w:val="-11"/>
        </w:rPr>
        <w:t xml:space="preserve"> </w:t>
      </w:r>
      <w:r>
        <w:t>Appellate</w:t>
      </w:r>
      <w:r>
        <w:rPr>
          <w:spacing w:val="-11"/>
        </w:rPr>
        <w:t xml:space="preserve"> </w:t>
      </w:r>
      <w:r>
        <w:t>Body</w:t>
      </w:r>
      <w:r>
        <w:rPr>
          <w:spacing w:val="-12"/>
        </w:rPr>
        <w:t xml:space="preserve"> </w:t>
      </w:r>
      <w:r>
        <w:t>has</w:t>
      </w:r>
      <w:r>
        <w:rPr>
          <w:spacing w:val="-13"/>
        </w:rPr>
        <w:t xml:space="preserve"> </w:t>
      </w:r>
      <w:r>
        <w:t>observed</w:t>
      </w:r>
      <w:r>
        <w:rPr>
          <w:spacing w:val="-12"/>
        </w:rPr>
        <w:t xml:space="preserve"> </w:t>
      </w:r>
      <w:r>
        <w:t>that</w:t>
      </w:r>
      <w:r>
        <w:rPr>
          <w:spacing w:val="-13"/>
        </w:rPr>
        <w:t xml:space="preserve"> </w:t>
      </w:r>
      <w:r>
        <w:t>"Article</w:t>
      </w:r>
      <w:r>
        <w:rPr>
          <w:spacing w:val="-11"/>
        </w:rPr>
        <w:t xml:space="preserve"> </w:t>
      </w:r>
      <w:r>
        <w:t>9.1</w:t>
      </w:r>
      <w:r>
        <w:rPr>
          <w:spacing w:val="-14"/>
        </w:rPr>
        <w:t xml:space="preserve"> </w:t>
      </w:r>
      <w:r>
        <w:t>confers</w:t>
      </w:r>
      <w:r>
        <w:rPr>
          <w:spacing w:val="-12"/>
        </w:rPr>
        <w:t xml:space="preserve"> </w:t>
      </w:r>
      <w:r>
        <w:t>on</w:t>
      </w:r>
      <w:r>
        <w:rPr>
          <w:spacing w:val="-13"/>
        </w:rPr>
        <w:t xml:space="preserve"> </w:t>
      </w:r>
      <w:r>
        <w:t>Members</w:t>
      </w:r>
      <w:r>
        <w:rPr>
          <w:spacing w:val="-12"/>
        </w:rPr>
        <w:t xml:space="preserve"> </w:t>
      </w:r>
      <w:r>
        <w:t>the</w:t>
      </w:r>
      <w:r>
        <w:rPr>
          <w:spacing w:val="-11"/>
        </w:rPr>
        <w:t xml:space="preserve"> </w:t>
      </w:r>
      <w:r>
        <w:t>discretion to decide whether to impose an anti‐dumping duty in cases where all the requirements for such imposition '</w:t>
      </w:r>
      <w:r>
        <w:rPr>
          <w:i/>
        </w:rPr>
        <w:t>have been fulfilled</w:t>
      </w:r>
      <w:r>
        <w:t>'".</w:t>
      </w:r>
      <w:r>
        <w:rPr>
          <w:vertAlign w:val="superscript"/>
        </w:rPr>
        <w:t>863</w:t>
      </w:r>
      <w:r>
        <w:t xml:space="preserve"> In cases where the requirements for the imposition of an anti‐dumping duty have not been fulfilled, the authoriti</w:t>
      </w:r>
      <w:r>
        <w:t>es of the importing Member do not have any right to decide to impose such a duty on imported products.</w:t>
      </w:r>
    </w:p>
    <w:p w14:paraId="51DE939C" w14:textId="77777777" w:rsidR="0010369C" w:rsidRDefault="0010369C">
      <w:pPr>
        <w:pStyle w:val="BodyText"/>
        <w:spacing w:before="11"/>
        <w:rPr>
          <w:sz w:val="8"/>
        </w:rPr>
      </w:pPr>
    </w:p>
    <w:p w14:paraId="51DE939D" w14:textId="77777777" w:rsidR="0010369C" w:rsidRDefault="008E43AE">
      <w:pPr>
        <w:pStyle w:val="BodyText"/>
        <w:spacing w:before="51" w:line="360" w:lineRule="auto"/>
        <w:ind w:left="237" w:right="614" w:firstLine="851"/>
        <w:jc w:val="both"/>
      </w:pPr>
      <w:r>
        <w:rPr>
          <w:noProof/>
        </w:rPr>
        <w:drawing>
          <wp:anchor distT="0" distB="0" distL="0" distR="0" simplePos="0" relativeHeight="251324928" behindDoc="1" locked="0" layoutInCell="1" allowOverlap="1" wp14:anchorId="51DEA5F1" wp14:editId="51DEA5F2">
            <wp:simplePos x="0" y="0"/>
            <wp:positionH relativeFrom="page">
              <wp:posOffset>902208</wp:posOffset>
            </wp:positionH>
            <wp:positionV relativeFrom="paragraph">
              <wp:posOffset>79960</wp:posOffset>
            </wp:positionV>
            <wp:extent cx="262127" cy="103631"/>
            <wp:effectExtent l="0" t="0" r="0" b="0"/>
            <wp:wrapNone/>
            <wp:docPr id="1411" name="image7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 name="image732.png"/>
                    <pic:cNvPicPr/>
                  </pic:nvPicPr>
                  <pic:blipFill>
                    <a:blip r:embed="rId958" cstate="print"/>
                    <a:stretch>
                      <a:fillRect/>
                    </a:stretch>
                  </pic:blipFill>
                  <pic:spPr>
                    <a:xfrm>
                      <a:off x="0" y="0"/>
                      <a:ext cx="262127" cy="103631"/>
                    </a:xfrm>
                    <a:prstGeom prst="rect">
                      <a:avLst/>
                    </a:prstGeom>
                  </pic:spPr>
                </pic:pic>
              </a:graphicData>
            </a:graphic>
          </wp:anchor>
        </w:drawing>
      </w:r>
      <w:r>
        <w:t>The fundamental requirements for the imposition of an anti‐dumping duty include those summarised under Article 1 of the Anti‐Dumping Agreement, which p</w:t>
      </w:r>
      <w:r>
        <w:t>rovides that an anti‐dumping measure shall be applied only under the circumstances provided for in Article VI</w:t>
      </w:r>
      <w:r>
        <w:rPr>
          <w:spacing w:val="-2"/>
        </w:rPr>
        <w:t xml:space="preserve"> </w:t>
      </w:r>
      <w:r>
        <w:t>of</w:t>
      </w:r>
      <w:r>
        <w:rPr>
          <w:spacing w:val="-2"/>
        </w:rPr>
        <w:t xml:space="preserve"> </w:t>
      </w:r>
      <w:r>
        <w:t>GATT</w:t>
      </w:r>
      <w:r>
        <w:rPr>
          <w:spacing w:val="-1"/>
        </w:rPr>
        <w:t xml:space="preserve"> </w:t>
      </w:r>
      <w:r>
        <w:t>1994</w:t>
      </w:r>
      <w:r>
        <w:rPr>
          <w:spacing w:val="-2"/>
        </w:rPr>
        <w:t xml:space="preserve"> </w:t>
      </w:r>
      <w:r>
        <w:t>and</w:t>
      </w:r>
      <w:r>
        <w:rPr>
          <w:spacing w:val="-2"/>
        </w:rPr>
        <w:t xml:space="preserve"> </w:t>
      </w:r>
      <w:r>
        <w:t>pursuant</w:t>
      </w:r>
      <w:r>
        <w:rPr>
          <w:spacing w:val="-1"/>
        </w:rPr>
        <w:t xml:space="preserve"> </w:t>
      </w:r>
      <w:r>
        <w:t>to</w:t>
      </w:r>
      <w:r>
        <w:rPr>
          <w:spacing w:val="-1"/>
        </w:rPr>
        <w:t xml:space="preserve"> </w:t>
      </w:r>
      <w:r>
        <w:t>an</w:t>
      </w:r>
      <w:r>
        <w:rPr>
          <w:spacing w:val="-2"/>
        </w:rPr>
        <w:t xml:space="preserve"> </w:t>
      </w:r>
      <w:r>
        <w:t>investigation</w:t>
      </w:r>
      <w:r>
        <w:rPr>
          <w:spacing w:val="-2"/>
        </w:rPr>
        <w:t xml:space="preserve"> </w:t>
      </w:r>
      <w:r>
        <w:t>initiated and</w:t>
      </w:r>
      <w:r>
        <w:rPr>
          <w:spacing w:val="-2"/>
        </w:rPr>
        <w:t xml:space="preserve"> </w:t>
      </w:r>
      <w:r>
        <w:t>conducted</w:t>
      </w:r>
      <w:r>
        <w:rPr>
          <w:spacing w:val="-3"/>
        </w:rPr>
        <w:t xml:space="preserve"> </w:t>
      </w:r>
      <w:r>
        <w:t>in</w:t>
      </w:r>
      <w:r>
        <w:rPr>
          <w:spacing w:val="-2"/>
        </w:rPr>
        <w:t xml:space="preserve"> </w:t>
      </w:r>
      <w:r>
        <w:t>accordance</w:t>
      </w:r>
      <w:r>
        <w:rPr>
          <w:spacing w:val="-1"/>
        </w:rPr>
        <w:t xml:space="preserve"> </w:t>
      </w:r>
      <w:r>
        <w:t>with the provisions of the Anti‐Dumping Agreement.</w:t>
      </w:r>
    </w:p>
    <w:p w14:paraId="51DE939E" w14:textId="77777777" w:rsidR="0010369C" w:rsidRDefault="0010369C">
      <w:pPr>
        <w:pStyle w:val="BodyText"/>
        <w:spacing w:before="10"/>
        <w:rPr>
          <w:sz w:val="8"/>
        </w:rPr>
      </w:pPr>
    </w:p>
    <w:p w14:paraId="51DE939F" w14:textId="77777777" w:rsidR="0010369C" w:rsidRDefault="008E43AE">
      <w:pPr>
        <w:pStyle w:val="BodyText"/>
        <w:spacing w:before="52" w:line="360" w:lineRule="auto"/>
        <w:ind w:left="236" w:right="613" w:firstLine="852"/>
        <w:jc w:val="both"/>
      </w:pPr>
      <w:r>
        <w:rPr>
          <w:noProof/>
        </w:rPr>
        <w:drawing>
          <wp:anchor distT="0" distB="0" distL="0" distR="0" simplePos="0" relativeHeight="251325952" behindDoc="1" locked="0" layoutInCell="1" allowOverlap="1" wp14:anchorId="51DEA5F3" wp14:editId="51DEA5F4">
            <wp:simplePos x="0" y="0"/>
            <wp:positionH relativeFrom="page">
              <wp:posOffset>902208</wp:posOffset>
            </wp:positionH>
            <wp:positionV relativeFrom="paragraph">
              <wp:posOffset>80595</wp:posOffset>
            </wp:positionV>
            <wp:extent cx="262127" cy="103631"/>
            <wp:effectExtent l="0" t="0" r="0" b="0"/>
            <wp:wrapNone/>
            <wp:docPr id="1413" name="image7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 name="image733.png"/>
                    <pic:cNvPicPr/>
                  </pic:nvPicPr>
                  <pic:blipFill>
                    <a:blip r:embed="rId959" cstate="print"/>
                    <a:stretch>
                      <a:fillRect/>
                    </a:stretch>
                  </pic:blipFill>
                  <pic:spPr>
                    <a:xfrm>
                      <a:off x="0" y="0"/>
                      <a:ext cx="262127" cy="103631"/>
                    </a:xfrm>
                    <a:prstGeom prst="rect">
                      <a:avLst/>
                    </a:prstGeom>
                  </pic:spPr>
                </pic:pic>
              </a:graphicData>
            </a:graphic>
          </wp:anchor>
        </w:drawing>
      </w:r>
      <w:r>
        <w:t>Australia has established, based on the Final Determination and the record of evidence, that MOFCOM's investigation and subsequent determinations were inconsistent with substantive and procedural obligations under Articles 2, 3, 4, 5, and 6 of the Anti‐ Du</w:t>
      </w:r>
      <w:r>
        <w:t>mping Agreement.</w:t>
      </w:r>
      <w:r>
        <w:rPr>
          <w:vertAlign w:val="superscript"/>
        </w:rPr>
        <w:t>864</w:t>
      </w:r>
      <w:r>
        <w:t xml:space="preserve"> As such, MOFCOM failed to initiate or conduct its investigation in accordance</w:t>
      </w:r>
      <w:r>
        <w:rPr>
          <w:spacing w:val="-6"/>
        </w:rPr>
        <w:t xml:space="preserve"> </w:t>
      </w:r>
      <w:r>
        <w:t>with</w:t>
      </w:r>
      <w:r>
        <w:rPr>
          <w:spacing w:val="-8"/>
        </w:rPr>
        <w:t xml:space="preserve"> </w:t>
      </w:r>
      <w:r>
        <w:t>these</w:t>
      </w:r>
      <w:r>
        <w:rPr>
          <w:spacing w:val="-7"/>
        </w:rPr>
        <w:t xml:space="preserve"> </w:t>
      </w:r>
      <w:r>
        <w:t>provisions.</w:t>
      </w:r>
      <w:r>
        <w:rPr>
          <w:spacing w:val="-6"/>
        </w:rPr>
        <w:t xml:space="preserve"> </w:t>
      </w:r>
      <w:r>
        <w:t>Therefore,</w:t>
      </w:r>
      <w:r>
        <w:rPr>
          <w:spacing w:val="-8"/>
        </w:rPr>
        <w:t xml:space="preserve"> </w:t>
      </w:r>
      <w:r>
        <w:t>it</w:t>
      </w:r>
      <w:r>
        <w:rPr>
          <w:spacing w:val="-7"/>
        </w:rPr>
        <w:t xml:space="preserve"> </w:t>
      </w:r>
      <w:r>
        <w:t>could</w:t>
      </w:r>
      <w:r>
        <w:rPr>
          <w:spacing w:val="-8"/>
        </w:rPr>
        <w:t xml:space="preserve"> </w:t>
      </w:r>
      <w:r>
        <w:t>not</w:t>
      </w:r>
      <w:r>
        <w:rPr>
          <w:spacing w:val="-7"/>
        </w:rPr>
        <w:t xml:space="preserve"> </w:t>
      </w:r>
      <w:r>
        <w:t>be</w:t>
      </w:r>
      <w:r>
        <w:rPr>
          <w:spacing w:val="-7"/>
        </w:rPr>
        <w:t xml:space="preserve"> </w:t>
      </w:r>
      <w:r>
        <w:t>said</w:t>
      </w:r>
      <w:r>
        <w:rPr>
          <w:spacing w:val="-8"/>
        </w:rPr>
        <w:t xml:space="preserve"> </w:t>
      </w:r>
      <w:r>
        <w:t>that</w:t>
      </w:r>
      <w:r>
        <w:rPr>
          <w:spacing w:val="-8"/>
        </w:rPr>
        <w:t xml:space="preserve"> </w:t>
      </w:r>
      <w:r>
        <w:t>all</w:t>
      </w:r>
      <w:r>
        <w:rPr>
          <w:spacing w:val="-6"/>
        </w:rPr>
        <w:t xml:space="preserve"> </w:t>
      </w:r>
      <w:r>
        <w:t>requirements</w:t>
      </w:r>
      <w:r>
        <w:rPr>
          <w:spacing w:val="-9"/>
        </w:rPr>
        <w:t xml:space="preserve"> </w:t>
      </w:r>
      <w:r>
        <w:t>for</w:t>
      </w:r>
      <w:r>
        <w:rPr>
          <w:spacing w:val="-7"/>
        </w:rPr>
        <w:t xml:space="preserve"> </w:t>
      </w:r>
      <w:r>
        <w:t>the imposition of anti‐dumping duties were fulfilled within the meaning of Article 9.1. For example,</w:t>
      </w:r>
      <w:r>
        <w:rPr>
          <w:spacing w:val="-14"/>
        </w:rPr>
        <w:t xml:space="preserve"> </w:t>
      </w:r>
      <w:r>
        <w:t>MOFCOM's</w:t>
      </w:r>
      <w:r>
        <w:rPr>
          <w:spacing w:val="-14"/>
        </w:rPr>
        <w:t xml:space="preserve"> </w:t>
      </w:r>
      <w:r>
        <w:t>improper</w:t>
      </w:r>
      <w:r>
        <w:rPr>
          <w:spacing w:val="-13"/>
        </w:rPr>
        <w:t xml:space="preserve"> </w:t>
      </w:r>
      <w:r>
        <w:t>recourse</w:t>
      </w:r>
      <w:r>
        <w:rPr>
          <w:spacing w:val="-14"/>
        </w:rPr>
        <w:t xml:space="preserve"> </w:t>
      </w:r>
      <w:r>
        <w:t>to</w:t>
      </w:r>
      <w:r>
        <w:rPr>
          <w:spacing w:val="-13"/>
        </w:rPr>
        <w:t xml:space="preserve"> </w:t>
      </w:r>
      <w:r>
        <w:t>facts</w:t>
      </w:r>
      <w:r>
        <w:rPr>
          <w:spacing w:val="-14"/>
        </w:rPr>
        <w:t xml:space="preserve"> </w:t>
      </w:r>
      <w:r>
        <w:t>available</w:t>
      </w:r>
      <w:r>
        <w:rPr>
          <w:spacing w:val="-13"/>
        </w:rPr>
        <w:t xml:space="preserve"> </w:t>
      </w:r>
      <w:r>
        <w:t>in</w:t>
      </w:r>
      <w:r>
        <w:rPr>
          <w:spacing w:val="-14"/>
        </w:rPr>
        <w:t xml:space="preserve"> </w:t>
      </w:r>
      <w:r>
        <w:t>breach</w:t>
      </w:r>
      <w:r>
        <w:rPr>
          <w:spacing w:val="-13"/>
        </w:rPr>
        <w:t xml:space="preserve"> </w:t>
      </w:r>
      <w:r>
        <w:t>of</w:t>
      </w:r>
      <w:r>
        <w:rPr>
          <w:spacing w:val="-14"/>
        </w:rPr>
        <w:t xml:space="preserve"> </w:t>
      </w:r>
      <w:r>
        <w:t>Article</w:t>
      </w:r>
      <w:r>
        <w:rPr>
          <w:spacing w:val="-12"/>
        </w:rPr>
        <w:t xml:space="preserve"> </w:t>
      </w:r>
      <w:r>
        <w:t>6.8</w:t>
      </w:r>
      <w:r>
        <w:rPr>
          <w:spacing w:val="-14"/>
        </w:rPr>
        <w:t xml:space="preserve"> </w:t>
      </w:r>
      <w:r>
        <w:t>and</w:t>
      </w:r>
      <w:r>
        <w:rPr>
          <w:spacing w:val="-14"/>
        </w:rPr>
        <w:t xml:space="preserve"> </w:t>
      </w:r>
      <w:r>
        <w:t>Annex</w:t>
      </w:r>
      <w:r>
        <w:rPr>
          <w:spacing w:val="-2"/>
        </w:rPr>
        <w:t xml:space="preserve"> </w:t>
      </w:r>
      <w:r>
        <w:t>II, and its failure to determine the existence of dumping under Article 2.</w:t>
      </w:r>
      <w:r>
        <w:t>1 in a WTO‐consistent manner</w:t>
      </w:r>
      <w:r>
        <w:rPr>
          <w:spacing w:val="-6"/>
        </w:rPr>
        <w:t xml:space="preserve"> </w:t>
      </w:r>
      <w:r>
        <w:t>means</w:t>
      </w:r>
      <w:r>
        <w:rPr>
          <w:spacing w:val="-6"/>
        </w:rPr>
        <w:t xml:space="preserve"> </w:t>
      </w:r>
      <w:r>
        <w:t>that</w:t>
      </w:r>
      <w:r>
        <w:rPr>
          <w:spacing w:val="-6"/>
        </w:rPr>
        <w:t xml:space="preserve"> </w:t>
      </w:r>
      <w:r>
        <w:t>a</w:t>
      </w:r>
      <w:r>
        <w:rPr>
          <w:spacing w:val="-5"/>
        </w:rPr>
        <w:t xml:space="preserve"> </w:t>
      </w:r>
      <w:r>
        <w:t>fundamental</w:t>
      </w:r>
      <w:r>
        <w:rPr>
          <w:spacing w:val="-5"/>
        </w:rPr>
        <w:t xml:space="preserve"> </w:t>
      </w:r>
      <w:r>
        <w:t>requirement</w:t>
      </w:r>
      <w:r>
        <w:rPr>
          <w:spacing w:val="-8"/>
        </w:rPr>
        <w:t xml:space="preserve"> </w:t>
      </w:r>
      <w:r>
        <w:t>for</w:t>
      </w:r>
      <w:r>
        <w:rPr>
          <w:spacing w:val="-5"/>
        </w:rPr>
        <w:t xml:space="preserve"> </w:t>
      </w:r>
      <w:r>
        <w:t>the</w:t>
      </w:r>
      <w:r>
        <w:rPr>
          <w:spacing w:val="-5"/>
        </w:rPr>
        <w:t xml:space="preserve"> </w:t>
      </w:r>
      <w:r>
        <w:t>imposition</w:t>
      </w:r>
      <w:r>
        <w:rPr>
          <w:spacing w:val="-6"/>
        </w:rPr>
        <w:t xml:space="preserve"> </w:t>
      </w:r>
      <w:r>
        <w:t>of</w:t>
      </w:r>
      <w:r>
        <w:rPr>
          <w:spacing w:val="-5"/>
        </w:rPr>
        <w:t xml:space="preserve"> </w:t>
      </w:r>
      <w:r>
        <w:t>anti‐dumping</w:t>
      </w:r>
      <w:r>
        <w:rPr>
          <w:spacing w:val="-6"/>
        </w:rPr>
        <w:t xml:space="preserve"> </w:t>
      </w:r>
      <w:r>
        <w:t>duties</w:t>
      </w:r>
      <w:r>
        <w:rPr>
          <w:spacing w:val="-5"/>
        </w:rPr>
        <w:t xml:space="preserve"> </w:t>
      </w:r>
      <w:r>
        <w:rPr>
          <w:spacing w:val="-10"/>
        </w:rPr>
        <w:t>—</w:t>
      </w:r>
    </w:p>
    <w:p w14:paraId="51DE93A0" w14:textId="77777777" w:rsidR="0010369C" w:rsidRDefault="008E43AE">
      <w:pPr>
        <w:pStyle w:val="BodyText"/>
        <w:spacing w:line="362" w:lineRule="auto"/>
        <w:ind w:left="237" w:right="614"/>
        <w:jc w:val="both"/>
      </w:pPr>
      <w:r>
        <w:t xml:space="preserve">i.e. that the price of wine imported into China was less than its normal value — was not </w:t>
      </w:r>
      <w:r>
        <w:rPr>
          <w:spacing w:val="-2"/>
        </w:rPr>
        <w:t>fulfilled.</w:t>
      </w:r>
    </w:p>
    <w:p w14:paraId="51DE93A1" w14:textId="77777777" w:rsidR="0010369C" w:rsidRDefault="0010369C">
      <w:pPr>
        <w:pStyle w:val="BodyText"/>
        <w:spacing w:before="5"/>
        <w:rPr>
          <w:sz w:val="8"/>
        </w:rPr>
      </w:pPr>
    </w:p>
    <w:p w14:paraId="51DE93A2" w14:textId="77777777" w:rsidR="0010369C" w:rsidRDefault="008E43AE">
      <w:pPr>
        <w:pStyle w:val="BodyText"/>
        <w:spacing w:before="52" w:line="360" w:lineRule="auto"/>
        <w:ind w:left="238" w:right="612" w:firstLine="851"/>
        <w:jc w:val="both"/>
      </w:pPr>
      <w:r>
        <w:rPr>
          <w:noProof/>
        </w:rPr>
        <w:drawing>
          <wp:anchor distT="0" distB="0" distL="0" distR="0" simplePos="0" relativeHeight="251326976" behindDoc="1" locked="0" layoutInCell="1" allowOverlap="1" wp14:anchorId="51DEA5F5" wp14:editId="51DEA5F6">
            <wp:simplePos x="0" y="0"/>
            <wp:positionH relativeFrom="page">
              <wp:posOffset>902208</wp:posOffset>
            </wp:positionH>
            <wp:positionV relativeFrom="paragraph">
              <wp:posOffset>81949</wp:posOffset>
            </wp:positionV>
            <wp:extent cx="262127" cy="100753"/>
            <wp:effectExtent l="0" t="0" r="0" b="0"/>
            <wp:wrapNone/>
            <wp:docPr id="1415" name="image7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 name="image734.png"/>
                    <pic:cNvPicPr/>
                  </pic:nvPicPr>
                  <pic:blipFill>
                    <a:blip r:embed="rId960" cstate="print"/>
                    <a:stretch>
                      <a:fillRect/>
                    </a:stretch>
                  </pic:blipFill>
                  <pic:spPr>
                    <a:xfrm>
                      <a:off x="0" y="0"/>
                      <a:ext cx="262127" cy="100753"/>
                    </a:xfrm>
                    <a:prstGeom prst="rect">
                      <a:avLst/>
                    </a:prstGeom>
                  </pic:spPr>
                </pic:pic>
              </a:graphicData>
            </a:graphic>
          </wp:anchor>
        </w:drawing>
      </w:r>
      <w:r>
        <w:t>As</w:t>
      </w:r>
      <w:r>
        <w:rPr>
          <w:spacing w:val="-1"/>
        </w:rPr>
        <w:t xml:space="preserve"> </w:t>
      </w:r>
      <w:r>
        <w:t>a consequence,</w:t>
      </w:r>
      <w:r>
        <w:rPr>
          <w:spacing w:val="-1"/>
        </w:rPr>
        <w:t xml:space="preserve"> </w:t>
      </w:r>
      <w:r>
        <w:t>all rates</w:t>
      </w:r>
      <w:r>
        <w:rPr>
          <w:spacing w:val="-1"/>
        </w:rPr>
        <w:t xml:space="preserve"> </w:t>
      </w:r>
      <w:r>
        <w:t xml:space="preserve">of anti‐dumping </w:t>
      </w:r>
      <w:r>
        <w:t>duty applied under the three categories discussed above</w:t>
      </w:r>
      <w:r>
        <w:rPr>
          <w:vertAlign w:val="superscript"/>
        </w:rPr>
        <w:t>865</w:t>
      </w:r>
      <w:r>
        <w:t xml:space="preserve"> were inconsistent with Article 9.1 of the Anti‐Dumping Agreement. The inconsistencies vitiating the determination of the rates for the sampled Australian producers consequently affected the determination of the maximum rate for the non‐sampled Australian </w:t>
      </w:r>
      <w:r>
        <w:t>exporters and the residual "All Others" rate. In each case, MOFCOM failed to fulfil all requirements under the Anti‐Dumping Agreement to impose these anti‐dumping duties.</w:t>
      </w:r>
    </w:p>
    <w:p w14:paraId="51DE93A3" w14:textId="77777777" w:rsidR="0010369C" w:rsidRDefault="0010369C">
      <w:pPr>
        <w:pStyle w:val="BodyText"/>
        <w:rPr>
          <w:sz w:val="20"/>
        </w:rPr>
      </w:pPr>
    </w:p>
    <w:p w14:paraId="51DE93A4" w14:textId="77777777" w:rsidR="0010369C" w:rsidRDefault="0010369C">
      <w:pPr>
        <w:pStyle w:val="BodyText"/>
        <w:rPr>
          <w:sz w:val="20"/>
        </w:rPr>
      </w:pPr>
    </w:p>
    <w:p w14:paraId="51DE93A5" w14:textId="77777777" w:rsidR="0010369C" w:rsidRDefault="008E43AE">
      <w:pPr>
        <w:pStyle w:val="BodyText"/>
        <w:spacing w:before="6"/>
        <w:rPr>
          <w:sz w:val="11"/>
        </w:rPr>
      </w:pPr>
      <w:r>
        <w:pict w14:anchorId="51DEA5F7">
          <v:rect id="docshape1199" o:spid="_x0000_s1211" style="position:absolute;margin-left:70.9pt;margin-top:8.25pt;width:2in;height:.8pt;z-index:-250771968;mso-wrap-distance-left:0;mso-wrap-distance-right:0;mso-position-horizontal-relative:page" fillcolor="black" stroked="f">
            <w10:wrap type="topAndBottom" anchorx="page"/>
          </v:rect>
        </w:pict>
      </w:r>
    </w:p>
    <w:p w14:paraId="51DE93A6" w14:textId="77777777" w:rsidR="0010369C" w:rsidRDefault="008E43AE">
      <w:pPr>
        <w:spacing w:before="145" w:line="177" w:lineRule="auto"/>
        <w:ind w:left="237" w:right="611"/>
        <w:rPr>
          <w:sz w:val="18"/>
        </w:rPr>
      </w:pPr>
      <w:r>
        <w:rPr>
          <w:sz w:val="18"/>
          <w:vertAlign w:val="superscript"/>
        </w:rPr>
        <w:t>863</w:t>
      </w:r>
      <w:r>
        <w:rPr>
          <w:spacing w:val="-1"/>
          <w:sz w:val="18"/>
        </w:rPr>
        <w:t xml:space="preserve"> </w:t>
      </w:r>
      <w:r>
        <w:rPr>
          <w:sz w:val="18"/>
        </w:rPr>
        <w:t>Appellate</w:t>
      </w:r>
      <w:r>
        <w:rPr>
          <w:spacing w:val="-2"/>
          <w:sz w:val="18"/>
        </w:rPr>
        <w:t xml:space="preserve"> </w:t>
      </w:r>
      <w:r>
        <w:rPr>
          <w:sz w:val="18"/>
        </w:rPr>
        <w:t>Body</w:t>
      </w:r>
      <w:r>
        <w:rPr>
          <w:spacing w:val="-2"/>
          <w:sz w:val="18"/>
        </w:rPr>
        <w:t xml:space="preserve"> </w:t>
      </w:r>
      <w:r>
        <w:rPr>
          <w:sz w:val="18"/>
        </w:rPr>
        <w:t>Report,</w:t>
      </w:r>
      <w:r>
        <w:rPr>
          <w:spacing w:val="-3"/>
          <w:sz w:val="18"/>
        </w:rPr>
        <w:t xml:space="preserve"> </w:t>
      </w:r>
      <w:r>
        <w:rPr>
          <w:i/>
          <w:sz w:val="18"/>
        </w:rPr>
        <w:t>EC</w:t>
      </w:r>
      <w:r>
        <w:rPr>
          <w:i/>
          <w:spacing w:val="-3"/>
          <w:sz w:val="18"/>
        </w:rPr>
        <w:t xml:space="preserve"> </w:t>
      </w:r>
      <w:r>
        <w:rPr>
          <w:i/>
          <w:sz w:val="18"/>
        </w:rPr>
        <w:t>–</w:t>
      </w:r>
      <w:r>
        <w:rPr>
          <w:i/>
          <w:spacing w:val="-3"/>
          <w:sz w:val="18"/>
        </w:rPr>
        <w:t xml:space="preserve"> </w:t>
      </w:r>
      <w:r>
        <w:rPr>
          <w:i/>
          <w:sz w:val="18"/>
        </w:rPr>
        <w:t>Bed</w:t>
      </w:r>
      <w:r>
        <w:rPr>
          <w:i/>
          <w:spacing w:val="-2"/>
          <w:sz w:val="18"/>
        </w:rPr>
        <w:t xml:space="preserve"> </w:t>
      </w:r>
      <w:r>
        <w:rPr>
          <w:i/>
          <w:sz w:val="18"/>
        </w:rPr>
        <w:t>Linen</w:t>
      </w:r>
      <w:r>
        <w:rPr>
          <w:i/>
          <w:spacing w:val="-3"/>
          <w:sz w:val="18"/>
        </w:rPr>
        <w:t xml:space="preserve"> </w:t>
      </w:r>
      <w:r>
        <w:rPr>
          <w:i/>
          <w:sz w:val="18"/>
        </w:rPr>
        <w:t>(Article</w:t>
      </w:r>
      <w:r>
        <w:rPr>
          <w:i/>
          <w:spacing w:val="-3"/>
          <w:sz w:val="18"/>
        </w:rPr>
        <w:t xml:space="preserve"> </w:t>
      </w:r>
      <w:r>
        <w:rPr>
          <w:i/>
          <w:sz w:val="18"/>
        </w:rPr>
        <w:t>21.5</w:t>
      </w:r>
      <w:r>
        <w:rPr>
          <w:i/>
          <w:spacing w:val="-2"/>
          <w:sz w:val="18"/>
        </w:rPr>
        <w:t xml:space="preserve"> </w:t>
      </w:r>
      <w:r>
        <w:rPr>
          <w:i/>
          <w:sz w:val="18"/>
        </w:rPr>
        <w:t>–</w:t>
      </w:r>
      <w:r>
        <w:rPr>
          <w:i/>
          <w:spacing w:val="-3"/>
          <w:sz w:val="18"/>
        </w:rPr>
        <w:t xml:space="preserve"> </w:t>
      </w:r>
      <w:r>
        <w:rPr>
          <w:i/>
          <w:sz w:val="18"/>
        </w:rPr>
        <w:t>India)</w:t>
      </w:r>
      <w:r>
        <w:rPr>
          <w:sz w:val="18"/>
        </w:rPr>
        <w:t>,</w:t>
      </w:r>
      <w:r>
        <w:rPr>
          <w:spacing w:val="-2"/>
          <w:sz w:val="18"/>
        </w:rPr>
        <w:t xml:space="preserve"> </w:t>
      </w:r>
      <w:r>
        <w:rPr>
          <w:sz w:val="18"/>
        </w:rPr>
        <w:t>para.</w:t>
      </w:r>
      <w:r>
        <w:rPr>
          <w:spacing w:val="-2"/>
          <w:sz w:val="18"/>
        </w:rPr>
        <w:t xml:space="preserve"> </w:t>
      </w:r>
      <w:r>
        <w:rPr>
          <w:sz w:val="18"/>
        </w:rPr>
        <w:t>122.(emph</w:t>
      </w:r>
      <w:r>
        <w:rPr>
          <w:sz w:val="18"/>
        </w:rPr>
        <w:t>asis</w:t>
      </w:r>
      <w:r>
        <w:rPr>
          <w:spacing w:val="-2"/>
          <w:sz w:val="18"/>
        </w:rPr>
        <w:t xml:space="preserve"> </w:t>
      </w:r>
      <w:r>
        <w:rPr>
          <w:sz w:val="18"/>
        </w:rPr>
        <w:t>original).</w:t>
      </w:r>
      <w:r>
        <w:rPr>
          <w:spacing w:val="-3"/>
          <w:sz w:val="18"/>
        </w:rPr>
        <w:t xml:space="preserve"> </w:t>
      </w:r>
      <w:r>
        <w:rPr>
          <w:sz w:val="18"/>
        </w:rPr>
        <w:t>See</w:t>
      </w:r>
      <w:r>
        <w:rPr>
          <w:spacing w:val="-2"/>
          <w:sz w:val="18"/>
        </w:rPr>
        <w:t xml:space="preserve"> </w:t>
      </w:r>
      <w:r>
        <w:rPr>
          <w:sz w:val="18"/>
        </w:rPr>
        <w:t>also</w:t>
      </w:r>
      <w:r>
        <w:rPr>
          <w:spacing w:val="-2"/>
          <w:sz w:val="18"/>
        </w:rPr>
        <w:t xml:space="preserve"> </w:t>
      </w:r>
      <w:r>
        <w:rPr>
          <w:sz w:val="18"/>
        </w:rPr>
        <w:t>Panel</w:t>
      </w:r>
      <w:r>
        <w:rPr>
          <w:spacing w:val="-2"/>
          <w:sz w:val="18"/>
        </w:rPr>
        <w:t xml:space="preserve"> </w:t>
      </w:r>
      <w:r>
        <w:rPr>
          <w:sz w:val="18"/>
        </w:rPr>
        <w:t>Report,</w:t>
      </w:r>
      <w:r>
        <w:rPr>
          <w:spacing w:val="-3"/>
          <w:sz w:val="18"/>
        </w:rPr>
        <w:t xml:space="preserve"> </w:t>
      </w:r>
      <w:r>
        <w:rPr>
          <w:i/>
          <w:sz w:val="18"/>
        </w:rPr>
        <w:t>EC</w:t>
      </w:r>
      <w:r>
        <w:rPr>
          <w:i/>
          <w:spacing w:val="-3"/>
          <w:sz w:val="18"/>
        </w:rPr>
        <w:t xml:space="preserve"> </w:t>
      </w:r>
      <w:r>
        <w:rPr>
          <w:i/>
          <w:sz w:val="18"/>
        </w:rPr>
        <w:t>– Salmon (Norway)</w:t>
      </w:r>
      <w:r>
        <w:rPr>
          <w:sz w:val="18"/>
        </w:rPr>
        <w:t>, para. 7.705.</w:t>
      </w:r>
    </w:p>
    <w:p w14:paraId="51DE93A7" w14:textId="77777777" w:rsidR="0010369C" w:rsidRDefault="008E43AE">
      <w:pPr>
        <w:spacing w:before="70"/>
        <w:ind w:left="238"/>
        <w:rPr>
          <w:sz w:val="18"/>
        </w:rPr>
      </w:pPr>
      <w:r>
        <w:rPr>
          <w:sz w:val="18"/>
          <w:vertAlign w:val="superscript"/>
        </w:rPr>
        <w:t>864</w:t>
      </w:r>
      <w:r>
        <w:rPr>
          <w:spacing w:val="-14"/>
          <w:sz w:val="18"/>
        </w:rPr>
        <w:t xml:space="preserve"> </w:t>
      </w:r>
      <w:r>
        <w:rPr>
          <w:sz w:val="18"/>
        </w:rPr>
        <w:t>See</w:t>
      </w:r>
      <w:r>
        <w:rPr>
          <w:spacing w:val="-9"/>
          <w:sz w:val="18"/>
        </w:rPr>
        <w:t xml:space="preserve"> </w:t>
      </w:r>
      <w:r>
        <w:rPr>
          <w:sz w:val="18"/>
        </w:rPr>
        <w:t>above,</w:t>
      </w:r>
      <w:r>
        <w:rPr>
          <w:spacing w:val="-5"/>
          <w:sz w:val="18"/>
        </w:rPr>
        <w:t xml:space="preserve"> </w:t>
      </w:r>
      <w:r>
        <w:rPr>
          <w:sz w:val="18"/>
        </w:rPr>
        <w:t>section</w:t>
      </w:r>
      <w:r>
        <w:rPr>
          <w:spacing w:val="-6"/>
          <w:sz w:val="18"/>
        </w:rPr>
        <w:t xml:space="preserve"> </w:t>
      </w:r>
      <w:r>
        <w:rPr>
          <w:spacing w:val="-5"/>
          <w:sz w:val="18"/>
        </w:rPr>
        <w:t>II.</w:t>
      </w:r>
    </w:p>
    <w:p w14:paraId="51DE93A8" w14:textId="77777777" w:rsidR="0010369C" w:rsidRDefault="008E43AE">
      <w:pPr>
        <w:ind w:left="238"/>
        <w:rPr>
          <w:sz w:val="18"/>
        </w:rPr>
      </w:pPr>
      <w:r>
        <w:rPr>
          <w:sz w:val="18"/>
          <w:vertAlign w:val="superscript"/>
        </w:rPr>
        <w:t>865</w:t>
      </w:r>
      <w:r>
        <w:rPr>
          <w:spacing w:val="-14"/>
          <w:sz w:val="18"/>
        </w:rPr>
        <w:t xml:space="preserve"> </w:t>
      </w:r>
      <w:r>
        <w:rPr>
          <w:sz w:val="18"/>
        </w:rPr>
        <w:t>See</w:t>
      </w:r>
      <w:r>
        <w:rPr>
          <w:spacing w:val="-9"/>
          <w:sz w:val="18"/>
        </w:rPr>
        <w:t xml:space="preserve"> </w:t>
      </w:r>
      <w:r>
        <w:rPr>
          <w:sz w:val="18"/>
        </w:rPr>
        <w:t>above,</w:t>
      </w:r>
      <w:r>
        <w:rPr>
          <w:spacing w:val="-5"/>
          <w:sz w:val="18"/>
        </w:rPr>
        <w:t xml:space="preserve"> </w:t>
      </w:r>
      <w:r>
        <w:rPr>
          <w:sz w:val="18"/>
        </w:rPr>
        <w:t>section</w:t>
      </w:r>
      <w:r>
        <w:rPr>
          <w:spacing w:val="-6"/>
          <w:sz w:val="18"/>
        </w:rPr>
        <w:t xml:space="preserve"> </w:t>
      </w:r>
      <w:r>
        <w:rPr>
          <w:spacing w:val="-2"/>
          <w:sz w:val="18"/>
        </w:rPr>
        <w:t>V.A.1.</w:t>
      </w:r>
    </w:p>
    <w:p w14:paraId="51DE93A9" w14:textId="77777777" w:rsidR="0010369C" w:rsidRDefault="0010369C">
      <w:pPr>
        <w:rPr>
          <w:sz w:val="18"/>
        </w:rPr>
        <w:sectPr w:rsidR="0010369C">
          <w:pgSz w:w="11910" w:h="16840"/>
          <w:pgMar w:top="880" w:right="800" w:bottom="980" w:left="1180" w:header="569" w:footer="788" w:gutter="0"/>
          <w:cols w:space="720"/>
        </w:sectPr>
      </w:pPr>
    </w:p>
    <w:p w14:paraId="51DE93AA" w14:textId="77777777" w:rsidR="0010369C" w:rsidRDefault="008E43AE">
      <w:pPr>
        <w:tabs>
          <w:tab w:val="left" w:pos="6425"/>
        </w:tabs>
        <w:ind w:left="238"/>
        <w:rPr>
          <w:sz w:val="20"/>
        </w:rPr>
      </w:pPr>
      <w:r>
        <w:rPr>
          <w:i/>
          <w:sz w:val="20"/>
        </w:rPr>
        <w:lastRenderedPageBreak/>
        <w:t>China</w:t>
      </w:r>
      <w:r>
        <w:rPr>
          <w:i/>
          <w:spacing w:val="-5"/>
          <w:sz w:val="20"/>
        </w:rPr>
        <w:t xml:space="preserve"> </w:t>
      </w:r>
      <w:r>
        <w:rPr>
          <w:i/>
          <w:sz w:val="20"/>
        </w:rPr>
        <w:t>–</w:t>
      </w:r>
      <w:r>
        <w:rPr>
          <w:i/>
          <w:spacing w:val="-5"/>
          <w:sz w:val="20"/>
        </w:rPr>
        <w:t xml:space="preserve"> </w:t>
      </w:r>
      <w:r>
        <w:rPr>
          <w:i/>
          <w:sz w:val="20"/>
        </w:rPr>
        <w:t>Anti‐Dumping</w:t>
      </w:r>
      <w:r>
        <w:rPr>
          <w:i/>
          <w:spacing w:val="-4"/>
          <w:sz w:val="20"/>
        </w:rPr>
        <w:t xml:space="preserve"> </w:t>
      </w:r>
      <w:r>
        <w:rPr>
          <w:i/>
          <w:sz w:val="20"/>
        </w:rPr>
        <w:t>and</w:t>
      </w:r>
      <w:r>
        <w:rPr>
          <w:i/>
          <w:spacing w:val="-5"/>
          <w:sz w:val="20"/>
        </w:rPr>
        <w:t xml:space="preserve"> </w:t>
      </w:r>
      <w:r>
        <w:rPr>
          <w:i/>
          <w:sz w:val="20"/>
        </w:rPr>
        <w:t>Countervailing</w:t>
      </w:r>
      <w:r>
        <w:rPr>
          <w:i/>
          <w:spacing w:val="-5"/>
          <w:sz w:val="20"/>
        </w:rPr>
        <w:t xml:space="preserve"> </w:t>
      </w:r>
      <w:r>
        <w:rPr>
          <w:i/>
          <w:sz w:val="20"/>
        </w:rPr>
        <w:t>Duty</w:t>
      </w:r>
      <w:r>
        <w:rPr>
          <w:i/>
          <w:spacing w:val="-4"/>
          <w:sz w:val="20"/>
        </w:rPr>
        <w:t xml:space="preserve"> </w:t>
      </w:r>
      <w:r>
        <w:rPr>
          <w:i/>
          <w:spacing w:val="-2"/>
          <w:sz w:val="20"/>
        </w:rPr>
        <w:t>Measures</w:t>
      </w:r>
      <w:r>
        <w:rPr>
          <w:i/>
          <w:sz w:val="20"/>
        </w:rPr>
        <w:tab/>
      </w:r>
      <w:r>
        <w:rPr>
          <w:sz w:val="20"/>
        </w:rPr>
        <w:t>Australia's</w:t>
      </w:r>
      <w:r>
        <w:rPr>
          <w:spacing w:val="-7"/>
          <w:sz w:val="20"/>
        </w:rPr>
        <w:t xml:space="preserve"> </w:t>
      </w:r>
      <w:r>
        <w:rPr>
          <w:sz w:val="20"/>
        </w:rPr>
        <w:t>First</w:t>
      </w:r>
      <w:r>
        <w:rPr>
          <w:spacing w:val="-2"/>
          <w:sz w:val="20"/>
        </w:rPr>
        <w:t xml:space="preserve"> </w:t>
      </w:r>
      <w:r>
        <w:rPr>
          <w:sz w:val="20"/>
        </w:rPr>
        <w:t>Written</w:t>
      </w:r>
      <w:r>
        <w:rPr>
          <w:spacing w:val="-2"/>
          <w:sz w:val="20"/>
        </w:rPr>
        <w:t xml:space="preserve"> Submission</w:t>
      </w:r>
    </w:p>
    <w:p w14:paraId="51DE93AB" w14:textId="77777777" w:rsidR="0010369C" w:rsidRDefault="008E43AE">
      <w:pPr>
        <w:tabs>
          <w:tab w:val="left" w:pos="8227"/>
        </w:tabs>
        <w:spacing w:before="1"/>
        <w:ind w:left="239"/>
        <w:rPr>
          <w:sz w:val="20"/>
        </w:rPr>
      </w:pPr>
      <w:r>
        <w:rPr>
          <w:i/>
          <w:sz w:val="20"/>
        </w:rPr>
        <w:t>on</w:t>
      </w:r>
      <w:r>
        <w:rPr>
          <w:i/>
          <w:spacing w:val="-1"/>
          <w:sz w:val="20"/>
        </w:rPr>
        <w:t xml:space="preserve"> </w:t>
      </w:r>
      <w:r>
        <w:rPr>
          <w:i/>
          <w:sz w:val="20"/>
        </w:rPr>
        <w:t>Wine</w:t>
      </w:r>
      <w:r>
        <w:rPr>
          <w:i/>
          <w:spacing w:val="-1"/>
          <w:sz w:val="20"/>
        </w:rPr>
        <w:t xml:space="preserve"> </w:t>
      </w:r>
      <w:r>
        <w:rPr>
          <w:i/>
          <w:sz w:val="20"/>
        </w:rPr>
        <w:t>from</w:t>
      </w:r>
      <w:r>
        <w:rPr>
          <w:i/>
          <w:spacing w:val="-3"/>
          <w:sz w:val="20"/>
        </w:rPr>
        <w:t xml:space="preserve"> </w:t>
      </w:r>
      <w:r>
        <w:rPr>
          <w:i/>
          <w:sz w:val="20"/>
        </w:rPr>
        <w:t>Australia</w:t>
      </w:r>
      <w:r>
        <w:rPr>
          <w:i/>
          <w:spacing w:val="-1"/>
          <w:sz w:val="20"/>
        </w:rPr>
        <w:t xml:space="preserve"> </w:t>
      </w:r>
      <w:r>
        <w:rPr>
          <w:spacing w:val="-2"/>
          <w:sz w:val="20"/>
        </w:rPr>
        <w:t>(DS602)</w:t>
      </w:r>
      <w:r>
        <w:rPr>
          <w:sz w:val="20"/>
        </w:rPr>
        <w:tab/>
        <w:t>29</w:t>
      </w:r>
      <w:r>
        <w:rPr>
          <w:spacing w:val="-1"/>
          <w:sz w:val="20"/>
        </w:rPr>
        <w:t xml:space="preserve"> </w:t>
      </w:r>
      <w:r>
        <w:rPr>
          <w:sz w:val="20"/>
        </w:rPr>
        <w:t>April</w:t>
      </w:r>
      <w:r>
        <w:rPr>
          <w:spacing w:val="-2"/>
          <w:sz w:val="20"/>
        </w:rPr>
        <w:t xml:space="preserve"> </w:t>
      </w:r>
      <w:r>
        <w:rPr>
          <w:spacing w:val="-4"/>
          <w:sz w:val="20"/>
        </w:rPr>
        <w:t>2022</w:t>
      </w:r>
    </w:p>
    <w:p w14:paraId="51DE93AC" w14:textId="77777777" w:rsidR="0010369C" w:rsidRDefault="008E43AE">
      <w:pPr>
        <w:pStyle w:val="Heading4"/>
        <w:numPr>
          <w:ilvl w:val="2"/>
          <w:numId w:val="75"/>
        </w:numPr>
        <w:tabs>
          <w:tab w:val="left" w:pos="2649"/>
          <w:tab w:val="left" w:pos="2650"/>
        </w:tabs>
        <w:spacing w:before="35"/>
        <w:ind w:left="2649" w:hanging="852"/>
      </w:pPr>
      <w:r>
        <w:t>Breach</w:t>
      </w:r>
      <w:r>
        <w:rPr>
          <w:spacing w:val="-10"/>
        </w:rPr>
        <w:t xml:space="preserve"> </w:t>
      </w:r>
      <w:r>
        <w:t>of</w:t>
      </w:r>
      <w:r>
        <w:rPr>
          <w:spacing w:val="-8"/>
        </w:rPr>
        <w:t xml:space="preserve"> </w:t>
      </w:r>
      <w:r>
        <w:t>Article</w:t>
      </w:r>
      <w:r>
        <w:rPr>
          <w:spacing w:val="-7"/>
        </w:rPr>
        <w:t xml:space="preserve"> </w:t>
      </w:r>
      <w:r>
        <w:rPr>
          <w:spacing w:val="-5"/>
        </w:rPr>
        <w:t>9.2</w:t>
      </w:r>
    </w:p>
    <w:p w14:paraId="51DE93AD" w14:textId="77777777" w:rsidR="0010369C" w:rsidRDefault="0010369C">
      <w:pPr>
        <w:pStyle w:val="BodyText"/>
        <w:spacing w:before="9"/>
        <w:rPr>
          <w:b/>
          <w:sz w:val="20"/>
        </w:rPr>
      </w:pPr>
    </w:p>
    <w:p w14:paraId="51DE93AE" w14:textId="77777777" w:rsidR="0010369C" w:rsidRDefault="008E43AE">
      <w:pPr>
        <w:pStyle w:val="BodyText"/>
        <w:spacing w:before="52" w:line="360" w:lineRule="auto"/>
        <w:ind w:left="236" w:right="613" w:firstLine="852"/>
        <w:jc w:val="both"/>
      </w:pPr>
      <w:r>
        <w:rPr>
          <w:noProof/>
        </w:rPr>
        <w:drawing>
          <wp:anchor distT="0" distB="0" distL="0" distR="0" simplePos="0" relativeHeight="251328000" behindDoc="1" locked="0" layoutInCell="1" allowOverlap="1" wp14:anchorId="51DEA5F8" wp14:editId="51DEA5F9">
            <wp:simplePos x="0" y="0"/>
            <wp:positionH relativeFrom="page">
              <wp:posOffset>902208</wp:posOffset>
            </wp:positionH>
            <wp:positionV relativeFrom="paragraph">
              <wp:posOffset>81187</wp:posOffset>
            </wp:positionV>
            <wp:extent cx="262127" cy="100753"/>
            <wp:effectExtent l="0" t="0" r="0" b="0"/>
            <wp:wrapNone/>
            <wp:docPr id="1417" name="image7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 name="image735.png"/>
                    <pic:cNvPicPr/>
                  </pic:nvPicPr>
                  <pic:blipFill>
                    <a:blip r:embed="rId961" cstate="print"/>
                    <a:stretch>
                      <a:fillRect/>
                    </a:stretch>
                  </pic:blipFill>
                  <pic:spPr>
                    <a:xfrm>
                      <a:off x="0" y="0"/>
                      <a:ext cx="262127" cy="100753"/>
                    </a:xfrm>
                    <a:prstGeom prst="rect">
                      <a:avLst/>
                    </a:prstGeom>
                  </pic:spPr>
                </pic:pic>
              </a:graphicData>
            </a:graphic>
          </wp:anchor>
        </w:drawing>
      </w:r>
      <w:r>
        <w:t>Similarly, MOFCOM caused China to breach Article 9.2 of the Anti‐Dumping Agreement because it failed to impose duties in "appropriate amounts" — that is, amounts meeting</w:t>
      </w:r>
      <w:r>
        <w:rPr>
          <w:spacing w:val="-1"/>
        </w:rPr>
        <w:t xml:space="preserve"> </w:t>
      </w:r>
      <w:r>
        <w:t>the</w:t>
      </w:r>
      <w:r>
        <w:rPr>
          <w:spacing w:val="-1"/>
        </w:rPr>
        <w:t xml:space="preserve"> </w:t>
      </w:r>
      <w:r>
        <w:t>requirement</w:t>
      </w:r>
      <w:r>
        <w:rPr>
          <w:spacing w:val="-1"/>
        </w:rPr>
        <w:t xml:space="preserve"> </w:t>
      </w:r>
      <w:r>
        <w:t>in Article 9.3</w:t>
      </w:r>
      <w:r>
        <w:rPr>
          <w:spacing w:val="-1"/>
        </w:rPr>
        <w:t xml:space="preserve"> </w:t>
      </w:r>
      <w:r>
        <w:t>that "[t]he amount of</w:t>
      </w:r>
      <w:r>
        <w:rPr>
          <w:spacing w:val="-2"/>
        </w:rPr>
        <w:t xml:space="preserve"> </w:t>
      </w:r>
      <w:r>
        <w:t>the anti‐dumping duty shall not e</w:t>
      </w:r>
      <w:r>
        <w:t xml:space="preserve">xceed the margin of dumping </w:t>
      </w:r>
      <w:r>
        <w:rPr>
          <w:i/>
        </w:rPr>
        <w:t>as [correctly] established under Article 2</w:t>
      </w:r>
      <w:r>
        <w:t>".</w:t>
      </w:r>
      <w:r>
        <w:rPr>
          <w:vertAlign w:val="superscript"/>
        </w:rPr>
        <w:t>866</w:t>
      </w:r>
      <w:r>
        <w:t xml:space="preserve"> MOFCOM also breached the second sentence of Article 9.2 by failing to name the six registered</w:t>
      </w:r>
      <w:r>
        <w:rPr>
          <w:spacing w:val="-1"/>
        </w:rPr>
        <w:t xml:space="preserve"> </w:t>
      </w:r>
      <w:r>
        <w:t>"traders" of Australian</w:t>
      </w:r>
      <w:r>
        <w:rPr>
          <w:spacing w:val="-12"/>
        </w:rPr>
        <w:t xml:space="preserve"> </w:t>
      </w:r>
      <w:r>
        <w:t>wine</w:t>
      </w:r>
      <w:r>
        <w:rPr>
          <w:spacing w:val="-11"/>
        </w:rPr>
        <w:t xml:space="preserve"> </w:t>
      </w:r>
      <w:r>
        <w:t>in</w:t>
      </w:r>
      <w:r>
        <w:rPr>
          <w:spacing w:val="-11"/>
        </w:rPr>
        <w:t xml:space="preserve"> </w:t>
      </w:r>
      <w:r>
        <w:t>Annex</w:t>
      </w:r>
      <w:r>
        <w:rPr>
          <w:spacing w:val="-4"/>
        </w:rPr>
        <w:t xml:space="preserve"> </w:t>
      </w:r>
      <w:r>
        <w:t>I</w:t>
      </w:r>
      <w:r>
        <w:rPr>
          <w:spacing w:val="-12"/>
        </w:rPr>
        <w:t xml:space="preserve"> </w:t>
      </w:r>
      <w:r>
        <w:t>of</w:t>
      </w:r>
      <w:r>
        <w:rPr>
          <w:spacing w:val="-11"/>
        </w:rPr>
        <w:t xml:space="preserve"> </w:t>
      </w:r>
      <w:r>
        <w:t>the</w:t>
      </w:r>
      <w:r>
        <w:rPr>
          <w:spacing w:val="-10"/>
        </w:rPr>
        <w:t xml:space="preserve"> </w:t>
      </w:r>
      <w:r>
        <w:t>Final</w:t>
      </w:r>
      <w:r>
        <w:rPr>
          <w:spacing w:val="-11"/>
        </w:rPr>
        <w:t xml:space="preserve"> </w:t>
      </w:r>
      <w:r>
        <w:t>Determination,</w:t>
      </w:r>
      <w:r>
        <w:rPr>
          <w:spacing w:val="-10"/>
        </w:rPr>
        <w:t xml:space="preserve"> </w:t>
      </w:r>
      <w:r>
        <w:t>considering</w:t>
      </w:r>
      <w:r>
        <w:rPr>
          <w:spacing w:val="-12"/>
        </w:rPr>
        <w:t xml:space="preserve"> </w:t>
      </w:r>
      <w:r>
        <w:t>that</w:t>
      </w:r>
      <w:r>
        <w:rPr>
          <w:spacing w:val="-11"/>
        </w:rPr>
        <w:t xml:space="preserve"> </w:t>
      </w:r>
      <w:r>
        <w:t>t</w:t>
      </w:r>
      <w:r>
        <w:t>he</w:t>
      </w:r>
      <w:r>
        <w:rPr>
          <w:spacing w:val="-10"/>
        </w:rPr>
        <w:t xml:space="preserve"> </w:t>
      </w:r>
      <w:r>
        <w:t>traders</w:t>
      </w:r>
      <w:r>
        <w:rPr>
          <w:spacing w:val="-11"/>
        </w:rPr>
        <w:t xml:space="preserve"> </w:t>
      </w:r>
      <w:r>
        <w:t>constituted "suppliers" within the meaning of Article 9.2 and it was not "impracticable" for MOFCOM to name them.</w:t>
      </w:r>
    </w:p>
    <w:p w14:paraId="51DE93AF" w14:textId="77777777" w:rsidR="0010369C" w:rsidRDefault="0010369C">
      <w:pPr>
        <w:pStyle w:val="BodyText"/>
        <w:spacing w:before="11"/>
        <w:rPr>
          <w:sz w:val="8"/>
        </w:rPr>
      </w:pPr>
    </w:p>
    <w:p w14:paraId="51DE93B0" w14:textId="77777777" w:rsidR="0010369C" w:rsidRDefault="008E43AE">
      <w:pPr>
        <w:pStyle w:val="BodyText"/>
        <w:spacing w:before="51" w:line="360" w:lineRule="auto"/>
        <w:ind w:left="237" w:right="613" w:firstLine="851"/>
        <w:jc w:val="both"/>
      </w:pPr>
      <w:r>
        <w:rPr>
          <w:noProof/>
        </w:rPr>
        <w:drawing>
          <wp:anchor distT="0" distB="0" distL="0" distR="0" simplePos="0" relativeHeight="251329024" behindDoc="1" locked="0" layoutInCell="1" allowOverlap="1" wp14:anchorId="51DEA5FA" wp14:editId="51DEA5FB">
            <wp:simplePos x="0" y="0"/>
            <wp:positionH relativeFrom="page">
              <wp:posOffset>902208</wp:posOffset>
            </wp:positionH>
            <wp:positionV relativeFrom="paragraph">
              <wp:posOffset>81315</wp:posOffset>
            </wp:positionV>
            <wp:extent cx="262127" cy="100753"/>
            <wp:effectExtent l="0" t="0" r="0" b="0"/>
            <wp:wrapNone/>
            <wp:docPr id="1419" name="image7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 name="image736.png"/>
                    <pic:cNvPicPr/>
                  </pic:nvPicPr>
                  <pic:blipFill>
                    <a:blip r:embed="rId962" cstate="print"/>
                    <a:stretch>
                      <a:fillRect/>
                    </a:stretch>
                  </pic:blipFill>
                  <pic:spPr>
                    <a:xfrm>
                      <a:off x="0" y="0"/>
                      <a:ext cx="262127" cy="100753"/>
                    </a:xfrm>
                    <a:prstGeom prst="rect">
                      <a:avLst/>
                    </a:prstGeom>
                  </pic:spPr>
                </pic:pic>
              </a:graphicData>
            </a:graphic>
          </wp:anchor>
        </w:drawing>
      </w:r>
      <w:r>
        <w:t>First,</w:t>
      </w:r>
      <w:r>
        <w:rPr>
          <w:spacing w:val="-9"/>
        </w:rPr>
        <w:t xml:space="preserve"> </w:t>
      </w:r>
      <w:r>
        <w:t>MOFCOM</w:t>
      </w:r>
      <w:r>
        <w:rPr>
          <w:spacing w:val="-10"/>
        </w:rPr>
        <w:t xml:space="preserve"> </w:t>
      </w:r>
      <w:r>
        <w:t>breached</w:t>
      </w:r>
      <w:r>
        <w:rPr>
          <w:spacing w:val="-8"/>
        </w:rPr>
        <w:t xml:space="preserve"> </w:t>
      </w:r>
      <w:r>
        <w:t>Article</w:t>
      </w:r>
      <w:r>
        <w:rPr>
          <w:spacing w:val="-10"/>
        </w:rPr>
        <w:t xml:space="preserve"> </w:t>
      </w:r>
      <w:r>
        <w:t>9.2</w:t>
      </w:r>
      <w:r>
        <w:rPr>
          <w:spacing w:val="-11"/>
        </w:rPr>
        <w:t xml:space="preserve"> </w:t>
      </w:r>
      <w:r>
        <w:t>because</w:t>
      </w:r>
      <w:r>
        <w:rPr>
          <w:spacing w:val="-9"/>
        </w:rPr>
        <w:t xml:space="preserve"> </w:t>
      </w:r>
      <w:r>
        <w:t>it</w:t>
      </w:r>
      <w:r>
        <w:rPr>
          <w:spacing w:val="-11"/>
        </w:rPr>
        <w:t xml:space="preserve"> </w:t>
      </w:r>
      <w:r>
        <w:t>failed</w:t>
      </w:r>
      <w:r>
        <w:rPr>
          <w:spacing w:val="-10"/>
        </w:rPr>
        <w:t xml:space="preserve"> </w:t>
      </w:r>
      <w:r>
        <w:t>to</w:t>
      </w:r>
      <w:r>
        <w:rPr>
          <w:spacing w:val="-9"/>
        </w:rPr>
        <w:t xml:space="preserve"> </w:t>
      </w:r>
      <w:r>
        <w:t>impose</w:t>
      </w:r>
      <w:r>
        <w:rPr>
          <w:spacing w:val="-8"/>
        </w:rPr>
        <w:t xml:space="preserve"> </w:t>
      </w:r>
      <w:r>
        <w:t>duties</w:t>
      </w:r>
      <w:r>
        <w:rPr>
          <w:spacing w:val="-10"/>
        </w:rPr>
        <w:t xml:space="preserve"> </w:t>
      </w:r>
      <w:r>
        <w:t>in</w:t>
      </w:r>
      <w:r>
        <w:rPr>
          <w:spacing w:val="-11"/>
        </w:rPr>
        <w:t xml:space="preserve"> </w:t>
      </w:r>
      <w:r>
        <w:t>appropriate amounts. Article 9.2</w:t>
      </w:r>
      <w:r>
        <w:rPr>
          <w:spacing w:val="-1"/>
        </w:rPr>
        <w:t xml:space="preserve"> </w:t>
      </w:r>
      <w:r>
        <w:t>of the Anti‐Dumping Agreement</w:t>
      </w:r>
      <w:r>
        <w:rPr>
          <w:spacing w:val="-1"/>
        </w:rPr>
        <w:t xml:space="preserve"> </w:t>
      </w:r>
      <w:r>
        <w:t>provides, in relevant part, that "[w]hen an anti‐dumping duty is imposed in respect of any product, such anti‐dumping duty shall be collected in the appropriate amounts in each case, on a non‐d</w:t>
      </w:r>
      <w:r>
        <w:t>iscriminatory basis on imports of such product from all sources found to be dumped and causing injury".</w:t>
      </w:r>
      <w:r>
        <w:rPr>
          <w:vertAlign w:val="superscript"/>
        </w:rPr>
        <w:t>867</w:t>
      </w:r>
    </w:p>
    <w:p w14:paraId="51DE93B1" w14:textId="77777777" w:rsidR="0010369C" w:rsidRDefault="0010369C">
      <w:pPr>
        <w:pStyle w:val="BodyText"/>
        <w:spacing w:before="12"/>
        <w:rPr>
          <w:sz w:val="8"/>
        </w:rPr>
      </w:pPr>
    </w:p>
    <w:p w14:paraId="51DE93B2" w14:textId="77777777" w:rsidR="0010369C" w:rsidRDefault="008E43AE">
      <w:pPr>
        <w:pStyle w:val="BodyText"/>
        <w:spacing w:before="51" w:line="360" w:lineRule="auto"/>
        <w:ind w:left="237" w:right="611" w:firstLine="851"/>
        <w:jc w:val="both"/>
      </w:pPr>
      <w:r>
        <w:rPr>
          <w:noProof/>
        </w:rPr>
        <w:drawing>
          <wp:anchor distT="0" distB="0" distL="0" distR="0" simplePos="0" relativeHeight="251330048" behindDoc="1" locked="0" layoutInCell="1" allowOverlap="1" wp14:anchorId="51DEA5FC" wp14:editId="51DEA5FD">
            <wp:simplePos x="0" y="0"/>
            <wp:positionH relativeFrom="page">
              <wp:posOffset>902208</wp:posOffset>
            </wp:positionH>
            <wp:positionV relativeFrom="paragraph">
              <wp:posOffset>80552</wp:posOffset>
            </wp:positionV>
            <wp:extent cx="262127" cy="100753"/>
            <wp:effectExtent l="0" t="0" r="0" b="0"/>
            <wp:wrapNone/>
            <wp:docPr id="1421" name="image7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 name="image737.png"/>
                    <pic:cNvPicPr/>
                  </pic:nvPicPr>
                  <pic:blipFill>
                    <a:blip r:embed="rId963" cstate="print"/>
                    <a:stretch>
                      <a:fillRect/>
                    </a:stretch>
                  </pic:blipFill>
                  <pic:spPr>
                    <a:xfrm>
                      <a:off x="0" y="0"/>
                      <a:ext cx="262127" cy="100753"/>
                    </a:xfrm>
                    <a:prstGeom prst="rect">
                      <a:avLst/>
                    </a:prstGeom>
                  </pic:spPr>
                </pic:pic>
              </a:graphicData>
            </a:graphic>
          </wp:anchor>
        </w:drawing>
      </w:r>
      <w:r>
        <w:t>An</w:t>
      </w:r>
      <w:r>
        <w:rPr>
          <w:spacing w:val="-11"/>
        </w:rPr>
        <w:t xml:space="preserve"> </w:t>
      </w:r>
      <w:r>
        <w:t>"appropriate"</w:t>
      </w:r>
      <w:r>
        <w:rPr>
          <w:spacing w:val="-12"/>
        </w:rPr>
        <w:t xml:space="preserve"> </w:t>
      </w:r>
      <w:r>
        <w:t>amount</w:t>
      </w:r>
      <w:r>
        <w:rPr>
          <w:spacing w:val="-11"/>
        </w:rPr>
        <w:t xml:space="preserve"> </w:t>
      </w:r>
      <w:r>
        <w:t>of</w:t>
      </w:r>
      <w:r>
        <w:rPr>
          <w:spacing w:val="-11"/>
        </w:rPr>
        <w:t xml:space="preserve"> </w:t>
      </w:r>
      <w:r>
        <w:t>anti‐dumping</w:t>
      </w:r>
      <w:r>
        <w:rPr>
          <w:spacing w:val="-11"/>
        </w:rPr>
        <w:t xml:space="preserve"> </w:t>
      </w:r>
      <w:r>
        <w:t>duty</w:t>
      </w:r>
      <w:r>
        <w:rPr>
          <w:spacing w:val="-10"/>
        </w:rPr>
        <w:t xml:space="preserve"> </w:t>
      </w:r>
      <w:r>
        <w:t>is</w:t>
      </w:r>
      <w:r>
        <w:rPr>
          <w:spacing w:val="-11"/>
        </w:rPr>
        <w:t xml:space="preserve"> </w:t>
      </w:r>
      <w:r>
        <w:t>the</w:t>
      </w:r>
      <w:r>
        <w:rPr>
          <w:spacing w:val="-10"/>
        </w:rPr>
        <w:t xml:space="preserve"> </w:t>
      </w:r>
      <w:r>
        <w:t>amount</w:t>
      </w:r>
      <w:r>
        <w:rPr>
          <w:spacing w:val="-11"/>
        </w:rPr>
        <w:t xml:space="preserve"> </w:t>
      </w:r>
      <w:r>
        <w:t>of</w:t>
      </w:r>
      <w:r>
        <w:rPr>
          <w:spacing w:val="-11"/>
        </w:rPr>
        <w:t xml:space="preserve"> </w:t>
      </w:r>
      <w:r>
        <w:t>duty</w:t>
      </w:r>
      <w:r>
        <w:rPr>
          <w:spacing w:val="-10"/>
        </w:rPr>
        <w:t xml:space="preserve"> </w:t>
      </w:r>
      <w:r>
        <w:t>that</w:t>
      </w:r>
      <w:r>
        <w:rPr>
          <w:spacing w:val="-11"/>
        </w:rPr>
        <w:t xml:space="preserve"> </w:t>
      </w:r>
      <w:r>
        <w:t>is</w:t>
      </w:r>
      <w:r>
        <w:rPr>
          <w:spacing w:val="-11"/>
        </w:rPr>
        <w:t xml:space="preserve"> </w:t>
      </w:r>
      <w:r>
        <w:t>"proper" or "fitting" in the context of an anti‐dumping investigation,</w:t>
      </w:r>
      <w:r>
        <w:rPr>
          <w:vertAlign w:val="superscript"/>
        </w:rPr>
        <w:t>86</w:t>
      </w:r>
      <w:r>
        <w:rPr>
          <w:vertAlign w:val="superscript"/>
        </w:rPr>
        <w:t>8</w:t>
      </w:r>
      <w:r>
        <w:t xml:space="preserve"> and "must be an amount that results</w:t>
      </w:r>
      <w:r>
        <w:rPr>
          <w:spacing w:val="-13"/>
        </w:rPr>
        <w:t xml:space="preserve"> </w:t>
      </w:r>
      <w:r>
        <w:t>in</w:t>
      </w:r>
      <w:r>
        <w:rPr>
          <w:spacing w:val="-12"/>
        </w:rPr>
        <w:t xml:space="preserve"> </w:t>
      </w:r>
      <w:r>
        <w:t>offsetting</w:t>
      </w:r>
      <w:r>
        <w:rPr>
          <w:spacing w:val="-11"/>
        </w:rPr>
        <w:t xml:space="preserve"> </w:t>
      </w:r>
      <w:r>
        <w:t>or</w:t>
      </w:r>
      <w:r>
        <w:rPr>
          <w:spacing w:val="-12"/>
        </w:rPr>
        <w:t xml:space="preserve"> </w:t>
      </w:r>
      <w:r>
        <w:t>preventing</w:t>
      </w:r>
      <w:r>
        <w:rPr>
          <w:spacing w:val="-11"/>
        </w:rPr>
        <w:t xml:space="preserve"> </w:t>
      </w:r>
      <w:r>
        <w:t>dumping".</w:t>
      </w:r>
      <w:r>
        <w:rPr>
          <w:vertAlign w:val="superscript"/>
        </w:rPr>
        <w:t>869</w:t>
      </w:r>
      <w:r>
        <w:rPr>
          <w:spacing w:val="-13"/>
        </w:rPr>
        <w:t xml:space="preserve"> </w:t>
      </w:r>
      <w:r>
        <w:t>The</w:t>
      </w:r>
      <w:r>
        <w:rPr>
          <w:spacing w:val="-12"/>
        </w:rPr>
        <w:t xml:space="preserve"> </w:t>
      </w:r>
      <w:r>
        <w:t>panel</w:t>
      </w:r>
      <w:r>
        <w:rPr>
          <w:spacing w:val="-12"/>
        </w:rPr>
        <w:t xml:space="preserve"> </w:t>
      </w:r>
      <w:r>
        <w:t>in</w:t>
      </w:r>
      <w:r>
        <w:rPr>
          <w:spacing w:val="-12"/>
        </w:rPr>
        <w:t xml:space="preserve"> </w:t>
      </w:r>
      <w:r>
        <w:rPr>
          <w:i/>
        </w:rPr>
        <w:t>Argentina</w:t>
      </w:r>
      <w:r>
        <w:rPr>
          <w:i/>
          <w:spacing w:val="-12"/>
        </w:rPr>
        <w:t xml:space="preserve"> </w:t>
      </w:r>
      <w:r>
        <w:rPr>
          <w:i/>
        </w:rPr>
        <w:t>–</w:t>
      </w:r>
      <w:r>
        <w:rPr>
          <w:i/>
          <w:spacing w:val="-12"/>
        </w:rPr>
        <w:t xml:space="preserve"> </w:t>
      </w:r>
      <w:r>
        <w:rPr>
          <w:i/>
        </w:rPr>
        <w:t>Poultry</w:t>
      </w:r>
      <w:r>
        <w:rPr>
          <w:i/>
          <w:spacing w:val="-14"/>
        </w:rPr>
        <w:t xml:space="preserve"> </w:t>
      </w:r>
      <w:r>
        <w:rPr>
          <w:i/>
        </w:rPr>
        <w:t xml:space="preserve">Anti‐Dumping Duties </w:t>
      </w:r>
      <w:r>
        <w:t>found that "an anti‐dumping duty meeting the requirements of Article 9.3 (i.e. not exceeding the margin of dumping) would be</w:t>
      </w:r>
      <w:r>
        <w:t xml:space="preserve"> 'appropriate' within the meaning of Article </w:t>
      </w:r>
      <w:r>
        <w:rPr>
          <w:spacing w:val="-2"/>
        </w:rPr>
        <w:t>9.2".</w:t>
      </w:r>
      <w:r>
        <w:rPr>
          <w:spacing w:val="-2"/>
          <w:vertAlign w:val="superscript"/>
        </w:rPr>
        <w:t>870</w:t>
      </w:r>
    </w:p>
    <w:p w14:paraId="51DE93B3" w14:textId="77777777" w:rsidR="0010369C" w:rsidRDefault="0010369C">
      <w:pPr>
        <w:pStyle w:val="BodyText"/>
        <w:spacing w:before="10"/>
        <w:rPr>
          <w:sz w:val="8"/>
        </w:rPr>
      </w:pPr>
    </w:p>
    <w:p w14:paraId="51DE93B4" w14:textId="77777777" w:rsidR="0010369C" w:rsidRDefault="008E43AE">
      <w:pPr>
        <w:pStyle w:val="BodyText"/>
        <w:spacing w:before="52" w:line="360" w:lineRule="auto"/>
        <w:ind w:left="237" w:right="614" w:firstLine="851"/>
        <w:jc w:val="both"/>
      </w:pPr>
      <w:r>
        <w:rPr>
          <w:noProof/>
        </w:rPr>
        <w:drawing>
          <wp:anchor distT="0" distB="0" distL="0" distR="0" simplePos="0" relativeHeight="251331072" behindDoc="1" locked="0" layoutInCell="1" allowOverlap="1" wp14:anchorId="51DEA5FE" wp14:editId="51DEA5FF">
            <wp:simplePos x="0" y="0"/>
            <wp:positionH relativeFrom="page">
              <wp:posOffset>902208</wp:posOffset>
            </wp:positionH>
            <wp:positionV relativeFrom="paragraph">
              <wp:posOffset>76785</wp:posOffset>
            </wp:positionV>
            <wp:extent cx="262127" cy="106679"/>
            <wp:effectExtent l="0" t="0" r="0" b="0"/>
            <wp:wrapNone/>
            <wp:docPr id="1423" name="image7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 name="image738.png"/>
                    <pic:cNvPicPr/>
                  </pic:nvPicPr>
                  <pic:blipFill>
                    <a:blip r:embed="rId964" cstate="print"/>
                    <a:stretch>
                      <a:fillRect/>
                    </a:stretch>
                  </pic:blipFill>
                  <pic:spPr>
                    <a:xfrm>
                      <a:off x="0" y="0"/>
                      <a:ext cx="262127" cy="106679"/>
                    </a:xfrm>
                    <a:prstGeom prst="rect">
                      <a:avLst/>
                    </a:prstGeom>
                  </pic:spPr>
                </pic:pic>
              </a:graphicData>
            </a:graphic>
          </wp:anchor>
        </w:drawing>
      </w:r>
      <w:r>
        <w:t>Conversely, if the anti‐dumping duty imposed exceeds the margin of dumping that should</w:t>
      </w:r>
      <w:r>
        <w:rPr>
          <w:spacing w:val="-11"/>
        </w:rPr>
        <w:t xml:space="preserve"> </w:t>
      </w:r>
      <w:r>
        <w:t>have</w:t>
      </w:r>
      <w:r>
        <w:rPr>
          <w:spacing w:val="-11"/>
        </w:rPr>
        <w:t xml:space="preserve"> </w:t>
      </w:r>
      <w:r>
        <w:t>been</w:t>
      </w:r>
      <w:r>
        <w:rPr>
          <w:spacing w:val="-12"/>
        </w:rPr>
        <w:t xml:space="preserve"> </w:t>
      </w:r>
      <w:r>
        <w:t>established</w:t>
      </w:r>
      <w:r>
        <w:rPr>
          <w:spacing w:val="-12"/>
        </w:rPr>
        <w:t xml:space="preserve"> </w:t>
      </w:r>
      <w:r>
        <w:t>under</w:t>
      </w:r>
      <w:r>
        <w:rPr>
          <w:spacing w:val="-12"/>
        </w:rPr>
        <w:t xml:space="preserve"> </w:t>
      </w:r>
      <w:r>
        <w:t>Article</w:t>
      </w:r>
      <w:r>
        <w:rPr>
          <w:spacing w:val="-11"/>
        </w:rPr>
        <w:t xml:space="preserve"> </w:t>
      </w:r>
      <w:r>
        <w:t>2,</w:t>
      </w:r>
      <w:r>
        <w:rPr>
          <w:spacing w:val="-11"/>
        </w:rPr>
        <w:t xml:space="preserve"> </w:t>
      </w:r>
      <w:r>
        <w:t>it</w:t>
      </w:r>
      <w:r>
        <w:rPr>
          <w:spacing w:val="-11"/>
        </w:rPr>
        <w:t xml:space="preserve"> </w:t>
      </w:r>
      <w:r>
        <w:t>is</w:t>
      </w:r>
      <w:r>
        <w:rPr>
          <w:spacing w:val="-11"/>
        </w:rPr>
        <w:t xml:space="preserve"> </w:t>
      </w:r>
      <w:r>
        <w:t>not</w:t>
      </w:r>
      <w:r>
        <w:rPr>
          <w:spacing w:val="-11"/>
        </w:rPr>
        <w:t xml:space="preserve"> </w:t>
      </w:r>
      <w:r>
        <w:t>"specially</w:t>
      </w:r>
      <w:r>
        <w:rPr>
          <w:spacing w:val="-11"/>
        </w:rPr>
        <w:t xml:space="preserve"> </w:t>
      </w:r>
      <w:r>
        <w:t>suitable",</w:t>
      </w:r>
      <w:r>
        <w:rPr>
          <w:spacing w:val="-12"/>
        </w:rPr>
        <w:t xml:space="preserve"> </w:t>
      </w:r>
      <w:r>
        <w:t>"fitting"</w:t>
      </w:r>
      <w:r>
        <w:rPr>
          <w:spacing w:val="-12"/>
        </w:rPr>
        <w:t xml:space="preserve"> </w:t>
      </w:r>
      <w:r>
        <w:t>or</w:t>
      </w:r>
      <w:r>
        <w:rPr>
          <w:spacing w:val="-11"/>
        </w:rPr>
        <w:t xml:space="preserve"> </w:t>
      </w:r>
      <w:r>
        <w:t>"proper" for the objective of off‐setting dumping,</w:t>
      </w:r>
      <w:r>
        <w:rPr>
          <w:vertAlign w:val="superscript"/>
        </w:rPr>
        <w:t>871</w:t>
      </w:r>
      <w:r>
        <w:t xml:space="preserve"> as it would be in excess of the level of dumping that</w:t>
      </w:r>
      <w:r>
        <w:rPr>
          <w:spacing w:val="24"/>
        </w:rPr>
        <w:t xml:space="preserve"> </w:t>
      </w:r>
      <w:r>
        <w:t>is</w:t>
      </w:r>
      <w:r>
        <w:rPr>
          <w:spacing w:val="23"/>
        </w:rPr>
        <w:t xml:space="preserve"> </w:t>
      </w:r>
      <w:r>
        <w:t>actually</w:t>
      </w:r>
      <w:r>
        <w:rPr>
          <w:spacing w:val="24"/>
        </w:rPr>
        <w:t xml:space="preserve"> </w:t>
      </w:r>
      <w:r>
        <w:t>occurring,</w:t>
      </w:r>
      <w:r>
        <w:rPr>
          <w:spacing w:val="24"/>
        </w:rPr>
        <w:t xml:space="preserve"> </w:t>
      </w:r>
      <w:r>
        <w:t>if</w:t>
      </w:r>
      <w:r>
        <w:rPr>
          <w:spacing w:val="24"/>
        </w:rPr>
        <w:t xml:space="preserve"> </w:t>
      </w:r>
      <w:r>
        <w:t>any.</w:t>
      </w:r>
      <w:r>
        <w:rPr>
          <w:vertAlign w:val="superscript"/>
        </w:rPr>
        <w:t>872</w:t>
      </w:r>
      <w:r>
        <w:rPr>
          <w:spacing w:val="23"/>
        </w:rPr>
        <w:t xml:space="preserve"> </w:t>
      </w:r>
      <w:r>
        <w:t>Therefore,</w:t>
      </w:r>
      <w:r>
        <w:rPr>
          <w:spacing w:val="24"/>
        </w:rPr>
        <w:t xml:space="preserve"> </w:t>
      </w:r>
      <w:r>
        <w:t>where</w:t>
      </w:r>
      <w:r>
        <w:rPr>
          <w:spacing w:val="23"/>
        </w:rPr>
        <w:t xml:space="preserve"> </w:t>
      </w:r>
      <w:r>
        <w:t>errors</w:t>
      </w:r>
      <w:r>
        <w:rPr>
          <w:spacing w:val="23"/>
        </w:rPr>
        <w:t xml:space="preserve"> </w:t>
      </w:r>
      <w:r>
        <w:t>under</w:t>
      </w:r>
      <w:r>
        <w:rPr>
          <w:spacing w:val="24"/>
        </w:rPr>
        <w:t xml:space="preserve"> </w:t>
      </w:r>
      <w:r>
        <w:t>Article</w:t>
      </w:r>
      <w:r>
        <w:rPr>
          <w:spacing w:val="23"/>
        </w:rPr>
        <w:t xml:space="preserve"> </w:t>
      </w:r>
      <w:r>
        <w:t>2</w:t>
      </w:r>
      <w:r>
        <w:rPr>
          <w:spacing w:val="23"/>
        </w:rPr>
        <w:t xml:space="preserve"> </w:t>
      </w:r>
      <w:r>
        <w:t>have</w:t>
      </w:r>
      <w:r>
        <w:rPr>
          <w:spacing w:val="25"/>
        </w:rPr>
        <w:t xml:space="preserve"> </w:t>
      </w:r>
      <w:r>
        <w:t>led</w:t>
      </w:r>
      <w:r>
        <w:rPr>
          <w:spacing w:val="24"/>
        </w:rPr>
        <w:t xml:space="preserve"> </w:t>
      </w:r>
      <w:r>
        <w:t>to</w:t>
      </w:r>
      <w:r>
        <w:rPr>
          <w:spacing w:val="24"/>
        </w:rPr>
        <w:t xml:space="preserve"> </w:t>
      </w:r>
      <w:r>
        <w:t>an</w:t>
      </w:r>
    </w:p>
    <w:p w14:paraId="51DE93B5" w14:textId="77777777" w:rsidR="0010369C" w:rsidRDefault="0010369C">
      <w:pPr>
        <w:pStyle w:val="BodyText"/>
        <w:rPr>
          <w:sz w:val="20"/>
        </w:rPr>
      </w:pPr>
    </w:p>
    <w:p w14:paraId="51DE93B6" w14:textId="77777777" w:rsidR="0010369C" w:rsidRDefault="0010369C">
      <w:pPr>
        <w:pStyle w:val="BodyText"/>
        <w:rPr>
          <w:sz w:val="20"/>
        </w:rPr>
      </w:pPr>
    </w:p>
    <w:p w14:paraId="51DE93B7" w14:textId="77777777" w:rsidR="0010369C" w:rsidRDefault="0010369C">
      <w:pPr>
        <w:pStyle w:val="BodyText"/>
        <w:rPr>
          <w:sz w:val="20"/>
        </w:rPr>
      </w:pPr>
    </w:p>
    <w:p w14:paraId="51DE93B8" w14:textId="77777777" w:rsidR="0010369C" w:rsidRDefault="0010369C">
      <w:pPr>
        <w:pStyle w:val="BodyText"/>
        <w:rPr>
          <w:sz w:val="20"/>
        </w:rPr>
      </w:pPr>
    </w:p>
    <w:p w14:paraId="51DE93B9" w14:textId="77777777" w:rsidR="0010369C" w:rsidRDefault="008E43AE">
      <w:pPr>
        <w:pStyle w:val="BodyText"/>
        <w:spacing w:before="5"/>
        <w:rPr>
          <w:sz w:val="12"/>
        </w:rPr>
      </w:pPr>
      <w:r>
        <w:pict w14:anchorId="51DEA600">
          <v:rect id="docshape1200" o:spid="_x0000_s1210" style="position:absolute;margin-left:70.9pt;margin-top:8.8pt;width:2in;height:.8pt;z-index:-250770944;mso-wrap-distance-left:0;mso-wrap-distance-right:0;mso-position-horizontal-relative:page" fillcolor="black" stroked="f">
            <w10:wrap type="topAndBottom" anchorx="page"/>
          </v:rect>
        </w:pict>
      </w:r>
    </w:p>
    <w:p w14:paraId="51DE93BA" w14:textId="77777777" w:rsidR="0010369C" w:rsidRDefault="008E43AE">
      <w:pPr>
        <w:spacing w:before="109"/>
        <w:ind w:left="238"/>
        <w:rPr>
          <w:sz w:val="18"/>
        </w:rPr>
      </w:pPr>
      <w:r>
        <w:rPr>
          <w:sz w:val="18"/>
          <w:vertAlign w:val="superscript"/>
        </w:rPr>
        <w:t>866</w:t>
      </w:r>
      <w:r>
        <w:rPr>
          <w:sz w:val="18"/>
        </w:rPr>
        <w:t>Article</w:t>
      </w:r>
      <w:r>
        <w:rPr>
          <w:spacing w:val="-8"/>
          <w:sz w:val="18"/>
        </w:rPr>
        <w:t xml:space="preserve"> </w:t>
      </w:r>
      <w:r>
        <w:rPr>
          <w:sz w:val="18"/>
        </w:rPr>
        <w:t>9.3</w:t>
      </w:r>
      <w:r>
        <w:rPr>
          <w:spacing w:val="-7"/>
          <w:sz w:val="18"/>
        </w:rPr>
        <w:t xml:space="preserve"> </w:t>
      </w:r>
      <w:r>
        <w:rPr>
          <w:sz w:val="18"/>
        </w:rPr>
        <w:t>of</w:t>
      </w:r>
      <w:r>
        <w:rPr>
          <w:spacing w:val="-7"/>
          <w:sz w:val="18"/>
        </w:rPr>
        <w:t xml:space="preserve"> </w:t>
      </w:r>
      <w:r>
        <w:rPr>
          <w:sz w:val="18"/>
        </w:rPr>
        <w:t>the</w:t>
      </w:r>
      <w:r>
        <w:rPr>
          <w:spacing w:val="-8"/>
          <w:sz w:val="18"/>
        </w:rPr>
        <w:t xml:space="preserve"> </w:t>
      </w:r>
      <w:r>
        <w:rPr>
          <w:sz w:val="18"/>
        </w:rPr>
        <w:t>Anti‐Dumping</w:t>
      </w:r>
      <w:r>
        <w:rPr>
          <w:spacing w:val="-8"/>
          <w:sz w:val="18"/>
        </w:rPr>
        <w:t xml:space="preserve"> </w:t>
      </w:r>
      <w:r>
        <w:rPr>
          <w:sz w:val="18"/>
        </w:rPr>
        <w:t>Agreement</w:t>
      </w:r>
      <w:r>
        <w:rPr>
          <w:spacing w:val="-8"/>
          <w:sz w:val="18"/>
        </w:rPr>
        <w:t xml:space="preserve"> </w:t>
      </w:r>
      <w:r>
        <w:rPr>
          <w:sz w:val="18"/>
        </w:rPr>
        <w:t>(emphasis</w:t>
      </w:r>
      <w:r>
        <w:rPr>
          <w:spacing w:val="-7"/>
          <w:sz w:val="18"/>
        </w:rPr>
        <w:t xml:space="preserve"> </w:t>
      </w:r>
      <w:r>
        <w:rPr>
          <w:spacing w:val="-2"/>
          <w:sz w:val="18"/>
        </w:rPr>
        <w:t>original).</w:t>
      </w:r>
    </w:p>
    <w:p w14:paraId="51DE93BB" w14:textId="77777777" w:rsidR="0010369C" w:rsidRDefault="008E43AE">
      <w:pPr>
        <w:ind w:left="238"/>
        <w:rPr>
          <w:sz w:val="18"/>
        </w:rPr>
      </w:pPr>
      <w:r>
        <w:rPr>
          <w:sz w:val="18"/>
          <w:vertAlign w:val="superscript"/>
        </w:rPr>
        <w:t>867</w:t>
      </w:r>
      <w:r>
        <w:rPr>
          <w:spacing w:val="-6"/>
          <w:sz w:val="18"/>
        </w:rPr>
        <w:t xml:space="preserve"> </w:t>
      </w:r>
      <w:r>
        <w:rPr>
          <w:sz w:val="18"/>
        </w:rPr>
        <w:t>Article</w:t>
      </w:r>
      <w:r>
        <w:rPr>
          <w:spacing w:val="-5"/>
          <w:sz w:val="18"/>
        </w:rPr>
        <w:t xml:space="preserve"> </w:t>
      </w:r>
      <w:r>
        <w:rPr>
          <w:sz w:val="18"/>
        </w:rPr>
        <w:t>9.2</w:t>
      </w:r>
      <w:r>
        <w:rPr>
          <w:spacing w:val="-5"/>
          <w:sz w:val="18"/>
        </w:rPr>
        <w:t xml:space="preserve"> </w:t>
      </w:r>
      <w:r>
        <w:rPr>
          <w:sz w:val="18"/>
        </w:rPr>
        <w:t>of</w:t>
      </w:r>
      <w:r>
        <w:rPr>
          <w:spacing w:val="-5"/>
          <w:sz w:val="18"/>
        </w:rPr>
        <w:t xml:space="preserve"> </w:t>
      </w:r>
      <w:r>
        <w:rPr>
          <w:sz w:val="18"/>
        </w:rPr>
        <w:t>the</w:t>
      </w:r>
      <w:r>
        <w:rPr>
          <w:spacing w:val="-5"/>
          <w:sz w:val="18"/>
        </w:rPr>
        <w:t xml:space="preserve"> </w:t>
      </w:r>
      <w:r>
        <w:rPr>
          <w:sz w:val="18"/>
        </w:rPr>
        <w:t>Anti‐Dumping</w:t>
      </w:r>
      <w:r>
        <w:rPr>
          <w:spacing w:val="-6"/>
          <w:sz w:val="18"/>
        </w:rPr>
        <w:t xml:space="preserve"> </w:t>
      </w:r>
      <w:r>
        <w:rPr>
          <w:spacing w:val="-2"/>
          <w:sz w:val="18"/>
        </w:rPr>
        <w:t>Agreement.</w:t>
      </w:r>
    </w:p>
    <w:p w14:paraId="51DE93BC" w14:textId="77777777" w:rsidR="0010369C" w:rsidRDefault="008E43AE">
      <w:pPr>
        <w:ind w:left="238"/>
        <w:rPr>
          <w:sz w:val="18"/>
        </w:rPr>
      </w:pPr>
      <w:r>
        <w:rPr>
          <w:sz w:val="18"/>
          <w:vertAlign w:val="superscript"/>
        </w:rPr>
        <w:t>868</w:t>
      </w:r>
      <w:r>
        <w:rPr>
          <w:spacing w:val="-5"/>
          <w:sz w:val="18"/>
        </w:rPr>
        <w:t xml:space="preserve"> </w:t>
      </w:r>
      <w:r>
        <w:rPr>
          <w:sz w:val="18"/>
        </w:rPr>
        <w:t>Panel</w:t>
      </w:r>
      <w:r>
        <w:rPr>
          <w:spacing w:val="-6"/>
          <w:sz w:val="18"/>
        </w:rPr>
        <w:t xml:space="preserve"> </w:t>
      </w:r>
      <w:r>
        <w:rPr>
          <w:sz w:val="18"/>
        </w:rPr>
        <w:t>Report,</w:t>
      </w:r>
      <w:r>
        <w:rPr>
          <w:spacing w:val="-5"/>
          <w:sz w:val="18"/>
        </w:rPr>
        <w:t xml:space="preserve"> </w:t>
      </w:r>
      <w:r>
        <w:rPr>
          <w:i/>
          <w:sz w:val="18"/>
        </w:rPr>
        <w:t>EC</w:t>
      </w:r>
      <w:r>
        <w:rPr>
          <w:i/>
          <w:spacing w:val="-5"/>
          <w:sz w:val="18"/>
        </w:rPr>
        <w:t xml:space="preserve"> </w:t>
      </w:r>
      <w:r>
        <w:rPr>
          <w:i/>
          <w:sz w:val="18"/>
        </w:rPr>
        <w:t>–</w:t>
      </w:r>
      <w:r>
        <w:rPr>
          <w:i/>
          <w:spacing w:val="-5"/>
          <w:sz w:val="18"/>
        </w:rPr>
        <w:t xml:space="preserve"> </w:t>
      </w:r>
      <w:r>
        <w:rPr>
          <w:i/>
          <w:sz w:val="18"/>
        </w:rPr>
        <w:t>Salmon</w:t>
      </w:r>
      <w:r>
        <w:rPr>
          <w:i/>
          <w:spacing w:val="-6"/>
          <w:sz w:val="18"/>
        </w:rPr>
        <w:t xml:space="preserve"> </w:t>
      </w:r>
      <w:r>
        <w:rPr>
          <w:i/>
          <w:sz w:val="18"/>
        </w:rPr>
        <w:t>(Norway)</w:t>
      </w:r>
      <w:r>
        <w:rPr>
          <w:sz w:val="18"/>
        </w:rPr>
        <w:t>,</w:t>
      </w:r>
      <w:r>
        <w:rPr>
          <w:spacing w:val="-5"/>
          <w:sz w:val="18"/>
        </w:rPr>
        <w:t xml:space="preserve"> </w:t>
      </w:r>
      <w:r>
        <w:rPr>
          <w:sz w:val="18"/>
        </w:rPr>
        <w:t>para.</w:t>
      </w:r>
      <w:r>
        <w:rPr>
          <w:spacing w:val="-5"/>
          <w:sz w:val="18"/>
        </w:rPr>
        <w:t xml:space="preserve"> </w:t>
      </w:r>
      <w:r>
        <w:rPr>
          <w:spacing w:val="-2"/>
          <w:sz w:val="18"/>
        </w:rPr>
        <w:t>7.704.</w:t>
      </w:r>
    </w:p>
    <w:p w14:paraId="51DE93BD" w14:textId="77777777" w:rsidR="0010369C" w:rsidRDefault="008E43AE">
      <w:pPr>
        <w:spacing w:before="1"/>
        <w:ind w:left="238"/>
        <w:rPr>
          <w:sz w:val="18"/>
        </w:rPr>
      </w:pPr>
      <w:r>
        <w:rPr>
          <w:sz w:val="18"/>
          <w:vertAlign w:val="superscript"/>
        </w:rPr>
        <w:t>869</w:t>
      </w:r>
      <w:r>
        <w:rPr>
          <w:spacing w:val="-5"/>
          <w:sz w:val="18"/>
        </w:rPr>
        <w:t xml:space="preserve"> </w:t>
      </w:r>
      <w:r>
        <w:rPr>
          <w:sz w:val="18"/>
        </w:rPr>
        <w:t>Panel</w:t>
      </w:r>
      <w:r>
        <w:rPr>
          <w:spacing w:val="-6"/>
          <w:sz w:val="18"/>
        </w:rPr>
        <w:t xml:space="preserve"> </w:t>
      </w:r>
      <w:r>
        <w:rPr>
          <w:sz w:val="18"/>
        </w:rPr>
        <w:t>Report,</w:t>
      </w:r>
      <w:r>
        <w:rPr>
          <w:spacing w:val="-5"/>
          <w:sz w:val="18"/>
        </w:rPr>
        <w:t xml:space="preserve"> </w:t>
      </w:r>
      <w:r>
        <w:rPr>
          <w:i/>
          <w:sz w:val="18"/>
        </w:rPr>
        <w:t>EC</w:t>
      </w:r>
      <w:r>
        <w:rPr>
          <w:i/>
          <w:spacing w:val="-5"/>
          <w:sz w:val="18"/>
        </w:rPr>
        <w:t xml:space="preserve"> </w:t>
      </w:r>
      <w:r>
        <w:rPr>
          <w:i/>
          <w:sz w:val="18"/>
        </w:rPr>
        <w:t>–</w:t>
      </w:r>
      <w:r>
        <w:rPr>
          <w:i/>
          <w:spacing w:val="-5"/>
          <w:sz w:val="18"/>
        </w:rPr>
        <w:t xml:space="preserve"> </w:t>
      </w:r>
      <w:r>
        <w:rPr>
          <w:i/>
          <w:sz w:val="18"/>
        </w:rPr>
        <w:t>Salmon</w:t>
      </w:r>
      <w:r>
        <w:rPr>
          <w:i/>
          <w:spacing w:val="-6"/>
          <w:sz w:val="18"/>
        </w:rPr>
        <w:t xml:space="preserve"> </w:t>
      </w:r>
      <w:r>
        <w:rPr>
          <w:i/>
          <w:sz w:val="18"/>
        </w:rPr>
        <w:t>(Norway)</w:t>
      </w:r>
      <w:r>
        <w:rPr>
          <w:sz w:val="18"/>
        </w:rPr>
        <w:t>,</w:t>
      </w:r>
      <w:r>
        <w:rPr>
          <w:spacing w:val="-5"/>
          <w:sz w:val="18"/>
        </w:rPr>
        <w:t xml:space="preserve"> </w:t>
      </w:r>
      <w:r>
        <w:rPr>
          <w:sz w:val="18"/>
        </w:rPr>
        <w:t>para.</w:t>
      </w:r>
      <w:r>
        <w:rPr>
          <w:spacing w:val="-5"/>
          <w:sz w:val="18"/>
        </w:rPr>
        <w:t xml:space="preserve"> </w:t>
      </w:r>
      <w:r>
        <w:rPr>
          <w:spacing w:val="-2"/>
          <w:sz w:val="18"/>
        </w:rPr>
        <w:t>7.705.</w:t>
      </w:r>
    </w:p>
    <w:p w14:paraId="51DE93BE" w14:textId="77777777" w:rsidR="0010369C" w:rsidRDefault="008E43AE">
      <w:pPr>
        <w:ind w:left="238"/>
        <w:rPr>
          <w:sz w:val="18"/>
        </w:rPr>
      </w:pPr>
      <w:r>
        <w:rPr>
          <w:sz w:val="18"/>
          <w:vertAlign w:val="superscript"/>
        </w:rPr>
        <w:t>870</w:t>
      </w:r>
      <w:r>
        <w:rPr>
          <w:spacing w:val="-9"/>
          <w:sz w:val="18"/>
        </w:rPr>
        <w:t xml:space="preserve"> </w:t>
      </w:r>
      <w:r>
        <w:rPr>
          <w:sz w:val="18"/>
        </w:rPr>
        <w:t>Panel</w:t>
      </w:r>
      <w:r>
        <w:rPr>
          <w:spacing w:val="-9"/>
          <w:sz w:val="18"/>
        </w:rPr>
        <w:t xml:space="preserve"> </w:t>
      </w:r>
      <w:r>
        <w:rPr>
          <w:sz w:val="18"/>
        </w:rPr>
        <w:t>Report,</w:t>
      </w:r>
      <w:r>
        <w:rPr>
          <w:spacing w:val="-8"/>
          <w:sz w:val="18"/>
        </w:rPr>
        <w:t xml:space="preserve"> </w:t>
      </w:r>
      <w:r>
        <w:rPr>
          <w:i/>
          <w:sz w:val="18"/>
        </w:rPr>
        <w:t>Argentina</w:t>
      </w:r>
      <w:r>
        <w:rPr>
          <w:i/>
          <w:spacing w:val="-9"/>
          <w:sz w:val="18"/>
        </w:rPr>
        <w:t xml:space="preserve"> </w:t>
      </w:r>
      <w:r>
        <w:rPr>
          <w:i/>
          <w:sz w:val="18"/>
        </w:rPr>
        <w:t>–</w:t>
      </w:r>
      <w:r>
        <w:rPr>
          <w:i/>
          <w:spacing w:val="-8"/>
          <w:sz w:val="18"/>
        </w:rPr>
        <w:t xml:space="preserve"> </w:t>
      </w:r>
      <w:r>
        <w:rPr>
          <w:i/>
          <w:sz w:val="18"/>
        </w:rPr>
        <w:t>Poultry</w:t>
      </w:r>
      <w:r>
        <w:rPr>
          <w:i/>
          <w:spacing w:val="-9"/>
          <w:sz w:val="18"/>
        </w:rPr>
        <w:t xml:space="preserve"> </w:t>
      </w:r>
      <w:r>
        <w:rPr>
          <w:i/>
          <w:sz w:val="18"/>
        </w:rPr>
        <w:t>Anti‐Dumping</w:t>
      </w:r>
      <w:r>
        <w:rPr>
          <w:i/>
          <w:spacing w:val="-7"/>
          <w:sz w:val="18"/>
        </w:rPr>
        <w:t xml:space="preserve"> </w:t>
      </w:r>
      <w:r>
        <w:rPr>
          <w:i/>
          <w:sz w:val="18"/>
        </w:rPr>
        <w:t>Duties</w:t>
      </w:r>
      <w:r>
        <w:rPr>
          <w:sz w:val="18"/>
        </w:rPr>
        <w:t>,</w:t>
      </w:r>
      <w:r>
        <w:rPr>
          <w:spacing w:val="-9"/>
          <w:sz w:val="18"/>
        </w:rPr>
        <w:t xml:space="preserve"> </w:t>
      </w:r>
      <w:r>
        <w:rPr>
          <w:sz w:val="18"/>
        </w:rPr>
        <w:t>para.</w:t>
      </w:r>
      <w:r>
        <w:rPr>
          <w:spacing w:val="-8"/>
          <w:sz w:val="18"/>
        </w:rPr>
        <w:t xml:space="preserve"> </w:t>
      </w:r>
      <w:r>
        <w:rPr>
          <w:spacing w:val="-2"/>
          <w:sz w:val="18"/>
        </w:rPr>
        <w:t>7.365.</w:t>
      </w:r>
    </w:p>
    <w:p w14:paraId="51DE93BF" w14:textId="77777777" w:rsidR="0010369C" w:rsidRDefault="008E43AE">
      <w:pPr>
        <w:ind w:left="238"/>
        <w:rPr>
          <w:sz w:val="18"/>
        </w:rPr>
      </w:pPr>
      <w:r>
        <w:rPr>
          <w:sz w:val="18"/>
          <w:vertAlign w:val="superscript"/>
        </w:rPr>
        <w:t>871</w:t>
      </w:r>
      <w:r>
        <w:rPr>
          <w:spacing w:val="-5"/>
          <w:sz w:val="18"/>
        </w:rPr>
        <w:t xml:space="preserve"> </w:t>
      </w:r>
      <w:r>
        <w:rPr>
          <w:sz w:val="18"/>
        </w:rPr>
        <w:t>Panel</w:t>
      </w:r>
      <w:r>
        <w:rPr>
          <w:spacing w:val="-6"/>
          <w:sz w:val="18"/>
        </w:rPr>
        <w:t xml:space="preserve"> </w:t>
      </w:r>
      <w:r>
        <w:rPr>
          <w:sz w:val="18"/>
        </w:rPr>
        <w:t>Report,</w:t>
      </w:r>
      <w:r>
        <w:rPr>
          <w:spacing w:val="-5"/>
          <w:sz w:val="18"/>
        </w:rPr>
        <w:t xml:space="preserve"> </w:t>
      </w:r>
      <w:r>
        <w:rPr>
          <w:i/>
          <w:sz w:val="18"/>
        </w:rPr>
        <w:t>EC</w:t>
      </w:r>
      <w:r>
        <w:rPr>
          <w:i/>
          <w:spacing w:val="-6"/>
          <w:sz w:val="18"/>
        </w:rPr>
        <w:t xml:space="preserve"> </w:t>
      </w:r>
      <w:r>
        <w:rPr>
          <w:i/>
          <w:sz w:val="18"/>
        </w:rPr>
        <w:t>–</w:t>
      </w:r>
      <w:r>
        <w:rPr>
          <w:i/>
          <w:spacing w:val="-5"/>
          <w:sz w:val="18"/>
        </w:rPr>
        <w:t xml:space="preserve"> </w:t>
      </w:r>
      <w:r>
        <w:rPr>
          <w:i/>
          <w:sz w:val="18"/>
        </w:rPr>
        <w:t>Salmon</w:t>
      </w:r>
      <w:r>
        <w:rPr>
          <w:i/>
          <w:spacing w:val="-5"/>
          <w:sz w:val="18"/>
        </w:rPr>
        <w:t xml:space="preserve"> </w:t>
      </w:r>
      <w:r>
        <w:rPr>
          <w:i/>
          <w:sz w:val="18"/>
        </w:rPr>
        <w:t>(Norway),</w:t>
      </w:r>
      <w:r>
        <w:rPr>
          <w:i/>
          <w:spacing w:val="-6"/>
          <w:sz w:val="18"/>
        </w:rPr>
        <w:t xml:space="preserve"> </w:t>
      </w:r>
      <w:r>
        <w:rPr>
          <w:sz w:val="18"/>
        </w:rPr>
        <w:t>para.</w:t>
      </w:r>
      <w:r>
        <w:rPr>
          <w:spacing w:val="-5"/>
          <w:sz w:val="18"/>
        </w:rPr>
        <w:t xml:space="preserve"> </w:t>
      </w:r>
      <w:r>
        <w:rPr>
          <w:spacing w:val="-2"/>
          <w:sz w:val="18"/>
        </w:rPr>
        <w:t>7.704.</w:t>
      </w:r>
    </w:p>
    <w:p w14:paraId="51DE93C0" w14:textId="77777777" w:rsidR="0010369C" w:rsidRDefault="008E43AE">
      <w:pPr>
        <w:ind w:left="238"/>
        <w:rPr>
          <w:sz w:val="18"/>
        </w:rPr>
      </w:pPr>
      <w:r>
        <w:rPr>
          <w:sz w:val="18"/>
          <w:vertAlign w:val="superscript"/>
        </w:rPr>
        <w:t>872</w:t>
      </w:r>
      <w:r>
        <w:rPr>
          <w:spacing w:val="-5"/>
          <w:sz w:val="18"/>
        </w:rPr>
        <w:t xml:space="preserve"> </w:t>
      </w:r>
      <w:r>
        <w:rPr>
          <w:sz w:val="18"/>
        </w:rPr>
        <w:t>Panel</w:t>
      </w:r>
      <w:r>
        <w:rPr>
          <w:spacing w:val="-6"/>
          <w:sz w:val="18"/>
        </w:rPr>
        <w:t xml:space="preserve"> </w:t>
      </w:r>
      <w:r>
        <w:rPr>
          <w:sz w:val="18"/>
        </w:rPr>
        <w:t>Report,</w:t>
      </w:r>
      <w:r>
        <w:rPr>
          <w:spacing w:val="-5"/>
          <w:sz w:val="18"/>
        </w:rPr>
        <w:t xml:space="preserve"> </w:t>
      </w:r>
      <w:r>
        <w:rPr>
          <w:i/>
          <w:sz w:val="18"/>
        </w:rPr>
        <w:t>EC</w:t>
      </w:r>
      <w:r>
        <w:rPr>
          <w:i/>
          <w:spacing w:val="-6"/>
          <w:sz w:val="18"/>
        </w:rPr>
        <w:t xml:space="preserve"> </w:t>
      </w:r>
      <w:r>
        <w:rPr>
          <w:i/>
          <w:sz w:val="18"/>
        </w:rPr>
        <w:t>–</w:t>
      </w:r>
      <w:r>
        <w:rPr>
          <w:i/>
          <w:spacing w:val="-5"/>
          <w:sz w:val="18"/>
        </w:rPr>
        <w:t xml:space="preserve"> </w:t>
      </w:r>
      <w:r>
        <w:rPr>
          <w:i/>
          <w:sz w:val="18"/>
        </w:rPr>
        <w:t>Salmon</w:t>
      </w:r>
      <w:r>
        <w:rPr>
          <w:i/>
          <w:spacing w:val="-6"/>
          <w:sz w:val="18"/>
        </w:rPr>
        <w:t xml:space="preserve"> </w:t>
      </w:r>
      <w:r>
        <w:rPr>
          <w:i/>
          <w:sz w:val="18"/>
        </w:rPr>
        <w:t>(Norway),</w:t>
      </w:r>
      <w:r>
        <w:rPr>
          <w:i/>
          <w:spacing w:val="-6"/>
          <w:sz w:val="18"/>
        </w:rPr>
        <w:t xml:space="preserve"> </w:t>
      </w:r>
      <w:r>
        <w:rPr>
          <w:sz w:val="18"/>
        </w:rPr>
        <w:t>paras.</w:t>
      </w:r>
      <w:r>
        <w:rPr>
          <w:spacing w:val="-5"/>
          <w:sz w:val="18"/>
        </w:rPr>
        <w:t xml:space="preserve"> </w:t>
      </w:r>
      <w:r>
        <w:rPr>
          <w:spacing w:val="-2"/>
          <w:sz w:val="18"/>
        </w:rPr>
        <w:t>7.705‐7.706.</w:t>
      </w:r>
    </w:p>
    <w:p w14:paraId="51DE93C1" w14:textId="77777777" w:rsidR="0010369C" w:rsidRDefault="0010369C">
      <w:pPr>
        <w:rPr>
          <w:sz w:val="18"/>
        </w:rPr>
        <w:sectPr w:rsidR="0010369C">
          <w:pgSz w:w="11910" w:h="16840"/>
          <w:pgMar w:top="880" w:right="800" w:bottom="980" w:left="1180" w:header="569" w:footer="788" w:gutter="0"/>
          <w:cols w:space="720"/>
        </w:sectPr>
      </w:pPr>
    </w:p>
    <w:p w14:paraId="51DE93C2" w14:textId="77777777" w:rsidR="0010369C" w:rsidRDefault="008E43AE">
      <w:pPr>
        <w:pStyle w:val="BodyText"/>
        <w:spacing w:line="20" w:lineRule="exact"/>
        <w:ind w:left="104"/>
        <w:rPr>
          <w:sz w:val="2"/>
        </w:rPr>
      </w:pPr>
      <w:r>
        <w:rPr>
          <w:sz w:val="2"/>
        </w:rPr>
      </w:r>
      <w:r>
        <w:rPr>
          <w:sz w:val="2"/>
        </w:rPr>
        <w:pict w14:anchorId="51DEA602">
          <v:group id="docshapegroup1202" o:spid="_x0000_s1208" style="width:464.6pt;height:1.05pt;mso-position-horizontal-relative:char;mso-position-vertical-relative:line" coordsize="9292,21">
            <v:line id="_x0000_s1209" style="position:absolute" from="0,10" to="9291,10" strokeweight=".35361mm"/>
            <w10:anchorlock/>
          </v:group>
        </w:pict>
      </w:r>
    </w:p>
    <w:p w14:paraId="51DE93C3" w14:textId="77777777" w:rsidR="0010369C" w:rsidRDefault="008E43AE">
      <w:pPr>
        <w:spacing w:before="63"/>
        <w:ind w:right="350"/>
        <w:jc w:val="center"/>
        <w:rPr>
          <w:rFonts w:ascii="Arial"/>
          <w:sz w:val="19"/>
        </w:rPr>
      </w:pPr>
      <w:r>
        <w:pict w14:anchorId="51DEA603">
          <v:shape id="docshape1203" o:spid="_x0000_s1207" style="position:absolute;left:0;text-align:left;margin-left:64.2pt;margin-top:16.05pt;width:464.6pt;height:.1pt;z-index:-250769920;mso-wrap-distance-left:0;mso-wrap-distance-right:0;mso-position-horizontal-relative:page" coordorigin="1284,321" coordsize="9292,0" path="m1284,321r9291,e" filled="f" strokeweight=".35361mm">
            <v:path arrowok="t"/>
            <w10:wrap type="topAndBottom" anchorx="page"/>
          </v:shape>
        </w:pict>
      </w:r>
      <w:r>
        <w:rPr>
          <w:rFonts w:ascii="Arial"/>
          <w:color w:val="1D1D1D"/>
          <w:sz w:val="19"/>
        </w:rPr>
        <w:t>Business</w:t>
      </w:r>
      <w:r>
        <w:rPr>
          <w:rFonts w:ascii="Arial"/>
          <w:color w:val="1D1D1D"/>
          <w:spacing w:val="45"/>
          <w:sz w:val="19"/>
        </w:rPr>
        <w:t xml:space="preserve"> </w:t>
      </w:r>
      <w:r>
        <w:rPr>
          <w:rFonts w:ascii="Arial"/>
          <w:color w:val="1D1D1D"/>
          <w:sz w:val="19"/>
        </w:rPr>
        <w:t>Confidential</w:t>
      </w:r>
      <w:r>
        <w:rPr>
          <w:rFonts w:ascii="Arial"/>
          <w:color w:val="1D1D1D"/>
          <w:spacing w:val="38"/>
          <w:sz w:val="19"/>
        </w:rPr>
        <w:t xml:space="preserve"> </w:t>
      </w:r>
      <w:r>
        <w:rPr>
          <w:rFonts w:ascii="Arial"/>
          <w:color w:val="0C0C0C"/>
          <w:sz w:val="19"/>
        </w:rPr>
        <w:t>Information</w:t>
      </w:r>
      <w:r>
        <w:rPr>
          <w:rFonts w:ascii="Arial"/>
          <w:color w:val="0C0C0C"/>
          <w:spacing w:val="39"/>
          <w:sz w:val="19"/>
        </w:rPr>
        <w:t xml:space="preserve"> </w:t>
      </w:r>
      <w:r>
        <w:rPr>
          <w:rFonts w:ascii="Arial"/>
          <w:color w:val="1D1D1D"/>
          <w:sz w:val="19"/>
        </w:rPr>
        <w:t>-</w:t>
      </w:r>
      <w:r>
        <w:rPr>
          <w:rFonts w:ascii="Arial"/>
          <w:color w:val="1D1D1D"/>
          <w:spacing w:val="40"/>
          <w:sz w:val="19"/>
        </w:rPr>
        <w:t xml:space="preserve"> </w:t>
      </w:r>
      <w:r>
        <w:rPr>
          <w:rFonts w:ascii="Arial"/>
          <w:color w:val="1D1D1D"/>
          <w:spacing w:val="-2"/>
          <w:sz w:val="19"/>
        </w:rPr>
        <w:t>REDACTED</w:t>
      </w:r>
    </w:p>
    <w:p w14:paraId="51DE93C4" w14:textId="77777777" w:rsidR="0010369C" w:rsidRDefault="008E43AE">
      <w:pPr>
        <w:tabs>
          <w:tab w:val="left" w:pos="6217"/>
        </w:tabs>
        <w:spacing w:before="21"/>
        <w:ind w:right="357"/>
        <w:jc w:val="center"/>
        <w:rPr>
          <w:rFonts w:ascii="Arial"/>
          <w:sz w:val="18"/>
        </w:rPr>
      </w:pPr>
      <w:r>
        <w:rPr>
          <w:rFonts w:ascii="Arial"/>
          <w:i/>
          <w:color w:val="1D1D1D"/>
          <w:w w:val="105"/>
          <w:sz w:val="18"/>
        </w:rPr>
        <w:t>China</w:t>
      </w:r>
      <w:r>
        <w:rPr>
          <w:rFonts w:ascii="Arial"/>
          <w:i/>
          <w:color w:val="1D1D1D"/>
          <w:spacing w:val="-17"/>
          <w:w w:val="105"/>
          <w:sz w:val="18"/>
        </w:rPr>
        <w:t xml:space="preserve"> </w:t>
      </w:r>
      <w:r>
        <w:rPr>
          <w:rFonts w:ascii="Arial"/>
          <w:i/>
          <w:color w:val="1D1D1D"/>
          <w:w w:val="105"/>
          <w:sz w:val="18"/>
        </w:rPr>
        <w:t>-Anti-Dumping</w:t>
      </w:r>
      <w:r>
        <w:rPr>
          <w:rFonts w:ascii="Arial"/>
          <w:i/>
          <w:color w:val="1D1D1D"/>
          <w:spacing w:val="-5"/>
          <w:w w:val="105"/>
          <w:sz w:val="18"/>
        </w:rPr>
        <w:t xml:space="preserve"> </w:t>
      </w:r>
      <w:r>
        <w:rPr>
          <w:rFonts w:ascii="Arial"/>
          <w:i/>
          <w:color w:val="1D1D1D"/>
          <w:w w:val="105"/>
          <w:sz w:val="18"/>
        </w:rPr>
        <w:t>and</w:t>
      </w:r>
      <w:r>
        <w:rPr>
          <w:rFonts w:ascii="Arial"/>
          <w:i/>
          <w:color w:val="1D1D1D"/>
          <w:spacing w:val="-23"/>
          <w:w w:val="105"/>
          <w:sz w:val="18"/>
        </w:rPr>
        <w:t xml:space="preserve"> </w:t>
      </w:r>
      <w:r>
        <w:rPr>
          <w:rFonts w:ascii="Arial"/>
          <w:i/>
          <w:color w:val="1D1D1D"/>
          <w:w w:val="105"/>
          <w:sz w:val="18"/>
        </w:rPr>
        <w:t>Countervailing</w:t>
      </w:r>
      <w:r>
        <w:rPr>
          <w:rFonts w:ascii="Arial"/>
          <w:i/>
          <w:color w:val="1D1D1D"/>
          <w:spacing w:val="-6"/>
          <w:w w:val="105"/>
          <w:sz w:val="18"/>
        </w:rPr>
        <w:t xml:space="preserve"> </w:t>
      </w:r>
      <w:r>
        <w:rPr>
          <w:rFonts w:ascii="Arial"/>
          <w:i/>
          <w:color w:val="1D1D1D"/>
          <w:w w:val="105"/>
          <w:sz w:val="18"/>
        </w:rPr>
        <w:t>Duty</w:t>
      </w:r>
      <w:r>
        <w:rPr>
          <w:rFonts w:ascii="Arial"/>
          <w:i/>
          <w:color w:val="1D1D1D"/>
          <w:spacing w:val="-12"/>
          <w:w w:val="105"/>
          <w:sz w:val="18"/>
        </w:rPr>
        <w:t xml:space="preserve"> </w:t>
      </w:r>
      <w:r>
        <w:rPr>
          <w:rFonts w:ascii="Arial"/>
          <w:i/>
          <w:color w:val="0C0C0C"/>
          <w:spacing w:val="-2"/>
          <w:w w:val="105"/>
          <w:sz w:val="18"/>
        </w:rPr>
        <w:t>Measures</w:t>
      </w:r>
      <w:r>
        <w:rPr>
          <w:rFonts w:ascii="Arial"/>
          <w:i/>
          <w:color w:val="0C0C0C"/>
          <w:sz w:val="18"/>
        </w:rPr>
        <w:tab/>
      </w:r>
      <w:r>
        <w:rPr>
          <w:rFonts w:ascii="Arial"/>
          <w:color w:val="1D1D1D"/>
          <w:spacing w:val="-2"/>
          <w:w w:val="105"/>
          <w:sz w:val="18"/>
        </w:rPr>
        <w:t>Australia's</w:t>
      </w:r>
      <w:r>
        <w:rPr>
          <w:rFonts w:ascii="Arial"/>
          <w:color w:val="1D1D1D"/>
          <w:spacing w:val="5"/>
          <w:w w:val="105"/>
          <w:sz w:val="18"/>
        </w:rPr>
        <w:t xml:space="preserve"> </w:t>
      </w:r>
      <w:r>
        <w:rPr>
          <w:rFonts w:ascii="Arial"/>
          <w:color w:val="0C0C0C"/>
          <w:spacing w:val="-2"/>
          <w:w w:val="105"/>
          <w:sz w:val="18"/>
        </w:rPr>
        <w:t>First</w:t>
      </w:r>
      <w:r>
        <w:rPr>
          <w:rFonts w:ascii="Arial"/>
          <w:color w:val="0C0C0C"/>
          <w:spacing w:val="1"/>
          <w:w w:val="105"/>
          <w:sz w:val="18"/>
        </w:rPr>
        <w:t xml:space="preserve"> </w:t>
      </w:r>
      <w:r>
        <w:rPr>
          <w:rFonts w:ascii="Arial"/>
          <w:color w:val="1D1D1D"/>
          <w:spacing w:val="-2"/>
          <w:w w:val="105"/>
          <w:sz w:val="18"/>
        </w:rPr>
        <w:t>Written</w:t>
      </w:r>
      <w:r>
        <w:rPr>
          <w:rFonts w:ascii="Arial"/>
          <w:color w:val="1D1D1D"/>
          <w:spacing w:val="-7"/>
          <w:w w:val="105"/>
          <w:sz w:val="18"/>
        </w:rPr>
        <w:t xml:space="preserve"> </w:t>
      </w:r>
      <w:r>
        <w:rPr>
          <w:rFonts w:ascii="Arial"/>
          <w:color w:val="1D1D1D"/>
          <w:spacing w:val="-2"/>
          <w:w w:val="105"/>
          <w:sz w:val="18"/>
        </w:rPr>
        <w:t>Submission</w:t>
      </w:r>
    </w:p>
    <w:p w14:paraId="51DE93C5" w14:textId="77777777" w:rsidR="0010369C" w:rsidRDefault="008E43AE">
      <w:pPr>
        <w:tabs>
          <w:tab w:val="left" w:pos="8020"/>
        </w:tabs>
        <w:spacing w:before="44"/>
        <w:ind w:right="337"/>
        <w:jc w:val="center"/>
        <w:rPr>
          <w:rFonts w:ascii="Arial"/>
          <w:sz w:val="18"/>
        </w:rPr>
      </w:pPr>
      <w:r>
        <w:rPr>
          <w:rFonts w:ascii="Arial"/>
          <w:i/>
          <w:color w:val="1D1D1D"/>
          <w:w w:val="105"/>
          <w:sz w:val="18"/>
        </w:rPr>
        <w:t>on</w:t>
      </w:r>
      <w:r>
        <w:rPr>
          <w:rFonts w:ascii="Arial"/>
          <w:i/>
          <w:color w:val="1D1D1D"/>
          <w:spacing w:val="-11"/>
          <w:w w:val="105"/>
          <w:sz w:val="18"/>
        </w:rPr>
        <w:t xml:space="preserve"> </w:t>
      </w:r>
      <w:r>
        <w:rPr>
          <w:rFonts w:ascii="Arial"/>
          <w:i/>
          <w:color w:val="1D1D1D"/>
          <w:w w:val="105"/>
          <w:sz w:val="18"/>
        </w:rPr>
        <w:t>Winefrom Australia</w:t>
      </w:r>
      <w:r>
        <w:rPr>
          <w:rFonts w:ascii="Arial"/>
          <w:i/>
          <w:color w:val="1D1D1D"/>
          <w:spacing w:val="13"/>
          <w:w w:val="105"/>
          <w:sz w:val="18"/>
        </w:rPr>
        <w:t xml:space="preserve"> </w:t>
      </w:r>
      <w:r>
        <w:rPr>
          <w:rFonts w:ascii="Arial"/>
          <w:color w:val="1D1D1D"/>
          <w:spacing w:val="-2"/>
          <w:w w:val="105"/>
          <w:sz w:val="18"/>
        </w:rPr>
        <w:t>(0S602)</w:t>
      </w:r>
      <w:r>
        <w:rPr>
          <w:rFonts w:ascii="Arial"/>
          <w:color w:val="1D1D1D"/>
          <w:sz w:val="18"/>
        </w:rPr>
        <w:tab/>
      </w:r>
      <w:r>
        <w:rPr>
          <w:rFonts w:ascii="Arial"/>
          <w:color w:val="1D1D1D"/>
          <w:w w:val="105"/>
          <w:sz w:val="18"/>
        </w:rPr>
        <w:t>29</w:t>
      </w:r>
      <w:r>
        <w:rPr>
          <w:rFonts w:ascii="Arial"/>
          <w:color w:val="1D1D1D"/>
          <w:spacing w:val="-19"/>
          <w:w w:val="105"/>
          <w:sz w:val="18"/>
        </w:rPr>
        <w:t xml:space="preserve"> </w:t>
      </w:r>
      <w:r>
        <w:rPr>
          <w:rFonts w:ascii="Arial"/>
          <w:color w:val="1D1D1D"/>
          <w:w w:val="105"/>
          <w:sz w:val="18"/>
        </w:rPr>
        <w:t>April</w:t>
      </w:r>
      <w:r>
        <w:rPr>
          <w:rFonts w:ascii="Arial"/>
          <w:color w:val="1D1D1D"/>
          <w:spacing w:val="1"/>
          <w:w w:val="105"/>
          <w:sz w:val="18"/>
        </w:rPr>
        <w:t xml:space="preserve"> </w:t>
      </w:r>
      <w:r>
        <w:rPr>
          <w:rFonts w:ascii="Arial"/>
          <w:color w:val="1D1D1D"/>
          <w:spacing w:val="-4"/>
          <w:w w:val="105"/>
          <w:sz w:val="18"/>
        </w:rPr>
        <w:t>2022</w:t>
      </w:r>
    </w:p>
    <w:p w14:paraId="51DE93C6" w14:textId="77777777" w:rsidR="0010369C" w:rsidRDefault="008E43AE">
      <w:pPr>
        <w:spacing w:before="76" w:line="434" w:lineRule="auto"/>
        <w:ind w:left="237" w:right="611" w:firstLine="3"/>
        <w:rPr>
          <w:rFonts w:ascii="Arial"/>
          <w:sz w:val="14"/>
        </w:rPr>
      </w:pPr>
      <w:r>
        <w:rPr>
          <w:rFonts w:ascii="Arial"/>
          <w:color w:val="1D1D1D"/>
          <w:w w:val="105"/>
          <w:sz w:val="21"/>
        </w:rPr>
        <w:t xml:space="preserve">incorrectly high </w:t>
      </w:r>
      <w:r>
        <w:rPr>
          <w:rFonts w:ascii="Arial"/>
          <w:color w:val="0C0C0C"/>
          <w:w w:val="105"/>
          <w:sz w:val="21"/>
        </w:rPr>
        <w:t xml:space="preserve">margin </w:t>
      </w:r>
      <w:r>
        <w:rPr>
          <w:rFonts w:ascii="Arial"/>
          <w:color w:val="1D1D1D"/>
          <w:w w:val="105"/>
          <w:sz w:val="21"/>
        </w:rPr>
        <w:t>of</w:t>
      </w:r>
      <w:r>
        <w:rPr>
          <w:rFonts w:ascii="Arial"/>
          <w:color w:val="1D1D1D"/>
          <w:spacing w:val="26"/>
          <w:w w:val="105"/>
          <w:sz w:val="21"/>
        </w:rPr>
        <w:t xml:space="preserve"> </w:t>
      </w:r>
      <w:r>
        <w:rPr>
          <w:rFonts w:ascii="Arial"/>
          <w:color w:val="0C0C0C"/>
          <w:w w:val="105"/>
          <w:sz w:val="21"/>
        </w:rPr>
        <w:t>dumping,</w:t>
      </w:r>
      <w:r>
        <w:rPr>
          <w:rFonts w:ascii="Arial"/>
          <w:color w:val="0C0C0C"/>
          <w:spacing w:val="-4"/>
          <w:w w:val="105"/>
          <w:sz w:val="21"/>
        </w:rPr>
        <w:t xml:space="preserve"> </w:t>
      </w:r>
      <w:r>
        <w:rPr>
          <w:rFonts w:ascii="Arial"/>
          <w:color w:val="1D1D1D"/>
          <w:w w:val="105"/>
          <w:sz w:val="21"/>
        </w:rPr>
        <w:t>this</w:t>
      </w:r>
      <w:r>
        <w:rPr>
          <w:rFonts w:ascii="Arial"/>
          <w:color w:val="1D1D1D"/>
          <w:spacing w:val="-2"/>
          <w:w w:val="105"/>
          <w:sz w:val="21"/>
        </w:rPr>
        <w:t xml:space="preserve"> </w:t>
      </w:r>
      <w:r>
        <w:rPr>
          <w:rFonts w:ascii="Arial"/>
          <w:color w:val="1D1D1D"/>
          <w:w w:val="105"/>
          <w:sz w:val="21"/>
        </w:rPr>
        <w:t>amounts to</w:t>
      </w:r>
      <w:r>
        <w:rPr>
          <w:rFonts w:ascii="Arial"/>
          <w:color w:val="1D1D1D"/>
          <w:spacing w:val="40"/>
          <w:w w:val="105"/>
          <w:sz w:val="21"/>
        </w:rPr>
        <w:t xml:space="preserve"> </w:t>
      </w:r>
      <w:r>
        <w:rPr>
          <w:rFonts w:ascii="Arial"/>
          <w:color w:val="1D1D1D"/>
          <w:w w:val="105"/>
          <w:sz w:val="21"/>
        </w:rPr>
        <w:t xml:space="preserve">a </w:t>
      </w:r>
      <w:r>
        <w:rPr>
          <w:rFonts w:ascii="Arial"/>
          <w:color w:val="0C0C0C"/>
          <w:w w:val="105"/>
          <w:sz w:val="21"/>
        </w:rPr>
        <w:t xml:space="preserve">breach </w:t>
      </w:r>
      <w:r>
        <w:rPr>
          <w:rFonts w:ascii="Arial"/>
          <w:color w:val="1D1D1D"/>
          <w:w w:val="105"/>
          <w:sz w:val="21"/>
        </w:rPr>
        <w:t>not</w:t>
      </w:r>
      <w:r>
        <w:rPr>
          <w:rFonts w:ascii="Arial"/>
          <w:color w:val="1D1D1D"/>
          <w:spacing w:val="40"/>
          <w:w w:val="105"/>
          <w:sz w:val="21"/>
        </w:rPr>
        <w:t xml:space="preserve"> </w:t>
      </w:r>
      <w:r>
        <w:rPr>
          <w:rFonts w:ascii="Arial"/>
          <w:color w:val="1D1D1D"/>
          <w:w w:val="105"/>
          <w:sz w:val="21"/>
        </w:rPr>
        <w:t>only</w:t>
      </w:r>
      <w:r>
        <w:rPr>
          <w:rFonts w:ascii="Arial"/>
          <w:color w:val="1D1D1D"/>
          <w:spacing w:val="-7"/>
          <w:w w:val="105"/>
          <w:sz w:val="21"/>
        </w:rPr>
        <w:t xml:space="preserve"> </w:t>
      </w:r>
      <w:r>
        <w:rPr>
          <w:rFonts w:ascii="Arial"/>
          <w:color w:val="1D1D1D"/>
          <w:w w:val="105"/>
          <w:sz w:val="21"/>
        </w:rPr>
        <w:t>of Article 9.3,</w:t>
      </w:r>
      <w:r>
        <w:rPr>
          <w:rFonts w:ascii="Arial"/>
          <w:color w:val="1D1D1D"/>
          <w:spacing w:val="-15"/>
          <w:w w:val="105"/>
          <w:sz w:val="21"/>
        </w:rPr>
        <w:t xml:space="preserve"> </w:t>
      </w:r>
      <w:r>
        <w:rPr>
          <w:rFonts w:ascii="Arial"/>
          <w:color w:val="0C0C0C"/>
          <w:w w:val="105"/>
          <w:sz w:val="21"/>
        </w:rPr>
        <w:t xml:space="preserve">but also </w:t>
      </w:r>
      <w:r>
        <w:rPr>
          <w:rFonts w:ascii="Arial"/>
          <w:color w:val="1D1D1D"/>
          <w:w w:val="105"/>
          <w:sz w:val="21"/>
        </w:rPr>
        <w:t>of</w:t>
      </w:r>
      <w:r>
        <w:rPr>
          <w:rFonts w:ascii="Arial"/>
          <w:color w:val="1D1D1D"/>
          <w:spacing w:val="40"/>
          <w:w w:val="105"/>
          <w:sz w:val="21"/>
        </w:rPr>
        <w:t xml:space="preserve"> </w:t>
      </w:r>
      <w:r>
        <w:rPr>
          <w:rFonts w:ascii="Arial"/>
          <w:color w:val="0C0C0C"/>
          <w:w w:val="105"/>
          <w:sz w:val="21"/>
        </w:rPr>
        <w:t>the</w:t>
      </w:r>
      <w:r>
        <w:rPr>
          <w:rFonts w:ascii="Arial"/>
          <w:color w:val="0C0C0C"/>
          <w:spacing w:val="40"/>
          <w:w w:val="105"/>
          <w:sz w:val="21"/>
        </w:rPr>
        <w:t xml:space="preserve"> </w:t>
      </w:r>
      <w:r>
        <w:rPr>
          <w:rFonts w:ascii="Arial"/>
          <w:color w:val="1D1D1D"/>
          <w:w w:val="105"/>
          <w:sz w:val="21"/>
        </w:rPr>
        <w:t xml:space="preserve">obligation </w:t>
      </w:r>
      <w:r>
        <w:rPr>
          <w:rFonts w:ascii="Arial"/>
          <w:color w:val="0C0C0C"/>
          <w:w w:val="105"/>
          <w:sz w:val="21"/>
        </w:rPr>
        <w:t xml:space="preserve">in </w:t>
      </w:r>
      <w:r>
        <w:rPr>
          <w:rFonts w:ascii="Arial"/>
          <w:color w:val="1D1D1D"/>
          <w:w w:val="105"/>
          <w:sz w:val="21"/>
        </w:rPr>
        <w:t>Article 9.2</w:t>
      </w:r>
      <w:r>
        <w:rPr>
          <w:rFonts w:ascii="Arial"/>
          <w:color w:val="1D1D1D"/>
          <w:spacing w:val="-3"/>
          <w:w w:val="105"/>
          <w:sz w:val="21"/>
        </w:rPr>
        <w:t xml:space="preserve"> </w:t>
      </w:r>
      <w:r>
        <w:rPr>
          <w:rFonts w:ascii="Arial"/>
          <w:color w:val="1D1D1D"/>
          <w:w w:val="105"/>
          <w:sz w:val="21"/>
        </w:rPr>
        <w:t>to</w:t>
      </w:r>
      <w:r>
        <w:rPr>
          <w:rFonts w:ascii="Arial"/>
          <w:color w:val="1D1D1D"/>
          <w:spacing w:val="40"/>
          <w:w w:val="105"/>
          <w:sz w:val="21"/>
        </w:rPr>
        <w:t xml:space="preserve"> </w:t>
      </w:r>
      <w:r>
        <w:rPr>
          <w:rFonts w:ascii="Arial"/>
          <w:color w:val="1D1D1D"/>
          <w:w w:val="105"/>
          <w:sz w:val="21"/>
        </w:rPr>
        <w:t xml:space="preserve">impose </w:t>
      </w:r>
      <w:r>
        <w:rPr>
          <w:rFonts w:ascii="Arial"/>
          <w:color w:val="0C0C0C"/>
          <w:w w:val="105"/>
          <w:sz w:val="21"/>
        </w:rPr>
        <w:t xml:space="preserve">anti-dumping duties </w:t>
      </w:r>
      <w:r>
        <w:rPr>
          <w:rFonts w:ascii="Arial"/>
          <w:color w:val="1D1D1D"/>
          <w:w w:val="105"/>
          <w:sz w:val="21"/>
        </w:rPr>
        <w:t>in</w:t>
      </w:r>
      <w:r>
        <w:rPr>
          <w:rFonts w:ascii="Arial"/>
          <w:color w:val="1D1D1D"/>
          <w:spacing w:val="37"/>
          <w:w w:val="105"/>
          <w:sz w:val="21"/>
        </w:rPr>
        <w:t xml:space="preserve"> </w:t>
      </w:r>
      <w:r>
        <w:rPr>
          <w:rFonts w:ascii="Arial"/>
          <w:color w:val="1D1D1D"/>
          <w:w w:val="105"/>
          <w:sz w:val="21"/>
        </w:rPr>
        <w:t>"appropriate</w:t>
      </w:r>
      <w:r>
        <w:rPr>
          <w:rFonts w:ascii="Arial"/>
          <w:color w:val="1D1D1D"/>
          <w:spacing w:val="34"/>
          <w:w w:val="105"/>
          <w:sz w:val="21"/>
        </w:rPr>
        <w:t xml:space="preserve"> </w:t>
      </w:r>
      <w:r>
        <w:rPr>
          <w:rFonts w:ascii="Arial"/>
          <w:color w:val="1D1D1D"/>
          <w:w w:val="105"/>
          <w:sz w:val="21"/>
        </w:rPr>
        <w:t>amounts".</w:t>
      </w:r>
      <w:r>
        <w:rPr>
          <w:rFonts w:ascii="Arial"/>
          <w:color w:val="1D1D1D"/>
          <w:w w:val="105"/>
          <w:position w:val="7"/>
          <w:sz w:val="14"/>
        </w:rPr>
        <w:t>873</w:t>
      </w:r>
    </w:p>
    <w:p w14:paraId="51DE93C7" w14:textId="77777777" w:rsidR="0010369C" w:rsidRDefault="008E43AE">
      <w:pPr>
        <w:tabs>
          <w:tab w:val="left" w:pos="1097"/>
        </w:tabs>
        <w:spacing w:before="164" w:line="424" w:lineRule="auto"/>
        <w:ind w:left="237" w:right="582" w:hanging="3"/>
        <w:rPr>
          <w:rFonts w:ascii="Arial"/>
          <w:sz w:val="21"/>
        </w:rPr>
      </w:pPr>
      <w:r>
        <w:rPr>
          <w:rFonts w:ascii="Arial"/>
          <w:color w:val="1D1D1D"/>
          <w:spacing w:val="-4"/>
          <w:w w:val="110"/>
          <w:sz w:val="21"/>
        </w:rPr>
        <w:t>726.</w:t>
      </w:r>
      <w:r>
        <w:rPr>
          <w:rFonts w:ascii="Arial"/>
          <w:color w:val="1D1D1D"/>
          <w:sz w:val="21"/>
        </w:rPr>
        <w:tab/>
      </w:r>
      <w:r>
        <w:rPr>
          <w:rFonts w:ascii="Arial"/>
          <w:color w:val="1D1D1D"/>
          <w:w w:val="110"/>
          <w:sz w:val="21"/>
        </w:rPr>
        <w:t>As</w:t>
      </w:r>
      <w:r>
        <w:rPr>
          <w:rFonts w:ascii="Arial"/>
          <w:color w:val="1D1D1D"/>
          <w:spacing w:val="-16"/>
          <w:w w:val="110"/>
          <w:sz w:val="21"/>
        </w:rPr>
        <w:t xml:space="preserve"> </w:t>
      </w:r>
      <w:r>
        <w:rPr>
          <w:rFonts w:ascii="Arial"/>
          <w:color w:val="1D1D1D"/>
          <w:w w:val="110"/>
          <w:sz w:val="21"/>
        </w:rPr>
        <w:t>a</w:t>
      </w:r>
      <w:r>
        <w:rPr>
          <w:rFonts w:ascii="Arial"/>
          <w:color w:val="1D1D1D"/>
          <w:spacing w:val="-14"/>
          <w:w w:val="110"/>
          <w:sz w:val="21"/>
        </w:rPr>
        <w:t xml:space="preserve"> </w:t>
      </w:r>
      <w:r>
        <w:rPr>
          <w:rFonts w:ascii="Arial"/>
          <w:color w:val="1D1D1D"/>
          <w:w w:val="110"/>
          <w:sz w:val="21"/>
        </w:rPr>
        <w:t>consequence</w:t>
      </w:r>
      <w:r>
        <w:rPr>
          <w:rFonts w:ascii="Arial"/>
          <w:color w:val="1D1D1D"/>
          <w:spacing w:val="-5"/>
          <w:w w:val="110"/>
          <w:sz w:val="21"/>
        </w:rPr>
        <w:t xml:space="preserve"> </w:t>
      </w:r>
      <w:r>
        <w:rPr>
          <w:rFonts w:ascii="Arial"/>
          <w:color w:val="1D1D1D"/>
          <w:w w:val="110"/>
          <w:sz w:val="21"/>
        </w:rPr>
        <w:t>of</w:t>
      </w:r>
      <w:r>
        <w:rPr>
          <w:rFonts w:ascii="Arial"/>
          <w:color w:val="1D1D1D"/>
          <w:spacing w:val="7"/>
          <w:w w:val="110"/>
          <w:sz w:val="21"/>
        </w:rPr>
        <w:t xml:space="preserve"> </w:t>
      </w:r>
      <w:r>
        <w:rPr>
          <w:rFonts w:ascii="Arial"/>
          <w:color w:val="1D1D1D"/>
          <w:w w:val="110"/>
          <w:sz w:val="21"/>
        </w:rPr>
        <w:t>the</w:t>
      </w:r>
      <w:r>
        <w:rPr>
          <w:rFonts w:ascii="Arial"/>
          <w:color w:val="1D1D1D"/>
          <w:spacing w:val="16"/>
          <w:w w:val="110"/>
          <w:sz w:val="21"/>
        </w:rPr>
        <w:t xml:space="preserve"> </w:t>
      </w:r>
      <w:r>
        <w:rPr>
          <w:rFonts w:ascii="Arial"/>
          <w:color w:val="1D1D1D"/>
          <w:w w:val="110"/>
          <w:sz w:val="21"/>
        </w:rPr>
        <w:t>errors</w:t>
      </w:r>
      <w:r>
        <w:rPr>
          <w:rFonts w:ascii="Arial"/>
          <w:color w:val="1D1D1D"/>
          <w:spacing w:val="-11"/>
          <w:w w:val="110"/>
          <w:sz w:val="21"/>
        </w:rPr>
        <w:t xml:space="preserve"> </w:t>
      </w:r>
      <w:r>
        <w:rPr>
          <w:rFonts w:ascii="Arial"/>
          <w:color w:val="1D1D1D"/>
          <w:w w:val="110"/>
          <w:sz w:val="21"/>
        </w:rPr>
        <w:t>in</w:t>
      </w:r>
      <w:r>
        <w:rPr>
          <w:rFonts w:ascii="Arial"/>
          <w:color w:val="1D1D1D"/>
          <w:spacing w:val="-2"/>
          <w:w w:val="110"/>
          <w:sz w:val="21"/>
        </w:rPr>
        <w:t xml:space="preserve"> </w:t>
      </w:r>
      <w:r>
        <w:rPr>
          <w:rFonts w:ascii="Arial"/>
          <w:color w:val="0C0C0C"/>
          <w:w w:val="110"/>
          <w:sz w:val="21"/>
        </w:rPr>
        <w:t>MOFCOM's</w:t>
      </w:r>
      <w:r>
        <w:rPr>
          <w:rFonts w:ascii="Arial"/>
          <w:color w:val="0C0C0C"/>
          <w:spacing w:val="-4"/>
          <w:w w:val="110"/>
          <w:sz w:val="21"/>
        </w:rPr>
        <w:t xml:space="preserve"> </w:t>
      </w:r>
      <w:r>
        <w:rPr>
          <w:rFonts w:ascii="Arial"/>
          <w:color w:val="1D1D1D"/>
          <w:w w:val="110"/>
          <w:sz w:val="21"/>
        </w:rPr>
        <w:t>determinations</w:t>
      </w:r>
      <w:r>
        <w:rPr>
          <w:rFonts w:ascii="Arial"/>
          <w:color w:val="1D1D1D"/>
          <w:spacing w:val="-12"/>
          <w:w w:val="110"/>
          <w:sz w:val="21"/>
        </w:rPr>
        <w:t xml:space="preserve"> </w:t>
      </w:r>
      <w:r>
        <w:rPr>
          <w:rFonts w:ascii="Arial"/>
          <w:color w:val="1D1D1D"/>
          <w:w w:val="110"/>
          <w:sz w:val="21"/>
        </w:rPr>
        <w:t>of</w:t>
      </w:r>
      <w:r>
        <w:rPr>
          <w:rFonts w:ascii="Arial"/>
          <w:color w:val="1D1D1D"/>
          <w:spacing w:val="-1"/>
          <w:w w:val="110"/>
          <w:sz w:val="21"/>
        </w:rPr>
        <w:t xml:space="preserve"> </w:t>
      </w:r>
      <w:r>
        <w:rPr>
          <w:rFonts w:ascii="Arial"/>
          <w:color w:val="1D1D1D"/>
          <w:w w:val="110"/>
          <w:sz w:val="21"/>
        </w:rPr>
        <w:t>the existence</w:t>
      </w:r>
      <w:r>
        <w:rPr>
          <w:rFonts w:ascii="Arial"/>
          <w:color w:val="1D1D1D"/>
          <w:spacing w:val="-4"/>
          <w:w w:val="110"/>
          <w:sz w:val="21"/>
        </w:rPr>
        <w:t xml:space="preserve"> </w:t>
      </w:r>
      <w:r>
        <w:rPr>
          <w:rFonts w:ascii="Arial"/>
          <w:color w:val="1D1D1D"/>
          <w:w w:val="110"/>
          <w:sz w:val="21"/>
        </w:rPr>
        <w:t xml:space="preserve">of </w:t>
      </w:r>
      <w:r>
        <w:rPr>
          <w:rFonts w:ascii="Arial"/>
          <w:color w:val="0C0C0C"/>
          <w:w w:val="105"/>
          <w:sz w:val="21"/>
        </w:rPr>
        <w:t>dumping</w:t>
      </w:r>
      <w:r>
        <w:rPr>
          <w:rFonts w:ascii="Arial"/>
          <w:color w:val="0C0C0C"/>
          <w:spacing w:val="-14"/>
          <w:w w:val="105"/>
          <w:sz w:val="21"/>
        </w:rPr>
        <w:t xml:space="preserve"> </w:t>
      </w:r>
      <w:r>
        <w:rPr>
          <w:rFonts w:ascii="Arial"/>
          <w:color w:val="1D1D1D"/>
          <w:w w:val="105"/>
          <w:sz w:val="21"/>
        </w:rPr>
        <w:t>and</w:t>
      </w:r>
      <w:r>
        <w:rPr>
          <w:rFonts w:ascii="Arial"/>
          <w:color w:val="1D1D1D"/>
          <w:spacing w:val="-9"/>
          <w:w w:val="105"/>
          <w:sz w:val="21"/>
        </w:rPr>
        <w:t xml:space="preserve"> </w:t>
      </w:r>
      <w:r>
        <w:rPr>
          <w:rFonts w:ascii="Arial"/>
          <w:color w:val="1D1D1D"/>
          <w:w w:val="105"/>
          <w:sz w:val="21"/>
        </w:rPr>
        <w:t>the</w:t>
      </w:r>
      <w:r>
        <w:rPr>
          <w:rFonts w:ascii="Arial"/>
          <w:color w:val="1D1D1D"/>
          <w:spacing w:val="8"/>
          <w:w w:val="105"/>
          <w:sz w:val="21"/>
        </w:rPr>
        <w:t xml:space="preserve"> </w:t>
      </w:r>
      <w:r>
        <w:rPr>
          <w:rFonts w:ascii="Arial"/>
          <w:color w:val="1D1D1D"/>
          <w:w w:val="105"/>
          <w:sz w:val="21"/>
        </w:rPr>
        <w:t>margins</w:t>
      </w:r>
      <w:r>
        <w:rPr>
          <w:rFonts w:ascii="Arial"/>
          <w:color w:val="1D1D1D"/>
          <w:spacing w:val="-9"/>
          <w:w w:val="105"/>
          <w:sz w:val="21"/>
        </w:rPr>
        <w:t xml:space="preserve"> </w:t>
      </w:r>
      <w:r>
        <w:rPr>
          <w:rFonts w:ascii="Arial"/>
          <w:color w:val="1D1D1D"/>
          <w:w w:val="105"/>
          <w:sz w:val="21"/>
        </w:rPr>
        <w:t>of</w:t>
      </w:r>
      <w:r>
        <w:rPr>
          <w:rFonts w:ascii="Arial"/>
          <w:color w:val="1D1D1D"/>
          <w:spacing w:val="17"/>
          <w:w w:val="105"/>
          <w:sz w:val="21"/>
        </w:rPr>
        <w:t xml:space="preserve"> </w:t>
      </w:r>
      <w:r>
        <w:rPr>
          <w:rFonts w:ascii="Arial"/>
          <w:color w:val="0C0C0C"/>
          <w:w w:val="105"/>
          <w:sz w:val="21"/>
        </w:rPr>
        <w:t xml:space="preserve">dumping, </w:t>
      </w:r>
      <w:r>
        <w:rPr>
          <w:rFonts w:ascii="Arial"/>
          <w:color w:val="1D1D1D"/>
          <w:w w:val="105"/>
          <w:sz w:val="21"/>
        </w:rPr>
        <w:t>as</w:t>
      </w:r>
      <w:r>
        <w:rPr>
          <w:rFonts w:ascii="Arial"/>
          <w:color w:val="1D1D1D"/>
          <w:spacing w:val="-7"/>
          <w:w w:val="105"/>
          <w:sz w:val="21"/>
        </w:rPr>
        <w:t xml:space="preserve"> </w:t>
      </w:r>
      <w:r>
        <w:rPr>
          <w:rFonts w:ascii="Arial"/>
          <w:color w:val="1D1D1D"/>
          <w:w w:val="105"/>
          <w:sz w:val="21"/>
        </w:rPr>
        <w:t>established</w:t>
      </w:r>
      <w:r>
        <w:rPr>
          <w:rFonts w:ascii="Arial"/>
          <w:color w:val="1D1D1D"/>
          <w:spacing w:val="4"/>
          <w:w w:val="105"/>
          <w:sz w:val="21"/>
        </w:rPr>
        <w:t xml:space="preserve"> </w:t>
      </w:r>
      <w:r>
        <w:rPr>
          <w:rFonts w:ascii="Arial"/>
          <w:color w:val="1D1D1D"/>
          <w:w w:val="105"/>
          <w:sz w:val="21"/>
        </w:rPr>
        <w:t>(above)</w:t>
      </w:r>
      <w:r>
        <w:rPr>
          <w:rFonts w:ascii="Arial"/>
          <w:color w:val="1D1D1D"/>
          <w:w w:val="105"/>
          <w:position w:val="7"/>
          <w:sz w:val="14"/>
        </w:rPr>
        <w:t>874</w:t>
      </w:r>
      <w:r>
        <w:rPr>
          <w:rFonts w:ascii="Arial"/>
          <w:color w:val="1D1D1D"/>
          <w:w w:val="105"/>
          <w:sz w:val="14"/>
        </w:rPr>
        <w:t>,</w:t>
      </w:r>
      <w:r>
        <w:rPr>
          <w:rFonts w:ascii="Arial"/>
          <w:color w:val="1D1D1D"/>
          <w:spacing w:val="30"/>
          <w:w w:val="105"/>
          <w:sz w:val="14"/>
        </w:rPr>
        <w:t xml:space="preserve"> </w:t>
      </w:r>
      <w:r>
        <w:rPr>
          <w:rFonts w:ascii="Arial"/>
          <w:color w:val="0C0C0C"/>
          <w:w w:val="105"/>
          <w:sz w:val="21"/>
        </w:rPr>
        <w:t>MOFCOM</w:t>
      </w:r>
      <w:r>
        <w:rPr>
          <w:rFonts w:ascii="Arial"/>
          <w:color w:val="0C0C0C"/>
          <w:spacing w:val="9"/>
          <w:w w:val="105"/>
          <w:sz w:val="21"/>
        </w:rPr>
        <w:t xml:space="preserve"> </w:t>
      </w:r>
      <w:r>
        <w:rPr>
          <w:rFonts w:ascii="Arial"/>
          <w:color w:val="0C0C0C"/>
          <w:w w:val="105"/>
          <w:sz w:val="21"/>
        </w:rPr>
        <w:t>breached</w:t>
      </w:r>
      <w:r>
        <w:rPr>
          <w:rFonts w:ascii="Arial"/>
          <w:color w:val="0C0C0C"/>
          <w:spacing w:val="7"/>
          <w:w w:val="105"/>
          <w:sz w:val="21"/>
        </w:rPr>
        <w:t xml:space="preserve"> </w:t>
      </w:r>
      <w:r>
        <w:rPr>
          <w:rFonts w:ascii="Arial"/>
          <w:color w:val="1D1D1D"/>
          <w:spacing w:val="-2"/>
          <w:w w:val="105"/>
          <w:sz w:val="21"/>
        </w:rPr>
        <w:t>Article</w:t>
      </w:r>
    </w:p>
    <w:p w14:paraId="51DE93C8" w14:textId="77777777" w:rsidR="0010369C" w:rsidRDefault="008E43AE">
      <w:pPr>
        <w:pStyle w:val="ListParagraph"/>
        <w:numPr>
          <w:ilvl w:val="1"/>
          <w:numId w:val="33"/>
        </w:numPr>
        <w:tabs>
          <w:tab w:val="left" w:pos="603"/>
        </w:tabs>
        <w:spacing w:before="22"/>
        <w:ind w:left="602" w:hanging="368"/>
        <w:rPr>
          <w:rFonts w:ascii="Arial"/>
          <w:color w:val="1D1D1D"/>
          <w:sz w:val="21"/>
        </w:rPr>
      </w:pPr>
      <w:r>
        <w:rPr>
          <w:rFonts w:ascii="Arial"/>
          <w:color w:val="0C0C0C"/>
          <w:w w:val="105"/>
          <w:sz w:val="21"/>
        </w:rPr>
        <w:t>by</w:t>
      </w:r>
      <w:r>
        <w:rPr>
          <w:rFonts w:ascii="Arial"/>
          <w:color w:val="0C0C0C"/>
          <w:spacing w:val="-2"/>
          <w:w w:val="105"/>
          <w:sz w:val="21"/>
        </w:rPr>
        <w:t xml:space="preserve"> </w:t>
      </w:r>
      <w:r>
        <w:rPr>
          <w:rFonts w:ascii="Arial"/>
          <w:color w:val="1D1D1D"/>
          <w:w w:val="105"/>
          <w:sz w:val="21"/>
        </w:rPr>
        <w:t>failing</w:t>
      </w:r>
      <w:r>
        <w:rPr>
          <w:rFonts w:ascii="Arial"/>
          <w:color w:val="1D1D1D"/>
          <w:spacing w:val="-8"/>
          <w:w w:val="105"/>
          <w:sz w:val="21"/>
        </w:rPr>
        <w:t xml:space="preserve"> </w:t>
      </w:r>
      <w:r>
        <w:rPr>
          <w:rFonts w:ascii="Arial"/>
          <w:color w:val="0C0C0C"/>
          <w:w w:val="105"/>
          <w:sz w:val="21"/>
        </w:rPr>
        <w:t>to</w:t>
      </w:r>
      <w:r>
        <w:rPr>
          <w:rFonts w:ascii="Arial"/>
          <w:color w:val="0C0C0C"/>
          <w:spacing w:val="28"/>
          <w:w w:val="105"/>
          <w:sz w:val="21"/>
        </w:rPr>
        <w:t xml:space="preserve"> </w:t>
      </w:r>
      <w:r>
        <w:rPr>
          <w:rFonts w:ascii="Arial"/>
          <w:color w:val="1D1D1D"/>
          <w:w w:val="105"/>
          <w:sz w:val="21"/>
        </w:rPr>
        <w:t>impose</w:t>
      </w:r>
      <w:r>
        <w:rPr>
          <w:rFonts w:ascii="Arial"/>
          <w:color w:val="1D1D1D"/>
          <w:spacing w:val="-7"/>
          <w:w w:val="105"/>
          <w:sz w:val="21"/>
        </w:rPr>
        <w:t xml:space="preserve"> </w:t>
      </w:r>
      <w:r>
        <w:rPr>
          <w:rFonts w:ascii="Arial"/>
          <w:color w:val="1D1D1D"/>
          <w:w w:val="105"/>
          <w:sz w:val="21"/>
        </w:rPr>
        <w:t xml:space="preserve">anti-dumping </w:t>
      </w:r>
      <w:r>
        <w:rPr>
          <w:rFonts w:ascii="Arial"/>
          <w:color w:val="0C0C0C"/>
          <w:w w:val="105"/>
          <w:sz w:val="21"/>
        </w:rPr>
        <w:t xml:space="preserve">duties </w:t>
      </w:r>
      <w:r>
        <w:rPr>
          <w:rFonts w:ascii="Arial"/>
          <w:color w:val="1D1D1D"/>
          <w:w w:val="105"/>
          <w:sz w:val="21"/>
        </w:rPr>
        <w:t>in</w:t>
      </w:r>
      <w:r>
        <w:rPr>
          <w:rFonts w:ascii="Arial"/>
          <w:color w:val="1D1D1D"/>
          <w:spacing w:val="27"/>
          <w:w w:val="105"/>
          <w:sz w:val="21"/>
        </w:rPr>
        <w:t xml:space="preserve"> </w:t>
      </w:r>
      <w:r>
        <w:rPr>
          <w:rFonts w:ascii="Arial"/>
          <w:color w:val="1D1D1D"/>
          <w:w w:val="105"/>
          <w:sz w:val="21"/>
        </w:rPr>
        <w:t>"appropriate</w:t>
      </w:r>
      <w:r>
        <w:rPr>
          <w:rFonts w:ascii="Arial"/>
          <w:color w:val="1D1D1D"/>
          <w:spacing w:val="24"/>
          <w:w w:val="105"/>
          <w:sz w:val="21"/>
        </w:rPr>
        <w:t xml:space="preserve"> </w:t>
      </w:r>
      <w:r>
        <w:rPr>
          <w:rFonts w:ascii="Arial"/>
          <w:color w:val="1D1D1D"/>
          <w:spacing w:val="-2"/>
          <w:w w:val="105"/>
          <w:sz w:val="21"/>
        </w:rPr>
        <w:t>amounts".</w:t>
      </w:r>
    </w:p>
    <w:p w14:paraId="51DE93C9" w14:textId="77777777" w:rsidR="0010369C" w:rsidRDefault="0010369C">
      <w:pPr>
        <w:pStyle w:val="BodyText"/>
        <w:spacing w:before="4"/>
        <w:rPr>
          <w:rFonts w:ascii="Arial"/>
          <w:sz w:val="31"/>
        </w:rPr>
      </w:pPr>
    </w:p>
    <w:p w14:paraId="51DE93CA" w14:textId="77777777" w:rsidR="0010369C" w:rsidRDefault="008E43AE">
      <w:pPr>
        <w:spacing w:line="429" w:lineRule="auto"/>
        <w:ind w:left="237" w:right="566" w:hanging="3"/>
        <w:jc w:val="both"/>
        <w:rPr>
          <w:rFonts w:ascii="Arial"/>
          <w:sz w:val="21"/>
        </w:rPr>
      </w:pPr>
      <w:r>
        <w:rPr>
          <w:rFonts w:ascii="Arial"/>
          <w:color w:val="1D1D1D"/>
          <w:w w:val="110"/>
          <w:sz w:val="21"/>
        </w:rPr>
        <w:t>727.</w:t>
      </w:r>
      <w:r>
        <w:rPr>
          <w:rFonts w:ascii="Arial"/>
          <w:color w:val="1D1D1D"/>
          <w:spacing w:val="80"/>
          <w:w w:val="110"/>
          <w:sz w:val="21"/>
        </w:rPr>
        <w:t xml:space="preserve"> </w:t>
      </w:r>
      <w:r>
        <w:rPr>
          <w:rFonts w:ascii="Arial"/>
          <w:color w:val="0C0C0C"/>
          <w:w w:val="110"/>
          <w:sz w:val="21"/>
        </w:rPr>
        <w:t xml:space="preserve">MOFCOM </w:t>
      </w:r>
      <w:r>
        <w:rPr>
          <w:rFonts w:ascii="Arial"/>
          <w:color w:val="1D1D1D"/>
          <w:w w:val="110"/>
          <w:sz w:val="21"/>
        </w:rPr>
        <w:t xml:space="preserve">failed </w:t>
      </w:r>
      <w:r>
        <w:rPr>
          <w:rFonts w:ascii="Arial"/>
          <w:color w:val="0C0C0C"/>
          <w:w w:val="110"/>
          <w:sz w:val="21"/>
        </w:rPr>
        <w:t xml:space="preserve">to </w:t>
      </w:r>
      <w:r>
        <w:rPr>
          <w:rFonts w:ascii="Arial"/>
          <w:color w:val="1D1D1D"/>
          <w:w w:val="110"/>
          <w:sz w:val="21"/>
        </w:rPr>
        <w:t xml:space="preserve">make its dumping </w:t>
      </w:r>
      <w:r>
        <w:rPr>
          <w:rFonts w:ascii="Arial"/>
          <w:color w:val="0C0C0C"/>
          <w:w w:val="110"/>
          <w:sz w:val="21"/>
        </w:rPr>
        <w:t xml:space="preserve">determinations in </w:t>
      </w:r>
      <w:r>
        <w:rPr>
          <w:rFonts w:ascii="Arial"/>
          <w:color w:val="1D1D1D"/>
          <w:w w:val="110"/>
          <w:sz w:val="21"/>
        </w:rPr>
        <w:t xml:space="preserve">accordance with </w:t>
      </w:r>
      <w:r>
        <w:rPr>
          <w:rFonts w:ascii="Arial"/>
          <w:color w:val="0C0C0C"/>
          <w:w w:val="110"/>
          <w:sz w:val="21"/>
        </w:rPr>
        <w:t xml:space="preserve">the requirements </w:t>
      </w:r>
      <w:r>
        <w:rPr>
          <w:rFonts w:ascii="Arial"/>
          <w:color w:val="1D1D1D"/>
          <w:w w:val="110"/>
          <w:sz w:val="21"/>
        </w:rPr>
        <w:t xml:space="preserve">of Article 2 </w:t>
      </w:r>
      <w:r>
        <w:rPr>
          <w:rFonts w:ascii="Arial"/>
          <w:color w:val="0C0C0C"/>
          <w:w w:val="110"/>
          <w:sz w:val="21"/>
        </w:rPr>
        <w:t xml:space="preserve">because, </w:t>
      </w:r>
      <w:r>
        <w:rPr>
          <w:rFonts w:ascii="Times New Roman"/>
          <w:i/>
          <w:color w:val="1D1D1D"/>
          <w:w w:val="110"/>
          <w:sz w:val="23"/>
        </w:rPr>
        <w:t xml:space="preserve">inter a/ia, </w:t>
      </w:r>
      <w:r>
        <w:rPr>
          <w:rFonts w:ascii="Arial"/>
          <w:color w:val="1D1D1D"/>
          <w:w w:val="110"/>
          <w:sz w:val="21"/>
        </w:rPr>
        <w:t xml:space="preserve">it improperly rejected relevant </w:t>
      </w:r>
      <w:r>
        <w:rPr>
          <w:rFonts w:ascii="Arial"/>
          <w:color w:val="0C0C0C"/>
          <w:w w:val="110"/>
          <w:sz w:val="21"/>
        </w:rPr>
        <w:t xml:space="preserve">information </w:t>
      </w:r>
      <w:r>
        <w:rPr>
          <w:rFonts w:ascii="Arial"/>
          <w:color w:val="1D1D1D"/>
          <w:w w:val="110"/>
          <w:sz w:val="21"/>
        </w:rPr>
        <w:t xml:space="preserve">supplied </w:t>
      </w:r>
      <w:r>
        <w:rPr>
          <w:rFonts w:ascii="Arial"/>
          <w:color w:val="0C0C0C"/>
          <w:w w:val="110"/>
          <w:sz w:val="21"/>
        </w:rPr>
        <w:t xml:space="preserve">by </w:t>
      </w:r>
      <w:r>
        <w:rPr>
          <w:rFonts w:ascii="Arial"/>
          <w:color w:val="1D1D1D"/>
          <w:w w:val="110"/>
          <w:sz w:val="21"/>
        </w:rPr>
        <w:t xml:space="preserve">the sampled companies, resorted to facts available </w:t>
      </w:r>
      <w:r>
        <w:rPr>
          <w:rFonts w:ascii="Arial"/>
          <w:color w:val="0C0C0C"/>
          <w:w w:val="110"/>
          <w:sz w:val="21"/>
        </w:rPr>
        <w:t xml:space="preserve">inconsistently </w:t>
      </w:r>
      <w:r>
        <w:rPr>
          <w:rFonts w:ascii="Arial"/>
          <w:color w:val="1D1D1D"/>
          <w:w w:val="110"/>
          <w:sz w:val="21"/>
        </w:rPr>
        <w:t xml:space="preserve">with its </w:t>
      </w:r>
      <w:r>
        <w:rPr>
          <w:rFonts w:ascii="Arial"/>
          <w:color w:val="1D1D1D"/>
          <w:w w:val="105"/>
          <w:sz w:val="21"/>
        </w:rPr>
        <w:t>obligations under Article 6.8 and</w:t>
      </w:r>
      <w:r>
        <w:rPr>
          <w:rFonts w:ascii="Arial"/>
          <w:color w:val="1D1D1D"/>
          <w:spacing w:val="-11"/>
          <w:w w:val="105"/>
          <w:sz w:val="21"/>
        </w:rPr>
        <w:t xml:space="preserve"> </w:t>
      </w:r>
      <w:r>
        <w:rPr>
          <w:rFonts w:ascii="Arial"/>
          <w:color w:val="1D1D1D"/>
          <w:w w:val="105"/>
          <w:sz w:val="21"/>
        </w:rPr>
        <w:t xml:space="preserve">Annex II, erred </w:t>
      </w:r>
      <w:r>
        <w:rPr>
          <w:rFonts w:ascii="Arial"/>
          <w:color w:val="0C0C0C"/>
          <w:w w:val="105"/>
          <w:sz w:val="21"/>
        </w:rPr>
        <w:t xml:space="preserve">in </w:t>
      </w:r>
      <w:r>
        <w:rPr>
          <w:rFonts w:ascii="Arial"/>
          <w:color w:val="1D1D1D"/>
          <w:w w:val="105"/>
          <w:sz w:val="21"/>
        </w:rPr>
        <w:t>determining</w:t>
      </w:r>
      <w:r>
        <w:rPr>
          <w:rFonts w:ascii="Arial"/>
          <w:color w:val="1D1D1D"/>
          <w:spacing w:val="-2"/>
          <w:w w:val="105"/>
          <w:sz w:val="21"/>
        </w:rPr>
        <w:t xml:space="preserve"> </w:t>
      </w:r>
      <w:r>
        <w:rPr>
          <w:rFonts w:ascii="Arial"/>
          <w:color w:val="1D1D1D"/>
          <w:w w:val="105"/>
          <w:sz w:val="21"/>
        </w:rPr>
        <w:t>the norma</w:t>
      </w:r>
      <w:r>
        <w:rPr>
          <w:rFonts w:ascii="Arial"/>
          <w:color w:val="1D1D1D"/>
          <w:w w:val="105"/>
          <w:sz w:val="21"/>
        </w:rPr>
        <w:t>l values and</w:t>
      </w:r>
      <w:r>
        <w:rPr>
          <w:rFonts w:ascii="Arial"/>
          <w:color w:val="1D1D1D"/>
          <w:spacing w:val="-8"/>
          <w:w w:val="105"/>
          <w:sz w:val="21"/>
        </w:rPr>
        <w:t xml:space="preserve"> </w:t>
      </w:r>
      <w:r>
        <w:rPr>
          <w:rFonts w:ascii="Arial"/>
          <w:color w:val="1D1D1D"/>
          <w:w w:val="105"/>
          <w:sz w:val="21"/>
        </w:rPr>
        <w:t xml:space="preserve">export </w:t>
      </w:r>
      <w:r>
        <w:rPr>
          <w:rFonts w:ascii="Arial"/>
          <w:color w:val="0C0C0C"/>
          <w:w w:val="110"/>
          <w:sz w:val="21"/>
        </w:rPr>
        <w:t>prices,</w:t>
      </w:r>
      <w:r>
        <w:rPr>
          <w:rFonts w:ascii="Arial"/>
          <w:color w:val="0C0C0C"/>
          <w:spacing w:val="-17"/>
          <w:w w:val="110"/>
          <w:sz w:val="21"/>
        </w:rPr>
        <w:t xml:space="preserve"> </w:t>
      </w:r>
      <w:r>
        <w:rPr>
          <w:rFonts w:ascii="Arial"/>
          <w:color w:val="1D1D1D"/>
          <w:w w:val="110"/>
          <w:sz w:val="21"/>
        </w:rPr>
        <w:t>and</w:t>
      </w:r>
      <w:r>
        <w:rPr>
          <w:rFonts w:ascii="Arial"/>
          <w:color w:val="1D1D1D"/>
          <w:spacing w:val="-11"/>
          <w:w w:val="110"/>
          <w:sz w:val="21"/>
        </w:rPr>
        <w:t xml:space="preserve"> </w:t>
      </w:r>
      <w:r>
        <w:rPr>
          <w:rFonts w:ascii="Arial"/>
          <w:color w:val="1D1D1D"/>
          <w:w w:val="110"/>
          <w:sz w:val="21"/>
        </w:rPr>
        <w:t>failed</w:t>
      </w:r>
      <w:r>
        <w:rPr>
          <w:rFonts w:ascii="Arial"/>
          <w:color w:val="1D1D1D"/>
          <w:spacing w:val="-13"/>
          <w:w w:val="110"/>
          <w:sz w:val="21"/>
        </w:rPr>
        <w:t xml:space="preserve"> </w:t>
      </w:r>
      <w:r>
        <w:rPr>
          <w:rFonts w:ascii="Arial"/>
          <w:color w:val="1D1D1D"/>
          <w:w w:val="110"/>
          <w:sz w:val="21"/>
        </w:rPr>
        <w:t>to</w:t>
      </w:r>
      <w:r>
        <w:rPr>
          <w:rFonts w:ascii="Arial"/>
          <w:color w:val="1D1D1D"/>
          <w:spacing w:val="11"/>
          <w:w w:val="110"/>
          <w:sz w:val="21"/>
        </w:rPr>
        <w:t xml:space="preserve"> </w:t>
      </w:r>
      <w:r>
        <w:rPr>
          <w:rFonts w:ascii="Arial"/>
          <w:color w:val="0C0C0C"/>
          <w:w w:val="110"/>
          <w:sz w:val="21"/>
        </w:rPr>
        <w:t>make</w:t>
      </w:r>
      <w:r>
        <w:rPr>
          <w:rFonts w:ascii="Arial"/>
          <w:color w:val="0C0C0C"/>
          <w:spacing w:val="-14"/>
          <w:w w:val="110"/>
          <w:sz w:val="21"/>
        </w:rPr>
        <w:t xml:space="preserve"> </w:t>
      </w:r>
      <w:r>
        <w:rPr>
          <w:rFonts w:ascii="Arial"/>
          <w:color w:val="1D1D1D"/>
          <w:w w:val="110"/>
          <w:sz w:val="21"/>
        </w:rPr>
        <w:t>a</w:t>
      </w:r>
      <w:r>
        <w:rPr>
          <w:rFonts w:ascii="Arial"/>
          <w:color w:val="1D1D1D"/>
          <w:spacing w:val="-6"/>
          <w:w w:val="110"/>
          <w:sz w:val="21"/>
        </w:rPr>
        <w:t xml:space="preserve"> </w:t>
      </w:r>
      <w:r>
        <w:rPr>
          <w:rFonts w:ascii="Arial"/>
          <w:color w:val="1D1D1D"/>
          <w:w w:val="110"/>
          <w:sz w:val="21"/>
        </w:rPr>
        <w:t>fair</w:t>
      </w:r>
      <w:r>
        <w:rPr>
          <w:rFonts w:ascii="Arial"/>
          <w:color w:val="1D1D1D"/>
          <w:spacing w:val="-15"/>
          <w:w w:val="110"/>
          <w:sz w:val="21"/>
        </w:rPr>
        <w:t xml:space="preserve"> </w:t>
      </w:r>
      <w:r>
        <w:rPr>
          <w:rFonts w:ascii="Arial"/>
          <w:color w:val="1D1D1D"/>
          <w:w w:val="110"/>
          <w:sz w:val="21"/>
        </w:rPr>
        <w:t>comparison</w:t>
      </w:r>
      <w:r>
        <w:rPr>
          <w:rFonts w:ascii="Arial"/>
          <w:color w:val="1D1D1D"/>
          <w:spacing w:val="-3"/>
          <w:w w:val="110"/>
          <w:sz w:val="21"/>
        </w:rPr>
        <w:t xml:space="preserve"> </w:t>
      </w:r>
      <w:r>
        <w:rPr>
          <w:rFonts w:ascii="Arial"/>
          <w:color w:val="1D1D1D"/>
          <w:w w:val="110"/>
          <w:sz w:val="21"/>
        </w:rPr>
        <w:t>between</w:t>
      </w:r>
      <w:r>
        <w:rPr>
          <w:rFonts w:ascii="Arial"/>
          <w:color w:val="1D1D1D"/>
          <w:spacing w:val="-11"/>
          <w:w w:val="110"/>
          <w:sz w:val="21"/>
        </w:rPr>
        <w:t xml:space="preserve"> </w:t>
      </w:r>
      <w:r>
        <w:rPr>
          <w:rFonts w:ascii="Arial"/>
          <w:color w:val="0C0C0C"/>
          <w:w w:val="110"/>
          <w:sz w:val="21"/>
        </w:rPr>
        <w:t>the normal</w:t>
      </w:r>
      <w:r>
        <w:rPr>
          <w:rFonts w:ascii="Arial"/>
          <w:color w:val="0C0C0C"/>
          <w:spacing w:val="-14"/>
          <w:w w:val="110"/>
          <w:sz w:val="21"/>
        </w:rPr>
        <w:t xml:space="preserve"> </w:t>
      </w:r>
      <w:r>
        <w:rPr>
          <w:rFonts w:ascii="Arial"/>
          <w:color w:val="1D1D1D"/>
          <w:w w:val="110"/>
          <w:sz w:val="21"/>
        </w:rPr>
        <w:t>value</w:t>
      </w:r>
      <w:r>
        <w:rPr>
          <w:rFonts w:ascii="Arial"/>
          <w:color w:val="1D1D1D"/>
          <w:spacing w:val="-17"/>
          <w:w w:val="110"/>
          <w:sz w:val="21"/>
        </w:rPr>
        <w:t xml:space="preserve"> </w:t>
      </w:r>
      <w:r>
        <w:rPr>
          <w:rFonts w:ascii="Arial"/>
          <w:color w:val="1D1D1D"/>
          <w:w w:val="110"/>
          <w:sz w:val="21"/>
        </w:rPr>
        <w:t>and</w:t>
      </w:r>
      <w:r>
        <w:rPr>
          <w:rFonts w:ascii="Arial"/>
          <w:color w:val="1D1D1D"/>
          <w:spacing w:val="-13"/>
          <w:w w:val="110"/>
          <w:sz w:val="21"/>
        </w:rPr>
        <w:t xml:space="preserve"> </w:t>
      </w:r>
      <w:r>
        <w:rPr>
          <w:rFonts w:ascii="Arial"/>
          <w:color w:val="1D1D1D"/>
          <w:w w:val="110"/>
          <w:sz w:val="21"/>
        </w:rPr>
        <w:t>export</w:t>
      </w:r>
      <w:r>
        <w:rPr>
          <w:rFonts w:ascii="Arial"/>
          <w:color w:val="1D1D1D"/>
          <w:spacing w:val="-14"/>
          <w:w w:val="110"/>
          <w:sz w:val="21"/>
        </w:rPr>
        <w:t xml:space="preserve"> </w:t>
      </w:r>
      <w:r>
        <w:rPr>
          <w:rFonts w:ascii="Arial"/>
          <w:color w:val="1D1D1D"/>
          <w:w w:val="110"/>
          <w:sz w:val="21"/>
        </w:rPr>
        <w:t>price</w:t>
      </w:r>
      <w:r>
        <w:rPr>
          <w:rFonts w:ascii="Arial"/>
          <w:color w:val="1D1D1D"/>
          <w:spacing w:val="-17"/>
          <w:w w:val="110"/>
          <w:sz w:val="21"/>
        </w:rPr>
        <w:t xml:space="preserve"> </w:t>
      </w:r>
      <w:r>
        <w:rPr>
          <w:rFonts w:ascii="Arial"/>
          <w:color w:val="1D1D1D"/>
          <w:w w:val="110"/>
          <w:sz w:val="21"/>
        </w:rPr>
        <w:t xml:space="preserve">for </w:t>
      </w:r>
      <w:r>
        <w:rPr>
          <w:rFonts w:ascii="Arial"/>
          <w:color w:val="1D1D1D"/>
          <w:spacing w:val="-2"/>
          <w:w w:val="105"/>
          <w:sz w:val="21"/>
        </w:rPr>
        <w:t>each</w:t>
      </w:r>
      <w:r>
        <w:rPr>
          <w:rFonts w:ascii="Arial"/>
          <w:color w:val="1D1D1D"/>
          <w:spacing w:val="-14"/>
          <w:w w:val="105"/>
          <w:sz w:val="21"/>
        </w:rPr>
        <w:t xml:space="preserve"> </w:t>
      </w:r>
      <w:r>
        <w:rPr>
          <w:rFonts w:ascii="Arial"/>
          <w:color w:val="1D1D1D"/>
          <w:spacing w:val="-2"/>
          <w:w w:val="105"/>
          <w:sz w:val="21"/>
        </w:rPr>
        <w:t>sampled</w:t>
      </w:r>
      <w:r>
        <w:rPr>
          <w:rFonts w:ascii="Arial"/>
          <w:color w:val="1D1D1D"/>
          <w:spacing w:val="-13"/>
          <w:w w:val="105"/>
          <w:sz w:val="21"/>
        </w:rPr>
        <w:t xml:space="preserve"> </w:t>
      </w:r>
      <w:r>
        <w:rPr>
          <w:rFonts w:ascii="Arial"/>
          <w:color w:val="1D1D1D"/>
          <w:spacing w:val="-2"/>
          <w:w w:val="105"/>
          <w:sz w:val="21"/>
        </w:rPr>
        <w:t>company.</w:t>
      </w:r>
      <w:r>
        <w:rPr>
          <w:rFonts w:ascii="Arial"/>
          <w:color w:val="1D1D1D"/>
          <w:spacing w:val="-2"/>
          <w:w w:val="105"/>
          <w:position w:val="7"/>
          <w:sz w:val="14"/>
        </w:rPr>
        <w:t>87</w:t>
      </w:r>
      <w:r>
        <w:rPr>
          <w:rFonts w:ascii="Arial"/>
          <w:color w:val="1D1D1D"/>
          <w:spacing w:val="-2"/>
          <w:w w:val="105"/>
          <w:sz w:val="21"/>
        </w:rPr>
        <w:t>s</w:t>
      </w:r>
      <w:r>
        <w:rPr>
          <w:rFonts w:ascii="Arial"/>
          <w:color w:val="1D1D1D"/>
          <w:spacing w:val="-13"/>
          <w:w w:val="105"/>
          <w:sz w:val="21"/>
        </w:rPr>
        <w:t xml:space="preserve"> </w:t>
      </w:r>
      <w:r>
        <w:rPr>
          <w:rFonts w:ascii="Arial"/>
          <w:color w:val="0C0C0C"/>
          <w:spacing w:val="-2"/>
          <w:w w:val="105"/>
          <w:sz w:val="21"/>
        </w:rPr>
        <w:t>MOFCOM</w:t>
      </w:r>
      <w:r>
        <w:rPr>
          <w:rFonts w:ascii="Arial"/>
          <w:color w:val="0C0C0C"/>
          <w:spacing w:val="-14"/>
          <w:w w:val="105"/>
          <w:sz w:val="21"/>
        </w:rPr>
        <w:t xml:space="preserve"> </w:t>
      </w:r>
      <w:r>
        <w:rPr>
          <w:rFonts w:ascii="Arial"/>
          <w:color w:val="1D1D1D"/>
          <w:spacing w:val="-2"/>
          <w:w w:val="105"/>
          <w:sz w:val="21"/>
        </w:rPr>
        <w:t>also</w:t>
      </w:r>
      <w:r>
        <w:rPr>
          <w:rFonts w:ascii="Arial"/>
          <w:color w:val="1D1D1D"/>
          <w:spacing w:val="-13"/>
          <w:w w:val="105"/>
          <w:sz w:val="21"/>
        </w:rPr>
        <w:t xml:space="preserve"> </w:t>
      </w:r>
      <w:r>
        <w:rPr>
          <w:rFonts w:ascii="Arial"/>
          <w:color w:val="1D1D1D"/>
          <w:spacing w:val="-2"/>
          <w:w w:val="105"/>
          <w:sz w:val="21"/>
        </w:rPr>
        <w:t>erroneously</w:t>
      </w:r>
      <w:r>
        <w:rPr>
          <w:rFonts w:ascii="Arial"/>
          <w:color w:val="1D1D1D"/>
          <w:spacing w:val="-13"/>
          <w:w w:val="105"/>
          <w:sz w:val="21"/>
        </w:rPr>
        <w:t xml:space="preserve"> </w:t>
      </w:r>
      <w:r>
        <w:rPr>
          <w:rFonts w:ascii="Arial"/>
          <w:color w:val="1D1D1D"/>
          <w:spacing w:val="-2"/>
          <w:w w:val="105"/>
          <w:sz w:val="21"/>
        </w:rPr>
        <w:t>deemed</w:t>
      </w:r>
      <w:r>
        <w:rPr>
          <w:rFonts w:ascii="Arial"/>
          <w:color w:val="1D1D1D"/>
          <w:spacing w:val="-13"/>
          <w:w w:val="105"/>
          <w:sz w:val="21"/>
        </w:rPr>
        <w:t xml:space="preserve"> </w:t>
      </w:r>
      <w:r>
        <w:rPr>
          <w:rFonts w:ascii="Arial"/>
          <w:color w:val="1D1D1D"/>
          <w:spacing w:val="-2"/>
          <w:w w:val="105"/>
          <w:sz w:val="21"/>
        </w:rPr>
        <w:t>non-sampled</w:t>
      </w:r>
      <w:r>
        <w:rPr>
          <w:rFonts w:ascii="Arial"/>
          <w:color w:val="1D1D1D"/>
          <w:spacing w:val="14"/>
          <w:w w:val="105"/>
          <w:sz w:val="21"/>
        </w:rPr>
        <w:t xml:space="preserve"> </w:t>
      </w:r>
      <w:r>
        <w:rPr>
          <w:rFonts w:ascii="Arial"/>
          <w:color w:val="1D1D1D"/>
          <w:spacing w:val="-2"/>
          <w:w w:val="105"/>
          <w:sz w:val="21"/>
        </w:rPr>
        <w:t>companies</w:t>
      </w:r>
      <w:r>
        <w:rPr>
          <w:rFonts w:ascii="Arial"/>
          <w:color w:val="1D1D1D"/>
          <w:spacing w:val="-4"/>
          <w:w w:val="105"/>
          <w:sz w:val="21"/>
        </w:rPr>
        <w:t xml:space="preserve"> </w:t>
      </w:r>
      <w:r>
        <w:rPr>
          <w:rFonts w:ascii="Arial"/>
          <w:color w:val="1D1D1D"/>
          <w:spacing w:val="-2"/>
          <w:w w:val="105"/>
          <w:sz w:val="21"/>
        </w:rPr>
        <w:t>to</w:t>
      </w:r>
      <w:r>
        <w:rPr>
          <w:rFonts w:ascii="Arial"/>
          <w:color w:val="1D1D1D"/>
          <w:spacing w:val="33"/>
          <w:w w:val="105"/>
          <w:sz w:val="21"/>
        </w:rPr>
        <w:t xml:space="preserve"> </w:t>
      </w:r>
      <w:r>
        <w:rPr>
          <w:rFonts w:ascii="Arial"/>
          <w:color w:val="0C0C0C"/>
          <w:spacing w:val="-2"/>
          <w:w w:val="105"/>
          <w:sz w:val="21"/>
        </w:rPr>
        <w:t xml:space="preserve">be </w:t>
      </w:r>
      <w:r>
        <w:rPr>
          <w:rFonts w:ascii="Arial"/>
          <w:color w:val="0C0C0C"/>
          <w:spacing w:val="-2"/>
          <w:w w:val="110"/>
          <w:sz w:val="21"/>
        </w:rPr>
        <w:t>non-cooperative.</w:t>
      </w:r>
    </w:p>
    <w:p w14:paraId="51DE93CB" w14:textId="77777777" w:rsidR="0010369C" w:rsidRDefault="008E43AE">
      <w:pPr>
        <w:spacing w:before="126" w:line="434" w:lineRule="auto"/>
        <w:ind w:left="231" w:right="571" w:firstLine="3"/>
        <w:jc w:val="both"/>
        <w:rPr>
          <w:rFonts w:ascii="Arial"/>
          <w:sz w:val="21"/>
        </w:rPr>
      </w:pPr>
      <w:r>
        <w:rPr>
          <w:rFonts w:ascii="Arial"/>
          <w:color w:val="1D1D1D"/>
          <w:w w:val="110"/>
          <w:sz w:val="21"/>
        </w:rPr>
        <w:t>728.</w:t>
      </w:r>
      <w:r>
        <w:rPr>
          <w:rFonts w:ascii="Arial"/>
          <w:color w:val="1D1D1D"/>
          <w:spacing w:val="80"/>
          <w:w w:val="110"/>
          <w:sz w:val="21"/>
        </w:rPr>
        <w:t xml:space="preserve"> </w:t>
      </w:r>
      <w:r>
        <w:rPr>
          <w:rFonts w:ascii="Arial"/>
          <w:color w:val="1D1D1D"/>
          <w:w w:val="110"/>
          <w:sz w:val="21"/>
        </w:rPr>
        <w:t>The amount of anti-dumping</w:t>
      </w:r>
      <w:r>
        <w:rPr>
          <w:rFonts w:ascii="Arial"/>
          <w:color w:val="1D1D1D"/>
          <w:w w:val="110"/>
          <w:sz w:val="21"/>
        </w:rPr>
        <w:t xml:space="preserve"> duties imposed were </w:t>
      </w:r>
      <w:r>
        <w:rPr>
          <w:rFonts w:ascii="Arial"/>
          <w:color w:val="0C0C0C"/>
          <w:w w:val="110"/>
          <w:sz w:val="21"/>
        </w:rPr>
        <w:t xml:space="preserve">not </w:t>
      </w:r>
      <w:r>
        <w:rPr>
          <w:rFonts w:ascii="Arial"/>
          <w:color w:val="1D1D1D"/>
          <w:w w:val="110"/>
          <w:sz w:val="21"/>
        </w:rPr>
        <w:t xml:space="preserve">"suitable", "fitting" or </w:t>
      </w:r>
      <w:r>
        <w:rPr>
          <w:rFonts w:ascii="Arial"/>
          <w:color w:val="1D1D1D"/>
          <w:w w:val="105"/>
          <w:sz w:val="21"/>
        </w:rPr>
        <w:t>"proper"</w:t>
      </w:r>
      <w:r>
        <w:rPr>
          <w:rFonts w:ascii="Arial"/>
          <w:color w:val="1D1D1D"/>
          <w:w w:val="105"/>
          <w:position w:val="7"/>
          <w:sz w:val="14"/>
        </w:rPr>
        <w:t>876</w:t>
      </w:r>
      <w:r>
        <w:rPr>
          <w:rFonts w:ascii="Arial"/>
          <w:color w:val="1D1D1D"/>
          <w:spacing w:val="-5"/>
          <w:w w:val="105"/>
          <w:position w:val="7"/>
          <w:sz w:val="14"/>
        </w:rPr>
        <w:t xml:space="preserve"> </w:t>
      </w:r>
      <w:r>
        <w:rPr>
          <w:rFonts w:ascii="Arial"/>
          <w:color w:val="1D1D1D"/>
          <w:w w:val="105"/>
          <w:sz w:val="21"/>
        </w:rPr>
        <w:t>to offset</w:t>
      </w:r>
      <w:r>
        <w:rPr>
          <w:rFonts w:ascii="Arial"/>
          <w:color w:val="1D1D1D"/>
          <w:spacing w:val="-16"/>
          <w:w w:val="105"/>
          <w:sz w:val="21"/>
        </w:rPr>
        <w:t xml:space="preserve"> </w:t>
      </w:r>
      <w:r>
        <w:rPr>
          <w:rFonts w:ascii="Arial"/>
          <w:color w:val="0C0C0C"/>
          <w:w w:val="105"/>
          <w:sz w:val="21"/>
        </w:rPr>
        <w:t>the</w:t>
      </w:r>
      <w:r>
        <w:rPr>
          <w:rFonts w:ascii="Arial"/>
          <w:color w:val="0C0C0C"/>
          <w:spacing w:val="-7"/>
          <w:w w:val="105"/>
          <w:sz w:val="21"/>
        </w:rPr>
        <w:t xml:space="preserve"> </w:t>
      </w:r>
      <w:r>
        <w:rPr>
          <w:rFonts w:ascii="Arial"/>
          <w:color w:val="1D1D1D"/>
          <w:w w:val="105"/>
          <w:sz w:val="21"/>
        </w:rPr>
        <w:t>alleged</w:t>
      </w:r>
      <w:r>
        <w:rPr>
          <w:rFonts w:ascii="Arial"/>
          <w:color w:val="1D1D1D"/>
          <w:spacing w:val="-10"/>
          <w:w w:val="105"/>
          <w:sz w:val="21"/>
        </w:rPr>
        <w:t xml:space="preserve"> </w:t>
      </w:r>
      <w:r>
        <w:rPr>
          <w:rFonts w:ascii="Arial"/>
          <w:color w:val="0C0C0C"/>
          <w:w w:val="105"/>
          <w:sz w:val="21"/>
        </w:rPr>
        <w:t>dumping</w:t>
      </w:r>
      <w:r>
        <w:rPr>
          <w:rFonts w:ascii="Arial"/>
          <w:color w:val="0C0C0C"/>
          <w:spacing w:val="-16"/>
          <w:w w:val="105"/>
          <w:sz w:val="21"/>
        </w:rPr>
        <w:t xml:space="preserve"> </w:t>
      </w:r>
      <w:r>
        <w:rPr>
          <w:rFonts w:ascii="Arial"/>
          <w:color w:val="0C0C0C"/>
          <w:w w:val="105"/>
          <w:sz w:val="21"/>
        </w:rPr>
        <w:t xml:space="preserve">because MOFCOM's breaches </w:t>
      </w:r>
      <w:r>
        <w:rPr>
          <w:rFonts w:ascii="Arial"/>
          <w:color w:val="1D1D1D"/>
          <w:w w:val="105"/>
          <w:sz w:val="21"/>
        </w:rPr>
        <w:t>of Articles 2,</w:t>
      </w:r>
      <w:r>
        <w:rPr>
          <w:rFonts w:ascii="Arial"/>
          <w:color w:val="1D1D1D"/>
          <w:spacing w:val="-16"/>
          <w:w w:val="105"/>
          <w:sz w:val="21"/>
        </w:rPr>
        <w:t xml:space="preserve"> </w:t>
      </w:r>
      <w:r>
        <w:rPr>
          <w:rFonts w:ascii="Arial"/>
          <w:color w:val="1D1D1D"/>
          <w:w w:val="105"/>
          <w:sz w:val="21"/>
        </w:rPr>
        <w:t>6.8,</w:t>
      </w:r>
      <w:r>
        <w:rPr>
          <w:rFonts w:ascii="Arial"/>
          <w:color w:val="1D1D1D"/>
          <w:spacing w:val="-15"/>
          <w:w w:val="105"/>
          <w:sz w:val="21"/>
        </w:rPr>
        <w:t xml:space="preserve"> </w:t>
      </w:r>
      <w:r>
        <w:rPr>
          <w:rFonts w:ascii="Arial"/>
          <w:color w:val="1D1D1D"/>
          <w:w w:val="105"/>
          <w:sz w:val="21"/>
        </w:rPr>
        <w:t xml:space="preserve">and </w:t>
      </w:r>
      <w:r>
        <w:rPr>
          <w:rFonts w:ascii="Arial"/>
          <w:color w:val="1D1D1D"/>
          <w:w w:val="110"/>
          <w:sz w:val="21"/>
        </w:rPr>
        <w:t>Annex</w:t>
      </w:r>
      <w:r>
        <w:rPr>
          <w:rFonts w:ascii="Arial"/>
          <w:color w:val="1D1D1D"/>
          <w:spacing w:val="-1"/>
          <w:w w:val="110"/>
          <w:sz w:val="21"/>
        </w:rPr>
        <w:t xml:space="preserve"> </w:t>
      </w:r>
      <w:r>
        <w:rPr>
          <w:rFonts w:ascii="Arial"/>
          <w:color w:val="1D1D1D"/>
          <w:w w:val="110"/>
          <w:sz w:val="21"/>
        </w:rPr>
        <w:t xml:space="preserve">II </w:t>
      </w:r>
      <w:r>
        <w:rPr>
          <w:rFonts w:ascii="Arial"/>
          <w:color w:val="0C0C0C"/>
          <w:w w:val="110"/>
          <w:sz w:val="21"/>
        </w:rPr>
        <w:t>resulted</w:t>
      </w:r>
      <w:r>
        <w:rPr>
          <w:rFonts w:ascii="Arial"/>
          <w:color w:val="0C0C0C"/>
          <w:spacing w:val="-9"/>
          <w:w w:val="110"/>
          <w:sz w:val="21"/>
        </w:rPr>
        <w:t xml:space="preserve"> </w:t>
      </w:r>
      <w:r>
        <w:rPr>
          <w:rFonts w:ascii="Arial"/>
          <w:color w:val="1D1D1D"/>
          <w:w w:val="110"/>
          <w:sz w:val="21"/>
        </w:rPr>
        <w:t xml:space="preserve">in the </w:t>
      </w:r>
      <w:r>
        <w:rPr>
          <w:rFonts w:ascii="Arial"/>
          <w:color w:val="0C0C0C"/>
          <w:w w:val="110"/>
          <w:sz w:val="21"/>
        </w:rPr>
        <w:t xml:space="preserve">determination </w:t>
      </w:r>
      <w:r>
        <w:rPr>
          <w:rFonts w:ascii="Arial"/>
          <w:color w:val="1D1D1D"/>
          <w:w w:val="110"/>
          <w:sz w:val="21"/>
        </w:rPr>
        <w:t xml:space="preserve">of </w:t>
      </w:r>
      <w:r>
        <w:rPr>
          <w:rFonts w:ascii="Arial"/>
          <w:color w:val="0C0C0C"/>
          <w:w w:val="110"/>
          <w:sz w:val="21"/>
        </w:rPr>
        <w:t>levels</w:t>
      </w:r>
      <w:r>
        <w:rPr>
          <w:rFonts w:ascii="Arial"/>
          <w:color w:val="0C0C0C"/>
          <w:spacing w:val="-8"/>
          <w:w w:val="110"/>
          <w:sz w:val="21"/>
        </w:rPr>
        <w:t xml:space="preserve"> </w:t>
      </w:r>
      <w:r>
        <w:rPr>
          <w:rFonts w:ascii="Arial"/>
          <w:color w:val="1D1D1D"/>
          <w:w w:val="110"/>
          <w:sz w:val="21"/>
        </w:rPr>
        <w:t>of</w:t>
      </w:r>
      <w:r>
        <w:rPr>
          <w:rFonts w:ascii="Arial"/>
          <w:color w:val="1D1D1D"/>
          <w:spacing w:val="24"/>
          <w:w w:val="110"/>
          <w:sz w:val="21"/>
        </w:rPr>
        <w:t xml:space="preserve"> </w:t>
      </w:r>
      <w:r>
        <w:rPr>
          <w:rFonts w:ascii="Arial"/>
          <w:color w:val="0C0C0C"/>
          <w:w w:val="110"/>
          <w:sz w:val="21"/>
        </w:rPr>
        <w:t>dumping</w:t>
      </w:r>
      <w:r>
        <w:rPr>
          <w:rFonts w:ascii="Arial"/>
          <w:color w:val="0C0C0C"/>
          <w:spacing w:val="-8"/>
          <w:w w:val="110"/>
          <w:sz w:val="21"/>
        </w:rPr>
        <w:t xml:space="preserve"> </w:t>
      </w:r>
      <w:r>
        <w:rPr>
          <w:rFonts w:ascii="Arial"/>
          <w:color w:val="1D1D1D"/>
          <w:w w:val="110"/>
          <w:sz w:val="21"/>
        </w:rPr>
        <w:t>that</w:t>
      </w:r>
      <w:r>
        <w:rPr>
          <w:rFonts w:ascii="Arial"/>
          <w:color w:val="1D1D1D"/>
          <w:spacing w:val="-8"/>
          <w:w w:val="110"/>
          <w:sz w:val="21"/>
        </w:rPr>
        <w:t xml:space="preserve"> </w:t>
      </w:r>
      <w:r>
        <w:rPr>
          <w:rFonts w:ascii="Arial"/>
          <w:color w:val="1D1D1D"/>
          <w:w w:val="110"/>
          <w:sz w:val="21"/>
        </w:rPr>
        <w:t>were</w:t>
      </w:r>
      <w:r>
        <w:rPr>
          <w:rFonts w:ascii="Arial"/>
          <w:color w:val="1D1D1D"/>
          <w:spacing w:val="-4"/>
          <w:w w:val="110"/>
          <w:sz w:val="21"/>
        </w:rPr>
        <w:t xml:space="preserve"> </w:t>
      </w:r>
      <w:r>
        <w:rPr>
          <w:rFonts w:ascii="Arial"/>
          <w:color w:val="1D1D1D"/>
          <w:w w:val="110"/>
          <w:sz w:val="21"/>
        </w:rPr>
        <w:t>(i)</w:t>
      </w:r>
      <w:r>
        <w:rPr>
          <w:rFonts w:ascii="Arial"/>
          <w:color w:val="1D1D1D"/>
          <w:spacing w:val="-8"/>
          <w:w w:val="110"/>
          <w:sz w:val="21"/>
        </w:rPr>
        <w:t xml:space="preserve"> </w:t>
      </w:r>
      <w:r>
        <w:rPr>
          <w:rFonts w:ascii="Arial"/>
          <w:color w:val="1D1D1D"/>
          <w:w w:val="110"/>
          <w:sz w:val="21"/>
        </w:rPr>
        <w:t>much</w:t>
      </w:r>
      <w:r>
        <w:rPr>
          <w:rFonts w:ascii="Arial"/>
          <w:color w:val="1D1D1D"/>
          <w:spacing w:val="-2"/>
          <w:w w:val="110"/>
          <w:sz w:val="21"/>
        </w:rPr>
        <w:t xml:space="preserve"> </w:t>
      </w:r>
      <w:r>
        <w:rPr>
          <w:rFonts w:ascii="Arial"/>
          <w:color w:val="1D1D1D"/>
          <w:w w:val="110"/>
          <w:sz w:val="21"/>
        </w:rPr>
        <w:t>higher</w:t>
      </w:r>
      <w:r>
        <w:rPr>
          <w:rFonts w:ascii="Arial"/>
          <w:color w:val="1D1D1D"/>
          <w:spacing w:val="-11"/>
          <w:w w:val="110"/>
          <w:sz w:val="21"/>
        </w:rPr>
        <w:t xml:space="preserve"> </w:t>
      </w:r>
      <w:r>
        <w:rPr>
          <w:rFonts w:ascii="Arial"/>
          <w:color w:val="1D1D1D"/>
          <w:w w:val="110"/>
          <w:sz w:val="21"/>
        </w:rPr>
        <w:t xml:space="preserve">than </w:t>
      </w:r>
      <w:r>
        <w:rPr>
          <w:rFonts w:ascii="Arial"/>
          <w:color w:val="1D1D1D"/>
          <w:w w:val="105"/>
          <w:sz w:val="21"/>
        </w:rPr>
        <w:t>they would</w:t>
      </w:r>
      <w:r>
        <w:rPr>
          <w:rFonts w:ascii="Arial"/>
          <w:color w:val="1D1D1D"/>
          <w:spacing w:val="-4"/>
          <w:w w:val="105"/>
          <w:sz w:val="21"/>
        </w:rPr>
        <w:t xml:space="preserve"> </w:t>
      </w:r>
      <w:r>
        <w:rPr>
          <w:rFonts w:ascii="Arial"/>
          <w:color w:val="1D1D1D"/>
          <w:w w:val="105"/>
          <w:sz w:val="21"/>
        </w:rPr>
        <w:t>have</w:t>
      </w:r>
      <w:r>
        <w:rPr>
          <w:rFonts w:ascii="Arial"/>
          <w:color w:val="1D1D1D"/>
          <w:spacing w:val="-5"/>
          <w:w w:val="105"/>
          <w:sz w:val="21"/>
        </w:rPr>
        <w:t xml:space="preserve"> </w:t>
      </w:r>
      <w:r>
        <w:rPr>
          <w:rFonts w:ascii="Arial"/>
          <w:color w:val="1D1D1D"/>
          <w:w w:val="105"/>
          <w:sz w:val="21"/>
        </w:rPr>
        <w:t>been</w:t>
      </w:r>
      <w:r>
        <w:rPr>
          <w:rFonts w:ascii="Arial"/>
          <w:color w:val="1D1D1D"/>
          <w:spacing w:val="-2"/>
          <w:w w:val="105"/>
          <w:sz w:val="21"/>
        </w:rPr>
        <w:t xml:space="preserve"> </w:t>
      </w:r>
      <w:r>
        <w:rPr>
          <w:rFonts w:ascii="Arial"/>
          <w:color w:val="1D1D1D"/>
          <w:w w:val="105"/>
          <w:sz w:val="21"/>
        </w:rPr>
        <w:t>if</w:t>
      </w:r>
      <w:r>
        <w:rPr>
          <w:rFonts w:ascii="Arial"/>
          <w:color w:val="1D1D1D"/>
          <w:spacing w:val="30"/>
          <w:w w:val="105"/>
          <w:sz w:val="21"/>
        </w:rPr>
        <w:t xml:space="preserve"> </w:t>
      </w:r>
      <w:r>
        <w:rPr>
          <w:rFonts w:ascii="Arial"/>
          <w:color w:val="0C0C0C"/>
          <w:w w:val="105"/>
          <w:sz w:val="21"/>
        </w:rPr>
        <w:t>MOFCOM had</w:t>
      </w:r>
      <w:r>
        <w:rPr>
          <w:rFonts w:ascii="Arial"/>
          <w:color w:val="0C0C0C"/>
          <w:spacing w:val="-13"/>
          <w:w w:val="105"/>
          <w:sz w:val="21"/>
        </w:rPr>
        <w:t xml:space="preserve"> </w:t>
      </w:r>
      <w:r>
        <w:rPr>
          <w:rFonts w:ascii="Arial"/>
          <w:color w:val="1D1D1D"/>
          <w:w w:val="105"/>
          <w:sz w:val="21"/>
        </w:rPr>
        <w:t>complied with Article 2,</w:t>
      </w:r>
      <w:r>
        <w:rPr>
          <w:rFonts w:ascii="Arial"/>
          <w:color w:val="1D1D1D"/>
          <w:spacing w:val="-4"/>
          <w:w w:val="105"/>
          <w:sz w:val="21"/>
        </w:rPr>
        <w:t xml:space="preserve"> </w:t>
      </w:r>
      <w:r>
        <w:rPr>
          <w:rFonts w:ascii="Arial"/>
          <w:color w:val="1D1D1D"/>
          <w:w w:val="105"/>
          <w:sz w:val="21"/>
        </w:rPr>
        <w:t xml:space="preserve">and </w:t>
      </w:r>
      <w:r>
        <w:rPr>
          <w:rFonts w:ascii="Times New Roman"/>
          <w:color w:val="1D1D1D"/>
          <w:w w:val="105"/>
        </w:rPr>
        <w:t xml:space="preserve">(ii) </w:t>
      </w:r>
      <w:r>
        <w:rPr>
          <w:rFonts w:ascii="Arial"/>
          <w:color w:val="0C0C0C"/>
          <w:w w:val="105"/>
          <w:sz w:val="21"/>
        </w:rPr>
        <w:t xml:space="preserve">much </w:t>
      </w:r>
      <w:r>
        <w:rPr>
          <w:rFonts w:ascii="Arial"/>
          <w:color w:val="1D1D1D"/>
          <w:w w:val="105"/>
          <w:sz w:val="21"/>
        </w:rPr>
        <w:t>higher than</w:t>
      </w:r>
      <w:r>
        <w:rPr>
          <w:rFonts w:ascii="Arial"/>
          <w:color w:val="1D1D1D"/>
          <w:spacing w:val="-3"/>
          <w:w w:val="105"/>
          <w:sz w:val="21"/>
        </w:rPr>
        <w:t xml:space="preserve"> </w:t>
      </w:r>
      <w:r>
        <w:rPr>
          <w:rFonts w:ascii="Arial"/>
          <w:color w:val="1D1D1D"/>
          <w:w w:val="105"/>
          <w:sz w:val="21"/>
        </w:rPr>
        <w:t xml:space="preserve">the </w:t>
      </w:r>
      <w:r>
        <w:rPr>
          <w:rFonts w:ascii="Arial"/>
          <w:color w:val="0C0C0C"/>
          <w:w w:val="110"/>
          <w:sz w:val="21"/>
        </w:rPr>
        <w:t>levels</w:t>
      </w:r>
      <w:r>
        <w:rPr>
          <w:rFonts w:ascii="Arial"/>
          <w:color w:val="0C0C0C"/>
          <w:spacing w:val="-17"/>
          <w:w w:val="110"/>
          <w:sz w:val="21"/>
        </w:rPr>
        <w:t xml:space="preserve"> </w:t>
      </w:r>
      <w:r>
        <w:rPr>
          <w:rFonts w:ascii="Arial"/>
          <w:color w:val="1D1D1D"/>
          <w:w w:val="110"/>
          <w:sz w:val="21"/>
        </w:rPr>
        <w:t>of</w:t>
      </w:r>
      <w:r>
        <w:rPr>
          <w:rFonts w:ascii="Arial"/>
          <w:color w:val="1D1D1D"/>
          <w:spacing w:val="-6"/>
          <w:w w:val="110"/>
          <w:sz w:val="21"/>
        </w:rPr>
        <w:t xml:space="preserve"> </w:t>
      </w:r>
      <w:r>
        <w:rPr>
          <w:rFonts w:ascii="Arial"/>
          <w:color w:val="0C0C0C"/>
          <w:w w:val="110"/>
          <w:sz w:val="21"/>
        </w:rPr>
        <w:t>dumping,</w:t>
      </w:r>
      <w:r>
        <w:rPr>
          <w:rFonts w:ascii="Arial"/>
          <w:color w:val="0C0C0C"/>
          <w:spacing w:val="-12"/>
          <w:w w:val="110"/>
          <w:sz w:val="21"/>
        </w:rPr>
        <w:t xml:space="preserve"> </w:t>
      </w:r>
      <w:r>
        <w:rPr>
          <w:rFonts w:ascii="Arial"/>
          <w:color w:val="0C0C0C"/>
          <w:w w:val="110"/>
          <w:sz w:val="21"/>
        </w:rPr>
        <w:t>if</w:t>
      </w:r>
      <w:r>
        <w:rPr>
          <w:rFonts w:ascii="Arial"/>
          <w:color w:val="0C0C0C"/>
          <w:spacing w:val="-8"/>
          <w:w w:val="110"/>
          <w:sz w:val="21"/>
        </w:rPr>
        <w:t xml:space="preserve"> </w:t>
      </w:r>
      <w:r>
        <w:rPr>
          <w:rFonts w:ascii="Arial"/>
          <w:color w:val="1D1D1D"/>
          <w:w w:val="110"/>
          <w:sz w:val="21"/>
        </w:rPr>
        <w:t>any,</w:t>
      </w:r>
      <w:r>
        <w:rPr>
          <w:rFonts w:ascii="Arial"/>
          <w:color w:val="1D1D1D"/>
          <w:spacing w:val="-17"/>
          <w:w w:val="110"/>
          <w:sz w:val="21"/>
        </w:rPr>
        <w:t xml:space="preserve"> </w:t>
      </w:r>
      <w:r>
        <w:rPr>
          <w:rFonts w:ascii="Arial"/>
          <w:color w:val="1D1D1D"/>
          <w:w w:val="110"/>
          <w:sz w:val="21"/>
        </w:rPr>
        <w:t>that</w:t>
      </w:r>
      <w:r>
        <w:rPr>
          <w:rFonts w:ascii="Arial"/>
          <w:color w:val="1D1D1D"/>
          <w:spacing w:val="-15"/>
          <w:w w:val="110"/>
          <w:sz w:val="21"/>
        </w:rPr>
        <w:t xml:space="preserve"> </w:t>
      </w:r>
      <w:r>
        <w:rPr>
          <w:rFonts w:ascii="Arial"/>
          <w:color w:val="1D1D1D"/>
          <w:w w:val="110"/>
          <w:sz w:val="21"/>
        </w:rPr>
        <w:t>were</w:t>
      </w:r>
      <w:r>
        <w:rPr>
          <w:rFonts w:ascii="Arial"/>
          <w:color w:val="1D1D1D"/>
          <w:spacing w:val="-17"/>
          <w:w w:val="110"/>
          <w:sz w:val="21"/>
        </w:rPr>
        <w:t xml:space="preserve"> </w:t>
      </w:r>
      <w:r>
        <w:rPr>
          <w:rFonts w:ascii="Arial"/>
          <w:color w:val="1D1D1D"/>
          <w:w w:val="110"/>
          <w:sz w:val="21"/>
        </w:rPr>
        <w:t>actually</w:t>
      </w:r>
      <w:r>
        <w:rPr>
          <w:rFonts w:ascii="Arial"/>
          <w:color w:val="1D1D1D"/>
          <w:spacing w:val="-16"/>
          <w:w w:val="110"/>
          <w:sz w:val="21"/>
        </w:rPr>
        <w:t xml:space="preserve"> </w:t>
      </w:r>
      <w:r>
        <w:rPr>
          <w:rFonts w:ascii="Arial"/>
          <w:color w:val="1D1D1D"/>
          <w:w w:val="110"/>
          <w:sz w:val="21"/>
        </w:rPr>
        <w:t>occurring</w:t>
      </w:r>
      <w:r>
        <w:rPr>
          <w:rFonts w:ascii="Arial"/>
          <w:color w:val="1D1D1D"/>
          <w:spacing w:val="-16"/>
          <w:w w:val="110"/>
          <w:sz w:val="21"/>
        </w:rPr>
        <w:t xml:space="preserve"> </w:t>
      </w:r>
      <w:r>
        <w:rPr>
          <w:rFonts w:ascii="Arial"/>
          <w:color w:val="1D1D1D"/>
          <w:w w:val="110"/>
          <w:sz w:val="21"/>
        </w:rPr>
        <w:t>(which</w:t>
      </w:r>
      <w:r>
        <w:rPr>
          <w:rFonts w:ascii="Arial"/>
          <w:color w:val="1D1D1D"/>
          <w:spacing w:val="-12"/>
          <w:w w:val="110"/>
          <w:sz w:val="21"/>
        </w:rPr>
        <w:t xml:space="preserve"> </w:t>
      </w:r>
      <w:r>
        <w:rPr>
          <w:rFonts w:ascii="Arial"/>
          <w:color w:val="1D1D1D"/>
          <w:w w:val="110"/>
          <w:sz w:val="21"/>
        </w:rPr>
        <w:t>Australia</w:t>
      </w:r>
      <w:r>
        <w:rPr>
          <w:rFonts w:ascii="Arial"/>
          <w:color w:val="1D1D1D"/>
          <w:spacing w:val="-7"/>
          <w:w w:val="110"/>
          <w:sz w:val="21"/>
        </w:rPr>
        <w:t xml:space="preserve"> </w:t>
      </w:r>
      <w:r>
        <w:rPr>
          <w:rFonts w:ascii="Arial"/>
          <w:color w:val="1D1D1D"/>
          <w:w w:val="110"/>
          <w:sz w:val="21"/>
        </w:rPr>
        <w:t>submits</w:t>
      </w:r>
      <w:r>
        <w:rPr>
          <w:rFonts w:ascii="Arial"/>
          <w:color w:val="1D1D1D"/>
          <w:spacing w:val="-17"/>
          <w:w w:val="110"/>
          <w:sz w:val="21"/>
        </w:rPr>
        <w:t xml:space="preserve"> </w:t>
      </w:r>
      <w:r>
        <w:rPr>
          <w:rFonts w:ascii="Arial"/>
          <w:color w:val="1D1D1D"/>
          <w:w w:val="110"/>
          <w:sz w:val="21"/>
        </w:rPr>
        <w:t>were</w:t>
      </w:r>
      <w:r>
        <w:rPr>
          <w:rFonts w:ascii="Arial"/>
          <w:color w:val="1D1D1D"/>
          <w:spacing w:val="-13"/>
          <w:w w:val="110"/>
          <w:sz w:val="21"/>
        </w:rPr>
        <w:t xml:space="preserve"> </w:t>
      </w:r>
      <w:r>
        <w:rPr>
          <w:rFonts w:ascii="Arial"/>
          <w:color w:val="0C0C0C"/>
          <w:w w:val="110"/>
          <w:sz w:val="21"/>
        </w:rPr>
        <w:t xml:space="preserve">none). </w:t>
      </w:r>
      <w:r>
        <w:rPr>
          <w:rFonts w:ascii="Arial"/>
          <w:color w:val="1D1D1D"/>
          <w:w w:val="110"/>
          <w:sz w:val="21"/>
        </w:rPr>
        <w:t>These</w:t>
      </w:r>
      <w:r>
        <w:rPr>
          <w:rFonts w:ascii="Arial"/>
          <w:color w:val="1D1D1D"/>
          <w:spacing w:val="-17"/>
          <w:w w:val="110"/>
          <w:sz w:val="21"/>
        </w:rPr>
        <w:t xml:space="preserve"> </w:t>
      </w:r>
      <w:r>
        <w:rPr>
          <w:rFonts w:ascii="Arial"/>
          <w:color w:val="1D1D1D"/>
          <w:w w:val="110"/>
          <w:sz w:val="21"/>
        </w:rPr>
        <w:t>errors</w:t>
      </w:r>
      <w:r>
        <w:rPr>
          <w:rFonts w:ascii="Arial"/>
          <w:color w:val="1D1D1D"/>
          <w:spacing w:val="-16"/>
          <w:w w:val="110"/>
          <w:sz w:val="21"/>
        </w:rPr>
        <w:t xml:space="preserve"> </w:t>
      </w:r>
      <w:r>
        <w:rPr>
          <w:rFonts w:ascii="Arial"/>
          <w:color w:val="0C0C0C"/>
          <w:w w:val="110"/>
          <w:sz w:val="21"/>
        </w:rPr>
        <w:t>likewise</w:t>
      </w:r>
      <w:r>
        <w:rPr>
          <w:rFonts w:ascii="Arial"/>
          <w:color w:val="0C0C0C"/>
          <w:spacing w:val="-16"/>
          <w:w w:val="110"/>
          <w:sz w:val="21"/>
        </w:rPr>
        <w:t xml:space="preserve"> </w:t>
      </w:r>
      <w:r>
        <w:rPr>
          <w:rFonts w:ascii="Arial"/>
          <w:color w:val="0C0C0C"/>
          <w:w w:val="110"/>
          <w:sz w:val="21"/>
        </w:rPr>
        <w:t>resulted</w:t>
      </w:r>
      <w:r>
        <w:rPr>
          <w:rFonts w:ascii="Arial"/>
          <w:color w:val="0C0C0C"/>
          <w:spacing w:val="-16"/>
          <w:w w:val="110"/>
          <w:sz w:val="21"/>
        </w:rPr>
        <w:t xml:space="preserve"> </w:t>
      </w:r>
      <w:r>
        <w:rPr>
          <w:rFonts w:ascii="Arial"/>
          <w:color w:val="1D1D1D"/>
          <w:w w:val="110"/>
          <w:sz w:val="21"/>
        </w:rPr>
        <w:t>in</w:t>
      </w:r>
      <w:r>
        <w:rPr>
          <w:rFonts w:ascii="Arial"/>
          <w:color w:val="1D1D1D"/>
          <w:spacing w:val="-17"/>
          <w:w w:val="110"/>
          <w:sz w:val="21"/>
        </w:rPr>
        <w:t xml:space="preserve"> </w:t>
      </w:r>
      <w:r>
        <w:rPr>
          <w:rFonts w:ascii="Arial"/>
          <w:color w:val="1D1D1D"/>
          <w:w w:val="110"/>
          <w:sz w:val="21"/>
        </w:rPr>
        <w:t>a</w:t>
      </w:r>
      <w:r>
        <w:rPr>
          <w:rFonts w:ascii="Arial"/>
          <w:color w:val="1D1D1D"/>
          <w:spacing w:val="-16"/>
          <w:w w:val="110"/>
          <w:sz w:val="21"/>
        </w:rPr>
        <w:t xml:space="preserve"> </w:t>
      </w:r>
      <w:r>
        <w:rPr>
          <w:rFonts w:ascii="Arial"/>
          <w:color w:val="0C0C0C"/>
          <w:w w:val="110"/>
          <w:sz w:val="21"/>
        </w:rPr>
        <w:t>breach</w:t>
      </w:r>
      <w:r>
        <w:rPr>
          <w:rFonts w:ascii="Arial"/>
          <w:color w:val="0C0C0C"/>
          <w:spacing w:val="-18"/>
          <w:w w:val="110"/>
          <w:sz w:val="21"/>
        </w:rPr>
        <w:t xml:space="preserve"> </w:t>
      </w:r>
      <w:r>
        <w:rPr>
          <w:rFonts w:ascii="Arial"/>
          <w:color w:val="1D1D1D"/>
          <w:w w:val="110"/>
          <w:sz w:val="21"/>
        </w:rPr>
        <w:t>of</w:t>
      </w:r>
      <w:r>
        <w:rPr>
          <w:rFonts w:ascii="Arial"/>
          <w:color w:val="1D1D1D"/>
          <w:spacing w:val="-16"/>
          <w:w w:val="110"/>
          <w:sz w:val="21"/>
        </w:rPr>
        <w:t xml:space="preserve"> </w:t>
      </w:r>
      <w:r>
        <w:rPr>
          <w:rFonts w:ascii="Arial"/>
          <w:color w:val="1D1D1D"/>
          <w:w w:val="110"/>
          <w:sz w:val="21"/>
        </w:rPr>
        <w:t>Article</w:t>
      </w:r>
      <w:r>
        <w:rPr>
          <w:rFonts w:ascii="Arial"/>
          <w:color w:val="1D1D1D"/>
          <w:spacing w:val="-16"/>
          <w:w w:val="110"/>
          <w:sz w:val="21"/>
        </w:rPr>
        <w:t xml:space="preserve"> </w:t>
      </w:r>
      <w:r>
        <w:rPr>
          <w:rFonts w:ascii="Arial"/>
          <w:color w:val="1D1D1D"/>
          <w:w w:val="110"/>
          <w:sz w:val="21"/>
        </w:rPr>
        <w:t>9.3,</w:t>
      </w:r>
      <w:r>
        <w:rPr>
          <w:rFonts w:ascii="Arial"/>
          <w:color w:val="1D1D1D"/>
          <w:spacing w:val="-22"/>
          <w:w w:val="110"/>
          <w:sz w:val="21"/>
        </w:rPr>
        <w:t xml:space="preserve"> </w:t>
      </w:r>
      <w:r>
        <w:rPr>
          <w:rFonts w:ascii="Arial"/>
          <w:color w:val="1D1D1D"/>
          <w:w w:val="110"/>
          <w:sz w:val="21"/>
        </w:rPr>
        <w:t>which</w:t>
      </w:r>
      <w:r>
        <w:rPr>
          <w:rFonts w:ascii="Arial"/>
          <w:color w:val="1D1D1D"/>
          <w:spacing w:val="-16"/>
          <w:w w:val="110"/>
          <w:sz w:val="21"/>
        </w:rPr>
        <w:t xml:space="preserve"> </w:t>
      </w:r>
      <w:r>
        <w:rPr>
          <w:rFonts w:ascii="Arial"/>
          <w:color w:val="1D1D1D"/>
          <w:w w:val="110"/>
          <w:sz w:val="21"/>
        </w:rPr>
        <w:t>will</w:t>
      </w:r>
      <w:r>
        <w:rPr>
          <w:rFonts w:ascii="Arial"/>
          <w:color w:val="1D1D1D"/>
          <w:spacing w:val="-19"/>
          <w:w w:val="110"/>
          <w:sz w:val="21"/>
        </w:rPr>
        <w:t xml:space="preserve"> </w:t>
      </w:r>
      <w:r>
        <w:rPr>
          <w:rFonts w:ascii="Arial"/>
          <w:color w:val="0C0C0C"/>
          <w:w w:val="110"/>
          <w:sz w:val="21"/>
        </w:rPr>
        <w:t>be</w:t>
      </w:r>
      <w:r>
        <w:rPr>
          <w:rFonts w:ascii="Arial"/>
          <w:color w:val="0C0C0C"/>
          <w:spacing w:val="-32"/>
          <w:w w:val="110"/>
          <w:sz w:val="21"/>
        </w:rPr>
        <w:t xml:space="preserve"> </w:t>
      </w:r>
      <w:r>
        <w:rPr>
          <w:rFonts w:ascii="Arial"/>
          <w:color w:val="1D1D1D"/>
          <w:w w:val="110"/>
          <w:sz w:val="21"/>
        </w:rPr>
        <w:t>examined</w:t>
      </w:r>
      <w:r>
        <w:rPr>
          <w:rFonts w:ascii="Arial"/>
          <w:color w:val="1D1D1D"/>
          <w:spacing w:val="-13"/>
          <w:w w:val="110"/>
          <w:sz w:val="21"/>
        </w:rPr>
        <w:t xml:space="preserve"> </w:t>
      </w:r>
      <w:r>
        <w:rPr>
          <w:rFonts w:ascii="Arial"/>
          <w:color w:val="1D1D1D"/>
          <w:w w:val="110"/>
          <w:sz w:val="21"/>
        </w:rPr>
        <w:t>below.</w:t>
      </w:r>
    </w:p>
    <w:p w14:paraId="51DE93CC" w14:textId="77777777" w:rsidR="0010369C" w:rsidRDefault="008E43AE">
      <w:pPr>
        <w:spacing w:before="159" w:line="436" w:lineRule="auto"/>
        <w:ind w:left="235" w:right="579" w:hanging="1"/>
        <w:jc w:val="both"/>
        <w:rPr>
          <w:rFonts w:ascii="Arial"/>
          <w:sz w:val="21"/>
        </w:rPr>
      </w:pPr>
      <w:r>
        <w:rPr>
          <w:rFonts w:ascii="Arial"/>
          <w:color w:val="1D1D1D"/>
          <w:w w:val="110"/>
          <w:sz w:val="21"/>
        </w:rPr>
        <w:t>729.</w:t>
      </w:r>
      <w:r>
        <w:rPr>
          <w:rFonts w:ascii="Arial"/>
          <w:color w:val="1D1D1D"/>
          <w:spacing w:val="74"/>
          <w:w w:val="110"/>
          <w:sz w:val="21"/>
        </w:rPr>
        <w:t xml:space="preserve"> </w:t>
      </w:r>
      <w:r>
        <w:rPr>
          <w:rFonts w:ascii="Arial"/>
          <w:color w:val="0C0C0C"/>
          <w:w w:val="110"/>
          <w:sz w:val="21"/>
        </w:rPr>
        <w:t>In</w:t>
      </w:r>
      <w:r>
        <w:rPr>
          <w:rFonts w:ascii="Arial"/>
          <w:color w:val="0C0C0C"/>
          <w:spacing w:val="-16"/>
          <w:w w:val="110"/>
          <w:sz w:val="21"/>
        </w:rPr>
        <w:t xml:space="preserve"> </w:t>
      </w:r>
      <w:r>
        <w:rPr>
          <w:rFonts w:ascii="Arial"/>
          <w:color w:val="1D1D1D"/>
          <w:w w:val="110"/>
          <w:sz w:val="21"/>
        </w:rPr>
        <w:t>addition,</w:t>
      </w:r>
      <w:r>
        <w:rPr>
          <w:rFonts w:ascii="Arial"/>
          <w:color w:val="1D1D1D"/>
          <w:spacing w:val="-16"/>
          <w:w w:val="110"/>
          <w:sz w:val="21"/>
        </w:rPr>
        <w:t xml:space="preserve"> </w:t>
      </w:r>
      <w:r>
        <w:rPr>
          <w:rFonts w:ascii="Arial"/>
          <w:color w:val="1D1D1D"/>
          <w:w w:val="110"/>
          <w:sz w:val="21"/>
        </w:rPr>
        <w:t>MOFCOM</w:t>
      </w:r>
      <w:r>
        <w:rPr>
          <w:rFonts w:ascii="Arial"/>
          <w:color w:val="1D1D1D"/>
          <w:spacing w:val="-16"/>
          <w:w w:val="110"/>
          <w:sz w:val="21"/>
        </w:rPr>
        <w:t xml:space="preserve"> </w:t>
      </w:r>
      <w:r>
        <w:rPr>
          <w:rFonts w:ascii="Arial"/>
          <w:color w:val="0C0C0C"/>
          <w:w w:val="110"/>
          <w:sz w:val="21"/>
        </w:rPr>
        <w:t>breached</w:t>
      </w:r>
      <w:r>
        <w:rPr>
          <w:rFonts w:ascii="Arial"/>
          <w:color w:val="0C0C0C"/>
          <w:spacing w:val="-16"/>
          <w:w w:val="110"/>
          <w:sz w:val="21"/>
        </w:rPr>
        <w:t xml:space="preserve"> </w:t>
      </w:r>
      <w:r>
        <w:rPr>
          <w:rFonts w:ascii="Arial"/>
          <w:color w:val="1D1D1D"/>
          <w:w w:val="110"/>
          <w:sz w:val="21"/>
        </w:rPr>
        <w:t>the</w:t>
      </w:r>
      <w:r>
        <w:rPr>
          <w:rFonts w:ascii="Arial"/>
          <w:color w:val="1D1D1D"/>
          <w:spacing w:val="-12"/>
          <w:w w:val="110"/>
          <w:sz w:val="21"/>
        </w:rPr>
        <w:t xml:space="preserve"> </w:t>
      </w:r>
      <w:r>
        <w:rPr>
          <w:rFonts w:ascii="Arial"/>
          <w:color w:val="1D1D1D"/>
          <w:w w:val="110"/>
          <w:sz w:val="21"/>
        </w:rPr>
        <w:t>second</w:t>
      </w:r>
      <w:r>
        <w:rPr>
          <w:rFonts w:ascii="Arial"/>
          <w:color w:val="1D1D1D"/>
          <w:spacing w:val="-17"/>
          <w:w w:val="110"/>
          <w:sz w:val="21"/>
        </w:rPr>
        <w:t xml:space="preserve"> </w:t>
      </w:r>
      <w:r>
        <w:rPr>
          <w:rFonts w:ascii="Arial"/>
          <w:color w:val="1D1D1D"/>
          <w:w w:val="110"/>
          <w:sz w:val="21"/>
        </w:rPr>
        <w:t>sentence</w:t>
      </w:r>
      <w:r>
        <w:rPr>
          <w:rFonts w:ascii="Arial"/>
          <w:color w:val="1D1D1D"/>
          <w:spacing w:val="-16"/>
          <w:w w:val="110"/>
          <w:sz w:val="21"/>
        </w:rPr>
        <w:t xml:space="preserve"> </w:t>
      </w:r>
      <w:r>
        <w:rPr>
          <w:rFonts w:ascii="Arial"/>
          <w:color w:val="1D1D1D"/>
          <w:w w:val="110"/>
          <w:sz w:val="21"/>
        </w:rPr>
        <w:t>of</w:t>
      </w:r>
      <w:r>
        <w:rPr>
          <w:rFonts w:ascii="Arial"/>
          <w:color w:val="1D1D1D"/>
          <w:spacing w:val="-16"/>
          <w:w w:val="110"/>
          <w:sz w:val="21"/>
        </w:rPr>
        <w:t xml:space="preserve"> </w:t>
      </w:r>
      <w:r>
        <w:rPr>
          <w:rFonts w:ascii="Arial"/>
          <w:color w:val="1D1D1D"/>
          <w:w w:val="110"/>
          <w:sz w:val="21"/>
        </w:rPr>
        <w:t>Article</w:t>
      </w:r>
      <w:r>
        <w:rPr>
          <w:rFonts w:ascii="Arial"/>
          <w:color w:val="1D1D1D"/>
          <w:spacing w:val="-16"/>
          <w:w w:val="110"/>
          <w:sz w:val="21"/>
        </w:rPr>
        <w:t xml:space="preserve"> </w:t>
      </w:r>
      <w:r>
        <w:rPr>
          <w:rFonts w:ascii="Arial"/>
          <w:color w:val="1D1D1D"/>
          <w:w w:val="110"/>
          <w:sz w:val="21"/>
        </w:rPr>
        <w:t>9.2</w:t>
      </w:r>
      <w:r>
        <w:rPr>
          <w:rFonts w:ascii="Arial"/>
          <w:color w:val="1D1D1D"/>
          <w:spacing w:val="-16"/>
          <w:w w:val="110"/>
          <w:sz w:val="21"/>
        </w:rPr>
        <w:t xml:space="preserve"> </w:t>
      </w:r>
      <w:r>
        <w:rPr>
          <w:rFonts w:ascii="Arial"/>
          <w:color w:val="1D1D1D"/>
          <w:w w:val="110"/>
          <w:sz w:val="21"/>
        </w:rPr>
        <w:t>by</w:t>
      </w:r>
      <w:r>
        <w:rPr>
          <w:rFonts w:ascii="Arial"/>
          <w:color w:val="1D1D1D"/>
          <w:spacing w:val="-16"/>
          <w:w w:val="110"/>
          <w:sz w:val="21"/>
        </w:rPr>
        <w:t xml:space="preserve"> </w:t>
      </w:r>
      <w:r>
        <w:rPr>
          <w:rFonts w:ascii="Arial"/>
          <w:color w:val="1D1D1D"/>
          <w:w w:val="110"/>
          <w:sz w:val="21"/>
        </w:rPr>
        <w:t>failing</w:t>
      </w:r>
      <w:r>
        <w:rPr>
          <w:rFonts w:ascii="Arial"/>
          <w:color w:val="1D1D1D"/>
          <w:spacing w:val="-16"/>
          <w:w w:val="110"/>
          <w:sz w:val="21"/>
        </w:rPr>
        <w:t xml:space="preserve"> </w:t>
      </w:r>
      <w:r>
        <w:rPr>
          <w:rFonts w:ascii="Arial"/>
          <w:color w:val="1D1D1D"/>
          <w:w w:val="110"/>
          <w:sz w:val="21"/>
        </w:rPr>
        <w:t>to</w:t>
      </w:r>
      <w:r>
        <w:rPr>
          <w:rFonts w:ascii="Arial"/>
          <w:color w:val="1D1D1D"/>
          <w:spacing w:val="-16"/>
          <w:w w:val="110"/>
          <w:sz w:val="21"/>
        </w:rPr>
        <w:t xml:space="preserve"> </w:t>
      </w:r>
      <w:r>
        <w:rPr>
          <w:rFonts w:ascii="Arial"/>
          <w:color w:val="0C0C0C"/>
          <w:w w:val="110"/>
          <w:sz w:val="21"/>
        </w:rPr>
        <w:t xml:space="preserve">name </w:t>
      </w:r>
      <w:r>
        <w:rPr>
          <w:rFonts w:ascii="Arial"/>
          <w:color w:val="1D1D1D"/>
          <w:w w:val="110"/>
          <w:sz w:val="21"/>
        </w:rPr>
        <w:t>all</w:t>
      </w:r>
      <w:r>
        <w:rPr>
          <w:rFonts w:ascii="Arial"/>
          <w:color w:val="1D1D1D"/>
          <w:spacing w:val="-17"/>
          <w:w w:val="110"/>
          <w:sz w:val="21"/>
        </w:rPr>
        <w:t xml:space="preserve"> </w:t>
      </w:r>
      <w:r>
        <w:rPr>
          <w:rFonts w:ascii="Arial"/>
          <w:color w:val="1D1D1D"/>
          <w:w w:val="110"/>
          <w:sz w:val="21"/>
        </w:rPr>
        <w:t>"suppliers</w:t>
      </w:r>
      <w:r>
        <w:rPr>
          <w:rFonts w:ascii="Arial"/>
          <w:color w:val="1D1D1D"/>
          <w:spacing w:val="-16"/>
          <w:w w:val="110"/>
          <w:sz w:val="21"/>
        </w:rPr>
        <w:t xml:space="preserve"> </w:t>
      </w:r>
      <w:r>
        <w:rPr>
          <w:rFonts w:ascii="Arial"/>
          <w:color w:val="1D1D1D"/>
          <w:w w:val="110"/>
          <w:sz w:val="21"/>
        </w:rPr>
        <w:t>of</w:t>
      </w:r>
      <w:r>
        <w:rPr>
          <w:rFonts w:ascii="Arial"/>
          <w:color w:val="1D1D1D"/>
          <w:spacing w:val="-16"/>
          <w:w w:val="110"/>
          <w:sz w:val="21"/>
        </w:rPr>
        <w:t xml:space="preserve"> </w:t>
      </w:r>
      <w:r>
        <w:rPr>
          <w:rFonts w:ascii="Arial"/>
          <w:color w:val="1D1D1D"/>
          <w:w w:val="110"/>
          <w:sz w:val="21"/>
        </w:rPr>
        <w:t>the</w:t>
      </w:r>
      <w:r>
        <w:rPr>
          <w:rFonts w:ascii="Arial"/>
          <w:color w:val="1D1D1D"/>
          <w:spacing w:val="-16"/>
          <w:w w:val="110"/>
          <w:sz w:val="21"/>
        </w:rPr>
        <w:t xml:space="preserve"> </w:t>
      </w:r>
      <w:r>
        <w:rPr>
          <w:rFonts w:ascii="Arial"/>
          <w:color w:val="0C0C0C"/>
          <w:w w:val="110"/>
          <w:sz w:val="21"/>
        </w:rPr>
        <w:t>product</w:t>
      </w:r>
      <w:r>
        <w:rPr>
          <w:rFonts w:ascii="Arial"/>
          <w:color w:val="0C0C0C"/>
          <w:spacing w:val="-16"/>
          <w:w w:val="110"/>
          <w:sz w:val="21"/>
        </w:rPr>
        <w:t xml:space="preserve"> </w:t>
      </w:r>
      <w:r>
        <w:rPr>
          <w:rFonts w:ascii="Arial"/>
          <w:color w:val="1D1D1D"/>
          <w:w w:val="110"/>
          <w:sz w:val="21"/>
        </w:rPr>
        <w:t>concerned"</w:t>
      </w:r>
      <w:r>
        <w:rPr>
          <w:rFonts w:ascii="Arial"/>
          <w:color w:val="1D1D1D"/>
          <w:spacing w:val="-16"/>
          <w:w w:val="110"/>
          <w:sz w:val="21"/>
        </w:rPr>
        <w:t xml:space="preserve"> </w:t>
      </w:r>
      <w:r>
        <w:rPr>
          <w:rFonts w:ascii="Arial"/>
          <w:color w:val="1D1D1D"/>
          <w:w w:val="110"/>
          <w:sz w:val="21"/>
        </w:rPr>
        <w:t>in</w:t>
      </w:r>
      <w:r>
        <w:rPr>
          <w:rFonts w:ascii="Arial"/>
          <w:color w:val="1D1D1D"/>
          <w:spacing w:val="-16"/>
          <w:w w:val="110"/>
          <w:sz w:val="21"/>
        </w:rPr>
        <w:t xml:space="preserve"> </w:t>
      </w:r>
      <w:r>
        <w:rPr>
          <w:rFonts w:ascii="Arial"/>
          <w:color w:val="0C0C0C"/>
          <w:w w:val="110"/>
          <w:sz w:val="21"/>
        </w:rPr>
        <w:t>the</w:t>
      </w:r>
      <w:r>
        <w:rPr>
          <w:rFonts w:ascii="Arial"/>
          <w:color w:val="0C0C0C"/>
          <w:spacing w:val="-16"/>
          <w:w w:val="110"/>
          <w:sz w:val="21"/>
        </w:rPr>
        <w:t xml:space="preserve"> </w:t>
      </w:r>
      <w:r>
        <w:rPr>
          <w:rFonts w:ascii="Arial"/>
          <w:color w:val="1D1D1D"/>
          <w:w w:val="110"/>
          <w:sz w:val="21"/>
        </w:rPr>
        <w:t>dumping</w:t>
      </w:r>
      <w:r>
        <w:rPr>
          <w:rFonts w:ascii="Arial"/>
          <w:color w:val="1D1D1D"/>
          <w:spacing w:val="-16"/>
          <w:w w:val="110"/>
          <w:sz w:val="21"/>
        </w:rPr>
        <w:t xml:space="preserve"> </w:t>
      </w:r>
      <w:r>
        <w:rPr>
          <w:rFonts w:ascii="Arial"/>
          <w:color w:val="1D1D1D"/>
          <w:w w:val="110"/>
          <w:sz w:val="21"/>
        </w:rPr>
        <w:t>margin</w:t>
      </w:r>
      <w:r>
        <w:rPr>
          <w:rFonts w:ascii="Arial"/>
          <w:color w:val="1D1D1D"/>
          <w:spacing w:val="-16"/>
          <w:w w:val="110"/>
          <w:sz w:val="21"/>
        </w:rPr>
        <w:t xml:space="preserve"> </w:t>
      </w:r>
      <w:r>
        <w:rPr>
          <w:rFonts w:ascii="Arial"/>
          <w:color w:val="1D1D1D"/>
          <w:w w:val="110"/>
          <w:sz w:val="21"/>
        </w:rPr>
        <w:t>categories</w:t>
      </w:r>
      <w:r>
        <w:rPr>
          <w:rFonts w:ascii="Arial"/>
          <w:color w:val="1D1D1D"/>
          <w:spacing w:val="-16"/>
          <w:w w:val="110"/>
          <w:sz w:val="21"/>
        </w:rPr>
        <w:t xml:space="preserve"> </w:t>
      </w:r>
      <w:r>
        <w:rPr>
          <w:rFonts w:ascii="Arial"/>
          <w:color w:val="1D1D1D"/>
          <w:w w:val="110"/>
          <w:sz w:val="21"/>
        </w:rPr>
        <w:t>set</w:t>
      </w:r>
      <w:r>
        <w:rPr>
          <w:rFonts w:ascii="Arial"/>
          <w:color w:val="1D1D1D"/>
          <w:spacing w:val="-16"/>
          <w:w w:val="110"/>
          <w:sz w:val="21"/>
        </w:rPr>
        <w:t xml:space="preserve"> </w:t>
      </w:r>
      <w:r>
        <w:rPr>
          <w:rFonts w:ascii="Arial"/>
          <w:color w:val="1D1D1D"/>
          <w:w w:val="110"/>
          <w:sz w:val="21"/>
        </w:rPr>
        <w:t>out</w:t>
      </w:r>
      <w:r>
        <w:rPr>
          <w:rFonts w:ascii="Arial"/>
          <w:color w:val="1D1D1D"/>
          <w:spacing w:val="-16"/>
          <w:w w:val="110"/>
          <w:sz w:val="21"/>
        </w:rPr>
        <w:t xml:space="preserve"> </w:t>
      </w:r>
      <w:r>
        <w:rPr>
          <w:rFonts w:ascii="Arial"/>
          <w:color w:val="1D1D1D"/>
          <w:w w:val="110"/>
          <w:sz w:val="21"/>
        </w:rPr>
        <w:t>in</w:t>
      </w:r>
      <w:r>
        <w:rPr>
          <w:rFonts w:ascii="Arial"/>
          <w:color w:val="1D1D1D"/>
          <w:spacing w:val="-16"/>
          <w:w w:val="110"/>
          <w:sz w:val="21"/>
        </w:rPr>
        <w:t xml:space="preserve"> </w:t>
      </w:r>
      <w:r>
        <w:rPr>
          <w:rFonts w:ascii="Arial"/>
          <w:color w:val="1D1D1D"/>
          <w:w w:val="110"/>
          <w:sz w:val="21"/>
        </w:rPr>
        <w:t>Annex</w:t>
      </w:r>
      <w:r>
        <w:rPr>
          <w:rFonts w:ascii="Arial"/>
          <w:color w:val="1D1D1D"/>
          <w:spacing w:val="-16"/>
          <w:w w:val="110"/>
          <w:sz w:val="21"/>
        </w:rPr>
        <w:t xml:space="preserve"> </w:t>
      </w:r>
      <w:r>
        <w:rPr>
          <w:rFonts w:ascii="Arial"/>
          <w:color w:val="0C0C0C"/>
          <w:w w:val="110"/>
          <w:sz w:val="21"/>
        </w:rPr>
        <w:t xml:space="preserve">I </w:t>
      </w:r>
      <w:r>
        <w:rPr>
          <w:rFonts w:ascii="Arial"/>
          <w:color w:val="1D1D1D"/>
          <w:w w:val="105"/>
          <w:sz w:val="21"/>
        </w:rPr>
        <w:t>of</w:t>
      </w:r>
      <w:r>
        <w:rPr>
          <w:rFonts w:ascii="Arial"/>
          <w:color w:val="1D1D1D"/>
          <w:spacing w:val="12"/>
          <w:w w:val="105"/>
          <w:sz w:val="21"/>
        </w:rPr>
        <w:t xml:space="preserve"> </w:t>
      </w:r>
      <w:r>
        <w:rPr>
          <w:rFonts w:ascii="Arial"/>
          <w:color w:val="1D1D1D"/>
          <w:w w:val="105"/>
          <w:sz w:val="21"/>
        </w:rPr>
        <w:t>the</w:t>
      </w:r>
      <w:r>
        <w:rPr>
          <w:rFonts w:ascii="Arial"/>
          <w:color w:val="1D1D1D"/>
          <w:spacing w:val="24"/>
          <w:w w:val="105"/>
          <w:sz w:val="21"/>
        </w:rPr>
        <w:t xml:space="preserve"> </w:t>
      </w:r>
      <w:r>
        <w:rPr>
          <w:rFonts w:ascii="Arial"/>
          <w:color w:val="1D1D1D"/>
          <w:w w:val="105"/>
          <w:sz w:val="21"/>
        </w:rPr>
        <w:t>Final</w:t>
      </w:r>
      <w:r>
        <w:rPr>
          <w:rFonts w:ascii="Arial"/>
          <w:color w:val="1D1D1D"/>
          <w:spacing w:val="-10"/>
          <w:w w:val="105"/>
          <w:sz w:val="21"/>
        </w:rPr>
        <w:t xml:space="preserve"> </w:t>
      </w:r>
      <w:r>
        <w:rPr>
          <w:rFonts w:ascii="Arial"/>
          <w:color w:val="1D1D1D"/>
          <w:w w:val="105"/>
          <w:sz w:val="21"/>
        </w:rPr>
        <w:t>Determination.</w:t>
      </w:r>
      <w:r>
        <w:rPr>
          <w:rFonts w:ascii="Arial"/>
          <w:color w:val="1D1D1D"/>
          <w:spacing w:val="-16"/>
          <w:w w:val="105"/>
          <w:sz w:val="21"/>
        </w:rPr>
        <w:t xml:space="preserve"> </w:t>
      </w:r>
      <w:r>
        <w:rPr>
          <w:rFonts w:ascii="Arial"/>
          <w:color w:val="1D1D1D"/>
          <w:w w:val="105"/>
          <w:sz w:val="21"/>
        </w:rPr>
        <w:t>Specifically,</w:t>
      </w:r>
      <w:r>
        <w:rPr>
          <w:rFonts w:ascii="Arial"/>
          <w:color w:val="1D1D1D"/>
          <w:spacing w:val="-1"/>
          <w:w w:val="105"/>
          <w:sz w:val="21"/>
        </w:rPr>
        <w:t xml:space="preserve"> </w:t>
      </w:r>
      <w:r>
        <w:rPr>
          <w:rFonts w:ascii="Arial"/>
          <w:color w:val="0C0C0C"/>
          <w:w w:val="105"/>
          <w:sz w:val="21"/>
        </w:rPr>
        <w:t xml:space="preserve">MOFCOM </w:t>
      </w:r>
      <w:r>
        <w:rPr>
          <w:rFonts w:ascii="Arial"/>
          <w:color w:val="1D1D1D"/>
          <w:w w:val="105"/>
          <w:sz w:val="21"/>
        </w:rPr>
        <w:t>failed</w:t>
      </w:r>
      <w:r>
        <w:rPr>
          <w:rFonts w:ascii="Arial"/>
          <w:color w:val="1D1D1D"/>
          <w:spacing w:val="-15"/>
          <w:w w:val="105"/>
          <w:sz w:val="21"/>
        </w:rPr>
        <w:t xml:space="preserve"> </w:t>
      </w:r>
      <w:r>
        <w:rPr>
          <w:rFonts w:ascii="Arial"/>
          <w:color w:val="0C0C0C"/>
          <w:w w:val="105"/>
          <w:sz w:val="21"/>
        </w:rPr>
        <w:t xml:space="preserve">to </w:t>
      </w:r>
      <w:r>
        <w:rPr>
          <w:rFonts w:ascii="Arial"/>
          <w:color w:val="1D1D1D"/>
          <w:w w:val="105"/>
          <w:sz w:val="21"/>
        </w:rPr>
        <w:t>name</w:t>
      </w:r>
      <w:r>
        <w:rPr>
          <w:rFonts w:ascii="Arial"/>
          <w:color w:val="1D1D1D"/>
          <w:spacing w:val="-12"/>
          <w:w w:val="105"/>
          <w:sz w:val="21"/>
        </w:rPr>
        <w:t xml:space="preserve"> </w:t>
      </w:r>
      <w:r>
        <w:rPr>
          <w:rFonts w:ascii="Arial"/>
          <w:color w:val="1D1D1D"/>
          <w:w w:val="105"/>
          <w:sz w:val="21"/>
        </w:rPr>
        <w:t>six</w:t>
      </w:r>
      <w:r>
        <w:rPr>
          <w:rFonts w:ascii="Arial"/>
          <w:color w:val="1D1D1D"/>
          <w:spacing w:val="-4"/>
          <w:w w:val="105"/>
          <w:sz w:val="21"/>
        </w:rPr>
        <w:t xml:space="preserve"> </w:t>
      </w:r>
      <w:r>
        <w:rPr>
          <w:rFonts w:ascii="Arial"/>
          <w:color w:val="1D1D1D"/>
          <w:w w:val="105"/>
          <w:sz w:val="21"/>
        </w:rPr>
        <w:t>"Australian</w:t>
      </w:r>
      <w:r>
        <w:rPr>
          <w:rFonts w:ascii="Arial"/>
          <w:color w:val="1D1D1D"/>
          <w:spacing w:val="-7"/>
          <w:w w:val="105"/>
          <w:sz w:val="21"/>
        </w:rPr>
        <w:t xml:space="preserve"> </w:t>
      </w:r>
      <w:r>
        <w:rPr>
          <w:rFonts w:ascii="Arial"/>
          <w:color w:val="1D1D1D"/>
          <w:w w:val="105"/>
          <w:sz w:val="21"/>
        </w:rPr>
        <w:t>traders"</w:t>
      </w:r>
      <w:r>
        <w:rPr>
          <w:rFonts w:ascii="Arial"/>
          <w:color w:val="1D1D1D"/>
          <w:w w:val="105"/>
          <w:sz w:val="21"/>
          <w:vertAlign w:val="superscript"/>
        </w:rPr>
        <w:t>877</w:t>
      </w:r>
      <w:r>
        <w:rPr>
          <w:rFonts w:ascii="Arial"/>
          <w:color w:val="1D1D1D"/>
          <w:spacing w:val="-5"/>
          <w:w w:val="105"/>
          <w:sz w:val="21"/>
        </w:rPr>
        <w:t xml:space="preserve"> </w:t>
      </w:r>
      <w:r>
        <w:rPr>
          <w:rFonts w:ascii="Arial"/>
          <w:color w:val="1D1D1D"/>
          <w:w w:val="105"/>
          <w:sz w:val="21"/>
        </w:rPr>
        <w:t xml:space="preserve">of </w:t>
      </w:r>
      <w:r>
        <w:rPr>
          <w:rFonts w:ascii="Arial"/>
          <w:color w:val="1D1D1D"/>
          <w:w w:val="110"/>
          <w:sz w:val="21"/>
        </w:rPr>
        <w:t>Australian</w:t>
      </w:r>
      <w:r>
        <w:rPr>
          <w:rFonts w:ascii="Arial"/>
          <w:color w:val="1D1D1D"/>
          <w:spacing w:val="-17"/>
          <w:w w:val="110"/>
          <w:sz w:val="21"/>
        </w:rPr>
        <w:t xml:space="preserve"> </w:t>
      </w:r>
      <w:r>
        <w:rPr>
          <w:rFonts w:ascii="Arial"/>
          <w:color w:val="1D1D1D"/>
          <w:w w:val="110"/>
          <w:sz w:val="21"/>
        </w:rPr>
        <w:t>bottled</w:t>
      </w:r>
      <w:r>
        <w:rPr>
          <w:rFonts w:ascii="Arial"/>
          <w:color w:val="1D1D1D"/>
          <w:spacing w:val="-16"/>
          <w:w w:val="110"/>
          <w:sz w:val="21"/>
        </w:rPr>
        <w:t xml:space="preserve"> </w:t>
      </w:r>
      <w:r>
        <w:rPr>
          <w:rFonts w:ascii="Arial"/>
          <w:color w:val="1D1D1D"/>
          <w:w w:val="110"/>
          <w:sz w:val="21"/>
        </w:rPr>
        <w:t>wine</w:t>
      </w:r>
      <w:r>
        <w:rPr>
          <w:rFonts w:ascii="Arial"/>
          <w:color w:val="1D1D1D"/>
          <w:spacing w:val="-16"/>
          <w:w w:val="110"/>
          <w:sz w:val="21"/>
        </w:rPr>
        <w:t xml:space="preserve"> </w:t>
      </w:r>
      <w:r>
        <w:rPr>
          <w:rFonts w:ascii="Arial"/>
          <w:color w:val="0C0C0C"/>
          <w:w w:val="110"/>
          <w:sz w:val="21"/>
        </w:rPr>
        <w:t>that</w:t>
      </w:r>
      <w:r>
        <w:rPr>
          <w:rFonts w:ascii="Arial"/>
          <w:color w:val="0C0C0C"/>
          <w:spacing w:val="-16"/>
          <w:w w:val="110"/>
          <w:sz w:val="21"/>
        </w:rPr>
        <w:t xml:space="preserve"> </w:t>
      </w:r>
      <w:r>
        <w:rPr>
          <w:rFonts w:ascii="Arial"/>
          <w:color w:val="1D1D1D"/>
          <w:w w:val="110"/>
          <w:sz w:val="21"/>
        </w:rPr>
        <w:t>had</w:t>
      </w:r>
      <w:r>
        <w:rPr>
          <w:rFonts w:ascii="Arial"/>
          <w:color w:val="1D1D1D"/>
          <w:spacing w:val="-16"/>
          <w:w w:val="110"/>
          <w:sz w:val="21"/>
        </w:rPr>
        <w:t xml:space="preserve"> </w:t>
      </w:r>
      <w:r>
        <w:rPr>
          <w:rFonts w:ascii="Arial"/>
          <w:color w:val="1D1D1D"/>
          <w:w w:val="110"/>
          <w:sz w:val="21"/>
        </w:rPr>
        <w:t>validly</w:t>
      </w:r>
      <w:r>
        <w:rPr>
          <w:rFonts w:ascii="Arial"/>
          <w:color w:val="1D1D1D"/>
          <w:spacing w:val="-16"/>
          <w:w w:val="110"/>
          <w:sz w:val="21"/>
        </w:rPr>
        <w:t xml:space="preserve"> </w:t>
      </w:r>
      <w:r>
        <w:rPr>
          <w:rFonts w:ascii="Arial"/>
          <w:color w:val="1D1D1D"/>
          <w:w w:val="110"/>
          <w:sz w:val="21"/>
        </w:rPr>
        <w:t>registered</w:t>
      </w:r>
      <w:r>
        <w:rPr>
          <w:rFonts w:ascii="Arial"/>
          <w:color w:val="1D1D1D"/>
          <w:spacing w:val="-16"/>
          <w:w w:val="110"/>
          <w:sz w:val="21"/>
        </w:rPr>
        <w:t xml:space="preserve"> </w:t>
      </w:r>
      <w:r>
        <w:rPr>
          <w:rFonts w:ascii="Arial"/>
          <w:color w:val="1D1D1D"/>
          <w:w w:val="110"/>
          <w:sz w:val="21"/>
        </w:rPr>
        <w:t>for</w:t>
      </w:r>
      <w:r>
        <w:rPr>
          <w:rFonts w:ascii="Arial"/>
          <w:color w:val="1D1D1D"/>
          <w:spacing w:val="-16"/>
          <w:w w:val="110"/>
          <w:sz w:val="21"/>
        </w:rPr>
        <w:t xml:space="preserve"> </w:t>
      </w:r>
      <w:r>
        <w:rPr>
          <w:rFonts w:ascii="Arial"/>
          <w:color w:val="0C0C0C"/>
          <w:w w:val="110"/>
          <w:sz w:val="21"/>
        </w:rPr>
        <w:t>the</w:t>
      </w:r>
      <w:r>
        <w:rPr>
          <w:rFonts w:ascii="Arial"/>
          <w:color w:val="0C0C0C"/>
          <w:spacing w:val="-16"/>
          <w:w w:val="110"/>
          <w:sz w:val="21"/>
        </w:rPr>
        <w:t xml:space="preserve"> </w:t>
      </w:r>
      <w:r>
        <w:rPr>
          <w:rFonts w:ascii="Arial"/>
          <w:color w:val="0C0C0C"/>
          <w:w w:val="110"/>
          <w:sz w:val="21"/>
        </w:rPr>
        <w:t>investigation.</w:t>
      </w:r>
      <w:r>
        <w:rPr>
          <w:rFonts w:ascii="Arial"/>
          <w:color w:val="0C0C0C"/>
          <w:spacing w:val="-16"/>
          <w:w w:val="110"/>
          <w:sz w:val="21"/>
        </w:rPr>
        <w:t xml:space="preserve"> </w:t>
      </w:r>
      <w:r>
        <w:rPr>
          <w:rFonts w:ascii="Arial"/>
          <w:color w:val="0C0C0C"/>
          <w:w w:val="110"/>
          <w:sz w:val="21"/>
        </w:rPr>
        <w:t>The</w:t>
      </w:r>
      <w:r>
        <w:rPr>
          <w:rFonts w:ascii="Arial"/>
          <w:color w:val="0C0C0C"/>
          <w:spacing w:val="-16"/>
          <w:w w:val="110"/>
          <w:sz w:val="21"/>
        </w:rPr>
        <w:t xml:space="preserve"> </w:t>
      </w:r>
      <w:r>
        <w:rPr>
          <w:rFonts w:ascii="Arial"/>
          <w:color w:val="1D1D1D"/>
          <w:w w:val="110"/>
          <w:sz w:val="21"/>
        </w:rPr>
        <w:t>term</w:t>
      </w:r>
      <w:r>
        <w:rPr>
          <w:rFonts w:ascii="Arial"/>
          <w:color w:val="1D1D1D"/>
          <w:spacing w:val="-16"/>
          <w:w w:val="110"/>
          <w:sz w:val="21"/>
        </w:rPr>
        <w:t xml:space="preserve"> </w:t>
      </w:r>
      <w:r>
        <w:rPr>
          <w:rFonts w:ascii="Arial"/>
          <w:color w:val="1D1D1D"/>
          <w:w w:val="110"/>
          <w:sz w:val="21"/>
        </w:rPr>
        <w:t xml:space="preserve">"suppliers" </w:t>
      </w:r>
      <w:r>
        <w:rPr>
          <w:rFonts w:ascii="Arial"/>
          <w:color w:val="1D1D1D"/>
          <w:w w:val="105"/>
          <w:sz w:val="21"/>
        </w:rPr>
        <w:t>in Article 9.2 is</w:t>
      </w:r>
      <w:r>
        <w:rPr>
          <w:rFonts w:ascii="Arial"/>
          <w:color w:val="1D1D1D"/>
          <w:spacing w:val="-11"/>
          <w:w w:val="105"/>
          <w:sz w:val="21"/>
        </w:rPr>
        <w:t xml:space="preserve"> </w:t>
      </w:r>
      <w:r>
        <w:rPr>
          <w:rFonts w:ascii="Arial"/>
          <w:color w:val="0C0C0C"/>
          <w:w w:val="105"/>
          <w:sz w:val="21"/>
        </w:rPr>
        <w:t xml:space="preserve">broader </w:t>
      </w:r>
      <w:r>
        <w:rPr>
          <w:rFonts w:ascii="Arial"/>
          <w:color w:val="1D1D1D"/>
          <w:w w:val="105"/>
          <w:sz w:val="21"/>
        </w:rPr>
        <w:t>than</w:t>
      </w:r>
      <w:r>
        <w:rPr>
          <w:rFonts w:ascii="Arial"/>
          <w:color w:val="1D1D1D"/>
          <w:spacing w:val="-12"/>
          <w:w w:val="105"/>
          <w:sz w:val="21"/>
        </w:rPr>
        <w:t xml:space="preserve"> </w:t>
      </w:r>
      <w:r>
        <w:rPr>
          <w:rFonts w:ascii="Arial"/>
          <w:color w:val="1D1D1D"/>
          <w:w w:val="105"/>
          <w:sz w:val="21"/>
        </w:rPr>
        <w:t xml:space="preserve">the </w:t>
      </w:r>
      <w:r>
        <w:rPr>
          <w:rFonts w:ascii="Arial"/>
          <w:color w:val="0C0C0C"/>
          <w:w w:val="105"/>
          <w:sz w:val="21"/>
        </w:rPr>
        <w:t xml:space="preserve">narrower </w:t>
      </w:r>
      <w:r>
        <w:rPr>
          <w:rFonts w:ascii="Arial"/>
          <w:color w:val="1D1D1D"/>
          <w:w w:val="105"/>
          <w:sz w:val="21"/>
        </w:rPr>
        <w:t>concept of</w:t>
      </w:r>
      <w:r>
        <w:rPr>
          <w:rFonts w:ascii="Arial"/>
          <w:color w:val="1D1D1D"/>
          <w:spacing w:val="27"/>
          <w:w w:val="105"/>
          <w:sz w:val="21"/>
        </w:rPr>
        <w:t xml:space="preserve"> </w:t>
      </w:r>
      <w:r>
        <w:rPr>
          <w:rFonts w:ascii="Arial"/>
          <w:color w:val="1D1D1D"/>
          <w:w w:val="105"/>
          <w:sz w:val="21"/>
        </w:rPr>
        <w:t>"producers", encompassing "Australian</w:t>
      </w:r>
    </w:p>
    <w:p w14:paraId="51DE93CD" w14:textId="77777777" w:rsidR="0010369C" w:rsidRDefault="008E43AE">
      <w:pPr>
        <w:pStyle w:val="BodyText"/>
        <w:spacing w:before="7"/>
        <w:rPr>
          <w:rFonts w:ascii="Arial"/>
          <w:sz w:val="23"/>
        </w:rPr>
      </w:pPr>
      <w:r>
        <w:pict w14:anchorId="51DEA604">
          <v:shape id="docshape1204" o:spid="_x0000_s1206" style="position:absolute;margin-left:70.25pt;margin-top:14.8pt;width:145.5pt;height:.1pt;z-index:-250768896;mso-wrap-distance-left:0;mso-wrap-distance-right:0;mso-position-horizontal-relative:page" coordorigin="1405,296" coordsize="2910,0" path="m1405,296r2909,e" filled="f" strokeweight=".53042mm">
            <v:path arrowok="t"/>
            <w10:wrap type="topAndBottom" anchorx="page"/>
          </v:shape>
        </w:pict>
      </w:r>
    </w:p>
    <w:p w14:paraId="51DE93CE" w14:textId="77777777" w:rsidR="0010369C" w:rsidRDefault="008E43AE">
      <w:pPr>
        <w:spacing w:before="125"/>
        <w:ind w:left="240"/>
        <w:jc w:val="both"/>
        <w:rPr>
          <w:rFonts w:ascii="Arial"/>
          <w:sz w:val="16"/>
        </w:rPr>
      </w:pPr>
      <w:r>
        <w:rPr>
          <w:rFonts w:ascii="Arial"/>
          <w:color w:val="1D1D1D"/>
          <w:w w:val="105"/>
          <w:sz w:val="16"/>
          <w:vertAlign w:val="superscript"/>
        </w:rPr>
        <w:t>873</w:t>
      </w:r>
      <w:r>
        <w:rPr>
          <w:rFonts w:ascii="Arial"/>
          <w:color w:val="1D1D1D"/>
          <w:spacing w:val="-22"/>
          <w:w w:val="105"/>
          <w:sz w:val="16"/>
        </w:rPr>
        <w:t xml:space="preserve"> </w:t>
      </w:r>
      <w:r>
        <w:rPr>
          <w:rFonts w:ascii="Arial"/>
          <w:color w:val="1D1D1D"/>
          <w:w w:val="105"/>
          <w:sz w:val="16"/>
        </w:rPr>
        <w:t>The</w:t>
      </w:r>
      <w:r>
        <w:rPr>
          <w:rFonts w:ascii="Arial"/>
          <w:color w:val="1D1D1D"/>
          <w:spacing w:val="-15"/>
          <w:w w:val="105"/>
          <w:sz w:val="16"/>
        </w:rPr>
        <w:t xml:space="preserve"> </w:t>
      </w:r>
      <w:r>
        <w:rPr>
          <w:rFonts w:ascii="Arial"/>
          <w:color w:val="1D1D1D"/>
          <w:w w:val="105"/>
          <w:sz w:val="16"/>
        </w:rPr>
        <w:t>corollary of</w:t>
      </w:r>
      <w:r>
        <w:rPr>
          <w:rFonts w:ascii="Arial"/>
          <w:color w:val="1D1D1D"/>
          <w:spacing w:val="8"/>
          <w:w w:val="105"/>
          <w:sz w:val="16"/>
        </w:rPr>
        <w:t xml:space="preserve"> </w:t>
      </w:r>
      <w:r>
        <w:rPr>
          <w:rFonts w:ascii="Arial"/>
          <w:color w:val="0C0C0C"/>
          <w:w w:val="105"/>
          <w:sz w:val="16"/>
        </w:rPr>
        <w:t>the</w:t>
      </w:r>
      <w:r>
        <w:rPr>
          <w:rFonts w:ascii="Arial"/>
          <w:color w:val="0C0C0C"/>
          <w:spacing w:val="2"/>
          <w:w w:val="105"/>
          <w:sz w:val="16"/>
        </w:rPr>
        <w:t xml:space="preserve"> </w:t>
      </w:r>
      <w:r>
        <w:rPr>
          <w:rFonts w:ascii="Arial"/>
          <w:color w:val="1D1D1D"/>
          <w:w w:val="105"/>
          <w:sz w:val="16"/>
        </w:rPr>
        <w:t>finding</w:t>
      </w:r>
      <w:r>
        <w:rPr>
          <w:rFonts w:ascii="Arial"/>
          <w:color w:val="1D1D1D"/>
          <w:spacing w:val="-17"/>
          <w:w w:val="105"/>
          <w:sz w:val="16"/>
        </w:rPr>
        <w:t xml:space="preserve"> </w:t>
      </w:r>
      <w:r>
        <w:rPr>
          <w:rFonts w:ascii="Arial"/>
          <w:color w:val="3D3D3D"/>
          <w:w w:val="105"/>
          <w:sz w:val="16"/>
        </w:rPr>
        <w:t>in</w:t>
      </w:r>
      <w:r>
        <w:rPr>
          <w:rFonts w:ascii="Arial"/>
          <w:color w:val="3D3D3D"/>
          <w:spacing w:val="-6"/>
          <w:w w:val="105"/>
          <w:sz w:val="16"/>
        </w:rPr>
        <w:t xml:space="preserve"> </w:t>
      </w:r>
      <w:r>
        <w:rPr>
          <w:rFonts w:ascii="Arial"/>
          <w:color w:val="1D1D1D"/>
          <w:w w:val="105"/>
          <w:sz w:val="16"/>
        </w:rPr>
        <w:t>Panel</w:t>
      </w:r>
      <w:r>
        <w:rPr>
          <w:rFonts w:ascii="Arial"/>
          <w:color w:val="1D1D1D"/>
          <w:spacing w:val="-23"/>
          <w:w w:val="105"/>
          <w:sz w:val="16"/>
        </w:rPr>
        <w:t xml:space="preserve"> </w:t>
      </w:r>
      <w:r>
        <w:rPr>
          <w:rFonts w:ascii="Arial"/>
          <w:color w:val="1D1D1D"/>
          <w:w w:val="105"/>
          <w:sz w:val="16"/>
        </w:rPr>
        <w:t>Report,</w:t>
      </w:r>
      <w:r>
        <w:rPr>
          <w:rFonts w:ascii="Arial"/>
          <w:color w:val="1D1D1D"/>
          <w:spacing w:val="-22"/>
          <w:w w:val="105"/>
          <w:sz w:val="16"/>
        </w:rPr>
        <w:t xml:space="preserve"> </w:t>
      </w:r>
      <w:r>
        <w:rPr>
          <w:rFonts w:ascii="Arial"/>
          <w:i/>
          <w:color w:val="1D1D1D"/>
          <w:w w:val="105"/>
          <w:sz w:val="16"/>
        </w:rPr>
        <w:t>Argentina</w:t>
      </w:r>
      <w:r>
        <w:rPr>
          <w:rFonts w:ascii="Arial"/>
          <w:i/>
          <w:color w:val="1D1D1D"/>
          <w:spacing w:val="-9"/>
          <w:w w:val="105"/>
          <w:sz w:val="16"/>
        </w:rPr>
        <w:t xml:space="preserve"> </w:t>
      </w:r>
      <w:r>
        <w:rPr>
          <w:rFonts w:ascii="Arial"/>
          <w:color w:val="1D1D1D"/>
          <w:w w:val="105"/>
          <w:sz w:val="16"/>
        </w:rPr>
        <w:t>-</w:t>
      </w:r>
      <w:r>
        <w:rPr>
          <w:rFonts w:ascii="Arial"/>
          <w:color w:val="1D1D1D"/>
          <w:spacing w:val="26"/>
          <w:w w:val="105"/>
          <w:sz w:val="16"/>
        </w:rPr>
        <w:t xml:space="preserve"> </w:t>
      </w:r>
      <w:r>
        <w:rPr>
          <w:rFonts w:ascii="Arial"/>
          <w:i/>
          <w:color w:val="1D1D1D"/>
          <w:w w:val="105"/>
          <w:sz w:val="16"/>
        </w:rPr>
        <w:t>Poultry</w:t>
      </w:r>
      <w:r>
        <w:rPr>
          <w:rFonts w:ascii="Arial"/>
          <w:i/>
          <w:color w:val="1D1D1D"/>
          <w:spacing w:val="-12"/>
          <w:w w:val="105"/>
          <w:sz w:val="16"/>
        </w:rPr>
        <w:t xml:space="preserve"> </w:t>
      </w:r>
      <w:r>
        <w:rPr>
          <w:rFonts w:ascii="Arial"/>
          <w:i/>
          <w:color w:val="1D1D1D"/>
          <w:w w:val="105"/>
          <w:sz w:val="16"/>
        </w:rPr>
        <w:t>Anti-Dumping</w:t>
      </w:r>
      <w:r>
        <w:rPr>
          <w:rFonts w:ascii="Arial"/>
          <w:i/>
          <w:color w:val="1D1D1D"/>
          <w:spacing w:val="-2"/>
          <w:w w:val="105"/>
          <w:sz w:val="16"/>
        </w:rPr>
        <w:t xml:space="preserve"> </w:t>
      </w:r>
      <w:r>
        <w:rPr>
          <w:rFonts w:ascii="Arial"/>
          <w:i/>
          <w:color w:val="1D1D1D"/>
          <w:w w:val="105"/>
          <w:sz w:val="16"/>
        </w:rPr>
        <w:t>Duties,</w:t>
      </w:r>
      <w:r>
        <w:rPr>
          <w:rFonts w:ascii="Arial"/>
          <w:i/>
          <w:color w:val="1D1D1D"/>
          <w:spacing w:val="-27"/>
          <w:w w:val="105"/>
          <w:sz w:val="16"/>
        </w:rPr>
        <w:t xml:space="preserve"> </w:t>
      </w:r>
      <w:r>
        <w:rPr>
          <w:rFonts w:ascii="Arial"/>
          <w:color w:val="1D1D1D"/>
          <w:w w:val="105"/>
          <w:sz w:val="16"/>
        </w:rPr>
        <w:t>para.</w:t>
      </w:r>
      <w:r>
        <w:rPr>
          <w:rFonts w:ascii="Arial"/>
          <w:color w:val="1D1D1D"/>
          <w:spacing w:val="-13"/>
          <w:w w:val="105"/>
          <w:sz w:val="16"/>
        </w:rPr>
        <w:t xml:space="preserve"> </w:t>
      </w:r>
      <w:r>
        <w:rPr>
          <w:rFonts w:ascii="Arial"/>
          <w:color w:val="1D1D1D"/>
          <w:spacing w:val="-2"/>
          <w:w w:val="105"/>
          <w:sz w:val="16"/>
        </w:rPr>
        <w:t>7.365.</w:t>
      </w:r>
    </w:p>
    <w:p w14:paraId="51DE93CF" w14:textId="77777777" w:rsidR="0010369C" w:rsidRDefault="008E43AE">
      <w:pPr>
        <w:spacing w:before="37"/>
        <w:ind w:left="230"/>
        <w:jc w:val="both"/>
        <w:rPr>
          <w:rFonts w:ascii="Arial"/>
          <w:sz w:val="16"/>
        </w:rPr>
      </w:pPr>
      <w:r>
        <w:pict w14:anchorId="51DEA605">
          <v:group id="docshapegroup1205" o:spid="_x0000_s1203" style="position:absolute;left:0;text-align:left;margin-left:70.25pt;margin-top:12.25pt;width:454.55pt;height:30.6pt;z-index:-250767872;mso-wrap-distance-left:0;mso-wrap-distance-right:0;mso-position-horizontal-relative:page" coordorigin="1405,245" coordsize="9091,612">
            <v:shape id="docshape1206" o:spid="_x0000_s1205" type="#_x0000_t75" style="position:absolute;left:1404;top:254;width:9091;height:602">
              <v:imagedata r:id="rId965" o:title=""/>
            </v:shape>
            <v:shape id="docshape1207" o:spid="_x0000_s1204" type="#_x0000_t202" style="position:absolute;left:1410;top:244;width:216;height:124" filled="f" stroked="f">
              <v:textbox inset="0,0,0,0">
                <w:txbxContent>
                  <w:p w14:paraId="51DEAC90" w14:textId="77777777" w:rsidR="0010369C" w:rsidRDefault="008E43AE">
                    <w:pPr>
                      <w:spacing w:line="123" w:lineRule="exact"/>
                      <w:rPr>
                        <w:rFonts w:ascii="Arial"/>
                        <w:sz w:val="11"/>
                      </w:rPr>
                    </w:pPr>
                    <w:r>
                      <w:rPr>
                        <w:rFonts w:ascii="Arial"/>
                        <w:color w:val="1D1D1D"/>
                        <w:spacing w:val="-5"/>
                        <w:w w:val="105"/>
                        <w:sz w:val="11"/>
                      </w:rPr>
                      <w:t>875</w:t>
                    </w:r>
                  </w:p>
                </w:txbxContent>
              </v:textbox>
            </v:shape>
            <w10:wrap type="topAndBottom" anchorx="page"/>
          </v:group>
        </w:pict>
      </w:r>
      <w:r>
        <w:rPr>
          <w:rFonts w:ascii="Arial"/>
          <w:color w:val="1D1D1D"/>
          <w:sz w:val="16"/>
          <w:vertAlign w:val="superscript"/>
        </w:rPr>
        <w:t>874</w:t>
      </w:r>
      <w:r>
        <w:rPr>
          <w:rFonts w:ascii="Arial"/>
          <w:color w:val="1D1D1D"/>
          <w:spacing w:val="7"/>
          <w:sz w:val="16"/>
        </w:rPr>
        <w:t xml:space="preserve"> </w:t>
      </w:r>
      <w:r>
        <w:rPr>
          <w:rFonts w:ascii="Arial"/>
          <w:color w:val="1D1D1D"/>
          <w:sz w:val="16"/>
        </w:rPr>
        <w:t>See</w:t>
      </w:r>
      <w:r>
        <w:rPr>
          <w:rFonts w:ascii="Arial"/>
          <w:color w:val="1D1D1D"/>
          <w:spacing w:val="5"/>
          <w:sz w:val="16"/>
        </w:rPr>
        <w:t xml:space="preserve"> </w:t>
      </w:r>
      <w:r>
        <w:rPr>
          <w:rFonts w:ascii="Arial"/>
          <w:color w:val="1D1D1D"/>
          <w:sz w:val="16"/>
        </w:rPr>
        <w:t>above,</w:t>
      </w:r>
      <w:r>
        <w:rPr>
          <w:rFonts w:ascii="Arial"/>
          <w:color w:val="1D1D1D"/>
          <w:spacing w:val="2"/>
          <w:sz w:val="16"/>
        </w:rPr>
        <w:t xml:space="preserve"> </w:t>
      </w:r>
      <w:r>
        <w:rPr>
          <w:rFonts w:ascii="Arial"/>
          <w:color w:val="1D1D1D"/>
          <w:sz w:val="16"/>
        </w:rPr>
        <w:t>section</w:t>
      </w:r>
      <w:r>
        <w:rPr>
          <w:rFonts w:ascii="Arial"/>
          <w:color w:val="1D1D1D"/>
          <w:spacing w:val="-11"/>
          <w:sz w:val="16"/>
        </w:rPr>
        <w:t xml:space="preserve"> </w:t>
      </w:r>
      <w:r>
        <w:rPr>
          <w:rFonts w:ascii="Arial"/>
          <w:color w:val="1D1D1D"/>
          <w:spacing w:val="-5"/>
          <w:sz w:val="16"/>
        </w:rPr>
        <w:t>II.</w:t>
      </w:r>
    </w:p>
    <w:p w14:paraId="51DE93D0" w14:textId="77777777" w:rsidR="0010369C" w:rsidRDefault="008E43AE">
      <w:pPr>
        <w:spacing w:before="3" w:line="288" w:lineRule="auto"/>
        <w:ind w:left="234" w:right="543" w:firstLine="2"/>
        <w:rPr>
          <w:rFonts w:ascii="Arial"/>
          <w:sz w:val="16"/>
        </w:rPr>
      </w:pPr>
      <w:r>
        <w:rPr>
          <w:rFonts w:ascii="Arial"/>
          <w:color w:val="1D1D1D"/>
          <w:w w:val="105"/>
          <w:sz w:val="16"/>
        </w:rPr>
        <w:t>Casella Wines</w:t>
      </w:r>
      <w:r>
        <w:rPr>
          <w:rFonts w:ascii="Arial"/>
          <w:color w:val="1D1D1D"/>
          <w:spacing w:val="-16"/>
          <w:w w:val="105"/>
          <w:sz w:val="16"/>
        </w:rPr>
        <w:t xml:space="preserve"> </w:t>
      </w:r>
      <w:r>
        <w:rPr>
          <w:rFonts w:ascii="Arial"/>
          <w:color w:val="1D1D1D"/>
          <w:w w:val="105"/>
          <w:sz w:val="16"/>
        </w:rPr>
        <w:t>an</w:t>
      </w:r>
      <w:r>
        <w:rPr>
          <w:rFonts w:ascii="Arial"/>
          <w:color w:val="1D1D1D"/>
          <w:spacing w:val="80"/>
          <w:w w:val="105"/>
          <w:sz w:val="16"/>
        </w:rPr>
        <w:t xml:space="preserve"> </w:t>
      </w:r>
      <w:r>
        <w:rPr>
          <w:rFonts w:ascii="Arial"/>
          <w:color w:val="1D1D1D"/>
          <w:w w:val="105"/>
          <w:sz w:val="16"/>
        </w:rPr>
        <w:t>Swan</w:t>
      </w:r>
      <w:r>
        <w:rPr>
          <w:rFonts w:ascii="Arial"/>
          <w:color w:val="1D1D1D"/>
          <w:spacing w:val="-8"/>
          <w:w w:val="105"/>
          <w:sz w:val="16"/>
        </w:rPr>
        <w:t xml:space="preserve"> </w:t>
      </w:r>
      <w:r>
        <w:rPr>
          <w:rFonts w:ascii="Arial"/>
          <w:color w:val="1D1D1D"/>
          <w:w w:val="105"/>
          <w:sz w:val="16"/>
        </w:rPr>
        <w:t>Vintage,</w:t>
      </w:r>
      <w:r>
        <w:rPr>
          <w:rFonts w:ascii="Arial"/>
          <w:color w:val="1D1D1D"/>
          <w:spacing w:val="-23"/>
          <w:w w:val="105"/>
          <w:sz w:val="16"/>
        </w:rPr>
        <w:t xml:space="preserve"> </w:t>
      </w:r>
      <w:r>
        <w:rPr>
          <w:rFonts w:ascii="Arial"/>
          <w:color w:val="1D1D1D"/>
          <w:w w:val="105"/>
          <w:sz w:val="16"/>
        </w:rPr>
        <w:t>t</w:t>
      </w:r>
      <w:r>
        <w:rPr>
          <w:rFonts w:ascii="Arial"/>
          <w:color w:val="1D1D1D"/>
          <w:spacing w:val="80"/>
          <w:w w:val="105"/>
          <w:sz w:val="16"/>
        </w:rPr>
        <w:t xml:space="preserve"> </w:t>
      </w:r>
      <w:r>
        <w:rPr>
          <w:rFonts w:ascii="Arial"/>
          <w:color w:val="1D1D1D"/>
          <w:w w:val="105"/>
          <w:sz w:val="16"/>
        </w:rPr>
        <w:t>e</w:t>
      </w:r>
      <w:r>
        <w:rPr>
          <w:rFonts w:ascii="Arial"/>
          <w:color w:val="1D1D1D"/>
          <w:spacing w:val="80"/>
          <w:w w:val="105"/>
          <w:sz w:val="16"/>
        </w:rPr>
        <w:t xml:space="preserve"> </w:t>
      </w:r>
      <w:r>
        <w:rPr>
          <w:rFonts w:ascii="Arial"/>
          <w:color w:val="1D1D1D"/>
          <w:w w:val="105"/>
          <w:sz w:val="16"/>
        </w:rPr>
        <w:t>ig</w:t>
      </w:r>
      <w:r>
        <w:rPr>
          <w:rFonts w:ascii="Arial"/>
          <w:color w:val="1D1D1D"/>
          <w:spacing w:val="80"/>
          <w:w w:val="105"/>
          <w:sz w:val="16"/>
        </w:rPr>
        <w:t xml:space="preserve"> </w:t>
      </w:r>
      <w:r>
        <w:rPr>
          <w:rFonts w:ascii="Arial"/>
          <w:color w:val="1D1D1D"/>
          <w:w w:val="105"/>
          <w:sz w:val="16"/>
        </w:rPr>
        <w:t>margins</w:t>
      </w:r>
      <w:r>
        <w:rPr>
          <w:rFonts w:ascii="Arial"/>
          <w:color w:val="1D1D1D"/>
          <w:spacing w:val="-18"/>
          <w:w w:val="105"/>
          <w:sz w:val="16"/>
        </w:rPr>
        <w:t xml:space="preserve"> </w:t>
      </w:r>
      <w:r>
        <w:rPr>
          <w:rFonts w:ascii="Arial"/>
          <w:color w:val="1D1D1D"/>
          <w:w w:val="105"/>
          <w:sz w:val="16"/>
        </w:rPr>
        <w:t>o</w:t>
      </w:r>
      <w:r>
        <w:rPr>
          <w:rFonts w:ascii="Arial"/>
          <w:color w:val="1D1D1D"/>
          <w:spacing w:val="56"/>
          <w:w w:val="105"/>
          <w:sz w:val="16"/>
        </w:rPr>
        <w:t xml:space="preserve"> </w:t>
      </w:r>
      <w:r>
        <w:rPr>
          <w:rFonts w:ascii="Arial"/>
          <w:color w:val="1D1D1D"/>
          <w:w w:val="105"/>
          <w:sz w:val="16"/>
        </w:rPr>
        <w:t>dumping</w:t>
      </w:r>
      <w:r>
        <w:rPr>
          <w:rFonts w:ascii="Arial"/>
          <w:color w:val="1D1D1D"/>
          <w:spacing w:val="35"/>
          <w:w w:val="105"/>
          <w:sz w:val="16"/>
        </w:rPr>
        <w:t xml:space="preserve"> </w:t>
      </w:r>
      <w:r>
        <w:rPr>
          <w:rFonts w:ascii="Arial"/>
          <w:color w:val="1D1D1D"/>
          <w:w w:val="105"/>
          <w:sz w:val="16"/>
        </w:rPr>
        <w:t>arge</w:t>
      </w:r>
      <w:r>
        <w:rPr>
          <w:rFonts w:ascii="Arial"/>
          <w:color w:val="1D1D1D"/>
          <w:spacing w:val="-19"/>
          <w:w w:val="105"/>
          <w:sz w:val="16"/>
        </w:rPr>
        <w:t xml:space="preserve"> </w:t>
      </w:r>
      <w:r>
        <w:rPr>
          <w:rFonts w:ascii="Arial"/>
          <w:color w:val="1D1D1D"/>
          <w:w w:val="105"/>
          <w:sz w:val="16"/>
        </w:rPr>
        <w:t>y</w:t>
      </w:r>
      <w:r>
        <w:rPr>
          <w:rFonts w:ascii="Arial"/>
          <w:color w:val="1D1D1D"/>
          <w:spacing w:val="-4"/>
          <w:w w:val="105"/>
          <w:sz w:val="16"/>
        </w:rPr>
        <w:t xml:space="preserve"> </w:t>
      </w:r>
      <w:r>
        <w:rPr>
          <w:rFonts w:ascii="Arial"/>
          <w:color w:val="1D1D1D"/>
          <w:w w:val="105"/>
          <w:sz w:val="16"/>
        </w:rPr>
        <w:t>re</w:t>
      </w:r>
      <w:r>
        <w:rPr>
          <w:rFonts w:ascii="Arial"/>
          <w:color w:val="1D1D1D"/>
          <w:spacing w:val="22"/>
          <w:w w:val="105"/>
          <w:sz w:val="16"/>
        </w:rPr>
        <w:t xml:space="preserve"> </w:t>
      </w:r>
      <w:r>
        <w:rPr>
          <w:rFonts w:ascii="Arial"/>
          <w:color w:val="1D1D1D"/>
          <w:w w:val="105"/>
          <w:sz w:val="16"/>
        </w:rPr>
        <w:t>lecte</w:t>
      </w:r>
      <w:r>
        <w:rPr>
          <w:rFonts w:ascii="Arial"/>
          <w:color w:val="1D1D1D"/>
          <w:spacing w:val="77"/>
          <w:w w:val="105"/>
          <w:sz w:val="16"/>
        </w:rPr>
        <w:t xml:space="preserve"> </w:t>
      </w:r>
      <w:r>
        <w:rPr>
          <w:rFonts w:ascii="Arial"/>
          <w:color w:val="1D1D1D"/>
          <w:w w:val="105"/>
          <w:sz w:val="16"/>
        </w:rPr>
        <w:t>the</w:t>
      </w:r>
      <w:r>
        <w:rPr>
          <w:rFonts w:ascii="Arial"/>
          <w:color w:val="1D1D1D"/>
          <w:spacing w:val="-7"/>
          <w:w w:val="105"/>
          <w:sz w:val="16"/>
        </w:rPr>
        <w:t xml:space="preserve"> </w:t>
      </w:r>
      <w:r>
        <w:rPr>
          <w:rFonts w:ascii="Arial"/>
          <w:color w:val="1D1D1D"/>
          <w:w w:val="105"/>
          <w:sz w:val="16"/>
        </w:rPr>
        <w:t>impermissib</w:t>
      </w:r>
      <w:r>
        <w:rPr>
          <w:rFonts w:ascii="Arial"/>
          <w:color w:val="1D1D1D"/>
          <w:spacing w:val="-5"/>
          <w:w w:val="105"/>
          <w:sz w:val="16"/>
        </w:rPr>
        <w:t xml:space="preserve"> </w:t>
      </w:r>
      <w:r>
        <w:rPr>
          <w:rFonts w:ascii="Arial"/>
          <w:color w:val="1D1D1D"/>
          <w:w w:val="105"/>
          <w:sz w:val="16"/>
        </w:rPr>
        <w:t>e</w:t>
      </w:r>
      <w:r>
        <w:rPr>
          <w:rFonts w:ascii="Arial"/>
          <w:color w:val="1D1D1D"/>
          <w:spacing w:val="-14"/>
          <w:w w:val="105"/>
          <w:sz w:val="16"/>
        </w:rPr>
        <w:t xml:space="preserve"> </w:t>
      </w:r>
      <w:r>
        <w:rPr>
          <w:rFonts w:ascii="Arial"/>
          <w:color w:val="0C0C0C"/>
          <w:w w:val="105"/>
          <w:sz w:val="16"/>
        </w:rPr>
        <w:t>reject</w:t>
      </w:r>
      <w:r>
        <w:rPr>
          <w:rFonts w:ascii="Arial"/>
          <w:color w:val="3D3D3D"/>
          <w:w w:val="105"/>
          <w:sz w:val="16"/>
        </w:rPr>
        <w:t>i</w:t>
      </w:r>
      <w:r>
        <w:rPr>
          <w:rFonts w:ascii="Arial"/>
          <w:color w:val="1D1D1D"/>
          <w:w w:val="105"/>
          <w:sz w:val="16"/>
        </w:rPr>
        <w:t>on</w:t>
      </w:r>
      <w:r>
        <w:rPr>
          <w:rFonts w:ascii="Arial"/>
          <w:color w:val="1D1D1D"/>
          <w:spacing w:val="-7"/>
          <w:w w:val="105"/>
          <w:sz w:val="16"/>
        </w:rPr>
        <w:t xml:space="preserve"> </w:t>
      </w:r>
      <w:r>
        <w:rPr>
          <w:rFonts w:ascii="Arial"/>
          <w:color w:val="1D1D1D"/>
          <w:w w:val="105"/>
          <w:sz w:val="16"/>
        </w:rPr>
        <w:t>of the companies'</w:t>
      </w:r>
      <w:r>
        <w:rPr>
          <w:rFonts w:ascii="Arial"/>
          <w:color w:val="1D1D1D"/>
          <w:spacing w:val="-1"/>
          <w:w w:val="105"/>
          <w:sz w:val="16"/>
        </w:rPr>
        <w:t xml:space="preserve"> </w:t>
      </w:r>
      <w:r>
        <w:rPr>
          <w:rFonts w:ascii="Arial"/>
          <w:color w:val="1D1D1D"/>
          <w:w w:val="105"/>
          <w:sz w:val="16"/>
        </w:rPr>
        <w:t>actual</w:t>
      </w:r>
      <w:r>
        <w:rPr>
          <w:rFonts w:ascii="Arial"/>
          <w:color w:val="1D1D1D"/>
          <w:spacing w:val="-14"/>
          <w:w w:val="105"/>
          <w:sz w:val="16"/>
        </w:rPr>
        <w:t xml:space="preserve"> </w:t>
      </w:r>
      <w:r>
        <w:rPr>
          <w:rFonts w:ascii="Arial"/>
          <w:color w:val="1D1D1D"/>
          <w:w w:val="105"/>
          <w:sz w:val="16"/>
        </w:rPr>
        <w:t>data</w:t>
      </w:r>
      <w:r>
        <w:rPr>
          <w:rFonts w:ascii="Arial"/>
          <w:color w:val="1D1D1D"/>
          <w:spacing w:val="-11"/>
          <w:w w:val="105"/>
          <w:sz w:val="16"/>
        </w:rPr>
        <w:t xml:space="preserve"> </w:t>
      </w:r>
      <w:r>
        <w:rPr>
          <w:rFonts w:ascii="Arial"/>
          <w:color w:val="1D1D1D"/>
          <w:w w:val="105"/>
          <w:sz w:val="16"/>
        </w:rPr>
        <w:t>and</w:t>
      </w:r>
      <w:r>
        <w:rPr>
          <w:rFonts w:ascii="Arial"/>
          <w:color w:val="1D1D1D"/>
          <w:spacing w:val="-14"/>
          <w:w w:val="105"/>
          <w:sz w:val="16"/>
        </w:rPr>
        <w:t xml:space="preserve"> </w:t>
      </w:r>
      <w:r>
        <w:rPr>
          <w:rFonts w:ascii="Arial"/>
          <w:color w:val="1D1D1D"/>
          <w:w w:val="105"/>
          <w:sz w:val="16"/>
        </w:rPr>
        <w:t>the</w:t>
      </w:r>
      <w:r>
        <w:rPr>
          <w:rFonts w:ascii="Arial"/>
          <w:color w:val="1D1D1D"/>
          <w:spacing w:val="-5"/>
          <w:w w:val="105"/>
          <w:sz w:val="16"/>
        </w:rPr>
        <w:t xml:space="preserve"> </w:t>
      </w:r>
      <w:r>
        <w:rPr>
          <w:rFonts w:ascii="Arial"/>
          <w:color w:val="1D1D1D"/>
          <w:w w:val="105"/>
          <w:sz w:val="16"/>
        </w:rPr>
        <w:t>utilisation</w:t>
      </w:r>
      <w:r>
        <w:rPr>
          <w:rFonts w:ascii="Arial"/>
          <w:color w:val="1D1D1D"/>
          <w:spacing w:val="-12"/>
          <w:w w:val="105"/>
          <w:sz w:val="16"/>
        </w:rPr>
        <w:t xml:space="preserve"> </w:t>
      </w:r>
      <w:r>
        <w:rPr>
          <w:rFonts w:ascii="Arial"/>
          <w:color w:val="1D1D1D"/>
          <w:w w:val="105"/>
          <w:sz w:val="16"/>
        </w:rPr>
        <w:t>of the</w:t>
      </w:r>
      <w:r>
        <w:rPr>
          <w:rFonts w:ascii="Arial"/>
          <w:color w:val="1D1D1D"/>
          <w:spacing w:val="-12"/>
          <w:w w:val="105"/>
          <w:sz w:val="16"/>
        </w:rPr>
        <w:t xml:space="preserve"> </w:t>
      </w:r>
      <w:r>
        <w:rPr>
          <w:rFonts w:ascii="Arial"/>
          <w:color w:val="1D1D1D"/>
          <w:w w:val="105"/>
          <w:sz w:val="16"/>
        </w:rPr>
        <w:t>erroneous</w:t>
      </w:r>
      <w:r>
        <w:rPr>
          <w:rFonts w:ascii="Arial"/>
          <w:color w:val="1D1D1D"/>
          <w:spacing w:val="-23"/>
          <w:w w:val="105"/>
          <w:sz w:val="16"/>
        </w:rPr>
        <w:t xml:space="preserve"> </w:t>
      </w:r>
      <w:r>
        <w:rPr>
          <w:rFonts w:ascii="Arial"/>
          <w:color w:val="1D1D1D"/>
          <w:w w:val="105"/>
          <w:sz w:val="16"/>
        </w:rPr>
        <w:t>Treasury Wines' normal</w:t>
      </w:r>
      <w:r>
        <w:rPr>
          <w:rFonts w:ascii="Arial"/>
          <w:color w:val="1D1D1D"/>
          <w:spacing w:val="-8"/>
          <w:w w:val="105"/>
          <w:sz w:val="16"/>
        </w:rPr>
        <w:t xml:space="preserve"> </w:t>
      </w:r>
      <w:r>
        <w:rPr>
          <w:rFonts w:ascii="Arial"/>
          <w:color w:val="1D1D1D"/>
          <w:w w:val="105"/>
          <w:sz w:val="16"/>
        </w:rPr>
        <w:t>values. MOFCOM</w:t>
      </w:r>
      <w:r>
        <w:rPr>
          <w:rFonts w:ascii="Arial"/>
          <w:color w:val="1D1D1D"/>
          <w:spacing w:val="-5"/>
          <w:w w:val="105"/>
          <w:sz w:val="16"/>
        </w:rPr>
        <w:t xml:space="preserve"> </w:t>
      </w:r>
      <w:r>
        <w:rPr>
          <w:rFonts w:ascii="Arial"/>
          <w:color w:val="1D1D1D"/>
          <w:w w:val="105"/>
          <w:sz w:val="16"/>
        </w:rPr>
        <w:t>then</w:t>
      </w:r>
      <w:r>
        <w:rPr>
          <w:rFonts w:ascii="Arial"/>
          <w:color w:val="1D1D1D"/>
          <w:spacing w:val="-15"/>
          <w:w w:val="105"/>
          <w:sz w:val="16"/>
        </w:rPr>
        <w:t xml:space="preserve"> </w:t>
      </w:r>
      <w:r>
        <w:rPr>
          <w:rFonts w:ascii="Arial"/>
          <w:color w:val="1D1D1D"/>
          <w:w w:val="105"/>
          <w:sz w:val="16"/>
        </w:rPr>
        <w:t>derived</w:t>
      </w:r>
      <w:r>
        <w:rPr>
          <w:rFonts w:ascii="Arial"/>
          <w:color w:val="1D1D1D"/>
          <w:spacing w:val="-11"/>
          <w:w w:val="105"/>
          <w:sz w:val="16"/>
        </w:rPr>
        <w:t xml:space="preserve"> </w:t>
      </w:r>
      <w:r>
        <w:rPr>
          <w:rFonts w:ascii="Arial"/>
          <w:color w:val="1D1D1D"/>
          <w:w w:val="105"/>
          <w:sz w:val="16"/>
        </w:rPr>
        <w:t>a</w:t>
      </w:r>
      <w:r>
        <w:rPr>
          <w:rFonts w:ascii="Arial"/>
          <w:color w:val="1D1D1D"/>
          <w:spacing w:val="-10"/>
          <w:w w:val="105"/>
          <w:sz w:val="16"/>
        </w:rPr>
        <w:t xml:space="preserve"> </w:t>
      </w:r>
      <w:r>
        <w:rPr>
          <w:rFonts w:ascii="Arial"/>
          <w:color w:val="1D1D1D"/>
          <w:w w:val="105"/>
          <w:sz w:val="16"/>
        </w:rPr>
        <w:t>margin of dumping</w:t>
      </w:r>
      <w:r>
        <w:rPr>
          <w:rFonts w:ascii="Arial"/>
          <w:color w:val="1D1D1D"/>
          <w:spacing w:val="-18"/>
          <w:w w:val="105"/>
          <w:sz w:val="16"/>
        </w:rPr>
        <w:t xml:space="preserve"> </w:t>
      </w:r>
      <w:r>
        <w:rPr>
          <w:rFonts w:ascii="Arial"/>
          <w:color w:val="1D1D1D"/>
          <w:w w:val="105"/>
          <w:sz w:val="16"/>
        </w:rPr>
        <w:t>for</w:t>
      </w:r>
      <w:r>
        <w:rPr>
          <w:rFonts w:ascii="Arial"/>
          <w:color w:val="1D1D1D"/>
          <w:spacing w:val="36"/>
          <w:w w:val="105"/>
          <w:sz w:val="16"/>
        </w:rPr>
        <w:t xml:space="preserve"> </w:t>
      </w:r>
      <w:r>
        <w:rPr>
          <w:rFonts w:ascii="Arial"/>
          <w:color w:val="0C0C0C"/>
          <w:w w:val="105"/>
          <w:sz w:val="16"/>
        </w:rPr>
        <w:t xml:space="preserve">the </w:t>
      </w:r>
      <w:r>
        <w:rPr>
          <w:rFonts w:ascii="Arial"/>
          <w:color w:val="1D1D1D"/>
          <w:w w:val="105"/>
          <w:sz w:val="16"/>
        </w:rPr>
        <w:t>other</w:t>
      </w:r>
      <w:r>
        <w:rPr>
          <w:rFonts w:ascii="Arial"/>
          <w:color w:val="1D1D1D"/>
          <w:spacing w:val="-5"/>
          <w:w w:val="105"/>
          <w:sz w:val="16"/>
        </w:rPr>
        <w:t xml:space="preserve"> </w:t>
      </w:r>
      <w:r>
        <w:rPr>
          <w:rFonts w:ascii="Arial"/>
          <w:color w:val="1D1D1D"/>
          <w:w w:val="105"/>
          <w:sz w:val="16"/>
        </w:rPr>
        <w:t>named Australian exporters from</w:t>
      </w:r>
      <w:r>
        <w:rPr>
          <w:rFonts w:ascii="Arial"/>
          <w:color w:val="1D1D1D"/>
          <w:spacing w:val="-3"/>
          <w:w w:val="105"/>
          <w:sz w:val="16"/>
        </w:rPr>
        <w:t xml:space="preserve"> </w:t>
      </w:r>
      <w:r>
        <w:rPr>
          <w:rFonts w:ascii="Arial"/>
          <w:color w:val="0C0C0C"/>
          <w:w w:val="105"/>
          <w:sz w:val="16"/>
        </w:rPr>
        <w:t>the</w:t>
      </w:r>
      <w:r>
        <w:rPr>
          <w:rFonts w:ascii="Arial"/>
          <w:color w:val="0C0C0C"/>
          <w:spacing w:val="-9"/>
          <w:w w:val="105"/>
          <w:sz w:val="16"/>
        </w:rPr>
        <w:t xml:space="preserve"> </w:t>
      </w:r>
      <w:r>
        <w:rPr>
          <w:rFonts w:ascii="Arial"/>
          <w:color w:val="1D1D1D"/>
          <w:w w:val="105"/>
          <w:sz w:val="16"/>
        </w:rPr>
        <w:t>weighted average of</w:t>
      </w:r>
      <w:r>
        <w:rPr>
          <w:rFonts w:ascii="Arial"/>
          <w:color w:val="1D1D1D"/>
          <w:spacing w:val="36"/>
          <w:w w:val="105"/>
          <w:sz w:val="16"/>
        </w:rPr>
        <w:t xml:space="preserve"> </w:t>
      </w:r>
      <w:r>
        <w:rPr>
          <w:rFonts w:ascii="Arial"/>
          <w:color w:val="1D1D1D"/>
          <w:w w:val="105"/>
          <w:sz w:val="16"/>
        </w:rPr>
        <w:t>the</w:t>
      </w:r>
      <w:r>
        <w:rPr>
          <w:rFonts w:ascii="Arial"/>
          <w:color w:val="1D1D1D"/>
          <w:spacing w:val="36"/>
          <w:w w:val="105"/>
          <w:sz w:val="16"/>
        </w:rPr>
        <w:t xml:space="preserve"> </w:t>
      </w:r>
      <w:r>
        <w:rPr>
          <w:rFonts w:ascii="Arial"/>
          <w:color w:val="1D1D1D"/>
          <w:w w:val="105"/>
          <w:sz w:val="16"/>
        </w:rPr>
        <w:t>margins</w:t>
      </w:r>
      <w:r>
        <w:rPr>
          <w:rFonts w:ascii="Arial"/>
          <w:color w:val="1D1D1D"/>
          <w:spacing w:val="-7"/>
          <w:w w:val="105"/>
          <w:sz w:val="16"/>
        </w:rPr>
        <w:t xml:space="preserve"> </w:t>
      </w:r>
      <w:r>
        <w:rPr>
          <w:rFonts w:ascii="Arial"/>
          <w:color w:val="1D1D1D"/>
          <w:w w:val="105"/>
          <w:sz w:val="16"/>
        </w:rPr>
        <w:t>determined</w:t>
      </w:r>
      <w:r>
        <w:rPr>
          <w:rFonts w:ascii="Arial"/>
          <w:color w:val="1D1D1D"/>
          <w:spacing w:val="-2"/>
          <w:w w:val="105"/>
          <w:sz w:val="16"/>
        </w:rPr>
        <w:t xml:space="preserve"> </w:t>
      </w:r>
      <w:r>
        <w:rPr>
          <w:rFonts w:ascii="Arial"/>
          <w:color w:val="1D1D1D"/>
          <w:w w:val="105"/>
          <w:sz w:val="16"/>
        </w:rPr>
        <w:t>from</w:t>
      </w:r>
      <w:r>
        <w:rPr>
          <w:rFonts w:ascii="Arial"/>
          <w:color w:val="1D1D1D"/>
          <w:spacing w:val="-3"/>
          <w:w w:val="105"/>
          <w:sz w:val="16"/>
        </w:rPr>
        <w:t xml:space="preserve"> </w:t>
      </w:r>
      <w:r>
        <w:rPr>
          <w:rFonts w:ascii="Arial"/>
          <w:color w:val="1D1D1D"/>
          <w:w w:val="105"/>
          <w:sz w:val="16"/>
        </w:rPr>
        <w:t>the sampled</w:t>
      </w:r>
      <w:r>
        <w:rPr>
          <w:rFonts w:ascii="Arial"/>
          <w:color w:val="1D1D1D"/>
          <w:spacing w:val="-3"/>
          <w:w w:val="105"/>
          <w:sz w:val="16"/>
        </w:rPr>
        <w:t xml:space="preserve"> </w:t>
      </w:r>
      <w:r>
        <w:rPr>
          <w:rFonts w:ascii="Arial"/>
          <w:color w:val="1D1D1D"/>
          <w:w w:val="105"/>
          <w:sz w:val="16"/>
        </w:rPr>
        <w:t>companies</w:t>
      </w:r>
      <w:r>
        <w:rPr>
          <w:rFonts w:ascii="Arial"/>
          <w:color w:val="1D1D1D"/>
          <w:spacing w:val="-6"/>
          <w:w w:val="105"/>
          <w:sz w:val="16"/>
        </w:rPr>
        <w:t xml:space="preserve"> </w:t>
      </w:r>
      <w:r>
        <w:rPr>
          <w:rFonts w:ascii="Arial"/>
          <w:color w:val="1D1D1D"/>
          <w:w w:val="105"/>
          <w:sz w:val="16"/>
        </w:rPr>
        <w:t>and</w:t>
      </w:r>
      <w:r>
        <w:rPr>
          <w:rFonts w:ascii="Arial"/>
          <w:color w:val="1D1D1D"/>
          <w:spacing w:val="-21"/>
          <w:w w:val="105"/>
          <w:sz w:val="16"/>
        </w:rPr>
        <w:t xml:space="preserve"> </w:t>
      </w:r>
      <w:r>
        <w:rPr>
          <w:rFonts w:ascii="Arial"/>
          <w:color w:val="1D1D1D"/>
          <w:w w:val="105"/>
          <w:sz w:val="16"/>
        </w:rPr>
        <w:t>imposed</w:t>
      </w:r>
      <w:r>
        <w:rPr>
          <w:rFonts w:ascii="Arial"/>
          <w:color w:val="1D1D1D"/>
          <w:spacing w:val="32"/>
          <w:w w:val="105"/>
          <w:sz w:val="16"/>
        </w:rPr>
        <w:t xml:space="preserve"> </w:t>
      </w:r>
      <w:r>
        <w:rPr>
          <w:rFonts w:ascii="Arial"/>
          <w:color w:val="1D1D1D"/>
          <w:w w:val="105"/>
          <w:sz w:val="16"/>
        </w:rPr>
        <w:t>a</w:t>
      </w:r>
      <w:r>
        <w:rPr>
          <w:rFonts w:ascii="Arial"/>
          <w:color w:val="1D1D1D"/>
          <w:spacing w:val="40"/>
          <w:w w:val="105"/>
          <w:sz w:val="16"/>
        </w:rPr>
        <w:t xml:space="preserve"> </w:t>
      </w:r>
      <w:r>
        <w:rPr>
          <w:rFonts w:ascii="Arial"/>
          <w:color w:val="1D1D1D"/>
          <w:w w:val="105"/>
          <w:sz w:val="16"/>
        </w:rPr>
        <w:t>margin</w:t>
      </w:r>
      <w:r>
        <w:rPr>
          <w:rFonts w:ascii="Arial"/>
          <w:color w:val="1D1D1D"/>
          <w:spacing w:val="29"/>
          <w:w w:val="105"/>
          <w:sz w:val="16"/>
        </w:rPr>
        <w:t xml:space="preserve"> </w:t>
      </w:r>
      <w:r>
        <w:rPr>
          <w:rFonts w:ascii="Arial"/>
          <w:color w:val="1D1D1D"/>
          <w:w w:val="105"/>
          <w:sz w:val="16"/>
        </w:rPr>
        <w:t>on</w:t>
      </w:r>
      <w:r>
        <w:rPr>
          <w:rFonts w:ascii="Arial"/>
          <w:color w:val="1D1D1D"/>
          <w:spacing w:val="40"/>
          <w:w w:val="105"/>
          <w:sz w:val="16"/>
        </w:rPr>
        <w:t xml:space="preserve"> </w:t>
      </w:r>
      <w:r>
        <w:rPr>
          <w:rFonts w:ascii="Arial"/>
          <w:color w:val="1D1D1D"/>
          <w:w w:val="105"/>
          <w:sz w:val="16"/>
        </w:rPr>
        <w:t>the</w:t>
      </w:r>
      <w:r>
        <w:rPr>
          <w:rFonts w:ascii="Arial"/>
          <w:color w:val="1D1D1D"/>
          <w:spacing w:val="40"/>
          <w:w w:val="105"/>
          <w:sz w:val="16"/>
        </w:rPr>
        <w:t xml:space="preserve"> </w:t>
      </w:r>
      <w:r>
        <w:rPr>
          <w:rFonts w:ascii="Arial"/>
          <w:color w:val="3D3D3D"/>
          <w:w w:val="105"/>
          <w:sz w:val="16"/>
        </w:rPr>
        <w:t xml:space="preserve">"All </w:t>
      </w:r>
      <w:r>
        <w:rPr>
          <w:rFonts w:ascii="Arial"/>
          <w:color w:val="1D1D1D"/>
          <w:w w:val="105"/>
          <w:sz w:val="16"/>
        </w:rPr>
        <w:t>Others"</w:t>
      </w:r>
      <w:r>
        <w:rPr>
          <w:rFonts w:ascii="Arial"/>
          <w:color w:val="1D1D1D"/>
          <w:spacing w:val="35"/>
          <w:w w:val="105"/>
          <w:sz w:val="16"/>
        </w:rPr>
        <w:t xml:space="preserve"> </w:t>
      </w:r>
      <w:r>
        <w:rPr>
          <w:rFonts w:ascii="Arial"/>
          <w:color w:val="1D1D1D"/>
          <w:w w:val="105"/>
          <w:sz w:val="16"/>
        </w:rPr>
        <w:t>category</w:t>
      </w:r>
      <w:r>
        <w:rPr>
          <w:rFonts w:ascii="Arial"/>
          <w:color w:val="1D1D1D"/>
          <w:spacing w:val="35"/>
          <w:w w:val="105"/>
          <w:sz w:val="16"/>
        </w:rPr>
        <w:t xml:space="preserve"> </w:t>
      </w:r>
      <w:r>
        <w:rPr>
          <w:rFonts w:ascii="Arial"/>
          <w:color w:val="1D1D1D"/>
          <w:w w:val="105"/>
          <w:sz w:val="16"/>
        </w:rPr>
        <w:t>derived</w:t>
      </w:r>
      <w:r>
        <w:rPr>
          <w:rFonts w:ascii="Arial"/>
          <w:color w:val="1D1D1D"/>
          <w:spacing w:val="37"/>
          <w:w w:val="105"/>
          <w:sz w:val="16"/>
        </w:rPr>
        <w:t xml:space="preserve"> </w:t>
      </w:r>
      <w:r>
        <w:rPr>
          <w:rFonts w:ascii="Arial"/>
          <w:color w:val="3D3D3D"/>
          <w:w w:val="105"/>
          <w:sz w:val="16"/>
        </w:rPr>
        <w:t>in</w:t>
      </w:r>
      <w:r>
        <w:rPr>
          <w:rFonts w:ascii="Arial"/>
          <w:color w:val="3D3D3D"/>
          <w:spacing w:val="39"/>
          <w:w w:val="105"/>
          <w:sz w:val="16"/>
        </w:rPr>
        <w:t xml:space="preserve"> </w:t>
      </w:r>
      <w:r>
        <w:rPr>
          <w:rFonts w:ascii="Arial"/>
          <w:color w:val="1D1D1D"/>
          <w:w w:val="105"/>
          <w:sz w:val="16"/>
        </w:rPr>
        <w:t>an</w:t>
      </w:r>
      <w:r>
        <w:rPr>
          <w:rFonts w:ascii="Arial"/>
          <w:color w:val="1D1D1D"/>
          <w:spacing w:val="27"/>
          <w:w w:val="105"/>
          <w:sz w:val="16"/>
        </w:rPr>
        <w:t xml:space="preserve"> </w:t>
      </w:r>
      <w:r>
        <w:rPr>
          <w:rFonts w:ascii="Arial"/>
          <w:color w:val="1D1D1D"/>
          <w:w w:val="105"/>
          <w:sz w:val="16"/>
        </w:rPr>
        <w:t>unexplained</w:t>
      </w:r>
      <w:r>
        <w:rPr>
          <w:rFonts w:ascii="Arial"/>
          <w:color w:val="1D1D1D"/>
          <w:spacing w:val="40"/>
          <w:w w:val="105"/>
          <w:sz w:val="16"/>
        </w:rPr>
        <w:t xml:space="preserve"> </w:t>
      </w:r>
      <w:r>
        <w:rPr>
          <w:rFonts w:ascii="Arial"/>
          <w:color w:val="1D1D1D"/>
          <w:w w:val="105"/>
          <w:sz w:val="16"/>
        </w:rPr>
        <w:t>way</w:t>
      </w:r>
      <w:r>
        <w:rPr>
          <w:rFonts w:ascii="Arial"/>
          <w:color w:val="1D1D1D"/>
          <w:spacing w:val="30"/>
          <w:w w:val="105"/>
          <w:sz w:val="16"/>
        </w:rPr>
        <w:t xml:space="preserve"> </w:t>
      </w:r>
      <w:r>
        <w:rPr>
          <w:rFonts w:ascii="Arial"/>
          <w:color w:val="1D1D1D"/>
          <w:w w:val="105"/>
          <w:sz w:val="16"/>
        </w:rPr>
        <w:t>from</w:t>
      </w:r>
      <w:r>
        <w:rPr>
          <w:rFonts w:ascii="Arial"/>
          <w:color w:val="1D1D1D"/>
          <w:spacing w:val="37"/>
          <w:w w:val="105"/>
          <w:sz w:val="16"/>
        </w:rPr>
        <w:t xml:space="preserve"> </w:t>
      </w:r>
      <w:r>
        <w:rPr>
          <w:rFonts w:ascii="Arial"/>
          <w:color w:val="1D1D1D"/>
          <w:w w:val="105"/>
          <w:sz w:val="16"/>
        </w:rPr>
        <w:t>data received</w:t>
      </w:r>
      <w:r>
        <w:rPr>
          <w:rFonts w:ascii="Arial"/>
          <w:color w:val="1D1D1D"/>
          <w:spacing w:val="40"/>
          <w:w w:val="105"/>
          <w:sz w:val="16"/>
        </w:rPr>
        <w:t xml:space="preserve"> </w:t>
      </w:r>
      <w:r>
        <w:rPr>
          <w:rFonts w:ascii="Arial"/>
          <w:color w:val="1D1D1D"/>
          <w:w w:val="105"/>
          <w:sz w:val="16"/>
        </w:rPr>
        <w:t>from</w:t>
      </w:r>
      <w:r>
        <w:rPr>
          <w:rFonts w:ascii="Arial"/>
          <w:color w:val="1D1D1D"/>
          <w:spacing w:val="30"/>
          <w:w w:val="105"/>
          <w:sz w:val="16"/>
        </w:rPr>
        <w:t xml:space="preserve"> </w:t>
      </w:r>
      <w:r>
        <w:rPr>
          <w:rFonts w:ascii="Arial"/>
          <w:color w:val="1D1D1D"/>
          <w:w w:val="105"/>
          <w:sz w:val="16"/>
        </w:rPr>
        <w:t>the</w:t>
      </w:r>
      <w:r>
        <w:rPr>
          <w:rFonts w:ascii="Arial"/>
          <w:color w:val="1D1D1D"/>
          <w:spacing w:val="30"/>
          <w:w w:val="105"/>
          <w:sz w:val="16"/>
        </w:rPr>
        <w:t xml:space="preserve"> </w:t>
      </w:r>
      <w:r>
        <w:rPr>
          <w:rFonts w:ascii="Arial"/>
          <w:color w:val="1D1D1D"/>
          <w:w w:val="105"/>
          <w:sz w:val="16"/>
        </w:rPr>
        <w:t>sampled</w:t>
      </w:r>
      <w:r>
        <w:rPr>
          <w:rFonts w:ascii="Arial"/>
          <w:color w:val="1D1D1D"/>
          <w:spacing w:val="40"/>
          <w:w w:val="105"/>
          <w:sz w:val="16"/>
        </w:rPr>
        <w:t xml:space="preserve"> </w:t>
      </w:r>
      <w:r>
        <w:rPr>
          <w:rFonts w:ascii="Arial"/>
          <w:color w:val="1D1D1D"/>
          <w:w w:val="105"/>
          <w:sz w:val="16"/>
        </w:rPr>
        <w:t>companies.</w:t>
      </w:r>
      <w:r>
        <w:rPr>
          <w:rFonts w:ascii="Arial"/>
          <w:color w:val="1D1D1D"/>
          <w:spacing w:val="-1"/>
          <w:w w:val="105"/>
          <w:sz w:val="16"/>
        </w:rPr>
        <w:t xml:space="preserve"> </w:t>
      </w:r>
      <w:r>
        <w:rPr>
          <w:rFonts w:ascii="Arial"/>
          <w:color w:val="1D1D1D"/>
          <w:w w:val="105"/>
          <w:sz w:val="16"/>
        </w:rPr>
        <w:t>In this</w:t>
      </w:r>
      <w:r>
        <w:rPr>
          <w:rFonts w:ascii="Arial"/>
          <w:color w:val="1D1D1D"/>
          <w:spacing w:val="-15"/>
          <w:w w:val="105"/>
          <w:sz w:val="16"/>
        </w:rPr>
        <w:t xml:space="preserve"> </w:t>
      </w:r>
      <w:r>
        <w:rPr>
          <w:rFonts w:ascii="Arial"/>
          <w:color w:val="1D1D1D"/>
          <w:w w:val="105"/>
          <w:sz w:val="16"/>
        </w:rPr>
        <w:t>way,</w:t>
      </w:r>
      <w:r>
        <w:rPr>
          <w:rFonts w:ascii="Arial"/>
          <w:color w:val="1D1D1D"/>
          <w:spacing w:val="-24"/>
          <w:w w:val="105"/>
          <w:sz w:val="16"/>
        </w:rPr>
        <w:t xml:space="preserve"> </w:t>
      </w:r>
      <w:r>
        <w:rPr>
          <w:rFonts w:ascii="Arial"/>
          <w:color w:val="1D1D1D"/>
          <w:w w:val="105"/>
          <w:sz w:val="16"/>
        </w:rPr>
        <w:t>the errors</w:t>
      </w:r>
      <w:r>
        <w:rPr>
          <w:rFonts w:ascii="Arial"/>
          <w:color w:val="1D1D1D"/>
          <w:spacing w:val="-16"/>
          <w:w w:val="105"/>
          <w:sz w:val="16"/>
        </w:rPr>
        <w:t xml:space="preserve"> </w:t>
      </w:r>
      <w:r>
        <w:rPr>
          <w:rFonts w:ascii="Arial"/>
          <w:color w:val="1D1D1D"/>
          <w:w w:val="105"/>
          <w:sz w:val="16"/>
        </w:rPr>
        <w:t>and</w:t>
      </w:r>
      <w:r>
        <w:rPr>
          <w:rFonts w:ascii="Arial"/>
          <w:color w:val="1D1D1D"/>
          <w:spacing w:val="-10"/>
          <w:w w:val="105"/>
          <w:sz w:val="16"/>
        </w:rPr>
        <w:t xml:space="preserve"> </w:t>
      </w:r>
      <w:r>
        <w:rPr>
          <w:rFonts w:ascii="Arial"/>
          <w:color w:val="1D1D1D"/>
          <w:w w:val="105"/>
          <w:sz w:val="16"/>
        </w:rPr>
        <w:t>WTO</w:t>
      </w:r>
      <w:r>
        <w:rPr>
          <w:rFonts w:ascii="Arial"/>
          <w:color w:val="1D1D1D"/>
          <w:spacing w:val="-11"/>
          <w:w w:val="105"/>
          <w:sz w:val="16"/>
        </w:rPr>
        <w:t xml:space="preserve"> </w:t>
      </w:r>
      <w:r>
        <w:rPr>
          <w:rFonts w:ascii="Arial"/>
          <w:color w:val="1D1D1D"/>
          <w:w w:val="105"/>
          <w:sz w:val="16"/>
        </w:rPr>
        <w:t>inconsistencies</w:t>
      </w:r>
      <w:r>
        <w:rPr>
          <w:rFonts w:ascii="Arial"/>
          <w:color w:val="1D1D1D"/>
          <w:spacing w:val="-19"/>
          <w:w w:val="105"/>
          <w:sz w:val="16"/>
        </w:rPr>
        <w:t xml:space="preserve"> </w:t>
      </w:r>
      <w:r>
        <w:rPr>
          <w:rFonts w:ascii="Arial"/>
          <w:color w:val="1D1D1D"/>
          <w:w w:val="105"/>
          <w:sz w:val="16"/>
        </w:rPr>
        <w:t>made</w:t>
      </w:r>
      <w:r>
        <w:rPr>
          <w:rFonts w:ascii="Arial"/>
          <w:color w:val="1D1D1D"/>
          <w:spacing w:val="-13"/>
          <w:w w:val="105"/>
          <w:sz w:val="16"/>
        </w:rPr>
        <w:t xml:space="preserve"> </w:t>
      </w:r>
      <w:r>
        <w:rPr>
          <w:rFonts w:ascii="Arial"/>
          <w:color w:val="3D3D3D"/>
          <w:w w:val="105"/>
          <w:sz w:val="16"/>
        </w:rPr>
        <w:t>in</w:t>
      </w:r>
      <w:r>
        <w:rPr>
          <w:rFonts w:ascii="Arial"/>
          <w:color w:val="3D3D3D"/>
          <w:spacing w:val="-3"/>
          <w:w w:val="105"/>
          <w:sz w:val="16"/>
        </w:rPr>
        <w:t xml:space="preserve"> </w:t>
      </w:r>
      <w:r>
        <w:rPr>
          <w:rFonts w:ascii="Arial"/>
          <w:color w:val="1D1D1D"/>
          <w:w w:val="105"/>
          <w:sz w:val="16"/>
        </w:rPr>
        <w:t>respect</w:t>
      </w:r>
      <w:r>
        <w:rPr>
          <w:rFonts w:ascii="Arial"/>
          <w:color w:val="1D1D1D"/>
          <w:spacing w:val="-5"/>
          <w:w w:val="105"/>
          <w:sz w:val="16"/>
        </w:rPr>
        <w:t xml:space="preserve"> </w:t>
      </w:r>
      <w:r>
        <w:rPr>
          <w:rFonts w:ascii="Arial"/>
          <w:color w:val="1D1D1D"/>
          <w:w w:val="105"/>
          <w:sz w:val="16"/>
        </w:rPr>
        <w:t>of the sampled companies were carried forward to cooperating and</w:t>
      </w:r>
      <w:r>
        <w:rPr>
          <w:rFonts w:ascii="Arial"/>
          <w:color w:val="1D1D1D"/>
          <w:spacing w:val="-8"/>
          <w:w w:val="105"/>
          <w:sz w:val="16"/>
        </w:rPr>
        <w:t xml:space="preserve"> </w:t>
      </w:r>
      <w:r>
        <w:rPr>
          <w:rFonts w:ascii="Arial"/>
          <w:color w:val="1D1D1D"/>
          <w:w w:val="105"/>
          <w:sz w:val="16"/>
        </w:rPr>
        <w:t>non-cooperating</w:t>
      </w:r>
      <w:r>
        <w:rPr>
          <w:rFonts w:ascii="Arial"/>
          <w:color w:val="1D1D1D"/>
          <w:spacing w:val="-19"/>
          <w:w w:val="105"/>
          <w:sz w:val="16"/>
        </w:rPr>
        <w:t xml:space="preserve"> </w:t>
      </w:r>
      <w:r>
        <w:rPr>
          <w:rFonts w:ascii="Arial"/>
          <w:color w:val="1D1D1D"/>
          <w:w w:val="105"/>
          <w:sz w:val="16"/>
        </w:rPr>
        <w:t>companies.</w:t>
      </w:r>
    </w:p>
    <w:p w14:paraId="51DE93D1" w14:textId="77777777" w:rsidR="0010369C" w:rsidRDefault="008E43AE">
      <w:pPr>
        <w:spacing w:before="58"/>
        <w:ind w:left="240"/>
        <w:rPr>
          <w:rFonts w:ascii="Arial"/>
          <w:sz w:val="16"/>
        </w:rPr>
      </w:pPr>
      <w:r>
        <w:rPr>
          <w:rFonts w:ascii="Arial"/>
          <w:color w:val="1D1D1D"/>
          <w:w w:val="105"/>
          <w:sz w:val="16"/>
          <w:vertAlign w:val="superscript"/>
        </w:rPr>
        <w:t>876</w:t>
      </w:r>
      <w:r>
        <w:rPr>
          <w:rFonts w:ascii="Arial"/>
          <w:color w:val="1D1D1D"/>
          <w:spacing w:val="-15"/>
          <w:w w:val="105"/>
          <w:sz w:val="16"/>
        </w:rPr>
        <w:t xml:space="preserve"> </w:t>
      </w:r>
      <w:r>
        <w:rPr>
          <w:rFonts w:ascii="Arial"/>
          <w:color w:val="1D1D1D"/>
          <w:w w:val="105"/>
          <w:sz w:val="16"/>
        </w:rPr>
        <w:t>Panel</w:t>
      </w:r>
      <w:r>
        <w:rPr>
          <w:rFonts w:ascii="Arial"/>
          <w:color w:val="1D1D1D"/>
          <w:spacing w:val="-7"/>
          <w:w w:val="105"/>
          <w:sz w:val="16"/>
        </w:rPr>
        <w:t xml:space="preserve"> </w:t>
      </w:r>
      <w:r>
        <w:rPr>
          <w:rFonts w:ascii="Arial"/>
          <w:color w:val="1D1D1D"/>
          <w:w w:val="105"/>
          <w:sz w:val="16"/>
        </w:rPr>
        <w:t>Report,</w:t>
      </w:r>
      <w:r>
        <w:rPr>
          <w:rFonts w:ascii="Arial"/>
          <w:color w:val="1D1D1D"/>
          <w:spacing w:val="-16"/>
          <w:w w:val="105"/>
          <w:sz w:val="16"/>
        </w:rPr>
        <w:t xml:space="preserve"> </w:t>
      </w:r>
      <w:r>
        <w:rPr>
          <w:rFonts w:ascii="Arial"/>
          <w:i/>
          <w:color w:val="1D1D1D"/>
          <w:w w:val="105"/>
          <w:sz w:val="16"/>
        </w:rPr>
        <w:t>EC-Salmon</w:t>
      </w:r>
      <w:r>
        <w:rPr>
          <w:rFonts w:ascii="Arial"/>
          <w:i/>
          <w:color w:val="1D1D1D"/>
          <w:spacing w:val="-4"/>
          <w:w w:val="105"/>
          <w:sz w:val="16"/>
        </w:rPr>
        <w:t xml:space="preserve"> </w:t>
      </w:r>
      <w:r>
        <w:rPr>
          <w:rFonts w:ascii="Arial"/>
          <w:i/>
          <w:color w:val="1D1D1D"/>
          <w:w w:val="105"/>
          <w:sz w:val="16"/>
        </w:rPr>
        <w:t>(Norway),</w:t>
      </w:r>
      <w:r>
        <w:rPr>
          <w:rFonts w:ascii="Arial"/>
          <w:i/>
          <w:color w:val="1D1D1D"/>
          <w:spacing w:val="-9"/>
          <w:w w:val="105"/>
          <w:sz w:val="16"/>
        </w:rPr>
        <w:t xml:space="preserve"> </w:t>
      </w:r>
      <w:r>
        <w:rPr>
          <w:rFonts w:ascii="Arial"/>
          <w:color w:val="1D1D1D"/>
          <w:w w:val="105"/>
          <w:sz w:val="16"/>
        </w:rPr>
        <w:t>para.</w:t>
      </w:r>
      <w:r>
        <w:rPr>
          <w:rFonts w:ascii="Arial"/>
          <w:color w:val="1D1D1D"/>
          <w:spacing w:val="-18"/>
          <w:w w:val="105"/>
          <w:sz w:val="16"/>
        </w:rPr>
        <w:t xml:space="preserve"> </w:t>
      </w:r>
      <w:r>
        <w:rPr>
          <w:rFonts w:ascii="Arial"/>
          <w:color w:val="1D1D1D"/>
          <w:spacing w:val="-2"/>
          <w:w w:val="105"/>
          <w:sz w:val="16"/>
        </w:rPr>
        <w:t>7.704.</w:t>
      </w:r>
    </w:p>
    <w:p w14:paraId="51DE93D2" w14:textId="77777777" w:rsidR="0010369C" w:rsidRDefault="008E43AE">
      <w:pPr>
        <w:spacing w:before="14"/>
        <w:ind w:left="239"/>
        <w:rPr>
          <w:rFonts w:ascii="Arial"/>
          <w:sz w:val="16"/>
        </w:rPr>
      </w:pPr>
      <w:r>
        <w:rPr>
          <w:rFonts w:ascii="Arial"/>
          <w:color w:val="1D1D1D"/>
          <w:position w:val="6"/>
          <w:sz w:val="12"/>
        </w:rPr>
        <w:t>877</w:t>
      </w:r>
      <w:r>
        <w:rPr>
          <w:rFonts w:ascii="Arial"/>
          <w:color w:val="1D1D1D"/>
          <w:spacing w:val="5"/>
          <w:position w:val="6"/>
          <w:sz w:val="12"/>
        </w:rPr>
        <w:t xml:space="preserve"> </w:t>
      </w:r>
      <w:r>
        <w:rPr>
          <w:rFonts w:ascii="Arial"/>
          <w:color w:val="1D1D1D"/>
          <w:sz w:val="16"/>
        </w:rPr>
        <w:t>Anti-Dumping</w:t>
      </w:r>
      <w:r>
        <w:rPr>
          <w:rFonts w:ascii="Arial"/>
          <w:color w:val="1D1D1D"/>
          <w:spacing w:val="11"/>
          <w:sz w:val="16"/>
        </w:rPr>
        <w:t xml:space="preserve"> </w:t>
      </w:r>
      <w:r>
        <w:rPr>
          <w:rFonts w:ascii="Arial"/>
          <w:color w:val="1D1D1D"/>
          <w:sz w:val="16"/>
        </w:rPr>
        <w:t>Final</w:t>
      </w:r>
      <w:r>
        <w:rPr>
          <w:rFonts w:ascii="Arial"/>
          <w:color w:val="1D1D1D"/>
          <w:spacing w:val="-3"/>
          <w:sz w:val="16"/>
        </w:rPr>
        <w:t xml:space="preserve"> </w:t>
      </w:r>
      <w:r>
        <w:rPr>
          <w:rFonts w:ascii="Arial"/>
          <w:color w:val="1D1D1D"/>
          <w:sz w:val="16"/>
        </w:rPr>
        <w:t>Determination</w:t>
      </w:r>
      <w:r>
        <w:rPr>
          <w:rFonts w:ascii="Arial"/>
          <w:color w:val="1D1D1D"/>
          <w:spacing w:val="18"/>
          <w:sz w:val="16"/>
        </w:rPr>
        <w:t xml:space="preserve"> </w:t>
      </w:r>
      <w:r>
        <w:rPr>
          <w:rFonts w:ascii="Arial"/>
          <w:color w:val="1D1D1D"/>
          <w:sz w:val="16"/>
        </w:rPr>
        <w:t>(Exhibit</w:t>
      </w:r>
      <w:r>
        <w:rPr>
          <w:rFonts w:ascii="Arial"/>
          <w:color w:val="1D1D1D"/>
          <w:spacing w:val="13"/>
          <w:sz w:val="16"/>
        </w:rPr>
        <w:t xml:space="preserve"> </w:t>
      </w:r>
      <w:r>
        <w:rPr>
          <w:rFonts w:ascii="Arial"/>
          <w:color w:val="1D1D1D"/>
          <w:sz w:val="16"/>
        </w:rPr>
        <w:t>AUS-2),</w:t>
      </w:r>
      <w:r>
        <w:rPr>
          <w:rFonts w:ascii="Arial"/>
          <w:color w:val="1D1D1D"/>
          <w:spacing w:val="-9"/>
          <w:sz w:val="16"/>
        </w:rPr>
        <w:t xml:space="preserve"> </w:t>
      </w:r>
      <w:r>
        <w:rPr>
          <w:rFonts w:ascii="Arial"/>
          <w:color w:val="0C0C0C"/>
          <w:sz w:val="16"/>
        </w:rPr>
        <w:t>p.</w:t>
      </w:r>
      <w:r>
        <w:rPr>
          <w:rFonts w:ascii="Arial"/>
          <w:color w:val="0C0C0C"/>
          <w:spacing w:val="25"/>
          <w:sz w:val="16"/>
        </w:rPr>
        <w:t xml:space="preserve"> </w:t>
      </w:r>
      <w:r>
        <w:rPr>
          <w:rFonts w:ascii="Arial"/>
          <w:color w:val="1D1D1D"/>
          <w:spacing w:val="-5"/>
          <w:sz w:val="16"/>
        </w:rPr>
        <w:t>7.</w:t>
      </w:r>
    </w:p>
    <w:p w14:paraId="51DE93D3" w14:textId="77777777" w:rsidR="0010369C" w:rsidRDefault="0010369C">
      <w:pPr>
        <w:rPr>
          <w:rFonts w:ascii="Arial"/>
          <w:sz w:val="16"/>
        </w:rPr>
        <w:sectPr w:rsidR="0010369C">
          <w:headerReference w:type="default" r:id="rId966"/>
          <w:footerReference w:type="default" r:id="rId967"/>
          <w:pgSz w:w="11910" w:h="16840"/>
          <w:pgMar w:top="480" w:right="800" w:bottom="1020" w:left="1180" w:header="0" w:footer="830" w:gutter="0"/>
          <w:cols w:space="720"/>
        </w:sectPr>
      </w:pPr>
    </w:p>
    <w:p w14:paraId="51DE93D4" w14:textId="77777777" w:rsidR="0010369C" w:rsidRDefault="008E43AE">
      <w:pPr>
        <w:tabs>
          <w:tab w:val="left" w:pos="6426"/>
        </w:tabs>
        <w:ind w:left="238"/>
        <w:jc w:val="both"/>
        <w:rPr>
          <w:sz w:val="20"/>
        </w:rPr>
      </w:pPr>
      <w:r>
        <w:rPr>
          <w:i/>
          <w:sz w:val="20"/>
        </w:rPr>
        <w:lastRenderedPageBreak/>
        <w:t>China</w:t>
      </w:r>
      <w:r>
        <w:rPr>
          <w:i/>
          <w:spacing w:val="-5"/>
          <w:sz w:val="20"/>
        </w:rPr>
        <w:t xml:space="preserve"> </w:t>
      </w:r>
      <w:r>
        <w:rPr>
          <w:i/>
          <w:sz w:val="20"/>
        </w:rPr>
        <w:t>–</w:t>
      </w:r>
      <w:r>
        <w:rPr>
          <w:i/>
          <w:spacing w:val="-5"/>
          <w:sz w:val="20"/>
        </w:rPr>
        <w:t xml:space="preserve"> </w:t>
      </w:r>
      <w:r>
        <w:rPr>
          <w:i/>
          <w:sz w:val="20"/>
        </w:rPr>
        <w:t>Anti‐Dumping</w:t>
      </w:r>
      <w:r>
        <w:rPr>
          <w:i/>
          <w:spacing w:val="-4"/>
          <w:sz w:val="20"/>
        </w:rPr>
        <w:t xml:space="preserve"> </w:t>
      </w:r>
      <w:r>
        <w:rPr>
          <w:i/>
          <w:sz w:val="20"/>
        </w:rPr>
        <w:t>and</w:t>
      </w:r>
      <w:r>
        <w:rPr>
          <w:i/>
          <w:spacing w:val="-5"/>
          <w:sz w:val="20"/>
        </w:rPr>
        <w:t xml:space="preserve"> </w:t>
      </w:r>
      <w:r>
        <w:rPr>
          <w:i/>
          <w:sz w:val="20"/>
        </w:rPr>
        <w:t>Countervailing</w:t>
      </w:r>
      <w:r>
        <w:rPr>
          <w:i/>
          <w:spacing w:val="-5"/>
          <w:sz w:val="20"/>
        </w:rPr>
        <w:t xml:space="preserve"> </w:t>
      </w:r>
      <w:r>
        <w:rPr>
          <w:i/>
          <w:sz w:val="20"/>
        </w:rPr>
        <w:t>Duty</w:t>
      </w:r>
      <w:r>
        <w:rPr>
          <w:i/>
          <w:spacing w:val="-4"/>
          <w:sz w:val="20"/>
        </w:rPr>
        <w:t xml:space="preserve"> </w:t>
      </w:r>
      <w:r>
        <w:rPr>
          <w:i/>
          <w:spacing w:val="-2"/>
          <w:sz w:val="20"/>
        </w:rPr>
        <w:t>Measures</w:t>
      </w:r>
      <w:r>
        <w:rPr>
          <w:i/>
          <w:sz w:val="20"/>
        </w:rPr>
        <w:tab/>
      </w:r>
      <w:r>
        <w:rPr>
          <w:sz w:val="20"/>
        </w:rPr>
        <w:t>Australia's</w:t>
      </w:r>
      <w:r>
        <w:rPr>
          <w:spacing w:val="-7"/>
          <w:sz w:val="20"/>
        </w:rPr>
        <w:t xml:space="preserve"> </w:t>
      </w:r>
      <w:r>
        <w:rPr>
          <w:sz w:val="20"/>
        </w:rPr>
        <w:t>First</w:t>
      </w:r>
      <w:r>
        <w:rPr>
          <w:spacing w:val="-2"/>
          <w:sz w:val="20"/>
        </w:rPr>
        <w:t xml:space="preserve"> </w:t>
      </w:r>
      <w:r>
        <w:rPr>
          <w:sz w:val="20"/>
        </w:rPr>
        <w:t>Written</w:t>
      </w:r>
      <w:r>
        <w:rPr>
          <w:spacing w:val="-2"/>
          <w:sz w:val="20"/>
        </w:rPr>
        <w:t xml:space="preserve"> Submission</w:t>
      </w:r>
    </w:p>
    <w:p w14:paraId="51DE93D5" w14:textId="77777777" w:rsidR="0010369C" w:rsidRDefault="008E43AE">
      <w:pPr>
        <w:tabs>
          <w:tab w:val="left" w:pos="8228"/>
        </w:tabs>
        <w:spacing w:before="1"/>
        <w:ind w:left="239"/>
        <w:jc w:val="both"/>
        <w:rPr>
          <w:sz w:val="20"/>
        </w:rPr>
      </w:pPr>
      <w:r>
        <w:rPr>
          <w:i/>
          <w:sz w:val="20"/>
        </w:rPr>
        <w:t>on</w:t>
      </w:r>
      <w:r>
        <w:rPr>
          <w:i/>
          <w:spacing w:val="-1"/>
          <w:sz w:val="20"/>
        </w:rPr>
        <w:t xml:space="preserve"> </w:t>
      </w:r>
      <w:r>
        <w:rPr>
          <w:i/>
          <w:sz w:val="20"/>
        </w:rPr>
        <w:t>Wine</w:t>
      </w:r>
      <w:r>
        <w:rPr>
          <w:i/>
          <w:spacing w:val="-1"/>
          <w:sz w:val="20"/>
        </w:rPr>
        <w:t xml:space="preserve"> </w:t>
      </w:r>
      <w:r>
        <w:rPr>
          <w:i/>
          <w:sz w:val="20"/>
        </w:rPr>
        <w:t>from</w:t>
      </w:r>
      <w:r>
        <w:rPr>
          <w:i/>
          <w:spacing w:val="-3"/>
          <w:sz w:val="20"/>
        </w:rPr>
        <w:t xml:space="preserve"> </w:t>
      </w:r>
      <w:r>
        <w:rPr>
          <w:i/>
          <w:sz w:val="20"/>
        </w:rPr>
        <w:t>Australia</w:t>
      </w:r>
      <w:r>
        <w:rPr>
          <w:i/>
          <w:spacing w:val="-1"/>
          <w:sz w:val="20"/>
        </w:rPr>
        <w:t xml:space="preserve"> </w:t>
      </w:r>
      <w:r>
        <w:rPr>
          <w:spacing w:val="-2"/>
          <w:sz w:val="20"/>
        </w:rPr>
        <w:t>(DS602)</w:t>
      </w:r>
      <w:r>
        <w:rPr>
          <w:sz w:val="20"/>
        </w:rPr>
        <w:tab/>
        <w:t>29</w:t>
      </w:r>
      <w:r>
        <w:rPr>
          <w:spacing w:val="-1"/>
          <w:sz w:val="20"/>
        </w:rPr>
        <w:t xml:space="preserve"> </w:t>
      </w:r>
      <w:r>
        <w:rPr>
          <w:sz w:val="20"/>
        </w:rPr>
        <w:t>April</w:t>
      </w:r>
      <w:r>
        <w:rPr>
          <w:spacing w:val="-2"/>
          <w:sz w:val="20"/>
        </w:rPr>
        <w:t xml:space="preserve"> </w:t>
      </w:r>
      <w:r>
        <w:rPr>
          <w:spacing w:val="-4"/>
          <w:sz w:val="20"/>
        </w:rPr>
        <w:t>2022</w:t>
      </w:r>
    </w:p>
    <w:p w14:paraId="51DE93D6" w14:textId="77777777" w:rsidR="0010369C" w:rsidRDefault="008E43AE">
      <w:pPr>
        <w:pStyle w:val="BodyText"/>
        <w:spacing w:before="34" w:line="360" w:lineRule="auto"/>
        <w:ind w:left="237" w:right="612"/>
        <w:jc w:val="both"/>
      </w:pPr>
      <w:r>
        <w:t>traders"</w:t>
      </w:r>
      <w:r>
        <w:rPr>
          <w:spacing w:val="-4"/>
        </w:rPr>
        <w:t xml:space="preserve"> </w:t>
      </w:r>
      <w:r>
        <w:t>who</w:t>
      </w:r>
      <w:r>
        <w:rPr>
          <w:spacing w:val="-3"/>
        </w:rPr>
        <w:t xml:space="preserve"> </w:t>
      </w:r>
      <w:r>
        <w:t>exported</w:t>
      </w:r>
      <w:r>
        <w:rPr>
          <w:spacing w:val="-5"/>
        </w:rPr>
        <w:t xml:space="preserve"> </w:t>
      </w:r>
      <w:r>
        <w:t>subject</w:t>
      </w:r>
      <w:r>
        <w:rPr>
          <w:spacing w:val="-4"/>
        </w:rPr>
        <w:t xml:space="preserve"> </w:t>
      </w:r>
      <w:r>
        <w:t>wine</w:t>
      </w:r>
      <w:r>
        <w:rPr>
          <w:spacing w:val="-3"/>
        </w:rPr>
        <w:t xml:space="preserve"> </w:t>
      </w:r>
      <w:r>
        <w:t>products</w:t>
      </w:r>
      <w:r>
        <w:rPr>
          <w:spacing w:val="-3"/>
        </w:rPr>
        <w:t xml:space="preserve"> </w:t>
      </w:r>
      <w:r>
        <w:t>to</w:t>
      </w:r>
      <w:r>
        <w:rPr>
          <w:spacing w:val="-3"/>
        </w:rPr>
        <w:t xml:space="preserve"> </w:t>
      </w:r>
      <w:r>
        <w:t>China.</w:t>
      </w:r>
      <w:r>
        <w:rPr>
          <w:spacing w:val="-3"/>
        </w:rPr>
        <w:t xml:space="preserve"> </w:t>
      </w:r>
      <w:r>
        <w:t>Given</w:t>
      </w:r>
      <w:r>
        <w:rPr>
          <w:spacing w:val="-4"/>
        </w:rPr>
        <w:t xml:space="preserve"> </w:t>
      </w:r>
      <w:r>
        <w:t>that</w:t>
      </w:r>
      <w:r>
        <w:rPr>
          <w:spacing w:val="-4"/>
        </w:rPr>
        <w:t xml:space="preserve"> </w:t>
      </w:r>
      <w:r>
        <w:t>MOFCOM</w:t>
      </w:r>
      <w:r>
        <w:rPr>
          <w:spacing w:val="-4"/>
        </w:rPr>
        <w:t xml:space="preserve"> </w:t>
      </w:r>
      <w:r>
        <w:t>referred</w:t>
      </w:r>
      <w:r>
        <w:rPr>
          <w:spacing w:val="-6"/>
        </w:rPr>
        <w:t xml:space="preserve"> </w:t>
      </w:r>
      <w:r>
        <w:t>to</w:t>
      </w:r>
      <w:r>
        <w:rPr>
          <w:spacing w:val="-3"/>
        </w:rPr>
        <w:t xml:space="preserve"> </w:t>
      </w:r>
      <w:r>
        <w:t>each of these suppliers in the body of Annex II,</w:t>
      </w:r>
      <w:r>
        <w:rPr>
          <w:vertAlign w:val="superscript"/>
        </w:rPr>
        <w:t>878</w:t>
      </w:r>
      <w:r>
        <w:t xml:space="preserve"> albeit without assigning them an anti‐dumping margin,</w:t>
      </w:r>
      <w:r>
        <w:rPr>
          <w:spacing w:val="-10"/>
        </w:rPr>
        <w:t xml:space="preserve"> </w:t>
      </w:r>
      <w:r>
        <w:t>it</w:t>
      </w:r>
      <w:r>
        <w:rPr>
          <w:spacing w:val="-10"/>
        </w:rPr>
        <w:t xml:space="preserve"> </w:t>
      </w:r>
      <w:r>
        <w:t>was</w:t>
      </w:r>
      <w:r>
        <w:rPr>
          <w:spacing w:val="-10"/>
        </w:rPr>
        <w:t xml:space="preserve"> </w:t>
      </w:r>
      <w:r>
        <w:t>not</w:t>
      </w:r>
      <w:r>
        <w:rPr>
          <w:spacing w:val="-9"/>
        </w:rPr>
        <w:t xml:space="preserve"> </w:t>
      </w:r>
      <w:r>
        <w:t>"impracticable</w:t>
      </w:r>
      <w:r>
        <w:rPr>
          <w:spacing w:val="-8"/>
        </w:rPr>
        <w:t xml:space="preserve"> </w:t>
      </w:r>
      <w:r>
        <w:t>to</w:t>
      </w:r>
      <w:r>
        <w:rPr>
          <w:spacing w:val="-10"/>
        </w:rPr>
        <w:t xml:space="preserve"> </w:t>
      </w:r>
      <w:r>
        <w:t>name</w:t>
      </w:r>
      <w:r>
        <w:rPr>
          <w:spacing w:val="-9"/>
        </w:rPr>
        <w:t xml:space="preserve"> </w:t>
      </w:r>
      <w:r>
        <w:t>all</w:t>
      </w:r>
      <w:r>
        <w:rPr>
          <w:spacing w:val="-11"/>
        </w:rPr>
        <w:t xml:space="preserve"> </w:t>
      </w:r>
      <w:r>
        <w:t>these</w:t>
      </w:r>
      <w:r>
        <w:rPr>
          <w:spacing w:val="-9"/>
        </w:rPr>
        <w:t xml:space="preserve"> </w:t>
      </w:r>
      <w:r>
        <w:t>suppliers".</w:t>
      </w:r>
      <w:r>
        <w:rPr>
          <w:spacing w:val="-9"/>
        </w:rPr>
        <w:t xml:space="preserve"> </w:t>
      </w:r>
      <w:r>
        <w:t>MOFCOM's</w:t>
      </w:r>
      <w:r>
        <w:rPr>
          <w:spacing w:val="-10"/>
        </w:rPr>
        <w:t xml:space="preserve"> </w:t>
      </w:r>
      <w:r>
        <w:t>failure</w:t>
      </w:r>
      <w:r>
        <w:rPr>
          <w:spacing w:val="-9"/>
        </w:rPr>
        <w:t xml:space="preserve"> </w:t>
      </w:r>
      <w:r>
        <w:t>to</w:t>
      </w:r>
      <w:r>
        <w:rPr>
          <w:spacing w:val="-9"/>
        </w:rPr>
        <w:t xml:space="preserve"> </w:t>
      </w:r>
      <w:r>
        <w:t>name</w:t>
      </w:r>
      <w:r>
        <w:rPr>
          <w:spacing w:val="-9"/>
        </w:rPr>
        <w:t xml:space="preserve"> </w:t>
      </w:r>
      <w:r>
        <w:t>the six Australian traders in Annex I thus constituted a further brea</w:t>
      </w:r>
      <w:r>
        <w:t>ch of Article 9.2.</w:t>
      </w:r>
    </w:p>
    <w:p w14:paraId="51DE93D7" w14:textId="77777777" w:rsidR="0010369C" w:rsidRDefault="008E43AE">
      <w:pPr>
        <w:pStyle w:val="Heading4"/>
        <w:numPr>
          <w:ilvl w:val="0"/>
          <w:numId w:val="2"/>
        </w:numPr>
        <w:tabs>
          <w:tab w:val="left" w:pos="2647"/>
          <w:tab w:val="left" w:pos="2648"/>
        </w:tabs>
        <w:jc w:val="both"/>
      </w:pPr>
      <w:r>
        <w:t>Breach</w:t>
      </w:r>
      <w:r>
        <w:rPr>
          <w:spacing w:val="-10"/>
        </w:rPr>
        <w:t xml:space="preserve"> </w:t>
      </w:r>
      <w:r>
        <w:t>of</w:t>
      </w:r>
      <w:r>
        <w:rPr>
          <w:spacing w:val="-8"/>
        </w:rPr>
        <w:t xml:space="preserve"> </w:t>
      </w:r>
      <w:r>
        <w:t>Article</w:t>
      </w:r>
      <w:r>
        <w:rPr>
          <w:spacing w:val="-7"/>
        </w:rPr>
        <w:t xml:space="preserve"> </w:t>
      </w:r>
      <w:r>
        <w:rPr>
          <w:spacing w:val="-5"/>
        </w:rPr>
        <w:t>9.3</w:t>
      </w:r>
    </w:p>
    <w:p w14:paraId="51DE93D8" w14:textId="77777777" w:rsidR="0010369C" w:rsidRDefault="0010369C">
      <w:pPr>
        <w:pStyle w:val="BodyText"/>
        <w:spacing w:before="9"/>
        <w:rPr>
          <w:b/>
          <w:sz w:val="20"/>
        </w:rPr>
      </w:pPr>
    </w:p>
    <w:p w14:paraId="51DE93D9" w14:textId="77777777" w:rsidR="0010369C" w:rsidRDefault="008E43AE">
      <w:pPr>
        <w:pStyle w:val="BodyText"/>
        <w:spacing w:before="52" w:line="360" w:lineRule="auto"/>
        <w:ind w:left="236" w:right="614" w:firstLine="852"/>
        <w:jc w:val="both"/>
      </w:pPr>
      <w:r>
        <w:rPr>
          <w:noProof/>
        </w:rPr>
        <w:drawing>
          <wp:anchor distT="0" distB="0" distL="0" distR="0" simplePos="0" relativeHeight="251332096" behindDoc="1" locked="0" layoutInCell="1" allowOverlap="1" wp14:anchorId="51DEA606" wp14:editId="51DEA607">
            <wp:simplePos x="0" y="0"/>
            <wp:positionH relativeFrom="page">
              <wp:posOffset>902208</wp:posOffset>
            </wp:positionH>
            <wp:positionV relativeFrom="paragraph">
              <wp:posOffset>76786</wp:posOffset>
            </wp:positionV>
            <wp:extent cx="262127" cy="106679"/>
            <wp:effectExtent l="0" t="0" r="0" b="0"/>
            <wp:wrapNone/>
            <wp:docPr id="1425" name="image7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 name="image740.png"/>
                    <pic:cNvPicPr/>
                  </pic:nvPicPr>
                  <pic:blipFill>
                    <a:blip r:embed="rId968" cstate="print"/>
                    <a:stretch>
                      <a:fillRect/>
                    </a:stretch>
                  </pic:blipFill>
                  <pic:spPr>
                    <a:xfrm>
                      <a:off x="0" y="0"/>
                      <a:ext cx="262127" cy="106679"/>
                    </a:xfrm>
                    <a:prstGeom prst="rect">
                      <a:avLst/>
                    </a:prstGeom>
                  </pic:spPr>
                </pic:pic>
              </a:graphicData>
            </a:graphic>
          </wp:anchor>
        </w:drawing>
      </w:r>
      <w:r>
        <w:t>MOFCOM's</w:t>
      </w:r>
      <w:r>
        <w:rPr>
          <w:spacing w:val="-7"/>
        </w:rPr>
        <w:t xml:space="preserve"> </w:t>
      </w:r>
      <w:r>
        <w:t>failure</w:t>
      </w:r>
      <w:r>
        <w:rPr>
          <w:spacing w:val="-8"/>
        </w:rPr>
        <w:t xml:space="preserve"> </w:t>
      </w:r>
      <w:r>
        <w:t>to</w:t>
      </w:r>
      <w:r>
        <w:rPr>
          <w:spacing w:val="-8"/>
        </w:rPr>
        <w:t xml:space="preserve"> </w:t>
      </w:r>
      <w:r>
        <w:t>properly</w:t>
      </w:r>
      <w:r>
        <w:rPr>
          <w:spacing w:val="-7"/>
        </w:rPr>
        <w:t xml:space="preserve"> </w:t>
      </w:r>
      <w:r>
        <w:t>determine</w:t>
      </w:r>
      <w:r>
        <w:rPr>
          <w:spacing w:val="-7"/>
        </w:rPr>
        <w:t xml:space="preserve"> </w:t>
      </w:r>
      <w:r>
        <w:t>the</w:t>
      </w:r>
      <w:r>
        <w:rPr>
          <w:spacing w:val="-8"/>
        </w:rPr>
        <w:t xml:space="preserve"> </w:t>
      </w:r>
      <w:r>
        <w:t>existence</w:t>
      </w:r>
      <w:r>
        <w:rPr>
          <w:spacing w:val="-8"/>
        </w:rPr>
        <w:t xml:space="preserve"> </w:t>
      </w:r>
      <w:r>
        <w:t>of</w:t>
      </w:r>
      <w:r>
        <w:rPr>
          <w:spacing w:val="-9"/>
        </w:rPr>
        <w:t xml:space="preserve"> </w:t>
      </w:r>
      <w:r>
        <w:t>dumping</w:t>
      </w:r>
      <w:r>
        <w:rPr>
          <w:spacing w:val="-8"/>
        </w:rPr>
        <w:t xml:space="preserve"> </w:t>
      </w:r>
      <w:r>
        <w:t>or</w:t>
      </w:r>
      <w:r>
        <w:rPr>
          <w:spacing w:val="-8"/>
        </w:rPr>
        <w:t xml:space="preserve"> </w:t>
      </w:r>
      <w:r>
        <w:t>the</w:t>
      </w:r>
      <w:r>
        <w:rPr>
          <w:spacing w:val="-8"/>
        </w:rPr>
        <w:t xml:space="preserve"> </w:t>
      </w:r>
      <w:r>
        <w:t>margins</w:t>
      </w:r>
      <w:r>
        <w:rPr>
          <w:spacing w:val="-9"/>
        </w:rPr>
        <w:t xml:space="preserve"> </w:t>
      </w:r>
      <w:r>
        <w:t>of dumping</w:t>
      </w:r>
      <w:r>
        <w:rPr>
          <w:spacing w:val="-8"/>
        </w:rPr>
        <w:t xml:space="preserve"> </w:t>
      </w:r>
      <w:r>
        <w:t>in</w:t>
      </w:r>
      <w:r>
        <w:rPr>
          <w:spacing w:val="-9"/>
        </w:rPr>
        <w:t xml:space="preserve"> </w:t>
      </w:r>
      <w:r>
        <w:t>a</w:t>
      </w:r>
      <w:r>
        <w:rPr>
          <w:spacing w:val="-9"/>
        </w:rPr>
        <w:t xml:space="preserve"> </w:t>
      </w:r>
      <w:r>
        <w:t>manner</w:t>
      </w:r>
      <w:r>
        <w:rPr>
          <w:spacing w:val="-9"/>
        </w:rPr>
        <w:t xml:space="preserve"> </w:t>
      </w:r>
      <w:r>
        <w:t>consistent</w:t>
      </w:r>
      <w:r>
        <w:rPr>
          <w:spacing w:val="-9"/>
        </w:rPr>
        <w:t xml:space="preserve"> </w:t>
      </w:r>
      <w:r>
        <w:t>with</w:t>
      </w:r>
      <w:r>
        <w:rPr>
          <w:spacing w:val="-9"/>
        </w:rPr>
        <w:t xml:space="preserve"> </w:t>
      </w:r>
      <w:r>
        <w:t>Article</w:t>
      </w:r>
      <w:r>
        <w:rPr>
          <w:spacing w:val="-9"/>
        </w:rPr>
        <w:t xml:space="preserve"> </w:t>
      </w:r>
      <w:r>
        <w:t>2</w:t>
      </w:r>
      <w:r>
        <w:rPr>
          <w:spacing w:val="-10"/>
        </w:rPr>
        <w:t xml:space="preserve"> </w:t>
      </w:r>
      <w:r>
        <w:t>of</w:t>
      </w:r>
      <w:r>
        <w:rPr>
          <w:spacing w:val="-10"/>
        </w:rPr>
        <w:t xml:space="preserve"> </w:t>
      </w:r>
      <w:r>
        <w:t>the</w:t>
      </w:r>
      <w:r>
        <w:rPr>
          <w:spacing w:val="-8"/>
        </w:rPr>
        <w:t xml:space="preserve"> </w:t>
      </w:r>
      <w:r>
        <w:t>Anti‐Dumping</w:t>
      </w:r>
      <w:r>
        <w:rPr>
          <w:spacing w:val="-9"/>
        </w:rPr>
        <w:t xml:space="preserve"> </w:t>
      </w:r>
      <w:r>
        <w:t>Agreement</w:t>
      </w:r>
      <w:r>
        <w:rPr>
          <w:spacing w:val="-11"/>
        </w:rPr>
        <w:t xml:space="preserve"> </w:t>
      </w:r>
      <w:r>
        <w:t>resulted</w:t>
      </w:r>
      <w:r>
        <w:rPr>
          <w:spacing w:val="-10"/>
        </w:rPr>
        <w:t xml:space="preserve"> </w:t>
      </w:r>
      <w:r>
        <w:t>in</w:t>
      </w:r>
      <w:r>
        <w:rPr>
          <w:spacing w:val="-9"/>
        </w:rPr>
        <w:t xml:space="preserve"> </w:t>
      </w:r>
      <w:r>
        <w:t>the determination of dumping margins that were far higher than those that would have been determined in accordance with Article 2. This resulted in China breaching Article 9.3 of the Anti‐Dumping Agreement.</w:t>
      </w:r>
    </w:p>
    <w:p w14:paraId="51DE93DA" w14:textId="77777777" w:rsidR="0010369C" w:rsidRDefault="0010369C">
      <w:pPr>
        <w:pStyle w:val="BodyText"/>
        <w:spacing w:before="11"/>
        <w:rPr>
          <w:sz w:val="8"/>
        </w:rPr>
      </w:pPr>
    </w:p>
    <w:p w14:paraId="51DE93DB" w14:textId="77777777" w:rsidR="0010369C" w:rsidRDefault="008E43AE">
      <w:pPr>
        <w:pStyle w:val="BodyText"/>
        <w:spacing w:before="52" w:line="360" w:lineRule="auto"/>
        <w:ind w:left="237" w:right="612" w:firstLine="851"/>
        <w:jc w:val="both"/>
      </w:pPr>
      <w:r>
        <w:rPr>
          <w:noProof/>
        </w:rPr>
        <w:drawing>
          <wp:anchor distT="0" distB="0" distL="0" distR="0" simplePos="0" relativeHeight="251333120" behindDoc="1" locked="0" layoutInCell="1" allowOverlap="1" wp14:anchorId="51DEA608" wp14:editId="51DEA609">
            <wp:simplePos x="0" y="0"/>
            <wp:positionH relativeFrom="page">
              <wp:posOffset>902208</wp:posOffset>
            </wp:positionH>
            <wp:positionV relativeFrom="paragraph">
              <wp:posOffset>81950</wp:posOffset>
            </wp:positionV>
            <wp:extent cx="262127" cy="100753"/>
            <wp:effectExtent l="0" t="0" r="0" b="0"/>
            <wp:wrapNone/>
            <wp:docPr id="1427" name="image7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 name="image741.png"/>
                    <pic:cNvPicPr/>
                  </pic:nvPicPr>
                  <pic:blipFill>
                    <a:blip r:embed="rId969" cstate="print"/>
                    <a:stretch>
                      <a:fillRect/>
                    </a:stretch>
                  </pic:blipFill>
                  <pic:spPr>
                    <a:xfrm>
                      <a:off x="0" y="0"/>
                      <a:ext cx="262127" cy="100753"/>
                    </a:xfrm>
                    <a:prstGeom prst="rect">
                      <a:avLst/>
                    </a:prstGeom>
                  </pic:spPr>
                </pic:pic>
              </a:graphicData>
            </a:graphic>
          </wp:anchor>
        </w:drawing>
      </w:r>
      <w:r>
        <w:t>Article</w:t>
      </w:r>
      <w:r>
        <w:rPr>
          <w:spacing w:val="-6"/>
        </w:rPr>
        <w:t xml:space="preserve"> </w:t>
      </w:r>
      <w:r>
        <w:t>9.3</w:t>
      </w:r>
      <w:r>
        <w:rPr>
          <w:spacing w:val="-7"/>
        </w:rPr>
        <w:t xml:space="preserve"> </w:t>
      </w:r>
      <w:r>
        <w:t>requires</w:t>
      </w:r>
      <w:r>
        <w:rPr>
          <w:spacing w:val="-7"/>
        </w:rPr>
        <w:t xml:space="preserve"> </w:t>
      </w:r>
      <w:r>
        <w:t>that</w:t>
      </w:r>
      <w:r>
        <w:rPr>
          <w:spacing w:val="-6"/>
        </w:rPr>
        <w:t xml:space="preserve"> </w:t>
      </w:r>
      <w:r>
        <w:t>"[t]he</w:t>
      </w:r>
      <w:r>
        <w:rPr>
          <w:spacing w:val="-6"/>
        </w:rPr>
        <w:t xml:space="preserve"> </w:t>
      </w:r>
      <w:r>
        <w:t>amount</w:t>
      </w:r>
      <w:r>
        <w:rPr>
          <w:spacing w:val="-6"/>
        </w:rPr>
        <w:t xml:space="preserve"> </w:t>
      </w:r>
      <w:r>
        <w:t>of</w:t>
      </w:r>
      <w:r>
        <w:rPr>
          <w:spacing w:val="-6"/>
        </w:rPr>
        <w:t xml:space="preserve"> </w:t>
      </w:r>
      <w:r>
        <w:t>the</w:t>
      </w:r>
      <w:r>
        <w:rPr>
          <w:spacing w:val="-6"/>
        </w:rPr>
        <w:t xml:space="preserve"> </w:t>
      </w:r>
      <w:r>
        <w:t>anti‐dumping</w:t>
      </w:r>
      <w:r>
        <w:rPr>
          <w:spacing w:val="-6"/>
        </w:rPr>
        <w:t xml:space="preserve"> </w:t>
      </w:r>
      <w:r>
        <w:t>duty</w:t>
      </w:r>
      <w:r>
        <w:rPr>
          <w:spacing w:val="-5"/>
        </w:rPr>
        <w:t xml:space="preserve"> </w:t>
      </w:r>
      <w:r>
        <w:t>shall</w:t>
      </w:r>
      <w:r>
        <w:rPr>
          <w:spacing w:val="-6"/>
        </w:rPr>
        <w:t xml:space="preserve"> </w:t>
      </w:r>
      <w:r>
        <w:t>not</w:t>
      </w:r>
      <w:r>
        <w:rPr>
          <w:spacing w:val="-6"/>
        </w:rPr>
        <w:t xml:space="preserve"> </w:t>
      </w:r>
      <w:r>
        <w:t>exceed</w:t>
      </w:r>
      <w:r>
        <w:rPr>
          <w:spacing w:val="-7"/>
        </w:rPr>
        <w:t xml:space="preserve"> </w:t>
      </w:r>
      <w:r>
        <w:t>the margin</w:t>
      </w:r>
      <w:r>
        <w:rPr>
          <w:spacing w:val="-14"/>
        </w:rPr>
        <w:t xml:space="preserve"> </w:t>
      </w:r>
      <w:r>
        <w:t>of</w:t>
      </w:r>
      <w:r>
        <w:rPr>
          <w:spacing w:val="-14"/>
        </w:rPr>
        <w:t xml:space="preserve"> </w:t>
      </w:r>
      <w:r>
        <w:t>dumping</w:t>
      </w:r>
      <w:r>
        <w:rPr>
          <w:spacing w:val="-13"/>
        </w:rPr>
        <w:t xml:space="preserve"> </w:t>
      </w:r>
      <w:r>
        <w:t>as</w:t>
      </w:r>
      <w:r>
        <w:rPr>
          <w:spacing w:val="-14"/>
        </w:rPr>
        <w:t xml:space="preserve"> </w:t>
      </w:r>
      <w:r>
        <w:t>established</w:t>
      </w:r>
      <w:r>
        <w:rPr>
          <w:spacing w:val="-13"/>
        </w:rPr>
        <w:t xml:space="preserve"> </w:t>
      </w:r>
      <w:r>
        <w:t>under</w:t>
      </w:r>
      <w:r>
        <w:rPr>
          <w:spacing w:val="-14"/>
        </w:rPr>
        <w:t xml:space="preserve"> </w:t>
      </w:r>
      <w:r>
        <w:t>Article</w:t>
      </w:r>
      <w:r>
        <w:rPr>
          <w:spacing w:val="-13"/>
        </w:rPr>
        <w:t xml:space="preserve"> </w:t>
      </w:r>
      <w:r>
        <w:t>2".</w:t>
      </w:r>
      <w:r>
        <w:rPr>
          <w:spacing w:val="-14"/>
        </w:rPr>
        <w:t xml:space="preserve"> </w:t>
      </w:r>
      <w:r>
        <w:t>Article</w:t>
      </w:r>
      <w:r>
        <w:rPr>
          <w:spacing w:val="-14"/>
        </w:rPr>
        <w:t xml:space="preserve"> </w:t>
      </w:r>
      <w:r>
        <w:t>V1:2</w:t>
      </w:r>
      <w:r>
        <w:rPr>
          <w:spacing w:val="-13"/>
        </w:rPr>
        <w:t xml:space="preserve"> </w:t>
      </w:r>
      <w:r>
        <w:t>of</w:t>
      </w:r>
      <w:r>
        <w:rPr>
          <w:spacing w:val="-14"/>
        </w:rPr>
        <w:t xml:space="preserve"> </w:t>
      </w:r>
      <w:r>
        <w:t>GATT</w:t>
      </w:r>
      <w:r>
        <w:rPr>
          <w:spacing w:val="-13"/>
        </w:rPr>
        <w:t xml:space="preserve"> </w:t>
      </w:r>
      <w:r>
        <w:t>1994</w:t>
      </w:r>
      <w:r>
        <w:rPr>
          <w:spacing w:val="-14"/>
        </w:rPr>
        <w:t xml:space="preserve"> </w:t>
      </w:r>
      <w:r>
        <w:t>similarly</w:t>
      </w:r>
      <w:r>
        <w:rPr>
          <w:spacing w:val="-12"/>
        </w:rPr>
        <w:t xml:space="preserve"> </w:t>
      </w:r>
      <w:r>
        <w:t>requires that anti‐dumping duties are not "greater" than the "margin of dumping … determined in accordance</w:t>
      </w:r>
      <w:r>
        <w:rPr>
          <w:spacing w:val="-3"/>
        </w:rPr>
        <w:t xml:space="preserve"> </w:t>
      </w:r>
      <w:r>
        <w:t>with</w:t>
      </w:r>
      <w:r>
        <w:rPr>
          <w:spacing w:val="-3"/>
        </w:rPr>
        <w:t xml:space="preserve"> </w:t>
      </w:r>
      <w:r>
        <w:t>the</w:t>
      </w:r>
      <w:r>
        <w:rPr>
          <w:spacing w:val="-2"/>
        </w:rPr>
        <w:t xml:space="preserve"> </w:t>
      </w:r>
      <w:r>
        <w:t>provisions</w:t>
      </w:r>
      <w:r>
        <w:rPr>
          <w:spacing w:val="-2"/>
        </w:rPr>
        <w:t xml:space="preserve"> </w:t>
      </w:r>
      <w:r>
        <w:t>of</w:t>
      </w:r>
      <w:r>
        <w:rPr>
          <w:spacing w:val="-3"/>
        </w:rPr>
        <w:t xml:space="preserve"> </w:t>
      </w:r>
      <w:r>
        <w:t>paragraph</w:t>
      </w:r>
      <w:r>
        <w:rPr>
          <w:spacing w:val="-2"/>
        </w:rPr>
        <w:t xml:space="preserve"> </w:t>
      </w:r>
      <w:r>
        <w:t>1".</w:t>
      </w:r>
      <w:r>
        <w:rPr>
          <w:spacing w:val="-2"/>
        </w:rPr>
        <w:t xml:space="preserve"> </w:t>
      </w:r>
      <w:r>
        <w:t>The</w:t>
      </w:r>
      <w:r>
        <w:rPr>
          <w:spacing w:val="-2"/>
        </w:rPr>
        <w:t xml:space="preserve"> </w:t>
      </w:r>
      <w:r>
        <w:t>term</w:t>
      </w:r>
      <w:r>
        <w:rPr>
          <w:spacing w:val="-3"/>
        </w:rPr>
        <w:t xml:space="preserve"> </w:t>
      </w:r>
      <w:r>
        <w:t>"in</w:t>
      </w:r>
      <w:r>
        <w:rPr>
          <w:spacing w:val="-3"/>
        </w:rPr>
        <w:t xml:space="preserve"> </w:t>
      </w:r>
      <w:r>
        <w:t>accordance</w:t>
      </w:r>
      <w:r>
        <w:rPr>
          <w:spacing w:val="-2"/>
        </w:rPr>
        <w:t xml:space="preserve"> </w:t>
      </w:r>
      <w:r>
        <w:t>with"</w:t>
      </w:r>
      <w:r>
        <w:rPr>
          <w:spacing w:val="-3"/>
        </w:rPr>
        <w:t xml:space="preserve"> </w:t>
      </w:r>
      <w:r>
        <w:t>in</w:t>
      </w:r>
      <w:r>
        <w:rPr>
          <w:spacing w:val="-3"/>
        </w:rPr>
        <w:t xml:space="preserve"> </w:t>
      </w:r>
      <w:r>
        <w:t>Article</w:t>
      </w:r>
      <w:r>
        <w:rPr>
          <w:spacing w:val="-3"/>
        </w:rPr>
        <w:t xml:space="preserve"> </w:t>
      </w:r>
      <w:r>
        <w:t>VI:2 of GATT 1994 "prohibits the levying of anti‐dumping duties in exce</w:t>
      </w:r>
      <w:r>
        <w:t xml:space="preserve">ss of the dumping margin </w:t>
      </w:r>
      <w:r>
        <w:rPr>
          <w:i/>
        </w:rPr>
        <w:t xml:space="preserve">determined consistently </w:t>
      </w:r>
      <w:r>
        <w:t>with Article VI:1 of the GATT 1994 in the same way as the phrase 'as established under Article 2' does in Article 9.3".</w:t>
      </w:r>
      <w:r>
        <w:rPr>
          <w:vertAlign w:val="superscript"/>
        </w:rPr>
        <w:t>879</w:t>
      </w:r>
    </w:p>
    <w:p w14:paraId="51DE93DC" w14:textId="77777777" w:rsidR="0010369C" w:rsidRDefault="0010369C">
      <w:pPr>
        <w:pStyle w:val="BodyText"/>
        <w:spacing w:before="11"/>
        <w:rPr>
          <w:sz w:val="8"/>
        </w:rPr>
      </w:pPr>
    </w:p>
    <w:p w14:paraId="51DE93DD" w14:textId="77777777" w:rsidR="0010369C" w:rsidRDefault="008E43AE">
      <w:pPr>
        <w:pStyle w:val="BodyText"/>
        <w:spacing w:before="51" w:line="360" w:lineRule="auto"/>
        <w:ind w:left="237" w:right="612" w:firstLine="851"/>
        <w:jc w:val="both"/>
      </w:pPr>
      <w:r>
        <w:rPr>
          <w:noProof/>
        </w:rPr>
        <w:drawing>
          <wp:anchor distT="0" distB="0" distL="0" distR="0" simplePos="0" relativeHeight="251334144" behindDoc="1" locked="0" layoutInCell="1" allowOverlap="1" wp14:anchorId="51DEA60A" wp14:editId="51DEA60B">
            <wp:simplePos x="0" y="0"/>
            <wp:positionH relativeFrom="page">
              <wp:posOffset>902208</wp:posOffset>
            </wp:positionH>
            <wp:positionV relativeFrom="paragraph">
              <wp:posOffset>80722</wp:posOffset>
            </wp:positionV>
            <wp:extent cx="262127" cy="103631"/>
            <wp:effectExtent l="0" t="0" r="0" b="0"/>
            <wp:wrapNone/>
            <wp:docPr id="1429" name="image7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 name="image742.png"/>
                    <pic:cNvPicPr/>
                  </pic:nvPicPr>
                  <pic:blipFill>
                    <a:blip r:embed="rId970" cstate="print"/>
                    <a:stretch>
                      <a:fillRect/>
                    </a:stretch>
                  </pic:blipFill>
                  <pic:spPr>
                    <a:xfrm>
                      <a:off x="0" y="0"/>
                      <a:ext cx="262127" cy="103631"/>
                    </a:xfrm>
                    <a:prstGeom prst="rect">
                      <a:avLst/>
                    </a:prstGeom>
                  </pic:spPr>
                </pic:pic>
              </a:graphicData>
            </a:graphic>
          </wp:anchor>
        </w:drawing>
      </w:r>
      <w:r>
        <w:t>As discussed above, Australia has established MOFCOM's dumping determinations were</w:t>
      </w:r>
      <w:r>
        <w:rPr>
          <w:spacing w:val="-1"/>
        </w:rPr>
        <w:t xml:space="preserve"> </w:t>
      </w:r>
      <w:r>
        <w:t>inconsistent with Articles</w:t>
      </w:r>
      <w:r>
        <w:rPr>
          <w:spacing w:val="-3"/>
        </w:rPr>
        <w:t xml:space="preserve"> </w:t>
      </w:r>
      <w:r>
        <w:t>2,</w:t>
      </w:r>
      <w:r>
        <w:rPr>
          <w:spacing w:val="-2"/>
        </w:rPr>
        <w:t xml:space="preserve"> </w:t>
      </w:r>
      <w:r>
        <w:t>6.8,</w:t>
      </w:r>
      <w:r>
        <w:rPr>
          <w:spacing w:val="-1"/>
        </w:rPr>
        <w:t xml:space="preserve"> </w:t>
      </w:r>
      <w:r>
        <w:t>and</w:t>
      </w:r>
      <w:r>
        <w:rPr>
          <w:spacing w:val="-2"/>
        </w:rPr>
        <w:t xml:space="preserve"> </w:t>
      </w:r>
      <w:r>
        <w:t>Annex</w:t>
      </w:r>
      <w:r>
        <w:rPr>
          <w:spacing w:val="-1"/>
        </w:rPr>
        <w:t xml:space="preserve"> </w:t>
      </w:r>
      <w:r>
        <w:t>II</w:t>
      </w:r>
      <w:r>
        <w:rPr>
          <w:spacing w:val="-2"/>
        </w:rPr>
        <w:t xml:space="preserve"> </w:t>
      </w:r>
      <w:r>
        <w:t>of</w:t>
      </w:r>
      <w:r>
        <w:rPr>
          <w:spacing w:val="-2"/>
        </w:rPr>
        <w:t xml:space="preserve"> </w:t>
      </w:r>
      <w:r>
        <w:t>the</w:t>
      </w:r>
      <w:r>
        <w:rPr>
          <w:spacing w:val="-1"/>
        </w:rPr>
        <w:t xml:space="preserve"> </w:t>
      </w:r>
      <w:r>
        <w:t>Anti‐Dumping</w:t>
      </w:r>
      <w:r>
        <w:rPr>
          <w:spacing w:val="-1"/>
        </w:rPr>
        <w:t xml:space="preserve"> </w:t>
      </w:r>
      <w:r>
        <w:t>Agreement.</w:t>
      </w:r>
      <w:r>
        <w:rPr>
          <w:vertAlign w:val="superscript"/>
        </w:rPr>
        <w:t>880</w:t>
      </w:r>
      <w:r>
        <w:rPr>
          <w:spacing w:val="-2"/>
        </w:rPr>
        <w:t xml:space="preserve"> </w:t>
      </w:r>
      <w:r>
        <w:t>These breaches resulted in the improper determination of dumping margins that were (i) much higher than they would have been if MOFCOM had made its dumping determinations in</w:t>
      </w:r>
      <w:r>
        <w:t xml:space="preserve"> accordance with Article 2, and (ii) much higher than the levels of dumping, if any, that were actually occurring (which Australia submits were none).</w:t>
      </w:r>
    </w:p>
    <w:p w14:paraId="51DE93DE" w14:textId="77777777" w:rsidR="0010369C" w:rsidRDefault="0010369C">
      <w:pPr>
        <w:pStyle w:val="BodyText"/>
        <w:spacing w:before="10"/>
        <w:rPr>
          <w:sz w:val="8"/>
        </w:rPr>
      </w:pPr>
    </w:p>
    <w:p w14:paraId="51DE93DF" w14:textId="77777777" w:rsidR="0010369C" w:rsidRDefault="008E43AE">
      <w:pPr>
        <w:pStyle w:val="BodyText"/>
        <w:spacing w:before="52" w:line="360" w:lineRule="auto"/>
        <w:ind w:left="237" w:right="613" w:firstLine="851"/>
        <w:jc w:val="both"/>
      </w:pPr>
      <w:r>
        <w:rPr>
          <w:noProof/>
        </w:rPr>
        <w:drawing>
          <wp:anchor distT="0" distB="0" distL="0" distR="0" simplePos="0" relativeHeight="251335168" behindDoc="1" locked="0" layoutInCell="1" allowOverlap="1" wp14:anchorId="51DEA60C" wp14:editId="51DEA60D">
            <wp:simplePos x="0" y="0"/>
            <wp:positionH relativeFrom="page">
              <wp:posOffset>902208</wp:posOffset>
            </wp:positionH>
            <wp:positionV relativeFrom="paragraph">
              <wp:posOffset>76785</wp:posOffset>
            </wp:positionV>
            <wp:extent cx="262127" cy="106679"/>
            <wp:effectExtent l="0" t="0" r="0" b="0"/>
            <wp:wrapNone/>
            <wp:docPr id="1431" name="image7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 name="image743.png"/>
                    <pic:cNvPicPr/>
                  </pic:nvPicPr>
                  <pic:blipFill>
                    <a:blip r:embed="rId971" cstate="print"/>
                    <a:stretch>
                      <a:fillRect/>
                    </a:stretch>
                  </pic:blipFill>
                  <pic:spPr>
                    <a:xfrm>
                      <a:off x="0" y="0"/>
                      <a:ext cx="262127" cy="106679"/>
                    </a:xfrm>
                    <a:prstGeom prst="rect">
                      <a:avLst/>
                    </a:prstGeom>
                  </pic:spPr>
                </pic:pic>
              </a:graphicData>
            </a:graphic>
          </wp:anchor>
        </w:drawing>
      </w:r>
      <w:r>
        <w:t>MOFCOM imposed anti‐dumping duties at the same rate as the dumping margins that it improperly determine</w:t>
      </w:r>
      <w:r>
        <w:t>d, ranging from 167.1% to 218.4%,</w:t>
      </w:r>
      <w:r>
        <w:rPr>
          <w:vertAlign w:val="superscript"/>
        </w:rPr>
        <w:t>881</w:t>
      </w:r>
      <w:r>
        <w:t xml:space="preserve"> to be "levied ad valorem based</w:t>
      </w:r>
      <w:r>
        <w:rPr>
          <w:spacing w:val="16"/>
        </w:rPr>
        <w:t xml:space="preserve"> </w:t>
      </w:r>
      <w:r>
        <w:t>on</w:t>
      </w:r>
      <w:r>
        <w:rPr>
          <w:spacing w:val="17"/>
        </w:rPr>
        <w:t xml:space="preserve"> </w:t>
      </w:r>
      <w:r>
        <w:t>the</w:t>
      </w:r>
      <w:r>
        <w:rPr>
          <w:spacing w:val="17"/>
        </w:rPr>
        <w:t xml:space="preserve"> </w:t>
      </w:r>
      <w:r>
        <w:t>tax‐paid</w:t>
      </w:r>
      <w:r>
        <w:rPr>
          <w:spacing w:val="17"/>
        </w:rPr>
        <w:t xml:space="preserve"> </w:t>
      </w:r>
      <w:r>
        <w:t>price</w:t>
      </w:r>
      <w:r>
        <w:rPr>
          <w:spacing w:val="17"/>
        </w:rPr>
        <w:t xml:space="preserve"> </w:t>
      </w:r>
      <w:r>
        <w:t>as</w:t>
      </w:r>
      <w:r>
        <w:rPr>
          <w:spacing w:val="17"/>
        </w:rPr>
        <w:t xml:space="preserve"> </w:t>
      </w:r>
      <w:r>
        <w:t>verified</w:t>
      </w:r>
      <w:r>
        <w:rPr>
          <w:spacing w:val="15"/>
        </w:rPr>
        <w:t xml:space="preserve"> </w:t>
      </w:r>
      <w:r>
        <w:t>by</w:t>
      </w:r>
      <w:r>
        <w:rPr>
          <w:spacing w:val="18"/>
        </w:rPr>
        <w:t xml:space="preserve"> </w:t>
      </w:r>
      <w:r>
        <w:t>the</w:t>
      </w:r>
      <w:r>
        <w:rPr>
          <w:spacing w:val="17"/>
        </w:rPr>
        <w:t xml:space="preserve"> </w:t>
      </w:r>
      <w:r>
        <w:t>customs".</w:t>
      </w:r>
      <w:r>
        <w:rPr>
          <w:vertAlign w:val="superscript"/>
        </w:rPr>
        <w:t>882</w:t>
      </w:r>
      <w:r>
        <w:rPr>
          <w:spacing w:val="17"/>
        </w:rPr>
        <w:t xml:space="preserve"> </w:t>
      </w:r>
      <w:r>
        <w:t>MOFCOM</w:t>
      </w:r>
      <w:r>
        <w:rPr>
          <w:spacing w:val="16"/>
        </w:rPr>
        <w:t xml:space="preserve"> </w:t>
      </w:r>
      <w:r>
        <w:t>set</w:t>
      </w:r>
      <w:r>
        <w:rPr>
          <w:spacing w:val="18"/>
        </w:rPr>
        <w:t xml:space="preserve"> </w:t>
      </w:r>
      <w:r>
        <w:t>out</w:t>
      </w:r>
      <w:r>
        <w:rPr>
          <w:spacing w:val="16"/>
        </w:rPr>
        <w:t xml:space="preserve"> </w:t>
      </w:r>
      <w:r>
        <w:t>the</w:t>
      </w:r>
      <w:r>
        <w:rPr>
          <w:spacing w:val="18"/>
        </w:rPr>
        <w:t xml:space="preserve"> </w:t>
      </w:r>
      <w:r>
        <w:rPr>
          <w:spacing w:val="-2"/>
        </w:rPr>
        <w:t>following</w:t>
      </w:r>
    </w:p>
    <w:p w14:paraId="51DE93E0" w14:textId="77777777" w:rsidR="0010369C" w:rsidRDefault="0010369C">
      <w:pPr>
        <w:pStyle w:val="BodyText"/>
        <w:rPr>
          <w:sz w:val="20"/>
        </w:rPr>
      </w:pPr>
    </w:p>
    <w:p w14:paraId="51DE93E1" w14:textId="77777777" w:rsidR="0010369C" w:rsidRDefault="008E43AE">
      <w:pPr>
        <w:pStyle w:val="BodyText"/>
        <w:spacing w:before="4"/>
        <w:rPr>
          <w:sz w:val="23"/>
        </w:rPr>
      </w:pPr>
      <w:r>
        <w:pict w14:anchorId="51DEA60E">
          <v:rect id="docshape1211" o:spid="_x0000_s1202" style="position:absolute;margin-left:70.9pt;margin-top:15.45pt;width:2in;height:.8pt;z-index:-250766848;mso-wrap-distance-left:0;mso-wrap-distance-right:0;mso-position-horizontal-relative:page" fillcolor="black" stroked="f">
            <w10:wrap type="topAndBottom" anchorx="page"/>
          </v:rect>
        </w:pict>
      </w:r>
    </w:p>
    <w:p w14:paraId="51DE93E2" w14:textId="77777777" w:rsidR="0010369C" w:rsidRDefault="008E43AE">
      <w:pPr>
        <w:spacing w:before="109"/>
        <w:ind w:left="238"/>
        <w:rPr>
          <w:sz w:val="18"/>
        </w:rPr>
      </w:pPr>
      <w:r>
        <w:rPr>
          <w:sz w:val="18"/>
          <w:vertAlign w:val="superscript"/>
        </w:rPr>
        <w:t>878</w:t>
      </w:r>
      <w:r>
        <w:rPr>
          <w:spacing w:val="-9"/>
          <w:sz w:val="18"/>
        </w:rPr>
        <w:t xml:space="preserve"> </w:t>
      </w:r>
      <w:r>
        <w:rPr>
          <w:sz w:val="18"/>
        </w:rPr>
        <w:t>Anti‐Dumping</w:t>
      </w:r>
      <w:r>
        <w:rPr>
          <w:spacing w:val="-9"/>
          <w:sz w:val="18"/>
        </w:rPr>
        <w:t xml:space="preserve"> </w:t>
      </w:r>
      <w:r>
        <w:rPr>
          <w:sz w:val="18"/>
        </w:rPr>
        <w:t>Final</w:t>
      </w:r>
      <w:r>
        <w:rPr>
          <w:spacing w:val="-9"/>
          <w:sz w:val="18"/>
        </w:rPr>
        <w:t xml:space="preserve"> </w:t>
      </w:r>
      <w:r>
        <w:rPr>
          <w:sz w:val="18"/>
        </w:rPr>
        <w:t>Determination</w:t>
      </w:r>
      <w:r>
        <w:rPr>
          <w:spacing w:val="-8"/>
          <w:sz w:val="18"/>
        </w:rPr>
        <w:t xml:space="preserve"> </w:t>
      </w:r>
      <w:r>
        <w:rPr>
          <w:sz w:val="18"/>
        </w:rPr>
        <w:t>(Exhibit</w:t>
      </w:r>
      <w:r>
        <w:rPr>
          <w:spacing w:val="-9"/>
          <w:sz w:val="18"/>
        </w:rPr>
        <w:t xml:space="preserve"> </w:t>
      </w:r>
      <w:r>
        <w:rPr>
          <w:sz w:val="18"/>
        </w:rPr>
        <w:t>AUS‐2),</w:t>
      </w:r>
      <w:r>
        <w:rPr>
          <w:spacing w:val="-9"/>
          <w:sz w:val="18"/>
        </w:rPr>
        <w:t xml:space="preserve"> </w:t>
      </w:r>
      <w:r>
        <w:rPr>
          <w:sz w:val="18"/>
        </w:rPr>
        <w:t>p.</w:t>
      </w:r>
      <w:r>
        <w:rPr>
          <w:spacing w:val="-9"/>
          <w:sz w:val="18"/>
        </w:rPr>
        <w:t xml:space="preserve"> </w:t>
      </w:r>
      <w:r>
        <w:rPr>
          <w:spacing w:val="-5"/>
          <w:sz w:val="18"/>
        </w:rPr>
        <w:t>7.</w:t>
      </w:r>
    </w:p>
    <w:p w14:paraId="51DE93E3" w14:textId="77777777" w:rsidR="0010369C" w:rsidRDefault="008E43AE">
      <w:pPr>
        <w:spacing w:before="1"/>
        <w:ind w:left="238"/>
        <w:rPr>
          <w:sz w:val="18"/>
        </w:rPr>
      </w:pPr>
      <w:r>
        <w:rPr>
          <w:sz w:val="18"/>
          <w:vertAlign w:val="superscript"/>
        </w:rPr>
        <w:t>879</w:t>
      </w:r>
      <w:r>
        <w:rPr>
          <w:spacing w:val="-13"/>
          <w:sz w:val="18"/>
        </w:rPr>
        <w:t xml:space="preserve"> </w:t>
      </w:r>
      <w:r>
        <w:rPr>
          <w:sz w:val="18"/>
        </w:rPr>
        <w:t>Appellate</w:t>
      </w:r>
      <w:r>
        <w:rPr>
          <w:spacing w:val="-11"/>
          <w:sz w:val="18"/>
        </w:rPr>
        <w:t xml:space="preserve"> </w:t>
      </w:r>
      <w:r>
        <w:rPr>
          <w:sz w:val="18"/>
        </w:rPr>
        <w:t>Body</w:t>
      </w:r>
      <w:r>
        <w:rPr>
          <w:spacing w:val="-7"/>
          <w:sz w:val="18"/>
        </w:rPr>
        <w:t xml:space="preserve"> </w:t>
      </w:r>
      <w:r>
        <w:rPr>
          <w:sz w:val="18"/>
        </w:rPr>
        <w:t>Report,</w:t>
      </w:r>
      <w:r>
        <w:rPr>
          <w:spacing w:val="-7"/>
          <w:sz w:val="18"/>
        </w:rPr>
        <w:t xml:space="preserve"> </w:t>
      </w:r>
      <w:r>
        <w:rPr>
          <w:i/>
          <w:sz w:val="18"/>
        </w:rPr>
        <w:t>EU</w:t>
      </w:r>
      <w:r>
        <w:rPr>
          <w:i/>
          <w:spacing w:val="-7"/>
          <w:sz w:val="18"/>
        </w:rPr>
        <w:t xml:space="preserve"> </w:t>
      </w:r>
      <w:r>
        <w:rPr>
          <w:i/>
          <w:sz w:val="18"/>
        </w:rPr>
        <w:t>–</w:t>
      </w:r>
      <w:r>
        <w:rPr>
          <w:i/>
          <w:spacing w:val="-6"/>
          <w:sz w:val="18"/>
        </w:rPr>
        <w:t xml:space="preserve"> </w:t>
      </w:r>
      <w:r>
        <w:rPr>
          <w:i/>
          <w:sz w:val="18"/>
        </w:rPr>
        <w:t>Biodiesel</w:t>
      </w:r>
      <w:r>
        <w:rPr>
          <w:i/>
          <w:spacing w:val="-7"/>
          <w:sz w:val="18"/>
        </w:rPr>
        <w:t xml:space="preserve"> </w:t>
      </w:r>
      <w:r>
        <w:rPr>
          <w:i/>
          <w:sz w:val="18"/>
        </w:rPr>
        <w:t>(Argentina)</w:t>
      </w:r>
      <w:r>
        <w:rPr>
          <w:sz w:val="18"/>
        </w:rPr>
        <w:t>,</w:t>
      </w:r>
      <w:r>
        <w:rPr>
          <w:spacing w:val="-7"/>
          <w:sz w:val="18"/>
        </w:rPr>
        <w:t xml:space="preserve"> </w:t>
      </w:r>
      <w:r>
        <w:rPr>
          <w:sz w:val="18"/>
        </w:rPr>
        <w:t>para.</w:t>
      </w:r>
      <w:r>
        <w:rPr>
          <w:spacing w:val="-7"/>
          <w:sz w:val="18"/>
        </w:rPr>
        <w:t xml:space="preserve"> </w:t>
      </w:r>
      <w:r>
        <w:rPr>
          <w:sz w:val="18"/>
        </w:rPr>
        <w:t>6.98.</w:t>
      </w:r>
      <w:r>
        <w:rPr>
          <w:spacing w:val="-6"/>
          <w:sz w:val="18"/>
        </w:rPr>
        <w:t xml:space="preserve"> </w:t>
      </w:r>
      <w:r>
        <w:rPr>
          <w:sz w:val="18"/>
        </w:rPr>
        <w:t>(emphasis</w:t>
      </w:r>
      <w:r>
        <w:rPr>
          <w:spacing w:val="-6"/>
          <w:sz w:val="18"/>
        </w:rPr>
        <w:t xml:space="preserve"> </w:t>
      </w:r>
      <w:r>
        <w:rPr>
          <w:spacing w:val="-2"/>
          <w:sz w:val="18"/>
        </w:rPr>
        <w:t>original).</w:t>
      </w:r>
    </w:p>
    <w:p w14:paraId="51DE93E4" w14:textId="77777777" w:rsidR="0010369C" w:rsidRDefault="008E43AE">
      <w:pPr>
        <w:ind w:left="238"/>
        <w:rPr>
          <w:sz w:val="18"/>
        </w:rPr>
      </w:pPr>
      <w:r>
        <w:rPr>
          <w:sz w:val="18"/>
          <w:vertAlign w:val="superscript"/>
        </w:rPr>
        <w:t>880</w:t>
      </w:r>
      <w:r>
        <w:rPr>
          <w:spacing w:val="-6"/>
          <w:sz w:val="18"/>
        </w:rPr>
        <w:t xml:space="preserve"> </w:t>
      </w:r>
      <w:r>
        <w:rPr>
          <w:sz w:val="18"/>
        </w:rPr>
        <w:t>See</w:t>
      </w:r>
      <w:r>
        <w:rPr>
          <w:spacing w:val="-5"/>
          <w:sz w:val="18"/>
        </w:rPr>
        <w:t xml:space="preserve"> </w:t>
      </w:r>
      <w:r>
        <w:rPr>
          <w:sz w:val="18"/>
        </w:rPr>
        <w:t>above,</w:t>
      </w:r>
      <w:r>
        <w:rPr>
          <w:spacing w:val="-6"/>
          <w:sz w:val="18"/>
        </w:rPr>
        <w:t xml:space="preserve"> </w:t>
      </w:r>
      <w:r>
        <w:rPr>
          <w:sz w:val="18"/>
        </w:rPr>
        <w:t>section</w:t>
      </w:r>
      <w:r>
        <w:rPr>
          <w:spacing w:val="-5"/>
          <w:sz w:val="18"/>
        </w:rPr>
        <w:t xml:space="preserve"> </w:t>
      </w:r>
      <w:r>
        <w:rPr>
          <w:spacing w:val="-2"/>
          <w:sz w:val="18"/>
        </w:rPr>
        <w:t>V.A.3.</w:t>
      </w:r>
    </w:p>
    <w:p w14:paraId="51DE93E5" w14:textId="77777777" w:rsidR="0010369C" w:rsidRDefault="008E43AE">
      <w:pPr>
        <w:ind w:left="238"/>
        <w:rPr>
          <w:sz w:val="18"/>
        </w:rPr>
      </w:pPr>
      <w:r>
        <w:rPr>
          <w:sz w:val="18"/>
          <w:vertAlign w:val="superscript"/>
        </w:rPr>
        <w:t>881</w:t>
      </w:r>
      <w:r>
        <w:rPr>
          <w:spacing w:val="-8"/>
          <w:sz w:val="18"/>
        </w:rPr>
        <w:t xml:space="preserve"> </w:t>
      </w:r>
      <w:r>
        <w:rPr>
          <w:sz w:val="18"/>
        </w:rPr>
        <w:t>Anti‐Dumping</w:t>
      </w:r>
      <w:r>
        <w:rPr>
          <w:spacing w:val="-8"/>
          <w:sz w:val="18"/>
        </w:rPr>
        <w:t xml:space="preserve"> </w:t>
      </w:r>
      <w:r>
        <w:rPr>
          <w:sz w:val="18"/>
        </w:rPr>
        <w:t>Final</w:t>
      </w:r>
      <w:r>
        <w:rPr>
          <w:spacing w:val="-8"/>
          <w:sz w:val="18"/>
        </w:rPr>
        <w:t xml:space="preserve"> </w:t>
      </w:r>
      <w:r>
        <w:rPr>
          <w:sz w:val="18"/>
        </w:rPr>
        <w:t>Determination</w:t>
      </w:r>
      <w:r>
        <w:rPr>
          <w:spacing w:val="-7"/>
          <w:sz w:val="18"/>
        </w:rPr>
        <w:t xml:space="preserve"> </w:t>
      </w:r>
      <w:r>
        <w:rPr>
          <w:sz w:val="18"/>
        </w:rPr>
        <w:t>(Exhibit</w:t>
      </w:r>
      <w:r>
        <w:rPr>
          <w:spacing w:val="-8"/>
          <w:sz w:val="18"/>
        </w:rPr>
        <w:t xml:space="preserve"> </w:t>
      </w:r>
      <w:r>
        <w:rPr>
          <w:sz w:val="18"/>
        </w:rPr>
        <w:t>AUS‐2),</w:t>
      </w:r>
      <w:r>
        <w:rPr>
          <w:spacing w:val="-9"/>
          <w:sz w:val="18"/>
        </w:rPr>
        <w:t xml:space="preserve"> </w:t>
      </w:r>
      <w:r>
        <w:rPr>
          <w:sz w:val="18"/>
        </w:rPr>
        <w:t>p.</w:t>
      </w:r>
      <w:r>
        <w:rPr>
          <w:spacing w:val="-8"/>
          <w:sz w:val="18"/>
        </w:rPr>
        <w:t xml:space="preserve"> </w:t>
      </w:r>
      <w:r>
        <w:rPr>
          <w:sz w:val="18"/>
        </w:rPr>
        <w:t>100,</w:t>
      </w:r>
      <w:r>
        <w:rPr>
          <w:spacing w:val="-8"/>
          <w:sz w:val="18"/>
        </w:rPr>
        <w:t xml:space="preserve"> </w:t>
      </w:r>
      <w:r>
        <w:rPr>
          <w:sz w:val="18"/>
        </w:rPr>
        <w:t>Annex</w:t>
      </w:r>
      <w:r>
        <w:rPr>
          <w:spacing w:val="-9"/>
          <w:sz w:val="18"/>
        </w:rPr>
        <w:t xml:space="preserve"> </w:t>
      </w:r>
      <w:r>
        <w:rPr>
          <w:spacing w:val="-5"/>
          <w:sz w:val="18"/>
        </w:rPr>
        <w:t>1.</w:t>
      </w:r>
    </w:p>
    <w:p w14:paraId="51DE93E6" w14:textId="77777777" w:rsidR="0010369C" w:rsidRDefault="008E43AE">
      <w:pPr>
        <w:ind w:left="238"/>
        <w:rPr>
          <w:sz w:val="18"/>
        </w:rPr>
      </w:pPr>
      <w:r>
        <w:rPr>
          <w:sz w:val="18"/>
          <w:vertAlign w:val="superscript"/>
        </w:rPr>
        <w:t>882</w:t>
      </w:r>
      <w:r>
        <w:rPr>
          <w:spacing w:val="-10"/>
          <w:sz w:val="18"/>
        </w:rPr>
        <w:t xml:space="preserve"> </w:t>
      </w:r>
      <w:r>
        <w:rPr>
          <w:sz w:val="18"/>
        </w:rPr>
        <w:t>Anti‐Dumping</w:t>
      </w:r>
      <w:r>
        <w:rPr>
          <w:spacing w:val="-9"/>
          <w:sz w:val="18"/>
        </w:rPr>
        <w:t xml:space="preserve"> </w:t>
      </w:r>
      <w:r>
        <w:rPr>
          <w:sz w:val="18"/>
        </w:rPr>
        <w:t>Final</w:t>
      </w:r>
      <w:r>
        <w:rPr>
          <w:spacing w:val="-9"/>
          <w:sz w:val="18"/>
        </w:rPr>
        <w:t xml:space="preserve"> </w:t>
      </w:r>
      <w:r>
        <w:rPr>
          <w:sz w:val="18"/>
        </w:rPr>
        <w:t>Determination</w:t>
      </w:r>
      <w:r>
        <w:rPr>
          <w:spacing w:val="-8"/>
          <w:sz w:val="18"/>
        </w:rPr>
        <w:t xml:space="preserve"> </w:t>
      </w:r>
      <w:r>
        <w:rPr>
          <w:sz w:val="18"/>
        </w:rPr>
        <w:t>Announcement</w:t>
      </w:r>
      <w:r>
        <w:rPr>
          <w:spacing w:val="-10"/>
          <w:sz w:val="18"/>
        </w:rPr>
        <w:t xml:space="preserve"> </w:t>
      </w:r>
      <w:r>
        <w:rPr>
          <w:sz w:val="18"/>
        </w:rPr>
        <w:t>of</w:t>
      </w:r>
      <w:r>
        <w:rPr>
          <w:spacing w:val="-9"/>
          <w:sz w:val="18"/>
        </w:rPr>
        <w:t xml:space="preserve"> </w:t>
      </w:r>
      <w:r>
        <w:rPr>
          <w:sz w:val="18"/>
        </w:rPr>
        <w:t>2021</w:t>
      </w:r>
      <w:r>
        <w:rPr>
          <w:spacing w:val="-10"/>
          <w:sz w:val="18"/>
        </w:rPr>
        <w:t xml:space="preserve"> </w:t>
      </w:r>
      <w:r>
        <w:rPr>
          <w:sz w:val="18"/>
        </w:rPr>
        <w:t>(Exhibit</w:t>
      </w:r>
      <w:r>
        <w:rPr>
          <w:spacing w:val="-9"/>
          <w:sz w:val="18"/>
        </w:rPr>
        <w:t xml:space="preserve"> </w:t>
      </w:r>
      <w:r>
        <w:rPr>
          <w:spacing w:val="-2"/>
          <w:sz w:val="18"/>
        </w:rPr>
        <w:t>AUS‐1).</w:t>
      </w:r>
    </w:p>
    <w:p w14:paraId="51DE93E7" w14:textId="77777777" w:rsidR="0010369C" w:rsidRDefault="0010369C">
      <w:pPr>
        <w:rPr>
          <w:sz w:val="18"/>
        </w:rPr>
        <w:sectPr w:rsidR="0010369C">
          <w:headerReference w:type="default" r:id="rId972"/>
          <w:footerReference w:type="default" r:id="rId973"/>
          <w:pgSz w:w="11910" w:h="16840"/>
          <w:pgMar w:top="880" w:right="800" w:bottom="980" w:left="1180" w:header="569" w:footer="788" w:gutter="0"/>
          <w:cols w:space="720"/>
        </w:sectPr>
      </w:pPr>
    </w:p>
    <w:p w14:paraId="51DE93E8" w14:textId="77777777" w:rsidR="0010369C" w:rsidRDefault="008E43AE">
      <w:pPr>
        <w:tabs>
          <w:tab w:val="left" w:pos="6426"/>
        </w:tabs>
        <w:ind w:left="238"/>
        <w:jc w:val="both"/>
        <w:rPr>
          <w:sz w:val="20"/>
        </w:rPr>
      </w:pPr>
      <w:r>
        <w:rPr>
          <w:i/>
          <w:sz w:val="20"/>
        </w:rPr>
        <w:lastRenderedPageBreak/>
        <w:t>China</w:t>
      </w:r>
      <w:r>
        <w:rPr>
          <w:i/>
          <w:spacing w:val="-5"/>
          <w:sz w:val="20"/>
        </w:rPr>
        <w:t xml:space="preserve"> </w:t>
      </w:r>
      <w:r>
        <w:rPr>
          <w:i/>
          <w:sz w:val="20"/>
        </w:rPr>
        <w:t>–</w:t>
      </w:r>
      <w:r>
        <w:rPr>
          <w:i/>
          <w:spacing w:val="-5"/>
          <w:sz w:val="20"/>
        </w:rPr>
        <w:t xml:space="preserve"> </w:t>
      </w:r>
      <w:r>
        <w:rPr>
          <w:i/>
          <w:sz w:val="20"/>
        </w:rPr>
        <w:t>Anti‐Dumping</w:t>
      </w:r>
      <w:r>
        <w:rPr>
          <w:i/>
          <w:spacing w:val="-4"/>
          <w:sz w:val="20"/>
        </w:rPr>
        <w:t xml:space="preserve"> </w:t>
      </w:r>
      <w:r>
        <w:rPr>
          <w:i/>
          <w:sz w:val="20"/>
        </w:rPr>
        <w:t>and</w:t>
      </w:r>
      <w:r>
        <w:rPr>
          <w:i/>
          <w:spacing w:val="-5"/>
          <w:sz w:val="20"/>
        </w:rPr>
        <w:t xml:space="preserve"> </w:t>
      </w:r>
      <w:r>
        <w:rPr>
          <w:i/>
          <w:sz w:val="20"/>
        </w:rPr>
        <w:t>Countervailing</w:t>
      </w:r>
      <w:r>
        <w:rPr>
          <w:i/>
          <w:spacing w:val="-5"/>
          <w:sz w:val="20"/>
        </w:rPr>
        <w:t xml:space="preserve"> </w:t>
      </w:r>
      <w:r>
        <w:rPr>
          <w:i/>
          <w:sz w:val="20"/>
        </w:rPr>
        <w:t>Duty</w:t>
      </w:r>
      <w:r>
        <w:rPr>
          <w:i/>
          <w:spacing w:val="-4"/>
          <w:sz w:val="20"/>
        </w:rPr>
        <w:t xml:space="preserve"> </w:t>
      </w:r>
      <w:r>
        <w:rPr>
          <w:i/>
          <w:spacing w:val="-2"/>
          <w:sz w:val="20"/>
        </w:rPr>
        <w:t>Measures</w:t>
      </w:r>
      <w:r>
        <w:rPr>
          <w:i/>
          <w:sz w:val="20"/>
        </w:rPr>
        <w:tab/>
      </w:r>
      <w:r>
        <w:rPr>
          <w:sz w:val="20"/>
        </w:rPr>
        <w:t>Australia's</w:t>
      </w:r>
      <w:r>
        <w:rPr>
          <w:spacing w:val="-7"/>
          <w:sz w:val="20"/>
        </w:rPr>
        <w:t xml:space="preserve"> </w:t>
      </w:r>
      <w:r>
        <w:rPr>
          <w:sz w:val="20"/>
        </w:rPr>
        <w:t>First</w:t>
      </w:r>
      <w:r>
        <w:rPr>
          <w:spacing w:val="-2"/>
          <w:sz w:val="20"/>
        </w:rPr>
        <w:t xml:space="preserve"> </w:t>
      </w:r>
      <w:r>
        <w:rPr>
          <w:sz w:val="20"/>
        </w:rPr>
        <w:t>Written</w:t>
      </w:r>
      <w:r>
        <w:rPr>
          <w:spacing w:val="-2"/>
          <w:sz w:val="20"/>
        </w:rPr>
        <w:t xml:space="preserve"> Submission</w:t>
      </w:r>
    </w:p>
    <w:p w14:paraId="51DE93E9" w14:textId="77777777" w:rsidR="0010369C" w:rsidRDefault="008E43AE">
      <w:pPr>
        <w:tabs>
          <w:tab w:val="left" w:pos="8228"/>
        </w:tabs>
        <w:spacing w:before="1"/>
        <w:ind w:left="239"/>
        <w:jc w:val="both"/>
        <w:rPr>
          <w:sz w:val="20"/>
        </w:rPr>
      </w:pPr>
      <w:r>
        <w:rPr>
          <w:i/>
          <w:sz w:val="20"/>
        </w:rPr>
        <w:t>on</w:t>
      </w:r>
      <w:r>
        <w:rPr>
          <w:i/>
          <w:spacing w:val="-1"/>
          <w:sz w:val="20"/>
        </w:rPr>
        <w:t xml:space="preserve"> </w:t>
      </w:r>
      <w:r>
        <w:rPr>
          <w:i/>
          <w:sz w:val="20"/>
        </w:rPr>
        <w:t>Wine</w:t>
      </w:r>
      <w:r>
        <w:rPr>
          <w:i/>
          <w:spacing w:val="-1"/>
          <w:sz w:val="20"/>
        </w:rPr>
        <w:t xml:space="preserve"> </w:t>
      </w:r>
      <w:r>
        <w:rPr>
          <w:i/>
          <w:sz w:val="20"/>
        </w:rPr>
        <w:t>from</w:t>
      </w:r>
      <w:r>
        <w:rPr>
          <w:i/>
          <w:spacing w:val="-3"/>
          <w:sz w:val="20"/>
        </w:rPr>
        <w:t xml:space="preserve"> </w:t>
      </w:r>
      <w:r>
        <w:rPr>
          <w:i/>
          <w:sz w:val="20"/>
        </w:rPr>
        <w:t>Australia</w:t>
      </w:r>
      <w:r>
        <w:rPr>
          <w:i/>
          <w:spacing w:val="-1"/>
          <w:sz w:val="20"/>
        </w:rPr>
        <w:t xml:space="preserve"> </w:t>
      </w:r>
      <w:r>
        <w:rPr>
          <w:spacing w:val="-2"/>
          <w:sz w:val="20"/>
        </w:rPr>
        <w:t>(DS602)</w:t>
      </w:r>
      <w:r>
        <w:rPr>
          <w:sz w:val="20"/>
        </w:rPr>
        <w:tab/>
        <w:t>29</w:t>
      </w:r>
      <w:r>
        <w:rPr>
          <w:spacing w:val="-1"/>
          <w:sz w:val="20"/>
        </w:rPr>
        <w:t xml:space="preserve"> </w:t>
      </w:r>
      <w:r>
        <w:rPr>
          <w:sz w:val="20"/>
        </w:rPr>
        <w:t>April</w:t>
      </w:r>
      <w:r>
        <w:rPr>
          <w:spacing w:val="-2"/>
          <w:sz w:val="20"/>
        </w:rPr>
        <w:t xml:space="preserve"> </w:t>
      </w:r>
      <w:r>
        <w:rPr>
          <w:spacing w:val="-4"/>
          <w:sz w:val="20"/>
        </w:rPr>
        <w:t>2022</w:t>
      </w:r>
    </w:p>
    <w:p w14:paraId="51DE93EA" w14:textId="77777777" w:rsidR="0010369C" w:rsidRDefault="008E43AE">
      <w:pPr>
        <w:pStyle w:val="BodyText"/>
        <w:spacing w:before="34" w:line="360" w:lineRule="auto"/>
        <w:ind w:left="238" w:right="614"/>
        <w:jc w:val="both"/>
      </w:pPr>
      <w:r>
        <w:t>calculation formula: "Anti‐dumping Duty = Tax‐paid price as verified by the customs × Anti‐ dumping</w:t>
      </w:r>
      <w:r>
        <w:rPr>
          <w:spacing w:val="-11"/>
        </w:rPr>
        <w:t xml:space="preserve"> </w:t>
      </w:r>
      <w:r>
        <w:t>duty</w:t>
      </w:r>
      <w:r>
        <w:rPr>
          <w:spacing w:val="-10"/>
        </w:rPr>
        <w:t xml:space="preserve"> </w:t>
      </w:r>
      <w:r>
        <w:t>rate".</w:t>
      </w:r>
      <w:r>
        <w:rPr>
          <w:vertAlign w:val="superscript"/>
        </w:rPr>
        <w:t>883</w:t>
      </w:r>
      <w:r>
        <w:rPr>
          <w:spacing w:val="-12"/>
        </w:rPr>
        <w:t xml:space="preserve"> </w:t>
      </w:r>
      <w:r>
        <w:t>This</w:t>
      </w:r>
      <w:r>
        <w:rPr>
          <w:spacing w:val="-11"/>
        </w:rPr>
        <w:t xml:space="preserve"> </w:t>
      </w:r>
      <w:r>
        <w:t>duty</w:t>
      </w:r>
      <w:r>
        <w:rPr>
          <w:spacing w:val="-10"/>
        </w:rPr>
        <w:t xml:space="preserve"> </w:t>
      </w:r>
      <w:r>
        <w:t>is</w:t>
      </w:r>
      <w:r>
        <w:rPr>
          <w:spacing w:val="-10"/>
        </w:rPr>
        <w:t xml:space="preserve"> </w:t>
      </w:r>
      <w:r>
        <w:t>additional</w:t>
      </w:r>
      <w:r>
        <w:rPr>
          <w:spacing w:val="-11"/>
        </w:rPr>
        <w:t xml:space="preserve"> </w:t>
      </w:r>
      <w:r>
        <w:t>to</w:t>
      </w:r>
      <w:r>
        <w:rPr>
          <w:spacing w:val="-11"/>
        </w:rPr>
        <w:t xml:space="preserve"> </w:t>
      </w:r>
      <w:r>
        <w:t>any</w:t>
      </w:r>
      <w:r>
        <w:rPr>
          <w:spacing w:val="-10"/>
        </w:rPr>
        <w:t xml:space="preserve"> </w:t>
      </w:r>
      <w:r>
        <w:t>import</w:t>
      </w:r>
      <w:r>
        <w:rPr>
          <w:spacing w:val="-11"/>
        </w:rPr>
        <w:t xml:space="preserve"> </w:t>
      </w:r>
      <w:r>
        <w:t>consumption</w:t>
      </w:r>
      <w:r>
        <w:rPr>
          <w:spacing w:val="-12"/>
        </w:rPr>
        <w:t xml:space="preserve"> </w:t>
      </w:r>
      <w:r>
        <w:t>tax</w:t>
      </w:r>
      <w:r>
        <w:rPr>
          <w:spacing w:val="-11"/>
        </w:rPr>
        <w:t xml:space="preserve"> </w:t>
      </w:r>
      <w:r>
        <w:t>and</w:t>
      </w:r>
      <w:r>
        <w:rPr>
          <w:spacing w:val="-11"/>
        </w:rPr>
        <w:t xml:space="preserve"> </w:t>
      </w:r>
      <w:r>
        <w:t>import</w:t>
      </w:r>
      <w:r>
        <w:rPr>
          <w:spacing w:val="-11"/>
        </w:rPr>
        <w:t xml:space="preserve"> </w:t>
      </w:r>
      <w:r>
        <w:t>value added tax.</w:t>
      </w:r>
    </w:p>
    <w:p w14:paraId="51DE93EB" w14:textId="77777777" w:rsidR="0010369C" w:rsidRDefault="0010369C">
      <w:pPr>
        <w:pStyle w:val="BodyText"/>
        <w:spacing w:before="11"/>
        <w:rPr>
          <w:sz w:val="8"/>
        </w:rPr>
      </w:pPr>
    </w:p>
    <w:p w14:paraId="51DE93EC" w14:textId="77777777" w:rsidR="0010369C" w:rsidRDefault="008E43AE">
      <w:pPr>
        <w:pStyle w:val="BodyText"/>
        <w:spacing w:before="52" w:line="360" w:lineRule="auto"/>
        <w:ind w:left="237" w:right="613" w:firstLine="851"/>
        <w:jc w:val="both"/>
      </w:pPr>
      <w:r>
        <w:rPr>
          <w:noProof/>
        </w:rPr>
        <w:drawing>
          <wp:anchor distT="0" distB="0" distL="0" distR="0" simplePos="0" relativeHeight="251336192" behindDoc="1" locked="0" layoutInCell="1" allowOverlap="1" wp14:anchorId="51DEA60F" wp14:editId="51DEA610">
            <wp:simplePos x="0" y="0"/>
            <wp:positionH relativeFrom="page">
              <wp:posOffset>902208</wp:posOffset>
            </wp:positionH>
            <wp:positionV relativeFrom="paragraph">
              <wp:posOffset>80595</wp:posOffset>
            </wp:positionV>
            <wp:extent cx="262127" cy="103631"/>
            <wp:effectExtent l="0" t="0" r="0" b="0"/>
            <wp:wrapNone/>
            <wp:docPr id="1433" name="image7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 name="image744.png"/>
                    <pic:cNvPicPr/>
                  </pic:nvPicPr>
                  <pic:blipFill>
                    <a:blip r:embed="rId974" cstate="print"/>
                    <a:stretch>
                      <a:fillRect/>
                    </a:stretch>
                  </pic:blipFill>
                  <pic:spPr>
                    <a:xfrm>
                      <a:off x="0" y="0"/>
                      <a:ext cx="262127" cy="103631"/>
                    </a:xfrm>
                    <a:prstGeom prst="rect">
                      <a:avLst/>
                    </a:prstGeom>
                  </pic:spPr>
                </pic:pic>
              </a:graphicData>
            </a:graphic>
          </wp:anchor>
        </w:drawing>
      </w:r>
      <w:r>
        <w:t>If,</w:t>
      </w:r>
      <w:r>
        <w:rPr>
          <w:spacing w:val="-13"/>
        </w:rPr>
        <w:t xml:space="preserve"> </w:t>
      </w:r>
      <w:r>
        <w:t>instead</w:t>
      </w:r>
      <w:r>
        <w:rPr>
          <w:spacing w:val="-13"/>
        </w:rPr>
        <w:t xml:space="preserve"> </w:t>
      </w:r>
      <w:r>
        <w:t>of</w:t>
      </w:r>
      <w:r>
        <w:rPr>
          <w:spacing w:val="-13"/>
        </w:rPr>
        <w:t xml:space="preserve"> </w:t>
      </w:r>
      <w:r>
        <w:t>improperly</w:t>
      </w:r>
      <w:r>
        <w:rPr>
          <w:spacing w:val="-13"/>
        </w:rPr>
        <w:t xml:space="preserve"> </w:t>
      </w:r>
      <w:r>
        <w:t>and</w:t>
      </w:r>
      <w:r>
        <w:rPr>
          <w:spacing w:val="-13"/>
        </w:rPr>
        <w:t xml:space="preserve"> </w:t>
      </w:r>
      <w:r>
        <w:t>unjustifiably</w:t>
      </w:r>
      <w:r>
        <w:rPr>
          <w:spacing w:val="-12"/>
        </w:rPr>
        <w:t xml:space="preserve"> </w:t>
      </w:r>
      <w:r>
        <w:t>rejecting</w:t>
      </w:r>
      <w:r>
        <w:rPr>
          <w:spacing w:val="-14"/>
        </w:rPr>
        <w:t xml:space="preserve"> </w:t>
      </w:r>
      <w:r>
        <w:t>the</w:t>
      </w:r>
      <w:r>
        <w:rPr>
          <w:spacing w:val="-13"/>
        </w:rPr>
        <w:t xml:space="preserve"> </w:t>
      </w:r>
      <w:r>
        <w:t>relevant</w:t>
      </w:r>
      <w:r>
        <w:rPr>
          <w:spacing w:val="-13"/>
        </w:rPr>
        <w:t xml:space="preserve"> </w:t>
      </w:r>
      <w:r>
        <w:t>information</w:t>
      </w:r>
      <w:r>
        <w:rPr>
          <w:spacing w:val="-12"/>
        </w:rPr>
        <w:t xml:space="preserve"> </w:t>
      </w:r>
      <w:r>
        <w:t>provided by</w:t>
      </w:r>
      <w:r>
        <w:rPr>
          <w:spacing w:val="-3"/>
        </w:rPr>
        <w:t xml:space="preserve"> </w:t>
      </w:r>
      <w:r>
        <w:t>Australian</w:t>
      </w:r>
      <w:r>
        <w:rPr>
          <w:spacing w:val="-5"/>
        </w:rPr>
        <w:t xml:space="preserve"> </w:t>
      </w:r>
      <w:r>
        <w:t>companies,</w:t>
      </w:r>
      <w:r>
        <w:rPr>
          <w:spacing w:val="-4"/>
        </w:rPr>
        <w:t xml:space="preserve"> </w:t>
      </w:r>
      <w:r>
        <w:t>MOFCOM</w:t>
      </w:r>
      <w:r>
        <w:rPr>
          <w:spacing w:val="-3"/>
        </w:rPr>
        <w:t xml:space="preserve"> </w:t>
      </w:r>
      <w:r>
        <w:t>had</w:t>
      </w:r>
      <w:r>
        <w:rPr>
          <w:spacing w:val="-4"/>
        </w:rPr>
        <w:t xml:space="preserve"> </w:t>
      </w:r>
      <w:r>
        <w:t>used</w:t>
      </w:r>
      <w:r>
        <w:rPr>
          <w:spacing w:val="-4"/>
        </w:rPr>
        <w:t xml:space="preserve"> </w:t>
      </w:r>
      <w:r>
        <w:t>that</w:t>
      </w:r>
      <w:r>
        <w:rPr>
          <w:spacing w:val="-4"/>
        </w:rPr>
        <w:t xml:space="preserve"> </w:t>
      </w:r>
      <w:r>
        <w:t>information</w:t>
      </w:r>
      <w:r>
        <w:rPr>
          <w:spacing w:val="-3"/>
        </w:rPr>
        <w:t xml:space="preserve"> </w:t>
      </w:r>
      <w:r>
        <w:t>to</w:t>
      </w:r>
      <w:r>
        <w:rPr>
          <w:spacing w:val="-3"/>
        </w:rPr>
        <w:t xml:space="preserve"> </w:t>
      </w:r>
      <w:r>
        <w:t>determine</w:t>
      </w:r>
      <w:r>
        <w:rPr>
          <w:spacing w:val="-3"/>
        </w:rPr>
        <w:t xml:space="preserve"> </w:t>
      </w:r>
      <w:r>
        <w:t>normal</w:t>
      </w:r>
      <w:r>
        <w:rPr>
          <w:spacing w:val="-3"/>
        </w:rPr>
        <w:t xml:space="preserve"> </w:t>
      </w:r>
      <w:r>
        <w:t>values</w:t>
      </w:r>
      <w:r>
        <w:rPr>
          <w:spacing w:val="-5"/>
        </w:rPr>
        <w:t xml:space="preserve"> </w:t>
      </w:r>
      <w:r>
        <w:t>in accordance with</w:t>
      </w:r>
      <w:r>
        <w:rPr>
          <w:spacing w:val="-2"/>
        </w:rPr>
        <w:t xml:space="preserve"> </w:t>
      </w:r>
      <w:r>
        <w:t>Article</w:t>
      </w:r>
      <w:r>
        <w:rPr>
          <w:spacing w:val="-3"/>
        </w:rPr>
        <w:t xml:space="preserve"> </w:t>
      </w:r>
      <w:r>
        <w:t>2,</w:t>
      </w:r>
      <w:r>
        <w:rPr>
          <w:spacing w:val="-2"/>
        </w:rPr>
        <w:t xml:space="preserve"> </w:t>
      </w:r>
      <w:r>
        <w:t>it</w:t>
      </w:r>
      <w:r>
        <w:rPr>
          <w:spacing w:val="-1"/>
        </w:rPr>
        <w:t xml:space="preserve"> </w:t>
      </w:r>
      <w:r>
        <w:t>would</w:t>
      </w:r>
      <w:r>
        <w:rPr>
          <w:spacing w:val="-2"/>
        </w:rPr>
        <w:t xml:space="preserve"> </w:t>
      </w:r>
      <w:r>
        <w:t>have</w:t>
      </w:r>
      <w:r>
        <w:rPr>
          <w:spacing w:val="-1"/>
        </w:rPr>
        <w:t xml:space="preserve"> </w:t>
      </w:r>
      <w:r>
        <w:t>determined</w:t>
      </w:r>
      <w:r>
        <w:rPr>
          <w:spacing w:val="-1"/>
        </w:rPr>
        <w:t xml:space="preserve"> </w:t>
      </w:r>
      <w:r>
        <w:t>far</w:t>
      </w:r>
      <w:r>
        <w:rPr>
          <w:spacing w:val="-1"/>
        </w:rPr>
        <w:t xml:space="preserve"> </w:t>
      </w:r>
      <w:r>
        <w:t>lower</w:t>
      </w:r>
      <w:r>
        <w:rPr>
          <w:spacing w:val="-1"/>
        </w:rPr>
        <w:t xml:space="preserve"> </w:t>
      </w:r>
      <w:r>
        <w:t>normal</w:t>
      </w:r>
      <w:r>
        <w:rPr>
          <w:spacing w:val="-1"/>
        </w:rPr>
        <w:t xml:space="preserve"> </w:t>
      </w:r>
      <w:r>
        <w:t>values</w:t>
      </w:r>
      <w:r>
        <w:rPr>
          <w:spacing w:val="-3"/>
        </w:rPr>
        <w:t xml:space="preserve"> </w:t>
      </w:r>
      <w:r>
        <w:t>and,</w:t>
      </w:r>
      <w:r>
        <w:rPr>
          <w:spacing w:val="-1"/>
        </w:rPr>
        <w:t xml:space="preserve"> </w:t>
      </w:r>
      <w:r>
        <w:t>as</w:t>
      </w:r>
      <w:r>
        <w:rPr>
          <w:spacing w:val="-1"/>
        </w:rPr>
        <w:t xml:space="preserve"> </w:t>
      </w:r>
      <w:r>
        <w:t>a</w:t>
      </w:r>
      <w:r>
        <w:rPr>
          <w:spacing w:val="-1"/>
        </w:rPr>
        <w:t xml:space="preserve"> </w:t>
      </w:r>
      <w:r>
        <w:t>result, far lower (or negative) dumping margins for those companies.</w:t>
      </w:r>
      <w:r>
        <w:rPr>
          <w:vertAlign w:val="superscript"/>
        </w:rPr>
        <w:t>884</w:t>
      </w:r>
    </w:p>
    <w:p w14:paraId="51DE93ED" w14:textId="77777777" w:rsidR="0010369C" w:rsidRDefault="0010369C">
      <w:pPr>
        <w:pStyle w:val="BodyText"/>
        <w:spacing w:before="10"/>
        <w:rPr>
          <w:sz w:val="8"/>
        </w:rPr>
      </w:pPr>
    </w:p>
    <w:p w14:paraId="51DE93EE" w14:textId="77777777" w:rsidR="0010369C" w:rsidRDefault="008E43AE">
      <w:pPr>
        <w:pStyle w:val="BodyText"/>
        <w:spacing w:before="52" w:line="360" w:lineRule="auto"/>
        <w:ind w:left="237" w:right="613" w:firstLine="851"/>
        <w:jc w:val="both"/>
      </w:pPr>
      <w:r>
        <w:rPr>
          <w:noProof/>
        </w:rPr>
        <w:drawing>
          <wp:anchor distT="0" distB="0" distL="0" distR="0" simplePos="0" relativeHeight="251337216" behindDoc="1" locked="0" layoutInCell="1" allowOverlap="1" wp14:anchorId="51DEA611" wp14:editId="51DEA612">
            <wp:simplePos x="0" y="0"/>
            <wp:positionH relativeFrom="page">
              <wp:posOffset>902208</wp:posOffset>
            </wp:positionH>
            <wp:positionV relativeFrom="paragraph">
              <wp:posOffset>81949</wp:posOffset>
            </wp:positionV>
            <wp:extent cx="262127" cy="100753"/>
            <wp:effectExtent l="0" t="0" r="0" b="0"/>
            <wp:wrapNone/>
            <wp:docPr id="1435" name="image7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 name="image745.png"/>
                    <pic:cNvPicPr/>
                  </pic:nvPicPr>
                  <pic:blipFill>
                    <a:blip r:embed="rId975" cstate="print"/>
                    <a:stretch>
                      <a:fillRect/>
                    </a:stretch>
                  </pic:blipFill>
                  <pic:spPr>
                    <a:xfrm>
                      <a:off x="0" y="0"/>
                      <a:ext cx="262127" cy="100753"/>
                    </a:xfrm>
                    <a:prstGeom prst="rect">
                      <a:avLst/>
                    </a:prstGeom>
                  </pic:spPr>
                </pic:pic>
              </a:graphicData>
            </a:graphic>
          </wp:anchor>
        </w:drawing>
      </w:r>
      <w:r>
        <w:t>Even if MOFCOM's recourse to facts available had been justifiable (which Australia submits it was not in the circumstances of this case), a proper selection of facts that were reason</w:t>
      </w:r>
      <w:r>
        <w:t>able replacements for the allegedly missing information would have resulted in a significantly lower normal value and, in turn, a lower (or negative) dumping margin.</w:t>
      </w:r>
      <w:r>
        <w:rPr>
          <w:vertAlign w:val="superscript"/>
        </w:rPr>
        <w:t>885</w:t>
      </w:r>
      <w:r>
        <w:t xml:space="preserve"> As Australia has demonstrated</w:t>
      </w:r>
      <w:r>
        <w:rPr>
          <w:vertAlign w:val="superscript"/>
        </w:rPr>
        <w:t>886</w:t>
      </w:r>
      <w:r>
        <w:t>, the alternative facts that MOFCOM relied upon were no</w:t>
      </w:r>
      <w:r>
        <w:t>t the "best information available" and resulted in unrepresentative normal values that did not permit a proper comparison.</w:t>
      </w:r>
    </w:p>
    <w:p w14:paraId="51DE93EF" w14:textId="77777777" w:rsidR="0010369C" w:rsidRDefault="0010369C">
      <w:pPr>
        <w:pStyle w:val="BodyText"/>
        <w:spacing w:before="11"/>
        <w:rPr>
          <w:sz w:val="8"/>
        </w:rPr>
      </w:pPr>
    </w:p>
    <w:p w14:paraId="51DE93F0" w14:textId="77777777" w:rsidR="0010369C" w:rsidRDefault="008E43AE">
      <w:pPr>
        <w:pStyle w:val="BodyText"/>
        <w:spacing w:before="51" w:line="360" w:lineRule="auto"/>
        <w:ind w:left="237" w:right="613" w:firstLine="852"/>
        <w:jc w:val="both"/>
      </w:pPr>
      <w:r>
        <w:rPr>
          <w:noProof/>
        </w:rPr>
        <w:drawing>
          <wp:anchor distT="0" distB="0" distL="0" distR="0" simplePos="0" relativeHeight="251338240" behindDoc="1" locked="0" layoutInCell="1" allowOverlap="1" wp14:anchorId="51DEA613" wp14:editId="51DEA614">
            <wp:simplePos x="0" y="0"/>
            <wp:positionH relativeFrom="page">
              <wp:posOffset>902208</wp:posOffset>
            </wp:positionH>
            <wp:positionV relativeFrom="paragraph">
              <wp:posOffset>80722</wp:posOffset>
            </wp:positionV>
            <wp:extent cx="262127" cy="103631"/>
            <wp:effectExtent l="0" t="0" r="0" b="0"/>
            <wp:wrapNone/>
            <wp:docPr id="1437" name="image7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 name="image746.png"/>
                    <pic:cNvPicPr/>
                  </pic:nvPicPr>
                  <pic:blipFill>
                    <a:blip r:embed="rId976" cstate="print"/>
                    <a:stretch>
                      <a:fillRect/>
                    </a:stretch>
                  </pic:blipFill>
                  <pic:spPr>
                    <a:xfrm>
                      <a:off x="0" y="0"/>
                      <a:ext cx="262127" cy="103631"/>
                    </a:xfrm>
                    <a:prstGeom prst="rect">
                      <a:avLst/>
                    </a:prstGeom>
                  </pic:spPr>
                </pic:pic>
              </a:graphicData>
            </a:graphic>
          </wp:anchor>
        </w:drawing>
      </w:r>
      <w:r>
        <w:t xml:space="preserve">In addition to incorrectly determining normal values and export prices, MOFCOM failed to make a fair comparison between export price and normal value in accordance with Article 2.4 because, </w:t>
      </w:r>
      <w:r>
        <w:rPr>
          <w:i/>
        </w:rPr>
        <w:t>inter alia</w:t>
      </w:r>
      <w:r>
        <w:t>, it failed to adjust for factors affecting price compar</w:t>
      </w:r>
      <w:r>
        <w:t>ability, in particular, level of trade and product mix differences.</w:t>
      </w:r>
    </w:p>
    <w:p w14:paraId="51DE93F1" w14:textId="77777777" w:rsidR="0010369C" w:rsidRDefault="0010369C">
      <w:pPr>
        <w:pStyle w:val="BodyText"/>
        <w:spacing w:before="11"/>
        <w:rPr>
          <w:sz w:val="8"/>
        </w:rPr>
      </w:pPr>
    </w:p>
    <w:p w14:paraId="51DE93F2" w14:textId="77777777" w:rsidR="0010369C" w:rsidRDefault="008E43AE">
      <w:pPr>
        <w:pStyle w:val="BodyText"/>
        <w:spacing w:before="52" w:line="360" w:lineRule="auto"/>
        <w:ind w:left="238" w:right="612" w:firstLine="851"/>
        <w:jc w:val="both"/>
      </w:pPr>
      <w:r>
        <w:rPr>
          <w:noProof/>
        </w:rPr>
        <w:drawing>
          <wp:anchor distT="0" distB="0" distL="0" distR="0" simplePos="0" relativeHeight="251339264" behindDoc="1" locked="0" layoutInCell="1" allowOverlap="1" wp14:anchorId="51DEA615" wp14:editId="51DEA616">
            <wp:simplePos x="0" y="0"/>
            <wp:positionH relativeFrom="page">
              <wp:posOffset>902208</wp:posOffset>
            </wp:positionH>
            <wp:positionV relativeFrom="paragraph">
              <wp:posOffset>76786</wp:posOffset>
            </wp:positionV>
            <wp:extent cx="262127" cy="106679"/>
            <wp:effectExtent l="0" t="0" r="0" b="0"/>
            <wp:wrapNone/>
            <wp:docPr id="1439" name="image7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 name="image747.png"/>
                    <pic:cNvPicPr/>
                  </pic:nvPicPr>
                  <pic:blipFill>
                    <a:blip r:embed="rId977" cstate="print"/>
                    <a:stretch>
                      <a:fillRect/>
                    </a:stretch>
                  </pic:blipFill>
                  <pic:spPr>
                    <a:xfrm>
                      <a:off x="0" y="0"/>
                      <a:ext cx="262127" cy="106679"/>
                    </a:xfrm>
                    <a:prstGeom prst="rect">
                      <a:avLst/>
                    </a:prstGeom>
                  </pic:spPr>
                </pic:pic>
              </a:graphicData>
            </a:graphic>
          </wp:anchor>
        </w:drawing>
      </w:r>
      <w:r>
        <w:t>The</w:t>
      </w:r>
      <w:r>
        <w:rPr>
          <w:spacing w:val="-14"/>
        </w:rPr>
        <w:t xml:space="preserve"> </w:t>
      </w:r>
      <w:r>
        <w:t>evidence</w:t>
      </w:r>
      <w:r>
        <w:rPr>
          <w:spacing w:val="-14"/>
        </w:rPr>
        <w:t xml:space="preserve"> </w:t>
      </w:r>
      <w:r>
        <w:t>clearly</w:t>
      </w:r>
      <w:r>
        <w:rPr>
          <w:spacing w:val="-13"/>
        </w:rPr>
        <w:t xml:space="preserve"> </w:t>
      </w:r>
      <w:r>
        <w:t>demonstrates</w:t>
      </w:r>
      <w:r>
        <w:rPr>
          <w:spacing w:val="-14"/>
        </w:rPr>
        <w:t xml:space="preserve"> </w:t>
      </w:r>
      <w:r>
        <w:t>that,</w:t>
      </w:r>
      <w:r>
        <w:rPr>
          <w:spacing w:val="-13"/>
        </w:rPr>
        <w:t xml:space="preserve"> </w:t>
      </w:r>
      <w:r>
        <w:t>had</w:t>
      </w:r>
      <w:r>
        <w:rPr>
          <w:spacing w:val="-14"/>
        </w:rPr>
        <w:t xml:space="preserve"> </w:t>
      </w:r>
      <w:r>
        <w:t>MOFCOM</w:t>
      </w:r>
      <w:r>
        <w:rPr>
          <w:spacing w:val="-13"/>
        </w:rPr>
        <w:t xml:space="preserve"> </w:t>
      </w:r>
      <w:r>
        <w:t>acted</w:t>
      </w:r>
      <w:r>
        <w:rPr>
          <w:spacing w:val="-14"/>
        </w:rPr>
        <w:t xml:space="preserve"> </w:t>
      </w:r>
      <w:r>
        <w:t>consistently</w:t>
      </w:r>
      <w:r>
        <w:rPr>
          <w:spacing w:val="-14"/>
        </w:rPr>
        <w:t xml:space="preserve"> </w:t>
      </w:r>
      <w:r>
        <w:t>with</w:t>
      </w:r>
      <w:r>
        <w:rPr>
          <w:spacing w:val="-13"/>
        </w:rPr>
        <w:t xml:space="preserve"> </w:t>
      </w:r>
      <w:r>
        <w:t>Article 2, it would have (i) determined that dumping was not occurring, or (ii) determined far lower dumping ma</w:t>
      </w:r>
      <w:r>
        <w:t>rgins. This alone is sufficient to establish a breach of Article 9.3.</w:t>
      </w:r>
      <w:r>
        <w:rPr>
          <w:vertAlign w:val="superscript"/>
        </w:rPr>
        <w:t>887</w:t>
      </w:r>
    </w:p>
    <w:p w14:paraId="51DE93F3" w14:textId="77777777" w:rsidR="0010369C" w:rsidRDefault="008E43AE">
      <w:pPr>
        <w:pStyle w:val="Heading4"/>
        <w:numPr>
          <w:ilvl w:val="0"/>
          <w:numId w:val="2"/>
        </w:numPr>
        <w:tabs>
          <w:tab w:val="left" w:pos="2649"/>
          <w:tab w:val="left" w:pos="2650"/>
        </w:tabs>
        <w:ind w:left="2649" w:hanging="852"/>
        <w:jc w:val="both"/>
      </w:pPr>
      <w:r>
        <w:t>Consequential</w:t>
      </w:r>
      <w:r>
        <w:rPr>
          <w:spacing w:val="-13"/>
        </w:rPr>
        <w:t xml:space="preserve"> </w:t>
      </w:r>
      <w:r>
        <w:t>breach</w:t>
      </w:r>
      <w:r>
        <w:rPr>
          <w:spacing w:val="-13"/>
        </w:rPr>
        <w:t xml:space="preserve"> </w:t>
      </w:r>
      <w:r>
        <w:t>of</w:t>
      </w:r>
      <w:r>
        <w:rPr>
          <w:spacing w:val="-13"/>
        </w:rPr>
        <w:t xml:space="preserve"> </w:t>
      </w:r>
      <w:r>
        <w:t>Article</w:t>
      </w:r>
      <w:r>
        <w:rPr>
          <w:spacing w:val="-12"/>
        </w:rPr>
        <w:t xml:space="preserve"> </w:t>
      </w:r>
      <w:r>
        <w:rPr>
          <w:spacing w:val="-10"/>
        </w:rPr>
        <w:t>1</w:t>
      </w:r>
    </w:p>
    <w:p w14:paraId="51DE93F4" w14:textId="77777777" w:rsidR="0010369C" w:rsidRDefault="0010369C">
      <w:pPr>
        <w:pStyle w:val="BodyText"/>
        <w:spacing w:before="9"/>
        <w:rPr>
          <w:b/>
          <w:sz w:val="20"/>
        </w:rPr>
      </w:pPr>
    </w:p>
    <w:p w14:paraId="51DE93F5" w14:textId="77777777" w:rsidR="0010369C" w:rsidRDefault="008E43AE">
      <w:pPr>
        <w:pStyle w:val="BodyText"/>
        <w:spacing w:before="51" w:line="360" w:lineRule="auto"/>
        <w:ind w:left="237" w:right="613" w:firstLine="851"/>
        <w:jc w:val="both"/>
      </w:pPr>
      <w:r>
        <w:rPr>
          <w:noProof/>
        </w:rPr>
        <w:drawing>
          <wp:anchor distT="0" distB="0" distL="0" distR="0" simplePos="0" relativeHeight="251340288" behindDoc="1" locked="0" layoutInCell="1" allowOverlap="1" wp14:anchorId="51DEA617" wp14:editId="51DEA618">
            <wp:simplePos x="0" y="0"/>
            <wp:positionH relativeFrom="page">
              <wp:posOffset>902208</wp:posOffset>
            </wp:positionH>
            <wp:positionV relativeFrom="paragraph">
              <wp:posOffset>79960</wp:posOffset>
            </wp:positionV>
            <wp:extent cx="262127" cy="103631"/>
            <wp:effectExtent l="0" t="0" r="0" b="0"/>
            <wp:wrapNone/>
            <wp:docPr id="1441" name="image7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 name="image748.png"/>
                    <pic:cNvPicPr/>
                  </pic:nvPicPr>
                  <pic:blipFill>
                    <a:blip r:embed="rId978" cstate="print"/>
                    <a:stretch>
                      <a:fillRect/>
                    </a:stretch>
                  </pic:blipFill>
                  <pic:spPr>
                    <a:xfrm>
                      <a:off x="0" y="0"/>
                      <a:ext cx="262127" cy="103631"/>
                    </a:xfrm>
                    <a:prstGeom prst="rect">
                      <a:avLst/>
                    </a:prstGeom>
                  </pic:spPr>
                </pic:pic>
              </a:graphicData>
            </a:graphic>
          </wp:anchor>
        </w:drawing>
      </w:r>
      <w:r>
        <w:t>Article 1 of the Anti‐Dumping Agreement provides that "[a]n antidumping measure shall be applied only under the circumstances provided for in Article VI of GATT 1994 and pursuant to investigations initiated and conducted in accordance with the provisions o</w:t>
      </w:r>
      <w:r>
        <w:t>f this</w:t>
      </w:r>
    </w:p>
    <w:p w14:paraId="51DE93F6" w14:textId="77777777" w:rsidR="0010369C" w:rsidRDefault="0010369C">
      <w:pPr>
        <w:pStyle w:val="BodyText"/>
      </w:pPr>
    </w:p>
    <w:p w14:paraId="51DE93F7" w14:textId="77777777" w:rsidR="0010369C" w:rsidRDefault="0010369C">
      <w:pPr>
        <w:pStyle w:val="BodyText"/>
      </w:pPr>
    </w:p>
    <w:p w14:paraId="51DE93F8" w14:textId="77777777" w:rsidR="0010369C" w:rsidRDefault="0010369C">
      <w:pPr>
        <w:pStyle w:val="BodyText"/>
        <w:spacing w:before="5"/>
        <w:rPr>
          <w:sz w:val="30"/>
        </w:rPr>
      </w:pPr>
    </w:p>
    <w:p w14:paraId="51DE93F9" w14:textId="77777777" w:rsidR="0010369C" w:rsidRDefault="008E43AE">
      <w:pPr>
        <w:spacing w:before="1"/>
        <w:ind w:left="238"/>
        <w:rPr>
          <w:sz w:val="18"/>
        </w:rPr>
      </w:pPr>
      <w:r>
        <w:rPr>
          <w:sz w:val="18"/>
          <w:vertAlign w:val="superscript"/>
        </w:rPr>
        <w:t>883</w:t>
      </w:r>
      <w:r>
        <w:rPr>
          <w:spacing w:val="-10"/>
          <w:sz w:val="18"/>
        </w:rPr>
        <w:t xml:space="preserve"> </w:t>
      </w:r>
      <w:r>
        <w:rPr>
          <w:sz w:val="18"/>
        </w:rPr>
        <w:t>Anti‐Dumping</w:t>
      </w:r>
      <w:r>
        <w:rPr>
          <w:spacing w:val="-9"/>
          <w:sz w:val="18"/>
        </w:rPr>
        <w:t xml:space="preserve"> </w:t>
      </w:r>
      <w:r>
        <w:rPr>
          <w:sz w:val="18"/>
        </w:rPr>
        <w:t>Final</w:t>
      </w:r>
      <w:r>
        <w:rPr>
          <w:spacing w:val="-9"/>
          <w:sz w:val="18"/>
        </w:rPr>
        <w:t xml:space="preserve"> </w:t>
      </w:r>
      <w:r>
        <w:rPr>
          <w:sz w:val="18"/>
        </w:rPr>
        <w:t>Determination</w:t>
      </w:r>
      <w:r>
        <w:rPr>
          <w:spacing w:val="-8"/>
          <w:sz w:val="18"/>
        </w:rPr>
        <w:t xml:space="preserve"> </w:t>
      </w:r>
      <w:r>
        <w:rPr>
          <w:sz w:val="18"/>
        </w:rPr>
        <w:t>Announcement</w:t>
      </w:r>
      <w:r>
        <w:rPr>
          <w:spacing w:val="-10"/>
          <w:sz w:val="18"/>
        </w:rPr>
        <w:t xml:space="preserve"> </w:t>
      </w:r>
      <w:r>
        <w:rPr>
          <w:sz w:val="18"/>
        </w:rPr>
        <w:t>of</w:t>
      </w:r>
      <w:r>
        <w:rPr>
          <w:spacing w:val="-9"/>
          <w:sz w:val="18"/>
        </w:rPr>
        <w:t xml:space="preserve"> </w:t>
      </w:r>
      <w:r>
        <w:rPr>
          <w:sz w:val="18"/>
        </w:rPr>
        <w:t>2021</w:t>
      </w:r>
      <w:r>
        <w:rPr>
          <w:spacing w:val="-10"/>
          <w:sz w:val="18"/>
        </w:rPr>
        <w:t xml:space="preserve"> </w:t>
      </w:r>
      <w:r>
        <w:rPr>
          <w:sz w:val="18"/>
        </w:rPr>
        <w:t>(Exhibit</w:t>
      </w:r>
      <w:r>
        <w:rPr>
          <w:spacing w:val="-9"/>
          <w:sz w:val="18"/>
        </w:rPr>
        <w:t xml:space="preserve"> </w:t>
      </w:r>
      <w:r>
        <w:rPr>
          <w:spacing w:val="-2"/>
          <w:sz w:val="18"/>
        </w:rPr>
        <w:t>AUS‐1).</w:t>
      </w:r>
    </w:p>
    <w:p w14:paraId="51DE93FA" w14:textId="77777777" w:rsidR="0010369C" w:rsidRDefault="008E43AE">
      <w:pPr>
        <w:spacing w:before="1"/>
        <w:ind w:left="238"/>
        <w:rPr>
          <w:sz w:val="18"/>
        </w:rPr>
      </w:pPr>
      <w:r>
        <w:rPr>
          <w:sz w:val="18"/>
          <w:vertAlign w:val="superscript"/>
        </w:rPr>
        <w:t>884</w:t>
      </w:r>
      <w:r>
        <w:rPr>
          <w:spacing w:val="-6"/>
          <w:sz w:val="18"/>
        </w:rPr>
        <w:t xml:space="preserve"> </w:t>
      </w:r>
      <w:r>
        <w:rPr>
          <w:sz w:val="18"/>
        </w:rPr>
        <w:t>See</w:t>
      </w:r>
      <w:r>
        <w:rPr>
          <w:spacing w:val="-5"/>
          <w:sz w:val="18"/>
        </w:rPr>
        <w:t xml:space="preserve"> </w:t>
      </w:r>
      <w:r>
        <w:rPr>
          <w:sz w:val="18"/>
        </w:rPr>
        <w:t>above,</w:t>
      </w:r>
      <w:r>
        <w:rPr>
          <w:spacing w:val="-6"/>
          <w:sz w:val="18"/>
        </w:rPr>
        <w:t xml:space="preserve"> </w:t>
      </w:r>
      <w:r>
        <w:rPr>
          <w:sz w:val="18"/>
        </w:rPr>
        <w:t>section</w:t>
      </w:r>
      <w:r>
        <w:rPr>
          <w:spacing w:val="-5"/>
          <w:sz w:val="18"/>
        </w:rPr>
        <w:t xml:space="preserve"> II.</w:t>
      </w:r>
    </w:p>
    <w:p w14:paraId="51DE93FB" w14:textId="77777777" w:rsidR="0010369C" w:rsidRDefault="008E43AE">
      <w:pPr>
        <w:ind w:left="238"/>
        <w:rPr>
          <w:sz w:val="18"/>
        </w:rPr>
      </w:pPr>
      <w:r>
        <w:rPr>
          <w:sz w:val="18"/>
          <w:vertAlign w:val="superscript"/>
        </w:rPr>
        <w:t>885</w:t>
      </w:r>
      <w:r>
        <w:rPr>
          <w:spacing w:val="-6"/>
          <w:sz w:val="18"/>
        </w:rPr>
        <w:t xml:space="preserve"> </w:t>
      </w:r>
      <w:r>
        <w:rPr>
          <w:sz w:val="18"/>
        </w:rPr>
        <w:t>See</w:t>
      </w:r>
      <w:r>
        <w:rPr>
          <w:spacing w:val="-5"/>
          <w:sz w:val="18"/>
        </w:rPr>
        <w:t xml:space="preserve"> </w:t>
      </w:r>
      <w:r>
        <w:rPr>
          <w:sz w:val="18"/>
        </w:rPr>
        <w:t>above,</w:t>
      </w:r>
      <w:r>
        <w:rPr>
          <w:spacing w:val="-6"/>
          <w:sz w:val="18"/>
        </w:rPr>
        <w:t xml:space="preserve"> </w:t>
      </w:r>
      <w:r>
        <w:rPr>
          <w:sz w:val="18"/>
        </w:rPr>
        <w:t>section</w:t>
      </w:r>
      <w:r>
        <w:rPr>
          <w:spacing w:val="-5"/>
          <w:sz w:val="18"/>
        </w:rPr>
        <w:t xml:space="preserve"> II.</w:t>
      </w:r>
    </w:p>
    <w:p w14:paraId="51DE93FC" w14:textId="77777777" w:rsidR="0010369C" w:rsidRDefault="008E43AE">
      <w:pPr>
        <w:ind w:left="238"/>
        <w:rPr>
          <w:sz w:val="18"/>
        </w:rPr>
      </w:pPr>
      <w:r>
        <w:rPr>
          <w:sz w:val="18"/>
          <w:vertAlign w:val="superscript"/>
        </w:rPr>
        <w:t>886</w:t>
      </w:r>
      <w:r>
        <w:rPr>
          <w:spacing w:val="-6"/>
          <w:sz w:val="18"/>
        </w:rPr>
        <w:t xml:space="preserve"> </w:t>
      </w:r>
      <w:r>
        <w:rPr>
          <w:sz w:val="18"/>
        </w:rPr>
        <w:t>See</w:t>
      </w:r>
      <w:r>
        <w:rPr>
          <w:spacing w:val="-5"/>
          <w:sz w:val="18"/>
        </w:rPr>
        <w:t xml:space="preserve"> </w:t>
      </w:r>
      <w:r>
        <w:rPr>
          <w:sz w:val="18"/>
        </w:rPr>
        <w:t>above,</w:t>
      </w:r>
      <w:r>
        <w:rPr>
          <w:spacing w:val="-6"/>
          <w:sz w:val="18"/>
        </w:rPr>
        <w:t xml:space="preserve"> </w:t>
      </w:r>
      <w:r>
        <w:rPr>
          <w:sz w:val="18"/>
        </w:rPr>
        <w:t>section</w:t>
      </w:r>
      <w:r>
        <w:rPr>
          <w:spacing w:val="-5"/>
          <w:sz w:val="18"/>
        </w:rPr>
        <w:t xml:space="preserve"> </w:t>
      </w:r>
      <w:r>
        <w:rPr>
          <w:spacing w:val="-2"/>
          <w:sz w:val="18"/>
        </w:rPr>
        <w:t>II.G.4(b).</w:t>
      </w:r>
    </w:p>
    <w:p w14:paraId="51DE93FD" w14:textId="77777777" w:rsidR="0010369C" w:rsidRDefault="008E43AE">
      <w:pPr>
        <w:ind w:left="238"/>
        <w:rPr>
          <w:sz w:val="18"/>
        </w:rPr>
      </w:pPr>
      <w:r>
        <w:rPr>
          <w:sz w:val="18"/>
          <w:vertAlign w:val="superscript"/>
        </w:rPr>
        <w:t>887</w:t>
      </w:r>
      <w:r>
        <w:rPr>
          <w:spacing w:val="-6"/>
          <w:sz w:val="18"/>
        </w:rPr>
        <w:t xml:space="preserve"> </w:t>
      </w:r>
      <w:r>
        <w:rPr>
          <w:sz w:val="18"/>
        </w:rPr>
        <w:t>Appellate</w:t>
      </w:r>
      <w:r>
        <w:rPr>
          <w:spacing w:val="-6"/>
          <w:sz w:val="18"/>
        </w:rPr>
        <w:t xml:space="preserve"> </w:t>
      </w:r>
      <w:r>
        <w:rPr>
          <w:sz w:val="18"/>
        </w:rPr>
        <w:t>Body</w:t>
      </w:r>
      <w:r>
        <w:rPr>
          <w:spacing w:val="-8"/>
          <w:sz w:val="18"/>
        </w:rPr>
        <w:t xml:space="preserve"> </w:t>
      </w:r>
      <w:r>
        <w:rPr>
          <w:sz w:val="18"/>
        </w:rPr>
        <w:t>Report,</w:t>
      </w:r>
      <w:r>
        <w:rPr>
          <w:spacing w:val="-6"/>
          <w:sz w:val="18"/>
        </w:rPr>
        <w:t xml:space="preserve"> </w:t>
      </w:r>
      <w:r>
        <w:rPr>
          <w:i/>
          <w:sz w:val="18"/>
        </w:rPr>
        <w:t>EU</w:t>
      </w:r>
      <w:r>
        <w:rPr>
          <w:i/>
          <w:spacing w:val="-7"/>
          <w:sz w:val="18"/>
        </w:rPr>
        <w:t xml:space="preserve"> </w:t>
      </w:r>
      <w:r>
        <w:rPr>
          <w:i/>
          <w:sz w:val="18"/>
        </w:rPr>
        <w:t>–</w:t>
      </w:r>
      <w:r>
        <w:rPr>
          <w:i/>
          <w:spacing w:val="-6"/>
          <w:sz w:val="18"/>
        </w:rPr>
        <w:t xml:space="preserve"> </w:t>
      </w:r>
      <w:r>
        <w:rPr>
          <w:i/>
          <w:sz w:val="18"/>
        </w:rPr>
        <w:t>Biodiesel</w:t>
      </w:r>
      <w:r>
        <w:rPr>
          <w:i/>
          <w:spacing w:val="-7"/>
          <w:sz w:val="18"/>
        </w:rPr>
        <w:t xml:space="preserve"> </w:t>
      </w:r>
      <w:r>
        <w:rPr>
          <w:i/>
          <w:sz w:val="18"/>
        </w:rPr>
        <w:t>(Argentina)</w:t>
      </w:r>
      <w:r>
        <w:rPr>
          <w:sz w:val="18"/>
        </w:rPr>
        <w:t>,</w:t>
      </w:r>
      <w:r>
        <w:rPr>
          <w:spacing w:val="-6"/>
          <w:sz w:val="18"/>
        </w:rPr>
        <w:t xml:space="preserve"> </w:t>
      </w:r>
      <w:r>
        <w:rPr>
          <w:sz w:val="18"/>
        </w:rPr>
        <w:t>para.</w:t>
      </w:r>
      <w:r>
        <w:rPr>
          <w:spacing w:val="-6"/>
          <w:sz w:val="18"/>
        </w:rPr>
        <w:t xml:space="preserve"> </w:t>
      </w:r>
      <w:r>
        <w:rPr>
          <w:spacing w:val="-2"/>
          <w:sz w:val="18"/>
        </w:rPr>
        <w:t>6.104.</w:t>
      </w:r>
    </w:p>
    <w:p w14:paraId="51DE93FE" w14:textId="77777777" w:rsidR="0010369C" w:rsidRDefault="0010369C">
      <w:pPr>
        <w:rPr>
          <w:sz w:val="18"/>
        </w:rPr>
        <w:sectPr w:rsidR="0010369C">
          <w:headerReference w:type="default" r:id="rId979"/>
          <w:footerReference w:type="default" r:id="rId980"/>
          <w:pgSz w:w="11910" w:h="16840"/>
          <w:pgMar w:top="880" w:right="800" w:bottom="1340" w:left="1180" w:header="569" w:footer="1143" w:gutter="0"/>
          <w:cols w:space="720"/>
        </w:sectPr>
      </w:pPr>
    </w:p>
    <w:p w14:paraId="51DE93FF" w14:textId="77777777" w:rsidR="0010369C" w:rsidRDefault="008E43AE">
      <w:pPr>
        <w:pStyle w:val="BodyText"/>
        <w:spacing w:line="20" w:lineRule="exact"/>
        <w:ind w:left="104"/>
        <w:rPr>
          <w:sz w:val="2"/>
        </w:rPr>
      </w:pPr>
      <w:r>
        <w:rPr>
          <w:sz w:val="2"/>
        </w:rPr>
      </w:r>
      <w:r>
        <w:rPr>
          <w:sz w:val="2"/>
        </w:rPr>
        <w:pict w14:anchorId="51DEA61A">
          <v:group id="docshapegroup1217" o:spid="_x0000_s1200" style="width:464.6pt;height:1.05pt;mso-position-horizontal-relative:char;mso-position-vertical-relative:line" coordsize="9292,21">
            <v:line id="_x0000_s1201" style="position:absolute" from="0,10" to="9291,10" strokeweight=".35361mm"/>
            <w10:anchorlock/>
          </v:group>
        </w:pict>
      </w:r>
    </w:p>
    <w:p w14:paraId="51DE9400" w14:textId="77777777" w:rsidR="0010369C" w:rsidRDefault="008E43AE">
      <w:pPr>
        <w:spacing w:before="45"/>
        <w:ind w:right="357"/>
        <w:jc w:val="center"/>
        <w:rPr>
          <w:rFonts w:ascii="Arial"/>
          <w:sz w:val="21"/>
        </w:rPr>
      </w:pPr>
      <w:r>
        <w:pict w14:anchorId="51DEA61B">
          <v:shape id="docshape1218" o:spid="_x0000_s1199" style="position:absolute;left:0;text-align:left;margin-left:64.2pt;margin-top:16.1pt;width:464.6pt;height:.1pt;z-index:-250765824;mso-wrap-distance-left:0;mso-wrap-distance-right:0;mso-position-horizontal-relative:page" coordorigin="1284,322" coordsize="9292,0" path="m1284,322r9291,e" filled="f" strokeweight=".35361mm">
            <v:path arrowok="t"/>
            <w10:wrap type="topAndBottom" anchorx="page"/>
          </v:shape>
        </w:pict>
      </w:r>
      <w:r>
        <w:rPr>
          <w:rFonts w:ascii="Arial"/>
          <w:color w:val="1C1C1C"/>
          <w:w w:val="95"/>
          <w:sz w:val="21"/>
        </w:rPr>
        <w:t>Business</w:t>
      </w:r>
      <w:r>
        <w:rPr>
          <w:rFonts w:ascii="Arial"/>
          <w:color w:val="1C1C1C"/>
          <w:spacing w:val="1"/>
          <w:sz w:val="21"/>
        </w:rPr>
        <w:t xml:space="preserve"> </w:t>
      </w:r>
      <w:r>
        <w:rPr>
          <w:rFonts w:ascii="Arial"/>
          <w:color w:val="1C1C1C"/>
          <w:w w:val="95"/>
          <w:sz w:val="21"/>
        </w:rPr>
        <w:t>Confidential</w:t>
      </w:r>
      <w:r>
        <w:rPr>
          <w:rFonts w:ascii="Arial"/>
          <w:color w:val="1C1C1C"/>
          <w:spacing w:val="-2"/>
          <w:w w:val="95"/>
          <w:sz w:val="21"/>
        </w:rPr>
        <w:t xml:space="preserve"> </w:t>
      </w:r>
      <w:r>
        <w:rPr>
          <w:rFonts w:ascii="Arial"/>
          <w:color w:val="0A0A0A"/>
          <w:w w:val="95"/>
          <w:sz w:val="21"/>
        </w:rPr>
        <w:t>Information</w:t>
      </w:r>
      <w:r>
        <w:rPr>
          <w:rFonts w:ascii="Arial"/>
          <w:color w:val="0A0A0A"/>
          <w:spacing w:val="6"/>
          <w:sz w:val="21"/>
        </w:rPr>
        <w:t xml:space="preserve"> </w:t>
      </w:r>
      <w:r>
        <w:rPr>
          <w:rFonts w:ascii="Arial"/>
          <w:color w:val="1C1C1C"/>
          <w:w w:val="95"/>
          <w:sz w:val="21"/>
        </w:rPr>
        <w:t>-</w:t>
      </w:r>
      <w:r>
        <w:rPr>
          <w:rFonts w:ascii="Arial"/>
          <w:color w:val="1C1C1C"/>
          <w:spacing w:val="1"/>
          <w:sz w:val="21"/>
        </w:rPr>
        <w:t xml:space="preserve"> </w:t>
      </w:r>
      <w:r>
        <w:rPr>
          <w:rFonts w:ascii="Arial"/>
          <w:color w:val="1C1C1C"/>
          <w:spacing w:val="-2"/>
          <w:w w:val="95"/>
          <w:sz w:val="21"/>
        </w:rPr>
        <w:t>REDACTED</w:t>
      </w:r>
    </w:p>
    <w:p w14:paraId="51DE9401" w14:textId="77777777" w:rsidR="0010369C" w:rsidRDefault="008E43AE">
      <w:pPr>
        <w:tabs>
          <w:tab w:val="left" w:pos="6217"/>
        </w:tabs>
        <w:spacing w:before="21"/>
        <w:ind w:right="357"/>
        <w:jc w:val="center"/>
        <w:rPr>
          <w:rFonts w:ascii="Arial"/>
          <w:sz w:val="18"/>
        </w:rPr>
      </w:pPr>
      <w:r>
        <w:rPr>
          <w:rFonts w:ascii="Arial"/>
          <w:i/>
          <w:color w:val="1C1C1C"/>
          <w:w w:val="105"/>
          <w:sz w:val="18"/>
        </w:rPr>
        <w:t>China</w:t>
      </w:r>
      <w:r>
        <w:rPr>
          <w:rFonts w:ascii="Arial"/>
          <w:i/>
          <w:color w:val="1C1C1C"/>
          <w:spacing w:val="-17"/>
          <w:w w:val="105"/>
          <w:sz w:val="18"/>
        </w:rPr>
        <w:t xml:space="preserve"> </w:t>
      </w:r>
      <w:r>
        <w:rPr>
          <w:rFonts w:ascii="Arial"/>
          <w:i/>
          <w:color w:val="1C1C1C"/>
          <w:w w:val="105"/>
          <w:sz w:val="18"/>
        </w:rPr>
        <w:t>-Anti-Dumping</w:t>
      </w:r>
      <w:r>
        <w:rPr>
          <w:rFonts w:ascii="Arial"/>
          <w:i/>
          <w:color w:val="1C1C1C"/>
          <w:spacing w:val="-5"/>
          <w:w w:val="105"/>
          <w:sz w:val="18"/>
        </w:rPr>
        <w:t xml:space="preserve"> </w:t>
      </w:r>
      <w:r>
        <w:rPr>
          <w:rFonts w:ascii="Arial"/>
          <w:i/>
          <w:color w:val="1C1C1C"/>
          <w:w w:val="105"/>
          <w:sz w:val="18"/>
        </w:rPr>
        <w:t>and</w:t>
      </w:r>
      <w:r>
        <w:rPr>
          <w:rFonts w:ascii="Arial"/>
          <w:i/>
          <w:color w:val="1C1C1C"/>
          <w:spacing w:val="-23"/>
          <w:w w:val="105"/>
          <w:sz w:val="18"/>
        </w:rPr>
        <w:t xml:space="preserve"> </w:t>
      </w:r>
      <w:r>
        <w:rPr>
          <w:rFonts w:ascii="Arial"/>
          <w:i/>
          <w:color w:val="1C1C1C"/>
          <w:w w:val="105"/>
          <w:sz w:val="18"/>
        </w:rPr>
        <w:t>Countervailing</w:t>
      </w:r>
      <w:r>
        <w:rPr>
          <w:rFonts w:ascii="Arial"/>
          <w:i/>
          <w:color w:val="1C1C1C"/>
          <w:spacing w:val="-6"/>
          <w:w w:val="105"/>
          <w:sz w:val="18"/>
        </w:rPr>
        <w:t xml:space="preserve"> </w:t>
      </w:r>
      <w:r>
        <w:rPr>
          <w:rFonts w:ascii="Arial"/>
          <w:i/>
          <w:color w:val="1C1C1C"/>
          <w:w w:val="105"/>
          <w:sz w:val="18"/>
        </w:rPr>
        <w:t>Duty</w:t>
      </w:r>
      <w:r>
        <w:rPr>
          <w:rFonts w:ascii="Arial"/>
          <w:i/>
          <w:color w:val="1C1C1C"/>
          <w:spacing w:val="-12"/>
          <w:w w:val="105"/>
          <w:sz w:val="18"/>
        </w:rPr>
        <w:t xml:space="preserve"> </w:t>
      </w:r>
      <w:r>
        <w:rPr>
          <w:rFonts w:ascii="Arial"/>
          <w:i/>
          <w:color w:val="0A0A0A"/>
          <w:spacing w:val="-2"/>
          <w:w w:val="105"/>
          <w:sz w:val="18"/>
        </w:rPr>
        <w:t>Measures</w:t>
      </w:r>
      <w:r>
        <w:rPr>
          <w:rFonts w:ascii="Arial"/>
          <w:i/>
          <w:color w:val="0A0A0A"/>
          <w:sz w:val="18"/>
        </w:rPr>
        <w:tab/>
      </w:r>
      <w:r>
        <w:rPr>
          <w:rFonts w:ascii="Arial"/>
          <w:color w:val="1C1C1C"/>
          <w:spacing w:val="-2"/>
          <w:w w:val="105"/>
          <w:sz w:val="18"/>
        </w:rPr>
        <w:t>Australia's</w:t>
      </w:r>
      <w:r>
        <w:rPr>
          <w:rFonts w:ascii="Arial"/>
          <w:color w:val="1C1C1C"/>
          <w:spacing w:val="5"/>
          <w:w w:val="105"/>
          <w:sz w:val="18"/>
        </w:rPr>
        <w:t xml:space="preserve"> </w:t>
      </w:r>
      <w:r>
        <w:rPr>
          <w:rFonts w:ascii="Arial"/>
          <w:color w:val="0A0A0A"/>
          <w:spacing w:val="-2"/>
          <w:w w:val="105"/>
          <w:sz w:val="18"/>
        </w:rPr>
        <w:t>First</w:t>
      </w:r>
      <w:r>
        <w:rPr>
          <w:rFonts w:ascii="Arial"/>
          <w:color w:val="0A0A0A"/>
          <w:spacing w:val="1"/>
          <w:w w:val="105"/>
          <w:sz w:val="18"/>
        </w:rPr>
        <w:t xml:space="preserve"> </w:t>
      </w:r>
      <w:r>
        <w:rPr>
          <w:rFonts w:ascii="Arial"/>
          <w:color w:val="1C1C1C"/>
          <w:spacing w:val="-2"/>
          <w:w w:val="105"/>
          <w:sz w:val="18"/>
        </w:rPr>
        <w:t>Written</w:t>
      </w:r>
      <w:r>
        <w:rPr>
          <w:rFonts w:ascii="Arial"/>
          <w:color w:val="1C1C1C"/>
          <w:spacing w:val="-7"/>
          <w:w w:val="105"/>
          <w:sz w:val="18"/>
        </w:rPr>
        <w:t xml:space="preserve"> </w:t>
      </w:r>
      <w:r>
        <w:rPr>
          <w:rFonts w:ascii="Arial"/>
          <w:color w:val="1C1C1C"/>
          <w:spacing w:val="-2"/>
          <w:w w:val="105"/>
          <w:sz w:val="18"/>
        </w:rPr>
        <w:t>Submission</w:t>
      </w:r>
    </w:p>
    <w:p w14:paraId="51DE9402" w14:textId="77777777" w:rsidR="0010369C" w:rsidRDefault="008E43AE">
      <w:pPr>
        <w:tabs>
          <w:tab w:val="left" w:pos="8020"/>
        </w:tabs>
        <w:spacing w:before="44"/>
        <w:ind w:right="337"/>
        <w:jc w:val="center"/>
        <w:rPr>
          <w:rFonts w:ascii="Arial"/>
          <w:sz w:val="18"/>
        </w:rPr>
      </w:pPr>
      <w:r>
        <w:rPr>
          <w:rFonts w:ascii="Arial"/>
          <w:i/>
          <w:color w:val="1C1C1C"/>
          <w:w w:val="105"/>
          <w:sz w:val="18"/>
        </w:rPr>
        <w:t>on</w:t>
      </w:r>
      <w:r>
        <w:rPr>
          <w:rFonts w:ascii="Arial"/>
          <w:i/>
          <w:color w:val="1C1C1C"/>
          <w:spacing w:val="-11"/>
          <w:w w:val="105"/>
          <w:sz w:val="18"/>
        </w:rPr>
        <w:t xml:space="preserve"> </w:t>
      </w:r>
      <w:r>
        <w:rPr>
          <w:rFonts w:ascii="Arial"/>
          <w:i/>
          <w:color w:val="1C1C1C"/>
          <w:w w:val="105"/>
          <w:sz w:val="18"/>
        </w:rPr>
        <w:t>Winefrom Australia</w:t>
      </w:r>
      <w:r>
        <w:rPr>
          <w:rFonts w:ascii="Arial"/>
          <w:i/>
          <w:color w:val="1C1C1C"/>
          <w:spacing w:val="13"/>
          <w:w w:val="105"/>
          <w:sz w:val="18"/>
        </w:rPr>
        <w:t xml:space="preserve"> </w:t>
      </w:r>
      <w:r>
        <w:rPr>
          <w:rFonts w:ascii="Arial"/>
          <w:color w:val="1C1C1C"/>
          <w:spacing w:val="-2"/>
          <w:w w:val="105"/>
          <w:sz w:val="18"/>
        </w:rPr>
        <w:t>(0S602)</w:t>
      </w:r>
      <w:r>
        <w:rPr>
          <w:rFonts w:ascii="Arial"/>
          <w:color w:val="1C1C1C"/>
          <w:sz w:val="18"/>
        </w:rPr>
        <w:tab/>
      </w:r>
      <w:r>
        <w:rPr>
          <w:rFonts w:ascii="Arial"/>
          <w:color w:val="1C1C1C"/>
          <w:w w:val="105"/>
          <w:sz w:val="18"/>
        </w:rPr>
        <w:t>29</w:t>
      </w:r>
      <w:r>
        <w:rPr>
          <w:rFonts w:ascii="Arial"/>
          <w:color w:val="1C1C1C"/>
          <w:spacing w:val="-19"/>
          <w:w w:val="105"/>
          <w:sz w:val="18"/>
        </w:rPr>
        <w:t xml:space="preserve"> </w:t>
      </w:r>
      <w:r>
        <w:rPr>
          <w:rFonts w:ascii="Arial"/>
          <w:color w:val="1C1C1C"/>
          <w:w w:val="105"/>
          <w:sz w:val="18"/>
        </w:rPr>
        <w:t>April</w:t>
      </w:r>
      <w:r>
        <w:rPr>
          <w:rFonts w:ascii="Arial"/>
          <w:color w:val="1C1C1C"/>
          <w:spacing w:val="1"/>
          <w:w w:val="105"/>
          <w:sz w:val="18"/>
        </w:rPr>
        <w:t xml:space="preserve"> </w:t>
      </w:r>
      <w:r>
        <w:rPr>
          <w:rFonts w:ascii="Arial"/>
          <w:color w:val="1C1C1C"/>
          <w:spacing w:val="-4"/>
          <w:w w:val="105"/>
          <w:sz w:val="18"/>
        </w:rPr>
        <w:t>2022</w:t>
      </w:r>
    </w:p>
    <w:p w14:paraId="51DE9403" w14:textId="77777777" w:rsidR="0010369C" w:rsidRDefault="008E43AE">
      <w:pPr>
        <w:spacing w:before="76" w:line="424" w:lineRule="auto"/>
        <w:ind w:left="235" w:firstLine="10"/>
        <w:rPr>
          <w:rFonts w:ascii="Arial"/>
          <w:sz w:val="15"/>
        </w:rPr>
      </w:pPr>
      <w:r>
        <w:rPr>
          <w:rFonts w:ascii="Arial"/>
          <w:color w:val="0A0A0A"/>
          <w:w w:val="105"/>
          <w:sz w:val="21"/>
        </w:rPr>
        <w:t>Agreement".</w:t>
      </w:r>
      <w:r>
        <w:rPr>
          <w:rFonts w:ascii="Arial"/>
          <w:color w:val="0A0A0A"/>
          <w:spacing w:val="32"/>
          <w:w w:val="105"/>
          <w:sz w:val="21"/>
        </w:rPr>
        <w:t xml:space="preserve"> </w:t>
      </w:r>
      <w:r>
        <w:rPr>
          <w:rFonts w:ascii="Arial"/>
          <w:color w:val="1C1C1C"/>
          <w:w w:val="105"/>
          <w:sz w:val="21"/>
        </w:rPr>
        <w:t xml:space="preserve">Article </w:t>
      </w:r>
      <w:r>
        <w:rPr>
          <w:rFonts w:ascii="Arial"/>
          <w:color w:val="0A0A0A"/>
          <w:w w:val="105"/>
          <w:sz w:val="21"/>
        </w:rPr>
        <w:t>1 thereby</w:t>
      </w:r>
      <w:r>
        <w:rPr>
          <w:rFonts w:ascii="Arial"/>
          <w:color w:val="0A0A0A"/>
          <w:spacing w:val="38"/>
          <w:w w:val="105"/>
          <w:sz w:val="21"/>
        </w:rPr>
        <w:t xml:space="preserve"> </w:t>
      </w:r>
      <w:r>
        <w:rPr>
          <w:rFonts w:ascii="Arial"/>
          <w:color w:val="1C1C1C"/>
          <w:w w:val="105"/>
          <w:sz w:val="21"/>
        </w:rPr>
        <w:t>establishes</w:t>
      </w:r>
      <w:r>
        <w:rPr>
          <w:rFonts w:ascii="Arial"/>
          <w:color w:val="1C1C1C"/>
          <w:spacing w:val="35"/>
          <w:w w:val="105"/>
          <w:sz w:val="21"/>
        </w:rPr>
        <w:t xml:space="preserve"> </w:t>
      </w:r>
      <w:r>
        <w:rPr>
          <w:rFonts w:ascii="Arial"/>
          <w:color w:val="0A0A0A"/>
          <w:w w:val="105"/>
          <w:sz w:val="21"/>
        </w:rPr>
        <w:t xml:space="preserve">that the </w:t>
      </w:r>
      <w:r>
        <w:rPr>
          <w:rFonts w:ascii="Arial"/>
          <w:color w:val="1C1C1C"/>
          <w:w w:val="105"/>
          <w:sz w:val="21"/>
        </w:rPr>
        <w:t>ensuing provisions</w:t>
      </w:r>
      <w:r>
        <w:rPr>
          <w:rFonts w:ascii="Arial"/>
          <w:color w:val="1C1C1C"/>
          <w:spacing w:val="36"/>
          <w:w w:val="105"/>
          <w:sz w:val="21"/>
        </w:rPr>
        <w:t xml:space="preserve"> </w:t>
      </w:r>
      <w:r>
        <w:rPr>
          <w:rFonts w:ascii="Arial"/>
          <w:color w:val="1C1C1C"/>
          <w:w w:val="105"/>
          <w:sz w:val="21"/>
        </w:rPr>
        <w:t>of</w:t>
      </w:r>
      <w:r>
        <w:rPr>
          <w:rFonts w:ascii="Arial"/>
          <w:color w:val="1C1C1C"/>
          <w:spacing w:val="40"/>
          <w:w w:val="105"/>
          <w:sz w:val="21"/>
        </w:rPr>
        <w:t xml:space="preserve"> </w:t>
      </w:r>
      <w:r>
        <w:rPr>
          <w:rFonts w:ascii="Arial"/>
          <w:color w:val="0A0A0A"/>
          <w:w w:val="105"/>
          <w:sz w:val="21"/>
        </w:rPr>
        <w:t>the</w:t>
      </w:r>
      <w:r>
        <w:rPr>
          <w:rFonts w:ascii="Arial"/>
          <w:color w:val="0A0A0A"/>
          <w:spacing w:val="40"/>
          <w:w w:val="105"/>
          <w:sz w:val="21"/>
        </w:rPr>
        <w:t xml:space="preserve"> </w:t>
      </w:r>
      <w:r>
        <w:rPr>
          <w:rFonts w:ascii="Arial"/>
          <w:color w:val="1C1C1C"/>
          <w:w w:val="105"/>
          <w:sz w:val="21"/>
        </w:rPr>
        <w:t>Anti-Dumping Agreement govern</w:t>
      </w:r>
      <w:r>
        <w:rPr>
          <w:rFonts w:ascii="Arial"/>
          <w:color w:val="1C1C1C"/>
          <w:spacing w:val="-11"/>
          <w:w w:val="105"/>
          <w:sz w:val="21"/>
        </w:rPr>
        <w:t xml:space="preserve"> </w:t>
      </w:r>
      <w:r>
        <w:rPr>
          <w:rFonts w:ascii="Arial"/>
          <w:color w:val="1C1C1C"/>
          <w:w w:val="105"/>
          <w:sz w:val="21"/>
        </w:rPr>
        <w:t xml:space="preserve">the </w:t>
      </w:r>
      <w:r>
        <w:rPr>
          <w:rFonts w:ascii="Arial"/>
          <w:color w:val="0A0A0A"/>
          <w:w w:val="105"/>
          <w:sz w:val="21"/>
        </w:rPr>
        <w:t xml:space="preserve">application </w:t>
      </w:r>
      <w:r>
        <w:rPr>
          <w:rFonts w:ascii="Arial"/>
          <w:color w:val="1C1C1C"/>
          <w:w w:val="105"/>
          <w:sz w:val="21"/>
        </w:rPr>
        <w:t>of Article VI</w:t>
      </w:r>
      <w:r>
        <w:rPr>
          <w:rFonts w:ascii="Arial"/>
          <w:color w:val="1C1C1C"/>
          <w:spacing w:val="-1"/>
          <w:w w:val="105"/>
          <w:sz w:val="21"/>
        </w:rPr>
        <w:t xml:space="preserve"> </w:t>
      </w:r>
      <w:r>
        <w:rPr>
          <w:rFonts w:ascii="Arial"/>
          <w:color w:val="1C1C1C"/>
          <w:w w:val="105"/>
          <w:sz w:val="21"/>
        </w:rPr>
        <w:t>of GATT</w:t>
      </w:r>
      <w:r>
        <w:rPr>
          <w:rFonts w:ascii="Arial"/>
          <w:color w:val="1C1C1C"/>
          <w:spacing w:val="-2"/>
          <w:w w:val="105"/>
          <w:sz w:val="21"/>
        </w:rPr>
        <w:t xml:space="preserve"> </w:t>
      </w:r>
      <w:r>
        <w:rPr>
          <w:rFonts w:ascii="Arial"/>
          <w:color w:val="0A0A0A"/>
          <w:w w:val="105"/>
          <w:sz w:val="21"/>
        </w:rPr>
        <w:t>1994</w:t>
      </w:r>
      <w:r>
        <w:rPr>
          <w:rFonts w:ascii="Arial"/>
          <w:color w:val="0A0A0A"/>
          <w:spacing w:val="-16"/>
          <w:w w:val="105"/>
          <w:sz w:val="21"/>
        </w:rPr>
        <w:t xml:space="preserve"> </w:t>
      </w:r>
      <w:r>
        <w:rPr>
          <w:rFonts w:ascii="Arial"/>
          <w:color w:val="0A0A0A"/>
          <w:w w:val="105"/>
          <w:sz w:val="21"/>
        </w:rPr>
        <w:t>as</w:t>
      </w:r>
      <w:r>
        <w:rPr>
          <w:rFonts w:ascii="Arial"/>
          <w:color w:val="0A0A0A"/>
          <w:spacing w:val="-7"/>
          <w:w w:val="105"/>
          <w:sz w:val="21"/>
        </w:rPr>
        <w:t xml:space="preserve"> </w:t>
      </w:r>
      <w:r>
        <w:rPr>
          <w:rFonts w:ascii="Arial"/>
          <w:color w:val="1C1C1C"/>
          <w:w w:val="105"/>
          <w:sz w:val="21"/>
        </w:rPr>
        <w:t>to</w:t>
      </w:r>
      <w:r>
        <w:rPr>
          <w:rFonts w:ascii="Arial"/>
          <w:color w:val="1C1C1C"/>
          <w:spacing w:val="40"/>
          <w:w w:val="105"/>
          <w:sz w:val="21"/>
        </w:rPr>
        <w:t xml:space="preserve"> </w:t>
      </w:r>
      <w:r>
        <w:rPr>
          <w:rFonts w:ascii="Arial"/>
          <w:color w:val="1C1C1C"/>
          <w:w w:val="105"/>
          <w:sz w:val="21"/>
        </w:rPr>
        <w:t>anti-dumping</w:t>
      </w:r>
      <w:r>
        <w:rPr>
          <w:rFonts w:ascii="Arial"/>
          <w:color w:val="1C1C1C"/>
          <w:spacing w:val="-2"/>
          <w:w w:val="105"/>
          <w:sz w:val="21"/>
        </w:rPr>
        <w:t xml:space="preserve"> </w:t>
      </w:r>
      <w:r>
        <w:rPr>
          <w:rFonts w:ascii="Arial"/>
          <w:color w:val="1C1C1C"/>
          <w:w w:val="105"/>
          <w:sz w:val="21"/>
        </w:rPr>
        <w:t>action.</w:t>
      </w:r>
      <w:r>
        <w:rPr>
          <w:rFonts w:ascii="Arial"/>
          <w:color w:val="1C1C1C"/>
          <w:w w:val="105"/>
          <w:position w:val="7"/>
          <w:sz w:val="15"/>
        </w:rPr>
        <w:t>888</w:t>
      </w:r>
    </w:p>
    <w:p w14:paraId="51DE9404" w14:textId="77777777" w:rsidR="0010369C" w:rsidRDefault="008E43AE">
      <w:pPr>
        <w:tabs>
          <w:tab w:val="left" w:pos="1097"/>
        </w:tabs>
        <w:spacing w:before="173" w:line="439" w:lineRule="auto"/>
        <w:ind w:left="241" w:right="611" w:hanging="7"/>
        <w:rPr>
          <w:rFonts w:ascii="Arial"/>
          <w:sz w:val="21"/>
        </w:rPr>
      </w:pPr>
      <w:r>
        <w:rPr>
          <w:rFonts w:ascii="Arial"/>
          <w:color w:val="1C1C1C"/>
          <w:spacing w:val="-4"/>
          <w:w w:val="105"/>
          <w:sz w:val="21"/>
        </w:rPr>
        <w:t>739.</w:t>
      </w:r>
      <w:r>
        <w:rPr>
          <w:rFonts w:ascii="Arial"/>
          <w:color w:val="1C1C1C"/>
          <w:sz w:val="21"/>
        </w:rPr>
        <w:tab/>
      </w:r>
      <w:r>
        <w:rPr>
          <w:rFonts w:ascii="Arial"/>
          <w:color w:val="1C1C1C"/>
          <w:w w:val="105"/>
          <w:sz w:val="21"/>
        </w:rPr>
        <w:t>As</w:t>
      </w:r>
      <w:r>
        <w:rPr>
          <w:rFonts w:ascii="Arial"/>
          <w:color w:val="1C1C1C"/>
          <w:spacing w:val="26"/>
          <w:w w:val="105"/>
          <w:sz w:val="21"/>
        </w:rPr>
        <w:t xml:space="preserve"> </w:t>
      </w:r>
      <w:r>
        <w:rPr>
          <w:rFonts w:ascii="Arial"/>
          <w:color w:val="0A0A0A"/>
          <w:w w:val="105"/>
          <w:sz w:val="21"/>
        </w:rPr>
        <w:t>a</w:t>
      </w:r>
      <w:r>
        <w:rPr>
          <w:rFonts w:ascii="Arial"/>
          <w:color w:val="0A0A0A"/>
          <w:spacing w:val="29"/>
          <w:w w:val="105"/>
          <w:sz w:val="21"/>
        </w:rPr>
        <w:t xml:space="preserve"> </w:t>
      </w:r>
      <w:r>
        <w:rPr>
          <w:rFonts w:ascii="Arial"/>
          <w:color w:val="1C1C1C"/>
          <w:w w:val="105"/>
          <w:sz w:val="21"/>
        </w:rPr>
        <w:t>consequence</w:t>
      </w:r>
      <w:r>
        <w:rPr>
          <w:rFonts w:ascii="Arial"/>
          <w:color w:val="1C1C1C"/>
          <w:spacing w:val="40"/>
          <w:w w:val="105"/>
          <w:sz w:val="21"/>
        </w:rPr>
        <w:t xml:space="preserve"> </w:t>
      </w:r>
      <w:r>
        <w:rPr>
          <w:rFonts w:ascii="Arial"/>
          <w:color w:val="1C1C1C"/>
          <w:w w:val="105"/>
          <w:sz w:val="21"/>
        </w:rPr>
        <w:t>of</w:t>
      </w:r>
      <w:r>
        <w:rPr>
          <w:rFonts w:ascii="Arial"/>
          <w:color w:val="1C1C1C"/>
          <w:spacing w:val="40"/>
          <w:w w:val="105"/>
          <w:sz w:val="21"/>
        </w:rPr>
        <w:t xml:space="preserve"> </w:t>
      </w:r>
      <w:r>
        <w:rPr>
          <w:rFonts w:ascii="Arial"/>
          <w:color w:val="1C1C1C"/>
          <w:w w:val="105"/>
          <w:sz w:val="21"/>
        </w:rPr>
        <w:t>the</w:t>
      </w:r>
      <w:r>
        <w:rPr>
          <w:rFonts w:ascii="Arial"/>
          <w:color w:val="1C1C1C"/>
          <w:spacing w:val="40"/>
          <w:w w:val="105"/>
          <w:sz w:val="21"/>
        </w:rPr>
        <w:t xml:space="preserve"> </w:t>
      </w:r>
      <w:r>
        <w:rPr>
          <w:rFonts w:ascii="Arial"/>
          <w:color w:val="1C1C1C"/>
          <w:w w:val="105"/>
          <w:sz w:val="21"/>
        </w:rPr>
        <w:t>violations</w:t>
      </w:r>
      <w:r>
        <w:rPr>
          <w:rFonts w:ascii="Arial"/>
          <w:color w:val="1C1C1C"/>
          <w:spacing w:val="35"/>
          <w:w w:val="105"/>
          <w:sz w:val="21"/>
        </w:rPr>
        <w:t xml:space="preserve"> </w:t>
      </w:r>
      <w:r>
        <w:rPr>
          <w:rFonts w:ascii="Arial"/>
          <w:color w:val="1C1C1C"/>
          <w:w w:val="105"/>
          <w:sz w:val="21"/>
        </w:rPr>
        <w:t>of</w:t>
      </w:r>
      <w:r>
        <w:rPr>
          <w:rFonts w:ascii="Arial"/>
          <w:color w:val="1C1C1C"/>
          <w:spacing w:val="40"/>
          <w:w w:val="105"/>
          <w:sz w:val="21"/>
        </w:rPr>
        <w:t xml:space="preserve"> </w:t>
      </w:r>
      <w:r>
        <w:rPr>
          <w:rFonts w:ascii="Arial"/>
          <w:color w:val="0A0A0A"/>
          <w:w w:val="105"/>
          <w:sz w:val="21"/>
        </w:rPr>
        <w:t>the</w:t>
      </w:r>
      <w:r>
        <w:rPr>
          <w:rFonts w:ascii="Arial"/>
          <w:color w:val="0A0A0A"/>
          <w:spacing w:val="40"/>
          <w:w w:val="105"/>
          <w:sz w:val="21"/>
        </w:rPr>
        <w:t xml:space="preserve"> </w:t>
      </w:r>
      <w:r>
        <w:rPr>
          <w:rFonts w:ascii="Arial"/>
          <w:color w:val="1C1C1C"/>
          <w:w w:val="105"/>
          <w:sz w:val="21"/>
        </w:rPr>
        <w:t>Anti-Dumping</w:t>
      </w:r>
      <w:r>
        <w:rPr>
          <w:rFonts w:ascii="Arial"/>
          <w:color w:val="1C1C1C"/>
          <w:spacing w:val="40"/>
          <w:w w:val="105"/>
          <w:sz w:val="21"/>
        </w:rPr>
        <w:t xml:space="preserve"> </w:t>
      </w:r>
      <w:r>
        <w:rPr>
          <w:rFonts w:ascii="Arial"/>
          <w:color w:val="1C1C1C"/>
          <w:w w:val="105"/>
          <w:sz w:val="21"/>
        </w:rPr>
        <w:t>Agreement,</w:t>
      </w:r>
      <w:r>
        <w:rPr>
          <w:rFonts w:ascii="Arial"/>
          <w:color w:val="1C1C1C"/>
          <w:spacing w:val="36"/>
          <w:w w:val="105"/>
          <w:sz w:val="21"/>
        </w:rPr>
        <w:t xml:space="preserve"> </w:t>
      </w:r>
      <w:r>
        <w:rPr>
          <w:rFonts w:ascii="Arial"/>
          <w:color w:val="1C1C1C"/>
          <w:w w:val="105"/>
          <w:sz w:val="21"/>
        </w:rPr>
        <w:t>China</w:t>
      </w:r>
      <w:r>
        <w:rPr>
          <w:rFonts w:ascii="Arial"/>
          <w:color w:val="1C1C1C"/>
          <w:spacing w:val="40"/>
          <w:w w:val="105"/>
          <w:sz w:val="21"/>
        </w:rPr>
        <w:t xml:space="preserve"> </w:t>
      </w:r>
      <w:r>
        <w:rPr>
          <w:rFonts w:ascii="Arial"/>
          <w:color w:val="1C1C1C"/>
          <w:w w:val="105"/>
          <w:sz w:val="21"/>
        </w:rPr>
        <w:t xml:space="preserve">also </w:t>
      </w:r>
      <w:r>
        <w:rPr>
          <w:rFonts w:ascii="Arial"/>
          <w:color w:val="0A0A0A"/>
          <w:w w:val="105"/>
          <w:sz w:val="21"/>
        </w:rPr>
        <w:t xml:space="preserve">breached </w:t>
      </w:r>
      <w:r>
        <w:rPr>
          <w:rFonts w:ascii="Arial"/>
          <w:color w:val="1C1C1C"/>
          <w:w w:val="105"/>
          <w:sz w:val="21"/>
        </w:rPr>
        <w:t xml:space="preserve">Article </w:t>
      </w:r>
      <w:r>
        <w:rPr>
          <w:rFonts w:ascii="Arial"/>
          <w:color w:val="0A0A0A"/>
          <w:w w:val="105"/>
          <w:sz w:val="21"/>
        </w:rPr>
        <w:t xml:space="preserve">1 </w:t>
      </w:r>
      <w:r>
        <w:rPr>
          <w:rFonts w:ascii="Arial"/>
          <w:color w:val="1C1C1C"/>
          <w:w w:val="105"/>
          <w:sz w:val="21"/>
        </w:rPr>
        <w:t>of the Anti-Dumping Agreement.</w:t>
      </w:r>
    </w:p>
    <w:p w14:paraId="51DE9405" w14:textId="77777777" w:rsidR="0010369C" w:rsidRDefault="008E43AE">
      <w:pPr>
        <w:tabs>
          <w:tab w:val="left" w:pos="2652"/>
        </w:tabs>
        <w:spacing w:before="159"/>
        <w:ind w:left="1801"/>
        <w:rPr>
          <w:rFonts w:ascii="Arial"/>
          <w:b/>
          <w:sz w:val="21"/>
        </w:rPr>
      </w:pPr>
      <w:r>
        <w:rPr>
          <w:rFonts w:ascii="Arial"/>
          <w:b/>
          <w:color w:val="0A0A0A"/>
          <w:spacing w:val="-5"/>
          <w:sz w:val="21"/>
        </w:rPr>
        <w:t>6.</w:t>
      </w:r>
      <w:r>
        <w:rPr>
          <w:rFonts w:ascii="Arial"/>
          <w:b/>
          <w:color w:val="0A0A0A"/>
          <w:sz w:val="21"/>
        </w:rPr>
        <w:tab/>
        <w:t>Consequential</w:t>
      </w:r>
      <w:r>
        <w:rPr>
          <w:rFonts w:ascii="Arial"/>
          <w:b/>
          <w:color w:val="0A0A0A"/>
          <w:spacing w:val="-15"/>
          <w:sz w:val="21"/>
        </w:rPr>
        <w:t xml:space="preserve"> </w:t>
      </w:r>
      <w:r>
        <w:rPr>
          <w:rFonts w:ascii="Arial"/>
          <w:b/>
          <w:color w:val="0A0A0A"/>
          <w:sz w:val="21"/>
        </w:rPr>
        <w:t>breach</w:t>
      </w:r>
      <w:r>
        <w:rPr>
          <w:rFonts w:ascii="Arial"/>
          <w:b/>
          <w:color w:val="0A0A0A"/>
          <w:spacing w:val="-10"/>
          <w:sz w:val="21"/>
        </w:rPr>
        <w:t xml:space="preserve"> </w:t>
      </w:r>
      <w:r>
        <w:rPr>
          <w:rFonts w:ascii="Arial"/>
          <w:b/>
          <w:color w:val="0A0A0A"/>
          <w:sz w:val="21"/>
        </w:rPr>
        <w:t>of</w:t>
      </w:r>
      <w:r>
        <w:rPr>
          <w:rFonts w:ascii="Arial"/>
          <w:b/>
          <w:color w:val="0A0A0A"/>
          <w:spacing w:val="-12"/>
          <w:sz w:val="21"/>
        </w:rPr>
        <w:t xml:space="preserve"> </w:t>
      </w:r>
      <w:r>
        <w:rPr>
          <w:rFonts w:ascii="Arial"/>
          <w:b/>
          <w:color w:val="0A0A0A"/>
          <w:sz w:val="21"/>
        </w:rPr>
        <w:t>Article</w:t>
      </w:r>
      <w:r>
        <w:rPr>
          <w:rFonts w:ascii="Arial"/>
          <w:b/>
          <w:color w:val="0A0A0A"/>
          <w:spacing w:val="-9"/>
          <w:sz w:val="21"/>
        </w:rPr>
        <w:t xml:space="preserve"> </w:t>
      </w:r>
      <w:r>
        <w:rPr>
          <w:rFonts w:ascii="Arial"/>
          <w:b/>
          <w:color w:val="0A0A0A"/>
          <w:sz w:val="21"/>
        </w:rPr>
        <w:t>Vl:2</w:t>
      </w:r>
      <w:r>
        <w:rPr>
          <w:rFonts w:ascii="Arial"/>
          <w:b/>
          <w:color w:val="0A0A0A"/>
          <w:spacing w:val="-15"/>
          <w:sz w:val="21"/>
        </w:rPr>
        <w:t xml:space="preserve"> </w:t>
      </w:r>
      <w:r>
        <w:rPr>
          <w:rFonts w:ascii="Arial"/>
          <w:b/>
          <w:color w:val="0A0A0A"/>
          <w:sz w:val="21"/>
        </w:rPr>
        <w:t>of</w:t>
      </w:r>
      <w:r>
        <w:rPr>
          <w:rFonts w:ascii="Arial"/>
          <w:b/>
          <w:color w:val="0A0A0A"/>
          <w:spacing w:val="-18"/>
          <w:sz w:val="21"/>
        </w:rPr>
        <w:t xml:space="preserve"> </w:t>
      </w:r>
      <w:r>
        <w:rPr>
          <w:rFonts w:ascii="Arial"/>
          <w:b/>
          <w:color w:val="0A0A0A"/>
          <w:sz w:val="21"/>
        </w:rPr>
        <w:t>GATT</w:t>
      </w:r>
      <w:r>
        <w:rPr>
          <w:rFonts w:ascii="Arial"/>
          <w:b/>
          <w:color w:val="0A0A0A"/>
          <w:spacing w:val="-19"/>
          <w:sz w:val="21"/>
        </w:rPr>
        <w:t xml:space="preserve"> </w:t>
      </w:r>
      <w:r>
        <w:rPr>
          <w:rFonts w:ascii="Arial"/>
          <w:b/>
          <w:color w:val="0A0A0A"/>
          <w:spacing w:val="-4"/>
          <w:sz w:val="21"/>
        </w:rPr>
        <w:t>1994</w:t>
      </w:r>
    </w:p>
    <w:p w14:paraId="51DE9406" w14:textId="77777777" w:rsidR="0010369C" w:rsidRDefault="0010369C">
      <w:pPr>
        <w:pStyle w:val="BodyText"/>
        <w:spacing w:before="3"/>
        <w:rPr>
          <w:rFonts w:ascii="Arial"/>
          <w:b/>
          <w:sz w:val="31"/>
        </w:rPr>
      </w:pPr>
    </w:p>
    <w:p w14:paraId="51DE9407" w14:textId="77777777" w:rsidR="0010369C" w:rsidRDefault="008E43AE">
      <w:pPr>
        <w:spacing w:before="1" w:line="434" w:lineRule="auto"/>
        <w:ind w:left="236" w:right="563" w:hanging="2"/>
        <w:jc w:val="both"/>
        <w:rPr>
          <w:rFonts w:ascii="Arial"/>
          <w:sz w:val="21"/>
        </w:rPr>
      </w:pPr>
      <w:r>
        <w:rPr>
          <w:rFonts w:ascii="Arial"/>
          <w:color w:val="1C1C1C"/>
          <w:w w:val="105"/>
          <w:sz w:val="21"/>
        </w:rPr>
        <w:t>740.</w:t>
      </w:r>
      <w:r>
        <w:rPr>
          <w:rFonts w:ascii="Arial"/>
          <w:color w:val="1C1C1C"/>
          <w:spacing w:val="80"/>
          <w:w w:val="105"/>
          <w:sz w:val="21"/>
        </w:rPr>
        <w:t xml:space="preserve">  </w:t>
      </w:r>
      <w:r>
        <w:rPr>
          <w:rFonts w:ascii="Arial"/>
          <w:color w:val="1C1C1C"/>
          <w:w w:val="105"/>
          <w:sz w:val="21"/>
        </w:rPr>
        <w:t>Applying</w:t>
      </w:r>
      <w:r>
        <w:rPr>
          <w:rFonts w:ascii="Arial"/>
          <w:color w:val="1C1C1C"/>
          <w:spacing w:val="-16"/>
          <w:w w:val="105"/>
          <w:sz w:val="21"/>
        </w:rPr>
        <w:t xml:space="preserve"> </w:t>
      </w:r>
      <w:r>
        <w:rPr>
          <w:rFonts w:ascii="Arial"/>
          <w:color w:val="0A0A0A"/>
          <w:w w:val="105"/>
          <w:sz w:val="21"/>
        </w:rPr>
        <w:t xml:space="preserve">the </w:t>
      </w:r>
      <w:r>
        <w:rPr>
          <w:rFonts w:ascii="Arial"/>
          <w:color w:val="1C1C1C"/>
          <w:w w:val="105"/>
          <w:sz w:val="21"/>
        </w:rPr>
        <w:t>same</w:t>
      </w:r>
      <w:r>
        <w:rPr>
          <w:rFonts w:ascii="Arial"/>
          <w:color w:val="1C1C1C"/>
          <w:spacing w:val="-11"/>
          <w:w w:val="105"/>
          <w:sz w:val="21"/>
        </w:rPr>
        <w:t xml:space="preserve"> </w:t>
      </w:r>
      <w:r>
        <w:rPr>
          <w:rFonts w:ascii="Arial"/>
          <w:color w:val="1C1C1C"/>
          <w:w w:val="105"/>
          <w:sz w:val="21"/>
        </w:rPr>
        <w:t>considerations</w:t>
      </w:r>
      <w:r>
        <w:rPr>
          <w:rFonts w:ascii="Arial"/>
          <w:color w:val="1C1C1C"/>
          <w:spacing w:val="-16"/>
          <w:w w:val="105"/>
          <w:sz w:val="21"/>
        </w:rPr>
        <w:t xml:space="preserve"> </w:t>
      </w:r>
      <w:r>
        <w:rPr>
          <w:rFonts w:ascii="Arial"/>
          <w:color w:val="1C1C1C"/>
          <w:w w:val="105"/>
          <w:sz w:val="21"/>
        </w:rPr>
        <w:t>as</w:t>
      </w:r>
      <w:r>
        <w:rPr>
          <w:rFonts w:ascii="Arial"/>
          <w:color w:val="1C1C1C"/>
          <w:spacing w:val="-15"/>
          <w:w w:val="105"/>
          <w:sz w:val="21"/>
        </w:rPr>
        <w:t xml:space="preserve"> </w:t>
      </w:r>
      <w:r>
        <w:rPr>
          <w:rFonts w:ascii="Arial"/>
          <w:color w:val="0A0A0A"/>
          <w:w w:val="105"/>
          <w:sz w:val="21"/>
        </w:rPr>
        <w:t xml:space="preserve">to its </w:t>
      </w:r>
      <w:r>
        <w:rPr>
          <w:rFonts w:ascii="Arial"/>
          <w:color w:val="1C1C1C"/>
          <w:w w:val="105"/>
          <w:sz w:val="21"/>
        </w:rPr>
        <w:t>claim</w:t>
      </w:r>
      <w:r>
        <w:rPr>
          <w:rFonts w:ascii="Arial"/>
          <w:color w:val="1C1C1C"/>
          <w:spacing w:val="-4"/>
          <w:w w:val="105"/>
          <w:sz w:val="21"/>
        </w:rPr>
        <w:t xml:space="preserve"> </w:t>
      </w:r>
      <w:r>
        <w:rPr>
          <w:rFonts w:ascii="Arial"/>
          <w:color w:val="0A0A0A"/>
          <w:w w:val="105"/>
          <w:sz w:val="21"/>
        </w:rPr>
        <w:t>under</w:t>
      </w:r>
      <w:r>
        <w:rPr>
          <w:rFonts w:ascii="Arial"/>
          <w:color w:val="0A0A0A"/>
          <w:spacing w:val="-12"/>
          <w:w w:val="105"/>
          <w:sz w:val="21"/>
        </w:rPr>
        <w:t xml:space="preserve"> </w:t>
      </w:r>
      <w:r>
        <w:rPr>
          <w:rFonts w:ascii="Arial"/>
          <w:color w:val="1C1C1C"/>
          <w:w w:val="105"/>
          <w:sz w:val="21"/>
        </w:rPr>
        <w:t>Article</w:t>
      </w:r>
      <w:r>
        <w:rPr>
          <w:rFonts w:ascii="Arial"/>
          <w:color w:val="1C1C1C"/>
          <w:spacing w:val="-9"/>
          <w:w w:val="105"/>
          <w:sz w:val="21"/>
        </w:rPr>
        <w:t xml:space="preserve"> </w:t>
      </w:r>
      <w:r>
        <w:rPr>
          <w:rFonts w:ascii="Arial"/>
          <w:color w:val="1C1C1C"/>
          <w:w w:val="105"/>
          <w:sz w:val="21"/>
        </w:rPr>
        <w:t>9.3,</w:t>
      </w:r>
      <w:r>
        <w:rPr>
          <w:rFonts w:ascii="Times New Roman"/>
          <w:color w:val="1C1C1C"/>
          <w:w w:val="105"/>
          <w:sz w:val="21"/>
          <w:vertAlign w:val="superscript"/>
        </w:rPr>
        <w:t>889</w:t>
      </w:r>
      <w:r>
        <w:rPr>
          <w:rFonts w:ascii="Times New Roman"/>
          <w:color w:val="1C1C1C"/>
          <w:spacing w:val="-1"/>
          <w:w w:val="105"/>
          <w:sz w:val="21"/>
        </w:rPr>
        <w:t xml:space="preserve"> </w:t>
      </w:r>
      <w:r>
        <w:rPr>
          <w:rFonts w:ascii="Arial"/>
          <w:color w:val="1C1C1C"/>
          <w:w w:val="105"/>
          <w:sz w:val="21"/>
        </w:rPr>
        <w:t xml:space="preserve">Australia </w:t>
      </w:r>
      <w:r>
        <w:rPr>
          <w:rFonts w:ascii="Arial"/>
          <w:color w:val="0A0A0A"/>
          <w:w w:val="105"/>
          <w:sz w:val="21"/>
        </w:rPr>
        <w:t xml:space="preserve">further </w:t>
      </w:r>
      <w:r>
        <w:rPr>
          <w:rFonts w:ascii="Arial"/>
          <w:color w:val="1C1C1C"/>
          <w:w w:val="105"/>
          <w:sz w:val="21"/>
        </w:rPr>
        <w:t>submits</w:t>
      </w:r>
      <w:r>
        <w:rPr>
          <w:rFonts w:ascii="Arial"/>
          <w:color w:val="1C1C1C"/>
          <w:spacing w:val="40"/>
          <w:w w:val="105"/>
          <w:sz w:val="21"/>
        </w:rPr>
        <w:t xml:space="preserve"> </w:t>
      </w:r>
      <w:r>
        <w:rPr>
          <w:rFonts w:ascii="Arial"/>
          <w:color w:val="1C1C1C"/>
          <w:w w:val="105"/>
          <w:sz w:val="21"/>
        </w:rPr>
        <w:t>that</w:t>
      </w:r>
      <w:r>
        <w:rPr>
          <w:rFonts w:ascii="Arial"/>
          <w:color w:val="1C1C1C"/>
          <w:spacing w:val="40"/>
          <w:w w:val="105"/>
          <w:sz w:val="21"/>
        </w:rPr>
        <w:t xml:space="preserve"> </w:t>
      </w:r>
      <w:r>
        <w:rPr>
          <w:rFonts w:ascii="Arial"/>
          <w:color w:val="0A0A0A"/>
          <w:w w:val="105"/>
          <w:sz w:val="21"/>
        </w:rPr>
        <w:t>China</w:t>
      </w:r>
      <w:r>
        <w:rPr>
          <w:rFonts w:ascii="Arial"/>
          <w:color w:val="0A0A0A"/>
          <w:spacing w:val="80"/>
          <w:w w:val="105"/>
          <w:sz w:val="21"/>
        </w:rPr>
        <w:t xml:space="preserve"> </w:t>
      </w:r>
      <w:r>
        <w:rPr>
          <w:rFonts w:ascii="Arial"/>
          <w:color w:val="1C1C1C"/>
          <w:w w:val="105"/>
          <w:sz w:val="21"/>
        </w:rPr>
        <w:t>consequentially</w:t>
      </w:r>
      <w:r>
        <w:rPr>
          <w:rFonts w:ascii="Arial"/>
          <w:color w:val="1C1C1C"/>
          <w:spacing w:val="40"/>
          <w:w w:val="105"/>
          <w:sz w:val="21"/>
        </w:rPr>
        <w:t xml:space="preserve"> </w:t>
      </w:r>
      <w:r>
        <w:rPr>
          <w:rFonts w:ascii="Arial"/>
          <w:color w:val="0A0A0A"/>
          <w:w w:val="105"/>
          <w:sz w:val="21"/>
        </w:rPr>
        <w:t>breached</w:t>
      </w:r>
      <w:r>
        <w:rPr>
          <w:rFonts w:ascii="Arial"/>
          <w:color w:val="0A0A0A"/>
          <w:spacing w:val="80"/>
          <w:w w:val="105"/>
          <w:sz w:val="21"/>
        </w:rPr>
        <w:t xml:space="preserve"> </w:t>
      </w:r>
      <w:r>
        <w:rPr>
          <w:rFonts w:ascii="Arial"/>
          <w:color w:val="1C1C1C"/>
          <w:w w:val="105"/>
          <w:sz w:val="21"/>
        </w:rPr>
        <w:t>Article</w:t>
      </w:r>
      <w:r>
        <w:rPr>
          <w:rFonts w:ascii="Arial"/>
          <w:color w:val="1C1C1C"/>
          <w:spacing w:val="80"/>
          <w:w w:val="105"/>
          <w:sz w:val="21"/>
        </w:rPr>
        <w:t xml:space="preserve"> </w:t>
      </w:r>
      <w:r>
        <w:rPr>
          <w:rFonts w:ascii="Arial"/>
          <w:color w:val="1C1C1C"/>
          <w:w w:val="105"/>
          <w:sz w:val="21"/>
        </w:rPr>
        <w:t>Vl:2</w:t>
      </w:r>
      <w:r>
        <w:rPr>
          <w:rFonts w:ascii="Arial"/>
          <w:color w:val="1C1C1C"/>
          <w:spacing w:val="40"/>
          <w:w w:val="105"/>
          <w:sz w:val="21"/>
        </w:rPr>
        <w:t xml:space="preserve"> </w:t>
      </w:r>
      <w:r>
        <w:rPr>
          <w:rFonts w:ascii="Arial"/>
          <w:color w:val="1C1C1C"/>
          <w:w w:val="105"/>
          <w:sz w:val="21"/>
        </w:rPr>
        <w:t>of</w:t>
      </w:r>
      <w:r>
        <w:rPr>
          <w:rFonts w:ascii="Arial"/>
          <w:color w:val="1C1C1C"/>
          <w:spacing w:val="80"/>
          <w:w w:val="105"/>
          <w:sz w:val="21"/>
        </w:rPr>
        <w:t xml:space="preserve"> </w:t>
      </w:r>
      <w:r>
        <w:rPr>
          <w:rFonts w:ascii="Arial"/>
          <w:color w:val="1C1C1C"/>
          <w:w w:val="105"/>
          <w:sz w:val="21"/>
        </w:rPr>
        <w:t>GATT</w:t>
      </w:r>
      <w:r>
        <w:rPr>
          <w:rFonts w:ascii="Arial"/>
          <w:color w:val="1C1C1C"/>
          <w:spacing w:val="40"/>
          <w:w w:val="105"/>
          <w:sz w:val="21"/>
        </w:rPr>
        <w:t xml:space="preserve"> </w:t>
      </w:r>
      <w:r>
        <w:rPr>
          <w:rFonts w:ascii="Arial"/>
          <w:color w:val="1C1C1C"/>
          <w:w w:val="105"/>
          <w:sz w:val="21"/>
        </w:rPr>
        <w:t>1994</w:t>
      </w:r>
      <w:r>
        <w:rPr>
          <w:rFonts w:ascii="Arial"/>
          <w:color w:val="1C1C1C"/>
          <w:spacing w:val="40"/>
          <w:w w:val="105"/>
          <w:sz w:val="21"/>
        </w:rPr>
        <w:t xml:space="preserve"> </w:t>
      </w:r>
      <w:r>
        <w:rPr>
          <w:rFonts w:ascii="Arial"/>
          <w:color w:val="0A0A0A"/>
          <w:w w:val="105"/>
          <w:sz w:val="21"/>
        </w:rPr>
        <w:t>by</w:t>
      </w:r>
      <w:r>
        <w:rPr>
          <w:rFonts w:ascii="Arial"/>
          <w:color w:val="0A0A0A"/>
          <w:spacing w:val="40"/>
          <w:w w:val="105"/>
          <w:sz w:val="21"/>
        </w:rPr>
        <w:t xml:space="preserve"> </w:t>
      </w:r>
      <w:r>
        <w:rPr>
          <w:rFonts w:ascii="Arial"/>
          <w:color w:val="1C1C1C"/>
          <w:w w:val="105"/>
          <w:sz w:val="21"/>
        </w:rPr>
        <w:t xml:space="preserve">imposing anti-dumping </w:t>
      </w:r>
      <w:r>
        <w:rPr>
          <w:rFonts w:ascii="Arial"/>
          <w:color w:val="0A0A0A"/>
          <w:w w:val="105"/>
          <w:sz w:val="21"/>
        </w:rPr>
        <w:t xml:space="preserve">duties in </w:t>
      </w:r>
      <w:r>
        <w:rPr>
          <w:rFonts w:ascii="Arial"/>
          <w:color w:val="1C1C1C"/>
          <w:w w:val="105"/>
          <w:sz w:val="21"/>
        </w:rPr>
        <w:t>excess of the</w:t>
      </w:r>
      <w:r>
        <w:rPr>
          <w:rFonts w:ascii="Arial"/>
          <w:color w:val="1C1C1C"/>
          <w:spacing w:val="40"/>
          <w:w w:val="105"/>
          <w:sz w:val="21"/>
        </w:rPr>
        <w:t xml:space="preserve"> </w:t>
      </w:r>
      <w:r>
        <w:rPr>
          <w:rFonts w:ascii="Arial"/>
          <w:color w:val="1C1C1C"/>
          <w:w w:val="105"/>
          <w:sz w:val="21"/>
        </w:rPr>
        <w:t xml:space="preserve">dumping </w:t>
      </w:r>
      <w:r>
        <w:rPr>
          <w:rFonts w:ascii="Arial"/>
          <w:color w:val="0A0A0A"/>
          <w:w w:val="105"/>
          <w:sz w:val="21"/>
        </w:rPr>
        <w:t xml:space="preserve">margin </w:t>
      </w:r>
      <w:r>
        <w:rPr>
          <w:rFonts w:ascii="Arial"/>
          <w:color w:val="1C1C1C"/>
          <w:w w:val="105"/>
          <w:sz w:val="21"/>
        </w:rPr>
        <w:t>that would have been determined consistently with Article Vl:l.</w:t>
      </w:r>
    </w:p>
    <w:p w14:paraId="51DE9408" w14:textId="77777777" w:rsidR="0010369C" w:rsidRDefault="008E43AE">
      <w:pPr>
        <w:tabs>
          <w:tab w:val="left" w:pos="1951"/>
        </w:tabs>
        <w:spacing w:before="179"/>
        <w:ind w:left="1098"/>
        <w:rPr>
          <w:rFonts w:ascii="Arial"/>
          <w:b/>
          <w:sz w:val="18"/>
        </w:rPr>
      </w:pPr>
      <w:r>
        <w:rPr>
          <w:rFonts w:ascii="Times New Roman"/>
          <w:b/>
          <w:color w:val="0A0A0A"/>
          <w:spacing w:val="-5"/>
          <w:w w:val="115"/>
          <w:sz w:val="25"/>
        </w:rPr>
        <w:t>8.</w:t>
      </w:r>
      <w:r>
        <w:rPr>
          <w:rFonts w:ascii="Times New Roman"/>
          <w:b/>
          <w:color w:val="0A0A0A"/>
          <w:sz w:val="25"/>
        </w:rPr>
        <w:tab/>
      </w:r>
      <w:r>
        <w:rPr>
          <w:rFonts w:ascii="Arial"/>
          <w:b/>
          <w:color w:val="0A0A0A"/>
          <w:spacing w:val="-2"/>
          <w:w w:val="115"/>
          <w:sz w:val="18"/>
        </w:rPr>
        <w:t>CONCLUSION</w:t>
      </w:r>
    </w:p>
    <w:p w14:paraId="51DE9409" w14:textId="77777777" w:rsidR="0010369C" w:rsidRDefault="0010369C">
      <w:pPr>
        <w:pStyle w:val="BodyText"/>
        <w:spacing w:before="2"/>
        <w:rPr>
          <w:rFonts w:ascii="Arial"/>
          <w:b/>
          <w:sz w:val="32"/>
        </w:rPr>
      </w:pPr>
    </w:p>
    <w:p w14:paraId="51DE940A" w14:textId="77777777" w:rsidR="0010369C" w:rsidRDefault="008E43AE">
      <w:pPr>
        <w:tabs>
          <w:tab w:val="left" w:pos="1090"/>
        </w:tabs>
        <w:spacing w:line="439" w:lineRule="auto"/>
        <w:ind w:left="237" w:right="460" w:hanging="3"/>
        <w:rPr>
          <w:rFonts w:ascii="Arial"/>
          <w:sz w:val="21"/>
        </w:rPr>
      </w:pPr>
      <w:r>
        <w:rPr>
          <w:rFonts w:ascii="Arial"/>
          <w:color w:val="1C1C1C"/>
          <w:spacing w:val="-4"/>
          <w:w w:val="110"/>
          <w:sz w:val="21"/>
        </w:rPr>
        <w:t>741.</w:t>
      </w:r>
      <w:r>
        <w:rPr>
          <w:rFonts w:ascii="Arial"/>
          <w:color w:val="1C1C1C"/>
          <w:sz w:val="21"/>
        </w:rPr>
        <w:tab/>
      </w:r>
      <w:r>
        <w:rPr>
          <w:rFonts w:ascii="Arial"/>
          <w:color w:val="0A0A0A"/>
          <w:w w:val="110"/>
          <w:sz w:val="21"/>
        </w:rPr>
        <w:t>For</w:t>
      </w:r>
      <w:r>
        <w:rPr>
          <w:rFonts w:ascii="Arial"/>
          <w:color w:val="0A0A0A"/>
          <w:spacing w:val="40"/>
          <w:w w:val="110"/>
          <w:sz w:val="21"/>
        </w:rPr>
        <w:t xml:space="preserve"> </w:t>
      </w:r>
      <w:r>
        <w:rPr>
          <w:rFonts w:ascii="Arial"/>
          <w:color w:val="0A0A0A"/>
          <w:w w:val="110"/>
          <w:sz w:val="21"/>
        </w:rPr>
        <w:t>the</w:t>
      </w:r>
      <w:r>
        <w:rPr>
          <w:rFonts w:ascii="Arial"/>
          <w:color w:val="0A0A0A"/>
          <w:spacing w:val="80"/>
          <w:w w:val="110"/>
          <w:sz w:val="21"/>
        </w:rPr>
        <w:t xml:space="preserve"> </w:t>
      </w:r>
      <w:r>
        <w:rPr>
          <w:rFonts w:ascii="Arial"/>
          <w:color w:val="0A0A0A"/>
          <w:w w:val="110"/>
          <w:sz w:val="21"/>
        </w:rPr>
        <w:t>reasons</w:t>
      </w:r>
      <w:r>
        <w:rPr>
          <w:rFonts w:ascii="Arial"/>
          <w:color w:val="0A0A0A"/>
          <w:spacing w:val="75"/>
          <w:w w:val="110"/>
          <w:sz w:val="21"/>
        </w:rPr>
        <w:t xml:space="preserve"> </w:t>
      </w:r>
      <w:r>
        <w:rPr>
          <w:rFonts w:ascii="Arial"/>
          <w:color w:val="1C1C1C"/>
          <w:w w:val="110"/>
          <w:sz w:val="21"/>
        </w:rPr>
        <w:t>set</w:t>
      </w:r>
      <w:r>
        <w:rPr>
          <w:rFonts w:ascii="Arial"/>
          <w:color w:val="1C1C1C"/>
          <w:spacing w:val="40"/>
          <w:w w:val="110"/>
          <w:sz w:val="21"/>
        </w:rPr>
        <w:t xml:space="preserve"> </w:t>
      </w:r>
      <w:r>
        <w:rPr>
          <w:rFonts w:ascii="Arial"/>
          <w:color w:val="1C1C1C"/>
          <w:w w:val="110"/>
          <w:sz w:val="21"/>
        </w:rPr>
        <w:t>out</w:t>
      </w:r>
      <w:r>
        <w:rPr>
          <w:rFonts w:ascii="Arial"/>
          <w:color w:val="1C1C1C"/>
          <w:spacing w:val="80"/>
          <w:w w:val="110"/>
          <w:sz w:val="21"/>
        </w:rPr>
        <w:t xml:space="preserve"> </w:t>
      </w:r>
      <w:r>
        <w:rPr>
          <w:rFonts w:ascii="Arial"/>
          <w:color w:val="1C1C1C"/>
          <w:w w:val="110"/>
          <w:sz w:val="21"/>
        </w:rPr>
        <w:t>above,</w:t>
      </w:r>
      <w:r>
        <w:rPr>
          <w:rFonts w:ascii="Arial"/>
          <w:color w:val="1C1C1C"/>
          <w:spacing w:val="40"/>
          <w:w w:val="110"/>
          <w:sz w:val="21"/>
        </w:rPr>
        <w:t xml:space="preserve"> </w:t>
      </w:r>
      <w:r>
        <w:rPr>
          <w:rFonts w:ascii="Arial"/>
          <w:color w:val="1C1C1C"/>
          <w:w w:val="110"/>
          <w:sz w:val="21"/>
        </w:rPr>
        <w:t>Australia</w:t>
      </w:r>
      <w:r>
        <w:rPr>
          <w:rFonts w:ascii="Arial"/>
          <w:color w:val="1C1C1C"/>
          <w:spacing w:val="74"/>
          <w:w w:val="110"/>
          <w:sz w:val="21"/>
        </w:rPr>
        <w:t xml:space="preserve"> </w:t>
      </w:r>
      <w:r>
        <w:rPr>
          <w:rFonts w:ascii="Arial"/>
          <w:color w:val="1C1C1C"/>
          <w:w w:val="110"/>
          <w:sz w:val="21"/>
        </w:rPr>
        <w:t>has</w:t>
      </w:r>
      <w:r>
        <w:rPr>
          <w:rFonts w:ascii="Arial"/>
          <w:color w:val="1C1C1C"/>
          <w:spacing w:val="40"/>
          <w:w w:val="110"/>
          <w:sz w:val="21"/>
        </w:rPr>
        <w:t xml:space="preserve"> </w:t>
      </w:r>
      <w:r>
        <w:rPr>
          <w:rFonts w:ascii="Arial"/>
          <w:color w:val="1C1C1C"/>
          <w:w w:val="110"/>
          <w:sz w:val="21"/>
        </w:rPr>
        <w:t>established</w:t>
      </w:r>
      <w:r>
        <w:rPr>
          <w:rFonts w:ascii="Arial"/>
          <w:color w:val="1C1C1C"/>
          <w:spacing w:val="40"/>
          <w:w w:val="110"/>
          <w:sz w:val="21"/>
        </w:rPr>
        <w:t xml:space="preserve"> </w:t>
      </w:r>
      <w:r>
        <w:rPr>
          <w:rFonts w:ascii="Arial"/>
          <w:color w:val="0A0A0A"/>
          <w:w w:val="110"/>
          <w:sz w:val="21"/>
        </w:rPr>
        <w:t>that</w:t>
      </w:r>
      <w:r>
        <w:rPr>
          <w:rFonts w:ascii="Arial"/>
          <w:color w:val="0A0A0A"/>
          <w:spacing w:val="40"/>
          <w:w w:val="110"/>
          <w:sz w:val="21"/>
        </w:rPr>
        <w:t xml:space="preserve"> </w:t>
      </w:r>
      <w:r>
        <w:rPr>
          <w:rFonts w:ascii="Arial"/>
          <w:color w:val="1C1C1C"/>
          <w:w w:val="110"/>
          <w:sz w:val="21"/>
        </w:rPr>
        <w:t>China</w:t>
      </w:r>
      <w:r>
        <w:rPr>
          <w:rFonts w:ascii="Arial"/>
          <w:color w:val="1C1C1C"/>
          <w:spacing w:val="76"/>
          <w:w w:val="110"/>
          <w:sz w:val="21"/>
        </w:rPr>
        <w:t xml:space="preserve"> </w:t>
      </w:r>
      <w:r>
        <w:rPr>
          <w:rFonts w:ascii="Arial"/>
          <w:color w:val="1C1C1C"/>
          <w:w w:val="110"/>
          <w:sz w:val="21"/>
        </w:rPr>
        <w:t xml:space="preserve">acted </w:t>
      </w:r>
      <w:r>
        <w:rPr>
          <w:rFonts w:ascii="Arial"/>
          <w:color w:val="1C1C1C"/>
          <w:spacing w:val="-2"/>
          <w:w w:val="110"/>
          <w:sz w:val="21"/>
        </w:rPr>
        <w:t>inconsistently</w:t>
      </w:r>
      <w:r>
        <w:rPr>
          <w:rFonts w:ascii="Arial"/>
          <w:color w:val="1C1C1C"/>
          <w:spacing w:val="-35"/>
          <w:w w:val="110"/>
          <w:sz w:val="21"/>
        </w:rPr>
        <w:t xml:space="preserve"> </w:t>
      </w:r>
      <w:r>
        <w:rPr>
          <w:rFonts w:ascii="Arial"/>
          <w:color w:val="1C1C1C"/>
          <w:spacing w:val="-2"/>
          <w:w w:val="110"/>
          <w:sz w:val="21"/>
        </w:rPr>
        <w:t>with</w:t>
      </w:r>
      <w:r>
        <w:rPr>
          <w:rFonts w:ascii="Arial"/>
          <w:color w:val="1C1C1C"/>
          <w:spacing w:val="-14"/>
          <w:w w:val="110"/>
          <w:sz w:val="21"/>
        </w:rPr>
        <w:t xml:space="preserve"> </w:t>
      </w:r>
      <w:r>
        <w:rPr>
          <w:rFonts w:ascii="Arial"/>
          <w:color w:val="1C1C1C"/>
          <w:spacing w:val="-2"/>
          <w:w w:val="110"/>
          <w:sz w:val="21"/>
        </w:rPr>
        <w:t>Articles</w:t>
      </w:r>
      <w:r>
        <w:rPr>
          <w:rFonts w:ascii="Arial"/>
          <w:color w:val="1C1C1C"/>
          <w:spacing w:val="-23"/>
          <w:w w:val="110"/>
          <w:sz w:val="21"/>
        </w:rPr>
        <w:t xml:space="preserve"> </w:t>
      </w:r>
      <w:r>
        <w:rPr>
          <w:rFonts w:ascii="Arial"/>
          <w:color w:val="0A0A0A"/>
          <w:spacing w:val="-2"/>
          <w:w w:val="110"/>
          <w:sz w:val="21"/>
        </w:rPr>
        <w:t>1,</w:t>
      </w:r>
      <w:r>
        <w:rPr>
          <w:rFonts w:ascii="Arial"/>
          <w:color w:val="0A0A0A"/>
          <w:spacing w:val="-13"/>
          <w:w w:val="110"/>
          <w:sz w:val="21"/>
        </w:rPr>
        <w:t xml:space="preserve"> </w:t>
      </w:r>
      <w:r>
        <w:rPr>
          <w:rFonts w:ascii="Arial"/>
          <w:color w:val="1C1C1C"/>
          <w:spacing w:val="-2"/>
          <w:w w:val="110"/>
          <w:sz w:val="21"/>
        </w:rPr>
        <w:t>9.1,</w:t>
      </w:r>
      <w:r>
        <w:rPr>
          <w:rFonts w:ascii="Arial"/>
          <w:color w:val="1C1C1C"/>
          <w:spacing w:val="-19"/>
          <w:w w:val="110"/>
          <w:sz w:val="21"/>
        </w:rPr>
        <w:t xml:space="preserve"> </w:t>
      </w:r>
      <w:r>
        <w:rPr>
          <w:rFonts w:ascii="Arial"/>
          <w:color w:val="1C1C1C"/>
          <w:spacing w:val="-2"/>
          <w:w w:val="110"/>
          <w:sz w:val="21"/>
        </w:rPr>
        <w:t>9.2</w:t>
      </w:r>
      <w:r>
        <w:rPr>
          <w:rFonts w:ascii="Arial"/>
          <w:color w:val="1C1C1C"/>
          <w:spacing w:val="-11"/>
          <w:w w:val="110"/>
          <w:sz w:val="21"/>
        </w:rPr>
        <w:t xml:space="preserve"> </w:t>
      </w:r>
      <w:r>
        <w:rPr>
          <w:rFonts w:ascii="Arial"/>
          <w:color w:val="1C1C1C"/>
          <w:spacing w:val="-2"/>
          <w:w w:val="110"/>
          <w:sz w:val="21"/>
        </w:rPr>
        <w:t>and</w:t>
      </w:r>
      <w:r>
        <w:rPr>
          <w:rFonts w:ascii="Arial"/>
          <w:color w:val="1C1C1C"/>
          <w:spacing w:val="-15"/>
          <w:w w:val="110"/>
          <w:sz w:val="21"/>
        </w:rPr>
        <w:t xml:space="preserve"> </w:t>
      </w:r>
      <w:r>
        <w:rPr>
          <w:rFonts w:ascii="Arial"/>
          <w:color w:val="1C1C1C"/>
          <w:spacing w:val="-2"/>
          <w:w w:val="110"/>
          <w:sz w:val="21"/>
        </w:rPr>
        <w:t>9.3</w:t>
      </w:r>
      <w:r>
        <w:rPr>
          <w:rFonts w:ascii="Arial"/>
          <w:color w:val="1C1C1C"/>
          <w:spacing w:val="-17"/>
          <w:w w:val="110"/>
          <w:sz w:val="21"/>
        </w:rPr>
        <w:t xml:space="preserve"> </w:t>
      </w:r>
      <w:r>
        <w:rPr>
          <w:rFonts w:ascii="Arial"/>
          <w:color w:val="1C1C1C"/>
          <w:spacing w:val="-2"/>
          <w:w w:val="110"/>
          <w:sz w:val="21"/>
        </w:rPr>
        <w:t>of the Anti-Dumping</w:t>
      </w:r>
      <w:r>
        <w:rPr>
          <w:rFonts w:ascii="Arial"/>
          <w:color w:val="1C1C1C"/>
          <w:spacing w:val="-4"/>
          <w:w w:val="110"/>
          <w:sz w:val="21"/>
        </w:rPr>
        <w:t xml:space="preserve"> </w:t>
      </w:r>
      <w:r>
        <w:rPr>
          <w:rFonts w:ascii="Arial"/>
          <w:color w:val="1C1C1C"/>
          <w:spacing w:val="-2"/>
          <w:w w:val="110"/>
          <w:sz w:val="21"/>
        </w:rPr>
        <w:t>Agreement and</w:t>
      </w:r>
      <w:r>
        <w:rPr>
          <w:rFonts w:ascii="Arial"/>
          <w:color w:val="1C1C1C"/>
          <w:spacing w:val="-15"/>
          <w:w w:val="110"/>
          <w:sz w:val="21"/>
        </w:rPr>
        <w:t xml:space="preserve"> </w:t>
      </w:r>
      <w:r>
        <w:rPr>
          <w:rFonts w:ascii="Arial"/>
          <w:color w:val="1C1C1C"/>
          <w:spacing w:val="-2"/>
          <w:w w:val="110"/>
          <w:sz w:val="21"/>
        </w:rPr>
        <w:t>Article</w:t>
      </w:r>
      <w:r>
        <w:rPr>
          <w:rFonts w:ascii="Arial"/>
          <w:color w:val="1C1C1C"/>
          <w:spacing w:val="-11"/>
          <w:w w:val="110"/>
          <w:sz w:val="21"/>
        </w:rPr>
        <w:t xml:space="preserve"> </w:t>
      </w:r>
      <w:r>
        <w:rPr>
          <w:rFonts w:ascii="Arial"/>
          <w:color w:val="1C1C1C"/>
          <w:spacing w:val="-2"/>
          <w:w w:val="110"/>
          <w:sz w:val="21"/>
        </w:rPr>
        <w:t xml:space="preserve">Vl:2 </w:t>
      </w:r>
      <w:r>
        <w:rPr>
          <w:rFonts w:ascii="Arial"/>
          <w:color w:val="1C1C1C"/>
          <w:w w:val="110"/>
          <w:sz w:val="21"/>
        </w:rPr>
        <w:t xml:space="preserve">of </w:t>
      </w:r>
      <w:r>
        <w:rPr>
          <w:rFonts w:ascii="Arial"/>
          <w:color w:val="0A0A0A"/>
          <w:w w:val="110"/>
          <w:sz w:val="21"/>
        </w:rPr>
        <w:t xml:space="preserve">the </w:t>
      </w:r>
      <w:r>
        <w:rPr>
          <w:rFonts w:ascii="Arial"/>
          <w:color w:val="1C1C1C"/>
          <w:w w:val="110"/>
          <w:sz w:val="21"/>
        </w:rPr>
        <w:t>GATT</w:t>
      </w:r>
      <w:r>
        <w:rPr>
          <w:rFonts w:ascii="Arial"/>
          <w:color w:val="1C1C1C"/>
          <w:spacing w:val="-16"/>
          <w:w w:val="110"/>
          <w:sz w:val="21"/>
        </w:rPr>
        <w:t xml:space="preserve"> </w:t>
      </w:r>
      <w:r>
        <w:rPr>
          <w:rFonts w:ascii="Arial"/>
          <w:color w:val="1C1C1C"/>
          <w:w w:val="110"/>
          <w:sz w:val="21"/>
        </w:rPr>
        <w:t>1994.</w:t>
      </w:r>
    </w:p>
    <w:p w14:paraId="51DE940B" w14:textId="77777777" w:rsidR="0010369C" w:rsidRDefault="0010369C">
      <w:pPr>
        <w:pStyle w:val="BodyText"/>
        <w:rPr>
          <w:rFonts w:ascii="Arial"/>
        </w:rPr>
      </w:pPr>
    </w:p>
    <w:p w14:paraId="51DE940C" w14:textId="77777777" w:rsidR="0010369C" w:rsidRDefault="008E43AE">
      <w:pPr>
        <w:pStyle w:val="ListParagraph"/>
        <w:numPr>
          <w:ilvl w:val="0"/>
          <w:numId w:val="75"/>
        </w:numPr>
        <w:tabs>
          <w:tab w:val="left" w:pos="1097"/>
          <w:tab w:val="left" w:pos="1098"/>
          <w:tab w:val="left" w:pos="2892"/>
          <w:tab w:val="left" w:pos="4066"/>
          <w:tab w:val="left" w:pos="5938"/>
          <w:tab w:val="left" w:pos="6690"/>
          <w:tab w:val="left" w:pos="8281"/>
          <w:tab w:val="left" w:pos="8878"/>
        </w:tabs>
        <w:spacing w:before="184" w:line="463" w:lineRule="auto"/>
        <w:ind w:left="1091" w:right="573" w:hanging="848"/>
        <w:jc w:val="left"/>
        <w:rPr>
          <w:rFonts w:ascii="Arial"/>
          <w:b/>
          <w:color w:val="0A0A0A"/>
          <w:sz w:val="23"/>
        </w:rPr>
      </w:pPr>
      <w:r>
        <w:rPr>
          <w:rFonts w:ascii="Arial"/>
          <w:b/>
          <w:color w:val="0A0A0A"/>
          <w:spacing w:val="-2"/>
          <w:sz w:val="23"/>
        </w:rPr>
        <w:t>AUSTRALIA'S</w:t>
      </w:r>
      <w:r>
        <w:rPr>
          <w:rFonts w:ascii="Arial"/>
          <w:b/>
          <w:color w:val="0A0A0A"/>
          <w:sz w:val="23"/>
        </w:rPr>
        <w:tab/>
      </w:r>
      <w:r>
        <w:rPr>
          <w:rFonts w:ascii="Arial"/>
          <w:b/>
          <w:color w:val="0A0A0A"/>
          <w:spacing w:val="-2"/>
          <w:sz w:val="23"/>
        </w:rPr>
        <w:t>CLAIMS</w:t>
      </w:r>
      <w:r>
        <w:rPr>
          <w:rFonts w:ascii="Arial"/>
          <w:b/>
          <w:color w:val="0A0A0A"/>
          <w:sz w:val="23"/>
        </w:rPr>
        <w:tab/>
      </w:r>
      <w:r>
        <w:rPr>
          <w:rFonts w:ascii="Arial"/>
          <w:b/>
          <w:color w:val="0A0A0A"/>
          <w:spacing w:val="-2"/>
          <w:sz w:val="23"/>
        </w:rPr>
        <w:t>CONCERNING</w:t>
      </w:r>
      <w:r>
        <w:rPr>
          <w:rFonts w:ascii="Arial"/>
          <w:b/>
          <w:color w:val="0A0A0A"/>
          <w:sz w:val="23"/>
        </w:rPr>
        <w:tab/>
      </w:r>
      <w:r>
        <w:rPr>
          <w:rFonts w:ascii="Arial"/>
          <w:b/>
          <w:color w:val="0A0A0A"/>
          <w:spacing w:val="-4"/>
          <w:sz w:val="23"/>
        </w:rPr>
        <w:t>THE</w:t>
      </w:r>
      <w:r>
        <w:rPr>
          <w:rFonts w:ascii="Arial"/>
          <w:b/>
          <w:color w:val="0A0A0A"/>
          <w:sz w:val="23"/>
        </w:rPr>
        <w:tab/>
      </w:r>
      <w:r>
        <w:rPr>
          <w:rFonts w:ascii="Arial"/>
          <w:b/>
          <w:color w:val="0A0A0A"/>
          <w:spacing w:val="-2"/>
          <w:sz w:val="23"/>
        </w:rPr>
        <w:t>INITIATION</w:t>
      </w:r>
      <w:r>
        <w:rPr>
          <w:rFonts w:ascii="Arial"/>
          <w:b/>
          <w:color w:val="0A0A0A"/>
          <w:sz w:val="23"/>
        </w:rPr>
        <w:tab/>
      </w:r>
      <w:r>
        <w:rPr>
          <w:rFonts w:ascii="Arial"/>
          <w:b/>
          <w:color w:val="0A0A0A"/>
          <w:spacing w:val="-6"/>
          <w:sz w:val="23"/>
        </w:rPr>
        <w:t>OF</w:t>
      </w:r>
      <w:r>
        <w:rPr>
          <w:rFonts w:ascii="Arial"/>
          <w:b/>
          <w:color w:val="0A0A0A"/>
          <w:sz w:val="23"/>
        </w:rPr>
        <w:tab/>
      </w:r>
      <w:r>
        <w:rPr>
          <w:rFonts w:ascii="Arial"/>
          <w:b/>
          <w:color w:val="0A0A0A"/>
          <w:spacing w:val="-4"/>
          <w:sz w:val="23"/>
        </w:rPr>
        <w:t xml:space="preserve">THE </w:t>
      </w:r>
      <w:r>
        <w:rPr>
          <w:rFonts w:ascii="Arial"/>
          <w:b/>
          <w:color w:val="0A0A0A"/>
          <w:spacing w:val="-2"/>
          <w:sz w:val="23"/>
        </w:rPr>
        <w:t>INVESTIGATION</w:t>
      </w:r>
    </w:p>
    <w:p w14:paraId="51DE940D" w14:textId="77777777" w:rsidR="0010369C" w:rsidRDefault="008E43AE">
      <w:pPr>
        <w:spacing w:before="140" w:line="436" w:lineRule="auto"/>
        <w:ind w:left="235" w:right="567" w:hanging="1"/>
        <w:jc w:val="both"/>
        <w:rPr>
          <w:rFonts w:ascii="Arial" w:hAnsi="Arial"/>
          <w:sz w:val="21"/>
        </w:rPr>
      </w:pPr>
      <w:r>
        <w:rPr>
          <w:rFonts w:ascii="Arial" w:hAnsi="Arial"/>
          <w:color w:val="1C1C1C"/>
          <w:w w:val="110"/>
          <w:sz w:val="21"/>
        </w:rPr>
        <w:t>742.</w:t>
      </w:r>
      <w:r>
        <w:rPr>
          <w:rFonts w:ascii="Arial" w:hAnsi="Arial"/>
          <w:color w:val="1C1C1C"/>
          <w:spacing w:val="80"/>
          <w:w w:val="110"/>
          <w:sz w:val="21"/>
        </w:rPr>
        <w:t xml:space="preserve">  </w:t>
      </w:r>
      <w:r>
        <w:rPr>
          <w:rFonts w:ascii="Arial" w:hAnsi="Arial"/>
          <w:color w:val="1C1C1C"/>
          <w:w w:val="110"/>
          <w:sz w:val="21"/>
        </w:rPr>
        <w:t>China's</w:t>
      </w:r>
      <w:r>
        <w:rPr>
          <w:rFonts w:ascii="Arial" w:hAnsi="Arial"/>
          <w:color w:val="1C1C1C"/>
          <w:spacing w:val="-17"/>
          <w:w w:val="110"/>
          <w:sz w:val="21"/>
        </w:rPr>
        <w:t xml:space="preserve"> </w:t>
      </w:r>
      <w:r>
        <w:rPr>
          <w:rFonts w:ascii="Arial" w:hAnsi="Arial"/>
          <w:color w:val="1C1C1C"/>
          <w:w w:val="110"/>
          <w:sz w:val="21"/>
        </w:rPr>
        <w:t>initiation</w:t>
      </w:r>
      <w:r>
        <w:rPr>
          <w:rFonts w:ascii="Arial" w:hAnsi="Arial"/>
          <w:color w:val="1C1C1C"/>
          <w:spacing w:val="-12"/>
          <w:w w:val="110"/>
          <w:sz w:val="21"/>
        </w:rPr>
        <w:t xml:space="preserve"> </w:t>
      </w:r>
      <w:r>
        <w:rPr>
          <w:rFonts w:ascii="Arial" w:hAnsi="Arial"/>
          <w:color w:val="1C1C1C"/>
          <w:w w:val="110"/>
          <w:sz w:val="21"/>
        </w:rPr>
        <w:t>of</w:t>
      </w:r>
      <w:r>
        <w:rPr>
          <w:rFonts w:ascii="Arial" w:hAnsi="Arial"/>
          <w:color w:val="1C1C1C"/>
          <w:spacing w:val="-17"/>
          <w:w w:val="110"/>
          <w:sz w:val="21"/>
        </w:rPr>
        <w:t xml:space="preserve"> </w:t>
      </w:r>
      <w:r>
        <w:rPr>
          <w:rFonts w:ascii="Arial" w:hAnsi="Arial"/>
          <w:color w:val="1C1C1C"/>
          <w:w w:val="110"/>
          <w:sz w:val="21"/>
        </w:rPr>
        <w:t>the</w:t>
      </w:r>
      <w:r>
        <w:rPr>
          <w:rFonts w:ascii="Arial" w:hAnsi="Arial"/>
          <w:color w:val="1C1C1C"/>
          <w:spacing w:val="-14"/>
          <w:w w:val="110"/>
          <w:sz w:val="21"/>
        </w:rPr>
        <w:t xml:space="preserve"> </w:t>
      </w:r>
      <w:r>
        <w:rPr>
          <w:rFonts w:ascii="Arial" w:hAnsi="Arial"/>
          <w:color w:val="1C1C1C"/>
          <w:w w:val="110"/>
          <w:sz w:val="21"/>
        </w:rPr>
        <w:t>investigation</w:t>
      </w:r>
      <w:r>
        <w:rPr>
          <w:rFonts w:ascii="Arial" w:hAnsi="Arial"/>
          <w:color w:val="1C1C1C"/>
          <w:spacing w:val="-8"/>
          <w:w w:val="110"/>
          <w:sz w:val="21"/>
        </w:rPr>
        <w:t xml:space="preserve"> </w:t>
      </w:r>
      <w:r>
        <w:rPr>
          <w:rFonts w:ascii="Arial" w:hAnsi="Arial"/>
          <w:color w:val="1C1C1C"/>
          <w:w w:val="110"/>
          <w:sz w:val="21"/>
        </w:rPr>
        <w:t>was</w:t>
      </w:r>
      <w:r>
        <w:rPr>
          <w:rFonts w:ascii="Arial" w:hAnsi="Arial"/>
          <w:color w:val="1C1C1C"/>
          <w:spacing w:val="-16"/>
          <w:w w:val="110"/>
          <w:sz w:val="21"/>
        </w:rPr>
        <w:t xml:space="preserve"> </w:t>
      </w:r>
      <w:r>
        <w:rPr>
          <w:rFonts w:ascii="Arial" w:hAnsi="Arial"/>
          <w:color w:val="0A0A0A"/>
          <w:w w:val="110"/>
          <w:sz w:val="21"/>
        </w:rPr>
        <w:t>inconsistent</w:t>
      </w:r>
      <w:r>
        <w:rPr>
          <w:rFonts w:ascii="Arial" w:hAnsi="Arial"/>
          <w:color w:val="0A0A0A"/>
          <w:spacing w:val="-4"/>
          <w:w w:val="110"/>
          <w:sz w:val="21"/>
        </w:rPr>
        <w:t xml:space="preserve"> </w:t>
      </w:r>
      <w:r>
        <w:rPr>
          <w:rFonts w:ascii="Arial" w:hAnsi="Arial"/>
          <w:color w:val="1C1C1C"/>
          <w:w w:val="110"/>
          <w:sz w:val="21"/>
        </w:rPr>
        <w:t>with</w:t>
      </w:r>
      <w:r>
        <w:rPr>
          <w:rFonts w:ascii="Arial" w:hAnsi="Arial"/>
          <w:color w:val="1C1C1C"/>
          <w:spacing w:val="-17"/>
          <w:w w:val="110"/>
          <w:sz w:val="21"/>
        </w:rPr>
        <w:t xml:space="preserve"> </w:t>
      </w:r>
      <w:r>
        <w:rPr>
          <w:rFonts w:ascii="Arial" w:hAnsi="Arial"/>
          <w:color w:val="1C1C1C"/>
          <w:w w:val="110"/>
          <w:sz w:val="21"/>
        </w:rPr>
        <w:t>the</w:t>
      </w:r>
      <w:r>
        <w:rPr>
          <w:rFonts w:ascii="Arial" w:hAnsi="Arial"/>
          <w:color w:val="1C1C1C"/>
          <w:spacing w:val="-16"/>
          <w:w w:val="110"/>
          <w:sz w:val="21"/>
        </w:rPr>
        <w:t xml:space="preserve"> </w:t>
      </w:r>
      <w:r>
        <w:rPr>
          <w:rFonts w:ascii="Arial" w:hAnsi="Arial"/>
          <w:color w:val="1C1C1C"/>
          <w:w w:val="110"/>
          <w:sz w:val="21"/>
        </w:rPr>
        <w:t>procedural</w:t>
      </w:r>
      <w:r>
        <w:rPr>
          <w:rFonts w:ascii="Arial" w:hAnsi="Arial"/>
          <w:color w:val="1C1C1C"/>
          <w:spacing w:val="-3"/>
          <w:w w:val="110"/>
          <w:sz w:val="21"/>
        </w:rPr>
        <w:t xml:space="preserve"> </w:t>
      </w:r>
      <w:r>
        <w:rPr>
          <w:rFonts w:ascii="Arial" w:hAnsi="Arial"/>
          <w:color w:val="0A0A0A"/>
          <w:w w:val="110"/>
          <w:sz w:val="21"/>
        </w:rPr>
        <w:t>rules</w:t>
      </w:r>
      <w:r>
        <w:rPr>
          <w:rFonts w:ascii="Arial" w:hAnsi="Arial"/>
          <w:color w:val="0A0A0A"/>
          <w:spacing w:val="-17"/>
          <w:w w:val="110"/>
          <w:sz w:val="21"/>
        </w:rPr>
        <w:t xml:space="preserve"> </w:t>
      </w:r>
      <w:r>
        <w:rPr>
          <w:rFonts w:ascii="Arial" w:hAnsi="Arial"/>
          <w:color w:val="1C1C1C"/>
          <w:w w:val="110"/>
          <w:sz w:val="21"/>
        </w:rPr>
        <w:t>and evidentiary</w:t>
      </w:r>
      <w:r>
        <w:rPr>
          <w:rFonts w:ascii="Arial" w:hAnsi="Arial"/>
          <w:color w:val="1C1C1C"/>
          <w:spacing w:val="-3"/>
          <w:w w:val="110"/>
          <w:sz w:val="21"/>
        </w:rPr>
        <w:t xml:space="preserve"> </w:t>
      </w:r>
      <w:r>
        <w:rPr>
          <w:rFonts w:ascii="Arial" w:hAnsi="Arial"/>
          <w:color w:val="1C1C1C"/>
          <w:w w:val="110"/>
          <w:sz w:val="21"/>
        </w:rPr>
        <w:t>requirements</w:t>
      </w:r>
      <w:r>
        <w:rPr>
          <w:rFonts w:ascii="Arial" w:hAnsi="Arial"/>
          <w:color w:val="1C1C1C"/>
          <w:spacing w:val="-9"/>
          <w:w w:val="110"/>
          <w:sz w:val="21"/>
        </w:rPr>
        <w:t xml:space="preserve"> </w:t>
      </w:r>
      <w:r>
        <w:rPr>
          <w:rFonts w:ascii="Arial" w:hAnsi="Arial"/>
          <w:color w:val="0A0A0A"/>
          <w:w w:val="110"/>
          <w:sz w:val="21"/>
        </w:rPr>
        <w:t>under</w:t>
      </w:r>
      <w:r>
        <w:rPr>
          <w:rFonts w:ascii="Arial" w:hAnsi="Arial"/>
          <w:color w:val="0A0A0A"/>
          <w:spacing w:val="-11"/>
          <w:w w:val="110"/>
          <w:sz w:val="21"/>
        </w:rPr>
        <w:t xml:space="preserve"> </w:t>
      </w:r>
      <w:r>
        <w:rPr>
          <w:rFonts w:ascii="Arial" w:hAnsi="Arial"/>
          <w:color w:val="1C1C1C"/>
          <w:w w:val="110"/>
          <w:sz w:val="21"/>
        </w:rPr>
        <w:t>Article</w:t>
      </w:r>
      <w:r>
        <w:rPr>
          <w:rFonts w:ascii="Arial" w:hAnsi="Arial"/>
          <w:color w:val="1C1C1C"/>
          <w:spacing w:val="-16"/>
          <w:w w:val="110"/>
          <w:sz w:val="21"/>
        </w:rPr>
        <w:t xml:space="preserve"> </w:t>
      </w:r>
      <w:r>
        <w:rPr>
          <w:rFonts w:ascii="Arial" w:hAnsi="Arial"/>
          <w:color w:val="1C1C1C"/>
          <w:w w:val="110"/>
          <w:sz w:val="21"/>
        </w:rPr>
        <w:t>5</w:t>
      </w:r>
      <w:r>
        <w:rPr>
          <w:rFonts w:ascii="Arial" w:hAnsi="Arial"/>
          <w:color w:val="1C1C1C"/>
          <w:spacing w:val="-11"/>
          <w:w w:val="110"/>
          <w:sz w:val="21"/>
        </w:rPr>
        <w:t xml:space="preserve"> </w:t>
      </w:r>
      <w:r>
        <w:rPr>
          <w:rFonts w:ascii="Arial" w:hAnsi="Arial"/>
          <w:color w:val="1C1C1C"/>
          <w:w w:val="110"/>
          <w:sz w:val="21"/>
        </w:rPr>
        <w:t>of</w:t>
      </w:r>
      <w:r>
        <w:rPr>
          <w:rFonts w:ascii="Arial" w:hAnsi="Arial"/>
          <w:color w:val="1C1C1C"/>
          <w:spacing w:val="-12"/>
          <w:w w:val="110"/>
          <w:sz w:val="21"/>
        </w:rPr>
        <w:t xml:space="preserve"> </w:t>
      </w:r>
      <w:r>
        <w:rPr>
          <w:rFonts w:ascii="Arial" w:hAnsi="Arial"/>
          <w:color w:val="1C1C1C"/>
          <w:w w:val="110"/>
          <w:sz w:val="21"/>
        </w:rPr>
        <w:t>the</w:t>
      </w:r>
      <w:r>
        <w:rPr>
          <w:rFonts w:ascii="Arial" w:hAnsi="Arial"/>
          <w:color w:val="1C1C1C"/>
          <w:spacing w:val="-4"/>
          <w:w w:val="110"/>
          <w:sz w:val="21"/>
        </w:rPr>
        <w:t xml:space="preserve"> </w:t>
      </w:r>
      <w:r>
        <w:rPr>
          <w:rFonts w:ascii="Arial" w:hAnsi="Arial"/>
          <w:color w:val="1C1C1C"/>
          <w:w w:val="110"/>
          <w:sz w:val="21"/>
        </w:rPr>
        <w:t>Anti-Dumping</w:t>
      </w:r>
      <w:r>
        <w:rPr>
          <w:rFonts w:ascii="Arial" w:hAnsi="Arial"/>
          <w:color w:val="1C1C1C"/>
          <w:spacing w:val="-13"/>
          <w:w w:val="110"/>
          <w:sz w:val="21"/>
        </w:rPr>
        <w:t xml:space="preserve"> </w:t>
      </w:r>
      <w:r>
        <w:rPr>
          <w:rFonts w:ascii="Arial" w:hAnsi="Arial"/>
          <w:color w:val="1C1C1C"/>
          <w:w w:val="110"/>
          <w:sz w:val="21"/>
        </w:rPr>
        <w:t>Agreement</w:t>
      </w:r>
      <w:r>
        <w:rPr>
          <w:rFonts w:ascii="Arial" w:hAnsi="Arial"/>
          <w:color w:val="1C1C1C"/>
          <w:spacing w:val="-8"/>
          <w:w w:val="110"/>
          <w:sz w:val="21"/>
        </w:rPr>
        <w:t xml:space="preserve"> </w:t>
      </w:r>
      <w:r>
        <w:rPr>
          <w:rFonts w:ascii="Arial" w:hAnsi="Arial"/>
          <w:color w:val="1C1C1C"/>
          <w:w w:val="110"/>
          <w:sz w:val="21"/>
        </w:rPr>
        <w:t>because</w:t>
      </w:r>
      <w:r>
        <w:rPr>
          <w:rFonts w:ascii="Arial" w:hAnsi="Arial"/>
          <w:color w:val="1C1C1C"/>
          <w:spacing w:val="-17"/>
          <w:w w:val="110"/>
          <w:sz w:val="21"/>
        </w:rPr>
        <w:t xml:space="preserve"> </w:t>
      </w:r>
      <w:r>
        <w:rPr>
          <w:rFonts w:ascii="Arial" w:hAnsi="Arial"/>
          <w:color w:val="1C1C1C"/>
          <w:w w:val="110"/>
          <w:sz w:val="21"/>
        </w:rPr>
        <w:t xml:space="preserve">CADA's </w:t>
      </w:r>
      <w:r>
        <w:rPr>
          <w:rFonts w:ascii="Arial" w:hAnsi="Arial"/>
          <w:color w:val="1C1C1C"/>
          <w:spacing w:val="-2"/>
          <w:w w:val="110"/>
          <w:sz w:val="21"/>
        </w:rPr>
        <w:t>Anti-Dumping</w:t>
      </w:r>
      <w:r>
        <w:rPr>
          <w:rFonts w:ascii="Arial" w:hAnsi="Arial"/>
          <w:color w:val="1C1C1C"/>
          <w:spacing w:val="-15"/>
          <w:w w:val="110"/>
          <w:sz w:val="21"/>
        </w:rPr>
        <w:t xml:space="preserve"> </w:t>
      </w:r>
      <w:r>
        <w:rPr>
          <w:rFonts w:ascii="Arial" w:hAnsi="Arial"/>
          <w:color w:val="1C1C1C"/>
          <w:spacing w:val="-2"/>
          <w:w w:val="110"/>
          <w:sz w:val="21"/>
        </w:rPr>
        <w:t>Application</w:t>
      </w:r>
      <w:r>
        <w:rPr>
          <w:rFonts w:ascii="Arial" w:hAnsi="Arial"/>
          <w:color w:val="1C1C1C"/>
          <w:spacing w:val="-14"/>
          <w:w w:val="110"/>
          <w:sz w:val="21"/>
        </w:rPr>
        <w:t xml:space="preserve"> </w:t>
      </w:r>
      <w:r>
        <w:rPr>
          <w:rFonts w:ascii="Arial" w:hAnsi="Arial"/>
          <w:color w:val="1C1C1C"/>
          <w:spacing w:val="-2"/>
          <w:w w:val="110"/>
          <w:sz w:val="21"/>
        </w:rPr>
        <w:t>(i)</w:t>
      </w:r>
      <w:r>
        <w:rPr>
          <w:rFonts w:ascii="Arial" w:hAnsi="Arial"/>
          <w:color w:val="1C1C1C"/>
          <w:spacing w:val="-14"/>
          <w:w w:val="110"/>
          <w:sz w:val="21"/>
        </w:rPr>
        <w:t xml:space="preserve"> </w:t>
      </w:r>
      <w:r>
        <w:rPr>
          <w:rFonts w:ascii="Arial" w:hAnsi="Arial"/>
          <w:color w:val="1C1C1C"/>
          <w:spacing w:val="-2"/>
          <w:w w:val="110"/>
          <w:sz w:val="21"/>
        </w:rPr>
        <w:t>was</w:t>
      </w:r>
      <w:r>
        <w:rPr>
          <w:rFonts w:ascii="Arial" w:hAnsi="Arial"/>
          <w:color w:val="1C1C1C"/>
          <w:spacing w:val="-14"/>
          <w:w w:val="110"/>
          <w:sz w:val="21"/>
        </w:rPr>
        <w:t xml:space="preserve"> </w:t>
      </w:r>
      <w:r>
        <w:rPr>
          <w:rFonts w:ascii="Arial" w:hAnsi="Arial"/>
          <w:color w:val="1C1C1C"/>
          <w:spacing w:val="-2"/>
          <w:w w:val="110"/>
          <w:sz w:val="21"/>
        </w:rPr>
        <w:t>not</w:t>
      </w:r>
      <w:r>
        <w:rPr>
          <w:rFonts w:ascii="Arial" w:hAnsi="Arial"/>
          <w:color w:val="1C1C1C"/>
          <w:spacing w:val="-5"/>
          <w:w w:val="110"/>
          <w:sz w:val="21"/>
        </w:rPr>
        <w:t xml:space="preserve"> </w:t>
      </w:r>
      <w:r>
        <w:rPr>
          <w:rFonts w:ascii="Arial" w:hAnsi="Arial"/>
          <w:color w:val="0A0A0A"/>
          <w:spacing w:val="-2"/>
          <w:w w:val="110"/>
          <w:sz w:val="21"/>
        </w:rPr>
        <w:t>made</w:t>
      </w:r>
      <w:r>
        <w:rPr>
          <w:rFonts w:ascii="Arial" w:hAnsi="Arial"/>
          <w:color w:val="0A0A0A"/>
          <w:spacing w:val="-4"/>
          <w:w w:val="110"/>
          <w:sz w:val="21"/>
        </w:rPr>
        <w:t xml:space="preserve"> </w:t>
      </w:r>
      <w:r>
        <w:rPr>
          <w:rFonts w:ascii="Arial" w:hAnsi="Arial"/>
          <w:color w:val="1C1C1C"/>
          <w:spacing w:val="-2"/>
          <w:w w:val="110"/>
          <w:sz w:val="21"/>
        </w:rPr>
        <w:t>"by</w:t>
      </w:r>
      <w:r>
        <w:rPr>
          <w:rFonts w:ascii="Arial" w:hAnsi="Arial"/>
          <w:color w:val="1C1C1C"/>
          <w:spacing w:val="-15"/>
          <w:w w:val="110"/>
          <w:sz w:val="21"/>
        </w:rPr>
        <w:t xml:space="preserve"> </w:t>
      </w:r>
      <w:r>
        <w:rPr>
          <w:rFonts w:ascii="Arial" w:hAnsi="Arial"/>
          <w:color w:val="1C1C1C"/>
          <w:spacing w:val="-2"/>
          <w:w w:val="110"/>
          <w:sz w:val="21"/>
        </w:rPr>
        <w:t>or</w:t>
      </w:r>
      <w:r>
        <w:rPr>
          <w:rFonts w:ascii="Arial" w:hAnsi="Arial"/>
          <w:color w:val="1C1C1C"/>
          <w:spacing w:val="-11"/>
          <w:w w:val="110"/>
          <w:sz w:val="21"/>
        </w:rPr>
        <w:t xml:space="preserve"> </w:t>
      </w:r>
      <w:r>
        <w:rPr>
          <w:rFonts w:ascii="Arial" w:hAnsi="Arial"/>
          <w:color w:val="1C1C1C"/>
          <w:spacing w:val="-2"/>
          <w:w w:val="110"/>
          <w:sz w:val="21"/>
        </w:rPr>
        <w:t>on</w:t>
      </w:r>
      <w:r>
        <w:rPr>
          <w:rFonts w:ascii="Arial" w:hAnsi="Arial"/>
          <w:color w:val="1C1C1C"/>
          <w:spacing w:val="-10"/>
          <w:w w:val="110"/>
          <w:sz w:val="21"/>
        </w:rPr>
        <w:t xml:space="preserve"> </w:t>
      </w:r>
      <w:r>
        <w:rPr>
          <w:rFonts w:ascii="Arial" w:hAnsi="Arial"/>
          <w:color w:val="0A0A0A"/>
          <w:spacing w:val="-2"/>
          <w:w w:val="110"/>
          <w:sz w:val="21"/>
        </w:rPr>
        <w:t>behalf</w:t>
      </w:r>
      <w:r>
        <w:rPr>
          <w:rFonts w:ascii="Arial" w:hAnsi="Arial"/>
          <w:color w:val="0A0A0A"/>
          <w:spacing w:val="-6"/>
          <w:w w:val="110"/>
          <w:sz w:val="21"/>
        </w:rPr>
        <w:t xml:space="preserve"> </w:t>
      </w:r>
      <w:r>
        <w:rPr>
          <w:rFonts w:ascii="Arial" w:hAnsi="Arial"/>
          <w:color w:val="1C1C1C"/>
          <w:spacing w:val="-2"/>
          <w:w w:val="110"/>
          <w:sz w:val="21"/>
        </w:rPr>
        <w:t>of</w:t>
      </w:r>
      <w:r>
        <w:rPr>
          <w:rFonts w:ascii="Arial" w:hAnsi="Arial"/>
          <w:color w:val="1C1C1C"/>
          <w:spacing w:val="-9"/>
          <w:w w:val="110"/>
          <w:sz w:val="21"/>
        </w:rPr>
        <w:t xml:space="preserve"> </w:t>
      </w:r>
      <w:r>
        <w:rPr>
          <w:rFonts w:ascii="Arial" w:hAnsi="Arial"/>
          <w:color w:val="0A0A0A"/>
          <w:spacing w:val="-2"/>
          <w:w w:val="110"/>
          <w:sz w:val="21"/>
        </w:rPr>
        <w:t>the</w:t>
      </w:r>
      <w:r>
        <w:rPr>
          <w:rFonts w:ascii="Arial" w:hAnsi="Arial"/>
          <w:color w:val="0A0A0A"/>
          <w:spacing w:val="10"/>
          <w:w w:val="110"/>
          <w:sz w:val="21"/>
        </w:rPr>
        <w:t xml:space="preserve"> </w:t>
      </w:r>
      <w:r>
        <w:rPr>
          <w:rFonts w:ascii="Arial" w:hAnsi="Arial"/>
          <w:color w:val="0A0A0A"/>
          <w:spacing w:val="-2"/>
          <w:w w:val="110"/>
          <w:sz w:val="21"/>
        </w:rPr>
        <w:t>domestic</w:t>
      </w:r>
      <w:r>
        <w:rPr>
          <w:rFonts w:ascii="Arial" w:hAnsi="Arial"/>
          <w:color w:val="0A0A0A"/>
          <w:spacing w:val="-6"/>
          <w:w w:val="110"/>
          <w:sz w:val="21"/>
        </w:rPr>
        <w:t xml:space="preserve"> </w:t>
      </w:r>
      <w:r>
        <w:rPr>
          <w:rFonts w:ascii="Arial" w:hAnsi="Arial"/>
          <w:color w:val="1C1C1C"/>
          <w:spacing w:val="-2"/>
          <w:w w:val="110"/>
          <w:sz w:val="21"/>
        </w:rPr>
        <w:t>industry";</w:t>
      </w:r>
      <w:r>
        <w:rPr>
          <w:rFonts w:ascii="Arial" w:hAnsi="Arial"/>
          <w:color w:val="1C1C1C"/>
          <w:spacing w:val="-15"/>
          <w:w w:val="110"/>
          <w:sz w:val="21"/>
        </w:rPr>
        <w:t xml:space="preserve"> </w:t>
      </w:r>
      <w:r>
        <w:rPr>
          <w:rFonts w:ascii="Arial" w:hAnsi="Arial"/>
          <w:color w:val="1C1C1C"/>
          <w:spacing w:val="-2"/>
          <w:w w:val="110"/>
          <w:sz w:val="21"/>
        </w:rPr>
        <w:t>(ii)</w:t>
      </w:r>
      <w:r>
        <w:rPr>
          <w:rFonts w:ascii="Arial" w:hAnsi="Arial"/>
          <w:color w:val="1C1C1C"/>
          <w:spacing w:val="-14"/>
          <w:w w:val="110"/>
          <w:sz w:val="21"/>
        </w:rPr>
        <w:t xml:space="preserve"> </w:t>
      </w:r>
      <w:r>
        <w:rPr>
          <w:rFonts w:ascii="Arial" w:hAnsi="Arial"/>
          <w:color w:val="0A0A0A"/>
          <w:spacing w:val="-2"/>
          <w:w w:val="110"/>
          <w:sz w:val="21"/>
        </w:rPr>
        <w:t xml:space="preserve">did </w:t>
      </w:r>
      <w:r>
        <w:rPr>
          <w:rFonts w:ascii="Arial" w:hAnsi="Arial"/>
          <w:color w:val="0A0A0A"/>
          <w:w w:val="110"/>
          <w:sz w:val="21"/>
        </w:rPr>
        <w:t>not</w:t>
      </w:r>
      <w:r>
        <w:rPr>
          <w:rFonts w:ascii="Arial" w:hAnsi="Arial"/>
          <w:color w:val="0A0A0A"/>
          <w:spacing w:val="-14"/>
          <w:w w:val="110"/>
          <w:sz w:val="21"/>
        </w:rPr>
        <w:t xml:space="preserve"> </w:t>
      </w:r>
      <w:r>
        <w:rPr>
          <w:rFonts w:ascii="Arial" w:hAnsi="Arial"/>
          <w:color w:val="1C1C1C"/>
          <w:w w:val="110"/>
          <w:sz w:val="21"/>
        </w:rPr>
        <w:t>contain</w:t>
      </w:r>
      <w:r>
        <w:rPr>
          <w:rFonts w:ascii="Arial" w:hAnsi="Arial"/>
          <w:color w:val="1C1C1C"/>
          <w:spacing w:val="-13"/>
          <w:w w:val="110"/>
          <w:sz w:val="21"/>
        </w:rPr>
        <w:t xml:space="preserve"> </w:t>
      </w:r>
      <w:r>
        <w:rPr>
          <w:rFonts w:ascii="Arial" w:hAnsi="Arial"/>
          <w:color w:val="1C1C1C"/>
          <w:w w:val="110"/>
          <w:sz w:val="21"/>
        </w:rPr>
        <w:t>a</w:t>
      </w:r>
      <w:r>
        <w:rPr>
          <w:rFonts w:ascii="Arial" w:hAnsi="Arial"/>
          <w:color w:val="1C1C1C"/>
          <w:spacing w:val="-13"/>
          <w:w w:val="110"/>
          <w:sz w:val="21"/>
        </w:rPr>
        <w:t xml:space="preserve"> </w:t>
      </w:r>
      <w:r>
        <w:rPr>
          <w:rFonts w:ascii="Arial" w:hAnsi="Arial"/>
          <w:color w:val="1C1C1C"/>
          <w:w w:val="110"/>
          <w:sz w:val="21"/>
        </w:rPr>
        <w:t>list</w:t>
      </w:r>
      <w:r>
        <w:rPr>
          <w:rFonts w:ascii="Arial" w:hAnsi="Arial"/>
          <w:color w:val="1C1C1C"/>
          <w:spacing w:val="-17"/>
          <w:w w:val="110"/>
          <w:sz w:val="21"/>
        </w:rPr>
        <w:t xml:space="preserve"> </w:t>
      </w:r>
      <w:r>
        <w:rPr>
          <w:rFonts w:ascii="Arial" w:hAnsi="Arial"/>
          <w:color w:val="1C1C1C"/>
          <w:w w:val="110"/>
          <w:sz w:val="21"/>
        </w:rPr>
        <w:t>of</w:t>
      </w:r>
      <w:r>
        <w:rPr>
          <w:rFonts w:ascii="Arial" w:hAnsi="Arial"/>
          <w:color w:val="1C1C1C"/>
          <w:spacing w:val="-12"/>
          <w:w w:val="110"/>
          <w:sz w:val="21"/>
        </w:rPr>
        <w:t xml:space="preserve"> </w:t>
      </w:r>
      <w:r>
        <w:rPr>
          <w:rFonts w:ascii="Arial" w:hAnsi="Arial"/>
          <w:color w:val="1C1C1C"/>
          <w:w w:val="110"/>
          <w:sz w:val="21"/>
        </w:rPr>
        <w:t>all</w:t>
      </w:r>
      <w:r>
        <w:rPr>
          <w:rFonts w:ascii="Arial" w:hAnsi="Arial"/>
          <w:color w:val="1C1C1C"/>
          <w:spacing w:val="-17"/>
          <w:w w:val="110"/>
          <w:sz w:val="21"/>
        </w:rPr>
        <w:t xml:space="preserve"> </w:t>
      </w:r>
      <w:r>
        <w:rPr>
          <w:rFonts w:ascii="Arial" w:hAnsi="Arial"/>
          <w:color w:val="1C1C1C"/>
          <w:w w:val="110"/>
          <w:sz w:val="21"/>
        </w:rPr>
        <w:t>known</w:t>
      </w:r>
      <w:r>
        <w:rPr>
          <w:rFonts w:ascii="Arial" w:hAnsi="Arial"/>
          <w:color w:val="1C1C1C"/>
          <w:spacing w:val="-12"/>
          <w:w w:val="110"/>
          <w:sz w:val="21"/>
        </w:rPr>
        <w:t xml:space="preserve"> </w:t>
      </w:r>
      <w:r>
        <w:rPr>
          <w:rFonts w:ascii="Arial" w:hAnsi="Arial"/>
          <w:color w:val="0A0A0A"/>
          <w:w w:val="110"/>
          <w:sz w:val="21"/>
        </w:rPr>
        <w:t>domestic</w:t>
      </w:r>
      <w:r>
        <w:rPr>
          <w:rFonts w:ascii="Arial" w:hAnsi="Arial"/>
          <w:color w:val="0A0A0A"/>
          <w:spacing w:val="-4"/>
          <w:w w:val="110"/>
          <w:sz w:val="21"/>
        </w:rPr>
        <w:t xml:space="preserve"> </w:t>
      </w:r>
      <w:r>
        <w:rPr>
          <w:rFonts w:ascii="Arial" w:hAnsi="Arial"/>
          <w:color w:val="0A0A0A"/>
          <w:w w:val="110"/>
          <w:sz w:val="21"/>
        </w:rPr>
        <w:t>producers;</w:t>
      </w:r>
      <w:r>
        <w:rPr>
          <w:rFonts w:ascii="Arial" w:hAnsi="Arial"/>
          <w:color w:val="0A0A0A"/>
          <w:spacing w:val="-5"/>
          <w:w w:val="110"/>
          <w:sz w:val="21"/>
        </w:rPr>
        <w:t xml:space="preserve"> </w:t>
      </w:r>
      <w:r>
        <w:rPr>
          <w:rFonts w:ascii="Arial" w:hAnsi="Arial"/>
          <w:color w:val="1C1C1C"/>
          <w:w w:val="110"/>
          <w:sz w:val="21"/>
        </w:rPr>
        <w:t>(iii)</w:t>
      </w:r>
      <w:r>
        <w:rPr>
          <w:rFonts w:ascii="Arial" w:hAnsi="Arial"/>
          <w:color w:val="1C1C1C"/>
          <w:spacing w:val="-16"/>
          <w:w w:val="110"/>
          <w:sz w:val="21"/>
        </w:rPr>
        <w:t xml:space="preserve"> </w:t>
      </w:r>
      <w:r>
        <w:rPr>
          <w:rFonts w:ascii="Arial" w:hAnsi="Arial"/>
          <w:color w:val="0A0A0A"/>
          <w:w w:val="110"/>
          <w:sz w:val="21"/>
        </w:rPr>
        <w:t>did</w:t>
      </w:r>
      <w:r>
        <w:rPr>
          <w:rFonts w:ascii="Arial" w:hAnsi="Arial"/>
          <w:color w:val="0A0A0A"/>
          <w:spacing w:val="-17"/>
          <w:w w:val="110"/>
          <w:sz w:val="21"/>
        </w:rPr>
        <w:t xml:space="preserve"> </w:t>
      </w:r>
      <w:r>
        <w:rPr>
          <w:rFonts w:ascii="Arial" w:hAnsi="Arial"/>
          <w:color w:val="1C1C1C"/>
          <w:w w:val="110"/>
          <w:sz w:val="21"/>
        </w:rPr>
        <w:t>not contain</w:t>
      </w:r>
      <w:r>
        <w:rPr>
          <w:rFonts w:ascii="Arial" w:hAnsi="Arial"/>
          <w:color w:val="1C1C1C"/>
          <w:spacing w:val="-12"/>
          <w:w w:val="110"/>
          <w:sz w:val="21"/>
        </w:rPr>
        <w:t xml:space="preserve"> </w:t>
      </w:r>
      <w:r>
        <w:rPr>
          <w:rFonts w:ascii="Arial" w:hAnsi="Arial"/>
          <w:color w:val="1C1C1C"/>
          <w:w w:val="110"/>
          <w:sz w:val="21"/>
        </w:rPr>
        <w:t>sufficient</w:t>
      </w:r>
      <w:r>
        <w:rPr>
          <w:rFonts w:ascii="Arial" w:hAnsi="Arial"/>
          <w:color w:val="1C1C1C"/>
          <w:spacing w:val="-8"/>
          <w:w w:val="110"/>
          <w:sz w:val="21"/>
        </w:rPr>
        <w:t xml:space="preserve"> </w:t>
      </w:r>
      <w:r>
        <w:rPr>
          <w:rFonts w:ascii="Arial" w:hAnsi="Arial"/>
          <w:color w:val="1C1C1C"/>
          <w:w w:val="110"/>
          <w:sz w:val="21"/>
        </w:rPr>
        <w:t>evidence</w:t>
      </w:r>
      <w:r>
        <w:rPr>
          <w:rFonts w:ascii="Arial" w:hAnsi="Arial"/>
          <w:color w:val="1C1C1C"/>
          <w:spacing w:val="-16"/>
          <w:w w:val="110"/>
          <w:sz w:val="21"/>
        </w:rPr>
        <w:t xml:space="preserve"> </w:t>
      </w:r>
      <w:r>
        <w:rPr>
          <w:rFonts w:ascii="Arial" w:hAnsi="Arial"/>
          <w:color w:val="1C1C1C"/>
          <w:w w:val="110"/>
          <w:sz w:val="21"/>
        </w:rPr>
        <w:t xml:space="preserve">of </w:t>
      </w:r>
      <w:r>
        <w:rPr>
          <w:rFonts w:ascii="Arial" w:hAnsi="Arial"/>
          <w:color w:val="0A0A0A"/>
          <w:w w:val="110"/>
          <w:sz w:val="21"/>
        </w:rPr>
        <w:t xml:space="preserve">dumping; </w:t>
      </w:r>
      <w:r>
        <w:rPr>
          <w:rFonts w:ascii="Arial" w:hAnsi="Arial"/>
          <w:color w:val="1C1C1C"/>
          <w:w w:val="110"/>
          <w:sz w:val="21"/>
        </w:rPr>
        <w:t xml:space="preserve">and (iii) </w:t>
      </w:r>
      <w:r>
        <w:rPr>
          <w:rFonts w:ascii="Arial" w:hAnsi="Arial"/>
          <w:color w:val="0A0A0A"/>
          <w:w w:val="110"/>
          <w:sz w:val="21"/>
        </w:rPr>
        <w:t xml:space="preserve">did </w:t>
      </w:r>
      <w:r>
        <w:rPr>
          <w:rFonts w:ascii="Arial" w:hAnsi="Arial"/>
          <w:color w:val="1C1C1C"/>
          <w:w w:val="110"/>
          <w:sz w:val="21"/>
        </w:rPr>
        <w:t>not contain sufficient evidence of injury and</w:t>
      </w:r>
      <w:r>
        <w:rPr>
          <w:rFonts w:ascii="Arial" w:hAnsi="Arial"/>
          <w:color w:val="1C1C1C"/>
          <w:spacing w:val="-3"/>
          <w:w w:val="110"/>
          <w:sz w:val="21"/>
        </w:rPr>
        <w:t xml:space="preserve"> </w:t>
      </w:r>
      <w:r>
        <w:rPr>
          <w:rFonts w:ascii="Arial" w:hAnsi="Arial"/>
          <w:color w:val="1C1C1C"/>
          <w:w w:val="110"/>
          <w:sz w:val="21"/>
        </w:rPr>
        <w:t>causation. As a result, MOFCOM</w:t>
      </w:r>
      <w:r>
        <w:rPr>
          <w:rFonts w:ascii="Arial" w:hAnsi="Arial"/>
          <w:color w:val="1C1C1C"/>
          <w:spacing w:val="-17"/>
          <w:w w:val="110"/>
          <w:sz w:val="21"/>
        </w:rPr>
        <w:t xml:space="preserve"> </w:t>
      </w:r>
      <w:r>
        <w:rPr>
          <w:rFonts w:ascii="Arial" w:hAnsi="Arial"/>
          <w:color w:val="1C1C1C"/>
          <w:w w:val="110"/>
          <w:sz w:val="21"/>
        </w:rPr>
        <w:t>should</w:t>
      </w:r>
      <w:r>
        <w:rPr>
          <w:rFonts w:ascii="Arial" w:hAnsi="Arial"/>
          <w:color w:val="1C1C1C"/>
          <w:spacing w:val="-11"/>
          <w:w w:val="110"/>
          <w:sz w:val="21"/>
        </w:rPr>
        <w:t xml:space="preserve"> </w:t>
      </w:r>
      <w:r>
        <w:rPr>
          <w:rFonts w:ascii="Arial" w:hAnsi="Arial"/>
          <w:color w:val="0A0A0A"/>
          <w:w w:val="110"/>
          <w:sz w:val="21"/>
        </w:rPr>
        <w:t>have</w:t>
      </w:r>
      <w:r>
        <w:rPr>
          <w:rFonts w:ascii="Arial" w:hAnsi="Arial"/>
          <w:color w:val="0A0A0A"/>
          <w:spacing w:val="-15"/>
          <w:w w:val="110"/>
          <w:sz w:val="21"/>
        </w:rPr>
        <w:t xml:space="preserve"> </w:t>
      </w:r>
      <w:r>
        <w:rPr>
          <w:rFonts w:ascii="Arial" w:hAnsi="Arial"/>
          <w:color w:val="0A0A0A"/>
          <w:w w:val="110"/>
          <w:sz w:val="21"/>
        </w:rPr>
        <w:t>rejected</w:t>
      </w:r>
      <w:r>
        <w:rPr>
          <w:rFonts w:ascii="Arial" w:hAnsi="Arial"/>
          <w:color w:val="0A0A0A"/>
          <w:spacing w:val="-17"/>
          <w:w w:val="110"/>
          <w:sz w:val="21"/>
        </w:rPr>
        <w:t xml:space="preserve"> </w:t>
      </w:r>
      <w:r>
        <w:rPr>
          <w:rFonts w:ascii="Arial" w:hAnsi="Arial"/>
          <w:color w:val="1C1C1C"/>
          <w:w w:val="110"/>
          <w:sz w:val="21"/>
        </w:rPr>
        <w:t>the</w:t>
      </w:r>
      <w:r>
        <w:rPr>
          <w:rFonts w:ascii="Arial" w:hAnsi="Arial"/>
          <w:color w:val="1C1C1C"/>
          <w:spacing w:val="-3"/>
          <w:w w:val="110"/>
          <w:sz w:val="21"/>
        </w:rPr>
        <w:t xml:space="preserve"> </w:t>
      </w:r>
      <w:r>
        <w:rPr>
          <w:rFonts w:ascii="Arial" w:hAnsi="Arial"/>
          <w:color w:val="1C1C1C"/>
          <w:w w:val="110"/>
          <w:sz w:val="21"/>
        </w:rPr>
        <w:t>application</w:t>
      </w:r>
      <w:r>
        <w:rPr>
          <w:rFonts w:ascii="Arial" w:hAnsi="Arial"/>
          <w:color w:val="1C1C1C"/>
          <w:spacing w:val="-13"/>
          <w:w w:val="110"/>
          <w:sz w:val="21"/>
        </w:rPr>
        <w:t xml:space="preserve"> </w:t>
      </w:r>
      <w:r>
        <w:rPr>
          <w:rFonts w:ascii="Arial" w:hAnsi="Arial"/>
          <w:color w:val="1C1C1C"/>
          <w:w w:val="110"/>
          <w:sz w:val="21"/>
        </w:rPr>
        <w:t>pursuant</w:t>
      </w:r>
      <w:r>
        <w:rPr>
          <w:rFonts w:ascii="Arial" w:hAnsi="Arial"/>
          <w:color w:val="1C1C1C"/>
          <w:spacing w:val="-13"/>
          <w:w w:val="110"/>
          <w:sz w:val="21"/>
        </w:rPr>
        <w:t xml:space="preserve"> </w:t>
      </w:r>
      <w:r>
        <w:rPr>
          <w:rFonts w:ascii="Arial" w:hAnsi="Arial"/>
          <w:color w:val="1C1C1C"/>
          <w:w w:val="110"/>
          <w:sz w:val="21"/>
        </w:rPr>
        <w:t>to</w:t>
      </w:r>
      <w:r>
        <w:rPr>
          <w:rFonts w:ascii="Arial" w:hAnsi="Arial"/>
          <w:color w:val="1C1C1C"/>
          <w:spacing w:val="-1"/>
          <w:w w:val="110"/>
          <w:sz w:val="21"/>
        </w:rPr>
        <w:t xml:space="preserve"> </w:t>
      </w:r>
      <w:r>
        <w:rPr>
          <w:rFonts w:ascii="Arial" w:hAnsi="Arial"/>
          <w:color w:val="1C1C1C"/>
          <w:w w:val="110"/>
          <w:sz w:val="21"/>
        </w:rPr>
        <w:t>Articles</w:t>
      </w:r>
      <w:r>
        <w:rPr>
          <w:rFonts w:ascii="Arial" w:hAnsi="Arial"/>
          <w:color w:val="1C1C1C"/>
          <w:spacing w:val="-16"/>
          <w:w w:val="110"/>
          <w:sz w:val="21"/>
        </w:rPr>
        <w:t xml:space="preserve"> </w:t>
      </w:r>
      <w:r>
        <w:rPr>
          <w:rFonts w:ascii="Arial" w:hAnsi="Arial"/>
          <w:color w:val="1C1C1C"/>
          <w:w w:val="110"/>
          <w:sz w:val="21"/>
        </w:rPr>
        <w:t>5.4</w:t>
      </w:r>
      <w:r>
        <w:rPr>
          <w:rFonts w:ascii="Arial" w:hAnsi="Arial"/>
          <w:color w:val="1C1C1C"/>
          <w:spacing w:val="-17"/>
          <w:w w:val="110"/>
          <w:sz w:val="21"/>
        </w:rPr>
        <w:t xml:space="preserve"> </w:t>
      </w:r>
      <w:r>
        <w:rPr>
          <w:rFonts w:ascii="Arial" w:hAnsi="Arial"/>
          <w:color w:val="1C1C1C"/>
          <w:w w:val="110"/>
          <w:sz w:val="21"/>
        </w:rPr>
        <w:t>and</w:t>
      </w:r>
      <w:r>
        <w:rPr>
          <w:rFonts w:ascii="Arial" w:hAnsi="Arial"/>
          <w:color w:val="1C1C1C"/>
          <w:spacing w:val="-16"/>
          <w:w w:val="110"/>
          <w:sz w:val="21"/>
        </w:rPr>
        <w:t xml:space="preserve"> </w:t>
      </w:r>
      <w:r>
        <w:rPr>
          <w:rFonts w:ascii="Arial" w:hAnsi="Arial"/>
          <w:color w:val="1C1C1C"/>
          <w:w w:val="110"/>
          <w:sz w:val="21"/>
        </w:rPr>
        <w:t>5.8</w:t>
      </w:r>
      <w:r>
        <w:rPr>
          <w:rFonts w:ascii="Arial" w:hAnsi="Arial"/>
          <w:color w:val="1C1C1C"/>
          <w:spacing w:val="-16"/>
          <w:w w:val="110"/>
          <w:sz w:val="21"/>
        </w:rPr>
        <w:t xml:space="preserve"> </w:t>
      </w:r>
      <w:r>
        <w:rPr>
          <w:rFonts w:ascii="Arial" w:hAnsi="Arial"/>
          <w:color w:val="1C1C1C"/>
          <w:w w:val="110"/>
          <w:sz w:val="21"/>
        </w:rPr>
        <w:t>of</w:t>
      </w:r>
      <w:r>
        <w:rPr>
          <w:rFonts w:ascii="Arial" w:hAnsi="Arial"/>
          <w:color w:val="1C1C1C"/>
          <w:spacing w:val="-8"/>
          <w:w w:val="110"/>
          <w:sz w:val="21"/>
        </w:rPr>
        <w:t xml:space="preserve"> </w:t>
      </w:r>
      <w:r>
        <w:rPr>
          <w:rFonts w:ascii="Arial" w:hAnsi="Arial"/>
          <w:color w:val="1C1C1C"/>
          <w:w w:val="110"/>
          <w:sz w:val="21"/>
        </w:rPr>
        <w:t>the</w:t>
      </w:r>
      <w:r>
        <w:rPr>
          <w:rFonts w:ascii="Arial" w:hAnsi="Arial"/>
          <w:color w:val="1C1C1C"/>
          <w:w w:val="110"/>
          <w:sz w:val="21"/>
        </w:rPr>
        <w:t xml:space="preserve"> Anti­ Dumping</w:t>
      </w:r>
      <w:r>
        <w:rPr>
          <w:rFonts w:ascii="Arial" w:hAnsi="Arial"/>
          <w:color w:val="1C1C1C"/>
          <w:spacing w:val="-27"/>
          <w:w w:val="110"/>
          <w:sz w:val="21"/>
        </w:rPr>
        <w:t xml:space="preserve"> </w:t>
      </w:r>
      <w:r>
        <w:rPr>
          <w:rFonts w:ascii="Arial" w:hAnsi="Arial"/>
          <w:color w:val="1C1C1C"/>
          <w:w w:val="110"/>
          <w:sz w:val="21"/>
        </w:rPr>
        <w:t>Agreement.</w:t>
      </w:r>
    </w:p>
    <w:p w14:paraId="51DE940E" w14:textId="77777777" w:rsidR="0010369C" w:rsidRDefault="0010369C">
      <w:pPr>
        <w:pStyle w:val="BodyText"/>
        <w:rPr>
          <w:rFonts w:ascii="Arial"/>
          <w:sz w:val="20"/>
        </w:rPr>
      </w:pPr>
    </w:p>
    <w:p w14:paraId="51DE940F" w14:textId="77777777" w:rsidR="0010369C" w:rsidRDefault="0010369C">
      <w:pPr>
        <w:pStyle w:val="BodyText"/>
        <w:rPr>
          <w:rFonts w:ascii="Arial"/>
          <w:sz w:val="20"/>
        </w:rPr>
      </w:pPr>
    </w:p>
    <w:p w14:paraId="51DE9410" w14:textId="77777777" w:rsidR="0010369C" w:rsidRDefault="0010369C">
      <w:pPr>
        <w:pStyle w:val="BodyText"/>
        <w:rPr>
          <w:rFonts w:ascii="Arial"/>
          <w:sz w:val="20"/>
        </w:rPr>
      </w:pPr>
    </w:p>
    <w:p w14:paraId="51DE9411" w14:textId="77777777" w:rsidR="0010369C" w:rsidRDefault="0010369C">
      <w:pPr>
        <w:pStyle w:val="BodyText"/>
        <w:rPr>
          <w:rFonts w:ascii="Arial"/>
          <w:sz w:val="20"/>
        </w:rPr>
      </w:pPr>
    </w:p>
    <w:p w14:paraId="51DE9412" w14:textId="77777777" w:rsidR="0010369C" w:rsidRDefault="0010369C">
      <w:pPr>
        <w:pStyle w:val="BodyText"/>
        <w:rPr>
          <w:rFonts w:ascii="Arial"/>
          <w:sz w:val="20"/>
        </w:rPr>
      </w:pPr>
    </w:p>
    <w:p w14:paraId="51DE9413" w14:textId="77777777" w:rsidR="0010369C" w:rsidRDefault="0010369C">
      <w:pPr>
        <w:pStyle w:val="BodyText"/>
        <w:rPr>
          <w:rFonts w:ascii="Arial"/>
          <w:sz w:val="20"/>
        </w:rPr>
      </w:pPr>
    </w:p>
    <w:p w14:paraId="51DE9414" w14:textId="77777777" w:rsidR="0010369C" w:rsidRDefault="0010369C">
      <w:pPr>
        <w:pStyle w:val="BodyText"/>
        <w:rPr>
          <w:rFonts w:ascii="Arial"/>
          <w:sz w:val="20"/>
        </w:rPr>
      </w:pPr>
    </w:p>
    <w:p w14:paraId="51DE9415" w14:textId="77777777" w:rsidR="0010369C" w:rsidRDefault="0010369C">
      <w:pPr>
        <w:pStyle w:val="BodyText"/>
        <w:rPr>
          <w:rFonts w:ascii="Arial"/>
          <w:sz w:val="20"/>
        </w:rPr>
      </w:pPr>
    </w:p>
    <w:p w14:paraId="51DE9416" w14:textId="77777777" w:rsidR="0010369C" w:rsidRDefault="008E43AE">
      <w:pPr>
        <w:pStyle w:val="BodyText"/>
        <w:spacing w:before="1"/>
        <w:rPr>
          <w:rFonts w:ascii="Arial"/>
          <w:sz w:val="25"/>
        </w:rPr>
      </w:pPr>
      <w:r>
        <w:pict w14:anchorId="51DEA61C">
          <v:shape id="docshape1219" o:spid="_x0000_s1198" style="position:absolute;margin-left:70.25pt;margin-top:15.65pt;width:145.5pt;height:.1pt;z-index:-250764800;mso-wrap-distance-left:0;mso-wrap-distance-right:0;mso-position-horizontal-relative:page" coordorigin="1405,313" coordsize="2910,0" path="m1405,313r2909,e" filled="f" strokeweight=".53042mm">
            <v:path arrowok="t"/>
            <w10:wrap type="topAndBottom" anchorx="page"/>
          </v:shape>
        </w:pict>
      </w:r>
    </w:p>
    <w:p w14:paraId="51DE9417" w14:textId="77777777" w:rsidR="0010369C" w:rsidRDefault="008E43AE">
      <w:pPr>
        <w:spacing w:before="125"/>
        <w:ind w:left="240"/>
        <w:jc w:val="both"/>
        <w:rPr>
          <w:rFonts w:ascii="Arial"/>
          <w:sz w:val="16"/>
        </w:rPr>
      </w:pPr>
      <w:r>
        <w:rPr>
          <w:rFonts w:ascii="Arial"/>
          <w:color w:val="313131"/>
          <w:w w:val="105"/>
          <w:sz w:val="16"/>
          <w:vertAlign w:val="superscript"/>
        </w:rPr>
        <w:t>888</w:t>
      </w:r>
      <w:r>
        <w:rPr>
          <w:rFonts w:ascii="Arial"/>
          <w:color w:val="313131"/>
          <w:spacing w:val="-17"/>
          <w:w w:val="105"/>
          <w:sz w:val="16"/>
        </w:rPr>
        <w:t xml:space="preserve"> </w:t>
      </w:r>
      <w:r>
        <w:rPr>
          <w:rFonts w:ascii="Arial"/>
          <w:color w:val="1C1C1C"/>
          <w:w w:val="105"/>
          <w:sz w:val="16"/>
        </w:rPr>
        <w:t>Panel</w:t>
      </w:r>
      <w:r>
        <w:rPr>
          <w:rFonts w:ascii="Arial"/>
          <w:color w:val="1C1C1C"/>
          <w:spacing w:val="-9"/>
          <w:w w:val="105"/>
          <w:sz w:val="16"/>
        </w:rPr>
        <w:t xml:space="preserve"> </w:t>
      </w:r>
      <w:r>
        <w:rPr>
          <w:rFonts w:ascii="Arial"/>
          <w:color w:val="1C1C1C"/>
          <w:w w:val="105"/>
          <w:sz w:val="16"/>
        </w:rPr>
        <w:t>Report,</w:t>
      </w:r>
      <w:r>
        <w:rPr>
          <w:rFonts w:ascii="Arial"/>
          <w:color w:val="1C1C1C"/>
          <w:spacing w:val="-21"/>
          <w:w w:val="105"/>
          <w:sz w:val="16"/>
        </w:rPr>
        <w:t xml:space="preserve"> </w:t>
      </w:r>
      <w:r>
        <w:rPr>
          <w:rFonts w:ascii="Arial"/>
          <w:i/>
          <w:color w:val="1C1C1C"/>
          <w:w w:val="105"/>
          <w:sz w:val="16"/>
        </w:rPr>
        <w:t>Thailand-</w:t>
      </w:r>
      <w:r>
        <w:rPr>
          <w:rFonts w:ascii="Arial"/>
          <w:i/>
          <w:color w:val="1C1C1C"/>
          <w:spacing w:val="-7"/>
          <w:w w:val="105"/>
          <w:sz w:val="16"/>
        </w:rPr>
        <w:t xml:space="preserve"> </w:t>
      </w:r>
      <w:r>
        <w:rPr>
          <w:rFonts w:ascii="Arial"/>
          <w:i/>
          <w:color w:val="1C1C1C"/>
          <w:w w:val="105"/>
          <w:sz w:val="16"/>
        </w:rPr>
        <w:t>H-Beams,</w:t>
      </w:r>
      <w:r>
        <w:rPr>
          <w:rFonts w:ascii="Arial"/>
          <w:i/>
          <w:color w:val="1C1C1C"/>
          <w:spacing w:val="-18"/>
          <w:w w:val="105"/>
          <w:sz w:val="16"/>
        </w:rPr>
        <w:t xml:space="preserve"> </w:t>
      </w:r>
      <w:r>
        <w:rPr>
          <w:rFonts w:ascii="Arial"/>
          <w:color w:val="1C1C1C"/>
          <w:w w:val="105"/>
          <w:sz w:val="16"/>
        </w:rPr>
        <w:t>para.</w:t>
      </w:r>
      <w:r>
        <w:rPr>
          <w:rFonts w:ascii="Arial"/>
          <w:color w:val="1C1C1C"/>
          <w:spacing w:val="-9"/>
          <w:w w:val="105"/>
          <w:sz w:val="16"/>
        </w:rPr>
        <w:t xml:space="preserve"> </w:t>
      </w:r>
      <w:r>
        <w:rPr>
          <w:rFonts w:ascii="Arial"/>
          <w:color w:val="1C1C1C"/>
          <w:spacing w:val="-2"/>
          <w:w w:val="105"/>
          <w:sz w:val="16"/>
        </w:rPr>
        <w:t>7.210.</w:t>
      </w:r>
    </w:p>
    <w:p w14:paraId="51DE9418" w14:textId="77777777" w:rsidR="0010369C" w:rsidRDefault="008E43AE">
      <w:pPr>
        <w:spacing w:before="37"/>
        <w:ind w:left="240"/>
        <w:jc w:val="both"/>
        <w:rPr>
          <w:rFonts w:ascii="Arial"/>
          <w:sz w:val="16"/>
        </w:rPr>
      </w:pPr>
      <w:r>
        <w:rPr>
          <w:rFonts w:ascii="Arial"/>
          <w:color w:val="313131"/>
          <w:spacing w:val="-2"/>
          <w:w w:val="105"/>
          <w:sz w:val="16"/>
          <w:vertAlign w:val="superscript"/>
        </w:rPr>
        <w:t>889</w:t>
      </w:r>
      <w:r>
        <w:rPr>
          <w:rFonts w:ascii="Arial"/>
          <w:color w:val="313131"/>
          <w:spacing w:val="-15"/>
          <w:w w:val="105"/>
          <w:sz w:val="16"/>
        </w:rPr>
        <w:t xml:space="preserve"> </w:t>
      </w:r>
      <w:r>
        <w:rPr>
          <w:rFonts w:ascii="Arial"/>
          <w:color w:val="1C1C1C"/>
          <w:spacing w:val="-2"/>
          <w:w w:val="105"/>
          <w:sz w:val="16"/>
        </w:rPr>
        <w:t>Appellate</w:t>
      </w:r>
      <w:r>
        <w:rPr>
          <w:rFonts w:ascii="Arial"/>
          <w:color w:val="1C1C1C"/>
          <w:spacing w:val="-12"/>
          <w:w w:val="105"/>
          <w:sz w:val="16"/>
        </w:rPr>
        <w:t xml:space="preserve"> </w:t>
      </w:r>
      <w:r>
        <w:rPr>
          <w:rFonts w:ascii="Arial"/>
          <w:color w:val="1C1C1C"/>
          <w:spacing w:val="-2"/>
          <w:w w:val="105"/>
          <w:sz w:val="16"/>
        </w:rPr>
        <w:t>Body</w:t>
      </w:r>
      <w:r>
        <w:rPr>
          <w:rFonts w:ascii="Arial"/>
          <w:color w:val="1C1C1C"/>
          <w:spacing w:val="-9"/>
          <w:w w:val="105"/>
          <w:sz w:val="16"/>
        </w:rPr>
        <w:t xml:space="preserve"> </w:t>
      </w:r>
      <w:r>
        <w:rPr>
          <w:rFonts w:ascii="Arial"/>
          <w:color w:val="1C1C1C"/>
          <w:spacing w:val="-2"/>
          <w:w w:val="105"/>
          <w:sz w:val="16"/>
        </w:rPr>
        <w:t>Report,</w:t>
      </w:r>
      <w:r>
        <w:rPr>
          <w:rFonts w:ascii="Arial"/>
          <w:color w:val="1C1C1C"/>
          <w:spacing w:val="-19"/>
          <w:w w:val="105"/>
          <w:sz w:val="16"/>
        </w:rPr>
        <w:t xml:space="preserve"> </w:t>
      </w:r>
      <w:r>
        <w:rPr>
          <w:rFonts w:ascii="Arial"/>
          <w:i/>
          <w:color w:val="1C1C1C"/>
          <w:spacing w:val="-2"/>
          <w:w w:val="105"/>
          <w:sz w:val="16"/>
        </w:rPr>
        <w:t>EU</w:t>
      </w:r>
      <w:r>
        <w:rPr>
          <w:rFonts w:ascii="Arial"/>
          <w:i/>
          <w:color w:val="1C1C1C"/>
          <w:spacing w:val="-8"/>
          <w:w w:val="105"/>
          <w:sz w:val="16"/>
        </w:rPr>
        <w:t xml:space="preserve"> </w:t>
      </w:r>
      <w:r>
        <w:rPr>
          <w:rFonts w:ascii="Arial"/>
          <w:color w:val="1C1C1C"/>
          <w:spacing w:val="-2"/>
          <w:w w:val="105"/>
          <w:sz w:val="16"/>
        </w:rPr>
        <w:t>-</w:t>
      </w:r>
      <w:r>
        <w:rPr>
          <w:rFonts w:ascii="Arial"/>
          <w:color w:val="1C1C1C"/>
          <w:spacing w:val="40"/>
          <w:w w:val="105"/>
          <w:sz w:val="16"/>
        </w:rPr>
        <w:t xml:space="preserve"> </w:t>
      </w:r>
      <w:r>
        <w:rPr>
          <w:rFonts w:ascii="Arial"/>
          <w:i/>
          <w:color w:val="1C1C1C"/>
          <w:spacing w:val="-2"/>
          <w:w w:val="105"/>
          <w:sz w:val="16"/>
        </w:rPr>
        <w:t>Biodiese/ (Argentina),</w:t>
      </w:r>
      <w:r>
        <w:rPr>
          <w:rFonts w:ascii="Arial"/>
          <w:i/>
          <w:color w:val="1C1C1C"/>
          <w:spacing w:val="-3"/>
          <w:w w:val="105"/>
          <w:sz w:val="16"/>
        </w:rPr>
        <w:t xml:space="preserve"> </w:t>
      </w:r>
      <w:r>
        <w:rPr>
          <w:rFonts w:ascii="Arial"/>
          <w:color w:val="0A0A0A"/>
          <w:spacing w:val="-2"/>
          <w:w w:val="105"/>
          <w:sz w:val="16"/>
        </w:rPr>
        <w:t>para.</w:t>
      </w:r>
      <w:r>
        <w:rPr>
          <w:rFonts w:ascii="Arial"/>
          <w:color w:val="0A0A0A"/>
          <w:spacing w:val="-19"/>
          <w:w w:val="105"/>
          <w:sz w:val="16"/>
        </w:rPr>
        <w:t xml:space="preserve"> </w:t>
      </w:r>
      <w:r>
        <w:rPr>
          <w:rFonts w:ascii="Arial"/>
          <w:color w:val="1C1C1C"/>
          <w:spacing w:val="-2"/>
          <w:w w:val="105"/>
          <w:sz w:val="16"/>
        </w:rPr>
        <w:t>6.112.</w:t>
      </w:r>
    </w:p>
    <w:p w14:paraId="51DE9419" w14:textId="77777777" w:rsidR="0010369C" w:rsidRDefault="0010369C">
      <w:pPr>
        <w:jc w:val="both"/>
        <w:rPr>
          <w:rFonts w:ascii="Arial"/>
          <w:sz w:val="16"/>
        </w:rPr>
        <w:sectPr w:rsidR="0010369C">
          <w:headerReference w:type="default" r:id="rId981"/>
          <w:footerReference w:type="default" r:id="rId982"/>
          <w:pgSz w:w="11910" w:h="16840"/>
          <w:pgMar w:top="480" w:right="800" w:bottom="1020" w:left="1180" w:header="0" w:footer="830" w:gutter="0"/>
          <w:cols w:space="720"/>
        </w:sectPr>
      </w:pPr>
    </w:p>
    <w:p w14:paraId="51DE941A" w14:textId="77777777" w:rsidR="0010369C" w:rsidRDefault="008E43AE">
      <w:pPr>
        <w:tabs>
          <w:tab w:val="left" w:pos="6426"/>
        </w:tabs>
        <w:ind w:left="238"/>
        <w:rPr>
          <w:sz w:val="20"/>
        </w:rPr>
      </w:pPr>
      <w:r>
        <w:rPr>
          <w:i/>
          <w:sz w:val="20"/>
        </w:rPr>
        <w:lastRenderedPageBreak/>
        <w:t>China</w:t>
      </w:r>
      <w:r>
        <w:rPr>
          <w:i/>
          <w:spacing w:val="-5"/>
          <w:sz w:val="20"/>
        </w:rPr>
        <w:t xml:space="preserve"> </w:t>
      </w:r>
      <w:r>
        <w:rPr>
          <w:i/>
          <w:sz w:val="20"/>
        </w:rPr>
        <w:t>–</w:t>
      </w:r>
      <w:r>
        <w:rPr>
          <w:i/>
          <w:spacing w:val="-5"/>
          <w:sz w:val="20"/>
        </w:rPr>
        <w:t xml:space="preserve"> </w:t>
      </w:r>
      <w:r>
        <w:rPr>
          <w:i/>
          <w:sz w:val="20"/>
        </w:rPr>
        <w:t>Anti‐Dumping</w:t>
      </w:r>
      <w:r>
        <w:rPr>
          <w:i/>
          <w:spacing w:val="-4"/>
          <w:sz w:val="20"/>
        </w:rPr>
        <w:t xml:space="preserve"> </w:t>
      </w:r>
      <w:r>
        <w:rPr>
          <w:i/>
          <w:sz w:val="20"/>
        </w:rPr>
        <w:t>and</w:t>
      </w:r>
      <w:r>
        <w:rPr>
          <w:i/>
          <w:spacing w:val="-5"/>
          <w:sz w:val="20"/>
        </w:rPr>
        <w:t xml:space="preserve"> </w:t>
      </w:r>
      <w:r>
        <w:rPr>
          <w:i/>
          <w:sz w:val="20"/>
        </w:rPr>
        <w:t>Countervailing</w:t>
      </w:r>
      <w:r>
        <w:rPr>
          <w:i/>
          <w:spacing w:val="-5"/>
          <w:sz w:val="20"/>
        </w:rPr>
        <w:t xml:space="preserve"> </w:t>
      </w:r>
      <w:r>
        <w:rPr>
          <w:i/>
          <w:sz w:val="20"/>
        </w:rPr>
        <w:t>Duty</w:t>
      </w:r>
      <w:r>
        <w:rPr>
          <w:i/>
          <w:spacing w:val="-4"/>
          <w:sz w:val="20"/>
        </w:rPr>
        <w:t xml:space="preserve"> </w:t>
      </w:r>
      <w:r>
        <w:rPr>
          <w:i/>
          <w:spacing w:val="-2"/>
          <w:sz w:val="20"/>
        </w:rPr>
        <w:t>Measures</w:t>
      </w:r>
      <w:r>
        <w:rPr>
          <w:i/>
          <w:sz w:val="20"/>
        </w:rPr>
        <w:tab/>
      </w:r>
      <w:r>
        <w:rPr>
          <w:sz w:val="20"/>
        </w:rPr>
        <w:t>Australia's</w:t>
      </w:r>
      <w:r>
        <w:rPr>
          <w:spacing w:val="-7"/>
          <w:sz w:val="20"/>
        </w:rPr>
        <w:t xml:space="preserve"> </w:t>
      </w:r>
      <w:r>
        <w:rPr>
          <w:sz w:val="20"/>
        </w:rPr>
        <w:t>First</w:t>
      </w:r>
      <w:r>
        <w:rPr>
          <w:spacing w:val="-2"/>
          <w:sz w:val="20"/>
        </w:rPr>
        <w:t xml:space="preserve"> </w:t>
      </w:r>
      <w:r>
        <w:rPr>
          <w:sz w:val="20"/>
        </w:rPr>
        <w:t>Written</w:t>
      </w:r>
      <w:r>
        <w:rPr>
          <w:spacing w:val="-2"/>
          <w:sz w:val="20"/>
        </w:rPr>
        <w:t xml:space="preserve"> Submission</w:t>
      </w:r>
    </w:p>
    <w:p w14:paraId="51DE941B" w14:textId="77777777" w:rsidR="0010369C" w:rsidRDefault="008E43AE">
      <w:pPr>
        <w:tabs>
          <w:tab w:val="left" w:pos="8228"/>
        </w:tabs>
        <w:spacing w:before="1"/>
        <w:ind w:left="239"/>
        <w:rPr>
          <w:sz w:val="20"/>
        </w:rPr>
      </w:pPr>
      <w:r>
        <w:rPr>
          <w:i/>
          <w:sz w:val="20"/>
        </w:rPr>
        <w:t>on</w:t>
      </w:r>
      <w:r>
        <w:rPr>
          <w:i/>
          <w:spacing w:val="-1"/>
          <w:sz w:val="20"/>
        </w:rPr>
        <w:t xml:space="preserve"> </w:t>
      </w:r>
      <w:r>
        <w:rPr>
          <w:i/>
          <w:sz w:val="20"/>
        </w:rPr>
        <w:t>Wine</w:t>
      </w:r>
      <w:r>
        <w:rPr>
          <w:i/>
          <w:spacing w:val="-1"/>
          <w:sz w:val="20"/>
        </w:rPr>
        <w:t xml:space="preserve"> </w:t>
      </w:r>
      <w:r>
        <w:rPr>
          <w:i/>
          <w:sz w:val="20"/>
        </w:rPr>
        <w:t>from</w:t>
      </w:r>
      <w:r>
        <w:rPr>
          <w:i/>
          <w:spacing w:val="-3"/>
          <w:sz w:val="20"/>
        </w:rPr>
        <w:t xml:space="preserve"> </w:t>
      </w:r>
      <w:r>
        <w:rPr>
          <w:i/>
          <w:sz w:val="20"/>
        </w:rPr>
        <w:t>Australia</w:t>
      </w:r>
      <w:r>
        <w:rPr>
          <w:i/>
          <w:spacing w:val="-1"/>
          <w:sz w:val="20"/>
        </w:rPr>
        <w:t xml:space="preserve"> </w:t>
      </w:r>
      <w:r>
        <w:rPr>
          <w:spacing w:val="-2"/>
          <w:sz w:val="20"/>
        </w:rPr>
        <w:t>(DS602)</w:t>
      </w:r>
      <w:r>
        <w:rPr>
          <w:sz w:val="20"/>
        </w:rPr>
        <w:tab/>
        <w:t>29</w:t>
      </w:r>
      <w:r>
        <w:rPr>
          <w:spacing w:val="-1"/>
          <w:sz w:val="20"/>
        </w:rPr>
        <w:t xml:space="preserve"> </w:t>
      </w:r>
      <w:r>
        <w:rPr>
          <w:sz w:val="20"/>
        </w:rPr>
        <w:t>April</w:t>
      </w:r>
      <w:r>
        <w:rPr>
          <w:spacing w:val="-2"/>
          <w:sz w:val="20"/>
        </w:rPr>
        <w:t xml:space="preserve"> </w:t>
      </w:r>
      <w:r>
        <w:rPr>
          <w:spacing w:val="-4"/>
          <w:sz w:val="20"/>
        </w:rPr>
        <w:t>2022</w:t>
      </w:r>
    </w:p>
    <w:p w14:paraId="51DE941C" w14:textId="77777777" w:rsidR="0010369C" w:rsidRDefault="008E43AE">
      <w:pPr>
        <w:pStyle w:val="ListParagraph"/>
        <w:numPr>
          <w:ilvl w:val="0"/>
          <w:numId w:val="1"/>
        </w:numPr>
        <w:tabs>
          <w:tab w:val="left" w:pos="1939"/>
          <w:tab w:val="left" w:pos="1940"/>
        </w:tabs>
        <w:spacing w:before="35" w:line="360" w:lineRule="auto"/>
        <w:ind w:right="614"/>
        <w:rPr>
          <w:b/>
          <w:sz w:val="28"/>
        </w:rPr>
      </w:pPr>
      <w:r>
        <w:rPr>
          <w:b/>
          <w:sz w:val="28"/>
        </w:rPr>
        <w:t>T</w:t>
      </w:r>
      <w:r>
        <w:rPr>
          <w:b/>
        </w:rPr>
        <w:t>HE</w:t>
      </w:r>
      <w:r>
        <w:rPr>
          <w:b/>
          <w:spacing w:val="40"/>
        </w:rPr>
        <w:t xml:space="preserve"> </w:t>
      </w:r>
      <w:r>
        <w:rPr>
          <w:b/>
        </w:rPr>
        <w:t>APPLICATION</w:t>
      </w:r>
      <w:r>
        <w:rPr>
          <w:b/>
          <w:spacing w:val="40"/>
        </w:rPr>
        <w:t xml:space="preserve"> </w:t>
      </w:r>
      <w:r>
        <w:rPr>
          <w:b/>
        </w:rPr>
        <w:t>WAS</w:t>
      </w:r>
      <w:r>
        <w:rPr>
          <w:b/>
          <w:spacing w:val="40"/>
        </w:rPr>
        <w:t xml:space="preserve"> </w:t>
      </w:r>
      <w:r>
        <w:rPr>
          <w:b/>
        </w:rPr>
        <w:t>NOT</w:t>
      </w:r>
      <w:r>
        <w:rPr>
          <w:b/>
          <w:spacing w:val="40"/>
        </w:rPr>
        <w:t xml:space="preserve"> </w:t>
      </w:r>
      <w:r>
        <w:rPr>
          <w:b/>
        </w:rPr>
        <w:t>MADE</w:t>
      </w:r>
      <w:r>
        <w:rPr>
          <w:b/>
          <w:spacing w:val="40"/>
        </w:rPr>
        <w:t xml:space="preserve"> </w:t>
      </w:r>
      <w:r>
        <w:rPr>
          <w:b/>
          <w:sz w:val="28"/>
        </w:rPr>
        <w:t>"</w:t>
      </w:r>
      <w:r>
        <w:rPr>
          <w:b/>
        </w:rPr>
        <w:t>BY</w:t>
      </w:r>
      <w:r>
        <w:rPr>
          <w:b/>
          <w:spacing w:val="40"/>
        </w:rPr>
        <w:t xml:space="preserve"> </w:t>
      </w:r>
      <w:r>
        <w:rPr>
          <w:b/>
        </w:rPr>
        <w:t>OR</w:t>
      </w:r>
      <w:r>
        <w:rPr>
          <w:b/>
          <w:spacing w:val="40"/>
        </w:rPr>
        <w:t xml:space="preserve"> </w:t>
      </w:r>
      <w:r>
        <w:rPr>
          <w:b/>
        </w:rPr>
        <w:t>ON</w:t>
      </w:r>
      <w:r>
        <w:rPr>
          <w:b/>
          <w:spacing w:val="40"/>
        </w:rPr>
        <w:t xml:space="preserve"> </w:t>
      </w:r>
      <w:r>
        <w:rPr>
          <w:b/>
        </w:rPr>
        <w:t>BEHALF</w:t>
      </w:r>
      <w:r>
        <w:rPr>
          <w:b/>
          <w:spacing w:val="40"/>
        </w:rPr>
        <w:t xml:space="preserve"> </w:t>
      </w:r>
      <w:r>
        <w:rPr>
          <w:b/>
        </w:rPr>
        <w:t>OF</w:t>
      </w:r>
      <w:r>
        <w:rPr>
          <w:b/>
          <w:spacing w:val="40"/>
        </w:rPr>
        <w:t xml:space="preserve"> </w:t>
      </w:r>
      <w:r>
        <w:rPr>
          <w:b/>
        </w:rPr>
        <w:t>THE</w:t>
      </w:r>
      <w:r>
        <w:rPr>
          <w:b/>
          <w:spacing w:val="40"/>
        </w:rPr>
        <w:t xml:space="preserve"> </w:t>
      </w:r>
      <w:r>
        <w:rPr>
          <w:b/>
        </w:rPr>
        <w:t xml:space="preserve">DOMESTIC </w:t>
      </w:r>
      <w:r>
        <w:rPr>
          <w:b/>
          <w:spacing w:val="-2"/>
        </w:rPr>
        <w:t>INDUSTRY</w:t>
      </w:r>
      <w:r>
        <w:rPr>
          <w:b/>
          <w:spacing w:val="-2"/>
          <w:sz w:val="28"/>
        </w:rPr>
        <w:t>"</w:t>
      </w:r>
    </w:p>
    <w:p w14:paraId="51DE941D" w14:textId="77777777" w:rsidR="0010369C" w:rsidRDefault="0010369C">
      <w:pPr>
        <w:pStyle w:val="BodyText"/>
        <w:spacing w:before="9"/>
        <w:rPr>
          <w:b/>
          <w:sz w:val="8"/>
        </w:rPr>
      </w:pPr>
    </w:p>
    <w:p w14:paraId="51DE941E" w14:textId="77777777" w:rsidR="0010369C" w:rsidRDefault="008E43AE">
      <w:pPr>
        <w:pStyle w:val="BodyText"/>
        <w:spacing w:before="52" w:line="360" w:lineRule="auto"/>
        <w:ind w:left="238" w:right="614" w:firstLine="851"/>
        <w:jc w:val="both"/>
      </w:pPr>
      <w:r>
        <w:rPr>
          <w:noProof/>
        </w:rPr>
        <w:drawing>
          <wp:anchor distT="0" distB="0" distL="0" distR="0" simplePos="0" relativeHeight="251341312" behindDoc="1" locked="0" layoutInCell="1" allowOverlap="1" wp14:anchorId="51DEA61D" wp14:editId="51DEA61E">
            <wp:simplePos x="0" y="0"/>
            <wp:positionH relativeFrom="page">
              <wp:posOffset>902208</wp:posOffset>
            </wp:positionH>
            <wp:positionV relativeFrom="paragraph">
              <wp:posOffset>81357</wp:posOffset>
            </wp:positionV>
            <wp:extent cx="262127" cy="103631"/>
            <wp:effectExtent l="0" t="0" r="0" b="0"/>
            <wp:wrapNone/>
            <wp:docPr id="1443" name="image7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 name="image749.png"/>
                    <pic:cNvPicPr/>
                  </pic:nvPicPr>
                  <pic:blipFill>
                    <a:blip r:embed="rId983" cstate="print"/>
                    <a:stretch>
                      <a:fillRect/>
                    </a:stretch>
                  </pic:blipFill>
                  <pic:spPr>
                    <a:xfrm>
                      <a:off x="0" y="0"/>
                      <a:ext cx="262127" cy="103631"/>
                    </a:xfrm>
                    <a:prstGeom prst="rect">
                      <a:avLst/>
                    </a:prstGeom>
                  </pic:spPr>
                </pic:pic>
              </a:graphicData>
            </a:graphic>
          </wp:anchor>
        </w:drawing>
      </w:r>
      <w:r>
        <w:t>China's</w:t>
      </w:r>
      <w:r>
        <w:rPr>
          <w:spacing w:val="-5"/>
        </w:rPr>
        <w:t xml:space="preserve"> </w:t>
      </w:r>
      <w:r>
        <w:t>initiation</w:t>
      </w:r>
      <w:r>
        <w:rPr>
          <w:spacing w:val="-5"/>
        </w:rPr>
        <w:t xml:space="preserve"> </w:t>
      </w:r>
      <w:r>
        <w:t>of</w:t>
      </w:r>
      <w:r>
        <w:rPr>
          <w:spacing w:val="-6"/>
        </w:rPr>
        <w:t xml:space="preserve"> </w:t>
      </w:r>
      <w:r>
        <w:t>the</w:t>
      </w:r>
      <w:r>
        <w:rPr>
          <w:spacing w:val="-5"/>
        </w:rPr>
        <w:t xml:space="preserve"> </w:t>
      </w:r>
      <w:r>
        <w:t>investigation</w:t>
      </w:r>
      <w:r>
        <w:rPr>
          <w:spacing w:val="-4"/>
        </w:rPr>
        <w:t xml:space="preserve"> </w:t>
      </w:r>
      <w:r>
        <w:t>was</w:t>
      </w:r>
      <w:r>
        <w:rPr>
          <w:spacing w:val="-5"/>
        </w:rPr>
        <w:t xml:space="preserve"> </w:t>
      </w:r>
      <w:r>
        <w:t>contrary</w:t>
      </w:r>
      <w:r>
        <w:rPr>
          <w:spacing w:val="-5"/>
        </w:rPr>
        <w:t xml:space="preserve"> </w:t>
      </w:r>
      <w:r>
        <w:t>to</w:t>
      </w:r>
      <w:r>
        <w:rPr>
          <w:spacing w:val="-4"/>
        </w:rPr>
        <w:t xml:space="preserve"> </w:t>
      </w:r>
      <w:r>
        <w:t>Article</w:t>
      </w:r>
      <w:r>
        <w:rPr>
          <w:spacing w:val="-5"/>
        </w:rPr>
        <w:t xml:space="preserve"> </w:t>
      </w:r>
      <w:r>
        <w:t>5.4</w:t>
      </w:r>
      <w:r>
        <w:rPr>
          <w:spacing w:val="-5"/>
        </w:rPr>
        <w:t xml:space="preserve"> </w:t>
      </w:r>
      <w:r>
        <w:t>of</w:t>
      </w:r>
      <w:r>
        <w:rPr>
          <w:spacing w:val="-5"/>
        </w:rPr>
        <w:t xml:space="preserve"> </w:t>
      </w:r>
      <w:r>
        <w:t>the</w:t>
      </w:r>
      <w:r>
        <w:rPr>
          <w:spacing w:val="-5"/>
        </w:rPr>
        <w:t xml:space="preserve"> </w:t>
      </w:r>
      <w:r>
        <w:t>Anti‐Dumping Agreement because an unbiased and objective investigating authority could not have determined that the applicant had the requisite standing.</w:t>
      </w:r>
    </w:p>
    <w:p w14:paraId="51DE941F" w14:textId="77777777" w:rsidR="0010369C" w:rsidRDefault="008E43AE">
      <w:pPr>
        <w:pStyle w:val="Heading4"/>
        <w:numPr>
          <w:ilvl w:val="1"/>
          <w:numId w:val="1"/>
        </w:numPr>
        <w:tabs>
          <w:tab w:val="left" w:pos="2649"/>
          <w:tab w:val="left" w:pos="2650"/>
        </w:tabs>
        <w:ind w:hanging="852"/>
        <w:jc w:val="both"/>
      </w:pPr>
      <w:r>
        <w:t>Legal</w:t>
      </w:r>
      <w:r>
        <w:rPr>
          <w:spacing w:val="-7"/>
        </w:rPr>
        <w:t xml:space="preserve"> </w:t>
      </w:r>
      <w:r>
        <w:rPr>
          <w:spacing w:val="-2"/>
        </w:rPr>
        <w:t>framework</w:t>
      </w:r>
    </w:p>
    <w:p w14:paraId="51DE9420" w14:textId="77777777" w:rsidR="0010369C" w:rsidRDefault="0010369C">
      <w:pPr>
        <w:pStyle w:val="BodyText"/>
        <w:spacing w:before="10"/>
        <w:rPr>
          <w:b/>
          <w:sz w:val="20"/>
        </w:rPr>
      </w:pPr>
    </w:p>
    <w:p w14:paraId="51DE9421" w14:textId="77777777" w:rsidR="0010369C" w:rsidRDefault="008E43AE">
      <w:pPr>
        <w:pStyle w:val="BodyText"/>
        <w:spacing w:before="52" w:line="360" w:lineRule="auto"/>
        <w:ind w:left="237" w:right="615" w:firstLine="851"/>
        <w:jc w:val="both"/>
      </w:pPr>
      <w:r>
        <w:rPr>
          <w:noProof/>
        </w:rPr>
        <w:drawing>
          <wp:anchor distT="0" distB="0" distL="0" distR="0" simplePos="0" relativeHeight="251342336" behindDoc="1" locked="0" layoutInCell="1" allowOverlap="1" wp14:anchorId="51DEA61F" wp14:editId="51DEA620">
            <wp:simplePos x="0" y="0"/>
            <wp:positionH relativeFrom="page">
              <wp:posOffset>902208</wp:posOffset>
            </wp:positionH>
            <wp:positionV relativeFrom="paragraph">
              <wp:posOffset>78309</wp:posOffset>
            </wp:positionV>
            <wp:extent cx="262127" cy="103631"/>
            <wp:effectExtent l="0" t="0" r="0" b="0"/>
            <wp:wrapNone/>
            <wp:docPr id="1445" name="image7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 name="image750.png"/>
                    <pic:cNvPicPr/>
                  </pic:nvPicPr>
                  <pic:blipFill>
                    <a:blip r:embed="rId984" cstate="print"/>
                    <a:stretch>
                      <a:fillRect/>
                    </a:stretch>
                  </pic:blipFill>
                  <pic:spPr>
                    <a:xfrm>
                      <a:off x="0" y="0"/>
                      <a:ext cx="262127" cy="103631"/>
                    </a:xfrm>
                    <a:prstGeom prst="rect">
                      <a:avLst/>
                    </a:prstGeom>
                  </pic:spPr>
                </pic:pic>
              </a:graphicData>
            </a:graphic>
          </wp:anchor>
        </w:drawing>
      </w:r>
      <w:r>
        <w:t>Pursuant</w:t>
      </w:r>
      <w:r>
        <w:rPr>
          <w:spacing w:val="-9"/>
        </w:rPr>
        <w:t xml:space="preserve"> </w:t>
      </w:r>
      <w:r>
        <w:t>to</w:t>
      </w:r>
      <w:r>
        <w:rPr>
          <w:spacing w:val="-8"/>
        </w:rPr>
        <w:t xml:space="preserve"> </w:t>
      </w:r>
      <w:r>
        <w:t>Article</w:t>
      </w:r>
      <w:r>
        <w:rPr>
          <w:spacing w:val="-9"/>
        </w:rPr>
        <w:t xml:space="preserve"> </w:t>
      </w:r>
      <w:r>
        <w:t>5.1</w:t>
      </w:r>
      <w:r>
        <w:rPr>
          <w:spacing w:val="-9"/>
        </w:rPr>
        <w:t xml:space="preserve"> </w:t>
      </w:r>
      <w:r>
        <w:t>of</w:t>
      </w:r>
      <w:r>
        <w:rPr>
          <w:spacing w:val="-9"/>
        </w:rPr>
        <w:t xml:space="preserve"> </w:t>
      </w:r>
      <w:r>
        <w:t>the</w:t>
      </w:r>
      <w:r>
        <w:rPr>
          <w:spacing w:val="-8"/>
        </w:rPr>
        <w:t xml:space="preserve"> </w:t>
      </w:r>
      <w:r>
        <w:t>Anti‐Dumping</w:t>
      </w:r>
      <w:r>
        <w:rPr>
          <w:spacing w:val="-8"/>
        </w:rPr>
        <w:t xml:space="preserve"> </w:t>
      </w:r>
      <w:r>
        <w:t>Agreement,</w:t>
      </w:r>
      <w:r>
        <w:rPr>
          <w:spacing w:val="-9"/>
        </w:rPr>
        <w:t xml:space="preserve"> </w:t>
      </w:r>
      <w:r>
        <w:t>an</w:t>
      </w:r>
      <w:r>
        <w:rPr>
          <w:spacing w:val="-9"/>
        </w:rPr>
        <w:t xml:space="preserve"> </w:t>
      </w:r>
      <w:r>
        <w:t>investigation</w:t>
      </w:r>
      <w:r>
        <w:rPr>
          <w:spacing w:val="-9"/>
        </w:rPr>
        <w:t xml:space="preserve"> </w:t>
      </w:r>
      <w:r>
        <w:t>may</w:t>
      </w:r>
      <w:r>
        <w:rPr>
          <w:spacing w:val="-9"/>
        </w:rPr>
        <w:t xml:space="preserve"> </w:t>
      </w:r>
      <w:r>
        <w:t>only</w:t>
      </w:r>
      <w:r>
        <w:rPr>
          <w:spacing w:val="-8"/>
        </w:rPr>
        <w:t xml:space="preserve"> </w:t>
      </w:r>
      <w:r>
        <w:t xml:space="preserve">be </w:t>
      </w:r>
      <w:r>
        <w:t>initiated</w:t>
      </w:r>
      <w:r>
        <w:rPr>
          <w:spacing w:val="-3"/>
        </w:rPr>
        <w:t xml:space="preserve"> </w:t>
      </w:r>
      <w:r>
        <w:t>if</w:t>
      </w:r>
      <w:r>
        <w:rPr>
          <w:spacing w:val="-4"/>
        </w:rPr>
        <w:t xml:space="preserve"> </w:t>
      </w:r>
      <w:r>
        <w:t>the</w:t>
      </w:r>
      <w:r>
        <w:rPr>
          <w:spacing w:val="-3"/>
        </w:rPr>
        <w:t xml:space="preserve"> </w:t>
      </w:r>
      <w:r>
        <w:t>application</w:t>
      </w:r>
      <w:r>
        <w:rPr>
          <w:spacing w:val="-4"/>
        </w:rPr>
        <w:t xml:space="preserve"> </w:t>
      </w:r>
      <w:r>
        <w:t>has</w:t>
      </w:r>
      <w:r>
        <w:rPr>
          <w:spacing w:val="-4"/>
        </w:rPr>
        <w:t xml:space="preserve"> </w:t>
      </w:r>
      <w:r>
        <w:t>been</w:t>
      </w:r>
      <w:r>
        <w:rPr>
          <w:spacing w:val="-4"/>
        </w:rPr>
        <w:t xml:space="preserve"> </w:t>
      </w:r>
      <w:r>
        <w:t>made</w:t>
      </w:r>
      <w:r>
        <w:rPr>
          <w:spacing w:val="-3"/>
        </w:rPr>
        <w:t xml:space="preserve"> </w:t>
      </w:r>
      <w:r>
        <w:t>"by</w:t>
      </w:r>
      <w:r>
        <w:rPr>
          <w:spacing w:val="-3"/>
        </w:rPr>
        <w:t xml:space="preserve"> </w:t>
      </w:r>
      <w:r>
        <w:t>or</w:t>
      </w:r>
      <w:r>
        <w:rPr>
          <w:spacing w:val="-4"/>
        </w:rPr>
        <w:t xml:space="preserve"> </w:t>
      </w:r>
      <w:r>
        <w:t>on</w:t>
      </w:r>
      <w:r>
        <w:rPr>
          <w:spacing w:val="-4"/>
        </w:rPr>
        <w:t xml:space="preserve"> </w:t>
      </w:r>
      <w:r>
        <w:t>behalf</w:t>
      </w:r>
      <w:r>
        <w:rPr>
          <w:spacing w:val="-4"/>
        </w:rPr>
        <w:t xml:space="preserve"> </w:t>
      </w:r>
      <w:r>
        <w:t>of</w:t>
      </w:r>
      <w:r>
        <w:rPr>
          <w:spacing w:val="-4"/>
        </w:rPr>
        <w:t xml:space="preserve"> </w:t>
      </w:r>
      <w:r>
        <w:t>the</w:t>
      </w:r>
      <w:r>
        <w:rPr>
          <w:spacing w:val="-3"/>
        </w:rPr>
        <w:t xml:space="preserve"> </w:t>
      </w:r>
      <w:r>
        <w:t>domestic</w:t>
      </w:r>
      <w:r>
        <w:rPr>
          <w:spacing w:val="-3"/>
        </w:rPr>
        <w:t xml:space="preserve"> </w:t>
      </w:r>
      <w:r>
        <w:t>industry",</w:t>
      </w:r>
      <w:r>
        <w:rPr>
          <w:spacing w:val="-3"/>
        </w:rPr>
        <w:t xml:space="preserve"> </w:t>
      </w:r>
      <w:r>
        <w:t>and</w:t>
      </w:r>
      <w:r>
        <w:rPr>
          <w:spacing w:val="-4"/>
        </w:rPr>
        <w:t xml:space="preserve"> </w:t>
      </w:r>
      <w:r>
        <w:t>has the support of the domestic industry, otherwise known as "standing".</w:t>
      </w:r>
      <w:r>
        <w:rPr>
          <w:vertAlign w:val="superscript"/>
        </w:rPr>
        <w:t>890</w:t>
      </w:r>
      <w:r>
        <w:t xml:space="preserve"> The standing requirement is set out in Article 5.4 of the Anti‐Dumping Agreement, which contains two numerical</w:t>
      </w:r>
      <w:r>
        <w:rPr>
          <w:spacing w:val="-11"/>
        </w:rPr>
        <w:t xml:space="preserve"> </w:t>
      </w:r>
      <w:r>
        <w:t>benchmarks</w:t>
      </w:r>
      <w:r>
        <w:rPr>
          <w:spacing w:val="-12"/>
        </w:rPr>
        <w:t xml:space="preserve"> </w:t>
      </w:r>
      <w:r>
        <w:t>for</w:t>
      </w:r>
      <w:r>
        <w:rPr>
          <w:spacing w:val="-12"/>
        </w:rPr>
        <w:t xml:space="preserve"> </w:t>
      </w:r>
      <w:r>
        <w:t>determining</w:t>
      </w:r>
      <w:r>
        <w:rPr>
          <w:spacing w:val="-12"/>
        </w:rPr>
        <w:t xml:space="preserve"> </w:t>
      </w:r>
      <w:r>
        <w:t>whether</w:t>
      </w:r>
      <w:r>
        <w:rPr>
          <w:spacing w:val="-12"/>
        </w:rPr>
        <w:t xml:space="preserve"> </w:t>
      </w:r>
      <w:r>
        <w:t>an</w:t>
      </w:r>
      <w:r>
        <w:rPr>
          <w:spacing w:val="-13"/>
        </w:rPr>
        <w:t xml:space="preserve"> </w:t>
      </w:r>
      <w:r>
        <w:t>application</w:t>
      </w:r>
      <w:r>
        <w:rPr>
          <w:spacing w:val="-12"/>
        </w:rPr>
        <w:t xml:space="preserve"> </w:t>
      </w:r>
      <w:r>
        <w:t>has</w:t>
      </w:r>
      <w:r>
        <w:rPr>
          <w:spacing w:val="-12"/>
        </w:rPr>
        <w:t xml:space="preserve"> </w:t>
      </w:r>
      <w:r>
        <w:t>been</w:t>
      </w:r>
      <w:r>
        <w:rPr>
          <w:spacing w:val="-12"/>
        </w:rPr>
        <w:t xml:space="preserve"> </w:t>
      </w:r>
      <w:r>
        <w:t>made</w:t>
      </w:r>
      <w:r>
        <w:rPr>
          <w:spacing w:val="-12"/>
        </w:rPr>
        <w:t xml:space="preserve"> </w:t>
      </w:r>
      <w:r>
        <w:t>by</w:t>
      </w:r>
      <w:r>
        <w:rPr>
          <w:spacing w:val="-12"/>
        </w:rPr>
        <w:t xml:space="preserve"> </w:t>
      </w:r>
      <w:r>
        <w:t>or</w:t>
      </w:r>
      <w:r>
        <w:rPr>
          <w:spacing w:val="-13"/>
        </w:rPr>
        <w:t xml:space="preserve"> </w:t>
      </w:r>
      <w:r>
        <w:t>on</w:t>
      </w:r>
      <w:r>
        <w:rPr>
          <w:spacing w:val="-12"/>
        </w:rPr>
        <w:t xml:space="preserve"> </w:t>
      </w:r>
      <w:r>
        <w:t>behalf of the domestic industry:</w:t>
      </w:r>
    </w:p>
    <w:p w14:paraId="51DE9422" w14:textId="77777777" w:rsidR="0010369C" w:rsidRDefault="008E43AE">
      <w:pPr>
        <w:spacing w:before="161" w:line="276" w:lineRule="auto"/>
        <w:ind w:left="1088" w:right="615"/>
        <w:jc w:val="both"/>
      </w:pPr>
      <w:r>
        <w:t xml:space="preserve">An application shall be considered to </w:t>
      </w:r>
      <w:r>
        <w:t>have been made "by or on behalf of the domestic industry"</w:t>
      </w:r>
      <w:r>
        <w:rPr>
          <w:spacing w:val="-1"/>
        </w:rPr>
        <w:t xml:space="preserve"> </w:t>
      </w:r>
      <w:r>
        <w:t>if</w:t>
      </w:r>
      <w:r>
        <w:rPr>
          <w:spacing w:val="-1"/>
        </w:rPr>
        <w:t xml:space="preserve"> </w:t>
      </w:r>
      <w:r>
        <w:t>it</w:t>
      </w:r>
      <w:r>
        <w:rPr>
          <w:spacing w:val="-1"/>
        </w:rPr>
        <w:t xml:space="preserve"> </w:t>
      </w:r>
      <w:r>
        <w:t>is</w:t>
      </w:r>
      <w:r>
        <w:rPr>
          <w:spacing w:val="-1"/>
        </w:rPr>
        <w:t xml:space="preserve"> </w:t>
      </w:r>
      <w:r>
        <w:t>supported by</w:t>
      </w:r>
      <w:r>
        <w:rPr>
          <w:spacing w:val="-1"/>
        </w:rPr>
        <w:t xml:space="preserve"> </w:t>
      </w:r>
      <w:r>
        <w:t>those</w:t>
      </w:r>
      <w:r>
        <w:rPr>
          <w:spacing w:val="-2"/>
        </w:rPr>
        <w:t xml:space="preserve"> </w:t>
      </w:r>
      <w:r>
        <w:t>domestic</w:t>
      </w:r>
      <w:r>
        <w:rPr>
          <w:spacing w:val="-2"/>
        </w:rPr>
        <w:t xml:space="preserve"> </w:t>
      </w:r>
      <w:r>
        <w:t>producers</w:t>
      </w:r>
      <w:r>
        <w:rPr>
          <w:spacing w:val="-1"/>
        </w:rPr>
        <w:t xml:space="preserve"> </w:t>
      </w:r>
      <w:r>
        <w:t>whose</w:t>
      </w:r>
      <w:r>
        <w:rPr>
          <w:spacing w:val="-2"/>
        </w:rPr>
        <w:t xml:space="preserve"> </w:t>
      </w:r>
      <w:r>
        <w:t>collective</w:t>
      </w:r>
      <w:r>
        <w:rPr>
          <w:spacing w:val="-2"/>
        </w:rPr>
        <w:t xml:space="preserve"> </w:t>
      </w:r>
      <w:r>
        <w:t>output</w:t>
      </w:r>
      <w:r>
        <w:rPr>
          <w:spacing w:val="-1"/>
        </w:rPr>
        <w:t xml:space="preserve"> </w:t>
      </w:r>
      <w:r>
        <w:t>constitutes more than 50 per cent of the total production of the like product produced by that portion of the domestic industry</w:t>
      </w:r>
      <w:r>
        <w:t xml:space="preserve"> expressing either support for or opposition to the application. However, no investigation shall be initiated when domestic producers expressly supporting the application account for less than 25 per cent of total production of the like product produced by</w:t>
      </w:r>
      <w:r>
        <w:t xml:space="preserve"> the domestic industry.</w:t>
      </w:r>
    </w:p>
    <w:p w14:paraId="51DE9423" w14:textId="77777777" w:rsidR="0010369C" w:rsidRDefault="0010369C">
      <w:pPr>
        <w:pStyle w:val="BodyText"/>
        <w:spacing w:before="4"/>
        <w:rPr>
          <w:sz w:val="15"/>
        </w:rPr>
      </w:pPr>
    </w:p>
    <w:p w14:paraId="51DE9424" w14:textId="77777777" w:rsidR="0010369C" w:rsidRDefault="008E43AE">
      <w:pPr>
        <w:pStyle w:val="BodyText"/>
        <w:spacing w:before="51" w:line="360" w:lineRule="auto"/>
        <w:ind w:left="238" w:right="612" w:firstLine="851"/>
        <w:jc w:val="both"/>
      </w:pPr>
      <w:r>
        <w:rPr>
          <w:noProof/>
        </w:rPr>
        <w:drawing>
          <wp:anchor distT="0" distB="0" distL="0" distR="0" simplePos="0" relativeHeight="251343360" behindDoc="1" locked="0" layoutInCell="1" allowOverlap="1" wp14:anchorId="51DEA621" wp14:editId="51DEA622">
            <wp:simplePos x="0" y="0"/>
            <wp:positionH relativeFrom="page">
              <wp:posOffset>902208</wp:posOffset>
            </wp:positionH>
            <wp:positionV relativeFrom="paragraph">
              <wp:posOffset>77675</wp:posOffset>
            </wp:positionV>
            <wp:extent cx="262127" cy="106679"/>
            <wp:effectExtent l="0" t="0" r="0" b="0"/>
            <wp:wrapNone/>
            <wp:docPr id="1447" name="image7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 name="image751.png"/>
                    <pic:cNvPicPr/>
                  </pic:nvPicPr>
                  <pic:blipFill>
                    <a:blip r:embed="rId985" cstate="print"/>
                    <a:stretch>
                      <a:fillRect/>
                    </a:stretch>
                  </pic:blipFill>
                  <pic:spPr>
                    <a:xfrm>
                      <a:off x="0" y="0"/>
                      <a:ext cx="262127" cy="106679"/>
                    </a:xfrm>
                    <a:prstGeom prst="rect">
                      <a:avLst/>
                    </a:prstGeom>
                  </pic:spPr>
                </pic:pic>
              </a:graphicData>
            </a:graphic>
          </wp:anchor>
        </w:drawing>
      </w:r>
      <w:r>
        <w:t>In</w:t>
      </w:r>
      <w:r>
        <w:rPr>
          <w:spacing w:val="-2"/>
        </w:rPr>
        <w:t xml:space="preserve"> </w:t>
      </w:r>
      <w:r>
        <w:t>order</w:t>
      </w:r>
      <w:r>
        <w:rPr>
          <w:spacing w:val="-1"/>
        </w:rPr>
        <w:t xml:space="preserve"> </w:t>
      </w:r>
      <w:r>
        <w:t>to</w:t>
      </w:r>
      <w:r>
        <w:rPr>
          <w:spacing w:val="-1"/>
        </w:rPr>
        <w:t xml:space="preserve"> </w:t>
      </w:r>
      <w:r>
        <w:t>establish</w:t>
      </w:r>
      <w:r>
        <w:rPr>
          <w:spacing w:val="-2"/>
        </w:rPr>
        <w:t xml:space="preserve"> </w:t>
      </w:r>
      <w:r>
        <w:t>whether</w:t>
      </w:r>
      <w:r>
        <w:rPr>
          <w:spacing w:val="-1"/>
        </w:rPr>
        <w:t xml:space="preserve"> </w:t>
      </w:r>
      <w:r>
        <w:t>the</w:t>
      </w:r>
      <w:r>
        <w:rPr>
          <w:spacing w:val="-1"/>
        </w:rPr>
        <w:t xml:space="preserve"> </w:t>
      </w:r>
      <w:r>
        <w:t>obligations</w:t>
      </w:r>
      <w:r>
        <w:rPr>
          <w:spacing w:val="-2"/>
        </w:rPr>
        <w:t xml:space="preserve"> </w:t>
      </w:r>
      <w:r>
        <w:t>in</w:t>
      </w:r>
      <w:r>
        <w:rPr>
          <w:spacing w:val="-2"/>
        </w:rPr>
        <w:t xml:space="preserve"> </w:t>
      </w:r>
      <w:r>
        <w:t>Article</w:t>
      </w:r>
      <w:r>
        <w:rPr>
          <w:spacing w:val="-1"/>
        </w:rPr>
        <w:t xml:space="preserve"> </w:t>
      </w:r>
      <w:r>
        <w:t>5.4</w:t>
      </w:r>
      <w:r>
        <w:rPr>
          <w:spacing w:val="-2"/>
        </w:rPr>
        <w:t xml:space="preserve"> </w:t>
      </w:r>
      <w:r>
        <w:t>have been</w:t>
      </w:r>
      <w:r>
        <w:rPr>
          <w:spacing w:val="-1"/>
        </w:rPr>
        <w:t xml:space="preserve"> </w:t>
      </w:r>
      <w:r>
        <w:t>complied</w:t>
      </w:r>
      <w:r>
        <w:rPr>
          <w:spacing w:val="-2"/>
        </w:rPr>
        <w:t xml:space="preserve"> </w:t>
      </w:r>
      <w:r>
        <w:t>with, a panel must examine an investigating authority's determination, in light of the evidence before the authority at the time the determination was made.</w:t>
      </w:r>
      <w:r>
        <w:rPr>
          <w:vertAlign w:val="superscript"/>
        </w:rPr>
        <w:t>891</w:t>
      </w:r>
    </w:p>
    <w:p w14:paraId="51DE9425" w14:textId="77777777" w:rsidR="0010369C" w:rsidRDefault="0010369C">
      <w:pPr>
        <w:pStyle w:val="BodyText"/>
        <w:spacing w:before="11"/>
        <w:rPr>
          <w:sz w:val="8"/>
        </w:rPr>
      </w:pPr>
    </w:p>
    <w:p w14:paraId="51DE9426" w14:textId="77777777" w:rsidR="0010369C" w:rsidRDefault="008E43AE">
      <w:pPr>
        <w:pStyle w:val="BodyText"/>
        <w:spacing w:before="52" w:line="360" w:lineRule="auto"/>
        <w:ind w:left="237" w:right="613" w:firstLine="851"/>
        <w:jc w:val="both"/>
      </w:pPr>
      <w:r>
        <w:rPr>
          <w:noProof/>
        </w:rPr>
        <w:drawing>
          <wp:anchor distT="0" distB="0" distL="0" distR="0" simplePos="0" relativeHeight="251344384" behindDoc="1" locked="0" layoutInCell="1" allowOverlap="1" wp14:anchorId="51DEA623" wp14:editId="51DEA624">
            <wp:simplePos x="0" y="0"/>
            <wp:positionH relativeFrom="page">
              <wp:posOffset>902208</wp:posOffset>
            </wp:positionH>
            <wp:positionV relativeFrom="paragraph">
              <wp:posOffset>81357</wp:posOffset>
            </wp:positionV>
            <wp:extent cx="262127" cy="103631"/>
            <wp:effectExtent l="0" t="0" r="0" b="0"/>
            <wp:wrapNone/>
            <wp:docPr id="1449" name="image7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 name="image752.png"/>
                    <pic:cNvPicPr/>
                  </pic:nvPicPr>
                  <pic:blipFill>
                    <a:blip r:embed="rId986" cstate="print"/>
                    <a:stretch>
                      <a:fillRect/>
                    </a:stretch>
                  </pic:blipFill>
                  <pic:spPr>
                    <a:xfrm>
                      <a:off x="0" y="0"/>
                      <a:ext cx="262127" cy="103631"/>
                    </a:xfrm>
                    <a:prstGeom prst="rect">
                      <a:avLst/>
                    </a:prstGeom>
                  </pic:spPr>
                </pic:pic>
              </a:graphicData>
            </a:graphic>
          </wp:anchor>
        </w:drawing>
      </w:r>
      <w:r>
        <w:t>A failure to properly determine standing prior to initiation constitutes a fatal error that ca</w:t>
      </w:r>
      <w:r>
        <w:t>nnot be repaired later in the proceeding.</w:t>
      </w:r>
      <w:r>
        <w:rPr>
          <w:vertAlign w:val="superscript"/>
        </w:rPr>
        <w:t>892</w:t>
      </w:r>
      <w:r>
        <w:t xml:space="preserve"> In </w:t>
      </w:r>
      <w:r>
        <w:rPr>
          <w:i/>
        </w:rPr>
        <w:t>EC – Salmon (Norway)</w:t>
      </w:r>
      <w:r>
        <w:t>, the panel concluded</w:t>
      </w:r>
      <w:r>
        <w:rPr>
          <w:spacing w:val="5"/>
        </w:rPr>
        <w:t xml:space="preserve"> </w:t>
      </w:r>
      <w:r>
        <w:t>that</w:t>
      </w:r>
      <w:r>
        <w:rPr>
          <w:spacing w:val="7"/>
        </w:rPr>
        <w:t xml:space="preserve"> </w:t>
      </w:r>
      <w:r>
        <w:t>an</w:t>
      </w:r>
      <w:r>
        <w:rPr>
          <w:spacing w:val="6"/>
        </w:rPr>
        <w:t xml:space="preserve"> </w:t>
      </w:r>
      <w:r>
        <w:t>incorrect</w:t>
      </w:r>
      <w:r>
        <w:rPr>
          <w:spacing w:val="8"/>
        </w:rPr>
        <w:t xml:space="preserve"> </w:t>
      </w:r>
      <w:r>
        <w:t>definition</w:t>
      </w:r>
      <w:r>
        <w:rPr>
          <w:spacing w:val="7"/>
        </w:rPr>
        <w:t xml:space="preserve"> </w:t>
      </w:r>
      <w:r>
        <w:t>of</w:t>
      </w:r>
      <w:r>
        <w:rPr>
          <w:spacing w:val="7"/>
        </w:rPr>
        <w:t xml:space="preserve"> </w:t>
      </w:r>
      <w:r>
        <w:t>domestic</w:t>
      </w:r>
      <w:r>
        <w:rPr>
          <w:spacing w:val="7"/>
        </w:rPr>
        <w:t xml:space="preserve"> </w:t>
      </w:r>
      <w:r>
        <w:t>industry</w:t>
      </w:r>
      <w:r>
        <w:rPr>
          <w:spacing w:val="8"/>
        </w:rPr>
        <w:t xml:space="preserve"> </w:t>
      </w:r>
      <w:r>
        <w:t>resulted</w:t>
      </w:r>
      <w:r>
        <w:rPr>
          <w:spacing w:val="6"/>
        </w:rPr>
        <w:t xml:space="preserve"> </w:t>
      </w:r>
      <w:r>
        <w:t>in</w:t>
      </w:r>
      <w:r>
        <w:rPr>
          <w:spacing w:val="8"/>
        </w:rPr>
        <w:t xml:space="preserve"> </w:t>
      </w:r>
      <w:r>
        <w:rPr>
          <w:i/>
        </w:rPr>
        <w:t>inter</w:t>
      </w:r>
      <w:r>
        <w:rPr>
          <w:i/>
          <w:spacing w:val="7"/>
        </w:rPr>
        <w:t xml:space="preserve"> </w:t>
      </w:r>
      <w:r>
        <w:rPr>
          <w:i/>
        </w:rPr>
        <w:t>alia,</w:t>
      </w:r>
      <w:r>
        <w:rPr>
          <w:i/>
          <w:spacing w:val="7"/>
        </w:rPr>
        <w:t xml:space="preserve"> </w:t>
      </w:r>
      <w:r>
        <w:t>the</w:t>
      </w:r>
      <w:r>
        <w:rPr>
          <w:spacing w:val="7"/>
        </w:rPr>
        <w:t xml:space="preserve"> </w:t>
      </w:r>
      <w:r>
        <w:rPr>
          <w:spacing w:val="-2"/>
        </w:rPr>
        <w:t>wrong</w:t>
      </w:r>
    </w:p>
    <w:p w14:paraId="51DE9427" w14:textId="77777777" w:rsidR="0010369C" w:rsidRDefault="0010369C">
      <w:pPr>
        <w:pStyle w:val="BodyText"/>
        <w:rPr>
          <w:sz w:val="20"/>
        </w:rPr>
      </w:pPr>
    </w:p>
    <w:p w14:paraId="51DE9428" w14:textId="77777777" w:rsidR="0010369C" w:rsidRDefault="0010369C">
      <w:pPr>
        <w:pStyle w:val="BodyText"/>
        <w:rPr>
          <w:sz w:val="20"/>
        </w:rPr>
      </w:pPr>
    </w:p>
    <w:p w14:paraId="51DE9429" w14:textId="77777777" w:rsidR="0010369C" w:rsidRDefault="0010369C">
      <w:pPr>
        <w:pStyle w:val="BodyText"/>
        <w:rPr>
          <w:sz w:val="20"/>
        </w:rPr>
      </w:pPr>
    </w:p>
    <w:p w14:paraId="51DE942A" w14:textId="77777777" w:rsidR="0010369C" w:rsidRDefault="008E43AE">
      <w:pPr>
        <w:pStyle w:val="BodyText"/>
        <w:spacing w:before="7"/>
        <w:rPr>
          <w:sz w:val="26"/>
        </w:rPr>
      </w:pPr>
      <w:r>
        <w:pict w14:anchorId="51DEA625">
          <v:rect id="docshape1223" o:spid="_x0000_s1197" style="position:absolute;margin-left:70.9pt;margin-top:17.45pt;width:2in;height:.8pt;z-index:-250763776;mso-wrap-distance-left:0;mso-wrap-distance-right:0;mso-position-horizontal-relative:page" fillcolor="black" stroked="f">
            <w10:wrap type="topAndBottom" anchorx="page"/>
          </v:rect>
        </w:pict>
      </w:r>
    </w:p>
    <w:p w14:paraId="51DE942B" w14:textId="77777777" w:rsidR="0010369C" w:rsidRDefault="008E43AE">
      <w:pPr>
        <w:spacing w:before="109"/>
        <w:ind w:left="238"/>
        <w:jc w:val="both"/>
        <w:rPr>
          <w:sz w:val="18"/>
        </w:rPr>
      </w:pPr>
      <w:r>
        <w:rPr>
          <w:sz w:val="18"/>
          <w:vertAlign w:val="superscript"/>
        </w:rPr>
        <w:t>890</w:t>
      </w:r>
      <w:r>
        <w:rPr>
          <w:spacing w:val="9"/>
          <w:sz w:val="18"/>
        </w:rPr>
        <w:t xml:space="preserve"> </w:t>
      </w:r>
      <w:r>
        <w:rPr>
          <w:sz w:val="18"/>
        </w:rPr>
        <w:t>Appellate</w:t>
      </w:r>
      <w:r>
        <w:rPr>
          <w:spacing w:val="9"/>
          <w:sz w:val="18"/>
        </w:rPr>
        <w:t xml:space="preserve"> </w:t>
      </w:r>
      <w:r>
        <w:rPr>
          <w:sz w:val="18"/>
        </w:rPr>
        <w:t>Body</w:t>
      </w:r>
      <w:r>
        <w:rPr>
          <w:spacing w:val="8"/>
          <w:sz w:val="18"/>
        </w:rPr>
        <w:t xml:space="preserve"> </w:t>
      </w:r>
      <w:r>
        <w:rPr>
          <w:sz w:val="18"/>
        </w:rPr>
        <w:t>Report,</w:t>
      </w:r>
      <w:r>
        <w:rPr>
          <w:spacing w:val="10"/>
          <w:sz w:val="18"/>
        </w:rPr>
        <w:t xml:space="preserve"> </w:t>
      </w:r>
      <w:r>
        <w:rPr>
          <w:i/>
          <w:sz w:val="18"/>
        </w:rPr>
        <w:t>US</w:t>
      </w:r>
      <w:r>
        <w:rPr>
          <w:i/>
          <w:spacing w:val="10"/>
          <w:sz w:val="18"/>
        </w:rPr>
        <w:t xml:space="preserve"> </w:t>
      </w:r>
      <w:r>
        <w:rPr>
          <w:i/>
          <w:sz w:val="18"/>
        </w:rPr>
        <w:t>–</w:t>
      </w:r>
      <w:r>
        <w:rPr>
          <w:i/>
          <w:spacing w:val="9"/>
          <w:sz w:val="18"/>
        </w:rPr>
        <w:t xml:space="preserve"> </w:t>
      </w:r>
      <w:r>
        <w:rPr>
          <w:i/>
          <w:sz w:val="18"/>
        </w:rPr>
        <w:t>Offset</w:t>
      </w:r>
      <w:r>
        <w:rPr>
          <w:i/>
          <w:spacing w:val="9"/>
          <w:sz w:val="18"/>
        </w:rPr>
        <w:t xml:space="preserve"> </w:t>
      </w:r>
      <w:r>
        <w:rPr>
          <w:i/>
          <w:sz w:val="18"/>
        </w:rPr>
        <w:t>Act</w:t>
      </w:r>
      <w:r>
        <w:rPr>
          <w:i/>
          <w:spacing w:val="9"/>
          <w:sz w:val="18"/>
        </w:rPr>
        <w:t xml:space="preserve"> </w:t>
      </w:r>
      <w:r>
        <w:rPr>
          <w:i/>
          <w:sz w:val="18"/>
        </w:rPr>
        <w:t>(Byrd</w:t>
      </w:r>
      <w:r>
        <w:rPr>
          <w:i/>
          <w:spacing w:val="9"/>
          <w:sz w:val="18"/>
        </w:rPr>
        <w:t xml:space="preserve"> </w:t>
      </w:r>
      <w:r>
        <w:rPr>
          <w:i/>
          <w:sz w:val="18"/>
        </w:rPr>
        <w:t>Amendment)</w:t>
      </w:r>
      <w:r>
        <w:rPr>
          <w:sz w:val="18"/>
        </w:rPr>
        <w:t>,</w:t>
      </w:r>
      <w:r>
        <w:rPr>
          <w:spacing w:val="10"/>
          <w:sz w:val="18"/>
        </w:rPr>
        <w:t xml:space="preserve"> </w:t>
      </w:r>
      <w:r>
        <w:rPr>
          <w:sz w:val="18"/>
        </w:rPr>
        <w:t>para.</w:t>
      </w:r>
      <w:r>
        <w:rPr>
          <w:spacing w:val="9"/>
          <w:sz w:val="18"/>
        </w:rPr>
        <w:t xml:space="preserve"> </w:t>
      </w:r>
      <w:r>
        <w:rPr>
          <w:sz w:val="18"/>
        </w:rPr>
        <w:t>282;</w:t>
      </w:r>
      <w:r>
        <w:rPr>
          <w:spacing w:val="9"/>
          <w:sz w:val="18"/>
        </w:rPr>
        <w:t xml:space="preserve"> </w:t>
      </w:r>
      <w:r>
        <w:rPr>
          <w:sz w:val="18"/>
        </w:rPr>
        <w:t>Panel</w:t>
      </w:r>
      <w:r>
        <w:rPr>
          <w:spacing w:val="8"/>
          <w:sz w:val="18"/>
        </w:rPr>
        <w:t xml:space="preserve"> </w:t>
      </w:r>
      <w:r>
        <w:rPr>
          <w:sz w:val="18"/>
        </w:rPr>
        <w:t>Reports,</w:t>
      </w:r>
      <w:r>
        <w:rPr>
          <w:spacing w:val="10"/>
          <w:sz w:val="18"/>
        </w:rPr>
        <w:t xml:space="preserve"> </w:t>
      </w:r>
      <w:r>
        <w:rPr>
          <w:i/>
          <w:sz w:val="18"/>
        </w:rPr>
        <w:t>EC</w:t>
      </w:r>
      <w:r>
        <w:rPr>
          <w:i/>
          <w:spacing w:val="10"/>
          <w:sz w:val="18"/>
        </w:rPr>
        <w:t xml:space="preserve"> </w:t>
      </w:r>
      <w:r>
        <w:rPr>
          <w:i/>
          <w:sz w:val="18"/>
        </w:rPr>
        <w:t>–</w:t>
      </w:r>
      <w:r>
        <w:rPr>
          <w:i/>
          <w:spacing w:val="9"/>
          <w:sz w:val="18"/>
        </w:rPr>
        <w:t xml:space="preserve"> </w:t>
      </w:r>
      <w:r>
        <w:rPr>
          <w:i/>
          <w:sz w:val="18"/>
        </w:rPr>
        <w:t>Bed</w:t>
      </w:r>
      <w:r>
        <w:rPr>
          <w:i/>
          <w:spacing w:val="9"/>
          <w:sz w:val="18"/>
        </w:rPr>
        <w:t xml:space="preserve"> </w:t>
      </w:r>
      <w:r>
        <w:rPr>
          <w:i/>
          <w:sz w:val="18"/>
        </w:rPr>
        <w:t>Linen</w:t>
      </w:r>
      <w:r>
        <w:rPr>
          <w:sz w:val="18"/>
        </w:rPr>
        <w:t>,</w:t>
      </w:r>
      <w:r>
        <w:rPr>
          <w:spacing w:val="9"/>
          <w:sz w:val="18"/>
        </w:rPr>
        <w:t xml:space="preserve"> </w:t>
      </w:r>
      <w:r>
        <w:rPr>
          <w:sz w:val="18"/>
        </w:rPr>
        <w:t>para.</w:t>
      </w:r>
      <w:r>
        <w:rPr>
          <w:spacing w:val="10"/>
          <w:sz w:val="18"/>
        </w:rPr>
        <w:t xml:space="preserve"> </w:t>
      </w:r>
      <w:r>
        <w:rPr>
          <w:sz w:val="18"/>
        </w:rPr>
        <w:t>6.213;</w:t>
      </w:r>
      <w:r>
        <w:rPr>
          <w:spacing w:val="10"/>
          <w:sz w:val="18"/>
        </w:rPr>
        <w:t xml:space="preserve"> </w:t>
      </w:r>
      <w:r>
        <w:rPr>
          <w:spacing w:val="-5"/>
          <w:sz w:val="18"/>
        </w:rPr>
        <w:t>and</w:t>
      </w:r>
    </w:p>
    <w:p w14:paraId="51DE942C" w14:textId="77777777" w:rsidR="0010369C" w:rsidRDefault="008E43AE">
      <w:pPr>
        <w:ind w:left="239"/>
        <w:jc w:val="both"/>
        <w:rPr>
          <w:sz w:val="18"/>
        </w:rPr>
      </w:pPr>
      <w:r>
        <w:rPr>
          <w:i/>
          <w:sz w:val="18"/>
        </w:rPr>
        <w:t>Argentina</w:t>
      </w:r>
      <w:r>
        <w:rPr>
          <w:i/>
          <w:spacing w:val="-10"/>
          <w:sz w:val="18"/>
        </w:rPr>
        <w:t xml:space="preserve"> </w:t>
      </w:r>
      <w:r>
        <w:rPr>
          <w:i/>
          <w:sz w:val="18"/>
        </w:rPr>
        <w:t>–</w:t>
      </w:r>
      <w:r>
        <w:rPr>
          <w:i/>
          <w:spacing w:val="-9"/>
          <w:sz w:val="18"/>
        </w:rPr>
        <w:t xml:space="preserve"> </w:t>
      </w:r>
      <w:r>
        <w:rPr>
          <w:i/>
          <w:sz w:val="18"/>
        </w:rPr>
        <w:t>Poultry</w:t>
      </w:r>
      <w:r>
        <w:rPr>
          <w:i/>
          <w:spacing w:val="-9"/>
          <w:sz w:val="18"/>
        </w:rPr>
        <w:t xml:space="preserve"> </w:t>
      </w:r>
      <w:r>
        <w:rPr>
          <w:i/>
          <w:sz w:val="18"/>
        </w:rPr>
        <w:t>Anti‐Dumping</w:t>
      </w:r>
      <w:r>
        <w:rPr>
          <w:i/>
          <w:spacing w:val="-9"/>
          <w:sz w:val="18"/>
        </w:rPr>
        <w:t xml:space="preserve"> </w:t>
      </w:r>
      <w:r>
        <w:rPr>
          <w:i/>
          <w:sz w:val="18"/>
        </w:rPr>
        <w:t>Duties</w:t>
      </w:r>
      <w:r>
        <w:rPr>
          <w:sz w:val="18"/>
        </w:rPr>
        <w:t>,</w:t>
      </w:r>
      <w:r>
        <w:rPr>
          <w:spacing w:val="-9"/>
          <w:sz w:val="18"/>
        </w:rPr>
        <w:t xml:space="preserve"> </w:t>
      </w:r>
      <w:r>
        <w:rPr>
          <w:sz w:val="18"/>
        </w:rPr>
        <w:t>fn.</w:t>
      </w:r>
      <w:r>
        <w:rPr>
          <w:spacing w:val="-9"/>
          <w:sz w:val="18"/>
        </w:rPr>
        <w:t xml:space="preserve"> </w:t>
      </w:r>
      <w:r>
        <w:rPr>
          <w:spacing w:val="-4"/>
          <w:sz w:val="18"/>
        </w:rPr>
        <w:t>221.</w:t>
      </w:r>
    </w:p>
    <w:p w14:paraId="51DE942D" w14:textId="77777777" w:rsidR="0010369C" w:rsidRDefault="008E43AE">
      <w:pPr>
        <w:ind w:left="238"/>
        <w:jc w:val="both"/>
        <w:rPr>
          <w:sz w:val="18"/>
        </w:rPr>
      </w:pPr>
      <w:r>
        <w:rPr>
          <w:sz w:val="18"/>
          <w:vertAlign w:val="superscript"/>
        </w:rPr>
        <w:t>891</w:t>
      </w:r>
      <w:r>
        <w:rPr>
          <w:spacing w:val="-5"/>
          <w:sz w:val="18"/>
        </w:rPr>
        <w:t xml:space="preserve"> </w:t>
      </w:r>
      <w:r>
        <w:rPr>
          <w:sz w:val="18"/>
        </w:rPr>
        <w:t>Panel</w:t>
      </w:r>
      <w:r>
        <w:rPr>
          <w:spacing w:val="-5"/>
          <w:sz w:val="18"/>
        </w:rPr>
        <w:t xml:space="preserve"> </w:t>
      </w:r>
      <w:r>
        <w:rPr>
          <w:sz w:val="18"/>
        </w:rPr>
        <w:t>Report,</w:t>
      </w:r>
      <w:r>
        <w:rPr>
          <w:spacing w:val="-5"/>
          <w:sz w:val="18"/>
        </w:rPr>
        <w:t xml:space="preserve"> </w:t>
      </w:r>
      <w:r>
        <w:rPr>
          <w:i/>
          <w:sz w:val="18"/>
        </w:rPr>
        <w:t>EC</w:t>
      </w:r>
      <w:r>
        <w:rPr>
          <w:i/>
          <w:spacing w:val="-5"/>
          <w:sz w:val="18"/>
        </w:rPr>
        <w:t xml:space="preserve"> </w:t>
      </w:r>
      <w:r>
        <w:rPr>
          <w:i/>
          <w:sz w:val="18"/>
        </w:rPr>
        <w:t>–</w:t>
      </w:r>
      <w:r>
        <w:rPr>
          <w:i/>
          <w:spacing w:val="-5"/>
          <w:sz w:val="18"/>
        </w:rPr>
        <w:t xml:space="preserve"> </w:t>
      </w:r>
      <w:r>
        <w:rPr>
          <w:i/>
          <w:sz w:val="18"/>
        </w:rPr>
        <w:t>Bed</w:t>
      </w:r>
      <w:r>
        <w:rPr>
          <w:i/>
          <w:spacing w:val="-4"/>
          <w:sz w:val="18"/>
        </w:rPr>
        <w:t xml:space="preserve"> </w:t>
      </w:r>
      <w:r>
        <w:rPr>
          <w:i/>
          <w:sz w:val="18"/>
        </w:rPr>
        <w:t>Linen</w:t>
      </w:r>
      <w:r>
        <w:rPr>
          <w:sz w:val="18"/>
        </w:rPr>
        <w:t>,</w:t>
      </w:r>
      <w:r>
        <w:rPr>
          <w:spacing w:val="-6"/>
          <w:sz w:val="18"/>
        </w:rPr>
        <w:t xml:space="preserve"> </w:t>
      </w:r>
      <w:r>
        <w:rPr>
          <w:sz w:val="18"/>
        </w:rPr>
        <w:t>para.</w:t>
      </w:r>
      <w:r>
        <w:rPr>
          <w:spacing w:val="-4"/>
          <w:sz w:val="18"/>
        </w:rPr>
        <w:t xml:space="preserve"> </w:t>
      </w:r>
      <w:r>
        <w:rPr>
          <w:spacing w:val="-2"/>
          <w:sz w:val="18"/>
        </w:rPr>
        <w:t>6.213.</w:t>
      </w:r>
    </w:p>
    <w:p w14:paraId="51DE942E" w14:textId="77777777" w:rsidR="0010369C" w:rsidRDefault="008E43AE">
      <w:pPr>
        <w:spacing w:before="1"/>
        <w:ind w:left="236" w:right="612" w:firstLine="1"/>
        <w:jc w:val="both"/>
        <w:rPr>
          <w:sz w:val="18"/>
        </w:rPr>
      </w:pPr>
      <w:r>
        <w:rPr>
          <w:sz w:val="18"/>
          <w:vertAlign w:val="superscript"/>
        </w:rPr>
        <w:t>892</w:t>
      </w:r>
      <w:r>
        <w:rPr>
          <w:sz w:val="18"/>
        </w:rPr>
        <w:t xml:space="preserve"> Vermulst, E, The WTO Anti‐Dumping Agreement (Excerpt) (Exhibit AUS‐88), p. 109. See e.g., GATT Panel Report, </w:t>
      </w:r>
      <w:r>
        <w:rPr>
          <w:i/>
          <w:sz w:val="18"/>
        </w:rPr>
        <w:t>United States – Imposition of anti‐dumping duties on imports of seamless stainless steel hollow products from Sweden</w:t>
      </w:r>
      <w:r>
        <w:rPr>
          <w:sz w:val="18"/>
        </w:rPr>
        <w:t>, unadopted, paras.</w:t>
      </w:r>
      <w:r>
        <w:rPr>
          <w:spacing w:val="-9"/>
          <w:sz w:val="18"/>
        </w:rPr>
        <w:t xml:space="preserve"> </w:t>
      </w:r>
      <w:r>
        <w:rPr>
          <w:sz w:val="18"/>
        </w:rPr>
        <w:t>5.21</w:t>
      </w:r>
      <w:r>
        <w:rPr>
          <w:spacing w:val="-11"/>
          <w:sz w:val="18"/>
        </w:rPr>
        <w:t xml:space="preserve"> </w:t>
      </w:r>
      <w:r>
        <w:rPr>
          <w:sz w:val="18"/>
        </w:rPr>
        <w:t>–</w:t>
      </w:r>
      <w:r>
        <w:rPr>
          <w:spacing w:val="-8"/>
          <w:sz w:val="18"/>
        </w:rPr>
        <w:t xml:space="preserve"> </w:t>
      </w:r>
      <w:r>
        <w:rPr>
          <w:sz w:val="18"/>
        </w:rPr>
        <w:t>5.2</w:t>
      </w:r>
      <w:r>
        <w:rPr>
          <w:sz w:val="18"/>
        </w:rPr>
        <w:t>4;</w:t>
      </w:r>
      <w:r>
        <w:rPr>
          <w:spacing w:val="-10"/>
          <w:sz w:val="18"/>
        </w:rPr>
        <w:t xml:space="preserve"> </w:t>
      </w:r>
      <w:r>
        <w:rPr>
          <w:sz w:val="18"/>
        </w:rPr>
        <w:t>GATT</w:t>
      </w:r>
      <w:r>
        <w:rPr>
          <w:spacing w:val="-11"/>
          <w:sz w:val="18"/>
        </w:rPr>
        <w:t xml:space="preserve"> </w:t>
      </w:r>
      <w:r>
        <w:rPr>
          <w:sz w:val="18"/>
        </w:rPr>
        <w:t>Panel</w:t>
      </w:r>
      <w:r>
        <w:rPr>
          <w:spacing w:val="-9"/>
          <w:sz w:val="18"/>
        </w:rPr>
        <w:t xml:space="preserve"> </w:t>
      </w:r>
      <w:r>
        <w:rPr>
          <w:sz w:val="18"/>
        </w:rPr>
        <w:t>Report,</w:t>
      </w:r>
      <w:r>
        <w:rPr>
          <w:spacing w:val="-10"/>
          <w:sz w:val="18"/>
        </w:rPr>
        <w:t xml:space="preserve"> </w:t>
      </w:r>
      <w:r>
        <w:rPr>
          <w:i/>
          <w:sz w:val="18"/>
        </w:rPr>
        <w:t>United</w:t>
      </w:r>
      <w:r>
        <w:rPr>
          <w:i/>
          <w:spacing w:val="-11"/>
          <w:sz w:val="18"/>
        </w:rPr>
        <w:t xml:space="preserve"> </w:t>
      </w:r>
      <w:r>
        <w:rPr>
          <w:i/>
          <w:sz w:val="18"/>
        </w:rPr>
        <w:t>States</w:t>
      </w:r>
      <w:r>
        <w:rPr>
          <w:i/>
          <w:spacing w:val="-9"/>
          <w:sz w:val="18"/>
        </w:rPr>
        <w:t xml:space="preserve"> </w:t>
      </w:r>
      <w:r>
        <w:rPr>
          <w:i/>
          <w:sz w:val="18"/>
        </w:rPr>
        <w:t>–</w:t>
      </w:r>
      <w:r>
        <w:rPr>
          <w:i/>
          <w:spacing w:val="-9"/>
          <w:sz w:val="18"/>
        </w:rPr>
        <w:t xml:space="preserve"> </w:t>
      </w:r>
      <w:r>
        <w:rPr>
          <w:i/>
          <w:sz w:val="18"/>
        </w:rPr>
        <w:t>Imposition</w:t>
      </w:r>
      <w:r>
        <w:rPr>
          <w:i/>
          <w:spacing w:val="-9"/>
          <w:sz w:val="18"/>
        </w:rPr>
        <w:t xml:space="preserve"> </w:t>
      </w:r>
      <w:r>
        <w:rPr>
          <w:i/>
          <w:sz w:val="18"/>
        </w:rPr>
        <w:t>of</w:t>
      </w:r>
      <w:r>
        <w:rPr>
          <w:i/>
          <w:spacing w:val="-9"/>
          <w:sz w:val="18"/>
        </w:rPr>
        <w:t xml:space="preserve"> </w:t>
      </w:r>
      <w:r>
        <w:rPr>
          <w:i/>
          <w:sz w:val="18"/>
        </w:rPr>
        <w:t>anti‐dumping</w:t>
      </w:r>
      <w:r>
        <w:rPr>
          <w:i/>
          <w:spacing w:val="-10"/>
          <w:sz w:val="18"/>
        </w:rPr>
        <w:t xml:space="preserve"> </w:t>
      </w:r>
      <w:r>
        <w:rPr>
          <w:i/>
          <w:sz w:val="18"/>
        </w:rPr>
        <w:t>duties</w:t>
      </w:r>
      <w:r>
        <w:rPr>
          <w:i/>
          <w:spacing w:val="-10"/>
          <w:sz w:val="18"/>
        </w:rPr>
        <w:t xml:space="preserve"> </w:t>
      </w:r>
      <w:r>
        <w:rPr>
          <w:i/>
          <w:sz w:val="18"/>
        </w:rPr>
        <w:t>on</w:t>
      </w:r>
      <w:r>
        <w:rPr>
          <w:i/>
          <w:spacing w:val="-10"/>
          <w:sz w:val="18"/>
        </w:rPr>
        <w:t xml:space="preserve"> </w:t>
      </w:r>
      <w:r>
        <w:rPr>
          <w:i/>
          <w:sz w:val="18"/>
        </w:rPr>
        <w:t>gray</w:t>
      </w:r>
      <w:r>
        <w:rPr>
          <w:i/>
          <w:spacing w:val="-10"/>
          <w:sz w:val="18"/>
        </w:rPr>
        <w:t xml:space="preserve"> </w:t>
      </w:r>
      <w:r>
        <w:rPr>
          <w:i/>
          <w:sz w:val="18"/>
        </w:rPr>
        <w:t>Portland</w:t>
      </w:r>
      <w:r>
        <w:rPr>
          <w:i/>
          <w:spacing w:val="-10"/>
          <w:sz w:val="18"/>
        </w:rPr>
        <w:t xml:space="preserve"> </w:t>
      </w:r>
      <w:r>
        <w:rPr>
          <w:i/>
          <w:sz w:val="18"/>
        </w:rPr>
        <w:t>cement</w:t>
      </w:r>
      <w:r>
        <w:rPr>
          <w:i/>
          <w:spacing w:val="-10"/>
          <w:sz w:val="18"/>
        </w:rPr>
        <w:t xml:space="preserve"> </w:t>
      </w:r>
      <w:r>
        <w:rPr>
          <w:i/>
          <w:sz w:val="18"/>
        </w:rPr>
        <w:t>and</w:t>
      </w:r>
      <w:r>
        <w:rPr>
          <w:i/>
          <w:spacing w:val="-10"/>
          <w:sz w:val="18"/>
        </w:rPr>
        <w:t xml:space="preserve"> </w:t>
      </w:r>
      <w:r>
        <w:rPr>
          <w:i/>
          <w:sz w:val="18"/>
        </w:rPr>
        <w:t>cement clinker from Mexico</w:t>
      </w:r>
      <w:r>
        <w:rPr>
          <w:sz w:val="18"/>
        </w:rPr>
        <w:t xml:space="preserve">, unadopted, paras. </w:t>
      </w:r>
      <w:hyperlink r:id="rId987">
        <w:r>
          <w:rPr>
            <w:sz w:val="18"/>
          </w:rPr>
          <w:t>5.37‐5.38</w:t>
        </w:r>
      </w:hyperlink>
      <w:r>
        <w:rPr>
          <w:sz w:val="18"/>
        </w:rPr>
        <w:t>.</w:t>
      </w:r>
    </w:p>
    <w:p w14:paraId="51DE942F" w14:textId="77777777" w:rsidR="0010369C" w:rsidRDefault="0010369C">
      <w:pPr>
        <w:jc w:val="both"/>
        <w:rPr>
          <w:sz w:val="18"/>
        </w:rPr>
        <w:sectPr w:rsidR="0010369C">
          <w:headerReference w:type="default" r:id="rId988"/>
          <w:footerReference w:type="default" r:id="rId989"/>
          <w:pgSz w:w="11910" w:h="16840"/>
          <w:pgMar w:top="880" w:right="800" w:bottom="980" w:left="1180" w:header="569" w:footer="788" w:gutter="0"/>
          <w:cols w:space="720"/>
        </w:sectPr>
      </w:pPr>
    </w:p>
    <w:p w14:paraId="51DE9430" w14:textId="77777777" w:rsidR="0010369C" w:rsidRDefault="008E43AE">
      <w:pPr>
        <w:tabs>
          <w:tab w:val="left" w:pos="6426"/>
        </w:tabs>
        <w:ind w:left="238"/>
        <w:rPr>
          <w:sz w:val="20"/>
        </w:rPr>
      </w:pPr>
      <w:r>
        <w:rPr>
          <w:i/>
          <w:sz w:val="20"/>
        </w:rPr>
        <w:lastRenderedPageBreak/>
        <w:t>China</w:t>
      </w:r>
      <w:r>
        <w:rPr>
          <w:i/>
          <w:spacing w:val="-5"/>
          <w:sz w:val="20"/>
        </w:rPr>
        <w:t xml:space="preserve"> </w:t>
      </w:r>
      <w:r>
        <w:rPr>
          <w:i/>
          <w:sz w:val="20"/>
        </w:rPr>
        <w:t>–</w:t>
      </w:r>
      <w:r>
        <w:rPr>
          <w:i/>
          <w:spacing w:val="-5"/>
          <w:sz w:val="20"/>
        </w:rPr>
        <w:t xml:space="preserve"> </w:t>
      </w:r>
      <w:r>
        <w:rPr>
          <w:i/>
          <w:sz w:val="20"/>
        </w:rPr>
        <w:t>Anti‐Dumping</w:t>
      </w:r>
      <w:r>
        <w:rPr>
          <w:i/>
          <w:spacing w:val="-4"/>
          <w:sz w:val="20"/>
        </w:rPr>
        <w:t xml:space="preserve"> </w:t>
      </w:r>
      <w:r>
        <w:rPr>
          <w:i/>
          <w:sz w:val="20"/>
        </w:rPr>
        <w:t>and</w:t>
      </w:r>
      <w:r>
        <w:rPr>
          <w:i/>
          <w:spacing w:val="-5"/>
          <w:sz w:val="20"/>
        </w:rPr>
        <w:t xml:space="preserve"> </w:t>
      </w:r>
      <w:r>
        <w:rPr>
          <w:i/>
          <w:sz w:val="20"/>
        </w:rPr>
        <w:t>Countervailing</w:t>
      </w:r>
      <w:r>
        <w:rPr>
          <w:i/>
          <w:spacing w:val="-5"/>
          <w:sz w:val="20"/>
        </w:rPr>
        <w:t xml:space="preserve"> </w:t>
      </w:r>
      <w:r>
        <w:rPr>
          <w:i/>
          <w:sz w:val="20"/>
        </w:rPr>
        <w:t>Duty</w:t>
      </w:r>
      <w:r>
        <w:rPr>
          <w:i/>
          <w:spacing w:val="-4"/>
          <w:sz w:val="20"/>
        </w:rPr>
        <w:t xml:space="preserve"> </w:t>
      </w:r>
      <w:r>
        <w:rPr>
          <w:i/>
          <w:spacing w:val="-2"/>
          <w:sz w:val="20"/>
        </w:rPr>
        <w:t>Measures</w:t>
      </w:r>
      <w:r>
        <w:rPr>
          <w:i/>
          <w:sz w:val="20"/>
        </w:rPr>
        <w:tab/>
      </w:r>
      <w:r>
        <w:rPr>
          <w:sz w:val="20"/>
        </w:rPr>
        <w:t>Australia's</w:t>
      </w:r>
      <w:r>
        <w:rPr>
          <w:spacing w:val="-7"/>
          <w:sz w:val="20"/>
        </w:rPr>
        <w:t xml:space="preserve"> </w:t>
      </w:r>
      <w:r>
        <w:rPr>
          <w:sz w:val="20"/>
        </w:rPr>
        <w:t>First</w:t>
      </w:r>
      <w:r>
        <w:rPr>
          <w:spacing w:val="-2"/>
          <w:sz w:val="20"/>
        </w:rPr>
        <w:t xml:space="preserve"> </w:t>
      </w:r>
      <w:r>
        <w:rPr>
          <w:sz w:val="20"/>
        </w:rPr>
        <w:t>Written</w:t>
      </w:r>
      <w:r>
        <w:rPr>
          <w:spacing w:val="-2"/>
          <w:sz w:val="20"/>
        </w:rPr>
        <w:t xml:space="preserve"> Submission</w:t>
      </w:r>
    </w:p>
    <w:p w14:paraId="51DE9431" w14:textId="77777777" w:rsidR="0010369C" w:rsidRDefault="008E43AE">
      <w:pPr>
        <w:tabs>
          <w:tab w:val="left" w:pos="8228"/>
        </w:tabs>
        <w:spacing w:before="1"/>
        <w:ind w:left="239"/>
        <w:rPr>
          <w:sz w:val="20"/>
        </w:rPr>
      </w:pPr>
      <w:r>
        <w:rPr>
          <w:i/>
          <w:sz w:val="20"/>
        </w:rPr>
        <w:t>on</w:t>
      </w:r>
      <w:r>
        <w:rPr>
          <w:i/>
          <w:spacing w:val="-1"/>
          <w:sz w:val="20"/>
        </w:rPr>
        <w:t xml:space="preserve"> </w:t>
      </w:r>
      <w:r>
        <w:rPr>
          <w:i/>
          <w:sz w:val="20"/>
        </w:rPr>
        <w:t>Wine</w:t>
      </w:r>
      <w:r>
        <w:rPr>
          <w:i/>
          <w:spacing w:val="-1"/>
          <w:sz w:val="20"/>
        </w:rPr>
        <w:t xml:space="preserve"> </w:t>
      </w:r>
      <w:r>
        <w:rPr>
          <w:i/>
          <w:sz w:val="20"/>
        </w:rPr>
        <w:t>from</w:t>
      </w:r>
      <w:r>
        <w:rPr>
          <w:i/>
          <w:spacing w:val="-3"/>
          <w:sz w:val="20"/>
        </w:rPr>
        <w:t xml:space="preserve"> </w:t>
      </w:r>
      <w:r>
        <w:rPr>
          <w:i/>
          <w:sz w:val="20"/>
        </w:rPr>
        <w:t>Australia</w:t>
      </w:r>
      <w:r>
        <w:rPr>
          <w:i/>
          <w:spacing w:val="-1"/>
          <w:sz w:val="20"/>
        </w:rPr>
        <w:t xml:space="preserve"> </w:t>
      </w:r>
      <w:r>
        <w:rPr>
          <w:spacing w:val="-2"/>
          <w:sz w:val="20"/>
        </w:rPr>
        <w:t>(DS602)</w:t>
      </w:r>
      <w:r>
        <w:rPr>
          <w:sz w:val="20"/>
        </w:rPr>
        <w:tab/>
        <w:t>29</w:t>
      </w:r>
      <w:r>
        <w:rPr>
          <w:spacing w:val="-1"/>
          <w:sz w:val="20"/>
        </w:rPr>
        <w:t xml:space="preserve"> </w:t>
      </w:r>
      <w:r>
        <w:rPr>
          <w:sz w:val="20"/>
        </w:rPr>
        <w:t>April</w:t>
      </w:r>
      <w:r>
        <w:rPr>
          <w:spacing w:val="-2"/>
          <w:sz w:val="20"/>
        </w:rPr>
        <w:t xml:space="preserve"> </w:t>
      </w:r>
      <w:r>
        <w:rPr>
          <w:spacing w:val="-4"/>
          <w:sz w:val="20"/>
        </w:rPr>
        <w:t>2022</w:t>
      </w:r>
    </w:p>
    <w:p w14:paraId="51DE9432" w14:textId="77777777" w:rsidR="0010369C" w:rsidRDefault="008E43AE">
      <w:pPr>
        <w:pStyle w:val="BodyText"/>
        <w:spacing w:before="34" w:line="360" w:lineRule="auto"/>
        <w:ind w:left="238"/>
      </w:pPr>
      <w:r>
        <w:t>industry</w:t>
      </w:r>
      <w:r>
        <w:rPr>
          <w:spacing w:val="37"/>
        </w:rPr>
        <w:t xml:space="preserve"> </w:t>
      </w:r>
      <w:r>
        <w:t>being</w:t>
      </w:r>
      <w:r>
        <w:rPr>
          <w:spacing w:val="36"/>
        </w:rPr>
        <w:t xml:space="preserve"> </w:t>
      </w:r>
      <w:r>
        <w:t>analysed</w:t>
      </w:r>
      <w:r>
        <w:rPr>
          <w:spacing w:val="34"/>
        </w:rPr>
        <w:t xml:space="preserve"> </w:t>
      </w:r>
      <w:r>
        <w:t>in</w:t>
      </w:r>
      <w:r>
        <w:rPr>
          <w:spacing w:val="36"/>
        </w:rPr>
        <w:t xml:space="preserve"> </w:t>
      </w:r>
      <w:r>
        <w:t>determining</w:t>
      </w:r>
      <w:r>
        <w:rPr>
          <w:spacing w:val="36"/>
        </w:rPr>
        <w:t xml:space="preserve"> </w:t>
      </w:r>
      <w:r>
        <w:t>the</w:t>
      </w:r>
      <w:r>
        <w:rPr>
          <w:spacing w:val="36"/>
        </w:rPr>
        <w:t xml:space="preserve"> </w:t>
      </w:r>
      <w:r>
        <w:t>required</w:t>
      </w:r>
      <w:r>
        <w:rPr>
          <w:spacing w:val="35"/>
        </w:rPr>
        <w:t xml:space="preserve"> </w:t>
      </w:r>
      <w:r>
        <w:t>level</w:t>
      </w:r>
      <w:r>
        <w:rPr>
          <w:spacing w:val="35"/>
        </w:rPr>
        <w:t xml:space="preserve"> </w:t>
      </w:r>
      <w:r>
        <w:t>of</w:t>
      </w:r>
      <w:r>
        <w:rPr>
          <w:spacing w:val="35"/>
        </w:rPr>
        <w:t xml:space="preserve"> </w:t>
      </w:r>
      <w:r>
        <w:t>support</w:t>
      </w:r>
      <w:r>
        <w:rPr>
          <w:spacing w:val="34"/>
        </w:rPr>
        <w:t xml:space="preserve"> </w:t>
      </w:r>
      <w:r>
        <w:t>for</w:t>
      </w:r>
      <w:r>
        <w:rPr>
          <w:spacing w:val="36"/>
        </w:rPr>
        <w:t xml:space="preserve"> </w:t>
      </w:r>
      <w:r>
        <w:t>the</w:t>
      </w:r>
      <w:r>
        <w:rPr>
          <w:spacing w:val="36"/>
        </w:rPr>
        <w:t xml:space="preserve"> </w:t>
      </w:r>
      <w:r>
        <w:t>purposes</w:t>
      </w:r>
      <w:r>
        <w:rPr>
          <w:spacing w:val="36"/>
        </w:rPr>
        <w:t xml:space="preserve"> </w:t>
      </w:r>
      <w:r>
        <w:t>of initiation under Article 5.4, which can be fatal to the investigation.</w:t>
      </w:r>
      <w:r>
        <w:rPr>
          <w:vertAlign w:val="superscript"/>
        </w:rPr>
        <w:t>893</w:t>
      </w:r>
    </w:p>
    <w:p w14:paraId="51DE9433" w14:textId="77777777" w:rsidR="0010369C" w:rsidRDefault="008E43AE">
      <w:pPr>
        <w:pStyle w:val="Heading4"/>
        <w:numPr>
          <w:ilvl w:val="1"/>
          <w:numId w:val="1"/>
        </w:numPr>
        <w:tabs>
          <w:tab w:val="left" w:pos="2648"/>
          <w:tab w:val="left" w:pos="2650"/>
        </w:tabs>
        <w:spacing w:before="159" w:line="362" w:lineRule="auto"/>
        <w:ind w:right="612" w:hanging="852"/>
      </w:pPr>
      <w:r>
        <w:t>An unbiased and objective investigating authority could not have determined that the applicant had standing</w:t>
      </w:r>
    </w:p>
    <w:p w14:paraId="51DE9434" w14:textId="77777777" w:rsidR="0010369C" w:rsidRDefault="0010369C">
      <w:pPr>
        <w:pStyle w:val="BodyText"/>
        <w:spacing w:before="7"/>
        <w:rPr>
          <w:b/>
          <w:sz w:val="8"/>
        </w:rPr>
      </w:pPr>
    </w:p>
    <w:p w14:paraId="51DE9435" w14:textId="77777777" w:rsidR="0010369C" w:rsidRDefault="008E43AE">
      <w:pPr>
        <w:pStyle w:val="BodyText"/>
        <w:spacing w:before="51"/>
        <w:ind w:left="1089"/>
        <w:jc w:val="both"/>
      </w:pPr>
      <w:r>
        <w:rPr>
          <w:noProof/>
        </w:rPr>
        <w:drawing>
          <wp:anchor distT="0" distB="0" distL="0" distR="0" simplePos="0" relativeHeight="250685952" behindDoc="0" locked="0" layoutInCell="1" allowOverlap="1" wp14:anchorId="51DEA626" wp14:editId="51DEA627">
            <wp:simplePos x="0" y="0"/>
            <wp:positionH relativeFrom="page">
              <wp:posOffset>902208</wp:posOffset>
            </wp:positionH>
            <wp:positionV relativeFrom="paragraph">
              <wp:posOffset>82838</wp:posOffset>
            </wp:positionV>
            <wp:extent cx="262127" cy="100753"/>
            <wp:effectExtent l="0" t="0" r="0" b="0"/>
            <wp:wrapNone/>
            <wp:docPr id="1451" name="image7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 name="image753.png"/>
                    <pic:cNvPicPr/>
                  </pic:nvPicPr>
                  <pic:blipFill>
                    <a:blip r:embed="rId990" cstate="print"/>
                    <a:stretch>
                      <a:fillRect/>
                    </a:stretch>
                  </pic:blipFill>
                  <pic:spPr>
                    <a:xfrm>
                      <a:off x="0" y="0"/>
                      <a:ext cx="262127" cy="100753"/>
                    </a:xfrm>
                    <a:prstGeom prst="rect">
                      <a:avLst/>
                    </a:prstGeom>
                  </pic:spPr>
                </pic:pic>
              </a:graphicData>
            </a:graphic>
          </wp:anchor>
        </w:drawing>
      </w:r>
      <w:r>
        <w:t>In</w:t>
      </w:r>
      <w:r>
        <w:rPr>
          <w:spacing w:val="-9"/>
        </w:rPr>
        <w:t xml:space="preserve"> </w:t>
      </w:r>
      <w:r>
        <w:t>the</w:t>
      </w:r>
      <w:r>
        <w:rPr>
          <w:spacing w:val="-7"/>
        </w:rPr>
        <w:t xml:space="preserve"> </w:t>
      </w:r>
      <w:r>
        <w:t>notice</w:t>
      </w:r>
      <w:r>
        <w:rPr>
          <w:spacing w:val="-7"/>
        </w:rPr>
        <w:t xml:space="preserve"> </w:t>
      </w:r>
      <w:r>
        <w:t>announcing</w:t>
      </w:r>
      <w:r>
        <w:rPr>
          <w:spacing w:val="-8"/>
        </w:rPr>
        <w:t xml:space="preserve"> </w:t>
      </w:r>
      <w:r>
        <w:t>the</w:t>
      </w:r>
      <w:r>
        <w:rPr>
          <w:spacing w:val="-8"/>
        </w:rPr>
        <w:t xml:space="preserve"> </w:t>
      </w:r>
      <w:r>
        <w:t>initiation</w:t>
      </w:r>
      <w:r>
        <w:rPr>
          <w:spacing w:val="-7"/>
        </w:rPr>
        <w:t xml:space="preserve"> </w:t>
      </w:r>
      <w:r>
        <w:t>of</w:t>
      </w:r>
      <w:r>
        <w:rPr>
          <w:spacing w:val="-9"/>
        </w:rPr>
        <w:t xml:space="preserve"> </w:t>
      </w:r>
      <w:r>
        <w:t>the</w:t>
      </w:r>
      <w:r>
        <w:rPr>
          <w:spacing w:val="-7"/>
        </w:rPr>
        <w:t xml:space="preserve"> </w:t>
      </w:r>
      <w:r>
        <w:t>investigation</w:t>
      </w:r>
      <w:r>
        <w:t>,</w:t>
      </w:r>
      <w:r>
        <w:rPr>
          <w:spacing w:val="-9"/>
        </w:rPr>
        <w:t xml:space="preserve"> </w:t>
      </w:r>
      <w:r>
        <w:t>MOFCOM</w:t>
      </w:r>
      <w:r>
        <w:rPr>
          <w:spacing w:val="-8"/>
        </w:rPr>
        <w:t xml:space="preserve"> </w:t>
      </w:r>
      <w:r>
        <w:t>states</w:t>
      </w:r>
      <w:r>
        <w:rPr>
          <w:spacing w:val="-8"/>
        </w:rPr>
        <w:t xml:space="preserve"> </w:t>
      </w:r>
      <w:r>
        <w:rPr>
          <w:spacing w:val="-2"/>
        </w:rPr>
        <w:t>that:</w:t>
      </w:r>
    </w:p>
    <w:p w14:paraId="51DE9436" w14:textId="77777777" w:rsidR="0010369C" w:rsidRDefault="0010369C">
      <w:pPr>
        <w:pStyle w:val="BodyText"/>
        <w:spacing w:before="2"/>
        <w:rPr>
          <w:sz w:val="25"/>
        </w:rPr>
      </w:pPr>
    </w:p>
    <w:p w14:paraId="51DE9437" w14:textId="77777777" w:rsidR="0010369C" w:rsidRDefault="008E43AE">
      <w:pPr>
        <w:spacing w:line="276" w:lineRule="auto"/>
        <w:ind w:left="1088" w:right="614" w:firstLine="1"/>
        <w:jc w:val="both"/>
      </w:pPr>
      <w:r>
        <w:t>According</w:t>
      </w:r>
      <w:r>
        <w:rPr>
          <w:spacing w:val="-13"/>
        </w:rPr>
        <w:t xml:space="preserve"> </w:t>
      </w:r>
      <w:r>
        <w:t>to</w:t>
      </w:r>
      <w:r>
        <w:rPr>
          <w:spacing w:val="-12"/>
        </w:rPr>
        <w:t xml:space="preserve"> </w:t>
      </w:r>
      <w:r>
        <w:t>the</w:t>
      </w:r>
      <w:r>
        <w:rPr>
          <w:spacing w:val="-13"/>
        </w:rPr>
        <w:t xml:space="preserve"> </w:t>
      </w:r>
      <w:r>
        <w:t>evidence</w:t>
      </w:r>
      <w:r>
        <w:rPr>
          <w:spacing w:val="-12"/>
        </w:rPr>
        <w:t xml:space="preserve"> </w:t>
      </w:r>
      <w:r>
        <w:t>provided</w:t>
      </w:r>
      <w:r>
        <w:rPr>
          <w:spacing w:val="-13"/>
        </w:rPr>
        <w:t xml:space="preserve"> </w:t>
      </w:r>
      <w:r>
        <w:t>by</w:t>
      </w:r>
      <w:r>
        <w:rPr>
          <w:spacing w:val="-12"/>
        </w:rPr>
        <w:t xml:space="preserve"> </w:t>
      </w:r>
      <w:r>
        <w:t>the</w:t>
      </w:r>
      <w:r>
        <w:rPr>
          <w:spacing w:val="-13"/>
        </w:rPr>
        <w:t xml:space="preserve"> </w:t>
      </w:r>
      <w:r>
        <w:t>Applicant</w:t>
      </w:r>
      <w:r>
        <w:rPr>
          <w:spacing w:val="-12"/>
        </w:rPr>
        <w:t xml:space="preserve"> </w:t>
      </w:r>
      <w:r>
        <w:t>and</w:t>
      </w:r>
      <w:r>
        <w:rPr>
          <w:spacing w:val="-12"/>
        </w:rPr>
        <w:t xml:space="preserve"> </w:t>
      </w:r>
      <w:r>
        <w:t>MofCom's</w:t>
      </w:r>
      <w:r>
        <w:rPr>
          <w:spacing w:val="-13"/>
        </w:rPr>
        <w:t xml:space="preserve"> </w:t>
      </w:r>
      <w:r>
        <w:t>preliminary</w:t>
      </w:r>
      <w:r>
        <w:rPr>
          <w:spacing w:val="-12"/>
        </w:rPr>
        <w:t xml:space="preserve"> </w:t>
      </w:r>
      <w:r>
        <w:t>examination, the Applicant's total output of relevant wines in 2015, 2016, 2017, 2018, and 2019 constitutes a major proportion of the total domestic production of like products in China during the same period, which meets relevant requirements.</w:t>
      </w:r>
      <w:r>
        <w:rPr>
          <w:vertAlign w:val="superscript"/>
        </w:rPr>
        <w:t>894</w:t>
      </w:r>
    </w:p>
    <w:p w14:paraId="51DE9438" w14:textId="77777777" w:rsidR="0010369C" w:rsidRDefault="0010369C">
      <w:pPr>
        <w:pStyle w:val="BodyText"/>
        <w:spacing w:before="4"/>
        <w:rPr>
          <w:sz w:val="15"/>
        </w:rPr>
      </w:pPr>
    </w:p>
    <w:p w14:paraId="51DE9439" w14:textId="77777777" w:rsidR="0010369C" w:rsidRDefault="008E43AE">
      <w:pPr>
        <w:pStyle w:val="BodyText"/>
        <w:spacing w:before="51" w:line="360" w:lineRule="auto"/>
        <w:ind w:left="237" w:right="611" w:firstLine="851"/>
      </w:pPr>
      <w:r>
        <w:rPr>
          <w:noProof/>
        </w:rPr>
        <w:drawing>
          <wp:anchor distT="0" distB="0" distL="0" distR="0" simplePos="0" relativeHeight="251345408" behindDoc="1" locked="0" layoutInCell="1" allowOverlap="1" wp14:anchorId="51DEA628" wp14:editId="51DEA629">
            <wp:simplePos x="0" y="0"/>
            <wp:positionH relativeFrom="page">
              <wp:posOffset>902208</wp:posOffset>
            </wp:positionH>
            <wp:positionV relativeFrom="paragraph">
              <wp:posOffset>79960</wp:posOffset>
            </wp:positionV>
            <wp:extent cx="262127" cy="103631"/>
            <wp:effectExtent l="0" t="0" r="0" b="0"/>
            <wp:wrapNone/>
            <wp:docPr id="1453" name="image7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 name="image754.png"/>
                    <pic:cNvPicPr/>
                  </pic:nvPicPr>
                  <pic:blipFill>
                    <a:blip r:embed="rId991" cstate="print"/>
                    <a:stretch>
                      <a:fillRect/>
                    </a:stretch>
                  </pic:blipFill>
                  <pic:spPr>
                    <a:xfrm>
                      <a:off x="0" y="0"/>
                      <a:ext cx="262127" cy="103631"/>
                    </a:xfrm>
                    <a:prstGeom prst="rect">
                      <a:avLst/>
                    </a:prstGeom>
                  </pic:spPr>
                </pic:pic>
              </a:graphicData>
            </a:graphic>
          </wp:anchor>
        </w:drawing>
      </w:r>
      <w:r>
        <w:t xml:space="preserve">There </w:t>
      </w:r>
      <w:r>
        <w:t>is no further explanation as to how MOFCOM made this assessment in either the notice announcing the initiation of the investigation or the Final Determination.</w:t>
      </w:r>
    </w:p>
    <w:p w14:paraId="51DE943A" w14:textId="77777777" w:rsidR="0010369C" w:rsidRDefault="0010369C">
      <w:pPr>
        <w:pStyle w:val="BodyText"/>
        <w:spacing w:before="11"/>
        <w:rPr>
          <w:sz w:val="8"/>
        </w:rPr>
      </w:pPr>
    </w:p>
    <w:p w14:paraId="51DE943B" w14:textId="77777777" w:rsidR="0010369C" w:rsidRDefault="008E43AE">
      <w:pPr>
        <w:pStyle w:val="BodyText"/>
        <w:spacing w:before="52" w:line="360" w:lineRule="auto"/>
        <w:ind w:left="236" w:right="613" w:firstLine="852"/>
        <w:jc w:val="both"/>
      </w:pPr>
      <w:r>
        <w:rPr>
          <w:noProof/>
        </w:rPr>
        <w:drawing>
          <wp:anchor distT="0" distB="0" distL="0" distR="0" simplePos="0" relativeHeight="251346432" behindDoc="1" locked="0" layoutInCell="1" allowOverlap="1" wp14:anchorId="51DEA62A" wp14:editId="51DEA62B">
            <wp:simplePos x="0" y="0"/>
            <wp:positionH relativeFrom="page">
              <wp:posOffset>902208</wp:posOffset>
            </wp:positionH>
            <wp:positionV relativeFrom="paragraph">
              <wp:posOffset>81949</wp:posOffset>
            </wp:positionV>
            <wp:extent cx="262127" cy="100753"/>
            <wp:effectExtent l="0" t="0" r="0" b="0"/>
            <wp:wrapNone/>
            <wp:docPr id="1455" name="image7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 name="image755.png"/>
                    <pic:cNvPicPr/>
                  </pic:nvPicPr>
                  <pic:blipFill>
                    <a:blip r:embed="rId992" cstate="print"/>
                    <a:stretch>
                      <a:fillRect/>
                    </a:stretch>
                  </pic:blipFill>
                  <pic:spPr>
                    <a:xfrm>
                      <a:off x="0" y="0"/>
                      <a:ext cx="262127" cy="100753"/>
                    </a:xfrm>
                    <a:prstGeom prst="rect">
                      <a:avLst/>
                    </a:prstGeom>
                  </pic:spPr>
                </pic:pic>
              </a:graphicData>
            </a:graphic>
          </wp:anchor>
        </w:drawing>
      </w:r>
      <w:r>
        <w:t>Based</w:t>
      </w:r>
      <w:r>
        <w:rPr>
          <w:spacing w:val="-4"/>
        </w:rPr>
        <w:t xml:space="preserve"> </w:t>
      </w:r>
      <w:r>
        <w:t>on</w:t>
      </w:r>
      <w:r>
        <w:rPr>
          <w:spacing w:val="-4"/>
        </w:rPr>
        <w:t xml:space="preserve"> </w:t>
      </w:r>
      <w:r>
        <w:t>the</w:t>
      </w:r>
      <w:r>
        <w:rPr>
          <w:spacing w:val="-3"/>
        </w:rPr>
        <w:t xml:space="preserve"> </w:t>
      </w:r>
      <w:r>
        <w:t>information</w:t>
      </w:r>
      <w:r>
        <w:rPr>
          <w:spacing w:val="-3"/>
        </w:rPr>
        <w:t xml:space="preserve"> </w:t>
      </w:r>
      <w:r>
        <w:t>in</w:t>
      </w:r>
      <w:r>
        <w:rPr>
          <w:spacing w:val="-4"/>
        </w:rPr>
        <w:t xml:space="preserve"> </w:t>
      </w:r>
      <w:r>
        <w:t>the</w:t>
      </w:r>
      <w:r>
        <w:rPr>
          <w:spacing w:val="-3"/>
        </w:rPr>
        <w:t xml:space="preserve"> </w:t>
      </w:r>
      <w:r>
        <w:t>Application,</w:t>
      </w:r>
      <w:r>
        <w:rPr>
          <w:spacing w:val="-3"/>
        </w:rPr>
        <w:t xml:space="preserve"> </w:t>
      </w:r>
      <w:r>
        <w:t>an</w:t>
      </w:r>
      <w:r>
        <w:rPr>
          <w:spacing w:val="-5"/>
        </w:rPr>
        <w:t xml:space="preserve"> </w:t>
      </w:r>
      <w:r>
        <w:t>unbiased</w:t>
      </w:r>
      <w:r>
        <w:rPr>
          <w:spacing w:val="-4"/>
        </w:rPr>
        <w:t xml:space="preserve"> </w:t>
      </w:r>
      <w:r>
        <w:t>and</w:t>
      </w:r>
      <w:r>
        <w:rPr>
          <w:spacing w:val="-4"/>
        </w:rPr>
        <w:t xml:space="preserve"> </w:t>
      </w:r>
      <w:r>
        <w:t>objective</w:t>
      </w:r>
      <w:r>
        <w:rPr>
          <w:spacing w:val="-3"/>
        </w:rPr>
        <w:t xml:space="preserve"> </w:t>
      </w:r>
      <w:r>
        <w:t>investigating authority</w:t>
      </w:r>
      <w:r>
        <w:t xml:space="preserve"> could not have been satisfied that the criteria in Article 5.4 were met. The material before MOFCOM was</w:t>
      </w:r>
      <w:r>
        <w:rPr>
          <w:spacing w:val="-1"/>
        </w:rPr>
        <w:t xml:space="preserve"> </w:t>
      </w:r>
      <w:r>
        <w:t>inadequate to</w:t>
      </w:r>
      <w:r>
        <w:rPr>
          <w:spacing w:val="-1"/>
        </w:rPr>
        <w:t xml:space="preserve"> </w:t>
      </w:r>
      <w:r>
        <w:t>allow it to be satisfied that the Application</w:t>
      </w:r>
      <w:r>
        <w:rPr>
          <w:spacing w:val="-1"/>
        </w:rPr>
        <w:t xml:space="preserve"> </w:t>
      </w:r>
      <w:r>
        <w:t xml:space="preserve">had the level of support necessary to meet the numerical thresholds in Article 5.4 because </w:t>
      </w:r>
      <w:r>
        <w:t>(a) while CADA claimed it had been authorised to submit the application, it provided no evidence of the number</w:t>
      </w:r>
      <w:r>
        <w:rPr>
          <w:spacing w:val="-8"/>
        </w:rPr>
        <w:t xml:space="preserve"> </w:t>
      </w:r>
      <w:r>
        <w:t>of</w:t>
      </w:r>
      <w:r>
        <w:rPr>
          <w:spacing w:val="-7"/>
        </w:rPr>
        <w:t xml:space="preserve"> </w:t>
      </w:r>
      <w:r>
        <w:t>domestic</w:t>
      </w:r>
      <w:r>
        <w:rPr>
          <w:spacing w:val="-6"/>
        </w:rPr>
        <w:t xml:space="preserve"> </w:t>
      </w:r>
      <w:r>
        <w:t>producers</w:t>
      </w:r>
      <w:r>
        <w:rPr>
          <w:spacing w:val="-7"/>
        </w:rPr>
        <w:t xml:space="preserve"> </w:t>
      </w:r>
      <w:r>
        <w:t>(and</w:t>
      </w:r>
      <w:r>
        <w:rPr>
          <w:spacing w:val="-8"/>
        </w:rPr>
        <w:t xml:space="preserve"> </w:t>
      </w:r>
      <w:r>
        <w:t>the</w:t>
      </w:r>
      <w:r>
        <w:rPr>
          <w:spacing w:val="-7"/>
        </w:rPr>
        <w:t xml:space="preserve"> </w:t>
      </w:r>
      <w:r>
        <w:t>level</w:t>
      </w:r>
      <w:r>
        <w:rPr>
          <w:spacing w:val="-8"/>
        </w:rPr>
        <w:t xml:space="preserve"> </w:t>
      </w:r>
      <w:r>
        <w:t>of</w:t>
      </w:r>
      <w:r>
        <w:rPr>
          <w:spacing w:val="-7"/>
        </w:rPr>
        <w:t xml:space="preserve"> </w:t>
      </w:r>
      <w:r>
        <w:t>their</w:t>
      </w:r>
      <w:r>
        <w:rPr>
          <w:spacing w:val="-7"/>
        </w:rPr>
        <w:t xml:space="preserve"> </w:t>
      </w:r>
      <w:r>
        <w:t>production)</w:t>
      </w:r>
      <w:r>
        <w:rPr>
          <w:spacing w:val="-6"/>
        </w:rPr>
        <w:t xml:space="preserve"> </w:t>
      </w:r>
      <w:r>
        <w:t>that</w:t>
      </w:r>
      <w:r>
        <w:rPr>
          <w:spacing w:val="-7"/>
        </w:rPr>
        <w:t xml:space="preserve"> </w:t>
      </w:r>
      <w:r>
        <w:t>supported,</w:t>
      </w:r>
      <w:r>
        <w:rPr>
          <w:spacing w:val="-8"/>
        </w:rPr>
        <w:t xml:space="preserve"> </w:t>
      </w:r>
      <w:r>
        <w:t>opposed</w:t>
      </w:r>
      <w:r>
        <w:rPr>
          <w:spacing w:val="-7"/>
        </w:rPr>
        <w:t xml:space="preserve"> </w:t>
      </w:r>
      <w:r>
        <w:t>or were</w:t>
      </w:r>
      <w:r>
        <w:rPr>
          <w:spacing w:val="-7"/>
        </w:rPr>
        <w:t xml:space="preserve"> </w:t>
      </w:r>
      <w:r>
        <w:t>neutral</w:t>
      </w:r>
      <w:r>
        <w:rPr>
          <w:spacing w:val="-7"/>
        </w:rPr>
        <w:t xml:space="preserve"> </w:t>
      </w:r>
      <w:r>
        <w:t>about</w:t>
      </w:r>
      <w:r>
        <w:rPr>
          <w:spacing w:val="-7"/>
        </w:rPr>
        <w:t xml:space="preserve"> </w:t>
      </w:r>
      <w:r>
        <w:t>the</w:t>
      </w:r>
      <w:r>
        <w:rPr>
          <w:spacing w:val="-7"/>
        </w:rPr>
        <w:t xml:space="preserve"> </w:t>
      </w:r>
      <w:r>
        <w:t>application;</w:t>
      </w:r>
      <w:r>
        <w:rPr>
          <w:spacing w:val="-7"/>
        </w:rPr>
        <w:t xml:space="preserve"> </w:t>
      </w:r>
      <w:r>
        <w:t>and</w:t>
      </w:r>
      <w:r>
        <w:rPr>
          <w:spacing w:val="-8"/>
        </w:rPr>
        <w:t xml:space="preserve"> </w:t>
      </w:r>
      <w:r>
        <w:t>(b)</w:t>
      </w:r>
      <w:r>
        <w:rPr>
          <w:spacing w:val="-7"/>
        </w:rPr>
        <w:t xml:space="preserve"> </w:t>
      </w:r>
      <w:r>
        <w:t>the</w:t>
      </w:r>
      <w:r>
        <w:rPr>
          <w:spacing w:val="-8"/>
        </w:rPr>
        <w:t xml:space="preserve"> </w:t>
      </w:r>
      <w:r>
        <w:t>evidence</w:t>
      </w:r>
      <w:r>
        <w:rPr>
          <w:spacing w:val="-8"/>
        </w:rPr>
        <w:t xml:space="preserve"> </w:t>
      </w:r>
      <w:r>
        <w:t>relied</w:t>
      </w:r>
      <w:r>
        <w:rPr>
          <w:spacing w:val="-7"/>
        </w:rPr>
        <w:t xml:space="preserve"> </w:t>
      </w:r>
      <w:r>
        <w:t>upon</w:t>
      </w:r>
      <w:r>
        <w:rPr>
          <w:spacing w:val="-7"/>
        </w:rPr>
        <w:t xml:space="preserve"> </w:t>
      </w:r>
      <w:r>
        <w:t>by</w:t>
      </w:r>
      <w:r>
        <w:rPr>
          <w:spacing w:val="-8"/>
        </w:rPr>
        <w:t xml:space="preserve"> </w:t>
      </w:r>
      <w:r>
        <w:t>CADA</w:t>
      </w:r>
      <w:r>
        <w:rPr>
          <w:spacing w:val="-7"/>
        </w:rPr>
        <w:t xml:space="preserve"> </w:t>
      </w:r>
      <w:r>
        <w:t>to</w:t>
      </w:r>
      <w:r>
        <w:rPr>
          <w:spacing w:val="-8"/>
        </w:rPr>
        <w:t xml:space="preserve"> </w:t>
      </w:r>
      <w:r>
        <w:t>establish</w:t>
      </w:r>
      <w:r>
        <w:rPr>
          <w:spacing w:val="-8"/>
        </w:rPr>
        <w:t xml:space="preserve"> </w:t>
      </w:r>
      <w:r>
        <w:t xml:space="preserve">the total output of its members and the total domestic production value of like products was </w:t>
      </w:r>
      <w:r>
        <w:rPr>
          <w:spacing w:val="-2"/>
        </w:rPr>
        <w:t>unreliable.</w:t>
      </w:r>
    </w:p>
    <w:p w14:paraId="51DE943C" w14:textId="77777777" w:rsidR="0010369C" w:rsidRDefault="008E43AE">
      <w:pPr>
        <w:pStyle w:val="ListParagraph"/>
        <w:numPr>
          <w:ilvl w:val="2"/>
          <w:numId w:val="1"/>
        </w:numPr>
        <w:tabs>
          <w:tab w:val="left" w:pos="3642"/>
          <w:tab w:val="left" w:pos="3643"/>
        </w:tabs>
        <w:spacing w:before="161"/>
        <w:ind w:hanging="853"/>
        <w:jc w:val="both"/>
        <w:rPr>
          <w:sz w:val="24"/>
        </w:rPr>
      </w:pPr>
      <w:r>
        <w:rPr>
          <w:sz w:val="24"/>
          <w:u w:val="single"/>
        </w:rPr>
        <w:t>Required</w:t>
      </w:r>
      <w:r>
        <w:rPr>
          <w:spacing w:val="-8"/>
          <w:sz w:val="24"/>
          <w:u w:val="single"/>
        </w:rPr>
        <w:t xml:space="preserve"> </w:t>
      </w:r>
      <w:r>
        <w:rPr>
          <w:sz w:val="24"/>
          <w:u w:val="single"/>
        </w:rPr>
        <w:t>support</w:t>
      </w:r>
      <w:r>
        <w:rPr>
          <w:spacing w:val="-7"/>
          <w:sz w:val="24"/>
          <w:u w:val="single"/>
        </w:rPr>
        <w:t xml:space="preserve"> </w:t>
      </w:r>
      <w:r>
        <w:rPr>
          <w:sz w:val="24"/>
          <w:u w:val="single"/>
        </w:rPr>
        <w:t>of</w:t>
      </w:r>
      <w:r>
        <w:rPr>
          <w:spacing w:val="-7"/>
          <w:sz w:val="24"/>
          <w:u w:val="single"/>
        </w:rPr>
        <w:t xml:space="preserve"> </w:t>
      </w:r>
      <w:r>
        <w:rPr>
          <w:sz w:val="24"/>
          <w:u w:val="single"/>
        </w:rPr>
        <w:t>the</w:t>
      </w:r>
      <w:r>
        <w:rPr>
          <w:spacing w:val="-7"/>
          <w:sz w:val="24"/>
          <w:u w:val="single"/>
        </w:rPr>
        <w:t xml:space="preserve"> </w:t>
      </w:r>
      <w:r>
        <w:rPr>
          <w:sz w:val="24"/>
          <w:u w:val="single"/>
        </w:rPr>
        <w:t>domestic</w:t>
      </w:r>
      <w:r>
        <w:rPr>
          <w:spacing w:val="-5"/>
          <w:sz w:val="24"/>
          <w:u w:val="single"/>
        </w:rPr>
        <w:t xml:space="preserve"> </w:t>
      </w:r>
      <w:r>
        <w:rPr>
          <w:spacing w:val="-2"/>
          <w:sz w:val="24"/>
          <w:u w:val="single"/>
        </w:rPr>
        <w:t>industry</w:t>
      </w:r>
    </w:p>
    <w:p w14:paraId="51DE943D" w14:textId="77777777" w:rsidR="0010369C" w:rsidRDefault="0010369C">
      <w:pPr>
        <w:pStyle w:val="BodyText"/>
        <w:spacing w:before="10"/>
        <w:rPr>
          <w:sz w:val="20"/>
        </w:rPr>
      </w:pPr>
    </w:p>
    <w:p w14:paraId="51DE943E" w14:textId="77777777" w:rsidR="0010369C" w:rsidRDefault="008E43AE">
      <w:pPr>
        <w:pStyle w:val="BodyText"/>
        <w:spacing w:before="52" w:line="360" w:lineRule="auto"/>
        <w:ind w:left="237" w:right="613" w:firstLine="851"/>
        <w:jc w:val="both"/>
      </w:pPr>
      <w:r>
        <w:rPr>
          <w:noProof/>
        </w:rPr>
        <w:drawing>
          <wp:anchor distT="0" distB="0" distL="0" distR="0" simplePos="0" relativeHeight="251347456" behindDoc="1" locked="0" layoutInCell="1" allowOverlap="1" wp14:anchorId="51DEA62C" wp14:editId="51DEA62D">
            <wp:simplePos x="0" y="0"/>
            <wp:positionH relativeFrom="page">
              <wp:posOffset>902208</wp:posOffset>
            </wp:positionH>
            <wp:positionV relativeFrom="paragraph">
              <wp:posOffset>81357</wp:posOffset>
            </wp:positionV>
            <wp:extent cx="262127" cy="103631"/>
            <wp:effectExtent l="0" t="0" r="0" b="0"/>
            <wp:wrapNone/>
            <wp:docPr id="1457" name="image7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 name="image756.png"/>
                    <pic:cNvPicPr/>
                  </pic:nvPicPr>
                  <pic:blipFill>
                    <a:blip r:embed="rId993" cstate="print"/>
                    <a:stretch>
                      <a:fillRect/>
                    </a:stretch>
                  </pic:blipFill>
                  <pic:spPr>
                    <a:xfrm>
                      <a:off x="0" y="0"/>
                      <a:ext cx="262127" cy="103631"/>
                    </a:xfrm>
                    <a:prstGeom prst="rect">
                      <a:avLst/>
                    </a:prstGeom>
                  </pic:spPr>
                </pic:pic>
              </a:graphicData>
            </a:graphic>
          </wp:anchor>
        </w:drawing>
      </w:r>
      <w:r>
        <w:t>CADA states in its application that "it has a wine branch which is responsible for the macro management of the wine industry" with a "total of 122 wine‐producing member units".</w:t>
      </w:r>
      <w:r>
        <w:rPr>
          <w:vertAlign w:val="superscript"/>
        </w:rPr>
        <w:t>895</w:t>
      </w:r>
      <w:r>
        <w:t xml:space="preserve"> CADA claimed that these member units account for the "vast majority of total</w:t>
      </w:r>
      <w:r>
        <w:t xml:space="preserve"> domestic</w:t>
      </w:r>
      <w:r>
        <w:rPr>
          <w:spacing w:val="70"/>
        </w:rPr>
        <w:t xml:space="preserve"> </w:t>
      </w:r>
      <w:r>
        <w:t>output</w:t>
      </w:r>
      <w:r>
        <w:rPr>
          <w:spacing w:val="68"/>
        </w:rPr>
        <w:t xml:space="preserve"> </w:t>
      </w:r>
      <w:r>
        <w:t>and</w:t>
      </w:r>
      <w:r>
        <w:rPr>
          <w:spacing w:val="69"/>
        </w:rPr>
        <w:t xml:space="preserve"> </w:t>
      </w:r>
      <w:r>
        <w:t>are</w:t>
      </w:r>
      <w:r>
        <w:rPr>
          <w:spacing w:val="69"/>
        </w:rPr>
        <w:t xml:space="preserve"> </w:t>
      </w:r>
      <w:r>
        <w:t>representative</w:t>
      </w:r>
      <w:r>
        <w:rPr>
          <w:spacing w:val="68"/>
        </w:rPr>
        <w:t xml:space="preserve"> </w:t>
      </w:r>
      <w:r>
        <w:t>and</w:t>
      </w:r>
      <w:r>
        <w:rPr>
          <w:spacing w:val="68"/>
        </w:rPr>
        <w:t xml:space="preserve"> </w:t>
      </w:r>
      <w:r>
        <w:t>influential</w:t>
      </w:r>
      <w:r>
        <w:rPr>
          <w:spacing w:val="68"/>
        </w:rPr>
        <w:t xml:space="preserve"> </w:t>
      </w:r>
      <w:r>
        <w:t>in</w:t>
      </w:r>
      <w:r>
        <w:rPr>
          <w:spacing w:val="68"/>
        </w:rPr>
        <w:t xml:space="preserve"> </w:t>
      </w:r>
      <w:r>
        <w:t>the</w:t>
      </w:r>
      <w:r>
        <w:rPr>
          <w:spacing w:val="69"/>
        </w:rPr>
        <w:t xml:space="preserve"> </w:t>
      </w:r>
      <w:r>
        <w:t>industry".</w:t>
      </w:r>
      <w:r>
        <w:rPr>
          <w:vertAlign w:val="superscript"/>
        </w:rPr>
        <w:t>896</w:t>
      </w:r>
      <w:r>
        <w:rPr>
          <w:spacing w:val="67"/>
        </w:rPr>
        <w:t xml:space="preserve"> </w:t>
      </w:r>
      <w:r>
        <w:t>CADA</w:t>
      </w:r>
      <w:r>
        <w:rPr>
          <w:spacing w:val="69"/>
        </w:rPr>
        <w:t xml:space="preserve"> </w:t>
      </w:r>
      <w:r>
        <w:t>also</w:t>
      </w:r>
    </w:p>
    <w:p w14:paraId="51DE943F" w14:textId="77777777" w:rsidR="0010369C" w:rsidRDefault="0010369C">
      <w:pPr>
        <w:pStyle w:val="BodyText"/>
        <w:rPr>
          <w:sz w:val="20"/>
        </w:rPr>
      </w:pPr>
    </w:p>
    <w:p w14:paraId="51DE9440" w14:textId="77777777" w:rsidR="0010369C" w:rsidRDefault="0010369C">
      <w:pPr>
        <w:pStyle w:val="BodyText"/>
        <w:rPr>
          <w:sz w:val="20"/>
        </w:rPr>
      </w:pPr>
    </w:p>
    <w:p w14:paraId="51DE9441" w14:textId="77777777" w:rsidR="0010369C" w:rsidRDefault="0010369C">
      <w:pPr>
        <w:pStyle w:val="BodyText"/>
        <w:rPr>
          <w:sz w:val="20"/>
        </w:rPr>
      </w:pPr>
    </w:p>
    <w:p w14:paraId="51DE9442" w14:textId="77777777" w:rsidR="0010369C" w:rsidRDefault="0010369C">
      <w:pPr>
        <w:pStyle w:val="BodyText"/>
        <w:rPr>
          <w:sz w:val="20"/>
        </w:rPr>
      </w:pPr>
    </w:p>
    <w:p w14:paraId="51DE9443" w14:textId="77777777" w:rsidR="0010369C" w:rsidRDefault="008E43AE">
      <w:pPr>
        <w:pStyle w:val="BodyText"/>
        <w:spacing w:before="3"/>
        <w:rPr>
          <w:sz w:val="27"/>
        </w:rPr>
      </w:pPr>
      <w:r>
        <w:pict w14:anchorId="51DEA62E">
          <v:rect id="docshape1224" o:spid="_x0000_s1196" style="position:absolute;margin-left:70.9pt;margin-top:17.85pt;width:2in;height:.8pt;z-index:-250762752;mso-wrap-distance-left:0;mso-wrap-distance-right:0;mso-position-horizontal-relative:page" fillcolor="black" stroked="f">
            <w10:wrap type="topAndBottom" anchorx="page"/>
          </v:rect>
        </w:pict>
      </w:r>
    </w:p>
    <w:p w14:paraId="51DE9444" w14:textId="77777777" w:rsidR="0010369C" w:rsidRDefault="008E43AE">
      <w:pPr>
        <w:spacing w:before="110"/>
        <w:ind w:left="238"/>
        <w:rPr>
          <w:sz w:val="18"/>
        </w:rPr>
      </w:pPr>
      <w:r>
        <w:rPr>
          <w:sz w:val="18"/>
          <w:vertAlign w:val="superscript"/>
        </w:rPr>
        <w:t>893</w:t>
      </w:r>
      <w:r>
        <w:rPr>
          <w:spacing w:val="-5"/>
          <w:sz w:val="18"/>
        </w:rPr>
        <w:t xml:space="preserve"> </w:t>
      </w:r>
      <w:r>
        <w:rPr>
          <w:sz w:val="18"/>
        </w:rPr>
        <w:t>Panel</w:t>
      </w:r>
      <w:r>
        <w:rPr>
          <w:spacing w:val="-6"/>
          <w:sz w:val="18"/>
        </w:rPr>
        <w:t xml:space="preserve"> </w:t>
      </w:r>
      <w:r>
        <w:rPr>
          <w:sz w:val="18"/>
        </w:rPr>
        <w:t>Report,</w:t>
      </w:r>
      <w:r>
        <w:rPr>
          <w:spacing w:val="-5"/>
          <w:sz w:val="18"/>
        </w:rPr>
        <w:t xml:space="preserve"> </w:t>
      </w:r>
      <w:r>
        <w:rPr>
          <w:i/>
          <w:sz w:val="18"/>
        </w:rPr>
        <w:t>EC</w:t>
      </w:r>
      <w:r>
        <w:rPr>
          <w:i/>
          <w:spacing w:val="-6"/>
          <w:sz w:val="18"/>
        </w:rPr>
        <w:t xml:space="preserve"> </w:t>
      </w:r>
      <w:r>
        <w:rPr>
          <w:i/>
          <w:sz w:val="18"/>
        </w:rPr>
        <w:t>–</w:t>
      </w:r>
      <w:r>
        <w:rPr>
          <w:i/>
          <w:spacing w:val="-5"/>
          <w:sz w:val="18"/>
        </w:rPr>
        <w:t xml:space="preserve"> </w:t>
      </w:r>
      <w:r>
        <w:rPr>
          <w:i/>
          <w:sz w:val="18"/>
        </w:rPr>
        <w:t>Salmon</w:t>
      </w:r>
      <w:r>
        <w:rPr>
          <w:i/>
          <w:spacing w:val="-5"/>
          <w:sz w:val="18"/>
        </w:rPr>
        <w:t xml:space="preserve"> </w:t>
      </w:r>
      <w:r>
        <w:rPr>
          <w:i/>
          <w:sz w:val="18"/>
        </w:rPr>
        <w:t>(Norway),</w:t>
      </w:r>
      <w:r>
        <w:rPr>
          <w:i/>
          <w:spacing w:val="-6"/>
          <w:sz w:val="18"/>
        </w:rPr>
        <w:t xml:space="preserve"> </w:t>
      </w:r>
      <w:r>
        <w:rPr>
          <w:sz w:val="18"/>
        </w:rPr>
        <w:t>para.</w:t>
      </w:r>
      <w:r>
        <w:rPr>
          <w:spacing w:val="-5"/>
          <w:sz w:val="18"/>
        </w:rPr>
        <w:t xml:space="preserve"> </w:t>
      </w:r>
      <w:r>
        <w:rPr>
          <w:spacing w:val="-2"/>
          <w:sz w:val="18"/>
        </w:rPr>
        <w:t>7.118.</w:t>
      </w:r>
    </w:p>
    <w:p w14:paraId="51DE9445" w14:textId="77777777" w:rsidR="0010369C" w:rsidRDefault="008E43AE">
      <w:pPr>
        <w:ind w:left="238"/>
        <w:rPr>
          <w:sz w:val="18"/>
        </w:rPr>
      </w:pPr>
      <w:r>
        <w:rPr>
          <w:spacing w:val="-2"/>
          <w:sz w:val="18"/>
          <w:vertAlign w:val="superscript"/>
        </w:rPr>
        <w:t>894</w:t>
      </w:r>
      <w:r>
        <w:rPr>
          <w:spacing w:val="6"/>
          <w:sz w:val="18"/>
        </w:rPr>
        <w:t xml:space="preserve"> </w:t>
      </w:r>
      <w:r>
        <w:rPr>
          <w:spacing w:val="-2"/>
          <w:sz w:val="18"/>
        </w:rPr>
        <w:t>Anti‐Dumping</w:t>
      </w:r>
      <w:r>
        <w:rPr>
          <w:spacing w:val="7"/>
          <w:sz w:val="18"/>
        </w:rPr>
        <w:t xml:space="preserve"> </w:t>
      </w:r>
      <w:r>
        <w:rPr>
          <w:spacing w:val="-2"/>
          <w:sz w:val="18"/>
        </w:rPr>
        <w:t>Initiation</w:t>
      </w:r>
      <w:r>
        <w:rPr>
          <w:spacing w:val="7"/>
          <w:sz w:val="18"/>
        </w:rPr>
        <w:t xml:space="preserve"> </w:t>
      </w:r>
      <w:r>
        <w:rPr>
          <w:spacing w:val="-2"/>
          <w:sz w:val="18"/>
        </w:rPr>
        <w:t>of</w:t>
      </w:r>
      <w:r>
        <w:rPr>
          <w:spacing w:val="7"/>
          <w:sz w:val="18"/>
        </w:rPr>
        <w:t xml:space="preserve"> </w:t>
      </w:r>
      <w:r>
        <w:rPr>
          <w:spacing w:val="-2"/>
          <w:sz w:val="18"/>
        </w:rPr>
        <w:t>Investigation</w:t>
      </w:r>
      <w:r>
        <w:rPr>
          <w:spacing w:val="7"/>
          <w:sz w:val="18"/>
        </w:rPr>
        <w:t xml:space="preserve"> </w:t>
      </w:r>
      <w:r>
        <w:rPr>
          <w:spacing w:val="-2"/>
          <w:sz w:val="18"/>
        </w:rPr>
        <w:t>Announcement</w:t>
      </w:r>
      <w:r>
        <w:rPr>
          <w:spacing w:val="5"/>
          <w:sz w:val="18"/>
        </w:rPr>
        <w:t xml:space="preserve"> </w:t>
      </w:r>
      <w:r>
        <w:rPr>
          <w:spacing w:val="-2"/>
          <w:sz w:val="18"/>
        </w:rPr>
        <w:t>(Exhibit</w:t>
      </w:r>
      <w:r>
        <w:rPr>
          <w:spacing w:val="7"/>
          <w:sz w:val="18"/>
        </w:rPr>
        <w:t xml:space="preserve"> </w:t>
      </w:r>
      <w:r>
        <w:rPr>
          <w:spacing w:val="-2"/>
          <w:sz w:val="18"/>
        </w:rPr>
        <w:t>AUS‐89),</w:t>
      </w:r>
      <w:r>
        <w:rPr>
          <w:spacing w:val="6"/>
          <w:sz w:val="18"/>
        </w:rPr>
        <w:t xml:space="preserve"> </w:t>
      </w:r>
      <w:r>
        <w:rPr>
          <w:spacing w:val="-4"/>
          <w:sz w:val="18"/>
        </w:rPr>
        <w:t>p.1.</w:t>
      </w:r>
    </w:p>
    <w:p w14:paraId="51DE9446" w14:textId="77777777" w:rsidR="0010369C" w:rsidRDefault="008E43AE">
      <w:pPr>
        <w:ind w:left="238"/>
        <w:rPr>
          <w:sz w:val="18"/>
        </w:rPr>
      </w:pPr>
      <w:r>
        <w:rPr>
          <w:sz w:val="18"/>
          <w:vertAlign w:val="superscript"/>
        </w:rPr>
        <w:t>895</w:t>
      </w:r>
      <w:r>
        <w:rPr>
          <w:spacing w:val="-10"/>
          <w:sz w:val="18"/>
        </w:rPr>
        <w:t xml:space="preserve"> </w:t>
      </w:r>
      <w:r>
        <w:rPr>
          <w:sz w:val="18"/>
        </w:rPr>
        <w:t>CADA</w:t>
      </w:r>
      <w:r>
        <w:rPr>
          <w:spacing w:val="-9"/>
          <w:sz w:val="18"/>
        </w:rPr>
        <w:t xml:space="preserve"> </w:t>
      </w:r>
      <w:r>
        <w:rPr>
          <w:sz w:val="18"/>
        </w:rPr>
        <w:t>Application</w:t>
      </w:r>
      <w:r>
        <w:rPr>
          <w:spacing w:val="-9"/>
          <w:sz w:val="18"/>
        </w:rPr>
        <w:t xml:space="preserve"> </w:t>
      </w:r>
      <w:r>
        <w:rPr>
          <w:sz w:val="18"/>
        </w:rPr>
        <w:t>for</w:t>
      </w:r>
      <w:r>
        <w:rPr>
          <w:spacing w:val="-10"/>
          <w:sz w:val="18"/>
        </w:rPr>
        <w:t xml:space="preserve"> </w:t>
      </w:r>
      <w:r>
        <w:rPr>
          <w:sz w:val="18"/>
        </w:rPr>
        <w:t>Anti‐Dumping</w:t>
      </w:r>
      <w:r>
        <w:rPr>
          <w:spacing w:val="-9"/>
          <w:sz w:val="18"/>
        </w:rPr>
        <w:t xml:space="preserve"> </w:t>
      </w:r>
      <w:r>
        <w:rPr>
          <w:sz w:val="18"/>
        </w:rPr>
        <w:t>Investigation</w:t>
      </w:r>
      <w:r>
        <w:rPr>
          <w:spacing w:val="-9"/>
          <w:sz w:val="18"/>
        </w:rPr>
        <w:t xml:space="preserve"> </w:t>
      </w:r>
      <w:r>
        <w:rPr>
          <w:sz w:val="18"/>
        </w:rPr>
        <w:t>(Exhibit</w:t>
      </w:r>
      <w:r>
        <w:rPr>
          <w:spacing w:val="-9"/>
          <w:sz w:val="18"/>
        </w:rPr>
        <w:t xml:space="preserve"> </w:t>
      </w:r>
      <w:r>
        <w:rPr>
          <w:sz w:val="18"/>
        </w:rPr>
        <w:t>AUS‐64),</w:t>
      </w:r>
      <w:r>
        <w:rPr>
          <w:spacing w:val="-10"/>
          <w:sz w:val="18"/>
        </w:rPr>
        <w:t xml:space="preserve"> </w:t>
      </w:r>
      <w:r>
        <w:rPr>
          <w:sz w:val="18"/>
        </w:rPr>
        <w:t>p.</w:t>
      </w:r>
      <w:r>
        <w:rPr>
          <w:spacing w:val="-9"/>
          <w:sz w:val="18"/>
        </w:rPr>
        <w:t xml:space="preserve"> </w:t>
      </w:r>
      <w:r>
        <w:rPr>
          <w:spacing w:val="-5"/>
          <w:sz w:val="18"/>
        </w:rPr>
        <w:t>6.</w:t>
      </w:r>
    </w:p>
    <w:p w14:paraId="51DE9447" w14:textId="77777777" w:rsidR="0010369C" w:rsidRDefault="008E43AE">
      <w:pPr>
        <w:ind w:left="238"/>
        <w:rPr>
          <w:sz w:val="18"/>
        </w:rPr>
      </w:pPr>
      <w:r>
        <w:rPr>
          <w:sz w:val="18"/>
          <w:vertAlign w:val="superscript"/>
        </w:rPr>
        <w:t>896</w:t>
      </w:r>
      <w:r>
        <w:rPr>
          <w:spacing w:val="-10"/>
          <w:sz w:val="18"/>
        </w:rPr>
        <w:t xml:space="preserve"> </w:t>
      </w:r>
      <w:r>
        <w:rPr>
          <w:sz w:val="18"/>
        </w:rPr>
        <w:t>CADA</w:t>
      </w:r>
      <w:r>
        <w:rPr>
          <w:spacing w:val="-9"/>
          <w:sz w:val="18"/>
        </w:rPr>
        <w:t xml:space="preserve"> </w:t>
      </w:r>
      <w:r>
        <w:rPr>
          <w:sz w:val="18"/>
        </w:rPr>
        <w:t>Application</w:t>
      </w:r>
      <w:r>
        <w:rPr>
          <w:spacing w:val="-9"/>
          <w:sz w:val="18"/>
        </w:rPr>
        <w:t xml:space="preserve"> </w:t>
      </w:r>
      <w:r>
        <w:rPr>
          <w:sz w:val="18"/>
        </w:rPr>
        <w:t>for</w:t>
      </w:r>
      <w:r>
        <w:rPr>
          <w:spacing w:val="-10"/>
          <w:sz w:val="18"/>
        </w:rPr>
        <w:t xml:space="preserve"> </w:t>
      </w:r>
      <w:r>
        <w:rPr>
          <w:sz w:val="18"/>
        </w:rPr>
        <w:t>Anti‐Dumping</w:t>
      </w:r>
      <w:r>
        <w:rPr>
          <w:spacing w:val="-9"/>
          <w:sz w:val="18"/>
        </w:rPr>
        <w:t xml:space="preserve"> </w:t>
      </w:r>
      <w:r>
        <w:rPr>
          <w:sz w:val="18"/>
        </w:rPr>
        <w:t>Investigation</w:t>
      </w:r>
      <w:r>
        <w:rPr>
          <w:spacing w:val="-9"/>
          <w:sz w:val="18"/>
        </w:rPr>
        <w:t xml:space="preserve"> </w:t>
      </w:r>
      <w:r>
        <w:rPr>
          <w:sz w:val="18"/>
        </w:rPr>
        <w:t>(Exhibit</w:t>
      </w:r>
      <w:r>
        <w:rPr>
          <w:spacing w:val="-10"/>
          <w:sz w:val="18"/>
        </w:rPr>
        <w:t xml:space="preserve"> </w:t>
      </w:r>
      <w:r>
        <w:rPr>
          <w:sz w:val="18"/>
        </w:rPr>
        <w:t>AUS‐64),</w:t>
      </w:r>
      <w:r>
        <w:rPr>
          <w:spacing w:val="-10"/>
          <w:sz w:val="18"/>
        </w:rPr>
        <w:t xml:space="preserve"> </w:t>
      </w:r>
      <w:r>
        <w:rPr>
          <w:sz w:val="18"/>
        </w:rPr>
        <w:t>pp.</w:t>
      </w:r>
      <w:r>
        <w:rPr>
          <w:spacing w:val="-9"/>
          <w:sz w:val="18"/>
        </w:rPr>
        <w:t xml:space="preserve"> </w:t>
      </w:r>
      <w:r>
        <w:rPr>
          <w:spacing w:val="-4"/>
          <w:sz w:val="18"/>
        </w:rPr>
        <w:t>6‐7.</w:t>
      </w:r>
    </w:p>
    <w:p w14:paraId="51DE9448" w14:textId="77777777" w:rsidR="0010369C" w:rsidRDefault="0010369C">
      <w:pPr>
        <w:rPr>
          <w:sz w:val="18"/>
        </w:rPr>
        <w:sectPr w:rsidR="0010369C">
          <w:pgSz w:w="11910" w:h="16840"/>
          <w:pgMar w:top="880" w:right="800" w:bottom="980" w:left="1180" w:header="569" w:footer="788" w:gutter="0"/>
          <w:cols w:space="720"/>
        </w:sectPr>
      </w:pPr>
    </w:p>
    <w:p w14:paraId="51DE9449" w14:textId="77777777" w:rsidR="0010369C" w:rsidRDefault="008E43AE">
      <w:pPr>
        <w:tabs>
          <w:tab w:val="left" w:pos="6426"/>
        </w:tabs>
        <w:ind w:left="238"/>
        <w:rPr>
          <w:sz w:val="20"/>
        </w:rPr>
      </w:pPr>
      <w:r>
        <w:rPr>
          <w:i/>
          <w:sz w:val="20"/>
        </w:rPr>
        <w:lastRenderedPageBreak/>
        <w:t>China</w:t>
      </w:r>
      <w:r>
        <w:rPr>
          <w:i/>
          <w:spacing w:val="-5"/>
          <w:sz w:val="20"/>
        </w:rPr>
        <w:t xml:space="preserve"> </w:t>
      </w:r>
      <w:r>
        <w:rPr>
          <w:i/>
          <w:sz w:val="20"/>
        </w:rPr>
        <w:t>–</w:t>
      </w:r>
      <w:r>
        <w:rPr>
          <w:i/>
          <w:spacing w:val="-5"/>
          <w:sz w:val="20"/>
        </w:rPr>
        <w:t xml:space="preserve"> </w:t>
      </w:r>
      <w:r>
        <w:rPr>
          <w:i/>
          <w:sz w:val="20"/>
        </w:rPr>
        <w:t>Anti‐Dumping</w:t>
      </w:r>
      <w:r>
        <w:rPr>
          <w:i/>
          <w:spacing w:val="-4"/>
          <w:sz w:val="20"/>
        </w:rPr>
        <w:t xml:space="preserve"> </w:t>
      </w:r>
      <w:r>
        <w:rPr>
          <w:i/>
          <w:sz w:val="20"/>
        </w:rPr>
        <w:t>and</w:t>
      </w:r>
      <w:r>
        <w:rPr>
          <w:i/>
          <w:spacing w:val="-5"/>
          <w:sz w:val="20"/>
        </w:rPr>
        <w:t xml:space="preserve"> </w:t>
      </w:r>
      <w:r>
        <w:rPr>
          <w:i/>
          <w:sz w:val="20"/>
        </w:rPr>
        <w:t>Countervailing</w:t>
      </w:r>
      <w:r>
        <w:rPr>
          <w:i/>
          <w:spacing w:val="-5"/>
          <w:sz w:val="20"/>
        </w:rPr>
        <w:t xml:space="preserve"> </w:t>
      </w:r>
      <w:r>
        <w:rPr>
          <w:i/>
          <w:sz w:val="20"/>
        </w:rPr>
        <w:t>Duty</w:t>
      </w:r>
      <w:r>
        <w:rPr>
          <w:i/>
          <w:spacing w:val="-4"/>
          <w:sz w:val="20"/>
        </w:rPr>
        <w:t xml:space="preserve"> </w:t>
      </w:r>
      <w:r>
        <w:rPr>
          <w:i/>
          <w:spacing w:val="-2"/>
          <w:sz w:val="20"/>
        </w:rPr>
        <w:t>Measures</w:t>
      </w:r>
      <w:r>
        <w:rPr>
          <w:i/>
          <w:sz w:val="20"/>
        </w:rPr>
        <w:tab/>
      </w:r>
      <w:r>
        <w:rPr>
          <w:sz w:val="20"/>
        </w:rPr>
        <w:t>Australia's</w:t>
      </w:r>
      <w:r>
        <w:rPr>
          <w:spacing w:val="-7"/>
          <w:sz w:val="20"/>
        </w:rPr>
        <w:t xml:space="preserve"> </w:t>
      </w:r>
      <w:r>
        <w:rPr>
          <w:sz w:val="20"/>
        </w:rPr>
        <w:t>First</w:t>
      </w:r>
      <w:r>
        <w:rPr>
          <w:spacing w:val="-2"/>
          <w:sz w:val="20"/>
        </w:rPr>
        <w:t xml:space="preserve"> </w:t>
      </w:r>
      <w:r>
        <w:rPr>
          <w:sz w:val="20"/>
        </w:rPr>
        <w:t>Written</w:t>
      </w:r>
      <w:r>
        <w:rPr>
          <w:spacing w:val="-2"/>
          <w:sz w:val="20"/>
        </w:rPr>
        <w:t xml:space="preserve"> Submission</w:t>
      </w:r>
    </w:p>
    <w:p w14:paraId="51DE944A" w14:textId="77777777" w:rsidR="0010369C" w:rsidRDefault="008E43AE">
      <w:pPr>
        <w:tabs>
          <w:tab w:val="left" w:pos="8228"/>
        </w:tabs>
        <w:spacing w:before="1"/>
        <w:ind w:left="239"/>
        <w:rPr>
          <w:sz w:val="20"/>
        </w:rPr>
      </w:pPr>
      <w:r>
        <w:rPr>
          <w:i/>
          <w:sz w:val="20"/>
        </w:rPr>
        <w:t>on</w:t>
      </w:r>
      <w:r>
        <w:rPr>
          <w:i/>
          <w:spacing w:val="-1"/>
          <w:sz w:val="20"/>
        </w:rPr>
        <w:t xml:space="preserve"> </w:t>
      </w:r>
      <w:r>
        <w:rPr>
          <w:i/>
          <w:sz w:val="20"/>
        </w:rPr>
        <w:t>Wine</w:t>
      </w:r>
      <w:r>
        <w:rPr>
          <w:i/>
          <w:spacing w:val="-1"/>
          <w:sz w:val="20"/>
        </w:rPr>
        <w:t xml:space="preserve"> </w:t>
      </w:r>
      <w:r>
        <w:rPr>
          <w:i/>
          <w:sz w:val="20"/>
        </w:rPr>
        <w:t>from</w:t>
      </w:r>
      <w:r>
        <w:rPr>
          <w:i/>
          <w:spacing w:val="-3"/>
          <w:sz w:val="20"/>
        </w:rPr>
        <w:t xml:space="preserve"> </w:t>
      </w:r>
      <w:r>
        <w:rPr>
          <w:i/>
          <w:sz w:val="20"/>
        </w:rPr>
        <w:t>Australia</w:t>
      </w:r>
      <w:r>
        <w:rPr>
          <w:i/>
          <w:spacing w:val="-1"/>
          <w:sz w:val="20"/>
        </w:rPr>
        <w:t xml:space="preserve"> </w:t>
      </w:r>
      <w:r>
        <w:rPr>
          <w:spacing w:val="-2"/>
          <w:sz w:val="20"/>
        </w:rPr>
        <w:t>(DS602)</w:t>
      </w:r>
      <w:r>
        <w:rPr>
          <w:sz w:val="20"/>
        </w:rPr>
        <w:tab/>
        <w:t>29</w:t>
      </w:r>
      <w:r>
        <w:rPr>
          <w:spacing w:val="-1"/>
          <w:sz w:val="20"/>
        </w:rPr>
        <w:t xml:space="preserve"> </w:t>
      </w:r>
      <w:r>
        <w:rPr>
          <w:sz w:val="20"/>
        </w:rPr>
        <w:t>April</w:t>
      </w:r>
      <w:r>
        <w:rPr>
          <w:spacing w:val="-2"/>
          <w:sz w:val="20"/>
        </w:rPr>
        <w:t xml:space="preserve"> </w:t>
      </w:r>
      <w:r>
        <w:rPr>
          <w:spacing w:val="-4"/>
          <w:sz w:val="20"/>
        </w:rPr>
        <w:t>2022</w:t>
      </w:r>
    </w:p>
    <w:p w14:paraId="51DE944B" w14:textId="77777777" w:rsidR="0010369C" w:rsidRDefault="008E43AE">
      <w:pPr>
        <w:pStyle w:val="BodyText"/>
        <w:spacing w:before="34" w:line="360" w:lineRule="auto"/>
        <w:ind w:left="237"/>
      </w:pPr>
      <w:r>
        <w:t>acknowledged</w:t>
      </w:r>
      <w:r>
        <w:rPr>
          <w:spacing w:val="40"/>
        </w:rPr>
        <w:t xml:space="preserve"> </w:t>
      </w:r>
      <w:r>
        <w:t>that</w:t>
      </w:r>
      <w:r>
        <w:rPr>
          <w:spacing w:val="40"/>
        </w:rPr>
        <w:t xml:space="preserve"> </w:t>
      </w:r>
      <w:r>
        <w:t>they</w:t>
      </w:r>
      <w:r>
        <w:rPr>
          <w:spacing w:val="40"/>
        </w:rPr>
        <w:t xml:space="preserve"> </w:t>
      </w:r>
      <w:r>
        <w:t>were</w:t>
      </w:r>
      <w:r>
        <w:rPr>
          <w:spacing w:val="40"/>
        </w:rPr>
        <w:t xml:space="preserve"> </w:t>
      </w:r>
      <w:r>
        <w:t>aware</w:t>
      </w:r>
      <w:r>
        <w:rPr>
          <w:spacing w:val="40"/>
        </w:rPr>
        <w:t xml:space="preserve"> </w:t>
      </w:r>
      <w:r>
        <w:t>of</w:t>
      </w:r>
      <w:r>
        <w:rPr>
          <w:spacing w:val="40"/>
        </w:rPr>
        <w:t xml:space="preserve"> </w:t>
      </w:r>
      <w:r>
        <w:t>"hundreds"</w:t>
      </w:r>
      <w:r>
        <w:rPr>
          <w:spacing w:val="40"/>
        </w:rPr>
        <w:t xml:space="preserve"> </w:t>
      </w:r>
      <w:r>
        <w:t>of</w:t>
      </w:r>
      <w:r>
        <w:rPr>
          <w:spacing w:val="40"/>
        </w:rPr>
        <w:t xml:space="preserve"> </w:t>
      </w:r>
      <w:r>
        <w:t>other</w:t>
      </w:r>
      <w:r>
        <w:rPr>
          <w:spacing w:val="40"/>
        </w:rPr>
        <w:t xml:space="preserve"> </w:t>
      </w:r>
      <w:r>
        <w:t>domestic</w:t>
      </w:r>
      <w:r>
        <w:rPr>
          <w:spacing w:val="40"/>
        </w:rPr>
        <w:t xml:space="preserve"> </w:t>
      </w:r>
      <w:r>
        <w:t>producers</w:t>
      </w:r>
      <w:r>
        <w:rPr>
          <w:spacing w:val="40"/>
        </w:rPr>
        <w:t xml:space="preserve"> </w:t>
      </w:r>
      <w:r>
        <w:t>of</w:t>
      </w:r>
      <w:r>
        <w:rPr>
          <w:spacing w:val="40"/>
        </w:rPr>
        <w:t xml:space="preserve"> </w:t>
      </w:r>
      <w:r>
        <w:t xml:space="preserve">like </w:t>
      </w:r>
      <w:r>
        <w:rPr>
          <w:spacing w:val="-2"/>
        </w:rPr>
        <w:t>goods.</w:t>
      </w:r>
      <w:r>
        <w:rPr>
          <w:spacing w:val="-2"/>
          <w:vertAlign w:val="superscript"/>
        </w:rPr>
        <w:t>897</w:t>
      </w:r>
    </w:p>
    <w:p w14:paraId="51DE944C" w14:textId="77777777" w:rsidR="0010369C" w:rsidRDefault="0010369C">
      <w:pPr>
        <w:pStyle w:val="BodyText"/>
        <w:spacing w:before="10"/>
        <w:rPr>
          <w:sz w:val="8"/>
        </w:rPr>
      </w:pPr>
    </w:p>
    <w:p w14:paraId="51DE944D" w14:textId="77777777" w:rsidR="0010369C" w:rsidRDefault="008E43AE">
      <w:pPr>
        <w:pStyle w:val="BodyText"/>
        <w:spacing w:before="52" w:line="360" w:lineRule="auto"/>
        <w:ind w:left="237" w:right="613" w:firstLine="851"/>
        <w:jc w:val="both"/>
      </w:pPr>
      <w:r>
        <w:rPr>
          <w:noProof/>
        </w:rPr>
        <w:drawing>
          <wp:anchor distT="0" distB="0" distL="0" distR="0" simplePos="0" relativeHeight="251348480" behindDoc="1" locked="0" layoutInCell="1" allowOverlap="1" wp14:anchorId="51DEA62F" wp14:editId="51DEA630">
            <wp:simplePos x="0" y="0"/>
            <wp:positionH relativeFrom="page">
              <wp:posOffset>902208</wp:posOffset>
            </wp:positionH>
            <wp:positionV relativeFrom="paragraph">
              <wp:posOffset>82711</wp:posOffset>
            </wp:positionV>
            <wp:extent cx="262127" cy="100753"/>
            <wp:effectExtent l="0" t="0" r="0" b="0"/>
            <wp:wrapNone/>
            <wp:docPr id="1459" name="image7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 name="image757.png"/>
                    <pic:cNvPicPr/>
                  </pic:nvPicPr>
                  <pic:blipFill>
                    <a:blip r:embed="rId994" cstate="print"/>
                    <a:stretch>
                      <a:fillRect/>
                    </a:stretch>
                  </pic:blipFill>
                  <pic:spPr>
                    <a:xfrm>
                      <a:off x="0" y="0"/>
                      <a:ext cx="262127" cy="100753"/>
                    </a:xfrm>
                    <a:prstGeom prst="rect">
                      <a:avLst/>
                    </a:prstGeom>
                  </pic:spPr>
                </pic:pic>
              </a:graphicData>
            </a:graphic>
          </wp:anchor>
        </w:drawing>
      </w:r>
      <w:r>
        <w:t>In order to conclude that CADA's application was made on behalf of the domestic industry, MOFCOM had to be satisfied that (i) CADA's application had the support of those domestic producers whose collective output constitutes more than 50% of the total prod</w:t>
      </w:r>
      <w:r>
        <w:t>uction</w:t>
      </w:r>
      <w:r>
        <w:rPr>
          <w:spacing w:val="-12"/>
        </w:rPr>
        <w:t xml:space="preserve"> </w:t>
      </w:r>
      <w:r>
        <w:t>of</w:t>
      </w:r>
      <w:r>
        <w:rPr>
          <w:spacing w:val="-12"/>
        </w:rPr>
        <w:t xml:space="preserve"> </w:t>
      </w:r>
      <w:r>
        <w:t>the</w:t>
      </w:r>
      <w:r>
        <w:rPr>
          <w:spacing w:val="-12"/>
        </w:rPr>
        <w:t xml:space="preserve"> </w:t>
      </w:r>
      <w:r>
        <w:t>"like‐product"</w:t>
      </w:r>
      <w:r>
        <w:rPr>
          <w:spacing w:val="-12"/>
        </w:rPr>
        <w:t xml:space="preserve"> </w:t>
      </w:r>
      <w:r>
        <w:t>produced</w:t>
      </w:r>
      <w:r>
        <w:rPr>
          <w:spacing w:val="-12"/>
        </w:rPr>
        <w:t xml:space="preserve"> </w:t>
      </w:r>
      <w:r>
        <w:t>by</w:t>
      </w:r>
      <w:r>
        <w:rPr>
          <w:spacing w:val="-12"/>
        </w:rPr>
        <w:t xml:space="preserve"> </w:t>
      </w:r>
      <w:r>
        <w:t>that</w:t>
      </w:r>
      <w:r>
        <w:rPr>
          <w:spacing w:val="-12"/>
        </w:rPr>
        <w:t xml:space="preserve"> </w:t>
      </w:r>
      <w:r>
        <w:t>portion</w:t>
      </w:r>
      <w:r>
        <w:rPr>
          <w:spacing w:val="-12"/>
        </w:rPr>
        <w:t xml:space="preserve"> </w:t>
      </w:r>
      <w:r>
        <w:t>of</w:t>
      </w:r>
      <w:r>
        <w:rPr>
          <w:spacing w:val="-12"/>
        </w:rPr>
        <w:t xml:space="preserve"> </w:t>
      </w:r>
      <w:r>
        <w:t>the</w:t>
      </w:r>
      <w:r>
        <w:rPr>
          <w:spacing w:val="-12"/>
        </w:rPr>
        <w:t xml:space="preserve"> </w:t>
      </w:r>
      <w:r>
        <w:t>domestic</w:t>
      </w:r>
      <w:r>
        <w:rPr>
          <w:spacing w:val="-11"/>
        </w:rPr>
        <w:t xml:space="preserve"> </w:t>
      </w:r>
      <w:r>
        <w:t>industry</w:t>
      </w:r>
      <w:r>
        <w:rPr>
          <w:spacing w:val="-11"/>
        </w:rPr>
        <w:t xml:space="preserve"> </w:t>
      </w:r>
      <w:r>
        <w:t>expressing either</w:t>
      </w:r>
      <w:r>
        <w:rPr>
          <w:spacing w:val="-4"/>
        </w:rPr>
        <w:t xml:space="preserve"> </w:t>
      </w:r>
      <w:r>
        <w:t>support</w:t>
      </w:r>
      <w:r>
        <w:rPr>
          <w:spacing w:val="-4"/>
        </w:rPr>
        <w:t xml:space="preserve"> </w:t>
      </w:r>
      <w:r>
        <w:t>or</w:t>
      </w:r>
      <w:r>
        <w:rPr>
          <w:spacing w:val="-5"/>
        </w:rPr>
        <w:t xml:space="preserve"> </w:t>
      </w:r>
      <w:r>
        <w:t>opposition</w:t>
      </w:r>
      <w:r>
        <w:rPr>
          <w:spacing w:val="-4"/>
        </w:rPr>
        <w:t xml:space="preserve"> </w:t>
      </w:r>
      <w:r>
        <w:t>to</w:t>
      </w:r>
      <w:r>
        <w:rPr>
          <w:spacing w:val="-3"/>
        </w:rPr>
        <w:t xml:space="preserve"> </w:t>
      </w:r>
      <w:r>
        <w:t>the</w:t>
      </w:r>
      <w:r>
        <w:rPr>
          <w:spacing w:val="-4"/>
        </w:rPr>
        <w:t xml:space="preserve"> </w:t>
      </w:r>
      <w:r>
        <w:t>application;</w:t>
      </w:r>
      <w:r>
        <w:rPr>
          <w:spacing w:val="-4"/>
        </w:rPr>
        <w:t xml:space="preserve"> </w:t>
      </w:r>
      <w:r>
        <w:t>and</w:t>
      </w:r>
      <w:r>
        <w:rPr>
          <w:spacing w:val="-4"/>
        </w:rPr>
        <w:t xml:space="preserve"> </w:t>
      </w:r>
      <w:r>
        <w:t>(ii)</w:t>
      </w:r>
      <w:r>
        <w:rPr>
          <w:spacing w:val="-3"/>
        </w:rPr>
        <w:t xml:space="preserve"> </w:t>
      </w:r>
      <w:r>
        <w:t>the</w:t>
      </w:r>
      <w:r>
        <w:rPr>
          <w:spacing w:val="-3"/>
        </w:rPr>
        <w:t xml:space="preserve"> </w:t>
      </w:r>
      <w:r>
        <w:t>application</w:t>
      </w:r>
      <w:r>
        <w:rPr>
          <w:spacing w:val="-4"/>
        </w:rPr>
        <w:t xml:space="preserve"> </w:t>
      </w:r>
      <w:r>
        <w:t>was</w:t>
      </w:r>
      <w:r>
        <w:rPr>
          <w:spacing w:val="-4"/>
        </w:rPr>
        <w:t xml:space="preserve"> </w:t>
      </w:r>
      <w:r>
        <w:rPr>
          <w:i/>
        </w:rPr>
        <w:t>also</w:t>
      </w:r>
      <w:r>
        <w:rPr>
          <w:i/>
          <w:spacing w:val="-3"/>
        </w:rPr>
        <w:t xml:space="preserve"> </w:t>
      </w:r>
      <w:r>
        <w:t>supported</w:t>
      </w:r>
      <w:r>
        <w:rPr>
          <w:spacing w:val="-4"/>
        </w:rPr>
        <w:t xml:space="preserve"> </w:t>
      </w:r>
      <w:r>
        <w:t>by those domestic producers whose collective output constitutes more than 25% of total production of the "like product" produced by the "domestic industry".</w:t>
      </w:r>
    </w:p>
    <w:p w14:paraId="51DE944E" w14:textId="77777777" w:rsidR="0010369C" w:rsidRDefault="0010369C">
      <w:pPr>
        <w:pStyle w:val="BodyText"/>
        <w:spacing w:before="11"/>
        <w:rPr>
          <w:sz w:val="8"/>
        </w:rPr>
      </w:pPr>
    </w:p>
    <w:p w14:paraId="51DE944F" w14:textId="77777777" w:rsidR="0010369C" w:rsidRDefault="008E43AE">
      <w:pPr>
        <w:pStyle w:val="BodyText"/>
        <w:spacing w:before="51" w:line="360" w:lineRule="auto"/>
        <w:ind w:left="237" w:right="613" w:firstLine="851"/>
        <w:jc w:val="both"/>
      </w:pPr>
      <w:r>
        <w:rPr>
          <w:noProof/>
        </w:rPr>
        <w:drawing>
          <wp:anchor distT="0" distB="0" distL="0" distR="0" simplePos="0" relativeHeight="251349504" behindDoc="1" locked="0" layoutInCell="1" allowOverlap="1" wp14:anchorId="51DEA631" wp14:editId="51DEA632">
            <wp:simplePos x="0" y="0"/>
            <wp:positionH relativeFrom="page">
              <wp:posOffset>902208</wp:posOffset>
            </wp:positionH>
            <wp:positionV relativeFrom="paragraph">
              <wp:posOffset>81315</wp:posOffset>
            </wp:positionV>
            <wp:extent cx="262127" cy="100753"/>
            <wp:effectExtent l="0" t="0" r="0" b="0"/>
            <wp:wrapNone/>
            <wp:docPr id="1461" name="image7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 name="image758.png"/>
                    <pic:cNvPicPr/>
                  </pic:nvPicPr>
                  <pic:blipFill>
                    <a:blip r:embed="rId995" cstate="print"/>
                    <a:stretch>
                      <a:fillRect/>
                    </a:stretch>
                  </pic:blipFill>
                  <pic:spPr>
                    <a:xfrm>
                      <a:off x="0" y="0"/>
                      <a:ext cx="262127" cy="100753"/>
                    </a:xfrm>
                    <a:prstGeom prst="rect">
                      <a:avLst/>
                    </a:prstGeom>
                  </pic:spPr>
                </pic:pic>
              </a:graphicData>
            </a:graphic>
          </wp:anchor>
        </w:drawing>
      </w:r>
      <w:r>
        <w:t>The application omits any reference to the key information required to make the numerical assessm</w:t>
      </w:r>
      <w:r>
        <w:t>ent required by Article 5.4. While it refers to resolutions having been adopted by "participating entities",</w:t>
      </w:r>
      <w:r>
        <w:rPr>
          <w:vertAlign w:val="superscript"/>
        </w:rPr>
        <w:t>898</w:t>
      </w:r>
      <w:r>
        <w:t xml:space="preserve"> it does not provide any information about:</w:t>
      </w:r>
    </w:p>
    <w:p w14:paraId="51DE9450" w14:textId="77777777" w:rsidR="0010369C" w:rsidRDefault="008E43AE">
      <w:pPr>
        <w:pStyle w:val="ListParagraph"/>
        <w:numPr>
          <w:ilvl w:val="0"/>
          <w:numId w:val="32"/>
        </w:numPr>
        <w:tabs>
          <w:tab w:val="left" w:pos="1939"/>
          <w:tab w:val="left" w:pos="1941"/>
        </w:tabs>
        <w:spacing w:before="161" w:line="360" w:lineRule="auto"/>
        <w:ind w:right="613" w:hanging="850"/>
        <w:rPr>
          <w:sz w:val="24"/>
        </w:rPr>
      </w:pPr>
      <w:r>
        <w:rPr>
          <w:sz w:val="24"/>
        </w:rPr>
        <w:t>who the "participating entities" were, including whether representatives</w:t>
      </w:r>
      <w:r>
        <w:rPr>
          <w:spacing w:val="-1"/>
          <w:sz w:val="24"/>
        </w:rPr>
        <w:t xml:space="preserve"> </w:t>
      </w:r>
      <w:r>
        <w:rPr>
          <w:sz w:val="24"/>
        </w:rPr>
        <w:t xml:space="preserve">of </w:t>
      </w:r>
      <w:r>
        <w:rPr>
          <w:i/>
          <w:sz w:val="24"/>
        </w:rPr>
        <w:t>all</w:t>
      </w:r>
      <w:r>
        <w:rPr>
          <w:i/>
          <w:spacing w:val="-5"/>
          <w:sz w:val="24"/>
        </w:rPr>
        <w:t xml:space="preserve"> </w:t>
      </w:r>
      <w:r>
        <w:rPr>
          <w:sz w:val="24"/>
        </w:rPr>
        <w:t>of</w:t>
      </w:r>
      <w:r>
        <w:rPr>
          <w:spacing w:val="-6"/>
          <w:sz w:val="24"/>
        </w:rPr>
        <w:t xml:space="preserve"> </w:t>
      </w:r>
      <w:r>
        <w:rPr>
          <w:sz w:val="24"/>
        </w:rPr>
        <w:t>CADA's</w:t>
      </w:r>
      <w:r>
        <w:rPr>
          <w:spacing w:val="-5"/>
          <w:sz w:val="24"/>
        </w:rPr>
        <w:t xml:space="preserve"> </w:t>
      </w:r>
      <w:r>
        <w:rPr>
          <w:sz w:val="24"/>
        </w:rPr>
        <w:t>member</w:t>
      </w:r>
      <w:r>
        <w:rPr>
          <w:spacing w:val="-4"/>
          <w:sz w:val="24"/>
        </w:rPr>
        <w:t xml:space="preserve"> </w:t>
      </w:r>
      <w:r>
        <w:rPr>
          <w:sz w:val="24"/>
        </w:rPr>
        <w:t>orga</w:t>
      </w:r>
      <w:r>
        <w:rPr>
          <w:sz w:val="24"/>
        </w:rPr>
        <w:t>nisations</w:t>
      </w:r>
      <w:r>
        <w:rPr>
          <w:spacing w:val="-6"/>
          <w:sz w:val="24"/>
        </w:rPr>
        <w:t xml:space="preserve"> </w:t>
      </w:r>
      <w:r>
        <w:rPr>
          <w:sz w:val="24"/>
        </w:rPr>
        <w:t>in</w:t>
      </w:r>
      <w:r>
        <w:rPr>
          <w:spacing w:val="-5"/>
          <w:sz w:val="24"/>
        </w:rPr>
        <w:t xml:space="preserve"> </w:t>
      </w:r>
      <w:r>
        <w:rPr>
          <w:sz w:val="24"/>
        </w:rPr>
        <w:t>the</w:t>
      </w:r>
      <w:r>
        <w:rPr>
          <w:spacing w:val="-4"/>
          <w:sz w:val="24"/>
        </w:rPr>
        <w:t xml:space="preserve"> </w:t>
      </w:r>
      <w:r>
        <w:rPr>
          <w:sz w:val="24"/>
        </w:rPr>
        <w:t>domestic</w:t>
      </w:r>
      <w:r>
        <w:rPr>
          <w:spacing w:val="-4"/>
          <w:sz w:val="24"/>
        </w:rPr>
        <w:t xml:space="preserve"> </w:t>
      </w:r>
      <w:r>
        <w:rPr>
          <w:sz w:val="24"/>
        </w:rPr>
        <w:t>wine</w:t>
      </w:r>
      <w:r>
        <w:rPr>
          <w:spacing w:val="-4"/>
          <w:sz w:val="24"/>
        </w:rPr>
        <w:t xml:space="preserve"> </w:t>
      </w:r>
      <w:r>
        <w:rPr>
          <w:sz w:val="24"/>
        </w:rPr>
        <w:t>industry</w:t>
      </w:r>
      <w:r>
        <w:rPr>
          <w:spacing w:val="-4"/>
          <w:sz w:val="24"/>
        </w:rPr>
        <w:t xml:space="preserve"> </w:t>
      </w:r>
      <w:r>
        <w:rPr>
          <w:sz w:val="24"/>
        </w:rPr>
        <w:t>attended the "special discussion meeting" at which "it was agreed that the China Alcoholic</w:t>
      </w:r>
      <w:r>
        <w:rPr>
          <w:spacing w:val="-7"/>
          <w:sz w:val="24"/>
        </w:rPr>
        <w:t xml:space="preserve"> </w:t>
      </w:r>
      <w:r>
        <w:rPr>
          <w:sz w:val="24"/>
        </w:rPr>
        <w:t>Drinks</w:t>
      </w:r>
      <w:r>
        <w:rPr>
          <w:spacing w:val="-8"/>
          <w:sz w:val="24"/>
        </w:rPr>
        <w:t xml:space="preserve"> </w:t>
      </w:r>
      <w:r>
        <w:rPr>
          <w:sz w:val="24"/>
        </w:rPr>
        <w:t>Association</w:t>
      </w:r>
      <w:r>
        <w:rPr>
          <w:spacing w:val="-8"/>
          <w:sz w:val="24"/>
        </w:rPr>
        <w:t xml:space="preserve"> </w:t>
      </w:r>
      <w:r>
        <w:rPr>
          <w:sz w:val="24"/>
        </w:rPr>
        <w:t>shall</w:t>
      </w:r>
      <w:r>
        <w:rPr>
          <w:spacing w:val="-7"/>
          <w:sz w:val="24"/>
        </w:rPr>
        <w:t xml:space="preserve"> </w:t>
      </w:r>
      <w:r>
        <w:rPr>
          <w:sz w:val="24"/>
        </w:rPr>
        <w:t>be</w:t>
      </w:r>
      <w:r>
        <w:rPr>
          <w:spacing w:val="-6"/>
          <w:sz w:val="24"/>
        </w:rPr>
        <w:t xml:space="preserve"> </w:t>
      </w:r>
      <w:r>
        <w:rPr>
          <w:sz w:val="24"/>
        </w:rPr>
        <w:t>the</w:t>
      </w:r>
      <w:r>
        <w:rPr>
          <w:spacing w:val="-7"/>
          <w:sz w:val="24"/>
        </w:rPr>
        <w:t xml:space="preserve"> </w:t>
      </w:r>
      <w:r>
        <w:rPr>
          <w:sz w:val="24"/>
        </w:rPr>
        <w:t>applicant</w:t>
      </w:r>
      <w:r>
        <w:rPr>
          <w:spacing w:val="-7"/>
          <w:sz w:val="24"/>
        </w:rPr>
        <w:t xml:space="preserve"> </w:t>
      </w:r>
      <w:r>
        <w:rPr>
          <w:sz w:val="24"/>
        </w:rPr>
        <w:t>on</w:t>
      </w:r>
      <w:r>
        <w:rPr>
          <w:spacing w:val="-8"/>
          <w:sz w:val="24"/>
        </w:rPr>
        <w:t xml:space="preserve"> </w:t>
      </w:r>
      <w:r>
        <w:rPr>
          <w:sz w:val="24"/>
        </w:rPr>
        <w:t>behalf</w:t>
      </w:r>
      <w:r>
        <w:rPr>
          <w:spacing w:val="-7"/>
          <w:sz w:val="24"/>
        </w:rPr>
        <w:t xml:space="preserve"> </w:t>
      </w:r>
      <w:r>
        <w:rPr>
          <w:sz w:val="24"/>
        </w:rPr>
        <w:t>of</w:t>
      </w:r>
      <w:r>
        <w:rPr>
          <w:spacing w:val="-8"/>
          <w:sz w:val="24"/>
        </w:rPr>
        <w:t xml:space="preserve"> </w:t>
      </w:r>
      <w:r>
        <w:rPr>
          <w:sz w:val="24"/>
        </w:rPr>
        <w:t>the</w:t>
      </w:r>
      <w:r>
        <w:rPr>
          <w:spacing w:val="-7"/>
          <w:sz w:val="24"/>
        </w:rPr>
        <w:t xml:space="preserve"> </w:t>
      </w:r>
      <w:r>
        <w:rPr>
          <w:sz w:val="24"/>
        </w:rPr>
        <w:t>domestic wine industry to file an anti‐dumping investigation application",</w:t>
      </w:r>
      <w:r>
        <w:rPr>
          <w:sz w:val="24"/>
          <w:vertAlign w:val="superscript"/>
        </w:rPr>
        <w:t>899</w:t>
      </w:r>
      <w:r>
        <w:rPr>
          <w:sz w:val="24"/>
        </w:rPr>
        <w:t xml:space="preserve"> and if it was less than complete attendance, which members attended and what proportion of domestic production they represented;</w:t>
      </w:r>
    </w:p>
    <w:p w14:paraId="51DE9451" w14:textId="77777777" w:rsidR="0010369C" w:rsidRDefault="008E43AE">
      <w:pPr>
        <w:pStyle w:val="ListParagraph"/>
        <w:numPr>
          <w:ilvl w:val="0"/>
          <w:numId w:val="32"/>
        </w:numPr>
        <w:tabs>
          <w:tab w:val="left" w:pos="1940"/>
          <w:tab w:val="left" w:pos="1941"/>
        </w:tabs>
        <w:spacing w:before="119" w:line="355" w:lineRule="auto"/>
        <w:ind w:left="1940" w:right="613"/>
        <w:rPr>
          <w:sz w:val="24"/>
        </w:rPr>
      </w:pPr>
      <w:r>
        <w:rPr>
          <w:sz w:val="24"/>
        </w:rPr>
        <w:t>the basis on which the resolutions were adopted –</w:t>
      </w:r>
      <w:r>
        <w:rPr>
          <w:sz w:val="24"/>
        </w:rPr>
        <w:t xml:space="preserve"> whether by simple majority, special majority, consensus, or some other voting technique; or</w:t>
      </w:r>
    </w:p>
    <w:p w14:paraId="51DE9452" w14:textId="77777777" w:rsidR="0010369C" w:rsidRDefault="008E43AE">
      <w:pPr>
        <w:pStyle w:val="ListParagraph"/>
        <w:numPr>
          <w:ilvl w:val="0"/>
          <w:numId w:val="32"/>
        </w:numPr>
        <w:tabs>
          <w:tab w:val="left" w:pos="1939"/>
          <w:tab w:val="left" w:pos="1941"/>
        </w:tabs>
        <w:spacing w:before="131" w:line="357" w:lineRule="auto"/>
        <w:ind w:left="1940" w:right="613"/>
        <w:rPr>
          <w:sz w:val="24"/>
        </w:rPr>
      </w:pPr>
      <w:r>
        <w:rPr>
          <w:sz w:val="24"/>
        </w:rPr>
        <w:t xml:space="preserve">how many, and which, members voted for, against, or abstained from the relevant resolutions and what proportion of domestic production they </w:t>
      </w:r>
      <w:r>
        <w:rPr>
          <w:spacing w:val="-2"/>
          <w:sz w:val="24"/>
        </w:rPr>
        <w:t>represented.</w:t>
      </w:r>
    </w:p>
    <w:p w14:paraId="51DE9453" w14:textId="77777777" w:rsidR="0010369C" w:rsidRDefault="008E43AE">
      <w:pPr>
        <w:pStyle w:val="BodyText"/>
        <w:spacing w:before="129" w:line="360" w:lineRule="auto"/>
        <w:ind w:left="238" w:right="612" w:firstLine="850"/>
        <w:jc w:val="both"/>
      </w:pPr>
      <w:r>
        <w:rPr>
          <w:noProof/>
        </w:rPr>
        <w:drawing>
          <wp:anchor distT="0" distB="0" distL="0" distR="0" simplePos="0" relativeHeight="251350528" behindDoc="1" locked="0" layoutInCell="1" allowOverlap="1" wp14:anchorId="51DEA633" wp14:editId="51DEA634">
            <wp:simplePos x="0" y="0"/>
            <wp:positionH relativeFrom="page">
              <wp:posOffset>902208</wp:posOffset>
            </wp:positionH>
            <wp:positionV relativeFrom="paragraph">
              <wp:posOffset>125680</wp:posOffset>
            </wp:positionV>
            <wp:extent cx="262127" cy="106679"/>
            <wp:effectExtent l="0" t="0" r="0" b="0"/>
            <wp:wrapNone/>
            <wp:docPr id="1463" name="image7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 name="image759.png"/>
                    <pic:cNvPicPr/>
                  </pic:nvPicPr>
                  <pic:blipFill>
                    <a:blip r:embed="rId996" cstate="print"/>
                    <a:stretch>
                      <a:fillRect/>
                    </a:stretch>
                  </pic:blipFill>
                  <pic:spPr>
                    <a:xfrm>
                      <a:off x="0" y="0"/>
                      <a:ext cx="262127" cy="106679"/>
                    </a:xfrm>
                    <a:prstGeom prst="rect">
                      <a:avLst/>
                    </a:prstGeom>
                  </pic:spPr>
                </pic:pic>
              </a:graphicData>
            </a:graphic>
          </wp:anchor>
        </w:drawing>
      </w:r>
      <w:r>
        <w:t>The</w:t>
      </w:r>
      <w:r>
        <w:rPr>
          <w:spacing w:val="-10"/>
        </w:rPr>
        <w:t xml:space="preserve"> </w:t>
      </w:r>
      <w:r>
        <w:t>appli</w:t>
      </w:r>
      <w:r>
        <w:t>cation</w:t>
      </w:r>
      <w:r>
        <w:rPr>
          <w:spacing w:val="-11"/>
        </w:rPr>
        <w:t xml:space="preserve"> </w:t>
      </w:r>
      <w:r>
        <w:t>also</w:t>
      </w:r>
      <w:r>
        <w:rPr>
          <w:spacing w:val="-11"/>
        </w:rPr>
        <w:t xml:space="preserve"> </w:t>
      </w:r>
      <w:r>
        <w:t>omits</w:t>
      </w:r>
      <w:r>
        <w:rPr>
          <w:spacing w:val="-11"/>
        </w:rPr>
        <w:t xml:space="preserve"> </w:t>
      </w:r>
      <w:r>
        <w:t>whether</w:t>
      </w:r>
      <w:r>
        <w:rPr>
          <w:spacing w:val="-11"/>
        </w:rPr>
        <w:t xml:space="preserve"> </w:t>
      </w:r>
      <w:r>
        <w:t>CADA</w:t>
      </w:r>
      <w:r>
        <w:rPr>
          <w:spacing w:val="-10"/>
        </w:rPr>
        <w:t xml:space="preserve"> </w:t>
      </w:r>
      <w:r>
        <w:t>had</w:t>
      </w:r>
      <w:r>
        <w:rPr>
          <w:spacing w:val="-11"/>
        </w:rPr>
        <w:t xml:space="preserve"> </w:t>
      </w:r>
      <w:r>
        <w:t>any</w:t>
      </w:r>
      <w:r>
        <w:rPr>
          <w:spacing w:val="-10"/>
        </w:rPr>
        <w:t xml:space="preserve"> </w:t>
      </w:r>
      <w:r>
        <w:t>information</w:t>
      </w:r>
      <w:r>
        <w:rPr>
          <w:spacing w:val="-10"/>
        </w:rPr>
        <w:t xml:space="preserve"> </w:t>
      </w:r>
      <w:r>
        <w:t>about</w:t>
      </w:r>
      <w:r>
        <w:rPr>
          <w:spacing w:val="-11"/>
        </w:rPr>
        <w:t xml:space="preserve"> </w:t>
      </w:r>
      <w:r>
        <w:t>the</w:t>
      </w:r>
      <w:r>
        <w:rPr>
          <w:spacing w:val="-11"/>
        </w:rPr>
        <w:t xml:space="preserve"> </w:t>
      </w:r>
      <w:r>
        <w:t>views</w:t>
      </w:r>
      <w:r>
        <w:rPr>
          <w:spacing w:val="-11"/>
        </w:rPr>
        <w:t xml:space="preserve"> </w:t>
      </w:r>
      <w:r>
        <w:t>of</w:t>
      </w:r>
      <w:r>
        <w:rPr>
          <w:spacing w:val="-11"/>
        </w:rPr>
        <w:t xml:space="preserve"> </w:t>
      </w:r>
      <w:r>
        <w:t>the "hundreds" of domestic producers that are not members of CADA, including whether they supported or opposed the application, and the proportion of domestic production that they</w:t>
      </w:r>
    </w:p>
    <w:p w14:paraId="51DE9454" w14:textId="77777777" w:rsidR="0010369C" w:rsidRDefault="0010369C">
      <w:pPr>
        <w:pStyle w:val="BodyText"/>
        <w:rPr>
          <w:sz w:val="20"/>
        </w:rPr>
      </w:pPr>
    </w:p>
    <w:p w14:paraId="51DE9455" w14:textId="77777777" w:rsidR="0010369C" w:rsidRDefault="008E43AE">
      <w:pPr>
        <w:pStyle w:val="BodyText"/>
        <w:spacing w:before="11"/>
        <w:rPr>
          <w:sz w:val="16"/>
        </w:rPr>
      </w:pPr>
      <w:r>
        <w:pict w14:anchorId="51DEA635">
          <v:rect id="docshape1225" o:spid="_x0000_s1195" style="position:absolute;margin-left:70.9pt;margin-top:11.55pt;width:2in;height:.8pt;z-index:-250761728;mso-wrap-distance-left:0;mso-wrap-distance-right:0;mso-position-horizontal-relative:page" fillcolor="black" stroked="f">
            <w10:wrap type="topAndBottom" anchorx="page"/>
          </v:rect>
        </w:pict>
      </w:r>
    </w:p>
    <w:p w14:paraId="51DE9456" w14:textId="77777777" w:rsidR="0010369C" w:rsidRDefault="008E43AE">
      <w:pPr>
        <w:spacing w:before="109"/>
        <w:ind w:left="238"/>
        <w:rPr>
          <w:sz w:val="18"/>
        </w:rPr>
      </w:pPr>
      <w:r>
        <w:rPr>
          <w:sz w:val="18"/>
          <w:vertAlign w:val="superscript"/>
        </w:rPr>
        <w:t>897</w:t>
      </w:r>
      <w:r>
        <w:rPr>
          <w:spacing w:val="-10"/>
          <w:sz w:val="18"/>
        </w:rPr>
        <w:t xml:space="preserve"> </w:t>
      </w:r>
      <w:r>
        <w:rPr>
          <w:sz w:val="18"/>
        </w:rPr>
        <w:t>CADA</w:t>
      </w:r>
      <w:r>
        <w:rPr>
          <w:spacing w:val="-9"/>
          <w:sz w:val="18"/>
        </w:rPr>
        <w:t xml:space="preserve"> </w:t>
      </w:r>
      <w:r>
        <w:rPr>
          <w:sz w:val="18"/>
        </w:rPr>
        <w:t>Application</w:t>
      </w:r>
      <w:r>
        <w:rPr>
          <w:spacing w:val="-9"/>
          <w:sz w:val="18"/>
        </w:rPr>
        <w:t xml:space="preserve"> </w:t>
      </w:r>
      <w:r>
        <w:rPr>
          <w:sz w:val="18"/>
        </w:rPr>
        <w:t>for</w:t>
      </w:r>
      <w:r>
        <w:rPr>
          <w:spacing w:val="-10"/>
          <w:sz w:val="18"/>
        </w:rPr>
        <w:t xml:space="preserve"> </w:t>
      </w:r>
      <w:r>
        <w:rPr>
          <w:sz w:val="18"/>
        </w:rPr>
        <w:t>Anti‐Dumping</w:t>
      </w:r>
      <w:r>
        <w:rPr>
          <w:spacing w:val="-9"/>
          <w:sz w:val="18"/>
        </w:rPr>
        <w:t xml:space="preserve"> </w:t>
      </w:r>
      <w:r>
        <w:rPr>
          <w:sz w:val="18"/>
        </w:rPr>
        <w:t>Investigation</w:t>
      </w:r>
      <w:r>
        <w:rPr>
          <w:spacing w:val="-9"/>
          <w:sz w:val="18"/>
        </w:rPr>
        <w:t xml:space="preserve"> </w:t>
      </w:r>
      <w:r>
        <w:rPr>
          <w:sz w:val="18"/>
        </w:rPr>
        <w:t>(Exhibit</w:t>
      </w:r>
      <w:r>
        <w:rPr>
          <w:spacing w:val="-9"/>
          <w:sz w:val="18"/>
        </w:rPr>
        <w:t xml:space="preserve"> </w:t>
      </w:r>
      <w:r>
        <w:rPr>
          <w:sz w:val="18"/>
        </w:rPr>
        <w:t>AUS‐64),</w:t>
      </w:r>
      <w:r>
        <w:rPr>
          <w:spacing w:val="-10"/>
          <w:sz w:val="18"/>
        </w:rPr>
        <w:t xml:space="preserve"> </w:t>
      </w:r>
      <w:r>
        <w:rPr>
          <w:sz w:val="18"/>
        </w:rPr>
        <w:t>p.</w:t>
      </w:r>
      <w:r>
        <w:rPr>
          <w:spacing w:val="-9"/>
          <w:sz w:val="18"/>
        </w:rPr>
        <w:t xml:space="preserve"> </w:t>
      </w:r>
      <w:r>
        <w:rPr>
          <w:spacing w:val="-5"/>
          <w:sz w:val="18"/>
        </w:rPr>
        <w:t>60.</w:t>
      </w:r>
    </w:p>
    <w:p w14:paraId="51DE9457" w14:textId="77777777" w:rsidR="0010369C" w:rsidRDefault="008E43AE">
      <w:pPr>
        <w:ind w:left="238"/>
        <w:rPr>
          <w:sz w:val="18"/>
        </w:rPr>
      </w:pPr>
      <w:r>
        <w:rPr>
          <w:sz w:val="18"/>
          <w:vertAlign w:val="superscript"/>
        </w:rPr>
        <w:t>898</w:t>
      </w:r>
      <w:r>
        <w:rPr>
          <w:spacing w:val="-10"/>
          <w:sz w:val="18"/>
        </w:rPr>
        <w:t xml:space="preserve"> </w:t>
      </w:r>
      <w:r>
        <w:rPr>
          <w:sz w:val="18"/>
        </w:rPr>
        <w:t>CADA</w:t>
      </w:r>
      <w:r>
        <w:rPr>
          <w:spacing w:val="-9"/>
          <w:sz w:val="18"/>
        </w:rPr>
        <w:t xml:space="preserve"> </w:t>
      </w:r>
      <w:r>
        <w:rPr>
          <w:sz w:val="18"/>
        </w:rPr>
        <w:t>Application</w:t>
      </w:r>
      <w:r>
        <w:rPr>
          <w:spacing w:val="-9"/>
          <w:sz w:val="18"/>
        </w:rPr>
        <w:t xml:space="preserve"> </w:t>
      </w:r>
      <w:r>
        <w:rPr>
          <w:sz w:val="18"/>
        </w:rPr>
        <w:t>for</w:t>
      </w:r>
      <w:r>
        <w:rPr>
          <w:spacing w:val="-10"/>
          <w:sz w:val="18"/>
        </w:rPr>
        <w:t xml:space="preserve"> </w:t>
      </w:r>
      <w:r>
        <w:rPr>
          <w:sz w:val="18"/>
        </w:rPr>
        <w:t>Anti‐Dumping</w:t>
      </w:r>
      <w:r>
        <w:rPr>
          <w:spacing w:val="-9"/>
          <w:sz w:val="18"/>
        </w:rPr>
        <w:t xml:space="preserve"> </w:t>
      </w:r>
      <w:r>
        <w:rPr>
          <w:sz w:val="18"/>
        </w:rPr>
        <w:t>Investigation</w:t>
      </w:r>
      <w:r>
        <w:rPr>
          <w:spacing w:val="-9"/>
          <w:sz w:val="18"/>
        </w:rPr>
        <w:t xml:space="preserve"> </w:t>
      </w:r>
      <w:r>
        <w:rPr>
          <w:sz w:val="18"/>
        </w:rPr>
        <w:t>(Exhibit</w:t>
      </w:r>
      <w:r>
        <w:rPr>
          <w:spacing w:val="-9"/>
          <w:sz w:val="18"/>
        </w:rPr>
        <w:t xml:space="preserve"> </w:t>
      </w:r>
      <w:r>
        <w:rPr>
          <w:sz w:val="18"/>
        </w:rPr>
        <w:t>AUS‐64),</w:t>
      </w:r>
      <w:r>
        <w:rPr>
          <w:spacing w:val="-10"/>
          <w:sz w:val="18"/>
        </w:rPr>
        <w:t xml:space="preserve"> </w:t>
      </w:r>
      <w:r>
        <w:rPr>
          <w:sz w:val="18"/>
        </w:rPr>
        <w:t>p.</w:t>
      </w:r>
      <w:r>
        <w:rPr>
          <w:spacing w:val="-9"/>
          <w:sz w:val="18"/>
        </w:rPr>
        <w:t xml:space="preserve"> </w:t>
      </w:r>
      <w:r>
        <w:rPr>
          <w:spacing w:val="-5"/>
          <w:sz w:val="18"/>
        </w:rPr>
        <w:t>7.</w:t>
      </w:r>
    </w:p>
    <w:p w14:paraId="51DE9458" w14:textId="77777777" w:rsidR="0010369C" w:rsidRDefault="008E43AE">
      <w:pPr>
        <w:ind w:left="238"/>
        <w:rPr>
          <w:sz w:val="18"/>
        </w:rPr>
      </w:pPr>
      <w:r>
        <w:rPr>
          <w:sz w:val="18"/>
          <w:vertAlign w:val="superscript"/>
        </w:rPr>
        <w:t>899</w:t>
      </w:r>
      <w:r>
        <w:rPr>
          <w:spacing w:val="-7"/>
          <w:sz w:val="18"/>
        </w:rPr>
        <w:t xml:space="preserve"> </w:t>
      </w:r>
      <w:r>
        <w:rPr>
          <w:sz w:val="18"/>
        </w:rPr>
        <w:t>CADA</w:t>
      </w:r>
      <w:r>
        <w:rPr>
          <w:spacing w:val="-8"/>
          <w:sz w:val="18"/>
        </w:rPr>
        <w:t xml:space="preserve"> </w:t>
      </w:r>
      <w:r>
        <w:rPr>
          <w:sz w:val="18"/>
        </w:rPr>
        <w:t>Application</w:t>
      </w:r>
      <w:r>
        <w:rPr>
          <w:spacing w:val="-7"/>
          <w:sz w:val="18"/>
        </w:rPr>
        <w:t xml:space="preserve"> </w:t>
      </w:r>
      <w:r>
        <w:rPr>
          <w:sz w:val="18"/>
        </w:rPr>
        <w:t>for</w:t>
      </w:r>
      <w:r>
        <w:rPr>
          <w:spacing w:val="-7"/>
          <w:sz w:val="18"/>
        </w:rPr>
        <w:t xml:space="preserve"> </w:t>
      </w:r>
      <w:r>
        <w:rPr>
          <w:sz w:val="18"/>
        </w:rPr>
        <w:t>Anti‐Dumping</w:t>
      </w:r>
      <w:r>
        <w:rPr>
          <w:spacing w:val="-7"/>
          <w:sz w:val="18"/>
        </w:rPr>
        <w:t xml:space="preserve"> </w:t>
      </w:r>
      <w:r>
        <w:rPr>
          <w:sz w:val="18"/>
        </w:rPr>
        <w:t>Investigation,</w:t>
      </w:r>
      <w:r>
        <w:rPr>
          <w:spacing w:val="-8"/>
          <w:sz w:val="18"/>
        </w:rPr>
        <w:t xml:space="preserve"> </w:t>
      </w:r>
      <w:r>
        <w:rPr>
          <w:sz w:val="18"/>
        </w:rPr>
        <w:t>Annexes</w:t>
      </w:r>
      <w:r>
        <w:rPr>
          <w:spacing w:val="-7"/>
          <w:sz w:val="18"/>
        </w:rPr>
        <w:t xml:space="preserve"> </w:t>
      </w:r>
      <w:r>
        <w:rPr>
          <w:sz w:val="18"/>
        </w:rPr>
        <w:t>1‐12</w:t>
      </w:r>
      <w:r>
        <w:rPr>
          <w:spacing w:val="-9"/>
          <w:sz w:val="18"/>
        </w:rPr>
        <w:t xml:space="preserve"> </w:t>
      </w:r>
      <w:r>
        <w:rPr>
          <w:sz w:val="18"/>
        </w:rPr>
        <w:t>(Part</w:t>
      </w:r>
      <w:r>
        <w:rPr>
          <w:spacing w:val="-8"/>
          <w:sz w:val="18"/>
        </w:rPr>
        <w:t xml:space="preserve"> </w:t>
      </w:r>
      <w:r>
        <w:rPr>
          <w:sz w:val="18"/>
        </w:rPr>
        <w:t>1)</w:t>
      </w:r>
      <w:r>
        <w:rPr>
          <w:spacing w:val="-8"/>
          <w:sz w:val="18"/>
        </w:rPr>
        <w:t xml:space="preserve"> </w:t>
      </w:r>
      <w:r>
        <w:rPr>
          <w:sz w:val="18"/>
        </w:rPr>
        <w:t>(Exhibit</w:t>
      </w:r>
      <w:r>
        <w:rPr>
          <w:spacing w:val="-7"/>
          <w:sz w:val="18"/>
        </w:rPr>
        <w:t xml:space="preserve"> </w:t>
      </w:r>
      <w:r>
        <w:rPr>
          <w:sz w:val="18"/>
        </w:rPr>
        <w:t>AUS‐90),</w:t>
      </w:r>
      <w:r>
        <w:rPr>
          <w:spacing w:val="-7"/>
          <w:sz w:val="18"/>
        </w:rPr>
        <w:t xml:space="preserve"> </w:t>
      </w:r>
      <w:r>
        <w:rPr>
          <w:sz w:val="18"/>
        </w:rPr>
        <w:t>Annex</w:t>
      </w:r>
      <w:r>
        <w:rPr>
          <w:spacing w:val="-9"/>
          <w:sz w:val="18"/>
        </w:rPr>
        <w:t xml:space="preserve"> </w:t>
      </w:r>
      <w:r>
        <w:rPr>
          <w:spacing w:val="-5"/>
          <w:sz w:val="18"/>
        </w:rPr>
        <w:t>3.</w:t>
      </w:r>
    </w:p>
    <w:p w14:paraId="51DE9459" w14:textId="77777777" w:rsidR="0010369C" w:rsidRDefault="0010369C">
      <w:pPr>
        <w:rPr>
          <w:sz w:val="18"/>
        </w:rPr>
        <w:sectPr w:rsidR="0010369C">
          <w:pgSz w:w="11910" w:h="16840"/>
          <w:pgMar w:top="880" w:right="800" w:bottom="980" w:left="1180" w:header="569" w:footer="788" w:gutter="0"/>
          <w:cols w:space="720"/>
        </w:sectPr>
      </w:pPr>
    </w:p>
    <w:p w14:paraId="51DE945A" w14:textId="77777777" w:rsidR="0010369C" w:rsidRDefault="0010369C">
      <w:pPr>
        <w:pStyle w:val="BodyText"/>
        <w:spacing w:before="2"/>
        <w:rPr>
          <w:sz w:val="15"/>
        </w:rPr>
      </w:pPr>
    </w:p>
    <w:p w14:paraId="51DE945B" w14:textId="77777777" w:rsidR="0010369C" w:rsidRDefault="008E43AE">
      <w:pPr>
        <w:tabs>
          <w:tab w:val="left" w:pos="8228"/>
        </w:tabs>
        <w:spacing w:before="60"/>
        <w:ind w:left="239"/>
        <w:jc w:val="both"/>
        <w:rPr>
          <w:sz w:val="20"/>
        </w:rPr>
      </w:pPr>
      <w:r>
        <w:rPr>
          <w:i/>
          <w:sz w:val="20"/>
        </w:rPr>
        <w:t>on</w:t>
      </w:r>
      <w:r>
        <w:rPr>
          <w:i/>
          <w:spacing w:val="-1"/>
          <w:sz w:val="20"/>
        </w:rPr>
        <w:t xml:space="preserve"> </w:t>
      </w:r>
      <w:r>
        <w:rPr>
          <w:i/>
          <w:sz w:val="20"/>
        </w:rPr>
        <w:t>Wine</w:t>
      </w:r>
      <w:r>
        <w:rPr>
          <w:i/>
          <w:spacing w:val="-1"/>
          <w:sz w:val="20"/>
        </w:rPr>
        <w:t xml:space="preserve"> </w:t>
      </w:r>
      <w:r>
        <w:rPr>
          <w:i/>
          <w:sz w:val="20"/>
        </w:rPr>
        <w:t>from</w:t>
      </w:r>
      <w:r>
        <w:rPr>
          <w:i/>
          <w:spacing w:val="-3"/>
          <w:sz w:val="20"/>
        </w:rPr>
        <w:t xml:space="preserve"> </w:t>
      </w:r>
      <w:r>
        <w:rPr>
          <w:i/>
          <w:sz w:val="20"/>
        </w:rPr>
        <w:t>Australia</w:t>
      </w:r>
      <w:r>
        <w:rPr>
          <w:i/>
          <w:spacing w:val="-1"/>
          <w:sz w:val="20"/>
        </w:rPr>
        <w:t xml:space="preserve"> </w:t>
      </w:r>
      <w:r>
        <w:rPr>
          <w:spacing w:val="-2"/>
          <w:sz w:val="20"/>
        </w:rPr>
        <w:t>(DS602)</w:t>
      </w:r>
      <w:r>
        <w:rPr>
          <w:sz w:val="20"/>
        </w:rPr>
        <w:tab/>
        <w:t>29</w:t>
      </w:r>
      <w:r>
        <w:rPr>
          <w:spacing w:val="-1"/>
          <w:sz w:val="20"/>
        </w:rPr>
        <w:t xml:space="preserve"> </w:t>
      </w:r>
      <w:r>
        <w:rPr>
          <w:sz w:val="20"/>
        </w:rPr>
        <w:t>April</w:t>
      </w:r>
      <w:r>
        <w:rPr>
          <w:spacing w:val="-2"/>
          <w:sz w:val="20"/>
        </w:rPr>
        <w:t xml:space="preserve"> </w:t>
      </w:r>
      <w:r>
        <w:rPr>
          <w:spacing w:val="-4"/>
          <w:sz w:val="20"/>
        </w:rPr>
        <w:t>2022</w:t>
      </w:r>
    </w:p>
    <w:p w14:paraId="51DE945C" w14:textId="77777777" w:rsidR="0010369C" w:rsidRDefault="008E43AE">
      <w:pPr>
        <w:pStyle w:val="BodyText"/>
        <w:spacing w:before="34" w:line="360" w:lineRule="auto"/>
        <w:ind w:left="237" w:right="612"/>
        <w:jc w:val="both"/>
      </w:pPr>
      <w:r>
        <w:t>represented. CADA was obliged to provide a list of all known CADA and non‐CADA domestic producers of the like domestic products (and, to the extent possible, a description of the volume</w:t>
      </w:r>
      <w:r>
        <w:rPr>
          <w:spacing w:val="-14"/>
        </w:rPr>
        <w:t xml:space="preserve"> </w:t>
      </w:r>
      <w:r>
        <w:t>and</w:t>
      </w:r>
      <w:r>
        <w:rPr>
          <w:spacing w:val="-14"/>
        </w:rPr>
        <w:t xml:space="preserve"> </w:t>
      </w:r>
      <w:r>
        <w:t>value</w:t>
      </w:r>
      <w:r>
        <w:rPr>
          <w:spacing w:val="-13"/>
        </w:rPr>
        <w:t xml:space="preserve"> </w:t>
      </w:r>
      <w:r>
        <w:t>of</w:t>
      </w:r>
      <w:r>
        <w:rPr>
          <w:spacing w:val="-14"/>
        </w:rPr>
        <w:t xml:space="preserve"> </w:t>
      </w:r>
      <w:r>
        <w:t>domestic</w:t>
      </w:r>
      <w:r>
        <w:rPr>
          <w:spacing w:val="-13"/>
        </w:rPr>
        <w:t xml:space="preserve"> </w:t>
      </w:r>
      <w:r>
        <w:t>production</w:t>
      </w:r>
      <w:r>
        <w:rPr>
          <w:spacing w:val="-14"/>
        </w:rPr>
        <w:t xml:space="preserve"> </w:t>
      </w:r>
      <w:r>
        <w:t>of</w:t>
      </w:r>
      <w:r>
        <w:rPr>
          <w:spacing w:val="-13"/>
        </w:rPr>
        <w:t xml:space="preserve"> </w:t>
      </w:r>
      <w:r>
        <w:t>the</w:t>
      </w:r>
      <w:r>
        <w:rPr>
          <w:spacing w:val="-14"/>
        </w:rPr>
        <w:t xml:space="preserve"> </w:t>
      </w:r>
      <w:r>
        <w:t>like</w:t>
      </w:r>
      <w:r>
        <w:rPr>
          <w:spacing w:val="-14"/>
        </w:rPr>
        <w:t xml:space="preserve"> </w:t>
      </w:r>
      <w:r>
        <w:t>product</w:t>
      </w:r>
      <w:r>
        <w:rPr>
          <w:spacing w:val="-13"/>
        </w:rPr>
        <w:t xml:space="preserve"> </w:t>
      </w:r>
      <w:r>
        <w:t>accounted</w:t>
      </w:r>
      <w:r>
        <w:rPr>
          <w:spacing w:val="-14"/>
        </w:rPr>
        <w:t xml:space="preserve"> </w:t>
      </w:r>
      <w:r>
        <w:t>for</w:t>
      </w:r>
      <w:r>
        <w:rPr>
          <w:spacing w:val="-13"/>
        </w:rPr>
        <w:t xml:space="preserve"> </w:t>
      </w:r>
      <w:r>
        <w:t>by</w:t>
      </w:r>
      <w:r>
        <w:rPr>
          <w:spacing w:val="-14"/>
        </w:rPr>
        <w:t xml:space="preserve"> </w:t>
      </w:r>
      <w:r>
        <w:t>such</w:t>
      </w:r>
      <w:r>
        <w:rPr>
          <w:spacing w:val="-13"/>
        </w:rPr>
        <w:t xml:space="preserve"> </w:t>
      </w:r>
      <w:r>
        <w:t>producers) to allow the investigating authority to assess whether the application was made on behalf of the</w:t>
      </w:r>
      <w:r>
        <w:rPr>
          <w:spacing w:val="-8"/>
        </w:rPr>
        <w:t xml:space="preserve"> </w:t>
      </w:r>
      <w:r>
        <w:t>domestic</w:t>
      </w:r>
      <w:r>
        <w:rPr>
          <w:spacing w:val="-6"/>
        </w:rPr>
        <w:t xml:space="preserve"> </w:t>
      </w:r>
      <w:r>
        <w:t>industry.</w:t>
      </w:r>
      <w:r>
        <w:rPr>
          <w:spacing w:val="-7"/>
        </w:rPr>
        <w:t xml:space="preserve"> </w:t>
      </w:r>
      <w:r>
        <w:t>There</w:t>
      </w:r>
      <w:r>
        <w:rPr>
          <w:spacing w:val="-8"/>
        </w:rPr>
        <w:t xml:space="preserve"> </w:t>
      </w:r>
      <w:r>
        <w:t>is</w:t>
      </w:r>
      <w:r>
        <w:rPr>
          <w:spacing w:val="-9"/>
        </w:rPr>
        <w:t xml:space="preserve"> </w:t>
      </w:r>
      <w:r>
        <w:t>no</w:t>
      </w:r>
      <w:r>
        <w:rPr>
          <w:spacing w:val="-8"/>
        </w:rPr>
        <w:t xml:space="preserve"> </w:t>
      </w:r>
      <w:r>
        <w:t>evidence</w:t>
      </w:r>
      <w:r>
        <w:rPr>
          <w:spacing w:val="-9"/>
        </w:rPr>
        <w:t xml:space="preserve"> </w:t>
      </w:r>
      <w:r>
        <w:t>on</w:t>
      </w:r>
      <w:r>
        <w:rPr>
          <w:spacing w:val="-9"/>
        </w:rPr>
        <w:t xml:space="preserve"> </w:t>
      </w:r>
      <w:r>
        <w:t>the</w:t>
      </w:r>
      <w:r>
        <w:rPr>
          <w:spacing w:val="-8"/>
        </w:rPr>
        <w:t xml:space="preserve"> </w:t>
      </w:r>
      <w:r>
        <w:t>record</w:t>
      </w:r>
      <w:r>
        <w:rPr>
          <w:spacing w:val="-9"/>
        </w:rPr>
        <w:t xml:space="preserve"> </w:t>
      </w:r>
      <w:r>
        <w:t>that</w:t>
      </w:r>
      <w:r>
        <w:rPr>
          <w:spacing w:val="-9"/>
        </w:rPr>
        <w:t xml:space="preserve"> </w:t>
      </w:r>
      <w:r>
        <w:t>MOFCOM</w:t>
      </w:r>
      <w:r>
        <w:rPr>
          <w:spacing w:val="-6"/>
        </w:rPr>
        <w:t xml:space="preserve"> </w:t>
      </w:r>
      <w:r>
        <w:t>sought</w:t>
      </w:r>
      <w:r>
        <w:rPr>
          <w:spacing w:val="-8"/>
        </w:rPr>
        <w:t xml:space="preserve"> </w:t>
      </w:r>
      <w:r>
        <w:t>to</w:t>
      </w:r>
      <w:r>
        <w:rPr>
          <w:spacing w:val="-8"/>
        </w:rPr>
        <w:t xml:space="preserve"> </w:t>
      </w:r>
      <w:r>
        <w:t>obtain</w:t>
      </w:r>
      <w:r>
        <w:rPr>
          <w:spacing w:val="-8"/>
        </w:rPr>
        <w:t xml:space="preserve"> </w:t>
      </w:r>
      <w:r>
        <w:t xml:space="preserve">the necessary information through any other mechanism so as </w:t>
      </w:r>
      <w:r>
        <w:t>to be able to make a proper assessment as required</w:t>
      </w:r>
      <w:r>
        <w:rPr>
          <w:spacing w:val="-1"/>
        </w:rPr>
        <w:t xml:space="preserve"> </w:t>
      </w:r>
      <w:r>
        <w:t xml:space="preserve">by Article 5.4. As the Appellate Body has noted, Article 5.4 does "not permit investigating authorities to 'presume' that industry support for an application </w:t>
      </w:r>
      <w:r>
        <w:rPr>
          <w:spacing w:val="-2"/>
        </w:rPr>
        <w:t>exists".</w:t>
      </w:r>
      <w:r>
        <w:rPr>
          <w:spacing w:val="-2"/>
          <w:vertAlign w:val="superscript"/>
        </w:rPr>
        <w:t>900</w:t>
      </w:r>
    </w:p>
    <w:p w14:paraId="51DE945D" w14:textId="77777777" w:rsidR="0010369C" w:rsidRDefault="0010369C">
      <w:pPr>
        <w:pStyle w:val="BodyText"/>
        <w:spacing w:before="11"/>
        <w:rPr>
          <w:sz w:val="8"/>
        </w:rPr>
      </w:pPr>
    </w:p>
    <w:p w14:paraId="51DE945E" w14:textId="77777777" w:rsidR="0010369C" w:rsidRDefault="008E43AE">
      <w:pPr>
        <w:pStyle w:val="BodyText"/>
        <w:spacing w:before="51" w:line="360" w:lineRule="auto"/>
        <w:ind w:left="238" w:right="612" w:firstLine="850"/>
        <w:jc w:val="both"/>
      </w:pPr>
      <w:r>
        <w:rPr>
          <w:noProof/>
        </w:rPr>
        <w:drawing>
          <wp:anchor distT="0" distB="0" distL="0" distR="0" simplePos="0" relativeHeight="251351552" behindDoc="1" locked="0" layoutInCell="1" allowOverlap="1" wp14:anchorId="51DEA636" wp14:editId="51DEA637">
            <wp:simplePos x="0" y="0"/>
            <wp:positionH relativeFrom="page">
              <wp:posOffset>902208</wp:posOffset>
            </wp:positionH>
            <wp:positionV relativeFrom="paragraph">
              <wp:posOffset>82076</wp:posOffset>
            </wp:positionV>
            <wp:extent cx="262127" cy="100753"/>
            <wp:effectExtent l="0" t="0" r="0" b="0"/>
            <wp:wrapNone/>
            <wp:docPr id="1465" name="image7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 name="image760.png"/>
                    <pic:cNvPicPr/>
                  </pic:nvPicPr>
                  <pic:blipFill>
                    <a:blip r:embed="rId997" cstate="print"/>
                    <a:stretch>
                      <a:fillRect/>
                    </a:stretch>
                  </pic:blipFill>
                  <pic:spPr>
                    <a:xfrm>
                      <a:off x="0" y="0"/>
                      <a:ext cx="262127" cy="100753"/>
                    </a:xfrm>
                    <a:prstGeom prst="rect">
                      <a:avLst/>
                    </a:prstGeom>
                  </pic:spPr>
                </pic:pic>
              </a:graphicData>
            </a:graphic>
          </wp:anchor>
        </w:drawing>
      </w:r>
      <w:r>
        <w:t>Without</w:t>
      </w:r>
      <w:r>
        <w:rPr>
          <w:spacing w:val="-14"/>
        </w:rPr>
        <w:t xml:space="preserve"> </w:t>
      </w:r>
      <w:r>
        <w:t>this</w:t>
      </w:r>
      <w:r>
        <w:rPr>
          <w:spacing w:val="-14"/>
        </w:rPr>
        <w:t xml:space="preserve"> </w:t>
      </w:r>
      <w:r>
        <w:t>information,</w:t>
      </w:r>
      <w:r>
        <w:rPr>
          <w:spacing w:val="-13"/>
        </w:rPr>
        <w:t xml:space="preserve"> </w:t>
      </w:r>
      <w:r>
        <w:t>an</w:t>
      </w:r>
      <w:r>
        <w:rPr>
          <w:spacing w:val="-14"/>
        </w:rPr>
        <w:t xml:space="preserve"> </w:t>
      </w:r>
      <w:r>
        <w:t>unbiased</w:t>
      </w:r>
      <w:r>
        <w:rPr>
          <w:spacing w:val="-13"/>
        </w:rPr>
        <w:t xml:space="preserve"> </w:t>
      </w:r>
      <w:r>
        <w:t>and</w:t>
      </w:r>
      <w:r>
        <w:rPr>
          <w:spacing w:val="-14"/>
        </w:rPr>
        <w:t xml:space="preserve"> </w:t>
      </w:r>
      <w:r>
        <w:t>objective</w:t>
      </w:r>
      <w:r>
        <w:rPr>
          <w:spacing w:val="-13"/>
        </w:rPr>
        <w:t xml:space="preserve"> </w:t>
      </w:r>
      <w:r>
        <w:t>investigating</w:t>
      </w:r>
      <w:r>
        <w:rPr>
          <w:spacing w:val="-14"/>
        </w:rPr>
        <w:t xml:space="preserve"> </w:t>
      </w:r>
      <w:r>
        <w:t>authority</w:t>
      </w:r>
      <w:r>
        <w:rPr>
          <w:spacing w:val="-14"/>
        </w:rPr>
        <w:t xml:space="preserve"> </w:t>
      </w:r>
      <w:r>
        <w:t>could</w:t>
      </w:r>
      <w:r>
        <w:rPr>
          <w:spacing w:val="-13"/>
        </w:rPr>
        <w:t xml:space="preserve"> </w:t>
      </w:r>
      <w:r>
        <w:t>not have determined that CADA's application had the support of domestic producers whose collective output constitutes more than 50% of the total production of the like product.</w:t>
      </w:r>
    </w:p>
    <w:p w14:paraId="51DE945F" w14:textId="77777777" w:rsidR="0010369C" w:rsidRDefault="0010369C">
      <w:pPr>
        <w:pStyle w:val="BodyText"/>
        <w:spacing w:before="11"/>
        <w:rPr>
          <w:sz w:val="8"/>
        </w:rPr>
      </w:pPr>
    </w:p>
    <w:p w14:paraId="51DE9460" w14:textId="77777777" w:rsidR="0010369C" w:rsidRDefault="008E43AE">
      <w:pPr>
        <w:pStyle w:val="BodyText"/>
        <w:spacing w:before="52" w:line="360" w:lineRule="auto"/>
        <w:ind w:left="237" w:right="614" w:firstLine="851"/>
        <w:jc w:val="both"/>
      </w:pPr>
      <w:r>
        <w:rPr>
          <w:noProof/>
        </w:rPr>
        <w:drawing>
          <wp:anchor distT="0" distB="0" distL="0" distR="0" simplePos="0" relativeHeight="251352576" behindDoc="1" locked="0" layoutInCell="1" allowOverlap="1" wp14:anchorId="51DEA638" wp14:editId="51DEA639">
            <wp:simplePos x="0" y="0"/>
            <wp:positionH relativeFrom="page">
              <wp:posOffset>902208</wp:posOffset>
            </wp:positionH>
            <wp:positionV relativeFrom="paragraph">
              <wp:posOffset>82711</wp:posOffset>
            </wp:positionV>
            <wp:extent cx="262127" cy="100753"/>
            <wp:effectExtent l="0" t="0" r="0" b="0"/>
            <wp:wrapNone/>
            <wp:docPr id="1467" name="image7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 name="image761.png"/>
                    <pic:cNvPicPr/>
                  </pic:nvPicPr>
                  <pic:blipFill>
                    <a:blip r:embed="rId998" cstate="print"/>
                    <a:stretch>
                      <a:fillRect/>
                    </a:stretch>
                  </pic:blipFill>
                  <pic:spPr>
                    <a:xfrm>
                      <a:off x="0" y="0"/>
                      <a:ext cx="262127" cy="100753"/>
                    </a:xfrm>
                    <a:prstGeom prst="rect">
                      <a:avLst/>
                    </a:prstGeom>
                  </pic:spPr>
                </pic:pic>
              </a:graphicData>
            </a:graphic>
          </wp:anchor>
        </w:drawing>
      </w:r>
      <w:r>
        <w:t>MOFCOM</w:t>
      </w:r>
      <w:r>
        <w:rPr>
          <w:spacing w:val="-13"/>
        </w:rPr>
        <w:t xml:space="preserve"> </w:t>
      </w:r>
      <w:r>
        <w:t>w</w:t>
      </w:r>
      <w:r>
        <w:t>as</w:t>
      </w:r>
      <w:r>
        <w:rPr>
          <w:spacing w:val="-14"/>
        </w:rPr>
        <w:t xml:space="preserve"> </w:t>
      </w:r>
      <w:r>
        <w:t>placed</w:t>
      </w:r>
      <w:r>
        <w:rPr>
          <w:spacing w:val="-13"/>
        </w:rPr>
        <w:t xml:space="preserve"> </w:t>
      </w:r>
      <w:r>
        <w:t>on</w:t>
      </w:r>
      <w:r>
        <w:rPr>
          <w:spacing w:val="-14"/>
        </w:rPr>
        <w:t xml:space="preserve"> </w:t>
      </w:r>
      <w:r>
        <w:t>notice</w:t>
      </w:r>
      <w:r>
        <w:rPr>
          <w:spacing w:val="-11"/>
        </w:rPr>
        <w:t xml:space="preserve"> </w:t>
      </w:r>
      <w:r>
        <w:t>of</w:t>
      </w:r>
      <w:r>
        <w:rPr>
          <w:spacing w:val="-13"/>
        </w:rPr>
        <w:t xml:space="preserve"> </w:t>
      </w:r>
      <w:r>
        <w:t>this</w:t>
      </w:r>
      <w:r>
        <w:rPr>
          <w:spacing w:val="-13"/>
        </w:rPr>
        <w:t xml:space="preserve"> </w:t>
      </w:r>
      <w:r>
        <w:t>specific</w:t>
      </w:r>
      <w:r>
        <w:rPr>
          <w:spacing w:val="-13"/>
        </w:rPr>
        <w:t xml:space="preserve"> </w:t>
      </w:r>
      <w:r>
        <w:t>deficiency</w:t>
      </w:r>
      <w:r>
        <w:rPr>
          <w:spacing w:val="-12"/>
        </w:rPr>
        <w:t xml:space="preserve"> </w:t>
      </w:r>
      <w:r>
        <w:t>in</w:t>
      </w:r>
      <w:r>
        <w:rPr>
          <w:spacing w:val="-13"/>
        </w:rPr>
        <w:t xml:space="preserve"> </w:t>
      </w:r>
      <w:r>
        <w:t>CADA's</w:t>
      </w:r>
      <w:r>
        <w:rPr>
          <w:spacing w:val="-13"/>
        </w:rPr>
        <w:t xml:space="preserve"> </w:t>
      </w:r>
      <w:r>
        <w:t>application</w:t>
      </w:r>
      <w:r>
        <w:rPr>
          <w:spacing w:val="-13"/>
        </w:rPr>
        <w:t xml:space="preserve"> </w:t>
      </w:r>
      <w:r>
        <w:t>by</w:t>
      </w:r>
      <w:r>
        <w:rPr>
          <w:spacing w:val="-13"/>
        </w:rPr>
        <w:t xml:space="preserve"> </w:t>
      </w:r>
      <w:r>
        <w:t>the Australian Government's submission on the proposed initiation of the investigation. The Australian Government submitted that the application did not "indicate the level of support</w:t>
      </w:r>
      <w:r>
        <w:t xml:space="preserve"> for the application or the percentage of wine production represented by those that support the</w:t>
      </w:r>
      <w:r>
        <w:rPr>
          <w:spacing w:val="-4"/>
        </w:rPr>
        <w:t xml:space="preserve"> </w:t>
      </w:r>
      <w:r>
        <w:t>application".</w:t>
      </w:r>
      <w:r>
        <w:rPr>
          <w:vertAlign w:val="superscript"/>
        </w:rPr>
        <w:t>901</w:t>
      </w:r>
      <w:r>
        <w:rPr>
          <w:spacing w:val="-6"/>
        </w:rPr>
        <w:t xml:space="preserve"> </w:t>
      </w:r>
      <w:r>
        <w:t>There</w:t>
      </w:r>
      <w:r>
        <w:rPr>
          <w:spacing w:val="-4"/>
        </w:rPr>
        <w:t xml:space="preserve"> </w:t>
      </w:r>
      <w:r>
        <w:t>is</w:t>
      </w:r>
      <w:r>
        <w:rPr>
          <w:spacing w:val="-7"/>
        </w:rPr>
        <w:t xml:space="preserve"> </w:t>
      </w:r>
      <w:r>
        <w:t>nothing</w:t>
      </w:r>
      <w:r>
        <w:rPr>
          <w:spacing w:val="-5"/>
        </w:rPr>
        <w:t xml:space="preserve"> </w:t>
      </w:r>
      <w:r>
        <w:t>on</w:t>
      </w:r>
      <w:r>
        <w:rPr>
          <w:spacing w:val="-6"/>
        </w:rPr>
        <w:t xml:space="preserve"> </w:t>
      </w:r>
      <w:r>
        <w:t>the</w:t>
      </w:r>
      <w:r>
        <w:rPr>
          <w:spacing w:val="-4"/>
        </w:rPr>
        <w:t xml:space="preserve"> </w:t>
      </w:r>
      <w:r>
        <w:t>record</w:t>
      </w:r>
      <w:r>
        <w:rPr>
          <w:spacing w:val="-6"/>
        </w:rPr>
        <w:t xml:space="preserve"> </w:t>
      </w:r>
      <w:r>
        <w:t>to</w:t>
      </w:r>
      <w:r>
        <w:rPr>
          <w:spacing w:val="-5"/>
        </w:rPr>
        <w:t xml:space="preserve"> </w:t>
      </w:r>
      <w:r>
        <w:t>suggest</w:t>
      </w:r>
      <w:r>
        <w:rPr>
          <w:spacing w:val="-5"/>
        </w:rPr>
        <w:t xml:space="preserve"> </w:t>
      </w:r>
      <w:r>
        <w:t>that</w:t>
      </w:r>
      <w:r>
        <w:rPr>
          <w:spacing w:val="-5"/>
        </w:rPr>
        <w:t xml:space="preserve"> </w:t>
      </w:r>
      <w:r>
        <w:t>MOFCOM</w:t>
      </w:r>
      <w:r>
        <w:rPr>
          <w:spacing w:val="-5"/>
        </w:rPr>
        <w:t xml:space="preserve"> </w:t>
      </w:r>
      <w:r>
        <w:t>took</w:t>
      </w:r>
      <w:r>
        <w:rPr>
          <w:spacing w:val="-5"/>
        </w:rPr>
        <w:t xml:space="preserve"> </w:t>
      </w:r>
      <w:r>
        <w:t>any</w:t>
      </w:r>
      <w:r>
        <w:rPr>
          <w:spacing w:val="-4"/>
        </w:rPr>
        <w:t xml:space="preserve"> </w:t>
      </w:r>
      <w:r>
        <w:t>steps</w:t>
      </w:r>
      <w:r>
        <w:rPr>
          <w:spacing w:val="-5"/>
        </w:rPr>
        <w:t xml:space="preserve"> </w:t>
      </w:r>
      <w:r>
        <w:t xml:space="preserve">in </w:t>
      </w:r>
      <w:r>
        <w:rPr>
          <w:spacing w:val="-2"/>
        </w:rPr>
        <w:t>response.</w:t>
      </w:r>
    </w:p>
    <w:p w14:paraId="51DE9461" w14:textId="77777777" w:rsidR="0010369C" w:rsidRDefault="0010369C">
      <w:pPr>
        <w:pStyle w:val="BodyText"/>
        <w:spacing w:before="10"/>
        <w:rPr>
          <w:sz w:val="8"/>
        </w:rPr>
      </w:pPr>
    </w:p>
    <w:p w14:paraId="51DE9462" w14:textId="77777777" w:rsidR="0010369C" w:rsidRDefault="008E43AE">
      <w:pPr>
        <w:pStyle w:val="BodyText"/>
        <w:spacing w:before="51" w:line="360" w:lineRule="auto"/>
        <w:ind w:left="237" w:right="614" w:firstLine="851"/>
        <w:jc w:val="both"/>
      </w:pPr>
      <w:r>
        <w:rPr>
          <w:noProof/>
        </w:rPr>
        <w:drawing>
          <wp:anchor distT="0" distB="0" distL="0" distR="0" simplePos="0" relativeHeight="251353600" behindDoc="1" locked="0" layoutInCell="1" allowOverlap="1" wp14:anchorId="51DEA63A" wp14:editId="51DEA63B">
            <wp:simplePos x="0" y="0"/>
            <wp:positionH relativeFrom="page">
              <wp:posOffset>902208</wp:posOffset>
            </wp:positionH>
            <wp:positionV relativeFrom="paragraph">
              <wp:posOffset>80722</wp:posOffset>
            </wp:positionV>
            <wp:extent cx="262127" cy="103631"/>
            <wp:effectExtent l="0" t="0" r="0" b="0"/>
            <wp:wrapNone/>
            <wp:docPr id="1469" name="image7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 name="image762.png"/>
                    <pic:cNvPicPr/>
                  </pic:nvPicPr>
                  <pic:blipFill>
                    <a:blip r:embed="rId999" cstate="print"/>
                    <a:stretch>
                      <a:fillRect/>
                    </a:stretch>
                  </pic:blipFill>
                  <pic:spPr>
                    <a:xfrm>
                      <a:off x="0" y="0"/>
                      <a:ext cx="262127" cy="103631"/>
                    </a:xfrm>
                    <a:prstGeom prst="rect">
                      <a:avLst/>
                    </a:prstGeom>
                  </pic:spPr>
                </pic:pic>
              </a:graphicData>
            </a:graphic>
          </wp:anchor>
        </w:drawing>
      </w:r>
      <w:r>
        <w:t>MOFCOM did not explain the reasoning that led it to the conclusion that CADA's application</w:t>
      </w:r>
      <w:r>
        <w:rPr>
          <w:spacing w:val="-8"/>
        </w:rPr>
        <w:t xml:space="preserve"> </w:t>
      </w:r>
      <w:r>
        <w:t>had</w:t>
      </w:r>
      <w:r>
        <w:rPr>
          <w:spacing w:val="-7"/>
        </w:rPr>
        <w:t xml:space="preserve"> </w:t>
      </w:r>
      <w:r>
        <w:t>the</w:t>
      </w:r>
      <w:r>
        <w:rPr>
          <w:spacing w:val="-7"/>
        </w:rPr>
        <w:t xml:space="preserve"> </w:t>
      </w:r>
      <w:r>
        <w:t>requisite</w:t>
      </w:r>
      <w:r>
        <w:rPr>
          <w:spacing w:val="-7"/>
        </w:rPr>
        <w:t xml:space="preserve"> </w:t>
      </w:r>
      <w:r>
        <w:t>level</w:t>
      </w:r>
      <w:r>
        <w:rPr>
          <w:spacing w:val="-7"/>
        </w:rPr>
        <w:t xml:space="preserve"> </w:t>
      </w:r>
      <w:r>
        <w:t>of</w:t>
      </w:r>
      <w:r>
        <w:rPr>
          <w:spacing w:val="-8"/>
        </w:rPr>
        <w:t xml:space="preserve"> </w:t>
      </w:r>
      <w:r>
        <w:t>support,</w:t>
      </w:r>
      <w:r>
        <w:rPr>
          <w:spacing w:val="-7"/>
        </w:rPr>
        <w:t xml:space="preserve"> </w:t>
      </w:r>
      <w:r>
        <w:t>but</w:t>
      </w:r>
      <w:r>
        <w:rPr>
          <w:spacing w:val="-7"/>
        </w:rPr>
        <w:t xml:space="preserve"> </w:t>
      </w:r>
      <w:r>
        <w:t>it</w:t>
      </w:r>
      <w:r>
        <w:rPr>
          <w:spacing w:val="-7"/>
        </w:rPr>
        <w:t xml:space="preserve"> </w:t>
      </w:r>
      <w:r>
        <w:t>appears</w:t>
      </w:r>
      <w:r>
        <w:rPr>
          <w:spacing w:val="-8"/>
        </w:rPr>
        <w:t xml:space="preserve"> </w:t>
      </w:r>
      <w:r>
        <w:t>it</w:t>
      </w:r>
      <w:r>
        <w:rPr>
          <w:spacing w:val="-7"/>
        </w:rPr>
        <w:t xml:space="preserve"> </w:t>
      </w:r>
      <w:r>
        <w:t>was</w:t>
      </w:r>
      <w:r>
        <w:rPr>
          <w:spacing w:val="-7"/>
        </w:rPr>
        <w:t xml:space="preserve"> </w:t>
      </w:r>
      <w:r>
        <w:t>done</w:t>
      </w:r>
      <w:r>
        <w:rPr>
          <w:spacing w:val="-6"/>
        </w:rPr>
        <w:t xml:space="preserve"> </w:t>
      </w:r>
      <w:r>
        <w:t>by</w:t>
      </w:r>
      <w:r>
        <w:rPr>
          <w:spacing w:val="-7"/>
        </w:rPr>
        <w:t xml:space="preserve"> </w:t>
      </w:r>
      <w:r>
        <w:t>simply</w:t>
      </w:r>
      <w:r>
        <w:rPr>
          <w:spacing w:val="-7"/>
        </w:rPr>
        <w:t xml:space="preserve"> </w:t>
      </w:r>
      <w:r>
        <w:t>drawing</w:t>
      </w:r>
      <w:r>
        <w:rPr>
          <w:spacing w:val="-7"/>
        </w:rPr>
        <w:t xml:space="preserve"> </w:t>
      </w:r>
      <w:r>
        <w:t>an unsubstantiated inference that CADA's application had the unanimous support of ev</w:t>
      </w:r>
      <w:r>
        <w:t>ery domestic producer it had listed in the application. Such an approach relies upon simple assertions that are unsubstantiated by relevant evidence and is inconsistent with the examination</w:t>
      </w:r>
      <w:r>
        <w:rPr>
          <w:spacing w:val="-14"/>
        </w:rPr>
        <w:t xml:space="preserve"> </w:t>
      </w:r>
      <w:r>
        <w:t>of</w:t>
      </w:r>
      <w:r>
        <w:rPr>
          <w:spacing w:val="-14"/>
        </w:rPr>
        <w:t xml:space="preserve"> </w:t>
      </w:r>
      <w:r>
        <w:t>the</w:t>
      </w:r>
      <w:r>
        <w:rPr>
          <w:spacing w:val="-13"/>
        </w:rPr>
        <w:t xml:space="preserve"> </w:t>
      </w:r>
      <w:r>
        <w:t>specific</w:t>
      </w:r>
      <w:r>
        <w:rPr>
          <w:spacing w:val="-14"/>
        </w:rPr>
        <w:t xml:space="preserve"> </w:t>
      </w:r>
      <w:r>
        <w:t>level</w:t>
      </w:r>
      <w:r>
        <w:rPr>
          <w:spacing w:val="-13"/>
        </w:rPr>
        <w:t xml:space="preserve"> </w:t>
      </w:r>
      <w:r>
        <w:t>of</w:t>
      </w:r>
      <w:r>
        <w:rPr>
          <w:spacing w:val="-14"/>
        </w:rPr>
        <w:t xml:space="preserve"> </w:t>
      </w:r>
      <w:r>
        <w:t>support</w:t>
      </w:r>
      <w:r>
        <w:rPr>
          <w:spacing w:val="-13"/>
        </w:rPr>
        <w:t xml:space="preserve"> </w:t>
      </w:r>
      <w:r>
        <w:t>for</w:t>
      </w:r>
      <w:r>
        <w:rPr>
          <w:spacing w:val="-14"/>
        </w:rPr>
        <w:t xml:space="preserve"> </w:t>
      </w:r>
      <w:r>
        <w:t>the</w:t>
      </w:r>
      <w:r>
        <w:rPr>
          <w:spacing w:val="-13"/>
        </w:rPr>
        <w:t xml:space="preserve"> </w:t>
      </w:r>
      <w:r>
        <w:t>application</w:t>
      </w:r>
      <w:r>
        <w:rPr>
          <w:spacing w:val="-13"/>
        </w:rPr>
        <w:t xml:space="preserve"> </w:t>
      </w:r>
      <w:r>
        <w:t>that</w:t>
      </w:r>
      <w:r>
        <w:rPr>
          <w:spacing w:val="-14"/>
        </w:rPr>
        <w:t xml:space="preserve"> </w:t>
      </w:r>
      <w:r>
        <w:t>is</w:t>
      </w:r>
      <w:r>
        <w:rPr>
          <w:spacing w:val="-14"/>
        </w:rPr>
        <w:t xml:space="preserve"> </w:t>
      </w:r>
      <w:r>
        <w:t>manda</w:t>
      </w:r>
      <w:r>
        <w:t>ted</w:t>
      </w:r>
      <w:r>
        <w:rPr>
          <w:spacing w:val="-13"/>
        </w:rPr>
        <w:t xml:space="preserve"> </w:t>
      </w:r>
      <w:r>
        <w:t>by</w:t>
      </w:r>
      <w:r>
        <w:rPr>
          <w:spacing w:val="-13"/>
        </w:rPr>
        <w:t xml:space="preserve"> </w:t>
      </w:r>
      <w:r>
        <w:t>Article</w:t>
      </w:r>
      <w:r>
        <w:rPr>
          <w:spacing w:val="-13"/>
        </w:rPr>
        <w:t xml:space="preserve"> </w:t>
      </w:r>
      <w:r>
        <w:rPr>
          <w:spacing w:val="-4"/>
        </w:rPr>
        <w:t>5.4.</w:t>
      </w:r>
    </w:p>
    <w:p w14:paraId="51DE9463" w14:textId="77777777" w:rsidR="0010369C" w:rsidRDefault="0010369C">
      <w:pPr>
        <w:pStyle w:val="BodyText"/>
        <w:rPr>
          <w:sz w:val="20"/>
        </w:rPr>
      </w:pPr>
    </w:p>
    <w:p w14:paraId="51DE9464" w14:textId="77777777" w:rsidR="0010369C" w:rsidRDefault="0010369C">
      <w:pPr>
        <w:pStyle w:val="BodyText"/>
        <w:rPr>
          <w:sz w:val="20"/>
        </w:rPr>
      </w:pPr>
    </w:p>
    <w:p w14:paraId="51DE9465" w14:textId="77777777" w:rsidR="0010369C" w:rsidRDefault="0010369C">
      <w:pPr>
        <w:pStyle w:val="BodyText"/>
        <w:rPr>
          <w:sz w:val="20"/>
        </w:rPr>
      </w:pPr>
    </w:p>
    <w:p w14:paraId="51DE9466" w14:textId="77777777" w:rsidR="0010369C" w:rsidRDefault="0010369C">
      <w:pPr>
        <w:pStyle w:val="BodyText"/>
        <w:rPr>
          <w:sz w:val="20"/>
        </w:rPr>
      </w:pPr>
    </w:p>
    <w:p w14:paraId="51DE9467" w14:textId="77777777" w:rsidR="0010369C" w:rsidRDefault="0010369C">
      <w:pPr>
        <w:pStyle w:val="BodyText"/>
        <w:rPr>
          <w:sz w:val="20"/>
        </w:rPr>
      </w:pPr>
    </w:p>
    <w:p w14:paraId="51DE9468" w14:textId="77777777" w:rsidR="0010369C" w:rsidRDefault="0010369C">
      <w:pPr>
        <w:pStyle w:val="BodyText"/>
        <w:rPr>
          <w:sz w:val="20"/>
        </w:rPr>
      </w:pPr>
    </w:p>
    <w:p w14:paraId="51DE9469" w14:textId="77777777" w:rsidR="0010369C" w:rsidRDefault="0010369C">
      <w:pPr>
        <w:pStyle w:val="BodyText"/>
        <w:rPr>
          <w:sz w:val="20"/>
        </w:rPr>
      </w:pPr>
    </w:p>
    <w:p w14:paraId="51DE946A" w14:textId="77777777" w:rsidR="0010369C" w:rsidRDefault="0010369C">
      <w:pPr>
        <w:pStyle w:val="BodyText"/>
        <w:rPr>
          <w:sz w:val="20"/>
        </w:rPr>
      </w:pPr>
    </w:p>
    <w:p w14:paraId="51DE946B" w14:textId="77777777" w:rsidR="0010369C" w:rsidRDefault="0010369C">
      <w:pPr>
        <w:pStyle w:val="BodyText"/>
        <w:rPr>
          <w:sz w:val="20"/>
        </w:rPr>
      </w:pPr>
    </w:p>
    <w:p w14:paraId="51DE946C" w14:textId="77777777" w:rsidR="0010369C" w:rsidRDefault="008E43AE">
      <w:pPr>
        <w:pStyle w:val="BodyText"/>
        <w:spacing w:before="8"/>
        <w:rPr>
          <w:sz w:val="15"/>
        </w:rPr>
      </w:pPr>
      <w:r>
        <w:pict w14:anchorId="51DEA63C">
          <v:rect id="docshape1231" o:spid="_x0000_s1194" style="position:absolute;margin-left:70.9pt;margin-top:10.8pt;width:2in;height:.8pt;z-index:-250760704;mso-wrap-distance-left:0;mso-wrap-distance-right:0;mso-position-horizontal-relative:page" fillcolor="black" stroked="f">
            <w10:wrap type="topAndBottom" anchorx="page"/>
          </v:rect>
        </w:pict>
      </w:r>
    </w:p>
    <w:p w14:paraId="51DE946D" w14:textId="77777777" w:rsidR="0010369C" w:rsidRDefault="008E43AE">
      <w:pPr>
        <w:spacing w:before="109"/>
        <w:ind w:left="238"/>
        <w:rPr>
          <w:sz w:val="18"/>
        </w:rPr>
      </w:pPr>
      <w:r>
        <w:rPr>
          <w:sz w:val="18"/>
          <w:vertAlign w:val="superscript"/>
        </w:rPr>
        <w:t>900</w:t>
      </w:r>
      <w:r>
        <w:rPr>
          <w:spacing w:val="-5"/>
          <w:sz w:val="18"/>
        </w:rPr>
        <w:t xml:space="preserve"> </w:t>
      </w:r>
      <w:r>
        <w:rPr>
          <w:sz w:val="18"/>
        </w:rPr>
        <w:t>Appellate</w:t>
      </w:r>
      <w:r>
        <w:rPr>
          <w:spacing w:val="-5"/>
          <w:sz w:val="18"/>
        </w:rPr>
        <w:t xml:space="preserve"> </w:t>
      </w:r>
      <w:r>
        <w:rPr>
          <w:sz w:val="18"/>
        </w:rPr>
        <w:t>Body</w:t>
      </w:r>
      <w:r>
        <w:rPr>
          <w:spacing w:val="-7"/>
          <w:sz w:val="18"/>
        </w:rPr>
        <w:t xml:space="preserve"> </w:t>
      </w:r>
      <w:r>
        <w:rPr>
          <w:sz w:val="18"/>
        </w:rPr>
        <w:t>Report,</w:t>
      </w:r>
      <w:r>
        <w:rPr>
          <w:spacing w:val="-5"/>
          <w:sz w:val="18"/>
        </w:rPr>
        <w:t xml:space="preserve"> </w:t>
      </w:r>
      <w:r>
        <w:rPr>
          <w:i/>
          <w:sz w:val="18"/>
        </w:rPr>
        <w:t>US</w:t>
      </w:r>
      <w:r>
        <w:rPr>
          <w:i/>
          <w:spacing w:val="-5"/>
          <w:sz w:val="18"/>
        </w:rPr>
        <w:t xml:space="preserve"> </w:t>
      </w:r>
      <w:r>
        <w:rPr>
          <w:i/>
          <w:sz w:val="18"/>
        </w:rPr>
        <w:t>–</w:t>
      </w:r>
      <w:r>
        <w:rPr>
          <w:i/>
          <w:spacing w:val="-5"/>
          <w:sz w:val="18"/>
        </w:rPr>
        <w:t xml:space="preserve"> </w:t>
      </w:r>
      <w:r>
        <w:rPr>
          <w:i/>
          <w:sz w:val="18"/>
        </w:rPr>
        <w:t>Offset</w:t>
      </w:r>
      <w:r>
        <w:rPr>
          <w:i/>
          <w:spacing w:val="-6"/>
          <w:sz w:val="18"/>
        </w:rPr>
        <w:t xml:space="preserve"> </w:t>
      </w:r>
      <w:r>
        <w:rPr>
          <w:i/>
          <w:sz w:val="18"/>
        </w:rPr>
        <w:t>Act</w:t>
      </w:r>
      <w:r>
        <w:rPr>
          <w:i/>
          <w:spacing w:val="-6"/>
          <w:sz w:val="18"/>
        </w:rPr>
        <w:t xml:space="preserve"> </w:t>
      </w:r>
      <w:r>
        <w:rPr>
          <w:i/>
          <w:sz w:val="18"/>
        </w:rPr>
        <w:t>(Byrd</w:t>
      </w:r>
      <w:r>
        <w:rPr>
          <w:i/>
          <w:spacing w:val="-5"/>
          <w:sz w:val="18"/>
        </w:rPr>
        <w:t xml:space="preserve"> </w:t>
      </w:r>
      <w:r>
        <w:rPr>
          <w:i/>
          <w:sz w:val="18"/>
        </w:rPr>
        <w:t>Amendment)</w:t>
      </w:r>
      <w:r>
        <w:rPr>
          <w:sz w:val="18"/>
        </w:rPr>
        <w:t>,</w:t>
      </w:r>
      <w:r>
        <w:rPr>
          <w:spacing w:val="-6"/>
          <w:sz w:val="18"/>
        </w:rPr>
        <w:t xml:space="preserve"> </w:t>
      </w:r>
      <w:r>
        <w:rPr>
          <w:sz w:val="18"/>
        </w:rPr>
        <w:t>para.</w:t>
      </w:r>
      <w:r>
        <w:rPr>
          <w:spacing w:val="-6"/>
          <w:sz w:val="18"/>
        </w:rPr>
        <w:t xml:space="preserve"> </w:t>
      </w:r>
      <w:r>
        <w:rPr>
          <w:spacing w:val="-4"/>
          <w:sz w:val="18"/>
        </w:rPr>
        <w:t>289.</w:t>
      </w:r>
    </w:p>
    <w:p w14:paraId="51DE946E" w14:textId="77777777" w:rsidR="0010369C" w:rsidRDefault="008E43AE">
      <w:pPr>
        <w:ind w:left="238"/>
        <w:rPr>
          <w:sz w:val="18"/>
        </w:rPr>
      </w:pPr>
      <w:r>
        <w:rPr>
          <w:sz w:val="18"/>
          <w:vertAlign w:val="superscript"/>
        </w:rPr>
        <w:t>901</w:t>
      </w:r>
      <w:r>
        <w:rPr>
          <w:spacing w:val="-8"/>
          <w:sz w:val="18"/>
        </w:rPr>
        <w:t xml:space="preserve"> </w:t>
      </w:r>
      <w:r>
        <w:rPr>
          <w:sz w:val="18"/>
        </w:rPr>
        <w:t>Australian</w:t>
      </w:r>
      <w:r>
        <w:rPr>
          <w:spacing w:val="-9"/>
          <w:sz w:val="18"/>
        </w:rPr>
        <w:t xml:space="preserve"> </w:t>
      </w:r>
      <w:r>
        <w:rPr>
          <w:sz w:val="18"/>
        </w:rPr>
        <w:t>Government</w:t>
      </w:r>
      <w:r>
        <w:rPr>
          <w:spacing w:val="-9"/>
          <w:sz w:val="18"/>
        </w:rPr>
        <w:t xml:space="preserve"> </w:t>
      </w:r>
      <w:r>
        <w:rPr>
          <w:sz w:val="18"/>
        </w:rPr>
        <w:t>Submission</w:t>
      </w:r>
      <w:r>
        <w:rPr>
          <w:spacing w:val="-7"/>
          <w:sz w:val="18"/>
        </w:rPr>
        <w:t xml:space="preserve"> </w:t>
      </w:r>
      <w:r>
        <w:rPr>
          <w:sz w:val="18"/>
        </w:rPr>
        <w:t>on</w:t>
      </w:r>
      <w:r>
        <w:rPr>
          <w:spacing w:val="-8"/>
          <w:sz w:val="18"/>
        </w:rPr>
        <w:t xml:space="preserve"> </w:t>
      </w:r>
      <w:r>
        <w:rPr>
          <w:sz w:val="18"/>
        </w:rPr>
        <w:t>Initiation</w:t>
      </w:r>
      <w:r>
        <w:rPr>
          <w:spacing w:val="-7"/>
          <w:sz w:val="18"/>
        </w:rPr>
        <w:t xml:space="preserve"> </w:t>
      </w:r>
      <w:r>
        <w:rPr>
          <w:sz w:val="18"/>
        </w:rPr>
        <w:t>(Exhibit</w:t>
      </w:r>
      <w:r>
        <w:rPr>
          <w:spacing w:val="-8"/>
          <w:sz w:val="18"/>
        </w:rPr>
        <w:t xml:space="preserve"> </w:t>
      </w:r>
      <w:r>
        <w:rPr>
          <w:sz w:val="18"/>
        </w:rPr>
        <w:t>AUS‐87),</w:t>
      </w:r>
      <w:r>
        <w:rPr>
          <w:spacing w:val="-8"/>
          <w:sz w:val="18"/>
        </w:rPr>
        <w:t xml:space="preserve"> </w:t>
      </w:r>
      <w:r>
        <w:rPr>
          <w:sz w:val="18"/>
        </w:rPr>
        <w:t>pp.</w:t>
      </w:r>
      <w:r>
        <w:rPr>
          <w:spacing w:val="-8"/>
          <w:sz w:val="18"/>
        </w:rPr>
        <w:t xml:space="preserve"> </w:t>
      </w:r>
      <w:r>
        <w:rPr>
          <w:spacing w:val="-4"/>
          <w:sz w:val="18"/>
        </w:rPr>
        <w:t>6‐7.</w:t>
      </w:r>
    </w:p>
    <w:p w14:paraId="51DE946F" w14:textId="77777777" w:rsidR="0010369C" w:rsidRDefault="0010369C">
      <w:pPr>
        <w:rPr>
          <w:sz w:val="18"/>
        </w:rPr>
        <w:sectPr w:rsidR="0010369C">
          <w:headerReference w:type="default" r:id="rId1000"/>
          <w:footerReference w:type="default" r:id="rId1001"/>
          <w:pgSz w:w="11910" w:h="16840"/>
          <w:pgMar w:top="880" w:right="800" w:bottom="980" w:left="1180" w:header="569" w:footer="788" w:gutter="0"/>
          <w:cols w:space="720"/>
        </w:sectPr>
      </w:pPr>
    </w:p>
    <w:p w14:paraId="51DE9470" w14:textId="77777777" w:rsidR="0010369C" w:rsidRDefault="0010369C">
      <w:pPr>
        <w:pStyle w:val="BodyText"/>
        <w:spacing w:before="4"/>
        <w:rPr>
          <w:sz w:val="23"/>
        </w:rPr>
      </w:pPr>
    </w:p>
    <w:tbl>
      <w:tblPr>
        <w:tblW w:w="0" w:type="auto"/>
        <w:tblInd w:w="196" w:type="dxa"/>
        <w:tblLayout w:type="fixed"/>
        <w:tblCellMar>
          <w:left w:w="0" w:type="dxa"/>
          <w:right w:w="0" w:type="dxa"/>
        </w:tblCellMar>
        <w:tblLook w:val="01E0" w:firstRow="1" w:lastRow="1" w:firstColumn="1" w:lastColumn="1" w:noHBand="0" w:noVBand="0"/>
      </w:tblPr>
      <w:tblGrid>
        <w:gridCol w:w="2610"/>
        <w:gridCol w:w="482"/>
        <w:gridCol w:w="2276"/>
        <w:gridCol w:w="812"/>
        <w:gridCol w:w="398"/>
        <w:gridCol w:w="2591"/>
      </w:tblGrid>
      <w:tr w:rsidR="0010369C" w14:paraId="51DE9475" w14:textId="77777777">
        <w:trPr>
          <w:trHeight w:val="1586"/>
        </w:trPr>
        <w:tc>
          <w:tcPr>
            <w:tcW w:w="3092" w:type="dxa"/>
            <w:gridSpan w:val="2"/>
          </w:tcPr>
          <w:p w14:paraId="51DE9471" w14:textId="77777777" w:rsidR="0010369C" w:rsidRDefault="008E43AE">
            <w:pPr>
              <w:pStyle w:val="TableParagraph"/>
              <w:spacing w:line="204" w:lineRule="exact"/>
              <w:ind w:left="50"/>
              <w:rPr>
                <w:sz w:val="20"/>
              </w:rPr>
            </w:pPr>
            <w:r>
              <w:rPr>
                <w:i/>
                <w:sz w:val="20"/>
              </w:rPr>
              <w:t>on</w:t>
            </w:r>
            <w:r>
              <w:rPr>
                <w:i/>
                <w:spacing w:val="-1"/>
                <w:sz w:val="20"/>
              </w:rPr>
              <w:t xml:space="preserve"> </w:t>
            </w:r>
            <w:r>
              <w:rPr>
                <w:i/>
                <w:sz w:val="20"/>
              </w:rPr>
              <w:t>Wine</w:t>
            </w:r>
            <w:r>
              <w:rPr>
                <w:i/>
                <w:spacing w:val="-1"/>
                <w:sz w:val="20"/>
              </w:rPr>
              <w:t xml:space="preserve"> </w:t>
            </w:r>
            <w:r>
              <w:rPr>
                <w:i/>
                <w:sz w:val="20"/>
              </w:rPr>
              <w:t>from</w:t>
            </w:r>
            <w:r>
              <w:rPr>
                <w:i/>
                <w:spacing w:val="-3"/>
                <w:sz w:val="20"/>
              </w:rPr>
              <w:t xml:space="preserve"> </w:t>
            </w:r>
            <w:r>
              <w:rPr>
                <w:i/>
                <w:sz w:val="20"/>
              </w:rPr>
              <w:t>Australia</w:t>
            </w:r>
            <w:r>
              <w:rPr>
                <w:i/>
                <w:spacing w:val="-1"/>
                <w:sz w:val="20"/>
              </w:rPr>
              <w:t xml:space="preserve"> </w:t>
            </w:r>
            <w:r>
              <w:rPr>
                <w:spacing w:val="-2"/>
                <w:sz w:val="20"/>
              </w:rPr>
              <w:t>(DS602)</w:t>
            </w:r>
          </w:p>
          <w:p w14:paraId="51DE9472" w14:textId="77777777" w:rsidR="0010369C" w:rsidRDefault="008E43AE">
            <w:pPr>
              <w:pStyle w:val="TableParagraph"/>
              <w:spacing w:before="34"/>
              <w:ind w:left="2601"/>
              <w:rPr>
                <w:sz w:val="24"/>
              </w:rPr>
            </w:pPr>
            <w:r>
              <w:rPr>
                <w:spacing w:val="-5"/>
                <w:sz w:val="24"/>
                <w:u w:val="single"/>
              </w:rPr>
              <w:t>(b)</w:t>
            </w:r>
          </w:p>
        </w:tc>
        <w:tc>
          <w:tcPr>
            <w:tcW w:w="6077" w:type="dxa"/>
            <w:gridSpan w:val="4"/>
          </w:tcPr>
          <w:p w14:paraId="51DE9473" w14:textId="77777777" w:rsidR="0010369C" w:rsidRDefault="008E43AE">
            <w:pPr>
              <w:pStyle w:val="TableParagraph"/>
              <w:spacing w:line="204" w:lineRule="exact"/>
              <w:ind w:right="45"/>
              <w:jc w:val="right"/>
              <w:rPr>
                <w:sz w:val="20"/>
              </w:rPr>
            </w:pPr>
            <w:r>
              <w:rPr>
                <w:sz w:val="20"/>
              </w:rPr>
              <w:t>29</w:t>
            </w:r>
            <w:r>
              <w:rPr>
                <w:spacing w:val="-1"/>
                <w:sz w:val="20"/>
              </w:rPr>
              <w:t xml:space="preserve"> </w:t>
            </w:r>
            <w:r>
              <w:rPr>
                <w:sz w:val="20"/>
              </w:rPr>
              <w:t>April</w:t>
            </w:r>
            <w:r>
              <w:rPr>
                <w:spacing w:val="-2"/>
                <w:sz w:val="20"/>
              </w:rPr>
              <w:t xml:space="preserve"> </w:t>
            </w:r>
            <w:r>
              <w:rPr>
                <w:spacing w:val="-4"/>
                <w:sz w:val="20"/>
              </w:rPr>
              <w:t>2022</w:t>
            </w:r>
          </w:p>
          <w:p w14:paraId="51DE9474" w14:textId="77777777" w:rsidR="0010369C" w:rsidRDefault="008E43AE">
            <w:pPr>
              <w:pStyle w:val="TableParagraph"/>
              <w:spacing w:before="34" w:line="360" w:lineRule="auto"/>
              <w:ind w:left="361" w:right="46"/>
              <w:jc w:val="both"/>
              <w:rPr>
                <w:sz w:val="24"/>
              </w:rPr>
            </w:pPr>
            <w:r>
              <w:rPr>
                <w:sz w:val="24"/>
                <w:u w:val="single"/>
              </w:rPr>
              <w:t>Unreliability</w:t>
            </w:r>
            <w:r>
              <w:rPr>
                <w:spacing w:val="-1"/>
                <w:sz w:val="24"/>
                <w:u w:val="single"/>
              </w:rPr>
              <w:t xml:space="preserve"> </w:t>
            </w:r>
            <w:r>
              <w:rPr>
                <w:sz w:val="24"/>
                <w:u w:val="single"/>
              </w:rPr>
              <w:t>of evidence relied upon by CADA to establish</w:t>
            </w:r>
            <w:r>
              <w:rPr>
                <w:sz w:val="24"/>
              </w:rPr>
              <w:t xml:space="preserve"> </w:t>
            </w:r>
            <w:r>
              <w:rPr>
                <w:sz w:val="24"/>
                <w:u w:val="single"/>
              </w:rPr>
              <w:t>the total output of its members and the total domestic</w:t>
            </w:r>
            <w:r>
              <w:rPr>
                <w:sz w:val="24"/>
              </w:rPr>
              <w:t xml:space="preserve"> </w:t>
            </w:r>
            <w:r>
              <w:rPr>
                <w:sz w:val="24"/>
                <w:u w:val="single"/>
              </w:rPr>
              <w:t>production value of like products</w:t>
            </w:r>
          </w:p>
        </w:tc>
      </w:tr>
      <w:tr w:rsidR="0010369C" w14:paraId="51DE947C" w14:textId="77777777">
        <w:trPr>
          <w:trHeight w:val="419"/>
        </w:trPr>
        <w:tc>
          <w:tcPr>
            <w:tcW w:w="2610" w:type="dxa"/>
          </w:tcPr>
          <w:p w14:paraId="51DE9476" w14:textId="77777777" w:rsidR="0010369C" w:rsidRDefault="008E43AE">
            <w:pPr>
              <w:pStyle w:val="TableParagraph"/>
              <w:spacing w:before="131" w:line="269" w:lineRule="exact"/>
              <w:ind w:left="899"/>
              <w:rPr>
                <w:sz w:val="24"/>
              </w:rPr>
            </w:pPr>
            <w:r>
              <w:rPr>
                <w:spacing w:val="-2"/>
                <w:sz w:val="24"/>
              </w:rPr>
              <w:t>Notwithstanding</w:t>
            </w:r>
          </w:p>
        </w:tc>
        <w:tc>
          <w:tcPr>
            <w:tcW w:w="482" w:type="dxa"/>
          </w:tcPr>
          <w:p w14:paraId="51DE9477" w14:textId="77777777" w:rsidR="0010369C" w:rsidRDefault="008E43AE">
            <w:pPr>
              <w:pStyle w:val="TableParagraph"/>
              <w:spacing w:before="131" w:line="269" w:lineRule="exact"/>
              <w:ind w:left="77"/>
              <w:rPr>
                <w:sz w:val="24"/>
              </w:rPr>
            </w:pPr>
            <w:r>
              <w:rPr>
                <w:spacing w:val="-5"/>
                <w:sz w:val="24"/>
              </w:rPr>
              <w:t>the</w:t>
            </w:r>
          </w:p>
        </w:tc>
        <w:tc>
          <w:tcPr>
            <w:tcW w:w="2276" w:type="dxa"/>
          </w:tcPr>
          <w:p w14:paraId="51DE9478" w14:textId="77777777" w:rsidR="0010369C" w:rsidRDefault="008E43AE">
            <w:pPr>
              <w:pStyle w:val="TableParagraph"/>
              <w:spacing w:before="131" w:line="269" w:lineRule="exact"/>
              <w:ind w:left="79"/>
              <w:rPr>
                <w:sz w:val="24"/>
              </w:rPr>
            </w:pPr>
            <w:r>
              <w:rPr>
                <w:sz w:val="24"/>
              </w:rPr>
              <w:t>deficiencies</w:t>
            </w:r>
            <w:r>
              <w:rPr>
                <w:spacing w:val="59"/>
                <w:w w:val="150"/>
                <w:sz w:val="24"/>
              </w:rPr>
              <w:t xml:space="preserve"> </w:t>
            </w:r>
            <w:r>
              <w:rPr>
                <w:spacing w:val="-2"/>
                <w:sz w:val="24"/>
              </w:rPr>
              <w:t>outlined</w:t>
            </w:r>
          </w:p>
        </w:tc>
        <w:tc>
          <w:tcPr>
            <w:tcW w:w="812" w:type="dxa"/>
          </w:tcPr>
          <w:p w14:paraId="51DE9479" w14:textId="77777777" w:rsidR="0010369C" w:rsidRDefault="008E43AE">
            <w:pPr>
              <w:pStyle w:val="TableParagraph"/>
              <w:spacing w:before="131" w:line="269" w:lineRule="exact"/>
              <w:ind w:left="79"/>
              <w:rPr>
                <w:sz w:val="24"/>
              </w:rPr>
            </w:pPr>
            <w:r>
              <w:rPr>
                <w:spacing w:val="-2"/>
                <w:sz w:val="24"/>
              </w:rPr>
              <w:t>above,</w:t>
            </w:r>
          </w:p>
        </w:tc>
        <w:tc>
          <w:tcPr>
            <w:tcW w:w="398" w:type="dxa"/>
          </w:tcPr>
          <w:p w14:paraId="51DE947A" w14:textId="77777777" w:rsidR="0010369C" w:rsidRDefault="008E43AE">
            <w:pPr>
              <w:pStyle w:val="TableParagraph"/>
              <w:spacing w:before="131" w:line="269" w:lineRule="exact"/>
              <w:ind w:left="80"/>
              <w:rPr>
                <w:sz w:val="24"/>
              </w:rPr>
            </w:pPr>
            <w:r>
              <w:rPr>
                <w:spacing w:val="-5"/>
                <w:sz w:val="24"/>
              </w:rPr>
              <w:t>an</w:t>
            </w:r>
          </w:p>
        </w:tc>
        <w:tc>
          <w:tcPr>
            <w:tcW w:w="2591" w:type="dxa"/>
          </w:tcPr>
          <w:p w14:paraId="51DE947B" w14:textId="77777777" w:rsidR="0010369C" w:rsidRDefault="008E43AE">
            <w:pPr>
              <w:pStyle w:val="TableParagraph"/>
              <w:spacing w:before="131" w:line="269" w:lineRule="exact"/>
              <w:ind w:left="80"/>
              <w:rPr>
                <w:sz w:val="24"/>
              </w:rPr>
            </w:pPr>
            <w:r>
              <w:rPr>
                <w:sz w:val="24"/>
              </w:rPr>
              <w:t>unbiased</w:t>
            </w:r>
            <w:r>
              <w:rPr>
                <w:spacing w:val="65"/>
                <w:w w:val="150"/>
                <w:sz w:val="24"/>
              </w:rPr>
              <w:t xml:space="preserve"> </w:t>
            </w:r>
            <w:r>
              <w:rPr>
                <w:sz w:val="24"/>
              </w:rPr>
              <w:t>and</w:t>
            </w:r>
            <w:r>
              <w:rPr>
                <w:spacing w:val="64"/>
                <w:w w:val="150"/>
                <w:sz w:val="24"/>
              </w:rPr>
              <w:t xml:space="preserve"> </w:t>
            </w:r>
            <w:r>
              <w:rPr>
                <w:spacing w:val="-2"/>
                <w:sz w:val="24"/>
              </w:rPr>
              <w:t>objective</w:t>
            </w:r>
          </w:p>
        </w:tc>
      </w:tr>
    </w:tbl>
    <w:p w14:paraId="51DE947D" w14:textId="77777777" w:rsidR="0010369C" w:rsidRDefault="0010369C">
      <w:pPr>
        <w:pStyle w:val="BodyText"/>
        <w:spacing w:before="1"/>
        <w:rPr>
          <w:sz w:val="8"/>
        </w:rPr>
      </w:pPr>
    </w:p>
    <w:p w14:paraId="51DE947E" w14:textId="77777777" w:rsidR="0010369C" w:rsidRDefault="008E43AE">
      <w:pPr>
        <w:pStyle w:val="BodyText"/>
        <w:spacing w:before="52" w:line="360" w:lineRule="auto"/>
        <w:ind w:left="237" w:right="614"/>
        <w:jc w:val="both"/>
      </w:pPr>
      <w:r>
        <w:rPr>
          <w:noProof/>
        </w:rPr>
        <w:drawing>
          <wp:anchor distT="0" distB="0" distL="0" distR="0" simplePos="0" relativeHeight="251354624" behindDoc="1" locked="0" layoutInCell="1" allowOverlap="1" wp14:anchorId="51DEA63D" wp14:editId="51DEA63E">
            <wp:simplePos x="0" y="0"/>
            <wp:positionH relativeFrom="page">
              <wp:posOffset>902208</wp:posOffset>
            </wp:positionH>
            <wp:positionV relativeFrom="paragraph">
              <wp:posOffset>-195418</wp:posOffset>
            </wp:positionV>
            <wp:extent cx="261191" cy="100393"/>
            <wp:effectExtent l="0" t="0" r="0" b="0"/>
            <wp:wrapNone/>
            <wp:docPr id="1471" name="image7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 name="image763.png"/>
                    <pic:cNvPicPr/>
                  </pic:nvPicPr>
                  <pic:blipFill>
                    <a:blip r:embed="rId1002" cstate="print"/>
                    <a:stretch>
                      <a:fillRect/>
                    </a:stretch>
                  </pic:blipFill>
                  <pic:spPr>
                    <a:xfrm>
                      <a:off x="0" y="0"/>
                      <a:ext cx="261191" cy="100393"/>
                    </a:xfrm>
                    <a:prstGeom prst="rect">
                      <a:avLst/>
                    </a:prstGeom>
                  </pic:spPr>
                </pic:pic>
              </a:graphicData>
            </a:graphic>
          </wp:anchor>
        </w:drawing>
      </w:r>
      <w:r>
        <w:t>investigating authority could not have determined that CADA's application was made on behalf of the domestic industry because the domestic production value of like products submitted by CADA was unreliable.</w:t>
      </w:r>
    </w:p>
    <w:p w14:paraId="51DE947F" w14:textId="77777777" w:rsidR="0010369C" w:rsidRDefault="008E43AE">
      <w:pPr>
        <w:pStyle w:val="BodyText"/>
        <w:spacing w:before="160" w:line="360" w:lineRule="auto"/>
        <w:ind w:left="237" w:right="612" w:firstLine="851"/>
        <w:jc w:val="both"/>
      </w:pPr>
      <w:r>
        <w:rPr>
          <w:noProof/>
        </w:rPr>
        <w:drawing>
          <wp:anchor distT="0" distB="0" distL="0" distR="0" simplePos="0" relativeHeight="251355648" behindDoc="1" locked="0" layoutInCell="1" allowOverlap="1" wp14:anchorId="51DEA63F" wp14:editId="51DEA640">
            <wp:simplePos x="0" y="0"/>
            <wp:positionH relativeFrom="page">
              <wp:posOffset>902208</wp:posOffset>
            </wp:positionH>
            <wp:positionV relativeFrom="paragraph">
              <wp:posOffset>150529</wp:posOffset>
            </wp:positionV>
            <wp:extent cx="262127" cy="100753"/>
            <wp:effectExtent l="0" t="0" r="0" b="0"/>
            <wp:wrapNone/>
            <wp:docPr id="1473" name="image7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 name="image764.png"/>
                    <pic:cNvPicPr/>
                  </pic:nvPicPr>
                  <pic:blipFill>
                    <a:blip r:embed="rId1003" cstate="print"/>
                    <a:stretch>
                      <a:fillRect/>
                    </a:stretch>
                  </pic:blipFill>
                  <pic:spPr>
                    <a:xfrm>
                      <a:off x="0" y="0"/>
                      <a:ext cx="262127" cy="100753"/>
                    </a:xfrm>
                    <a:prstGeom prst="rect">
                      <a:avLst/>
                    </a:prstGeom>
                  </pic:spPr>
                </pic:pic>
              </a:graphicData>
            </a:graphic>
          </wp:anchor>
        </w:drawing>
      </w:r>
      <w:r>
        <w:t>In</w:t>
      </w:r>
      <w:r>
        <w:rPr>
          <w:spacing w:val="-2"/>
        </w:rPr>
        <w:t xml:space="preserve"> </w:t>
      </w:r>
      <w:r>
        <w:t>its</w:t>
      </w:r>
      <w:r>
        <w:rPr>
          <w:spacing w:val="-2"/>
        </w:rPr>
        <w:t xml:space="preserve"> </w:t>
      </w:r>
      <w:r>
        <w:t>application,</w:t>
      </w:r>
      <w:r>
        <w:rPr>
          <w:spacing w:val="-1"/>
        </w:rPr>
        <w:t xml:space="preserve"> </w:t>
      </w:r>
      <w:r>
        <w:t>CADA</w:t>
      </w:r>
      <w:r>
        <w:rPr>
          <w:spacing w:val="-2"/>
        </w:rPr>
        <w:t xml:space="preserve"> </w:t>
      </w:r>
      <w:r>
        <w:t>alleged</w:t>
      </w:r>
      <w:r>
        <w:rPr>
          <w:spacing w:val="-2"/>
        </w:rPr>
        <w:t xml:space="preserve"> </w:t>
      </w:r>
      <w:r>
        <w:t>that</w:t>
      </w:r>
      <w:r>
        <w:rPr>
          <w:spacing w:val="-2"/>
        </w:rPr>
        <w:t xml:space="preserve"> </w:t>
      </w:r>
      <w:r>
        <w:t>the</w:t>
      </w:r>
      <w:r>
        <w:rPr>
          <w:spacing w:val="-1"/>
        </w:rPr>
        <w:t xml:space="preserve"> </w:t>
      </w:r>
      <w:r>
        <w:t>total</w:t>
      </w:r>
      <w:r>
        <w:rPr>
          <w:spacing w:val="-3"/>
        </w:rPr>
        <w:t xml:space="preserve"> </w:t>
      </w:r>
      <w:r>
        <w:t>output</w:t>
      </w:r>
      <w:r>
        <w:rPr>
          <w:spacing w:val="-1"/>
        </w:rPr>
        <w:t xml:space="preserve"> </w:t>
      </w:r>
      <w:r>
        <w:t>of</w:t>
      </w:r>
      <w:r>
        <w:rPr>
          <w:spacing w:val="-2"/>
        </w:rPr>
        <w:t xml:space="preserve"> </w:t>
      </w:r>
      <w:r>
        <w:t>like products</w:t>
      </w:r>
      <w:r>
        <w:rPr>
          <w:spacing w:val="-1"/>
        </w:rPr>
        <w:t xml:space="preserve"> </w:t>
      </w:r>
      <w:r>
        <w:t>represented</w:t>
      </w:r>
      <w:r>
        <w:rPr>
          <w:spacing w:val="-2"/>
        </w:rPr>
        <w:t xml:space="preserve"> </w:t>
      </w:r>
      <w:r>
        <w:t>by its</w:t>
      </w:r>
      <w:r>
        <w:rPr>
          <w:spacing w:val="-8"/>
        </w:rPr>
        <w:t xml:space="preserve"> </w:t>
      </w:r>
      <w:r>
        <w:t>member</w:t>
      </w:r>
      <w:r>
        <w:rPr>
          <w:spacing w:val="-9"/>
        </w:rPr>
        <w:t xml:space="preserve"> </w:t>
      </w:r>
      <w:r>
        <w:t>organisations</w:t>
      </w:r>
      <w:r>
        <w:rPr>
          <w:spacing w:val="-7"/>
        </w:rPr>
        <w:t xml:space="preserve"> </w:t>
      </w:r>
      <w:r>
        <w:t>accounted</w:t>
      </w:r>
      <w:r>
        <w:rPr>
          <w:spacing w:val="-9"/>
        </w:rPr>
        <w:t xml:space="preserve"> </w:t>
      </w:r>
      <w:r>
        <w:t>for</w:t>
      </w:r>
      <w:r>
        <w:rPr>
          <w:spacing w:val="-7"/>
        </w:rPr>
        <w:t xml:space="preserve"> </w:t>
      </w:r>
      <w:r>
        <w:t>53.40%,</w:t>
      </w:r>
      <w:r>
        <w:rPr>
          <w:spacing w:val="-7"/>
        </w:rPr>
        <w:t xml:space="preserve"> </w:t>
      </w:r>
      <w:r>
        <w:t>60.57%,</w:t>
      </w:r>
      <w:r>
        <w:rPr>
          <w:spacing w:val="-8"/>
        </w:rPr>
        <w:t xml:space="preserve"> </w:t>
      </w:r>
      <w:r>
        <w:t>70.68%,</w:t>
      </w:r>
      <w:r>
        <w:rPr>
          <w:spacing w:val="-8"/>
        </w:rPr>
        <w:t xml:space="preserve"> </w:t>
      </w:r>
      <w:r>
        <w:t>88.81%</w:t>
      </w:r>
      <w:r>
        <w:rPr>
          <w:spacing w:val="-8"/>
        </w:rPr>
        <w:t xml:space="preserve"> </w:t>
      </w:r>
      <w:r>
        <w:t>and</w:t>
      </w:r>
      <w:r>
        <w:rPr>
          <w:spacing w:val="-8"/>
        </w:rPr>
        <w:t xml:space="preserve"> </w:t>
      </w:r>
      <w:r>
        <w:t>84.16%</w:t>
      </w:r>
      <w:r>
        <w:rPr>
          <w:spacing w:val="-8"/>
        </w:rPr>
        <w:t xml:space="preserve"> </w:t>
      </w:r>
      <w:r>
        <w:t>of</w:t>
      </w:r>
      <w:r>
        <w:rPr>
          <w:spacing w:val="-8"/>
        </w:rPr>
        <w:t xml:space="preserve"> </w:t>
      </w:r>
      <w:r>
        <w:t>total domestic production of the like products for the period between 2015 and 2019.</w:t>
      </w:r>
      <w:r>
        <w:rPr>
          <w:vertAlign w:val="superscript"/>
        </w:rPr>
        <w:t>902</w:t>
      </w:r>
      <w:r>
        <w:t xml:space="preserve"> CADA's written</w:t>
      </w:r>
      <w:r>
        <w:rPr>
          <w:spacing w:val="-3"/>
        </w:rPr>
        <w:t xml:space="preserve"> </w:t>
      </w:r>
      <w:r>
        <w:t>application</w:t>
      </w:r>
      <w:r>
        <w:rPr>
          <w:spacing w:val="-3"/>
        </w:rPr>
        <w:t xml:space="preserve"> </w:t>
      </w:r>
      <w:r>
        <w:t>indicated</w:t>
      </w:r>
      <w:r>
        <w:rPr>
          <w:spacing w:val="-2"/>
        </w:rPr>
        <w:t xml:space="preserve"> </w:t>
      </w:r>
      <w:r>
        <w:t>th</w:t>
      </w:r>
      <w:r>
        <w:t>at</w:t>
      </w:r>
      <w:r>
        <w:rPr>
          <w:spacing w:val="-3"/>
        </w:rPr>
        <w:t xml:space="preserve"> </w:t>
      </w:r>
      <w:r>
        <w:t>the</w:t>
      </w:r>
      <w:r>
        <w:rPr>
          <w:spacing w:val="-2"/>
        </w:rPr>
        <w:t xml:space="preserve"> </w:t>
      </w:r>
      <w:r>
        <w:t>overall</w:t>
      </w:r>
      <w:r>
        <w:rPr>
          <w:spacing w:val="-2"/>
        </w:rPr>
        <w:t xml:space="preserve"> </w:t>
      </w:r>
      <w:r>
        <w:t>output</w:t>
      </w:r>
      <w:r>
        <w:rPr>
          <w:spacing w:val="-2"/>
        </w:rPr>
        <w:t xml:space="preserve"> </w:t>
      </w:r>
      <w:r>
        <w:t>of</w:t>
      </w:r>
      <w:r>
        <w:rPr>
          <w:spacing w:val="-3"/>
        </w:rPr>
        <w:t xml:space="preserve"> </w:t>
      </w:r>
      <w:r>
        <w:t>domestic</w:t>
      </w:r>
      <w:r>
        <w:rPr>
          <w:spacing w:val="-1"/>
        </w:rPr>
        <w:t xml:space="preserve"> </w:t>
      </w:r>
      <w:r>
        <w:t>wines</w:t>
      </w:r>
      <w:r>
        <w:rPr>
          <w:spacing w:val="-3"/>
        </w:rPr>
        <w:t xml:space="preserve"> </w:t>
      </w:r>
      <w:r>
        <w:t>was</w:t>
      </w:r>
      <w:r>
        <w:rPr>
          <w:spacing w:val="-3"/>
        </w:rPr>
        <w:t xml:space="preserve"> </w:t>
      </w:r>
      <w:r>
        <w:t>1.1611</w:t>
      </w:r>
      <w:r>
        <w:rPr>
          <w:spacing w:val="-2"/>
        </w:rPr>
        <w:t xml:space="preserve"> </w:t>
      </w:r>
      <w:r>
        <w:t>million</w:t>
      </w:r>
      <w:r>
        <w:rPr>
          <w:spacing w:val="-3"/>
        </w:rPr>
        <w:t xml:space="preserve"> </w:t>
      </w:r>
      <w:r>
        <w:t>kl, 1.0566</w:t>
      </w:r>
      <w:r>
        <w:rPr>
          <w:spacing w:val="-1"/>
        </w:rPr>
        <w:t xml:space="preserve"> </w:t>
      </w:r>
      <w:r>
        <w:t>million</w:t>
      </w:r>
      <w:r>
        <w:rPr>
          <w:spacing w:val="-2"/>
        </w:rPr>
        <w:t xml:space="preserve"> </w:t>
      </w:r>
      <w:r>
        <w:t>kl,</w:t>
      </w:r>
      <w:r>
        <w:rPr>
          <w:spacing w:val="-2"/>
        </w:rPr>
        <w:t xml:space="preserve"> </w:t>
      </w:r>
      <w:r>
        <w:t>679,100</w:t>
      </w:r>
      <w:r>
        <w:rPr>
          <w:spacing w:val="-2"/>
        </w:rPr>
        <w:t xml:space="preserve"> </w:t>
      </w:r>
      <w:r>
        <w:t>kl, 506,700</w:t>
      </w:r>
      <w:r>
        <w:rPr>
          <w:spacing w:val="-2"/>
        </w:rPr>
        <w:t xml:space="preserve"> </w:t>
      </w:r>
      <w:r>
        <w:t>kl</w:t>
      </w:r>
      <w:r>
        <w:rPr>
          <w:spacing w:val="-2"/>
        </w:rPr>
        <w:t xml:space="preserve"> </w:t>
      </w:r>
      <w:r>
        <w:t>and 451,500</w:t>
      </w:r>
      <w:r>
        <w:rPr>
          <w:spacing w:val="-1"/>
        </w:rPr>
        <w:t xml:space="preserve"> </w:t>
      </w:r>
      <w:r>
        <w:t>kl</w:t>
      </w:r>
      <w:r>
        <w:rPr>
          <w:spacing w:val="-2"/>
        </w:rPr>
        <w:t xml:space="preserve"> </w:t>
      </w:r>
      <w:r>
        <w:t>for the</w:t>
      </w:r>
      <w:r>
        <w:rPr>
          <w:spacing w:val="-1"/>
        </w:rPr>
        <w:t xml:space="preserve"> </w:t>
      </w:r>
      <w:r>
        <w:t>same</w:t>
      </w:r>
      <w:r>
        <w:rPr>
          <w:spacing w:val="-1"/>
        </w:rPr>
        <w:t xml:space="preserve"> </w:t>
      </w:r>
      <w:r>
        <w:t>period.</w:t>
      </w:r>
      <w:r>
        <w:rPr>
          <w:vertAlign w:val="superscript"/>
        </w:rPr>
        <w:t>903</w:t>
      </w:r>
      <w:r>
        <w:rPr>
          <w:spacing w:val="-2"/>
        </w:rPr>
        <w:t xml:space="preserve"> </w:t>
      </w:r>
      <w:r>
        <w:t>CADA</w:t>
      </w:r>
      <w:r>
        <w:rPr>
          <w:spacing w:val="-1"/>
        </w:rPr>
        <w:t xml:space="preserve"> </w:t>
      </w:r>
      <w:r>
        <w:t>claimed to have gathered the data on the total output of domestic like products from the National Bureau of Statistics.</w:t>
      </w:r>
      <w:r>
        <w:rPr>
          <w:vertAlign w:val="superscript"/>
        </w:rPr>
        <w:t>904</w:t>
      </w:r>
    </w:p>
    <w:p w14:paraId="51DE9480" w14:textId="77777777" w:rsidR="0010369C" w:rsidRDefault="008E43AE">
      <w:pPr>
        <w:pStyle w:val="BodyText"/>
        <w:spacing w:before="160" w:line="360" w:lineRule="auto"/>
        <w:ind w:left="237" w:right="614" w:firstLine="851"/>
        <w:jc w:val="both"/>
      </w:pPr>
      <w:r>
        <w:rPr>
          <w:noProof/>
        </w:rPr>
        <w:drawing>
          <wp:anchor distT="0" distB="0" distL="0" distR="0" simplePos="0" relativeHeight="251356672" behindDoc="1" locked="0" layoutInCell="1" allowOverlap="1" wp14:anchorId="51DEA641" wp14:editId="51DEA642">
            <wp:simplePos x="0" y="0"/>
            <wp:positionH relativeFrom="page">
              <wp:posOffset>902208</wp:posOffset>
            </wp:positionH>
            <wp:positionV relativeFrom="paragraph">
              <wp:posOffset>149937</wp:posOffset>
            </wp:positionV>
            <wp:extent cx="262127" cy="103631"/>
            <wp:effectExtent l="0" t="0" r="0" b="0"/>
            <wp:wrapNone/>
            <wp:docPr id="1475" name="image7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 name="image765.png"/>
                    <pic:cNvPicPr/>
                  </pic:nvPicPr>
                  <pic:blipFill>
                    <a:blip r:embed="rId1004" cstate="print"/>
                    <a:stretch>
                      <a:fillRect/>
                    </a:stretch>
                  </pic:blipFill>
                  <pic:spPr>
                    <a:xfrm>
                      <a:off x="0" y="0"/>
                      <a:ext cx="262127" cy="103631"/>
                    </a:xfrm>
                    <a:prstGeom prst="rect">
                      <a:avLst/>
                    </a:prstGeom>
                  </pic:spPr>
                </pic:pic>
              </a:graphicData>
            </a:graphic>
          </wp:anchor>
        </w:drawing>
      </w:r>
      <w:r>
        <w:t>These assertions were unsubstantiated by relevant evidence. In Annexes 3 and 5 to its application, which set out the details of these figures, CADA explained that both sets of figures</w:t>
      </w:r>
      <w:r>
        <w:rPr>
          <w:spacing w:val="-11"/>
        </w:rPr>
        <w:t xml:space="preserve"> </w:t>
      </w:r>
      <w:r>
        <w:t>are</w:t>
      </w:r>
      <w:r>
        <w:rPr>
          <w:spacing w:val="-10"/>
        </w:rPr>
        <w:t xml:space="preserve"> </w:t>
      </w:r>
      <w:r>
        <w:t>based</w:t>
      </w:r>
      <w:r>
        <w:rPr>
          <w:spacing w:val="-11"/>
        </w:rPr>
        <w:t xml:space="preserve"> </w:t>
      </w:r>
      <w:r>
        <w:t>on</w:t>
      </w:r>
      <w:r>
        <w:rPr>
          <w:spacing w:val="-11"/>
        </w:rPr>
        <w:t xml:space="preserve"> </w:t>
      </w:r>
      <w:r>
        <w:rPr>
          <w:i/>
        </w:rPr>
        <w:t>total</w:t>
      </w:r>
      <w:r>
        <w:rPr>
          <w:i/>
          <w:spacing w:val="-10"/>
        </w:rPr>
        <w:t xml:space="preserve"> </w:t>
      </w:r>
      <w:r>
        <w:t>wine</w:t>
      </w:r>
      <w:r>
        <w:rPr>
          <w:spacing w:val="-10"/>
        </w:rPr>
        <w:t xml:space="preserve"> </w:t>
      </w:r>
      <w:r>
        <w:t>production</w:t>
      </w:r>
      <w:r>
        <w:rPr>
          <w:spacing w:val="-11"/>
        </w:rPr>
        <w:t xml:space="preserve"> </w:t>
      </w:r>
      <w:r>
        <w:t>by</w:t>
      </w:r>
      <w:r>
        <w:rPr>
          <w:spacing w:val="-10"/>
        </w:rPr>
        <w:t xml:space="preserve"> </w:t>
      </w:r>
      <w:r>
        <w:t>domestic</w:t>
      </w:r>
      <w:r>
        <w:rPr>
          <w:spacing w:val="-10"/>
        </w:rPr>
        <w:t xml:space="preserve"> </w:t>
      </w:r>
      <w:r>
        <w:t>producers,</w:t>
      </w:r>
      <w:r>
        <w:rPr>
          <w:spacing w:val="-10"/>
        </w:rPr>
        <w:t xml:space="preserve"> </w:t>
      </w:r>
      <w:r>
        <w:t>rather</w:t>
      </w:r>
      <w:r>
        <w:rPr>
          <w:spacing w:val="-11"/>
        </w:rPr>
        <w:t xml:space="preserve"> </w:t>
      </w:r>
      <w:r>
        <w:t>than</w:t>
      </w:r>
      <w:r>
        <w:rPr>
          <w:spacing w:val="-11"/>
        </w:rPr>
        <w:t xml:space="preserve"> </w:t>
      </w:r>
      <w:r>
        <w:t>th</w:t>
      </w:r>
      <w:r>
        <w:t>e</w:t>
      </w:r>
      <w:r>
        <w:rPr>
          <w:spacing w:val="-10"/>
        </w:rPr>
        <w:t xml:space="preserve"> </w:t>
      </w:r>
      <w:r>
        <w:t>production of the product under investigation. This meant that these metrics drew in a range of other products outside the scope of the investigation.</w:t>
      </w:r>
      <w:r>
        <w:rPr>
          <w:vertAlign w:val="superscript"/>
        </w:rPr>
        <w:t>905</w:t>
      </w:r>
    </w:p>
    <w:p w14:paraId="51DE9481" w14:textId="77777777" w:rsidR="0010369C" w:rsidRDefault="008E43AE">
      <w:pPr>
        <w:pStyle w:val="BodyText"/>
        <w:spacing w:before="160" w:line="360" w:lineRule="auto"/>
        <w:ind w:left="237" w:right="613" w:firstLine="851"/>
        <w:jc w:val="both"/>
      </w:pPr>
      <w:r>
        <w:rPr>
          <w:noProof/>
        </w:rPr>
        <w:drawing>
          <wp:anchor distT="0" distB="0" distL="0" distR="0" simplePos="0" relativeHeight="251357696" behindDoc="1" locked="0" layoutInCell="1" allowOverlap="1" wp14:anchorId="51DEA643" wp14:editId="51DEA644">
            <wp:simplePos x="0" y="0"/>
            <wp:positionH relativeFrom="page">
              <wp:posOffset>902208</wp:posOffset>
            </wp:positionH>
            <wp:positionV relativeFrom="paragraph">
              <wp:posOffset>149937</wp:posOffset>
            </wp:positionV>
            <wp:extent cx="262127" cy="103631"/>
            <wp:effectExtent l="0" t="0" r="0" b="0"/>
            <wp:wrapNone/>
            <wp:docPr id="1477" name="image7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 name="image766.png"/>
                    <pic:cNvPicPr/>
                  </pic:nvPicPr>
                  <pic:blipFill>
                    <a:blip r:embed="rId1005" cstate="print"/>
                    <a:stretch>
                      <a:fillRect/>
                    </a:stretch>
                  </pic:blipFill>
                  <pic:spPr>
                    <a:xfrm>
                      <a:off x="0" y="0"/>
                      <a:ext cx="262127" cy="103631"/>
                    </a:xfrm>
                    <a:prstGeom prst="rect">
                      <a:avLst/>
                    </a:prstGeom>
                  </pic:spPr>
                </pic:pic>
              </a:graphicData>
            </a:graphic>
          </wp:anchor>
        </w:drawing>
      </w:r>
      <w:r>
        <w:t>Further, CADA's calculation of the total domestic production that it used as the denominator for th</w:t>
      </w:r>
      <w:r>
        <w:t>is calculation was not actually the production data for all domestic wine producers in China. Rather, as CADA explained, only those domestic producers that had an annual main business income of more than RMB 20 million were included in the calculation. CAD</w:t>
      </w:r>
      <w:r>
        <w:t>A</w:t>
      </w:r>
      <w:r>
        <w:rPr>
          <w:spacing w:val="-2"/>
        </w:rPr>
        <w:t xml:space="preserve"> </w:t>
      </w:r>
      <w:r>
        <w:t>asserted</w:t>
      </w:r>
      <w:r>
        <w:rPr>
          <w:spacing w:val="-3"/>
        </w:rPr>
        <w:t xml:space="preserve"> </w:t>
      </w:r>
      <w:r>
        <w:t>–</w:t>
      </w:r>
      <w:r>
        <w:rPr>
          <w:spacing w:val="-2"/>
        </w:rPr>
        <w:t xml:space="preserve"> </w:t>
      </w:r>
      <w:r>
        <w:t>without</w:t>
      </w:r>
      <w:r>
        <w:rPr>
          <w:spacing w:val="-3"/>
        </w:rPr>
        <w:t xml:space="preserve"> </w:t>
      </w:r>
      <w:r>
        <w:t>explanation</w:t>
      </w:r>
      <w:r>
        <w:rPr>
          <w:spacing w:val="-4"/>
        </w:rPr>
        <w:t xml:space="preserve"> </w:t>
      </w:r>
      <w:r>
        <w:t>or</w:t>
      </w:r>
      <w:r>
        <w:rPr>
          <w:spacing w:val="-2"/>
        </w:rPr>
        <w:t xml:space="preserve"> </w:t>
      </w:r>
      <w:r>
        <w:t>evidence</w:t>
      </w:r>
      <w:r>
        <w:rPr>
          <w:spacing w:val="-3"/>
        </w:rPr>
        <w:t xml:space="preserve"> </w:t>
      </w:r>
      <w:r>
        <w:t>–</w:t>
      </w:r>
      <w:r>
        <w:rPr>
          <w:spacing w:val="-2"/>
        </w:rPr>
        <w:t xml:space="preserve"> </w:t>
      </w:r>
      <w:r>
        <w:t>that</w:t>
      </w:r>
      <w:r>
        <w:rPr>
          <w:spacing w:val="-3"/>
        </w:rPr>
        <w:t xml:space="preserve"> </w:t>
      </w:r>
      <w:r>
        <w:t>these</w:t>
      </w:r>
      <w:r>
        <w:rPr>
          <w:spacing w:val="-2"/>
        </w:rPr>
        <w:t xml:space="preserve"> </w:t>
      </w:r>
      <w:r>
        <w:t>producers</w:t>
      </w:r>
      <w:r>
        <w:rPr>
          <w:spacing w:val="-3"/>
        </w:rPr>
        <w:t xml:space="preserve"> </w:t>
      </w:r>
      <w:r>
        <w:t>represented</w:t>
      </w:r>
      <w:r>
        <w:rPr>
          <w:spacing w:val="-5"/>
        </w:rPr>
        <w:t xml:space="preserve"> </w:t>
      </w:r>
      <w:r>
        <w:t>90%</w:t>
      </w:r>
      <w:r>
        <w:rPr>
          <w:spacing w:val="-3"/>
        </w:rPr>
        <w:t xml:space="preserve"> </w:t>
      </w:r>
      <w:r>
        <w:t>of total domestic production.</w:t>
      </w:r>
      <w:r>
        <w:rPr>
          <w:vertAlign w:val="superscript"/>
        </w:rPr>
        <w:t>906</w:t>
      </w:r>
      <w:r>
        <w:t xml:space="preserve"> Even if CADA was able to substantiate its estimate that the production</w:t>
      </w:r>
      <w:r>
        <w:rPr>
          <w:spacing w:val="26"/>
        </w:rPr>
        <w:t xml:space="preserve"> </w:t>
      </w:r>
      <w:r>
        <w:t>output</w:t>
      </w:r>
      <w:r>
        <w:rPr>
          <w:spacing w:val="29"/>
        </w:rPr>
        <w:t xml:space="preserve"> </w:t>
      </w:r>
      <w:r>
        <w:t>in</w:t>
      </w:r>
      <w:r>
        <w:rPr>
          <w:spacing w:val="27"/>
        </w:rPr>
        <w:t xml:space="preserve"> </w:t>
      </w:r>
      <w:r>
        <w:t>Annex</w:t>
      </w:r>
      <w:r>
        <w:rPr>
          <w:spacing w:val="28"/>
        </w:rPr>
        <w:t xml:space="preserve"> </w:t>
      </w:r>
      <w:r>
        <w:t>5</w:t>
      </w:r>
      <w:r>
        <w:rPr>
          <w:spacing w:val="28"/>
        </w:rPr>
        <w:t xml:space="preserve"> </w:t>
      </w:r>
      <w:r>
        <w:t>represented</w:t>
      </w:r>
      <w:r>
        <w:rPr>
          <w:spacing w:val="27"/>
        </w:rPr>
        <w:t xml:space="preserve"> </w:t>
      </w:r>
      <w:r>
        <w:t>90%</w:t>
      </w:r>
      <w:r>
        <w:rPr>
          <w:spacing w:val="28"/>
        </w:rPr>
        <w:t xml:space="preserve"> </w:t>
      </w:r>
      <w:r>
        <w:t>of</w:t>
      </w:r>
      <w:r>
        <w:rPr>
          <w:spacing w:val="28"/>
        </w:rPr>
        <w:t xml:space="preserve"> </w:t>
      </w:r>
      <w:r>
        <w:t>total</w:t>
      </w:r>
      <w:r>
        <w:rPr>
          <w:spacing w:val="27"/>
        </w:rPr>
        <w:t xml:space="preserve"> </w:t>
      </w:r>
      <w:r>
        <w:t>domestic</w:t>
      </w:r>
      <w:r>
        <w:rPr>
          <w:spacing w:val="29"/>
        </w:rPr>
        <w:t xml:space="preserve"> </w:t>
      </w:r>
      <w:r>
        <w:t>production,</w:t>
      </w:r>
      <w:r>
        <w:rPr>
          <w:spacing w:val="29"/>
        </w:rPr>
        <w:t xml:space="preserve"> </w:t>
      </w:r>
      <w:r>
        <w:t>it</w:t>
      </w:r>
      <w:r>
        <w:rPr>
          <w:spacing w:val="25"/>
        </w:rPr>
        <w:t xml:space="preserve"> </w:t>
      </w:r>
      <w:r>
        <w:t>made</w:t>
      </w:r>
      <w:r>
        <w:rPr>
          <w:spacing w:val="29"/>
        </w:rPr>
        <w:t xml:space="preserve"> </w:t>
      </w:r>
      <w:r>
        <w:rPr>
          <w:spacing w:val="-5"/>
        </w:rPr>
        <w:t>no</w:t>
      </w:r>
    </w:p>
    <w:p w14:paraId="51DE9482" w14:textId="77777777" w:rsidR="0010369C" w:rsidRDefault="008E43AE">
      <w:pPr>
        <w:pStyle w:val="BodyText"/>
        <w:spacing w:before="5"/>
        <w:rPr>
          <w:sz w:val="20"/>
        </w:rPr>
      </w:pPr>
      <w:r>
        <w:pict w14:anchorId="51DEA645">
          <v:rect id="docshape1232" o:spid="_x0000_s1193" style="position:absolute;margin-left:70.9pt;margin-top:13.7pt;width:2in;height:.8pt;z-index:-250759680;mso-wrap-distance-left:0;mso-wrap-distance-right:0;mso-position-horizontal-relative:page" fillcolor="black" stroked="f">
            <w10:wrap type="topAndBottom" anchorx="page"/>
          </v:rect>
        </w:pict>
      </w:r>
    </w:p>
    <w:p w14:paraId="51DE9483" w14:textId="77777777" w:rsidR="0010369C" w:rsidRDefault="008E43AE">
      <w:pPr>
        <w:spacing w:before="109"/>
        <w:ind w:left="238"/>
        <w:rPr>
          <w:sz w:val="18"/>
        </w:rPr>
      </w:pPr>
      <w:r>
        <w:rPr>
          <w:sz w:val="18"/>
          <w:vertAlign w:val="superscript"/>
        </w:rPr>
        <w:t>902</w:t>
      </w:r>
      <w:r>
        <w:rPr>
          <w:spacing w:val="-9"/>
          <w:sz w:val="18"/>
        </w:rPr>
        <w:t xml:space="preserve"> </w:t>
      </w:r>
      <w:r>
        <w:rPr>
          <w:sz w:val="18"/>
        </w:rPr>
        <w:t>CADA</w:t>
      </w:r>
      <w:r>
        <w:rPr>
          <w:spacing w:val="-9"/>
          <w:sz w:val="18"/>
        </w:rPr>
        <w:t xml:space="preserve"> </w:t>
      </w:r>
      <w:r>
        <w:rPr>
          <w:sz w:val="18"/>
        </w:rPr>
        <w:t>Application</w:t>
      </w:r>
      <w:r>
        <w:rPr>
          <w:spacing w:val="-9"/>
          <w:sz w:val="18"/>
        </w:rPr>
        <w:t xml:space="preserve"> </w:t>
      </w:r>
      <w:r>
        <w:rPr>
          <w:sz w:val="18"/>
        </w:rPr>
        <w:t>for</w:t>
      </w:r>
      <w:r>
        <w:rPr>
          <w:spacing w:val="-9"/>
          <w:sz w:val="18"/>
        </w:rPr>
        <w:t xml:space="preserve"> </w:t>
      </w:r>
      <w:r>
        <w:rPr>
          <w:sz w:val="18"/>
        </w:rPr>
        <w:t>Anti‐Dumping</w:t>
      </w:r>
      <w:r>
        <w:rPr>
          <w:spacing w:val="-9"/>
          <w:sz w:val="18"/>
        </w:rPr>
        <w:t xml:space="preserve"> </w:t>
      </w:r>
      <w:r>
        <w:rPr>
          <w:sz w:val="18"/>
        </w:rPr>
        <w:t>investigation</w:t>
      </w:r>
      <w:r>
        <w:rPr>
          <w:spacing w:val="-9"/>
          <w:sz w:val="18"/>
        </w:rPr>
        <w:t xml:space="preserve"> </w:t>
      </w:r>
      <w:r>
        <w:rPr>
          <w:sz w:val="18"/>
        </w:rPr>
        <w:t>(Exhibit</w:t>
      </w:r>
      <w:r>
        <w:rPr>
          <w:spacing w:val="-9"/>
          <w:sz w:val="18"/>
        </w:rPr>
        <w:t xml:space="preserve"> </w:t>
      </w:r>
      <w:r>
        <w:rPr>
          <w:sz w:val="18"/>
        </w:rPr>
        <w:t>AUS‐64),</w:t>
      </w:r>
      <w:r>
        <w:rPr>
          <w:spacing w:val="-9"/>
          <w:sz w:val="18"/>
        </w:rPr>
        <w:t xml:space="preserve"> </w:t>
      </w:r>
      <w:r>
        <w:rPr>
          <w:sz w:val="18"/>
        </w:rPr>
        <w:t>p.</w:t>
      </w:r>
      <w:r>
        <w:rPr>
          <w:spacing w:val="-9"/>
          <w:sz w:val="18"/>
        </w:rPr>
        <w:t xml:space="preserve"> </w:t>
      </w:r>
      <w:r>
        <w:rPr>
          <w:spacing w:val="-5"/>
          <w:sz w:val="18"/>
        </w:rPr>
        <w:t>9.</w:t>
      </w:r>
    </w:p>
    <w:p w14:paraId="51DE9484" w14:textId="77777777" w:rsidR="0010369C" w:rsidRDefault="008E43AE">
      <w:pPr>
        <w:ind w:left="238"/>
        <w:rPr>
          <w:sz w:val="18"/>
        </w:rPr>
      </w:pPr>
      <w:r>
        <w:rPr>
          <w:sz w:val="18"/>
          <w:vertAlign w:val="superscript"/>
        </w:rPr>
        <w:t>903</w:t>
      </w:r>
      <w:r>
        <w:rPr>
          <w:spacing w:val="-9"/>
          <w:sz w:val="18"/>
        </w:rPr>
        <w:t xml:space="preserve"> </w:t>
      </w:r>
      <w:r>
        <w:rPr>
          <w:sz w:val="18"/>
        </w:rPr>
        <w:t>CADA</w:t>
      </w:r>
      <w:r>
        <w:rPr>
          <w:spacing w:val="-9"/>
          <w:sz w:val="18"/>
        </w:rPr>
        <w:t xml:space="preserve"> </w:t>
      </w:r>
      <w:r>
        <w:rPr>
          <w:sz w:val="18"/>
        </w:rPr>
        <w:t>Application</w:t>
      </w:r>
      <w:r>
        <w:rPr>
          <w:spacing w:val="-9"/>
          <w:sz w:val="18"/>
        </w:rPr>
        <w:t xml:space="preserve"> </w:t>
      </w:r>
      <w:r>
        <w:rPr>
          <w:sz w:val="18"/>
        </w:rPr>
        <w:t>for</w:t>
      </w:r>
      <w:r>
        <w:rPr>
          <w:spacing w:val="-9"/>
          <w:sz w:val="18"/>
        </w:rPr>
        <w:t xml:space="preserve"> </w:t>
      </w:r>
      <w:r>
        <w:rPr>
          <w:sz w:val="18"/>
        </w:rPr>
        <w:t>Anti‐Dumping</w:t>
      </w:r>
      <w:r>
        <w:rPr>
          <w:spacing w:val="-9"/>
          <w:sz w:val="18"/>
        </w:rPr>
        <w:t xml:space="preserve"> </w:t>
      </w:r>
      <w:r>
        <w:rPr>
          <w:sz w:val="18"/>
        </w:rPr>
        <w:t>investigation</w:t>
      </w:r>
      <w:r>
        <w:rPr>
          <w:spacing w:val="-9"/>
          <w:sz w:val="18"/>
        </w:rPr>
        <w:t xml:space="preserve"> </w:t>
      </w:r>
      <w:r>
        <w:rPr>
          <w:sz w:val="18"/>
        </w:rPr>
        <w:t>(Exhibit</w:t>
      </w:r>
      <w:r>
        <w:rPr>
          <w:spacing w:val="-9"/>
          <w:sz w:val="18"/>
        </w:rPr>
        <w:t xml:space="preserve"> </w:t>
      </w:r>
      <w:r>
        <w:rPr>
          <w:sz w:val="18"/>
        </w:rPr>
        <w:t>AUS‐64),</w:t>
      </w:r>
      <w:r>
        <w:rPr>
          <w:spacing w:val="-9"/>
          <w:sz w:val="18"/>
        </w:rPr>
        <w:t xml:space="preserve"> </w:t>
      </w:r>
      <w:r>
        <w:rPr>
          <w:sz w:val="18"/>
        </w:rPr>
        <w:t>p.</w:t>
      </w:r>
      <w:r>
        <w:rPr>
          <w:spacing w:val="-9"/>
          <w:sz w:val="18"/>
        </w:rPr>
        <w:t xml:space="preserve"> </w:t>
      </w:r>
      <w:r>
        <w:rPr>
          <w:spacing w:val="-5"/>
          <w:sz w:val="18"/>
        </w:rPr>
        <w:t>9.</w:t>
      </w:r>
    </w:p>
    <w:p w14:paraId="51DE9485" w14:textId="77777777" w:rsidR="0010369C" w:rsidRDefault="008E43AE">
      <w:pPr>
        <w:ind w:left="238" w:right="614" w:hanging="1"/>
        <w:rPr>
          <w:sz w:val="18"/>
        </w:rPr>
      </w:pPr>
      <w:r>
        <w:rPr>
          <w:sz w:val="18"/>
          <w:vertAlign w:val="superscript"/>
        </w:rPr>
        <w:t>904</w:t>
      </w:r>
      <w:r>
        <w:rPr>
          <w:spacing w:val="24"/>
          <w:sz w:val="18"/>
        </w:rPr>
        <w:t xml:space="preserve"> </w:t>
      </w:r>
      <w:r>
        <w:rPr>
          <w:sz w:val="18"/>
        </w:rPr>
        <w:t>CADA</w:t>
      </w:r>
      <w:r>
        <w:rPr>
          <w:spacing w:val="24"/>
          <w:sz w:val="18"/>
        </w:rPr>
        <w:t xml:space="preserve"> </w:t>
      </w:r>
      <w:r>
        <w:rPr>
          <w:sz w:val="18"/>
        </w:rPr>
        <w:t>Application</w:t>
      </w:r>
      <w:r>
        <w:rPr>
          <w:spacing w:val="23"/>
          <w:sz w:val="18"/>
        </w:rPr>
        <w:t xml:space="preserve"> </w:t>
      </w:r>
      <w:r>
        <w:rPr>
          <w:sz w:val="18"/>
        </w:rPr>
        <w:t>for</w:t>
      </w:r>
      <w:r>
        <w:rPr>
          <w:spacing w:val="23"/>
          <w:sz w:val="18"/>
        </w:rPr>
        <w:t xml:space="preserve"> </w:t>
      </w:r>
      <w:r>
        <w:rPr>
          <w:sz w:val="18"/>
        </w:rPr>
        <w:t>Anti‐Dumping</w:t>
      </w:r>
      <w:r>
        <w:rPr>
          <w:spacing w:val="24"/>
          <w:sz w:val="18"/>
        </w:rPr>
        <w:t xml:space="preserve"> </w:t>
      </w:r>
      <w:r>
        <w:rPr>
          <w:sz w:val="18"/>
        </w:rPr>
        <w:t>investigation</w:t>
      </w:r>
      <w:r>
        <w:rPr>
          <w:spacing w:val="24"/>
          <w:sz w:val="18"/>
        </w:rPr>
        <w:t xml:space="preserve"> </w:t>
      </w:r>
      <w:r>
        <w:rPr>
          <w:sz w:val="18"/>
        </w:rPr>
        <w:t>(Exhibit</w:t>
      </w:r>
      <w:r>
        <w:rPr>
          <w:spacing w:val="25"/>
          <w:sz w:val="18"/>
        </w:rPr>
        <w:t xml:space="preserve"> </w:t>
      </w:r>
      <w:r>
        <w:rPr>
          <w:sz w:val="18"/>
        </w:rPr>
        <w:t>AUS‐64),</w:t>
      </w:r>
      <w:r>
        <w:rPr>
          <w:spacing w:val="23"/>
          <w:sz w:val="18"/>
        </w:rPr>
        <w:t xml:space="preserve"> </w:t>
      </w:r>
      <w:r>
        <w:rPr>
          <w:sz w:val="18"/>
        </w:rPr>
        <w:t>CADA</w:t>
      </w:r>
      <w:r>
        <w:rPr>
          <w:spacing w:val="24"/>
          <w:sz w:val="18"/>
        </w:rPr>
        <w:t xml:space="preserve"> </w:t>
      </w:r>
      <w:r>
        <w:rPr>
          <w:sz w:val="18"/>
        </w:rPr>
        <w:t>Application</w:t>
      </w:r>
      <w:r>
        <w:rPr>
          <w:spacing w:val="23"/>
          <w:sz w:val="18"/>
        </w:rPr>
        <w:t xml:space="preserve"> </w:t>
      </w:r>
      <w:r>
        <w:rPr>
          <w:sz w:val="18"/>
        </w:rPr>
        <w:t>for</w:t>
      </w:r>
      <w:r>
        <w:rPr>
          <w:spacing w:val="23"/>
          <w:sz w:val="18"/>
        </w:rPr>
        <w:t xml:space="preserve"> </w:t>
      </w:r>
      <w:r>
        <w:rPr>
          <w:sz w:val="18"/>
        </w:rPr>
        <w:t>Anti‐Dumping</w:t>
      </w:r>
      <w:r>
        <w:rPr>
          <w:spacing w:val="24"/>
          <w:sz w:val="18"/>
        </w:rPr>
        <w:t xml:space="preserve"> </w:t>
      </w:r>
      <w:r>
        <w:rPr>
          <w:sz w:val="18"/>
        </w:rPr>
        <w:t>Investigation, Annexes 1‐12 (Part 1) (Exhibit AUS‐90), Annex 2.</w:t>
      </w:r>
    </w:p>
    <w:p w14:paraId="51DE9486" w14:textId="77777777" w:rsidR="0010369C" w:rsidRDefault="008E43AE">
      <w:pPr>
        <w:spacing w:before="1"/>
        <w:ind w:left="238" w:hanging="1"/>
        <w:rPr>
          <w:sz w:val="18"/>
        </w:rPr>
      </w:pPr>
      <w:r>
        <w:rPr>
          <w:sz w:val="18"/>
          <w:vertAlign w:val="superscript"/>
        </w:rPr>
        <w:t>905</w:t>
      </w:r>
      <w:r>
        <w:rPr>
          <w:spacing w:val="28"/>
          <w:sz w:val="18"/>
        </w:rPr>
        <w:t xml:space="preserve"> </w:t>
      </w:r>
      <w:r>
        <w:rPr>
          <w:sz w:val="18"/>
        </w:rPr>
        <w:t>Such</w:t>
      </w:r>
      <w:r>
        <w:rPr>
          <w:spacing w:val="29"/>
          <w:sz w:val="18"/>
        </w:rPr>
        <w:t xml:space="preserve"> </w:t>
      </w:r>
      <w:r>
        <w:rPr>
          <w:sz w:val="18"/>
        </w:rPr>
        <w:t>as</w:t>
      </w:r>
      <w:r>
        <w:rPr>
          <w:spacing w:val="28"/>
          <w:sz w:val="18"/>
        </w:rPr>
        <w:t xml:space="preserve"> </w:t>
      </w:r>
      <w:r>
        <w:rPr>
          <w:sz w:val="18"/>
        </w:rPr>
        <w:t>"liqueur</w:t>
      </w:r>
      <w:r>
        <w:rPr>
          <w:spacing w:val="27"/>
          <w:sz w:val="18"/>
        </w:rPr>
        <w:t xml:space="preserve"> </w:t>
      </w:r>
      <w:r>
        <w:rPr>
          <w:sz w:val="18"/>
        </w:rPr>
        <w:t>wines,</w:t>
      </w:r>
      <w:r>
        <w:rPr>
          <w:spacing w:val="27"/>
          <w:sz w:val="18"/>
        </w:rPr>
        <w:t xml:space="preserve"> </w:t>
      </w:r>
      <w:r>
        <w:rPr>
          <w:sz w:val="18"/>
        </w:rPr>
        <w:t>highly</w:t>
      </w:r>
      <w:r>
        <w:rPr>
          <w:spacing w:val="29"/>
          <w:sz w:val="18"/>
        </w:rPr>
        <w:t xml:space="preserve"> </w:t>
      </w:r>
      <w:r>
        <w:rPr>
          <w:sz w:val="18"/>
        </w:rPr>
        <w:t>carbonated</w:t>
      </w:r>
      <w:r>
        <w:rPr>
          <w:spacing w:val="28"/>
          <w:sz w:val="18"/>
        </w:rPr>
        <w:t xml:space="preserve"> </w:t>
      </w:r>
      <w:r>
        <w:rPr>
          <w:sz w:val="18"/>
        </w:rPr>
        <w:t>wines,</w:t>
      </w:r>
      <w:r>
        <w:rPr>
          <w:spacing w:val="27"/>
          <w:sz w:val="18"/>
        </w:rPr>
        <w:t xml:space="preserve"> </w:t>
      </w:r>
      <w:r>
        <w:rPr>
          <w:sz w:val="18"/>
        </w:rPr>
        <w:t>gasified</w:t>
      </w:r>
      <w:r>
        <w:rPr>
          <w:spacing w:val="28"/>
          <w:sz w:val="18"/>
        </w:rPr>
        <w:t xml:space="preserve"> </w:t>
      </w:r>
      <w:r>
        <w:rPr>
          <w:sz w:val="18"/>
        </w:rPr>
        <w:t>wine,</w:t>
      </w:r>
      <w:r>
        <w:rPr>
          <w:spacing w:val="28"/>
          <w:sz w:val="18"/>
        </w:rPr>
        <w:t xml:space="preserve"> </w:t>
      </w:r>
      <w:r>
        <w:rPr>
          <w:sz w:val="18"/>
        </w:rPr>
        <w:t>flavoured</w:t>
      </w:r>
      <w:r>
        <w:rPr>
          <w:spacing w:val="29"/>
          <w:sz w:val="18"/>
        </w:rPr>
        <w:t xml:space="preserve"> </w:t>
      </w:r>
      <w:r>
        <w:rPr>
          <w:sz w:val="18"/>
        </w:rPr>
        <w:t>wines,</w:t>
      </w:r>
      <w:r>
        <w:rPr>
          <w:spacing w:val="27"/>
          <w:sz w:val="18"/>
        </w:rPr>
        <w:t xml:space="preserve"> </w:t>
      </w:r>
      <w:r>
        <w:rPr>
          <w:sz w:val="18"/>
        </w:rPr>
        <w:t>distilled</w:t>
      </w:r>
      <w:r>
        <w:rPr>
          <w:spacing w:val="29"/>
          <w:sz w:val="18"/>
        </w:rPr>
        <w:t xml:space="preserve"> </w:t>
      </w:r>
      <w:r>
        <w:rPr>
          <w:sz w:val="18"/>
        </w:rPr>
        <w:t>wines</w:t>
      </w:r>
      <w:r>
        <w:rPr>
          <w:spacing w:val="29"/>
          <w:sz w:val="18"/>
        </w:rPr>
        <w:t xml:space="preserve"> </w:t>
      </w:r>
      <w:r>
        <w:rPr>
          <w:sz w:val="18"/>
        </w:rPr>
        <w:t>and</w:t>
      </w:r>
      <w:r>
        <w:rPr>
          <w:spacing w:val="27"/>
          <w:sz w:val="18"/>
        </w:rPr>
        <w:t xml:space="preserve"> </w:t>
      </w:r>
      <w:r>
        <w:rPr>
          <w:sz w:val="18"/>
        </w:rPr>
        <w:t>bulk</w:t>
      </w:r>
      <w:r>
        <w:rPr>
          <w:spacing w:val="28"/>
          <w:sz w:val="18"/>
        </w:rPr>
        <w:t xml:space="preserve"> </w:t>
      </w:r>
      <w:r>
        <w:rPr>
          <w:sz w:val="18"/>
        </w:rPr>
        <w:t>wines"</w:t>
      </w:r>
      <w:r>
        <w:rPr>
          <w:spacing w:val="27"/>
          <w:sz w:val="18"/>
        </w:rPr>
        <w:t xml:space="preserve"> </w:t>
      </w:r>
      <w:r>
        <w:rPr>
          <w:sz w:val="18"/>
        </w:rPr>
        <w:t>as determined in the Anti‐Dumping Final Determ</w:t>
      </w:r>
      <w:r>
        <w:rPr>
          <w:sz w:val="18"/>
        </w:rPr>
        <w:t>ination (Exhibit AUS‐2) p. 109.</w:t>
      </w:r>
    </w:p>
    <w:p w14:paraId="51DE9487" w14:textId="77777777" w:rsidR="0010369C" w:rsidRDefault="008E43AE">
      <w:pPr>
        <w:spacing w:line="219" w:lineRule="exact"/>
        <w:ind w:left="238"/>
        <w:rPr>
          <w:sz w:val="18"/>
        </w:rPr>
      </w:pPr>
      <w:r>
        <w:rPr>
          <w:sz w:val="18"/>
          <w:vertAlign w:val="superscript"/>
        </w:rPr>
        <w:t>906</w:t>
      </w:r>
      <w:r>
        <w:rPr>
          <w:spacing w:val="-8"/>
          <w:sz w:val="18"/>
        </w:rPr>
        <w:t xml:space="preserve"> </w:t>
      </w:r>
      <w:r>
        <w:rPr>
          <w:sz w:val="18"/>
        </w:rPr>
        <w:t>CADA</w:t>
      </w:r>
      <w:r>
        <w:rPr>
          <w:spacing w:val="-8"/>
          <w:sz w:val="18"/>
        </w:rPr>
        <w:t xml:space="preserve"> </w:t>
      </w:r>
      <w:r>
        <w:rPr>
          <w:sz w:val="18"/>
        </w:rPr>
        <w:t>Application</w:t>
      </w:r>
      <w:r>
        <w:rPr>
          <w:spacing w:val="-8"/>
          <w:sz w:val="18"/>
        </w:rPr>
        <w:t xml:space="preserve"> </w:t>
      </w:r>
      <w:r>
        <w:rPr>
          <w:sz w:val="18"/>
        </w:rPr>
        <w:t>for</w:t>
      </w:r>
      <w:r>
        <w:rPr>
          <w:spacing w:val="-8"/>
          <w:sz w:val="18"/>
        </w:rPr>
        <w:t xml:space="preserve"> </w:t>
      </w:r>
      <w:r>
        <w:rPr>
          <w:sz w:val="18"/>
        </w:rPr>
        <w:t>Anti‐Dumping</w:t>
      </w:r>
      <w:r>
        <w:rPr>
          <w:spacing w:val="-8"/>
          <w:sz w:val="18"/>
        </w:rPr>
        <w:t xml:space="preserve"> </w:t>
      </w:r>
      <w:r>
        <w:rPr>
          <w:sz w:val="18"/>
        </w:rPr>
        <w:t>investigation,</w:t>
      </w:r>
      <w:r>
        <w:rPr>
          <w:spacing w:val="-8"/>
          <w:sz w:val="18"/>
        </w:rPr>
        <w:t xml:space="preserve"> </w:t>
      </w:r>
      <w:r>
        <w:rPr>
          <w:sz w:val="18"/>
        </w:rPr>
        <w:t>Annexes</w:t>
      </w:r>
      <w:r>
        <w:rPr>
          <w:spacing w:val="-8"/>
          <w:sz w:val="18"/>
        </w:rPr>
        <w:t xml:space="preserve"> </w:t>
      </w:r>
      <w:r>
        <w:rPr>
          <w:sz w:val="18"/>
        </w:rPr>
        <w:t>1‐12</w:t>
      </w:r>
      <w:r>
        <w:rPr>
          <w:spacing w:val="-9"/>
          <w:sz w:val="18"/>
        </w:rPr>
        <w:t xml:space="preserve"> </w:t>
      </w:r>
      <w:r>
        <w:rPr>
          <w:sz w:val="18"/>
        </w:rPr>
        <w:t>(Part</w:t>
      </w:r>
      <w:r>
        <w:rPr>
          <w:spacing w:val="-9"/>
          <w:sz w:val="18"/>
        </w:rPr>
        <w:t xml:space="preserve"> </w:t>
      </w:r>
      <w:r>
        <w:rPr>
          <w:sz w:val="18"/>
        </w:rPr>
        <w:t>1)</w:t>
      </w:r>
      <w:r>
        <w:rPr>
          <w:spacing w:val="-8"/>
          <w:sz w:val="18"/>
        </w:rPr>
        <w:t xml:space="preserve"> </w:t>
      </w:r>
      <w:r>
        <w:rPr>
          <w:sz w:val="18"/>
        </w:rPr>
        <w:t>(Exhibit</w:t>
      </w:r>
      <w:r>
        <w:rPr>
          <w:spacing w:val="-8"/>
          <w:sz w:val="18"/>
        </w:rPr>
        <w:t xml:space="preserve"> </w:t>
      </w:r>
      <w:r>
        <w:rPr>
          <w:sz w:val="18"/>
        </w:rPr>
        <w:t>AUS‐90),</w:t>
      </w:r>
      <w:r>
        <w:rPr>
          <w:spacing w:val="-9"/>
          <w:sz w:val="18"/>
        </w:rPr>
        <w:t xml:space="preserve"> </w:t>
      </w:r>
      <w:r>
        <w:rPr>
          <w:sz w:val="18"/>
        </w:rPr>
        <w:t>Annex</w:t>
      </w:r>
      <w:r>
        <w:rPr>
          <w:spacing w:val="-9"/>
          <w:sz w:val="18"/>
        </w:rPr>
        <w:t xml:space="preserve"> </w:t>
      </w:r>
      <w:r>
        <w:rPr>
          <w:spacing w:val="-5"/>
          <w:sz w:val="18"/>
        </w:rPr>
        <w:t>5.</w:t>
      </w:r>
    </w:p>
    <w:p w14:paraId="51DE9488" w14:textId="77777777" w:rsidR="0010369C" w:rsidRDefault="0010369C">
      <w:pPr>
        <w:spacing w:line="219" w:lineRule="exact"/>
        <w:rPr>
          <w:sz w:val="18"/>
        </w:rPr>
        <w:sectPr w:rsidR="0010369C">
          <w:pgSz w:w="11910" w:h="16840"/>
          <w:pgMar w:top="880" w:right="800" w:bottom="980" w:left="1180" w:header="569" w:footer="788" w:gutter="0"/>
          <w:cols w:space="720"/>
        </w:sectPr>
      </w:pPr>
    </w:p>
    <w:p w14:paraId="51DE9489" w14:textId="77777777" w:rsidR="0010369C" w:rsidRDefault="0010369C">
      <w:pPr>
        <w:pStyle w:val="BodyText"/>
        <w:spacing w:before="2"/>
        <w:rPr>
          <w:sz w:val="15"/>
        </w:rPr>
      </w:pPr>
    </w:p>
    <w:p w14:paraId="51DE948A" w14:textId="77777777" w:rsidR="0010369C" w:rsidRDefault="008E43AE">
      <w:pPr>
        <w:tabs>
          <w:tab w:val="left" w:pos="8228"/>
        </w:tabs>
        <w:spacing w:before="60"/>
        <w:ind w:left="239"/>
        <w:jc w:val="both"/>
        <w:rPr>
          <w:sz w:val="20"/>
        </w:rPr>
      </w:pPr>
      <w:r>
        <w:rPr>
          <w:i/>
          <w:sz w:val="20"/>
        </w:rPr>
        <w:t>on</w:t>
      </w:r>
      <w:r>
        <w:rPr>
          <w:i/>
          <w:spacing w:val="-1"/>
          <w:sz w:val="20"/>
        </w:rPr>
        <w:t xml:space="preserve"> </w:t>
      </w:r>
      <w:r>
        <w:rPr>
          <w:i/>
          <w:sz w:val="20"/>
        </w:rPr>
        <w:t>Wine</w:t>
      </w:r>
      <w:r>
        <w:rPr>
          <w:i/>
          <w:spacing w:val="-1"/>
          <w:sz w:val="20"/>
        </w:rPr>
        <w:t xml:space="preserve"> </w:t>
      </w:r>
      <w:r>
        <w:rPr>
          <w:i/>
          <w:sz w:val="20"/>
        </w:rPr>
        <w:t>from</w:t>
      </w:r>
      <w:r>
        <w:rPr>
          <w:i/>
          <w:spacing w:val="-3"/>
          <w:sz w:val="20"/>
        </w:rPr>
        <w:t xml:space="preserve"> </w:t>
      </w:r>
      <w:r>
        <w:rPr>
          <w:i/>
          <w:sz w:val="20"/>
        </w:rPr>
        <w:t>Australia</w:t>
      </w:r>
      <w:r>
        <w:rPr>
          <w:i/>
          <w:spacing w:val="-1"/>
          <w:sz w:val="20"/>
        </w:rPr>
        <w:t xml:space="preserve"> </w:t>
      </w:r>
      <w:r>
        <w:rPr>
          <w:spacing w:val="-2"/>
          <w:sz w:val="20"/>
        </w:rPr>
        <w:t>(DS602)</w:t>
      </w:r>
      <w:r>
        <w:rPr>
          <w:sz w:val="20"/>
        </w:rPr>
        <w:tab/>
        <w:t>29</w:t>
      </w:r>
      <w:r>
        <w:rPr>
          <w:spacing w:val="-1"/>
          <w:sz w:val="20"/>
        </w:rPr>
        <w:t xml:space="preserve"> </w:t>
      </w:r>
      <w:r>
        <w:rPr>
          <w:sz w:val="20"/>
        </w:rPr>
        <w:t>April</w:t>
      </w:r>
      <w:r>
        <w:rPr>
          <w:spacing w:val="-2"/>
          <w:sz w:val="20"/>
        </w:rPr>
        <w:t xml:space="preserve"> </w:t>
      </w:r>
      <w:r>
        <w:rPr>
          <w:spacing w:val="-4"/>
          <w:sz w:val="20"/>
        </w:rPr>
        <w:t>2022</w:t>
      </w:r>
    </w:p>
    <w:p w14:paraId="51DE948B" w14:textId="77777777" w:rsidR="0010369C" w:rsidRDefault="008E43AE">
      <w:pPr>
        <w:pStyle w:val="BodyText"/>
        <w:spacing w:before="34" w:line="360" w:lineRule="auto"/>
        <w:ind w:left="237" w:right="611"/>
        <w:jc w:val="both"/>
      </w:pPr>
      <w:r>
        <w:t>allowance</w:t>
      </w:r>
      <w:r>
        <w:rPr>
          <w:spacing w:val="-2"/>
        </w:rPr>
        <w:t xml:space="preserve"> </w:t>
      </w:r>
      <w:r>
        <w:t>for</w:t>
      </w:r>
      <w:r>
        <w:rPr>
          <w:spacing w:val="-2"/>
        </w:rPr>
        <w:t xml:space="preserve"> </w:t>
      </w:r>
      <w:r>
        <w:t>the</w:t>
      </w:r>
      <w:r>
        <w:rPr>
          <w:spacing w:val="-2"/>
        </w:rPr>
        <w:t xml:space="preserve"> </w:t>
      </w:r>
      <w:r>
        <w:t>missing</w:t>
      </w:r>
      <w:r>
        <w:rPr>
          <w:spacing w:val="-3"/>
        </w:rPr>
        <w:t xml:space="preserve"> </w:t>
      </w:r>
      <w:r>
        <w:t>10%</w:t>
      </w:r>
      <w:r>
        <w:rPr>
          <w:spacing w:val="-3"/>
        </w:rPr>
        <w:t xml:space="preserve"> </w:t>
      </w:r>
      <w:r>
        <w:t>in</w:t>
      </w:r>
      <w:r>
        <w:rPr>
          <w:spacing w:val="-3"/>
        </w:rPr>
        <w:t xml:space="preserve"> </w:t>
      </w:r>
      <w:r>
        <w:t>its</w:t>
      </w:r>
      <w:r>
        <w:rPr>
          <w:spacing w:val="-2"/>
        </w:rPr>
        <w:t xml:space="preserve"> </w:t>
      </w:r>
      <w:r>
        <w:t>calculation</w:t>
      </w:r>
      <w:r>
        <w:rPr>
          <w:spacing w:val="-4"/>
        </w:rPr>
        <w:t xml:space="preserve"> </w:t>
      </w:r>
      <w:r>
        <w:t>of</w:t>
      </w:r>
      <w:r>
        <w:rPr>
          <w:spacing w:val="-3"/>
        </w:rPr>
        <w:t xml:space="preserve"> </w:t>
      </w:r>
      <w:r>
        <w:t>the</w:t>
      </w:r>
      <w:r>
        <w:rPr>
          <w:spacing w:val="-2"/>
        </w:rPr>
        <w:t xml:space="preserve"> </w:t>
      </w:r>
      <w:r>
        <w:t>proportion</w:t>
      </w:r>
      <w:r>
        <w:rPr>
          <w:spacing w:val="-2"/>
        </w:rPr>
        <w:t xml:space="preserve"> </w:t>
      </w:r>
      <w:r>
        <w:t>of</w:t>
      </w:r>
      <w:r>
        <w:rPr>
          <w:spacing w:val="-3"/>
        </w:rPr>
        <w:t xml:space="preserve"> </w:t>
      </w:r>
      <w:r>
        <w:t>total</w:t>
      </w:r>
      <w:r>
        <w:rPr>
          <w:spacing w:val="-2"/>
        </w:rPr>
        <w:t xml:space="preserve"> </w:t>
      </w:r>
      <w:r>
        <w:t>output</w:t>
      </w:r>
      <w:r>
        <w:rPr>
          <w:spacing w:val="-2"/>
        </w:rPr>
        <w:t xml:space="preserve"> </w:t>
      </w:r>
      <w:r>
        <w:t>represented by its members, which had the consequence of overstating the proportion of total domestic production represented by its members.</w:t>
      </w:r>
    </w:p>
    <w:p w14:paraId="51DE948C" w14:textId="77777777" w:rsidR="0010369C" w:rsidRDefault="0010369C">
      <w:pPr>
        <w:pStyle w:val="BodyText"/>
        <w:spacing w:before="11"/>
        <w:rPr>
          <w:sz w:val="8"/>
        </w:rPr>
      </w:pPr>
    </w:p>
    <w:p w14:paraId="51DE948D" w14:textId="77777777" w:rsidR="0010369C" w:rsidRDefault="008E43AE">
      <w:pPr>
        <w:pStyle w:val="BodyText"/>
        <w:spacing w:before="52" w:line="360" w:lineRule="auto"/>
        <w:ind w:left="237" w:right="612" w:firstLine="852"/>
        <w:jc w:val="both"/>
      </w:pPr>
      <w:r>
        <w:rPr>
          <w:noProof/>
        </w:rPr>
        <w:drawing>
          <wp:anchor distT="0" distB="0" distL="0" distR="0" simplePos="0" relativeHeight="251358720" behindDoc="1" locked="0" layoutInCell="1" allowOverlap="1" wp14:anchorId="51DEA646" wp14:editId="51DEA647">
            <wp:simplePos x="0" y="0"/>
            <wp:positionH relativeFrom="page">
              <wp:posOffset>902208</wp:posOffset>
            </wp:positionH>
            <wp:positionV relativeFrom="paragraph">
              <wp:posOffset>80595</wp:posOffset>
            </wp:positionV>
            <wp:extent cx="262127" cy="103631"/>
            <wp:effectExtent l="0" t="0" r="0" b="0"/>
            <wp:wrapNone/>
            <wp:docPr id="1479" name="image7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 name="image767.png"/>
                    <pic:cNvPicPr/>
                  </pic:nvPicPr>
                  <pic:blipFill>
                    <a:blip r:embed="rId1006" cstate="print"/>
                    <a:stretch>
                      <a:fillRect/>
                    </a:stretch>
                  </pic:blipFill>
                  <pic:spPr>
                    <a:xfrm>
                      <a:off x="0" y="0"/>
                      <a:ext cx="262127" cy="103631"/>
                    </a:xfrm>
                    <a:prstGeom prst="rect">
                      <a:avLst/>
                    </a:prstGeom>
                  </pic:spPr>
                </pic:pic>
              </a:graphicData>
            </a:graphic>
          </wp:anchor>
        </w:drawing>
      </w:r>
      <w:r>
        <w:t>MOFCOM</w:t>
      </w:r>
      <w:r>
        <w:rPr>
          <w:spacing w:val="-13"/>
        </w:rPr>
        <w:t xml:space="preserve"> </w:t>
      </w:r>
      <w:r>
        <w:t>acknowledged</w:t>
      </w:r>
      <w:r>
        <w:rPr>
          <w:spacing w:val="-14"/>
        </w:rPr>
        <w:t xml:space="preserve"> </w:t>
      </w:r>
      <w:r>
        <w:t>these</w:t>
      </w:r>
      <w:r>
        <w:rPr>
          <w:spacing w:val="-12"/>
        </w:rPr>
        <w:t xml:space="preserve"> </w:t>
      </w:r>
      <w:r>
        <w:t>errors</w:t>
      </w:r>
      <w:r>
        <w:rPr>
          <w:spacing w:val="-14"/>
        </w:rPr>
        <w:t xml:space="preserve"> </w:t>
      </w:r>
      <w:r>
        <w:t>in</w:t>
      </w:r>
      <w:r>
        <w:rPr>
          <w:spacing w:val="-12"/>
        </w:rPr>
        <w:t xml:space="preserve"> </w:t>
      </w:r>
      <w:r>
        <w:t>the</w:t>
      </w:r>
      <w:r>
        <w:rPr>
          <w:spacing w:val="-11"/>
        </w:rPr>
        <w:t xml:space="preserve"> </w:t>
      </w:r>
      <w:r>
        <w:t>Preliminary</w:t>
      </w:r>
      <w:r>
        <w:rPr>
          <w:spacing w:val="-13"/>
        </w:rPr>
        <w:t xml:space="preserve"> </w:t>
      </w:r>
      <w:r>
        <w:t>Determination</w:t>
      </w:r>
      <w:r>
        <w:rPr>
          <w:spacing w:val="-14"/>
        </w:rPr>
        <w:t xml:space="preserve"> </w:t>
      </w:r>
      <w:r>
        <w:t>and</w:t>
      </w:r>
      <w:r>
        <w:rPr>
          <w:spacing w:val="-12"/>
        </w:rPr>
        <w:t xml:space="preserve"> </w:t>
      </w:r>
      <w:r>
        <w:t>accepted that</w:t>
      </w:r>
      <w:r>
        <w:rPr>
          <w:spacing w:val="-11"/>
        </w:rPr>
        <w:t xml:space="preserve"> </w:t>
      </w:r>
      <w:r>
        <w:t>they</w:t>
      </w:r>
      <w:r>
        <w:rPr>
          <w:spacing w:val="-11"/>
        </w:rPr>
        <w:t xml:space="preserve"> </w:t>
      </w:r>
      <w:r>
        <w:t>made</w:t>
      </w:r>
      <w:r>
        <w:rPr>
          <w:spacing w:val="-10"/>
        </w:rPr>
        <w:t xml:space="preserve"> </w:t>
      </w:r>
      <w:r>
        <w:t>the</w:t>
      </w:r>
      <w:r>
        <w:rPr>
          <w:spacing w:val="-10"/>
        </w:rPr>
        <w:t xml:space="preserve"> </w:t>
      </w:r>
      <w:r>
        <w:t>data</w:t>
      </w:r>
      <w:r>
        <w:rPr>
          <w:spacing w:val="-11"/>
        </w:rPr>
        <w:t xml:space="preserve"> </w:t>
      </w:r>
      <w:r>
        <w:t>unreliable</w:t>
      </w:r>
      <w:r>
        <w:rPr>
          <w:spacing w:val="-10"/>
        </w:rPr>
        <w:t xml:space="preserve"> </w:t>
      </w:r>
      <w:r>
        <w:t>for</w:t>
      </w:r>
      <w:r>
        <w:rPr>
          <w:spacing w:val="-11"/>
        </w:rPr>
        <w:t xml:space="preserve"> </w:t>
      </w:r>
      <w:r>
        <w:t>the</w:t>
      </w:r>
      <w:r>
        <w:rPr>
          <w:spacing w:val="-10"/>
        </w:rPr>
        <w:t xml:space="preserve"> </w:t>
      </w:r>
      <w:r>
        <w:t>purposes</w:t>
      </w:r>
      <w:r>
        <w:rPr>
          <w:spacing w:val="-11"/>
        </w:rPr>
        <w:t xml:space="preserve"> </w:t>
      </w:r>
      <w:r>
        <w:t>of</w:t>
      </w:r>
      <w:r>
        <w:rPr>
          <w:spacing w:val="-11"/>
        </w:rPr>
        <w:t xml:space="preserve"> </w:t>
      </w:r>
      <w:r>
        <w:t>the</w:t>
      </w:r>
      <w:r>
        <w:rPr>
          <w:spacing w:val="-10"/>
        </w:rPr>
        <w:t xml:space="preserve"> </w:t>
      </w:r>
      <w:r>
        <w:t>investigation.</w:t>
      </w:r>
      <w:r>
        <w:rPr>
          <w:vertAlign w:val="superscript"/>
        </w:rPr>
        <w:t>907</w:t>
      </w:r>
      <w:r>
        <w:rPr>
          <w:spacing w:val="-12"/>
        </w:rPr>
        <w:t xml:space="preserve"> </w:t>
      </w:r>
      <w:r>
        <w:t>While</w:t>
      </w:r>
      <w:r>
        <w:rPr>
          <w:spacing w:val="-11"/>
        </w:rPr>
        <w:t xml:space="preserve"> </w:t>
      </w:r>
      <w:r>
        <w:t>these</w:t>
      </w:r>
      <w:r>
        <w:rPr>
          <w:spacing w:val="-11"/>
        </w:rPr>
        <w:t xml:space="preserve"> </w:t>
      </w:r>
      <w:r>
        <w:t>errors would have been readily apparent to an unbiased and objective investigating authority scrutinising</w:t>
      </w:r>
      <w:r>
        <w:rPr>
          <w:spacing w:val="-6"/>
        </w:rPr>
        <w:t xml:space="preserve"> </w:t>
      </w:r>
      <w:r>
        <w:t>the</w:t>
      </w:r>
      <w:r>
        <w:rPr>
          <w:spacing w:val="-6"/>
        </w:rPr>
        <w:t xml:space="preserve"> </w:t>
      </w:r>
      <w:r>
        <w:t>application,</w:t>
      </w:r>
      <w:r>
        <w:rPr>
          <w:spacing w:val="-6"/>
        </w:rPr>
        <w:t xml:space="preserve"> </w:t>
      </w:r>
      <w:r>
        <w:t>it</w:t>
      </w:r>
      <w:r>
        <w:rPr>
          <w:spacing w:val="-6"/>
        </w:rPr>
        <w:t xml:space="preserve"> </w:t>
      </w:r>
      <w:r>
        <w:t>is</w:t>
      </w:r>
      <w:r>
        <w:rPr>
          <w:spacing w:val="-7"/>
        </w:rPr>
        <w:t xml:space="preserve"> </w:t>
      </w:r>
      <w:r>
        <w:t>unclear</w:t>
      </w:r>
      <w:r>
        <w:rPr>
          <w:spacing w:val="-6"/>
        </w:rPr>
        <w:t xml:space="preserve"> </w:t>
      </w:r>
      <w:r>
        <w:t>whe</w:t>
      </w:r>
      <w:r>
        <w:t>ther</w:t>
      </w:r>
      <w:r>
        <w:rPr>
          <w:spacing w:val="-8"/>
        </w:rPr>
        <w:t xml:space="preserve"> </w:t>
      </w:r>
      <w:r>
        <w:t>MOFCOM</w:t>
      </w:r>
      <w:r>
        <w:rPr>
          <w:spacing w:val="-6"/>
        </w:rPr>
        <w:t xml:space="preserve"> </w:t>
      </w:r>
      <w:r>
        <w:t>identified</w:t>
      </w:r>
      <w:r>
        <w:rPr>
          <w:spacing w:val="-6"/>
        </w:rPr>
        <w:t xml:space="preserve"> </w:t>
      </w:r>
      <w:r>
        <w:t>these</w:t>
      </w:r>
      <w:r>
        <w:rPr>
          <w:spacing w:val="-6"/>
        </w:rPr>
        <w:t xml:space="preserve"> </w:t>
      </w:r>
      <w:r>
        <w:t>errors</w:t>
      </w:r>
      <w:r>
        <w:rPr>
          <w:spacing w:val="-7"/>
        </w:rPr>
        <w:t xml:space="preserve"> </w:t>
      </w:r>
      <w:r>
        <w:t>at</w:t>
      </w:r>
      <w:r>
        <w:rPr>
          <w:spacing w:val="-8"/>
        </w:rPr>
        <w:t xml:space="preserve"> </w:t>
      </w:r>
      <w:r>
        <w:t>the</w:t>
      </w:r>
      <w:r>
        <w:rPr>
          <w:spacing w:val="-6"/>
        </w:rPr>
        <w:t xml:space="preserve"> </w:t>
      </w:r>
      <w:r>
        <w:t>time it</w:t>
      </w:r>
      <w:r>
        <w:rPr>
          <w:spacing w:val="-5"/>
        </w:rPr>
        <w:t xml:space="preserve"> </w:t>
      </w:r>
      <w:r>
        <w:t>chose</w:t>
      </w:r>
      <w:r>
        <w:rPr>
          <w:spacing w:val="-5"/>
        </w:rPr>
        <w:t xml:space="preserve"> </w:t>
      </w:r>
      <w:r>
        <w:t>to</w:t>
      </w:r>
      <w:r>
        <w:rPr>
          <w:spacing w:val="-5"/>
        </w:rPr>
        <w:t xml:space="preserve"> </w:t>
      </w:r>
      <w:r>
        <w:t>initiate</w:t>
      </w:r>
      <w:r>
        <w:rPr>
          <w:spacing w:val="-4"/>
        </w:rPr>
        <w:t xml:space="preserve"> </w:t>
      </w:r>
      <w:r>
        <w:t>the</w:t>
      </w:r>
      <w:r>
        <w:rPr>
          <w:spacing w:val="-4"/>
        </w:rPr>
        <w:t xml:space="preserve"> </w:t>
      </w:r>
      <w:r>
        <w:t>investigation.</w:t>
      </w:r>
      <w:r>
        <w:rPr>
          <w:spacing w:val="-4"/>
        </w:rPr>
        <w:t xml:space="preserve"> </w:t>
      </w:r>
      <w:r>
        <w:t>In</w:t>
      </w:r>
      <w:r>
        <w:rPr>
          <w:spacing w:val="-5"/>
        </w:rPr>
        <w:t xml:space="preserve"> </w:t>
      </w:r>
      <w:r>
        <w:t>the</w:t>
      </w:r>
      <w:r>
        <w:rPr>
          <w:spacing w:val="-4"/>
        </w:rPr>
        <w:t xml:space="preserve"> </w:t>
      </w:r>
      <w:r>
        <w:t>Final</w:t>
      </w:r>
      <w:r>
        <w:rPr>
          <w:spacing w:val="-5"/>
        </w:rPr>
        <w:t xml:space="preserve"> </w:t>
      </w:r>
      <w:r>
        <w:t>Determination,</w:t>
      </w:r>
      <w:r>
        <w:rPr>
          <w:spacing w:val="-4"/>
        </w:rPr>
        <w:t xml:space="preserve"> </w:t>
      </w:r>
      <w:r>
        <w:t>MOFCOM</w:t>
      </w:r>
      <w:r>
        <w:rPr>
          <w:spacing w:val="-5"/>
        </w:rPr>
        <w:t xml:space="preserve"> </w:t>
      </w:r>
      <w:r>
        <w:t>confirmed</w:t>
      </w:r>
      <w:r>
        <w:rPr>
          <w:spacing w:val="-6"/>
        </w:rPr>
        <w:t xml:space="preserve"> </w:t>
      </w:r>
      <w:r>
        <w:t>that</w:t>
      </w:r>
      <w:r>
        <w:rPr>
          <w:spacing w:val="-5"/>
        </w:rPr>
        <w:t xml:space="preserve"> </w:t>
      </w:r>
      <w:r>
        <w:t>the statistics in CADA's application were unreliable and could not be used for the purpose of identifying the domestic industry because they included "other wines beyond the products subject</w:t>
      </w:r>
      <w:r>
        <w:rPr>
          <w:spacing w:val="-13"/>
        </w:rPr>
        <w:t xml:space="preserve"> </w:t>
      </w:r>
      <w:r>
        <w:t>to</w:t>
      </w:r>
      <w:r>
        <w:rPr>
          <w:spacing w:val="-13"/>
        </w:rPr>
        <w:t xml:space="preserve"> </w:t>
      </w:r>
      <w:r>
        <w:t>the</w:t>
      </w:r>
      <w:r>
        <w:rPr>
          <w:spacing w:val="-13"/>
        </w:rPr>
        <w:t xml:space="preserve"> </w:t>
      </w:r>
      <w:r>
        <w:t>investigation</w:t>
      </w:r>
      <w:r>
        <w:rPr>
          <w:spacing w:val="-12"/>
        </w:rPr>
        <w:t xml:space="preserve"> </w:t>
      </w:r>
      <w:r>
        <w:t>request,</w:t>
      </w:r>
      <w:r>
        <w:rPr>
          <w:spacing w:val="-14"/>
        </w:rPr>
        <w:t xml:space="preserve"> </w:t>
      </w:r>
      <w:r>
        <w:t>including</w:t>
      </w:r>
      <w:r>
        <w:rPr>
          <w:spacing w:val="-12"/>
        </w:rPr>
        <w:t xml:space="preserve"> </w:t>
      </w:r>
      <w:r>
        <w:t>liqueur</w:t>
      </w:r>
      <w:r>
        <w:rPr>
          <w:spacing w:val="-12"/>
        </w:rPr>
        <w:t xml:space="preserve"> </w:t>
      </w:r>
      <w:r>
        <w:t>wines,</w:t>
      </w:r>
      <w:r>
        <w:rPr>
          <w:spacing w:val="-14"/>
        </w:rPr>
        <w:t xml:space="preserve"> </w:t>
      </w:r>
      <w:r>
        <w:t>highly</w:t>
      </w:r>
      <w:r>
        <w:rPr>
          <w:spacing w:val="-12"/>
        </w:rPr>
        <w:t xml:space="preserve"> </w:t>
      </w:r>
      <w:r>
        <w:t>car</w:t>
      </w:r>
      <w:r>
        <w:t>bonated</w:t>
      </w:r>
      <w:r>
        <w:rPr>
          <w:spacing w:val="-14"/>
        </w:rPr>
        <w:t xml:space="preserve"> </w:t>
      </w:r>
      <w:r>
        <w:t>wines,</w:t>
      </w:r>
      <w:r>
        <w:rPr>
          <w:spacing w:val="-13"/>
        </w:rPr>
        <w:t xml:space="preserve"> </w:t>
      </w:r>
      <w:r>
        <w:t>gasified wine, flavoured wines, distilled wines and bulk wines".</w:t>
      </w:r>
      <w:r>
        <w:rPr>
          <w:vertAlign w:val="superscript"/>
        </w:rPr>
        <w:t>908</w:t>
      </w:r>
    </w:p>
    <w:p w14:paraId="51DE948E" w14:textId="77777777" w:rsidR="0010369C" w:rsidRDefault="0010369C">
      <w:pPr>
        <w:pStyle w:val="BodyText"/>
        <w:spacing w:before="10"/>
        <w:rPr>
          <w:sz w:val="8"/>
        </w:rPr>
      </w:pPr>
    </w:p>
    <w:p w14:paraId="51DE948F" w14:textId="77777777" w:rsidR="0010369C" w:rsidRDefault="008E43AE">
      <w:pPr>
        <w:pStyle w:val="BodyText"/>
        <w:spacing w:before="52" w:line="360" w:lineRule="auto"/>
        <w:ind w:left="237" w:right="612" w:firstLine="851"/>
        <w:jc w:val="both"/>
      </w:pPr>
      <w:r>
        <w:rPr>
          <w:noProof/>
        </w:rPr>
        <w:drawing>
          <wp:anchor distT="0" distB="0" distL="0" distR="0" simplePos="0" relativeHeight="251359744" behindDoc="1" locked="0" layoutInCell="1" allowOverlap="1" wp14:anchorId="51DEA648" wp14:editId="51DEA649">
            <wp:simplePos x="0" y="0"/>
            <wp:positionH relativeFrom="page">
              <wp:posOffset>902208</wp:posOffset>
            </wp:positionH>
            <wp:positionV relativeFrom="paragraph">
              <wp:posOffset>76785</wp:posOffset>
            </wp:positionV>
            <wp:extent cx="262127" cy="106679"/>
            <wp:effectExtent l="0" t="0" r="0" b="0"/>
            <wp:wrapNone/>
            <wp:docPr id="1481" name="image7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 name="image768.png"/>
                    <pic:cNvPicPr/>
                  </pic:nvPicPr>
                  <pic:blipFill>
                    <a:blip r:embed="rId1007" cstate="print"/>
                    <a:stretch>
                      <a:fillRect/>
                    </a:stretch>
                  </pic:blipFill>
                  <pic:spPr>
                    <a:xfrm>
                      <a:off x="0" y="0"/>
                      <a:ext cx="262127" cy="106679"/>
                    </a:xfrm>
                    <a:prstGeom prst="rect">
                      <a:avLst/>
                    </a:prstGeom>
                  </pic:spPr>
                </pic:pic>
              </a:graphicData>
            </a:graphic>
          </wp:anchor>
        </w:drawing>
      </w:r>
      <w:r>
        <w:t>Concerns about the possibility of overstatement of the production data were raised with MOFCOM at the initiation stage of the investigation. Australian Grape and Wine, the</w:t>
      </w:r>
      <w:r>
        <w:t xml:space="preserve"> trade association for the Australian wine industry, expressed concern about the reliability of the data in CADA's written application and whether it had overstated production, suggesting that the statistics may have been "counted twice".</w:t>
      </w:r>
      <w:r>
        <w:rPr>
          <w:vertAlign w:val="superscript"/>
        </w:rPr>
        <w:t>909</w:t>
      </w:r>
      <w:r>
        <w:t xml:space="preserve"> There is nothi</w:t>
      </w:r>
      <w:r>
        <w:t>ng on the record to show that MOFCOM undertook any examination of the reliability of the data either in response to this submission, or otherwise. It appears to have simply been accepted the data for the purposes of initiation without scrutiny.</w:t>
      </w:r>
    </w:p>
    <w:p w14:paraId="51DE9490" w14:textId="77777777" w:rsidR="0010369C" w:rsidRDefault="0010369C">
      <w:pPr>
        <w:pStyle w:val="BodyText"/>
        <w:spacing w:before="10"/>
        <w:rPr>
          <w:sz w:val="8"/>
        </w:rPr>
      </w:pPr>
    </w:p>
    <w:p w14:paraId="51DE9491" w14:textId="77777777" w:rsidR="0010369C" w:rsidRDefault="008E43AE">
      <w:pPr>
        <w:pStyle w:val="BodyText"/>
        <w:spacing w:before="52" w:line="360" w:lineRule="auto"/>
        <w:ind w:left="236" w:right="613" w:firstLine="852"/>
        <w:jc w:val="both"/>
      </w:pPr>
      <w:r>
        <w:rPr>
          <w:noProof/>
        </w:rPr>
        <w:drawing>
          <wp:anchor distT="0" distB="0" distL="0" distR="0" simplePos="0" relativeHeight="251360768" behindDoc="1" locked="0" layoutInCell="1" allowOverlap="1" wp14:anchorId="51DEA64A" wp14:editId="51DEA64B">
            <wp:simplePos x="0" y="0"/>
            <wp:positionH relativeFrom="page">
              <wp:posOffset>902208</wp:posOffset>
            </wp:positionH>
            <wp:positionV relativeFrom="paragraph">
              <wp:posOffset>80596</wp:posOffset>
            </wp:positionV>
            <wp:extent cx="262127" cy="103631"/>
            <wp:effectExtent l="0" t="0" r="0" b="0"/>
            <wp:wrapNone/>
            <wp:docPr id="1483" name="image7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 name="image769.png"/>
                    <pic:cNvPicPr/>
                  </pic:nvPicPr>
                  <pic:blipFill>
                    <a:blip r:embed="rId1008" cstate="print"/>
                    <a:stretch>
                      <a:fillRect/>
                    </a:stretch>
                  </pic:blipFill>
                  <pic:spPr>
                    <a:xfrm>
                      <a:off x="0" y="0"/>
                      <a:ext cx="262127" cy="103631"/>
                    </a:xfrm>
                    <a:prstGeom prst="rect">
                      <a:avLst/>
                    </a:prstGeom>
                  </pic:spPr>
                </pic:pic>
              </a:graphicData>
            </a:graphic>
          </wp:anchor>
        </w:drawing>
      </w:r>
      <w:r>
        <w:t>The disto</w:t>
      </w:r>
      <w:r>
        <w:t>rtion of the calculation of the "domestic industry" caused by this error was material in the assessment of the level of support. When MOFCOM undertook its own assessment</w:t>
      </w:r>
      <w:r>
        <w:rPr>
          <w:spacing w:val="-1"/>
        </w:rPr>
        <w:t xml:space="preserve"> </w:t>
      </w:r>
      <w:r>
        <w:t>of</w:t>
      </w:r>
      <w:r>
        <w:rPr>
          <w:spacing w:val="-2"/>
        </w:rPr>
        <w:t xml:space="preserve"> </w:t>
      </w:r>
      <w:r>
        <w:t>total</w:t>
      </w:r>
      <w:r>
        <w:rPr>
          <w:spacing w:val="-3"/>
        </w:rPr>
        <w:t xml:space="preserve"> </w:t>
      </w:r>
      <w:r>
        <w:t>output</w:t>
      </w:r>
      <w:r>
        <w:rPr>
          <w:spacing w:val="-1"/>
        </w:rPr>
        <w:t xml:space="preserve"> </w:t>
      </w:r>
      <w:r>
        <w:t>of</w:t>
      </w:r>
      <w:r>
        <w:rPr>
          <w:spacing w:val="-2"/>
        </w:rPr>
        <w:t xml:space="preserve"> </w:t>
      </w:r>
      <w:r>
        <w:t>domestic like product</w:t>
      </w:r>
      <w:r>
        <w:rPr>
          <w:spacing w:val="-1"/>
        </w:rPr>
        <w:t xml:space="preserve"> </w:t>
      </w:r>
      <w:r>
        <w:t>in</w:t>
      </w:r>
      <w:r>
        <w:rPr>
          <w:spacing w:val="-2"/>
        </w:rPr>
        <w:t xml:space="preserve"> </w:t>
      </w:r>
      <w:r>
        <w:t>the</w:t>
      </w:r>
      <w:r>
        <w:rPr>
          <w:spacing w:val="-1"/>
        </w:rPr>
        <w:t xml:space="preserve"> </w:t>
      </w:r>
      <w:r>
        <w:t>Final</w:t>
      </w:r>
      <w:r>
        <w:rPr>
          <w:spacing w:val="-1"/>
        </w:rPr>
        <w:t xml:space="preserve"> </w:t>
      </w:r>
      <w:r>
        <w:t>Determination,</w:t>
      </w:r>
      <w:r>
        <w:rPr>
          <w:spacing w:val="-1"/>
        </w:rPr>
        <w:t xml:space="preserve"> </w:t>
      </w:r>
      <w:r>
        <w:t>it</w:t>
      </w:r>
      <w:r>
        <w:rPr>
          <w:spacing w:val="-1"/>
        </w:rPr>
        <w:t xml:space="preserve"> </w:t>
      </w:r>
      <w:r>
        <w:t>identified</w:t>
      </w:r>
      <w:r>
        <w:rPr>
          <w:spacing w:val="-2"/>
        </w:rPr>
        <w:t xml:space="preserve"> </w:t>
      </w:r>
      <w:r>
        <w:t>a t</w:t>
      </w:r>
      <w:r>
        <w:t>otal level of domestic output less than half of that identified by CADA. The Final Determination</w:t>
      </w:r>
      <w:r>
        <w:rPr>
          <w:spacing w:val="-14"/>
        </w:rPr>
        <w:t xml:space="preserve"> </w:t>
      </w:r>
      <w:r>
        <w:t>contains</w:t>
      </w:r>
      <w:r>
        <w:rPr>
          <w:spacing w:val="-14"/>
        </w:rPr>
        <w:t xml:space="preserve"> </w:t>
      </w:r>
      <w:r>
        <w:t>two</w:t>
      </w:r>
      <w:r>
        <w:rPr>
          <w:spacing w:val="-12"/>
        </w:rPr>
        <w:t xml:space="preserve"> </w:t>
      </w:r>
      <w:r>
        <w:t>conflicting</w:t>
      </w:r>
      <w:r>
        <w:rPr>
          <w:spacing w:val="-14"/>
        </w:rPr>
        <w:t xml:space="preserve"> </w:t>
      </w:r>
      <w:r>
        <w:t>sets</w:t>
      </w:r>
      <w:r>
        <w:rPr>
          <w:spacing w:val="-14"/>
        </w:rPr>
        <w:t xml:space="preserve"> </w:t>
      </w:r>
      <w:r>
        <w:t>of</w:t>
      </w:r>
      <w:r>
        <w:rPr>
          <w:spacing w:val="-13"/>
        </w:rPr>
        <w:t xml:space="preserve"> </w:t>
      </w:r>
      <w:r>
        <w:t>figures</w:t>
      </w:r>
      <w:r>
        <w:rPr>
          <w:spacing w:val="-14"/>
        </w:rPr>
        <w:t xml:space="preserve"> </w:t>
      </w:r>
      <w:r>
        <w:t>for</w:t>
      </w:r>
      <w:r>
        <w:rPr>
          <w:spacing w:val="-12"/>
        </w:rPr>
        <w:t xml:space="preserve"> </w:t>
      </w:r>
      <w:r>
        <w:t>total</w:t>
      </w:r>
      <w:r>
        <w:rPr>
          <w:spacing w:val="-13"/>
        </w:rPr>
        <w:t xml:space="preserve"> </w:t>
      </w:r>
      <w:r>
        <w:t>domestic</w:t>
      </w:r>
      <w:r>
        <w:rPr>
          <w:spacing w:val="-13"/>
        </w:rPr>
        <w:t xml:space="preserve"> </w:t>
      </w:r>
      <w:r>
        <w:t>output</w:t>
      </w:r>
      <w:r>
        <w:rPr>
          <w:spacing w:val="-13"/>
        </w:rPr>
        <w:t xml:space="preserve"> </w:t>
      </w:r>
      <w:r>
        <w:t>of</w:t>
      </w:r>
      <w:r>
        <w:rPr>
          <w:spacing w:val="-14"/>
        </w:rPr>
        <w:t xml:space="preserve"> </w:t>
      </w:r>
      <w:r>
        <w:t>like</w:t>
      </w:r>
      <w:r>
        <w:rPr>
          <w:spacing w:val="-12"/>
        </w:rPr>
        <w:t xml:space="preserve"> </w:t>
      </w:r>
      <w:r>
        <w:t>product but</w:t>
      </w:r>
      <w:r>
        <w:rPr>
          <w:spacing w:val="-6"/>
        </w:rPr>
        <w:t xml:space="preserve"> </w:t>
      </w:r>
      <w:r>
        <w:t>both</w:t>
      </w:r>
      <w:r>
        <w:rPr>
          <w:spacing w:val="-6"/>
        </w:rPr>
        <w:t xml:space="preserve"> </w:t>
      </w:r>
      <w:r>
        <w:t>are</w:t>
      </w:r>
      <w:r>
        <w:rPr>
          <w:spacing w:val="-7"/>
        </w:rPr>
        <w:t xml:space="preserve"> </w:t>
      </w:r>
      <w:r>
        <w:t>significantly</w:t>
      </w:r>
      <w:r>
        <w:rPr>
          <w:spacing w:val="-6"/>
        </w:rPr>
        <w:t xml:space="preserve"> </w:t>
      </w:r>
      <w:r>
        <w:t>lower</w:t>
      </w:r>
      <w:r>
        <w:rPr>
          <w:spacing w:val="-6"/>
        </w:rPr>
        <w:t xml:space="preserve"> </w:t>
      </w:r>
      <w:r>
        <w:t>than</w:t>
      </w:r>
      <w:r>
        <w:rPr>
          <w:spacing w:val="-8"/>
        </w:rPr>
        <w:t xml:space="preserve"> </w:t>
      </w:r>
      <w:r>
        <w:t>CADA's</w:t>
      </w:r>
      <w:r>
        <w:rPr>
          <w:spacing w:val="-6"/>
        </w:rPr>
        <w:t xml:space="preserve"> </w:t>
      </w:r>
      <w:r>
        <w:t>figure.</w:t>
      </w:r>
      <w:r>
        <w:rPr>
          <w:spacing w:val="-6"/>
        </w:rPr>
        <w:t xml:space="preserve"> </w:t>
      </w:r>
      <w:r>
        <w:t>The</w:t>
      </w:r>
      <w:r>
        <w:rPr>
          <w:spacing w:val="-5"/>
        </w:rPr>
        <w:t xml:space="preserve"> </w:t>
      </w:r>
      <w:r>
        <w:t>differences</w:t>
      </w:r>
      <w:r>
        <w:rPr>
          <w:spacing w:val="-7"/>
        </w:rPr>
        <w:t xml:space="preserve"> </w:t>
      </w:r>
      <w:r>
        <w:t>between</w:t>
      </w:r>
      <w:r>
        <w:rPr>
          <w:spacing w:val="-6"/>
        </w:rPr>
        <w:t xml:space="preserve"> </w:t>
      </w:r>
      <w:r>
        <w:t>the</w:t>
      </w:r>
      <w:r>
        <w:rPr>
          <w:spacing w:val="-6"/>
        </w:rPr>
        <w:t xml:space="preserve"> </w:t>
      </w:r>
      <w:r>
        <w:t>three</w:t>
      </w:r>
      <w:r>
        <w:rPr>
          <w:spacing w:val="-7"/>
        </w:rPr>
        <w:t xml:space="preserve"> </w:t>
      </w:r>
      <w:r>
        <w:t>sets</w:t>
      </w:r>
      <w:r>
        <w:rPr>
          <w:spacing w:val="-6"/>
        </w:rPr>
        <w:t xml:space="preserve"> </w:t>
      </w:r>
      <w:r>
        <w:t>of figures are shown in Table 2 below.</w:t>
      </w:r>
    </w:p>
    <w:p w14:paraId="51DE9492" w14:textId="77777777" w:rsidR="0010369C" w:rsidRDefault="0010369C">
      <w:pPr>
        <w:pStyle w:val="BodyText"/>
        <w:rPr>
          <w:sz w:val="20"/>
        </w:rPr>
      </w:pPr>
    </w:p>
    <w:p w14:paraId="51DE9493" w14:textId="77777777" w:rsidR="0010369C" w:rsidRDefault="0010369C">
      <w:pPr>
        <w:pStyle w:val="BodyText"/>
        <w:rPr>
          <w:sz w:val="20"/>
        </w:rPr>
      </w:pPr>
    </w:p>
    <w:p w14:paraId="51DE9494" w14:textId="77777777" w:rsidR="0010369C" w:rsidRDefault="008E43AE">
      <w:pPr>
        <w:pStyle w:val="BodyText"/>
        <w:spacing w:before="7"/>
        <w:rPr>
          <w:sz w:val="29"/>
        </w:rPr>
      </w:pPr>
      <w:r>
        <w:pict w14:anchorId="51DEA64C">
          <v:rect id="docshape1233" o:spid="_x0000_s1192" style="position:absolute;margin-left:70.9pt;margin-top:19.3pt;width:2in;height:.8pt;z-index:-250758656;mso-wrap-distance-left:0;mso-wrap-distance-right:0;mso-position-horizontal-relative:page" fillcolor="black" stroked="f">
            <w10:wrap type="topAndBottom" anchorx="page"/>
          </v:rect>
        </w:pict>
      </w:r>
    </w:p>
    <w:p w14:paraId="51DE9495" w14:textId="77777777" w:rsidR="0010369C" w:rsidRDefault="008E43AE">
      <w:pPr>
        <w:spacing w:before="109"/>
        <w:ind w:left="238"/>
        <w:rPr>
          <w:sz w:val="18"/>
        </w:rPr>
      </w:pPr>
      <w:r>
        <w:rPr>
          <w:sz w:val="18"/>
          <w:vertAlign w:val="superscript"/>
        </w:rPr>
        <w:t>907</w:t>
      </w:r>
      <w:r>
        <w:rPr>
          <w:spacing w:val="-10"/>
          <w:sz w:val="18"/>
        </w:rPr>
        <w:t xml:space="preserve"> </w:t>
      </w:r>
      <w:r>
        <w:rPr>
          <w:sz w:val="18"/>
        </w:rPr>
        <w:t>Anti‐Dumping</w:t>
      </w:r>
      <w:r>
        <w:rPr>
          <w:spacing w:val="-9"/>
          <w:sz w:val="18"/>
        </w:rPr>
        <w:t xml:space="preserve"> </w:t>
      </w:r>
      <w:r>
        <w:rPr>
          <w:sz w:val="18"/>
        </w:rPr>
        <w:t>Preliminary</w:t>
      </w:r>
      <w:r>
        <w:rPr>
          <w:spacing w:val="-9"/>
          <w:sz w:val="18"/>
        </w:rPr>
        <w:t xml:space="preserve"> </w:t>
      </w:r>
      <w:r>
        <w:rPr>
          <w:sz w:val="18"/>
        </w:rPr>
        <w:t>Determination</w:t>
      </w:r>
      <w:r>
        <w:rPr>
          <w:spacing w:val="-9"/>
          <w:sz w:val="18"/>
        </w:rPr>
        <w:t xml:space="preserve"> </w:t>
      </w:r>
      <w:r>
        <w:rPr>
          <w:sz w:val="18"/>
        </w:rPr>
        <w:t>(Exhibit</w:t>
      </w:r>
      <w:r>
        <w:rPr>
          <w:spacing w:val="-10"/>
          <w:sz w:val="18"/>
        </w:rPr>
        <w:t xml:space="preserve"> </w:t>
      </w:r>
      <w:r>
        <w:rPr>
          <w:sz w:val="18"/>
        </w:rPr>
        <w:t>AUS‐35),</w:t>
      </w:r>
      <w:r>
        <w:rPr>
          <w:spacing w:val="-10"/>
          <w:sz w:val="18"/>
        </w:rPr>
        <w:t xml:space="preserve"> </w:t>
      </w:r>
      <w:r>
        <w:rPr>
          <w:sz w:val="18"/>
        </w:rPr>
        <w:t>p.</w:t>
      </w:r>
      <w:r>
        <w:rPr>
          <w:spacing w:val="-9"/>
          <w:sz w:val="18"/>
        </w:rPr>
        <w:t xml:space="preserve"> </w:t>
      </w:r>
      <w:r>
        <w:rPr>
          <w:spacing w:val="-5"/>
          <w:sz w:val="18"/>
        </w:rPr>
        <w:t>36.</w:t>
      </w:r>
    </w:p>
    <w:p w14:paraId="51DE9496" w14:textId="77777777" w:rsidR="0010369C" w:rsidRDefault="008E43AE">
      <w:pPr>
        <w:ind w:left="238"/>
        <w:rPr>
          <w:sz w:val="18"/>
        </w:rPr>
      </w:pPr>
      <w:r>
        <w:rPr>
          <w:sz w:val="18"/>
          <w:vertAlign w:val="superscript"/>
        </w:rPr>
        <w:t>908</w:t>
      </w:r>
      <w:r>
        <w:rPr>
          <w:spacing w:val="-9"/>
          <w:sz w:val="18"/>
        </w:rPr>
        <w:t xml:space="preserve"> </w:t>
      </w:r>
      <w:r>
        <w:rPr>
          <w:sz w:val="18"/>
        </w:rPr>
        <w:t>Anti‐Dumping</w:t>
      </w:r>
      <w:r>
        <w:rPr>
          <w:spacing w:val="-9"/>
          <w:sz w:val="18"/>
        </w:rPr>
        <w:t xml:space="preserve"> </w:t>
      </w:r>
      <w:r>
        <w:rPr>
          <w:sz w:val="18"/>
        </w:rPr>
        <w:t>Final</w:t>
      </w:r>
      <w:r>
        <w:rPr>
          <w:spacing w:val="-9"/>
          <w:sz w:val="18"/>
        </w:rPr>
        <w:t xml:space="preserve"> </w:t>
      </w:r>
      <w:r>
        <w:rPr>
          <w:sz w:val="18"/>
        </w:rPr>
        <w:t>Determination</w:t>
      </w:r>
      <w:r>
        <w:rPr>
          <w:spacing w:val="-8"/>
          <w:sz w:val="18"/>
        </w:rPr>
        <w:t xml:space="preserve"> </w:t>
      </w:r>
      <w:r>
        <w:rPr>
          <w:sz w:val="18"/>
        </w:rPr>
        <w:t>(Exhibit</w:t>
      </w:r>
      <w:r>
        <w:rPr>
          <w:spacing w:val="-9"/>
          <w:sz w:val="18"/>
        </w:rPr>
        <w:t xml:space="preserve"> </w:t>
      </w:r>
      <w:r>
        <w:rPr>
          <w:sz w:val="18"/>
        </w:rPr>
        <w:t>AUS‐2),</w:t>
      </w:r>
      <w:r>
        <w:rPr>
          <w:spacing w:val="-9"/>
          <w:sz w:val="18"/>
        </w:rPr>
        <w:t xml:space="preserve"> </w:t>
      </w:r>
      <w:r>
        <w:rPr>
          <w:sz w:val="18"/>
        </w:rPr>
        <w:t>p.</w:t>
      </w:r>
      <w:r>
        <w:rPr>
          <w:spacing w:val="-9"/>
          <w:sz w:val="18"/>
        </w:rPr>
        <w:t xml:space="preserve"> </w:t>
      </w:r>
      <w:r>
        <w:rPr>
          <w:spacing w:val="-4"/>
          <w:sz w:val="18"/>
        </w:rPr>
        <w:t>109.</w:t>
      </w:r>
    </w:p>
    <w:p w14:paraId="51DE9497" w14:textId="77777777" w:rsidR="0010369C" w:rsidRDefault="008E43AE">
      <w:pPr>
        <w:ind w:left="238"/>
        <w:rPr>
          <w:sz w:val="18"/>
        </w:rPr>
      </w:pPr>
      <w:r>
        <w:rPr>
          <w:sz w:val="18"/>
          <w:vertAlign w:val="superscript"/>
        </w:rPr>
        <w:t>909</w:t>
      </w:r>
      <w:r>
        <w:rPr>
          <w:spacing w:val="-8"/>
          <w:sz w:val="18"/>
        </w:rPr>
        <w:t xml:space="preserve"> </w:t>
      </w:r>
      <w:r>
        <w:rPr>
          <w:sz w:val="18"/>
        </w:rPr>
        <w:t>AGW</w:t>
      </w:r>
      <w:r>
        <w:rPr>
          <w:spacing w:val="-9"/>
          <w:sz w:val="18"/>
        </w:rPr>
        <w:t xml:space="preserve"> </w:t>
      </w:r>
      <w:r>
        <w:rPr>
          <w:sz w:val="18"/>
        </w:rPr>
        <w:t>Submission</w:t>
      </w:r>
      <w:r>
        <w:rPr>
          <w:spacing w:val="-6"/>
          <w:sz w:val="18"/>
        </w:rPr>
        <w:t xml:space="preserve"> </w:t>
      </w:r>
      <w:r>
        <w:rPr>
          <w:sz w:val="18"/>
        </w:rPr>
        <w:t>on</w:t>
      </w:r>
      <w:r>
        <w:rPr>
          <w:spacing w:val="-8"/>
          <w:sz w:val="18"/>
        </w:rPr>
        <w:t xml:space="preserve"> </w:t>
      </w:r>
      <w:r>
        <w:rPr>
          <w:sz w:val="18"/>
        </w:rPr>
        <w:t>Initiation</w:t>
      </w:r>
      <w:r>
        <w:rPr>
          <w:spacing w:val="-8"/>
          <w:sz w:val="18"/>
        </w:rPr>
        <w:t xml:space="preserve"> </w:t>
      </w:r>
      <w:r>
        <w:rPr>
          <w:sz w:val="18"/>
        </w:rPr>
        <w:t>of</w:t>
      </w:r>
      <w:r>
        <w:rPr>
          <w:spacing w:val="-7"/>
          <w:sz w:val="18"/>
        </w:rPr>
        <w:t xml:space="preserve"> </w:t>
      </w:r>
      <w:r>
        <w:rPr>
          <w:sz w:val="18"/>
        </w:rPr>
        <w:t>the</w:t>
      </w:r>
      <w:r>
        <w:rPr>
          <w:spacing w:val="-8"/>
          <w:sz w:val="18"/>
        </w:rPr>
        <w:t xml:space="preserve"> </w:t>
      </w:r>
      <w:r>
        <w:rPr>
          <w:sz w:val="18"/>
        </w:rPr>
        <w:t>Investigation</w:t>
      </w:r>
      <w:r>
        <w:rPr>
          <w:spacing w:val="-7"/>
          <w:sz w:val="18"/>
        </w:rPr>
        <w:t xml:space="preserve"> </w:t>
      </w:r>
      <w:r>
        <w:rPr>
          <w:sz w:val="18"/>
        </w:rPr>
        <w:t>(Exhibit</w:t>
      </w:r>
      <w:r>
        <w:rPr>
          <w:spacing w:val="-8"/>
          <w:sz w:val="18"/>
        </w:rPr>
        <w:t xml:space="preserve"> </w:t>
      </w:r>
      <w:r>
        <w:rPr>
          <w:sz w:val="18"/>
        </w:rPr>
        <w:t>AUS‐71),</w:t>
      </w:r>
      <w:r>
        <w:rPr>
          <w:spacing w:val="-8"/>
          <w:sz w:val="18"/>
        </w:rPr>
        <w:t xml:space="preserve"> </w:t>
      </w:r>
      <w:r>
        <w:rPr>
          <w:sz w:val="18"/>
        </w:rPr>
        <w:t>para.</w:t>
      </w:r>
      <w:r>
        <w:rPr>
          <w:spacing w:val="-8"/>
          <w:sz w:val="18"/>
        </w:rPr>
        <w:t xml:space="preserve"> </w:t>
      </w:r>
      <w:r>
        <w:rPr>
          <w:spacing w:val="-5"/>
          <w:sz w:val="18"/>
        </w:rPr>
        <w:t>8.</w:t>
      </w:r>
    </w:p>
    <w:p w14:paraId="51DE9498" w14:textId="77777777" w:rsidR="0010369C" w:rsidRDefault="0010369C">
      <w:pPr>
        <w:rPr>
          <w:sz w:val="18"/>
        </w:rPr>
        <w:sectPr w:rsidR="0010369C">
          <w:pgSz w:w="11910" w:h="16840"/>
          <w:pgMar w:top="880" w:right="800" w:bottom="980" w:left="1180" w:header="569" w:footer="788" w:gutter="0"/>
          <w:cols w:space="720"/>
        </w:sectPr>
      </w:pPr>
    </w:p>
    <w:p w14:paraId="51DE9499" w14:textId="77777777" w:rsidR="0010369C" w:rsidRDefault="008E43AE">
      <w:pPr>
        <w:pStyle w:val="BodyText"/>
        <w:spacing w:line="20" w:lineRule="exact"/>
        <w:ind w:left="104"/>
        <w:rPr>
          <w:sz w:val="2"/>
        </w:rPr>
      </w:pPr>
      <w:r>
        <w:rPr>
          <w:sz w:val="2"/>
        </w:rPr>
      </w:r>
      <w:r>
        <w:rPr>
          <w:sz w:val="2"/>
        </w:rPr>
        <w:pict w14:anchorId="51DEA64E">
          <v:group id="docshapegroup1235" o:spid="_x0000_s1190" style="width:464.6pt;height:1.05pt;mso-position-horizontal-relative:char;mso-position-vertical-relative:line" coordsize="9292,21">
            <v:line id="_x0000_s1191" style="position:absolute" from="0,10" to="9291,10" strokeweight=".35361mm"/>
            <w10:anchorlock/>
          </v:group>
        </w:pict>
      </w:r>
    </w:p>
    <w:p w14:paraId="51DE949A" w14:textId="77777777" w:rsidR="0010369C" w:rsidRDefault="008E43AE">
      <w:pPr>
        <w:spacing w:before="51"/>
        <w:ind w:left="2652" w:right="3001"/>
        <w:jc w:val="center"/>
        <w:rPr>
          <w:rFonts w:ascii="Arial"/>
          <w:sz w:val="18"/>
        </w:rPr>
      </w:pPr>
      <w:r>
        <w:pict w14:anchorId="51DEA64F">
          <v:line id="_x0000_s1189" style="position:absolute;left:0;text-align:left;z-index:251864576;mso-position-horizontal-relative:page" from="64.2pt,15pt" to="528.75pt,15pt" strokeweight=".35361mm">
            <w10:wrap anchorx="page"/>
          </v:line>
        </w:pict>
      </w:r>
      <w:r>
        <w:rPr>
          <w:rFonts w:ascii="Arial"/>
          <w:color w:val="1D1D1D"/>
          <w:w w:val="110"/>
          <w:sz w:val="18"/>
        </w:rPr>
        <w:t>Business</w:t>
      </w:r>
      <w:r>
        <w:rPr>
          <w:rFonts w:ascii="Arial"/>
          <w:color w:val="1D1D1D"/>
          <w:spacing w:val="10"/>
          <w:w w:val="110"/>
          <w:sz w:val="18"/>
        </w:rPr>
        <w:t xml:space="preserve"> </w:t>
      </w:r>
      <w:r>
        <w:rPr>
          <w:rFonts w:ascii="Arial"/>
          <w:color w:val="1D1D1D"/>
          <w:w w:val="110"/>
          <w:sz w:val="18"/>
        </w:rPr>
        <w:t>Confidential</w:t>
      </w:r>
      <w:r>
        <w:rPr>
          <w:rFonts w:ascii="Arial"/>
          <w:color w:val="1D1D1D"/>
          <w:spacing w:val="12"/>
          <w:w w:val="110"/>
          <w:sz w:val="18"/>
        </w:rPr>
        <w:t xml:space="preserve"> </w:t>
      </w:r>
      <w:r>
        <w:rPr>
          <w:rFonts w:ascii="Arial"/>
          <w:color w:val="070707"/>
          <w:w w:val="110"/>
          <w:sz w:val="18"/>
        </w:rPr>
        <w:t>Information</w:t>
      </w:r>
      <w:r>
        <w:rPr>
          <w:rFonts w:ascii="Arial"/>
          <w:color w:val="070707"/>
          <w:spacing w:val="3"/>
          <w:w w:val="110"/>
          <w:sz w:val="18"/>
        </w:rPr>
        <w:t xml:space="preserve"> </w:t>
      </w:r>
      <w:r>
        <w:rPr>
          <w:rFonts w:ascii="Arial"/>
          <w:color w:val="1D1D1D"/>
          <w:w w:val="110"/>
          <w:sz w:val="18"/>
        </w:rPr>
        <w:t>-</w:t>
      </w:r>
      <w:r>
        <w:rPr>
          <w:rFonts w:ascii="Arial"/>
          <w:color w:val="1D1D1D"/>
          <w:spacing w:val="12"/>
          <w:w w:val="110"/>
          <w:sz w:val="18"/>
        </w:rPr>
        <w:t xml:space="preserve"> </w:t>
      </w:r>
      <w:r>
        <w:rPr>
          <w:rFonts w:ascii="Arial"/>
          <w:color w:val="1D1D1D"/>
          <w:spacing w:val="-2"/>
          <w:w w:val="110"/>
          <w:sz w:val="18"/>
        </w:rPr>
        <w:t>REDACTED</w:t>
      </w:r>
    </w:p>
    <w:p w14:paraId="51DE949B" w14:textId="77777777" w:rsidR="0010369C" w:rsidRDefault="0010369C">
      <w:pPr>
        <w:jc w:val="center"/>
        <w:rPr>
          <w:rFonts w:ascii="Arial"/>
          <w:sz w:val="18"/>
        </w:rPr>
        <w:sectPr w:rsidR="0010369C">
          <w:headerReference w:type="default" r:id="rId1009"/>
          <w:footerReference w:type="default" r:id="rId1010"/>
          <w:pgSz w:w="11910" w:h="16840"/>
          <w:pgMar w:top="500" w:right="800" w:bottom="1000" w:left="1180" w:header="0" w:footer="805" w:gutter="0"/>
          <w:cols w:space="720"/>
        </w:sectPr>
      </w:pPr>
    </w:p>
    <w:p w14:paraId="51DE949C" w14:textId="77777777" w:rsidR="0010369C" w:rsidRDefault="008E43AE">
      <w:pPr>
        <w:spacing w:before="74" w:line="278" w:lineRule="auto"/>
        <w:ind w:left="235" w:hanging="8"/>
        <w:rPr>
          <w:rFonts w:ascii="Arial"/>
          <w:sz w:val="18"/>
        </w:rPr>
      </w:pPr>
      <w:r>
        <w:pict w14:anchorId="51DEA650">
          <v:shape id="docshape1236" o:spid="_x0000_s1188" type="#_x0000_t202" style="position:absolute;left:0;text-align:left;margin-left:257pt;margin-top:26.1pt;width:75.45pt;height:101.1pt;z-index:251867648;mso-position-horizontal-relative:page"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334"/>
                    <w:gridCol w:w="1175"/>
                  </w:tblGrid>
                  <w:tr w:rsidR="0010369C" w14:paraId="51DEAC93" w14:textId="77777777">
                    <w:trPr>
                      <w:trHeight w:val="860"/>
                    </w:trPr>
                    <w:tc>
                      <w:tcPr>
                        <w:tcW w:w="1509" w:type="dxa"/>
                        <w:gridSpan w:val="2"/>
                        <w:tcBorders>
                          <w:bottom w:val="single" w:sz="6" w:space="0" w:color="FFFFFF"/>
                        </w:tcBorders>
                        <w:shd w:val="clear" w:color="auto" w:fill="010101"/>
                      </w:tcPr>
                      <w:p w14:paraId="51DEAC91" w14:textId="77777777" w:rsidR="0010369C" w:rsidRDefault="008E43AE">
                        <w:pPr>
                          <w:pStyle w:val="TableParagraph"/>
                          <w:spacing w:before="24"/>
                          <w:ind w:left="7"/>
                          <w:rPr>
                            <w:rFonts w:ascii="Arial"/>
                            <w:b/>
                            <w:sz w:val="20"/>
                          </w:rPr>
                        </w:pPr>
                        <w:r>
                          <w:rPr>
                            <w:rFonts w:ascii="Arial"/>
                            <w:b/>
                            <w:color w:val="F6F6F6"/>
                            <w:w w:val="95"/>
                            <w:sz w:val="20"/>
                          </w:rPr>
                          <w:t>CADA's</w:t>
                        </w:r>
                        <w:r>
                          <w:rPr>
                            <w:rFonts w:ascii="Arial"/>
                            <w:b/>
                            <w:color w:val="F6F6F6"/>
                            <w:spacing w:val="14"/>
                            <w:w w:val="105"/>
                            <w:sz w:val="20"/>
                          </w:rPr>
                          <w:t xml:space="preserve"> </w:t>
                        </w:r>
                        <w:r>
                          <w:rPr>
                            <w:rFonts w:ascii="Arial"/>
                            <w:b/>
                            <w:color w:val="F6F6F6"/>
                            <w:spacing w:val="-2"/>
                            <w:w w:val="105"/>
                            <w:sz w:val="20"/>
                          </w:rPr>
                          <w:t>"total</w:t>
                        </w:r>
                      </w:p>
                      <w:p w14:paraId="51DEAC92" w14:textId="77777777" w:rsidR="0010369C" w:rsidRDefault="008E43AE">
                        <w:pPr>
                          <w:pStyle w:val="TableParagraph"/>
                          <w:spacing w:before="3" w:line="290" w:lineRule="atLeast"/>
                          <w:rPr>
                            <w:rFonts w:ascii="Arial"/>
                            <w:sz w:val="21"/>
                          </w:rPr>
                        </w:pPr>
                        <w:r>
                          <w:rPr>
                            <w:rFonts w:ascii="Arial"/>
                            <w:color w:val="F6F6F6"/>
                            <w:w w:val="110"/>
                            <w:sz w:val="21"/>
                          </w:rPr>
                          <w:t>output</w:t>
                        </w:r>
                        <w:r>
                          <w:rPr>
                            <w:rFonts w:ascii="Arial"/>
                            <w:color w:val="F6F6F6"/>
                            <w:spacing w:val="-2"/>
                            <w:w w:val="110"/>
                            <w:sz w:val="21"/>
                          </w:rPr>
                          <w:t xml:space="preserve"> </w:t>
                        </w:r>
                        <w:r>
                          <w:rPr>
                            <w:rFonts w:ascii="Arial"/>
                            <w:color w:val="F6F6F6"/>
                            <w:w w:val="110"/>
                            <w:sz w:val="21"/>
                          </w:rPr>
                          <w:t>of domestic</w:t>
                        </w:r>
                        <w:r>
                          <w:rPr>
                            <w:rFonts w:ascii="Arial"/>
                            <w:color w:val="F6F6F6"/>
                            <w:spacing w:val="-17"/>
                            <w:w w:val="110"/>
                            <w:sz w:val="21"/>
                          </w:rPr>
                          <w:t xml:space="preserve"> </w:t>
                        </w:r>
                        <w:r>
                          <w:rPr>
                            <w:rFonts w:ascii="Arial"/>
                            <w:color w:val="F6F6F6"/>
                            <w:w w:val="110"/>
                            <w:sz w:val="21"/>
                          </w:rPr>
                          <w:t>like-</w:t>
                        </w:r>
                      </w:p>
                    </w:tc>
                  </w:tr>
                  <w:tr w:rsidR="0010369C" w14:paraId="51DEAC96" w14:textId="77777777">
                    <w:trPr>
                      <w:trHeight w:val="865"/>
                    </w:trPr>
                    <w:tc>
                      <w:tcPr>
                        <w:tcW w:w="1509" w:type="dxa"/>
                        <w:gridSpan w:val="2"/>
                        <w:tcBorders>
                          <w:top w:val="single" w:sz="6" w:space="0" w:color="FFFFFF"/>
                          <w:bottom w:val="single" w:sz="24" w:space="0" w:color="FFFFFF"/>
                        </w:tcBorders>
                        <w:shd w:val="clear" w:color="auto" w:fill="010101"/>
                      </w:tcPr>
                      <w:p w14:paraId="51DEAC94" w14:textId="77777777" w:rsidR="0010369C" w:rsidRDefault="008E43AE">
                        <w:pPr>
                          <w:pStyle w:val="TableParagraph"/>
                          <w:spacing w:before="21"/>
                          <w:ind w:left="3" w:right="-15"/>
                          <w:rPr>
                            <w:rFonts w:ascii="Arial"/>
                            <w:sz w:val="21"/>
                          </w:rPr>
                        </w:pPr>
                        <w:r>
                          <w:rPr>
                            <w:rFonts w:ascii="Arial"/>
                            <w:color w:val="F6F6F6"/>
                            <w:spacing w:val="-2"/>
                            <w:w w:val="110"/>
                            <w:sz w:val="21"/>
                          </w:rPr>
                          <w:t>products</w:t>
                        </w:r>
                      </w:p>
                      <w:p w14:paraId="51DEAC95" w14:textId="77777777" w:rsidR="0010369C" w:rsidRDefault="008E43AE">
                        <w:pPr>
                          <w:pStyle w:val="TableParagraph"/>
                          <w:spacing w:before="1" w:line="290" w:lineRule="atLeast"/>
                          <w:ind w:left="3" w:right="-15" w:hanging="1"/>
                          <w:rPr>
                            <w:rFonts w:ascii="Arial"/>
                            <w:sz w:val="21"/>
                          </w:rPr>
                        </w:pPr>
                        <w:r>
                          <w:rPr>
                            <w:rFonts w:ascii="Arial"/>
                            <w:color w:val="F6F6F6"/>
                            <w:spacing w:val="-2"/>
                            <w:w w:val="110"/>
                            <w:sz w:val="21"/>
                          </w:rPr>
                          <w:t>represented</w:t>
                        </w:r>
                        <w:r>
                          <w:rPr>
                            <w:rFonts w:ascii="Arial"/>
                            <w:color w:val="F6F6F6"/>
                            <w:spacing w:val="-16"/>
                            <w:w w:val="110"/>
                            <w:sz w:val="21"/>
                          </w:rPr>
                          <w:t xml:space="preserve"> </w:t>
                        </w:r>
                        <w:r>
                          <w:rPr>
                            <w:rFonts w:ascii="Arial"/>
                            <w:color w:val="F6F6F6"/>
                            <w:spacing w:val="-2"/>
                            <w:w w:val="110"/>
                            <w:sz w:val="21"/>
                          </w:rPr>
                          <w:t xml:space="preserve">by </w:t>
                        </w:r>
                        <w:r>
                          <w:rPr>
                            <w:rFonts w:ascii="Arial"/>
                            <w:color w:val="F6F6F6"/>
                            <w:w w:val="110"/>
                            <w:sz w:val="21"/>
                          </w:rPr>
                          <w:t>the applicant"</w:t>
                        </w:r>
                      </w:p>
                    </w:tc>
                  </w:tr>
                  <w:tr w:rsidR="0010369C" w14:paraId="51DEAC99" w14:textId="77777777">
                    <w:trPr>
                      <w:trHeight w:val="222"/>
                    </w:trPr>
                    <w:tc>
                      <w:tcPr>
                        <w:tcW w:w="334" w:type="dxa"/>
                        <w:tcBorders>
                          <w:top w:val="single" w:sz="24" w:space="0" w:color="FFFFFF"/>
                          <w:right w:val="single" w:sz="24" w:space="0" w:color="FFFFFF"/>
                        </w:tcBorders>
                        <w:shd w:val="clear" w:color="auto" w:fill="010101"/>
                      </w:tcPr>
                      <w:p w14:paraId="51DEAC97" w14:textId="77777777" w:rsidR="0010369C" w:rsidRDefault="008E43AE">
                        <w:pPr>
                          <w:pStyle w:val="TableParagraph"/>
                          <w:spacing w:line="199" w:lineRule="exact"/>
                          <w:ind w:left="-26" w:right="-29"/>
                          <w:rPr>
                            <w:rFonts w:ascii="Arial"/>
                            <w:sz w:val="21"/>
                          </w:rPr>
                        </w:pPr>
                        <w:r>
                          <w:rPr>
                            <w:rFonts w:ascii="Arial"/>
                            <w:color w:val="F6F6F6"/>
                            <w:spacing w:val="-4"/>
                            <w:w w:val="110"/>
                            <w:sz w:val="21"/>
                          </w:rPr>
                          <w:t>(kl)</w:t>
                        </w:r>
                      </w:p>
                    </w:tc>
                    <w:tc>
                      <w:tcPr>
                        <w:tcW w:w="1175" w:type="dxa"/>
                        <w:tcBorders>
                          <w:top w:val="single" w:sz="24" w:space="0" w:color="FFFFFF"/>
                          <w:left w:val="single" w:sz="24" w:space="0" w:color="FFFFFF"/>
                        </w:tcBorders>
                      </w:tcPr>
                      <w:p w14:paraId="51DEAC98" w14:textId="77777777" w:rsidR="0010369C" w:rsidRDefault="008E43AE">
                        <w:pPr>
                          <w:pStyle w:val="TableParagraph"/>
                          <w:spacing w:before="14"/>
                          <w:ind w:left="-2"/>
                          <w:rPr>
                            <w:rFonts w:ascii="Times New Roman"/>
                            <w:sz w:val="15"/>
                          </w:rPr>
                        </w:pPr>
                        <w:r>
                          <w:rPr>
                            <w:rFonts w:ascii="Times New Roman"/>
                            <w:color w:val="DDDDDD"/>
                            <w:spacing w:val="-5"/>
                            <w:w w:val="110"/>
                            <w:sz w:val="15"/>
                          </w:rPr>
                          <w:t>911</w:t>
                        </w:r>
                      </w:p>
                    </w:tc>
                  </w:tr>
                </w:tbl>
                <w:p w14:paraId="51DEAC9A" w14:textId="77777777" w:rsidR="0010369C" w:rsidRDefault="0010369C">
                  <w:pPr>
                    <w:pStyle w:val="BodyText"/>
                  </w:pPr>
                </w:p>
              </w:txbxContent>
            </v:textbox>
            <w10:wrap anchorx="page"/>
          </v:shape>
        </w:pict>
      </w:r>
      <w:r>
        <w:rPr>
          <w:rFonts w:ascii="Arial"/>
          <w:i/>
          <w:color w:val="1D1D1D"/>
          <w:spacing w:val="-2"/>
          <w:w w:val="105"/>
          <w:sz w:val="18"/>
        </w:rPr>
        <w:t>China</w:t>
      </w:r>
      <w:r>
        <w:rPr>
          <w:rFonts w:ascii="Arial"/>
          <w:i/>
          <w:color w:val="1D1D1D"/>
          <w:spacing w:val="-17"/>
          <w:w w:val="105"/>
          <w:sz w:val="18"/>
        </w:rPr>
        <w:t xml:space="preserve"> </w:t>
      </w:r>
      <w:r>
        <w:rPr>
          <w:rFonts w:ascii="Arial"/>
          <w:color w:val="1D1D1D"/>
          <w:spacing w:val="-2"/>
          <w:w w:val="105"/>
          <w:sz w:val="18"/>
        </w:rPr>
        <w:t>-</w:t>
      </w:r>
      <w:r>
        <w:rPr>
          <w:rFonts w:ascii="Arial"/>
          <w:color w:val="1D1D1D"/>
          <w:spacing w:val="19"/>
          <w:w w:val="105"/>
          <w:sz w:val="18"/>
        </w:rPr>
        <w:t xml:space="preserve"> </w:t>
      </w:r>
      <w:r>
        <w:rPr>
          <w:rFonts w:ascii="Arial"/>
          <w:i/>
          <w:color w:val="070707"/>
          <w:spacing w:val="-2"/>
          <w:w w:val="105"/>
          <w:sz w:val="18"/>
        </w:rPr>
        <w:t>Anti-Dumping</w:t>
      </w:r>
      <w:r>
        <w:rPr>
          <w:rFonts w:ascii="Arial"/>
          <w:i/>
          <w:color w:val="070707"/>
          <w:spacing w:val="-9"/>
          <w:w w:val="105"/>
          <w:sz w:val="18"/>
        </w:rPr>
        <w:t xml:space="preserve"> </w:t>
      </w:r>
      <w:r>
        <w:rPr>
          <w:rFonts w:ascii="Arial"/>
          <w:i/>
          <w:color w:val="1D1D1D"/>
          <w:spacing w:val="-2"/>
          <w:w w:val="105"/>
          <w:sz w:val="18"/>
        </w:rPr>
        <w:t>and</w:t>
      </w:r>
      <w:r>
        <w:rPr>
          <w:rFonts w:ascii="Arial"/>
          <w:i/>
          <w:color w:val="1D1D1D"/>
          <w:spacing w:val="-26"/>
          <w:w w:val="105"/>
          <w:sz w:val="18"/>
        </w:rPr>
        <w:t xml:space="preserve"> </w:t>
      </w:r>
      <w:r>
        <w:rPr>
          <w:rFonts w:ascii="Arial"/>
          <w:i/>
          <w:color w:val="1D1D1D"/>
          <w:spacing w:val="-2"/>
          <w:w w:val="105"/>
          <w:sz w:val="18"/>
        </w:rPr>
        <w:t>Countervailing</w:t>
      </w:r>
      <w:r>
        <w:rPr>
          <w:rFonts w:ascii="Arial"/>
          <w:i/>
          <w:color w:val="1D1D1D"/>
          <w:spacing w:val="-11"/>
          <w:w w:val="105"/>
          <w:sz w:val="18"/>
        </w:rPr>
        <w:t xml:space="preserve"> </w:t>
      </w:r>
      <w:r>
        <w:rPr>
          <w:rFonts w:ascii="Arial"/>
          <w:i/>
          <w:color w:val="1D1D1D"/>
          <w:spacing w:val="-2"/>
          <w:w w:val="105"/>
          <w:sz w:val="18"/>
        </w:rPr>
        <w:t>Duty</w:t>
      </w:r>
      <w:r>
        <w:rPr>
          <w:rFonts w:ascii="Arial"/>
          <w:i/>
          <w:color w:val="1D1D1D"/>
          <w:spacing w:val="-16"/>
          <w:w w:val="105"/>
          <w:sz w:val="18"/>
        </w:rPr>
        <w:t xml:space="preserve"> </w:t>
      </w:r>
      <w:r>
        <w:rPr>
          <w:rFonts w:ascii="Arial"/>
          <w:i/>
          <w:color w:val="070707"/>
          <w:spacing w:val="-2"/>
          <w:w w:val="105"/>
          <w:sz w:val="18"/>
        </w:rPr>
        <w:t xml:space="preserve">Measures </w:t>
      </w:r>
      <w:r>
        <w:rPr>
          <w:rFonts w:ascii="Arial"/>
          <w:i/>
          <w:color w:val="1D1D1D"/>
          <w:w w:val="105"/>
          <w:sz w:val="18"/>
        </w:rPr>
        <w:t>on</w:t>
      </w:r>
      <w:r>
        <w:rPr>
          <w:rFonts w:ascii="Arial"/>
          <w:i/>
          <w:color w:val="1D1D1D"/>
          <w:spacing w:val="-9"/>
          <w:w w:val="105"/>
          <w:sz w:val="18"/>
        </w:rPr>
        <w:t xml:space="preserve"> </w:t>
      </w:r>
      <w:r>
        <w:rPr>
          <w:rFonts w:ascii="Arial"/>
          <w:i/>
          <w:color w:val="1D1D1D"/>
          <w:w w:val="105"/>
          <w:sz w:val="18"/>
        </w:rPr>
        <w:t xml:space="preserve">Wine from Australia </w:t>
      </w:r>
      <w:r>
        <w:rPr>
          <w:rFonts w:ascii="Arial"/>
          <w:color w:val="070707"/>
          <w:w w:val="105"/>
          <w:sz w:val="18"/>
          <w:u w:val="thick" w:color="070707"/>
        </w:rPr>
        <w:t>(0S602)</w:t>
      </w:r>
    </w:p>
    <w:p w14:paraId="51DE949D" w14:textId="77777777" w:rsidR="0010369C" w:rsidRDefault="008E43AE">
      <w:pPr>
        <w:spacing w:line="222" w:lineRule="exact"/>
        <w:ind w:left="2161"/>
        <w:rPr>
          <w:rFonts w:ascii="Arial"/>
          <w:b/>
          <w:sz w:val="20"/>
        </w:rPr>
      </w:pPr>
      <w:r>
        <w:rPr>
          <w:rFonts w:ascii="Arial"/>
          <w:b/>
          <w:color w:val="F6F6F6"/>
          <w:w w:val="95"/>
          <w:sz w:val="20"/>
          <w:shd w:val="clear" w:color="auto" w:fill="010101"/>
        </w:rPr>
        <w:t>CADA's</w:t>
      </w:r>
      <w:r>
        <w:rPr>
          <w:rFonts w:ascii="Arial"/>
          <w:b/>
          <w:color w:val="F6F6F6"/>
          <w:spacing w:val="15"/>
          <w:sz w:val="20"/>
          <w:shd w:val="clear" w:color="auto" w:fill="010101"/>
        </w:rPr>
        <w:t xml:space="preserve"> </w:t>
      </w:r>
      <w:r>
        <w:rPr>
          <w:rFonts w:ascii="Arial"/>
          <w:b/>
          <w:color w:val="F6F6F6"/>
          <w:spacing w:val="-2"/>
          <w:sz w:val="20"/>
          <w:shd w:val="clear" w:color="auto" w:fill="010101"/>
        </w:rPr>
        <w:t>"tota</w:t>
      </w:r>
      <w:r>
        <w:rPr>
          <w:rFonts w:ascii="Arial"/>
          <w:b/>
          <w:color w:val="F6F6F6"/>
          <w:spacing w:val="-2"/>
          <w:sz w:val="20"/>
        </w:rPr>
        <w:t>l</w:t>
      </w:r>
    </w:p>
    <w:p w14:paraId="51DE949E" w14:textId="77777777" w:rsidR="0010369C" w:rsidRDefault="008E43AE">
      <w:pPr>
        <w:tabs>
          <w:tab w:val="left" w:pos="2154"/>
        </w:tabs>
        <w:spacing w:before="51" w:line="292" w:lineRule="auto"/>
        <w:ind w:left="2154" w:right="1342" w:hanging="1800"/>
        <w:rPr>
          <w:rFonts w:ascii="Arial"/>
          <w:sz w:val="21"/>
        </w:rPr>
      </w:pPr>
      <w:r>
        <w:rPr>
          <w:rFonts w:ascii="Arial"/>
          <w:color w:val="F6F6F6"/>
          <w:spacing w:val="-4"/>
          <w:w w:val="110"/>
          <w:sz w:val="21"/>
          <w:shd w:val="clear" w:color="auto" w:fill="010101"/>
        </w:rPr>
        <w:t>Year</w:t>
      </w:r>
      <w:r>
        <w:rPr>
          <w:rFonts w:ascii="Arial"/>
          <w:color w:val="F6F6F6"/>
          <w:sz w:val="21"/>
        </w:rPr>
        <w:tab/>
      </w:r>
      <w:r>
        <w:rPr>
          <w:rFonts w:ascii="Arial"/>
          <w:color w:val="F6F6F6"/>
          <w:w w:val="110"/>
          <w:sz w:val="21"/>
          <w:shd w:val="clear" w:color="auto" w:fill="010101"/>
        </w:rPr>
        <w:t>output of</w:t>
      </w:r>
      <w:r>
        <w:rPr>
          <w:rFonts w:ascii="Arial"/>
          <w:color w:val="F6F6F6"/>
          <w:w w:val="110"/>
          <w:sz w:val="21"/>
        </w:rPr>
        <w:t xml:space="preserve"> </w:t>
      </w:r>
      <w:r>
        <w:rPr>
          <w:rFonts w:ascii="Arial"/>
          <w:color w:val="F6F6F6"/>
          <w:w w:val="110"/>
          <w:sz w:val="21"/>
          <w:shd w:val="clear" w:color="auto" w:fill="010101"/>
        </w:rPr>
        <w:t>domestic</w:t>
      </w:r>
      <w:r>
        <w:rPr>
          <w:rFonts w:ascii="Arial"/>
          <w:color w:val="F6F6F6"/>
          <w:spacing w:val="-17"/>
          <w:w w:val="110"/>
          <w:sz w:val="21"/>
          <w:shd w:val="clear" w:color="auto" w:fill="010101"/>
        </w:rPr>
        <w:t xml:space="preserve"> </w:t>
      </w:r>
      <w:r>
        <w:rPr>
          <w:rFonts w:ascii="Arial"/>
          <w:color w:val="F6F6F6"/>
          <w:w w:val="110"/>
          <w:sz w:val="21"/>
          <w:shd w:val="clear" w:color="auto" w:fill="010101"/>
        </w:rPr>
        <w:t>like-</w:t>
      </w:r>
      <w:r>
        <w:rPr>
          <w:rFonts w:ascii="Arial"/>
          <w:color w:val="F6F6F6"/>
          <w:w w:val="110"/>
          <w:sz w:val="21"/>
        </w:rPr>
        <w:t xml:space="preserve"> </w:t>
      </w:r>
      <w:r>
        <w:rPr>
          <w:rFonts w:ascii="Arial"/>
          <w:color w:val="F6F6F6"/>
          <w:w w:val="110"/>
          <w:sz w:val="21"/>
          <w:shd w:val="clear" w:color="auto" w:fill="010101"/>
        </w:rPr>
        <w:t>products"</w:t>
      </w:r>
      <w:r>
        <w:rPr>
          <w:rFonts w:ascii="Arial"/>
          <w:color w:val="F6F6F6"/>
          <w:spacing w:val="1"/>
          <w:w w:val="110"/>
          <w:sz w:val="21"/>
        </w:rPr>
        <w:t xml:space="preserve"> </w:t>
      </w:r>
      <w:r>
        <w:rPr>
          <w:rFonts w:ascii="Arial"/>
          <w:color w:val="F6F6F6"/>
          <w:spacing w:val="-4"/>
          <w:w w:val="110"/>
          <w:sz w:val="21"/>
          <w:shd w:val="clear" w:color="auto" w:fill="010101"/>
        </w:rPr>
        <w:t>(kl)</w:t>
      </w:r>
    </w:p>
    <w:p w14:paraId="51DE949F" w14:textId="77777777" w:rsidR="0010369C" w:rsidRDefault="008E43AE">
      <w:pPr>
        <w:spacing w:line="158" w:lineRule="exact"/>
        <w:ind w:left="2155"/>
        <w:rPr>
          <w:rFonts w:ascii="Times New Roman"/>
          <w:sz w:val="15"/>
        </w:rPr>
      </w:pPr>
      <w:r>
        <w:rPr>
          <w:rFonts w:ascii="Times New Roman"/>
          <w:color w:val="DDDDDD"/>
          <w:spacing w:val="-5"/>
          <w:w w:val="110"/>
          <w:sz w:val="15"/>
          <w:shd w:val="clear" w:color="auto" w:fill="010101"/>
        </w:rPr>
        <w:t>910</w:t>
      </w:r>
    </w:p>
    <w:p w14:paraId="51DE94A0" w14:textId="77777777" w:rsidR="0010369C" w:rsidRDefault="008E43AE">
      <w:pPr>
        <w:spacing w:before="74"/>
        <w:ind w:right="586"/>
        <w:jc w:val="right"/>
        <w:rPr>
          <w:rFonts w:ascii="Arial"/>
          <w:sz w:val="18"/>
        </w:rPr>
      </w:pPr>
      <w:r>
        <w:br w:type="column"/>
      </w:r>
      <w:r>
        <w:rPr>
          <w:rFonts w:ascii="Arial"/>
          <w:color w:val="1D1D1D"/>
          <w:sz w:val="18"/>
        </w:rPr>
        <w:t>Australia's</w:t>
      </w:r>
      <w:r>
        <w:rPr>
          <w:rFonts w:ascii="Arial"/>
          <w:color w:val="1D1D1D"/>
          <w:spacing w:val="22"/>
          <w:sz w:val="18"/>
        </w:rPr>
        <w:t xml:space="preserve"> </w:t>
      </w:r>
      <w:r>
        <w:rPr>
          <w:rFonts w:ascii="Arial"/>
          <w:color w:val="070707"/>
          <w:sz w:val="18"/>
        </w:rPr>
        <w:t>First</w:t>
      </w:r>
      <w:r>
        <w:rPr>
          <w:rFonts w:ascii="Arial"/>
          <w:color w:val="070707"/>
          <w:spacing w:val="18"/>
          <w:sz w:val="18"/>
        </w:rPr>
        <w:t xml:space="preserve"> </w:t>
      </w:r>
      <w:r>
        <w:rPr>
          <w:rFonts w:ascii="Arial"/>
          <w:color w:val="1D1D1D"/>
          <w:sz w:val="18"/>
        </w:rPr>
        <w:t>Written</w:t>
      </w:r>
      <w:r>
        <w:rPr>
          <w:rFonts w:ascii="Arial"/>
          <w:color w:val="1D1D1D"/>
          <w:spacing w:val="8"/>
          <w:sz w:val="18"/>
        </w:rPr>
        <w:t xml:space="preserve"> </w:t>
      </w:r>
      <w:r>
        <w:rPr>
          <w:rFonts w:ascii="Arial"/>
          <w:color w:val="1D1D1D"/>
          <w:spacing w:val="-2"/>
          <w:sz w:val="18"/>
        </w:rPr>
        <w:t>Submission</w:t>
      </w:r>
    </w:p>
    <w:p w14:paraId="51DE94A1" w14:textId="77777777" w:rsidR="0010369C" w:rsidRDefault="008E43AE">
      <w:pPr>
        <w:spacing w:before="44"/>
        <w:ind w:right="573"/>
        <w:jc w:val="right"/>
        <w:rPr>
          <w:rFonts w:ascii="Arial"/>
          <w:sz w:val="18"/>
        </w:rPr>
      </w:pPr>
      <w:r>
        <w:pict w14:anchorId="51DEA651">
          <v:group id="docshapegroup1237" o:spid="_x0000_s1184" style="position:absolute;left:0;text-align:left;margin-left:347.05pt;margin-top:12.1pt;width:78.4pt;height:102.25pt;z-index:251865600;mso-position-horizontal-relative:page" coordorigin="6941,242" coordsize="1568,2045">
            <v:shape id="docshape1238" o:spid="_x0000_s1187" style="position:absolute;left:6940;top:1116;width:1568;height:1170" coordorigin="6941,1117" coordsize="1568,1170" o:spt="100" adj="0,,0" path="m7244,1407r-294,l6950,1695r294,l7244,1407xm7690,1470r-121,l7569,1672r121,l7690,1470xm8080,1698r-1139,l6941,1985r1139,l8080,1698xm8214,1407r-472,l7742,1695r472,l8214,1407xm8392,1999r-1445,l6947,2286r1445,l8392,1999xm8508,1117r-1558,l6950,1404r321,l7271,1602r235,l7506,1404r1002,l8508,1117xe" fillcolor="#010101" stroked="f">
              <v:stroke joinstyle="round"/>
              <v:formulas/>
              <v:path arrowok="t" o:connecttype="segments"/>
            </v:shape>
            <v:shape id="docshape1239" o:spid="_x0000_s1186" type="#_x0000_t202" style="position:absolute;left:6940;top:1116;width:1568;height:1170" filled="f" stroked="f">
              <v:textbox inset="0,0,0,0">
                <w:txbxContent>
                  <w:p w14:paraId="51DEAC9B" w14:textId="77777777" w:rsidR="0010369C" w:rsidRDefault="008E43AE">
                    <w:pPr>
                      <w:spacing w:before="17" w:line="288" w:lineRule="auto"/>
                      <w:ind w:right="-15" w:firstLine="9"/>
                      <w:rPr>
                        <w:rFonts w:ascii="Arial"/>
                        <w:sz w:val="21"/>
                      </w:rPr>
                    </w:pPr>
                    <w:r>
                      <w:rPr>
                        <w:rFonts w:ascii="Arial"/>
                        <w:color w:val="F6F6F6"/>
                        <w:w w:val="110"/>
                        <w:sz w:val="21"/>
                      </w:rPr>
                      <w:t>relevant</w:t>
                    </w:r>
                    <w:r>
                      <w:rPr>
                        <w:rFonts w:ascii="Arial"/>
                        <w:color w:val="F6F6F6"/>
                        <w:spacing w:val="-17"/>
                        <w:w w:val="110"/>
                        <w:sz w:val="21"/>
                      </w:rPr>
                      <w:t xml:space="preserve"> </w:t>
                    </w:r>
                    <w:r>
                      <w:rPr>
                        <w:rFonts w:ascii="Arial"/>
                        <w:color w:val="F6F6F6"/>
                        <w:w w:val="110"/>
                        <w:sz w:val="21"/>
                      </w:rPr>
                      <w:t>wines" (kl)</w:t>
                    </w:r>
                    <w:r>
                      <w:rPr>
                        <w:rFonts w:ascii="Times New Roman"/>
                        <w:color w:val="DDDDDD"/>
                        <w:w w:val="110"/>
                        <w:position w:val="7"/>
                        <w:sz w:val="15"/>
                      </w:rPr>
                      <w:t>9</w:t>
                    </w:r>
                    <w:r>
                      <w:rPr>
                        <w:rFonts w:ascii="Times New Roman"/>
                        <w:color w:val="F6F6F6"/>
                        <w:w w:val="110"/>
                        <w:position w:val="7"/>
                        <w:sz w:val="15"/>
                      </w:rPr>
                      <w:t xml:space="preserve">12 </w:t>
                    </w:r>
                    <w:r>
                      <w:rPr>
                        <w:rFonts w:ascii="Times New Roman"/>
                        <w:color w:val="DDDDDD"/>
                        <w:w w:val="110"/>
                        <w:sz w:val="15"/>
                      </w:rPr>
                      <w:t>-</w:t>
                    </w:r>
                    <w:r>
                      <w:rPr>
                        <w:rFonts w:ascii="Times New Roman"/>
                        <w:color w:val="DDDDDD"/>
                        <w:spacing w:val="40"/>
                        <w:w w:val="110"/>
                        <w:sz w:val="15"/>
                      </w:rPr>
                      <w:t xml:space="preserve"> </w:t>
                    </w:r>
                    <w:r>
                      <w:rPr>
                        <w:rFonts w:ascii="Arial"/>
                        <w:color w:val="F6F6F6"/>
                        <w:w w:val="110"/>
                        <w:sz w:val="21"/>
                      </w:rPr>
                      <w:t xml:space="preserve">page 109 of Final </w:t>
                    </w:r>
                    <w:r>
                      <w:rPr>
                        <w:rFonts w:ascii="Arial"/>
                        <w:color w:val="F6F6F6"/>
                        <w:spacing w:val="-2"/>
                        <w:w w:val="110"/>
                        <w:sz w:val="21"/>
                      </w:rPr>
                      <w:t>Determination</w:t>
                    </w:r>
                  </w:p>
                </w:txbxContent>
              </v:textbox>
            </v:shape>
            <v:shape id="docshape1240" o:spid="_x0000_s1185" type="#_x0000_t202" style="position:absolute;left:6940;top:241;width:1568;height:862" fillcolor="#010101" stroked="f">
              <v:textbox inset="0,0,0,0">
                <w:txbxContent>
                  <w:p w14:paraId="51DEAC9C" w14:textId="77777777" w:rsidR="0010369C" w:rsidRDefault="008E43AE">
                    <w:pPr>
                      <w:spacing w:before="24"/>
                      <w:ind w:left="8"/>
                      <w:rPr>
                        <w:rFonts w:ascii="Arial"/>
                        <w:b/>
                        <w:color w:val="000000"/>
                        <w:sz w:val="20"/>
                      </w:rPr>
                    </w:pPr>
                    <w:r>
                      <w:rPr>
                        <w:rFonts w:ascii="Arial"/>
                        <w:b/>
                        <w:color w:val="F6F6F6"/>
                        <w:spacing w:val="-2"/>
                        <w:w w:val="105"/>
                        <w:sz w:val="20"/>
                      </w:rPr>
                      <w:t>MOFCOM's</w:t>
                    </w:r>
                  </w:p>
                  <w:p w14:paraId="51DEAC9D" w14:textId="77777777" w:rsidR="0010369C" w:rsidRDefault="008E43AE">
                    <w:pPr>
                      <w:spacing w:before="46" w:line="288" w:lineRule="auto"/>
                      <w:ind w:left="5" w:right="-15" w:firstLine="7"/>
                      <w:rPr>
                        <w:rFonts w:ascii="Arial"/>
                        <w:color w:val="000000"/>
                        <w:sz w:val="21"/>
                      </w:rPr>
                    </w:pPr>
                    <w:r>
                      <w:rPr>
                        <w:rFonts w:ascii="Arial"/>
                        <w:color w:val="F6F6F6"/>
                        <w:w w:val="110"/>
                        <w:sz w:val="21"/>
                      </w:rPr>
                      <w:t>"Overall output of domestic</w:t>
                    </w:r>
                  </w:p>
                </w:txbxContent>
              </v:textbox>
            </v:shape>
            <w10:wrap anchorx="page"/>
          </v:group>
        </w:pict>
      </w:r>
      <w:r>
        <w:rPr>
          <w:rFonts w:ascii="Arial"/>
          <w:color w:val="1D1D1D"/>
          <w:spacing w:val="-2"/>
          <w:w w:val="110"/>
          <w:sz w:val="18"/>
        </w:rPr>
        <w:t>29</w:t>
      </w:r>
      <w:r>
        <w:rPr>
          <w:rFonts w:ascii="Arial"/>
          <w:color w:val="1D1D1D"/>
          <w:spacing w:val="-29"/>
          <w:w w:val="110"/>
          <w:sz w:val="18"/>
        </w:rPr>
        <w:t xml:space="preserve"> </w:t>
      </w:r>
      <w:r>
        <w:rPr>
          <w:rFonts w:ascii="Arial"/>
          <w:color w:val="1D1D1D"/>
          <w:spacing w:val="-2"/>
          <w:w w:val="110"/>
          <w:sz w:val="18"/>
        </w:rPr>
        <w:t>Aoril</w:t>
      </w:r>
      <w:r>
        <w:rPr>
          <w:rFonts w:ascii="Arial"/>
          <w:color w:val="1D1D1D"/>
          <w:spacing w:val="-10"/>
          <w:w w:val="110"/>
          <w:sz w:val="18"/>
        </w:rPr>
        <w:t xml:space="preserve"> </w:t>
      </w:r>
      <w:r>
        <w:rPr>
          <w:rFonts w:ascii="Arial"/>
          <w:color w:val="1D1D1D"/>
          <w:spacing w:val="-4"/>
          <w:w w:val="110"/>
          <w:sz w:val="18"/>
        </w:rPr>
        <w:t>2022</w:t>
      </w:r>
    </w:p>
    <w:p w14:paraId="51DE94A2" w14:textId="77777777" w:rsidR="0010369C" w:rsidRDefault="008E43AE">
      <w:pPr>
        <w:pStyle w:val="BodyText"/>
        <w:ind w:left="1357"/>
        <w:rPr>
          <w:rFonts w:ascii="Arial"/>
          <w:sz w:val="20"/>
        </w:rPr>
      </w:pPr>
      <w:r>
        <w:rPr>
          <w:rFonts w:ascii="Arial"/>
          <w:sz w:val="20"/>
        </w:rPr>
      </w:r>
      <w:r>
        <w:rPr>
          <w:rFonts w:ascii="Arial"/>
          <w:sz w:val="20"/>
        </w:rPr>
        <w:pict w14:anchorId="51DEA653">
          <v:shape id="docshape1241" o:spid="_x0000_s1183" type="#_x0000_t202" style="width:56.2pt;height:14.4pt;mso-left-percent:-10001;mso-top-percent:-10001;mso-position-horizontal:absolute;mso-position-horizontal-relative:char;mso-position-vertical:absolute;mso-position-vertical-relative:line;mso-left-percent:-10001;mso-top-percent:-10001" fillcolor="#010101" stroked="f">
            <v:textbox inset="0,0,0,0">
              <w:txbxContent>
                <w:p w14:paraId="51DEAC9E" w14:textId="77777777" w:rsidR="0010369C" w:rsidRDefault="008E43AE">
                  <w:pPr>
                    <w:spacing w:line="141" w:lineRule="auto"/>
                    <w:ind w:right="-15"/>
                    <w:rPr>
                      <w:rFonts w:ascii="Arial"/>
                      <w:b/>
                      <w:color w:val="000000"/>
                      <w:sz w:val="20"/>
                    </w:rPr>
                  </w:pPr>
                  <w:r>
                    <w:rPr>
                      <w:rFonts w:ascii="Arial"/>
                      <w:b/>
                      <w:color w:val="F6F6F6"/>
                      <w:spacing w:val="-33"/>
                      <w:w w:val="80"/>
                      <w:position w:val="-8"/>
                      <w:sz w:val="20"/>
                    </w:rPr>
                    <w:t>lv</w:t>
                  </w:r>
                  <w:r>
                    <w:rPr>
                      <w:rFonts w:ascii="Times New Roman"/>
                      <w:b/>
                      <w:color w:val="070707"/>
                      <w:spacing w:val="-33"/>
                      <w:w w:val="80"/>
                    </w:rPr>
                    <w:t>l!l</w:t>
                  </w:r>
                  <w:r>
                    <w:rPr>
                      <w:rFonts w:ascii="Arial"/>
                      <w:b/>
                      <w:color w:val="F6F6F6"/>
                      <w:spacing w:val="-33"/>
                      <w:w w:val="80"/>
                      <w:position w:val="-8"/>
                      <w:sz w:val="20"/>
                    </w:rPr>
                    <w:t>1</w:t>
                  </w:r>
                  <w:r>
                    <w:rPr>
                      <w:rFonts w:ascii="Times New Roman"/>
                      <w:b/>
                      <w:color w:val="070707"/>
                      <w:spacing w:val="-33"/>
                      <w:w w:val="80"/>
                    </w:rPr>
                    <w:t>l!</w:t>
                  </w:r>
                  <w:r>
                    <w:rPr>
                      <w:rFonts w:ascii="Arial"/>
                      <w:b/>
                      <w:color w:val="F6F6F6"/>
                      <w:spacing w:val="-33"/>
                      <w:w w:val="80"/>
                      <w:position w:val="-8"/>
                      <w:sz w:val="20"/>
                    </w:rPr>
                    <w:t>u</w:t>
                  </w:r>
                  <w:r>
                    <w:rPr>
                      <w:rFonts w:ascii="Times New Roman"/>
                      <w:b/>
                      <w:color w:val="070707"/>
                      <w:spacing w:val="-33"/>
                      <w:w w:val="80"/>
                    </w:rPr>
                    <w:t>II</w:t>
                  </w:r>
                  <w:r>
                    <w:rPr>
                      <w:rFonts w:ascii="Arial"/>
                      <w:b/>
                      <w:color w:val="F6F6F6"/>
                      <w:spacing w:val="-33"/>
                      <w:w w:val="80"/>
                      <w:position w:val="-8"/>
                      <w:sz w:val="20"/>
                    </w:rPr>
                    <w:t>r</w:t>
                  </w:r>
                  <w:r>
                    <w:rPr>
                      <w:rFonts w:ascii="Times New Roman"/>
                      <w:b/>
                      <w:color w:val="070707"/>
                      <w:spacing w:val="-33"/>
                      <w:w w:val="80"/>
                    </w:rPr>
                    <w:t>J</w:t>
                  </w:r>
                  <w:r>
                    <w:rPr>
                      <w:rFonts w:ascii="Arial"/>
                      <w:b/>
                      <w:color w:val="F6F6F6"/>
                      <w:spacing w:val="-33"/>
                      <w:w w:val="80"/>
                      <w:position w:val="-8"/>
                      <w:sz w:val="20"/>
                    </w:rPr>
                    <w:t>-</w:t>
                  </w:r>
                  <w:r>
                    <w:rPr>
                      <w:rFonts w:ascii="Times New Roman"/>
                      <w:b/>
                      <w:color w:val="070707"/>
                      <w:spacing w:val="-2"/>
                      <w:w w:val="71"/>
                    </w:rPr>
                    <w:t>l!</w:t>
                  </w:r>
                  <w:r>
                    <w:rPr>
                      <w:rFonts w:ascii="Times New Roman"/>
                      <w:b/>
                      <w:color w:val="070707"/>
                      <w:spacing w:val="-92"/>
                      <w:w w:val="71"/>
                    </w:rPr>
                    <w:t>P</w:t>
                  </w:r>
                  <w:r>
                    <w:rPr>
                      <w:rFonts w:ascii="Arial"/>
                      <w:b/>
                      <w:color w:val="F6F6F6"/>
                      <w:spacing w:val="-32"/>
                      <w:position w:val="-8"/>
                      <w:sz w:val="20"/>
                    </w:rPr>
                    <w:t>u</w:t>
                  </w:r>
                  <w:r>
                    <w:rPr>
                      <w:rFonts w:ascii="Times New Roman"/>
                      <w:b/>
                      <w:color w:val="070707"/>
                      <w:spacing w:val="-10"/>
                      <w:w w:val="71"/>
                    </w:rPr>
                    <w:t>.</w:t>
                  </w:r>
                  <w:r>
                    <w:rPr>
                      <w:rFonts w:ascii="Arial"/>
                      <w:b/>
                      <w:color w:val="F6F6F6"/>
                      <w:spacing w:val="-103"/>
                      <w:position w:val="-8"/>
                      <w:sz w:val="20"/>
                    </w:rPr>
                    <w:t>1</w:t>
                  </w:r>
                  <w:r>
                    <w:rPr>
                      <w:rFonts w:ascii="Times New Roman"/>
                      <w:b/>
                      <w:color w:val="070707"/>
                      <w:spacing w:val="-2"/>
                      <w:w w:val="71"/>
                    </w:rPr>
                    <w:t>!!</w:t>
                  </w:r>
                  <w:r>
                    <w:rPr>
                      <w:rFonts w:ascii="Times New Roman"/>
                      <w:b/>
                      <w:color w:val="070707"/>
                      <w:spacing w:val="-111"/>
                      <w:w w:val="71"/>
                    </w:rPr>
                    <w:t>R</w:t>
                  </w:r>
                  <w:r>
                    <w:rPr>
                      <w:rFonts w:ascii="Arial"/>
                      <w:b/>
                      <w:color w:val="F6F6F6"/>
                      <w:spacing w:val="-2"/>
                      <w:position w:val="-8"/>
                      <w:sz w:val="20"/>
                    </w:rPr>
                    <w:t>vl's</w:t>
                  </w:r>
                </w:p>
              </w:txbxContent>
            </v:textbox>
            <w10:anchorlock/>
          </v:shape>
        </w:pict>
      </w:r>
    </w:p>
    <w:p w14:paraId="51DE94A3" w14:textId="77777777" w:rsidR="0010369C" w:rsidRDefault="008E43AE">
      <w:pPr>
        <w:spacing w:line="290" w:lineRule="auto"/>
        <w:ind w:left="1349" w:right="864" w:firstLine="13"/>
        <w:rPr>
          <w:rFonts w:ascii="Arial"/>
          <w:sz w:val="21"/>
        </w:rPr>
      </w:pPr>
      <w:r>
        <w:rPr>
          <w:rFonts w:ascii="Arial"/>
          <w:color w:val="F6F6F6"/>
          <w:w w:val="110"/>
          <w:sz w:val="21"/>
          <w:shd w:val="clear" w:color="auto" w:fill="010101"/>
        </w:rPr>
        <w:t>"Output</w:t>
      </w:r>
      <w:r>
        <w:rPr>
          <w:rFonts w:ascii="Arial"/>
          <w:color w:val="F6F6F6"/>
          <w:w w:val="110"/>
          <w:sz w:val="21"/>
        </w:rPr>
        <w:t xml:space="preserve"> </w:t>
      </w:r>
      <w:r>
        <w:rPr>
          <w:rFonts w:ascii="Arial"/>
          <w:color w:val="F6F6F6"/>
          <w:w w:val="110"/>
          <w:sz w:val="21"/>
          <w:shd w:val="clear" w:color="auto" w:fill="010101"/>
        </w:rPr>
        <w:t>of</w:t>
      </w:r>
      <w:r>
        <w:rPr>
          <w:rFonts w:ascii="Arial"/>
          <w:color w:val="F6F6F6"/>
          <w:w w:val="110"/>
          <w:sz w:val="21"/>
        </w:rPr>
        <w:t xml:space="preserve"> </w:t>
      </w:r>
      <w:r>
        <w:rPr>
          <w:rFonts w:ascii="Arial"/>
          <w:color w:val="F6F6F6"/>
          <w:w w:val="110"/>
          <w:sz w:val="21"/>
          <w:shd w:val="clear" w:color="auto" w:fill="010101"/>
        </w:rPr>
        <w:t>domestic like</w:t>
      </w:r>
      <w:r>
        <w:rPr>
          <w:rFonts w:ascii="Arial"/>
          <w:color w:val="F6F6F6"/>
          <w:w w:val="110"/>
          <w:sz w:val="21"/>
        </w:rPr>
        <w:t xml:space="preserve"> </w:t>
      </w:r>
      <w:r>
        <w:rPr>
          <w:rFonts w:ascii="Arial"/>
          <w:color w:val="F6F6F6"/>
          <w:spacing w:val="-2"/>
          <w:w w:val="110"/>
          <w:sz w:val="21"/>
          <w:shd w:val="clear" w:color="auto" w:fill="010101"/>
        </w:rPr>
        <w:t>products"</w:t>
      </w:r>
      <w:r>
        <w:rPr>
          <w:rFonts w:ascii="Arial"/>
          <w:color w:val="F6F6F6"/>
          <w:spacing w:val="-2"/>
          <w:w w:val="110"/>
          <w:sz w:val="21"/>
        </w:rPr>
        <w:t xml:space="preserve"> </w:t>
      </w:r>
      <w:r>
        <w:rPr>
          <w:rFonts w:ascii="Arial"/>
          <w:color w:val="F6F6F6"/>
          <w:w w:val="110"/>
          <w:sz w:val="21"/>
          <w:shd w:val="clear" w:color="auto" w:fill="010101"/>
        </w:rPr>
        <w:t>(kl)</w:t>
      </w:r>
      <w:r>
        <w:rPr>
          <w:rFonts w:ascii="Times New Roman"/>
          <w:color w:val="DDDDDD"/>
          <w:w w:val="110"/>
          <w:position w:val="7"/>
          <w:sz w:val="15"/>
          <w:shd w:val="clear" w:color="auto" w:fill="010101"/>
        </w:rPr>
        <w:t>913</w:t>
      </w:r>
      <w:r>
        <w:rPr>
          <w:rFonts w:ascii="Times New Roman"/>
          <w:color w:val="DDDDDD"/>
          <w:w w:val="110"/>
          <w:position w:val="7"/>
          <w:sz w:val="15"/>
        </w:rPr>
        <w:t xml:space="preserve"> </w:t>
      </w:r>
      <w:r>
        <w:rPr>
          <w:rFonts w:ascii="Times New Roman"/>
          <w:color w:val="DDDDDD"/>
          <w:w w:val="110"/>
          <w:sz w:val="15"/>
          <w:shd w:val="clear" w:color="auto" w:fill="010101"/>
        </w:rPr>
        <w:t>-</w:t>
      </w:r>
      <w:r>
        <w:rPr>
          <w:rFonts w:ascii="Times New Roman"/>
          <w:color w:val="DDDDDD"/>
          <w:spacing w:val="8"/>
          <w:w w:val="110"/>
          <w:sz w:val="15"/>
          <w:shd w:val="clear" w:color="auto" w:fill="010101"/>
        </w:rPr>
        <w:t xml:space="preserve"> </w:t>
      </w:r>
      <w:r>
        <w:rPr>
          <w:rFonts w:ascii="Times New Roman"/>
          <w:color w:val="DDDDDD"/>
          <w:spacing w:val="8"/>
          <w:w w:val="110"/>
          <w:sz w:val="15"/>
        </w:rPr>
        <w:t xml:space="preserve"> </w:t>
      </w:r>
      <w:r>
        <w:rPr>
          <w:rFonts w:ascii="Arial"/>
          <w:color w:val="F6F6F6"/>
          <w:w w:val="110"/>
          <w:sz w:val="21"/>
          <w:shd w:val="clear" w:color="auto" w:fill="010101"/>
        </w:rPr>
        <w:t>page</w:t>
      </w:r>
      <w:r>
        <w:rPr>
          <w:rFonts w:ascii="Arial"/>
          <w:color w:val="F6F6F6"/>
          <w:w w:val="110"/>
          <w:sz w:val="21"/>
        </w:rPr>
        <w:t xml:space="preserve"> </w:t>
      </w:r>
      <w:r>
        <w:rPr>
          <w:rFonts w:ascii="Arial"/>
          <w:color w:val="F6F6F6"/>
          <w:w w:val="110"/>
          <w:sz w:val="21"/>
          <w:shd w:val="clear" w:color="auto" w:fill="010101"/>
        </w:rPr>
        <w:t>124 of Fina</w:t>
      </w:r>
      <w:r>
        <w:rPr>
          <w:rFonts w:ascii="Arial"/>
          <w:color w:val="F6F6F6"/>
          <w:w w:val="110"/>
          <w:sz w:val="21"/>
        </w:rPr>
        <w:t xml:space="preserve">l </w:t>
      </w:r>
      <w:r>
        <w:rPr>
          <w:rFonts w:ascii="Arial"/>
          <w:color w:val="F6F6F6"/>
          <w:spacing w:val="-2"/>
          <w:w w:val="110"/>
          <w:sz w:val="21"/>
          <w:shd w:val="clear" w:color="auto" w:fill="010101"/>
        </w:rPr>
        <w:t>Determination</w:t>
      </w:r>
    </w:p>
    <w:p w14:paraId="51DE94A4" w14:textId="77777777" w:rsidR="0010369C" w:rsidRDefault="0010369C">
      <w:pPr>
        <w:spacing w:line="290" w:lineRule="auto"/>
        <w:rPr>
          <w:rFonts w:ascii="Arial"/>
          <w:sz w:val="21"/>
        </w:rPr>
        <w:sectPr w:rsidR="0010369C">
          <w:type w:val="continuous"/>
          <w:pgSz w:w="11910" w:h="16840"/>
          <w:pgMar w:top="1460" w:right="800" w:bottom="280" w:left="1180" w:header="0" w:footer="805" w:gutter="0"/>
          <w:cols w:num="2" w:space="720" w:equalWidth="0">
            <w:col w:w="4912" w:space="1306"/>
            <w:col w:w="3712"/>
          </w:cols>
        </w:sectPr>
      </w:pPr>
    </w:p>
    <w:p w14:paraId="51DE94A5" w14:textId="77777777" w:rsidR="0010369C" w:rsidRDefault="0010369C">
      <w:pPr>
        <w:pStyle w:val="BodyText"/>
        <w:rPr>
          <w:rFonts w:ascii="Arial"/>
          <w:sz w:val="20"/>
        </w:rPr>
      </w:pPr>
    </w:p>
    <w:p w14:paraId="51DE94A6" w14:textId="77777777" w:rsidR="0010369C" w:rsidRDefault="0010369C">
      <w:pPr>
        <w:pStyle w:val="BodyText"/>
        <w:rPr>
          <w:rFonts w:ascii="Arial"/>
          <w:sz w:val="20"/>
        </w:rPr>
      </w:pPr>
    </w:p>
    <w:p w14:paraId="51DE94A7" w14:textId="77777777" w:rsidR="0010369C" w:rsidRDefault="0010369C">
      <w:pPr>
        <w:pStyle w:val="BodyText"/>
        <w:rPr>
          <w:rFonts w:ascii="Arial"/>
          <w:sz w:val="20"/>
        </w:rPr>
      </w:pPr>
    </w:p>
    <w:p w14:paraId="51DE94A8" w14:textId="77777777" w:rsidR="0010369C" w:rsidRDefault="0010369C">
      <w:pPr>
        <w:pStyle w:val="BodyText"/>
        <w:rPr>
          <w:rFonts w:ascii="Arial"/>
          <w:sz w:val="20"/>
        </w:rPr>
      </w:pPr>
    </w:p>
    <w:p w14:paraId="51DE94A9" w14:textId="77777777" w:rsidR="0010369C" w:rsidRDefault="0010369C">
      <w:pPr>
        <w:pStyle w:val="BodyText"/>
        <w:rPr>
          <w:rFonts w:ascii="Arial"/>
          <w:sz w:val="20"/>
        </w:rPr>
      </w:pPr>
    </w:p>
    <w:p w14:paraId="51DE94AA" w14:textId="77777777" w:rsidR="0010369C" w:rsidRDefault="0010369C">
      <w:pPr>
        <w:pStyle w:val="BodyText"/>
        <w:spacing w:before="4"/>
        <w:rPr>
          <w:rFonts w:ascii="Arial"/>
          <w:sz w:val="19"/>
        </w:rPr>
      </w:pPr>
    </w:p>
    <w:p w14:paraId="51DE94AB" w14:textId="77777777" w:rsidR="0010369C" w:rsidRDefault="008E43AE">
      <w:pPr>
        <w:tabs>
          <w:tab w:val="left" w:pos="3958"/>
          <w:tab w:val="left" w:pos="5769"/>
          <w:tab w:val="left" w:pos="7573"/>
        </w:tabs>
        <w:spacing w:before="92"/>
        <w:ind w:left="2156"/>
        <w:rPr>
          <w:rFonts w:ascii="Times New Roman"/>
          <w:b/>
        </w:rPr>
      </w:pPr>
      <w:r>
        <w:pict w14:anchorId="51DEA654">
          <v:group id="docshapegroup1242" o:spid="_x0000_s1179" style="position:absolute;left:0;text-align:left;margin-left:76.35pt;margin-top:-70.25pt;width:58.7pt;height:149.4pt;z-index:251866624;mso-position-horizontal-relative:page" coordorigin="1527,-1405" coordsize="1174,2988">
            <v:shape id="docshape1243" o:spid="_x0000_s1182" style="position:absolute;left:1526;top:-814;width:1174;height:2397" coordorigin="1527,-814" coordsize="1174,2397" o:spt="100" adj="0,,0" path="m2001,1277r-461,l1540,1583r461,l2001,1277xm2011,365r-471,l1540,666r,4l1540,967r,4l1540,1272r471,l2011,967r-10,l2001,670r10,l2011,365xm2421,-814r-893,l1528,-526r893,l2421,-814xm2605,-523r-1074,l1531,-236r1074,l2605,-523xm2701,-232r-1174,l1527,55r13,l1540,360r461,l2001,55r700,l2701,-232xe" fillcolor="#010101" stroked="f">
              <v:stroke joinstyle="round"/>
              <v:formulas/>
              <v:path arrowok="t" o:connecttype="segments"/>
            </v:shape>
            <v:shape id="docshape1244" o:spid="_x0000_s1181" type="#_x0000_t202" style="position:absolute;left:1526;top:-814;width:1174;height:2397" filled="f" stroked="f">
              <v:textbox inset="0,0,0,0">
                <w:txbxContent>
                  <w:p w14:paraId="51DEAC9F" w14:textId="77777777" w:rsidR="0010369C" w:rsidRDefault="008E43AE">
                    <w:pPr>
                      <w:spacing w:before="22" w:line="290" w:lineRule="auto"/>
                      <w:rPr>
                        <w:rFonts w:ascii="Times New Roman"/>
                        <w:b/>
                      </w:rPr>
                    </w:pPr>
                    <w:r>
                      <w:rPr>
                        <w:rFonts w:ascii="Arial"/>
                        <w:color w:val="F6F6F6"/>
                        <w:spacing w:val="-2"/>
                        <w:w w:val="110"/>
                        <w:sz w:val="21"/>
                      </w:rPr>
                      <w:t xml:space="preserve">allegedly </w:t>
                    </w:r>
                    <w:r>
                      <w:rPr>
                        <w:rFonts w:ascii="Arial"/>
                        <w:color w:val="F6F6F6"/>
                        <w:w w:val="110"/>
                        <w:sz w:val="21"/>
                      </w:rPr>
                      <w:t>included</w:t>
                    </w:r>
                    <w:r>
                      <w:rPr>
                        <w:rFonts w:ascii="Arial"/>
                        <w:color w:val="F6F6F6"/>
                        <w:spacing w:val="-6"/>
                        <w:w w:val="110"/>
                        <w:sz w:val="21"/>
                      </w:rPr>
                      <w:t xml:space="preserve"> </w:t>
                    </w:r>
                    <w:r>
                      <w:rPr>
                        <w:rFonts w:ascii="Arial"/>
                        <w:color w:val="F6F6F6"/>
                        <w:w w:val="110"/>
                        <w:sz w:val="21"/>
                      </w:rPr>
                      <w:t xml:space="preserve">in </w:t>
                    </w:r>
                    <w:r>
                      <w:rPr>
                        <w:rFonts w:ascii="Arial"/>
                        <w:color w:val="F6F6F6"/>
                        <w:spacing w:val="-2"/>
                        <w:w w:val="105"/>
                        <w:sz w:val="21"/>
                      </w:rPr>
                      <w:t xml:space="preserve">calculations </w:t>
                    </w:r>
                    <w:r>
                      <w:rPr>
                        <w:rFonts w:ascii="Times New Roman"/>
                        <w:b/>
                        <w:color w:val="F6F6F6"/>
                        <w:spacing w:val="-4"/>
                        <w:w w:val="110"/>
                      </w:rPr>
                      <w:t>2015</w:t>
                    </w:r>
                  </w:p>
                  <w:p w14:paraId="51DEACA0" w14:textId="77777777" w:rsidR="0010369C" w:rsidRDefault="008E43AE">
                    <w:pPr>
                      <w:spacing w:before="1"/>
                      <w:ind w:left="13"/>
                      <w:rPr>
                        <w:rFonts w:ascii="Times New Roman"/>
                        <w:b/>
                      </w:rPr>
                    </w:pPr>
                    <w:r>
                      <w:rPr>
                        <w:rFonts w:ascii="Times New Roman"/>
                        <w:b/>
                        <w:color w:val="F6F6F6"/>
                        <w:spacing w:val="-4"/>
                        <w:w w:val="110"/>
                      </w:rPr>
                      <w:t>2016</w:t>
                    </w:r>
                  </w:p>
                  <w:p w14:paraId="51DEACA1" w14:textId="77777777" w:rsidR="0010369C" w:rsidRDefault="008E43AE">
                    <w:pPr>
                      <w:spacing w:before="48"/>
                      <w:ind w:left="13"/>
                      <w:rPr>
                        <w:rFonts w:ascii="Times New Roman"/>
                        <w:b/>
                      </w:rPr>
                    </w:pPr>
                    <w:r>
                      <w:rPr>
                        <w:rFonts w:ascii="Times New Roman"/>
                        <w:b/>
                        <w:color w:val="F6F6F6"/>
                        <w:spacing w:val="-4"/>
                        <w:w w:val="105"/>
                      </w:rPr>
                      <w:t>2017</w:t>
                    </w:r>
                  </w:p>
                  <w:p w14:paraId="51DEACA2" w14:textId="77777777" w:rsidR="0010369C" w:rsidRDefault="008E43AE">
                    <w:pPr>
                      <w:spacing w:before="48"/>
                      <w:ind w:left="13"/>
                      <w:rPr>
                        <w:rFonts w:ascii="Times New Roman"/>
                        <w:b/>
                      </w:rPr>
                    </w:pPr>
                    <w:r>
                      <w:rPr>
                        <w:rFonts w:ascii="Times New Roman"/>
                        <w:b/>
                        <w:color w:val="F6F6F6"/>
                        <w:spacing w:val="-4"/>
                        <w:w w:val="110"/>
                      </w:rPr>
                      <w:t>2018</w:t>
                    </w:r>
                  </w:p>
                  <w:p w14:paraId="51DEACA3" w14:textId="77777777" w:rsidR="0010369C" w:rsidRDefault="008E43AE">
                    <w:pPr>
                      <w:spacing w:before="58"/>
                      <w:ind w:left="13"/>
                      <w:rPr>
                        <w:rFonts w:ascii="Times New Roman"/>
                        <w:b/>
                      </w:rPr>
                    </w:pPr>
                    <w:r>
                      <w:rPr>
                        <w:rFonts w:ascii="Times New Roman"/>
                        <w:b/>
                        <w:color w:val="F6F6F6"/>
                        <w:spacing w:val="-4"/>
                        <w:w w:val="110"/>
                      </w:rPr>
                      <w:t>2019</w:t>
                    </w:r>
                  </w:p>
                </w:txbxContent>
              </v:textbox>
            </v:shape>
            <v:shape id="docshape1245" o:spid="_x0000_s1180" type="#_x0000_t202" style="position:absolute;left:1526;top:-1405;width:1127;height:578" fillcolor="#010101" stroked="f">
              <v:textbox inset="0,0,0,0">
                <w:txbxContent>
                  <w:p w14:paraId="51DEACA4" w14:textId="77777777" w:rsidR="0010369C" w:rsidRDefault="008E43AE">
                    <w:pPr>
                      <w:spacing w:before="17" w:line="288" w:lineRule="auto"/>
                      <w:ind w:left="4" w:right="44" w:hanging="3"/>
                      <w:rPr>
                        <w:rFonts w:ascii="Arial"/>
                        <w:color w:val="000000"/>
                        <w:sz w:val="21"/>
                      </w:rPr>
                    </w:pPr>
                    <w:r>
                      <w:rPr>
                        <w:rFonts w:ascii="Arial"/>
                        <w:color w:val="F6F6F6"/>
                        <w:w w:val="110"/>
                        <w:sz w:val="21"/>
                      </w:rPr>
                      <w:t>Number</w:t>
                    </w:r>
                    <w:r>
                      <w:rPr>
                        <w:rFonts w:ascii="Arial"/>
                        <w:color w:val="F6F6F6"/>
                        <w:spacing w:val="-17"/>
                        <w:w w:val="110"/>
                        <w:sz w:val="21"/>
                      </w:rPr>
                      <w:t xml:space="preserve"> </w:t>
                    </w:r>
                    <w:r>
                      <w:rPr>
                        <w:rFonts w:ascii="Arial"/>
                        <w:color w:val="F6F6F6"/>
                        <w:w w:val="110"/>
                        <w:sz w:val="21"/>
                      </w:rPr>
                      <w:t xml:space="preserve">of </w:t>
                    </w:r>
                    <w:r>
                      <w:rPr>
                        <w:rFonts w:ascii="Arial"/>
                        <w:color w:val="F6F6F6"/>
                        <w:spacing w:val="-2"/>
                        <w:w w:val="110"/>
                        <w:sz w:val="21"/>
                      </w:rPr>
                      <w:t>producers</w:t>
                    </w:r>
                  </w:p>
                </w:txbxContent>
              </v:textbox>
            </v:shape>
            <w10:wrap anchorx="page"/>
          </v:group>
        </w:pict>
      </w:r>
      <w:r>
        <w:rPr>
          <w:rFonts w:ascii="Times New Roman"/>
          <w:b/>
          <w:color w:val="070707"/>
          <w:spacing w:val="-2"/>
          <w:w w:val="110"/>
        </w:rPr>
        <w:t>1,161,000</w:t>
      </w:r>
      <w:r>
        <w:rPr>
          <w:rFonts w:ascii="Times New Roman"/>
          <w:b/>
          <w:color w:val="070707"/>
        </w:rPr>
        <w:tab/>
      </w:r>
      <w:r>
        <w:rPr>
          <w:rFonts w:ascii="Times New Roman"/>
          <w:b/>
          <w:color w:val="070707"/>
          <w:spacing w:val="-2"/>
          <w:w w:val="110"/>
        </w:rPr>
        <w:t>620,000</w:t>
      </w:r>
      <w:r>
        <w:rPr>
          <w:rFonts w:ascii="Times New Roman"/>
          <w:b/>
          <w:color w:val="070707"/>
        </w:rPr>
        <w:tab/>
      </w:r>
      <w:r>
        <w:rPr>
          <w:rFonts w:ascii="Times New Roman"/>
          <w:b/>
          <w:color w:val="070707"/>
          <w:spacing w:val="-2"/>
          <w:w w:val="110"/>
        </w:rPr>
        <w:t>377,600</w:t>
      </w:r>
      <w:r>
        <w:rPr>
          <w:rFonts w:ascii="Times New Roman"/>
          <w:b/>
          <w:color w:val="070707"/>
        </w:rPr>
        <w:tab/>
      </w:r>
      <w:r>
        <w:rPr>
          <w:rFonts w:ascii="Times New Roman"/>
          <w:b/>
          <w:color w:val="070707"/>
          <w:spacing w:val="-2"/>
          <w:w w:val="110"/>
        </w:rPr>
        <w:t>252,800</w:t>
      </w:r>
    </w:p>
    <w:p w14:paraId="51DE94AC" w14:textId="77777777" w:rsidR="0010369C" w:rsidRDefault="0010369C">
      <w:pPr>
        <w:pStyle w:val="BodyText"/>
        <w:spacing w:before="4"/>
        <w:rPr>
          <w:rFonts w:ascii="Times New Roman"/>
          <w:b/>
          <w:sz w:val="22"/>
        </w:rPr>
      </w:pPr>
    </w:p>
    <w:p w14:paraId="51DE94AD" w14:textId="77777777" w:rsidR="0010369C" w:rsidRDefault="008E43AE">
      <w:pPr>
        <w:tabs>
          <w:tab w:val="left" w:pos="3961"/>
          <w:tab w:val="left" w:pos="5769"/>
          <w:tab w:val="left" w:pos="7573"/>
        </w:tabs>
        <w:spacing w:before="91"/>
        <w:ind w:left="2153"/>
        <w:rPr>
          <w:rFonts w:ascii="Times New Roman"/>
          <w:b/>
        </w:rPr>
      </w:pPr>
      <w:r>
        <w:rPr>
          <w:rFonts w:ascii="Times New Roman"/>
          <w:b/>
          <w:color w:val="070707"/>
          <w:spacing w:val="-2"/>
          <w:w w:val="110"/>
        </w:rPr>
        <w:t>679,100</w:t>
      </w:r>
      <w:r>
        <w:rPr>
          <w:rFonts w:ascii="Times New Roman"/>
          <w:b/>
          <w:color w:val="070707"/>
        </w:rPr>
        <w:tab/>
      </w:r>
      <w:r>
        <w:rPr>
          <w:rFonts w:ascii="Times New Roman"/>
          <w:b/>
          <w:color w:val="070707"/>
          <w:spacing w:val="-2"/>
          <w:w w:val="110"/>
        </w:rPr>
        <w:t>480,000</w:t>
      </w:r>
      <w:r>
        <w:rPr>
          <w:rFonts w:ascii="Times New Roman"/>
          <w:b/>
          <w:color w:val="070707"/>
        </w:rPr>
        <w:tab/>
      </w:r>
      <w:r>
        <w:rPr>
          <w:rFonts w:ascii="Times New Roman"/>
          <w:b/>
          <w:color w:val="070707"/>
          <w:spacing w:val="-2"/>
          <w:w w:val="110"/>
        </w:rPr>
        <w:t>374,800</w:t>
      </w:r>
      <w:r>
        <w:rPr>
          <w:rFonts w:ascii="Times New Roman"/>
          <w:b/>
          <w:color w:val="070707"/>
        </w:rPr>
        <w:tab/>
      </w:r>
      <w:r>
        <w:rPr>
          <w:rFonts w:ascii="Times New Roman"/>
          <w:b/>
          <w:color w:val="070707"/>
          <w:spacing w:val="-2"/>
          <w:w w:val="110"/>
        </w:rPr>
        <w:t>227,700</w:t>
      </w:r>
    </w:p>
    <w:p w14:paraId="51DE94AE" w14:textId="77777777" w:rsidR="0010369C" w:rsidRDefault="0010369C">
      <w:pPr>
        <w:pStyle w:val="BodyText"/>
        <w:spacing w:before="1"/>
        <w:rPr>
          <w:rFonts w:ascii="Times New Roman"/>
          <w:b/>
        </w:rPr>
      </w:pPr>
    </w:p>
    <w:p w14:paraId="51DE94AF" w14:textId="77777777" w:rsidR="0010369C" w:rsidRDefault="008E43AE">
      <w:pPr>
        <w:tabs>
          <w:tab w:val="left" w:pos="3963"/>
          <w:tab w:val="left" w:pos="5767"/>
          <w:tab w:val="left" w:pos="7574"/>
        </w:tabs>
        <w:spacing w:before="92"/>
        <w:ind w:left="2155"/>
        <w:rPr>
          <w:rFonts w:ascii="Times New Roman"/>
          <w:b/>
        </w:rPr>
      </w:pPr>
      <w:r>
        <w:rPr>
          <w:rFonts w:ascii="Times New Roman"/>
          <w:b/>
          <w:color w:val="070707"/>
          <w:spacing w:val="-2"/>
          <w:w w:val="110"/>
        </w:rPr>
        <w:t>451,500</w:t>
      </w:r>
      <w:r>
        <w:rPr>
          <w:rFonts w:ascii="Times New Roman"/>
          <w:b/>
          <w:color w:val="070707"/>
        </w:rPr>
        <w:tab/>
      </w:r>
      <w:r>
        <w:rPr>
          <w:rFonts w:ascii="Times New Roman"/>
          <w:b/>
          <w:color w:val="070707"/>
          <w:spacing w:val="-2"/>
          <w:w w:val="110"/>
        </w:rPr>
        <w:t>380,000</w:t>
      </w:r>
      <w:r>
        <w:rPr>
          <w:rFonts w:ascii="Times New Roman"/>
          <w:b/>
          <w:color w:val="070707"/>
        </w:rPr>
        <w:tab/>
      </w:r>
      <w:r>
        <w:rPr>
          <w:rFonts w:ascii="Times New Roman"/>
          <w:b/>
          <w:color w:val="070707"/>
          <w:spacing w:val="-2"/>
          <w:w w:val="110"/>
        </w:rPr>
        <w:t>288,200</w:t>
      </w:r>
      <w:r>
        <w:rPr>
          <w:rFonts w:ascii="Times New Roman"/>
          <w:b/>
          <w:color w:val="070707"/>
        </w:rPr>
        <w:tab/>
      </w:r>
      <w:r>
        <w:rPr>
          <w:rFonts w:ascii="Times New Roman"/>
          <w:b/>
          <w:color w:val="070707"/>
          <w:spacing w:val="-2"/>
          <w:w w:val="110"/>
        </w:rPr>
        <w:t>175,000</w:t>
      </w:r>
    </w:p>
    <w:p w14:paraId="51DE94B0" w14:textId="77777777" w:rsidR="0010369C" w:rsidRDefault="008E43AE">
      <w:pPr>
        <w:spacing w:before="65"/>
        <w:ind w:left="240"/>
        <w:rPr>
          <w:rFonts w:ascii="Arial"/>
          <w:b/>
          <w:sz w:val="20"/>
        </w:rPr>
      </w:pPr>
      <w:r>
        <w:rPr>
          <w:rFonts w:ascii="Arial"/>
          <w:b/>
          <w:color w:val="070707"/>
          <w:spacing w:val="-2"/>
          <w:w w:val="105"/>
          <w:sz w:val="20"/>
        </w:rPr>
        <w:t>Table</w:t>
      </w:r>
      <w:r>
        <w:rPr>
          <w:rFonts w:ascii="Arial"/>
          <w:b/>
          <w:color w:val="070707"/>
          <w:spacing w:val="-8"/>
          <w:w w:val="105"/>
          <w:sz w:val="20"/>
        </w:rPr>
        <w:t xml:space="preserve"> </w:t>
      </w:r>
      <w:r>
        <w:rPr>
          <w:rFonts w:ascii="Arial"/>
          <w:b/>
          <w:color w:val="070707"/>
          <w:spacing w:val="-2"/>
          <w:w w:val="105"/>
          <w:sz w:val="20"/>
        </w:rPr>
        <w:t>2</w:t>
      </w:r>
      <w:r>
        <w:rPr>
          <w:rFonts w:ascii="Arial"/>
          <w:b/>
          <w:color w:val="070707"/>
          <w:spacing w:val="5"/>
          <w:w w:val="105"/>
          <w:sz w:val="20"/>
        </w:rPr>
        <w:t xml:space="preserve"> </w:t>
      </w:r>
      <w:r>
        <w:rPr>
          <w:rFonts w:ascii="Arial"/>
          <w:b/>
          <w:color w:val="070707"/>
          <w:spacing w:val="-2"/>
          <w:w w:val="105"/>
          <w:sz w:val="20"/>
        </w:rPr>
        <w:t>Conflicting</w:t>
      </w:r>
      <w:r>
        <w:rPr>
          <w:rFonts w:ascii="Arial"/>
          <w:b/>
          <w:color w:val="070707"/>
          <w:spacing w:val="-4"/>
          <w:w w:val="105"/>
          <w:sz w:val="20"/>
        </w:rPr>
        <w:t xml:space="preserve"> </w:t>
      </w:r>
      <w:r>
        <w:rPr>
          <w:rFonts w:ascii="Arial"/>
          <w:b/>
          <w:color w:val="070707"/>
          <w:spacing w:val="-2"/>
          <w:w w:val="105"/>
          <w:sz w:val="20"/>
        </w:rPr>
        <w:t>Total</w:t>
      </w:r>
      <w:r>
        <w:rPr>
          <w:rFonts w:ascii="Arial"/>
          <w:b/>
          <w:color w:val="070707"/>
          <w:spacing w:val="-15"/>
          <w:w w:val="105"/>
          <w:sz w:val="20"/>
        </w:rPr>
        <w:t xml:space="preserve"> </w:t>
      </w:r>
      <w:r>
        <w:rPr>
          <w:rFonts w:ascii="Arial"/>
          <w:b/>
          <w:color w:val="070707"/>
          <w:spacing w:val="-2"/>
          <w:w w:val="105"/>
          <w:sz w:val="20"/>
        </w:rPr>
        <w:t>Domestic</w:t>
      </w:r>
      <w:r>
        <w:rPr>
          <w:rFonts w:ascii="Arial"/>
          <w:b/>
          <w:color w:val="070707"/>
          <w:spacing w:val="-9"/>
          <w:w w:val="105"/>
          <w:sz w:val="20"/>
        </w:rPr>
        <w:t xml:space="preserve"> </w:t>
      </w:r>
      <w:r>
        <w:rPr>
          <w:rFonts w:ascii="Arial"/>
          <w:b/>
          <w:color w:val="070707"/>
          <w:spacing w:val="-2"/>
          <w:w w:val="105"/>
          <w:sz w:val="20"/>
        </w:rPr>
        <w:t>Production</w:t>
      </w:r>
      <w:r>
        <w:rPr>
          <w:rFonts w:ascii="Arial"/>
          <w:b/>
          <w:color w:val="070707"/>
          <w:spacing w:val="11"/>
          <w:w w:val="105"/>
          <w:sz w:val="20"/>
        </w:rPr>
        <w:t xml:space="preserve"> </w:t>
      </w:r>
      <w:r>
        <w:rPr>
          <w:rFonts w:ascii="Arial"/>
          <w:b/>
          <w:color w:val="070707"/>
          <w:spacing w:val="-2"/>
          <w:w w:val="105"/>
          <w:sz w:val="20"/>
        </w:rPr>
        <w:t>Figures</w:t>
      </w:r>
    </w:p>
    <w:p w14:paraId="51DE94B1" w14:textId="77777777" w:rsidR="0010369C" w:rsidRDefault="0010369C">
      <w:pPr>
        <w:pStyle w:val="BodyText"/>
        <w:spacing w:before="10"/>
        <w:rPr>
          <w:rFonts w:ascii="Arial"/>
          <w:b/>
          <w:sz w:val="21"/>
        </w:rPr>
      </w:pPr>
    </w:p>
    <w:p w14:paraId="51DE94B2" w14:textId="77777777" w:rsidR="0010369C" w:rsidRDefault="008E43AE">
      <w:pPr>
        <w:spacing w:line="434" w:lineRule="auto"/>
        <w:ind w:left="240" w:right="578" w:hanging="7"/>
        <w:jc w:val="both"/>
        <w:rPr>
          <w:rFonts w:ascii="Arial"/>
          <w:sz w:val="21"/>
        </w:rPr>
      </w:pPr>
      <w:r>
        <w:rPr>
          <w:rFonts w:ascii="Arial"/>
          <w:color w:val="1D1D1D"/>
          <w:w w:val="105"/>
          <w:sz w:val="21"/>
        </w:rPr>
        <w:t>764.</w:t>
      </w:r>
      <w:r>
        <w:rPr>
          <w:rFonts w:ascii="Arial"/>
          <w:color w:val="1D1D1D"/>
          <w:spacing w:val="80"/>
          <w:w w:val="105"/>
          <w:sz w:val="21"/>
        </w:rPr>
        <w:t xml:space="preserve">   </w:t>
      </w:r>
      <w:r>
        <w:rPr>
          <w:rFonts w:ascii="Arial"/>
          <w:color w:val="1D1D1D"/>
          <w:w w:val="105"/>
          <w:sz w:val="21"/>
        </w:rPr>
        <w:t xml:space="preserve">As a </w:t>
      </w:r>
      <w:r>
        <w:rPr>
          <w:rFonts w:ascii="Arial"/>
          <w:color w:val="070707"/>
          <w:w w:val="105"/>
          <w:sz w:val="21"/>
        </w:rPr>
        <w:t xml:space="preserve">result </w:t>
      </w:r>
      <w:r>
        <w:rPr>
          <w:rFonts w:ascii="Arial"/>
          <w:color w:val="1D1D1D"/>
          <w:w w:val="105"/>
          <w:sz w:val="21"/>
        </w:rPr>
        <w:t>of</w:t>
      </w:r>
      <w:r>
        <w:rPr>
          <w:rFonts w:ascii="Arial"/>
          <w:color w:val="1D1D1D"/>
          <w:spacing w:val="35"/>
          <w:w w:val="105"/>
          <w:sz w:val="21"/>
        </w:rPr>
        <w:t xml:space="preserve"> </w:t>
      </w:r>
      <w:r>
        <w:rPr>
          <w:rFonts w:ascii="Arial"/>
          <w:color w:val="1D1D1D"/>
          <w:w w:val="105"/>
          <w:sz w:val="21"/>
        </w:rPr>
        <w:t xml:space="preserve">those errors, </w:t>
      </w:r>
      <w:r>
        <w:rPr>
          <w:rFonts w:ascii="Arial"/>
          <w:color w:val="070707"/>
          <w:w w:val="105"/>
          <w:sz w:val="21"/>
        </w:rPr>
        <w:t xml:space="preserve">an unbiased and </w:t>
      </w:r>
      <w:r>
        <w:rPr>
          <w:rFonts w:ascii="Arial"/>
          <w:color w:val="1D1D1D"/>
          <w:w w:val="105"/>
          <w:sz w:val="21"/>
        </w:rPr>
        <w:t>objective investigating authority</w:t>
      </w:r>
      <w:r>
        <w:rPr>
          <w:rFonts w:ascii="Arial"/>
          <w:color w:val="1D1D1D"/>
          <w:spacing w:val="27"/>
          <w:w w:val="105"/>
          <w:sz w:val="21"/>
        </w:rPr>
        <w:t xml:space="preserve"> </w:t>
      </w:r>
      <w:r>
        <w:rPr>
          <w:rFonts w:ascii="Arial"/>
          <w:color w:val="1D1D1D"/>
          <w:w w:val="105"/>
          <w:sz w:val="21"/>
        </w:rPr>
        <w:t xml:space="preserve">could </w:t>
      </w:r>
      <w:r>
        <w:rPr>
          <w:rFonts w:ascii="Arial"/>
          <w:color w:val="070707"/>
          <w:w w:val="105"/>
          <w:sz w:val="21"/>
        </w:rPr>
        <w:t>not</w:t>
      </w:r>
      <w:r>
        <w:rPr>
          <w:rFonts w:ascii="Arial"/>
          <w:color w:val="070707"/>
          <w:spacing w:val="40"/>
          <w:w w:val="105"/>
          <w:sz w:val="21"/>
        </w:rPr>
        <w:t xml:space="preserve"> </w:t>
      </w:r>
      <w:r>
        <w:rPr>
          <w:rFonts w:ascii="Arial"/>
          <w:color w:val="070707"/>
          <w:w w:val="105"/>
          <w:sz w:val="21"/>
        </w:rPr>
        <w:t>have</w:t>
      </w:r>
      <w:r>
        <w:rPr>
          <w:rFonts w:ascii="Arial"/>
          <w:color w:val="070707"/>
          <w:spacing w:val="20"/>
          <w:w w:val="105"/>
          <w:sz w:val="21"/>
        </w:rPr>
        <w:t xml:space="preserve"> </w:t>
      </w:r>
      <w:r>
        <w:rPr>
          <w:rFonts w:ascii="Arial"/>
          <w:color w:val="070707"/>
          <w:w w:val="105"/>
          <w:sz w:val="21"/>
        </w:rPr>
        <w:t xml:space="preserve">determined </w:t>
      </w:r>
      <w:r>
        <w:rPr>
          <w:rFonts w:ascii="Arial"/>
          <w:color w:val="1D1D1D"/>
          <w:w w:val="105"/>
          <w:sz w:val="21"/>
        </w:rPr>
        <w:t>that</w:t>
      </w:r>
      <w:r>
        <w:rPr>
          <w:rFonts w:ascii="Arial"/>
          <w:color w:val="1D1D1D"/>
          <w:spacing w:val="18"/>
          <w:w w:val="105"/>
          <w:sz w:val="21"/>
        </w:rPr>
        <w:t xml:space="preserve"> </w:t>
      </w:r>
      <w:r>
        <w:rPr>
          <w:rFonts w:ascii="Arial"/>
          <w:color w:val="070707"/>
          <w:w w:val="105"/>
          <w:sz w:val="21"/>
        </w:rPr>
        <w:t xml:space="preserve">the </w:t>
      </w:r>
      <w:r>
        <w:rPr>
          <w:rFonts w:ascii="Arial"/>
          <w:color w:val="1D1D1D"/>
          <w:w w:val="105"/>
          <w:sz w:val="21"/>
        </w:rPr>
        <w:t>applicant</w:t>
      </w:r>
      <w:r>
        <w:rPr>
          <w:rFonts w:ascii="Arial"/>
          <w:color w:val="1D1D1D"/>
          <w:spacing w:val="20"/>
          <w:w w:val="105"/>
          <w:sz w:val="21"/>
        </w:rPr>
        <w:t xml:space="preserve"> </w:t>
      </w:r>
      <w:r>
        <w:rPr>
          <w:rFonts w:ascii="Arial"/>
          <w:color w:val="1D1D1D"/>
          <w:w w:val="105"/>
          <w:sz w:val="21"/>
        </w:rPr>
        <w:t>had standing</w:t>
      </w:r>
      <w:r>
        <w:rPr>
          <w:rFonts w:ascii="Arial"/>
          <w:color w:val="1D1D1D"/>
          <w:spacing w:val="-6"/>
          <w:w w:val="105"/>
          <w:sz w:val="21"/>
        </w:rPr>
        <w:t xml:space="preserve"> </w:t>
      </w:r>
      <w:r>
        <w:rPr>
          <w:rFonts w:ascii="Arial"/>
          <w:color w:val="1D1D1D"/>
          <w:w w:val="105"/>
          <w:sz w:val="21"/>
        </w:rPr>
        <w:t xml:space="preserve">pursuant </w:t>
      </w:r>
      <w:r>
        <w:rPr>
          <w:rFonts w:ascii="Arial"/>
          <w:color w:val="070707"/>
          <w:w w:val="105"/>
          <w:sz w:val="21"/>
        </w:rPr>
        <w:t>to</w:t>
      </w:r>
      <w:r>
        <w:rPr>
          <w:rFonts w:ascii="Arial"/>
          <w:color w:val="070707"/>
          <w:spacing w:val="40"/>
          <w:w w:val="105"/>
          <w:sz w:val="21"/>
        </w:rPr>
        <w:t xml:space="preserve"> </w:t>
      </w:r>
      <w:r>
        <w:rPr>
          <w:rFonts w:ascii="Arial"/>
          <w:color w:val="1D1D1D"/>
          <w:w w:val="105"/>
          <w:sz w:val="21"/>
        </w:rPr>
        <w:t>Article</w:t>
      </w:r>
      <w:r>
        <w:rPr>
          <w:rFonts w:ascii="Arial"/>
          <w:color w:val="1D1D1D"/>
          <w:spacing w:val="25"/>
          <w:w w:val="105"/>
          <w:sz w:val="21"/>
        </w:rPr>
        <w:t xml:space="preserve"> </w:t>
      </w:r>
      <w:r>
        <w:rPr>
          <w:rFonts w:ascii="Arial"/>
          <w:color w:val="1D1D1D"/>
          <w:w w:val="105"/>
          <w:sz w:val="21"/>
        </w:rPr>
        <w:t>5.4, which</w:t>
      </w:r>
      <w:r>
        <w:rPr>
          <w:rFonts w:ascii="Arial"/>
          <w:color w:val="1D1D1D"/>
          <w:spacing w:val="20"/>
          <w:w w:val="105"/>
          <w:sz w:val="21"/>
        </w:rPr>
        <w:t xml:space="preserve"> </w:t>
      </w:r>
      <w:r>
        <w:rPr>
          <w:rFonts w:ascii="Arial"/>
          <w:color w:val="1D1D1D"/>
          <w:w w:val="105"/>
          <w:sz w:val="21"/>
        </w:rPr>
        <w:t xml:space="preserve">resulted </w:t>
      </w:r>
      <w:r>
        <w:rPr>
          <w:rFonts w:ascii="Arial"/>
          <w:color w:val="070707"/>
          <w:w w:val="105"/>
          <w:sz w:val="21"/>
        </w:rPr>
        <w:t>in the</w:t>
      </w:r>
      <w:r>
        <w:rPr>
          <w:rFonts w:ascii="Arial"/>
          <w:color w:val="070707"/>
          <w:spacing w:val="40"/>
          <w:w w:val="105"/>
          <w:sz w:val="21"/>
        </w:rPr>
        <w:t xml:space="preserve"> </w:t>
      </w:r>
      <w:r>
        <w:rPr>
          <w:rFonts w:ascii="Arial"/>
          <w:color w:val="1D1D1D"/>
          <w:w w:val="105"/>
          <w:sz w:val="21"/>
        </w:rPr>
        <w:t>initiation</w:t>
      </w:r>
      <w:r>
        <w:rPr>
          <w:rFonts w:ascii="Arial"/>
          <w:color w:val="1D1D1D"/>
          <w:spacing w:val="40"/>
          <w:w w:val="105"/>
          <w:sz w:val="21"/>
        </w:rPr>
        <w:t xml:space="preserve"> </w:t>
      </w:r>
      <w:r>
        <w:rPr>
          <w:rFonts w:ascii="Arial"/>
          <w:color w:val="1D1D1D"/>
          <w:w w:val="105"/>
          <w:sz w:val="21"/>
        </w:rPr>
        <w:t>of the investigation contrary to</w:t>
      </w:r>
      <w:r>
        <w:rPr>
          <w:rFonts w:ascii="Arial"/>
          <w:color w:val="1D1D1D"/>
          <w:spacing w:val="40"/>
          <w:w w:val="105"/>
          <w:sz w:val="21"/>
        </w:rPr>
        <w:t xml:space="preserve"> </w:t>
      </w:r>
      <w:r>
        <w:rPr>
          <w:rFonts w:ascii="Arial"/>
          <w:color w:val="1D1D1D"/>
          <w:w w:val="105"/>
          <w:sz w:val="21"/>
        </w:rPr>
        <w:t>that provision.</w:t>
      </w:r>
    </w:p>
    <w:p w14:paraId="51DE94B3" w14:textId="77777777" w:rsidR="0010369C" w:rsidRDefault="008E43AE">
      <w:pPr>
        <w:tabs>
          <w:tab w:val="left" w:pos="1945"/>
        </w:tabs>
        <w:spacing w:before="176" w:line="465" w:lineRule="auto"/>
        <w:ind w:left="1945" w:right="582" w:hanging="847"/>
        <w:rPr>
          <w:rFonts w:ascii="Arial"/>
          <w:b/>
          <w:sz w:val="20"/>
        </w:rPr>
      </w:pPr>
      <w:r>
        <w:rPr>
          <w:rFonts w:ascii="Times New Roman"/>
          <w:b/>
          <w:color w:val="070707"/>
          <w:spacing w:val="-6"/>
          <w:sz w:val="25"/>
        </w:rPr>
        <w:t>8.</w:t>
      </w:r>
      <w:r>
        <w:rPr>
          <w:rFonts w:ascii="Times New Roman"/>
          <w:b/>
          <w:color w:val="070707"/>
          <w:sz w:val="25"/>
        </w:rPr>
        <w:tab/>
      </w:r>
      <w:r>
        <w:rPr>
          <w:rFonts w:ascii="Arial"/>
          <w:b/>
          <w:color w:val="070707"/>
          <w:sz w:val="20"/>
        </w:rPr>
        <w:t>THE</w:t>
      </w:r>
      <w:r>
        <w:rPr>
          <w:rFonts w:ascii="Arial"/>
          <w:b/>
          <w:color w:val="070707"/>
          <w:spacing w:val="30"/>
          <w:sz w:val="20"/>
        </w:rPr>
        <w:t xml:space="preserve"> </w:t>
      </w:r>
      <w:r>
        <w:rPr>
          <w:rFonts w:ascii="Arial"/>
          <w:b/>
          <w:color w:val="070707"/>
          <w:sz w:val="20"/>
        </w:rPr>
        <w:t>APPLICATION</w:t>
      </w:r>
      <w:r>
        <w:rPr>
          <w:rFonts w:ascii="Arial"/>
          <w:b/>
          <w:color w:val="070707"/>
          <w:spacing w:val="35"/>
          <w:sz w:val="20"/>
        </w:rPr>
        <w:t xml:space="preserve"> </w:t>
      </w:r>
      <w:r>
        <w:rPr>
          <w:rFonts w:ascii="Arial"/>
          <w:b/>
          <w:color w:val="070707"/>
          <w:sz w:val="20"/>
        </w:rPr>
        <w:t>DID</w:t>
      </w:r>
      <w:r>
        <w:rPr>
          <w:rFonts w:ascii="Arial"/>
          <w:b/>
          <w:color w:val="070707"/>
          <w:spacing w:val="19"/>
          <w:sz w:val="20"/>
        </w:rPr>
        <w:t xml:space="preserve"> </w:t>
      </w:r>
      <w:r>
        <w:rPr>
          <w:rFonts w:ascii="Arial"/>
          <w:b/>
          <w:color w:val="070707"/>
          <w:sz w:val="20"/>
        </w:rPr>
        <w:t>NOT</w:t>
      </w:r>
      <w:r>
        <w:rPr>
          <w:rFonts w:ascii="Arial"/>
          <w:b/>
          <w:color w:val="070707"/>
          <w:spacing w:val="26"/>
          <w:sz w:val="20"/>
        </w:rPr>
        <w:t xml:space="preserve"> </w:t>
      </w:r>
      <w:r>
        <w:rPr>
          <w:rFonts w:ascii="Arial"/>
          <w:b/>
          <w:color w:val="070707"/>
          <w:sz w:val="20"/>
        </w:rPr>
        <w:t>CONTAIN</w:t>
      </w:r>
      <w:r>
        <w:rPr>
          <w:rFonts w:ascii="Arial"/>
          <w:b/>
          <w:color w:val="070707"/>
          <w:spacing w:val="40"/>
          <w:sz w:val="20"/>
        </w:rPr>
        <w:t xml:space="preserve"> </w:t>
      </w:r>
      <w:r>
        <w:rPr>
          <w:rFonts w:ascii="Arial"/>
          <w:b/>
          <w:color w:val="070707"/>
          <w:sz w:val="20"/>
        </w:rPr>
        <w:t>A</w:t>
      </w:r>
      <w:r>
        <w:rPr>
          <w:rFonts w:ascii="Arial"/>
          <w:b/>
          <w:color w:val="070707"/>
          <w:spacing w:val="29"/>
          <w:sz w:val="20"/>
        </w:rPr>
        <w:t xml:space="preserve"> </w:t>
      </w:r>
      <w:r>
        <w:rPr>
          <w:rFonts w:ascii="Arial"/>
          <w:b/>
          <w:color w:val="070707"/>
          <w:sz w:val="20"/>
        </w:rPr>
        <w:t>LIST</w:t>
      </w:r>
      <w:r>
        <w:rPr>
          <w:rFonts w:ascii="Arial"/>
          <w:b/>
          <w:color w:val="070707"/>
          <w:spacing w:val="30"/>
          <w:sz w:val="20"/>
        </w:rPr>
        <w:t xml:space="preserve"> </w:t>
      </w:r>
      <w:r>
        <w:rPr>
          <w:rFonts w:ascii="Arial"/>
          <w:b/>
          <w:color w:val="070707"/>
          <w:sz w:val="20"/>
        </w:rPr>
        <w:t>OF</w:t>
      </w:r>
      <w:r>
        <w:rPr>
          <w:rFonts w:ascii="Arial"/>
          <w:b/>
          <w:color w:val="070707"/>
          <w:spacing w:val="29"/>
          <w:sz w:val="20"/>
        </w:rPr>
        <w:t xml:space="preserve"> </w:t>
      </w:r>
      <w:r>
        <w:rPr>
          <w:rFonts w:ascii="Arial"/>
          <w:b/>
          <w:color w:val="070707"/>
          <w:sz w:val="20"/>
        </w:rPr>
        <w:t>ALL</w:t>
      </w:r>
      <w:r>
        <w:rPr>
          <w:rFonts w:ascii="Arial"/>
          <w:b/>
          <w:color w:val="070707"/>
          <w:spacing w:val="30"/>
          <w:sz w:val="20"/>
        </w:rPr>
        <w:t xml:space="preserve"> </w:t>
      </w:r>
      <w:r>
        <w:rPr>
          <w:rFonts w:ascii="Arial"/>
          <w:b/>
          <w:color w:val="070707"/>
          <w:sz w:val="20"/>
        </w:rPr>
        <w:t>KNOWN</w:t>
      </w:r>
      <w:r>
        <w:rPr>
          <w:rFonts w:ascii="Arial"/>
          <w:b/>
          <w:color w:val="070707"/>
          <w:spacing w:val="24"/>
          <w:sz w:val="20"/>
        </w:rPr>
        <w:t xml:space="preserve"> </w:t>
      </w:r>
      <w:r>
        <w:rPr>
          <w:rFonts w:ascii="Arial"/>
          <w:b/>
          <w:color w:val="070707"/>
          <w:sz w:val="20"/>
        </w:rPr>
        <w:t xml:space="preserve">DOMESTIC </w:t>
      </w:r>
      <w:r>
        <w:rPr>
          <w:rFonts w:ascii="Arial"/>
          <w:b/>
          <w:color w:val="070707"/>
          <w:w w:val="90"/>
          <w:sz w:val="20"/>
        </w:rPr>
        <w:t>PRODUCERS</w:t>
      </w:r>
      <w:r>
        <w:rPr>
          <w:rFonts w:ascii="Arial"/>
          <w:b/>
          <w:color w:val="070707"/>
          <w:sz w:val="20"/>
        </w:rPr>
        <w:t xml:space="preserve"> </w:t>
      </w:r>
      <w:r>
        <w:rPr>
          <w:rFonts w:ascii="Arial"/>
          <w:b/>
          <w:color w:val="070707"/>
          <w:w w:val="90"/>
          <w:sz w:val="20"/>
        </w:rPr>
        <w:t>OF</w:t>
      </w:r>
      <w:r>
        <w:rPr>
          <w:rFonts w:ascii="Arial"/>
          <w:b/>
          <w:color w:val="070707"/>
          <w:spacing w:val="-5"/>
          <w:w w:val="90"/>
          <w:sz w:val="20"/>
        </w:rPr>
        <w:t xml:space="preserve"> </w:t>
      </w:r>
      <w:r>
        <w:rPr>
          <w:rFonts w:ascii="Arial"/>
          <w:b/>
          <w:color w:val="070707"/>
          <w:w w:val="90"/>
          <w:sz w:val="20"/>
        </w:rPr>
        <w:t>THE LIKE PRODUCTS</w:t>
      </w:r>
    </w:p>
    <w:p w14:paraId="51DE94B4" w14:textId="77777777" w:rsidR="0010369C" w:rsidRDefault="008E43AE">
      <w:pPr>
        <w:spacing w:before="176" w:line="436" w:lineRule="auto"/>
        <w:ind w:left="231" w:right="570" w:firstLine="3"/>
        <w:jc w:val="both"/>
        <w:rPr>
          <w:rFonts w:ascii="Arial"/>
          <w:sz w:val="21"/>
        </w:rPr>
      </w:pPr>
      <w:r>
        <w:rPr>
          <w:rFonts w:ascii="Arial"/>
          <w:color w:val="1D1D1D"/>
          <w:w w:val="105"/>
          <w:sz w:val="21"/>
        </w:rPr>
        <w:t>765.</w:t>
      </w:r>
      <w:r>
        <w:rPr>
          <w:rFonts w:ascii="Arial"/>
          <w:color w:val="1D1D1D"/>
          <w:spacing w:val="80"/>
          <w:w w:val="105"/>
          <w:sz w:val="21"/>
        </w:rPr>
        <w:t xml:space="preserve">  </w:t>
      </w:r>
      <w:r>
        <w:rPr>
          <w:rFonts w:ascii="Arial"/>
          <w:color w:val="1D1D1D"/>
          <w:w w:val="105"/>
          <w:sz w:val="21"/>
        </w:rPr>
        <w:t xml:space="preserve">Pursuant </w:t>
      </w:r>
      <w:r>
        <w:rPr>
          <w:rFonts w:ascii="Arial"/>
          <w:color w:val="070707"/>
          <w:w w:val="105"/>
          <w:sz w:val="21"/>
        </w:rPr>
        <w:t>to</w:t>
      </w:r>
      <w:r>
        <w:rPr>
          <w:rFonts w:ascii="Arial"/>
          <w:color w:val="070707"/>
          <w:spacing w:val="40"/>
          <w:w w:val="105"/>
          <w:sz w:val="21"/>
        </w:rPr>
        <w:t xml:space="preserve"> </w:t>
      </w:r>
      <w:r>
        <w:rPr>
          <w:rFonts w:ascii="Arial"/>
          <w:color w:val="1D1D1D"/>
          <w:w w:val="105"/>
          <w:sz w:val="21"/>
        </w:rPr>
        <w:t>Article 5.2(i) of the</w:t>
      </w:r>
      <w:r>
        <w:rPr>
          <w:rFonts w:ascii="Arial"/>
          <w:color w:val="1D1D1D"/>
          <w:spacing w:val="40"/>
          <w:w w:val="105"/>
          <w:sz w:val="21"/>
        </w:rPr>
        <w:t xml:space="preserve"> </w:t>
      </w:r>
      <w:r>
        <w:rPr>
          <w:rFonts w:ascii="Arial"/>
          <w:color w:val="1D1D1D"/>
          <w:w w:val="105"/>
          <w:sz w:val="21"/>
        </w:rPr>
        <w:t xml:space="preserve">Anti-Dumping Agreement, where an application is </w:t>
      </w:r>
      <w:r>
        <w:rPr>
          <w:rFonts w:ascii="Arial"/>
          <w:color w:val="070707"/>
          <w:w w:val="105"/>
          <w:sz w:val="21"/>
        </w:rPr>
        <w:t xml:space="preserve">made </w:t>
      </w:r>
      <w:r>
        <w:rPr>
          <w:rFonts w:ascii="Arial"/>
          <w:color w:val="1D1D1D"/>
          <w:w w:val="105"/>
          <w:sz w:val="21"/>
        </w:rPr>
        <w:t xml:space="preserve">on </w:t>
      </w:r>
      <w:r>
        <w:rPr>
          <w:rFonts w:ascii="Arial"/>
          <w:color w:val="070707"/>
          <w:w w:val="105"/>
          <w:sz w:val="21"/>
        </w:rPr>
        <w:t xml:space="preserve">behalf </w:t>
      </w:r>
      <w:r>
        <w:rPr>
          <w:rFonts w:ascii="Arial"/>
          <w:color w:val="1D1D1D"/>
          <w:w w:val="105"/>
          <w:sz w:val="21"/>
        </w:rPr>
        <w:t xml:space="preserve">of the </w:t>
      </w:r>
      <w:r>
        <w:rPr>
          <w:rFonts w:ascii="Arial"/>
          <w:color w:val="070707"/>
          <w:w w:val="105"/>
          <w:sz w:val="21"/>
        </w:rPr>
        <w:t xml:space="preserve">domestic </w:t>
      </w:r>
      <w:r>
        <w:rPr>
          <w:rFonts w:ascii="Arial"/>
          <w:color w:val="1D1D1D"/>
          <w:w w:val="105"/>
          <w:sz w:val="21"/>
        </w:rPr>
        <w:t xml:space="preserve">industry, </w:t>
      </w:r>
      <w:r>
        <w:rPr>
          <w:rFonts w:ascii="Arial"/>
          <w:color w:val="070707"/>
          <w:w w:val="105"/>
          <w:sz w:val="21"/>
        </w:rPr>
        <w:t xml:space="preserve">it </w:t>
      </w:r>
      <w:r>
        <w:rPr>
          <w:rFonts w:ascii="Arial"/>
          <w:color w:val="1D1D1D"/>
          <w:w w:val="105"/>
          <w:sz w:val="21"/>
        </w:rPr>
        <w:t xml:space="preserve">must contain "a </w:t>
      </w:r>
      <w:r>
        <w:rPr>
          <w:rFonts w:ascii="Arial"/>
          <w:color w:val="070707"/>
          <w:w w:val="105"/>
          <w:sz w:val="21"/>
        </w:rPr>
        <w:t xml:space="preserve">list </w:t>
      </w:r>
      <w:r>
        <w:rPr>
          <w:rFonts w:ascii="Arial"/>
          <w:color w:val="1D1D1D"/>
          <w:w w:val="105"/>
          <w:sz w:val="21"/>
        </w:rPr>
        <w:t xml:space="preserve">of all known domestic </w:t>
      </w:r>
      <w:r>
        <w:rPr>
          <w:rFonts w:ascii="Arial"/>
          <w:color w:val="070707"/>
          <w:w w:val="105"/>
          <w:sz w:val="21"/>
        </w:rPr>
        <w:t>producers</w:t>
      </w:r>
      <w:r>
        <w:rPr>
          <w:rFonts w:ascii="Arial"/>
          <w:color w:val="070707"/>
          <w:spacing w:val="-1"/>
          <w:w w:val="105"/>
          <w:sz w:val="21"/>
        </w:rPr>
        <w:t xml:space="preserve"> </w:t>
      </w:r>
      <w:r>
        <w:rPr>
          <w:rFonts w:ascii="Arial"/>
          <w:color w:val="1D1D1D"/>
          <w:w w:val="105"/>
          <w:sz w:val="21"/>
        </w:rPr>
        <w:t xml:space="preserve">of </w:t>
      </w:r>
      <w:r>
        <w:rPr>
          <w:rFonts w:ascii="Arial"/>
          <w:color w:val="070707"/>
          <w:w w:val="105"/>
          <w:sz w:val="21"/>
        </w:rPr>
        <w:t xml:space="preserve">the </w:t>
      </w:r>
      <w:r>
        <w:rPr>
          <w:rFonts w:ascii="Arial"/>
          <w:color w:val="1D1D1D"/>
          <w:w w:val="105"/>
          <w:sz w:val="21"/>
        </w:rPr>
        <w:t>like</w:t>
      </w:r>
      <w:r>
        <w:rPr>
          <w:rFonts w:ascii="Arial"/>
          <w:color w:val="1D1D1D"/>
          <w:spacing w:val="-7"/>
          <w:w w:val="105"/>
          <w:sz w:val="21"/>
        </w:rPr>
        <w:t xml:space="preserve"> </w:t>
      </w:r>
      <w:r>
        <w:rPr>
          <w:rFonts w:ascii="Arial"/>
          <w:color w:val="070707"/>
          <w:w w:val="105"/>
          <w:sz w:val="21"/>
        </w:rPr>
        <w:t xml:space="preserve">product </w:t>
      </w:r>
      <w:r>
        <w:rPr>
          <w:rFonts w:ascii="Arial"/>
          <w:color w:val="1D1D1D"/>
          <w:w w:val="105"/>
          <w:sz w:val="21"/>
        </w:rPr>
        <w:t>(or associations of domestic producers of the</w:t>
      </w:r>
      <w:r>
        <w:rPr>
          <w:rFonts w:ascii="Arial"/>
          <w:color w:val="1D1D1D"/>
          <w:spacing w:val="31"/>
          <w:w w:val="105"/>
          <w:sz w:val="21"/>
        </w:rPr>
        <w:t xml:space="preserve"> </w:t>
      </w:r>
      <w:r>
        <w:rPr>
          <w:rFonts w:ascii="Arial"/>
          <w:color w:val="070707"/>
          <w:w w:val="105"/>
          <w:sz w:val="21"/>
        </w:rPr>
        <w:t>like</w:t>
      </w:r>
      <w:r>
        <w:rPr>
          <w:rFonts w:ascii="Arial"/>
          <w:color w:val="070707"/>
          <w:spacing w:val="-16"/>
          <w:w w:val="105"/>
          <w:sz w:val="21"/>
        </w:rPr>
        <w:t xml:space="preserve"> </w:t>
      </w:r>
      <w:r>
        <w:rPr>
          <w:rFonts w:ascii="Arial"/>
          <w:color w:val="1D1D1D"/>
          <w:w w:val="105"/>
          <w:sz w:val="21"/>
        </w:rPr>
        <w:t>product) and, to</w:t>
      </w:r>
      <w:r>
        <w:rPr>
          <w:rFonts w:ascii="Arial"/>
          <w:color w:val="1D1D1D"/>
          <w:spacing w:val="40"/>
          <w:w w:val="105"/>
          <w:sz w:val="21"/>
        </w:rPr>
        <w:t xml:space="preserve"> </w:t>
      </w:r>
      <w:r>
        <w:rPr>
          <w:rFonts w:ascii="Arial"/>
          <w:color w:val="1D1D1D"/>
          <w:w w:val="105"/>
          <w:sz w:val="21"/>
        </w:rPr>
        <w:t>the</w:t>
      </w:r>
      <w:r>
        <w:rPr>
          <w:rFonts w:ascii="Arial"/>
          <w:color w:val="1D1D1D"/>
          <w:spacing w:val="32"/>
          <w:w w:val="105"/>
          <w:sz w:val="21"/>
        </w:rPr>
        <w:t xml:space="preserve"> </w:t>
      </w:r>
      <w:r>
        <w:rPr>
          <w:rFonts w:ascii="Arial"/>
          <w:color w:val="1D1D1D"/>
          <w:w w:val="105"/>
          <w:sz w:val="21"/>
        </w:rPr>
        <w:t xml:space="preserve">extent possible, a </w:t>
      </w:r>
      <w:r>
        <w:rPr>
          <w:rFonts w:ascii="Arial"/>
          <w:color w:val="070707"/>
          <w:w w:val="105"/>
          <w:sz w:val="21"/>
        </w:rPr>
        <w:t xml:space="preserve">description </w:t>
      </w:r>
      <w:r>
        <w:rPr>
          <w:rFonts w:ascii="Arial"/>
          <w:color w:val="1D1D1D"/>
          <w:w w:val="105"/>
          <w:sz w:val="21"/>
        </w:rPr>
        <w:t>of the</w:t>
      </w:r>
      <w:r>
        <w:rPr>
          <w:rFonts w:ascii="Arial"/>
          <w:color w:val="1D1D1D"/>
          <w:spacing w:val="30"/>
          <w:w w:val="105"/>
          <w:sz w:val="21"/>
        </w:rPr>
        <w:t xml:space="preserve"> </w:t>
      </w:r>
      <w:r>
        <w:rPr>
          <w:rFonts w:ascii="Arial"/>
          <w:color w:val="1D1D1D"/>
          <w:w w:val="105"/>
          <w:sz w:val="21"/>
        </w:rPr>
        <w:t>volume and value of</w:t>
      </w:r>
      <w:r>
        <w:rPr>
          <w:rFonts w:ascii="Arial"/>
          <w:color w:val="1D1D1D"/>
          <w:spacing w:val="37"/>
          <w:w w:val="105"/>
          <w:sz w:val="21"/>
        </w:rPr>
        <w:t xml:space="preserve"> </w:t>
      </w:r>
      <w:r>
        <w:rPr>
          <w:rFonts w:ascii="Arial"/>
          <w:color w:val="070707"/>
          <w:w w:val="105"/>
          <w:sz w:val="21"/>
        </w:rPr>
        <w:t xml:space="preserve">domestic </w:t>
      </w:r>
      <w:r>
        <w:rPr>
          <w:rFonts w:ascii="Arial"/>
          <w:color w:val="1D1D1D"/>
          <w:w w:val="105"/>
          <w:sz w:val="21"/>
        </w:rPr>
        <w:t>production</w:t>
      </w:r>
      <w:r>
        <w:rPr>
          <w:rFonts w:ascii="Arial"/>
          <w:color w:val="1D1D1D"/>
          <w:spacing w:val="30"/>
          <w:w w:val="105"/>
          <w:sz w:val="21"/>
        </w:rPr>
        <w:t xml:space="preserve"> </w:t>
      </w:r>
      <w:r>
        <w:rPr>
          <w:rFonts w:ascii="Arial"/>
          <w:color w:val="1D1D1D"/>
          <w:w w:val="105"/>
          <w:sz w:val="21"/>
        </w:rPr>
        <w:t xml:space="preserve">of the </w:t>
      </w:r>
      <w:r>
        <w:rPr>
          <w:rFonts w:ascii="Arial"/>
          <w:color w:val="070707"/>
          <w:w w:val="105"/>
          <w:sz w:val="21"/>
        </w:rPr>
        <w:t xml:space="preserve">like </w:t>
      </w:r>
      <w:r>
        <w:rPr>
          <w:rFonts w:ascii="Arial"/>
          <w:color w:val="1D1D1D"/>
          <w:w w:val="105"/>
          <w:sz w:val="21"/>
        </w:rPr>
        <w:t>product accounted for</w:t>
      </w:r>
      <w:r>
        <w:rPr>
          <w:rFonts w:ascii="Arial"/>
          <w:color w:val="1D1D1D"/>
          <w:spacing w:val="40"/>
          <w:w w:val="105"/>
          <w:sz w:val="21"/>
        </w:rPr>
        <w:t xml:space="preserve"> </w:t>
      </w:r>
      <w:r>
        <w:rPr>
          <w:rFonts w:ascii="Arial"/>
          <w:color w:val="070707"/>
          <w:w w:val="105"/>
          <w:sz w:val="21"/>
        </w:rPr>
        <w:t xml:space="preserve">by </w:t>
      </w:r>
      <w:r>
        <w:rPr>
          <w:rFonts w:ascii="Arial"/>
          <w:color w:val="1D1D1D"/>
          <w:w w:val="105"/>
          <w:sz w:val="21"/>
        </w:rPr>
        <w:t>such producers".</w:t>
      </w:r>
    </w:p>
    <w:p w14:paraId="51DE94B5" w14:textId="77777777" w:rsidR="0010369C" w:rsidRDefault="008E43AE">
      <w:pPr>
        <w:spacing w:before="168" w:line="427" w:lineRule="auto"/>
        <w:ind w:left="237" w:right="577" w:hanging="3"/>
        <w:jc w:val="both"/>
        <w:rPr>
          <w:rFonts w:ascii="Arial"/>
          <w:sz w:val="21"/>
        </w:rPr>
      </w:pPr>
      <w:r>
        <w:rPr>
          <w:rFonts w:ascii="Arial"/>
          <w:color w:val="1D1D1D"/>
          <w:w w:val="110"/>
          <w:sz w:val="21"/>
        </w:rPr>
        <w:t>766.</w:t>
      </w:r>
      <w:r>
        <w:rPr>
          <w:rFonts w:ascii="Arial"/>
          <w:color w:val="1D1D1D"/>
          <w:spacing w:val="80"/>
          <w:w w:val="110"/>
          <w:sz w:val="21"/>
        </w:rPr>
        <w:t xml:space="preserve"> </w:t>
      </w:r>
      <w:r>
        <w:rPr>
          <w:rFonts w:ascii="Arial"/>
          <w:color w:val="1D1D1D"/>
          <w:w w:val="110"/>
          <w:sz w:val="21"/>
        </w:rPr>
        <w:t xml:space="preserve">CADA purports to have </w:t>
      </w:r>
      <w:r>
        <w:rPr>
          <w:rFonts w:ascii="Arial"/>
          <w:color w:val="070707"/>
          <w:w w:val="110"/>
          <w:sz w:val="21"/>
        </w:rPr>
        <w:t xml:space="preserve">made </w:t>
      </w:r>
      <w:r>
        <w:rPr>
          <w:rFonts w:ascii="Arial"/>
          <w:color w:val="1D1D1D"/>
          <w:w w:val="110"/>
          <w:sz w:val="21"/>
        </w:rPr>
        <w:t>its</w:t>
      </w:r>
      <w:r>
        <w:rPr>
          <w:rFonts w:ascii="Arial"/>
          <w:color w:val="1D1D1D"/>
          <w:w w:val="110"/>
          <w:sz w:val="21"/>
        </w:rPr>
        <w:t xml:space="preserve"> application "on </w:t>
      </w:r>
      <w:r>
        <w:rPr>
          <w:rFonts w:ascii="Arial"/>
          <w:color w:val="070707"/>
          <w:w w:val="110"/>
          <w:sz w:val="21"/>
        </w:rPr>
        <w:t xml:space="preserve">behalf </w:t>
      </w:r>
      <w:r>
        <w:rPr>
          <w:rFonts w:ascii="Arial"/>
          <w:color w:val="1D1D1D"/>
          <w:w w:val="110"/>
          <w:sz w:val="21"/>
        </w:rPr>
        <w:t xml:space="preserve">of the </w:t>
      </w:r>
      <w:r>
        <w:rPr>
          <w:rFonts w:ascii="Arial"/>
          <w:color w:val="070707"/>
          <w:w w:val="110"/>
          <w:sz w:val="21"/>
        </w:rPr>
        <w:t xml:space="preserve">domestic </w:t>
      </w:r>
      <w:r>
        <w:rPr>
          <w:rFonts w:ascii="Arial"/>
          <w:color w:val="1D1D1D"/>
          <w:w w:val="110"/>
          <w:sz w:val="21"/>
        </w:rPr>
        <w:t xml:space="preserve">wine </w:t>
      </w:r>
      <w:r>
        <w:rPr>
          <w:rFonts w:ascii="Arial"/>
          <w:color w:val="070707"/>
          <w:w w:val="110"/>
          <w:sz w:val="21"/>
        </w:rPr>
        <w:t>industry"</w:t>
      </w:r>
      <w:r>
        <w:rPr>
          <w:rFonts w:ascii="Arial"/>
          <w:color w:val="1D1D1D"/>
          <w:w w:val="110"/>
          <w:sz w:val="21"/>
        </w:rPr>
        <w:t>.</w:t>
      </w:r>
      <w:r>
        <w:rPr>
          <w:rFonts w:ascii="Times New Roman"/>
          <w:color w:val="1D1D1D"/>
          <w:w w:val="110"/>
          <w:position w:val="7"/>
          <w:sz w:val="15"/>
        </w:rPr>
        <w:t>914</w:t>
      </w:r>
      <w:r>
        <w:rPr>
          <w:rFonts w:ascii="Times New Roman"/>
          <w:color w:val="1D1D1D"/>
          <w:spacing w:val="13"/>
          <w:w w:val="110"/>
          <w:position w:val="7"/>
          <w:sz w:val="15"/>
        </w:rPr>
        <w:t xml:space="preserve"> </w:t>
      </w:r>
      <w:r>
        <w:rPr>
          <w:rFonts w:ascii="Arial"/>
          <w:color w:val="070707"/>
          <w:w w:val="110"/>
          <w:sz w:val="21"/>
        </w:rPr>
        <w:t>However,</w:t>
      </w:r>
      <w:r>
        <w:rPr>
          <w:rFonts w:ascii="Arial"/>
          <w:color w:val="070707"/>
          <w:spacing w:val="-17"/>
          <w:w w:val="110"/>
          <w:sz w:val="21"/>
        </w:rPr>
        <w:t xml:space="preserve"> </w:t>
      </w:r>
      <w:r>
        <w:rPr>
          <w:rFonts w:ascii="Arial"/>
          <w:color w:val="1D1D1D"/>
          <w:w w:val="110"/>
          <w:sz w:val="21"/>
        </w:rPr>
        <w:t>the</w:t>
      </w:r>
      <w:r>
        <w:rPr>
          <w:rFonts w:ascii="Arial"/>
          <w:color w:val="1D1D1D"/>
          <w:spacing w:val="-13"/>
          <w:w w:val="110"/>
          <w:sz w:val="21"/>
        </w:rPr>
        <w:t xml:space="preserve"> </w:t>
      </w:r>
      <w:r>
        <w:rPr>
          <w:rFonts w:ascii="Arial"/>
          <w:color w:val="1D1D1D"/>
          <w:w w:val="110"/>
          <w:sz w:val="21"/>
        </w:rPr>
        <w:t>application</w:t>
      </w:r>
      <w:r>
        <w:rPr>
          <w:rFonts w:ascii="Arial"/>
          <w:color w:val="1D1D1D"/>
          <w:spacing w:val="-17"/>
          <w:w w:val="110"/>
          <w:sz w:val="21"/>
        </w:rPr>
        <w:t xml:space="preserve"> </w:t>
      </w:r>
      <w:r>
        <w:rPr>
          <w:rFonts w:ascii="Arial"/>
          <w:color w:val="1D1D1D"/>
          <w:w w:val="110"/>
          <w:sz w:val="21"/>
        </w:rPr>
        <w:t>did</w:t>
      </w:r>
      <w:r>
        <w:rPr>
          <w:rFonts w:ascii="Arial"/>
          <w:color w:val="1D1D1D"/>
          <w:spacing w:val="-7"/>
          <w:w w:val="110"/>
          <w:sz w:val="21"/>
        </w:rPr>
        <w:t xml:space="preserve"> </w:t>
      </w:r>
      <w:r>
        <w:rPr>
          <w:rFonts w:ascii="Arial"/>
          <w:color w:val="070707"/>
          <w:w w:val="110"/>
          <w:sz w:val="21"/>
        </w:rPr>
        <w:t>not</w:t>
      </w:r>
      <w:r>
        <w:rPr>
          <w:rFonts w:ascii="Arial"/>
          <w:color w:val="070707"/>
          <w:spacing w:val="-5"/>
          <w:w w:val="110"/>
          <w:sz w:val="21"/>
        </w:rPr>
        <w:t xml:space="preserve"> </w:t>
      </w:r>
      <w:r>
        <w:rPr>
          <w:rFonts w:ascii="Arial"/>
          <w:color w:val="070707"/>
          <w:w w:val="110"/>
          <w:sz w:val="21"/>
        </w:rPr>
        <w:t>include</w:t>
      </w:r>
      <w:r>
        <w:rPr>
          <w:rFonts w:ascii="Arial"/>
          <w:color w:val="070707"/>
          <w:spacing w:val="-17"/>
          <w:w w:val="110"/>
          <w:sz w:val="21"/>
        </w:rPr>
        <w:t xml:space="preserve"> </w:t>
      </w:r>
      <w:r>
        <w:rPr>
          <w:rFonts w:ascii="Arial"/>
          <w:color w:val="1D1D1D"/>
          <w:w w:val="110"/>
          <w:sz w:val="21"/>
        </w:rPr>
        <w:t>a</w:t>
      </w:r>
      <w:r>
        <w:rPr>
          <w:rFonts w:ascii="Arial"/>
          <w:color w:val="1D1D1D"/>
          <w:spacing w:val="-16"/>
          <w:w w:val="110"/>
          <w:sz w:val="21"/>
        </w:rPr>
        <w:t xml:space="preserve"> </w:t>
      </w:r>
      <w:r>
        <w:rPr>
          <w:rFonts w:ascii="Arial"/>
          <w:color w:val="070707"/>
          <w:w w:val="110"/>
          <w:sz w:val="21"/>
        </w:rPr>
        <w:t>list</w:t>
      </w:r>
      <w:r>
        <w:rPr>
          <w:rFonts w:ascii="Arial"/>
          <w:color w:val="070707"/>
          <w:spacing w:val="-16"/>
          <w:w w:val="110"/>
          <w:sz w:val="21"/>
        </w:rPr>
        <w:t xml:space="preserve"> </w:t>
      </w:r>
      <w:r>
        <w:rPr>
          <w:rFonts w:ascii="Arial"/>
          <w:color w:val="1D1D1D"/>
          <w:w w:val="110"/>
          <w:sz w:val="21"/>
        </w:rPr>
        <w:t>of</w:t>
      </w:r>
      <w:r>
        <w:rPr>
          <w:rFonts w:ascii="Arial"/>
          <w:color w:val="1D1D1D"/>
          <w:spacing w:val="-16"/>
          <w:w w:val="110"/>
          <w:sz w:val="21"/>
        </w:rPr>
        <w:t xml:space="preserve"> </w:t>
      </w:r>
      <w:r>
        <w:rPr>
          <w:rFonts w:ascii="Arial"/>
          <w:color w:val="1D1D1D"/>
          <w:w w:val="110"/>
          <w:sz w:val="21"/>
        </w:rPr>
        <w:t>all</w:t>
      </w:r>
      <w:r>
        <w:rPr>
          <w:rFonts w:ascii="Arial"/>
          <w:color w:val="1D1D1D"/>
          <w:spacing w:val="-16"/>
          <w:w w:val="110"/>
          <w:sz w:val="21"/>
        </w:rPr>
        <w:t xml:space="preserve"> </w:t>
      </w:r>
      <w:r>
        <w:rPr>
          <w:rFonts w:ascii="Arial"/>
          <w:color w:val="1D1D1D"/>
          <w:w w:val="110"/>
          <w:sz w:val="21"/>
        </w:rPr>
        <w:t>known</w:t>
      </w:r>
      <w:r>
        <w:rPr>
          <w:rFonts w:ascii="Arial"/>
          <w:color w:val="1D1D1D"/>
          <w:spacing w:val="-16"/>
          <w:w w:val="110"/>
          <w:sz w:val="21"/>
        </w:rPr>
        <w:t xml:space="preserve"> </w:t>
      </w:r>
      <w:r>
        <w:rPr>
          <w:rFonts w:ascii="Arial"/>
          <w:color w:val="070707"/>
          <w:w w:val="110"/>
          <w:sz w:val="21"/>
        </w:rPr>
        <w:t>domestic</w:t>
      </w:r>
      <w:r>
        <w:rPr>
          <w:rFonts w:ascii="Arial"/>
          <w:color w:val="070707"/>
          <w:spacing w:val="-14"/>
          <w:w w:val="110"/>
          <w:sz w:val="21"/>
        </w:rPr>
        <w:t xml:space="preserve"> </w:t>
      </w:r>
      <w:r>
        <w:rPr>
          <w:rFonts w:ascii="Arial"/>
          <w:color w:val="1D1D1D"/>
          <w:w w:val="110"/>
          <w:sz w:val="21"/>
        </w:rPr>
        <w:t xml:space="preserve">producers of </w:t>
      </w:r>
      <w:r>
        <w:rPr>
          <w:rFonts w:ascii="Arial"/>
          <w:color w:val="070707"/>
          <w:w w:val="110"/>
          <w:sz w:val="21"/>
        </w:rPr>
        <w:t>the like</w:t>
      </w:r>
      <w:r>
        <w:rPr>
          <w:rFonts w:ascii="Arial"/>
          <w:color w:val="070707"/>
          <w:spacing w:val="-9"/>
          <w:w w:val="110"/>
          <w:sz w:val="21"/>
        </w:rPr>
        <w:t xml:space="preserve"> </w:t>
      </w:r>
      <w:r>
        <w:rPr>
          <w:rFonts w:ascii="Arial"/>
          <w:color w:val="070707"/>
          <w:w w:val="110"/>
          <w:sz w:val="21"/>
        </w:rPr>
        <w:t>product,</w:t>
      </w:r>
      <w:r>
        <w:rPr>
          <w:rFonts w:ascii="Arial"/>
          <w:color w:val="070707"/>
          <w:spacing w:val="-19"/>
          <w:w w:val="110"/>
          <w:sz w:val="21"/>
        </w:rPr>
        <w:t xml:space="preserve"> </w:t>
      </w:r>
      <w:r>
        <w:rPr>
          <w:rFonts w:ascii="Arial"/>
          <w:color w:val="1D1D1D"/>
          <w:w w:val="110"/>
          <w:sz w:val="21"/>
        </w:rPr>
        <w:t>contrary to the requirements</w:t>
      </w:r>
      <w:r>
        <w:rPr>
          <w:rFonts w:ascii="Arial"/>
          <w:color w:val="1D1D1D"/>
          <w:spacing w:val="-6"/>
          <w:w w:val="110"/>
          <w:sz w:val="21"/>
        </w:rPr>
        <w:t xml:space="preserve"> </w:t>
      </w:r>
      <w:r>
        <w:rPr>
          <w:rFonts w:ascii="Arial"/>
          <w:color w:val="1D1D1D"/>
          <w:w w:val="110"/>
          <w:sz w:val="21"/>
        </w:rPr>
        <w:t>of Article</w:t>
      </w:r>
      <w:r>
        <w:rPr>
          <w:rFonts w:ascii="Arial"/>
          <w:color w:val="1D1D1D"/>
          <w:spacing w:val="-12"/>
          <w:w w:val="110"/>
          <w:sz w:val="21"/>
        </w:rPr>
        <w:t xml:space="preserve"> </w:t>
      </w:r>
      <w:r>
        <w:rPr>
          <w:rFonts w:ascii="Arial"/>
          <w:color w:val="1D1D1D"/>
          <w:w w:val="110"/>
          <w:sz w:val="21"/>
        </w:rPr>
        <w:t>5.2(i).</w:t>
      </w:r>
    </w:p>
    <w:p w14:paraId="51DE94B6" w14:textId="77777777" w:rsidR="0010369C" w:rsidRDefault="0010369C">
      <w:pPr>
        <w:pStyle w:val="BodyText"/>
        <w:rPr>
          <w:rFonts w:ascii="Arial"/>
          <w:sz w:val="20"/>
        </w:rPr>
      </w:pPr>
    </w:p>
    <w:p w14:paraId="51DE94B7" w14:textId="77777777" w:rsidR="0010369C" w:rsidRDefault="008E43AE">
      <w:pPr>
        <w:pStyle w:val="BodyText"/>
        <w:spacing w:before="11"/>
        <w:rPr>
          <w:rFonts w:ascii="Arial"/>
          <w:sz w:val="22"/>
        </w:rPr>
      </w:pPr>
      <w:r>
        <w:pict w14:anchorId="51DEA655">
          <v:shape id="docshape1246" o:spid="_x0000_s1178" style="position:absolute;margin-left:70.25pt;margin-top:14.4pt;width:145.5pt;height:.1pt;z-index:-250757632;mso-wrap-distance-left:0;mso-wrap-distance-right:0;mso-position-horizontal-relative:page" coordorigin="1405,288" coordsize="2910,0" path="m1405,288r2909,e" filled="f" strokeweight=".53042mm">
            <v:path arrowok="t"/>
            <w10:wrap type="topAndBottom" anchorx="page"/>
          </v:shape>
        </w:pict>
      </w:r>
    </w:p>
    <w:p w14:paraId="51DE94B8" w14:textId="77777777" w:rsidR="0010369C" w:rsidRDefault="008E43AE">
      <w:pPr>
        <w:spacing w:line="244" w:lineRule="auto"/>
        <w:ind w:left="239" w:right="571" w:hanging="10"/>
        <w:jc w:val="both"/>
        <w:rPr>
          <w:rFonts w:ascii="Arial" w:hAnsi="Arial"/>
          <w:sz w:val="16"/>
        </w:rPr>
      </w:pPr>
      <w:r>
        <w:rPr>
          <w:rFonts w:ascii="Times New Roman" w:hAnsi="Times New Roman"/>
          <w:color w:val="313131"/>
          <w:w w:val="105"/>
          <w:position w:val="6"/>
          <w:sz w:val="12"/>
        </w:rPr>
        <w:t>91</w:t>
      </w:r>
      <w:r>
        <w:rPr>
          <w:rFonts w:ascii="Arial" w:hAnsi="Arial"/>
          <w:color w:val="313131"/>
          <w:w w:val="105"/>
          <w:sz w:val="30"/>
        </w:rPr>
        <w:t>°</w:t>
      </w:r>
      <w:r>
        <w:rPr>
          <w:rFonts w:ascii="Arial" w:hAnsi="Arial"/>
          <w:color w:val="1D1D1D"/>
          <w:w w:val="105"/>
          <w:sz w:val="16"/>
        </w:rPr>
        <w:t>CADA Application for</w:t>
      </w:r>
      <w:r>
        <w:rPr>
          <w:rFonts w:ascii="Arial" w:hAnsi="Arial"/>
          <w:color w:val="1D1D1D"/>
          <w:w w:val="105"/>
          <w:sz w:val="16"/>
        </w:rPr>
        <w:t xml:space="preserve"> Anti-Dumping </w:t>
      </w:r>
      <w:r>
        <w:rPr>
          <w:rFonts w:ascii="Arial" w:hAnsi="Arial"/>
          <w:color w:val="414141"/>
          <w:w w:val="105"/>
          <w:sz w:val="16"/>
        </w:rPr>
        <w:t xml:space="preserve">investigation </w:t>
      </w:r>
      <w:r>
        <w:rPr>
          <w:rFonts w:ascii="Arial" w:hAnsi="Arial"/>
          <w:color w:val="313131"/>
          <w:w w:val="105"/>
          <w:sz w:val="16"/>
        </w:rPr>
        <w:t xml:space="preserve">(Exhibit </w:t>
      </w:r>
      <w:r>
        <w:rPr>
          <w:rFonts w:ascii="Arial" w:hAnsi="Arial"/>
          <w:color w:val="1D1D1D"/>
          <w:w w:val="105"/>
          <w:sz w:val="16"/>
        </w:rPr>
        <w:t xml:space="preserve">AUS-64), </w:t>
      </w:r>
      <w:r>
        <w:rPr>
          <w:rFonts w:ascii="Arial" w:hAnsi="Arial"/>
          <w:color w:val="070707"/>
          <w:w w:val="105"/>
          <w:sz w:val="16"/>
        </w:rPr>
        <w:t xml:space="preserve">p. </w:t>
      </w:r>
      <w:r>
        <w:rPr>
          <w:rFonts w:ascii="Arial" w:hAnsi="Arial"/>
          <w:color w:val="1D1D1D"/>
          <w:w w:val="105"/>
          <w:sz w:val="16"/>
        </w:rPr>
        <w:t>9; and CADA Application for Anti-Dumping Investigation,</w:t>
      </w:r>
      <w:r>
        <w:rPr>
          <w:rFonts w:ascii="Arial" w:hAnsi="Arial"/>
          <w:color w:val="1D1D1D"/>
          <w:spacing w:val="-13"/>
          <w:w w:val="105"/>
          <w:sz w:val="16"/>
        </w:rPr>
        <w:t xml:space="preserve"> </w:t>
      </w:r>
      <w:r>
        <w:rPr>
          <w:rFonts w:ascii="Arial" w:hAnsi="Arial"/>
          <w:color w:val="1D1D1D"/>
          <w:w w:val="105"/>
          <w:sz w:val="16"/>
        </w:rPr>
        <w:t>Annexes</w:t>
      </w:r>
      <w:r>
        <w:rPr>
          <w:rFonts w:ascii="Arial" w:hAnsi="Arial"/>
          <w:color w:val="1D1D1D"/>
          <w:spacing w:val="-9"/>
          <w:w w:val="105"/>
          <w:sz w:val="16"/>
        </w:rPr>
        <w:t xml:space="preserve"> </w:t>
      </w:r>
      <w:r>
        <w:rPr>
          <w:rFonts w:ascii="Arial" w:hAnsi="Arial"/>
          <w:color w:val="1D1D1D"/>
          <w:w w:val="105"/>
          <w:sz w:val="16"/>
        </w:rPr>
        <w:t>1-12</w:t>
      </w:r>
      <w:r>
        <w:rPr>
          <w:rFonts w:ascii="Arial" w:hAnsi="Arial"/>
          <w:color w:val="1D1D1D"/>
          <w:spacing w:val="-16"/>
          <w:w w:val="105"/>
          <w:sz w:val="16"/>
        </w:rPr>
        <w:t xml:space="preserve"> </w:t>
      </w:r>
      <w:r>
        <w:rPr>
          <w:rFonts w:ascii="Arial" w:hAnsi="Arial"/>
          <w:color w:val="1D1D1D"/>
          <w:w w:val="105"/>
          <w:sz w:val="16"/>
        </w:rPr>
        <w:t>(Part</w:t>
      </w:r>
      <w:r>
        <w:rPr>
          <w:rFonts w:ascii="Arial" w:hAnsi="Arial"/>
          <w:color w:val="1D1D1D"/>
          <w:spacing w:val="-11"/>
          <w:w w:val="105"/>
          <w:sz w:val="16"/>
        </w:rPr>
        <w:t xml:space="preserve"> </w:t>
      </w:r>
      <w:r>
        <w:rPr>
          <w:rFonts w:ascii="Arial" w:hAnsi="Arial"/>
          <w:color w:val="1D1D1D"/>
          <w:w w:val="105"/>
          <w:sz w:val="16"/>
        </w:rPr>
        <w:t xml:space="preserve">1) </w:t>
      </w:r>
      <w:r>
        <w:rPr>
          <w:rFonts w:ascii="Arial" w:hAnsi="Arial"/>
          <w:color w:val="313131"/>
          <w:w w:val="105"/>
          <w:sz w:val="16"/>
        </w:rPr>
        <w:t xml:space="preserve">(Exhibit </w:t>
      </w:r>
      <w:r>
        <w:rPr>
          <w:rFonts w:ascii="Arial" w:hAnsi="Arial"/>
          <w:color w:val="1D1D1D"/>
          <w:w w:val="105"/>
          <w:sz w:val="16"/>
        </w:rPr>
        <w:t>AUS-90),</w:t>
      </w:r>
      <w:r>
        <w:rPr>
          <w:rFonts w:ascii="Arial" w:hAnsi="Arial"/>
          <w:color w:val="1D1D1D"/>
          <w:spacing w:val="-10"/>
          <w:w w:val="105"/>
          <w:sz w:val="16"/>
        </w:rPr>
        <w:t xml:space="preserve"> </w:t>
      </w:r>
      <w:r>
        <w:rPr>
          <w:rFonts w:ascii="Arial" w:hAnsi="Arial"/>
          <w:color w:val="1D1D1D"/>
          <w:w w:val="105"/>
          <w:sz w:val="16"/>
        </w:rPr>
        <w:t>Annex</w:t>
      </w:r>
      <w:r>
        <w:rPr>
          <w:rFonts w:ascii="Arial" w:hAnsi="Arial"/>
          <w:color w:val="1D1D1D"/>
          <w:spacing w:val="-7"/>
          <w:w w:val="105"/>
          <w:sz w:val="16"/>
        </w:rPr>
        <w:t xml:space="preserve"> </w:t>
      </w:r>
      <w:r>
        <w:rPr>
          <w:rFonts w:ascii="Arial" w:hAnsi="Arial"/>
          <w:color w:val="1D1D1D"/>
          <w:w w:val="105"/>
          <w:sz w:val="16"/>
        </w:rPr>
        <w:t>5.</w:t>
      </w:r>
    </w:p>
    <w:p w14:paraId="51DE94B9" w14:textId="77777777" w:rsidR="0010369C" w:rsidRDefault="008E43AE">
      <w:pPr>
        <w:spacing w:before="5" w:line="288" w:lineRule="auto"/>
        <w:ind w:left="239" w:hanging="10"/>
        <w:rPr>
          <w:rFonts w:ascii="Arial"/>
          <w:sz w:val="16"/>
        </w:rPr>
      </w:pPr>
      <w:r>
        <w:rPr>
          <w:rFonts w:ascii="Times New Roman"/>
          <w:color w:val="313131"/>
          <w:w w:val="105"/>
          <w:position w:val="6"/>
          <w:sz w:val="12"/>
        </w:rPr>
        <w:t>911</w:t>
      </w:r>
      <w:r>
        <w:rPr>
          <w:rFonts w:ascii="Times New Roman"/>
          <w:color w:val="313131"/>
          <w:spacing w:val="40"/>
          <w:w w:val="105"/>
          <w:position w:val="6"/>
          <w:sz w:val="12"/>
        </w:rPr>
        <w:t xml:space="preserve"> </w:t>
      </w:r>
      <w:r>
        <w:rPr>
          <w:rFonts w:ascii="Arial"/>
          <w:color w:val="1D1D1D"/>
          <w:w w:val="105"/>
          <w:sz w:val="16"/>
        </w:rPr>
        <w:t>CADA</w:t>
      </w:r>
      <w:r>
        <w:rPr>
          <w:rFonts w:ascii="Arial"/>
          <w:color w:val="1D1D1D"/>
          <w:spacing w:val="37"/>
          <w:w w:val="105"/>
          <w:sz w:val="16"/>
        </w:rPr>
        <w:t xml:space="preserve"> </w:t>
      </w:r>
      <w:r>
        <w:rPr>
          <w:rFonts w:ascii="Arial"/>
          <w:color w:val="1D1D1D"/>
          <w:w w:val="105"/>
          <w:sz w:val="16"/>
        </w:rPr>
        <w:t>Application</w:t>
      </w:r>
      <w:r>
        <w:rPr>
          <w:rFonts w:ascii="Arial"/>
          <w:color w:val="1D1D1D"/>
          <w:spacing w:val="29"/>
          <w:w w:val="105"/>
          <w:sz w:val="16"/>
        </w:rPr>
        <w:t xml:space="preserve"> </w:t>
      </w:r>
      <w:r>
        <w:rPr>
          <w:rFonts w:ascii="Arial"/>
          <w:color w:val="1D1D1D"/>
          <w:w w:val="105"/>
          <w:sz w:val="16"/>
        </w:rPr>
        <w:t>for</w:t>
      </w:r>
      <w:r>
        <w:rPr>
          <w:rFonts w:ascii="Arial"/>
          <w:color w:val="1D1D1D"/>
          <w:spacing w:val="40"/>
          <w:w w:val="105"/>
          <w:sz w:val="16"/>
        </w:rPr>
        <w:t xml:space="preserve"> </w:t>
      </w:r>
      <w:r>
        <w:rPr>
          <w:rFonts w:ascii="Arial"/>
          <w:color w:val="1D1D1D"/>
          <w:w w:val="105"/>
          <w:sz w:val="16"/>
        </w:rPr>
        <w:t>Anti-Dumping</w:t>
      </w:r>
      <w:r>
        <w:rPr>
          <w:rFonts w:ascii="Arial"/>
          <w:color w:val="1D1D1D"/>
          <w:spacing w:val="40"/>
          <w:w w:val="105"/>
          <w:sz w:val="16"/>
        </w:rPr>
        <w:t xml:space="preserve"> </w:t>
      </w:r>
      <w:r>
        <w:rPr>
          <w:rFonts w:ascii="Arial"/>
          <w:color w:val="414141"/>
          <w:w w:val="105"/>
          <w:sz w:val="16"/>
        </w:rPr>
        <w:t>investigation</w:t>
      </w:r>
      <w:r>
        <w:rPr>
          <w:rFonts w:ascii="Arial"/>
          <w:color w:val="414141"/>
          <w:spacing w:val="35"/>
          <w:w w:val="105"/>
          <w:sz w:val="16"/>
        </w:rPr>
        <w:t xml:space="preserve"> </w:t>
      </w:r>
      <w:r>
        <w:rPr>
          <w:rFonts w:ascii="Arial"/>
          <w:color w:val="313131"/>
          <w:w w:val="105"/>
          <w:sz w:val="16"/>
        </w:rPr>
        <w:t>(Exhibit</w:t>
      </w:r>
      <w:r>
        <w:rPr>
          <w:rFonts w:ascii="Arial"/>
          <w:color w:val="313131"/>
          <w:spacing w:val="38"/>
          <w:w w:val="105"/>
          <w:sz w:val="16"/>
        </w:rPr>
        <w:t xml:space="preserve"> </w:t>
      </w:r>
      <w:r>
        <w:rPr>
          <w:rFonts w:ascii="Arial"/>
          <w:color w:val="1D1D1D"/>
          <w:w w:val="105"/>
          <w:sz w:val="16"/>
        </w:rPr>
        <w:t>AUS-64),</w:t>
      </w:r>
      <w:r>
        <w:rPr>
          <w:rFonts w:ascii="Arial"/>
          <w:color w:val="1D1D1D"/>
          <w:spacing w:val="26"/>
          <w:w w:val="105"/>
          <w:sz w:val="16"/>
        </w:rPr>
        <w:t xml:space="preserve"> </w:t>
      </w:r>
      <w:r>
        <w:rPr>
          <w:rFonts w:ascii="Arial"/>
          <w:color w:val="070707"/>
          <w:w w:val="105"/>
          <w:sz w:val="16"/>
        </w:rPr>
        <w:t>p.</w:t>
      </w:r>
      <w:r>
        <w:rPr>
          <w:rFonts w:ascii="Arial"/>
          <w:color w:val="070707"/>
          <w:spacing w:val="39"/>
          <w:w w:val="105"/>
          <w:sz w:val="16"/>
        </w:rPr>
        <w:t xml:space="preserve"> </w:t>
      </w:r>
      <w:r>
        <w:rPr>
          <w:rFonts w:ascii="Arial"/>
          <w:color w:val="1D1D1D"/>
          <w:w w:val="105"/>
          <w:sz w:val="16"/>
        </w:rPr>
        <w:t>9;</w:t>
      </w:r>
      <w:r>
        <w:rPr>
          <w:rFonts w:ascii="Arial"/>
          <w:color w:val="1D1D1D"/>
          <w:spacing w:val="40"/>
          <w:w w:val="105"/>
          <w:sz w:val="16"/>
        </w:rPr>
        <w:t xml:space="preserve"> </w:t>
      </w:r>
      <w:r>
        <w:rPr>
          <w:rFonts w:ascii="Arial"/>
          <w:color w:val="1D1D1D"/>
          <w:w w:val="105"/>
          <w:sz w:val="16"/>
        </w:rPr>
        <w:t>and CADA</w:t>
      </w:r>
      <w:r>
        <w:rPr>
          <w:rFonts w:ascii="Arial"/>
          <w:color w:val="1D1D1D"/>
          <w:spacing w:val="28"/>
          <w:w w:val="105"/>
          <w:sz w:val="16"/>
        </w:rPr>
        <w:t xml:space="preserve"> </w:t>
      </w:r>
      <w:r>
        <w:rPr>
          <w:rFonts w:ascii="Arial"/>
          <w:color w:val="1D1D1D"/>
          <w:w w:val="105"/>
          <w:sz w:val="16"/>
        </w:rPr>
        <w:t>Application</w:t>
      </w:r>
      <w:r>
        <w:rPr>
          <w:rFonts w:ascii="Arial"/>
          <w:color w:val="1D1D1D"/>
          <w:spacing w:val="29"/>
          <w:w w:val="105"/>
          <w:sz w:val="16"/>
        </w:rPr>
        <w:t xml:space="preserve"> </w:t>
      </w:r>
      <w:r>
        <w:rPr>
          <w:rFonts w:ascii="Arial"/>
          <w:color w:val="1D1D1D"/>
          <w:w w:val="105"/>
          <w:sz w:val="16"/>
        </w:rPr>
        <w:t>for</w:t>
      </w:r>
      <w:r>
        <w:rPr>
          <w:rFonts w:ascii="Arial"/>
          <w:color w:val="1D1D1D"/>
          <w:spacing w:val="40"/>
          <w:w w:val="105"/>
          <w:sz w:val="16"/>
        </w:rPr>
        <w:t xml:space="preserve"> </w:t>
      </w:r>
      <w:r>
        <w:rPr>
          <w:rFonts w:ascii="Arial"/>
          <w:color w:val="1D1D1D"/>
          <w:w w:val="105"/>
          <w:sz w:val="16"/>
        </w:rPr>
        <w:t>Anti-Dumping Investigation,</w:t>
      </w:r>
      <w:r>
        <w:rPr>
          <w:rFonts w:ascii="Arial"/>
          <w:color w:val="1D1D1D"/>
          <w:spacing w:val="-14"/>
          <w:w w:val="105"/>
          <w:sz w:val="16"/>
        </w:rPr>
        <w:t xml:space="preserve"> </w:t>
      </w:r>
      <w:r>
        <w:rPr>
          <w:rFonts w:ascii="Arial"/>
          <w:color w:val="1D1D1D"/>
          <w:w w:val="105"/>
          <w:sz w:val="16"/>
        </w:rPr>
        <w:t>Annexes</w:t>
      </w:r>
      <w:r>
        <w:rPr>
          <w:rFonts w:ascii="Arial"/>
          <w:color w:val="1D1D1D"/>
          <w:spacing w:val="-11"/>
          <w:w w:val="105"/>
          <w:sz w:val="16"/>
        </w:rPr>
        <w:t xml:space="preserve"> </w:t>
      </w:r>
      <w:r>
        <w:rPr>
          <w:rFonts w:ascii="Arial"/>
          <w:color w:val="1D1D1D"/>
          <w:w w:val="105"/>
          <w:sz w:val="16"/>
        </w:rPr>
        <w:t>1-12</w:t>
      </w:r>
      <w:r>
        <w:rPr>
          <w:rFonts w:ascii="Arial"/>
          <w:color w:val="1D1D1D"/>
          <w:spacing w:val="-18"/>
          <w:w w:val="105"/>
          <w:sz w:val="16"/>
        </w:rPr>
        <w:t xml:space="preserve"> </w:t>
      </w:r>
      <w:r>
        <w:rPr>
          <w:rFonts w:ascii="Arial"/>
          <w:color w:val="1D1D1D"/>
          <w:w w:val="105"/>
          <w:sz w:val="16"/>
        </w:rPr>
        <w:t>(Part</w:t>
      </w:r>
      <w:r>
        <w:rPr>
          <w:rFonts w:ascii="Arial"/>
          <w:color w:val="1D1D1D"/>
          <w:spacing w:val="-13"/>
          <w:w w:val="105"/>
          <w:sz w:val="16"/>
        </w:rPr>
        <w:t xml:space="preserve"> </w:t>
      </w:r>
      <w:r>
        <w:rPr>
          <w:rFonts w:ascii="Arial"/>
          <w:color w:val="1D1D1D"/>
          <w:w w:val="105"/>
          <w:sz w:val="16"/>
        </w:rPr>
        <w:t xml:space="preserve">1) </w:t>
      </w:r>
      <w:r>
        <w:rPr>
          <w:rFonts w:ascii="Arial"/>
          <w:color w:val="313131"/>
          <w:w w:val="105"/>
          <w:sz w:val="16"/>
        </w:rPr>
        <w:t xml:space="preserve">(Exhibit </w:t>
      </w:r>
      <w:r>
        <w:rPr>
          <w:rFonts w:ascii="Arial"/>
          <w:color w:val="1D1D1D"/>
          <w:w w:val="105"/>
          <w:sz w:val="16"/>
        </w:rPr>
        <w:t>AUS-90),</w:t>
      </w:r>
      <w:r>
        <w:rPr>
          <w:rFonts w:ascii="Arial"/>
          <w:color w:val="1D1D1D"/>
          <w:spacing w:val="-12"/>
          <w:w w:val="105"/>
          <w:sz w:val="16"/>
        </w:rPr>
        <w:t xml:space="preserve"> </w:t>
      </w:r>
      <w:r>
        <w:rPr>
          <w:rFonts w:ascii="Arial"/>
          <w:color w:val="1D1D1D"/>
          <w:w w:val="105"/>
          <w:sz w:val="16"/>
        </w:rPr>
        <w:t>Annex</w:t>
      </w:r>
      <w:r>
        <w:rPr>
          <w:rFonts w:ascii="Arial"/>
          <w:color w:val="1D1D1D"/>
          <w:spacing w:val="-19"/>
          <w:w w:val="105"/>
          <w:sz w:val="16"/>
        </w:rPr>
        <w:t xml:space="preserve"> </w:t>
      </w:r>
      <w:r>
        <w:rPr>
          <w:rFonts w:ascii="Arial"/>
          <w:color w:val="1D1D1D"/>
          <w:w w:val="105"/>
          <w:sz w:val="16"/>
        </w:rPr>
        <w:t>II.</w:t>
      </w:r>
    </w:p>
    <w:p w14:paraId="51DE94BA" w14:textId="77777777" w:rsidR="0010369C" w:rsidRDefault="008E43AE">
      <w:pPr>
        <w:spacing w:line="183" w:lineRule="exact"/>
        <w:ind w:left="229"/>
        <w:rPr>
          <w:rFonts w:ascii="Arial"/>
          <w:sz w:val="16"/>
        </w:rPr>
      </w:pPr>
      <w:r>
        <w:rPr>
          <w:rFonts w:ascii="Times New Roman"/>
          <w:color w:val="313131"/>
          <w:position w:val="6"/>
          <w:sz w:val="12"/>
        </w:rPr>
        <w:t>912</w:t>
      </w:r>
      <w:r>
        <w:rPr>
          <w:rFonts w:ascii="Times New Roman"/>
          <w:color w:val="313131"/>
          <w:spacing w:val="36"/>
          <w:position w:val="6"/>
          <w:sz w:val="12"/>
        </w:rPr>
        <w:t xml:space="preserve"> </w:t>
      </w:r>
      <w:r>
        <w:rPr>
          <w:rFonts w:ascii="Arial"/>
          <w:color w:val="1D1D1D"/>
          <w:sz w:val="16"/>
        </w:rPr>
        <w:t>Anti-Dumping</w:t>
      </w:r>
      <w:r>
        <w:rPr>
          <w:rFonts w:ascii="Arial"/>
          <w:color w:val="1D1D1D"/>
          <w:spacing w:val="11"/>
          <w:sz w:val="16"/>
        </w:rPr>
        <w:t xml:space="preserve"> </w:t>
      </w:r>
      <w:r>
        <w:rPr>
          <w:rFonts w:ascii="Arial"/>
          <w:color w:val="1D1D1D"/>
          <w:sz w:val="16"/>
        </w:rPr>
        <w:t>Final</w:t>
      </w:r>
      <w:r>
        <w:rPr>
          <w:rFonts w:ascii="Arial"/>
          <w:color w:val="1D1D1D"/>
          <w:spacing w:val="-2"/>
          <w:sz w:val="16"/>
        </w:rPr>
        <w:t xml:space="preserve"> </w:t>
      </w:r>
      <w:r>
        <w:rPr>
          <w:rFonts w:ascii="Arial"/>
          <w:color w:val="1D1D1D"/>
          <w:sz w:val="16"/>
        </w:rPr>
        <w:t>Determination</w:t>
      </w:r>
      <w:r>
        <w:rPr>
          <w:rFonts w:ascii="Arial"/>
          <w:color w:val="1D1D1D"/>
          <w:spacing w:val="6"/>
          <w:sz w:val="16"/>
        </w:rPr>
        <w:t xml:space="preserve"> </w:t>
      </w:r>
      <w:r>
        <w:rPr>
          <w:rFonts w:ascii="Arial"/>
          <w:color w:val="1D1D1D"/>
          <w:sz w:val="16"/>
        </w:rPr>
        <w:t>(Exhibit</w:t>
      </w:r>
      <w:r>
        <w:rPr>
          <w:rFonts w:ascii="Arial"/>
          <w:color w:val="1D1D1D"/>
          <w:spacing w:val="11"/>
          <w:sz w:val="16"/>
        </w:rPr>
        <w:t xml:space="preserve"> </w:t>
      </w:r>
      <w:r>
        <w:rPr>
          <w:rFonts w:ascii="Arial"/>
          <w:color w:val="1D1D1D"/>
          <w:sz w:val="16"/>
        </w:rPr>
        <w:t>AUS-2),</w:t>
      </w:r>
      <w:r>
        <w:rPr>
          <w:rFonts w:ascii="Arial"/>
          <w:color w:val="1D1D1D"/>
          <w:spacing w:val="8"/>
          <w:sz w:val="16"/>
        </w:rPr>
        <w:t xml:space="preserve"> </w:t>
      </w:r>
      <w:r>
        <w:rPr>
          <w:rFonts w:ascii="Arial"/>
          <w:color w:val="070707"/>
          <w:sz w:val="16"/>
        </w:rPr>
        <w:t>p.</w:t>
      </w:r>
      <w:r>
        <w:rPr>
          <w:rFonts w:ascii="Arial"/>
          <w:color w:val="070707"/>
          <w:spacing w:val="15"/>
          <w:sz w:val="16"/>
        </w:rPr>
        <w:t xml:space="preserve"> </w:t>
      </w:r>
      <w:r>
        <w:rPr>
          <w:rFonts w:ascii="Arial"/>
          <w:color w:val="070707"/>
          <w:spacing w:val="-4"/>
          <w:sz w:val="16"/>
        </w:rPr>
        <w:t>109.</w:t>
      </w:r>
    </w:p>
    <w:p w14:paraId="51DE94BB" w14:textId="77777777" w:rsidR="0010369C" w:rsidRDefault="008E43AE">
      <w:pPr>
        <w:spacing w:before="15"/>
        <w:ind w:left="229"/>
        <w:rPr>
          <w:rFonts w:ascii="Arial"/>
          <w:sz w:val="16"/>
        </w:rPr>
      </w:pPr>
      <w:r>
        <w:rPr>
          <w:rFonts w:ascii="Times New Roman"/>
          <w:color w:val="313131"/>
          <w:spacing w:val="-2"/>
          <w:w w:val="105"/>
          <w:position w:val="5"/>
          <w:sz w:val="12"/>
        </w:rPr>
        <w:t>913</w:t>
      </w:r>
      <w:r>
        <w:rPr>
          <w:rFonts w:ascii="Times New Roman"/>
          <w:color w:val="313131"/>
          <w:spacing w:val="10"/>
          <w:w w:val="105"/>
          <w:position w:val="5"/>
          <w:sz w:val="12"/>
        </w:rPr>
        <w:t xml:space="preserve"> </w:t>
      </w:r>
      <w:r>
        <w:rPr>
          <w:rFonts w:ascii="Arial"/>
          <w:color w:val="1D1D1D"/>
          <w:spacing w:val="-2"/>
          <w:w w:val="105"/>
          <w:sz w:val="16"/>
        </w:rPr>
        <w:t>Anti-Dumping Final</w:t>
      </w:r>
      <w:r>
        <w:rPr>
          <w:rFonts w:ascii="Arial"/>
          <w:color w:val="1D1D1D"/>
          <w:spacing w:val="-13"/>
          <w:w w:val="105"/>
          <w:sz w:val="16"/>
        </w:rPr>
        <w:t xml:space="preserve"> </w:t>
      </w:r>
      <w:r>
        <w:rPr>
          <w:rFonts w:ascii="Arial"/>
          <w:color w:val="1D1D1D"/>
          <w:spacing w:val="-2"/>
          <w:w w:val="105"/>
          <w:sz w:val="16"/>
        </w:rPr>
        <w:t>Determination</w:t>
      </w:r>
      <w:r>
        <w:rPr>
          <w:rFonts w:ascii="Arial"/>
          <w:color w:val="1D1D1D"/>
          <w:spacing w:val="-6"/>
          <w:w w:val="105"/>
          <w:sz w:val="16"/>
        </w:rPr>
        <w:t xml:space="preserve"> </w:t>
      </w:r>
      <w:r>
        <w:rPr>
          <w:rFonts w:ascii="Arial"/>
          <w:color w:val="1D1D1D"/>
          <w:spacing w:val="-2"/>
          <w:w w:val="105"/>
          <w:sz w:val="16"/>
        </w:rPr>
        <w:t>(Exhibit AUS-2),</w:t>
      </w:r>
      <w:r>
        <w:rPr>
          <w:rFonts w:ascii="Arial"/>
          <w:color w:val="1D1D1D"/>
          <w:spacing w:val="-5"/>
          <w:w w:val="105"/>
          <w:sz w:val="16"/>
        </w:rPr>
        <w:t xml:space="preserve"> </w:t>
      </w:r>
      <w:r>
        <w:rPr>
          <w:rFonts w:ascii="Arial"/>
          <w:color w:val="070707"/>
          <w:spacing w:val="-2"/>
          <w:w w:val="105"/>
          <w:sz w:val="16"/>
        </w:rPr>
        <w:t>p.</w:t>
      </w:r>
      <w:r>
        <w:rPr>
          <w:rFonts w:ascii="Arial"/>
          <w:color w:val="070707"/>
          <w:spacing w:val="1"/>
          <w:w w:val="105"/>
          <w:sz w:val="16"/>
        </w:rPr>
        <w:t xml:space="preserve"> </w:t>
      </w:r>
      <w:r>
        <w:rPr>
          <w:rFonts w:ascii="Arial"/>
          <w:color w:val="1D1D1D"/>
          <w:spacing w:val="-4"/>
          <w:w w:val="105"/>
          <w:sz w:val="16"/>
        </w:rPr>
        <w:t>124.</w:t>
      </w:r>
    </w:p>
    <w:p w14:paraId="51DE94BC" w14:textId="77777777" w:rsidR="0010369C" w:rsidRDefault="008E43AE">
      <w:pPr>
        <w:spacing w:before="24"/>
        <w:ind w:left="229"/>
        <w:rPr>
          <w:rFonts w:ascii="Arial"/>
          <w:sz w:val="16"/>
        </w:rPr>
      </w:pPr>
      <w:r>
        <w:rPr>
          <w:rFonts w:ascii="Times New Roman"/>
          <w:color w:val="313131"/>
          <w:position w:val="5"/>
          <w:sz w:val="12"/>
        </w:rPr>
        <w:t>914</w:t>
      </w:r>
      <w:r>
        <w:rPr>
          <w:rFonts w:ascii="Times New Roman"/>
          <w:color w:val="313131"/>
          <w:spacing w:val="9"/>
          <w:position w:val="5"/>
          <w:sz w:val="12"/>
        </w:rPr>
        <w:t xml:space="preserve"> </w:t>
      </w:r>
      <w:r>
        <w:rPr>
          <w:rFonts w:ascii="Arial"/>
          <w:color w:val="1D1D1D"/>
          <w:sz w:val="16"/>
        </w:rPr>
        <w:t>CADA</w:t>
      </w:r>
      <w:r>
        <w:rPr>
          <w:rFonts w:ascii="Arial"/>
          <w:color w:val="1D1D1D"/>
          <w:spacing w:val="10"/>
          <w:sz w:val="16"/>
        </w:rPr>
        <w:t xml:space="preserve"> </w:t>
      </w:r>
      <w:r>
        <w:rPr>
          <w:rFonts w:ascii="Arial"/>
          <w:color w:val="1D1D1D"/>
          <w:sz w:val="16"/>
        </w:rPr>
        <w:t>Application</w:t>
      </w:r>
      <w:r>
        <w:rPr>
          <w:rFonts w:ascii="Arial"/>
          <w:color w:val="1D1D1D"/>
          <w:spacing w:val="9"/>
          <w:sz w:val="16"/>
        </w:rPr>
        <w:t xml:space="preserve"> </w:t>
      </w:r>
      <w:r>
        <w:rPr>
          <w:rFonts w:ascii="Arial"/>
          <w:color w:val="1D1D1D"/>
          <w:sz w:val="16"/>
        </w:rPr>
        <w:t>for</w:t>
      </w:r>
      <w:r>
        <w:rPr>
          <w:rFonts w:ascii="Arial"/>
          <w:color w:val="1D1D1D"/>
          <w:spacing w:val="25"/>
          <w:sz w:val="16"/>
        </w:rPr>
        <w:t xml:space="preserve"> </w:t>
      </w:r>
      <w:r>
        <w:rPr>
          <w:rFonts w:ascii="Arial"/>
          <w:color w:val="1D1D1D"/>
          <w:sz w:val="16"/>
        </w:rPr>
        <w:t>Anti-Dumping</w:t>
      </w:r>
      <w:r>
        <w:rPr>
          <w:rFonts w:ascii="Arial"/>
          <w:color w:val="1D1D1D"/>
          <w:spacing w:val="12"/>
          <w:sz w:val="16"/>
        </w:rPr>
        <w:t xml:space="preserve"> </w:t>
      </w:r>
      <w:r>
        <w:rPr>
          <w:rFonts w:ascii="Arial"/>
          <w:color w:val="414141"/>
          <w:sz w:val="16"/>
        </w:rPr>
        <w:t>investigation</w:t>
      </w:r>
      <w:r>
        <w:rPr>
          <w:rFonts w:ascii="Arial"/>
          <w:color w:val="414141"/>
          <w:spacing w:val="6"/>
          <w:sz w:val="16"/>
        </w:rPr>
        <w:t xml:space="preserve"> </w:t>
      </w:r>
      <w:r>
        <w:rPr>
          <w:rFonts w:ascii="Arial"/>
          <w:color w:val="313131"/>
          <w:sz w:val="16"/>
        </w:rPr>
        <w:t>(Exhibit</w:t>
      </w:r>
      <w:r>
        <w:rPr>
          <w:rFonts w:ascii="Arial"/>
          <w:color w:val="313131"/>
          <w:spacing w:val="10"/>
          <w:sz w:val="16"/>
        </w:rPr>
        <w:t xml:space="preserve"> </w:t>
      </w:r>
      <w:r>
        <w:rPr>
          <w:rFonts w:ascii="Arial"/>
          <w:color w:val="1D1D1D"/>
          <w:sz w:val="16"/>
        </w:rPr>
        <w:t>AUS-64),</w:t>
      </w:r>
      <w:r>
        <w:rPr>
          <w:rFonts w:ascii="Arial"/>
          <w:color w:val="1D1D1D"/>
          <w:spacing w:val="-7"/>
          <w:sz w:val="16"/>
        </w:rPr>
        <w:t xml:space="preserve"> </w:t>
      </w:r>
      <w:r>
        <w:rPr>
          <w:rFonts w:ascii="Arial"/>
          <w:color w:val="1D1D1D"/>
          <w:sz w:val="16"/>
        </w:rPr>
        <w:t>p.</w:t>
      </w:r>
      <w:r>
        <w:rPr>
          <w:rFonts w:ascii="Arial"/>
          <w:color w:val="1D1D1D"/>
          <w:spacing w:val="23"/>
          <w:sz w:val="16"/>
        </w:rPr>
        <w:t xml:space="preserve"> </w:t>
      </w:r>
      <w:r>
        <w:rPr>
          <w:rFonts w:ascii="Arial"/>
          <w:color w:val="1D1D1D"/>
          <w:spacing w:val="-5"/>
          <w:sz w:val="16"/>
        </w:rPr>
        <w:t>9.</w:t>
      </w:r>
    </w:p>
    <w:p w14:paraId="51DE94BD" w14:textId="77777777" w:rsidR="0010369C" w:rsidRDefault="0010369C">
      <w:pPr>
        <w:rPr>
          <w:rFonts w:ascii="Arial"/>
          <w:sz w:val="16"/>
        </w:rPr>
        <w:sectPr w:rsidR="0010369C">
          <w:type w:val="continuous"/>
          <w:pgSz w:w="11910" w:h="16840"/>
          <w:pgMar w:top="1460" w:right="800" w:bottom="280" w:left="1180" w:header="0" w:footer="805" w:gutter="0"/>
          <w:cols w:space="720"/>
        </w:sectPr>
      </w:pPr>
    </w:p>
    <w:p w14:paraId="51DE94BE" w14:textId="77777777" w:rsidR="0010369C" w:rsidRDefault="008E43AE">
      <w:pPr>
        <w:tabs>
          <w:tab w:val="left" w:pos="6426"/>
        </w:tabs>
        <w:ind w:left="238"/>
        <w:rPr>
          <w:sz w:val="20"/>
        </w:rPr>
      </w:pPr>
      <w:r>
        <w:rPr>
          <w:i/>
          <w:sz w:val="20"/>
        </w:rPr>
        <w:lastRenderedPageBreak/>
        <w:t>China</w:t>
      </w:r>
      <w:r>
        <w:rPr>
          <w:i/>
          <w:spacing w:val="-5"/>
          <w:sz w:val="20"/>
        </w:rPr>
        <w:t xml:space="preserve"> </w:t>
      </w:r>
      <w:r>
        <w:rPr>
          <w:i/>
          <w:sz w:val="20"/>
        </w:rPr>
        <w:t>–</w:t>
      </w:r>
      <w:r>
        <w:rPr>
          <w:i/>
          <w:spacing w:val="-5"/>
          <w:sz w:val="20"/>
        </w:rPr>
        <w:t xml:space="preserve"> </w:t>
      </w:r>
      <w:r>
        <w:rPr>
          <w:i/>
          <w:sz w:val="20"/>
        </w:rPr>
        <w:t>Anti‐Dumping</w:t>
      </w:r>
      <w:r>
        <w:rPr>
          <w:i/>
          <w:spacing w:val="-4"/>
          <w:sz w:val="20"/>
        </w:rPr>
        <w:t xml:space="preserve"> </w:t>
      </w:r>
      <w:r>
        <w:rPr>
          <w:i/>
          <w:sz w:val="20"/>
        </w:rPr>
        <w:t>and</w:t>
      </w:r>
      <w:r>
        <w:rPr>
          <w:i/>
          <w:spacing w:val="-5"/>
          <w:sz w:val="20"/>
        </w:rPr>
        <w:t xml:space="preserve"> </w:t>
      </w:r>
      <w:r>
        <w:rPr>
          <w:i/>
          <w:sz w:val="20"/>
        </w:rPr>
        <w:t>Countervailing</w:t>
      </w:r>
      <w:r>
        <w:rPr>
          <w:i/>
          <w:spacing w:val="-5"/>
          <w:sz w:val="20"/>
        </w:rPr>
        <w:t xml:space="preserve"> </w:t>
      </w:r>
      <w:r>
        <w:rPr>
          <w:i/>
          <w:sz w:val="20"/>
        </w:rPr>
        <w:t>Duty</w:t>
      </w:r>
      <w:r>
        <w:rPr>
          <w:i/>
          <w:spacing w:val="-4"/>
          <w:sz w:val="20"/>
        </w:rPr>
        <w:t xml:space="preserve"> </w:t>
      </w:r>
      <w:r>
        <w:rPr>
          <w:i/>
          <w:spacing w:val="-2"/>
          <w:sz w:val="20"/>
        </w:rPr>
        <w:t>Measures</w:t>
      </w:r>
      <w:r>
        <w:rPr>
          <w:i/>
          <w:sz w:val="20"/>
        </w:rPr>
        <w:tab/>
      </w:r>
      <w:r>
        <w:rPr>
          <w:sz w:val="20"/>
        </w:rPr>
        <w:t>Australia's</w:t>
      </w:r>
      <w:r>
        <w:rPr>
          <w:spacing w:val="-7"/>
          <w:sz w:val="20"/>
        </w:rPr>
        <w:t xml:space="preserve"> </w:t>
      </w:r>
      <w:r>
        <w:rPr>
          <w:sz w:val="20"/>
        </w:rPr>
        <w:t>First</w:t>
      </w:r>
      <w:r>
        <w:rPr>
          <w:spacing w:val="-2"/>
          <w:sz w:val="20"/>
        </w:rPr>
        <w:t xml:space="preserve"> </w:t>
      </w:r>
      <w:r>
        <w:rPr>
          <w:sz w:val="20"/>
        </w:rPr>
        <w:t>Written</w:t>
      </w:r>
      <w:r>
        <w:rPr>
          <w:spacing w:val="-2"/>
          <w:sz w:val="20"/>
        </w:rPr>
        <w:t xml:space="preserve"> Submission</w:t>
      </w:r>
    </w:p>
    <w:p w14:paraId="51DE94BF" w14:textId="77777777" w:rsidR="0010369C" w:rsidRDefault="008E43AE">
      <w:pPr>
        <w:tabs>
          <w:tab w:val="left" w:pos="8228"/>
        </w:tabs>
        <w:spacing w:before="1"/>
        <w:ind w:left="239"/>
        <w:rPr>
          <w:sz w:val="20"/>
        </w:rPr>
      </w:pPr>
      <w:r>
        <w:rPr>
          <w:i/>
          <w:sz w:val="20"/>
        </w:rPr>
        <w:t>on</w:t>
      </w:r>
      <w:r>
        <w:rPr>
          <w:i/>
          <w:spacing w:val="-1"/>
          <w:sz w:val="20"/>
        </w:rPr>
        <w:t xml:space="preserve"> </w:t>
      </w:r>
      <w:r>
        <w:rPr>
          <w:i/>
          <w:sz w:val="20"/>
        </w:rPr>
        <w:t>Wine</w:t>
      </w:r>
      <w:r>
        <w:rPr>
          <w:i/>
          <w:spacing w:val="-1"/>
          <w:sz w:val="20"/>
        </w:rPr>
        <w:t xml:space="preserve"> </w:t>
      </w:r>
      <w:r>
        <w:rPr>
          <w:i/>
          <w:sz w:val="20"/>
        </w:rPr>
        <w:t>from</w:t>
      </w:r>
      <w:r>
        <w:rPr>
          <w:i/>
          <w:spacing w:val="-3"/>
          <w:sz w:val="20"/>
        </w:rPr>
        <w:t xml:space="preserve"> </w:t>
      </w:r>
      <w:r>
        <w:rPr>
          <w:i/>
          <w:sz w:val="20"/>
        </w:rPr>
        <w:t>Australia</w:t>
      </w:r>
      <w:r>
        <w:rPr>
          <w:i/>
          <w:spacing w:val="-1"/>
          <w:sz w:val="20"/>
        </w:rPr>
        <w:t xml:space="preserve"> </w:t>
      </w:r>
      <w:r>
        <w:rPr>
          <w:spacing w:val="-2"/>
          <w:sz w:val="20"/>
        </w:rPr>
        <w:t>(DS602)</w:t>
      </w:r>
      <w:r>
        <w:rPr>
          <w:sz w:val="20"/>
        </w:rPr>
        <w:tab/>
        <w:t>29</w:t>
      </w:r>
      <w:r>
        <w:rPr>
          <w:spacing w:val="-1"/>
          <w:sz w:val="20"/>
        </w:rPr>
        <w:t xml:space="preserve"> </w:t>
      </w:r>
      <w:r>
        <w:rPr>
          <w:sz w:val="20"/>
        </w:rPr>
        <w:t>April</w:t>
      </w:r>
      <w:r>
        <w:rPr>
          <w:spacing w:val="-2"/>
          <w:sz w:val="20"/>
        </w:rPr>
        <w:t xml:space="preserve"> </w:t>
      </w:r>
      <w:r>
        <w:rPr>
          <w:spacing w:val="-4"/>
          <w:sz w:val="20"/>
        </w:rPr>
        <w:t>2022</w:t>
      </w:r>
    </w:p>
    <w:p w14:paraId="51DE94C0" w14:textId="77777777" w:rsidR="0010369C" w:rsidRDefault="008E43AE">
      <w:pPr>
        <w:pStyle w:val="BodyText"/>
        <w:spacing w:before="34" w:line="360" w:lineRule="auto"/>
        <w:ind w:left="237" w:right="613" w:firstLine="851"/>
        <w:jc w:val="both"/>
      </w:pPr>
      <w:r>
        <w:rPr>
          <w:noProof/>
        </w:rPr>
        <w:drawing>
          <wp:anchor distT="0" distB="0" distL="0" distR="0" simplePos="0" relativeHeight="251361792" behindDoc="1" locked="0" layoutInCell="1" allowOverlap="1" wp14:anchorId="51DEA656" wp14:editId="51DEA657">
            <wp:simplePos x="0" y="0"/>
            <wp:positionH relativeFrom="page">
              <wp:posOffset>902208</wp:posOffset>
            </wp:positionH>
            <wp:positionV relativeFrom="paragraph">
              <wp:posOffset>69165</wp:posOffset>
            </wp:positionV>
            <wp:extent cx="262127" cy="103631"/>
            <wp:effectExtent l="0" t="0" r="0" b="0"/>
            <wp:wrapNone/>
            <wp:docPr id="1485" name="image7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 name="image770.png"/>
                    <pic:cNvPicPr/>
                  </pic:nvPicPr>
                  <pic:blipFill>
                    <a:blip r:embed="rId1011" cstate="print"/>
                    <a:stretch>
                      <a:fillRect/>
                    </a:stretch>
                  </pic:blipFill>
                  <pic:spPr>
                    <a:xfrm>
                      <a:off x="0" y="0"/>
                      <a:ext cx="262127" cy="103631"/>
                    </a:xfrm>
                    <a:prstGeom prst="rect">
                      <a:avLst/>
                    </a:prstGeom>
                  </pic:spPr>
                </pic:pic>
              </a:graphicData>
            </a:graphic>
          </wp:anchor>
        </w:drawing>
      </w:r>
      <w:r>
        <w:t>Instead, CADA's application only included a list of its 122 member companies.</w:t>
      </w:r>
      <w:r>
        <w:rPr>
          <w:vertAlign w:val="superscript"/>
        </w:rPr>
        <w:t>915</w:t>
      </w:r>
      <w:r>
        <w:t xml:space="preserve"> CADA acknowledged that "there are hundreds of domestic wine producers in more than 20 provinces, autonomous regions, and directly‐controlled cities, mainly in Shandong, Hebei,</w:t>
      </w:r>
      <w:r>
        <w:t xml:space="preserve"> Ningxia,</w:t>
      </w:r>
      <w:r>
        <w:rPr>
          <w:spacing w:val="-4"/>
        </w:rPr>
        <w:t xml:space="preserve"> </w:t>
      </w:r>
      <w:r>
        <w:t>Xinjiang,</w:t>
      </w:r>
      <w:r>
        <w:rPr>
          <w:spacing w:val="-3"/>
        </w:rPr>
        <w:t xml:space="preserve"> </w:t>
      </w:r>
      <w:r>
        <w:t>and</w:t>
      </w:r>
      <w:r>
        <w:rPr>
          <w:spacing w:val="-3"/>
        </w:rPr>
        <w:t xml:space="preserve"> </w:t>
      </w:r>
      <w:r>
        <w:t>Gansu".</w:t>
      </w:r>
      <w:r>
        <w:rPr>
          <w:vertAlign w:val="superscript"/>
        </w:rPr>
        <w:t>916</w:t>
      </w:r>
      <w:r>
        <w:rPr>
          <w:spacing w:val="-3"/>
        </w:rPr>
        <w:t xml:space="preserve"> </w:t>
      </w:r>
      <w:r>
        <w:t>Although</w:t>
      </w:r>
      <w:r>
        <w:rPr>
          <w:spacing w:val="-4"/>
        </w:rPr>
        <w:t xml:space="preserve"> </w:t>
      </w:r>
      <w:r>
        <w:t>it</w:t>
      </w:r>
      <w:r>
        <w:rPr>
          <w:spacing w:val="-3"/>
        </w:rPr>
        <w:t xml:space="preserve"> </w:t>
      </w:r>
      <w:r>
        <w:t>was</w:t>
      </w:r>
      <w:r>
        <w:rPr>
          <w:spacing w:val="-3"/>
        </w:rPr>
        <w:t xml:space="preserve"> </w:t>
      </w:r>
      <w:r>
        <w:t>aware</w:t>
      </w:r>
      <w:r>
        <w:rPr>
          <w:spacing w:val="-3"/>
        </w:rPr>
        <w:t xml:space="preserve"> </w:t>
      </w:r>
      <w:r>
        <w:t>of</w:t>
      </w:r>
      <w:r>
        <w:rPr>
          <w:spacing w:val="-3"/>
        </w:rPr>
        <w:t xml:space="preserve"> </w:t>
      </w:r>
      <w:r>
        <w:t>the</w:t>
      </w:r>
      <w:r>
        <w:rPr>
          <w:spacing w:val="-3"/>
        </w:rPr>
        <w:t xml:space="preserve"> </w:t>
      </w:r>
      <w:r>
        <w:t>existence</w:t>
      </w:r>
      <w:r>
        <w:rPr>
          <w:spacing w:val="-3"/>
        </w:rPr>
        <w:t xml:space="preserve"> </w:t>
      </w:r>
      <w:r>
        <w:t>of</w:t>
      </w:r>
      <w:r>
        <w:rPr>
          <w:spacing w:val="-4"/>
        </w:rPr>
        <w:t xml:space="preserve"> </w:t>
      </w:r>
      <w:r>
        <w:t>hundreds</w:t>
      </w:r>
      <w:r>
        <w:rPr>
          <w:spacing w:val="-2"/>
        </w:rPr>
        <w:t xml:space="preserve"> </w:t>
      </w:r>
      <w:r>
        <w:t>of</w:t>
      </w:r>
      <w:r>
        <w:rPr>
          <w:spacing w:val="-4"/>
        </w:rPr>
        <w:t xml:space="preserve"> </w:t>
      </w:r>
      <w:r>
        <w:t>other wine producers, no other producers are identified in the application. Further, CADA'S failure to</w:t>
      </w:r>
      <w:r>
        <w:rPr>
          <w:spacing w:val="-14"/>
        </w:rPr>
        <w:t xml:space="preserve"> </w:t>
      </w:r>
      <w:r>
        <w:t>identify</w:t>
      </w:r>
      <w:r>
        <w:rPr>
          <w:spacing w:val="-13"/>
        </w:rPr>
        <w:t xml:space="preserve"> </w:t>
      </w:r>
      <w:r>
        <w:t>all</w:t>
      </w:r>
      <w:r>
        <w:rPr>
          <w:spacing w:val="-14"/>
        </w:rPr>
        <w:t xml:space="preserve"> </w:t>
      </w:r>
      <w:r>
        <w:t>known</w:t>
      </w:r>
      <w:r>
        <w:rPr>
          <w:spacing w:val="-13"/>
        </w:rPr>
        <w:t xml:space="preserve"> </w:t>
      </w:r>
      <w:r>
        <w:t>producers,</w:t>
      </w:r>
      <w:r>
        <w:rPr>
          <w:spacing w:val="-12"/>
        </w:rPr>
        <w:t xml:space="preserve"> </w:t>
      </w:r>
      <w:r>
        <w:t>meant</w:t>
      </w:r>
      <w:r>
        <w:rPr>
          <w:spacing w:val="-13"/>
        </w:rPr>
        <w:t xml:space="preserve"> </w:t>
      </w:r>
      <w:r>
        <w:t>that</w:t>
      </w:r>
      <w:r>
        <w:rPr>
          <w:spacing w:val="-14"/>
        </w:rPr>
        <w:t xml:space="preserve"> </w:t>
      </w:r>
      <w:r>
        <w:t>there</w:t>
      </w:r>
      <w:r>
        <w:rPr>
          <w:spacing w:val="-14"/>
        </w:rPr>
        <w:t xml:space="preserve"> </w:t>
      </w:r>
      <w:r>
        <w:t>was</w:t>
      </w:r>
      <w:r>
        <w:rPr>
          <w:spacing w:val="-13"/>
        </w:rPr>
        <w:t xml:space="preserve"> </w:t>
      </w:r>
      <w:r>
        <w:t>also</w:t>
      </w:r>
      <w:r>
        <w:rPr>
          <w:spacing w:val="-13"/>
        </w:rPr>
        <w:t xml:space="preserve"> </w:t>
      </w:r>
      <w:r>
        <w:t>no</w:t>
      </w:r>
      <w:r>
        <w:rPr>
          <w:spacing w:val="-14"/>
        </w:rPr>
        <w:t xml:space="preserve"> </w:t>
      </w:r>
      <w:r>
        <w:t>attem</w:t>
      </w:r>
      <w:r>
        <w:t>pt</w:t>
      </w:r>
      <w:r>
        <w:rPr>
          <w:spacing w:val="-14"/>
        </w:rPr>
        <w:t xml:space="preserve"> </w:t>
      </w:r>
      <w:r>
        <w:t>to</w:t>
      </w:r>
      <w:r>
        <w:rPr>
          <w:spacing w:val="-12"/>
        </w:rPr>
        <w:t xml:space="preserve"> </w:t>
      </w:r>
      <w:r>
        <w:t>provide</w:t>
      </w:r>
      <w:r>
        <w:rPr>
          <w:spacing w:val="-13"/>
        </w:rPr>
        <w:t xml:space="preserve"> </w:t>
      </w:r>
      <w:r>
        <w:t>a</w:t>
      </w:r>
      <w:r>
        <w:rPr>
          <w:spacing w:val="-13"/>
        </w:rPr>
        <w:t xml:space="preserve"> </w:t>
      </w:r>
      <w:r>
        <w:t>description of the volume and value of domestic production of the like product accounted for by such producers, as required by Article 5.2(i).</w:t>
      </w:r>
    </w:p>
    <w:p w14:paraId="51DE94C1" w14:textId="77777777" w:rsidR="0010369C" w:rsidRDefault="0010369C">
      <w:pPr>
        <w:pStyle w:val="BodyText"/>
        <w:spacing w:before="11"/>
        <w:rPr>
          <w:sz w:val="8"/>
        </w:rPr>
      </w:pPr>
    </w:p>
    <w:p w14:paraId="51DE94C2" w14:textId="77777777" w:rsidR="0010369C" w:rsidRDefault="008E43AE">
      <w:pPr>
        <w:pStyle w:val="BodyText"/>
        <w:spacing w:before="52" w:line="360" w:lineRule="auto"/>
        <w:ind w:left="238" w:firstLine="851"/>
      </w:pPr>
      <w:r>
        <w:rPr>
          <w:noProof/>
        </w:rPr>
        <w:drawing>
          <wp:anchor distT="0" distB="0" distL="0" distR="0" simplePos="0" relativeHeight="251362816" behindDoc="1" locked="0" layoutInCell="1" allowOverlap="1" wp14:anchorId="51DEA658" wp14:editId="51DEA659">
            <wp:simplePos x="0" y="0"/>
            <wp:positionH relativeFrom="page">
              <wp:posOffset>902208</wp:posOffset>
            </wp:positionH>
            <wp:positionV relativeFrom="paragraph">
              <wp:posOffset>81357</wp:posOffset>
            </wp:positionV>
            <wp:extent cx="262127" cy="103631"/>
            <wp:effectExtent l="0" t="0" r="0" b="0"/>
            <wp:wrapNone/>
            <wp:docPr id="1487" name="image7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 name="image771.png"/>
                    <pic:cNvPicPr/>
                  </pic:nvPicPr>
                  <pic:blipFill>
                    <a:blip r:embed="rId1012" cstate="print"/>
                    <a:stretch>
                      <a:fillRect/>
                    </a:stretch>
                  </pic:blipFill>
                  <pic:spPr>
                    <a:xfrm>
                      <a:off x="0" y="0"/>
                      <a:ext cx="262127" cy="103631"/>
                    </a:xfrm>
                    <a:prstGeom prst="rect">
                      <a:avLst/>
                    </a:prstGeom>
                  </pic:spPr>
                </pic:pic>
              </a:graphicData>
            </a:graphic>
          </wp:anchor>
        </w:drawing>
      </w:r>
      <w:r>
        <w:t>An</w:t>
      </w:r>
      <w:r>
        <w:rPr>
          <w:spacing w:val="-11"/>
        </w:rPr>
        <w:t xml:space="preserve"> </w:t>
      </w:r>
      <w:r>
        <w:t>unbiased</w:t>
      </w:r>
      <w:r>
        <w:rPr>
          <w:spacing w:val="-11"/>
        </w:rPr>
        <w:t xml:space="preserve"> </w:t>
      </w:r>
      <w:r>
        <w:t>and</w:t>
      </w:r>
      <w:r>
        <w:rPr>
          <w:spacing w:val="-11"/>
        </w:rPr>
        <w:t xml:space="preserve"> </w:t>
      </w:r>
      <w:r>
        <w:t>objective</w:t>
      </w:r>
      <w:r>
        <w:rPr>
          <w:spacing w:val="-10"/>
        </w:rPr>
        <w:t xml:space="preserve"> </w:t>
      </w:r>
      <w:r>
        <w:t>investigating</w:t>
      </w:r>
      <w:r>
        <w:rPr>
          <w:spacing w:val="-10"/>
        </w:rPr>
        <w:t xml:space="preserve"> </w:t>
      </w:r>
      <w:r>
        <w:t>authority</w:t>
      </w:r>
      <w:r>
        <w:rPr>
          <w:spacing w:val="-10"/>
        </w:rPr>
        <w:t xml:space="preserve"> </w:t>
      </w:r>
      <w:r>
        <w:t>could</w:t>
      </w:r>
      <w:r>
        <w:rPr>
          <w:spacing w:val="-11"/>
        </w:rPr>
        <w:t xml:space="preserve"> </w:t>
      </w:r>
      <w:r>
        <w:t>not</w:t>
      </w:r>
      <w:r>
        <w:rPr>
          <w:spacing w:val="-12"/>
        </w:rPr>
        <w:t xml:space="preserve"> </w:t>
      </w:r>
      <w:r>
        <w:t>have</w:t>
      </w:r>
      <w:r>
        <w:rPr>
          <w:spacing w:val="-10"/>
        </w:rPr>
        <w:t xml:space="preserve"> </w:t>
      </w:r>
      <w:r>
        <w:t>found</w:t>
      </w:r>
      <w:r>
        <w:rPr>
          <w:spacing w:val="-11"/>
        </w:rPr>
        <w:t xml:space="preserve"> </w:t>
      </w:r>
      <w:r>
        <w:t>CADA's</w:t>
      </w:r>
      <w:r>
        <w:rPr>
          <w:spacing w:val="-11"/>
        </w:rPr>
        <w:t xml:space="preserve"> </w:t>
      </w:r>
      <w:r>
        <w:t>list</w:t>
      </w:r>
      <w:r>
        <w:rPr>
          <w:spacing w:val="-11"/>
        </w:rPr>
        <w:t xml:space="preserve"> </w:t>
      </w:r>
      <w:r>
        <w:t>of producers sufficient for the purposes of Article 5.2(i).</w:t>
      </w:r>
    </w:p>
    <w:p w14:paraId="51DE94C3" w14:textId="77777777" w:rsidR="0010369C" w:rsidRDefault="008E43AE">
      <w:pPr>
        <w:pStyle w:val="ListParagraph"/>
        <w:numPr>
          <w:ilvl w:val="0"/>
          <w:numId w:val="31"/>
        </w:numPr>
        <w:tabs>
          <w:tab w:val="left" w:pos="1939"/>
          <w:tab w:val="left" w:pos="1940"/>
        </w:tabs>
        <w:spacing w:before="159"/>
        <w:rPr>
          <w:b/>
          <w:sz w:val="28"/>
        </w:rPr>
      </w:pPr>
      <w:r>
        <w:rPr>
          <w:b/>
          <w:w w:val="95"/>
          <w:sz w:val="28"/>
        </w:rPr>
        <w:t>MOFCOM</w:t>
      </w:r>
      <w:r>
        <w:rPr>
          <w:b/>
          <w:spacing w:val="25"/>
          <w:sz w:val="28"/>
        </w:rPr>
        <w:t xml:space="preserve"> </w:t>
      </w:r>
      <w:r>
        <w:rPr>
          <w:b/>
          <w:w w:val="95"/>
        </w:rPr>
        <w:t>INITIATED</w:t>
      </w:r>
      <w:r>
        <w:rPr>
          <w:b/>
          <w:spacing w:val="37"/>
        </w:rPr>
        <w:t xml:space="preserve"> </w:t>
      </w:r>
      <w:r>
        <w:rPr>
          <w:b/>
          <w:w w:val="95"/>
        </w:rPr>
        <w:t>THE</w:t>
      </w:r>
      <w:r>
        <w:rPr>
          <w:b/>
          <w:spacing w:val="39"/>
        </w:rPr>
        <w:t xml:space="preserve"> </w:t>
      </w:r>
      <w:r>
        <w:rPr>
          <w:b/>
          <w:w w:val="95"/>
        </w:rPr>
        <w:t>INVESTIGATION</w:t>
      </w:r>
      <w:r>
        <w:rPr>
          <w:b/>
          <w:spacing w:val="36"/>
        </w:rPr>
        <w:t xml:space="preserve"> </w:t>
      </w:r>
      <w:r>
        <w:rPr>
          <w:b/>
          <w:w w:val="95"/>
        </w:rPr>
        <w:t>WITHOUT</w:t>
      </w:r>
      <w:r>
        <w:rPr>
          <w:b/>
          <w:spacing w:val="41"/>
        </w:rPr>
        <w:t xml:space="preserve"> </w:t>
      </w:r>
      <w:r>
        <w:rPr>
          <w:b/>
          <w:w w:val="95"/>
          <w:sz w:val="28"/>
        </w:rPr>
        <w:t>"</w:t>
      </w:r>
      <w:r>
        <w:rPr>
          <w:b/>
          <w:w w:val="95"/>
        </w:rPr>
        <w:t>SUFFICIENT</w:t>
      </w:r>
      <w:r>
        <w:rPr>
          <w:b/>
          <w:spacing w:val="38"/>
        </w:rPr>
        <w:t xml:space="preserve"> </w:t>
      </w:r>
      <w:r>
        <w:rPr>
          <w:b/>
          <w:spacing w:val="-2"/>
          <w:w w:val="95"/>
        </w:rPr>
        <w:t>EVIDENCE</w:t>
      </w:r>
      <w:r>
        <w:rPr>
          <w:b/>
          <w:spacing w:val="-2"/>
          <w:w w:val="95"/>
          <w:sz w:val="28"/>
        </w:rPr>
        <w:t>"</w:t>
      </w:r>
    </w:p>
    <w:p w14:paraId="51DE94C4" w14:textId="77777777" w:rsidR="0010369C" w:rsidRDefault="0010369C">
      <w:pPr>
        <w:pStyle w:val="BodyText"/>
        <w:spacing w:before="11"/>
        <w:rPr>
          <w:b/>
          <w:sz w:val="22"/>
        </w:rPr>
      </w:pPr>
    </w:p>
    <w:p w14:paraId="51DE94C5" w14:textId="77777777" w:rsidR="0010369C" w:rsidRDefault="008E43AE">
      <w:pPr>
        <w:pStyle w:val="BodyText"/>
        <w:spacing w:before="52" w:line="360" w:lineRule="auto"/>
        <w:ind w:left="237" w:right="612" w:firstLine="851"/>
        <w:jc w:val="both"/>
      </w:pPr>
      <w:r>
        <w:rPr>
          <w:noProof/>
        </w:rPr>
        <w:drawing>
          <wp:anchor distT="0" distB="0" distL="0" distR="0" simplePos="0" relativeHeight="251363840" behindDoc="1" locked="0" layoutInCell="1" allowOverlap="1" wp14:anchorId="51DEA65A" wp14:editId="51DEA65B">
            <wp:simplePos x="0" y="0"/>
            <wp:positionH relativeFrom="page">
              <wp:posOffset>902208</wp:posOffset>
            </wp:positionH>
            <wp:positionV relativeFrom="paragraph">
              <wp:posOffset>76785</wp:posOffset>
            </wp:positionV>
            <wp:extent cx="262127" cy="106679"/>
            <wp:effectExtent l="0" t="0" r="0" b="0"/>
            <wp:wrapNone/>
            <wp:docPr id="1489" name="image7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 name="image772.png"/>
                    <pic:cNvPicPr/>
                  </pic:nvPicPr>
                  <pic:blipFill>
                    <a:blip r:embed="rId1013" cstate="print"/>
                    <a:stretch>
                      <a:fillRect/>
                    </a:stretch>
                  </pic:blipFill>
                  <pic:spPr>
                    <a:xfrm>
                      <a:off x="0" y="0"/>
                      <a:ext cx="262127" cy="106679"/>
                    </a:xfrm>
                    <a:prstGeom prst="rect">
                      <a:avLst/>
                    </a:prstGeom>
                  </pic:spPr>
                </pic:pic>
              </a:graphicData>
            </a:graphic>
          </wp:anchor>
        </w:drawing>
      </w:r>
      <w:r>
        <w:t>MOFCOM</w:t>
      </w:r>
      <w:r>
        <w:rPr>
          <w:spacing w:val="-10"/>
        </w:rPr>
        <w:t xml:space="preserve"> </w:t>
      </w:r>
      <w:r>
        <w:t>acted</w:t>
      </w:r>
      <w:r>
        <w:rPr>
          <w:spacing w:val="-11"/>
        </w:rPr>
        <w:t xml:space="preserve"> </w:t>
      </w:r>
      <w:r>
        <w:t>inconsistently</w:t>
      </w:r>
      <w:r>
        <w:rPr>
          <w:spacing w:val="-9"/>
        </w:rPr>
        <w:t xml:space="preserve"> </w:t>
      </w:r>
      <w:r>
        <w:t>with</w:t>
      </w:r>
      <w:r>
        <w:rPr>
          <w:spacing w:val="-12"/>
        </w:rPr>
        <w:t xml:space="preserve"> </w:t>
      </w:r>
      <w:r>
        <w:t>China's</w:t>
      </w:r>
      <w:r>
        <w:rPr>
          <w:spacing w:val="-11"/>
        </w:rPr>
        <w:t xml:space="preserve"> </w:t>
      </w:r>
      <w:r>
        <w:t>obligations</w:t>
      </w:r>
      <w:r>
        <w:rPr>
          <w:spacing w:val="-10"/>
        </w:rPr>
        <w:t xml:space="preserve"> </w:t>
      </w:r>
      <w:r>
        <w:t>under</w:t>
      </w:r>
      <w:r>
        <w:rPr>
          <w:spacing w:val="-11"/>
        </w:rPr>
        <w:t xml:space="preserve"> </w:t>
      </w:r>
      <w:r>
        <w:t>Articles</w:t>
      </w:r>
      <w:r>
        <w:rPr>
          <w:spacing w:val="-12"/>
        </w:rPr>
        <w:t xml:space="preserve"> </w:t>
      </w:r>
      <w:r>
        <w:t>5.2,</w:t>
      </w:r>
      <w:r>
        <w:rPr>
          <w:spacing w:val="-12"/>
        </w:rPr>
        <w:t xml:space="preserve"> </w:t>
      </w:r>
      <w:r>
        <w:t>5.3</w:t>
      </w:r>
      <w:r>
        <w:rPr>
          <w:spacing w:val="-11"/>
        </w:rPr>
        <w:t xml:space="preserve"> </w:t>
      </w:r>
      <w:r>
        <w:t>and</w:t>
      </w:r>
      <w:r>
        <w:rPr>
          <w:spacing w:val="-11"/>
        </w:rPr>
        <w:t xml:space="preserve"> </w:t>
      </w:r>
      <w:r>
        <w:t>5.8 of the Anti‐Dumping Agreement by (i) concluding that there was sufficient evidence of dumping, injury, and causation to initiate an anti‐dumping investigation, and (ii) failing to reject the application on the basis of insufficient evidence.</w:t>
      </w:r>
    </w:p>
    <w:p w14:paraId="51DE94C6" w14:textId="77777777" w:rsidR="0010369C" w:rsidRDefault="008E43AE">
      <w:pPr>
        <w:pStyle w:val="Heading4"/>
        <w:numPr>
          <w:ilvl w:val="1"/>
          <w:numId w:val="31"/>
        </w:numPr>
        <w:tabs>
          <w:tab w:val="left" w:pos="2648"/>
          <w:tab w:val="left" w:pos="2649"/>
        </w:tabs>
        <w:ind w:hanging="852"/>
        <w:jc w:val="both"/>
      </w:pPr>
      <w:r>
        <w:t>Legal</w:t>
      </w:r>
      <w:r>
        <w:rPr>
          <w:spacing w:val="-7"/>
        </w:rPr>
        <w:t xml:space="preserve"> </w:t>
      </w:r>
      <w:r>
        <w:rPr>
          <w:spacing w:val="-2"/>
        </w:rPr>
        <w:t>fram</w:t>
      </w:r>
      <w:r>
        <w:rPr>
          <w:spacing w:val="-2"/>
        </w:rPr>
        <w:t>ework</w:t>
      </w:r>
    </w:p>
    <w:p w14:paraId="51DE94C7" w14:textId="77777777" w:rsidR="0010369C" w:rsidRDefault="0010369C">
      <w:pPr>
        <w:pStyle w:val="BodyText"/>
        <w:spacing w:before="10"/>
        <w:rPr>
          <w:b/>
          <w:sz w:val="20"/>
        </w:rPr>
      </w:pPr>
    </w:p>
    <w:p w14:paraId="51DE94C8" w14:textId="77777777" w:rsidR="0010369C" w:rsidRDefault="008E43AE">
      <w:pPr>
        <w:pStyle w:val="BodyText"/>
        <w:spacing w:before="51" w:line="360" w:lineRule="auto"/>
        <w:ind w:left="237" w:right="613" w:firstLine="851"/>
        <w:jc w:val="both"/>
      </w:pPr>
      <w:r>
        <w:rPr>
          <w:noProof/>
        </w:rPr>
        <w:drawing>
          <wp:anchor distT="0" distB="0" distL="0" distR="0" simplePos="0" relativeHeight="251364864" behindDoc="1" locked="0" layoutInCell="1" allowOverlap="1" wp14:anchorId="51DEA65C" wp14:editId="51DEA65D">
            <wp:simplePos x="0" y="0"/>
            <wp:positionH relativeFrom="page">
              <wp:posOffset>902208</wp:posOffset>
            </wp:positionH>
            <wp:positionV relativeFrom="paragraph">
              <wp:posOffset>80722</wp:posOffset>
            </wp:positionV>
            <wp:extent cx="262127" cy="103631"/>
            <wp:effectExtent l="0" t="0" r="0" b="0"/>
            <wp:wrapNone/>
            <wp:docPr id="1491" name="image7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 name="image773.png"/>
                    <pic:cNvPicPr/>
                  </pic:nvPicPr>
                  <pic:blipFill>
                    <a:blip r:embed="rId1014" cstate="print"/>
                    <a:stretch>
                      <a:fillRect/>
                    </a:stretch>
                  </pic:blipFill>
                  <pic:spPr>
                    <a:xfrm>
                      <a:off x="0" y="0"/>
                      <a:ext cx="262127" cy="103631"/>
                    </a:xfrm>
                    <a:prstGeom prst="rect">
                      <a:avLst/>
                    </a:prstGeom>
                  </pic:spPr>
                </pic:pic>
              </a:graphicData>
            </a:graphic>
          </wp:anchor>
        </w:drawing>
      </w:r>
      <w:r>
        <w:t>Article</w:t>
      </w:r>
      <w:r>
        <w:rPr>
          <w:spacing w:val="-9"/>
        </w:rPr>
        <w:t xml:space="preserve"> </w:t>
      </w:r>
      <w:r>
        <w:t>5.2</w:t>
      </w:r>
      <w:r>
        <w:rPr>
          <w:spacing w:val="-9"/>
        </w:rPr>
        <w:t xml:space="preserve"> </w:t>
      </w:r>
      <w:r>
        <w:t>of</w:t>
      </w:r>
      <w:r>
        <w:rPr>
          <w:spacing w:val="-9"/>
        </w:rPr>
        <w:t xml:space="preserve"> </w:t>
      </w:r>
      <w:r>
        <w:t>the</w:t>
      </w:r>
      <w:r>
        <w:rPr>
          <w:spacing w:val="-8"/>
        </w:rPr>
        <w:t xml:space="preserve"> </w:t>
      </w:r>
      <w:r>
        <w:t>Anti‐Dumping</w:t>
      </w:r>
      <w:r>
        <w:rPr>
          <w:spacing w:val="-8"/>
        </w:rPr>
        <w:t xml:space="preserve"> </w:t>
      </w:r>
      <w:r>
        <w:t>Agreement</w:t>
      </w:r>
      <w:r>
        <w:rPr>
          <w:spacing w:val="-9"/>
        </w:rPr>
        <w:t xml:space="preserve"> </w:t>
      </w:r>
      <w:r>
        <w:t>provides</w:t>
      </w:r>
      <w:r>
        <w:rPr>
          <w:spacing w:val="-9"/>
        </w:rPr>
        <w:t xml:space="preserve"> </w:t>
      </w:r>
      <w:r>
        <w:t>that</w:t>
      </w:r>
      <w:r>
        <w:rPr>
          <w:spacing w:val="-9"/>
        </w:rPr>
        <w:t xml:space="preserve"> </w:t>
      </w:r>
      <w:r>
        <w:t>an</w:t>
      </w:r>
      <w:r>
        <w:rPr>
          <w:spacing w:val="-9"/>
        </w:rPr>
        <w:t xml:space="preserve"> </w:t>
      </w:r>
      <w:r>
        <w:t>application</w:t>
      </w:r>
      <w:r>
        <w:rPr>
          <w:spacing w:val="-9"/>
        </w:rPr>
        <w:t xml:space="preserve"> </w:t>
      </w:r>
      <w:r>
        <w:t>must</w:t>
      </w:r>
      <w:r>
        <w:rPr>
          <w:spacing w:val="-8"/>
        </w:rPr>
        <w:t xml:space="preserve"> </w:t>
      </w:r>
      <w:r>
        <w:t>include "evidence</w:t>
      </w:r>
      <w:r>
        <w:rPr>
          <w:spacing w:val="-3"/>
        </w:rPr>
        <w:t xml:space="preserve"> </w:t>
      </w:r>
      <w:r>
        <w:t>of</w:t>
      </w:r>
      <w:r>
        <w:rPr>
          <w:spacing w:val="-4"/>
        </w:rPr>
        <w:t xml:space="preserve"> </w:t>
      </w:r>
      <w:r>
        <w:t>(a)</w:t>
      </w:r>
      <w:r>
        <w:rPr>
          <w:spacing w:val="-2"/>
        </w:rPr>
        <w:t xml:space="preserve"> </w:t>
      </w:r>
      <w:r>
        <w:t>dumping,</w:t>
      </w:r>
      <w:r>
        <w:rPr>
          <w:spacing w:val="-2"/>
        </w:rPr>
        <w:t xml:space="preserve"> </w:t>
      </w:r>
      <w:r>
        <w:t>(b)</w:t>
      </w:r>
      <w:r>
        <w:rPr>
          <w:spacing w:val="-2"/>
        </w:rPr>
        <w:t xml:space="preserve"> </w:t>
      </w:r>
      <w:r>
        <w:t>injury</w:t>
      </w:r>
      <w:r>
        <w:rPr>
          <w:spacing w:val="-2"/>
        </w:rPr>
        <w:t xml:space="preserve"> </w:t>
      </w:r>
      <w:r>
        <w:t>…</w:t>
      </w:r>
      <w:r>
        <w:rPr>
          <w:spacing w:val="-3"/>
        </w:rPr>
        <w:t xml:space="preserve"> </w:t>
      </w:r>
      <w:r>
        <w:t>and</w:t>
      </w:r>
      <w:r>
        <w:rPr>
          <w:spacing w:val="-3"/>
        </w:rPr>
        <w:t xml:space="preserve"> </w:t>
      </w:r>
      <w:r>
        <w:t>(c)</w:t>
      </w:r>
      <w:r>
        <w:rPr>
          <w:spacing w:val="-3"/>
        </w:rPr>
        <w:t xml:space="preserve"> </w:t>
      </w:r>
      <w:r>
        <w:t>a</w:t>
      </w:r>
      <w:r>
        <w:rPr>
          <w:spacing w:val="-3"/>
        </w:rPr>
        <w:t xml:space="preserve"> </w:t>
      </w:r>
      <w:r>
        <w:t>causal</w:t>
      </w:r>
      <w:r>
        <w:rPr>
          <w:spacing w:val="-3"/>
        </w:rPr>
        <w:t xml:space="preserve"> </w:t>
      </w:r>
      <w:r>
        <w:t>link</w:t>
      </w:r>
      <w:r>
        <w:rPr>
          <w:spacing w:val="-2"/>
        </w:rPr>
        <w:t xml:space="preserve"> </w:t>
      </w:r>
      <w:r>
        <w:t>between</w:t>
      </w:r>
      <w:r>
        <w:rPr>
          <w:spacing w:val="-3"/>
        </w:rPr>
        <w:t xml:space="preserve"> </w:t>
      </w:r>
      <w:r>
        <w:t>the</w:t>
      </w:r>
      <w:r>
        <w:rPr>
          <w:spacing w:val="-3"/>
        </w:rPr>
        <w:t xml:space="preserve"> </w:t>
      </w:r>
      <w:r>
        <w:t>dumping</w:t>
      </w:r>
      <w:r>
        <w:rPr>
          <w:spacing w:val="-2"/>
        </w:rPr>
        <w:t xml:space="preserve"> </w:t>
      </w:r>
      <w:r>
        <w:t>imports</w:t>
      </w:r>
      <w:r>
        <w:rPr>
          <w:spacing w:val="-2"/>
        </w:rPr>
        <w:t xml:space="preserve"> </w:t>
      </w:r>
      <w:r>
        <w:t>and the</w:t>
      </w:r>
      <w:r>
        <w:rPr>
          <w:spacing w:val="-12"/>
        </w:rPr>
        <w:t xml:space="preserve"> </w:t>
      </w:r>
      <w:r>
        <w:t>alleged</w:t>
      </w:r>
      <w:r>
        <w:rPr>
          <w:spacing w:val="-13"/>
        </w:rPr>
        <w:t xml:space="preserve"> </w:t>
      </w:r>
      <w:r>
        <w:t>injury".</w:t>
      </w:r>
      <w:r>
        <w:rPr>
          <w:spacing w:val="-12"/>
        </w:rPr>
        <w:t xml:space="preserve"> </w:t>
      </w:r>
      <w:r>
        <w:t>Sufficient</w:t>
      </w:r>
      <w:r>
        <w:rPr>
          <w:spacing w:val="-12"/>
        </w:rPr>
        <w:t xml:space="preserve"> </w:t>
      </w:r>
      <w:r>
        <w:t>evidence</w:t>
      </w:r>
      <w:r>
        <w:rPr>
          <w:spacing w:val="-14"/>
        </w:rPr>
        <w:t xml:space="preserve"> </w:t>
      </w:r>
      <w:r>
        <w:t>of</w:t>
      </w:r>
      <w:r>
        <w:rPr>
          <w:spacing w:val="-12"/>
        </w:rPr>
        <w:t xml:space="preserve"> </w:t>
      </w:r>
      <w:r>
        <w:t>all</w:t>
      </w:r>
      <w:r>
        <w:rPr>
          <w:spacing w:val="-12"/>
        </w:rPr>
        <w:t xml:space="preserve"> </w:t>
      </w:r>
      <w:r>
        <w:t>three</w:t>
      </w:r>
      <w:r>
        <w:rPr>
          <w:spacing w:val="-12"/>
        </w:rPr>
        <w:t xml:space="preserve"> </w:t>
      </w:r>
      <w:r>
        <w:t>elements</w:t>
      </w:r>
      <w:r>
        <w:rPr>
          <w:spacing w:val="-14"/>
        </w:rPr>
        <w:t xml:space="preserve"> </w:t>
      </w:r>
      <w:r>
        <w:t>must</w:t>
      </w:r>
      <w:r>
        <w:rPr>
          <w:spacing w:val="-12"/>
        </w:rPr>
        <w:t xml:space="preserve"> </w:t>
      </w:r>
      <w:r>
        <w:t>be</w:t>
      </w:r>
      <w:r>
        <w:rPr>
          <w:spacing w:val="-12"/>
        </w:rPr>
        <w:t xml:space="preserve"> </w:t>
      </w:r>
      <w:r>
        <w:t>present</w:t>
      </w:r>
      <w:r>
        <w:rPr>
          <w:spacing w:val="-12"/>
        </w:rPr>
        <w:t xml:space="preserve"> </w:t>
      </w:r>
      <w:r>
        <w:t>in</w:t>
      </w:r>
      <w:r>
        <w:rPr>
          <w:spacing w:val="-12"/>
        </w:rPr>
        <w:t xml:space="preserve"> </w:t>
      </w:r>
      <w:r>
        <w:t>order</w:t>
      </w:r>
      <w:r>
        <w:rPr>
          <w:spacing w:val="-12"/>
        </w:rPr>
        <w:t xml:space="preserve"> </w:t>
      </w:r>
      <w:r>
        <w:t>to</w:t>
      </w:r>
      <w:r>
        <w:rPr>
          <w:spacing w:val="-12"/>
        </w:rPr>
        <w:t xml:space="preserve"> </w:t>
      </w:r>
      <w:r>
        <w:t>justify the initiation of an investigation.</w:t>
      </w:r>
      <w:r>
        <w:rPr>
          <w:vertAlign w:val="superscript"/>
        </w:rPr>
        <w:t>917</w:t>
      </w:r>
    </w:p>
    <w:p w14:paraId="51DE94C9" w14:textId="77777777" w:rsidR="0010369C" w:rsidRDefault="0010369C">
      <w:pPr>
        <w:pStyle w:val="BodyText"/>
        <w:spacing w:before="11"/>
        <w:rPr>
          <w:sz w:val="8"/>
        </w:rPr>
      </w:pPr>
    </w:p>
    <w:p w14:paraId="51DE94CA" w14:textId="77777777" w:rsidR="0010369C" w:rsidRDefault="008E43AE">
      <w:pPr>
        <w:pStyle w:val="BodyText"/>
        <w:spacing w:before="51" w:line="360" w:lineRule="auto"/>
        <w:ind w:left="238" w:right="611" w:firstLine="850"/>
      </w:pPr>
      <w:r>
        <w:rPr>
          <w:noProof/>
        </w:rPr>
        <w:drawing>
          <wp:anchor distT="0" distB="0" distL="0" distR="0" simplePos="0" relativeHeight="251365888" behindDoc="1" locked="0" layoutInCell="1" allowOverlap="1" wp14:anchorId="51DEA65E" wp14:editId="51DEA65F">
            <wp:simplePos x="0" y="0"/>
            <wp:positionH relativeFrom="page">
              <wp:posOffset>902208</wp:posOffset>
            </wp:positionH>
            <wp:positionV relativeFrom="paragraph">
              <wp:posOffset>82078</wp:posOffset>
            </wp:positionV>
            <wp:extent cx="262127" cy="100753"/>
            <wp:effectExtent l="0" t="0" r="0" b="0"/>
            <wp:wrapNone/>
            <wp:docPr id="1493" name="image7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 name="image774.png"/>
                    <pic:cNvPicPr/>
                  </pic:nvPicPr>
                  <pic:blipFill>
                    <a:blip r:embed="rId1015" cstate="print"/>
                    <a:stretch>
                      <a:fillRect/>
                    </a:stretch>
                  </pic:blipFill>
                  <pic:spPr>
                    <a:xfrm>
                      <a:off x="0" y="0"/>
                      <a:ext cx="262127" cy="100753"/>
                    </a:xfrm>
                    <a:prstGeom prst="rect">
                      <a:avLst/>
                    </a:prstGeom>
                  </pic:spPr>
                </pic:pic>
              </a:graphicData>
            </a:graphic>
          </wp:anchor>
        </w:drawing>
      </w:r>
      <w:r>
        <w:t>Pursuant to Article 5.3 of the Anti‐Dumping Agreement, an investigating authority must</w:t>
      </w:r>
      <w:r>
        <w:rPr>
          <w:spacing w:val="-14"/>
        </w:rPr>
        <w:t xml:space="preserve"> </w:t>
      </w:r>
      <w:r>
        <w:t>determine</w:t>
      </w:r>
      <w:r>
        <w:rPr>
          <w:spacing w:val="-12"/>
        </w:rPr>
        <w:t xml:space="preserve"> </w:t>
      </w:r>
      <w:r>
        <w:t>whether</w:t>
      </w:r>
      <w:r>
        <w:rPr>
          <w:spacing w:val="-13"/>
        </w:rPr>
        <w:t xml:space="preserve"> </w:t>
      </w:r>
      <w:r>
        <w:t>the</w:t>
      </w:r>
      <w:r>
        <w:rPr>
          <w:spacing w:val="-13"/>
        </w:rPr>
        <w:t xml:space="preserve"> </w:t>
      </w:r>
      <w:r>
        <w:t>application</w:t>
      </w:r>
      <w:r>
        <w:rPr>
          <w:spacing w:val="-14"/>
        </w:rPr>
        <w:t xml:space="preserve"> </w:t>
      </w:r>
      <w:r>
        <w:t>contains</w:t>
      </w:r>
      <w:r>
        <w:rPr>
          <w:spacing w:val="-13"/>
        </w:rPr>
        <w:t xml:space="preserve"> </w:t>
      </w:r>
      <w:r>
        <w:t>information</w:t>
      </w:r>
      <w:r>
        <w:rPr>
          <w:spacing w:val="-13"/>
        </w:rPr>
        <w:t xml:space="preserve"> </w:t>
      </w:r>
      <w:r>
        <w:t>that</w:t>
      </w:r>
      <w:r>
        <w:rPr>
          <w:spacing w:val="-14"/>
        </w:rPr>
        <w:t xml:space="preserve"> </w:t>
      </w:r>
      <w:r>
        <w:t>might</w:t>
      </w:r>
      <w:r>
        <w:rPr>
          <w:spacing w:val="-13"/>
        </w:rPr>
        <w:t xml:space="preserve"> </w:t>
      </w:r>
      <w:r>
        <w:t>be</w:t>
      </w:r>
      <w:r>
        <w:rPr>
          <w:spacing w:val="-13"/>
        </w:rPr>
        <w:t xml:space="preserve"> </w:t>
      </w:r>
      <w:r>
        <w:t>used</w:t>
      </w:r>
      <w:r>
        <w:rPr>
          <w:spacing w:val="-14"/>
        </w:rPr>
        <w:t xml:space="preserve"> </w:t>
      </w:r>
      <w:r>
        <w:t>to</w:t>
      </w:r>
      <w:r>
        <w:rPr>
          <w:spacing w:val="-13"/>
        </w:rPr>
        <w:t xml:space="preserve"> </w:t>
      </w:r>
      <w:r>
        <w:rPr>
          <w:spacing w:val="-2"/>
        </w:rPr>
        <w:t>establish</w:t>
      </w:r>
    </w:p>
    <w:p w14:paraId="51DE94CB" w14:textId="77777777" w:rsidR="0010369C" w:rsidRDefault="0010369C">
      <w:pPr>
        <w:pStyle w:val="BodyText"/>
        <w:rPr>
          <w:sz w:val="20"/>
        </w:rPr>
      </w:pPr>
    </w:p>
    <w:p w14:paraId="51DE94CC" w14:textId="77777777" w:rsidR="0010369C" w:rsidRDefault="0010369C">
      <w:pPr>
        <w:pStyle w:val="BodyText"/>
        <w:rPr>
          <w:sz w:val="20"/>
        </w:rPr>
      </w:pPr>
    </w:p>
    <w:p w14:paraId="51DE94CD" w14:textId="77777777" w:rsidR="0010369C" w:rsidRDefault="0010369C">
      <w:pPr>
        <w:pStyle w:val="BodyText"/>
        <w:rPr>
          <w:sz w:val="20"/>
        </w:rPr>
      </w:pPr>
    </w:p>
    <w:p w14:paraId="51DE94CE" w14:textId="77777777" w:rsidR="0010369C" w:rsidRDefault="0010369C">
      <w:pPr>
        <w:pStyle w:val="BodyText"/>
        <w:rPr>
          <w:sz w:val="20"/>
        </w:rPr>
      </w:pPr>
    </w:p>
    <w:p w14:paraId="51DE94CF" w14:textId="77777777" w:rsidR="0010369C" w:rsidRDefault="008E43AE">
      <w:pPr>
        <w:pStyle w:val="BodyText"/>
        <w:spacing w:before="3"/>
        <w:rPr>
          <w:sz w:val="16"/>
        </w:rPr>
      </w:pPr>
      <w:r>
        <w:pict w14:anchorId="51DEA660">
          <v:rect id="docshape1250" o:spid="_x0000_s1177" style="position:absolute;margin-left:70.9pt;margin-top:11.15pt;width:2in;height:.8pt;z-index:-250756608;mso-wrap-distance-left:0;mso-wrap-distance-right:0;mso-position-horizontal-relative:page" fillcolor="black" stroked="f">
            <w10:wrap type="topAndBottom" anchorx="page"/>
          </v:rect>
        </w:pict>
      </w:r>
    </w:p>
    <w:p w14:paraId="51DE94D0" w14:textId="77777777" w:rsidR="0010369C" w:rsidRDefault="008E43AE">
      <w:pPr>
        <w:spacing w:before="109"/>
        <w:ind w:left="238"/>
        <w:jc w:val="both"/>
        <w:rPr>
          <w:sz w:val="18"/>
        </w:rPr>
      </w:pPr>
      <w:r>
        <w:rPr>
          <w:sz w:val="18"/>
          <w:vertAlign w:val="superscript"/>
        </w:rPr>
        <w:t>915</w:t>
      </w:r>
      <w:r>
        <w:rPr>
          <w:spacing w:val="-10"/>
          <w:sz w:val="18"/>
        </w:rPr>
        <w:t xml:space="preserve"> </w:t>
      </w:r>
      <w:r>
        <w:rPr>
          <w:sz w:val="18"/>
        </w:rPr>
        <w:t>CADA</w:t>
      </w:r>
      <w:r>
        <w:rPr>
          <w:spacing w:val="-9"/>
          <w:sz w:val="18"/>
        </w:rPr>
        <w:t xml:space="preserve"> </w:t>
      </w:r>
      <w:r>
        <w:rPr>
          <w:sz w:val="18"/>
        </w:rPr>
        <w:t>Application</w:t>
      </w:r>
      <w:r>
        <w:rPr>
          <w:spacing w:val="-9"/>
          <w:sz w:val="18"/>
        </w:rPr>
        <w:t xml:space="preserve"> </w:t>
      </w:r>
      <w:r>
        <w:rPr>
          <w:sz w:val="18"/>
        </w:rPr>
        <w:t>for</w:t>
      </w:r>
      <w:r>
        <w:rPr>
          <w:spacing w:val="-10"/>
          <w:sz w:val="18"/>
        </w:rPr>
        <w:t xml:space="preserve"> </w:t>
      </w:r>
      <w:r>
        <w:rPr>
          <w:sz w:val="18"/>
        </w:rPr>
        <w:t>Anti‐Dumping</w:t>
      </w:r>
      <w:r>
        <w:rPr>
          <w:spacing w:val="-9"/>
          <w:sz w:val="18"/>
        </w:rPr>
        <w:t xml:space="preserve"> </w:t>
      </w:r>
      <w:r>
        <w:rPr>
          <w:sz w:val="18"/>
        </w:rPr>
        <w:t>investigation</w:t>
      </w:r>
      <w:r>
        <w:rPr>
          <w:spacing w:val="-9"/>
          <w:sz w:val="18"/>
        </w:rPr>
        <w:t xml:space="preserve"> </w:t>
      </w:r>
      <w:r>
        <w:rPr>
          <w:sz w:val="18"/>
        </w:rPr>
        <w:t>(Exhibit</w:t>
      </w:r>
      <w:r>
        <w:rPr>
          <w:spacing w:val="-9"/>
          <w:sz w:val="18"/>
        </w:rPr>
        <w:t xml:space="preserve"> </w:t>
      </w:r>
      <w:r>
        <w:rPr>
          <w:sz w:val="18"/>
        </w:rPr>
        <w:t>AUS‐64),</w:t>
      </w:r>
      <w:r>
        <w:rPr>
          <w:spacing w:val="-10"/>
          <w:sz w:val="18"/>
        </w:rPr>
        <w:t xml:space="preserve"> </w:t>
      </w:r>
      <w:r>
        <w:rPr>
          <w:sz w:val="18"/>
        </w:rPr>
        <w:t>Annex</w:t>
      </w:r>
      <w:r>
        <w:rPr>
          <w:spacing w:val="-9"/>
          <w:sz w:val="18"/>
        </w:rPr>
        <w:t xml:space="preserve"> </w:t>
      </w:r>
      <w:r>
        <w:rPr>
          <w:spacing w:val="-5"/>
          <w:sz w:val="18"/>
        </w:rPr>
        <w:t>II.</w:t>
      </w:r>
    </w:p>
    <w:p w14:paraId="51DE94D1" w14:textId="77777777" w:rsidR="0010369C" w:rsidRDefault="008E43AE">
      <w:pPr>
        <w:ind w:left="238"/>
        <w:jc w:val="both"/>
        <w:rPr>
          <w:sz w:val="18"/>
        </w:rPr>
      </w:pPr>
      <w:r>
        <w:rPr>
          <w:sz w:val="18"/>
          <w:vertAlign w:val="superscript"/>
        </w:rPr>
        <w:t>916</w:t>
      </w:r>
      <w:r>
        <w:rPr>
          <w:spacing w:val="-8"/>
          <w:sz w:val="18"/>
        </w:rPr>
        <w:t xml:space="preserve"> </w:t>
      </w:r>
      <w:r>
        <w:rPr>
          <w:sz w:val="18"/>
        </w:rPr>
        <w:t>CADA</w:t>
      </w:r>
      <w:r>
        <w:rPr>
          <w:spacing w:val="-7"/>
          <w:sz w:val="18"/>
        </w:rPr>
        <w:t xml:space="preserve"> </w:t>
      </w:r>
      <w:r>
        <w:rPr>
          <w:sz w:val="18"/>
        </w:rPr>
        <w:t>Application</w:t>
      </w:r>
      <w:r>
        <w:rPr>
          <w:spacing w:val="-7"/>
          <w:sz w:val="18"/>
        </w:rPr>
        <w:t xml:space="preserve"> </w:t>
      </w:r>
      <w:r>
        <w:rPr>
          <w:sz w:val="18"/>
        </w:rPr>
        <w:t>for</w:t>
      </w:r>
      <w:r>
        <w:rPr>
          <w:spacing w:val="-8"/>
          <w:sz w:val="18"/>
        </w:rPr>
        <w:t xml:space="preserve"> </w:t>
      </w:r>
      <w:r>
        <w:rPr>
          <w:sz w:val="18"/>
        </w:rPr>
        <w:t>Anti‐Dumping</w:t>
      </w:r>
      <w:r>
        <w:rPr>
          <w:spacing w:val="-7"/>
          <w:sz w:val="18"/>
        </w:rPr>
        <w:t xml:space="preserve"> </w:t>
      </w:r>
      <w:r>
        <w:rPr>
          <w:sz w:val="18"/>
        </w:rPr>
        <w:t>investigation</w:t>
      </w:r>
      <w:r>
        <w:rPr>
          <w:spacing w:val="-7"/>
          <w:sz w:val="18"/>
        </w:rPr>
        <w:t xml:space="preserve"> </w:t>
      </w:r>
      <w:r>
        <w:rPr>
          <w:sz w:val="18"/>
        </w:rPr>
        <w:t>(Exhibit</w:t>
      </w:r>
      <w:r>
        <w:rPr>
          <w:spacing w:val="-7"/>
          <w:sz w:val="18"/>
        </w:rPr>
        <w:t xml:space="preserve"> </w:t>
      </w:r>
      <w:r>
        <w:rPr>
          <w:sz w:val="18"/>
        </w:rPr>
        <w:t>AUS‐64),</w:t>
      </w:r>
      <w:r>
        <w:rPr>
          <w:spacing w:val="-8"/>
          <w:sz w:val="18"/>
        </w:rPr>
        <w:t xml:space="preserve"> </w:t>
      </w:r>
      <w:r>
        <w:rPr>
          <w:sz w:val="18"/>
        </w:rPr>
        <w:t>p.</w:t>
      </w:r>
      <w:r>
        <w:rPr>
          <w:spacing w:val="-7"/>
          <w:sz w:val="18"/>
        </w:rPr>
        <w:t xml:space="preserve"> </w:t>
      </w:r>
      <w:r>
        <w:rPr>
          <w:sz w:val="18"/>
        </w:rPr>
        <w:t>10</w:t>
      </w:r>
      <w:r>
        <w:rPr>
          <w:spacing w:val="-8"/>
          <w:sz w:val="18"/>
        </w:rPr>
        <w:t xml:space="preserve"> </w:t>
      </w:r>
      <w:r>
        <w:rPr>
          <w:sz w:val="18"/>
        </w:rPr>
        <w:t>and</w:t>
      </w:r>
      <w:r>
        <w:rPr>
          <w:spacing w:val="-7"/>
          <w:sz w:val="18"/>
        </w:rPr>
        <w:t xml:space="preserve"> </w:t>
      </w:r>
      <w:r>
        <w:rPr>
          <w:sz w:val="18"/>
        </w:rPr>
        <w:t>p.</w:t>
      </w:r>
      <w:r>
        <w:rPr>
          <w:spacing w:val="-7"/>
          <w:sz w:val="18"/>
        </w:rPr>
        <w:t xml:space="preserve"> </w:t>
      </w:r>
      <w:r>
        <w:rPr>
          <w:spacing w:val="-5"/>
          <w:sz w:val="18"/>
        </w:rPr>
        <w:t>60.</w:t>
      </w:r>
    </w:p>
    <w:p w14:paraId="51DE94D2" w14:textId="77777777" w:rsidR="0010369C" w:rsidRDefault="008E43AE">
      <w:pPr>
        <w:ind w:left="236" w:right="613" w:firstLine="1"/>
        <w:jc w:val="both"/>
        <w:rPr>
          <w:sz w:val="18"/>
        </w:rPr>
      </w:pPr>
      <w:r>
        <w:rPr>
          <w:sz w:val="18"/>
          <w:vertAlign w:val="superscript"/>
        </w:rPr>
        <w:t>917</w:t>
      </w:r>
      <w:r>
        <w:rPr>
          <w:sz w:val="18"/>
        </w:rPr>
        <w:t xml:space="preserve"> Panel Reports, </w:t>
      </w:r>
      <w:r>
        <w:rPr>
          <w:i/>
          <w:sz w:val="18"/>
        </w:rPr>
        <w:t>Mexico – Steel Pipes and Tubes</w:t>
      </w:r>
      <w:r>
        <w:rPr>
          <w:sz w:val="18"/>
        </w:rPr>
        <w:t xml:space="preserve">, para. 7.21 and </w:t>
      </w:r>
      <w:r>
        <w:rPr>
          <w:i/>
          <w:sz w:val="18"/>
        </w:rPr>
        <w:t>Guatemala – Cement II</w:t>
      </w:r>
      <w:r>
        <w:rPr>
          <w:sz w:val="18"/>
        </w:rPr>
        <w:t>, para. 8.35</w:t>
      </w:r>
      <w:r>
        <w:rPr>
          <w:b/>
          <w:sz w:val="18"/>
        </w:rPr>
        <w:t xml:space="preserve">: </w:t>
      </w:r>
      <w:r>
        <w:rPr>
          <w:sz w:val="18"/>
        </w:rPr>
        <w:t>evidence on the three elements necessary for the imposition of an anti‐dumping measure may be inferred into Article 5.3 by way of Article 5.2. In other words, Article 5.2 requires that the application contain sufficient e</w:t>
      </w:r>
      <w:r>
        <w:rPr>
          <w:sz w:val="18"/>
        </w:rPr>
        <w:t>vidence on dumping, injury, and causation… Thus, reading Article 5.3 in the context of Article 5.2, the evidence mentioned in Article 5.3 must be evidence of dumping, injury, and causation. We further observe that the only clarification of the term "dumpin</w:t>
      </w:r>
      <w:r>
        <w:rPr>
          <w:sz w:val="18"/>
        </w:rPr>
        <w:t>g" in the AD Agreement is that contained in Article 2. In consequence, in order to determine that there is sufficient evidence of dumping, the investigating authority cannot entirely disregard the elements that configure the existence of this practice as o</w:t>
      </w:r>
      <w:r>
        <w:rPr>
          <w:sz w:val="18"/>
        </w:rPr>
        <w:t>utlined in Article 2.</w:t>
      </w:r>
    </w:p>
    <w:p w14:paraId="51DE94D3" w14:textId="77777777" w:rsidR="0010369C" w:rsidRDefault="0010369C">
      <w:pPr>
        <w:jc w:val="both"/>
        <w:rPr>
          <w:sz w:val="18"/>
        </w:rPr>
        <w:sectPr w:rsidR="0010369C">
          <w:headerReference w:type="default" r:id="rId1016"/>
          <w:footerReference w:type="default" r:id="rId1017"/>
          <w:pgSz w:w="11910" w:h="16840"/>
          <w:pgMar w:top="880" w:right="800" w:bottom="980" w:left="1180" w:header="569" w:footer="788" w:gutter="0"/>
          <w:cols w:space="720"/>
        </w:sectPr>
      </w:pPr>
    </w:p>
    <w:p w14:paraId="51DE94D4" w14:textId="77777777" w:rsidR="0010369C" w:rsidRDefault="008E43AE">
      <w:pPr>
        <w:tabs>
          <w:tab w:val="left" w:pos="6426"/>
        </w:tabs>
        <w:ind w:left="238"/>
        <w:rPr>
          <w:sz w:val="20"/>
        </w:rPr>
      </w:pPr>
      <w:r>
        <w:rPr>
          <w:i/>
          <w:sz w:val="20"/>
        </w:rPr>
        <w:lastRenderedPageBreak/>
        <w:t>China</w:t>
      </w:r>
      <w:r>
        <w:rPr>
          <w:i/>
          <w:spacing w:val="-5"/>
          <w:sz w:val="20"/>
        </w:rPr>
        <w:t xml:space="preserve"> </w:t>
      </w:r>
      <w:r>
        <w:rPr>
          <w:i/>
          <w:sz w:val="20"/>
        </w:rPr>
        <w:t>–</w:t>
      </w:r>
      <w:r>
        <w:rPr>
          <w:i/>
          <w:spacing w:val="-5"/>
          <w:sz w:val="20"/>
        </w:rPr>
        <w:t xml:space="preserve"> </w:t>
      </w:r>
      <w:r>
        <w:rPr>
          <w:i/>
          <w:sz w:val="20"/>
        </w:rPr>
        <w:t>Anti‐Dumping</w:t>
      </w:r>
      <w:r>
        <w:rPr>
          <w:i/>
          <w:spacing w:val="-4"/>
          <w:sz w:val="20"/>
        </w:rPr>
        <w:t xml:space="preserve"> </w:t>
      </w:r>
      <w:r>
        <w:rPr>
          <w:i/>
          <w:sz w:val="20"/>
        </w:rPr>
        <w:t>and</w:t>
      </w:r>
      <w:r>
        <w:rPr>
          <w:i/>
          <w:spacing w:val="-5"/>
          <w:sz w:val="20"/>
        </w:rPr>
        <w:t xml:space="preserve"> </w:t>
      </w:r>
      <w:r>
        <w:rPr>
          <w:i/>
          <w:sz w:val="20"/>
        </w:rPr>
        <w:t>Countervailing</w:t>
      </w:r>
      <w:r>
        <w:rPr>
          <w:i/>
          <w:spacing w:val="-5"/>
          <w:sz w:val="20"/>
        </w:rPr>
        <w:t xml:space="preserve"> </w:t>
      </w:r>
      <w:r>
        <w:rPr>
          <w:i/>
          <w:sz w:val="20"/>
        </w:rPr>
        <w:t>Duty</w:t>
      </w:r>
      <w:r>
        <w:rPr>
          <w:i/>
          <w:spacing w:val="-4"/>
          <w:sz w:val="20"/>
        </w:rPr>
        <w:t xml:space="preserve"> </w:t>
      </w:r>
      <w:r>
        <w:rPr>
          <w:i/>
          <w:spacing w:val="-2"/>
          <w:sz w:val="20"/>
        </w:rPr>
        <w:t>Measures</w:t>
      </w:r>
      <w:r>
        <w:rPr>
          <w:i/>
          <w:sz w:val="20"/>
        </w:rPr>
        <w:tab/>
      </w:r>
      <w:r>
        <w:rPr>
          <w:sz w:val="20"/>
        </w:rPr>
        <w:t>Australia's</w:t>
      </w:r>
      <w:r>
        <w:rPr>
          <w:spacing w:val="-7"/>
          <w:sz w:val="20"/>
        </w:rPr>
        <w:t xml:space="preserve"> </w:t>
      </w:r>
      <w:r>
        <w:rPr>
          <w:sz w:val="20"/>
        </w:rPr>
        <w:t>First</w:t>
      </w:r>
      <w:r>
        <w:rPr>
          <w:spacing w:val="-2"/>
          <w:sz w:val="20"/>
        </w:rPr>
        <w:t xml:space="preserve"> </w:t>
      </w:r>
      <w:r>
        <w:rPr>
          <w:sz w:val="20"/>
        </w:rPr>
        <w:t>Written</w:t>
      </w:r>
      <w:r>
        <w:rPr>
          <w:spacing w:val="-2"/>
          <w:sz w:val="20"/>
        </w:rPr>
        <w:t xml:space="preserve"> Submission</w:t>
      </w:r>
    </w:p>
    <w:p w14:paraId="51DE94D5" w14:textId="77777777" w:rsidR="0010369C" w:rsidRDefault="008E43AE">
      <w:pPr>
        <w:tabs>
          <w:tab w:val="left" w:pos="8228"/>
        </w:tabs>
        <w:spacing w:before="1"/>
        <w:ind w:left="239"/>
        <w:rPr>
          <w:sz w:val="20"/>
        </w:rPr>
      </w:pPr>
      <w:r>
        <w:rPr>
          <w:i/>
          <w:sz w:val="20"/>
        </w:rPr>
        <w:t>on</w:t>
      </w:r>
      <w:r>
        <w:rPr>
          <w:i/>
          <w:spacing w:val="-1"/>
          <w:sz w:val="20"/>
        </w:rPr>
        <w:t xml:space="preserve"> </w:t>
      </w:r>
      <w:r>
        <w:rPr>
          <w:i/>
          <w:sz w:val="20"/>
        </w:rPr>
        <w:t>Wine</w:t>
      </w:r>
      <w:r>
        <w:rPr>
          <w:i/>
          <w:spacing w:val="-1"/>
          <w:sz w:val="20"/>
        </w:rPr>
        <w:t xml:space="preserve"> </w:t>
      </w:r>
      <w:r>
        <w:rPr>
          <w:i/>
          <w:sz w:val="20"/>
        </w:rPr>
        <w:t>from</w:t>
      </w:r>
      <w:r>
        <w:rPr>
          <w:i/>
          <w:spacing w:val="-3"/>
          <w:sz w:val="20"/>
        </w:rPr>
        <w:t xml:space="preserve"> </w:t>
      </w:r>
      <w:r>
        <w:rPr>
          <w:i/>
          <w:sz w:val="20"/>
        </w:rPr>
        <w:t>Australia</w:t>
      </w:r>
      <w:r>
        <w:rPr>
          <w:i/>
          <w:spacing w:val="-1"/>
          <w:sz w:val="20"/>
        </w:rPr>
        <w:t xml:space="preserve"> </w:t>
      </w:r>
      <w:r>
        <w:rPr>
          <w:spacing w:val="-2"/>
          <w:sz w:val="20"/>
        </w:rPr>
        <w:t>(DS602)</w:t>
      </w:r>
      <w:r>
        <w:rPr>
          <w:sz w:val="20"/>
        </w:rPr>
        <w:tab/>
        <w:t>29</w:t>
      </w:r>
      <w:r>
        <w:rPr>
          <w:spacing w:val="-1"/>
          <w:sz w:val="20"/>
        </w:rPr>
        <w:t xml:space="preserve"> </w:t>
      </w:r>
      <w:r>
        <w:rPr>
          <w:sz w:val="20"/>
        </w:rPr>
        <w:t>April</w:t>
      </w:r>
      <w:r>
        <w:rPr>
          <w:spacing w:val="-2"/>
          <w:sz w:val="20"/>
        </w:rPr>
        <w:t xml:space="preserve"> </w:t>
      </w:r>
      <w:r>
        <w:rPr>
          <w:spacing w:val="-4"/>
          <w:sz w:val="20"/>
        </w:rPr>
        <w:t>2022</w:t>
      </w:r>
    </w:p>
    <w:p w14:paraId="51DE94D6" w14:textId="77777777" w:rsidR="0010369C" w:rsidRDefault="008E43AE">
      <w:pPr>
        <w:pStyle w:val="BodyText"/>
        <w:spacing w:before="34" w:line="360" w:lineRule="auto"/>
        <w:ind w:left="237" w:right="614"/>
      </w:pPr>
      <w:r>
        <w:t>dumping,</w:t>
      </w:r>
      <w:r>
        <w:rPr>
          <w:spacing w:val="39"/>
        </w:rPr>
        <w:t xml:space="preserve"> </w:t>
      </w:r>
      <w:r>
        <w:t>injury,</w:t>
      </w:r>
      <w:r>
        <w:rPr>
          <w:spacing w:val="39"/>
        </w:rPr>
        <w:t xml:space="preserve"> </w:t>
      </w:r>
      <w:r>
        <w:t>and</w:t>
      </w:r>
      <w:r>
        <w:rPr>
          <w:spacing w:val="38"/>
        </w:rPr>
        <w:t xml:space="preserve"> </w:t>
      </w:r>
      <w:r>
        <w:t>a</w:t>
      </w:r>
      <w:r>
        <w:rPr>
          <w:spacing w:val="38"/>
        </w:rPr>
        <w:t xml:space="preserve"> </w:t>
      </w:r>
      <w:r>
        <w:t>causal</w:t>
      </w:r>
      <w:r>
        <w:rPr>
          <w:spacing w:val="38"/>
        </w:rPr>
        <w:t xml:space="preserve"> </w:t>
      </w:r>
      <w:r>
        <w:t>link,</w:t>
      </w:r>
      <w:r>
        <w:rPr>
          <w:spacing w:val="38"/>
        </w:rPr>
        <w:t xml:space="preserve"> </w:t>
      </w:r>
      <w:r>
        <w:t>of</w:t>
      </w:r>
      <w:r>
        <w:rPr>
          <w:spacing w:val="38"/>
        </w:rPr>
        <w:t xml:space="preserve"> </w:t>
      </w:r>
      <w:r>
        <w:t>a</w:t>
      </w:r>
      <w:r>
        <w:rPr>
          <w:spacing w:val="38"/>
        </w:rPr>
        <w:t xml:space="preserve"> </w:t>
      </w:r>
      <w:r>
        <w:t>quantity</w:t>
      </w:r>
      <w:r>
        <w:rPr>
          <w:spacing w:val="39"/>
        </w:rPr>
        <w:t xml:space="preserve"> </w:t>
      </w:r>
      <w:r>
        <w:t>and</w:t>
      </w:r>
      <w:r>
        <w:rPr>
          <w:spacing w:val="38"/>
        </w:rPr>
        <w:t xml:space="preserve"> </w:t>
      </w:r>
      <w:r>
        <w:t>scope</w:t>
      </w:r>
      <w:r>
        <w:rPr>
          <w:spacing w:val="39"/>
        </w:rPr>
        <w:t xml:space="preserve"> </w:t>
      </w:r>
      <w:r>
        <w:t>to</w:t>
      </w:r>
      <w:r>
        <w:rPr>
          <w:spacing w:val="38"/>
        </w:rPr>
        <w:t xml:space="preserve"> </w:t>
      </w:r>
      <w:r>
        <w:t>justify</w:t>
      </w:r>
      <w:r>
        <w:rPr>
          <w:spacing w:val="39"/>
        </w:rPr>
        <w:t xml:space="preserve"> </w:t>
      </w:r>
      <w:r>
        <w:t>the</w:t>
      </w:r>
      <w:r>
        <w:rPr>
          <w:spacing w:val="38"/>
        </w:rPr>
        <w:t xml:space="preserve"> </w:t>
      </w:r>
      <w:r>
        <w:rPr>
          <w:i/>
        </w:rPr>
        <w:t>initiation</w:t>
      </w:r>
      <w:r>
        <w:rPr>
          <w:i/>
          <w:spacing w:val="40"/>
        </w:rPr>
        <w:t xml:space="preserve"> </w:t>
      </w:r>
      <w:r>
        <w:t>of</w:t>
      </w:r>
      <w:r>
        <w:rPr>
          <w:spacing w:val="38"/>
        </w:rPr>
        <w:t xml:space="preserve"> </w:t>
      </w:r>
      <w:r>
        <w:t xml:space="preserve">an </w:t>
      </w:r>
      <w:r>
        <w:rPr>
          <w:spacing w:val="-2"/>
        </w:rPr>
        <w:t>investigation.</w:t>
      </w:r>
      <w:r>
        <w:rPr>
          <w:spacing w:val="-2"/>
          <w:vertAlign w:val="superscript"/>
        </w:rPr>
        <w:t>918</w:t>
      </w:r>
    </w:p>
    <w:p w14:paraId="51DE94D7" w14:textId="77777777" w:rsidR="0010369C" w:rsidRDefault="0010369C">
      <w:pPr>
        <w:pStyle w:val="BodyText"/>
        <w:spacing w:before="10"/>
        <w:rPr>
          <w:sz w:val="8"/>
        </w:rPr>
      </w:pPr>
    </w:p>
    <w:p w14:paraId="51DE94D8" w14:textId="77777777" w:rsidR="0010369C" w:rsidRDefault="008E43AE">
      <w:pPr>
        <w:pStyle w:val="BodyText"/>
        <w:spacing w:before="52" w:line="360" w:lineRule="auto"/>
        <w:ind w:left="236" w:right="614" w:firstLine="852"/>
        <w:jc w:val="both"/>
      </w:pPr>
      <w:r>
        <w:rPr>
          <w:noProof/>
        </w:rPr>
        <w:drawing>
          <wp:anchor distT="0" distB="0" distL="0" distR="0" simplePos="0" relativeHeight="251366912" behindDoc="1" locked="0" layoutInCell="1" allowOverlap="1" wp14:anchorId="51DEA661" wp14:editId="51DEA662">
            <wp:simplePos x="0" y="0"/>
            <wp:positionH relativeFrom="page">
              <wp:posOffset>902208</wp:posOffset>
            </wp:positionH>
            <wp:positionV relativeFrom="paragraph">
              <wp:posOffset>76785</wp:posOffset>
            </wp:positionV>
            <wp:extent cx="262127" cy="106679"/>
            <wp:effectExtent l="0" t="0" r="0" b="0"/>
            <wp:wrapNone/>
            <wp:docPr id="1495" name="image7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 name="image775.png"/>
                    <pic:cNvPicPr/>
                  </pic:nvPicPr>
                  <pic:blipFill>
                    <a:blip r:embed="rId1018" cstate="print"/>
                    <a:stretch>
                      <a:fillRect/>
                    </a:stretch>
                  </pic:blipFill>
                  <pic:spPr>
                    <a:xfrm>
                      <a:off x="0" y="0"/>
                      <a:ext cx="262127" cy="106679"/>
                    </a:xfrm>
                    <a:prstGeom prst="rect">
                      <a:avLst/>
                    </a:prstGeom>
                  </pic:spPr>
                </pic:pic>
              </a:graphicData>
            </a:graphic>
          </wp:anchor>
        </w:drawing>
      </w:r>
      <w:r>
        <w:t>The object and purpose of making a determination of "sufficient evidence" under Articles 5.2 and 5.3 is to "balanc[e] two competing interests, namely the interest of the domestic industry 'in securing the initiation of an investigation' and the interest of</w:t>
      </w:r>
      <w:r>
        <w:t xml:space="preserve"> respondents in ensuring that 'investigations are not initiated on the basis of frivolous or unfounded suits'"</w:t>
      </w:r>
      <w:r>
        <w:rPr>
          <w:vertAlign w:val="superscript"/>
        </w:rPr>
        <w:t>919</w:t>
      </w:r>
    </w:p>
    <w:p w14:paraId="51DE94D9" w14:textId="77777777" w:rsidR="0010369C" w:rsidRDefault="0010369C">
      <w:pPr>
        <w:pStyle w:val="BodyText"/>
        <w:spacing w:before="11"/>
        <w:rPr>
          <w:sz w:val="8"/>
        </w:rPr>
      </w:pPr>
    </w:p>
    <w:p w14:paraId="51DE94DA" w14:textId="77777777" w:rsidR="0010369C" w:rsidRDefault="008E43AE">
      <w:pPr>
        <w:pStyle w:val="BodyText"/>
        <w:spacing w:before="52" w:line="360" w:lineRule="auto"/>
        <w:ind w:left="237" w:right="613" w:firstLine="851"/>
        <w:jc w:val="both"/>
      </w:pPr>
      <w:r>
        <w:rPr>
          <w:noProof/>
        </w:rPr>
        <w:drawing>
          <wp:anchor distT="0" distB="0" distL="0" distR="0" simplePos="0" relativeHeight="251367936" behindDoc="1" locked="0" layoutInCell="1" allowOverlap="1" wp14:anchorId="51DEA663" wp14:editId="51DEA664">
            <wp:simplePos x="0" y="0"/>
            <wp:positionH relativeFrom="page">
              <wp:posOffset>902208</wp:posOffset>
            </wp:positionH>
            <wp:positionV relativeFrom="paragraph">
              <wp:posOffset>81949</wp:posOffset>
            </wp:positionV>
            <wp:extent cx="262127" cy="100753"/>
            <wp:effectExtent l="0" t="0" r="0" b="0"/>
            <wp:wrapNone/>
            <wp:docPr id="1497" name="image7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 name="image776.png"/>
                    <pic:cNvPicPr/>
                  </pic:nvPicPr>
                  <pic:blipFill>
                    <a:blip r:embed="rId1019" cstate="print"/>
                    <a:stretch>
                      <a:fillRect/>
                    </a:stretch>
                  </pic:blipFill>
                  <pic:spPr>
                    <a:xfrm>
                      <a:off x="0" y="0"/>
                      <a:ext cx="262127" cy="100753"/>
                    </a:xfrm>
                    <a:prstGeom prst="rect">
                      <a:avLst/>
                    </a:prstGeom>
                  </pic:spPr>
                </pic:pic>
              </a:graphicData>
            </a:graphic>
          </wp:anchor>
        </w:drawing>
      </w:r>
      <w:r>
        <w:t>The chapeau of Article 5.2 states that "[s]imple assertion, unsubstantiated by relevant evidence, cannot be considered sufficient to meet th</w:t>
      </w:r>
      <w:r>
        <w:t>e requirements of this paragraph".</w:t>
      </w:r>
      <w:r>
        <w:rPr>
          <w:vertAlign w:val="superscript"/>
        </w:rPr>
        <w:t>920</w:t>
      </w:r>
      <w:r>
        <w:t xml:space="preserve"> It is well settled that "sufficient evidence" constitutes a standard </w:t>
      </w:r>
      <w:r>
        <w:rPr>
          <w:i/>
        </w:rPr>
        <w:t xml:space="preserve">higher </w:t>
      </w:r>
      <w:r>
        <w:t xml:space="preserve">than "simple assertion" but is something </w:t>
      </w:r>
      <w:r>
        <w:rPr>
          <w:i/>
        </w:rPr>
        <w:t xml:space="preserve">less </w:t>
      </w:r>
      <w:r>
        <w:t>than that required to make a final determination.</w:t>
      </w:r>
      <w:r>
        <w:rPr>
          <w:vertAlign w:val="superscript"/>
        </w:rPr>
        <w:t>921</w:t>
      </w:r>
      <w:r>
        <w:t xml:space="preserve"> The evidence must be more than a "mere indi</w:t>
      </w:r>
      <w:r>
        <w:t>cation". Rather, the evidence, considered as a whole, must constitute a "reasonable indication".</w:t>
      </w:r>
      <w:r>
        <w:rPr>
          <w:vertAlign w:val="superscript"/>
        </w:rPr>
        <w:t>922</w:t>
      </w:r>
    </w:p>
    <w:p w14:paraId="51DE94DB" w14:textId="77777777" w:rsidR="0010369C" w:rsidRDefault="0010369C">
      <w:pPr>
        <w:pStyle w:val="BodyText"/>
        <w:spacing w:before="10"/>
        <w:rPr>
          <w:sz w:val="8"/>
        </w:rPr>
      </w:pPr>
    </w:p>
    <w:p w14:paraId="51DE94DC" w14:textId="77777777" w:rsidR="0010369C" w:rsidRDefault="008E43AE">
      <w:pPr>
        <w:pStyle w:val="BodyText"/>
        <w:spacing w:before="51" w:line="360" w:lineRule="auto"/>
        <w:ind w:left="238" w:right="613" w:firstLine="850"/>
        <w:jc w:val="both"/>
      </w:pPr>
      <w:r>
        <w:rPr>
          <w:noProof/>
        </w:rPr>
        <w:drawing>
          <wp:anchor distT="0" distB="0" distL="0" distR="0" simplePos="0" relativeHeight="251368960" behindDoc="1" locked="0" layoutInCell="1" allowOverlap="1" wp14:anchorId="51DEA665" wp14:editId="51DEA666">
            <wp:simplePos x="0" y="0"/>
            <wp:positionH relativeFrom="page">
              <wp:posOffset>902208</wp:posOffset>
            </wp:positionH>
            <wp:positionV relativeFrom="paragraph">
              <wp:posOffset>82838</wp:posOffset>
            </wp:positionV>
            <wp:extent cx="262127" cy="100753"/>
            <wp:effectExtent l="0" t="0" r="0" b="0"/>
            <wp:wrapNone/>
            <wp:docPr id="1499" name="image7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 name="image777.png"/>
                    <pic:cNvPicPr/>
                  </pic:nvPicPr>
                  <pic:blipFill>
                    <a:blip r:embed="rId1020" cstate="print"/>
                    <a:stretch>
                      <a:fillRect/>
                    </a:stretch>
                  </pic:blipFill>
                  <pic:spPr>
                    <a:xfrm>
                      <a:off x="0" y="0"/>
                      <a:ext cx="262127" cy="100753"/>
                    </a:xfrm>
                    <a:prstGeom prst="rect">
                      <a:avLst/>
                    </a:prstGeom>
                  </pic:spPr>
                </pic:pic>
              </a:graphicData>
            </a:graphic>
          </wp:anchor>
        </w:drawing>
      </w:r>
      <w:r>
        <w:t>Therefore,</w:t>
      </w:r>
      <w:r>
        <w:rPr>
          <w:spacing w:val="-1"/>
        </w:rPr>
        <w:t xml:space="preserve"> </w:t>
      </w:r>
      <w:r>
        <w:t>the task of the Panel</w:t>
      </w:r>
      <w:r>
        <w:rPr>
          <w:spacing w:val="-1"/>
        </w:rPr>
        <w:t xml:space="preserve"> </w:t>
      </w:r>
      <w:r>
        <w:t>in this</w:t>
      </w:r>
      <w:r>
        <w:rPr>
          <w:spacing w:val="-1"/>
        </w:rPr>
        <w:t xml:space="preserve"> </w:t>
      </w:r>
      <w:r>
        <w:t>dispute is to assess whether an</w:t>
      </w:r>
      <w:r>
        <w:rPr>
          <w:spacing w:val="-1"/>
        </w:rPr>
        <w:t xml:space="preserve"> </w:t>
      </w:r>
      <w:r>
        <w:t>unbiased and objective investigating authority could have found that the evidence</w:t>
      </w:r>
      <w:r>
        <w:t xml:space="preserve"> before MOFCOM – before initiation – was sufficient to justify the initiation of the investigation.</w:t>
      </w:r>
      <w:r>
        <w:rPr>
          <w:vertAlign w:val="superscript"/>
        </w:rPr>
        <w:t>923</w:t>
      </w:r>
    </w:p>
    <w:p w14:paraId="51DE94DD" w14:textId="77777777" w:rsidR="0010369C" w:rsidRDefault="0010369C">
      <w:pPr>
        <w:pStyle w:val="BodyText"/>
        <w:rPr>
          <w:sz w:val="20"/>
        </w:rPr>
      </w:pPr>
    </w:p>
    <w:p w14:paraId="51DE94DE" w14:textId="77777777" w:rsidR="0010369C" w:rsidRDefault="0010369C">
      <w:pPr>
        <w:pStyle w:val="BodyText"/>
        <w:rPr>
          <w:sz w:val="20"/>
        </w:rPr>
      </w:pPr>
    </w:p>
    <w:p w14:paraId="51DE94DF" w14:textId="77777777" w:rsidR="0010369C" w:rsidRDefault="0010369C">
      <w:pPr>
        <w:pStyle w:val="BodyText"/>
        <w:rPr>
          <w:sz w:val="20"/>
        </w:rPr>
      </w:pPr>
    </w:p>
    <w:p w14:paraId="51DE94E0" w14:textId="77777777" w:rsidR="0010369C" w:rsidRDefault="0010369C">
      <w:pPr>
        <w:pStyle w:val="BodyText"/>
        <w:rPr>
          <w:sz w:val="20"/>
        </w:rPr>
      </w:pPr>
    </w:p>
    <w:p w14:paraId="51DE94E1" w14:textId="77777777" w:rsidR="0010369C" w:rsidRDefault="0010369C">
      <w:pPr>
        <w:pStyle w:val="BodyText"/>
        <w:rPr>
          <w:sz w:val="20"/>
        </w:rPr>
      </w:pPr>
    </w:p>
    <w:p w14:paraId="51DE94E2" w14:textId="77777777" w:rsidR="0010369C" w:rsidRDefault="0010369C">
      <w:pPr>
        <w:pStyle w:val="BodyText"/>
        <w:rPr>
          <w:sz w:val="20"/>
        </w:rPr>
      </w:pPr>
    </w:p>
    <w:p w14:paraId="51DE94E3" w14:textId="77777777" w:rsidR="0010369C" w:rsidRDefault="0010369C">
      <w:pPr>
        <w:pStyle w:val="BodyText"/>
        <w:rPr>
          <w:sz w:val="20"/>
        </w:rPr>
      </w:pPr>
    </w:p>
    <w:p w14:paraId="51DE94E4" w14:textId="77777777" w:rsidR="0010369C" w:rsidRDefault="0010369C">
      <w:pPr>
        <w:pStyle w:val="BodyText"/>
        <w:rPr>
          <w:sz w:val="20"/>
        </w:rPr>
      </w:pPr>
    </w:p>
    <w:p w14:paraId="51DE94E5" w14:textId="77777777" w:rsidR="0010369C" w:rsidRDefault="0010369C">
      <w:pPr>
        <w:pStyle w:val="BodyText"/>
        <w:rPr>
          <w:sz w:val="20"/>
        </w:rPr>
      </w:pPr>
    </w:p>
    <w:p w14:paraId="51DE94E6" w14:textId="77777777" w:rsidR="0010369C" w:rsidRDefault="0010369C">
      <w:pPr>
        <w:pStyle w:val="BodyText"/>
        <w:rPr>
          <w:sz w:val="20"/>
        </w:rPr>
      </w:pPr>
    </w:p>
    <w:p w14:paraId="51DE94E7" w14:textId="77777777" w:rsidR="0010369C" w:rsidRDefault="0010369C">
      <w:pPr>
        <w:pStyle w:val="BodyText"/>
        <w:rPr>
          <w:sz w:val="20"/>
        </w:rPr>
      </w:pPr>
    </w:p>
    <w:p w14:paraId="51DE94E8" w14:textId="77777777" w:rsidR="0010369C" w:rsidRDefault="008E43AE">
      <w:pPr>
        <w:pStyle w:val="BodyText"/>
        <w:spacing w:before="7"/>
        <w:rPr>
          <w:sz w:val="11"/>
        </w:rPr>
      </w:pPr>
      <w:r>
        <w:pict w14:anchorId="51DEA667">
          <v:rect id="docshape1251" o:spid="_x0000_s1176" style="position:absolute;margin-left:70.9pt;margin-top:8.3pt;width:2in;height:.8pt;z-index:-250755584;mso-wrap-distance-left:0;mso-wrap-distance-right:0;mso-position-horizontal-relative:page" fillcolor="black" stroked="f">
            <w10:wrap type="topAndBottom" anchorx="page"/>
          </v:rect>
        </w:pict>
      </w:r>
    </w:p>
    <w:p w14:paraId="51DE94E9" w14:textId="77777777" w:rsidR="0010369C" w:rsidRDefault="008E43AE">
      <w:pPr>
        <w:spacing w:before="109"/>
        <w:ind w:left="237" w:right="612"/>
        <w:jc w:val="both"/>
        <w:rPr>
          <w:sz w:val="18"/>
        </w:rPr>
      </w:pPr>
      <w:r>
        <w:rPr>
          <w:sz w:val="18"/>
          <w:vertAlign w:val="superscript"/>
        </w:rPr>
        <w:t>918</w:t>
      </w:r>
      <w:r>
        <w:rPr>
          <w:sz w:val="18"/>
        </w:rPr>
        <w:t xml:space="preserve"> The panel in </w:t>
      </w:r>
      <w:r>
        <w:rPr>
          <w:i/>
          <w:sz w:val="18"/>
        </w:rPr>
        <w:t xml:space="preserve">US – Softwood Lumber V </w:t>
      </w:r>
      <w:r>
        <w:rPr>
          <w:sz w:val="18"/>
        </w:rPr>
        <w:t xml:space="preserve">explained that "the </w:t>
      </w:r>
      <w:r>
        <w:rPr>
          <w:i/>
          <w:sz w:val="18"/>
        </w:rPr>
        <w:t xml:space="preserve">quantity and the quality </w:t>
      </w:r>
      <w:r>
        <w:rPr>
          <w:sz w:val="18"/>
        </w:rPr>
        <w:t>of the evidence required to meet the threshold of sufficiency of the evidence is of a different standard for purposes of initiation of an investigation compared to that</w:t>
      </w:r>
      <w:r>
        <w:rPr>
          <w:spacing w:val="-11"/>
          <w:sz w:val="18"/>
        </w:rPr>
        <w:t xml:space="preserve"> </w:t>
      </w:r>
      <w:r>
        <w:rPr>
          <w:sz w:val="18"/>
        </w:rPr>
        <w:t>required</w:t>
      </w:r>
      <w:r>
        <w:rPr>
          <w:spacing w:val="-10"/>
          <w:sz w:val="18"/>
        </w:rPr>
        <w:t xml:space="preserve"> </w:t>
      </w:r>
      <w:r>
        <w:rPr>
          <w:sz w:val="18"/>
        </w:rPr>
        <w:t>for</w:t>
      </w:r>
      <w:r>
        <w:rPr>
          <w:spacing w:val="-10"/>
          <w:sz w:val="18"/>
        </w:rPr>
        <w:t xml:space="preserve"> </w:t>
      </w:r>
      <w:r>
        <w:rPr>
          <w:sz w:val="18"/>
        </w:rPr>
        <w:t>a</w:t>
      </w:r>
      <w:r>
        <w:rPr>
          <w:spacing w:val="-10"/>
          <w:sz w:val="18"/>
        </w:rPr>
        <w:t xml:space="preserve"> </w:t>
      </w:r>
      <w:r>
        <w:rPr>
          <w:sz w:val="18"/>
        </w:rPr>
        <w:t>preliminary</w:t>
      </w:r>
      <w:r>
        <w:rPr>
          <w:spacing w:val="-8"/>
          <w:sz w:val="18"/>
        </w:rPr>
        <w:t xml:space="preserve"> </w:t>
      </w:r>
      <w:r>
        <w:rPr>
          <w:sz w:val="18"/>
        </w:rPr>
        <w:t>or</w:t>
      </w:r>
      <w:r>
        <w:rPr>
          <w:spacing w:val="-10"/>
          <w:sz w:val="18"/>
        </w:rPr>
        <w:t xml:space="preserve"> </w:t>
      </w:r>
      <w:r>
        <w:rPr>
          <w:sz w:val="18"/>
        </w:rPr>
        <w:t>final</w:t>
      </w:r>
      <w:r>
        <w:rPr>
          <w:spacing w:val="-10"/>
          <w:sz w:val="18"/>
        </w:rPr>
        <w:t xml:space="preserve"> </w:t>
      </w:r>
      <w:r>
        <w:rPr>
          <w:sz w:val="18"/>
        </w:rPr>
        <w:t>determination".</w:t>
      </w:r>
      <w:r>
        <w:rPr>
          <w:spacing w:val="-10"/>
          <w:sz w:val="18"/>
        </w:rPr>
        <w:t xml:space="preserve"> </w:t>
      </w:r>
      <w:r>
        <w:rPr>
          <w:sz w:val="18"/>
        </w:rPr>
        <w:t>Panel</w:t>
      </w:r>
      <w:r>
        <w:rPr>
          <w:spacing w:val="-10"/>
          <w:sz w:val="18"/>
        </w:rPr>
        <w:t xml:space="preserve"> </w:t>
      </w:r>
      <w:r>
        <w:rPr>
          <w:sz w:val="18"/>
        </w:rPr>
        <w:t>Report,</w:t>
      </w:r>
      <w:r>
        <w:rPr>
          <w:spacing w:val="-10"/>
          <w:sz w:val="18"/>
        </w:rPr>
        <w:t xml:space="preserve"> </w:t>
      </w:r>
      <w:r>
        <w:rPr>
          <w:i/>
          <w:sz w:val="18"/>
        </w:rPr>
        <w:t>US</w:t>
      </w:r>
      <w:r>
        <w:rPr>
          <w:i/>
          <w:spacing w:val="-9"/>
          <w:sz w:val="18"/>
        </w:rPr>
        <w:t xml:space="preserve"> </w:t>
      </w:r>
      <w:r>
        <w:rPr>
          <w:i/>
          <w:sz w:val="18"/>
        </w:rPr>
        <w:t>–</w:t>
      </w:r>
      <w:r>
        <w:rPr>
          <w:i/>
          <w:spacing w:val="-10"/>
          <w:sz w:val="18"/>
        </w:rPr>
        <w:t xml:space="preserve"> </w:t>
      </w:r>
      <w:r>
        <w:rPr>
          <w:i/>
          <w:sz w:val="18"/>
        </w:rPr>
        <w:t>Softwood</w:t>
      </w:r>
      <w:r>
        <w:rPr>
          <w:i/>
          <w:spacing w:val="-10"/>
          <w:sz w:val="18"/>
        </w:rPr>
        <w:t xml:space="preserve"> </w:t>
      </w:r>
      <w:r>
        <w:rPr>
          <w:i/>
          <w:sz w:val="18"/>
        </w:rPr>
        <w:t>Lumber</w:t>
      </w:r>
      <w:r>
        <w:rPr>
          <w:i/>
          <w:spacing w:val="-10"/>
          <w:sz w:val="18"/>
        </w:rPr>
        <w:t xml:space="preserve"> </w:t>
      </w:r>
      <w:r>
        <w:rPr>
          <w:i/>
          <w:sz w:val="18"/>
        </w:rPr>
        <w:t>V</w:t>
      </w:r>
      <w:r>
        <w:rPr>
          <w:sz w:val="18"/>
        </w:rPr>
        <w:t>,</w:t>
      </w:r>
      <w:r>
        <w:rPr>
          <w:spacing w:val="-10"/>
          <w:sz w:val="18"/>
        </w:rPr>
        <w:t xml:space="preserve"> </w:t>
      </w:r>
      <w:r>
        <w:rPr>
          <w:sz w:val="18"/>
        </w:rPr>
        <w:t>para.</w:t>
      </w:r>
      <w:r>
        <w:rPr>
          <w:spacing w:val="-11"/>
          <w:sz w:val="18"/>
        </w:rPr>
        <w:t xml:space="preserve"> </w:t>
      </w:r>
      <w:r>
        <w:rPr>
          <w:sz w:val="18"/>
        </w:rPr>
        <w:t>7.84.</w:t>
      </w:r>
      <w:r>
        <w:rPr>
          <w:spacing w:val="-8"/>
          <w:sz w:val="18"/>
        </w:rPr>
        <w:t xml:space="preserve"> </w:t>
      </w:r>
      <w:r>
        <w:rPr>
          <w:sz w:val="18"/>
        </w:rPr>
        <w:t>(emphasis</w:t>
      </w:r>
      <w:r>
        <w:rPr>
          <w:spacing w:val="-10"/>
          <w:sz w:val="18"/>
        </w:rPr>
        <w:t xml:space="preserve"> </w:t>
      </w:r>
      <w:r>
        <w:rPr>
          <w:sz w:val="18"/>
        </w:rPr>
        <w:t xml:space="preserve">original). See also Panel Reports, </w:t>
      </w:r>
      <w:r>
        <w:rPr>
          <w:i/>
          <w:sz w:val="18"/>
        </w:rPr>
        <w:t>Pakistan – BOPP Film (UAE)</w:t>
      </w:r>
      <w:r>
        <w:rPr>
          <w:sz w:val="18"/>
        </w:rPr>
        <w:t xml:space="preserve">, paras. </w:t>
      </w:r>
      <w:hyperlink r:id="rId1021">
        <w:r>
          <w:rPr>
            <w:sz w:val="18"/>
          </w:rPr>
          <w:t>7.19‐7.24</w:t>
        </w:r>
      </w:hyperlink>
      <w:r>
        <w:rPr>
          <w:sz w:val="18"/>
        </w:rPr>
        <w:t xml:space="preserve">, </w:t>
      </w:r>
      <w:r>
        <w:rPr>
          <w:i/>
          <w:sz w:val="18"/>
        </w:rPr>
        <w:t>Guatemala–Cement II</w:t>
      </w:r>
      <w:r>
        <w:rPr>
          <w:sz w:val="18"/>
        </w:rPr>
        <w:t xml:space="preserve">, paras. </w:t>
      </w:r>
      <w:hyperlink r:id="rId1022">
        <w:r>
          <w:rPr>
            <w:sz w:val="18"/>
          </w:rPr>
          <w:t>8.35‐8.39</w:t>
        </w:r>
      </w:hyperlink>
      <w:r>
        <w:rPr>
          <w:sz w:val="18"/>
        </w:rPr>
        <w:t xml:space="preserve"> and 8.45; </w:t>
      </w:r>
      <w:r>
        <w:rPr>
          <w:i/>
          <w:sz w:val="18"/>
        </w:rPr>
        <w:t>Argentina–Poultry</w:t>
      </w:r>
      <w:r>
        <w:rPr>
          <w:i/>
          <w:spacing w:val="-3"/>
          <w:sz w:val="18"/>
        </w:rPr>
        <w:t xml:space="preserve"> </w:t>
      </w:r>
      <w:r>
        <w:rPr>
          <w:i/>
          <w:sz w:val="18"/>
        </w:rPr>
        <w:t>Anti‐Dum</w:t>
      </w:r>
      <w:r>
        <w:rPr>
          <w:i/>
          <w:sz w:val="18"/>
        </w:rPr>
        <w:t>ping Duties</w:t>
      </w:r>
      <w:r>
        <w:rPr>
          <w:sz w:val="18"/>
        </w:rPr>
        <w:t>,</w:t>
      </w:r>
      <w:r>
        <w:rPr>
          <w:spacing w:val="-2"/>
          <w:sz w:val="18"/>
        </w:rPr>
        <w:t xml:space="preserve"> </w:t>
      </w:r>
      <w:r>
        <w:rPr>
          <w:sz w:val="18"/>
        </w:rPr>
        <w:t>paras.</w:t>
      </w:r>
      <w:r>
        <w:rPr>
          <w:spacing w:val="-1"/>
          <w:sz w:val="18"/>
        </w:rPr>
        <w:t xml:space="preserve"> </w:t>
      </w:r>
      <w:r>
        <w:rPr>
          <w:sz w:val="18"/>
        </w:rPr>
        <w:t>7.61</w:t>
      </w:r>
      <w:r>
        <w:rPr>
          <w:spacing w:val="-1"/>
          <w:sz w:val="18"/>
        </w:rPr>
        <w:t xml:space="preserve"> </w:t>
      </w:r>
      <w:r>
        <w:rPr>
          <w:sz w:val="18"/>
        </w:rPr>
        <w:t>and</w:t>
      </w:r>
      <w:r>
        <w:rPr>
          <w:spacing w:val="-1"/>
          <w:sz w:val="18"/>
        </w:rPr>
        <w:t xml:space="preserve"> </w:t>
      </w:r>
      <w:r>
        <w:rPr>
          <w:sz w:val="18"/>
        </w:rPr>
        <w:t>7.80;</w:t>
      </w:r>
      <w:r>
        <w:rPr>
          <w:spacing w:val="-1"/>
          <w:sz w:val="18"/>
        </w:rPr>
        <w:t xml:space="preserve"> </w:t>
      </w:r>
      <w:r>
        <w:rPr>
          <w:i/>
          <w:sz w:val="18"/>
        </w:rPr>
        <w:t>Mexico–Steel</w:t>
      </w:r>
      <w:r>
        <w:rPr>
          <w:i/>
          <w:spacing w:val="-2"/>
          <w:sz w:val="18"/>
        </w:rPr>
        <w:t xml:space="preserve"> </w:t>
      </w:r>
      <w:r>
        <w:rPr>
          <w:i/>
          <w:sz w:val="18"/>
        </w:rPr>
        <w:t>Pipes</w:t>
      </w:r>
      <w:r>
        <w:rPr>
          <w:i/>
          <w:spacing w:val="-1"/>
          <w:sz w:val="18"/>
        </w:rPr>
        <w:t xml:space="preserve"> </w:t>
      </w:r>
      <w:r>
        <w:rPr>
          <w:i/>
          <w:sz w:val="18"/>
        </w:rPr>
        <w:t>and</w:t>
      </w:r>
      <w:r>
        <w:rPr>
          <w:i/>
          <w:spacing w:val="-1"/>
          <w:sz w:val="18"/>
        </w:rPr>
        <w:t xml:space="preserve"> </w:t>
      </w:r>
      <w:r>
        <w:rPr>
          <w:i/>
          <w:sz w:val="18"/>
        </w:rPr>
        <w:t>Tubes</w:t>
      </w:r>
      <w:r>
        <w:rPr>
          <w:sz w:val="18"/>
        </w:rPr>
        <w:t>,</w:t>
      </w:r>
      <w:r>
        <w:rPr>
          <w:spacing w:val="-2"/>
          <w:sz w:val="18"/>
        </w:rPr>
        <w:t xml:space="preserve"> </w:t>
      </w:r>
      <w:hyperlink r:id="rId1023">
        <w:r>
          <w:rPr>
            <w:sz w:val="18"/>
          </w:rPr>
          <w:t>para.7.21;</w:t>
        </w:r>
        <w:r>
          <w:rPr>
            <w:spacing w:val="-1"/>
            <w:sz w:val="18"/>
          </w:rPr>
          <w:t xml:space="preserve"> </w:t>
        </w:r>
      </w:hyperlink>
      <w:r>
        <w:rPr>
          <w:i/>
          <w:sz w:val="18"/>
        </w:rPr>
        <w:t>China –</w:t>
      </w:r>
      <w:r>
        <w:rPr>
          <w:i/>
          <w:spacing w:val="-1"/>
          <w:sz w:val="18"/>
        </w:rPr>
        <w:t xml:space="preserve"> </w:t>
      </w:r>
      <w:r>
        <w:rPr>
          <w:i/>
          <w:sz w:val="18"/>
        </w:rPr>
        <w:t>GOES</w:t>
      </w:r>
      <w:r>
        <w:rPr>
          <w:sz w:val="18"/>
        </w:rPr>
        <w:t>,</w:t>
      </w:r>
      <w:r>
        <w:rPr>
          <w:spacing w:val="-2"/>
          <w:sz w:val="18"/>
        </w:rPr>
        <w:t xml:space="preserve"> </w:t>
      </w:r>
      <w:r>
        <w:rPr>
          <w:sz w:val="18"/>
        </w:rPr>
        <w:t xml:space="preserve">para. 7.54; and </w:t>
      </w:r>
      <w:r>
        <w:rPr>
          <w:i/>
          <w:sz w:val="18"/>
        </w:rPr>
        <w:t>US – Supercalendered Paper</w:t>
      </w:r>
      <w:r>
        <w:rPr>
          <w:sz w:val="18"/>
        </w:rPr>
        <w:t>, para. 7.146.</w:t>
      </w:r>
    </w:p>
    <w:p w14:paraId="51DE94EA" w14:textId="77777777" w:rsidR="0010369C" w:rsidRDefault="008E43AE">
      <w:pPr>
        <w:spacing w:before="1"/>
        <w:ind w:left="238"/>
        <w:jc w:val="both"/>
        <w:rPr>
          <w:sz w:val="18"/>
        </w:rPr>
      </w:pPr>
      <w:r>
        <w:rPr>
          <w:sz w:val="18"/>
          <w:vertAlign w:val="superscript"/>
        </w:rPr>
        <w:t>919</w:t>
      </w:r>
      <w:r>
        <w:rPr>
          <w:spacing w:val="21"/>
          <w:sz w:val="18"/>
        </w:rPr>
        <w:t xml:space="preserve"> </w:t>
      </w:r>
      <w:r>
        <w:rPr>
          <w:sz w:val="18"/>
        </w:rPr>
        <w:t>Panel</w:t>
      </w:r>
      <w:r>
        <w:rPr>
          <w:spacing w:val="21"/>
          <w:sz w:val="18"/>
        </w:rPr>
        <w:t xml:space="preserve"> </w:t>
      </w:r>
      <w:r>
        <w:rPr>
          <w:sz w:val="18"/>
        </w:rPr>
        <w:t>Report,</w:t>
      </w:r>
      <w:r>
        <w:rPr>
          <w:spacing w:val="21"/>
          <w:sz w:val="18"/>
        </w:rPr>
        <w:t xml:space="preserve"> </w:t>
      </w:r>
      <w:r>
        <w:rPr>
          <w:i/>
          <w:sz w:val="18"/>
        </w:rPr>
        <w:t>China</w:t>
      </w:r>
      <w:r>
        <w:rPr>
          <w:i/>
          <w:spacing w:val="22"/>
          <w:sz w:val="18"/>
        </w:rPr>
        <w:t xml:space="preserve"> </w:t>
      </w:r>
      <w:r>
        <w:rPr>
          <w:i/>
          <w:sz w:val="18"/>
        </w:rPr>
        <w:t>–</w:t>
      </w:r>
      <w:r>
        <w:rPr>
          <w:i/>
          <w:spacing w:val="21"/>
          <w:sz w:val="18"/>
        </w:rPr>
        <w:t xml:space="preserve"> </w:t>
      </w:r>
      <w:r>
        <w:rPr>
          <w:i/>
          <w:sz w:val="18"/>
        </w:rPr>
        <w:t>GOES</w:t>
      </w:r>
      <w:r>
        <w:rPr>
          <w:sz w:val="18"/>
        </w:rPr>
        <w:t>,</w:t>
      </w:r>
      <w:r>
        <w:rPr>
          <w:spacing w:val="21"/>
          <w:sz w:val="18"/>
        </w:rPr>
        <w:t xml:space="preserve"> </w:t>
      </w:r>
      <w:r>
        <w:rPr>
          <w:sz w:val="18"/>
        </w:rPr>
        <w:t>para.</w:t>
      </w:r>
      <w:r>
        <w:rPr>
          <w:spacing w:val="21"/>
          <w:sz w:val="18"/>
        </w:rPr>
        <w:t xml:space="preserve"> </w:t>
      </w:r>
      <w:r>
        <w:rPr>
          <w:sz w:val="18"/>
        </w:rPr>
        <w:t>7.54,</w:t>
      </w:r>
      <w:r>
        <w:rPr>
          <w:spacing w:val="21"/>
          <w:sz w:val="18"/>
        </w:rPr>
        <w:t xml:space="preserve"> </w:t>
      </w:r>
      <w:r>
        <w:rPr>
          <w:sz w:val="18"/>
        </w:rPr>
        <w:t>quoting</w:t>
      </w:r>
      <w:r>
        <w:rPr>
          <w:spacing w:val="21"/>
          <w:sz w:val="18"/>
        </w:rPr>
        <w:t xml:space="preserve"> </w:t>
      </w:r>
      <w:r>
        <w:rPr>
          <w:sz w:val="18"/>
        </w:rPr>
        <w:t>Panel</w:t>
      </w:r>
      <w:r>
        <w:rPr>
          <w:spacing w:val="21"/>
          <w:sz w:val="18"/>
        </w:rPr>
        <w:t xml:space="preserve"> </w:t>
      </w:r>
      <w:r>
        <w:rPr>
          <w:sz w:val="18"/>
        </w:rPr>
        <w:t>Reports,</w:t>
      </w:r>
      <w:r>
        <w:rPr>
          <w:spacing w:val="21"/>
          <w:sz w:val="18"/>
        </w:rPr>
        <w:t xml:space="preserve"> </w:t>
      </w:r>
      <w:r>
        <w:rPr>
          <w:i/>
          <w:sz w:val="18"/>
        </w:rPr>
        <w:t>US</w:t>
      </w:r>
      <w:r>
        <w:rPr>
          <w:i/>
          <w:spacing w:val="22"/>
          <w:sz w:val="18"/>
        </w:rPr>
        <w:t xml:space="preserve"> </w:t>
      </w:r>
      <w:r>
        <w:rPr>
          <w:i/>
          <w:sz w:val="18"/>
        </w:rPr>
        <w:t>–</w:t>
      </w:r>
      <w:r>
        <w:rPr>
          <w:i/>
          <w:spacing w:val="21"/>
          <w:sz w:val="18"/>
        </w:rPr>
        <w:t xml:space="preserve"> </w:t>
      </w:r>
      <w:r>
        <w:rPr>
          <w:i/>
          <w:sz w:val="18"/>
        </w:rPr>
        <w:t>Offset</w:t>
      </w:r>
      <w:r>
        <w:rPr>
          <w:i/>
          <w:spacing w:val="20"/>
          <w:sz w:val="18"/>
        </w:rPr>
        <w:t xml:space="preserve"> </w:t>
      </w:r>
      <w:r>
        <w:rPr>
          <w:i/>
          <w:sz w:val="18"/>
        </w:rPr>
        <w:t>Act</w:t>
      </w:r>
      <w:r>
        <w:rPr>
          <w:i/>
          <w:spacing w:val="20"/>
          <w:sz w:val="18"/>
        </w:rPr>
        <w:t xml:space="preserve"> </w:t>
      </w:r>
      <w:r>
        <w:rPr>
          <w:i/>
          <w:sz w:val="18"/>
        </w:rPr>
        <w:t>(Byrd</w:t>
      </w:r>
      <w:r>
        <w:rPr>
          <w:i/>
          <w:spacing w:val="22"/>
          <w:sz w:val="18"/>
        </w:rPr>
        <w:t xml:space="preserve"> </w:t>
      </w:r>
      <w:r>
        <w:rPr>
          <w:i/>
          <w:sz w:val="18"/>
        </w:rPr>
        <w:t>Amendment)</w:t>
      </w:r>
      <w:r>
        <w:rPr>
          <w:sz w:val="18"/>
        </w:rPr>
        <w:t>,</w:t>
      </w:r>
      <w:r>
        <w:rPr>
          <w:spacing w:val="20"/>
          <w:sz w:val="18"/>
        </w:rPr>
        <w:t xml:space="preserve"> </w:t>
      </w:r>
      <w:r>
        <w:rPr>
          <w:sz w:val="18"/>
        </w:rPr>
        <w:t>para.</w:t>
      </w:r>
      <w:r>
        <w:rPr>
          <w:spacing w:val="22"/>
          <w:sz w:val="18"/>
        </w:rPr>
        <w:t xml:space="preserve"> </w:t>
      </w:r>
      <w:r>
        <w:rPr>
          <w:sz w:val="18"/>
        </w:rPr>
        <w:t>7.61;</w:t>
      </w:r>
      <w:r>
        <w:rPr>
          <w:spacing w:val="20"/>
          <w:sz w:val="18"/>
        </w:rPr>
        <w:t xml:space="preserve"> </w:t>
      </w:r>
      <w:r>
        <w:rPr>
          <w:spacing w:val="-5"/>
          <w:sz w:val="18"/>
        </w:rPr>
        <w:t>and</w:t>
      </w:r>
    </w:p>
    <w:p w14:paraId="51DE94EB" w14:textId="77777777" w:rsidR="0010369C" w:rsidRDefault="008E43AE">
      <w:pPr>
        <w:ind w:left="238"/>
        <w:jc w:val="both"/>
        <w:rPr>
          <w:sz w:val="18"/>
        </w:rPr>
      </w:pPr>
      <w:r>
        <w:rPr>
          <w:i/>
          <w:sz w:val="18"/>
        </w:rPr>
        <w:t>Guatemala</w:t>
      </w:r>
      <w:r>
        <w:rPr>
          <w:i/>
          <w:spacing w:val="-5"/>
          <w:sz w:val="18"/>
        </w:rPr>
        <w:t xml:space="preserve"> </w:t>
      </w:r>
      <w:r>
        <w:rPr>
          <w:i/>
          <w:sz w:val="18"/>
        </w:rPr>
        <w:t>–</w:t>
      </w:r>
      <w:r>
        <w:rPr>
          <w:i/>
          <w:spacing w:val="-4"/>
          <w:sz w:val="18"/>
        </w:rPr>
        <w:t xml:space="preserve"> </w:t>
      </w:r>
      <w:r>
        <w:rPr>
          <w:i/>
          <w:sz w:val="18"/>
        </w:rPr>
        <w:t>Cement</w:t>
      </w:r>
      <w:r>
        <w:rPr>
          <w:i/>
          <w:spacing w:val="-4"/>
          <w:sz w:val="18"/>
        </w:rPr>
        <w:t xml:space="preserve"> </w:t>
      </w:r>
      <w:r>
        <w:rPr>
          <w:i/>
          <w:sz w:val="18"/>
        </w:rPr>
        <w:t>I</w:t>
      </w:r>
      <w:r>
        <w:rPr>
          <w:sz w:val="18"/>
        </w:rPr>
        <w:t>,</w:t>
      </w:r>
      <w:r>
        <w:rPr>
          <w:spacing w:val="-5"/>
          <w:sz w:val="18"/>
        </w:rPr>
        <w:t xml:space="preserve"> </w:t>
      </w:r>
      <w:r>
        <w:rPr>
          <w:sz w:val="18"/>
        </w:rPr>
        <w:t>para.</w:t>
      </w:r>
      <w:r>
        <w:rPr>
          <w:spacing w:val="-4"/>
          <w:sz w:val="18"/>
        </w:rPr>
        <w:t xml:space="preserve"> </w:t>
      </w:r>
      <w:r>
        <w:rPr>
          <w:spacing w:val="-2"/>
          <w:sz w:val="18"/>
        </w:rPr>
        <w:t>7.52.</w:t>
      </w:r>
    </w:p>
    <w:p w14:paraId="51DE94EC" w14:textId="77777777" w:rsidR="0010369C" w:rsidRDefault="008E43AE">
      <w:pPr>
        <w:ind w:left="238"/>
        <w:jc w:val="both"/>
        <w:rPr>
          <w:sz w:val="18"/>
        </w:rPr>
      </w:pPr>
      <w:r>
        <w:rPr>
          <w:sz w:val="18"/>
          <w:vertAlign w:val="superscript"/>
        </w:rPr>
        <w:t>920</w:t>
      </w:r>
      <w:r>
        <w:rPr>
          <w:spacing w:val="-9"/>
          <w:sz w:val="18"/>
        </w:rPr>
        <w:t xml:space="preserve"> </w:t>
      </w:r>
      <w:r>
        <w:rPr>
          <w:sz w:val="18"/>
        </w:rPr>
        <w:t>Panel</w:t>
      </w:r>
      <w:r>
        <w:rPr>
          <w:spacing w:val="-9"/>
          <w:sz w:val="18"/>
        </w:rPr>
        <w:t xml:space="preserve"> </w:t>
      </w:r>
      <w:r>
        <w:rPr>
          <w:sz w:val="18"/>
        </w:rPr>
        <w:t>Report,</w:t>
      </w:r>
      <w:r>
        <w:rPr>
          <w:spacing w:val="-8"/>
          <w:sz w:val="18"/>
        </w:rPr>
        <w:t xml:space="preserve"> </w:t>
      </w:r>
      <w:r>
        <w:rPr>
          <w:i/>
          <w:sz w:val="18"/>
        </w:rPr>
        <w:t>Argentina</w:t>
      </w:r>
      <w:r>
        <w:rPr>
          <w:i/>
          <w:spacing w:val="-9"/>
          <w:sz w:val="18"/>
        </w:rPr>
        <w:t xml:space="preserve"> </w:t>
      </w:r>
      <w:r>
        <w:rPr>
          <w:i/>
          <w:sz w:val="18"/>
        </w:rPr>
        <w:t>–</w:t>
      </w:r>
      <w:r>
        <w:rPr>
          <w:i/>
          <w:spacing w:val="-8"/>
          <w:sz w:val="18"/>
        </w:rPr>
        <w:t xml:space="preserve"> </w:t>
      </w:r>
      <w:r>
        <w:rPr>
          <w:i/>
          <w:sz w:val="18"/>
        </w:rPr>
        <w:t>Poultry</w:t>
      </w:r>
      <w:r>
        <w:rPr>
          <w:i/>
          <w:spacing w:val="-9"/>
          <w:sz w:val="18"/>
        </w:rPr>
        <w:t xml:space="preserve"> </w:t>
      </w:r>
      <w:r>
        <w:rPr>
          <w:i/>
          <w:sz w:val="18"/>
        </w:rPr>
        <w:t>Anti‐Dumping</w:t>
      </w:r>
      <w:r>
        <w:rPr>
          <w:i/>
          <w:spacing w:val="-7"/>
          <w:sz w:val="18"/>
        </w:rPr>
        <w:t xml:space="preserve"> </w:t>
      </w:r>
      <w:r>
        <w:rPr>
          <w:i/>
          <w:sz w:val="18"/>
        </w:rPr>
        <w:t>Duties</w:t>
      </w:r>
      <w:r>
        <w:rPr>
          <w:sz w:val="18"/>
        </w:rPr>
        <w:t>,</w:t>
      </w:r>
      <w:r>
        <w:rPr>
          <w:spacing w:val="-9"/>
          <w:sz w:val="18"/>
        </w:rPr>
        <w:t xml:space="preserve"> </w:t>
      </w:r>
      <w:r>
        <w:rPr>
          <w:sz w:val="18"/>
        </w:rPr>
        <w:t>para.</w:t>
      </w:r>
      <w:r>
        <w:rPr>
          <w:spacing w:val="-8"/>
          <w:sz w:val="18"/>
        </w:rPr>
        <w:t xml:space="preserve"> </w:t>
      </w:r>
      <w:r>
        <w:rPr>
          <w:spacing w:val="-2"/>
          <w:sz w:val="18"/>
        </w:rPr>
        <w:t>7.60.</w:t>
      </w:r>
    </w:p>
    <w:p w14:paraId="51DE94ED" w14:textId="77777777" w:rsidR="0010369C" w:rsidRDefault="008E43AE">
      <w:pPr>
        <w:ind w:left="236" w:right="614" w:firstLine="1"/>
        <w:jc w:val="both"/>
        <w:rPr>
          <w:sz w:val="18"/>
        </w:rPr>
      </w:pPr>
      <w:r>
        <w:rPr>
          <w:sz w:val="18"/>
          <w:vertAlign w:val="superscript"/>
        </w:rPr>
        <w:t>921</w:t>
      </w:r>
      <w:r>
        <w:rPr>
          <w:spacing w:val="-8"/>
          <w:sz w:val="18"/>
        </w:rPr>
        <w:t xml:space="preserve"> </w:t>
      </w:r>
      <w:r>
        <w:rPr>
          <w:sz w:val="18"/>
        </w:rPr>
        <w:t>Panel</w:t>
      </w:r>
      <w:r>
        <w:rPr>
          <w:spacing w:val="-9"/>
          <w:sz w:val="18"/>
        </w:rPr>
        <w:t xml:space="preserve"> </w:t>
      </w:r>
      <w:r>
        <w:rPr>
          <w:sz w:val="18"/>
        </w:rPr>
        <w:t>Report,</w:t>
      </w:r>
      <w:r>
        <w:rPr>
          <w:spacing w:val="-8"/>
          <w:sz w:val="18"/>
        </w:rPr>
        <w:t xml:space="preserve"> </w:t>
      </w:r>
      <w:r>
        <w:rPr>
          <w:i/>
          <w:sz w:val="18"/>
        </w:rPr>
        <w:t>Mexico</w:t>
      </w:r>
      <w:r>
        <w:rPr>
          <w:i/>
          <w:spacing w:val="-8"/>
          <w:sz w:val="18"/>
        </w:rPr>
        <w:t xml:space="preserve"> </w:t>
      </w:r>
      <w:r>
        <w:rPr>
          <w:i/>
          <w:sz w:val="18"/>
        </w:rPr>
        <w:t>–</w:t>
      </w:r>
      <w:r>
        <w:rPr>
          <w:i/>
          <w:spacing w:val="-8"/>
          <w:sz w:val="18"/>
        </w:rPr>
        <w:t xml:space="preserve"> </w:t>
      </w:r>
      <w:r>
        <w:rPr>
          <w:i/>
          <w:sz w:val="18"/>
        </w:rPr>
        <w:t>Corn</w:t>
      </w:r>
      <w:r>
        <w:rPr>
          <w:i/>
          <w:spacing w:val="-8"/>
          <w:sz w:val="18"/>
        </w:rPr>
        <w:t xml:space="preserve"> </w:t>
      </w:r>
      <w:r>
        <w:rPr>
          <w:i/>
          <w:sz w:val="18"/>
        </w:rPr>
        <w:t>Syrup</w:t>
      </w:r>
      <w:r>
        <w:rPr>
          <w:sz w:val="18"/>
        </w:rPr>
        <w:t>,</w:t>
      </w:r>
      <w:r>
        <w:rPr>
          <w:spacing w:val="-9"/>
          <w:sz w:val="18"/>
        </w:rPr>
        <w:t xml:space="preserve"> </w:t>
      </w:r>
      <w:r>
        <w:rPr>
          <w:sz w:val="18"/>
        </w:rPr>
        <w:t>paras.</w:t>
      </w:r>
      <w:r>
        <w:rPr>
          <w:spacing w:val="-8"/>
          <w:sz w:val="18"/>
        </w:rPr>
        <w:t xml:space="preserve"> </w:t>
      </w:r>
      <w:hyperlink r:id="rId1024">
        <w:r>
          <w:rPr>
            <w:sz w:val="18"/>
          </w:rPr>
          <w:t>7.94‐7.95</w:t>
        </w:r>
      </w:hyperlink>
      <w:r>
        <w:rPr>
          <w:sz w:val="18"/>
        </w:rPr>
        <w:t>,</w:t>
      </w:r>
      <w:r>
        <w:rPr>
          <w:spacing w:val="-9"/>
          <w:sz w:val="18"/>
        </w:rPr>
        <w:t xml:space="preserve"> </w:t>
      </w:r>
      <w:r>
        <w:rPr>
          <w:sz w:val="18"/>
        </w:rPr>
        <w:t>quoting</w:t>
      </w:r>
      <w:r>
        <w:rPr>
          <w:spacing w:val="-8"/>
          <w:sz w:val="18"/>
        </w:rPr>
        <w:t xml:space="preserve"> </w:t>
      </w:r>
      <w:r>
        <w:rPr>
          <w:sz w:val="18"/>
        </w:rPr>
        <w:t>Panel</w:t>
      </w:r>
      <w:r>
        <w:rPr>
          <w:spacing w:val="-9"/>
          <w:sz w:val="18"/>
        </w:rPr>
        <w:t xml:space="preserve"> </w:t>
      </w:r>
      <w:r>
        <w:rPr>
          <w:sz w:val="18"/>
        </w:rPr>
        <w:t>Report,</w:t>
      </w:r>
      <w:r>
        <w:rPr>
          <w:spacing w:val="-8"/>
          <w:sz w:val="18"/>
        </w:rPr>
        <w:t xml:space="preserve"> </w:t>
      </w:r>
      <w:r>
        <w:rPr>
          <w:i/>
          <w:sz w:val="18"/>
        </w:rPr>
        <w:t>Guatemala</w:t>
      </w:r>
      <w:r>
        <w:rPr>
          <w:i/>
          <w:spacing w:val="-8"/>
          <w:sz w:val="18"/>
        </w:rPr>
        <w:t xml:space="preserve"> </w:t>
      </w:r>
      <w:r>
        <w:rPr>
          <w:i/>
          <w:sz w:val="18"/>
        </w:rPr>
        <w:t>–</w:t>
      </w:r>
      <w:r>
        <w:rPr>
          <w:i/>
          <w:spacing w:val="-8"/>
          <w:sz w:val="18"/>
        </w:rPr>
        <w:t xml:space="preserve"> </w:t>
      </w:r>
      <w:r>
        <w:rPr>
          <w:i/>
          <w:sz w:val="18"/>
        </w:rPr>
        <w:t>Cement</w:t>
      </w:r>
      <w:r>
        <w:rPr>
          <w:i/>
          <w:spacing w:val="-8"/>
          <w:sz w:val="18"/>
        </w:rPr>
        <w:t xml:space="preserve"> </w:t>
      </w:r>
      <w:r>
        <w:rPr>
          <w:i/>
          <w:sz w:val="18"/>
        </w:rPr>
        <w:t>I</w:t>
      </w:r>
      <w:r>
        <w:rPr>
          <w:sz w:val="18"/>
        </w:rPr>
        <w:t>,</w:t>
      </w:r>
      <w:r>
        <w:rPr>
          <w:spacing w:val="-9"/>
          <w:sz w:val="18"/>
        </w:rPr>
        <w:t xml:space="preserve"> </w:t>
      </w:r>
      <w:r>
        <w:rPr>
          <w:sz w:val="18"/>
        </w:rPr>
        <w:t>para.</w:t>
      </w:r>
      <w:r>
        <w:rPr>
          <w:spacing w:val="-8"/>
          <w:sz w:val="18"/>
        </w:rPr>
        <w:t xml:space="preserve"> </w:t>
      </w:r>
      <w:r>
        <w:rPr>
          <w:sz w:val="18"/>
        </w:rPr>
        <w:t>7.55</w:t>
      </w:r>
      <w:r>
        <w:rPr>
          <w:spacing w:val="-9"/>
          <w:sz w:val="18"/>
        </w:rPr>
        <w:t xml:space="preserve"> </w:t>
      </w:r>
      <w:r>
        <w:rPr>
          <w:sz w:val="18"/>
        </w:rPr>
        <w:t>which</w:t>
      </w:r>
      <w:r>
        <w:rPr>
          <w:spacing w:val="-8"/>
          <w:sz w:val="18"/>
        </w:rPr>
        <w:t xml:space="preserve"> </w:t>
      </w:r>
      <w:r>
        <w:rPr>
          <w:sz w:val="18"/>
        </w:rPr>
        <w:t>in</w:t>
      </w:r>
      <w:r>
        <w:rPr>
          <w:spacing w:val="-8"/>
          <w:sz w:val="18"/>
        </w:rPr>
        <w:t xml:space="preserve"> </w:t>
      </w:r>
      <w:r>
        <w:rPr>
          <w:sz w:val="18"/>
        </w:rPr>
        <w:t xml:space="preserve">turn quotes </w:t>
      </w:r>
      <w:r>
        <w:rPr>
          <w:i/>
          <w:sz w:val="18"/>
        </w:rPr>
        <w:t>United States – Measures Affecting Imports of Softwood Lumber from Canada (SCM/162)</w:t>
      </w:r>
      <w:r>
        <w:rPr>
          <w:sz w:val="18"/>
        </w:rPr>
        <w:t xml:space="preserve">, para. 332. See also Panel Reports, </w:t>
      </w:r>
      <w:r>
        <w:rPr>
          <w:i/>
          <w:sz w:val="18"/>
        </w:rPr>
        <w:t>Guatemala – Cement I</w:t>
      </w:r>
      <w:r>
        <w:rPr>
          <w:sz w:val="18"/>
        </w:rPr>
        <w:t xml:space="preserve">, para. 7.64; </w:t>
      </w:r>
      <w:r>
        <w:rPr>
          <w:i/>
          <w:sz w:val="18"/>
        </w:rPr>
        <w:t>Guatemala – Cement II</w:t>
      </w:r>
      <w:r>
        <w:rPr>
          <w:sz w:val="18"/>
        </w:rPr>
        <w:t xml:space="preserve">, para. 8.35; </w:t>
      </w:r>
      <w:r>
        <w:rPr>
          <w:i/>
          <w:sz w:val="18"/>
        </w:rPr>
        <w:t>Argentina – Poultry Anti‐Dumping Duties</w:t>
      </w:r>
      <w:r>
        <w:rPr>
          <w:sz w:val="18"/>
        </w:rPr>
        <w:t xml:space="preserve">, para. 7.67; </w:t>
      </w:r>
      <w:r>
        <w:rPr>
          <w:i/>
          <w:sz w:val="18"/>
        </w:rPr>
        <w:t xml:space="preserve">US – Softwood </w:t>
      </w:r>
      <w:r>
        <w:rPr>
          <w:i/>
          <w:sz w:val="18"/>
        </w:rPr>
        <w:t>Lumber V</w:t>
      </w:r>
      <w:r>
        <w:rPr>
          <w:sz w:val="18"/>
        </w:rPr>
        <w:t xml:space="preserve">, paras. </w:t>
      </w:r>
      <w:hyperlink r:id="rId1025">
        <w:r>
          <w:rPr>
            <w:sz w:val="18"/>
          </w:rPr>
          <w:t>7.83‐7.84</w:t>
        </w:r>
      </w:hyperlink>
      <w:r>
        <w:rPr>
          <w:sz w:val="18"/>
        </w:rPr>
        <w:t xml:space="preserve">; and </w:t>
      </w:r>
      <w:r>
        <w:rPr>
          <w:i/>
          <w:sz w:val="18"/>
        </w:rPr>
        <w:t>China – GOES</w:t>
      </w:r>
      <w:r>
        <w:rPr>
          <w:sz w:val="18"/>
        </w:rPr>
        <w:t xml:space="preserve">, paras. </w:t>
      </w:r>
      <w:hyperlink r:id="rId1026">
        <w:r>
          <w:rPr>
            <w:sz w:val="18"/>
          </w:rPr>
          <w:t>7.55‐7.56</w:t>
        </w:r>
      </w:hyperlink>
      <w:r>
        <w:rPr>
          <w:sz w:val="18"/>
        </w:rPr>
        <w:t>.</w:t>
      </w:r>
    </w:p>
    <w:p w14:paraId="51DE94EE" w14:textId="77777777" w:rsidR="0010369C" w:rsidRDefault="008E43AE">
      <w:pPr>
        <w:ind w:left="238"/>
        <w:jc w:val="both"/>
        <w:rPr>
          <w:sz w:val="18"/>
        </w:rPr>
      </w:pPr>
      <w:r>
        <w:rPr>
          <w:sz w:val="18"/>
          <w:vertAlign w:val="superscript"/>
        </w:rPr>
        <w:t>922</w:t>
      </w:r>
      <w:r>
        <w:rPr>
          <w:spacing w:val="-6"/>
          <w:sz w:val="18"/>
        </w:rPr>
        <w:t xml:space="preserve"> </w:t>
      </w:r>
      <w:r>
        <w:rPr>
          <w:sz w:val="18"/>
        </w:rPr>
        <w:t>Panel</w:t>
      </w:r>
      <w:r>
        <w:rPr>
          <w:spacing w:val="-5"/>
          <w:sz w:val="18"/>
        </w:rPr>
        <w:t xml:space="preserve"> </w:t>
      </w:r>
      <w:r>
        <w:rPr>
          <w:sz w:val="18"/>
        </w:rPr>
        <w:t>Report,</w:t>
      </w:r>
      <w:r>
        <w:rPr>
          <w:spacing w:val="-5"/>
          <w:sz w:val="18"/>
        </w:rPr>
        <w:t xml:space="preserve"> </w:t>
      </w:r>
      <w:r>
        <w:rPr>
          <w:i/>
          <w:sz w:val="18"/>
        </w:rPr>
        <w:t>Mexico</w:t>
      </w:r>
      <w:r>
        <w:rPr>
          <w:i/>
          <w:spacing w:val="-6"/>
          <w:sz w:val="18"/>
        </w:rPr>
        <w:t xml:space="preserve"> </w:t>
      </w:r>
      <w:r>
        <w:rPr>
          <w:i/>
          <w:sz w:val="18"/>
        </w:rPr>
        <w:t>–</w:t>
      </w:r>
      <w:r>
        <w:rPr>
          <w:i/>
          <w:spacing w:val="-5"/>
          <w:sz w:val="18"/>
        </w:rPr>
        <w:t xml:space="preserve"> </w:t>
      </w:r>
      <w:r>
        <w:rPr>
          <w:i/>
          <w:sz w:val="18"/>
        </w:rPr>
        <w:t>Steel</w:t>
      </w:r>
      <w:r>
        <w:rPr>
          <w:i/>
          <w:spacing w:val="-6"/>
          <w:sz w:val="18"/>
        </w:rPr>
        <w:t xml:space="preserve"> </w:t>
      </w:r>
      <w:r>
        <w:rPr>
          <w:i/>
          <w:sz w:val="18"/>
        </w:rPr>
        <w:t>Pipes</w:t>
      </w:r>
      <w:r>
        <w:rPr>
          <w:i/>
          <w:spacing w:val="-5"/>
          <w:sz w:val="18"/>
        </w:rPr>
        <w:t xml:space="preserve"> </w:t>
      </w:r>
      <w:r>
        <w:rPr>
          <w:i/>
          <w:sz w:val="18"/>
        </w:rPr>
        <w:t>and</w:t>
      </w:r>
      <w:r>
        <w:rPr>
          <w:i/>
          <w:spacing w:val="-6"/>
          <w:sz w:val="18"/>
        </w:rPr>
        <w:t xml:space="preserve"> </w:t>
      </w:r>
      <w:r>
        <w:rPr>
          <w:i/>
          <w:sz w:val="18"/>
        </w:rPr>
        <w:t>Tubes</w:t>
      </w:r>
      <w:r>
        <w:rPr>
          <w:sz w:val="18"/>
        </w:rPr>
        <w:t>,</w:t>
      </w:r>
      <w:r>
        <w:rPr>
          <w:spacing w:val="-6"/>
          <w:sz w:val="18"/>
        </w:rPr>
        <w:t xml:space="preserve"> </w:t>
      </w:r>
      <w:r>
        <w:rPr>
          <w:sz w:val="18"/>
        </w:rPr>
        <w:t>paras.</w:t>
      </w:r>
      <w:r>
        <w:rPr>
          <w:spacing w:val="-5"/>
          <w:sz w:val="18"/>
        </w:rPr>
        <w:t xml:space="preserve"> </w:t>
      </w:r>
      <w:hyperlink r:id="rId1027">
        <w:r>
          <w:rPr>
            <w:spacing w:val="-2"/>
            <w:sz w:val="18"/>
          </w:rPr>
          <w:t>7.22‐7.24</w:t>
        </w:r>
      </w:hyperlink>
      <w:r>
        <w:rPr>
          <w:spacing w:val="-2"/>
          <w:sz w:val="18"/>
        </w:rPr>
        <w:t>.</w:t>
      </w:r>
    </w:p>
    <w:p w14:paraId="51DE94EF" w14:textId="77777777" w:rsidR="0010369C" w:rsidRDefault="008E43AE">
      <w:pPr>
        <w:ind w:left="237" w:right="615"/>
        <w:jc w:val="both"/>
        <w:rPr>
          <w:sz w:val="18"/>
        </w:rPr>
      </w:pPr>
      <w:r>
        <w:rPr>
          <w:sz w:val="18"/>
          <w:vertAlign w:val="superscript"/>
        </w:rPr>
        <w:lastRenderedPageBreak/>
        <w:t>923</w:t>
      </w:r>
      <w:r>
        <w:rPr>
          <w:sz w:val="18"/>
        </w:rPr>
        <w:t>Panel</w:t>
      </w:r>
      <w:r>
        <w:rPr>
          <w:spacing w:val="-8"/>
          <w:sz w:val="18"/>
        </w:rPr>
        <w:t xml:space="preserve"> </w:t>
      </w:r>
      <w:r>
        <w:rPr>
          <w:sz w:val="18"/>
        </w:rPr>
        <w:t>Reports,</w:t>
      </w:r>
      <w:r>
        <w:rPr>
          <w:spacing w:val="-7"/>
          <w:sz w:val="18"/>
        </w:rPr>
        <w:t xml:space="preserve"> </w:t>
      </w:r>
      <w:r>
        <w:rPr>
          <w:i/>
          <w:sz w:val="18"/>
        </w:rPr>
        <w:t>US</w:t>
      </w:r>
      <w:r>
        <w:rPr>
          <w:i/>
          <w:spacing w:val="-7"/>
          <w:sz w:val="18"/>
        </w:rPr>
        <w:t xml:space="preserve"> </w:t>
      </w:r>
      <w:r>
        <w:rPr>
          <w:i/>
          <w:sz w:val="18"/>
        </w:rPr>
        <w:t>–</w:t>
      </w:r>
      <w:r>
        <w:rPr>
          <w:i/>
          <w:spacing w:val="-7"/>
          <w:sz w:val="18"/>
        </w:rPr>
        <w:t xml:space="preserve"> </w:t>
      </w:r>
      <w:r>
        <w:rPr>
          <w:i/>
          <w:sz w:val="18"/>
        </w:rPr>
        <w:t>Softwood</w:t>
      </w:r>
      <w:r>
        <w:rPr>
          <w:i/>
          <w:spacing w:val="-7"/>
          <w:sz w:val="18"/>
        </w:rPr>
        <w:t xml:space="preserve"> </w:t>
      </w:r>
      <w:r>
        <w:rPr>
          <w:i/>
          <w:sz w:val="18"/>
        </w:rPr>
        <w:t>Lumber</w:t>
      </w:r>
      <w:r>
        <w:rPr>
          <w:i/>
          <w:spacing w:val="-8"/>
          <w:sz w:val="18"/>
        </w:rPr>
        <w:t xml:space="preserve"> </w:t>
      </w:r>
      <w:r>
        <w:rPr>
          <w:i/>
          <w:sz w:val="18"/>
        </w:rPr>
        <w:t>V</w:t>
      </w:r>
      <w:r>
        <w:rPr>
          <w:sz w:val="18"/>
        </w:rPr>
        <w:t>,</w:t>
      </w:r>
      <w:r>
        <w:rPr>
          <w:spacing w:val="-8"/>
          <w:sz w:val="18"/>
        </w:rPr>
        <w:t xml:space="preserve"> </w:t>
      </w:r>
      <w:r>
        <w:rPr>
          <w:sz w:val="18"/>
        </w:rPr>
        <w:t>para.</w:t>
      </w:r>
      <w:r>
        <w:rPr>
          <w:spacing w:val="-7"/>
          <w:sz w:val="18"/>
        </w:rPr>
        <w:t xml:space="preserve"> </w:t>
      </w:r>
      <w:r>
        <w:rPr>
          <w:sz w:val="18"/>
        </w:rPr>
        <w:t>7.87;</w:t>
      </w:r>
      <w:r>
        <w:rPr>
          <w:spacing w:val="-8"/>
          <w:sz w:val="18"/>
        </w:rPr>
        <w:t xml:space="preserve"> </w:t>
      </w:r>
      <w:r>
        <w:rPr>
          <w:i/>
          <w:sz w:val="18"/>
        </w:rPr>
        <w:t>Mexico</w:t>
      </w:r>
      <w:r>
        <w:rPr>
          <w:i/>
          <w:spacing w:val="-7"/>
          <w:sz w:val="18"/>
        </w:rPr>
        <w:t xml:space="preserve"> </w:t>
      </w:r>
      <w:r>
        <w:rPr>
          <w:i/>
          <w:sz w:val="18"/>
        </w:rPr>
        <w:t>–</w:t>
      </w:r>
      <w:r>
        <w:rPr>
          <w:i/>
          <w:spacing w:val="-7"/>
          <w:sz w:val="18"/>
        </w:rPr>
        <w:t xml:space="preserve"> </w:t>
      </w:r>
      <w:r>
        <w:rPr>
          <w:i/>
          <w:sz w:val="18"/>
        </w:rPr>
        <w:t>Corn</w:t>
      </w:r>
      <w:r>
        <w:rPr>
          <w:i/>
          <w:spacing w:val="-7"/>
          <w:sz w:val="18"/>
        </w:rPr>
        <w:t xml:space="preserve"> </w:t>
      </w:r>
      <w:r>
        <w:rPr>
          <w:i/>
          <w:sz w:val="18"/>
        </w:rPr>
        <w:t>Syrup</w:t>
      </w:r>
      <w:r>
        <w:rPr>
          <w:sz w:val="18"/>
        </w:rPr>
        <w:t>,</w:t>
      </w:r>
      <w:r>
        <w:rPr>
          <w:spacing w:val="-8"/>
          <w:sz w:val="18"/>
        </w:rPr>
        <w:t xml:space="preserve"> </w:t>
      </w:r>
      <w:r>
        <w:rPr>
          <w:sz w:val="18"/>
        </w:rPr>
        <w:t>para.</w:t>
      </w:r>
      <w:r>
        <w:rPr>
          <w:spacing w:val="-7"/>
          <w:sz w:val="18"/>
        </w:rPr>
        <w:t xml:space="preserve"> </w:t>
      </w:r>
      <w:r>
        <w:rPr>
          <w:sz w:val="18"/>
        </w:rPr>
        <w:t>7.95;</w:t>
      </w:r>
      <w:r>
        <w:rPr>
          <w:spacing w:val="-8"/>
          <w:sz w:val="18"/>
        </w:rPr>
        <w:t xml:space="preserve"> </w:t>
      </w:r>
      <w:r>
        <w:rPr>
          <w:sz w:val="18"/>
        </w:rPr>
        <w:t>and</w:t>
      </w:r>
      <w:r>
        <w:rPr>
          <w:spacing w:val="-7"/>
          <w:sz w:val="18"/>
        </w:rPr>
        <w:t xml:space="preserve"> </w:t>
      </w:r>
      <w:r>
        <w:rPr>
          <w:i/>
          <w:sz w:val="18"/>
        </w:rPr>
        <w:t>Argentina</w:t>
      </w:r>
      <w:r>
        <w:rPr>
          <w:i/>
          <w:spacing w:val="-8"/>
          <w:sz w:val="18"/>
        </w:rPr>
        <w:t xml:space="preserve"> </w:t>
      </w:r>
      <w:r>
        <w:rPr>
          <w:i/>
          <w:sz w:val="18"/>
        </w:rPr>
        <w:t>–</w:t>
      </w:r>
      <w:r>
        <w:rPr>
          <w:i/>
          <w:spacing w:val="-7"/>
          <w:sz w:val="18"/>
        </w:rPr>
        <w:t xml:space="preserve"> </w:t>
      </w:r>
      <w:r>
        <w:rPr>
          <w:i/>
          <w:sz w:val="18"/>
        </w:rPr>
        <w:t>Poultry</w:t>
      </w:r>
      <w:r>
        <w:rPr>
          <w:i/>
          <w:spacing w:val="-8"/>
          <w:sz w:val="18"/>
        </w:rPr>
        <w:t xml:space="preserve"> </w:t>
      </w:r>
      <w:r>
        <w:rPr>
          <w:i/>
          <w:sz w:val="18"/>
        </w:rPr>
        <w:t>Anti‐Dumping Duties</w:t>
      </w:r>
      <w:r>
        <w:rPr>
          <w:sz w:val="18"/>
        </w:rPr>
        <w:t xml:space="preserve">, paras. </w:t>
      </w:r>
      <w:hyperlink r:id="rId1028">
        <w:r>
          <w:rPr>
            <w:sz w:val="18"/>
          </w:rPr>
          <w:t>7.60‐7.62</w:t>
        </w:r>
      </w:hyperlink>
      <w:r>
        <w:rPr>
          <w:sz w:val="18"/>
        </w:rPr>
        <w:t xml:space="preserve">; Panel Report, </w:t>
      </w:r>
      <w:r>
        <w:rPr>
          <w:i/>
          <w:sz w:val="18"/>
        </w:rPr>
        <w:t xml:space="preserve">Guatemala – Cement II, </w:t>
      </w:r>
      <w:r>
        <w:rPr>
          <w:sz w:val="18"/>
        </w:rPr>
        <w:t>para. 8.31.</w:t>
      </w:r>
    </w:p>
    <w:p w14:paraId="51DE94F0" w14:textId="77777777" w:rsidR="0010369C" w:rsidRDefault="0010369C">
      <w:pPr>
        <w:jc w:val="both"/>
        <w:rPr>
          <w:sz w:val="18"/>
        </w:rPr>
        <w:sectPr w:rsidR="0010369C">
          <w:pgSz w:w="11910" w:h="16840"/>
          <w:pgMar w:top="880" w:right="800" w:bottom="980" w:left="1180" w:header="569" w:footer="788" w:gutter="0"/>
          <w:cols w:space="720"/>
        </w:sectPr>
      </w:pPr>
    </w:p>
    <w:p w14:paraId="51DE94F1" w14:textId="77777777" w:rsidR="0010369C" w:rsidRDefault="008E43AE">
      <w:pPr>
        <w:tabs>
          <w:tab w:val="left" w:pos="6425"/>
        </w:tabs>
        <w:ind w:left="238"/>
        <w:rPr>
          <w:sz w:val="20"/>
        </w:rPr>
      </w:pPr>
      <w:r>
        <w:rPr>
          <w:i/>
          <w:sz w:val="20"/>
        </w:rPr>
        <w:lastRenderedPageBreak/>
        <w:t>China</w:t>
      </w:r>
      <w:r>
        <w:rPr>
          <w:i/>
          <w:spacing w:val="-5"/>
          <w:sz w:val="20"/>
        </w:rPr>
        <w:t xml:space="preserve"> </w:t>
      </w:r>
      <w:r>
        <w:rPr>
          <w:i/>
          <w:sz w:val="20"/>
        </w:rPr>
        <w:t>–</w:t>
      </w:r>
      <w:r>
        <w:rPr>
          <w:i/>
          <w:spacing w:val="-5"/>
          <w:sz w:val="20"/>
        </w:rPr>
        <w:t xml:space="preserve"> </w:t>
      </w:r>
      <w:r>
        <w:rPr>
          <w:i/>
          <w:sz w:val="20"/>
        </w:rPr>
        <w:t>An</w:t>
      </w:r>
      <w:r>
        <w:rPr>
          <w:i/>
          <w:sz w:val="20"/>
        </w:rPr>
        <w:t>ti‐Dumping</w:t>
      </w:r>
      <w:r>
        <w:rPr>
          <w:i/>
          <w:spacing w:val="-4"/>
          <w:sz w:val="20"/>
        </w:rPr>
        <w:t xml:space="preserve"> </w:t>
      </w:r>
      <w:r>
        <w:rPr>
          <w:i/>
          <w:sz w:val="20"/>
        </w:rPr>
        <w:t>and</w:t>
      </w:r>
      <w:r>
        <w:rPr>
          <w:i/>
          <w:spacing w:val="-5"/>
          <w:sz w:val="20"/>
        </w:rPr>
        <w:t xml:space="preserve"> </w:t>
      </w:r>
      <w:r>
        <w:rPr>
          <w:i/>
          <w:sz w:val="20"/>
        </w:rPr>
        <w:t>Countervailing</w:t>
      </w:r>
      <w:r>
        <w:rPr>
          <w:i/>
          <w:spacing w:val="-5"/>
          <w:sz w:val="20"/>
        </w:rPr>
        <w:t xml:space="preserve"> </w:t>
      </w:r>
      <w:r>
        <w:rPr>
          <w:i/>
          <w:sz w:val="20"/>
        </w:rPr>
        <w:t>Duty</w:t>
      </w:r>
      <w:r>
        <w:rPr>
          <w:i/>
          <w:spacing w:val="-4"/>
          <w:sz w:val="20"/>
        </w:rPr>
        <w:t xml:space="preserve"> </w:t>
      </w:r>
      <w:r>
        <w:rPr>
          <w:i/>
          <w:spacing w:val="-2"/>
          <w:sz w:val="20"/>
        </w:rPr>
        <w:t>Measures</w:t>
      </w:r>
      <w:r>
        <w:rPr>
          <w:i/>
          <w:sz w:val="20"/>
        </w:rPr>
        <w:tab/>
      </w:r>
      <w:r>
        <w:rPr>
          <w:sz w:val="20"/>
        </w:rPr>
        <w:t>Australia's</w:t>
      </w:r>
      <w:r>
        <w:rPr>
          <w:spacing w:val="-7"/>
          <w:sz w:val="20"/>
        </w:rPr>
        <w:t xml:space="preserve"> </w:t>
      </w:r>
      <w:r>
        <w:rPr>
          <w:sz w:val="20"/>
        </w:rPr>
        <w:t>First</w:t>
      </w:r>
      <w:r>
        <w:rPr>
          <w:spacing w:val="-2"/>
          <w:sz w:val="20"/>
        </w:rPr>
        <w:t xml:space="preserve"> </w:t>
      </w:r>
      <w:r>
        <w:rPr>
          <w:sz w:val="20"/>
        </w:rPr>
        <w:t>Written</w:t>
      </w:r>
      <w:r>
        <w:rPr>
          <w:spacing w:val="-2"/>
          <w:sz w:val="20"/>
        </w:rPr>
        <w:t xml:space="preserve"> Submission</w:t>
      </w:r>
    </w:p>
    <w:p w14:paraId="51DE94F2" w14:textId="77777777" w:rsidR="0010369C" w:rsidRDefault="008E43AE">
      <w:pPr>
        <w:tabs>
          <w:tab w:val="left" w:pos="8227"/>
        </w:tabs>
        <w:spacing w:before="1"/>
        <w:ind w:left="239"/>
        <w:rPr>
          <w:sz w:val="20"/>
        </w:rPr>
      </w:pPr>
      <w:r>
        <w:rPr>
          <w:i/>
          <w:sz w:val="20"/>
        </w:rPr>
        <w:t>on</w:t>
      </w:r>
      <w:r>
        <w:rPr>
          <w:i/>
          <w:spacing w:val="-1"/>
          <w:sz w:val="20"/>
        </w:rPr>
        <w:t xml:space="preserve"> </w:t>
      </w:r>
      <w:r>
        <w:rPr>
          <w:i/>
          <w:sz w:val="20"/>
        </w:rPr>
        <w:t>Wine</w:t>
      </w:r>
      <w:r>
        <w:rPr>
          <w:i/>
          <w:spacing w:val="-1"/>
          <w:sz w:val="20"/>
        </w:rPr>
        <w:t xml:space="preserve"> </w:t>
      </w:r>
      <w:r>
        <w:rPr>
          <w:i/>
          <w:sz w:val="20"/>
        </w:rPr>
        <w:t>from</w:t>
      </w:r>
      <w:r>
        <w:rPr>
          <w:i/>
          <w:spacing w:val="-3"/>
          <w:sz w:val="20"/>
        </w:rPr>
        <w:t xml:space="preserve"> </w:t>
      </w:r>
      <w:r>
        <w:rPr>
          <w:i/>
          <w:sz w:val="20"/>
        </w:rPr>
        <w:t>Australia</w:t>
      </w:r>
      <w:r>
        <w:rPr>
          <w:i/>
          <w:spacing w:val="-1"/>
          <w:sz w:val="20"/>
        </w:rPr>
        <w:t xml:space="preserve"> </w:t>
      </w:r>
      <w:r>
        <w:rPr>
          <w:spacing w:val="-2"/>
          <w:sz w:val="20"/>
        </w:rPr>
        <w:t>(DS602)</w:t>
      </w:r>
      <w:r>
        <w:rPr>
          <w:sz w:val="20"/>
        </w:rPr>
        <w:tab/>
        <w:t>29</w:t>
      </w:r>
      <w:r>
        <w:rPr>
          <w:spacing w:val="-1"/>
          <w:sz w:val="20"/>
        </w:rPr>
        <w:t xml:space="preserve"> </w:t>
      </w:r>
      <w:r>
        <w:rPr>
          <w:sz w:val="20"/>
        </w:rPr>
        <w:t>April</w:t>
      </w:r>
      <w:r>
        <w:rPr>
          <w:spacing w:val="-2"/>
          <w:sz w:val="20"/>
        </w:rPr>
        <w:t xml:space="preserve"> </w:t>
      </w:r>
      <w:r>
        <w:rPr>
          <w:spacing w:val="-4"/>
          <w:sz w:val="20"/>
        </w:rPr>
        <w:t>2022</w:t>
      </w:r>
    </w:p>
    <w:p w14:paraId="51DE94F3" w14:textId="77777777" w:rsidR="0010369C" w:rsidRDefault="008E43AE">
      <w:pPr>
        <w:pStyle w:val="Heading4"/>
        <w:numPr>
          <w:ilvl w:val="1"/>
          <w:numId w:val="31"/>
        </w:numPr>
        <w:tabs>
          <w:tab w:val="left" w:pos="2649"/>
          <w:tab w:val="left" w:pos="2650"/>
        </w:tabs>
        <w:spacing w:before="35"/>
        <w:ind w:left="2649" w:hanging="852"/>
      </w:pPr>
      <w:r>
        <w:t>The</w:t>
      </w:r>
      <w:r>
        <w:rPr>
          <w:spacing w:val="-8"/>
        </w:rPr>
        <w:t xml:space="preserve"> </w:t>
      </w:r>
      <w:r>
        <w:t>application</w:t>
      </w:r>
      <w:r>
        <w:rPr>
          <w:spacing w:val="-9"/>
        </w:rPr>
        <w:t xml:space="preserve"> </w:t>
      </w:r>
      <w:r>
        <w:t>did</w:t>
      </w:r>
      <w:r>
        <w:rPr>
          <w:spacing w:val="-9"/>
        </w:rPr>
        <w:t xml:space="preserve"> </w:t>
      </w:r>
      <w:r>
        <w:t>not</w:t>
      </w:r>
      <w:r>
        <w:rPr>
          <w:spacing w:val="-6"/>
        </w:rPr>
        <w:t xml:space="preserve"> </w:t>
      </w:r>
      <w:r>
        <w:t>contain</w:t>
      </w:r>
      <w:r>
        <w:rPr>
          <w:spacing w:val="-8"/>
        </w:rPr>
        <w:t xml:space="preserve"> </w:t>
      </w:r>
      <w:r>
        <w:t>sufficient</w:t>
      </w:r>
      <w:r>
        <w:rPr>
          <w:spacing w:val="-9"/>
        </w:rPr>
        <w:t xml:space="preserve"> </w:t>
      </w:r>
      <w:r>
        <w:t>evidence</w:t>
      </w:r>
      <w:r>
        <w:rPr>
          <w:spacing w:val="-7"/>
        </w:rPr>
        <w:t xml:space="preserve"> </w:t>
      </w:r>
      <w:r>
        <w:t>of</w:t>
      </w:r>
      <w:r>
        <w:rPr>
          <w:spacing w:val="-9"/>
        </w:rPr>
        <w:t xml:space="preserve"> </w:t>
      </w:r>
      <w:r>
        <w:rPr>
          <w:spacing w:val="-2"/>
        </w:rPr>
        <w:t>dumping</w:t>
      </w:r>
    </w:p>
    <w:p w14:paraId="51DE94F4" w14:textId="77777777" w:rsidR="0010369C" w:rsidRDefault="0010369C">
      <w:pPr>
        <w:pStyle w:val="BodyText"/>
        <w:spacing w:before="9"/>
        <w:rPr>
          <w:b/>
          <w:sz w:val="20"/>
        </w:rPr>
      </w:pPr>
    </w:p>
    <w:p w14:paraId="51DE94F5" w14:textId="77777777" w:rsidR="0010369C" w:rsidRDefault="008E43AE">
      <w:pPr>
        <w:pStyle w:val="BodyText"/>
        <w:spacing w:before="52" w:line="360" w:lineRule="auto"/>
        <w:ind w:left="237" w:right="612" w:firstLine="851"/>
        <w:jc w:val="both"/>
      </w:pPr>
      <w:r>
        <w:rPr>
          <w:noProof/>
        </w:rPr>
        <w:drawing>
          <wp:anchor distT="0" distB="0" distL="0" distR="0" simplePos="0" relativeHeight="251369984" behindDoc="1" locked="0" layoutInCell="1" allowOverlap="1" wp14:anchorId="51DEA668" wp14:editId="51DEA669">
            <wp:simplePos x="0" y="0"/>
            <wp:positionH relativeFrom="page">
              <wp:posOffset>902208</wp:posOffset>
            </wp:positionH>
            <wp:positionV relativeFrom="paragraph">
              <wp:posOffset>78309</wp:posOffset>
            </wp:positionV>
            <wp:extent cx="262127" cy="106679"/>
            <wp:effectExtent l="0" t="0" r="0" b="0"/>
            <wp:wrapNone/>
            <wp:docPr id="1501" name="image7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 name="image778.png"/>
                    <pic:cNvPicPr/>
                  </pic:nvPicPr>
                  <pic:blipFill>
                    <a:blip r:embed="rId1029" cstate="print"/>
                    <a:stretch>
                      <a:fillRect/>
                    </a:stretch>
                  </pic:blipFill>
                  <pic:spPr>
                    <a:xfrm>
                      <a:off x="0" y="0"/>
                      <a:ext cx="262127" cy="106679"/>
                    </a:xfrm>
                    <a:prstGeom prst="rect">
                      <a:avLst/>
                    </a:prstGeom>
                  </pic:spPr>
                </pic:pic>
              </a:graphicData>
            </a:graphic>
          </wp:anchor>
        </w:drawing>
      </w:r>
      <w:r>
        <w:t>An application must contain sufficient evidence of the constituent elements of dumping, as defined under Article 2 of the Anti‐Dumping Agreement, namely normal value, export price, and adjustments for differences affecting price comparability.</w:t>
      </w:r>
      <w:r>
        <w:rPr>
          <w:vertAlign w:val="superscript"/>
        </w:rPr>
        <w:t>924</w:t>
      </w:r>
    </w:p>
    <w:p w14:paraId="51DE94F6" w14:textId="77777777" w:rsidR="0010369C" w:rsidRDefault="0010369C">
      <w:pPr>
        <w:pStyle w:val="BodyText"/>
        <w:spacing w:before="11"/>
        <w:rPr>
          <w:sz w:val="8"/>
        </w:rPr>
      </w:pPr>
    </w:p>
    <w:p w14:paraId="51DE94F7" w14:textId="77777777" w:rsidR="0010369C" w:rsidRDefault="008E43AE">
      <w:pPr>
        <w:pStyle w:val="BodyText"/>
        <w:spacing w:before="51" w:line="360" w:lineRule="auto"/>
        <w:ind w:left="237" w:right="611" w:firstLine="851"/>
      </w:pPr>
      <w:r>
        <w:rPr>
          <w:noProof/>
        </w:rPr>
        <w:drawing>
          <wp:anchor distT="0" distB="0" distL="0" distR="0" simplePos="0" relativeHeight="251371008" behindDoc="1" locked="0" layoutInCell="1" allowOverlap="1" wp14:anchorId="51DEA66A" wp14:editId="51DEA66B">
            <wp:simplePos x="0" y="0"/>
            <wp:positionH relativeFrom="page">
              <wp:posOffset>902208</wp:posOffset>
            </wp:positionH>
            <wp:positionV relativeFrom="paragraph">
              <wp:posOffset>80722</wp:posOffset>
            </wp:positionV>
            <wp:extent cx="262127" cy="103631"/>
            <wp:effectExtent l="0" t="0" r="0" b="0"/>
            <wp:wrapNone/>
            <wp:docPr id="1503" name="image7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 name="image779.png"/>
                    <pic:cNvPicPr/>
                  </pic:nvPicPr>
                  <pic:blipFill>
                    <a:blip r:embed="rId1030" cstate="print"/>
                    <a:stretch>
                      <a:fillRect/>
                    </a:stretch>
                  </pic:blipFill>
                  <pic:spPr>
                    <a:xfrm>
                      <a:off x="0" y="0"/>
                      <a:ext cx="262127" cy="103631"/>
                    </a:xfrm>
                    <a:prstGeom prst="rect">
                      <a:avLst/>
                    </a:prstGeom>
                  </pic:spPr>
                </pic:pic>
              </a:graphicData>
            </a:graphic>
          </wp:anchor>
        </w:drawing>
      </w:r>
      <w:r>
        <w:t>In orde</w:t>
      </w:r>
      <w:r>
        <w:t>r to initiate an investigation, an investigating authority needs to satisfy itself that there has been dumping of the product as a whole.</w:t>
      </w:r>
      <w:r>
        <w:rPr>
          <w:vertAlign w:val="superscript"/>
        </w:rPr>
        <w:t>925</w:t>
      </w:r>
    </w:p>
    <w:p w14:paraId="51DE94F8" w14:textId="77777777" w:rsidR="0010369C" w:rsidRDefault="008E43AE">
      <w:pPr>
        <w:pStyle w:val="ListParagraph"/>
        <w:numPr>
          <w:ilvl w:val="2"/>
          <w:numId w:val="31"/>
        </w:numPr>
        <w:tabs>
          <w:tab w:val="left" w:pos="3642"/>
          <w:tab w:val="left" w:pos="3643"/>
        </w:tabs>
        <w:spacing w:before="162"/>
        <w:ind w:hanging="853"/>
        <w:rPr>
          <w:sz w:val="24"/>
        </w:rPr>
      </w:pPr>
      <w:r>
        <w:rPr>
          <w:sz w:val="24"/>
          <w:u w:val="single"/>
        </w:rPr>
        <w:t>Normal</w:t>
      </w:r>
      <w:r>
        <w:rPr>
          <w:spacing w:val="-9"/>
          <w:sz w:val="24"/>
          <w:u w:val="single"/>
        </w:rPr>
        <w:t xml:space="preserve"> </w:t>
      </w:r>
      <w:r>
        <w:rPr>
          <w:spacing w:val="-2"/>
          <w:sz w:val="24"/>
          <w:u w:val="single"/>
        </w:rPr>
        <w:t>value</w:t>
      </w:r>
    </w:p>
    <w:p w14:paraId="51DE94F9" w14:textId="77777777" w:rsidR="0010369C" w:rsidRDefault="0010369C">
      <w:pPr>
        <w:pStyle w:val="BodyText"/>
        <w:spacing w:before="9"/>
        <w:rPr>
          <w:sz w:val="20"/>
        </w:rPr>
      </w:pPr>
    </w:p>
    <w:p w14:paraId="51DE94FA" w14:textId="77777777" w:rsidR="0010369C" w:rsidRDefault="008E43AE">
      <w:pPr>
        <w:pStyle w:val="BodyText"/>
        <w:spacing w:before="51" w:line="360" w:lineRule="auto"/>
        <w:ind w:left="236" w:right="614" w:firstLine="852"/>
        <w:jc w:val="both"/>
      </w:pPr>
      <w:r>
        <w:rPr>
          <w:noProof/>
        </w:rPr>
        <w:drawing>
          <wp:anchor distT="0" distB="0" distL="0" distR="0" simplePos="0" relativeHeight="251372032" behindDoc="1" locked="0" layoutInCell="1" allowOverlap="1" wp14:anchorId="51DEA66C" wp14:editId="51DEA66D">
            <wp:simplePos x="0" y="0"/>
            <wp:positionH relativeFrom="page">
              <wp:posOffset>902208</wp:posOffset>
            </wp:positionH>
            <wp:positionV relativeFrom="paragraph">
              <wp:posOffset>82838</wp:posOffset>
            </wp:positionV>
            <wp:extent cx="262127" cy="100753"/>
            <wp:effectExtent l="0" t="0" r="0" b="0"/>
            <wp:wrapNone/>
            <wp:docPr id="1505" name="image7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 name="image780.png"/>
                    <pic:cNvPicPr/>
                  </pic:nvPicPr>
                  <pic:blipFill>
                    <a:blip r:embed="rId1031" cstate="print"/>
                    <a:stretch>
                      <a:fillRect/>
                    </a:stretch>
                  </pic:blipFill>
                  <pic:spPr>
                    <a:xfrm>
                      <a:off x="0" y="0"/>
                      <a:ext cx="262127" cy="100753"/>
                    </a:xfrm>
                    <a:prstGeom prst="rect">
                      <a:avLst/>
                    </a:prstGeom>
                  </pic:spPr>
                </pic:pic>
              </a:graphicData>
            </a:graphic>
          </wp:anchor>
        </w:drawing>
      </w:r>
      <w:r>
        <w:t>CADA did not provide sufficient evidence of normal value in the written application because it (i) i</w:t>
      </w:r>
      <w:r>
        <w:t>mproperly relied on unsubstantiated claims of a particular market situation in Australia, and (ii) used prices of wines imported into Australia from China as a proxy to determine normal value of Australian wine.</w:t>
      </w:r>
    </w:p>
    <w:p w14:paraId="51DE94FB" w14:textId="77777777" w:rsidR="0010369C" w:rsidRDefault="008E43AE">
      <w:pPr>
        <w:pStyle w:val="ListParagraph"/>
        <w:numPr>
          <w:ilvl w:val="3"/>
          <w:numId w:val="31"/>
        </w:numPr>
        <w:tabs>
          <w:tab w:val="left" w:pos="4491"/>
          <w:tab w:val="left" w:pos="4492"/>
        </w:tabs>
        <w:spacing w:before="161" w:line="360" w:lineRule="auto"/>
        <w:ind w:right="612" w:hanging="853"/>
        <w:jc w:val="both"/>
        <w:rPr>
          <w:i/>
          <w:sz w:val="24"/>
        </w:rPr>
      </w:pPr>
      <w:r>
        <w:rPr>
          <w:i/>
          <w:sz w:val="24"/>
        </w:rPr>
        <w:t>CADA's Unsubstantiated Claim of a Particular</w:t>
      </w:r>
      <w:r>
        <w:rPr>
          <w:i/>
          <w:sz w:val="24"/>
        </w:rPr>
        <w:t xml:space="preserve"> Market Situation</w:t>
      </w:r>
    </w:p>
    <w:p w14:paraId="51DE94FC" w14:textId="77777777" w:rsidR="0010369C" w:rsidRDefault="0010369C">
      <w:pPr>
        <w:pStyle w:val="BodyText"/>
        <w:spacing w:before="10"/>
        <w:rPr>
          <w:i/>
          <w:sz w:val="8"/>
        </w:rPr>
      </w:pPr>
    </w:p>
    <w:p w14:paraId="51DE94FD" w14:textId="77777777" w:rsidR="0010369C" w:rsidRDefault="008E43AE">
      <w:pPr>
        <w:pStyle w:val="BodyText"/>
        <w:spacing w:before="52" w:line="360" w:lineRule="auto"/>
        <w:ind w:left="236" w:right="613" w:firstLine="852"/>
        <w:jc w:val="both"/>
      </w:pPr>
      <w:r>
        <w:rPr>
          <w:noProof/>
        </w:rPr>
        <w:drawing>
          <wp:anchor distT="0" distB="0" distL="0" distR="0" simplePos="0" relativeHeight="251373056" behindDoc="1" locked="0" layoutInCell="1" allowOverlap="1" wp14:anchorId="51DEA66E" wp14:editId="51DEA66F">
            <wp:simplePos x="0" y="0"/>
            <wp:positionH relativeFrom="page">
              <wp:posOffset>902208</wp:posOffset>
            </wp:positionH>
            <wp:positionV relativeFrom="paragraph">
              <wp:posOffset>80595</wp:posOffset>
            </wp:positionV>
            <wp:extent cx="262127" cy="103631"/>
            <wp:effectExtent l="0" t="0" r="0" b="0"/>
            <wp:wrapNone/>
            <wp:docPr id="1507" name="image7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 name="image781.png"/>
                    <pic:cNvPicPr/>
                  </pic:nvPicPr>
                  <pic:blipFill>
                    <a:blip r:embed="rId1032" cstate="print"/>
                    <a:stretch>
                      <a:fillRect/>
                    </a:stretch>
                  </pic:blipFill>
                  <pic:spPr>
                    <a:xfrm>
                      <a:off x="0" y="0"/>
                      <a:ext cx="262127" cy="103631"/>
                    </a:xfrm>
                    <a:prstGeom prst="rect">
                      <a:avLst/>
                    </a:prstGeom>
                  </pic:spPr>
                </pic:pic>
              </a:graphicData>
            </a:graphic>
          </wp:anchor>
        </w:drawing>
      </w:r>
      <w:r>
        <w:t>CADA's application did not include any information on the prices at which the products in question were sold when destined for consumption in Australia's domestic market, the prices at which those products were sold for export to a third country from Austr</w:t>
      </w:r>
      <w:r>
        <w:t>alia, nor a constructed normal value, contrary to Article 5.2(iii) of the Anti‐Dumping Agreement. Instead, CADA provided the prices of wines imported into Australia from China and a bare assertion of the existence of a "particular market situation" in Aust</w:t>
      </w:r>
      <w:r>
        <w:t>ralia. CADA submitted,</w:t>
      </w:r>
      <w:r>
        <w:rPr>
          <w:spacing w:val="-4"/>
        </w:rPr>
        <w:t xml:space="preserve"> </w:t>
      </w:r>
      <w:r>
        <w:t>as</w:t>
      </w:r>
      <w:r>
        <w:rPr>
          <w:spacing w:val="-4"/>
        </w:rPr>
        <w:t xml:space="preserve"> </w:t>
      </w:r>
      <w:r>
        <w:t>a</w:t>
      </w:r>
      <w:r>
        <w:rPr>
          <w:spacing w:val="-4"/>
        </w:rPr>
        <w:t xml:space="preserve"> </w:t>
      </w:r>
      <w:r>
        <w:t>result,</w:t>
      </w:r>
      <w:r>
        <w:rPr>
          <w:spacing w:val="-5"/>
        </w:rPr>
        <w:t xml:space="preserve"> </w:t>
      </w:r>
      <w:r>
        <w:t>that</w:t>
      </w:r>
      <w:r>
        <w:rPr>
          <w:spacing w:val="-4"/>
        </w:rPr>
        <w:t xml:space="preserve"> </w:t>
      </w:r>
      <w:r>
        <w:t>the</w:t>
      </w:r>
      <w:r>
        <w:rPr>
          <w:spacing w:val="-3"/>
        </w:rPr>
        <w:t xml:space="preserve"> </w:t>
      </w:r>
      <w:r>
        <w:t>prices</w:t>
      </w:r>
      <w:r>
        <w:rPr>
          <w:spacing w:val="-5"/>
        </w:rPr>
        <w:t xml:space="preserve"> </w:t>
      </w:r>
      <w:r>
        <w:t>of</w:t>
      </w:r>
      <w:r>
        <w:rPr>
          <w:spacing w:val="-4"/>
        </w:rPr>
        <w:t xml:space="preserve"> </w:t>
      </w:r>
      <w:r>
        <w:t>Chinese</w:t>
      </w:r>
      <w:r>
        <w:rPr>
          <w:spacing w:val="-3"/>
        </w:rPr>
        <w:t xml:space="preserve"> </w:t>
      </w:r>
      <w:r>
        <w:t>exports</w:t>
      </w:r>
      <w:r>
        <w:rPr>
          <w:spacing w:val="-5"/>
        </w:rPr>
        <w:t xml:space="preserve"> </w:t>
      </w:r>
      <w:r>
        <w:t>should</w:t>
      </w:r>
      <w:r>
        <w:rPr>
          <w:spacing w:val="-4"/>
        </w:rPr>
        <w:t xml:space="preserve"> </w:t>
      </w:r>
      <w:r>
        <w:t>be</w:t>
      </w:r>
      <w:r>
        <w:rPr>
          <w:spacing w:val="-4"/>
        </w:rPr>
        <w:t xml:space="preserve"> </w:t>
      </w:r>
      <w:r>
        <w:t>used</w:t>
      </w:r>
      <w:r>
        <w:rPr>
          <w:spacing w:val="-3"/>
        </w:rPr>
        <w:t xml:space="preserve"> </w:t>
      </w:r>
      <w:r>
        <w:t>instead</w:t>
      </w:r>
      <w:r>
        <w:rPr>
          <w:spacing w:val="-4"/>
        </w:rPr>
        <w:t xml:space="preserve"> </w:t>
      </w:r>
      <w:r>
        <w:t>as</w:t>
      </w:r>
      <w:r>
        <w:rPr>
          <w:spacing w:val="-4"/>
        </w:rPr>
        <w:t xml:space="preserve"> </w:t>
      </w:r>
      <w:r>
        <w:t>a</w:t>
      </w:r>
      <w:r>
        <w:rPr>
          <w:spacing w:val="-3"/>
        </w:rPr>
        <w:t xml:space="preserve"> </w:t>
      </w:r>
      <w:r>
        <w:t>basis</w:t>
      </w:r>
      <w:r>
        <w:rPr>
          <w:spacing w:val="-4"/>
        </w:rPr>
        <w:t xml:space="preserve"> </w:t>
      </w:r>
      <w:r>
        <w:t>for the calculation of a normal value because they were not "distorted".</w:t>
      </w:r>
    </w:p>
    <w:p w14:paraId="51DE94FE" w14:textId="77777777" w:rsidR="0010369C" w:rsidRDefault="0010369C">
      <w:pPr>
        <w:pStyle w:val="BodyText"/>
        <w:spacing w:before="10"/>
        <w:rPr>
          <w:sz w:val="8"/>
        </w:rPr>
      </w:pPr>
    </w:p>
    <w:p w14:paraId="51DE94FF" w14:textId="77777777" w:rsidR="0010369C" w:rsidRDefault="008E43AE">
      <w:pPr>
        <w:pStyle w:val="BodyText"/>
        <w:spacing w:before="52" w:line="360" w:lineRule="auto"/>
        <w:ind w:left="238" w:right="613" w:firstLine="851"/>
        <w:jc w:val="both"/>
      </w:pPr>
      <w:r>
        <w:rPr>
          <w:noProof/>
        </w:rPr>
        <w:drawing>
          <wp:anchor distT="0" distB="0" distL="0" distR="0" simplePos="0" relativeHeight="251374080" behindDoc="1" locked="0" layoutInCell="1" allowOverlap="1" wp14:anchorId="51DEA670" wp14:editId="51DEA671">
            <wp:simplePos x="0" y="0"/>
            <wp:positionH relativeFrom="page">
              <wp:posOffset>902208</wp:posOffset>
            </wp:positionH>
            <wp:positionV relativeFrom="paragraph">
              <wp:posOffset>81357</wp:posOffset>
            </wp:positionV>
            <wp:extent cx="262127" cy="103631"/>
            <wp:effectExtent l="0" t="0" r="0" b="0"/>
            <wp:wrapNone/>
            <wp:docPr id="1509" name="image7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 name="image782.png"/>
                    <pic:cNvPicPr/>
                  </pic:nvPicPr>
                  <pic:blipFill>
                    <a:blip r:embed="rId1033" cstate="print"/>
                    <a:stretch>
                      <a:fillRect/>
                    </a:stretch>
                  </pic:blipFill>
                  <pic:spPr>
                    <a:xfrm>
                      <a:off x="0" y="0"/>
                      <a:ext cx="262127" cy="103631"/>
                    </a:xfrm>
                    <a:prstGeom prst="rect">
                      <a:avLst/>
                    </a:prstGeom>
                  </pic:spPr>
                </pic:pic>
              </a:graphicData>
            </a:graphic>
          </wp:anchor>
        </w:drawing>
      </w:r>
      <w:r>
        <w:t>For MOFCOM to have treated this data as consistent with the obligations in Article 5.2(iii), it had to be satisfied that (1) CADA had provided sufficient evidence of a "particular market situation" in Australia to justify its failure to provide any informa</w:t>
      </w:r>
      <w:r>
        <w:t>tion about the price</w:t>
      </w:r>
    </w:p>
    <w:p w14:paraId="51DE9500" w14:textId="77777777" w:rsidR="0010369C" w:rsidRDefault="0010369C">
      <w:pPr>
        <w:pStyle w:val="BodyText"/>
        <w:rPr>
          <w:sz w:val="20"/>
        </w:rPr>
      </w:pPr>
    </w:p>
    <w:p w14:paraId="51DE9501" w14:textId="77777777" w:rsidR="0010369C" w:rsidRDefault="0010369C">
      <w:pPr>
        <w:pStyle w:val="BodyText"/>
        <w:rPr>
          <w:sz w:val="20"/>
        </w:rPr>
      </w:pPr>
    </w:p>
    <w:p w14:paraId="51DE9502" w14:textId="77777777" w:rsidR="0010369C" w:rsidRDefault="0010369C">
      <w:pPr>
        <w:pStyle w:val="BodyText"/>
        <w:rPr>
          <w:sz w:val="20"/>
        </w:rPr>
      </w:pPr>
    </w:p>
    <w:p w14:paraId="51DE9503" w14:textId="77777777" w:rsidR="0010369C" w:rsidRDefault="008E43AE">
      <w:pPr>
        <w:pStyle w:val="BodyText"/>
        <w:spacing w:before="2"/>
        <w:rPr>
          <w:sz w:val="11"/>
        </w:rPr>
      </w:pPr>
      <w:r>
        <w:pict w14:anchorId="51DEA672">
          <v:rect id="docshape1252" o:spid="_x0000_s1175" style="position:absolute;margin-left:70.9pt;margin-top:8.05pt;width:2in;height:.8pt;z-index:-250754560;mso-wrap-distance-left:0;mso-wrap-distance-right:0;mso-position-horizontal-relative:page" fillcolor="black" stroked="f">
            <w10:wrap type="topAndBottom" anchorx="page"/>
          </v:rect>
        </w:pict>
      </w:r>
    </w:p>
    <w:p w14:paraId="51DE9504" w14:textId="77777777" w:rsidR="0010369C" w:rsidRDefault="008E43AE">
      <w:pPr>
        <w:spacing w:before="109"/>
        <w:ind w:left="238" w:right="613"/>
        <w:jc w:val="both"/>
        <w:rPr>
          <w:sz w:val="18"/>
        </w:rPr>
      </w:pPr>
      <w:r>
        <w:rPr>
          <w:sz w:val="18"/>
          <w:vertAlign w:val="superscript"/>
        </w:rPr>
        <w:t>924</w:t>
      </w:r>
      <w:r>
        <w:rPr>
          <w:sz w:val="18"/>
        </w:rPr>
        <w:t xml:space="preserve"> Panel Report, </w:t>
      </w:r>
      <w:r>
        <w:rPr>
          <w:i/>
          <w:sz w:val="18"/>
        </w:rPr>
        <w:t>Guatemala – Cement II</w:t>
      </w:r>
      <w:r>
        <w:rPr>
          <w:sz w:val="18"/>
        </w:rPr>
        <w:t xml:space="preserve">, paras. </w:t>
      </w:r>
      <w:hyperlink r:id="rId1034">
        <w:r>
          <w:rPr>
            <w:sz w:val="18"/>
          </w:rPr>
          <w:t>8.35‐8.36</w:t>
        </w:r>
      </w:hyperlink>
      <w:r>
        <w:rPr>
          <w:sz w:val="18"/>
        </w:rPr>
        <w:t>. The panel explained that "the evidence mentioned in Article 5.3 must be evidence of dumping, injury and causation". The "only clarifi</w:t>
      </w:r>
      <w:r>
        <w:rPr>
          <w:sz w:val="18"/>
        </w:rPr>
        <w:t>cation of the term 'dumping' in the Anti‐Dumping Agreement</w:t>
      </w:r>
      <w:r>
        <w:rPr>
          <w:spacing w:val="-4"/>
          <w:sz w:val="18"/>
        </w:rPr>
        <w:t xml:space="preserve"> </w:t>
      </w:r>
      <w:r>
        <w:rPr>
          <w:sz w:val="18"/>
        </w:rPr>
        <w:t>is</w:t>
      </w:r>
      <w:r>
        <w:rPr>
          <w:spacing w:val="-2"/>
          <w:sz w:val="18"/>
        </w:rPr>
        <w:t xml:space="preserve"> </w:t>
      </w:r>
      <w:r>
        <w:rPr>
          <w:sz w:val="18"/>
        </w:rPr>
        <w:t>that</w:t>
      </w:r>
      <w:r>
        <w:rPr>
          <w:spacing w:val="-3"/>
          <w:sz w:val="18"/>
        </w:rPr>
        <w:t xml:space="preserve"> </w:t>
      </w:r>
      <w:r>
        <w:rPr>
          <w:sz w:val="18"/>
        </w:rPr>
        <w:t>contained</w:t>
      </w:r>
      <w:r>
        <w:rPr>
          <w:spacing w:val="-3"/>
          <w:sz w:val="18"/>
        </w:rPr>
        <w:t xml:space="preserve"> </w:t>
      </w:r>
      <w:r>
        <w:rPr>
          <w:sz w:val="18"/>
        </w:rPr>
        <w:t>in</w:t>
      </w:r>
      <w:r>
        <w:rPr>
          <w:spacing w:val="-1"/>
          <w:sz w:val="18"/>
        </w:rPr>
        <w:t xml:space="preserve"> </w:t>
      </w:r>
      <w:r>
        <w:rPr>
          <w:sz w:val="18"/>
        </w:rPr>
        <w:t>Article</w:t>
      </w:r>
      <w:r>
        <w:rPr>
          <w:spacing w:val="-3"/>
          <w:sz w:val="18"/>
        </w:rPr>
        <w:t xml:space="preserve"> </w:t>
      </w:r>
      <w:r>
        <w:rPr>
          <w:sz w:val="18"/>
        </w:rPr>
        <w:t>2.</w:t>
      </w:r>
      <w:r>
        <w:rPr>
          <w:spacing w:val="-2"/>
          <w:sz w:val="18"/>
        </w:rPr>
        <w:t xml:space="preserve"> </w:t>
      </w:r>
      <w:r>
        <w:rPr>
          <w:sz w:val="18"/>
        </w:rPr>
        <w:t>In</w:t>
      </w:r>
      <w:r>
        <w:rPr>
          <w:spacing w:val="-2"/>
          <w:sz w:val="18"/>
        </w:rPr>
        <w:t xml:space="preserve"> </w:t>
      </w:r>
      <w:r>
        <w:rPr>
          <w:sz w:val="18"/>
        </w:rPr>
        <w:t>consequence,</w:t>
      </w:r>
      <w:r>
        <w:rPr>
          <w:spacing w:val="-4"/>
          <w:sz w:val="18"/>
        </w:rPr>
        <w:t xml:space="preserve"> </w:t>
      </w:r>
      <w:r>
        <w:rPr>
          <w:sz w:val="18"/>
        </w:rPr>
        <w:t>in</w:t>
      </w:r>
      <w:r>
        <w:rPr>
          <w:spacing w:val="-2"/>
          <w:sz w:val="18"/>
        </w:rPr>
        <w:t xml:space="preserve"> </w:t>
      </w:r>
      <w:r>
        <w:rPr>
          <w:sz w:val="18"/>
        </w:rPr>
        <w:t>order</w:t>
      </w:r>
      <w:r>
        <w:rPr>
          <w:spacing w:val="-3"/>
          <w:sz w:val="18"/>
        </w:rPr>
        <w:t xml:space="preserve"> </w:t>
      </w:r>
      <w:r>
        <w:rPr>
          <w:sz w:val="18"/>
        </w:rPr>
        <w:t>to</w:t>
      </w:r>
      <w:r>
        <w:rPr>
          <w:spacing w:val="-3"/>
          <w:sz w:val="18"/>
        </w:rPr>
        <w:t xml:space="preserve"> </w:t>
      </w:r>
      <w:r>
        <w:rPr>
          <w:sz w:val="18"/>
        </w:rPr>
        <w:t>determine</w:t>
      </w:r>
      <w:r>
        <w:rPr>
          <w:spacing w:val="-2"/>
          <w:sz w:val="18"/>
        </w:rPr>
        <w:t xml:space="preserve"> </w:t>
      </w:r>
      <w:r>
        <w:rPr>
          <w:sz w:val="18"/>
        </w:rPr>
        <w:t>that</w:t>
      </w:r>
      <w:r>
        <w:rPr>
          <w:spacing w:val="-3"/>
          <w:sz w:val="18"/>
        </w:rPr>
        <w:t xml:space="preserve"> </w:t>
      </w:r>
      <w:r>
        <w:rPr>
          <w:sz w:val="18"/>
        </w:rPr>
        <w:t>there</w:t>
      </w:r>
      <w:r>
        <w:rPr>
          <w:spacing w:val="-2"/>
          <w:sz w:val="18"/>
        </w:rPr>
        <w:t xml:space="preserve"> </w:t>
      </w:r>
      <w:r>
        <w:rPr>
          <w:sz w:val="18"/>
        </w:rPr>
        <w:t>is</w:t>
      </w:r>
      <w:r>
        <w:rPr>
          <w:spacing w:val="-2"/>
          <w:sz w:val="18"/>
        </w:rPr>
        <w:t xml:space="preserve"> </w:t>
      </w:r>
      <w:r>
        <w:rPr>
          <w:sz w:val="18"/>
        </w:rPr>
        <w:t>sufficient</w:t>
      </w:r>
      <w:r>
        <w:rPr>
          <w:spacing w:val="-2"/>
          <w:sz w:val="18"/>
        </w:rPr>
        <w:t xml:space="preserve"> </w:t>
      </w:r>
      <w:r>
        <w:rPr>
          <w:sz w:val="18"/>
        </w:rPr>
        <w:t>evidence</w:t>
      </w:r>
      <w:r>
        <w:rPr>
          <w:spacing w:val="-1"/>
          <w:sz w:val="18"/>
        </w:rPr>
        <w:t xml:space="preserve"> </w:t>
      </w:r>
      <w:r>
        <w:rPr>
          <w:sz w:val="18"/>
        </w:rPr>
        <w:t>of</w:t>
      </w:r>
      <w:r>
        <w:rPr>
          <w:spacing w:val="-2"/>
          <w:sz w:val="18"/>
        </w:rPr>
        <w:t xml:space="preserve"> </w:t>
      </w:r>
      <w:r>
        <w:rPr>
          <w:sz w:val="18"/>
        </w:rPr>
        <w:t>dumping, the</w:t>
      </w:r>
      <w:r>
        <w:rPr>
          <w:spacing w:val="-1"/>
          <w:sz w:val="18"/>
        </w:rPr>
        <w:t xml:space="preserve"> </w:t>
      </w:r>
      <w:r>
        <w:rPr>
          <w:sz w:val="18"/>
        </w:rPr>
        <w:t>investigating</w:t>
      </w:r>
      <w:r>
        <w:rPr>
          <w:spacing w:val="-1"/>
          <w:sz w:val="18"/>
        </w:rPr>
        <w:t xml:space="preserve"> </w:t>
      </w:r>
      <w:r>
        <w:rPr>
          <w:sz w:val="18"/>
        </w:rPr>
        <w:t>authority</w:t>
      </w:r>
      <w:r>
        <w:rPr>
          <w:spacing w:val="-1"/>
          <w:sz w:val="18"/>
        </w:rPr>
        <w:t xml:space="preserve"> </w:t>
      </w:r>
      <w:r>
        <w:rPr>
          <w:sz w:val="18"/>
        </w:rPr>
        <w:t>cannot</w:t>
      </w:r>
      <w:r>
        <w:rPr>
          <w:spacing w:val="-2"/>
          <w:sz w:val="18"/>
        </w:rPr>
        <w:t xml:space="preserve"> </w:t>
      </w:r>
      <w:r>
        <w:rPr>
          <w:sz w:val="18"/>
        </w:rPr>
        <w:t>entirely</w:t>
      </w:r>
      <w:r>
        <w:rPr>
          <w:spacing w:val="-1"/>
          <w:sz w:val="18"/>
        </w:rPr>
        <w:t xml:space="preserve"> </w:t>
      </w:r>
      <w:r>
        <w:rPr>
          <w:sz w:val="18"/>
        </w:rPr>
        <w:t>disregard</w:t>
      </w:r>
      <w:r>
        <w:rPr>
          <w:spacing w:val="-1"/>
          <w:sz w:val="18"/>
        </w:rPr>
        <w:t xml:space="preserve"> </w:t>
      </w:r>
      <w:r>
        <w:rPr>
          <w:sz w:val="18"/>
        </w:rPr>
        <w:t>the</w:t>
      </w:r>
      <w:r>
        <w:rPr>
          <w:spacing w:val="-2"/>
          <w:sz w:val="18"/>
        </w:rPr>
        <w:t xml:space="preserve"> </w:t>
      </w:r>
      <w:r>
        <w:rPr>
          <w:sz w:val="18"/>
        </w:rPr>
        <w:t>elements</w:t>
      </w:r>
      <w:r>
        <w:rPr>
          <w:spacing w:val="-1"/>
          <w:sz w:val="18"/>
        </w:rPr>
        <w:t xml:space="preserve"> </w:t>
      </w:r>
      <w:r>
        <w:rPr>
          <w:sz w:val="18"/>
        </w:rPr>
        <w:t>that</w:t>
      </w:r>
      <w:r>
        <w:rPr>
          <w:spacing w:val="-2"/>
          <w:sz w:val="18"/>
        </w:rPr>
        <w:t xml:space="preserve"> </w:t>
      </w:r>
      <w:r>
        <w:rPr>
          <w:sz w:val="18"/>
        </w:rPr>
        <w:t>configure</w:t>
      </w:r>
      <w:r>
        <w:rPr>
          <w:spacing w:val="-3"/>
          <w:sz w:val="18"/>
        </w:rPr>
        <w:t xml:space="preserve"> </w:t>
      </w:r>
      <w:r>
        <w:rPr>
          <w:sz w:val="18"/>
        </w:rPr>
        <w:t>the</w:t>
      </w:r>
      <w:r>
        <w:rPr>
          <w:spacing w:val="-1"/>
          <w:sz w:val="18"/>
        </w:rPr>
        <w:t xml:space="preserve"> </w:t>
      </w:r>
      <w:r>
        <w:rPr>
          <w:sz w:val="18"/>
        </w:rPr>
        <w:t>existence</w:t>
      </w:r>
      <w:r>
        <w:rPr>
          <w:spacing w:val="-2"/>
          <w:sz w:val="18"/>
        </w:rPr>
        <w:t xml:space="preserve"> </w:t>
      </w:r>
      <w:r>
        <w:rPr>
          <w:sz w:val="18"/>
        </w:rPr>
        <w:t>of</w:t>
      </w:r>
      <w:r>
        <w:rPr>
          <w:spacing w:val="-2"/>
          <w:sz w:val="18"/>
        </w:rPr>
        <w:t xml:space="preserve"> </w:t>
      </w:r>
      <w:r>
        <w:rPr>
          <w:sz w:val="18"/>
        </w:rPr>
        <w:t>this</w:t>
      </w:r>
      <w:r>
        <w:rPr>
          <w:spacing w:val="-1"/>
          <w:sz w:val="18"/>
        </w:rPr>
        <w:t xml:space="preserve"> </w:t>
      </w:r>
      <w:r>
        <w:rPr>
          <w:sz w:val="18"/>
        </w:rPr>
        <w:t>practice as</w:t>
      </w:r>
      <w:r>
        <w:rPr>
          <w:spacing w:val="-2"/>
          <w:sz w:val="18"/>
        </w:rPr>
        <w:t xml:space="preserve"> </w:t>
      </w:r>
      <w:r>
        <w:rPr>
          <w:sz w:val="18"/>
        </w:rPr>
        <w:t>outlined</w:t>
      </w:r>
      <w:r>
        <w:rPr>
          <w:spacing w:val="-1"/>
          <w:sz w:val="18"/>
        </w:rPr>
        <w:t xml:space="preserve"> </w:t>
      </w:r>
      <w:r>
        <w:rPr>
          <w:sz w:val="18"/>
        </w:rPr>
        <w:t xml:space="preserve">in Article 2". See also Panel Report, </w:t>
      </w:r>
      <w:r>
        <w:rPr>
          <w:i/>
          <w:sz w:val="18"/>
        </w:rPr>
        <w:t xml:space="preserve">Argentina– Poultry Anti‐Dumping Duties, </w:t>
      </w:r>
      <w:r>
        <w:rPr>
          <w:sz w:val="18"/>
        </w:rPr>
        <w:t>para. 7.80.</w:t>
      </w:r>
    </w:p>
    <w:p w14:paraId="51DE9505" w14:textId="77777777" w:rsidR="0010369C" w:rsidRDefault="008E43AE">
      <w:pPr>
        <w:spacing w:before="1"/>
        <w:ind w:left="238"/>
        <w:jc w:val="both"/>
        <w:rPr>
          <w:sz w:val="18"/>
        </w:rPr>
      </w:pPr>
      <w:r>
        <w:rPr>
          <w:sz w:val="18"/>
          <w:vertAlign w:val="superscript"/>
        </w:rPr>
        <w:t>925</w:t>
      </w:r>
      <w:r>
        <w:rPr>
          <w:spacing w:val="-9"/>
          <w:sz w:val="18"/>
        </w:rPr>
        <w:t xml:space="preserve"> </w:t>
      </w:r>
      <w:r>
        <w:rPr>
          <w:sz w:val="18"/>
        </w:rPr>
        <w:t>Panel</w:t>
      </w:r>
      <w:r>
        <w:rPr>
          <w:spacing w:val="-9"/>
          <w:sz w:val="18"/>
        </w:rPr>
        <w:t xml:space="preserve"> </w:t>
      </w:r>
      <w:r>
        <w:rPr>
          <w:sz w:val="18"/>
        </w:rPr>
        <w:t>Report,</w:t>
      </w:r>
      <w:r>
        <w:rPr>
          <w:spacing w:val="-8"/>
          <w:sz w:val="18"/>
        </w:rPr>
        <w:t xml:space="preserve"> </w:t>
      </w:r>
      <w:r>
        <w:rPr>
          <w:i/>
          <w:sz w:val="18"/>
        </w:rPr>
        <w:t>Argentina</w:t>
      </w:r>
      <w:r>
        <w:rPr>
          <w:i/>
          <w:spacing w:val="-9"/>
          <w:sz w:val="18"/>
        </w:rPr>
        <w:t xml:space="preserve"> </w:t>
      </w:r>
      <w:r>
        <w:rPr>
          <w:i/>
          <w:sz w:val="18"/>
        </w:rPr>
        <w:t>–</w:t>
      </w:r>
      <w:r>
        <w:rPr>
          <w:i/>
          <w:spacing w:val="-8"/>
          <w:sz w:val="18"/>
        </w:rPr>
        <w:t xml:space="preserve"> </w:t>
      </w:r>
      <w:r>
        <w:rPr>
          <w:i/>
          <w:sz w:val="18"/>
        </w:rPr>
        <w:t>Poultry</w:t>
      </w:r>
      <w:r>
        <w:rPr>
          <w:i/>
          <w:spacing w:val="-9"/>
          <w:sz w:val="18"/>
        </w:rPr>
        <w:t xml:space="preserve"> </w:t>
      </w:r>
      <w:r>
        <w:rPr>
          <w:i/>
          <w:sz w:val="18"/>
        </w:rPr>
        <w:t>Anti‐Dumping</w:t>
      </w:r>
      <w:r>
        <w:rPr>
          <w:i/>
          <w:spacing w:val="-7"/>
          <w:sz w:val="18"/>
        </w:rPr>
        <w:t xml:space="preserve"> </w:t>
      </w:r>
      <w:r>
        <w:rPr>
          <w:i/>
          <w:sz w:val="18"/>
        </w:rPr>
        <w:t>Duties,</w:t>
      </w:r>
      <w:r>
        <w:rPr>
          <w:i/>
          <w:spacing w:val="-9"/>
          <w:sz w:val="18"/>
        </w:rPr>
        <w:t xml:space="preserve"> </w:t>
      </w:r>
      <w:r>
        <w:rPr>
          <w:sz w:val="18"/>
        </w:rPr>
        <w:t>para.</w:t>
      </w:r>
      <w:r>
        <w:rPr>
          <w:spacing w:val="-8"/>
          <w:sz w:val="18"/>
        </w:rPr>
        <w:t xml:space="preserve"> </w:t>
      </w:r>
      <w:r>
        <w:rPr>
          <w:spacing w:val="-2"/>
          <w:sz w:val="18"/>
        </w:rPr>
        <w:t>7.80.</w:t>
      </w:r>
    </w:p>
    <w:p w14:paraId="51DE9506" w14:textId="77777777" w:rsidR="0010369C" w:rsidRDefault="0010369C">
      <w:pPr>
        <w:jc w:val="both"/>
        <w:rPr>
          <w:sz w:val="18"/>
        </w:rPr>
        <w:sectPr w:rsidR="0010369C">
          <w:pgSz w:w="11910" w:h="16840"/>
          <w:pgMar w:top="880" w:right="800" w:bottom="980" w:left="1180" w:header="569" w:footer="788" w:gutter="0"/>
          <w:cols w:space="720"/>
        </w:sectPr>
      </w:pPr>
    </w:p>
    <w:p w14:paraId="51DE9507" w14:textId="77777777" w:rsidR="0010369C" w:rsidRDefault="008E43AE">
      <w:pPr>
        <w:tabs>
          <w:tab w:val="left" w:pos="6426"/>
        </w:tabs>
        <w:ind w:left="238"/>
        <w:rPr>
          <w:sz w:val="20"/>
        </w:rPr>
      </w:pPr>
      <w:r>
        <w:rPr>
          <w:i/>
          <w:sz w:val="20"/>
        </w:rPr>
        <w:lastRenderedPageBreak/>
        <w:t>China</w:t>
      </w:r>
      <w:r>
        <w:rPr>
          <w:i/>
          <w:spacing w:val="-5"/>
          <w:sz w:val="20"/>
        </w:rPr>
        <w:t xml:space="preserve"> </w:t>
      </w:r>
      <w:r>
        <w:rPr>
          <w:i/>
          <w:sz w:val="20"/>
        </w:rPr>
        <w:t>–</w:t>
      </w:r>
      <w:r>
        <w:rPr>
          <w:i/>
          <w:spacing w:val="-5"/>
          <w:sz w:val="20"/>
        </w:rPr>
        <w:t xml:space="preserve"> </w:t>
      </w:r>
      <w:r>
        <w:rPr>
          <w:i/>
          <w:sz w:val="20"/>
        </w:rPr>
        <w:t>Anti‐Dumping</w:t>
      </w:r>
      <w:r>
        <w:rPr>
          <w:i/>
          <w:spacing w:val="-4"/>
          <w:sz w:val="20"/>
        </w:rPr>
        <w:t xml:space="preserve"> </w:t>
      </w:r>
      <w:r>
        <w:rPr>
          <w:i/>
          <w:sz w:val="20"/>
        </w:rPr>
        <w:t>and</w:t>
      </w:r>
      <w:r>
        <w:rPr>
          <w:i/>
          <w:spacing w:val="-5"/>
          <w:sz w:val="20"/>
        </w:rPr>
        <w:t xml:space="preserve"> </w:t>
      </w:r>
      <w:r>
        <w:rPr>
          <w:i/>
          <w:sz w:val="20"/>
        </w:rPr>
        <w:t>Countervailing</w:t>
      </w:r>
      <w:r>
        <w:rPr>
          <w:i/>
          <w:spacing w:val="-5"/>
          <w:sz w:val="20"/>
        </w:rPr>
        <w:t xml:space="preserve"> </w:t>
      </w:r>
      <w:r>
        <w:rPr>
          <w:i/>
          <w:sz w:val="20"/>
        </w:rPr>
        <w:t>Duty</w:t>
      </w:r>
      <w:r>
        <w:rPr>
          <w:i/>
          <w:spacing w:val="-4"/>
          <w:sz w:val="20"/>
        </w:rPr>
        <w:t xml:space="preserve"> </w:t>
      </w:r>
      <w:r>
        <w:rPr>
          <w:i/>
          <w:spacing w:val="-2"/>
          <w:sz w:val="20"/>
        </w:rPr>
        <w:t>Measures</w:t>
      </w:r>
      <w:r>
        <w:rPr>
          <w:i/>
          <w:sz w:val="20"/>
        </w:rPr>
        <w:tab/>
      </w:r>
      <w:r>
        <w:rPr>
          <w:sz w:val="20"/>
        </w:rPr>
        <w:t>Australia's</w:t>
      </w:r>
      <w:r>
        <w:rPr>
          <w:spacing w:val="-7"/>
          <w:sz w:val="20"/>
        </w:rPr>
        <w:t xml:space="preserve"> </w:t>
      </w:r>
      <w:r>
        <w:rPr>
          <w:sz w:val="20"/>
        </w:rPr>
        <w:t>First</w:t>
      </w:r>
      <w:r>
        <w:rPr>
          <w:spacing w:val="-2"/>
          <w:sz w:val="20"/>
        </w:rPr>
        <w:t xml:space="preserve"> </w:t>
      </w:r>
      <w:r>
        <w:rPr>
          <w:sz w:val="20"/>
        </w:rPr>
        <w:t>Written</w:t>
      </w:r>
      <w:r>
        <w:rPr>
          <w:spacing w:val="-2"/>
          <w:sz w:val="20"/>
        </w:rPr>
        <w:t xml:space="preserve"> Submission</w:t>
      </w:r>
    </w:p>
    <w:p w14:paraId="51DE9508" w14:textId="77777777" w:rsidR="0010369C" w:rsidRDefault="008E43AE">
      <w:pPr>
        <w:tabs>
          <w:tab w:val="left" w:pos="8228"/>
        </w:tabs>
        <w:spacing w:before="1"/>
        <w:ind w:left="239"/>
        <w:rPr>
          <w:sz w:val="20"/>
        </w:rPr>
      </w:pPr>
      <w:r>
        <w:rPr>
          <w:i/>
          <w:sz w:val="20"/>
        </w:rPr>
        <w:t>on</w:t>
      </w:r>
      <w:r>
        <w:rPr>
          <w:i/>
          <w:spacing w:val="-1"/>
          <w:sz w:val="20"/>
        </w:rPr>
        <w:t xml:space="preserve"> </w:t>
      </w:r>
      <w:r>
        <w:rPr>
          <w:i/>
          <w:sz w:val="20"/>
        </w:rPr>
        <w:t>Wine</w:t>
      </w:r>
      <w:r>
        <w:rPr>
          <w:i/>
          <w:spacing w:val="-1"/>
          <w:sz w:val="20"/>
        </w:rPr>
        <w:t xml:space="preserve"> </w:t>
      </w:r>
      <w:r>
        <w:rPr>
          <w:i/>
          <w:sz w:val="20"/>
        </w:rPr>
        <w:t>from</w:t>
      </w:r>
      <w:r>
        <w:rPr>
          <w:i/>
          <w:spacing w:val="-3"/>
          <w:sz w:val="20"/>
        </w:rPr>
        <w:t xml:space="preserve"> </w:t>
      </w:r>
      <w:r>
        <w:rPr>
          <w:i/>
          <w:sz w:val="20"/>
        </w:rPr>
        <w:t>Australia</w:t>
      </w:r>
      <w:r>
        <w:rPr>
          <w:i/>
          <w:spacing w:val="-1"/>
          <w:sz w:val="20"/>
        </w:rPr>
        <w:t xml:space="preserve"> </w:t>
      </w:r>
      <w:r>
        <w:rPr>
          <w:spacing w:val="-2"/>
          <w:sz w:val="20"/>
        </w:rPr>
        <w:t>(DS602)</w:t>
      </w:r>
      <w:r>
        <w:rPr>
          <w:sz w:val="20"/>
        </w:rPr>
        <w:tab/>
        <w:t>29</w:t>
      </w:r>
      <w:r>
        <w:rPr>
          <w:spacing w:val="-1"/>
          <w:sz w:val="20"/>
        </w:rPr>
        <w:t xml:space="preserve"> </w:t>
      </w:r>
      <w:r>
        <w:rPr>
          <w:sz w:val="20"/>
        </w:rPr>
        <w:t>April</w:t>
      </w:r>
      <w:r>
        <w:rPr>
          <w:spacing w:val="-2"/>
          <w:sz w:val="20"/>
        </w:rPr>
        <w:t xml:space="preserve"> </w:t>
      </w:r>
      <w:r>
        <w:rPr>
          <w:spacing w:val="-4"/>
          <w:sz w:val="20"/>
        </w:rPr>
        <w:t>2022</w:t>
      </w:r>
    </w:p>
    <w:p w14:paraId="51DE9509" w14:textId="77777777" w:rsidR="0010369C" w:rsidRDefault="008E43AE">
      <w:pPr>
        <w:pStyle w:val="BodyText"/>
        <w:spacing w:before="34" w:line="360" w:lineRule="auto"/>
        <w:ind w:left="238"/>
      </w:pPr>
      <w:r>
        <w:t>of the product in question when</w:t>
      </w:r>
      <w:r>
        <w:rPr>
          <w:spacing w:val="-1"/>
        </w:rPr>
        <w:t xml:space="preserve"> </w:t>
      </w:r>
      <w:r>
        <w:t>sold in Australia,</w:t>
      </w:r>
      <w:r>
        <w:rPr>
          <w:spacing w:val="-1"/>
        </w:rPr>
        <w:t xml:space="preserve"> </w:t>
      </w:r>
      <w:r>
        <w:t>and (2) the alternative data that CADA had submitted was an adequate basis on which to provide a normal value.</w:t>
      </w:r>
      <w:r>
        <w:rPr>
          <w:vertAlign w:val="superscript"/>
        </w:rPr>
        <w:t>926</w:t>
      </w:r>
    </w:p>
    <w:p w14:paraId="51DE950A" w14:textId="77777777" w:rsidR="0010369C" w:rsidRDefault="0010369C">
      <w:pPr>
        <w:pStyle w:val="BodyText"/>
        <w:spacing w:before="10"/>
        <w:rPr>
          <w:sz w:val="8"/>
        </w:rPr>
      </w:pPr>
    </w:p>
    <w:p w14:paraId="51DE950B" w14:textId="77777777" w:rsidR="0010369C" w:rsidRDefault="008E43AE">
      <w:pPr>
        <w:pStyle w:val="BodyText"/>
        <w:spacing w:before="52" w:line="360" w:lineRule="auto"/>
        <w:ind w:left="237" w:right="613" w:firstLine="851"/>
        <w:jc w:val="both"/>
      </w:pPr>
      <w:r>
        <w:rPr>
          <w:noProof/>
        </w:rPr>
        <w:drawing>
          <wp:anchor distT="0" distB="0" distL="0" distR="0" simplePos="0" relativeHeight="251375104" behindDoc="1" locked="0" layoutInCell="1" allowOverlap="1" wp14:anchorId="51DEA673" wp14:editId="51DEA674">
            <wp:simplePos x="0" y="0"/>
            <wp:positionH relativeFrom="page">
              <wp:posOffset>902208</wp:posOffset>
            </wp:positionH>
            <wp:positionV relativeFrom="paragraph">
              <wp:posOffset>76785</wp:posOffset>
            </wp:positionV>
            <wp:extent cx="262127" cy="106679"/>
            <wp:effectExtent l="0" t="0" r="0" b="0"/>
            <wp:wrapNone/>
            <wp:docPr id="1511" name="image7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 name="image783.png"/>
                    <pic:cNvPicPr/>
                  </pic:nvPicPr>
                  <pic:blipFill>
                    <a:blip r:embed="rId1035" cstate="print"/>
                    <a:stretch>
                      <a:fillRect/>
                    </a:stretch>
                  </pic:blipFill>
                  <pic:spPr>
                    <a:xfrm>
                      <a:off x="0" y="0"/>
                      <a:ext cx="262127" cy="106679"/>
                    </a:xfrm>
                    <a:prstGeom prst="rect">
                      <a:avLst/>
                    </a:prstGeom>
                  </pic:spPr>
                </pic:pic>
              </a:graphicData>
            </a:graphic>
          </wp:anchor>
        </w:drawing>
      </w:r>
      <w:r>
        <w:t>An unbiased and objective investigating authority could not be satisfied of either proposition in the circumstances of this case. CADA's cla</w:t>
      </w:r>
      <w:r>
        <w:t>ims were based on unsubstantiated allegations and unreliable alternative data that was incapable of meeting the minimum requirements of Article 5.2(iii).</w:t>
      </w:r>
    </w:p>
    <w:p w14:paraId="51DE950C" w14:textId="77777777" w:rsidR="0010369C" w:rsidRDefault="0010369C">
      <w:pPr>
        <w:pStyle w:val="BodyText"/>
        <w:spacing w:before="11"/>
        <w:rPr>
          <w:sz w:val="8"/>
        </w:rPr>
      </w:pPr>
    </w:p>
    <w:p w14:paraId="51DE950D" w14:textId="77777777" w:rsidR="0010369C" w:rsidRDefault="008E43AE">
      <w:pPr>
        <w:pStyle w:val="BodyText"/>
        <w:spacing w:before="52" w:line="360" w:lineRule="auto"/>
        <w:ind w:left="236" w:right="613" w:firstLine="852"/>
        <w:jc w:val="both"/>
      </w:pPr>
      <w:r>
        <w:rPr>
          <w:noProof/>
        </w:rPr>
        <w:drawing>
          <wp:anchor distT="0" distB="0" distL="0" distR="0" simplePos="0" relativeHeight="251376128" behindDoc="1" locked="0" layoutInCell="1" allowOverlap="1" wp14:anchorId="51DEA675" wp14:editId="51DEA676">
            <wp:simplePos x="0" y="0"/>
            <wp:positionH relativeFrom="page">
              <wp:posOffset>902208</wp:posOffset>
            </wp:positionH>
            <wp:positionV relativeFrom="paragraph">
              <wp:posOffset>80595</wp:posOffset>
            </wp:positionV>
            <wp:extent cx="262127" cy="103631"/>
            <wp:effectExtent l="0" t="0" r="0" b="0"/>
            <wp:wrapNone/>
            <wp:docPr id="1513" name="image7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 name="image784.png"/>
                    <pic:cNvPicPr/>
                  </pic:nvPicPr>
                  <pic:blipFill>
                    <a:blip r:embed="rId1036" cstate="print"/>
                    <a:stretch>
                      <a:fillRect/>
                    </a:stretch>
                  </pic:blipFill>
                  <pic:spPr>
                    <a:xfrm>
                      <a:off x="0" y="0"/>
                      <a:ext cx="262127" cy="103631"/>
                    </a:xfrm>
                    <a:prstGeom prst="rect">
                      <a:avLst/>
                    </a:prstGeom>
                  </pic:spPr>
                </pic:pic>
              </a:graphicData>
            </a:graphic>
          </wp:anchor>
        </w:drawing>
      </w:r>
      <w:r>
        <w:t>The evidence contained in CADA's application could not support the existence "particular</w:t>
      </w:r>
      <w:r>
        <w:rPr>
          <w:spacing w:val="-14"/>
        </w:rPr>
        <w:t xml:space="preserve"> </w:t>
      </w:r>
      <w:r>
        <w:t>market</w:t>
      </w:r>
      <w:r>
        <w:rPr>
          <w:spacing w:val="-14"/>
        </w:rPr>
        <w:t xml:space="preserve"> </w:t>
      </w:r>
      <w:r>
        <w:t>situation"</w:t>
      </w:r>
      <w:r>
        <w:rPr>
          <w:spacing w:val="-13"/>
        </w:rPr>
        <w:t xml:space="preserve"> </w:t>
      </w:r>
      <w:r>
        <w:t>in</w:t>
      </w:r>
      <w:r>
        <w:rPr>
          <w:spacing w:val="-14"/>
        </w:rPr>
        <w:t xml:space="preserve"> </w:t>
      </w:r>
      <w:r>
        <w:t>Australia</w:t>
      </w:r>
      <w:r>
        <w:rPr>
          <w:spacing w:val="-13"/>
        </w:rPr>
        <w:t xml:space="preserve"> </w:t>
      </w:r>
      <w:r>
        <w:t>to</w:t>
      </w:r>
      <w:r>
        <w:rPr>
          <w:spacing w:val="-14"/>
        </w:rPr>
        <w:t xml:space="preserve"> </w:t>
      </w:r>
      <w:r>
        <w:t>justify</w:t>
      </w:r>
      <w:r>
        <w:rPr>
          <w:spacing w:val="-13"/>
        </w:rPr>
        <w:t xml:space="preserve"> </w:t>
      </w:r>
      <w:r>
        <w:t>CADA's</w:t>
      </w:r>
      <w:r>
        <w:rPr>
          <w:spacing w:val="-14"/>
        </w:rPr>
        <w:t xml:space="preserve"> </w:t>
      </w:r>
      <w:r>
        <w:t>failure</w:t>
      </w:r>
      <w:r>
        <w:rPr>
          <w:spacing w:val="-14"/>
        </w:rPr>
        <w:t xml:space="preserve"> </w:t>
      </w:r>
      <w:r>
        <w:t>to</w:t>
      </w:r>
      <w:r>
        <w:rPr>
          <w:spacing w:val="-13"/>
        </w:rPr>
        <w:t xml:space="preserve"> </w:t>
      </w:r>
      <w:r>
        <w:t>provide</w:t>
      </w:r>
      <w:r>
        <w:rPr>
          <w:spacing w:val="-14"/>
        </w:rPr>
        <w:t xml:space="preserve"> </w:t>
      </w:r>
      <w:r>
        <w:t>the</w:t>
      </w:r>
      <w:r>
        <w:rPr>
          <w:spacing w:val="-13"/>
        </w:rPr>
        <w:t xml:space="preserve"> </w:t>
      </w:r>
      <w:r>
        <w:t>prices</w:t>
      </w:r>
      <w:r>
        <w:rPr>
          <w:spacing w:val="-14"/>
        </w:rPr>
        <w:t xml:space="preserve"> </w:t>
      </w:r>
      <w:r>
        <w:t>at</w:t>
      </w:r>
      <w:r>
        <w:rPr>
          <w:spacing w:val="-13"/>
        </w:rPr>
        <w:t xml:space="preserve"> </w:t>
      </w:r>
      <w:r>
        <w:t xml:space="preserve">which the product in question was sold when destined for consumption in the domestic </w:t>
      </w:r>
      <w:r>
        <w:t>markets of the country of origin. It is a series of bare allegations of "non‐market conditions", supported by</w:t>
      </w:r>
      <w:r>
        <w:rPr>
          <w:spacing w:val="-14"/>
        </w:rPr>
        <w:t xml:space="preserve"> </w:t>
      </w:r>
      <w:r>
        <w:t>summary</w:t>
      </w:r>
      <w:r>
        <w:rPr>
          <w:spacing w:val="-14"/>
        </w:rPr>
        <w:t xml:space="preserve"> </w:t>
      </w:r>
      <w:r>
        <w:t>information</w:t>
      </w:r>
      <w:r>
        <w:rPr>
          <w:spacing w:val="-13"/>
        </w:rPr>
        <w:t xml:space="preserve"> </w:t>
      </w:r>
      <w:r>
        <w:t>about</w:t>
      </w:r>
      <w:r>
        <w:rPr>
          <w:spacing w:val="-14"/>
        </w:rPr>
        <w:t xml:space="preserve"> </w:t>
      </w:r>
      <w:r>
        <w:t>a</w:t>
      </w:r>
      <w:r>
        <w:rPr>
          <w:spacing w:val="-13"/>
        </w:rPr>
        <w:t xml:space="preserve"> </w:t>
      </w:r>
      <w:r>
        <w:t>range</w:t>
      </w:r>
      <w:r>
        <w:rPr>
          <w:spacing w:val="-14"/>
        </w:rPr>
        <w:t xml:space="preserve"> </w:t>
      </w:r>
      <w:r>
        <w:t>of</w:t>
      </w:r>
      <w:r>
        <w:rPr>
          <w:spacing w:val="-13"/>
        </w:rPr>
        <w:t xml:space="preserve"> </w:t>
      </w:r>
      <w:r>
        <w:t>different</w:t>
      </w:r>
      <w:r>
        <w:rPr>
          <w:spacing w:val="-14"/>
        </w:rPr>
        <w:t xml:space="preserve"> </w:t>
      </w:r>
      <w:r>
        <w:t>programs</w:t>
      </w:r>
      <w:r>
        <w:rPr>
          <w:spacing w:val="-14"/>
        </w:rPr>
        <w:t xml:space="preserve"> </w:t>
      </w:r>
      <w:r>
        <w:t>and</w:t>
      </w:r>
      <w:r>
        <w:rPr>
          <w:spacing w:val="-13"/>
        </w:rPr>
        <w:t xml:space="preserve"> </w:t>
      </w:r>
      <w:r>
        <w:t>policies</w:t>
      </w:r>
      <w:r>
        <w:rPr>
          <w:spacing w:val="-14"/>
        </w:rPr>
        <w:t xml:space="preserve"> </w:t>
      </w:r>
      <w:r>
        <w:t>within</w:t>
      </w:r>
      <w:r>
        <w:rPr>
          <w:spacing w:val="-13"/>
        </w:rPr>
        <w:t xml:space="preserve"> </w:t>
      </w:r>
      <w:r>
        <w:t>Australia</w:t>
      </w:r>
      <w:r>
        <w:rPr>
          <w:spacing w:val="-14"/>
        </w:rPr>
        <w:t xml:space="preserve"> </w:t>
      </w:r>
      <w:r>
        <w:t>that purportedly had some connection to providing support to</w:t>
      </w:r>
      <w:r>
        <w:t xml:space="preserve"> the Australian wine industry. The evidence</w:t>
      </w:r>
      <w:r>
        <w:rPr>
          <w:spacing w:val="-8"/>
        </w:rPr>
        <w:t xml:space="preserve"> </w:t>
      </w:r>
      <w:r>
        <w:t>provided</w:t>
      </w:r>
      <w:r>
        <w:rPr>
          <w:spacing w:val="-7"/>
        </w:rPr>
        <w:t xml:space="preserve"> </w:t>
      </w:r>
      <w:r>
        <w:t>is,</w:t>
      </w:r>
      <w:r>
        <w:rPr>
          <w:spacing w:val="-7"/>
        </w:rPr>
        <w:t xml:space="preserve"> </w:t>
      </w:r>
      <w:r>
        <w:t>on</w:t>
      </w:r>
      <w:r>
        <w:rPr>
          <w:spacing w:val="-8"/>
        </w:rPr>
        <w:t xml:space="preserve"> </w:t>
      </w:r>
      <w:r>
        <w:t>its</w:t>
      </w:r>
      <w:r>
        <w:rPr>
          <w:spacing w:val="-8"/>
        </w:rPr>
        <w:t xml:space="preserve"> </w:t>
      </w:r>
      <w:r>
        <w:t>face,</w:t>
      </w:r>
      <w:r>
        <w:rPr>
          <w:spacing w:val="-7"/>
        </w:rPr>
        <w:t xml:space="preserve"> </w:t>
      </w:r>
      <w:r>
        <w:t>entirely</w:t>
      </w:r>
      <w:r>
        <w:rPr>
          <w:spacing w:val="-8"/>
        </w:rPr>
        <w:t xml:space="preserve"> </w:t>
      </w:r>
      <w:r>
        <w:t>inadequate</w:t>
      </w:r>
      <w:r>
        <w:rPr>
          <w:spacing w:val="-6"/>
        </w:rPr>
        <w:t xml:space="preserve"> </w:t>
      </w:r>
      <w:r>
        <w:t>to</w:t>
      </w:r>
      <w:r>
        <w:rPr>
          <w:spacing w:val="-7"/>
        </w:rPr>
        <w:t xml:space="preserve"> </w:t>
      </w:r>
      <w:r>
        <w:t>demonstrate</w:t>
      </w:r>
      <w:r>
        <w:rPr>
          <w:spacing w:val="-6"/>
        </w:rPr>
        <w:t xml:space="preserve"> </w:t>
      </w:r>
      <w:r>
        <w:t>that</w:t>
      </w:r>
      <w:r>
        <w:rPr>
          <w:spacing w:val="-7"/>
        </w:rPr>
        <w:t xml:space="preserve"> </w:t>
      </w:r>
      <w:r>
        <w:t>the</w:t>
      </w:r>
      <w:r>
        <w:rPr>
          <w:spacing w:val="-7"/>
        </w:rPr>
        <w:t xml:space="preserve"> </w:t>
      </w:r>
      <w:r>
        <w:t>Australian</w:t>
      </w:r>
      <w:r>
        <w:rPr>
          <w:spacing w:val="-8"/>
        </w:rPr>
        <w:t xml:space="preserve"> </w:t>
      </w:r>
      <w:r>
        <w:t>wine market was distorted by government intervention to a degree that could establish the existence of a "particular market situation".</w:t>
      </w:r>
    </w:p>
    <w:p w14:paraId="51DE950E" w14:textId="77777777" w:rsidR="0010369C" w:rsidRDefault="008E43AE">
      <w:pPr>
        <w:pStyle w:val="ListParagraph"/>
        <w:numPr>
          <w:ilvl w:val="3"/>
          <w:numId w:val="31"/>
        </w:numPr>
        <w:tabs>
          <w:tab w:val="left" w:pos="4493"/>
          <w:tab w:val="left" w:pos="4494"/>
        </w:tabs>
        <w:spacing w:before="160" w:line="360" w:lineRule="auto"/>
        <w:ind w:right="614"/>
        <w:jc w:val="both"/>
        <w:rPr>
          <w:i/>
          <w:sz w:val="24"/>
        </w:rPr>
      </w:pPr>
      <w:r>
        <w:rPr>
          <w:i/>
          <w:sz w:val="24"/>
        </w:rPr>
        <w:t>Prices of Wines Imported from China to Australia are</w:t>
      </w:r>
      <w:r>
        <w:rPr>
          <w:i/>
          <w:spacing w:val="-14"/>
          <w:sz w:val="24"/>
        </w:rPr>
        <w:t xml:space="preserve"> </w:t>
      </w:r>
      <w:r>
        <w:rPr>
          <w:i/>
          <w:sz w:val="24"/>
        </w:rPr>
        <w:t>not</w:t>
      </w:r>
      <w:r>
        <w:rPr>
          <w:i/>
          <w:spacing w:val="-14"/>
          <w:sz w:val="24"/>
        </w:rPr>
        <w:t xml:space="preserve"> </w:t>
      </w:r>
      <w:r>
        <w:rPr>
          <w:i/>
          <w:sz w:val="24"/>
        </w:rPr>
        <w:t>an</w:t>
      </w:r>
      <w:r>
        <w:rPr>
          <w:i/>
          <w:spacing w:val="-13"/>
          <w:sz w:val="24"/>
        </w:rPr>
        <w:t xml:space="preserve"> </w:t>
      </w:r>
      <w:r>
        <w:rPr>
          <w:i/>
          <w:sz w:val="24"/>
        </w:rPr>
        <w:t>Appropriate</w:t>
      </w:r>
      <w:r>
        <w:rPr>
          <w:i/>
          <w:spacing w:val="-14"/>
          <w:sz w:val="24"/>
        </w:rPr>
        <w:t xml:space="preserve"> </w:t>
      </w:r>
      <w:r>
        <w:rPr>
          <w:i/>
          <w:sz w:val="24"/>
        </w:rPr>
        <w:t>Basis</w:t>
      </w:r>
      <w:r>
        <w:rPr>
          <w:i/>
          <w:spacing w:val="-13"/>
          <w:sz w:val="24"/>
        </w:rPr>
        <w:t xml:space="preserve"> </w:t>
      </w:r>
      <w:r>
        <w:rPr>
          <w:i/>
          <w:sz w:val="24"/>
        </w:rPr>
        <w:t>to</w:t>
      </w:r>
      <w:r>
        <w:rPr>
          <w:i/>
          <w:spacing w:val="-14"/>
          <w:sz w:val="24"/>
        </w:rPr>
        <w:t xml:space="preserve"> </w:t>
      </w:r>
      <w:r>
        <w:rPr>
          <w:i/>
          <w:sz w:val="24"/>
        </w:rPr>
        <w:t>Determine</w:t>
      </w:r>
      <w:r>
        <w:rPr>
          <w:i/>
          <w:spacing w:val="-13"/>
          <w:sz w:val="24"/>
        </w:rPr>
        <w:t xml:space="preserve"> </w:t>
      </w:r>
      <w:r>
        <w:rPr>
          <w:i/>
          <w:sz w:val="24"/>
        </w:rPr>
        <w:t xml:space="preserve">Normal </w:t>
      </w:r>
      <w:r>
        <w:rPr>
          <w:i/>
          <w:spacing w:val="-2"/>
          <w:sz w:val="24"/>
        </w:rPr>
        <w:t>Value</w:t>
      </w:r>
    </w:p>
    <w:p w14:paraId="51DE950F" w14:textId="77777777" w:rsidR="0010369C" w:rsidRDefault="0010369C">
      <w:pPr>
        <w:pStyle w:val="BodyText"/>
        <w:spacing w:before="10"/>
        <w:rPr>
          <w:i/>
          <w:sz w:val="8"/>
        </w:rPr>
      </w:pPr>
    </w:p>
    <w:p w14:paraId="51DE9510" w14:textId="77777777" w:rsidR="0010369C" w:rsidRDefault="008E43AE">
      <w:pPr>
        <w:pStyle w:val="BodyText"/>
        <w:spacing w:before="52" w:line="360" w:lineRule="auto"/>
        <w:ind w:left="237" w:right="613" w:firstLine="852"/>
        <w:jc w:val="both"/>
      </w:pPr>
      <w:r>
        <w:rPr>
          <w:noProof/>
        </w:rPr>
        <w:drawing>
          <wp:anchor distT="0" distB="0" distL="0" distR="0" simplePos="0" relativeHeight="251377152" behindDoc="1" locked="0" layoutInCell="1" allowOverlap="1" wp14:anchorId="51DEA677" wp14:editId="51DEA678">
            <wp:simplePos x="0" y="0"/>
            <wp:positionH relativeFrom="page">
              <wp:posOffset>902208</wp:posOffset>
            </wp:positionH>
            <wp:positionV relativeFrom="paragraph">
              <wp:posOffset>76786</wp:posOffset>
            </wp:positionV>
            <wp:extent cx="262127" cy="106679"/>
            <wp:effectExtent l="0" t="0" r="0" b="0"/>
            <wp:wrapNone/>
            <wp:docPr id="1515" name="image7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 name="image785.png"/>
                    <pic:cNvPicPr/>
                  </pic:nvPicPr>
                  <pic:blipFill>
                    <a:blip r:embed="rId1037" cstate="print"/>
                    <a:stretch>
                      <a:fillRect/>
                    </a:stretch>
                  </pic:blipFill>
                  <pic:spPr>
                    <a:xfrm>
                      <a:off x="0" y="0"/>
                      <a:ext cx="262127" cy="106679"/>
                    </a:xfrm>
                    <a:prstGeom prst="rect">
                      <a:avLst/>
                    </a:prstGeom>
                  </pic:spPr>
                </pic:pic>
              </a:graphicData>
            </a:graphic>
          </wp:anchor>
        </w:drawing>
      </w:r>
      <w:r>
        <w:t>Even if MOFCOM</w:t>
      </w:r>
      <w:r>
        <w:t>, acting as an unbiased and objective investigating authority, was prepared to accept that there was a sufficiently plausible allegation of a particular market situation to warrant reliance on an alternative basis for determining normal value, prices of wi</w:t>
      </w:r>
      <w:r>
        <w:t>nes imported into Australia from China were not an appropriate alternative basis for determining normal value.</w:t>
      </w:r>
    </w:p>
    <w:p w14:paraId="51DE9511" w14:textId="77777777" w:rsidR="0010369C" w:rsidRDefault="0010369C">
      <w:pPr>
        <w:pStyle w:val="BodyText"/>
        <w:spacing w:before="10"/>
        <w:rPr>
          <w:sz w:val="8"/>
        </w:rPr>
      </w:pPr>
    </w:p>
    <w:p w14:paraId="51DE9512" w14:textId="77777777" w:rsidR="0010369C" w:rsidRDefault="008E43AE">
      <w:pPr>
        <w:pStyle w:val="BodyText"/>
        <w:spacing w:before="52" w:line="360" w:lineRule="auto"/>
        <w:ind w:left="237" w:right="614" w:firstLine="851"/>
        <w:jc w:val="both"/>
      </w:pPr>
      <w:r>
        <w:rPr>
          <w:noProof/>
        </w:rPr>
        <w:drawing>
          <wp:anchor distT="0" distB="0" distL="0" distR="0" simplePos="0" relativeHeight="251378176" behindDoc="1" locked="0" layoutInCell="1" allowOverlap="1" wp14:anchorId="51DEA679" wp14:editId="51DEA67A">
            <wp:simplePos x="0" y="0"/>
            <wp:positionH relativeFrom="page">
              <wp:posOffset>902208</wp:posOffset>
            </wp:positionH>
            <wp:positionV relativeFrom="paragraph">
              <wp:posOffset>76785</wp:posOffset>
            </wp:positionV>
            <wp:extent cx="262127" cy="106679"/>
            <wp:effectExtent l="0" t="0" r="0" b="0"/>
            <wp:wrapNone/>
            <wp:docPr id="1517" name="image7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 name="image786.png"/>
                    <pic:cNvPicPr/>
                  </pic:nvPicPr>
                  <pic:blipFill>
                    <a:blip r:embed="rId1038" cstate="print"/>
                    <a:stretch>
                      <a:fillRect/>
                    </a:stretch>
                  </pic:blipFill>
                  <pic:spPr>
                    <a:xfrm>
                      <a:off x="0" y="0"/>
                      <a:ext cx="262127" cy="106679"/>
                    </a:xfrm>
                    <a:prstGeom prst="rect">
                      <a:avLst/>
                    </a:prstGeom>
                  </pic:spPr>
                </pic:pic>
              </a:graphicData>
            </a:graphic>
          </wp:anchor>
        </w:drawing>
      </w:r>
      <w:r>
        <w:t>Where the evidence on normal value before the investigating authority at the time of initiation does not pertain to a producer or exporter, per</w:t>
      </w:r>
      <w:r>
        <w:t>tains to a different level of trade, and</w:t>
      </w:r>
      <w:r>
        <w:rPr>
          <w:spacing w:val="-14"/>
        </w:rPr>
        <w:t xml:space="preserve"> </w:t>
      </w:r>
      <w:r>
        <w:t>may</w:t>
      </w:r>
      <w:r>
        <w:rPr>
          <w:spacing w:val="-13"/>
        </w:rPr>
        <w:t xml:space="preserve"> </w:t>
      </w:r>
      <w:r>
        <w:t>not</w:t>
      </w:r>
      <w:r>
        <w:rPr>
          <w:spacing w:val="-14"/>
        </w:rPr>
        <w:t xml:space="preserve"> </w:t>
      </w:r>
      <w:r>
        <w:t>reflect</w:t>
      </w:r>
      <w:r>
        <w:rPr>
          <w:spacing w:val="-13"/>
        </w:rPr>
        <w:t xml:space="preserve"> </w:t>
      </w:r>
      <w:r>
        <w:t>the</w:t>
      </w:r>
      <w:r>
        <w:rPr>
          <w:spacing w:val="-13"/>
        </w:rPr>
        <w:t xml:space="preserve"> </w:t>
      </w:r>
      <w:r>
        <w:t>products</w:t>
      </w:r>
      <w:r>
        <w:rPr>
          <w:spacing w:val="-13"/>
        </w:rPr>
        <w:t xml:space="preserve"> </w:t>
      </w:r>
      <w:r>
        <w:t>produced</w:t>
      </w:r>
      <w:r>
        <w:rPr>
          <w:spacing w:val="-13"/>
        </w:rPr>
        <w:t xml:space="preserve"> </w:t>
      </w:r>
      <w:r>
        <w:t>in</w:t>
      </w:r>
      <w:r>
        <w:rPr>
          <w:spacing w:val="-14"/>
        </w:rPr>
        <w:t xml:space="preserve"> </w:t>
      </w:r>
      <w:r>
        <w:t>the</w:t>
      </w:r>
      <w:r>
        <w:rPr>
          <w:spacing w:val="-12"/>
        </w:rPr>
        <w:t xml:space="preserve"> </w:t>
      </w:r>
      <w:r>
        <w:t>relevant</w:t>
      </w:r>
      <w:r>
        <w:rPr>
          <w:spacing w:val="-14"/>
        </w:rPr>
        <w:t xml:space="preserve"> </w:t>
      </w:r>
      <w:r>
        <w:t>exporting</w:t>
      </w:r>
      <w:r>
        <w:rPr>
          <w:spacing w:val="-13"/>
        </w:rPr>
        <w:t xml:space="preserve"> </w:t>
      </w:r>
      <w:r>
        <w:t>country,</w:t>
      </w:r>
      <w:r>
        <w:rPr>
          <w:spacing w:val="-14"/>
        </w:rPr>
        <w:t xml:space="preserve"> </w:t>
      </w:r>
      <w:r>
        <w:t>the</w:t>
      </w:r>
      <w:r>
        <w:rPr>
          <w:spacing w:val="-13"/>
        </w:rPr>
        <w:t xml:space="preserve"> </w:t>
      </w:r>
      <w:r>
        <w:t>investigating authority must make its best endeavours to verify that the evidence reflects the prevailing home market pricing at the level</w:t>
      </w:r>
      <w:r>
        <w:t xml:space="preserve"> of producers and/or exporters.</w:t>
      </w:r>
      <w:r>
        <w:rPr>
          <w:vertAlign w:val="superscript"/>
        </w:rPr>
        <w:t>927</w:t>
      </w:r>
      <w:r>
        <w:t xml:space="preserve"> MOFCOM failed to do so.</w:t>
      </w:r>
    </w:p>
    <w:p w14:paraId="51DE9513" w14:textId="77777777" w:rsidR="0010369C" w:rsidRDefault="008E43AE">
      <w:pPr>
        <w:pStyle w:val="BodyText"/>
        <w:spacing w:before="5"/>
        <w:rPr>
          <w:sz w:val="25"/>
        </w:rPr>
      </w:pPr>
      <w:r>
        <w:pict w14:anchorId="51DEA67B">
          <v:rect id="docshape1253" o:spid="_x0000_s1174" style="position:absolute;margin-left:70.9pt;margin-top:16.7pt;width:2in;height:.8pt;z-index:-250753536;mso-wrap-distance-left:0;mso-wrap-distance-right:0;mso-position-horizontal-relative:page" fillcolor="black" stroked="f">
            <w10:wrap type="topAndBottom" anchorx="page"/>
          </v:rect>
        </w:pict>
      </w:r>
    </w:p>
    <w:p w14:paraId="51DE9514" w14:textId="77777777" w:rsidR="0010369C" w:rsidRDefault="008E43AE">
      <w:pPr>
        <w:spacing w:before="109"/>
        <w:ind w:left="238"/>
        <w:rPr>
          <w:sz w:val="18"/>
        </w:rPr>
      </w:pPr>
      <w:r>
        <w:rPr>
          <w:sz w:val="18"/>
          <w:vertAlign w:val="superscript"/>
        </w:rPr>
        <w:t>926</w:t>
      </w:r>
      <w:r>
        <w:rPr>
          <w:spacing w:val="-7"/>
          <w:sz w:val="18"/>
        </w:rPr>
        <w:t xml:space="preserve"> </w:t>
      </w:r>
      <w:r>
        <w:rPr>
          <w:sz w:val="18"/>
        </w:rPr>
        <w:t>Article</w:t>
      </w:r>
      <w:r>
        <w:rPr>
          <w:spacing w:val="-6"/>
          <w:sz w:val="18"/>
        </w:rPr>
        <w:t xml:space="preserve"> </w:t>
      </w:r>
      <w:r>
        <w:rPr>
          <w:sz w:val="18"/>
        </w:rPr>
        <w:t>5.2(iii)</w:t>
      </w:r>
      <w:r>
        <w:rPr>
          <w:spacing w:val="-6"/>
          <w:sz w:val="18"/>
        </w:rPr>
        <w:t xml:space="preserve"> </w:t>
      </w:r>
      <w:r>
        <w:rPr>
          <w:sz w:val="18"/>
        </w:rPr>
        <w:t>and</w:t>
      </w:r>
      <w:r>
        <w:rPr>
          <w:spacing w:val="-6"/>
          <w:sz w:val="18"/>
        </w:rPr>
        <w:t xml:space="preserve"> </w:t>
      </w:r>
      <w:r>
        <w:rPr>
          <w:sz w:val="18"/>
        </w:rPr>
        <w:t>Article</w:t>
      </w:r>
      <w:r>
        <w:rPr>
          <w:spacing w:val="-6"/>
          <w:sz w:val="18"/>
        </w:rPr>
        <w:t xml:space="preserve"> </w:t>
      </w:r>
      <w:r>
        <w:rPr>
          <w:sz w:val="18"/>
        </w:rPr>
        <w:t>2.2</w:t>
      </w:r>
      <w:r>
        <w:rPr>
          <w:spacing w:val="-6"/>
          <w:sz w:val="18"/>
        </w:rPr>
        <w:t xml:space="preserve"> </w:t>
      </w:r>
      <w:r>
        <w:rPr>
          <w:sz w:val="18"/>
        </w:rPr>
        <w:t>of</w:t>
      </w:r>
      <w:r>
        <w:rPr>
          <w:spacing w:val="-6"/>
          <w:sz w:val="18"/>
        </w:rPr>
        <w:t xml:space="preserve"> </w:t>
      </w:r>
      <w:r>
        <w:rPr>
          <w:sz w:val="18"/>
        </w:rPr>
        <w:t>the</w:t>
      </w:r>
      <w:r>
        <w:rPr>
          <w:spacing w:val="-6"/>
          <w:sz w:val="18"/>
        </w:rPr>
        <w:t xml:space="preserve"> </w:t>
      </w:r>
      <w:r>
        <w:rPr>
          <w:sz w:val="18"/>
        </w:rPr>
        <w:t>Anti‐Dumping</w:t>
      </w:r>
      <w:r>
        <w:rPr>
          <w:spacing w:val="-7"/>
          <w:sz w:val="18"/>
        </w:rPr>
        <w:t xml:space="preserve"> </w:t>
      </w:r>
      <w:r>
        <w:rPr>
          <w:spacing w:val="-2"/>
          <w:sz w:val="18"/>
        </w:rPr>
        <w:t>Agreement.</w:t>
      </w:r>
    </w:p>
    <w:p w14:paraId="51DE9515" w14:textId="77777777" w:rsidR="0010369C" w:rsidRDefault="008E43AE">
      <w:pPr>
        <w:ind w:left="238"/>
        <w:rPr>
          <w:sz w:val="18"/>
        </w:rPr>
      </w:pPr>
      <w:r>
        <w:rPr>
          <w:sz w:val="18"/>
          <w:vertAlign w:val="superscript"/>
        </w:rPr>
        <w:t>927</w:t>
      </w:r>
      <w:r>
        <w:rPr>
          <w:spacing w:val="-5"/>
          <w:sz w:val="18"/>
        </w:rPr>
        <w:t xml:space="preserve"> </w:t>
      </w:r>
      <w:r>
        <w:rPr>
          <w:sz w:val="18"/>
        </w:rPr>
        <w:t>Panel</w:t>
      </w:r>
      <w:r>
        <w:rPr>
          <w:spacing w:val="-6"/>
          <w:sz w:val="18"/>
        </w:rPr>
        <w:t xml:space="preserve"> </w:t>
      </w:r>
      <w:r>
        <w:rPr>
          <w:sz w:val="18"/>
        </w:rPr>
        <w:t>Report,</w:t>
      </w:r>
      <w:r>
        <w:rPr>
          <w:spacing w:val="-5"/>
          <w:sz w:val="18"/>
        </w:rPr>
        <w:t xml:space="preserve"> </w:t>
      </w:r>
      <w:r>
        <w:rPr>
          <w:i/>
          <w:sz w:val="18"/>
        </w:rPr>
        <w:t>Mexico</w:t>
      </w:r>
      <w:r>
        <w:rPr>
          <w:i/>
          <w:spacing w:val="-5"/>
          <w:sz w:val="18"/>
        </w:rPr>
        <w:t xml:space="preserve"> </w:t>
      </w:r>
      <w:r>
        <w:rPr>
          <w:i/>
          <w:sz w:val="18"/>
        </w:rPr>
        <w:t>–</w:t>
      </w:r>
      <w:r>
        <w:rPr>
          <w:i/>
          <w:spacing w:val="-5"/>
          <w:sz w:val="18"/>
        </w:rPr>
        <w:t xml:space="preserve"> </w:t>
      </w:r>
      <w:r>
        <w:rPr>
          <w:i/>
          <w:sz w:val="18"/>
        </w:rPr>
        <w:t>Steel</w:t>
      </w:r>
      <w:r>
        <w:rPr>
          <w:i/>
          <w:spacing w:val="-6"/>
          <w:sz w:val="18"/>
        </w:rPr>
        <w:t xml:space="preserve"> </w:t>
      </w:r>
      <w:r>
        <w:rPr>
          <w:i/>
          <w:sz w:val="18"/>
        </w:rPr>
        <w:t>Pipes</w:t>
      </w:r>
      <w:r>
        <w:rPr>
          <w:i/>
          <w:spacing w:val="-6"/>
          <w:sz w:val="18"/>
        </w:rPr>
        <w:t xml:space="preserve"> </w:t>
      </w:r>
      <w:r>
        <w:rPr>
          <w:i/>
          <w:sz w:val="18"/>
        </w:rPr>
        <w:t>and</w:t>
      </w:r>
      <w:r>
        <w:rPr>
          <w:i/>
          <w:spacing w:val="-5"/>
          <w:sz w:val="18"/>
        </w:rPr>
        <w:t xml:space="preserve"> </w:t>
      </w:r>
      <w:r>
        <w:rPr>
          <w:i/>
          <w:sz w:val="18"/>
        </w:rPr>
        <w:t>Tubes</w:t>
      </w:r>
      <w:r>
        <w:rPr>
          <w:sz w:val="18"/>
        </w:rPr>
        <w:t>,</w:t>
      </w:r>
      <w:r>
        <w:rPr>
          <w:spacing w:val="-6"/>
          <w:sz w:val="18"/>
        </w:rPr>
        <w:t xml:space="preserve"> </w:t>
      </w:r>
      <w:r>
        <w:rPr>
          <w:sz w:val="18"/>
        </w:rPr>
        <w:t>paras.</w:t>
      </w:r>
      <w:r>
        <w:rPr>
          <w:spacing w:val="-5"/>
          <w:sz w:val="18"/>
        </w:rPr>
        <w:t xml:space="preserve"> </w:t>
      </w:r>
      <w:r>
        <w:rPr>
          <w:sz w:val="18"/>
        </w:rPr>
        <w:t>7.35,</w:t>
      </w:r>
      <w:r>
        <w:rPr>
          <w:spacing w:val="-6"/>
          <w:sz w:val="18"/>
        </w:rPr>
        <w:t xml:space="preserve"> </w:t>
      </w:r>
      <w:hyperlink r:id="rId1039">
        <w:r>
          <w:rPr>
            <w:spacing w:val="-2"/>
            <w:sz w:val="18"/>
          </w:rPr>
          <w:t>7.37‐7.39</w:t>
        </w:r>
      </w:hyperlink>
      <w:r>
        <w:rPr>
          <w:spacing w:val="-2"/>
          <w:sz w:val="18"/>
        </w:rPr>
        <w:t>.</w:t>
      </w:r>
    </w:p>
    <w:p w14:paraId="51DE9516" w14:textId="77777777" w:rsidR="0010369C" w:rsidRDefault="0010369C">
      <w:pPr>
        <w:rPr>
          <w:sz w:val="18"/>
        </w:rPr>
        <w:sectPr w:rsidR="0010369C">
          <w:pgSz w:w="11910" w:h="16840"/>
          <w:pgMar w:top="880" w:right="800" w:bottom="980" w:left="1180" w:header="569" w:footer="788" w:gutter="0"/>
          <w:cols w:space="720"/>
        </w:sectPr>
      </w:pPr>
    </w:p>
    <w:p w14:paraId="51DE9517" w14:textId="77777777" w:rsidR="0010369C" w:rsidRDefault="008E43AE">
      <w:pPr>
        <w:tabs>
          <w:tab w:val="left" w:pos="6426"/>
        </w:tabs>
        <w:ind w:left="238"/>
        <w:rPr>
          <w:sz w:val="20"/>
        </w:rPr>
      </w:pPr>
      <w:r>
        <w:rPr>
          <w:i/>
          <w:sz w:val="20"/>
        </w:rPr>
        <w:lastRenderedPageBreak/>
        <w:t>China</w:t>
      </w:r>
      <w:r>
        <w:rPr>
          <w:i/>
          <w:spacing w:val="-5"/>
          <w:sz w:val="20"/>
        </w:rPr>
        <w:t xml:space="preserve"> </w:t>
      </w:r>
      <w:r>
        <w:rPr>
          <w:i/>
          <w:sz w:val="20"/>
        </w:rPr>
        <w:t>–</w:t>
      </w:r>
      <w:r>
        <w:rPr>
          <w:i/>
          <w:spacing w:val="-5"/>
          <w:sz w:val="20"/>
        </w:rPr>
        <w:t xml:space="preserve"> </w:t>
      </w:r>
      <w:r>
        <w:rPr>
          <w:i/>
          <w:sz w:val="20"/>
        </w:rPr>
        <w:t>Anti‐Dumping</w:t>
      </w:r>
      <w:r>
        <w:rPr>
          <w:i/>
          <w:spacing w:val="-4"/>
          <w:sz w:val="20"/>
        </w:rPr>
        <w:t xml:space="preserve"> </w:t>
      </w:r>
      <w:r>
        <w:rPr>
          <w:i/>
          <w:sz w:val="20"/>
        </w:rPr>
        <w:t>and</w:t>
      </w:r>
      <w:r>
        <w:rPr>
          <w:i/>
          <w:spacing w:val="-5"/>
          <w:sz w:val="20"/>
        </w:rPr>
        <w:t xml:space="preserve"> </w:t>
      </w:r>
      <w:r>
        <w:rPr>
          <w:i/>
          <w:sz w:val="20"/>
        </w:rPr>
        <w:t>Countervailing</w:t>
      </w:r>
      <w:r>
        <w:rPr>
          <w:i/>
          <w:spacing w:val="-5"/>
          <w:sz w:val="20"/>
        </w:rPr>
        <w:t xml:space="preserve"> </w:t>
      </w:r>
      <w:r>
        <w:rPr>
          <w:i/>
          <w:sz w:val="20"/>
        </w:rPr>
        <w:t>Duty</w:t>
      </w:r>
      <w:r>
        <w:rPr>
          <w:i/>
          <w:spacing w:val="-4"/>
          <w:sz w:val="20"/>
        </w:rPr>
        <w:t xml:space="preserve"> </w:t>
      </w:r>
      <w:r>
        <w:rPr>
          <w:i/>
          <w:spacing w:val="-2"/>
          <w:sz w:val="20"/>
        </w:rPr>
        <w:t>Measures</w:t>
      </w:r>
      <w:r>
        <w:rPr>
          <w:i/>
          <w:sz w:val="20"/>
        </w:rPr>
        <w:tab/>
      </w:r>
      <w:r>
        <w:rPr>
          <w:sz w:val="20"/>
        </w:rPr>
        <w:t>Australia's</w:t>
      </w:r>
      <w:r>
        <w:rPr>
          <w:spacing w:val="-7"/>
          <w:sz w:val="20"/>
        </w:rPr>
        <w:t xml:space="preserve"> </w:t>
      </w:r>
      <w:r>
        <w:rPr>
          <w:sz w:val="20"/>
        </w:rPr>
        <w:t>First</w:t>
      </w:r>
      <w:r>
        <w:rPr>
          <w:spacing w:val="-2"/>
          <w:sz w:val="20"/>
        </w:rPr>
        <w:t xml:space="preserve"> </w:t>
      </w:r>
      <w:r>
        <w:rPr>
          <w:sz w:val="20"/>
        </w:rPr>
        <w:t>Written</w:t>
      </w:r>
      <w:r>
        <w:rPr>
          <w:spacing w:val="-2"/>
          <w:sz w:val="20"/>
        </w:rPr>
        <w:t xml:space="preserve"> Submission</w:t>
      </w:r>
    </w:p>
    <w:p w14:paraId="51DE9518" w14:textId="77777777" w:rsidR="0010369C" w:rsidRDefault="008E43AE">
      <w:pPr>
        <w:tabs>
          <w:tab w:val="left" w:pos="8228"/>
        </w:tabs>
        <w:spacing w:before="1"/>
        <w:ind w:left="239"/>
        <w:rPr>
          <w:sz w:val="20"/>
        </w:rPr>
      </w:pPr>
      <w:r>
        <w:rPr>
          <w:i/>
          <w:sz w:val="20"/>
        </w:rPr>
        <w:t>on</w:t>
      </w:r>
      <w:r>
        <w:rPr>
          <w:i/>
          <w:spacing w:val="-1"/>
          <w:sz w:val="20"/>
        </w:rPr>
        <w:t xml:space="preserve"> </w:t>
      </w:r>
      <w:r>
        <w:rPr>
          <w:i/>
          <w:sz w:val="20"/>
        </w:rPr>
        <w:t>Wine</w:t>
      </w:r>
      <w:r>
        <w:rPr>
          <w:i/>
          <w:spacing w:val="-1"/>
          <w:sz w:val="20"/>
        </w:rPr>
        <w:t xml:space="preserve"> </w:t>
      </w:r>
      <w:r>
        <w:rPr>
          <w:i/>
          <w:sz w:val="20"/>
        </w:rPr>
        <w:t>from</w:t>
      </w:r>
      <w:r>
        <w:rPr>
          <w:i/>
          <w:spacing w:val="-3"/>
          <w:sz w:val="20"/>
        </w:rPr>
        <w:t xml:space="preserve"> </w:t>
      </w:r>
      <w:r>
        <w:rPr>
          <w:i/>
          <w:sz w:val="20"/>
        </w:rPr>
        <w:t>Australia</w:t>
      </w:r>
      <w:r>
        <w:rPr>
          <w:i/>
          <w:spacing w:val="-1"/>
          <w:sz w:val="20"/>
        </w:rPr>
        <w:t xml:space="preserve"> </w:t>
      </w:r>
      <w:r>
        <w:rPr>
          <w:spacing w:val="-2"/>
          <w:sz w:val="20"/>
        </w:rPr>
        <w:t>(DS602)</w:t>
      </w:r>
      <w:r>
        <w:rPr>
          <w:sz w:val="20"/>
        </w:rPr>
        <w:tab/>
        <w:t>29</w:t>
      </w:r>
      <w:r>
        <w:rPr>
          <w:spacing w:val="-1"/>
          <w:sz w:val="20"/>
        </w:rPr>
        <w:t xml:space="preserve"> </w:t>
      </w:r>
      <w:r>
        <w:rPr>
          <w:sz w:val="20"/>
        </w:rPr>
        <w:t>April</w:t>
      </w:r>
      <w:r>
        <w:rPr>
          <w:spacing w:val="-2"/>
          <w:sz w:val="20"/>
        </w:rPr>
        <w:t xml:space="preserve"> </w:t>
      </w:r>
      <w:r>
        <w:rPr>
          <w:spacing w:val="-4"/>
          <w:sz w:val="20"/>
        </w:rPr>
        <w:t>2022</w:t>
      </w:r>
    </w:p>
    <w:p w14:paraId="51DE9519" w14:textId="77777777" w:rsidR="0010369C" w:rsidRDefault="008E43AE">
      <w:pPr>
        <w:pStyle w:val="BodyText"/>
        <w:spacing w:before="34" w:line="360" w:lineRule="auto"/>
        <w:ind w:left="237" w:right="614" w:firstLine="851"/>
        <w:jc w:val="both"/>
      </w:pPr>
      <w:r>
        <w:rPr>
          <w:noProof/>
        </w:rPr>
        <w:drawing>
          <wp:anchor distT="0" distB="0" distL="0" distR="0" simplePos="0" relativeHeight="251379200" behindDoc="1" locked="0" layoutInCell="1" allowOverlap="1" wp14:anchorId="51DEA67C" wp14:editId="51DEA67D">
            <wp:simplePos x="0" y="0"/>
            <wp:positionH relativeFrom="page">
              <wp:posOffset>902208</wp:posOffset>
            </wp:positionH>
            <wp:positionV relativeFrom="paragraph">
              <wp:posOffset>69165</wp:posOffset>
            </wp:positionV>
            <wp:extent cx="262127" cy="103631"/>
            <wp:effectExtent l="0" t="0" r="0" b="0"/>
            <wp:wrapNone/>
            <wp:docPr id="1519" name="image7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 name="image787.png"/>
                    <pic:cNvPicPr/>
                  </pic:nvPicPr>
                  <pic:blipFill>
                    <a:blip r:embed="rId1040" cstate="print"/>
                    <a:stretch>
                      <a:fillRect/>
                    </a:stretch>
                  </pic:blipFill>
                  <pic:spPr>
                    <a:xfrm>
                      <a:off x="0" y="0"/>
                      <a:ext cx="262127" cy="103631"/>
                    </a:xfrm>
                    <a:prstGeom prst="rect">
                      <a:avLst/>
                    </a:prstGeom>
                  </pic:spPr>
                </pic:pic>
              </a:graphicData>
            </a:graphic>
          </wp:anchor>
        </w:drawing>
      </w:r>
      <w:r>
        <w:t>First, the price of Chinese wine imported for sale an Australia is not an accurate or appropriate basis for an alternative determination of normal value. Such an approach is not contemplated in Articles 2.2 or 5.2(iii).</w:t>
      </w:r>
      <w:r>
        <w:rPr>
          <w:vertAlign w:val="superscript"/>
        </w:rPr>
        <w:t>928</w:t>
      </w:r>
      <w:r>
        <w:t xml:space="preserve"> As in Article 2.2, Article 5.2(ii</w:t>
      </w:r>
      <w:r>
        <w:t>i) provides for three different</w:t>
      </w:r>
      <w:r>
        <w:rPr>
          <w:spacing w:val="-4"/>
        </w:rPr>
        <w:t xml:space="preserve"> </w:t>
      </w:r>
      <w:r>
        <w:t>sources</w:t>
      </w:r>
      <w:r>
        <w:rPr>
          <w:spacing w:val="-5"/>
        </w:rPr>
        <w:t xml:space="preserve"> </w:t>
      </w:r>
      <w:r>
        <w:t>of</w:t>
      </w:r>
      <w:r>
        <w:rPr>
          <w:spacing w:val="-5"/>
        </w:rPr>
        <w:t xml:space="preserve"> </w:t>
      </w:r>
      <w:r>
        <w:t>information</w:t>
      </w:r>
      <w:r>
        <w:rPr>
          <w:spacing w:val="-6"/>
        </w:rPr>
        <w:t xml:space="preserve"> </w:t>
      </w:r>
      <w:r>
        <w:t>that</w:t>
      </w:r>
      <w:r>
        <w:rPr>
          <w:spacing w:val="-5"/>
        </w:rPr>
        <w:t xml:space="preserve"> </w:t>
      </w:r>
      <w:r>
        <w:t>can</w:t>
      </w:r>
      <w:r>
        <w:rPr>
          <w:spacing w:val="-5"/>
        </w:rPr>
        <w:t xml:space="preserve"> </w:t>
      </w:r>
      <w:r>
        <w:t>be</w:t>
      </w:r>
      <w:r>
        <w:rPr>
          <w:spacing w:val="-5"/>
        </w:rPr>
        <w:t xml:space="preserve"> </w:t>
      </w:r>
      <w:r>
        <w:t>used</w:t>
      </w:r>
      <w:r>
        <w:rPr>
          <w:spacing w:val="-5"/>
        </w:rPr>
        <w:t xml:space="preserve"> </w:t>
      </w:r>
      <w:r>
        <w:t>at</w:t>
      </w:r>
      <w:r>
        <w:rPr>
          <w:spacing w:val="-5"/>
        </w:rPr>
        <w:t xml:space="preserve"> </w:t>
      </w:r>
      <w:r>
        <w:t>the</w:t>
      </w:r>
      <w:r>
        <w:rPr>
          <w:spacing w:val="-4"/>
        </w:rPr>
        <w:t xml:space="preserve"> </w:t>
      </w:r>
      <w:r>
        <w:t>initiation</w:t>
      </w:r>
      <w:r>
        <w:rPr>
          <w:spacing w:val="-5"/>
        </w:rPr>
        <w:t xml:space="preserve"> </w:t>
      </w:r>
      <w:r>
        <w:t>stage</w:t>
      </w:r>
      <w:r>
        <w:rPr>
          <w:spacing w:val="-4"/>
        </w:rPr>
        <w:t xml:space="preserve"> </w:t>
      </w:r>
      <w:r>
        <w:t>to</w:t>
      </w:r>
      <w:r>
        <w:rPr>
          <w:spacing w:val="-5"/>
        </w:rPr>
        <w:t xml:space="preserve"> </w:t>
      </w:r>
      <w:r>
        <w:t>evidence</w:t>
      </w:r>
      <w:r>
        <w:rPr>
          <w:spacing w:val="-6"/>
        </w:rPr>
        <w:t xml:space="preserve"> </w:t>
      </w:r>
      <w:r>
        <w:t>dumping:</w:t>
      </w:r>
    </w:p>
    <w:p w14:paraId="51DE951A" w14:textId="77777777" w:rsidR="0010369C" w:rsidRDefault="008E43AE">
      <w:pPr>
        <w:pStyle w:val="ListParagraph"/>
        <w:numPr>
          <w:ilvl w:val="0"/>
          <w:numId w:val="30"/>
        </w:numPr>
        <w:tabs>
          <w:tab w:val="left" w:pos="564"/>
        </w:tabs>
        <w:spacing w:before="0" w:line="360" w:lineRule="auto"/>
        <w:ind w:right="613" w:firstLine="0"/>
        <w:jc w:val="both"/>
        <w:rPr>
          <w:sz w:val="24"/>
        </w:rPr>
      </w:pPr>
      <w:r>
        <w:rPr>
          <w:sz w:val="24"/>
        </w:rPr>
        <w:t>information on prices at which the product in question is sold when destined for consumption in the domestic markets of the country or coun</w:t>
      </w:r>
      <w:r>
        <w:rPr>
          <w:sz w:val="24"/>
        </w:rPr>
        <w:t>tries of origin or export, (ii) information on</w:t>
      </w:r>
      <w:r>
        <w:rPr>
          <w:spacing w:val="-1"/>
          <w:sz w:val="24"/>
        </w:rPr>
        <w:t xml:space="preserve"> </w:t>
      </w:r>
      <w:r>
        <w:rPr>
          <w:sz w:val="24"/>
        </w:rPr>
        <w:t>the prices at</w:t>
      </w:r>
      <w:r>
        <w:rPr>
          <w:spacing w:val="-1"/>
          <w:sz w:val="24"/>
        </w:rPr>
        <w:t xml:space="preserve"> </w:t>
      </w:r>
      <w:r>
        <w:rPr>
          <w:sz w:val="24"/>
        </w:rPr>
        <w:t>which</w:t>
      </w:r>
      <w:r>
        <w:rPr>
          <w:spacing w:val="-1"/>
          <w:sz w:val="24"/>
        </w:rPr>
        <w:t xml:space="preserve"> </w:t>
      </w:r>
      <w:r>
        <w:rPr>
          <w:sz w:val="24"/>
        </w:rPr>
        <w:t>the product is</w:t>
      </w:r>
      <w:r>
        <w:rPr>
          <w:spacing w:val="-1"/>
          <w:sz w:val="24"/>
        </w:rPr>
        <w:t xml:space="preserve"> </w:t>
      </w:r>
      <w:r>
        <w:rPr>
          <w:sz w:val="24"/>
        </w:rPr>
        <w:t>sold from the country</w:t>
      </w:r>
      <w:r>
        <w:rPr>
          <w:spacing w:val="-1"/>
          <w:sz w:val="24"/>
        </w:rPr>
        <w:t xml:space="preserve"> </w:t>
      </w:r>
      <w:r>
        <w:rPr>
          <w:sz w:val="24"/>
        </w:rPr>
        <w:t>or countries</w:t>
      </w:r>
      <w:r>
        <w:rPr>
          <w:spacing w:val="-3"/>
          <w:sz w:val="24"/>
        </w:rPr>
        <w:t xml:space="preserve"> </w:t>
      </w:r>
      <w:r>
        <w:rPr>
          <w:sz w:val="24"/>
        </w:rPr>
        <w:t>of</w:t>
      </w:r>
      <w:r>
        <w:rPr>
          <w:spacing w:val="-1"/>
          <w:sz w:val="24"/>
        </w:rPr>
        <w:t xml:space="preserve"> </w:t>
      </w:r>
      <w:r>
        <w:rPr>
          <w:sz w:val="24"/>
        </w:rPr>
        <w:t>origin or</w:t>
      </w:r>
      <w:r>
        <w:rPr>
          <w:spacing w:val="-5"/>
          <w:sz w:val="24"/>
        </w:rPr>
        <w:t xml:space="preserve"> </w:t>
      </w:r>
      <w:r>
        <w:rPr>
          <w:sz w:val="24"/>
        </w:rPr>
        <w:t>export</w:t>
      </w:r>
      <w:r>
        <w:rPr>
          <w:spacing w:val="-6"/>
          <w:sz w:val="24"/>
        </w:rPr>
        <w:t xml:space="preserve"> </w:t>
      </w:r>
      <w:r>
        <w:rPr>
          <w:sz w:val="24"/>
        </w:rPr>
        <w:t>to</w:t>
      </w:r>
      <w:r>
        <w:rPr>
          <w:spacing w:val="-5"/>
          <w:sz w:val="24"/>
        </w:rPr>
        <w:t xml:space="preserve"> </w:t>
      </w:r>
      <w:r>
        <w:rPr>
          <w:sz w:val="24"/>
        </w:rPr>
        <w:t>a</w:t>
      </w:r>
      <w:r>
        <w:rPr>
          <w:spacing w:val="-5"/>
          <w:sz w:val="24"/>
        </w:rPr>
        <w:t xml:space="preserve"> </w:t>
      </w:r>
      <w:r>
        <w:rPr>
          <w:sz w:val="24"/>
        </w:rPr>
        <w:t>third</w:t>
      </w:r>
      <w:r>
        <w:rPr>
          <w:spacing w:val="-5"/>
          <w:sz w:val="24"/>
        </w:rPr>
        <w:t xml:space="preserve"> </w:t>
      </w:r>
      <w:r>
        <w:rPr>
          <w:sz w:val="24"/>
        </w:rPr>
        <w:t>country</w:t>
      </w:r>
      <w:r>
        <w:rPr>
          <w:spacing w:val="-5"/>
          <w:sz w:val="24"/>
        </w:rPr>
        <w:t xml:space="preserve"> </w:t>
      </w:r>
      <w:r>
        <w:rPr>
          <w:sz w:val="24"/>
        </w:rPr>
        <w:t>or</w:t>
      </w:r>
      <w:r>
        <w:rPr>
          <w:spacing w:val="-5"/>
          <w:sz w:val="24"/>
        </w:rPr>
        <w:t xml:space="preserve"> </w:t>
      </w:r>
      <w:r>
        <w:rPr>
          <w:sz w:val="24"/>
        </w:rPr>
        <w:t>countries,</w:t>
      </w:r>
      <w:r>
        <w:rPr>
          <w:spacing w:val="-5"/>
          <w:sz w:val="24"/>
        </w:rPr>
        <w:t xml:space="preserve"> </w:t>
      </w:r>
      <w:r>
        <w:rPr>
          <w:sz w:val="24"/>
        </w:rPr>
        <w:t>or</w:t>
      </w:r>
      <w:r>
        <w:rPr>
          <w:spacing w:val="-5"/>
          <w:sz w:val="24"/>
        </w:rPr>
        <w:t xml:space="preserve"> </w:t>
      </w:r>
      <w:r>
        <w:rPr>
          <w:sz w:val="24"/>
        </w:rPr>
        <w:t>(iii)</w:t>
      </w:r>
      <w:r>
        <w:rPr>
          <w:spacing w:val="-5"/>
          <w:sz w:val="24"/>
        </w:rPr>
        <w:t xml:space="preserve"> </w:t>
      </w:r>
      <w:r>
        <w:rPr>
          <w:sz w:val="24"/>
        </w:rPr>
        <w:t>the</w:t>
      </w:r>
      <w:r>
        <w:rPr>
          <w:spacing w:val="-5"/>
          <w:sz w:val="24"/>
        </w:rPr>
        <w:t xml:space="preserve"> </w:t>
      </w:r>
      <w:r>
        <w:rPr>
          <w:sz w:val="24"/>
        </w:rPr>
        <w:t>constructed</w:t>
      </w:r>
      <w:r>
        <w:rPr>
          <w:spacing w:val="-6"/>
          <w:sz w:val="24"/>
        </w:rPr>
        <w:t xml:space="preserve"> </w:t>
      </w:r>
      <w:r>
        <w:rPr>
          <w:sz w:val="24"/>
        </w:rPr>
        <w:t>value</w:t>
      </w:r>
      <w:r>
        <w:rPr>
          <w:spacing w:val="-5"/>
          <w:sz w:val="24"/>
        </w:rPr>
        <w:t xml:space="preserve"> </w:t>
      </w:r>
      <w:r>
        <w:rPr>
          <w:sz w:val="24"/>
        </w:rPr>
        <w:t>of</w:t>
      </w:r>
      <w:r>
        <w:rPr>
          <w:spacing w:val="-5"/>
          <w:sz w:val="24"/>
        </w:rPr>
        <w:t xml:space="preserve"> </w:t>
      </w:r>
      <w:r>
        <w:rPr>
          <w:sz w:val="24"/>
        </w:rPr>
        <w:t>the</w:t>
      </w:r>
      <w:r>
        <w:rPr>
          <w:spacing w:val="-5"/>
          <w:sz w:val="24"/>
        </w:rPr>
        <w:t xml:space="preserve"> </w:t>
      </w:r>
      <w:r>
        <w:rPr>
          <w:sz w:val="24"/>
        </w:rPr>
        <w:t>product.</w:t>
      </w:r>
      <w:r>
        <w:rPr>
          <w:spacing w:val="-5"/>
          <w:sz w:val="24"/>
        </w:rPr>
        <w:t xml:space="preserve"> </w:t>
      </w:r>
      <w:r>
        <w:rPr>
          <w:sz w:val="24"/>
        </w:rPr>
        <w:t>None</w:t>
      </w:r>
      <w:r>
        <w:rPr>
          <w:spacing w:val="-5"/>
          <w:sz w:val="24"/>
        </w:rPr>
        <w:t xml:space="preserve"> </w:t>
      </w:r>
      <w:r>
        <w:rPr>
          <w:sz w:val="24"/>
        </w:rPr>
        <w:t xml:space="preserve">of these permit reference onto the price of </w:t>
      </w:r>
      <w:r>
        <w:rPr>
          <w:i/>
          <w:sz w:val="24"/>
        </w:rPr>
        <w:t xml:space="preserve">Chinese </w:t>
      </w:r>
      <w:r>
        <w:rPr>
          <w:sz w:val="24"/>
        </w:rPr>
        <w:t>wine imported into Australia to evidence dumping of Australian wine imported into China.</w:t>
      </w:r>
    </w:p>
    <w:p w14:paraId="51DE951B" w14:textId="77777777" w:rsidR="0010369C" w:rsidRDefault="0010369C">
      <w:pPr>
        <w:pStyle w:val="BodyText"/>
        <w:spacing w:before="10"/>
        <w:rPr>
          <w:sz w:val="8"/>
        </w:rPr>
      </w:pPr>
    </w:p>
    <w:p w14:paraId="51DE951C" w14:textId="77777777" w:rsidR="0010369C" w:rsidRDefault="008E43AE">
      <w:pPr>
        <w:pStyle w:val="BodyText"/>
        <w:spacing w:before="52" w:line="360" w:lineRule="auto"/>
        <w:ind w:left="236" w:right="613" w:firstLine="852"/>
        <w:jc w:val="both"/>
      </w:pPr>
      <w:r>
        <w:rPr>
          <w:noProof/>
        </w:rPr>
        <w:drawing>
          <wp:anchor distT="0" distB="0" distL="0" distR="0" simplePos="0" relativeHeight="251380224" behindDoc="1" locked="0" layoutInCell="1" allowOverlap="1" wp14:anchorId="51DEA67E" wp14:editId="51DEA67F">
            <wp:simplePos x="0" y="0"/>
            <wp:positionH relativeFrom="page">
              <wp:posOffset>902208</wp:posOffset>
            </wp:positionH>
            <wp:positionV relativeFrom="paragraph">
              <wp:posOffset>81357</wp:posOffset>
            </wp:positionV>
            <wp:extent cx="262127" cy="103631"/>
            <wp:effectExtent l="0" t="0" r="0" b="0"/>
            <wp:wrapNone/>
            <wp:docPr id="1521" name="image7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 name="image788.png"/>
                    <pic:cNvPicPr/>
                  </pic:nvPicPr>
                  <pic:blipFill>
                    <a:blip r:embed="rId1041" cstate="print"/>
                    <a:stretch>
                      <a:fillRect/>
                    </a:stretch>
                  </pic:blipFill>
                  <pic:spPr>
                    <a:xfrm>
                      <a:off x="0" y="0"/>
                      <a:ext cx="262127" cy="103631"/>
                    </a:xfrm>
                    <a:prstGeom prst="rect">
                      <a:avLst/>
                    </a:prstGeom>
                  </pic:spPr>
                </pic:pic>
              </a:graphicData>
            </a:graphic>
          </wp:anchor>
        </w:drawing>
      </w:r>
      <w:r>
        <w:t xml:space="preserve">The price of imported Chinese wine into Australia shows nothing about the price of Australian wine exported to a </w:t>
      </w:r>
      <w:r>
        <w:t>third country, nor does it provide a basis to construct normal value for Australian wine. The concept of "constructed value" in Article 5.2(iii) mirrors the reference to the process of constructing normal value for the purpose of a dumping determination</w:t>
      </w:r>
      <w:r>
        <w:rPr>
          <w:spacing w:val="-1"/>
        </w:rPr>
        <w:t xml:space="preserve"> </w:t>
      </w:r>
      <w:r>
        <w:t>as</w:t>
      </w:r>
      <w:r>
        <w:rPr>
          <w:spacing w:val="-2"/>
        </w:rPr>
        <w:t xml:space="preserve"> </w:t>
      </w:r>
      <w:r>
        <w:t>set</w:t>
      </w:r>
      <w:r>
        <w:rPr>
          <w:spacing w:val="-2"/>
        </w:rPr>
        <w:t xml:space="preserve"> </w:t>
      </w:r>
      <w:r>
        <w:t>out</w:t>
      </w:r>
      <w:r>
        <w:rPr>
          <w:spacing w:val="-1"/>
        </w:rPr>
        <w:t xml:space="preserve"> </w:t>
      </w:r>
      <w:r>
        <w:t>in</w:t>
      </w:r>
      <w:r>
        <w:rPr>
          <w:spacing w:val="-2"/>
        </w:rPr>
        <w:t xml:space="preserve"> </w:t>
      </w:r>
      <w:r>
        <w:t>Articles</w:t>
      </w:r>
      <w:r>
        <w:rPr>
          <w:spacing w:val="-3"/>
        </w:rPr>
        <w:t xml:space="preserve"> </w:t>
      </w:r>
      <w:r>
        <w:t>2.2</w:t>
      </w:r>
      <w:r>
        <w:rPr>
          <w:spacing w:val="-2"/>
        </w:rPr>
        <w:t xml:space="preserve"> </w:t>
      </w:r>
      <w:r>
        <w:t>and</w:t>
      </w:r>
      <w:r>
        <w:rPr>
          <w:spacing w:val="-2"/>
        </w:rPr>
        <w:t xml:space="preserve"> </w:t>
      </w:r>
      <w:r>
        <w:t>2.2.1.1</w:t>
      </w:r>
      <w:r>
        <w:rPr>
          <w:spacing w:val="-2"/>
        </w:rPr>
        <w:t xml:space="preserve"> </w:t>
      </w:r>
      <w:r>
        <w:t>of</w:t>
      </w:r>
      <w:r>
        <w:rPr>
          <w:spacing w:val="-2"/>
        </w:rPr>
        <w:t xml:space="preserve"> </w:t>
      </w:r>
      <w:r>
        <w:t>the</w:t>
      </w:r>
      <w:r>
        <w:rPr>
          <w:spacing w:val="-1"/>
        </w:rPr>
        <w:t xml:space="preserve"> </w:t>
      </w:r>
      <w:r>
        <w:t>Anti‐Dumping</w:t>
      </w:r>
      <w:r>
        <w:rPr>
          <w:spacing w:val="-1"/>
        </w:rPr>
        <w:t xml:space="preserve"> </w:t>
      </w:r>
      <w:r>
        <w:t>Agreement.</w:t>
      </w:r>
      <w:r>
        <w:rPr>
          <w:spacing w:val="-3"/>
        </w:rPr>
        <w:t xml:space="preserve"> </w:t>
      </w:r>
      <w:r>
        <w:t>This</w:t>
      </w:r>
      <w:r>
        <w:rPr>
          <w:spacing w:val="-2"/>
        </w:rPr>
        <w:t xml:space="preserve"> </w:t>
      </w:r>
      <w:r>
        <w:t>sets out a process for constructing normal value, taking as a starting point costs associated with production</w:t>
      </w:r>
      <w:r>
        <w:rPr>
          <w:spacing w:val="-5"/>
        </w:rPr>
        <w:t xml:space="preserve"> </w:t>
      </w:r>
      <w:r>
        <w:t>and</w:t>
      </w:r>
      <w:r>
        <w:rPr>
          <w:spacing w:val="-5"/>
        </w:rPr>
        <w:t xml:space="preserve"> </w:t>
      </w:r>
      <w:r>
        <w:t>sale</w:t>
      </w:r>
      <w:r>
        <w:rPr>
          <w:spacing w:val="-4"/>
        </w:rPr>
        <w:t xml:space="preserve"> </w:t>
      </w:r>
      <w:r>
        <w:t>of</w:t>
      </w:r>
      <w:r>
        <w:rPr>
          <w:spacing w:val="-5"/>
        </w:rPr>
        <w:t xml:space="preserve"> </w:t>
      </w:r>
      <w:r>
        <w:t>the</w:t>
      </w:r>
      <w:r>
        <w:rPr>
          <w:spacing w:val="-4"/>
        </w:rPr>
        <w:t xml:space="preserve"> </w:t>
      </w:r>
      <w:r>
        <w:t>product</w:t>
      </w:r>
      <w:r>
        <w:rPr>
          <w:spacing w:val="-5"/>
        </w:rPr>
        <w:t xml:space="preserve"> </w:t>
      </w:r>
      <w:r>
        <w:t>recorded</w:t>
      </w:r>
      <w:r>
        <w:rPr>
          <w:spacing w:val="-5"/>
        </w:rPr>
        <w:t xml:space="preserve"> </w:t>
      </w:r>
      <w:r>
        <w:t>by</w:t>
      </w:r>
      <w:r>
        <w:rPr>
          <w:spacing w:val="-6"/>
        </w:rPr>
        <w:t xml:space="preserve"> </w:t>
      </w:r>
      <w:r>
        <w:t>exporters,</w:t>
      </w:r>
      <w:r>
        <w:rPr>
          <w:spacing w:val="-5"/>
        </w:rPr>
        <w:t xml:space="preserve"> </w:t>
      </w:r>
      <w:r>
        <w:t>or</w:t>
      </w:r>
      <w:r>
        <w:rPr>
          <w:spacing w:val="-5"/>
        </w:rPr>
        <w:t xml:space="preserve"> </w:t>
      </w:r>
      <w:r>
        <w:t>the</w:t>
      </w:r>
      <w:r>
        <w:rPr>
          <w:spacing w:val="-4"/>
        </w:rPr>
        <w:t xml:space="preserve"> </w:t>
      </w:r>
      <w:r>
        <w:t>nearest</w:t>
      </w:r>
      <w:r>
        <w:rPr>
          <w:spacing w:val="-5"/>
        </w:rPr>
        <w:t xml:space="preserve"> </w:t>
      </w:r>
      <w:r>
        <w:t>possible</w:t>
      </w:r>
      <w:r>
        <w:rPr>
          <w:spacing w:val="-4"/>
        </w:rPr>
        <w:t xml:space="preserve"> </w:t>
      </w:r>
      <w:r>
        <w:t>reasonable alternative method of determining those costs. CADA did not provide any information that would allow for such a calculation. CADA did not even attempt to explain why it considered there</w:t>
      </w:r>
      <w:r>
        <w:rPr>
          <w:spacing w:val="-2"/>
        </w:rPr>
        <w:t xml:space="preserve"> </w:t>
      </w:r>
      <w:r>
        <w:t>was</w:t>
      </w:r>
      <w:r>
        <w:rPr>
          <w:spacing w:val="-3"/>
        </w:rPr>
        <w:t xml:space="preserve"> </w:t>
      </w:r>
      <w:r>
        <w:t>to</w:t>
      </w:r>
      <w:r>
        <w:rPr>
          <w:spacing w:val="-3"/>
        </w:rPr>
        <w:t xml:space="preserve"> </w:t>
      </w:r>
      <w:r>
        <w:t>be</w:t>
      </w:r>
      <w:r>
        <w:rPr>
          <w:spacing w:val="-2"/>
        </w:rPr>
        <w:t xml:space="preserve"> </w:t>
      </w:r>
      <w:r>
        <w:t>a</w:t>
      </w:r>
      <w:r>
        <w:rPr>
          <w:spacing w:val="-3"/>
        </w:rPr>
        <w:t xml:space="preserve"> </w:t>
      </w:r>
      <w:r>
        <w:t>logical</w:t>
      </w:r>
      <w:r>
        <w:rPr>
          <w:spacing w:val="-3"/>
        </w:rPr>
        <w:t xml:space="preserve"> </w:t>
      </w:r>
      <w:r>
        <w:t>relationship</w:t>
      </w:r>
      <w:r>
        <w:rPr>
          <w:spacing w:val="-5"/>
        </w:rPr>
        <w:t xml:space="preserve"> </w:t>
      </w:r>
      <w:r>
        <w:t>between</w:t>
      </w:r>
      <w:r>
        <w:rPr>
          <w:spacing w:val="-4"/>
        </w:rPr>
        <w:t xml:space="preserve"> </w:t>
      </w:r>
      <w:r>
        <w:t>the</w:t>
      </w:r>
      <w:r>
        <w:rPr>
          <w:spacing w:val="-2"/>
        </w:rPr>
        <w:t xml:space="preserve"> </w:t>
      </w:r>
      <w:r>
        <w:t>impor</w:t>
      </w:r>
      <w:r>
        <w:t>ts</w:t>
      </w:r>
      <w:r>
        <w:rPr>
          <w:spacing w:val="-3"/>
        </w:rPr>
        <w:t xml:space="preserve"> </w:t>
      </w:r>
      <w:r>
        <w:t>of</w:t>
      </w:r>
      <w:r>
        <w:rPr>
          <w:spacing w:val="-4"/>
        </w:rPr>
        <w:t xml:space="preserve"> </w:t>
      </w:r>
      <w:r>
        <w:t>Chinese</w:t>
      </w:r>
      <w:r>
        <w:rPr>
          <w:spacing w:val="-3"/>
        </w:rPr>
        <w:t xml:space="preserve"> </w:t>
      </w:r>
      <w:r>
        <w:t>wine</w:t>
      </w:r>
      <w:r>
        <w:rPr>
          <w:spacing w:val="-2"/>
        </w:rPr>
        <w:t xml:space="preserve"> </w:t>
      </w:r>
      <w:r>
        <w:t>into</w:t>
      </w:r>
      <w:r>
        <w:rPr>
          <w:spacing w:val="-3"/>
        </w:rPr>
        <w:t xml:space="preserve"> </w:t>
      </w:r>
      <w:r>
        <w:t>Australia</w:t>
      </w:r>
      <w:r>
        <w:rPr>
          <w:spacing w:val="-3"/>
        </w:rPr>
        <w:t xml:space="preserve"> </w:t>
      </w:r>
      <w:r>
        <w:t>and production costs of wine produced in Australia, given that they are two different environments for the production of wine.</w:t>
      </w:r>
    </w:p>
    <w:p w14:paraId="51DE951D" w14:textId="77777777" w:rsidR="0010369C" w:rsidRDefault="0010369C">
      <w:pPr>
        <w:pStyle w:val="BodyText"/>
        <w:spacing w:before="11"/>
        <w:rPr>
          <w:sz w:val="8"/>
        </w:rPr>
      </w:pPr>
    </w:p>
    <w:p w14:paraId="51DE951E" w14:textId="77777777" w:rsidR="0010369C" w:rsidRDefault="008E43AE">
      <w:pPr>
        <w:pStyle w:val="BodyText"/>
        <w:spacing w:before="52" w:line="360" w:lineRule="auto"/>
        <w:ind w:left="237" w:right="613" w:firstLine="851"/>
        <w:jc w:val="both"/>
      </w:pPr>
      <w:r>
        <w:rPr>
          <w:noProof/>
        </w:rPr>
        <w:drawing>
          <wp:anchor distT="0" distB="0" distL="0" distR="0" simplePos="0" relativeHeight="251381248" behindDoc="1" locked="0" layoutInCell="1" allowOverlap="1" wp14:anchorId="51DEA680" wp14:editId="51DEA681">
            <wp:simplePos x="0" y="0"/>
            <wp:positionH relativeFrom="page">
              <wp:posOffset>902208</wp:posOffset>
            </wp:positionH>
            <wp:positionV relativeFrom="paragraph">
              <wp:posOffset>81358</wp:posOffset>
            </wp:positionV>
            <wp:extent cx="262127" cy="103631"/>
            <wp:effectExtent l="0" t="0" r="0" b="0"/>
            <wp:wrapNone/>
            <wp:docPr id="1523" name="image7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 name="image789.png"/>
                    <pic:cNvPicPr/>
                  </pic:nvPicPr>
                  <pic:blipFill>
                    <a:blip r:embed="rId1042" cstate="print"/>
                    <a:stretch>
                      <a:fillRect/>
                    </a:stretch>
                  </pic:blipFill>
                  <pic:spPr>
                    <a:xfrm>
                      <a:off x="0" y="0"/>
                      <a:ext cx="262127" cy="103631"/>
                    </a:xfrm>
                    <a:prstGeom prst="rect">
                      <a:avLst/>
                    </a:prstGeom>
                  </pic:spPr>
                </pic:pic>
              </a:graphicData>
            </a:graphic>
          </wp:anchor>
        </w:drawing>
      </w:r>
      <w:r>
        <w:t>The</w:t>
      </w:r>
      <w:r>
        <w:rPr>
          <w:spacing w:val="-6"/>
        </w:rPr>
        <w:t xml:space="preserve"> </w:t>
      </w:r>
      <w:r>
        <w:t>panel</w:t>
      </w:r>
      <w:r>
        <w:rPr>
          <w:spacing w:val="-6"/>
        </w:rPr>
        <w:t xml:space="preserve"> </w:t>
      </w:r>
      <w:r>
        <w:t>in</w:t>
      </w:r>
      <w:r>
        <w:rPr>
          <w:spacing w:val="-7"/>
        </w:rPr>
        <w:t xml:space="preserve"> </w:t>
      </w:r>
      <w:r>
        <w:rPr>
          <w:i/>
        </w:rPr>
        <w:t>Mexico</w:t>
      </w:r>
      <w:r>
        <w:rPr>
          <w:i/>
          <w:spacing w:val="-6"/>
        </w:rPr>
        <w:t xml:space="preserve"> </w:t>
      </w:r>
      <w:r>
        <w:rPr>
          <w:i/>
        </w:rPr>
        <w:t>–</w:t>
      </w:r>
      <w:r>
        <w:rPr>
          <w:i/>
          <w:spacing w:val="-6"/>
        </w:rPr>
        <w:t xml:space="preserve"> </w:t>
      </w:r>
      <w:r>
        <w:rPr>
          <w:i/>
        </w:rPr>
        <w:t>Steel</w:t>
      </w:r>
      <w:r>
        <w:rPr>
          <w:i/>
          <w:spacing w:val="-6"/>
        </w:rPr>
        <w:t xml:space="preserve"> </w:t>
      </w:r>
      <w:r>
        <w:rPr>
          <w:i/>
        </w:rPr>
        <w:t>Pipes</w:t>
      </w:r>
      <w:r>
        <w:rPr>
          <w:i/>
          <w:spacing w:val="-7"/>
        </w:rPr>
        <w:t xml:space="preserve"> </w:t>
      </w:r>
      <w:r>
        <w:rPr>
          <w:i/>
        </w:rPr>
        <w:t>and</w:t>
      </w:r>
      <w:r>
        <w:rPr>
          <w:i/>
          <w:spacing w:val="-6"/>
        </w:rPr>
        <w:t xml:space="preserve"> </w:t>
      </w:r>
      <w:r>
        <w:rPr>
          <w:i/>
        </w:rPr>
        <w:t>Tubes</w:t>
      </w:r>
      <w:r>
        <w:rPr>
          <w:i/>
          <w:spacing w:val="-6"/>
        </w:rPr>
        <w:t xml:space="preserve"> </w:t>
      </w:r>
      <w:r>
        <w:t>found</w:t>
      </w:r>
      <w:r>
        <w:rPr>
          <w:spacing w:val="-6"/>
        </w:rPr>
        <w:t xml:space="preserve"> </w:t>
      </w:r>
      <w:r>
        <w:t>that</w:t>
      </w:r>
      <w:r>
        <w:rPr>
          <w:spacing w:val="-7"/>
        </w:rPr>
        <w:t xml:space="preserve"> </w:t>
      </w:r>
      <w:r>
        <w:t>where</w:t>
      </w:r>
      <w:r>
        <w:rPr>
          <w:spacing w:val="-6"/>
        </w:rPr>
        <w:t xml:space="preserve"> </w:t>
      </w:r>
      <w:r>
        <w:t>it</w:t>
      </w:r>
      <w:r>
        <w:rPr>
          <w:spacing w:val="-6"/>
        </w:rPr>
        <w:t xml:space="preserve"> </w:t>
      </w:r>
      <w:r>
        <w:t>is</w:t>
      </w:r>
      <w:r>
        <w:rPr>
          <w:spacing w:val="-7"/>
        </w:rPr>
        <w:t xml:space="preserve"> </w:t>
      </w:r>
      <w:r>
        <w:t>obvious</w:t>
      </w:r>
      <w:r>
        <w:rPr>
          <w:spacing w:val="-6"/>
        </w:rPr>
        <w:t xml:space="preserve"> </w:t>
      </w:r>
      <w:r>
        <w:t>on</w:t>
      </w:r>
      <w:r>
        <w:rPr>
          <w:spacing w:val="-7"/>
        </w:rPr>
        <w:t xml:space="preserve"> </w:t>
      </w:r>
      <w:r>
        <w:t>its</w:t>
      </w:r>
      <w:r>
        <w:rPr>
          <w:spacing w:val="-5"/>
        </w:rPr>
        <w:t xml:space="preserve"> </w:t>
      </w:r>
      <w:r>
        <w:t>face that the evidence of normal value before the authority at the time of initiation does not pertain to a producer or exporter and may not even reflect the products produced in the exporting country, the investigating authority must make its best endeavo</w:t>
      </w:r>
      <w:r>
        <w:t>urs to determine whether the evidence reflects the prevailing home market pricing at the level of producers and/or exporters.</w:t>
      </w:r>
      <w:r>
        <w:rPr>
          <w:vertAlign w:val="superscript"/>
        </w:rPr>
        <w:t>929</w:t>
      </w:r>
      <w:r>
        <w:t xml:space="preserve"> MOFCOM failed to do this.</w:t>
      </w:r>
    </w:p>
    <w:p w14:paraId="51DE951F" w14:textId="77777777" w:rsidR="0010369C" w:rsidRDefault="008E43AE">
      <w:pPr>
        <w:pStyle w:val="BodyText"/>
        <w:spacing w:before="7"/>
        <w:rPr>
          <w:sz w:val="28"/>
        </w:rPr>
      </w:pPr>
      <w:r>
        <w:pict w14:anchorId="51DEA682">
          <v:rect id="docshape1254" o:spid="_x0000_s1173" style="position:absolute;margin-left:70.9pt;margin-top:18.65pt;width:2in;height:.8pt;z-index:-250752512;mso-wrap-distance-left:0;mso-wrap-distance-right:0;mso-position-horizontal-relative:page" fillcolor="black" stroked="f">
            <w10:wrap type="topAndBottom" anchorx="page"/>
          </v:rect>
        </w:pict>
      </w:r>
    </w:p>
    <w:p w14:paraId="51DE9520" w14:textId="77777777" w:rsidR="0010369C" w:rsidRDefault="008E43AE">
      <w:pPr>
        <w:spacing w:before="110"/>
        <w:ind w:left="237" w:right="615" w:firstLine="1"/>
        <w:jc w:val="both"/>
        <w:rPr>
          <w:sz w:val="18"/>
        </w:rPr>
      </w:pPr>
      <w:r>
        <w:rPr>
          <w:sz w:val="18"/>
          <w:vertAlign w:val="superscript"/>
        </w:rPr>
        <w:t>928</w:t>
      </w:r>
      <w:r>
        <w:rPr>
          <w:spacing w:val="-4"/>
          <w:sz w:val="18"/>
        </w:rPr>
        <w:t xml:space="preserve"> </w:t>
      </w:r>
      <w:r>
        <w:rPr>
          <w:sz w:val="18"/>
        </w:rPr>
        <w:t>This</w:t>
      </w:r>
      <w:r>
        <w:rPr>
          <w:spacing w:val="-4"/>
          <w:sz w:val="18"/>
        </w:rPr>
        <w:t xml:space="preserve"> </w:t>
      </w:r>
      <w:r>
        <w:rPr>
          <w:sz w:val="18"/>
        </w:rPr>
        <w:t>alternative</w:t>
      </w:r>
      <w:r>
        <w:rPr>
          <w:spacing w:val="-3"/>
          <w:sz w:val="18"/>
        </w:rPr>
        <w:t xml:space="preserve"> </w:t>
      </w:r>
      <w:r>
        <w:rPr>
          <w:sz w:val="18"/>
        </w:rPr>
        <w:t>determination</w:t>
      </w:r>
      <w:r>
        <w:rPr>
          <w:spacing w:val="-5"/>
          <w:sz w:val="18"/>
        </w:rPr>
        <w:t xml:space="preserve"> </w:t>
      </w:r>
      <w:r>
        <w:rPr>
          <w:sz w:val="18"/>
        </w:rPr>
        <w:t>is</w:t>
      </w:r>
      <w:r>
        <w:rPr>
          <w:spacing w:val="-4"/>
          <w:sz w:val="18"/>
        </w:rPr>
        <w:t xml:space="preserve"> </w:t>
      </w:r>
      <w:r>
        <w:rPr>
          <w:sz w:val="18"/>
        </w:rPr>
        <w:t>not</w:t>
      </w:r>
      <w:r>
        <w:rPr>
          <w:spacing w:val="-5"/>
          <w:sz w:val="18"/>
        </w:rPr>
        <w:t xml:space="preserve"> </w:t>
      </w:r>
      <w:r>
        <w:rPr>
          <w:sz w:val="18"/>
        </w:rPr>
        <w:t>contemplated</w:t>
      </w:r>
      <w:r>
        <w:rPr>
          <w:spacing w:val="-5"/>
          <w:sz w:val="18"/>
        </w:rPr>
        <w:t xml:space="preserve"> </w:t>
      </w:r>
      <w:r>
        <w:rPr>
          <w:sz w:val="18"/>
        </w:rPr>
        <w:t>in</w:t>
      </w:r>
      <w:r>
        <w:rPr>
          <w:spacing w:val="-4"/>
          <w:sz w:val="18"/>
        </w:rPr>
        <w:t xml:space="preserve"> </w:t>
      </w:r>
      <w:r>
        <w:rPr>
          <w:sz w:val="18"/>
        </w:rPr>
        <w:t>either</w:t>
      </w:r>
      <w:r>
        <w:rPr>
          <w:spacing w:val="-6"/>
          <w:sz w:val="18"/>
        </w:rPr>
        <w:t xml:space="preserve"> </w:t>
      </w:r>
      <w:r>
        <w:rPr>
          <w:sz w:val="18"/>
        </w:rPr>
        <w:t>Article</w:t>
      </w:r>
      <w:r>
        <w:rPr>
          <w:spacing w:val="-5"/>
          <w:sz w:val="18"/>
        </w:rPr>
        <w:t xml:space="preserve"> </w:t>
      </w:r>
      <w:r>
        <w:rPr>
          <w:sz w:val="18"/>
        </w:rPr>
        <w:t>5.2(iii),</w:t>
      </w:r>
      <w:r>
        <w:rPr>
          <w:spacing w:val="-5"/>
          <w:sz w:val="18"/>
        </w:rPr>
        <w:t xml:space="preserve"> </w:t>
      </w:r>
      <w:r>
        <w:rPr>
          <w:sz w:val="18"/>
        </w:rPr>
        <w:t>in</w:t>
      </w:r>
      <w:r>
        <w:rPr>
          <w:spacing w:val="-3"/>
          <w:sz w:val="18"/>
        </w:rPr>
        <w:t xml:space="preserve"> </w:t>
      </w:r>
      <w:r>
        <w:rPr>
          <w:sz w:val="18"/>
        </w:rPr>
        <w:t>the</w:t>
      </w:r>
      <w:r>
        <w:rPr>
          <w:spacing w:val="-4"/>
          <w:sz w:val="18"/>
        </w:rPr>
        <w:t xml:space="preserve"> </w:t>
      </w:r>
      <w:r>
        <w:rPr>
          <w:sz w:val="18"/>
        </w:rPr>
        <w:t>context</w:t>
      </w:r>
      <w:r>
        <w:rPr>
          <w:spacing w:val="-5"/>
          <w:sz w:val="18"/>
        </w:rPr>
        <w:t xml:space="preserve"> </w:t>
      </w:r>
      <w:r>
        <w:rPr>
          <w:sz w:val="18"/>
        </w:rPr>
        <w:t>o</w:t>
      </w:r>
      <w:r>
        <w:rPr>
          <w:sz w:val="18"/>
        </w:rPr>
        <w:t>f</w:t>
      </w:r>
      <w:r>
        <w:rPr>
          <w:spacing w:val="-4"/>
          <w:sz w:val="18"/>
        </w:rPr>
        <w:t xml:space="preserve"> </w:t>
      </w:r>
      <w:r>
        <w:rPr>
          <w:sz w:val="18"/>
        </w:rPr>
        <w:t>determining</w:t>
      </w:r>
      <w:r>
        <w:rPr>
          <w:spacing w:val="-5"/>
          <w:sz w:val="18"/>
        </w:rPr>
        <w:t xml:space="preserve"> </w:t>
      </w:r>
      <w:r>
        <w:rPr>
          <w:sz w:val="18"/>
        </w:rPr>
        <w:t>whether</w:t>
      </w:r>
      <w:r>
        <w:rPr>
          <w:spacing w:val="-5"/>
          <w:sz w:val="18"/>
        </w:rPr>
        <w:t xml:space="preserve"> </w:t>
      </w:r>
      <w:r>
        <w:rPr>
          <w:sz w:val="18"/>
        </w:rPr>
        <w:t>there</w:t>
      </w:r>
      <w:r>
        <w:rPr>
          <w:spacing w:val="-4"/>
          <w:sz w:val="18"/>
        </w:rPr>
        <w:t xml:space="preserve"> </w:t>
      </w:r>
      <w:r>
        <w:rPr>
          <w:sz w:val="18"/>
        </w:rPr>
        <w:t>is sufficient evidence to initiate a dumping investigation, or in Article 2.2, in the context of a dumping determination in the course of the investigation.</w:t>
      </w:r>
    </w:p>
    <w:p w14:paraId="51DE9521" w14:textId="77777777" w:rsidR="0010369C" w:rsidRDefault="008E43AE">
      <w:pPr>
        <w:spacing w:line="219" w:lineRule="exact"/>
        <w:ind w:left="238"/>
        <w:jc w:val="both"/>
        <w:rPr>
          <w:sz w:val="18"/>
        </w:rPr>
      </w:pPr>
      <w:r>
        <w:rPr>
          <w:sz w:val="18"/>
          <w:vertAlign w:val="superscript"/>
        </w:rPr>
        <w:t>929</w:t>
      </w:r>
      <w:r>
        <w:rPr>
          <w:spacing w:val="-5"/>
          <w:sz w:val="18"/>
        </w:rPr>
        <w:t xml:space="preserve"> </w:t>
      </w:r>
      <w:r>
        <w:rPr>
          <w:sz w:val="18"/>
        </w:rPr>
        <w:t>Panel</w:t>
      </w:r>
      <w:r>
        <w:rPr>
          <w:spacing w:val="-6"/>
          <w:sz w:val="18"/>
        </w:rPr>
        <w:t xml:space="preserve"> </w:t>
      </w:r>
      <w:r>
        <w:rPr>
          <w:sz w:val="18"/>
        </w:rPr>
        <w:t>Report,</w:t>
      </w:r>
      <w:r>
        <w:rPr>
          <w:spacing w:val="-5"/>
          <w:sz w:val="18"/>
        </w:rPr>
        <w:t xml:space="preserve"> </w:t>
      </w:r>
      <w:r>
        <w:rPr>
          <w:i/>
          <w:sz w:val="18"/>
        </w:rPr>
        <w:t>Mexico</w:t>
      </w:r>
      <w:r>
        <w:rPr>
          <w:i/>
          <w:spacing w:val="-5"/>
          <w:sz w:val="18"/>
        </w:rPr>
        <w:t xml:space="preserve"> </w:t>
      </w:r>
      <w:r>
        <w:rPr>
          <w:i/>
          <w:sz w:val="18"/>
        </w:rPr>
        <w:t>–</w:t>
      </w:r>
      <w:r>
        <w:rPr>
          <w:i/>
          <w:spacing w:val="-5"/>
          <w:sz w:val="18"/>
        </w:rPr>
        <w:t xml:space="preserve"> </w:t>
      </w:r>
      <w:r>
        <w:rPr>
          <w:i/>
          <w:sz w:val="18"/>
        </w:rPr>
        <w:t>Steel</w:t>
      </w:r>
      <w:r>
        <w:rPr>
          <w:i/>
          <w:spacing w:val="-6"/>
          <w:sz w:val="18"/>
        </w:rPr>
        <w:t xml:space="preserve"> </w:t>
      </w:r>
      <w:r>
        <w:rPr>
          <w:i/>
          <w:sz w:val="18"/>
        </w:rPr>
        <w:t>Pipes</w:t>
      </w:r>
      <w:r>
        <w:rPr>
          <w:i/>
          <w:spacing w:val="-6"/>
          <w:sz w:val="18"/>
        </w:rPr>
        <w:t xml:space="preserve"> </w:t>
      </w:r>
      <w:r>
        <w:rPr>
          <w:i/>
          <w:sz w:val="18"/>
        </w:rPr>
        <w:t>and</w:t>
      </w:r>
      <w:r>
        <w:rPr>
          <w:i/>
          <w:spacing w:val="-6"/>
          <w:sz w:val="18"/>
        </w:rPr>
        <w:t xml:space="preserve"> </w:t>
      </w:r>
      <w:r>
        <w:rPr>
          <w:i/>
          <w:sz w:val="18"/>
        </w:rPr>
        <w:t>Tubes</w:t>
      </w:r>
      <w:r>
        <w:rPr>
          <w:sz w:val="18"/>
        </w:rPr>
        <w:t>,</w:t>
      </w:r>
      <w:r>
        <w:rPr>
          <w:spacing w:val="-6"/>
          <w:sz w:val="18"/>
        </w:rPr>
        <w:t xml:space="preserve"> </w:t>
      </w:r>
      <w:r>
        <w:rPr>
          <w:sz w:val="18"/>
        </w:rPr>
        <w:t>para.</w:t>
      </w:r>
      <w:r>
        <w:rPr>
          <w:spacing w:val="-5"/>
          <w:sz w:val="18"/>
        </w:rPr>
        <w:t xml:space="preserve"> </w:t>
      </w:r>
      <w:r>
        <w:rPr>
          <w:spacing w:val="-2"/>
          <w:sz w:val="18"/>
        </w:rPr>
        <w:t>7.35.</w:t>
      </w:r>
    </w:p>
    <w:p w14:paraId="51DE9522" w14:textId="77777777" w:rsidR="0010369C" w:rsidRDefault="0010369C">
      <w:pPr>
        <w:spacing w:line="219" w:lineRule="exact"/>
        <w:jc w:val="both"/>
        <w:rPr>
          <w:sz w:val="18"/>
        </w:rPr>
        <w:sectPr w:rsidR="0010369C">
          <w:pgSz w:w="11910" w:h="16840"/>
          <w:pgMar w:top="880" w:right="800" w:bottom="980" w:left="1180" w:header="569" w:footer="788" w:gutter="0"/>
          <w:cols w:space="720"/>
        </w:sectPr>
      </w:pPr>
    </w:p>
    <w:p w14:paraId="51DE9523" w14:textId="77777777" w:rsidR="0010369C" w:rsidRDefault="008E43AE">
      <w:pPr>
        <w:tabs>
          <w:tab w:val="left" w:pos="6426"/>
        </w:tabs>
        <w:ind w:left="238"/>
        <w:rPr>
          <w:sz w:val="20"/>
        </w:rPr>
      </w:pPr>
      <w:r>
        <w:rPr>
          <w:i/>
          <w:sz w:val="20"/>
        </w:rPr>
        <w:lastRenderedPageBreak/>
        <w:t>China</w:t>
      </w:r>
      <w:r>
        <w:rPr>
          <w:i/>
          <w:spacing w:val="-5"/>
          <w:sz w:val="20"/>
        </w:rPr>
        <w:t xml:space="preserve"> </w:t>
      </w:r>
      <w:r>
        <w:rPr>
          <w:i/>
          <w:sz w:val="20"/>
        </w:rPr>
        <w:t>–</w:t>
      </w:r>
      <w:r>
        <w:rPr>
          <w:i/>
          <w:spacing w:val="-5"/>
          <w:sz w:val="20"/>
        </w:rPr>
        <w:t xml:space="preserve"> </w:t>
      </w:r>
      <w:r>
        <w:rPr>
          <w:i/>
          <w:sz w:val="20"/>
        </w:rPr>
        <w:t>Anti‐Dumping</w:t>
      </w:r>
      <w:r>
        <w:rPr>
          <w:i/>
          <w:spacing w:val="-4"/>
          <w:sz w:val="20"/>
        </w:rPr>
        <w:t xml:space="preserve"> </w:t>
      </w:r>
      <w:r>
        <w:rPr>
          <w:i/>
          <w:sz w:val="20"/>
        </w:rPr>
        <w:t>and</w:t>
      </w:r>
      <w:r>
        <w:rPr>
          <w:i/>
          <w:spacing w:val="-5"/>
          <w:sz w:val="20"/>
        </w:rPr>
        <w:t xml:space="preserve"> </w:t>
      </w:r>
      <w:r>
        <w:rPr>
          <w:i/>
          <w:sz w:val="20"/>
        </w:rPr>
        <w:t>Countervailing</w:t>
      </w:r>
      <w:r>
        <w:rPr>
          <w:i/>
          <w:spacing w:val="-5"/>
          <w:sz w:val="20"/>
        </w:rPr>
        <w:t xml:space="preserve"> </w:t>
      </w:r>
      <w:r>
        <w:rPr>
          <w:i/>
          <w:sz w:val="20"/>
        </w:rPr>
        <w:t>Duty</w:t>
      </w:r>
      <w:r>
        <w:rPr>
          <w:i/>
          <w:spacing w:val="-4"/>
          <w:sz w:val="20"/>
        </w:rPr>
        <w:t xml:space="preserve"> </w:t>
      </w:r>
      <w:r>
        <w:rPr>
          <w:i/>
          <w:spacing w:val="-2"/>
          <w:sz w:val="20"/>
        </w:rPr>
        <w:t>Measures</w:t>
      </w:r>
      <w:r>
        <w:rPr>
          <w:i/>
          <w:sz w:val="20"/>
        </w:rPr>
        <w:tab/>
      </w:r>
      <w:r>
        <w:rPr>
          <w:sz w:val="20"/>
        </w:rPr>
        <w:t>Australia's</w:t>
      </w:r>
      <w:r>
        <w:rPr>
          <w:spacing w:val="-7"/>
          <w:sz w:val="20"/>
        </w:rPr>
        <w:t xml:space="preserve"> </w:t>
      </w:r>
      <w:r>
        <w:rPr>
          <w:sz w:val="20"/>
        </w:rPr>
        <w:t>First</w:t>
      </w:r>
      <w:r>
        <w:rPr>
          <w:spacing w:val="-2"/>
          <w:sz w:val="20"/>
        </w:rPr>
        <w:t xml:space="preserve"> </w:t>
      </w:r>
      <w:r>
        <w:rPr>
          <w:sz w:val="20"/>
        </w:rPr>
        <w:t>Written</w:t>
      </w:r>
      <w:r>
        <w:rPr>
          <w:spacing w:val="-2"/>
          <w:sz w:val="20"/>
        </w:rPr>
        <w:t xml:space="preserve"> Submission</w:t>
      </w:r>
    </w:p>
    <w:p w14:paraId="51DE9524" w14:textId="77777777" w:rsidR="0010369C" w:rsidRDefault="008E43AE">
      <w:pPr>
        <w:tabs>
          <w:tab w:val="left" w:pos="8228"/>
        </w:tabs>
        <w:spacing w:before="1"/>
        <w:ind w:left="239"/>
        <w:rPr>
          <w:sz w:val="20"/>
        </w:rPr>
      </w:pPr>
      <w:r>
        <w:rPr>
          <w:i/>
          <w:sz w:val="20"/>
        </w:rPr>
        <w:t>on</w:t>
      </w:r>
      <w:r>
        <w:rPr>
          <w:i/>
          <w:spacing w:val="-1"/>
          <w:sz w:val="20"/>
        </w:rPr>
        <w:t xml:space="preserve"> </w:t>
      </w:r>
      <w:r>
        <w:rPr>
          <w:i/>
          <w:sz w:val="20"/>
        </w:rPr>
        <w:t>Wine</w:t>
      </w:r>
      <w:r>
        <w:rPr>
          <w:i/>
          <w:spacing w:val="-1"/>
          <w:sz w:val="20"/>
        </w:rPr>
        <w:t xml:space="preserve"> </w:t>
      </w:r>
      <w:r>
        <w:rPr>
          <w:i/>
          <w:sz w:val="20"/>
        </w:rPr>
        <w:t>from</w:t>
      </w:r>
      <w:r>
        <w:rPr>
          <w:i/>
          <w:spacing w:val="-3"/>
          <w:sz w:val="20"/>
        </w:rPr>
        <w:t xml:space="preserve"> </w:t>
      </w:r>
      <w:r>
        <w:rPr>
          <w:i/>
          <w:sz w:val="20"/>
        </w:rPr>
        <w:t>Australia</w:t>
      </w:r>
      <w:r>
        <w:rPr>
          <w:i/>
          <w:spacing w:val="-1"/>
          <w:sz w:val="20"/>
        </w:rPr>
        <w:t xml:space="preserve"> </w:t>
      </w:r>
      <w:r>
        <w:rPr>
          <w:spacing w:val="-2"/>
          <w:sz w:val="20"/>
        </w:rPr>
        <w:t>(DS602)</w:t>
      </w:r>
      <w:r>
        <w:rPr>
          <w:sz w:val="20"/>
        </w:rPr>
        <w:tab/>
        <w:t>29</w:t>
      </w:r>
      <w:r>
        <w:rPr>
          <w:spacing w:val="-1"/>
          <w:sz w:val="20"/>
        </w:rPr>
        <w:t xml:space="preserve"> </w:t>
      </w:r>
      <w:r>
        <w:rPr>
          <w:sz w:val="20"/>
        </w:rPr>
        <w:t>April</w:t>
      </w:r>
      <w:r>
        <w:rPr>
          <w:spacing w:val="-2"/>
          <w:sz w:val="20"/>
        </w:rPr>
        <w:t xml:space="preserve"> </w:t>
      </w:r>
      <w:r>
        <w:rPr>
          <w:spacing w:val="-4"/>
          <w:sz w:val="20"/>
        </w:rPr>
        <w:t>2022</w:t>
      </w:r>
    </w:p>
    <w:p w14:paraId="51DE9525" w14:textId="77777777" w:rsidR="0010369C" w:rsidRDefault="008E43AE">
      <w:pPr>
        <w:pStyle w:val="BodyText"/>
        <w:spacing w:before="34" w:line="360" w:lineRule="auto"/>
        <w:ind w:left="237" w:right="613" w:firstLine="851"/>
        <w:jc w:val="both"/>
      </w:pPr>
      <w:r>
        <w:rPr>
          <w:noProof/>
        </w:rPr>
        <w:drawing>
          <wp:anchor distT="0" distB="0" distL="0" distR="0" simplePos="0" relativeHeight="251382272" behindDoc="1" locked="0" layoutInCell="1" allowOverlap="1" wp14:anchorId="51DEA683" wp14:editId="51DEA684">
            <wp:simplePos x="0" y="0"/>
            <wp:positionH relativeFrom="page">
              <wp:posOffset>902208</wp:posOffset>
            </wp:positionH>
            <wp:positionV relativeFrom="paragraph">
              <wp:posOffset>69165</wp:posOffset>
            </wp:positionV>
            <wp:extent cx="262127" cy="103631"/>
            <wp:effectExtent l="0" t="0" r="0" b="0"/>
            <wp:wrapNone/>
            <wp:docPr id="1525" name="image7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 name="image790.png"/>
                    <pic:cNvPicPr/>
                  </pic:nvPicPr>
                  <pic:blipFill>
                    <a:blip r:embed="rId1043" cstate="print"/>
                    <a:stretch>
                      <a:fillRect/>
                    </a:stretch>
                  </pic:blipFill>
                  <pic:spPr>
                    <a:xfrm>
                      <a:off x="0" y="0"/>
                      <a:ext cx="262127" cy="103631"/>
                    </a:xfrm>
                    <a:prstGeom prst="rect">
                      <a:avLst/>
                    </a:prstGeom>
                  </pic:spPr>
                </pic:pic>
              </a:graphicData>
            </a:graphic>
          </wp:anchor>
        </w:drawing>
      </w:r>
      <w:r>
        <w:t>Second, the volumes of imported Chinese wine into Australia were very low, as indicated in the data relied upon by CADA:</w:t>
      </w:r>
      <w:r>
        <w:rPr>
          <w:vertAlign w:val="superscript"/>
        </w:rPr>
        <w:t>930</w:t>
      </w:r>
    </w:p>
    <w:p w14:paraId="51DE9526" w14:textId="77777777" w:rsidR="0010369C" w:rsidRDefault="0010369C">
      <w:pPr>
        <w:pStyle w:val="BodyText"/>
        <w:spacing w:before="11"/>
        <w:rPr>
          <w:sz w:val="13"/>
        </w:rPr>
      </w:pPr>
    </w:p>
    <w:tbl>
      <w:tblPr>
        <w:tblW w:w="0" w:type="auto"/>
        <w:tblInd w:w="720"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2088"/>
        <w:gridCol w:w="2107"/>
        <w:gridCol w:w="2012"/>
        <w:gridCol w:w="1928"/>
      </w:tblGrid>
      <w:tr w:rsidR="0010369C" w14:paraId="51DE952E" w14:textId="77777777">
        <w:trPr>
          <w:trHeight w:val="627"/>
        </w:trPr>
        <w:tc>
          <w:tcPr>
            <w:tcW w:w="2088" w:type="dxa"/>
            <w:tcBorders>
              <w:bottom w:val="single" w:sz="6" w:space="0" w:color="000000"/>
              <w:right w:val="single" w:sz="6" w:space="0" w:color="000000"/>
            </w:tcBorders>
          </w:tcPr>
          <w:p w14:paraId="51DE9527" w14:textId="77777777" w:rsidR="0010369C" w:rsidRDefault="0010369C">
            <w:pPr>
              <w:pStyle w:val="TableParagraph"/>
              <w:spacing w:before="2"/>
              <w:rPr>
                <w:sz w:val="15"/>
              </w:rPr>
            </w:pPr>
          </w:p>
          <w:p w14:paraId="51DE9528" w14:textId="77777777" w:rsidR="0010369C" w:rsidRDefault="008E43AE">
            <w:pPr>
              <w:pStyle w:val="TableParagraph"/>
              <w:ind w:left="749"/>
              <w:rPr>
                <w:b/>
                <w:sz w:val="21"/>
              </w:rPr>
            </w:pPr>
            <w:r>
              <w:rPr>
                <w:b/>
                <w:spacing w:val="-2"/>
                <w:sz w:val="21"/>
              </w:rPr>
              <w:t>Period</w:t>
            </w:r>
          </w:p>
        </w:tc>
        <w:tc>
          <w:tcPr>
            <w:tcW w:w="2107" w:type="dxa"/>
            <w:tcBorders>
              <w:left w:val="single" w:sz="6" w:space="0" w:color="000000"/>
              <w:bottom w:val="single" w:sz="6" w:space="0" w:color="000000"/>
              <w:right w:val="single" w:sz="6" w:space="0" w:color="000000"/>
            </w:tcBorders>
          </w:tcPr>
          <w:p w14:paraId="51DE9529" w14:textId="77777777" w:rsidR="0010369C" w:rsidRDefault="0010369C">
            <w:pPr>
              <w:pStyle w:val="TableParagraph"/>
              <w:spacing w:before="2"/>
              <w:rPr>
                <w:sz w:val="15"/>
              </w:rPr>
            </w:pPr>
          </w:p>
          <w:p w14:paraId="51DE952A" w14:textId="77777777" w:rsidR="0010369C" w:rsidRDefault="008E43AE">
            <w:pPr>
              <w:pStyle w:val="TableParagraph"/>
              <w:ind w:left="263" w:right="253"/>
              <w:jc w:val="center"/>
              <w:rPr>
                <w:b/>
                <w:sz w:val="21"/>
              </w:rPr>
            </w:pPr>
            <w:r>
              <w:rPr>
                <w:b/>
                <w:sz w:val="21"/>
              </w:rPr>
              <w:t>Import</w:t>
            </w:r>
            <w:r>
              <w:rPr>
                <w:b/>
                <w:spacing w:val="-7"/>
                <w:sz w:val="21"/>
              </w:rPr>
              <w:t xml:space="preserve"> </w:t>
            </w:r>
            <w:r>
              <w:rPr>
                <w:b/>
                <w:sz w:val="21"/>
              </w:rPr>
              <w:t>amount</w:t>
            </w:r>
            <w:r>
              <w:rPr>
                <w:b/>
                <w:spacing w:val="-6"/>
                <w:sz w:val="21"/>
              </w:rPr>
              <w:t xml:space="preserve"> </w:t>
            </w:r>
            <w:r>
              <w:rPr>
                <w:b/>
                <w:spacing w:val="-5"/>
                <w:sz w:val="21"/>
              </w:rPr>
              <w:t>(l)</w:t>
            </w:r>
          </w:p>
        </w:tc>
        <w:tc>
          <w:tcPr>
            <w:tcW w:w="2012" w:type="dxa"/>
            <w:tcBorders>
              <w:left w:val="single" w:sz="6" w:space="0" w:color="000000"/>
              <w:bottom w:val="single" w:sz="6" w:space="0" w:color="000000"/>
              <w:right w:val="single" w:sz="6" w:space="0" w:color="000000"/>
            </w:tcBorders>
          </w:tcPr>
          <w:p w14:paraId="51DE952B" w14:textId="77777777" w:rsidR="0010369C" w:rsidRDefault="0010369C">
            <w:pPr>
              <w:pStyle w:val="TableParagraph"/>
              <w:spacing w:before="2"/>
              <w:rPr>
                <w:sz w:val="15"/>
              </w:rPr>
            </w:pPr>
          </w:p>
          <w:p w14:paraId="51DE952C" w14:textId="77777777" w:rsidR="0010369C" w:rsidRDefault="008E43AE">
            <w:pPr>
              <w:pStyle w:val="TableParagraph"/>
              <w:ind w:left="161" w:right="150"/>
              <w:jc w:val="center"/>
              <w:rPr>
                <w:b/>
                <w:sz w:val="21"/>
              </w:rPr>
            </w:pPr>
            <w:r>
              <w:rPr>
                <w:b/>
                <w:sz w:val="21"/>
              </w:rPr>
              <w:t>Import</w:t>
            </w:r>
            <w:r>
              <w:rPr>
                <w:b/>
                <w:spacing w:val="-6"/>
                <w:sz w:val="21"/>
              </w:rPr>
              <w:t xml:space="preserve"> </w:t>
            </w:r>
            <w:r>
              <w:rPr>
                <w:b/>
                <w:sz w:val="21"/>
              </w:rPr>
              <w:t>value</w:t>
            </w:r>
            <w:r>
              <w:rPr>
                <w:b/>
                <w:spacing w:val="-6"/>
                <w:sz w:val="21"/>
              </w:rPr>
              <w:t xml:space="preserve"> </w:t>
            </w:r>
            <w:r>
              <w:rPr>
                <w:b/>
                <w:spacing w:val="-2"/>
                <w:sz w:val="21"/>
              </w:rPr>
              <w:t>(USD)</w:t>
            </w:r>
          </w:p>
        </w:tc>
        <w:tc>
          <w:tcPr>
            <w:tcW w:w="1928" w:type="dxa"/>
            <w:tcBorders>
              <w:left w:val="single" w:sz="6" w:space="0" w:color="000000"/>
              <w:bottom w:val="single" w:sz="6" w:space="0" w:color="000000"/>
            </w:tcBorders>
          </w:tcPr>
          <w:p w14:paraId="51DE952D" w14:textId="77777777" w:rsidR="0010369C" w:rsidRDefault="008E43AE">
            <w:pPr>
              <w:pStyle w:val="TableParagraph"/>
              <w:spacing w:before="58"/>
              <w:ind w:left="477" w:hanging="63"/>
              <w:rPr>
                <w:b/>
                <w:sz w:val="21"/>
              </w:rPr>
            </w:pPr>
            <w:r>
              <w:rPr>
                <w:b/>
                <w:sz w:val="21"/>
              </w:rPr>
              <w:t>Import</w:t>
            </w:r>
            <w:r>
              <w:rPr>
                <w:b/>
                <w:spacing w:val="-12"/>
                <w:sz w:val="21"/>
              </w:rPr>
              <w:t xml:space="preserve"> </w:t>
            </w:r>
            <w:r>
              <w:rPr>
                <w:b/>
                <w:sz w:val="21"/>
              </w:rPr>
              <w:t xml:space="preserve">price </w:t>
            </w:r>
            <w:r>
              <w:rPr>
                <w:b/>
                <w:spacing w:val="-2"/>
                <w:sz w:val="21"/>
              </w:rPr>
              <w:t>(USD/kl)</w:t>
            </w:r>
            <w:r>
              <w:rPr>
                <w:b/>
                <w:spacing w:val="-2"/>
                <w:sz w:val="21"/>
                <w:vertAlign w:val="superscript"/>
              </w:rPr>
              <w:t>931</w:t>
            </w:r>
          </w:p>
        </w:tc>
      </w:tr>
      <w:tr w:rsidR="0010369C" w14:paraId="51DE9533" w14:textId="77777777">
        <w:trPr>
          <w:trHeight w:val="371"/>
        </w:trPr>
        <w:tc>
          <w:tcPr>
            <w:tcW w:w="2088" w:type="dxa"/>
            <w:tcBorders>
              <w:top w:val="single" w:sz="6" w:space="0" w:color="000000"/>
              <w:right w:val="single" w:sz="6" w:space="0" w:color="000000"/>
            </w:tcBorders>
          </w:tcPr>
          <w:p w14:paraId="51DE952F" w14:textId="77777777" w:rsidR="0010369C" w:rsidRDefault="008E43AE">
            <w:pPr>
              <w:pStyle w:val="TableParagraph"/>
              <w:spacing w:before="56"/>
              <w:ind w:left="820"/>
              <w:rPr>
                <w:sz w:val="21"/>
              </w:rPr>
            </w:pPr>
            <w:r>
              <w:rPr>
                <w:spacing w:val="-4"/>
                <w:sz w:val="21"/>
              </w:rPr>
              <w:t>2019</w:t>
            </w:r>
          </w:p>
        </w:tc>
        <w:tc>
          <w:tcPr>
            <w:tcW w:w="2107" w:type="dxa"/>
            <w:tcBorders>
              <w:top w:val="single" w:sz="6" w:space="0" w:color="000000"/>
              <w:left w:val="single" w:sz="6" w:space="0" w:color="000000"/>
              <w:right w:val="single" w:sz="6" w:space="0" w:color="000000"/>
            </w:tcBorders>
          </w:tcPr>
          <w:p w14:paraId="51DE9530" w14:textId="77777777" w:rsidR="0010369C" w:rsidRDefault="008E43AE">
            <w:pPr>
              <w:pStyle w:val="TableParagraph"/>
              <w:spacing w:before="56"/>
              <w:ind w:left="263" w:right="253"/>
              <w:jc w:val="center"/>
              <w:rPr>
                <w:sz w:val="21"/>
              </w:rPr>
            </w:pPr>
            <w:r>
              <w:rPr>
                <w:spacing w:val="-2"/>
                <w:sz w:val="21"/>
              </w:rPr>
              <w:t>3,844</w:t>
            </w:r>
          </w:p>
        </w:tc>
        <w:tc>
          <w:tcPr>
            <w:tcW w:w="2012" w:type="dxa"/>
            <w:tcBorders>
              <w:top w:val="single" w:sz="6" w:space="0" w:color="000000"/>
              <w:left w:val="single" w:sz="6" w:space="0" w:color="000000"/>
              <w:right w:val="single" w:sz="6" w:space="0" w:color="000000"/>
            </w:tcBorders>
          </w:tcPr>
          <w:p w14:paraId="51DE9531" w14:textId="77777777" w:rsidR="0010369C" w:rsidRDefault="008E43AE">
            <w:pPr>
              <w:pStyle w:val="TableParagraph"/>
              <w:spacing w:before="56"/>
              <w:ind w:left="161" w:right="150"/>
              <w:jc w:val="center"/>
              <w:rPr>
                <w:sz w:val="21"/>
              </w:rPr>
            </w:pPr>
            <w:r>
              <w:rPr>
                <w:spacing w:val="-2"/>
                <w:sz w:val="21"/>
              </w:rPr>
              <w:t>77,000</w:t>
            </w:r>
          </w:p>
        </w:tc>
        <w:tc>
          <w:tcPr>
            <w:tcW w:w="1928" w:type="dxa"/>
            <w:tcBorders>
              <w:top w:val="single" w:sz="6" w:space="0" w:color="000000"/>
              <w:left w:val="single" w:sz="6" w:space="0" w:color="000000"/>
            </w:tcBorders>
          </w:tcPr>
          <w:p w14:paraId="51DE9532" w14:textId="77777777" w:rsidR="0010369C" w:rsidRDefault="008E43AE">
            <w:pPr>
              <w:pStyle w:val="TableParagraph"/>
              <w:spacing w:before="56"/>
              <w:ind w:left="652" w:right="640"/>
              <w:jc w:val="center"/>
              <w:rPr>
                <w:sz w:val="21"/>
              </w:rPr>
            </w:pPr>
            <w:r>
              <w:rPr>
                <w:spacing w:val="-2"/>
                <w:sz w:val="21"/>
              </w:rPr>
              <w:t>20,031</w:t>
            </w:r>
          </w:p>
        </w:tc>
      </w:tr>
    </w:tbl>
    <w:p w14:paraId="51DE9534" w14:textId="77777777" w:rsidR="0010369C" w:rsidRDefault="0010369C">
      <w:pPr>
        <w:pStyle w:val="BodyText"/>
        <w:rPr>
          <w:sz w:val="26"/>
        </w:rPr>
      </w:pPr>
    </w:p>
    <w:p w14:paraId="51DE9535" w14:textId="77777777" w:rsidR="0010369C" w:rsidRDefault="0010369C">
      <w:pPr>
        <w:pStyle w:val="BodyText"/>
        <w:spacing w:before="2"/>
        <w:rPr>
          <w:sz w:val="22"/>
        </w:rPr>
      </w:pPr>
    </w:p>
    <w:p w14:paraId="51DE9536" w14:textId="77777777" w:rsidR="0010369C" w:rsidRDefault="008E43AE">
      <w:pPr>
        <w:pStyle w:val="BodyText"/>
        <w:spacing w:line="360" w:lineRule="auto"/>
        <w:ind w:left="237" w:right="613" w:firstLine="852"/>
        <w:jc w:val="both"/>
      </w:pPr>
      <w:r>
        <w:rPr>
          <w:noProof/>
        </w:rPr>
        <w:drawing>
          <wp:anchor distT="0" distB="0" distL="0" distR="0" simplePos="0" relativeHeight="251383296" behindDoc="1" locked="0" layoutInCell="1" allowOverlap="1" wp14:anchorId="51DEA685" wp14:editId="51DEA686">
            <wp:simplePos x="0" y="0"/>
            <wp:positionH relativeFrom="page">
              <wp:posOffset>902208</wp:posOffset>
            </wp:positionH>
            <wp:positionV relativeFrom="paragraph">
              <wp:posOffset>48929</wp:posOffset>
            </wp:positionV>
            <wp:extent cx="262127" cy="100753"/>
            <wp:effectExtent l="0" t="0" r="0" b="0"/>
            <wp:wrapNone/>
            <wp:docPr id="1527" name="image7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 name="image791.png"/>
                    <pic:cNvPicPr/>
                  </pic:nvPicPr>
                  <pic:blipFill>
                    <a:blip r:embed="rId1044" cstate="print"/>
                    <a:stretch>
                      <a:fillRect/>
                    </a:stretch>
                  </pic:blipFill>
                  <pic:spPr>
                    <a:xfrm>
                      <a:off x="0" y="0"/>
                      <a:ext cx="262127" cy="100753"/>
                    </a:xfrm>
                    <a:prstGeom prst="rect">
                      <a:avLst/>
                    </a:prstGeom>
                  </pic:spPr>
                </pic:pic>
              </a:graphicData>
            </a:graphic>
          </wp:anchor>
        </w:drawing>
      </w:r>
      <w:r>
        <w:t>As</w:t>
      </w:r>
      <w:r>
        <w:rPr>
          <w:spacing w:val="-1"/>
        </w:rPr>
        <w:t xml:space="preserve"> </w:t>
      </w:r>
      <w:r>
        <w:t>the data indicates, only 3,844</w:t>
      </w:r>
      <w:r>
        <w:rPr>
          <w:spacing w:val="-1"/>
        </w:rPr>
        <w:t xml:space="preserve"> </w:t>
      </w:r>
      <w:r>
        <w:t>litres of Chinese</w:t>
      </w:r>
      <w:r>
        <w:rPr>
          <w:spacing w:val="-1"/>
        </w:rPr>
        <w:t xml:space="preserve"> </w:t>
      </w:r>
      <w:r>
        <w:t>wine were imported</w:t>
      </w:r>
      <w:r>
        <w:rPr>
          <w:spacing w:val="-1"/>
        </w:rPr>
        <w:t xml:space="preserve"> </w:t>
      </w:r>
      <w:r>
        <w:t>into Australia in 2019. The additional detail provided in Annex 11 to CADA's application shows that there were no imports at all in 6 out of the 12 months of that year, and around two thir</w:t>
      </w:r>
      <w:r>
        <w:t>ds of the total imports were made in the month of March. Based on figures contained elsewhere in CADA's</w:t>
      </w:r>
      <w:r>
        <w:rPr>
          <w:spacing w:val="-13"/>
        </w:rPr>
        <w:t xml:space="preserve"> </w:t>
      </w:r>
      <w:r>
        <w:t>application,</w:t>
      </w:r>
      <w:r>
        <w:rPr>
          <w:spacing w:val="-13"/>
        </w:rPr>
        <w:t xml:space="preserve"> </w:t>
      </w:r>
      <w:r>
        <w:t>this</w:t>
      </w:r>
      <w:r>
        <w:rPr>
          <w:spacing w:val="-14"/>
        </w:rPr>
        <w:t xml:space="preserve"> </w:t>
      </w:r>
      <w:r>
        <w:t>was</w:t>
      </w:r>
      <w:r>
        <w:rPr>
          <w:spacing w:val="-14"/>
        </w:rPr>
        <w:t xml:space="preserve"> </w:t>
      </w:r>
      <w:r>
        <w:t>equivalent</w:t>
      </w:r>
      <w:r>
        <w:rPr>
          <w:spacing w:val="-13"/>
        </w:rPr>
        <w:t xml:space="preserve"> </w:t>
      </w:r>
      <w:r>
        <w:t>to</w:t>
      </w:r>
      <w:r>
        <w:rPr>
          <w:spacing w:val="-13"/>
        </w:rPr>
        <w:t xml:space="preserve"> </w:t>
      </w:r>
      <w:r>
        <w:t>approximately</w:t>
      </w:r>
      <w:r>
        <w:rPr>
          <w:spacing w:val="-13"/>
        </w:rPr>
        <w:t xml:space="preserve"> </w:t>
      </w:r>
      <w:r>
        <w:t>0.003%</w:t>
      </w:r>
      <w:r>
        <w:rPr>
          <w:spacing w:val="-14"/>
        </w:rPr>
        <w:t xml:space="preserve"> </w:t>
      </w:r>
      <w:r>
        <w:t>of</w:t>
      </w:r>
      <w:r>
        <w:rPr>
          <w:spacing w:val="-14"/>
        </w:rPr>
        <w:t xml:space="preserve"> </w:t>
      </w:r>
      <w:r>
        <w:t>total</w:t>
      </w:r>
      <w:r>
        <w:rPr>
          <w:spacing w:val="-11"/>
        </w:rPr>
        <w:t xml:space="preserve"> </w:t>
      </w:r>
      <w:r>
        <w:t>imports</w:t>
      </w:r>
      <w:r>
        <w:rPr>
          <w:spacing w:val="-13"/>
        </w:rPr>
        <w:t xml:space="preserve"> </w:t>
      </w:r>
      <w:r>
        <w:t>of</w:t>
      </w:r>
      <w:r>
        <w:rPr>
          <w:spacing w:val="-14"/>
        </w:rPr>
        <w:t xml:space="preserve"> </w:t>
      </w:r>
      <w:r>
        <w:t>Australian wine</w:t>
      </w:r>
      <w:r>
        <w:rPr>
          <w:spacing w:val="-12"/>
        </w:rPr>
        <w:t xml:space="preserve"> </w:t>
      </w:r>
      <w:r>
        <w:t>into</w:t>
      </w:r>
      <w:r>
        <w:rPr>
          <w:spacing w:val="-11"/>
        </w:rPr>
        <w:t xml:space="preserve"> </w:t>
      </w:r>
      <w:r>
        <w:t>China</w:t>
      </w:r>
      <w:r>
        <w:rPr>
          <w:spacing w:val="-12"/>
        </w:rPr>
        <w:t xml:space="preserve"> </w:t>
      </w:r>
      <w:r>
        <w:t>in</w:t>
      </w:r>
      <w:r>
        <w:rPr>
          <w:spacing w:val="-12"/>
        </w:rPr>
        <w:t xml:space="preserve"> </w:t>
      </w:r>
      <w:r>
        <w:t>2019.</w:t>
      </w:r>
      <w:r>
        <w:rPr>
          <w:vertAlign w:val="superscript"/>
        </w:rPr>
        <w:t>932</w:t>
      </w:r>
      <w:r>
        <w:rPr>
          <w:spacing w:val="-12"/>
        </w:rPr>
        <w:t xml:space="preserve"> </w:t>
      </w:r>
      <w:r>
        <w:t>The</w:t>
      </w:r>
      <w:r>
        <w:rPr>
          <w:spacing w:val="-12"/>
        </w:rPr>
        <w:t xml:space="preserve"> </w:t>
      </w:r>
      <w:r>
        <w:t>trade</w:t>
      </w:r>
      <w:r>
        <w:rPr>
          <w:spacing w:val="-12"/>
        </w:rPr>
        <w:t xml:space="preserve"> </w:t>
      </w:r>
      <w:r>
        <w:t>data</w:t>
      </w:r>
      <w:r>
        <w:rPr>
          <w:spacing w:val="-12"/>
        </w:rPr>
        <w:t xml:space="preserve"> </w:t>
      </w:r>
      <w:r>
        <w:t>showed</w:t>
      </w:r>
      <w:r>
        <w:rPr>
          <w:spacing w:val="-13"/>
        </w:rPr>
        <w:t xml:space="preserve"> </w:t>
      </w:r>
      <w:r>
        <w:t>that</w:t>
      </w:r>
      <w:r>
        <w:rPr>
          <w:spacing w:val="-12"/>
        </w:rPr>
        <w:t xml:space="preserve"> </w:t>
      </w:r>
      <w:r>
        <w:t>sales</w:t>
      </w:r>
      <w:r>
        <w:rPr>
          <w:spacing w:val="-12"/>
        </w:rPr>
        <w:t xml:space="preserve"> </w:t>
      </w:r>
      <w:r>
        <w:t>of</w:t>
      </w:r>
      <w:r>
        <w:rPr>
          <w:spacing w:val="-12"/>
        </w:rPr>
        <w:t xml:space="preserve"> </w:t>
      </w:r>
      <w:r>
        <w:t>Chinese</w:t>
      </w:r>
      <w:r>
        <w:rPr>
          <w:spacing w:val="-11"/>
        </w:rPr>
        <w:t xml:space="preserve"> </w:t>
      </w:r>
      <w:r>
        <w:t>wine</w:t>
      </w:r>
      <w:r>
        <w:rPr>
          <w:spacing w:val="-12"/>
        </w:rPr>
        <w:t xml:space="preserve"> </w:t>
      </w:r>
      <w:r>
        <w:t>to</w:t>
      </w:r>
      <w:r>
        <w:rPr>
          <w:spacing w:val="-12"/>
        </w:rPr>
        <w:t xml:space="preserve"> </w:t>
      </w:r>
      <w:r>
        <w:t>Australia</w:t>
      </w:r>
      <w:r>
        <w:rPr>
          <w:spacing w:val="-13"/>
        </w:rPr>
        <w:t xml:space="preserve"> </w:t>
      </w:r>
      <w:r>
        <w:t>were erratic, and at low volumes, so may be characterised by speciality or novelty items that are not representative of the sales in an established trade relationship.</w:t>
      </w:r>
      <w:r>
        <w:rPr>
          <w:vertAlign w:val="superscript"/>
        </w:rPr>
        <w:t>933</w:t>
      </w:r>
    </w:p>
    <w:p w14:paraId="51DE9537" w14:textId="77777777" w:rsidR="0010369C" w:rsidRDefault="0010369C">
      <w:pPr>
        <w:pStyle w:val="BodyText"/>
        <w:spacing w:before="11"/>
        <w:rPr>
          <w:sz w:val="8"/>
        </w:rPr>
      </w:pPr>
    </w:p>
    <w:p w14:paraId="51DE9538" w14:textId="77777777" w:rsidR="0010369C" w:rsidRDefault="008E43AE">
      <w:pPr>
        <w:pStyle w:val="BodyText"/>
        <w:spacing w:before="52" w:line="360" w:lineRule="auto"/>
        <w:ind w:left="237" w:right="612" w:firstLine="852"/>
        <w:jc w:val="both"/>
      </w:pPr>
      <w:r>
        <w:rPr>
          <w:noProof/>
        </w:rPr>
        <w:drawing>
          <wp:anchor distT="0" distB="0" distL="0" distR="0" simplePos="0" relativeHeight="251384320" behindDoc="1" locked="0" layoutInCell="1" allowOverlap="1" wp14:anchorId="51DEA687" wp14:editId="51DEA688">
            <wp:simplePos x="0" y="0"/>
            <wp:positionH relativeFrom="page">
              <wp:posOffset>902208</wp:posOffset>
            </wp:positionH>
            <wp:positionV relativeFrom="paragraph">
              <wp:posOffset>76785</wp:posOffset>
            </wp:positionV>
            <wp:extent cx="262127" cy="106679"/>
            <wp:effectExtent l="0" t="0" r="0" b="0"/>
            <wp:wrapNone/>
            <wp:docPr id="1529" name="image7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 name="image792.png"/>
                    <pic:cNvPicPr/>
                  </pic:nvPicPr>
                  <pic:blipFill>
                    <a:blip r:embed="rId1045" cstate="print"/>
                    <a:stretch>
                      <a:fillRect/>
                    </a:stretch>
                  </pic:blipFill>
                  <pic:spPr>
                    <a:xfrm>
                      <a:off x="0" y="0"/>
                      <a:ext cx="262127" cy="106679"/>
                    </a:xfrm>
                    <a:prstGeom prst="rect">
                      <a:avLst/>
                    </a:prstGeom>
                  </pic:spPr>
                </pic:pic>
              </a:graphicData>
            </a:graphic>
          </wp:anchor>
        </w:drawing>
      </w:r>
      <w:r>
        <w:t>Third,</w:t>
      </w:r>
      <w:r>
        <w:rPr>
          <w:spacing w:val="-8"/>
        </w:rPr>
        <w:t xml:space="preserve"> </w:t>
      </w:r>
      <w:r>
        <w:t>even</w:t>
      </w:r>
      <w:r>
        <w:rPr>
          <w:spacing w:val="-9"/>
        </w:rPr>
        <w:t xml:space="preserve"> </w:t>
      </w:r>
      <w:r>
        <w:t>if</w:t>
      </w:r>
      <w:r>
        <w:rPr>
          <w:spacing w:val="-9"/>
        </w:rPr>
        <w:t xml:space="preserve"> </w:t>
      </w:r>
      <w:r>
        <w:t>the</w:t>
      </w:r>
      <w:r>
        <w:rPr>
          <w:spacing w:val="-8"/>
        </w:rPr>
        <w:t xml:space="preserve"> </w:t>
      </w:r>
      <w:r>
        <w:t>price</w:t>
      </w:r>
      <w:r>
        <w:rPr>
          <w:spacing w:val="-8"/>
        </w:rPr>
        <w:t xml:space="preserve"> </w:t>
      </w:r>
      <w:r>
        <w:t>of</w:t>
      </w:r>
      <w:r>
        <w:rPr>
          <w:spacing w:val="-9"/>
        </w:rPr>
        <w:t xml:space="preserve"> </w:t>
      </w:r>
      <w:r>
        <w:t>imported</w:t>
      </w:r>
      <w:r>
        <w:rPr>
          <w:spacing w:val="-8"/>
        </w:rPr>
        <w:t xml:space="preserve"> </w:t>
      </w:r>
      <w:r>
        <w:t>Chinese</w:t>
      </w:r>
      <w:r>
        <w:rPr>
          <w:spacing w:val="-8"/>
        </w:rPr>
        <w:t xml:space="preserve"> </w:t>
      </w:r>
      <w:r>
        <w:t>win</w:t>
      </w:r>
      <w:r>
        <w:t>e</w:t>
      </w:r>
      <w:r>
        <w:rPr>
          <w:spacing w:val="-9"/>
        </w:rPr>
        <w:t xml:space="preserve"> </w:t>
      </w:r>
      <w:r>
        <w:t>into</w:t>
      </w:r>
      <w:r>
        <w:rPr>
          <w:spacing w:val="-8"/>
        </w:rPr>
        <w:t xml:space="preserve"> </w:t>
      </w:r>
      <w:r>
        <w:t>Australia</w:t>
      </w:r>
      <w:r>
        <w:rPr>
          <w:spacing w:val="-9"/>
        </w:rPr>
        <w:t xml:space="preserve"> </w:t>
      </w:r>
      <w:r>
        <w:t>was</w:t>
      </w:r>
      <w:r>
        <w:rPr>
          <w:spacing w:val="-9"/>
        </w:rPr>
        <w:t xml:space="preserve"> </w:t>
      </w:r>
      <w:r>
        <w:t>a</w:t>
      </w:r>
      <w:r>
        <w:rPr>
          <w:spacing w:val="-9"/>
        </w:rPr>
        <w:t xml:space="preserve"> </w:t>
      </w:r>
      <w:r>
        <w:t>permitted</w:t>
      </w:r>
      <w:r>
        <w:rPr>
          <w:spacing w:val="-8"/>
        </w:rPr>
        <w:t xml:space="preserve"> </w:t>
      </w:r>
      <w:r>
        <w:t>basis for</w:t>
      </w:r>
      <w:r>
        <w:rPr>
          <w:spacing w:val="-2"/>
        </w:rPr>
        <w:t xml:space="preserve"> </w:t>
      </w:r>
      <w:r>
        <w:t>determining</w:t>
      </w:r>
      <w:r>
        <w:rPr>
          <w:spacing w:val="-2"/>
        </w:rPr>
        <w:t xml:space="preserve"> </w:t>
      </w:r>
      <w:r>
        <w:t>the</w:t>
      </w:r>
      <w:r>
        <w:rPr>
          <w:spacing w:val="-2"/>
        </w:rPr>
        <w:t xml:space="preserve"> </w:t>
      </w:r>
      <w:r>
        <w:t>normal</w:t>
      </w:r>
      <w:r>
        <w:rPr>
          <w:spacing w:val="-2"/>
        </w:rPr>
        <w:t xml:space="preserve"> </w:t>
      </w:r>
      <w:r>
        <w:t>value</w:t>
      </w:r>
      <w:r>
        <w:rPr>
          <w:spacing w:val="-2"/>
        </w:rPr>
        <w:t xml:space="preserve"> </w:t>
      </w:r>
      <w:r>
        <w:t>of</w:t>
      </w:r>
      <w:r>
        <w:rPr>
          <w:spacing w:val="-4"/>
        </w:rPr>
        <w:t xml:space="preserve"> </w:t>
      </w:r>
      <w:r>
        <w:t>Australian</w:t>
      </w:r>
      <w:r>
        <w:rPr>
          <w:spacing w:val="-3"/>
        </w:rPr>
        <w:t xml:space="preserve"> </w:t>
      </w:r>
      <w:r>
        <w:t>exported</w:t>
      </w:r>
      <w:r>
        <w:rPr>
          <w:spacing w:val="-4"/>
        </w:rPr>
        <w:t xml:space="preserve"> </w:t>
      </w:r>
      <w:r>
        <w:t>wine,</w:t>
      </w:r>
      <w:r>
        <w:rPr>
          <w:spacing w:val="-3"/>
        </w:rPr>
        <w:t xml:space="preserve"> </w:t>
      </w:r>
      <w:r>
        <w:t>CADA</w:t>
      </w:r>
      <w:r>
        <w:rPr>
          <w:spacing w:val="-2"/>
        </w:rPr>
        <w:t xml:space="preserve"> </w:t>
      </w:r>
      <w:r>
        <w:t>simply</w:t>
      </w:r>
      <w:r>
        <w:rPr>
          <w:spacing w:val="-2"/>
        </w:rPr>
        <w:t xml:space="preserve"> </w:t>
      </w:r>
      <w:r>
        <w:t>took</w:t>
      </w:r>
      <w:r>
        <w:rPr>
          <w:spacing w:val="-3"/>
        </w:rPr>
        <w:t xml:space="preserve"> </w:t>
      </w:r>
      <w:r>
        <w:t>the</w:t>
      </w:r>
      <w:r>
        <w:rPr>
          <w:spacing w:val="-2"/>
        </w:rPr>
        <w:t xml:space="preserve"> </w:t>
      </w:r>
      <w:r>
        <w:t>value</w:t>
      </w:r>
      <w:r>
        <w:rPr>
          <w:spacing w:val="-2"/>
        </w:rPr>
        <w:t xml:space="preserve"> </w:t>
      </w:r>
      <w:r>
        <w:t>of Chinese</w:t>
      </w:r>
      <w:r>
        <w:rPr>
          <w:spacing w:val="-8"/>
        </w:rPr>
        <w:t xml:space="preserve"> </w:t>
      </w:r>
      <w:r>
        <w:t>exports</w:t>
      </w:r>
      <w:r>
        <w:rPr>
          <w:spacing w:val="-8"/>
        </w:rPr>
        <w:t xml:space="preserve"> </w:t>
      </w:r>
      <w:r>
        <w:t>to</w:t>
      </w:r>
      <w:r>
        <w:rPr>
          <w:spacing w:val="-7"/>
        </w:rPr>
        <w:t xml:space="preserve"> </w:t>
      </w:r>
      <w:r>
        <w:t>Australia</w:t>
      </w:r>
      <w:r>
        <w:rPr>
          <w:spacing w:val="-8"/>
        </w:rPr>
        <w:t xml:space="preserve"> </w:t>
      </w:r>
      <w:r>
        <w:t>and</w:t>
      </w:r>
      <w:r>
        <w:rPr>
          <w:spacing w:val="-8"/>
        </w:rPr>
        <w:t xml:space="preserve"> </w:t>
      </w:r>
      <w:r>
        <w:t>made</w:t>
      </w:r>
      <w:r>
        <w:rPr>
          <w:spacing w:val="-7"/>
        </w:rPr>
        <w:t xml:space="preserve"> </w:t>
      </w:r>
      <w:r>
        <w:t>no</w:t>
      </w:r>
      <w:r>
        <w:rPr>
          <w:spacing w:val="-7"/>
        </w:rPr>
        <w:t xml:space="preserve"> </w:t>
      </w:r>
      <w:r>
        <w:t>attempt</w:t>
      </w:r>
      <w:r>
        <w:rPr>
          <w:spacing w:val="-8"/>
        </w:rPr>
        <w:t xml:space="preserve"> </w:t>
      </w:r>
      <w:r>
        <w:t>to</w:t>
      </w:r>
      <w:r>
        <w:rPr>
          <w:spacing w:val="-7"/>
        </w:rPr>
        <w:t xml:space="preserve"> </w:t>
      </w:r>
      <w:r>
        <w:t>apply</w:t>
      </w:r>
      <w:r>
        <w:rPr>
          <w:spacing w:val="-7"/>
        </w:rPr>
        <w:t xml:space="preserve"> </w:t>
      </w:r>
      <w:r>
        <w:t>adjustments</w:t>
      </w:r>
      <w:r>
        <w:rPr>
          <w:spacing w:val="-8"/>
        </w:rPr>
        <w:t xml:space="preserve"> </w:t>
      </w:r>
      <w:r>
        <w:t>to</w:t>
      </w:r>
      <w:r>
        <w:rPr>
          <w:spacing w:val="-7"/>
        </w:rPr>
        <w:t xml:space="preserve"> </w:t>
      </w:r>
      <w:r>
        <w:t>its</w:t>
      </w:r>
      <w:r>
        <w:rPr>
          <w:spacing w:val="-8"/>
        </w:rPr>
        <w:t xml:space="preserve"> </w:t>
      </w:r>
      <w:r>
        <w:t>identified</w:t>
      </w:r>
      <w:r>
        <w:rPr>
          <w:spacing w:val="-7"/>
        </w:rPr>
        <w:t xml:space="preserve"> </w:t>
      </w:r>
      <w:r>
        <w:t>value so</w:t>
      </w:r>
      <w:r>
        <w:rPr>
          <w:spacing w:val="-1"/>
        </w:rPr>
        <w:t xml:space="preserve"> </w:t>
      </w:r>
      <w:r>
        <w:t>as</w:t>
      </w:r>
      <w:r>
        <w:rPr>
          <w:spacing w:val="-2"/>
        </w:rPr>
        <w:t xml:space="preserve"> </w:t>
      </w:r>
      <w:r>
        <w:t>to</w:t>
      </w:r>
      <w:r>
        <w:rPr>
          <w:spacing w:val="-1"/>
        </w:rPr>
        <w:t xml:space="preserve"> </w:t>
      </w:r>
      <w:r>
        <w:t>accurately</w:t>
      </w:r>
      <w:r>
        <w:rPr>
          <w:spacing w:val="-1"/>
        </w:rPr>
        <w:t xml:space="preserve"> </w:t>
      </w:r>
      <w:r>
        <w:t>reflect</w:t>
      </w:r>
      <w:r>
        <w:rPr>
          <w:spacing w:val="-1"/>
        </w:rPr>
        <w:t xml:space="preserve"> </w:t>
      </w:r>
      <w:r>
        <w:t>the</w:t>
      </w:r>
      <w:r>
        <w:rPr>
          <w:spacing w:val="-1"/>
        </w:rPr>
        <w:t xml:space="preserve"> </w:t>
      </w:r>
      <w:r>
        <w:t>situation</w:t>
      </w:r>
      <w:r>
        <w:rPr>
          <w:spacing w:val="-1"/>
        </w:rPr>
        <w:t xml:space="preserve"> </w:t>
      </w:r>
      <w:r>
        <w:t>of</w:t>
      </w:r>
      <w:r>
        <w:rPr>
          <w:spacing w:val="-2"/>
        </w:rPr>
        <w:t xml:space="preserve"> </w:t>
      </w:r>
      <w:r>
        <w:t>Australian</w:t>
      </w:r>
      <w:r>
        <w:rPr>
          <w:spacing w:val="-2"/>
        </w:rPr>
        <w:t xml:space="preserve"> </w:t>
      </w:r>
      <w:r>
        <w:t>wines</w:t>
      </w:r>
      <w:r>
        <w:rPr>
          <w:spacing w:val="-2"/>
        </w:rPr>
        <w:t xml:space="preserve"> </w:t>
      </w:r>
      <w:r>
        <w:t>sold</w:t>
      </w:r>
      <w:r>
        <w:rPr>
          <w:spacing w:val="-1"/>
        </w:rPr>
        <w:t xml:space="preserve"> </w:t>
      </w:r>
      <w:r>
        <w:t>in</w:t>
      </w:r>
      <w:r>
        <w:rPr>
          <w:spacing w:val="-2"/>
        </w:rPr>
        <w:t xml:space="preserve"> </w:t>
      </w:r>
      <w:r>
        <w:t>the</w:t>
      </w:r>
      <w:r>
        <w:rPr>
          <w:spacing w:val="-1"/>
        </w:rPr>
        <w:t xml:space="preserve"> </w:t>
      </w:r>
      <w:r>
        <w:t>Australian</w:t>
      </w:r>
      <w:r>
        <w:rPr>
          <w:spacing w:val="-2"/>
        </w:rPr>
        <w:t xml:space="preserve"> </w:t>
      </w:r>
      <w:r>
        <w:t>market.</w:t>
      </w:r>
      <w:r>
        <w:rPr>
          <w:spacing w:val="-1"/>
        </w:rPr>
        <w:t xml:space="preserve"> </w:t>
      </w:r>
      <w:r>
        <w:t>The application</w:t>
      </w:r>
      <w:r>
        <w:rPr>
          <w:spacing w:val="-14"/>
        </w:rPr>
        <w:t xml:space="preserve"> </w:t>
      </w:r>
      <w:r>
        <w:t>identifies</w:t>
      </w:r>
      <w:r>
        <w:rPr>
          <w:spacing w:val="-12"/>
        </w:rPr>
        <w:t xml:space="preserve"> </w:t>
      </w:r>
      <w:r>
        <w:t>a</w:t>
      </w:r>
      <w:r>
        <w:rPr>
          <w:spacing w:val="-13"/>
        </w:rPr>
        <w:t xml:space="preserve"> </w:t>
      </w:r>
      <w:r>
        <w:t>range</w:t>
      </w:r>
      <w:r>
        <w:rPr>
          <w:spacing w:val="-13"/>
        </w:rPr>
        <w:t xml:space="preserve"> </w:t>
      </w:r>
      <w:r>
        <w:t>of</w:t>
      </w:r>
      <w:r>
        <w:rPr>
          <w:spacing w:val="-14"/>
        </w:rPr>
        <w:t xml:space="preserve"> </w:t>
      </w:r>
      <w:r>
        <w:t>matters</w:t>
      </w:r>
      <w:r>
        <w:rPr>
          <w:spacing w:val="-13"/>
        </w:rPr>
        <w:t xml:space="preserve"> </w:t>
      </w:r>
      <w:r>
        <w:t>in</w:t>
      </w:r>
      <w:r>
        <w:rPr>
          <w:spacing w:val="-14"/>
        </w:rPr>
        <w:t xml:space="preserve"> </w:t>
      </w:r>
      <w:r>
        <w:t>which</w:t>
      </w:r>
      <w:r>
        <w:rPr>
          <w:spacing w:val="-13"/>
        </w:rPr>
        <w:t xml:space="preserve"> </w:t>
      </w:r>
      <w:r>
        <w:t>adjustments</w:t>
      </w:r>
      <w:r>
        <w:rPr>
          <w:spacing w:val="-14"/>
        </w:rPr>
        <w:t xml:space="preserve"> </w:t>
      </w:r>
      <w:r>
        <w:t>would</w:t>
      </w:r>
      <w:r>
        <w:rPr>
          <w:spacing w:val="-13"/>
        </w:rPr>
        <w:t xml:space="preserve"> </w:t>
      </w:r>
      <w:r>
        <w:t>be</w:t>
      </w:r>
      <w:r>
        <w:rPr>
          <w:spacing w:val="-13"/>
        </w:rPr>
        <w:t xml:space="preserve"> </w:t>
      </w:r>
      <w:r>
        <w:t>appropriate,</w:t>
      </w:r>
      <w:r>
        <w:rPr>
          <w:spacing w:val="-14"/>
        </w:rPr>
        <w:t xml:space="preserve"> </w:t>
      </w:r>
      <w:r>
        <w:t>including "domestic</w:t>
      </w:r>
      <w:r>
        <w:rPr>
          <w:spacing w:val="-10"/>
        </w:rPr>
        <w:t xml:space="preserve"> </w:t>
      </w:r>
      <w:r>
        <w:t>freight,</w:t>
      </w:r>
      <w:r>
        <w:rPr>
          <w:spacing w:val="-11"/>
        </w:rPr>
        <w:t xml:space="preserve"> </w:t>
      </w:r>
      <w:r>
        <w:t>domestic</w:t>
      </w:r>
      <w:r>
        <w:rPr>
          <w:spacing w:val="-10"/>
        </w:rPr>
        <w:t xml:space="preserve"> </w:t>
      </w:r>
      <w:r>
        <w:t>insurance</w:t>
      </w:r>
      <w:r>
        <w:rPr>
          <w:spacing w:val="-9"/>
        </w:rPr>
        <w:t xml:space="preserve"> </w:t>
      </w:r>
      <w:r>
        <w:t>premium,</w:t>
      </w:r>
      <w:r>
        <w:rPr>
          <w:spacing w:val="-11"/>
        </w:rPr>
        <w:t xml:space="preserve"> </w:t>
      </w:r>
      <w:r>
        <w:t>packing</w:t>
      </w:r>
      <w:r>
        <w:rPr>
          <w:spacing w:val="-11"/>
        </w:rPr>
        <w:t xml:space="preserve"> </w:t>
      </w:r>
      <w:r>
        <w:t>charge,</w:t>
      </w:r>
      <w:r>
        <w:rPr>
          <w:spacing w:val="-11"/>
        </w:rPr>
        <w:t xml:space="preserve"> </w:t>
      </w:r>
      <w:r>
        <w:t>discount,</w:t>
      </w:r>
      <w:r>
        <w:rPr>
          <w:spacing w:val="-10"/>
        </w:rPr>
        <w:t xml:space="preserve"> </w:t>
      </w:r>
      <w:r>
        <w:t>commission,</w:t>
      </w:r>
      <w:r>
        <w:rPr>
          <w:spacing w:val="-11"/>
        </w:rPr>
        <w:t xml:space="preserve"> </w:t>
      </w:r>
      <w:r>
        <w:t>credit cost, storage charge and other charges" as well as "import tariffs", but said that on the basis of the "conservativism principle" no adjustments would be made. Although the application purported to identify the "normal value after adjust</w:t>
      </w:r>
      <w:r>
        <w:t>ment", in fact no adjustments were made.</w:t>
      </w:r>
      <w:r>
        <w:rPr>
          <w:vertAlign w:val="superscript"/>
        </w:rPr>
        <w:t>934</w:t>
      </w:r>
      <w:r>
        <w:rPr>
          <w:spacing w:val="2"/>
        </w:rPr>
        <w:t xml:space="preserve"> </w:t>
      </w:r>
      <w:r>
        <w:t>In</w:t>
      </w:r>
      <w:r>
        <w:rPr>
          <w:spacing w:val="2"/>
        </w:rPr>
        <w:t xml:space="preserve"> </w:t>
      </w:r>
      <w:r>
        <w:t>fact,</w:t>
      </w:r>
      <w:r>
        <w:rPr>
          <w:spacing w:val="2"/>
        </w:rPr>
        <w:t xml:space="preserve"> </w:t>
      </w:r>
      <w:r>
        <w:t>CADA</w:t>
      </w:r>
      <w:r>
        <w:rPr>
          <w:spacing w:val="3"/>
        </w:rPr>
        <w:t xml:space="preserve"> </w:t>
      </w:r>
      <w:r>
        <w:t>specifically</w:t>
      </w:r>
      <w:r>
        <w:rPr>
          <w:spacing w:val="4"/>
        </w:rPr>
        <w:t xml:space="preserve"> </w:t>
      </w:r>
      <w:r>
        <w:t>stated</w:t>
      </w:r>
      <w:r>
        <w:rPr>
          <w:spacing w:val="3"/>
        </w:rPr>
        <w:t xml:space="preserve"> </w:t>
      </w:r>
      <w:r>
        <w:t>that</w:t>
      </w:r>
      <w:r>
        <w:rPr>
          <w:spacing w:val="2"/>
        </w:rPr>
        <w:t xml:space="preserve"> </w:t>
      </w:r>
      <w:r>
        <w:t>"the</w:t>
      </w:r>
      <w:r>
        <w:rPr>
          <w:spacing w:val="1"/>
        </w:rPr>
        <w:t xml:space="preserve"> </w:t>
      </w:r>
      <w:r>
        <w:t>import</w:t>
      </w:r>
      <w:r>
        <w:rPr>
          <w:spacing w:val="4"/>
        </w:rPr>
        <w:t xml:space="preserve"> </w:t>
      </w:r>
      <w:r>
        <w:t>volume</w:t>
      </w:r>
      <w:r>
        <w:rPr>
          <w:spacing w:val="2"/>
        </w:rPr>
        <w:t xml:space="preserve"> </w:t>
      </w:r>
      <w:r>
        <w:t>of</w:t>
      </w:r>
      <w:r>
        <w:rPr>
          <w:spacing w:val="2"/>
        </w:rPr>
        <w:t xml:space="preserve"> </w:t>
      </w:r>
      <w:r>
        <w:t>like</w:t>
      </w:r>
      <w:r>
        <w:rPr>
          <w:spacing w:val="3"/>
        </w:rPr>
        <w:t xml:space="preserve"> </w:t>
      </w:r>
      <w:r>
        <w:t>products</w:t>
      </w:r>
      <w:r>
        <w:rPr>
          <w:spacing w:val="3"/>
        </w:rPr>
        <w:t xml:space="preserve"> </w:t>
      </w:r>
      <w:r>
        <w:rPr>
          <w:spacing w:val="-2"/>
        </w:rPr>
        <w:t>imported</w:t>
      </w:r>
    </w:p>
    <w:p w14:paraId="51DE9539" w14:textId="77777777" w:rsidR="0010369C" w:rsidRDefault="0010369C">
      <w:pPr>
        <w:pStyle w:val="BodyText"/>
        <w:rPr>
          <w:sz w:val="20"/>
        </w:rPr>
      </w:pPr>
    </w:p>
    <w:p w14:paraId="51DE953A" w14:textId="77777777" w:rsidR="0010369C" w:rsidRDefault="0010369C">
      <w:pPr>
        <w:pStyle w:val="BodyText"/>
        <w:rPr>
          <w:sz w:val="20"/>
        </w:rPr>
      </w:pPr>
    </w:p>
    <w:p w14:paraId="51DE953B" w14:textId="77777777" w:rsidR="0010369C" w:rsidRDefault="0010369C">
      <w:pPr>
        <w:pStyle w:val="BodyText"/>
        <w:rPr>
          <w:sz w:val="20"/>
        </w:rPr>
      </w:pPr>
    </w:p>
    <w:p w14:paraId="51DE953C" w14:textId="77777777" w:rsidR="0010369C" w:rsidRDefault="0010369C">
      <w:pPr>
        <w:pStyle w:val="BodyText"/>
        <w:rPr>
          <w:sz w:val="20"/>
        </w:rPr>
      </w:pPr>
    </w:p>
    <w:p w14:paraId="51DE953D" w14:textId="77777777" w:rsidR="0010369C" w:rsidRDefault="008E43AE">
      <w:pPr>
        <w:pStyle w:val="BodyText"/>
        <w:spacing w:before="9"/>
        <w:rPr>
          <w:sz w:val="27"/>
        </w:rPr>
      </w:pPr>
      <w:r>
        <w:pict w14:anchorId="51DEA689">
          <v:rect id="docshape1255" o:spid="_x0000_s1172" style="position:absolute;margin-left:70.9pt;margin-top:18.15pt;width:2in;height:.8pt;z-index:-250751488;mso-wrap-distance-left:0;mso-wrap-distance-right:0;mso-position-horizontal-relative:page" fillcolor="black" stroked="f">
            <w10:wrap type="topAndBottom" anchorx="page"/>
          </v:rect>
        </w:pict>
      </w:r>
    </w:p>
    <w:p w14:paraId="51DE953E" w14:textId="77777777" w:rsidR="0010369C" w:rsidRDefault="008E43AE">
      <w:pPr>
        <w:spacing w:before="109"/>
        <w:ind w:left="238" w:right="614" w:hanging="1"/>
        <w:rPr>
          <w:sz w:val="18"/>
        </w:rPr>
      </w:pPr>
      <w:r>
        <w:rPr>
          <w:sz w:val="18"/>
          <w:vertAlign w:val="superscript"/>
        </w:rPr>
        <w:t>930</w:t>
      </w:r>
      <w:r>
        <w:rPr>
          <w:sz w:val="18"/>
        </w:rPr>
        <w:t xml:space="preserve"> CADA Application for Anti‐Dumping Investigation (Exhibit AUS‐64), pp. 29‐30; and CADA Application for Anti‐Dumping Investigation, Annexes 1‐12 (Part 1) (Exhibit AUS‐90), Annex 11.</w:t>
      </w:r>
    </w:p>
    <w:p w14:paraId="51DE953F" w14:textId="77777777" w:rsidR="0010369C" w:rsidRDefault="008E43AE">
      <w:pPr>
        <w:spacing w:line="219" w:lineRule="exact"/>
        <w:ind w:left="238"/>
        <w:rPr>
          <w:sz w:val="18"/>
        </w:rPr>
      </w:pPr>
      <w:r>
        <w:rPr>
          <w:sz w:val="18"/>
          <w:vertAlign w:val="superscript"/>
        </w:rPr>
        <w:t>931</w:t>
      </w:r>
      <w:r>
        <w:rPr>
          <w:spacing w:val="-5"/>
          <w:sz w:val="18"/>
        </w:rPr>
        <w:t xml:space="preserve"> </w:t>
      </w:r>
      <w:r>
        <w:rPr>
          <w:sz w:val="18"/>
        </w:rPr>
        <w:t>Import</w:t>
      </w:r>
      <w:r>
        <w:rPr>
          <w:spacing w:val="-5"/>
          <w:sz w:val="18"/>
        </w:rPr>
        <w:t xml:space="preserve"> </w:t>
      </w:r>
      <w:r>
        <w:rPr>
          <w:sz w:val="18"/>
        </w:rPr>
        <w:t>price</w:t>
      </w:r>
      <w:r>
        <w:rPr>
          <w:spacing w:val="-3"/>
          <w:sz w:val="18"/>
        </w:rPr>
        <w:t xml:space="preserve"> </w:t>
      </w:r>
      <w:r>
        <w:rPr>
          <w:sz w:val="18"/>
        </w:rPr>
        <w:t>=</w:t>
      </w:r>
      <w:r>
        <w:rPr>
          <w:spacing w:val="-5"/>
          <w:sz w:val="18"/>
        </w:rPr>
        <w:t xml:space="preserve"> </w:t>
      </w:r>
      <w:r>
        <w:rPr>
          <w:sz w:val="18"/>
        </w:rPr>
        <w:t>import</w:t>
      </w:r>
      <w:r>
        <w:rPr>
          <w:spacing w:val="-5"/>
          <w:sz w:val="18"/>
        </w:rPr>
        <w:t xml:space="preserve"> </w:t>
      </w:r>
      <w:r>
        <w:rPr>
          <w:sz w:val="18"/>
        </w:rPr>
        <w:t>value</w:t>
      </w:r>
      <w:r>
        <w:rPr>
          <w:spacing w:val="-4"/>
          <w:sz w:val="18"/>
        </w:rPr>
        <w:t xml:space="preserve"> </w:t>
      </w:r>
      <w:r>
        <w:rPr>
          <w:sz w:val="18"/>
        </w:rPr>
        <w:t>/</w:t>
      </w:r>
      <w:r>
        <w:rPr>
          <w:spacing w:val="-5"/>
          <w:sz w:val="18"/>
        </w:rPr>
        <w:t xml:space="preserve"> </w:t>
      </w:r>
      <w:r>
        <w:rPr>
          <w:sz w:val="18"/>
        </w:rPr>
        <w:t>import</w:t>
      </w:r>
      <w:r>
        <w:rPr>
          <w:spacing w:val="-4"/>
          <w:sz w:val="18"/>
        </w:rPr>
        <w:t xml:space="preserve"> </w:t>
      </w:r>
      <w:r>
        <w:rPr>
          <w:sz w:val="18"/>
        </w:rPr>
        <w:t>volume</w:t>
      </w:r>
      <w:r>
        <w:rPr>
          <w:spacing w:val="-5"/>
          <w:sz w:val="18"/>
        </w:rPr>
        <w:t xml:space="preserve"> </w:t>
      </w:r>
      <w:r>
        <w:rPr>
          <w:sz w:val="18"/>
        </w:rPr>
        <w:t>x</w:t>
      </w:r>
      <w:r>
        <w:rPr>
          <w:spacing w:val="-5"/>
          <w:sz w:val="18"/>
        </w:rPr>
        <w:t xml:space="preserve"> </w:t>
      </w:r>
      <w:r>
        <w:rPr>
          <w:spacing w:val="-2"/>
          <w:sz w:val="18"/>
        </w:rPr>
        <w:t>1,000</w:t>
      </w:r>
    </w:p>
    <w:p w14:paraId="51DE9540" w14:textId="77777777" w:rsidR="0010369C" w:rsidRDefault="008E43AE">
      <w:pPr>
        <w:ind w:left="238" w:right="614" w:hanging="1"/>
        <w:rPr>
          <w:sz w:val="18"/>
        </w:rPr>
      </w:pPr>
      <w:r>
        <w:rPr>
          <w:sz w:val="18"/>
          <w:vertAlign w:val="superscript"/>
        </w:rPr>
        <w:t>932</w:t>
      </w:r>
      <w:r>
        <w:rPr>
          <w:spacing w:val="-2"/>
          <w:sz w:val="18"/>
        </w:rPr>
        <w:t xml:space="preserve"> </w:t>
      </w:r>
      <w:r>
        <w:rPr>
          <w:sz w:val="18"/>
        </w:rPr>
        <w:t>CADA</w:t>
      </w:r>
      <w:r>
        <w:rPr>
          <w:spacing w:val="-2"/>
          <w:sz w:val="18"/>
        </w:rPr>
        <w:t xml:space="preserve"> </w:t>
      </w:r>
      <w:r>
        <w:rPr>
          <w:sz w:val="18"/>
        </w:rPr>
        <w:t>Application</w:t>
      </w:r>
      <w:r>
        <w:rPr>
          <w:spacing w:val="-2"/>
          <w:sz w:val="18"/>
        </w:rPr>
        <w:t xml:space="preserve"> </w:t>
      </w:r>
      <w:r>
        <w:rPr>
          <w:sz w:val="18"/>
        </w:rPr>
        <w:t>for</w:t>
      </w:r>
      <w:r>
        <w:rPr>
          <w:spacing w:val="-3"/>
          <w:sz w:val="18"/>
        </w:rPr>
        <w:t xml:space="preserve"> </w:t>
      </w:r>
      <w:r>
        <w:rPr>
          <w:sz w:val="18"/>
        </w:rPr>
        <w:t>Anti‐Dumping</w:t>
      </w:r>
      <w:r>
        <w:rPr>
          <w:spacing w:val="-2"/>
          <w:sz w:val="18"/>
        </w:rPr>
        <w:t xml:space="preserve"> </w:t>
      </w:r>
      <w:r>
        <w:rPr>
          <w:sz w:val="18"/>
        </w:rPr>
        <w:t>Investigation</w:t>
      </w:r>
      <w:r>
        <w:rPr>
          <w:spacing w:val="-2"/>
          <w:sz w:val="18"/>
        </w:rPr>
        <w:t xml:space="preserve"> </w:t>
      </w:r>
      <w:r>
        <w:rPr>
          <w:sz w:val="18"/>
        </w:rPr>
        <w:t>(Exhibit</w:t>
      </w:r>
      <w:r>
        <w:rPr>
          <w:spacing w:val="-2"/>
          <w:sz w:val="18"/>
        </w:rPr>
        <w:t xml:space="preserve"> </w:t>
      </w:r>
      <w:r>
        <w:rPr>
          <w:sz w:val="18"/>
        </w:rPr>
        <w:t>AUS‐64);</w:t>
      </w:r>
      <w:r>
        <w:rPr>
          <w:spacing w:val="-3"/>
          <w:sz w:val="18"/>
        </w:rPr>
        <w:t xml:space="preserve"> </w:t>
      </w:r>
      <w:r>
        <w:rPr>
          <w:sz w:val="18"/>
        </w:rPr>
        <w:t>and</w:t>
      </w:r>
      <w:r>
        <w:rPr>
          <w:spacing w:val="-2"/>
          <w:sz w:val="18"/>
        </w:rPr>
        <w:t xml:space="preserve"> </w:t>
      </w:r>
      <w:r>
        <w:rPr>
          <w:sz w:val="18"/>
        </w:rPr>
        <w:t>CADA</w:t>
      </w:r>
      <w:r>
        <w:rPr>
          <w:spacing w:val="-3"/>
          <w:sz w:val="18"/>
        </w:rPr>
        <w:t xml:space="preserve"> </w:t>
      </w:r>
      <w:r>
        <w:rPr>
          <w:sz w:val="18"/>
        </w:rPr>
        <w:t>Application</w:t>
      </w:r>
      <w:r>
        <w:rPr>
          <w:spacing w:val="-3"/>
          <w:sz w:val="18"/>
        </w:rPr>
        <w:t xml:space="preserve"> </w:t>
      </w:r>
      <w:r>
        <w:rPr>
          <w:sz w:val="18"/>
        </w:rPr>
        <w:t>for</w:t>
      </w:r>
      <w:r>
        <w:rPr>
          <w:spacing w:val="-3"/>
          <w:sz w:val="18"/>
        </w:rPr>
        <w:t xml:space="preserve"> </w:t>
      </w:r>
      <w:r>
        <w:rPr>
          <w:sz w:val="18"/>
        </w:rPr>
        <w:t>Anti‐Dumping</w:t>
      </w:r>
      <w:r>
        <w:rPr>
          <w:spacing w:val="-2"/>
          <w:sz w:val="18"/>
        </w:rPr>
        <w:t xml:space="preserve"> </w:t>
      </w:r>
      <w:r>
        <w:rPr>
          <w:sz w:val="18"/>
        </w:rPr>
        <w:t>Investigation, Annexes 1‐12 (Part 1) (Exhibit AUS‐90), Annex 8.</w:t>
      </w:r>
    </w:p>
    <w:p w14:paraId="51DE9541" w14:textId="77777777" w:rsidR="0010369C" w:rsidRDefault="008E43AE">
      <w:pPr>
        <w:spacing w:before="1"/>
        <w:ind w:left="238" w:right="614" w:hanging="1"/>
        <w:rPr>
          <w:sz w:val="18"/>
        </w:rPr>
      </w:pPr>
      <w:r>
        <w:rPr>
          <w:sz w:val="18"/>
          <w:vertAlign w:val="superscript"/>
        </w:rPr>
        <w:t>933</w:t>
      </w:r>
      <w:r>
        <w:rPr>
          <w:spacing w:val="-2"/>
          <w:sz w:val="18"/>
        </w:rPr>
        <w:t xml:space="preserve"> </w:t>
      </w:r>
      <w:r>
        <w:rPr>
          <w:sz w:val="18"/>
        </w:rPr>
        <w:t>CADA</w:t>
      </w:r>
      <w:r>
        <w:rPr>
          <w:spacing w:val="-2"/>
          <w:sz w:val="18"/>
        </w:rPr>
        <w:t xml:space="preserve"> </w:t>
      </w:r>
      <w:r>
        <w:rPr>
          <w:sz w:val="18"/>
        </w:rPr>
        <w:t>Application</w:t>
      </w:r>
      <w:r>
        <w:rPr>
          <w:spacing w:val="-2"/>
          <w:sz w:val="18"/>
        </w:rPr>
        <w:t xml:space="preserve"> </w:t>
      </w:r>
      <w:r>
        <w:rPr>
          <w:sz w:val="18"/>
        </w:rPr>
        <w:t>for</w:t>
      </w:r>
      <w:r>
        <w:rPr>
          <w:spacing w:val="-3"/>
          <w:sz w:val="18"/>
        </w:rPr>
        <w:t xml:space="preserve"> </w:t>
      </w:r>
      <w:r>
        <w:rPr>
          <w:sz w:val="18"/>
        </w:rPr>
        <w:t>Anti‐Dumping</w:t>
      </w:r>
      <w:r>
        <w:rPr>
          <w:spacing w:val="-2"/>
          <w:sz w:val="18"/>
        </w:rPr>
        <w:t xml:space="preserve"> </w:t>
      </w:r>
      <w:r>
        <w:rPr>
          <w:sz w:val="18"/>
        </w:rPr>
        <w:t>Investigation</w:t>
      </w:r>
      <w:r>
        <w:rPr>
          <w:spacing w:val="-2"/>
          <w:sz w:val="18"/>
        </w:rPr>
        <w:t xml:space="preserve"> </w:t>
      </w:r>
      <w:r>
        <w:rPr>
          <w:sz w:val="18"/>
        </w:rPr>
        <w:t>(Exhibit</w:t>
      </w:r>
      <w:r>
        <w:rPr>
          <w:spacing w:val="-2"/>
          <w:sz w:val="18"/>
        </w:rPr>
        <w:t xml:space="preserve"> </w:t>
      </w:r>
      <w:r>
        <w:rPr>
          <w:sz w:val="18"/>
        </w:rPr>
        <w:t>AUS‐64);</w:t>
      </w:r>
      <w:r>
        <w:rPr>
          <w:spacing w:val="-3"/>
          <w:sz w:val="18"/>
        </w:rPr>
        <w:t xml:space="preserve"> </w:t>
      </w:r>
      <w:r>
        <w:rPr>
          <w:sz w:val="18"/>
        </w:rPr>
        <w:t>and</w:t>
      </w:r>
      <w:r>
        <w:rPr>
          <w:spacing w:val="-2"/>
          <w:sz w:val="18"/>
        </w:rPr>
        <w:t xml:space="preserve"> </w:t>
      </w:r>
      <w:r>
        <w:rPr>
          <w:sz w:val="18"/>
        </w:rPr>
        <w:t>CADA</w:t>
      </w:r>
      <w:r>
        <w:rPr>
          <w:spacing w:val="-3"/>
          <w:sz w:val="18"/>
        </w:rPr>
        <w:t xml:space="preserve"> </w:t>
      </w:r>
      <w:r>
        <w:rPr>
          <w:sz w:val="18"/>
        </w:rPr>
        <w:t>Application</w:t>
      </w:r>
      <w:r>
        <w:rPr>
          <w:spacing w:val="-3"/>
          <w:sz w:val="18"/>
        </w:rPr>
        <w:t xml:space="preserve"> </w:t>
      </w:r>
      <w:r>
        <w:rPr>
          <w:sz w:val="18"/>
        </w:rPr>
        <w:t>fo</w:t>
      </w:r>
      <w:r>
        <w:rPr>
          <w:sz w:val="18"/>
        </w:rPr>
        <w:t>r</w:t>
      </w:r>
      <w:r>
        <w:rPr>
          <w:spacing w:val="-3"/>
          <w:sz w:val="18"/>
        </w:rPr>
        <w:t xml:space="preserve"> </w:t>
      </w:r>
      <w:r>
        <w:rPr>
          <w:sz w:val="18"/>
        </w:rPr>
        <w:t>Anti‐Dumping</w:t>
      </w:r>
      <w:r>
        <w:rPr>
          <w:spacing w:val="-2"/>
          <w:sz w:val="18"/>
        </w:rPr>
        <w:t xml:space="preserve"> </w:t>
      </w:r>
      <w:r>
        <w:rPr>
          <w:sz w:val="18"/>
        </w:rPr>
        <w:t>Investigation, Annexes 1‐12 (Part 1) (Exhibit AUS‐90), Annex 11.</w:t>
      </w:r>
    </w:p>
    <w:p w14:paraId="51DE9542" w14:textId="77777777" w:rsidR="0010369C" w:rsidRDefault="008E43AE">
      <w:pPr>
        <w:spacing w:line="219" w:lineRule="exact"/>
        <w:ind w:left="238"/>
        <w:rPr>
          <w:sz w:val="18"/>
        </w:rPr>
      </w:pPr>
      <w:r>
        <w:rPr>
          <w:sz w:val="18"/>
          <w:vertAlign w:val="superscript"/>
        </w:rPr>
        <w:t>934</w:t>
      </w:r>
      <w:r>
        <w:rPr>
          <w:spacing w:val="-10"/>
          <w:sz w:val="18"/>
        </w:rPr>
        <w:t xml:space="preserve"> </w:t>
      </w:r>
      <w:r>
        <w:rPr>
          <w:sz w:val="18"/>
        </w:rPr>
        <w:t>CADA</w:t>
      </w:r>
      <w:r>
        <w:rPr>
          <w:spacing w:val="-9"/>
          <w:sz w:val="18"/>
        </w:rPr>
        <w:t xml:space="preserve"> </w:t>
      </w:r>
      <w:r>
        <w:rPr>
          <w:sz w:val="18"/>
        </w:rPr>
        <w:t>Application</w:t>
      </w:r>
      <w:r>
        <w:rPr>
          <w:spacing w:val="-9"/>
          <w:sz w:val="18"/>
        </w:rPr>
        <w:t xml:space="preserve"> </w:t>
      </w:r>
      <w:r>
        <w:rPr>
          <w:sz w:val="18"/>
        </w:rPr>
        <w:t>for</w:t>
      </w:r>
      <w:r>
        <w:rPr>
          <w:spacing w:val="-10"/>
          <w:sz w:val="18"/>
        </w:rPr>
        <w:t xml:space="preserve"> </w:t>
      </w:r>
      <w:r>
        <w:rPr>
          <w:sz w:val="18"/>
        </w:rPr>
        <w:t>Anti‐Dumping</w:t>
      </w:r>
      <w:r>
        <w:rPr>
          <w:spacing w:val="-9"/>
          <w:sz w:val="18"/>
        </w:rPr>
        <w:t xml:space="preserve"> </w:t>
      </w:r>
      <w:r>
        <w:rPr>
          <w:sz w:val="18"/>
        </w:rPr>
        <w:t>Investigation</w:t>
      </w:r>
      <w:r>
        <w:rPr>
          <w:spacing w:val="-9"/>
          <w:sz w:val="18"/>
        </w:rPr>
        <w:t xml:space="preserve"> </w:t>
      </w:r>
      <w:r>
        <w:rPr>
          <w:sz w:val="18"/>
        </w:rPr>
        <w:t>(Exhibit</w:t>
      </w:r>
      <w:r>
        <w:rPr>
          <w:spacing w:val="-10"/>
          <w:sz w:val="18"/>
        </w:rPr>
        <w:t xml:space="preserve"> </w:t>
      </w:r>
      <w:r>
        <w:rPr>
          <w:sz w:val="18"/>
        </w:rPr>
        <w:t>AUS‐64),</w:t>
      </w:r>
      <w:r>
        <w:rPr>
          <w:spacing w:val="-10"/>
          <w:sz w:val="18"/>
        </w:rPr>
        <w:t xml:space="preserve"> </w:t>
      </w:r>
      <w:r>
        <w:rPr>
          <w:sz w:val="18"/>
        </w:rPr>
        <w:t>pp.</w:t>
      </w:r>
      <w:r>
        <w:rPr>
          <w:spacing w:val="-9"/>
          <w:sz w:val="18"/>
        </w:rPr>
        <w:t xml:space="preserve"> </w:t>
      </w:r>
      <w:r>
        <w:rPr>
          <w:spacing w:val="-2"/>
          <w:sz w:val="18"/>
        </w:rPr>
        <w:t>29‐30.</w:t>
      </w:r>
    </w:p>
    <w:p w14:paraId="51DE9543" w14:textId="77777777" w:rsidR="0010369C" w:rsidRDefault="0010369C">
      <w:pPr>
        <w:spacing w:line="219" w:lineRule="exact"/>
        <w:rPr>
          <w:sz w:val="18"/>
        </w:rPr>
        <w:sectPr w:rsidR="0010369C">
          <w:pgSz w:w="11910" w:h="16840"/>
          <w:pgMar w:top="880" w:right="800" w:bottom="980" w:left="1180" w:header="569" w:footer="788" w:gutter="0"/>
          <w:cols w:space="720"/>
        </w:sectPr>
      </w:pPr>
    </w:p>
    <w:p w14:paraId="51DE9544" w14:textId="77777777" w:rsidR="0010369C" w:rsidRDefault="008E43AE">
      <w:pPr>
        <w:tabs>
          <w:tab w:val="left" w:pos="6426"/>
        </w:tabs>
        <w:ind w:left="238"/>
        <w:rPr>
          <w:sz w:val="20"/>
        </w:rPr>
      </w:pPr>
      <w:r>
        <w:rPr>
          <w:i/>
          <w:sz w:val="20"/>
        </w:rPr>
        <w:lastRenderedPageBreak/>
        <w:t>China</w:t>
      </w:r>
      <w:r>
        <w:rPr>
          <w:i/>
          <w:spacing w:val="-5"/>
          <w:sz w:val="20"/>
        </w:rPr>
        <w:t xml:space="preserve"> </w:t>
      </w:r>
      <w:r>
        <w:rPr>
          <w:i/>
          <w:sz w:val="20"/>
        </w:rPr>
        <w:t>–</w:t>
      </w:r>
      <w:r>
        <w:rPr>
          <w:i/>
          <w:spacing w:val="-5"/>
          <w:sz w:val="20"/>
        </w:rPr>
        <w:t xml:space="preserve"> </w:t>
      </w:r>
      <w:r>
        <w:rPr>
          <w:i/>
          <w:sz w:val="20"/>
        </w:rPr>
        <w:t>Anti‐Dumping</w:t>
      </w:r>
      <w:r>
        <w:rPr>
          <w:i/>
          <w:spacing w:val="-4"/>
          <w:sz w:val="20"/>
        </w:rPr>
        <w:t xml:space="preserve"> </w:t>
      </w:r>
      <w:r>
        <w:rPr>
          <w:i/>
          <w:sz w:val="20"/>
        </w:rPr>
        <w:t>and</w:t>
      </w:r>
      <w:r>
        <w:rPr>
          <w:i/>
          <w:spacing w:val="-5"/>
          <w:sz w:val="20"/>
        </w:rPr>
        <w:t xml:space="preserve"> </w:t>
      </w:r>
      <w:r>
        <w:rPr>
          <w:i/>
          <w:sz w:val="20"/>
        </w:rPr>
        <w:t>Countervailing</w:t>
      </w:r>
      <w:r>
        <w:rPr>
          <w:i/>
          <w:spacing w:val="-5"/>
          <w:sz w:val="20"/>
        </w:rPr>
        <w:t xml:space="preserve"> </w:t>
      </w:r>
      <w:r>
        <w:rPr>
          <w:i/>
          <w:sz w:val="20"/>
        </w:rPr>
        <w:t>Duty</w:t>
      </w:r>
      <w:r>
        <w:rPr>
          <w:i/>
          <w:spacing w:val="-4"/>
          <w:sz w:val="20"/>
        </w:rPr>
        <w:t xml:space="preserve"> </w:t>
      </w:r>
      <w:r>
        <w:rPr>
          <w:i/>
          <w:spacing w:val="-2"/>
          <w:sz w:val="20"/>
        </w:rPr>
        <w:t>Measures</w:t>
      </w:r>
      <w:r>
        <w:rPr>
          <w:i/>
          <w:sz w:val="20"/>
        </w:rPr>
        <w:tab/>
      </w:r>
      <w:r>
        <w:rPr>
          <w:sz w:val="20"/>
        </w:rPr>
        <w:t>Australia's</w:t>
      </w:r>
      <w:r>
        <w:rPr>
          <w:spacing w:val="-7"/>
          <w:sz w:val="20"/>
        </w:rPr>
        <w:t xml:space="preserve"> </w:t>
      </w:r>
      <w:r>
        <w:rPr>
          <w:sz w:val="20"/>
        </w:rPr>
        <w:t>First</w:t>
      </w:r>
      <w:r>
        <w:rPr>
          <w:spacing w:val="-2"/>
          <w:sz w:val="20"/>
        </w:rPr>
        <w:t xml:space="preserve"> </w:t>
      </w:r>
      <w:r>
        <w:rPr>
          <w:sz w:val="20"/>
        </w:rPr>
        <w:t>Written</w:t>
      </w:r>
      <w:r>
        <w:rPr>
          <w:spacing w:val="-2"/>
          <w:sz w:val="20"/>
        </w:rPr>
        <w:t xml:space="preserve"> Submission</w:t>
      </w:r>
    </w:p>
    <w:p w14:paraId="51DE9545" w14:textId="77777777" w:rsidR="0010369C" w:rsidRDefault="008E43AE">
      <w:pPr>
        <w:tabs>
          <w:tab w:val="left" w:pos="8228"/>
        </w:tabs>
        <w:spacing w:before="1"/>
        <w:ind w:left="239"/>
        <w:rPr>
          <w:sz w:val="20"/>
        </w:rPr>
      </w:pPr>
      <w:r>
        <w:rPr>
          <w:i/>
          <w:sz w:val="20"/>
        </w:rPr>
        <w:t>on</w:t>
      </w:r>
      <w:r>
        <w:rPr>
          <w:i/>
          <w:spacing w:val="-1"/>
          <w:sz w:val="20"/>
        </w:rPr>
        <w:t xml:space="preserve"> </w:t>
      </w:r>
      <w:r>
        <w:rPr>
          <w:i/>
          <w:sz w:val="20"/>
        </w:rPr>
        <w:t>Wine</w:t>
      </w:r>
      <w:r>
        <w:rPr>
          <w:i/>
          <w:spacing w:val="-1"/>
          <w:sz w:val="20"/>
        </w:rPr>
        <w:t xml:space="preserve"> </w:t>
      </w:r>
      <w:r>
        <w:rPr>
          <w:i/>
          <w:sz w:val="20"/>
        </w:rPr>
        <w:t>from</w:t>
      </w:r>
      <w:r>
        <w:rPr>
          <w:i/>
          <w:spacing w:val="-3"/>
          <w:sz w:val="20"/>
        </w:rPr>
        <w:t xml:space="preserve"> </w:t>
      </w:r>
      <w:r>
        <w:rPr>
          <w:i/>
          <w:sz w:val="20"/>
        </w:rPr>
        <w:t>Australia</w:t>
      </w:r>
      <w:r>
        <w:rPr>
          <w:i/>
          <w:spacing w:val="-1"/>
          <w:sz w:val="20"/>
        </w:rPr>
        <w:t xml:space="preserve"> </w:t>
      </w:r>
      <w:r>
        <w:rPr>
          <w:spacing w:val="-2"/>
          <w:sz w:val="20"/>
        </w:rPr>
        <w:t>(DS602)</w:t>
      </w:r>
      <w:r>
        <w:rPr>
          <w:sz w:val="20"/>
        </w:rPr>
        <w:tab/>
        <w:t>29</w:t>
      </w:r>
      <w:r>
        <w:rPr>
          <w:spacing w:val="-1"/>
          <w:sz w:val="20"/>
        </w:rPr>
        <w:t xml:space="preserve"> </w:t>
      </w:r>
      <w:r>
        <w:rPr>
          <w:sz w:val="20"/>
        </w:rPr>
        <w:t>April</w:t>
      </w:r>
      <w:r>
        <w:rPr>
          <w:spacing w:val="-2"/>
          <w:sz w:val="20"/>
        </w:rPr>
        <w:t xml:space="preserve"> </w:t>
      </w:r>
      <w:r>
        <w:rPr>
          <w:spacing w:val="-4"/>
          <w:sz w:val="20"/>
        </w:rPr>
        <w:t>2022</w:t>
      </w:r>
    </w:p>
    <w:p w14:paraId="51DE9546" w14:textId="77777777" w:rsidR="0010369C" w:rsidRDefault="008E43AE">
      <w:pPr>
        <w:pStyle w:val="BodyText"/>
        <w:spacing w:before="34" w:line="360" w:lineRule="auto"/>
        <w:ind w:left="237" w:right="614"/>
      </w:pPr>
      <w:r>
        <w:t>from China to Australia is representative and comparable," which is clearly not the case, as discussed above.</w:t>
      </w:r>
      <w:r>
        <w:rPr>
          <w:vertAlign w:val="superscript"/>
        </w:rPr>
        <w:t>935</w:t>
      </w:r>
    </w:p>
    <w:p w14:paraId="51DE9547" w14:textId="77777777" w:rsidR="0010369C" w:rsidRDefault="008E43AE">
      <w:pPr>
        <w:pStyle w:val="ListParagraph"/>
        <w:numPr>
          <w:ilvl w:val="2"/>
          <w:numId w:val="31"/>
        </w:numPr>
        <w:tabs>
          <w:tab w:val="left" w:pos="3642"/>
          <w:tab w:val="left" w:pos="3643"/>
        </w:tabs>
        <w:spacing w:before="161"/>
        <w:ind w:hanging="853"/>
        <w:rPr>
          <w:sz w:val="24"/>
        </w:rPr>
      </w:pPr>
      <w:r>
        <w:rPr>
          <w:sz w:val="24"/>
          <w:u w:val="single"/>
        </w:rPr>
        <w:t>Export</w:t>
      </w:r>
      <w:r>
        <w:rPr>
          <w:spacing w:val="-7"/>
          <w:sz w:val="24"/>
          <w:u w:val="single"/>
        </w:rPr>
        <w:t xml:space="preserve"> </w:t>
      </w:r>
      <w:r>
        <w:rPr>
          <w:spacing w:val="-2"/>
          <w:sz w:val="24"/>
          <w:u w:val="single"/>
        </w:rPr>
        <w:t>price</w:t>
      </w:r>
    </w:p>
    <w:p w14:paraId="51DE9548" w14:textId="77777777" w:rsidR="0010369C" w:rsidRDefault="0010369C">
      <w:pPr>
        <w:pStyle w:val="BodyText"/>
        <w:spacing w:before="10"/>
        <w:rPr>
          <w:sz w:val="20"/>
        </w:rPr>
      </w:pPr>
    </w:p>
    <w:p w14:paraId="51DE9549" w14:textId="77777777" w:rsidR="0010369C" w:rsidRDefault="008E43AE">
      <w:pPr>
        <w:pStyle w:val="BodyText"/>
        <w:spacing w:before="51" w:line="360" w:lineRule="auto"/>
        <w:ind w:left="237" w:right="613" w:firstLine="851"/>
        <w:jc w:val="both"/>
      </w:pPr>
      <w:r>
        <w:rPr>
          <w:noProof/>
        </w:rPr>
        <w:drawing>
          <wp:anchor distT="0" distB="0" distL="0" distR="0" simplePos="0" relativeHeight="251385344" behindDoc="1" locked="0" layoutInCell="1" allowOverlap="1" wp14:anchorId="51DEA68A" wp14:editId="51DEA68B">
            <wp:simplePos x="0" y="0"/>
            <wp:positionH relativeFrom="page">
              <wp:posOffset>902208</wp:posOffset>
            </wp:positionH>
            <wp:positionV relativeFrom="paragraph">
              <wp:posOffset>76150</wp:posOffset>
            </wp:positionV>
            <wp:extent cx="262127" cy="106679"/>
            <wp:effectExtent l="0" t="0" r="0" b="0"/>
            <wp:wrapNone/>
            <wp:docPr id="1531" name="image7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 name="image793.png"/>
                    <pic:cNvPicPr/>
                  </pic:nvPicPr>
                  <pic:blipFill>
                    <a:blip r:embed="rId1046" cstate="print"/>
                    <a:stretch>
                      <a:fillRect/>
                    </a:stretch>
                  </pic:blipFill>
                  <pic:spPr>
                    <a:xfrm>
                      <a:off x="0" y="0"/>
                      <a:ext cx="262127" cy="106679"/>
                    </a:xfrm>
                    <a:prstGeom prst="rect">
                      <a:avLst/>
                    </a:prstGeom>
                  </pic:spPr>
                </pic:pic>
              </a:graphicData>
            </a:graphic>
          </wp:anchor>
        </w:drawing>
      </w:r>
      <w:r>
        <w:t>CADA claimed that it was unable to obtain specific transaction prices of products subject</w:t>
      </w:r>
      <w:r>
        <w:rPr>
          <w:spacing w:val="80"/>
        </w:rPr>
        <w:t xml:space="preserve"> </w:t>
      </w:r>
      <w:r>
        <w:t>to</w:t>
      </w:r>
      <w:r>
        <w:rPr>
          <w:spacing w:val="80"/>
        </w:rPr>
        <w:t xml:space="preserve"> </w:t>
      </w:r>
      <w:r>
        <w:t>the</w:t>
      </w:r>
      <w:r>
        <w:rPr>
          <w:spacing w:val="80"/>
        </w:rPr>
        <w:t xml:space="preserve"> </w:t>
      </w:r>
      <w:r>
        <w:t>investigation</w:t>
      </w:r>
      <w:r>
        <w:rPr>
          <w:spacing w:val="80"/>
        </w:rPr>
        <w:t xml:space="preserve"> </w:t>
      </w:r>
      <w:r>
        <w:t>request</w:t>
      </w:r>
      <w:r>
        <w:rPr>
          <w:spacing w:val="80"/>
        </w:rPr>
        <w:t xml:space="preserve"> </w:t>
      </w:r>
      <w:r>
        <w:t>originating</w:t>
      </w:r>
      <w:r>
        <w:rPr>
          <w:spacing w:val="80"/>
        </w:rPr>
        <w:t xml:space="preserve"> </w:t>
      </w:r>
      <w:r>
        <w:t>in</w:t>
      </w:r>
      <w:r>
        <w:rPr>
          <w:spacing w:val="80"/>
        </w:rPr>
        <w:t xml:space="preserve"> </w:t>
      </w:r>
      <w:r>
        <w:t>Australia</w:t>
      </w:r>
      <w:r>
        <w:rPr>
          <w:spacing w:val="80"/>
        </w:rPr>
        <w:t xml:space="preserve"> </w:t>
      </w:r>
      <w:r>
        <w:t>from</w:t>
      </w:r>
      <w:r>
        <w:rPr>
          <w:spacing w:val="80"/>
        </w:rPr>
        <w:t xml:space="preserve"> </w:t>
      </w:r>
      <w:r>
        <w:t>1</w:t>
      </w:r>
      <w:r>
        <w:rPr>
          <w:spacing w:val="80"/>
        </w:rPr>
        <w:t xml:space="preserve"> </w:t>
      </w:r>
      <w:r>
        <w:t>January</w:t>
      </w:r>
      <w:r>
        <w:rPr>
          <w:spacing w:val="-2"/>
        </w:rPr>
        <w:t xml:space="preserve"> </w:t>
      </w:r>
      <w:r>
        <w:t>2019</w:t>
      </w:r>
      <w:r>
        <w:rPr>
          <w:spacing w:val="80"/>
        </w:rPr>
        <w:t xml:space="preserve"> </w:t>
      </w:r>
      <w:r>
        <w:t>to 31</w:t>
      </w:r>
      <w:r>
        <w:rPr>
          <w:spacing w:val="-3"/>
        </w:rPr>
        <w:t xml:space="preserve"> </w:t>
      </w:r>
      <w:r>
        <w:t>December</w:t>
      </w:r>
      <w:r>
        <w:rPr>
          <w:spacing w:val="40"/>
        </w:rPr>
        <w:t xml:space="preserve"> </w:t>
      </w:r>
      <w:r>
        <w:t>2019, due to limited information.</w:t>
      </w:r>
      <w:r>
        <w:rPr>
          <w:vertAlign w:val="superscript"/>
        </w:rPr>
        <w:t>936</w:t>
      </w:r>
      <w:r>
        <w:t xml:space="preserve"> CADA instead used the weighted average p</w:t>
      </w:r>
      <w:r>
        <w:t>rice calculated according to the statistical data of China Customs as the basis on which to calculate the export price.</w:t>
      </w:r>
      <w:r>
        <w:rPr>
          <w:vertAlign w:val="superscript"/>
        </w:rPr>
        <w:t>937</w:t>
      </w:r>
      <w:r>
        <w:t xml:space="preserve"> CADA then calculated an "average price" by dividing the total import amount (in USD) by the total import volume (in kilolitres) for 2</w:t>
      </w:r>
      <w:r>
        <w:t>019.</w:t>
      </w:r>
    </w:p>
    <w:p w14:paraId="51DE954A" w14:textId="77777777" w:rsidR="0010369C" w:rsidRDefault="0010369C">
      <w:pPr>
        <w:pStyle w:val="BodyText"/>
        <w:spacing w:before="11"/>
        <w:rPr>
          <w:sz w:val="8"/>
        </w:rPr>
      </w:pPr>
    </w:p>
    <w:p w14:paraId="51DE954B" w14:textId="77777777" w:rsidR="0010369C" w:rsidRDefault="008E43AE">
      <w:pPr>
        <w:pStyle w:val="BodyText"/>
        <w:spacing w:before="52" w:line="360" w:lineRule="auto"/>
        <w:ind w:left="236" w:right="614" w:firstLine="852"/>
        <w:jc w:val="both"/>
      </w:pPr>
      <w:r>
        <w:rPr>
          <w:noProof/>
        </w:rPr>
        <w:drawing>
          <wp:anchor distT="0" distB="0" distL="0" distR="0" simplePos="0" relativeHeight="251386368" behindDoc="1" locked="0" layoutInCell="1" allowOverlap="1" wp14:anchorId="51DEA68C" wp14:editId="51DEA68D">
            <wp:simplePos x="0" y="0"/>
            <wp:positionH relativeFrom="page">
              <wp:posOffset>902208</wp:posOffset>
            </wp:positionH>
            <wp:positionV relativeFrom="paragraph">
              <wp:posOffset>80595</wp:posOffset>
            </wp:positionV>
            <wp:extent cx="262127" cy="103631"/>
            <wp:effectExtent l="0" t="0" r="0" b="0"/>
            <wp:wrapNone/>
            <wp:docPr id="1533" name="image7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 name="image794.png"/>
                    <pic:cNvPicPr/>
                  </pic:nvPicPr>
                  <pic:blipFill>
                    <a:blip r:embed="rId1047" cstate="print"/>
                    <a:stretch>
                      <a:fillRect/>
                    </a:stretch>
                  </pic:blipFill>
                  <pic:spPr>
                    <a:xfrm>
                      <a:off x="0" y="0"/>
                      <a:ext cx="262127" cy="103631"/>
                    </a:xfrm>
                    <a:prstGeom prst="rect">
                      <a:avLst/>
                    </a:prstGeom>
                  </pic:spPr>
                </pic:pic>
              </a:graphicData>
            </a:graphic>
          </wp:anchor>
        </w:drawing>
      </w:r>
      <w:r>
        <w:t>Article 2.4 requires that due allowance shall be made in each case, on its merits, for differences which affect</w:t>
      </w:r>
      <w:r>
        <w:rPr>
          <w:spacing w:val="-1"/>
        </w:rPr>
        <w:t xml:space="preserve"> </w:t>
      </w:r>
      <w:r>
        <w:t>price comparability, including differences in conditions and terms of sale, taxation, levels of trade, quantities, physical characteristi</w:t>
      </w:r>
      <w:r>
        <w:t>cs, and any other differences which are also demonstrated to affect price comparability. This requires making due allowance for differences that affect price comparability to neutralise differences in a transaction that an exporter could be expected to hav</w:t>
      </w:r>
      <w:r>
        <w:t>e reflected in its pricing.</w:t>
      </w:r>
      <w:r>
        <w:rPr>
          <w:vertAlign w:val="superscript"/>
        </w:rPr>
        <w:t>938</w:t>
      </w:r>
    </w:p>
    <w:p w14:paraId="51DE954C" w14:textId="77777777" w:rsidR="0010369C" w:rsidRDefault="0010369C">
      <w:pPr>
        <w:pStyle w:val="BodyText"/>
        <w:spacing w:before="10"/>
        <w:rPr>
          <w:sz w:val="8"/>
        </w:rPr>
      </w:pPr>
    </w:p>
    <w:p w14:paraId="51DE954D" w14:textId="77777777" w:rsidR="0010369C" w:rsidRDefault="008E43AE">
      <w:pPr>
        <w:pStyle w:val="BodyText"/>
        <w:spacing w:before="52" w:line="360" w:lineRule="auto"/>
        <w:ind w:left="237" w:right="614" w:firstLine="851"/>
        <w:jc w:val="both"/>
      </w:pPr>
      <w:r>
        <w:rPr>
          <w:noProof/>
        </w:rPr>
        <w:drawing>
          <wp:anchor distT="0" distB="0" distL="0" distR="0" simplePos="0" relativeHeight="251387392" behindDoc="1" locked="0" layoutInCell="1" allowOverlap="1" wp14:anchorId="51DEA68E" wp14:editId="51DEA68F">
            <wp:simplePos x="0" y="0"/>
            <wp:positionH relativeFrom="page">
              <wp:posOffset>902208</wp:posOffset>
            </wp:positionH>
            <wp:positionV relativeFrom="paragraph">
              <wp:posOffset>81949</wp:posOffset>
            </wp:positionV>
            <wp:extent cx="262127" cy="100753"/>
            <wp:effectExtent l="0" t="0" r="0" b="0"/>
            <wp:wrapNone/>
            <wp:docPr id="1535" name="image7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 name="image795.png"/>
                    <pic:cNvPicPr/>
                  </pic:nvPicPr>
                  <pic:blipFill>
                    <a:blip r:embed="rId1048" cstate="print"/>
                    <a:stretch>
                      <a:fillRect/>
                    </a:stretch>
                  </pic:blipFill>
                  <pic:spPr>
                    <a:xfrm>
                      <a:off x="0" y="0"/>
                      <a:ext cx="262127" cy="100753"/>
                    </a:xfrm>
                    <a:prstGeom prst="rect">
                      <a:avLst/>
                    </a:prstGeom>
                  </pic:spPr>
                </pic:pic>
              </a:graphicData>
            </a:graphic>
          </wp:anchor>
        </w:drawing>
      </w:r>
      <w:r>
        <w:t>CADA claimed that it was unable to obtain specific transaction prices of products subject</w:t>
      </w:r>
      <w:r>
        <w:rPr>
          <w:spacing w:val="80"/>
          <w:w w:val="150"/>
        </w:rPr>
        <w:t xml:space="preserve"> </w:t>
      </w:r>
      <w:r>
        <w:t>to</w:t>
      </w:r>
      <w:r>
        <w:rPr>
          <w:spacing w:val="80"/>
          <w:w w:val="150"/>
        </w:rPr>
        <w:t xml:space="preserve"> </w:t>
      </w:r>
      <w:r>
        <w:t>the</w:t>
      </w:r>
      <w:r>
        <w:rPr>
          <w:spacing w:val="80"/>
          <w:w w:val="150"/>
        </w:rPr>
        <w:t xml:space="preserve"> </w:t>
      </w:r>
      <w:r>
        <w:t>anti‐dumping</w:t>
      </w:r>
      <w:r>
        <w:rPr>
          <w:spacing w:val="80"/>
          <w:w w:val="150"/>
        </w:rPr>
        <w:t xml:space="preserve"> </w:t>
      </w:r>
      <w:r>
        <w:t>investigation</w:t>
      </w:r>
      <w:r>
        <w:rPr>
          <w:spacing w:val="80"/>
          <w:w w:val="150"/>
        </w:rPr>
        <w:t xml:space="preserve"> </w:t>
      </w:r>
      <w:r>
        <w:t>application</w:t>
      </w:r>
      <w:r>
        <w:rPr>
          <w:spacing w:val="80"/>
          <w:w w:val="150"/>
        </w:rPr>
        <w:t xml:space="preserve"> </w:t>
      </w:r>
      <w:r>
        <w:t>originating</w:t>
      </w:r>
      <w:r>
        <w:rPr>
          <w:spacing w:val="80"/>
          <w:w w:val="150"/>
        </w:rPr>
        <w:t xml:space="preserve"> </w:t>
      </w:r>
      <w:r>
        <w:t>in</w:t>
      </w:r>
      <w:r>
        <w:rPr>
          <w:spacing w:val="80"/>
          <w:w w:val="150"/>
        </w:rPr>
        <w:t xml:space="preserve"> </w:t>
      </w:r>
      <w:r>
        <w:t>Australia</w:t>
      </w:r>
      <w:r>
        <w:rPr>
          <w:spacing w:val="80"/>
          <w:w w:val="150"/>
        </w:rPr>
        <w:t xml:space="preserve"> </w:t>
      </w:r>
      <w:r>
        <w:t>from</w:t>
      </w:r>
      <w:r>
        <w:rPr>
          <w:spacing w:val="40"/>
        </w:rPr>
        <w:t xml:space="preserve"> </w:t>
      </w:r>
      <w:r>
        <w:t>1</w:t>
      </w:r>
      <w:r>
        <w:rPr>
          <w:spacing w:val="-3"/>
        </w:rPr>
        <w:t xml:space="preserve"> </w:t>
      </w:r>
      <w:r>
        <w:t>January</w:t>
      </w:r>
      <w:r>
        <w:rPr>
          <w:spacing w:val="-3"/>
        </w:rPr>
        <w:t xml:space="preserve"> </w:t>
      </w:r>
      <w:r>
        <w:t>2019 to 31</w:t>
      </w:r>
      <w:r>
        <w:rPr>
          <w:spacing w:val="-3"/>
        </w:rPr>
        <w:t xml:space="preserve"> </w:t>
      </w:r>
      <w:r>
        <w:t>December</w:t>
      </w:r>
      <w:r>
        <w:rPr>
          <w:spacing w:val="-2"/>
        </w:rPr>
        <w:t xml:space="preserve"> </w:t>
      </w:r>
      <w:r>
        <w:t>2019, due to limited inform</w:t>
      </w:r>
      <w:r>
        <w:t>ation.</w:t>
      </w:r>
      <w:r>
        <w:rPr>
          <w:vertAlign w:val="superscript"/>
        </w:rPr>
        <w:t>939</w:t>
      </w:r>
      <w:r>
        <w:t xml:space="preserve"> CADA instead used the weighted average price calculated according to the statistical data of China Customs as the basis on which to calculate the export price.</w:t>
      </w:r>
      <w:r>
        <w:rPr>
          <w:vertAlign w:val="superscript"/>
        </w:rPr>
        <w:t>940</w:t>
      </w:r>
      <w:r>
        <w:t xml:space="preserve"> CADA then calculated an "average price" by dividing the total import amount (in USD) by the </w:t>
      </w:r>
      <w:r>
        <w:t>total import volume (in kilolitres) for 2019.</w:t>
      </w:r>
    </w:p>
    <w:p w14:paraId="51DE954E" w14:textId="77777777" w:rsidR="0010369C" w:rsidRDefault="0010369C">
      <w:pPr>
        <w:pStyle w:val="BodyText"/>
        <w:spacing w:before="11"/>
        <w:rPr>
          <w:sz w:val="8"/>
        </w:rPr>
      </w:pPr>
    </w:p>
    <w:p w14:paraId="51DE954F" w14:textId="77777777" w:rsidR="0010369C" w:rsidRDefault="008E43AE">
      <w:pPr>
        <w:pStyle w:val="BodyText"/>
        <w:spacing w:before="52" w:line="360" w:lineRule="auto"/>
        <w:ind w:left="238" w:right="613" w:firstLine="851"/>
        <w:jc w:val="both"/>
      </w:pPr>
      <w:r>
        <w:rPr>
          <w:noProof/>
        </w:rPr>
        <w:drawing>
          <wp:anchor distT="0" distB="0" distL="0" distR="0" simplePos="0" relativeHeight="251388416" behindDoc="1" locked="0" layoutInCell="1" allowOverlap="1" wp14:anchorId="51DEA690" wp14:editId="51DEA691">
            <wp:simplePos x="0" y="0"/>
            <wp:positionH relativeFrom="page">
              <wp:posOffset>902208</wp:posOffset>
            </wp:positionH>
            <wp:positionV relativeFrom="paragraph">
              <wp:posOffset>76785</wp:posOffset>
            </wp:positionV>
            <wp:extent cx="262127" cy="106679"/>
            <wp:effectExtent l="0" t="0" r="0" b="0"/>
            <wp:wrapNone/>
            <wp:docPr id="1537" name="image7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 name="image796.png"/>
                    <pic:cNvPicPr/>
                  </pic:nvPicPr>
                  <pic:blipFill>
                    <a:blip r:embed="rId1049" cstate="print"/>
                    <a:stretch>
                      <a:fillRect/>
                    </a:stretch>
                  </pic:blipFill>
                  <pic:spPr>
                    <a:xfrm>
                      <a:off x="0" y="0"/>
                      <a:ext cx="262127" cy="106679"/>
                    </a:xfrm>
                    <a:prstGeom prst="rect">
                      <a:avLst/>
                    </a:prstGeom>
                  </pic:spPr>
                </pic:pic>
              </a:graphicData>
            </a:graphic>
          </wp:anchor>
        </w:drawing>
      </w:r>
      <w:r>
        <w:t>CADA provided that the weighted export price was $6,723 UDS/kl in 2019. In terms of</w:t>
      </w:r>
      <w:r>
        <w:rPr>
          <w:spacing w:val="-11"/>
        </w:rPr>
        <w:t xml:space="preserve"> </w:t>
      </w:r>
      <w:r>
        <w:t>adjustments,</w:t>
      </w:r>
      <w:r>
        <w:rPr>
          <w:spacing w:val="-11"/>
        </w:rPr>
        <w:t xml:space="preserve"> </w:t>
      </w:r>
      <w:r>
        <w:t>CADA</w:t>
      </w:r>
      <w:r>
        <w:rPr>
          <w:spacing w:val="-10"/>
        </w:rPr>
        <w:t xml:space="preserve"> </w:t>
      </w:r>
      <w:r>
        <w:t>claimed</w:t>
      </w:r>
      <w:r>
        <w:rPr>
          <w:spacing w:val="-11"/>
        </w:rPr>
        <w:t xml:space="preserve"> </w:t>
      </w:r>
      <w:r>
        <w:t>to</w:t>
      </w:r>
      <w:r>
        <w:rPr>
          <w:spacing w:val="-10"/>
        </w:rPr>
        <w:t xml:space="preserve"> </w:t>
      </w:r>
      <w:r>
        <w:t>have</w:t>
      </w:r>
      <w:r>
        <w:rPr>
          <w:spacing w:val="-10"/>
        </w:rPr>
        <w:t xml:space="preserve"> </w:t>
      </w:r>
      <w:r>
        <w:t>used</w:t>
      </w:r>
      <w:r>
        <w:rPr>
          <w:spacing w:val="-11"/>
        </w:rPr>
        <w:t xml:space="preserve"> </w:t>
      </w:r>
      <w:r>
        <w:t>import</w:t>
      </w:r>
      <w:r>
        <w:rPr>
          <w:spacing w:val="-11"/>
        </w:rPr>
        <w:t xml:space="preserve"> </w:t>
      </w:r>
      <w:r>
        <w:t>volume</w:t>
      </w:r>
      <w:r>
        <w:rPr>
          <w:spacing w:val="-10"/>
        </w:rPr>
        <w:t xml:space="preserve"> </w:t>
      </w:r>
      <w:r>
        <w:t>and</w:t>
      </w:r>
      <w:r>
        <w:rPr>
          <w:spacing w:val="-11"/>
        </w:rPr>
        <w:t xml:space="preserve"> </w:t>
      </w:r>
      <w:r>
        <w:t>statistics</w:t>
      </w:r>
      <w:r>
        <w:rPr>
          <w:spacing w:val="-11"/>
        </w:rPr>
        <w:t xml:space="preserve"> </w:t>
      </w:r>
      <w:r>
        <w:t>from</w:t>
      </w:r>
      <w:r>
        <w:rPr>
          <w:spacing w:val="-11"/>
        </w:rPr>
        <w:t xml:space="preserve"> </w:t>
      </w:r>
      <w:r>
        <w:t>China</w:t>
      </w:r>
      <w:r>
        <w:rPr>
          <w:spacing w:val="-12"/>
        </w:rPr>
        <w:t xml:space="preserve"> </w:t>
      </w:r>
      <w:r>
        <w:t>Customs, they argued that it was the weighted</w:t>
      </w:r>
      <w:r>
        <w:t xml:space="preserve"> cost, insurance, and freight (CIF) price, and did not include import tariff or VAT, etc. Therefore, CADA did not apply this adjustment.</w:t>
      </w:r>
    </w:p>
    <w:p w14:paraId="51DE9550" w14:textId="77777777" w:rsidR="0010369C" w:rsidRDefault="0010369C">
      <w:pPr>
        <w:pStyle w:val="BodyText"/>
        <w:rPr>
          <w:sz w:val="20"/>
        </w:rPr>
      </w:pPr>
    </w:p>
    <w:p w14:paraId="51DE9551" w14:textId="77777777" w:rsidR="0010369C" w:rsidRDefault="008E43AE">
      <w:pPr>
        <w:pStyle w:val="BodyText"/>
        <w:spacing w:before="3"/>
        <w:rPr>
          <w:sz w:val="23"/>
        </w:rPr>
      </w:pPr>
      <w:r>
        <w:pict w14:anchorId="51DEA692">
          <v:rect id="docshape1256" o:spid="_x0000_s1171" style="position:absolute;margin-left:70.9pt;margin-top:15.4pt;width:2in;height:.8pt;z-index:-250750464;mso-wrap-distance-left:0;mso-wrap-distance-right:0;mso-position-horizontal-relative:page" fillcolor="black" stroked="f">
            <w10:wrap type="topAndBottom" anchorx="page"/>
          </v:rect>
        </w:pict>
      </w:r>
    </w:p>
    <w:p w14:paraId="51DE9552" w14:textId="77777777" w:rsidR="0010369C" w:rsidRDefault="008E43AE">
      <w:pPr>
        <w:spacing w:before="109"/>
        <w:ind w:left="238"/>
        <w:jc w:val="both"/>
        <w:rPr>
          <w:sz w:val="18"/>
        </w:rPr>
      </w:pPr>
      <w:r>
        <w:rPr>
          <w:sz w:val="18"/>
          <w:vertAlign w:val="superscript"/>
        </w:rPr>
        <w:t>935</w:t>
      </w:r>
      <w:r>
        <w:rPr>
          <w:spacing w:val="-6"/>
          <w:sz w:val="18"/>
        </w:rPr>
        <w:t xml:space="preserve"> </w:t>
      </w:r>
      <w:r>
        <w:rPr>
          <w:sz w:val="18"/>
        </w:rPr>
        <w:t>See</w:t>
      </w:r>
      <w:r>
        <w:rPr>
          <w:spacing w:val="-5"/>
          <w:sz w:val="18"/>
        </w:rPr>
        <w:t xml:space="preserve"> </w:t>
      </w:r>
      <w:r>
        <w:rPr>
          <w:sz w:val="18"/>
        </w:rPr>
        <w:t>above,</w:t>
      </w:r>
      <w:r>
        <w:rPr>
          <w:spacing w:val="-6"/>
          <w:sz w:val="18"/>
        </w:rPr>
        <w:t xml:space="preserve"> </w:t>
      </w:r>
      <w:r>
        <w:rPr>
          <w:sz w:val="18"/>
        </w:rPr>
        <w:t>section</w:t>
      </w:r>
      <w:r>
        <w:rPr>
          <w:spacing w:val="-5"/>
          <w:sz w:val="18"/>
        </w:rPr>
        <w:t xml:space="preserve"> </w:t>
      </w:r>
      <w:r>
        <w:rPr>
          <w:spacing w:val="-2"/>
          <w:sz w:val="18"/>
        </w:rPr>
        <w:t>VI.C.2(a).</w:t>
      </w:r>
    </w:p>
    <w:p w14:paraId="51DE9553" w14:textId="77777777" w:rsidR="0010369C" w:rsidRDefault="008E43AE">
      <w:pPr>
        <w:ind w:left="238" w:right="4151"/>
        <w:jc w:val="both"/>
        <w:rPr>
          <w:sz w:val="18"/>
        </w:rPr>
      </w:pPr>
      <w:r>
        <w:rPr>
          <w:sz w:val="18"/>
          <w:vertAlign w:val="superscript"/>
        </w:rPr>
        <w:t>936</w:t>
      </w:r>
      <w:r>
        <w:rPr>
          <w:spacing w:val="-4"/>
          <w:sz w:val="18"/>
        </w:rPr>
        <w:t xml:space="preserve"> </w:t>
      </w:r>
      <w:r>
        <w:rPr>
          <w:sz w:val="18"/>
        </w:rPr>
        <w:t>CADA</w:t>
      </w:r>
      <w:r>
        <w:rPr>
          <w:spacing w:val="-4"/>
          <w:sz w:val="18"/>
        </w:rPr>
        <w:t xml:space="preserve"> </w:t>
      </w:r>
      <w:r>
        <w:rPr>
          <w:sz w:val="18"/>
        </w:rPr>
        <w:t>Application</w:t>
      </w:r>
      <w:r>
        <w:rPr>
          <w:spacing w:val="-4"/>
          <w:sz w:val="18"/>
        </w:rPr>
        <w:t xml:space="preserve"> </w:t>
      </w:r>
      <w:r>
        <w:rPr>
          <w:sz w:val="18"/>
        </w:rPr>
        <w:t>for</w:t>
      </w:r>
      <w:r>
        <w:rPr>
          <w:spacing w:val="-4"/>
          <w:sz w:val="18"/>
        </w:rPr>
        <w:t xml:space="preserve"> </w:t>
      </w:r>
      <w:r>
        <w:rPr>
          <w:sz w:val="18"/>
        </w:rPr>
        <w:t>Anti‐Dumping</w:t>
      </w:r>
      <w:r>
        <w:rPr>
          <w:spacing w:val="-4"/>
          <w:sz w:val="18"/>
        </w:rPr>
        <w:t xml:space="preserve"> </w:t>
      </w:r>
      <w:r>
        <w:rPr>
          <w:sz w:val="18"/>
        </w:rPr>
        <w:t>Investigation</w:t>
      </w:r>
      <w:r>
        <w:rPr>
          <w:spacing w:val="-4"/>
          <w:sz w:val="18"/>
        </w:rPr>
        <w:t xml:space="preserve"> </w:t>
      </w:r>
      <w:r>
        <w:rPr>
          <w:sz w:val="18"/>
        </w:rPr>
        <w:t>(Exhibit</w:t>
      </w:r>
      <w:r>
        <w:rPr>
          <w:spacing w:val="-4"/>
          <w:sz w:val="18"/>
        </w:rPr>
        <w:t xml:space="preserve"> </w:t>
      </w:r>
      <w:r>
        <w:rPr>
          <w:sz w:val="18"/>
        </w:rPr>
        <w:t>AUS‐64),</w:t>
      </w:r>
      <w:r>
        <w:rPr>
          <w:spacing w:val="-4"/>
          <w:sz w:val="18"/>
        </w:rPr>
        <w:t xml:space="preserve"> </w:t>
      </w:r>
      <w:r>
        <w:rPr>
          <w:sz w:val="18"/>
        </w:rPr>
        <w:t>p.</w:t>
      </w:r>
      <w:r>
        <w:rPr>
          <w:spacing w:val="-4"/>
          <w:sz w:val="18"/>
        </w:rPr>
        <w:t xml:space="preserve"> </w:t>
      </w:r>
      <w:r>
        <w:rPr>
          <w:sz w:val="18"/>
        </w:rPr>
        <w:t xml:space="preserve">26. </w:t>
      </w:r>
      <w:r>
        <w:rPr>
          <w:sz w:val="18"/>
          <w:vertAlign w:val="superscript"/>
        </w:rPr>
        <w:t>937</w:t>
      </w:r>
      <w:r>
        <w:rPr>
          <w:spacing w:val="-4"/>
          <w:sz w:val="18"/>
        </w:rPr>
        <w:t xml:space="preserve"> </w:t>
      </w:r>
      <w:r>
        <w:rPr>
          <w:sz w:val="18"/>
        </w:rPr>
        <w:t>CADA</w:t>
      </w:r>
      <w:r>
        <w:rPr>
          <w:spacing w:val="-4"/>
          <w:sz w:val="18"/>
        </w:rPr>
        <w:t xml:space="preserve"> </w:t>
      </w:r>
      <w:r>
        <w:rPr>
          <w:sz w:val="18"/>
        </w:rPr>
        <w:t>Application</w:t>
      </w:r>
      <w:r>
        <w:rPr>
          <w:spacing w:val="-4"/>
          <w:sz w:val="18"/>
        </w:rPr>
        <w:t xml:space="preserve"> </w:t>
      </w:r>
      <w:r>
        <w:rPr>
          <w:sz w:val="18"/>
        </w:rPr>
        <w:t>for</w:t>
      </w:r>
      <w:r>
        <w:rPr>
          <w:spacing w:val="-4"/>
          <w:sz w:val="18"/>
        </w:rPr>
        <w:t xml:space="preserve"> </w:t>
      </w:r>
      <w:r>
        <w:rPr>
          <w:sz w:val="18"/>
        </w:rPr>
        <w:t>Anti‐Dumping</w:t>
      </w:r>
      <w:r>
        <w:rPr>
          <w:spacing w:val="-4"/>
          <w:sz w:val="18"/>
        </w:rPr>
        <w:t xml:space="preserve"> </w:t>
      </w:r>
      <w:r>
        <w:rPr>
          <w:sz w:val="18"/>
        </w:rPr>
        <w:t>Investigation</w:t>
      </w:r>
      <w:r>
        <w:rPr>
          <w:spacing w:val="-4"/>
          <w:sz w:val="18"/>
        </w:rPr>
        <w:t xml:space="preserve"> </w:t>
      </w:r>
      <w:r>
        <w:rPr>
          <w:sz w:val="18"/>
        </w:rPr>
        <w:t>(Exhibit</w:t>
      </w:r>
      <w:r>
        <w:rPr>
          <w:spacing w:val="-4"/>
          <w:sz w:val="18"/>
        </w:rPr>
        <w:t xml:space="preserve"> </w:t>
      </w:r>
      <w:r>
        <w:rPr>
          <w:sz w:val="18"/>
        </w:rPr>
        <w:t>AUS‐64),</w:t>
      </w:r>
      <w:r>
        <w:rPr>
          <w:spacing w:val="-4"/>
          <w:sz w:val="18"/>
        </w:rPr>
        <w:t xml:space="preserve"> </w:t>
      </w:r>
      <w:r>
        <w:rPr>
          <w:sz w:val="18"/>
        </w:rPr>
        <w:t>p.</w:t>
      </w:r>
      <w:r>
        <w:rPr>
          <w:spacing w:val="-4"/>
          <w:sz w:val="18"/>
        </w:rPr>
        <w:t xml:space="preserve"> </w:t>
      </w:r>
      <w:r>
        <w:rPr>
          <w:sz w:val="18"/>
        </w:rPr>
        <w:t xml:space="preserve">26. </w:t>
      </w:r>
      <w:r>
        <w:rPr>
          <w:sz w:val="18"/>
          <w:vertAlign w:val="superscript"/>
        </w:rPr>
        <w:t>938</w:t>
      </w:r>
      <w:r>
        <w:rPr>
          <w:sz w:val="18"/>
        </w:rPr>
        <w:t xml:space="preserve"> Panel Report, </w:t>
      </w:r>
      <w:r>
        <w:rPr>
          <w:i/>
          <w:sz w:val="18"/>
        </w:rPr>
        <w:t>US – Stainless Steel (Korea)</w:t>
      </w:r>
      <w:r>
        <w:rPr>
          <w:sz w:val="18"/>
        </w:rPr>
        <w:t>, para. 6.77.</w:t>
      </w:r>
    </w:p>
    <w:p w14:paraId="51DE9554" w14:textId="77777777" w:rsidR="0010369C" w:rsidRDefault="008E43AE">
      <w:pPr>
        <w:spacing w:before="1"/>
        <w:ind w:left="238"/>
        <w:jc w:val="both"/>
        <w:rPr>
          <w:sz w:val="18"/>
        </w:rPr>
      </w:pPr>
      <w:r>
        <w:rPr>
          <w:sz w:val="18"/>
          <w:vertAlign w:val="superscript"/>
        </w:rPr>
        <w:t>939</w:t>
      </w:r>
      <w:r>
        <w:rPr>
          <w:spacing w:val="-10"/>
          <w:sz w:val="18"/>
        </w:rPr>
        <w:t xml:space="preserve"> </w:t>
      </w:r>
      <w:r>
        <w:rPr>
          <w:sz w:val="18"/>
        </w:rPr>
        <w:t>CADA</w:t>
      </w:r>
      <w:r>
        <w:rPr>
          <w:spacing w:val="-9"/>
          <w:sz w:val="18"/>
        </w:rPr>
        <w:t xml:space="preserve"> </w:t>
      </w:r>
      <w:r>
        <w:rPr>
          <w:sz w:val="18"/>
        </w:rPr>
        <w:t>Application</w:t>
      </w:r>
      <w:r>
        <w:rPr>
          <w:spacing w:val="-9"/>
          <w:sz w:val="18"/>
        </w:rPr>
        <w:t xml:space="preserve"> </w:t>
      </w:r>
      <w:r>
        <w:rPr>
          <w:sz w:val="18"/>
        </w:rPr>
        <w:t>for</w:t>
      </w:r>
      <w:r>
        <w:rPr>
          <w:spacing w:val="-10"/>
          <w:sz w:val="18"/>
        </w:rPr>
        <w:t xml:space="preserve"> </w:t>
      </w:r>
      <w:r>
        <w:rPr>
          <w:sz w:val="18"/>
        </w:rPr>
        <w:t>Anti‐Dumping</w:t>
      </w:r>
      <w:r>
        <w:rPr>
          <w:spacing w:val="-9"/>
          <w:sz w:val="18"/>
        </w:rPr>
        <w:t xml:space="preserve"> </w:t>
      </w:r>
      <w:r>
        <w:rPr>
          <w:sz w:val="18"/>
        </w:rPr>
        <w:t>Investigation</w:t>
      </w:r>
      <w:r>
        <w:rPr>
          <w:spacing w:val="-9"/>
          <w:sz w:val="18"/>
        </w:rPr>
        <w:t xml:space="preserve"> </w:t>
      </w:r>
      <w:r>
        <w:rPr>
          <w:sz w:val="18"/>
        </w:rPr>
        <w:t>(Exhibit</w:t>
      </w:r>
      <w:r>
        <w:rPr>
          <w:spacing w:val="-9"/>
          <w:sz w:val="18"/>
        </w:rPr>
        <w:t xml:space="preserve"> </w:t>
      </w:r>
      <w:r>
        <w:rPr>
          <w:sz w:val="18"/>
        </w:rPr>
        <w:t>AUS‐64),</w:t>
      </w:r>
      <w:r>
        <w:rPr>
          <w:spacing w:val="-10"/>
          <w:sz w:val="18"/>
        </w:rPr>
        <w:t xml:space="preserve"> </w:t>
      </w:r>
      <w:r>
        <w:rPr>
          <w:sz w:val="18"/>
        </w:rPr>
        <w:t>p.</w:t>
      </w:r>
      <w:r>
        <w:rPr>
          <w:spacing w:val="-9"/>
          <w:sz w:val="18"/>
        </w:rPr>
        <w:t xml:space="preserve"> </w:t>
      </w:r>
      <w:r>
        <w:rPr>
          <w:spacing w:val="-5"/>
          <w:sz w:val="18"/>
        </w:rPr>
        <w:t>26.</w:t>
      </w:r>
    </w:p>
    <w:p w14:paraId="51DE9555" w14:textId="77777777" w:rsidR="0010369C" w:rsidRDefault="008E43AE">
      <w:pPr>
        <w:ind w:left="238" w:right="614" w:hanging="1"/>
        <w:jc w:val="both"/>
        <w:rPr>
          <w:sz w:val="18"/>
        </w:rPr>
      </w:pPr>
      <w:r>
        <w:rPr>
          <w:sz w:val="18"/>
          <w:vertAlign w:val="superscript"/>
        </w:rPr>
        <w:t>940</w:t>
      </w:r>
      <w:r>
        <w:rPr>
          <w:sz w:val="18"/>
        </w:rPr>
        <w:t xml:space="preserve"> CADA Application for Anti‐Dumping Investigation (Exhibit AUS‐64), p. 26; and CADA Application for Anti‐Dumping investigation, Annexes 1‐12 (Part 1) (Exhibit AUS‐90), Annex 8.</w:t>
      </w:r>
    </w:p>
    <w:p w14:paraId="51DE9556" w14:textId="77777777" w:rsidR="0010369C" w:rsidRDefault="0010369C">
      <w:pPr>
        <w:jc w:val="both"/>
        <w:rPr>
          <w:sz w:val="18"/>
        </w:rPr>
        <w:sectPr w:rsidR="0010369C">
          <w:pgSz w:w="11910" w:h="16840"/>
          <w:pgMar w:top="880" w:right="800" w:bottom="980" w:left="1180" w:header="569" w:footer="788" w:gutter="0"/>
          <w:cols w:space="720"/>
        </w:sectPr>
      </w:pPr>
    </w:p>
    <w:p w14:paraId="51DE9557" w14:textId="77777777" w:rsidR="0010369C" w:rsidRDefault="008E43AE">
      <w:pPr>
        <w:tabs>
          <w:tab w:val="left" w:pos="6426"/>
        </w:tabs>
        <w:ind w:left="238"/>
        <w:rPr>
          <w:sz w:val="20"/>
        </w:rPr>
      </w:pPr>
      <w:r>
        <w:rPr>
          <w:i/>
          <w:sz w:val="20"/>
        </w:rPr>
        <w:lastRenderedPageBreak/>
        <w:t>China</w:t>
      </w:r>
      <w:r>
        <w:rPr>
          <w:i/>
          <w:spacing w:val="-5"/>
          <w:sz w:val="20"/>
        </w:rPr>
        <w:t xml:space="preserve"> </w:t>
      </w:r>
      <w:r>
        <w:rPr>
          <w:i/>
          <w:sz w:val="20"/>
        </w:rPr>
        <w:t>–</w:t>
      </w:r>
      <w:r>
        <w:rPr>
          <w:i/>
          <w:spacing w:val="-5"/>
          <w:sz w:val="20"/>
        </w:rPr>
        <w:t xml:space="preserve"> </w:t>
      </w:r>
      <w:r>
        <w:rPr>
          <w:i/>
          <w:sz w:val="20"/>
        </w:rPr>
        <w:t>Anti‐Dumping</w:t>
      </w:r>
      <w:r>
        <w:rPr>
          <w:i/>
          <w:spacing w:val="-4"/>
          <w:sz w:val="20"/>
        </w:rPr>
        <w:t xml:space="preserve"> </w:t>
      </w:r>
      <w:r>
        <w:rPr>
          <w:i/>
          <w:sz w:val="20"/>
        </w:rPr>
        <w:t>and</w:t>
      </w:r>
      <w:r>
        <w:rPr>
          <w:i/>
          <w:spacing w:val="-5"/>
          <w:sz w:val="20"/>
        </w:rPr>
        <w:t xml:space="preserve"> </w:t>
      </w:r>
      <w:r>
        <w:rPr>
          <w:i/>
          <w:sz w:val="20"/>
        </w:rPr>
        <w:t>Countervailing</w:t>
      </w:r>
      <w:r>
        <w:rPr>
          <w:i/>
          <w:spacing w:val="-5"/>
          <w:sz w:val="20"/>
        </w:rPr>
        <w:t xml:space="preserve"> </w:t>
      </w:r>
      <w:r>
        <w:rPr>
          <w:i/>
          <w:sz w:val="20"/>
        </w:rPr>
        <w:t>Duty</w:t>
      </w:r>
      <w:r>
        <w:rPr>
          <w:i/>
          <w:spacing w:val="-4"/>
          <w:sz w:val="20"/>
        </w:rPr>
        <w:t xml:space="preserve"> </w:t>
      </w:r>
      <w:r>
        <w:rPr>
          <w:i/>
          <w:spacing w:val="-2"/>
          <w:sz w:val="20"/>
        </w:rPr>
        <w:t>Measures</w:t>
      </w:r>
      <w:r>
        <w:rPr>
          <w:i/>
          <w:sz w:val="20"/>
        </w:rPr>
        <w:tab/>
      </w:r>
      <w:r>
        <w:rPr>
          <w:sz w:val="20"/>
        </w:rPr>
        <w:t>Australi</w:t>
      </w:r>
      <w:r>
        <w:rPr>
          <w:sz w:val="20"/>
        </w:rPr>
        <w:t>a's</w:t>
      </w:r>
      <w:r>
        <w:rPr>
          <w:spacing w:val="-7"/>
          <w:sz w:val="20"/>
        </w:rPr>
        <w:t xml:space="preserve"> </w:t>
      </w:r>
      <w:r>
        <w:rPr>
          <w:sz w:val="20"/>
        </w:rPr>
        <w:t>First</w:t>
      </w:r>
      <w:r>
        <w:rPr>
          <w:spacing w:val="-2"/>
          <w:sz w:val="20"/>
        </w:rPr>
        <w:t xml:space="preserve"> </w:t>
      </w:r>
      <w:r>
        <w:rPr>
          <w:sz w:val="20"/>
        </w:rPr>
        <w:t>Written</w:t>
      </w:r>
      <w:r>
        <w:rPr>
          <w:spacing w:val="-2"/>
          <w:sz w:val="20"/>
        </w:rPr>
        <w:t xml:space="preserve"> Submission</w:t>
      </w:r>
    </w:p>
    <w:p w14:paraId="51DE9558" w14:textId="77777777" w:rsidR="0010369C" w:rsidRDefault="008E43AE">
      <w:pPr>
        <w:tabs>
          <w:tab w:val="left" w:pos="8228"/>
        </w:tabs>
        <w:spacing w:before="1"/>
        <w:ind w:left="239"/>
        <w:rPr>
          <w:sz w:val="20"/>
        </w:rPr>
      </w:pPr>
      <w:r>
        <w:rPr>
          <w:i/>
          <w:sz w:val="20"/>
        </w:rPr>
        <w:t>on</w:t>
      </w:r>
      <w:r>
        <w:rPr>
          <w:i/>
          <w:spacing w:val="-1"/>
          <w:sz w:val="20"/>
        </w:rPr>
        <w:t xml:space="preserve"> </w:t>
      </w:r>
      <w:r>
        <w:rPr>
          <w:i/>
          <w:sz w:val="20"/>
        </w:rPr>
        <w:t>Wine</w:t>
      </w:r>
      <w:r>
        <w:rPr>
          <w:i/>
          <w:spacing w:val="-1"/>
          <w:sz w:val="20"/>
        </w:rPr>
        <w:t xml:space="preserve"> </w:t>
      </w:r>
      <w:r>
        <w:rPr>
          <w:i/>
          <w:sz w:val="20"/>
        </w:rPr>
        <w:t>from</w:t>
      </w:r>
      <w:r>
        <w:rPr>
          <w:i/>
          <w:spacing w:val="-3"/>
          <w:sz w:val="20"/>
        </w:rPr>
        <w:t xml:space="preserve"> </w:t>
      </w:r>
      <w:r>
        <w:rPr>
          <w:i/>
          <w:sz w:val="20"/>
        </w:rPr>
        <w:t>Australia</w:t>
      </w:r>
      <w:r>
        <w:rPr>
          <w:i/>
          <w:spacing w:val="-1"/>
          <w:sz w:val="20"/>
        </w:rPr>
        <w:t xml:space="preserve"> </w:t>
      </w:r>
      <w:r>
        <w:rPr>
          <w:spacing w:val="-2"/>
          <w:sz w:val="20"/>
        </w:rPr>
        <w:t>(DS602)</w:t>
      </w:r>
      <w:r>
        <w:rPr>
          <w:sz w:val="20"/>
        </w:rPr>
        <w:tab/>
        <w:t>29</w:t>
      </w:r>
      <w:r>
        <w:rPr>
          <w:spacing w:val="-1"/>
          <w:sz w:val="20"/>
        </w:rPr>
        <w:t xml:space="preserve"> </w:t>
      </w:r>
      <w:r>
        <w:rPr>
          <w:sz w:val="20"/>
        </w:rPr>
        <w:t>April</w:t>
      </w:r>
      <w:r>
        <w:rPr>
          <w:spacing w:val="-2"/>
          <w:sz w:val="20"/>
        </w:rPr>
        <w:t xml:space="preserve"> </w:t>
      </w:r>
      <w:r>
        <w:rPr>
          <w:spacing w:val="-4"/>
          <w:sz w:val="20"/>
        </w:rPr>
        <w:t>2022</w:t>
      </w:r>
    </w:p>
    <w:p w14:paraId="51DE9559" w14:textId="77777777" w:rsidR="0010369C" w:rsidRDefault="008E43AE">
      <w:pPr>
        <w:pStyle w:val="BodyText"/>
        <w:spacing w:before="34" w:line="360" w:lineRule="auto"/>
        <w:ind w:left="237" w:right="613" w:firstLine="852"/>
        <w:jc w:val="both"/>
      </w:pPr>
      <w:r>
        <w:rPr>
          <w:noProof/>
        </w:rPr>
        <w:drawing>
          <wp:anchor distT="0" distB="0" distL="0" distR="0" simplePos="0" relativeHeight="251389440" behindDoc="1" locked="0" layoutInCell="1" allowOverlap="1" wp14:anchorId="51DEA693" wp14:editId="51DEA694">
            <wp:simplePos x="0" y="0"/>
            <wp:positionH relativeFrom="page">
              <wp:posOffset>902208</wp:posOffset>
            </wp:positionH>
            <wp:positionV relativeFrom="paragraph">
              <wp:posOffset>69165</wp:posOffset>
            </wp:positionV>
            <wp:extent cx="262127" cy="103631"/>
            <wp:effectExtent l="0" t="0" r="0" b="0"/>
            <wp:wrapNone/>
            <wp:docPr id="1539" name="image7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 name="image797.png"/>
                    <pic:cNvPicPr/>
                  </pic:nvPicPr>
                  <pic:blipFill>
                    <a:blip r:embed="rId1050" cstate="print"/>
                    <a:stretch>
                      <a:fillRect/>
                    </a:stretch>
                  </pic:blipFill>
                  <pic:spPr>
                    <a:xfrm>
                      <a:off x="0" y="0"/>
                      <a:ext cx="262127" cy="103631"/>
                    </a:xfrm>
                    <a:prstGeom prst="rect">
                      <a:avLst/>
                    </a:prstGeom>
                  </pic:spPr>
                </pic:pic>
              </a:graphicData>
            </a:graphic>
          </wp:anchor>
        </w:drawing>
      </w:r>
      <w:r>
        <w:t>CADA claimed that they were temporarily unable to obtain the actual shipping charges and insurance costs for wine products from Australia to China during the suggested period</w:t>
      </w:r>
      <w:r>
        <w:rPr>
          <w:spacing w:val="-11"/>
        </w:rPr>
        <w:t xml:space="preserve"> </w:t>
      </w:r>
      <w:r>
        <w:t>of</w:t>
      </w:r>
      <w:r>
        <w:rPr>
          <w:spacing w:val="-10"/>
        </w:rPr>
        <w:t xml:space="preserve"> </w:t>
      </w:r>
      <w:r>
        <w:t>investigation</w:t>
      </w:r>
      <w:r>
        <w:rPr>
          <w:spacing w:val="-11"/>
        </w:rPr>
        <w:t xml:space="preserve"> </w:t>
      </w:r>
      <w:r>
        <w:t>contained</w:t>
      </w:r>
      <w:r>
        <w:rPr>
          <w:spacing w:val="-10"/>
        </w:rPr>
        <w:t xml:space="preserve"> </w:t>
      </w:r>
      <w:r>
        <w:t>in</w:t>
      </w:r>
      <w:r>
        <w:rPr>
          <w:spacing w:val="-11"/>
        </w:rPr>
        <w:t xml:space="preserve"> </w:t>
      </w:r>
      <w:r>
        <w:t>the</w:t>
      </w:r>
      <w:r>
        <w:rPr>
          <w:spacing w:val="-9"/>
        </w:rPr>
        <w:t xml:space="preserve"> </w:t>
      </w:r>
      <w:r>
        <w:t>application.</w:t>
      </w:r>
      <w:r>
        <w:rPr>
          <w:vertAlign w:val="superscript"/>
        </w:rPr>
        <w:t>941</w:t>
      </w:r>
      <w:r>
        <w:rPr>
          <w:spacing w:val="-10"/>
        </w:rPr>
        <w:t xml:space="preserve"> </w:t>
      </w:r>
      <w:r>
        <w:t>No</w:t>
      </w:r>
      <w:r>
        <w:rPr>
          <w:spacing w:val="-10"/>
        </w:rPr>
        <w:t xml:space="preserve"> </w:t>
      </w:r>
      <w:r>
        <w:t>explanation</w:t>
      </w:r>
      <w:r>
        <w:rPr>
          <w:spacing w:val="-11"/>
        </w:rPr>
        <w:t xml:space="preserve"> </w:t>
      </w:r>
      <w:r>
        <w:t>was</w:t>
      </w:r>
      <w:r>
        <w:rPr>
          <w:spacing w:val="-11"/>
        </w:rPr>
        <w:t xml:space="preserve"> </w:t>
      </w:r>
      <w:r>
        <w:t>provided</w:t>
      </w:r>
      <w:r>
        <w:rPr>
          <w:spacing w:val="-10"/>
        </w:rPr>
        <w:t xml:space="preserve"> </w:t>
      </w:r>
      <w:r>
        <w:t>as</w:t>
      </w:r>
      <w:r>
        <w:rPr>
          <w:spacing w:val="-11"/>
        </w:rPr>
        <w:t xml:space="preserve"> </w:t>
      </w:r>
      <w:r>
        <w:t>to</w:t>
      </w:r>
      <w:r>
        <w:rPr>
          <w:spacing w:val="-9"/>
        </w:rPr>
        <w:t xml:space="preserve"> </w:t>
      </w:r>
      <w:r>
        <w:t>why CADA</w:t>
      </w:r>
      <w:r>
        <w:rPr>
          <w:spacing w:val="-8"/>
        </w:rPr>
        <w:t xml:space="preserve"> </w:t>
      </w:r>
      <w:r>
        <w:t>was</w:t>
      </w:r>
      <w:r>
        <w:rPr>
          <w:spacing w:val="-9"/>
        </w:rPr>
        <w:t xml:space="preserve"> </w:t>
      </w:r>
      <w:r>
        <w:t>unable</w:t>
      </w:r>
      <w:r>
        <w:rPr>
          <w:spacing w:val="-8"/>
        </w:rPr>
        <w:t xml:space="preserve"> </w:t>
      </w:r>
      <w:r>
        <w:t>to</w:t>
      </w:r>
      <w:r>
        <w:rPr>
          <w:spacing w:val="-8"/>
        </w:rPr>
        <w:t xml:space="preserve"> </w:t>
      </w:r>
      <w:r>
        <w:t>simply</w:t>
      </w:r>
      <w:r>
        <w:rPr>
          <w:spacing w:val="-8"/>
        </w:rPr>
        <w:t xml:space="preserve"> </w:t>
      </w:r>
      <w:r>
        <w:t>call</w:t>
      </w:r>
      <w:r>
        <w:rPr>
          <w:spacing w:val="-8"/>
        </w:rPr>
        <w:t xml:space="preserve"> </w:t>
      </w:r>
      <w:r>
        <w:t>a</w:t>
      </w:r>
      <w:r>
        <w:rPr>
          <w:spacing w:val="-9"/>
        </w:rPr>
        <w:t xml:space="preserve"> </w:t>
      </w:r>
      <w:r>
        <w:t>shipping</w:t>
      </w:r>
      <w:r>
        <w:rPr>
          <w:spacing w:val="-9"/>
        </w:rPr>
        <w:t xml:space="preserve"> </w:t>
      </w:r>
      <w:r>
        <w:t>container</w:t>
      </w:r>
      <w:r>
        <w:rPr>
          <w:spacing w:val="-9"/>
        </w:rPr>
        <w:t xml:space="preserve"> </w:t>
      </w:r>
      <w:r>
        <w:t>company</w:t>
      </w:r>
      <w:r>
        <w:rPr>
          <w:spacing w:val="-8"/>
        </w:rPr>
        <w:t xml:space="preserve"> </w:t>
      </w:r>
      <w:r>
        <w:t>to</w:t>
      </w:r>
      <w:r>
        <w:rPr>
          <w:spacing w:val="-8"/>
        </w:rPr>
        <w:t xml:space="preserve"> </w:t>
      </w:r>
      <w:r>
        <w:t>get</w:t>
      </w:r>
      <w:r>
        <w:rPr>
          <w:spacing w:val="-9"/>
        </w:rPr>
        <w:t xml:space="preserve"> </w:t>
      </w:r>
      <w:r>
        <w:t>a</w:t>
      </w:r>
      <w:r>
        <w:rPr>
          <w:spacing w:val="-9"/>
        </w:rPr>
        <w:t xml:space="preserve"> </w:t>
      </w:r>
      <w:r>
        <w:t>quote.</w:t>
      </w:r>
      <w:r>
        <w:rPr>
          <w:spacing w:val="-7"/>
        </w:rPr>
        <w:t xml:space="preserve"> </w:t>
      </w:r>
      <w:r>
        <w:t>Relying</w:t>
      </w:r>
      <w:r>
        <w:rPr>
          <w:spacing w:val="-10"/>
        </w:rPr>
        <w:t xml:space="preserve"> </w:t>
      </w:r>
      <w:r>
        <w:t>on</w:t>
      </w:r>
      <w:r>
        <w:rPr>
          <w:spacing w:val="-9"/>
        </w:rPr>
        <w:t xml:space="preserve"> </w:t>
      </w:r>
      <w:r>
        <w:t>other sources</w:t>
      </w:r>
      <w:r>
        <w:rPr>
          <w:spacing w:val="-5"/>
        </w:rPr>
        <w:t xml:space="preserve"> </w:t>
      </w:r>
      <w:r>
        <w:t>of</w:t>
      </w:r>
      <w:r>
        <w:rPr>
          <w:spacing w:val="-4"/>
        </w:rPr>
        <w:t xml:space="preserve"> </w:t>
      </w:r>
      <w:r>
        <w:t>data,</w:t>
      </w:r>
      <w:r>
        <w:rPr>
          <w:spacing w:val="-4"/>
        </w:rPr>
        <w:t xml:space="preserve"> </w:t>
      </w:r>
      <w:r>
        <w:t>CADA</w:t>
      </w:r>
      <w:r>
        <w:rPr>
          <w:spacing w:val="-3"/>
        </w:rPr>
        <w:t xml:space="preserve"> </w:t>
      </w:r>
      <w:r>
        <w:t>then</w:t>
      </w:r>
      <w:r>
        <w:rPr>
          <w:spacing w:val="-4"/>
        </w:rPr>
        <w:t xml:space="preserve"> </w:t>
      </w:r>
      <w:r>
        <w:t>proceeded</w:t>
      </w:r>
      <w:r>
        <w:rPr>
          <w:spacing w:val="-3"/>
        </w:rPr>
        <w:t xml:space="preserve"> </w:t>
      </w:r>
      <w:r>
        <w:t>to</w:t>
      </w:r>
      <w:r>
        <w:rPr>
          <w:spacing w:val="-3"/>
        </w:rPr>
        <w:t xml:space="preserve"> </w:t>
      </w:r>
      <w:r>
        <w:t>remove</w:t>
      </w:r>
      <w:r>
        <w:rPr>
          <w:spacing w:val="-4"/>
        </w:rPr>
        <w:t xml:space="preserve"> </w:t>
      </w:r>
      <w:r>
        <w:t>the</w:t>
      </w:r>
      <w:r>
        <w:rPr>
          <w:spacing w:val="-3"/>
        </w:rPr>
        <w:t xml:space="preserve"> </w:t>
      </w:r>
      <w:r>
        <w:t>alleged</w:t>
      </w:r>
      <w:r>
        <w:rPr>
          <w:spacing w:val="-4"/>
        </w:rPr>
        <w:t xml:space="preserve"> </w:t>
      </w:r>
      <w:r>
        <w:t>costs</w:t>
      </w:r>
      <w:r>
        <w:rPr>
          <w:spacing w:val="-4"/>
        </w:rPr>
        <w:t xml:space="preserve"> </w:t>
      </w:r>
      <w:r>
        <w:t>from</w:t>
      </w:r>
      <w:r>
        <w:rPr>
          <w:spacing w:val="-4"/>
        </w:rPr>
        <w:t xml:space="preserve"> </w:t>
      </w:r>
      <w:r>
        <w:t>Australia</w:t>
      </w:r>
      <w:r>
        <w:rPr>
          <w:spacing w:val="-4"/>
        </w:rPr>
        <w:t xml:space="preserve"> </w:t>
      </w:r>
      <w:r>
        <w:t>to</w:t>
      </w:r>
      <w:r>
        <w:rPr>
          <w:spacing w:val="-5"/>
        </w:rPr>
        <w:t xml:space="preserve"> </w:t>
      </w:r>
      <w:r>
        <w:t>China</w:t>
      </w:r>
      <w:r>
        <w:rPr>
          <w:spacing w:val="-4"/>
        </w:rPr>
        <w:t xml:space="preserve"> </w:t>
      </w:r>
      <w:r>
        <w:t>to be deducted from the export price,</w:t>
      </w:r>
      <w:r>
        <w:rPr>
          <w:vertAlign w:val="superscript"/>
        </w:rPr>
        <w:t>942</w:t>
      </w:r>
      <w:r>
        <w:t xml:space="preserve"> and it claimed that these costs could be divided into costs for "overseas links" and "domestic links".</w:t>
      </w:r>
      <w:r>
        <w:rPr>
          <w:vertAlign w:val="superscript"/>
        </w:rPr>
        <w:t>943</w:t>
      </w:r>
      <w:r>
        <w:t xml:space="preserve"> Regarding the overseas links, CADA temporarily adjusted the export price on the basis of ocean freight from A</w:t>
      </w:r>
      <w:r>
        <w:t>ustralian ports to Chinese</w:t>
      </w:r>
      <w:r>
        <w:rPr>
          <w:spacing w:val="-11"/>
        </w:rPr>
        <w:t xml:space="preserve"> </w:t>
      </w:r>
      <w:r>
        <w:t>ports,</w:t>
      </w:r>
      <w:r>
        <w:rPr>
          <w:spacing w:val="-12"/>
        </w:rPr>
        <w:t xml:space="preserve"> </w:t>
      </w:r>
      <w:r>
        <w:t>and</w:t>
      </w:r>
      <w:r>
        <w:rPr>
          <w:spacing w:val="-12"/>
        </w:rPr>
        <w:t xml:space="preserve"> </w:t>
      </w:r>
      <w:r>
        <w:t>the</w:t>
      </w:r>
      <w:r>
        <w:rPr>
          <w:spacing w:val="-11"/>
        </w:rPr>
        <w:t xml:space="preserve"> </w:t>
      </w:r>
      <w:r>
        <w:t>insurance</w:t>
      </w:r>
      <w:r>
        <w:rPr>
          <w:spacing w:val="-11"/>
        </w:rPr>
        <w:t xml:space="preserve"> </w:t>
      </w:r>
      <w:r>
        <w:t>premium</w:t>
      </w:r>
      <w:r>
        <w:rPr>
          <w:spacing w:val="-11"/>
        </w:rPr>
        <w:t xml:space="preserve"> </w:t>
      </w:r>
      <w:r>
        <w:t>from</w:t>
      </w:r>
      <w:r>
        <w:rPr>
          <w:spacing w:val="-13"/>
        </w:rPr>
        <w:t xml:space="preserve"> </w:t>
      </w:r>
      <w:r>
        <w:t>China</w:t>
      </w:r>
      <w:r>
        <w:rPr>
          <w:spacing w:val="-12"/>
        </w:rPr>
        <w:t xml:space="preserve"> </w:t>
      </w:r>
      <w:r>
        <w:t>to</w:t>
      </w:r>
      <w:r>
        <w:rPr>
          <w:spacing w:val="-12"/>
        </w:rPr>
        <w:t xml:space="preserve"> </w:t>
      </w:r>
      <w:r>
        <w:t>Oceania.</w:t>
      </w:r>
      <w:r>
        <w:rPr>
          <w:spacing w:val="-11"/>
        </w:rPr>
        <w:t xml:space="preserve"> </w:t>
      </w:r>
      <w:r>
        <w:t>In</w:t>
      </w:r>
      <w:r>
        <w:rPr>
          <w:spacing w:val="-13"/>
        </w:rPr>
        <w:t xml:space="preserve"> </w:t>
      </w:r>
      <w:r>
        <w:t>circumstances</w:t>
      </w:r>
      <w:r>
        <w:rPr>
          <w:spacing w:val="-14"/>
        </w:rPr>
        <w:t xml:space="preserve"> </w:t>
      </w:r>
      <w:r>
        <w:t>where</w:t>
      </w:r>
      <w:r>
        <w:rPr>
          <w:spacing w:val="-11"/>
        </w:rPr>
        <w:t xml:space="preserve"> </w:t>
      </w:r>
      <w:r>
        <w:t>the applicant fails to put forward readily available data, an unbiased and objective investigating authority would have made further enquiries to sati</w:t>
      </w:r>
      <w:r>
        <w:t>sfy itself that no more authoritative data was available. MOFCOM failed to do this.</w:t>
      </w:r>
    </w:p>
    <w:p w14:paraId="51DE955A" w14:textId="77777777" w:rsidR="0010369C" w:rsidRDefault="0010369C">
      <w:pPr>
        <w:pStyle w:val="BodyText"/>
        <w:spacing w:before="11"/>
        <w:rPr>
          <w:sz w:val="8"/>
        </w:rPr>
      </w:pPr>
    </w:p>
    <w:p w14:paraId="51DE955B" w14:textId="77777777" w:rsidR="0010369C" w:rsidRDefault="008E43AE">
      <w:pPr>
        <w:pStyle w:val="BodyText"/>
        <w:spacing w:before="52" w:line="360" w:lineRule="auto"/>
        <w:ind w:left="237" w:right="613" w:firstLine="852"/>
        <w:jc w:val="both"/>
      </w:pPr>
      <w:r>
        <w:rPr>
          <w:noProof/>
        </w:rPr>
        <w:drawing>
          <wp:anchor distT="0" distB="0" distL="0" distR="0" simplePos="0" relativeHeight="251390464" behindDoc="1" locked="0" layoutInCell="1" allowOverlap="1" wp14:anchorId="51DEA695" wp14:editId="51DEA696">
            <wp:simplePos x="0" y="0"/>
            <wp:positionH relativeFrom="page">
              <wp:posOffset>902208</wp:posOffset>
            </wp:positionH>
            <wp:positionV relativeFrom="paragraph">
              <wp:posOffset>80595</wp:posOffset>
            </wp:positionV>
            <wp:extent cx="262127" cy="103631"/>
            <wp:effectExtent l="0" t="0" r="0" b="0"/>
            <wp:wrapNone/>
            <wp:docPr id="1541" name="image7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 name="image798.png"/>
                    <pic:cNvPicPr/>
                  </pic:nvPicPr>
                  <pic:blipFill>
                    <a:blip r:embed="rId1051" cstate="print"/>
                    <a:stretch>
                      <a:fillRect/>
                    </a:stretch>
                  </pic:blipFill>
                  <pic:spPr>
                    <a:xfrm>
                      <a:off x="0" y="0"/>
                      <a:ext cx="262127" cy="103631"/>
                    </a:xfrm>
                    <a:prstGeom prst="rect">
                      <a:avLst/>
                    </a:prstGeom>
                  </pic:spPr>
                </pic:pic>
              </a:graphicData>
            </a:graphic>
          </wp:anchor>
        </w:drawing>
      </w:r>
      <w:r>
        <w:t>Finally, CADA claimed that they were "unable to obtain the costs for the domestic links actually incurred in Australia for products subject to the investigation request".</w:t>
      </w:r>
      <w:r>
        <w:rPr>
          <w:vertAlign w:val="superscript"/>
        </w:rPr>
        <w:t>944</w:t>
      </w:r>
      <w:r>
        <w:t xml:space="preserve"> Instead, CADA claimed to use data from the World Bank Group to account for domestic links.</w:t>
      </w:r>
      <w:r>
        <w:rPr>
          <w:vertAlign w:val="superscript"/>
        </w:rPr>
        <w:t>945</w:t>
      </w:r>
      <w:r>
        <w:rPr>
          <w:spacing w:val="28"/>
        </w:rPr>
        <w:t xml:space="preserve"> </w:t>
      </w:r>
      <w:r>
        <w:t>CADA</w:t>
      </w:r>
      <w:r>
        <w:rPr>
          <w:spacing w:val="-13"/>
        </w:rPr>
        <w:t xml:space="preserve"> </w:t>
      </w:r>
      <w:r>
        <w:t>did</w:t>
      </w:r>
      <w:r>
        <w:rPr>
          <w:spacing w:val="-14"/>
        </w:rPr>
        <w:t xml:space="preserve"> </w:t>
      </w:r>
      <w:r>
        <w:t>not</w:t>
      </w:r>
      <w:r>
        <w:rPr>
          <w:spacing w:val="-13"/>
        </w:rPr>
        <w:t xml:space="preserve"> </w:t>
      </w:r>
      <w:r>
        <w:t>make</w:t>
      </w:r>
      <w:r>
        <w:rPr>
          <w:spacing w:val="-13"/>
        </w:rPr>
        <w:t xml:space="preserve"> </w:t>
      </w:r>
      <w:r>
        <w:t>any</w:t>
      </w:r>
      <w:r>
        <w:rPr>
          <w:spacing w:val="-13"/>
        </w:rPr>
        <w:t xml:space="preserve"> </w:t>
      </w:r>
      <w:r>
        <w:t>adjustments</w:t>
      </w:r>
      <w:r>
        <w:rPr>
          <w:spacing w:val="-14"/>
        </w:rPr>
        <w:t xml:space="preserve"> </w:t>
      </w:r>
      <w:r>
        <w:t>for</w:t>
      </w:r>
      <w:r>
        <w:rPr>
          <w:spacing w:val="-13"/>
        </w:rPr>
        <w:t xml:space="preserve"> </w:t>
      </w:r>
      <w:r>
        <w:t>the</w:t>
      </w:r>
      <w:r>
        <w:rPr>
          <w:spacing w:val="-13"/>
        </w:rPr>
        <w:t xml:space="preserve"> </w:t>
      </w:r>
      <w:r>
        <w:t>sales</w:t>
      </w:r>
      <w:r>
        <w:rPr>
          <w:spacing w:val="-14"/>
        </w:rPr>
        <w:t xml:space="preserve"> </w:t>
      </w:r>
      <w:r>
        <w:t>volume</w:t>
      </w:r>
      <w:r>
        <w:rPr>
          <w:spacing w:val="-13"/>
        </w:rPr>
        <w:t xml:space="preserve"> </w:t>
      </w:r>
      <w:r>
        <w:t>and</w:t>
      </w:r>
      <w:r>
        <w:rPr>
          <w:spacing w:val="-14"/>
        </w:rPr>
        <w:t xml:space="preserve"> </w:t>
      </w:r>
      <w:r>
        <w:t>physical</w:t>
      </w:r>
      <w:r>
        <w:rPr>
          <w:spacing w:val="-13"/>
        </w:rPr>
        <w:t xml:space="preserve"> </w:t>
      </w:r>
      <w:r>
        <w:t xml:space="preserve">characteristics. CADA claimed that "this adjustment should not be considered for the time </w:t>
      </w:r>
      <w:r>
        <w:t>being as the quantity of wines originating in Australia and exported to China are representative and comparable,</w:t>
      </w:r>
      <w:r>
        <w:rPr>
          <w:spacing w:val="-11"/>
        </w:rPr>
        <w:t xml:space="preserve"> </w:t>
      </w:r>
      <w:r>
        <w:t>and</w:t>
      </w:r>
      <w:r>
        <w:rPr>
          <w:spacing w:val="-8"/>
        </w:rPr>
        <w:t xml:space="preserve"> </w:t>
      </w:r>
      <w:r>
        <w:t>they</w:t>
      </w:r>
      <w:r>
        <w:rPr>
          <w:spacing w:val="-9"/>
        </w:rPr>
        <w:t xml:space="preserve"> </w:t>
      </w:r>
      <w:r>
        <w:t>are</w:t>
      </w:r>
      <w:r>
        <w:rPr>
          <w:spacing w:val="-8"/>
        </w:rPr>
        <w:t xml:space="preserve"> </w:t>
      </w:r>
      <w:r>
        <w:t>basically</w:t>
      </w:r>
      <w:r>
        <w:rPr>
          <w:spacing w:val="-8"/>
        </w:rPr>
        <w:t xml:space="preserve"> </w:t>
      </w:r>
      <w:r>
        <w:t>the</w:t>
      </w:r>
      <w:r>
        <w:rPr>
          <w:spacing w:val="-8"/>
        </w:rPr>
        <w:t xml:space="preserve"> </w:t>
      </w:r>
      <w:r>
        <w:t>same</w:t>
      </w:r>
      <w:r>
        <w:rPr>
          <w:spacing w:val="-8"/>
        </w:rPr>
        <w:t xml:space="preserve"> </w:t>
      </w:r>
      <w:r>
        <w:t>in</w:t>
      </w:r>
      <w:r>
        <w:rPr>
          <w:spacing w:val="-9"/>
        </w:rPr>
        <w:t xml:space="preserve"> </w:t>
      </w:r>
      <w:r>
        <w:t>terms</w:t>
      </w:r>
      <w:r>
        <w:rPr>
          <w:spacing w:val="-8"/>
        </w:rPr>
        <w:t xml:space="preserve"> </w:t>
      </w:r>
      <w:r>
        <w:t>of</w:t>
      </w:r>
      <w:r>
        <w:rPr>
          <w:spacing w:val="-9"/>
        </w:rPr>
        <w:t xml:space="preserve"> </w:t>
      </w:r>
      <w:r>
        <w:t>physical</w:t>
      </w:r>
      <w:r>
        <w:rPr>
          <w:spacing w:val="-8"/>
        </w:rPr>
        <w:t xml:space="preserve"> </w:t>
      </w:r>
      <w:r>
        <w:t>and</w:t>
      </w:r>
      <w:r>
        <w:rPr>
          <w:spacing w:val="-9"/>
        </w:rPr>
        <w:t xml:space="preserve"> </w:t>
      </w:r>
      <w:r>
        <w:t>chemical</w:t>
      </w:r>
      <w:r>
        <w:rPr>
          <w:spacing w:val="-8"/>
        </w:rPr>
        <w:t xml:space="preserve"> </w:t>
      </w:r>
      <w:r>
        <w:rPr>
          <w:spacing w:val="-2"/>
        </w:rPr>
        <w:t>properties".</w:t>
      </w:r>
      <w:r>
        <w:rPr>
          <w:spacing w:val="-2"/>
          <w:vertAlign w:val="superscript"/>
        </w:rPr>
        <w:t>946</w:t>
      </w:r>
    </w:p>
    <w:p w14:paraId="51DE955C" w14:textId="77777777" w:rsidR="0010369C" w:rsidRDefault="0010369C">
      <w:pPr>
        <w:pStyle w:val="BodyText"/>
        <w:spacing w:before="9"/>
        <w:rPr>
          <w:sz w:val="8"/>
        </w:rPr>
      </w:pPr>
    </w:p>
    <w:p w14:paraId="51DE955D" w14:textId="77777777" w:rsidR="0010369C" w:rsidRDefault="008E43AE">
      <w:pPr>
        <w:pStyle w:val="BodyText"/>
        <w:spacing w:before="52" w:line="360" w:lineRule="auto"/>
        <w:ind w:left="237" w:right="614" w:firstLine="851"/>
        <w:jc w:val="both"/>
      </w:pPr>
      <w:r>
        <w:rPr>
          <w:noProof/>
        </w:rPr>
        <w:drawing>
          <wp:anchor distT="0" distB="0" distL="0" distR="0" simplePos="0" relativeHeight="251391488" behindDoc="1" locked="0" layoutInCell="1" allowOverlap="1" wp14:anchorId="51DEA697" wp14:editId="51DEA698">
            <wp:simplePos x="0" y="0"/>
            <wp:positionH relativeFrom="page">
              <wp:posOffset>902208</wp:posOffset>
            </wp:positionH>
            <wp:positionV relativeFrom="paragraph">
              <wp:posOffset>80596</wp:posOffset>
            </wp:positionV>
            <wp:extent cx="262127" cy="103631"/>
            <wp:effectExtent l="0" t="0" r="0" b="0"/>
            <wp:wrapNone/>
            <wp:docPr id="1543" name="image7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 name="image799.png"/>
                    <pic:cNvPicPr/>
                  </pic:nvPicPr>
                  <pic:blipFill>
                    <a:blip r:embed="rId1052" cstate="print"/>
                    <a:stretch>
                      <a:fillRect/>
                    </a:stretch>
                  </pic:blipFill>
                  <pic:spPr>
                    <a:xfrm>
                      <a:off x="0" y="0"/>
                      <a:ext cx="262127" cy="103631"/>
                    </a:xfrm>
                    <a:prstGeom prst="rect">
                      <a:avLst/>
                    </a:prstGeom>
                  </pic:spPr>
                </pic:pic>
              </a:graphicData>
            </a:graphic>
          </wp:anchor>
        </w:drawing>
      </w:r>
      <w:r>
        <w:t>MOFCOM</w:t>
      </w:r>
      <w:r>
        <w:rPr>
          <w:spacing w:val="-8"/>
        </w:rPr>
        <w:t xml:space="preserve"> </w:t>
      </w:r>
      <w:r>
        <w:t>accepted</w:t>
      </w:r>
      <w:r>
        <w:rPr>
          <w:spacing w:val="-8"/>
        </w:rPr>
        <w:t xml:space="preserve"> </w:t>
      </w:r>
      <w:r>
        <w:t>the</w:t>
      </w:r>
      <w:r>
        <w:rPr>
          <w:spacing w:val="-9"/>
        </w:rPr>
        <w:t xml:space="preserve"> </w:t>
      </w:r>
      <w:r>
        <w:t>information</w:t>
      </w:r>
      <w:r>
        <w:rPr>
          <w:spacing w:val="-9"/>
        </w:rPr>
        <w:t xml:space="preserve"> </w:t>
      </w:r>
      <w:r>
        <w:t>as</w:t>
      </w:r>
      <w:r>
        <w:rPr>
          <w:spacing w:val="-9"/>
        </w:rPr>
        <w:t xml:space="preserve"> </w:t>
      </w:r>
      <w:r>
        <w:t>provided</w:t>
      </w:r>
      <w:r>
        <w:rPr>
          <w:spacing w:val="-9"/>
        </w:rPr>
        <w:t xml:space="preserve"> </w:t>
      </w:r>
      <w:r>
        <w:t>by</w:t>
      </w:r>
      <w:r>
        <w:rPr>
          <w:spacing w:val="-8"/>
        </w:rPr>
        <w:t xml:space="preserve"> </w:t>
      </w:r>
      <w:r>
        <w:t>the</w:t>
      </w:r>
      <w:r>
        <w:rPr>
          <w:spacing w:val="-8"/>
        </w:rPr>
        <w:t xml:space="preserve"> </w:t>
      </w:r>
      <w:r>
        <w:t>applicant</w:t>
      </w:r>
      <w:r>
        <w:rPr>
          <w:spacing w:val="-8"/>
        </w:rPr>
        <w:t xml:space="preserve"> </w:t>
      </w:r>
      <w:r>
        <w:t>without</w:t>
      </w:r>
      <w:r>
        <w:rPr>
          <w:spacing w:val="-9"/>
        </w:rPr>
        <w:t xml:space="preserve"> </w:t>
      </w:r>
      <w:r>
        <w:t>any</w:t>
      </w:r>
      <w:r>
        <w:rPr>
          <w:spacing w:val="-8"/>
        </w:rPr>
        <w:t xml:space="preserve"> </w:t>
      </w:r>
      <w:r>
        <w:t>inquiry or corroboration. MOFCOM made no attempts to verify the quantum of the adjustments. After a downward adjustment of USD 319 per kl, the export price was USD 6404 per kl. The individual amounts constituting the adjustment were i</w:t>
      </w:r>
      <w:r>
        <w:t>nadequate and speculative. MOFCOM made</w:t>
      </w:r>
      <w:r>
        <w:rPr>
          <w:spacing w:val="-1"/>
        </w:rPr>
        <w:t xml:space="preserve"> </w:t>
      </w:r>
      <w:r>
        <w:t>no</w:t>
      </w:r>
      <w:r>
        <w:rPr>
          <w:spacing w:val="-1"/>
        </w:rPr>
        <w:t xml:space="preserve"> </w:t>
      </w:r>
      <w:r>
        <w:t>attempt</w:t>
      </w:r>
      <w:r>
        <w:rPr>
          <w:spacing w:val="-2"/>
        </w:rPr>
        <w:t xml:space="preserve"> </w:t>
      </w:r>
      <w:r>
        <w:t>to</w:t>
      </w:r>
      <w:r>
        <w:rPr>
          <w:spacing w:val="-2"/>
        </w:rPr>
        <w:t xml:space="preserve"> </w:t>
      </w:r>
      <w:r>
        <w:t>even</w:t>
      </w:r>
      <w:r>
        <w:rPr>
          <w:spacing w:val="-1"/>
        </w:rPr>
        <w:t xml:space="preserve"> </w:t>
      </w:r>
      <w:r>
        <w:t>verify</w:t>
      </w:r>
      <w:r>
        <w:rPr>
          <w:spacing w:val="-1"/>
        </w:rPr>
        <w:t xml:space="preserve"> </w:t>
      </w:r>
      <w:r>
        <w:t>the</w:t>
      </w:r>
      <w:r>
        <w:rPr>
          <w:spacing w:val="-2"/>
        </w:rPr>
        <w:t xml:space="preserve"> </w:t>
      </w:r>
      <w:r>
        <w:t>adjustments</w:t>
      </w:r>
      <w:r>
        <w:rPr>
          <w:spacing w:val="-2"/>
        </w:rPr>
        <w:t xml:space="preserve"> </w:t>
      </w:r>
      <w:r>
        <w:t>against</w:t>
      </w:r>
      <w:r>
        <w:rPr>
          <w:spacing w:val="-1"/>
        </w:rPr>
        <w:t xml:space="preserve"> </w:t>
      </w:r>
      <w:r>
        <w:t>the</w:t>
      </w:r>
      <w:r>
        <w:rPr>
          <w:spacing w:val="-2"/>
        </w:rPr>
        <w:t xml:space="preserve"> </w:t>
      </w:r>
      <w:r>
        <w:t>information</w:t>
      </w:r>
      <w:r>
        <w:rPr>
          <w:spacing w:val="-2"/>
        </w:rPr>
        <w:t xml:space="preserve"> </w:t>
      </w:r>
      <w:r>
        <w:t>already</w:t>
      </w:r>
      <w:r>
        <w:rPr>
          <w:spacing w:val="-1"/>
        </w:rPr>
        <w:t xml:space="preserve"> </w:t>
      </w:r>
      <w:r>
        <w:t>available to it.</w:t>
      </w:r>
      <w:r>
        <w:rPr>
          <w:vertAlign w:val="superscript"/>
        </w:rPr>
        <w:t>947</w:t>
      </w:r>
      <w:r>
        <w:rPr>
          <w:spacing w:val="25"/>
        </w:rPr>
        <w:t xml:space="preserve"> </w:t>
      </w:r>
      <w:r>
        <w:t>CADA</w:t>
      </w:r>
      <w:r>
        <w:rPr>
          <w:spacing w:val="27"/>
        </w:rPr>
        <w:t xml:space="preserve"> </w:t>
      </w:r>
      <w:r>
        <w:t>failed</w:t>
      </w:r>
      <w:r>
        <w:rPr>
          <w:spacing w:val="25"/>
        </w:rPr>
        <w:t xml:space="preserve"> </w:t>
      </w:r>
      <w:r>
        <w:t>to</w:t>
      </w:r>
      <w:r>
        <w:rPr>
          <w:spacing w:val="26"/>
        </w:rPr>
        <w:t xml:space="preserve"> </w:t>
      </w:r>
      <w:r>
        <w:t>provide</w:t>
      </w:r>
      <w:r>
        <w:rPr>
          <w:spacing w:val="27"/>
        </w:rPr>
        <w:t xml:space="preserve"> </w:t>
      </w:r>
      <w:r>
        <w:t>original</w:t>
      </w:r>
      <w:r>
        <w:rPr>
          <w:spacing w:val="25"/>
        </w:rPr>
        <w:t xml:space="preserve"> </w:t>
      </w:r>
      <w:r>
        <w:t>sources</w:t>
      </w:r>
      <w:r>
        <w:rPr>
          <w:spacing w:val="26"/>
        </w:rPr>
        <w:t xml:space="preserve"> </w:t>
      </w:r>
      <w:r>
        <w:t>in</w:t>
      </w:r>
      <w:r>
        <w:rPr>
          <w:spacing w:val="26"/>
        </w:rPr>
        <w:t xml:space="preserve"> </w:t>
      </w:r>
      <w:r>
        <w:t>several</w:t>
      </w:r>
      <w:r>
        <w:rPr>
          <w:spacing w:val="26"/>
        </w:rPr>
        <w:t xml:space="preserve"> </w:t>
      </w:r>
      <w:r>
        <w:t>annexes,</w:t>
      </w:r>
      <w:r>
        <w:rPr>
          <w:spacing w:val="26"/>
        </w:rPr>
        <w:t xml:space="preserve"> </w:t>
      </w:r>
      <w:r>
        <w:t>and</w:t>
      </w:r>
      <w:r>
        <w:rPr>
          <w:spacing w:val="26"/>
        </w:rPr>
        <w:t xml:space="preserve"> </w:t>
      </w:r>
      <w:r>
        <w:t>in</w:t>
      </w:r>
      <w:r>
        <w:rPr>
          <w:spacing w:val="25"/>
        </w:rPr>
        <w:t xml:space="preserve"> </w:t>
      </w:r>
      <w:r>
        <w:t>fact</w:t>
      </w:r>
      <w:r>
        <w:rPr>
          <w:spacing w:val="26"/>
        </w:rPr>
        <w:t xml:space="preserve"> </w:t>
      </w:r>
      <w:r>
        <w:t>only</w:t>
      </w:r>
      <w:r>
        <w:rPr>
          <w:spacing w:val="27"/>
        </w:rPr>
        <w:t xml:space="preserve"> </w:t>
      </w:r>
      <w:r>
        <w:t>provided</w:t>
      </w:r>
    </w:p>
    <w:p w14:paraId="51DE955E" w14:textId="77777777" w:rsidR="0010369C" w:rsidRDefault="008E43AE">
      <w:pPr>
        <w:pStyle w:val="BodyText"/>
        <w:spacing w:before="9"/>
        <w:rPr>
          <w:sz w:val="28"/>
        </w:rPr>
      </w:pPr>
      <w:r>
        <w:pict w14:anchorId="51DEA699">
          <v:rect id="docshape1257" o:spid="_x0000_s1170" style="position:absolute;margin-left:70.9pt;margin-top:18.75pt;width:2in;height:.8pt;z-index:-250749440;mso-wrap-distance-left:0;mso-wrap-distance-right:0;mso-position-horizontal-relative:page" fillcolor="black" stroked="f">
            <w10:wrap type="topAndBottom" anchorx="page"/>
          </v:rect>
        </w:pict>
      </w:r>
    </w:p>
    <w:p w14:paraId="51DE955F" w14:textId="77777777" w:rsidR="0010369C" w:rsidRDefault="008E43AE">
      <w:pPr>
        <w:spacing w:before="109"/>
        <w:ind w:left="238"/>
        <w:jc w:val="both"/>
        <w:rPr>
          <w:sz w:val="18"/>
        </w:rPr>
      </w:pPr>
      <w:r>
        <w:rPr>
          <w:sz w:val="18"/>
          <w:vertAlign w:val="superscript"/>
        </w:rPr>
        <w:t>941</w:t>
      </w:r>
      <w:r>
        <w:rPr>
          <w:spacing w:val="-7"/>
          <w:sz w:val="18"/>
        </w:rPr>
        <w:t xml:space="preserve"> </w:t>
      </w:r>
      <w:r>
        <w:rPr>
          <w:sz w:val="18"/>
        </w:rPr>
        <w:t>CADA</w:t>
      </w:r>
      <w:r>
        <w:rPr>
          <w:spacing w:val="-8"/>
          <w:sz w:val="18"/>
        </w:rPr>
        <w:t xml:space="preserve"> </w:t>
      </w:r>
      <w:r>
        <w:rPr>
          <w:sz w:val="18"/>
        </w:rPr>
        <w:t>Application</w:t>
      </w:r>
      <w:r>
        <w:rPr>
          <w:spacing w:val="-7"/>
          <w:sz w:val="18"/>
        </w:rPr>
        <w:t xml:space="preserve"> </w:t>
      </w:r>
      <w:r>
        <w:rPr>
          <w:sz w:val="18"/>
        </w:rPr>
        <w:t>for</w:t>
      </w:r>
      <w:r>
        <w:rPr>
          <w:spacing w:val="-7"/>
          <w:sz w:val="18"/>
        </w:rPr>
        <w:t xml:space="preserve"> </w:t>
      </w:r>
      <w:r>
        <w:rPr>
          <w:sz w:val="18"/>
        </w:rPr>
        <w:t>Anti‐Dumpi</w:t>
      </w:r>
      <w:r>
        <w:rPr>
          <w:sz w:val="18"/>
        </w:rPr>
        <w:t>ng</w:t>
      </w:r>
      <w:r>
        <w:rPr>
          <w:spacing w:val="-7"/>
          <w:sz w:val="18"/>
        </w:rPr>
        <w:t xml:space="preserve"> </w:t>
      </w:r>
      <w:r>
        <w:rPr>
          <w:sz w:val="18"/>
        </w:rPr>
        <w:t>Investigation,</w:t>
      </w:r>
      <w:r>
        <w:rPr>
          <w:spacing w:val="-8"/>
          <w:sz w:val="18"/>
        </w:rPr>
        <w:t xml:space="preserve"> </w:t>
      </w:r>
      <w:r>
        <w:rPr>
          <w:sz w:val="18"/>
        </w:rPr>
        <w:t>Annexes</w:t>
      </w:r>
      <w:r>
        <w:rPr>
          <w:spacing w:val="-7"/>
          <w:sz w:val="18"/>
        </w:rPr>
        <w:t xml:space="preserve"> </w:t>
      </w:r>
      <w:r>
        <w:rPr>
          <w:sz w:val="18"/>
        </w:rPr>
        <w:t>1‐12</w:t>
      </w:r>
      <w:r>
        <w:rPr>
          <w:spacing w:val="-9"/>
          <w:sz w:val="18"/>
        </w:rPr>
        <w:t xml:space="preserve"> </w:t>
      </w:r>
      <w:r>
        <w:rPr>
          <w:sz w:val="18"/>
        </w:rPr>
        <w:t>(Part</w:t>
      </w:r>
      <w:r>
        <w:rPr>
          <w:spacing w:val="-8"/>
          <w:sz w:val="18"/>
        </w:rPr>
        <w:t xml:space="preserve"> </w:t>
      </w:r>
      <w:r>
        <w:rPr>
          <w:sz w:val="18"/>
        </w:rPr>
        <w:t>1)</w:t>
      </w:r>
      <w:r>
        <w:rPr>
          <w:spacing w:val="-8"/>
          <w:sz w:val="18"/>
        </w:rPr>
        <w:t xml:space="preserve"> </w:t>
      </w:r>
      <w:r>
        <w:rPr>
          <w:sz w:val="18"/>
        </w:rPr>
        <w:t>(Exhibit</w:t>
      </w:r>
      <w:r>
        <w:rPr>
          <w:spacing w:val="-7"/>
          <w:sz w:val="18"/>
        </w:rPr>
        <w:t xml:space="preserve"> </w:t>
      </w:r>
      <w:r>
        <w:rPr>
          <w:sz w:val="18"/>
        </w:rPr>
        <w:t>AUS‐90),</w:t>
      </w:r>
      <w:r>
        <w:rPr>
          <w:spacing w:val="-7"/>
          <w:sz w:val="18"/>
        </w:rPr>
        <w:t xml:space="preserve"> </w:t>
      </w:r>
      <w:r>
        <w:rPr>
          <w:sz w:val="18"/>
        </w:rPr>
        <w:t>Annex</w:t>
      </w:r>
      <w:r>
        <w:rPr>
          <w:spacing w:val="-9"/>
          <w:sz w:val="18"/>
        </w:rPr>
        <w:t xml:space="preserve"> </w:t>
      </w:r>
      <w:r>
        <w:rPr>
          <w:spacing w:val="-5"/>
          <w:sz w:val="18"/>
        </w:rPr>
        <w:t>9.</w:t>
      </w:r>
    </w:p>
    <w:p w14:paraId="51DE9560" w14:textId="77777777" w:rsidR="0010369C" w:rsidRDefault="008E43AE">
      <w:pPr>
        <w:ind w:left="238" w:right="4151"/>
        <w:jc w:val="both"/>
        <w:rPr>
          <w:sz w:val="18"/>
        </w:rPr>
      </w:pPr>
      <w:r>
        <w:rPr>
          <w:sz w:val="18"/>
          <w:vertAlign w:val="superscript"/>
        </w:rPr>
        <w:t>942</w:t>
      </w:r>
      <w:r>
        <w:rPr>
          <w:spacing w:val="-4"/>
          <w:sz w:val="18"/>
        </w:rPr>
        <w:t xml:space="preserve"> </w:t>
      </w:r>
      <w:r>
        <w:rPr>
          <w:sz w:val="18"/>
        </w:rPr>
        <w:t>CADA</w:t>
      </w:r>
      <w:r>
        <w:rPr>
          <w:spacing w:val="-4"/>
          <w:sz w:val="18"/>
        </w:rPr>
        <w:t xml:space="preserve"> </w:t>
      </w:r>
      <w:r>
        <w:rPr>
          <w:sz w:val="18"/>
        </w:rPr>
        <w:t>Application</w:t>
      </w:r>
      <w:r>
        <w:rPr>
          <w:spacing w:val="-4"/>
          <w:sz w:val="18"/>
        </w:rPr>
        <w:t xml:space="preserve"> </w:t>
      </w:r>
      <w:r>
        <w:rPr>
          <w:sz w:val="18"/>
        </w:rPr>
        <w:t>for</w:t>
      </w:r>
      <w:r>
        <w:rPr>
          <w:spacing w:val="-4"/>
          <w:sz w:val="18"/>
        </w:rPr>
        <w:t xml:space="preserve"> </w:t>
      </w:r>
      <w:r>
        <w:rPr>
          <w:sz w:val="18"/>
        </w:rPr>
        <w:t>Anti‐Dumping</w:t>
      </w:r>
      <w:r>
        <w:rPr>
          <w:spacing w:val="-4"/>
          <w:sz w:val="18"/>
        </w:rPr>
        <w:t xml:space="preserve"> </w:t>
      </w:r>
      <w:r>
        <w:rPr>
          <w:sz w:val="18"/>
        </w:rPr>
        <w:t>Investigation</w:t>
      </w:r>
      <w:r>
        <w:rPr>
          <w:spacing w:val="-4"/>
          <w:sz w:val="18"/>
        </w:rPr>
        <w:t xml:space="preserve"> </w:t>
      </w:r>
      <w:r>
        <w:rPr>
          <w:sz w:val="18"/>
        </w:rPr>
        <w:t>(Exhibit</w:t>
      </w:r>
      <w:r>
        <w:rPr>
          <w:spacing w:val="-4"/>
          <w:sz w:val="18"/>
        </w:rPr>
        <w:t xml:space="preserve"> </w:t>
      </w:r>
      <w:r>
        <w:rPr>
          <w:sz w:val="18"/>
        </w:rPr>
        <w:t>AUS‐64),</w:t>
      </w:r>
      <w:r>
        <w:rPr>
          <w:spacing w:val="-4"/>
          <w:sz w:val="18"/>
        </w:rPr>
        <w:t xml:space="preserve"> </w:t>
      </w:r>
      <w:r>
        <w:rPr>
          <w:sz w:val="18"/>
        </w:rPr>
        <w:t>p.</w:t>
      </w:r>
      <w:r>
        <w:rPr>
          <w:spacing w:val="-4"/>
          <w:sz w:val="18"/>
        </w:rPr>
        <w:t xml:space="preserve"> </w:t>
      </w:r>
      <w:r>
        <w:rPr>
          <w:sz w:val="18"/>
        </w:rPr>
        <w:t xml:space="preserve">27. </w:t>
      </w:r>
      <w:r>
        <w:rPr>
          <w:sz w:val="18"/>
          <w:vertAlign w:val="superscript"/>
        </w:rPr>
        <w:t>943</w:t>
      </w:r>
      <w:r>
        <w:rPr>
          <w:spacing w:val="-4"/>
          <w:sz w:val="18"/>
        </w:rPr>
        <w:t xml:space="preserve"> </w:t>
      </w:r>
      <w:r>
        <w:rPr>
          <w:sz w:val="18"/>
        </w:rPr>
        <w:t>CADA</w:t>
      </w:r>
      <w:r>
        <w:rPr>
          <w:spacing w:val="-4"/>
          <w:sz w:val="18"/>
        </w:rPr>
        <w:t xml:space="preserve"> </w:t>
      </w:r>
      <w:r>
        <w:rPr>
          <w:sz w:val="18"/>
        </w:rPr>
        <w:t>Application</w:t>
      </w:r>
      <w:r>
        <w:rPr>
          <w:spacing w:val="-4"/>
          <w:sz w:val="18"/>
        </w:rPr>
        <w:t xml:space="preserve"> </w:t>
      </w:r>
      <w:r>
        <w:rPr>
          <w:sz w:val="18"/>
        </w:rPr>
        <w:t>for</w:t>
      </w:r>
      <w:r>
        <w:rPr>
          <w:spacing w:val="-4"/>
          <w:sz w:val="18"/>
        </w:rPr>
        <w:t xml:space="preserve"> </w:t>
      </w:r>
      <w:r>
        <w:rPr>
          <w:sz w:val="18"/>
        </w:rPr>
        <w:t>Anti‐Dumping</w:t>
      </w:r>
      <w:r>
        <w:rPr>
          <w:spacing w:val="-4"/>
          <w:sz w:val="18"/>
        </w:rPr>
        <w:t xml:space="preserve"> </w:t>
      </w:r>
      <w:r>
        <w:rPr>
          <w:sz w:val="18"/>
        </w:rPr>
        <w:t>Investigation</w:t>
      </w:r>
      <w:r>
        <w:rPr>
          <w:spacing w:val="-4"/>
          <w:sz w:val="18"/>
        </w:rPr>
        <w:t xml:space="preserve"> </w:t>
      </w:r>
      <w:r>
        <w:rPr>
          <w:sz w:val="18"/>
        </w:rPr>
        <w:t>(Exhibit</w:t>
      </w:r>
      <w:r>
        <w:rPr>
          <w:spacing w:val="-4"/>
          <w:sz w:val="18"/>
        </w:rPr>
        <w:t xml:space="preserve"> </w:t>
      </w:r>
      <w:r>
        <w:rPr>
          <w:sz w:val="18"/>
        </w:rPr>
        <w:t>AUS‐64),</w:t>
      </w:r>
      <w:r>
        <w:rPr>
          <w:spacing w:val="-4"/>
          <w:sz w:val="18"/>
        </w:rPr>
        <w:t xml:space="preserve"> </w:t>
      </w:r>
      <w:r>
        <w:rPr>
          <w:sz w:val="18"/>
        </w:rPr>
        <w:t>p.</w:t>
      </w:r>
      <w:r>
        <w:rPr>
          <w:spacing w:val="-4"/>
          <w:sz w:val="18"/>
        </w:rPr>
        <w:t xml:space="preserve"> </w:t>
      </w:r>
      <w:r>
        <w:rPr>
          <w:sz w:val="18"/>
        </w:rPr>
        <w:t xml:space="preserve">27. </w:t>
      </w:r>
      <w:r>
        <w:rPr>
          <w:sz w:val="18"/>
          <w:vertAlign w:val="superscript"/>
        </w:rPr>
        <w:t>944</w:t>
      </w:r>
      <w:r>
        <w:rPr>
          <w:spacing w:val="-4"/>
          <w:sz w:val="18"/>
        </w:rPr>
        <w:t xml:space="preserve"> </w:t>
      </w:r>
      <w:r>
        <w:rPr>
          <w:sz w:val="18"/>
        </w:rPr>
        <w:t>CADA</w:t>
      </w:r>
      <w:r>
        <w:rPr>
          <w:spacing w:val="-4"/>
          <w:sz w:val="18"/>
        </w:rPr>
        <w:t xml:space="preserve"> </w:t>
      </w:r>
      <w:r>
        <w:rPr>
          <w:sz w:val="18"/>
        </w:rPr>
        <w:t>Application</w:t>
      </w:r>
      <w:r>
        <w:rPr>
          <w:spacing w:val="-4"/>
          <w:sz w:val="18"/>
        </w:rPr>
        <w:t xml:space="preserve"> </w:t>
      </w:r>
      <w:r>
        <w:rPr>
          <w:sz w:val="18"/>
        </w:rPr>
        <w:t>for</w:t>
      </w:r>
      <w:r>
        <w:rPr>
          <w:spacing w:val="-4"/>
          <w:sz w:val="18"/>
        </w:rPr>
        <w:t xml:space="preserve"> </w:t>
      </w:r>
      <w:r>
        <w:rPr>
          <w:sz w:val="18"/>
        </w:rPr>
        <w:t>Anti‐Dumping</w:t>
      </w:r>
      <w:r>
        <w:rPr>
          <w:spacing w:val="-4"/>
          <w:sz w:val="18"/>
        </w:rPr>
        <w:t xml:space="preserve"> </w:t>
      </w:r>
      <w:r>
        <w:rPr>
          <w:sz w:val="18"/>
        </w:rPr>
        <w:t>Investigation</w:t>
      </w:r>
      <w:r>
        <w:rPr>
          <w:spacing w:val="-4"/>
          <w:sz w:val="18"/>
        </w:rPr>
        <w:t xml:space="preserve"> </w:t>
      </w:r>
      <w:r>
        <w:rPr>
          <w:sz w:val="18"/>
        </w:rPr>
        <w:t>(Exhibit</w:t>
      </w:r>
      <w:r>
        <w:rPr>
          <w:spacing w:val="-4"/>
          <w:sz w:val="18"/>
        </w:rPr>
        <w:t xml:space="preserve"> </w:t>
      </w:r>
      <w:r>
        <w:rPr>
          <w:sz w:val="18"/>
        </w:rPr>
        <w:t>AUS‐64),</w:t>
      </w:r>
      <w:r>
        <w:rPr>
          <w:spacing w:val="-4"/>
          <w:sz w:val="18"/>
        </w:rPr>
        <w:t xml:space="preserve"> </w:t>
      </w:r>
      <w:r>
        <w:rPr>
          <w:sz w:val="18"/>
        </w:rPr>
        <w:t>p.</w:t>
      </w:r>
      <w:r>
        <w:rPr>
          <w:spacing w:val="-4"/>
          <w:sz w:val="18"/>
        </w:rPr>
        <w:t xml:space="preserve"> </w:t>
      </w:r>
      <w:r>
        <w:rPr>
          <w:sz w:val="18"/>
        </w:rPr>
        <w:t xml:space="preserve">28. </w:t>
      </w:r>
      <w:r>
        <w:rPr>
          <w:sz w:val="18"/>
          <w:vertAlign w:val="superscript"/>
        </w:rPr>
        <w:t>945</w:t>
      </w:r>
      <w:r>
        <w:rPr>
          <w:spacing w:val="-4"/>
          <w:sz w:val="18"/>
        </w:rPr>
        <w:t xml:space="preserve"> </w:t>
      </w:r>
      <w:r>
        <w:rPr>
          <w:sz w:val="18"/>
        </w:rPr>
        <w:t>CADA</w:t>
      </w:r>
      <w:r>
        <w:rPr>
          <w:spacing w:val="-4"/>
          <w:sz w:val="18"/>
        </w:rPr>
        <w:t xml:space="preserve"> </w:t>
      </w:r>
      <w:r>
        <w:rPr>
          <w:sz w:val="18"/>
        </w:rPr>
        <w:t>Application</w:t>
      </w:r>
      <w:r>
        <w:rPr>
          <w:spacing w:val="-4"/>
          <w:sz w:val="18"/>
        </w:rPr>
        <w:t xml:space="preserve"> </w:t>
      </w:r>
      <w:r>
        <w:rPr>
          <w:sz w:val="18"/>
        </w:rPr>
        <w:t>for</w:t>
      </w:r>
      <w:r>
        <w:rPr>
          <w:spacing w:val="-4"/>
          <w:sz w:val="18"/>
        </w:rPr>
        <w:t xml:space="preserve"> </w:t>
      </w:r>
      <w:r>
        <w:rPr>
          <w:sz w:val="18"/>
        </w:rPr>
        <w:t>Anti‐Dumping</w:t>
      </w:r>
      <w:r>
        <w:rPr>
          <w:spacing w:val="-4"/>
          <w:sz w:val="18"/>
        </w:rPr>
        <w:t xml:space="preserve"> </w:t>
      </w:r>
      <w:r>
        <w:rPr>
          <w:sz w:val="18"/>
        </w:rPr>
        <w:t>Investigation</w:t>
      </w:r>
      <w:r>
        <w:rPr>
          <w:spacing w:val="-4"/>
          <w:sz w:val="18"/>
        </w:rPr>
        <w:t xml:space="preserve"> </w:t>
      </w:r>
      <w:r>
        <w:rPr>
          <w:sz w:val="18"/>
        </w:rPr>
        <w:t>(Exhibit</w:t>
      </w:r>
      <w:r>
        <w:rPr>
          <w:spacing w:val="-4"/>
          <w:sz w:val="18"/>
        </w:rPr>
        <w:t xml:space="preserve"> </w:t>
      </w:r>
      <w:r>
        <w:rPr>
          <w:sz w:val="18"/>
        </w:rPr>
        <w:t>AUS‐64),</w:t>
      </w:r>
      <w:r>
        <w:rPr>
          <w:spacing w:val="-4"/>
          <w:sz w:val="18"/>
        </w:rPr>
        <w:t xml:space="preserve"> </w:t>
      </w:r>
      <w:r>
        <w:rPr>
          <w:sz w:val="18"/>
        </w:rPr>
        <w:t>p.</w:t>
      </w:r>
      <w:r>
        <w:rPr>
          <w:spacing w:val="-4"/>
          <w:sz w:val="18"/>
        </w:rPr>
        <w:t xml:space="preserve"> </w:t>
      </w:r>
      <w:r>
        <w:rPr>
          <w:sz w:val="18"/>
        </w:rPr>
        <w:t xml:space="preserve">28. </w:t>
      </w:r>
      <w:r>
        <w:rPr>
          <w:sz w:val="18"/>
          <w:vertAlign w:val="superscript"/>
        </w:rPr>
        <w:t>946</w:t>
      </w:r>
      <w:r>
        <w:rPr>
          <w:spacing w:val="-4"/>
          <w:sz w:val="18"/>
        </w:rPr>
        <w:t xml:space="preserve"> </w:t>
      </w:r>
      <w:r>
        <w:rPr>
          <w:sz w:val="18"/>
        </w:rPr>
        <w:t>CADA</w:t>
      </w:r>
      <w:r>
        <w:rPr>
          <w:spacing w:val="-4"/>
          <w:sz w:val="18"/>
        </w:rPr>
        <w:t xml:space="preserve"> </w:t>
      </w:r>
      <w:r>
        <w:rPr>
          <w:sz w:val="18"/>
        </w:rPr>
        <w:t>Application</w:t>
      </w:r>
      <w:r>
        <w:rPr>
          <w:spacing w:val="-4"/>
          <w:sz w:val="18"/>
        </w:rPr>
        <w:t xml:space="preserve"> </w:t>
      </w:r>
      <w:r>
        <w:rPr>
          <w:sz w:val="18"/>
        </w:rPr>
        <w:t>for</w:t>
      </w:r>
      <w:r>
        <w:rPr>
          <w:spacing w:val="-4"/>
          <w:sz w:val="18"/>
        </w:rPr>
        <w:t xml:space="preserve"> </w:t>
      </w:r>
      <w:r>
        <w:rPr>
          <w:sz w:val="18"/>
        </w:rPr>
        <w:t>Anti‐Dumping</w:t>
      </w:r>
      <w:r>
        <w:rPr>
          <w:spacing w:val="-4"/>
          <w:sz w:val="18"/>
        </w:rPr>
        <w:t xml:space="preserve"> </w:t>
      </w:r>
      <w:r>
        <w:rPr>
          <w:sz w:val="18"/>
        </w:rPr>
        <w:t>Investigation</w:t>
      </w:r>
      <w:r>
        <w:rPr>
          <w:spacing w:val="-4"/>
          <w:sz w:val="18"/>
        </w:rPr>
        <w:t xml:space="preserve"> </w:t>
      </w:r>
      <w:r>
        <w:rPr>
          <w:sz w:val="18"/>
        </w:rPr>
        <w:t>(Exhibit</w:t>
      </w:r>
      <w:r>
        <w:rPr>
          <w:spacing w:val="-4"/>
          <w:sz w:val="18"/>
        </w:rPr>
        <w:t xml:space="preserve"> </w:t>
      </w:r>
      <w:r>
        <w:rPr>
          <w:sz w:val="18"/>
        </w:rPr>
        <w:t>AUS‐64),</w:t>
      </w:r>
      <w:r>
        <w:rPr>
          <w:spacing w:val="-4"/>
          <w:sz w:val="18"/>
        </w:rPr>
        <w:t xml:space="preserve"> </w:t>
      </w:r>
      <w:r>
        <w:rPr>
          <w:sz w:val="18"/>
        </w:rPr>
        <w:t>p.</w:t>
      </w:r>
      <w:r>
        <w:rPr>
          <w:spacing w:val="-4"/>
          <w:sz w:val="18"/>
        </w:rPr>
        <w:t xml:space="preserve"> </w:t>
      </w:r>
      <w:r>
        <w:rPr>
          <w:sz w:val="18"/>
        </w:rPr>
        <w:t>28.</w:t>
      </w:r>
    </w:p>
    <w:p w14:paraId="51DE9561" w14:textId="77777777" w:rsidR="0010369C" w:rsidRDefault="008E43AE">
      <w:pPr>
        <w:spacing w:before="1"/>
        <w:ind w:left="236" w:right="613" w:firstLine="1"/>
        <w:jc w:val="both"/>
        <w:rPr>
          <w:sz w:val="18"/>
        </w:rPr>
      </w:pPr>
      <w:r>
        <w:rPr>
          <w:sz w:val="18"/>
          <w:vertAlign w:val="superscript"/>
        </w:rPr>
        <w:t>947</w:t>
      </w:r>
      <w:r>
        <w:rPr>
          <w:sz w:val="18"/>
        </w:rPr>
        <w:t xml:space="preserve"> Information available to MOFCOM at this initiation stage included but was not limited to Annex 8: Customs Statistics on Wine Imports and Exports, Annex 9: Sea Freight and Insurance Quotes, Annex 10: World Bank Group Report on Trade Link Costs in Australia</w:t>
      </w:r>
      <w:r>
        <w:rPr>
          <w:sz w:val="18"/>
        </w:rPr>
        <w:t>, Annex 11: Statistics on Wine Imports from China, and Annex 13: Annual Reports of Four Listed Wine Companies, from CADA Application for Anti‐Dumping Investigation, Annexes 1‐12 (Part 1), (Exhibit AUS‐90).</w:t>
      </w:r>
    </w:p>
    <w:p w14:paraId="51DE9562" w14:textId="77777777" w:rsidR="0010369C" w:rsidRDefault="0010369C">
      <w:pPr>
        <w:jc w:val="both"/>
        <w:rPr>
          <w:sz w:val="18"/>
        </w:rPr>
        <w:sectPr w:rsidR="0010369C">
          <w:pgSz w:w="11910" w:h="16840"/>
          <w:pgMar w:top="880" w:right="800" w:bottom="980" w:left="1180" w:header="569" w:footer="788" w:gutter="0"/>
          <w:cols w:space="720"/>
        </w:sectPr>
      </w:pPr>
    </w:p>
    <w:p w14:paraId="51DE9563" w14:textId="77777777" w:rsidR="0010369C" w:rsidRDefault="008E43AE">
      <w:pPr>
        <w:tabs>
          <w:tab w:val="left" w:pos="6426"/>
        </w:tabs>
        <w:ind w:left="238"/>
        <w:jc w:val="both"/>
        <w:rPr>
          <w:sz w:val="20"/>
        </w:rPr>
      </w:pPr>
      <w:r>
        <w:rPr>
          <w:i/>
          <w:sz w:val="20"/>
        </w:rPr>
        <w:lastRenderedPageBreak/>
        <w:t>China</w:t>
      </w:r>
      <w:r>
        <w:rPr>
          <w:i/>
          <w:spacing w:val="-5"/>
          <w:sz w:val="20"/>
        </w:rPr>
        <w:t xml:space="preserve"> </w:t>
      </w:r>
      <w:r>
        <w:rPr>
          <w:i/>
          <w:sz w:val="20"/>
        </w:rPr>
        <w:t>–</w:t>
      </w:r>
      <w:r>
        <w:rPr>
          <w:i/>
          <w:spacing w:val="-5"/>
          <w:sz w:val="20"/>
        </w:rPr>
        <w:t xml:space="preserve"> </w:t>
      </w:r>
      <w:r>
        <w:rPr>
          <w:i/>
          <w:sz w:val="20"/>
        </w:rPr>
        <w:t>Anti‐Dumping</w:t>
      </w:r>
      <w:r>
        <w:rPr>
          <w:i/>
          <w:spacing w:val="-4"/>
          <w:sz w:val="20"/>
        </w:rPr>
        <w:t xml:space="preserve"> </w:t>
      </w:r>
      <w:r>
        <w:rPr>
          <w:i/>
          <w:sz w:val="20"/>
        </w:rPr>
        <w:t>and</w:t>
      </w:r>
      <w:r>
        <w:rPr>
          <w:i/>
          <w:spacing w:val="-5"/>
          <w:sz w:val="20"/>
        </w:rPr>
        <w:t xml:space="preserve"> </w:t>
      </w:r>
      <w:r>
        <w:rPr>
          <w:i/>
          <w:sz w:val="20"/>
        </w:rPr>
        <w:t>Counter</w:t>
      </w:r>
      <w:r>
        <w:rPr>
          <w:i/>
          <w:sz w:val="20"/>
        </w:rPr>
        <w:t>vailing</w:t>
      </w:r>
      <w:r>
        <w:rPr>
          <w:i/>
          <w:spacing w:val="-5"/>
          <w:sz w:val="20"/>
        </w:rPr>
        <w:t xml:space="preserve"> </w:t>
      </w:r>
      <w:r>
        <w:rPr>
          <w:i/>
          <w:sz w:val="20"/>
        </w:rPr>
        <w:t>Duty</w:t>
      </w:r>
      <w:r>
        <w:rPr>
          <w:i/>
          <w:spacing w:val="-4"/>
          <w:sz w:val="20"/>
        </w:rPr>
        <w:t xml:space="preserve"> </w:t>
      </w:r>
      <w:r>
        <w:rPr>
          <w:i/>
          <w:spacing w:val="-2"/>
          <w:sz w:val="20"/>
        </w:rPr>
        <w:t>Measures</w:t>
      </w:r>
      <w:r>
        <w:rPr>
          <w:i/>
          <w:sz w:val="20"/>
        </w:rPr>
        <w:tab/>
      </w:r>
      <w:r>
        <w:rPr>
          <w:sz w:val="20"/>
        </w:rPr>
        <w:t>Australia's</w:t>
      </w:r>
      <w:r>
        <w:rPr>
          <w:spacing w:val="-7"/>
          <w:sz w:val="20"/>
        </w:rPr>
        <w:t xml:space="preserve"> </w:t>
      </w:r>
      <w:r>
        <w:rPr>
          <w:sz w:val="20"/>
        </w:rPr>
        <w:t>First</w:t>
      </w:r>
      <w:r>
        <w:rPr>
          <w:spacing w:val="-2"/>
          <w:sz w:val="20"/>
        </w:rPr>
        <w:t xml:space="preserve"> </w:t>
      </w:r>
      <w:r>
        <w:rPr>
          <w:sz w:val="20"/>
        </w:rPr>
        <w:t>Written</w:t>
      </w:r>
      <w:r>
        <w:rPr>
          <w:spacing w:val="-2"/>
          <w:sz w:val="20"/>
        </w:rPr>
        <w:t xml:space="preserve"> Submission</w:t>
      </w:r>
    </w:p>
    <w:p w14:paraId="51DE9564" w14:textId="77777777" w:rsidR="0010369C" w:rsidRDefault="008E43AE">
      <w:pPr>
        <w:tabs>
          <w:tab w:val="left" w:pos="8228"/>
        </w:tabs>
        <w:spacing w:before="1"/>
        <w:ind w:left="239"/>
        <w:jc w:val="both"/>
        <w:rPr>
          <w:sz w:val="20"/>
        </w:rPr>
      </w:pPr>
      <w:r>
        <w:rPr>
          <w:i/>
          <w:sz w:val="20"/>
        </w:rPr>
        <w:t>on</w:t>
      </w:r>
      <w:r>
        <w:rPr>
          <w:i/>
          <w:spacing w:val="-1"/>
          <w:sz w:val="20"/>
        </w:rPr>
        <w:t xml:space="preserve"> </w:t>
      </w:r>
      <w:r>
        <w:rPr>
          <w:i/>
          <w:sz w:val="20"/>
        </w:rPr>
        <w:t>Wine</w:t>
      </w:r>
      <w:r>
        <w:rPr>
          <w:i/>
          <w:spacing w:val="-1"/>
          <w:sz w:val="20"/>
        </w:rPr>
        <w:t xml:space="preserve"> </w:t>
      </w:r>
      <w:r>
        <w:rPr>
          <w:i/>
          <w:sz w:val="20"/>
        </w:rPr>
        <w:t>from</w:t>
      </w:r>
      <w:r>
        <w:rPr>
          <w:i/>
          <w:spacing w:val="-3"/>
          <w:sz w:val="20"/>
        </w:rPr>
        <w:t xml:space="preserve"> </w:t>
      </w:r>
      <w:r>
        <w:rPr>
          <w:i/>
          <w:sz w:val="20"/>
        </w:rPr>
        <w:t>Australia</w:t>
      </w:r>
      <w:r>
        <w:rPr>
          <w:i/>
          <w:spacing w:val="-1"/>
          <w:sz w:val="20"/>
        </w:rPr>
        <w:t xml:space="preserve"> </w:t>
      </w:r>
      <w:r>
        <w:rPr>
          <w:spacing w:val="-2"/>
          <w:sz w:val="20"/>
        </w:rPr>
        <w:t>(DS602)</w:t>
      </w:r>
      <w:r>
        <w:rPr>
          <w:sz w:val="20"/>
        </w:rPr>
        <w:tab/>
        <w:t>29</w:t>
      </w:r>
      <w:r>
        <w:rPr>
          <w:spacing w:val="-1"/>
          <w:sz w:val="20"/>
        </w:rPr>
        <w:t xml:space="preserve"> </w:t>
      </w:r>
      <w:r>
        <w:rPr>
          <w:sz w:val="20"/>
        </w:rPr>
        <w:t>April</w:t>
      </w:r>
      <w:r>
        <w:rPr>
          <w:spacing w:val="-2"/>
          <w:sz w:val="20"/>
        </w:rPr>
        <w:t xml:space="preserve"> </w:t>
      </w:r>
      <w:r>
        <w:rPr>
          <w:spacing w:val="-4"/>
          <w:sz w:val="20"/>
        </w:rPr>
        <w:t>2022</w:t>
      </w:r>
    </w:p>
    <w:p w14:paraId="51DE9565" w14:textId="77777777" w:rsidR="0010369C" w:rsidRDefault="008E43AE">
      <w:pPr>
        <w:pStyle w:val="BodyText"/>
        <w:spacing w:before="34" w:line="360" w:lineRule="auto"/>
        <w:ind w:left="237" w:right="614"/>
        <w:jc w:val="both"/>
      </w:pPr>
      <w:r>
        <w:t>screenshots</w:t>
      </w:r>
      <w:r>
        <w:rPr>
          <w:spacing w:val="-7"/>
        </w:rPr>
        <w:t xml:space="preserve"> </w:t>
      </w:r>
      <w:r>
        <w:t>of</w:t>
      </w:r>
      <w:r>
        <w:rPr>
          <w:spacing w:val="-7"/>
        </w:rPr>
        <w:t xml:space="preserve"> </w:t>
      </w:r>
      <w:r>
        <w:t>information,</w:t>
      </w:r>
      <w:r>
        <w:rPr>
          <w:spacing w:val="-6"/>
        </w:rPr>
        <w:t xml:space="preserve"> </w:t>
      </w:r>
      <w:r>
        <w:t>which</w:t>
      </w:r>
      <w:r>
        <w:rPr>
          <w:spacing w:val="-8"/>
        </w:rPr>
        <w:t xml:space="preserve"> </w:t>
      </w:r>
      <w:r>
        <w:t>would</w:t>
      </w:r>
      <w:r>
        <w:rPr>
          <w:spacing w:val="-7"/>
        </w:rPr>
        <w:t xml:space="preserve"> </w:t>
      </w:r>
      <w:r>
        <w:t>have</w:t>
      </w:r>
      <w:r>
        <w:rPr>
          <w:spacing w:val="-6"/>
        </w:rPr>
        <w:t xml:space="preserve"> </w:t>
      </w:r>
      <w:r>
        <w:t>placed</w:t>
      </w:r>
      <w:r>
        <w:rPr>
          <w:spacing w:val="-7"/>
        </w:rPr>
        <w:t xml:space="preserve"> </w:t>
      </w:r>
      <w:r>
        <w:t>an</w:t>
      </w:r>
      <w:r>
        <w:rPr>
          <w:spacing w:val="-8"/>
        </w:rPr>
        <w:t xml:space="preserve"> </w:t>
      </w:r>
      <w:r>
        <w:t>unbiased</w:t>
      </w:r>
      <w:r>
        <w:rPr>
          <w:spacing w:val="-7"/>
        </w:rPr>
        <w:t xml:space="preserve"> </w:t>
      </w:r>
      <w:r>
        <w:t>and</w:t>
      </w:r>
      <w:r>
        <w:rPr>
          <w:spacing w:val="-7"/>
        </w:rPr>
        <w:t xml:space="preserve"> </w:t>
      </w:r>
      <w:r>
        <w:t>objective</w:t>
      </w:r>
      <w:r>
        <w:rPr>
          <w:spacing w:val="-6"/>
        </w:rPr>
        <w:t xml:space="preserve"> </w:t>
      </w:r>
      <w:r>
        <w:t>investigating authority</w:t>
      </w:r>
      <w:r>
        <w:rPr>
          <w:spacing w:val="-3"/>
        </w:rPr>
        <w:t xml:space="preserve"> </w:t>
      </w:r>
      <w:r>
        <w:t>on</w:t>
      </w:r>
      <w:r>
        <w:rPr>
          <w:spacing w:val="-3"/>
        </w:rPr>
        <w:t xml:space="preserve"> </w:t>
      </w:r>
      <w:r>
        <w:t>notice</w:t>
      </w:r>
      <w:r>
        <w:rPr>
          <w:spacing w:val="-2"/>
        </w:rPr>
        <w:t xml:space="preserve"> </w:t>
      </w:r>
      <w:r>
        <w:t>that</w:t>
      </w:r>
      <w:r>
        <w:rPr>
          <w:spacing w:val="-3"/>
        </w:rPr>
        <w:t xml:space="preserve"> </w:t>
      </w:r>
      <w:r>
        <w:t>it</w:t>
      </w:r>
      <w:r>
        <w:rPr>
          <w:spacing w:val="-3"/>
        </w:rPr>
        <w:t xml:space="preserve"> </w:t>
      </w:r>
      <w:r>
        <w:t>needed</w:t>
      </w:r>
      <w:r>
        <w:rPr>
          <w:spacing w:val="-3"/>
        </w:rPr>
        <w:t xml:space="preserve"> </w:t>
      </w:r>
      <w:r>
        <w:t>to</w:t>
      </w:r>
      <w:r>
        <w:rPr>
          <w:spacing w:val="-3"/>
        </w:rPr>
        <w:t xml:space="preserve"> </w:t>
      </w:r>
      <w:r>
        <w:t>assess</w:t>
      </w:r>
      <w:r>
        <w:rPr>
          <w:spacing w:val="-3"/>
        </w:rPr>
        <w:t xml:space="preserve"> </w:t>
      </w:r>
      <w:r>
        <w:t>the</w:t>
      </w:r>
      <w:r>
        <w:rPr>
          <w:spacing w:val="-2"/>
        </w:rPr>
        <w:t xml:space="preserve"> </w:t>
      </w:r>
      <w:r>
        <w:t>information</w:t>
      </w:r>
      <w:r>
        <w:rPr>
          <w:spacing w:val="-2"/>
        </w:rPr>
        <w:t xml:space="preserve"> </w:t>
      </w:r>
      <w:r>
        <w:t>available</w:t>
      </w:r>
      <w:r>
        <w:rPr>
          <w:spacing w:val="-2"/>
        </w:rPr>
        <w:t xml:space="preserve"> </w:t>
      </w:r>
      <w:r>
        <w:t>to</w:t>
      </w:r>
      <w:r>
        <w:rPr>
          <w:spacing w:val="-3"/>
        </w:rPr>
        <w:t xml:space="preserve"> </w:t>
      </w:r>
      <w:r>
        <w:t>it</w:t>
      </w:r>
      <w:r>
        <w:rPr>
          <w:spacing w:val="-3"/>
        </w:rPr>
        <w:t xml:space="preserve"> </w:t>
      </w:r>
      <w:r>
        <w:t>to</w:t>
      </w:r>
      <w:r>
        <w:rPr>
          <w:spacing w:val="-2"/>
        </w:rPr>
        <w:t xml:space="preserve"> </w:t>
      </w:r>
      <w:r>
        <w:t>corroborate</w:t>
      </w:r>
      <w:r>
        <w:rPr>
          <w:spacing w:val="-2"/>
        </w:rPr>
        <w:t xml:space="preserve"> </w:t>
      </w:r>
      <w:r>
        <w:t>the estimates provided by the applicant. MOFCOM failed to do this.</w:t>
      </w:r>
    </w:p>
    <w:p w14:paraId="51DE9566" w14:textId="77777777" w:rsidR="0010369C" w:rsidRDefault="0010369C">
      <w:pPr>
        <w:pStyle w:val="BodyText"/>
        <w:spacing w:before="11"/>
        <w:rPr>
          <w:sz w:val="8"/>
        </w:rPr>
      </w:pPr>
    </w:p>
    <w:p w14:paraId="51DE9567" w14:textId="77777777" w:rsidR="0010369C" w:rsidRDefault="008E43AE">
      <w:pPr>
        <w:pStyle w:val="BodyText"/>
        <w:spacing w:before="52" w:line="360" w:lineRule="auto"/>
        <w:ind w:left="237" w:right="612" w:firstLine="851"/>
        <w:jc w:val="both"/>
      </w:pPr>
      <w:r>
        <w:rPr>
          <w:noProof/>
        </w:rPr>
        <w:drawing>
          <wp:anchor distT="0" distB="0" distL="0" distR="0" simplePos="0" relativeHeight="251392512" behindDoc="1" locked="0" layoutInCell="1" allowOverlap="1" wp14:anchorId="51DEA69A" wp14:editId="51DEA69B">
            <wp:simplePos x="0" y="0"/>
            <wp:positionH relativeFrom="page">
              <wp:posOffset>902208</wp:posOffset>
            </wp:positionH>
            <wp:positionV relativeFrom="paragraph">
              <wp:posOffset>80595</wp:posOffset>
            </wp:positionV>
            <wp:extent cx="262127" cy="103631"/>
            <wp:effectExtent l="0" t="0" r="0" b="0"/>
            <wp:wrapNone/>
            <wp:docPr id="1545" name="image8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 name="image800.png"/>
                    <pic:cNvPicPr/>
                  </pic:nvPicPr>
                  <pic:blipFill>
                    <a:blip r:embed="rId1053" cstate="print"/>
                    <a:stretch>
                      <a:fillRect/>
                    </a:stretch>
                  </pic:blipFill>
                  <pic:spPr>
                    <a:xfrm>
                      <a:off x="0" y="0"/>
                      <a:ext cx="262127" cy="103631"/>
                    </a:xfrm>
                    <a:prstGeom prst="rect">
                      <a:avLst/>
                    </a:prstGeom>
                  </pic:spPr>
                </pic:pic>
              </a:graphicData>
            </a:graphic>
          </wp:anchor>
        </w:drawing>
      </w:r>
      <w:r>
        <w:t>The downward adjustment of USD 173 per kl for "domestic links in Australia" was purely speculative. The adjustment was based on a report concern</w:t>
      </w:r>
      <w:r>
        <w:t>ing the "ease of doing business</w:t>
      </w:r>
      <w:r>
        <w:rPr>
          <w:spacing w:val="-14"/>
        </w:rPr>
        <w:t xml:space="preserve"> </w:t>
      </w:r>
      <w:r>
        <w:t>in</w:t>
      </w:r>
      <w:r>
        <w:rPr>
          <w:spacing w:val="-14"/>
        </w:rPr>
        <w:t xml:space="preserve"> </w:t>
      </w:r>
      <w:r>
        <w:t>Australia"</w:t>
      </w:r>
      <w:r>
        <w:rPr>
          <w:spacing w:val="-13"/>
        </w:rPr>
        <w:t xml:space="preserve"> </w:t>
      </w:r>
      <w:r>
        <w:t>from</w:t>
      </w:r>
      <w:r>
        <w:rPr>
          <w:spacing w:val="-14"/>
        </w:rPr>
        <w:t xml:space="preserve"> </w:t>
      </w:r>
      <w:r>
        <w:t>the</w:t>
      </w:r>
      <w:r>
        <w:rPr>
          <w:spacing w:val="-13"/>
        </w:rPr>
        <w:t xml:space="preserve"> </w:t>
      </w:r>
      <w:r>
        <w:t>World</w:t>
      </w:r>
      <w:r>
        <w:rPr>
          <w:spacing w:val="-14"/>
        </w:rPr>
        <w:t xml:space="preserve"> </w:t>
      </w:r>
      <w:r>
        <w:t>Bank</w:t>
      </w:r>
      <w:r>
        <w:rPr>
          <w:spacing w:val="-13"/>
        </w:rPr>
        <w:t xml:space="preserve"> </w:t>
      </w:r>
      <w:r>
        <w:t>Group,</w:t>
      </w:r>
      <w:r>
        <w:rPr>
          <w:spacing w:val="-14"/>
        </w:rPr>
        <w:t xml:space="preserve"> </w:t>
      </w:r>
      <w:r>
        <w:t>and</w:t>
      </w:r>
      <w:r>
        <w:rPr>
          <w:spacing w:val="-14"/>
        </w:rPr>
        <w:t xml:space="preserve"> </w:t>
      </w:r>
      <w:r>
        <w:t>was</w:t>
      </w:r>
      <w:r>
        <w:rPr>
          <w:spacing w:val="-13"/>
        </w:rPr>
        <w:t xml:space="preserve"> </w:t>
      </w:r>
      <w:r>
        <w:t>not</w:t>
      </w:r>
      <w:r>
        <w:rPr>
          <w:spacing w:val="-14"/>
        </w:rPr>
        <w:t xml:space="preserve"> </w:t>
      </w:r>
      <w:r>
        <w:t>connected,</w:t>
      </w:r>
      <w:r>
        <w:rPr>
          <w:spacing w:val="-13"/>
        </w:rPr>
        <w:t xml:space="preserve"> </w:t>
      </w:r>
      <w:r>
        <w:t>in</w:t>
      </w:r>
      <w:r>
        <w:rPr>
          <w:spacing w:val="-14"/>
        </w:rPr>
        <w:t xml:space="preserve"> </w:t>
      </w:r>
      <w:r>
        <w:t>any</w:t>
      </w:r>
      <w:r>
        <w:rPr>
          <w:spacing w:val="-13"/>
        </w:rPr>
        <w:t xml:space="preserve"> </w:t>
      </w:r>
      <w:r>
        <w:t>way,</w:t>
      </w:r>
      <w:r>
        <w:rPr>
          <w:spacing w:val="-14"/>
        </w:rPr>
        <w:t xml:space="preserve"> </w:t>
      </w:r>
      <w:r>
        <w:t>to</w:t>
      </w:r>
      <w:r>
        <w:rPr>
          <w:spacing w:val="-14"/>
        </w:rPr>
        <w:t xml:space="preserve"> </w:t>
      </w:r>
      <w:r>
        <w:t>costs incurred</w:t>
      </w:r>
      <w:r>
        <w:rPr>
          <w:spacing w:val="-2"/>
        </w:rPr>
        <w:t xml:space="preserve"> </w:t>
      </w:r>
      <w:r>
        <w:t>in</w:t>
      </w:r>
      <w:r>
        <w:rPr>
          <w:spacing w:val="-2"/>
        </w:rPr>
        <w:t xml:space="preserve"> </w:t>
      </w:r>
      <w:r>
        <w:t>the</w:t>
      </w:r>
      <w:r>
        <w:rPr>
          <w:spacing w:val="-1"/>
        </w:rPr>
        <w:t xml:space="preserve"> </w:t>
      </w:r>
      <w:r>
        <w:t>export</w:t>
      </w:r>
      <w:r>
        <w:rPr>
          <w:spacing w:val="-3"/>
        </w:rPr>
        <w:t xml:space="preserve"> </w:t>
      </w:r>
      <w:r>
        <w:t>of</w:t>
      </w:r>
      <w:r>
        <w:rPr>
          <w:spacing w:val="-3"/>
        </w:rPr>
        <w:t xml:space="preserve"> </w:t>
      </w:r>
      <w:r>
        <w:t>wine</w:t>
      </w:r>
      <w:r>
        <w:rPr>
          <w:spacing w:val="-1"/>
        </w:rPr>
        <w:t xml:space="preserve"> </w:t>
      </w:r>
      <w:r>
        <w:t>from</w:t>
      </w:r>
      <w:r>
        <w:rPr>
          <w:spacing w:val="-3"/>
        </w:rPr>
        <w:t xml:space="preserve"> </w:t>
      </w:r>
      <w:r>
        <w:t>Australia</w:t>
      </w:r>
      <w:r>
        <w:rPr>
          <w:spacing w:val="-2"/>
        </w:rPr>
        <w:t xml:space="preserve"> </w:t>
      </w:r>
      <w:r>
        <w:t>to</w:t>
      </w:r>
      <w:r>
        <w:rPr>
          <w:spacing w:val="-2"/>
        </w:rPr>
        <w:t xml:space="preserve"> </w:t>
      </w:r>
      <w:r>
        <w:t>China.</w:t>
      </w:r>
      <w:r>
        <w:rPr>
          <w:spacing w:val="-1"/>
        </w:rPr>
        <w:t xml:space="preserve"> </w:t>
      </w:r>
      <w:r>
        <w:t>For</w:t>
      </w:r>
      <w:r>
        <w:rPr>
          <w:spacing w:val="-2"/>
        </w:rPr>
        <w:t xml:space="preserve"> </w:t>
      </w:r>
      <w:r>
        <w:t>example,</w:t>
      </w:r>
      <w:r>
        <w:rPr>
          <w:spacing w:val="-4"/>
        </w:rPr>
        <w:t xml:space="preserve"> </w:t>
      </w:r>
      <w:r>
        <w:t>the</w:t>
      </w:r>
      <w:r>
        <w:rPr>
          <w:spacing w:val="-2"/>
        </w:rPr>
        <w:t xml:space="preserve"> </w:t>
      </w:r>
      <w:r>
        <w:t>inland</w:t>
      </w:r>
      <w:r>
        <w:rPr>
          <w:spacing w:val="-1"/>
        </w:rPr>
        <w:t xml:space="preserve"> </w:t>
      </w:r>
      <w:r>
        <w:t>freight</w:t>
      </w:r>
      <w:r>
        <w:rPr>
          <w:spacing w:val="-1"/>
        </w:rPr>
        <w:t xml:space="preserve"> </w:t>
      </w:r>
      <w:r>
        <w:t>cost</w:t>
      </w:r>
      <w:r>
        <w:rPr>
          <w:spacing w:val="-2"/>
        </w:rPr>
        <w:t xml:space="preserve"> </w:t>
      </w:r>
      <w:r>
        <w:t>of USD</w:t>
      </w:r>
      <w:r>
        <w:rPr>
          <w:spacing w:val="-2"/>
        </w:rPr>
        <w:t xml:space="preserve"> </w:t>
      </w:r>
      <w:r>
        <w:t>525 appears to be based on the domestic transport cost associated with the export of "HS</w:t>
      </w:r>
      <w:r>
        <w:rPr>
          <w:spacing w:val="-14"/>
        </w:rPr>
        <w:t xml:space="preserve"> </w:t>
      </w:r>
      <w:r>
        <w:t>02:</w:t>
      </w:r>
      <w:r>
        <w:rPr>
          <w:spacing w:val="-14"/>
        </w:rPr>
        <w:t xml:space="preserve"> </w:t>
      </w:r>
      <w:r>
        <w:t>Meat</w:t>
      </w:r>
      <w:r>
        <w:rPr>
          <w:spacing w:val="-13"/>
        </w:rPr>
        <w:t xml:space="preserve"> </w:t>
      </w:r>
      <w:r>
        <w:t>and</w:t>
      </w:r>
      <w:r>
        <w:rPr>
          <w:spacing w:val="-14"/>
        </w:rPr>
        <w:t xml:space="preserve"> </w:t>
      </w:r>
      <w:r>
        <w:t>edible</w:t>
      </w:r>
      <w:r>
        <w:rPr>
          <w:spacing w:val="-13"/>
        </w:rPr>
        <w:t xml:space="preserve"> </w:t>
      </w:r>
      <w:r>
        <w:t>meat</w:t>
      </w:r>
      <w:r>
        <w:rPr>
          <w:spacing w:val="-14"/>
        </w:rPr>
        <w:t xml:space="preserve"> </w:t>
      </w:r>
      <w:r>
        <w:t>offal"</w:t>
      </w:r>
      <w:r>
        <w:rPr>
          <w:spacing w:val="-13"/>
        </w:rPr>
        <w:t xml:space="preserve"> </w:t>
      </w:r>
      <w:r>
        <w:t>to</w:t>
      </w:r>
      <w:r>
        <w:rPr>
          <w:spacing w:val="-14"/>
        </w:rPr>
        <w:t xml:space="preserve"> </w:t>
      </w:r>
      <w:r>
        <w:t>Japan</w:t>
      </w:r>
      <w:r>
        <w:rPr>
          <w:spacing w:val="-14"/>
        </w:rPr>
        <w:t xml:space="preserve"> </w:t>
      </w:r>
      <w:r>
        <w:t>from</w:t>
      </w:r>
      <w:r>
        <w:rPr>
          <w:spacing w:val="-13"/>
        </w:rPr>
        <w:t xml:space="preserve"> </w:t>
      </w:r>
      <w:r>
        <w:t>a</w:t>
      </w:r>
      <w:r>
        <w:rPr>
          <w:spacing w:val="-14"/>
        </w:rPr>
        <w:t xml:space="preserve"> </w:t>
      </w:r>
      <w:r>
        <w:t>Sydney</w:t>
      </w:r>
      <w:r>
        <w:rPr>
          <w:spacing w:val="-13"/>
        </w:rPr>
        <w:t xml:space="preserve"> </w:t>
      </w:r>
      <w:r>
        <w:t>port.</w:t>
      </w:r>
      <w:r>
        <w:rPr>
          <w:vertAlign w:val="superscript"/>
        </w:rPr>
        <w:t>948</w:t>
      </w:r>
      <w:r>
        <w:rPr>
          <w:spacing w:val="-14"/>
        </w:rPr>
        <w:t xml:space="preserve"> </w:t>
      </w:r>
      <w:r>
        <w:t>No</w:t>
      </w:r>
      <w:r>
        <w:rPr>
          <w:spacing w:val="-13"/>
        </w:rPr>
        <w:t xml:space="preserve"> </w:t>
      </w:r>
      <w:r>
        <w:t>unbiased</w:t>
      </w:r>
      <w:r>
        <w:rPr>
          <w:spacing w:val="-14"/>
        </w:rPr>
        <w:t xml:space="preserve"> </w:t>
      </w:r>
      <w:r>
        <w:t>and</w:t>
      </w:r>
      <w:r>
        <w:rPr>
          <w:spacing w:val="-14"/>
        </w:rPr>
        <w:t xml:space="preserve"> </w:t>
      </w:r>
      <w:r>
        <w:t>objective investigating authority could have assumed, without inquiry or corroboration,</w:t>
      </w:r>
      <w:r>
        <w:t xml:space="preserve"> that this was representative of the domestic transport costs associated with the export of wine from Australia to China.</w:t>
      </w:r>
    </w:p>
    <w:p w14:paraId="51DE9568" w14:textId="77777777" w:rsidR="0010369C" w:rsidRDefault="008E43AE">
      <w:pPr>
        <w:pStyle w:val="ListParagraph"/>
        <w:numPr>
          <w:ilvl w:val="2"/>
          <w:numId w:val="31"/>
        </w:numPr>
        <w:tabs>
          <w:tab w:val="left" w:pos="3642"/>
          <w:tab w:val="left" w:pos="3643"/>
        </w:tabs>
        <w:spacing w:before="161"/>
        <w:ind w:hanging="853"/>
        <w:jc w:val="both"/>
        <w:rPr>
          <w:sz w:val="24"/>
        </w:rPr>
      </w:pPr>
      <w:r>
        <w:rPr>
          <w:sz w:val="24"/>
          <w:u w:val="single"/>
        </w:rPr>
        <w:t>Fair</w:t>
      </w:r>
      <w:r>
        <w:rPr>
          <w:spacing w:val="-4"/>
          <w:sz w:val="24"/>
          <w:u w:val="single"/>
        </w:rPr>
        <w:t xml:space="preserve"> </w:t>
      </w:r>
      <w:r>
        <w:rPr>
          <w:spacing w:val="-2"/>
          <w:sz w:val="24"/>
          <w:u w:val="single"/>
        </w:rPr>
        <w:t>comparison</w:t>
      </w:r>
    </w:p>
    <w:p w14:paraId="51DE9569" w14:textId="77777777" w:rsidR="0010369C" w:rsidRDefault="0010369C">
      <w:pPr>
        <w:pStyle w:val="BodyText"/>
        <w:spacing w:before="8"/>
        <w:rPr>
          <w:sz w:val="20"/>
        </w:rPr>
      </w:pPr>
    </w:p>
    <w:p w14:paraId="51DE956A" w14:textId="77777777" w:rsidR="0010369C" w:rsidRDefault="008E43AE">
      <w:pPr>
        <w:pStyle w:val="BodyText"/>
        <w:spacing w:before="52" w:line="360" w:lineRule="auto"/>
        <w:ind w:left="236" w:right="612" w:firstLine="852"/>
        <w:jc w:val="both"/>
      </w:pPr>
      <w:r>
        <w:rPr>
          <w:noProof/>
        </w:rPr>
        <w:drawing>
          <wp:anchor distT="0" distB="0" distL="0" distR="0" simplePos="0" relativeHeight="251393536" behindDoc="1" locked="0" layoutInCell="1" allowOverlap="1" wp14:anchorId="51DEA69C" wp14:editId="51DEA69D">
            <wp:simplePos x="0" y="0"/>
            <wp:positionH relativeFrom="page">
              <wp:posOffset>902208</wp:posOffset>
            </wp:positionH>
            <wp:positionV relativeFrom="paragraph">
              <wp:posOffset>80595</wp:posOffset>
            </wp:positionV>
            <wp:extent cx="262127" cy="103631"/>
            <wp:effectExtent l="0" t="0" r="0" b="0"/>
            <wp:wrapNone/>
            <wp:docPr id="1547" name="image8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 name="image801.png"/>
                    <pic:cNvPicPr/>
                  </pic:nvPicPr>
                  <pic:blipFill>
                    <a:blip r:embed="rId1054" cstate="print"/>
                    <a:stretch>
                      <a:fillRect/>
                    </a:stretch>
                  </pic:blipFill>
                  <pic:spPr>
                    <a:xfrm>
                      <a:off x="0" y="0"/>
                      <a:ext cx="262127" cy="103631"/>
                    </a:xfrm>
                    <a:prstGeom prst="rect">
                      <a:avLst/>
                    </a:prstGeom>
                  </pic:spPr>
                </pic:pic>
              </a:graphicData>
            </a:graphic>
          </wp:anchor>
        </w:drawing>
      </w:r>
      <w:r>
        <w:t>CADA did not provide a fair comparison of the purported normal value and export price</w:t>
      </w:r>
      <w:r>
        <w:rPr>
          <w:spacing w:val="-3"/>
        </w:rPr>
        <w:t xml:space="preserve"> </w:t>
      </w:r>
      <w:r>
        <w:t>in</w:t>
      </w:r>
      <w:r>
        <w:rPr>
          <w:spacing w:val="-3"/>
        </w:rPr>
        <w:t xml:space="preserve"> </w:t>
      </w:r>
      <w:r>
        <w:t>the</w:t>
      </w:r>
      <w:r>
        <w:rPr>
          <w:spacing w:val="-3"/>
        </w:rPr>
        <w:t xml:space="preserve"> </w:t>
      </w:r>
      <w:r>
        <w:t>written</w:t>
      </w:r>
      <w:r>
        <w:rPr>
          <w:spacing w:val="-3"/>
        </w:rPr>
        <w:t xml:space="preserve"> </w:t>
      </w:r>
      <w:r>
        <w:t>application</w:t>
      </w:r>
      <w:r>
        <w:rPr>
          <w:spacing w:val="-4"/>
        </w:rPr>
        <w:t xml:space="preserve"> </w:t>
      </w:r>
      <w:r>
        <w:t>because</w:t>
      </w:r>
      <w:r>
        <w:rPr>
          <w:spacing w:val="-2"/>
        </w:rPr>
        <w:t xml:space="preserve"> </w:t>
      </w:r>
      <w:r>
        <w:t>it</w:t>
      </w:r>
      <w:r>
        <w:rPr>
          <w:spacing w:val="-3"/>
        </w:rPr>
        <w:t xml:space="preserve"> </w:t>
      </w:r>
      <w:r>
        <w:t>failed</w:t>
      </w:r>
      <w:r>
        <w:rPr>
          <w:spacing w:val="-4"/>
        </w:rPr>
        <w:t xml:space="preserve"> </w:t>
      </w:r>
      <w:r>
        <w:t>to</w:t>
      </w:r>
      <w:r>
        <w:rPr>
          <w:spacing w:val="-2"/>
        </w:rPr>
        <w:t xml:space="preserve"> </w:t>
      </w:r>
      <w:r>
        <w:t>(i)</w:t>
      </w:r>
      <w:r>
        <w:rPr>
          <w:spacing w:val="-2"/>
        </w:rPr>
        <w:t xml:space="preserve"> </w:t>
      </w:r>
      <w:r>
        <w:t>make</w:t>
      </w:r>
      <w:r>
        <w:rPr>
          <w:spacing w:val="-2"/>
        </w:rPr>
        <w:t xml:space="preserve"> </w:t>
      </w:r>
      <w:r>
        <w:t>any</w:t>
      </w:r>
      <w:r>
        <w:rPr>
          <w:spacing w:val="-2"/>
        </w:rPr>
        <w:t xml:space="preserve"> </w:t>
      </w:r>
      <w:r>
        <w:t>adjustments</w:t>
      </w:r>
      <w:r>
        <w:rPr>
          <w:spacing w:val="-3"/>
        </w:rPr>
        <w:t xml:space="preserve"> </w:t>
      </w:r>
      <w:r>
        <w:t>to</w:t>
      </w:r>
      <w:r>
        <w:rPr>
          <w:spacing w:val="-2"/>
        </w:rPr>
        <w:t xml:space="preserve"> </w:t>
      </w:r>
      <w:r>
        <w:t>normal</w:t>
      </w:r>
      <w:r>
        <w:rPr>
          <w:spacing w:val="-3"/>
        </w:rPr>
        <w:t xml:space="preserve"> </w:t>
      </w:r>
      <w:r>
        <w:t>value, and (ii) account for the differences in volumes of trade affecting normal values</w:t>
      </w:r>
      <w:r>
        <w:t xml:space="preserve"> and export prices, which skewed the price comparability of these two values. An unbiased and objective investigating</w:t>
      </w:r>
      <w:r>
        <w:rPr>
          <w:spacing w:val="-6"/>
        </w:rPr>
        <w:t xml:space="preserve"> </w:t>
      </w:r>
      <w:r>
        <w:t>authority</w:t>
      </w:r>
      <w:r>
        <w:rPr>
          <w:spacing w:val="-7"/>
        </w:rPr>
        <w:t xml:space="preserve"> </w:t>
      </w:r>
      <w:r>
        <w:t>would</w:t>
      </w:r>
      <w:r>
        <w:rPr>
          <w:spacing w:val="-8"/>
        </w:rPr>
        <w:t xml:space="preserve"> </w:t>
      </w:r>
      <w:r>
        <w:t>have</w:t>
      </w:r>
      <w:r>
        <w:rPr>
          <w:spacing w:val="-6"/>
        </w:rPr>
        <w:t xml:space="preserve"> </w:t>
      </w:r>
      <w:r>
        <w:t>found</w:t>
      </w:r>
      <w:r>
        <w:rPr>
          <w:spacing w:val="-7"/>
        </w:rPr>
        <w:t xml:space="preserve"> </w:t>
      </w:r>
      <w:r>
        <w:t>that</w:t>
      </w:r>
      <w:r>
        <w:rPr>
          <w:spacing w:val="-8"/>
        </w:rPr>
        <w:t xml:space="preserve"> </w:t>
      </w:r>
      <w:r>
        <w:t>CADA's</w:t>
      </w:r>
      <w:r>
        <w:rPr>
          <w:spacing w:val="-7"/>
        </w:rPr>
        <w:t xml:space="preserve"> </w:t>
      </w:r>
      <w:r>
        <w:t>comparison</w:t>
      </w:r>
      <w:r>
        <w:rPr>
          <w:spacing w:val="-8"/>
        </w:rPr>
        <w:t xml:space="preserve"> </w:t>
      </w:r>
      <w:r>
        <w:t>of</w:t>
      </w:r>
      <w:r>
        <w:rPr>
          <w:spacing w:val="-8"/>
        </w:rPr>
        <w:t xml:space="preserve"> </w:t>
      </w:r>
      <w:r>
        <w:t>normal</w:t>
      </w:r>
      <w:r>
        <w:rPr>
          <w:spacing w:val="-7"/>
        </w:rPr>
        <w:t xml:space="preserve"> </w:t>
      </w:r>
      <w:r>
        <w:t>value</w:t>
      </w:r>
      <w:r>
        <w:rPr>
          <w:spacing w:val="-7"/>
        </w:rPr>
        <w:t xml:space="preserve"> </w:t>
      </w:r>
      <w:r>
        <w:t>and</w:t>
      </w:r>
      <w:r>
        <w:rPr>
          <w:spacing w:val="-8"/>
        </w:rPr>
        <w:t xml:space="preserve"> </w:t>
      </w:r>
      <w:r>
        <w:t xml:space="preserve">export price did not provide for a fair comparison. Instead, MOFCOM </w:t>
      </w:r>
      <w:r>
        <w:t>appeared to have wholly adopted CADA's flawed analysis.</w:t>
      </w:r>
    </w:p>
    <w:p w14:paraId="51DE956B" w14:textId="77777777" w:rsidR="0010369C" w:rsidRDefault="0010369C">
      <w:pPr>
        <w:pStyle w:val="BodyText"/>
        <w:spacing w:before="11"/>
        <w:rPr>
          <w:sz w:val="8"/>
        </w:rPr>
      </w:pPr>
    </w:p>
    <w:p w14:paraId="51DE956C" w14:textId="77777777" w:rsidR="0010369C" w:rsidRDefault="008E43AE">
      <w:pPr>
        <w:pStyle w:val="BodyText"/>
        <w:spacing w:before="52" w:line="360" w:lineRule="auto"/>
        <w:ind w:left="237" w:right="614" w:firstLine="851"/>
        <w:jc w:val="both"/>
      </w:pPr>
      <w:r>
        <w:rPr>
          <w:noProof/>
        </w:rPr>
        <w:drawing>
          <wp:anchor distT="0" distB="0" distL="0" distR="0" simplePos="0" relativeHeight="251394560" behindDoc="1" locked="0" layoutInCell="1" allowOverlap="1" wp14:anchorId="51DEA69E" wp14:editId="51DEA69F">
            <wp:simplePos x="0" y="0"/>
            <wp:positionH relativeFrom="page">
              <wp:posOffset>902208</wp:posOffset>
            </wp:positionH>
            <wp:positionV relativeFrom="paragraph">
              <wp:posOffset>76785</wp:posOffset>
            </wp:positionV>
            <wp:extent cx="262127" cy="106679"/>
            <wp:effectExtent l="0" t="0" r="0" b="0"/>
            <wp:wrapNone/>
            <wp:docPr id="1549" name="image8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 name="image802.png"/>
                    <pic:cNvPicPr/>
                  </pic:nvPicPr>
                  <pic:blipFill>
                    <a:blip r:embed="rId1055" cstate="print"/>
                    <a:stretch>
                      <a:fillRect/>
                    </a:stretch>
                  </pic:blipFill>
                  <pic:spPr>
                    <a:xfrm>
                      <a:off x="0" y="0"/>
                      <a:ext cx="262127" cy="106679"/>
                    </a:xfrm>
                    <a:prstGeom prst="rect">
                      <a:avLst/>
                    </a:prstGeom>
                  </pic:spPr>
                </pic:pic>
              </a:graphicData>
            </a:graphic>
          </wp:anchor>
        </w:drawing>
      </w:r>
      <w:r>
        <w:t>CADA acknowledges that it failed to make any adjustment to normal value, despite recognising the appropriateness of doing so as discussed above,</w:t>
      </w:r>
      <w:r>
        <w:rPr>
          <w:vertAlign w:val="superscript"/>
        </w:rPr>
        <w:t>949</w:t>
      </w:r>
      <w:r>
        <w:t xml:space="preserve"> thereby making a fair comparison impossible.</w:t>
      </w:r>
    </w:p>
    <w:p w14:paraId="51DE956D" w14:textId="77777777" w:rsidR="0010369C" w:rsidRDefault="0010369C">
      <w:pPr>
        <w:pStyle w:val="BodyText"/>
        <w:spacing w:before="10"/>
        <w:rPr>
          <w:sz w:val="8"/>
        </w:rPr>
      </w:pPr>
    </w:p>
    <w:p w14:paraId="51DE956E" w14:textId="77777777" w:rsidR="0010369C" w:rsidRDefault="008E43AE">
      <w:pPr>
        <w:pStyle w:val="BodyText"/>
        <w:spacing w:before="52" w:line="360" w:lineRule="auto"/>
        <w:ind w:left="237" w:right="613" w:firstLine="851"/>
        <w:jc w:val="both"/>
      </w:pPr>
      <w:r>
        <w:rPr>
          <w:noProof/>
        </w:rPr>
        <w:drawing>
          <wp:anchor distT="0" distB="0" distL="0" distR="0" simplePos="0" relativeHeight="251395584" behindDoc="1" locked="0" layoutInCell="1" allowOverlap="1" wp14:anchorId="51DEA6A0" wp14:editId="51DEA6A1">
            <wp:simplePos x="0" y="0"/>
            <wp:positionH relativeFrom="page">
              <wp:posOffset>902208</wp:posOffset>
            </wp:positionH>
            <wp:positionV relativeFrom="paragraph">
              <wp:posOffset>76785</wp:posOffset>
            </wp:positionV>
            <wp:extent cx="262127" cy="106679"/>
            <wp:effectExtent l="0" t="0" r="0" b="0"/>
            <wp:wrapNone/>
            <wp:docPr id="1551" name="image8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 name="image803.png"/>
                    <pic:cNvPicPr/>
                  </pic:nvPicPr>
                  <pic:blipFill>
                    <a:blip r:embed="rId1056" cstate="print"/>
                    <a:stretch>
                      <a:fillRect/>
                    </a:stretch>
                  </pic:blipFill>
                  <pic:spPr>
                    <a:xfrm>
                      <a:off x="0" y="0"/>
                      <a:ext cx="262127" cy="106679"/>
                    </a:xfrm>
                    <a:prstGeom prst="rect">
                      <a:avLst/>
                    </a:prstGeom>
                  </pic:spPr>
                </pic:pic>
              </a:graphicData>
            </a:graphic>
          </wp:anchor>
        </w:drawing>
      </w:r>
      <w:r>
        <w:t>Furthermore, due allowance was not made for the enormous diff</w:t>
      </w:r>
      <w:r>
        <w:t>erences in the quantities,</w:t>
      </w:r>
      <w:r>
        <w:rPr>
          <w:spacing w:val="-14"/>
        </w:rPr>
        <w:t xml:space="preserve"> </w:t>
      </w:r>
      <w:r>
        <w:t>as</w:t>
      </w:r>
      <w:r>
        <w:rPr>
          <w:spacing w:val="-14"/>
        </w:rPr>
        <w:t xml:space="preserve"> </w:t>
      </w:r>
      <w:r>
        <w:t>required</w:t>
      </w:r>
      <w:r>
        <w:rPr>
          <w:spacing w:val="-13"/>
        </w:rPr>
        <w:t xml:space="preserve"> </w:t>
      </w:r>
      <w:r>
        <w:t>by</w:t>
      </w:r>
      <w:r>
        <w:rPr>
          <w:spacing w:val="-14"/>
        </w:rPr>
        <w:t xml:space="preserve"> </w:t>
      </w:r>
      <w:r>
        <w:t>Article</w:t>
      </w:r>
      <w:r>
        <w:rPr>
          <w:spacing w:val="-13"/>
        </w:rPr>
        <w:t xml:space="preserve"> </w:t>
      </w:r>
      <w:r>
        <w:t>2.4.</w:t>
      </w:r>
      <w:r>
        <w:rPr>
          <w:spacing w:val="-14"/>
        </w:rPr>
        <w:t xml:space="preserve"> </w:t>
      </w:r>
      <w:r>
        <w:t>In</w:t>
      </w:r>
      <w:r>
        <w:rPr>
          <w:spacing w:val="-13"/>
        </w:rPr>
        <w:t xml:space="preserve"> </w:t>
      </w:r>
      <w:r>
        <w:t>this</w:t>
      </w:r>
      <w:r>
        <w:rPr>
          <w:spacing w:val="-14"/>
        </w:rPr>
        <w:t xml:space="preserve"> </w:t>
      </w:r>
      <w:r>
        <w:t>instance,</w:t>
      </w:r>
      <w:r>
        <w:rPr>
          <w:spacing w:val="-14"/>
        </w:rPr>
        <w:t xml:space="preserve"> </w:t>
      </w:r>
      <w:r>
        <w:t>the</w:t>
      </w:r>
      <w:r>
        <w:rPr>
          <w:spacing w:val="-13"/>
        </w:rPr>
        <w:t xml:space="preserve"> </w:t>
      </w:r>
      <w:r>
        <w:t>export</w:t>
      </w:r>
      <w:r>
        <w:rPr>
          <w:spacing w:val="-14"/>
        </w:rPr>
        <w:t xml:space="preserve"> </w:t>
      </w:r>
      <w:r>
        <w:t>price</w:t>
      </w:r>
      <w:r>
        <w:rPr>
          <w:spacing w:val="-13"/>
        </w:rPr>
        <w:t xml:space="preserve"> </w:t>
      </w:r>
      <w:r>
        <w:t>was</w:t>
      </w:r>
      <w:r>
        <w:rPr>
          <w:spacing w:val="-14"/>
        </w:rPr>
        <w:t xml:space="preserve"> </w:t>
      </w:r>
      <w:r>
        <w:t>based</w:t>
      </w:r>
      <w:r>
        <w:rPr>
          <w:spacing w:val="-13"/>
        </w:rPr>
        <w:t xml:space="preserve"> </w:t>
      </w:r>
      <w:r>
        <w:t>on</w:t>
      </w:r>
      <w:r>
        <w:rPr>
          <w:spacing w:val="-14"/>
        </w:rPr>
        <w:t xml:space="preserve"> </w:t>
      </w:r>
      <w:r>
        <w:t>an</w:t>
      </w:r>
      <w:r>
        <w:rPr>
          <w:spacing w:val="-14"/>
        </w:rPr>
        <w:t xml:space="preserve"> </w:t>
      </w:r>
      <w:r>
        <w:t>average of a high volume of sales, whereas the normal value was based on very low levels of imports of Chinese wine in Australia.</w:t>
      </w:r>
    </w:p>
    <w:p w14:paraId="51DE956F" w14:textId="77777777" w:rsidR="0010369C" w:rsidRDefault="008E43AE">
      <w:pPr>
        <w:pStyle w:val="BodyText"/>
        <w:spacing w:before="4"/>
        <w:rPr>
          <w:sz w:val="25"/>
        </w:rPr>
      </w:pPr>
      <w:r>
        <w:pict w14:anchorId="51DEA6A2">
          <v:rect id="docshape1258" o:spid="_x0000_s1169" style="position:absolute;margin-left:70.9pt;margin-top:16.65pt;width:2in;height:.8pt;z-index:-250748416;mso-wrap-distance-left:0;mso-wrap-distance-right:0;mso-position-horizontal-relative:page" fillcolor="black" stroked="f">
            <w10:wrap type="topAndBottom" anchorx="page"/>
          </v:rect>
        </w:pict>
      </w:r>
    </w:p>
    <w:p w14:paraId="51DE9570" w14:textId="77777777" w:rsidR="0010369C" w:rsidRDefault="008E43AE">
      <w:pPr>
        <w:spacing w:before="110"/>
        <w:ind w:left="238" w:right="615" w:hanging="1"/>
        <w:jc w:val="both"/>
        <w:rPr>
          <w:sz w:val="18"/>
        </w:rPr>
      </w:pPr>
      <w:r>
        <w:rPr>
          <w:sz w:val="18"/>
          <w:vertAlign w:val="superscript"/>
        </w:rPr>
        <w:t>948</w:t>
      </w:r>
      <w:r>
        <w:rPr>
          <w:sz w:val="18"/>
        </w:rPr>
        <w:t xml:space="preserve"> This appears to be inconsistent with the information used to establish the ocean freight, which was based on shipping fr</w:t>
      </w:r>
      <w:r>
        <w:rPr>
          <w:sz w:val="18"/>
        </w:rPr>
        <w:t>om</w:t>
      </w:r>
      <w:r>
        <w:rPr>
          <w:spacing w:val="-1"/>
          <w:sz w:val="18"/>
        </w:rPr>
        <w:t xml:space="preserve"> </w:t>
      </w:r>
      <w:r>
        <w:rPr>
          <w:sz w:val="18"/>
        </w:rPr>
        <w:t>Fremantle</w:t>
      </w:r>
      <w:r>
        <w:rPr>
          <w:spacing w:val="-1"/>
          <w:sz w:val="18"/>
        </w:rPr>
        <w:t xml:space="preserve"> </w:t>
      </w:r>
      <w:r>
        <w:rPr>
          <w:sz w:val="18"/>
        </w:rPr>
        <w:t>in</w:t>
      </w:r>
      <w:r>
        <w:rPr>
          <w:spacing w:val="-1"/>
          <w:sz w:val="18"/>
        </w:rPr>
        <w:t xml:space="preserve"> </w:t>
      </w:r>
      <w:r>
        <w:rPr>
          <w:sz w:val="18"/>
        </w:rPr>
        <w:t>Western</w:t>
      </w:r>
      <w:r>
        <w:rPr>
          <w:spacing w:val="-1"/>
          <w:sz w:val="18"/>
        </w:rPr>
        <w:t xml:space="preserve"> </w:t>
      </w:r>
      <w:r>
        <w:rPr>
          <w:sz w:val="18"/>
        </w:rPr>
        <w:t>Australia</w:t>
      </w:r>
      <w:r>
        <w:rPr>
          <w:spacing w:val="-1"/>
          <w:sz w:val="18"/>
        </w:rPr>
        <w:t xml:space="preserve"> </w:t>
      </w:r>
      <w:r>
        <w:rPr>
          <w:sz w:val="18"/>
        </w:rPr>
        <w:t>to</w:t>
      </w:r>
      <w:r>
        <w:rPr>
          <w:spacing w:val="-1"/>
          <w:sz w:val="18"/>
        </w:rPr>
        <w:t xml:space="preserve"> </w:t>
      </w:r>
      <w:r>
        <w:rPr>
          <w:sz w:val="18"/>
        </w:rPr>
        <w:t>China,</w:t>
      </w:r>
      <w:r>
        <w:rPr>
          <w:spacing w:val="-2"/>
          <w:sz w:val="18"/>
        </w:rPr>
        <w:t xml:space="preserve"> </w:t>
      </w:r>
      <w:r>
        <w:rPr>
          <w:sz w:val="18"/>
        </w:rPr>
        <w:t>from</w:t>
      </w:r>
      <w:r>
        <w:rPr>
          <w:spacing w:val="-1"/>
          <w:sz w:val="18"/>
        </w:rPr>
        <w:t xml:space="preserve"> </w:t>
      </w:r>
      <w:r>
        <w:rPr>
          <w:sz w:val="18"/>
        </w:rPr>
        <w:t>CADA</w:t>
      </w:r>
      <w:r>
        <w:rPr>
          <w:spacing w:val="-1"/>
          <w:sz w:val="18"/>
        </w:rPr>
        <w:t xml:space="preserve"> </w:t>
      </w:r>
      <w:r>
        <w:rPr>
          <w:sz w:val="18"/>
        </w:rPr>
        <w:t>Application</w:t>
      </w:r>
      <w:r>
        <w:rPr>
          <w:spacing w:val="-1"/>
          <w:sz w:val="18"/>
        </w:rPr>
        <w:t xml:space="preserve"> </w:t>
      </w:r>
      <w:r>
        <w:rPr>
          <w:sz w:val="18"/>
        </w:rPr>
        <w:t>for</w:t>
      </w:r>
      <w:r>
        <w:rPr>
          <w:spacing w:val="-1"/>
          <w:sz w:val="18"/>
        </w:rPr>
        <w:t xml:space="preserve"> </w:t>
      </w:r>
      <w:r>
        <w:rPr>
          <w:sz w:val="18"/>
        </w:rPr>
        <w:t>Anti‐Dumping</w:t>
      </w:r>
      <w:r>
        <w:rPr>
          <w:spacing w:val="-1"/>
          <w:sz w:val="18"/>
        </w:rPr>
        <w:t xml:space="preserve"> </w:t>
      </w:r>
      <w:r>
        <w:rPr>
          <w:sz w:val="18"/>
        </w:rPr>
        <w:t>Investigation,</w:t>
      </w:r>
      <w:r>
        <w:rPr>
          <w:spacing w:val="-2"/>
          <w:sz w:val="18"/>
        </w:rPr>
        <w:t xml:space="preserve"> </w:t>
      </w:r>
      <w:r>
        <w:rPr>
          <w:sz w:val="18"/>
        </w:rPr>
        <w:t>Annexes</w:t>
      </w:r>
      <w:r>
        <w:rPr>
          <w:spacing w:val="-2"/>
          <w:sz w:val="18"/>
        </w:rPr>
        <w:t xml:space="preserve"> </w:t>
      </w:r>
      <w:r>
        <w:rPr>
          <w:sz w:val="18"/>
        </w:rPr>
        <w:t>1‐12</w:t>
      </w:r>
      <w:r>
        <w:rPr>
          <w:spacing w:val="-2"/>
          <w:sz w:val="18"/>
        </w:rPr>
        <w:t xml:space="preserve"> </w:t>
      </w:r>
      <w:r>
        <w:rPr>
          <w:sz w:val="18"/>
        </w:rPr>
        <w:t>(Part</w:t>
      </w:r>
      <w:r>
        <w:rPr>
          <w:spacing w:val="-1"/>
          <w:sz w:val="18"/>
        </w:rPr>
        <w:t xml:space="preserve"> </w:t>
      </w:r>
      <w:r>
        <w:rPr>
          <w:sz w:val="18"/>
        </w:rPr>
        <w:t>1) (Exhibit AUS‐90), Annex 10: World Bank Group Report on the Costs (of Exported Products) within Australia.</w:t>
      </w:r>
    </w:p>
    <w:p w14:paraId="51DE9571" w14:textId="77777777" w:rsidR="0010369C" w:rsidRDefault="008E43AE">
      <w:pPr>
        <w:spacing w:line="219" w:lineRule="exact"/>
        <w:ind w:left="238"/>
        <w:jc w:val="both"/>
        <w:rPr>
          <w:sz w:val="18"/>
        </w:rPr>
      </w:pPr>
      <w:r>
        <w:rPr>
          <w:sz w:val="18"/>
          <w:vertAlign w:val="superscript"/>
        </w:rPr>
        <w:t>949</w:t>
      </w:r>
      <w:r>
        <w:rPr>
          <w:spacing w:val="-6"/>
          <w:sz w:val="18"/>
        </w:rPr>
        <w:t xml:space="preserve"> </w:t>
      </w:r>
      <w:r>
        <w:rPr>
          <w:sz w:val="18"/>
        </w:rPr>
        <w:t>See</w:t>
      </w:r>
      <w:r>
        <w:rPr>
          <w:spacing w:val="-5"/>
          <w:sz w:val="18"/>
        </w:rPr>
        <w:t xml:space="preserve"> </w:t>
      </w:r>
      <w:r>
        <w:rPr>
          <w:sz w:val="18"/>
        </w:rPr>
        <w:t>above,</w:t>
      </w:r>
      <w:r>
        <w:rPr>
          <w:spacing w:val="-7"/>
          <w:sz w:val="18"/>
        </w:rPr>
        <w:t xml:space="preserve"> </w:t>
      </w:r>
      <w:r>
        <w:rPr>
          <w:sz w:val="18"/>
        </w:rPr>
        <w:t>Section</w:t>
      </w:r>
      <w:r>
        <w:rPr>
          <w:spacing w:val="-5"/>
          <w:sz w:val="18"/>
        </w:rPr>
        <w:t xml:space="preserve"> </w:t>
      </w:r>
      <w:r>
        <w:rPr>
          <w:spacing w:val="-2"/>
          <w:sz w:val="18"/>
        </w:rPr>
        <w:t>VI.C.3.</w:t>
      </w:r>
    </w:p>
    <w:p w14:paraId="51DE9572" w14:textId="77777777" w:rsidR="0010369C" w:rsidRDefault="0010369C">
      <w:pPr>
        <w:spacing w:line="219" w:lineRule="exact"/>
        <w:jc w:val="both"/>
        <w:rPr>
          <w:sz w:val="18"/>
        </w:rPr>
        <w:sectPr w:rsidR="0010369C">
          <w:pgSz w:w="11910" w:h="16840"/>
          <w:pgMar w:top="880" w:right="800" w:bottom="980" w:left="1180" w:header="569" w:footer="788" w:gutter="0"/>
          <w:cols w:space="720"/>
        </w:sectPr>
      </w:pPr>
    </w:p>
    <w:p w14:paraId="51DE9573" w14:textId="77777777" w:rsidR="0010369C" w:rsidRDefault="008E43AE">
      <w:pPr>
        <w:tabs>
          <w:tab w:val="left" w:pos="6426"/>
        </w:tabs>
        <w:ind w:left="238"/>
        <w:rPr>
          <w:sz w:val="20"/>
        </w:rPr>
      </w:pPr>
      <w:r>
        <w:rPr>
          <w:i/>
          <w:sz w:val="20"/>
        </w:rPr>
        <w:lastRenderedPageBreak/>
        <w:t>China</w:t>
      </w:r>
      <w:r>
        <w:rPr>
          <w:i/>
          <w:spacing w:val="-5"/>
          <w:sz w:val="20"/>
        </w:rPr>
        <w:t xml:space="preserve"> </w:t>
      </w:r>
      <w:r>
        <w:rPr>
          <w:i/>
          <w:sz w:val="20"/>
        </w:rPr>
        <w:t>–</w:t>
      </w:r>
      <w:r>
        <w:rPr>
          <w:i/>
          <w:spacing w:val="-5"/>
          <w:sz w:val="20"/>
        </w:rPr>
        <w:t xml:space="preserve"> </w:t>
      </w:r>
      <w:r>
        <w:rPr>
          <w:i/>
          <w:sz w:val="20"/>
        </w:rPr>
        <w:t>Anti‐Dumping</w:t>
      </w:r>
      <w:r>
        <w:rPr>
          <w:i/>
          <w:spacing w:val="-4"/>
          <w:sz w:val="20"/>
        </w:rPr>
        <w:t xml:space="preserve"> </w:t>
      </w:r>
      <w:r>
        <w:rPr>
          <w:i/>
          <w:sz w:val="20"/>
        </w:rPr>
        <w:t>and</w:t>
      </w:r>
      <w:r>
        <w:rPr>
          <w:i/>
          <w:spacing w:val="-5"/>
          <w:sz w:val="20"/>
        </w:rPr>
        <w:t xml:space="preserve"> </w:t>
      </w:r>
      <w:r>
        <w:rPr>
          <w:i/>
          <w:sz w:val="20"/>
        </w:rPr>
        <w:t>Countervailing</w:t>
      </w:r>
      <w:r>
        <w:rPr>
          <w:i/>
          <w:spacing w:val="-5"/>
          <w:sz w:val="20"/>
        </w:rPr>
        <w:t xml:space="preserve"> </w:t>
      </w:r>
      <w:r>
        <w:rPr>
          <w:i/>
          <w:sz w:val="20"/>
        </w:rPr>
        <w:t>Duty</w:t>
      </w:r>
      <w:r>
        <w:rPr>
          <w:i/>
          <w:spacing w:val="-4"/>
          <w:sz w:val="20"/>
        </w:rPr>
        <w:t xml:space="preserve"> </w:t>
      </w:r>
      <w:r>
        <w:rPr>
          <w:i/>
          <w:spacing w:val="-2"/>
          <w:sz w:val="20"/>
        </w:rPr>
        <w:t>Measures</w:t>
      </w:r>
      <w:r>
        <w:rPr>
          <w:i/>
          <w:sz w:val="20"/>
        </w:rPr>
        <w:tab/>
      </w:r>
      <w:r>
        <w:rPr>
          <w:sz w:val="20"/>
        </w:rPr>
        <w:t>Australia's</w:t>
      </w:r>
      <w:r>
        <w:rPr>
          <w:spacing w:val="-7"/>
          <w:sz w:val="20"/>
        </w:rPr>
        <w:t xml:space="preserve"> </w:t>
      </w:r>
      <w:r>
        <w:rPr>
          <w:sz w:val="20"/>
        </w:rPr>
        <w:t>First</w:t>
      </w:r>
      <w:r>
        <w:rPr>
          <w:spacing w:val="-2"/>
          <w:sz w:val="20"/>
        </w:rPr>
        <w:t xml:space="preserve"> </w:t>
      </w:r>
      <w:r>
        <w:rPr>
          <w:sz w:val="20"/>
        </w:rPr>
        <w:t>Written</w:t>
      </w:r>
      <w:r>
        <w:rPr>
          <w:spacing w:val="-2"/>
          <w:sz w:val="20"/>
        </w:rPr>
        <w:t xml:space="preserve"> Submission</w:t>
      </w:r>
    </w:p>
    <w:p w14:paraId="51DE9574" w14:textId="77777777" w:rsidR="0010369C" w:rsidRDefault="008E43AE">
      <w:pPr>
        <w:tabs>
          <w:tab w:val="left" w:pos="8228"/>
        </w:tabs>
        <w:spacing w:before="1"/>
        <w:ind w:left="239"/>
        <w:rPr>
          <w:sz w:val="20"/>
        </w:rPr>
      </w:pPr>
      <w:r>
        <w:rPr>
          <w:i/>
          <w:sz w:val="20"/>
        </w:rPr>
        <w:t>on</w:t>
      </w:r>
      <w:r>
        <w:rPr>
          <w:i/>
          <w:spacing w:val="-1"/>
          <w:sz w:val="20"/>
        </w:rPr>
        <w:t xml:space="preserve"> </w:t>
      </w:r>
      <w:r>
        <w:rPr>
          <w:i/>
          <w:sz w:val="20"/>
        </w:rPr>
        <w:t>Wine</w:t>
      </w:r>
      <w:r>
        <w:rPr>
          <w:i/>
          <w:spacing w:val="-1"/>
          <w:sz w:val="20"/>
        </w:rPr>
        <w:t xml:space="preserve"> </w:t>
      </w:r>
      <w:r>
        <w:rPr>
          <w:i/>
          <w:sz w:val="20"/>
        </w:rPr>
        <w:t>from</w:t>
      </w:r>
      <w:r>
        <w:rPr>
          <w:i/>
          <w:spacing w:val="-3"/>
          <w:sz w:val="20"/>
        </w:rPr>
        <w:t xml:space="preserve"> </w:t>
      </w:r>
      <w:r>
        <w:rPr>
          <w:i/>
          <w:sz w:val="20"/>
        </w:rPr>
        <w:t>Australia</w:t>
      </w:r>
      <w:r>
        <w:rPr>
          <w:i/>
          <w:spacing w:val="-1"/>
          <w:sz w:val="20"/>
        </w:rPr>
        <w:t xml:space="preserve"> </w:t>
      </w:r>
      <w:r>
        <w:rPr>
          <w:spacing w:val="-2"/>
          <w:sz w:val="20"/>
        </w:rPr>
        <w:t>(DS602)</w:t>
      </w:r>
      <w:r>
        <w:rPr>
          <w:sz w:val="20"/>
        </w:rPr>
        <w:tab/>
        <w:t>29</w:t>
      </w:r>
      <w:r>
        <w:rPr>
          <w:spacing w:val="-1"/>
          <w:sz w:val="20"/>
        </w:rPr>
        <w:t xml:space="preserve"> </w:t>
      </w:r>
      <w:r>
        <w:rPr>
          <w:sz w:val="20"/>
        </w:rPr>
        <w:t>April</w:t>
      </w:r>
      <w:r>
        <w:rPr>
          <w:spacing w:val="-2"/>
          <w:sz w:val="20"/>
        </w:rPr>
        <w:t xml:space="preserve"> </w:t>
      </w:r>
      <w:r>
        <w:rPr>
          <w:spacing w:val="-4"/>
          <w:sz w:val="20"/>
        </w:rPr>
        <w:t>2022</w:t>
      </w:r>
    </w:p>
    <w:p w14:paraId="51DE9575" w14:textId="77777777" w:rsidR="0010369C" w:rsidRDefault="008E43AE">
      <w:pPr>
        <w:pStyle w:val="ListParagraph"/>
        <w:numPr>
          <w:ilvl w:val="2"/>
          <w:numId w:val="31"/>
        </w:numPr>
        <w:tabs>
          <w:tab w:val="left" w:pos="3642"/>
          <w:tab w:val="left" w:pos="3643"/>
        </w:tabs>
        <w:spacing w:before="35"/>
        <w:ind w:hanging="853"/>
        <w:rPr>
          <w:sz w:val="24"/>
        </w:rPr>
      </w:pPr>
      <w:r>
        <w:rPr>
          <w:spacing w:val="-2"/>
          <w:sz w:val="24"/>
          <w:u w:val="single"/>
        </w:rPr>
        <w:t>Conclusion</w:t>
      </w:r>
    </w:p>
    <w:p w14:paraId="51DE9576" w14:textId="77777777" w:rsidR="0010369C" w:rsidRDefault="0010369C">
      <w:pPr>
        <w:pStyle w:val="BodyText"/>
        <w:spacing w:before="9"/>
        <w:rPr>
          <w:sz w:val="20"/>
        </w:rPr>
      </w:pPr>
    </w:p>
    <w:p w14:paraId="51DE9577" w14:textId="77777777" w:rsidR="0010369C" w:rsidRDefault="008E43AE">
      <w:pPr>
        <w:pStyle w:val="BodyText"/>
        <w:spacing w:before="52" w:line="360" w:lineRule="auto"/>
        <w:ind w:left="237" w:right="612" w:firstLine="851"/>
        <w:jc w:val="both"/>
      </w:pPr>
      <w:r>
        <w:rPr>
          <w:noProof/>
        </w:rPr>
        <w:drawing>
          <wp:anchor distT="0" distB="0" distL="0" distR="0" simplePos="0" relativeHeight="251396608" behindDoc="1" locked="0" layoutInCell="1" allowOverlap="1" wp14:anchorId="51DEA6A3" wp14:editId="51DEA6A4">
            <wp:simplePos x="0" y="0"/>
            <wp:positionH relativeFrom="page">
              <wp:posOffset>902208</wp:posOffset>
            </wp:positionH>
            <wp:positionV relativeFrom="paragraph">
              <wp:posOffset>81357</wp:posOffset>
            </wp:positionV>
            <wp:extent cx="262127" cy="103631"/>
            <wp:effectExtent l="0" t="0" r="0" b="0"/>
            <wp:wrapNone/>
            <wp:docPr id="1553" name="image8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 name="image804.png"/>
                    <pic:cNvPicPr/>
                  </pic:nvPicPr>
                  <pic:blipFill>
                    <a:blip r:embed="rId1057" cstate="print"/>
                    <a:stretch>
                      <a:fillRect/>
                    </a:stretch>
                  </pic:blipFill>
                  <pic:spPr>
                    <a:xfrm>
                      <a:off x="0" y="0"/>
                      <a:ext cx="262127" cy="103631"/>
                    </a:xfrm>
                    <a:prstGeom prst="rect">
                      <a:avLst/>
                    </a:prstGeom>
                  </pic:spPr>
                </pic:pic>
              </a:graphicData>
            </a:graphic>
          </wp:anchor>
        </w:drawing>
      </w:r>
      <w:r>
        <w:t>CADA</w:t>
      </w:r>
      <w:r>
        <w:rPr>
          <w:spacing w:val="-10"/>
        </w:rPr>
        <w:t xml:space="preserve"> </w:t>
      </w:r>
      <w:r>
        <w:t>failed</w:t>
      </w:r>
      <w:r>
        <w:rPr>
          <w:spacing w:val="-11"/>
        </w:rPr>
        <w:t xml:space="preserve"> </w:t>
      </w:r>
      <w:r>
        <w:t>to</w:t>
      </w:r>
      <w:r>
        <w:rPr>
          <w:spacing w:val="-11"/>
        </w:rPr>
        <w:t xml:space="preserve"> </w:t>
      </w:r>
      <w:r>
        <w:t>submit</w:t>
      </w:r>
      <w:r>
        <w:rPr>
          <w:spacing w:val="-11"/>
        </w:rPr>
        <w:t xml:space="preserve"> </w:t>
      </w:r>
      <w:r>
        <w:t>any</w:t>
      </w:r>
      <w:r>
        <w:rPr>
          <w:spacing w:val="-10"/>
        </w:rPr>
        <w:t xml:space="preserve"> </w:t>
      </w:r>
      <w:r>
        <w:t>actual</w:t>
      </w:r>
      <w:r>
        <w:rPr>
          <w:spacing w:val="-11"/>
        </w:rPr>
        <w:t xml:space="preserve"> </w:t>
      </w:r>
      <w:r>
        <w:t>evidence</w:t>
      </w:r>
      <w:r>
        <w:rPr>
          <w:spacing w:val="-11"/>
        </w:rPr>
        <w:t xml:space="preserve"> </w:t>
      </w:r>
      <w:r>
        <w:t>that</w:t>
      </w:r>
      <w:r>
        <w:rPr>
          <w:spacing w:val="-11"/>
        </w:rPr>
        <w:t xml:space="preserve"> </w:t>
      </w:r>
      <w:r>
        <w:t>dumping</w:t>
      </w:r>
      <w:r>
        <w:rPr>
          <w:spacing w:val="-11"/>
        </w:rPr>
        <w:t xml:space="preserve"> </w:t>
      </w:r>
      <w:r>
        <w:t>was</w:t>
      </w:r>
      <w:r>
        <w:rPr>
          <w:spacing w:val="-11"/>
        </w:rPr>
        <w:t xml:space="preserve"> </w:t>
      </w:r>
      <w:r>
        <w:t>occurring,</w:t>
      </w:r>
      <w:r>
        <w:rPr>
          <w:spacing w:val="-11"/>
        </w:rPr>
        <w:t xml:space="preserve"> </w:t>
      </w:r>
      <w:r>
        <w:t>as</w:t>
      </w:r>
      <w:r>
        <w:rPr>
          <w:spacing w:val="-11"/>
        </w:rPr>
        <w:t xml:space="preserve"> </w:t>
      </w:r>
      <w:r>
        <w:t>is</w:t>
      </w:r>
      <w:r>
        <w:rPr>
          <w:spacing w:val="-11"/>
        </w:rPr>
        <w:t xml:space="preserve"> </w:t>
      </w:r>
      <w:r>
        <w:t>required by</w:t>
      </w:r>
      <w:r>
        <w:rPr>
          <w:spacing w:val="-2"/>
        </w:rPr>
        <w:t xml:space="preserve"> </w:t>
      </w:r>
      <w:r>
        <w:t>Article</w:t>
      </w:r>
      <w:r>
        <w:rPr>
          <w:spacing w:val="-3"/>
        </w:rPr>
        <w:t xml:space="preserve"> </w:t>
      </w:r>
      <w:r>
        <w:t>5.2</w:t>
      </w:r>
      <w:r>
        <w:rPr>
          <w:spacing w:val="-3"/>
        </w:rPr>
        <w:t xml:space="preserve"> </w:t>
      </w:r>
      <w:r>
        <w:t>of</w:t>
      </w:r>
      <w:r>
        <w:rPr>
          <w:spacing w:val="-3"/>
        </w:rPr>
        <w:t xml:space="preserve"> </w:t>
      </w:r>
      <w:r>
        <w:t>the</w:t>
      </w:r>
      <w:r>
        <w:rPr>
          <w:spacing w:val="-2"/>
        </w:rPr>
        <w:t xml:space="preserve"> </w:t>
      </w:r>
      <w:r>
        <w:t>Anti‐Dumping</w:t>
      </w:r>
      <w:r>
        <w:rPr>
          <w:spacing w:val="-2"/>
        </w:rPr>
        <w:t xml:space="preserve"> </w:t>
      </w:r>
      <w:r>
        <w:t>Agreement.</w:t>
      </w:r>
      <w:r>
        <w:rPr>
          <w:spacing w:val="-3"/>
        </w:rPr>
        <w:t xml:space="preserve"> </w:t>
      </w:r>
      <w:r>
        <w:t>The</w:t>
      </w:r>
      <w:r>
        <w:rPr>
          <w:spacing w:val="-2"/>
        </w:rPr>
        <w:t xml:space="preserve"> </w:t>
      </w:r>
      <w:r>
        <w:t>"simple</w:t>
      </w:r>
      <w:r>
        <w:rPr>
          <w:spacing w:val="-2"/>
        </w:rPr>
        <w:t xml:space="preserve"> </w:t>
      </w:r>
      <w:r>
        <w:t>assertions"</w:t>
      </w:r>
      <w:r>
        <w:rPr>
          <w:spacing w:val="-3"/>
        </w:rPr>
        <w:t xml:space="preserve"> </w:t>
      </w:r>
      <w:r>
        <w:t>provided</w:t>
      </w:r>
      <w:r>
        <w:rPr>
          <w:spacing w:val="-2"/>
        </w:rPr>
        <w:t xml:space="preserve"> </w:t>
      </w:r>
      <w:r>
        <w:t>by</w:t>
      </w:r>
      <w:r>
        <w:rPr>
          <w:spacing w:val="-2"/>
        </w:rPr>
        <w:t xml:space="preserve"> </w:t>
      </w:r>
      <w:r>
        <w:t>CADA</w:t>
      </w:r>
      <w:r>
        <w:rPr>
          <w:spacing w:val="-2"/>
        </w:rPr>
        <w:t xml:space="preserve"> </w:t>
      </w:r>
      <w:r>
        <w:t>did not provide a sufficient factual basis of the normal value, export price or fair comparison to initiate</w:t>
      </w:r>
      <w:r>
        <w:rPr>
          <w:spacing w:val="-6"/>
        </w:rPr>
        <w:t xml:space="preserve"> </w:t>
      </w:r>
      <w:r>
        <w:t>an</w:t>
      </w:r>
      <w:r>
        <w:rPr>
          <w:spacing w:val="-8"/>
        </w:rPr>
        <w:t xml:space="preserve"> </w:t>
      </w:r>
      <w:r>
        <w:t>investigation.</w:t>
      </w:r>
      <w:r>
        <w:rPr>
          <w:spacing w:val="-6"/>
        </w:rPr>
        <w:t xml:space="preserve"> </w:t>
      </w:r>
      <w:r>
        <w:t>Despite</w:t>
      </w:r>
      <w:r>
        <w:rPr>
          <w:spacing w:val="-6"/>
        </w:rPr>
        <w:t xml:space="preserve"> </w:t>
      </w:r>
      <w:r>
        <w:t>this,</w:t>
      </w:r>
      <w:r>
        <w:rPr>
          <w:spacing w:val="-7"/>
        </w:rPr>
        <w:t xml:space="preserve"> </w:t>
      </w:r>
      <w:r>
        <w:t>MOFCOM</w:t>
      </w:r>
      <w:r>
        <w:rPr>
          <w:spacing w:val="-6"/>
        </w:rPr>
        <w:t xml:space="preserve"> </w:t>
      </w:r>
      <w:r>
        <w:t>accepted</w:t>
      </w:r>
      <w:r>
        <w:rPr>
          <w:spacing w:val="-7"/>
        </w:rPr>
        <w:t xml:space="preserve"> </w:t>
      </w:r>
      <w:r>
        <w:t>the</w:t>
      </w:r>
      <w:r>
        <w:rPr>
          <w:spacing w:val="-7"/>
        </w:rPr>
        <w:t xml:space="preserve"> </w:t>
      </w:r>
      <w:r>
        <w:t>information</w:t>
      </w:r>
      <w:r>
        <w:rPr>
          <w:spacing w:val="-6"/>
        </w:rPr>
        <w:t xml:space="preserve"> </w:t>
      </w:r>
      <w:r>
        <w:t>of</w:t>
      </w:r>
      <w:r>
        <w:rPr>
          <w:spacing w:val="-7"/>
        </w:rPr>
        <w:t xml:space="preserve"> </w:t>
      </w:r>
      <w:r>
        <w:t>alleged</w:t>
      </w:r>
      <w:r>
        <w:rPr>
          <w:spacing w:val="-7"/>
        </w:rPr>
        <w:t xml:space="preserve"> </w:t>
      </w:r>
      <w:r>
        <w:t>dumping contained</w:t>
      </w:r>
      <w:r>
        <w:rPr>
          <w:spacing w:val="-4"/>
        </w:rPr>
        <w:t xml:space="preserve"> </w:t>
      </w:r>
      <w:r>
        <w:t>in</w:t>
      </w:r>
      <w:r>
        <w:rPr>
          <w:spacing w:val="-5"/>
        </w:rPr>
        <w:t xml:space="preserve"> </w:t>
      </w:r>
      <w:r>
        <w:t>the</w:t>
      </w:r>
      <w:r>
        <w:rPr>
          <w:spacing w:val="-3"/>
        </w:rPr>
        <w:t xml:space="preserve"> </w:t>
      </w:r>
      <w:r>
        <w:t>application</w:t>
      </w:r>
      <w:r>
        <w:rPr>
          <w:spacing w:val="-4"/>
        </w:rPr>
        <w:t xml:space="preserve"> </w:t>
      </w:r>
      <w:r>
        <w:t>without</w:t>
      </w:r>
      <w:r>
        <w:rPr>
          <w:spacing w:val="-5"/>
        </w:rPr>
        <w:t xml:space="preserve"> </w:t>
      </w:r>
      <w:r>
        <w:t>any</w:t>
      </w:r>
      <w:r>
        <w:rPr>
          <w:spacing w:val="-3"/>
        </w:rPr>
        <w:t xml:space="preserve"> </w:t>
      </w:r>
      <w:r>
        <w:t>inquiry</w:t>
      </w:r>
      <w:r>
        <w:rPr>
          <w:spacing w:val="-3"/>
        </w:rPr>
        <w:t xml:space="preserve"> </w:t>
      </w:r>
      <w:r>
        <w:t>or</w:t>
      </w:r>
      <w:r>
        <w:rPr>
          <w:spacing w:val="-3"/>
        </w:rPr>
        <w:t xml:space="preserve"> </w:t>
      </w:r>
      <w:r>
        <w:t>corroboration.</w:t>
      </w:r>
      <w:r>
        <w:rPr>
          <w:spacing w:val="-4"/>
        </w:rPr>
        <w:t xml:space="preserve"> </w:t>
      </w:r>
      <w:r>
        <w:t>No</w:t>
      </w:r>
      <w:r>
        <w:rPr>
          <w:spacing w:val="-3"/>
        </w:rPr>
        <w:t xml:space="preserve"> </w:t>
      </w:r>
      <w:r>
        <w:t>unbiased</w:t>
      </w:r>
      <w:r>
        <w:rPr>
          <w:spacing w:val="-4"/>
        </w:rPr>
        <w:t xml:space="preserve"> </w:t>
      </w:r>
      <w:r>
        <w:t>and</w:t>
      </w:r>
      <w:r>
        <w:rPr>
          <w:spacing w:val="-5"/>
        </w:rPr>
        <w:t xml:space="preserve"> </w:t>
      </w:r>
      <w:r>
        <w:t>objective investigating authority</w:t>
      </w:r>
      <w:r>
        <w:rPr>
          <w:spacing w:val="-1"/>
        </w:rPr>
        <w:t xml:space="preserve"> </w:t>
      </w:r>
      <w:r>
        <w:t>could</w:t>
      </w:r>
      <w:r>
        <w:rPr>
          <w:spacing w:val="-1"/>
        </w:rPr>
        <w:t xml:space="preserve"> </w:t>
      </w:r>
      <w:r>
        <w:t>have determined</w:t>
      </w:r>
      <w:r>
        <w:rPr>
          <w:spacing w:val="-1"/>
        </w:rPr>
        <w:t xml:space="preserve"> </w:t>
      </w:r>
      <w:r>
        <w:t>that there was</w:t>
      </w:r>
      <w:r>
        <w:rPr>
          <w:spacing w:val="-1"/>
        </w:rPr>
        <w:t xml:space="preserve"> </w:t>
      </w:r>
      <w:r>
        <w:t>sufficient</w:t>
      </w:r>
      <w:r>
        <w:rPr>
          <w:spacing w:val="-1"/>
        </w:rPr>
        <w:t xml:space="preserve"> </w:t>
      </w:r>
      <w:r>
        <w:t>evidence of</w:t>
      </w:r>
      <w:r>
        <w:rPr>
          <w:spacing w:val="-2"/>
        </w:rPr>
        <w:t xml:space="preserve"> </w:t>
      </w:r>
      <w:r>
        <w:t>dumping to justify the initiation of an investig</w:t>
      </w:r>
      <w:r>
        <w:t>ation. On that basis, MOFCOM acted inconsistently with China's obligations under Articles 5.2 and 5.3 of the Anti‐Dumping Agreement.</w:t>
      </w:r>
    </w:p>
    <w:p w14:paraId="51DE9578" w14:textId="77777777" w:rsidR="0010369C" w:rsidRDefault="008E43AE">
      <w:pPr>
        <w:pStyle w:val="Heading4"/>
        <w:numPr>
          <w:ilvl w:val="1"/>
          <w:numId w:val="31"/>
        </w:numPr>
        <w:tabs>
          <w:tab w:val="left" w:pos="2648"/>
          <w:tab w:val="left" w:pos="2649"/>
        </w:tabs>
        <w:spacing w:before="160" w:line="360" w:lineRule="auto"/>
        <w:ind w:right="615"/>
        <w:jc w:val="both"/>
      </w:pPr>
      <w:r>
        <w:t xml:space="preserve">The application did not contain sufficient evidence of injury and </w:t>
      </w:r>
      <w:r>
        <w:rPr>
          <w:spacing w:val="-2"/>
        </w:rPr>
        <w:t>causation</w:t>
      </w:r>
    </w:p>
    <w:p w14:paraId="51DE9579" w14:textId="77777777" w:rsidR="0010369C" w:rsidRDefault="0010369C">
      <w:pPr>
        <w:pStyle w:val="BodyText"/>
        <w:spacing w:before="11"/>
        <w:rPr>
          <w:b/>
          <w:sz w:val="8"/>
        </w:rPr>
      </w:pPr>
    </w:p>
    <w:p w14:paraId="51DE957A" w14:textId="77777777" w:rsidR="0010369C" w:rsidRDefault="008E43AE">
      <w:pPr>
        <w:pStyle w:val="BodyText"/>
        <w:spacing w:before="52" w:line="360" w:lineRule="auto"/>
        <w:ind w:left="237" w:right="614" w:firstLine="851"/>
      </w:pPr>
      <w:r>
        <w:rPr>
          <w:noProof/>
        </w:rPr>
        <w:drawing>
          <wp:anchor distT="0" distB="0" distL="0" distR="0" simplePos="0" relativeHeight="251397632" behindDoc="1" locked="0" layoutInCell="1" allowOverlap="1" wp14:anchorId="51DEA6A5" wp14:editId="51DEA6A6">
            <wp:simplePos x="0" y="0"/>
            <wp:positionH relativeFrom="page">
              <wp:posOffset>902208</wp:posOffset>
            </wp:positionH>
            <wp:positionV relativeFrom="paragraph">
              <wp:posOffset>80595</wp:posOffset>
            </wp:positionV>
            <wp:extent cx="262127" cy="103631"/>
            <wp:effectExtent l="0" t="0" r="0" b="0"/>
            <wp:wrapNone/>
            <wp:docPr id="1555" name="image8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 name="image805.png"/>
                    <pic:cNvPicPr/>
                  </pic:nvPicPr>
                  <pic:blipFill>
                    <a:blip r:embed="rId1058" cstate="print"/>
                    <a:stretch>
                      <a:fillRect/>
                    </a:stretch>
                  </pic:blipFill>
                  <pic:spPr>
                    <a:xfrm>
                      <a:off x="0" y="0"/>
                      <a:ext cx="262127" cy="103631"/>
                    </a:xfrm>
                    <a:prstGeom prst="rect">
                      <a:avLst/>
                    </a:prstGeom>
                  </pic:spPr>
                </pic:pic>
              </a:graphicData>
            </a:graphic>
          </wp:anchor>
        </w:drawing>
      </w:r>
      <w:r>
        <w:t>CADA's</w:t>
      </w:r>
      <w:r>
        <w:rPr>
          <w:spacing w:val="40"/>
        </w:rPr>
        <w:t xml:space="preserve"> </w:t>
      </w:r>
      <w:r>
        <w:t>application</w:t>
      </w:r>
      <w:r>
        <w:rPr>
          <w:spacing w:val="40"/>
        </w:rPr>
        <w:t xml:space="preserve"> </w:t>
      </w:r>
      <w:r>
        <w:t>did</w:t>
      </w:r>
      <w:r>
        <w:rPr>
          <w:spacing w:val="40"/>
        </w:rPr>
        <w:t xml:space="preserve"> </w:t>
      </w:r>
      <w:r>
        <w:t>not</w:t>
      </w:r>
      <w:r>
        <w:rPr>
          <w:spacing w:val="40"/>
        </w:rPr>
        <w:t xml:space="preserve"> </w:t>
      </w:r>
      <w:r>
        <w:t>provide</w:t>
      </w:r>
      <w:r>
        <w:rPr>
          <w:spacing w:val="40"/>
        </w:rPr>
        <w:t xml:space="preserve"> </w:t>
      </w:r>
      <w:r>
        <w:t>sufficient</w:t>
      </w:r>
      <w:r>
        <w:rPr>
          <w:spacing w:val="40"/>
        </w:rPr>
        <w:t xml:space="preserve"> </w:t>
      </w:r>
      <w:r>
        <w:t>evidence</w:t>
      </w:r>
      <w:r>
        <w:rPr>
          <w:spacing w:val="40"/>
        </w:rPr>
        <w:t xml:space="preserve"> </w:t>
      </w:r>
      <w:r>
        <w:t>of</w:t>
      </w:r>
      <w:r>
        <w:rPr>
          <w:spacing w:val="40"/>
        </w:rPr>
        <w:t xml:space="preserve"> </w:t>
      </w:r>
      <w:r>
        <w:t>injury</w:t>
      </w:r>
      <w:r>
        <w:rPr>
          <w:spacing w:val="40"/>
        </w:rPr>
        <w:t xml:space="preserve"> </w:t>
      </w:r>
      <w:r>
        <w:t>to</w:t>
      </w:r>
      <w:r>
        <w:rPr>
          <w:spacing w:val="40"/>
        </w:rPr>
        <w:t xml:space="preserve"> </w:t>
      </w:r>
      <w:r>
        <w:t>the</w:t>
      </w:r>
      <w:r>
        <w:rPr>
          <w:spacing w:val="40"/>
        </w:rPr>
        <w:t xml:space="preserve"> </w:t>
      </w:r>
      <w:r>
        <w:t>domestic industry, and that that injury was caused by dumping.</w:t>
      </w:r>
    </w:p>
    <w:p w14:paraId="51DE957B" w14:textId="77777777" w:rsidR="0010369C" w:rsidRDefault="0010369C">
      <w:pPr>
        <w:pStyle w:val="BodyText"/>
        <w:spacing w:before="11"/>
        <w:rPr>
          <w:sz w:val="8"/>
        </w:rPr>
      </w:pPr>
    </w:p>
    <w:p w14:paraId="51DE957C" w14:textId="77777777" w:rsidR="0010369C" w:rsidRDefault="008E43AE">
      <w:pPr>
        <w:pStyle w:val="BodyText"/>
        <w:spacing w:before="51" w:line="360" w:lineRule="auto"/>
        <w:ind w:left="238" w:right="614" w:firstLine="851"/>
        <w:jc w:val="both"/>
      </w:pPr>
      <w:r>
        <w:rPr>
          <w:noProof/>
        </w:rPr>
        <w:drawing>
          <wp:anchor distT="0" distB="0" distL="0" distR="0" simplePos="0" relativeHeight="251398656" behindDoc="1" locked="0" layoutInCell="1" allowOverlap="1" wp14:anchorId="51DEA6A7" wp14:editId="51DEA6A8">
            <wp:simplePos x="0" y="0"/>
            <wp:positionH relativeFrom="page">
              <wp:posOffset>902208</wp:posOffset>
            </wp:positionH>
            <wp:positionV relativeFrom="paragraph">
              <wp:posOffset>81315</wp:posOffset>
            </wp:positionV>
            <wp:extent cx="262127" cy="100753"/>
            <wp:effectExtent l="0" t="0" r="0" b="0"/>
            <wp:wrapNone/>
            <wp:docPr id="1557" name="image8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 name="image806.png"/>
                    <pic:cNvPicPr/>
                  </pic:nvPicPr>
                  <pic:blipFill>
                    <a:blip r:embed="rId1059" cstate="print"/>
                    <a:stretch>
                      <a:fillRect/>
                    </a:stretch>
                  </pic:blipFill>
                  <pic:spPr>
                    <a:xfrm>
                      <a:off x="0" y="0"/>
                      <a:ext cx="262127" cy="100753"/>
                    </a:xfrm>
                    <a:prstGeom prst="rect">
                      <a:avLst/>
                    </a:prstGeom>
                  </pic:spPr>
                </pic:pic>
              </a:graphicData>
            </a:graphic>
          </wp:anchor>
        </w:drawing>
      </w:r>
      <w:r>
        <w:t>The chapeau of Article 5.2 provides that the application must contain sufficient evidence</w:t>
      </w:r>
      <w:r>
        <w:rPr>
          <w:spacing w:val="-7"/>
        </w:rPr>
        <w:t xml:space="preserve"> </w:t>
      </w:r>
      <w:r>
        <w:t>of</w:t>
      </w:r>
      <w:r>
        <w:rPr>
          <w:spacing w:val="-9"/>
        </w:rPr>
        <w:t xml:space="preserve"> </w:t>
      </w:r>
      <w:r>
        <w:t>injury</w:t>
      </w:r>
      <w:r>
        <w:rPr>
          <w:spacing w:val="-6"/>
        </w:rPr>
        <w:t xml:space="preserve"> </w:t>
      </w:r>
      <w:r>
        <w:t>and</w:t>
      </w:r>
      <w:r>
        <w:rPr>
          <w:spacing w:val="-7"/>
        </w:rPr>
        <w:t xml:space="preserve"> </w:t>
      </w:r>
      <w:r>
        <w:t>causation.</w:t>
      </w:r>
      <w:r>
        <w:rPr>
          <w:spacing w:val="-7"/>
        </w:rPr>
        <w:t xml:space="preserve"> </w:t>
      </w:r>
      <w:r>
        <w:t>Article</w:t>
      </w:r>
      <w:r>
        <w:rPr>
          <w:spacing w:val="-7"/>
        </w:rPr>
        <w:t xml:space="preserve"> </w:t>
      </w:r>
      <w:r>
        <w:t>5.2(iv)</w:t>
      </w:r>
      <w:r>
        <w:rPr>
          <w:spacing w:val="-8"/>
        </w:rPr>
        <w:t xml:space="preserve"> </w:t>
      </w:r>
      <w:r>
        <w:t>of</w:t>
      </w:r>
      <w:r>
        <w:rPr>
          <w:spacing w:val="-7"/>
        </w:rPr>
        <w:t xml:space="preserve"> </w:t>
      </w:r>
      <w:r>
        <w:t>the</w:t>
      </w:r>
      <w:r>
        <w:rPr>
          <w:spacing w:val="-7"/>
        </w:rPr>
        <w:t xml:space="preserve"> </w:t>
      </w:r>
      <w:r>
        <w:t>Anti‐Dumping</w:t>
      </w:r>
      <w:r>
        <w:rPr>
          <w:spacing w:val="-7"/>
        </w:rPr>
        <w:t xml:space="preserve"> </w:t>
      </w:r>
      <w:r>
        <w:t>Agr</w:t>
      </w:r>
      <w:r>
        <w:t>eement</w:t>
      </w:r>
      <w:r>
        <w:rPr>
          <w:spacing w:val="-8"/>
        </w:rPr>
        <w:t xml:space="preserve"> </w:t>
      </w:r>
      <w:r>
        <w:t>specifies</w:t>
      </w:r>
      <w:r>
        <w:rPr>
          <w:spacing w:val="-7"/>
        </w:rPr>
        <w:t xml:space="preserve"> </w:t>
      </w:r>
      <w:r>
        <w:t>that an application must contain:</w:t>
      </w:r>
    </w:p>
    <w:p w14:paraId="51DE957D" w14:textId="77777777" w:rsidR="0010369C" w:rsidRDefault="008E43AE">
      <w:pPr>
        <w:pStyle w:val="ListParagraph"/>
        <w:numPr>
          <w:ilvl w:val="1"/>
          <w:numId w:val="30"/>
        </w:numPr>
        <w:tabs>
          <w:tab w:val="left" w:pos="1428"/>
        </w:tabs>
        <w:spacing w:before="161" w:line="276" w:lineRule="auto"/>
        <w:ind w:right="613" w:firstLine="0"/>
        <w:jc w:val="both"/>
      </w:pPr>
      <w:r>
        <w:t xml:space="preserve">information on the evolution of the volume of the allegedly dumped imports, the effect of these imports on prices of the like product in the domestic market and the consequent impact of the imports on the </w:t>
      </w:r>
      <w:r>
        <w:t>domestic industry, as demonstrated by relevant factors and indices having a bearing on the state of the domestic industry, such as those listed in paragraphs 2 and 4 of Article 3.</w:t>
      </w:r>
    </w:p>
    <w:p w14:paraId="51DE957E" w14:textId="77777777" w:rsidR="0010369C" w:rsidRDefault="0010369C">
      <w:pPr>
        <w:pStyle w:val="BodyText"/>
        <w:spacing w:before="5"/>
        <w:rPr>
          <w:sz w:val="15"/>
        </w:rPr>
      </w:pPr>
    </w:p>
    <w:p w14:paraId="51DE957F" w14:textId="77777777" w:rsidR="0010369C" w:rsidRDefault="008E43AE">
      <w:pPr>
        <w:pStyle w:val="BodyText"/>
        <w:spacing w:before="51" w:line="360" w:lineRule="auto"/>
        <w:ind w:left="237" w:right="614" w:firstLine="851"/>
        <w:jc w:val="both"/>
      </w:pPr>
      <w:r>
        <w:rPr>
          <w:noProof/>
        </w:rPr>
        <w:drawing>
          <wp:anchor distT="0" distB="0" distL="0" distR="0" simplePos="0" relativeHeight="251399680" behindDoc="1" locked="0" layoutInCell="1" allowOverlap="1" wp14:anchorId="51DEA6A9" wp14:editId="51DEA6AA">
            <wp:simplePos x="0" y="0"/>
            <wp:positionH relativeFrom="page">
              <wp:posOffset>902208</wp:posOffset>
            </wp:positionH>
            <wp:positionV relativeFrom="paragraph">
              <wp:posOffset>76150</wp:posOffset>
            </wp:positionV>
            <wp:extent cx="262127" cy="106679"/>
            <wp:effectExtent l="0" t="0" r="0" b="0"/>
            <wp:wrapNone/>
            <wp:docPr id="1559" name="image8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 name="image807.png"/>
                    <pic:cNvPicPr/>
                  </pic:nvPicPr>
                  <pic:blipFill>
                    <a:blip r:embed="rId1060" cstate="print"/>
                    <a:stretch>
                      <a:fillRect/>
                    </a:stretch>
                  </pic:blipFill>
                  <pic:spPr>
                    <a:xfrm>
                      <a:off x="0" y="0"/>
                      <a:ext cx="262127" cy="106679"/>
                    </a:xfrm>
                    <a:prstGeom prst="rect">
                      <a:avLst/>
                    </a:prstGeom>
                  </pic:spPr>
                </pic:pic>
              </a:graphicData>
            </a:graphic>
          </wp:anchor>
        </w:drawing>
      </w:r>
      <w:r>
        <w:t>This requires panels to have before them, at the time of initiation, the s</w:t>
      </w:r>
      <w:r>
        <w:t>ame type of evidence</w:t>
      </w:r>
      <w:r>
        <w:rPr>
          <w:spacing w:val="-10"/>
        </w:rPr>
        <w:t xml:space="preserve"> </w:t>
      </w:r>
      <w:r>
        <w:t>of</w:t>
      </w:r>
      <w:r>
        <w:rPr>
          <w:spacing w:val="-10"/>
        </w:rPr>
        <w:t xml:space="preserve"> </w:t>
      </w:r>
      <w:r>
        <w:t>injury</w:t>
      </w:r>
      <w:r>
        <w:rPr>
          <w:spacing w:val="-9"/>
        </w:rPr>
        <w:t xml:space="preserve"> </w:t>
      </w:r>
      <w:r>
        <w:t>and</w:t>
      </w:r>
      <w:r>
        <w:rPr>
          <w:spacing w:val="-10"/>
        </w:rPr>
        <w:t xml:space="preserve"> </w:t>
      </w:r>
      <w:r>
        <w:t>causation</w:t>
      </w:r>
      <w:r>
        <w:rPr>
          <w:spacing w:val="-10"/>
        </w:rPr>
        <w:t xml:space="preserve"> </w:t>
      </w:r>
      <w:r>
        <w:t>as</w:t>
      </w:r>
      <w:r>
        <w:rPr>
          <w:spacing w:val="-10"/>
        </w:rPr>
        <w:t xml:space="preserve"> </w:t>
      </w:r>
      <w:r>
        <w:t>defined</w:t>
      </w:r>
      <w:r>
        <w:rPr>
          <w:spacing w:val="-9"/>
        </w:rPr>
        <w:t xml:space="preserve"> </w:t>
      </w:r>
      <w:r>
        <w:t>in</w:t>
      </w:r>
      <w:r>
        <w:rPr>
          <w:spacing w:val="-10"/>
        </w:rPr>
        <w:t xml:space="preserve"> </w:t>
      </w:r>
      <w:r>
        <w:t>Article</w:t>
      </w:r>
      <w:r>
        <w:rPr>
          <w:spacing w:val="-10"/>
        </w:rPr>
        <w:t xml:space="preserve"> </w:t>
      </w:r>
      <w:r>
        <w:t>3,</w:t>
      </w:r>
      <w:r>
        <w:rPr>
          <w:spacing w:val="-10"/>
        </w:rPr>
        <w:t xml:space="preserve"> </w:t>
      </w:r>
      <w:r>
        <w:t>including</w:t>
      </w:r>
      <w:r>
        <w:rPr>
          <w:spacing w:val="-9"/>
        </w:rPr>
        <w:t xml:space="preserve"> </w:t>
      </w:r>
      <w:r>
        <w:t>as</w:t>
      </w:r>
      <w:r>
        <w:rPr>
          <w:spacing w:val="-10"/>
        </w:rPr>
        <w:t xml:space="preserve"> </w:t>
      </w:r>
      <w:r>
        <w:t>to</w:t>
      </w:r>
      <w:r>
        <w:rPr>
          <w:spacing w:val="-9"/>
        </w:rPr>
        <w:t xml:space="preserve"> </w:t>
      </w:r>
      <w:r>
        <w:t>the</w:t>
      </w:r>
      <w:r>
        <w:rPr>
          <w:spacing w:val="-7"/>
        </w:rPr>
        <w:t xml:space="preserve"> </w:t>
      </w:r>
      <w:r>
        <w:t>volume</w:t>
      </w:r>
      <w:r>
        <w:rPr>
          <w:spacing w:val="-10"/>
        </w:rPr>
        <w:t xml:space="preserve"> </w:t>
      </w:r>
      <w:r>
        <w:t>of</w:t>
      </w:r>
      <w:r>
        <w:rPr>
          <w:spacing w:val="-10"/>
        </w:rPr>
        <w:t xml:space="preserve"> </w:t>
      </w:r>
      <w:r>
        <w:t>allegedly dumped imports, sufficient to justify the initiation of an investigation.</w:t>
      </w:r>
      <w:r>
        <w:rPr>
          <w:vertAlign w:val="superscript"/>
        </w:rPr>
        <w:t>950</w:t>
      </w:r>
      <w:r>
        <w:t xml:space="preserve"> There was no such evidence before MOFCOM.</w:t>
      </w:r>
    </w:p>
    <w:p w14:paraId="51DE9580" w14:textId="77777777" w:rsidR="0010369C" w:rsidRDefault="0010369C">
      <w:pPr>
        <w:pStyle w:val="BodyText"/>
        <w:rPr>
          <w:sz w:val="20"/>
        </w:rPr>
      </w:pPr>
    </w:p>
    <w:p w14:paraId="51DE9581" w14:textId="77777777" w:rsidR="0010369C" w:rsidRDefault="0010369C">
      <w:pPr>
        <w:pStyle w:val="BodyText"/>
        <w:rPr>
          <w:sz w:val="20"/>
        </w:rPr>
      </w:pPr>
    </w:p>
    <w:p w14:paraId="51DE9582" w14:textId="77777777" w:rsidR="0010369C" w:rsidRDefault="0010369C">
      <w:pPr>
        <w:pStyle w:val="BodyText"/>
        <w:rPr>
          <w:sz w:val="20"/>
        </w:rPr>
      </w:pPr>
    </w:p>
    <w:p w14:paraId="51DE9583" w14:textId="77777777" w:rsidR="0010369C" w:rsidRDefault="0010369C">
      <w:pPr>
        <w:pStyle w:val="BodyText"/>
        <w:rPr>
          <w:sz w:val="20"/>
        </w:rPr>
      </w:pPr>
    </w:p>
    <w:p w14:paraId="51DE9584" w14:textId="77777777" w:rsidR="0010369C" w:rsidRDefault="0010369C">
      <w:pPr>
        <w:pStyle w:val="BodyText"/>
        <w:rPr>
          <w:sz w:val="20"/>
        </w:rPr>
      </w:pPr>
    </w:p>
    <w:p w14:paraId="51DE9585" w14:textId="77777777" w:rsidR="0010369C" w:rsidRDefault="0010369C">
      <w:pPr>
        <w:pStyle w:val="BodyText"/>
        <w:rPr>
          <w:sz w:val="20"/>
        </w:rPr>
      </w:pPr>
    </w:p>
    <w:p w14:paraId="51DE9586" w14:textId="77777777" w:rsidR="0010369C" w:rsidRDefault="0010369C">
      <w:pPr>
        <w:pStyle w:val="BodyText"/>
        <w:rPr>
          <w:sz w:val="20"/>
        </w:rPr>
      </w:pPr>
    </w:p>
    <w:p w14:paraId="51DE9587" w14:textId="77777777" w:rsidR="0010369C" w:rsidRDefault="008E43AE">
      <w:pPr>
        <w:pStyle w:val="BodyText"/>
        <w:spacing w:before="2"/>
        <w:rPr>
          <w:sz w:val="27"/>
        </w:rPr>
      </w:pPr>
      <w:r>
        <w:pict w14:anchorId="51DEA6AB">
          <v:rect id="docshape1259" o:spid="_x0000_s1168" style="position:absolute;margin-left:70.9pt;margin-top:17.8pt;width:2in;height:.8pt;z-index:-250747392;mso-wrap-distance-left:0;mso-wrap-distance-right:0;mso-position-horizontal-relative:page" fillcolor="black" stroked="f">
            <w10:wrap type="topAndBottom" anchorx="page"/>
          </v:rect>
        </w:pict>
      </w:r>
    </w:p>
    <w:p w14:paraId="51DE9588" w14:textId="77777777" w:rsidR="0010369C" w:rsidRDefault="008E43AE">
      <w:pPr>
        <w:spacing w:before="109"/>
        <w:ind w:left="237" w:right="614" w:firstLine="1"/>
        <w:rPr>
          <w:sz w:val="18"/>
        </w:rPr>
      </w:pPr>
      <w:r>
        <w:rPr>
          <w:sz w:val="18"/>
          <w:vertAlign w:val="superscript"/>
        </w:rPr>
        <w:t>950</w:t>
      </w:r>
      <w:r>
        <w:rPr>
          <w:spacing w:val="-1"/>
          <w:sz w:val="18"/>
        </w:rPr>
        <w:t xml:space="preserve"> </w:t>
      </w:r>
      <w:r>
        <w:rPr>
          <w:sz w:val="18"/>
        </w:rPr>
        <w:t>Panel</w:t>
      </w:r>
      <w:r>
        <w:rPr>
          <w:spacing w:val="-2"/>
          <w:sz w:val="18"/>
        </w:rPr>
        <w:t xml:space="preserve"> </w:t>
      </w:r>
      <w:r>
        <w:rPr>
          <w:sz w:val="18"/>
        </w:rPr>
        <w:t>Reports,</w:t>
      </w:r>
      <w:r>
        <w:rPr>
          <w:spacing w:val="-2"/>
          <w:sz w:val="18"/>
        </w:rPr>
        <w:t xml:space="preserve"> </w:t>
      </w:r>
      <w:r>
        <w:rPr>
          <w:i/>
          <w:sz w:val="18"/>
        </w:rPr>
        <w:t>Guatemala</w:t>
      </w:r>
      <w:r>
        <w:rPr>
          <w:i/>
          <w:spacing w:val="-2"/>
          <w:sz w:val="18"/>
        </w:rPr>
        <w:t xml:space="preserve"> </w:t>
      </w:r>
      <w:r>
        <w:rPr>
          <w:i/>
          <w:sz w:val="18"/>
        </w:rPr>
        <w:t>–</w:t>
      </w:r>
      <w:r>
        <w:rPr>
          <w:i/>
          <w:spacing w:val="-1"/>
          <w:sz w:val="18"/>
        </w:rPr>
        <w:t xml:space="preserve"> </w:t>
      </w:r>
      <w:r>
        <w:rPr>
          <w:i/>
          <w:sz w:val="18"/>
        </w:rPr>
        <w:t>Cement</w:t>
      </w:r>
      <w:r>
        <w:rPr>
          <w:i/>
          <w:spacing w:val="-1"/>
          <w:sz w:val="18"/>
        </w:rPr>
        <w:t xml:space="preserve"> </w:t>
      </w:r>
      <w:r>
        <w:rPr>
          <w:i/>
          <w:sz w:val="18"/>
        </w:rPr>
        <w:t>II</w:t>
      </w:r>
      <w:r>
        <w:rPr>
          <w:sz w:val="18"/>
        </w:rPr>
        <w:t>,</w:t>
      </w:r>
      <w:r>
        <w:rPr>
          <w:spacing w:val="-2"/>
          <w:sz w:val="18"/>
        </w:rPr>
        <w:t xml:space="preserve"> </w:t>
      </w:r>
      <w:r>
        <w:rPr>
          <w:sz w:val="18"/>
        </w:rPr>
        <w:t>paras.</w:t>
      </w:r>
      <w:r>
        <w:rPr>
          <w:spacing w:val="-2"/>
          <w:sz w:val="18"/>
        </w:rPr>
        <w:t xml:space="preserve"> </w:t>
      </w:r>
      <w:hyperlink r:id="rId1061">
        <w:r>
          <w:rPr>
            <w:sz w:val="18"/>
          </w:rPr>
          <w:t>8.35‐8.36</w:t>
        </w:r>
        <w:r>
          <w:rPr>
            <w:spacing w:val="-1"/>
            <w:sz w:val="18"/>
          </w:rPr>
          <w:t xml:space="preserve"> </w:t>
        </w:r>
      </w:hyperlink>
      <w:r>
        <w:rPr>
          <w:sz w:val="18"/>
        </w:rPr>
        <w:t>and</w:t>
      </w:r>
      <w:r>
        <w:rPr>
          <w:spacing w:val="-1"/>
          <w:sz w:val="18"/>
        </w:rPr>
        <w:t xml:space="preserve"> </w:t>
      </w:r>
      <w:r>
        <w:rPr>
          <w:sz w:val="18"/>
        </w:rPr>
        <w:t>para.</w:t>
      </w:r>
      <w:r>
        <w:rPr>
          <w:spacing w:val="-1"/>
          <w:sz w:val="18"/>
        </w:rPr>
        <w:t xml:space="preserve"> </w:t>
      </w:r>
      <w:r>
        <w:rPr>
          <w:sz w:val="18"/>
        </w:rPr>
        <w:t>8.45,</w:t>
      </w:r>
      <w:r>
        <w:rPr>
          <w:spacing w:val="-2"/>
          <w:sz w:val="18"/>
        </w:rPr>
        <w:t xml:space="preserve"> </w:t>
      </w:r>
      <w:r>
        <w:rPr>
          <w:i/>
          <w:sz w:val="18"/>
        </w:rPr>
        <w:t>Mexico</w:t>
      </w:r>
      <w:r>
        <w:rPr>
          <w:i/>
          <w:spacing w:val="-1"/>
          <w:sz w:val="18"/>
        </w:rPr>
        <w:t xml:space="preserve"> </w:t>
      </w:r>
      <w:r>
        <w:rPr>
          <w:i/>
          <w:sz w:val="18"/>
        </w:rPr>
        <w:t>–</w:t>
      </w:r>
      <w:r>
        <w:rPr>
          <w:i/>
          <w:spacing w:val="-1"/>
          <w:sz w:val="18"/>
        </w:rPr>
        <w:t xml:space="preserve"> </w:t>
      </w:r>
      <w:r>
        <w:rPr>
          <w:i/>
          <w:sz w:val="18"/>
        </w:rPr>
        <w:t>Steel</w:t>
      </w:r>
      <w:r>
        <w:rPr>
          <w:i/>
          <w:spacing w:val="-2"/>
          <w:sz w:val="18"/>
        </w:rPr>
        <w:t xml:space="preserve"> </w:t>
      </w:r>
      <w:r>
        <w:rPr>
          <w:i/>
          <w:sz w:val="18"/>
        </w:rPr>
        <w:t>Pipes</w:t>
      </w:r>
      <w:r>
        <w:rPr>
          <w:i/>
          <w:spacing w:val="-2"/>
          <w:sz w:val="18"/>
        </w:rPr>
        <w:t xml:space="preserve"> </w:t>
      </w:r>
      <w:r>
        <w:rPr>
          <w:i/>
          <w:sz w:val="18"/>
        </w:rPr>
        <w:t>and</w:t>
      </w:r>
      <w:r>
        <w:rPr>
          <w:i/>
          <w:spacing w:val="-1"/>
          <w:sz w:val="18"/>
        </w:rPr>
        <w:t xml:space="preserve"> </w:t>
      </w:r>
      <w:r>
        <w:rPr>
          <w:i/>
          <w:sz w:val="18"/>
        </w:rPr>
        <w:t>Tubes</w:t>
      </w:r>
      <w:r>
        <w:rPr>
          <w:sz w:val="18"/>
        </w:rPr>
        <w:t>,</w:t>
      </w:r>
      <w:r>
        <w:rPr>
          <w:spacing w:val="-2"/>
          <w:sz w:val="18"/>
        </w:rPr>
        <w:t xml:space="preserve"> </w:t>
      </w:r>
      <w:r>
        <w:rPr>
          <w:sz w:val="18"/>
        </w:rPr>
        <w:t>paras.</w:t>
      </w:r>
      <w:r>
        <w:rPr>
          <w:spacing w:val="-1"/>
          <w:sz w:val="18"/>
        </w:rPr>
        <w:t xml:space="preserve"> </w:t>
      </w:r>
      <w:r>
        <w:rPr>
          <w:sz w:val="18"/>
        </w:rPr>
        <w:t>7.21,</w:t>
      </w:r>
      <w:r>
        <w:rPr>
          <w:spacing w:val="-2"/>
          <w:sz w:val="18"/>
        </w:rPr>
        <w:t xml:space="preserve"> </w:t>
      </w:r>
      <w:r>
        <w:rPr>
          <w:sz w:val="18"/>
        </w:rPr>
        <w:t xml:space="preserve">7.56, </w:t>
      </w:r>
      <w:hyperlink r:id="rId1062">
        <w:r>
          <w:rPr>
            <w:spacing w:val="-2"/>
            <w:sz w:val="18"/>
          </w:rPr>
          <w:t>7.59‐7.60</w:t>
        </w:r>
      </w:hyperlink>
      <w:r>
        <w:rPr>
          <w:spacing w:val="-2"/>
          <w:sz w:val="18"/>
        </w:rPr>
        <w:t>.</w:t>
      </w:r>
    </w:p>
    <w:p w14:paraId="51DE9589" w14:textId="77777777" w:rsidR="0010369C" w:rsidRDefault="0010369C">
      <w:pPr>
        <w:rPr>
          <w:sz w:val="18"/>
        </w:rPr>
        <w:sectPr w:rsidR="0010369C">
          <w:pgSz w:w="11910" w:h="16840"/>
          <w:pgMar w:top="880" w:right="800" w:bottom="980" w:left="1180" w:header="569" w:footer="788" w:gutter="0"/>
          <w:cols w:space="720"/>
        </w:sectPr>
      </w:pPr>
    </w:p>
    <w:p w14:paraId="51DE958A" w14:textId="77777777" w:rsidR="0010369C" w:rsidRDefault="008E43AE">
      <w:pPr>
        <w:tabs>
          <w:tab w:val="left" w:pos="6426"/>
        </w:tabs>
        <w:ind w:left="238"/>
        <w:rPr>
          <w:sz w:val="20"/>
        </w:rPr>
      </w:pPr>
      <w:r>
        <w:rPr>
          <w:i/>
          <w:sz w:val="20"/>
        </w:rPr>
        <w:lastRenderedPageBreak/>
        <w:t>China</w:t>
      </w:r>
      <w:r>
        <w:rPr>
          <w:i/>
          <w:spacing w:val="-5"/>
          <w:sz w:val="20"/>
        </w:rPr>
        <w:t xml:space="preserve"> </w:t>
      </w:r>
      <w:r>
        <w:rPr>
          <w:i/>
          <w:sz w:val="20"/>
        </w:rPr>
        <w:t>–</w:t>
      </w:r>
      <w:r>
        <w:rPr>
          <w:i/>
          <w:spacing w:val="-5"/>
          <w:sz w:val="20"/>
        </w:rPr>
        <w:t xml:space="preserve"> </w:t>
      </w:r>
      <w:r>
        <w:rPr>
          <w:i/>
          <w:sz w:val="20"/>
        </w:rPr>
        <w:t>Anti‐Dumping</w:t>
      </w:r>
      <w:r>
        <w:rPr>
          <w:i/>
          <w:spacing w:val="-4"/>
          <w:sz w:val="20"/>
        </w:rPr>
        <w:t xml:space="preserve"> </w:t>
      </w:r>
      <w:r>
        <w:rPr>
          <w:i/>
          <w:sz w:val="20"/>
        </w:rPr>
        <w:t>and</w:t>
      </w:r>
      <w:r>
        <w:rPr>
          <w:i/>
          <w:spacing w:val="-5"/>
          <w:sz w:val="20"/>
        </w:rPr>
        <w:t xml:space="preserve"> </w:t>
      </w:r>
      <w:r>
        <w:rPr>
          <w:i/>
          <w:sz w:val="20"/>
        </w:rPr>
        <w:t>Countervailing</w:t>
      </w:r>
      <w:r>
        <w:rPr>
          <w:i/>
          <w:spacing w:val="-5"/>
          <w:sz w:val="20"/>
        </w:rPr>
        <w:t xml:space="preserve"> </w:t>
      </w:r>
      <w:r>
        <w:rPr>
          <w:i/>
          <w:sz w:val="20"/>
        </w:rPr>
        <w:t>Duty</w:t>
      </w:r>
      <w:r>
        <w:rPr>
          <w:i/>
          <w:spacing w:val="-4"/>
          <w:sz w:val="20"/>
        </w:rPr>
        <w:t xml:space="preserve"> </w:t>
      </w:r>
      <w:r>
        <w:rPr>
          <w:i/>
          <w:spacing w:val="-2"/>
          <w:sz w:val="20"/>
        </w:rPr>
        <w:t>Measures</w:t>
      </w:r>
      <w:r>
        <w:rPr>
          <w:i/>
          <w:sz w:val="20"/>
        </w:rPr>
        <w:tab/>
      </w:r>
      <w:r>
        <w:rPr>
          <w:sz w:val="20"/>
        </w:rPr>
        <w:t>Australia's</w:t>
      </w:r>
      <w:r>
        <w:rPr>
          <w:spacing w:val="-7"/>
          <w:sz w:val="20"/>
        </w:rPr>
        <w:t xml:space="preserve"> </w:t>
      </w:r>
      <w:r>
        <w:rPr>
          <w:sz w:val="20"/>
        </w:rPr>
        <w:t>First</w:t>
      </w:r>
      <w:r>
        <w:rPr>
          <w:spacing w:val="-2"/>
          <w:sz w:val="20"/>
        </w:rPr>
        <w:t xml:space="preserve"> </w:t>
      </w:r>
      <w:r>
        <w:rPr>
          <w:sz w:val="20"/>
        </w:rPr>
        <w:t>Written</w:t>
      </w:r>
      <w:r>
        <w:rPr>
          <w:spacing w:val="-2"/>
          <w:sz w:val="20"/>
        </w:rPr>
        <w:t xml:space="preserve"> Submission</w:t>
      </w:r>
    </w:p>
    <w:p w14:paraId="51DE958B" w14:textId="77777777" w:rsidR="0010369C" w:rsidRDefault="008E43AE">
      <w:pPr>
        <w:tabs>
          <w:tab w:val="left" w:pos="8228"/>
        </w:tabs>
        <w:spacing w:before="1"/>
        <w:ind w:left="239"/>
        <w:rPr>
          <w:sz w:val="20"/>
        </w:rPr>
      </w:pPr>
      <w:r>
        <w:rPr>
          <w:i/>
          <w:sz w:val="20"/>
        </w:rPr>
        <w:t>on</w:t>
      </w:r>
      <w:r>
        <w:rPr>
          <w:i/>
          <w:spacing w:val="-1"/>
          <w:sz w:val="20"/>
        </w:rPr>
        <w:t xml:space="preserve"> </w:t>
      </w:r>
      <w:r>
        <w:rPr>
          <w:i/>
          <w:sz w:val="20"/>
        </w:rPr>
        <w:t>Wine</w:t>
      </w:r>
      <w:r>
        <w:rPr>
          <w:i/>
          <w:spacing w:val="-1"/>
          <w:sz w:val="20"/>
        </w:rPr>
        <w:t xml:space="preserve"> </w:t>
      </w:r>
      <w:r>
        <w:rPr>
          <w:i/>
          <w:sz w:val="20"/>
        </w:rPr>
        <w:t>from</w:t>
      </w:r>
      <w:r>
        <w:rPr>
          <w:i/>
          <w:spacing w:val="-3"/>
          <w:sz w:val="20"/>
        </w:rPr>
        <w:t xml:space="preserve"> </w:t>
      </w:r>
      <w:r>
        <w:rPr>
          <w:i/>
          <w:sz w:val="20"/>
        </w:rPr>
        <w:t>Australia</w:t>
      </w:r>
      <w:r>
        <w:rPr>
          <w:i/>
          <w:spacing w:val="-1"/>
          <w:sz w:val="20"/>
        </w:rPr>
        <w:t xml:space="preserve"> </w:t>
      </w:r>
      <w:r>
        <w:rPr>
          <w:spacing w:val="-2"/>
          <w:sz w:val="20"/>
        </w:rPr>
        <w:t>(DS602)</w:t>
      </w:r>
      <w:r>
        <w:rPr>
          <w:sz w:val="20"/>
        </w:rPr>
        <w:tab/>
        <w:t>29</w:t>
      </w:r>
      <w:r>
        <w:rPr>
          <w:spacing w:val="-1"/>
          <w:sz w:val="20"/>
        </w:rPr>
        <w:t xml:space="preserve"> </w:t>
      </w:r>
      <w:r>
        <w:rPr>
          <w:sz w:val="20"/>
        </w:rPr>
        <w:t>April</w:t>
      </w:r>
      <w:r>
        <w:rPr>
          <w:spacing w:val="-2"/>
          <w:sz w:val="20"/>
        </w:rPr>
        <w:t xml:space="preserve"> </w:t>
      </w:r>
      <w:r>
        <w:rPr>
          <w:spacing w:val="-4"/>
          <w:sz w:val="20"/>
        </w:rPr>
        <w:t>2022</w:t>
      </w:r>
    </w:p>
    <w:p w14:paraId="51DE958C" w14:textId="77777777" w:rsidR="0010369C" w:rsidRDefault="008E43AE">
      <w:pPr>
        <w:pStyle w:val="ListParagraph"/>
        <w:numPr>
          <w:ilvl w:val="2"/>
          <w:numId w:val="30"/>
        </w:numPr>
        <w:tabs>
          <w:tab w:val="left" w:pos="3642"/>
          <w:tab w:val="left" w:pos="3643"/>
        </w:tabs>
        <w:spacing w:before="35"/>
        <w:ind w:hanging="853"/>
        <w:rPr>
          <w:sz w:val="24"/>
        </w:rPr>
      </w:pPr>
      <w:r>
        <w:rPr>
          <w:spacing w:val="-2"/>
          <w:sz w:val="24"/>
          <w:u w:val="single"/>
        </w:rPr>
        <w:t>Injury</w:t>
      </w:r>
    </w:p>
    <w:p w14:paraId="51DE958D" w14:textId="77777777" w:rsidR="0010369C" w:rsidRDefault="0010369C">
      <w:pPr>
        <w:pStyle w:val="BodyText"/>
        <w:spacing w:before="9"/>
        <w:rPr>
          <w:sz w:val="20"/>
        </w:rPr>
      </w:pPr>
    </w:p>
    <w:p w14:paraId="51DE958E" w14:textId="77777777" w:rsidR="0010369C" w:rsidRDefault="008E43AE">
      <w:pPr>
        <w:pStyle w:val="BodyText"/>
        <w:spacing w:before="52" w:line="360" w:lineRule="auto"/>
        <w:ind w:left="237" w:right="615" w:firstLine="851"/>
        <w:jc w:val="both"/>
      </w:pPr>
      <w:r>
        <w:rPr>
          <w:noProof/>
        </w:rPr>
        <w:drawing>
          <wp:anchor distT="0" distB="0" distL="0" distR="0" simplePos="0" relativeHeight="251400704" behindDoc="1" locked="0" layoutInCell="1" allowOverlap="1" wp14:anchorId="51DEA6AC" wp14:editId="51DEA6AD">
            <wp:simplePos x="0" y="0"/>
            <wp:positionH relativeFrom="page">
              <wp:posOffset>902208</wp:posOffset>
            </wp:positionH>
            <wp:positionV relativeFrom="paragraph">
              <wp:posOffset>81357</wp:posOffset>
            </wp:positionV>
            <wp:extent cx="262127" cy="103631"/>
            <wp:effectExtent l="0" t="0" r="0" b="0"/>
            <wp:wrapNone/>
            <wp:docPr id="1561" name="image8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 name="image808.png"/>
                    <pic:cNvPicPr/>
                  </pic:nvPicPr>
                  <pic:blipFill>
                    <a:blip r:embed="rId1063" cstate="print"/>
                    <a:stretch>
                      <a:fillRect/>
                    </a:stretch>
                  </pic:blipFill>
                  <pic:spPr>
                    <a:xfrm>
                      <a:off x="0" y="0"/>
                      <a:ext cx="262127" cy="103631"/>
                    </a:xfrm>
                    <a:prstGeom prst="rect">
                      <a:avLst/>
                    </a:prstGeom>
                  </pic:spPr>
                </pic:pic>
              </a:graphicData>
            </a:graphic>
          </wp:anchor>
        </w:drawing>
      </w:r>
      <w:r>
        <w:t>CADA's application contained no actual evidence of injury suffered by the Chinese domestic industry.</w:t>
      </w:r>
      <w:r>
        <w:rPr>
          <w:vertAlign w:val="superscript"/>
        </w:rPr>
        <w:t>951</w:t>
      </w:r>
      <w:r>
        <w:t xml:space="preserve"> MOFCOM did not make any inquiries or seek to corroborate the information provid</w:t>
      </w:r>
      <w:r>
        <w:t>ed by the applicant. MOFCOM's decision to initiate was based solely on it acceptance of the accuracy and adequacy of the evidence put forward by CADA.</w:t>
      </w:r>
      <w:r>
        <w:rPr>
          <w:vertAlign w:val="superscript"/>
        </w:rPr>
        <w:t>952</w:t>
      </w:r>
    </w:p>
    <w:p w14:paraId="51DE958F" w14:textId="77777777" w:rsidR="0010369C" w:rsidRDefault="0010369C">
      <w:pPr>
        <w:pStyle w:val="BodyText"/>
        <w:spacing w:before="10"/>
        <w:rPr>
          <w:sz w:val="8"/>
        </w:rPr>
      </w:pPr>
    </w:p>
    <w:p w14:paraId="51DE9590" w14:textId="77777777" w:rsidR="0010369C" w:rsidRDefault="008E43AE">
      <w:pPr>
        <w:pStyle w:val="BodyText"/>
        <w:spacing w:before="52" w:line="362" w:lineRule="auto"/>
        <w:ind w:left="237" w:right="614" w:firstLine="851"/>
        <w:jc w:val="both"/>
      </w:pPr>
      <w:r>
        <w:rPr>
          <w:noProof/>
        </w:rPr>
        <w:drawing>
          <wp:anchor distT="0" distB="0" distL="0" distR="0" simplePos="0" relativeHeight="251401728" behindDoc="1" locked="0" layoutInCell="1" allowOverlap="1" wp14:anchorId="51DEA6AE" wp14:editId="51DEA6AF">
            <wp:simplePos x="0" y="0"/>
            <wp:positionH relativeFrom="page">
              <wp:posOffset>902208</wp:posOffset>
            </wp:positionH>
            <wp:positionV relativeFrom="paragraph">
              <wp:posOffset>76786</wp:posOffset>
            </wp:positionV>
            <wp:extent cx="262127" cy="106679"/>
            <wp:effectExtent l="0" t="0" r="0" b="0"/>
            <wp:wrapNone/>
            <wp:docPr id="1563" name="image8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 name="image809.png"/>
                    <pic:cNvPicPr/>
                  </pic:nvPicPr>
                  <pic:blipFill>
                    <a:blip r:embed="rId1064" cstate="print"/>
                    <a:stretch>
                      <a:fillRect/>
                    </a:stretch>
                  </pic:blipFill>
                  <pic:spPr>
                    <a:xfrm>
                      <a:off x="0" y="0"/>
                      <a:ext cx="262127" cy="106679"/>
                    </a:xfrm>
                    <a:prstGeom prst="rect">
                      <a:avLst/>
                    </a:prstGeom>
                  </pic:spPr>
                </pic:pic>
              </a:graphicData>
            </a:graphic>
          </wp:anchor>
        </w:drawing>
      </w:r>
      <w:r>
        <w:t>CADA's allegations of injury were characterised by three factors that fundamentally undermined their reliability:</w:t>
      </w:r>
    </w:p>
    <w:p w14:paraId="51DE9591" w14:textId="77777777" w:rsidR="0010369C" w:rsidRDefault="008E43AE">
      <w:pPr>
        <w:pStyle w:val="ListParagraph"/>
        <w:numPr>
          <w:ilvl w:val="0"/>
          <w:numId w:val="29"/>
        </w:numPr>
        <w:tabs>
          <w:tab w:val="left" w:pos="1939"/>
          <w:tab w:val="left" w:pos="1940"/>
        </w:tabs>
        <w:spacing w:before="155" w:line="355" w:lineRule="auto"/>
        <w:ind w:right="613"/>
        <w:rPr>
          <w:sz w:val="24"/>
        </w:rPr>
      </w:pPr>
      <w:r>
        <w:rPr>
          <w:sz w:val="24"/>
        </w:rPr>
        <w:t>the data was selectively presented, with arbitrary adjustments made to it, or comparisons were made between non‐comparable data sets;</w:t>
      </w:r>
    </w:p>
    <w:p w14:paraId="51DE9592" w14:textId="77777777" w:rsidR="0010369C" w:rsidRDefault="008E43AE">
      <w:pPr>
        <w:pStyle w:val="ListParagraph"/>
        <w:numPr>
          <w:ilvl w:val="0"/>
          <w:numId w:val="29"/>
        </w:numPr>
        <w:tabs>
          <w:tab w:val="left" w:pos="1939"/>
          <w:tab w:val="left" w:pos="1940"/>
        </w:tabs>
        <w:spacing w:before="131" w:line="355" w:lineRule="auto"/>
        <w:ind w:right="614"/>
        <w:rPr>
          <w:sz w:val="24"/>
        </w:rPr>
      </w:pPr>
      <w:r>
        <w:rPr>
          <w:sz w:val="24"/>
        </w:rPr>
        <w:t>even accepting the data on face value, they generally did not demonstrate the claims made by CADA; and</w:t>
      </w:r>
    </w:p>
    <w:p w14:paraId="51DE9593" w14:textId="77777777" w:rsidR="0010369C" w:rsidRDefault="008E43AE">
      <w:pPr>
        <w:pStyle w:val="ListParagraph"/>
        <w:numPr>
          <w:ilvl w:val="0"/>
          <w:numId w:val="29"/>
        </w:numPr>
        <w:tabs>
          <w:tab w:val="left" w:pos="1940"/>
          <w:tab w:val="left" w:pos="1941"/>
        </w:tabs>
        <w:spacing w:before="131" w:line="357" w:lineRule="auto"/>
        <w:ind w:right="613" w:hanging="850"/>
        <w:rPr>
          <w:sz w:val="24"/>
        </w:rPr>
      </w:pPr>
      <w:r>
        <w:rPr>
          <w:sz w:val="24"/>
        </w:rPr>
        <w:t>even if CADA's clai</w:t>
      </w:r>
      <w:r>
        <w:rPr>
          <w:sz w:val="24"/>
        </w:rPr>
        <w:t>ms had been established on the basis of the data, there was no attempt to show that the injury was caused by the import of Australian wine [as discussed below].</w:t>
      </w:r>
      <w:r>
        <w:rPr>
          <w:sz w:val="24"/>
          <w:vertAlign w:val="superscript"/>
        </w:rPr>
        <w:t>953</w:t>
      </w:r>
    </w:p>
    <w:p w14:paraId="51DE9594" w14:textId="77777777" w:rsidR="0010369C" w:rsidRDefault="008E43AE">
      <w:pPr>
        <w:pStyle w:val="BodyText"/>
        <w:spacing w:before="129" w:line="360" w:lineRule="auto"/>
        <w:ind w:left="238" w:right="613" w:firstLine="851"/>
        <w:jc w:val="both"/>
      </w:pPr>
      <w:r>
        <w:rPr>
          <w:noProof/>
        </w:rPr>
        <w:drawing>
          <wp:anchor distT="0" distB="0" distL="0" distR="0" simplePos="0" relativeHeight="251402752" behindDoc="1" locked="0" layoutInCell="1" allowOverlap="1" wp14:anchorId="51DEA6B0" wp14:editId="51DEA6B1">
            <wp:simplePos x="0" y="0"/>
            <wp:positionH relativeFrom="page">
              <wp:posOffset>902208</wp:posOffset>
            </wp:positionH>
            <wp:positionV relativeFrom="paragraph">
              <wp:posOffset>130252</wp:posOffset>
            </wp:positionV>
            <wp:extent cx="262127" cy="103631"/>
            <wp:effectExtent l="0" t="0" r="0" b="0"/>
            <wp:wrapNone/>
            <wp:docPr id="1565" name="image8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 name="image810.png"/>
                    <pic:cNvPicPr/>
                  </pic:nvPicPr>
                  <pic:blipFill>
                    <a:blip r:embed="rId1065" cstate="print"/>
                    <a:stretch>
                      <a:fillRect/>
                    </a:stretch>
                  </pic:blipFill>
                  <pic:spPr>
                    <a:xfrm>
                      <a:off x="0" y="0"/>
                      <a:ext cx="262127" cy="103631"/>
                    </a:xfrm>
                    <a:prstGeom prst="rect">
                      <a:avLst/>
                    </a:prstGeom>
                  </pic:spPr>
                </pic:pic>
              </a:graphicData>
            </a:graphic>
          </wp:anchor>
        </w:drawing>
      </w:r>
      <w:r>
        <w:t>These</w:t>
      </w:r>
      <w:r>
        <w:rPr>
          <w:spacing w:val="-9"/>
        </w:rPr>
        <w:t xml:space="preserve"> </w:t>
      </w:r>
      <w:r>
        <w:t>errors</w:t>
      </w:r>
      <w:r>
        <w:rPr>
          <w:spacing w:val="-11"/>
        </w:rPr>
        <w:t xml:space="preserve"> </w:t>
      </w:r>
      <w:r>
        <w:t>were</w:t>
      </w:r>
      <w:r>
        <w:rPr>
          <w:spacing w:val="-8"/>
        </w:rPr>
        <w:t xml:space="preserve"> </w:t>
      </w:r>
      <w:r>
        <w:t>made</w:t>
      </w:r>
      <w:r>
        <w:rPr>
          <w:spacing w:val="-9"/>
        </w:rPr>
        <w:t xml:space="preserve"> </w:t>
      </w:r>
      <w:r>
        <w:t>with</w:t>
      </w:r>
      <w:r>
        <w:rPr>
          <w:spacing w:val="-9"/>
        </w:rPr>
        <w:t xml:space="preserve"> </w:t>
      </w:r>
      <w:r>
        <w:t>respect</w:t>
      </w:r>
      <w:r>
        <w:rPr>
          <w:spacing w:val="-11"/>
        </w:rPr>
        <w:t xml:space="preserve"> </w:t>
      </w:r>
      <w:r>
        <w:t>to</w:t>
      </w:r>
      <w:r>
        <w:rPr>
          <w:spacing w:val="-9"/>
        </w:rPr>
        <w:t xml:space="preserve"> </w:t>
      </w:r>
      <w:r>
        <w:t>each</w:t>
      </w:r>
      <w:r>
        <w:rPr>
          <w:spacing w:val="-10"/>
        </w:rPr>
        <w:t xml:space="preserve"> </w:t>
      </w:r>
      <w:r>
        <w:t>allegation</w:t>
      </w:r>
      <w:r>
        <w:rPr>
          <w:spacing w:val="-9"/>
        </w:rPr>
        <w:t xml:space="preserve"> </w:t>
      </w:r>
      <w:r>
        <w:t>of</w:t>
      </w:r>
      <w:r>
        <w:rPr>
          <w:spacing w:val="-10"/>
        </w:rPr>
        <w:t xml:space="preserve"> </w:t>
      </w:r>
      <w:r>
        <w:t>injury</w:t>
      </w:r>
      <w:r>
        <w:rPr>
          <w:spacing w:val="-8"/>
        </w:rPr>
        <w:t xml:space="preserve"> </w:t>
      </w:r>
      <w:r>
        <w:t>presented</w:t>
      </w:r>
      <w:r>
        <w:rPr>
          <w:spacing w:val="-9"/>
        </w:rPr>
        <w:t xml:space="preserve"> </w:t>
      </w:r>
      <w:r>
        <w:t>by</w:t>
      </w:r>
      <w:r>
        <w:rPr>
          <w:spacing w:val="-9"/>
        </w:rPr>
        <w:t xml:space="preserve"> </w:t>
      </w:r>
      <w:r>
        <w:t xml:space="preserve">CADA, </w:t>
      </w:r>
      <w:r>
        <w:rPr>
          <w:spacing w:val="-2"/>
        </w:rPr>
        <w:t>includi</w:t>
      </w:r>
      <w:r>
        <w:rPr>
          <w:spacing w:val="-2"/>
        </w:rPr>
        <w:t>ng:</w:t>
      </w:r>
    </w:p>
    <w:p w14:paraId="51DE9595" w14:textId="77777777" w:rsidR="0010369C" w:rsidRDefault="008E43AE">
      <w:pPr>
        <w:pStyle w:val="ListParagraph"/>
        <w:numPr>
          <w:ilvl w:val="0"/>
          <w:numId w:val="29"/>
        </w:numPr>
        <w:tabs>
          <w:tab w:val="left" w:pos="1939"/>
          <w:tab w:val="left" w:pos="1940"/>
        </w:tabs>
        <w:spacing w:before="159" w:line="357" w:lineRule="auto"/>
        <w:ind w:left="1940" w:right="614" w:hanging="852"/>
        <w:rPr>
          <w:sz w:val="24"/>
        </w:rPr>
      </w:pPr>
      <w:r>
        <w:rPr>
          <w:sz w:val="24"/>
        </w:rPr>
        <w:t>The</w:t>
      </w:r>
      <w:r>
        <w:rPr>
          <w:spacing w:val="-4"/>
          <w:sz w:val="24"/>
        </w:rPr>
        <w:t xml:space="preserve"> </w:t>
      </w:r>
      <w:r>
        <w:rPr>
          <w:sz w:val="24"/>
        </w:rPr>
        <w:t>allegation</w:t>
      </w:r>
      <w:r>
        <w:rPr>
          <w:spacing w:val="-5"/>
          <w:sz w:val="24"/>
        </w:rPr>
        <w:t xml:space="preserve"> </w:t>
      </w:r>
      <w:r>
        <w:rPr>
          <w:sz w:val="24"/>
        </w:rPr>
        <w:t>that</w:t>
      </w:r>
      <w:r>
        <w:rPr>
          <w:spacing w:val="-5"/>
          <w:sz w:val="24"/>
        </w:rPr>
        <w:t xml:space="preserve"> </w:t>
      </w:r>
      <w:r>
        <w:rPr>
          <w:sz w:val="24"/>
        </w:rPr>
        <w:t>the</w:t>
      </w:r>
      <w:r>
        <w:rPr>
          <w:spacing w:val="-4"/>
          <w:sz w:val="24"/>
        </w:rPr>
        <w:t xml:space="preserve"> </w:t>
      </w:r>
      <w:r>
        <w:rPr>
          <w:sz w:val="24"/>
        </w:rPr>
        <w:t>"price</w:t>
      </w:r>
      <w:r>
        <w:rPr>
          <w:spacing w:val="-5"/>
          <w:sz w:val="24"/>
        </w:rPr>
        <w:t xml:space="preserve"> </w:t>
      </w:r>
      <w:r>
        <w:rPr>
          <w:sz w:val="24"/>
        </w:rPr>
        <w:t>reduction</w:t>
      </w:r>
      <w:r>
        <w:rPr>
          <w:spacing w:val="-5"/>
          <w:sz w:val="24"/>
        </w:rPr>
        <w:t xml:space="preserve"> </w:t>
      </w:r>
      <w:r>
        <w:rPr>
          <w:sz w:val="24"/>
        </w:rPr>
        <w:t>and</w:t>
      </w:r>
      <w:r>
        <w:rPr>
          <w:spacing w:val="-5"/>
          <w:sz w:val="24"/>
        </w:rPr>
        <w:t xml:space="preserve"> </w:t>
      </w:r>
      <w:r>
        <w:rPr>
          <w:sz w:val="24"/>
        </w:rPr>
        <w:t>dumping"</w:t>
      </w:r>
      <w:r>
        <w:rPr>
          <w:spacing w:val="-4"/>
          <w:sz w:val="24"/>
        </w:rPr>
        <w:t xml:space="preserve"> </w:t>
      </w:r>
      <w:r>
        <w:rPr>
          <w:sz w:val="24"/>
        </w:rPr>
        <w:t>of</w:t>
      </w:r>
      <w:r>
        <w:rPr>
          <w:spacing w:val="-5"/>
          <w:sz w:val="24"/>
        </w:rPr>
        <w:t xml:space="preserve"> </w:t>
      </w:r>
      <w:r>
        <w:rPr>
          <w:sz w:val="24"/>
        </w:rPr>
        <w:t>the</w:t>
      </w:r>
      <w:r>
        <w:rPr>
          <w:spacing w:val="-4"/>
          <w:sz w:val="24"/>
        </w:rPr>
        <w:t xml:space="preserve"> </w:t>
      </w:r>
      <w:r>
        <w:rPr>
          <w:sz w:val="24"/>
        </w:rPr>
        <w:t>product</w:t>
      </w:r>
      <w:r>
        <w:rPr>
          <w:spacing w:val="-4"/>
          <w:sz w:val="24"/>
        </w:rPr>
        <w:t xml:space="preserve"> </w:t>
      </w:r>
      <w:r>
        <w:rPr>
          <w:sz w:val="24"/>
        </w:rPr>
        <w:t xml:space="preserve">under investigation had a "negative impact on the sales price of the domestic like </w:t>
      </w:r>
      <w:r>
        <w:rPr>
          <w:spacing w:val="-2"/>
          <w:sz w:val="24"/>
        </w:rPr>
        <w:t>products".</w:t>
      </w:r>
      <w:r>
        <w:rPr>
          <w:spacing w:val="-2"/>
          <w:sz w:val="24"/>
          <w:vertAlign w:val="superscript"/>
        </w:rPr>
        <w:t>954</w:t>
      </w:r>
    </w:p>
    <w:p w14:paraId="51DE9596" w14:textId="77777777" w:rsidR="0010369C" w:rsidRDefault="008E43AE">
      <w:pPr>
        <w:pStyle w:val="ListParagraph"/>
        <w:numPr>
          <w:ilvl w:val="0"/>
          <w:numId w:val="29"/>
        </w:numPr>
        <w:tabs>
          <w:tab w:val="left" w:pos="1939"/>
          <w:tab w:val="left" w:pos="1941"/>
        </w:tabs>
        <w:spacing w:before="130" w:line="357" w:lineRule="auto"/>
        <w:ind w:right="614"/>
        <w:rPr>
          <w:sz w:val="24"/>
        </w:rPr>
      </w:pPr>
      <w:r>
        <w:rPr>
          <w:sz w:val="24"/>
        </w:rPr>
        <w:t>CADA's claim that the sales prices of domestic like products showed an overall downwar</w:t>
      </w:r>
      <w:r>
        <w:rPr>
          <w:sz w:val="24"/>
        </w:rPr>
        <w:t>d trend during the investigation period, using available annual report data of four listed domestic wine companies.</w:t>
      </w:r>
      <w:r>
        <w:rPr>
          <w:sz w:val="24"/>
          <w:vertAlign w:val="superscript"/>
        </w:rPr>
        <w:t>955</w:t>
      </w:r>
    </w:p>
    <w:p w14:paraId="51DE9597" w14:textId="77777777" w:rsidR="0010369C" w:rsidRDefault="008E43AE">
      <w:pPr>
        <w:pStyle w:val="ListParagraph"/>
        <w:numPr>
          <w:ilvl w:val="0"/>
          <w:numId w:val="29"/>
        </w:numPr>
        <w:tabs>
          <w:tab w:val="left" w:pos="1939"/>
          <w:tab w:val="left" w:pos="1941"/>
        </w:tabs>
        <w:spacing w:before="128" w:line="355" w:lineRule="auto"/>
        <w:ind w:right="613"/>
        <w:rPr>
          <w:sz w:val="24"/>
        </w:rPr>
      </w:pPr>
      <w:r>
        <w:rPr>
          <w:sz w:val="24"/>
        </w:rPr>
        <w:t>The allegation that the importation of the products subject to the investigation</w:t>
      </w:r>
      <w:r>
        <w:rPr>
          <w:spacing w:val="28"/>
          <w:sz w:val="24"/>
        </w:rPr>
        <w:t xml:space="preserve"> </w:t>
      </w:r>
      <w:r>
        <w:rPr>
          <w:sz w:val="24"/>
        </w:rPr>
        <w:t>request</w:t>
      </w:r>
      <w:r>
        <w:rPr>
          <w:spacing w:val="27"/>
          <w:sz w:val="24"/>
        </w:rPr>
        <w:t xml:space="preserve"> </w:t>
      </w:r>
      <w:r>
        <w:rPr>
          <w:sz w:val="24"/>
        </w:rPr>
        <w:t>caused</w:t>
      </w:r>
      <w:r>
        <w:rPr>
          <w:spacing w:val="27"/>
          <w:sz w:val="24"/>
        </w:rPr>
        <w:t xml:space="preserve"> </w:t>
      </w:r>
      <w:r>
        <w:rPr>
          <w:sz w:val="24"/>
        </w:rPr>
        <w:t>"apparent</w:t>
      </w:r>
      <w:r>
        <w:rPr>
          <w:spacing w:val="27"/>
          <w:sz w:val="24"/>
        </w:rPr>
        <w:t xml:space="preserve"> </w:t>
      </w:r>
      <w:r>
        <w:rPr>
          <w:sz w:val="24"/>
        </w:rPr>
        <w:t>price</w:t>
      </w:r>
      <w:r>
        <w:rPr>
          <w:spacing w:val="27"/>
          <w:sz w:val="24"/>
        </w:rPr>
        <w:t xml:space="preserve"> </w:t>
      </w:r>
      <w:r>
        <w:rPr>
          <w:sz w:val="24"/>
        </w:rPr>
        <w:t>depression and</w:t>
      </w:r>
      <w:r>
        <w:rPr>
          <w:spacing w:val="27"/>
          <w:sz w:val="24"/>
        </w:rPr>
        <w:t xml:space="preserve"> </w:t>
      </w:r>
      <w:r>
        <w:rPr>
          <w:sz w:val="24"/>
        </w:rPr>
        <w:t>suppression</w:t>
      </w:r>
    </w:p>
    <w:p w14:paraId="51DE9598" w14:textId="77777777" w:rsidR="0010369C" w:rsidRDefault="0010369C">
      <w:pPr>
        <w:pStyle w:val="BodyText"/>
        <w:rPr>
          <w:sz w:val="20"/>
        </w:rPr>
      </w:pPr>
    </w:p>
    <w:p w14:paraId="51DE9599" w14:textId="77777777" w:rsidR="0010369C" w:rsidRDefault="008E43AE">
      <w:pPr>
        <w:pStyle w:val="BodyText"/>
        <w:spacing w:before="10"/>
        <w:rPr>
          <w:sz w:val="17"/>
        </w:rPr>
      </w:pPr>
      <w:r>
        <w:pict w14:anchorId="51DEA6B2">
          <v:rect id="docshape1260" o:spid="_x0000_s1167" style="position:absolute;margin-left:70.9pt;margin-top:12.1pt;width:2in;height:.8pt;z-index:-250746368;mso-wrap-distance-left:0;mso-wrap-distance-right:0;mso-position-horizontal-relative:page" fillcolor="black" stroked="f">
            <w10:wrap type="topAndBottom" anchorx="page"/>
          </v:rect>
        </w:pict>
      </w:r>
    </w:p>
    <w:p w14:paraId="51DE959A" w14:textId="77777777" w:rsidR="0010369C" w:rsidRDefault="008E43AE">
      <w:pPr>
        <w:spacing w:before="109"/>
        <w:ind w:left="236" w:right="615" w:firstLine="2"/>
        <w:jc w:val="both"/>
        <w:rPr>
          <w:sz w:val="18"/>
        </w:rPr>
      </w:pPr>
      <w:r>
        <w:rPr>
          <w:sz w:val="18"/>
          <w:vertAlign w:val="superscript"/>
        </w:rPr>
        <w:t>951</w:t>
      </w:r>
      <w:r>
        <w:rPr>
          <w:spacing w:val="-4"/>
          <w:sz w:val="18"/>
        </w:rPr>
        <w:t xml:space="preserve"> </w:t>
      </w:r>
      <w:r>
        <w:rPr>
          <w:sz w:val="18"/>
        </w:rPr>
        <w:t>Panel</w:t>
      </w:r>
      <w:r>
        <w:rPr>
          <w:spacing w:val="-6"/>
          <w:sz w:val="18"/>
        </w:rPr>
        <w:t xml:space="preserve"> </w:t>
      </w:r>
      <w:r>
        <w:rPr>
          <w:sz w:val="18"/>
        </w:rPr>
        <w:t>Report,</w:t>
      </w:r>
      <w:r>
        <w:rPr>
          <w:spacing w:val="-5"/>
          <w:sz w:val="18"/>
        </w:rPr>
        <w:t xml:space="preserve"> </w:t>
      </w:r>
      <w:r>
        <w:rPr>
          <w:i/>
          <w:sz w:val="18"/>
        </w:rPr>
        <w:t>Mexico</w:t>
      </w:r>
      <w:r>
        <w:rPr>
          <w:i/>
          <w:spacing w:val="-5"/>
          <w:sz w:val="18"/>
        </w:rPr>
        <w:t xml:space="preserve"> </w:t>
      </w:r>
      <w:r>
        <w:rPr>
          <w:i/>
          <w:sz w:val="18"/>
        </w:rPr>
        <w:t>‐</w:t>
      </w:r>
      <w:r>
        <w:rPr>
          <w:i/>
          <w:spacing w:val="-5"/>
          <w:sz w:val="18"/>
        </w:rPr>
        <w:t xml:space="preserve"> </w:t>
      </w:r>
      <w:r>
        <w:rPr>
          <w:i/>
          <w:sz w:val="18"/>
        </w:rPr>
        <w:t>Steel</w:t>
      </w:r>
      <w:r>
        <w:rPr>
          <w:i/>
          <w:spacing w:val="-5"/>
          <w:sz w:val="18"/>
        </w:rPr>
        <w:t xml:space="preserve"> </w:t>
      </w:r>
      <w:r>
        <w:rPr>
          <w:i/>
          <w:sz w:val="18"/>
        </w:rPr>
        <w:t>Pipes</w:t>
      </w:r>
      <w:r>
        <w:rPr>
          <w:i/>
          <w:spacing w:val="-5"/>
          <w:sz w:val="18"/>
        </w:rPr>
        <w:t xml:space="preserve"> </w:t>
      </w:r>
      <w:r>
        <w:rPr>
          <w:i/>
          <w:sz w:val="18"/>
        </w:rPr>
        <w:t>and</w:t>
      </w:r>
      <w:r>
        <w:rPr>
          <w:i/>
          <w:spacing w:val="-5"/>
          <w:sz w:val="18"/>
        </w:rPr>
        <w:t xml:space="preserve"> </w:t>
      </w:r>
      <w:r>
        <w:rPr>
          <w:i/>
          <w:sz w:val="18"/>
        </w:rPr>
        <w:t>Tubes</w:t>
      </w:r>
      <w:r>
        <w:rPr>
          <w:sz w:val="18"/>
        </w:rPr>
        <w:t>,</w:t>
      </w:r>
      <w:r>
        <w:rPr>
          <w:spacing w:val="-5"/>
          <w:sz w:val="18"/>
        </w:rPr>
        <w:t xml:space="preserve"> </w:t>
      </w:r>
      <w:r>
        <w:rPr>
          <w:sz w:val="18"/>
        </w:rPr>
        <w:t>para.</w:t>
      </w:r>
      <w:r>
        <w:rPr>
          <w:spacing w:val="-4"/>
          <w:sz w:val="18"/>
        </w:rPr>
        <w:t xml:space="preserve"> </w:t>
      </w:r>
      <w:r>
        <w:rPr>
          <w:sz w:val="18"/>
        </w:rPr>
        <w:t>7.24,</w:t>
      </w:r>
      <w:r>
        <w:rPr>
          <w:spacing w:val="-5"/>
          <w:sz w:val="18"/>
        </w:rPr>
        <w:t xml:space="preserve"> </w:t>
      </w:r>
      <w:r>
        <w:rPr>
          <w:sz w:val="18"/>
        </w:rPr>
        <w:t>where</w:t>
      </w:r>
      <w:r>
        <w:rPr>
          <w:spacing w:val="-4"/>
          <w:sz w:val="18"/>
        </w:rPr>
        <w:t xml:space="preserve"> </w:t>
      </w:r>
      <w:r>
        <w:rPr>
          <w:sz w:val="18"/>
        </w:rPr>
        <w:t>the</w:t>
      </w:r>
      <w:r>
        <w:rPr>
          <w:spacing w:val="-4"/>
          <w:sz w:val="18"/>
        </w:rPr>
        <w:t xml:space="preserve"> </w:t>
      </w:r>
      <w:r>
        <w:rPr>
          <w:sz w:val="18"/>
        </w:rPr>
        <w:t>panel</w:t>
      </w:r>
      <w:r>
        <w:rPr>
          <w:spacing w:val="-5"/>
          <w:sz w:val="18"/>
        </w:rPr>
        <w:t xml:space="preserve"> </w:t>
      </w:r>
      <w:r>
        <w:rPr>
          <w:sz w:val="18"/>
        </w:rPr>
        <w:t>stated</w:t>
      </w:r>
      <w:r>
        <w:rPr>
          <w:spacing w:val="-5"/>
          <w:sz w:val="18"/>
        </w:rPr>
        <w:t xml:space="preserve"> </w:t>
      </w:r>
      <w:r>
        <w:rPr>
          <w:sz w:val="18"/>
        </w:rPr>
        <w:t>that</w:t>
      </w:r>
      <w:r>
        <w:rPr>
          <w:spacing w:val="-5"/>
          <w:sz w:val="18"/>
        </w:rPr>
        <w:t xml:space="preserve"> </w:t>
      </w:r>
      <w:r>
        <w:rPr>
          <w:sz w:val="18"/>
        </w:rPr>
        <w:t>"[F]or</w:t>
      </w:r>
      <w:r>
        <w:rPr>
          <w:spacing w:val="-5"/>
          <w:sz w:val="18"/>
        </w:rPr>
        <w:t xml:space="preserve"> </w:t>
      </w:r>
      <w:r>
        <w:rPr>
          <w:sz w:val="18"/>
        </w:rPr>
        <w:t>the</w:t>
      </w:r>
      <w:r>
        <w:rPr>
          <w:spacing w:val="-4"/>
          <w:sz w:val="18"/>
        </w:rPr>
        <w:t xml:space="preserve"> </w:t>
      </w:r>
      <w:r>
        <w:rPr>
          <w:sz w:val="18"/>
        </w:rPr>
        <w:t>purpose</w:t>
      </w:r>
      <w:r>
        <w:rPr>
          <w:spacing w:val="-5"/>
          <w:sz w:val="18"/>
        </w:rPr>
        <w:t xml:space="preserve"> </w:t>
      </w:r>
      <w:r>
        <w:rPr>
          <w:sz w:val="18"/>
        </w:rPr>
        <w:t>of</w:t>
      </w:r>
      <w:r>
        <w:rPr>
          <w:spacing w:val="-4"/>
          <w:sz w:val="18"/>
        </w:rPr>
        <w:t xml:space="preserve"> </w:t>
      </w:r>
      <w:r>
        <w:rPr>
          <w:sz w:val="18"/>
        </w:rPr>
        <w:t>Article</w:t>
      </w:r>
      <w:r>
        <w:rPr>
          <w:spacing w:val="-5"/>
          <w:sz w:val="18"/>
        </w:rPr>
        <w:t xml:space="preserve"> </w:t>
      </w:r>
      <w:r>
        <w:rPr>
          <w:sz w:val="18"/>
        </w:rPr>
        <w:t>5.2,</w:t>
      </w:r>
      <w:r>
        <w:rPr>
          <w:spacing w:val="-5"/>
          <w:sz w:val="18"/>
        </w:rPr>
        <w:t xml:space="preserve"> </w:t>
      </w:r>
      <w:r>
        <w:rPr>
          <w:sz w:val="18"/>
        </w:rPr>
        <w:t>the applicant</w:t>
      </w:r>
      <w:r>
        <w:rPr>
          <w:spacing w:val="-5"/>
          <w:sz w:val="18"/>
        </w:rPr>
        <w:t xml:space="preserve"> </w:t>
      </w:r>
      <w:r>
        <w:rPr>
          <w:sz w:val="18"/>
        </w:rPr>
        <w:t>must</w:t>
      </w:r>
      <w:r>
        <w:rPr>
          <w:spacing w:val="-5"/>
          <w:sz w:val="18"/>
        </w:rPr>
        <w:t xml:space="preserve"> </w:t>
      </w:r>
      <w:r>
        <w:rPr>
          <w:sz w:val="18"/>
        </w:rPr>
        <w:t>submit</w:t>
      </w:r>
      <w:r>
        <w:rPr>
          <w:spacing w:val="-5"/>
          <w:sz w:val="18"/>
        </w:rPr>
        <w:t xml:space="preserve"> </w:t>
      </w:r>
      <w:r>
        <w:rPr>
          <w:sz w:val="18"/>
        </w:rPr>
        <w:t>a</w:t>
      </w:r>
      <w:r>
        <w:rPr>
          <w:spacing w:val="-5"/>
          <w:sz w:val="18"/>
        </w:rPr>
        <w:t xml:space="preserve"> </w:t>
      </w:r>
      <w:r>
        <w:rPr>
          <w:sz w:val="18"/>
        </w:rPr>
        <w:t>degree</w:t>
      </w:r>
      <w:r>
        <w:rPr>
          <w:spacing w:val="-5"/>
          <w:sz w:val="18"/>
        </w:rPr>
        <w:t xml:space="preserve"> </w:t>
      </w:r>
      <w:r>
        <w:rPr>
          <w:sz w:val="18"/>
        </w:rPr>
        <w:t>of</w:t>
      </w:r>
      <w:r>
        <w:rPr>
          <w:spacing w:val="-4"/>
          <w:sz w:val="18"/>
        </w:rPr>
        <w:t xml:space="preserve"> </w:t>
      </w:r>
      <w:r>
        <w:rPr>
          <w:sz w:val="18"/>
        </w:rPr>
        <w:t>actual</w:t>
      </w:r>
      <w:r>
        <w:rPr>
          <w:spacing w:val="-6"/>
          <w:sz w:val="18"/>
        </w:rPr>
        <w:t xml:space="preserve"> </w:t>
      </w:r>
      <w:r>
        <w:rPr>
          <w:sz w:val="18"/>
        </w:rPr>
        <w:t>evidence</w:t>
      </w:r>
      <w:r>
        <w:rPr>
          <w:spacing w:val="-5"/>
          <w:sz w:val="18"/>
        </w:rPr>
        <w:t xml:space="preserve"> </w:t>
      </w:r>
      <w:r>
        <w:rPr>
          <w:sz w:val="18"/>
        </w:rPr>
        <w:t>of</w:t>
      </w:r>
      <w:r>
        <w:rPr>
          <w:spacing w:val="-4"/>
          <w:sz w:val="18"/>
        </w:rPr>
        <w:t xml:space="preserve"> </w:t>
      </w:r>
      <w:r>
        <w:rPr>
          <w:sz w:val="18"/>
        </w:rPr>
        <w:t>alleged</w:t>
      </w:r>
      <w:r>
        <w:rPr>
          <w:spacing w:val="-4"/>
          <w:sz w:val="18"/>
        </w:rPr>
        <w:t xml:space="preserve"> </w:t>
      </w:r>
      <w:r>
        <w:rPr>
          <w:sz w:val="18"/>
        </w:rPr>
        <w:t>dumping</w:t>
      </w:r>
      <w:r>
        <w:rPr>
          <w:spacing w:val="-4"/>
          <w:sz w:val="18"/>
        </w:rPr>
        <w:t xml:space="preserve"> </w:t>
      </w:r>
      <w:r>
        <w:rPr>
          <w:sz w:val="18"/>
        </w:rPr>
        <w:t>allegedly</w:t>
      </w:r>
      <w:r>
        <w:rPr>
          <w:spacing w:val="-5"/>
          <w:sz w:val="18"/>
        </w:rPr>
        <w:t xml:space="preserve"> </w:t>
      </w:r>
      <w:r>
        <w:rPr>
          <w:sz w:val="18"/>
        </w:rPr>
        <w:t>causing</w:t>
      </w:r>
      <w:r>
        <w:rPr>
          <w:spacing w:val="-5"/>
          <w:sz w:val="18"/>
        </w:rPr>
        <w:t xml:space="preserve"> </w:t>
      </w:r>
      <w:r>
        <w:rPr>
          <w:sz w:val="18"/>
        </w:rPr>
        <w:t>injury,</w:t>
      </w:r>
      <w:r>
        <w:rPr>
          <w:spacing w:val="-5"/>
          <w:sz w:val="18"/>
        </w:rPr>
        <w:t xml:space="preserve"> </w:t>
      </w:r>
      <w:r>
        <w:rPr>
          <w:sz w:val="18"/>
        </w:rPr>
        <w:t>and</w:t>
      </w:r>
      <w:r>
        <w:rPr>
          <w:spacing w:val="-5"/>
          <w:sz w:val="18"/>
        </w:rPr>
        <w:t xml:space="preserve"> </w:t>
      </w:r>
      <w:r>
        <w:rPr>
          <w:sz w:val="18"/>
        </w:rPr>
        <w:t>for</w:t>
      </w:r>
      <w:r>
        <w:rPr>
          <w:spacing w:val="-5"/>
          <w:sz w:val="18"/>
        </w:rPr>
        <w:t xml:space="preserve"> </w:t>
      </w:r>
      <w:r>
        <w:rPr>
          <w:sz w:val="18"/>
        </w:rPr>
        <w:t>the</w:t>
      </w:r>
      <w:r>
        <w:rPr>
          <w:spacing w:val="-4"/>
          <w:sz w:val="18"/>
        </w:rPr>
        <w:t xml:space="preserve"> </w:t>
      </w:r>
      <w:r>
        <w:rPr>
          <w:sz w:val="18"/>
        </w:rPr>
        <w:t>purpose</w:t>
      </w:r>
      <w:r>
        <w:rPr>
          <w:spacing w:val="-4"/>
          <w:sz w:val="18"/>
        </w:rPr>
        <w:t xml:space="preserve"> </w:t>
      </w:r>
      <w:r>
        <w:rPr>
          <w:sz w:val="18"/>
        </w:rPr>
        <w:t>of</w:t>
      </w:r>
      <w:r>
        <w:rPr>
          <w:spacing w:val="-4"/>
          <w:sz w:val="18"/>
        </w:rPr>
        <w:t xml:space="preserve"> </w:t>
      </w:r>
      <w:r>
        <w:rPr>
          <w:sz w:val="18"/>
        </w:rPr>
        <w:t xml:space="preserve">Article 5.3, that evidence must constitute an objectively </w:t>
      </w:r>
      <w:r>
        <w:rPr>
          <w:i/>
          <w:sz w:val="18"/>
        </w:rPr>
        <w:t xml:space="preserve">sufficient </w:t>
      </w:r>
      <w:r>
        <w:rPr>
          <w:sz w:val="18"/>
        </w:rPr>
        <w:t>factual basis to initiate an investigation". (original emphasis)</w:t>
      </w:r>
    </w:p>
    <w:p w14:paraId="51DE959B" w14:textId="77777777" w:rsidR="0010369C" w:rsidRDefault="008E43AE">
      <w:pPr>
        <w:spacing w:before="1"/>
        <w:ind w:left="238"/>
        <w:jc w:val="both"/>
        <w:rPr>
          <w:sz w:val="18"/>
        </w:rPr>
      </w:pPr>
      <w:r>
        <w:rPr>
          <w:sz w:val="18"/>
          <w:vertAlign w:val="superscript"/>
        </w:rPr>
        <w:t>952</w:t>
      </w:r>
      <w:r>
        <w:rPr>
          <w:spacing w:val="-10"/>
          <w:sz w:val="18"/>
        </w:rPr>
        <w:t xml:space="preserve"> </w:t>
      </w:r>
      <w:r>
        <w:rPr>
          <w:sz w:val="18"/>
        </w:rPr>
        <w:t>Anti‐Dumping</w:t>
      </w:r>
      <w:r>
        <w:rPr>
          <w:spacing w:val="-9"/>
          <w:sz w:val="18"/>
        </w:rPr>
        <w:t xml:space="preserve"> </w:t>
      </w:r>
      <w:r>
        <w:rPr>
          <w:sz w:val="18"/>
        </w:rPr>
        <w:t>Initiation</w:t>
      </w:r>
      <w:r>
        <w:rPr>
          <w:spacing w:val="-10"/>
          <w:sz w:val="18"/>
        </w:rPr>
        <w:t xml:space="preserve"> </w:t>
      </w:r>
      <w:r>
        <w:rPr>
          <w:sz w:val="18"/>
        </w:rPr>
        <w:t>of</w:t>
      </w:r>
      <w:r>
        <w:rPr>
          <w:spacing w:val="-9"/>
          <w:sz w:val="18"/>
        </w:rPr>
        <w:t xml:space="preserve"> </w:t>
      </w:r>
      <w:r>
        <w:rPr>
          <w:sz w:val="18"/>
        </w:rPr>
        <w:t>Investigation</w:t>
      </w:r>
      <w:r>
        <w:rPr>
          <w:spacing w:val="-9"/>
          <w:sz w:val="18"/>
        </w:rPr>
        <w:t xml:space="preserve"> </w:t>
      </w:r>
      <w:r>
        <w:rPr>
          <w:sz w:val="18"/>
        </w:rPr>
        <w:t>Announcement</w:t>
      </w:r>
      <w:r>
        <w:rPr>
          <w:spacing w:val="-11"/>
          <w:sz w:val="18"/>
        </w:rPr>
        <w:t xml:space="preserve"> </w:t>
      </w:r>
      <w:r>
        <w:rPr>
          <w:sz w:val="18"/>
        </w:rPr>
        <w:t>(Exhibit</w:t>
      </w:r>
      <w:r>
        <w:rPr>
          <w:spacing w:val="-9"/>
          <w:sz w:val="18"/>
        </w:rPr>
        <w:t xml:space="preserve"> </w:t>
      </w:r>
      <w:r>
        <w:rPr>
          <w:sz w:val="18"/>
        </w:rPr>
        <w:t>AUS‐89),</w:t>
      </w:r>
      <w:r>
        <w:rPr>
          <w:spacing w:val="-10"/>
          <w:sz w:val="18"/>
        </w:rPr>
        <w:t xml:space="preserve"> </w:t>
      </w:r>
      <w:r>
        <w:rPr>
          <w:sz w:val="18"/>
        </w:rPr>
        <w:t>pp.</w:t>
      </w:r>
      <w:r>
        <w:rPr>
          <w:spacing w:val="-10"/>
          <w:sz w:val="18"/>
        </w:rPr>
        <w:t xml:space="preserve"> </w:t>
      </w:r>
      <w:r>
        <w:rPr>
          <w:spacing w:val="-4"/>
          <w:sz w:val="18"/>
        </w:rPr>
        <w:t>1‐2.</w:t>
      </w:r>
    </w:p>
    <w:p w14:paraId="51DE959C" w14:textId="77777777" w:rsidR="0010369C" w:rsidRDefault="008E43AE">
      <w:pPr>
        <w:ind w:left="238"/>
        <w:jc w:val="both"/>
        <w:rPr>
          <w:sz w:val="18"/>
        </w:rPr>
      </w:pPr>
      <w:r>
        <w:rPr>
          <w:sz w:val="18"/>
          <w:vertAlign w:val="superscript"/>
        </w:rPr>
        <w:t>953</w:t>
      </w:r>
      <w:r>
        <w:rPr>
          <w:spacing w:val="-7"/>
          <w:sz w:val="18"/>
        </w:rPr>
        <w:t xml:space="preserve"> </w:t>
      </w:r>
      <w:r>
        <w:rPr>
          <w:sz w:val="18"/>
        </w:rPr>
        <w:t>See</w:t>
      </w:r>
      <w:r>
        <w:rPr>
          <w:spacing w:val="-6"/>
          <w:sz w:val="18"/>
        </w:rPr>
        <w:t xml:space="preserve"> </w:t>
      </w:r>
      <w:r>
        <w:rPr>
          <w:sz w:val="18"/>
        </w:rPr>
        <w:t>below,</w:t>
      </w:r>
      <w:r>
        <w:rPr>
          <w:spacing w:val="-6"/>
          <w:sz w:val="18"/>
        </w:rPr>
        <w:t xml:space="preserve"> </w:t>
      </w:r>
      <w:r>
        <w:rPr>
          <w:sz w:val="18"/>
        </w:rPr>
        <w:t>Section</w:t>
      </w:r>
      <w:r>
        <w:rPr>
          <w:spacing w:val="-6"/>
          <w:sz w:val="18"/>
        </w:rPr>
        <w:t xml:space="preserve"> </w:t>
      </w:r>
      <w:r>
        <w:rPr>
          <w:spacing w:val="-2"/>
          <w:sz w:val="18"/>
        </w:rPr>
        <w:t>VI.C.3(c).</w:t>
      </w:r>
    </w:p>
    <w:p w14:paraId="51DE959D" w14:textId="77777777" w:rsidR="0010369C" w:rsidRDefault="008E43AE">
      <w:pPr>
        <w:ind w:left="238"/>
        <w:jc w:val="both"/>
        <w:rPr>
          <w:sz w:val="18"/>
        </w:rPr>
      </w:pPr>
      <w:r>
        <w:rPr>
          <w:sz w:val="18"/>
          <w:vertAlign w:val="superscript"/>
        </w:rPr>
        <w:t>954</w:t>
      </w:r>
      <w:r>
        <w:rPr>
          <w:spacing w:val="-10"/>
          <w:sz w:val="18"/>
        </w:rPr>
        <w:t xml:space="preserve"> </w:t>
      </w:r>
      <w:r>
        <w:rPr>
          <w:sz w:val="18"/>
        </w:rPr>
        <w:t>CADA</w:t>
      </w:r>
      <w:r>
        <w:rPr>
          <w:spacing w:val="-9"/>
          <w:sz w:val="18"/>
        </w:rPr>
        <w:t xml:space="preserve"> </w:t>
      </w:r>
      <w:r>
        <w:rPr>
          <w:sz w:val="18"/>
        </w:rPr>
        <w:t>Application</w:t>
      </w:r>
      <w:r>
        <w:rPr>
          <w:spacing w:val="-9"/>
          <w:sz w:val="18"/>
        </w:rPr>
        <w:t xml:space="preserve"> </w:t>
      </w:r>
      <w:r>
        <w:rPr>
          <w:sz w:val="18"/>
        </w:rPr>
        <w:t>for</w:t>
      </w:r>
      <w:r>
        <w:rPr>
          <w:spacing w:val="-10"/>
          <w:sz w:val="18"/>
        </w:rPr>
        <w:t xml:space="preserve"> </w:t>
      </w:r>
      <w:r>
        <w:rPr>
          <w:sz w:val="18"/>
        </w:rPr>
        <w:t>Anti‐Dumping</w:t>
      </w:r>
      <w:r>
        <w:rPr>
          <w:spacing w:val="-9"/>
          <w:sz w:val="18"/>
        </w:rPr>
        <w:t xml:space="preserve"> </w:t>
      </w:r>
      <w:r>
        <w:rPr>
          <w:sz w:val="18"/>
        </w:rPr>
        <w:t>Investigation</w:t>
      </w:r>
      <w:r>
        <w:rPr>
          <w:spacing w:val="-9"/>
          <w:sz w:val="18"/>
        </w:rPr>
        <w:t xml:space="preserve"> </w:t>
      </w:r>
      <w:r>
        <w:rPr>
          <w:sz w:val="18"/>
        </w:rPr>
        <w:t>(Exhibit</w:t>
      </w:r>
      <w:r>
        <w:rPr>
          <w:spacing w:val="-9"/>
          <w:sz w:val="18"/>
        </w:rPr>
        <w:t xml:space="preserve"> </w:t>
      </w:r>
      <w:r>
        <w:rPr>
          <w:sz w:val="18"/>
        </w:rPr>
        <w:t>AUS‐64),</w:t>
      </w:r>
      <w:r>
        <w:rPr>
          <w:spacing w:val="-10"/>
          <w:sz w:val="18"/>
        </w:rPr>
        <w:t xml:space="preserve"> </w:t>
      </w:r>
      <w:r>
        <w:rPr>
          <w:sz w:val="18"/>
        </w:rPr>
        <w:t>p.</w:t>
      </w:r>
      <w:r>
        <w:rPr>
          <w:spacing w:val="-9"/>
          <w:sz w:val="18"/>
        </w:rPr>
        <w:t xml:space="preserve"> </w:t>
      </w:r>
      <w:r>
        <w:rPr>
          <w:spacing w:val="-5"/>
          <w:sz w:val="18"/>
        </w:rPr>
        <w:t>55.</w:t>
      </w:r>
    </w:p>
    <w:p w14:paraId="51DE959E" w14:textId="77777777" w:rsidR="0010369C" w:rsidRDefault="008E43AE">
      <w:pPr>
        <w:ind w:left="238"/>
        <w:jc w:val="both"/>
        <w:rPr>
          <w:sz w:val="18"/>
        </w:rPr>
      </w:pPr>
      <w:r>
        <w:rPr>
          <w:sz w:val="18"/>
          <w:vertAlign w:val="superscript"/>
        </w:rPr>
        <w:t>955</w:t>
      </w:r>
      <w:r>
        <w:rPr>
          <w:spacing w:val="-10"/>
          <w:sz w:val="18"/>
        </w:rPr>
        <w:t xml:space="preserve"> </w:t>
      </w:r>
      <w:r>
        <w:rPr>
          <w:sz w:val="18"/>
        </w:rPr>
        <w:t>CADA</w:t>
      </w:r>
      <w:r>
        <w:rPr>
          <w:spacing w:val="-9"/>
          <w:sz w:val="18"/>
        </w:rPr>
        <w:t xml:space="preserve"> </w:t>
      </w:r>
      <w:r>
        <w:rPr>
          <w:sz w:val="18"/>
        </w:rPr>
        <w:t>Application</w:t>
      </w:r>
      <w:r>
        <w:rPr>
          <w:spacing w:val="-9"/>
          <w:sz w:val="18"/>
        </w:rPr>
        <w:t xml:space="preserve"> </w:t>
      </w:r>
      <w:r>
        <w:rPr>
          <w:sz w:val="18"/>
        </w:rPr>
        <w:t>for</w:t>
      </w:r>
      <w:r>
        <w:rPr>
          <w:spacing w:val="-10"/>
          <w:sz w:val="18"/>
        </w:rPr>
        <w:t xml:space="preserve"> </w:t>
      </w:r>
      <w:r>
        <w:rPr>
          <w:sz w:val="18"/>
        </w:rPr>
        <w:t>Anti‐Dumping</w:t>
      </w:r>
      <w:r>
        <w:rPr>
          <w:spacing w:val="-9"/>
          <w:sz w:val="18"/>
        </w:rPr>
        <w:t xml:space="preserve"> </w:t>
      </w:r>
      <w:r>
        <w:rPr>
          <w:sz w:val="18"/>
        </w:rPr>
        <w:t>Investigation</w:t>
      </w:r>
      <w:r>
        <w:rPr>
          <w:spacing w:val="-9"/>
          <w:sz w:val="18"/>
        </w:rPr>
        <w:t xml:space="preserve"> </w:t>
      </w:r>
      <w:r>
        <w:rPr>
          <w:sz w:val="18"/>
        </w:rPr>
        <w:t>(Exhibit</w:t>
      </w:r>
      <w:r>
        <w:rPr>
          <w:spacing w:val="-9"/>
          <w:sz w:val="18"/>
        </w:rPr>
        <w:t xml:space="preserve"> </w:t>
      </w:r>
      <w:r>
        <w:rPr>
          <w:sz w:val="18"/>
        </w:rPr>
        <w:t>AUS‐64),</w:t>
      </w:r>
      <w:r>
        <w:rPr>
          <w:spacing w:val="-10"/>
          <w:sz w:val="18"/>
        </w:rPr>
        <w:t xml:space="preserve"> </w:t>
      </w:r>
      <w:r>
        <w:rPr>
          <w:sz w:val="18"/>
        </w:rPr>
        <w:t>p.</w:t>
      </w:r>
      <w:r>
        <w:rPr>
          <w:spacing w:val="-9"/>
          <w:sz w:val="18"/>
        </w:rPr>
        <w:t xml:space="preserve"> </w:t>
      </w:r>
      <w:r>
        <w:rPr>
          <w:spacing w:val="-5"/>
          <w:sz w:val="18"/>
        </w:rPr>
        <w:t>57.</w:t>
      </w:r>
    </w:p>
    <w:p w14:paraId="51DE959F" w14:textId="77777777" w:rsidR="0010369C" w:rsidRDefault="0010369C">
      <w:pPr>
        <w:jc w:val="both"/>
        <w:rPr>
          <w:sz w:val="18"/>
        </w:rPr>
        <w:sectPr w:rsidR="0010369C">
          <w:pgSz w:w="11910" w:h="16840"/>
          <w:pgMar w:top="880" w:right="800" w:bottom="980" w:left="1180" w:header="569" w:footer="788" w:gutter="0"/>
          <w:cols w:space="720"/>
        </w:sectPr>
      </w:pPr>
    </w:p>
    <w:p w14:paraId="51DE95A0" w14:textId="77777777" w:rsidR="0010369C" w:rsidRDefault="008E43AE">
      <w:pPr>
        <w:tabs>
          <w:tab w:val="left" w:pos="6426"/>
        </w:tabs>
        <w:ind w:left="238"/>
        <w:rPr>
          <w:sz w:val="20"/>
        </w:rPr>
      </w:pPr>
      <w:r>
        <w:rPr>
          <w:i/>
          <w:sz w:val="20"/>
        </w:rPr>
        <w:lastRenderedPageBreak/>
        <w:t>China</w:t>
      </w:r>
      <w:r>
        <w:rPr>
          <w:i/>
          <w:spacing w:val="-5"/>
          <w:sz w:val="20"/>
        </w:rPr>
        <w:t xml:space="preserve"> </w:t>
      </w:r>
      <w:r>
        <w:rPr>
          <w:i/>
          <w:sz w:val="20"/>
        </w:rPr>
        <w:t>–</w:t>
      </w:r>
      <w:r>
        <w:rPr>
          <w:i/>
          <w:spacing w:val="-5"/>
          <w:sz w:val="20"/>
        </w:rPr>
        <w:t xml:space="preserve"> </w:t>
      </w:r>
      <w:r>
        <w:rPr>
          <w:i/>
          <w:sz w:val="20"/>
        </w:rPr>
        <w:t>Anti‐Dumping</w:t>
      </w:r>
      <w:r>
        <w:rPr>
          <w:i/>
          <w:spacing w:val="-4"/>
          <w:sz w:val="20"/>
        </w:rPr>
        <w:t xml:space="preserve"> </w:t>
      </w:r>
      <w:r>
        <w:rPr>
          <w:i/>
          <w:sz w:val="20"/>
        </w:rPr>
        <w:t>and</w:t>
      </w:r>
      <w:r>
        <w:rPr>
          <w:i/>
          <w:spacing w:val="-5"/>
          <w:sz w:val="20"/>
        </w:rPr>
        <w:t xml:space="preserve"> </w:t>
      </w:r>
      <w:r>
        <w:rPr>
          <w:i/>
          <w:sz w:val="20"/>
        </w:rPr>
        <w:t>Countervailing</w:t>
      </w:r>
      <w:r>
        <w:rPr>
          <w:i/>
          <w:spacing w:val="-5"/>
          <w:sz w:val="20"/>
        </w:rPr>
        <w:t xml:space="preserve"> </w:t>
      </w:r>
      <w:r>
        <w:rPr>
          <w:i/>
          <w:sz w:val="20"/>
        </w:rPr>
        <w:t>Duty</w:t>
      </w:r>
      <w:r>
        <w:rPr>
          <w:i/>
          <w:spacing w:val="-4"/>
          <w:sz w:val="20"/>
        </w:rPr>
        <w:t xml:space="preserve"> </w:t>
      </w:r>
      <w:r>
        <w:rPr>
          <w:i/>
          <w:spacing w:val="-2"/>
          <w:sz w:val="20"/>
        </w:rPr>
        <w:t>Measures</w:t>
      </w:r>
      <w:r>
        <w:rPr>
          <w:i/>
          <w:sz w:val="20"/>
        </w:rPr>
        <w:tab/>
      </w:r>
      <w:r>
        <w:rPr>
          <w:sz w:val="20"/>
        </w:rPr>
        <w:t>Australia's</w:t>
      </w:r>
      <w:r>
        <w:rPr>
          <w:spacing w:val="-7"/>
          <w:sz w:val="20"/>
        </w:rPr>
        <w:t xml:space="preserve"> </w:t>
      </w:r>
      <w:r>
        <w:rPr>
          <w:sz w:val="20"/>
        </w:rPr>
        <w:t>First</w:t>
      </w:r>
      <w:r>
        <w:rPr>
          <w:spacing w:val="-2"/>
          <w:sz w:val="20"/>
        </w:rPr>
        <w:t xml:space="preserve"> </w:t>
      </w:r>
      <w:r>
        <w:rPr>
          <w:sz w:val="20"/>
        </w:rPr>
        <w:t>Written</w:t>
      </w:r>
      <w:r>
        <w:rPr>
          <w:spacing w:val="-2"/>
          <w:sz w:val="20"/>
        </w:rPr>
        <w:t xml:space="preserve"> Submission</w:t>
      </w:r>
    </w:p>
    <w:p w14:paraId="51DE95A1" w14:textId="77777777" w:rsidR="0010369C" w:rsidRDefault="008E43AE">
      <w:pPr>
        <w:tabs>
          <w:tab w:val="left" w:pos="8228"/>
        </w:tabs>
        <w:spacing w:before="1"/>
        <w:ind w:left="239"/>
        <w:rPr>
          <w:sz w:val="20"/>
        </w:rPr>
      </w:pPr>
      <w:r>
        <w:rPr>
          <w:i/>
          <w:sz w:val="20"/>
        </w:rPr>
        <w:t>on</w:t>
      </w:r>
      <w:r>
        <w:rPr>
          <w:i/>
          <w:spacing w:val="-1"/>
          <w:sz w:val="20"/>
        </w:rPr>
        <w:t xml:space="preserve"> </w:t>
      </w:r>
      <w:r>
        <w:rPr>
          <w:i/>
          <w:sz w:val="20"/>
        </w:rPr>
        <w:t>Wine</w:t>
      </w:r>
      <w:r>
        <w:rPr>
          <w:i/>
          <w:spacing w:val="-1"/>
          <w:sz w:val="20"/>
        </w:rPr>
        <w:t xml:space="preserve"> </w:t>
      </w:r>
      <w:r>
        <w:rPr>
          <w:i/>
          <w:sz w:val="20"/>
        </w:rPr>
        <w:t>from</w:t>
      </w:r>
      <w:r>
        <w:rPr>
          <w:i/>
          <w:spacing w:val="-3"/>
          <w:sz w:val="20"/>
        </w:rPr>
        <w:t xml:space="preserve"> </w:t>
      </w:r>
      <w:r>
        <w:rPr>
          <w:i/>
          <w:sz w:val="20"/>
        </w:rPr>
        <w:t>Australia</w:t>
      </w:r>
      <w:r>
        <w:rPr>
          <w:i/>
          <w:spacing w:val="-1"/>
          <w:sz w:val="20"/>
        </w:rPr>
        <w:t xml:space="preserve"> </w:t>
      </w:r>
      <w:r>
        <w:rPr>
          <w:spacing w:val="-2"/>
          <w:sz w:val="20"/>
        </w:rPr>
        <w:t>(DS602)</w:t>
      </w:r>
      <w:r>
        <w:rPr>
          <w:sz w:val="20"/>
        </w:rPr>
        <w:tab/>
        <w:t>29</w:t>
      </w:r>
      <w:r>
        <w:rPr>
          <w:spacing w:val="-1"/>
          <w:sz w:val="20"/>
        </w:rPr>
        <w:t xml:space="preserve"> </w:t>
      </w:r>
      <w:r>
        <w:rPr>
          <w:sz w:val="20"/>
        </w:rPr>
        <w:t>April</w:t>
      </w:r>
      <w:r>
        <w:rPr>
          <w:spacing w:val="-2"/>
          <w:sz w:val="20"/>
        </w:rPr>
        <w:t xml:space="preserve"> </w:t>
      </w:r>
      <w:r>
        <w:rPr>
          <w:spacing w:val="-4"/>
          <w:sz w:val="20"/>
        </w:rPr>
        <w:t>2022</w:t>
      </w:r>
    </w:p>
    <w:p w14:paraId="51DE95A2" w14:textId="77777777" w:rsidR="0010369C" w:rsidRDefault="008E43AE">
      <w:pPr>
        <w:pStyle w:val="BodyText"/>
        <w:spacing w:before="34" w:line="360" w:lineRule="auto"/>
        <w:ind w:left="1938" w:right="614" w:firstLine="1"/>
        <w:jc w:val="both"/>
      </w:pPr>
      <w:r>
        <w:t>for the domestic like products".</w:t>
      </w:r>
      <w:r>
        <w:rPr>
          <w:vertAlign w:val="superscript"/>
        </w:rPr>
        <w:t>956</w:t>
      </w:r>
      <w:r>
        <w:t xml:space="preserve"> This was said to be supported by data showing</w:t>
      </w:r>
      <w:r>
        <w:rPr>
          <w:spacing w:val="-9"/>
        </w:rPr>
        <w:t xml:space="preserve"> </w:t>
      </w:r>
      <w:r>
        <w:t>an</w:t>
      </w:r>
      <w:r>
        <w:rPr>
          <w:spacing w:val="-8"/>
        </w:rPr>
        <w:t xml:space="preserve"> </w:t>
      </w:r>
      <w:r>
        <w:t>"overall</w:t>
      </w:r>
      <w:r>
        <w:rPr>
          <w:spacing w:val="-9"/>
        </w:rPr>
        <w:t xml:space="preserve"> </w:t>
      </w:r>
      <w:r>
        <w:t>sharp</w:t>
      </w:r>
      <w:r>
        <w:rPr>
          <w:spacing w:val="-9"/>
        </w:rPr>
        <w:t xml:space="preserve"> </w:t>
      </w:r>
      <w:r>
        <w:t>decline</w:t>
      </w:r>
      <w:r>
        <w:rPr>
          <w:spacing w:val="-8"/>
        </w:rPr>
        <w:t xml:space="preserve"> </w:t>
      </w:r>
      <w:r>
        <w:t>in</w:t>
      </w:r>
      <w:r>
        <w:rPr>
          <w:spacing w:val="-9"/>
        </w:rPr>
        <w:t xml:space="preserve"> </w:t>
      </w:r>
      <w:r>
        <w:t>the</w:t>
      </w:r>
      <w:r>
        <w:rPr>
          <w:spacing w:val="-8"/>
        </w:rPr>
        <w:t xml:space="preserve"> </w:t>
      </w:r>
      <w:r>
        <w:t>import</w:t>
      </w:r>
      <w:r>
        <w:rPr>
          <w:spacing w:val="-8"/>
        </w:rPr>
        <w:t xml:space="preserve"> </w:t>
      </w:r>
      <w:r>
        <w:t>prices</w:t>
      </w:r>
      <w:r>
        <w:rPr>
          <w:spacing w:val="-9"/>
        </w:rPr>
        <w:t xml:space="preserve"> </w:t>
      </w:r>
      <w:r>
        <w:t>of</w:t>
      </w:r>
      <w:r>
        <w:rPr>
          <w:spacing w:val="-9"/>
        </w:rPr>
        <w:t xml:space="preserve"> </w:t>
      </w:r>
      <w:r>
        <w:t>products</w:t>
      </w:r>
      <w:r>
        <w:rPr>
          <w:spacing w:val="-8"/>
        </w:rPr>
        <w:t xml:space="preserve"> </w:t>
      </w:r>
      <w:r>
        <w:t>subject</w:t>
      </w:r>
      <w:r>
        <w:rPr>
          <w:spacing w:val="-9"/>
        </w:rPr>
        <w:t xml:space="preserve"> </w:t>
      </w:r>
      <w:r>
        <w:t xml:space="preserve">to the investigation request", a "narrowing trend" in the price gap between those products and domestic products, and falling profit margins from Chinese domestic companies said to have been caused by these price </w:t>
      </w:r>
      <w:r>
        <w:rPr>
          <w:spacing w:val="-2"/>
        </w:rPr>
        <w:t>decreases.</w:t>
      </w:r>
    </w:p>
    <w:p w14:paraId="51DE95A3" w14:textId="77777777" w:rsidR="0010369C" w:rsidRDefault="008E43AE">
      <w:pPr>
        <w:pStyle w:val="ListParagraph"/>
        <w:numPr>
          <w:ilvl w:val="0"/>
          <w:numId w:val="29"/>
        </w:numPr>
        <w:tabs>
          <w:tab w:val="left" w:pos="1938"/>
          <w:tab w:val="left" w:pos="1939"/>
        </w:tabs>
        <w:spacing w:line="357" w:lineRule="auto"/>
        <w:ind w:left="1938" w:right="612"/>
        <w:rPr>
          <w:sz w:val="24"/>
        </w:rPr>
      </w:pPr>
      <w:r>
        <w:rPr>
          <w:sz w:val="24"/>
        </w:rPr>
        <w:t>CADA's assertion that "due to th</w:t>
      </w:r>
      <w:r>
        <w:rPr>
          <w:sz w:val="24"/>
        </w:rPr>
        <w:t>e impact of the large‐volume low‐price import of products subject to the investigation request, the output of domestic like products showed a continuous downward trend".</w:t>
      </w:r>
      <w:r>
        <w:rPr>
          <w:sz w:val="24"/>
          <w:vertAlign w:val="superscript"/>
        </w:rPr>
        <w:t>957</w:t>
      </w:r>
    </w:p>
    <w:p w14:paraId="51DE95A4" w14:textId="77777777" w:rsidR="0010369C" w:rsidRDefault="008E43AE">
      <w:pPr>
        <w:pStyle w:val="BodyText"/>
        <w:spacing w:before="128" w:line="360" w:lineRule="auto"/>
        <w:ind w:left="237" w:right="612" w:firstLine="851"/>
        <w:jc w:val="both"/>
      </w:pPr>
      <w:r>
        <w:rPr>
          <w:noProof/>
        </w:rPr>
        <w:drawing>
          <wp:anchor distT="0" distB="0" distL="0" distR="0" simplePos="0" relativeHeight="251403776" behindDoc="1" locked="0" layoutInCell="1" allowOverlap="1" wp14:anchorId="51DEA6B3" wp14:editId="51DEA6B4">
            <wp:simplePos x="0" y="0"/>
            <wp:positionH relativeFrom="page">
              <wp:posOffset>902208</wp:posOffset>
            </wp:positionH>
            <wp:positionV relativeFrom="paragraph">
              <wp:posOffset>130209</wp:posOffset>
            </wp:positionV>
            <wp:extent cx="262127" cy="100753"/>
            <wp:effectExtent l="0" t="0" r="0" b="0"/>
            <wp:wrapNone/>
            <wp:docPr id="1567" name="image8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 name="image811.png"/>
                    <pic:cNvPicPr/>
                  </pic:nvPicPr>
                  <pic:blipFill>
                    <a:blip r:embed="rId1066" cstate="print"/>
                    <a:stretch>
                      <a:fillRect/>
                    </a:stretch>
                  </pic:blipFill>
                  <pic:spPr>
                    <a:xfrm>
                      <a:off x="0" y="0"/>
                      <a:ext cx="262127" cy="100753"/>
                    </a:xfrm>
                    <a:prstGeom prst="rect">
                      <a:avLst/>
                    </a:prstGeom>
                  </pic:spPr>
                </pic:pic>
              </a:graphicData>
            </a:graphic>
          </wp:anchor>
        </w:drawing>
      </w:r>
      <w:r>
        <w:t>In</w:t>
      </w:r>
      <w:r>
        <w:rPr>
          <w:spacing w:val="-5"/>
        </w:rPr>
        <w:t xml:space="preserve"> </w:t>
      </w:r>
      <w:r>
        <w:t>addition,</w:t>
      </w:r>
      <w:r>
        <w:rPr>
          <w:spacing w:val="-5"/>
        </w:rPr>
        <w:t xml:space="preserve"> </w:t>
      </w:r>
      <w:r>
        <w:t>CADA</w:t>
      </w:r>
      <w:r>
        <w:rPr>
          <w:spacing w:val="-4"/>
        </w:rPr>
        <w:t xml:space="preserve"> </w:t>
      </w:r>
      <w:r>
        <w:t>made</w:t>
      </w:r>
      <w:r>
        <w:rPr>
          <w:spacing w:val="-6"/>
        </w:rPr>
        <w:t xml:space="preserve"> </w:t>
      </w:r>
      <w:r>
        <w:t>several</w:t>
      </w:r>
      <w:r>
        <w:rPr>
          <w:spacing w:val="-6"/>
        </w:rPr>
        <w:t xml:space="preserve"> </w:t>
      </w:r>
      <w:r>
        <w:t>other</w:t>
      </w:r>
      <w:r>
        <w:rPr>
          <w:spacing w:val="-4"/>
        </w:rPr>
        <w:t xml:space="preserve"> </w:t>
      </w:r>
      <w:r>
        <w:t>unsubstantiated</w:t>
      </w:r>
      <w:r>
        <w:rPr>
          <w:spacing w:val="-3"/>
        </w:rPr>
        <w:t xml:space="preserve"> </w:t>
      </w:r>
      <w:r>
        <w:t>claims,</w:t>
      </w:r>
      <w:r>
        <w:rPr>
          <w:spacing w:val="-5"/>
        </w:rPr>
        <w:t xml:space="preserve"> </w:t>
      </w:r>
      <w:r>
        <w:t>without</w:t>
      </w:r>
      <w:r>
        <w:rPr>
          <w:spacing w:val="-5"/>
        </w:rPr>
        <w:t xml:space="preserve"> </w:t>
      </w:r>
      <w:r>
        <w:t>providing</w:t>
      </w:r>
      <w:r>
        <w:rPr>
          <w:spacing w:val="-4"/>
        </w:rPr>
        <w:t xml:space="preserve"> </w:t>
      </w:r>
      <w:r>
        <w:t>any</w:t>
      </w:r>
      <w:r>
        <w:t xml:space="preserve"> sources</w:t>
      </w:r>
      <w:r>
        <w:rPr>
          <w:spacing w:val="-9"/>
        </w:rPr>
        <w:t xml:space="preserve"> </w:t>
      </w:r>
      <w:r>
        <w:t>of</w:t>
      </w:r>
      <w:r>
        <w:rPr>
          <w:spacing w:val="-8"/>
        </w:rPr>
        <w:t xml:space="preserve"> </w:t>
      </w:r>
      <w:r>
        <w:t>supporting</w:t>
      </w:r>
      <w:r>
        <w:rPr>
          <w:spacing w:val="-7"/>
        </w:rPr>
        <w:t xml:space="preserve"> </w:t>
      </w:r>
      <w:r>
        <w:t>information</w:t>
      </w:r>
      <w:r>
        <w:rPr>
          <w:spacing w:val="-7"/>
        </w:rPr>
        <w:t xml:space="preserve"> </w:t>
      </w:r>
      <w:r>
        <w:t>when</w:t>
      </w:r>
      <w:r>
        <w:rPr>
          <w:spacing w:val="-8"/>
        </w:rPr>
        <w:t xml:space="preserve"> </w:t>
      </w:r>
      <w:r>
        <w:t>discussing</w:t>
      </w:r>
      <w:r>
        <w:rPr>
          <w:spacing w:val="-7"/>
        </w:rPr>
        <w:t xml:space="preserve"> </w:t>
      </w:r>
      <w:r>
        <w:t>the</w:t>
      </w:r>
      <w:r>
        <w:rPr>
          <w:spacing w:val="-7"/>
        </w:rPr>
        <w:t xml:space="preserve"> </w:t>
      </w:r>
      <w:r>
        <w:t>alleged</w:t>
      </w:r>
      <w:r>
        <w:rPr>
          <w:spacing w:val="-8"/>
        </w:rPr>
        <w:t xml:space="preserve"> </w:t>
      </w:r>
      <w:r>
        <w:t>influence</w:t>
      </w:r>
      <w:r>
        <w:rPr>
          <w:spacing w:val="-7"/>
        </w:rPr>
        <w:t xml:space="preserve"> </w:t>
      </w:r>
      <w:r>
        <w:t>of</w:t>
      </w:r>
      <w:r>
        <w:rPr>
          <w:spacing w:val="-8"/>
        </w:rPr>
        <w:t xml:space="preserve"> </w:t>
      </w:r>
      <w:r>
        <w:t>subject</w:t>
      </w:r>
      <w:r>
        <w:rPr>
          <w:spacing w:val="-9"/>
        </w:rPr>
        <w:t xml:space="preserve"> </w:t>
      </w:r>
      <w:r>
        <w:t>imports</w:t>
      </w:r>
      <w:r>
        <w:rPr>
          <w:spacing w:val="-8"/>
        </w:rPr>
        <w:t xml:space="preserve"> </w:t>
      </w:r>
      <w:r>
        <w:t>of Australian wine on the prices of domestic like products. These were no more than "simple assertions" unsubstantiated by evidence. These claims included:</w:t>
      </w:r>
    </w:p>
    <w:p w14:paraId="51DE95A5" w14:textId="77777777" w:rsidR="0010369C" w:rsidRDefault="008E43AE">
      <w:pPr>
        <w:pStyle w:val="ListParagraph"/>
        <w:numPr>
          <w:ilvl w:val="0"/>
          <w:numId w:val="29"/>
        </w:numPr>
        <w:tabs>
          <w:tab w:val="left" w:pos="1939"/>
          <w:tab w:val="left" w:pos="1940"/>
        </w:tabs>
        <w:spacing w:before="160" w:line="357" w:lineRule="auto"/>
        <w:ind w:right="612" w:hanging="852"/>
        <w:rPr>
          <w:sz w:val="24"/>
        </w:rPr>
      </w:pPr>
      <w:r>
        <w:rPr>
          <w:sz w:val="24"/>
        </w:rPr>
        <w:t>"[T]here is no substantial difference in the basic physical and chemical properties</w:t>
      </w:r>
      <w:r>
        <w:rPr>
          <w:spacing w:val="-12"/>
          <w:sz w:val="24"/>
        </w:rPr>
        <w:t xml:space="preserve"> </w:t>
      </w:r>
      <w:r>
        <w:rPr>
          <w:sz w:val="24"/>
        </w:rPr>
        <w:t>of</w:t>
      </w:r>
      <w:r>
        <w:rPr>
          <w:spacing w:val="-12"/>
          <w:sz w:val="24"/>
        </w:rPr>
        <w:t xml:space="preserve"> </w:t>
      </w:r>
      <w:r>
        <w:rPr>
          <w:sz w:val="24"/>
        </w:rPr>
        <w:t>products</w:t>
      </w:r>
      <w:r>
        <w:rPr>
          <w:spacing w:val="-11"/>
          <w:sz w:val="24"/>
        </w:rPr>
        <w:t xml:space="preserve"> </w:t>
      </w:r>
      <w:r>
        <w:rPr>
          <w:sz w:val="24"/>
        </w:rPr>
        <w:t>subject</w:t>
      </w:r>
      <w:r>
        <w:rPr>
          <w:spacing w:val="-12"/>
          <w:sz w:val="24"/>
        </w:rPr>
        <w:t xml:space="preserve"> </w:t>
      </w:r>
      <w:r>
        <w:rPr>
          <w:sz w:val="24"/>
        </w:rPr>
        <w:t>to</w:t>
      </w:r>
      <w:r>
        <w:rPr>
          <w:spacing w:val="-12"/>
          <w:sz w:val="24"/>
        </w:rPr>
        <w:t xml:space="preserve"> </w:t>
      </w:r>
      <w:r>
        <w:rPr>
          <w:sz w:val="24"/>
        </w:rPr>
        <w:t>the</w:t>
      </w:r>
      <w:r>
        <w:rPr>
          <w:spacing w:val="-11"/>
          <w:sz w:val="24"/>
        </w:rPr>
        <w:t xml:space="preserve"> </w:t>
      </w:r>
      <w:r>
        <w:rPr>
          <w:sz w:val="24"/>
        </w:rPr>
        <w:t>investigation</w:t>
      </w:r>
      <w:r>
        <w:rPr>
          <w:spacing w:val="-11"/>
          <w:sz w:val="24"/>
        </w:rPr>
        <w:t xml:space="preserve"> </w:t>
      </w:r>
      <w:r>
        <w:rPr>
          <w:sz w:val="24"/>
        </w:rPr>
        <w:t>request</w:t>
      </w:r>
      <w:r>
        <w:rPr>
          <w:spacing w:val="-12"/>
          <w:sz w:val="24"/>
        </w:rPr>
        <w:t xml:space="preserve"> </w:t>
      </w:r>
      <w:r>
        <w:rPr>
          <w:sz w:val="24"/>
        </w:rPr>
        <w:t>and</w:t>
      </w:r>
      <w:r>
        <w:rPr>
          <w:spacing w:val="-12"/>
          <w:sz w:val="24"/>
        </w:rPr>
        <w:t xml:space="preserve"> </w:t>
      </w:r>
      <w:r>
        <w:rPr>
          <w:sz w:val="24"/>
        </w:rPr>
        <w:t>the</w:t>
      </w:r>
      <w:r>
        <w:rPr>
          <w:spacing w:val="-11"/>
          <w:sz w:val="24"/>
        </w:rPr>
        <w:t xml:space="preserve"> </w:t>
      </w:r>
      <w:r>
        <w:rPr>
          <w:sz w:val="24"/>
        </w:rPr>
        <w:t>domestic like products. They are like products that are competitive and mutually substitutable. Therefore, they com</w:t>
      </w:r>
      <w:r>
        <w:rPr>
          <w:sz w:val="24"/>
        </w:rPr>
        <w:t xml:space="preserve">pete with each other in the Chinese </w:t>
      </w:r>
      <w:r>
        <w:rPr>
          <w:spacing w:val="-2"/>
          <w:sz w:val="24"/>
        </w:rPr>
        <w:t>market";</w:t>
      </w:r>
      <w:r>
        <w:rPr>
          <w:spacing w:val="-2"/>
          <w:sz w:val="24"/>
          <w:vertAlign w:val="superscript"/>
        </w:rPr>
        <w:t>958</w:t>
      </w:r>
    </w:p>
    <w:p w14:paraId="51DE95A6" w14:textId="77777777" w:rsidR="0010369C" w:rsidRDefault="008E43AE">
      <w:pPr>
        <w:pStyle w:val="ListParagraph"/>
        <w:numPr>
          <w:ilvl w:val="0"/>
          <w:numId w:val="29"/>
        </w:numPr>
        <w:tabs>
          <w:tab w:val="left" w:pos="1940"/>
          <w:tab w:val="left" w:pos="1941"/>
        </w:tabs>
        <w:spacing w:before="135" w:line="357" w:lineRule="auto"/>
        <w:ind w:right="613" w:hanging="850"/>
        <w:rPr>
          <w:sz w:val="24"/>
        </w:rPr>
      </w:pPr>
      <w:r>
        <w:rPr>
          <w:sz w:val="24"/>
        </w:rPr>
        <w:t>the product under investigation and the domestic like product are "sold in the Chinese market at the same time through basically the same sales channels. They are sold to the national market through direct sa</w:t>
      </w:r>
      <w:r>
        <w:rPr>
          <w:sz w:val="24"/>
        </w:rPr>
        <w:t>les, brokerage, or online sales. There is no substantial difference in their customer groups";</w:t>
      </w:r>
      <w:r>
        <w:rPr>
          <w:sz w:val="24"/>
          <w:vertAlign w:val="superscript"/>
        </w:rPr>
        <w:t>959</w:t>
      </w:r>
    </w:p>
    <w:p w14:paraId="51DE95A7" w14:textId="77777777" w:rsidR="0010369C" w:rsidRDefault="008E43AE">
      <w:pPr>
        <w:pStyle w:val="ListParagraph"/>
        <w:numPr>
          <w:ilvl w:val="0"/>
          <w:numId w:val="29"/>
        </w:numPr>
        <w:tabs>
          <w:tab w:val="left" w:pos="1940"/>
          <w:tab w:val="left" w:pos="1941"/>
        </w:tabs>
        <w:spacing w:before="134" w:line="355" w:lineRule="auto"/>
        <w:ind w:right="614"/>
        <w:rPr>
          <w:sz w:val="24"/>
        </w:rPr>
      </w:pPr>
      <w:r>
        <w:rPr>
          <w:sz w:val="24"/>
        </w:rPr>
        <w:t>"[C]onsumers consume products subject to the investigation and the domestic like product at the same time";</w:t>
      </w:r>
      <w:r>
        <w:rPr>
          <w:sz w:val="24"/>
          <w:vertAlign w:val="superscript"/>
        </w:rPr>
        <w:t>960</w:t>
      </w:r>
      <w:r>
        <w:rPr>
          <w:sz w:val="24"/>
        </w:rPr>
        <w:t xml:space="preserve"> and</w:t>
      </w:r>
    </w:p>
    <w:p w14:paraId="51DE95A8" w14:textId="77777777" w:rsidR="0010369C" w:rsidRDefault="0010369C">
      <w:pPr>
        <w:pStyle w:val="BodyText"/>
        <w:rPr>
          <w:sz w:val="20"/>
        </w:rPr>
      </w:pPr>
    </w:p>
    <w:p w14:paraId="51DE95A9" w14:textId="77777777" w:rsidR="0010369C" w:rsidRDefault="0010369C">
      <w:pPr>
        <w:pStyle w:val="BodyText"/>
        <w:rPr>
          <w:sz w:val="20"/>
        </w:rPr>
      </w:pPr>
    </w:p>
    <w:p w14:paraId="51DE95AA" w14:textId="77777777" w:rsidR="0010369C" w:rsidRDefault="0010369C">
      <w:pPr>
        <w:pStyle w:val="BodyText"/>
        <w:rPr>
          <w:sz w:val="20"/>
        </w:rPr>
      </w:pPr>
    </w:p>
    <w:p w14:paraId="51DE95AB" w14:textId="77777777" w:rsidR="0010369C" w:rsidRDefault="008E43AE">
      <w:pPr>
        <w:pStyle w:val="BodyText"/>
        <w:spacing w:before="1"/>
        <w:rPr>
          <w:sz w:val="29"/>
        </w:rPr>
      </w:pPr>
      <w:r>
        <w:pict w14:anchorId="51DEA6B5">
          <v:rect id="docshape1261" o:spid="_x0000_s1166" style="position:absolute;margin-left:70.9pt;margin-top:19pt;width:2in;height:.8pt;z-index:-250745344;mso-wrap-distance-left:0;mso-wrap-distance-right:0;mso-position-horizontal-relative:page" fillcolor="black" stroked="f">
            <w10:wrap type="topAndBottom" anchorx="page"/>
          </v:rect>
        </w:pict>
      </w:r>
    </w:p>
    <w:p w14:paraId="51DE95AC" w14:textId="77777777" w:rsidR="0010369C" w:rsidRDefault="008E43AE">
      <w:pPr>
        <w:spacing w:before="109"/>
        <w:ind w:left="238" w:right="4151"/>
        <w:jc w:val="both"/>
        <w:rPr>
          <w:sz w:val="18"/>
        </w:rPr>
      </w:pPr>
      <w:r>
        <w:rPr>
          <w:sz w:val="18"/>
          <w:vertAlign w:val="superscript"/>
        </w:rPr>
        <w:t>956</w:t>
      </w:r>
      <w:r>
        <w:rPr>
          <w:spacing w:val="-4"/>
          <w:sz w:val="18"/>
        </w:rPr>
        <w:t xml:space="preserve"> </w:t>
      </w:r>
      <w:r>
        <w:rPr>
          <w:sz w:val="18"/>
        </w:rPr>
        <w:t>CADA</w:t>
      </w:r>
      <w:r>
        <w:rPr>
          <w:spacing w:val="-4"/>
          <w:sz w:val="18"/>
        </w:rPr>
        <w:t xml:space="preserve"> </w:t>
      </w:r>
      <w:r>
        <w:rPr>
          <w:sz w:val="18"/>
        </w:rPr>
        <w:t>Application</w:t>
      </w:r>
      <w:r>
        <w:rPr>
          <w:spacing w:val="-4"/>
          <w:sz w:val="18"/>
        </w:rPr>
        <w:t xml:space="preserve"> </w:t>
      </w:r>
      <w:r>
        <w:rPr>
          <w:sz w:val="18"/>
        </w:rPr>
        <w:t>for</w:t>
      </w:r>
      <w:r>
        <w:rPr>
          <w:spacing w:val="-4"/>
          <w:sz w:val="18"/>
        </w:rPr>
        <w:t xml:space="preserve"> </w:t>
      </w:r>
      <w:r>
        <w:rPr>
          <w:sz w:val="18"/>
        </w:rPr>
        <w:t>Anti‐Dumping</w:t>
      </w:r>
      <w:r>
        <w:rPr>
          <w:spacing w:val="-4"/>
          <w:sz w:val="18"/>
        </w:rPr>
        <w:t xml:space="preserve"> </w:t>
      </w:r>
      <w:r>
        <w:rPr>
          <w:sz w:val="18"/>
        </w:rPr>
        <w:t>Investigation</w:t>
      </w:r>
      <w:r>
        <w:rPr>
          <w:spacing w:val="-4"/>
          <w:sz w:val="18"/>
        </w:rPr>
        <w:t xml:space="preserve"> </w:t>
      </w:r>
      <w:r>
        <w:rPr>
          <w:sz w:val="18"/>
        </w:rPr>
        <w:t>(Exhibit</w:t>
      </w:r>
      <w:r>
        <w:rPr>
          <w:spacing w:val="-4"/>
          <w:sz w:val="18"/>
        </w:rPr>
        <w:t xml:space="preserve"> </w:t>
      </w:r>
      <w:r>
        <w:rPr>
          <w:sz w:val="18"/>
        </w:rPr>
        <w:t>AUS‐64),</w:t>
      </w:r>
      <w:r>
        <w:rPr>
          <w:spacing w:val="-4"/>
          <w:sz w:val="18"/>
        </w:rPr>
        <w:t xml:space="preserve"> </w:t>
      </w:r>
      <w:r>
        <w:rPr>
          <w:sz w:val="18"/>
        </w:rPr>
        <w:t>p.</w:t>
      </w:r>
      <w:r>
        <w:rPr>
          <w:spacing w:val="-4"/>
          <w:sz w:val="18"/>
        </w:rPr>
        <w:t xml:space="preserve"> </w:t>
      </w:r>
      <w:r>
        <w:rPr>
          <w:sz w:val="18"/>
        </w:rPr>
        <w:t xml:space="preserve">59. </w:t>
      </w:r>
      <w:r>
        <w:rPr>
          <w:sz w:val="18"/>
          <w:vertAlign w:val="superscript"/>
        </w:rPr>
        <w:t>957</w:t>
      </w:r>
      <w:r>
        <w:rPr>
          <w:spacing w:val="-4"/>
          <w:sz w:val="18"/>
        </w:rPr>
        <w:t xml:space="preserve"> </w:t>
      </w:r>
      <w:r>
        <w:rPr>
          <w:sz w:val="18"/>
        </w:rPr>
        <w:t>CADA</w:t>
      </w:r>
      <w:r>
        <w:rPr>
          <w:spacing w:val="-4"/>
          <w:sz w:val="18"/>
        </w:rPr>
        <w:t xml:space="preserve"> </w:t>
      </w:r>
      <w:r>
        <w:rPr>
          <w:sz w:val="18"/>
        </w:rPr>
        <w:t>Application</w:t>
      </w:r>
      <w:r>
        <w:rPr>
          <w:spacing w:val="-4"/>
          <w:sz w:val="18"/>
        </w:rPr>
        <w:t xml:space="preserve"> </w:t>
      </w:r>
      <w:r>
        <w:rPr>
          <w:sz w:val="18"/>
        </w:rPr>
        <w:t>for</w:t>
      </w:r>
      <w:r>
        <w:rPr>
          <w:spacing w:val="-4"/>
          <w:sz w:val="18"/>
        </w:rPr>
        <w:t xml:space="preserve"> </w:t>
      </w:r>
      <w:r>
        <w:rPr>
          <w:sz w:val="18"/>
        </w:rPr>
        <w:t>Anti‐Dumping</w:t>
      </w:r>
      <w:r>
        <w:rPr>
          <w:spacing w:val="-4"/>
          <w:sz w:val="18"/>
        </w:rPr>
        <w:t xml:space="preserve"> </w:t>
      </w:r>
      <w:r>
        <w:rPr>
          <w:sz w:val="18"/>
        </w:rPr>
        <w:t>Investigation</w:t>
      </w:r>
      <w:r>
        <w:rPr>
          <w:spacing w:val="-4"/>
          <w:sz w:val="18"/>
        </w:rPr>
        <w:t xml:space="preserve"> </w:t>
      </w:r>
      <w:r>
        <w:rPr>
          <w:sz w:val="18"/>
        </w:rPr>
        <w:t>(Exhibit</w:t>
      </w:r>
      <w:r>
        <w:rPr>
          <w:spacing w:val="-4"/>
          <w:sz w:val="18"/>
        </w:rPr>
        <w:t xml:space="preserve"> </w:t>
      </w:r>
      <w:r>
        <w:rPr>
          <w:sz w:val="18"/>
        </w:rPr>
        <w:t>AUS‐64),</w:t>
      </w:r>
      <w:r>
        <w:rPr>
          <w:spacing w:val="-4"/>
          <w:sz w:val="18"/>
        </w:rPr>
        <w:t xml:space="preserve"> </w:t>
      </w:r>
      <w:r>
        <w:rPr>
          <w:sz w:val="18"/>
        </w:rPr>
        <w:t>p.</w:t>
      </w:r>
      <w:r>
        <w:rPr>
          <w:spacing w:val="-4"/>
          <w:sz w:val="18"/>
        </w:rPr>
        <w:t xml:space="preserve"> </w:t>
      </w:r>
      <w:r>
        <w:rPr>
          <w:sz w:val="18"/>
        </w:rPr>
        <w:t xml:space="preserve">62. </w:t>
      </w:r>
      <w:r>
        <w:rPr>
          <w:sz w:val="18"/>
          <w:vertAlign w:val="superscript"/>
        </w:rPr>
        <w:t>958</w:t>
      </w:r>
      <w:r>
        <w:rPr>
          <w:spacing w:val="-3"/>
          <w:sz w:val="18"/>
        </w:rPr>
        <w:t xml:space="preserve"> </w:t>
      </w:r>
      <w:r>
        <w:rPr>
          <w:sz w:val="18"/>
        </w:rPr>
        <w:t>CADA</w:t>
      </w:r>
      <w:r>
        <w:rPr>
          <w:spacing w:val="-3"/>
          <w:sz w:val="18"/>
        </w:rPr>
        <w:t xml:space="preserve"> </w:t>
      </w:r>
      <w:r>
        <w:rPr>
          <w:sz w:val="18"/>
        </w:rPr>
        <w:t>Application</w:t>
      </w:r>
      <w:r>
        <w:rPr>
          <w:spacing w:val="-3"/>
          <w:sz w:val="18"/>
        </w:rPr>
        <w:t xml:space="preserve"> </w:t>
      </w:r>
      <w:r>
        <w:rPr>
          <w:sz w:val="18"/>
        </w:rPr>
        <w:t>for</w:t>
      </w:r>
      <w:r>
        <w:rPr>
          <w:spacing w:val="-4"/>
          <w:sz w:val="18"/>
        </w:rPr>
        <w:t xml:space="preserve"> </w:t>
      </w:r>
      <w:r>
        <w:rPr>
          <w:sz w:val="18"/>
        </w:rPr>
        <w:t>Anti‐Dumping</w:t>
      </w:r>
      <w:r>
        <w:rPr>
          <w:spacing w:val="-3"/>
          <w:sz w:val="18"/>
        </w:rPr>
        <w:t xml:space="preserve"> </w:t>
      </w:r>
      <w:r>
        <w:rPr>
          <w:sz w:val="18"/>
        </w:rPr>
        <w:t>investigation</w:t>
      </w:r>
      <w:r>
        <w:rPr>
          <w:spacing w:val="-3"/>
          <w:sz w:val="18"/>
        </w:rPr>
        <w:t xml:space="preserve"> </w:t>
      </w:r>
      <w:r>
        <w:rPr>
          <w:sz w:val="18"/>
        </w:rPr>
        <w:t>(Exhibit</w:t>
      </w:r>
      <w:r>
        <w:rPr>
          <w:spacing w:val="-3"/>
          <w:sz w:val="18"/>
        </w:rPr>
        <w:t xml:space="preserve"> </w:t>
      </w:r>
      <w:r>
        <w:rPr>
          <w:sz w:val="18"/>
        </w:rPr>
        <w:t>AUS‐64),</w:t>
      </w:r>
      <w:r>
        <w:rPr>
          <w:spacing w:val="-4"/>
          <w:sz w:val="18"/>
        </w:rPr>
        <w:t xml:space="preserve"> </w:t>
      </w:r>
      <w:r>
        <w:rPr>
          <w:sz w:val="18"/>
        </w:rPr>
        <w:t>p.</w:t>
      </w:r>
      <w:r>
        <w:rPr>
          <w:spacing w:val="-3"/>
          <w:sz w:val="18"/>
        </w:rPr>
        <w:t xml:space="preserve"> </w:t>
      </w:r>
      <w:r>
        <w:rPr>
          <w:sz w:val="18"/>
        </w:rPr>
        <w:t xml:space="preserve">55. </w:t>
      </w:r>
      <w:r>
        <w:rPr>
          <w:sz w:val="18"/>
          <w:vertAlign w:val="superscript"/>
        </w:rPr>
        <w:t>959</w:t>
      </w:r>
      <w:r>
        <w:rPr>
          <w:spacing w:val="-3"/>
          <w:sz w:val="18"/>
        </w:rPr>
        <w:t xml:space="preserve"> </w:t>
      </w:r>
      <w:r>
        <w:rPr>
          <w:sz w:val="18"/>
        </w:rPr>
        <w:t>CADA</w:t>
      </w:r>
      <w:r>
        <w:rPr>
          <w:spacing w:val="-3"/>
          <w:sz w:val="18"/>
        </w:rPr>
        <w:t xml:space="preserve"> </w:t>
      </w:r>
      <w:r>
        <w:rPr>
          <w:sz w:val="18"/>
        </w:rPr>
        <w:t>Application</w:t>
      </w:r>
      <w:r>
        <w:rPr>
          <w:spacing w:val="-3"/>
          <w:sz w:val="18"/>
        </w:rPr>
        <w:t xml:space="preserve"> </w:t>
      </w:r>
      <w:r>
        <w:rPr>
          <w:sz w:val="18"/>
        </w:rPr>
        <w:t>for</w:t>
      </w:r>
      <w:r>
        <w:rPr>
          <w:spacing w:val="-4"/>
          <w:sz w:val="18"/>
        </w:rPr>
        <w:t xml:space="preserve"> </w:t>
      </w:r>
      <w:r>
        <w:rPr>
          <w:sz w:val="18"/>
        </w:rPr>
        <w:t>Anti‐Dumping</w:t>
      </w:r>
      <w:r>
        <w:rPr>
          <w:spacing w:val="-3"/>
          <w:sz w:val="18"/>
        </w:rPr>
        <w:t xml:space="preserve"> </w:t>
      </w:r>
      <w:r>
        <w:rPr>
          <w:sz w:val="18"/>
        </w:rPr>
        <w:t>investigation</w:t>
      </w:r>
      <w:r>
        <w:rPr>
          <w:spacing w:val="-3"/>
          <w:sz w:val="18"/>
        </w:rPr>
        <w:t xml:space="preserve"> </w:t>
      </w:r>
      <w:r>
        <w:rPr>
          <w:sz w:val="18"/>
        </w:rPr>
        <w:t>(Exhibit</w:t>
      </w:r>
      <w:r>
        <w:rPr>
          <w:spacing w:val="-3"/>
          <w:sz w:val="18"/>
        </w:rPr>
        <w:t xml:space="preserve"> </w:t>
      </w:r>
      <w:r>
        <w:rPr>
          <w:sz w:val="18"/>
        </w:rPr>
        <w:t>A</w:t>
      </w:r>
      <w:r>
        <w:rPr>
          <w:sz w:val="18"/>
        </w:rPr>
        <w:t>US‐64),</w:t>
      </w:r>
      <w:r>
        <w:rPr>
          <w:spacing w:val="-4"/>
          <w:sz w:val="18"/>
        </w:rPr>
        <w:t xml:space="preserve"> </w:t>
      </w:r>
      <w:r>
        <w:rPr>
          <w:sz w:val="18"/>
        </w:rPr>
        <w:t>p.</w:t>
      </w:r>
      <w:r>
        <w:rPr>
          <w:spacing w:val="-3"/>
          <w:sz w:val="18"/>
        </w:rPr>
        <w:t xml:space="preserve"> </w:t>
      </w:r>
      <w:r>
        <w:rPr>
          <w:sz w:val="18"/>
        </w:rPr>
        <w:t xml:space="preserve">55. </w:t>
      </w:r>
      <w:r>
        <w:rPr>
          <w:sz w:val="18"/>
          <w:vertAlign w:val="superscript"/>
        </w:rPr>
        <w:t>960</w:t>
      </w:r>
      <w:r>
        <w:rPr>
          <w:spacing w:val="-3"/>
          <w:sz w:val="18"/>
        </w:rPr>
        <w:t xml:space="preserve"> </w:t>
      </w:r>
      <w:r>
        <w:rPr>
          <w:sz w:val="18"/>
        </w:rPr>
        <w:t>CADA</w:t>
      </w:r>
      <w:r>
        <w:rPr>
          <w:spacing w:val="-3"/>
          <w:sz w:val="18"/>
        </w:rPr>
        <w:t xml:space="preserve"> </w:t>
      </w:r>
      <w:r>
        <w:rPr>
          <w:sz w:val="18"/>
        </w:rPr>
        <w:t>Application</w:t>
      </w:r>
      <w:r>
        <w:rPr>
          <w:spacing w:val="-3"/>
          <w:sz w:val="18"/>
        </w:rPr>
        <w:t xml:space="preserve"> </w:t>
      </w:r>
      <w:r>
        <w:rPr>
          <w:sz w:val="18"/>
        </w:rPr>
        <w:t>for</w:t>
      </w:r>
      <w:r>
        <w:rPr>
          <w:spacing w:val="-4"/>
          <w:sz w:val="18"/>
        </w:rPr>
        <w:t xml:space="preserve"> </w:t>
      </w:r>
      <w:r>
        <w:rPr>
          <w:sz w:val="18"/>
        </w:rPr>
        <w:t>Anti‐Dumping</w:t>
      </w:r>
      <w:r>
        <w:rPr>
          <w:spacing w:val="-3"/>
          <w:sz w:val="18"/>
        </w:rPr>
        <w:t xml:space="preserve"> </w:t>
      </w:r>
      <w:r>
        <w:rPr>
          <w:sz w:val="18"/>
        </w:rPr>
        <w:t>investigation</w:t>
      </w:r>
      <w:r>
        <w:rPr>
          <w:spacing w:val="-3"/>
          <w:sz w:val="18"/>
        </w:rPr>
        <w:t xml:space="preserve"> </w:t>
      </w:r>
      <w:r>
        <w:rPr>
          <w:sz w:val="18"/>
        </w:rPr>
        <w:t>(Exhibit</w:t>
      </w:r>
      <w:r>
        <w:rPr>
          <w:spacing w:val="-3"/>
          <w:sz w:val="18"/>
        </w:rPr>
        <w:t xml:space="preserve"> </w:t>
      </w:r>
      <w:r>
        <w:rPr>
          <w:sz w:val="18"/>
        </w:rPr>
        <w:t>AUS‐64),</w:t>
      </w:r>
      <w:r>
        <w:rPr>
          <w:spacing w:val="-4"/>
          <w:sz w:val="18"/>
        </w:rPr>
        <w:t xml:space="preserve"> </w:t>
      </w:r>
      <w:r>
        <w:rPr>
          <w:sz w:val="18"/>
        </w:rPr>
        <w:t>p.</w:t>
      </w:r>
      <w:r>
        <w:rPr>
          <w:spacing w:val="-3"/>
          <w:sz w:val="18"/>
        </w:rPr>
        <w:t xml:space="preserve"> </w:t>
      </w:r>
      <w:r>
        <w:rPr>
          <w:sz w:val="18"/>
        </w:rPr>
        <w:t>55.</w:t>
      </w:r>
    </w:p>
    <w:p w14:paraId="51DE95AD" w14:textId="77777777" w:rsidR="0010369C" w:rsidRDefault="0010369C">
      <w:pPr>
        <w:jc w:val="both"/>
        <w:rPr>
          <w:sz w:val="18"/>
        </w:rPr>
        <w:sectPr w:rsidR="0010369C">
          <w:pgSz w:w="11910" w:h="16840"/>
          <w:pgMar w:top="880" w:right="800" w:bottom="980" w:left="1180" w:header="569" w:footer="788" w:gutter="0"/>
          <w:cols w:space="720"/>
        </w:sectPr>
      </w:pPr>
    </w:p>
    <w:p w14:paraId="51DE95AE" w14:textId="77777777" w:rsidR="0010369C" w:rsidRDefault="008E43AE">
      <w:pPr>
        <w:tabs>
          <w:tab w:val="left" w:pos="6426"/>
        </w:tabs>
        <w:ind w:left="238"/>
        <w:rPr>
          <w:sz w:val="20"/>
        </w:rPr>
      </w:pPr>
      <w:r>
        <w:rPr>
          <w:i/>
          <w:sz w:val="20"/>
        </w:rPr>
        <w:lastRenderedPageBreak/>
        <w:t>China</w:t>
      </w:r>
      <w:r>
        <w:rPr>
          <w:i/>
          <w:spacing w:val="-5"/>
          <w:sz w:val="20"/>
        </w:rPr>
        <w:t xml:space="preserve"> </w:t>
      </w:r>
      <w:r>
        <w:rPr>
          <w:i/>
          <w:sz w:val="20"/>
        </w:rPr>
        <w:t>–</w:t>
      </w:r>
      <w:r>
        <w:rPr>
          <w:i/>
          <w:spacing w:val="-5"/>
          <w:sz w:val="20"/>
        </w:rPr>
        <w:t xml:space="preserve"> </w:t>
      </w:r>
      <w:r>
        <w:rPr>
          <w:i/>
          <w:sz w:val="20"/>
        </w:rPr>
        <w:t>Anti‐Dumping</w:t>
      </w:r>
      <w:r>
        <w:rPr>
          <w:i/>
          <w:spacing w:val="-4"/>
          <w:sz w:val="20"/>
        </w:rPr>
        <w:t xml:space="preserve"> </w:t>
      </w:r>
      <w:r>
        <w:rPr>
          <w:i/>
          <w:sz w:val="20"/>
        </w:rPr>
        <w:t>and</w:t>
      </w:r>
      <w:r>
        <w:rPr>
          <w:i/>
          <w:spacing w:val="-5"/>
          <w:sz w:val="20"/>
        </w:rPr>
        <w:t xml:space="preserve"> </w:t>
      </w:r>
      <w:r>
        <w:rPr>
          <w:i/>
          <w:sz w:val="20"/>
        </w:rPr>
        <w:t>Countervailing</w:t>
      </w:r>
      <w:r>
        <w:rPr>
          <w:i/>
          <w:spacing w:val="-5"/>
          <w:sz w:val="20"/>
        </w:rPr>
        <w:t xml:space="preserve"> </w:t>
      </w:r>
      <w:r>
        <w:rPr>
          <w:i/>
          <w:sz w:val="20"/>
        </w:rPr>
        <w:t>Duty</w:t>
      </w:r>
      <w:r>
        <w:rPr>
          <w:i/>
          <w:spacing w:val="-4"/>
          <w:sz w:val="20"/>
        </w:rPr>
        <w:t xml:space="preserve"> </w:t>
      </w:r>
      <w:r>
        <w:rPr>
          <w:i/>
          <w:spacing w:val="-2"/>
          <w:sz w:val="20"/>
        </w:rPr>
        <w:t>Measures</w:t>
      </w:r>
      <w:r>
        <w:rPr>
          <w:i/>
          <w:sz w:val="20"/>
        </w:rPr>
        <w:tab/>
      </w:r>
      <w:r>
        <w:rPr>
          <w:sz w:val="20"/>
        </w:rPr>
        <w:t>Australia's</w:t>
      </w:r>
      <w:r>
        <w:rPr>
          <w:spacing w:val="-7"/>
          <w:sz w:val="20"/>
        </w:rPr>
        <w:t xml:space="preserve"> </w:t>
      </w:r>
      <w:r>
        <w:rPr>
          <w:sz w:val="20"/>
        </w:rPr>
        <w:t>First</w:t>
      </w:r>
      <w:r>
        <w:rPr>
          <w:spacing w:val="-2"/>
          <w:sz w:val="20"/>
        </w:rPr>
        <w:t xml:space="preserve"> </w:t>
      </w:r>
      <w:r>
        <w:rPr>
          <w:sz w:val="20"/>
        </w:rPr>
        <w:t>Written</w:t>
      </w:r>
      <w:r>
        <w:rPr>
          <w:spacing w:val="-2"/>
          <w:sz w:val="20"/>
        </w:rPr>
        <w:t xml:space="preserve"> Submission</w:t>
      </w:r>
    </w:p>
    <w:p w14:paraId="51DE95AF" w14:textId="77777777" w:rsidR="0010369C" w:rsidRDefault="008E43AE">
      <w:pPr>
        <w:tabs>
          <w:tab w:val="left" w:pos="8228"/>
        </w:tabs>
        <w:spacing w:before="1"/>
        <w:ind w:left="239"/>
        <w:rPr>
          <w:sz w:val="20"/>
        </w:rPr>
      </w:pPr>
      <w:r>
        <w:rPr>
          <w:i/>
          <w:sz w:val="20"/>
        </w:rPr>
        <w:t>on</w:t>
      </w:r>
      <w:r>
        <w:rPr>
          <w:i/>
          <w:spacing w:val="-1"/>
          <w:sz w:val="20"/>
        </w:rPr>
        <w:t xml:space="preserve"> </w:t>
      </w:r>
      <w:r>
        <w:rPr>
          <w:i/>
          <w:sz w:val="20"/>
        </w:rPr>
        <w:t>Wine</w:t>
      </w:r>
      <w:r>
        <w:rPr>
          <w:i/>
          <w:spacing w:val="-1"/>
          <w:sz w:val="20"/>
        </w:rPr>
        <w:t xml:space="preserve"> </w:t>
      </w:r>
      <w:r>
        <w:rPr>
          <w:i/>
          <w:sz w:val="20"/>
        </w:rPr>
        <w:t>from</w:t>
      </w:r>
      <w:r>
        <w:rPr>
          <w:i/>
          <w:spacing w:val="-3"/>
          <w:sz w:val="20"/>
        </w:rPr>
        <w:t xml:space="preserve"> </w:t>
      </w:r>
      <w:r>
        <w:rPr>
          <w:i/>
          <w:sz w:val="20"/>
        </w:rPr>
        <w:t>Australia</w:t>
      </w:r>
      <w:r>
        <w:rPr>
          <w:i/>
          <w:spacing w:val="-1"/>
          <w:sz w:val="20"/>
        </w:rPr>
        <w:t xml:space="preserve"> </w:t>
      </w:r>
      <w:r>
        <w:rPr>
          <w:spacing w:val="-2"/>
          <w:sz w:val="20"/>
        </w:rPr>
        <w:t>(DS602)</w:t>
      </w:r>
      <w:r>
        <w:rPr>
          <w:sz w:val="20"/>
        </w:rPr>
        <w:tab/>
        <w:t>29</w:t>
      </w:r>
      <w:r>
        <w:rPr>
          <w:spacing w:val="-1"/>
          <w:sz w:val="20"/>
        </w:rPr>
        <w:t xml:space="preserve"> </w:t>
      </w:r>
      <w:r>
        <w:rPr>
          <w:sz w:val="20"/>
        </w:rPr>
        <w:t>April</w:t>
      </w:r>
      <w:r>
        <w:rPr>
          <w:spacing w:val="-2"/>
          <w:sz w:val="20"/>
        </w:rPr>
        <w:t xml:space="preserve"> </w:t>
      </w:r>
      <w:r>
        <w:rPr>
          <w:spacing w:val="-4"/>
          <w:sz w:val="20"/>
        </w:rPr>
        <w:t>2022</w:t>
      </w:r>
    </w:p>
    <w:p w14:paraId="51DE95B0" w14:textId="77777777" w:rsidR="0010369C" w:rsidRDefault="008E43AE">
      <w:pPr>
        <w:pStyle w:val="ListParagraph"/>
        <w:numPr>
          <w:ilvl w:val="0"/>
          <w:numId w:val="29"/>
        </w:numPr>
        <w:tabs>
          <w:tab w:val="left" w:pos="1940"/>
          <w:tab w:val="left" w:pos="1941"/>
        </w:tabs>
        <w:spacing w:before="35" w:line="357" w:lineRule="auto"/>
        <w:ind w:right="612"/>
        <w:rPr>
          <w:sz w:val="24"/>
        </w:rPr>
      </w:pPr>
      <w:r>
        <w:rPr>
          <w:sz w:val="24"/>
        </w:rPr>
        <w:t>China's wine market potential has "great appeal to Australian winemakers, making them eager to seize and expand their market share in China by means of dumping".</w:t>
      </w:r>
      <w:r>
        <w:rPr>
          <w:sz w:val="24"/>
          <w:vertAlign w:val="superscript"/>
        </w:rPr>
        <w:t>961</w:t>
      </w:r>
    </w:p>
    <w:p w14:paraId="51DE95B1" w14:textId="77777777" w:rsidR="0010369C" w:rsidRDefault="008E43AE">
      <w:pPr>
        <w:pStyle w:val="BodyText"/>
        <w:spacing w:before="127" w:line="360" w:lineRule="auto"/>
        <w:ind w:left="236" w:right="613" w:firstLine="852"/>
        <w:jc w:val="both"/>
      </w:pPr>
      <w:r>
        <w:rPr>
          <w:noProof/>
        </w:rPr>
        <w:drawing>
          <wp:anchor distT="0" distB="0" distL="0" distR="0" simplePos="0" relativeHeight="251404800" behindDoc="1" locked="0" layoutInCell="1" allowOverlap="1" wp14:anchorId="51DEA6B6" wp14:editId="51DEA6B7">
            <wp:simplePos x="0" y="0"/>
            <wp:positionH relativeFrom="page">
              <wp:posOffset>902208</wp:posOffset>
            </wp:positionH>
            <wp:positionV relativeFrom="paragraph">
              <wp:posOffset>124410</wp:posOffset>
            </wp:positionV>
            <wp:extent cx="262127" cy="106679"/>
            <wp:effectExtent l="0" t="0" r="0" b="0"/>
            <wp:wrapNone/>
            <wp:docPr id="1569" name="image8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 name="image812.png"/>
                    <pic:cNvPicPr/>
                  </pic:nvPicPr>
                  <pic:blipFill>
                    <a:blip r:embed="rId1067" cstate="print"/>
                    <a:stretch>
                      <a:fillRect/>
                    </a:stretch>
                  </pic:blipFill>
                  <pic:spPr>
                    <a:xfrm>
                      <a:off x="0" y="0"/>
                      <a:ext cx="262127" cy="106679"/>
                    </a:xfrm>
                    <a:prstGeom prst="rect">
                      <a:avLst/>
                    </a:prstGeom>
                  </pic:spPr>
                </pic:pic>
              </a:graphicData>
            </a:graphic>
          </wp:anchor>
        </w:drawing>
      </w:r>
      <w:r>
        <w:t>The</w:t>
      </w:r>
      <w:r>
        <w:rPr>
          <w:spacing w:val="-2"/>
        </w:rPr>
        <w:t xml:space="preserve"> </w:t>
      </w:r>
      <w:r>
        <w:t>defects</w:t>
      </w:r>
      <w:r>
        <w:rPr>
          <w:spacing w:val="-4"/>
        </w:rPr>
        <w:t xml:space="preserve"> </w:t>
      </w:r>
      <w:r>
        <w:t>in</w:t>
      </w:r>
      <w:r>
        <w:rPr>
          <w:spacing w:val="-3"/>
        </w:rPr>
        <w:t xml:space="preserve"> </w:t>
      </w:r>
      <w:r>
        <w:t>CADA's</w:t>
      </w:r>
      <w:r>
        <w:rPr>
          <w:spacing w:val="-3"/>
        </w:rPr>
        <w:t xml:space="preserve"> </w:t>
      </w:r>
      <w:r>
        <w:t>submissions</w:t>
      </w:r>
      <w:r>
        <w:rPr>
          <w:spacing w:val="-3"/>
        </w:rPr>
        <w:t xml:space="preserve"> </w:t>
      </w:r>
      <w:r>
        <w:t>with</w:t>
      </w:r>
      <w:r>
        <w:rPr>
          <w:spacing w:val="-3"/>
        </w:rPr>
        <w:t xml:space="preserve"> </w:t>
      </w:r>
      <w:r>
        <w:t>respect</w:t>
      </w:r>
      <w:r>
        <w:rPr>
          <w:spacing w:val="-4"/>
        </w:rPr>
        <w:t xml:space="preserve"> </w:t>
      </w:r>
      <w:r>
        <w:t>to</w:t>
      </w:r>
      <w:r>
        <w:rPr>
          <w:spacing w:val="-2"/>
        </w:rPr>
        <w:t xml:space="preserve"> </w:t>
      </w:r>
      <w:r>
        <w:t>the</w:t>
      </w:r>
      <w:r>
        <w:rPr>
          <w:spacing w:val="-2"/>
        </w:rPr>
        <w:t xml:space="preserve"> </w:t>
      </w:r>
      <w:r>
        <w:t>alleged</w:t>
      </w:r>
      <w:r>
        <w:rPr>
          <w:spacing w:val="-3"/>
        </w:rPr>
        <w:t xml:space="preserve"> </w:t>
      </w:r>
      <w:r>
        <w:t>injury</w:t>
      </w:r>
      <w:r>
        <w:rPr>
          <w:spacing w:val="-2"/>
        </w:rPr>
        <w:t xml:space="preserve"> </w:t>
      </w:r>
      <w:r>
        <w:t>to</w:t>
      </w:r>
      <w:r>
        <w:rPr>
          <w:spacing w:val="-2"/>
        </w:rPr>
        <w:t xml:space="preserve"> </w:t>
      </w:r>
      <w:r>
        <w:t>the</w:t>
      </w:r>
      <w:r>
        <w:rPr>
          <w:spacing w:val="-2"/>
        </w:rPr>
        <w:t xml:space="preserve"> </w:t>
      </w:r>
      <w:r>
        <w:t>domestic industry should all have been readily apparent to MOFCOM in its assessment for sufficiency of evidence of the written application. The consequence of these defects was that CADA's application was incapable of showing sufficient evidence of the all</w:t>
      </w:r>
      <w:r>
        <w:t>eged injury. An unbiased and</w:t>
      </w:r>
      <w:r>
        <w:rPr>
          <w:spacing w:val="-14"/>
        </w:rPr>
        <w:t xml:space="preserve"> </w:t>
      </w:r>
      <w:r>
        <w:t>objective</w:t>
      </w:r>
      <w:r>
        <w:rPr>
          <w:spacing w:val="-14"/>
        </w:rPr>
        <w:t xml:space="preserve"> </w:t>
      </w:r>
      <w:r>
        <w:t>investigating</w:t>
      </w:r>
      <w:r>
        <w:rPr>
          <w:spacing w:val="-13"/>
        </w:rPr>
        <w:t xml:space="preserve"> </w:t>
      </w:r>
      <w:r>
        <w:t>authority</w:t>
      </w:r>
      <w:r>
        <w:rPr>
          <w:spacing w:val="-14"/>
        </w:rPr>
        <w:t xml:space="preserve"> </w:t>
      </w:r>
      <w:r>
        <w:t>relying</w:t>
      </w:r>
      <w:r>
        <w:rPr>
          <w:spacing w:val="-13"/>
        </w:rPr>
        <w:t xml:space="preserve"> </w:t>
      </w:r>
      <w:r>
        <w:t>solely</w:t>
      </w:r>
      <w:r>
        <w:rPr>
          <w:spacing w:val="-14"/>
        </w:rPr>
        <w:t xml:space="preserve"> </w:t>
      </w:r>
      <w:r>
        <w:t>on</w:t>
      </w:r>
      <w:r>
        <w:rPr>
          <w:spacing w:val="-13"/>
        </w:rPr>
        <w:t xml:space="preserve"> </w:t>
      </w:r>
      <w:r>
        <w:t>CADA's</w:t>
      </w:r>
      <w:r>
        <w:rPr>
          <w:spacing w:val="-14"/>
        </w:rPr>
        <w:t xml:space="preserve"> </w:t>
      </w:r>
      <w:r>
        <w:t>application</w:t>
      </w:r>
      <w:r>
        <w:rPr>
          <w:spacing w:val="-14"/>
        </w:rPr>
        <w:t xml:space="preserve"> </w:t>
      </w:r>
      <w:r>
        <w:t>could</w:t>
      </w:r>
      <w:r>
        <w:rPr>
          <w:spacing w:val="-13"/>
        </w:rPr>
        <w:t xml:space="preserve"> </w:t>
      </w:r>
      <w:r>
        <w:t>not</w:t>
      </w:r>
      <w:r>
        <w:rPr>
          <w:spacing w:val="-14"/>
        </w:rPr>
        <w:t xml:space="preserve"> </w:t>
      </w:r>
      <w:r>
        <w:t>have</w:t>
      </w:r>
      <w:r>
        <w:rPr>
          <w:spacing w:val="-13"/>
        </w:rPr>
        <w:t xml:space="preserve"> </w:t>
      </w:r>
      <w:r>
        <w:t>found that there was sufficient evidence of injury to justify the initiation of an investigation.</w:t>
      </w:r>
    </w:p>
    <w:p w14:paraId="51DE95B2" w14:textId="77777777" w:rsidR="0010369C" w:rsidRDefault="008E43AE">
      <w:pPr>
        <w:pStyle w:val="ListParagraph"/>
        <w:numPr>
          <w:ilvl w:val="2"/>
          <w:numId w:val="30"/>
        </w:numPr>
        <w:tabs>
          <w:tab w:val="left" w:pos="3642"/>
          <w:tab w:val="left" w:pos="3643"/>
        </w:tabs>
        <w:spacing w:before="162"/>
        <w:ind w:hanging="853"/>
        <w:jc w:val="both"/>
        <w:rPr>
          <w:sz w:val="24"/>
        </w:rPr>
      </w:pPr>
      <w:r>
        <w:rPr>
          <w:sz w:val="24"/>
          <w:u w:val="single"/>
        </w:rPr>
        <w:t>Relevant</w:t>
      </w:r>
      <w:r>
        <w:rPr>
          <w:spacing w:val="-13"/>
          <w:sz w:val="24"/>
          <w:u w:val="single"/>
        </w:rPr>
        <w:t xml:space="preserve"> </w:t>
      </w:r>
      <w:r>
        <w:rPr>
          <w:sz w:val="24"/>
          <w:u w:val="single"/>
        </w:rPr>
        <w:t>economic</w:t>
      </w:r>
      <w:r>
        <w:rPr>
          <w:spacing w:val="-11"/>
          <w:sz w:val="24"/>
          <w:u w:val="single"/>
        </w:rPr>
        <w:t xml:space="preserve"> </w:t>
      </w:r>
      <w:r>
        <w:rPr>
          <w:spacing w:val="-2"/>
          <w:sz w:val="24"/>
          <w:u w:val="single"/>
        </w:rPr>
        <w:t>factors</w:t>
      </w:r>
    </w:p>
    <w:p w14:paraId="51DE95B3" w14:textId="77777777" w:rsidR="0010369C" w:rsidRDefault="0010369C">
      <w:pPr>
        <w:pStyle w:val="BodyText"/>
        <w:spacing w:before="9"/>
        <w:rPr>
          <w:sz w:val="20"/>
        </w:rPr>
      </w:pPr>
    </w:p>
    <w:p w14:paraId="51DE95B4" w14:textId="77777777" w:rsidR="0010369C" w:rsidRDefault="008E43AE">
      <w:pPr>
        <w:pStyle w:val="BodyText"/>
        <w:spacing w:before="51" w:line="360" w:lineRule="auto"/>
        <w:ind w:left="237" w:right="613" w:firstLine="852"/>
        <w:jc w:val="both"/>
      </w:pPr>
      <w:r>
        <w:rPr>
          <w:noProof/>
        </w:rPr>
        <w:drawing>
          <wp:anchor distT="0" distB="0" distL="0" distR="0" simplePos="0" relativeHeight="251405824" behindDoc="1" locked="0" layoutInCell="1" allowOverlap="1" wp14:anchorId="51DEA6B8" wp14:editId="51DEA6B9">
            <wp:simplePos x="0" y="0"/>
            <wp:positionH relativeFrom="page">
              <wp:posOffset>902208</wp:posOffset>
            </wp:positionH>
            <wp:positionV relativeFrom="paragraph">
              <wp:posOffset>80722</wp:posOffset>
            </wp:positionV>
            <wp:extent cx="262127" cy="103631"/>
            <wp:effectExtent l="0" t="0" r="0" b="0"/>
            <wp:wrapNone/>
            <wp:docPr id="1571" name="image8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 name="image813.png"/>
                    <pic:cNvPicPr/>
                  </pic:nvPicPr>
                  <pic:blipFill>
                    <a:blip r:embed="rId1068" cstate="print"/>
                    <a:stretch>
                      <a:fillRect/>
                    </a:stretch>
                  </pic:blipFill>
                  <pic:spPr>
                    <a:xfrm>
                      <a:off x="0" y="0"/>
                      <a:ext cx="262127" cy="103631"/>
                    </a:xfrm>
                    <a:prstGeom prst="rect">
                      <a:avLst/>
                    </a:prstGeom>
                  </pic:spPr>
                </pic:pic>
              </a:graphicData>
            </a:graphic>
          </wp:anchor>
        </w:drawing>
      </w:r>
      <w:r>
        <w:t>CADA appears</w:t>
      </w:r>
      <w:r>
        <w:rPr>
          <w:spacing w:val="-1"/>
        </w:rPr>
        <w:t xml:space="preserve"> </w:t>
      </w:r>
      <w:r>
        <w:t>to</w:t>
      </w:r>
      <w:r>
        <w:t xml:space="preserve"> have attempted to provide information on the "relevant</w:t>
      </w:r>
      <w:r>
        <w:rPr>
          <w:spacing w:val="-2"/>
        </w:rPr>
        <w:t xml:space="preserve"> </w:t>
      </w:r>
      <w:r>
        <w:t>economic indicators or factors of the domestic industry" as required by Article 5.2(iv), on the basis of the factors listed in Article 3.4 of the Anti‐Dumping Agreement.</w:t>
      </w:r>
      <w:r>
        <w:rPr>
          <w:vertAlign w:val="superscript"/>
        </w:rPr>
        <w:t>962</w:t>
      </w:r>
      <w:r>
        <w:t xml:space="preserve"> This section involved repea</w:t>
      </w:r>
      <w:r>
        <w:t>ting largely the same claims as those discussed above, including in relation to changes in</w:t>
      </w:r>
      <w:r>
        <w:rPr>
          <w:spacing w:val="-12"/>
        </w:rPr>
        <w:t xml:space="preserve"> </w:t>
      </w:r>
      <w:r>
        <w:t>output,</w:t>
      </w:r>
      <w:r>
        <w:rPr>
          <w:spacing w:val="-12"/>
        </w:rPr>
        <w:t xml:space="preserve"> </w:t>
      </w:r>
      <w:r>
        <w:t>sales</w:t>
      </w:r>
      <w:r>
        <w:rPr>
          <w:spacing w:val="-12"/>
        </w:rPr>
        <w:t xml:space="preserve"> </w:t>
      </w:r>
      <w:r>
        <w:t>prices,</w:t>
      </w:r>
      <w:r>
        <w:rPr>
          <w:spacing w:val="-12"/>
        </w:rPr>
        <w:t xml:space="preserve"> </w:t>
      </w:r>
      <w:r>
        <w:t>and</w:t>
      </w:r>
      <w:r>
        <w:rPr>
          <w:spacing w:val="-12"/>
        </w:rPr>
        <w:t xml:space="preserve"> </w:t>
      </w:r>
      <w:r>
        <w:t>sales</w:t>
      </w:r>
      <w:r>
        <w:rPr>
          <w:spacing w:val="-12"/>
        </w:rPr>
        <w:t xml:space="preserve"> </w:t>
      </w:r>
      <w:r>
        <w:t>prices</w:t>
      </w:r>
      <w:r>
        <w:rPr>
          <w:spacing w:val="-13"/>
        </w:rPr>
        <w:t xml:space="preserve"> </w:t>
      </w:r>
      <w:r>
        <w:t>of</w:t>
      </w:r>
      <w:r>
        <w:rPr>
          <w:spacing w:val="-12"/>
        </w:rPr>
        <w:t xml:space="preserve"> </w:t>
      </w:r>
      <w:r>
        <w:t>four</w:t>
      </w:r>
      <w:r>
        <w:rPr>
          <w:spacing w:val="-12"/>
        </w:rPr>
        <w:t xml:space="preserve"> </w:t>
      </w:r>
      <w:r>
        <w:t>identified</w:t>
      </w:r>
      <w:r>
        <w:rPr>
          <w:spacing w:val="-13"/>
        </w:rPr>
        <w:t xml:space="preserve"> </w:t>
      </w:r>
      <w:r>
        <w:t>companies,</w:t>
      </w:r>
      <w:r>
        <w:rPr>
          <w:spacing w:val="-12"/>
        </w:rPr>
        <w:t xml:space="preserve"> </w:t>
      </w:r>
      <w:r>
        <w:t>all</w:t>
      </w:r>
      <w:r>
        <w:rPr>
          <w:spacing w:val="-12"/>
        </w:rPr>
        <w:t xml:space="preserve"> </w:t>
      </w:r>
      <w:r>
        <w:t>of</w:t>
      </w:r>
      <w:r>
        <w:rPr>
          <w:spacing w:val="-14"/>
        </w:rPr>
        <w:t xml:space="preserve"> </w:t>
      </w:r>
      <w:r>
        <w:t>which</w:t>
      </w:r>
      <w:r>
        <w:rPr>
          <w:spacing w:val="-12"/>
        </w:rPr>
        <w:t xml:space="preserve"> </w:t>
      </w:r>
      <w:r>
        <w:t>suffered</w:t>
      </w:r>
      <w:r>
        <w:rPr>
          <w:spacing w:val="-13"/>
        </w:rPr>
        <w:t xml:space="preserve"> </w:t>
      </w:r>
      <w:r>
        <w:t>from defects. For example:</w:t>
      </w:r>
    </w:p>
    <w:p w14:paraId="51DE95B5" w14:textId="77777777" w:rsidR="0010369C" w:rsidRDefault="008E43AE">
      <w:pPr>
        <w:pStyle w:val="ListParagraph"/>
        <w:numPr>
          <w:ilvl w:val="0"/>
          <w:numId w:val="29"/>
        </w:numPr>
        <w:tabs>
          <w:tab w:val="left" w:pos="1938"/>
          <w:tab w:val="left" w:pos="1939"/>
        </w:tabs>
        <w:spacing w:before="161" w:line="357" w:lineRule="auto"/>
        <w:ind w:left="1938" w:right="613"/>
        <w:rPr>
          <w:sz w:val="24"/>
        </w:rPr>
      </w:pPr>
      <w:r>
        <w:rPr>
          <w:sz w:val="24"/>
        </w:rPr>
        <w:t>The</w:t>
      </w:r>
      <w:r>
        <w:rPr>
          <w:spacing w:val="-14"/>
          <w:sz w:val="24"/>
        </w:rPr>
        <w:t xml:space="preserve"> </w:t>
      </w:r>
      <w:r>
        <w:rPr>
          <w:sz w:val="24"/>
        </w:rPr>
        <w:t>analyses</w:t>
      </w:r>
      <w:r>
        <w:rPr>
          <w:spacing w:val="-14"/>
          <w:sz w:val="24"/>
        </w:rPr>
        <w:t xml:space="preserve"> </w:t>
      </w:r>
      <w:r>
        <w:rPr>
          <w:sz w:val="24"/>
        </w:rPr>
        <w:t>of</w:t>
      </w:r>
      <w:r>
        <w:rPr>
          <w:spacing w:val="-13"/>
          <w:sz w:val="24"/>
        </w:rPr>
        <w:t xml:space="preserve"> </w:t>
      </w:r>
      <w:r>
        <w:rPr>
          <w:sz w:val="24"/>
        </w:rPr>
        <w:t>trends</w:t>
      </w:r>
      <w:r>
        <w:rPr>
          <w:spacing w:val="-14"/>
          <w:sz w:val="24"/>
        </w:rPr>
        <w:t xml:space="preserve"> </w:t>
      </w:r>
      <w:r>
        <w:rPr>
          <w:sz w:val="24"/>
        </w:rPr>
        <w:t>in</w:t>
      </w:r>
      <w:r>
        <w:rPr>
          <w:spacing w:val="-13"/>
          <w:sz w:val="24"/>
        </w:rPr>
        <w:t xml:space="preserve"> </w:t>
      </w:r>
      <w:r>
        <w:rPr>
          <w:sz w:val="24"/>
        </w:rPr>
        <w:t>"apparent</w:t>
      </w:r>
      <w:r>
        <w:rPr>
          <w:spacing w:val="-14"/>
          <w:sz w:val="24"/>
        </w:rPr>
        <w:t xml:space="preserve"> </w:t>
      </w:r>
      <w:r>
        <w:rPr>
          <w:sz w:val="24"/>
        </w:rPr>
        <w:t>consumption"</w:t>
      </w:r>
      <w:r>
        <w:rPr>
          <w:spacing w:val="-13"/>
          <w:sz w:val="24"/>
        </w:rPr>
        <w:t xml:space="preserve"> </w:t>
      </w:r>
      <w:r>
        <w:rPr>
          <w:sz w:val="24"/>
        </w:rPr>
        <w:t>and</w:t>
      </w:r>
      <w:r>
        <w:rPr>
          <w:spacing w:val="-14"/>
          <w:sz w:val="24"/>
        </w:rPr>
        <w:t xml:space="preserve"> </w:t>
      </w:r>
      <w:r>
        <w:rPr>
          <w:sz w:val="24"/>
        </w:rPr>
        <w:t>total</w:t>
      </w:r>
      <w:r>
        <w:rPr>
          <w:spacing w:val="-14"/>
          <w:sz w:val="24"/>
        </w:rPr>
        <w:t xml:space="preserve"> </w:t>
      </w:r>
      <w:r>
        <w:rPr>
          <w:sz w:val="24"/>
        </w:rPr>
        <w:t>domestic</w:t>
      </w:r>
      <w:r>
        <w:rPr>
          <w:spacing w:val="-13"/>
          <w:sz w:val="24"/>
        </w:rPr>
        <w:t xml:space="preserve"> </w:t>
      </w:r>
      <w:r>
        <w:rPr>
          <w:sz w:val="24"/>
        </w:rPr>
        <w:t>output were based upon the overinclusive domestic output data and were therefore incapable of showing the apparent consumption of the products in question.</w:t>
      </w:r>
      <w:r>
        <w:rPr>
          <w:sz w:val="24"/>
          <w:vertAlign w:val="superscript"/>
        </w:rPr>
        <w:t>963</w:t>
      </w:r>
    </w:p>
    <w:p w14:paraId="51DE95B6" w14:textId="77777777" w:rsidR="0010369C" w:rsidRDefault="008E43AE">
      <w:pPr>
        <w:pStyle w:val="ListParagraph"/>
        <w:numPr>
          <w:ilvl w:val="0"/>
          <w:numId w:val="29"/>
        </w:numPr>
        <w:tabs>
          <w:tab w:val="left" w:pos="1939"/>
          <w:tab w:val="left" w:pos="1941"/>
        </w:tabs>
        <w:spacing w:before="131" w:line="357" w:lineRule="auto"/>
        <w:ind w:right="613" w:hanging="850"/>
        <w:rPr>
          <w:sz w:val="24"/>
        </w:rPr>
      </w:pPr>
      <w:r>
        <w:rPr>
          <w:sz w:val="24"/>
        </w:rPr>
        <w:t xml:space="preserve">The analysis of the changes in market share of the like domestic </w:t>
      </w:r>
      <w:r>
        <w:rPr>
          <w:sz w:val="24"/>
        </w:rPr>
        <w:t>products was based on both of the above "apparent consumption" and "total domestic</w:t>
      </w:r>
      <w:r>
        <w:rPr>
          <w:spacing w:val="-3"/>
          <w:sz w:val="24"/>
        </w:rPr>
        <w:t xml:space="preserve"> </w:t>
      </w:r>
      <w:r>
        <w:rPr>
          <w:sz w:val="24"/>
        </w:rPr>
        <w:t>output</w:t>
      </w:r>
      <w:r>
        <w:rPr>
          <w:spacing w:val="-5"/>
          <w:sz w:val="24"/>
        </w:rPr>
        <w:t xml:space="preserve"> </w:t>
      </w:r>
      <w:r>
        <w:rPr>
          <w:sz w:val="24"/>
        </w:rPr>
        <w:t>figures"</w:t>
      </w:r>
      <w:r>
        <w:rPr>
          <w:spacing w:val="-5"/>
          <w:sz w:val="24"/>
        </w:rPr>
        <w:t xml:space="preserve"> </w:t>
      </w:r>
      <w:r>
        <w:rPr>
          <w:sz w:val="24"/>
        </w:rPr>
        <w:t>and</w:t>
      </w:r>
      <w:r>
        <w:rPr>
          <w:spacing w:val="-5"/>
          <w:sz w:val="24"/>
        </w:rPr>
        <w:t xml:space="preserve"> </w:t>
      </w:r>
      <w:r>
        <w:rPr>
          <w:sz w:val="24"/>
        </w:rPr>
        <w:t>was</w:t>
      </w:r>
      <w:r>
        <w:rPr>
          <w:spacing w:val="-5"/>
          <w:sz w:val="24"/>
        </w:rPr>
        <w:t xml:space="preserve"> </w:t>
      </w:r>
      <w:r>
        <w:rPr>
          <w:sz w:val="24"/>
        </w:rPr>
        <w:t>incapable</w:t>
      </w:r>
      <w:r>
        <w:rPr>
          <w:spacing w:val="-3"/>
          <w:sz w:val="24"/>
        </w:rPr>
        <w:t xml:space="preserve"> </w:t>
      </w:r>
      <w:r>
        <w:rPr>
          <w:sz w:val="24"/>
        </w:rPr>
        <w:t>of</w:t>
      </w:r>
      <w:r>
        <w:rPr>
          <w:spacing w:val="-5"/>
          <w:sz w:val="24"/>
        </w:rPr>
        <w:t xml:space="preserve"> </w:t>
      </w:r>
      <w:r>
        <w:rPr>
          <w:sz w:val="24"/>
        </w:rPr>
        <w:t>showing</w:t>
      </w:r>
      <w:r>
        <w:rPr>
          <w:spacing w:val="-5"/>
          <w:sz w:val="24"/>
        </w:rPr>
        <w:t xml:space="preserve"> </w:t>
      </w:r>
      <w:r>
        <w:rPr>
          <w:sz w:val="24"/>
        </w:rPr>
        <w:t>the</w:t>
      </w:r>
      <w:r>
        <w:rPr>
          <w:spacing w:val="-4"/>
          <w:sz w:val="24"/>
        </w:rPr>
        <w:t xml:space="preserve"> </w:t>
      </w:r>
      <w:r>
        <w:rPr>
          <w:sz w:val="24"/>
        </w:rPr>
        <w:t>market</w:t>
      </w:r>
      <w:r>
        <w:rPr>
          <w:spacing w:val="-5"/>
          <w:sz w:val="24"/>
        </w:rPr>
        <w:t xml:space="preserve"> </w:t>
      </w:r>
      <w:r>
        <w:rPr>
          <w:sz w:val="24"/>
        </w:rPr>
        <w:t>share</w:t>
      </w:r>
      <w:r>
        <w:rPr>
          <w:spacing w:val="-5"/>
          <w:sz w:val="24"/>
        </w:rPr>
        <w:t xml:space="preserve"> </w:t>
      </w:r>
      <w:r>
        <w:rPr>
          <w:sz w:val="24"/>
        </w:rPr>
        <w:t xml:space="preserve">of like products. </w:t>
      </w:r>
      <w:r>
        <w:rPr>
          <w:sz w:val="24"/>
          <w:vertAlign w:val="superscript"/>
        </w:rPr>
        <w:t>964</w:t>
      </w:r>
    </w:p>
    <w:p w14:paraId="51DE95B7" w14:textId="77777777" w:rsidR="0010369C" w:rsidRDefault="008E43AE">
      <w:pPr>
        <w:pStyle w:val="ListParagraph"/>
        <w:numPr>
          <w:ilvl w:val="0"/>
          <w:numId w:val="29"/>
        </w:numPr>
        <w:tabs>
          <w:tab w:val="left" w:pos="1940"/>
          <w:tab w:val="left" w:pos="1941"/>
        </w:tabs>
        <w:spacing w:before="132" w:line="357" w:lineRule="auto"/>
        <w:ind w:right="613"/>
        <w:rPr>
          <w:sz w:val="24"/>
        </w:rPr>
      </w:pPr>
      <w:r>
        <w:rPr>
          <w:sz w:val="24"/>
        </w:rPr>
        <w:t xml:space="preserve">The analysis of the changes in sales prices of domestic like products was again based on </w:t>
      </w:r>
      <w:r>
        <w:rPr>
          <w:sz w:val="24"/>
        </w:rPr>
        <w:t>the calculation of an "arithmetic average price" between high‐end</w:t>
      </w:r>
      <w:r>
        <w:rPr>
          <w:spacing w:val="28"/>
          <w:sz w:val="24"/>
        </w:rPr>
        <w:t xml:space="preserve"> </w:t>
      </w:r>
      <w:r>
        <w:rPr>
          <w:sz w:val="24"/>
        </w:rPr>
        <w:t>wine</w:t>
      </w:r>
      <w:r>
        <w:rPr>
          <w:spacing w:val="28"/>
          <w:sz w:val="24"/>
        </w:rPr>
        <w:t xml:space="preserve"> </w:t>
      </w:r>
      <w:r>
        <w:rPr>
          <w:sz w:val="24"/>
        </w:rPr>
        <w:t>products</w:t>
      </w:r>
      <w:r>
        <w:rPr>
          <w:spacing w:val="28"/>
          <w:sz w:val="24"/>
        </w:rPr>
        <w:t xml:space="preserve"> </w:t>
      </w:r>
      <w:r>
        <w:rPr>
          <w:sz w:val="24"/>
        </w:rPr>
        <w:t>and</w:t>
      </w:r>
      <w:r>
        <w:rPr>
          <w:spacing w:val="28"/>
          <w:sz w:val="24"/>
        </w:rPr>
        <w:t xml:space="preserve"> </w:t>
      </w:r>
      <w:r>
        <w:rPr>
          <w:sz w:val="24"/>
        </w:rPr>
        <w:t>medium‐</w:t>
      </w:r>
      <w:r>
        <w:rPr>
          <w:spacing w:val="28"/>
          <w:sz w:val="24"/>
        </w:rPr>
        <w:t xml:space="preserve"> </w:t>
      </w:r>
      <w:r>
        <w:rPr>
          <w:sz w:val="24"/>
        </w:rPr>
        <w:t>and</w:t>
      </w:r>
      <w:r>
        <w:rPr>
          <w:spacing w:val="28"/>
          <w:sz w:val="24"/>
        </w:rPr>
        <w:t xml:space="preserve"> </w:t>
      </w:r>
      <w:r>
        <w:rPr>
          <w:sz w:val="24"/>
        </w:rPr>
        <w:t>low‐end</w:t>
      </w:r>
      <w:r>
        <w:rPr>
          <w:spacing w:val="28"/>
          <w:sz w:val="24"/>
        </w:rPr>
        <w:t xml:space="preserve"> </w:t>
      </w:r>
      <w:r>
        <w:rPr>
          <w:sz w:val="24"/>
        </w:rPr>
        <w:t>wine</w:t>
      </w:r>
      <w:r>
        <w:rPr>
          <w:spacing w:val="28"/>
          <w:sz w:val="24"/>
        </w:rPr>
        <w:t xml:space="preserve"> </w:t>
      </w:r>
      <w:r>
        <w:rPr>
          <w:sz w:val="24"/>
        </w:rPr>
        <w:t>products,</w:t>
      </w:r>
      <w:r>
        <w:rPr>
          <w:spacing w:val="28"/>
          <w:sz w:val="24"/>
        </w:rPr>
        <w:t xml:space="preserve"> </w:t>
      </w:r>
      <w:r>
        <w:rPr>
          <w:sz w:val="24"/>
        </w:rPr>
        <w:t>which</w:t>
      </w:r>
    </w:p>
    <w:p w14:paraId="51DE95B8" w14:textId="77777777" w:rsidR="0010369C" w:rsidRDefault="008E43AE">
      <w:pPr>
        <w:pStyle w:val="BodyText"/>
        <w:spacing w:before="5"/>
        <w:rPr>
          <w:sz w:val="18"/>
        </w:rPr>
      </w:pPr>
      <w:r>
        <w:pict w14:anchorId="51DEA6BA">
          <v:rect id="docshape1262" o:spid="_x0000_s1165" style="position:absolute;margin-left:70.9pt;margin-top:12.45pt;width:2in;height:.8pt;z-index:-250744320;mso-wrap-distance-left:0;mso-wrap-distance-right:0;mso-position-horizontal-relative:page" fillcolor="black" stroked="f">
            <w10:wrap type="topAndBottom" anchorx="page"/>
          </v:rect>
        </w:pict>
      </w:r>
    </w:p>
    <w:p w14:paraId="51DE95B9" w14:textId="77777777" w:rsidR="0010369C" w:rsidRDefault="008E43AE">
      <w:pPr>
        <w:spacing w:before="110"/>
        <w:ind w:left="238"/>
        <w:rPr>
          <w:sz w:val="18"/>
        </w:rPr>
      </w:pPr>
      <w:r>
        <w:rPr>
          <w:sz w:val="18"/>
          <w:vertAlign w:val="superscript"/>
        </w:rPr>
        <w:t>961</w:t>
      </w:r>
      <w:r>
        <w:rPr>
          <w:spacing w:val="-9"/>
          <w:sz w:val="18"/>
        </w:rPr>
        <w:t xml:space="preserve"> </w:t>
      </w:r>
      <w:r>
        <w:rPr>
          <w:sz w:val="18"/>
        </w:rPr>
        <w:t>CADA</w:t>
      </w:r>
      <w:r>
        <w:rPr>
          <w:spacing w:val="-9"/>
          <w:sz w:val="18"/>
        </w:rPr>
        <w:t xml:space="preserve"> </w:t>
      </w:r>
      <w:r>
        <w:rPr>
          <w:sz w:val="18"/>
        </w:rPr>
        <w:t>Application</w:t>
      </w:r>
      <w:r>
        <w:rPr>
          <w:spacing w:val="-9"/>
          <w:sz w:val="18"/>
        </w:rPr>
        <w:t xml:space="preserve"> </w:t>
      </w:r>
      <w:r>
        <w:rPr>
          <w:sz w:val="18"/>
        </w:rPr>
        <w:t>for</w:t>
      </w:r>
      <w:r>
        <w:rPr>
          <w:spacing w:val="-9"/>
          <w:sz w:val="18"/>
        </w:rPr>
        <w:t xml:space="preserve"> </w:t>
      </w:r>
      <w:r>
        <w:rPr>
          <w:sz w:val="18"/>
        </w:rPr>
        <w:t>Anti‐Dumping</w:t>
      </w:r>
      <w:r>
        <w:rPr>
          <w:spacing w:val="-9"/>
          <w:sz w:val="18"/>
        </w:rPr>
        <w:t xml:space="preserve"> </w:t>
      </w:r>
      <w:r>
        <w:rPr>
          <w:sz w:val="18"/>
        </w:rPr>
        <w:t>investigation</w:t>
      </w:r>
      <w:r>
        <w:rPr>
          <w:spacing w:val="-9"/>
          <w:sz w:val="18"/>
        </w:rPr>
        <w:t xml:space="preserve"> </w:t>
      </w:r>
      <w:r>
        <w:rPr>
          <w:sz w:val="18"/>
        </w:rPr>
        <w:t>(Exhibit</w:t>
      </w:r>
      <w:r>
        <w:rPr>
          <w:spacing w:val="-9"/>
          <w:sz w:val="18"/>
        </w:rPr>
        <w:t xml:space="preserve"> </w:t>
      </w:r>
      <w:r>
        <w:rPr>
          <w:sz w:val="18"/>
        </w:rPr>
        <w:t>AUS‐64),</w:t>
      </w:r>
      <w:r>
        <w:rPr>
          <w:spacing w:val="-9"/>
          <w:sz w:val="18"/>
        </w:rPr>
        <w:t xml:space="preserve"> </w:t>
      </w:r>
      <w:r>
        <w:rPr>
          <w:sz w:val="18"/>
        </w:rPr>
        <w:t>p.</w:t>
      </w:r>
      <w:r>
        <w:rPr>
          <w:spacing w:val="-9"/>
          <w:sz w:val="18"/>
        </w:rPr>
        <w:t xml:space="preserve"> </w:t>
      </w:r>
      <w:r>
        <w:rPr>
          <w:spacing w:val="-5"/>
          <w:sz w:val="18"/>
        </w:rPr>
        <w:t>68.</w:t>
      </w:r>
    </w:p>
    <w:p w14:paraId="51DE95BA" w14:textId="77777777" w:rsidR="0010369C" w:rsidRDefault="008E43AE">
      <w:pPr>
        <w:ind w:left="238"/>
        <w:rPr>
          <w:sz w:val="18"/>
        </w:rPr>
      </w:pPr>
      <w:r>
        <w:rPr>
          <w:sz w:val="18"/>
          <w:vertAlign w:val="superscript"/>
        </w:rPr>
        <w:t>962</w:t>
      </w:r>
      <w:r>
        <w:rPr>
          <w:spacing w:val="-9"/>
          <w:sz w:val="18"/>
        </w:rPr>
        <w:t xml:space="preserve"> </w:t>
      </w:r>
      <w:r>
        <w:rPr>
          <w:sz w:val="18"/>
        </w:rPr>
        <w:t>CADA</w:t>
      </w:r>
      <w:r>
        <w:rPr>
          <w:spacing w:val="-9"/>
          <w:sz w:val="18"/>
        </w:rPr>
        <w:t xml:space="preserve"> </w:t>
      </w:r>
      <w:r>
        <w:rPr>
          <w:sz w:val="18"/>
        </w:rPr>
        <w:t>Application</w:t>
      </w:r>
      <w:r>
        <w:rPr>
          <w:spacing w:val="-9"/>
          <w:sz w:val="18"/>
        </w:rPr>
        <w:t xml:space="preserve"> </w:t>
      </w:r>
      <w:r>
        <w:rPr>
          <w:sz w:val="18"/>
        </w:rPr>
        <w:t>for</w:t>
      </w:r>
      <w:r>
        <w:rPr>
          <w:spacing w:val="-9"/>
          <w:sz w:val="18"/>
        </w:rPr>
        <w:t xml:space="preserve"> </w:t>
      </w:r>
      <w:r>
        <w:rPr>
          <w:sz w:val="18"/>
        </w:rPr>
        <w:t>Anti‐Dumping</w:t>
      </w:r>
      <w:r>
        <w:rPr>
          <w:spacing w:val="-9"/>
          <w:sz w:val="18"/>
        </w:rPr>
        <w:t xml:space="preserve"> </w:t>
      </w:r>
      <w:r>
        <w:rPr>
          <w:sz w:val="18"/>
        </w:rPr>
        <w:t>investigation</w:t>
      </w:r>
      <w:r>
        <w:rPr>
          <w:spacing w:val="-9"/>
          <w:sz w:val="18"/>
        </w:rPr>
        <w:t xml:space="preserve"> </w:t>
      </w:r>
      <w:r>
        <w:rPr>
          <w:sz w:val="18"/>
        </w:rPr>
        <w:t>(Exhibit</w:t>
      </w:r>
      <w:r>
        <w:rPr>
          <w:spacing w:val="-9"/>
          <w:sz w:val="18"/>
        </w:rPr>
        <w:t xml:space="preserve"> </w:t>
      </w:r>
      <w:r>
        <w:rPr>
          <w:sz w:val="18"/>
        </w:rPr>
        <w:t>AUS‐64),</w:t>
      </w:r>
      <w:r>
        <w:rPr>
          <w:spacing w:val="-9"/>
          <w:sz w:val="18"/>
        </w:rPr>
        <w:t xml:space="preserve"> </w:t>
      </w:r>
      <w:r>
        <w:rPr>
          <w:sz w:val="18"/>
        </w:rPr>
        <w:t>p.</w:t>
      </w:r>
      <w:r>
        <w:rPr>
          <w:spacing w:val="-9"/>
          <w:sz w:val="18"/>
        </w:rPr>
        <w:t xml:space="preserve"> </w:t>
      </w:r>
      <w:r>
        <w:rPr>
          <w:spacing w:val="-5"/>
          <w:sz w:val="18"/>
        </w:rPr>
        <w:t>59.</w:t>
      </w:r>
    </w:p>
    <w:p w14:paraId="51DE95BB" w14:textId="77777777" w:rsidR="0010369C" w:rsidRDefault="008E43AE">
      <w:pPr>
        <w:ind w:left="238"/>
        <w:rPr>
          <w:sz w:val="18"/>
        </w:rPr>
      </w:pPr>
      <w:r>
        <w:rPr>
          <w:sz w:val="18"/>
          <w:vertAlign w:val="superscript"/>
        </w:rPr>
        <w:t>963</w:t>
      </w:r>
      <w:r>
        <w:rPr>
          <w:spacing w:val="-7"/>
          <w:sz w:val="18"/>
        </w:rPr>
        <w:t xml:space="preserve"> </w:t>
      </w:r>
      <w:r>
        <w:rPr>
          <w:sz w:val="18"/>
        </w:rPr>
        <w:t>CADA</w:t>
      </w:r>
      <w:r>
        <w:rPr>
          <w:spacing w:val="-7"/>
          <w:sz w:val="18"/>
        </w:rPr>
        <w:t xml:space="preserve"> </w:t>
      </w:r>
      <w:r>
        <w:rPr>
          <w:sz w:val="18"/>
        </w:rPr>
        <w:t>Application</w:t>
      </w:r>
      <w:r>
        <w:rPr>
          <w:spacing w:val="-7"/>
          <w:sz w:val="18"/>
        </w:rPr>
        <w:t xml:space="preserve"> </w:t>
      </w:r>
      <w:r>
        <w:rPr>
          <w:sz w:val="18"/>
        </w:rPr>
        <w:t>for</w:t>
      </w:r>
      <w:r>
        <w:rPr>
          <w:spacing w:val="-8"/>
          <w:sz w:val="18"/>
        </w:rPr>
        <w:t xml:space="preserve"> </w:t>
      </w:r>
      <w:r>
        <w:rPr>
          <w:sz w:val="18"/>
        </w:rPr>
        <w:t>Anti‐Dumping</w:t>
      </w:r>
      <w:r>
        <w:rPr>
          <w:spacing w:val="-7"/>
          <w:sz w:val="18"/>
        </w:rPr>
        <w:t xml:space="preserve"> </w:t>
      </w:r>
      <w:r>
        <w:rPr>
          <w:sz w:val="18"/>
        </w:rPr>
        <w:t>Investigation</w:t>
      </w:r>
      <w:r>
        <w:rPr>
          <w:spacing w:val="-7"/>
          <w:sz w:val="18"/>
        </w:rPr>
        <w:t xml:space="preserve"> </w:t>
      </w:r>
      <w:r>
        <w:rPr>
          <w:sz w:val="18"/>
        </w:rPr>
        <w:t>(Exhibit</w:t>
      </w:r>
      <w:r>
        <w:rPr>
          <w:spacing w:val="-7"/>
          <w:sz w:val="18"/>
        </w:rPr>
        <w:t xml:space="preserve"> </w:t>
      </w:r>
      <w:r>
        <w:rPr>
          <w:sz w:val="18"/>
        </w:rPr>
        <w:t>AUS‐64),</w:t>
      </w:r>
      <w:r>
        <w:rPr>
          <w:spacing w:val="-8"/>
          <w:sz w:val="18"/>
        </w:rPr>
        <w:t xml:space="preserve"> </w:t>
      </w:r>
      <w:r>
        <w:rPr>
          <w:sz w:val="18"/>
        </w:rPr>
        <w:t>p.</w:t>
      </w:r>
      <w:r>
        <w:rPr>
          <w:spacing w:val="-6"/>
          <w:sz w:val="18"/>
        </w:rPr>
        <w:t xml:space="preserve"> </w:t>
      </w:r>
      <w:r>
        <w:rPr>
          <w:sz w:val="18"/>
        </w:rPr>
        <w:t>21</w:t>
      </w:r>
      <w:r>
        <w:rPr>
          <w:spacing w:val="-7"/>
          <w:sz w:val="18"/>
        </w:rPr>
        <w:t xml:space="preserve"> </w:t>
      </w:r>
      <w:r>
        <w:rPr>
          <w:sz w:val="18"/>
        </w:rPr>
        <w:t>and</w:t>
      </w:r>
      <w:r>
        <w:rPr>
          <w:spacing w:val="-7"/>
          <w:sz w:val="18"/>
        </w:rPr>
        <w:t xml:space="preserve"> </w:t>
      </w:r>
      <w:r>
        <w:rPr>
          <w:sz w:val="18"/>
        </w:rPr>
        <w:t>pp.</w:t>
      </w:r>
      <w:r>
        <w:rPr>
          <w:spacing w:val="-8"/>
          <w:sz w:val="18"/>
        </w:rPr>
        <w:t xml:space="preserve"> </w:t>
      </w:r>
      <w:r>
        <w:rPr>
          <w:sz w:val="18"/>
        </w:rPr>
        <w:t>60‐62;</w:t>
      </w:r>
      <w:r>
        <w:rPr>
          <w:spacing w:val="-8"/>
          <w:sz w:val="18"/>
        </w:rPr>
        <w:t xml:space="preserve"> </w:t>
      </w:r>
      <w:r>
        <w:rPr>
          <w:sz w:val="18"/>
        </w:rPr>
        <w:t>and</w:t>
      </w:r>
      <w:r>
        <w:rPr>
          <w:spacing w:val="-7"/>
          <w:sz w:val="18"/>
        </w:rPr>
        <w:t xml:space="preserve"> </w:t>
      </w:r>
      <w:r>
        <w:rPr>
          <w:sz w:val="18"/>
        </w:rPr>
        <w:t>see</w:t>
      </w:r>
      <w:r>
        <w:rPr>
          <w:spacing w:val="-7"/>
          <w:sz w:val="18"/>
        </w:rPr>
        <w:t xml:space="preserve"> </w:t>
      </w:r>
      <w:r>
        <w:rPr>
          <w:sz w:val="18"/>
        </w:rPr>
        <w:t>above</w:t>
      </w:r>
      <w:r>
        <w:rPr>
          <w:spacing w:val="-7"/>
          <w:sz w:val="18"/>
        </w:rPr>
        <w:t xml:space="preserve"> </w:t>
      </w:r>
      <w:r>
        <w:rPr>
          <w:sz w:val="18"/>
        </w:rPr>
        <w:t>Section</w:t>
      </w:r>
      <w:r>
        <w:rPr>
          <w:spacing w:val="-7"/>
          <w:sz w:val="18"/>
        </w:rPr>
        <w:t xml:space="preserve"> </w:t>
      </w:r>
      <w:r>
        <w:rPr>
          <w:spacing w:val="-2"/>
          <w:sz w:val="18"/>
        </w:rPr>
        <w:t>VI.A.</w:t>
      </w:r>
    </w:p>
    <w:p w14:paraId="51DE95BC" w14:textId="77777777" w:rsidR="0010369C" w:rsidRDefault="008E43AE">
      <w:pPr>
        <w:ind w:left="238"/>
        <w:rPr>
          <w:sz w:val="18"/>
        </w:rPr>
      </w:pPr>
      <w:r>
        <w:rPr>
          <w:sz w:val="18"/>
          <w:vertAlign w:val="superscript"/>
        </w:rPr>
        <w:t>964</w:t>
      </w:r>
      <w:r>
        <w:rPr>
          <w:spacing w:val="-10"/>
          <w:sz w:val="18"/>
        </w:rPr>
        <w:t xml:space="preserve"> </w:t>
      </w:r>
      <w:r>
        <w:rPr>
          <w:sz w:val="18"/>
        </w:rPr>
        <w:t>CADA</w:t>
      </w:r>
      <w:r>
        <w:rPr>
          <w:spacing w:val="-9"/>
          <w:sz w:val="18"/>
        </w:rPr>
        <w:t xml:space="preserve"> </w:t>
      </w:r>
      <w:r>
        <w:rPr>
          <w:sz w:val="18"/>
        </w:rPr>
        <w:t>Application</w:t>
      </w:r>
      <w:r>
        <w:rPr>
          <w:spacing w:val="-9"/>
          <w:sz w:val="18"/>
        </w:rPr>
        <w:t xml:space="preserve"> </w:t>
      </w:r>
      <w:r>
        <w:rPr>
          <w:sz w:val="18"/>
        </w:rPr>
        <w:t>for</w:t>
      </w:r>
      <w:r>
        <w:rPr>
          <w:spacing w:val="-10"/>
          <w:sz w:val="18"/>
        </w:rPr>
        <w:t xml:space="preserve"> </w:t>
      </w:r>
      <w:r>
        <w:rPr>
          <w:sz w:val="18"/>
        </w:rPr>
        <w:t>Anti‐Dumping</w:t>
      </w:r>
      <w:r>
        <w:rPr>
          <w:spacing w:val="-9"/>
          <w:sz w:val="18"/>
        </w:rPr>
        <w:t xml:space="preserve"> </w:t>
      </w:r>
      <w:r>
        <w:rPr>
          <w:sz w:val="18"/>
        </w:rPr>
        <w:t>Investigation</w:t>
      </w:r>
      <w:r>
        <w:rPr>
          <w:spacing w:val="-9"/>
          <w:sz w:val="18"/>
        </w:rPr>
        <w:t xml:space="preserve"> </w:t>
      </w:r>
      <w:r>
        <w:rPr>
          <w:sz w:val="18"/>
        </w:rPr>
        <w:t>(Exhibit</w:t>
      </w:r>
      <w:r>
        <w:rPr>
          <w:spacing w:val="-10"/>
          <w:sz w:val="18"/>
        </w:rPr>
        <w:t xml:space="preserve"> </w:t>
      </w:r>
      <w:r>
        <w:rPr>
          <w:sz w:val="18"/>
        </w:rPr>
        <w:t>AUS‐64),</w:t>
      </w:r>
      <w:r>
        <w:rPr>
          <w:spacing w:val="-10"/>
          <w:sz w:val="18"/>
        </w:rPr>
        <w:t xml:space="preserve"> </w:t>
      </w:r>
      <w:r>
        <w:rPr>
          <w:sz w:val="18"/>
        </w:rPr>
        <w:t>pp.</w:t>
      </w:r>
      <w:r>
        <w:rPr>
          <w:spacing w:val="-9"/>
          <w:sz w:val="18"/>
        </w:rPr>
        <w:t xml:space="preserve"> </w:t>
      </w:r>
      <w:r>
        <w:rPr>
          <w:spacing w:val="-2"/>
          <w:sz w:val="18"/>
        </w:rPr>
        <w:t>62‐63.</w:t>
      </w:r>
    </w:p>
    <w:p w14:paraId="51DE95BD" w14:textId="77777777" w:rsidR="0010369C" w:rsidRDefault="0010369C">
      <w:pPr>
        <w:rPr>
          <w:sz w:val="18"/>
        </w:rPr>
        <w:sectPr w:rsidR="0010369C">
          <w:pgSz w:w="11910" w:h="16840"/>
          <w:pgMar w:top="880" w:right="800" w:bottom="980" w:left="1180" w:header="569" w:footer="788" w:gutter="0"/>
          <w:cols w:space="720"/>
        </w:sectPr>
      </w:pPr>
    </w:p>
    <w:p w14:paraId="51DE95BE" w14:textId="77777777" w:rsidR="0010369C" w:rsidRDefault="008E43AE">
      <w:pPr>
        <w:tabs>
          <w:tab w:val="left" w:pos="6426"/>
        </w:tabs>
        <w:ind w:left="238"/>
        <w:rPr>
          <w:sz w:val="20"/>
        </w:rPr>
      </w:pPr>
      <w:r>
        <w:rPr>
          <w:i/>
          <w:sz w:val="20"/>
        </w:rPr>
        <w:lastRenderedPageBreak/>
        <w:t>China</w:t>
      </w:r>
      <w:r>
        <w:rPr>
          <w:i/>
          <w:spacing w:val="-5"/>
          <w:sz w:val="20"/>
        </w:rPr>
        <w:t xml:space="preserve"> </w:t>
      </w:r>
      <w:r>
        <w:rPr>
          <w:i/>
          <w:sz w:val="20"/>
        </w:rPr>
        <w:t>–</w:t>
      </w:r>
      <w:r>
        <w:rPr>
          <w:i/>
          <w:spacing w:val="-5"/>
          <w:sz w:val="20"/>
        </w:rPr>
        <w:t xml:space="preserve"> </w:t>
      </w:r>
      <w:r>
        <w:rPr>
          <w:i/>
          <w:sz w:val="20"/>
        </w:rPr>
        <w:t>Anti‐Dumping</w:t>
      </w:r>
      <w:r>
        <w:rPr>
          <w:i/>
          <w:spacing w:val="-4"/>
          <w:sz w:val="20"/>
        </w:rPr>
        <w:t xml:space="preserve"> </w:t>
      </w:r>
      <w:r>
        <w:rPr>
          <w:i/>
          <w:sz w:val="20"/>
        </w:rPr>
        <w:t>and</w:t>
      </w:r>
      <w:r>
        <w:rPr>
          <w:i/>
          <w:spacing w:val="-5"/>
          <w:sz w:val="20"/>
        </w:rPr>
        <w:t xml:space="preserve"> </w:t>
      </w:r>
      <w:r>
        <w:rPr>
          <w:i/>
          <w:sz w:val="20"/>
        </w:rPr>
        <w:t>Countervailing</w:t>
      </w:r>
      <w:r>
        <w:rPr>
          <w:i/>
          <w:spacing w:val="-5"/>
          <w:sz w:val="20"/>
        </w:rPr>
        <w:t xml:space="preserve"> </w:t>
      </w:r>
      <w:r>
        <w:rPr>
          <w:i/>
          <w:sz w:val="20"/>
        </w:rPr>
        <w:t>Duty</w:t>
      </w:r>
      <w:r>
        <w:rPr>
          <w:i/>
          <w:spacing w:val="-4"/>
          <w:sz w:val="20"/>
        </w:rPr>
        <w:t xml:space="preserve"> </w:t>
      </w:r>
      <w:r>
        <w:rPr>
          <w:i/>
          <w:spacing w:val="-2"/>
          <w:sz w:val="20"/>
        </w:rPr>
        <w:t>Measures</w:t>
      </w:r>
      <w:r>
        <w:rPr>
          <w:i/>
          <w:sz w:val="20"/>
        </w:rPr>
        <w:tab/>
      </w:r>
      <w:r>
        <w:rPr>
          <w:sz w:val="20"/>
        </w:rPr>
        <w:t>Australia's</w:t>
      </w:r>
      <w:r>
        <w:rPr>
          <w:spacing w:val="-7"/>
          <w:sz w:val="20"/>
        </w:rPr>
        <w:t xml:space="preserve"> </w:t>
      </w:r>
      <w:r>
        <w:rPr>
          <w:sz w:val="20"/>
        </w:rPr>
        <w:t>First</w:t>
      </w:r>
      <w:r>
        <w:rPr>
          <w:spacing w:val="-2"/>
          <w:sz w:val="20"/>
        </w:rPr>
        <w:t xml:space="preserve"> </w:t>
      </w:r>
      <w:r>
        <w:rPr>
          <w:sz w:val="20"/>
        </w:rPr>
        <w:t>Written</w:t>
      </w:r>
      <w:r>
        <w:rPr>
          <w:spacing w:val="-2"/>
          <w:sz w:val="20"/>
        </w:rPr>
        <w:t xml:space="preserve"> Submission</w:t>
      </w:r>
    </w:p>
    <w:p w14:paraId="51DE95BF" w14:textId="77777777" w:rsidR="0010369C" w:rsidRDefault="008E43AE">
      <w:pPr>
        <w:tabs>
          <w:tab w:val="left" w:pos="8228"/>
        </w:tabs>
        <w:spacing w:before="1"/>
        <w:ind w:left="239"/>
        <w:rPr>
          <w:sz w:val="20"/>
        </w:rPr>
      </w:pPr>
      <w:r>
        <w:rPr>
          <w:i/>
          <w:sz w:val="20"/>
        </w:rPr>
        <w:t>on</w:t>
      </w:r>
      <w:r>
        <w:rPr>
          <w:i/>
          <w:spacing w:val="-1"/>
          <w:sz w:val="20"/>
        </w:rPr>
        <w:t xml:space="preserve"> </w:t>
      </w:r>
      <w:r>
        <w:rPr>
          <w:i/>
          <w:sz w:val="20"/>
        </w:rPr>
        <w:t>Wine</w:t>
      </w:r>
      <w:r>
        <w:rPr>
          <w:i/>
          <w:spacing w:val="-1"/>
          <w:sz w:val="20"/>
        </w:rPr>
        <w:t xml:space="preserve"> </w:t>
      </w:r>
      <w:r>
        <w:rPr>
          <w:i/>
          <w:sz w:val="20"/>
        </w:rPr>
        <w:t>from</w:t>
      </w:r>
      <w:r>
        <w:rPr>
          <w:i/>
          <w:spacing w:val="-3"/>
          <w:sz w:val="20"/>
        </w:rPr>
        <w:t xml:space="preserve"> </w:t>
      </w:r>
      <w:r>
        <w:rPr>
          <w:i/>
          <w:sz w:val="20"/>
        </w:rPr>
        <w:t>Australia</w:t>
      </w:r>
      <w:r>
        <w:rPr>
          <w:i/>
          <w:spacing w:val="-1"/>
          <w:sz w:val="20"/>
        </w:rPr>
        <w:t xml:space="preserve"> </w:t>
      </w:r>
      <w:r>
        <w:rPr>
          <w:spacing w:val="-2"/>
          <w:sz w:val="20"/>
        </w:rPr>
        <w:t>(DS602)</w:t>
      </w:r>
      <w:r>
        <w:rPr>
          <w:sz w:val="20"/>
        </w:rPr>
        <w:tab/>
        <w:t>29</w:t>
      </w:r>
      <w:r>
        <w:rPr>
          <w:spacing w:val="-1"/>
          <w:sz w:val="20"/>
        </w:rPr>
        <w:t xml:space="preserve"> </w:t>
      </w:r>
      <w:r>
        <w:rPr>
          <w:sz w:val="20"/>
        </w:rPr>
        <w:t>April</w:t>
      </w:r>
      <w:r>
        <w:rPr>
          <w:spacing w:val="-2"/>
          <w:sz w:val="20"/>
        </w:rPr>
        <w:t xml:space="preserve"> </w:t>
      </w:r>
      <w:r>
        <w:rPr>
          <w:spacing w:val="-4"/>
          <w:sz w:val="20"/>
        </w:rPr>
        <w:t>2022</w:t>
      </w:r>
    </w:p>
    <w:p w14:paraId="51DE95C0" w14:textId="77777777" w:rsidR="0010369C" w:rsidRDefault="008E43AE">
      <w:pPr>
        <w:pStyle w:val="BodyText"/>
        <w:spacing w:before="34" w:line="360" w:lineRule="auto"/>
        <w:ind w:left="1939" w:right="613"/>
        <w:jc w:val="both"/>
      </w:pPr>
      <w:r>
        <w:t>purportedly identified a downward trend overall, while masking the clear upward trend in the medium and low‐end market.</w:t>
      </w:r>
      <w:r>
        <w:rPr>
          <w:vertAlign w:val="superscript"/>
        </w:rPr>
        <w:t>965</w:t>
      </w:r>
    </w:p>
    <w:p w14:paraId="51DE95C1" w14:textId="77777777" w:rsidR="0010369C" w:rsidRDefault="008E43AE">
      <w:pPr>
        <w:pStyle w:val="ListParagraph"/>
        <w:numPr>
          <w:ilvl w:val="0"/>
          <w:numId w:val="29"/>
        </w:numPr>
        <w:tabs>
          <w:tab w:val="left" w:pos="1940"/>
          <w:tab w:val="left" w:pos="1941"/>
        </w:tabs>
        <w:spacing w:line="357" w:lineRule="auto"/>
        <w:ind w:right="613"/>
        <w:rPr>
          <w:sz w:val="24"/>
        </w:rPr>
      </w:pPr>
      <w:r>
        <w:rPr>
          <w:sz w:val="24"/>
        </w:rPr>
        <w:t>The</w:t>
      </w:r>
      <w:r>
        <w:rPr>
          <w:spacing w:val="-4"/>
          <w:sz w:val="24"/>
        </w:rPr>
        <w:t xml:space="preserve"> </w:t>
      </w:r>
      <w:r>
        <w:rPr>
          <w:sz w:val="24"/>
        </w:rPr>
        <w:t>analysis</w:t>
      </w:r>
      <w:r>
        <w:rPr>
          <w:spacing w:val="-7"/>
          <w:sz w:val="24"/>
        </w:rPr>
        <w:t xml:space="preserve"> </w:t>
      </w:r>
      <w:r>
        <w:rPr>
          <w:sz w:val="24"/>
        </w:rPr>
        <w:t>of</w:t>
      </w:r>
      <w:r>
        <w:rPr>
          <w:spacing w:val="-5"/>
          <w:sz w:val="24"/>
        </w:rPr>
        <w:t xml:space="preserve"> </w:t>
      </w:r>
      <w:r>
        <w:rPr>
          <w:sz w:val="24"/>
        </w:rPr>
        <w:t>the</w:t>
      </w:r>
      <w:r>
        <w:rPr>
          <w:spacing w:val="-4"/>
          <w:sz w:val="24"/>
        </w:rPr>
        <w:t xml:space="preserve"> </w:t>
      </w:r>
      <w:r>
        <w:rPr>
          <w:sz w:val="24"/>
        </w:rPr>
        <w:t>changes</w:t>
      </w:r>
      <w:r>
        <w:rPr>
          <w:spacing w:val="-6"/>
          <w:sz w:val="24"/>
        </w:rPr>
        <w:t xml:space="preserve"> </w:t>
      </w:r>
      <w:r>
        <w:rPr>
          <w:sz w:val="24"/>
        </w:rPr>
        <w:t>in</w:t>
      </w:r>
      <w:r>
        <w:rPr>
          <w:spacing w:val="-5"/>
          <w:sz w:val="24"/>
        </w:rPr>
        <w:t xml:space="preserve"> </w:t>
      </w:r>
      <w:r>
        <w:rPr>
          <w:sz w:val="24"/>
        </w:rPr>
        <w:t>sales</w:t>
      </w:r>
      <w:r>
        <w:rPr>
          <w:spacing w:val="-4"/>
          <w:sz w:val="24"/>
        </w:rPr>
        <w:t xml:space="preserve"> </w:t>
      </w:r>
      <w:r>
        <w:rPr>
          <w:sz w:val="24"/>
        </w:rPr>
        <w:t>prices</w:t>
      </w:r>
      <w:r>
        <w:rPr>
          <w:spacing w:val="-5"/>
          <w:sz w:val="24"/>
        </w:rPr>
        <w:t xml:space="preserve"> </w:t>
      </w:r>
      <w:r>
        <w:rPr>
          <w:sz w:val="24"/>
        </w:rPr>
        <w:t>based</w:t>
      </w:r>
      <w:r>
        <w:rPr>
          <w:spacing w:val="-6"/>
          <w:sz w:val="24"/>
        </w:rPr>
        <w:t xml:space="preserve"> </w:t>
      </w:r>
      <w:r>
        <w:rPr>
          <w:sz w:val="24"/>
        </w:rPr>
        <w:t>on</w:t>
      </w:r>
      <w:r>
        <w:rPr>
          <w:spacing w:val="-5"/>
          <w:sz w:val="24"/>
        </w:rPr>
        <w:t xml:space="preserve"> </w:t>
      </w:r>
      <w:r>
        <w:rPr>
          <w:sz w:val="24"/>
        </w:rPr>
        <w:t>four</w:t>
      </w:r>
      <w:r>
        <w:rPr>
          <w:spacing w:val="-4"/>
          <w:sz w:val="24"/>
        </w:rPr>
        <w:t xml:space="preserve"> </w:t>
      </w:r>
      <w:r>
        <w:rPr>
          <w:sz w:val="24"/>
        </w:rPr>
        <w:t>companies</w:t>
      </w:r>
      <w:r>
        <w:rPr>
          <w:spacing w:val="-6"/>
          <w:sz w:val="24"/>
        </w:rPr>
        <w:t xml:space="preserve"> </w:t>
      </w:r>
      <w:r>
        <w:rPr>
          <w:sz w:val="24"/>
        </w:rPr>
        <w:t>was</w:t>
      </w:r>
      <w:r>
        <w:rPr>
          <w:spacing w:val="-5"/>
          <w:sz w:val="24"/>
        </w:rPr>
        <w:t xml:space="preserve"> </w:t>
      </w:r>
      <w:r>
        <w:rPr>
          <w:sz w:val="24"/>
        </w:rPr>
        <w:t xml:space="preserve">the same as the analysis discussed above, in the earlier injury section, and suffered from identical defects. </w:t>
      </w:r>
      <w:r>
        <w:rPr>
          <w:sz w:val="24"/>
          <w:vertAlign w:val="superscript"/>
        </w:rPr>
        <w:t>966</w:t>
      </w:r>
    </w:p>
    <w:p w14:paraId="51DE95C2" w14:textId="77777777" w:rsidR="0010369C" w:rsidRDefault="008E43AE">
      <w:pPr>
        <w:pStyle w:val="BodyText"/>
        <w:spacing w:before="128" w:line="360" w:lineRule="auto"/>
        <w:ind w:left="237" w:right="614" w:firstLine="852"/>
        <w:jc w:val="both"/>
      </w:pPr>
      <w:r>
        <w:rPr>
          <w:noProof/>
        </w:rPr>
        <w:drawing>
          <wp:anchor distT="0" distB="0" distL="0" distR="0" simplePos="0" relativeHeight="251406848" behindDoc="1" locked="0" layoutInCell="1" allowOverlap="1" wp14:anchorId="51DEA6BB" wp14:editId="51DEA6BC">
            <wp:simplePos x="0" y="0"/>
            <wp:positionH relativeFrom="page">
              <wp:posOffset>902208</wp:posOffset>
            </wp:positionH>
            <wp:positionV relativeFrom="paragraph">
              <wp:posOffset>125045</wp:posOffset>
            </wp:positionV>
            <wp:extent cx="262127" cy="106679"/>
            <wp:effectExtent l="0" t="0" r="0" b="0"/>
            <wp:wrapNone/>
            <wp:docPr id="1573" name="image8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 name="image814.png"/>
                    <pic:cNvPicPr/>
                  </pic:nvPicPr>
                  <pic:blipFill>
                    <a:blip r:embed="rId1069" cstate="print"/>
                    <a:stretch>
                      <a:fillRect/>
                    </a:stretch>
                  </pic:blipFill>
                  <pic:spPr>
                    <a:xfrm>
                      <a:off x="0" y="0"/>
                      <a:ext cx="262127" cy="106679"/>
                    </a:xfrm>
                    <a:prstGeom prst="rect">
                      <a:avLst/>
                    </a:prstGeom>
                  </pic:spPr>
                </pic:pic>
              </a:graphicData>
            </a:graphic>
          </wp:anchor>
        </w:drawing>
      </w:r>
      <w:r>
        <w:t xml:space="preserve">While an investigating authority is not required to have before it evidence of the quantity and quality that would be necessary to support a </w:t>
      </w:r>
      <w:r>
        <w:t>final determination of injury, the authority</w:t>
      </w:r>
      <w:r>
        <w:rPr>
          <w:spacing w:val="-9"/>
        </w:rPr>
        <w:t xml:space="preserve"> </w:t>
      </w:r>
      <w:r>
        <w:t>must</w:t>
      </w:r>
      <w:r>
        <w:rPr>
          <w:spacing w:val="-10"/>
        </w:rPr>
        <w:t xml:space="preserve"> </w:t>
      </w:r>
      <w:r>
        <w:t>have</w:t>
      </w:r>
      <w:r>
        <w:rPr>
          <w:spacing w:val="-9"/>
        </w:rPr>
        <w:t xml:space="preserve"> </w:t>
      </w:r>
      <w:r>
        <w:t>the</w:t>
      </w:r>
      <w:r>
        <w:rPr>
          <w:spacing w:val="-9"/>
        </w:rPr>
        <w:t xml:space="preserve"> </w:t>
      </w:r>
      <w:r>
        <w:t>same</w:t>
      </w:r>
      <w:r>
        <w:rPr>
          <w:spacing w:val="-9"/>
        </w:rPr>
        <w:t xml:space="preserve"> </w:t>
      </w:r>
      <w:r>
        <w:rPr>
          <w:i/>
        </w:rPr>
        <w:t>type</w:t>
      </w:r>
      <w:r>
        <w:rPr>
          <w:i/>
          <w:spacing w:val="-10"/>
        </w:rPr>
        <w:t xml:space="preserve"> </w:t>
      </w:r>
      <w:r>
        <w:t>of</w:t>
      </w:r>
      <w:r>
        <w:rPr>
          <w:spacing w:val="-10"/>
        </w:rPr>
        <w:t xml:space="preserve"> </w:t>
      </w:r>
      <w:r>
        <w:t>evidence</w:t>
      </w:r>
      <w:r>
        <w:rPr>
          <w:spacing w:val="-10"/>
        </w:rPr>
        <w:t xml:space="preserve"> </w:t>
      </w:r>
      <w:r>
        <w:t>of</w:t>
      </w:r>
      <w:r>
        <w:rPr>
          <w:spacing w:val="-10"/>
        </w:rPr>
        <w:t xml:space="preserve"> </w:t>
      </w:r>
      <w:r>
        <w:t>injury</w:t>
      </w:r>
      <w:r>
        <w:rPr>
          <w:spacing w:val="-9"/>
        </w:rPr>
        <w:t xml:space="preserve"> </w:t>
      </w:r>
      <w:r>
        <w:t>as</w:t>
      </w:r>
      <w:r>
        <w:rPr>
          <w:spacing w:val="-10"/>
        </w:rPr>
        <w:t xml:space="preserve"> </w:t>
      </w:r>
      <w:r>
        <w:t>defined</w:t>
      </w:r>
      <w:r>
        <w:rPr>
          <w:spacing w:val="-9"/>
        </w:rPr>
        <w:t xml:space="preserve"> </w:t>
      </w:r>
      <w:r>
        <w:t>in</w:t>
      </w:r>
      <w:r>
        <w:rPr>
          <w:spacing w:val="-10"/>
        </w:rPr>
        <w:t xml:space="preserve"> </w:t>
      </w:r>
      <w:r>
        <w:t>Article</w:t>
      </w:r>
      <w:r>
        <w:rPr>
          <w:spacing w:val="-10"/>
        </w:rPr>
        <w:t xml:space="preserve"> </w:t>
      </w:r>
      <w:r>
        <w:t>3.</w:t>
      </w:r>
      <w:r>
        <w:rPr>
          <w:vertAlign w:val="superscript"/>
        </w:rPr>
        <w:t>967</w:t>
      </w:r>
      <w:r>
        <w:rPr>
          <w:spacing w:val="-10"/>
        </w:rPr>
        <w:t xml:space="preserve"> </w:t>
      </w:r>
      <w:r>
        <w:t>An</w:t>
      </w:r>
      <w:r>
        <w:rPr>
          <w:spacing w:val="-10"/>
        </w:rPr>
        <w:t xml:space="preserve"> </w:t>
      </w:r>
      <w:r>
        <w:t>unbiased and objective investigating authority would have considered</w:t>
      </w:r>
      <w:r>
        <w:rPr>
          <w:spacing w:val="-1"/>
        </w:rPr>
        <w:t xml:space="preserve"> </w:t>
      </w:r>
      <w:r>
        <w:t xml:space="preserve">this obligation in its assessment for sufficiency of evidence of </w:t>
      </w:r>
      <w:r>
        <w:t>the written application. MOFCOM failed to do this. In fact, the analysis provided by CADA failed to address the majority of these criteria, or to provide data to support its allegations.</w:t>
      </w:r>
    </w:p>
    <w:p w14:paraId="51DE95C3" w14:textId="77777777" w:rsidR="0010369C" w:rsidRDefault="0010369C">
      <w:pPr>
        <w:pStyle w:val="BodyText"/>
        <w:spacing w:before="11"/>
        <w:rPr>
          <w:sz w:val="8"/>
        </w:rPr>
      </w:pPr>
    </w:p>
    <w:p w14:paraId="51DE95C4" w14:textId="77777777" w:rsidR="0010369C" w:rsidRDefault="008E43AE">
      <w:pPr>
        <w:pStyle w:val="BodyText"/>
        <w:spacing w:before="51" w:line="360" w:lineRule="auto"/>
        <w:ind w:left="236" w:right="613" w:firstLine="852"/>
        <w:jc w:val="both"/>
      </w:pPr>
      <w:r>
        <w:rPr>
          <w:noProof/>
        </w:rPr>
        <w:drawing>
          <wp:anchor distT="0" distB="0" distL="0" distR="0" simplePos="0" relativeHeight="251407872" behindDoc="1" locked="0" layoutInCell="1" allowOverlap="1" wp14:anchorId="51DEA6BD" wp14:editId="51DEA6BE">
            <wp:simplePos x="0" y="0"/>
            <wp:positionH relativeFrom="page">
              <wp:posOffset>902208</wp:posOffset>
            </wp:positionH>
            <wp:positionV relativeFrom="paragraph">
              <wp:posOffset>81314</wp:posOffset>
            </wp:positionV>
            <wp:extent cx="262127" cy="100753"/>
            <wp:effectExtent l="0" t="0" r="0" b="0"/>
            <wp:wrapNone/>
            <wp:docPr id="1575" name="image8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 name="image815.png"/>
                    <pic:cNvPicPr/>
                  </pic:nvPicPr>
                  <pic:blipFill>
                    <a:blip r:embed="rId1070" cstate="print"/>
                    <a:stretch>
                      <a:fillRect/>
                    </a:stretch>
                  </pic:blipFill>
                  <pic:spPr>
                    <a:xfrm>
                      <a:off x="0" y="0"/>
                      <a:ext cx="262127" cy="100753"/>
                    </a:xfrm>
                    <a:prstGeom prst="rect">
                      <a:avLst/>
                    </a:prstGeom>
                  </pic:spPr>
                </pic:pic>
              </a:graphicData>
            </a:graphic>
          </wp:anchor>
        </w:drawing>
      </w:r>
      <w:r>
        <w:t>CADA's failure to provide data regarding the majority of the factors listed in Article 3.4, namely return on investments, utilization of capacity, factors affecting domestic prices, actual and potential negative effects on cash flow, inventories, employmen</w:t>
      </w:r>
      <w:r>
        <w:t>t, wages, growth, and ability to raise capital or investments prevented an unbiased and objective investigating authority from determining if the initiation requirements were met.</w:t>
      </w:r>
    </w:p>
    <w:p w14:paraId="51DE95C5" w14:textId="77777777" w:rsidR="0010369C" w:rsidRDefault="0010369C">
      <w:pPr>
        <w:pStyle w:val="BodyText"/>
        <w:spacing w:before="12"/>
        <w:rPr>
          <w:sz w:val="8"/>
        </w:rPr>
      </w:pPr>
    </w:p>
    <w:p w14:paraId="51DE95C6" w14:textId="77777777" w:rsidR="0010369C" w:rsidRDefault="008E43AE">
      <w:pPr>
        <w:pStyle w:val="BodyText"/>
        <w:spacing w:before="51" w:line="360" w:lineRule="auto"/>
        <w:ind w:left="237" w:right="613" w:firstLine="852"/>
        <w:jc w:val="both"/>
      </w:pPr>
      <w:r>
        <w:rPr>
          <w:noProof/>
        </w:rPr>
        <w:drawing>
          <wp:anchor distT="0" distB="0" distL="0" distR="0" simplePos="0" relativeHeight="251408896" behindDoc="1" locked="0" layoutInCell="1" allowOverlap="1" wp14:anchorId="51DEA6BF" wp14:editId="51DEA6C0">
            <wp:simplePos x="0" y="0"/>
            <wp:positionH relativeFrom="page">
              <wp:posOffset>902208</wp:posOffset>
            </wp:positionH>
            <wp:positionV relativeFrom="paragraph">
              <wp:posOffset>80722</wp:posOffset>
            </wp:positionV>
            <wp:extent cx="262127" cy="103631"/>
            <wp:effectExtent l="0" t="0" r="0" b="0"/>
            <wp:wrapNone/>
            <wp:docPr id="1577" name="image8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 name="image816.png"/>
                    <pic:cNvPicPr/>
                  </pic:nvPicPr>
                  <pic:blipFill>
                    <a:blip r:embed="rId1071" cstate="print"/>
                    <a:stretch>
                      <a:fillRect/>
                    </a:stretch>
                  </pic:blipFill>
                  <pic:spPr>
                    <a:xfrm>
                      <a:off x="0" y="0"/>
                      <a:ext cx="262127" cy="103631"/>
                    </a:xfrm>
                    <a:prstGeom prst="rect">
                      <a:avLst/>
                    </a:prstGeom>
                  </pic:spPr>
                </pic:pic>
              </a:graphicData>
            </a:graphic>
          </wp:anchor>
        </w:drawing>
      </w:r>
      <w:r>
        <w:t>There is no evidence on the record of any active examination of the eviden</w:t>
      </w:r>
      <w:r>
        <w:t>ce, or consideration of additional data sources. This is despite CADA's admissions in its application that there were material limitations on the accuracy of the data it relied upon.</w:t>
      </w:r>
    </w:p>
    <w:p w14:paraId="51DE95C7" w14:textId="77777777" w:rsidR="0010369C" w:rsidRDefault="008E43AE">
      <w:pPr>
        <w:pStyle w:val="ListParagraph"/>
        <w:numPr>
          <w:ilvl w:val="2"/>
          <w:numId w:val="30"/>
        </w:numPr>
        <w:tabs>
          <w:tab w:val="left" w:pos="3641"/>
          <w:tab w:val="left" w:pos="3642"/>
        </w:tabs>
        <w:spacing w:before="162"/>
        <w:ind w:left="3641" w:hanging="853"/>
        <w:jc w:val="both"/>
        <w:rPr>
          <w:sz w:val="24"/>
        </w:rPr>
      </w:pPr>
      <w:r>
        <w:rPr>
          <w:sz w:val="24"/>
          <w:u w:val="single"/>
        </w:rPr>
        <w:t>Causal</w:t>
      </w:r>
      <w:r>
        <w:rPr>
          <w:spacing w:val="-7"/>
          <w:sz w:val="24"/>
          <w:u w:val="single"/>
        </w:rPr>
        <w:t xml:space="preserve"> </w:t>
      </w:r>
      <w:r>
        <w:rPr>
          <w:spacing w:val="-4"/>
          <w:sz w:val="24"/>
          <w:u w:val="single"/>
        </w:rPr>
        <w:t>link</w:t>
      </w:r>
    </w:p>
    <w:p w14:paraId="51DE95C8" w14:textId="77777777" w:rsidR="0010369C" w:rsidRDefault="0010369C">
      <w:pPr>
        <w:pStyle w:val="BodyText"/>
        <w:spacing w:before="8"/>
        <w:rPr>
          <w:sz w:val="20"/>
        </w:rPr>
      </w:pPr>
    </w:p>
    <w:p w14:paraId="51DE95C9" w14:textId="77777777" w:rsidR="0010369C" w:rsidRDefault="008E43AE">
      <w:pPr>
        <w:pStyle w:val="BodyText"/>
        <w:spacing w:before="52" w:line="360" w:lineRule="auto"/>
        <w:ind w:left="238" w:right="612" w:firstLine="850"/>
        <w:jc w:val="both"/>
      </w:pPr>
      <w:r>
        <w:rPr>
          <w:noProof/>
        </w:rPr>
        <w:drawing>
          <wp:anchor distT="0" distB="0" distL="0" distR="0" simplePos="0" relativeHeight="251409920" behindDoc="1" locked="0" layoutInCell="1" allowOverlap="1" wp14:anchorId="51DEA6C1" wp14:editId="51DEA6C2">
            <wp:simplePos x="0" y="0"/>
            <wp:positionH relativeFrom="page">
              <wp:posOffset>902208</wp:posOffset>
            </wp:positionH>
            <wp:positionV relativeFrom="paragraph">
              <wp:posOffset>81951</wp:posOffset>
            </wp:positionV>
            <wp:extent cx="262127" cy="100753"/>
            <wp:effectExtent l="0" t="0" r="0" b="0"/>
            <wp:wrapNone/>
            <wp:docPr id="1579" name="image8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 name="image817.png"/>
                    <pic:cNvPicPr/>
                  </pic:nvPicPr>
                  <pic:blipFill>
                    <a:blip r:embed="rId1072" cstate="print"/>
                    <a:stretch>
                      <a:fillRect/>
                    </a:stretch>
                  </pic:blipFill>
                  <pic:spPr>
                    <a:xfrm>
                      <a:off x="0" y="0"/>
                      <a:ext cx="262127" cy="100753"/>
                    </a:xfrm>
                    <a:prstGeom prst="rect">
                      <a:avLst/>
                    </a:prstGeom>
                  </pic:spPr>
                </pic:pic>
              </a:graphicData>
            </a:graphic>
          </wp:anchor>
        </w:drawing>
      </w:r>
      <w:r>
        <w:t>CADA</w:t>
      </w:r>
      <w:r>
        <w:rPr>
          <w:spacing w:val="-4"/>
        </w:rPr>
        <w:t xml:space="preserve"> </w:t>
      </w:r>
      <w:r>
        <w:t>also</w:t>
      </w:r>
      <w:r>
        <w:rPr>
          <w:spacing w:val="-4"/>
        </w:rPr>
        <w:t xml:space="preserve"> </w:t>
      </w:r>
      <w:r>
        <w:t>failed</w:t>
      </w:r>
      <w:r>
        <w:rPr>
          <w:spacing w:val="-5"/>
        </w:rPr>
        <w:t xml:space="preserve"> </w:t>
      </w:r>
      <w:r>
        <w:t>to</w:t>
      </w:r>
      <w:r>
        <w:rPr>
          <w:spacing w:val="-5"/>
        </w:rPr>
        <w:t xml:space="preserve"> </w:t>
      </w:r>
      <w:r>
        <w:t>provide</w:t>
      </w:r>
      <w:r>
        <w:rPr>
          <w:spacing w:val="-4"/>
        </w:rPr>
        <w:t xml:space="preserve"> </w:t>
      </w:r>
      <w:r>
        <w:t>sufficient</w:t>
      </w:r>
      <w:r>
        <w:rPr>
          <w:spacing w:val="-5"/>
        </w:rPr>
        <w:t xml:space="preserve"> </w:t>
      </w:r>
      <w:r>
        <w:t>evidence</w:t>
      </w:r>
      <w:r>
        <w:rPr>
          <w:spacing w:val="-5"/>
        </w:rPr>
        <w:t xml:space="preserve"> </w:t>
      </w:r>
      <w:r>
        <w:t>of</w:t>
      </w:r>
      <w:r>
        <w:rPr>
          <w:spacing w:val="-5"/>
        </w:rPr>
        <w:t xml:space="preserve"> </w:t>
      </w:r>
      <w:r>
        <w:t>a</w:t>
      </w:r>
      <w:r>
        <w:rPr>
          <w:spacing w:val="-5"/>
        </w:rPr>
        <w:t xml:space="preserve"> </w:t>
      </w:r>
      <w:r>
        <w:t>causal</w:t>
      </w:r>
      <w:r>
        <w:rPr>
          <w:spacing w:val="-5"/>
        </w:rPr>
        <w:t xml:space="preserve"> </w:t>
      </w:r>
      <w:r>
        <w:t>link</w:t>
      </w:r>
      <w:r>
        <w:rPr>
          <w:spacing w:val="-5"/>
        </w:rPr>
        <w:t xml:space="preserve"> </w:t>
      </w:r>
      <w:r>
        <w:t>between</w:t>
      </w:r>
      <w:r>
        <w:rPr>
          <w:spacing w:val="-5"/>
        </w:rPr>
        <w:t xml:space="preserve"> </w:t>
      </w:r>
      <w:r>
        <w:t>the</w:t>
      </w:r>
      <w:r>
        <w:rPr>
          <w:spacing w:val="-4"/>
        </w:rPr>
        <w:t xml:space="preserve"> </w:t>
      </w:r>
      <w:r>
        <w:t>allegedly dumped</w:t>
      </w:r>
      <w:r>
        <w:rPr>
          <w:spacing w:val="-6"/>
        </w:rPr>
        <w:t xml:space="preserve"> </w:t>
      </w:r>
      <w:r>
        <w:t>imports</w:t>
      </w:r>
      <w:r>
        <w:rPr>
          <w:spacing w:val="-6"/>
        </w:rPr>
        <w:t xml:space="preserve"> </w:t>
      </w:r>
      <w:r>
        <w:t>and</w:t>
      </w:r>
      <w:r>
        <w:rPr>
          <w:spacing w:val="-6"/>
        </w:rPr>
        <w:t xml:space="preserve"> </w:t>
      </w:r>
      <w:r>
        <w:t>the</w:t>
      </w:r>
      <w:r>
        <w:rPr>
          <w:spacing w:val="-6"/>
        </w:rPr>
        <w:t xml:space="preserve"> </w:t>
      </w:r>
      <w:r>
        <w:t>purported</w:t>
      </w:r>
      <w:r>
        <w:rPr>
          <w:spacing w:val="-6"/>
        </w:rPr>
        <w:t xml:space="preserve"> </w:t>
      </w:r>
      <w:r>
        <w:t>injury</w:t>
      </w:r>
      <w:r>
        <w:rPr>
          <w:spacing w:val="-6"/>
        </w:rPr>
        <w:t xml:space="preserve"> </w:t>
      </w:r>
      <w:r>
        <w:t>to</w:t>
      </w:r>
      <w:r>
        <w:rPr>
          <w:spacing w:val="-6"/>
        </w:rPr>
        <w:t xml:space="preserve"> </w:t>
      </w:r>
      <w:r>
        <w:t>the</w:t>
      </w:r>
      <w:r>
        <w:rPr>
          <w:spacing w:val="-7"/>
        </w:rPr>
        <w:t xml:space="preserve"> </w:t>
      </w:r>
      <w:r>
        <w:t>domestic</w:t>
      </w:r>
      <w:r>
        <w:rPr>
          <w:spacing w:val="-6"/>
        </w:rPr>
        <w:t xml:space="preserve"> </w:t>
      </w:r>
      <w:r>
        <w:t>industry.</w:t>
      </w:r>
      <w:r>
        <w:rPr>
          <w:spacing w:val="-6"/>
        </w:rPr>
        <w:t xml:space="preserve"> </w:t>
      </w:r>
      <w:r>
        <w:t>The</w:t>
      </w:r>
      <w:r>
        <w:rPr>
          <w:spacing w:val="-6"/>
        </w:rPr>
        <w:t xml:space="preserve"> </w:t>
      </w:r>
      <w:r>
        <w:t>evidence</w:t>
      </w:r>
      <w:r>
        <w:rPr>
          <w:spacing w:val="-6"/>
        </w:rPr>
        <w:t xml:space="preserve"> </w:t>
      </w:r>
      <w:r>
        <w:t>relied</w:t>
      </w:r>
      <w:r>
        <w:rPr>
          <w:spacing w:val="-7"/>
        </w:rPr>
        <w:t xml:space="preserve"> </w:t>
      </w:r>
      <w:r>
        <w:t>upon in</w:t>
      </w:r>
      <w:r>
        <w:rPr>
          <w:spacing w:val="-12"/>
        </w:rPr>
        <w:t xml:space="preserve"> </w:t>
      </w:r>
      <w:r>
        <w:t>CADA's</w:t>
      </w:r>
      <w:r>
        <w:rPr>
          <w:spacing w:val="-12"/>
        </w:rPr>
        <w:t xml:space="preserve"> </w:t>
      </w:r>
      <w:r>
        <w:t>section</w:t>
      </w:r>
      <w:r>
        <w:rPr>
          <w:spacing w:val="-13"/>
        </w:rPr>
        <w:t xml:space="preserve"> </w:t>
      </w:r>
      <w:r>
        <w:t>relating</w:t>
      </w:r>
      <w:r>
        <w:rPr>
          <w:spacing w:val="-13"/>
        </w:rPr>
        <w:t xml:space="preserve"> </w:t>
      </w:r>
      <w:r>
        <w:t>to</w:t>
      </w:r>
      <w:r>
        <w:rPr>
          <w:spacing w:val="-12"/>
        </w:rPr>
        <w:t xml:space="preserve"> </w:t>
      </w:r>
      <w:r>
        <w:t>the</w:t>
      </w:r>
      <w:r>
        <w:rPr>
          <w:spacing w:val="-13"/>
        </w:rPr>
        <w:t xml:space="preserve"> </w:t>
      </w:r>
      <w:r>
        <w:t>purported</w:t>
      </w:r>
      <w:r>
        <w:rPr>
          <w:spacing w:val="-13"/>
        </w:rPr>
        <w:t xml:space="preserve"> </w:t>
      </w:r>
      <w:r>
        <w:t>causal</w:t>
      </w:r>
      <w:r>
        <w:rPr>
          <w:spacing w:val="-12"/>
        </w:rPr>
        <w:t xml:space="preserve"> </w:t>
      </w:r>
      <w:r>
        <w:t>link</w:t>
      </w:r>
      <w:r>
        <w:rPr>
          <w:spacing w:val="-12"/>
        </w:rPr>
        <w:t xml:space="preserve"> </w:t>
      </w:r>
      <w:r>
        <w:t>was</w:t>
      </w:r>
      <w:r>
        <w:rPr>
          <w:spacing w:val="-13"/>
        </w:rPr>
        <w:t xml:space="preserve"> </w:t>
      </w:r>
      <w:r>
        <w:t>largely</w:t>
      </w:r>
      <w:r>
        <w:rPr>
          <w:spacing w:val="-11"/>
        </w:rPr>
        <w:t xml:space="preserve"> </w:t>
      </w:r>
      <w:r>
        <w:t>the</w:t>
      </w:r>
      <w:r>
        <w:rPr>
          <w:spacing w:val="-12"/>
        </w:rPr>
        <w:t xml:space="preserve"> </w:t>
      </w:r>
      <w:r>
        <w:t>same</w:t>
      </w:r>
      <w:r>
        <w:rPr>
          <w:spacing w:val="-12"/>
        </w:rPr>
        <w:t xml:space="preserve"> </w:t>
      </w:r>
      <w:r>
        <w:t>as</w:t>
      </w:r>
      <w:r>
        <w:rPr>
          <w:spacing w:val="-13"/>
        </w:rPr>
        <w:t xml:space="preserve"> </w:t>
      </w:r>
      <w:r>
        <w:t>that</w:t>
      </w:r>
      <w:r>
        <w:rPr>
          <w:spacing w:val="-14"/>
        </w:rPr>
        <w:t xml:space="preserve"> </w:t>
      </w:r>
      <w:r>
        <w:t>relied</w:t>
      </w:r>
      <w:r>
        <w:rPr>
          <w:spacing w:val="-13"/>
        </w:rPr>
        <w:t xml:space="preserve"> </w:t>
      </w:r>
      <w:r>
        <w:t>upon to demonstrate injury and suffered from the same defects outlined above.</w:t>
      </w:r>
      <w:r>
        <w:rPr>
          <w:vertAlign w:val="superscript"/>
        </w:rPr>
        <w:t>968</w:t>
      </w:r>
    </w:p>
    <w:p w14:paraId="51DE95CA" w14:textId="77777777" w:rsidR="0010369C" w:rsidRDefault="0010369C">
      <w:pPr>
        <w:pStyle w:val="BodyText"/>
        <w:rPr>
          <w:sz w:val="26"/>
        </w:rPr>
      </w:pPr>
    </w:p>
    <w:p w14:paraId="51DE95CB" w14:textId="77777777" w:rsidR="0010369C" w:rsidRDefault="0010369C">
      <w:pPr>
        <w:pStyle w:val="BodyText"/>
        <w:rPr>
          <w:sz w:val="26"/>
        </w:rPr>
      </w:pPr>
    </w:p>
    <w:p w14:paraId="51DE95CC" w14:textId="77777777" w:rsidR="0010369C" w:rsidRDefault="0010369C">
      <w:pPr>
        <w:pStyle w:val="BodyText"/>
        <w:rPr>
          <w:sz w:val="26"/>
        </w:rPr>
      </w:pPr>
    </w:p>
    <w:p w14:paraId="51DE95CD" w14:textId="77777777" w:rsidR="0010369C" w:rsidRDefault="0010369C">
      <w:pPr>
        <w:pStyle w:val="BodyText"/>
      </w:pPr>
    </w:p>
    <w:p w14:paraId="51DE95CE" w14:textId="77777777" w:rsidR="0010369C" w:rsidRDefault="008E43AE">
      <w:pPr>
        <w:ind w:left="238"/>
        <w:rPr>
          <w:sz w:val="18"/>
        </w:rPr>
      </w:pPr>
      <w:r>
        <w:rPr>
          <w:sz w:val="18"/>
          <w:vertAlign w:val="superscript"/>
        </w:rPr>
        <w:t>965</w:t>
      </w:r>
      <w:r>
        <w:rPr>
          <w:spacing w:val="-10"/>
          <w:sz w:val="18"/>
        </w:rPr>
        <w:t xml:space="preserve"> </w:t>
      </w:r>
      <w:r>
        <w:rPr>
          <w:sz w:val="18"/>
        </w:rPr>
        <w:t>CADA</w:t>
      </w:r>
      <w:r>
        <w:rPr>
          <w:spacing w:val="-9"/>
          <w:sz w:val="18"/>
        </w:rPr>
        <w:t xml:space="preserve"> </w:t>
      </w:r>
      <w:r>
        <w:rPr>
          <w:sz w:val="18"/>
        </w:rPr>
        <w:t>Application</w:t>
      </w:r>
      <w:r>
        <w:rPr>
          <w:spacing w:val="-9"/>
          <w:sz w:val="18"/>
        </w:rPr>
        <w:t xml:space="preserve"> </w:t>
      </w:r>
      <w:r>
        <w:rPr>
          <w:sz w:val="18"/>
        </w:rPr>
        <w:t>for</w:t>
      </w:r>
      <w:r>
        <w:rPr>
          <w:spacing w:val="-10"/>
          <w:sz w:val="18"/>
        </w:rPr>
        <w:t xml:space="preserve"> </w:t>
      </w:r>
      <w:r>
        <w:rPr>
          <w:sz w:val="18"/>
        </w:rPr>
        <w:t>Anti‐Dumping</w:t>
      </w:r>
      <w:r>
        <w:rPr>
          <w:spacing w:val="-9"/>
          <w:sz w:val="18"/>
        </w:rPr>
        <w:t xml:space="preserve"> </w:t>
      </w:r>
      <w:r>
        <w:rPr>
          <w:sz w:val="18"/>
        </w:rPr>
        <w:t>Investigation</w:t>
      </w:r>
      <w:r>
        <w:rPr>
          <w:spacing w:val="-9"/>
          <w:sz w:val="18"/>
        </w:rPr>
        <w:t xml:space="preserve"> </w:t>
      </w:r>
      <w:r>
        <w:rPr>
          <w:sz w:val="18"/>
        </w:rPr>
        <w:t>(Exhibit</w:t>
      </w:r>
      <w:r>
        <w:rPr>
          <w:spacing w:val="-10"/>
          <w:sz w:val="18"/>
        </w:rPr>
        <w:t xml:space="preserve"> </w:t>
      </w:r>
      <w:r>
        <w:rPr>
          <w:sz w:val="18"/>
        </w:rPr>
        <w:t>AUS‐64),</w:t>
      </w:r>
      <w:r>
        <w:rPr>
          <w:spacing w:val="-10"/>
          <w:sz w:val="18"/>
        </w:rPr>
        <w:t xml:space="preserve"> </w:t>
      </w:r>
      <w:r>
        <w:rPr>
          <w:sz w:val="18"/>
        </w:rPr>
        <w:t>pp.</w:t>
      </w:r>
      <w:r>
        <w:rPr>
          <w:spacing w:val="-9"/>
          <w:sz w:val="18"/>
        </w:rPr>
        <w:t xml:space="preserve"> </w:t>
      </w:r>
      <w:r>
        <w:rPr>
          <w:spacing w:val="-2"/>
          <w:sz w:val="18"/>
        </w:rPr>
        <w:t>63‐64.</w:t>
      </w:r>
    </w:p>
    <w:p w14:paraId="51DE95CF" w14:textId="77777777" w:rsidR="0010369C" w:rsidRDefault="008E43AE">
      <w:pPr>
        <w:ind w:left="238"/>
        <w:rPr>
          <w:sz w:val="18"/>
        </w:rPr>
      </w:pPr>
      <w:r>
        <w:rPr>
          <w:sz w:val="18"/>
          <w:vertAlign w:val="superscript"/>
        </w:rPr>
        <w:t>966</w:t>
      </w:r>
      <w:r>
        <w:rPr>
          <w:spacing w:val="-8"/>
          <w:sz w:val="18"/>
        </w:rPr>
        <w:t xml:space="preserve"> </w:t>
      </w:r>
      <w:r>
        <w:rPr>
          <w:sz w:val="18"/>
        </w:rPr>
        <w:t>CADA</w:t>
      </w:r>
      <w:r>
        <w:rPr>
          <w:spacing w:val="-8"/>
          <w:sz w:val="18"/>
        </w:rPr>
        <w:t xml:space="preserve"> </w:t>
      </w:r>
      <w:r>
        <w:rPr>
          <w:sz w:val="18"/>
        </w:rPr>
        <w:t>Application</w:t>
      </w:r>
      <w:r>
        <w:rPr>
          <w:spacing w:val="-8"/>
          <w:sz w:val="18"/>
        </w:rPr>
        <w:t xml:space="preserve"> </w:t>
      </w:r>
      <w:r>
        <w:rPr>
          <w:sz w:val="18"/>
        </w:rPr>
        <w:t>for</w:t>
      </w:r>
      <w:r>
        <w:rPr>
          <w:spacing w:val="-8"/>
          <w:sz w:val="18"/>
        </w:rPr>
        <w:t xml:space="preserve"> </w:t>
      </w:r>
      <w:r>
        <w:rPr>
          <w:sz w:val="18"/>
        </w:rPr>
        <w:t>Anti‐Dumping</w:t>
      </w:r>
      <w:r>
        <w:rPr>
          <w:spacing w:val="-8"/>
          <w:sz w:val="18"/>
        </w:rPr>
        <w:t xml:space="preserve"> </w:t>
      </w:r>
      <w:r>
        <w:rPr>
          <w:sz w:val="18"/>
        </w:rPr>
        <w:t>Investigation</w:t>
      </w:r>
      <w:r>
        <w:rPr>
          <w:spacing w:val="-8"/>
          <w:sz w:val="18"/>
        </w:rPr>
        <w:t xml:space="preserve"> </w:t>
      </w:r>
      <w:r>
        <w:rPr>
          <w:sz w:val="18"/>
        </w:rPr>
        <w:t>(Exhibit</w:t>
      </w:r>
      <w:r>
        <w:rPr>
          <w:spacing w:val="-8"/>
          <w:sz w:val="18"/>
        </w:rPr>
        <w:t xml:space="preserve"> </w:t>
      </w:r>
      <w:r>
        <w:rPr>
          <w:sz w:val="18"/>
        </w:rPr>
        <w:t>AUS‐64),</w:t>
      </w:r>
      <w:r>
        <w:rPr>
          <w:spacing w:val="-8"/>
          <w:sz w:val="18"/>
        </w:rPr>
        <w:t xml:space="preserve"> </w:t>
      </w:r>
      <w:r>
        <w:rPr>
          <w:sz w:val="18"/>
        </w:rPr>
        <w:t>pp.</w:t>
      </w:r>
      <w:r>
        <w:rPr>
          <w:spacing w:val="-8"/>
          <w:sz w:val="18"/>
        </w:rPr>
        <w:t xml:space="preserve"> </w:t>
      </w:r>
      <w:r>
        <w:rPr>
          <w:sz w:val="18"/>
        </w:rPr>
        <w:t>64‐65;</w:t>
      </w:r>
      <w:r>
        <w:rPr>
          <w:spacing w:val="-9"/>
          <w:sz w:val="18"/>
        </w:rPr>
        <w:t xml:space="preserve"> </w:t>
      </w:r>
      <w:r>
        <w:rPr>
          <w:sz w:val="18"/>
        </w:rPr>
        <w:t>and</w:t>
      </w:r>
      <w:r>
        <w:rPr>
          <w:spacing w:val="-7"/>
          <w:sz w:val="18"/>
        </w:rPr>
        <w:t xml:space="preserve"> </w:t>
      </w:r>
      <w:r>
        <w:rPr>
          <w:sz w:val="18"/>
        </w:rPr>
        <w:t>see</w:t>
      </w:r>
      <w:r>
        <w:rPr>
          <w:spacing w:val="-9"/>
          <w:sz w:val="18"/>
        </w:rPr>
        <w:t xml:space="preserve"> </w:t>
      </w:r>
      <w:r>
        <w:rPr>
          <w:sz w:val="18"/>
        </w:rPr>
        <w:t>a</w:t>
      </w:r>
      <w:r>
        <w:rPr>
          <w:sz w:val="18"/>
        </w:rPr>
        <w:t>bove</w:t>
      </w:r>
      <w:r>
        <w:rPr>
          <w:spacing w:val="-8"/>
          <w:sz w:val="18"/>
        </w:rPr>
        <w:t xml:space="preserve"> </w:t>
      </w:r>
      <w:r>
        <w:rPr>
          <w:sz w:val="18"/>
        </w:rPr>
        <w:t>Section</w:t>
      </w:r>
      <w:r>
        <w:rPr>
          <w:spacing w:val="-7"/>
          <w:sz w:val="18"/>
        </w:rPr>
        <w:t xml:space="preserve"> </w:t>
      </w:r>
      <w:r>
        <w:rPr>
          <w:spacing w:val="-2"/>
          <w:sz w:val="18"/>
        </w:rPr>
        <w:t>VI.C.3(a).</w:t>
      </w:r>
    </w:p>
    <w:p w14:paraId="51DE95D0" w14:textId="77777777" w:rsidR="0010369C" w:rsidRDefault="008E43AE">
      <w:pPr>
        <w:ind w:left="238"/>
        <w:rPr>
          <w:sz w:val="18"/>
        </w:rPr>
      </w:pPr>
      <w:r>
        <w:rPr>
          <w:sz w:val="18"/>
          <w:vertAlign w:val="superscript"/>
        </w:rPr>
        <w:t>967</w:t>
      </w:r>
      <w:r>
        <w:rPr>
          <w:spacing w:val="-5"/>
          <w:sz w:val="18"/>
        </w:rPr>
        <w:t xml:space="preserve"> </w:t>
      </w:r>
      <w:r>
        <w:rPr>
          <w:sz w:val="18"/>
        </w:rPr>
        <w:t>Panel</w:t>
      </w:r>
      <w:r>
        <w:rPr>
          <w:spacing w:val="-6"/>
          <w:sz w:val="18"/>
        </w:rPr>
        <w:t xml:space="preserve"> </w:t>
      </w:r>
      <w:r>
        <w:rPr>
          <w:sz w:val="18"/>
        </w:rPr>
        <w:t>Report,</w:t>
      </w:r>
      <w:r>
        <w:rPr>
          <w:spacing w:val="-5"/>
          <w:sz w:val="18"/>
        </w:rPr>
        <w:t xml:space="preserve"> </w:t>
      </w:r>
      <w:r>
        <w:rPr>
          <w:i/>
          <w:sz w:val="18"/>
        </w:rPr>
        <w:t>Mexico</w:t>
      </w:r>
      <w:r>
        <w:rPr>
          <w:i/>
          <w:spacing w:val="-5"/>
          <w:sz w:val="18"/>
        </w:rPr>
        <w:t xml:space="preserve"> </w:t>
      </w:r>
      <w:r>
        <w:rPr>
          <w:i/>
          <w:sz w:val="18"/>
        </w:rPr>
        <w:t>–</w:t>
      </w:r>
      <w:r>
        <w:rPr>
          <w:i/>
          <w:spacing w:val="-5"/>
          <w:sz w:val="18"/>
        </w:rPr>
        <w:t xml:space="preserve"> </w:t>
      </w:r>
      <w:r>
        <w:rPr>
          <w:i/>
          <w:sz w:val="18"/>
        </w:rPr>
        <w:t>Steel</w:t>
      </w:r>
      <w:r>
        <w:rPr>
          <w:i/>
          <w:spacing w:val="-6"/>
          <w:sz w:val="18"/>
        </w:rPr>
        <w:t xml:space="preserve"> </w:t>
      </w:r>
      <w:r>
        <w:rPr>
          <w:i/>
          <w:sz w:val="18"/>
        </w:rPr>
        <w:t>Pipes</w:t>
      </w:r>
      <w:r>
        <w:rPr>
          <w:i/>
          <w:spacing w:val="-6"/>
          <w:sz w:val="18"/>
        </w:rPr>
        <w:t xml:space="preserve"> </w:t>
      </w:r>
      <w:r>
        <w:rPr>
          <w:i/>
          <w:sz w:val="18"/>
        </w:rPr>
        <w:t>and</w:t>
      </w:r>
      <w:r>
        <w:rPr>
          <w:i/>
          <w:spacing w:val="-6"/>
          <w:sz w:val="18"/>
        </w:rPr>
        <w:t xml:space="preserve"> </w:t>
      </w:r>
      <w:r>
        <w:rPr>
          <w:i/>
          <w:sz w:val="18"/>
        </w:rPr>
        <w:t>Tubes</w:t>
      </w:r>
      <w:r>
        <w:rPr>
          <w:sz w:val="18"/>
        </w:rPr>
        <w:t>,</w:t>
      </w:r>
      <w:r>
        <w:rPr>
          <w:spacing w:val="-6"/>
          <w:sz w:val="18"/>
        </w:rPr>
        <w:t xml:space="preserve"> </w:t>
      </w:r>
      <w:r>
        <w:rPr>
          <w:sz w:val="18"/>
        </w:rPr>
        <w:t>para.</w:t>
      </w:r>
      <w:r>
        <w:rPr>
          <w:spacing w:val="-5"/>
          <w:sz w:val="18"/>
        </w:rPr>
        <w:t xml:space="preserve"> </w:t>
      </w:r>
      <w:r>
        <w:rPr>
          <w:spacing w:val="-2"/>
          <w:sz w:val="18"/>
        </w:rPr>
        <w:t>7.56.</w:t>
      </w:r>
    </w:p>
    <w:p w14:paraId="51DE95D1" w14:textId="77777777" w:rsidR="0010369C" w:rsidRDefault="008E43AE">
      <w:pPr>
        <w:ind w:left="238"/>
        <w:rPr>
          <w:sz w:val="18"/>
        </w:rPr>
      </w:pPr>
      <w:r>
        <w:rPr>
          <w:sz w:val="18"/>
          <w:vertAlign w:val="superscript"/>
        </w:rPr>
        <w:t>968</w:t>
      </w:r>
      <w:r>
        <w:rPr>
          <w:spacing w:val="-6"/>
          <w:sz w:val="18"/>
        </w:rPr>
        <w:t xml:space="preserve"> </w:t>
      </w:r>
      <w:r>
        <w:rPr>
          <w:sz w:val="18"/>
        </w:rPr>
        <w:t>See</w:t>
      </w:r>
      <w:r>
        <w:rPr>
          <w:spacing w:val="-5"/>
          <w:sz w:val="18"/>
        </w:rPr>
        <w:t xml:space="preserve"> </w:t>
      </w:r>
      <w:r>
        <w:rPr>
          <w:sz w:val="18"/>
        </w:rPr>
        <w:t>above,</w:t>
      </w:r>
      <w:r>
        <w:rPr>
          <w:spacing w:val="-7"/>
          <w:sz w:val="18"/>
        </w:rPr>
        <w:t xml:space="preserve"> </w:t>
      </w:r>
      <w:r>
        <w:rPr>
          <w:sz w:val="18"/>
        </w:rPr>
        <w:t>Section</w:t>
      </w:r>
      <w:r>
        <w:rPr>
          <w:spacing w:val="-5"/>
          <w:sz w:val="18"/>
        </w:rPr>
        <w:t xml:space="preserve"> </w:t>
      </w:r>
      <w:r>
        <w:rPr>
          <w:spacing w:val="-2"/>
          <w:sz w:val="18"/>
        </w:rPr>
        <w:t>VI.C.3(a).</w:t>
      </w:r>
    </w:p>
    <w:p w14:paraId="51DE95D2" w14:textId="77777777" w:rsidR="0010369C" w:rsidRDefault="0010369C">
      <w:pPr>
        <w:rPr>
          <w:sz w:val="18"/>
        </w:rPr>
        <w:sectPr w:rsidR="0010369C">
          <w:headerReference w:type="default" r:id="rId1073"/>
          <w:footerReference w:type="default" r:id="rId1074"/>
          <w:pgSz w:w="11910" w:h="16840"/>
          <w:pgMar w:top="880" w:right="800" w:bottom="1340" w:left="1180" w:header="569" w:footer="1143" w:gutter="0"/>
          <w:cols w:space="720"/>
        </w:sectPr>
      </w:pPr>
    </w:p>
    <w:p w14:paraId="51DE95D3" w14:textId="77777777" w:rsidR="0010369C" w:rsidRDefault="008E43AE">
      <w:pPr>
        <w:tabs>
          <w:tab w:val="left" w:pos="6426"/>
        </w:tabs>
        <w:ind w:left="238"/>
        <w:jc w:val="both"/>
        <w:rPr>
          <w:sz w:val="20"/>
        </w:rPr>
      </w:pPr>
      <w:r>
        <w:rPr>
          <w:i/>
          <w:sz w:val="20"/>
        </w:rPr>
        <w:lastRenderedPageBreak/>
        <w:t>China</w:t>
      </w:r>
      <w:r>
        <w:rPr>
          <w:i/>
          <w:spacing w:val="-5"/>
          <w:sz w:val="20"/>
        </w:rPr>
        <w:t xml:space="preserve"> </w:t>
      </w:r>
      <w:r>
        <w:rPr>
          <w:i/>
          <w:sz w:val="20"/>
        </w:rPr>
        <w:t>–</w:t>
      </w:r>
      <w:r>
        <w:rPr>
          <w:i/>
          <w:spacing w:val="-5"/>
          <w:sz w:val="20"/>
        </w:rPr>
        <w:t xml:space="preserve"> </w:t>
      </w:r>
      <w:r>
        <w:rPr>
          <w:i/>
          <w:sz w:val="20"/>
        </w:rPr>
        <w:t>Anti‐Dumping</w:t>
      </w:r>
      <w:r>
        <w:rPr>
          <w:i/>
          <w:spacing w:val="-4"/>
          <w:sz w:val="20"/>
        </w:rPr>
        <w:t xml:space="preserve"> </w:t>
      </w:r>
      <w:r>
        <w:rPr>
          <w:i/>
          <w:sz w:val="20"/>
        </w:rPr>
        <w:t>and</w:t>
      </w:r>
      <w:r>
        <w:rPr>
          <w:i/>
          <w:spacing w:val="-5"/>
          <w:sz w:val="20"/>
        </w:rPr>
        <w:t xml:space="preserve"> </w:t>
      </w:r>
      <w:r>
        <w:rPr>
          <w:i/>
          <w:sz w:val="20"/>
        </w:rPr>
        <w:t>Countervailing</w:t>
      </w:r>
      <w:r>
        <w:rPr>
          <w:i/>
          <w:spacing w:val="-5"/>
          <w:sz w:val="20"/>
        </w:rPr>
        <w:t xml:space="preserve"> </w:t>
      </w:r>
      <w:r>
        <w:rPr>
          <w:i/>
          <w:sz w:val="20"/>
        </w:rPr>
        <w:t>Duty</w:t>
      </w:r>
      <w:r>
        <w:rPr>
          <w:i/>
          <w:spacing w:val="-4"/>
          <w:sz w:val="20"/>
        </w:rPr>
        <w:t xml:space="preserve"> </w:t>
      </w:r>
      <w:r>
        <w:rPr>
          <w:i/>
          <w:spacing w:val="-2"/>
          <w:sz w:val="20"/>
        </w:rPr>
        <w:t>Measures</w:t>
      </w:r>
      <w:r>
        <w:rPr>
          <w:i/>
          <w:sz w:val="20"/>
        </w:rPr>
        <w:tab/>
      </w:r>
      <w:r>
        <w:rPr>
          <w:sz w:val="20"/>
        </w:rPr>
        <w:t>Australia's</w:t>
      </w:r>
      <w:r>
        <w:rPr>
          <w:spacing w:val="-7"/>
          <w:sz w:val="20"/>
        </w:rPr>
        <w:t xml:space="preserve"> </w:t>
      </w:r>
      <w:r>
        <w:rPr>
          <w:sz w:val="20"/>
        </w:rPr>
        <w:t>First</w:t>
      </w:r>
      <w:r>
        <w:rPr>
          <w:spacing w:val="-2"/>
          <w:sz w:val="20"/>
        </w:rPr>
        <w:t xml:space="preserve"> </w:t>
      </w:r>
      <w:r>
        <w:rPr>
          <w:sz w:val="20"/>
        </w:rPr>
        <w:t>Written</w:t>
      </w:r>
      <w:r>
        <w:rPr>
          <w:spacing w:val="-2"/>
          <w:sz w:val="20"/>
        </w:rPr>
        <w:t xml:space="preserve"> Submission</w:t>
      </w:r>
    </w:p>
    <w:p w14:paraId="51DE95D4" w14:textId="77777777" w:rsidR="0010369C" w:rsidRDefault="008E43AE">
      <w:pPr>
        <w:tabs>
          <w:tab w:val="left" w:pos="8228"/>
        </w:tabs>
        <w:spacing w:before="1"/>
        <w:ind w:left="239"/>
        <w:jc w:val="both"/>
        <w:rPr>
          <w:sz w:val="20"/>
        </w:rPr>
      </w:pPr>
      <w:r>
        <w:rPr>
          <w:i/>
          <w:sz w:val="20"/>
        </w:rPr>
        <w:t>on</w:t>
      </w:r>
      <w:r>
        <w:rPr>
          <w:i/>
          <w:spacing w:val="-1"/>
          <w:sz w:val="20"/>
        </w:rPr>
        <w:t xml:space="preserve"> </w:t>
      </w:r>
      <w:r>
        <w:rPr>
          <w:i/>
          <w:sz w:val="20"/>
        </w:rPr>
        <w:t>Wine</w:t>
      </w:r>
      <w:r>
        <w:rPr>
          <w:i/>
          <w:spacing w:val="-1"/>
          <w:sz w:val="20"/>
        </w:rPr>
        <w:t xml:space="preserve"> </w:t>
      </w:r>
      <w:r>
        <w:rPr>
          <w:i/>
          <w:sz w:val="20"/>
        </w:rPr>
        <w:t>from</w:t>
      </w:r>
      <w:r>
        <w:rPr>
          <w:i/>
          <w:spacing w:val="-3"/>
          <w:sz w:val="20"/>
        </w:rPr>
        <w:t xml:space="preserve"> </w:t>
      </w:r>
      <w:r>
        <w:rPr>
          <w:i/>
          <w:sz w:val="20"/>
        </w:rPr>
        <w:t>Australia</w:t>
      </w:r>
      <w:r>
        <w:rPr>
          <w:i/>
          <w:spacing w:val="-1"/>
          <w:sz w:val="20"/>
        </w:rPr>
        <w:t xml:space="preserve"> </w:t>
      </w:r>
      <w:r>
        <w:rPr>
          <w:spacing w:val="-2"/>
          <w:sz w:val="20"/>
        </w:rPr>
        <w:t>(DS602)</w:t>
      </w:r>
      <w:r>
        <w:rPr>
          <w:sz w:val="20"/>
        </w:rPr>
        <w:tab/>
        <w:t>29</w:t>
      </w:r>
      <w:r>
        <w:rPr>
          <w:spacing w:val="-1"/>
          <w:sz w:val="20"/>
        </w:rPr>
        <w:t xml:space="preserve"> </w:t>
      </w:r>
      <w:r>
        <w:rPr>
          <w:sz w:val="20"/>
        </w:rPr>
        <w:t>April</w:t>
      </w:r>
      <w:r>
        <w:rPr>
          <w:spacing w:val="-2"/>
          <w:sz w:val="20"/>
        </w:rPr>
        <w:t xml:space="preserve"> </w:t>
      </w:r>
      <w:r>
        <w:rPr>
          <w:spacing w:val="-4"/>
          <w:sz w:val="20"/>
        </w:rPr>
        <w:t>2022</w:t>
      </w:r>
    </w:p>
    <w:p w14:paraId="51DE95D5" w14:textId="77777777" w:rsidR="0010369C" w:rsidRDefault="008E43AE">
      <w:pPr>
        <w:pStyle w:val="BodyText"/>
        <w:spacing w:before="34" w:line="360" w:lineRule="auto"/>
        <w:ind w:left="238" w:right="614" w:firstLine="851"/>
        <w:jc w:val="both"/>
      </w:pPr>
      <w:r>
        <w:rPr>
          <w:noProof/>
        </w:rPr>
        <w:drawing>
          <wp:anchor distT="0" distB="0" distL="0" distR="0" simplePos="0" relativeHeight="251410944" behindDoc="1" locked="0" layoutInCell="1" allowOverlap="1" wp14:anchorId="51DEA6C3" wp14:editId="51DEA6C4">
            <wp:simplePos x="0" y="0"/>
            <wp:positionH relativeFrom="page">
              <wp:posOffset>902208</wp:posOffset>
            </wp:positionH>
            <wp:positionV relativeFrom="paragraph">
              <wp:posOffset>69165</wp:posOffset>
            </wp:positionV>
            <wp:extent cx="262127" cy="103631"/>
            <wp:effectExtent l="0" t="0" r="0" b="0"/>
            <wp:wrapNone/>
            <wp:docPr id="1581" name="image8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 name="image818.png"/>
                    <pic:cNvPicPr/>
                  </pic:nvPicPr>
                  <pic:blipFill>
                    <a:blip r:embed="rId1075" cstate="print"/>
                    <a:stretch>
                      <a:fillRect/>
                    </a:stretch>
                  </pic:blipFill>
                  <pic:spPr>
                    <a:xfrm>
                      <a:off x="0" y="0"/>
                      <a:ext cx="262127" cy="103631"/>
                    </a:xfrm>
                    <a:prstGeom prst="rect">
                      <a:avLst/>
                    </a:prstGeom>
                  </pic:spPr>
                </pic:pic>
              </a:graphicData>
            </a:graphic>
          </wp:anchor>
        </w:drawing>
      </w:r>
      <w:r>
        <w:t>At</w:t>
      </w:r>
      <w:r>
        <w:rPr>
          <w:spacing w:val="-7"/>
        </w:rPr>
        <w:t xml:space="preserve"> </w:t>
      </w:r>
      <w:r>
        <w:t>most,</w:t>
      </w:r>
      <w:r>
        <w:rPr>
          <w:spacing w:val="-6"/>
        </w:rPr>
        <w:t xml:space="preserve"> </w:t>
      </w:r>
      <w:r>
        <w:t>the</w:t>
      </w:r>
      <w:r>
        <w:rPr>
          <w:spacing w:val="-7"/>
        </w:rPr>
        <w:t xml:space="preserve"> </w:t>
      </w:r>
      <w:r>
        <w:t>data</w:t>
      </w:r>
      <w:r>
        <w:rPr>
          <w:spacing w:val="-6"/>
        </w:rPr>
        <w:t xml:space="preserve"> </w:t>
      </w:r>
      <w:r>
        <w:t>presented</w:t>
      </w:r>
      <w:r>
        <w:rPr>
          <w:spacing w:val="-6"/>
        </w:rPr>
        <w:t xml:space="preserve"> </w:t>
      </w:r>
      <w:r>
        <w:t>by</w:t>
      </w:r>
      <w:r>
        <w:rPr>
          <w:spacing w:val="-6"/>
        </w:rPr>
        <w:t xml:space="preserve"> </w:t>
      </w:r>
      <w:r>
        <w:t>CADA,</w:t>
      </w:r>
      <w:r>
        <w:rPr>
          <w:spacing w:val="-6"/>
        </w:rPr>
        <w:t xml:space="preserve"> </w:t>
      </w:r>
      <w:r>
        <w:t>even</w:t>
      </w:r>
      <w:r>
        <w:rPr>
          <w:spacing w:val="-7"/>
        </w:rPr>
        <w:t xml:space="preserve"> </w:t>
      </w:r>
      <w:r>
        <w:t>if</w:t>
      </w:r>
      <w:r>
        <w:rPr>
          <w:spacing w:val="-6"/>
        </w:rPr>
        <w:t xml:space="preserve"> </w:t>
      </w:r>
      <w:r>
        <w:t>accepted</w:t>
      </w:r>
      <w:r>
        <w:rPr>
          <w:spacing w:val="-7"/>
        </w:rPr>
        <w:t xml:space="preserve"> </w:t>
      </w:r>
      <w:r>
        <w:t>on</w:t>
      </w:r>
      <w:r>
        <w:rPr>
          <w:spacing w:val="-6"/>
        </w:rPr>
        <w:t xml:space="preserve"> </w:t>
      </w:r>
      <w:r>
        <w:t>its</w:t>
      </w:r>
      <w:r>
        <w:rPr>
          <w:spacing w:val="-8"/>
        </w:rPr>
        <w:t xml:space="preserve"> </w:t>
      </w:r>
      <w:r>
        <w:t>face,</w:t>
      </w:r>
      <w:r>
        <w:rPr>
          <w:spacing w:val="-6"/>
        </w:rPr>
        <w:t xml:space="preserve"> </w:t>
      </w:r>
      <w:r>
        <w:t>showed</w:t>
      </w:r>
      <w:r>
        <w:rPr>
          <w:spacing w:val="-6"/>
        </w:rPr>
        <w:t xml:space="preserve"> </w:t>
      </w:r>
      <w:r>
        <w:t>that</w:t>
      </w:r>
      <w:r>
        <w:rPr>
          <w:spacing w:val="-6"/>
        </w:rPr>
        <w:t xml:space="preserve"> </w:t>
      </w:r>
      <w:r>
        <w:t>from 2015 to 2019:</w:t>
      </w:r>
    </w:p>
    <w:p w14:paraId="51DE95D6" w14:textId="77777777" w:rsidR="0010369C" w:rsidRDefault="008E43AE">
      <w:pPr>
        <w:pStyle w:val="ListParagraph"/>
        <w:numPr>
          <w:ilvl w:val="0"/>
          <w:numId w:val="29"/>
        </w:numPr>
        <w:tabs>
          <w:tab w:val="left" w:pos="1939"/>
          <w:tab w:val="left" w:pos="1940"/>
        </w:tabs>
        <w:spacing w:before="160" w:line="355" w:lineRule="auto"/>
        <w:ind w:right="614"/>
        <w:rPr>
          <w:sz w:val="24"/>
        </w:rPr>
      </w:pPr>
      <w:r>
        <w:rPr>
          <w:sz w:val="24"/>
        </w:rPr>
        <w:t>the level of imports of the products subject to the investigation increased, while domestic production fell;</w:t>
      </w:r>
    </w:p>
    <w:p w14:paraId="51DE95D7" w14:textId="77777777" w:rsidR="0010369C" w:rsidRDefault="008E43AE">
      <w:pPr>
        <w:pStyle w:val="ListParagraph"/>
        <w:numPr>
          <w:ilvl w:val="0"/>
          <w:numId w:val="29"/>
        </w:numPr>
        <w:tabs>
          <w:tab w:val="left" w:pos="1939"/>
          <w:tab w:val="left" w:pos="1940"/>
        </w:tabs>
        <w:spacing w:before="131" w:line="357" w:lineRule="auto"/>
        <w:ind w:left="1938" w:right="614" w:hanging="850"/>
        <w:rPr>
          <w:sz w:val="24"/>
        </w:rPr>
      </w:pPr>
      <w:r>
        <w:rPr>
          <w:sz w:val="24"/>
        </w:rPr>
        <w:t xml:space="preserve">the average prices of the imports fell in some years compared to the previous year, and rose in others, </w:t>
      </w:r>
      <w:r>
        <w:rPr>
          <w:i/>
          <w:sz w:val="24"/>
        </w:rPr>
        <w:t xml:space="preserve">while the trend in the level of imports of </w:t>
      </w:r>
      <w:r>
        <w:rPr>
          <w:i/>
          <w:sz w:val="24"/>
        </w:rPr>
        <w:t>the products subject to the investigation remained consistent</w:t>
      </w:r>
      <w:r>
        <w:rPr>
          <w:sz w:val="24"/>
        </w:rPr>
        <w:t>;</w:t>
      </w:r>
    </w:p>
    <w:p w14:paraId="51DE95D8" w14:textId="77777777" w:rsidR="0010369C" w:rsidRDefault="008E43AE">
      <w:pPr>
        <w:pStyle w:val="ListParagraph"/>
        <w:numPr>
          <w:ilvl w:val="0"/>
          <w:numId w:val="29"/>
        </w:numPr>
        <w:tabs>
          <w:tab w:val="left" w:pos="1939"/>
          <w:tab w:val="left" w:pos="1940"/>
        </w:tabs>
        <w:spacing w:before="129" w:line="357" w:lineRule="auto"/>
        <w:ind w:right="613"/>
        <w:rPr>
          <w:sz w:val="24"/>
        </w:rPr>
      </w:pPr>
      <w:r>
        <w:rPr>
          <w:sz w:val="24"/>
        </w:rPr>
        <w:t xml:space="preserve">the identified average prices of the domestic products fell in some years compared to the previous year, and rose in others, </w:t>
      </w:r>
      <w:r>
        <w:rPr>
          <w:i/>
          <w:sz w:val="24"/>
        </w:rPr>
        <w:t>while the trend in the level of imports remained consistent</w:t>
      </w:r>
      <w:r>
        <w:rPr>
          <w:sz w:val="24"/>
        </w:rPr>
        <w:t>; and</w:t>
      </w:r>
    </w:p>
    <w:p w14:paraId="51DE95D9" w14:textId="77777777" w:rsidR="0010369C" w:rsidRDefault="008E43AE">
      <w:pPr>
        <w:pStyle w:val="ListParagraph"/>
        <w:numPr>
          <w:ilvl w:val="0"/>
          <w:numId w:val="29"/>
        </w:numPr>
        <w:tabs>
          <w:tab w:val="left" w:pos="1939"/>
          <w:tab w:val="left" w:pos="1940"/>
        </w:tabs>
        <w:spacing w:before="128" w:line="355" w:lineRule="auto"/>
        <w:ind w:right="613"/>
        <w:rPr>
          <w:i/>
          <w:sz w:val="24"/>
        </w:rPr>
      </w:pPr>
      <w:r>
        <w:rPr>
          <w:sz w:val="24"/>
        </w:rPr>
        <w:t>sal</w:t>
      </w:r>
      <w:r>
        <w:rPr>
          <w:sz w:val="24"/>
        </w:rPr>
        <w:t>es revenue and profits of domestic producers fell consistently, in a trend with</w:t>
      </w:r>
      <w:r>
        <w:rPr>
          <w:spacing w:val="-14"/>
          <w:sz w:val="24"/>
        </w:rPr>
        <w:t xml:space="preserve"> </w:t>
      </w:r>
      <w:r>
        <w:rPr>
          <w:i/>
          <w:sz w:val="24"/>
        </w:rPr>
        <w:t>no</w:t>
      </w:r>
      <w:r>
        <w:rPr>
          <w:i/>
          <w:spacing w:val="-14"/>
          <w:sz w:val="24"/>
        </w:rPr>
        <w:t xml:space="preserve"> </w:t>
      </w:r>
      <w:r>
        <w:rPr>
          <w:i/>
          <w:sz w:val="24"/>
        </w:rPr>
        <w:t>apparent</w:t>
      </w:r>
      <w:r>
        <w:rPr>
          <w:i/>
          <w:spacing w:val="-13"/>
          <w:sz w:val="24"/>
        </w:rPr>
        <w:t xml:space="preserve"> </w:t>
      </w:r>
      <w:r>
        <w:rPr>
          <w:i/>
          <w:sz w:val="24"/>
        </w:rPr>
        <w:t>relationship</w:t>
      </w:r>
      <w:r>
        <w:rPr>
          <w:i/>
          <w:spacing w:val="-14"/>
          <w:sz w:val="24"/>
        </w:rPr>
        <w:t xml:space="preserve"> </w:t>
      </w:r>
      <w:r>
        <w:rPr>
          <w:i/>
          <w:sz w:val="24"/>
        </w:rPr>
        <w:t>to</w:t>
      </w:r>
      <w:r>
        <w:rPr>
          <w:i/>
          <w:spacing w:val="-13"/>
          <w:sz w:val="24"/>
        </w:rPr>
        <w:t xml:space="preserve"> </w:t>
      </w:r>
      <w:r>
        <w:rPr>
          <w:i/>
          <w:sz w:val="24"/>
        </w:rPr>
        <w:t>the</w:t>
      </w:r>
      <w:r>
        <w:rPr>
          <w:i/>
          <w:spacing w:val="-14"/>
          <w:sz w:val="24"/>
        </w:rPr>
        <w:t xml:space="preserve"> </w:t>
      </w:r>
      <w:r>
        <w:rPr>
          <w:i/>
          <w:sz w:val="24"/>
        </w:rPr>
        <w:t>prices</w:t>
      </w:r>
      <w:r>
        <w:rPr>
          <w:i/>
          <w:spacing w:val="-14"/>
          <w:sz w:val="24"/>
        </w:rPr>
        <w:t xml:space="preserve"> </w:t>
      </w:r>
      <w:r>
        <w:rPr>
          <w:i/>
          <w:sz w:val="24"/>
        </w:rPr>
        <w:t>of</w:t>
      </w:r>
      <w:r>
        <w:rPr>
          <w:i/>
          <w:spacing w:val="-13"/>
          <w:sz w:val="24"/>
        </w:rPr>
        <w:t xml:space="preserve"> </w:t>
      </w:r>
      <w:r>
        <w:rPr>
          <w:i/>
          <w:sz w:val="24"/>
        </w:rPr>
        <w:t>imported</w:t>
      </w:r>
      <w:r>
        <w:rPr>
          <w:i/>
          <w:spacing w:val="-14"/>
          <w:sz w:val="24"/>
        </w:rPr>
        <w:t xml:space="preserve"> </w:t>
      </w:r>
      <w:r>
        <w:rPr>
          <w:i/>
          <w:sz w:val="24"/>
        </w:rPr>
        <w:t>or</w:t>
      </w:r>
      <w:r>
        <w:rPr>
          <w:i/>
          <w:spacing w:val="-14"/>
          <w:sz w:val="24"/>
        </w:rPr>
        <w:t xml:space="preserve"> </w:t>
      </w:r>
      <w:r>
        <w:rPr>
          <w:i/>
          <w:sz w:val="24"/>
        </w:rPr>
        <w:t>domestic</w:t>
      </w:r>
      <w:r>
        <w:rPr>
          <w:i/>
          <w:spacing w:val="-13"/>
          <w:sz w:val="24"/>
        </w:rPr>
        <w:t xml:space="preserve"> </w:t>
      </w:r>
      <w:r>
        <w:rPr>
          <w:i/>
          <w:sz w:val="24"/>
        </w:rPr>
        <w:t>products.</w:t>
      </w:r>
    </w:p>
    <w:p w14:paraId="51DE95DA" w14:textId="77777777" w:rsidR="0010369C" w:rsidRDefault="008E43AE">
      <w:pPr>
        <w:pStyle w:val="BodyText"/>
        <w:spacing w:before="131" w:line="360" w:lineRule="auto"/>
        <w:ind w:left="237" w:right="611" w:firstLine="851"/>
        <w:jc w:val="both"/>
      </w:pPr>
      <w:r>
        <w:rPr>
          <w:noProof/>
        </w:rPr>
        <w:drawing>
          <wp:anchor distT="0" distB="0" distL="0" distR="0" simplePos="0" relativeHeight="251411968" behindDoc="1" locked="0" layoutInCell="1" allowOverlap="1" wp14:anchorId="51DEA6C5" wp14:editId="51DEA6C6">
            <wp:simplePos x="0" y="0"/>
            <wp:positionH relativeFrom="page">
              <wp:posOffset>902208</wp:posOffset>
            </wp:positionH>
            <wp:positionV relativeFrom="paragraph">
              <wp:posOffset>132114</wp:posOffset>
            </wp:positionV>
            <wp:extent cx="262127" cy="100753"/>
            <wp:effectExtent l="0" t="0" r="0" b="0"/>
            <wp:wrapNone/>
            <wp:docPr id="1583" name="image8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 name="image819.png"/>
                    <pic:cNvPicPr/>
                  </pic:nvPicPr>
                  <pic:blipFill>
                    <a:blip r:embed="rId1076" cstate="print"/>
                    <a:stretch>
                      <a:fillRect/>
                    </a:stretch>
                  </pic:blipFill>
                  <pic:spPr>
                    <a:xfrm>
                      <a:off x="0" y="0"/>
                      <a:ext cx="262127" cy="100753"/>
                    </a:xfrm>
                    <a:prstGeom prst="rect">
                      <a:avLst/>
                    </a:prstGeom>
                  </pic:spPr>
                </pic:pic>
              </a:graphicData>
            </a:graphic>
          </wp:anchor>
        </w:drawing>
      </w:r>
      <w:r>
        <w:t xml:space="preserve">There is no basis on which an unbiased and objective investigating authority could have found that there was sufficient evidence of causation to justify the initiation of the </w:t>
      </w:r>
      <w:r>
        <w:rPr>
          <w:spacing w:val="-2"/>
        </w:rPr>
        <w:t>investigation.</w:t>
      </w:r>
    </w:p>
    <w:p w14:paraId="51DE95DB" w14:textId="77777777" w:rsidR="0010369C" w:rsidRDefault="008E43AE">
      <w:pPr>
        <w:pStyle w:val="ListParagraph"/>
        <w:numPr>
          <w:ilvl w:val="2"/>
          <w:numId w:val="30"/>
        </w:numPr>
        <w:tabs>
          <w:tab w:val="left" w:pos="3642"/>
          <w:tab w:val="left" w:pos="3643"/>
        </w:tabs>
        <w:spacing w:before="161"/>
        <w:ind w:hanging="853"/>
        <w:jc w:val="both"/>
        <w:rPr>
          <w:sz w:val="24"/>
        </w:rPr>
      </w:pPr>
      <w:r>
        <w:rPr>
          <w:w w:val="95"/>
          <w:sz w:val="24"/>
          <w:u w:val="single"/>
        </w:rPr>
        <w:t>Non‐attributable</w:t>
      </w:r>
      <w:r>
        <w:rPr>
          <w:spacing w:val="63"/>
          <w:sz w:val="24"/>
          <w:u w:val="single"/>
        </w:rPr>
        <w:t xml:space="preserve"> </w:t>
      </w:r>
      <w:r>
        <w:rPr>
          <w:spacing w:val="-2"/>
          <w:sz w:val="24"/>
          <w:u w:val="single"/>
        </w:rPr>
        <w:t>factors</w:t>
      </w:r>
    </w:p>
    <w:p w14:paraId="51DE95DC" w14:textId="77777777" w:rsidR="0010369C" w:rsidRDefault="0010369C">
      <w:pPr>
        <w:pStyle w:val="BodyText"/>
        <w:spacing w:before="10"/>
        <w:rPr>
          <w:sz w:val="20"/>
        </w:rPr>
      </w:pPr>
    </w:p>
    <w:p w14:paraId="51DE95DD" w14:textId="77777777" w:rsidR="0010369C" w:rsidRDefault="008E43AE">
      <w:pPr>
        <w:pStyle w:val="BodyText"/>
        <w:spacing w:before="52" w:line="360" w:lineRule="auto"/>
        <w:ind w:left="237" w:right="612" w:firstLine="851"/>
        <w:jc w:val="both"/>
      </w:pPr>
      <w:r>
        <w:rPr>
          <w:noProof/>
        </w:rPr>
        <w:drawing>
          <wp:anchor distT="0" distB="0" distL="0" distR="0" simplePos="0" relativeHeight="251412992" behindDoc="1" locked="0" layoutInCell="1" allowOverlap="1" wp14:anchorId="51DEA6C7" wp14:editId="51DEA6C8">
            <wp:simplePos x="0" y="0"/>
            <wp:positionH relativeFrom="page">
              <wp:posOffset>902208</wp:posOffset>
            </wp:positionH>
            <wp:positionV relativeFrom="paragraph">
              <wp:posOffset>81949</wp:posOffset>
            </wp:positionV>
            <wp:extent cx="262127" cy="100753"/>
            <wp:effectExtent l="0" t="0" r="0" b="0"/>
            <wp:wrapNone/>
            <wp:docPr id="1585" name="image8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 name="image820.png"/>
                    <pic:cNvPicPr/>
                  </pic:nvPicPr>
                  <pic:blipFill>
                    <a:blip r:embed="rId1077" cstate="print"/>
                    <a:stretch>
                      <a:fillRect/>
                    </a:stretch>
                  </pic:blipFill>
                  <pic:spPr>
                    <a:xfrm>
                      <a:off x="0" y="0"/>
                      <a:ext cx="262127" cy="100753"/>
                    </a:xfrm>
                    <a:prstGeom prst="rect">
                      <a:avLst/>
                    </a:prstGeom>
                  </pic:spPr>
                </pic:pic>
              </a:graphicData>
            </a:graphic>
          </wp:anchor>
        </w:drawing>
      </w:r>
      <w:r>
        <w:t>CADA addressed a number of non‐attribut</w:t>
      </w:r>
      <w:r>
        <w:t>able factors and, for each, concluded that those factors were not appropriate factors to consider by MOFCOM as they could not have caused injury to the domestic industry. The factors CADA addressed include (i) the influence of imported products from non‐su</w:t>
      </w:r>
      <w:r>
        <w:t>bject countries;</w:t>
      </w:r>
      <w:r>
        <w:rPr>
          <w:vertAlign w:val="superscript"/>
        </w:rPr>
        <w:t>969</w:t>
      </w:r>
      <w:r>
        <w:t xml:space="preserve"> (ii) changes in market demand and consumption patterns;</w:t>
      </w:r>
      <w:r>
        <w:rPr>
          <w:vertAlign w:val="superscript"/>
        </w:rPr>
        <w:t>970</w:t>
      </w:r>
      <w:r>
        <w:t xml:space="preserve"> and (iii) the effect of healthy competition and the influence of commercial distribution channels. </w:t>
      </w:r>
      <w:r>
        <w:rPr>
          <w:vertAlign w:val="superscript"/>
        </w:rPr>
        <w:t>971</w:t>
      </w:r>
      <w:r>
        <w:t xml:space="preserve"> However, CADA's analysis of those factors was inadequate, misleading, and the assertions made were inconsistent with the data provided. As</w:t>
      </w:r>
      <w:r>
        <w:rPr>
          <w:spacing w:val="-12"/>
        </w:rPr>
        <w:t xml:space="preserve"> </w:t>
      </w:r>
      <w:r>
        <w:t>a</w:t>
      </w:r>
      <w:r>
        <w:rPr>
          <w:spacing w:val="-11"/>
        </w:rPr>
        <w:t xml:space="preserve"> </w:t>
      </w:r>
      <w:r>
        <w:t>result,</w:t>
      </w:r>
      <w:r>
        <w:rPr>
          <w:spacing w:val="-10"/>
        </w:rPr>
        <w:t xml:space="preserve"> </w:t>
      </w:r>
      <w:r>
        <w:t>CAD</w:t>
      </w:r>
      <w:r>
        <w:t>A's</w:t>
      </w:r>
      <w:r>
        <w:rPr>
          <w:spacing w:val="-11"/>
        </w:rPr>
        <w:t xml:space="preserve"> </w:t>
      </w:r>
      <w:r>
        <w:t>application</w:t>
      </w:r>
      <w:r>
        <w:rPr>
          <w:spacing w:val="-11"/>
        </w:rPr>
        <w:t xml:space="preserve"> </w:t>
      </w:r>
      <w:r>
        <w:t>only</w:t>
      </w:r>
      <w:r>
        <w:rPr>
          <w:spacing w:val="-10"/>
        </w:rPr>
        <w:t xml:space="preserve"> </w:t>
      </w:r>
      <w:r>
        <w:t>contained</w:t>
      </w:r>
      <w:r>
        <w:rPr>
          <w:spacing w:val="-11"/>
        </w:rPr>
        <w:t xml:space="preserve"> </w:t>
      </w:r>
      <w:r>
        <w:t>simple</w:t>
      </w:r>
      <w:r>
        <w:rPr>
          <w:spacing w:val="-11"/>
        </w:rPr>
        <w:t xml:space="preserve"> </w:t>
      </w:r>
      <w:r>
        <w:t>assertions,</w:t>
      </w:r>
      <w:r>
        <w:rPr>
          <w:spacing w:val="-11"/>
        </w:rPr>
        <w:t xml:space="preserve"> </w:t>
      </w:r>
      <w:r>
        <w:t>contrary</w:t>
      </w:r>
      <w:r>
        <w:rPr>
          <w:spacing w:val="-11"/>
        </w:rPr>
        <w:t xml:space="preserve"> </w:t>
      </w:r>
      <w:r>
        <w:t>to</w:t>
      </w:r>
      <w:r>
        <w:rPr>
          <w:spacing w:val="-11"/>
        </w:rPr>
        <w:t xml:space="preserve"> </w:t>
      </w:r>
      <w:r>
        <w:t>the</w:t>
      </w:r>
      <w:r>
        <w:rPr>
          <w:spacing w:val="-10"/>
        </w:rPr>
        <w:t xml:space="preserve"> </w:t>
      </w:r>
      <w:r>
        <w:t>requirements of Article 5.2.</w:t>
      </w:r>
    </w:p>
    <w:p w14:paraId="51DE95DE" w14:textId="77777777" w:rsidR="0010369C" w:rsidRDefault="0010369C">
      <w:pPr>
        <w:pStyle w:val="BodyText"/>
        <w:spacing w:before="10"/>
        <w:rPr>
          <w:sz w:val="8"/>
        </w:rPr>
      </w:pPr>
    </w:p>
    <w:p w14:paraId="51DE95DF" w14:textId="77777777" w:rsidR="0010369C" w:rsidRDefault="008E43AE">
      <w:pPr>
        <w:pStyle w:val="BodyText"/>
        <w:spacing w:before="52" w:line="360" w:lineRule="auto"/>
        <w:ind w:left="238" w:right="614" w:firstLine="851"/>
      </w:pPr>
      <w:r>
        <w:rPr>
          <w:noProof/>
        </w:rPr>
        <w:drawing>
          <wp:anchor distT="0" distB="0" distL="0" distR="0" simplePos="0" relativeHeight="251414016" behindDoc="1" locked="0" layoutInCell="1" allowOverlap="1" wp14:anchorId="51DEA6C9" wp14:editId="51DEA6CA">
            <wp:simplePos x="0" y="0"/>
            <wp:positionH relativeFrom="page">
              <wp:posOffset>902208</wp:posOffset>
            </wp:positionH>
            <wp:positionV relativeFrom="paragraph">
              <wp:posOffset>81357</wp:posOffset>
            </wp:positionV>
            <wp:extent cx="262127" cy="103631"/>
            <wp:effectExtent l="0" t="0" r="0" b="0"/>
            <wp:wrapNone/>
            <wp:docPr id="1587" name="image8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 name="image821.png"/>
                    <pic:cNvPicPr/>
                  </pic:nvPicPr>
                  <pic:blipFill>
                    <a:blip r:embed="rId1078" cstate="print"/>
                    <a:stretch>
                      <a:fillRect/>
                    </a:stretch>
                  </pic:blipFill>
                  <pic:spPr>
                    <a:xfrm>
                      <a:off x="0" y="0"/>
                      <a:ext cx="262127" cy="103631"/>
                    </a:xfrm>
                    <a:prstGeom prst="rect">
                      <a:avLst/>
                    </a:prstGeom>
                  </pic:spPr>
                </pic:pic>
              </a:graphicData>
            </a:graphic>
          </wp:anchor>
        </w:drawing>
      </w:r>
      <w:r>
        <w:t>With</w:t>
      </w:r>
      <w:r>
        <w:rPr>
          <w:spacing w:val="-2"/>
        </w:rPr>
        <w:t xml:space="preserve"> </w:t>
      </w:r>
      <w:r>
        <w:t>respect</w:t>
      </w:r>
      <w:r>
        <w:rPr>
          <w:spacing w:val="-2"/>
        </w:rPr>
        <w:t xml:space="preserve"> </w:t>
      </w:r>
      <w:r>
        <w:t>to</w:t>
      </w:r>
      <w:r>
        <w:rPr>
          <w:spacing w:val="-1"/>
        </w:rPr>
        <w:t xml:space="preserve"> </w:t>
      </w:r>
      <w:r>
        <w:t>the</w:t>
      </w:r>
      <w:r>
        <w:rPr>
          <w:spacing w:val="-1"/>
        </w:rPr>
        <w:t xml:space="preserve"> </w:t>
      </w:r>
      <w:r>
        <w:t>impact</w:t>
      </w:r>
      <w:r>
        <w:rPr>
          <w:spacing w:val="-1"/>
        </w:rPr>
        <w:t xml:space="preserve"> </w:t>
      </w:r>
      <w:r>
        <w:t>of</w:t>
      </w:r>
      <w:r>
        <w:rPr>
          <w:spacing w:val="-2"/>
        </w:rPr>
        <w:t xml:space="preserve"> </w:t>
      </w:r>
      <w:r>
        <w:t>non‐subject</w:t>
      </w:r>
      <w:r>
        <w:rPr>
          <w:spacing w:val="-1"/>
        </w:rPr>
        <w:t xml:space="preserve"> </w:t>
      </w:r>
      <w:r>
        <w:t>imports</w:t>
      </w:r>
      <w:r>
        <w:rPr>
          <w:spacing w:val="-1"/>
        </w:rPr>
        <w:t xml:space="preserve"> </w:t>
      </w:r>
      <w:r>
        <w:t>on</w:t>
      </w:r>
      <w:r>
        <w:rPr>
          <w:spacing w:val="-2"/>
        </w:rPr>
        <w:t xml:space="preserve"> </w:t>
      </w:r>
      <w:r>
        <w:t>the</w:t>
      </w:r>
      <w:r>
        <w:rPr>
          <w:spacing w:val="-1"/>
        </w:rPr>
        <w:t xml:space="preserve"> </w:t>
      </w:r>
      <w:r>
        <w:t>domestic industry,</w:t>
      </w:r>
      <w:r>
        <w:rPr>
          <w:spacing w:val="-1"/>
        </w:rPr>
        <w:t xml:space="preserve"> </w:t>
      </w:r>
      <w:r>
        <w:t>CADA's analysis</w:t>
      </w:r>
      <w:r>
        <w:rPr>
          <w:spacing w:val="6"/>
        </w:rPr>
        <w:t xml:space="preserve"> </w:t>
      </w:r>
      <w:r>
        <w:t>was</w:t>
      </w:r>
      <w:r>
        <w:rPr>
          <w:spacing w:val="7"/>
        </w:rPr>
        <w:t xml:space="preserve"> </w:t>
      </w:r>
      <w:r>
        <w:t>deficient</w:t>
      </w:r>
      <w:r>
        <w:rPr>
          <w:spacing w:val="9"/>
        </w:rPr>
        <w:t xml:space="preserve"> </w:t>
      </w:r>
      <w:r>
        <w:t>as</w:t>
      </w:r>
      <w:r>
        <w:rPr>
          <w:spacing w:val="6"/>
        </w:rPr>
        <w:t xml:space="preserve"> </w:t>
      </w:r>
      <w:r>
        <w:t>it</w:t>
      </w:r>
      <w:r>
        <w:rPr>
          <w:spacing w:val="8"/>
        </w:rPr>
        <w:t xml:space="preserve"> </w:t>
      </w:r>
      <w:r>
        <w:t>was</w:t>
      </w:r>
      <w:r>
        <w:rPr>
          <w:spacing w:val="7"/>
        </w:rPr>
        <w:t xml:space="preserve"> </w:t>
      </w:r>
      <w:r>
        <w:t>based</w:t>
      </w:r>
      <w:r>
        <w:rPr>
          <w:spacing w:val="8"/>
        </w:rPr>
        <w:t xml:space="preserve"> </w:t>
      </w:r>
      <w:r>
        <w:t>on</w:t>
      </w:r>
      <w:r>
        <w:rPr>
          <w:spacing w:val="7"/>
        </w:rPr>
        <w:t xml:space="preserve"> </w:t>
      </w:r>
      <w:r>
        <w:t>a</w:t>
      </w:r>
      <w:r>
        <w:rPr>
          <w:spacing w:val="8"/>
        </w:rPr>
        <w:t xml:space="preserve"> </w:t>
      </w:r>
      <w:r>
        <w:t>comparison</w:t>
      </w:r>
      <w:r>
        <w:rPr>
          <w:spacing w:val="7"/>
        </w:rPr>
        <w:t xml:space="preserve"> </w:t>
      </w:r>
      <w:r>
        <w:t>between</w:t>
      </w:r>
      <w:r>
        <w:rPr>
          <w:spacing w:val="7"/>
        </w:rPr>
        <w:t xml:space="preserve"> </w:t>
      </w:r>
      <w:r>
        <w:t>Australia's</w:t>
      </w:r>
      <w:r>
        <w:rPr>
          <w:spacing w:val="7"/>
        </w:rPr>
        <w:t xml:space="preserve"> </w:t>
      </w:r>
      <w:r>
        <w:t>i</w:t>
      </w:r>
      <w:r>
        <w:t>mport</w:t>
      </w:r>
      <w:r>
        <w:rPr>
          <w:spacing w:val="7"/>
        </w:rPr>
        <w:t xml:space="preserve"> </w:t>
      </w:r>
      <w:r>
        <w:rPr>
          <w:spacing w:val="-2"/>
        </w:rPr>
        <w:t>volumes</w:t>
      </w:r>
    </w:p>
    <w:p w14:paraId="51DE95E0" w14:textId="77777777" w:rsidR="0010369C" w:rsidRDefault="008E43AE">
      <w:pPr>
        <w:pStyle w:val="BodyText"/>
        <w:spacing w:before="11"/>
        <w:rPr>
          <w:sz w:val="12"/>
        </w:rPr>
      </w:pPr>
      <w:r>
        <w:pict w14:anchorId="51DEA6CB">
          <v:rect id="docshape1270" o:spid="_x0000_s1164" style="position:absolute;margin-left:70.9pt;margin-top:9.1pt;width:2in;height:.8pt;z-index:-250743296;mso-wrap-distance-left:0;mso-wrap-distance-right:0;mso-position-horizontal-relative:page" fillcolor="black" stroked="f">
            <w10:wrap type="topAndBottom" anchorx="page"/>
          </v:rect>
        </w:pict>
      </w:r>
    </w:p>
    <w:p w14:paraId="51DE95E1" w14:textId="77777777" w:rsidR="0010369C" w:rsidRDefault="008E43AE">
      <w:pPr>
        <w:spacing w:before="109"/>
        <w:ind w:left="238" w:right="3819"/>
        <w:jc w:val="both"/>
        <w:rPr>
          <w:sz w:val="18"/>
        </w:rPr>
      </w:pPr>
      <w:r>
        <w:rPr>
          <w:sz w:val="18"/>
          <w:vertAlign w:val="superscript"/>
        </w:rPr>
        <w:t>969</w:t>
      </w:r>
      <w:r>
        <w:rPr>
          <w:spacing w:val="-4"/>
          <w:sz w:val="18"/>
        </w:rPr>
        <w:t xml:space="preserve"> </w:t>
      </w:r>
      <w:r>
        <w:rPr>
          <w:sz w:val="18"/>
        </w:rPr>
        <w:t>CADA</w:t>
      </w:r>
      <w:r>
        <w:rPr>
          <w:spacing w:val="-4"/>
          <w:sz w:val="18"/>
        </w:rPr>
        <w:t xml:space="preserve"> </w:t>
      </w:r>
      <w:r>
        <w:rPr>
          <w:sz w:val="18"/>
        </w:rPr>
        <w:t>Application</w:t>
      </w:r>
      <w:r>
        <w:rPr>
          <w:spacing w:val="-4"/>
          <w:sz w:val="18"/>
        </w:rPr>
        <w:t xml:space="preserve"> </w:t>
      </w:r>
      <w:r>
        <w:rPr>
          <w:sz w:val="18"/>
        </w:rPr>
        <w:t>for</w:t>
      </w:r>
      <w:r>
        <w:rPr>
          <w:spacing w:val="-4"/>
          <w:sz w:val="18"/>
        </w:rPr>
        <w:t xml:space="preserve"> </w:t>
      </w:r>
      <w:r>
        <w:rPr>
          <w:sz w:val="18"/>
        </w:rPr>
        <w:t>Anti‐Dumping</w:t>
      </w:r>
      <w:r>
        <w:rPr>
          <w:spacing w:val="-4"/>
          <w:sz w:val="18"/>
        </w:rPr>
        <w:t xml:space="preserve"> </w:t>
      </w:r>
      <w:r>
        <w:rPr>
          <w:sz w:val="18"/>
        </w:rPr>
        <w:t>Investigation</w:t>
      </w:r>
      <w:r>
        <w:rPr>
          <w:spacing w:val="-4"/>
          <w:sz w:val="18"/>
        </w:rPr>
        <w:t xml:space="preserve"> </w:t>
      </w:r>
      <w:r>
        <w:rPr>
          <w:sz w:val="18"/>
        </w:rPr>
        <w:t>(Exhibit</w:t>
      </w:r>
      <w:r>
        <w:rPr>
          <w:spacing w:val="-4"/>
          <w:sz w:val="18"/>
        </w:rPr>
        <w:t xml:space="preserve"> </w:t>
      </w:r>
      <w:r>
        <w:rPr>
          <w:sz w:val="18"/>
        </w:rPr>
        <w:t>AUS‐64),</w:t>
      </w:r>
      <w:r>
        <w:rPr>
          <w:spacing w:val="-4"/>
          <w:sz w:val="18"/>
        </w:rPr>
        <w:t xml:space="preserve"> </w:t>
      </w:r>
      <w:r>
        <w:rPr>
          <w:sz w:val="18"/>
        </w:rPr>
        <w:t>pp.</w:t>
      </w:r>
      <w:r>
        <w:rPr>
          <w:spacing w:val="-4"/>
          <w:sz w:val="18"/>
        </w:rPr>
        <w:t xml:space="preserve"> </w:t>
      </w:r>
      <w:r>
        <w:rPr>
          <w:sz w:val="18"/>
        </w:rPr>
        <w:t xml:space="preserve">76‐77. </w:t>
      </w:r>
      <w:r>
        <w:rPr>
          <w:sz w:val="18"/>
          <w:vertAlign w:val="superscript"/>
        </w:rPr>
        <w:t>970</w:t>
      </w:r>
      <w:r>
        <w:rPr>
          <w:spacing w:val="-4"/>
          <w:sz w:val="18"/>
        </w:rPr>
        <w:t xml:space="preserve"> </w:t>
      </w:r>
      <w:r>
        <w:rPr>
          <w:sz w:val="18"/>
        </w:rPr>
        <w:t>CADA</w:t>
      </w:r>
      <w:r>
        <w:rPr>
          <w:spacing w:val="-4"/>
          <w:sz w:val="18"/>
        </w:rPr>
        <w:t xml:space="preserve"> </w:t>
      </w:r>
      <w:r>
        <w:rPr>
          <w:sz w:val="18"/>
        </w:rPr>
        <w:t>Application</w:t>
      </w:r>
      <w:r>
        <w:rPr>
          <w:spacing w:val="-4"/>
          <w:sz w:val="18"/>
        </w:rPr>
        <w:t xml:space="preserve"> </w:t>
      </w:r>
      <w:r>
        <w:rPr>
          <w:sz w:val="18"/>
        </w:rPr>
        <w:t>for</w:t>
      </w:r>
      <w:r>
        <w:rPr>
          <w:spacing w:val="-4"/>
          <w:sz w:val="18"/>
        </w:rPr>
        <w:t xml:space="preserve"> </w:t>
      </w:r>
      <w:r>
        <w:rPr>
          <w:sz w:val="18"/>
        </w:rPr>
        <w:t>Anti‐Dumping</w:t>
      </w:r>
      <w:r>
        <w:rPr>
          <w:spacing w:val="-4"/>
          <w:sz w:val="18"/>
        </w:rPr>
        <w:t xml:space="preserve"> </w:t>
      </w:r>
      <w:r>
        <w:rPr>
          <w:sz w:val="18"/>
        </w:rPr>
        <w:t>Investigation</w:t>
      </w:r>
      <w:r>
        <w:rPr>
          <w:spacing w:val="-4"/>
          <w:sz w:val="18"/>
        </w:rPr>
        <w:t xml:space="preserve"> </w:t>
      </w:r>
      <w:r>
        <w:rPr>
          <w:sz w:val="18"/>
        </w:rPr>
        <w:t>(Exhibit</w:t>
      </w:r>
      <w:r>
        <w:rPr>
          <w:spacing w:val="-4"/>
          <w:sz w:val="18"/>
        </w:rPr>
        <w:t xml:space="preserve"> </w:t>
      </w:r>
      <w:r>
        <w:rPr>
          <w:sz w:val="18"/>
        </w:rPr>
        <w:t>AUS‐64),</w:t>
      </w:r>
      <w:r>
        <w:rPr>
          <w:spacing w:val="-4"/>
          <w:sz w:val="18"/>
        </w:rPr>
        <w:t xml:space="preserve"> </w:t>
      </w:r>
      <w:r>
        <w:rPr>
          <w:sz w:val="18"/>
        </w:rPr>
        <w:t>pp.</w:t>
      </w:r>
      <w:r>
        <w:rPr>
          <w:spacing w:val="-4"/>
          <w:sz w:val="18"/>
        </w:rPr>
        <w:t xml:space="preserve"> </w:t>
      </w:r>
      <w:r>
        <w:rPr>
          <w:sz w:val="18"/>
        </w:rPr>
        <w:t xml:space="preserve">77‐78. </w:t>
      </w:r>
      <w:r>
        <w:rPr>
          <w:sz w:val="18"/>
          <w:vertAlign w:val="superscript"/>
        </w:rPr>
        <w:t>971</w:t>
      </w:r>
      <w:r>
        <w:rPr>
          <w:spacing w:val="-4"/>
          <w:sz w:val="18"/>
        </w:rPr>
        <w:t xml:space="preserve"> </w:t>
      </w:r>
      <w:r>
        <w:rPr>
          <w:sz w:val="18"/>
        </w:rPr>
        <w:t>CADA</w:t>
      </w:r>
      <w:r>
        <w:rPr>
          <w:spacing w:val="-4"/>
          <w:sz w:val="18"/>
        </w:rPr>
        <w:t xml:space="preserve"> </w:t>
      </w:r>
      <w:r>
        <w:rPr>
          <w:sz w:val="18"/>
        </w:rPr>
        <w:t>Application</w:t>
      </w:r>
      <w:r>
        <w:rPr>
          <w:spacing w:val="-4"/>
          <w:sz w:val="18"/>
        </w:rPr>
        <w:t xml:space="preserve"> </w:t>
      </w:r>
      <w:r>
        <w:rPr>
          <w:sz w:val="18"/>
        </w:rPr>
        <w:t>for</w:t>
      </w:r>
      <w:r>
        <w:rPr>
          <w:spacing w:val="-4"/>
          <w:sz w:val="18"/>
        </w:rPr>
        <w:t xml:space="preserve"> </w:t>
      </w:r>
      <w:r>
        <w:rPr>
          <w:sz w:val="18"/>
        </w:rPr>
        <w:t>Anti‐Dumping</w:t>
      </w:r>
      <w:r>
        <w:rPr>
          <w:spacing w:val="-4"/>
          <w:sz w:val="18"/>
        </w:rPr>
        <w:t xml:space="preserve"> </w:t>
      </w:r>
      <w:r>
        <w:rPr>
          <w:sz w:val="18"/>
        </w:rPr>
        <w:t>Investigation</w:t>
      </w:r>
      <w:r>
        <w:rPr>
          <w:spacing w:val="-4"/>
          <w:sz w:val="18"/>
        </w:rPr>
        <w:t xml:space="preserve"> </w:t>
      </w:r>
      <w:r>
        <w:rPr>
          <w:sz w:val="18"/>
        </w:rPr>
        <w:t>(Exhibit</w:t>
      </w:r>
      <w:r>
        <w:rPr>
          <w:spacing w:val="-4"/>
          <w:sz w:val="18"/>
        </w:rPr>
        <w:t xml:space="preserve"> </w:t>
      </w:r>
      <w:r>
        <w:rPr>
          <w:sz w:val="18"/>
        </w:rPr>
        <w:t>AUS‐64),</w:t>
      </w:r>
      <w:r>
        <w:rPr>
          <w:spacing w:val="-4"/>
          <w:sz w:val="18"/>
        </w:rPr>
        <w:t xml:space="preserve"> </w:t>
      </w:r>
      <w:r>
        <w:rPr>
          <w:sz w:val="18"/>
        </w:rPr>
        <w:t>pp.</w:t>
      </w:r>
      <w:r>
        <w:rPr>
          <w:spacing w:val="-4"/>
          <w:sz w:val="18"/>
        </w:rPr>
        <w:t xml:space="preserve"> </w:t>
      </w:r>
      <w:r>
        <w:rPr>
          <w:sz w:val="18"/>
        </w:rPr>
        <w:t>77‐78.</w:t>
      </w:r>
    </w:p>
    <w:p w14:paraId="51DE95E2" w14:textId="77777777" w:rsidR="0010369C" w:rsidRDefault="0010369C">
      <w:pPr>
        <w:jc w:val="both"/>
        <w:rPr>
          <w:sz w:val="18"/>
        </w:rPr>
        <w:sectPr w:rsidR="0010369C">
          <w:headerReference w:type="default" r:id="rId1079"/>
          <w:footerReference w:type="default" r:id="rId1080"/>
          <w:pgSz w:w="11910" w:h="16840"/>
          <w:pgMar w:top="880" w:right="800" w:bottom="980" w:left="1180" w:header="569" w:footer="788" w:gutter="0"/>
          <w:cols w:space="720"/>
        </w:sectPr>
      </w:pPr>
    </w:p>
    <w:p w14:paraId="51DE95E3" w14:textId="77777777" w:rsidR="0010369C" w:rsidRDefault="008E43AE">
      <w:pPr>
        <w:tabs>
          <w:tab w:val="left" w:pos="6426"/>
        </w:tabs>
        <w:ind w:left="238"/>
        <w:jc w:val="both"/>
        <w:rPr>
          <w:sz w:val="20"/>
        </w:rPr>
      </w:pPr>
      <w:r>
        <w:rPr>
          <w:i/>
          <w:sz w:val="20"/>
        </w:rPr>
        <w:lastRenderedPageBreak/>
        <w:t>China</w:t>
      </w:r>
      <w:r>
        <w:rPr>
          <w:i/>
          <w:spacing w:val="-5"/>
          <w:sz w:val="20"/>
        </w:rPr>
        <w:t xml:space="preserve"> </w:t>
      </w:r>
      <w:r>
        <w:rPr>
          <w:i/>
          <w:sz w:val="20"/>
        </w:rPr>
        <w:t>–</w:t>
      </w:r>
      <w:r>
        <w:rPr>
          <w:i/>
          <w:spacing w:val="-5"/>
          <w:sz w:val="20"/>
        </w:rPr>
        <w:t xml:space="preserve"> </w:t>
      </w:r>
      <w:r>
        <w:rPr>
          <w:i/>
          <w:sz w:val="20"/>
        </w:rPr>
        <w:t>Anti‐Dumping</w:t>
      </w:r>
      <w:r>
        <w:rPr>
          <w:i/>
          <w:spacing w:val="-4"/>
          <w:sz w:val="20"/>
        </w:rPr>
        <w:t xml:space="preserve"> </w:t>
      </w:r>
      <w:r>
        <w:rPr>
          <w:i/>
          <w:sz w:val="20"/>
        </w:rPr>
        <w:t>and</w:t>
      </w:r>
      <w:r>
        <w:rPr>
          <w:i/>
          <w:spacing w:val="-5"/>
          <w:sz w:val="20"/>
        </w:rPr>
        <w:t xml:space="preserve"> </w:t>
      </w:r>
      <w:r>
        <w:rPr>
          <w:i/>
          <w:sz w:val="20"/>
        </w:rPr>
        <w:t>Countervailing</w:t>
      </w:r>
      <w:r>
        <w:rPr>
          <w:i/>
          <w:spacing w:val="-5"/>
          <w:sz w:val="20"/>
        </w:rPr>
        <w:t xml:space="preserve"> </w:t>
      </w:r>
      <w:r>
        <w:rPr>
          <w:i/>
          <w:sz w:val="20"/>
        </w:rPr>
        <w:t>Duty</w:t>
      </w:r>
      <w:r>
        <w:rPr>
          <w:i/>
          <w:spacing w:val="-4"/>
          <w:sz w:val="20"/>
        </w:rPr>
        <w:t xml:space="preserve"> </w:t>
      </w:r>
      <w:r>
        <w:rPr>
          <w:i/>
          <w:spacing w:val="-2"/>
          <w:sz w:val="20"/>
        </w:rPr>
        <w:t>Measures</w:t>
      </w:r>
      <w:r>
        <w:rPr>
          <w:i/>
          <w:sz w:val="20"/>
        </w:rPr>
        <w:tab/>
      </w:r>
      <w:r>
        <w:rPr>
          <w:sz w:val="20"/>
        </w:rPr>
        <w:t>Australia's</w:t>
      </w:r>
      <w:r>
        <w:rPr>
          <w:spacing w:val="-7"/>
          <w:sz w:val="20"/>
        </w:rPr>
        <w:t xml:space="preserve"> </w:t>
      </w:r>
      <w:r>
        <w:rPr>
          <w:sz w:val="20"/>
        </w:rPr>
        <w:t>First</w:t>
      </w:r>
      <w:r>
        <w:rPr>
          <w:spacing w:val="-2"/>
          <w:sz w:val="20"/>
        </w:rPr>
        <w:t xml:space="preserve"> </w:t>
      </w:r>
      <w:r>
        <w:rPr>
          <w:sz w:val="20"/>
        </w:rPr>
        <w:t>Written</w:t>
      </w:r>
      <w:r>
        <w:rPr>
          <w:spacing w:val="-2"/>
          <w:sz w:val="20"/>
        </w:rPr>
        <w:t xml:space="preserve"> Submission</w:t>
      </w:r>
    </w:p>
    <w:p w14:paraId="51DE95E4" w14:textId="77777777" w:rsidR="0010369C" w:rsidRDefault="008E43AE">
      <w:pPr>
        <w:tabs>
          <w:tab w:val="left" w:pos="8228"/>
        </w:tabs>
        <w:spacing w:before="1"/>
        <w:ind w:left="239"/>
        <w:jc w:val="both"/>
        <w:rPr>
          <w:sz w:val="20"/>
        </w:rPr>
      </w:pPr>
      <w:r>
        <w:rPr>
          <w:i/>
          <w:sz w:val="20"/>
        </w:rPr>
        <w:t>on</w:t>
      </w:r>
      <w:r>
        <w:rPr>
          <w:i/>
          <w:spacing w:val="-1"/>
          <w:sz w:val="20"/>
        </w:rPr>
        <w:t xml:space="preserve"> </w:t>
      </w:r>
      <w:r>
        <w:rPr>
          <w:i/>
          <w:sz w:val="20"/>
        </w:rPr>
        <w:t>Wine</w:t>
      </w:r>
      <w:r>
        <w:rPr>
          <w:i/>
          <w:spacing w:val="-1"/>
          <w:sz w:val="20"/>
        </w:rPr>
        <w:t xml:space="preserve"> </w:t>
      </w:r>
      <w:r>
        <w:rPr>
          <w:i/>
          <w:sz w:val="20"/>
        </w:rPr>
        <w:t>from</w:t>
      </w:r>
      <w:r>
        <w:rPr>
          <w:i/>
          <w:spacing w:val="-3"/>
          <w:sz w:val="20"/>
        </w:rPr>
        <w:t xml:space="preserve"> </w:t>
      </w:r>
      <w:r>
        <w:rPr>
          <w:i/>
          <w:sz w:val="20"/>
        </w:rPr>
        <w:t>Australia</w:t>
      </w:r>
      <w:r>
        <w:rPr>
          <w:i/>
          <w:spacing w:val="-1"/>
          <w:sz w:val="20"/>
        </w:rPr>
        <w:t xml:space="preserve"> </w:t>
      </w:r>
      <w:r>
        <w:rPr>
          <w:spacing w:val="-2"/>
          <w:sz w:val="20"/>
        </w:rPr>
        <w:t>(DS602)</w:t>
      </w:r>
      <w:r>
        <w:rPr>
          <w:sz w:val="20"/>
        </w:rPr>
        <w:tab/>
        <w:t>29</w:t>
      </w:r>
      <w:r>
        <w:rPr>
          <w:spacing w:val="-1"/>
          <w:sz w:val="20"/>
        </w:rPr>
        <w:t xml:space="preserve"> </w:t>
      </w:r>
      <w:r>
        <w:rPr>
          <w:sz w:val="20"/>
        </w:rPr>
        <w:t>April</w:t>
      </w:r>
      <w:r>
        <w:rPr>
          <w:spacing w:val="-2"/>
          <w:sz w:val="20"/>
        </w:rPr>
        <w:t xml:space="preserve"> </w:t>
      </w:r>
      <w:r>
        <w:rPr>
          <w:spacing w:val="-4"/>
          <w:sz w:val="20"/>
        </w:rPr>
        <w:t>2022</w:t>
      </w:r>
    </w:p>
    <w:p w14:paraId="51DE95E5" w14:textId="77777777" w:rsidR="0010369C" w:rsidRDefault="008E43AE">
      <w:pPr>
        <w:pStyle w:val="BodyText"/>
        <w:spacing w:before="34" w:line="360" w:lineRule="auto"/>
        <w:ind w:left="236" w:right="613" w:firstLine="1"/>
        <w:jc w:val="both"/>
      </w:pPr>
      <w:r>
        <w:t>and prices with every other country as a combined total. There was no consideration of the trends</w:t>
      </w:r>
      <w:r>
        <w:rPr>
          <w:spacing w:val="-6"/>
        </w:rPr>
        <w:t xml:space="preserve"> </w:t>
      </w:r>
      <w:r>
        <w:t>in</w:t>
      </w:r>
      <w:r>
        <w:rPr>
          <w:spacing w:val="-6"/>
        </w:rPr>
        <w:t xml:space="preserve"> </w:t>
      </w:r>
      <w:r>
        <w:t>prices</w:t>
      </w:r>
      <w:r>
        <w:rPr>
          <w:spacing w:val="-6"/>
        </w:rPr>
        <w:t xml:space="preserve"> </w:t>
      </w:r>
      <w:r>
        <w:t>in</w:t>
      </w:r>
      <w:r>
        <w:rPr>
          <w:spacing w:val="-6"/>
        </w:rPr>
        <w:t xml:space="preserve"> </w:t>
      </w:r>
      <w:r>
        <w:t>imports</w:t>
      </w:r>
      <w:r>
        <w:rPr>
          <w:spacing w:val="-6"/>
        </w:rPr>
        <w:t xml:space="preserve"> </w:t>
      </w:r>
      <w:r>
        <w:t>from</w:t>
      </w:r>
      <w:r>
        <w:rPr>
          <w:spacing w:val="-6"/>
        </w:rPr>
        <w:t xml:space="preserve"> </w:t>
      </w:r>
      <w:r>
        <w:t>other</w:t>
      </w:r>
      <w:r>
        <w:rPr>
          <w:spacing w:val="-5"/>
        </w:rPr>
        <w:t xml:space="preserve"> </w:t>
      </w:r>
      <w:r>
        <w:t>countries</w:t>
      </w:r>
      <w:r>
        <w:rPr>
          <w:spacing w:val="-7"/>
        </w:rPr>
        <w:t xml:space="preserve"> </w:t>
      </w:r>
      <w:r>
        <w:t>at</w:t>
      </w:r>
      <w:r>
        <w:rPr>
          <w:spacing w:val="-6"/>
        </w:rPr>
        <w:t xml:space="preserve"> </w:t>
      </w:r>
      <w:r>
        <w:t>an</w:t>
      </w:r>
      <w:r>
        <w:rPr>
          <w:spacing w:val="-7"/>
        </w:rPr>
        <w:t xml:space="preserve"> </w:t>
      </w:r>
      <w:r>
        <w:t>individual</w:t>
      </w:r>
      <w:r>
        <w:rPr>
          <w:spacing w:val="-5"/>
        </w:rPr>
        <w:t xml:space="preserve"> </w:t>
      </w:r>
      <w:r>
        <w:t>level,</w:t>
      </w:r>
      <w:r>
        <w:rPr>
          <w:spacing w:val="-5"/>
        </w:rPr>
        <w:t xml:space="preserve"> </w:t>
      </w:r>
      <w:r>
        <w:t>including</w:t>
      </w:r>
      <w:r>
        <w:rPr>
          <w:spacing w:val="-5"/>
        </w:rPr>
        <w:t xml:space="preserve"> </w:t>
      </w:r>
      <w:r>
        <w:t>major</w:t>
      </w:r>
      <w:r>
        <w:rPr>
          <w:spacing w:val="-6"/>
        </w:rPr>
        <w:t xml:space="preserve"> </w:t>
      </w:r>
      <w:r>
        <w:t>sources of imports. In addition, the conclusions drawn by CADA were inconsis</w:t>
      </w:r>
      <w:r>
        <w:t>tent with the data it relied upon, which showed the year‐on‐year changes in other countries' import prices were at least as volatile as the changes in import prices from Australia.</w:t>
      </w:r>
      <w:r>
        <w:rPr>
          <w:vertAlign w:val="superscript"/>
        </w:rPr>
        <w:t>972</w:t>
      </w:r>
    </w:p>
    <w:p w14:paraId="51DE95E6" w14:textId="77777777" w:rsidR="0010369C" w:rsidRDefault="0010369C">
      <w:pPr>
        <w:pStyle w:val="BodyText"/>
        <w:spacing w:before="11"/>
        <w:rPr>
          <w:sz w:val="8"/>
        </w:rPr>
      </w:pPr>
    </w:p>
    <w:p w14:paraId="51DE95E7" w14:textId="77777777" w:rsidR="0010369C" w:rsidRDefault="008E43AE">
      <w:pPr>
        <w:pStyle w:val="BodyText"/>
        <w:spacing w:before="51" w:line="360" w:lineRule="auto"/>
        <w:ind w:left="237" w:right="615" w:firstLine="851"/>
        <w:jc w:val="both"/>
      </w:pPr>
      <w:r>
        <w:rPr>
          <w:noProof/>
        </w:rPr>
        <w:drawing>
          <wp:anchor distT="0" distB="0" distL="0" distR="0" simplePos="0" relativeHeight="251415040" behindDoc="1" locked="0" layoutInCell="1" allowOverlap="1" wp14:anchorId="51DEA6CC" wp14:editId="51DEA6CD">
            <wp:simplePos x="0" y="0"/>
            <wp:positionH relativeFrom="page">
              <wp:posOffset>902208</wp:posOffset>
            </wp:positionH>
            <wp:positionV relativeFrom="paragraph">
              <wp:posOffset>79960</wp:posOffset>
            </wp:positionV>
            <wp:extent cx="262127" cy="103631"/>
            <wp:effectExtent l="0" t="0" r="0" b="0"/>
            <wp:wrapNone/>
            <wp:docPr id="1589" name="image8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 name="image822.png"/>
                    <pic:cNvPicPr/>
                  </pic:nvPicPr>
                  <pic:blipFill>
                    <a:blip r:embed="rId1081" cstate="print"/>
                    <a:stretch>
                      <a:fillRect/>
                    </a:stretch>
                  </pic:blipFill>
                  <pic:spPr>
                    <a:xfrm>
                      <a:off x="0" y="0"/>
                      <a:ext cx="262127" cy="103631"/>
                    </a:xfrm>
                    <a:prstGeom prst="rect">
                      <a:avLst/>
                    </a:prstGeom>
                  </pic:spPr>
                </pic:pic>
              </a:graphicData>
            </a:graphic>
          </wp:anchor>
        </w:drawing>
      </w:r>
      <w:r>
        <w:t>Regarding changes in market demand and consumption patterns, CADA simp</w:t>
      </w:r>
      <w:r>
        <w:t>ly asserted that it "believed" that this factor could not have caused injury, even though it acknowledged</w:t>
      </w:r>
      <w:r>
        <w:rPr>
          <w:spacing w:val="-6"/>
        </w:rPr>
        <w:t xml:space="preserve"> </w:t>
      </w:r>
      <w:r>
        <w:t>that</w:t>
      </w:r>
      <w:r>
        <w:rPr>
          <w:spacing w:val="-6"/>
        </w:rPr>
        <w:t xml:space="preserve"> </w:t>
      </w:r>
      <w:r>
        <w:t>there</w:t>
      </w:r>
      <w:r>
        <w:rPr>
          <w:spacing w:val="-6"/>
        </w:rPr>
        <w:t xml:space="preserve"> </w:t>
      </w:r>
      <w:r>
        <w:t>was</w:t>
      </w:r>
      <w:r>
        <w:rPr>
          <w:spacing w:val="-7"/>
        </w:rPr>
        <w:t xml:space="preserve"> </w:t>
      </w:r>
      <w:r>
        <w:t>a</w:t>
      </w:r>
      <w:r>
        <w:rPr>
          <w:spacing w:val="-6"/>
        </w:rPr>
        <w:t xml:space="preserve"> </w:t>
      </w:r>
      <w:r>
        <w:t>"generational</w:t>
      </w:r>
      <w:r>
        <w:rPr>
          <w:spacing w:val="-6"/>
        </w:rPr>
        <w:t xml:space="preserve"> </w:t>
      </w:r>
      <w:r>
        <w:t>shift"</w:t>
      </w:r>
      <w:r>
        <w:rPr>
          <w:spacing w:val="-6"/>
        </w:rPr>
        <w:t xml:space="preserve"> </w:t>
      </w:r>
      <w:r>
        <w:t>underway.</w:t>
      </w:r>
      <w:r>
        <w:rPr>
          <w:vertAlign w:val="superscript"/>
        </w:rPr>
        <w:t>973</w:t>
      </w:r>
      <w:r>
        <w:rPr>
          <w:spacing w:val="-7"/>
        </w:rPr>
        <w:t xml:space="preserve"> </w:t>
      </w:r>
      <w:r>
        <w:t>No</w:t>
      </w:r>
      <w:r>
        <w:rPr>
          <w:spacing w:val="-6"/>
        </w:rPr>
        <w:t xml:space="preserve"> </w:t>
      </w:r>
      <w:r>
        <w:t>evidence</w:t>
      </w:r>
      <w:r>
        <w:rPr>
          <w:spacing w:val="-7"/>
        </w:rPr>
        <w:t xml:space="preserve"> </w:t>
      </w:r>
      <w:r>
        <w:t>was</w:t>
      </w:r>
      <w:r>
        <w:rPr>
          <w:spacing w:val="-7"/>
        </w:rPr>
        <w:t xml:space="preserve"> </w:t>
      </w:r>
      <w:r>
        <w:t>submitted in support of this view.</w:t>
      </w:r>
    </w:p>
    <w:p w14:paraId="51DE95E8" w14:textId="77777777" w:rsidR="0010369C" w:rsidRDefault="0010369C">
      <w:pPr>
        <w:pStyle w:val="BodyText"/>
        <w:spacing w:before="11"/>
        <w:rPr>
          <w:sz w:val="8"/>
        </w:rPr>
      </w:pPr>
    </w:p>
    <w:p w14:paraId="51DE95E9" w14:textId="77777777" w:rsidR="0010369C" w:rsidRDefault="008E43AE">
      <w:pPr>
        <w:pStyle w:val="BodyText"/>
        <w:spacing w:before="51" w:line="360" w:lineRule="auto"/>
        <w:ind w:left="237" w:right="614" w:firstLine="852"/>
        <w:jc w:val="both"/>
      </w:pPr>
      <w:r>
        <w:rPr>
          <w:noProof/>
        </w:rPr>
        <w:drawing>
          <wp:anchor distT="0" distB="0" distL="0" distR="0" simplePos="0" relativeHeight="251416064" behindDoc="1" locked="0" layoutInCell="1" allowOverlap="1" wp14:anchorId="51DEA6CE" wp14:editId="51DEA6CF">
            <wp:simplePos x="0" y="0"/>
            <wp:positionH relativeFrom="page">
              <wp:posOffset>902208</wp:posOffset>
            </wp:positionH>
            <wp:positionV relativeFrom="paragraph">
              <wp:posOffset>81315</wp:posOffset>
            </wp:positionV>
            <wp:extent cx="262127" cy="100753"/>
            <wp:effectExtent l="0" t="0" r="0" b="0"/>
            <wp:wrapNone/>
            <wp:docPr id="1591" name="image8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 name="image823.png"/>
                    <pic:cNvPicPr/>
                  </pic:nvPicPr>
                  <pic:blipFill>
                    <a:blip r:embed="rId1082" cstate="print"/>
                    <a:stretch>
                      <a:fillRect/>
                    </a:stretch>
                  </pic:blipFill>
                  <pic:spPr>
                    <a:xfrm>
                      <a:off x="0" y="0"/>
                      <a:ext cx="262127" cy="100753"/>
                    </a:xfrm>
                    <a:prstGeom prst="rect">
                      <a:avLst/>
                    </a:prstGeom>
                  </pic:spPr>
                </pic:pic>
              </a:graphicData>
            </a:graphic>
          </wp:anchor>
        </w:drawing>
      </w:r>
      <w:r>
        <w:t>Finally, CADA limited its analysis of the effe</w:t>
      </w:r>
      <w:r>
        <w:t>ct of healthy competition and the influence of</w:t>
      </w:r>
      <w:r>
        <w:rPr>
          <w:spacing w:val="-3"/>
        </w:rPr>
        <w:t xml:space="preserve"> </w:t>
      </w:r>
      <w:r>
        <w:t>commercial</w:t>
      </w:r>
      <w:r>
        <w:rPr>
          <w:spacing w:val="-2"/>
        </w:rPr>
        <w:t xml:space="preserve"> </w:t>
      </w:r>
      <w:r>
        <w:t>distribution</w:t>
      </w:r>
      <w:r>
        <w:rPr>
          <w:spacing w:val="-1"/>
        </w:rPr>
        <w:t xml:space="preserve"> </w:t>
      </w:r>
      <w:r>
        <w:t>channels</w:t>
      </w:r>
      <w:r>
        <w:rPr>
          <w:spacing w:val="-2"/>
        </w:rPr>
        <w:t xml:space="preserve"> </w:t>
      </w:r>
      <w:r>
        <w:t>to</w:t>
      </w:r>
      <w:r>
        <w:rPr>
          <w:spacing w:val="-1"/>
        </w:rPr>
        <w:t xml:space="preserve"> </w:t>
      </w:r>
      <w:r>
        <w:t>a</w:t>
      </w:r>
      <w:r>
        <w:rPr>
          <w:spacing w:val="-1"/>
        </w:rPr>
        <w:t xml:space="preserve"> </w:t>
      </w:r>
      <w:r>
        <w:t>series</w:t>
      </w:r>
      <w:r>
        <w:rPr>
          <w:spacing w:val="-2"/>
        </w:rPr>
        <w:t xml:space="preserve"> </w:t>
      </w:r>
      <w:r>
        <w:t>of</w:t>
      </w:r>
      <w:r>
        <w:rPr>
          <w:spacing w:val="-2"/>
        </w:rPr>
        <w:t xml:space="preserve"> </w:t>
      </w:r>
      <w:r>
        <w:t>assertions</w:t>
      </w:r>
      <w:r>
        <w:rPr>
          <w:spacing w:val="-2"/>
        </w:rPr>
        <w:t xml:space="preserve"> </w:t>
      </w:r>
      <w:r>
        <w:t>extolling</w:t>
      </w:r>
      <w:r>
        <w:rPr>
          <w:spacing w:val="-2"/>
        </w:rPr>
        <w:t xml:space="preserve"> </w:t>
      </w:r>
      <w:r>
        <w:t>the</w:t>
      </w:r>
      <w:r>
        <w:rPr>
          <w:spacing w:val="-1"/>
        </w:rPr>
        <w:t xml:space="preserve"> </w:t>
      </w:r>
      <w:r>
        <w:t>virtues</w:t>
      </w:r>
      <w:r>
        <w:rPr>
          <w:spacing w:val="-2"/>
        </w:rPr>
        <w:t xml:space="preserve"> </w:t>
      </w:r>
      <w:r>
        <w:t>of China's domestic enterprises, such as devotion to the "comprehensive utilization of resources", and full adoption of the "market‐orientated price mechanism".</w:t>
      </w:r>
      <w:r>
        <w:rPr>
          <w:spacing w:val="-5"/>
        </w:rPr>
        <w:t xml:space="preserve"> </w:t>
      </w:r>
      <w:r>
        <w:rPr>
          <w:vertAlign w:val="superscript"/>
        </w:rPr>
        <w:t>974</w:t>
      </w:r>
      <w:r>
        <w:t xml:space="preserve"> No evidence was offered in support of these propositions aside from bare assertion.</w:t>
      </w:r>
    </w:p>
    <w:p w14:paraId="51DE95EA" w14:textId="77777777" w:rsidR="0010369C" w:rsidRDefault="0010369C">
      <w:pPr>
        <w:pStyle w:val="BodyText"/>
        <w:spacing w:before="12"/>
        <w:rPr>
          <w:sz w:val="8"/>
        </w:rPr>
      </w:pPr>
    </w:p>
    <w:p w14:paraId="51DE95EB" w14:textId="77777777" w:rsidR="0010369C" w:rsidRDefault="008E43AE">
      <w:pPr>
        <w:pStyle w:val="BodyText"/>
        <w:spacing w:before="51" w:line="360" w:lineRule="auto"/>
        <w:ind w:left="237" w:right="612" w:firstLine="852"/>
        <w:jc w:val="both"/>
      </w:pPr>
      <w:r>
        <w:rPr>
          <w:noProof/>
        </w:rPr>
        <w:drawing>
          <wp:anchor distT="0" distB="0" distL="0" distR="0" simplePos="0" relativeHeight="251417088" behindDoc="1" locked="0" layoutInCell="1" allowOverlap="1" wp14:anchorId="51DEA6D0" wp14:editId="51DEA6D1">
            <wp:simplePos x="0" y="0"/>
            <wp:positionH relativeFrom="page">
              <wp:posOffset>902208</wp:posOffset>
            </wp:positionH>
            <wp:positionV relativeFrom="paragraph">
              <wp:posOffset>80722</wp:posOffset>
            </wp:positionV>
            <wp:extent cx="262127" cy="103631"/>
            <wp:effectExtent l="0" t="0" r="0" b="0"/>
            <wp:wrapNone/>
            <wp:docPr id="1593" name="image8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 name="image824.png"/>
                    <pic:cNvPicPr/>
                  </pic:nvPicPr>
                  <pic:blipFill>
                    <a:blip r:embed="rId1083" cstate="print"/>
                    <a:stretch>
                      <a:fillRect/>
                    </a:stretch>
                  </pic:blipFill>
                  <pic:spPr>
                    <a:xfrm>
                      <a:off x="0" y="0"/>
                      <a:ext cx="262127" cy="103631"/>
                    </a:xfrm>
                    <a:prstGeom prst="rect">
                      <a:avLst/>
                    </a:prstGeom>
                  </pic:spPr>
                </pic:pic>
              </a:graphicData>
            </a:graphic>
          </wp:anchor>
        </w:drawing>
      </w:r>
      <w:r>
        <w:t>Altho</w:t>
      </w:r>
      <w:r>
        <w:t>ugh</w:t>
      </w:r>
      <w:r>
        <w:rPr>
          <w:spacing w:val="-2"/>
        </w:rPr>
        <w:t xml:space="preserve"> </w:t>
      </w:r>
      <w:r>
        <w:t>CADA</w:t>
      </w:r>
      <w:r>
        <w:rPr>
          <w:spacing w:val="-1"/>
        </w:rPr>
        <w:t xml:space="preserve"> </w:t>
      </w:r>
      <w:r>
        <w:t>was</w:t>
      </w:r>
      <w:r>
        <w:rPr>
          <w:spacing w:val="-2"/>
        </w:rPr>
        <w:t xml:space="preserve"> </w:t>
      </w:r>
      <w:r>
        <w:t>also</w:t>
      </w:r>
      <w:r>
        <w:rPr>
          <w:spacing w:val="-1"/>
        </w:rPr>
        <w:t xml:space="preserve"> </w:t>
      </w:r>
      <w:r>
        <w:t>aware</w:t>
      </w:r>
      <w:r>
        <w:rPr>
          <w:spacing w:val="-1"/>
        </w:rPr>
        <w:t xml:space="preserve"> </w:t>
      </w:r>
      <w:r>
        <w:t>of</w:t>
      </w:r>
      <w:r>
        <w:rPr>
          <w:spacing w:val="-2"/>
        </w:rPr>
        <w:t xml:space="preserve"> </w:t>
      </w:r>
      <w:r>
        <w:t>other</w:t>
      </w:r>
      <w:r>
        <w:rPr>
          <w:spacing w:val="-1"/>
        </w:rPr>
        <w:t xml:space="preserve"> </w:t>
      </w:r>
      <w:r>
        <w:t>non‐attributable</w:t>
      </w:r>
      <w:r>
        <w:rPr>
          <w:spacing w:val="-1"/>
        </w:rPr>
        <w:t xml:space="preserve"> </w:t>
      </w:r>
      <w:r>
        <w:t>factors,</w:t>
      </w:r>
      <w:r>
        <w:rPr>
          <w:spacing w:val="-1"/>
        </w:rPr>
        <w:t xml:space="preserve"> </w:t>
      </w:r>
      <w:r>
        <w:t>it</w:t>
      </w:r>
      <w:r>
        <w:rPr>
          <w:spacing w:val="-1"/>
        </w:rPr>
        <w:t xml:space="preserve"> </w:t>
      </w:r>
      <w:r>
        <w:t>failed</w:t>
      </w:r>
      <w:r>
        <w:rPr>
          <w:spacing w:val="-1"/>
        </w:rPr>
        <w:t xml:space="preserve"> </w:t>
      </w:r>
      <w:r>
        <w:t>to</w:t>
      </w:r>
      <w:r>
        <w:rPr>
          <w:spacing w:val="-1"/>
        </w:rPr>
        <w:t xml:space="preserve"> </w:t>
      </w:r>
      <w:r>
        <w:t>address those</w:t>
      </w:r>
      <w:r>
        <w:rPr>
          <w:spacing w:val="-1"/>
        </w:rPr>
        <w:t xml:space="preserve"> </w:t>
      </w:r>
      <w:r>
        <w:t>as</w:t>
      </w:r>
      <w:r>
        <w:rPr>
          <w:spacing w:val="-2"/>
        </w:rPr>
        <w:t xml:space="preserve"> </w:t>
      </w:r>
      <w:r>
        <w:t>a</w:t>
      </w:r>
      <w:r>
        <w:rPr>
          <w:spacing w:val="-1"/>
        </w:rPr>
        <w:t xml:space="preserve"> </w:t>
      </w:r>
      <w:r>
        <w:t>cause</w:t>
      </w:r>
      <w:r>
        <w:rPr>
          <w:spacing w:val="-1"/>
        </w:rPr>
        <w:t xml:space="preserve"> </w:t>
      </w:r>
      <w:r>
        <w:t>of</w:t>
      </w:r>
      <w:r>
        <w:rPr>
          <w:spacing w:val="-2"/>
        </w:rPr>
        <w:t xml:space="preserve"> </w:t>
      </w:r>
      <w:r>
        <w:t>injury to</w:t>
      </w:r>
      <w:r>
        <w:rPr>
          <w:spacing w:val="-1"/>
        </w:rPr>
        <w:t xml:space="preserve"> </w:t>
      </w:r>
      <w:r>
        <w:t>the</w:t>
      </w:r>
      <w:r>
        <w:rPr>
          <w:spacing w:val="-1"/>
        </w:rPr>
        <w:t xml:space="preserve"> </w:t>
      </w:r>
      <w:r>
        <w:t>domestic industry. CADA</w:t>
      </w:r>
      <w:r>
        <w:rPr>
          <w:spacing w:val="-1"/>
        </w:rPr>
        <w:t xml:space="preserve"> </w:t>
      </w:r>
      <w:r>
        <w:t>stated</w:t>
      </w:r>
      <w:r>
        <w:rPr>
          <w:spacing w:val="-2"/>
        </w:rPr>
        <w:t xml:space="preserve"> </w:t>
      </w:r>
      <w:r>
        <w:t>elsewhere</w:t>
      </w:r>
      <w:r>
        <w:rPr>
          <w:spacing w:val="-1"/>
        </w:rPr>
        <w:t xml:space="preserve"> </w:t>
      </w:r>
      <w:r>
        <w:t>in</w:t>
      </w:r>
      <w:r>
        <w:rPr>
          <w:spacing w:val="-2"/>
        </w:rPr>
        <w:t xml:space="preserve"> </w:t>
      </w:r>
      <w:r>
        <w:t>the</w:t>
      </w:r>
      <w:r>
        <w:rPr>
          <w:spacing w:val="-1"/>
        </w:rPr>
        <w:t xml:space="preserve"> </w:t>
      </w:r>
      <w:r>
        <w:t>application that "Australian</w:t>
      </w:r>
      <w:r>
        <w:rPr>
          <w:spacing w:val="-1"/>
        </w:rPr>
        <w:t xml:space="preserve"> </w:t>
      </w:r>
      <w:r>
        <w:t>wine manufacturers have a definite competitive advantage by virtu</w:t>
      </w:r>
      <w:r>
        <w:t>e of their existing public praise and brands, as well as the consumption habits formed in consumer groups".</w:t>
      </w:r>
      <w:r>
        <w:rPr>
          <w:vertAlign w:val="superscript"/>
        </w:rPr>
        <w:t>975</w:t>
      </w:r>
      <w:r>
        <w:rPr>
          <w:spacing w:val="-5"/>
        </w:rPr>
        <w:t xml:space="preserve"> </w:t>
      </w:r>
      <w:r>
        <w:t>Despite</w:t>
      </w:r>
      <w:r>
        <w:rPr>
          <w:spacing w:val="-4"/>
        </w:rPr>
        <w:t xml:space="preserve"> </w:t>
      </w:r>
      <w:r>
        <w:t>this</w:t>
      </w:r>
      <w:r>
        <w:rPr>
          <w:spacing w:val="-5"/>
        </w:rPr>
        <w:t xml:space="preserve"> </w:t>
      </w:r>
      <w:r>
        <w:t>acknowledgement,</w:t>
      </w:r>
      <w:r>
        <w:rPr>
          <w:spacing w:val="-5"/>
        </w:rPr>
        <w:t xml:space="preserve"> </w:t>
      </w:r>
      <w:r>
        <w:t>there</w:t>
      </w:r>
      <w:r>
        <w:rPr>
          <w:spacing w:val="-6"/>
        </w:rPr>
        <w:t xml:space="preserve"> </w:t>
      </w:r>
      <w:r>
        <w:t>was</w:t>
      </w:r>
      <w:r>
        <w:rPr>
          <w:spacing w:val="-5"/>
        </w:rPr>
        <w:t xml:space="preserve"> </w:t>
      </w:r>
      <w:r>
        <w:t>no</w:t>
      </w:r>
      <w:r>
        <w:rPr>
          <w:spacing w:val="-4"/>
        </w:rPr>
        <w:t xml:space="preserve"> </w:t>
      </w:r>
      <w:r>
        <w:t>consideration</w:t>
      </w:r>
      <w:r>
        <w:rPr>
          <w:spacing w:val="-4"/>
        </w:rPr>
        <w:t xml:space="preserve"> </w:t>
      </w:r>
      <w:r>
        <w:t>in</w:t>
      </w:r>
      <w:r>
        <w:rPr>
          <w:spacing w:val="-6"/>
        </w:rPr>
        <w:t xml:space="preserve"> </w:t>
      </w:r>
      <w:r>
        <w:t>CADA's</w:t>
      </w:r>
      <w:r>
        <w:rPr>
          <w:spacing w:val="-5"/>
        </w:rPr>
        <w:t xml:space="preserve"> </w:t>
      </w:r>
      <w:r>
        <w:t xml:space="preserve">subsequent submissions of the likelihood that the strong performance of Australian wine imports was attributable to the quality and market position of those products rather than the alleged </w:t>
      </w:r>
      <w:r>
        <w:rPr>
          <w:spacing w:val="-2"/>
        </w:rPr>
        <w:t>dumping.</w:t>
      </w:r>
    </w:p>
    <w:p w14:paraId="51DE95EC" w14:textId="77777777" w:rsidR="0010369C" w:rsidRDefault="008E43AE">
      <w:pPr>
        <w:pStyle w:val="ListParagraph"/>
        <w:numPr>
          <w:ilvl w:val="2"/>
          <w:numId w:val="30"/>
        </w:numPr>
        <w:tabs>
          <w:tab w:val="left" w:pos="3641"/>
          <w:tab w:val="left" w:pos="3642"/>
        </w:tabs>
        <w:spacing w:before="162"/>
        <w:ind w:left="3641" w:hanging="853"/>
        <w:jc w:val="both"/>
        <w:rPr>
          <w:sz w:val="24"/>
        </w:rPr>
      </w:pPr>
      <w:r>
        <w:rPr>
          <w:spacing w:val="-2"/>
          <w:sz w:val="24"/>
          <w:u w:val="single"/>
        </w:rPr>
        <w:t>Conclusion</w:t>
      </w:r>
    </w:p>
    <w:p w14:paraId="51DE95ED" w14:textId="77777777" w:rsidR="0010369C" w:rsidRDefault="0010369C">
      <w:pPr>
        <w:pStyle w:val="BodyText"/>
        <w:spacing w:before="8"/>
        <w:rPr>
          <w:sz w:val="20"/>
        </w:rPr>
      </w:pPr>
    </w:p>
    <w:p w14:paraId="51DE95EE" w14:textId="77777777" w:rsidR="0010369C" w:rsidRDefault="008E43AE">
      <w:pPr>
        <w:pStyle w:val="BodyText"/>
        <w:spacing w:before="52"/>
        <w:ind w:left="1089"/>
        <w:jc w:val="both"/>
      </w:pPr>
      <w:r>
        <w:rPr>
          <w:noProof/>
        </w:rPr>
        <w:drawing>
          <wp:anchor distT="0" distB="0" distL="0" distR="0" simplePos="0" relativeHeight="250686976" behindDoc="0" locked="0" layoutInCell="1" allowOverlap="1" wp14:anchorId="51DEA6D2" wp14:editId="51DEA6D3">
            <wp:simplePos x="0" y="0"/>
            <wp:positionH relativeFrom="page">
              <wp:posOffset>902208</wp:posOffset>
            </wp:positionH>
            <wp:positionV relativeFrom="paragraph">
              <wp:posOffset>76785</wp:posOffset>
            </wp:positionV>
            <wp:extent cx="262127" cy="106679"/>
            <wp:effectExtent l="0" t="0" r="0" b="0"/>
            <wp:wrapNone/>
            <wp:docPr id="1595" name="image8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 name="image825.png"/>
                    <pic:cNvPicPr/>
                  </pic:nvPicPr>
                  <pic:blipFill>
                    <a:blip r:embed="rId1084" cstate="print"/>
                    <a:stretch>
                      <a:fillRect/>
                    </a:stretch>
                  </pic:blipFill>
                  <pic:spPr>
                    <a:xfrm>
                      <a:off x="0" y="0"/>
                      <a:ext cx="262127" cy="106679"/>
                    </a:xfrm>
                    <a:prstGeom prst="rect">
                      <a:avLst/>
                    </a:prstGeom>
                  </pic:spPr>
                </pic:pic>
              </a:graphicData>
            </a:graphic>
          </wp:anchor>
        </w:drawing>
      </w:r>
      <w:r>
        <w:rPr>
          <w:w w:val="95"/>
        </w:rPr>
        <w:t>CADA</w:t>
      </w:r>
      <w:r>
        <w:rPr>
          <w:spacing w:val="8"/>
        </w:rPr>
        <w:t xml:space="preserve"> </w:t>
      </w:r>
      <w:r>
        <w:rPr>
          <w:w w:val="95"/>
        </w:rPr>
        <w:t>failed</w:t>
      </w:r>
      <w:r>
        <w:rPr>
          <w:spacing w:val="5"/>
        </w:rPr>
        <w:t xml:space="preserve"> </w:t>
      </w:r>
      <w:r>
        <w:rPr>
          <w:w w:val="95"/>
        </w:rPr>
        <w:t>to</w:t>
      </w:r>
      <w:r>
        <w:rPr>
          <w:spacing w:val="8"/>
        </w:rPr>
        <w:t xml:space="preserve"> </w:t>
      </w:r>
      <w:r>
        <w:rPr>
          <w:w w:val="95"/>
        </w:rPr>
        <w:t>provide</w:t>
      </w:r>
      <w:r>
        <w:rPr>
          <w:spacing w:val="8"/>
        </w:rPr>
        <w:t xml:space="preserve"> </w:t>
      </w:r>
      <w:r>
        <w:rPr>
          <w:w w:val="95"/>
        </w:rPr>
        <w:t>sufficient</w:t>
      </w:r>
      <w:r>
        <w:rPr>
          <w:spacing w:val="9"/>
        </w:rPr>
        <w:t xml:space="preserve"> </w:t>
      </w:r>
      <w:r>
        <w:rPr>
          <w:w w:val="95"/>
        </w:rPr>
        <w:t>evidence</w:t>
      </w:r>
      <w:r>
        <w:rPr>
          <w:spacing w:val="5"/>
        </w:rPr>
        <w:t xml:space="preserve"> </w:t>
      </w:r>
      <w:r>
        <w:rPr>
          <w:w w:val="95"/>
        </w:rPr>
        <w:t>of</w:t>
      </w:r>
      <w:r>
        <w:rPr>
          <w:spacing w:val="7"/>
        </w:rPr>
        <w:t xml:space="preserve"> </w:t>
      </w:r>
      <w:r>
        <w:rPr>
          <w:w w:val="95"/>
        </w:rPr>
        <w:t>injury</w:t>
      </w:r>
      <w:r>
        <w:rPr>
          <w:spacing w:val="8"/>
        </w:rPr>
        <w:t xml:space="preserve"> </w:t>
      </w:r>
      <w:r>
        <w:rPr>
          <w:w w:val="95"/>
        </w:rPr>
        <w:t>and</w:t>
      </w:r>
      <w:r>
        <w:rPr>
          <w:spacing w:val="7"/>
        </w:rPr>
        <w:t xml:space="preserve"> </w:t>
      </w:r>
      <w:r>
        <w:rPr>
          <w:w w:val="95"/>
        </w:rPr>
        <w:t>causation</w:t>
      </w:r>
      <w:r>
        <w:rPr>
          <w:spacing w:val="6"/>
        </w:rPr>
        <w:t xml:space="preserve"> </w:t>
      </w:r>
      <w:r>
        <w:rPr>
          <w:w w:val="95"/>
        </w:rPr>
        <w:t>by</w:t>
      </w:r>
      <w:r>
        <w:rPr>
          <w:spacing w:val="9"/>
        </w:rPr>
        <w:t xml:space="preserve"> </w:t>
      </w:r>
      <w:r>
        <w:rPr>
          <w:w w:val="95"/>
        </w:rPr>
        <w:t>failing</w:t>
      </w:r>
      <w:r>
        <w:rPr>
          <w:spacing w:val="6"/>
        </w:rPr>
        <w:t xml:space="preserve"> </w:t>
      </w:r>
      <w:r>
        <w:rPr>
          <w:w w:val="95"/>
        </w:rPr>
        <w:t>to</w:t>
      </w:r>
      <w:r>
        <w:rPr>
          <w:spacing w:val="9"/>
        </w:rPr>
        <w:t xml:space="preserve"> </w:t>
      </w:r>
      <w:r>
        <w:rPr>
          <w:spacing w:val="-2"/>
          <w:w w:val="95"/>
        </w:rPr>
        <w:t>provide</w:t>
      </w:r>
    </w:p>
    <w:p w14:paraId="51DE95EF" w14:textId="77777777" w:rsidR="0010369C" w:rsidRDefault="008E43AE">
      <w:pPr>
        <w:pStyle w:val="ListParagraph"/>
        <w:numPr>
          <w:ilvl w:val="0"/>
          <w:numId w:val="28"/>
        </w:numPr>
        <w:tabs>
          <w:tab w:val="left" w:pos="496"/>
        </w:tabs>
        <w:spacing w:before="146" w:line="360" w:lineRule="auto"/>
        <w:ind w:right="613" w:firstLine="0"/>
        <w:jc w:val="both"/>
        <w:rPr>
          <w:sz w:val="24"/>
        </w:rPr>
      </w:pPr>
      <w:r>
        <w:rPr>
          <w:sz w:val="24"/>
        </w:rPr>
        <w:t>the effect</w:t>
      </w:r>
      <w:r>
        <w:rPr>
          <w:spacing w:val="-2"/>
          <w:sz w:val="24"/>
        </w:rPr>
        <w:t xml:space="preserve"> </w:t>
      </w:r>
      <w:r>
        <w:rPr>
          <w:sz w:val="24"/>
        </w:rPr>
        <w:t>of subject imports on prices of the like product in the domestic industry,</w:t>
      </w:r>
      <w:r>
        <w:rPr>
          <w:spacing w:val="-1"/>
          <w:sz w:val="24"/>
        </w:rPr>
        <w:t xml:space="preserve"> </w:t>
      </w:r>
      <w:r>
        <w:rPr>
          <w:sz w:val="24"/>
        </w:rPr>
        <w:t>and (ii) the</w:t>
      </w:r>
      <w:r>
        <w:rPr>
          <w:spacing w:val="-5"/>
          <w:sz w:val="24"/>
        </w:rPr>
        <w:t xml:space="preserve"> </w:t>
      </w:r>
      <w:r>
        <w:rPr>
          <w:sz w:val="24"/>
        </w:rPr>
        <w:t>consequent</w:t>
      </w:r>
      <w:r>
        <w:rPr>
          <w:spacing w:val="-6"/>
          <w:sz w:val="24"/>
        </w:rPr>
        <w:t xml:space="preserve"> </w:t>
      </w:r>
      <w:r>
        <w:rPr>
          <w:sz w:val="24"/>
        </w:rPr>
        <w:t>impact</w:t>
      </w:r>
      <w:r>
        <w:rPr>
          <w:spacing w:val="-6"/>
          <w:sz w:val="24"/>
        </w:rPr>
        <w:t xml:space="preserve"> </w:t>
      </w:r>
      <w:r>
        <w:rPr>
          <w:sz w:val="24"/>
        </w:rPr>
        <w:t>of</w:t>
      </w:r>
      <w:r>
        <w:rPr>
          <w:spacing w:val="-6"/>
          <w:sz w:val="24"/>
        </w:rPr>
        <w:t xml:space="preserve"> </w:t>
      </w:r>
      <w:r>
        <w:rPr>
          <w:sz w:val="24"/>
        </w:rPr>
        <w:t>the</w:t>
      </w:r>
      <w:r>
        <w:rPr>
          <w:spacing w:val="-5"/>
          <w:sz w:val="24"/>
        </w:rPr>
        <w:t xml:space="preserve"> </w:t>
      </w:r>
      <w:r>
        <w:rPr>
          <w:sz w:val="24"/>
        </w:rPr>
        <w:t>imports</w:t>
      </w:r>
      <w:r>
        <w:rPr>
          <w:spacing w:val="-6"/>
          <w:sz w:val="24"/>
        </w:rPr>
        <w:t xml:space="preserve"> </w:t>
      </w:r>
      <w:r>
        <w:rPr>
          <w:sz w:val="24"/>
        </w:rPr>
        <w:t>on</w:t>
      </w:r>
      <w:r>
        <w:rPr>
          <w:spacing w:val="-6"/>
          <w:sz w:val="24"/>
        </w:rPr>
        <w:t xml:space="preserve"> </w:t>
      </w:r>
      <w:r>
        <w:rPr>
          <w:sz w:val="24"/>
        </w:rPr>
        <w:t>the</w:t>
      </w:r>
      <w:r>
        <w:rPr>
          <w:spacing w:val="-5"/>
          <w:sz w:val="24"/>
        </w:rPr>
        <w:t xml:space="preserve"> </w:t>
      </w:r>
      <w:r>
        <w:rPr>
          <w:sz w:val="24"/>
        </w:rPr>
        <w:t>domestic</w:t>
      </w:r>
      <w:r>
        <w:rPr>
          <w:spacing w:val="-5"/>
          <w:sz w:val="24"/>
        </w:rPr>
        <w:t xml:space="preserve"> </w:t>
      </w:r>
      <w:r>
        <w:rPr>
          <w:sz w:val="24"/>
        </w:rPr>
        <w:t>industry,</w:t>
      </w:r>
      <w:r>
        <w:rPr>
          <w:spacing w:val="-5"/>
          <w:sz w:val="24"/>
        </w:rPr>
        <w:t xml:space="preserve"> </w:t>
      </w:r>
      <w:r>
        <w:rPr>
          <w:sz w:val="24"/>
        </w:rPr>
        <w:t>as</w:t>
      </w:r>
      <w:r>
        <w:rPr>
          <w:spacing w:val="-6"/>
          <w:sz w:val="24"/>
        </w:rPr>
        <w:t xml:space="preserve"> </w:t>
      </w:r>
      <w:r>
        <w:rPr>
          <w:sz w:val="24"/>
        </w:rPr>
        <w:t>demonstrated</w:t>
      </w:r>
      <w:r>
        <w:rPr>
          <w:spacing w:val="-6"/>
          <w:sz w:val="24"/>
        </w:rPr>
        <w:t xml:space="preserve"> </w:t>
      </w:r>
      <w:r>
        <w:rPr>
          <w:sz w:val="24"/>
        </w:rPr>
        <w:t>by</w:t>
      </w:r>
      <w:r>
        <w:rPr>
          <w:spacing w:val="-6"/>
          <w:sz w:val="24"/>
        </w:rPr>
        <w:t xml:space="preserve"> </w:t>
      </w:r>
      <w:r>
        <w:rPr>
          <w:sz w:val="24"/>
        </w:rPr>
        <w:t>relevant factors</w:t>
      </w:r>
      <w:r>
        <w:rPr>
          <w:spacing w:val="-10"/>
          <w:sz w:val="24"/>
        </w:rPr>
        <w:t xml:space="preserve"> </w:t>
      </w:r>
      <w:r>
        <w:rPr>
          <w:sz w:val="24"/>
        </w:rPr>
        <w:t>and</w:t>
      </w:r>
      <w:r>
        <w:rPr>
          <w:spacing w:val="-10"/>
          <w:sz w:val="24"/>
        </w:rPr>
        <w:t xml:space="preserve"> </w:t>
      </w:r>
      <w:r>
        <w:rPr>
          <w:sz w:val="24"/>
        </w:rPr>
        <w:t>indices</w:t>
      </w:r>
      <w:r>
        <w:rPr>
          <w:spacing w:val="-9"/>
          <w:sz w:val="24"/>
        </w:rPr>
        <w:t xml:space="preserve"> </w:t>
      </w:r>
      <w:r>
        <w:rPr>
          <w:sz w:val="24"/>
        </w:rPr>
        <w:t>having</w:t>
      </w:r>
      <w:r>
        <w:rPr>
          <w:spacing w:val="-10"/>
          <w:sz w:val="24"/>
        </w:rPr>
        <w:t xml:space="preserve"> </w:t>
      </w:r>
      <w:r>
        <w:rPr>
          <w:sz w:val="24"/>
        </w:rPr>
        <w:t>a</w:t>
      </w:r>
      <w:r>
        <w:rPr>
          <w:spacing w:val="-10"/>
          <w:sz w:val="24"/>
        </w:rPr>
        <w:t xml:space="preserve"> </w:t>
      </w:r>
      <w:r>
        <w:rPr>
          <w:sz w:val="24"/>
        </w:rPr>
        <w:t>bearing</w:t>
      </w:r>
      <w:r>
        <w:rPr>
          <w:spacing w:val="-10"/>
          <w:sz w:val="24"/>
        </w:rPr>
        <w:t xml:space="preserve"> </w:t>
      </w:r>
      <w:r>
        <w:rPr>
          <w:sz w:val="24"/>
        </w:rPr>
        <w:t>on</w:t>
      </w:r>
      <w:r>
        <w:rPr>
          <w:spacing w:val="-10"/>
          <w:sz w:val="24"/>
        </w:rPr>
        <w:t xml:space="preserve"> </w:t>
      </w:r>
      <w:r>
        <w:rPr>
          <w:sz w:val="24"/>
        </w:rPr>
        <w:t>the</w:t>
      </w:r>
      <w:r>
        <w:rPr>
          <w:spacing w:val="-9"/>
          <w:sz w:val="24"/>
        </w:rPr>
        <w:t xml:space="preserve"> </w:t>
      </w:r>
      <w:r>
        <w:rPr>
          <w:sz w:val="24"/>
        </w:rPr>
        <w:t>state</w:t>
      </w:r>
      <w:r>
        <w:rPr>
          <w:spacing w:val="-10"/>
          <w:sz w:val="24"/>
        </w:rPr>
        <w:t xml:space="preserve"> </w:t>
      </w:r>
      <w:r>
        <w:rPr>
          <w:sz w:val="24"/>
        </w:rPr>
        <w:t>of</w:t>
      </w:r>
      <w:r>
        <w:rPr>
          <w:spacing w:val="-10"/>
          <w:sz w:val="24"/>
        </w:rPr>
        <w:t xml:space="preserve"> </w:t>
      </w:r>
      <w:r>
        <w:rPr>
          <w:sz w:val="24"/>
        </w:rPr>
        <w:t>the</w:t>
      </w:r>
      <w:r>
        <w:rPr>
          <w:spacing w:val="-9"/>
          <w:sz w:val="24"/>
        </w:rPr>
        <w:t xml:space="preserve"> </w:t>
      </w:r>
      <w:r>
        <w:rPr>
          <w:sz w:val="24"/>
        </w:rPr>
        <w:t>domestic</w:t>
      </w:r>
      <w:r>
        <w:rPr>
          <w:spacing w:val="-9"/>
          <w:sz w:val="24"/>
        </w:rPr>
        <w:t xml:space="preserve"> </w:t>
      </w:r>
      <w:r>
        <w:rPr>
          <w:sz w:val="24"/>
        </w:rPr>
        <w:t>industry.</w:t>
      </w:r>
      <w:r>
        <w:rPr>
          <w:spacing w:val="-8"/>
          <w:sz w:val="24"/>
        </w:rPr>
        <w:t xml:space="preserve"> </w:t>
      </w:r>
      <w:r>
        <w:rPr>
          <w:sz w:val="24"/>
        </w:rPr>
        <w:t>CADA</w:t>
      </w:r>
      <w:r>
        <w:rPr>
          <w:spacing w:val="-9"/>
          <w:sz w:val="24"/>
        </w:rPr>
        <w:t xml:space="preserve"> </w:t>
      </w:r>
      <w:r>
        <w:rPr>
          <w:sz w:val="24"/>
        </w:rPr>
        <w:t>made</w:t>
      </w:r>
      <w:r>
        <w:rPr>
          <w:spacing w:val="-9"/>
          <w:sz w:val="24"/>
        </w:rPr>
        <w:t xml:space="preserve"> </w:t>
      </w:r>
      <w:r>
        <w:rPr>
          <w:sz w:val="24"/>
        </w:rPr>
        <w:t>several</w:t>
      </w:r>
    </w:p>
    <w:p w14:paraId="51DE95F0" w14:textId="77777777" w:rsidR="0010369C" w:rsidRDefault="008E43AE">
      <w:pPr>
        <w:pStyle w:val="BodyText"/>
        <w:spacing w:before="4"/>
        <w:rPr>
          <w:sz w:val="25"/>
        </w:rPr>
      </w:pPr>
      <w:r>
        <w:pict w14:anchorId="51DEA6D4">
          <v:rect id="docshape1271" o:spid="_x0000_s1163" style="position:absolute;margin-left:70.9pt;margin-top:16.7pt;width:2in;height:.8pt;z-index:-250742272;mso-wrap-distance-left:0;mso-wrap-distance-right:0;mso-position-horizontal-relative:page" fillcolor="black" stroked="f">
            <w10:wrap type="topAndBottom" anchorx="page"/>
          </v:rect>
        </w:pict>
      </w:r>
    </w:p>
    <w:p w14:paraId="51DE95F1" w14:textId="77777777" w:rsidR="0010369C" w:rsidRDefault="008E43AE">
      <w:pPr>
        <w:spacing w:before="110"/>
        <w:ind w:left="238"/>
        <w:jc w:val="both"/>
        <w:rPr>
          <w:sz w:val="18"/>
        </w:rPr>
      </w:pPr>
      <w:r>
        <w:rPr>
          <w:sz w:val="18"/>
          <w:vertAlign w:val="superscript"/>
        </w:rPr>
        <w:t>972</w:t>
      </w:r>
      <w:r>
        <w:rPr>
          <w:spacing w:val="-10"/>
          <w:sz w:val="18"/>
        </w:rPr>
        <w:t xml:space="preserve"> </w:t>
      </w:r>
      <w:r>
        <w:rPr>
          <w:sz w:val="18"/>
        </w:rPr>
        <w:t>CADA</w:t>
      </w:r>
      <w:r>
        <w:rPr>
          <w:spacing w:val="-9"/>
          <w:sz w:val="18"/>
        </w:rPr>
        <w:t xml:space="preserve"> </w:t>
      </w:r>
      <w:r>
        <w:rPr>
          <w:sz w:val="18"/>
        </w:rPr>
        <w:t>Application</w:t>
      </w:r>
      <w:r>
        <w:rPr>
          <w:spacing w:val="-9"/>
          <w:sz w:val="18"/>
        </w:rPr>
        <w:t xml:space="preserve"> </w:t>
      </w:r>
      <w:r>
        <w:rPr>
          <w:sz w:val="18"/>
        </w:rPr>
        <w:t>for</w:t>
      </w:r>
      <w:r>
        <w:rPr>
          <w:spacing w:val="-10"/>
          <w:sz w:val="18"/>
        </w:rPr>
        <w:t xml:space="preserve"> </w:t>
      </w:r>
      <w:r>
        <w:rPr>
          <w:sz w:val="18"/>
        </w:rPr>
        <w:t>Anti‐Dumping</w:t>
      </w:r>
      <w:r>
        <w:rPr>
          <w:spacing w:val="-9"/>
          <w:sz w:val="18"/>
        </w:rPr>
        <w:t xml:space="preserve"> </w:t>
      </w:r>
      <w:r>
        <w:rPr>
          <w:sz w:val="18"/>
        </w:rPr>
        <w:t>Investigation</w:t>
      </w:r>
      <w:r>
        <w:rPr>
          <w:spacing w:val="-9"/>
          <w:sz w:val="18"/>
        </w:rPr>
        <w:t xml:space="preserve"> </w:t>
      </w:r>
      <w:r>
        <w:rPr>
          <w:sz w:val="18"/>
        </w:rPr>
        <w:t>(Exhibit</w:t>
      </w:r>
      <w:r>
        <w:rPr>
          <w:spacing w:val="-9"/>
          <w:sz w:val="18"/>
        </w:rPr>
        <w:t xml:space="preserve"> </w:t>
      </w:r>
      <w:r>
        <w:rPr>
          <w:sz w:val="18"/>
        </w:rPr>
        <w:t>AUS‐64),</w:t>
      </w:r>
      <w:r>
        <w:rPr>
          <w:spacing w:val="-10"/>
          <w:sz w:val="18"/>
        </w:rPr>
        <w:t xml:space="preserve"> </w:t>
      </w:r>
      <w:r>
        <w:rPr>
          <w:sz w:val="18"/>
        </w:rPr>
        <w:t>p.</w:t>
      </w:r>
      <w:r>
        <w:rPr>
          <w:spacing w:val="-9"/>
          <w:sz w:val="18"/>
        </w:rPr>
        <w:t xml:space="preserve"> </w:t>
      </w:r>
      <w:r>
        <w:rPr>
          <w:spacing w:val="-5"/>
          <w:sz w:val="18"/>
        </w:rPr>
        <w:t>77.</w:t>
      </w:r>
    </w:p>
    <w:p w14:paraId="51DE95F2" w14:textId="77777777" w:rsidR="0010369C" w:rsidRDefault="008E43AE">
      <w:pPr>
        <w:ind w:left="238" w:right="3819"/>
        <w:jc w:val="both"/>
        <w:rPr>
          <w:sz w:val="18"/>
        </w:rPr>
      </w:pPr>
      <w:r>
        <w:rPr>
          <w:sz w:val="18"/>
          <w:vertAlign w:val="superscript"/>
        </w:rPr>
        <w:t>973</w:t>
      </w:r>
      <w:r>
        <w:rPr>
          <w:spacing w:val="-4"/>
          <w:sz w:val="18"/>
        </w:rPr>
        <w:t xml:space="preserve"> </w:t>
      </w:r>
      <w:r>
        <w:rPr>
          <w:sz w:val="18"/>
        </w:rPr>
        <w:t>CADA</w:t>
      </w:r>
      <w:r>
        <w:rPr>
          <w:spacing w:val="-4"/>
          <w:sz w:val="18"/>
        </w:rPr>
        <w:t xml:space="preserve"> </w:t>
      </w:r>
      <w:r>
        <w:rPr>
          <w:sz w:val="18"/>
        </w:rPr>
        <w:t>Application</w:t>
      </w:r>
      <w:r>
        <w:rPr>
          <w:spacing w:val="-4"/>
          <w:sz w:val="18"/>
        </w:rPr>
        <w:t xml:space="preserve"> </w:t>
      </w:r>
      <w:r>
        <w:rPr>
          <w:sz w:val="18"/>
        </w:rPr>
        <w:t>for</w:t>
      </w:r>
      <w:r>
        <w:rPr>
          <w:spacing w:val="-4"/>
          <w:sz w:val="18"/>
        </w:rPr>
        <w:t xml:space="preserve"> </w:t>
      </w:r>
      <w:r>
        <w:rPr>
          <w:sz w:val="18"/>
        </w:rPr>
        <w:t>Anti‐Dumping</w:t>
      </w:r>
      <w:r>
        <w:rPr>
          <w:spacing w:val="-4"/>
          <w:sz w:val="18"/>
        </w:rPr>
        <w:t xml:space="preserve"> </w:t>
      </w:r>
      <w:r>
        <w:rPr>
          <w:sz w:val="18"/>
        </w:rPr>
        <w:t>Investigation</w:t>
      </w:r>
      <w:r>
        <w:rPr>
          <w:spacing w:val="-4"/>
          <w:sz w:val="18"/>
        </w:rPr>
        <w:t xml:space="preserve"> </w:t>
      </w:r>
      <w:r>
        <w:rPr>
          <w:sz w:val="18"/>
        </w:rPr>
        <w:t>(Exhibit</w:t>
      </w:r>
      <w:r>
        <w:rPr>
          <w:spacing w:val="-4"/>
          <w:sz w:val="18"/>
        </w:rPr>
        <w:t xml:space="preserve"> </w:t>
      </w:r>
      <w:r>
        <w:rPr>
          <w:sz w:val="18"/>
        </w:rPr>
        <w:t>AUS‐64),</w:t>
      </w:r>
      <w:r>
        <w:rPr>
          <w:spacing w:val="-4"/>
          <w:sz w:val="18"/>
        </w:rPr>
        <w:t xml:space="preserve"> </w:t>
      </w:r>
      <w:r>
        <w:rPr>
          <w:sz w:val="18"/>
        </w:rPr>
        <w:t>pp.</w:t>
      </w:r>
      <w:r>
        <w:rPr>
          <w:spacing w:val="-4"/>
          <w:sz w:val="18"/>
        </w:rPr>
        <w:t xml:space="preserve"> </w:t>
      </w:r>
      <w:r>
        <w:rPr>
          <w:sz w:val="18"/>
        </w:rPr>
        <w:t xml:space="preserve">77‐78. </w:t>
      </w:r>
      <w:r>
        <w:rPr>
          <w:sz w:val="18"/>
          <w:vertAlign w:val="superscript"/>
        </w:rPr>
        <w:t>974</w:t>
      </w:r>
      <w:r>
        <w:rPr>
          <w:spacing w:val="-4"/>
          <w:sz w:val="18"/>
        </w:rPr>
        <w:t xml:space="preserve"> </w:t>
      </w:r>
      <w:r>
        <w:rPr>
          <w:sz w:val="18"/>
        </w:rPr>
        <w:t>CADA</w:t>
      </w:r>
      <w:r>
        <w:rPr>
          <w:spacing w:val="-4"/>
          <w:sz w:val="18"/>
        </w:rPr>
        <w:t xml:space="preserve"> </w:t>
      </w:r>
      <w:r>
        <w:rPr>
          <w:sz w:val="18"/>
        </w:rPr>
        <w:t>Application</w:t>
      </w:r>
      <w:r>
        <w:rPr>
          <w:spacing w:val="-4"/>
          <w:sz w:val="18"/>
        </w:rPr>
        <w:t xml:space="preserve"> </w:t>
      </w:r>
      <w:r>
        <w:rPr>
          <w:sz w:val="18"/>
        </w:rPr>
        <w:t>for</w:t>
      </w:r>
      <w:r>
        <w:rPr>
          <w:spacing w:val="-4"/>
          <w:sz w:val="18"/>
        </w:rPr>
        <w:t xml:space="preserve"> </w:t>
      </w:r>
      <w:r>
        <w:rPr>
          <w:sz w:val="18"/>
        </w:rPr>
        <w:t>Anti‐Dumping</w:t>
      </w:r>
      <w:r>
        <w:rPr>
          <w:spacing w:val="-4"/>
          <w:sz w:val="18"/>
        </w:rPr>
        <w:t xml:space="preserve"> </w:t>
      </w:r>
      <w:r>
        <w:rPr>
          <w:sz w:val="18"/>
        </w:rPr>
        <w:t>Investigation</w:t>
      </w:r>
      <w:r>
        <w:rPr>
          <w:spacing w:val="-4"/>
          <w:sz w:val="18"/>
        </w:rPr>
        <w:t xml:space="preserve"> </w:t>
      </w:r>
      <w:r>
        <w:rPr>
          <w:sz w:val="18"/>
        </w:rPr>
        <w:t>(Exhibit</w:t>
      </w:r>
      <w:r>
        <w:rPr>
          <w:spacing w:val="-4"/>
          <w:sz w:val="18"/>
        </w:rPr>
        <w:t xml:space="preserve"> </w:t>
      </w:r>
      <w:r>
        <w:rPr>
          <w:sz w:val="18"/>
        </w:rPr>
        <w:t>AUS‐64),</w:t>
      </w:r>
      <w:r>
        <w:rPr>
          <w:spacing w:val="-4"/>
          <w:sz w:val="18"/>
        </w:rPr>
        <w:t xml:space="preserve"> </w:t>
      </w:r>
      <w:r>
        <w:rPr>
          <w:sz w:val="18"/>
        </w:rPr>
        <w:t>pp.</w:t>
      </w:r>
      <w:r>
        <w:rPr>
          <w:spacing w:val="-4"/>
          <w:sz w:val="18"/>
        </w:rPr>
        <w:t xml:space="preserve"> </w:t>
      </w:r>
      <w:r>
        <w:rPr>
          <w:sz w:val="18"/>
        </w:rPr>
        <w:t xml:space="preserve">77‐78. </w:t>
      </w:r>
      <w:r>
        <w:rPr>
          <w:sz w:val="18"/>
          <w:vertAlign w:val="superscript"/>
        </w:rPr>
        <w:t>975</w:t>
      </w:r>
      <w:r>
        <w:rPr>
          <w:sz w:val="18"/>
        </w:rPr>
        <w:t xml:space="preserve"> CADA Application for Anti‐Dumping Investigation (Exhibit AUS‐64), p. 55.</w:t>
      </w:r>
    </w:p>
    <w:p w14:paraId="51DE95F3" w14:textId="77777777" w:rsidR="0010369C" w:rsidRDefault="0010369C">
      <w:pPr>
        <w:jc w:val="both"/>
        <w:rPr>
          <w:sz w:val="18"/>
        </w:rPr>
        <w:sectPr w:rsidR="0010369C">
          <w:pgSz w:w="11910" w:h="16840"/>
          <w:pgMar w:top="880" w:right="800" w:bottom="980" w:left="1180" w:header="569" w:footer="788" w:gutter="0"/>
          <w:cols w:space="720"/>
        </w:sectPr>
      </w:pPr>
    </w:p>
    <w:p w14:paraId="51DE95F4" w14:textId="77777777" w:rsidR="0010369C" w:rsidRDefault="008E43AE">
      <w:pPr>
        <w:tabs>
          <w:tab w:val="left" w:pos="6426"/>
        </w:tabs>
        <w:ind w:left="238"/>
        <w:jc w:val="both"/>
        <w:rPr>
          <w:sz w:val="20"/>
        </w:rPr>
      </w:pPr>
      <w:r>
        <w:rPr>
          <w:i/>
          <w:sz w:val="20"/>
        </w:rPr>
        <w:lastRenderedPageBreak/>
        <w:t>China</w:t>
      </w:r>
      <w:r>
        <w:rPr>
          <w:i/>
          <w:spacing w:val="-5"/>
          <w:sz w:val="20"/>
        </w:rPr>
        <w:t xml:space="preserve"> </w:t>
      </w:r>
      <w:r>
        <w:rPr>
          <w:i/>
          <w:sz w:val="20"/>
        </w:rPr>
        <w:t>–</w:t>
      </w:r>
      <w:r>
        <w:rPr>
          <w:i/>
          <w:spacing w:val="-5"/>
          <w:sz w:val="20"/>
        </w:rPr>
        <w:t xml:space="preserve"> </w:t>
      </w:r>
      <w:r>
        <w:rPr>
          <w:i/>
          <w:sz w:val="20"/>
        </w:rPr>
        <w:t>Anti‐Dumping</w:t>
      </w:r>
      <w:r>
        <w:rPr>
          <w:i/>
          <w:spacing w:val="-4"/>
          <w:sz w:val="20"/>
        </w:rPr>
        <w:t xml:space="preserve"> </w:t>
      </w:r>
      <w:r>
        <w:rPr>
          <w:i/>
          <w:sz w:val="20"/>
        </w:rPr>
        <w:t>and</w:t>
      </w:r>
      <w:r>
        <w:rPr>
          <w:i/>
          <w:spacing w:val="-5"/>
          <w:sz w:val="20"/>
        </w:rPr>
        <w:t xml:space="preserve"> </w:t>
      </w:r>
      <w:r>
        <w:rPr>
          <w:i/>
          <w:sz w:val="20"/>
        </w:rPr>
        <w:t>Countervailing</w:t>
      </w:r>
      <w:r>
        <w:rPr>
          <w:i/>
          <w:spacing w:val="-5"/>
          <w:sz w:val="20"/>
        </w:rPr>
        <w:t xml:space="preserve"> </w:t>
      </w:r>
      <w:r>
        <w:rPr>
          <w:i/>
          <w:sz w:val="20"/>
        </w:rPr>
        <w:t>Duty</w:t>
      </w:r>
      <w:r>
        <w:rPr>
          <w:i/>
          <w:spacing w:val="-4"/>
          <w:sz w:val="20"/>
        </w:rPr>
        <w:t xml:space="preserve"> </w:t>
      </w:r>
      <w:r>
        <w:rPr>
          <w:i/>
          <w:spacing w:val="-2"/>
          <w:sz w:val="20"/>
        </w:rPr>
        <w:t>Measures</w:t>
      </w:r>
      <w:r>
        <w:rPr>
          <w:i/>
          <w:sz w:val="20"/>
        </w:rPr>
        <w:tab/>
      </w:r>
      <w:r>
        <w:rPr>
          <w:sz w:val="20"/>
        </w:rPr>
        <w:t>Austra</w:t>
      </w:r>
      <w:r>
        <w:rPr>
          <w:sz w:val="20"/>
        </w:rPr>
        <w:t>lia's</w:t>
      </w:r>
      <w:r>
        <w:rPr>
          <w:spacing w:val="-7"/>
          <w:sz w:val="20"/>
        </w:rPr>
        <w:t xml:space="preserve"> </w:t>
      </w:r>
      <w:r>
        <w:rPr>
          <w:sz w:val="20"/>
        </w:rPr>
        <w:t>First</w:t>
      </w:r>
      <w:r>
        <w:rPr>
          <w:spacing w:val="-2"/>
          <w:sz w:val="20"/>
        </w:rPr>
        <w:t xml:space="preserve"> </w:t>
      </w:r>
      <w:r>
        <w:rPr>
          <w:sz w:val="20"/>
        </w:rPr>
        <w:t>Written</w:t>
      </w:r>
      <w:r>
        <w:rPr>
          <w:spacing w:val="-2"/>
          <w:sz w:val="20"/>
        </w:rPr>
        <w:t xml:space="preserve"> Submission</w:t>
      </w:r>
    </w:p>
    <w:p w14:paraId="51DE95F5" w14:textId="77777777" w:rsidR="0010369C" w:rsidRDefault="008E43AE">
      <w:pPr>
        <w:tabs>
          <w:tab w:val="left" w:pos="8228"/>
        </w:tabs>
        <w:spacing w:before="1"/>
        <w:ind w:left="239"/>
        <w:jc w:val="both"/>
        <w:rPr>
          <w:sz w:val="20"/>
        </w:rPr>
      </w:pPr>
      <w:r>
        <w:rPr>
          <w:i/>
          <w:sz w:val="20"/>
        </w:rPr>
        <w:t>on</w:t>
      </w:r>
      <w:r>
        <w:rPr>
          <w:i/>
          <w:spacing w:val="-1"/>
          <w:sz w:val="20"/>
        </w:rPr>
        <w:t xml:space="preserve"> </w:t>
      </w:r>
      <w:r>
        <w:rPr>
          <w:i/>
          <w:sz w:val="20"/>
        </w:rPr>
        <w:t>Wine</w:t>
      </w:r>
      <w:r>
        <w:rPr>
          <w:i/>
          <w:spacing w:val="-1"/>
          <w:sz w:val="20"/>
        </w:rPr>
        <w:t xml:space="preserve"> </w:t>
      </w:r>
      <w:r>
        <w:rPr>
          <w:i/>
          <w:sz w:val="20"/>
        </w:rPr>
        <w:t>from</w:t>
      </w:r>
      <w:r>
        <w:rPr>
          <w:i/>
          <w:spacing w:val="-3"/>
          <w:sz w:val="20"/>
        </w:rPr>
        <w:t xml:space="preserve"> </w:t>
      </w:r>
      <w:r>
        <w:rPr>
          <w:i/>
          <w:sz w:val="20"/>
        </w:rPr>
        <w:t>Australia</w:t>
      </w:r>
      <w:r>
        <w:rPr>
          <w:i/>
          <w:spacing w:val="-1"/>
          <w:sz w:val="20"/>
        </w:rPr>
        <w:t xml:space="preserve"> </w:t>
      </w:r>
      <w:r>
        <w:rPr>
          <w:spacing w:val="-2"/>
          <w:sz w:val="20"/>
        </w:rPr>
        <w:t>(DS602)</w:t>
      </w:r>
      <w:r>
        <w:rPr>
          <w:sz w:val="20"/>
        </w:rPr>
        <w:tab/>
        <w:t>29</w:t>
      </w:r>
      <w:r>
        <w:rPr>
          <w:spacing w:val="-1"/>
          <w:sz w:val="20"/>
        </w:rPr>
        <w:t xml:space="preserve"> </w:t>
      </w:r>
      <w:r>
        <w:rPr>
          <w:sz w:val="20"/>
        </w:rPr>
        <w:t>April</w:t>
      </w:r>
      <w:r>
        <w:rPr>
          <w:spacing w:val="-2"/>
          <w:sz w:val="20"/>
        </w:rPr>
        <w:t xml:space="preserve"> </w:t>
      </w:r>
      <w:r>
        <w:rPr>
          <w:spacing w:val="-4"/>
          <w:sz w:val="20"/>
        </w:rPr>
        <w:t>2022</w:t>
      </w:r>
    </w:p>
    <w:p w14:paraId="51DE95F6" w14:textId="77777777" w:rsidR="0010369C" w:rsidRDefault="008E43AE">
      <w:pPr>
        <w:pStyle w:val="BodyText"/>
        <w:spacing w:before="34" w:line="360" w:lineRule="auto"/>
        <w:ind w:left="237" w:right="612" w:firstLine="1"/>
        <w:jc w:val="both"/>
      </w:pPr>
      <w:r>
        <w:t>unsubstantiated claims regarding injury and relied on inaccurate data for its arguments. An unbiased and objective investigating authority would have detected the significant deficiencies</w:t>
      </w:r>
      <w:r>
        <w:rPr>
          <w:spacing w:val="-2"/>
        </w:rPr>
        <w:t xml:space="preserve"> </w:t>
      </w:r>
      <w:r>
        <w:t>in the proposed application and either</w:t>
      </w:r>
      <w:r>
        <w:rPr>
          <w:spacing w:val="-1"/>
        </w:rPr>
        <w:t xml:space="preserve"> </w:t>
      </w:r>
      <w:r>
        <w:t>made further verifications</w:t>
      </w:r>
      <w:r>
        <w:rPr>
          <w:spacing w:val="-2"/>
        </w:rPr>
        <w:t xml:space="preserve"> </w:t>
      </w:r>
      <w:r>
        <w:t>or</w:t>
      </w:r>
      <w:r>
        <w:rPr>
          <w:spacing w:val="-1"/>
        </w:rPr>
        <w:t xml:space="preserve"> </w:t>
      </w:r>
      <w:r>
        <w:t>rejected</w:t>
      </w:r>
      <w:r>
        <w:rPr>
          <w:spacing w:val="-1"/>
        </w:rPr>
        <w:t xml:space="preserve"> </w:t>
      </w:r>
      <w:r>
        <w:t>the application. MOFCOM failed to do this at the initiation stage, and therefore initiated an investigation solely on the basis of an</w:t>
      </w:r>
      <w:r>
        <w:rPr>
          <w:spacing w:val="-1"/>
        </w:rPr>
        <w:t xml:space="preserve"> </w:t>
      </w:r>
      <w:r>
        <w:t>application that lacked sufficient evidence</w:t>
      </w:r>
      <w:r>
        <w:rPr>
          <w:spacing w:val="-1"/>
        </w:rPr>
        <w:t xml:space="preserve"> </w:t>
      </w:r>
      <w:r>
        <w:t>of dumping, injury, and causation.</w:t>
      </w:r>
    </w:p>
    <w:p w14:paraId="51DE95F7" w14:textId="77777777" w:rsidR="0010369C" w:rsidRDefault="0010369C">
      <w:pPr>
        <w:pStyle w:val="BodyText"/>
        <w:spacing w:before="10"/>
        <w:rPr>
          <w:sz w:val="8"/>
        </w:rPr>
      </w:pPr>
    </w:p>
    <w:p w14:paraId="51DE95F8" w14:textId="77777777" w:rsidR="0010369C" w:rsidRDefault="008E43AE">
      <w:pPr>
        <w:pStyle w:val="BodyText"/>
        <w:spacing w:before="52" w:line="360" w:lineRule="auto"/>
        <w:ind w:left="236" w:right="612" w:firstLine="852"/>
        <w:jc w:val="both"/>
      </w:pPr>
      <w:r>
        <w:rPr>
          <w:noProof/>
        </w:rPr>
        <w:drawing>
          <wp:anchor distT="0" distB="0" distL="0" distR="0" simplePos="0" relativeHeight="251418112" behindDoc="1" locked="0" layoutInCell="1" allowOverlap="1" wp14:anchorId="51DEA6D5" wp14:editId="51DEA6D6">
            <wp:simplePos x="0" y="0"/>
            <wp:positionH relativeFrom="page">
              <wp:posOffset>902208</wp:posOffset>
            </wp:positionH>
            <wp:positionV relativeFrom="paragraph">
              <wp:posOffset>81949</wp:posOffset>
            </wp:positionV>
            <wp:extent cx="262127" cy="100753"/>
            <wp:effectExtent l="0" t="0" r="0" b="0"/>
            <wp:wrapNone/>
            <wp:docPr id="1597" name="image8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 name="image826.png"/>
                    <pic:cNvPicPr/>
                  </pic:nvPicPr>
                  <pic:blipFill>
                    <a:blip r:embed="rId1085" cstate="print"/>
                    <a:stretch>
                      <a:fillRect/>
                    </a:stretch>
                  </pic:blipFill>
                  <pic:spPr>
                    <a:xfrm>
                      <a:off x="0" y="0"/>
                      <a:ext cx="262127" cy="100753"/>
                    </a:xfrm>
                    <a:prstGeom prst="rect">
                      <a:avLst/>
                    </a:prstGeom>
                  </pic:spPr>
                </pic:pic>
              </a:graphicData>
            </a:graphic>
          </wp:anchor>
        </w:drawing>
      </w:r>
      <w:r>
        <w:t>The defects in CADA's submissions on causation were readily apparent to MOFCOM in its assessment of sufficiency of evidence in the written application. The consequence was that</w:t>
      </w:r>
      <w:r>
        <w:rPr>
          <w:spacing w:val="-3"/>
        </w:rPr>
        <w:t xml:space="preserve"> </w:t>
      </w:r>
      <w:r>
        <w:t>CADA's</w:t>
      </w:r>
      <w:r>
        <w:rPr>
          <w:spacing w:val="-3"/>
        </w:rPr>
        <w:t xml:space="preserve"> </w:t>
      </w:r>
      <w:r>
        <w:t>application</w:t>
      </w:r>
      <w:r>
        <w:rPr>
          <w:spacing w:val="-3"/>
        </w:rPr>
        <w:t xml:space="preserve"> </w:t>
      </w:r>
      <w:r>
        <w:t>was</w:t>
      </w:r>
      <w:r>
        <w:rPr>
          <w:spacing w:val="-3"/>
        </w:rPr>
        <w:t xml:space="preserve"> </w:t>
      </w:r>
      <w:r>
        <w:t>incapable</w:t>
      </w:r>
      <w:r>
        <w:rPr>
          <w:spacing w:val="-1"/>
        </w:rPr>
        <w:t xml:space="preserve"> </w:t>
      </w:r>
      <w:r>
        <w:t>of</w:t>
      </w:r>
      <w:r>
        <w:rPr>
          <w:spacing w:val="-3"/>
        </w:rPr>
        <w:t xml:space="preserve"> </w:t>
      </w:r>
      <w:r>
        <w:t>showing</w:t>
      </w:r>
      <w:r>
        <w:rPr>
          <w:spacing w:val="-3"/>
        </w:rPr>
        <w:t xml:space="preserve"> </w:t>
      </w:r>
      <w:r>
        <w:t>a</w:t>
      </w:r>
      <w:r>
        <w:rPr>
          <w:spacing w:val="-3"/>
        </w:rPr>
        <w:t xml:space="preserve"> </w:t>
      </w:r>
      <w:r>
        <w:t>causal</w:t>
      </w:r>
      <w:r>
        <w:rPr>
          <w:spacing w:val="-3"/>
        </w:rPr>
        <w:t xml:space="preserve"> </w:t>
      </w:r>
      <w:r>
        <w:t>nexus</w:t>
      </w:r>
      <w:r>
        <w:rPr>
          <w:spacing w:val="-3"/>
        </w:rPr>
        <w:t xml:space="preserve"> </w:t>
      </w:r>
      <w:r>
        <w:t>between</w:t>
      </w:r>
      <w:r>
        <w:rPr>
          <w:spacing w:val="-2"/>
        </w:rPr>
        <w:t xml:space="preserve"> </w:t>
      </w:r>
      <w:r>
        <w:t>Australian</w:t>
      </w:r>
      <w:r>
        <w:rPr>
          <w:spacing w:val="-4"/>
        </w:rPr>
        <w:t xml:space="preserve"> </w:t>
      </w:r>
      <w:r>
        <w:t>i</w:t>
      </w:r>
      <w:r>
        <w:t>mports and the purported injury beyond "simple assertion". As a result, an unbiased and objective investigating authority could not have found that there was sufficient evidence of injury and causation to justify the initiation of the investigation.</w:t>
      </w:r>
    </w:p>
    <w:p w14:paraId="51DE95F9" w14:textId="77777777" w:rsidR="0010369C" w:rsidRDefault="008E43AE">
      <w:pPr>
        <w:pStyle w:val="Heading4"/>
        <w:numPr>
          <w:ilvl w:val="1"/>
          <w:numId w:val="31"/>
        </w:numPr>
        <w:tabs>
          <w:tab w:val="left" w:pos="2649"/>
          <w:tab w:val="left" w:pos="2650"/>
        </w:tabs>
        <w:spacing w:before="162"/>
        <w:ind w:left="2649" w:hanging="852"/>
        <w:jc w:val="both"/>
      </w:pPr>
      <w:r>
        <w:t>The</w:t>
      </w:r>
      <w:r>
        <w:rPr>
          <w:spacing w:val="-7"/>
        </w:rPr>
        <w:t xml:space="preserve"> </w:t>
      </w:r>
      <w:r>
        <w:t>ap</w:t>
      </w:r>
      <w:r>
        <w:t>plication</w:t>
      </w:r>
      <w:r>
        <w:rPr>
          <w:spacing w:val="-9"/>
        </w:rPr>
        <w:t xml:space="preserve"> </w:t>
      </w:r>
      <w:r>
        <w:t>should</w:t>
      </w:r>
      <w:r>
        <w:rPr>
          <w:spacing w:val="-7"/>
        </w:rPr>
        <w:t xml:space="preserve"> </w:t>
      </w:r>
      <w:r>
        <w:t>have</w:t>
      </w:r>
      <w:r>
        <w:rPr>
          <w:spacing w:val="-7"/>
        </w:rPr>
        <w:t xml:space="preserve"> </w:t>
      </w:r>
      <w:r>
        <w:t>been</w:t>
      </w:r>
      <w:r>
        <w:rPr>
          <w:spacing w:val="-9"/>
        </w:rPr>
        <w:t xml:space="preserve"> </w:t>
      </w:r>
      <w:r>
        <w:rPr>
          <w:spacing w:val="-2"/>
        </w:rPr>
        <w:t>rejected</w:t>
      </w:r>
    </w:p>
    <w:p w14:paraId="51DE95FA" w14:textId="77777777" w:rsidR="0010369C" w:rsidRDefault="0010369C">
      <w:pPr>
        <w:pStyle w:val="BodyText"/>
        <w:spacing w:before="8"/>
        <w:rPr>
          <w:b/>
          <w:sz w:val="20"/>
        </w:rPr>
      </w:pPr>
    </w:p>
    <w:p w14:paraId="51DE95FB" w14:textId="77777777" w:rsidR="0010369C" w:rsidRDefault="008E43AE">
      <w:pPr>
        <w:pStyle w:val="BodyText"/>
        <w:spacing w:before="52" w:line="360" w:lineRule="auto"/>
        <w:ind w:left="238" w:right="614" w:firstLine="851"/>
        <w:jc w:val="both"/>
      </w:pPr>
      <w:r>
        <w:rPr>
          <w:noProof/>
        </w:rPr>
        <w:drawing>
          <wp:anchor distT="0" distB="0" distL="0" distR="0" simplePos="0" relativeHeight="251419136" behindDoc="1" locked="0" layoutInCell="1" allowOverlap="1" wp14:anchorId="51DEA6D7" wp14:editId="51DEA6D8">
            <wp:simplePos x="0" y="0"/>
            <wp:positionH relativeFrom="page">
              <wp:posOffset>902208</wp:posOffset>
            </wp:positionH>
            <wp:positionV relativeFrom="paragraph">
              <wp:posOffset>80595</wp:posOffset>
            </wp:positionV>
            <wp:extent cx="262127" cy="103631"/>
            <wp:effectExtent l="0" t="0" r="0" b="0"/>
            <wp:wrapNone/>
            <wp:docPr id="1599" name="image8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 name="image827.png"/>
                    <pic:cNvPicPr/>
                  </pic:nvPicPr>
                  <pic:blipFill>
                    <a:blip r:embed="rId1086" cstate="print"/>
                    <a:stretch>
                      <a:fillRect/>
                    </a:stretch>
                  </pic:blipFill>
                  <pic:spPr>
                    <a:xfrm>
                      <a:off x="0" y="0"/>
                      <a:ext cx="262127" cy="103631"/>
                    </a:xfrm>
                    <a:prstGeom prst="rect">
                      <a:avLst/>
                    </a:prstGeom>
                  </pic:spPr>
                </pic:pic>
              </a:graphicData>
            </a:graphic>
          </wp:anchor>
        </w:drawing>
      </w:r>
      <w:r>
        <w:t>Pursuant to Article 5.8 of the Anti‐Dumping Agreement, as soon as an investigating authority is "satisfied that there is not sufficient evidence"</w:t>
      </w:r>
      <w:r>
        <w:rPr>
          <w:vertAlign w:val="superscript"/>
        </w:rPr>
        <w:t>976</w:t>
      </w:r>
      <w:r>
        <w:t xml:space="preserve"> of either dumping, injury or causation, it must reject the applicatio</w:t>
      </w:r>
      <w:r>
        <w:t>n and terminate an investigation.</w:t>
      </w:r>
      <w:r>
        <w:rPr>
          <w:vertAlign w:val="superscript"/>
        </w:rPr>
        <w:t>977</w:t>
      </w:r>
    </w:p>
    <w:p w14:paraId="51DE95FC" w14:textId="77777777" w:rsidR="0010369C" w:rsidRDefault="0010369C">
      <w:pPr>
        <w:pStyle w:val="BodyText"/>
        <w:spacing w:before="11"/>
        <w:rPr>
          <w:sz w:val="8"/>
        </w:rPr>
      </w:pPr>
    </w:p>
    <w:p w14:paraId="51DE95FD" w14:textId="77777777" w:rsidR="0010369C" w:rsidRDefault="008E43AE">
      <w:pPr>
        <w:spacing w:before="51" w:line="360" w:lineRule="auto"/>
        <w:ind w:left="236" w:right="613" w:firstLine="852"/>
        <w:jc w:val="both"/>
        <w:rPr>
          <w:sz w:val="24"/>
        </w:rPr>
      </w:pPr>
      <w:r>
        <w:rPr>
          <w:noProof/>
        </w:rPr>
        <w:drawing>
          <wp:anchor distT="0" distB="0" distL="0" distR="0" simplePos="0" relativeHeight="251420160" behindDoc="1" locked="0" layoutInCell="1" allowOverlap="1" wp14:anchorId="51DEA6D9" wp14:editId="51DEA6DA">
            <wp:simplePos x="0" y="0"/>
            <wp:positionH relativeFrom="page">
              <wp:posOffset>902208</wp:posOffset>
            </wp:positionH>
            <wp:positionV relativeFrom="paragraph">
              <wp:posOffset>79960</wp:posOffset>
            </wp:positionV>
            <wp:extent cx="262127" cy="103631"/>
            <wp:effectExtent l="0" t="0" r="0" b="0"/>
            <wp:wrapNone/>
            <wp:docPr id="1601" name="image8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 name="image828.png"/>
                    <pic:cNvPicPr/>
                  </pic:nvPicPr>
                  <pic:blipFill>
                    <a:blip r:embed="rId1087" cstate="print"/>
                    <a:stretch>
                      <a:fillRect/>
                    </a:stretch>
                  </pic:blipFill>
                  <pic:spPr>
                    <a:xfrm>
                      <a:off x="0" y="0"/>
                      <a:ext cx="262127" cy="103631"/>
                    </a:xfrm>
                    <a:prstGeom prst="rect">
                      <a:avLst/>
                    </a:prstGeom>
                  </pic:spPr>
                </pic:pic>
              </a:graphicData>
            </a:graphic>
          </wp:anchor>
        </w:drawing>
      </w:r>
      <w:r>
        <w:rPr>
          <w:sz w:val="24"/>
        </w:rPr>
        <w:t>MOFCOM</w:t>
      </w:r>
      <w:r>
        <w:rPr>
          <w:spacing w:val="-6"/>
          <w:sz w:val="24"/>
        </w:rPr>
        <w:t xml:space="preserve"> </w:t>
      </w:r>
      <w:r>
        <w:rPr>
          <w:sz w:val="24"/>
        </w:rPr>
        <w:t>stated</w:t>
      </w:r>
      <w:r>
        <w:rPr>
          <w:spacing w:val="-6"/>
          <w:sz w:val="24"/>
        </w:rPr>
        <w:t xml:space="preserve"> </w:t>
      </w:r>
      <w:r>
        <w:rPr>
          <w:sz w:val="24"/>
        </w:rPr>
        <w:t>in</w:t>
      </w:r>
      <w:r>
        <w:rPr>
          <w:spacing w:val="-6"/>
          <w:sz w:val="24"/>
        </w:rPr>
        <w:t xml:space="preserve"> </w:t>
      </w:r>
      <w:r>
        <w:rPr>
          <w:sz w:val="24"/>
        </w:rPr>
        <w:t>its</w:t>
      </w:r>
      <w:r>
        <w:rPr>
          <w:spacing w:val="-6"/>
          <w:sz w:val="24"/>
        </w:rPr>
        <w:t xml:space="preserve"> </w:t>
      </w:r>
      <w:r>
        <w:rPr>
          <w:sz w:val="24"/>
        </w:rPr>
        <w:t>final</w:t>
      </w:r>
      <w:r>
        <w:rPr>
          <w:spacing w:val="-6"/>
          <w:sz w:val="24"/>
        </w:rPr>
        <w:t xml:space="preserve"> </w:t>
      </w:r>
      <w:r>
        <w:rPr>
          <w:sz w:val="24"/>
        </w:rPr>
        <w:t>determination</w:t>
      </w:r>
      <w:r>
        <w:rPr>
          <w:spacing w:val="-6"/>
          <w:sz w:val="24"/>
        </w:rPr>
        <w:t xml:space="preserve"> </w:t>
      </w:r>
      <w:r>
        <w:rPr>
          <w:sz w:val="24"/>
        </w:rPr>
        <w:t>that</w:t>
      </w:r>
      <w:r>
        <w:rPr>
          <w:spacing w:val="-6"/>
          <w:sz w:val="24"/>
        </w:rPr>
        <w:t xml:space="preserve"> </w:t>
      </w:r>
      <w:r>
        <w:rPr>
          <w:sz w:val="24"/>
        </w:rPr>
        <w:t>CADA's</w:t>
      </w:r>
      <w:r>
        <w:rPr>
          <w:spacing w:val="-6"/>
          <w:sz w:val="24"/>
        </w:rPr>
        <w:t xml:space="preserve"> </w:t>
      </w:r>
      <w:r>
        <w:rPr>
          <w:sz w:val="24"/>
        </w:rPr>
        <w:t>written</w:t>
      </w:r>
      <w:r>
        <w:rPr>
          <w:spacing w:val="-7"/>
          <w:sz w:val="24"/>
        </w:rPr>
        <w:t xml:space="preserve"> </w:t>
      </w:r>
      <w:r>
        <w:rPr>
          <w:sz w:val="24"/>
        </w:rPr>
        <w:t>application</w:t>
      </w:r>
      <w:r>
        <w:rPr>
          <w:spacing w:val="-6"/>
          <w:sz w:val="24"/>
        </w:rPr>
        <w:t xml:space="preserve"> </w:t>
      </w:r>
      <w:r>
        <w:rPr>
          <w:sz w:val="24"/>
        </w:rPr>
        <w:t xml:space="preserve">contained the information and related evidence required to initiate an anti‐dumping investigation as provided by Articles 14 and 15 of the </w:t>
      </w:r>
      <w:r>
        <w:rPr>
          <w:i/>
          <w:sz w:val="24"/>
        </w:rPr>
        <w:t xml:space="preserve">Anti‐Dumping Regulations of the People's Republic of </w:t>
      </w:r>
      <w:r>
        <w:rPr>
          <w:i/>
          <w:spacing w:val="-2"/>
          <w:sz w:val="24"/>
        </w:rPr>
        <w:t>China</w:t>
      </w:r>
      <w:r>
        <w:rPr>
          <w:spacing w:val="-2"/>
          <w:sz w:val="24"/>
        </w:rPr>
        <w:t>.</w:t>
      </w:r>
      <w:r>
        <w:rPr>
          <w:spacing w:val="-2"/>
          <w:sz w:val="24"/>
          <w:vertAlign w:val="superscript"/>
        </w:rPr>
        <w:t>978</w:t>
      </w:r>
    </w:p>
    <w:p w14:paraId="51DE95FE" w14:textId="77777777" w:rsidR="0010369C" w:rsidRDefault="0010369C">
      <w:pPr>
        <w:pStyle w:val="BodyText"/>
        <w:rPr>
          <w:sz w:val="9"/>
        </w:rPr>
      </w:pPr>
    </w:p>
    <w:p w14:paraId="51DE95FF" w14:textId="77777777" w:rsidR="0010369C" w:rsidRDefault="008E43AE">
      <w:pPr>
        <w:pStyle w:val="BodyText"/>
        <w:spacing w:before="52" w:line="360" w:lineRule="auto"/>
        <w:ind w:left="238" w:right="614" w:firstLine="851"/>
        <w:jc w:val="both"/>
      </w:pPr>
      <w:r>
        <w:rPr>
          <w:noProof/>
        </w:rPr>
        <w:drawing>
          <wp:anchor distT="0" distB="0" distL="0" distR="0" simplePos="0" relativeHeight="251421184" behindDoc="1" locked="0" layoutInCell="1" allowOverlap="1" wp14:anchorId="51DEA6DB" wp14:editId="51DEA6DC">
            <wp:simplePos x="0" y="0"/>
            <wp:positionH relativeFrom="page">
              <wp:posOffset>902208</wp:posOffset>
            </wp:positionH>
            <wp:positionV relativeFrom="paragraph">
              <wp:posOffset>81357</wp:posOffset>
            </wp:positionV>
            <wp:extent cx="262127" cy="103631"/>
            <wp:effectExtent l="0" t="0" r="0" b="0"/>
            <wp:wrapNone/>
            <wp:docPr id="1603" name="image8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 name="image829.png"/>
                    <pic:cNvPicPr/>
                  </pic:nvPicPr>
                  <pic:blipFill>
                    <a:blip r:embed="rId1088" cstate="print"/>
                    <a:stretch>
                      <a:fillRect/>
                    </a:stretch>
                  </pic:blipFill>
                  <pic:spPr>
                    <a:xfrm>
                      <a:off x="0" y="0"/>
                      <a:ext cx="262127" cy="103631"/>
                    </a:xfrm>
                    <a:prstGeom prst="rect">
                      <a:avLst/>
                    </a:prstGeom>
                  </pic:spPr>
                </pic:pic>
              </a:graphicData>
            </a:graphic>
          </wp:anchor>
        </w:drawing>
      </w:r>
      <w:r>
        <w:t xml:space="preserve">However, as detailed above, the application did not </w:t>
      </w:r>
      <w:r>
        <w:t>contain "sufficient evidence" of dumping,</w:t>
      </w:r>
      <w:r>
        <w:rPr>
          <w:spacing w:val="-3"/>
        </w:rPr>
        <w:t xml:space="preserve"> </w:t>
      </w:r>
      <w:r>
        <w:t>injury,</w:t>
      </w:r>
      <w:r>
        <w:rPr>
          <w:spacing w:val="-3"/>
        </w:rPr>
        <w:t xml:space="preserve"> </w:t>
      </w:r>
      <w:r>
        <w:t>or</w:t>
      </w:r>
      <w:r>
        <w:rPr>
          <w:spacing w:val="-4"/>
        </w:rPr>
        <w:t xml:space="preserve"> </w:t>
      </w:r>
      <w:r>
        <w:t>causation,</w:t>
      </w:r>
      <w:r>
        <w:rPr>
          <w:spacing w:val="-4"/>
        </w:rPr>
        <w:t xml:space="preserve"> </w:t>
      </w:r>
      <w:r>
        <w:t>within</w:t>
      </w:r>
      <w:r>
        <w:rPr>
          <w:spacing w:val="-3"/>
        </w:rPr>
        <w:t xml:space="preserve"> </w:t>
      </w:r>
      <w:r>
        <w:t>the</w:t>
      </w:r>
      <w:r>
        <w:rPr>
          <w:spacing w:val="-3"/>
        </w:rPr>
        <w:t xml:space="preserve"> </w:t>
      </w:r>
      <w:r>
        <w:t>meaning</w:t>
      </w:r>
      <w:r>
        <w:rPr>
          <w:spacing w:val="-4"/>
        </w:rPr>
        <w:t xml:space="preserve"> </w:t>
      </w:r>
      <w:r>
        <w:t>of</w:t>
      </w:r>
      <w:r>
        <w:rPr>
          <w:spacing w:val="-4"/>
        </w:rPr>
        <w:t xml:space="preserve"> </w:t>
      </w:r>
      <w:r>
        <w:t>Articles</w:t>
      </w:r>
      <w:r>
        <w:rPr>
          <w:spacing w:val="-4"/>
        </w:rPr>
        <w:t xml:space="preserve"> </w:t>
      </w:r>
      <w:r>
        <w:t>5.2</w:t>
      </w:r>
      <w:r>
        <w:rPr>
          <w:spacing w:val="-4"/>
        </w:rPr>
        <w:t xml:space="preserve"> </w:t>
      </w:r>
      <w:r>
        <w:t>and</w:t>
      </w:r>
      <w:r>
        <w:rPr>
          <w:spacing w:val="-3"/>
        </w:rPr>
        <w:t xml:space="preserve"> </w:t>
      </w:r>
      <w:r>
        <w:t>5.3</w:t>
      </w:r>
      <w:r>
        <w:rPr>
          <w:spacing w:val="-4"/>
        </w:rPr>
        <w:t xml:space="preserve"> </w:t>
      </w:r>
      <w:r>
        <w:t>of</w:t>
      </w:r>
      <w:r>
        <w:rPr>
          <w:spacing w:val="-4"/>
        </w:rPr>
        <w:t xml:space="preserve"> </w:t>
      </w:r>
      <w:r>
        <w:t>the</w:t>
      </w:r>
      <w:r>
        <w:rPr>
          <w:spacing w:val="-3"/>
        </w:rPr>
        <w:t xml:space="preserve"> </w:t>
      </w:r>
      <w:r>
        <w:t>Anti‐Dumping Agreement. As such, MOFCOM was required to reject the application in accordance with China's obligations under Article 5.8 of the</w:t>
      </w:r>
      <w:r>
        <w:t xml:space="preserve"> Anti‐Dumping Agreement.</w:t>
      </w:r>
    </w:p>
    <w:p w14:paraId="51DE9600" w14:textId="77777777" w:rsidR="0010369C" w:rsidRDefault="0010369C">
      <w:pPr>
        <w:pStyle w:val="BodyText"/>
        <w:rPr>
          <w:sz w:val="20"/>
        </w:rPr>
      </w:pPr>
    </w:p>
    <w:p w14:paraId="51DE9601" w14:textId="77777777" w:rsidR="0010369C" w:rsidRDefault="0010369C">
      <w:pPr>
        <w:pStyle w:val="BodyText"/>
        <w:rPr>
          <w:sz w:val="20"/>
        </w:rPr>
      </w:pPr>
    </w:p>
    <w:p w14:paraId="51DE9602" w14:textId="77777777" w:rsidR="0010369C" w:rsidRDefault="0010369C">
      <w:pPr>
        <w:pStyle w:val="BodyText"/>
        <w:rPr>
          <w:sz w:val="20"/>
        </w:rPr>
      </w:pPr>
    </w:p>
    <w:p w14:paraId="51DE9603" w14:textId="77777777" w:rsidR="0010369C" w:rsidRDefault="0010369C">
      <w:pPr>
        <w:pStyle w:val="BodyText"/>
        <w:rPr>
          <w:sz w:val="20"/>
        </w:rPr>
      </w:pPr>
    </w:p>
    <w:p w14:paraId="51DE9604" w14:textId="77777777" w:rsidR="0010369C" w:rsidRDefault="0010369C">
      <w:pPr>
        <w:pStyle w:val="BodyText"/>
        <w:rPr>
          <w:sz w:val="20"/>
        </w:rPr>
      </w:pPr>
    </w:p>
    <w:p w14:paraId="51DE9605" w14:textId="77777777" w:rsidR="0010369C" w:rsidRDefault="008E43AE">
      <w:pPr>
        <w:pStyle w:val="BodyText"/>
        <w:spacing w:before="3"/>
        <w:rPr>
          <w:sz w:val="15"/>
        </w:rPr>
      </w:pPr>
      <w:r>
        <w:pict w14:anchorId="51DEA6DD">
          <v:rect id="docshape1272" o:spid="_x0000_s1162" style="position:absolute;margin-left:70.9pt;margin-top:10.5pt;width:2in;height:.8pt;z-index:-250741248;mso-wrap-distance-left:0;mso-wrap-distance-right:0;mso-position-horizontal-relative:page" fillcolor="black" stroked="f">
            <w10:wrap type="topAndBottom" anchorx="page"/>
          </v:rect>
        </w:pict>
      </w:r>
    </w:p>
    <w:p w14:paraId="51DE9606" w14:textId="77777777" w:rsidR="0010369C" w:rsidRDefault="008E43AE">
      <w:pPr>
        <w:spacing w:before="109"/>
        <w:ind w:left="238"/>
        <w:jc w:val="both"/>
        <w:rPr>
          <w:sz w:val="18"/>
        </w:rPr>
      </w:pPr>
      <w:r>
        <w:rPr>
          <w:sz w:val="18"/>
          <w:vertAlign w:val="superscript"/>
        </w:rPr>
        <w:t>976</w:t>
      </w:r>
      <w:r>
        <w:rPr>
          <w:spacing w:val="-7"/>
          <w:sz w:val="18"/>
        </w:rPr>
        <w:t xml:space="preserve"> </w:t>
      </w:r>
      <w:r>
        <w:rPr>
          <w:sz w:val="18"/>
        </w:rPr>
        <w:t>Panel</w:t>
      </w:r>
      <w:r>
        <w:rPr>
          <w:spacing w:val="-7"/>
          <w:sz w:val="18"/>
        </w:rPr>
        <w:t xml:space="preserve"> </w:t>
      </w:r>
      <w:r>
        <w:rPr>
          <w:sz w:val="18"/>
        </w:rPr>
        <w:t>Report,</w:t>
      </w:r>
      <w:r>
        <w:rPr>
          <w:spacing w:val="-6"/>
          <w:sz w:val="18"/>
        </w:rPr>
        <w:t xml:space="preserve"> </w:t>
      </w:r>
      <w:r>
        <w:rPr>
          <w:i/>
          <w:sz w:val="18"/>
        </w:rPr>
        <w:t>Morocco</w:t>
      </w:r>
      <w:r>
        <w:rPr>
          <w:i/>
          <w:spacing w:val="-7"/>
          <w:sz w:val="18"/>
        </w:rPr>
        <w:t xml:space="preserve"> </w:t>
      </w:r>
      <w:r>
        <w:rPr>
          <w:i/>
          <w:sz w:val="18"/>
        </w:rPr>
        <w:t>–</w:t>
      </w:r>
      <w:r>
        <w:rPr>
          <w:i/>
          <w:spacing w:val="-6"/>
          <w:sz w:val="18"/>
        </w:rPr>
        <w:t xml:space="preserve"> </w:t>
      </w:r>
      <w:r>
        <w:rPr>
          <w:i/>
          <w:sz w:val="18"/>
        </w:rPr>
        <w:t>Definitive</w:t>
      </w:r>
      <w:r>
        <w:rPr>
          <w:i/>
          <w:spacing w:val="-7"/>
          <w:sz w:val="18"/>
        </w:rPr>
        <w:t xml:space="preserve"> </w:t>
      </w:r>
      <w:r>
        <w:rPr>
          <w:i/>
          <w:sz w:val="18"/>
        </w:rPr>
        <w:t>AD</w:t>
      </w:r>
      <w:r>
        <w:rPr>
          <w:i/>
          <w:spacing w:val="-7"/>
          <w:sz w:val="18"/>
        </w:rPr>
        <w:t xml:space="preserve"> </w:t>
      </w:r>
      <w:r>
        <w:rPr>
          <w:i/>
          <w:sz w:val="18"/>
        </w:rPr>
        <w:t>Measures</w:t>
      </w:r>
      <w:r>
        <w:rPr>
          <w:i/>
          <w:spacing w:val="-7"/>
          <w:sz w:val="18"/>
        </w:rPr>
        <w:t xml:space="preserve"> </w:t>
      </w:r>
      <w:r>
        <w:rPr>
          <w:i/>
          <w:sz w:val="18"/>
        </w:rPr>
        <w:t>on</w:t>
      </w:r>
      <w:r>
        <w:rPr>
          <w:i/>
          <w:spacing w:val="-6"/>
          <w:sz w:val="18"/>
        </w:rPr>
        <w:t xml:space="preserve"> </w:t>
      </w:r>
      <w:r>
        <w:rPr>
          <w:i/>
          <w:sz w:val="18"/>
        </w:rPr>
        <w:t>Exercise</w:t>
      </w:r>
      <w:r>
        <w:rPr>
          <w:i/>
          <w:spacing w:val="-6"/>
          <w:sz w:val="18"/>
        </w:rPr>
        <w:t xml:space="preserve"> </w:t>
      </w:r>
      <w:r>
        <w:rPr>
          <w:i/>
          <w:sz w:val="18"/>
        </w:rPr>
        <w:t>Books</w:t>
      </w:r>
      <w:r>
        <w:rPr>
          <w:i/>
          <w:spacing w:val="-7"/>
          <w:sz w:val="18"/>
        </w:rPr>
        <w:t xml:space="preserve"> </w:t>
      </w:r>
      <w:r>
        <w:rPr>
          <w:sz w:val="18"/>
        </w:rPr>
        <w:t>(Tunisia),</w:t>
      </w:r>
      <w:r>
        <w:rPr>
          <w:spacing w:val="-7"/>
          <w:sz w:val="18"/>
        </w:rPr>
        <w:t xml:space="preserve"> </w:t>
      </w:r>
      <w:r>
        <w:rPr>
          <w:sz w:val="18"/>
        </w:rPr>
        <w:t>paras.</w:t>
      </w:r>
      <w:r>
        <w:rPr>
          <w:spacing w:val="-7"/>
          <w:sz w:val="18"/>
        </w:rPr>
        <w:t xml:space="preserve"> </w:t>
      </w:r>
      <w:r>
        <w:rPr>
          <w:spacing w:val="-2"/>
          <w:sz w:val="18"/>
        </w:rPr>
        <w:t>7.359‐7.360.</w:t>
      </w:r>
    </w:p>
    <w:p w14:paraId="51DE9607" w14:textId="77777777" w:rsidR="0010369C" w:rsidRDefault="008E43AE">
      <w:pPr>
        <w:spacing w:before="1"/>
        <w:ind w:left="239" w:right="611" w:hanging="2"/>
        <w:jc w:val="both"/>
        <w:rPr>
          <w:sz w:val="18"/>
        </w:rPr>
      </w:pPr>
      <w:r>
        <w:rPr>
          <w:sz w:val="18"/>
          <w:vertAlign w:val="superscript"/>
        </w:rPr>
        <w:t>977</w:t>
      </w:r>
      <w:r>
        <w:rPr>
          <w:sz w:val="18"/>
        </w:rPr>
        <w:t xml:space="preserve"> Panel Report, </w:t>
      </w:r>
      <w:r>
        <w:rPr>
          <w:i/>
          <w:sz w:val="18"/>
        </w:rPr>
        <w:t>US – Softwood Lumber V</w:t>
      </w:r>
      <w:r>
        <w:rPr>
          <w:sz w:val="18"/>
        </w:rPr>
        <w:t>, para. 7.134 ("From the wording of Article 5.8, it is clear that it addresses two situations. The first one addressing the situation where the application is to be rejected before the initiation of the investigation, and the second dealing with the termin</w:t>
      </w:r>
      <w:r>
        <w:rPr>
          <w:sz w:val="18"/>
        </w:rPr>
        <w:t>ation of the investigation after it has been initiated…".).</w:t>
      </w:r>
    </w:p>
    <w:p w14:paraId="51DE9608" w14:textId="77777777" w:rsidR="0010369C" w:rsidRDefault="008E43AE">
      <w:pPr>
        <w:spacing w:line="219" w:lineRule="exact"/>
        <w:ind w:left="238"/>
        <w:jc w:val="both"/>
        <w:rPr>
          <w:sz w:val="18"/>
        </w:rPr>
      </w:pPr>
      <w:r>
        <w:rPr>
          <w:sz w:val="18"/>
          <w:vertAlign w:val="superscript"/>
        </w:rPr>
        <w:t>978</w:t>
      </w:r>
      <w:r>
        <w:rPr>
          <w:spacing w:val="-9"/>
          <w:sz w:val="18"/>
        </w:rPr>
        <w:t xml:space="preserve"> </w:t>
      </w:r>
      <w:r>
        <w:rPr>
          <w:sz w:val="18"/>
        </w:rPr>
        <w:t>Anti‐Dumping</w:t>
      </w:r>
      <w:r>
        <w:rPr>
          <w:spacing w:val="-9"/>
          <w:sz w:val="18"/>
        </w:rPr>
        <w:t xml:space="preserve"> </w:t>
      </w:r>
      <w:r>
        <w:rPr>
          <w:sz w:val="18"/>
        </w:rPr>
        <w:t>Final</w:t>
      </w:r>
      <w:r>
        <w:rPr>
          <w:spacing w:val="-9"/>
          <w:sz w:val="18"/>
        </w:rPr>
        <w:t xml:space="preserve"> </w:t>
      </w:r>
      <w:r>
        <w:rPr>
          <w:sz w:val="18"/>
        </w:rPr>
        <w:t>Determination</w:t>
      </w:r>
      <w:r>
        <w:rPr>
          <w:spacing w:val="-8"/>
          <w:sz w:val="18"/>
        </w:rPr>
        <w:t xml:space="preserve"> </w:t>
      </w:r>
      <w:r>
        <w:rPr>
          <w:sz w:val="18"/>
        </w:rPr>
        <w:t>(Exhibit</w:t>
      </w:r>
      <w:r>
        <w:rPr>
          <w:spacing w:val="-9"/>
          <w:sz w:val="18"/>
        </w:rPr>
        <w:t xml:space="preserve"> </w:t>
      </w:r>
      <w:r>
        <w:rPr>
          <w:sz w:val="18"/>
        </w:rPr>
        <w:t>AUS‐2),</w:t>
      </w:r>
      <w:r>
        <w:rPr>
          <w:spacing w:val="-9"/>
          <w:sz w:val="18"/>
        </w:rPr>
        <w:t xml:space="preserve"> </w:t>
      </w:r>
      <w:r>
        <w:rPr>
          <w:sz w:val="18"/>
        </w:rPr>
        <w:t>p.</w:t>
      </w:r>
      <w:r>
        <w:rPr>
          <w:spacing w:val="-9"/>
          <w:sz w:val="18"/>
        </w:rPr>
        <w:t xml:space="preserve"> </w:t>
      </w:r>
      <w:r>
        <w:rPr>
          <w:spacing w:val="-5"/>
          <w:sz w:val="18"/>
        </w:rPr>
        <w:t>4.</w:t>
      </w:r>
    </w:p>
    <w:p w14:paraId="51DE9609" w14:textId="77777777" w:rsidR="0010369C" w:rsidRDefault="0010369C">
      <w:pPr>
        <w:spacing w:line="219" w:lineRule="exact"/>
        <w:jc w:val="both"/>
        <w:rPr>
          <w:sz w:val="18"/>
        </w:rPr>
        <w:sectPr w:rsidR="0010369C">
          <w:pgSz w:w="11910" w:h="16840"/>
          <w:pgMar w:top="880" w:right="800" w:bottom="980" w:left="1180" w:header="569" w:footer="788" w:gutter="0"/>
          <w:cols w:space="720"/>
        </w:sectPr>
      </w:pPr>
    </w:p>
    <w:p w14:paraId="51DE960A" w14:textId="77777777" w:rsidR="0010369C" w:rsidRDefault="008E43AE">
      <w:pPr>
        <w:tabs>
          <w:tab w:val="left" w:pos="6426"/>
        </w:tabs>
        <w:ind w:left="238"/>
        <w:jc w:val="both"/>
        <w:rPr>
          <w:sz w:val="20"/>
        </w:rPr>
      </w:pPr>
      <w:r>
        <w:rPr>
          <w:i/>
          <w:sz w:val="20"/>
        </w:rPr>
        <w:lastRenderedPageBreak/>
        <w:t>China</w:t>
      </w:r>
      <w:r>
        <w:rPr>
          <w:i/>
          <w:spacing w:val="-5"/>
          <w:sz w:val="20"/>
        </w:rPr>
        <w:t xml:space="preserve"> </w:t>
      </w:r>
      <w:r>
        <w:rPr>
          <w:i/>
          <w:sz w:val="20"/>
        </w:rPr>
        <w:t>–</w:t>
      </w:r>
      <w:r>
        <w:rPr>
          <w:i/>
          <w:spacing w:val="-5"/>
          <w:sz w:val="20"/>
        </w:rPr>
        <w:t xml:space="preserve"> </w:t>
      </w:r>
      <w:r>
        <w:rPr>
          <w:i/>
          <w:sz w:val="20"/>
        </w:rPr>
        <w:t>Anti‐Dumping</w:t>
      </w:r>
      <w:r>
        <w:rPr>
          <w:i/>
          <w:spacing w:val="-4"/>
          <w:sz w:val="20"/>
        </w:rPr>
        <w:t xml:space="preserve"> </w:t>
      </w:r>
      <w:r>
        <w:rPr>
          <w:i/>
          <w:sz w:val="20"/>
        </w:rPr>
        <w:t>and</w:t>
      </w:r>
      <w:r>
        <w:rPr>
          <w:i/>
          <w:spacing w:val="-5"/>
          <w:sz w:val="20"/>
        </w:rPr>
        <w:t xml:space="preserve"> </w:t>
      </w:r>
      <w:r>
        <w:rPr>
          <w:i/>
          <w:sz w:val="20"/>
        </w:rPr>
        <w:t>Countervailing</w:t>
      </w:r>
      <w:r>
        <w:rPr>
          <w:i/>
          <w:spacing w:val="-5"/>
          <w:sz w:val="20"/>
        </w:rPr>
        <w:t xml:space="preserve"> </w:t>
      </w:r>
      <w:r>
        <w:rPr>
          <w:i/>
          <w:sz w:val="20"/>
        </w:rPr>
        <w:t>Duty</w:t>
      </w:r>
      <w:r>
        <w:rPr>
          <w:i/>
          <w:spacing w:val="-4"/>
          <w:sz w:val="20"/>
        </w:rPr>
        <w:t xml:space="preserve"> </w:t>
      </w:r>
      <w:r>
        <w:rPr>
          <w:i/>
          <w:spacing w:val="-2"/>
          <w:sz w:val="20"/>
        </w:rPr>
        <w:t>Measures</w:t>
      </w:r>
      <w:r>
        <w:rPr>
          <w:i/>
          <w:sz w:val="20"/>
        </w:rPr>
        <w:tab/>
      </w:r>
      <w:r>
        <w:rPr>
          <w:sz w:val="20"/>
        </w:rPr>
        <w:t>Australia's</w:t>
      </w:r>
      <w:r>
        <w:rPr>
          <w:spacing w:val="-7"/>
          <w:sz w:val="20"/>
        </w:rPr>
        <w:t xml:space="preserve"> </w:t>
      </w:r>
      <w:r>
        <w:rPr>
          <w:sz w:val="20"/>
        </w:rPr>
        <w:t>First</w:t>
      </w:r>
      <w:r>
        <w:rPr>
          <w:spacing w:val="-2"/>
          <w:sz w:val="20"/>
        </w:rPr>
        <w:t xml:space="preserve"> </w:t>
      </w:r>
      <w:r>
        <w:rPr>
          <w:sz w:val="20"/>
        </w:rPr>
        <w:t>Written</w:t>
      </w:r>
      <w:r>
        <w:rPr>
          <w:spacing w:val="-2"/>
          <w:sz w:val="20"/>
        </w:rPr>
        <w:t xml:space="preserve"> Submission</w:t>
      </w:r>
    </w:p>
    <w:p w14:paraId="51DE960B" w14:textId="77777777" w:rsidR="0010369C" w:rsidRDefault="008E43AE">
      <w:pPr>
        <w:tabs>
          <w:tab w:val="left" w:pos="8228"/>
        </w:tabs>
        <w:spacing w:before="1"/>
        <w:ind w:left="239"/>
        <w:jc w:val="both"/>
        <w:rPr>
          <w:sz w:val="20"/>
        </w:rPr>
      </w:pPr>
      <w:r>
        <w:rPr>
          <w:i/>
          <w:sz w:val="20"/>
        </w:rPr>
        <w:t>on</w:t>
      </w:r>
      <w:r>
        <w:rPr>
          <w:i/>
          <w:spacing w:val="-1"/>
          <w:sz w:val="20"/>
        </w:rPr>
        <w:t xml:space="preserve"> </w:t>
      </w:r>
      <w:r>
        <w:rPr>
          <w:i/>
          <w:sz w:val="20"/>
        </w:rPr>
        <w:t>Wine</w:t>
      </w:r>
      <w:r>
        <w:rPr>
          <w:i/>
          <w:spacing w:val="-1"/>
          <w:sz w:val="20"/>
        </w:rPr>
        <w:t xml:space="preserve"> </w:t>
      </w:r>
      <w:r>
        <w:rPr>
          <w:i/>
          <w:sz w:val="20"/>
        </w:rPr>
        <w:t>from</w:t>
      </w:r>
      <w:r>
        <w:rPr>
          <w:i/>
          <w:spacing w:val="-3"/>
          <w:sz w:val="20"/>
        </w:rPr>
        <w:t xml:space="preserve"> </w:t>
      </w:r>
      <w:r>
        <w:rPr>
          <w:i/>
          <w:sz w:val="20"/>
        </w:rPr>
        <w:t>Australia</w:t>
      </w:r>
      <w:r>
        <w:rPr>
          <w:i/>
          <w:spacing w:val="-1"/>
          <w:sz w:val="20"/>
        </w:rPr>
        <w:t xml:space="preserve"> </w:t>
      </w:r>
      <w:r>
        <w:rPr>
          <w:spacing w:val="-2"/>
          <w:sz w:val="20"/>
        </w:rPr>
        <w:t>(DS602)</w:t>
      </w:r>
      <w:r>
        <w:rPr>
          <w:sz w:val="20"/>
        </w:rPr>
        <w:tab/>
        <w:t>29</w:t>
      </w:r>
      <w:r>
        <w:rPr>
          <w:spacing w:val="-1"/>
          <w:sz w:val="20"/>
        </w:rPr>
        <w:t xml:space="preserve"> </w:t>
      </w:r>
      <w:r>
        <w:rPr>
          <w:sz w:val="20"/>
        </w:rPr>
        <w:t>April</w:t>
      </w:r>
      <w:r>
        <w:rPr>
          <w:spacing w:val="-2"/>
          <w:sz w:val="20"/>
        </w:rPr>
        <w:t xml:space="preserve"> </w:t>
      </w:r>
      <w:r>
        <w:rPr>
          <w:spacing w:val="-4"/>
          <w:sz w:val="20"/>
        </w:rPr>
        <w:t>2022</w:t>
      </w:r>
    </w:p>
    <w:p w14:paraId="51DE960C" w14:textId="77777777" w:rsidR="0010369C" w:rsidRDefault="008E43AE">
      <w:pPr>
        <w:pStyle w:val="ListParagraph"/>
        <w:numPr>
          <w:ilvl w:val="0"/>
          <w:numId w:val="31"/>
        </w:numPr>
        <w:tabs>
          <w:tab w:val="left" w:pos="1939"/>
          <w:tab w:val="left" w:pos="1940"/>
        </w:tabs>
        <w:spacing w:before="35"/>
        <w:rPr>
          <w:b/>
        </w:rPr>
      </w:pPr>
      <w:r>
        <w:rPr>
          <w:b/>
          <w:spacing w:val="-2"/>
          <w:sz w:val="28"/>
        </w:rPr>
        <w:t>C</w:t>
      </w:r>
      <w:r>
        <w:rPr>
          <w:b/>
          <w:spacing w:val="-2"/>
        </w:rPr>
        <w:t>ONCLUSION</w:t>
      </w:r>
    </w:p>
    <w:p w14:paraId="51DE960D" w14:textId="77777777" w:rsidR="0010369C" w:rsidRDefault="0010369C">
      <w:pPr>
        <w:pStyle w:val="BodyText"/>
        <w:rPr>
          <w:b/>
          <w:sz w:val="27"/>
        </w:rPr>
      </w:pPr>
    </w:p>
    <w:p w14:paraId="51DE960E" w14:textId="77777777" w:rsidR="0010369C" w:rsidRDefault="008E43AE">
      <w:pPr>
        <w:pStyle w:val="BodyText"/>
        <w:spacing w:line="360" w:lineRule="auto"/>
        <w:ind w:left="238" w:right="614"/>
        <w:jc w:val="both"/>
      </w:pPr>
      <w:r>
        <w:t>CADA's application was insufficient and no unbiased and objective investigating authority could</w:t>
      </w:r>
      <w:r>
        <w:rPr>
          <w:spacing w:val="-7"/>
        </w:rPr>
        <w:t xml:space="preserve"> </w:t>
      </w:r>
      <w:r>
        <w:t>have</w:t>
      </w:r>
      <w:r>
        <w:rPr>
          <w:spacing w:val="-6"/>
        </w:rPr>
        <w:t xml:space="preserve"> </w:t>
      </w:r>
      <w:r>
        <w:t>determined</w:t>
      </w:r>
      <w:r>
        <w:rPr>
          <w:spacing w:val="-7"/>
        </w:rPr>
        <w:t xml:space="preserve"> </w:t>
      </w:r>
      <w:r>
        <w:t>that</w:t>
      </w:r>
      <w:r>
        <w:rPr>
          <w:spacing w:val="-6"/>
        </w:rPr>
        <w:t xml:space="preserve"> </w:t>
      </w:r>
      <w:r>
        <w:t>there</w:t>
      </w:r>
      <w:r>
        <w:rPr>
          <w:spacing w:val="-6"/>
        </w:rPr>
        <w:t xml:space="preserve"> </w:t>
      </w:r>
      <w:r>
        <w:t>was</w:t>
      </w:r>
      <w:r>
        <w:rPr>
          <w:spacing w:val="-7"/>
        </w:rPr>
        <w:t xml:space="preserve"> </w:t>
      </w:r>
      <w:r>
        <w:t>sufficient</w:t>
      </w:r>
      <w:r>
        <w:rPr>
          <w:spacing w:val="-6"/>
        </w:rPr>
        <w:t xml:space="preserve"> </w:t>
      </w:r>
      <w:r>
        <w:t>evidence</w:t>
      </w:r>
      <w:r>
        <w:rPr>
          <w:spacing w:val="-6"/>
        </w:rPr>
        <w:t xml:space="preserve"> </w:t>
      </w:r>
      <w:r>
        <w:t>to</w:t>
      </w:r>
      <w:r>
        <w:rPr>
          <w:spacing w:val="-7"/>
        </w:rPr>
        <w:t xml:space="preserve"> </w:t>
      </w:r>
      <w:r>
        <w:t>justify</w:t>
      </w:r>
      <w:r>
        <w:rPr>
          <w:spacing w:val="-5"/>
        </w:rPr>
        <w:t xml:space="preserve"> </w:t>
      </w:r>
      <w:r>
        <w:t>initiating</w:t>
      </w:r>
      <w:r>
        <w:rPr>
          <w:spacing w:val="-5"/>
        </w:rPr>
        <w:t xml:space="preserve"> </w:t>
      </w:r>
      <w:r>
        <w:t>an</w:t>
      </w:r>
      <w:r>
        <w:rPr>
          <w:spacing w:val="-7"/>
        </w:rPr>
        <w:t xml:space="preserve"> </w:t>
      </w:r>
      <w:r>
        <w:t xml:space="preserve">investigation. As a result, China acted </w:t>
      </w:r>
      <w:r>
        <w:t xml:space="preserve">inconsistently with Articles 5.2, 5.3, 5.4 and 5.8 of the Anti‐Dumping </w:t>
      </w:r>
      <w:r>
        <w:rPr>
          <w:spacing w:val="-2"/>
        </w:rPr>
        <w:t>Agreement.</w:t>
      </w:r>
    </w:p>
    <w:p w14:paraId="51DE960F" w14:textId="77777777" w:rsidR="0010369C" w:rsidRDefault="008E43AE">
      <w:pPr>
        <w:pStyle w:val="Heading3"/>
        <w:numPr>
          <w:ilvl w:val="0"/>
          <w:numId w:val="75"/>
        </w:numPr>
        <w:tabs>
          <w:tab w:val="left" w:pos="1089"/>
          <w:tab w:val="left" w:pos="1090"/>
          <w:tab w:val="left" w:pos="2837"/>
          <w:tab w:val="left" w:pos="3965"/>
          <w:tab w:val="left" w:pos="5790"/>
          <w:tab w:val="left" w:pos="7370"/>
          <w:tab w:val="left" w:pos="8776"/>
        </w:tabs>
        <w:spacing w:line="360" w:lineRule="auto"/>
        <w:ind w:left="1088" w:right="613"/>
        <w:jc w:val="left"/>
      </w:pPr>
      <w:r>
        <w:rPr>
          <w:spacing w:val="-2"/>
        </w:rPr>
        <w:t>AUSTRALIA'S</w:t>
      </w:r>
      <w:r>
        <w:tab/>
      </w:r>
      <w:r>
        <w:rPr>
          <w:spacing w:val="-2"/>
        </w:rPr>
        <w:t>CLAIMS</w:t>
      </w:r>
      <w:r>
        <w:tab/>
      </w:r>
      <w:r>
        <w:rPr>
          <w:spacing w:val="-2"/>
        </w:rPr>
        <w:t>CONCERNING</w:t>
      </w:r>
      <w:r>
        <w:tab/>
      </w:r>
      <w:r>
        <w:rPr>
          <w:spacing w:val="-2"/>
        </w:rPr>
        <w:t>MOFCOM'S</w:t>
      </w:r>
      <w:r>
        <w:tab/>
      </w:r>
      <w:r>
        <w:rPr>
          <w:spacing w:val="-2"/>
        </w:rPr>
        <w:t>CONDUCT</w:t>
      </w:r>
      <w:r>
        <w:tab/>
      </w:r>
      <w:r>
        <w:rPr>
          <w:spacing w:val="-4"/>
        </w:rPr>
        <w:t xml:space="preserve">AND </w:t>
      </w:r>
      <w:r>
        <w:t>TRANSPARENCY OF THE INVESTIGATIONS</w:t>
      </w:r>
    </w:p>
    <w:p w14:paraId="51DE9610" w14:textId="77777777" w:rsidR="0010369C" w:rsidRDefault="008E43AE">
      <w:pPr>
        <w:pStyle w:val="ListParagraph"/>
        <w:numPr>
          <w:ilvl w:val="1"/>
          <w:numId w:val="75"/>
        </w:numPr>
        <w:tabs>
          <w:tab w:val="left" w:pos="1796"/>
          <w:tab w:val="left" w:pos="1797"/>
        </w:tabs>
        <w:spacing w:before="160"/>
        <w:jc w:val="left"/>
        <w:rPr>
          <w:b/>
          <w:sz w:val="28"/>
        </w:rPr>
      </w:pPr>
      <w:r>
        <w:rPr>
          <w:b/>
          <w:spacing w:val="-2"/>
          <w:sz w:val="28"/>
        </w:rPr>
        <w:t>I</w:t>
      </w:r>
      <w:r>
        <w:rPr>
          <w:b/>
          <w:spacing w:val="-2"/>
        </w:rPr>
        <w:t>NTRODUCTION</w:t>
      </w:r>
    </w:p>
    <w:p w14:paraId="51DE9611" w14:textId="77777777" w:rsidR="0010369C" w:rsidRDefault="0010369C">
      <w:pPr>
        <w:pStyle w:val="BodyText"/>
        <w:spacing w:before="11"/>
        <w:rPr>
          <w:b/>
          <w:sz w:val="22"/>
        </w:rPr>
      </w:pPr>
    </w:p>
    <w:p w14:paraId="51DE9612" w14:textId="77777777" w:rsidR="0010369C" w:rsidRDefault="008E43AE">
      <w:pPr>
        <w:pStyle w:val="BodyText"/>
        <w:spacing w:before="52" w:line="360" w:lineRule="auto"/>
        <w:ind w:left="237" w:right="613" w:firstLine="851"/>
        <w:jc w:val="both"/>
      </w:pPr>
      <w:r>
        <w:rPr>
          <w:noProof/>
        </w:rPr>
        <w:drawing>
          <wp:anchor distT="0" distB="0" distL="0" distR="0" simplePos="0" relativeHeight="251422208" behindDoc="1" locked="0" layoutInCell="1" allowOverlap="1" wp14:anchorId="51DEA6DE" wp14:editId="51DEA6DF">
            <wp:simplePos x="0" y="0"/>
            <wp:positionH relativeFrom="page">
              <wp:posOffset>902208</wp:posOffset>
            </wp:positionH>
            <wp:positionV relativeFrom="paragraph">
              <wp:posOffset>81357</wp:posOffset>
            </wp:positionV>
            <wp:extent cx="262127" cy="103631"/>
            <wp:effectExtent l="0" t="0" r="0" b="0"/>
            <wp:wrapNone/>
            <wp:docPr id="1605" name="image8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 name="image830.png"/>
                    <pic:cNvPicPr/>
                  </pic:nvPicPr>
                  <pic:blipFill>
                    <a:blip r:embed="rId1089" cstate="print"/>
                    <a:stretch>
                      <a:fillRect/>
                    </a:stretch>
                  </pic:blipFill>
                  <pic:spPr>
                    <a:xfrm>
                      <a:off x="0" y="0"/>
                      <a:ext cx="262127" cy="103631"/>
                    </a:xfrm>
                    <a:prstGeom prst="rect">
                      <a:avLst/>
                    </a:prstGeom>
                  </pic:spPr>
                </pic:pic>
              </a:graphicData>
            </a:graphic>
          </wp:anchor>
        </w:drawing>
      </w:r>
      <w:r>
        <w:t xml:space="preserve">MOFCOM's investigation was characterised by fundamental procedural deficiencies from beginning to end. MOFCOM conducted the investigation in a fashion that denied interested parties procedural fairness and due process, contrary to the obligations provided </w:t>
      </w:r>
      <w:r>
        <w:t>for in the Anti‐Dumping Agreement.</w:t>
      </w:r>
    </w:p>
    <w:p w14:paraId="51DE9613" w14:textId="77777777" w:rsidR="0010369C" w:rsidRDefault="0010369C">
      <w:pPr>
        <w:pStyle w:val="BodyText"/>
        <w:spacing w:before="10"/>
        <w:rPr>
          <w:sz w:val="8"/>
        </w:rPr>
      </w:pPr>
    </w:p>
    <w:p w14:paraId="51DE9614" w14:textId="77777777" w:rsidR="0010369C" w:rsidRDefault="008E43AE">
      <w:pPr>
        <w:pStyle w:val="BodyText"/>
        <w:spacing w:before="52" w:line="360" w:lineRule="auto"/>
        <w:ind w:left="237" w:right="612" w:firstLine="851"/>
        <w:jc w:val="both"/>
      </w:pPr>
      <w:r>
        <w:rPr>
          <w:noProof/>
        </w:rPr>
        <w:drawing>
          <wp:anchor distT="0" distB="0" distL="0" distR="0" simplePos="0" relativeHeight="251423232" behindDoc="1" locked="0" layoutInCell="1" allowOverlap="1" wp14:anchorId="51DEA6E0" wp14:editId="51DEA6E1">
            <wp:simplePos x="0" y="0"/>
            <wp:positionH relativeFrom="page">
              <wp:posOffset>902208</wp:posOffset>
            </wp:positionH>
            <wp:positionV relativeFrom="paragraph">
              <wp:posOffset>76785</wp:posOffset>
            </wp:positionV>
            <wp:extent cx="262127" cy="106679"/>
            <wp:effectExtent l="0" t="0" r="0" b="0"/>
            <wp:wrapNone/>
            <wp:docPr id="1607" name="image8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 name="image831.png"/>
                    <pic:cNvPicPr/>
                  </pic:nvPicPr>
                  <pic:blipFill>
                    <a:blip r:embed="rId1090" cstate="print"/>
                    <a:stretch>
                      <a:fillRect/>
                    </a:stretch>
                  </pic:blipFill>
                  <pic:spPr>
                    <a:xfrm>
                      <a:off x="0" y="0"/>
                      <a:ext cx="262127" cy="106679"/>
                    </a:xfrm>
                    <a:prstGeom prst="rect">
                      <a:avLst/>
                    </a:prstGeom>
                  </pic:spPr>
                </pic:pic>
              </a:graphicData>
            </a:graphic>
          </wp:anchor>
        </w:drawing>
      </w:r>
      <w:r>
        <w:t>Amongst other deficiencies in MOFCOM's approach, confidential information was misused, reasonable requests for extensions of time were rejected, an invalid sample was constructed and relied upon, and key information was</w:t>
      </w:r>
      <w:r>
        <w:t xml:space="preserve"> either never disclosed to interested parties,</w:t>
      </w:r>
      <w:r>
        <w:rPr>
          <w:spacing w:val="-11"/>
        </w:rPr>
        <w:t xml:space="preserve"> </w:t>
      </w:r>
      <w:r>
        <w:t>or</w:t>
      </w:r>
      <w:r>
        <w:rPr>
          <w:spacing w:val="-11"/>
        </w:rPr>
        <w:t xml:space="preserve"> </w:t>
      </w:r>
      <w:r>
        <w:t>only</w:t>
      </w:r>
      <w:r>
        <w:rPr>
          <w:spacing w:val="-10"/>
        </w:rPr>
        <w:t xml:space="preserve"> </w:t>
      </w:r>
      <w:r>
        <w:t>disclosed</w:t>
      </w:r>
      <w:r>
        <w:rPr>
          <w:spacing w:val="-10"/>
        </w:rPr>
        <w:t xml:space="preserve"> </w:t>
      </w:r>
      <w:r>
        <w:t>with</w:t>
      </w:r>
      <w:r>
        <w:rPr>
          <w:spacing w:val="-11"/>
        </w:rPr>
        <w:t xml:space="preserve"> </w:t>
      </w:r>
      <w:r>
        <w:t>insufficient</w:t>
      </w:r>
      <w:r>
        <w:rPr>
          <w:spacing w:val="-9"/>
        </w:rPr>
        <w:t xml:space="preserve"> </w:t>
      </w:r>
      <w:r>
        <w:t>time</w:t>
      </w:r>
      <w:r>
        <w:rPr>
          <w:spacing w:val="-11"/>
        </w:rPr>
        <w:t xml:space="preserve"> </w:t>
      </w:r>
      <w:r>
        <w:t>to</w:t>
      </w:r>
      <w:r>
        <w:rPr>
          <w:spacing w:val="-10"/>
        </w:rPr>
        <w:t xml:space="preserve"> </w:t>
      </w:r>
      <w:r>
        <w:t>comment.</w:t>
      </w:r>
      <w:r>
        <w:rPr>
          <w:spacing w:val="-11"/>
        </w:rPr>
        <w:t xml:space="preserve"> </w:t>
      </w:r>
      <w:r>
        <w:t>Parties</w:t>
      </w:r>
      <w:r>
        <w:rPr>
          <w:spacing w:val="-12"/>
        </w:rPr>
        <w:t xml:space="preserve"> </w:t>
      </w:r>
      <w:r>
        <w:t>were</w:t>
      </w:r>
      <w:r>
        <w:rPr>
          <w:spacing w:val="-11"/>
        </w:rPr>
        <w:t xml:space="preserve"> </w:t>
      </w:r>
      <w:r>
        <w:t>repeatedly</w:t>
      </w:r>
      <w:r>
        <w:rPr>
          <w:spacing w:val="-12"/>
        </w:rPr>
        <w:t xml:space="preserve"> </w:t>
      </w:r>
      <w:r>
        <w:t xml:space="preserve">deprived of opportunities to present their case to MOFCOM and ensure that their interests were properly and fairly accounted for in </w:t>
      </w:r>
      <w:r>
        <w:t>the investigation.</w:t>
      </w:r>
    </w:p>
    <w:p w14:paraId="51DE9615" w14:textId="77777777" w:rsidR="0010369C" w:rsidRDefault="0010369C">
      <w:pPr>
        <w:pStyle w:val="BodyText"/>
        <w:spacing w:before="11"/>
        <w:rPr>
          <w:sz w:val="8"/>
        </w:rPr>
      </w:pPr>
    </w:p>
    <w:p w14:paraId="51DE9616" w14:textId="77777777" w:rsidR="0010369C" w:rsidRDefault="008E43AE">
      <w:pPr>
        <w:pStyle w:val="BodyText"/>
        <w:spacing w:before="52" w:line="360" w:lineRule="auto"/>
        <w:ind w:left="237" w:right="612" w:firstLine="851"/>
        <w:jc w:val="both"/>
      </w:pPr>
      <w:r>
        <w:rPr>
          <w:noProof/>
        </w:rPr>
        <w:drawing>
          <wp:anchor distT="0" distB="0" distL="0" distR="0" simplePos="0" relativeHeight="251424256" behindDoc="1" locked="0" layoutInCell="1" allowOverlap="1" wp14:anchorId="51DEA6E2" wp14:editId="51DEA6E3">
            <wp:simplePos x="0" y="0"/>
            <wp:positionH relativeFrom="page">
              <wp:posOffset>902208</wp:posOffset>
            </wp:positionH>
            <wp:positionV relativeFrom="paragraph">
              <wp:posOffset>80596</wp:posOffset>
            </wp:positionV>
            <wp:extent cx="262127" cy="103631"/>
            <wp:effectExtent l="0" t="0" r="0" b="0"/>
            <wp:wrapNone/>
            <wp:docPr id="1609" name="image8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 name="image832.png"/>
                    <pic:cNvPicPr/>
                  </pic:nvPicPr>
                  <pic:blipFill>
                    <a:blip r:embed="rId1091" cstate="print"/>
                    <a:stretch>
                      <a:fillRect/>
                    </a:stretch>
                  </pic:blipFill>
                  <pic:spPr>
                    <a:xfrm>
                      <a:off x="0" y="0"/>
                      <a:ext cx="262127" cy="103631"/>
                    </a:xfrm>
                    <a:prstGeom prst="rect">
                      <a:avLst/>
                    </a:prstGeom>
                  </pic:spPr>
                </pic:pic>
              </a:graphicData>
            </a:graphic>
          </wp:anchor>
        </w:drawing>
      </w:r>
      <w:r>
        <w:t>Australia considers that the obligations in the Anti‐Dumping Agreement concerning the</w:t>
      </w:r>
      <w:r>
        <w:rPr>
          <w:spacing w:val="-2"/>
        </w:rPr>
        <w:t xml:space="preserve"> </w:t>
      </w:r>
      <w:r>
        <w:t>conduct</w:t>
      </w:r>
      <w:r>
        <w:rPr>
          <w:spacing w:val="-4"/>
        </w:rPr>
        <w:t xml:space="preserve"> </w:t>
      </w:r>
      <w:r>
        <w:t>of</w:t>
      </w:r>
      <w:r>
        <w:rPr>
          <w:spacing w:val="-3"/>
        </w:rPr>
        <w:t xml:space="preserve"> </w:t>
      </w:r>
      <w:r>
        <w:t>investigations</w:t>
      </w:r>
      <w:r>
        <w:rPr>
          <w:spacing w:val="-1"/>
        </w:rPr>
        <w:t xml:space="preserve"> </w:t>
      </w:r>
      <w:r>
        <w:t>are</w:t>
      </w:r>
      <w:r>
        <w:rPr>
          <w:spacing w:val="-2"/>
        </w:rPr>
        <w:t xml:space="preserve"> </w:t>
      </w:r>
      <w:r>
        <w:t>not</w:t>
      </w:r>
      <w:r>
        <w:rPr>
          <w:spacing w:val="-4"/>
        </w:rPr>
        <w:t xml:space="preserve"> </w:t>
      </w:r>
      <w:r>
        <w:t>only</w:t>
      </w:r>
      <w:r>
        <w:rPr>
          <w:spacing w:val="-2"/>
        </w:rPr>
        <w:t xml:space="preserve"> </w:t>
      </w:r>
      <w:r>
        <w:t>integral</w:t>
      </w:r>
      <w:r>
        <w:rPr>
          <w:spacing w:val="-3"/>
        </w:rPr>
        <w:t xml:space="preserve"> </w:t>
      </w:r>
      <w:r>
        <w:t>to</w:t>
      </w:r>
      <w:r>
        <w:rPr>
          <w:spacing w:val="-2"/>
        </w:rPr>
        <w:t xml:space="preserve"> </w:t>
      </w:r>
      <w:r>
        <w:t>the</w:t>
      </w:r>
      <w:r>
        <w:rPr>
          <w:spacing w:val="-2"/>
        </w:rPr>
        <w:t xml:space="preserve"> </w:t>
      </w:r>
      <w:r>
        <w:t>fair</w:t>
      </w:r>
      <w:r>
        <w:rPr>
          <w:spacing w:val="-2"/>
        </w:rPr>
        <w:t xml:space="preserve"> </w:t>
      </w:r>
      <w:r>
        <w:t>operation</w:t>
      </w:r>
      <w:r>
        <w:rPr>
          <w:spacing w:val="-2"/>
        </w:rPr>
        <w:t xml:space="preserve"> </w:t>
      </w:r>
      <w:r>
        <w:t>of</w:t>
      </w:r>
      <w:r>
        <w:rPr>
          <w:spacing w:val="-3"/>
        </w:rPr>
        <w:t xml:space="preserve"> </w:t>
      </w:r>
      <w:r>
        <w:t>the</w:t>
      </w:r>
      <w:r>
        <w:rPr>
          <w:spacing w:val="-2"/>
        </w:rPr>
        <w:t xml:space="preserve"> </w:t>
      </w:r>
      <w:r>
        <w:t>trade</w:t>
      </w:r>
      <w:r>
        <w:rPr>
          <w:spacing w:val="-2"/>
        </w:rPr>
        <w:t xml:space="preserve"> </w:t>
      </w:r>
      <w:r>
        <w:t>remedies system but are also intrinsically related to the credibil</w:t>
      </w:r>
      <w:r>
        <w:t xml:space="preserve">ity of an investigating authority's substantive determinations. Thus, a panel cannot address errors in the substantive determinations without also addressing the procedural errors that underpin and compound them. In this case, MOFCOM's failure to properly </w:t>
      </w:r>
      <w:r>
        <w:t>conduct its investigation caused and exacerbated errors in its determinations. For instance:</w:t>
      </w:r>
    </w:p>
    <w:p w14:paraId="51DE9617" w14:textId="77777777" w:rsidR="0010369C" w:rsidRDefault="008E43AE">
      <w:pPr>
        <w:pStyle w:val="ListParagraph"/>
        <w:numPr>
          <w:ilvl w:val="0"/>
          <w:numId w:val="27"/>
        </w:numPr>
        <w:tabs>
          <w:tab w:val="left" w:pos="1939"/>
          <w:tab w:val="left" w:pos="1940"/>
        </w:tabs>
        <w:spacing w:before="159" w:line="355" w:lineRule="auto"/>
        <w:ind w:right="614"/>
        <w:rPr>
          <w:sz w:val="24"/>
        </w:rPr>
      </w:pPr>
      <w:r>
        <w:rPr>
          <w:sz w:val="24"/>
        </w:rPr>
        <w:t>MOFCOM's</w:t>
      </w:r>
      <w:r>
        <w:rPr>
          <w:spacing w:val="-12"/>
          <w:sz w:val="24"/>
        </w:rPr>
        <w:t xml:space="preserve"> </w:t>
      </w:r>
      <w:r>
        <w:rPr>
          <w:sz w:val="24"/>
        </w:rPr>
        <w:t>erroneous</w:t>
      </w:r>
      <w:r>
        <w:rPr>
          <w:spacing w:val="-12"/>
          <w:sz w:val="24"/>
        </w:rPr>
        <w:t xml:space="preserve"> </w:t>
      </w:r>
      <w:r>
        <w:rPr>
          <w:sz w:val="24"/>
        </w:rPr>
        <w:t>findings,</w:t>
      </w:r>
      <w:r>
        <w:rPr>
          <w:spacing w:val="-12"/>
          <w:sz w:val="24"/>
        </w:rPr>
        <w:t xml:space="preserve"> </w:t>
      </w:r>
      <w:r>
        <w:rPr>
          <w:sz w:val="24"/>
        </w:rPr>
        <w:t>as</w:t>
      </w:r>
      <w:r>
        <w:rPr>
          <w:spacing w:val="-12"/>
          <w:sz w:val="24"/>
        </w:rPr>
        <w:t xml:space="preserve"> </w:t>
      </w:r>
      <w:r>
        <w:rPr>
          <w:sz w:val="24"/>
        </w:rPr>
        <w:t>addressed</w:t>
      </w:r>
      <w:r>
        <w:rPr>
          <w:spacing w:val="-12"/>
          <w:sz w:val="24"/>
        </w:rPr>
        <w:t xml:space="preserve"> </w:t>
      </w:r>
      <w:r>
        <w:rPr>
          <w:sz w:val="24"/>
        </w:rPr>
        <w:t>in</w:t>
      </w:r>
      <w:r>
        <w:rPr>
          <w:spacing w:val="-13"/>
          <w:sz w:val="24"/>
        </w:rPr>
        <w:t xml:space="preserve"> </w:t>
      </w:r>
      <w:r>
        <w:rPr>
          <w:sz w:val="24"/>
        </w:rPr>
        <w:t>sections</w:t>
      </w:r>
      <w:r>
        <w:rPr>
          <w:spacing w:val="-12"/>
          <w:sz w:val="24"/>
        </w:rPr>
        <w:t xml:space="preserve"> </w:t>
      </w:r>
      <w:r>
        <w:rPr>
          <w:sz w:val="24"/>
        </w:rPr>
        <w:t>II</w:t>
      </w:r>
      <w:r>
        <w:rPr>
          <w:spacing w:val="-13"/>
          <w:sz w:val="24"/>
        </w:rPr>
        <w:t xml:space="preserve"> </w:t>
      </w:r>
      <w:r>
        <w:rPr>
          <w:sz w:val="24"/>
        </w:rPr>
        <w:t>to</w:t>
      </w:r>
      <w:r>
        <w:rPr>
          <w:spacing w:val="-13"/>
          <w:sz w:val="24"/>
        </w:rPr>
        <w:t xml:space="preserve"> </w:t>
      </w:r>
      <w:r>
        <w:rPr>
          <w:sz w:val="24"/>
        </w:rPr>
        <w:t>VI,</w:t>
      </w:r>
      <w:r>
        <w:rPr>
          <w:spacing w:val="-12"/>
          <w:sz w:val="24"/>
        </w:rPr>
        <w:t xml:space="preserve"> </w:t>
      </w:r>
      <w:r>
        <w:rPr>
          <w:sz w:val="24"/>
        </w:rPr>
        <w:t>above,</w:t>
      </w:r>
      <w:r>
        <w:rPr>
          <w:spacing w:val="-13"/>
          <w:sz w:val="24"/>
        </w:rPr>
        <w:t xml:space="preserve"> </w:t>
      </w:r>
      <w:r>
        <w:rPr>
          <w:sz w:val="24"/>
        </w:rPr>
        <w:t>were compounded by</w:t>
      </w:r>
      <w:r>
        <w:rPr>
          <w:spacing w:val="24"/>
          <w:sz w:val="24"/>
        </w:rPr>
        <w:t xml:space="preserve"> </w:t>
      </w:r>
      <w:r>
        <w:rPr>
          <w:sz w:val="24"/>
        </w:rPr>
        <w:t>MOFCOM's unwillingness</w:t>
      </w:r>
      <w:r>
        <w:rPr>
          <w:spacing w:val="24"/>
          <w:sz w:val="24"/>
        </w:rPr>
        <w:t xml:space="preserve"> </w:t>
      </w:r>
      <w:r>
        <w:rPr>
          <w:sz w:val="24"/>
        </w:rPr>
        <w:t>to</w:t>
      </w:r>
      <w:r>
        <w:rPr>
          <w:spacing w:val="24"/>
          <w:sz w:val="24"/>
        </w:rPr>
        <w:t xml:space="preserve"> </w:t>
      </w:r>
      <w:r>
        <w:rPr>
          <w:sz w:val="24"/>
        </w:rPr>
        <w:t>engage</w:t>
      </w:r>
      <w:r>
        <w:rPr>
          <w:spacing w:val="24"/>
          <w:sz w:val="24"/>
        </w:rPr>
        <w:t xml:space="preserve"> </w:t>
      </w:r>
      <w:r>
        <w:rPr>
          <w:sz w:val="24"/>
        </w:rPr>
        <w:t>with the</w:t>
      </w:r>
      <w:r>
        <w:rPr>
          <w:spacing w:val="24"/>
          <w:sz w:val="24"/>
        </w:rPr>
        <w:t xml:space="preserve"> </w:t>
      </w:r>
      <w:r>
        <w:rPr>
          <w:sz w:val="24"/>
        </w:rPr>
        <w:t>reasonable</w:t>
      </w:r>
    </w:p>
    <w:p w14:paraId="51DE9618" w14:textId="77777777" w:rsidR="0010369C" w:rsidRDefault="0010369C">
      <w:pPr>
        <w:spacing w:line="355" w:lineRule="auto"/>
        <w:jc w:val="both"/>
        <w:rPr>
          <w:sz w:val="24"/>
        </w:rPr>
        <w:sectPr w:rsidR="0010369C">
          <w:pgSz w:w="11910" w:h="16840"/>
          <w:pgMar w:top="880" w:right="800" w:bottom="980" w:left="1180" w:header="569" w:footer="788" w:gutter="0"/>
          <w:cols w:space="720"/>
        </w:sectPr>
      </w:pPr>
    </w:p>
    <w:p w14:paraId="51DE9619" w14:textId="77777777" w:rsidR="0010369C" w:rsidRDefault="008E43AE">
      <w:pPr>
        <w:tabs>
          <w:tab w:val="left" w:pos="6426"/>
        </w:tabs>
        <w:ind w:left="238"/>
        <w:jc w:val="both"/>
        <w:rPr>
          <w:sz w:val="20"/>
        </w:rPr>
      </w:pPr>
      <w:r>
        <w:rPr>
          <w:i/>
          <w:sz w:val="20"/>
        </w:rPr>
        <w:lastRenderedPageBreak/>
        <w:t>China</w:t>
      </w:r>
      <w:r>
        <w:rPr>
          <w:i/>
          <w:spacing w:val="-5"/>
          <w:sz w:val="20"/>
        </w:rPr>
        <w:t xml:space="preserve"> </w:t>
      </w:r>
      <w:r>
        <w:rPr>
          <w:i/>
          <w:sz w:val="20"/>
        </w:rPr>
        <w:t>–</w:t>
      </w:r>
      <w:r>
        <w:rPr>
          <w:i/>
          <w:spacing w:val="-5"/>
          <w:sz w:val="20"/>
        </w:rPr>
        <w:t xml:space="preserve"> </w:t>
      </w:r>
      <w:r>
        <w:rPr>
          <w:i/>
          <w:sz w:val="20"/>
        </w:rPr>
        <w:t>Anti‐Dumping</w:t>
      </w:r>
      <w:r>
        <w:rPr>
          <w:i/>
          <w:spacing w:val="-4"/>
          <w:sz w:val="20"/>
        </w:rPr>
        <w:t xml:space="preserve"> </w:t>
      </w:r>
      <w:r>
        <w:rPr>
          <w:i/>
          <w:sz w:val="20"/>
        </w:rPr>
        <w:t>and</w:t>
      </w:r>
      <w:r>
        <w:rPr>
          <w:i/>
          <w:spacing w:val="-5"/>
          <w:sz w:val="20"/>
        </w:rPr>
        <w:t xml:space="preserve"> </w:t>
      </w:r>
      <w:r>
        <w:rPr>
          <w:i/>
          <w:sz w:val="20"/>
        </w:rPr>
        <w:t>Countervailing</w:t>
      </w:r>
      <w:r>
        <w:rPr>
          <w:i/>
          <w:spacing w:val="-5"/>
          <w:sz w:val="20"/>
        </w:rPr>
        <w:t xml:space="preserve"> </w:t>
      </w:r>
      <w:r>
        <w:rPr>
          <w:i/>
          <w:sz w:val="20"/>
        </w:rPr>
        <w:t>Duty</w:t>
      </w:r>
      <w:r>
        <w:rPr>
          <w:i/>
          <w:spacing w:val="-4"/>
          <w:sz w:val="20"/>
        </w:rPr>
        <w:t xml:space="preserve"> </w:t>
      </w:r>
      <w:r>
        <w:rPr>
          <w:i/>
          <w:spacing w:val="-2"/>
          <w:sz w:val="20"/>
        </w:rPr>
        <w:t>Measures</w:t>
      </w:r>
      <w:r>
        <w:rPr>
          <w:i/>
          <w:sz w:val="20"/>
        </w:rPr>
        <w:tab/>
      </w:r>
      <w:r>
        <w:rPr>
          <w:sz w:val="20"/>
        </w:rPr>
        <w:t>Australia's</w:t>
      </w:r>
      <w:r>
        <w:rPr>
          <w:spacing w:val="-7"/>
          <w:sz w:val="20"/>
        </w:rPr>
        <w:t xml:space="preserve"> </w:t>
      </w:r>
      <w:r>
        <w:rPr>
          <w:sz w:val="20"/>
        </w:rPr>
        <w:t>First</w:t>
      </w:r>
      <w:r>
        <w:rPr>
          <w:spacing w:val="-2"/>
          <w:sz w:val="20"/>
        </w:rPr>
        <w:t xml:space="preserve"> </w:t>
      </w:r>
      <w:r>
        <w:rPr>
          <w:sz w:val="20"/>
        </w:rPr>
        <w:t>Written</w:t>
      </w:r>
      <w:r>
        <w:rPr>
          <w:spacing w:val="-2"/>
          <w:sz w:val="20"/>
        </w:rPr>
        <w:t xml:space="preserve"> Submission</w:t>
      </w:r>
    </w:p>
    <w:p w14:paraId="51DE961A" w14:textId="77777777" w:rsidR="0010369C" w:rsidRDefault="008E43AE">
      <w:pPr>
        <w:tabs>
          <w:tab w:val="left" w:pos="8228"/>
        </w:tabs>
        <w:spacing w:before="1"/>
        <w:ind w:left="239"/>
        <w:jc w:val="both"/>
        <w:rPr>
          <w:sz w:val="20"/>
        </w:rPr>
      </w:pPr>
      <w:r>
        <w:rPr>
          <w:i/>
          <w:sz w:val="20"/>
        </w:rPr>
        <w:t>on</w:t>
      </w:r>
      <w:r>
        <w:rPr>
          <w:i/>
          <w:spacing w:val="-1"/>
          <w:sz w:val="20"/>
        </w:rPr>
        <w:t xml:space="preserve"> </w:t>
      </w:r>
      <w:r>
        <w:rPr>
          <w:i/>
          <w:sz w:val="20"/>
        </w:rPr>
        <w:t>Wine</w:t>
      </w:r>
      <w:r>
        <w:rPr>
          <w:i/>
          <w:spacing w:val="-1"/>
          <w:sz w:val="20"/>
        </w:rPr>
        <w:t xml:space="preserve"> </w:t>
      </w:r>
      <w:r>
        <w:rPr>
          <w:i/>
          <w:sz w:val="20"/>
        </w:rPr>
        <w:t>from</w:t>
      </w:r>
      <w:r>
        <w:rPr>
          <w:i/>
          <w:spacing w:val="-3"/>
          <w:sz w:val="20"/>
        </w:rPr>
        <w:t xml:space="preserve"> </w:t>
      </w:r>
      <w:r>
        <w:rPr>
          <w:i/>
          <w:sz w:val="20"/>
        </w:rPr>
        <w:t>Australia</w:t>
      </w:r>
      <w:r>
        <w:rPr>
          <w:i/>
          <w:spacing w:val="-1"/>
          <w:sz w:val="20"/>
        </w:rPr>
        <w:t xml:space="preserve"> </w:t>
      </w:r>
      <w:r>
        <w:rPr>
          <w:spacing w:val="-2"/>
          <w:sz w:val="20"/>
        </w:rPr>
        <w:t>(DS602)</w:t>
      </w:r>
      <w:r>
        <w:rPr>
          <w:sz w:val="20"/>
        </w:rPr>
        <w:tab/>
        <w:t>29</w:t>
      </w:r>
      <w:r>
        <w:rPr>
          <w:spacing w:val="-1"/>
          <w:sz w:val="20"/>
        </w:rPr>
        <w:t xml:space="preserve"> </w:t>
      </w:r>
      <w:r>
        <w:rPr>
          <w:sz w:val="20"/>
        </w:rPr>
        <w:t>April</w:t>
      </w:r>
      <w:r>
        <w:rPr>
          <w:spacing w:val="-2"/>
          <w:sz w:val="20"/>
        </w:rPr>
        <w:t xml:space="preserve"> </w:t>
      </w:r>
      <w:r>
        <w:rPr>
          <w:spacing w:val="-4"/>
          <w:sz w:val="20"/>
        </w:rPr>
        <w:t>2022</w:t>
      </w:r>
    </w:p>
    <w:p w14:paraId="51DE961B" w14:textId="77777777" w:rsidR="0010369C" w:rsidRDefault="008E43AE">
      <w:pPr>
        <w:pStyle w:val="BodyText"/>
        <w:spacing w:before="34" w:line="360" w:lineRule="auto"/>
        <w:ind w:left="1939" w:right="616"/>
        <w:jc w:val="both"/>
      </w:pPr>
      <w:r>
        <w:t>arguments and verifiable information supplied by interested parties during the investigation.</w:t>
      </w:r>
    </w:p>
    <w:p w14:paraId="51DE961C" w14:textId="77777777" w:rsidR="0010369C" w:rsidRDefault="008E43AE">
      <w:pPr>
        <w:pStyle w:val="ListParagraph"/>
        <w:numPr>
          <w:ilvl w:val="0"/>
          <w:numId w:val="27"/>
        </w:numPr>
        <w:tabs>
          <w:tab w:val="left" w:pos="1939"/>
          <w:tab w:val="left" w:pos="1940"/>
        </w:tabs>
        <w:spacing w:line="360" w:lineRule="auto"/>
        <w:ind w:left="1939" w:right="613"/>
        <w:rPr>
          <w:sz w:val="24"/>
        </w:rPr>
      </w:pPr>
      <w:r>
        <w:rPr>
          <w:sz w:val="24"/>
        </w:rPr>
        <w:t>Without</w:t>
      </w:r>
      <w:r>
        <w:rPr>
          <w:spacing w:val="-9"/>
          <w:sz w:val="24"/>
        </w:rPr>
        <w:t xml:space="preserve"> </w:t>
      </w:r>
      <w:r>
        <w:rPr>
          <w:sz w:val="24"/>
        </w:rPr>
        <w:t>giving</w:t>
      </w:r>
      <w:r>
        <w:rPr>
          <w:spacing w:val="-9"/>
          <w:sz w:val="24"/>
        </w:rPr>
        <w:t xml:space="preserve"> </w:t>
      </w:r>
      <w:r>
        <w:rPr>
          <w:sz w:val="24"/>
        </w:rPr>
        <w:t>interested</w:t>
      </w:r>
      <w:r>
        <w:rPr>
          <w:spacing w:val="-7"/>
          <w:sz w:val="24"/>
        </w:rPr>
        <w:t xml:space="preserve"> </w:t>
      </w:r>
      <w:r>
        <w:rPr>
          <w:sz w:val="24"/>
        </w:rPr>
        <w:t>parties</w:t>
      </w:r>
      <w:r>
        <w:rPr>
          <w:spacing w:val="-8"/>
          <w:sz w:val="24"/>
        </w:rPr>
        <w:t xml:space="preserve"> </w:t>
      </w:r>
      <w:r>
        <w:rPr>
          <w:sz w:val="24"/>
        </w:rPr>
        <w:t>ample</w:t>
      </w:r>
      <w:r>
        <w:rPr>
          <w:spacing w:val="-8"/>
          <w:sz w:val="24"/>
        </w:rPr>
        <w:t xml:space="preserve"> </w:t>
      </w:r>
      <w:r>
        <w:rPr>
          <w:sz w:val="24"/>
        </w:rPr>
        <w:t>opportunity</w:t>
      </w:r>
      <w:r>
        <w:rPr>
          <w:spacing w:val="-7"/>
          <w:sz w:val="24"/>
        </w:rPr>
        <w:t xml:space="preserve"> </w:t>
      </w:r>
      <w:r>
        <w:rPr>
          <w:sz w:val="24"/>
        </w:rPr>
        <w:t>to</w:t>
      </w:r>
      <w:r>
        <w:rPr>
          <w:spacing w:val="-8"/>
          <w:sz w:val="24"/>
        </w:rPr>
        <w:t xml:space="preserve"> </w:t>
      </w:r>
      <w:r>
        <w:rPr>
          <w:sz w:val="24"/>
        </w:rPr>
        <w:t>present</w:t>
      </w:r>
      <w:r>
        <w:rPr>
          <w:spacing w:val="-8"/>
          <w:sz w:val="24"/>
        </w:rPr>
        <w:t xml:space="preserve"> </w:t>
      </w:r>
      <w:r>
        <w:rPr>
          <w:sz w:val="24"/>
        </w:rPr>
        <w:t>in</w:t>
      </w:r>
      <w:r>
        <w:rPr>
          <w:spacing w:val="-9"/>
          <w:sz w:val="24"/>
        </w:rPr>
        <w:t xml:space="preserve"> </w:t>
      </w:r>
      <w:r>
        <w:rPr>
          <w:sz w:val="24"/>
        </w:rPr>
        <w:t>writing</w:t>
      </w:r>
      <w:r>
        <w:rPr>
          <w:spacing w:val="-9"/>
          <w:sz w:val="24"/>
        </w:rPr>
        <w:t xml:space="preserve"> </w:t>
      </w:r>
      <w:r>
        <w:rPr>
          <w:sz w:val="24"/>
        </w:rPr>
        <w:t>all evidence which they considered relevant to the investigation or ensuring that</w:t>
      </w:r>
      <w:r>
        <w:rPr>
          <w:spacing w:val="-5"/>
          <w:sz w:val="24"/>
        </w:rPr>
        <w:t xml:space="preserve"> </w:t>
      </w:r>
      <w:r>
        <w:rPr>
          <w:sz w:val="24"/>
        </w:rPr>
        <w:t>they</w:t>
      </w:r>
      <w:r>
        <w:rPr>
          <w:spacing w:val="-5"/>
          <w:sz w:val="24"/>
        </w:rPr>
        <w:t xml:space="preserve"> </w:t>
      </w:r>
      <w:r>
        <w:rPr>
          <w:sz w:val="24"/>
        </w:rPr>
        <w:t>h</w:t>
      </w:r>
      <w:r>
        <w:rPr>
          <w:sz w:val="24"/>
        </w:rPr>
        <w:t>ad</w:t>
      </w:r>
      <w:r>
        <w:rPr>
          <w:spacing w:val="-5"/>
          <w:sz w:val="24"/>
        </w:rPr>
        <w:t xml:space="preserve"> </w:t>
      </w:r>
      <w:r>
        <w:rPr>
          <w:sz w:val="24"/>
        </w:rPr>
        <w:t>a</w:t>
      </w:r>
      <w:r>
        <w:rPr>
          <w:spacing w:val="-5"/>
          <w:sz w:val="24"/>
        </w:rPr>
        <w:t xml:space="preserve"> </w:t>
      </w:r>
      <w:r>
        <w:rPr>
          <w:sz w:val="24"/>
        </w:rPr>
        <w:t>full</w:t>
      </w:r>
      <w:r>
        <w:rPr>
          <w:spacing w:val="-5"/>
          <w:sz w:val="24"/>
        </w:rPr>
        <w:t xml:space="preserve"> </w:t>
      </w:r>
      <w:r>
        <w:rPr>
          <w:sz w:val="24"/>
        </w:rPr>
        <w:t>opportunity</w:t>
      </w:r>
      <w:r>
        <w:rPr>
          <w:spacing w:val="-3"/>
          <w:sz w:val="24"/>
        </w:rPr>
        <w:t xml:space="preserve"> </w:t>
      </w:r>
      <w:r>
        <w:rPr>
          <w:sz w:val="24"/>
        </w:rPr>
        <w:t>for</w:t>
      </w:r>
      <w:r>
        <w:rPr>
          <w:spacing w:val="-4"/>
          <w:sz w:val="24"/>
        </w:rPr>
        <w:t xml:space="preserve"> </w:t>
      </w:r>
      <w:r>
        <w:rPr>
          <w:sz w:val="24"/>
        </w:rPr>
        <w:t>the</w:t>
      </w:r>
      <w:r>
        <w:rPr>
          <w:spacing w:val="-4"/>
          <w:sz w:val="24"/>
        </w:rPr>
        <w:t xml:space="preserve"> </w:t>
      </w:r>
      <w:r>
        <w:rPr>
          <w:sz w:val="24"/>
        </w:rPr>
        <w:t>defence</w:t>
      </w:r>
      <w:r>
        <w:rPr>
          <w:spacing w:val="-5"/>
          <w:sz w:val="24"/>
        </w:rPr>
        <w:t xml:space="preserve"> </w:t>
      </w:r>
      <w:r>
        <w:rPr>
          <w:sz w:val="24"/>
        </w:rPr>
        <w:t>of</w:t>
      </w:r>
      <w:r>
        <w:rPr>
          <w:spacing w:val="-5"/>
          <w:sz w:val="24"/>
        </w:rPr>
        <w:t xml:space="preserve"> </w:t>
      </w:r>
      <w:r>
        <w:rPr>
          <w:sz w:val="24"/>
        </w:rPr>
        <w:t>their</w:t>
      </w:r>
      <w:r>
        <w:rPr>
          <w:spacing w:val="-5"/>
          <w:sz w:val="24"/>
        </w:rPr>
        <w:t xml:space="preserve"> </w:t>
      </w:r>
      <w:r>
        <w:rPr>
          <w:sz w:val="24"/>
        </w:rPr>
        <w:t>interests,</w:t>
      </w:r>
      <w:r>
        <w:rPr>
          <w:spacing w:val="-3"/>
          <w:sz w:val="24"/>
        </w:rPr>
        <w:t xml:space="preserve"> </w:t>
      </w:r>
      <w:r>
        <w:rPr>
          <w:sz w:val="24"/>
        </w:rPr>
        <w:t>MOFCOM could not have arrived at balanced, well‐founded conclusions, which was evident from the unreasonably high dumping margins that MOFCOM ultimately determined.</w:t>
      </w:r>
    </w:p>
    <w:p w14:paraId="51DE961D" w14:textId="77777777" w:rsidR="0010369C" w:rsidRDefault="008E43AE">
      <w:pPr>
        <w:pStyle w:val="BodyText"/>
        <w:spacing w:before="119" w:line="360" w:lineRule="auto"/>
        <w:ind w:left="238" w:right="611" w:firstLine="850"/>
      </w:pPr>
      <w:r>
        <w:rPr>
          <w:noProof/>
        </w:rPr>
        <w:drawing>
          <wp:anchor distT="0" distB="0" distL="0" distR="0" simplePos="0" relativeHeight="251425280" behindDoc="1" locked="0" layoutInCell="1" allowOverlap="1" wp14:anchorId="51DEA6E4" wp14:editId="51DEA6E5">
            <wp:simplePos x="0" y="0"/>
            <wp:positionH relativeFrom="page">
              <wp:posOffset>902208</wp:posOffset>
            </wp:positionH>
            <wp:positionV relativeFrom="paragraph">
              <wp:posOffset>123140</wp:posOffset>
            </wp:positionV>
            <wp:extent cx="262127" cy="103631"/>
            <wp:effectExtent l="0" t="0" r="0" b="0"/>
            <wp:wrapNone/>
            <wp:docPr id="1611" name="image8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 name="image833.png"/>
                    <pic:cNvPicPr/>
                  </pic:nvPicPr>
                  <pic:blipFill>
                    <a:blip r:embed="rId1092" cstate="print"/>
                    <a:stretch>
                      <a:fillRect/>
                    </a:stretch>
                  </pic:blipFill>
                  <pic:spPr>
                    <a:xfrm>
                      <a:off x="0" y="0"/>
                      <a:ext cx="262127" cy="103631"/>
                    </a:xfrm>
                    <a:prstGeom prst="rect">
                      <a:avLst/>
                    </a:prstGeom>
                  </pic:spPr>
                </pic:pic>
              </a:graphicData>
            </a:graphic>
          </wp:anchor>
        </w:drawing>
      </w:r>
      <w:r>
        <w:t>For the reasons set out in the sections below, MOFCOM acted inconsistently with</w:t>
      </w:r>
      <w:r>
        <w:rPr>
          <w:spacing w:val="40"/>
        </w:rPr>
        <w:t xml:space="preserve"> </w:t>
      </w:r>
      <w:r>
        <w:t>Articles</w:t>
      </w:r>
      <w:r>
        <w:rPr>
          <w:spacing w:val="9"/>
        </w:rPr>
        <w:t xml:space="preserve"> </w:t>
      </w:r>
      <w:r>
        <w:t>6.5,</w:t>
      </w:r>
      <w:r>
        <w:rPr>
          <w:spacing w:val="10"/>
        </w:rPr>
        <w:t xml:space="preserve"> </w:t>
      </w:r>
      <w:r>
        <w:t>6.5.1,</w:t>
      </w:r>
      <w:r>
        <w:rPr>
          <w:spacing w:val="10"/>
        </w:rPr>
        <w:t xml:space="preserve"> </w:t>
      </w:r>
      <w:r>
        <w:t>6.10,</w:t>
      </w:r>
      <w:r>
        <w:rPr>
          <w:spacing w:val="10"/>
        </w:rPr>
        <w:t xml:space="preserve"> </w:t>
      </w:r>
      <w:r>
        <w:t>6.1,</w:t>
      </w:r>
      <w:r>
        <w:rPr>
          <w:spacing w:val="10"/>
        </w:rPr>
        <w:t xml:space="preserve"> </w:t>
      </w:r>
      <w:r>
        <w:t>6.1.1,</w:t>
      </w:r>
      <w:r>
        <w:rPr>
          <w:spacing w:val="10"/>
        </w:rPr>
        <w:t xml:space="preserve"> </w:t>
      </w:r>
      <w:r>
        <w:t>6.1.2,</w:t>
      </w:r>
      <w:r>
        <w:rPr>
          <w:spacing w:val="10"/>
        </w:rPr>
        <w:t xml:space="preserve"> </w:t>
      </w:r>
      <w:r>
        <w:t>6.2,</w:t>
      </w:r>
      <w:r>
        <w:rPr>
          <w:spacing w:val="10"/>
        </w:rPr>
        <w:t xml:space="preserve"> </w:t>
      </w:r>
      <w:r>
        <w:t>6.4,</w:t>
      </w:r>
      <w:r>
        <w:rPr>
          <w:spacing w:val="11"/>
        </w:rPr>
        <w:t xml:space="preserve"> </w:t>
      </w:r>
      <w:r>
        <w:t>6.6,</w:t>
      </w:r>
      <w:r>
        <w:rPr>
          <w:spacing w:val="10"/>
        </w:rPr>
        <w:t xml:space="preserve"> </w:t>
      </w:r>
      <w:r>
        <w:t>6.9,</w:t>
      </w:r>
      <w:r>
        <w:rPr>
          <w:spacing w:val="10"/>
        </w:rPr>
        <w:t xml:space="preserve"> </w:t>
      </w:r>
      <w:r>
        <w:t>12.1.1(iv),</w:t>
      </w:r>
      <w:r>
        <w:rPr>
          <w:spacing w:val="10"/>
        </w:rPr>
        <w:t xml:space="preserve"> </w:t>
      </w:r>
      <w:r>
        <w:t>12.2</w:t>
      </w:r>
      <w:r>
        <w:rPr>
          <w:spacing w:val="10"/>
        </w:rPr>
        <w:t xml:space="preserve"> </w:t>
      </w:r>
      <w:r>
        <w:t>and</w:t>
      </w:r>
      <w:r>
        <w:rPr>
          <w:spacing w:val="10"/>
        </w:rPr>
        <w:t xml:space="preserve"> </w:t>
      </w:r>
      <w:r>
        <w:t>12.2.2</w:t>
      </w:r>
      <w:r>
        <w:rPr>
          <w:spacing w:val="9"/>
        </w:rPr>
        <w:t xml:space="preserve"> </w:t>
      </w:r>
      <w:r>
        <w:t>of</w:t>
      </w:r>
      <w:r>
        <w:rPr>
          <w:spacing w:val="10"/>
        </w:rPr>
        <w:t xml:space="preserve"> </w:t>
      </w:r>
      <w:r>
        <w:rPr>
          <w:spacing w:val="-5"/>
        </w:rPr>
        <w:t>the</w:t>
      </w:r>
    </w:p>
    <w:p w14:paraId="51DE961E" w14:textId="77777777" w:rsidR="0010369C" w:rsidRDefault="008E43AE">
      <w:pPr>
        <w:pStyle w:val="BodyText"/>
        <w:spacing w:before="1"/>
        <w:ind w:left="238"/>
      </w:pPr>
      <w:r>
        <w:rPr>
          <w:w w:val="95"/>
        </w:rPr>
        <w:t>Anti‐Dumping</w:t>
      </w:r>
      <w:r>
        <w:rPr>
          <w:spacing w:val="52"/>
        </w:rPr>
        <w:t xml:space="preserve"> </w:t>
      </w:r>
      <w:r>
        <w:rPr>
          <w:spacing w:val="-2"/>
        </w:rPr>
        <w:t>Agreement.</w:t>
      </w:r>
    </w:p>
    <w:p w14:paraId="51DE961F" w14:textId="77777777" w:rsidR="0010369C" w:rsidRDefault="0010369C">
      <w:pPr>
        <w:pStyle w:val="BodyText"/>
        <w:spacing w:before="1"/>
        <w:rPr>
          <w:sz w:val="25"/>
        </w:rPr>
      </w:pPr>
    </w:p>
    <w:p w14:paraId="51DE9620" w14:textId="77777777" w:rsidR="0010369C" w:rsidRDefault="008E43AE">
      <w:pPr>
        <w:pStyle w:val="ListParagraph"/>
        <w:numPr>
          <w:ilvl w:val="1"/>
          <w:numId w:val="75"/>
        </w:numPr>
        <w:tabs>
          <w:tab w:val="left" w:pos="1941"/>
        </w:tabs>
        <w:spacing w:before="0" w:line="403" w:lineRule="auto"/>
        <w:ind w:left="1940" w:right="614"/>
        <w:jc w:val="both"/>
        <w:rPr>
          <w:b/>
          <w:sz w:val="28"/>
        </w:rPr>
      </w:pPr>
      <w:r>
        <w:rPr>
          <w:b/>
          <w:sz w:val="28"/>
        </w:rPr>
        <w:t>C</w:t>
      </w:r>
      <w:r>
        <w:rPr>
          <w:b/>
        </w:rPr>
        <w:t xml:space="preserve">HINA FAILED TO OBJECTIVELY ASSESS </w:t>
      </w:r>
      <w:r>
        <w:rPr>
          <w:b/>
          <w:sz w:val="28"/>
        </w:rPr>
        <w:t>"</w:t>
      </w:r>
      <w:r>
        <w:rPr>
          <w:b/>
        </w:rPr>
        <w:t>GOOD CAUSE</w:t>
      </w:r>
      <w:r>
        <w:rPr>
          <w:b/>
          <w:sz w:val="28"/>
        </w:rPr>
        <w:t xml:space="preserve">" </w:t>
      </w:r>
      <w:r>
        <w:rPr>
          <w:b/>
        </w:rPr>
        <w:t>FOR CLAIMS OF CONFIDENTIALITY AND FAILED TO REQUIRE INTERESTED PARTIES TO FURNISH ADEQUATE NON</w:t>
      </w:r>
      <w:r>
        <w:rPr>
          <w:b/>
          <w:sz w:val="28"/>
        </w:rPr>
        <w:t>‐</w:t>
      </w:r>
      <w:r>
        <w:rPr>
          <w:b/>
        </w:rPr>
        <w:t xml:space="preserve">CONFIDENTIAL SUMMARIES IN BREACH OF </w:t>
      </w:r>
      <w:r>
        <w:rPr>
          <w:b/>
          <w:sz w:val="28"/>
        </w:rPr>
        <w:t>A</w:t>
      </w:r>
      <w:r>
        <w:rPr>
          <w:b/>
        </w:rPr>
        <w:t xml:space="preserve">RTICLES </w:t>
      </w:r>
      <w:r>
        <w:rPr>
          <w:b/>
          <w:sz w:val="28"/>
        </w:rPr>
        <w:t>6.5</w:t>
      </w:r>
      <w:r>
        <w:rPr>
          <w:b/>
          <w:spacing w:val="-12"/>
          <w:sz w:val="28"/>
        </w:rPr>
        <w:t xml:space="preserve"> </w:t>
      </w:r>
      <w:r>
        <w:rPr>
          <w:b/>
        </w:rPr>
        <w:t>AND</w:t>
      </w:r>
    </w:p>
    <w:p w14:paraId="51DE9621" w14:textId="77777777" w:rsidR="0010369C" w:rsidRDefault="008E43AE">
      <w:pPr>
        <w:spacing w:line="281" w:lineRule="exact"/>
        <w:ind w:left="1940"/>
        <w:jc w:val="both"/>
        <w:rPr>
          <w:b/>
        </w:rPr>
      </w:pPr>
      <w:r>
        <w:rPr>
          <w:b/>
          <w:sz w:val="28"/>
        </w:rPr>
        <w:t>6.5.1</w:t>
      </w:r>
      <w:r>
        <w:rPr>
          <w:b/>
          <w:spacing w:val="-16"/>
          <w:sz w:val="28"/>
        </w:rPr>
        <w:t xml:space="preserve"> </w:t>
      </w:r>
      <w:r>
        <w:rPr>
          <w:b/>
        </w:rPr>
        <w:t>OF</w:t>
      </w:r>
      <w:r>
        <w:rPr>
          <w:b/>
          <w:spacing w:val="-13"/>
        </w:rPr>
        <w:t xml:space="preserve"> </w:t>
      </w:r>
      <w:r>
        <w:rPr>
          <w:b/>
        </w:rPr>
        <w:t>THE</w:t>
      </w:r>
      <w:r>
        <w:rPr>
          <w:b/>
          <w:spacing w:val="-11"/>
        </w:rPr>
        <w:t xml:space="preserve"> </w:t>
      </w:r>
      <w:r>
        <w:rPr>
          <w:b/>
          <w:sz w:val="28"/>
        </w:rPr>
        <w:t>A</w:t>
      </w:r>
      <w:r>
        <w:rPr>
          <w:b/>
        </w:rPr>
        <w:t>NTI</w:t>
      </w:r>
      <w:r>
        <w:rPr>
          <w:b/>
          <w:sz w:val="28"/>
        </w:rPr>
        <w:t>‐D</w:t>
      </w:r>
      <w:r>
        <w:rPr>
          <w:b/>
        </w:rPr>
        <w:t>UMPING</w:t>
      </w:r>
      <w:r>
        <w:rPr>
          <w:b/>
          <w:spacing w:val="-9"/>
        </w:rPr>
        <w:t xml:space="preserve"> </w:t>
      </w:r>
      <w:r>
        <w:rPr>
          <w:b/>
          <w:spacing w:val="-2"/>
          <w:sz w:val="28"/>
        </w:rPr>
        <w:t>A</w:t>
      </w:r>
      <w:r>
        <w:rPr>
          <w:b/>
          <w:spacing w:val="-2"/>
        </w:rPr>
        <w:t>GREEMENT</w:t>
      </w:r>
    </w:p>
    <w:p w14:paraId="51DE9622" w14:textId="77777777" w:rsidR="0010369C" w:rsidRDefault="0010369C">
      <w:pPr>
        <w:pStyle w:val="BodyText"/>
        <w:spacing w:before="10"/>
        <w:rPr>
          <w:b/>
          <w:sz w:val="22"/>
        </w:rPr>
      </w:pPr>
    </w:p>
    <w:p w14:paraId="51DE9623" w14:textId="77777777" w:rsidR="0010369C" w:rsidRDefault="008E43AE">
      <w:pPr>
        <w:pStyle w:val="BodyText"/>
        <w:spacing w:before="51" w:line="360" w:lineRule="auto"/>
        <w:ind w:left="237" w:right="615" w:firstLine="852"/>
        <w:jc w:val="both"/>
      </w:pPr>
      <w:r>
        <w:rPr>
          <w:noProof/>
        </w:rPr>
        <w:drawing>
          <wp:anchor distT="0" distB="0" distL="0" distR="0" simplePos="0" relativeHeight="251426304" behindDoc="1" locked="0" layoutInCell="1" allowOverlap="1" wp14:anchorId="51DEA6E6" wp14:editId="51DEA6E7">
            <wp:simplePos x="0" y="0"/>
            <wp:positionH relativeFrom="page">
              <wp:posOffset>902208</wp:posOffset>
            </wp:positionH>
            <wp:positionV relativeFrom="paragraph">
              <wp:posOffset>81314</wp:posOffset>
            </wp:positionV>
            <wp:extent cx="262127" cy="100753"/>
            <wp:effectExtent l="0" t="0" r="0" b="0"/>
            <wp:wrapNone/>
            <wp:docPr id="1613" name="image8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 name="image834.png"/>
                    <pic:cNvPicPr/>
                  </pic:nvPicPr>
                  <pic:blipFill>
                    <a:blip r:embed="rId1093" cstate="print"/>
                    <a:stretch>
                      <a:fillRect/>
                    </a:stretch>
                  </pic:blipFill>
                  <pic:spPr>
                    <a:xfrm>
                      <a:off x="0" y="0"/>
                      <a:ext cx="262127" cy="100753"/>
                    </a:xfrm>
                    <a:prstGeom prst="rect">
                      <a:avLst/>
                    </a:prstGeom>
                  </pic:spPr>
                </pic:pic>
              </a:graphicData>
            </a:graphic>
          </wp:anchor>
        </w:drawing>
      </w:r>
      <w:r>
        <w:t>MOFCOM</w:t>
      </w:r>
      <w:r>
        <w:rPr>
          <w:spacing w:val="-10"/>
        </w:rPr>
        <w:t xml:space="preserve"> </w:t>
      </w:r>
      <w:r>
        <w:t>acted</w:t>
      </w:r>
      <w:r>
        <w:rPr>
          <w:spacing w:val="-11"/>
        </w:rPr>
        <w:t xml:space="preserve"> </w:t>
      </w:r>
      <w:r>
        <w:t>inconsistently</w:t>
      </w:r>
      <w:r>
        <w:rPr>
          <w:spacing w:val="-9"/>
        </w:rPr>
        <w:t xml:space="preserve"> </w:t>
      </w:r>
      <w:r>
        <w:t>with</w:t>
      </w:r>
      <w:r>
        <w:rPr>
          <w:spacing w:val="-12"/>
        </w:rPr>
        <w:t xml:space="preserve"> </w:t>
      </w:r>
      <w:r>
        <w:t>Article</w:t>
      </w:r>
      <w:r>
        <w:rPr>
          <w:spacing w:val="-11"/>
        </w:rPr>
        <w:t xml:space="preserve"> </w:t>
      </w:r>
      <w:r>
        <w:t>6.5</w:t>
      </w:r>
      <w:r>
        <w:rPr>
          <w:spacing w:val="-11"/>
        </w:rPr>
        <w:t xml:space="preserve"> </w:t>
      </w:r>
      <w:r>
        <w:t>of</w:t>
      </w:r>
      <w:r>
        <w:rPr>
          <w:spacing w:val="-11"/>
        </w:rPr>
        <w:t xml:space="preserve"> </w:t>
      </w:r>
      <w:r>
        <w:t>the</w:t>
      </w:r>
      <w:r>
        <w:rPr>
          <w:spacing w:val="-10"/>
        </w:rPr>
        <w:t xml:space="preserve"> </w:t>
      </w:r>
      <w:r>
        <w:t>Anti‐Dumping</w:t>
      </w:r>
      <w:r>
        <w:rPr>
          <w:spacing w:val="-10"/>
        </w:rPr>
        <w:t xml:space="preserve"> </w:t>
      </w:r>
      <w:r>
        <w:t>Agreement</w:t>
      </w:r>
      <w:r>
        <w:rPr>
          <w:spacing w:val="-12"/>
        </w:rPr>
        <w:t xml:space="preserve"> </w:t>
      </w:r>
      <w:r>
        <w:t>by:</w:t>
      </w:r>
      <w:r>
        <w:rPr>
          <w:spacing w:val="-10"/>
        </w:rPr>
        <w:t xml:space="preserve"> </w:t>
      </w:r>
      <w:r>
        <w:t>(i) failing to ensure that "good cause" for confidential treatment was shown in relation to information submitted by the applicant, CADA, and by the respondents to the Domestic Producer Ques</w:t>
      </w:r>
      <w:r>
        <w:t>tionnaire; and (ii) failing to objectively examine the justification for the need for confidential treatment of the information.</w:t>
      </w:r>
    </w:p>
    <w:p w14:paraId="51DE9624" w14:textId="77777777" w:rsidR="0010369C" w:rsidRDefault="0010369C">
      <w:pPr>
        <w:pStyle w:val="BodyText"/>
        <w:rPr>
          <w:sz w:val="9"/>
        </w:rPr>
      </w:pPr>
    </w:p>
    <w:p w14:paraId="51DE9625" w14:textId="77777777" w:rsidR="0010369C" w:rsidRDefault="008E43AE">
      <w:pPr>
        <w:pStyle w:val="BodyText"/>
        <w:spacing w:before="51" w:line="360" w:lineRule="auto"/>
        <w:ind w:left="236" w:right="614" w:firstLine="852"/>
        <w:jc w:val="both"/>
      </w:pPr>
      <w:r>
        <w:rPr>
          <w:noProof/>
        </w:rPr>
        <w:drawing>
          <wp:anchor distT="0" distB="0" distL="0" distR="0" simplePos="0" relativeHeight="251427328" behindDoc="1" locked="0" layoutInCell="1" allowOverlap="1" wp14:anchorId="51DEA6E8" wp14:editId="51DEA6E9">
            <wp:simplePos x="0" y="0"/>
            <wp:positionH relativeFrom="page">
              <wp:posOffset>902208</wp:posOffset>
            </wp:positionH>
            <wp:positionV relativeFrom="paragraph">
              <wp:posOffset>80722</wp:posOffset>
            </wp:positionV>
            <wp:extent cx="262127" cy="103631"/>
            <wp:effectExtent l="0" t="0" r="0" b="0"/>
            <wp:wrapNone/>
            <wp:docPr id="1615" name="image8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 name="image835.png"/>
                    <pic:cNvPicPr/>
                  </pic:nvPicPr>
                  <pic:blipFill>
                    <a:blip r:embed="rId1094" cstate="print"/>
                    <a:stretch>
                      <a:fillRect/>
                    </a:stretch>
                  </pic:blipFill>
                  <pic:spPr>
                    <a:xfrm>
                      <a:off x="0" y="0"/>
                      <a:ext cx="262127" cy="103631"/>
                    </a:xfrm>
                    <a:prstGeom prst="rect">
                      <a:avLst/>
                    </a:prstGeom>
                  </pic:spPr>
                </pic:pic>
              </a:graphicData>
            </a:graphic>
          </wp:anchor>
        </w:drawing>
      </w:r>
      <w:r>
        <w:t xml:space="preserve">In addition, MOFCOM acted inconsistently with Article 6.5.1 by failing to require CADA and the domestic Chinese producers to </w:t>
      </w:r>
      <w:r>
        <w:t>furnish non‐confidential summaries of the information</w:t>
      </w:r>
      <w:r>
        <w:rPr>
          <w:spacing w:val="-3"/>
        </w:rPr>
        <w:t xml:space="preserve"> </w:t>
      </w:r>
      <w:r>
        <w:t>treated</w:t>
      </w:r>
      <w:r>
        <w:rPr>
          <w:spacing w:val="-4"/>
        </w:rPr>
        <w:t xml:space="preserve"> </w:t>
      </w:r>
      <w:r>
        <w:t>as</w:t>
      </w:r>
      <w:r>
        <w:rPr>
          <w:spacing w:val="-3"/>
        </w:rPr>
        <w:t xml:space="preserve"> </w:t>
      </w:r>
      <w:r>
        <w:t>confidential,</w:t>
      </w:r>
      <w:r>
        <w:rPr>
          <w:spacing w:val="-3"/>
        </w:rPr>
        <w:t xml:space="preserve"> </w:t>
      </w:r>
      <w:r>
        <w:t>either</w:t>
      </w:r>
      <w:r>
        <w:rPr>
          <w:spacing w:val="-4"/>
        </w:rPr>
        <w:t xml:space="preserve"> </w:t>
      </w:r>
      <w:r>
        <w:t>at</w:t>
      </w:r>
      <w:r>
        <w:rPr>
          <w:spacing w:val="-3"/>
        </w:rPr>
        <w:t xml:space="preserve"> </w:t>
      </w:r>
      <w:r>
        <w:t>all</w:t>
      </w:r>
      <w:r>
        <w:rPr>
          <w:spacing w:val="-5"/>
        </w:rPr>
        <w:t xml:space="preserve"> </w:t>
      </w:r>
      <w:r>
        <w:t>or</w:t>
      </w:r>
      <w:r>
        <w:rPr>
          <w:spacing w:val="-2"/>
        </w:rPr>
        <w:t xml:space="preserve"> </w:t>
      </w:r>
      <w:r>
        <w:t>"in</w:t>
      </w:r>
      <w:r>
        <w:rPr>
          <w:spacing w:val="-3"/>
        </w:rPr>
        <w:t xml:space="preserve"> </w:t>
      </w:r>
      <w:r>
        <w:t>sufficient</w:t>
      </w:r>
      <w:r>
        <w:rPr>
          <w:spacing w:val="-2"/>
        </w:rPr>
        <w:t xml:space="preserve"> </w:t>
      </w:r>
      <w:r>
        <w:t>detail</w:t>
      </w:r>
      <w:r>
        <w:rPr>
          <w:spacing w:val="-3"/>
        </w:rPr>
        <w:t xml:space="preserve"> </w:t>
      </w:r>
      <w:r>
        <w:t>to</w:t>
      </w:r>
      <w:r>
        <w:rPr>
          <w:spacing w:val="-3"/>
        </w:rPr>
        <w:t xml:space="preserve"> </w:t>
      </w:r>
      <w:r>
        <w:t>permit</w:t>
      </w:r>
      <w:r>
        <w:rPr>
          <w:spacing w:val="-3"/>
        </w:rPr>
        <w:t xml:space="preserve"> </w:t>
      </w:r>
      <w:r>
        <w:t>a</w:t>
      </w:r>
      <w:r>
        <w:rPr>
          <w:spacing w:val="-3"/>
        </w:rPr>
        <w:t xml:space="preserve"> </w:t>
      </w:r>
      <w:r>
        <w:t>reasonable understanding of the substance of the information submitted in confidence".</w:t>
      </w:r>
    </w:p>
    <w:p w14:paraId="51DE9626" w14:textId="77777777" w:rsidR="0010369C" w:rsidRDefault="008E43AE">
      <w:pPr>
        <w:pStyle w:val="Heading4"/>
        <w:numPr>
          <w:ilvl w:val="2"/>
          <w:numId w:val="75"/>
        </w:numPr>
        <w:tabs>
          <w:tab w:val="left" w:pos="2646"/>
          <w:tab w:val="left" w:pos="2647"/>
        </w:tabs>
        <w:ind w:left="2646"/>
        <w:jc w:val="both"/>
      </w:pPr>
      <w:r>
        <w:t>Legal</w:t>
      </w:r>
      <w:r>
        <w:rPr>
          <w:spacing w:val="-7"/>
        </w:rPr>
        <w:t xml:space="preserve"> </w:t>
      </w:r>
      <w:r>
        <w:rPr>
          <w:spacing w:val="-2"/>
        </w:rPr>
        <w:t>framework</w:t>
      </w:r>
    </w:p>
    <w:p w14:paraId="51DE9627" w14:textId="77777777" w:rsidR="0010369C" w:rsidRDefault="0010369C">
      <w:pPr>
        <w:pStyle w:val="BodyText"/>
        <w:spacing w:before="10"/>
        <w:rPr>
          <w:b/>
          <w:sz w:val="20"/>
        </w:rPr>
      </w:pPr>
    </w:p>
    <w:p w14:paraId="51DE9628" w14:textId="77777777" w:rsidR="0010369C" w:rsidRDefault="008E43AE">
      <w:pPr>
        <w:pStyle w:val="BodyText"/>
        <w:spacing w:before="52"/>
        <w:ind w:left="1089"/>
      </w:pPr>
      <w:r>
        <w:rPr>
          <w:noProof/>
        </w:rPr>
        <w:drawing>
          <wp:anchor distT="0" distB="0" distL="0" distR="0" simplePos="0" relativeHeight="250688000" behindDoc="0" locked="0" layoutInCell="1" allowOverlap="1" wp14:anchorId="51DEA6EA" wp14:editId="51DEA6EB">
            <wp:simplePos x="0" y="0"/>
            <wp:positionH relativeFrom="page">
              <wp:posOffset>902208</wp:posOffset>
            </wp:positionH>
            <wp:positionV relativeFrom="paragraph">
              <wp:posOffset>76785</wp:posOffset>
            </wp:positionV>
            <wp:extent cx="262127" cy="106679"/>
            <wp:effectExtent l="0" t="0" r="0" b="0"/>
            <wp:wrapNone/>
            <wp:docPr id="1617" name="image8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 name="image836.png"/>
                    <pic:cNvPicPr/>
                  </pic:nvPicPr>
                  <pic:blipFill>
                    <a:blip r:embed="rId1095" cstate="print"/>
                    <a:stretch>
                      <a:fillRect/>
                    </a:stretch>
                  </pic:blipFill>
                  <pic:spPr>
                    <a:xfrm>
                      <a:off x="0" y="0"/>
                      <a:ext cx="262127" cy="106679"/>
                    </a:xfrm>
                    <a:prstGeom prst="rect">
                      <a:avLst/>
                    </a:prstGeom>
                  </pic:spPr>
                </pic:pic>
              </a:graphicData>
            </a:graphic>
          </wp:anchor>
        </w:drawing>
      </w:r>
      <w:r>
        <w:t>Articles</w:t>
      </w:r>
      <w:r>
        <w:rPr>
          <w:spacing w:val="-9"/>
        </w:rPr>
        <w:t xml:space="preserve"> </w:t>
      </w:r>
      <w:r>
        <w:t>6.5</w:t>
      </w:r>
      <w:r>
        <w:rPr>
          <w:spacing w:val="-8"/>
        </w:rPr>
        <w:t xml:space="preserve"> </w:t>
      </w:r>
      <w:r>
        <w:t>and</w:t>
      </w:r>
      <w:r>
        <w:rPr>
          <w:spacing w:val="-7"/>
        </w:rPr>
        <w:t xml:space="preserve"> </w:t>
      </w:r>
      <w:r>
        <w:t>6.5.</w:t>
      </w:r>
      <w:r>
        <w:t>1</w:t>
      </w:r>
      <w:r>
        <w:rPr>
          <w:spacing w:val="-8"/>
        </w:rPr>
        <w:t xml:space="preserve"> </w:t>
      </w:r>
      <w:r>
        <w:t>of</w:t>
      </w:r>
      <w:r>
        <w:rPr>
          <w:spacing w:val="-8"/>
        </w:rPr>
        <w:t xml:space="preserve"> </w:t>
      </w:r>
      <w:r>
        <w:t>the</w:t>
      </w:r>
      <w:r>
        <w:rPr>
          <w:spacing w:val="-7"/>
        </w:rPr>
        <w:t xml:space="preserve"> </w:t>
      </w:r>
      <w:r>
        <w:t>Anti‐Dumping</w:t>
      </w:r>
      <w:r>
        <w:rPr>
          <w:spacing w:val="-6"/>
        </w:rPr>
        <w:t xml:space="preserve"> </w:t>
      </w:r>
      <w:r>
        <w:t>Agreement</w:t>
      </w:r>
      <w:r>
        <w:rPr>
          <w:spacing w:val="-8"/>
        </w:rPr>
        <w:t xml:space="preserve"> </w:t>
      </w:r>
      <w:r>
        <w:t>provide</w:t>
      </w:r>
      <w:r>
        <w:rPr>
          <w:spacing w:val="-7"/>
        </w:rPr>
        <w:t xml:space="preserve"> </w:t>
      </w:r>
      <w:r>
        <w:t>as</w:t>
      </w:r>
      <w:r>
        <w:rPr>
          <w:spacing w:val="-8"/>
        </w:rPr>
        <w:t xml:space="preserve"> </w:t>
      </w:r>
      <w:r>
        <w:rPr>
          <w:spacing w:val="-2"/>
        </w:rPr>
        <w:t>follows:</w:t>
      </w:r>
    </w:p>
    <w:p w14:paraId="51DE9629" w14:textId="77777777" w:rsidR="0010369C" w:rsidRDefault="0010369C">
      <w:pPr>
        <w:pStyle w:val="BodyText"/>
        <w:spacing w:before="1"/>
        <w:rPr>
          <w:sz w:val="25"/>
        </w:rPr>
      </w:pPr>
    </w:p>
    <w:p w14:paraId="51DE962A" w14:textId="77777777" w:rsidR="0010369C" w:rsidRDefault="008E43AE">
      <w:pPr>
        <w:pStyle w:val="ListParagraph"/>
        <w:numPr>
          <w:ilvl w:val="1"/>
          <w:numId w:val="26"/>
        </w:numPr>
        <w:tabs>
          <w:tab w:val="left" w:pos="1939"/>
          <w:tab w:val="left" w:pos="1941"/>
        </w:tabs>
        <w:spacing w:before="1" w:line="276" w:lineRule="auto"/>
        <w:ind w:right="615" w:firstLine="0"/>
        <w:jc w:val="both"/>
      </w:pPr>
      <w:r>
        <w:t>Any</w:t>
      </w:r>
      <w:r>
        <w:rPr>
          <w:spacing w:val="-13"/>
        </w:rPr>
        <w:t xml:space="preserve"> </w:t>
      </w:r>
      <w:r>
        <w:t>information</w:t>
      </w:r>
      <w:r>
        <w:rPr>
          <w:spacing w:val="-12"/>
        </w:rPr>
        <w:t xml:space="preserve"> </w:t>
      </w:r>
      <w:r>
        <w:t>which</w:t>
      </w:r>
      <w:r>
        <w:rPr>
          <w:spacing w:val="-13"/>
        </w:rPr>
        <w:t xml:space="preserve"> </w:t>
      </w:r>
      <w:r>
        <w:t>is</w:t>
      </w:r>
      <w:r>
        <w:rPr>
          <w:spacing w:val="-12"/>
        </w:rPr>
        <w:t xml:space="preserve"> </w:t>
      </w:r>
      <w:r>
        <w:t>by</w:t>
      </w:r>
      <w:r>
        <w:rPr>
          <w:spacing w:val="-13"/>
        </w:rPr>
        <w:t xml:space="preserve"> </w:t>
      </w:r>
      <w:r>
        <w:t>nature</w:t>
      </w:r>
      <w:r>
        <w:rPr>
          <w:spacing w:val="-12"/>
        </w:rPr>
        <w:t xml:space="preserve"> </w:t>
      </w:r>
      <w:r>
        <w:t>confidential</w:t>
      </w:r>
      <w:r>
        <w:rPr>
          <w:spacing w:val="-13"/>
        </w:rPr>
        <w:t xml:space="preserve"> </w:t>
      </w:r>
      <w:r>
        <w:t>(for</w:t>
      </w:r>
      <w:r>
        <w:rPr>
          <w:spacing w:val="-12"/>
        </w:rPr>
        <w:t xml:space="preserve"> </w:t>
      </w:r>
      <w:r>
        <w:t>example,</w:t>
      </w:r>
      <w:r>
        <w:rPr>
          <w:spacing w:val="-12"/>
        </w:rPr>
        <w:t xml:space="preserve"> </w:t>
      </w:r>
      <w:r>
        <w:t>because</w:t>
      </w:r>
      <w:r>
        <w:rPr>
          <w:spacing w:val="-13"/>
        </w:rPr>
        <w:t xml:space="preserve"> </w:t>
      </w:r>
      <w:r>
        <w:t>its</w:t>
      </w:r>
      <w:r>
        <w:rPr>
          <w:spacing w:val="-12"/>
        </w:rPr>
        <w:t xml:space="preserve"> </w:t>
      </w:r>
      <w:r>
        <w:t>disclosure would be of significant competitive advantage to a competitor or because its disclosure would</w:t>
      </w:r>
      <w:r>
        <w:rPr>
          <w:spacing w:val="-5"/>
        </w:rPr>
        <w:t xml:space="preserve"> </w:t>
      </w:r>
      <w:r>
        <w:t>have</w:t>
      </w:r>
      <w:r>
        <w:rPr>
          <w:spacing w:val="-3"/>
        </w:rPr>
        <w:t xml:space="preserve"> </w:t>
      </w:r>
      <w:r>
        <w:t>a</w:t>
      </w:r>
      <w:r>
        <w:rPr>
          <w:spacing w:val="-2"/>
        </w:rPr>
        <w:t xml:space="preserve"> </w:t>
      </w:r>
      <w:r>
        <w:t>significantly</w:t>
      </w:r>
      <w:r>
        <w:rPr>
          <w:spacing w:val="-2"/>
        </w:rPr>
        <w:t xml:space="preserve"> </w:t>
      </w:r>
      <w:r>
        <w:t>adverse</w:t>
      </w:r>
      <w:r>
        <w:rPr>
          <w:spacing w:val="-4"/>
        </w:rPr>
        <w:t xml:space="preserve"> </w:t>
      </w:r>
      <w:r>
        <w:t>effect</w:t>
      </w:r>
      <w:r>
        <w:rPr>
          <w:spacing w:val="-5"/>
        </w:rPr>
        <w:t xml:space="preserve"> </w:t>
      </w:r>
      <w:r>
        <w:t>upon</w:t>
      </w:r>
      <w:r>
        <w:rPr>
          <w:spacing w:val="-4"/>
        </w:rPr>
        <w:t xml:space="preserve"> </w:t>
      </w:r>
      <w:r>
        <w:t>a</w:t>
      </w:r>
      <w:r>
        <w:rPr>
          <w:spacing w:val="-2"/>
        </w:rPr>
        <w:t xml:space="preserve"> </w:t>
      </w:r>
      <w:r>
        <w:t>person</w:t>
      </w:r>
      <w:r>
        <w:rPr>
          <w:spacing w:val="-4"/>
        </w:rPr>
        <w:t xml:space="preserve"> </w:t>
      </w:r>
      <w:r>
        <w:t>supplying</w:t>
      </w:r>
      <w:r>
        <w:rPr>
          <w:spacing w:val="-2"/>
        </w:rPr>
        <w:t xml:space="preserve"> </w:t>
      </w:r>
      <w:r>
        <w:t>the</w:t>
      </w:r>
      <w:r>
        <w:rPr>
          <w:spacing w:val="-3"/>
        </w:rPr>
        <w:t xml:space="preserve"> </w:t>
      </w:r>
      <w:r>
        <w:t>information</w:t>
      </w:r>
      <w:r>
        <w:rPr>
          <w:spacing w:val="-3"/>
        </w:rPr>
        <w:t xml:space="preserve"> </w:t>
      </w:r>
      <w:r>
        <w:t>or</w:t>
      </w:r>
      <w:r>
        <w:rPr>
          <w:spacing w:val="-4"/>
        </w:rPr>
        <w:t xml:space="preserve"> </w:t>
      </w:r>
      <w:r>
        <w:t>upon</w:t>
      </w:r>
      <w:r>
        <w:rPr>
          <w:spacing w:val="-4"/>
        </w:rPr>
        <w:t xml:space="preserve"> </w:t>
      </w:r>
      <w:r>
        <w:t>a</w:t>
      </w:r>
    </w:p>
    <w:p w14:paraId="51DE962B" w14:textId="77777777" w:rsidR="0010369C" w:rsidRDefault="0010369C">
      <w:pPr>
        <w:spacing w:line="276" w:lineRule="auto"/>
        <w:jc w:val="both"/>
        <w:sectPr w:rsidR="0010369C">
          <w:pgSz w:w="11910" w:h="16840"/>
          <w:pgMar w:top="880" w:right="800" w:bottom="980" w:left="1180" w:header="569" w:footer="788" w:gutter="0"/>
          <w:cols w:space="720"/>
        </w:sectPr>
      </w:pPr>
    </w:p>
    <w:p w14:paraId="51DE962C" w14:textId="77777777" w:rsidR="0010369C" w:rsidRDefault="008E43AE">
      <w:pPr>
        <w:tabs>
          <w:tab w:val="left" w:pos="6426"/>
        </w:tabs>
        <w:ind w:left="238"/>
        <w:jc w:val="both"/>
        <w:rPr>
          <w:sz w:val="20"/>
        </w:rPr>
      </w:pPr>
      <w:r>
        <w:rPr>
          <w:i/>
          <w:sz w:val="20"/>
        </w:rPr>
        <w:lastRenderedPageBreak/>
        <w:t>China</w:t>
      </w:r>
      <w:r>
        <w:rPr>
          <w:i/>
          <w:spacing w:val="-5"/>
          <w:sz w:val="20"/>
        </w:rPr>
        <w:t xml:space="preserve"> </w:t>
      </w:r>
      <w:r>
        <w:rPr>
          <w:i/>
          <w:sz w:val="20"/>
        </w:rPr>
        <w:t>–</w:t>
      </w:r>
      <w:r>
        <w:rPr>
          <w:i/>
          <w:spacing w:val="-5"/>
          <w:sz w:val="20"/>
        </w:rPr>
        <w:t xml:space="preserve"> </w:t>
      </w:r>
      <w:r>
        <w:rPr>
          <w:i/>
          <w:sz w:val="20"/>
        </w:rPr>
        <w:t>Anti‐Dumping</w:t>
      </w:r>
      <w:r>
        <w:rPr>
          <w:i/>
          <w:spacing w:val="-4"/>
          <w:sz w:val="20"/>
        </w:rPr>
        <w:t xml:space="preserve"> </w:t>
      </w:r>
      <w:r>
        <w:rPr>
          <w:i/>
          <w:sz w:val="20"/>
        </w:rPr>
        <w:t>and</w:t>
      </w:r>
      <w:r>
        <w:rPr>
          <w:i/>
          <w:spacing w:val="-5"/>
          <w:sz w:val="20"/>
        </w:rPr>
        <w:t xml:space="preserve"> </w:t>
      </w:r>
      <w:r>
        <w:rPr>
          <w:i/>
          <w:sz w:val="20"/>
        </w:rPr>
        <w:t>Countervailing</w:t>
      </w:r>
      <w:r>
        <w:rPr>
          <w:i/>
          <w:spacing w:val="-5"/>
          <w:sz w:val="20"/>
        </w:rPr>
        <w:t xml:space="preserve"> </w:t>
      </w:r>
      <w:r>
        <w:rPr>
          <w:i/>
          <w:sz w:val="20"/>
        </w:rPr>
        <w:t>Duty</w:t>
      </w:r>
      <w:r>
        <w:rPr>
          <w:i/>
          <w:spacing w:val="-4"/>
          <w:sz w:val="20"/>
        </w:rPr>
        <w:t xml:space="preserve"> </w:t>
      </w:r>
      <w:r>
        <w:rPr>
          <w:i/>
          <w:spacing w:val="-2"/>
          <w:sz w:val="20"/>
        </w:rPr>
        <w:t>Me</w:t>
      </w:r>
      <w:r>
        <w:rPr>
          <w:i/>
          <w:spacing w:val="-2"/>
          <w:sz w:val="20"/>
        </w:rPr>
        <w:t>asures</w:t>
      </w:r>
      <w:r>
        <w:rPr>
          <w:i/>
          <w:sz w:val="20"/>
        </w:rPr>
        <w:tab/>
      </w:r>
      <w:r>
        <w:rPr>
          <w:sz w:val="20"/>
        </w:rPr>
        <w:t>Australia's</w:t>
      </w:r>
      <w:r>
        <w:rPr>
          <w:spacing w:val="-7"/>
          <w:sz w:val="20"/>
        </w:rPr>
        <w:t xml:space="preserve"> </w:t>
      </w:r>
      <w:r>
        <w:rPr>
          <w:sz w:val="20"/>
        </w:rPr>
        <w:t>First</w:t>
      </w:r>
      <w:r>
        <w:rPr>
          <w:spacing w:val="-2"/>
          <w:sz w:val="20"/>
        </w:rPr>
        <w:t xml:space="preserve"> </w:t>
      </w:r>
      <w:r>
        <w:rPr>
          <w:sz w:val="20"/>
        </w:rPr>
        <w:t>Written</w:t>
      </w:r>
      <w:r>
        <w:rPr>
          <w:spacing w:val="-2"/>
          <w:sz w:val="20"/>
        </w:rPr>
        <w:t xml:space="preserve"> Submission</w:t>
      </w:r>
    </w:p>
    <w:p w14:paraId="51DE962D" w14:textId="77777777" w:rsidR="0010369C" w:rsidRDefault="008E43AE">
      <w:pPr>
        <w:tabs>
          <w:tab w:val="left" w:pos="8228"/>
        </w:tabs>
        <w:spacing w:before="1"/>
        <w:ind w:left="239"/>
        <w:jc w:val="both"/>
        <w:rPr>
          <w:sz w:val="20"/>
        </w:rPr>
      </w:pPr>
      <w:r>
        <w:rPr>
          <w:i/>
          <w:sz w:val="20"/>
        </w:rPr>
        <w:t>on</w:t>
      </w:r>
      <w:r>
        <w:rPr>
          <w:i/>
          <w:spacing w:val="-1"/>
          <w:sz w:val="20"/>
        </w:rPr>
        <w:t xml:space="preserve"> </w:t>
      </w:r>
      <w:r>
        <w:rPr>
          <w:i/>
          <w:sz w:val="20"/>
        </w:rPr>
        <w:t>Wine</w:t>
      </w:r>
      <w:r>
        <w:rPr>
          <w:i/>
          <w:spacing w:val="-1"/>
          <w:sz w:val="20"/>
        </w:rPr>
        <w:t xml:space="preserve"> </w:t>
      </w:r>
      <w:r>
        <w:rPr>
          <w:i/>
          <w:sz w:val="20"/>
        </w:rPr>
        <w:t>from</w:t>
      </w:r>
      <w:r>
        <w:rPr>
          <w:i/>
          <w:spacing w:val="-3"/>
          <w:sz w:val="20"/>
        </w:rPr>
        <w:t xml:space="preserve"> </w:t>
      </w:r>
      <w:r>
        <w:rPr>
          <w:i/>
          <w:sz w:val="20"/>
        </w:rPr>
        <w:t>Australia</w:t>
      </w:r>
      <w:r>
        <w:rPr>
          <w:i/>
          <w:spacing w:val="-1"/>
          <w:sz w:val="20"/>
        </w:rPr>
        <w:t xml:space="preserve"> </w:t>
      </w:r>
      <w:r>
        <w:rPr>
          <w:spacing w:val="-2"/>
          <w:sz w:val="20"/>
        </w:rPr>
        <w:t>(DS602)</w:t>
      </w:r>
      <w:r>
        <w:rPr>
          <w:sz w:val="20"/>
        </w:rPr>
        <w:tab/>
        <w:t>29</w:t>
      </w:r>
      <w:r>
        <w:rPr>
          <w:spacing w:val="-1"/>
          <w:sz w:val="20"/>
        </w:rPr>
        <w:t xml:space="preserve"> </w:t>
      </w:r>
      <w:r>
        <w:rPr>
          <w:sz w:val="20"/>
        </w:rPr>
        <w:t>April</w:t>
      </w:r>
      <w:r>
        <w:rPr>
          <w:spacing w:val="-2"/>
          <w:sz w:val="20"/>
        </w:rPr>
        <w:t xml:space="preserve"> </w:t>
      </w:r>
      <w:r>
        <w:rPr>
          <w:spacing w:val="-4"/>
          <w:sz w:val="20"/>
        </w:rPr>
        <w:t>2022</w:t>
      </w:r>
    </w:p>
    <w:p w14:paraId="51DE962E" w14:textId="77777777" w:rsidR="0010369C" w:rsidRDefault="008E43AE">
      <w:pPr>
        <w:spacing w:before="35" w:line="276" w:lineRule="auto"/>
        <w:ind w:left="1089" w:right="612"/>
        <w:jc w:val="both"/>
      </w:pPr>
      <w:r>
        <w:t>person from whom that person acquired the information), or which is provided on a confidential</w:t>
      </w:r>
      <w:r>
        <w:rPr>
          <w:spacing w:val="-1"/>
        </w:rPr>
        <w:t xml:space="preserve"> </w:t>
      </w:r>
      <w:r>
        <w:t>basis</w:t>
      </w:r>
      <w:r>
        <w:rPr>
          <w:spacing w:val="-1"/>
        </w:rPr>
        <w:t xml:space="preserve"> </w:t>
      </w:r>
      <w:r>
        <w:t>by</w:t>
      </w:r>
      <w:r>
        <w:rPr>
          <w:spacing w:val="-2"/>
        </w:rPr>
        <w:t xml:space="preserve"> </w:t>
      </w:r>
      <w:r>
        <w:t>parties</w:t>
      </w:r>
      <w:r>
        <w:rPr>
          <w:spacing w:val="-1"/>
        </w:rPr>
        <w:t xml:space="preserve"> </w:t>
      </w:r>
      <w:r>
        <w:t>to</w:t>
      </w:r>
      <w:r>
        <w:rPr>
          <w:spacing w:val="-1"/>
        </w:rPr>
        <w:t xml:space="preserve"> </w:t>
      </w:r>
      <w:r>
        <w:t>an</w:t>
      </w:r>
      <w:r>
        <w:rPr>
          <w:spacing w:val="-2"/>
        </w:rPr>
        <w:t xml:space="preserve"> </w:t>
      </w:r>
      <w:r>
        <w:t>investigation</w:t>
      </w:r>
      <w:r>
        <w:rPr>
          <w:spacing w:val="-1"/>
        </w:rPr>
        <w:t xml:space="preserve"> </w:t>
      </w:r>
      <w:r>
        <w:t>shall, upon</w:t>
      </w:r>
      <w:r>
        <w:rPr>
          <w:spacing w:val="-2"/>
        </w:rPr>
        <w:t xml:space="preserve"> </w:t>
      </w:r>
      <w:r>
        <w:t>good</w:t>
      </w:r>
      <w:r>
        <w:rPr>
          <w:spacing w:val="-2"/>
        </w:rPr>
        <w:t xml:space="preserve"> </w:t>
      </w:r>
      <w:r>
        <w:t>cause</w:t>
      </w:r>
      <w:r>
        <w:rPr>
          <w:spacing w:val="-2"/>
        </w:rPr>
        <w:t xml:space="preserve"> </w:t>
      </w:r>
      <w:r>
        <w:t>shown,</w:t>
      </w:r>
      <w:r>
        <w:rPr>
          <w:spacing w:val="-1"/>
        </w:rPr>
        <w:t xml:space="preserve"> </w:t>
      </w:r>
      <w:r>
        <w:t>be</w:t>
      </w:r>
      <w:r>
        <w:rPr>
          <w:spacing w:val="-2"/>
        </w:rPr>
        <w:t xml:space="preserve"> </w:t>
      </w:r>
      <w:r>
        <w:t>treated</w:t>
      </w:r>
      <w:r>
        <w:rPr>
          <w:spacing w:val="-2"/>
        </w:rPr>
        <w:t xml:space="preserve"> </w:t>
      </w:r>
      <w:r>
        <w:t>as such by the authorities. Such information shall not be disclosed without specifi</w:t>
      </w:r>
      <w:r>
        <w:t>c permission of the party submitting it.</w:t>
      </w:r>
    </w:p>
    <w:p w14:paraId="51DE962F" w14:textId="77777777" w:rsidR="0010369C" w:rsidRDefault="0010369C">
      <w:pPr>
        <w:pStyle w:val="BodyText"/>
        <w:spacing w:before="8"/>
        <w:rPr>
          <w:sz w:val="19"/>
        </w:rPr>
      </w:pPr>
    </w:p>
    <w:p w14:paraId="51DE9630" w14:textId="77777777" w:rsidR="0010369C" w:rsidRDefault="008E43AE">
      <w:pPr>
        <w:pStyle w:val="ListParagraph"/>
        <w:numPr>
          <w:ilvl w:val="2"/>
          <w:numId w:val="26"/>
        </w:numPr>
        <w:tabs>
          <w:tab w:val="left" w:pos="1942"/>
        </w:tabs>
        <w:spacing w:before="0" w:line="276" w:lineRule="auto"/>
        <w:ind w:right="614" w:firstLine="1"/>
        <w:jc w:val="both"/>
      </w:pPr>
      <w:r>
        <w:t>The authorities shall require interested parties providing confidential information to</w:t>
      </w:r>
      <w:r>
        <w:rPr>
          <w:spacing w:val="-1"/>
        </w:rPr>
        <w:t xml:space="preserve"> </w:t>
      </w:r>
      <w:r>
        <w:t>furnish non‐confidential</w:t>
      </w:r>
      <w:r>
        <w:rPr>
          <w:spacing w:val="-2"/>
        </w:rPr>
        <w:t xml:space="preserve"> </w:t>
      </w:r>
      <w:r>
        <w:t>summaries thereof.</w:t>
      </w:r>
      <w:r>
        <w:rPr>
          <w:spacing w:val="-1"/>
        </w:rPr>
        <w:t xml:space="preserve"> </w:t>
      </w:r>
      <w:r>
        <w:t>These</w:t>
      </w:r>
      <w:r>
        <w:rPr>
          <w:spacing w:val="-2"/>
        </w:rPr>
        <w:t xml:space="preserve"> </w:t>
      </w:r>
      <w:r>
        <w:t>summaries shall</w:t>
      </w:r>
      <w:r>
        <w:rPr>
          <w:spacing w:val="-1"/>
        </w:rPr>
        <w:t xml:space="preserve"> </w:t>
      </w:r>
      <w:r>
        <w:t>be in sufficient</w:t>
      </w:r>
      <w:r>
        <w:rPr>
          <w:spacing w:val="-1"/>
        </w:rPr>
        <w:t xml:space="preserve"> </w:t>
      </w:r>
      <w:r>
        <w:t xml:space="preserve">detail to permit a reasonable understanding </w:t>
      </w:r>
      <w:r>
        <w:t>of the substance of the information submitted in confidence.</w:t>
      </w:r>
      <w:r>
        <w:rPr>
          <w:spacing w:val="-3"/>
        </w:rPr>
        <w:t xml:space="preserve"> </w:t>
      </w:r>
      <w:r>
        <w:t>In</w:t>
      </w:r>
      <w:r>
        <w:rPr>
          <w:spacing w:val="-4"/>
        </w:rPr>
        <w:t xml:space="preserve"> </w:t>
      </w:r>
      <w:r>
        <w:t>exceptional</w:t>
      </w:r>
      <w:r>
        <w:rPr>
          <w:spacing w:val="-4"/>
        </w:rPr>
        <w:t xml:space="preserve"> </w:t>
      </w:r>
      <w:r>
        <w:t>circumstances,</w:t>
      </w:r>
      <w:r>
        <w:rPr>
          <w:spacing w:val="-4"/>
        </w:rPr>
        <w:t xml:space="preserve"> </w:t>
      </w:r>
      <w:r>
        <w:t>such</w:t>
      </w:r>
      <w:r>
        <w:rPr>
          <w:spacing w:val="-4"/>
        </w:rPr>
        <w:t xml:space="preserve"> </w:t>
      </w:r>
      <w:r>
        <w:t>parties</w:t>
      </w:r>
      <w:r>
        <w:rPr>
          <w:spacing w:val="-3"/>
        </w:rPr>
        <w:t xml:space="preserve"> </w:t>
      </w:r>
      <w:r>
        <w:t>may</w:t>
      </w:r>
      <w:r>
        <w:rPr>
          <w:spacing w:val="-4"/>
        </w:rPr>
        <w:t xml:space="preserve"> </w:t>
      </w:r>
      <w:r>
        <w:t>indicate</w:t>
      </w:r>
      <w:r>
        <w:rPr>
          <w:spacing w:val="-3"/>
        </w:rPr>
        <w:t xml:space="preserve"> </w:t>
      </w:r>
      <w:r>
        <w:t>that</w:t>
      </w:r>
      <w:r>
        <w:rPr>
          <w:spacing w:val="-5"/>
        </w:rPr>
        <w:t xml:space="preserve"> </w:t>
      </w:r>
      <w:r>
        <w:t>such</w:t>
      </w:r>
      <w:r>
        <w:rPr>
          <w:spacing w:val="-3"/>
        </w:rPr>
        <w:t xml:space="preserve"> </w:t>
      </w:r>
      <w:r>
        <w:t>information</w:t>
      </w:r>
      <w:r>
        <w:rPr>
          <w:spacing w:val="-4"/>
        </w:rPr>
        <w:t xml:space="preserve"> </w:t>
      </w:r>
      <w:r>
        <w:t>is not susceptible of summary. In such exceptional circumstances, a statement of the reasons why summarization is not possible must be provided.</w:t>
      </w:r>
    </w:p>
    <w:p w14:paraId="51DE9631" w14:textId="77777777" w:rsidR="0010369C" w:rsidRDefault="0010369C">
      <w:pPr>
        <w:pStyle w:val="BodyText"/>
        <w:spacing w:before="4"/>
        <w:rPr>
          <w:sz w:val="15"/>
        </w:rPr>
      </w:pPr>
    </w:p>
    <w:p w14:paraId="51DE9632" w14:textId="77777777" w:rsidR="0010369C" w:rsidRDefault="008E43AE">
      <w:pPr>
        <w:pStyle w:val="BodyText"/>
        <w:spacing w:before="51" w:line="360" w:lineRule="auto"/>
        <w:ind w:left="237" w:right="612" w:firstLine="852"/>
        <w:jc w:val="both"/>
      </w:pPr>
      <w:r>
        <w:rPr>
          <w:noProof/>
        </w:rPr>
        <w:drawing>
          <wp:anchor distT="0" distB="0" distL="0" distR="0" simplePos="0" relativeHeight="251428352" behindDoc="1" locked="0" layoutInCell="1" allowOverlap="1" wp14:anchorId="51DEA6EC" wp14:editId="51DEA6ED">
            <wp:simplePos x="0" y="0"/>
            <wp:positionH relativeFrom="page">
              <wp:posOffset>902208</wp:posOffset>
            </wp:positionH>
            <wp:positionV relativeFrom="paragraph">
              <wp:posOffset>76150</wp:posOffset>
            </wp:positionV>
            <wp:extent cx="262127" cy="106679"/>
            <wp:effectExtent l="0" t="0" r="0" b="0"/>
            <wp:wrapNone/>
            <wp:docPr id="1619" name="image8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 name="image837.png"/>
                    <pic:cNvPicPr/>
                  </pic:nvPicPr>
                  <pic:blipFill>
                    <a:blip r:embed="rId1096" cstate="print"/>
                    <a:stretch>
                      <a:fillRect/>
                    </a:stretch>
                  </pic:blipFill>
                  <pic:spPr>
                    <a:xfrm>
                      <a:off x="0" y="0"/>
                      <a:ext cx="262127" cy="106679"/>
                    </a:xfrm>
                    <a:prstGeom prst="rect">
                      <a:avLst/>
                    </a:prstGeom>
                  </pic:spPr>
                </pic:pic>
              </a:graphicData>
            </a:graphic>
          </wp:anchor>
        </w:drawing>
      </w:r>
      <w:r>
        <w:t>The protection of confidential information is integral to the effective functioning of the anti‐dumping inves</w:t>
      </w:r>
      <w:r>
        <w:t xml:space="preserve">tigatory system. However, it must be balanced against the fundamental due process rights of interested parties "to see the evidence submitted or gathered in an investigation", and to "have an adequate opportunity for the defence of their interests", which </w:t>
      </w:r>
      <w:r>
        <w:t>"opportunity must be meaningful in terms of a party's ability to defend itself".</w:t>
      </w:r>
      <w:r>
        <w:rPr>
          <w:vertAlign w:val="superscript"/>
        </w:rPr>
        <w:t>979</w:t>
      </w:r>
      <w:r>
        <w:t xml:space="preserve"> It is fundamentally unfair for adverse findings to be made against a party without that party having the opportunity to understand and contest the basis of those findings.</w:t>
      </w:r>
    </w:p>
    <w:p w14:paraId="51DE9633" w14:textId="77777777" w:rsidR="0010369C" w:rsidRDefault="0010369C">
      <w:pPr>
        <w:pStyle w:val="BodyText"/>
        <w:spacing w:before="11"/>
        <w:rPr>
          <w:sz w:val="8"/>
        </w:rPr>
      </w:pPr>
    </w:p>
    <w:p w14:paraId="51DE9634" w14:textId="77777777" w:rsidR="0010369C" w:rsidRDefault="008E43AE">
      <w:pPr>
        <w:pStyle w:val="BodyText"/>
        <w:spacing w:before="52" w:line="360" w:lineRule="auto"/>
        <w:ind w:left="237" w:right="613" w:firstLine="851"/>
        <w:jc w:val="both"/>
      </w:pPr>
      <w:r>
        <w:rPr>
          <w:noProof/>
        </w:rPr>
        <w:drawing>
          <wp:anchor distT="0" distB="0" distL="0" distR="0" simplePos="0" relativeHeight="251429376" behindDoc="1" locked="0" layoutInCell="1" allowOverlap="1" wp14:anchorId="51DEA6EE" wp14:editId="51DEA6EF">
            <wp:simplePos x="0" y="0"/>
            <wp:positionH relativeFrom="page">
              <wp:posOffset>902208</wp:posOffset>
            </wp:positionH>
            <wp:positionV relativeFrom="paragraph">
              <wp:posOffset>81949</wp:posOffset>
            </wp:positionV>
            <wp:extent cx="262127" cy="100753"/>
            <wp:effectExtent l="0" t="0" r="0" b="0"/>
            <wp:wrapNone/>
            <wp:docPr id="1621" name="image8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 name="image838.png"/>
                    <pic:cNvPicPr/>
                  </pic:nvPicPr>
                  <pic:blipFill>
                    <a:blip r:embed="rId1097" cstate="print"/>
                    <a:stretch>
                      <a:fillRect/>
                    </a:stretch>
                  </pic:blipFill>
                  <pic:spPr>
                    <a:xfrm>
                      <a:off x="0" y="0"/>
                      <a:ext cx="262127" cy="100753"/>
                    </a:xfrm>
                    <a:prstGeom prst="rect">
                      <a:avLst/>
                    </a:prstGeom>
                  </pic:spPr>
                </pic:pic>
              </a:graphicData>
            </a:graphic>
          </wp:anchor>
        </w:drawing>
      </w:r>
      <w:r>
        <w:t>The conditions set out in Article 6.5 are of "critical importance in preserving the balance</w:t>
      </w:r>
      <w:r>
        <w:rPr>
          <w:spacing w:val="-4"/>
        </w:rPr>
        <w:t xml:space="preserve"> </w:t>
      </w:r>
      <w:r>
        <w:t>between</w:t>
      </w:r>
      <w:r>
        <w:rPr>
          <w:spacing w:val="-5"/>
        </w:rPr>
        <w:t xml:space="preserve"> </w:t>
      </w:r>
      <w:r>
        <w:t>the</w:t>
      </w:r>
      <w:r>
        <w:rPr>
          <w:spacing w:val="-4"/>
        </w:rPr>
        <w:t xml:space="preserve"> </w:t>
      </w:r>
      <w:r>
        <w:t>interests</w:t>
      </w:r>
      <w:r>
        <w:rPr>
          <w:spacing w:val="-4"/>
        </w:rPr>
        <w:t xml:space="preserve"> </w:t>
      </w:r>
      <w:r>
        <w:t>of</w:t>
      </w:r>
      <w:r>
        <w:rPr>
          <w:spacing w:val="-5"/>
        </w:rPr>
        <w:t xml:space="preserve"> </w:t>
      </w:r>
      <w:r>
        <w:t>confidentiality</w:t>
      </w:r>
      <w:r>
        <w:rPr>
          <w:spacing w:val="-6"/>
        </w:rPr>
        <w:t xml:space="preserve"> </w:t>
      </w:r>
      <w:r>
        <w:t>and</w:t>
      </w:r>
      <w:r>
        <w:rPr>
          <w:spacing w:val="-5"/>
        </w:rPr>
        <w:t xml:space="preserve"> </w:t>
      </w:r>
      <w:r>
        <w:t>the</w:t>
      </w:r>
      <w:r>
        <w:rPr>
          <w:spacing w:val="-4"/>
        </w:rPr>
        <w:t xml:space="preserve"> </w:t>
      </w:r>
      <w:r>
        <w:t>ability</w:t>
      </w:r>
      <w:r>
        <w:rPr>
          <w:spacing w:val="-5"/>
        </w:rPr>
        <w:t xml:space="preserve"> </w:t>
      </w:r>
      <w:r>
        <w:t>of</w:t>
      </w:r>
      <w:r>
        <w:rPr>
          <w:spacing w:val="-5"/>
        </w:rPr>
        <w:t xml:space="preserve"> </w:t>
      </w:r>
      <w:r>
        <w:t>another</w:t>
      </w:r>
      <w:r>
        <w:rPr>
          <w:spacing w:val="-5"/>
        </w:rPr>
        <w:t xml:space="preserve"> </w:t>
      </w:r>
      <w:r>
        <w:t>interested</w:t>
      </w:r>
      <w:r>
        <w:rPr>
          <w:spacing w:val="-6"/>
        </w:rPr>
        <w:t xml:space="preserve"> </w:t>
      </w:r>
      <w:r>
        <w:t>party</w:t>
      </w:r>
      <w:r>
        <w:rPr>
          <w:spacing w:val="-4"/>
        </w:rPr>
        <w:t xml:space="preserve"> </w:t>
      </w:r>
      <w:r>
        <w:t>to defend its rights throughout an anti‐dumping investigation".</w:t>
      </w:r>
      <w:r>
        <w:rPr>
          <w:vertAlign w:val="superscript"/>
        </w:rPr>
        <w:t>980</w:t>
      </w:r>
      <w:r>
        <w:t xml:space="preserve"> It is important for panels, in their review of an investigating authority's treatment of confidential information, to strictly enforce these conditions in order to maintain this balance.</w:t>
      </w:r>
      <w:r>
        <w:rPr>
          <w:vertAlign w:val="superscript"/>
        </w:rPr>
        <w:t>981</w:t>
      </w:r>
    </w:p>
    <w:p w14:paraId="51DE9635" w14:textId="77777777" w:rsidR="0010369C" w:rsidRDefault="0010369C">
      <w:pPr>
        <w:pStyle w:val="BodyText"/>
        <w:spacing w:before="11"/>
        <w:rPr>
          <w:sz w:val="8"/>
        </w:rPr>
      </w:pPr>
    </w:p>
    <w:p w14:paraId="51DE9636" w14:textId="77777777" w:rsidR="0010369C" w:rsidRDefault="008E43AE">
      <w:pPr>
        <w:pStyle w:val="BodyText"/>
        <w:spacing w:before="52" w:line="360" w:lineRule="auto"/>
        <w:ind w:left="235" w:right="613" w:firstLine="853"/>
        <w:jc w:val="both"/>
      </w:pPr>
      <w:r>
        <w:rPr>
          <w:noProof/>
        </w:rPr>
        <w:drawing>
          <wp:anchor distT="0" distB="0" distL="0" distR="0" simplePos="0" relativeHeight="251430400" behindDoc="1" locked="0" layoutInCell="1" allowOverlap="1" wp14:anchorId="51DEA6F0" wp14:editId="51DEA6F1">
            <wp:simplePos x="0" y="0"/>
            <wp:positionH relativeFrom="page">
              <wp:posOffset>902208</wp:posOffset>
            </wp:positionH>
            <wp:positionV relativeFrom="paragraph">
              <wp:posOffset>81358</wp:posOffset>
            </wp:positionV>
            <wp:extent cx="262127" cy="103631"/>
            <wp:effectExtent l="0" t="0" r="0" b="0"/>
            <wp:wrapNone/>
            <wp:docPr id="1623" name="image8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 name="image839.png"/>
                    <pic:cNvPicPr/>
                  </pic:nvPicPr>
                  <pic:blipFill>
                    <a:blip r:embed="rId1098" cstate="print"/>
                    <a:stretch>
                      <a:fillRect/>
                    </a:stretch>
                  </pic:blipFill>
                  <pic:spPr>
                    <a:xfrm>
                      <a:off x="0" y="0"/>
                      <a:ext cx="262127" cy="103631"/>
                    </a:xfrm>
                    <a:prstGeom prst="rect">
                      <a:avLst/>
                    </a:prstGeom>
                  </pic:spPr>
                </pic:pic>
              </a:graphicData>
            </a:graphic>
          </wp:anchor>
        </w:drawing>
      </w:r>
      <w:r>
        <w:t>An investigating authority is obligated to treat any information supplied by an interested party as confidential "upon good cause shown", and must require such "good cause" to be shown before providing confidential treatment. The Appellate Body has expl</w:t>
      </w:r>
      <w:r>
        <w:t>ained that the "good cause" alleged by an interested party must constitute a reason sufficient</w:t>
      </w:r>
      <w:r>
        <w:rPr>
          <w:spacing w:val="-8"/>
        </w:rPr>
        <w:t xml:space="preserve"> </w:t>
      </w:r>
      <w:r>
        <w:t>to</w:t>
      </w:r>
      <w:r>
        <w:rPr>
          <w:spacing w:val="-8"/>
        </w:rPr>
        <w:t xml:space="preserve"> </w:t>
      </w:r>
      <w:r>
        <w:t>justify</w:t>
      </w:r>
      <w:r>
        <w:rPr>
          <w:spacing w:val="-8"/>
        </w:rPr>
        <w:t xml:space="preserve"> </w:t>
      </w:r>
      <w:r>
        <w:t>withholding</w:t>
      </w:r>
      <w:r>
        <w:rPr>
          <w:spacing w:val="-9"/>
        </w:rPr>
        <w:t xml:space="preserve"> </w:t>
      </w:r>
      <w:r>
        <w:t>the</w:t>
      </w:r>
      <w:r>
        <w:rPr>
          <w:spacing w:val="-8"/>
        </w:rPr>
        <w:t xml:space="preserve"> </w:t>
      </w:r>
      <w:r>
        <w:t>information</w:t>
      </w:r>
      <w:r>
        <w:rPr>
          <w:spacing w:val="-8"/>
        </w:rPr>
        <w:t xml:space="preserve"> </w:t>
      </w:r>
      <w:r>
        <w:t>from</w:t>
      </w:r>
      <w:r>
        <w:rPr>
          <w:spacing w:val="-8"/>
        </w:rPr>
        <w:t xml:space="preserve"> </w:t>
      </w:r>
      <w:r>
        <w:t>both</w:t>
      </w:r>
      <w:r>
        <w:rPr>
          <w:spacing w:val="-8"/>
        </w:rPr>
        <w:t xml:space="preserve"> </w:t>
      </w:r>
      <w:r>
        <w:t>the</w:t>
      </w:r>
      <w:r>
        <w:rPr>
          <w:spacing w:val="-8"/>
        </w:rPr>
        <w:t xml:space="preserve"> </w:t>
      </w:r>
      <w:r>
        <w:t>public</w:t>
      </w:r>
      <w:r>
        <w:rPr>
          <w:spacing w:val="-8"/>
        </w:rPr>
        <w:t xml:space="preserve"> </w:t>
      </w:r>
      <w:r>
        <w:t>and</w:t>
      </w:r>
      <w:r>
        <w:rPr>
          <w:spacing w:val="-8"/>
        </w:rPr>
        <w:t xml:space="preserve"> </w:t>
      </w:r>
      <w:r>
        <w:t>the</w:t>
      </w:r>
      <w:r>
        <w:rPr>
          <w:spacing w:val="-8"/>
        </w:rPr>
        <w:t xml:space="preserve"> </w:t>
      </w:r>
      <w:r>
        <w:t>other</w:t>
      </w:r>
      <w:r>
        <w:rPr>
          <w:spacing w:val="-8"/>
        </w:rPr>
        <w:t xml:space="preserve"> </w:t>
      </w:r>
      <w:r>
        <w:t>interested parties.</w:t>
      </w:r>
      <w:r>
        <w:rPr>
          <w:vertAlign w:val="superscript"/>
        </w:rPr>
        <w:t>982</w:t>
      </w:r>
      <w:r>
        <w:rPr>
          <w:spacing w:val="-12"/>
        </w:rPr>
        <w:t xml:space="preserve"> </w:t>
      </w:r>
      <w:r>
        <w:t>It</w:t>
      </w:r>
      <w:r>
        <w:rPr>
          <w:spacing w:val="-11"/>
        </w:rPr>
        <w:t xml:space="preserve"> </w:t>
      </w:r>
      <w:r>
        <w:t>must</w:t>
      </w:r>
      <w:r>
        <w:rPr>
          <w:spacing w:val="-11"/>
        </w:rPr>
        <w:t xml:space="preserve"> </w:t>
      </w:r>
      <w:r>
        <w:t>demonstrate</w:t>
      </w:r>
      <w:r>
        <w:rPr>
          <w:spacing w:val="-10"/>
        </w:rPr>
        <w:t xml:space="preserve"> </w:t>
      </w:r>
      <w:r>
        <w:t>the</w:t>
      </w:r>
      <w:r>
        <w:rPr>
          <w:spacing w:val="-11"/>
        </w:rPr>
        <w:t xml:space="preserve"> </w:t>
      </w:r>
      <w:r>
        <w:t>risk</w:t>
      </w:r>
      <w:r>
        <w:rPr>
          <w:spacing w:val="-10"/>
        </w:rPr>
        <w:t xml:space="preserve"> </w:t>
      </w:r>
      <w:r>
        <w:t>of</w:t>
      </w:r>
      <w:r>
        <w:rPr>
          <w:spacing w:val="-11"/>
        </w:rPr>
        <w:t xml:space="preserve"> </w:t>
      </w:r>
      <w:r>
        <w:t>a</w:t>
      </w:r>
      <w:r>
        <w:rPr>
          <w:spacing w:val="-11"/>
        </w:rPr>
        <w:t xml:space="preserve"> </w:t>
      </w:r>
      <w:r>
        <w:t>potential</w:t>
      </w:r>
      <w:r>
        <w:rPr>
          <w:spacing w:val="-10"/>
        </w:rPr>
        <w:t xml:space="preserve"> </w:t>
      </w:r>
      <w:r>
        <w:t>adverse</w:t>
      </w:r>
      <w:r>
        <w:rPr>
          <w:spacing w:val="-11"/>
        </w:rPr>
        <w:t xml:space="preserve"> </w:t>
      </w:r>
      <w:r>
        <w:t>consequence</w:t>
      </w:r>
      <w:r>
        <w:rPr>
          <w:spacing w:val="-12"/>
        </w:rPr>
        <w:t xml:space="preserve"> </w:t>
      </w:r>
      <w:r>
        <w:t>that</w:t>
      </w:r>
      <w:r>
        <w:rPr>
          <w:spacing w:val="-11"/>
        </w:rPr>
        <w:t xml:space="preserve"> </w:t>
      </w:r>
      <w:r>
        <w:t>would</w:t>
      </w:r>
      <w:r>
        <w:rPr>
          <w:spacing w:val="-9"/>
        </w:rPr>
        <w:t xml:space="preserve"> </w:t>
      </w:r>
      <w:r>
        <w:rPr>
          <w:spacing w:val="-2"/>
        </w:rPr>
        <w:t>follow</w:t>
      </w:r>
    </w:p>
    <w:p w14:paraId="51DE9637" w14:textId="77777777" w:rsidR="0010369C" w:rsidRDefault="0010369C">
      <w:pPr>
        <w:pStyle w:val="BodyText"/>
        <w:rPr>
          <w:sz w:val="20"/>
        </w:rPr>
      </w:pPr>
    </w:p>
    <w:p w14:paraId="51DE9638" w14:textId="77777777" w:rsidR="0010369C" w:rsidRDefault="0010369C">
      <w:pPr>
        <w:pStyle w:val="BodyText"/>
        <w:rPr>
          <w:sz w:val="20"/>
        </w:rPr>
      </w:pPr>
    </w:p>
    <w:p w14:paraId="51DE9639" w14:textId="77777777" w:rsidR="0010369C" w:rsidRDefault="0010369C">
      <w:pPr>
        <w:pStyle w:val="BodyText"/>
        <w:rPr>
          <w:sz w:val="20"/>
        </w:rPr>
      </w:pPr>
    </w:p>
    <w:p w14:paraId="51DE963A" w14:textId="77777777" w:rsidR="0010369C" w:rsidRDefault="0010369C">
      <w:pPr>
        <w:pStyle w:val="BodyText"/>
        <w:rPr>
          <w:sz w:val="20"/>
        </w:rPr>
      </w:pPr>
    </w:p>
    <w:p w14:paraId="51DE963B" w14:textId="77777777" w:rsidR="0010369C" w:rsidRDefault="008E43AE">
      <w:pPr>
        <w:pStyle w:val="BodyText"/>
        <w:spacing w:before="3"/>
        <w:rPr>
          <w:sz w:val="16"/>
        </w:rPr>
      </w:pPr>
      <w:r>
        <w:pict w14:anchorId="51DEA6F2">
          <v:rect id="docshape1273" o:spid="_x0000_s1161" style="position:absolute;margin-left:70.9pt;margin-top:11.15pt;width:2in;height:.8pt;z-index:-250740224;mso-wrap-distance-left:0;mso-wrap-distance-right:0;mso-position-horizontal-relative:page" fillcolor="black" stroked="f">
            <w10:wrap type="topAndBottom" anchorx="page"/>
          </v:rect>
        </w:pict>
      </w:r>
    </w:p>
    <w:p w14:paraId="51DE963C" w14:textId="77777777" w:rsidR="0010369C" w:rsidRDefault="008E43AE">
      <w:pPr>
        <w:spacing w:before="110"/>
        <w:ind w:left="238"/>
        <w:jc w:val="both"/>
        <w:rPr>
          <w:sz w:val="18"/>
        </w:rPr>
      </w:pPr>
      <w:r>
        <w:rPr>
          <w:sz w:val="18"/>
          <w:vertAlign w:val="superscript"/>
        </w:rPr>
        <w:t>979</w:t>
      </w:r>
      <w:r>
        <w:rPr>
          <w:spacing w:val="-6"/>
          <w:sz w:val="18"/>
        </w:rPr>
        <w:t xml:space="preserve"> </w:t>
      </w:r>
      <w:r>
        <w:rPr>
          <w:sz w:val="18"/>
        </w:rPr>
        <w:t>Appellate</w:t>
      </w:r>
      <w:r>
        <w:rPr>
          <w:spacing w:val="-6"/>
          <w:sz w:val="18"/>
        </w:rPr>
        <w:t xml:space="preserve"> </w:t>
      </w:r>
      <w:r>
        <w:rPr>
          <w:sz w:val="18"/>
        </w:rPr>
        <w:t>Body</w:t>
      </w:r>
      <w:r>
        <w:rPr>
          <w:spacing w:val="-8"/>
          <w:sz w:val="18"/>
        </w:rPr>
        <w:t xml:space="preserve"> </w:t>
      </w:r>
      <w:r>
        <w:rPr>
          <w:sz w:val="18"/>
        </w:rPr>
        <w:t>Report,</w:t>
      </w:r>
      <w:r>
        <w:rPr>
          <w:spacing w:val="-5"/>
          <w:sz w:val="18"/>
        </w:rPr>
        <w:t xml:space="preserve"> </w:t>
      </w:r>
      <w:r>
        <w:rPr>
          <w:i/>
          <w:sz w:val="18"/>
        </w:rPr>
        <w:t>EC</w:t>
      </w:r>
      <w:r>
        <w:rPr>
          <w:i/>
          <w:spacing w:val="-7"/>
          <w:sz w:val="18"/>
        </w:rPr>
        <w:t xml:space="preserve"> </w:t>
      </w:r>
      <w:r>
        <w:rPr>
          <w:i/>
          <w:sz w:val="18"/>
        </w:rPr>
        <w:t>–</w:t>
      </w:r>
      <w:r>
        <w:rPr>
          <w:i/>
          <w:spacing w:val="-6"/>
          <w:sz w:val="18"/>
        </w:rPr>
        <w:t xml:space="preserve"> </w:t>
      </w:r>
      <w:r>
        <w:rPr>
          <w:i/>
          <w:sz w:val="18"/>
        </w:rPr>
        <w:t>Fasteners</w:t>
      </w:r>
      <w:r>
        <w:rPr>
          <w:i/>
          <w:spacing w:val="-6"/>
          <w:sz w:val="18"/>
        </w:rPr>
        <w:t xml:space="preserve"> </w:t>
      </w:r>
      <w:r>
        <w:rPr>
          <w:i/>
          <w:sz w:val="18"/>
        </w:rPr>
        <w:t>from</w:t>
      </w:r>
      <w:r>
        <w:rPr>
          <w:i/>
          <w:spacing w:val="-6"/>
          <w:sz w:val="18"/>
        </w:rPr>
        <w:t xml:space="preserve"> </w:t>
      </w:r>
      <w:r>
        <w:rPr>
          <w:i/>
          <w:sz w:val="18"/>
        </w:rPr>
        <w:t>China</w:t>
      </w:r>
      <w:r>
        <w:rPr>
          <w:sz w:val="18"/>
        </w:rPr>
        <w:t>,</w:t>
      </w:r>
      <w:r>
        <w:rPr>
          <w:spacing w:val="-6"/>
          <w:sz w:val="18"/>
        </w:rPr>
        <w:t xml:space="preserve"> </w:t>
      </w:r>
      <w:r>
        <w:rPr>
          <w:sz w:val="18"/>
        </w:rPr>
        <w:t>para.</w:t>
      </w:r>
      <w:r>
        <w:rPr>
          <w:spacing w:val="-6"/>
          <w:sz w:val="18"/>
        </w:rPr>
        <w:t xml:space="preserve"> </w:t>
      </w:r>
      <w:r>
        <w:rPr>
          <w:sz w:val="18"/>
        </w:rPr>
        <w:t>541</w:t>
      </w:r>
      <w:r>
        <w:rPr>
          <w:spacing w:val="-6"/>
          <w:sz w:val="18"/>
        </w:rPr>
        <w:t xml:space="preserve"> </w:t>
      </w:r>
      <w:r>
        <w:rPr>
          <w:sz w:val="18"/>
        </w:rPr>
        <w:t>(citing</w:t>
      </w:r>
      <w:r>
        <w:rPr>
          <w:spacing w:val="-6"/>
          <w:sz w:val="18"/>
        </w:rPr>
        <w:t xml:space="preserve"> </w:t>
      </w:r>
      <w:r>
        <w:rPr>
          <w:sz w:val="18"/>
        </w:rPr>
        <w:t>Appellate</w:t>
      </w:r>
      <w:r>
        <w:rPr>
          <w:spacing w:val="-5"/>
          <w:sz w:val="18"/>
        </w:rPr>
        <w:t xml:space="preserve"> </w:t>
      </w:r>
      <w:r>
        <w:rPr>
          <w:sz w:val="18"/>
        </w:rPr>
        <w:t>Body</w:t>
      </w:r>
      <w:r>
        <w:rPr>
          <w:spacing w:val="-6"/>
          <w:sz w:val="18"/>
        </w:rPr>
        <w:t xml:space="preserve"> </w:t>
      </w:r>
      <w:r>
        <w:rPr>
          <w:sz w:val="18"/>
        </w:rPr>
        <w:t>Report,</w:t>
      </w:r>
      <w:r>
        <w:rPr>
          <w:spacing w:val="-5"/>
          <w:sz w:val="18"/>
        </w:rPr>
        <w:t xml:space="preserve"> </w:t>
      </w:r>
      <w:r>
        <w:rPr>
          <w:i/>
          <w:sz w:val="18"/>
        </w:rPr>
        <w:t>US</w:t>
      </w:r>
      <w:r>
        <w:rPr>
          <w:i/>
          <w:spacing w:val="-6"/>
          <w:sz w:val="18"/>
        </w:rPr>
        <w:t xml:space="preserve"> </w:t>
      </w:r>
      <w:r>
        <w:rPr>
          <w:i/>
          <w:sz w:val="18"/>
        </w:rPr>
        <w:t>–</w:t>
      </w:r>
      <w:r>
        <w:rPr>
          <w:i/>
          <w:spacing w:val="-6"/>
          <w:sz w:val="18"/>
        </w:rPr>
        <w:t xml:space="preserve"> </w:t>
      </w:r>
      <w:r>
        <w:rPr>
          <w:i/>
          <w:sz w:val="18"/>
        </w:rPr>
        <w:t>Gambling</w:t>
      </w:r>
      <w:r>
        <w:rPr>
          <w:sz w:val="18"/>
        </w:rPr>
        <w:t>,</w:t>
      </w:r>
      <w:r>
        <w:rPr>
          <w:spacing w:val="-7"/>
          <w:sz w:val="18"/>
        </w:rPr>
        <w:t xml:space="preserve"> </w:t>
      </w:r>
      <w:r>
        <w:rPr>
          <w:sz w:val="18"/>
        </w:rPr>
        <w:t>para.</w:t>
      </w:r>
      <w:r>
        <w:rPr>
          <w:spacing w:val="-5"/>
          <w:sz w:val="18"/>
        </w:rPr>
        <w:t xml:space="preserve"> </w:t>
      </w:r>
      <w:r>
        <w:rPr>
          <w:spacing w:val="-2"/>
          <w:sz w:val="18"/>
        </w:rPr>
        <w:t>270).</w:t>
      </w:r>
    </w:p>
    <w:p w14:paraId="51DE963D" w14:textId="77777777" w:rsidR="0010369C" w:rsidRDefault="008E43AE">
      <w:pPr>
        <w:ind w:left="238" w:right="5206"/>
        <w:jc w:val="both"/>
        <w:rPr>
          <w:sz w:val="18"/>
        </w:rPr>
      </w:pPr>
      <w:r>
        <w:rPr>
          <w:sz w:val="18"/>
          <w:vertAlign w:val="superscript"/>
        </w:rPr>
        <w:t>980</w:t>
      </w:r>
      <w:r>
        <w:rPr>
          <w:spacing w:val="-3"/>
          <w:sz w:val="18"/>
        </w:rPr>
        <w:t xml:space="preserve"> </w:t>
      </w:r>
      <w:r>
        <w:rPr>
          <w:sz w:val="18"/>
        </w:rPr>
        <w:t>Panel</w:t>
      </w:r>
      <w:r>
        <w:rPr>
          <w:spacing w:val="-4"/>
          <w:sz w:val="18"/>
        </w:rPr>
        <w:t xml:space="preserve"> </w:t>
      </w:r>
      <w:r>
        <w:rPr>
          <w:sz w:val="18"/>
        </w:rPr>
        <w:t>Report,</w:t>
      </w:r>
      <w:r>
        <w:rPr>
          <w:spacing w:val="-3"/>
          <w:sz w:val="18"/>
        </w:rPr>
        <w:t xml:space="preserve"> </w:t>
      </w:r>
      <w:r>
        <w:rPr>
          <w:i/>
          <w:sz w:val="18"/>
        </w:rPr>
        <w:t>Mexico</w:t>
      </w:r>
      <w:r>
        <w:rPr>
          <w:i/>
          <w:spacing w:val="-3"/>
          <w:sz w:val="18"/>
        </w:rPr>
        <w:t xml:space="preserve"> </w:t>
      </w:r>
      <w:r>
        <w:rPr>
          <w:i/>
          <w:sz w:val="18"/>
        </w:rPr>
        <w:t>–</w:t>
      </w:r>
      <w:r>
        <w:rPr>
          <w:i/>
          <w:spacing w:val="-3"/>
          <w:sz w:val="18"/>
        </w:rPr>
        <w:t xml:space="preserve"> </w:t>
      </w:r>
      <w:r>
        <w:rPr>
          <w:i/>
          <w:sz w:val="18"/>
        </w:rPr>
        <w:t>Steel</w:t>
      </w:r>
      <w:r>
        <w:rPr>
          <w:i/>
          <w:spacing w:val="-4"/>
          <w:sz w:val="18"/>
        </w:rPr>
        <w:t xml:space="preserve"> </w:t>
      </w:r>
      <w:r>
        <w:rPr>
          <w:i/>
          <w:sz w:val="18"/>
        </w:rPr>
        <w:t>Pipes</w:t>
      </w:r>
      <w:r>
        <w:rPr>
          <w:i/>
          <w:spacing w:val="-4"/>
          <w:sz w:val="18"/>
        </w:rPr>
        <w:t xml:space="preserve"> </w:t>
      </w:r>
      <w:r>
        <w:rPr>
          <w:i/>
          <w:sz w:val="18"/>
        </w:rPr>
        <w:t>and</w:t>
      </w:r>
      <w:r>
        <w:rPr>
          <w:i/>
          <w:spacing w:val="-4"/>
          <w:sz w:val="18"/>
        </w:rPr>
        <w:t xml:space="preserve"> </w:t>
      </w:r>
      <w:r>
        <w:rPr>
          <w:i/>
          <w:sz w:val="18"/>
        </w:rPr>
        <w:t>Tubes</w:t>
      </w:r>
      <w:r>
        <w:rPr>
          <w:sz w:val="18"/>
        </w:rPr>
        <w:t>,</w:t>
      </w:r>
      <w:r>
        <w:rPr>
          <w:spacing w:val="-4"/>
          <w:sz w:val="18"/>
        </w:rPr>
        <w:t xml:space="preserve"> </w:t>
      </w:r>
      <w:r>
        <w:rPr>
          <w:sz w:val="18"/>
        </w:rPr>
        <w:t>para.</w:t>
      </w:r>
      <w:r>
        <w:rPr>
          <w:spacing w:val="-3"/>
          <w:sz w:val="18"/>
        </w:rPr>
        <w:t xml:space="preserve"> </w:t>
      </w:r>
      <w:r>
        <w:rPr>
          <w:sz w:val="18"/>
        </w:rPr>
        <w:t xml:space="preserve">7.380. </w:t>
      </w:r>
      <w:r>
        <w:rPr>
          <w:sz w:val="18"/>
          <w:vertAlign w:val="superscript"/>
        </w:rPr>
        <w:t>981</w:t>
      </w:r>
      <w:r>
        <w:rPr>
          <w:spacing w:val="-3"/>
          <w:sz w:val="18"/>
        </w:rPr>
        <w:t xml:space="preserve"> </w:t>
      </w:r>
      <w:r>
        <w:rPr>
          <w:sz w:val="18"/>
        </w:rPr>
        <w:t>Panel</w:t>
      </w:r>
      <w:r>
        <w:rPr>
          <w:spacing w:val="-4"/>
          <w:sz w:val="18"/>
        </w:rPr>
        <w:t xml:space="preserve"> </w:t>
      </w:r>
      <w:r>
        <w:rPr>
          <w:sz w:val="18"/>
        </w:rPr>
        <w:t>Report,</w:t>
      </w:r>
      <w:r>
        <w:rPr>
          <w:spacing w:val="-3"/>
          <w:sz w:val="18"/>
        </w:rPr>
        <w:t xml:space="preserve"> </w:t>
      </w:r>
      <w:r>
        <w:rPr>
          <w:i/>
          <w:sz w:val="18"/>
        </w:rPr>
        <w:t>Mexico</w:t>
      </w:r>
      <w:r>
        <w:rPr>
          <w:i/>
          <w:spacing w:val="-3"/>
          <w:sz w:val="18"/>
        </w:rPr>
        <w:t xml:space="preserve"> </w:t>
      </w:r>
      <w:r>
        <w:rPr>
          <w:i/>
          <w:sz w:val="18"/>
        </w:rPr>
        <w:t>–</w:t>
      </w:r>
      <w:r>
        <w:rPr>
          <w:i/>
          <w:spacing w:val="-3"/>
          <w:sz w:val="18"/>
        </w:rPr>
        <w:t xml:space="preserve"> </w:t>
      </w:r>
      <w:r>
        <w:rPr>
          <w:i/>
          <w:sz w:val="18"/>
        </w:rPr>
        <w:t>Steel</w:t>
      </w:r>
      <w:r>
        <w:rPr>
          <w:i/>
          <w:spacing w:val="-4"/>
          <w:sz w:val="18"/>
        </w:rPr>
        <w:t xml:space="preserve"> </w:t>
      </w:r>
      <w:r>
        <w:rPr>
          <w:i/>
          <w:sz w:val="18"/>
        </w:rPr>
        <w:t>Pipes</w:t>
      </w:r>
      <w:r>
        <w:rPr>
          <w:i/>
          <w:spacing w:val="-4"/>
          <w:sz w:val="18"/>
        </w:rPr>
        <w:t xml:space="preserve"> </w:t>
      </w:r>
      <w:r>
        <w:rPr>
          <w:i/>
          <w:sz w:val="18"/>
        </w:rPr>
        <w:t>and</w:t>
      </w:r>
      <w:r>
        <w:rPr>
          <w:i/>
          <w:spacing w:val="-4"/>
          <w:sz w:val="18"/>
        </w:rPr>
        <w:t xml:space="preserve"> </w:t>
      </w:r>
      <w:r>
        <w:rPr>
          <w:i/>
          <w:sz w:val="18"/>
        </w:rPr>
        <w:t>Tubes</w:t>
      </w:r>
      <w:r>
        <w:rPr>
          <w:sz w:val="18"/>
        </w:rPr>
        <w:t>,</w:t>
      </w:r>
      <w:r>
        <w:rPr>
          <w:spacing w:val="-4"/>
          <w:sz w:val="18"/>
        </w:rPr>
        <w:t xml:space="preserve"> </w:t>
      </w:r>
      <w:r>
        <w:rPr>
          <w:sz w:val="18"/>
        </w:rPr>
        <w:t>para.</w:t>
      </w:r>
      <w:r>
        <w:rPr>
          <w:spacing w:val="-3"/>
          <w:sz w:val="18"/>
        </w:rPr>
        <w:t xml:space="preserve"> </w:t>
      </w:r>
      <w:r>
        <w:rPr>
          <w:sz w:val="18"/>
        </w:rPr>
        <w:t xml:space="preserve">7.380. </w:t>
      </w:r>
      <w:r>
        <w:rPr>
          <w:sz w:val="18"/>
          <w:vertAlign w:val="superscript"/>
        </w:rPr>
        <w:t>982</w:t>
      </w:r>
      <w:r>
        <w:rPr>
          <w:spacing w:val="-6"/>
          <w:sz w:val="18"/>
        </w:rPr>
        <w:t xml:space="preserve"> </w:t>
      </w:r>
      <w:r>
        <w:rPr>
          <w:sz w:val="18"/>
        </w:rPr>
        <w:t>Appellate</w:t>
      </w:r>
      <w:r>
        <w:rPr>
          <w:spacing w:val="-6"/>
          <w:sz w:val="18"/>
        </w:rPr>
        <w:t xml:space="preserve"> </w:t>
      </w:r>
      <w:r>
        <w:rPr>
          <w:sz w:val="18"/>
        </w:rPr>
        <w:t>Body</w:t>
      </w:r>
      <w:r>
        <w:rPr>
          <w:spacing w:val="-7"/>
          <w:sz w:val="18"/>
        </w:rPr>
        <w:t xml:space="preserve"> </w:t>
      </w:r>
      <w:r>
        <w:rPr>
          <w:sz w:val="18"/>
        </w:rPr>
        <w:t>Report,</w:t>
      </w:r>
      <w:r>
        <w:rPr>
          <w:spacing w:val="-6"/>
          <w:sz w:val="18"/>
        </w:rPr>
        <w:t xml:space="preserve"> </w:t>
      </w:r>
      <w:r>
        <w:rPr>
          <w:i/>
          <w:sz w:val="18"/>
        </w:rPr>
        <w:t>EC</w:t>
      </w:r>
      <w:r>
        <w:rPr>
          <w:i/>
          <w:spacing w:val="-7"/>
          <w:sz w:val="18"/>
        </w:rPr>
        <w:t xml:space="preserve"> </w:t>
      </w:r>
      <w:r>
        <w:rPr>
          <w:i/>
          <w:sz w:val="18"/>
        </w:rPr>
        <w:t>–</w:t>
      </w:r>
      <w:r>
        <w:rPr>
          <w:i/>
          <w:spacing w:val="-5"/>
          <w:sz w:val="18"/>
        </w:rPr>
        <w:t xml:space="preserve"> </w:t>
      </w:r>
      <w:r>
        <w:rPr>
          <w:i/>
          <w:sz w:val="18"/>
        </w:rPr>
        <w:t>Fasteners</w:t>
      </w:r>
      <w:r>
        <w:rPr>
          <w:i/>
          <w:spacing w:val="-6"/>
          <w:sz w:val="18"/>
        </w:rPr>
        <w:t xml:space="preserve"> </w:t>
      </w:r>
      <w:r>
        <w:rPr>
          <w:i/>
          <w:sz w:val="18"/>
        </w:rPr>
        <w:t>(China)</w:t>
      </w:r>
      <w:r>
        <w:rPr>
          <w:sz w:val="18"/>
        </w:rPr>
        <w:t>,</w:t>
      </w:r>
      <w:r>
        <w:rPr>
          <w:spacing w:val="-7"/>
          <w:sz w:val="18"/>
        </w:rPr>
        <w:t xml:space="preserve"> </w:t>
      </w:r>
      <w:r>
        <w:rPr>
          <w:sz w:val="18"/>
        </w:rPr>
        <w:t>paras.</w:t>
      </w:r>
      <w:r>
        <w:rPr>
          <w:spacing w:val="-5"/>
          <w:sz w:val="18"/>
        </w:rPr>
        <w:t xml:space="preserve"> </w:t>
      </w:r>
      <w:r>
        <w:rPr>
          <w:spacing w:val="-4"/>
          <w:sz w:val="18"/>
        </w:rPr>
        <w:t>537.</w:t>
      </w:r>
    </w:p>
    <w:p w14:paraId="51DE963E" w14:textId="77777777" w:rsidR="0010369C" w:rsidRDefault="0010369C">
      <w:pPr>
        <w:jc w:val="both"/>
        <w:rPr>
          <w:sz w:val="18"/>
        </w:rPr>
        <w:sectPr w:rsidR="0010369C">
          <w:pgSz w:w="11910" w:h="16840"/>
          <w:pgMar w:top="880" w:right="800" w:bottom="980" w:left="1180" w:header="569" w:footer="788" w:gutter="0"/>
          <w:cols w:space="720"/>
        </w:sectPr>
      </w:pPr>
    </w:p>
    <w:p w14:paraId="51DE963F" w14:textId="77777777" w:rsidR="0010369C" w:rsidRDefault="008E43AE">
      <w:pPr>
        <w:tabs>
          <w:tab w:val="left" w:pos="6426"/>
        </w:tabs>
        <w:ind w:left="238"/>
        <w:rPr>
          <w:sz w:val="20"/>
        </w:rPr>
      </w:pPr>
      <w:r>
        <w:rPr>
          <w:i/>
          <w:sz w:val="20"/>
        </w:rPr>
        <w:lastRenderedPageBreak/>
        <w:t>China</w:t>
      </w:r>
      <w:r>
        <w:rPr>
          <w:i/>
          <w:spacing w:val="-5"/>
          <w:sz w:val="20"/>
        </w:rPr>
        <w:t xml:space="preserve"> </w:t>
      </w:r>
      <w:r>
        <w:rPr>
          <w:i/>
          <w:sz w:val="20"/>
        </w:rPr>
        <w:t>–</w:t>
      </w:r>
      <w:r>
        <w:rPr>
          <w:i/>
          <w:spacing w:val="-5"/>
          <w:sz w:val="20"/>
        </w:rPr>
        <w:t xml:space="preserve"> </w:t>
      </w:r>
      <w:r>
        <w:rPr>
          <w:i/>
          <w:sz w:val="20"/>
        </w:rPr>
        <w:t>Anti‐Dumping</w:t>
      </w:r>
      <w:r>
        <w:rPr>
          <w:i/>
          <w:spacing w:val="-4"/>
          <w:sz w:val="20"/>
        </w:rPr>
        <w:t xml:space="preserve"> </w:t>
      </w:r>
      <w:r>
        <w:rPr>
          <w:i/>
          <w:sz w:val="20"/>
        </w:rPr>
        <w:t>and</w:t>
      </w:r>
      <w:r>
        <w:rPr>
          <w:i/>
          <w:spacing w:val="-5"/>
          <w:sz w:val="20"/>
        </w:rPr>
        <w:t xml:space="preserve"> </w:t>
      </w:r>
      <w:r>
        <w:rPr>
          <w:i/>
          <w:sz w:val="20"/>
        </w:rPr>
        <w:t>Countervailing</w:t>
      </w:r>
      <w:r>
        <w:rPr>
          <w:i/>
          <w:spacing w:val="-5"/>
          <w:sz w:val="20"/>
        </w:rPr>
        <w:t xml:space="preserve"> </w:t>
      </w:r>
      <w:r>
        <w:rPr>
          <w:i/>
          <w:sz w:val="20"/>
        </w:rPr>
        <w:t>Duty</w:t>
      </w:r>
      <w:r>
        <w:rPr>
          <w:i/>
          <w:spacing w:val="-4"/>
          <w:sz w:val="20"/>
        </w:rPr>
        <w:t xml:space="preserve"> </w:t>
      </w:r>
      <w:r>
        <w:rPr>
          <w:i/>
          <w:spacing w:val="-2"/>
          <w:sz w:val="20"/>
        </w:rPr>
        <w:t>Measures</w:t>
      </w:r>
      <w:r>
        <w:rPr>
          <w:i/>
          <w:sz w:val="20"/>
        </w:rPr>
        <w:tab/>
      </w:r>
      <w:r>
        <w:rPr>
          <w:sz w:val="20"/>
        </w:rPr>
        <w:t>Australia's</w:t>
      </w:r>
      <w:r>
        <w:rPr>
          <w:spacing w:val="-7"/>
          <w:sz w:val="20"/>
        </w:rPr>
        <w:t xml:space="preserve"> </w:t>
      </w:r>
      <w:r>
        <w:rPr>
          <w:sz w:val="20"/>
        </w:rPr>
        <w:t>First</w:t>
      </w:r>
      <w:r>
        <w:rPr>
          <w:spacing w:val="-2"/>
          <w:sz w:val="20"/>
        </w:rPr>
        <w:t xml:space="preserve"> </w:t>
      </w:r>
      <w:r>
        <w:rPr>
          <w:sz w:val="20"/>
        </w:rPr>
        <w:t>Written</w:t>
      </w:r>
      <w:r>
        <w:rPr>
          <w:spacing w:val="-2"/>
          <w:sz w:val="20"/>
        </w:rPr>
        <w:t xml:space="preserve"> Submission</w:t>
      </w:r>
    </w:p>
    <w:p w14:paraId="51DE9640" w14:textId="77777777" w:rsidR="0010369C" w:rsidRDefault="008E43AE">
      <w:pPr>
        <w:tabs>
          <w:tab w:val="left" w:pos="8228"/>
        </w:tabs>
        <w:spacing w:before="1"/>
        <w:ind w:left="239"/>
        <w:rPr>
          <w:sz w:val="20"/>
        </w:rPr>
      </w:pPr>
      <w:r>
        <w:rPr>
          <w:i/>
          <w:sz w:val="20"/>
        </w:rPr>
        <w:t>on</w:t>
      </w:r>
      <w:r>
        <w:rPr>
          <w:i/>
          <w:spacing w:val="-1"/>
          <w:sz w:val="20"/>
        </w:rPr>
        <w:t xml:space="preserve"> </w:t>
      </w:r>
      <w:r>
        <w:rPr>
          <w:i/>
          <w:sz w:val="20"/>
        </w:rPr>
        <w:t>Wine</w:t>
      </w:r>
      <w:r>
        <w:rPr>
          <w:i/>
          <w:spacing w:val="-1"/>
          <w:sz w:val="20"/>
        </w:rPr>
        <w:t xml:space="preserve"> </w:t>
      </w:r>
      <w:r>
        <w:rPr>
          <w:i/>
          <w:sz w:val="20"/>
        </w:rPr>
        <w:t>from</w:t>
      </w:r>
      <w:r>
        <w:rPr>
          <w:i/>
          <w:spacing w:val="-3"/>
          <w:sz w:val="20"/>
        </w:rPr>
        <w:t xml:space="preserve"> </w:t>
      </w:r>
      <w:r>
        <w:rPr>
          <w:i/>
          <w:sz w:val="20"/>
        </w:rPr>
        <w:t>Australia</w:t>
      </w:r>
      <w:r>
        <w:rPr>
          <w:i/>
          <w:spacing w:val="-1"/>
          <w:sz w:val="20"/>
        </w:rPr>
        <w:t xml:space="preserve"> </w:t>
      </w:r>
      <w:r>
        <w:rPr>
          <w:spacing w:val="-2"/>
          <w:sz w:val="20"/>
        </w:rPr>
        <w:t>(DS602)</w:t>
      </w:r>
      <w:r>
        <w:rPr>
          <w:sz w:val="20"/>
        </w:rPr>
        <w:tab/>
        <w:t>29</w:t>
      </w:r>
      <w:r>
        <w:rPr>
          <w:spacing w:val="-1"/>
          <w:sz w:val="20"/>
        </w:rPr>
        <w:t xml:space="preserve"> </w:t>
      </w:r>
      <w:r>
        <w:rPr>
          <w:sz w:val="20"/>
        </w:rPr>
        <w:t>April</w:t>
      </w:r>
      <w:r>
        <w:rPr>
          <w:spacing w:val="-2"/>
          <w:sz w:val="20"/>
        </w:rPr>
        <w:t xml:space="preserve"> </w:t>
      </w:r>
      <w:r>
        <w:rPr>
          <w:spacing w:val="-4"/>
          <w:sz w:val="20"/>
        </w:rPr>
        <w:t>2022</w:t>
      </w:r>
    </w:p>
    <w:p w14:paraId="51DE9641" w14:textId="77777777" w:rsidR="0010369C" w:rsidRDefault="008E43AE">
      <w:pPr>
        <w:pStyle w:val="BodyText"/>
        <w:spacing w:before="34" w:line="360" w:lineRule="auto"/>
        <w:ind w:left="238" w:right="611"/>
      </w:pPr>
      <w:r>
        <w:t>from</w:t>
      </w:r>
      <w:r>
        <w:rPr>
          <w:spacing w:val="-14"/>
        </w:rPr>
        <w:t xml:space="preserve"> </w:t>
      </w:r>
      <w:r>
        <w:t>the</w:t>
      </w:r>
      <w:r>
        <w:rPr>
          <w:spacing w:val="-14"/>
        </w:rPr>
        <w:t xml:space="preserve"> </w:t>
      </w:r>
      <w:r>
        <w:t>disclosure</w:t>
      </w:r>
      <w:r>
        <w:rPr>
          <w:spacing w:val="-13"/>
        </w:rPr>
        <w:t xml:space="preserve"> </w:t>
      </w:r>
      <w:r>
        <w:t>of</w:t>
      </w:r>
      <w:r>
        <w:rPr>
          <w:spacing w:val="-14"/>
        </w:rPr>
        <w:t xml:space="preserve"> </w:t>
      </w:r>
      <w:r>
        <w:t>the</w:t>
      </w:r>
      <w:r>
        <w:rPr>
          <w:spacing w:val="-13"/>
        </w:rPr>
        <w:t xml:space="preserve"> </w:t>
      </w:r>
      <w:r>
        <w:t>information,</w:t>
      </w:r>
      <w:r>
        <w:rPr>
          <w:spacing w:val="-14"/>
        </w:rPr>
        <w:t xml:space="preserve"> </w:t>
      </w:r>
      <w:r>
        <w:t>the</w:t>
      </w:r>
      <w:r>
        <w:rPr>
          <w:spacing w:val="-13"/>
        </w:rPr>
        <w:t xml:space="preserve"> </w:t>
      </w:r>
      <w:r>
        <w:t>avoidance</w:t>
      </w:r>
      <w:r>
        <w:rPr>
          <w:spacing w:val="-14"/>
        </w:rPr>
        <w:t xml:space="preserve"> </w:t>
      </w:r>
      <w:r>
        <w:t>of</w:t>
      </w:r>
      <w:r>
        <w:rPr>
          <w:spacing w:val="-14"/>
        </w:rPr>
        <w:t xml:space="preserve"> </w:t>
      </w:r>
      <w:r>
        <w:t>which</w:t>
      </w:r>
      <w:r>
        <w:rPr>
          <w:spacing w:val="-13"/>
        </w:rPr>
        <w:t xml:space="preserve"> </w:t>
      </w:r>
      <w:r>
        <w:t>is</w:t>
      </w:r>
      <w:r>
        <w:rPr>
          <w:spacing w:val="-14"/>
        </w:rPr>
        <w:t xml:space="preserve"> </w:t>
      </w:r>
      <w:r>
        <w:t>important</w:t>
      </w:r>
      <w:r>
        <w:rPr>
          <w:spacing w:val="-13"/>
        </w:rPr>
        <w:t xml:space="preserve"> </w:t>
      </w:r>
      <w:r>
        <w:t>enough</w:t>
      </w:r>
      <w:r>
        <w:rPr>
          <w:spacing w:val="-14"/>
        </w:rPr>
        <w:t xml:space="preserve"> </w:t>
      </w:r>
      <w:r>
        <w:t>to</w:t>
      </w:r>
      <w:r>
        <w:rPr>
          <w:spacing w:val="-13"/>
        </w:rPr>
        <w:t xml:space="preserve"> </w:t>
      </w:r>
      <w:r>
        <w:t>warrant the non‐disclosure of the information.</w:t>
      </w:r>
      <w:r>
        <w:rPr>
          <w:vertAlign w:val="superscript"/>
        </w:rPr>
        <w:t>983</w:t>
      </w:r>
    </w:p>
    <w:p w14:paraId="51DE9642" w14:textId="77777777" w:rsidR="0010369C" w:rsidRDefault="0010369C">
      <w:pPr>
        <w:pStyle w:val="BodyText"/>
        <w:spacing w:before="11"/>
        <w:rPr>
          <w:sz w:val="8"/>
        </w:rPr>
      </w:pPr>
    </w:p>
    <w:p w14:paraId="51DE9643" w14:textId="77777777" w:rsidR="0010369C" w:rsidRDefault="008E43AE">
      <w:pPr>
        <w:pStyle w:val="BodyText"/>
        <w:spacing w:before="52"/>
        <w:ind w:left="1089"/>
        <w:jc w:val="both"/>
      </w:pPr>
      <w:r>
        <w:rPr>
          <w:noProof/>
        </w:rPr>
        <w:drawing>
          <wp:anchor distT="0" distB="0" distL="0" distR="0" simplePos="0" relativeHeight="250689024" behindDoc="0" locked="0" layoutInCell="1" allowOverlap="1" wp14:anchorId="51DEA6F3" wp14:editId="51DEA6F4">
            <wp:simplePos x="0" y="0"/>
            <wp:positionH relativeFrom="page">
              <wp:posOffset>902208</wp:posOffset>
            </wp:positionH>
            <wp:positionV relativeFrom="paragraph">
              <wp:posOffset>81949</wp:posOffset>
            </wp:positionV>
            <wp:extent cx="262127" cy="100753"/>
            <wp:effectExtent l="0" t="0" r="0" b="0"/>
            <wp:wrapNone/>
            <wp:docPr id="1625" name="image8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 name="image840.png"/>
                    <pic:cNvPicPr/>
                  </pic:nvPicPr>
                  <pic:blipFill>
                    <a:blip r:embed="rId1099" cstate="print"/>
                    <a:stretch>
                      <a:fillRect/>
                    </a:stretch>
                  </pic:blipFill>
                  <pic:spPr>
                    <a:xfrm>
                      <a:off x="0" y="0"/>
                      <a:ext cx="262127" cy="100753"/>
                    </a:xfrm>
                    <a:prstGeom prst="rect">
                      <a:avLst/>
                    </a:prstGeom>
                  </pic:spPr>
                </pic:pic>
              </a:graphicData>
            </a:graphic>
          </wp:anchor>
        </w:drawing>
      </w:r>
      <w:r>
        <w:t>The</w:t>
      </w:r>
      <w:r>
        <w:rPr>
          <w:spacing w:val="-9"/>
        </w:rPr>
        <w:t xml:space="preserve"> </w:t>
      </w:r>
      <w:r>
        <w:t>Appellate</w:t>
      </w:r>
      <w:r>
        <w:rPr>
          <w:spacing w:val="-9"/>
        </w:rPr>
        <w:t xml:space="preserve"> </w:t>
      </w:r>
      <w:r>
        <w:t>Body</w:t>
      </w:r>
      <w:r>
        <w:rPr>
          <w:spacing w:val="-8"/>
        </w:rPr>
        <w:t xml:space="preserve"> </w:t>
      </w:r>
      <w:r>
        <w:t>has</w:t>
      </w:r>
      <w:r>
        <w:rPr>
          <w:spacing w:val="-10"/>
        </w:rPr>
        <w:t xml:space="preserve"> </w:t>
      </w:r>
      <w:r>
        <w:t>also</w:t>
      </w:r>
      <w:r>
        <w:rPr>
          <w:spacing w:val="-8"/>
        </w:rPr>
        <w:t xml:space="preserve"> </w:t>
      </w:r>
      <w:r>
        <w:t>explained</w:t>
      </w:r>
      <w:r>
        <w:rPr>
          <w:spacing w:val="-9"/>
        </w:rPr>
        <w:t xml:space="preserve"> </w:t>
      </w:r>
      <w:r>
        <w:rPr>
          <w:spacing w:val="-2"/>
        </w:rPr>
        <w:t>that:</w:t>
      </w:r>
    </w:p>
    <w:p w14:paraId="51DE9644" w14:textId="77777777" w:rsidR="0010369C" w:rsidRDefault="0010369C">
      <w:pPr>
        <w:pStyle w:val="BodyText"/>
        <w:spacing w:before="1"/>
        <w:rPr>
          <w:sz w:val="25"/>
        </w:rPr>
      </w:pPr>
    </w:p>
    <w:p w14:paraId="51DE9645" w14:textId="77777777" w:rsidR="0010369C" w:rsidRDefault="008E43AE">
      <w:pPr>
        <w:spacing w:before="1" w:line="276" w:lineRule="auto"/>
        <w:ind w:left="1088" w:right="612"/>
        <w:jc w:val="both"/>
      </w:pPr>
      <w:r>
        <w:t>The treatment</w:t>
      </w:r>
      <w:r>
        <w:rPr>
          <w:spacing w:val="-1"/>
        </w:rPr>
        <w:t xml:space="preserve"> </w:t>
      </w:r>
      <w:r>
        <w:t>of information as confidential is, therefore, the legal</w:t>
      </w:r>
      <w:r>
        <w:rPr>
          <w:spacing w:val="-1"/>
        </w:rPr>
        <w:t xml:space="preserve"> </w:t>
      </w:r>
      <w:r>
        <w:t>consequence that flows from the establishment of good cause, as determined pursuant to an objective assessment by</w:t>
      </w:r>
      <w:r>
        <w:rPr>
          <w:spacing w:val="-9"/>
        </w:rPr>
        <w:t xml:space="preserve"> </w:t>
      </w:r>
      <w:r>
        <w:t>the</w:t>
      </w:r>
      <w:r>
        <w:rPr>
          <w:spacing w:val="-9"/>
        </w:rPr>
        <w:t xml:space="preserve"> </w:t>
      </w:r>
      <w:r>
        <w:t>authority</w:t>
      </w:r>
      <w:r>
        <w:rPr>
          <w:spacing w:val="-9"/>
        </w:rPr>
        <w:t xml:space="preserve"> </w:t>
      </w:r>
      <w:r>
        <w:t>reviewing</w:t>
      </w:r>
      <w:r>
        <w:rPr>
          <w:spacing w:val="-9"/>
        </w:rPr>
        <w:t xml:space="preserve"> </w:t>
      </w:r>
      <w:r>
        <w:t>a</w:t>
      </w:r>
      <w:r>
        <w:rPr>
          <w:spacing w:val="-9"/>
        </w:rPr>
        <w:t xml:space="preserve"> </w:t>
      </w:r>
      <w:r>
        <w:t>party's</w:t>
      </w:r>
      <w:r>
        <w:rPr>
          <w:spacing w:val="-8"/>
        </w:rPr>
        <w:t xml:space="preserve"> </w:t>
      </w:r>
      <w:r>
        <w:t>request</w:t>
      </w:r>
      <w:r>
        <w:rPr>
          <w:spacing w:val="-10"/>
        </w:rPr>
        <w:t xml:space="preserve"> </w:t>
      </w:r>
      <w:r>
        <w:t>for</w:t>
      </w:r>
      <w:r>
        <w:rPr>
          <w:spacing w:val="-9"/>
        </w:rPr>
        <w:t xml:space="preserve"> </w:t>
      </w:r>
      <w:r>
        <w:t>the</w:t>
      </w:r>
      <w:r>
        <w:rPr>
          <w:spacing w:val="-9"/>
        </w:rPr>
        <w:t xml:space="preserve"> </w:t>
      </w:r>
      <w:r>
        <w:t>confidential</w:t>
      </w:r>
      <w:r>
        <w:rPr>
          <w:spacing w:val="-9"/>
        </w:rPr>
        <w:t xml:space="preserve"> </w:t>
      </w:r>
      <w:r>
        <w:t>treatment</w:t>
      </w:r>
      <w:r>
        <w:rPr>
          <w:spacing w:val="-9"/>
        </w:rPr>
        <w:t xml:space="preserve"> </w:t>
      </w:r>
      <w:r>
        <w:t>of</w:t>
      </w:r>
      <w:r>
        <w:rPr>
          <w:spacing w:val="-9"/>
        </w:rPr>
        <w:t xml:space="preserve"> </w:t>
      </w:r>
      <w:r>
        <w:t>its</w:t>
      </w:r>
      <w:r>
        <w:rPr>
          <w:spacing w:val="-8"/>
        </w:rPr>
        <w:t xml:space="preserve"> </w:t>
      </w:r>
      <w:r>
        <w:t>information. Hence, in the absence of good cause being shown by the party submitting information, as determined pursuant to an objective assessment by the</w:t>
      </w:r>
      <w:r>
        <w:rPr>
          <w:spacing w:val="-1"/>
        </w:rPr>
        <w:t xml:space="preserve"> </w:t>
      </w:r>
      <w:r>
        <w:t>authority, there</w:t>
      </w:r>
      <w:r>
        <w:rPr>
          <w:spacing w:val="-1"/>
        </w:rPr>
        <w:t xml:space="preserve"> </w:t>
      </w:r>
      <w:r>
        <w:t>is no legal</w:t>
      </w:r>
      <w:r>
        <w:rPr>
          <w:spacing w:val="-1"/>
        </w:rPr>
        <w:t xml:space="preserve"> </w:t>
      </w:r>
      <w:r>
        <w:t>basis for the authority to accord confidential treatment to that informa</w:t>
      </w:r>
      <w:r>
        <w:t>tion.</w:t>
      </w:r>
      <w:r>
        <w:rPr>
          <w:vertAlign w:val="superscript"/>
        </w:rPr>
        <w:t>984</w:t>
      </w:r>
    </w:p>
    <w:p w14:paraId="51DE9646" w14:textId="77777777" w:rsidR="0010369C" w:rsidRDefault="0010369C">
      <w:pPr>
        <w:pStyle w:val="BodyText"/>
        <w:spacing w:before="4"/>
        <w:rPr>
          <w:sz w:val="15"/>
        </w:rPr>
      </w:pPr>
    </w:p>
    <w:p w14:paraId="51DE9647" w14:textId="77777777" w:rsidR="0010369C" w:rsidRDefault="008E43AE">
      <w:pPr>
        <w:pStyle w:val="BodyText"/>
        <w:spacing w:before="51" w:line="360" w:lineRule="auto"/>
        <w:ind w:left="237" w:right="612" w:firstLine="851"/>
        <w:jc w:val="both"/>
      </w:pPr>
      <w:r>
        <w:rPr>
          <w:noProof/>
        </w:rPr>
        <w:drawing>
          <wp:anchor distT="0" distB="0" distL="0" distR="0" simplePos="0" relativeHeight="251431424" behindDoc="1" locked="0" layoutInCell="1" allowOverlap="1" wp14:anchorId="51DEA6F5" wp14:editId="51DEA6F6">
            <wp:simplePos x="0" y="0"/>
            <wp:positionH relativeFrom="page">
              <wp:posOffset>902208</wp:posOffset>
            </wp:positionH>
            <wp:positionV relativeFrom="paragraph">
              <wp:posOffset>76150</wp:posOffset>
            </wp:positionV>
            <wp:extent cx="262127" cy="106679"/>
            <wp:effectExtent l="0" t="0" r="0" b="0"/>
            <wp:wrapNone/>
            <wp:docPr id="1627" name="image8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 name="image841.png"/>
                    <pic:cNvPicPr/>
                  </pic:nvPicPr>
                  <pic:blipFill>
                    <a:blip r:embed="rId1100" cstate="print"/>
                    <a:stretch>
                      <a:fillRect/>
                    </a:stretch>
                  </pic:blipFill>
                  <pic:spPr>
                    <a:xfrm>
                      <a:off x="0" y="0"/>
                      <a:ext cx="262127" cy="106679"/>
                    </a:xfrm>
                    <a:prstGeom prst="rect">
                      <a:avLst/>
                    </a:prstGeom>
                  </pic:spPr>
                </pic:pic>
              </a:graphicData>
            </a:graphic>
          </wp:anchor>
        </w:drawing>
      </w:r>
      <w:r>
        <w:t>An</w:t>
      </w:r>
      <w:r>
        <w:rPr>
          <w:spacing w:val="-2"/>
        </w:rPr>
        <w:t xml:space="preserve"> </w:t>
      </w:r>
      <w:r>
        <w:t>investigating authority</w:t>
      </w:r>
      <w:r>
        <w:rPr>
          <w:spacing w:val="-1"/>
        </w:rPr>
        <w:t xml:space="preserve"> </w:t>
      </w:r>
      <w:r>
        <w:t>must</w:t>
      </w:r>
      <w:r>
        <w:rPr>
          <w:spacing w:val="-1"/>
        </w:rPr>
        <w:t xml:space="preserve"> </w:t>
      </w:r>
      <w:r>
        <w:t>objectively assess</w:t>
      </w:r>
      <w:r>
        <w:rPr>
          <w:spacing w:val="-1"/>
        </w:rPr>
        <w:t xml:space="preserve"> </w:t>
      </w:r>
      <w:r>
        <w:t>and determine whether</w:t>
      </w:r>
      <w:r>
        <w:rPr>
          <w:spacing w:val="-1"/>
        </w:rPr>
        <w:t xml:space="preserve"> </w:t>
      </w:r>
      <w:r>
        <w:t>a</w:t>
      </w:r>
      <w:r>
        <w:rPr>
          <w:spacing w:val="-1"/>
        </w:rPr>
        <w:t xml:space="preserve"> </w:t>
      </w:r>
      <w:r>
        <w:t>request for</w:t>
      </w:r>
      <w:r>
        <w:rPr>
          <w:spacing w:val="-5"/>
        </w:rPr>
        <w:t xml:space="preserve"> </w:t>
      </w:r>
      <w:r>
        <w:t>confidential</w:t>
      </w:r>
      <w:r>
        <w:rPr>
          <w:spacing w:val="-4"/>
        </w:rPr>
        <w:t xml:space="preserve"> </w:t>
      </w:r>
      <w:r>
        <w:t>treatment</w:t>
      </w:r>
      <w:r>
        <w:rPr>
          <w:spacing w:val="-5"/>
        </w:rPr>
        <w:t xml:space="preserve"> </w:t>
      </w:r>
      <w:r>
        <w:t>has</w:t>
      </w:r>
      <w:r>
        <w:rPr>
          <w:spacing w:val="-5"/>
        </w:rPr>
        <w:t xml:space="preserve"> </w:t>
      </w:r>
      <w:r>
        <w:t>shown</w:t>
      </w:r>
      <w:r>
        <w:rPr>
          <w:spacing w:val="-5"/>
        </w:rPr>
        <w:t xml:space="preserve"> </w:t>
      </w:r>
      <w:r>
        <w:t>"good</w:t>
      </w:r>
      <w:r>
        <w:rPr>
          <w:spacing w:val="-7"/>
        </w:rPr>
        <w:t xml:space="preserve"> </w:t>
      </w:r>
      <w:r>
        <w:t>cause".</w:t>
      </w:r>
      <w:r>
        <w:rPr>
          <w:spacing w:val="-5"/>
        </w:rPr>
        <w:t xml:space="preserve"> </w:t>
      </w:r>
      <w:r>
        <w:t>It</w:t>
      </w:r>
      <w:r>
        <w:rPr>
          <w:spacing w:val="-5"/>
        </w:rPr>
        <w:t xml:space="preserve"> </w:t>
      </w:r>
      <w:r>
        <w:t>cannot</w:t>
      </w:r>
      <w:r>
        <w:rPr>
          <w:spacing w:val="-5"/>
        </w:rPr>
        <w:t xml:space="preserve"> </w:t>
      </w:r>
      <w:r>
        <w:t>be</w:t>
      </w:r>
      <w:r>
        <w:rPr>
          <w:spacing w:val="-5"/>
        </w:rPr>
        <w:t xml:space="preserve"> </w:t>
      </w:r>
      <w:r>
        <w:t>established</w:t>
      </w:r>
      <w:r>
        <w:rPr>
          <w:spacing w:val="-6"/>
        </w:rPr>
        <w:t xml:space="preserve"> </w:t>
      </w:r>
      <w:r>
        <w:t>merely</w:t>
      </w:r>
      <w:r>
        <w:rPr>
          <w:spacing w:val="-6"/>
        </w:rPr>
        <w:t xml:space="preserve"> </w:t>
      </w:r>
      <w:r>
        <w:t>based</w:t>
      </w:r>
      <w:r>
        <w:rPr>
          <w:spacing w:val="-5"/>
        </w:rPr>
        <w:t xml:space="preserve"> </w:t>
      </w:r>
      <w:r>
        <w:t>on the</w:t>
      </w:r>
      <w:r>
        <w:rPr>
          <w:spacing w:val="-2"/>
        </w:rPr>
        <w:t xml:space="preserve"> </w:t>
      </w:r>
      <w:r>
        <w:t>subjective</w:t>
      </w:r>
      <w:r>
        <w:rPr>
          <w:spacing w:val="-1"/>
        </w:rPr>
        <w:t xml:space="preserve"> </w:t>
      </w:r>
      <w:r>
        <w:t>concerns</w:t>
      </w:r>
      <w:r>
        <w:rPr>
          <w:spacing w:val="-4"/>
        </w:rPr>
        <w:t xml:space="preserve"> </w:t>
      </w:r>
      <w:r>
        <w:t>of</w:t>
      </w:r>
      <w:r>
        <w:rPr>
          <w:spacing w:val="-3"/>
        </w:rPr>
        <w:t xml:space="preserve"> </w:t>
      </w:r>
      <w:r>
        <w:t>the</w:t>
      </w:r>
      <w:r>
        <w:rPr>
          <w:spacing w:val="-2"/>
        </w:rPr>
        <w:t xml:space="preserve"> </w:t>
      </w:r>
      <w:r>
        <w:t>submitting</w:t>
      </w:r>
      <w:r>
        <w:rPr>
          <w:spacing w:val="-2"/>
        </w:rPr>
        <w:t xml:space="preserve"> </w:t>
      </w:r>
      <w:r>
        <w:t>party.</w:t>
      </w:r>
      <w:r>
        <w:rPr>
          <w:vertAlign w:val="superscript"/>
        </w:rPr>
        <w:t>985</w:t>
      </w:r>
      <w:r>
        <w:rPr>
          <w:spacing w:val="-3"/>
        </w:rPr>
        <w:t xml:space="preserve"> </w:t>
      </w:r>
      <w:r>
        <w:t>Further,</w:t>
      </w:r>
      <w:r>
        <w:rPr>
          <w:spacing w:val="-2"/>
        </w:rPr>
        <w:t xml:space="preserve"> </w:t>
      </w:r>
      <w:r>
        <w:t>the</w:t>
      </w:r>
      <w:r>
        <w:rPr>
          <w:spacing w:val="-2"/>
        </w:rPr>
        <w:t xml:space="preserve"> </w:t>
      </w:r>
      <w:r>
        <w:t>Appellate</w:t>
      </w:r>
      <w:r>
        <w:rPr>
          <w:spacing w:val="-1"/>
        </w:rPr>
        <w:t xml:space="preserve"> </w:t>
      </w:r>
      <w:r>
        <w:t>Body</w:t>
      </w:r>
      <w:r>
        <w:rPr>
          <w:spacing w:val="-2"/>
        </w:rPr>
        <w:t xml:space="preserve"> </w:t>
      </w:r>
      <w:r>
        <w:t>has</w:t>
      </w:r>
      <w:r>
        <w:rPr>
          <w:spacing w:val="-3"/>
        </w:rPr>
        <w:t xml:space="preserve"> </w:t>
      </w:r>
      <w:r>
        <w:t xml:space="preserve">explained </w:t>
      </w:r>
      <w:r>
        <w:rPr>
          <w:spacing w:val="-2"/>
        </w:rPr>
        <w:t>that:</w:t>
      </w:r>
    </w:p>
    <w:p w14:paraId="51DE9648" w14:textId="77777777" w:rsidR="0010369C" w:rsidRDefault="008E43AE">
      <w:pPr>
        <w:spacing w:before="161" w:line="276" w:lineRule="auto"/>
        <w:ind w:left="1088" w:right="612"/>
        <w:jc w:val="both"/>
      </w:pPr>
      <w:r>
        <w:t>In practice, a party seeking confidential treatment for information must make its "good cause" showing to the investigating authority upon submission of the information. The authority must objectively assess the "good cau</w:t>
      </w:r>
      <w:r>
        <w:t>se" alleged for confidential treatment, and scrutinize the party's showing in order to determine whether the submitting party has sufficiently substantiated its request. In making its assessment, the investigating authority must</w:t>
      </w:r>
      <w:r>
        <w:rPr>
          <w:spacing w:val="-13"/>
        </w:rPr>
        <w:t xml:space="preserve"> </w:t>
      </w:r>
      <w:r>
        <w:t>seek</w:t>
      </w:r>
      <w:r>
        <w:rPr>
          <w:spacing w:val="-11"/>
        </w:rPr>
        <w:t xml:space="preserve"> </w:t>
      </w:r>
      <w:r>
        <w:t>to</w:t>
      </w:r>
      <w:r>
        <w:rPr>
          <w:spacing w:val="-11"/>
        </w:rPr>
        <w:t xml:space="preserve"> </w:t>
      </w:r>
      <w:r>
        <w:t>balance</w:t>
      </w:r>
      <w:r>
        <w:rPr>
          <w:spacing w:val="-12"/>
        </w:rPr>
        <w:t xml:space="preserve"> </w:t>
      </w:r>
      <w:r>
        <w:t>the</w:t>
      </w:r>
      <w:r>
        <w:rPr>
          <w:spacing w:val="-12"/>
        </w:rPr>
        <w:t xml:space="preserve"> </w:t>
      </w:r>
      <w:r>
        <w:t>submitt</w:t>
      </w:r>
      <w:r>
        <w:t>ing</w:t>
      </w:r>
      <w:r>
        <w:rPr>
          <w:spacing w:val="-12"/>
        </w:rPr>
        <w:t xml:space="preserve"> </w:t>
      </w:r>
      <w:r>
        <w:t>party's</w:t>
      </w:r>
      <w:r>
        <w:rPr>
          <w:spacing w:val="-12"/>
        </w:rPr>
        <w:t xml:space="preserve"> </w:t>
      </w:r>
      <w:r>
        <w:t>interest</w:t>
      </w:r>
      <w:r>
        <w:rPr>
          <w:spacing w:val="-13"/>
        </w:rPr>
        <w:t xml:space="preserve"> </w:t>
      </w:r>
      <w:r>
        <w:t>in</w:t>
      </w:r>
      <w:r>
        <w:rPr>
          <w:spacing w:val="-11"/>
        </w:rPr>
        <w:t xml:space="preserve"> </w:t>
      </w:r>
      <w:r>
        <w:t>protecting</w:t>
      </w:r>
      <w:r>
        <w:rPr>
          <w:spacing w:val="-12"/>
        </w:rPr>
        <w:t xml:space="preserve"> </w:t>
      </w:r>
      <w:r>
        <w:t>its</w:t>
      </w:r>
      <w:r>
        <w:rPr>
          <w:spacing w:val="-12"/>
        </w:rPr>
        <w:t xml:space="preserve"> </w:t>
      </w:r>
      <w:r>
        <w:t>confidential</w:t>
      </w:r>
      <w:r>
        <w:rPr>
          <w:spacing w:val="-13"/>
        </w:rPr>
        <w:t xml:space="preserve"> </w:t>
      </w:r>
      <w:r>
        <w:t>information with the prejudicial effect that the non‐disclosure of the information may have on the transparency and due process interests of other parties involved in the investigation to present their ca</w:t>
      </w:r>
      <w:r>
        <w:t>ses and defend their interests. The type of evidence and the extent of substantiation an authority must require will depend on the nature of the information at issue and the particular "good cause" alleged.</w:t>
      </w:r>
      <w:r>
        <w:rPr>
          <w:vertAlign w:val="superscript"/>
        </w:rPr>
        <w:t>986</w:t>
      </w:r>
    </w:p>
    <w:p w14:paraId="51DE9649" w14:textId="77777777" w:rsidR="0010369C" w:rsidRDefault="0010369C">
      <w:pPr>
        <w:pStyle w:val="BodyText"/>
        <w:spacing w:before="4"/>
        <w:rPr>
          <w:sz w:val="15"/>
        </w:rPr>
      </w:pPr>
    </w:p>
    <w:p w14:paraId="51DE964A" w14:textId="77777777" w:rsidR="0010369C" w:rsidRDefault="008E43AE">
      <w:pPr>
        <w:pStyle w:val="BodyText"/>
        <w:spacing w:before="52" w:line="360" w:lineRule="auto"/>
        <w:ind w:left="237" w:right="613" w:firstLine="851"/>
        <w:jc w:val="both"/>
      </w:pPr>
      <w:r>
        <w:rPr>
          <w:noProof/>
        </w:rPr>
        <w:drawing>
          <wp:anchor distT="0" distB="0" distL="0" distR="0" simplePos="0" relativeHeight="251432448" behindDoc="1" locked="0" layoutInCell="1" allowOverlap="1" wp14:anchorId="51DEA6F7" wp14:editId="51DEA6F8">
            <wp:simplePos x="0" y="0"/>
            <wp:positionH relativeFrom="page">
              <wp:posOffset>902208</wp:posOffset>
            </wp:positionH>
            <wp:positionV relativeFrom="paragraph">
              <wp:posOffset>81949</wp:posOffset>
            </wp:positionV>
            <wp:extent cx="262127" cy="100753"/>
            <wp:effectExtent l="0" t="0" r="0" b="0"/>
            <wp:wrapNone/>
            <wp:docPr id="1629" name="image8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 name="image842.png"/>
                    <pic:cNvPicPr/>
                  </pic:nvPicPr>
                  <pic:blipFill>
                    <a:blip r:embed="rId1101" cstate="print"/>
                    <a:stretch>
                      <a:fillRect/>
                    </a:stretch>
                  </pic:blipFill>
                  <pic:spPr>
                    <a:xfrm>
                      <a:off x="0" y="0"/>
                      <a:ext cx="262127" cy="100753"/>
                    </a:xfrm>
                    <a:prstGeom prst="rect">
                      <a:avLst/>
                    </a:prstGeom>
                  </pic:spPr>
                </pic:pic>
              </a:graphicData>
            </a:graphic>
          </wp:anchor>
        </w:drawing>
      </w:r>
      <w:r>
        <w:t>In reviewing whether an investigating author</w:t>
      </w:r>
      <w:r>
        <w:t>ity has objectively assessed "good cause", a panel must examine the issue on the basis of the published reports and supporting documents</w:t>
      </w:r>
      <w:r>
        <w:rPr>
          <w:spacing w:val="-9"/>
        </w:rPr>
        <w:t xml:space="preserve"> </w:t>
      </w:r>
      <w:r>
        <w:t>(if</w:t>
      </w:r>
      <w:r>
        <w:rPr>
          <w:spacing w:val="-10"/>
        </w:rPr>
        <w:t xml:space="preserve"> </w:t>
      </w:r>
      <w:r>
        <w:t>any),</w:t>
      </w:r>
      <w:r>
        <w:rPr>
          <w:spacing w:val="-10"/>
        </w:rPr>
        <w:t xml:space="preserve"> </w:t>
      </w:r>
      <w:r>
        <w:t>and</w:t>
      </w:r>
      <w:r>
        <w:rPr>
          <w:spacing w:val="-10"/>
        </w:rPr>
        <w:t xml:space="preserve"> </w:t>
      </w:r>
      <w:r>
        <w:t>in</w:t>
      </w:r>
      <w:r>
        <w:rPr>
          <w:spacing w:val="-10"/>
        </w:rPr>
        <w:t xml:space="preserve"> </w:t>
      </w:r>
      <w:r>
        <w:t>light</w:t>
      </w:r>
      <w:r>
        <w:rPr>
          <w:spacing w:val="-9"/>
        </w:rPr>
        <w:t xml:space="preserve"> </w:t>
      </w:r>
      <w:r>
        <w:t>of</w:t>
      </w:r>
      <w:r>
        <w:rPr>
          <w:spacing w:val="-10"/>
        </w:rPr>
        <w:t xml:space="preserve"> </w:t>
      </w:r>
      <w:r>
        <w:t>the</w:t>
      </w:r>
      <w:r>
        <w:rPr>
          <w:spacing w:val="-9"/>
        </w:rPr>
        <w:t xml:space="preserve"> </w:t>
      </w:r>
      <w:r>
        <w:t>nature</w:t>
      </w:r>
      <w:r>
        <w:rPr>
          <w:spacing w:val="-9"/>
        </w:rPr>
        <w:t xml:space="preserve"> </w:t>
      </w:r>
      <w:r>
        <w:t>of</w:t>
      </w:r>
      <w:r>
        <w:rPr>
          <w:spacing w:val="-10"/>
        </w:rPr>
        <w:t xml:space="preserve"> </w:t>
      </w:r>
      <w:r>
        <w:t>the</w:t>
      </w:r>
      <w:r>
        <w:rPr>
          <w:spacing w:val="-9"/>
        </w:rPr>
        <w:t xml:space="preserve"> </w:t>
      </w:r>
      <w:r>
        <w:t>information</w:t>
      </w:r>
      <w:r>
        <w:rPr>
          <w:spacing w:val="-9"/>
        </w:rPr>
        <w:t xml:space="preserve"> </w:t>
      </w:r>
      <w:r>
        <w:t>at</w:t>
      </w:r>
      <w:r>
        <w:rPr>
          <w:spacing w:val="-10"/>
        </w:rPr>
        <w:t xml:space="preserve"> </w:t>
      </w:r>
      <w:r>
        <w:t>issue</w:t>
      </w:r>
      <w:r>
        <w:rPr>
          <w:spacing w:val="-9"/>
        </w:rPr>
        <w:t xml:space="preserve"> </w:t>
      </w:r>
      <w:r>
        <w:t>and</w:t>
      </w:r>
      <w:r>
        <w:rPr>
          <w:spacing w:val="-10"/>
        </w:rPr>
        <w:t xml:space="preserve"> </w:t>
      </w:r>
      <w:r>
        <w:t>the</w:t>
      </w:r>
      <w:r>
        <w:rPr>
          <w:spacing w:val="-9"/>
        </w:rPr>
        <w:t xml:space="preserve"> </w:t>
      </w:r>
      <w:r>
        <w:t>reasons</w:t>
      </w:r>
      <w:r>
        <w:rPr>
          <w:spacing w:val="-11"/>
        </w:rPr>
        <w:t xml:space="preserve"> </w:t>
      </w:r>
      <w:r>
        <w:t>given by the submitting party for its request for confidential treatment.</w:t>
      </w:r>
      <w:r>
        <w:rPr>
          <w:vertAlign w:val="superscript"/>
        </w:rPr>
        <w:t>987</w:t>
      </w:r>
    </w:p>
    <w:p w14:paraId="51DE964B" w14:textId="77777777" w:rsidR="0010369C" w:rsidRDefault="0010369C">
      <w:pPr>
        <w:pStyle w:val="BodyText"/>
        <w:rPr>
          <w:sz w:val="20"/>
        </w:rPr>
      </w:pPr>
    </w:p>
    <w:p w14:paraId="51DE964C" w14:textId="77777777" w:rsidR="0010369C" w:rsidRDefault="0010369C">
      <w:pPr>
        <w:pStyle w:val="BodyText"/>
        <w:rPr>
          <w:sz w:val="20"/>
        </w:rPr>
      </w:pPr>
    </w:p>
    <w:p w14:paraId="51DE964D" w14:textId="77777777" w:rsidR="0010369C" w:rsidRDefault="0010369C">
      <w:pPr>
        <w:pStyle w:val="BodyText"/>
        <w:rPr>
          <w:sz w:val="20"/>
        </w:rPr>
      </w:pPr>
    </w:p>
    <w:p w14:paraId="51DE964E" w14:textId="77777777" w:rsidR="0010369C" w:rsidRDefault="0010369C">
      <w:pPr>
        <w:pStyle w:val="BodyText"/>
        <w:rPr>
          <w:sz w:val="20"/>
        </w:rPr>
      </w:pPr>
    </w:p>
    <w:p w14:paraId="51DE964F" w14:textId="77777777" w:rsidR="0010369C" w:rsidRDefault="008E43AE">
      <w:pPr>
        <w:pStyle w:val="BodyText"/>
        <w:spacing w:before="2"/>
      </w:pPr>
      <w:r>
        <w:pict w14:anchorId="51DEA6F9">
          <v:rect id="docshape1274" o:spid="_x0000_s1160" style="position:absolute;margin-left:70.9pt;margin-top:15.95pt;width:2in;height:.8pt;z-index:-250739200;mso-wrap-distance-left:0;mso-wrap-distance-right:0;mso-position-horizontal-relative:page" fillcolor="black" stroked="f">
            <w10:wrap type="topAndBottom" anchorx="page"/>
          </v:rect>
        </w:pict>
      </w:r>
    </w:p>
    <w:p w14:paraId="51DE9650" w14:textId="77777777" w:rsidR="0010369C" w:rsidRDefault="008E43AE">
      <w:pPr>
        <w:spacing w:before="109"/>
        <w:ind w:left="238"/>
        <w:rPr>
          <w:sz w:val="18"/>
        </w:rPr>
      </w:pPr>
      <w:r>
        <w:rPr>
          <w:sz w:val="18"/>
          <w:vertAlign w:val="superscript"/>
        </w:rPr>
        <w:t>983</w:t>
      </w:r>
      <w:r>
        <w:rPr>
          <w:spacing w:val="-6"/>
          <w:sz w:val="18"/>
        </w:rPr>
        <w:t xml:space="preserve"> </w:t>
      </w:r>
      <w:r>
        <w:rPr>
          <w:sz w:val="18"/>
        </w:rPr>
        <w:t>Appellate</w:t>
      </w:r>
      <w:r>
        <w:rPr>
          <w:spacing w:val="-6"/>
          <w:sz w:val="18"/>
        </w:rPr>
        <w:t xml:space="preserve"> </w:t>
      </w:r>
      <w:r>
        <w:rPr>
          <w:sz w:val="18"/>
        </w:rPr>
        <w:t>Body</w:t>
      </w:r>
      <w:r>
        <w:rPr>
          <w:spacing w:val="-7"/>
          <w:sz w:val="18"/>
        </w:rPr>
        <w:t xml:space="preserve"> </w:t>
      </w:r>
      <w:r>
        <w:rPr>
          <w:sz w:val="18"/>
        </w:rPr>
        <w:t>Report,</w:t>
      </w:r>
      <w:r>
        <w:rPr>
          <w:spacing w:val="-6"/>
          <w:sz w:val="18"/>
        </w:rPr>
        <w:t xml:space="preserve"> </w:t>
      </w:r>
      <w:r>
        <w:rPr>
          <w:i/>
          <w:sz w:val="18"/>
        </w:rPr>
        <w:t>EC</w:t>
      </w:r>
      <w:r>
        <w:rPr>
          <w:i/>
          <w:spacing w:val="-7"/>
          <w:sz w:val="18"/>
        </w:rPr>
        <w:t xml:space="preserve"> </w:t>
      </w:r>
      <w:r>
        <w:rPr>
          <w:i/>
          <w:sz w:val="18"/>
        </w:rPr>
        <w:t>–</w:t>
      </w:r>
      <w:r>
        <w:rPr>
          <w:i/>
          <w:spacing w:val="-5"/>
          <w:sz w:val="18"/>
        </w:rPr>
        <w:t xml:space="preserve"> </w:t>
      </w:r>
      <w:r>
        <w:rPr>
          <w:i/>
          <w:sz w:val="18"/>
        </w:rPr>
        <w:t>Fasteners</w:t>
      </w:r>
      <w:r>
        <w:rPr>
          <w:i/>
          <w:spacing w:val="-6"/>
          <w:sz w:val="18"/>
        </w:rPr>
        <w:t xml:space="preserve"> </w:t>
      </w:r>
      <w:r>
        <w:rPr>
          <w:i/>
          <w:sz w:val="18"/>
        </w:rPr>
        <w:t>(China)</w:t>
      </w:r>
      <w:r>
        <w:rPr>
          <w:sz w:val="18"/>
        </w:rPr>
        <w:t>,</w:t>
      </w:r>
      <w:r>
        <w:rPr>
          <w:spacing w:val="-7"/>
          <w:sz w:val="18"/>
        </w:rPr>
        <w:t xml:space="preserve"> </w:t>
      </w:r>
      <w:r>
        <w:rPr>
          <w:sz w:val="18"/>
        </w:rPr>
        <w:t>paras.</w:t>
      </w:r>
      <w:r>
        <w:rPr>
          <w:spacing w:val="-5"/>
          <w:sz w:val="18"/>
        </w:rPr>
        <w:t xml:space="preserve"> </w:t>
      </w:r>
      <w:r>
        <w:rPr>
          <w:spacing w:val="-4"/>
          <w:sz w:val="18"/>
        </w:rPr>
        <w:t>537.</w:t>
      </w:r>
    </w:p>
    <w:p w14:paraId="51DE9651" w14:textId="77777777" w:rsidR="0010369C" w:rsidRDefault="008E43AE">
      <w:pPr>
        <w:ind w:left="238"/>
        <w:rPr>
          <w:sz w:val="18"/>
        </w:rPr>
      </w:pPr>
      <w:r>
        <w:rPr>
          <w:sz w:val="18"/>
          <w:vertAlign w:val="superscript"/>
        </w:rPr>
        <w:t>984</w:t>
      </w:r>
      <w:r>
        <w:rPr>
          <w:spacing w:val="-6"/>
          <w:sz w:val="18"/>
        </w:rPr>
        <w:t xml:space="preserve"> </w:t>
      </w:r>
      <w:r>
        <w:rPr>
          <w:sz w:val="18"/>
        </w:rPr>
        <w:t>Appellate</w:t>
      </w:r>
      <w:r>
        <w:rPr>
          <w:spacing w:val="-6"/>
          <w:sz w:val="18"/>
        </w:rPr>
        <w:t xml:space="preserve"> </w:t>
      </w:r>
      <w:r>
        <w:rPr>
          <w:sz w:val="18"/>
        </w:rPr>
        <w:t>Body</w:t>
      </w:r>
      <w:r>
        <w:rPr>
          <w:spacing w:val="-8"/>
          <w:sz w:val="18"/>
        </w:rPr>
        <w:t xml:space="preserve"> </w:t>
      </w:r>
      <w:r>
        <w:rPr>
          <w:sz w:val="18"/>
        </w:rPr>
        <w:t>Report,</w:t>
      </w:r>
      <w:r>
        <w:rPr>
          <w:spacing w:val="-5"/>
          <w:sz w:val="18"/>
        </w:rPr>
        <w:t xml:space="preserve"> </w:t>
      </w:r>
      <w:r>
        <w:rPr>
          <w:i/>
          <w:sz w:val="18"/>
        </w:rPr>
        <w:t>EC</w:t>
      </w:r>
      <w:r>
        <w:rPr>
          <w:i/>
          <w:spacing w:val="-7"/>
          <w:sz w:val="18"/>
        </w:rPr>
        <w:t xml:space="preserve"> </w:t>
      </w:r>
      <w:r>
        <w:rPr>
          <w:i/>
          <w:sz w:val="18"/>
        </w:rPr>
        <w:t>–</w:t>
      </w:r>
      <w:r>
        <w:rPr>
          <w:i/>
          <w:spacing w:val="-6"/>
          <w:sz w:val="18"/>
        </w:rPr>
        <w:t xml:space="preserve"> </w:t>
      </w:r>
      <w:r>
        <w:rPr>
          <w:i/>
          <w:sz w:val="18"/>
        </w:rPr>
        <w:t>Fasteners</w:t>
      </w:r>
      <w:r>
        <w:rPr>
          <w:i/>
          <w:spacing w:val="-6"/>
          <w:sz w:val="18"/>
        </w:rPr>
        <w:t xml:space="preserve"> </w:t>
      </w:r>
      <w:r>
        <w:rPr>
          <w:i/>
          <w:sz w:val="18"/>
        </w:rPr>
        <w:t>(China)</w:t>
      </w:r>
      <w:r>
        <w:rPr>
          <w:i/>
          <w:spacing w:val="-5"/>
          <w:sz w:val="18"/>
        </w:rPr>
        <w:t xml:space="preserve"> </w:t>
      </w:r>
      <w:r>
        <w:rPr>
          <w:i/>
          <w:sz w:val="18"/>
        </w:rPr>
        <w:t>(Article</w:t>
      </w:r>
      <w:r>
        <w:rPr>
          <w:i/>
          <w:spacing w:val="-6"/>
          <w:sz w:val="18"/>
        </w:rPr>
        <w:t xml:space="preserve"> </w:t>
      </w:r>
      <w:r>
        <w:rPr>
          <w:i/>
          <w:sz w:val="18"/>
        </w:rPr>
        <w:t>21.5)</w:t>
      </w:r>
      <w:r>
        <w:rPr>
          <w:sz w:val="18"/>
        </w:rPr>
        <w:t>,</w:t>
      </w:r>
      <w:r>
        <w:rPr>
          <w:spacing w:val="-7"/>
          <w:sz w:val="18"/>
        </w:rPr>
        <w:t xml:space="preserve"> </w:t>
      </w:r>
      <w:r>
        <w:rPr>
          <w:sz w:val="18"/>
        </w:rPr>
        <w:t>para.</w:t>
      </w:r>
      <w:r>
        <w:rPr>
          <w:spacing w:val="-6"/>
          <w:sz w:val="18"/>
        </w:rPr>
        <w:t xml:space="preserve"> </w:t>
      </w:r>
      <w:r>
        <w:rPr>
          <w:spacing w:val="-2"/>
          <w:sz w:val="18"/>
        </w:rPr>
        <w:t>5.101.</w:t>
      </w:r>
    </w:p>
    <w:p w14:paraId="51DE9652" w14:textId="77777777" w:rsidR="0010369C" w:rsidRDefault="008E43AE">
      <w:pPr>
        <w:ind w:left="238" w:right="614" w:hanging="1"/>
        <w:rPr>
          <w:sz w:val="18"/>
        </w:rPr>
      </w:pPr>
      <w:r>
        <w:rPr>
          <w:sz w:val="18"/>
          <w:vertAlign w:val="superscript"/>
        </w:rPr>
        <w:t>985</w:t>
      </w:r>
      <w:r>
        <w:rPr>
          <w:sz w:val="18"/>
        </w:rPr>
        <w:t xml:space="preserve"> Appellate Body Report, </w:t>
      </w:r>
      <w:r>
        <w:rPr>
          <w:i/>
          <w:sz w:val="18"/>
        </w:rPr>
        <w:t>China – HP‐SSST (Japan)</w:t>
      </w:r>
      <w:r>
        <w:rPr>
          <w:sz w:val="18"/>
        </w:rPr>
        <w:t xml:space="preserve">, para. 5.95 (citing Appellate Body Report, </w:t>
      </w:r>
      <w:r>
        <w:rPr>
          <w:i/>
          <w:sz w:val="18"/>
        </w:rPr>
        <w:t>EC – Fasteners (China)</w:t>
      </w:r>
      <w:r>
        <w:rPr>
          <w:sz w:val="18"/>
        </w:rPr>
        <w:t xml:space="preserve">, para. </w:t>
      </w:r>
      <w:r>
        <w:rPr>
          <w:spacing w:val="-2"/>
          <w:sz w:val="18"/>
        </w:rPr>
        <w:t>537).</w:t>
      </w:r>
    </w:p>
    <w:p w14:paraId="51DE9653" w14:textId="77777777" w:rsidR="0010369C" w:rsidRDefault="008E43AE">
      <w:pPr>
        <w:spacing w:before="1"/>
        <w:ind w:left="238" w:right="611"/>
        <w:rPr>
          <w:sz w:val="18"/>
        </w:rPr>
      </w:pPr>
      <w:r>
        <w:rPr>
          <w:sz w:val="18"/>
          <w:vertAlign w:val="superscript"/>
        </w:rPr>
        <w:t>986</w:t>
      </w:r>
      <w:r>
        <w:rPr>
          <w:spacing w:val="19"/>
          <w:sz w:val="18"/>
        </w:rPr>
        <w:t xml:space="preserve"> </w:t>
      </w:r>
      <w:r>
        <w:rPr>
          <w:sz w:val="18"/>
        </w:rPr>
        <w:t>Appellate</w:t>
      </w:r>
      <w:r>
        <w:rPr>
          <w:spacing w:val="19"/>
          <w:sz w:val="18"/>
        </w:rPr>
        <w:t xml:space="preserve"> </w:t>
      </w:r>
      <w:r>
        <w:rPr>
          <w:sz w:val="18"/>
        </w:rPr>
        <w:t>Body</w:t>
      </w:r>
      <w:r>
        <w:rPr>
          <w:spacing w:val="18"/>
          <w:sz w:val="18"/>
        </w:rPr>
        <w:t xml:space="preserve"> </w:t>
      </w:r>
      <w:r>
        <w:rPr>
          <w:sz w:val="18"/>
        </w:rPr>
        <w:t>Report,</w:t>
      </w:r>
      <w:r>
        <w:rPr>
          <w:spacing w:val="20"/>
          <w:sz w:val="18"/>
        </w:rPr>
        <w:t xml:space="preserve"> </w:t>
      </w:r>
      <w:r>
        <w:rPr>
          <w:i/>
          <w:sz w:val="18"/>
        </w:rPr>
        <w:t>EC</w:t>
      </w:r>
      <w:r>
        <w:rPr>
          <w:i/>
          <w:spacing w:val="19"/>
          <w:sz w:val="18"/>
        </w:rPr>
        <w:t xml:space="preserve"> </w:t>
      </w:r>
      <w:r>
        <w:rPr>
          <w:i/>
          <w:sz w:val="18"/>
        </w:rPr>
        <w:t>–</w:t>
      </w:r>
      <w:r>
        <w:rPr>
          <w:i/>
          <w:spacing w:val="19"/>
          <w:sz w:val="18"/>
        </w:rPr>
        <w:t xml:space="preserve"> </w:t>
      </w:r>
      <w:r>
        <w:rPr>
          <w:i/>
          <w:sz w:val="18"/>
        </w:rPr>
        <w:t>Fasteners</w:t>
      </w:r>
      <w:r>
        <w:rPr>
          <w:i/>
          <w:spacing w:val="18"/>
          <w:sz w:val="18"/>
        </w:rPr>
        <w:t xml:space="preserve"> </w:t>
      </w:r>
      <w:r>
        <w:rPr>
          <w:i/>
          <w:sz w:val="18"/>
        </w:rPr>
        <w:t>(China),</w:t>
      </w:r>
      <w:r>
        <w:rPr>
          <w:i/>
          <w:spacing w:val="19"/>
          <w:sz w:val="18"/>
        </w:rPr>
        <w:t xml:space="preserve"> </w:t>
      </w:r>
      <w:r>
        <w:rPr>
          <w:sz w:val="18"/>
        </w:rPr>
        <w:t>para.</w:t>
      </w:r>
      <w:r>
        <w:rPr>
          <w:spacing w:val="19"/>
          <w:sz w:val="18"/>
        </w:rPr>
        <w:t xml:space="preserve"> </w:t>
      </w:r>
      <w:r>
        <w:rPr>
          <w:sz w:val="18"/>
        </w:rPr>
        <w:t>539.</w:t>
      </w:r>
      <w:r>
        <w:rPr>
          <w:spacing w:val="18"/>
          <w:sz w:val="18"/>
        </w:rPr>
        <w:t xml:space="preserve"> </w:t>
      </w:r>
      <w:r>
        <w:rPr>
          <w:sz w:val="18"/>
        </w:rPr>
        <w:t>(footnotes</w:t>
      </w:r>
      <w:r>
        <w:rPr>
          <w:spacing w:val="19"/>
          <w:sz w:val="18"/>
        </w:rPr>
        <w:t xml:space="preserve"> </w:t>
      </w:r>
      <w:r>
        <w:rPr>
          <w:sz w:val="18"/>
        </w:rPr>
        <w:t>omitted);</w:t>
      </w:r>
      <w:r>
        <w:rPr>
          <w:spacing w:val="18"/>
          <w:sz w:val="18"/>
        </w:rPr>
        <w:t xml:space="preserve"> </w:t>
      </w:r>
      <w:r>
        <w:rPr>
          <w:sz w:val="18"/>
        </w:rPr>
        <w:t>cited</w:t>
      </w:r>
      <w:r>
        <w:rPr>
          <w:spacing w:val="19"/>
          <w:sz w:val="18"/>
        </w:rPr>
        <w:t xml:space="preserve"> </w:t>
      </w:r>
      <w:r>
        <w:rPr>
          <w:sz w:val="18"/>
        </w:rPr>
        <w:t>with</w:t>
      </w:r>
      <w:r>
        <w:rPr>
          <w:spacing w:val="18"/>
          <w:sz w:val="18"/>
        </w:rPr>
        <w:t xml:space="preserve"> </w:t>
      </w:r>
      <w:r>
        <w:rPr>
          <w:sz w:val="18"/>
        </w:rPr>
        <w:t>approval</w:t>
      </w:r>
      <w:r>
        <w:rPr>
          <w:spacing w:val="19"/>
          <w:sz w:val="18"/>
        </w:rPr>
        <w:t xml:space="preserve"> </w:t>
      </w:r>
      <w:r>
        <w:rPr>
          <w:sz w:val="18"/>
        </w:rPr>
        <w:t>in</w:t>
      </w:r>
      <w:r>
        <w:rPr>
          <w:spacing w:val="19"/>
          <w:sz w:val="18"/>
        </w:rPr>
        <w:t xml:space="preserve"> </w:t>
      </w:r>
      <w:r>
        <w:rPr>
          <w:sz w:val="18"/>
        </w:rPr>
        <w:t>Appellate</w:t>
      </w:r>
      <w:r>
        <w:rPr>
          <w:spacing w:val="18"/>
          <w:sz w:val="18"/>
        </w:rPr>
        <w:t xml:space="preserve"> </w:t>
      </w:r>
      <w:r>
        <w:rPr>
          <w:sz w:val="18"/>
        </w:rPr>
        <w:t>Body Reports,</w:t>
      </w:r>
      <w:r>
        <w:rPr>
          <w:sz w:val="18"/>
        </w:rPr>
        <w:t xml:space="preserve"> </w:t>
      </w:r>
      <w:r>
        <w:rPr>
          <w:i/>
          <w:sz w:val="18"/>
        </w:rPr>
        <w:t>China – HP‐SSST (Japan) / China – HP‐SSST (EU)</w:t>
      </w:r>
      <w:r>
        <w:rPr>
          <w:sz w:val="18"/>
        </w:rPr>
        <w:t>, para. 5.95.</w:t>
      </w:r>
    </w:p>
    <w:p w14:paraId="51DE9654" w14:textId="77777777" w:rsidR="0010369C" w:rsidRDefault="008E43AE">
      <w:pPr>
        <w:spacing w:line="219" w:lineRule="exact"/>
        <w:ind w:left="238"/>
        <w:rPr>
          <w:sz w:val="18"/>
        </w:rPr>
      </w:pPr>
      <w:r>
        <w:rPr>
          <w:sz w:val="18"/>
          <w:vertAlign w:val="superscript"/>
        </w:rPr>
        <w:t>987</w:t>
      </w:r>
      <w:r>
        <w:rPr>
          <w:spacing w:val="-6"/>
          <w:sz w:val="18"/>
        </w:rPr>
        <w:t xml:space="preserve"> </w:t>
      </w:r>
      <w:r>
        <w:rPr>
          <w:sz w:val="18"/>
        </w:rPr>
        <w:t>Appellate</w:t>
      </w:r>
      <w:r>
        <w:rPr>
          <w:spacing w:val="-5"/>
          <w:sz w:val="18"/>
        </w:rPr>
        <w:t xml:space="preserve"> </w:t>
      </w:r>
      <w:r>
        <w:rPr>
          <w:sz w:val="18"/>
        </w:rPr>
        <w:t>Body</w:t>
      </w:r>
      <w:r>
        <w:rPr>
          <w:spacing w:val="-7"/>
          <w:sz w:val="18"/>
        </w:rPr>
        <w:t xml:space="preserve"> </w:t>
      </w:r>
      <w:r>
        <w:rPr>
          <w:sz w:val="18"/>
        </w:rPr>
        <w:t>Report,</w:t>
      </w:r>
      <w:r>
        <w:rPr>
          <w:spacing w:val="-5"/>
          <w:sz w:val="18"/>
        </w:rPr>
        <w:t xml:space="preserve"> </w:t>
      </w:r>
      <w:r>
        <w:rPr>
          <w:i/>
          <w:sz w:val="18"/>
        </w:rPr>
        <w:t>China</w:t>
      </w:r>
      <w:r>
        <w:rPr>
          <w:i/>
          <w:spacing w:val="-5"/>
          <w:sz w:val="18"/>
        </w:rPr>
        <w:t xml:space="preserve"> </w:t>
      </w:r>
      <w:r>
        <w:rPr>
          <w:i/>
          <w:sz w:val="18"/>
        </w:rPr>
        <w:t>–</w:t>
      </w:r>
      <w:r>
        <w:rPr>
          <w:i/>
          <w:spacing w:val="-4"/>
          <w:sz w:val="18"/>
        </w:rPr>
        <w:t xml:space="preserve"> </w:t>
      </w:r>
      <w:r>
        <w:rPr>
          <w:i/>
          <w:sz w:val="18"/>
        </w:rPr>
        <w:t>HP‐SSST</w:t>
      </w:r>
      <w:r>
        <w:rPr>
          <w:i/>
          <w:spacing w:val="-5"/>
          <w:sz w:val="18"/>
        </w:rPr>
        <w:t xml:space="preserve"> </w:t>
      </w:r>
      <w:r>
        <w:rPr>
          <w:i/>
          <w:sz w:val="18"/>
        </w:rPr>
        <w:t>(Japan)</w:t>
      </w:r>
      <w:r>
        <w:rPr>
          <w:sz w:val="18"/>
        </w:rPr>
        <w:t>,</w:t>
      </w:r>
      <w:r>
        <w:rPr>
          <w:spacing w:val="-7"/>
          <w:sz w:val="18"/>
        </w:rPr>
        <w:t xml:space="preserve"> </w:t>
      </w:r>
      <w:r>
        <w:rPr>
          <w:sz w:val="18"/>
        </w:rPr>
        <w:t>para.</w:t>
      </w:r>
      <w:r>
        <w:rPr>
          <w:spacing w:val="-5"/>
          <w:sz w:val="18"/>
        </w:rPr>
        <w:t xml:space="preserve"> </w:t>
      </w:r>
      <w:r>
        <w:rPr>
          <w:spacing w:val="-2"/>
          <w:sz w:val="18"/>
        </w:rPr>
        <w:t>5.97.</w:t>
      </w:r>
    </w:p>
    <w:p w14:paraId="51DE9655" w14:textId="77777777" w:rsidR="0010369C" w:rsidRDefault="0010369C">
      <w:pPr>
        <w:spacing w:line="219" w:lineRule="exact"/>
        <w:rPr>
          <w:sz w:val="18"/>
        </w:rPr>
        <w:sectPr w:rsidR="0010369C">
          <w:pgSz w:w="11910" w:h="16840"/>
          <w:pgMar w:top="880" w:right="800" w:bottom="980" w:left="1180" w:header="569" w:footer="788" w:gutter="0"/>
          <w:cols w:space="720"/>
        </w:sectPr>
      </w:pPr>
    </w:p>
    <w:p w14:paraId="51DE9656" w14:textId="77777777" w:rsidR="0010369C" w:rsidRDefault="008E43AE">
      <w:pPr>
        <w:tabs>
          <w:tab w:val="left" w:pos="6426"/>
        </w:tabs>
        <w:ind w:left="238"/>
        <w:rPr>
          <w:sz w:val="20"/>
        </w:rPr>
      </w:pPr>
      <w:r>
        <w:rPr>
          <w:i/>
          <w:sz w:val="20"/>
        </w:rPr>
        <w:lastRenderedPageBreak/>
        <w:t>China</w:t>
      </w:r>
      <w:r>
        <w:rPr>
          <w:i/>
          <w:spacing w:val="-5"/>
          <w:sz w:val="20"/>
        </w:rPr>
        <w:t xml:space="preserve"> </w:t>
      </w:r>
      <w:r>
        <w:rPr>
          <w:i/>
          <w:sz w:val="20"/>
        </w:rPr>
        <w:t>–</w:t>
      </w:r>
      <w:r>
        <w:rPr>
          <w:i/>
          <w:spacing w:val="-5"/>
          <w:sz w:val="20"/>
        </w:rPr>
        <w:t xml:space="preserve"> </w:t>
      </w:r>
      <w:r>
        <w:rPr>
          <w:i/>
          <w:sz w:val="20"/>
        </w:rPr>
        <w:t>Anti‐Dumping</w:t>
      </w:r>
      <w:r>
        <w:rPr>
          <w:i/>
          <w:spacing w:val="-4"/>
          <w:sz w:val="20"/>
        </w:rPr>
        <w:t xml:space="preserve"> </w:t>
      </w:r>
      <w:r>
        <w:rPr>
          <w:i/>
          <w:sz w:val="20"/>
        </w:rPr>
        <w:t>and</w:t>
      </w:r>
      <w:r>
        <w:rPr>
          <w:i/>
          <w:spacing w:val="-5"/>
          <w:sz w:val="20"/>
        </w:rPr>
        <w:t xml:space="preserve"> </w:t>
      </w:r>
      <w:r>
        <w:rPr>
          <w:i/>
          <w:sz w:val="20"/>
        </w:rPr>
        <w:t>Countervailing</w:t>
      </w:r>
      <w:r>
        <w:rPr>
          <w:i/>
          <w:spacing w:val="-5"/>
          <w:sz w:val="20"/>
        </w:rPr>
        <w:t xml:space="preserve"> </w:t>
      </w:r>
      <w:r>
        <w:rPr>
          <w:i/>
          <w:sz w:val="20"/>
        </w:rPr>
        <w:t>Duty</w:t>
      </w:r>
      <w:r>
        <w:rPr>
          <w:i/>
          <w:spacing w:val="-4"/>
          <w:sz w:val="20"/>
        </w:rPr>
        <w:t xml:space="preserve"> </w:t>
      </w:r>
      <w:r>
        <w:rPr>
          <w:i/>
          <w:spacing w:val="-2"/>
          <w:sz w:val="20"/>
        </w:rPr>
        <w:t>Measures</w:t>
      </w:r>
      <w:r>
        <w:rPr>
          <w:i/>
          <w:sz w:val="20"/>
        </w:rPr>
        <w:tab/>
      </w:r>
      <w:r>
        <w:rPr>
          <w:sz w:val="20"/>
        </w:rPr>
        <w:t>Australia's</w:t>
      </w:r>
      <w:r>
        <w:rPr>
          <w:spacing w:val="-7"/>
          <w:sz w:val="20"/>
        </w:rPr>
        <w:t xml:space="preserve"> </w:t>
      </w:r>
      <w:r>
        <w:rPr>
          <w:sz w:val="20"/>
        </w:rPr>
        <w:t>First</w:t>
      </w:r>
      <w:r>
        <w:rPr>
          <w:spacing w:val="-2"/>
          <w:sz w:val="20"/>
        </w:rPr>
        <w:t xml:space="preserve"> </w:t>
      </w:r>
      <w:r>
        <w:rPr>
          <w:sz w:val="20"/>
        </w:rPr>
        <w:t>Written</w:t>
      </w:r>
      <w:r>
        <w:rPr>
          <w:spacing w:val="-2"/>
          <w:sz w:val="20"/>
        </w:rPr>
        <w:t xml:space="preserve"> Submission</w:t>
      </w:r>
    </w:p>
    <w:p w14:paraId="51DE9657" w14:textId="77777777" w:rsidR="0010369C" w:rsidRDefault="008E43AE">
      <w:pPr>
        <w:tabs>
          <w:tab w:val="left" w:pos="8228"/>
        </w:tabs>
        <w:spacing w:before="1"/>
        <w:ind w:left="239"/>
        <w:rPr>
          <w:sz w:val="20"/>
        </w:rPr>
      </w:pPr>
      <w:r>
        <w:rPr>
          <w:i/>
          <w:sz w:val="20"/>
        </w:rPr>
        <w:t>on</w:t>
      </w:r>
      <w:r>
        <w:rPr>
          <w:i/>
          <w:spacing w:val="-1"/>
          <w:sz w:val="20"/>
        </w:rPr>
        <w:t xml:space="preserve"> </w:t>
      </w:r>
      <w:r>
        <w:rPr>
          <w:i/>
          <w:sz w:val="20"/>
        </w:rPr>
        <w:t>Wine</w:t>
      </w:r>
      <w:r>
        <w:rPr>
          <w:i/>
          <w:spacing w:val="-1"/>
          <w:sz w:val="20"/>
        </w:rPr>
        <w:t xml:space="preserve"> </w:t>
      </w:r>
      <w:r>
        <w:rPr>
          <w:i/>
          <w:sz w:val="20"/>
        </w:rPr>
        <w:t>from</w:t>
      </w:r>
      <w:r>
        <w:rPr>
          <w:i/>
          <w:spacing w:val="-3"/>
          <w:sz w:val="20"/>
        </w:rPr>
        <w:t xml:space="preserve"> </w:t>
      </w:r>
      <w:r>
        <w:rPr>
          <w:i/>
          <w:sz w:val="20"/>
        </w:rPr>
        <w:t>Australia</w:t>
      </w:r>
      <w:r>
        <w:rPr>
          <w:i/>
          <w:spacing w:val="-1"/>
          <w:sz w:val="20"/>
        </w:rPr>
        <w:t xml:space="preserve"> </w:t>
      </w:r>
      <w:r>
        <w:rPr>
          <w:spacing w:val="-2"/>
          <w:sz w:val="20"/>
        </w:rPr>
        <w:t>(DS602)</w:t>
      </w:r>
      <w:r>
        <w:rPr>
          <w:sz w:val="20"/>
        </w:rPr>
        <w:tab/>
        <w:t>29</w:t>
      </w:r>
      <w:r>
        <w:rPr>
          <w:spacing w:val="-1"/>
          <w:sz w:val="20"/>
        </w:rPr>
        <w:t xml:space="preserve"> </w:t>
      </w:r>
      <w:r>
        <w:rPr>
          <w:sz w:val="20"/>
        </w:rPr>
        <w:t>April</w:t>
      </w:r>
      <w:r>
        <w:rPr>
          <w:spacing w:val="-2"/>
          <w:sz w:val="20"/>
        </w:rPr>
        <w:t xml:space="preserve"> </w:t>
      </w:r>
      <w:r>
        <w:rPr>
          <w:spacing w:val="-4"/>
          <w:sz w:val="20"/>
        </w:rPr>
        <w:t>2022</w:t>
      </w:r>
    </w:p>
    <w:p w14:paraId="51DE9658" w14:textId="77777777" w:rsidR="0010369C" w:rsidRDefault="008E43AE">
      <w:pPr>
        <w:pStyle w:val="BodyText"/>
        <w:spacing w:before="34" w:line="360" w:lineRule="auto"/>
        <w:ind w:left="237" w:right="615" w:firstLine="851"/>
        <w:jc w:val="both"/>
      </w:pPr>
      <w:r>
        <w:rPr>
          <w:noProof/>
        </w:rPr>
        <w:drawing>
          <wp:anchor distT="0" distB="0" distL="0" distR="0" simplePos="0" relativeHeight="251433472" behindDoc="1" locked="0" layoutInCell="1" allowOverlap="1" wp14:anchorId="51DEA6FA" wp14:editId="51DEA6FB">
            <wp:simplePos x="0" y="0"/>
            <wp:positionH relativeFrom="page">
              <wp:posOffset>902208</wp:posOffset>
            </wp:positionH>
            <wp:positionV relativeFrom="paragraph">
              <wp:posOffset>69165</wp:posOffset>
            </wp:positionV>
            <wp:extent cx="262127" cy="103631"/>
            <wp:effectExtent l="0" t="0" r="0" b="0"/>
            <wp:wrapNone/>
            <wp:docPr id="1631" name="image8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 name="image843.png"/>
                    <pic:cNvPicPr/>
                  </pic:nvPicPr>
                  <pic:blipFill>
                    <a:blip r:embed="rId1102" cstate="print"/>
                    <a:stretch>
                      <a:fillRect/>
                    </a:stretch>
                  </pic:blipFill>
                  <pic:spPr>
                    <a:xfrm>
                      <a:off x="0" y="0"/>
                      <a:ext cx="262127" cy="103631"/>
                    </a:xfrm>
                    <a:prstGeom prst="rect">
                      <a:avLst/>
                    </a:prstGeom>
                  </pic:spPr>
                </pic:pic>
              </a:graphicData>
            </a:graphic>
          </wp:anchor>
        </w:drawing>
      </w:r>
      <w:r>
        <w:t>It is necessary to show "good cause" for both categories of information covered by Article</w:t>
      </w:r>
      <w:r>
        <w:rPr>
          <w:spacing w:val="-2"/>
        </w:rPr>
        <w:t xml:space="preserve"> </w:t>
      </w:r>
      <w:r>
        <w:t>6.5,</w:t>
      </w:r>
      <w:r>
        <w:rPr>
          <w:spacing w:val="-1"/>
        </w:rPr>
        <w:t xml:space="preserve"> </w:t>
      </w:r>
      <w:r>
        <w:t>i.e.</w:t>
      </w:r>
      <w:r>
        <w:rPr>
          <w:spacing w:val="-1"/>
        </w:rPr>
        <w:t xml:space="preserve"> </w:t>
      </w:r>
      <w:r>
        <w:t>information that</w:t>
      </w:r>
      <w:r>
        <w:rPr>
          <w:spacing w:val="-2"/>
        </w:rPr>
        <w:t xml:space="preserve"> </w:t>
      </w:r>
      <w:r>
        <w:t>is</w:t>
      </w:r>
      <w:r>
        <w:rPr>
          <w:spacing w:val="-2"/>
        </w:rPr>
        <w:t xml:space="preserve"> </w:t>
      </w:r>
      <w:r>
        <w:t>by its</w:t>
      </w:r>
      <w:r>
        <w:rPr>
          <w:spacing w:val="-2"/>
        </w:rPr>
        <w:t xml:space="preserve"> </w:t>
      </w:r>
      <w:r>
        <w:t>nature</w:t>
      </w:r>
      <w:r>
        <w:rPr>
          <w:spacing w:val="-1"/>
        </w:rPr>
        <w:t xml:space="preserve"> </w:t>
      </w:r>
      <w:r>
        <w:t>confidential,</w:t>
      </w:r>
      <w:r>
        <w:rPr>
          <w:spacing w:val="-2"/>
        </w:rPr>
        <w:t xml:space="preserve"> </w:t>
      </w:r>
      <w:r>
        <w:t>and</w:t>
      </w:r>
      <w:r>
        <w:rPr>
          <w:spacing w:val="-2"/>
        </w:rPr>
        <w:t xml:space="preserve"> </w:t>
      </w:r>
      <w:r>
        <w:t>information</w:t>
      </w:r>
      <w:r>
        <w:rPr>
          <w:spacing w:val="-1"/>
        </w:rPr>
        <w:t xml:space="preserve"> </w:t>
      </w:r>
      <w:r>
        <w:t>that</w:t>
      </w:r>
      <w:r>
        <w:rPr>
          <w:spacing w:val="-2"/>
        </w:rPr>
        <w:t xml:space="preserve"> </w:t>
      </w:r>
      <w:r>
        <w:t>is</w:t>
      </w:r>
      <w:r>
        <w:rPr>
          <w:spacing w:val="-1"/>
        </w:rPr>
        <w:t xml:space="preserve"> </w:t>
      </w:r>
      <w:r>
        <w:t>provided on a confidential basis.</w:t>
      </w:r>
      <w:r>
        <w:rPr>
          <w:vertAlign w:val="superscript"/>
        </w:rPr>
        <w:t>988</w:t>
      </w:r>
    </w:p>
    <w:p w14:paraId="51DE9659" w14:textId="77777777" w:rsidR="0010369C" w:rsidRDefault="0010369C">
      <w:pPr>
        <w:pStyle w:val="BodyText"/>
        <w:spacing w:before="11"/>
        <w:rPr>
          <w:sz w:val="8"/>
        </w:rPr>
      </w:pPr>
    </w:p>
    <w:p w14:paraId="51DE965A" w14:textId="77777777" w:rsidR="0010369C" w:rsidRDefault="008E43AE">
      <w:pPr>
        <w:pStyle w:val="BodyText"/>
        <w:spacing w:before="52" w:line="360" w:lineRule="auto"/>
        <w:ind w:left="236" w:right="614" w:firstLine="853"/>
        <w:jc w:val="both"/>
      </w:pPr>
      <w:r>
        <w:rPr>
          <w:noProof/>
        </w:rPr>
        <w:drawing>
          <wp:anchor distT="0" distB="0" distL="0" distR="0" simplePos="0" relativeHeight="251434496" behindDoc="1" locked="0" layoutInCell="1" allowOverlap="1" wp14:anchorId="51DEA6FC" wp14:editId="51DEA6FD">
            <wp:simplePos x="0" y="0"/>
            <wp:positionH relativeFrom="page">
              <wp:posOffset>902208</wp:posOffset>
            </wp:positionH>
            <wp:positionV relativeFrom="paragraph">
              <wp:posOffset>80595</wp:posOffset>
            </wp:positionV>
            <wp:extent cx="262127" cy="103631"/>
            <wp:effectExtent l="0" t="0" r="0" b="0"/>
            <wp:wrapNone/>
            <wp:docPr id="1633" name="image8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 name="image844.png"/>
                    <pic:cNvPicPr/>
                  </pic:nvPicPr>
                  <pic:blipFill>
                    <a:blip r:embed="rId1103" cstate="print"/>
                    <a:stretch>
                      <a:fillRect/>
                    </a:stretch>
                  </pic:blipFill>
                  <pic:spPr>
                    <a:xfrm>
                      <a:off x="0" y="0"/>
                      <a:ext cx="262127" cy="103631"/>
                    </a:xfrm>
                    <a:prstGeom prst="rect">
                      <a:avLst/>
                    </a:prstGeom>
                  </pic:spPr>
                </pic:pic>
              </a:graphicData>
            </a:graphic>
          </wp:anchor>
        </w:drawing>
      </w:r>
      <w:r>
        <w:t>Article 6.5.1 further requires that an investigating authority must require the interested parties to provide a non‐confidential summary.</w:t>
      </w:r>
      <w:r>
        <w:rPr>
          <w:vertAlign w:val="superscript"/>
        </w:rPr>
        <w:t>989</w:t>
      </w:r>
      <w:r>
        <w:t xml:space="preserve"> These summaries must be of sufficient detail to permit a reasonable understa</w:t>
      </w:r>
      <w:r>
        <w:t>nding of the substance of the information. The non‐confidential summaries provide an alternative method for communicating the content of the confidential information "so as to satisfy the right of other parties to the investigation to obtain a reasonable u</w:t>
      </w:r>
      <w:r>
        <w:t>nderstanding of the substance of the confidential information, and to defend their interests".</w:t>
      </w:r>
      <w:r>
        <w:rPr>
          <w:vertAlign w:val="superscript"/>
        </w:rPr>
        <w:t>990</w:t>
      </w:r>
    </w:p>
    <w:p w14:paraId="51DE965B" w14:textId="77777777" w:rsidR="0010369C" w:rsidRDefault="0010369C">
      <w:pPr>
        <w:pStyle w:val="BodyText"/>
        <w:spacing w:before="9"/>
        <w:rPr>
          <w:sz w:val="8"/>
        </w:rPr>
      </w:pPr>
    </w:p>
    <w:p w14:paraId="51DE965C" w14:textId="77777777" w:rsidR="0010369C" w:rsidRDefault="008E43AE">
      <w:pPr>
        <w:pStyle w:val="BodyText"/>
        <w:spacing w:before="52" w:line="360" w:lineRule="auto"/>
        <w:ind w:left="237" w:right="613" w:firstLine="851"/>
        <w:jc w:val="both"/>
      </w:pPr>
      <w:r>
        <w:rPr>
          <w:noProof/>
        </w:rPr>
        <w:drawing>
          <wp:anchor distT="0" distB="0" distL="0" distR="0" simplePos="0" relativeHeight="251435520" behindDoc="1" locked="0" layoutInCell="1" allowOverlap="1" wp14:anchorId="51DEA6FE" wp14:editId="51DEA6FF">
            <wp:simplePos x="0" y="0"/>
            <wp:positionH relativeFrom="page">
              <wp:posOffset>902208</wp:posOffset>
            </wp:positionH>
            <wp:positionV relativeFrom="paragraph">
              <wp:posOffset>80595</wp:posOffset>
            </wp:positionV>
            <wp:extent cx="262127" cy="103631"/>
            <wp:effectExtent l="0" t="0" r="0" b="0"/>
            <wp:wrapNone/>
            <wp:docPr id="1635" name="image8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 name="image845.png"/>
                    <pic:cNvPicPr/>
                  </pic:nvPicPr>
                  <pic:blipFill>
                    <a:blip r:embed="rId1104" cstate="print"/>
                    <a:stretch>
                      <a:fillRect/>
                    </a:stretch>
                  </pic:blipFill>
                  <pic:spPr>
                    <a:xfrm>
                      <a:off x="0" y="0"/>
                      <a:ext cx="262127" cy="103631"/>
                    </a:xfrm>
                    <a:prstGeom prst="rect">
                      <a:avLst/>
                    </a:prstGeom>
                  </pic:spPr>
                </pic:pic>
              </a:graphicData>
            </a:graphic>
          </wp:anchor>
        </w:drawing>
      </w:r>
      <w:r>
        <w:t>Without such summaries, other interested parties could not meaningfully engage in the</w:t>
      </w:r>
      <w:r>
        <w:rPr>
          <w:spacing w:val="-5"/>
        </w:rPr>
        <w:t xml:space="preserve"> </w:t>
      </w:r>
      <w:r>
        <w:t>investigative</w:t>
      </w:r>
      <w:r>
        <w:rPr>
          <w:spacing w:val="-4"/>
        </w:rPr>
        <w:t xml:space="preserve"> </w:t>
      </w:r>
      <w:r>
        <w:t>process</w:t>
      </w:r>
      <w:r>
        <w:rPr>
          <w:spacing w:val="-6"/>
        </w:rPr>
        <w:t xml:space="preserve"> </w:t>
      </w:r>
      <w:r>
        <w:t>and</w:t>
      </w:r>
      <w:r>
        <w:rPr>
          <w:spacing w:val="-6"/>
        </w:rPr>
        <w:t xml:space="preserve"> </w:t>
      </w:r>
      <w:r>
        <w:t>have</w:t>
      </w:r>
      <w:r>
        <w:rPr>
          <w:spacing w:val="-5"/>
        </w:rPr>
        <w:t xml:space="preserve"> </w:t>
      </w:r>
      <w:r>
        <w:t>adequate</w:t>
      </w:r>
      <w:r>
        <w:rPr>
          <w:spacing w:val="-6"/>
        </w:rPr>
        <w:t xml:space="preserve"> </w:t>
      </w:r>
      <w:r>
        <w:t>opportunity</w:t>
      </w:r>
      <w:r>
        <w:rPr>
          <w:spacing w:val="-5"/>
        </w:rPr>
        <w:t xml:space="preserve"> </w:t>
      </w:r>
      <w:r>
        <w:t>for</w:t>
      </w:r>
      <w:r>
        <w:rPr>
          <w:spacing w:val="-6"/>
        </w:rPr>
        <w:t xml:space="preserve"> </w:t>
      </w:r>
      <w:r>
        <w:t>the</w:t>
      </w:r>
      <w:r>
        <w:rPr>
          <w:spacing w:val="-5"/>
        </w:rPr>
        <w:t xml:space="preserve"> </w:t>
      </w:r>
      <w:r>
        <w:t>defence</w:t>
      </w:r>
      <w:r>
        <w:rPr>
          <w:spacing w:val="-5"/>
        </w:rPr>
        <w:t xml:space="preserve"> </w:t>
      </w:r>
      <w:r>
        <w:t>of</w:t>
      </w:r>
      <w:r>
        <w:rPr>
          <w:spacing w:val="-6"/>
        </w:rPr>
        <w:t xml:space="preserve"> </w:t>
      </w:r>
      <w:r>
        <w:t>their</w:t>
      </w:r>
      <w:r>
        <w:rPr>
          <w:spacing w:val="-6"/>
        </w:rPr>
        <w:t xml:space="preserve"> </w:t>
      </w:r>
      <w:r>
        <w:t>interests.</w:t>
      </w:r>
      <w:r>
        <w:rPr>
          <w:vertAlign w:val="superscript"/>
        </w:rPr>
        <w:t>991</w:t>
      </w:r>
      <w:r>
        <w:t xml:space="preserve"> The purpose of Articles 6.5 and 6.5.1 is to "balance the goal of ensuring that availability of confidential</w:t>
      </w:r>
      <w:r>
        <w:rPr>
          <w:spacing w:val="-5"/>
        </w:rPr>
        <w:t xml:space="preserve"> </w:t>
      </w:r>
      <w:r>
        <w:t>treatment</w:t>
      </w:r>
      <w:r>
        <w:rPr>
          <w:spacing w:val="-5"/>
        </w:rPr>
        <w:t xml:space="preserve"> </w:t>
      </w:r>
      <w:r>
        <w:t>does</w:t>
      </w:r>
      <w:r>
        <w:rPr>
          <w:spacing w:val="-5"/>
        </w:rPr>
        <w:t xml:space="preserve"> </w:t>
      </w:r>
      <w:r>
        <w:t>not</w:t>
      </w:r>
      <w:r>
        <w:rPr>
          <w:spacing w:val="-5"/>
        </w:rPr>
        <w:t xml:space="preserve"> </w:t>
      </w:r>
      <w:r>
        <w:t>undermine</w:t>
      </w:r>
      <w:r>
        <w:rPr>
          <w:spacing w:val="-2"/>
        </w:rPr>
        <w:t xml:space="preserve"> </w:t>
      </w:r>
      <w:r>
        <w:t>the</w:t>
      </w:r>
      <w:r>
        <w:rPr>
          <w:spacing w:val="-4"/>
        </w:rPr>
        <w:t xml:space="preserve"> </w:t>
      </w:r>
      <w:r>
        <w:t>transparency</w:t>
      </w:r>
      <w:r>
        <w:rPr>
          <w:spacing w:val="-5"/>
        </w:rPr>
        <w:t xml:space="preserve"> </w:t>
      </w:r>
      <w:r>
        <w:t>of</w:t>
      </w:r>
      <w:r>
        <w:rPr>
          <w:spacing w:val="-5"/>
        </w:rPr>
        <w:t xml:space="preserve"> </w:t>
      </w:r>
      <w:r>
        <w:t>the</w:t>
      </w:r>
      <w:r>
        <w:rPr>
          <w:spacing w:val="-4"/>
        </w:rPr>
        <w:t xml:space="preserve"> </w:t>
      </w:r>
      <w:r>
        <w:t>investigative</w:t>
      </w:r>
      <w:r>
        <w:rPr>
          <w:spacing w:val="-3"/>
        </w:rPr>
        <w:t xml:space="preserve"> </w:t>
      </w:r>
      <w:r>
        <w:t>process".</w:t>
      </w:r>
      <w:r>
        <w:rPr>
          <w:vertAlign w:val="superscript"/>
        </w:rPr>
        <w:t>992</w:t>
      </w:r>
      <w:r>
        <w:t xml:space="preserve"> The interest of the submitting party in maintaining confidentiality during the investigation must be balanced against the rights of all other interested parties to be reasonably informed about the substance of the information in order to be able to defend</w:t>
      </w:r>
      <w:r>
        <w:t xml:space="preserve"> their interests.</w:t>
      </w:r>
      <w:r>
        <w:rPr>
          <w:vertAlign w:val="superscript"/>
        </w:rPr>
        <w:t>993</w:t>
      </w:r>
    </w:p>
    <w:p w14:paraId="51DE965D" w14:textId="77777777" w:rsidR="0010369C" w:rsidRDefault="0010369C">
      <w:pPr>
        <w:pStyle w:val="BodyText"/>
        <w:spacing w:before="11"/>
        <w:rPr>
          <w:sz w:val="8"/>
        </w:rPr>
      </w:pPr>
    </w:p>
    <w:p w14:paraId="51DE965E" w14:textId="77777777" w:rsidR="0010369C" w:rsidRDefault="008E43AE">
      <w:pPr>
        <w:pStyle w:val="BodyText"/>
        <w:spacing w:before="52" w:line="360" w:lineRule="auto"/>
        <w:ind w:left="236" w:right="613" w:firstLine="852"/>
        <w:jc w:val="both"/>
      </w:pPr>
      <w:r>
        <w:rPr>
          <w:noProof/>
        </w:rPr>
        <w:drawing>
          <wp:anchor distT="0" distB="0" distL="0" distR="0" simplePos="0" relativeHeight="251436544" behindDoc="1" locked="0" layoutInCell="1" allowOverlap="1" wp14:anchorId="51DEA700" wp14:editId="51DEA701">
            <wp:simplePos x="0" y="0"/>
            <wp:positionH relativeFrom="page">
              <wp:posOffset>902208</wp:posOffset>
            </wp:positionH>
            <wp:positionV relativeFrom="paragraph">
              <wp:posOffset>76785</wp:posOffset>
            </wp:positionV>
            <wp:extent cx="262127" cy="106679"/>
            <wp:effectExtent l="0" t="0" r="0" b="0"/>
            <wp:wrapNone/>
            <wp:docPr id="1637" name="image8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 name="image846.png"/>
                    <pic:cNvPicPr/>
                  </pic:nvPicPr>
                  <pic:blipFill>
                    <a:blip r:embed="rId1105" cstate="print"/>
                    <a:stretch>
                      <a:fillRect/>
                    </a:stretch>
                  </pic:blipFill>
                  <pic:spPr>
                    <a:xfrm>
                      <a:off x="0" y="0"/>
                      <a:ext cx="262127" cy="106679"/>
                    </a:xfrm>
                    <a:prstGeom prst="rect">
                      <a:avLst/>
                    </a:prstGeom>
                  </pic:spPr>
                </pic:pic>
              </a:graphicData>
            </a:graphic>
          </wp:anchor>
        </w:drawing>
      </w:r>
      <w:r>
        <w:t>A</w:t>
      </w:r>
      <w:r>
        <w:rPr>
          <w:spacing w:val="-12"/>
        </w:rPr>
        <w:t xml:space="preserve"> </w:t>
      </w:r>
      <w:r>
        <w:t>non‐confidential</w:t>
      </w:r>
      <w:r>
        <w:rPr>
          <w:spacing w:val="-13"/>
        </w:rPr>
        <w:t xml:space="preserve"> </w:t>
      </w:r>
      <w:r>
        <w:t>summary</w:t>
      </w:r>
      <w:r>
        <w:rPr>
          <w:spacing w:val="-12"/>
        </w:rPr>
        <w:t xml:space="preserve"> </w:t>
      </w:r>
      <w:r>
        <w:t>must</w:t>
      </w:r>
      <w:r>
        <w:rPr>
          <w:spacing w:val="-12"/>
        </w:rPr>
        <w:t xml:space="preserve"> </w:t>
      </w:r>
      <w:r>
        <w:t>be</w:t>
      </w:r>
      <w:r>
        <w:rPr>
          <w:spacing w:val="-12"/>
        </w:rPr>
        <w:t xml:space="preserve"> </w:t>
      </w:r>
      <w:r>
        <w:t>provided</w:t>
      </w:r>
      <w:r>
        <w:rPr>
          <w:spacing w:val="-12"/>
        </w:rPr>
        <w:t xml:space="preserve"> </w:t>
      </w:r>
      <w:r>
        <w:t>by</w:t>
      </w:r>
      <w:r>
        <w:rPr>
          <w:spacing w:val="-12"/>
        </w:rPr>
        <w:t xml:space="preserve"> </w:t>
      </w:r>
      <w:r>
        <w:t>the</w:t>
      </w:r>
      <w:r>
        <w:rPr>
          <w:spacing w:val="-12"/>
        </w:rPr>
        <w:t xml:space="preserve"> </w:t>
      </w:r>
      <w:r>
        <w:t>interested</w:t>
      </w:r>
      <w:r>
        <w:rPr>
          <w:spacing w:val="-12"/>
        </w:rPr>
        <w:t xml:space="preserve"> </w:t>
      </w:r>
      <w:r>
        <w:t>party</w:t>
      </w:r>
      <w:r>
        <w:rPr>
          <w:spacing w:val="-11"/>
        </w:rPr>
        <w:t xml:space="preserve"> </w:t>
      </w:r>
      <w:r>
        <w:t>submitting</w:t>
      </w:r>
      <w:r>
        <w:rPr>
          <w:spacing w:val="-12"/>
        </w:rPr>
        <w:t xml:space="preserve"> </w:t>
      </w:r>
      <w:r>
        <w:t>the information.</w:t>
      </w:r>
      <w:r>
        <w:rPr>
          <w:spacing w:val="-8"/>
        </w:rPr>
        <w:t xml:space="preserve"> </w:t>
      </w:r>
      <w:r>
        <w:t>Subsequent</w:t>
      </w:r>
      <w:r>
        <w:rPr>
          <w:spacing w:val="-9"/>
        </w:rPr>
        <w:t xml:space="preserve"> </w:t>
      </w:r>
      <w:r>
        <w:t>analysis</w:t>
      </w:r>
      <w:r>
        <w:rPr>
          <w:spacing w:val="-10"/>
        </w:rPr>
        <w:t xml:space="preserve"> </w:t>
      </w:r>
      <w:r>
        <w:t>or</w:t>
      </w:r>
      <w:r>
        <w:rPr>
          <w:spacing w:val="-8"/>
        </w:rPr>
        <w:t xml:space="preserve"> </w:t>
      </w:r>
      <w:r>
        <w:t>summation</w:t>
      </w:r>
      <w:r>
        <w:rPr>
          <w:spacing w:val="-9"/>
        </w:rPr>
        <w:t xml:space="preserve"> </w:t>
      </w:r>
      <w:r>
        <w:t>by</w:t>
      </w:r>
      <w:r>
        <w:rPr>
          <w:spacing w:val="-8"/>
        </w:rPr>
        <w:t xml:space="preserve"> </w:t>
      </w:r>
      <w:r>
        <w:t>the</w:t>
      </w:r>
      <w:r>
        <w:rPr>
          <w:spacing w:val="-9"/>
        </w:rPr>
        <w:t xml:space="preserve"> </w:t>
      </w:r>
      <w:r>
        <w:t>investigating</w:t>
      </w:r>
      <w:r>
        <w:rPr>
          <w:spacing w:val="-7"/>
        </w:rPr>
        <w:t xml:space="preserve"> </w:t>
      </w:r>
      <w:r>
        <w:t>authority</w:t>
      </w:r>
      <w:r>
        <w:rPr>
          <w:spacing w:val="-9"/>
        </w:rPr>
        <w:t xml:space="preserve"> </w:t>
      </w:r>
      <w:r>
        <w:t>cannot</w:t>
      </w:r>
      <w:r>
        <w:rPr>
          <w:spacing w:val="-10"/>
        </w:rPr>
        <w:t xml:space="preserve"> </w:t>
      </w:r>
      <w:r>
        <w:t>remedy the absence of, or shortcomings in, a non‐confidential summary.</w:t>
      </w:r>
      <w:r>
        <w:rPr>
          <w:vertAlign w:val="superscript"/>
        </w:rPr>
        <w:t>994</w:t>
      </w:r>
      <w:r>
        <w:t xml:space="preserve"> It is insufficient for there to merely be a possibility that an interested party could derive or infer from context the possible nature of the confidential information by having rega</w:t>
      </w:r>
      <w:r>
        <w:t>rd to what is absent or redacted.</w:t>
      </w:r>
      <w:r>
        <w:rPr>
          <w:vertAlign w:val="superscript"/>
        </w:rPr>
        <w:t>995</w:t>
      </w:r>
      <w:r>
        <w:t xml:space="preserve"> A summary must contain sufficient detail to understand the "substance" of the</w:t>
      </w:r>
    </w:p>
    <w:p w14:paraId="51DE965F" w14:textId="77777777" w:rsidR="0010369C" w:rsidRDefault="0010369C">
      <w:pPr>
        <w:pStyle w:val="BodyText"/>
        <w:rPr>
          <w:sz w:val="20"/>
        </w:rPr>
      </w:pPr>
    </w:p>
    <w:p w14:paraId="51DE9660" w14:textId="77777777" w:rsidR="0010369C" w:rsidRDefault="0010369C">
      <w:pPr>
        <w:pStyle w:val="BodyText"/>
        <w:rPr>
          <w:sz w:val="20"/>
        </w:rPr>
      </w:pPr>
    </w:p>
    <w:p w14:paraId="51DE9661" w14:textId="77777777" w:rsidR="0010369C" w:rsidRDefault="008E43AE">
      <w:pPr>
        <w:pStyle w:val="BodyText"/>
        <w:spacing w:before="7"/>
        <w:rPr>
          <w:sz w:val="11"/>
        </w:rPr>
      </w:pPr>
      <w:r>
        <w:pict w14:anchorId="51DEA702">
          <v:rect id="docshape1275" o:spid="_x0000_s1159" style="position:absolute;margin-left:70.9pt;margin-top:8.3pt;width:2in;height:.8pt;z-index:-250738176;mso-wrap-distance-left:0;mso-wrap-distance-right:0;mso-position-horizontal-relative:page" fillcolor="black" stroked="f">
            <w10:wrap type="topAndBottom" anchorx="page"/>
          </v:rect>
        </w:pict>
      </w:r>
    </w:p>
    <w:p w14:paraId="51DE9662" w14:textId="77777777" w:rsidR="0010369C" w:rsidRDefault="008E43AE">
      <w:pPr>
        <w:spacing w:before="109"/>
        <w:ind w:left="238"/>
        <w:rPr>
          <w:sz w:val="18"/>
        </w:rPr>
      </w:pPr>
      <w:r>
        <w:rPr>
          <w:sz w:val="18"/>
          <w:vertAlign w:val="superscript"/>
        </w:rPr>
        <w:t>988</w:t>
      </w:r>
      <w:r>
        <w:rPr>
          <w:spacing w:val="-6"/>
          <w:sz w:val="18"/>
        </w:rPr>
        <w:t xml:space="preserve"> </w:t>
      </w:r>
      <w:r>
        <w:rPr>
          <w:sz w:val="18"/>
        </w:rPr>
        <w:t>Appellate</w:t>
      </w:r>
      <w:r>
        <w:rPr>
          <w:spacing w:val="-5"/>
          <w:sz w:val="18"/>
        </w:rPr>
        <w:t xml:space="preserve"> </w:t>
      </w:r>
      <w:r>
        <w:rPr>
          <w:sz w:val="18"/>
        </w:rPr>
        <w:t>Body</w:t>
      </w:r>
      <w:r>
        <w:rPr>
          <w:spacing w:val="-7"/>
          <w:sz w:val="18"/>
        </w:rPr>
        <w:t xml:space="preserve"> </w:t>
      </w:r>
      <w:r>
        <w:rPr>
          <w:sz w:val="18"/>
        </w:rPr>
        <w:t>Reports,</w:t>
      </w:r>
      <w:r>
        <w:rPr>
          <w:spacing w:val="-6"/>
          <w:sz w:val="18"/>
        </w:rPr>
        <w:t xml:space="preserve"> </w:t>
      </w:r>
      <w:r>
        <w:rPr>
          <w:i/>
          <w:sz w:val="18"/>
        </w:rPr>
        <w:t>China</w:t>
      </w:r>
      <w:r>
        <w:rPr>
          <w:i/>
          <w:spacing w:val="-5"/>
          <w:sz w:val="18"/>
        </w:rPr>
        <w:t xml:space="preserve"> </w:t>
      </w:r>
      <w:r>
        <w:rPr>
          <w:i/>
          <w:sz w:val="18"/>
        </w:rPr>
        <w:t>–</w:t>
      </w:r>
      <w:r>
        <w:rPr>
          <w:i/>
          <w:spacing w:val="-5"/>
          <w:sz w:val="18"/>
        </w:rPr>
        <w:t xml:space="preserve"> </w:t>
      </w:r>
      <w:r>
        <w:rPr>
          <w:i/>
          <w:sz w:val="18"/>
        </w:rPr>
        <w:t>HP‐SSST</w:t>
      </w:r>
      <w:r>
        <w:rPr>
          <w:i/>
          <w:spacing w:val="-6"/>
          <w:sz w:val="18"/>
        </w:rPr>
        <w:t xml:space="preserve"> </w:t>
      </w:r>
      <w:r>
        <w:rPr>
          <w:i/>
          <w:sz w:val="18"/>
        </w:rPr>
        <w:t>(Japan)</w:t>
      </w:r>
      <w:r>
        <w:rPr>
          <w:sz w:val="18"/>
        </w:rPr>
        <w:t>,</w:t>
      </w:r>
      <w:r>
        <w:rPr>
          <w:spacing w:val="-6"/>
          <w:sz w:val="18"/>
        </w:rPr>
        <w:t xml:space="preserve"> </w:t>
      </w:r>
      <w:r>
        <w:rPr>
          <w:sz w:val="18"/>
        </w:rPr>
        <w:t>para.</w:t>
      </w:r>
      <w:r>
        <w:rPr>
          <w:spacing w:val="-5"/>
          <w:sz w:val="18"/>
        </w:rPr>
        <w:t xml:space="preserve"> </w:t>
      </w:r>
      <w:r>
        <w:rPr>
          <w:sz w:val="18"/>
        </w:rPr>
        <w:t>5.95;</w:t>
      </w:r>
      <w:r>
        <w:rPr>
          <w:spacing w:val="-6"/>
          <w:sz w:val="18"/>
        </w:rPr>
        <w:t xml:space="preserve"> </w:t>
      </w:r>
      <w:r>
        <w:rPr>
          <w:sz w:val="18"/>
        </w:rPr>
        <w:t>and</w:t>
      </w:r>
      <w:r>
        <w:rPr>
          <w:spacing w:val="-7"/>
          <w:sz w:val="18"/>
        </w:rPr>
        <w:t xml:space="preserve"> </w:t>
      </w:r>
      <w:r>
        <w:rPr>
          <w:i/>
          <w:sz w:val="18"/>
        </w:rPr>
        <w:t>EC</w:t>
      </w:r>
      <w:r>
        <w:rPr>
          <w:i/>
          <w:spacing w:val="-6"/>
          <w:sz w:val="18"/>
        </w:rPr>
        <w:t xml:space="preserve"> </w:t>
      </w:r>
      <w:r>
        <w:rPr>
          <w:i/>
          <w:sz w:val="18"/>
        </w:rPr>
        <w:t>–</w:t>
      </w:r>
      <w:r>
        <w:rPr>
          <w:i/>
          <w:spacing w:val="-5"/>
          <w:sz w:val="18"/>
        </w:rPr>
        <w:t xml:space="preserve"> </w:t>
      </w:r>
      <w:r>
        <w:rPr>
          <w:i/>
          <w:sz w:val="18"/>
        </w:rPr>
        <w:t>Fasteners</w:t>
      </w:r>
      <w:r>
        <w:rPr>
          <w:i/>
          <w:spacing w:val="-6"/>
          <w:sz w:val="18"/>
        </w:rPr>
        <w:t xml:space="preserve"> </w:t>
      </w:r>
      <w:r>
        <w:rPr>
          <w:i/>
          <w:sz w:val="18"/>
        </w:rPr>
        <w:t>(China),</w:t>
      </w:r>
      <w:r>
        <w:rPr>
          <w:i/>
          <w:spacing w:val="-7"/>
          <w:sz w:val="18"/>
        </w:rPr>
        <w:t xml:space="preserve"> </w:t>
      </w:r>
      <w:r>
        <w:rPr>
          <w:sz w:val="18"/>
        </w:rPr>
        <w:t>paras.</w:t>
      </w:r>
      <w:r>
        <w:rPr>
          <w:spacing w:val="-5"/>
          <w:sz w:val="18"/>
        </w:rPr>
        <w:t xml:space="preserve"> </w:t>
      </w:r>
      <w:r>
        <w:rPr>
          <w:spacing w:val="-2"/>
          <w:sz w:val="18"/>
        </w:rPr>
        <w:t>536‐537.</w:t>
      </w:r>
    </w:p>
    <w:p w14:paraId="51DE9663" w14:textId="77777777" w:rsidR="0010369C" w:rsidRDefault="008E43AE">
      <w:pPr>
        <w:ind w:left="238" w:right="614"/>
        <w:rPr>
          <w:sz w:val="18"/>
        </w:rPr>
      </w:pPr>
      <w:r>
        <w:rPr>
          <w:sz w:val="18"/>
          <w:vertAlign w:val="superscript"/>
        </w:rPr>
        <w:t>989</w:t>
      </w:r>
      <w:r>
        <w:rPr>
          <w:sz w:val="18"/>
        </w:rPr>
        <w:t xml:space="preserve"> The obligatory nature of this requirement is clear notwithstanding that the Anti‐Dumping Agreement does not set out specific sanctions to penalise parties that fail to comply: Appellate Body Report, </w:t>
      </w:r>
      <w:r>
        <w:rPr>
          <w:i/>
          <w:sz w:val="18"/>
        </w:rPr>
        <w:t>EC – Fasteners (China)</w:t>
      </w:r>
      <w:r>
        <w:rPr>
          <w:sz w:val="18"/>
        </w:rPr>
        <w:t>, paras. 549.</w:t>
      </w:r>
    </w:p>
    <w:p w14:paraId="51DE9664" w14:textId="77777777" w:rsidR="0010369C" w:rsidRDefault="008E43AE">
      <w:pPr>
        <w:ind w:left="238" w:right="611"/>
        <w:rPr>
          <w:sz w:val="18"/>
        </w:rPr>
      </w:pPr>
      <w:r>
        <w:rPr>
          <w:sz w:val="18"/>
          <w:vertAlign w:val="superscript"/>
        </w:rPr>
        <w:t>990</w:t>
      </w:r>
      <w:r>
        <w:rPr>
          <w:spacing w:val="19"/>
          <w:sz w:val="18"/>
        </w:rPr>
        <w:t xml:space="preserve"> </w:t>
      </w:r>
      <w:r>
        <w:rPr>
          <w:sz w:val="18"/>
        </w:rPr>
        <w:t>Appellate</w:t>
      </w:r>
      <w:r>
        <w:rPr>
          <w:spacing w:val="19"/>
          <w:sz w:val="18"/>
        </w:rPr>
        <w:t xml:space="preserve"> </w:t>
      </w:r>
      <w:r>
        <w:rPr>
          <w:sz w:val="18"/>
        </w:rPr>
        <w:t>Body</w:t>
      </w:r>
      <w:r>
        <w:rPr>
          <w:spacing w:val="18"/>
          <w:sz w:val="18"/>
        </w:rPr>
        <w:t xml:space="preserve"> </w:t>
      </w:r>
      <w:r>
        <w:rPr>
          <w:sz w:val="18"/>
        </w:rPr>
        <w:t>R</w:t>
      </w:r>
      <w:r>
        <w:rPr>
          <w:sz w:val="18"/>
        </w:rPr>
        <w:t>eport,</w:t>
      </w:r>
      <w:r>
        <w:rPr>
          <w:spacing w:val="20"/>
          <w:sz w:val="18"/>
        </w:rPr>
        <w:t xml:space="preserve"> </w:t>
      </w:r>
      <w:r>
        <w:rPr>
          <w:i/>
          <w:sz w:val="18"/>
        </w:rPr>
        <w:t>EC</w:t>
      </w:r>
      <w:r>
        <w:rPr>
          <w:i/>
          <w:spacing w:val="19"/>
          <w:sz w:val="18"/>
        </w:rPr>
        <w:t xml:space="preserve"> </w:t>
      </w:r>
      <w:r>
        <w:rPr>
          <w:i/>
          <w:sz w:val="18"/>
        </w:rPr>
        <w:t>–</w:t>
      </w:r>
      <w:r>
        <w:rPr>
          <w:i/>
          <w:spacing w:val="19"/>
          <w:sz w:val="18"/>
        </w:rPr>
        <w:t xml:space="preserve"> </w:t>
      </w:r>
      <w:r>
        <w:rPr>
          <w:i/>
          <w:sz w:val="18"/>
        </w:rPr>
        <w:t>Fasteners</w:t>
      </w:r>
      <w:r>
        <w:rPr>
          <w:i/>
          <w:spacing w:val="18"/>
          <w:sz w:val="18"/>
        </w:rPr>
        <w:t xml:space="preserve"> </w:t>
      </w:r>
      <w:r>
        <w:rPr>
          <w:i/>
          <w:sz w:val="18"/>
        </w:rPr>
        <w:t>(China),</w:t>
      </w:r>
      <w:r>
        <w:rPr>
          <w:i/>
          <w:spacing w:val="19"/>
          <w:sz w:val="18"/>
        </w:rPr>
        <w:t xml:space="preserve"> </w:t>
      </w:r>
      <w:r>
        <w:rPr>
          <w:sz w:val="18"/>
        </w:rPr>
        <w:t>para.</w:t>
      </w:r>
      <w:r>
        <w:rPr>
          <w:spacing w:val="19"/>
          <w:sz w:val="18"/>
        </w:rPr>
        <w:t xml:space="preserve"> </w:t>
      </w:r>
      <w:r>
        <w:rPr>
          <w:sz w:val="18"/>
        </w:rPr>
        <w:t>542.</w:t>
      </w:r>
      <w:r>
        <w:rPr>
          <w:spacing w:val="18"/>
          <w:sz w:val="18"/>
        </w:rPr>
        <w:t xml:space="preserve"> </w:t>
      </w:r>
      <w:r>
        <w:rPr>
          <w:sz w:val="18"/>
        </w:rPr>
        <w:t>(footnotes</w:t>
      </w:r>
      <w:r>
        <w:rPr>
          <w:spacing w:val="19"/>
          <w:sz w:val="18"/>
        </w:rPr>
        <w:t xml:space="preserve"> </w:t>
      </w:r>
      <w:r>
        <w:rPr>
          <w:sz w:val="18"/>
        </w:rPr>
        <w:t>omitted);</w:t>
      </w:r>
      <w:r>
        <w:rPr>
          <w:spacing w:val="18"/>
          <w:sz w:val="18"/>
        </w:rPr>
        <w:t xml:space="preserve"> </w:t>
      </w:r>
      <w:r>
        <w:rPr>
          <w:sz w:val="18"/>
        </w:rPr>
        <w:t>cited</w:t>
      </w:r>
      <w:r>
        <w:rPr>
          <w:spacing w:val="19"/>
          <w:sz w:val="18"/>
        </w:rPr>
        <w:t xml:space="preserve"> </w:t>
      </w:r>
      <w:r>
        <w:rPr>
          <w:sz w:val="18"/>
        </w:rPr>
        <w:t>with</w:t>
      </w:r>
      <w:r>
        <w:rPr>
          <w:spacing w:val="18"/>
          <w:sz w:val="18"/>
        </w:rPr>
        <w:t xml:space="preserve"> </w:t>
      </w:r>
      <w:r>
        <w:rPr>
          <w:sz w:val="18"/>
        </w:rPr>
        <w:t>approval</w:t>
      </w:r>
      <w:r>
        <w:rPr>
          <w:spacing w:val="19"/>
          <w:sz w:val="18"/>
        </w:rPr>
        <w:t xml:space="preserve"> </w:t>
      </w:r>
      <w:r>
        <w:rPr>
          <w:sz w:val="18"/>
        </w:rPr>
        <w:t>in</w:t>
      </w:r>
      <w:r>
        <w:rPr>
          <w:spacing w:val="19"/>
          <w:sz w:val="18"/>
        </w:rPr>
        <w:t xml:space="preserve"> </w:t>
      </w:r>
      <w:r>
        <w:rPr>
          <w:sz w:val="18"/>
        </w:rPr>
        <w:t>Appellate</w:t>
      </w:r>
      <w:r>
        <w:rPr>
          <w:spacing w:val="18"/>
          <w:sz w:val="18"/>
        </w:rPr>
        <w:t xml:space="preserve"> </w:t>
      </w:r>
      <w:r>
        <w:rPr>
          <w:sz w:val="18"/>
        </w:rPr>
        <w:t xml:space="preserve">Body Reports, </w:t>
      </w:r>
      <w:r>
        <w:rPr>
          <w:i/>
          <w:sz w:val="18"/>
        </w:rPr>
        <w:t>China – HP‐SSST (Japan) / China – HP‐SSST (EU)</w:t>
      </w:r>
      <w:r>
        <w:rPr>
          <w:sz w:val="18"/>
        </w:rPr>
        <w:t>, para. 5.95.</w:t>
      </w:r>
    </w:p>
    <w:p w14:paraId="51DE9665" w14:textId="77777777" w:rsidR="0010369C" w:rsidRDefault="008E43AE">
      <w:pPr>
        <w:ind w:left="238" w:right="613" w:hanging="1"/>
        <w:jc w:val="both"/>
        <w:rPr>
          <w:sz w:val="18"/>
        </w:rPr>
      </w:pPr>
      <w:r>
        <w:rPr>
          <w:sz w:val="18"/>
          <w:vertAlign w:val="superscript"/>
        </w:rPr>
        <w:t>991</w:t>
      </w:r>
      <w:r>
        <w:rPr>
          <w:sz w:val="18"/>
        </w:rPr>
        <w:t xml:space="preserve"> Appellate Body Report, </w:t>
      </w:r>
      <w:r>
        <w:rPr>
          <w:i/>
          <w:sz w:val="18"/>
        </w:rPr>
        <w:t>EC – Fasteners (China)</w:t>
      </w:r>
      <w:r>
        <w:rPr>
          <w:sz w:val="18"/>
        </w:rPr>
        <w:t xml:space="preserve">, para. 542. See also Panel Reports, </w:t>
      </w:r>
      <w:r>
        <w:rPr>
          <w:i/>
          <w:sz w:val="18"/>
        </w:rPr>
        <w:t>China – Broiler Products</w:t>
      </w:r>
      <w:r>
        <w:rPr>
          <w:sz w:val="18"/>
        </w:rPr>
        <w:t xml:space="preserve">, para. 7.50; </w:t>
      </w:r>
      <w:r>
        <w:rPr>
          <w:i/>
          <w:sz w:val="18"/>
        </w:rPr>
        <w:t>China – GOES</w:t>
      </w:r>
      <w:r>
        <w:rPr>
          <w:sz w:val="18"/>
        </w:rPr>
        <w:t xml:space="preserve">, para. 7.188; </w:t>
      </w:r>
      <w:r>
        <w:rPr>
          <w:i/>
          <w:sz w:val="18"/>
        </w:rPr>
        <w:t>Mexico – Steel Pipes and Tubes</w:t>
      </w:r>
      <w:r>
        <w:rPr>
          <w:sz w:val="18"/>
        </w:rPr>
        <w:t xml:space="preserve">, paras. 7.379‐7.380; and </w:t>
      </w:r>
      <w:r>
        <w:rPr>
          <w:i/>
          <w:sz w:val="18"/>
        </w:rPr>
        <w:t>US – Oil Country Tubular Goods Sunset Reviews (Article 21.5 – Argentina)</w:t>
      </w:r>
      <w:r>
        <w:rPr>
          <w:sz w:val="18"/>
        </w:rPr>
        <w:t>, para. 7.133.</w:t>
      </w:r>
    </w:p>
    <w:p w14:paraId="51DE9666" w14:textId="77777777" w:rsidR="0010369C" w:rsidRDefault="008E43AE">
      <w:pPr>
        <w:ind w:left="238"/>
        <w:jc w:val="both"/>
        <w:rPr>
          <w:sz w:val="18"/>
        </w:rPr>
      </w:pPr>
      <w:r>
        <w:rPr>
          <w:sz w:val="18"/>
          <w:vertAlign w:val="superscript"/>
        </w:rPr>
        <w:t>992</w:t>
      </w:r>
      <w:r>
        <w:rPr>
          <w:spacing w:val="-6"/>
          <w:sz w:val="18"/>
        </w:rPr>
        <w:t xml:space="preserve"> </w:t>
      </w:r>
      <w:r>
        <w:rPr>
          <w:sz w:val="18"/>
        </w:rPr>
        <w:t>Appella</w:t>
      </w:r>
      <w:r>
        <w:rPr>
          <w:sz w:val="18"/>
        </w:rPr>
        <w:t>te</w:t>
      </w:r>
      <w:r>
        <w:rPr>
          <w:spacing w:val="-5"/>
          <w:sz w:val="18"/>
        </w:rPr>
        <w:t xml:space="preserve"> </w:t>
      </w:r>
      <w:r>
        <w:rPr>
          <w:sz w:val="18"/>
        </w:rPr>
        <w:t>Body</w:t>
      </w:r>
      <w:r>
        <w:rPr>
          <w:spacing w:val="-8"/>
          <w:sz w:val="18"/>
        </w:rPr>
        <w:t xml:space="preserve"> </w:t>
      </w:r>
      <w:r>
        <w:rPr>
          <w:sz w:val="18"/>
        </w:rPr>
        <w:t>Report,</w:t>
      </w:r>
      <w:r>
        <w:rPr>
          <w:spacing w:val="-5"/>
          <w:sz w:val="18"/>
        </w:rPr>
        <w:t xml:space="preserve"> </w:t>
      </w:r>
      <w:r>
        <w:rPr>
          <w:i/>
          <w:sz w:val="18"/>
        </w:rPr>
        <w:t>EC</w:t>
      </w:r>
      <w:r>
        <w:rPr>
          <w:i/>
          <w:spacing w:val="-6"/>
          <w:sz w:val="18"/>
        </w:rPr>
        <w:t xml:space="preserve"> </w:t>
      </w:r>
      <w:r>
        <w:rPr>
          <w:i/>
          <w:sz w:val="18"/>
        </w:rPr>
        <w:t>–</w:t>
      </w:r>
      <w:r>
        <w:rPr>
          <w:i/>
          <w:spacing w:val="-6"/>
          <w:sz w:val="18"/>
        </w:rPr>
        <w:t xml:space="preserve"> </w:t>
      </w:r>
      <w:r>
        <w:rPr>
          <w:i/>
          <w:sz w:val="18"/>
        </w:rPr>
        <w:t>Fasteners</w:t>
      </w:r>
      <w:r>
        <w:rPr>
          <w:i/>
          <w:spacing w:val="-5"/>
          <w:sz w:val="18"/>
        </w:rPr>
        <w:t xml:space="preserve"> </w:t>
      </w:r>
      <w:r>
        <w:rPr>
          <w:i/>
          <w:sz w:val="18"/>
        </w:rPr>
        <w:t>(China)</w:t>
      </w:r>
      <w:r>
        <w:rPr>
          <w:sz w:val="18"/>
        </w:rPr>
        <w:t>,</w:t>
      </w:r>
      <w:r>
        <w:rPr>
          <w:spacing w:val="-7"/>
          <w:sz w:val="18"/>
        </w:rPr>
        <w:t xml:space="preserve"> </w:t>
      </w:r>
      <w:r>
        <w:rPr>
          <w:sz w:val="18"/>
        </w:rPr>
        <w:t>para.</w:t>
      </w:r>
      <w:r>
        <w:rPr>
          <w:spacing w:val="-5"/>
          <w:sz w:val="18"/>
        </w:rPr>
        <w:t xml:space="preserve"> </w:t>
      </w:r>
      <w:r>
        <w:rPr>
          <w:sz w:val="18"/>
        </w:rPr>
        <w:t>542</w:t>
      </w:r>
      <w:r>
        <w:rPr>
          <w:spacing w:val="-5"/>
          <w:sz w:val="18"/>
        </w:rPr>
        <w:t xml:space="preserve"> </w:t>
      </w:r>
      <w:r>
        <w:rPr>
          <w:sz w:val="18"/>
        </w:rPr>
        <w:t>(citing</w:t>
      </w:r>
      <w:r>
        <w:rPr>
          <w:spacing w:val="-6"/>
          <w:sz w:val="18"/>
        </w:rPr>
        <w:t xml:space="preserve"> </w:t>
      </w:r>
      <w:r>
        <w:rPr>
          <w:sz w:val="18"/>
        </w:rPr>
        <w:t>Panel</w:t>
      </w:r>
      <w:r>
        <w:rPr>
          <w:spacing w:val="-6"/>
          <w:sz w:val="18"/>
        </w:rPr>
        <w:t xml:space="preserve"> </w:t>
      </w:r>
      <w:r>
        <w:rPr>
          <w:sz w:val="18"/>
        </w:rPr>
        <w:t>Report,</w:t>
      </w:r>
      <w:r>
        <w:rPr>
          <w:spacing w:val="-6"/>
          <w:sz w:val="18"/>
        </w:rPr>
        <w:t xml:space="preserve"> </w:t>
      </w:r>
      <w:r>
        <w:rPr>
          <w:i/>
          <w:sz w:val="18"/>
        </w:rPr>
        <w:t>EC</w:t>
      </w:r>
      <w:r>
        <w:rPr>
          <w:i/>
          <w:spacing w:val="-5"/>
          <w:sz w:val="18"/>
        </w:rPr>
        <w:t xml:space="preserve"> </w:t>
      </w:r>
      <w:r>
        <w:rPr>
          <w:i/>
          <w:sz w:val="18"/>
        </w:rPr>
        <w:t>–</w:t>
      </w:r>
      <w:r>
        <w:rPr>
          <w:i/>
          <w:spacing w:val="-5"/>
          <w:sz w:val="18"/>
        </w:rPr>
        <w:t xml:space="preserve"> </w:t>
      </w:r>
      <w:r>
        <w:rPr>
          <w:i/>
          <w:sz w:val="18"/>
        </w:rPr>
        <w:t>Fasteners</w:t>
      </w:r>
      <w:r>
        <w:rPr>
          <w:i/>
          <w:spacing w:val="-7"/>
          <w:sz w:val="18"/>
        </w:rPr>
        <w:t xml:space="preserve"> </w:t>
      </w:r>
      <w:r>
        <w:rPr>
          <w:i/>
          <w:sz w:val="18"/>
        </w:rPr>
        <w:t>(China)</w:t>
      </w:r>
      <w:r>
        <w:rPr>
          <w:sz w:val="18"/>
        </w:rPr>
        <w:t>,</w:t>
      </w:r>
      <w:r>
        <w:rPr>
          <w:spacing w:val="-6"/>
          <w:sz w:val="18"/>
        </w:rPr>
        <w:t xml:space="preserve"> </w:t>
      </w:r>
      <w:r>
        <w:rPr>
          <w:sz w:val="18"/>
        </w:rPr>
        <w:t>para.</w:t>
      </w:r>
      <w:r>
        <w:rPr>
          <w:spacing w:val="-6"/>
          <w:sz w:val="18"/>
        </w:rPr>
        <w:t xml:space="preserve"> </w:t>
      </w:r>
      <w:r>
        <w:rPr>
          <w:spacing w:val="-2"/>
          <w:sz w:val="18"/>
        </w:rPr>
        <w:t>7.515).</w:t>
      </w:r>
    </w:p>
    <w:p w14:paraId="51DE9667" w14:textId="77777777" w:rsidR="0010369C" w:rsidRDefault="008E43AE">
      <w:pPr>
        <w:ind w:left="238"/>
        <w:jc w:val="both"/>
        <w:rPr>
          <w:sz w:val="18"/>
        </w:rPr>
      </w:pPr>
      <w:r>
        <w:rPr>
          <w:sz w:val="18"/>
          <w:vertAlign w:val="superscript"/>
        </w:rPr>
        <w:t>993</w:t>
      </w:r>
      <w:r>
        <w:rPr>
          <w:spacing w:val="-6"/>
          <w:sz w:val="18"/>
        </w:rPr>
        <w:t xml:space="preserve"> </w:t>
      </w:r>
      <w:r>
        <w:rPr>
          <w:sz w:val="18"/>
        </w:rPr>
        <w:t>Panel</w:t>
      </w:r>
      <w:r>
        <w:rPr>
          <w:spacing w:val="-5"/>
          <w:sz w:val="18"/>
        </w:rPr>
        <w:t xml:space="preserve"> </w:t>
      </w:r>
      <w:r>
        <w:rPr>
          <w:sz w:val="18"/>
        </w:rPr>
        <w:t>Report,</w:t>
      </w:r>
      <w:r>
        <w:rPr>
          <w:spacing w:val="-5"/>
          <w:sz w:val="18"/>
        </w:rPr>
        <w:t xml:space="preserve"> </w:t>
      </w:r>
      <w:r>
        <w:rPr>
          <w:i/>
          <w:sz w:val="18"/>
        </w:rPr>
        <w:t>Mexico</w:t>
      </w:r>
      <w:r>
        <w:rPr>
          <w:i/>
          <w:spacing w:val="-6"/>
          <w:sz w:val="18"/>
        </w:rPr>
        <w:t xml:space="preserve"> </w:t>
      </w:r>
      <w:r>
        <w:rPr>
          <w:i/>
          <w:sz w:val="18"/>
        </w:rPr>
        <w:t>–</w:t>
      </w:r>
      <w:r>
        <w:rPr>
          <w:i/>
          <w:spacing w:val="-5"/>
          <w:sz w:val="18"/>
        </w:rPr>
        <w:t xml:space="preserve"> </w:t>
      </w:r>
      <w:r>
        <w:rPr>
          <w:i/>
          <w:sz w:val="18"/>
        </w:rPr>
        <w:t>Steel</w:t>
      </w:r>
      <w:r>
        <w:rPr>
          <w:i/>
          <w:spacing w:val="-6"/>
          <w:sz w:val="18"/>
        </w:rPr>
        <w:t xml:space="preserve"> </w:t>
      </w:r>
      <w:r>
        <w:rPr>
          <w:i/>
          <w:sz w:val="18"/>
        </w:rPr>
        <w:t>Pipes</w:t>
      </w:r>
      <w:r>
        <w:rPr>
          <w:i/>
          <w:spacing w:val="-5"/>
          <w:sz w:val="18"/>
        </w:rPr>
        <w:t xml:space="preserve"> </w:t>
      </w:r>
      <w:r>
        <w:rPr>
          <w:i/>
          <w:sz w:val="18"/>
        </w:rPr>
        <w:t>and</w:t>
      </w:r>
      <w:r>
        <w:rPr>
          <w:i/>
          <w:spacing w:val="-6"/>
          <w:sz w:val="18"/>
        </w:rPr>
        <w:t xml:space="preserve"> </w:t>
      </w:r>
      <w:r>
        <w:rPr>
          <w:i/>
          <w:sz w:val="18"/>
        </w:rPr>
        <w:t>Tubes</w:t>
      </w:r>
      <w:r>
        <w:rPr>
          <w:sz w:val="18"/>
        </w:rPr>
        <w:t>,</w:t>
      </w:r>
      <w:r>
        <w:rPr>
          <w:spacing w:val="-6"/>
          <w:sz w:val="18"/>
        </w:rPr>
        <w:t xml:space="preserve"> </w:t>
      </w:r>
      <w:r>
        <w:rPr>
          <w:sz w:val="18"/>
        </w:rPr>
        <w:t>paras.</w:t>
      </w:r>
      <w:r>
        <w:rPr>
          <w:spacing w:val="-5"/>
          <w:sz w:val="18"/>
        </w:rPr>
        <w:t xml:space="preserve"> </w:t>
      </w:r>
      <w:r>
        <w:rPr>
          <w:spacing w:val="-2"/>
          <w:sz w:val="18"/>
        </w:rPr>
        <w:t>7.380.</w:t>
      </w:r>
    </w:p>
    <w:p w14:paraId="51DE9668" w14:textId="77777777" w:rsidR="0010369C" w:rsidRDefault="008E43AE">
      <w:pPr>
        <w:ind w:left="238"/>
        <w:jc w:val="both"/>
        <w:rPr>
          <w:sz w:val="18"/>
        </w:rPr>
      </w:pPr>
      <w:r>
        <w:rPr>
          <w:sz w:val="18"/>
          <w:vertAlign w:val="superscript"/>
        </w:rPr>
        <w:t>994</w:t>
      </w:r>
      <w:r>
        <w:rPr>
          <w:spacing w:val="-6"/>
          <w:sz w:val="18"/>
        </w:rPr>
        <w:t xml:space="preserve"> </w:t>
      </w:r>
      <w:r>
        <w:rPr>
          <w:sz w:val="18"/>
        </w:rPr>
        <w:t>Panel</w:t>
      </w:r>
      <w:r>
        <w:rPr>
          <w:spacing w:val="-7"/>
          <w:sz w:val="18"/>
        </w:rPr>
        <w:t xml:space="preserve"> </w:t>
      </w:r>
      <w:r>
        <w:rPr>
          <w:sz w:val="18"/>
        </w:rPr>
        <w:t>Report,</w:t>
      </w:r>
      <w:r>
        <w:rPr>
          <w:spacing w:val="-5"/>
          <w:sz w:val="18"/>
        </w:rPr>
        <w:t xml:space="preserve"> </w:t>
      </w:r>
      <w:r>
        <w:rPr>
          <w:i/>
          <w:sz w:val="18"/>
        </w:rPr>
        <w:t>China</w:t>
      </w:r>
      <w:r>
        <w:rPr>
          <w:i/>
          <w:spacing w:val="-6"/>
          <w:sz w:val="18"/>
        </w:rPr>
        <w:t xml:space="preserve"> </w:t>
      </w:r>
      <w:r>
        <w:rPr>
          <w:i/>
          <w:sz w:val="18"/>
        </w:rPr>
        <w:t>–</w:t>
      </w:r>
      <w:r>
        <w:rPr>
          <w:i/>
          <w:spacing w:val="-6"/>
          <w:sz w:val="18"/>
        </w:rPr>
        <w:t xml:space="preserve"> </w:t>
      </w:r>
      <w:r>
        <w:rPr>
          <w:i/>
          <w:sz w:val="18"/>
        </w:rPr>
        <w:t>Broiler</w:t>
      </w:r>
      <w:r>
        <w:rPr>
          <w:i/>
          <w:spacing w:val="-6"/>
          <w:sz w:val="18"/>
        </w:rPr>
        <w:t xml:space="preserve"> </w:t>
      </w:r>
      <w:r>
        <w:rPr>
          <w:i/>
          <w:sz w:val="18"/>
        </w:rPr>
        <w:t>Products</w:t>
      </w:r>
      <w:r>
        <w:rPr>
          <w:sz w:val="18"/>
        </w:rPr>
        <w:t>,</w:t>
      </w:r>
      <w:r>
        <w:rPr>
          <w:spacing w:val="-7"/>
          <w:sz w:val="18"/>
        </w:rPr>
        <w:t xml:space="preserve"> </w:t>
      </w:r>
      <w:r>
        <w:rPr>
          <w:sz w:val="18"/>
        </w:rPr>
        <w:t>para.</w:t>
      </w:r>
      <w:r>
        <w:rPr>
          <w:spacing w:val="-5"/>
          <w:sz w:val="18"/>
        </w:rPr>
        <w:t xml:space="preserve"> </w:t>
      </w:r>
      <w:r>
        <w:rPr>
          <w:spacing w:val="-2"/>
          <w:sz w:val="18"/>
        </w:rPr>
        <w:t>7.53.</w:t>
      </w:r>
    </w:p>
    <w:p w14:paraId="51DE9669" w14:textId="77777777" w:rsidR="0010369C" w:rsidRDefault="008E43AE">
      <w:pPr>
        <w:ind w:left="238"/>
        <w:jc w:val="both"/>
        <w:rPr>
          <w:sz w:val="18"/>
        </w:rPr>
      </w:pPr>
      <w:r>
        <w:rPr>
          <w:sz w:val="18"/>
          <w:vertAlign w:val="superscript"/>
        </w:rPr>
        <w:t>995</w:t>
      </w:r>
      <w:r>
        <w:rPr>
          <w:spacing w:val="-6"/>
          <w:sz w:val="18"/>
        </w:rPr>
        <w:t xml:space="preserve"> </w:t>
      </w:r>
      <w:r>
        <w:rPr>
          <w:sz w:val="18"/>
        </w:rPr>
        <w:t>Panel</w:t>
      </w:r>
      <w:r>
        <w:rPr>
          <w:spacing w:val="-6"/>
          <w:sz w:val="18"/>
        </w:rPr>
        <w:t xml:space="preserve"> </w:t>
      </w:r>
      <w:r>
        <w:rPr>
          <w:sz w:val="18"/>
        </w:rPr>
        <w:t>Report,</w:t>
      </w:r>
      <w:r>
        <w:rPr>
          <w:spacing w:val="-5"/>
          <w:sz w:val="18"/>
        </w:rPr>
        <w:t xml:space="preserve"> </w:t>
      </w:r>
      <w:r>
        <w:rPr>
          <w:i/>
          <w:sz w:val="18"/>
        </w:rPr>
        <w:t>China</w:t>
      </w:r>
      <w:r>
        <w:rPr>
          <w:i/>
          <w:spacing w:val="-6"/>
          <w:sz w:val="18"/>
        </w:rPr>
        <w:t xml:space="preserve"> </w:t>
      </w:r>
      <w:r>
        <w:rPr>
          <w:i/>
          <w:sz w:val="18"/>
        </w:rPr>
        <w:t>–</w:t>
      </w:r>
      <w:r>
        <w:rPr>
          <w:i/>
          <w:spacing w:val="-5"/>
          <w:sz w:val="18"/>
        </w:rPr>
        <w:t xml:space="preserve"> </w:t>
      </w:r>
      <w:r>
        <w:rPr>
          <w:i/>
          <w:sz w:val="18"/>
        </w:rPr>
        <w:t>GOES</w:t>
      </w:r>
      <w:r>
        <w:rPr>
          <w:sz w:val="18"/>
        </w:rPr>
        <w:t>,</w:t>
      </w:r>
      <w:r>
        <w:rPr>
          <w:spacing w:val="-6"/>
          <w:sz w:val="18"/>
        </w:rPr>
        <w:t xml:space="preserve"> </w:t>
      </w:r>
      <w:r>
        <w:rPr>
          <w:sz w:val="18"/>
        </w:rPr>
        <w:t>paras.</w:t>
      </w:r>
      <w:r>
        <w:rPr>
          <w:spacing w:val="-6"/>
          <w:sz w:val="18"/>
        </w:rPr>
        <w:t xml:space="preserve"> </w:t>
      </w:r>
      <w:r>
        <w:rPr>
          <w:spacing w:val="-2"/>
          <w:sz w:val="18"/>
        </w:rPr>
        <w:t>7.224.</w:t>
      </w:r>
    </w:p>
    <w:p w14:paraId="51DE966A" w14:textId="77777777" w:rsidR="0010369C" w:rsidRDefault="0010369C">
      <w:pPr>
        <w:jc w:val="both"/>
        <w:rPr>
          <w:sz w:val="18"/>
        </w:rPr>
        <w:sectPr w:rsidR="0010369C">
          <w:pgSz w:w="11910" w:h="16840"/>
          <w:pgMar w:top="880" w:right="800" w:bottom="980" w:left="1180" w:header="569" w:footer="788" w:gutter="0"/>
          <w:cols w:space="720"/>
        </w:sectPr>
      </w:pPr>
    </w:p>
    <w:p w14:paraId="51DE966B" w14:textId="77777777" w:rsidR="0010369C" w:rsidRDefault="008E43AE">
      <w:pPr>
        <w:tabs>
          <w:tab w:val="left" w:pos="6425"/>
        </w:tabs>
        <w:ind w:left="238"/>
        <w:rPr>
          <w:sz w:val="20"/>
        </w:rPr>
      </w:pPr>
      <w:r>
        <w:rPr>
          <w:i/>
          <w:sz w:val="20"/>
        </w:rPr>
        <w:lastRenderedPageBreak/>
        <w:t>China</w:t>
      </w:r>
      <w:r>
        <w:rPr>
          <w:i/>
          <w:spacing w:val="-5"/>
          <w:sz w:val="20"/>
        </w:rPr>
        <w:t xml:space="preserve"> </w:t>
      </w:r>
      <w:r>
        <w:rPr>
          <w:i/>
          <w:sz w:val="20"/>
        </w:rPr>
        <w:t>–</w:t>
      </w:r>
      <w:r>
        <w:rPr>
          <w:i/>
          <w:spacing w:val="-5"/>
          <w:sz w:val="20"/>
        </w:rPr>
        <w:t xml:space="preserve"> </w:t>
      </w:r>
      <w:r>
        <w:rPr>
          <w:i/>
          <w:sz w:val="20"/>
        </w:rPr>
        <w:t>Anti‐Dumping</w:t>
      </w:r>
      <w:r>
        <w:rPr>
          <w:i/>
          <w:spacing w:val="-4"/>
          <w:sz w:val="20"/>
        </w:rPr>
        <w:t xml:space="preserve"> </w:t>
      </w:r>
      <w:r>
        <w:rPr>
          <w:i/>
          <w:sz w:val="20"/>
        </w:rPr>
        <w:t>and</w:t>
      </w:r>
      <w:r>
        <w:rPr>
          <w:i/>
          <w:spacing w:val="-5"/>
          <w:sz w:val="20"/>
        </w:rPr>
        <w:t xml:space="preserve"> </w:t>
      </w:r>
      <w:r>
        <w:rPr>
          <w:i/>
          <w:sz w:val="20"/>
        </w:rPr>
        <w:t>Countervailing</w:t>
      </w:r>
      <w:r>
        <w:rPr>
          <w:i/>
          <w:spacing w:val="-5"/>
          <w:sz w:val="20"/>
        </w:rPr>
        <w:t xml:space="preserve"> </w:t>
      </w:r>
      <w:r>
        <w:rPr>
          <w:i/>
          <w:sz w:val="20"/>
        </w:rPr>
        <w:t>Duty</w:t>
      </w:r>
      <w:r>
        <w:rPr>
          <w:i/>
          <w:spacing w:val="-4"/>
          <w:sz w:val="20"/>
        </w:rPr>
        <w:t xml:space="preserve"> </w:t>
      </w:r>
      <w:r>
        <w:rPr>
          <w:i/>
          <w:spacing w:val="-2"/>
          <w:sz w:val="20"/>
        </w:rPr>
        <w:t>Measures</w:t>
      </w:r>
      <w:r>
        <w:rPr>
          <w:i/>
          <w:sz w:val="20"/>
        </w:rPr>
        <w:tab/>
      </w:r>
      <w:r>
        <w:rPr>
          <w:sz w:val="20"/>
        </w:rPr>
        <w:t>Australia's</w:t>
      </w:r>
      <w:r>
        <w:rPr>
          <w:spacing w:val="-7"/>
          <w:sz w:val="20"/>
        </w:rPr>
        <w:t xml:space="preserve"> </w:t>
      </w:r>
      <w:r>
        <w:rPr>
          <w:sz w:val="20"/>
        </w:rPr>
        <w:t>First</w:t>
      </w:r>
      <w:r>
        <w:rPr>
          <w:spacing w:val="-2"/>
          <w:sz w:val="20"/>
        </w:rPr>
        <w:t xml:space="preserve"> </w:t>
      </w:r>
      <w:r>
        <w:rPr>
          <w:sz w:val="20"/>
        </w:rPr>
        <w:t>Written</w:t>
      </w:r>
      <w:r>
        <w:rPr>
          <w:spacing w:val="-2"/>
          <w:sz w:val="20"/>
        </w:rPr>
        <w:t xml:space="preserve"> Submission</w:t>
      </w:r>
    </w:p>
    <w:p w14:paraId="51DE966C" w14:textId="77777777" w:rsidR="0010369C" w:rsidRDefault="008E43AE">
      <w:pPr>
        <w:tabs>
          <w:tab w:val="left" w:pos="8227"/>
        </w:tabs>
        <w:spacing w:before="1"/>
        <w:ind w:left="239"/>
        <w:rPr>
          <w:sz w:val="20"/>
        </w:rPr>
      </w:pPr>
      <w:r>
        <w:rPr>
          <w:i/>
          <w:sz w:val="20"/>
        </w:rPr>
        <w:t>on</w:t>
      </w:r>
      <w:r>
        <w:rPr>
          <w:i/>
          <w:spacing w:val="-1"/>
          <w:sz w:val="20"/>
        </w:rPr>
        <w:t xml:space="preserve"> </w:t>
      </w:r>
      <w:r>
        <w:rPr>
          <w:i/>
          <w:sz w:val="20"/>
        </w:rPr>
        <w:t>Wine</w:t>
      </w:r>
      <w:r>
        <w:rPr>
          <w:i/>
          <w:spacing w:val="-1"/>
          <w:sz w:val="20"/>
        </w:rPr>
        <w:t xml:space="preserve"> </w:t>
      </w:r>
      <w:r>
        <w:rPr>
          <w:i/>
          <w:sz w:val="20"/>
        </w:rPr>
        <w:t>from</w:t>
      </w:r>
      <w:r>
        <w:rPr>
          <w:i/>
          <w:spacing w:val="-3"/>
          <w:sz w:val="20"/>
        </w:rPr>
        <w:t xml:space="preserve"> </w:t>
      </w:r>
      <w:r>
        <w:rPr>
          <w:i/>
          <w:sz w:val="20"/>
        </w:rPr>
        <w:t>Australia</w:t>
      </w:r>
      <w:r>
        <w:rPr>
          <w:i/>
          <w:spacing w:val="-1"/>
          <w:sz w:val="20"/>
        </w:rPr>
        <w:t xml:space="preserve"> </w:t>
      </w:r>
      <w:r>
        <w:rPr>
          <w:spacing w:val="-2"/>
          <w:sz w:val="20"/>
        </w:rPr>
        <w:t>(DS602)</w:t>
      </w:r>
      <w:r>
        <w:rPr>
          <w:sz w:val="20"/>
        </w:rPr>
        <w:tab/>
        <w:t>29</w:t>
      </w:r>
      <w:r>
        <w:rPr>
          <w:spacing w:val="-1"/>
          <w:sz w:val="20"/>
        </w:rPr>
        <w:t xml:space="preserve"> </w:t>
      </w:r>
      <w:r>
        <w:rPr>
          <w:sz w:val="20"/>
        </w:rPr>
        <w:t>April</w:t>
      </w:r>
      <w:r>
        <w:rPr>
          <w:spacing w:val="-2"/>
          <w:sz w:val="20"/>
        </w:rPr>
        <w:t xml:space="preserve"> </w:t>
      </w:r>
      <w:r>
        <w:rPr>
          <w:spacing w:val="-4"/>
          <w:sz w:val="20"/>
        </w:rPr>
        <w:t>2022</w:t>
      </w:r>
    </w:p>
    <w:p w14:paraId="51DE966D" w14:textId="77777777" w:rsidR="0010369C" w:rsidRDefault="008E43AE">
      <w:pPr>
        <w:pStyle w:val="BodyText"/>
        <w:spacing w:before="34" w:line="360" w:lineRule="auto"/>
        <w:ind w:left="238" w:right="614"/>
      </w:pPr>
      <w:r>
        <w:t>information. It is insufficient for the non‐confidential summary to provide only a description of the "nature" of the information.</w:t>
      </w:r>
      <w:r>
        <w:rPr>
          <w:vertAlign w:val="superscript"/>
        </w:rPr>
        <w:t>996</w:t>
      </w:r>
    </w:p>
    <w:p w14:paraId="51DE966E" w14:textId="77777777" w:rsidR="0010369C" w:rsidRDefault="0010369C">
      <w:pPr>
        <w:pStyle w:val="BodyText"/>
        <w:spacing w:before="10"/>
        <w:rPr>
          <w:sz w:val="8"/>
        </w:rPr>
      </w:pPr>
    </w:p>
    <w:p w14:paraId="51DE966F" w14:textId="77777777" w:rsidR="0010369C" w:rsidRDefault="008E43AE">
      <w:pPr>
        <w:pStyle w:val="BodyText"/>
        <w:spacing w:before="52" w:line="360" w:lineRule="auto"/>
        <w:ind w:left="236" w:right="613" w:firstLine="852"/>
        <w:jc w:val="both"/>
      </w:pPr>
      <w:r>
        <w:rPr>
          <w:noProof/>
        </w:rPr>
        <w:drawing>
          <wp:anchor distT="0" distB="0" distL="0" distR="0" simplePos="0" relativeHeight="251437568" behindDoc="1" locked="0" layoutInCell="1" allowOverlap="1" wp14:anchorId="51DEA703" wp14:editId="51DEA704">
            <wp:simplePos x="0" y="0"/>
            <wp:positionH relativeFrom="page">
              <wp:posOffset>902208</wp:posOffset>
            </wp:positionH>
            <wp:positionV relativeFrom="paragraph">
              <wp:posOffset>76785</wp:posOffset>
            </wp:positionV>
            <wp:extent cx="262127" cy="106679"/>
            <wp:effectExtent l="0" t="0" r="0" b="0"/>
            <wp:wrapNone/>
            <wp:docPr id="1639" name="image8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 name="image847.png"/>
                    <pic:cNvPicPr/>
                  </pic:nvPicPr>
                  <pic:blipFill>
                    <a:blip r:embed="rId1106" cstate="print"/>
                    <a:stretch>
                      <a:fillRect/>
                    </a:stretch>
                  </pic:blipFill>
                  <pic:spPr>
                    <a:xfrm>
                      <a:off x="0" y="0"/>
                      <a:ext cx="262127" cy="106679"/>
                    </a:xfrm>
                    <a:prstGeom prst="rect">
                      <a:avLst/>
                    </a:prstGeom>
                  </pic:spPr>
                </pic:pic>
              </a:graphicData>
            </a:graphic>
          </wp:anchor>
        </w:drawing>
      </w:r>
      <w:r>
        <w:t>Where, in "exceptional circumstances", a party considers that the confidential information</w:t>
      </w:r>
      <w:r>
        <w:rPr>
          <w:spacing w:val="-14"/>
        </w:rPr>
        <w:t xml:space="preserve"> </w:t>
      </w:r>
      <w:r>
        <w:t>is</w:t>
      </w:r>
      <w:r>
        <w:rPr>
          <w:spacing w:val="-14"/>
        </w:rPr>
        <w:t xml:space="preserve"> </w:t>
      </w:r>
      <w:r>
        <w:t>not</w:t>
      </w:r>
      <w:r>
        <w:rPr>
          <w:spacing w:val="-13"/>
        </w:rPr>
        <w:t xml:space="preserve"> </w:t>
      </w:r>
      <w:r>
        <w:t>susceptible</w:t>
      </w:r>
      <w:r>
        <w:rPr>
          <w:spacing w:val="-14"/>
        </w:rPr>
        <w:t xml:space="preserve"> </w:t>
      </w:r>
      <w:r>
        <w:t>of</w:t>
      </w:r>
      <w:r>
        <w:rPr>
          <w:spacing w:val="-13"/>
        </w:rPr>
        <w:t xml:space="preserve"> </w:t>
      </w:r>
      <w:r>
        <w:t>summary</w:t>
      </w:r>
      <w:r>
        <w:t>,</w:t>
      </w:r>
      <w:r>
        <w:rPr>
          <w:spacing w:val="-14"/>
        </w:rPr>
        <w:t xml:space="preserve"> </w:t>
      </w:r>
      <w:r>
        <w:t>there</w:t>
      </w:r>
      <w:r>
        <w:rPr>
          <w:spacing w:val="-13"/>
        </w:rPr>
        <w:t xml:space="preserve"> </w:t>
      </w:r>
      <w:r>
        <w:t>is</w:t>
      </w:r>
      <w:r>
        <w:rPr>
          <w:spacing w:val="-14"/>
        </w:rPr>
        <w:t xml:space="preserve"> </w:t>
      </w:r>
      <w:r>
        <w:t>an</w:t>
      </w:r>
      <w:r>
        <w:rPr>
          <w:spacing w:val="-14"/>
        </w:rPr>
        <w:t xml:space="preserve"> </w:t>
      </w:r>
      <w:r>
        <w:t>obligation</w:t>
      </w:r>
      <w:r>
        <w:rPr>
          <w:spacing w:val="-13"/>
        </w:rPr>
        <w:t xml:space="preserve"> </w:t>
      </w:r>
      <w:r>
        <w:t>on</w:t>
      </w:r>
      <w:r>
        <w:rPr>
          <w:spacing w:val="-14"/>
        </w:rPr>
        <w:t xml:space="preserve"> </w:t>
      </w:r>
      <w:r>
        <w:t>the</w:t>
      </w:r>
      <w:r>
        <w:rPr>
          <w:spacing w:val="-13"/>
        </w:rPr>
        <w:t xml:space="preserve"> </w:t>
      </w:r>
      <w:r>
        <w:t>investigating</w:t>
      </w:r>
      <w:r>
        <w:rPr>
          <w:spacing w:val="-14"/>
        </w:rPr>
        <w:t xml:space="preserve"> </w:t>
      </w:r>
      <w:r>
        <w:t>authority to require the party to provide a statement of reasons why summarisation is not possible.</w:t>
      </w:r>
      <w:r>
        <w:rPr>
          <w:vertAlign w:val="superscript"/>
        </w:rPr>
        <w:t>997</w:t>
      </w:r>
      <w:r>
        <w:t xml:space="preserve"> It is not sufficient for a party to simply assert that a summary would be burdensome. They must demonstrate</w:t>
      </w:r>
      <w:r>
        <w:t xml:space="preserve"> that no other alternative method of presenting the information can be developed that would not either necessarily disclose the confidential information, or necessarily fail to provide a sufficient level of detail to permit a reasonable understanding of th</w:t>
      </w:r>
      <w:r>
        <w:t>e information submitted in confidence.</w:t>
      </w:r>
      <w:r>
        <w:rPr>
          <w:vertAlign w:val="superscript"/>
        </w:rPr>
        <w:t>998</w:t>
      </w:r>
      <w:r>
        <w:t xml:space="preserve"> The investigating body must then scrutinise that claim to ensure the reasons given appropriately explain why no summary that permits a reasonable understanding of the information's substance is possible.</w:t>
      </w:r>
      <w:r>
        <w:rPr>
          <w:vertAlign w:val="superscript"/>
        </w:rPr>
        <w:t>999</w:t>
      </w:r>
    </w:p>
    <w:p w14:paraId="51DE9670" w14:textId="77777777" w:rsidR="0010369C" w:rsidRDefault="008E43AE">
      <w:pPr>
        <w:pStyle w:val="Heading4"/>
        <w:numPr>
          <w:ilvl w:val="2"/>
          <w:numId w:val="75"/>
        </w:numPr>
        <w:tabs>
          <w:tab w:val="left" w:pos="2649"/>
          <w:tab w:val="left" w:pos="2650"/>
        </w:tabs>
        <w:spacing w:before="162"/>
        <w:ind w:left="2649" w:hanging="852"/>
        <w:jc w:val="both"/>
      </w:pPr>
      <w:r>
        <w:t>CADA's</w:t>
      </w:r>
      <w:r>
        <w:rPr>
          <w:spacing w:val="-11"/>
        </w:rPr>
        <w:t xml:space="preserve"> </w:t>
      </w:r>
      <w:r>
        <w:t>request</w:t>
      </w:r>
      <w:r>
        <w:rPr>
          <w:spacing w:val="-10"/>
        </w:rPr>
        <w:t xml:space="preserve"> </w:t>
      </w:r>
      <w:r>
        <w:t>for</w:t>
      </w:r>
      <w:r>
        <w:rPr>
          <w:spacing w:val="-11"/>
        </w:rPr>
        <w:t xml:space="preserve"> </w:t>
      </w:r>
      <w:r>
        <w:t>confidential</w:t>
      </w:r>
      <w:r>
        <w:rPr>
          <w:spacing w:val="-8"/>
        </w:rPr>
        <w:t xml:space="preserve"> </w:t>
      </w:r>
      <w:r>
        <w:t>treatment</w:t>
      </w:r>
      <w:r>
        <w:rPr>
          <w:spacing w:val="-12"/>
        </w:rPr>
        <w:t xml:space="preserve"> </w:t>
      </w:r>
      <w:r>
        <w:t>of</w:t>
      </w:r>
      <w:r>
        <w:rPr>
          <w:spacing w:val="-10"/>
        </w:rPr>
        <w:t xml:space="preserve"> </w:t>
      </w:r>
      <w:r>
        <w:t>cer</w:t>
      </w:r>
      <w:r>
        <w:t>tain</w:t>
      </w:r>
      <w:r>
        <w:rPr>
          <w:spacing w:val="-10"/>
        </w:rPr>
        <w:t xml:space="preserve"> </w:t>
      </w:r>
      <w:r>
        <w:rPr>
          <w:spacing w:val="-2"/>
        </w:rPr>
        <w:t>information</w:t>
      </w:r>
    </w:p>
    <w:p w14:paraId="51DE9671" w14:textId="77777777" w:rsidR="0010369C" w:rsidRDefault="0010369C">
      <w:pPr>
        <w:pStyle w:val="BodyText"/>
        <w:rPr>
          <w:b/>
          <w:sz w:val="25"/>
        </w:rPr>
      </w:pPr>
    </w:p>
    <w:p w14:paraId="51DE9672" w14:textId="77777777" w:rsidR="0010369C" w:rsidRDefault="008E43AE">
      <w:pPr>
        <w:pStyle w:val="ListParagraph"/>
        <w:numPr>
          <w:ilvl w:val="3"/>
          <w:numId w:val="75"/>
        </w:numPr>
        <w:tabs>
          <w:tab w:val="left" w:pos="3641"/>
          <w:tab w:val="left" w:pos="3643"/>
        </w:tabs>
        <w:spacing w:before="0"/>
        <w:ind w:hanging="853"/>
        <w:rPr>
          <w:sz w:val="24"/>
        </w:rPr>
      </w:pPr>
      <w:r>
        <w:rPr>
          <w:sz w:val="24"/>
          <w:u w:val="single"/>
        </w:rPr>
        <w:t>The</w:t>
      </w:r>
      <w:r>
        <w:rPr>
          <w:spacing w:val="-6"/>
          <w:sz w:val="24"/>
          <w:u w:val="single"/>
        </w:rPr>
        <w:t xml:space="preserve"> </w:t>
      </w:r>
      <w:r>
        <w:rPr>
          <w:sz w:val="24"/>
          <w:u w:val="single"/>
        </w:rPr>
        <w:t>body</w:t>
      </w:r>
      <w:r>
        <w:rPr>
          <w:spacing w:val="-4"/>
          <w:sz w:val="24"/>
          <w:u w:val="single"/>
        </w:rPr>
        <w:t xml:space="preserve"> </w:t>
      </w:r>
      <w:r>
        <w:rPr>
          <w:sz w:val="24"/>
          <w:u w:val="single"/>
        </w:rPr>
        <w:t>of</w:t>
      </w:r>
      <w:r>
        <w:rPr>
          <w:spacing w:val="-7"/>
          <w:sz w:val="24"/>
          <w:u w:val="single"/>
        </w:rPr>
        <w:t xml:space="preserve"> </w:t>
      </w:r>
      <w:r>
        <w:rPr>
          <w:sz w:val="24"/>
          <w:u w:val="single"/>
        </w:rPr>
        <w:t>CADA's</w:t>
      </w:r>
      <w:r>
        <w:rPr>
          <w:spacing w:val="-6"/>
          <w:sz w:val="24"/>
          <w:u w:val="single"/>
        </w:rPr>
        <w:t xml:space="preserve"> </w:t>
      </w:r>
      <w:r>
        <w:rPr>
          <w:spacing w:val="-2"/>
          <w:sz w:val="24"/>
          <w:u w:val="single"/>
        </w:rPr>
        <w:t>application</w:t>
      </w:r>
    </w:p>
    <w:p w14:paraId="51DE9673" w14:textId="77777777" w:rsidR="0010369C" w:rsidRDefault="0010369C">
      <w:pPr>
        <w:pStyle w:val="BodyText"/>
        <w:spacing w:before="10"/>
        <w:rPr>
          <w:sz w:val="20"/>
        </w:rPr>
      </w:pPr>
    </w:p>
    <w:p w14:paraId="51DE9674" w14:textId="77777777" w:rsidR="0010369C" w:rsidRDefault="008E43AE">
      <w:pPr>
        <w:pStyle w:val="BodyText"/>
        <w:spacing w:before="52" w:line="360" w:lineRule="auto"/>
        <w:ind w:left="236" w:right="612" w:firstLine="852"/>
        <w:jc w:val="both"/>
      </w:pPr>
      <w:r>
        <w:rPr>
          <w:noProof/>
        </w:rPr>
        <w:drawing>
          <wp:anchor distT="0" distB="0" distL="0" distR="0" simplePos="0" relativeHeight="251438592" behindDoc="1" locked="0" layoutInCell="1" allowOverlap="1" wp14:anchorId="51DEA705" wp14:editId="51DEA706">
            <wp:simplePos x="0" y="0"/>
            <wp:positionH relativeFrom="page">
              <wp:posOffset>902208</wp:posOffset>
            </wp:positionH>
            <wp:positionV relativeFrom="paragraph">
              <wp:posOffset>80595</wp:posOffset>
            </wp:positionV>
            <wp:extent cx="262127" cy="103631"/>
            <wp:effectExtent l="0" t="0" r="0" b="0"/>
            <wp:wrapNone/>
            <wp:docPr id="1641" name="image8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 name="image848.png"/>
                    <pic:cNvPicPr/>
                  </pic:nvPicPr>
                  <pic:blipFill>
                    <a:blip r:embed="rId1107" cstate="print"/>
                    <a:stretch>
                      <a:fillRect/>
                    </a:stretch>
                  </pic:blipFill>
                  <pic:spPr>
                    <a:xfrm>
                      <a:off x="0" y="0"/>
                      <a:ext cx="262127" cy="103631"/>
                    </a:xfrm>
                    <a:prstGeom prst="rect">
                      <a:avLst/>
                    </a:prstGeom>
                  </pic:spPr>
                </pic:pic>
              </a:graphicData>
            </a:graphic>
          </wp:anchor>
        </w:drawing>
      </w:r>
      <w:r>
        <w:t>The public version of CADA's application included a one‐page section entitled "Section B Confidential Application".</w:t>
      </w:r>
      <w:r>
        <w:rPr>
          <w:vertAlign w:val="superscript"/>
        </w:rPr>
        <w:t>1000</w:t>
      </w:r>
      <w:r>
        <w:t xml:space="preserve"> It included a request that "the materials and attachments in this application be trea</w:t>
      </w:r>
      <w:r>
        <w:t>ted as confidential".</w:t>
      </w:r>
      <w:r>
        <w:rPr>
          <w:vertAlign w:val="superscript"/>
        </w:rPr>
        <w:t>1001</w:t>
      </w:r>
      <w:r>
        <w:t xml:space="preserve"> It also indicated that CADA "hereby prepares a public version of the application and attachments which provide descriptions</w:t>
      </w:r>
      <w:r>
        <w:rPr>
          <w:spacing w:val="-5"/>
        </w:rPr>
        <w:t xml:space="preserve"> </w:t>
      </w:r>
      <w:r>
        <w:t>or</w:t>
      </w:r>
      <w:r>
        <w:rPr>
          <w:spacing w:val="-6"/>
        </w:rPr>
        <w:t xml:space="preserve"> </w:t>
      </w:r>
      <w:r>
        <w:t>non‐confidential</w:t>
      </w:r>
      <w:r>
        <w:rPr>
          <w:spacing w:val="-5"/>
        </w:rPr>
        <w:t xml:space="preserve"> </w:t>
      </w:r>
      <w:r>
        <w:t>summary</w:t>
      </w:r>
      <w:r>
        <w:rPr>
          <w:spacing w:val="-5"/>
        </w:rPr>
        <w:t xml:space="preserve"> </w:t>
      </w:r>
      <w:r>
        <w:t>for</w:t>
      </w:r>
      <w:r>
        <w:rPr>
          <w:spacing w:val="-6"/>
        </w:rPr>
        <w:t xml:space="preserve"> </w:t>
      </w:r>
      <w:r>
        <w:t>the</w:t>
      </w:r>
      <w:r>
        <w:rPr>
          <w:spacing w:val="-7"/>
        </w:rPr>
        <w:t xml:space="preserve"> </w:t>
      </w:r>
      <w:r>
        <w:t>confidential</w:t>
      </w:r>
      <w:r>
        <w:rPr>
          <w:spacing w:val="-8"/>
        </w:rPr>
        <w:t xml:space="preserve"> </w:t>
      </w:r>
      <w:r>
        <w:t>materials</w:t>
      </w:r>
      <w:r>
        <w:rPr>
          <w:spacing w:val="-7"/>
        </w:rPr>
        <w:t xml:space="preserve"> </w:t>
      </w:r>
      <w:r>
        <w:t>and</w:t>
      </w:r>
      <w:r>
        <w:rPr>
          <w:spacing w:val="-6"/>
        </w:rPr>
        <w:t xml:space="preserve"> </w:t>
      </w:r>
      <w:r>
        <w:t>information".</w:t>
      </w:r>
      <w:r>
        <w:rPr>
          <w:vertAlign w:val="superscript"/>
        </w:rPr>
        <w:t>1002</w:t>
      </w:r>
      <w:r>
        <w:t xml:space="preserve"> CADA gave no further indi</w:t>
      </w:r>
      <w:r>
        <w:t>cation in this document or elsewhere in the application of the subject matter, nature, or scope of the information claimed to be confidential. Moreover, CADA provided no explanation of the basis on which it claimed that the information (which was</w:t>
      </w:r>
      <w:r>
        <w:rPr>
          <w:spacing w:val="13"/>
        </w:rPr>
        <w:t xml:space="preserve"> </w:t>
      </w:r>
      <w:r>
        <w:t>not</w:t>
      </w:r>
      <w:r>
        <w:rPr>
          <w:spacing w:val="14"/>
        </w:rPr>
        <w:t xml:space="preserve"> </w:t>
      </w:r>
      <w:r>
        <w:t>identified)</w:t>
      </w:r>
      <w:r>
        <w:rPr>
          <w:spacing w:val="15"/>
        </w:rPr>
        <w:t xml:space="preserve"> </w:t>
      </w:r>
      <w:r>
        <w:t>was</w:t>
      </w:r>
      <w:r>
        <w:rPr>
          <w:spacing w:val="13"/>
        </w:rPr>
        <w:t xml:space="preserve"> </w:t>
      </w:r>
      <w:r>
        <w:t>confidential</w:t>
      </w:r>
      <w:r>
        <w:rPr>
          <w:spacing w:val="13"/>
        </w:rPr>
        <w:t xml:space="preserve"> </w:t>
      </w:r>
      <w:r>
        <w:t>or</w:t>
      </w:r>
      <w:r>
        <w:rPr>
          <w:spacing w:val="14"/>
        </w:rPr>
        <w:t xml:space="preserve"> </w:t>
      </w:r>
      <w:r>
        <w:t>that</w:t>
      </w:r>
      <w:r>
        <w:rPr>
          <w:spacing w:val="14"/>
        </w:rPr>
        <w:t xml:space="preserve"> </w:t>
      </w:r>
      <w:r>
        <w:t>confidential</w:t>
      </w:r>
      <w:r>
        <w:rPr>
          <w:spacing w:val="13"/>
        </w:rPr>
        <w:t xml:space="preserve"> </w:t>
      </w:r>
      <w:r>
        <w:t>treatment</w:t>
      </w:r>
      <w:r>
        <w:rPr>
          <w:spacing w:val="14"/>
        </w:rPr>
        <w:t xml:space="preserve"> </w:t>
      </w:r>
      <w:r>
        <w:t>was</w:t>
      </w:r>
      <w:r>
        <w:rPr>
          <w:spacing w:val="14"/>
        </w:rPr>
        <w:t xml:space="preserve"> </w:t>
      </w:r>
      <w:r>
        <w:t>otherwise</w:t>
      </w:r>
      <w:r>
        <w:rPr>
          <w:spacing w:val="14"/>
        </w:rPr>
        <w:t xml:space="preserve"> </w:t>
      </w:r>
      <w:r>
        <w:rPr>
          <w:spacing w:val="-2"/>
        </w:rPr>
        <w:t>justified.</w:t>
      </w:r>
    </w:p>
    <w:p w14:paraId="51DE9675" w14:textId="77777777" w:rsidR="0010369C" w:rsidRDefault="0010369C">
      <w:pPr>
        <w:pStyle w:val="BodyText"/>
        <w:rPr>
          <w:sz w:val="20"/>
        </w:rPr>
      </w:pPr>
    </w:p>
    <w:p w14:paraId="51DE9676" w14:textId="77777777" w:rsidR="0010369C" w:rsidRDefault="0010369C">
      <w:pPr>
        <w:pStyle w:val="BodyText"/>
        <w:rPr>
          <w:sz w:val="20"/>
        </w:rPr>
      </w:pPr>
    </w:p>
    <w:p w14:paraId="51DE9677" w14:textId="77777777" w:rsidR="0010369C" w:rsidRDefault="0010369C">
      <w:pPr>
        <w:pStyle w:val="BodyText"/>
        <w:rPr>
          <w:sz w:val="20"/>
        </w:rPr>
      </w:pPr>
    </w:p>
    <w:p w14:paraId="51DE9678" w14:textId="77777777" w:rsidR="0010369C" w:rsidRDefault="0010369C">
      <w:pPr>
        <w:pStyle w:val="BodyText"/>
        <w:rPr>
          <w:sz w:val="20"/>
        </w:rPr>
      </w:pPr>
    </w:p>
    <w:p w14:paraId="51DE9679" w14:textId="77777777" w:rsidR="0010369C" w:rsidRDefault="0010369C">
      <w:pPr>
        <w:pStyle w:val="BodyText"/>
        <w:rPr>
          <w:sz w:val="20"/>
        </w:rPr>
      </w:pPr>
    </w:p>
    <w:p w14:paraId="51DE967A" w14:textId="77777777" w:rsidR="0010369C" w:rsidRDefault="008E43AE">
      <w:pPr>
        <w:pStyle w:val="BodyText"/>
        <w:spacing w:before="5"/>
        <w:rPr>
          <w:sz w:val="10"/>
        </w:rPr>
      </w:pPr>
      <w:r>
        <w:pict w14:anchorId="51DEA707">
          <v:rect id="docshape1276" o:spid="_x0000_s1158" style="position:absolute;margin-left:70.9pt;margin-top:7.6pt;width:2in;height:.8pt;z-index:-250737152;mso-wrap-distance-left:0;mso-wrap-distance-right:0;mso-position-horizontal-relative:page" fillcolor="black" stroked="f">
            <w10:wrap type="topAndBottom" anchorx="page"/>
          </v:rect>
        </w:pict>
      </w:r>
    </w:p>
    <w:p w14:paraId="51DE967B" w14:textId="77777777" w:rsidR="0010369C" w:rsidRDefault="008E43AE">
      <w:pPr>
        <w:spacing w:before="109"/>
        <w:ind w:left="238"/>
        <w:jc w:val="both"/>
        <w:rPr>
          <w:sz w:val="18"/>
        </w:rPr>
      </w:pPr>
      <w:r>
        <w:rPr>
          <w:sz w:val="18"/>
          <w:vertAlign w:val="superscript"/>
        </w:rPr>
        <w:t>996</w:t>
      </w:r>
      <w:r>
        <w:rPr>
          <w:spacing w:val="-6"/>
          <w:sz w:val="18"/>
        </w:rPr>
        <w:t xml:space="preserve"> </w:t>
      </w:r>
      <w:r>
        <w:rPr>
          <w:sz w:val="18"/>
        </w:rPr>
        <w:t>Panel</w:t>
      </w:r>
      <w:r>
        <w:rPr>
          <w:spacing w:val="-6"/>
          <w:sz w:val="18"/>
        </w:rPr>
        <w:t xml:space="preserve"> </w:t>
      </w:r>
      <w:r>
        <w:rPr>
          <w:sz w:val="18"/>
        </w:rPr>
        <w:t>Report,</w:t>
      </w:r>
      <w:r>
        <w:rPr>
          <w:spacing w:val="-5"/>
          <w:sz w:val="18"/>
        </w:rPr>
        <w:t xml:space="preserve"> </w:t>
      </w:r>
      <w:r>
        <w:rPr>
          <w:i/>
          <w:sz w:val="18"/>
        </w:rPr>
        <w:t>China</w:t>
      </w:r>
      <w:r>
        <w:rPr>
          <w:i/>
          <w:spacing w:val="-6"/>
          <w:sz w:val="18"/>
        </w:rPr>
        <w:t xml:space="preserve"> </w:t>
      </w:r>
      <w:r>
        <w:rPr>
          <w:i/>
          <w:sz w:val="18"/>
        </w:rPr>
        <w:t>–</w:t>
      </w:r>
      <w:r>
        <w:rPr>
          <w:i/>
          <w:spacing w:val="-5"/>
          <w:sz w:val="18"/>
        </w:rPr>
        <w:t xml:space="preserve"> </w:t>
      </w:r>
      <w:r>
        <w:rPr>
          <w:i/>
          <w:sz w:val="18"/>
        </w:rPr>
        <w:t>GOES</w:t>
      </w:r>
      <w:r>
        <w:rPr>
          <w:sz w:val="18"/>
        </w:rPr>
        <w:t>,</w:t>
      </w:r>
      <w:r>
        <w:rPr>
          <w:spacing w:val="-6"/>
          <w:sz w:val="18"/>
        </w:rPr>
        <w:t xml:space="preserve"> </w:t>
      </w:r>
      <w:r>
        <w:rPr>
          <w:sz w:val="18"/>
        </w:rPr>
        <w:t>paras.</w:t>
      </w:r>
      <w:r>
        <w:rPr>
          <w:spacing w:val="-6"/>
          <w:sz w:val="18"/>
        </w:rPr>
        <w:t xml:space="preserve"> </w:t>
      </w:r>
      <w:r>
        <w:rPr>
          <w:spacing w:val="-2"/>
          <w:sz w:val="18"/>
        </w:rPr>
        <w:t>7.198‐7.200.</w:t>
      </w:r>
    </w:p>
    <w:p w14:paraId="51DE967C" w14:textId="77777777" w:rsidR="0010369C" w:rsidRDefault="008E43AE">
      <w:pPr>
        <w:ind w:left="238" w:right="615" w:hanging="1"/>
        <w:jc w:val="both"/>
        <w:rPr>
          <w:sz w:val="18"/>
        </w:rPr>
      </w:pPr>
      <w:r>
        <w:rPr>
          <w:sz w:val="18"/>
          <w:vertAlign w:val="superscript"/>
        </w:rPr>
        <w:t>997</w:t>
      </w:r>
      <w:r>
        <w:rPr>
          <w:sz w:val="18"/>
        </w:rPr>
        <w:t xml:space="preserve"> Panel Report, </w:t>
      </w:r>
      <w:r>
        <w:rPr>
          <w:i/>
          <w:sz w:val="18"/>
        </w:rPr>
        <w:t>Mexico – Steel Pipes and Tubes</w:t>
      </w:r>
      <w:r>
        <w:rPr>
          <w:sz w:val="18"/>
        </w:rPr>
        <w:t xml:space="preserve">, paras. 7.379‐7.380. See also Panel Report, </w:t>
      </w:r>
      <w:r>
        <w:rPr>
          <w:i/>
          <w:sz w:val="18"/>
        </w:rPr>
        <w:t>Guatemala – Cement II</w:t>
      </w:r>
      <w:r>
        <w:rPr>
          <w:sz w:val="18"/>
        </w:rPr>
        <w:t xml:space="preserve">, para. </w:t>
      </w:r>
      <w:r>
        <w:rPr>
          <w:spacing w:val="-2"/>
          <w:sz w:val="18"/>
        </w:rPr>
        <w:t>8.213.</w:t>
      </w:r>
    </w:p>
    <w:p w14:paraId="51DE967D" w14:textId="77777777" w:rsidR="0010369C" w:rsidRDefault="008E43AE">
      <w:pPr>
        <w:spacing w:line="219" w:lineRule="exact"/>
        <w:ind w:left="238"/>
        <w:jc w:val="both"/>
        <w:rPr>
          <w:sz w:val="18"/>
        </w:rPr>
      </w:pPr>
      <w:r>
        <w:rPr>
          <w:sz w:val="18"/>
          <w:vertAlign w:val="superscript"/>
        </w:rPr>
        <w:t>998</w:t>
      </w:r>
      <w:r>
        <w:rPr>
          <w:spacing w:val="-6"/>
          <w:sz w:val="18"/>
        </w:rPr>
        <w:t xml:space="preserve"> </w:t>
      </w:r>
      <w:r>
        <w:rPr>
          <w:sz w:val="18"/>
        </w:rPr>
        <w:t>Appellate</w:t>
      </w:r>
      <w:r>
        <w:rPr>
          <w:spacing w:val="-6"/>
          <w:sz w:val="18"/>
        </w:rPr>
        <w:t xml:space="preserve"> </w:t>
      </w:r>
      <w:r>
        <w:rPr>
          <w:sz w:val="18"/>
        </w:rPr>
        <w:t>Body</w:t>
      </w:r>
      <w:r>
        <w:rPr>
          <w:spacing w:val="-7"/>
          <w:sz w:val="18"/>
        </w:rPr>
        <w:t xml:space="preserve"> </w:t>
      </w:r>
      <w:r>
        <w:rPr>
          <w:sz w:val="18"/>
        </w:rPr>
        <w:t>Report,</w:t>
      </w:r>
      <w:r>
        <w:rPr>
          <w:spacing w:val="-6"/>
          <w:sz w:val="18"/>
        </w:rPr>
        <w:t xml:space="preserve"> </w:t>
      </w:r>
      <w:r>
        <w:rPr>
          <w:i/>
          <w:sz w:val="18"/>
        </w:rPr>
        <w:t>EC</w:t>
      </w:r>
      <w:r>
        <w:rPr>
          <w:i/>
          <w:spacing w:val="-7"/>
          <w:sz w:val="18"/>
        </w:rPr>
        <w:t xml:space="preserve"> </w:t>
      </w:r>
      <w:r>
        <w:rPr>
          <w:i/>
          <w:sz w:val="18"/>
        </w:rPr>
        <w:t>–</w:t>
      </w:r>
      <w:r>
        <w:rPr>
          <w:i/>
          <w:spacing w:val="-5"/>
          <w:sz w:val="18"/>
        </w:rPr>
        <w:t xml:space="preserve"> </w:t>
      </w:r>
      <w:r>
        <w:rPr>
          <w:i/>
          <w:sz w:val="18"/>
        </w:rPr>
        <w:t>Fasteners</w:t>
      </w:r>
      <w:r>
        <w:rPr>
          <w:i/>
          <w:spacing w:val="-6"/>
          <w:sz w:val="18"/>
        </w:rPr>
        <w:t xml:space="preserve"> </w:t>
      </w:r>
      <w:r>
        <w:rPr>
          <w:i/>
          <w:sz w:val="18"/>
        </w:rPr>
        <w:t>(China)</w:t>
      </w:r>
      <w:r>
        <w:rPr>
          <w:sz w:val="18"/>
        </w:rPr>
        <w:t>,</w:t>
      </w:r>
      <w:r>
        <w:rPr>
          <w:spacing w:val="-7"/>
          <w:sz w:val="18"/>
        </w:rPr>
        <w:t xml:space="preserve"> </w:t>
      </w:r>
      <w:r>
        <w:rPr>
          <w:sz w:val="18"/>
        </w:rPr>
        <w:t>paras.</w:t>
      </w:r>
      <w:r>
        <w:rPr>
          <w:spacing w:val="-5"/>
          <w:sz w:val="18"/>
        </w:rPr>
        <w:t xml:space="preserve"> </w:t>
      </w:r>
      <w:r>
        <w:rPr>
          <w:spacing w:val="-4"/>
          <w:sz w:val="18"/>
        </w:rPr>
        <w:t>543.</w:t>
      </w:r>
    </w:p>
    <w:p w14:paraId="51DE967E" w14:textId="77777777" w:rsidR="0010369C" w:rsidRDefault="008E43AE">
      <w:pPr>
        <w:spacing w:before="1"/>
        <w:ind w:left="238"/>
        <w:jc w:val="both"/>
        <w:rPr>
          <w:sz w:val="18"/>
        </w:rPr>
      </w:pPr>
      <w:r>
        <w:rPr>
          <w:sz w:val="18"/>
          <w:vertAlign w:val="superscript"/>
        </w:rPr>
        <w:t>999</w:t>
      </w:r>
      <w:r>
        <w:rPr>
          <w:spacing w:val="-6"/>
          <w:sz w:val="18"/>
        </w:rPr>
        <w:t xml:space="preserve"> </w:t>
      </w:r>
      <w:r>
        <w:rPr>
          <w:sz w:val="18"/>
        </w:rPr>
        <w:t>Appellate</w:t>
      </w:r>
      <w:r>
        <w:rPr>
          <w:spacing w:val="-6"/>
          <w:sz w:val="18"/>
        </w:rPr>
        <w:t xml:space="preserve"> </w:t>
      </w:r>
      <w:r>
        <w:rPr>
          <w:sz w:val="18"/>
        </w:rPr>
        <w:t>Body</w:t>
      </w:r>
      <w:r>
        <w:rPr>
          <w:spacing w:val="-7"/>
          <w:sz w:val="18"/>
        </w:rPr>
        <w:t xml:space="preserve"> </w:t>
      </w:r>
      <w:r>
        <w:rPr>
          <w:sz w:val="18"/>
        </w:rPr>
        <w:t>Report,</w:t>
      </w:r>
      <w:r>
        <w:rPr>
          <w:spacing w:val="-6"/>
          <w:sz w:val="18"/>
        </w:rPr>
        <w:t xml:space="preserve"> </w:t>
      </w:r>
      <w:r>
        <w:rPr>
          <w:i/>
          <w:sz w:val="18"/>
        </w:rPr>
        <w:t>EC</w:t>
      </w:r>
      <w:r>
        <w:rPr>
          <w:i/>
          <w:spacing w:val="-6"/>
          <w:sz w:val="18"/>
        </w:rPr>
        <w:t xml:space="preserve"> </w:t>
      </w:r>
      <w:r>
        <w:rPr>
          <w:i/>
          <w:sz w:val="18"/>
        </w:rPr>
        <w:t>–</w:t>
      </w:r>
      <w:r>
        <w:rPr>
          <w:i/>
          <w:spacing w:val="-6"/>
          <w:sz w:val="18"/>
        </w:rPr>
        <w:t xml:space="preserve"> </w:t>
      </w:r>
      <w:r>
        <w:rPr>
          <w:i/>
          <w:sz w:val="18"/>
        </w:rPr>
        <w:t>Fasteners</w:t>
      </w:r>
      <w:r>
        <w:rPr>
          <w:i/>
          <w:spacing w:val="-5"/>
          <w:sz w:val="18"/>
        </w:rPr>
        <w:t xml:space="preserve"> </w:t>
      </w:r>
      <w:r>
        <w:rPr>
          <w:i/>
          <w:sz w:val="18"/>
        </w:rPr>
        <w:t>(China)</w:t>
      </w:r>
      <w:r>
        <w:rPr>
          <w:sz w:val="18"/>
        </w:rPr>
        <w:t>,</w:t>
      </w:r>
      <w:r>
        <w:rPr>
          <w:spacing w:val="-7"/>
          <w:sz w:val="18"/>
        </w:rPr>
        <w:t xml:space="preserve"> </w:t>
      </w:r>
      <w:r>
        <w:rPr>
          <w:sz w:val="18"/>
        </w:rPr>
        <w:t>para.</w:t>
      </w:r>
      <w:r>
        <w:rPr>
          <w:spacing w:val="-6"/>
          <w:sz w:val="18"/>
        </w:rPr>
        <w:t xml:space="preserve"> </w:t>
      </w:r>
      <w:r>
        <w:rPr>
          <w:spacing w:val="-4"/>
          <w:sz w:val="18"/>
        </w:rPr>
        <w:t>544.</w:t>
      </w:r>
    </w:p>
    <w:p w14:paraId="51DE967F" w14:textId="77777777" w:rsidR="0010369C" w:rsidRDefault="008E43AE">
      <w:pPr>
        <w:ind w:left="238" w:right="4090"/>
        <w:jc w:val="both"/>
        <w:rPr>
          <w:sz w:val="18"/>
        </w:rPr>
      </w:pPr>
      <w:r>
        <w:rPr>
          <w:sz w:val="18"/>
          <w:vertAlign w:val="superscript"/>
        </w:rPr>
        <w:t>1000</w:t>
      </w:r>
      <w:r>
        <w:rPr>
          <w:spacing w:val="-4"/>
          <w:sz w:val="18"/>
        </w:rPr>
        <w:t xml:space="preserve"> </w:t>
      </w:r>
      <w:r>
        <w:rPr>
          <w:sz w:val="18"/>
        </w:rPr>
        <w:t>CADA</w:t>
      </w:r>
      <w:r>
        <w:rPr>
          <w:spacing w:val="-4"/>
          <w:sz w:val="18"/>
        </w:rPr>
        <w:t xml:space="preserve"> </w:t>
      </w:r>
      <w:r>
        <w:rPr>
          <w:sz w:val="18"/>
        </w:rPr>
        <w:t>Application</w:t>
      </w:r>
      <w:r>
        <w:rPr>
          <w:spacing w:val="-4"/>
          <w:sz w:val="18"/>
        </w:rPr>
        <w:t xml:space="preserve"> </w:t>
      </w:r>
      <w:r>
        <w:rPr>
          <w:sz w:val="18"/>
        </w:rPr>
        <w:t>for</w:t>
      </w:r>
      <w:r>
        <w:rPr>
          <w:spacing w:val="-4"/>
          <w:sz w:val="18"/>
        </w:rPr>
        <w:t xml:space="preserve"> </w:t>
      </w:r>
      <w:r>
        <w:rPr>
          <w:sz w:val="18"/>
        </w:rPr>
        <w:t>Anti‐Dumping</w:t>
      </w:r>
      <w:r>
        <w:rPr>
          <w:spacing w:val="-4"/>
          <w:sz w:val="18"/>
        </w:rPr>
        <w:t xml:space="preserve"> </w:t>
      </w:r>
      <w:r>
        <w:rPr>
          <w:sz w:val="18"/>
        </w:rPr>
        <w:t>Investigation</w:t>
      </w:r>
      <w:r>
        <w:rPr>
          <w:spacing w:val="-4"/>
          <w:sz w:val="18"/>
        </w:rPr>
        <w:t xml:space="preserve"> </w:t>
      </w:r>
      <w:r>
        <w:rPr>
          <w:sz w:val="18"/>
        </w:rPr>
        <w:t>(Exhibit</w:t>
      </w:r>
      <w:r>
        <w:rPr>
          <w:spacing w:val="-4"/>
          <w:sz w:val="18"/>
        </w:rPr>
        <w:t xml:space="preserve"> </w:t>
      </w:r>
      <w:r>
        <w:rPr>
          <w:sz w:val="18"/>
        </w:rPr>
        <w:t>AUS‐64),</w:t>
      </w:r>
      <w:r>
        <w:rPr>
          <w:spacing w:val="-4"/>
          <w:sz w:val="18"/>
        </w:rPr>
        <w:t xml:space="preserve"> </w:t>
      </w:r>
      <w:r>
        <w:rPr>
          <w:sz w:val="18"/>
        </w:rPr>
        <w:t>p.</w:t>
      </w:r>
      <w:r>
        <w:rPr>
          <w:spacing w:val="-4"/>
          <w:sz w:val="18"/>
        </w:rPr>
        <w:t xml:space="preserve"> </w:t>
      </w:r>
      <w:r>
        <w:rPr>
          <w:sz w:val="18"/>
        </w:rPr>
        <w:t xml:space="preserve">82. </w:t>
      </w:r>
      <w:r>
        <w:rPr>
          <w:sz w:val="18"/>
          <w:vertAlign w:val="superscript"/>
        </w:rPr>
        <w:t>1001</w:t>
      </w:r>
      <w:r>
        <w:rPr>
          <w:spacing w:val="-4"/>
          <w:sz w:val="18"/>
        </w:rPr>
        <w:t xml:space="preserve"> </w:t>
      </w:r>
      <w:r>
        <w:rPr>
          <w:sz w:val="18"/>
        </w:rPr>
        <w:t>CADA</w:t>
      </w:r>
      <w:r>
        <w:rPr>
          <w:spacing w:val="-4"/>
          <w:sz w:val="18"/>
        </w:rPr>
        <w:t xml:space="preserve"> </w:t>
      </w:r>
      <w:r>
        <w:rPr>
          <w:sz w:val="18"/>
        </w:rPr>
        <w:t>Application</w:t>
      </w:r>
      <w:r>
        <w:rPr>
          <w:spacing w:val="-4"/>
          <w:sz w:val="18"/>
        </w:rPr>
        <w:t xml:space="preserve"> </w:t>
      </w:r>
      <w:r>
        <w:rPr>
          <w:sz w:val="18"/>
        </w:rPr>
        <w:t>for</w:t>
      </w:r>
      <w:r>
        <w:rPr>
          <w:spacing w:val="-4"/>
          <w:sz w:val="18"/>
        </w:rPr>
        <w:t xml:space="preserve"> </w:t>
      </w:r>
      <w:r>
        <w:rPr>
          <w:sz w:val="18"/>
        </w:rPr>
        <w:t>Anti‐Dumping</w:t>
      </w:r>
      <w:r>
        <w:rPr>
          <w:spacing w:val="-4"/>
          <w:sz w:val="18"/>
        </w:rPr>
        <w:t xml:space="preserve"> </w:t>
      </w:r>
      <w:r>
        <w:rPr>
          <w:sz w:val="18"/>
        </w:rPr>
        <w:t>Investigation</w:t>
      </w:r>
      <w:r>
        <w:rPr>
          <w:spacing w:val="-4"/>
          <w:sz w:val="18"/>
        </w:rPr>
        <w:t xml:space="preserve"> </w:t>
      </w:r>
      <w:r>
        <w:rPr>
          <w:sz w:val="18"/>
        </w:rPr>
        <w:t>(Exhibit</w:t>
      </w:r>
      <w:r>
        <w:rPr>
          <w:spacing w:val="-4"/>
          <w:sz w:val="18"/>
        </w:rPr>
        <w:t xml:space="preserve"> </w:t>
      </w:r>
      <w:r>
        <w:rPr>
          <w:sz w:val="18"/>
        </w:rPr>
        <w:t>AUS‐64),</w:t>
      </w:r>
      <w:r>
        <w:rPr>
          <w:spacing w:val="-4"/>
          <w:sz w:val="18"/>
        </w:rPr>
        <w:t xml:space="preserve"> </w:t>
      </w:r>
      <w:r>
        <w:rPr>
          <w:sz w:val="18"/>
        </w:rPr>
        <w:t>p.</w:t>
      </w:r>
      <w:r>
        <w:rPr>
          <w:spacing w:val="-4"/>
          <w:sz w:val="18"/>
        </w:rPr>
        <w:t xml:space="preserve"> </w:t>
      </w:r>
      <w:r>
        <w:rPr>
          <w:sz w:val="18"/>
        </w:rPr>
        <w:t xml:space="preserve">82. </w:t>
      </w:r>
      <w:r>
        <w:rPr>
          <w:sz w:val="18"/>
          <w:vertAlign w:val="superscript"/>
        </w:rPr>
        <w:t>1002</w:t>
      </w:r>
      <w:r>
        <w:rPr>
          <w:spacing w:val="-4"/>
          <w:sz w:val="18"/>
        </w:rPr>
        <w:t xml:space="preserve"> </w:t>
      </w:r>
      <w:r>
        <w:rPr>
          <w:sz w:val="18"/>
        </w:rPr>
        <w:t>CADA</w:t>
      </w:r>
      <w:r>
        <w:rPr>
          <w:spacing w:val="-4"/>
          <w:sz w:val="18"/>
        </w:rPr>
        <w:t xml:space="preserve"> </w:t>
      </w:r>
      <w:r>
        <w:rPr>
          <w:sz w:val="18"/>
        </w:rPr>
        <w:t>Application</w:t>
      </w:r>
      <w:r>
        <w:rPr>
          <w:spacing w:val="-4"/>
          <w:sz w:val="18"/>
        </w:rPr>
        <w:t xml:space="preserve"> </w:t>
      </w:r>
      <w:r>
        <w:rPr>
          <w:sz w:val="18"/>
        </w:rPr>
        <w:t>for</w:t>
      </w:r>
      <w:r>
        <w:rPr>
          <w:spacing w:val="-4"/>
          <w:sz w:val="18"/>
        </w:rPr>
        <w:t xml:space="preserve"> </w:t>
      </w:r>
      <w:r>
        <w:rPr>
          <w:sz w:val="18"/>
        </w:rPr>
        <w:t>Anti‐Dumping</w:t>
      </w:r>
      <w:r>
        <w:rPr>
          <w:spacing w:val="-4"/>
          <w:sz w:val="18"/>
        </w:rPr>
        <w:t xml:space="preserve"> </w:t>
      </w:r>
      <w:r>
        <w:rPr>
          <w:sz w:val="18"/>
        </w:rPr>
        <w:t>Investigation</w:t>
      </w:r>
      <w:r>
        <w:rPr>
          <w:spacing w:val="-4"/>
          <w:sz w:val="18"/>
        </w:rPr>
        <w:t xml:space="preserve"> </w:t>
      </w:r>
      <w:r>
        <w:rPr>
          <w:sz w:val="18"/>
        </w:rPr>
        <w:t>(Exhibit</w:t>
      </w:r>
      <w:r>
        <w:rPr>
          <w:spacing w:val="-4"/>
          <w:sz w:val="18"/>
        </w:rPr>
        <w:t xml:space="preserve"> </w:t>
      </w:r>
      <w:r>
        <w:rPr>
          <w:sz w:val="18"/>
        </w:rPr>
        <w:t>AUS‐64),</w:t>
      </w:r>
      <w:r>
        <w:rPr>
          <w:spacing w:val="-4"/>
          <w:sz w:val="18"/>
        </w:rPr>
        <w:t xml:space="preserve"> </w:t>
      </w:r>
      <w:r>
        <w:rPr>
          <w:sz w:val="18"/>
        </w:rPr>
        <w:t>p.</w:t>
      </w:r>
      <w:r>
        <w:rPr>
          <w:spacing w:val="-4"/>
          <w:sz w:val="18"/>
        </w:rPr>
        <w:t xml:space="preserve"> </w:t>
      </w:r>
      <w:r>
        <w:rPr>
          <w:sz w:val="18"/>
        </w:rPr>
        <w:t>82.</w:t>
      </w:r>
    </w:p>
    <w:p w14:paraId="51DE9680" w14:textId="77777777" w:rsidR="0010369C" w:rsidRDefault="0010369C">
      <w:pPr>
        <w:jc w:val="both"/>
        <w:rPr>
          <w:sz w:val="18"/>
        </w:rPr>
        <w:sectPr w:rsidR="0010369C">
          <w:pgSz w:w="11910" w:h="16840"/>
          <w:pgMar w:top="880" w:right="800" w:bottom="980" w:left="1180" w:header="569" w:footer="788" w:gutter="0"/>
          <w:cols w:space="720"/>
        </w:sectPr>
      </w:pPr>
    </w:p>
    <w:p w14:paraId="51DE9681" w14:textId="77777777" w:rsidR="0010369C" w:rsidRDefault="008E43AE">
      <w:pPr>
        <w:tabs>
          <w:tab w:val="left" w:pos="6426"/>
        </w:tabs>
        <w:ind w:left="238"/>
        <w:rPr>
          <w:sz w:val="20"/>
        </w:rPr>
      </w:pPr>
      <w:r>
        <w:rPr>
          <w:i/>
          <w:sz w:val="20"/>
        </w:rPr>
        <w:lastRenderedPageBreak/>
        <w:t>China</w:t>
      </w:r>
      <w:r>
        <w:rPr>
          <w:i/>
          <w:spacing w:val="-5"/>
          <w:sz w:val="20"/>
        </w:rPr>
        <w:t xml:space="preserve"> </w:t>
      </w:r>
      <w:r>
        <w:rPr>
          <w:i/>
          <w:sz w:val="20"/>
        </w:rPr>
        <w:t>–</w:t>
      </w:r>
      <w:r>
        <w:rPr>
          <w:i/>
          <w:spacing w:val="-5"/>
          <w:sz w:val="20"/>
        </w:rPr>
        <w:t xml:space="preserve"> </w:t>
      </w:r>
      <w:r>
        <w:rPr>
          <w:i/>
          <w:sz w:val="20"/>
        </w:rPr>
        <w:t>Anti‐Dumping</w:t>
      </w:r>
      <w:r>
        <w:rPr>
          <w:i/>
          <w:spacing w:val="-4"/>
          <w:sz w:val="20"/>
        </w:rPr>
        <w:t xml:space="preserve"> </w:t>
      </w:r>
      <w:r>
        <w:rPr>
          <w:i/>
          <w:sz w:val="20"/>
        </w:rPr>
        <w:t>and</w:t>
      </w:r>
      <w:r>
        <w:rPr>
          <w:i/>
          <w:spacing w:val="-5"/>
          <w:sz w:val="20"/>
        </w:rPr>
        <w:t xml:space="preserve"> </w:t>
      </w:r>
      <w:r>
        <w:rPr>
          <w:i/>
          <w:sz w:val="20"/>
        </w:rPr>
        <w:t>Countervailing</w:t>
      </w:r>
      <w:r>
        <w:rPr>
          <w:i/>
          <w:spacing w:val="-5"/>
          <w:sz w:val="20"/>
        </w:rPr>
        <w:t xml:space="preserve"> </w:t>
      </w:r>
      <w:r>
        <w:rPr>
          <w:i/>
          <w:sz w:val="20"/>
        </w:rPr>
        <w:t>Duty</w:t>
      </w:r>
      <w:r>
        <w:rPr>
          <w:i/>
          <w:spacing w:val="-4"/>
          <w:sz w:val="20"/>
        </w:rPr>
        <w:t xml:space="preserve"> </w:t>
      </w:r>
      <w:r>
        <w:rPr>
          <w:i/>
          <w:spacing w:val="-2"/>
          <w:sz w:val="20"/>
        </w:rPr>
        <w:t>Measures</w:t>
      </w:r>
      <w:r>
        <w:rPr>
          <w:i/>
          <w:sz w:val="20"/>
        </w:rPr>
        <w:tab/>
      </w:r>
      <w:r>
        <w:rPr>
          <w:sz w:val="20"/>
        </w:rPr>
        <w:t>Australia's</w:t>
      </w:r>
      <w:r>
        <w:rPr>
          <w:spacing w:val="-7"/>
          <w:sz w:val="20"/>
        </w:rPr>
        <w:t xml:space="preserve"> </w:t>
      </w:r>
      <w:r>
        <w:rPr>
          <w:sz w:val="20"/>
        </w:rPr>
        <w:t>First</w:t>
      </w:r>
      <w:r>
        <w:rPr>
          <w:spacing w:val="-2"/>
          <w:sz w:val="20"/>
        </w:rPr>
        <w:t xml:space="preserve"> </w:t>
      </w:r>
      <w:r>
        <w:rPr>
          <w:sz w:val="20"/>
        </w:rPr>
        <w:t>Written</w:t>
      </w:r>
      <w:r>
        <w:rPr>
          <w:spacing w:val="-2"/>
          <w:sz w:val="20"/>
        </w:rPr>
        <w:t xml:space="preserve"> Submission</w:t>
      </w:r>
    </w:p>
    <w:p w14:paraId="51DE9682" w14:textId="77777777" w:rsidR="0010369C" w:rsidRDefault="008E43AE">
      <w:pPr>
        <w:tabs>
          <w:tab w:val="left" w:pos="8228"/>
        </w:tabs>
        <w:spacing w:before="1"/>
        <w:ind w:left="239"/>
        <w:rPr>
          <w:sz w:val="20"/>
        </w:rPr>
      </w:pPr>
      <w:r>
        <w:rPr>
          <w:i/>
          <w:sz w:val="20"/>
        </w:rPr>
        <w:t>on</w:t>
      </w:r>
      <w:r>
        <w:rPr>
          <w:i/>
          <w:spacing w:val="-1"/>
          <w:sz w:val="20"/>
        </w:rPr>
        <w:t xml:space="preserve"> </w:t>
      </w:r>
      <w:r>
        <w:rPr>
          <w:i/>
          <w:sz w:val="20"/>
        </w:rPr>
        <w:t>Wine</w:t>
      </w:r>
      <w:r>
        <w:rPr>
          <w:i/>
          <w:spacing w:val="-1"/>
          <w:sz w:val="20"/>
        </w:rPr>
        <w:t xml:space="preserve"> </w:t>
      </w:r>
      <w:r>
        <w:rPr>
          <w:i/>
          <w:sz w:val="20"/>
        </w:rPr>
        <w:t>from</w:t>
      </w:r>
      <w:r>
        <w:rPr>
          <w:i/>
          <w:spacing w:val="-3"/>
          <w:sz w:val="20"/>
        </w:rPr>
        <w:t xml:space="preserve"> </w:t>
      </w:r>
      <w:r>
        <w:rPr>
          <w:i/>
          <w:sz w:val="20"/>
        </w:rPr>
        <w:t>Australia</w:t>
      </w:r>
      <w:r>
        <w:rPr>
          <w:i/>
          <w:spacing w:val="-1"/>
          <w:sz w:val="20"/>
        </w:rPr>
        <w:t xml:space="preserve"> </w:t>
      </w:r>
      <w:r>
        <w:rPr>
          <w:spacing w:val="-2"/>
          <w:sz w:val="20"/>
        </w:rPr>
        <w:t>(DS602)</w:t>
      </w:r>
      <w:r>
        <w:rPr>
          <w:sz w:val="20"/>
        </w:rPr>
        <w:tab/>
        <w:t>29</w:t>
      </w:r>
      <w:r>
        <w:rPr>
          <w:spacing w:val="-1"/>
          <w:sz w:val="20"/>
        </w:rPr>
        <w:t xml:space="preserve"> </w:t>
      </w:r>
      <w:r>
        <w:rPr>
          <w:sz w:val="20"/>
        </w:rPr>
        <w:t>April</w:t>
      </w:r>
      <w:r>
        <w:rPr>
          <w:spacing w:val="-2"/>
          <w:sz w:val="20"/>
        </w:rPr>
        <w:t xml:space="preserve"> </w:t>
      </w:r>
      <w:r>
        <w:rPr>
          <w:spacing w:val="-4"/>
          <w:sz w:val="20"/>
        </w:rPr>
        <w:t>2022</w:t>
      </w:r>
    </w:p>
    <w:p w14:paraId="51DE9683" w14:textId="77777777" w:rsidR="0010369C" w:rsidRDefault="008E43AE">
      <w:pPr>
        <w:pStyle w:val="BodyText"/>
        <w:spacing w:before="34" w:line="360" w:lineRule="auto"/>
        <w:ind w:left="238"/>
      </w:pPr>
      <w:r>
        <w:t>Thus, there was nothing in CADA's application that showed</w:t>
      </w:r>
      <w:r>
        <w:rPr>
          <w:spacing w:val="-1"/>
        </w:rPr>
        <w:t xml:space="preserve"> </w:t>
      </w:r>
      <w:r>
        <w:t>the "good</w:t>
      </w:r>
      <w:r>
        <w:rPr>
          <w:spacing w:val="-1"/>
        </w:rPr>
        <w:t xml:space="preserve"> </w:t>
      </w:r>
      <w:r>
        <w:t xml:space="preserve">cause" for confidential treatment that MOFCOM was obligated to examine under </w:t>
      </w:r>
      <w:r>
        <w:t>Article 6.5.</w:t>
      </w:r>
      <w:r>
        <w:rPr>
          <w:vertAlign w:val="superscript"/>
        </w:rPr>
        <w:t>1003</w:t>
      </w:r>
    </w:p>
    <w:p w14:paraId="51DE9684" w14:textId="77777777" w:rsidR="0010369C" w:rsidRDefault="0010369C">
      <w:pPr>
        <w:pStyle w:val="BodyText"/>
        <w:spacing w:before="10"/>
        <w:rPr>
          <w:sz w:val="8"/>
        </w:rPr>
      </w:pPr>
    </w:p>
    <w:p w14:paraId="51DE9685" w14:textId="77777777" w:rsidR="0010369C" w:rsidRDefault="008E43AE">
      <w:pPr>
        <w:pStyle w:val="BodyText"/>
        <w:spacing w:before="52" w:line="360" w:lineRule="auto"/>
        <w:ind w:left="236" w:right="613" w:firstLine="852"/>
        <w:jc w:val="both"/>
      </w:pPr>
      <w:r>
        <w:rPr>
          <w:noProof/>
        </w:rPr>
        <w:drawing>
          <wp:anchor distT="0" distB="0" distL="0" distR="0" simplePos="0" relativeHeight="251439616" behindDoc="1" locked="0" layoutInCell="1" allowOverlap="1" wp14:anchorId="51DEA708" wp14:editId="51DEA709">
            <wp:simplePos x="0" y="0"/>
            <wp:positionH relativeFrom="page">
              <wp:posOffset>902208</wp:posOffset>
            </wp:positionH>
            <wp:positionV relativeFrom="paragraph">
              <wp:posOffset>76785</wp:posOffset>
            </wp:positionV>
            <wp:extent cx="262127" cy="106679"/>
            <wp:effectExtent l="0" t="0" r="0" b="0"/>
            <wp:wrapNone/>
            <wp:docPr id="1643" name="image8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 name="image849.png"/>
                    <pic:cNvPicPr/>
                  </pic:nvPicPr>
                  <pic:blipFill>
                    <a:blip r:embed="rId1108" cstate="print"/>
                    <a:stretch>
                      <a:fillRect/>
                    </a:stretch>
                  </pic:blipFill>
                  <pic:spPr>
                    <a:xfrm>
                      <a:off x="0" y="0"/>
                      <a:ext cx="262127" cy="106679"/>
                    </a:xfrm>
                    <a:prstGeom prst="rect">
                      <a:avLst/>
                    </a:prstGeom>
                  </pic:spPr>
                </pic:pic>
              </a:graphicData>
            </a:graphic>
          </wp:anchor>
        </w:drawing>
      </w:r>
      <w:r>
        <w:t>Australia understands from CADA's "Section B Confidential Application" that a confidential version of the application was submitted and that it included purportedly confidential information, including within the body of the application and/or in one or mor</w:t>
      </w:r>
      <w:r>
        <w:t>e of</w:t>
      </w:r>
      <w:r>
        <w:rPr>
          <w:spacing w:val="-2"/>
        </w:rPr>
        <w:t xml:space="preserve"> </w:t>
      </w:r>
      <w:r>
        <w:t>the</w:t>
      </w:r>
      <w:r>
        <w:rPr>
          <w:spacing w:val="-2"/>
        </w:rPr>
        <w:t xml:space="preserve"> </w:t>
      </w:r>
      <w:r>
        <w:t>annexes. However,</w:t>
      </w:r>
      <w:r>
        <w:rPr>
          <w:spacing w:val="-2"/>
        </w:rPr>
        <w:t xml:space="preserve"> </w:t>
      </w:r>
      <w:r>
        <w:t>there</w:t>
      </w:r>
      <w:r>
        <w:rPr>
          <w:spacing w:val="-2"/>
        </w:rPr>
        <w:t xml:space="preserve"> </w:t>
      </w:r>
      <w:r>
        <w:t>is</w:t>
      </w:r>
      <w:r>
        <w:rPr>
          <w:spacing w:val="-2"/>
        </w:rPr>
        <w:t xml:space="preserve"> </w:t>
      </w:r>
      <w:r>
        <w:t>nothing</w:t>
      </w:r>
      <w:r>
        <w:rPr>
          <w:spacing w:val="-1"/>
        </w:rPr>
        <w:t xml:space="preserve"> </w:t>
      </w:r>
      <w:r>
        <w:t>in</w:t>
      </w:r>
      <w:r>
        <w:rPr>
          <w:spacing w:val="-2"/>
        </w:rPr>
        <w:t xml:space="preserve"> </w:t>
      </w:r>
      <w:r>
        <w:t>the</w:t>
      </w:r>
      <w:r>
        <w:rPr>
          <w:spacing w:val="-2"/>
        </w:rPr>
        <w:t xml:space="preserve"> </w:t>
      </w:r>
      <w:r>
        <w:t>body</w:t>
      </w:r>
      <w:r>
        <w:rPr>
          <w:spacing w:val="-2"/>
        </w:rPr>
        <w:t xml:space="preserve"> </w:t>
      </w:r>
      <w:r>
        <w:t>of</w:t>
      </w:r>
      <w:r>
        <w:rPr>
          <w:spacing w:val="-2"/>
        </w:rPr>
        <w:t xml:space="preserve"> </w:t>
      </w:r>
      <w:r>
        <w:t>the</w:t>
      </w:r>
      <w:r>
        <w:rPr>
          <w:spacing w:val="-2"/>
        </w:rPr>
        <w:t xml:space="preserve"> </w:t>
      </w:r>
      <w:r>
        <w:t>public</w:t>
      </w:r>
      <w:r>
        <w:rPr>
          <w:spacing w:val="-1"/>
        </w:rPr>
        <w:t xml:space="preserve"> </w:t>
      </w:r>
      <w:r>
        <w:t>version</w:t>
      </w:r>
      <w:r>
        <w:rPr>
          <w:spacing w:val="-2"/>
        </w:rPr>
        <w:t xml:space="preserve"> </w:t>
      </w:r>
      <w:r>
        <w:t>of</w:t>
      </w:r>
      <w:r>
        <w:rPr>
          <w:spacing w:val="-2"/>
        </w:rPr>
        <w:t xml:space="preserve"> </w:t>
      </w:r>
      <w:r>
        <w:t>the</w:t>
      </w:r>
      <w:r>
        <w:rPr>
          <w:spacing w:val="-1"/>
        </w:rPr>
        <w:t xml:space="preserve"> </w:t>
      </w:r>
      <w:r>
        <w:t xml:space="preserve">application to indicate (i) where information was omitted on the basis of confidential treatment, (ii) the subject matter, nature, or amount of such information, or (iii) </w:t>
      </w:r>
      <w:r>
        <w:t>the reason(s) why such information</w:t>
      </w:r>
      <w:r>
        <w:rPr>
          <w:spacing w:val="-14"/>
        </w:rPr>
        <w:t xml:space="preserve"> </w:t>
      </w:r>
      <w:r>
        <w:t>warranted</w:t>
      </w:r>
      <w:r>
        <w:rPr>
          <w:spacing w:val="-14"/>
        </w:rPr>
        <w:t xml:space="preserve"> </w:t>
      </w:r>
      <w:r>
        <w:t>confidential</w:t>
      </w:r>
      <w:r>
        <w:rPr>
          <w:spacing w:val="-13"/>
        </w:rPr>
        <w:t xml:space="preserve"> </w:t>
      </w:r>
      <w:r>
        <w:t>treatment.</w:t>
      </w:r>
      <w:r>
        <w:rPr>
          <w:spacing w:val="-14"/>
        </w:rPr>
        <w:t xml:space="preserve"> </w:t>
      </w:r>
      <w:r>
        <w:t>CADA</w:t>
      </w:r>
      <w:r>
        <w:rPr>
          <w:spacing w:val="-13"/>
        </w:rPr>
        <w:t xml:space="preserve"> </w:t>
      </w:r>
      <w:r>
        <w:t>did</w:t>
      </w:r>
      <w:r>
        <w:rPr>
          <w:spacing w:val="-14"/>
        </w:rPr>
        <w:t xml:space="preserve"> </w:t>
      </w:r>
      <w:r>
        <w:t>not</w:t>
      </w:r>
      <w:r>
        <w:rPr>
          <w:spacing w:val="-13"/>
        </w:rPr>
        <w:t xml:space="preserve"> </w:t>
      </w:r>
      <w:r>
        <w:t>employ</w:t>
      </w:r>
      <w:r>
        <w:rPr>
          <w:spacing w:val="-14"/>
        </w:rPr>
        <w:t xml:space="preserve"> </w:t>
      </w:r>
      <w:r>
        <w:t>redactions</w:t>
      </w:r>
      <w:r>
        <w:rPr>
          <w:spacing w:val="-14"/>
        </w:rPr>
        <w:t xml:space="preserve"> </w:t>
      </w:r>
      <w:r>
        <w:t>–</w:t>
      </w:r>
      <w:r>
        <w:rPr>
          <w:spacing w:val="-13"/>
        </w:rPr>
        <w:t xml:space="preserve"> </w:t>
      </w:r>
      <w:r>
        <w:t>or</w:t>
      </w:r>
      <w:r>
        <w:rPr>
          <w:spacing w:val="-14"/>
        </w:rPr>
        <w:t xml:space="preserve"> </w:t>
      </w:r>
      <w:r>
        <w:t>any</w:t>
      </w:r>
      <w:r>
        <w:rPr>
          <w:spacing w:val="-13"/>
        </w:rPr>
        <w:t xml:space="preserve"> </w:t>
      </w:r>
      <w:r>
        <w:t>other method</w:t>
      </w:r>
      <w:r>
        <w:rPr>
          <w:spacing w:val="-13"/>
        </w:rPr>
        <w:t xml:space="preserve"> </w:t>
      </w:r>
      <w:r>
        <w:t>–</w:t>
      </w:r>
      <w:r>
        <w:rPr>
          <w:spacing w:val="-13"/>
        </w:rPr>
        <w:t xml:space="preserve"> </w:t>
      </w:r>
      <w:r>
        <w:t>in</w:t>
      </w:r>
      <w:r>
        <w:rPr>
          <w:spacing w:val="-13"/>
        </w:rPr>
        <w:t xml:space="preserve"> </w:t>
      </w:r>
      <w:r>
        <w:t>order</w:t>
      </w:r>
      <w:r>
        <w:rPr>
          <w:spacing w:val="-13"/>
        </w:rPr>
        <w:t xml:space="preserve"> </w:t>
      </w:r>
      <w:r>
        <w:t>to</w:t>
      </w:r>
      <w:r>
        <w:rPr>
          <w:spacing w:val="-13"/>
        </w:rPr>
        <w:t xml:space="preserve"> </w:t>
      </w:r>
      <w:r>
        <w:t>indicate</w:t>
      </w:r>
      <w:r>
        <w:rPr>
          <w:spacing w:val="-12"/>
        </w:rPr>
        <w:t xml:space="preserve"> </w:t>
      </w:r>
      <w:r>
        <w:t>where</w:t>
      </w:r>
      <w:r>
        <w:rPr>
          <w:spacing w:val="-13"/>
        </w:rPr>
        <w:t xml:space="preserve"> </w:t>
      </w:r>
      <w:r>
        <w:t>it</w:t>
      </w:r>
      <w:r>
        <w:rPr>
          <w:spacing w:val="-13"/>
        </w:rPr>
        <w:t xml:space="preserve"> </w:t>
      </w:r>
      <w:r>
        <w:t>was</w:t>
      </w:r>
      <w:r>
        <w:rPr>
          <w:spacing w:val="-13"/>
        </w:rPr>
        <w:t xml:space="preserve"> </w:t>
      </w:r>
      <w:r>
        <w:t>asserting</w:t>
      </w:r>
      <w:r>
        <w:rPr>
          <w:spacing w:val="-13"/>
        </w:rPr>
        <w:t xml:space="preserve"> </w:t>
      </w:r>
      <w:r>
        <w:t>that</w:t>
      </w:r>
      <w:r>
        <w:rPr>
          <w:spacing w:val="-13"/>
        </w:rPr>
        <w:t xml:space="preserve"> </w:t>
      </w:r>
      <w:r>
        <w:t>certain</w:t>
      </w:r>
      <w:r>
        <w:rPr>
          <w:spacing w:val="-13"/>
        </w:rPr>
        <w:t xml:space="preserve"> </w:t>
      </w:r>
      <w:r>
        <w:t>information</w:t>
      </w:r>
      <w:r>
        <w:rPr>
          <w:spacing w:val="-13"/>
        </w:rPr>
        <w:t xml:space="preserve"> </w:t>
      </w:r>
      <w:r>
        <w:t>was</w:t>
      </w:r>
      <w:r>
        <w:rPr>
          <w:spacing w:val="-13"/>
        </w:rPr>
        <w:t xml:space="preserve"> </w:t>
      </w:r>
      <w:r>
        <w:t>confidential. There are no non‐confidential summaries or de</w:t>
      </w:r>
      <w:r>
        <w:t>scriptions of the omitted information.</w:t>
      </w:r>
    </w:p>
    <w:p w14:paraId="51DE9686" w14:textId="77777777" w:rsidR="0010369C" w:rsidRDefault="0010369C">
      <w:pPr>
        <w:pStyle w:val="BodyText"/>
        <w:spacing w:before="11"/>
        <w:rPr>
          <w:sz w:val="8"/>
        </w:rPr>
      </w:pPr>
    </w:p>
    <w:p w14:paraId="51DE9687" w14:textId="77777777" w:rsidR="0010369C" w:rsidRDefault="008E43AE">
      <w:pPr>
        <w:pStyle w:val="BodyText"/>
        <w:spacing w:before="52" w:line="360" w:lineRule="auto"/>
        <w:ind w:left="236" w:right="613" w:firstLine="852"/>
        <w:jc w:val="both"/>
      </w:pPr>
      <w:r>
        <w:rPr>
          <w:noProof/>
        </w:rPr>
        <w:drawing>
          <wp:anchor distT="0" distB="0" distL="0" distR="0" simplePos="0" relativeHeight="251440640" behindDoc="1" locked="0" layoutInCell="1" allowOverlap="1" wp14:anchorId="51DEA70A" wp14:editId="51DEA70B">
            <wp:simplePos x="0" y="0"/>
            <wp:positionH relativeFrom="page">
              <wp:posOffset>902208</wp:posOffset>
            </wp:positionH>
            <wp:positionV relativeFrom="paragraph">
              <wp:posOffset>81357</wp:posOffset>
            </wp:positionV>
            <wp:extent cx="262127" cy="103631"/>
            <wp:effectExtent l="0" t="0" r="0" b="0"/>
            <wp:wrapNone/>
            <wp:docPr id="1645" name="image8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 name="image850.png"/>
                    <pic:cNvPicPr/>
                  </pic:nvPicPr>
                  <pic:blipFill>
                    <a:blip r:embed="rId1109" cstate="print"/>
                    <a:stretch>
                      <a:fillRect/>
                    </a:stretch>
                  </pic:blipFill>
                  <pic:spPr>
                    <a:xfrm>
                      <a:off x="0" y="0"/>
                      <a:ext cx="262127" cy="103631"/>
                    </a:xfrm>
                    <a:prstGeom prst="rect">
                      <a:avLst/>
                    </a:prstGeom>
                  </pic:spPr>
                </pic:pic>
              </a:graphicData>
            </a:graphic>
          </wp:anchor>
        </w:drawing>
      </w:r>
      <w:r>
        <w:t>MOFCOM was required to ensure that: (i) the confidential treatment of any information withheld from the other interested parties was based on a showing of "good cause";</w:t>
      </w:r>
      <w:r>
        <w:rPr>
          <w:spacing w:val="-12"/>
        </w:rPr>
        <w:t xml:space="preserve"> </w:t>
      </w:r>
      <w:r>
        <w:t>(ii)</w:t>
      </w:r>
      <w:r>
        <w:rPr>
          <w:spacing w:val="-12"/>
        </w:rPr>
        <w:t xml:space="preserve"> </w:t>
      </w:r>
      <w:r>
        <w:t>non‐confidential</w:t>
      </w:r>
      <w:r>
        <w:rPr>
          <w:spacing w:val="-11"/>
        </w:rPr>
        <w:t xml:space="preserve"> </w:t>
      </w:r>
      <w:r>
        <w:t>summaries</w:t>
      </w:r>
      <w:r>
        <w:rPr>
          <w:spacing w:val="-11"/>
        </w:rPr>
        <w:t xml:space="preserve"> </w:t>
      </w:r>
      <w:r>
        <w:t>of</w:t>
      </w:r>
      <w:r>
        <w:rPr>
          <w:spacing w:val="-11"/>
        </w:rPr>
        <w:t xml:space="preserve"> </w:t>
      </w:r>
      <w:r>
        <w:t>such</w:t>
      </w:r>
      <w:r>
        <w:rPr>
          <w:spacing w:val="-12"/>
        </w:rPr>
        <w:t xml:space="preserve"> </w:t>
      </w:r>
      <w:r>
        <w:t>information</w:t>
      </w:r>
      <w:r>
        <w:rPr>
          <w:spacing w:val="-10"/>
        </w:rPr>
        <w:t xml:space="preserve"> </w:t>
      </w:r>
      <w:r>
        <w:t>were</w:t>
      </w:r>
      <w:r>
        <w:rPr>
          <w:spacing w:val="-12"/>
        </w:rPr>
        <w:t xml:space="preserve"> </w:t>
      </w:r>
      <w:r>
        <w:t>provided</w:t>
      </w:r>
      <w:r>
        <w:rPr>
          <w:spacing w:val="-10"/>
        </w:rPr>
        <w:t xml:space="preserve"> </w:t>
      </w:r>
      <w:r>
        <w:t>"in</w:t>
      </w:r>
      <w:r>
        <w:rPr>
          <w:spacing w:val="-11"/>
        </w:rPr>
        <w:t xml:space="preserve"> </w:t>
      </w:r>
      <w:r>
        <w:t>sufficient</w:t>
      </w:r>
      <w:r>
        <w:rPr>
          <w:spacing w:val="-11"/>
        </w:rPr>
        <w:t xml:space="preserve"> </w:t>
      </w:r>
      <w:r>
        <w:t>detail to permit a reasonable understanding of the substance of the information submitted in confidence"; and (iii) in exceptional circumstances where such information was not susceptible</w:t>
      </w:r>
      <w:r>
        <w:rPr>
          <w:spacing w:val="-13"/>
        </w:rPr>
        <w:t xml:space="preserve"> </w:t>
      </w:r>
      <w:r>
        <w:t>of</w:t>
      </w:r>
      <w:r>
        <w:rPr>
          <w:spacing w:val="-14"/>
        </w:rPr>
        <w:t xml:space="preserve"> </w:t>
      </w:r>
      <w:r>
        <w:t>summary,</w:t>
      </w:r>
      <w:r>
        <w:rPr>
          <w:spacing w:val="-13"/>
        </w:rPr>
        <w:t xml:space="preserve"> </w:t>
      </w:r>
      <w:r>
        <w:t>a</w:t>
      </w:r>
      <w:r>
        <w:rPr>
          <w:spacing w:val="-13"/>
        </w:rPr>
        <w:t xml:space="preserve"> </w:t>
      </w:r>
      <w:r>
        <w:t>statement</w:t>
      </w:r>
      <w:r>
        <w:rPr>
          <w:spacing w:val="-13"/>
        </w:rPr>
        <w:t xml:space="preserve"> </w:t>
      </w:r>
      <w:r>
        <w:t>was</w:t>
      </w:r>
      <w:r>
        <w:rPr>
          <w:spacing w:val="-14"/>
        </w:rPr>
        <w:t xml:space="preserve"> </w:t>
      </w:r>
      <w:r>
        <w:t>provided</w:t>
      </w:r>
      <w:r>
        <w:rPr>
          <w:spacing w:val="-12"/>
        </w:rPr>
        <w:t xml:space="preserve"> </w:t>
      </w:r>
      <w:r>
        <w:t>of</w:t>
      </w:r>
      <w:r>
        <w:rPr>
          <w:spacing w:val="-14"/>
        </w:rPr>
        <w:t xml:space="preserve"> </w:t>
      </w:r>
      <w:r>
        <w:t>the</w:t>
      </w:r>
      <w:r>
        <w:rPr>
          <w:spacing w:val="-12"/>
        </w:rPr>
        <w:t xml:space="preserve"> </w:t>
      </w:r>
      <w:r>
        <w:t>reasons</w:t>
      </w:r>
      <w:r>
        <w:rPr>
          <w:spacing w:val="-14"/>
        </w:rPr>
        <w:t xml:space="preserve"> </w:t>
      </w:r>
      <w:r>
        <w:t>why</w:t>
      </w:r>
      <w:r>
        <w:rPr>
          <w:spacing w:val="-12"/>
        </w:rPr>
        <w:t xml:space="preserve"> </w:t>
      </w:r>
      <w:r>
        <w:t>summarization</w:t>
      </w:r>
      <w:r>
        <w:rPr>
          <w:spacing w:val="-13"/>
        </w:rPr>
        <w:t xml:space="preserve"> </w:t>
      </w:r>
      <w:r>
        <w:t>was</w:t>
      </w:r>
      <w:r>
        <w:rPr>
          <w:spacing w:val="-14"/>
        </w:rPr>
        <w:t xml:space="preserve"> </w:t>
      </w:r>
      <w:r>
        <w:t>not possible. MOFCOM failed to ensure that any of these requirements was met. The only reference in the Final Determination to confidential information in CADA's application was MOFCOM's</w:t>
      </w:r>
      <w:r>
        <w:rPr>
          <w:spacing w:val="-10"/>
        </w:rPr>
        <w:t xml:space="preserve"> </w:t>
      </w:r>
      <w:r>
        <w:t>statement</w:t>
      </w:r>
      <w:r>
        <w:rPr>
          <w:spacing w:val="-11"/>
        </w:rPr>
        <w:t xml:space="preserve"> </w:t>
      </w:r>
      <w:r>
        <w:t>that</w:t>
      </w:r>
      <w:r>
        <w:rPr>
          <w:spacing w:val="-11"/>
        </w:rPr>
        <w:t xml:space="preserve"> </w:t>
      </w:r>
      <w:r>
        <w:t>"stakeh</w:t>
      </w:r>
      <w:r>
        <w:t>olders"</w:t>
      </w:r>
      <w:r>
        <w:rPr>
          <w:spacing w:val="-11"/>
        </w:rPr>
        <w:t xml:space="preserve"> </w:t>
      </w:r>
      <w:r>
        <w:t>and</w:t>
      </w:r>
      <w:r>
        <w:rPr>
          <w:spacing w:val="-11"/>
        </w:rPr>
        <w:t xml:space="preserve"> </w:t>
      </w:r>
      <w:r>
        <w:t>the</w:t>
      </w:r>
      <w:r>
        <w:rPr>
          <w:spacing w:val="-10"/>
        </w:rPr>
        <w:t xml:space="preserve"> </w:t>
      </w:r>
      <w:r>
        <w:t>public</w:t>
      </w:r>
      <w:r>
        <w:rPr>
          <w:spacing w:val="-10"/>
        </w:rPr>
        <w:t xml:space="preserve"> </w:t>
      </w:r>
      <w:r>
        <w:t>had</w:t>
      </w:r>
      <w:r>
        <w:rPr>
          <w:spacing w:val="-11"/>
        </w:rPr>
        <w:t xml:space="preserve"> </w:t>
      </w:r>
      <w:r>
        <w:t>been</w:t>
      </w:r>
      <w:r>
        <w:rPr>
          <w:spacing w:val="-11"/>
        </w:rPr>
        <w:t xml:space="preserve"> </w:t>
      </w:r>
      <w:r>
        <w:t>given</w:t>
      </w:r>
      <w:r>
        <w:rPr>
          <w:spacing w:val="-11"/>
        </w:rPr>
        <w:t xml:space="preserve"> </w:t>
      </w:r>
      <w:r>
        <w:t>access</w:t>
      </w:r>
      <w:r>
        <w:rPr>
          <w:spacing w:val="-11"/>
        </w:rPr>
        <w:t xml:space="preserve"> </w:t>
      </w:r>
      <w:r>
        <w:t>to</w:t>
      </w:r>
      <w:r>
        <w:rPr>
          <w:spacing w:val="-11"/>
        </w:rPr>
        <w:t xml:space="preserve"> </w:t>
      </w:r>
      <w:r>
        <w:t>"the</w:t>
      </w:r>
      <w:r>
        <w:rPr>
          <w:spacing w:val="-11"/>
        </w:rPr>
        <w:t xml:space="preserve"> </w:t>
      </w:r>
      <w:r>
        <w:t xml:space="preserve">public version of the application and non‐confidential summary of the confidential version of the </w:t>
      </w:r>
      <w:r>
        <w:rPr>
          <w:spacing w:val="-2"/>
        </w:rPr>
        <w:t>application".</w:t>
      </w:r>
      <w:r>
        <w:rPr>
          <w:spacing w:val="-2"/>
          <w:vertAlign w:val="superscript"/>
        </w:rPr>
        <w:t>1004</w:t>
      </w:r>
    </w:p>
    <w:p w14:paraId="51DE9688" w14:textId="77777777" w:rsidR="0010369C" w:rsidRDefault="0010369C">
      <w:pPr>
        <w:pStyle w:val="BodyText"/>
        <w:spacing w:before="10"/>
        <w:rPr>
          <w:sz w:val="8"/>
        </w:rPr>
      </w:pPr>
    </w:p>
    <w:p w14:paraId="51DE9689" w14:textId="77777777" w:rsidR="0010369C" w:rsidRDefault="008E43AE">
      <w:pPr>
        <w:pStyle w:val="BodyText"/>
        <w:spacing w:before="52" w:line="360" w:lineRule="auto"/>
        <w:ind w:left="237" w:right="614" w:firstLine="851"/>
        <w:jc w:val="both"/>
      </w:pPr>
      <w:r>
        <w:rPr>
          <w:noProof/>
        </w:rPr>
        <w:drawing>
          <wp:anchor distT="0" distB="0" distL="0" distR="0" simplePos="0" relativeHeight="251441664" behindDoc="1" locked="0" layoutInCell="1" allowOverlap="1" wp14:anchorId="51DEA70C" wp14:editId="51DEA70D">
            <wp:simplePos x="0" y="0"/>
            <wp:positionH relativeFrom="page">
              <wp:posOffset>902208</wp:posOffset>
            </wp:positionH>
            <wp:positionV relativeFrom="paragraph">
              <wp:posOffset>80595</wp:posOffset>
            </wp:positionV>
            <wp:extent cx="262127" cy="103631"/>
            <wp:effectExtent l="0" t="0" r="0" b="0"/>
            <wp:wrapNone/>
            <wp:docPr id="1647" name="image8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 name="image851.png"/>
                    <pic:cNvPicPr/>
                  </pic:nvPicPr>
                  <pic:blipFill>
                    <a:blip r:embed="rId1110" cstate="print"/>
                    <a:stretch>
                      <a:fillRect/>
                    </a:stretch>
                  </pic:blipFill>
                  <pic:spPr>
                    <a:xfrm>
                      <a:off x="0" y="0"/>
                      <a:ext cx="262127" cy="103631"/>
                    </a:xfrm>
                    <a:prstGeom prst="rect">
                      <a:avLst/>
                    </a:prstGeom>
                  </pic:spPr>
                </pic:pic>
              </a:graphicData>
            </a:graphic>
          </wp:anchor>
        </w:drawing>
      </w:r>
      <w:r>
        <w:t>Without</w:t>
      </w:r>
      <w:r>
        <w:rPr>
          <w:spacing w:val="-2"/>
        </w:rPr>
        <w:t xml:space="preserve"> </w:t>
      </w:r>
      <w:r>
        <w:t>"good</w:t>
      </w:r>
      <w:r>
        <w:rPr>
          <w:spacing w:val="-2"/>
        </w:rPr>
        <w:t xml:space="preserve"> </w:t>
      </w:r>
      <w:r>
        <w:t>cause</w:t>
      </w:r>
      <w:r>
        <w:rPr>
          <w:spacing w:val="-1"/>
        </w:rPr>
        <w:t xml:space="preserve"> </w:t>
      </w:r>
      <w:r>
        <w:t>shown",</w:t>
      </w:r>
      <w:r>
        <w:rPr>
          <w:spacing w:val="-1"/>
        </w:rPr>
        <w:t xml:space="preserve"> </w:t>
      </w:r>
      <w:r>
        <w:t>there</w:t>
      </w:r>
      <w:r>
        <w:rPr>
          <w:spacing w:val="-2"/>
        </w:rPr>
        <w:t xml:space="preserve"> </w:t>
      </w:r>
      <w:r>
        <w:t>is</w:t>
      </w:r>
      <w:r>
        <w:rPr>
          <w:spacing w:val="-2"/>
        </w:rPr>
        <w:t xml:space="preserve"> </w:t>
      </w:r>
      <w:r>
        <w:t>no</w:t>
      </w:r>
      <w:r>
        <w:rPr>
          <w:spacing w:val="-1"/>
        </w:rPr>
        <w:t xml:space="preserve"> </w:t>
      </w:r>
      <w:r>
        <w:t>legal</w:t>
      </w:r>
      <w:r>
        <w:rPr>
          <w:spacing w:val="-1"/>
        </w:rPr>
        <w:t xml:space="preserve"> </w:t>
      </w:r>
      <w:r>
        <w:t>basis</w:t>
      </w:r>
      <w:r>
        <w:rPr>
          <w:spacing w:val="-1"/>
        </w:rPr>
        <w:t xml:space="preserve"> </w:t>
      </w:r>
      <w:r>
        <w:t>for</w:t>
      </w:r>
      <w:r>
        <w:rPr>
          <w:spacing w:val="-1"/>
        </w:rPr>
        <w:t xml:space="preserve"> </w:t>
      </w:r>
      <w:r>
        <w:t>an</w:t>
      </w:r>
      <w:r>
        <w:rPr>
          <w:spacing w:val="-2"/>
        </w:rPr>
        <w:t xml:space="preserve"> </w:t>
      </w:r>
      <w:r>
        <w:t>investigating authority</w:t>
      </w:r>
      <w:r>
        <w:rPr>
          <w:spacing w:val="-1"/>
        </w:rPr>
        <w:t xml:space="preserve"> </w:t>
      </w:r>
      <w:r>
        <w:t>to accord confidential treatment to information. A showing of "good cause" must constitute a reason</w:t>
      </w:r>
      <w:r>
        <w:rPr>
          <w:spacing w:val="-5"/>
        </w:rPr>
        <w:t xml:space="preserve"> </w:t>
      </w:r>
      <w:r>
        <w:t>"sufficient</w:t>
      </w:r>
      <w:r>
        <w:rPr>
          <w:spacing w:val="-4"/>
        </w:rPr>
        <w:t xml:space="preserve"> </w:t>
      </w:r>
      <w:r>
        <w:t>to</w:t>
      </w:r>
      <w:r>
        <w:rPr>
          <w:spacing w:val="-3"/>
        </w:rPr>
        <w:t xml:space="preserve"> </w:t>
      </w:r>
      <w:r>
        <w:t>justify</w:t>
      </w:r>
      <w:r>
        <w:rPr>
          <w:spacing w:val="-3"/>
        </w:rPr>
        <w:t xml:space="preserve"> </w:t>
      </w:r>
      <w:r>
        <w:t>the</w:t>
      </w:r>
      <w:r>
        <w:rPr>
          <w:spacing w:val="-3"/>
        </w:rPr>
        <w:t xml:space="preserve"> </w:t>
      </w:r>
      <w:r>
        <w:t>withholding</w:t>
      </w:r>
      <w:r>
        <w:rPr>
          <w:spacing w:val="-4"/>
        </w:rPr>
        <w:t xml:space="preserve"> </w:t>
      </w:r>
      <w:r>
        <w:t>of</w:t>
      </w:r>
      <w:r>
        <w:rPr>
          <w:spacing w:val="-4"/>
        </w:rPr>
        <w:t xml:space="preserve"> </w:t>
      </w:r>
      <w:r>
        <w:t>information</w:t>
      </w:r>
      <w:r>
        <w:rPr>
          <w:spacing w:val="-4"/>
        </w:rPr>
        <w:t xml:space="preserve"> </w:t>
      </w:r>
      <w:r>
        <w:t>from</w:t>
      </w:r>
      <w:r>
        <w:rPr>
          <w:spacing w:val="-4"/>
        </w:rPr>
        <w:t xml:space="preserve"> </w:t>
      </w:r>
      <w:r>
        <w:t>both</w:t>
      </w:r>
      <w:r>
        <w:rPr>
          <w:spacing w:val="-4"/>
        </w:rPr>
        <w:t xml:space="preserve"> </w:t>
      </w:r>
      <w:r>
        <w:t>the</w:t>
      </w:r>
      <w:r>
        <w:rPr>
          <w:spacing w:val="-4"/>
        </w:rPr>
        <w:t xml:space="preserve"> </w:t>
      </w:r>
      <w:r>
        <w:t>public</w:t>
      </w:r>
      <w:r>
        <w:rPr>
          <w:spacing w:val="-3"/>
        </w:rPr>
        <w:t xml:space="preserve"> </w:t>
      </w:r>
      <w:r>
        <w:t>and</w:t>
      </w:r>
      <w:r>
        <w:rPr>
          <w:spacing w:val="-4"/>
        </w:rPr>
        <w:t xml:space="preserve"> </w:t>
      </w:r>
      <w:r>
        <w:t>from</w:t>
      </w:r>
      <w:r>
        <w:rPr>
          <w:spacing w:val="-4"/>
        </w:rPr>
        <w:t xml:space="preserve"> </w:t>
      </w:r>
      <w:r>
        <w:t>the other parties interested in the investigatio</w:t>
      </w:r>
      <w:r>
        <w:t>n".</w:t>
      </w:r>
      <w:r>
        <w:rPr>
          <w:vertAlign w:val="superscript"/>
        </w:rPr>
        <w:t>1005</w:t>
      </w:r>
      <w:r>
        <w:t xml:space="preserve"> An investigating authority is required to objectively</w:t>
      </w:r>
      <w:r>
        <w:rPr>
          <w:spacing w:val="24"/>
        </w:rPr>
        <w:t xml:space="preserve"> </w:t>
      </w:r>
      <w:r>
        <w:t>assess</w:t>
      </w:r>
      <w:r>
        <w:rPr>
          <w:spacing w:val="26"/>
        </w:rPr>
        <w:t xml:space="preserve"> </w:t>
      </w:r>
      <w:r>
        <w:t>the</w:t>
      </w:r>
      <w:r>
        <w:rPr>
          <w:spacing w:val="26"/>
        </w:rPr>
        <w:t xml:space="preserve"> </w:t>
      </w:r>
      <w:r>
        <w:t>"good</w:t>
      </w:r>
      <w:r>
        <w:rPr>
          <w:spacing w:val="25"/>
        </w:rPr>
        <w:t xml:space="preserve"> </w:t>
      </w:r>
      <w:r>
        <w:t>cause"</w:t>
      </w:r>
      <w:r>
        <w:rPr>
          <w:spacing w:val="24"/>
        </w:rPr>
        <w:t xml:space="preserve"> </w:t>
      </w:r>
      <w:r>
        <w:t>alleged</w:t>
      </w:r>
      <w:r>
        <w:rPr>
          <w:spacing w:val="24"/>
        </w:rPr>
        <w:t xml:space="preserve"> </w:t>
      </w:r>
      <w:r>
        <w:t>for</w:t>
      </w:r>
      <w:r>
        <w:rPr>
          <w:spacing w:val="25"/>
        </w:rPr>
        <w:t xml:space="preserve"> </w:t>
      </w:r>
      <w:r>
        <w:t>confidential</w:t>
      </w:r>
      <w:r>
        <w:rPr>
          <w:spacing w:val="25"/>
        </w:rPr>
        <w:t xml:space="preserve"> </w:t>
      </w:r>
      <w:r>
        <w:t>treatment,</w:t>
      </w:r>
      <w:r>
        <w:rPr>
          <w:spacing w:val="25"/>
        </w:rPr>
        <w:t xml:space="preserve"> </w:t>
      </w:r>
      <w:r>
        <w:t>and</w:t>
      </w:r>
      <w:r>
        <w:rPr>
          <w:spacing w:val="26"/>
        </w:rPr>
        <w:t xml:space="preserve"> </w:t>
      </w:r>
      <w:r>
        <w:t>"scrutinize</w:t>
      </w:r>
      <w:r>
        <w:rPr>
          <w:spacing w:val="26"/>
        </w:rPr>
        <w:t xml:space="preserve"> </w:t>
      </w:r>
      <w:r>
        <w:t>the</w:t>
      </w:r>
    </w:p>
    <w:p w14:paraId="51DE968A" w14:textId="77777777" w:rsidR="0010369C" w:rsidRDefault="008E43AE">
      <w:pPr>
        <w:pStyle w:val="BodyText"/>
        <w:spacing w:before="6"/>
        <w:rPr>
          <w:sz w:val="15"/>
        </w:rPr>
      </w:pPr>
      <w:r>
        <w:pict w14:anchorId="51DEA70E">
          <v:rect id="docshape1277" o:spid="_x0000_s1157" style="position:absolute;margin-left:70.9pt;margin-top:10.7pt;width:2in;height:.8pt;z-index:-250736128;mso-wrap-distance-left:0;mso-wrap-distance-right:0;mso-position-horizontal-relative:page" fillcolor="black" stroked="f">
            <w10:wrap type="topAndBottom" anchorx="page"/>
          </v:rect>
        </w:pict>
      </w:r>
    </w:p>
    <w:p w14:paraId="51DE968B" w14:textId="77777777" w:rsidR="0010369C" w:rsidRDefault="008E43AE">
      <w:pPr>
        <w:spacing w:before="109"/>
        <w:ind w:left="238" w:right="612"/>
        <w:jc w:val="both"/>
        <w:rPr>
          <w:sz w:val="18"/>
        </w:rPr>
      </w:pPr>
      <w:r>
        <w:rPr>
          <w:sz w:val="18"/>
          <w:vertAlign w:val="superscript"/>
        </w:rPr>
        <w:t>1003</w:t>
      </w:r>
      <w:r>
        <w:rPr>
          <w:sz w:val="18"/>
        </w:rPr>
        <w:t xml:space="preserve"> Appellate Body Report, </w:t>
      </w:r>
      <w:r>
        <w:rPr>
          <w:i/>
          <w:sz w:val="18"/>
        </w:rPr>
        <w:t>EC – Fasteners (China)</w:t>
      </w:r>
      <w:r>
        <w:rPr>
          <w:sz w:val="18"/>
        </w:rPr>
        <w:t>, para. 539 ("The obligation remains with the investigating authority to examine</w:t>
      </w:r>
      <w:r>
        <w:rPr>
          <w:spacing w:val="-6"/>
          <w:sz w:val="18"/>
        </w:rPr>
        <w:t xml:space="preserve"> </w:t>
      </w:r>
      <w:r>
        <w:rPr>
          <w:sz w:val="18"/>
        </w:rPr>
        <w:t>objectively</w:t>
      </w:r>
      <w:r>
        <w:rPr>
          <w:spacing w:val="-6"/>
          <w:sz w:val="18"/>
        </w:rPr>
        <w:t xml:space="preserve"> </w:t>
      </w:r>
      <w:r>
        <w:rPr>
          <w:sz w:val="18"/>
        </w:rPr>
        <w:t>the</w:t>
      </w:r>
      <w:r>
        <w:rPr>
          <w:spacing w:val="-5"/>
          <w:sz w:val="18"/>
        </w:rPr>
        <w:t xml:space="preserve"> </w:t>
      </w:r>
      <w:r>
        <w:rPr>
          <w:sz w:val="18"/>
        </w:rPr>
        <w:t>justification</w:t>
      </w:r>
      <w:r>
        <w:rPr>
          <w:spacing w:val="-5"/>
          <w:sz w:val="18"/>
        </w:rPr>
        <w:t xml:space="preserve"> </w:t>
      </w:r>
      <w:r>
        <w:rPr>
          <w:sz w:val="18"/>
        </w:rPr>
        <w:t>given</w:t>
      </w:r>
      <w:r>
        <w:rPr>
          <w:spacing w:val="-6"/>
          <w:sz w:val="18"/>
        </w:rPr>
        <w:t xml:space="preserve"> </w:t>
      </w:r>
      <w:r>
        <w:rPr>
          <w:sz w:val="18"/>
        </w:rPr>
        <w:t>for</w:t>
      </w:r>
      <w:r>
        <w:rPr>
          <w:spacing w:val="-6"/>
          <w:sz w:val="18"/>
        </w:rPr>
        <w:t xml:space="preserve"> </w:t>
      </w:r>
      <w:r>
        <w:rPr>
          <w:sz w:val="18"/>
        </w:rPr>
        <w:t>the</w:t>
      </w:r>
      <w:r>
        <w:rPr>
          <w:spacing w:val="-5"/>
          <w:sz w:val="18"/>
        </w:rPr>
        <w:t xml:space="preserve"> </w:t>
      </w:r>
      <w:r>
        <w:rPr>
          <w:sz w:val="18"/>
        </w:rPr>
        <w:t>need</w:t>
      </w:r>
      <w:r>
        <w:rPr>
          <w:spacing w:val="-5"/>
          <w:sz w:val="18"/>
        </w:rPr>
        <w:t xml:space="preserve"> </w:t>
      </w:r>
      <w:r>
        <w:rPr>
          <w:sz w:val="18"/>
        </w:rPr>
        <w:t>for</w:t>
      </w:r>
      <w:r>
        <w:rPr>
          <w:spacing w:val="-6"/>
          <w:sz w:val="18"/>
        </w:rPr>
        <w:t xml:space="preserve"> </w:t>
      </w:r>
      <w:r>
        <w:rPr>
          <w:sz w:val="18"/>
        </w:rPr>
        <w:t>confidential</w:t>
      </w:r>
      <w:r>
        <w:rPr>
          <w:spacing w:val="-7"/>
          <w:sz w:val="18"/>
        </w:rPr>
        <w:t xml:space="preserve"> </w:t>
      </w:r>
      <w:r>
        <w:rPr>
          <w:sz w:val="18"/>
        </w:rPr>
        <w:t>treatment.</w:t>
      </w:r>
      <w:r>
        <w:rPr>
          <w:spacing w:val="-6"/>
          <w:sz w:val="18"/>
        </w:rPr>
        <w:t xml:space="preserve"> </w:t>
      </w:r>
      <w:r>
        <w:rPr>
          <w:sz w:val="18"/>
        </w:rPr>
        <w:t>If</w:t>
      </w:r>
      <w:r>
        <w:rPr>
          <w:spacing w:val="-6"/>
          <w:sz w:val="18"/>
        </w:rPr>
        <w:t xml:space="preserve"> </w:t>
      </w:r>
      <w:r>
        <w:rPr>
          <w:sz w:val="18"/>
        </w:rPr>
        <w:t>information</w:t>
      </w:r>
      <w:r>
        <w:rPr>
          <w:spacing w:val="-5"/>
          <w:sz w:val="18"/>
        </w:rPr>
        <w:t xml:space="preserve"> </w:t>
      </w:r>
      <w:r>
        <w:rPr>
          <w:sz w:val="18"/>
        </w:rPr>
        <w:t>is</w:t>
      </w:r>
      <w:r>
        <w:rPr>
          <w:spacing w:val="-5"/>
          <w:sz w:val="18"/>
        </w:rPr>
        <w:t xml:space="preserve"> </w:t>
      </w:r>
      <w:r>
        <w:rPr>
          <w:sz w:val="18"/>
        </w:rPr>
        <w:t>treated</w:t>
      </w:r>
      <w:r>
        <w:rPr>
          <w:spacing w:val="-6"/>
          <w:sz w:val="18"/>
        </w:rPr>
        <w:t xml:space="preserve"> </w:t>
      </w:r>
      <w:r>
        <w:rPr>
          <w:sz w:val="18"/>
        </w:rPr>
        <w:t>as</w:t>
      </w:r>
      <w:r>
        <w:rPr>
          <w:spacing w:val="-5"/>
          <w:sz w:val="18"/>
        </w:rPr>
        <w:t xml:space="preserve"> </w:t>
      </w:r>
      <w:r>
        <w:rPr>
          <w:sz w:val="18"/>
        </w:rPr>
        <w:t>confidential</w:t>
      </w:r>
      <w:r>
        <w:rPr>
          <w:spacing w:val="-7"/>
          <w:sz w:val="18"/>
        </w:rPr>
        <w:t xml:space="preserve"> </w:t>
      </w:r>
      <w:r>
        <w:rPr>
          <w:sz w:val="18"/>
        </w:rPr>
        <w:t>by an authority without such a 'good cause' showing havi</w:t>
      </w:r>
      <w:r>
        <w:rPr>
          <w:sz w:val="18"/>
        </w:rPr>
        <w:t>ng been made, the authority would be acting inconsistently with its obligations under Article 6.5 to grant such treatment only 'upon good cause shown'").</w:t>
      </w:r>
    </w:p>
    <w:p w14:paraId="51DE968C" w14:textId="77777777" w:rsidR="0010369C" w:rsidRDefault="008E43AE">
      <w:pPr>
        <w:spacing w:before="1"/>
        <w:ind w:left="238"/>
        <w:jc w:val="both"/>
        <w:rPr>
          <w:sz w:val="18"/>
        </w:rPr>
      </w:pPr>
      <w:r>
        <w:rPr>
          <w:sz w:val="18"/>
          <w:vertAlign w:val="superscript"/>
        </w:rPr>
        <w:t>1004</w:t>
      </w:r>
      <w:r>
        <w:rPr>
          <w:spacing w:val="-9"/>
          <w:sz w:val="18"/>
        </w:rPr>
        <w:t xml:space="preserve"> </w:t>
      </w:r>
      <w:r>
        <w:rPr>
          <w:sz w:val="18"/>
        </w:rPr>
        <w:t>Anti‐Dumping</w:t>
      </w:r>
      <w:r>
        <w:rPr>
          <w:spacing w:val="-9"/>
          <w:sz w:val="18"/>
        </w:rPr>
        <w:t xml:space="preserve"> </w:t>
      </w:r>
      <w:r>
        <w:rPr>
          <w:sz w:val="18"/>
        </w:rPr>
        <w:t>Final</w:t>
      </w:r>
      <w:r>
        <w:rPr>
          <w:spacing w:val="-9"/>
          <w:sz w:val="18"/>
        </w:rPr>
        <w:t xml:space="preserve"> </w:t>
      </w:r>
      <w:r>
        <w:rPr>
          <w:sz w:val="18"/>
        </w:rPr>
        <w:t>Determination</w:t>
      </w:r>
      <w:r>
        <w:rPr>
          <w:spacing w:val="-8"/>
          <w:sz w:val="18"/>
        </w:rPr>
        <w:t xml:space="preserve"> </w:t>
      </w:r>
      <w:r>
        <w:rPr>
          <w:sz w:val="18"/>
        </w:rPr>
        <w:t>(Exhibit</w:t>
      </w:r>
      <w:r>
        <w:rPr>
          <w:spacing w:val="-9"/>
          <w:sz w:val="18"/>
        </w:rPr>
        <w:t xml:space="preserve"> </w:t>
      </w:r>
      <w:r>
        <w:rPr>
          <w:sz w:val="18"/>
        </w:rPr>
        <w:t>AUS‐2),</w:t>
      </w:r>
      <w:r>
        <w:rPr>
          <w:spacing w:val="-10"/>
          <w:sz w:val="18"/>
        </w:rPr>
        <w:t xml:space="preserve"> </w:t>
      </w:r>
      <w:r>
        <w:rPr>
          <w:sz w:val="18"/>
        </w:rPr>
        <w:t>p.</w:t>
      </w:r>
      <w:r>
        <w:rPr>
          <w:spacing w:val="-9"/>
          <w:sz w:val="18"/>
        </w:rPr>
        <w:t xml:space="preserve"> </w:t>
      </w:r>
      <w:r>
        <w:rPr>
          <w:spacing w:val="-5"/>
          <w:sz w:val="18"/>
        </w:rPr>
        <w:t>6.</w:t>
      </w:r>
    </w:p>
    <w:p w14:paraId="51DE968D" w14:textId="77777777" w:rsidR="0010369C" w:rsidRDefault="008E43AE">
      <w:pPr>
        <w:ind w:left="238"/>
        <w:jc w:val="both"/>
        <w:rPr>
          <w:sz w:val="18"/>
        </w:rPr>
      </w:pPr>
      <w:r>
        <w:rPr>
          <w:sz w:val="18"/>
          <w:vertAlign w:val="superscript"/>
        </w:rPr>
        <w:t>1005</w:t>
      </w:r>
      <w:r>
        <w:rPr>
          <w:spacing w:val="-6"/>
          <w:sz w:val="18"/>
        </w:rPr>
        <w:t xml:space="preserve"> </w:t>
      </w:r>
      <w:r>
        <w:rPr>
          <w:sz w:val="18"/>
        </w:rPr>
        <w:t>Appellate</w:t>
      </w:r>
      <w:r>
        <w:rPr>
          <w:spacing w:val="-6"/>
          <w:sz w:val="18"/>
        </w:rPr>
        <w:t xml:space="preserve"> </w:t>
      </w:r>
      <w:r>
        <w:rPr>
          <w:sz w:val="18"/>
        </w:rPr>
        <w:t>Body</w:t>
      </w:r>
      <w:r>
        <w:rPr>
          <w:spacing w:val="-7"/>
          <w:sz w:val="18"/>
        </w:rPr>
        <w:t xml:space="preserve"> </w:t>
      </w:r>
      <w:r>
        <w:rPr>
          <w:sz w:val="18"/>
        </w:rPr>
        <w:t>Report,</w:t>
      </w:r>
      <w:r>
        <w:rPr>
          <w:spacing w:val="-6"/>
          <w:sz w:val="18"/>
        </w:rPr>
        <w:t xml:space="preserve"> </w:t>
      </w:r>
      <w:r>
        <w:rPr>
          <w:i/>
          <w:sz w:val="18"/>
        </w:rPr>
        <w:t>EC</w:t>
      </w:r>
      <w:r>
        <w:rPr>
          <w:i/>
          <w:spacing w:val="-7"/>
          <w:sz w:val="18"/>
        </w:rPr>
        <w:t xml:space="preserve"> </w:t>
      </w:r>
      <w:r>
        <w:rPr>
          <w:i/>
          <w:sz w:val="18"/>
        </w:rPr>
        <w:t>–</w:t>
      </w:r>
      <w:r>
        <w:rPr>
          <w:i/>
          <w:spacing w:val="-5"/>
          <w:sz w:val="18"/>
        </w:rPr>
        <w:t xml:space="preserve"> </w:t>
      </w:r>
      <w:r>
        <w:rPr>
          <w:i/>
          <w:sz w:val="18"/>
        </w:rPr>
        <w:t>Fastener</w:t>
      </w:r>
      <w:r>
        <w:rPr>
          <w:i/>
          <w:sz w:val="18"/>
        </w:rPr>
        <w:t>s</w:t>
      </w:r>
      <w:r>
        <w:rPr>
          <w:i/>
          <w:spacing w:val="-6"/>
          <w:sz w:val="18"/>
        </w:rPr>
        <w:t xml:space="preserve"> </w:t>
      </w:r>
      <w:r>
        <w:rPr>
          <w:i/>
          <w:sz w:val="18"/>
        </w:rPr>
        <w:t>(China)</w:t>
      </w:r>
      <w:r>
        <w:rPr>
          <w:sz w:val="18"/>
        </w:rPr>
        <w:t>,</w:t>
      </w:r>
      <w:r>
        <w:rPr>
          <w:spacing w:val="-7"/>
          <w:sz w:val="18"/>
        </w:rPr>
        <w:t xml:space="preserve"> </w:t>
      </w:r>
      <w:r>
        <w:rPr>
          <w:sz w:val="18"/>
        </w:rPr>
        <w:t>para.</w:t>
      </w:r>
      <w:r>
        <w:rPr>
          <w:spacing w:val="-5"/>
          <w:sz w:val="18"/>
        </w:rPr>
        <w:t xml:space="preserve"> </w:t>
      </w:r>
      <w:r>
        <w:rPr>
          <w:spacing w:val="-4"/>
          <w:sz w:val="18"/>
        </w:rPr>
        <w:t>537.</w:t>
      </w:r>
    </w:p>
    <w:p w14:paraId="51DE968E" w14:textId="77777777" w:rsidR="0010369C" w:rsidRDefault="0010369C">
      <w:pPr>
        <w:jc w:val="both"/>
        <w:rPr>
          <w:sz w:val="18"/>
        </w:rPr>
        <w:sectPr w:rsidR="0010369C">
          <w:pgSz w:w="11910" w:h="16840"/>
          <w:pgMar w:top="880" w:right="800" w:bottom="980" w:left="1180" w:header="569" w:footer="788" w:gutter="0"/>
          <w:cols w:space="720"/>
        </w:sectPr>
      </w:pPr>
    </w:p>
    <w:p w14:paraId="51DE968F" w14:textId="77777777" w:rsidR="0010369C" w:rsidRDefault="008E43AE">
      <w:pPr>
        <w:tabs>
          <w:tab w:val="left" w:pos="6425"/>
        </w:tabs>
        <w:ind w:left="238"/>
        <w:jc w:val="both"/>
        <w:rPr>
          <w:sz w:val="20"/>
        </w:rPr>
      </w:pPr>
      <w:r>
        <w:rPr>
          <w:i/>
          <w:sz w:val="20"/>
        </w:rPr>
        <w:lastRenderedPageBreak/>
        <w:t>China</w:t>
      </w:r>
      <w:r>
        <w:rPr>
          <w:i/>
          <w:spacing w:val="-5"/>
          <w:sz w:val="20"/>
        </w:rPr>
        <w:t xml:space="preserve"> </w:t>
      </w:r>
      <w:r>
        <w:rPr>
          <w:i/>
          <w:sz w:val="20"/>
        </w:rPr>
        <w:t>–</w:t>
      </w:r>
      <w:r>
        <w:rPr>
          <w:i/>
          <w:spacing w:val="-5"/>
          <w:sz w:val="20"/>
        </w:rPr>
        <w:t xml:space="preserve"> </w:t>
      </w:r>
      <w:r>
        <w:rPr>
          <w:i/>
          <w:sz w:val="20"/>
        </w:rPr>
        <w:t>Anti‐Dumping</w:t>
      </w:r>
      <w:r>
        <w:rPr>
          <w:i/>
          <w:spacing w:val="-4"/>
          <w:sz w:val="20"/>
        </w:rPr>
        <w:t xml:space="preserve"> </w:t>
      </w:r>
      <w:r>
        <w:rPr>
          <w:i/>
          <w:sz w:val="20"/>
        </w:rPr>
        <w:t>and</w:t>
      </w:r>
      <w:r>
        <w:rPr>
          <w:i/>
          <w:spacing w:val="-5"/>
          <w:sz w:val="20"/>
        </w:rPr>
        <w:t xml:space="preserve"> </w:t>
      </w:r>
      <w:r>
        <w:rPr>
          <w:i/>
          <w:sz w:val="20"/>
        </w:rPr>
        <w:t>Countervailing</w:t>
      </w:r>
      <w:r>
        <w:rPr>
          <w:i/>
          <w:spacing w:val="-5"/>
          <w:sz w:val="20"/>
        </w:rPr>
        <w:t xml:space="preserve"> </w:t>
      </w:r>
      <w:r>
        <w:rPr>
          <w:i/>
          <w:sz w:val="20"/>
        </w:rPr>
        <w:t>Duty</w:t>
      </w:r>
      <w:r>
        <w:rPr>
          <w:i/>
          <w:spacing w:val="-4"/>
          <w:sz w:val="20"/>
        </w:rPr>
        <w:t xml:space="preserve"> </w:t>
      </w:r>
      <w:r>
        <w:rPr>
          <w:i/>
          <w:spacing w:val="-2"/>
          <w:sz w:val="20"/>
        </w:rPr>
        <w:t>Measures</w:t>
      </w:r>
      <w:r>
        <w:rPr>
          <w:i/>
          <w:sz w:val="20"/>
        </w:rPr>
        <w:tab/>
      </w:r>
      <w:r>
        <w:rPr>
          <w:sz w:val="20"/>
        </w:rPr>
        <w:t>Australia's</w:t>
      </w:r>
      <w:r>
        <w:rPr>
          <w:spacing w:val="-7"/>
          <w:sz w:val="20"/>
        </w:rPr>
        <w:t xml:space="preserve"> </w:t>
      </w:r>
      <w:r>
        <w:rPr>
          <w:sz w:val="20"/>
        </w:rPr>
        <w:t>First</w:t>
      </w:r>
      <w:r>
        <w:rPr>
          <w:spacing w:val="-2"/>
          <w:sz w:val="20"/>
        </w:rPr>
        <w:t xml:space="preserve"> </w:t>
      </w:r>
      <w:r>
        <w:rPr>
          <w:sz w:val="20"/>
        </w:rPr>
        <w:t>Written</w:t>
      </w:r>
      <w:r>
        <w:rPr>
          <w:spacing w:val="-2"/>
          <w:sz w:val="20"/>
        </w:rPr>
        <w:t xml:space="preserve"> Submission</w:t>
      </w:r>
    </w:p>
    <w:p w14:paraId="51DE9690" w14:textId="77777777" w:rsidR="0010369C" w:rsidRDefault="008E43AE">
      <w:pPr>
        <w:tabs>
          <w:tab w:val="left" w:pos="8227"/>
        </w:tabs>
        <w:spacing w:before="1"/>
        <w:ind w:left="239"/>
        <w:jc w:val="both"/>
        <w:rPr>
          <w:sz w:val="20"/>
        </w:rPr>
      </w:pPr>
      <w:r>
        <w:rPr>
          <w:i/>
          <w:sz w:val="20"/>
        </w:rPr>
        <w:t>on</w:t>
      </w:r>
      <w:r>
        <w:rPr>
          <w:i/>
          <w:spacing w:val="-1"/>
          <w:sz w:val="20"/>
        </w:rPr>
        <w:t xml:space="preserve"> </w:t>
      </w:r>
      <w:r>
        <w:rPr>
          <w:i/>
          <w:sz w:val="20"/>
        </w:rPr>
        <w:t>Wine</w:t>
      </w:r>
      <w:r>
        <w:rPr>
          <w:i/>
          <w:spacing w:val="-1"/>
          <w:sz w:val="20"/>
        </w:rPr>
        <w:t xml:space="preserve"> </w:t>
      </w:r>
      <w:r>
        <w:rPr>
          <w:i/>
          <w:sz w:val="20"/>
        </w:rPr>
        <w:t>from</w:t>
      </w:r>
      <w:r>
        <w:rPr>
          <w:i/>
          <w:spacing w:val="-3"/>
          <w:sz w:val="20"/>
        </w:rPr>
        <w:t xml:space="preserve"> </w:t>
      </w:r>
      <w:r>
        <w:rPr>
          <w:i/>
          <w:sz w:val="20"/>
        </w:rPr>
        <w:t>Australia</w:t>
      </w:r>
      <w:r>
        <w:rPr>
          <w:i/>
          <w:spacing w:val="-1"/>
          <w:sz w:val="20"/>
        </w:rPr>
        <w:t xml:space="preserve"> </w:t>
      </w:r>
      <w:r>
        <w:rPr>
          <w:spacing w:val="-2"/>
          <w:sz w:val="20"/>
        </w:rPr>
        <w:t>(DS602)</w:t>
      </w:r>
      <w:r>
        <w:rPr>
          <w:sz w:val="20"/>
        </w:rPr>
        <w:tab/>
        <w:t>29</w:t>
      </w:r>
      <w:r>
        <w:rPr>
          <w:spacing w:val="-1"/>
          <w:sz w:val="20"/>
        </w:rPr>
        <w:t xml:space="preserve"> </w:t>
      </w:r>
      <w:r>
        <w:rPr>
          <w:sz w:val="20"/>
        </w:rPr>
        <w:t>April</w:t>
      </w:r>
      <w:r>
        <w:rPr>
          <w:spacing w:val="-2"/>
          <w:sz w:val="20"/>
        </w:rPr>
        <w:t xml:space="preserve"> </w:t>
      </w:r>
      <w:r>
        <w:rPr>
          <w:spacing w:val="-4"/>
          <w:sz w:val="20"/>
        </w:rPr>
        <w:t>2022</w:t>
      </w:r>
    </w:p>
    <w:p w14:paraId="51DE9691" w14:textId="77777777" w:rsidR="0010369C" w:rsidRDefault="008E43AE">
      <w:pPr>
        <w:pStyle w:val="BodyText"/>
        <w:spacing w:before="34" w:line="360" w:lineRule="auto"/>
        <w:ind w:left="236" w:right="612" w:firstLine="1"/>
        <w:jc w:val="both"/>
      </w:pPr>
      <w:r>
        <w:t>party's showing in order to determine whether the submitting party has sufficiently substantiated its request".</w:t>
      </w:r>
      <w:r>
        <w:rPr>
          <w:vertAlign w:val="superscript"/>
        </w:rPr>
        <w:t>1006</w:t>
      </w:r>
      <w:r>
        <w:t xml:space="preserve"> If an investigating authority treats information as confidential without such a "good cause" showing having been made, the authority would b</w:t>
      </w:r>
      <w:r>
        <w:t>e acting inconsistently with its obligation under Article 6.5 to grant such treatment only 'upon good cause</w:t>
      </w:r>
      <w:r>
        <w:rPr>
          <w:spacing w:val="-14"/>
        </w:rPr>
        <w:t xml:space="preserve"> </w:t>
      </w:r>
      <w:r>
        <w:t>shown'".</w:t>
      </w:r>
      <w:r>
        <w:rPr>
          <w:vertAlign w:val="superscript"/>
        </w:rPr>
        <w:t>1007</w:t>
      </w:r>
      <w:r>
        <w:rPr>
          <w:spacing w:val="-14"/>
        </w:rPr>
        <w:t xml:space="preserve"> </w:t>
      </w:r>
      <w:r>
        <w:t>Thus,</w:t>
      </w:r>
      <w:r>
        <w:rPr>
          <w:spacing w:val="-13"/>
        </w:rPr>
        <w:t xml:space="preserve"> </w:t>
      </w:r>
      <w:r>
        <w:t>by</w:t>
      </w:r>
      <w:r>
        <w:rPr>
          <w:spacing w:val="-14"/>
        </w:rPr>
        <w:t xml:space="preserve"> </w:t>
      </w:r>
      <w:r>
        <w:t>failing</w:t>
      </w:r>
      <w:r>
        <w:rPr>
          <w:spacing w:val="-13"/>
        </w:rPr>
        <w:t xml:space="preserve"> </w:t>
      </w:r>
      <w:r>
        <w:t>to</w:t>
      </w:r>
      <w:r>
        <w:rPr>
          <w:spacing w:val="-14"/>
        </w:rPr>
        <w:t xml:space="preserve"> </w:t>
      </w:r>
      <w:r>
        <w:t>require</w:t>
      </w:r>
      <w:r>
        <w:rPr>
          <w:spacing w:val="-13"/>
        </w:rPr>
        <w:t xml:space="preserve"> </w:t>
      </w:r>
      <w:r>
        <w:t>CADA</w:t>
      </w:r>
      <w:r>
        <w:rPr>
          <w:spacing w:val="-14"/>
        </w:rPr>
        <w:t xml:space="preserve"> </w:t>
      </w:r>
      <w:r>
        <w:t>to</w:t>
      </w:r>
      <w:r>
        <w:rPr>
          <w:spacing w:val="-14"/>
        </w:rPr>
        <w:t xml:space="preserve"> </w:t>
      </w:r>
      <w:r>
        <w:t>show</w:t>
      </w:r>
      <w:r>
        <w:rPr>
          <w:spacing w:val="-13"/>
        </w:rPr>
        <w:t xml:space="preserve"> </w:t>
      </w:r>
      <w:r>
        <w:t>"good</w:t>
      </w:r>
      <w:r>
        <w:rPr>
          <w:spacing w:val="-14"/>
        </w:rPr>
        <w:t xml:space="preserve"> </w:t>
      </w:r>
      <w:r>
        <w:t>cause",</w:t>
      </w:r>
      <w:r>
        <w:rPr>
          <w:spacing w:val="-13"/>
        </w:rPr>
        <w:t xml:space="preserve"> </w:t>
      </w:r>
      <w:r>
        <w:t>MOFCOM</w:t>
      </w:r>
      <w:r>
        <w:rPr>
          <w:spacing w:val="-14"/>
        </w:rPr>
        <w:t xml:space="preserve"> </w:t>
      </w:r>
      <w:r>
        <w:t>precluded itself</w:t>
      </w:r>
      <w:r>
        <w:rPr>
          <w:spacing w:val="-13"/>
        </w:rPr>
        <w:t xml:space="preserve"> </w:t>
      </w:r>
      <w:r>
        <w:t>from</w:t>
      </w:r>
      <w:r>
        <w:rPr>
          <w:spacing w:val="-13"/>
        </w:rPr>
        <w:t xml:space="preserve"> </w:t>
      </w:r>
      <w:r>
        <w:t>conducting</w:t>
      </w:r>
      <w:r>
        <w:rPr>
          <w:spacing w:val="-13"/>
        </w:rPr>
        <w:t xml:space="preserve"> </w:t>
      </w:r>
      <w:r>
        <w:t>the</w:t>
      </w:r>
      <w:r>
        <w:rPr>
          <w:spacing w:val="-13"/>
        </w:rPr>
        <w:t xml:space="preserve"> </w:t>
      </w:r>
      <w:r>
        <w:t>objective</w:t>
      </w:r>
      <w:r>
        <w:rPr>
          <w:spacing w:val="-13"/>
        </w:rPr>
        <w:t xml:space="preserve"> </w:t>
      </w:r>
      <w:r>
        <w:t>examination</w:t>
      </w:r>
      <w:r>
        <w:rPr>
          <w:spacing w:val="-13"/>
        </w:rPr>
        <w:t xml:space="preserve"> </w:t>
      </w:r>
      <w:r>
        <w:t>of</w:t>
      </w:r>
      <w:r>
        <w:rPr>
          <w:spacing w:val="-13"/>
        </w:rPr>
        <w:t xml:space="preserve"> </w:t>
      </w:r>
      <w:r>
        <w:t>the</w:t>
      </w:r>
      <w:r>
        <w:rPr>
          <w:spacing w:val="-13"/>
        </w:rPr>
        <w:t xml:space="preserve"> </w:t>
      </w:r>
      <w:r>
        <w:t>justification</w:t>
      </w:r>
      <w:r>
        <w:rPr>
          <w:spacing w:val="-13"/>
        </w:rPr>
        <w:t xml:space="preserve"> </w:t>
      </w:r>
      <w:r>
        <w:t>for</w:t>
      </w:r>
      <w:r>
        <w:rPr>
          <w:spacing w:val="-13"/>
        </w:rPr>
        <w:t xml:space="preserve"> </w:t>
      </w:r>
      <w:r>
        <w:t>confidential</w:t>
      </w:r>
      <w:r>
        <w:rPr>
          <w:spacing w:val="-12"/>
        </w:rPr>
        <w:t xml:space="preserve"> </w:t>
      </w:r>
      <w:r>
        <w:t>treatment that it was obligated to undertake,</w:t>
      </w:r>
      <w:r>
        <w:rPr>
          <w:spacing w:val="-1"/>
        </w:rPr>
        <w:t xml:space="preserve"> </w:t>
      </w:r>
      <w:r>
        <w:t>and therefore acted inconsistently with the requirements of Article 6.5.</w:t>
      </w:r>
      <w:r>
        <w:rPr>
          <w:vertAlign w:val="superscript"/>
        </w:rPr>
        <w:t>1008</w:t>
      </w:r>
    </w:p>
    <w:p w14:paraId="51DE9692" w14:textId="77777777" w:rsidR="0010369C" w:rsidRDefault="0010369C">
      <w:pPr>
        <w:pStyle w:val="BodyText"/>
        <w:spacing w:before="11"/>
        <w:rPr>
          <w:sz w:val="8"/>
        </w:rPr>
      </w:pPr>
    </w:p>
    <w:p w14:paraId="51DE9693" w14:textId="77777777" w:rsidR="0010369C" w:rsidRDefault="008E43AE">
      <w:pPr>
        <w:pStyle w:val="BodyText"/>
        <w:spacing w:before="52" w:line="360" w:lineRule="auto"/>
        <w:ind w:left="236" w:right="614" w:firstLine="853"/>
        <w:jc w:val="both"/>
      </w:pPr>
      <w:r>
        <w:rPr>
          <w:noProof/>
        </w:rPr>
        <w:drawing>
          <wp:anchor distT="0" distB="0" distL="0" distR="0" simplePos="0" relativeHeight="251442688" behindDoc="1" locked="0" layoutInCell="1" allowOverlap="1" wp14:anchorId="51DEA70F" wp14:editId="51DEA710">
            <wp:simplePos x="0" y="0"/>
            <wp:positionH relativeFrom="page">
              <wp:posOffset>902208</wp:posOffset>
            </wp:positionH>
            <wp:positionV relativeFrom="paragraph">
              <wp:posOffset>81357</wp:posOffset>
            </wp:positionV>
            <wp:extent cx="262127" cy="103631"/>
            <wp:effectExtent l="0" t="0" r="0" b="0"/>
            <wp:wrapNone/>
            <wp:docPr id="1649" name="image8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 name="image852.png"/>
                    <pic:cNvPicPr/>
                  </pic:nvPicPr>
                  <pic:blipFill>
                    <a:blip r:embed="rId1111" cstate="print"/>
                    <a:stretch>
                      <a:fillRect/>
                    </a:stretch>
                  </pic:blipFill>
                  <pic:spPr>
                    <a:xfrm>
                      <a:off x="0" y="0"/>
                      <a:ext cx="262127" cy="103631"/>
                    </a:xfrm>
                    <a:prstGeom prst="rect">
                      <a:avLst/>
                    </a:prstGeom>
                  </pic:spPr>
                </pic:pic>
              </a:graphicData>
            </a:graphic>
          </wp:anchor>
        </w:drawing>
      </w:r>
      <w:r>
        <w:t>Further, as noted above,</w:t>
      </w:r>
      <w:r>
        <w:rPr>
          <w:spacing w:val="-1"/>
        </w:rPr>
        <w:t xml:space="preserve"> </w:t>
      </w:r>
      <w:r>
        <w:t>MOFCOM acted inconsistently with Article 6.5.1</w:t>
      </w:r>
      <w:r>
        <w:rPr>
          <w:spacing w:val="-1"/>
        </w:rPr>
        <w:t xml:space="preserve"> </w:t>
      </w:r>
      <w:r>
        <w:t>because it failed to</w:t>
      </w:r>
      <w:r>
        <w:rPr>
          <w:spacing w:val="-1"/>
        </w:rPr>
        <w:t xml:space="preserve"> </w:t>
      </w:r>
      <w:r>
        <w:t>require</w:t>
      </w:r>
      <w:r>
        <w:t xml:space="preserve"> CADA to furnish non‐confidential summaries of the purportedly confidential information. The body of the application does not contain anything identifiable as a non‐ confidential</w:t>
      </w:r>
      <w:r>
        <w:rPr>
          <w:spacing w:val="-14"/>
        </w:rPr>
        <w:t xml:space="preserve"> </w:t>
      </w:r>
      <w:r>
        <w:t>summary</w:t>
      </w:r>
      <w:r>
        <w:rPr>
          <w:spacing w:val="-14"/>
        </w:rPr>
        <w:t xml:space="preserve"> </w:t>
      </w:r>
      <w:r>
        <w:t>of</w:t>
      </w:r>
      <w:r>
        <w:rPr>
          <w:spacing w:val="-13"/>
        </w:rPr>
        <w:t xml:space="preserve"> </w:t>
      </w:r>
      <w:r>
        <w:t>confidential</w:t>
      </w:r>
      <w:r>
        <w:rPr>
          <w:spacing w:val="-14"/>
        </w:rPr>
        <w:t xml:space="preserve"> </w:t>
      </w:r>
      <w:r>
        <w:t>information.</w:t>
      </w:r>
      <w:r>
        <w:rPr>
          <w:spacing w:val="-13"/>
        </w:rPr>
        <w:t xml:space="preserve"> </w:t>
      </w:r>
      <w:r>
        <w:t>Aside</w:t>
      </w:r>
      <w:r>
        <w:rPr>
          <w:spacing w:val="-14"/>
        </w:rPr>
        <w:t xml:space="preserve"> </w:t>
      </w:r>
      <w:r>
        <w:t>from</w:t>
      </w:r>
      <w:r>
        <w:rPr>
          <w:spacing w:val="-13"/>
        </w:rPr>
        <w:t xml:space="preserve"> </w:t>
      </w:r>
      <w:r>
        <w:t>a</w:t>
      </w:r>
      <w:r>
        <w:rPr>
          <w:spacing w:val="-14"/>
        </w:rPr>
        <w:t xml:space="preserve"> </w:t>
      </w:r>
      <w:r>
        <w:t>reference</w:t>
      </w:r>
      <w:r>
        <w:rPr>
          <w:spacing w:val="-14"/>
        </w:rPr>
        <w:t xml:space="preserve"> </w:t>
      </w:r>
      <w:r>
        <w:t>to</w:t>
      </w:r>
      <w:r>
        <w:rPr>
          <w:spacing w:val="-13"/>
        </w:rPr>
        <w:t xml:space="preserve"> </w:t>
      </w:r>
      <w:r>
        <w:t>"Section</w:t>
      </w:r>
      <w:r>
        <w:rPr>
          <w:spacing w:val="-14"/>
        </w:rPr>
        <w:t xml:space="preserve"> </w:t>
      </w:r>
      <w:r>
        <w:t>B",</w:t>
      </w:r>
      <w:r>
        <w:rPr>
          <w:spacing w:val="-13"/>
        </w:rPr>
        <w:t xml:space="preserve"> </w:t>
      </w:r>
      <w:r>
        <w:t>t</w:t>
      </w:r>
      <w:r>
        <w:t>here was nothing in the body of the application to indicate what information was treated as confidential or where such information was redacted or otherwise omitted from the public version of the application. Similarly, CADA made no claim that it was unabl</w:t>
      </w:r>
      <w:r>
        <w:t>e to provide non‐ confidential summaries.</w:t>
      </w:r>
    </w:p>
    <w:p w14:paraId="51DE9694" w14:textId="77777777" w:rsidR="0010369C" w:rsidRDefault="008E43AE">
      <w:pPr>
        <w:pStyle w:val="ListParagraph"/>
        <w:numPr>
          <w:ilvl w:val="3"/>
          <w:numId w:val="75"/>
        </w:numPr>
        <w:tabs>
          <w:tab w:val="left" w:pos="3641"/>
          <w:tab w:val="left" w:pos="3643"/>
        </w:tabs>
        <w:spacing w:before="161"/>
        <w:ind w:hanging="854"/>
        <w:jc w:val="both"/>
        <w:rPr>
          <w:sz w:val="24"/>
        </w:rPr>
      </w:pPr>
      <w:r>
        <w:rPr>
          <w:sz w:val="24"/>
          <w:u w:val="single"/>
        </w:rPr>
        <w:t>The</w:t>
      </w:r>
      <w:r>
        <w:rPr>
          <w:spacing w:val="-7"/>
          <w:sz w:val="24"/>
          <w:u w:val="single"/>
        </w:rPr>
        <w:t xml:space="preserve"> </w:t>
      </w:r>
      <w:r>
        <w:rPr>
          <w:sz w:val="24"/>
          <w:u w:val="single"/>
        </w:rPr>
        <w:t>annexes</w:t>
      </w:r>
      <w:r>
        <w:rPr>
          <w:spacing w:val="-8"/>
          <w:sz w:val="24"/>
          <w:u w:val="single"/>
        </w:rPr>
        <w:t xml:space="preserve"> </w:t>
      </w:r>
      <w:r>
        <w:rPr>
          <w:sz w:val="24"/>
          <w:u w:val="single"/>
        </w:rPr>
        <w:t>to</w:t>
      </w:r>
      <w:r>
        <w:rPr>
          <w:spacing w:val="-7"/>
          <w:sz w:val="24"/>
          <w:u w:val="single"/>
        </w:rPr>
        <w:t xml:space="preserve"> </w:t>
      </w:r>
      <w:r>
        <w:rPr>
          <w:sz w:val="24"/>
          <w:u w:val="single"/>
        </w:rPr>
        <w:t>the</w:t>
      </w:r>
      <w:r>
        <w:rPr>
          <w:spacing w:val="-6"/>
          <w:sz w:val="24"/>
          <w:u w:val="single"/>
        </w:rPr>
        <w:t xml:space="preserve"> </w:t>
      </w:r>
      <w:r>
        <w:rPr>
          <w:sz w:val="24"/>
          <w:u w:val="single"/>
        </w:rPr>
        <w:t>CADA</w:t>
      </w:r>
      <w:r>
        <w:rPr>
          <w:spacing w:val="-7"/>
          <w:sz w:val="24"/>
          <w:u w:val="single"/>
        </w:rPr>
        <w:t xml:space="preserve"> </w:t>
      </w:r>
      <w:r>
        <w:rPr>
          <w:sz w:val="24"/>
          <w:u w:val="single"/>
        </w:rPr>
        <w:t>Anti‐Dumping</w:t>
      </w:r>
      <w:r>
        <w:rPr>
          <w:spacing w:val="-7"/>
          <w:sz w:val="24"/>
          <w:u w:val="single"/>
        </w:rPr>
        <w:t xml:space="preserve"> </w:t>
      </w:r>
      <w:r>
        <w:rPr>
          <w:spacing w:val="-2"/>
          <w:sz w:val="24"/>
          <w:u w:val="single"/>
        </w:rPr>
        <w:t>Application</w:t>
      </w:r>
    </w:p>
    <w:p w14:paraId="51DE9695" w14:textId="77777777" w:rsidR="0010369C" w:rsidRDefault="0010369C">
      <w:pPr>
        <w:pStyle w:val="BodyText"/>
        <w:spacing w:before="9"/>
        <w:rPr>
          <w:sz w:val="20"/>
        </w:rPr>
      </w:pPr>
    </w:p>
    <w:p w14:paraId="51DE9696" w14:textId="77777777" w:rsidR="0010369C" w:rsidRDefault="008E43AE">
      <w:pPr>
        <w:pStyle w:val="BodyText"/>
        <w:spacing w:before="51" w:line="360" w:lineRule="auto"/>
        <w:ind w:left="237" w:right="612" w:firstLine="851"/>
        <w:jc w:val="both"/>
      </w:pPr>
      <w:r>
        <w:rPr>
          <w:noProof/>
        </w:rPr>
        <w:drawing>
          <wp:anchor distT="0" distB="0" distL="0" distR="0" simplePos="0" relativeHeight="251443712" behindDoc="1" locked="0" layoutInCell="1" allowOverlap="1" wp14:anchorId="51DEA711" wp14:editId="51DEA712">
            <wp:simplePos x="0" y="0"/>
            <wp:positionH relativeFrom="page">
              <wp:posOffset>902208</wp:posOffset>
            </wp:positionH>
            <wp:positionV relativeFrom="paragraph">
              <wp:posOffset>76150</wp:posOffset>
            </wp:positionV>
            <wp:extent cx="262127" cy="106679"/>
            <wp:effectExtent l="0" t="0" r="0" b="0"/>
            <wp:wrapNone/>
            <wp:docPr id="1651" name="image8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 name="image853.png"/>
                    <pic:cNvPicPr/>
                  </pic:nvPicPr>
                  <pic:blipFill>
                    <a:blip r:embed="rId1112" cstate="print"/>
                    <a:stretch>
                      <a:fillRect/>
                    </a:stretch>
                  </pic:blipFill>
                  <pic:spPr>
                    <a:xfrm>
                      <a:off x="0" y="0"/>
                      <a:ext cx="262127" cy="106679"/>
                    </a:xfrm>
                    <a:prstGeom prst="rect">
                      <a:avLst/>
                    </a:prstGeom>
                  </pic:spPr>
                </pic:pic>
              </a:graphicData>
            </a:graphic>
          </wp:anchor>
        </w:drawing>
      </w:r>
      <w:r>
        <w:t>With respect to the annexes attached to the CADA Anti‐Dumping Application, CADA appears to have provided a written explanation of the information for which it requested confidential</w:t>
      </w:r>
      <w:r>
        <w:rPr>
          <w:spacing w:val="-9"/>
        </w:rPr>
        <w:t xml:space="preserve"> </w:t>
      </w:r>
      <w:r>
        <w:t>treatment</w:t>
      </w:r>
      <w:r>
        <w:rPr>
          <w:spacing w:val="-9"/>
        </w:rPr>
        <w:t xml:space="preserve"> </w:t>
      </w:r>
      <w:r>
        <w:t>and</w:t>
      </w:r>
      <w:r>
        <w:rPr>
          <w:spacing w:val="-9"/>
        </w:rPr>
        <w:t xml:space="preserve"> </w:t>
      </w:r>
      <w:r>
        <w:t>a</w:t>
      </w:r>
      <w:r>
        <w:rPr>
          <w:spacing w:val="-9"/>
        </w:rPr>
        <w:t xml:space="preserve"> </w:t>
      </w:r>
      <w:r>
        <w:t>non‐confidential</w:t>
      </w:r>
      <w:r>
        <w:rPr>
          <w:spacing w:val="-9"/>
        </w:rPr>
        <w:t xml:space="preserve"> </w:t>
      </w:r>
      <w:r>
        <w:t>summary</w:t>
      </w:r>
      <w:r>
        <w:rPr>
          <w:spacing w:val="-9"/>
        </w:rPr>
        <w:t xml:space="preserve"> </w:t>
      </w:r>
      <w:r>
        <w:t>of</w:t>
      </w:r>
      <w:r>
        <w:rPr>
          <w:spacing w:val="-9"/>
        </w:rPr>
        <w:t xml:space="preserve"> </w:t>
      </w:r>
      <w:r>
        <w:t>that</w:t>
      </w:r>
      <w:r>
        <w:rPr>
          <w:spacing w:val="-9"/>
        </w:rPr>
        <w:t xml:space="preserve"> </w:t>
      </w:r>
      <w:r>
        <w:t>information</w:t>
      </w:r>
      <w:r>
        <w:rPr>
          <w:spacing w:val="-8"/>
        </w:rPr>
        <w:t xml:space="preserve"> </w:t>
      </w:r>
      <w:r>
        <w:t>only</w:t>
      </w:r>
      <w:r>
        <w:rPr>
          <w:spacing w:val="-8"/>
        </w:rPr>
        <w:t xml:space="preserve"> </w:t>
      </w:r>
      <w:r>
        <w:t>in</w:t>
      </w:r>
      <w:r>
        <w:rPr>
          <w:spacing w:val="-9"/>
        </w:rPr>
        <w:t xml:space="preserve"> </w:t>
      </w:r>
      <w:r>
        <w:t>relat</w:t>
      </w:r>
      <w:r>
        <w:t>ion</w:t>
      </w:r>
      <w:r>
        <w:rPr>
          <w:spacing w:val="-10"/>
        </w:rPr>
        <w:t xml:space="preserve"> </w:t>
      </w:r>
      <w:r>
        <w:t>to Annex 3.</w:t>
      </w:r>
      <w:r>
        <w:rPr>
          <w:vertAlign w:val="superscript"/>
        </w:rPr>
        <w:t>1009</w:t>
      </w:r>
    </w:p>
    <w:p w14:paraId="51DE9697" w14:textId="77777777" w:rsidR="0010369C" w:rsidRDefault="0010369C">
      <w:pPr>
        <w:pStyle w:val="BodyText"/>
        <w:spacing w:before="11"/>
        <w:rPr>
          <w:sz w:val="8"/>
        </w:rPr>
      </w:pPr>
    </w:p>
    <w:p w14:paraId="51DE9698" w14:textId="77777777" w:rsidR="0010369C" w:rsidRDefault="008E43AE">
      <w:pPr>
        <w:pStyle w:val="BodyText"/>
        <w:spacing w:before="51" w:line="362" w:lineRule="auto"/>
        <w:ind w:left="238" w:right="614" w:firstLine="851"/>
      </w:pPr>
      <w:r>
        <w:rPr>
          <w:noProof/>
        </w:rPr>
        <w:drawing>
          <wp:anchor distT="0" distB="0" distL="0" distR="0" simplePos="0" relativeHeight="251444736" behindDoc="1" locked="0" layoutInCell="1" allowOverlap="1" wp14:anchorId="51DEA713" wp14:editId="51DEA714">
            <wp:simplePos x="0" y="0"/>
            <wp:positionH relativeFrom="page">
              <wp:posOffset>902208</wp:posOffset>
            </wp:positionH>
            <wp:positionV relativeFrom="paragraph">
              <wp:posOffset>80723</wp:posOffset>
            </wp:positionV>
            <wp:extent cx="262127" cy="103631"/>
            <wp:effectExtent l="0" t="0" r="0" b="0"/>
            <wp:wrapNone/>
            <wp:docPr id="1653" name="image8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 name="image854.png"/>
                    <pic:cNvPicPr/>
                  </pic:nvPicPr>
                  <pic:blipFill>
                    <a:blip r:embed="rId1113" cstate="print"/>
                    <a:stretch>
                      <a:fillRect/>
                    </a:stretch>
                  </pic:blipFill>
                  <pic:spPr>
                    <a:xfrm>
                      <a:off x="0" y="0"/>
                      <a:ext cx="262127" cy="103631"/>
                    </a:xfrm>
                    <a:prstGeom prst="rect">
                      <a:avLst/>
                    </a:prstGeom>
                  </pic:spPr>
                </pic:pic>
              </a:graphicData>
            </a:graphic>
          </wp:anchor>
        </w:drawing>
      </w:r>
      <w:r>
        <w:t>With</w:t>
      </w:r>
      <w:r>
        <w:rPr>
          <w:spacing w:val="70"/>
        </w:rPr>
        <w:t xml:space="preserve"> </w:t>
      </w:r>
      <w:r>
        <w:t>respect</w:t>
      </w:r>
      <w:r>
        <w:rPr>
          <w:spacing w:val="70"/>
        </w:rPr>
        <w:t xml:space="preserve"> </w:t>
      </w:r>
      <w:r>
        <w:t>to</w:t>
      </w:r>
      <w:r>
        <w:rPr>
          <w:spacing w:val="71"/>
        </w:rPr>
        <w:t xml:space="preserve"> </w:t>
      </w:r>
      <w:r>
        <w:t>this</w:t>
      </w:r>
      <w:r>
        <w:rPr>
          <w:spacing w:val="69"/>
        </w:rPr>
        <w:t xml:space="preserve"> </w:t>
      </w:r>
      <w:r>
        <w:t>Annex,</w:t>
      </w:r>
      <w:r>
        <w:rPr>
          <w:spacing w:val="69"/>
        </w:rPr>
        <w:t xml:space="preserve"> </w:t>
      </w:r>
      <w:r>
        <w:t>CADA</w:t>
      </w:r>
      <w:r>
        <w:rPr>
          <w:spacing w:val="71"/>
        </w:rPr>
        <w:t xml:space="preserve"> </w:t>
      </w:r>
      <w:r>
        <w:t>asserted</w:t>
      </w:r>
      <w:r>
        <w:rPr>
          <w:spacing w:val="69"/>
        </w:rPr>
        <w:t xml:space="preserve"> </w:t>
      </w:r>
      <w:r>
        <w:t>the</w:t>
      </w:r>
      <w:r>
        <w:rPr>
          <w:spacing w:val="71"/>
        </w:rPr>
        <w:t xml:space="preserve"> </w:t>
      </w:r>
      <w:r>
        <w:t>following</w:t>
      </w:r>
      <w:r>
        <w:rPr>
          <w:spacing w:val="71"/>
        </w:rPr>
        <w:t xml:space="preserve"> </w:t>
      </w:r>
      <w:r>
        <w:t>explanation</w:t>
      </w:r>
      <w:r>
        <w:rPr>
          <w:spacing w:val="70"/>
        </w:rPr>
        <w:t xml:space="preserve"> </w:t>
      </w:r>
      <w:r>
        <w:t>for</w:t>
      </w:r>
      <w:r>
        <w:rPr>
          <w:spacing w:val="71"/>
        </w:rPr>
        <w:t xml:space="preserve"> </w:t>
      </w:r>
      <w:r>
        <w:t>the confidential treatment it requested:</w:t>
      </w:r>
    </w:p>
    <w:p w14:paraId="51DE9699" w14:textId="77777777" w:rsidR="0010369C" w:rsidRDefault="0010369C">
      <w:pPr>
        <w:pStyle w:val="BodyText"/>
        <w:rPr>
          <w:sz w:val="20"/>
        </w:rPr>
      </w:pPr>
    </w:p>
    <w:p w14:paraId="51DE969A" w14:textId="77777777" w:rsidR="0010369C" w:rsidRDefault="008E43AE">
      <w:pPr>
        <w:pStyle w:val="BodyText"/>
        <w:spacing w:before="1"/>
        <w:rPr>
          <w:sz w:val="18"/>
        </w:rPr>
      </w:pPr>
      <w:r>
        <w:pict w14:anchorId="51DEA715">
          <v:rect id="docshape1278" o:spid="_x0000_s1156" style="position:absolute;margin-left:70.9pt;margin-top:12.25pt;width:2in;height:.8pt;z-index:-250735104;mso-wrap-distance-left:0;mso-wrap-distance-right:0;mso-position-horizontal-relative:page" fillcolor="black" stroked="f">
            <w10:wrap type="topAndBottom" anchorx="page"/>
          </v:rect>
        </w:pict>
      </w:r>
    </w:p>
    <w:p w14:paraId="51DE969B" w14:textId="77777777" w:rsidR="0010369C" w:rsidRDefault="008E43AE">
      <w:pPr>
        <w:spacing w:before="109"/>
        <w:ind w:left="238"/>
        <w:jc w:val="both"/>
        <w:rPr>
          <w:sz w:val="18"/>
        </w:rPr>
      </w:pPr>
      <w:r>
        <w:rPr>
          <w:sz w:val="18"/>
          <w:vertAlign w:val="superscript"/>
        </w:rPr>
        <w:t>1006</w:t>
      </w:r>
      <w:r>
        <w:rPr>
          <w:spacing w:val="-6"/>
          <w:sz w:val="18"/>
        </w:rPr>
        <w:t xml:space="preserve"> </w:t>
      </w:r>
      <w:r>
        <w:rPr>
          <w:sz w:val="18"/>
        </w:rPr>
        <w:t>Appellate</w:t>
      </w:r>
      <w:r>
        <w:rPr>
          <w:spacing w:val="-6"/>
          <w:sz w:val="18"/>
        </w:rPr>
        <w:t xml:space="preserve"> </w:t>
      </w:r>
      <w:r>
        <w:rPr>
          <w:sz w:val="18"/>
        </w:rPr>
        <w:t>Body</w:t>
      </w:r>
      <w:r>
        <w:rPr>
          <w:spacing w:val="-7"/>
          <w:sz w:val="18"/>
        </w:rPr>
        <w:t xml:space="preserve"> </w:t>
      </w:r>
      <w:r>
        <w:rPr>
          <w:sz w:val="18"/>
        </w:rPr>
        <w:t>Report,</w:t>
      </w:r>
      <w:r>
        <w:rPr>
          <w:spacing w:val="-6"/>
          <w:sz w:val="18"/>
        </w:rPr>
        <w:t xml:space="preserve"> </w:t>
      </w:r>
      <w:r>
        <w:rPr>
          <w:i/>
          <w:sz w:val="18"/>
        </w:rPr>
        <w:t>EC</w:t>
      </w:r>
      <w:r>
        <w:rPr>
          <w:i/>
          <w:spacing w:val="-7"/>
          <w:sz w:val="18"/>
        </w:rPr>
        <w:t xml:space="preserve"> </w:t>
      </w:r>
      <w:r>
        <w:rPr>
          <w:i/>
          <w:sz w:val="18"/>
        </w:rPr>
        <w:t>–</w:t>
      </w:r>
      <w:r>
        <w:rPr>
          <w:i/>
          <w:spacing w:val="-5"/>
          <w:sz w:val="18"/>
        </w:rPr>
        <w:t xml:space="preserve"> </w:t>
      </w:r>
      <w:r>
        <w:rPr>
          <w:i/>
          <w:sz w:val="18"/>
        </w:rPr>
        <w:t>Fasteners</w:t>
      </w:r>
      <w:r>
        <w:rPr>
          <w:i/>
          <w:spacing w:val="-6"/>
          <w:sz w:val="18"/>
        </w:rPr>
        <w:t xml:space="preserve"> </w:t>
      </w:r>
      <w:r>
        <w:rPr>
          <w:i/>
          <w:sz w:val="18"/>
        </w:rPr>
        <w:t>(China)</w:t>
      </w:r>
      <w:r>
        <w:rPr>
          <w:sz w:val="18"/>
        </w:rPr>
        <w:t>,</w:t>
      </w:r>
      <w:r>
        <w:rPr>
          <w:spacing w:val="-7"/>
          <w:sz w:val="18"/>
        </w:rPr>
        <w:t xml:space="preserve"> </w:t>
      </w:r>
      <w:r>
        <w:rPr>
          <w:sz w:val="18"/>
        </w:rPr>
        <w:t>para.</w:t>
      </w:r>
      <w:r>
        <w:rPr>
          <w:spacing w:val="-5"/>
          <w:sz w:val="18"/>
        </w:rPr>
        <w:t xml:space="preserve"> </w:t>
      </w:r>
      <w:r>
        <w:rPr>
          <w:spacing w:val="-4"/>
          <w:sz w:val="18"/>
        </w:rPr>
        <w:t>539.</w:t>
      </w:r>
    </w:p>
    <w:p w14:paraId="51DE969C" w14:textId="77777777" w:rsidR="0010369C" w:rsidRDefault="008E43AE">
      <w:pPr>
        <w:ind w:left="238"/>
        <w:jc w:val="both"/>
        <w:rPr>
          <w:sz w:val="18"/>
        </w:rPr>
      </w:pPr>
      <w:r>
        <w:rPr>
          <w:sz w:val="18"/>
          <w:vertAlign w:val="superscript"/>
        </w:rPr>
        <w:t>1007</w:t>
      </w:r>
      <w:r>
        <w:rPr>
          <w:spacing w:val="-6"/>
          <w:sz w:val="18"/>
        </w:rPr>
        <w:t xml:space="preserve"> </w:t>
      </w:r>
      <w:r>
        <w:rPr>
          <w:sz w:val="18"/>
        </w:rPr>
        <w:t>Appellate</w:t>
      </w:r>
      <w:r>
        <w:rPr>
          <w:spacing w:val="-6"/>
          <w:sz w:val="18"/>
        </w:rPr>
        <w:t xml:space="preserve"> </w:t>
      </w:r>
      <w:r>
        <w:rPr>
          <w:sz w:val="18"/>
        </w:rPr>
        <w:t>Body</w:t>
      </w:r>
      <w:r>
        <w:rPr>
          <w:spacing w:val="-7"/>
          <w:sz w:val="18"/>
        </w:rPr>
        <w:t xml:space="preserve"> </w:t>
      </w:r>
      <w:r>
        <w:rPr>
          <w:sz w:val="18"/>
        </w:rPr>
        <w:t>Report,</w:t>
      </w:r>
      <w:r>
        <w:rPr>
          <w:spacing w:val="-6"/>
          <w:sz w:val="18"/>
        </w:rPr>
        <w:t xml:space="preserve"> </w:t>
      </w:r>
      <w:r>
        <w:rPr>
          <w:i/>
          <w:sz w:val="18"/>
        </w:rPr>
        <w:t>EC</w:t>
      </w:r>
      <w:r>
        <w:rPr>
          <w:i/>
          <w:spacing w:val="-7"/>
          <w:sz w:val="18"/>
        </w:rPr>
        <w:t xml:space="preserve"> </w:t>
      </w:r>
      <w:r>
        <w:rPr>
          <w:i/>
          <w:sz w:val="18"/>
        </w:rPr>
        <w:t>–</w:t>
      </w:r>
      <w:r>
        <w:rPr>
          <w:i/>
          <w:spacing w:val="-5"/>
          <w:sz w:val="18"/>
        </w:rPr>
        <w:t xml:space="preserve"> </w:t>
      </w:r>
      <w:r>
        <w:rPr>
          <w:i/>
          <w:sz w:val="18"/>
        </w:rPr>
        <w:t>Fasteners</w:t>
      </w:r>
      <w:r>
        <w:rPr>
          <w:i/>
          <w:spacing w:val="-6"/>
          <w:sz w:val="18"/>
        </w:rPr>
        <w:t xml:space="preserve"> </w:t>
      </w:r>
      <w:r>
        <w:rPr>
          <w:i/>
          <w:sz w:val="18"/>
        </w:rPr>
        <w:t>(China)</w:t>
      </w:r>
      <w:r>
        <w:rPr>
          <w:sz w:val="18"/>
        </w:rPr>
        <w:t>,</w:t>
      </w:r>
      <w:r>
        <w:rPr>
          <w:spacing w:val="-7"/>
          <w:sz w:val="18"/>
        </w:rPr>
        <w:t xml:space="preserve"> </w:t>
      </w:r>
      <w:r>
        <w:rPr>
          <w:sz w:val="18"/>
        </w:rPr>
        <w:t>para.</w:t>
      </w:r>
      <w:r>
        <w:rPr>
          <w:spacing w:val="-5"/>
          <w:sz w:val="18"/>
        </w:rPr>
        <w:t xml:space="preserve"> </w:t>
      </w:r>
      <w:r>
        <w:rPr>
          <w:spacing w:val="-4"/>
          <w:sz w:val="18"/>
        </w:rPr>
        <w:t>539.</w:t>
      </w:r>
    </w:p>
    <w:p w14:paraId="51DE969D" w14:textId="77777777" w:rsidR="0010369C" w:rsidRDefault="008E43AE">
      <w:pPr>
        <w:ind w:left="235" w:right="613" w:firstLine="2"/>
        <w:jc w:val="both"/>
        <w:rPr>
          <w:sz w:val="18"/>
        </w:rPr>
      </w:pPr>
      <w:r>
        <w:rPr>
          <w:sz w:val="18"/>
          <w:vertAlign w:val="superscript"/>
        </w:rPr>
        <w:t>1008</w:t>
      </w:r>
      <w:r>
        <w:rPr>
          <w:spacing w:val="-11"/>
          <w:sz w:val="18"/>
        </w:rPr>
        <w:t xml:space="preserve"> </w:t>
      </w:r>
      <w:r>
        <w:rPr>
          <w:sz w:val="18"/>
        </w:rPr>
        <w:t>Panel</w:t>
      </w:r>
      <w:r>
        <w:rPr>
          <w:spacing w:val="-10"/>
          <w:sz w:val="18"/>
        </w:rPr>
        <w:t xml:space="preserve"> </w:t>
      </w:r>
      <w:r>
        <w:rPr>
          <w:sz w:val="18"/>
        </w:rPr>
        <w:t>Report,</w:t>
      </w:r>
      <w:r>
        <w:rPr>
          <w:spacing w:val="-10"/>
          <w:sz w:val="18"/>
        </w:rPr>
        <w:t xml:space="preserve"> </w:t>
      </w:r>
      <w:r>
        <w:rPr>
          <w:i/>
          <w:sz w:val="18"/>
        </w:rPr>
        <w:t>Korea</w:t>
      </w:r>
      <w:r>
        <w:rPr>
          <w:i/>
          <w:spacing w:val="-10"/>
          <w:sz w:val="18"/>
        </w:rPr>
        <w:t xml:space="preserve"> </w:t>
      </w:r>
      <w:r>
        <w:rPr>
          <w:i/>
          <w:sz w:val="18"/>
        </w:rPr>
        <w:t>–</w:t>
      </w:r>
      <w:r>
        <w:rPr>
          <w:i/>
          <w:spacing w:val="-10"/>
          <w:sz w:val="18"/>
        </w:rPr>
        <w:t xml:space="preserve"> </w:t>
      </w:r>
      <w:r>
        <w:rPr>
          <w:i/>
          <w:sz w:val="18"/>
        </w:rPr>
        <w:t>Certain</w:t>
      </w:r>
      <w:r>
        <w:rPr>
          <w:i/>
          <w:spacing w:val="-11"/>
          <w:sz w:val="18"/>
        </w:rPr>
        <w:t xml:space="preserve"> </w:t>
      </w:r>
      <w:r>
        <w:rPr>
          <w:i/>
          <w:sz w:val="18"/>
        </w:rPr>
        <w:t>Paper</w:t>
      </w:r>
      <w:r>
        <w:rPr>
          <w:sz w:val="18"/>
        </w:rPr>
        <w:t>,</w:t>
      </w:r>
      <w:r>
        <w:rPr>
          <w:spacing w:val="-10"/>
          <w:sz w:val="18"/>
        </w:rPr>
        <w:t xml:space="preserve"> </w:t>
      </w:r>
      <w:r>
        <w:rPr>
          <w:sz w:val="18"/>
        </w:rPr>
        <w:t>para.</w:t>
      </w:r>
      <w:r>
        <w:rPr>
          <w:spacing w:val="-10"/>
          <w:sz w:val="18"/>
        </w:rPr>
        <w:t xml:space="preserve"> </w:t>
      </w:r>
      <w:r>
        <w:rPr>
          <w:sz w:val="18"/>
        </w:rPr>
        <w:t>7.335</w:t>
      </w:r>
      <w:r>
        <w:rPr>
          <w:spacing w:val="-10"/>
          <w:sz w:val="18"/>
        </w:rPr>
        <w:t xml:space="preserve"> </w:t>
      </w:r>
      <w:r>
        <w:rPr>
          <w:sz w:val="18"/>
        </w:rPr>
        <w:t>("some</w:t>
      </w:r>
      <w:r>
        <w:rPr>
          <w:spacing w:val="-10"/>
          <w:sz w:val="18"/>
        </w:rPr>
        <w:t xml:space="preserve"> </w:t>
      </w:r>
      <w:r>
        <w:rPr>
          <w:sz w:val="18"/>
        </w:rPr>
        <w:t>showing</w:t>
      </w:r>
      <w:r>
        <w:rPr>
          <w:spacing w:val="-10"/>
          <w:sz w:val="18"/>
        </w:rPr>
        <w:t xml:space="preserve"> </w:t>
      </w:r>
      <w:r>
        <w:rPr>
          <w:sz w:val="18"/>
        </w:rPr>
        <w:t>of</w:t>
      </w:r>
      <w:r>
        <w:rPr>
          <w:spacing w:val="-11"/>
          <w:sz w:val="18"/>
        </w:rPr>
        <w:t xml:space="preserve"> </w:t>
      </w:r>
      <w:r>
        <w:rPr>
          <w:sz w:val="18"/>
        </w:rPr>
        <w:t>good</w:t>
      </w:r>
      <w:r>
        <w:rPr>
          <w:spacing w:val="-10"/>
          <w:sz w:val="18"/>
        </w:rPr>
        <w:t xml:space="preserve"> </w:t>
      </w:r>
      <w:r>
        <w:rPr>
          <w:sz w:val="18"/>
        </w:rPr>
        <w:t>cause</w:t>
      </w:r>
      <w:r>
        <w:rPr>
          <w:spacing w:val="-10"/>
          <w:sz w:val="18"/>
        </w:rPr>
        <w:t xml:space="preserve"> </w:t>
      </w:r>
      <w:r>
        <w:rPr>
          <w:sz w:val="18"/>
        </w:rPr>
        <w:t>is</w:t>
      </w:r>
      <w:r>
        <w:rPr>
          <w:spacing w:val="-10"/>
          <w:sz w:val="18"/>
        </w:rPr>
        <w:t xml:space="preserve"> </w:t>
      </w:r>
      <w:r>
        <w:rPr>
          <w:sz w:val="18"/>
        </w:rPr>
        <w:t>necessary</w:t>
      </w:r>
      <w:r>
        <w:rPr>
          <w:spacing w:val="-10"/>
          <w:sz w:val="18"/>
        </w:rPr>
        <w:t xml:space="preserve"> </w:t>
      </w:r>
      <w:r>
        <w:rPr>
          <w:sz w:val="18"/>
        </w:rPr>
        <w:t>for</w:t>
      </w:r>
      <w:r>
        <w:rPr>
          <w:spacing w:val="-10"/>
          <w:sz w:val="18"/>
        </w:rPr>
        <w:t xml:space="preserve"> </w:t>
      </w:r>
      <w:r>
        <w:rPr>
          <w:sz w:val="18"/>
        </w:rPr>
        <w:t>the</w:t>
      </w:r>
      <w:r>
        <w:rPr>
          <w:spacing w:val="-11"/>
          <w:sz w:val="18"/>
        </w:rPr>
        <w:t xml:space="preserve"> </w:t>
      </w:r>
      <w:r>
        <w:rPr>
          <w:sz w:val="18"/>
        </w:rPr>
        <w:t>confidential</w:t>
      </w:r>
      <w:r>
        <w:rPr>
          <w:spacing w:val="-10"/>
          <w:sz w:val="18"/>
        </w:rPr>
        <w:t xml:space="preserve"> </w:t>
      </w:r>
      <w:r>
        <w:rPr>
          <w:sz w:val="18"/>
        </w:rPr>
        <w:t xml:space="preserve">treatment of information that is by nature confidential. The degree of that requirement may, however, depend on the type of information concerned. In the investigation at issue, there is no indication that the KTC requested that any good cause be shown in </w:t>
      </w:r>
      <w:r>
        <w:rPr>
          <w:sz w:val="18"/>
        </w:rPr>
        <w:t>order to treat as confidential information submitted in the application, which was by nature confidential. We therefore conclude that the KTC acted inconsistently with Article 6.5 in the investigation at issue by not requiring that good cause be shown with</w:t>
      </w:r>
      <w:r>
        <w:rPr>
          <w:sz w:val="18"/>
        </w:rPr>
        <w:t xml:space="preserve"> respect to the information submitted in the application which was by nature confidential").</w:t>
      </w:r>
    </w:p>
    <w:p w14:paraId="51DE969E" w14:textId="77777777" w:rsidR="0010369C" w:rsidRDefault="008E43AE">
      <w:pPr>
        <w:ind w:left="235" w:right="614" w:firstLine="3"/>
        <w:jc w:val="both"/>
        <w:rPr>
          <w:sz w:val="18"/>
        </w:rPr>
      </w:pPr>
      <w:r>
        <w:rPr>
          <w:sz w:val="18"/>
          <w:vertAlign w:val="superscript"/>
        </w:rPr>
        <w:t>1009</w:t>
      </w:r>
      <w:r>
        <w:rPr>
          <w:spacing w:val="-9"/>
          <w:sz w:val="18"/>
        </w:rPr>
        <w:t xml:space="preserve"> </w:t>
      </w:r>
      <w:r>
        <w:rPr>
          <w:sz w:val="18"/>
        </w:rPr>
        <w:t>Australia</w:t>
      </w:r>
      <w:r>
        <w:rPr>
          <w:spacing w:val="-9"/>
          <w:sz w:val="18"/>
        </w:rPr>
        <w:t xml:space="preserve"> </w:t>
      </w:r>
      <w:r>
        <w:rPr>
          <w:sz w:val="18"/>
        </w:rPr>
        <w:t>notes</w:t>
      </w:r>
      <w:r>
        <w:rPr>
          <w:spacing w:val="-9"/>
          <w:sz w:val="18"/>
        </w:rPr>
        <w:t xml:space="preserve"> </w:t>
      </w:r>
      <w:r>
        <w:rPr>
          <w:sz w:val="18"/>
        </w:rPr>
        <w:t>that</w:t>
      </w:r>
      <w:r>
        <w:rPr>
          <w:spacing w:val="-10"/>
          <w:sz w:val="18"/>
        </w:rPr>
        <w:t xml:space="preserve"> </w:t>
      </w:r>
      <w:r>
        <w:rPr>
          <w:sz w:val="18"/>
        </w:rPr>
        <w:t>the</w:t>
      </w:r>
      <w:r>
        <w:rPr>
          <w:spacing w:val="-9"/>
          <w:sz w:val="18"/>
        </w:rPr>
        <w:t xml:space="preserve"> </w:t>
      </w:r>
      <w:r>
        <w:rPr>
          <w:sz w:val="18"/>
        </w:rPr>
        <w:t>"Section</w:t>
      </w:r>
      <w:r>
        <w:rPr>
          <w:spacing w:val="-10"/>
          <w:sz w:val="18"/>
        </w:rPr>
        <w:t xml:space="preserve"> </w:t>
      </w:r>
      <w:r>
        <w:rPr>
          <w:sz w:val="18"/>
        </w:rPr>
        <w:t>B</w:t>
      </w:r>
      <w:r>
        <w:rPr>
          <w:spacing w:val="-9"/>
          <w:sz w:val="18"/>
        </w:rPr>
        <w:t xml:space="preserve"> </w:t>
      </w:r>
      <w:r>
        <w:rPr>
          <w:sz w:val="18"/>
        </w:rPr>
        <w:t>Confidential</w:t>
      </w:r>
      <w:r>
        <w:rPr>
          <w:spacing w:val="-10"/>
          <w:sz w:val="18"/>
        </w:rPr>
        <w:t xml:space="preserve"> </w:t>
      </w:r>
      <w:r>
        <w:rPr>
          <w:sz w:val="18"/>
        </w:rPr>
        <w:t>Application"</w:t>
      </w:r>
      <w:r>
        <w:rPr>
          <w:spacing w:val="-10"/>
          <w:sz w:val="18"/>
        </w:rPr>
        <w:t xml:space="preserve"> </w:t>
      </w:r>
      <w:r>
        <w:rPr>
          <w:sz w:val="18"/>
        </w:rPr>
        <w:t>section</w:t>
      </w:r>
      <w:r>
        <w:rPr>
          <w:spacing w:val="-9"/>
          <w:sz w:val="18"/>
        </w:rPr>
        <w:t xml:space="preserve"> </w:t>
      </w:r>
      <w:r>
        <w:rPr>
          <w:sz w:val="18"/>
        </w:rPr>
        <w:t>of</w:t>
      </w:r>
      <w:r>
        <w:rPr>
          <w:spacing w:val="-9"/>
          <w:sz w:val="18"/>
        </w:rPr>
        <w:t xml:space="preserve"> </w:t>
      </w:r>
      <w:r>
        <w:rPr>
          <w:sz w:val="18"/>
        </w:rPr>
        <w:t>CADA's</w:t>
      </w:r>
      <w:r>
        <w:rPr>
          <w:spacing w:val="-10"/>
          <w:sz w:val="18"/>
        </w:rPr>
        <w:t xml:space="preserve"> </w:t>
      </w:r>
      <w:r>
        <w:rPr>
          <w:sz w:val="18"/>
        </w:rPr>
        <w:t>Application</w:t>
      </w:r>
      <w:r>
        <w:rPr>
          <w:spacing w:val="-10"/>
          <w:sz w:val="18"/>
        </w:rPr>
        <w:t xml:space="preserve"> </w:t>
      </w:r>
      <w:r>
        <w:rPr>
          <w:sz w:val="18"/>
        </w:rPr>
        <w:t>for</w:t>
      </w:r>
      <w:r>
        <w:rPr>
          <w:spacing w:val="-10"/>
          <w:sz w:val="18"/>
        </w:rPr>
        <w:t xml:space="preserve"> </w:t>
      </w:r>
      <w:r>
        <w:rPr>
          <w:sz w:val="18"/>
        </w:rPr>
        <w:t>Anti‐Dumping</w:t>
      </w:r>
      <w:r>
        <w:rPr>
          <w:spacing w:val="-9"/>
          <w:sz w:val="18"/>
        </w:rPr>
        <w:t xml:space="preserve"> </w:t>
      </w:r>
      <w:r>
        <w:rPr>
          <w:sz w:val="18"/>
        </w:rPr>
        <w:t>Investigation appears to refer to the preparation</w:t>
      </w:r>
      <w:r>
        <w:rPr>
          <w:sz w:val="18"/>
        </w:rPr>
        <w:t xml:space="preserve"> of public versions of "attachments" in the plural. If any other attachments or annexes contained</w:t>
      </w:r>
      <w:r>
        <w:rPr>
          <w:spacing w:val="-7"/>
          <w:sz w:val="18"/>
        </w:rPr>
        <w:t xml:space="preserve"> </w:t>
      </w:r>
      <w:r>
        <w:rPr>
          <w:sz w:val="18"/>
        </w:rPr>
        <w:t>information</w:t>
      </w:r>
      <w:r>
        <w:rPr>
          <w:spacing w:val="-7"/>
          <w:sz w:val="18"/>
        </w:rPr>
        <w:t xml:space="preserve"> </w:t>
      </w:r>
      <w:r>
        <w:rPr>
          <w:sz w:val="18"/>
        </w:rPr>
        <w:t>that</w:t>
      </w:r>
      <w:r>
        <w:rPr>
          <w:spacing w:val="-8"/>
          <w:sz w:val="18"/>
        </w:rPr>
        <w:t xml:space="preserve"> </w:t>
      </w:r>
      <w:r>
        <w:rPr>
          <w:sz w:val="18"/>
        </w:rPr>
        <w:t>was</w:t>
      </w:r>
      <w:r>
        <w:rPr>
          <w:spacing w:val="-7"/>
          <w:sz w:val="18"/>
        </w:rPr>
        <w:t xml:space="preserve"> </w:t>
      </w:r>
      <w:r>
        <w:rPr>
          <w:sz w:val="18"/>
        </w:rPr>
        <w:t>treated</w:t>
      </w:r>
      <w:r>
        <w:rPr>
          <w:spacing w:val="-7"/>
          <w:sz w:val="18"/>
        </w:rPr>
        <w:t xml:space="preserve"> </w:t>
      </w:r>
      <w:r>
        <w:rPr>
          <w:sz w:val="18"/>
        </w:rPr>
        <w:t>as</w:t>
      </w:r>
      <w:r>
        <w:rPr>
          <w:spacing w:val="-7"/>
          <w:sz w:val="18"/>
        </w:rPr>
        <w:t xml:space="preserve"> </w:t>
      </w:r>
      <w:r>
        <w:rPr>
          <w:sz w:val="18"/>
        </w:rPr>
        <w:t>confidential,</w:t>
      </w:r>
      <w:r>
        <w:rPr>
          <w:spacing w:val="-8"/>
          <w:sz w:val="18"/>
        </w:rPr>
        <w:t xml:space="preserve"> </w:t>
      </w:r>
      <w:r>
        <w:rPr>
          <w:sz w:val="18"/>
        </w:rPr>
        <w:t>then</w:t>
      </w:r>
      <w:r>
        <w:rPr>
          <w:spacing w:val="-8"/>
          <w:sz w:val="18"/>
        </w:rPr>
        <w:t xml:space="preserve"> </w:t>
      </w:r>
      <w:r>
        <w:rPr>
          <w:sz w:val="18"/>
        </w:rPr>
        <w:t>the</w:t>
      </w:r>
      <w:r>
        <w:rPr>
          <w:spacing w:val="-7"/>
          <w:sz w:val="18"/>
        </w:rPr>
        <w:t xml:space="preserve"> </w:t>
      </w:r>
      <w:r>
        <w:rPr>
          <w:sz w:val="18"/>
        </w:rPr>
        <w:t>violations</w:t>
      </w:r>
      <w:r>
        <w:rPr>
          <w:spacing w:val="-8"/>
          <w:sz w:val="18"/>
        </w:rPr>
        <w:t xml:space="preserve"> </w:t>
      </w:r>
      <w:r>
        <w:rPr>
          <w:sz w:val="18"/>
        </w:rPr>
        <w:t>of</w:t>
      </w:r>
      <w:r>
        <w:rPr>
          <w:spacing w:val="-7"/>
          <w:sz w:val="18"/>
        </w:rPr>
        <w:t xml:space="preserve"> </w:t>
      </w:r>
      <w:r>
        <w:rPr>
          <w:sz w:val="18"/>
        </w:rPr>
        <w:t>Article</w:t>
      </w:r>
      <w:r>
        <w:rPr>
          <w:spacing w:val="-7"/>
          <w:sz w:val="18"/>
        </w:rPr>
        <w:t xml:space="preserve"> </w:t>
      </w:r>
      <w:r>
        <w:rPr>
          <w:sz w:val="18"/>
        </w:rPr>
        <w:t>6.5</w:t>
      </w:r>
      <w:r>
        <w:rPr>
          <w:spacing w:val="-7"/>
          <w:sz w:val="18"/>
        </w:rPr>
        <w:t xml:space="preserve"> </w:t>
      </w:r>
      <w:r>
        <w:rPr>
          <w:sz w:val="18"/>
        </w:rPr>
        <w:t>and</w:t>
      </w:r>
      <w:r>
        <w:rPr>
          <w:spacing w:val="-7"/>
          <w:sz w:val="18"/>
        </w:rPr>
        <w:t xml:space="preserve"> </w:t>
      </w:r>
      <w:r>
        <w:rPr>
          <w:sz w:val="18"/>
        </w:rPr>
        <w:t>6.5.1</w:t>
      </w:r>
      <w:r>
        <w:rPr>
          <w:spacing w:val="-7"/>
          <w:sz w:val="18"/>
        </w:rPr>
        <w:t xml:space="preserve"> </w:t>
      </w:r>
      <w:r>
        <w:rPr>
          <w:sz w:val="18"/>
        </w:rPr>
        <w:t>described</w:t>
      </w:r>
      <w:r>
        <w:rPr>
          <w:spacing w:val="-7"/>
          <w:sz w:val="18"/>
        </w:rPr>
        <w:t xml:space="preserve"> </w:t>
      </w:r>
      <w:r>
        <w:rPr>
          <w:sz w:val="18"/>
        </w:rPr>
        <w:t>above</w:t>
      </w:r>
      <w:r>
        <w:rPr>
          <w:spacing w:val="-8"/>
          <w:sz w:val="18"/>
        </w:rPr>
        <w:t xml:space="preserve"> </w:t>
      </w:r>
      <w:r>
        <w:rPr>
          <w:sz w:val="18"/>
        </w:rPr>
        <w:t>also</w:t>
      </w:r>
      <w:r>
        <w:rPr>
          <w:spacing w:val="-8"/>
          <w:sz w:val="18"/>
        </w:rPr>
        <w:t xml:space="preserve"> </w:t>
      </w:r>
      <w:r>
        <w:rPr>
          <w:sz w:val="18"/>
        </w:rPr>
        <w:t>apply to such confidential treatment.</w:t>
      </w:r>
    </w:p>
    <w:p w14:paraId="51DE969F" w14:textId="77777777" w:rsidR="0010369C" w:rsidRDefault="0010369C">
      <w:pPr>
        <w:jc w:val="both"/>
        <w:rPr>
          <w:sz w:val="18"/>
        </w:rPr>
        <w:sectPr w:rsidR="0010369C">
          <w:pgSz w:w="11910" w:h="16840"/>
          <w:pgMar w:top="880" w:right="800" w:bottom="980" w:left="1180" w:header="569" w:footer="788" w:gutter="0"/>
          <w:cols w:space="720"/>
        </w:sectPr>
      </w:pPr>
    </w:p>
    <w:p w14:paraId="51DE96A0" w14:textId="77777777" w:rsidR="0010369C" w:rsidRDefault="008E43AE">
      <w:pPr>
        <w:tabs>
          <w:tab w:val="left" w:pos="6425"/>
        </w:tabs>
        <w:ind w:left="238"/>
        <w:jc w:val="both"/>
        <w:rPr>
          <w:sz w:val="20"/>
        </w:rPr>
      </w:pPr>
      <w:r>
        <w:rPr>
          <w:i/>
          <w:sz w:val="20"/>
        </w:rPr>
        <w:lastRenderedPageBreak/>
        <w:t>China</w:t>
      </w:r>
      <w:r>
        <w:rPr>
          <w:i/>
          <w:spacing w:val="-5"/>
          <w:sz w:val="20"/>
        </w:rPr>
        <w:t xml:space="preserve"> </w:t>
      </w:r>
      <w:r>
        <w:rPr>
          <w:i/>
          <w:sz w:val="20"/>
        </w:rPr>
        <w:t>–</w:t>
      </w:r>
      <w:r>
        <w:rPr>
          <w:i/>
          <w:spacing w:val="-5"/>
          <w:sz w:val="20"/>
        </w:rPr>
        <w:t xml:space="preserve"> </w:t>
      </w:r>
      <w:r>
        <w:rPr>
          <w:i/>
          <w:sz w:val="20"/>
        </w:rPr>
        <w:t>Anti‐Dumping</w:t>
      </w:r>
      <w:r>
        <w:rPr>
          <w:i/>
          <w:spacing w:val="-4"/>
          <w:sz w:val="20"/>
        </w:rPr>
        <w:t xml:space="preserve"> </w:t>
      </w:r>
      <w:r>
        <w:rPr>
          <w:i/>
          <w:sz w:val="20"/>
        </w:rPr>
        <w:t>and</w:t>
      </w:r>
      <w:r>
        <w:rPr>
          <w:i/>
          <w:spacing w:val="-5"/>
          <w:sz w:val="20"/>
        </w:rPr>
        <w:t xml:space="preserve"> </w:t>
      </w:r>
      <w:r>
        <w:rPr>
          <w:i/>
          <w:sz w:val="20"/>
        </w:rPr>
        <w:t>Countervailing</w:t>
      </w:r>
      <w:r>
        <w:rPr>
          <w:i/>
          <w:spacing w:val="-5"/>
          <w:sz w:val="20"/>
        </w:rPr>
        <w:t xml:space="preserve"> </w:t>
      </w:r>
      <w:r>
        <w:rPr>
          <w:i/>
          <w:sz w:val="20"/>
        </w:rPr>
        <w:t>Duty</w:t>
      </w:r>
      <w:r>
        <w:rPr>
          <w:i/>
          <w:spacing w:val="-4"/>
          <w:sz w:val="20"/>
        </w:rPr>
        <w:t xml:space="preserve"> </w:t>
      </w:r>
      <w:r>
        <w:rPr>
          <w:i/>
          <w:spacing w:val="-2"/>
          <w:sz w:val="20"/>
        </w:rPr>
        <w:t>Measures</w:t>
      </w:r>
      <w:r>
        <w:rPr>
          <w:i/>
          <w:sz w:val="20"/>
        </w:rPr>
        <w:tab/>
      </w:r>
      <w:r>
        <w:rPr>
          <w:sz w:val="20"/>
        </w:rPr>
        <w:t>Australia's</w:t>
      </w:r>
      <w:r>
        <w:rPr>
          <w:spacing w:val="-7"/>
          <w:sz w:val="20"/>
        </w:rPr>
        <w:t xml:space="preserve"> </w:t>
      </w:r>
      <w:r>
        <w:rPr>
          <w:sz w:val="20"/>
        </w:rPr>
        <w:t>First</w:t>
      </w:r>
      <w:r>
        <w:rPr>
          <w:spacing w:val="-2"/>
          <w:sz w:val="20"/>
        </w:rPr>
        <w:t xml:space="preserve"> </w:t>
      </w:r>
      <w:r>
        <w:rPr>
          <w:sz w:val="20"/>
        </w:rPr>
        <w:t>Written</w:t>
      </w:r>
      <w:r>
        <w:rPr>
          <w:spacing w:val="-2"/>
          <w:sz w:val="20"/>
        </w:rPr>
        <w:t xml:space="preserve"> Submission</w:t>
      </w:r>
    </w:p>
    <w:p w14:paraId="51DE96A1" w14:textId="77777777" w:rsidR="0010369C" w:rsidRDefault="008E43AE">
      <w:pPr>
        <w:tabs>
          <w:tab w:val="left" w:pos="8227"/>
        </w:tabs>
        <w:spacing w:before="1"/>
        <w:ind w:left="239"/>
        <w:jc w:val="both"/>
        <w:rPr>
          <w:sz w:val="20"/>
        </w:rPr>
      </w:pPr>
      <w:r>
        <w:rPr>
          <w:i/>
          <w:sz w:val="20"/>
        </w:rPr>
        <w:t>on</w:t>
      </w:r>
      <w:r>
        <w:rPr>
          <w:i/>
          <w:spacing w:val="-1"/>
          <w:sz w:val="20"/>
        </w:rPr>
        <w:t xml:space="preserve"> </w:t>
      </w:r>
      <w:r>
        <w:rPr>
          <w:i/>
          <w:sz w:val="20"/>
        </w:rPr>
        <w:t>Wine</w:t>
      </w:r>
      <w:r>
        <w:rPr>
          <w:i/>
          <w:spacing w:val="-1"/>
          <w:sz w:val="20"/>
        </w:rPr>
        <w:t xml:space="preserve"> </w:t>
      </w:r>
      <w:r>
        <w:rPr>
          <w:i/>
          <w:sz w:val="20"/>
        </w:rPr>
        <w:t>from</w:t>
      </w:r>
      <w:r>
        <w:rPr>
          <w:i/>
          <w:spacing w:val="-3"/>
          <w:sz w:val="20"/>
        </w:rPr>
        <w:t xml:space="preserve"> </w:t>
      </w:r>
      <w:r>
        <w:rPr>
          <w:i/>
          <w:sz w:val="20"/>
        </w:rPr>
        <w:t>Australia</w:t>
      </w:r>
      <w:r>
        <w:rPr>
          <w:i/>
          <w:spacing w:val="-1"/>
          <w:sz w:val="20"/>
        </w:rPr>
        <w:t xml:space="preserve"> </w:t>
      </w:r>
      <w:r>
        <w:rPr>
          <w:spacing w:val="-2"/>
          <w:sz w:val="20"/>
        </w:rPr>
        <w:t>(DS602)</w:t>
      </w:r>
      <w:r>
        <w:rPr>
          <w:sz w:val="20"/>
        </w:rPr>
        <w:tab/>
        <w:t>29</w:t>
      </w:r>
      <w:r>
        <w:rPr>
          <w:spacing w:val="-1"/>
          <w:sz w:val="20"/>
        </w:rPr>
        <w:t xml:space="preserve"> </w:t>
      </w:r>
      <w:r>
        <w:rPr>
          <w:sz w:val="20"/>
        </w:rPr>
        <w:t>April</w:t>
      </w:r>
      <w:r>
        <w:rPr>
          <w:spacing w:val="-2"/>
          <w:sz w:val="20"/>
        </w:rPr>
        <w:t xml:space="preserve"> </w:t>
      </w:r>
      <w:r>
        <w:rPr>
          <w:spacing w:val="-4"/>
          <w:sz w:val="20"/>
        </w:rPr>
        <w:t>2022</w:t>
      </w:r>
    </w:p>
    <w:p w14:paraId="51DE96A2" w14:textId="77777777" w:rsidR="0010369C" w:rsidRDefault="008E43AE">
      <w:pPr>
        <w:spacing w:before="35" w:line="276" w:lineRule="auto"/>
        <w:ind w:left="1087" w:right="612" w:firstLine="1"/>
        <w:jc w:val="both"/>
      </w:pPr>
      <w:r>
        <w:t>This</w:t>
      </w:r>
      <w:r>
        <w:rPr>
          <w:spacing w:val="-3"/>
        </w:rPr>
        <w:t xml:space="preserve"> </w:t>
      </w:r>
      <w:r>
        <w:t>appendix</w:t>
      </w:r>
      <w:r>
        <w:rPr>
          <w:spacing w:val="-4"/>
        </w:rPr>
        <w:t xml:space="preserve"> </w:t>
      </w:r>
      <w:r>
        <w:t>is</w:t>
      </w:r>
      <w:r>
        <w:rPr>
          <w:spacing w:val="-1"/>
        </w:rPr>
        <w:t xml:space="preserve"> </w:t>
      </w:r>
      <w:r>
        <w:t>the</w:t>
      </w:r>
      <w:r>
        <w:rPr>
          <w:spacing w:val="-2"/>
        </w:rPr>
        <w:t xml:space="preserve"> </w:t>
      </w:r>
      <w:r>
        <w:t>minutes</w:t>
      </w:r>
      <w:r>
        <w:rPr>
          <w:spacing w:val="-3"/>
        </w:rPr>
        <w:t xml:space="preserve"> </w:t>
      </w:r>
      <w:r>
        <w:t>of</w:t>
      </w:r>
      <w:r>
        <w:rPr>
          <w:spacing w:val="-2"/>
        </w:rPr>
        <w:t xml:space="preserve"> </w:t>
      </w:r>
      <w:r>
        <w:t>the</w:t>
      </w:r>
      <w:r>
        <w:rPr>
          <w:spacing w:val="-2"/>
        </w:rPr>
        <w:t xml:space="preserve"> </w:t>
      </w:r>
      <w:r>
        <w:t>special</w:t>
      </w:r>
      <w:r>
        <w:rPr>
          <w:spacing w:val="-2"/>
        </w:rPr>
        <w:t xml:space="preserve"> </w:t>
      </w:r>
      <w:r>
        <w:t>meeting</w:t>
      </w:r>
      <w:r>
        <w:rPr>
          <w:spacing w:val="-1"/>
        </w:rPr>
        <w:t xml:space="preserve"> </w:t>
      </w:r>
      <w:r>
        <w:t>on</w:t>
      </w:r>
      <w:r>
        <w:rPr>
          <w:spacing w:val="-3"/>
        </w:rPr>
        <w:t xml:space="preserve"> </w:t>
      </w:r>
      <w:r>
        <w:t>the</w:t>
      </w:r>
      <w:r>
        <w:rPr>
          <w:spacing w:val="-2"/>
        </w:rPr>
        <w:t xml:space="preserve"> </w:t>
      </w:r>
      <w:r>
        <w:t>applicant's</w:t>
      </w:r>
      <w:r>
        <w:rPr>
          <w:spacing w:val="-1"/>
        </w:rPr>
        <w:t xml:space="preserve"> </w:t>
      </w:r>
      <w:r>
        <w:t>internal</w:t>
      </w:r>
      <w:r>
        <w:rPr>
          <w:spacing w:val="-1"/>
        </w:rPr>
        <w:t xml:space="preserve"> </w:t>
      </w:r>
      <w:r>
        <w:t>anti‐dumping investigation application for Australian wine products. In view of the fact that the meeting minutes</w:t>
      </w:r>
      <w:r>
        <w:rPr>
          <w:spacing w:val="-13"/>
        </w:rPr>
        <w:t xml:space="preserve"> </w:t>
      </w:r>
      <w:r>
        <w:t>involve</w:t>
      </w:r>
      <w:r>
        <w:rPr>
          <w:spacing w:val="-12"/>
        </w:rPr>
        <w:t xml:space="preserve"> </w:t>
      </w:r>
      <w:r>
        <w:t>the</w:t>
      </w:r>
      <w:r>
        <w:rPr>
          <w:spacing w:val="-13"/>
        </w:rPr>
        <w:t xml:space="preserve"> </w:t>
      </w:r>
      <w:r>
        <w:t>applicant's</w:t>
      </w:r>
      <w:r>
        <w:rPr>
          <w:spacing w:val="-12"/>
        </w:rPr>
        <w:t xml:space="preserve"> </w:t>
      </w:r>
      <w:r>
        <w:t>internal</w:t>
      </w:r>
      <w:r>
        <w:rPr>
          <w:spacing w:val="-13"/>
        </w:rPr>
        <w:t xml:space="preserve"> </w:t>
      </w:r>
      <w:r>
        <w:t>voting</w:t>
      </w:r>
      <w:r>
        <w:rPr>
          <w:spacing w:val="-12"/>
        </w:rPr>
        <w:t xml:space="preserve"> </w:t>
      </w:r>
      <w:r>
        <w:t>procedures,</w:t>
      </w:r>
      <w:r>
        <w:rPr>
          <w:spacing w:val="-13"/>
        </w:rPr>
        <w:t xml:space="preserve"> </w:t>
      </w:r>
      <w:r>
        <w:t>work</w:t>
      </w:r>
      <w:r>
        <w:rPr>
          <w:spacing w:val="-12"/>
        </w:rPr>
        <w:t xml:space="preserve"> </w:t>
      </w:r>
      <w:r>
        <w:t>plans,</w:t>
      </w:r>
      <w:r>
        <w:rPr>
          <w:spacing w:val="-12"/>
        </w:rPr>
        <w:t xml:space="preserve"> </w:t>
      </w:r>
      <w:r>
        <w:t>law</w:t>
      </w:r>
      <w:r>
        <w:rPr>
          <w:spacing w:val="-13"/>
        </w:rPr>
        <w:t xml:space="preserve"> </w:t>
      </w:r>
      <w:r>
        <w:t>firm</w:t>
      </w:r>
      <w:r>
        <w:rPr>
          <w:spacing w:val="-12"/>
        </w:rPr>
        <w:t xml:space="preserve"> </w:t>
      </w:r>
      <w:r>
        <w:t>engagement, payment of attorney fees, and intern</w:t>
      </w:r>
      <w:r>
        <w:t>al and external confidential work, it is classified as internal</w:t>
      </w:r>
      <w:r>
        <w:rPr>
          <w:spacing w:val="-11"/>
        </w:rPr>
        <w:t xml:space="preserve"> </w:t>
      </w:r>
      <w:r>
        <w:t>confidential</w:t>
      </w:r>
      <w:r>
        <w:rPr>
          <w:spacing w:val="-11"/>
        </w:rPr>
        <w:t xml:space="preserve"> </w:t>
      </w:r>
      <w:r>
        <w:t>information</w:t>
      </w:r>
      <w:r>
        <w:rPr>
          <w:spacing w:val="-11"/>
        </w:rPr>
        <w:t xml:space="preserve"> </w:t>
      </w:r>
      <w:r>
        <w:t>and</w:t>
      </w:r>
      <w:r>
        <w:rPr>
          <w:spacing w:val="-11"/>
        </w:rPr>
        <w:t xml:space="preserve"> </w:t>
      </w:r>
      <w:r>
        <w:t>is</w:t>
      </w:r>
      <w:r>
        <w:rPr>
          <w:spacing w:val="-11"/>
        </w:rPr>
        <w:t xml:space="preserve"> </w:t>
      </w:r>
      <w:r>
        <w:t>only</w:t>
      </w:r>
      <w:r>
        <w:rPr>
          <w:spacing w:val="-11"/>
        </w:rPr>
        <w:t xml:space="preserve"> </w:t>
      </w:r>
      <w:r>
        <w:t>printed</w:t>
      </w:r>
      <w:r>
        <w:rPr>
          <w:spacing w:val="-11"/>
        </w:rPr>
        <w:t xml:space="preserve"> </w:t>
      </w:r>
      <w:r>
        <w:t>out</w:t>
      </w:r>
      <w:r>
        <w:rPr>
          <w:spacing w:val="-11"/>
        </w:rPr>
        <w:t xml:space="preserve"> </w:t>
      </w:r>
      <w:r>
        <w:t>and</w:t>
      </w:r>
      <w:r>
        <w:rPr>
          <w:spacing w:val="-10"/>
        </w:rPr>
        <w:t xml:space="preserve"> </w:t>
      </w:r>
      <w:r>
        <w:t>circulated</w:t>
      </w:r>
      <w:r>
        <w:rPr>
          <w:spacing w:val="-12"/>
        </w:rPr>
        <w:t xml:space="preserve"> </w:t>
      </w:r>
      <w:r>
        <w:t>within</w:t>
      </w:r>
      <w:r>
        <w:rPr>
          <w:spacing w:val="-11"/>
        </w:rPr>
        <w:t xml:space="preserve"> </w:t>
      </w:r>
      <w:r>
        <w:t>the</w:t>
      </w:r>
      <w:r>
        <w:rPr>
          <w:spacing w:val="-11"/>
        </w:rPr>
        <w:t xml:space="preserve"> </w:t>
      </w:r>
      <w:r>
        <w:t>association and</w:t>
      </w:r>
      <w:r>
        <w:rPr>
          <w:spacing w:val="-3"/>
        </w:rPr>
        <w:t xml:space="preserve"> </w:t>
      </w:r>
      <w:r>
        <w:t>its</w:t>
      </w:r>
      <w:r>
        <w:rPr>
          <w:spacing w:val="-1"/>
        </w:rPr>
        <w:t xml:space="preserve"> </w:t>
      </w:r>
      <w:r>
        <w:t>members.</w:t>
      </w:r>
      <w:r>
        <w:rPr>
          <w:spacing w:val="-4"/>
        </w:rPr>
        <w:t xml:space="preserve"> </w:t>
      </w:r>
      <w:r>
        <w:t>Disclosure</w:t>
      </w:r>
      <w:r>
        <w:rPr>
          <w:spacing w:val="-3"/>
        </w:rPr>
        <w:t xml:space="preserve"> </w:t>
      </w:r>
      <w:r>
        <w:t>to</w:t>
      </w:r>
      <w:r>
        <w:rPr>
          <w:spacing w:val="-2"/>
        </w:rPr>
        <w:t xml:space="preserve"> </w:t>
      </w:r>
      <w:r>
        <w:t>the</w:t>
      </w:r>
      <w:r>
        <w:rPr>
          <w:spacing w:val="-3"/>
        </w:rPr>
        <w:t xml:space="preserve"> </w:t>
      </w:r>
      <w:r>
        <w:t>public</w:t>
      </w:r>
      <w:r>
        <w:rPr>
          <w:spacing w:val="-3"/>
        </w:rPr>
        <w:t xml:space="preserve"> </w:t>
      </w:r>
      <w:r>
        <w:t>may</w:t>
      </w:r>
      <w:r>
        <w:rPr>
          <w:spacing w:val="-2"/>
        </w:rPr>
        <w:t xml:space="preserve"> </w:t>
      </w:r>
      <w:r>
        <w:t>cause</w:t>
      </w:r>
      <w:r>
        <w:rPr>
          <w:spacing w:val="-3"/>
        </w:rPr>
        <w:t xml:space="preserve"> </w:t>
      </w:r>
      <w:r>
        <w:t>inconvenience</w:t>
      </w:r>
      <w:r>
        <w:rPr>
          <w:spacing w:val="-3"/>
        </w:rPr>
        <w:t xml:space="preserve"> </w:t>
      </w:r>
      <w:r>
        <w:t>or</w:t>
      </w:r>
      <w:r>
        <w:rPr>
          <w:spacing w:val="-3"/>
        </w:rPr>
        <w:t xml:space="preserve"> </w:t>
      </w:r>
      <w:r>
        <w:t>other</w:t>
      </w:r>
      <w:r>
        <w:rPr>
          <w:spacing w:val="-2"/>
        </w:rPr>
        <w:t xml:space="preserve"> </w:t>
      </w:r>
      <w:r>
        <w:t>adverse</w:t>
      </w:r>
      <w:r>
        <w:rPr>
          <w:spacing w:val="-3"/>
        </w:rPr>
        <w:t xml:space="preserve"> </w:t>
      </w:r>
      <w:r>
        <w:t>effects to the daily management and operation of the applicant and the production and operation of</w:t>
      </w:r>
      <w:r>
        <w:rPr>
          <w:spacing w:val="-11"/>
        </w:rPr>
        <w:t xml:space="preserve"> </w:t>
      </w:r>
      <w:r>
        <w:t>the</w:t>
      </w:r>
      <w:r>
        <w:rPr>
          <w:spacing w:val="-9"/>
        </w:rPr>
        <w:t xml:space="preserve"> </w:t>
      </w:r>
      <w:r>
        <w:t>members'</w:t>
      </w:r>
      <w:r>
        <w:rPr>
          <w:spacing w:val="-11"/>
        </w:rPr>
        <w:t xml:space="preserve"> </w:t>
      </w:r>
      <w:r>
        <w:t>businesses,</w:t>
      </w:r>
      <w:r>
        <w:rPr>
          <w:spacing w:val="-11"/>
        </w:rPr>
        <w:t xml:space="preserve"> </w:t>
      </w:r>
      <w:r>
        <w:t>therefore,</w:t>
      </w:r>
      <w:r>
        <w:rPr>
          <w:spacing w:val="-11"/>
        </w:rPr>
        <w:t xml:space="preserve"> </w:t>
      </w:r>
      <w:r>
        <w:t>we</w:t>
      </w:r>
      <w:r>
        <w:rPr>
          <w:spacing w:val="-10"/>
        </w:rPr>
        <w:t xml:space="preserve"> </w:t>
      </w:r>
      <w:r>
        <w:t>ask</w:t>
      </w:r>
      <w:r>
        <w:rPr>
          <w:spacing w:val="-10"/>
        </w:rPr>
        <w:t xml:space="preserve"> </w:t>
      </w:r>
      <w:r>
        <w:t>that</w:t>
      </w:r>
      <w:r>
        <w:rPr>
          <w:spacing w:val="-11"/>
        </w:rPr>
        <w:t xml:space="preserve"> </w:t>
      </w:r>
      <w:r>
        <w:t>the</w:t>
      </w:r>
      <w:r>
        <w:rPr>
          <w:spacing w:val="-10"/>
        </w:rPr>
        <w:t xml:space="preserve"> </w:t>
      </w:r>
      <w:r>
        <w:t>minutes</w:t>
      </w:r>
      <w:r>
        <w:rPr>
          <w:spacing w:val="-9"/>
        </w:rPr>
        <w:t xml:space="preserve"> </w:t>
      </w:r>
      <w:r>
        <w:t>be</w:t>
      </w:r>
      <w:r>
        <w:rPr>
          <w:spacing w:val="-11"/>
        </w:rPr>
        <w:t xml:space="preserve"> </w:t>
      </w:r>
      <w:r>
        <w:t>kept</w:t>
      </w:r>
      <w:r>
        <w:rPr>
          <w:spacing w:val="-10"/>
        </w:rPr>
        <w:t xml:space="preserve"> </w:t>
      </w:r>
      <w:r>
        <w:t>confidential,</w:t>
      </w:r>
      <w:r>
        <w:rPr>
          <w:spacing w:val="-10"/>
        </w:rPr>
        <w:t xml:space="preserve"> </w:t>
      </w:r>
      <w:r>
        <w:t>and</w:t>
      </w:r>
      <w:r>
        <w:rPr>
          <w:spacing w:val="-10"/>
        </w:rPr>
        <w:t xml:space="preserve"> </w:t>
      </w:r>
      <w:r>
        <w:t>the full text is not disclosed to the public.</w:t>
      </w:r>
      <w:r>
        <w:rPr>
          <w:spacing w:val="-5"/>
        </w:rPr>
        <w:t xml:space="preserve"> </w:t>
      </w:r>
      <w:r>
        <w:rPr>
          <w:vertAlign w:val="superscript"/>
        </w:rPr>
        <w:t>1010</w:t>
      </w:r>
    </w:p>
    <w:p w14:paraId="51DE96A3" w14:textId="77777777" w:rsidR="0010369C" w:rsidRDefault="0010369C">
      <w:pPr>
        <w:pStyle w:val="BodyText"/>
        <w:spacing w:before="4"/>
        <w:rPr>
          <w:sz w:val="15"/>
        </w:rPr>
      </w:pPr>
    </w:p>
    <w:p w14:paraId="51DE96A4" w14:textId="77777777" w:rsidR="0010369C" w:rsidRDefault="008E43AE">
      <w:pPr>
        <w:pStyle w:val="BodyText"/>
        <w:spacing w:before="52" w:line="360" w:lineRule="auto"/>
        <w:ind w:left="237" w:right="613" w:firstLine="852"/>
        <w:jc w:val="both"/>
      </w:pPr>
      <w:r>
        <w:rPr>
          <w:noProof/>
        </w:rPr>
        <w:drawing>
          <wp:anchor distT="0" distB="0" distL="0" distR="0" simplePos="0" relativeHeight="251445760" behindDoc="1" locked="0" layoutInCell="1" allowOverlap="1" wp14:anchorId="51DEA716" wp14:editId="51DEA717">
            <wp:simplePos x="0" y="0"/>
            <wp:positionH relativeFrom="page">
              <wp:posOffset>902208</wp:posOffset>
            </wp:positionH>
            <wp:positionV relativeFrom="paragraph">
              <wp:posOffset>80595</wp:posOffset>
            </wp:positionV>
            <wp:extent cx="262127" cy="103631"/>
            <wp:effectExtent l="0" t="0" r="0" b="0"/>
            <wp:wrapNone/>
            <wp:docPr id="1655" name="image8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 name="image855.png"/>
                    <pic:cNvPicPr/>
                  </pic:nvPicPr>
                  <pic:blipFill>
                    <a:blip r:embed="rId1114" cstate="print"/>
                    <a:stretch>
                      <a:fillRect/>
                    </a:stretch>
                  </pic:blipFill>
                  <pic:spPr>
                    <a:xfrm>
                      <a:off x="0" y="0"/>
                      <a:ext cx="262127" cy="103631"/>
                    </a:xfrm>
                    <a:prstGeom prst="rect">
                      <a:avLst/>
                    </a:prstGeom>
                  </pic:spPr>
                </pic:pic>
              </a:graphicData>
            </a:graphic>
          </wp:anchor>
        </w:drawing>
      </w:r>
      <w:r>
        <w:t>MOFCOM failed to a</w:t>
      </w:r>
      <w:r>
        <w:t xml:space="preserve">ssess CADA's reasons and determine whether CADA had shown "good cause" for treating the </w:t>
      </w:r>
      <w:r>
        <w:rPr>
          <w:i/>
        </w:rPr>
        <w:t xml:space="preserve">entirety </w:t>
      </w:r>
      <w:r>
        <w:t>of Annex 3, including all of the information therein, as confidential. The Appellate Body has explained that where a panel is tasked with reviewing whether</w:t>
      </w:r>
      <w:r>
        <w:rPr>
          <w:spacing w:val="-6"/>
        </w:rPr>
        <w:t xml:space="preserve"> </w:t>
      </w:r>
      <w:r>
        <w:t>an</w:t>
      </w:r>
      <w:r>
        <w:rPr>
          <w:spacing w:val="-7"/>
        </w:rPr>
        <w:t xml:space="preserve"> </w:t>
      </w:r>
      <w:r>
        <w:t>investigating</w:t>
      </w:r>
      <w:r>
        <w:rPr>
          <w:spacing w:val="-5"/>
        </w:rPr>
        <w:t xml:space="preserve"> </w:t>
      </w:r>
      <w:r>
        <w:t>authority</w:t>
      </w:r>
      <w:r>
        <w:rPr>
          <w:spacing w:val="-6"/>
        </w:rPr>
        <w:t xml:space="preserve"> </w:t>
      </w:r>
      <w:r>
        <w:t>has</w:t>
      </w:r>
      <w:r>
        <w:rPr>
          <w:spacing w:val="-6"/>
        </w:rPr>
        <w:t xml:space="preserve"> </w:t>
      </w:r>
      <w:r>
        <w:t>objectively</w:t>
      </w:r>
      <w:r>
        <w:rPr>
          <w:spacing w:val="-5"/>
        </w:rPr>
        <w:t xml:space="preserve"> </w:t>
      </w:r>
      <w:r>
        <w:t>assessed</w:t>
      </w:r>
      <w:r>
        <w:rPr>
          <w:spacing w:val="-6"/>
        </w:rPr>
        <w:t xml:space="preserve"> </w:t>
      </w:r>
      <w:r>
        <w:t>"good</w:t>
      </w:r>
      <w:r>
        <w:rPr>
          <w:spacing w:val="-7"/>
        </w:rPr>
        <w:t xml:space="preserve"> </w:t>
      </w:r>
      <w:r>
        <w:t>cause",</w:t>
      </w:r>
      <w:r>
        <w:rPr>
          <w:spacing w:val="-7"/>
        </w:rPr>
        <w:t xml:space="preserve"> </w:t>
      </w:r>
      <w:r>
        <w:t>it</w:t>
      </w:r>
      <w:r>
        <w:rPr>
          <w:spacing w:val="-6"/>
        </w:rPr>
        <w:t xml:space="preserve"> </w:t>
      </w:r>
      <w:r>
        <w:t>is</w:t>
      </w:r>
      <w:r>
        <w:rPr>
          <w:spacing w:val="-7"/>
        </w:rPr>
        <w:t xml:space="preserve"> </w:t>
      </w:r>
      <w:r>
        <w:t>to</w:t>
      </w:r>
      <w:r>
        <w:rPr>
          <w:spacing w:val="-6"/>
        </w:rPr>
        <w:t xml:space="preserve"> </w:t>
      </w:r>
      <w:r>
        <w:t>do</w:t>
      </w:r>
      <w:r>
        <w:rPr>
          <w:spacing w:val="-6"/>
        </w:rPr>
        <w:t xml:space="preserve"> </w:t>
      </w:r>
      <w:r>
        <w:t>so on</w:t>
      </w:r>
      <w:r>
        <w:rPr>
          <w:spacing w:val="-6"/>
        </w:rPr>
        <w:t xml:space="preserve"> </w:t>
      </w:r>
      <w:r>
        <w:t>the basis</w:t>
      </w:r>
      <w:r>
        <w:rPr>
          <w:spacing w:val="-6"/>
        </w:rPr>
        <w:t xml:space="preserve"> </w:t>
      </w:r>
      <w:r>
        <w:t>of</w:t>
      </w:r>
      <w:r>
        <w:rPr>
          <w:spacing w:val="-6"/>
        </w:rPr>
        <w:t xml:space="preserve"> </w:t>
      </w:r>
      <w:r>
        <w:t>the</w:t>
      </w:r>
      <w:r>
        <w:rPr>
          <w:spacing w:val="-5"/>
        </w:rPr>
        <w:t xml:space="preserve"> </w:t>
      </w:r>
      <w:r>
        <w:t>investigating</w:t>
      </w:r>
      <w:r>
        <w:rPr>
          <w:spacing w:val="-5"/>
        </w:rPr>
        <w:t xml:space="preserve"> </w:t>
      </w:r>
      <w:r>
        <w:t>authority's</w:t>
      </w:r>
      <w:r>
        <w:rPr>
          <w:spacing w:val="-6"/>
        </w:rPr>
        <w:t xml:space="preserve"> </w:t>
      </w:r>
      <w:r>
        <w:t>published</w:t>
      </w:r>
      <w:r>
        <w:rPr>
          <w:spacing w:val="-5"/>
        </w:rPr>
        <w:t xml:space="preserve"> </w:t>
      </w:r>
      <w:r>
        <w:t>report</w:t>
      </w:r>
      <w:r>
        <w:rPr>
          <w:spacing w:val="-6"/>
        </w:rPr>
        <w:t xml:space="preserve"> </w:t>
      </w:r>
      <w:r>
        <w:t>and</w:t>
      </w:r>
      <w:r>
        <w:rPr>
          <w:spacing w:val="-6"/>
        </w:rPr>
        <w:t xml:space="preserve"> </w:t>
      </w:r>
      <w:r>
        <w:t>any</w:t>
      </w:r>
      <w:r>
        <w:rPr>
          <w:spacing w:val="-5"/>
        </w:rPr>
        <w:t xml:space="preserve"> </w:t>
      </w:r>
      <w:r>
        <w:t>related</w:t>
      </w:r>
      <w:r>
        <w:rPr>
          <w:spacing w:val="-7"/>
        </w:rPr>
        <w:t xml:space="preserve"> </w:t>
      </w:r>
      <w:r>
        <w:t>supporting</w:t>
      </w:r>
      <w:r>
        <w:rPr>
          <w:spacing w:val="-6"/>
        </w:rPr>
        <w:t xml:space="preserve"> </w:t>
      </w:r>
      <w:r>
        <w:t>documents, and</w:t>
      </w:r>
      <w:r>
        <w:rPr>
          <w:spacing w:val="-4"/>
        </w:rPr>
        <w:t xml:space="preserve"> </w:t>
      </w:r>
      <w:r>
        <w:t>in</w:t>
      </w:r>
      <w:r>
        <w:rPr>
          <w:spacing w:val="-4"/>
        </w:rPr>
        <w:t xml:space="preserve"> </w:t>
      </w:r>
      <w:r>
        <w:t>light</w:t>
      </w:r>
      <w:r>
        <w:rPr>
          <w:spacing w:val="-2"/>
        </w:rPr>
        <w:t xml:space="preserve"> </w:t>
      </w:r>
      <w:r>
        <w:t>of</w:t>
      </w:r>
      <w:r>
        <w:rPr>
          <w:spacing w:val="-4"/>
        </w:rPr>
        <w:t xml:space="preserve"> </w:t>
      </w:r>
      <w:r>
        <w:t>the</w:t>
      </w:r>
      <w:r>
        <w:rPr>
          <w:spacing w:val="-3"/>
        </w:rPr>
        <w:t xml:space="preserve"> </w:t>
      </w:r>
      <w:r>
        <w:t>nature</w:t>
      </w:r>
      <w:r>
        <w:rPr>
          <w:spacing w:val="-2"/>
        </w:rPr>
        <w:t xml:space="preserve"> </w:t>
      </w:r>
      <w:r>
        <w:t>of</w:t>
      </w:r>
      <w:r>
        <w:rPr>
          <w:spacing w:val="-4"/>
        </w:rPr>
        <w:t xml:space="preserve"> </w:t>
      </w:r>
      <w:r>
        <w:t>the</w:t>
      </w:r>
      <w:r>
        <w:rPr>
          <w:spacing w:val="-3"/>
        </w:rPr>
        <w:t xml:space="preserve"> </w:t>
      </w:r>
      <w:r>
        <w:t>information</w:t>
      </w:r>
      <w:r>
        <w:rPr>
          <w:spacing w:val="-3"/>
        </w:rPr>
        <w:t xml:space="preserve"> </w:t>
      </w:r>
      <w:r>
        <w:t>at</w:t>
      </w:r>
      <w:r>
        <w:rPr>
          <w:spacing w:val="-4"/>
        </w:rPr>
        <w:t xml:space="preserve"> </w:t>
      </w:r>
      <w:r>
        <w:t>issue,</w:t>
      </w:r>
      <w:r>
        <w:rPr>
          <w:spacing w:val="-4"/>
        </w:rPr>
        <w:t xml:space="preserve"> </w:t>
      </w:r>
      <w:r>
        <w:t>and</w:t>
      </w:r>
      <w:r>
        <w:rPr>
          <w:spacing w:val="-4"/>
        </w:rPr>
        <w:t xml:space="preserve"> </w:t>
      </w:r>
      <w:r>
        <w:t>the</w:t>
      </w:r>
      <w:r>
        <w:rPr>
          <w:spacing w:val="-3"/>
        </w:rPr>
        <w:t xml:space="preserve"> </w:t>
      </w:r>
      <w:r>
        <w:t>reasons</w:t>
      </w:r>
      <w:r>
        <w:rPr>
          <w:spacing w:val="-5"/>
        </w:rPr>
        <w:t xml:space="preserve"> </w:t>
      </w:r>
      <w:r>
        <w:t>given</w:t>
      </w:r>
      <w:r>
        <w:rPr>
          <w:spacing w:val="-4"/>
        </w:rPr>
        <w:t xml:space="preserve"> </w:t>
      </w:r>
      <w:r>
        <w:t>by</w:t>
      </w:r>
      <w:r>
        <w:rPr>
          <w:spacing w:val="-3"/>
        </w:rPr>
        <w:t xml:space="preserve"> </w:t>
      </w:r>
      <w:r>
        <w:t>the</w:t>
      </w:r>
      <w:r>
        <w:rPr>
          <w:spacing w:val="-3"/>
        </w:rPr>
        <w:t xml:space="preserve"> </w:t>
      </w:r>
      <w:r>
        <w:t>submitting party for its request for confidential treatment request.</w:t>
      </w:r>
      <w:r>
        <w:rPr>
          <w:vertAlign w:val="superscript"/>
        </w:rPr>
        <w:t>1011</w:t>
      </w:r>
      <w:r>
        <w:t xml:space="preserve"> Nowhere in the Final Determination or related supporting documents is there any evidence that MOFCOM made the type of assessment or determination required under A</w:t>
      </w:r>
      <w:r>
        <w:t>rticle 6.5.</w:t>
      </w:r>
    </w:p>
    <w:p w14:paraId="51DE96A5" w14:textId="77777777" w:rsidR="0010369C" w:rsidRDefault="0010369C">
      <w:pPr>
        <w:pStyle w:val="BodyText"/>
        <w:spacing w:before="10"/>
        <w:rPr>
          <w:sz w:val="8"/>
        </w:rPr>
      </w:pPr>
    </w:p>
    <w:p w14:paraId="51DE96A6" w14:textId="77777777" w:rsidR="0010369C" w:rsidRDefault="008E43AE">
      <w:pPr>
        <w:pStyle w:val="BodyText"/>
        <w:spacing w:before="52" w:line="360" w:lineRule="auto"/>
        <w:ind w:left="236" w:right="613" w:firstLine="852"/>
        <w:jc w:val="both"/>
      </w:pPr>
      <w:r>
        <w:rPr>
          <w:noProof/>
        </w:rPr>
        <w:drawing>
          <wp:anchor distT="0" distB="0" distL="0" distR="0" simplePos="0" relativeHeight="251446784" behindDoc="1" locked="0" layoutInCell="1" allowOverlap="1" wp14:anchorId="51DEA718" wp14:editId="51DEA719">
            <wp:simplePos x="0" y="0"/>
            <wp:positionH relativeFrom="page">
              <wp:posOffset>902208</wp:posOffset>
            </wp:positionH>
            <wp:positionV relativeFrom="paragraph">
              <wp:posOffset>76785</wp:posOffset>
            </wp:positionV>
            <wp:extent cx="262127" cy="106679"/>
            <wp:effectExtent l="0" t="0" r="0" b="0"/>
            <wp:wrapNone/>
            <wp:docPr id="1657" name="image8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 name="image856.png"/>
                    <pic:cNvPicPr/>
                  </pic:nvPicPr>
                  <pic:blipFill>
                    <a:blip r:embed="rId1115" cstate="print"/>
                    <a:stretch>
                      <a:fillRect/>
                    </a:stretch>
                  </pic:blipFill>
                  <pic:spPr>
                    <a:xfrm>
                      <a:off x="0" y="0"/>
                      <a:ext cx="262127" cy="106679"/>
                    </a:xfrm>
                    <a:prstGeom prst="rect">
                      <a:avLst/>
                    </a:prstGeom>
                  </pic:spPr>
                </pic:pic>
              </a:graphicData>
            </a:graphic>
          </wp:anchor>
        </w:drawing>
      </w:r>
      <w:r>
        <w:t>CADA</w:t>
      </w:r>
      <w:r>
        <w:rPr>
          <w:spacing w:val="-14"/>
        </w:rPr>
        <w:t xml:space="preserve"> </w:t>
      </w:r>
      <w:r>
        <w:t>alleged</w:t>
      </w:r>
      <w:r>
        <w:rPr>
          <w:spacing w:val="-14"/>
        </w:rPr>
        <w:t xml:space="preserve"> </w:t>
      </w:r>
      <w:r>
        <w:t>that</w:t>
      </w:r>
      <w:r>
        <w:rPr>
          <w:spacing w:val="-13"/>
        </w:rPr>
        <w:t xml:space="preserve"> </w:t>
      </w:r>
      <w:r>
        <w:t>disclosure</w:t>
      </w:r>
      <w:r>
        <w:rPr>
          <w:spacing w:val="-14"/>
        </w:rPr>
        <w:t xml:space="preserve"> </w:t>
      </w:r>
      <w:r>
        <w:t>of</w:t>
      </w:r>
      <w:r>
        <w:rPr>
          <w:spacing w:val="-13"/>
        </w:rPr>
        <w:t xml:space="preserve"> </w:t>
      </w:r>
      <w:r>
        <w:t>the</w:t>
      </w:r>
      <w:r>
        <w:rPr>
          <w:spacing w:val="-14"/>
        </w:rPr>
        <w:t xml:space="preserve"> </w:t>
      </w:r>
      <w:r>
        <w:t>information</w:t>
      </w:r>
      <w:r>
        <w:rPr>
          <w:spacing w:val="-13"/>
        </w:rPr>
        <w:t xml:space="preserve"> </w:t>
      </w:r>
      <w:r>
        <w:t>in</w:t>
      </w:r>
      <w:r>
        <w:rPr>
          <w:spacing w:val="-14"/>
        </w:rPr>
        <w:t xml:space="preserve"> </w:t>
      </w:r>
      <w:r>
        <w:t>Annex</w:t>
      </w:r>
      <w:r>
        <w:rPr>
          <w:spacing w:val="-14"/>
        </w:rPr>
        <w:t xml:space="preserve"> </w:t>
      </w:r>
      <w:r>
        <w:t>3</w:t>
      </w:r>
      <w:r>
        <w:rPr>
          <w:spacing w:val="-13"/>
        </w:rPr>
        <w:t xml:space="preserve"> </w:t>
      </w:r>
      <w:r>
        <w:t>"may</w:t>
      </w:r>
      <w:r>
        <w:rPr>
          <w:spacing w:val="-14"/>
        </w:rPr>
        <w:t xml:space="preserve"> </w:t>
      </w:r>
      <w:r>
        <w:t>cause</w:t>
      </w:r>
      <w:r>
        <w:rPr>
          <w:spacing w:val="-13"/>
        </w:rPr>
        <w:t xml:space="preserve"> </w:t>
      </w:r>
      <w:r>
        <w:t>inconvenience or other adverse effects". This unspecified, ambiguous harm is insufficient to meet the standard of "good cause" under Article 6.5. The examples provided in Article 6.5 of information that is "by nature confidential" describe information whic</w:t>
      </w:r>
      <w:r>
        <w:t>h, if disclosed, "would have</w:t>
      </w:r>
      <w:r>
        <w:rPr>
          <w:spacing w:val="-9"/>
        </w:rPr>
        <w:t xml:space="preserve"> </w:t>
      </w:r>
      <w:r>
        <w:t>a</w:t>
      </w:r>
      <w:r>
        <w:rPr>
          <w:spacing w:val="-10"/>
        </w:rPr>
        <w:t xml:space="preserve"> </w:t>
      </w:r>
      <w:r>
        <w:rPr>
          <w:i/>
        </w:rPr>
        <w:t>significantly</w:t>
      </w:r>
      <w:r>
        <w:rPr>
          <w:i/>
          <w:spacing w:val="-10"/>
        </w:rPr>
        <w:t xml:space="preserve"> </w:t>
      </w:r>
      <w:r>
        <w:t>adverse</w:t>
      </w:r>
      <w:r>
        <w:rPr>
          <w:spacing w:val="-9"/>
        </w:rPr>
        <w:t xml:space="preserve"> </w:t>
      </w:r>
      <w:r>
        <w:t>effect"</w:t>
      </w:r>
      <w:r>
        <w:rPr>
          <w:spacing w:val="-11"/>
        </w:rPr>
        <w:t xml:space="preserve"> </w:t>
      </w:r>
      <w:r>
        <w:t>(emphasis</w:t>
      </w:r>
      <w:r>
        <w:rPr>
          <w:spacing w:val="-10"/>
        </w:rPr>
        <w:t xml:space="preserve"> </w:t>
      </w:r>
      <w:r>
        <w:t>original)</w:t>
      </w:r>
      <w:r>
        <w:rPr>
          <w:spacing w:val="-9"/>
        </w:rPr>
        <w:t xml:space="preserve"> </w:t>
      </w:r>
      <w:r>
        <w:t>or</w:t>
      </w:r>
      <w:r>
        <w:rPr>
          <w:spacing w:val="-10"/>
        </w:rPr>
        <w:t xml:space="preserve"> </w:t>
      </w:r>
      <w:r>
        <w:t>"would</w:t>
      </w:r>
      <w:r>
        <w:rPr>
          <w:spacing w:val="-10"/>
        </w:rPr>
        <w:t xml:space="preserve"> </w:t>
      </w:r>
      <w:r>
        <w:t>be</w:t>
      </w:r>
      <w:r>
        <w:rPr>
          <w:spacing w:val="-9"/>
        </w:rPr>
        <w:t xml:space="preserve"> </w:t>
      </w:r>
      <w:r>
        <w:t>of</w:t>
      </w:r>
      <w:r>
        <w:rPr>
          <w:spacing w:val="-10"/>
        </w:rPr>
        <w:t xml:space="preserve"> </w:t>
      </w:r>
      <w:r>
        <w:rPr>
          <w:i/>
        </w:rPr>
        <w:t>significant</w:t>
      </w:r>
      <w:r>
        <w:rPr>
          <w:i/>
          <w:spacing w:val="-9"/>
        </w:rPr>
        <w:t xml:space="preserve"> </w:t>
      </w:r>
      <w:r>
        <w:t>competitive advantage to a competitor" (emphasis original). The Appellate Body has found that these examples "are helpful in interpreting 'good cau</w:t>
      </w:r>
      <w:r>
        <w:t>se' generally, because they illustrate the type of harm that might result from the disclosure of sensitive information, and the protectable interests</w:t>
      </w:r>
      <w:r>
        <w:rPr>
          <w:spacing w:val="-10"/>
        </w:rPr>
        <w:t xml:space="preserve"> </w:t>
      </w:r>
      <w:r>
        <w:t>involved".</w:t>
      </w:r>
      <w:r>
        <w:rPr>
          <w:vertAlign w:val="superscript"/>
        </w:rPr>
        <w:t>1012</w:t>
      </w:r>
      <w:r>
        <w:rPr>
          <w:spacing w:val="-12"/>
        </w:rPr>
        <w:t xml:space="preserve"> </w:t>
      </w:r>
      <w:r>
        <w:t>CADA's</w:t>
      </w:r>
      <w:r>
        <w:rPr>
          <w:spacing w:val="-11"/>
        </w:rPr>
        <w:t xml:space="preserve"> </w:t>
      </w:r>
      <w:r>
        <w:t>explanation</w:t>
      </w:r>
      <w:r>
        <w:rPr>
          <w:spacing w:val="-12"/>
        </w:rPr>
        <w:t xml:space="preserve"> </w:t>
      </w:r>
      <w:r>
        <w:t>did</w:t>
      </w:r>
      <w:r>
        <w:rPr>
          <w:spacing w:val="-11"/>
        </w:rPr>
        <w:t xml:space="preserve"> </w:t>
      </w:r>
      <w:r>
        <w:t>not</w:t>
      </w:r>
      <w:r>
        <w:rPr>
          <w:spacing w:val="-11"/>
        </w:rPr>
        <w:t xml:space="preserve"> </w:t>
      </w:r>
      <w:r>
        <w:t>identify</w:t>
      </w:r>
      <w:r>
        <w:rPr>
          <w:spacing w:val="-10"/>
        </w:rPr>
        <w:t xml:space="preserve"> </w:t>
      </w:r>
      <w:r>
        <w:t>any</w:t>
      </w:r>
      <w:r>
        <w:rPr>
          <w:spacing w:val="-10"/>
        </w:rPr>
        <w:t xml:space="preserve"> </w:t>
      </w:r>
      <w:r>
        <w:t>significant</w:t>
      </w:r>
      <w:r>
        <w:rPr>
          <w:spacing w:val="-11"/>
        </w:rPr>
        <w:t xml:space="preserve"> </w:t>
      </w:r>
      <w:r>
        <w:t>adverse</w:t>
      </w:r>
      <w:r>
        <w:rPr>
          <w:spacing w:val="-11"/>
        </w:rPr>
        <w:t xml:space="preserve"> </w:t>
      </w:r>
      <w:r>
        <w:t>effects</w:t>
      </w:r>
      <w:r>
        <w:rPr>
          <w:spacing w:val="-12"/>
        </w:rPr>
        <w:t xml:space="preserve"> </w:t>
      </w:r>
      <w:r>
        <w:t xml:space="preserve">that </w:t>
      </w:r>
      <w:r>
        <w:rPr>
          <w:w w:val="95"/>
        </w:rPr>
        <w:t>would</w:t>
      </w:r>
      <w:r>
        <w:rPr>
          <w:spacing w:val="14"/>
        </w:rPr>
        <w:t xml:space="preserve"> </w:t>
      </w:r>
      <w:r>
        <w:rPr>
          <w:w w:val="95"/>
        </w:rPr>
        <w:t>reasonably</w:t>
      </w:r>
      <w:r>
        <w:rPr>
          <w:spacing w:val="15"/>
        </w:rPr>
        <w:t xml:space="preserve"> </w:t>
      </w:r>
      <w:r>
        <w:rPr>
          <w:w w:val="95"/>
        </w:rPr>
        <w:t>b</w:t>
      </w:r>
      <w:r>
        <w:rPr>
          <w:w w:val="95"/>
        </w:rPr>
        <w:t>e</w:t>
      </w:r>
      <w:r>
        <w:rPr>
          <w:spacing w:val="15"/>
        </w:rPr>
        <w:t xml:space="preserve"> </w:t>
      </w:r>
      <w:r>
        <w:rPr>
          <w:w w:val="95"/>
        </w:rPr>
        <w:t>expected</w:t>
      </w:r>
      <w:r>
        <w:rPr>
          <w:spacing w:val="13"/>
        </w:rPr>
        <w:t xml:space="preserve"> </w:t>
      </w:r>
      <w:r>
        <w:rPr>
          <w:w w:val="95"/>
        </w:rPr>
        <w:t>to</w:t>
      </w:r>
      <w:r>
        <w:rPr>
          <w:spacing w:val="15"/>
        </w:rPr>
        <w:t xml:space="preserve"> </w:t>
      </w:r>
      <w:r>
        <w:rPr>
          <w:w w:val="95"/>
        </w:rPr>
        <w:t>result</w:t>
      </w:r>
      <w:r>
        <w:rPr>
          <w:spacing w:val="14"/>
        </w:rPr>
        <w:t xml:space="preserve"> </w:t>
      </w:r>
      <w:r>
        <w:rPr>
          <w:w w:val="95"/>
        </w:rPr>
        <w:t>from</w:t>
      </w:r>
      <w:r>
        <w:rPr>
          <w:spacing w:val="15"/>
        </w:rPr>
        <w:t xml:space="preserve"> </w:t>
      </w:r>
      <w:r>
        <w:rPr>
          <w:w w:val="95"/>
        </w:rPr>
        <w:t>disclosure</w:t>
      </w:r>
      <w:r>
        <w:rPr>
          <w:spacing w:val="16"/>
        </w:rPr>
        <w:t xml:space="preserve"> </w:t>
      </w:r>
      <w:r>
        <w:rPr>
          <w:w w:val="95"/>
        </w:rPr>
        <w:t>of</w:t>
      </w:r>
      <w:r>
        <w:rPr>
          <w:spacing w:val="15"/>
        </w:rPr>
        <w:t xml:space="preserve"> </w:t>
      </w:r>
      <w:r>
        <w:rPr>
          <w:w w:val="95"/>
        </w:rPr>
        <w:t>the</w:t>
      </w:r>
      <w:r>
        <w:rPr>
          <w:spacing w:val="13"/>
        </w:rPr>
        <w:t xml:space="preserve"> </w:t>
      </w:r>
      <w:r>
        <w:rPr>
          <w:w w:val="95"/>
        </w:rPr>
        <w:t>information</w:t>
      </w:r>
      <w:r>
        <w:rPr>
          <w:spacing w:val="13"/>
        </w:rPr>
        <w:t xml:space="preserve"> </w:t>
      </w:r>
      <w:r>
        <w:rPr>
          <w:w w:val="95"/>
        </w:rPr>
        <w:t>described</w:t>
      </w:r>
      <w:r>
        <w:rPr>
          <w:spacing w:val="17"/>
        </w:rPr>
        <w:t xml:space="preserve"> </w:t>
      </w:r>
      <w:r>
        <w:rPr>
          <w:w w:val="95"/>
        </w:rPr>
        <w:t>in</w:t>
      </w:r>
      <w:r>
        <w:rPr>
          <w:spacing w:val="13"/>
        </w:rPr>
        <w:t xml:space="preserve"> </w:t>
      </w:r>
      <w:r>
        <w:rPr>
          <w:spacing w:val="-2"/>
          <w:w w:val="95"/>
        </w:rPr>
        <w:t>Annex</w:t>
      </w:r>
    </w:p>
    <w:p w14:paraId="51DE96A7" w14:textId="77777777" w:rsidR="0010369C" w:rsidRDefault="008E43AE">
      <w:pPr>
        <w:pStyle w:val="ListParagraph"/>
        <w:numPr>
          <w:ilvl w:val="2"/>
          <w:numId w:val="75"/>
        </w:numPr>
        <w:tabs>
          <w:tab w:val="left" w:pos="544"/>
        </w:tabs>
        <w:spacing w:before="0" w:line="360" w:lineRule="auto"/>
        <w:ind w:left="237" w:right="614" w:firstLine="0"/>
        <w:jc w:val="both"/>
        <w:rPr>
          <w:sz w:val="24"/>
        </w:rPr>
      </w:pPr>
      <w:r>
        <w:rPr>
          <w:sz w:val="24"/>
        </w:rPr>
        <w:t>Australia submits that "inconvenience" does not indicate the type of harm, or the protectable</w:t>
      </w:r>
      <w:r>
        <w:rPr>
          <w:spacing w:val="61"/>
          <w:sz w:val="24"/>
        </w:rPr>
        <w:t xml:space="preserve"> </w:t>
      </w:r>
      <w:r>
        <w:rPr>
          <w:sz w:val="24"/>
        </w:rPr>
        <w:t>interests</w:t>
      </w:r>
      <w:r>
        <w:rPr>
          <w:spacing w:val="62"/>
          <w:sz w:val="24"/>
        </w:rPr>
        <w:t xml:space="preserve"> </w:t>
      </w:r>
      <w:r>
        <w:rPr>
          <w:sz w:val="24"/>
        </w:rPr>
        <w:t>involved,</w:t>
      </w:r>
      <w:r>
        <w:rPr>
          <w:spacing w:val="61"/>
          <w:sz w:val="24"/>
        </w:rPr>
        <w:t xml:space="preserve"> </w:t>
      </w:r>
      <w:r>
        <w:rPr>
          <w:sz w:val="24"/>
        </w:rPr>
        <w:t>that</w:t>
      </w:r>
      <w:r>
        <w:rPr>
          <w:spacing w:val="61"/>
          <w:sz w:val="24"/>
        </w:rPr>
        <w:t xml:space="preserve"> </w:t>
      </w:r>
      <w:r>
        <w:rPr>
          <w:sz w:val="24"/>
        </w:rPr>
        <w:t>would</w:t>
      </w:r>
      <w:r>
        <w:rPr>
          <w:spacing w:val="40"/>
          <w:sz w:val="24"/>
        </w:rPr>
        <w:t xml:space="preserve"> </w:t>
      </w:r>
      <w:r>
        <w:rPr>
          <w:sz w:val="24"/>
        </w:rPr>
        <w:t>outweigh</w:t>
      </w:r>
      <w:r>
        <w:rPr>
          <w:spacing w:val="61"/>
          <w:sz w:val="24"/>
        </w:rPr>
        <w:t xml:space="preserve"> </w:t>
      </w:r>
      <w:r>
        <w:rPr>
          <w:sz w:val="24"/>
        </w:rPr>
        <w:t>the</w:t>
      </w:r>
      <w:r>
        <w:rPr>
          <w:spacing w:val="61"/>
          <w:sz w:val="24"/>
        </w:rPr>
        <w:t xml:space="preserve"> </w:t>
      </w:r>
      <w:r>
        <w:rPr>
          <w:sz w:val="24"/>
        </w:rPr>
        <w:t>transparency</w:t>
      </w:r>
      <w:r>
        <w:rPr>
          <w:spacing w:val="61"/>
          <w:sz w:val="24"/>
        </w:rPr>
        <w:t xml:space="preserve"> </w:t>
      </w:r>
      <w:r>
        <w:rPr>
          <w:sz w:val="24"/>
        </w:rPr>
        <w:t>and</w:t>
      </w:r>
      <w:r>
        <w:rPr>
          <w:spacing w:val="61"/>
          <w:sz w:val="24"/>
        </w:rPr>
        <w:t xml:space="preserve"> </w:t>
      </w:r>
      <w:r>
        <w:rPr>
          <w:sz w:val="24"/>
        </w:rPr>
        <w:t>due</w:t>
      </w:r>
      <w:r>
        <w:rPr>
          <w:spacing w:val="62"/>
          <w:sz w:val="24"/>
        </w:rPr>
        <w:t xml:space="preserve"> </w:t>
      </w:r>
      <w:r>
        <w:rPr>
          <w:sz w:val="24"/>
        </w:rPr>
        <w:t>process</w:t>
      </w:r>
    </w:p>
    <w:p w14:paraId="51DE96A8" w14:textId="77777777" w:rsidR="0010369C" w:rsidRDefault="0010369C">
      <w:pPr>
        <w:pStyle w:val="BodyText"/>
        <w:rPr>
          <w:sz w:val="20"/>
        </w:rPr>
      </w:pPr>
    </w:p>
    <w:p w14:paraId="51DE96A9" w14:textId="77777777" w:rsidR="0010369C" w:rsidRDefault="0010369C">
      <w:pPr>
        <w:pStyle w:val="BodyText"/>
        <w:rPr>
          <w:sz w:val="20"/>
        </w:rPr>
      </w:pPr>
    </w:p>
    <w:p w14:paraId="51DE96AA" w14:textId="77777777" w:rsidR="0010369C" w:rsidRDefault="008E43AE">
      <w:pPr>
        <w:pStyle w:val="BodyText"/>
        <w:spacing w:before="6"/>
      </w:pPr>
      <w:r>
        <w:pict w14:anchorId="51DEA71A">
          <v:rect id="docshape1279" o:spid="_x0000_s1155" style="position:absolute;margin-left:70.9pt;margin-top:16.15pt;width:2in;height:.8pt;z-index:-250734080;mso-wrap-distance-left:0;mso-wrap-distance-right:0;mso-position-horizontal-relative:page" fillcolor="black" stroked="f">
            <w10:wrap type="topAndBottom" anchorx="page"/>
          </v:rect>
        </w:pict>
      </w:r>
    </w:p>
    <w:p w14:paraId="51DE96AB" w14:textId="77777777" w:rsidR="0010369C" w:rsidRDefault="008E43AE">
      <w:pPr>
        <w:spacing w:before="109"/>
        <w:ind w:left="238"/>
        <w:rPr>
          <w:sz w:val="18"/>
        </w:rPr>
      </w:pPr>
      <w:r>
        <w:rPr>
          <w:sz w:val="18"/>
          <w:vertAlign w:val="superscript"/>
        </w:rPr>
        <w:t>1010</w:t>
      </w:r>
      <w:r>
        <w:rPr>
          <w:spacing w:val="-9"/>
          <w:sz w:val="18"/>
        </w:rPr>
        <w:t xml:space="preserve"> </w:t>
      </w:r>
      <w:r>
        <w:rPr>
          <w:sz w:val="18"/>
        </w:rPr>
        <w:t>CADA</w:t>
      </w:r>
      <w:r>
        <w:rPr>
          <w:spacing w:val="-8"/>
          <w:sz w:val="18"/>
        </w:rPr>
        <w:t xml:space="preserve"> </w:t>
      </w:r>
      <w:r>
        <w:rPr>
          <w:sz w:val="18"/>
        </w:rPr>
        <w:t>Application</w:t>
      </w:r>
      <w:r>
        <w:rPr>
          <w:spacing w:val="-8"/>
          <w:sz w:val="18"/>
        </w:rPr>
        <w:t xml:space="preserve"> </w:t>
      </w:r>
      <w:r>
        <w:rPr>
          <w:sz w:val="18"/>
        </w:rPr>
        <w:t>for</w:t>
      </w:r>
      <w:r>
        <w:rPr>
          <w:spacing w:val="-9"/>
          <w:sz w:val="18"/>
        </w:rPr>
        <w:t xml:space="preserve"> </w:t>
      </w:r>
      <w:r>
        <w:rPr>
          <w:sz w:val="18"/>
        </w:rPr>
        <w:t>Anti‐Dumping</w:t>
      </w:r>
      <w:r>
        <w:rPr>
          <w:spacing w:val="-9"/>
          <w:sz w:val="18"/>
        </w:rPr>
        <w:t xml:space="preserve"> </w:t>
      </w:r>
      <w:r>
        <w:rPr>
          <w:sz w:val="18"/>
        </w:rPr>
        <w:t>Investigation</w:t>
      </w:r>
      <w:r>
        <w:rPr>
          <w:spacing w:val="-8"/>
          <w:sz w:val="18"/>
        </w:rPr>
        <w:t xml:space="preserve"> </w:t>
      </w:r>
      <w:r>
        <w:rPr>
          <w:sz w:val="18"/>
        </w:rPr>
        <w:t>Annexes</w:t>
      </w:r>
      <w:r>
        <w:rPr>
          <w:spacing w:val="-8"/>
          <w:sz w:val="18"/>
        </w:rPr>
        <w:t xml:space="preserve"> </w:t>
      </w:r>
      <w:r>
        <w:rPr>
          <w:sz w:val="18"/>
        </w:rPr>
        <w:t>1‐12</w:t>
      </w:r>
      <w:r>
        <w:rPr>
          <w:spacing w:val="-10"/>
          <w:sz w:val="18"/>
        </w:rPr>
        <w:t xml:space="preserve"> </w:t>
      </w:r>
      <w:r>
        <w:rPr>
          <w:sz w:val="18"/>
        </w:rPr>
        <w:t>(Part</w:t>
      </w:r>
      <w:r>
        <w:rPr>
          <w:spacing w:val="-8"/>
          <w:sz w:val="18"/>
        </w:rPr>
        <w:t xml:space="preserve"> </w:t>
      </w:r>
      <w:r>
        <w:rPr>
          <w:sz w:val="18"/>
        </w:rPr>
        <w:t>1)</w:t>
      </w:r>
      <w:r>
        <w:rPr>
          <w:spacing w:val="-9"/>
          <w:sz w:val="18"/>
        </w:rPr>
        <w:t xml:space="preserve"> </w:t>
      </w:r>
      <w:r>
        <w:rPr>
          <w:sz w:val="18"/>
        </w:rPr>
        <w:t>(Exhibit</w:t>
      </w:r>
      <w:r>
        <w:rPr>
          <w:spacing w:val="-8"/>
          <w:sz w:val="18"/>
        </w:rPr>
        <w:t xml:space="preserve"> </w:t>
      </w:r>
      <w:r>
        <w:rPr>
          <w:sz w:val="18"/>
        </w:rPr>
        <w:t>A</w:t>
      </w:r>
      <w:r>
        <w:rPr>
          <w:sz w:val="18"/>
        </w:rPr>
        <w:t>US‐90),</w:t>
      </w:r>
      <w:r>
        <w:rPr>
          <w:spacing w:val="-9"/>
          <w:sz w:val="18"/>
        </w:rPr>
        <w:t xml:space="preserve"> </w:t>
      </w:r>
      <w:r>
        <w:rPr>
          <w:sz w:val="18"/>
        </w:rPr>
        <w:t>Annex</w:t>
      </w:r>
      <w:r>
        <w:rPr>
          <w:spacing w:val="-8"/>
          <w:sz w:val="18"/>
        </w:rPr>
        <w:t xml:space="preserve"> </w:t>
      </w:r>
      <w:r>
        <w:rPr>
          <w:spacing w:val="-5"/>
          <w:sz w:val="18"/>
        </w:rPr>
        <w:t>3.</w:t>
      </w:r>
    </w:p>
    <w:p w14:paraId="51DE96AC" w14:textId="77777777" w:rsidR="0010369C" w:rsidRDefault="008E43AE">
      <w:pPr>
        <w:ind w:left="238"/>
        <w:rPr>
          <w:sz w:val="18"/>
        </w:rPr>
      </w:pPr>
      <w:r>
        <w:rPr>
          <w:sz w:val="18"/>
          <w:vertAlign w:val="superscript"/>
        </w:rPr>
        <w:t>1011</w:t>
      </w:r>
      <w:r>
        <w:rPr>
          <w:spacing w:val="-6"/>
          <w:sz w:val="18"/>
        </w:rPr>
        <w:t xml:space="preserve"> </w:t>
      </w:r>
      <w:r>
        <w:rPr>
          <w:sz w:val="18"/>
        </w:rPr>
        <w:t>See</w:t>
      </w:r>
      <w:r>
        <w:rPr>
          <w:spacing w:val="-6"/>
          <w:sz w:val="18"/>
        </w:rPr>
        <w:t xml:space="preserve"> </w:t>
      </w:r>
      <w:r>
        <w:rPr>
          <w:sz w:val="18"/>
        </w:rPr>
        <w:t>Appellate</w:t>
      </w:r>
      <w:r>
        <w:rPr>
          <w:spacing w:val="-6"/>
          <w:sz w:val="18"/>
        </w:rPr>
        <w:t xml:space="preserve"> </w:t>
      </w:r>
      <w:r>
        <w:rPr>
          <w:sz w:val="18"/>
        </w:rPr>
        <w:t>Body</w:t>
      </w:r>
      <w:r>
        <w:rPr>
          <w:spacing w:val="-6"/>
          <w:sz w:val="18"/>
        </w:rPr>
        <w:t xml:space="preserve"> </w:t>
      </w:r>
      <w:r>
        <w:rPr>
          <w:sz w:val="18"/>
        </w:rPr>
        <w:t>Reports,</w:t>
      </w:r>
      <w:r>
        <w:rPr>
          <w:spacing w:val="-6"/>
          <w:sz w:val="18"/>
        </w:rPr>
        <w:t xml:space="preserve"> </w:t>
      </w:r>
      <w:r>
        <w:rPr>
          <w:i/>
          <w:sz w:val="18"/>
        </w:rPr>
        <w:t>China</w:t>
      </w:r>
      <w:r>
        <w:rPr>
          <w:i/>
          <w:spacing w:val="-6"/>
          <w:sz w:val="18"/>
        </w:rPr>
        <w:t xml:space="preserve"> </w:t>
      </w:r>
      <w:r>
        <w:rPr>
          <w:i/>
          <w:sz w:val="18"/>
        </w:rPr>
        <w:t>–</w:t>
      </w:r>
      <w:r>
        <w:rPr>
          <w:i/>
          <w:spacing w:val="-5"/>
          <w:sz w:val="18"/>
        </w:rPr>
        <w:t xml:space="preserve"> </w:t>
      </w:r>
      <w:r>
        <w:rPr>
          <w:i/>
          <w:sz w:val="18"/>
        </w:rPr>
        <w:t>HP‐SSST</w:t>
      </w:r>
      <w:r>
        <w:rPr>
          <w:i/>
          <w:spacing w:val="-6"/>
          <w:sz w:val="18"/>
        </w:rPr>
        <w:t xml:space="preserve"> </w:t>
      </w:r>
      <w:r>
        <w:rPr>
          <w:i/>
          <w:sz w:val="18"/>
        </w:rPr>
        <w:t>(Japan)</w:t>
      </w:r>
      <w:r>
        <w:rPr>
          <w:i/>
          <w:spacing w:val="-6"/>
          <w:sz w:val="18"/>
        </w:rPr>
        <w:t xml:space="preserve"> </w:t>
      </w:r>
      <w:r>
        <w:rPr>
          <w:i/>
          <w:sz w:val="18"/>
        </w:rPr>
        <w:t>/</w:t>
      </w:r>
      <w:r>
        <w:rPr>
          <w:i/>
          <w:spacing w:val="-6"/>
          <w:sz w:val="18"/>
        </w:rPr>
        <w:t xml:space="preserve"> </w:t>
      </w:r>
      <w:r>
        <w:rPr>
          <w:i/>
          <w:sz w:val="18"/>
        </w:rPr>
        <w:t>China</w:t>
      </w:r>
      <w:r>
        <w:rPr>
          <w:i/>
          <w:spacing w:val="-6"/>
          <w:sz w:val="18"/>
        </w:rPr>
        <w:t xml:space="preserve"> </w:t>
      </w:r>
      <w:r>
        <w:rPr>
          <w:i/>
          <w:sz w:val="18"/>
        </w:rPr>
        <w:t>–</w:t>
      </w:r>
      <w:r>
        <w:rPr>
          <w:i/>
          <w:spacing w:val="-6"/>
          <w:sz w:val="18"/>
        </w:rPr>
        <w:t xml:space="preserve"> </w:t>
      </w:r>
      <w:r>
        <w:rPr>
          <w:i/>
          <w:sz w:val="18"/>
        </w:rPr>
        <w:t>HP‐SSST</w:t>
      </w:r>
      <w:r>
        <w:rPr>
          <w:i/>
          <w:spacing w:val="-7"/>
          <w:sz w:val="18"/>
        </w:rPr>
        <w:t xml:space="preserve"> </w:t>
      </w:r>
      <w:r>
        <w:rPr>
          <w:i/>
          <w:sz w:val="18"/>
        </w:rPr>
        <w:t>(EU)</w:t>
      </w:r>
      <w:r>
        <w:rPr>
          <w:sz w:val="18"/>
        </w:rPr>
        <w:t>,</w:t>
      </w:r>
      <w:r>
        <w:rPr>
          <w:spacing w:val="-7"/>
          <w:sz w:val="18"/>
        </w:rPr>
        <w:t xml:space="preserve"> </w:t>
      </w:r>
      <w:r>
        <w:rPr>
          <w:sz w:val="18"/>
        </w:rPr>
        <w:t>para.</w:t>
      </w:r>
      <w:r>
        <w:rPr>
          <w:spacing w:val="-6"/>
          <w:sz w:val="18"/>
        </w:rPr>
        <w:t xml:space="preserve"> </w:t>
      </w:r>
      <w:r>
        <w:rPr>
          <w:spacing w:val="-2"/>
          <w:sz w:val="18"/>
        </w:rPr>
        <w:t>5.97.</w:t>
      </w:r>
    </w:p>
    <w:p w14:paraId="51DE96AD" w14:textId="77777777" w:rsidR="0010369C" w:rsidRDefault="008E43AE">
      <w:pPr>
        <w:ind w:left="238"/>
        <w:rPr>
          <w:sz w:val="18"/>
        </w:rPr>
      </w:pPr>
      <w:r>
        <w:rPr>
          <w:sz w:val="18"/>
          <w:vertAlign w:val="superscript"/>
        </w:rPr>
        <w:t>1012</w:t>
      </w:r>
      <w:r>
        <w:rPr>
          <w:spacing w:val="-6"/>
          <w:sz w:val="18"/>
        </w:rPr>
        <w:t xml:space="preserve"> </w:t>
      </w:r>
      <w:r>
        <w:rPr>
          <w:sz w:val="18"/>
        </w:rPr>
        <w:t>Appellate</w:t>
      </w:r>
      <w:r>
        <w:rPr>
          <w:spacing w:val="-6"/>
          <w:sz w:val="18"/>
        </w:rPr>
        <w:t xml:space="preserve"> </w:t>
      </w:r>
      <w:r>
        <w:rPr>
          <w:sz w:val="18"/>
        </w:rPr>
        <w:t>Body</w:t>
      </w:r>
      <w:r>
        <w:rPr>
          <w:spacing w:val="-7"/>
          <w:sz w:val="18"/>
        </w:rPr>
        <w:t xml:space="preserve"> </w:t>
      </w:r>
      <w:r>
        <w:rPr>
          <w:sz w:val="18"/>
        </w:rPr>
        <w:t>Report,</w:t>
      </w:r>
      <w:r>
        <w:rPr>
          <w:spacing w:val="-6"/>
          <w:sz w:val="18"/>
        </w:rPr>
        <w:t xml:space="preserve"> </w:t>
      </w:r>
      <w:r>
        <w:rPr>
          <w:i/>
          <w:sz w:val="18"/>
        </w:rPr>
        <w:t>EC</w:t>
      </w:r>
      <w:r>
        <w:rPr>
          <w:i/>
          <w:spacing w:val="-7"/>
          <w:sz w:val="18"/>
        </w:rPr>
        <w:t xml:space="preserve"> </w:t>
      </w:r>
      <w:r>
        <w:rPr>
          <w:i/>
          <w:sz w:val="18"/>
        </w:rPr>
        <w:t>–</w:t>
      </w:r>
      <w:r>
        <w:rPr>
          <w:i/>
          <w:spacing w:val="-5"/>
          <w:sz w:val="18"/>
        </w:rPr>
        <w:t xml:space="preserve"> </w:t>
      </w:r>
      <w:r>
        <w:rPr>
          <w:i/>
          <w:sz w:val="18"/>
        </w:rPr>
        <w:t>Fasteners</w:t>
      </w:r>
      <w:r>
        <w:rPr>
          <w:i/>
          <w:spacing w:val="-6"/>
          <w:sz w:val="18"/>
        </w:rPr>
        <w:t xml:space="preserve"> </w:t>
      </w:r>
      <w:r>
        <w:rPr>
          <w:i/>
          <w:sz w:val="18"/>
        </w:rPr>
        <w:t>(China)</w:t>
      </w:r>
      <w:r>
        <w:rPr>
          <w:sz w:val="18"/>
        </w:rPr>
        <w:t>,</w:t>
      </w:r>
      <w:r>
        <w:rPr>
          <w:spacing w:val="-7"/>
          <w:sz w:val="18"/>
        </w:rPr>
        <w:t xml:space="preserve"> </w:t>
      </w:r>
      <w:r>
        <w:rPr>
          <w:sz w:val="18"/>
        </w:rPr>
        <w:t>para.</w:t>
      </w:r>
      <w:r>
        <w:rPr>
          <w:spacing w:val="-5"/>
          <w:sz w:val="18"/>
        </w:rPr>
        <w:t xml:space="preserve"> </w:t>
      </w:r>
      <w:r>
        <w:rPr>
          <w:spacing w:val="-4"/>
          <w:sz w:val="18"/>
        </w:rPr>
        <w:t>538.</w:t>
      </w:r>
    </w:p>
    <w:p w14:paraId="51DE96AE" w14:textId="77777777" w:rsidR="0010369C" w:rsidRDefault="0010369C">
      <w:pPr>
        <w:rPr>
          <w:sz w:val="18"/>
        </w:rPr>
        <w:sectPr w:rsidR="0010369C">
          <w:pgSz w:w="11910" w:h="16840"/>
          <w:pgMar w:top="880" w:right="800" w:bottom="980" w:left="1180" w:header="569" w:footer="788" w:gutter="0"/>
          <w:cols w:space="720"/>
        </w:sectPr>
      </w:pPr>
    </w:p>
    <w:p w14:paraId="51DE96AF" w14:textId="77777777" w:rsidR="0010369C" w:rsidRDefault="008E43AE">
      <w:pPr>
        <w:tabs>
          <w:tab w:val="left" w:pos="6425"/>
        </w:tabs>
        <w:ind w:left="238"/>
        <w:rPr>
          <w:sz w:val="20"/>
        </w:rPr>
      </w:pPr>
      <w:r>
        <w:rPr>
          <w:i/>
          <w:sz w:val="20"/>
        </w:rPr>
        <w:lastRenderedPageBreak/>
        <w:t>China</w:t>
      </w:r>
      <w:r>
        <w:rPr>
          <w:i/>
          <w:spacing w:val="-5"/>
          <w:sz w:val="20"/>
        </w:rPr>
        <w:t xml:space="preserve"> </w:t>
      </w:r>
      <w:r>
        <w:rPr>
          <w:i/>
          <w:sz w:val="20"/>
        </w:rPr>
        <w:t>–</w:t>
      </w:r>
      <w:r>
        <w:rPr>
          <w:i/>
          <w:spacing w:val="-5"/>
          <w:sz w:val="20"/>
        </w:rPr>
        <w:t xml:space="preserve"> </w:t>
      </w:r>
      <w:r>
        <w:rPr>
          <w:i/>
          <w:sz w:val="20"/>
        </w:rPr>
        <w:t>Anti‐Dumping</w:t>
      </w:r>
      <w:r>
        <w:rPr>
          <w:i/>
          <w:spacing w:val="-4"/>
          <w:sz w:val="20"/>
        </w:rPr>
        <w:t xml:space="preserve"> </w:t>
      </w:r>
      <w:r>
        <w:rPr>
          <w:i/>
          <w:sz w:val="20"/>
        </w:rPr>
        <w:t>and</w:t>
      </w:r>
      <w:r>
        <w:rPr>
          <w:i/>
          <w:spacing w:val="-5"/>
          <w:sz w:val="20"/>
        </w:rPr>
        <w:t xml:space="preserve"> </w:t>
      </w:r>
      <w:r>
        <w:rPr>
          <w:i/>
          <w:sz w:val="20"/>
        </w:rPr>
        <w:t>Countervailing</w:t>
      </w:r>
      <w:r>
        <w:rPr>
          <w:i/>
          <w:spacing w:val="-5"/>
          <w:sz w:val="20"/>
        </w:rPr>
        <w:t xml:space="preserve"> </w:t>
      </w:r>
      <w:r>
        <w:rPr>
          <w:i/>
          <w:sz w:val="20"/>
        </w:rPr>
        <w:t>Duty</w:t>
      </w:r>
      <w:r>
        <w:rPr>
          <w:i/>
          <w:spacing w:val="-4"/>
          <w:sz w:val="20"/>
        </w:rPr>
        <w:t xml:space="preserve"> </w:t>
      </w:r>
      <w:r>
        <w:rPr>
          <w:i/>
          <w:spacing w:val="-2"/>
          <w:sz w:val="20"/>
        </w:rPr>
        <w:t>Measures</w:t>
      </w:r>
      <w:r>
        <w:rPr>
          <w:i/>
          <w:sz w:val="20"/>
        </w:rPr>
        <w:tab/>
      </w:r>
      <w:r>
        <w:rPr>
          <w:sz w:val="20"/>
        </w:rPr>
        <w:t>Australia's</w:t>
      </w:r>
      <w:r>
        <w:rPr>
          <w:spacing w:val="-7"/>
          <w:sz w:val="20"/>
        </w:rPr>
        <w:t xml:space="preserve"> </w:t>
      </w:r>
      <w:r>
        <w:rPr>
          <w:sz w:val="20"/>
        </w:rPr>
        <w:t>First</w:t>
      </w:r>
      <w:r>
        <w:rPr>
          <w:spacing w:val="-2"/>
          <w:sz w:val="20"/>
        </w:rPr>
        <w:t xml:space="preserve"> </w:t>
      </w:r>
      <w:r>
        <w:rPr>
          <w:sz w:val="20"/>
        </w:rPr>
        <w:t>Written</w:t>
      </w:r>
      <w:r>
        <w:rPr>
          <w:spacing w:val="-2"/>
          <w:sz w:val="20"/>
        </w:rPr>
        <w:t xml:space="preserve"> Submission</w:t>
      </w:r>
    </w:p>
    <w:p w14:paraId="51DE96B0" w14:textId="77777777" w:rsidR="0010369C" w:rsidRDefault="008E43AE">
      <w:pPr>
        <w:tabs>
          <w:tab w:val="left" w:pos="8227"/>
        </w:tabs>
        <w:spacing w:before="1"/>
        <w:ind w:left="239"/>
        <w:rPr>
          <w:sz w:val="20"/>
        </w:rPr>
      </w:pPr>
      <w:r>
        <w:rPr>
          <w:i/>
          <w:sz w:val="20"/>
        </w:rPr>
        <w:t>on</w:t>
      </w:r>
      <w:r>
        <w:rPr>
          <w:i/>
          <w:spacing w:val="-1"/>
          <w:sz w:val="20"/>
        </w:rPr>
        <w:t xml:space="preserve"> </w:t>
      </w:r>
      <w:r>
        <w:rPr>
          <w:i/>
          <w:sz w:val="20"/>
        </w:rPr>
        <w:t>Wine</w:t>
      </w:r>
      <w:r>
        <w:rPr>
          <w:i/>
          <w:spacing w:val="-1"/>
          <w:sz w:val="20"/>
        </w:rPr>
        <w:t xml:space="preserve"> </w:t>
      </w:r>
      <w:r>
        <w:rPr>
          <w:i/>
          <w:sz w:val="20"/>
        </w:rPr>
        <w:t>from</w:t>
      </w:r>
      <w:r>
        <w:rPr>
          <w:i/>
          <w:spacing w:val="-3"/>
          <w:sz w:val="20"/>
        </w:rPr>
        <w:t xml:space="preserve"> </w:t>
      </w:r>
      <w:r>
        <w:rPr>
          <w:i/>
          <w:sz w:val="20"/>
        </w:rPr>
        <w:t>Australia</w:t>
      </w:r>
      <w:r>
        <w:rPr>
          <w:i/>
          <w:spacing w:val="-1"/>
          <w:sz w:val="20"/>
        </w:rPr>
        <w:t xml:space="preserve"> </w:t>
      </w:r>
      <w:r>
        <w:rPr>
          <w:spacing w:val="-2"/>
          <w:sz w:val="20"/>
        </w:rPr>
        <w:t>(DS602)</w:t>
      </w:r>
      <w:r>
        <w:rPr>
          <w:sz w:val="20"/>
        </w:rPr>
        <w:tab/>
        <w:t>29</w:t>
      </w:r>
      <w:r>
        <w:rPr>
          <w:spacing w:val="-1"/>
          <w:sz w:val="20"/>
        </w:rPr>
        <w:t xml:space="preserve"> </w:t>
      </w:r>
      <w:r>
        <w:rPr>
          <w:sz w:val="20"/>
        </w:rPr>
        <w:t>April</w:t>
      </w:r>
      <w:r>
        <w:rPr>
          <w:spacing w:val="-2"/>
          <w:sz w:val="20"/>
        </w:rPr>
        <w:t xml:space="preserve"> </w:t>
      </w:r>
      <w:r>
        <w:rPr>
          <w:spacing w:val="-4"/>
          <w:sz w:val="20"/>
        </w:rPr>
        <w:t>2022</w:t>
      </w:r>
    </w:p>
    <w:p w14:paraId="51DE96B1" w14:textId="77777777" w:rsidR="0010369C" w:rsidRDefault="008E43AE">
      <w:pPr>
        <w:pStyle w:val="BodyText"/>
        <w:spacing w:before="34" w:line="360" w:lineRule="auto"/>
        <w:ind w:left="238" w:right="611" w:hanging="1"/>
      </w:pPr>
      <w:r>
        <w:t>concerns,</w:t>
      </w:r>
      <w:r>
        <w:rPr>
          <w:spacing w:val="-6"/>
        </w:rPr>
        <w:t xml:space="preserve"> </w:t>
      </w:r>
      <w:r>
        <w:t>including</w:t>
      </w:r>
      <w:r>
        <w:rPr>
          <w:spacing w:val="-5"/>
        </w:rPr>
        <w:t xml:space="preserve"> </w:t>
      </w:r>
      <w:r>
        <w:t>the</w:t>
      </w:r>
      <w:r>
        <w:rPr>
          <w:spacing w:val="-6"/>
        </w:rPr>
        <w:t xml:space="preserve"> </w:t>
      </w:r>
      <w:r>
        <w:t>rights</w:t>
      </w:r>
      <w:r>
        <w:rPr>
          <w:spacing w:val="-7"/>
        </w:rPr>
        <w:t xml:space="preserve"> </w:t>
      </w:r>
      <w:r>
        <w:t>of</w:t>
      </w:r>
      <w:r>
        <w:rPr>
          <w:spacing w:val="-6"/>
        </w:rPr>
        <w:t xml:space="preserve"> </w:t>
      </w:r>
      <w:r>
        <w:t>interested</w:t>
      </w:r>
      <w:r>
        <w:rPr>
          <w:spacing w:val="-6"/>
        </w:rPr>
        <w:t xml:space="preserve"> </w:t>
      </w:r>
      <w:r>
        <w:t>parties</w:t>
      </w:r>
      <w:r>
        <w:rPr>
          <w:spacing w:val="-6"/>
        </w:rPr>
        <w:t xml:space="preserve"> </w:t>
      </w:r>
      <w:r>
        <w:t>to</w:t>
      </w:r>
      <w:r>
        <w:rPr>
          <w:spacing w:val="-6"/>
        </w:rPr>
        <w:t xml:space="preserve"> </w:t>
      </w:r>
      <w:r>
        <w:t>see</w:t>
      </w:r>
      <w:r>
        <w:rPr>
          <w:spacing w:val="-6"/>
        </w:rPr>
        <w:t xml:space="preserve"> </w:t>
      </w:r>
      <w:r>
        <w:t>the</w:t>
      </w:r>
      <w:r>
        <w:rPr>
          <w:spacing w:val="-6"/>
        </w:rPr>
        <w:t xml:space="preserve"> </w:t>
      </w:r>
      <w:r>
        <w:t>evidence</w:t>
      </w:r>
      <w:r>
        <w:rPr>
          <w:spacing w:val="-6"/>
        </w:rPr>
        <w:t xml:space="preserve"> </w:t>
      </w:r>
      <w:r>
        <w:t>submitted</w:t>
      </w:r>
      <w:r>
        <w:rPr>
          <w:spacing w:val="-6"/>
        </w:rPr>
        <w:t xml:space="preserve"> </w:t>
      </w:r>
      <w:r>
        <w:t>or</w:t>
      </w:r>
      <w:r>
        <w:rPr>
          <w:spacing w:val="-7"/>
        </w:rPr>
        <w:t xml:space="preserve"> </w:t>
      </w:r>
      <w:r>
        <w:t>gathered in</w:t>
      </w:r>
      <w:r>
        <w:rPr>
          <w:spacing w:val="-14"/>
        </w:rPr>
        <w:t xml:space="preserve"> </w:t>
      </w:r>
      <w:r>
        <w:t>an</w:t>
      </w:r>
      <w:r>
        <w:rPr>
          <w:spacing w:val="-13"/>
        </w:rPr>
        <w:t xml:space="preserve"> </w:t>
      </w:r>
      <w:r>
        <w:t>investigation</w:t>
      </w:r>
      <w:r>
        <w:rPr>
          <w:spacing w:val="-12"/>
        </w:rPr>
        <w:t xml:space="preserve"> </w:t>
      </w:r>
      <w:r>
        <w:t>and</w:t>
      </w:r>
      <w:r>
        <w:rPr>
          <w:spacing w:val="-13"/>
        </w:rPr>
        <w:t xml:space="preserve"> </w:t>
      </w:r>
      <w:r>
        <w:t>to</w:t>
      </w:r>
      <w:r>
        <w:rPr>
          <w:spacing w:val="-13"/>
        </w:rPr>
        <w:t xml:space="preserve"> </w:t>
      </w:r>
      <w:r>
        <w:t>have</w:t>
      </w:r>
      <w:r>
        <w:rPr>
          <w:spacing w:val="-12"/>
        </w:rPr>
        <w:t xml:space="preserve"> </w:t>
      </w:r>
      <w:r>
        <w:t>a</w:t>
      </w:r>
      <w:r>
        <w:rPr>
          <w:spacing w:val="-13"/>
        </w:rPr>
        <w:t xml:space="preserve"> </w:t>
      </w:r>
      <w:r>
        <w:t>meaningful</w:t>
      </w:r>
      <w:r>
        <w:rPr>
          <w:spacing w:val="-14"/>
        </w:rPr>
        <w:t xml:space="preserve"> </w:t>
      </w:r>
      <w:r>
        <w:t>opportunity</w:t>
      </w:r>
      <w:r>
        <w:rPr>
          <w:spacing w:val="-11"/>
        </w:rPr>
        <w:t xml:space="preserve"> </w:t>
      </w:r>
      <w:r>
        <w:t>for</w:t>
      </w:r>
      <w:r>
        <w:rPr>
          <w:spacing w:val="-14"/>
        </w:rPr>
        <w:t xml:space="preserve"> </w:t>
      </w:r>
      <w:r>
        <w:t>the</w:t>
      </w:r>
      <w:r>
        <w:rPr>
          <w:spacing w:val="-12"/>
        </w:rPr>
        <w:t xml:space="preserve"> </w:t>
      </w:r>
      <w:r>
        <w:t>defence</w:t>
      </w:r>
      <w:r>
        <w:rPr>
          <w:spacing w:val="-13"/>
        </w:rPr>
        <w:t xml:space="preserve"> </w:t>
      </w:r>
      <w:r>
        <w:t>of</w:t>
      </w:r>
      <w:r>
        <w:rPr>
          <w:spacing w:val="-14"/>
        </w:rPr>
        <w:t xml:space="preserve"> </w:t>
      </w:r>
      <w:r>
        <w:t>their</w:t>
      </w:r>
      <w:r>
        <w:rPr>
          <w:spacing w:val="-12"/>
        </w:rPr>
        <w:t xml:space="preserve"> </w:t>
      </w:r>
      <w:r>
        <w:rPr>
          <w:spacing w:val="-2"/>
        </w:rPr>
        <w:t>interests.</w:t>
      </w:r>
      <w:r>
        <w:rPr>
          <w:spacing w:val="-2"/>
          <w:vertAlign w:val="superscript"/>
        </w:rPr>
        <w:t>1013</w:t>
      </w:r>
    </w:p>
    <w:p w14:paraId="51DE96B2" w14:textId="77777777" w:rsidR="0010369C" w:rsidRDefault="0010369C">
      <w:pPr>
        <w:pStyle w:val="BodyText"/>
        <w:spacing w:before="10"/>
        <w:rPr>
          <w:sz w:val="8"/>
        </w:rPr>
      </w:pPr>
    </w:p>
    <w:p w14:paraId="51DE96B3" w14:textId="77777777" w:rsidR="0010369C" w:rsidRDefault="008E43AE">
      <w:pPr>
        <w:pStyle w:val="BodyText"/>
        <w:spacing w:before="52" w:line="360" w:lineRule="auto"/>
        <w:ind w:left="237" w:right="612" w:firstLine="852"/>
        <w:jc w:val="both"/>
      </w:pPr>
      <w:r>
        <w:rPr>
          <w:noProof/>
        </w:rPr>
        <w:drawing>
          <wp:anchor distT="0" distB="0" distL="0" distR="0" simplePos="0" relativeHeight="251447808" behindDoc="1" locked="0" layoutInCell="1" allowOverlap="1" wp14:anchorId="51DEA71B" wp14:editId="51DEA71C">
            <wp:simplePos x="0" y="0"/>
            <wp:positionH relativeFrom="page">
              <wp:posOffset>902208</wp:posOffset>
            </wp:positionH>
            <wp:positionV relativeFrom="paragraph">
              <wp:posOffset>76785</wp:posOffset>
            </wp:positionV>
            <wp:extent cx="262127" cy="106679"/>
            <wp:effectExtent l="0" t="0" r="0" b="0"/>
            <wp:wrapNone/>
            <wp:docPr id="1659" name="image8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 name="image857.png"/>
                    <pic:cNvPicPr/>
                  </pic:nvPicPr>
                  <pic:blipFill>
                    <a:blip r:embed="rId1116" cstate="print"/>
                    <a:stretch>
                      <a:fillRect/>
                    </a:stretch>
                  </pic:blipFill>
                  <pic:spPr>
                    <a:xfrm>
                      <a:off x="0" y="0"/>
                      <a:ext cx="262127" cy="106679"/>
                    </a:xfrm>
                    <a:prstGeom prst="rect">
                      <a:avLst/>
                    </a:prstGeom>
                  </pic:spPr>
                </pic:pic>
              </a:graphicData>
            </a:graphic>
          </wp:anchor>
        </w:drawing>
      </w:r>
      <w:r>
        <w:t>There is no evidence on the record that MOFCOM conducted any assessment of whether</w:t>
      </w:r>
      <w:r>
        <w:rPr>
          <w:spacing w:val="-14"/>
        </w:rPr>
        <w:t xml:space="preserve"> </w:t>
      </w:r>
      <w:r>
        <w:t>the</w:t>
      </w:r>
      <w:r>
        <w:rPr>
          <w:spacing w:val="-14"/>
        </w:rPr>
        <w:t xml:space="preserve"> </w:t>
      </w:r>
      <w:r>
        <w:t>potential,</w:t>
      </w:r>
      <w:r>
        <w:rPr>
          <w:spacing w:val="-13"/>
        </w:rPr>
        <w:t xml:space="preserve"> </w:t>
      </w:r>
      <w:r>
        <w:t>unspecified</w:t>
      </w:r>
      <w:r>
        <w:rPr>
          <w:spacing w:val="-14"/>
        </w:rPr>
        <w:t xml:space="preserve"> </w:t>
      </w:r>
      <w:r>
        <w:t>risk</w:t>
      </w:r>
      <w:r>
        <w:rPr>
          <w:spacing w:val="-13"/>
        </w:rPr>
        <w:t xml:space="preserve"> </w:t>
      </w:r>
      <w:r>
        <w:t>described</w:t>
      </w:r>
      <w:r>
        <w:rPr>
          <w:spacing w:val="-14"/>
        </w:rPr>
        <w:t xml:space="preserve"> </w:t>
      </w:r>
      <w:r>
        <w:t>by</w:t>
      </w:r>
      <w:r>
        <w:rPr>
          <w:spacing w:val="-13"/>
        </w:rPr>
        <w:t xml:space="preserve"> </w:t>
      </w:r>
      <w:r>
        <w:t>CADA</w:t>
      </w:r>
      <w:r>
        <w:rPr>
          <w:spacing w:val="-14"/>
        </w:rPr>
        <w:t xml:space="preserve"> </w:t>
      </w:r>
      <w:r>
        <w:t>outweighed</w:t>
      </w:r>
      <w:r>
        <w:rPr>
          <w:spacing w:val="-14"/>
        </w:rPr>
        <w:t xml:space="preserve"> </w:t>
      </w:r>
      <w:r>
        <w:t>the</w:t>
      </w:r>
      <w:r>
        <w:rPr>
          <w:spacing w:val="-13"/>
        </w:rPr>
        <w:t xml:space="preserve"> </w:t>
      </w:r>
      <w:r>
        <w:t>detrimental</w:t>
      </w:r>
      <w:r>
        <w:rPr>
          <w:spacing w:val="-14"/>
        </w:rPr>
        <w:t xml:space="preserve"> </w:t>
      </w:r>
      <w:r>
        <w:t xml:space="preserve">impact that withholding the entirety of Annex 3 would have on the rights </w:t>
      </w:r>
      <w:r>
        <w:t>of interested parties. Australia submits that an "unbiased and objective" investigating authority could not have found</w:t>
      </w:r>
      <w:r>
        <w:rPr>
          <w:spacing w:val="-2"/>
        </w:rPr>
        <w:t xml:space="preserve"> </w:t>
      </w:r>
      <w:r>
        <w:t>that</w:t>
      </w:r>
      <w:r>
        <w:rPr>
          <w:spacing w:val="-3"/>
        </w:rPr>
        <w:t xml:space="preserve"> </w:t>
      </w:r>
      <w:r>
        <w:t>CADA</w:t>
      </w:r>
      <w:r>
        <w:rPr>
          <w:spacing w:val="-2"/>
        </w:rPr>
        <w:t xml:space="preserve"> </w:t>
      </w:r>
      <w:r>
        <w:t>had</w:t>
      </w:r>
      <w:r>
        <w:rPr>
          <w:spacing w:val="-3"/>
        </w:rPr>
        <w:t xml:space="preserve"> </w:t>
      </w:r>
      <w:r>
        <w:t>shown</w:t>
      </w:r>
      <w:r>
        <w:rPr>
          <w:spacing w:val="-3"/>
        </w:rPr>
        <w:t xml:space="preserve"> </w:t>
      </w:r>
      <w:r>
        <w:t>"good</w:t>
      </w:r>
      <w:r>
        <w:rPr>
          <w:spacing w:val="-4"/>
        </w:rPr>
        <w:t xml:space="preserve"> </w:t>
      </w:r>
      <w:r>
        <w:t>cause"</w:t>
      </w:r>
      <w:r>
        <w:rPr>
          <w:spacing w:val="-3"/>
        </w:rPr>
        <w:t xml:space="preserve"> </w:t>
      </w:r>
      <w:r>
        <w:t>to</w:t>
      </w:r>
      <w:r>
        <w:rPr>
          <w:spacing w:val="-2"/>
        </w:rPr>
        <w:t xml:space="preserve"> </w:t>
      </w:r>
      <w:r>
        <w:t>treat</w:t>
      </w:r>
      <w:r>
        <w:rPr>
          <w:spacing w:val="-3"/>
        </w:rPr>
        <w:t xml:space="preserve"> </w:t>
      </w:r>
      <w:r>
        <w:t>the</w:t>
      </w:r>
      <w:r>
        <w:rPr>
          <w:spacing w:val="-2"/>
        </w:rPr>
        <w:t xml:space="preserve"> </w:t>
      </w:r>
      <w:r>
        <w:t>entirety</w:t>
      </w:r>
      <w:r>
        <w:rPr>
          <w:spacing w:val="-3"/>
        </w:rPr>
        <w:t xml:space="preserve"> </w:t>
      </w:r>
      <w:r>
        <w:t>of</w:t>
      </w:r>
      <w:r>
        <w:rPr>
          <w:spacing w:val="-3"/>
        </w:rPr>
        <w:t xml:space="preserve"> </w:t>
      </w:r>
      <w:r>
        <w:t>Annex</w:t>
      </w:r>
      <w:r>
        <w:rPr>
          <w:spacing w:val="-4"/>
        </w:rPr>
        <w:t xml:space="preserve"> </w:t>
      </w:r>
      <w:r>
        <w:t>3</w:t>
      </w:r>
      <w:r>
        <w:rPr>
          <w:spacing w:val="-3"/>
        </w:rPr>
        <w:t xml:space="preserve"> </w:t>
      </w:r>
      <w:r>
        <w:t>as</w:t>
      </w:r>
      <w:r>
        <w:rPr>
          <w:spacing w:val="-3"/>
        </w:rPr>
        <w:t xml:space="preserve"> </w:t>
      </w:r>
      <w:r>
        <w:t>confidential.</w:t>
      </w:r>
      <w:r>
        <w:rPr>
          <w:vertAlign w:val="superscript"/>
        </w:rPr>
        <w:t>1014</w:t>
      </w:r>
      <w:r>
        <w:t xml:space="preserve"> On this basis, MOFCOM acted inconsistently with Ar</w:t>
      </w:r>
      <w:r>
        <w:t>ticle 6.5.</w:t>
      </w:r>
    </w:p>
    <w:p w14:paraId="51DE96B4" w14:textId="77777777" w:rsidR="0010369C" w:rsidRDefault="0010369C">
      <w:pPr>
        <w:pStyle w:val="BodyText"/>
        <w:spacing w:before="11"/>
        <w:rPr>
          <w:sz w:val="8"/>
        </w:rPr>
      </w:pPr>
    </w:p>
    <w:p w14:paraId="51DE96B5" w14:textId="77777777" w:rsidR="0010369C" w:rsidRDefault="008E43AE">
      <w:pPr>
        <w:pStyle w:val="BodyText"/>
        <w:spacing w:before="52" w:line="360" w:lineRule="auto"/>
        <w:ind w:left="237" w:right="614" w:firstLine="851"/>
        <w:jc w:val="both"/>
      </w:pPr>
      <w:r>
        <w:rPr>
          <w:noProof/>
        </w:rPr>
        <w:drawing>
          <wp:anchor distT="0" distB="0" distL="0" distR="0" simplePos="0" relativeHeight="251448832" behindDoc="1" locked="0" layoutInCell="1" allowOverlap="1" wp14:anchorId="51DEA71D" wp14:editId="51DEA71E">
            <wp:simplePos x="0" y="0"/>
            <wp:positionH relativeFrom="page">
              <wp:posOffset>902208</wp:posOffset>
            </wp:positionH>
            <wp:positionV relativeFrom="paragraph">
              <wp:posOffset>80595</wp:posOffset>
            </wp:positionV>
            <wp:extent cx="262127" cy="103631"/>
            <wp:effectExtent l="0" t="0" r="0" b="0"/>
            <wp:wrapNone/>
            <wp:docPr id="1661" name="image8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 name="image858.png"/>
                    <pic:cNvPicPr/>
                  </pic:nvPicPr>
                  <pic:blipFill>
                    <a:blip r:embed="rId1117" cstate="print"/>
                    <a:stretch>
                      <a:fillRect/>
                    </a:stretch>
                  </pic:blipFill>
                  <pic:spPr>
                    <a:xfrm>
                      <a:off x="0" y="0"/>
                      <a:ext cx="262127" cy="103631"/>
                    </a:xfrm>
                    <a:prstGeom prst="rect">
                      <a:avLst/>
                    </a:prstGeom>
                  </pic:spPr>
                </pic:pic>
              </a:graphicData>
            </a:graphic>
          </wp:anchor>
        </w:drawing>
      </w:r>
      <w:r>
        <w:t xml:space="preserve">MOFCOM also acted inconsistently with Article 6.5 by failing to require CADA to furnish an adequate non‐confidential summary of the information treated as confidential throughout the entirety of Annex 3. CADA's non‐confidential summary was as </w:t>
      </w:r>
      <w:r>
        <w:t>follows:</w:t>
      </w:r>
    </w:p>
    <w:p w14:paraId="51DE96B6" w14:textId="77777777" w:rsidR="0010369C" w:rsidRDefault="008E43AE">
      <w:pPr>
        <w:spacing w:before="161" w:line="276" w:lineRule="auto"/>
        <w:ind w:left="1089" w:right="613"/>
        <w:jc w:val="both"/>
      </w:pPr>
      <w:r>
        <w:t xml:space="preserve">According to the relevant terms of the Articles of Association of China Alcoholic Drinks Association and its annual work arrangements, the applicant held a special discussion meeting to exchange information and summarize the changes in the import </w:t>
      </w:r>
      <w:r>
        <w:t>of foreign wine products in</w:t>
      </w:r>
      <w:r>
        <w:rPr>
          <w:spacing w:val="-1"/>
        </w:rPr>
        <w:t xml:space="preserve"> </w:t>
      </w:r>
      <w:r>
        <w:t>recent</w:t>
      </w:r>
      <w:r>
        <w:rPr>
          <w:spacing w:val="-1"/>
        </w:rPr>
        <w:t xml:space="preserve"> </w:t>
      </w:r>
      <w:r>
        <w:t>years and</w:t>
      </w:r>
      <w:r>
        <w:rPr>
          <w:spacing w:val="-1"/>
        </w:rPr>
        <w:t xml:space="preserve"> </w:t>
      </w:r>
      <w:r>
        <w:t>the</w:t>
      </w:r>
      <w:r>
        <w:rPr>
          <w:spacing w:val="-1"/>
        </w:rPr>
        <w:t xml:space="preserve"> </w:t>
      </w:r>
      <w:r>
        <w:t>impact</w:t>
      </w:r>
      <w:r>
        <w:rPr>
          <w:spacing w:val="-1"/>
        </w:rPr>
        <w:t xml:space="preserve"> </w:t>
      </w:r>
      <w:r>
        <w:t>of imports on</w:t>
      </w:r>
      <w:r>
        <w:rPr>
          <w:spacing w:val="-1"/>
        </w:rPr>
        <w:t xml:space="preserve"> </w:t>
      </w:r>
      <w:r>
        <w:t>the domestic industry. After the</w:t>
      </w:r>
      <w:r>
        <w:rPr>
          <w:spacing w:val="-1"/>
        </w:rPr>
        <w:t xml:space="preserve"> </w:t>
      </w:r>
      <w:r>
        <w:t>joint discussions and adoption of resolutions of the participating entities, it was agreed that the China Alcoholic Drinks Association shall be the applicant on behalf of the domestic wine industry to file an anti‐dumping investigation application for impo</w:t>
      </w:r>
      <w:r>
        <w:t>rted wine products originating in Australia to the Ministry of Commerce to protect the legitimate rights and interests of the domestic industry.</w:t>
      </w:r>
      <w:r>
        <w:rPr>
          <w:vertAlign w:val="superscript"/>
        </w:rPr>
        <w:t>1015</w:t>
      </w:r>
    </w:p>
    <w:p w14:paraId="51DE96B7" w14:textId="77777777" w:rsidR="0010369C" w:rsidRDefault="0010369C">
      <w:pPr>
        <w:pStyle w:val="BodyText"/>
        <w:spacing w:before="3"/>
        <w:rPr>
          <w:sz w:val="15"/>
        </w:rPr>
      </w:pPr>
    </w:p>
    <w:p w14:paraId="51DE96B8" w14:textId="77777777" w:rsidR="0010369C" w:rsidRDefault="008E43AE">
      <w:pPr>
        <w:pStyle w:val="BodyText"/>
        <w:spacing w:before="52" w:line="360" w:lineRule="auto"/>
        <w:ind w:left="238" w:right="612" w:firstLine="851"/>
        <w:jc w:val="both"/>
      </w:pPr>
      <w:r>
        <w:rPr>
          <w:noProof/>
        </w:rPr>
        <w:drawing>
          <wp:anchor distT="0" distB="0" distL="0" distR="0" simplePos="0" relativeHeight="251449856" behindDoc="1" locked="0" layoutInCell="1" allowOverlap="1" wp14:anchorId="51DEA71F" wp14:editId="51DEA720">
            <wp:simplePos x="0" y="0"/>
            <wp:positionH relativeFrom="page">
              <wp:posOffset>902208</wp:posOffset>
            </wp:positionH>
            <wp:positionV relativeFrom="paragraph">
              <wp:posOffset>80595</wp:posOffset>
            </wp:positionV>
            <wp:extent cx="262127" cy="103631"/>
            <wp:effectExtent l="0" t="0" r="0" b="0"/>
            <wp:wrapNone/>
            <wp:docPr id="1663" name="image8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 name="image859.png"/>
                    <pic:cNvPicPr/>
                  </pic:nvPicPr>
                  <pic:blipFill>
                    <a:blip r:embed="rId1118" cstate="print"/>
                    <a:stretch>
                      <a:fillRect/>
                    </a:stretch>
                  </pic:blipFill>
                  <pic:spPr>
                    <a:xfrm>
                      <a:off x="0" y="0"/>
                      <a:ext cx="262127" cy="103631"/>
                    </a:xfrm>
                    <a:prstGeom prst="rect">
                      <a:avLst/>
                    </a:prstGeom>
                  </pic:spPr>
                </pic:pic>
              </a:graphicData>
            </a:graphic>
          </wp:anchor>
        </w:drawing>
      </w:r>
      <w:r>
        <w:t>While this description indicated that Annex 3 contained information that was key to the initiation of the investigation, it provided no summary of that information, let alone "in sufficient detail to permit a reasonable understanding of the substance of th</w:t>
      </w:r>
      <w:r>
        <w:t>e information". Disclosure of that information, in some meaningful degree, to the interested parties was essential to their ability to defend their interests.</w:t>
      </w:r>
    </w:p>
    <w:p w14:paraId="51DE96B9" w14:textId="77777777" w:rsidR="0010369C" w:rsidRDefault="0010369C">
      <w:pPr>
        <w:pStyle w:val="BodyText"/>
        <w:spacing w:before="12"/>
        <w:rPr>
          <w:sz w:val="8"/>
        </w:rPr>
      </w:pPr>
    </w:p>
    <w:p w14:paraId="51DE96BA" w14:textId="77777777" w:rsidR="0010369C" w:rsidRDefault="008E43AE">
      <w:pPr>
        <w:pStyle w:val="BodyText"/>
        <w:spacing w:before="51" w:line="360" w:lineRule="auto"/>
        <w:ind w:left="238" w:firstLine="851"/>
      </w:pPr>
      <w:r>
        <w:rPr>
          <w:noProof/>
        </w:rPr>
        <w:drawing>
          <wp:anchor distT="0" distB="0" distL="0" distR="0" simplePos="0" relativeHeight="251450880" behindDoc="1" locked="0" layoutInCell="1" allowOverlap="1" wp14:anchorId="51DEA721" wp14:editId="51DEA722">
            <wp:simplePos x="0" y="0"/>
            <wp:positionH relativeFrom="page">
              <wp:posOffset>902208</wp:posOffset>
            </wp:positionH>
            <wp:positionV relativeFrom="paragraph">
              <wp:posOffset>76151</wp:posOffset>
            </wp:positionV>
            <wp:extent cx="262127" cy="106679"/>
            <wp:effectExtent l="0" t="0" r="0" b="0"/>
            <wp:wrapNone/>
            <wp:docPr id="1665" name="image8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 name="image860.png"/>
                    <pic:cNvPicPr/>
                  </pic:nvPicPr>
                  <pic:blipFill>
                    <a:blip r:embed="rId1119" cstate="print"/>
                    <a:stretch>
                      <a:fillRect/>
                    </a:stretch>
                  </pic:blipFill>
                  <pic:spPr>
                    <a:xfrm>
                      <a:off x="0" y="0"/>
                      <a:ext cx="262127" cy="106679"/>
                    </a:xfrm>
                    <a:prstGeom prst="rect">
                      <a:avLst/>
                    </a:prstGeom>
                  </pic:spPr>
                </pic:pic>
              </a:graphicData>
            </a:graphic>
          </wp:anchor>
        </w:drawing>
      </w:r>
      <w:r>
        <w:t>For</w:t>
      </w:r>
      <w:r>
        <w:rPr>
          <w:spacing w:val="40"/>
        </w:rPr>
        <w:t xml:space="preserve"> </w:t>
      </w:r>
      <w:r>
        <w:t>example,</w:t>
      </w:r>
      <w:r>
        <w:rPr>
          <w:spacing w:val="40"/>
        </w:rPr>
        <w:t xml:space="preserve"> </w:t>
      </w:r>
      <w:r>
        <w:t>Annex</w:t>
      </w:r>
      <w:r>
        <w:rPr>
          <w:spacing w:val="40"/>
        </w:rPr>
        <w:t xml:space="preserve"> </w:t>
      </w:r>
      <w:r>
        <w:t>3</w:t>
      </w:r>
      <w:r>
        <w:rPr>
          <w:spacing w:val="40"/>
        </w:rPr>
        <w:t xml:space="preserve"> </w:t>
      </w:r>
      <w:r>
        <w:t>appeared</w:t>
      </w:r>
      <w:r>
        <w:rPr>
          <w:spacing w:val="40"/>
        </w:rPr>
        <w:t xml:space="preserve"> </w:t>
      </w:r>
      <w:r>
        <w:t>to</w:t>
      </w:r>
      <w:r>
        <w:rPr>
          <w:spacing w:val="40"/>
        </w:rPr>
        <w:t xml:space="preserve"> </w:t>
      </w:r>
      <w:r>
        <w:t>contain</w:t>
      </w:r>
      <w:r>
        <w:rPr>
          <w:spacing w:val="40"/>
        </w:rPr>
        <w:t xml:space="preserve"> </w:t>
      </w:r>
      <w:r>
        <w:t>key</w:t>
      </w:r>
      <w:r>
        <w:rPr>
          <w:spacing w:val="40"/>
        </w:rPr>
        <w:t xml:space="preserve"> </w:t>
      </w:r>
      <w:r>
        <w:t>information</w:t>
      </w:r>
      <w:r>
        <w:rPr>
          <w:spacing w:val="40"/>
        </w:rPr>
        <w:t xml:space="preserve"> </w:t>
      </w:r>
      <w:r>
        <w:t>concerning</w:t>
      </w:r>
      <w:r>
        <w:rPr>
          <w:spacing w:val="40"/>
        </w:rPr>
        <w:t xml:space="preserve"> </w:t>
      </w:r>
      <w:r>
        <w:t>CADA's standing</w:t>
      </w:r>
      <w:r>
        <w:rPr>
          <w:spacing w:val="-10"/>
        </w:rPr>
        <w:t xml:space="preserve"> </w:t>
      </w:r>
      <w:r>
        <w:t>to</w:t>
      </w:r>
      <w:r>
        <w:rPr>
          <w:spacing w:val="-7"/>
        </w:rPr>
        <w:t xml:space="preserve"> </w:t>
      </w:r>
      <w:r>
        <w:t>bring</w:t>
      </w:r>
      <w:r>
        <w:rPr>
          <w:spacing w:val="-9"/>
        </w:rPr>
        <w:t xml:space="preserve"> </w:t>
      </w:r>
      <w:r>
        <w:t>an</w:t>
      </w:r>
      <w:r>
        <w:rPr>
          <w:spacing w:val="-9"/>
        </w:rPr>
        <w:t xml:space="preserve"> </w:t>
      </w:r>
      <w:r>
        <w:t>application</w:t>
      </w:r>
      <w:r>
        <w:rPr>
          <w:spacing w:val="-9"/>
        </w:rPr>
        <w:t xml:space="preserve"> </w:t>
      </w:r>
      <w:r>
        <w:t>on</w:t>
      </w:r>
      <w:r>
        <w:rPr>
          <w:spacing w:val="-9"/>
        </w:rPr>
        <w:t xml:space="preserve"> </w:t>
      </w:r>
      <w:r>
        <w:t>behalf</w:t>
      </w:r>
      <w:r>
        <w:rPr>
          <w:spacing w:val="-8"/>
        </w:rPr>
        <w:t xml:space="preserve"> </w:t>
      </w:r>
      <w:r>
        <w:t>of</w:t>
      </w:r>
      <w:r>
        <w:rPr>
          <w:spacing w:val="-9"/>
        </w:rPr>
        <w:t xml:space="preserve"> </w:t>
      </w:r>
      <w:r>
        <w:t>the</w:t>
      </w:r>
      <w:r>
        <w:rPr>
          <w:spacing w:val="-9"/>
        </w:rPr>
        <w:t xml:space="preserve"> </w:t>
      </w:r>
      <w:r>
        <w:t>domestic</w:t>
      </w:r>
      <w:r>
        <w:rPr>
          <w:spacing w:val="-7"/>
        </w:rPr>
        <w:t xml:space="preserve"> </w:t>
      </w:r>
      <w:r>
        <w:t>industry</w:t>
      </w:r>
      <w:r>
        <w:rPr>
          <w:spacing w:val="-8"/>
        </w:rPr>
        <w:t xml:space="preserve"> </w:t>
      </w:r>
      <w:r>
        <w:t>in</w:t>
      </w:r>
      <w:r>
        <w:rPr>
          <w:spacing w:val="-9"/>
        </w:rPr>
        <w:t xml:space="preserve"> </w:t>
      </w:r>
      <w:r>
        <w:t>accordance</w:t>
      </w:r>
      <w:r>
        <w:rPr>
          <w:spacing w:val="-8"/>
        </w:rPr>
        <w:t xml:space="preserve"> </w:t>
      </w:r>
      <w:r>
        <w:t>with</w:t>
      </w:r>
      <w:r>
        <w:rPr>
          <w:spacing w:val="-9"/>
        </w:rPr>
        <w:t xml:space="preserve"> </w:t>
      </w:r>
      <w:r>
        <w:rPr>
          <w:spacing w:val="-2"/>
        </w:rPr>
        <w:t>Article</w:t>
      </w:r>
    </w:p>
    <w:p w14:paraId="51DE96BB" w14:textId="77777777" w:rsidR="0010369C" w:rsidRDefault="008E43AE">
      <w:pPr>
        <w:pStyle w:val="BodyText"/>
        <w:spacing w:line="360" w:lineRule="auto"/>
        <w:ind w:left="237" w:right="611"/>
      </w:pPr>
      <w:r>
        <w:t>5.4</w:t>
      </w:r>
      <w:r>
        <w:rPr>
          <w:spacing w:val="-1"/>
        </w:rPr>
        <w:t xml:space="preserve"> </w:t>
      </w:r>
      <w:r>
        <w:t>of the Anti‐Dumping Agreement.</w:t>
      </w:r>
      <w:r>
        <w:rPr>
          <w:spacing w:val="-2"/>
        </w:rPr>
        <w:t xml:space="preserve"> </w:t>
      </w:r>
      <w:r>
        <w:t>While CADA's summary referred</w:t>
      </w:r>
      <w:r>
        <w:rPr>
          <w:spacing w:val="-1"/>
        </w:rPr>
        <w:t xml:space="preserve"> </w:t>
      </w:r>
      <w:r>
        <w:t>to resolutions</w:t>
      </w:r>
      <w:r>
        <w:rPr>
          <w:spacing w:val="-1"/>
        </w:rPr>
        <w:t xml:space="preserve"> </w:t>
      </w:r>
      <w:r>
        <w:t>adopted by "participating entities", it did not provide any information about:</w:t>
      </w:r>
    </w:p>
    <w:p w14:paraId="51DE96BC" w14:textId="77777777" w:rsidR="0010369C" w:rsidRDefault="0010369C">
      <w:pPr>
        <w:pStyle w:val="BodyText"/>
      </w:pPr>
    </w:p>
    <w:p w14:paraId="51DE96BD" w14:textId="77777777" w:rsidR="0010369C" w:rsidRDefault="0010369C">
      <w:pPr>
        <w:pStyle w:val="BodyText"/>
      </w:pPr>
    </w:p>
    <w:p w14:paraId="51DE96BE" w14:textId="77777777" w:rsidR="0010369C" w:rsidRDefault="0010369C">
      <w:pPr>
        <w:pStyle w:val="BodyText"/>
        <w:spacing w:before="4"/>
        <w:rPr>
          <w:sz w:val="25"/>
        </w:rPr>
      </w:pPr>
    </w:p>
    <w:p w14:paraId="51DE96BF" w14:textId="77777777" w:rsidR="0010369C" w:rsidRDefault="008E43AE">
      <w:pPr>
        <w:ind w:left="238"/>
        <w:rPr>
          <w:sz w:val="18"/>
        </w:rPr>
      </w:pPr>
      <w:r>
        <w:rPr>
          <w:sz w:val="18"/>
          <w:vertAlign w:val="superscript"/>
        </w:rPr>
        <w:t>1013</w:t>
      </w:r>
      <w:r>
        <w:rPr>
          <w:spacing w:val="-5"/>
          <w:sz w:val="18"/>
        </w:rPr>
        <w:t xml:space="preserve"> </w:t>
      </w:r>
      <w:r>
        <w:rPr>
          <w:sz w:val="18"/>
        </w:rPr>
        <w:t>See</w:t>
      </w:r>
      <w:r>
        <w:rPr>
          <w:spacing w:val="-5"/>
          <w:sz w:val="18"/>
        </w:rPr>
        <w:t xml:space="preserve"> </w:t>
      </w:r>
      <w:r>
        <w:rPr>
          <w:sz w:val="18"/>
        </w:rPr>
        <w:t>below,</w:t>
      </w:r>
      <w:r>
        <w:rPr>
          <w:spacing w:val="-5"/>
          <w:sz w:val="18"/>
        </w:rPr>
        <w:t xml:space="preserve"> </w:t>
      </w:r>
      <w:r>
        <w:rPr>
          <w:sz w:val="18"/>
        </w:rPr>
        <w:t>sections</w:t>
      </w:r>
      <w:r>
        <w:rPr>
          <w:spacing w:val="-5"/>
          <w:sz w:val="18"/>
        </w:rPr>
        <w:t xml:space="preserve"> </w:t>
      </w:r>
      <w:r>
        <w:rPr>
          <w:sz w:val="18"/>
        </w:rPr>
        <w:t>VII.F,</w:t>
      </w:r>
      <w:r>
        <w:rPr>
          <w:spacing w:val="-5"/>
          <w:sz w:val="18"/>
        </w:rPr>
        <w:t xml:space="preserve"> </w:t>
      </w:r>
      <w:r>
        <w:rPr>
          <w:sz w:val="18"/>
        </w:rPr>
        <w:t>VII.G</w:t>
      </w:r>
      <w:r>
        <w:rPr>
          <w:spacing w:val="-5"/>
          <w:sz w:val="18"/>
        </w:rPr>
        <w:t xml:space="preserve"> </w:t>
      </w:r>
      <w:r>
        <w:rPr>
          <w:sz w:val="18"/>
        </w:rPr>
        <w:t>and</w:t>
      </w:r>
      <w:r>
        <w:rPr>
          <w:spacing w:val="-5"/>
          <w:sz w:val="18"/>
        </w:rPr>
        <w:t xml:space="preserve"> </w:t>
      </w:r>
      <w:r>
        <w:rPr>
          <w:spacing w:val="-2"/>
          <w:sz w:val="18"/>
        </w:rPr>
        <w:t>VII.I.</w:t>
      </w:r>
    </w:p>
    <w:p w14:paraId="51DE96C0" w14:textId="77777777" w:rsidR="0010369C" w:rsidRDefault="008E43AE">
      <w:pPr>
        <w:ind w:left="238"/>
        <w:rPr>
          <w:sz w:val="18"/>
        </w:rPr>
      </w:pPr>
      <w:r>
        <w:rPr>
          <w:sz w:val="18"/>
          <w:vertAlign w:val="superscript"/>
        </w:rPr>
        <w:t>1014</w:t>
      </w:r>
      <w:r>
        <w:rPr>
          <w:spacing w:val="31"/>
          <w:sz w:val="18"/>
        </w:rPr>
        <w:t xml:space="preserve"> </w:t>
      </w:r>
      <w:r>
        <w:rPr>
          <w:sz w:val="18"/>
        </w:rPr>
        <w:t>See</w:t>
      </w:r>
      <w:r>
        <w:rPr>
          <w:spacing w:val="-6"/>
          <w:sz w:val="18"/>
        </w:rPr>
        <w:t xml:space="preserve"> </w:t>
      </w:r>
      <w:r>
        <w:rPr>
          <w:sz w:val="18"/>
        </w:rPr>
        <w:t>Panel</w:t>
      </w:r>
      <w:r>
        <w:rPr>
          <w:spacing w:val="-5"/>
          <w:sz w:val="18"/>
        </w:rPr>
        <w:t xml:space="preserve"> </w:t>
      </w:r>
      <w:r>
        <w:rPr>
          <w:sz w:val="18"/>
        </w:rPr>
        <w:t>Report,</w:t>
      </w:r>
      <w:r>
        <w:rPr>
          <w:spacing w:val="-5"/>
          <w:sz w:val="18"/>
        </w:rPr>
        <w:t xml:space="preserve"> </w:t>
      </w:r>
      <w:r>
        <w:rPr>
          <w:i/>
          <w:sz w:val="18"/>
        </w:rPr>
        <w:t>Mexico</w:t>
      </w:r>
      <w:r>
        <w:rPr>
          <w:i/>
          <w:spacing w:val="-5"/>
          <w:sz w:val="18"/>
        </w:rPr>
        <w:t xml:space="preserve"> </w:t>
      </w:r>
      <w:r>
        <w:rPr>
          <w:i/>
          <w:sz w:val="18"/>
        </w:rPr>
        <w:t>–</w:t>
      </w:r>
      <w:r>
        <w:rPr>
          <w:i/>
          <w:spacing w:val="-4"/>
          <w:sz w:val="18"/>
        </w:rPr>
        <w:t xml:space="preserve"> </w:t>
      </w:r>
      <w:r>
        <w:rPr>
          <w:i/>
          <w:sz w:val="18"/>
        </w:rPr>
        <w:t>Steel</w:t>
      </w:r>
      <w:r>
        <w:rPr>
          <w:i/>
          <w:spacing w:val="-6"/>
          <w:sz w:val="18"/>
        </w:rPr>
        <w:t xml:space="preserve"> </w:t>
      </w:r>
      <w:r>
        <w:rPr>
          <w:i/>
          <w:sz w:val="18"/>
        </w:rPr>
        <w:t>Pipes</w:t>
      </w:r>
      <w:r>
        <w:rPr>
          <w:i/>
          <w:spacing w:val="-5"/>
          <w:sz w:val="18"/>
        </w:rPr>
        <w:t xml:space="preserve"> </w:t>
      </w:r>
      <w:r>
        <w:rPr>
          <w:i/>
          <w:sz w:val="18"/>
        </w:rPr>
        <w:t>and</w:t>
      </w:r>
      <w:r>
        <w:rPr>
          <w:i/>
          <w:spacing w:val="-6"/>
          <w:sz w:val="18"/>
        </w:rPr>
        <w:t xml:space="preserve"> </w:t>
      </w:r>
      <w:r>
        <w:rPr>
          <w:i/>
          <w:sz w:val="18"/>
        </w:rPr>
        <w:t>Tubes</w:t>
      </w:r>
      <w:r>
        <w:rPr>
          <w:sz w:val="18"/>
        </w:rPr>
        <w:t>,</w:t>
      </w:r>
      <w:r>
        <w:rPr>
          <w:spacing w:val="-5"/>
          <w:sz w:val="18"/>
        </w:rPr>
        <w:t xml:space="preserve"> </w:t>
      </w:r>
      <w:r>
        <w:rPr>
          <w:sz w:val="18"/>
        </w:rPr>
        <w:t>para.</w:t>
      </w:r>
      <w:r>
        <w:rPr>
          <w:spacing w:val="-5"/>
          <w:sz w:val="18"/>
        </w:rPr>
        <w:t xml:space="preserve"> </w:t>
      </w:r>
      <w:r>
        <w:rPr>
          <w:spacing w:val="-4"/>
          <w:sz w:val="18"/>
        </w:rPr>
        <w:t>7.5.</w:t>
      </w:r>
    </w:p>
    <w:p w14:paraId="51DE96C1" w14:textId="77777777" w:rsidR="0010369C" w:rsidRDefault="008E43AE">
      <w:pPr>
        <w:ind w:left="238"/>
        <w:rPr>
          <w:sz w:val="18"/>
        </w:rPr>
      </w:pPr>
      <w:r>
        <w:rPr>
          <w:sz w:val="18"/>
          <w:vertAlign w:val="superscript"/>
        </w:rPr>
        <w:t>1015</w:t>
      </w:r>
      <w:r>
        <w:rPr>
          <w:spacing w:val="-9"/>
          <w:sz w:val="18"/>
        </w:rPr>
        <w:t xml:space="preserve"> </w:t>
      </w:r>
      <w:r>
        <w:rPr>
          <w:sz w:val="18"/>
        </w:rPr>
        <w:t>CADA</w:t>
      </w:r>
      <w:r>
        <w:rPr>
          <w:spacing w:val="-8"/>
          <w:sz w:val="18"/>
        </w:rPr>
        <w:t xml:space="preserve"> </w:t>
      </w:r>
      <w:r>
        <w:rPr>
          <w:sz w:val="18"/>
        </w:rPr>
        <w:t>Application</w:t>
      </w:r>
      <w:r>
        <w:rPr>
          <w:spacing w:val="-8"/>
          <w:sz w:val="18"/>
        </w:rPr>
        <w:t xml:space="preserve"> </w:t>
      </w:r>
      <w:r>
        <w:rPr>
          <w:sz w:val="18"/>
        </w:rPr>
        <w:t>for</w:t>
      </w:r>
      <w:r>
        <w:rPr>
          <w:spacing w:val="-9"/>
          <w:sz w:val="18"/>
        </w:rPr>
        <w:t xml:space="preserve"> </w:t>
      </w:r>
      <w:r>
        <w:rPr>
          <w:sz w:val="18"/>
        </w:rPr>
        <w:t>Anti‐Dumping</w:t>
      </w:r>
      <w:r>
        <w:rPr>
          <w:spacing w:val="-9"/>
          <w:sz w:val="18"/>
        </w:rPr>
        <w:t xml:space="preserve"> </w:t>
      </w:r>
      <w:r>
        <w:rPr>
          <w:sz w:val="18"/>
        </w:rPr>
        <w:t>Investigation</w:t>
      </w:r>
      <w:r>
        <w:rPr>
          <w:spacing w:val="-8"/>
          <w:sz w:val="18"/>
        </w:rPr>
        <w:t xml:space="preserve"> </w:t>
      </w:r>
      <w:r>
        <w:rPr>
          <w:sz w:val="18"/>
        </w:rPr>
        <w:t>Annexes</w:t>
      </w:r>
      <w:r>
        <w:rPr>
          <w:spacing w:val="-8"/>
          <w:sz w:val="18"/>
        </w:rPr>
        <w:t xml:space="preserve"> </w:t>
      </w:r>
      <w:r>
        <w:rPr>
          <w:sz w:val="18"/>
        </w:rPr>
        <w:t>1‐12</w:t>
      </w:r>
      <w:r>
        <w:rPr>
          <w:spacing w:val="-10"/>
          <w:sz w:val="18"/>
        </w:rPr>
        <w:t xml:space="preserve"> </w:t>
      </w:r>
      <w:r>
        <w:rPr>
          <w:sz w:val="18"/>
        </w:rPr>
        <w:t>(Part</w:t>
      </w:r>
      <w:r>
        <w:rPr>
          <w:spacing w:val="-8"/>
          <w:sz w:val="18"/>
        </w:rPr>
        <w:t xml:space="preserve"> </w:t>
      </w:r>
      <w:r>
        <w:rPr>
          <w:sz w:val="18"/>
        </w:rPr>
        <w:t>1)</w:t>
      </w:r>
      <w:r>
        <w:rPr>
          <w:spacing w:val="-9"/>
          <w:sz w:val="18"/>
        </w:rPr>
        <w:t xml:space="preserve"> </w:t>
      </w:r>
      <w:r>
        <w:rPr>
          <w:sz w:val="18"/>
        </w:rPr>
        <w:t>(Exhibit</w:t>
      </w:r>
      <w:r>
        <w:rPr>
          <w:spacing w:val="-8"/>
          <w:sz w:val="18"/>
        </w:rPr>
        <w:t xml:space="preserve"> </w:t>
      </w:r>
      <w:r>
        <w:rPr>
          <w:sz w:val="18"/>
        </w:rPr>
        <w:t>AUS‐90),</w:t>
      </w:r>
      <w:r>
        <w:rPr>
          <w:spacing w:val="-9"/>
          <w:sz w:val="18"/>
        </w:rPr>
        <w:t xml:space="preserve"> </w:t>
      </w:r>
      <w:r>
        <w:rPr>
          <w:sz w:val="18"/>
        </w:rPr>
        <w:t>Annex</w:t>
      </w:r>
      <w:r>
        <w:rPr>
          <w:spacing w:val="-8"/>
          <w:sz w:val="18"/>
        </w:rPr>
        <w:t xml:space="preserve"> </w:t>
      </w:r>
      <w:r>
        <w:rPr>
          <w:spacing w:val="-5"/>
          <w:sz w:val="18"/>
        </w:rPr>
        <w:t>3.</w:t>
      </w:r>
    </w:p>
    <w:p w14:paraId="51DE96C2" w14:textId="77777777" w:rsidR="0010369C" w:rsidRDefault="0010369C">
      <w:pPr>
        <w:rPr>
          <w:sz w:val="18"/>
        </w:rPr>
        <w:sectPr w:rsidR="0010369C">
          <w:headerReference w:type="default" r:id="rId1120"/>
          <w:footerReference w:type="default" r:id="rId1121"/>
          <w:pgSz w:w="11910" w:h="16840"/>
          <w:pgMar w:top="880" w:right="800" w:bottom="1340" w:left="1180" w:header="569" w:footer="1143" w:gutter="0"/>
          <w:cols w:space="720"/>
        </w:sectPr>
      </w:pPr>
    </w:p>
    <w:p w14:paraId="51DE96C3" w14:textId="77777777" w:rsidR="0010369C" w:rsidRDefault="008E43AE">
      <w:pPr>
        <w:pStyle w:val="BodyText"/>
        <w:spacing w:line="20" w:lineRule="exact"/>
        <w:ind w:left="104"/>
        <w:rPr>
          <w:sz w:val="2"/>
        </w:rPr>
      </w:pPr>
      <w:r>
        <w:rPr>
          <w:sz w:val="2"/>
        </w:rPr>
      </w:r>
      <w:r>
        <w:rPr>
          <w:sz w:val="2"/>
        </w:rPr>
        <w:pict w14:anchorId="51DEA724">
          <v:group id="docshapegroup1285" o:spid="_x0000_s1153" style="width:464.6pt;height:1.05pt;mso-position-horizontal-relative:char;mso-position-vertical-relative:line" coordsize="9292,21">
            <v:line id="_x0000_s1154" style="position:absolute" from="0,10" to="9291,10" strokeweight=".35361mm"/>
            <w10:anchorlock/>
          </v:group>
        </w:pict>
      </w:r>
    </w:p>
    <w:p w14:paraId="51DE96C4" w14:textId="77777777" w:rsidR="0010369C" w:rsidRDefault="008E43AE">
      <w:pPr>
        <w:spacing w:before="45"/>
        <w:ind w:right="357"/>
        <w:jc w:val="center"/>
        <w:rPr>
          <w:rFonts w:ascii="Arial"/>
          <w:sz w:val="21"/>
        </w:rPr>
      </w:pPr>
      <w:r>
        <w:pict w14:anchorId="51DEA725">
          <v:shape id="docshape1286" o:spid="_x0000_s1152" style="position:absolute;left:0;text-align:left;margin-left:64.2pt;margin-top:16.1pt;width:464.6pt;height:.1pt;z-index:-250733056;mso-wrap-distance-left:0;mso-wrap-distance-right:0;mso-position-horizontal-relative:page" coordorigin="1284,322" coordsize="9292,0" path="m1284,322r9291,e" filled="f" strokeweight=".35361mm">
            <v:path arrowok="t"/>
            <w10:wrap type="topAndBottom" anchorx="page"/>
          </v:shape>
        </w:pict>
      </w:r>
      <w:r>
        <w:rPr>
          <w:rFonts w:ascii="Arial"/>
          <w:color w:val="1C1C1C"/>
          <w:w w:val="95"/>
          <w:sz w:val="21"/>
        </w:rPr>
        <w:t>Business</w:t>
      </w:r>
      <w:r>
        <w:rPr>
          <w:rFonts w:ascii="Arial"/>
          <w:color w:val="1C1C1C"/>
          <w:spacing w:val="1"/>
          <w:sz w:val="21"/>
        </w:rPr>
        <w:t xml:space="preserve"> </w:t>
      </w:r>
      <w:r>
        <w:rPr>
          <w:rFonts w:ascii="Arial"/>
          <w:color w:val="1C1C1C"/>
          <w:w w:val="95"/>
          <w:sz w:val="21"/>
        </w:rPr>
        <w:t>Confidential</w:t>
      </w:r>
      <w:r>
        <w:rPr>
          <w:rFonts w:ascii="Arial"/>
          <w:color w:val="1C1C1C"/>
          <w:spacing w:val="-2"/>
          <w:w w:val="95"/>
          <w:sz w:val="21"/>
        </w:rPr>
        <w:t xml:space="preserve"> </w:t>
      </w:r>
      <w:r>
        <w:rPr>
          <w:rFonts w:ascii="Arial"/>
          <w:color w:val="0A0A0A"/>
          <w:w w:val="95"/>
          <w:sz w:val="21"/>
        </w:rPr>
        <w:t>Information</w:t>
      </w:r>
      <w:r>
        <w:rPr>
          <w:rFonts w:ascii="Arial"/>
          <w:color w:val="0A0A0A"/>
          <w:spacing w:val="6"/>
          <w:sz w:val="21"/>
        </w:rPr>
        <w:t xml:space="preserve"> </w:t>
      </w:r>
      <w:r>
        <w:rPr>
          <w:rFonts w:ascii="Arial"/>
          <w:color w:val="1C1C1C"/>
          <w:w w:val="95"/>
          <w:sz w:val="21"/>
        </w:rPr>
        <w:t>-</w:t>
      </w:r>
      <w:r>
        <w:rPr>
          <w:rFonts w:ascii="Arial"/>
          <w:color w:val="1C1C1C"/>
          <w:spacing w:val="1"/>
          <w:sz w:val="21"/>
        </w:rPr>
        <w:t xml:space="preserve"> </w:t>
      </w:r>
      <w:r>
        <w:rPr>
          <w:rFonts w:ascii="Arial"/>
          <w:color w:val="1C1C1C"/>
          <w:spacing w:val="-2"/>
          <w:w w:val="95"/>
          <w:sz w:val="21"/>
        </w:rPr>
        <w:t>REDACTED</w:t>
      </w:r>
    </w:p>
    <w:p w14:paraId="51DE96C5" w14:textId="77777777" w:rsidR="0010369C" w:rsidRDefault="008E43AE">
      <w:pPr>
        <w:tabs>
          <w:tab w:val="left" w:pos="6217"/>
        </w:tabs>
        <w:spacing w:before="21"/>
        <w:ind w:right="357"/>
        <w:jc w:val="center"/>
        <w:rPr>
          <w:rFonts w:ascii="Arial"/>
          <w:sz w:val="18"/>
        </w:rPr>
      </w:pPr>
      <w:r>
        <w:rPr>
          <w:rFonts w:ascii="Arial"/>
          <w:i/>
          <w:color w:val="1C1C1C"/>
          <w:w w:val="105"/>
          <w:sz w:val="18"/>
        </w:rPr>
        <w:t>China</w:t>
      </w:r>
      <w:r>
        <w:rPr>
          <w:rFonts w:ascii="Arial"/>
          <w:i/>
          <w:color w:val="1C1C1C"/>
          <w:spacing w:val="-17"/>
          <w:w w:val="105"/>
          <w:sz w:val="18"/>
        </w:rPr>
        <w:t xml:space="preserve"> </w:t>
      </w:r>
      <w:r>
        <w:rPr>
          <w:rFonts w:ascii="Arial"/>
          <w:i/>
          <w:color w:val="1C1C1C"/>
          <w:w w:val="105"/>
          <w:sz w:val="18"/>
        </w:rPr>
        <w:t>-Anti-Dumping</w:t>
      </w:r>
      <w:r>
        <w:rPr>
          <w:rFonts w:ascii="Arial"/>
          <w:i/>
          <w:color w:val="1C1C1C"/>
          <w:spacing w:val="-5"/>
          <w:w w:val="105"/>
          <w:sz w:val="18"/>
        </w:rPr>
        <w:t xml:space="preserve"> </w:t>
      </w:r>
      <w:r>
        <w:rPr>
          <w:rFonts w:ascii="Arial"/>
          <w:i/>
          <w:color w:val="1C1C1C"/>
          <w:w w:val="105"/>
          <w:sz w:val="18"/>
        </w:rPr>
        <w:t>and</w:t>
      </w:r>
      <w:r>
        <w:rPr>
          <w:rFonts w:ascii="Arial"/>
          <w:i/>
          <w:color w:val="1C1C1C"/>
          <w:spacing w:val="-23"/>
          <w:w w:val="105"/>
          <w:sz w:val="18"/>
        </w:rPr>
        <w:t xml:space="preserve"> </w:t>
      </w:r>
      <w:r>
        <w:rPr>
          <w:rFonts w:ascii="Arial"/>
          <w:i/>
          <w:color w:val="1C1C1C"/>
          <w:w w:val="105"/>
          <w:sz w:val="18"/>
        </w:rPr>
        <w:t>Countervailing</w:t>
      </w:r>
      <w:r>
        <w:rPr>
          <w:rFonts w:ascii="Arial"/>
          <w:i/>
          <w:color w:val="1C1C1C"/>
          <w:spacing w:val="-6"/>
          <w:w w:val="105"/>
          <w:sz w:val="18"/>
        </w:rPr>
        <w:t xml:space="preserve"> </w:t>
      </w:r>
      <w:r>
        <w:rPr>
          <w:rFonts w:ascii="Arial"/>
          <w:i/>
          <w:color w:val="1C1C1C"/>
          <w:w w:val="105"/>
          <w:sz w:val="18"/>
        </w:rPr>
        <w:t>Duty</w:t>
      </w:r>
      <w:r>
        <w:rPr>
          <w:rFonts w:ascii="Arial"/>
          <w:i/>
          <w:color w:val="1C1C1C"/>
          <w:spacing w:val="-12"/>
          <w:w w:val="105"/>
          <w:sz w:val="18"/>
        </w:rPr>
        <w:t xml:space="preserve"> </w:t>
      </w:r>
      <w:r>
        <w:rPr>
          <w:rFonts w:ascii="Arial"/>
          <w:i/>
          <w:color w:val="0A0A0A"/>
          <w:spacing w:val="-2"/>
          <w:w w:val="105"/>
          <w:sz w:val="18"/>
        </w:rPr>
        <w:t>Measures</w:t>
      </w:r>
      <w:r>
        <w:rPr>
          <w:rFonts w:ascii="Arial"/>
          <w:i/>
          <w:color w:val="0A0A0A"/>
          <w:sz w:val="18"/>
        </w:rPr>
        <w:tab/>
      </w:r>
      <w:r>
        <w:rPr>
          <w:rFonts w:ascii="Arial"/>
          <w:color w:val="1C1C1C"/>
          <w:spacing w:val="-2"/>
          <w:w w:val="105"/>
          <w:sz w:val="18"/>
        </w:rPr>
        <w:t>Australia's</w:t>
      </w:r>
      <w:r>
        <w:rPr>
          <w:rFonts w:ascii="Arial"/>
          <w:color w:val="1C1C1C"/>
          <w:spacing w:val="5"/>
          <w:w w:val="105"/>
          <w:sz w:val="18"/>
        </w:rPr>
        <w:t xml:space="preserve"> </w:t>
      </w:r>
      <w:r>
        <w:rPr>
          <w:rFonts w:ascii="Arial"/>
          <w:color w:val="0A0A0A"/>
          <w:spacing w:val="-2"/>
          <w:w w:val="105"/>
          <w:sz w:val="18"/>
        </w:rPr>
        <w:t>First</w:t>
      </w:r>
      <w:r>
        <w:rPr>
          <w:rFonts w:ascii="Arial"/>
          <w:color w:val="0A0A0A"/>
          <w:spacing w:val="1"/>
          <w:w w:val="105"/>
          <w:sz w:val="18"/>
        </w:rPr>
        <w:t xml:space="preserve"> </w:t>
      </w:r>
      <w:r>
        <w:rPr>
          <w:rFonts w:ascii="Arial"/>
          <w:color w:val="1C1C1C"/>
          <w:spacing w:val="-2"/>
          <w:w w:val="105"/>
          <w:sz w:val="18"/>
        </w:rPr>
        <w:t>Written</w:t>
      </w:r>
      <w:r>
        <w:rPr>
          <w:rFonts w:ascii="Arial"/>
          <w:color w:val="1C1C1C"/>
          <w:spacing w:val="-7"/>
          <w:w w:val="105"/>
          <w:sz w:val="18"/>
        </w:rPr>
        <w:t xml:space="preserve"> </w:t>
      </w:r>
      <w:r>
        <w:rPr>
          <w:rFonts w:ascii="Arial"/>
          <w:color w:val="1C1C1C"/>
          <w:spacing w:val="-2"/>
          <w:w w:val="105"/>
          <w:sz w:val="18"/>
        </w:rPr>
        <w:t>Submission</w:t>
      </w:r>
    </w:p>
    <w:p w14:paraId="51DE96C6" w14:textId="77777777" w:rsidR="0010369C" w:rsidRDefault="008E43AE">
      <w:pPr>
        <w:tabs>
          <w:tab w:val="left" w:pos="8020"/>
        </w:tabs>
        <w:spacing w:before="44"/>
        <w:ind w:right="337"/>
        <w:jc w:val="center"/>
        <w:rPr>
          <w:rFonts w:ascii="Arial"/>
          <w:sz w:val="18"/>
        </w:rPr>
      </w:pPr>
      <w:r>
        <w:rPr>
          <w:rFonts w:ascii="Arial"/>
          <w:i/>
          <w:color w:val="1C1C1C"/>
          <w:w w:val="105"/>
          <w:sz w:val="18"/>
        </w:rPr>
        <w:t>on</w:t>
      </w:r>
      <w:r>
        <w:rPr>
          <w:rFonts w:ascii="Arial"/>
          <w:i/>
          <w:color w:val="1C1C1C"/>
          <w:spacing w:val="-11"/>
          <w:w w:val="105"/>
          <w:sz w:val="18"/>
        </w:rPr>
        <w:t xml:space="preserve"> </w:t>
      </w:r>
      <w:r>
        <w:rPr>
          <w:rFonts w:ascii="Arial"/>
          <w:i/>
          <w:color w:val="1C1C1C"/>
          <w:w w:val="105"/>
          <w:sz w:val="18"/>
        </w:rPr>
        <w:t>Winefrom Australia</w:t>
      </w:r>
      <w:r>
        <w:rPr>
          <w:rFonts w:ascii="Arial"/>
          <w:i/>
          <w:color w:val="1C1C1C"/>
          <w:spacing w:val="13"/>
          <w:w w:val="105"/>
          <w:sz w:val="18"/>
        </w:rPr>
        <w:t xml:space="preserve"> </w:t>
      </w:r>
      <w:r>
        <w:rPr>
          <w:rFonts w:ascii="Arial"/>
          <w:color w:val="1C1C1C"/>
          <w:spacing w:val="-2"/>
          <w:w w:val="105"/>
          <w:sz w:val="18"/>
        </w:rPr>
        <w:t>(0S602)</w:t>
      </w:r>
      <w:r>
        <w:rPr>
          <w:rFonts w:ascii="Arial"/>
          <w:color w:val="1C1C1C"/>
          <w:sz w:val="18"/>
        </w:rPr>
        <w:tab/>
      </w:r>
      <w:r>
        <w:rPr>
          <w:rFonts w:ascii="Arial"/>
          <w:color w:val="1C1C1C"/>
          <w:w w:val="105"/>
          <w:sz w:val="18"/>
        </w:rPr>
        <w:t>29</w:t>
      </w:r>
      <w:r>
        <w:rPr>
          <w:rFonts w:ascii="Arial"/>
          <w:color w:val="1C1C1C"/>
          <w:spacing w:val="-19"/>
          <w:w w:val="105"/>
          <w:sz w:val="18"/>
        </w:rPr>
        <w:t xml:space="preserve"> </w:t>
      </w:r>
      <w:r>
        <w:rPr>
          <w:rFonts w:ascii="Arial"/>
          <w:color w:val="1C1C1C"/>
          <w:w w:val="105"/>
          <w:sz w:val="18"/>
        </w:rPr>
        <w:t>April</w:t>
      </w:r>
      <w:r>
        <w:rPr>
          <w:rFonts w:ascii="Arial"/>
          <w:color w:val="1C1C1C"/>
          <w:spacing w:val="1"/>
          <w:w w:val="105"/>
          <w:sz w:val="18"/>
        </w:rPr>
        <w:t xml:space="preserve"> </w:t>
      </w:r>
      <w:r>
        <w:rPr>
          <w:rFonts w:ascii="Arial"/>
          <w:color w:val="1C1C1C"/>
          <w:spacing w:val="-4"/>
          <w:w w:val="105"/>
          <w:sz w:val="18"/>
        </w:rPr>
        <w:t>2022</w:t>
      </w:r>
    </w:p>
    <w:p w14:paraId="51DE96C7" w14:textId="77777777" w:rsidR="0010369C" w:rsidRDefault="008E43AE">
      <w:pPr>
        <w:pStyle w:val="ListParagraph"/>
        <w:numPr>
          <w:ilvl w:val="0"/>
          <w:numId w:val="25"/>
        </w:numPr>
        <w:tabs>
          <w:tab w:val="left" w:pos="1949"/>
          <w:tab w:val="left" w:pos="1950"/>
        </w:tabs>
        <w:spacing w:before="86" w:line="432" w:lineRule="auto"/>
        <w:ind w:right="583" w:hanging="847"/>
        <w:rPr>
          <w:rFonts w:ascii="Arial" w:hAnsi="Arial"/>
          <w:sz w:val="21"/>
        </w:rPr>
      </w:pPr>
      <w:r>
        <w:rPr>
          <w:rFonts w:ascii="Arial" w:hAnsi="Arial"/>
          <w:color w:val="0A0A0A"/>
          <w:w w:val="110"/>
          <w:sz w:val="21"/>
        </w:rPr>
        <w:t>whether</w:t>
      </w:r>
      <w:r>
        <w:rPr>
          <w:rFonts w:ascii="Arial" w:hAnsi="Arial"/>
          <w:color w:val="0A0A0A"/>
          <w:spacing w:val="-17"/>
          <w:w w:val="110"/>
          <w:sz w:val="21"/>
        </w:rPr>
        <w:t xml:space="preserve"> </w:t>
      </w:r>
      <w:r>
        <w:rPr>
          <w:rFonts w:ascii="Arial" w:hAnsi="Arial"/>
          <w:color w:val="0A0A0A"/>
          <w:w w:val="110"/>
          <w:sz w:val="21"/>
        </w:rPr>
        <w:t>representatives</w:t>
      </w:r>
      <w:r>
        <w:rPr>
          <w:rFonts w:ascii="Arial" w:hAnsi="Arial"/>
          <w:color w:val="0A0A0A"/>
          <w:spacing w:val="-16"/>
          <w:w w:val="110"/>
          <w:sz w:val="21"/>
        </w:rPr>
        <w:t xml:space="preserve"> </w:t>
      </w:r>
      <w:r>
        <w:rPr>
          <w:rFonts w:ascii="Arial" w:hAnsi="Arial"/>
          <w:color w:val="1C1C1C"/>
          <w:w w:val="110"/>
          <w:sz w:val="21"/>
        </w:rPr>
        <w:t>of</w:t>
      </w:r>
      <w:r>
        <w:rPr>
          <w:rFonts w:ascii="Arial" w:hAnsi="Arial"/>
          <w:color w:val="1C1C1C"/>
          <w:spacing w:val="-16"/>
          <w:w w:val="110"/>
          <w:sz w:val="21"/>
        </w:rPr>
        <w:t xml:space="preserve"> </w:t>
      </w:r>
      <w:r>
        <w:rPr>
          <w:rFonts w:ascii="Arial" w:hAnsi="Arial"/>
          <w:i/>
          <w:color w:val="0A0A0A"/>
          <w:w w:val="110"/>
        </w:rPr>
        <w:t>all</w:t>
      </w:r>
      <w:r>
        <w:rPr>
          <w:rFonts w:ascii="Arial" w:hAnsi="Arial"/>
          <w:i/>
          <w:color w:val="0A0A0A"/>
          <w:spacing w:val="-16"/>
          <w:w w:val="110"/>
        </w:rPr>
        <w:t xml:space="preserve"> </w:t>
      </w:r>
      <w:r>
        <w:rPr>
          <w:rFonts w:ascii="Arial" w:hAnsi="Arial"/>
          <w:color w:val="1C1C1C"/>
          <w:w w:val="110"/>
          <w:sz w:val="21"/>
        </w:rPr>
        <w:t>of</w:t>
      </w:r>
      <w:r>
        <w:rPr>
          <w:rFonts w:ascii="Arial" w:hAnsi="Arial"/>
          <w:color w:val="1C1C1C"/>
          <w:spacing w:val="-11"/>
          <w:w w:val="110"/>
          <w:sz w:val="21"/>
        </w:rPr>
        <w:t xml:space="preserve"> </w:t>
      </w:r>
      <w:r>
        <w:rPr>
          <w:rFonts w:ascii="Arial" w:hAnsi="Arial"/>
          <w:color w:val="0A0A0A"/>
          <w:w w:val="110"/>
          <w:sz w:val="21"/>
        </w:rPr>
        <w:t>CADA's</w:t>
      </w:r>
      <w:r>
        <w:rPr>
          <w:rFonts w:ascii="Arial" w:hAnsi="Arial"/>
          <w:color w:val="0A0A0A"/>
          <w:spacing w:val="-14"/>
          <w:w w:val="110"/>
          <w:sz w:val="21"/>
        </w:rPr>
        <w:t xml:space="preserve"> </w:t>
      </w:r>
      <w:r>
        <w:rPr>
          <w:rFonts w:ascii="Arial" w:hAnsi="Arial"/>
          <w:color w:val="0A0A0A"/>
          <w:w w:val="110"/>
          <w:sz w:val="21"/>
        </w:rPr>
        <w:t>member</w:t>
      </w:r>
      <w:r>
        <w:rPr>
          <w:rFonts w:ascii="Arial" w:hAnsi="Arial"/>
          <w:color w:val="0A0A0A"/>
          <w:spacing w:val="-6"/>
          <w:w w:val="110"/>
          <w:sz w:val="21"/>
        </w:rPr>
        <w:t xml:space="preserve"> </w:t>
      </w:r>
      <w:r>
        <w:rPr>
          <w:rFonts w:ascii="Arial" w:hAnsi="Arial"/>
          <w:color w:val="1C1C1C"/>
          <w:w w:val="110"/>
          <w:sz w:val="21"/>
        </w:rPr>
        <w:t>organisations</w:t>
      </w:r>
      <w:r>
        <w:rPr>
          <w:rFonts w:ascii="Arial" w:hAnsi="Arial"/>
          <w:color w:val="1C1C1C"/>
          <w:spacing w:val="-8"/>
          <w:w w:val="110"/>
          <w:sz w:val="21"/>
        </w:rPr>
        <w:t xml:space="preserve"> </w:t>
      </w:r>
      <w:r>
        <w:rPr>
          <w:rFonts w:ascii="Arial" w:hAnsi="Arial"/>
          <w:color w:val="0A0A0A"/>
          <w:w w:val="110"/>
          <w:sz w:val="21"/>
        </w:rPr>
        <w:t xml:space="preserve">attended </w:t>
      </w:r>
      <w:r>
        <w:rPr>
          <w:rFonts w:ascii="Arial" w:hAnsi="Arial"/>
          <w:color w:val="1C1C1C"/>
          <w:w w:val="110"/>
          <w:sz w:val="21"/>
        </w:rPr>
        <w:t xml:space="preserve">the "special </w:t>
      </w:r>
      <w:r>
        <w:rPr>
          <w:rFonts w:ascii="Arial" w:hAnsi="Arial"/>
          <w:color w:val="0A0A0A"/>
          <w:w w:val="110"/>
          <w:sz w:val="21"/>
        </w:rPr>
        <w:t xml:space="preserve">discussion meeting", </w:t>
      </w:r>
      <w:r>
        <w:rPr>
          <w:rFonts w:ascii="Arial" w:hAnsi="Arial"/>
          <w:color w:val="1C1C1C"/>
          <w:w w:val="110"/>
          <w:sz w:val="21"/>
        </w:rPr>
        <w:t xml:space="preserve">or if </w:t>
      </w:r>
      <w:r>
        <w:rPr>
          <w:rFonts w:ascii="Arial" w:hAnsi="Arial"/>
          <w:color w:val="0A0A0A"/>
          <w:w w:val="110"/>
          <w:sz w:val="21"/>
        </w:rPr>
        <w:t xml:space="preserve">there </w:t>
      </w:r>
      <w:r>
        <w:rPr>
          <w:rFonts w:ascii="Arial" w:hAnsi="Arial"/>
          <w:color w:val="1C1C1C"/>
          <w:w w:val="110"/>
          <w:sz w:val="21"/>
        </w:rPr>
        <w:t xml:space="preserve">was less than complete attendance, which </w:t>
      </w:r>
      <w:r>
        <w:rPr>
          <w:rFonts w:ascii="Arial" w:hAnsi="Arial"/>
          <w:color w:val="0A0A0A"/>
          <w:w w:val="110"/>
          <w:sz w:val="21"/>
        </w:rPr>
        <w:t>members attended;</w:t>
      </w:r>
    </w:p>
    <w:p w14:paraId="51DE96C8" w14:textId="77777777" w:rsidR="0010369C" w:rsidRDefault="008E43AE">
      <w:pPr>
        <w:pStyle w:val="ListParagraph"/>
        <w:numPr>
          <w:ilvl w:val="0"/>
          <w:numId w:val="25"/>
        </w:numPr>
        <w:tabs>
          <w:tab w:val="left" w:pos="1947"/>
          <w:tab w:val="left" w:pos="1948"/>
        </w:tabs>
        <w:spacing w:before="138" w:line="439" w:lineRule="auto"/>
        <w:ind w:left="1943" w:right="572" w:hanging="848"/>
        <w:rPr>
          <w:rFonts w:ascii="Arial" w:hAnsi="Arial"/>
          <w:sz w:val="21"/>
        </w:rPr>
      </w:pPr>
      <w:r>
        <w:rPr>
          <w:rFonts w:ascii="Arial" w:hAnsi="Arial"/>
          <w:color w:val="1C1C1C"/>
          <w:w w:val="105"/>
          <w:sz w:val="21"/>
        </w:rPr>
        <w:t xml:space="preserve">the basis (or </w:t>
      </w:r>
      <w:r>
        <w:rPr>
          <w:rFonts w:ascii="Arial" w:hAnsi="Arial"/>
          <w:color w:val="0A0A0A"/>
          <w:w w:val="105"/>
          <w:sz w:val="21"/>
        </w:rPr>
        <w:t xml:space="preserve">bases) </w:t>
      </w:r>
      <w:r>
        <w:rPr>
          <w:rFonts w:ascii="Arial" w:hAnsi="Arial"/>
          <w:color w:val="1C1C1C"/>
          <w:w w:val="105"/>
          <w:sz w:val="21"/>
        </w:rPr>
        <w:t xml:space="preserve">on which the resolutions were adopted, whether by simple </w:t>
      </w:r>
      <w:r>
        <w:rPr>
          <w:rFonts w:ascii="Arial" w:hAnsi="Arial"/>
          <w:color w:val="0A0A0A"/>
          <w:w w:val="105"/>
          <w:sz w:val="21"/>
        </w:rPr>
        <w:t xml:space="preserve">majority, </w:t>
      </w:r>
      <w:r>
        <w:rPr>
          <w:rFonts w:ascii="Arial" w:hAnsi="Arial"/>
          <w:color w:val="1C1C1C"/>
          <w:w w:val="105"/>
          <w:sz w:val="21"/>
        </w:rPr>
        <w:t xml:space="preserve">special </w:t>
      </w:r>
      <w:r>
        <w:rPr>
          <w:rFonts w:ascii="Arial" w:hAnsi="Arial"/>
          <w:color w:val="0A0A0A"/>
          <w:w w:val="105"/>
          <w:sz w:val="21"/>
        </w:rPr>
        <w:t xml:space="preserve">majority, </w:t>
      </w:r>
      <w:r>
        <w:rPr>
          <w:rFonts w:ascii="Arial" w:hAnsi="Arial"/>
          <w:color w:val="1C1C1C"/>
          <w:w w:val="105"/>
          <w:sz w:val="21"/>
        </w:rPr>
        <w:t>consensus, or some other voting technique;</w:t>
      </w:r>
      <w:r>
        <w:rPr>
          <w:rFonts w:ascii="Arial" w:hAnsi="Arial"/>
          <w:color w:val="1C1C1C"/>
          <w:spacing w:val="-1"/>
          <w:w w:val="105"/>
          <w:sz w:val="21"/>
        </w:rPr>
        <w:t xml:space="preserve"> </w:t>
      </w:r>
      <w:r>
        <w:rPr>
          <w:rFonts w:ascii="Arial" w:hAnsi="Arial"/>
          <w:color w:val="1C1C1C"/>
          <w:w w:val="105"/>
          <w:sz w:val="21"/>
        </w:rPr>
        <w:t>and</w:t>
      </w:r>
    </w:p>
    <w:p w14:paraId="51DE96C9" w14:textId="77777777" w:rsidR="0010369C" w:rsidRDefault="008E43AE">
      <w:pPr>
        <w:pStyle w:val="ListParagraph"/>
        <w:numPr>
          <w:ilvl w:val="0"/>
          <w:numId w:val="25"/>
        </w:numPr>
        <w:tabs>
          <w:tab w:val="left" w:pos="1946"/>
          <w:tab w:val="left" w:pos="1947"/>
        </w:tabs>
        <w:spacing w:before="128" w:line="439" w:lineRule="auto"/>
        <w:ind w:left="1946" w:right="578" w:hanging="851"/>
        <w:rPr>
          <w:rFonts w:ascii="Arial" w:hAnsi="Arial"/>
          <w:sz w:val="21"/>
        </w:rPr>
      </w:pPr>
      <w:r>
        <w:rPr>
          <w:rFonts w:ascii="Arial" w:hAnsi="Arial"/>
          <w:color w:val="1C1C1C"/>
          <w:w w:val="105"/>
          <w:sz w:val="21"/>
        </w:rPr>
        <w:t xml:space="preserve">how many, and which, members voted against or abstained from </w:t>
      </w:r>
      <w:r>
        <w:rPr>
          <w:rFonts w:ascii="Arial" w:hAnsi="Arial"/>
          <w:color w:val="0A0A0A"/>
          <w:w w:val="105"/>
          <w:sz w:val="21"/>
        </w:rPr>
        <w:t xml:space="preserve">the relevant </w:t>
      </w:r>
      <w:r>
        <w:rPr>
          <w:rFonts w:ascii="Arial" w:hAnsi="Arial"/>
          <w:color w:val="1C1C1C"/>
          <w:w w:val="105"/>
          <w:sz w:val="21"/>
        </w:rPr>
        <w:t>resolutions.</w:t>
      </w:r>
    </w:p>
    <w:p w14:paraId="51DE96CA" w14:textId="77777777" w:rsidR="0010369C" w:rsidRDefault="008E43AE">
      <w:pPr>
        <w:tabs>
          <w:tab w:val="left" w:pos="1102"/>
        </w:tabs>
        <w:spacing w:before="109" w:line="434" w:lineRule="auto"/>
        <w:ind w:left="231" w:right="494" w:firstLine="4"/>
        <w:rPr>
          <w:rFonts w:ascii="Arial" w:hAnsi="Arial"/>
          <w:sz w:val="21"/>
        </w:rPr>
      </w:pPr>
      <w:r>
        <w:rPr>
          <w:rFonts w:ascii="Arial" w:hAnsi="Arial"/>
          <w:color w:val="1C1C1C"/>
          <w:spacing w:val="-4"/>
          <w:w w:val="105"/>
          <w:sz w:val="21"/>
        </w:rPr>
        <w:t>858.</w:t>
      </w:r>
      <w:r>
        <w:rPr>
          <w:rFonts w:ascii="Arial" w:hAnsi="Arial"/>
          <w:color w:val="1C1C1C"/>
          <w:sz w:val="21"/>
        </w:rPr>
        <w:tab/>
      </w:r>
      <w:r>
        <w:rPr>
          <w:rFonts w:ascii="Arial" w:hAnsi="Arial"/>
          <w:color w:val="1C1C1C"/>
          <w:w w:val="105"/>
          <w:sz w:val="21"/>
        </w:rPr>
        <w:t>These</w:t>
      </w:r>
      <w:r>
        <w:rPr>
          <w:rFonts w:ascii="Arial" w:hAnsi="Arial"/>
          <w:color w:val="1C1C1C"/>
          <w:spacing w:val="68"/>
          <w:w w:val="105"/>
          <w:sz w:val="21"/>
        </w:rPr>
        <w:t xml:space="preserve"> </w:t>
      </w:r>
      <w:r>
        <w:rPr>
          <w:rFonts w:ascii="Arial" w:hAnsi="Arial"/>
          <w:color w:val="1C1C1C"/>
          <w:w w:val="105"/>
          <w:sz w:val="21"/>
        </w:rPr>
        <w:t>points</w:t>
      </w:r>
      <w:r>
        <w:rPr>
          <w:rFonts w:ascii="Arial" w:hAnsi="Arial"/>
          <w:color w:val="1C1C1C"/>
          <w:spacing w:val="80"/>
          <w:w w:val="105"/>
          <w:sz w:val="21"/>
        </w:rPr>
        <w:t xml:space="preserve"> </w:t>
      </w:r>
      <w:r>
        <w:rPr>
          <w:rFonts w:ascii="Arial" w:hAnsi="Arial"/>
          <w:color w:val="1C1C1C"/>
          <w:w w:val="105"/>
          <w:sz w:val="21"/>
        </w:rPr>
        <w:t>were</w:t>
      </w:r>
      <w:r>
        <w:rPr>
          <w:rFonts w:ascii="Arial" w:hAnsi="Arial"/>
          <w:color w:val="1C1C1C"/>
          <w:spacing w:val="78"/>
          <w:w w:val="105"/>
          <w:sz w:val="21"/>
        </w:rPr>
        <w:t xml:space="preserve"> </w:t>
      </w:r>
      <w:r>
        <w:rPr>
          <w:rFonts w:ascii="Arial" w:hAnsi="Arial"/>
          <w:color w:val="1C1C1C"/>
          <w:w w:val="105"/>
          <w:sz w:val="21"/>
        </w:rPr>
        <w:t>the</w:t>
      </w:r>
      <w:r>
        <w:rPr>
          <w:rFonts w:ascii="Arial" w:hAnsi="Arial"/>
          <w:color w:val="1C1C1C"/>
          <w:spacing w:val="80"/>
          <w:w w:val="105"/>
          <w:sz w:val="21"/>
        </w:rPr>
        <w:t xml:space="preserve"> </w:t>
      </w:r>
      <w:r>
        <w:rPr>
          <w:rFonts w:ascii="Arial" w:hAnsi="Arial"/>
          <w:color w:val="1C1C1C"/>
          <w:w w:val="105"/>
          <w:sz w:val="21"/>
        </w:rPr>
        <w:t>key</w:t>
      </w:r>
      <w:r>
        <w:rPr>
          <w:rFonts w:ascii="Arial" w:hAnsi="Arial"/>
          <w:color w:val="1C1C1C"/>
          <w:spacing w:val="59"/>
          <w:w w:val="105"/>
          <w:sz w:val="21"/>
        </w:rPr>
        <w:t xml:space="preserve"> </w:t>
      </w:r>
      <w:r>
        <w:rPr>
          <w:rFonts w:ascii="Arial" w:hAnsi="Arial"/>
          <w:color w:val="1C1C1C"/>
          <w:w w:val="105"/>
          <w:sz w:val="21"/>
        </w:rPr>
        <w:t>pieces</w:t>
      </w:r>
      <w:r>
        <w:rPr>
          <w:rFonts w:ascii="Arial" w:hAnsi="Arial"/>
          <w:color w:val="1C1C1C"/>
          <w:spacing w:val="80"/>
          <w:w w:val="105"/>
          <w:sz w:val="21"/>
        </w:rPr>
        <w:t xml:space="preserve"> </w:t>
      </w:r>
      <w:r>
        <w:rPr>
          <w:rFonts w:ascii="Arial" w:hAnsi="Arial"/>
          <w:color w:val="1C1C1C"/>
          <w:w w:val="105"/>
          <w:sz w:val="21"/>
        </w:rPr>
        <w:t>of</w:t>
      </w:r>
      <w:r>
        <w:rPr>
          <w:rFonts w:ascii="Arial" w:hAnsi="Arial"/>
          <w:color w:val="1C1C1C"/>
          <w:spacing w:val="80"/>
          <w:w w:val="105"/>
          <w:sz w:val="21"/>
        </w:rPr>
        <w:t xml:space="preserve"> </w:t>
      </w:r>
      <w:r>
        <w:rPr>
          <w:rFonts w:ascii="Arial" w:hAnsi="Arial"/>
          <w:color w:val="1C1C1C"/>
          <w:w w:val="105"/>
          <w:sz w:val="21"/>
        </w:rPr>
        <w:t>information</w:t>
      </w:r>
      <w:r>
        <w:rPr>
          <w:rFonts w:ascii="Arial" w:hAnsi="Arial"/>
          <w:color w:val="1C1C1C"/>
          <w:spacing w:val="80"/>
          <w:w w:val="105"/>
          <w:sz w:val="21"/>
        </w:rPr>
        <w:t xml:space="preserve"> </w:t>
      </w:r>
      <w:r>
        <w:rPr>
          <w:rFonts w:ascii="Arial" w:hAnsi="Arial"/>
          <w:color w:val="1C1C1C"/>
          <w:w w:val="105"/>
          <w:sz w:val="21"/>
        </w:rPr>
        <w:t>that</w:t>
      </w:r>
      <w:r>
        <w:rPr>
          <w:rFonts w:ascii="Arial" w:hAnsi="Arial"/>
          <w:color w:val="1C1C1C"/>
          <w:spacing w:val="69"/>
          <w:w w:val="105"/>
          <w:sz w:val="21"/>
        </w:rPr>
        <w:t xml:space="preserve"> </w:t>
      </w:r>
      <w:r>
        <w:rPr>
          <w:rFonts w:ascii="Arial" w:hAnsi="Arial"/>
          <w:color w:val="0A0A0A"/>
          <w:w w:val="105"/>
          <w:sz w:val="21"/>
        </w:rPr>
        <w:t>MOFCOM</w:t>
      </w:r>
      <w:r>
        <w:rPr>
          <w:rFonts w:ascii="Arial" w:hAnsi="Arial"/>
          <w:color w:val="0A0A0A"/>
          <w:spacing w:val="80"/>
          <w:w w:val="105"/>
          <w:sz w:val="21"/>
        </w:rPr>
        <w:t xml:space="preserve"> </w:t>
      </w:r>
      <w:r>
        <w:rPr>
          <w:rFonts w:ascii="Arial" w:hAnsi="Arial"/>
          <w:color w:val="1C1C1C"/>
          <w:w w:val="105"/>
          <w:sz w:val="21"/>
        </w:rPr>
        <w:t>was required to</w:t>
      </w:r>
      <w:r>
        <w:rPr>
          <w:rFonts w:ascii="Arial" w:hAnsi="Arial"/>
          <w:color w:val="1C1C1C"/>
          <w:spacing w:val="80"/>
          <w:w w:val="105"/>
          <w:sz w:val="21"/>
        </w:rPr>
        <w:t xml:space="preserve"> </w:t>
      </w:r>
      <w:r>
        <w:rPr>
          <w:rFonts w:ascii="Arial" w:hAnsi="Arial"/>
          <w:color w:val="0A0A0A"/>
          <w:w w:val="105"/>
          <w:sz w:val="21"/>
        </w:rPr>
        <w:t>be</w:t>
      </w:r>
      <w:r>
        <w:rPr>
          <w:rFonts w:ascii="Arial" w:hAnsi="Arial"/>
          <w:color w:val="0A0A0A"/>
          <w:spacing w:val="73"/>
          <w:w w:val="105"/>
          <w:sz w:val="21"/>
        </w:rPr>
        <w:t xml:space="preserve"> </w:t>
      </w:r>
      <w:r>
        <w:rPr>
          <w:rFonts w:ascii="Arial" w:hAnsi="Arial"/>
          <w:color w:val="1C1C1C"/>
          <w:w w:val="105"/>
          <w:sz w:val="21"/>
        </w:rPr>
        <w:t>satisfied</w:t>
      </w:r>
      <w:r>
        <w:rPr>
          <w:rFonts w:ascii="Arial" w:hAnsi="Arial"/>
          <w:color w:val="1C1C1C"/>
          <w:spacing w:val="40"/>
          <w:w w:val="105"/>
          <w:sz w:val="21"/>
        </w:rPr>
        <w:t xml:space="preserve"> </w:t>
      </w:r>
      <w:r>
        <w:rPr>
          <w:rFonts w:ascii="Arial" w:hAnsi="Arial"/>
          <w:color w:val="0A0A0A"/>
          <w:w w:val="105"/>
          <w:sz w:val="21"/>
        </w:rPr>
        <w:t>that</w:t>
      </w:r>
      <w:r>
        <w:rPr>
          <w:rFonts w:ascii="Arial" w:hAnsi="Arial"/>
          <w:color w:val="0A0A0A"/>
          <w:spacing w:val="40"/>
          <w:w w:val="105"/>
          <w:sz w:val="21"/>
        </w:rPr>
        <w:t xml:space="preserve"> </w:t>
      </w:r>
      <w:r>
        <w:rPr>
          <w:rFonts w:ascii="Arial" w:hAnsi="Arial"/>
          <w:color w:val="0A0A0A"/>
          <w:w w:val="105"/>
          <w:sz w:val="21"/>
        </w:rPr>
        <w:t>CADA's</w:t>
      </w:r>
      <w:r>
        <w:rPr>
          <w:rFonts w:ascii="Arial" w:hAnsi="Arial"/>
          <w:color w:val="0A0A0A"/>
          <w:spacing w:val="40"/>
          <w:w w:val="105"/>
          <w:sz w:val="21"/>
        </w:rPr>
        <w:t xml:space="preserve"> </w:t>
      </w:r>
      <w:r>
        <w:rPr>
          <w:rFonts w:ascii="Arial" w:hAnsi="Arial"/>
          <w:color w:val="1C1C1C"/>
          <w:w w:val="105"/>
          <w:sz w:val="21"/>
        </w:rPr>
        <w:t>application</w:t>
      </w:r>
      <w:r>
        <w:rPr>
          <w:rFonts w:ascii="Arial" w:hAnsi="Arial"/>
          <w:color w:val="1C1C1C"/>
          <w:spacing w:val="40"/>
          <w:w w:val="105"/>
          <w:sz w:val="21"/>
        </w:rPr>
        <w:t xml:space="preserve"> </w:t>
      </w:r>
      <w:r>
        <w:rPr>
          <w:rFonts w:ascii="Arial" w:hAnsi="Arial"/>
          <w:color w:val="0A0A0A"/>
          <w:w w:val="105"/>
          <w:sz w:val="21"/>
        </w:rPr>
        <w:t>met</w:t>
      </w:r>
      <w:r>
        <w:rPr>
          <w:rFonts w:ascii="Arial" w:hAnsi="Arial"/>
          <w:color w:val="0A0A0A"/>
          <w:spacing w:val="68"/>
          <w:w w:val="105"/>
          <w:sz w:val="21"/>
        </w:rPr>
        <w:t xml:space="preserve"> </w:t>
      </w:r>
      <w:r>
        <w:rPr>
          <w:rFonts w:ascii="Arial" w:hAnsi="Arial"/>
          <w:color w:val="0A0A0A"/>
          <w:w w:val="105"/>
          <w:sz w:val="21"/>
        </w:rPr>
        <w:t>the</w:t>
      </w:r>
      <w:r>
        <w:rPr>
          <w:rFonts w:ascii="Arial" w:hAnsi="Arial"/>
          <w:color w:val="0A0A0A"/>
          <w:spacing w:val="70"/>
          <w:w w:val="105"/>
          <w:sz w:val="21"/>
        </w:rPr>
        <w:t xml:space="preserve"> </w:t>
      </w:r>
      <w:r>
        <w:rPr>
          <w:rFonts w:ascii="Arial" w:hAnsi="Arial"/>
          <w:color w:val="1C1C1C"/>
          <w:w w:val="105"/>
          <w:sz w:val="21"/>
        </w:rPr>
        <w:t>requirements</w:t>
      </w:r>
      <w:r>
        <w:rPr>
          <w:rFonts w:ascii="Arial" w:hAnsi="Arial"/>
          <w:color w:val="1C1C1C"/>
          <w:spacing w:val="40"/>
          <w:w w:val="105"/>
          <w:sz w:val="21"/>
        </w:rPr>
        <w:t xml:space="preserve"> </w:t>
      </w:r>
      <w:r>
        <w:rPr>
          <w:rFonts w:ascii="Arial" w:hAnsi="Arial"/>
          <w:color w:val="1C1C1C"/>
          <w:w w:val="105"/>
          <w:sz w:val="21"/>
        </w:rPr>
        <w:t>of</w:t>
      </w:r>
      <w:r>
        <w:rPr>
          <w:rFonts w:ascii="Arial" w:hAnsi="Arial"/>
          <w:color w:val="1C1C1C"/>
          <w:spacing w:val="70"/>
          <w:w w:val="105"/>
          <w:sz w:val="21"/>
        </w:rPr>
        <w:t xml:space="preserve"> </w:t>
      </w:r>
      <w:r>
        <w:rPr>
          <w:rFonts w:ascii="Arial" w:hAnsi="Arial"/>
          <w:color w:val="1C1C1C"/>
          <w:w w:val="105"/>
          <w:sz w:val="21"/>
        </w:rPr>
        <w:t>Article</w:t>
      </w:r>
      <w:r>
        <w:rPr>
          <w:rFonts w:ascii="Arial" w:hAnsi="Arial"/>
          <w:color w:val="1C1C1C"/>
          <w:spacing w:val="40"/>
          <w:w w:val="105"/>
          <w:sz w:val="21"/>
        </w:rPr>
        <w:t xml:space="preserve"> </w:t>
      </w:r>
      <w:r>
        <w:rPr>
          <w:rFonts w:ascii="Arial" w:hAnsi="Arial"/>
          <w:color w:val="1C1C1C"/>
          <w:w w:val="105"/>
          <w:sz w:val="21"/>
        </w:rPr>
        <w:t>5.4</w:t>
      </w:r>
      <w:r>
        <w:rPr>
          <w:rFonts w:ascii="Arial" w:hAnsi="Arial"/>
          <w:color w:val="1C1C1C"/>
          <w:spacing w:val="40"/>
          <w:w w:val="105"/>
          <w:sz w:val="21"/>
        </w:rPr>
        <w:t xml:space="preserve"> </w:t>
      </w:r>
      <w:r>
        <w:rPr>
          <w:rFonts w:ascii="Arial" w:hAnsi="Arial"/>
          <w:color w:val="1C1C1C"/>
          <w:w w:val="105"/>
          <w:sz w:val="21"/>
        </w:rPr>
        <w:t>of</w:t>
      </w:r>
      <w:r>
        <w:rPr>
          <w:rFonts w:ascii="Arial" w:hAnsi="Arial"/>
          <w:color w:val="1C1C1C"/>
          <w:spacing w:val="40"/>
          <w:w w:val="105"/>
          <w:sz w:val="21"/>
        </w:rPr>
        <w:t xml:space="preserve"> </w:t>
      </w:r>
      <w:r>
        <w:rPr>
          <w:rFonts w:ascii="Arial" w:hAnsi="Arial"/>
          <w:color w:val="1C1C1C"/>
          <w:w w:val="105"/>
          <w:sz w:val="21"/>
        </w:rPr>
        <w:t>the</w:t>
      </w:r>
      <w:r>
        <w:rPr>
          <w:rFonts w:ascii="Arial" w:hAnsi="Arial"/>
          <w:color w:val="1C1C1C"/>
          <w:spacing w:val="71"/>
          <w:w w:val="105"/>
          <w:sz w:val="21"/>
        </w:rPr>
        <w:t xml:space="preserve"> </w:t>
      </w:r>
      <w:r>
        <w:rPr>
          <w:rFonts w:ascii="Arial" w:hAnsi="Arial"/>
          <w:color w:val="1C1C1C"/>
          <w:w w:val="105"/>
          <w:sz w:val="21"/>
        </w:rPr>
        <w:t xml:space="preserve">Anti­ </w:t>
      </w:r>
      <w:r>
        <w:rPr>
          <w:rFonts w:ascii="Arial" w:hAnsi="Arial"/>
          <w:color w:val="0A0A0A"/>
          <w:w w:val="105"/>
          <w:sz w:val="21"/>
        </w:rPr>
        <w:t xml:space="preserve">Dumping </w:t>
      </w:r>
      <w:r>
        <w:rPr>
          <w:rFonts w:ascii="Arial" w:hAnsi="Arial"/>
          <w:color w:val="1C1C1C"/>
          <w:w w:val="105"/>
          <w:sz w:val="21"/>
        </w:rPr>
        <w:t xml:space="preserve">Agreement. </w:t>
      </w:r>
      <w:r>
        <w:rPr>
          <w:rFonts w:ascii="Arial" w:hAnsi="Arial"/>
          <w:color w:val="0A0A0A"/>
          <w:w w:val="105"/>
          <w:sz w:val="21"/>
        </w:rPr>
        <w:t xml:space="preserve">If </w:t>
      </w:r>
      <w:r>
        <w:rPr>
          <w:rFonts w:ascii="Arial" w:hAnsi="Arial"/>
          <w:color w:val="1C1C1C"/>
          <w:w w:val="105"/>
          <w:sz w:val="21"/>
        </w:rPr>
        <w:t xml:space="preserve">they were </w:t>
      </w:r>
      <w:r>
        <w:rPr>
          <w:rFonts w:ascii="Arial" w:hAnsi="Arial"/>
          <w:color w:val="0A0A0A"/>
          <w:w w:val="105"/>
          <w:sz w:val="21"/>
        </w:rPr>
        <w:t xml:space="preserve">not </w:t>
      </w:r>
      <w:r>
        <w:rPr>
          <w:rFonts w:ascii="Arial" w:hAnsi="Arial"/>
          <w:color w:val="1C1C1C"/>
          <w:w w:val="105"/>
          <w:sz w:val="21"/>
        </w:rPr>
        <w:t xml:space="preserve">included </w:t>
      </w:r>
      <w:r>
        <w:rPr>
          <w:rFonts w:ascii="Arial" w:hAnsi="Arial"/>
          <w:color w:val="0A0A0A"/>
          <w:w w:val="105"/>
          <w:sz w:val="21"/>
        </w:rPr>
        <w:t xml:space="preserve">in </w:t>
      </w:r>
      <w:r>
        <w:rPr>
          <w:rFonts w:ascii="Arial" w:hAnsi="Arial"/>
          <w:color w:val="1C1C1C"/>
          <w:w w:val="105"/>
          <w:sz w:val="21"/>
        </w:rPr>
        <w:t xml:space="preserve">Annex 3 of CADA's application, </w:t>
      </w:r>
      <w:r>
        <w:rPr>
          <w:rFonts w:ascii="Arial" w:hAnsi="Arial"/>
          <w:color w:val="0A0A0A"/>
          <w:w w:val="105"/>
          <w:sz w:val="21"/>
        </w:rPr>
        <w:t xml:space="preserve">MOFCOM </w:t>
      </w:r>
      <w:r>
        <w:rPr>
          <w:rFonts w:ascii="Arial" w:hAnsi="Arial"/>
          <w:color w:val="1C1C1C"/>
          <w:w w:val="105"/>
          <w:sz w:val="21"/>
        </w:rPr>
        <w:t>could</w:t>
      </w:r>
      <w:r>
        <w:rPr>
          <w:rFonts w:ascii="Arial" w:hAnsi="Arial"/>
          <w:color w:val="1C1C1C"/>
          <w:spacing w:val="80"/>
          <w:w w:val="105"/>
          <w:sz w:val="21"/>
        </w:rPr>
        <w:t xml:space="preserve"> </w:t>
      </w:r>
      <w:r>
        <w:rPr>
          <w:rFonts w:ascii="Arial" w:hAnsi="Arial"/>
          <w:color w:val="1C1C1C"/>
          <w:w w:val="105"/>
          <w:sz w:val="21"/>
        </w:rPr>
        <w:t>not</w:t>
      </w:r>
      <w:r>
        <w:rPr>
          <w:rFonts w:ascii="Arial" w:hAnsi="Arial"/>
          <w:color w:val="1C1C1C"/>
          <w:spacing w:val="80"/>
          <w:w w:val="105"/>
          <w:sz w:val="21"/>
        </w:rPr>
        <w:t xml:space="preserve"> </w:t>
      </w:r>
      <w:r>
        <w:rPr>
          <w:rFonts w:ascii="Arial" w:hAnsi="Arial"/>
          <w:color w:val="0A0A0A"/>
          <w:w w:val="105"/>
          <w:sz w:val="21"/>
        </w:rPr>
        <w:t>have</w:t>
      </w:r>
      <w:r>
        <w:rPr>
          <w:rFonts w:ascii="Arial" w:hAnsi="Arial"/>
          <w:color w:val="0A0A0A"/>
          <w:spacing w:val="80"/>
          <w:w w:val="105"/>
          <w:sz w:val="21"/>
        </w:rPr>
        <w:t xml:space="preserve"> </w:t>
      </w:r>
      <w:r>
        <w:rPr>
          <w:rFonts w:ascii="Arial" w:hAnsi="Arial"/>
          <w:color w:val="0A0A0A"/>
          <w:w w:val="105"/>
          <w:sz w:val="21"/>
        </w:rPr>
        <w:t>been</w:t>
      </w:r>
      <w:r>
        <w:rPr>
          <w:rFonts w:ascii="Arial" w:hAnsi="Arial"/>
          <w:color w:val="0A0A0A"/>
          <w:spacing w:val="80"/>
          <w:w w:val="105"/>
          <w:sz w:val="21"/>
        </w:rPr>
        <w:t xml:space="preserve"> </w:t>
      </w:r>
      <w:r>
        <w:rPr>
          <w:rFonts w:ascii="Arial" w:hAnsi="Arial"/>
          <w:color w:val="1C1C1C"/>
          <w:w w:val="105"/>
          <w:sz w:val="21"/>
        </w:rPr>
        <w:t>satisfied</w:t>
      </w:r>
      <w:r>
        <w:rPr>
          <w:rFonts w:ascii="Arial" w:hAnsi="Arial"/>
          <w:color w:val="1C1C1C"/>
          <w:spacing w:val="80"/>
          <w:w w:val="105"/>
          <w:sz w:val="21"/>
        </w:rPr>
        <w:t xml:space="preserve"> </w:t>
      </w:r>
      <w:r>
        <w:rPr>
          <w:rFonts w:ascii="Arial" w:hAnsi="Arial"/>
          <w:color w:val="0A0A0A"/>
          <w:w w:val="105"/>
          <w:sz w:val="21"/>
        </w:rPr>
        <w:t>that</w:t>
      </w:r>
      <w:r>
        <w:rPr>
          <w:rFonts w:ascii="Arial" w:hAnsi="Arial"/>
          <w:color w:val="0A0A0A"/>
          <w:spacing w:val="80"/>
          <w:w w:val="105"/>
          <w:sz w:val="21"/>
        </w:rPr>
        <w:t xml:space="preserve"> </w:t>
      </w:r>
      <w:r>
        <w:rPr>
          <w:rFonts w:ascii="Arial" w:hAnsi="Arial"/>
          <w:color w:val="1C1C1C"/>
          <w:w w:val="105"/>
          <w:sz w:val="21"/>
        </w:rPr>
        <w:t>the</w:t>
      </w:r>
      <w:r>
        <w:rPr>
          <w:rFonts w:ascii="Arial" w:hAnsi="Arial"/>
          <w:color w:val="1C1C1C"/>
          <w:spacing w:val="69"/>
          <w:w w:val="105"/>
          <w:sz w:val="21"/>
        </w:rPr>
        <w:t xml:space="preserve"> </w:t>
      </w:r>
      <w:r>
        <w:rPr>
          <w:rFonts w:ascii="Arial" w:hAnsi="Arial"/>
          <w:color w:val="1C1C1C"/>
          <w:w w:val="105"/>
          <w:sz w:val="21"/>
        </w:rPr>
        <w:t>application</w:t>
      </w:r>
      <w:r>
        <w:rPr>
          <w:rFonts w:ascii="Arial" w:hAnsi="Arial"/>
          <w:color w:val="1C1C1C"/>
          <w:spacing w:val="80"/>
          <w:w w:val="105"/>
          <w:sz w:val="21"/>
        </w:rPr>
        <w:t xml:space="preserve"> </w:t>
      </w:r>
      <w:r>
        <w:rPr>
          <w:rFonts w:ascii="Arial" w:hAnsi="Arial"/>
          <w:color w:val="1C1C1C"/>
          <w:w w:val="105"/>
          <w:sz w:val="21"/>
        </w:rPr>
        <w:t>was</w:t>
      </w:r>
      <w:r>
        <w:rPr>
          <w:rFonts w:ascii="Arial" w:hAnsi="Arial"/>
          <w:color w:val="1C1C1C"/>
          <w:spacing w:val="80"/>
          <w:w w:val="105"/>
          <w:sz w:val="21"/>
        </w:rPr>
        <w:t xml:space="preserve"> </w:t>
      </w:r>
      <w:r>
        <w:rPr>
          <w:rFonts w:ascii="Arial" w:hAnsi="Arial"/>
          <w:color w:val="0A0A0A"/>
          <w:w w:val="105"/>
          <w:sz w:val="21"/>
        </w:rPr>
        <w:t>made</w:t>
      </w:r>
      <w:r>
        <w:rPr>
          <w:rFonts w:ascii="Arial" w:hAnsi="Arial"/>
          <w:color w:val="0A0A0A"/>
          <w:spacing w:val="80"/>
          <w:w w:val="105"/>
          <w:sz w:val="21"/>
        </w:rPr>
        <w:t xml:space="preserve"> </w:t>
      </w:r>
      <w:r>
        <w:rPr>
          <w:rFonts w:ascii="Arial" w:hAnsi="Arial"/>
          <w:color w:val="1C1C1C"/>
          <w:w w:val="105"/>
          <w:sz w:val="21"/>
        </w:rPr>
        <w:t>on</w:t>
      </w:r>
      <w:r>
        <w:rPr>
          <w:rFonts w:ascii="Arial" w:hAnsi="Arial"/>
          <w:color w:val="1C1C1C"/>
          <w:spacing w:val="80"/>
          <w:w w:val="105"/>
          <w:sz w:val="21"/>
        </w:rPr>
        <w:t xml:space="preserve"> </w:t>
      </w:r>
      <w:r>
        <w:rPr>
          <w:rFonts w:ascii="Arial" w:hAnsi="Arial"/>
          <w:color w:val="0A0A0A"/>
          <w:w w:val="105"/>
          <w:sz w:val="21"/>
        </w:rPr>
        <w:t>behalf</w:t>
      </w:r>
      <w:r>
        <w:rPr>
          <w:rFonts w:ascii="Arial" w:hAnsi="Arial"/>
          <w:color w:val="0A0A0A"/>
          <w:spacing w:val="80"/>
          <w:w w:val="105"/>
          <w:sz w:val="21"/>
        </w:rPr>
        <w:t xml:space="preserve"> </w:t>
      </w:r>
      <w:r>
        <w:rPr>
          <w:rFonts w:ascii="Arial" w:hAnsi="Arial"/>
          <w:color w:val="1C1C1C"/>
          <w:w w:val="105"/>
          <w:sz w:val="21"/>
        </w:rPr>
        <w:t>of</w:t>
      </w:r>
      <w:r>
        <w:rPr>
          <w:rFonts w:ascii="Arial" w:hAnsi="Arial"/>
          <w:color w:val="1C1C1C"/>
          <w:spacing w:val="80"/>
          <w:w w:val="105"/>
          <w:sz w:val="21"/>
        </w:rPr>
        <w:t xml:space="preserve"> </w:t>
      </w:r>
      <w:r>
        <w:rPr>
          <w:rFonts w:ascii="Arial" w:hAnsi="Arial"/>
          <w:color w:val="1C1C1C"/>
          <w:w w:val="105"/>
          <w:sz w:val="21"/>
        </w:rPr>
        <w:t>domestic industry.</w:t>
      </w:r>
      <w:r>
        <w:rPr>
          <w:rFonts w:ascii="Times New Roman" w:hAnsi="Times New Roman"/>
          <w:color w:val="1C1C1C"/>
          <w:w w:val="105"/>
          <w:position w:val="7"/>
          <w:sz w:val="15"/>
        </w:rPr>
        <w:t>1016</w:t>
      </w:r>
      <w:r>
        <w:rPr>
          <w:rFonts w:ascii="Times New Roman" w:hAnsi="Times New Roman"/>
          <w:color w:val="1C1C1C"/>
          <w:spacing w:val="80"/>
          <w:w w:val="105"/>
          <w:position w:val="7"/>
          <w:sz w:val="15"/>
        </w:rPr>
        <w:t xml:space="preserve"> </w:t>
      </w:r>
      <w:r>
        <w:rPr>
          <w:rFonts w:ascii="Arial" w:hAnsi="Arial"/>
          <w:color w:val="0A0A0A"/>
          <w:w w:val="105"/>
          <w:sz w:val="21"/>
        </w:rPr>
        <w:t>If</w:t>
      </w:r>
      <w:r>
        <w:rPr>
          <w:rFonts w:ascii="Arial" w:hAnsi="Arial"/>
          <w:color w:val="0A0A0A"/>
          <w:spacing w:val="40"/>
          <w:w w:val="105"/>
          <w:sz w:val="21"/>
        </w:rPr>
        <w:t xml:space="preserve"> </w:t>
      </w:r>
      <w:r>
        <w:rPr>
          <w:rFonts w:ascii="Arial" w:hAnsi="Arial"/>
          <w:color w:val="1C1C1C"/>
          <w:w w:val="105"/>
          <w:sz w:val="21"/>
        </w:rPr>
        <w:t>they</w:t>
      </w:r>
      <w:r>
        <w:rPr>
          <w:rFonts w:ascii="Arial" w:hAnsi="Arial"/>
          <w:color w:val="1C1C1C"/>
          <w:spacing w:val="40"/>
          <w:w w:val="105"/>
          <w:sz w:val="21"/>
        </w:rPr>
        <w:t xml:space="preserve"> </w:t>
      </w:r>
      <w:r>
        <w:rPr>
          <w:rFonts w:ascii="Arial" w:hAnsi="Arial"/>
          <w:color w:val="1C1C1C"/>
          <w:w w:val="105"/>
          <w:sz w:val="21"/>
        </w:rPr>
        <w:t>were</w:t>
      </w:r>
      <w:r>
        <w:rPr>
          <w:rFonts w:ascii="Arial" w:hAnsi="Arial"/>
          <w:color w:val="1C1C1C"/>
          <w:spacing w:val="40"/>
          <w:w w:val="105"/>
          <w:sz w:val="21"/>
        </w:rPr>
        <w:t xml:space="preserve"> </w:t>
      </w:r>
      <w:r>
        <w:rPr>
          <w:rFonts w:ascii="Arial" w:hAnsi="Arial"/>
          <w:color w:val="0A0A0A"/>
          <w:w w:val="105"/>
          <w:sz w:val="21"/>
        </w:rPr>
        <w:t>included</w:t>
      </w:r>
      <w:r>
        <w:rPr>
          <w:rFonts w:ascii="Arial" w:hAnsi="Arial"/>
          <w:color w:val="0A0A0A"/>
          <w:spacing w:val="40"/>
          <w:w w:val="105"/>
          <w:sz w:val="21"/>
        </w:rPr>
        <w:t xml:space="preserve"> </w:t>
      </w:r>
      <w:r>
        <w:rPr>
          <w:rFonts w:ascii="Arial" w:hAnsi="Arial"/>
          <w:color w:val="1C1C1C"/>
          <w:w w:val="105"/>
          <w:sz w:val="21"/>
        </w:rPr>
        <w:t>in</w:t>
      </w:r>
      <w:r>
        <w:rPr>
          <w:rFonts w:ascii="Arial" w:hAnsi="Arial"/>
          <w:color w:val="1C1C1C"/>
          <w:spacing w:val="40"/>
          <w:w w:val="105"/>
          <w:sz w:val="21"/>
        </w:rPr>
        <w:t xml:space="preserve"> </w:t>
      </w:r>
      <w:r>
        <w:rPr>
          <w:rFonts w:ascii="Arial" w:hAnsi="Arial"/>
          <w:color w:val="1C1C1C"/>
          <w:w w:val="105"/>
          <w:sz w:val="21"/>
        </w:rPr>
        <w:t>Annex</w:t>
      </w:r>
      <w:r>
        <w:rPr>
          <w:rFonts w:ascii="Arial" w:hAnsi="Arial"/>
          <w:color w:val="1C1C1C"/>
          <w:spacing w:val="40"/>
          <w:w w:val="105"/>
          <w:sz w:val="21"/>
        </w:rPr>
        <w:t xml:space="preserve"> </w:t>
      </w:r>
      <w:r>
        <w:rPr>
          <w:rFonts w:ascii="Arial" w:hAnsi="Arial"/>
          <w:color w:val="1C1C1C"/>
          <w:w w:val="105"/>
          <w:sz w:val="21"/>
        </w:rPr>
        <w:t>3,</w:t>
      </w:r>
      <w:r>
        <w:rPr>
          <w:rFonts w:ascii="Arial" w:hAnsi="Arial"/>
          <w:color w:val="1C1C1C"/>
          <w:spacing w:val="40"/>
          <w:w w:val="105"/>
          <w:sz w:val="21"/>
        </w:rPr>
        <w:t xml:space="preserve"> </w:t>
      </w:r>
      <w:r>
        <w:rPr>
          <w:rFonts w:ascii="Arial" w:hAnsi="Arial"/>
          <w:color w:val="1C1C1C"/>
          <w:w w:val="105"/>
          <w:sz w:val="21"/>
        </w:rPr>
        <w:t>CADA</w:t>
      </w:r>
      <w:r>
        <w:rPr>
          <w:rFonts w:ascii="Arial" w:hAnsi="Arial"/>
          <w:color w:val="1C1C1C"/>
          <w:spacing w:val="40"/>
          <w:w w:val="105"/>
          <w:sz w:val="21"/>
        </w:rPr>
        <w:t xml:space="preserve"> </w:t>
      </w:r>
      <w:r>
        <w:rPr>
          <w:rFonts w:ascii="Arial" w:hAnsi="Arial"/>
          <w:color w:val="1C1C1C"/>
          <w:w w:val="105"/>
          <w:sz w:val="21"/>
        </w:rPr>
        <w:t>failed</w:t>
      </w:r>
      <w:r>
        <w:rPr>
          <w:rFonts w:ascii="Arial" w:hAnsi="Arial"/>
          <w:color w:val="1C1C1C"/>
          <w:spacing w:val="40"/>
          <w:w w:val="105"/>
          <w:sz w:val="21"/>
        </w:rPr>
        <w:t xml:space="preserve"> </w:t>
      </w:r>
      <w:r>
        <w:rPr>
          <w:rFonts w:ascii="Arial" w:hAnsi="Arial"/>
          <w:color w:val="1C1C1C"/>
          <w:w w:val="105"/>
          <w:sz w:val="21"/>
        </w:rPr>
        <w:t>to</w:t>
      </w:r>
      <w:r>
        <w:rPr>
          <w:rFonts w:ascii="Arial" w:hAnsi="Arial"/>
          <w:color w:val="1C1C1C"/>
          <w:spacing w:val="78"/>
          <w:w w:val="105"/>
          <w:sz w:val="21"/>
        </w:rPr>
        <w:t xml:space="preserve"> </w:t>
      </w:r>
      <w:r>
        <w:rPr>
          <w:rFonts w:ascii="Arial" w:hAnsi="Arial"/>
          <w:color w:val="1C1C1C"/>
          <w:w w:val="105"/>
          <w:sz w:val="21"/>
        </w:rPr>
        <w:t>show</w:t>
      </w:r>
      <w:r>
        <w:rPr>
          <w:rFonts w:ascii="Arial" w:hAnsi="Arial"/>
          <w:color w:val="1C1C1C"/>
          <w:spacing w:val="40"/>
          <w:w w:val="105"/>
          <w:sz w:val="21"/>
        </w:rPr>
        <w:t xml:space="preserve"> </w:t>
      </w:r>
      <w:r>
        <w:rPr>
          <w:rFonts w:ascii="Arial" w:hAnsi="Arial"/>
          <w:color w:val="1C1C1C"/>
          <w:w w:val="105"/>
          <w:sz w:val="21"/>
        </w:rPr>
        <w:t>"good</w:t>
      </w:r>
      <w:r>
        <w:rPr>
          <w:rFonts w:ascii="Arial" w:hAnsi="Arial"/>
          <w:color w:val="1C1C1C"/>
          <w:spacing w:val="40"/>
          <w:w w:val="105"/>
          <w:sz w:val="21"/>
        </w:rPr>
        <w:t xml:space="preserve"> </w:t>
      </w:r>
      <w:r>
        <w:rPr>
          <w:rFonts w:ascii="Arial" w:hAnsi="Arial"/>
          <w:color w:val="1C1C1C"/>
          <w:w w:val="105"/>
          <w:sz w:val="21"/>
        </w:rPr>
        <w:t>cause",</w:t>
      </w:r>
      <w:r>
        <w:rPr>
          <w:rFonts w:ascii="Arial" w:hAnsi="Arial"/>
          <w:color w:val="1C1C1C"/>
          <w:spacing w:val="40"/>
          <w:w w:val="105"/>
          <w:sz w:val="21"/>
        </w:rPr>
        <w:t xml:space="preserve"> </w:t>
      </w:r>
      <w:r>
        <w:rPr>
          <w:rFonts w:ascii="Arial" w:hAnsi="Arial"/>
          <w:color w:val="1C1C1C"/>
          <w:w w:val="105"/>
          <w:sz w:val="21"/>
        </w:rPr>
        <w:t xml:space="preserve">and </w:t>
      </w:r>
      <w:r>
        <w:rPr>
          <w:rFonts w:ascii="Arial" w:hAnsi="Arial"/>
          <w:color w:val="0A0A0A"/>
          <w:w w:val="105"/>
          <w:sz w:val="21"/>
        </w:rPr>
        <w:t>MOFCOM</w:t>
      </w:r>
      <w:r>
        <w:rPr>
          <w:rFonts w:ascii="Arial" w:hAnsi="Arial"/>
          <w:color w:val="0A0A0A"/>
          <w:spacing w:val="76"/>
          <w:w w:val="105"/>
          <w:sz w:val="21"/>
        </w:rPr>
        <w:t xml:space="preserve"> </w:t>
      </w:r>
      <w:r>
        <w:rPr>
          <w:rFonts w:ascii="Arial" w:hAnsi="Arial"/>
          <w:color w:val="1C1C1C"/>
          <w:w w:val="105"/>
          <w:sz w:val="21"/>
        </w:rPr>
        <w:t>failed</w:t>
      </w:r>
      <w:r>
        <w:rPr>
          <w:rFonts w:ascii="Arial" w:hAnsi="Arial"/>
          <w:color w:val="1C1C1C"/>
          <w:spacing w:val="40"/>
          <w:w w:val="105"/>
          <w:sz w:val="21"/>
        </w:rPr>
        <w:t xml:space="preserve"> </w:t>
      </w:r>
      <w:r>
        <w:rPr>
          <w:rFonts w:ascii="Arial" w:hAnsi="Arial"/>
          <w:color w:val="1C1C1C"/>
          <w:w w:val="105"/>
          <w:sz w:val="21"/>
        </w:rPr>
        <w:t>to</w:t>
      </w:r>
      <w:r>
        <w:rPr>
          <w:rFonts w:ascii="Arial" w:hAnsi="Arial"/>
          <w:color w:val="1C1C1C"/>
          <w:spacing w:val="80"/>
          <w:w w:val="105"/>
          <w:sz w:val="21"/>
        </w:rPr>
        <w:t xml:space="preserve"> </w:t>
      </w:r>
      <w:r>
        <w:rPr>
          <w:rFonts w:ascii="Arial" w:hAnsi="Arial"/>
          <w:color w:val="1C1C1C"/>
          <w:w w:val="105"/>
          <w:sz w:val="21"/>
        </w:rPr>
        <w:t>require</w:t>
      </w:r>
      <w:r>
        <w:rPr>
          <w:rFonts w:ascii="Arial" w:hAnsi="Arial"/>
          <w:color w:val="1C1C1C"/>
          <w:spacing w:val="40"/>
          <w:w w:val="105"/>
          <w:sz w:val="21"/>
        </w:rPr>
        <w:t xml:space="preserve"> </w:t>
      </w:r>
      <w:r>
        <w:rPr>
          <w:rFonts w:ascii="Arial" w:hAnsi="Arial"/>
          <w:color w:val="1C1C1C"/>
          <w:w w:val="105"/>
          <w:sz w:val="21"/>
        </w:rPr>
        <w:t>"good</w:t>
      </w:r>
      <w:r>
        <w:rPr>
          <w:rFonts w:ascii="Arial" w:hAnsi="Arial"/>
          <w:color w:val="1C1C1C"/>
          <w:spacing w:val="40"/>
          <w:w w:val="105"/>
          <w:sz w:val="21"/>
        </w:rPr>
        <w:t xml:space="preserve"> </w:t>
      </w:r>
      <w:r>
        <w:rPr>
          <w:rFonts w:ascii="Arial" w:hAnsi="Arial"/>
          <w:color w:val="1C1C1C"/>
          <w:w w:val="105"/>
          <w:sz w:val="21"/>
        </w:rPr>
        <w:t>cause"</w:t>
      </w:r>
      <w:r>
        <w:rPr>
          <w:rFonts w:ascii="Arial" w:hAnsi="Arial"/>
          <w:color w:val="1C1C1C"/>
          <w:spacing w:val="40"/>
          <w:w w:val="105"/>
          <w:sz w:val="21"/>
        </w:rPr>
        <w:t xml:space="preserve"> </w:t>
      </w:r>
      <w:r>
        <w:rPr>
          <w:rFonts w:ascii="Arial" w:hAnsi="Arial"/>
          <w:color w:val="1C1C1C"/>
          <w:w w:val="105"/>
          <w:sz w:val="21"/>
        </w:rPr>
        <w:t>to</w:t>
      </w:r>
      <w:r>
        <w:rPr>
          <w:rFonts w:ascii="Arial" w:hAnsi="Arial"/>
          <w:color w:val="1C1C1C"/>
          <w:spacing w:val="80"/>
          <w:w w:val="105"/>
          <w:sz w:val="21"/>
        </w:rPr>
        <w:t xml:space="preserve"> </w:t>
      </w:r>
      <w:r>
        <w:rPr>
          <w:rFonts w:ascii="Arial" w:hAnsi="Arial"/>
          <w:color w:val="1C1C1C"/>
          <w:w w:val="105"/>
          <w:sz w:val="21"/>
        </w:rPr>
        <w:t>be</w:t>
      </w:r>
      <w:r>
        <w:rPr>
          <w:rFonts w:ascii="Arial" w:hAnsi="Arial"/>
          <w:color w:val="1C1C1C"/>
          <w:spacing w:val="80"/>
          <w:w w:val="105"/>
          <w:sz w:val="21"/>
        </w:rPr>
        <w:t xml:space="preserve"> </w:t>
      </w:r>
      <w:r>
        <w:rPr>
          <w:rFonts w:ascii="Arial" w:hAnsi="Arial"/>
          <w:color w:val="1C1C1C"/>
          <w:w w:val="105"/>
          <w:sz w:val="21"/>
        </w:rPr>
        <w:t>shown,</w:t>
      </w:r>
      <w:r>
        <w:rPr>
          <w:rFonts w:ascii="Arial" w:hAnsi="Arial"/>
          <w:color w:val="1C1C1C"/>
          <w:spacing w:val="40"/>
          <w:w w:val="105"/>
          <w:sz w:val="21"/>
        </w:rPr>
        <w:t xml:space="preserve"> </w:t>
      </w:r>
      <w:r>
        <w:rPr>
          <w:rFonts w:ascii="Arial" w:hAnsi="Arial"/>
          <w:color w:val="1C1C1C"/>
          <w:w w:val="105"/>
          <w:sz w:val="21"/>
        </w:rPr>
        <w:t>for</w:t>
      </w:r>
      <w:r>
        <w:rPr>
          <w:rFonts w:ascii="Arial" w:hAnsi="Arial"/>
          <w:color w:val="1C1C1C"/>
          <w:spacing w:val="80"/>
          <w:w w:val="105"/>
          <w:sz w:val="21"/>
        </w:rPr>
        <w:t xml:space="preserve"> </w:t>
      </w:r>
      <w:r>
        <w:rPr>
          <w:rFonts w:ascii="Arial" w:hAnsi="Arial"/>
          <w:color w:val="1C1C1C"/>
          <w:w w:val="105"/>
          <w:sz w:val="21"/>
        </w:rPr>
        <w:t>treating</w:t>
      </w:r>
      <w:r>
        <w:rPr>
          <w:rFonts w:ascii="Arial" w:hAnsi="Arial"/>
          <w:color w:val="1C1C1C"/>
          <w:spacing w:val="40"/>
          <w:w w:val="105"/>
          <w:sz w:val="21"/>
        </w:rPr>
        <w:t xml:space="preserve"> </w:t>
      </w:r>
      <w:r>
        <w:rPr>
          <w:rFonts w:ascii="Arial" w:hAnsi="Arial"/>
          <w:color w:val="1C1C1C"/>
          <w:w w:val="105"/>
          <w:sz w:val="21"/>
        </w:rPr>
        <w:t>this</w:t>
      </w:r>
      <w:r>
        <w:rPr>
          <w:rFonts w:ascii="Arial" w:hAnsi="Arial"/>
          <w:color w:val="1C1C1C"/>
          <w:spacing w:val="40"/>
          <w:w w:val="105"/>
          <w:sz w:val="21"/>
        </w:rPr>
        <w:t xml:space="preserve"> </w:t>
      </w:r>
      <w:r>
        <w:rPr>
          <w:rFonts w:ascii="Arial" w:hAnsi="Arial"/>
          <w:color w:val="0A0A0A"/>
          <w:w w:val="105"/>
          <w:sz w:val="21"/>
        </w:rPr>
        <w:t>information</w:t>
      </w:r>
      <w:r>
        <w:rPr>
          <w:rFonts w:ascii="Arial" w:hAnsi="Arial"/>
          <w:color w:val="0A0A0A"/>
          <w:spacing w:val="80"/>
          <w:w w:val="105"/>
          <w:sz w:val="21"/>
        </w:rPr>
        <w:t xml:space="preserve"> </w:t>
      </w:r>
      <w:r>
        <w:rPr>
          <w:rFonts w:ascii="Arial" w:hAnsi="Arial"/>
          <w:color w:val="1C1C1C"/>
          <w:w w:val="105"/>
          <w:sz w:val="21"/>
        </w:rPr>
        <w:t xml:space="preserve">as confidential. </w:t>
      </w:r>
      <w:r>
        <w:rPr>
          <w:rFonts w:ascii="Arial" w:hAnsi="Arial"/>
          <w:color w:val="0A0A0A"/>
          <w:w w:val="105"/>
          <w:sz w:val="21"/>
        </w:rPr>
        <w:t xml:space="preserve">No </w:t>
      </w:r>
      <w:r>
        <w:rPr>
          <w:rFonts w:ascii="Arial" w:hAnsi="Arial"/>
          <w:color w:val="1C1C1C"/>
          <w:w w:val="105"/>
          <w:sz w:val="21"/>
        </w:rPr>
        <w:t>summary</w:t>
      </w:r>
      <w:r>
        <w:rPr>
          <w:rFonts w:ascii="Arial" w:hAnsi="Arial"/>
          <w:color w:val="1C1C1C"/>
          <w:spacing w:val="21"/>
          <w:w w:val="105"/>
          <w:sz w:val="21"/>
        </w:rPr>
        <w:t xml:space="preserve"> </w:t>
      </w:r>
      <w:r>
        <w:rPr>
          <w:rFonts w:ascii="Arial" w:hAnsi="Arial"/>
          <w:color w:val="1C1C1C"/>
          <w:w w:val="105"/>
          <w:sz w:val="21"/>
        </w:rPr>
        <w:t>of</w:t>
      </w:r>
      <w:r>
        <w:rPr>
          <w:rFonts w:ascii="Arial" w:hAnsi="Arial"/>
          <w:color w:val="1C1C1C"/>
          <w:spacing w:val="40"/>
          <w:w w:val="105"/>
          <w:sz w:val="21"/>
        </w:rPr>
        <w:t xml:space="preserve"> </w:t>
      </w:r>
      <w:r>
        <w:rPr>
          <w:rFonts w:ascii="Arial" w:hAnsi="Arial"/>
          <w:color w:val="1C1C1C"/>
          <w:w w:val="105"/>
          <w:sz w:val="21"/>
        </w:rPr>
        <w:t xml:space="preserve">this key </w:t>
      </w:r>
      <w:r>
        <w:rPr>
          <w:rFonts w:ascii="Arial" w:hAnsi="Arial"/>
          <w:color w:val="0A0A0A"/>
          <w:w w:val="105"/>
          <w:sz w:val="21"/>
        </w:rPr>
        <w:t>information</w:t>
      </w:r>
      <w:r>
        <w:rPr>
          <w:rFonts w:ascii="Arial" w:hAnsi="Arial"/>
          <w:color w:val="0A0A0A"/>
          <w:spacing w:val="40"/>
          <w:w w:val="105"/>
          <w:sz w:val="21"/>
        </w:rPr>
        <w:t xml:space="preserve"> </w:t>
      </w:r>
      <w:r>
        <w:rPr>
          <w:rFonts w:ascii="Arial" w:hAnsi="Arial"/>
          <w:color w:val="1C1C1C"/>
          <w:w w:val="105"/>
          <w:sz w:val="21"/>
        </w:rPr>
        <w:t>was provided,</w:t>
      </w:r>
      <w:r>
        <w:rPr>
          <w:rFonts w:ascii="Arial" w:hAnsi="Arial"/>
          <w:color w:val="1C1C1C"/>
          <w:spacing w:val="27"/>
          <w:w w:val="105"/>
          <w:sz w:val="21"/>
        </w:rPr>
        <w:t xml:space="preserve"> </w:t>
      </w:r>
      <w:r>
        <w:rPr>
          <w:rFonts w:ascii="Arial" w:hAnsi="Arial"/>
          <w:color w:val="0A0A0A"/>
          <w:w w:val="105"/>
          <w:sz w:val="21"/>
        </w:rPr>
        <w:t>let</w:t>
      </w:r>
      <w:r>
        <w:rPr>
          <w:rFonts w:ascii="Arial" w:hAnsi="Arial"/>
          <w:color w:val="0A0A0A"/>
          <w:spacing w:val="36"/>
          <w:w w:val="105"/>
          <w:sz w:val="21"/>
        </w:rPr>
        <w:t xml:space="preserve"> </w:t>
      </w:r>
      <w:r>
        <w:rPr>
          <w:rFonts w:ascii="Arial" w:hAnsi="Arial"/>
          <w:color w:val="1C1C1C"/>
          <w:w w:val="105"/>
          <w:sz w:val="21"/>
        </w:rPr>
        <w:t>alone</w:t>
      </w:r>
      <w:r>
        <w:rPr>
          <w:rFonts w:ascii="Arial" w:hAnsi="Arial"/>
          <w:color w:val="1C1C1C"/>
          <w:spacing w:val="27"/>
          <w:w w:val="105"/>
          <w:sz w:val="21"/>
        </w:rPr>
        <w:t xml:space="preserve"> </w:t>
      </w:r>
      <w:r>
        <w:rPr>
          <w:rFonts w:ascii="Arial" w:hAnsi="Arial"/>
          <w:color w:val="1C1C1C"/>
          <w:w w:val="105"/>
          <w:sz w:val="21"/>
        </w:rPr>
        <w:t>"in</w:t>
      </w:r>
      <w:r>
        <w:rPr>
          <w:rFonts w:ascii="Arial" w:hAnsi="Arial"/>
          <w:color w:val="1C1C1C"/>
          <w:spacing w:val="40"/>
          <w:w w:val="105"/>
          <w:sz w:val="21"/>
        </w:rPr>
        <w:t xml:space="preserve"> </w:t>
      </w:r>
      <w:r>
        <w:rPr>
          <w:rFonts w:ascii="Arial" w:hAnsi="Arial"/>
          <w:color w:val="1C1C1C"/>
          <w:w w:val="105"/>
          <w:sz w:val="21"/>
        </w:rPr>
        <w:t>sufficient</w:t>
      </w:r>
      <w:r>
        <w:rPr>
          <w:rFonts w:ascii="Arial" w:hAnsi="Arial"/>
          <w:color w:val="1C1C1C"/>
          <w:spacing w:val="24"/>
          <w:w w:val="105"/>
          <w:sz w:val="21"/>
        </w:rPr>
        <w:t xml:space="preserve"> </w:t>
      </w:r>
      <w:r>
        <w:rPr>
          <w:rFonts w:ascii="Arial" w:hAnsi="Arial"/>
          <w:color w:val="1C1C1C"/>
          <w:w w:val="105"/>
          <w:sz w:val="21"/>
        </w:rPr>
        <w:t>detail to permit a reasonable understanding of the substance of</w:t>
      </w:r>
      <w:r>
        <w:rPr>
          <w:rFonts w:ascii="Arial" w:hAnsi="Arial"/>
          <w:color w:val="1C1C1C"/>
          <w:spacing w:val="40"/>
          <w:w w:val="105"/>
          <w:sz w:val="21"/>
        </w:rPr>
        <w:t xml:space="preserve"> </w:t>
      </w:r>
      <w:r>
        <w:rPr>
          <w:rFonts w:ascii="Arial" w:hAnsi="Arial"/>
          <w:color w:val="0A0A0A"/>
          <w:w w:val="105"/>
          <w:sz w:val="21"/>
        </w:rPr>
        <w:t>the</w:t>
      </w:r>
      <w:r>
        <w:rPr>
          <w:rFonts w:ascii="Arial" w:hAnsi="Arial"/>
          <w:color w:val="0A0A0A"/>
          <w:spacing w:val="40"/>
          <w:w w:val="105"/>
          <w:sz w:val="21"/>
        </w:rPr>
        <w:t xml:space="preserve"> </w:t>
      </w:r>
      <w:r>
        <w:rPr>
          <w:rFonts w:ascii="Arial" w:hAnsi="Arial"/>
          <w:color w:val="1C1C1C"/>
          <w:w w:val="105"/>
          <w:sz w:val="21"/>
        </w:rPr>
        <w:t>information".</w:t>
      </w:r>
    </w:p>
    <w:p w14:paraId="51DE96CB" w14:textId="77777777" w:rsidR="0010369C" w:rsidRDefault="008E43AE">
      <w:pPr>
        <w:spacing w:before="169" w:line="427" w:lineRule="auto"/>
        <w:ind w:left="234" w:right="575" w:firstLine="1"/>
        <w:jc w:val="both"/>
        <w:rPr>
          <w:rFonts w:ascii="Arial"/>
          <w:sz w:val="21"/>
        </w:rPr>
      </w:pPr>
      <w:r>
        <w:rPr>
          <w:rFonts w:ascii="Arial"/>
          <w:color w:val="1C1C1C"/>
          <w:w w:val="105"/>
          <w:sz w:val="21"/>
        </w:rPr>
        <w:t>859.</w:t>
      </w:r>
      <w:r>
        <w:rPr>
          <w:rFonts w:ascii="Arial"/>
          <w:color w:val="1C1C1C"/>
          <w:spacing w:val="80"/>
          <w:w w:val="150"/>
          <w:sz w:val="21"/>
        </w:rPr>
        <w:t xml:space="preserve">  </w:t>
      </w:r>
      <w:r>
        <w:rPr>
          <w:rFonts w:ascii="Arial"/>
          <w:color w:val="0A0A0A"/>
          <w:w w:val="105"/>
          <w:sz w:val="21"/>
        </w:rPr>
        <w:t>For</w:t>
      </w:r>
      <w:r>
        <w:rPr>
          <w:rFonts w:ascii="Arial"/>
          <w:color w:val="0A0A0A"/>
          <w:spacing w:val="-2"/>
          <w:w w:val="105"/>
          <w:sz w:val="21"/>
        </w:rPr>
        <w:t xml:space="preserve"> </w:t>
      </w:r>
      <w:r>
        <w:rPr>
          <w:rFonts w:ascii="Arial"/>
          <w:color w:val="1C1C1C"/>
          <w:w w:val="105"/>
          <w:sz w:val="21"/>
        </w:rPr>
        <w:t>the</w:t>
      </w:r>
      <w:r>
        <w:rPr>
          <w:rFonts w:ascii="Arial"/>
          <w:color w:val="1C1C1C"/>
          <w:spacing w:val="21"/>
          <w:w w:val="105"/>
          <w:sz w:val="21"/>
        </w:rPr>
        <w:t xml:space="preserve"> </w:t>
      </w:r>
      <w:r>
        <w:rPr>
          <w:rFonts w:ascii="Arial"/>
          <w:color w:val="1C1C1C"/>
          <w:w w:val="105"/>
          <w:sz w:val="21"/>
        </w:rPr>
        <w:t>foregoing</w:t>
      </w:r>
      <w:r>
        <w:rPr>
          <w:rFonts w:ascii="Arial"/>
          <w:color w:val="1C1C1C"/>
          <w:spacing w:val="-14"/>
          <w:w w:val="105"/>
          <w:sz w:val="21"/>
        </w:rPr>
        <w:t xml:space="preserve"> </w:t>
      </w:r>
      <w:r>
        <w:rPr>
          <w:rFonts w:ascii="Arial"/>
          <w:color w:val="1C1C1C"/>
          <w:w w:val="105"/>
          <w:sz w:val="21"/>
        </w:rPr>
        <w:t>reasons, CADA's failure</w:t>
      </w:r>
      <w:r>
        <w:rPr>
          <w:rFonts w:ascii="Arial"/>
          <w:color w:val="1C1C1C"/>
          <w:spacing w:val="-8"/>
          <w:w w:val="105"/>
          <w:sz w:val="21"/>
        </w:rPr>
        <w:t xml:space="preserve"> </w:t>
      </w:r>
      <w:r>
        <w:rPr>
          <w:rFonts w:ascii="Arial"/>
          <w:color w:val="0A0A0A"/>
          <w:w w:val="105"/>
          <w:sz w:val="21"/>
        </w:rPr>
        <w:t>to</w:t>
      </w:r>
      <w:r>
        <w:rPr>
          <w:rFonts w:ascii="Arial"/>
          <w:color w:val="0A0A0A"/>
          <w:spacing w:val="19"/>
          <w:w w:val="105"/>
          <w:sz w:val="21"/>
        </w:rPr>
        <w:t xml:space="preserve"> </w:t>
      </w:r>
      <w:r>
        <w:rPr>
          <w:rFonts w:ascii="Arial"/>
          <w:color w:val="1C1C1C"/>
          <w:w w:val="105"/>
          <w:sz w:val="21"/>
        </w:rPr>
        <w:t>provide a</w:t>
      </w:r>
      <w:r>
        <w:rPr>
          <w:rFonts w:ascii="Arial"/>
          <w:color w:val="1C1C1C"/>
          <w:spacing w:val="-2"/>
          <w:w w:val="105"/>
          <w:sz w:val="21"/>
        </w:rPr>
        <w:t xml:space="preserve"> </w:t>
      </w:r>
      <w:r>
        <w:rPr>
          <w:rFonts w:ascii="Arial"/>
          <w:color w:val="1C1C1C"/>
          <w:w w:val="105"/>
          <w:sz w:val="21"/>
        </w:rPr>
        <w:t xml:space="preserve">sufficiently </w:t>
      </w:r>
      <w:r>
        <w:rPr>
          <w:rFonts w:ascii="Arial"/>
          <w:color w:val="0A0A0A"/>
          <w:w w:val="105"/>
          <w:sz w:val="21"/>
        </w:rPr>
        <w:t xml:space="preserve">detailed </w:t>
      </w:r>
      <w:r>
        <w:rPr>
          <w:rFonts w:ascii="Arial"/>
          <w:color w:val="1C1C1C"/>
          <w:w w:val="105"/>
          <w:sz w:val="21"/>
        </w:rPr>
        <w:t>summary of</w:t>
      </w:r>
      <w:r>
        <w:rPr>
          <w:rFonts w:ascii="Arial"/>
          <w:color w:val="1C1C1C"/>
          <w:spacing w:val="-16"/>
          <w:w w:val="105"/>
          <w:sz w:val="21"/>
        </w:rPr>
        <w:t xml:space="preserve"> </w:t>
      </w:r>
      <w:r>
        <w:rPr>
          <w:rFonts w:ascii="Arial"/>
          <w:color w:val="1C1C1C"/>
          <w:w w:val="105"/>
          <w:sz w:val="21"/>
        </w:rPr>
        <w:t>the substance</w:t>
      </w:r>
      <w:r>
        <w:rPr>
          <w:rFonts w:ascii="Arial"/>
          <w:color w:val="1C1C1C"/>
          <w:spacing w:val="-14"/>
          <w:w w:val="105"/>
          <w:sz w:val="21"/>
        </w:rPr>
        <w:t xml:space="preserve"> </w:t>
      </w:r>
      <w:r>
        <w:rPr>
          <w:rFonts w:ascii="Arial"/>
          <w:color w:val="1C1C1C"/>
          <w:w w:val="105"/>
          <w:sz w:val="21"/>
        </w:rPr>
        <w:t>of the</w:t>
      </w:r>
      <w:r>
        <w:rPr>
          <w:rFonts w:ascii="Arial"/>
          <w:color w:val="1C1C1C"/>
          <w:spacing w:val="19"/>
          <w:w w:val="105"/>
          <w:sz w:val="21"/>
        </w:rPr>
        <w:t xml:space="preserve"> </w:t>
      </w:r>
      <w:r>
        <w:rPr>
          <w:rFonts w:ascii="Arial"/>
          <w:color w:val="0A0A0A"/>
          <w:w w:val="105"/>
          <w:sz w:val="21"/>
        </w:rPr>
        <w:t>information</w:t>
      </w:r>
      <w:r>
        <w:rPr>
          <w:rFonts w:ascii="Arial"/>
          <w:color w:val="0A0A0A"/>
          <w:spacing w:val="-14"/>
          <w:w w:val="105"/>
          <w:sz w:val="21"/>
        </w:rPr>
        <w:t xml:space="preserve"> </w:t>
      </w:r>
      <w:r>
        <w:rPr>
          <w:rFonts w:ascii="Arial"/>
          <w:color w:val="1C1C1C"/>
          <w:w w:val="105"/>
          <w:sz w:val="21"/>
        </w:rPr>
        <w:t>contained</w:t>
      </w:r>
      <w:r>
        <w:rPr>
          <w:rFonts w:ascii="Arial"/>
          <w:color w:val="1C1C1C"/>
          <w:spacing w:val="-6"/>
          <w:w w:val="105"/>
          <w:sz w:val="21"/>
        </w:rPr>
        <w:t xml:space="preserve"> </w:t>
      </w:r>
      <w:r>
        <w:rPr>
          <w:rFonts w:ascii="Arial"/>
          <w:color w:val="0A0A0A"/>
          <w:w w:val="105"/>
          <w:sz w:val="21"/>
        </w:rPr>
        <w:t>in</w:t>
      </w:r>
      <w:r>
        <w:rPr>
          <w:rFonts w:ascii="Arial"/>
          <w:color w:val="0A0A0A"/>
          <w:spacing w:val="-16"/>
          <w:w w:val="105"/>
          <w:sz w:val="21"/>
        </w:rPr>
        <w:t xml:space="preserve"> </w:t>
      </w:r>
      <w:r>
        <w:rPr>
          <w:rFonts w:ascii="Arial"/>
          <w:color w:val="1C1C1C"/>
          <w:w w:val="105"/>
          <w:sz w:val="21"/>
        </w:rPr>
        <w:t>Annex</w:t>
      </w:r>
      <w:r>
        <w:rPr>
          <w:rFonts w:ascii="Arial"/>
          <w:color w:val="1C1C1C"/>
          <w:spacing w:val="-13"/>
          <w:w w:val="105"/>
          <w:sz w:val="21"/>
        </w:rPr>
        <w:t xml:space="preserve"> </w:t>
      </w:r>
      <w:r>
        <w:rPr>
          <w:rFonts w:ascii="Arial"/>
          <w:color w:val="1C1C1C"/>
          <w:w w:val="105"/>
          <w:sz w:val="21"/>
        </w:rPr>
        <w:t>3,</w:t>
      </w:r>
      <w:r>
        <w:rPr>
          <w:rFonts w:ascii="Times New Roman"/>
          <w:color w:val="1C1C1C"/>
          <w:w w:val="105"/>
          <w:position w:val="7"/>
          <w:sz w:val="15"/>
        </w:rPr>
        <w:t>1017</w:t>
      </w:r>
      <w:r>
        <w:rPr>
          <w:rFonts w:ascii="Times New Roman"/>
          <w:color w:val="1C1C1C"/>
          <w:spacing w:val="-9"/>
          <w:w w:val="105"/>
          <w:position w:val="7"/>
          <w:sz w:val="15"/>
        </w:rPr>
        <w:t xml:space="preserve"> </w:t>
      </w:r>
      <w:r>
        <w:rPr>
          <w:rFonts w:ascii="Arial"/>
          <w:color w:val="1C1C1C"/>
          <w:w w:val="105"/>
          <w:sz w:val="21"/>
        </w:rPr>
        <w:t>and</w:t>
      </w:r>
      <w:r>
        <w:rPr>
          <w:rFonts w:ascii="Arial"/>
          <w:color w:val="1C1C1C"/>
          <w:spacing w:val="-16"/>
          <w:w w:val="105"/>
          <w:sz w:val="21"/>
        </w:rPr>
        <w:t xml:space="preserve"> </w:t>
      </w:r>
      <w:r>
        <w:rPr>
          <w:rFonts w:ascii="Arial"/>
          <w:color w:val="0A0A0A"/>
          <w:w w:val="105"/>
          <w:sz w:val="21"/>
        </w:rPr>
        <w:t>MOFCOM's</w:t>
      </w:r>
      <w:r>
        <w:rPr>
          <w:rFonts w:ascii="Arial"/>
          <w:color w:val="0A0A0A"/>
          <w:spacing w:val="-2"/>
          <w:w w:val="105"/>
          <w:sz w:val="21"/>
        </w:rPr>
        <w:t xml:space="preserve"> </w:t>
      </w:r>
      <w:r>
        <w:rPr>
          <w:rFonts w:ascii="Arial"/>
          <w:color w:val="1C1C1C"/>
          <w:w w:val="105"/>
          <w:sz w:val="21"/>
        </w:rPr>
        <w:t>failure</w:t>
      </w:r>
      <w:r>
        <w:rPr>
          <w:rFonts w:ascii="Arial"/>
          <w:color w:val="1C1C1C"/>
          <w:spacing w:val="-16"/>
          <w:w w:val="105"/>
          <w:sz w:val="21"/>
        </w:rPr>
        <w:t xml:space="preserve"> </w:t>
      </w:r>
      <w:r>
        <w:rPr>
          <w:rFonts w:ascii="Arial"/>
          <w:color w:val="1C1C1C"/>
          <w:w w:val="105"/>
          <w:sz w:val="21"/>
        </w:rPr>
        <w:t>to require CADA</w:t>
      </w:r>
      <w:r>
        <w:rPr>
          <w:rFonts w:ascii="Arial"/>
          <w:color w:val="1C1C1C"/>
          <w:spacing w:val="-12"/>
          <w:w w:val="105"/>
          <w:sz w:val="21"/>
        </w:rPr>
        <w:t xml:space="preserve"> </w:t>
      </w:r>
      <w:r>
        <w:rPr>
          <w:rFonts w:ascii="Arial"/>
          <w:color w:val="1C1C1C"/>
          <w:w w:val="105"/>
          <w:sz w:val="21"/>
        </w:rPr>
        <w:t>to</w:t>
      </w:r>
      <w:r>
        <w:rPr>
          <w:rFonts w:ascii="Arial"/>
          <w:color w:val="1C1C1C"/>
          <w:spacing w:val="40"/>
          <w:w w:val="105"/>
          <w:sz w:val="21"/>
        </w:rPr>
        <w:t xml:space="preserve"> </w:t>
      </w:r>
      <w:r>
        <w:rPr>
          <w:rFonts w:ascii="Arial"/>
          <w:color w:val="1C1C1C"/>
          <w:w w:val="105"/>
          <w:sz w:val="21"/>
        </w:rPr>
        <w:t>provide such a</w:t>
      </w:r>
      <w:r>
        <w:rPr>
          <w:rFonts w:ascii="Arial"/>
          <w:color w:val="1C1C1C"/>
          <w:spacing w:val="-8"/>
          <w:w w:val="105"/>
          <w:sz w:val="21"/>
        </w:rPr>
        <w:t xml:space="preserve"> </w:t>
      </w:r>
      <w:r>
        <w:rPr>
          <w:rFonts w:ascii="Arial"/>
          <w:color w:val="1C1C1C"/>
          <w:w w:val="105"/>
          <w:sz w:val="21"/>
        </w:rPr>
        <w:t>summary,</w:t>
      </w:r>
      <w:r>
        <w:rPr>
          <w:rFonts w:ascii="Arial"/>
          <w:color w:val="1C1C1C"/>
          <w:spacing w:val="-1"/>
          <w:w w:val="105"/>
          <w:sz w:val="21"/>
        </w:rPr>
        <w:t xml:space="preserve"> </w:t>
      </w:r>
      <w:r>
        <w:rPr>
          <w:rFonts w:ascii="Arial"/>
          <w:color w:val="0A0A0A"/>
          <w:w w:val="105"/>
          <w:sz w:val="21"/>
        </w:rPr>
        <w:t>deprived</w:t>
      </w:r>
      <w:r>
        <w:rPr>
          <w:rFonts w:ascii="Arial"/>
          <w:color w:val="0A0A0A"/>
          <w:spacing w:val="-2"/>
          <w:w w:val="105"/>
          <w:sz w:val="21"/>
        </w:rPr>
        <w:t xml:space="preserve"> </w:t>
      </w:r>
      <w:r>
        <w:rPr>
          <w:rFonts w:ascii="Arial"/>
          <w:color w:val="1C1C1C"/>
          <w:w w:val="105"/>
          <w:sz w:val="21"/>
        </w:rPr>
        <w:t xml:space="preserve">the interested </w:t>
      </w:r>
      <w:r>
        <w:rPr>
          <w:rFonts w:ascii="Arial"/>
          <w:color w:val="0A0A0A"/>
          <w:w w:val="105"/>
          <w:sz w:val="21"/>
        </w:rPr>
        <w:t>parties</w:t>
      </w:r>
      <w:r>
        <w:rPr>
          <w:rFonts w:ascii="Arial"/>
          <w:color w:val="0A0A0A"/>
          <w:spacing w:val="-12"/>
          <w:w w:val="105"/>
          <w:sz w:val="21"/>
        </w:rPr>
        <w:t xml:space="preserve"> </w:t>
      </w:r>
      <w:r>
        <w:rPr>
          <w:rFonts w:ascii="Arial"/>
          <w:color w:val="1C1C1C"/>
          <w:w w:val="105"/>
          <w:sz w:val="21"/>
        </w:rPr>
        <w:t>of both</w:t>
      </w:r>
      <w:r>
        <w:rPr>
          <w:rFonts w:ascii="Arial"/>
          <w:color w:val="1C1C1C"/>
          <w:spacing w:val="-16"/>
          <w:w w:val="105"/>
          <w:sz w:val="21"/>
        </w:rPr>
        <w:t xml:space="preserve"> </w:t>
      </w:r>
      <w:r>
        <w:rPr>
          <w:rFonts w:ascii="Arial"/>
          <w:color w:val="1C1C1C"/>
          <w:w w:val="105"/>
          <w:sz w:val="21"/>
        </w:rPr>
        <w:t>(i)</w:t>
      </w:r>
      <w:r>
        <w:rPr>
          <w:rFonts w:ascii="Arial"/>
          <w:color w:val="1C1C1C"/>
          <w:spacing w:val="-12"/>
          <w:w w:val="105"/>
          <w:sz w:val="21"/>
        </w:rPr>
        <w:t xml:space="preserve"> </w:t>
      </w:r>
      <w:r>
        <w:rPr>
          <w:rFonts w:ascii="Arial"/>
          <w:color w:val="1C1C1C"/>
          <w:w w:val="105"/>
          <w:sz w:val="21"/>
        </w:rPr>
        <w:t>their right</w:t>
      </w:r>
      <w:r>
        <w:rPr>
          <w:rFonts w:ascii="Arial"/>
          <w:color w:val="1C1C1C"/>
          <w:spacing w:val="-6"/>
          <w:w w:val="105"/>
          <w:sz w:val="21"/>
        </w:rPr>
        <w:t xml:space="preserve"> </w:t>
      </w:r>
      <w:r>
        <w:rPr>
          <w:rFonts w:ascii="Arial"/>
          <w:color w:val="1C1C1C"/>
          <w:w w:val="105"/>
          <w:sz w:val="21"/>
        </w:rPr>
        <w:t xml:space="preserve">to see information and evidence submitted by CADA that was </w:t>
      </w:r>
      <w:r>
        <w:rPr>
          <w:rFonts w:ascii="Arial"/>
          <w:color w:val="0A0A0A"/>
          <w:w w:val="105"/>
          <w:sz w:val="21"/>
        </w:rPr>
        <w:t xml:space="preserve">key </w:t>
      </w:r>
      <w:r>
        <w:rPr>
          <w:rFonts w:ascii="Arial"/>
          <w:color w:val="1C1C1C"/>
          <w:w w:val="105"/>
          <w:sz w:val="21"/>
        </w:rPr>
        <w:t>to the</w:t>
      </w:r>
      <w:r>
        <w:rPr>
          <w:rFonts w:ascii="Arial"/>
          <w:color w:val="1C1C1C"/>
          <w:spacing w:val="40"/>
          <w:w w:val="105"/>
          <w:sz w:val="21"/>
        </w:rPr>
        <w:t xml:space="preserve"> </w:t>
      </w:r>
      <w:r>
        <w:rPr>
          <w:rFonts w:ascii="Arial"/>
          <w:color w:val="0A0A0A"/>
          <w:w w:val="105"/>
          <w:sz w:val="21"/>
        </w:rPr>
        <w:t xml:space="preserve">investigation </w:t>
      </w:r>
      <w:r>
        <w:rPr>
          <w:rFonts w:ascii="Arial"/>
          <w:color w:val="1C1C1C"/>
          <w:w w:val="105"/>
          <w:sz w:val="21"/>
        </w:rPr>
        <w:t xml:space="preserve">and </w:t>
      </w:r>
      <w:r>
        <w:rPr>
          <w:rFonts w:ascii="Times New Roman"/>
          <w:color w:val="1C1C1C"/>
          <w:w w:val="105"/>
        </w:rPr>
        <w:t xml:space="preserve">(ii) </w:t>
      </w:r>
      <w:r>
        <w:rPr>
          <w:rFonts w:ascii="Arial"/>
          <w:color w:val="0A0A0A"/>
          <w:w w:val="105"/>
          <w:sz w:val="21"/>
        </w:rPr>
        <w:t>the meaningful</w:t>
      </w:r>
      <w:r>
        <w:rPr>
          <w:rFonts w:ascii="Arial"/>
          <w:color w:val="0A0A0A"/>
          <w:spacing w:val="40"/>
          <w:w w:val="105"/>
          <w:sz w:val="21"/>
        </w:rPr>
        <w:t xml:space="preserve"> </w:t>
      </w:r>
      <w:r>
        <w:rPr>
          <w:rFonts w:ascii="Arial"/>
          <w:color w:val="1C1C1C"/>
          <w:w w:val="105"/>
          <w:sz w:val="21"/>
        </w:rPr>
        <w:t>opportunity for</w:t>
      </w:r>
      <w:r>
        <w:rPr>
          <w:rFonts w:ascii="Arial"/>
          <w:color w:val="1C1C1C"/>
          <w:spacing w:val="40"/>
          <w:w w:val="105"/>
          <w:sz w:val="21"/>
        </w:rPr>
        <w:t xml:space="preserve"> </w:t>
      </w:r>
      <w:r>
        <w:rPr>
          <w:rFonts w:ascii="Arial"/>
          <w:color w:val="1C1C1C"/>
          <w:w w:val="105"/>
          <w:sz w:val="21"/>
        </w:rPr>
        <w:t xml:space="preserve">a </w:t>
      </w:r>
      <w:r>
        <w:rPr>
          <w:rFonts w:ascii="Arial"/>
          <w:color w:val="0A0A0A"/>
          <w:w w:val="105"/>
          <w:sz w:val="21"/>
        </w:rPr>
        <w:t xml:space="preserve">full defence </w:t>
      </w:r>
      <w:r>
        <w:rPr>
          <w:rFonts w:ascii="Arial"/>
          <w:color w:val="1C1C1C"/>
          <w:w w:val="105"/>
          <w:sz w:val="21"/>
        </w:rPr>
        <w:t>of</w:t>
      </w:r>
      <w:r>
        <w:rPr>
          <w:rFonts w:ascii="Arial"/>
          <w:color w:val="1C1C1C"/>
          <w:spacing w:val="40"/>
          <w:w w:val="105"/>
          <w:sz w:val="21"/>
        </w:rPr>
        <w:t xml:space="preserve"> </w:t>
      </w:r>
      <w:r>
        <w:rPr>
          <w:rFonts w:ascii="Arial"/>
          <w:color w:val="1C1C1C"/>
          <w:w w:val="105"/>
          <w:sz w:val="21"/>
        </w:rPr>
        <w:t xml:space="preserve">their </w:t>
      </w:r>
      <w:r>
        <w:rPr>
          <w:rFonts w:ascii="Arial"/>
          <w:color w:val="0A0A0A"/>
          <w:w w:val="105"/>
          <w:sz w:val="21"/>
        </w:rPr>
        <w:t>i</w:t>
      </w:r>
      <w:r>
        <w:rPr>
          <w:rFonts w:ascii="Arial"/>
          <w:color w:val="0A0A0A"/>
          <w:w w:val="105"/>
          <w:sz w:val="21"/>
        </w:rPr>
        <w:t>nterests.</w:t>
      </w:r>
    </w:p>
    <w:p w14:paraId="51DE96CC" w14:textId="77777777" w:rsidR="0010369C" w:rsidRDefault="008E43AE">
      <w:pPr>
        <w:tabs>
          <w:tab w:val="left" w:pos="2652"/>
        </w:tabs>
        <w:spacing w:before="193"/>
        <w:ind w:left="1802"/>
        <w:jc w:val="both"/>
        <w:rPr>
          <w:rFonts w:ascii="Arial"/>
          <w:b/>
          <w:sz w:val="21"/>
        </w:rPr>
      </w:pPr>
      <w:r>
        <w:rPr>
          <w:rFonts w:ascii="Arial"/>
          <w:b/>
          <w:color w:val="0A0A0A"/>
          <w:spacing w:val="-5"/>
          <w:sz w:val="21"/>
        </w:rPr>
        <w:t>3.</w:t>
      </w:r>
      <w:r>
        <w:rPr>
          <w:rFonts w:ascii="Arial"/>
          <w:b/>
          <w:color w:val="0A0A0A"/>
          <w:sz w:val="21"/>
        </w:rPr>
        <w:tab/>
      </w:r>
      <w:r>
        <w:rPr>
          <w:rFonts w:ascii="Arial"/>
          <w:b/>
          <w:color w:val="0A0A0A"/>
          <w:w w:val="95"/>
          <w:sz w:val="21"/>
        </w:rPr>
        <w:t>Chinese</w:t>
      </w:r>
      <w:r>
        <w:rPr>
          <w:rFonts w:ascii="Arial"/>
          <w:b/>
          <w:color w:val="0A0A0A"/>
          <w:spacing w:val="9"/>
          <w:sz w:val="21"/>
        </w:rPr>
        <w:t xml:space="preserve"> </w:t>
      </w:r>
      <w:r>
        <w:rPr>
          <w:rFonts w:ascii="Arial"/>
          <w:b/>
          <w:color w:val="0A0A0A"/>
          <w:w w:val="95"/>
          <w:sz w:val="21"/>
        </w:rPr>
        <w:t>domestic</w:t>
      </w:r>
      <w:r>
        <w:rPr>
          <w:rFonts w:ascii="Arial"/>
          <w:b/>
          <w:color w:val="0A0A0A"/>
          <w:spacing w:val="15"/>
          <w:sz w:val="21"/>
        </w:rPr>
        <w:t xml:space="preserve"> </w:t>
      </w:r>
      <w:r>
        <w:rPr>
          <w:rFonts w:ascii="Arial"/>
          <w:b/>
          <w:color w:val="0A0A0A"/>
          <w:w w:val="95"/>
          <w:sz w:val="21"/>
        </w:rPr>
        <w:t>producers'</w:t>
      </w:r>
      <w:r>
        <w:rPr>
          <w:rFonts w:ascii="Arial"/>
          <w:b/>
          <w:color w:val="0A0A0A"/>
          <w:spacing w:val="15"/>
          <w:sz w:val="21"/>
        </w:rPr>
        <w:t xml:space="preserve"> </w:t>
      </w:r>
      <w:r>
        <w:rPr>
          <w:rFonts w:ascii="Arial"/>
          <w:b/>
          <w:color w:val="0A0A0A"/>
          <w:w w:val="95"/>
          <w:sz w:val="21"/>
        </w:rPr>
        <w:t>claims</w:t>
      </w:r>
      <w:r>
        <w:rPr>
          <w:rFonts w:ascii="Arial"/>
          <w:b/>
          <w:color w:val="0A0A0A"/>
          <w:spacing w:val="-6"/>
          <w:w w:val="95"/>
          <w:sz w:val="21"/>
        </w:rPr>
        <w:t xml:space="preserve"> </w:t>
      </w:r>
      <w:r>
        <w:rPr>
          <w:rFonts w:ascii="Arial"/>
          <w:b/>
          <w:color w:val="0A0A0A"/>
          <w:w w:val="95"/>
          <w:sz w:val="21"/>
        </w:rPr>
        <w:t>to</w:t>
      </w:r>
      <w:r>
        <w:rPr>
          <w:rFonts w:ascii="Arial"/>
          <w:b/>
          <w:color w:val="0A0A0A"/>
          <w:spacing w:val="40"/>
          <w:sz w:val="21"/>
        </w:rPr>
        <w:t xml:space="preserve"> </w:t>
      </w:r>
      <w:r>
        <w:rPr>
          <w:rFonts w:ascii="Arial"/>
          <w:b/>
          <w:color w:val="0A0A0A"/>
          <w:spacing w:val="-2"/>
          <w:w w:val="95"/>
          <w:sz w:val="21"/>
        </w:rPr>
        <w:t>confidentiality</w:t>
      </w:r>
    </w:p>
    <w:p w14:paraId="51DE96CD" w14:textId="77777777" w:rsidR="0010369C" w:rsidRDefault="0010369C">
      <w:pPr>
        <w:pStyle w:val="BodyText"/>
        <w:spacing w:before="1"/>
        <w:rPr>
          <w:rFonts w:ascii="Arial"/>
          <w:b/>
          <w:sz w:val="23"/>
        </w:rPr>
      </w:pPr>
    </w:p>
    <w:p w14:paraId="51DE96CE" w14:textId="77777777" w:rsidR="0010369C" w:rsidRDefault="008E43AE">
      <w:pPr>
        <w:spacing w:before="94"/>
        <w:ind w:left="3651"/>
        <w:rPr>
          <w:rFonts w:ascii="Arial"/>
          <w:sz w:val="21"/>
        </w:rPr>
      </w:pPr>
      <w:r>
        <w:rPr>
          <w:rFonts w:ascii="Arial"/>
          <w:color w:val="1C1C1C"/>
          <w:w w:val="105"/>
          <w:sz w:val="21"/>
          <w:u w:val="thick" w:color="1C1C1C"/>
        </w:rPr>
        <w:t>The</w:t>
      </w:r>
      <w:r>
        <w:rPr>
          <w:rFonts w:ascii="Arial"/>
          <w:color w:val="1C1C1C"/>
          <w:spacing w:val="-16"/>
          <w:w w:val="105"/>
          <w:sz w:val="21"/>
          <w:u w:val="thick" w:color="1C1C1C"/>
        </w:rPr>
        <w:t xml:space="preserve"> </w:t>
      </w:r>
      <w:r>
        <w:rPr>
          <w:rFonts w:ascii="Arial"/>
          <w:color w:val="1C1C1C"/>
          <w:w w:val="105"/>
          <w:sz w:val="21"/>
          <w:u w:val="thick" w:color="1C1C1C"/>
        </w:rPr>
        <w:t>responses</w:t>
      </w:r>
      <w:r>
        <w:rPr>
          <w:rFonts w:ascii="Arial"/>
          <w:color w:val="1C1C1C"/>
          <w:spacing w:val="-15"/>
          <w:w w:val="105"/>
          <w:sz w:val="21"/>
          <w:u w:val="thick" w:color="1C1C1C"/>
        </w:rPr>
        <w:t xml:space="preserve"> </w:t>
      </w:r>
      <w:r>
        <w:rPr>
          <w:rFonts w:ascii="Arial"/>
          <w:color w:val="1C1C1C"/>
          <w:w w:val="105"/>
          <w:sz w:val="21"/>
          <w:u w:val="thick" w:color="1C1C1C"/>
        </w:rPr>
        <w:t>to</w:t>
      </w:r>
      <w:r>
        <w:rPr>
          <w:rFonts w:ascii="Arial"/>
          <w:color w:val="1C1C1C"/>
          <w:spacing w:val="-1"/>
          <w:w w:val="105"/>
          <w:sz w:val="21"/>
          <w:u w:val="thick" w:color="1C1C1C"/>
        </w:rPr>
        <w:t xml:space="preserve"> </w:t>
      </w:r>
      <w:r>
        <w:rPr>
          <w:rFonts w:ascii="Arial"/>
          <w:color w:val="1C1C1C"/>
          <w:w w:val="105"/>
          <w:sz w:val="21"/>
          <w:u w:val="thick" w:color="1C1C1C"/>
        </w:rPr>
        <w:t>the</w:t>
      </w:r>
      <w:r>
        <w:rPr>
          <w:rFonts w:ascii="Arial"/>
          <w:color w:val="1C1C1C"/>
          <w:spacing w:val="-5"/>
          <w:w w:val="105"/>
          <w:sz w:val="21"/>
          <w:u w:val="thick" w:color="1C1C1C"/>
        </w:rPr>
        <w:t xml:space="preserve"> </w:t>
      </w:r>
      <w:r>
        <w:rPr>
          <w:rFonts w:ascii="Arial"/>
          <w:color w:val="1C1C1C"/>
          <w:w w:val="105"/>
          <w:sz w:val="21"/>
          <w:u w:val="thick" w:color="1C1C1C"/>
        </w:rPr>
        <w:t>Domestic</w:t>
      </w:r>
      <w:r>
        <w:rPr>
          <w:rFonts w:ascii="Arial"/>
          <w:color w:val="1C1C1C"/>
          <w:spacing w:val="-14"/>
          <w:w w:val="105"/>
          <w:sz w:val="21"/>
          <w:u w:val="thick" w:color="1C1C1C"/>
        </w:rPr>
        <w:t xml:space="preserve"> </w:t>
      </w:r>
      <w:r>
        <w:rPr>
          <w:rFonts w:ascii="Arial"/>
          <w:color w:val="1C1C1C"/>
          <w:w w:val="105"/>
          <w:sz w:val="21"/>
          <w:u w:val="thick" w:color="1C1C1C"/>
        </w:rPr>
        <w:t>Producer</w:t>
      </w:r>
      <w:r>
        <w:rPr>
          <w:rFonts w:ascii="Arial"/>
          <w:color w:val="1C1C1C"/>
          <w:spacing w:val="-12"/>
          <w:w w:val="105"/>
          <w:sz w:val="21"/>
          <w:u w:val="thick" w:color="1C1C1C"/>
        </w:rPr>
        <w:t xml:space="preserve"> </w:t>
      </w:r>
      <w:r>
        <w:rPr>
          <w:rFonts w:ascii="Arial"/>
          <w:color w:val="1C1C1C"/>
          <w:spacing w:val="-2"/>
          <w:w w:val="105"/>
          <w:sz w:val="21"/>
          <w:u w:val="thick" w:color="1C1C1C"/>
        </w:rPr>
        <w:t>Questionnaire</w:t>
      </w:r>
    </w:p>
    <w:p w14:paraId="51DE96CF" w14:textId="77777777" w:rsidR="0010369C" w:rsidRDefault="0010369C">
      <w:pPr>
        <w:pStyle w:val="BodyText"/>
        <w:spacing w:before="6"/>
        <w:rPr>
          <w:rFonts w:ascii="Arial"/>
          <w:sz w:val="30"/>
        </w:rPr>
      </w:pPr>
    </w:p>
    <w:p w14:paraId="51DE96D0" w14:textId="77777777" w:rsidR="0010369C" w:rsidRDefault="008E43AE">
      <w:pPr>
        <w:spacing w:before="1" w:line="422" w:lineRule="auto"/>
        <w:ind w:left="237" w:right="581" w:hanging="2"/>
        <w:jc w:val="both"/>
        <w:rPr>
          <w:rFonts w:ascii="Arial" w:hAnsi="Arial"/>
          <w:sz w:val="21"/>
        </w:rPr>
      </w:pPr>
      <w:r>
        <w:rPr>
          <w:rFonts w:ascii="Arial" w:hAnsi="Arial"/>
          <w:color w:val="1C1C1C"/>
          <w:w w:val="105"/>
          <w:sz w:val="21"/>
        </w:rPr>
        <w:t>860.</w:t>
      </w:r>
      <w:r>
        <w:rPr>
          <w:rFonts w:ascii="Arial" w:hAnsi="Arial"/>
          <w:color w:val="1C1C1C"/>
          <w:spacing w:val="80"/>
          <w:w w:val="105"/>
          <w:sz w:val="21"/>
        </w:rPr>
        <w:t xml:space="preserve">  </w:t>
      </w:r>
      <w:r>
        <w:rPr>
          <w:rFonts w:ascii="Arial" w:hAnsi="Arial"/>
          <w:color w:val="0A0A0A"/>
          <w:w w:val="105"/>
          <w:sz w:val="21"/>
        </w:rPr>
        <w:t xml:space="preserve">MOFCOM </w:t>
      </w:r>
      <w:r>
        <w:rPr>
          <w:rFonts w:ascii="Arial" w:hAnsi="Arial"/>
          <w:color w:val="1C1C1C"/>
          <w:w w:val="105"/>
          <w:sz w:val="21"/>
        </w:rPr>
        <w:t xml:space="preserve">issued </w:t>
      </w:r>
      <w:r>
        <w:rPr>
          <w:rFonts w:ascii="Arial" w:hAnsi="Arial"/>
          <w:color w:val="0A0A0A"/>
          <w:w w:val="105"/>
          <w:sz w:val="21"/>
        </w:rPr>
        <w:t>Domestic</w:t>
      </w:r>
      <w:r>
        <w:rPr>
          <w:rFonts w:ascii="Arial" w:hAnsi="Arial"/>
          <w:color w:val="0A0A0A"/>
          <w:spacing w:val="37"/>
          <w:w w:val="105"/>
          <w:sz w:val="21"/>
        </w:rPr>
        <w:t xml:space="preserve"> </w:t>
      </w:r>
      <w:r>
        <w:rPr>
          <w:rFonts w:ascii="Arial" w:hAnsi="Arial"/>
          <w:color w:val="1C1C1C"/>
          <w:w w:val="105"/>
          <w:sz w:val="21"/>
        </w:rPr>
        <w:t xml:space="preserve">Producer Questionnaires on </w:t>
      </w:r>
      <w:r>
        <w:rPr>
          <w:rFonts w:ascii="Times New Roman" w:hAnsi="Times New Roman"/>
          <w:color w:val="1C1C1C"/>
          <w:w w:val="105"/>
        </w:rPr>
        <w:t xml:space="preserve">10 </w:t>
      </w:r>
      <w:r>
        <w:rPr>
          <w:rFonts w:ascii="Arial" w:hAnsi="Arial"/>
          <w:color w:val="1C1C1C"/>
          <w:w w:val="105"/>
          <w:sz w:val="21"/>
        </w:rPr>
        <w:t xml:space="preserve">October </w:t>
      </w:r>
      <w:r>
        <w:rPr>
          <w:rFonts w:ascii="Times New Roman" w:hAnsi="Times New Roman"/>
          <w:color w:val="1C1C1C"/>
          <w:w w:val="105"/>
        </w:rPr>
        <w:t xml:space="preserve">2020. </w:t>
      </w:r>
      <w:r>
        <w:rPr>
          <w:rFonts w:ascii="Arial" w:hAnsi="Arial"/>
          <w:color w:val="1C1C1C"/>
          <w:w w:val="105"/>
          <w:sz w:val="21"/>
        </w:rPr>
        <w:t>Twenty­ one</w:t>
      </w:r>
      <w:r>
        <w:rPr>
          <w:rFonts w:ascii="Arial" w:hAnsi="Arial"/>
          <w:color w:val="1C1C1C"/>
          <w:spacing w:val="-16"/>
          <w:w w:val="105"/>
          <w:sz w:val="21"/>
        </w:rPr>
        <w:t xml:space="preserve"> </w:t>
      </w:r>
      <w:r>
        <w:rPr>
          <w:rFonts w:ascii="Arial" w:hAnsi="Arial"/>
          <w:color w:val="0A0A0A"/>
          <w:w w:val="105"/>
          <w:sz w:val="21"/>
        </w:rPr>
        <w:t>domestic</w:t>
      </w:r>
      <w:r>
        <w:rPr>
          <w:rFonts w:ascii="Arial" w:hAnsi="Arial"/>
          <w:color w:val="0A0A0A"/>
          <w:spacing w:val="-1"/>
          <w:w w:val="105"/>
          <w:sz w:val="21"/>
        </w:rPr>
        <w:t xml:space="preserve"> </w:t>
      </w:r>
      <w:r>
        <w:rPr>
          <w:rFonts w:ascii="Arial" w:hAnsi="Arial"/>
          <w:color w:val="0A0A0A"/>
          <w:w w:val="105"/>
          <w:sz w:val="21"/>
        </w:rPr>
        <w:t>producers</w:t>
      </w:r>
      <w:r>
        <w:rPr>
          <w:rFonts w:ascii="Arial" w:hAnsi="Arial"/>
          <w:color w:val="0A0A0A"/>
          <w:spacing w:val="-5"/>
          <w:w w:val="105"/>
          <w:sz w:val="21"/>
        </w:rPr>
        <w:t xml:space="preserve"> </w:t>
      </w:r>
      <w:r>
        <w:rPr>
          <w:rFonts w:ascii="Arial" w:hAnsi="Arial"/>
          <w:color w:val="1C1C1C"/>
          <w:w w:val="105"/>
          <w:sz w:val="21"/>
        </w:rPr>
        <w:t>of Chinese</w:t>
      </w:r>
      <w:r>
        <w:rPr>
          <w:rFonts w:ascii="Arial" w:hAnsi="Arial"/>
          <w:color w:val="1C1C1C"/>
          <w:spacing w:val="-11"/>
          <w:w w:val="105"/>
          <w:sz w:val="21"/>
        </w:rPr>
        <w:t xml:space="preserve"> </w:t>
      </w:r>
      <w:r>
        <w:rPr>
          <w:rFonts w:ascii="Arial" w:hAnsi="Arial"/>
          <w:color w:val="1C1C1C"/>
          <w:w w:val="105"/>
          <w:sz w:val="21"/>
        </w:rPr>
        <w:t>wine</w:t>
      </w:r>
      <w:r>
        <w:rPr>
          <w:rFonts w:ascii="Arial" w:hAnsi="Arial"/>
          <w:color w:val="1C1C1C"/>
          <w:spacing w:val="-16"/>
          <w:w w:val="105"/>
          <w:sz w:val="21"/>
        </w:rPr>
        <w:t xml:space="preserve"> </w:t>
      </w:r>
      <w:r>
        <w:rPr>
          <w:rFonts w:ascii="Arial" w:hAnsi="Arial"/>
          <w:color w:val="1C1C1C"/>
          <w:w w:val="105"/>
          <w:sz w:val="21"/>
        </w:rPr>
        <w:t>responded.</w:t>
      </w:r>
      <w:r>
        <w:rPr>
          <w:rFonts w:ascii="Times New Roman" w:hAnsi="Times New Roman"/>
          <w:color w:val="1C1C1C"/>
          <w:w w:val="105"/>
          <w:position w:val="7"/>
          <w:sz w:val="15"/>
        </w:rPr>
        <w:t>1018</w:t>
      </w:r>
      <w:r>
        <w:rPr>
          <w:rFonts w:ascii="Times New Roman" w:hAnsi="Times New Roman"/>
          <w:color w:val="1C1C1C"/>
          <w:spacing w:val="24"/>
          <w:w w:val="105"/>
          <w:position w:val="7"/>
          <w:sz w:val="15"/>
        </w:rPr>
        <w:t xml:space="preserve"> </w:t>
      </w:r>
      <w:r>
        <w:rPr>
          <w:rFonts w:ascii="Arial" w:hAnsi="Arial"/>
          <w:color w:val="0A0A0A"/>
          <w:w w:val="105"/>
          <w:sz w:val="21"/>
        </w:rPr>
        <w:t>MOFCOM</w:t>
      </w:r>
      <w:r>
        <w:rPr>
          <w:rFonts w:ascii="Arial" w:hAnsi="Arial"/>
          <w:color w:val="0A0A0A"/>
          <w:spacing w:val="-16"/>
          <w:w w:val="105"/>
          <w:sz w:val="21"/>
        </w:rPr>
        <w:t xml:space="preserve"> </w:t>
      </w:r>
      <w:r>
        <w:rPr>
          <w:rFonts w:ascii="Arial" w:hAnsi="Arial"/>
          <w:color w:val="1C1C1C"/>
          <w:w w:val="105"/>
          <w:sz w:val="21"/>
        </w:rPr>
        <w:t>treated</w:t>
      </w:r>
      <w:r>
        <w:rPr>
          <w:rFonts w:ascii="Arial" w:hAnsi="Arial"/>
          <w:color w:val="1C1C1C"/>
          <w:spacing w:val="-15"/>
          <w:w w:val="105"/>
          <w:sz w:val="21"/>
        </w:rPr>
        <w:t xml:space="preserve"> </w:t>
      </w:r>
      <w:r>
        <w:rPr>
          <w:rFonts w:ascii="Arial" w:hAnsi="Arial"/>
          <w:color w:val="1C1C1C"/>
          <w:w w:val="105"/>
          <w:sz w:val="21"/>
        </w:rPr>
        <w:t>certain</w:t>
      </w:r>
      <w:r>
        <w:rPr>
          <w:rFonts w:ascii="Arial" w:hAnsi="Arial"/>
          <w:color w:val="1C1C1C"/>
          <w:spacing w:val="-8"/>
          <w:w w:val="105"/>
          <w:sz w:val="21"/>
        </w:rPr>
        <w:t xml:space="preserve"> </w:t>
      </w:r>
      <w:r>
        <w:rPr>
          <w:rFonts w:ascii="Arial" w:hAnsi="Arial"/>
          <w:color w:val="0A0A0A"/>
          <w:w w:val="105"/>
          <w:sz w:val="21"/>
        </w:rPr>
        <w:t>information in</w:t>
      </w:r>
      <w:r>
        <w:rPr>
          <w:rFonts w:ascii="Arial" w:hAnsi="Arial"/>
          <w:color w:val="0A0A0A"/>
          <w:spacing w:val="33"/>
          <w:w w:val="105"/>
          <w:sz w:val="21"/>
        </w:rPr>
        <w:t xml:space="preserve"> </w:t>
      </w:r>
      <w:r>
        <w:rPr>
          <w:rFonts w:ascii="Arial" w:hAnsi="Arial"/>
          <w:color w:val="1C1C1C"/>
          <w:w w:val="105"/>
          <w:sz w:val="21"/>
        </w:rPr>
        <w:t>these</w:t>
      </w:r>
      <w:r>
        <w:rPr>
          <w:rFonts w:ascii="Arial" w:hAnsi="Arial"/>
          <w:color w:val="1C1C1C"/>
          <w:spacing w:val="40"/>
          <w:w w:val="105"/>
          <w:sz w:val="21"/>
        </w:rPr>
        <w:t xml:space="preserve"> </w:t>
      </w:r>
      <w:r>
        <w:rPr>
          <w:rFonts w:ascii="Arial" w:hAnsi="Arial"/>
          <w:color w:val="0A0A0A"/>
          <w:w w:val="105"/>
          <w:sz w:val="21"/>
        </w:rPr>
        <w:t>responses</w:t>
      </w:r>
      <w:r>
        <w:rPr>
          <w:rFonts w:ascii="Arial" w:hAnsi="Arial"/>
          <w:color w:val="0A0A0A"/>
          <w:spacing w:val="53"/>
          <w:w w:val="105"/>
          <w:sz w:val="21"/>
        </w:rPr>
        <w:t xml:space="preserve"> </w:t>
      </w:r>
      <w:r>
        <w:rPr>
          <w:rFonts w:ascii="Arial" w:hAnsi="Arial"/>
          <w:color w:val="1C1C1C"/>
          <w:w w:val="105"/>
          <w:sz w:val="21"/>
        </w:rPr>
        <w:t>as</w:t>
      </w:r>
      <w:r>
        <w:rPr>
          <w:rFonts w:ascii="Arial" w:hAnsi="Arial"/>
          <w:color w:val="1C1C1C"/>
          <w:spacing w:val="32"/>
          <w:w w:val="105"/>
          <w:sz w:val="21"/>
        </w:rPr>
        <w:t xml:space="preserve"> </w:t>
      </w:r>
      <w:r>
        <w:rPr>
          <w:rFonts w:ascii="Arial" w:hAnsi="Arial"/>
          <w:color w:val="1C1C1C"/>
          <w:w w:val="105"/>
          <w:sz w:val="21"/>
        </w:rPr>
        <w:t>confidential</w:t>
      </w:r>
      <w:r>
        <w:rPr>
          <w:rFonts w:ascii="Arial" w:hAnsi="Arial"/>
          <w:color w:val="1C1C1C"/>
          <w:spacing w:val="45"/>
          <w:w w:val="105"/>
          <w:sz w:val="21"/>
        </w:rPr>
        <w:t xml:space="preserve"> </w:t>
      </w:r>
      <w:r>
        <w:rPr>
          <w:rFonts w:ascii="Arial" w:hAnsi="Arial"/>
          <w:color w:val="1C1C1C"/>
          <w:w w:val="105"/>
          <w:sz w:val="21"/>
        </w:rPr>
        <w:t>without</w:t>
      </w:r>
      <w:r>
        <w:rPr>
          <w:rFonts w:ascii="Arial" w:hAnsi="Arial"/>
          <w:color w:val="1C1C1C"/>
          <w:spacing w:val="44"/>
          <w:w w:val="105"/>
          <w:sz w:val="21"/>
        </w:rPr>
        <w:t xml:space="preserve"> </w:t>
      </w:r>
      <w:r>
        <w:rPr>
          <w:rFonts w:ascii="Arial" w:hAnsi="Arial"/>
          <w:color w:val="1C1C1C"/>
          <w:w w:val="105"/>
          <w:sz w:val="21"/>
        </w:rPr>
        <w:t>requiring</w:t>
      </w:r>
      <w:r>
        <w:rPr>
          <w:rFonts w:ascii="Arial" w:hAnsi="Arial"/>
          <w:color w:val="1C1C1C"/>
          <w:spacing w:val="31"/>
          <w:w w:val="105"/>
          <w:sz w:val="21"/>
        </w:rPr>
        <w:t xml:space="preserve"> </w:t>
      </w:r>
      <w:r>
        <w:rPr>
          <w:rFonts w:ascii="Arial" w:hAnsi="Arial"/>
          <w:color w:val="1C1C1C"/>
          <w:w w:val="105"/>
          <w:sz w:val="21"/>
        </w:rPr>
        <w:t>"good</w:t>
      </w:r>
      <w:r>
        <w:rPr>
          <w:rFonts w:ascii="Arial" w:hAnsi="Arial"/>
          <w:color w:val="1C1C1C"/>
          <w:spacing w:val="42"/>
          <w:w w:val="105"/>
          <w:sz w:val="21"/>
        </w:rPr>
        <w:t xml:space="preserve"> </w:t>
      </w:r>
      <w:r>
        <w:rPr>
          <w:rFonts w:ascii="Arial" w:hAnsi="Arial"/>
          <w:color w:val="1C1C1C"/>
          <w:w w:val="105"/>
          <w:sz w:val="21"/>
        </w:rPr>
        <w:t>cause"</w:t>
      </w:r>
      <w:r>
        <w:rPr>
          <w:rFonts w:ascii="Arial" w:hAnsi="Arial"/>
          <w:color w:val="1C1C1C"/>
          <w:spacing w:val="53"/>
          <w:w w:val="105"/>
          <w:sz w:val="21"/>
        </w:rPr>
        <w:t xml:space="preserve"> </w:t>
      </w:r>
      <w:r>
        <w:rPr>
          <w:rFonts w:ascii="Arial" w:hAnsi="Arial"/>
          <w:color w:val="1C1C1C"/>
          <w:w w:val="105"/>
          <w:sz w:val="21"/>
        </w:rPr>
        <w:t>to</w:t>
      </w:r>
      <w:r>
        <w:rPr>
          <w:rFonts w:ascii="Arial" w:hAnsi="Arial"/>
          <w:color w:val="1C1C1C"/>
          <w:spacing w:val="67"/>
          <w:w w:val="105"/>
          <w:sz w:val="21"/>
        </w:rPr>
        <w:t xml:space="preserve"> </w:t>
      </w:r>
      <w:r>
        <w:rPr>
          <w:rFonts w:ascii="Arial" w:hAnsi="Arial"/>
          <w:color w:val="1C1C1C"/>
          <w:w w:val="105"/>
          <w:sz w:val="21"/>
        </w:rPr>
        <w:t>be</w:t>
      </w:r>
      <w:r>
        <w:rPr>
          <w:rFonts w:ascii="Arial" w:hAnsi="Arial"/>
          <w:color w:val="1C1C1C"/>
          <w:spacing w:val="55"/>
          <w:w w:val="105"/>
          <w:sz w:val="21"/>
        </w:rPr>
        <w:t xml:space="preserve"> </w:t>
      </w:r>
      <w:r>
        <w:rPr>
          <w:rFonts w:ascii="Arial" w:hAnsi="Arial"/>
          <w:color w:val="1C1C1C"/>
          <w:w w:val="105"/>
          <w:sz w:val="21"/>
        </w:rPr>
        <w:t>shown</w:t>
      </w:r>
      <w:r>
        <w:rPr>
          <w:rFonts w:ascii="Arial" w:hAnsi="Arial"/>
          <w:color w:val="1C1C1C"/>
          <w:spacing w:val="46"/>
          <w:w w:val="105"/>
          <w:sz w:val="21"/>
        </w:rPr>
        <w:t xml:space="preserve"> </w:t>
      </w:r>
      <w:r>
        <w:rPr>
          <w:rFonts w:ascii="Arial" w:hAnsi="Arial"/>
          <w:color w:val="1C1C1C"/>
          <w:w w:val="105"/>
          <w:sz w:val="21"/>
        </w:rPr>
        <w:t>for</w:t>
      </w:r>
      <w:r>
        <w:rPr>
          <w:rFonts w:ascii="Arial" w:hAnsi="Arial"/>
          <w:color w:val="1C1C1C"/>
          <w:spacing w:val="62"/>
          <w:w w:val="105"/>
          <w:sz w:val="21"/>
        </w:rPr>
        <w:t xml:space="preserve"> </w:t>
      </w:r>
      <w:r>
        <w:rPr>
          <w:rFonts w:ascii="Arial" w:hAnsi="Arial"/>
          <w:color w:val="1C1C1C"/>
          <w:spacing w:val="-4"/>
          <w:w w:val="105"/>
          <w:sz w:val="21"/>
        </w:rPr>
        <w:t>such</w:t>
      </w:r>
    </w:p>
    <w:p w14:paraId="51DE96D1" w14:textId="77777777" w:rsidR="0010369C" w:rsidRDefault="0010369C">
      <w:pPr>
        <w:pStyle w:val="BodyText"/>
        <w:rPr>
          <w:rFonts w:ascii="Arial"/>
          <w:sz w:val="20"/>
        </w:rPr>
      </w:pPr>
    </w:p>
    <w:p w14:paraId="51DE96D2" w14:textId="77777777" w:rsidR="0010369C" w:rsidRDefault="008E43AE">
      <w:pPr>
        <w:pStyle w:val="BodyText"/>
        <w:rPr>
          <w:rFonts w:ascii="Arial"/>
        </w:rPr>
      </w:pPr>
      <w:r>
        <w:pict w14:anchorId="51DEA726">
          <v:shape id="docshape1287" o:spid="_x0000_s1151" style="position:absolute;margin-left:70.25pt;margin-top:15.05pt;width:145.5pt;height:.1pt;z-index:-250732032;mso-wrap-distance-left:0;mso-wrap-distance-right:0;mso-position-horizontal-relative:page" coordorigin="1405,301" coordsize="2910,0" path="m1405,301r2909,e" filled="f" strokeweight=".53042mm">
            <v:path arrowok="t"/>
            <w10:wrap type="topAndBottom" anchorx="page"/>
          </v:shape>
        </w:pict>
      </w:r>
    </w:p>
    <w:p w14:paraId="51DE96D3" w14:textId="77777777" w:rsidR="0010369C" w:rsidRDefault="008E43AE">
      <w:pPr>
        <w:spacing w:before="103"/>
        <w:ind w:left="230"/>
        <w:rPr>
          <w:rFonts w:ascii="Arial"/>
          <w:sz w:val="16"/>
        </w:rPr>
      </w:pPr>
      <w:r>
        <w:rPr>
          <w:rFonts w:ascii="Times New Roman"/>
          <w:color w:val="1C1C1C"/>
          <w:position w:val="6"/>
          <w:sz w:val="12"/>
        </w:rPr>
        <w:t>1016</w:t>
      </w:r>
      <w:r>
        <w:rPr>
          <w:rFonts w:ascii="Times New Roman"/>
          <w:color w:val="1C1C1C"/>
          <w:spacing w:val="1"/>
          <w:position w:val="6"/>
          <w:sz w:val="12"/>
        </w:rPr>
        <w:t xml:space="preserve"> </w:t>
      </w:r>
      <w:r>
        <w:rPr>
          <w:rFonts w:ascii="Arial"/>
          <w:color w:val="1C1C1C"/>
          <w:sz w:val="16"/>
        </w:rPr>
        <w:t>See</w:t>
      </w:r>
      <w:r>
        <w:rPr>
          <w:rFonts w:ascii="Arial"/>
          <w:color w:val="1C1C1C"/>
          <w:spacing w:val="7"/>
          <w:sz w:val="16"/>
        </w:rPr>
        <w:t xml:space="preserve"> </w:t>
      </w:r>
      <w:r>
        <w:rPr>
          <w:rFonts w:ascii="Arial"/>
          <w:color w:val="1C1C1C"/>
          <w:sz w:val="16"/>
        </w:rPr>
        <w:t>above,</w:t>
      </w:r>
      <w:r>
        <w:rPr>
          <w:rFonts w:ascii="Arial"/>
          <w:color w:val="1C1C1C"/>
          <w:spacing w:val="4"/>
          <w:sz w:val="16"/>
        </w:rPr>
        <w:t xml:space="preserve"> </w:t>
      </w:r>
      <w:r>
        <w:rPr>
          <w:rFonts w:ascii="Arial"/>
          <w:color w:val="1C1C1C"/>
          <w:sz w:val="16"/>
        </w:rPr>
        <w:t>section</w:t>
      </w:r>
      <w:r>
        <w:rPr>
          <w:rFonts w:ascii="Arial"/>
          <w:color w:val="1C1C1C"/>
          <w:spacing w:val="-3"/>
          <w:sz w:val="16"/>
        </w:rPr>
        <w:t xml:space="preserve"> </w:t>
      </w:r>
      <w:r>
        <w:rPr>
          <w:rFonts w:ascii="Arial"/>
          <w:color w:val="1C1C1C"/>
          <w:spacing w:val="-2"/>
          <w:sz w:val="16"/>
        </w:rPr>
        <w:t>VI.A.2(a).</w:t>
      </w:r>
    </w:p>
    <w:p w14:paraId="51DE96D4" w14:textId="77777777" w:rsidR="0010369C" w:rsidRDefault="008E43AE">
      <w:pPr>
        <w:spacing w:before="15" w:line="288" w:lineRule="auto"/>
        <w:ind w:left="244" w:right="460" w:hanging="14"/>
        <w:rPr>
          <w:rFonts w:ascii="Arial"/>
          <w:sz w:val="16"/>
        </w:rPr>
      </w:pPr>
      <w:r>
        <w:rPr>
          <w:rFonts w:ascii="Times New Roman"/>
          <w:color w:val="1C1C1C"/>
          <w:w w:val="105"/>
          <w:position w:val="6"/>
          <w:sz w:val="12"/>
        </w:rPr>
        <w:t>1017</w:t>
      </w:r>
      <w:r>
        <w:rPr>
          <w:rFonts w:ascii="Times New Roman"/>
          <w:color w:val="1C1C1C"/>
          <w:spacing w:val="-4"/>
          <w:w w:val="105"/>
          <w:position w:val="6"/>
          <w:sz w:val="12"/>
        </w:rPr>
        <w:t xml:space="preserve"> </w:t>
      </w:r>
      <w:r>
        <w:rPr>
          <w:rFonts w:ascii="Arial"/>
          <w:color w:val="1C1C1C"/>
          <w:w w:val="105"/>
          <w:sz w:val="16"/>
        </w:rPr>
        <w:t>If</w:t>
      </w:r>
      <w:r>
        <w:rPr>
          <w:rFonts w:ascii="Arial"/>
          <w:color w:val="1C1C1C"/>
          <w:spacing w:val="21"/>
          <w:w w:val="105"/>
          <w:sz w:val="16"/>
        </w:rPr>
        <w:t xml:space="preserve"> </w:t>
      </w:r>
      <w:r>
        <w:rPr>
          <w:rFonts w:ascii="Arial"/>
          <w:color w:val="1C1C1C"/>
          <w:w w:val="105"/>
          <w:sz w:val="16"/>
        </w:rPr>
        <w:t xml:space="preserve">this </w:t>
      </w:r>
      <w:r>
        <w:rPr>
          <w:rFonts w:ascii="Arial"/>
          <w:color w:val="3F3F3F"/>
          <w:w w:val="105"/>
          <w:sz w:val="16"/>
        </w:rPr>
        <w:t xml:space="preserve">information </w:t>
      </w:r>
      <w:r>
        <w:rPr>
          <w:rFonts w:ascii="Arial"/>
          <w:color w:val="1C1C1C"/>
          <w:w w:val="105"/>
          <w:sz w:val="16"/>
        </w:rPr>
        <w:t>was</w:t>
      </w:r>
      <w:r>
        <w:rPr>
          <w:rFonts w:ascii="Arial"/>
          <w:color w:val="1C1C1C"/>
          <w:spacing w:val="-11"/>
          <w:w w:val="105"/>
          <w:sz w:val="16"/>
        </w:rPr>
        <w:t xml:space="preserve"> </w:t>
      </w:r>
      <w:r>
        <w:rPr>
          <w:rFonts w:ascii="Arial"/>
          <w:color w:val="1C1C1C"/>
          <w:w w:val="105"/>
          <w:sz w:val="16"/>
        </w:rPr>
        <w:t>within</w:t>
      </w:r>
      <w:r>
        <w:rPr>
          <w:rFonts w:ascii="Arial"/>
          <w:color w:val="1C1C1C"/>
          <w:spacing w:val="-5"/>
          <w:w w:val="105"/>
          <w:sz w:val="16"/>
        </w:rPr>
        <w:t xml:space="preserve"> </w:t>
      </w:r>
      <w:r>
        <w:rPr>
          <w:rFonts w:ascii="Arial"/>
          <w:color w:val="0A0A0A"/>
          <w:w w:val="105"/>
          <w:sz w:val="16"/>
        </w:rPr>
        <w:t>the</w:t>
      </w:r>
      <w:r>
        <w:rPr>
          <w:rFonts w:ascii="Arial"/>
          <w:color w:val="0A0A0A"/>
          <w:spacing w:val="-11"/>
          <w:w w:val="105"/>
          <w:sz w:val="16"/>
        </w:rPr>
        <w:t xml:space="preserve"> </w:t>
      </w:r>
      <w:r>
        <w:rPr>
          <w:rFonts w:ascii="Arial"/>
          <w:color w:val="1C1C1C"/>
          <w:w w:val="105"/>
          <w:sz w:val="16"/>
        </w:rPr>
        <w:t>confidential version</w:t>
      </w:r>
      <w:r>
        <w:rPr>
          <w:rFonts w:ascii="Arial"/>
          <w:color w:val="1C1C1C"/>
          <w:spacing w:val="-3"/>
          <w:w w:val="105"/>
          <w:sz w:val="16"/>
        </w:rPr>
        <w:t xml:space="preserve"> </w:t>
      </w:r>
      <w:r>
        <w:rPr>
          <w:rFonts w:ascii="Arial"/>
          <w:color w:val="1C1C1C"/>
          <w:w w:val="105"/>
          <w:sz w:val="16"/>
        </w:rPr>
        <w:t>of</w:t>
      </w:r>
      <w:r>
        <w:rPr>
          <w:rFonts w:ascii="Arial"/>
          <w:color w:val="1C1C1C"/>
          <w:spacing w:val="23"/>
          <w:w w:val="105"/>
          <w:sz w:val="16"/>
        </w:rPr>
        <w:t xml:space="preserve"> </w:t>
      </w:r>
      <w:r>
        <w:rPr>
          <w:rFonts w:ascii="Arial"/>
          <w:color w:val="1C1C1C"/>
          <w:w w:val="105"/>
          <w:sz w:val="16"/>
        </w:rPr>
        <w:t>Annex 2,</w:t>
      </w:r>
      <w:r>
        <w:rPr>
          <w:rFonts w:ascii="Arial"/>
          <w:color w:val="1C1C1C"/>
          <w:spacing w:val="-2"/>
          <w:w w:val="105"/>
          <w:sz w:val="16"/>
        </w:rPr>
        <w:t xml:space="preserve"> </w:t>
      </w:r>
      <w:r>
        <w:rPr>
          <w:rFonts w:ascii="Arial"/>
          <w:color w:val="1C1C1C"/>
          <w:w w:val="105"/>
          <w:sz w:val="16"/>
        </w:rPr>
        <w:t>then</w:t>
      </w:r>
      <w:r>
        <w:rPr>
          <w:rFonts w:ascii="Arial"/>
          <w:color w:val="1C1C1C"/>
          <w:spacing w:val="-7"/>
          <w:w w:val="105"/>
          <w:sz w:val="16"/>
        </w:rPr>
        <w:t xml:space="preserve"> </w:t>
      </w:r>
      <w:r>
        <w:rPr>
          <w:rFonts w:ascii="Arial"/>
          <w:color w:val="1C1C1C"/>
          <w:w w:val="105"/>
          <w:sz w:val="16"/>
        </w:rPr>
        <w:t>Australia submits MOFCOM acted</w:t>
      </w:r>
      <w:r>
        <w:rPr>
          <w:rFonts w:ascii="Arial"/>
          <w:color w:val="1C1C1C"/>
          <w:spacing w:val="-6"/>
          <w:w w:val="105"/>
          <w:sz w:val="16"/>
        </w:rPr>
        <w:t xml:space="preserve"> </w:t>
      </w:r>
      <w:r>
        <w:rPr>
          <w:rFonts w:ascii="Arial"/>
          <w:color w:val="3F3F3F"/>
          <w:w w:val="105"/>
          <w:sz w:val="16"/>
        </w:rPr>
        <w:t xml:space="preserve">inconsistently </w:t>
      </w:r>
      <w:r>
        <w:rPr>
          <w:rFonts w:ascii="Arial"/>
          <w:color w:val="1C1C1C"/>
          <w:w w:val="105"/>
          <w:sz w:val="16"/>
        </w:rPr>
        <w:t>with Articles 6.5 and</w:t>
      </w:r>
      <w:r>
        <w:rPr>
          <w:rFonts w:ascii="Arial"/>
          <w:color w:val="1C1C1C"/>
          <w:spacing w:val="-5"/>
          <w:w w:val="105"/>
          <w:sz w:val="16"/>
        </w:rPr>
        <w:t xml:space="preserve"> </w:t>
      </w:r>
      <w:r>
        <w:rPr>
          <w:rFonts w:ascii="Arial"/>
          <w:color w:val="1C1C1C"/>
          <w:w w:val="105"/>
          <w:sz w:val="16"/>
        </w:rPr>
        <w:t>6.5.1.</w:t>
      </w:r>
    </w:p>
    <w:p w14:paraId="51DE96D5" w14:textId="77777777" w:rsidR="0010369C" w:rsidRDefault="008E43AE">
      <w:pPr>
        <w:spacing w:line="173" w:lineRule="exact"/>
        <w:ind w:left="230"/>
        <w:rPr>
          <w:rFonts w:ascii="Arial"/>
          <w:sz w:val="16"/>
        </w:rPr>
      </w:pPr>
      <w:r>
        <w:rPr>
          <w:rFonts w:ascii="Times New Roman"/>
          <w:color w:val="1C1C1C"/>
          <w:spacing w:val="-2"/>
          <w:w w:val="105"/>
          <w:position w:val="5"/>
          <w:sz w:val="12"/>
        </w:rPr>
        <w:t>1018</w:t>
      </w:r>
      <w:r>
        <w:rPr>
          <w:rFonts w:ascii="Times New Roman"/>
          <w:color w:val="1C1C1C"/>
          <w:spacing w:val="-3"/>
          <w:w w:val="105"/>
          <w:position w:val="5"/>
          <w:sz w:val="12"/>
        </w:rPr>
        <w:t xml:space="preserve"> </w:t>
      </w:r>
      <w:r>
        <w:rPr>
          <w:rFonts w:ascii="Arial"/>
          <w:color w:val="1C1C1C"/>
          <w:spacing w:val="-2"/>
          <w:w w:val="105"/>
          <w:sz w:val="16"/>
        </w:rPr>
        <w:t>Anti-Dumping</w:t>
      </w:r>
      <w:r>
        <w:rPr>
          <w:rFonts w:ascii="Arial"/>
          <w:color w:val="1C1C1C"/>
          <w:w w:val="105"/>
          <w:sz w:val="16"/>
        </w:rPr>
        <w:t xml:space="preserve"> </w:t>
      </w:r>
      <w:r>
        <w:rPr>
          <w:rFonts w:ascii="Arial"/>
          <w:color w:val="1C1C1C"/>
          <w:spacing w:val="-2"/>
          <w:w w:val="105"/>
          <w:sz w:val="16"/>
        </w:rPr>
        <w:t>Final</w:t>
      </w:r>
      <w:r>
        <w:rPr>
          <w:rFonts w:ascii="Arial"/>
          <w:color w:val="1C1C1C"/>
          <w:spacing w:val="-11"/>
          <w:w w:val="105"/>
          <w:sz w:val="16"/>
        </w:rPr>
        <w:t xml:space="preserve"> </w:t>
      </w:r>
      <w:r>
        <w:rPr>
          <w:rFonts w:ascii="Arial"/>
          <w:color w:val="1C1C1C"/>
          <w:spacing w:val="-2"/>
          <w:w w:val="105"/>
          <w:sz w:val="16"/>
        </w:rPr>
        <w:t>Determination</w:t>
      </w:r>
      <w:r>
        <w:rPr>
          <w:rFonts w:ascii="Arial"/>
          <w:color w:val="1C1C1C"/>
          <w:spacing w:val="7"/>
          <w:w w:val="105"/>
          <w:sz w:val="16"/>
        </w:rPr>
        <w:t xml:space="preserve"> </w:t>
      </w:r>
      <w:r>
        <w:rPr>
          <w:rFonts w:ascii="Arial"/>
          <w:color w:val="1C1C1C"/>
          <w:spacing w:val="-2"/>
          <w:w w:val="105"/>
          <w:sz w:val="16"/>
        </w:rPr>
        <w:t>(Exhibit</w:t>
      </w:r>
      <w:r>
        <w:rPr>
          <w:rFonts w:ascii="Arial"/>
          <w:color w:val="1C1C1C"/>
          <w:spacing w:val="2"/>
          <w:w w:val="105"/>
          <w:sz w:val="16"/>
        </w:rPr>
        <w:t xml:space="preserve"> </w:t>
      </w:r>
      <w:r>
        <w:rPr>
          <w:rFonts w:ascii="Arial"/>
          <w:color w:val="1C1C1C"/>
          <w:spacing w:val="-2"/>
          <w:w w:val="105"/>
          <w:sz w:val="16"/>
        </w:rPr>
        <w:t>AUS-2),</w:t>
      </w:r>
      <w:r>
        <w:rPr>
          <w:rFonts w:ascii="Arial"/>
          <w:color w:val="1C1C1C"/>
          <w:spacing w:val="-16"/>
          <w:w w:val="105"/>
          <w:sz w:val="16"/>
        </w:rPr>
        <w:t xml:space="preserve"> </w:t>
      </w:r>
      <w:r>
        <w:rPr>
          <w:rFonts w:ascii="Arial"/>
          <w:color w:val="0A0A0A"/>
          <w:spacing w:val="-2"/>
          <w:w w:val="105"/>
          <w:sz w:val="16"/>
        </w:rPr>
        <w:t>pp.</w:t>
      </w:r>
      <w:r>
        <w:rPr>
          <w:rFonts w:ascii="Arial"/>
          <w:color w:val="0A0A0A"/>
          <w:spacing w:val="14"/>
          <w:w w:val="105"/>
          <w:sz w:val="16"/>
        </w:rPr>
        <w:t xml:space="preserve"> </w:t>
      </w:r>
      <w:r>
        <w:rPr>
          <w:rFonts w:ascii="Arial"/>
          <w:color w:val="1C1C1C"/>
          <w:spacing w:val="-2"/>
          <w:w w:val="105"/>
          <w:sz w:val="16"/>
        </w:rPr>
        <w:t>17-</w:t>
      </w:r>
      <w:r>
        <w:rPr>
          <w:rFonts w:ascii="Arial"/>
          <w:color w:val="1C1C1C"/>
          <w:spacing w:val="-5"/>
          <w:w w:val="105"/>
          <w:sz w:val="16"/>
        </w:rPr>
        <w:t>18.</w:t>
      </w:r>
    </w:p>
    <w:p w14:paraId="51DE96D6" w14:textId="77777777" w:rsidR="0010369C" w:rsidRDefault="0010369C">
      <w:pPr>
        <w:spacing w:line="173" w:lineRule="exact"/>
        <w:rPr>
          <w:rFonts w:ascii="Arial"/>
          <w:sz w:val="16"/>
        </w:rPr>
        <w:sectPr w:rsidR="0010369C">
          <w:headerReference w:type="default" r:id="rId1122"/>
          <w:footerReference w:type="default" r:id="rId1123"/>
          <w:pgSz w:w="11910" w:h="16840"/>
          <w:pgMar w:top="480" w:right="800" w:bottom="1020" w:left="1180" w:header="0" w:footer="830" w:gutter="0"/>
          <w:cols w:space="720"/>
        </w:sectPr>
      </w:pPr>
    </w:p>
    <w:p w14:paraId="51DE96D7" w14:textId="77777777" w:rsidR="0010369C" w:rsidRDefault="008E43AE">
      <w:pPr>
        <w:tabs>
          <w:tab w:val="left" w:pos="6425"/>
        </w:tabs>
        <w:ind w:left="238"/>
        <w:jc w:val="both"/>
        <w:rPr>
          <w:sz w:val="20"/>
        </w:rPr>
      </w:pPr>
      <w:r>
        <w:rPr>
          <w:i/>
          <w:sz w:val="20"/>
        </w:rPr>
        <w:lastRenderedPageBreak/>
        <w:t>China</w:t>
      </w:r>
      <w:r>
        <w:rPr>
          <w:i/>
          <w:spacing w:val="-5"/>
          <w:sz w:val="20"/>
        </w:rPr>
        <w:t xml:space="preserve"> </w:t>
      </w:r>
      <w:r>
        <w:rPr>
          <w:i/>
          <w:sz w:val="20"/>
        </w:rPr>
        <w:t>–</w:t>
      </w:r>
      <w:r>
        <w:rPr>
          <w:i/>
          <w:spacing w:val="-5"/>
          <w:sz w:val="20"/>
        </w:rPr>
        <w:t xml:space="preserve"> </w:t>
      </w:r>
      <w:r>
        <w:rPr>
          <w:i/>
          <w:sz w:val="20"/>
        </w:rPr>
        <w:t>Anti‐Dumping</w:t>
      </w:r>
      <w:r>
        <w:rPr>
          <w:i/>
          <w:spacing w:val="-4"/>
          <w:sz w:val="20"/>
        </w:rPr>
        <w:t xml:space="preserve"> </w:t>
      </w:r>
      <w:r>
        <w:rPr>
          <w:i/>
          <w:sz w:val="20"/>
        </w:rPr>
        <w:t>and</w:t>
      </w:r>
      <w:r>
        <w:rPr>
          <w:i/>
          <w:spacing w:val="-5"/>
          <w:sz w:val="20"/>
        </w:rPr>
        <w:t xml:space="preserve"> </w:t>
      </w:r>
      <w:r>
        <w:rPr>
          <w:i/>
          <w:sz w:val="20"/>
        </w:rPr>
        <w:t>Countervailing</w:t>
      </w:r>
      <w:r>
        <w:rPr>
          <w:i/>
          <w:spacing w:val="-5"/>
          <w:sz w:val="20"/>
        </w:rPr>
        <w:t xml:space="preserve"> </w:t>
      </w:r>
      <w:r>
        <w:rPr>
          <w:i/>
          <w:sz w:val="20"/>
        </w:rPr>
        <w:t>Duty</w:t>
      </w:r>
      <w:r>
        <w:rPr>
          <w:i/>
          <w:spacing w:val="-4"/>
          <w:sz w:val="20"/>
        </w:rPr>
        <w:t xml:space="preserve"> </w:t>
      </w:r>
      <w:r>
        <w:rPr>
          <w:i/>
          <w:spacing w:val="-2"/>
          <w:sz w:val="20"/>
        </w:rPr>
        <w:t>Measures</w:t>
      </w:r>
      <w:r>
        <w:rPr>
          <w:i/>
          <w:sz w:val="20"/>
        </w:rPr>
        <w:tab/>
      </w:r>
      <w:r>
        <w:rPr>
          <w:sz w:val="20"/>
        </w:rPr>
        <w:t>Australia's</w:t>
      </w:r>
      <w:r>
        <w:rPr>
          <w:spacing w:val="-7"/>
          <w:sz w:val="20"/>
        </w:rPr>
        <w:t xml:space="preserve"> </w:t>
      </w:r>
      <w:r>
        <w:rPr>
          <w:sz w:val="20"/>
        </w:rPr>
        <w:t>First</w:t>
      </w:r>
      <w:r>
        <w:rPr>
          <w:spacing w:val="-2"/>
          <w:sz w:val="20"/>
        </w:rPr>
        <w:t xml:space="preserve"> </w:t>
      </w:r>
      <w:r>
        <w:rPr>
          <w:sz w:val="20"/>
        </w:rPr>
        <w:t>Written</w:t>
      </w:r>
      <w:r>
        <w:rPr>
          <w:spacing w:val="-2"/>
          <w:sz w:val="20"/>
        </w:rPr>
        <w:t xml:space="preserve"> Submission</w:t>
      </w:r>
    </w:p>
    <w:p w14:paraId="51DE96D8" w14:textId="77777777" w:rsidR="0010369C" w:rsidRDefault="008E43AE">
      <w:pPr>
        <w:tabs>
          <w:tab w:val="left" w:pos="8227"/>
        </w:tabs>
        <w:spacing w:before="1"/>
        <w:ind w:left="239"/>
        <w:jc w:val="both"/>
        <w:rPr>
          <w:sz w:val="20"/>
        </w:rPr>
      </w:pPr>
      <w:r>
        <w:rPr>
          <w:i/>
          <w:sz w:val="20"/>
        </w:rPr>
        <w:t>on</w:t>
      </w:r>
      <w:r>
        <w:rPr>
          <w:i/>
          <w:spacing w:val="-1"/>
          <w:sz w:val="20"/>
        </w:rPr>
        <w:t xml:space="preserve"> </w:t>
      </w:r>
      <w:r>
        <w:rPr>
          <w:i/>
          <w:sz w:val="20"/>
        </w:rPr>
        <w:t>Wine</w:t>
      </w:r>
      <w:r>
        <w:rPr>
          <w:i/>
          <w:spacing w:val="-1"/>
          <w:sz w:val="20"/>
        </w:rPr>
        <w:t xml:space="preserve"> </w:t>
      </w:r>
      <w:r>
        <w:rPr>
          <w:i/>
          <w:sz w:val="20"/>
        </w:rPr>
        <w:t>from</w:t>
      </w:r>
      <w:r>
        <w:rPr>
          <w:i/>
          <w:spacing w:val="-3"/>
          <w:sz w:val="20"/>
        </w:rPr>
        <w:t xml:space="preserve"> </w:t>
      </w:r>
      <w:r>
        <w:rPr>
          <w:i/>
          <w:sz w:val="20"/>
        </w:rPr>
        <w:t>Australia</w:t>
      </w:r>
      <w:r>
        <w:rPr>
          <w:i/>
          <w:spacing w:val="-1"/>
          <w:sz w:val="20"/>
        </w:rPr>
        <w:t xml:space="preserve"> </w:t>
      </w:r>
      <w:r>
        <w:rPr>
          <w:spacing w:val="-2"/>
          <w:sz w:val="20"/>
        </w:rPr>
        <w:t>(DS602)</w:t>
      </w:r>
      <w:r>
        <w:rPr>
          <w:sz w:val="20"/>
        </w:rPr>
        <w:tab/>
        <w:t>29</w:t>
      </w:r>
      <w:r>
        <w:rPr>
          <w:spacing w:val="-1"/>
          <w:sz w:val="20"/>
        </w:rPr>
        <w:t xml:space="preserve"> </w:t>
      </w:r>
      <w:r>
        <w:rPr>
          <w:sz w:val="20"/>
        </w:rPr>
        <w:t>April</w:t>
      </w:r>
      <w:r>
        <w:rPr>
          <w:spacing w:val="-2"/>
          <w:sz w:val="20"/>
        </w:rPr>
        <w:t xml:space="preserve"> </w:t>
      </w:r>
      <w:r>
        <w:rPr>
          <w:spacing w:val="-4"/>
          <w:sz w:val="20"/>
        </w:rPr>
        <w:t>2022</w:t>
      </w:r>
    </w:p>
    <w:p w14:paraId="51DE96D9" w14:textId="77777777" w:rsidR="0010369C" w:rsidRDefault="008E43AE">
      <w:pPr>
        <w:pStyle w:val="BodyText"/>
        <w:spacing w:before="34" w:line="360" w:lineRule="auto"/>
        <w:ind w:left="237" w:right="612"/>
        <w:jc w:val="both"/>
      </w:pPr>
      <w:r>
        <w:t>treatment, without assessing whether "good cause" had been shown, and without requiring the domestic producers to furnish non‐confidential summaries "in sufficient detail to permit a reasonabl</w:t>
      </w:r>
      <w:r>
        <w:t>e understanding of the substance of the information submitted in confidence".</w:t>
      </w:r>
    </w:p>
    <w:p w14:paraId="51DE96DA" w14:textId="77777777" w:rsidR="0010369C" w:rsidRDefault="0010369C">
      <w:pPr>
        <w:pStyle w:val="BodyText"/>
        <w:spacing w:before="11"/>
        <w:rPr>
          <w:sz w:val="8"/>
        </w:rPr>
      </w:pPr>
    </w:p>
    <w:p w14:paraId="51DE96DB" w14:textId="77777777" w:rsidR="0010369C" w:rsidRDefault="008E43AE">
      <w:pPr>
        <w:pStyle w:val="BodyText"/>
        <w:spacing w:before="52" w:line="360" w:lineRule="auto"/>
        <w:ind w:left="237" w:right="612" w:firstLine="851"/>
        <w:jc w:val="both"/>
      </w:pPr>
      <w:r>
        <w:rPr>
          <w:noProof/>
        </w:rPr>
        <w:drawing>
          <wp:anchor distT="0" distB="0" distL="0" distR="0" simplePos="0" relativeHeight="251451904" behindDoc="1" locked="0" layoutInCell="1" allowOverlap="1" wp14:anchorId="51DEA727" wp14:editId="51DEA728">
            <wp:simplePos x="0" y="0"/>
            <wp:positionH relativeFrom="page">
              <wp:posOffset>902208</wp:posOffset>
            </wp:positionH>
            <wp:positionV relativeFrom="paragraph">
              <wp:posOffset>80595</wp:posOffset>
            </wp:positionV>
            <wp:extent cx="262127" cy="103631"/>
            <wp:effectExtent l="0" t="0" r="0" b="0"/>
            <wp:wrapNone/>
            <wp:docPr id="1667" name="image8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 name="image861.png"/>
                    <pic:cNvPicPr/>
                  </pic:nvPicPr>
                  <pic:blipFill>
                    <a:blip r:embed="rId1124" cstate="print"/>
                    <a:stretch>
                      <a:fillRect/>
                    </a:stretch>
                  </pic:blipFill>
                  <pic:spPr>
                    <a:xfrm>
                      <a:off x="0" y="0"/>
                      <a:ext cx="262127" cy="103631"/>
                    </a:xfrm>
                    <a:prstGeom prst="rect">
                      <a:avLst/>
                    </a:prstGeom>
                  </pic:spPr>
                </pic:pic>
              </a:graphicData>
            </a:graphic>
          </wp:anchor>
        </w:drawing>
      </w:r>
      <w:r>
        <w:t>MOFCOM provided confidential treatment to information that appeared very unlikely</w:t>
      </w:r>
      <w:r>
        <w:rPr>
          <w:spacing w:val="-10"/>
        </w:rPr>
        <w:t xml:space="preserve"> </w:t>
      </w:r>
      <w:r>
        <w:t>to</w:t>
      </w:r>
      <w:r>
        <w:rPr>
          <w:spacing w:val="-11"/>
        </w:rPr>
        <w:t xml:space="preserve"> </w:t>
      </w:r>
      <w:r>
        <w:t>be</w:t>
      </w:r>
      <w:r>
        <w:rPr>
          <w:spacing w:val="-11"/>
        </w:rPr>
        <w:t xml:space="preserve"> </w:t>
      </w:r>
      <w:r>
        <w:t>genuinely</w:t>
      </w:r>
      <w:r>
        <w:rPr>
          <w:spacing w:val="-12"/>
        </w:rPr>
        <w:t xml:space="preserve"> </w:t>
      </w:r>
      <w:r>
        <w:t>confidential</w:t>
      </w:r>
      <w:r>
        <w:rPr>
          <w:spacing w:val="-11"/>
        </w:rPr>
        <w:t xml:space="preserve"> </w:t>
      </w:r>
      <w:r>
        <w:t>on</w:t>
      </w:r>
      <w:r>
        <w:rPr>
          <w:spacing w:val="-11"/>
        </w:rPr>
        <w:t xml:space="preserve"> </w:t>
      </w:r>
      <w:r>
        <w:t>its</w:t>
      </w:r>
      <w:r>
        <w:rPr>
          <w:spacing w:val="-11"/>
        </w:rPr>
        <w:t xml:space="preserve"> </w:t>
      </w:r>
      <w:r>
        <w:t>face,</w:t>
      </w:r>
      <w:r>
        <w:rPr>
          <w:spacing w:val="-11"/>
        </w:rPr>
        <w:t xml:space="preserve"> </w:t>
      </w:r>
      <w:r>
        <w:t>and</w:t>
      </w:r>
      <w:r>
        <w:rPr>
          <w:spacing w:val="-11"/>
        </w:rPr>
        <w:t xml:space="preserve"> </w:t>
      </w:r>
      <w:r>
        <w:t>for</w:t>
      </w:r>
      <w:r>
        <w:rPr>
          <w:spacing w:val="-11"/>
        </w:rPr>
        <w:t xml:space="preserve"> </w:t>
      </w:r>
      <w:r>
        <w:t>which</w:t>
      </w:r>
      <w:r>
        <w:rPr>
          <w:spacing w:val="-11"/>
        </w:rPr>
        <w:t xml:space="preserve"> </w:t>
      </w:r>
      <w:r>
        <w:t>MOFCOM</w:t>
      </w:r>
      <w:r>
        <w:rPr>
          <w:spacing w:val="-11"/>
        </w:rPr>
        <w:t xml:space="preserve"> </w:t>
      </w:r>
      <w:r>
        <w:t>should</w:t>
      </w:r>
      <w:r>
        <w:rPr>
          <w:spacing w:val="-11"/>
        </w:rPr>
        <w:t xml:space="preserve"> </w:t>
      </w:r>
      <w:r>
        <w:t>have</w:t>
      </w:r>
      <w:r>
        <w:rPr>
          <w:spacing w:val="-10"/>
        </w:rPr>
        <w:t xml:space="preserve"> </w:t>
      </w:r>
      <w:r>
        <w:t>required "good caus</w:t>
      </w:r>
      <w:r>
        <w:t>e" to be shown for such treatment. This included:</w:t>
      </w:r>
    </w:p>
    <w:p w14:paraId="51DE96DC" w14:textId="77777777" w:rsidR="0010369C" w:rsidRDefault="008E43AE">
      <w:pPr>
        <w:pStyle w:val="ListParagraph"/>
        <w:numPr>
          <w:ilvl w:val="0"/>
          <w:numId w:val="24"/>
        </w:numPr>
        <w:tabs>
          <w:tab w:val="left" w:pos="1939"/>
          <w:tab w:val="left" w:pos="1940"/>
        </w:tabs>
        <w:spacing w:before="160" w:line="360" w:lineRule="auto"/>
        <w:ind w:right="612"/>
        <w:rPr>
          <w:sz w:val="24"/>
        </w:rPr>
      </w:pPr>
      <w:r>
        <w:rPr>
          <w:sz w:val="24"/>
        </w:rPr>
        <w:t>Confidential treatment covering the entirety of the responses supplied by certain domestic producers to question 5 of the Domestic Producer Questionnaire,</w:t>
      </w:r>
      <w:r>
        <w:rPr>
          <w:sz w:val="24"/>
          <w:vertAlign w:val="superscript"/>
        </w:rPr>
        <w:t>1019</w:t>
      </w:r>
      <w:r>
        <w:rPr>
          <w:sz w:val="24"/>
        </w:rPr>
        <w:t xml:space="preserve"> which asked for information about whether domestic producers or their affiliated parties made imports or exports of the production under investigation, and the "Product Use" of the imports or exports. MOFCOM granted this broad confidential treatment even </w:t>
      </w:r>
      <w:r>
        <w:rPr>
          <w:sz w:val="24"/>
        </w:rPr>
        <w:t>though, as</w:t>
      </w:r>
      <w:r>
        <w:rPr>
          <w:spacing w:val="-7"/>
          <w:sz w:val="24"/>
        </w:rPr>
        <w:t xml:space="preserve"> </w:t>
      </w:r>
      <w:r>
        <w:rPr>
          <w:sz w:val="24"/>
        </w:rPr>
        <w:t>is</w:t>
      </w:r>
      <w:r>
        <w:rPr>
          <w:spacing w:val="-7"/>
          <w:sz w:val="24"/>
        </w:rPr>
        <w:t xml:space="preserve"> </w:t>
      </w:r>
      <w:r>
        <w:rPr>
          <w:sz w:val="24"/>
        </w:rPr>
        <w:t>well</w:t>
      </w:r>
      <w:r>
        <w:rPr>
          <w:spacing w:val="-6"/>
          <w:sz w:val="24"/>
        </w:rPr>
        <w:t xml:space="preserve"> </w:t>
      </w:r>
      <w:r>
        <w:rPr>
          <w:sz w:val="24"/>
        </w:rPr>
        <w:t>known,</w:t>
      </w:r>
      <w:r>
        <w:rPr>
          <w:spacing w:val="-6"/>
          <w:sz w:val="24"/>
        </w:rPr>
        <w:t xml:space="preserve"> </w:t>
      </w:r>
      <w:r>
        <w:rPr>
          <w:sz w:val="24"/>
        </w:rPr>
        <w:t>bottled</w:t>
      </w:r>
      <w:r>
        <w:rPr>
          <w:spacing w:val="-5"/>
          <w:sz w:val="24"/>
        </w:rPr>
        <w:t xml:space="preserve"> </w:t>
      </w:r>
      <w:r>
        <w:rPr>
          <w:sz w:val="24"/>
        </w:rPr>
        <w:t>wine</w:t>
      </w:r>
      <w:r>
        <w:rPr>
          <w:spacing w:val="-6"/>
          <w:sz w:val="24"/>
        </w:rPr>
        <w:t xml:space="preserve"> </w:t>
      </w:r>
      <w:r>
        <w:rPr>
          <w:sz w:val="24"/>
        </w:rPr>
        <w:t>has</w:t>
      </w:r>
      <w:r>
        <w:rPr>
          <w:spacing w:val="-6"/>
          <w:sz w:val="24"/>
        </w:rPr>
        <w:t xml:space="preserve"> </w:t>
      </w:r>
      <w:r>
        <w:rPr>
          <w:sz w:val="24"/>
        </w:rPr>
        <w:t>a</w:t>
      </w:r>
      <w:r>
        <w:rPr>
          <w:spacing w:val="-5"/>
          <w:sz w:val="24"/>
        </w:rPr>
        <w:t xml:space="preserve"> </w:t>
      </w:r>
      <w:r>
        <w:rPr>
          <w:sz w:val="24"/>
        </w:rPr>
        <w:t>limited</w:t>
      </w:r>
      <w:r>
        <w:rPr>
          <w:spacing w:val="-6"/>
          <w:sz w:val="24"/>
        </w:rPr>
        <w:t xml:space="preserve"> </w:t>
      </w:r>
      <w:r>
        <w:rPr>
          <w:sz w:val="24"/>
        </w:rPr>
        <w:t>range</w:t>
      </w:r>
      <w:r>
        <w:rPr>
          <w:spacing w:val="-6"/>
          <w:sz w:val="24"/>
        </w:rPr>
        <w:t xml:space="preserve"> </w:t>
      </w:r>
      <w:r>
        <w:rPr>
          <w:sz w:val="24"/>
        </w:rPr>
        <w:t>of</w:t>
      </w:r>
      <w:r>
        <w:rPr>
          <w:spacing w:val="-6"/>
          <w:sz w:val="24"/>
        </w:rPr>
        <w:t xml:space="preserve"> </w:t>
      </w:r>
      <w:r>
        <w:rPr>
          <w:sz w:val="24"/>
        </w:rPr>
        <w:t>ordinary</w:t>
      </w:r>
      <w:r>
        <w:rPr>
          <w:spacing w:val="-5"/>
          <w:sz w:val="24"/>
        </w:rPr>
        <w:t xml:space="preserve"> </w:t>
      </w:r>
      <w:r>
        <w:rPr>
          <w:sz w:val="24"/>
        </w:rPr>
        <w:t>uses</w:t>
      </w:r>
      <w:r>
        <w:rPr>
          <w:spacing w:val="-7"/>
          <w:sz w:val="24"/>
        </w:rPr>
        <w:t xml:space="preserve"> </w:t>
      </w:r>
      <w:r>
        <w:rPr>
          <w:sz w:val="24"/>
        </w:rPr>
        <w:t>and</w:t>
      </w:r>
      <w:r>
        <w:rPr>
          <w:spacing w:val="-6"/>
          <w:sz w:val="24"/>
        </w:rPr>
        <w:t xml:space="preserve"> </w:t>
      </w:r>
      <w:r>
        <w:rPr>
          <w:sz w:val="24"/>
        </w:rPr>
        <w:t xml:space="preserve">even though in response to another question in the </w:t>
      </w:r>
      <w:r>
        <w:rPr>
          <w:i/>
          <w:sz w:val="24"/>
        </w:rPr>
        <w:t>same questionnaire responses</w:t>
      </w:r>
      <w:r>
        <w:rPr>
          <w:sz w:val="24"/>
        </w:rPr>
        <w:t>,</w:t>
      </w:r>
      <w:r>
        <w:rPr>
          <w:spacing w:val="-11"/>
          <w:sz w:val="24"/>
        </w:rPr>
        <w:t xml:space="preserve"> </w:t>
      </w:r>
      <w:r>
        <w:rPr>
          <w:sz w:val="24"/>
        </w:rPr>
        <w:t>the</w:t>
      </w:r>
      <w:r>
        <w:rPr>
          <w:spacing w:val="-10"/>
          <w:sz w:val="24"/>
        </w:rPr>
        <w:t xml:space="preserve"> </w:t>
      </w:r>
      <w:r>
        <w:rPr>
          <w:sz w:val="24"/>
        </w:rPr>
        <w:t>response</w:t>
      </w:r>
      <w:r>
        <w:rPr>
          <w:spacing w:val="-12"/>
          <w:sz w:val="24"/>
        </w:rPr>
        <w:t xml:space="preserve"> </w:t>
      </w:r>
      <w:r>
        <w:rPr>
          <w:sz w:val="24"/>
        </w:rPr>
        <w:t>was</w:t>
      </w:r>
      <w:r>
        <w:rPr>
          <w:spacing w:val="-11"/>
          <w:sz w:val="24"/>
        </w:rPr>
        <w:t xml:space="preserve"> </w:t>
      </w:r>
      <w:r>
        <w:rPr>
          <w:sz w:val="24"/>
        </w:rPr>
        <w:t>given</w:t>
      </w:r>
      <w:r>
        <w:rPr>
          <w:spacing w:val="-11"/>
          <w:sz w:val="24"/>
        </w:rPr>
        <w:t xml:space="preserve"> </w:t>
      </w:r>
      <w:r>
        <w:rPr>
          <w:sz w:val="24"/>
        </w:rPr>
        <w:t>that</w:t>
      </w:r>
      <w:r>
        <w:rPr>
          <w:spacing w:val="-11"/>
          <w:sz w:val="24"/>
        </w:rPr>
        <w:t xml:space="preserve"> </w:t>
      </w:r>
      <w:r>
        <w:rPr>
          <w:sz w:val="24"/>
        </w:rPr>
        <w:t>the</w:t>
      </w:r>
      <w:r>
        <w:rPr>
          <w:spacing w:val="-10"/>
          <w:sz w:val="24"/>
        </w:rPr>
        <w:t xml:space="preserve"> </w:t>
      </w:r>
      <w:r>
        <w:rPr>
          <w:sz w:val="24"/>
        </w:rPr>
        <w:t>like</w:t>
      </w:r>
      <w:r>
        <w:rPr>
          <w:spacing w:val="-10"/>
          <w:sz w:val="24"/>
        </w:rPr>
        <w:t xml:space="preserve"> </w:t>
      </w:r>
      <w:r>
        <w:rPr>
          <w:sz w:val="24"/>
        </w:rPr>
        <w:t>products</w:t>
      </w:r>
      <w:r>
        <w:rPr>
          <w:spacing w:val="-10"/>
          <w:sz w:val="24"/>
        </w:rPr>
        <w:t xml:space="preserve"> </w:t>
      </w:r>
      <w:r>
        <w:rPr>
          <w:sz w:val="24"/>
        </w:rPr>
        <w:t>are</w:t>
      </w:r>
      <w:r>
        <w:rPr>
          <w:spacing w:val="-10"/>
          <w:sz w:val="24"/>
        </w:rPr>
        <w:t xml:space="preserve"> </w:t>
      </w:r>
      <w:r>
        <w:rPr>
          <w:sz w:val="24"/>
        </w:rPr>
        <w:t>"mainly</w:t>
      </w:r>
      <w:r>
        <w:rPr>
          <w:spacing w:val="-10"/>
          <w:sz w:val="24"/>
        </w:rPr>
        <w:t xml:space="preserve"> </w:t>
      </w:r>
      <w:r>
        <w:rPr>
          <w:sz w:val="24"/>
        </w:rPr>
        <w:t>used</w:t>
      </w:r>
      <w:r>
        <w:rPr>
          <w:spacing w:val="-13"/>
          <w:sz w:val="24"/>
        </w:rPr>
        <w:t xml:space="preserve"> </w:t>
      </w:r>
      <w:r>
        <w:rPr>
          <w:sz w:val="24"/>
        </w:rPr>
        <w:t>as alcoholic drinks for human co</w:t>
      </w:r>
      <w:r>
        <w:rPr>
          <w:sz w:val="24"/>
        </w:rPr>
        <w:t>nsumption".</w:t>
      </w:r>
      <w:r>
        <w:rPr>
          <w:sz w:val="24"/>
          <w:vertAlign w:val="superscript"/>
        </w:rPr>
        <w:t>1020</w:t>
      </w:r>
    </w:p>
    <w:p w14:paraId="51DE96DD" w14:textId="77777777" w:rsidR="0010369C" w:rsidRDefault="008E43AE">
      <w:pPr>
        <w:pStyle w:val="ListParagraph"/>
        <w:numPr>
          <w:ilvl w:val="0"/>
          <w:numId w:val="24"/>
        </w:numPr>
        <w:tabs>
          <w:tab w:val="left" w:pos="1940"/>
          <w:tab w:val="left" w:pos="1941"/>
        </w:tabs>
        <w:spacing w:before="119" w:line="357" w:lineRule="auto"/>
        <w:ind w:right="613" w:hanging="850"/>
        <w:rPr>
          <w:sz w:val="24"/>
        </w:rPr>
      </w:pPr>
      <w:r>
        <w:rPr>
          <w:sz w:val="24"/>
        </w:rPr>
        <w:t>Confidential</w:t>
      </w:r>
      <w:r>
        <w:rPr>
          <w:spacing w:val="-14"/>
          <w:sz w:val="24"/>
        </w:rPr>
        <w:t xml:space="preserve"> </w:t>
      </w:r>
      <w:r>
        <w:rPr>
          <w:sz w:val="24"/>
        </w:rPr>
        <w:t>treatment</w:t>
      </w:r>
      <w:r>
        <w:rPr>
          <w:spacing w:val="-12"/>
          <w:sz w:val="24"/>
        </w:rPr>
        <w:t xml:space="preserve"> </w:t>
      </w:r>
      <w:r>
        <w:rPr>
          <w:sz w:val="24"/>
        </w:rPr>
        <w:t>covering</w:t>
      </w:r>
      <w:r>
        <w:rPr>
          <w:spacing w:val="-14"/>
          <w:sz w:val="24"/>
        </w:rPr>
        <w:t xml:space="preserve"> </w:t>
      </w:r>
      <w:r>
        <w:rPr>
          <w:sz w:val="24"/>
        </w:rPr>
        <w:t>the</w:t>
      </w:r>
      <w:r>
        <w:rPr>
          <w:spacing w:val="-12"/>
          <w:sz w:val="24"/>
        </w:rPr>
        <w:t xml:space="preserve"> </w:t>
      </w:r>
      <w:r>
        <w:rPr>
          <w:sz w:val="24"/>
        </w:rPr>
        <w:t>entirety</w:t>
      </w:r>
      <w:r>
        <w:rPr>
          <w:spacing w:val="-13"/>
          <w:sz w:val="24"/>
        </w:rPr>
        <w:t xml:space="preserve"> </w:t>
      </w:r>
      <w:r>
        <w:rPr>
          <w:sz w:val="24"/>
        </w:rPr>
        <w:t>of</w:t>
      </w:r>
      <w:r>
        <w:rPr>
          <w:spacing w:val="-13"/>
          <w:sz w:val="24"/>
        </w:rPr>
        <w:t xml:space="preserve"> </w:t>
      </w:r>
      <w:r>
        <w:rPr>
          <w:sz w:val="24"/>
        </w:rPr>
        <w:t>the</w:t>
      </w:r>
      <w:r>
        <w:rPr>
          <w:spacing w:val="-13"/>
          <w:sz w:val="24"/>
        </w:rPr>
        <w:t xml:space="preserve"> </w:t>
      </w:r>
      <w:r>
        <w:rPr>
          <w:sz w:val="24"/>
        </w:rPr>
        <w:t>responses</w:t>
      </w:r>
      <w:r>
        <w:rPr>
          <w:spacing w:val="-14"/>
          <w:sz w:val="24"/>
        </w:rPr>
        <w:t xml:space="preserve"> </w:t>
      </w:r>
      <w:r>
        <w:rPr>
          <w:sz w:val="24"/>
        </w:rPr>
        <w:t>supplied</w:t>
      </w:r>
      <w:r>
        <w:rPr>
          <w:spacing w:val="-12"/>
          <w:sz w:val="24"/>
        </w:rPr>
        <w:t xml:space="preserve"> </w:t>
      </w:r>
      <w:r>
        <w:rPr>
          <w:sz w:val="24"/>
        </w:rPr>
        <w:t>by</w:t>
      </w:r>
      <w:r>
        <w:rPr>
          <w:spacing w:val="-13"/>
          <w:sz w:val="24"/>
        </w:rPr>
        <w:t xml:space="preserve"> </w:t>
      </w:r>
      <w:r>
        <w:rPr>
          <w:i/>
          <w:sz w:val="24"/>
        </w:rPr>
        <w:t xml:space="preserve">all </w:t>
      </w:r>
      <w:r>
        <w:rPr>
          <w:sz w:val="24"/>
        </w:rPr>
        <w:t>domestic producers to question 9 of the Domestic Producer Questionnaire,</w:t>
      </w:r>
      <w:r>
        <w:rPr>
          <w:sz w:val="24"/>
          <w:vertAlign w:val="superscript"/>
        </w:rPr>
        <w:t>1021</w:t>
      </w:r>
      <w:r>
        <w:rPr>
          <w:spacing w:val="-9"/>
          <w:sz w:val="24"/>
        </w:rPr>
        <w:t xml:space="preserve"> </w:t>
      </w:r>
      <w:r>
        <w:rPr>
          <w:sz w:val="24"/>
        </w:rPr>
        <w:t>which</w:t>
      </w:r>
      <w:r>
        <w:rPr>
          <w:spacing w:val="-9"/>
          <w:sz w:val="24"/>
        </w:rPr>
        <w:t xml:space="preserve"> </w:t>
      </w:r>
      <w:r>
        <w:rPr>
          <w:sz w:val="24"/>
        </w:rPr>
        <w:t>asked</w:t>
      </w:r>
      <w:r>
        <w:rPr>
          <w:spacing w:val="-8"/>
          <w:sz w:val="24"/>
        </w:rPr>
        <w:t xml:space="preserve"> </w:t>
      </w:r>
      <w:r>
        <w:rPr>
          <w:sz w:val="24"/>
        </w:rPr>
        <w:t>for</w:t>
      </w:r>
      <w:r>
        <w:rPr>
          <w:spacing w:val="-8"/>
          <w:sz w:val="24"/>
        </w:rPr>
        <w:t xml:space="preserve"> </w:t>
      </w:r>
      <w:r>
        <w:rPr>
          <w:sz w:val="24"/>
        </w:rPr>
        <w:t>information</w:t>
      </w:r>
      <w:r>
        <w:rPr>
          <w:spacing w:val="-7"/>
          <w:sz w:val="24"/>
        </w:rPr>
        <w:t xml:space="preserve"> </w:t>
      </w:r>
      <w:r>
        <w:rPr>
          <w:sz w:val="24"/>
        </w:rPr>
        <w:t>concerning</w:t>
      </w:r>
      <w:r>
        <w:rPr>
          <w:spacing w:val="-9"/>
          <w:sz w:val="24"/>
        </w:rPr>
        <w:t xml:space="preserve"> </w:t>
      </w:r>
      <w:r>
        <w:rPr>
          <w:sz w:val="24"/>
        </w:rPr>
        <w:t>the</w:t>
      </w:r>
      <w:r>
        <w:rPr>
          <w:spacing w:val="-8"/>
          <w:sz w:val="24"/>
        </w:rPr>
        <w:t xml:space="preserve"> </w:t>
      </w:r>
      <w:r>
        <w:rPr>
          <w:sz w:val="24"/>
        </w:rPr>
        <w:t>classification of the wines sold by the domestic producers according to quality or brand.</w:t>
      </w:r>
    </w:p>
    <w:p w14:paraId="51DE96DE" w14:textId="77777777" w:rsidR="0010369C" w:rsidRDefault="008E43AE">
      <w:pPr>
        <w:pStyle w:val="BodyText"/>
        <w:spacing w:before="8"/>
        <w:rPr>
          <w:sz w:val="17"/>
        </w:rPr>
      </w:pPr>
      <w:r>
        <w:pict w14:anchorId="51DEA729">
          <v:rect id="docshape1291" o:spid="_x0000_s1150" style="position:absolute;margin-left:70.9pt;margin-top:12pt;width:2in;height:.8pt;z-index:-250731008;mso-wrap-distance-left:0;mso-wrap-distance-right:0;mso-position-horizontal-relative:page" fillcolor="black" stroked="f">
            <w10:wrap type="topAndBottom" anchorx="page"/>
          </v:rect>
        </w:pict>
      </w:r>
    </w:p>
    <w:p w14:paraId="51DE96DF" w14:textId="77777777" w:rsidR="0010369C" w:rsidRDefault="008E43AE">
      <w:pPr>
        <w:spacing w:before="142" w:line="184" w:lineRule="auto"/>
        <w:ind w:left="238" w:right="614" w:hanging="1"/>
        <w:rPr>
          <w:sz w:val="18"/>
        </w:rPr>
      </w:pPr>
      <w:r>
        <w:rPr>
          <w:sz w:val="18"/>
          <w:vertAlign w:val="superscript"/>
        </w:rPr>
        <w:t>1019</w:t>
      </w:r>
      <w:r>
        <w:rPr>
          <w:spacing w:val="40"/>
          <w:sz w:val="18"/>
        </w:rPr>
        <w:t xml:space="preserve"> </w:t>
      </w:r>
      <w:r>
        <w:rPr>
          <w:sz w:val="18"/>
        </w:rPr>
        <w:t>Dynasty</w:t>
      </w:r>
      <w:r>
        <w:rPr>
          <w:spacing w:val="40"/>
          <w:sz w:val="18"/>
        </w:rPr>
        <w:t xml:space="preserve"> </w:t>
      </w:r>
      <w:r>
        <w:rPr>
          <w:sz w:val="18"/>
        </w:rPr>
        <w:t>Fine</w:t>
      </w:r>
      <w:r>
        <w:rPr>
          <w:spacing w:val="40"/>
          <w:sz w:val="18"/>
        </w:rPr>
        <w:t xml:space="preserve"> </w:t>
      </w:r>
      <w:r>
        <w:rPr>
          <w:sz w:val="18"/>
        </w:rPr>
        <w:t>Wine</w:t>
      </w:r>
      <w:r>
        <w:rPr>
          <w:spacing w:val="40"/>
          <w:sz w:val="18"/>
        </w:rPr>
        <w:t xml:space="preserve"> </w:t>
      </w:r>
      <w:r>
        <w:rPr>
          <w:sz w:val="18"/>
        </w:rPr>
        <w:t>Anti‐Dumping</w:t>
      </w:r>
      <w:r>
        <w:rPr>
          <w:spacing w:val="40"/>
          <w:sz w:val="18"/>
        </w:rPr>
        <w:t xml:space="preserve"> </w:t>
      </w:r>
      <w:r>
        <w:rPr>
          <w:sz w:val="18"/>
        </w:rPr>
        <w:t>Questionnaire</w:t>
      </w:r>
      <w:r>
        <w:rPr>
          <w:spacing w:val="40"/>
          <w:sz w:val="18"/>
        </w:rPr>
        <w:t xml:space="preserve"> </w:t>
      </w:r>
      <w:r>
        <w:rPr>
          <w:sz w:val="18"/>
        </w:rPr>
        <w:t>Response</w:t>
      </w:r>
      <w:r>
        <w:rPr>
          <w:spacing w:val="40"/>
          <w:sz w:val="18"/>
        </w:rPr>
        <w:t xml:space="preserve"> </w:t>
      </w:r>
      <w:r>
        <w:rPr>
          <w:sz w:val="18"/>
        </w:rPr>
        <w:t>(Exhibit</w:t>
      </w:r>
      <w:r>
        <w:rPr>
          <w:spacing w:val="40"/>
          <w:sz w:val="18"/>
        </w:rPr>
        <w:t xml:space="preserve"> </w:t>
      </w:r>
      <w:r>
        <w:rPr>
          <w:sz w:val="18"/>
        </w:rPr>
        <w:t>AUS‐55),</w:t>
      </w:r>
      <w:r>
        <w:rPr>
          <w:spacing w:val="40"/>
          <w:sz w:val="18"/>
        </w:rPr>
        <w:t xml:space="preserve"> </w:t>
      </w:r>
      <w:r>
        <w:rPr>
          <w:sz w:val="18"/>
        </w:rPr>
        <w:t>p.</w:t>
      </w:r>
      <w:r>
        <w:rPr>
          <w:spacing w:val="40"/>
          <w:sz w:val="18"/>
        </w:rPr>
        <w:t xml:space="preserve"> </w:t>
      </w:r>
      <w:r>
        <w:rPr>
          <w:sz w:val="18"/>
        </w:rPr>
        <w:t>13;</w:t>
      </w:r>
      <w:r>
        <w:rPr>
          <w:spacing w:val="40"/>
          <w:sz w:val="18"/>
        </w:rPr>
        <w:t xml:space="preserve"> </w:t>
      </w:r>
      <w:r>
        <w:rPr>
          <w:sz w:val="18"/>
        </w:rPr>
        <w:t>Changyu</w:t>
      </w:r>
      <w:r>
        <w:rPr>
          <w:spacing w:val="40"/>
          <w:sz w:val="18"/>
        </w:rPr>
        <w:t xml:space="preserve"> </w:t>
      </w:r>
      <w:r>
        <w:rPr>
          <w:sz w:val="18"/>
        </w:rPr>
        <w:t>Wines</w:t>
      </w:r>
      <w:r>
        <w:rPr>
          <w:spacing w:val="40"/>
          <w:sz w:val="18"/>
        </w:rPr>
        <w:t xml:space="preserve"> </w:t>
      </w:r>
      <w:r>
        <w:rPr>
          <w:sz w:val="18"/>
        </w:rPr>
        <w:t xml:space="preserve">Anti‐Dumping </w:t>
      </w:r>
      <w:r>
        <w:rPr>
          <w:w w:val="95"/>
          <w:sz w:val="18"/>
        </w:rPr>
        <w:t>Questionnaire</w:t>
      </w:r>
      <w:r>
        <w:rPr>
          <w:spacing w:val="14"/>
          <w:sz w:val="18"/>
        </w:rPr>
        <w:t xml:space="preserve"> </w:t>
      </w:r>
      <w:r>
        <w:rPr>
          <w:w w:val="95"/>
          <w:sz w:val="18"/>
        </w:rPr>
        <w:t>Response</w:t>
      </w:r>
      <w:r>
        <w:rPr>
          <w:spacing w:val="16"/>
          <w:sz w:val="18"/>
        </w:rPr>
        <w:t xml:space="preserve"> </w:t>
      </w:r>
      <w:r>
        <w:rPr>
          <w:w w:val="95"/>
          <w:sz w:val="18"/>
        </w:rPr>
        <w:t>(Exhibit</w:t>
      </w:r>
      <w:r>
        <w:rPr>
          <w:spacing w:val="14"/>
          <w:sz w:val="18"/>
        </w:rPr>
        <w:t xml:space="preserve"> </w:t>
      </w:r>
      <w:r>
        <w:rPr>
          <w:w w:val="95"/>
          <w:sz w:val="18"/>
        </w:rPr>
        <w:t>AUS‐53),</w:t>
      </w:r>
      <w:r>
        <w:rPr>
          <w:spacing w:val="13"/>
          <w:sz w:val="18"/>
        </w:rPr>
        <w:t xml:space="preserve"> </w:t>
      </w:r>
      <w:r>
        <w:rPr>
          <w:w w:val="95"/>
          <w:sz w:val="18"/>
        </w:rPr>
        <w:t>p.</w:t>
      </w:r>
      <w:r>
        <w:rPr>
          <w:spacing w:val="14"/>
          <w:sz w:val="18"/>
        </w:rPr>
        <w:t xml:space="preserve"> </w:t>
      </w:r>
      <w:r>
        <w:rPr>
          <w:w w:val="95"/>
          <w:sz w:val="18"/>
        </w:rPr>
        <w:t>17;</w:t>
      </w:r>
      <w:r>
        <w:rPr>
          <w:spacing w:val="13"/>
          <w:sz w:val="18"/>
        </w:rPr>
        <w:t xml:space="preserve"> </w:t>
      </w:r>
      <w:r>
        <w:rPr>
          <w:w w:val="95"/>
          <w:sz w:val="18"/>
        </w:rPr>
        <w:t>COFCO</w:t>
      </w:r>
      <w:r>
        <w:rPr>
          <w:spacing w:val="13"/>
          <w:sz w:val="18"/>
        </w:rPr>
        <w:t xml:space="preserve"> </w:t>
      </w:r>
      <w:r>
        <w:rPr>
          <w:w w:val="95"/>
          <w:sz w:val="18"/>
        </w:rPr>
        <w:t>Anti‐Dumping</w:t>
      </w:r>
      <w:r>
        <w:rPr>
          <w:spacing w:val="14"/>
          <w:sz w:val="18"/>
        </w:rPr>
        <w:t xml:space="preserve"> </w:t>
      </w:r>
      <w:r>
        <w:rPr>
          <w:w w:val="95"/>
          <w:sz w:val="18"/>
        </w:rPr>
        <w:t>Questionnaire</w:t>
      </w:r>
      <w:r>
        <w:rPr>
          <w:spacing w:val="14"/>
          <w:sz w:val="18"/>
        </w:rPr>
        <w:t xml:space="preserve"> </w:t>
      </w:r>
      <w:r>
        <w:rPr>
          <w:w w:val="95"/>
          <w:sz w:val="18"/>
        </w:rPr>
        <w:t>Response</w:t>
      </w:r>
      <w:r>
        <w:rPr>
          <w:spacing w:val="13"/>
          <w:sz w:val="18"/>
        </w:rPr>
        <w:t xml:space="preserve"> </w:t>
      </w:r>
      <w:r>
        <w:rPr>
          <w:w w:val="95"/>
          <w:sz w:val="18"/>
        </w:rPr>
        <w:t>(Exhibit</w:t>
      </w:r>
      <w:r>
        <w:rPr>
          <w:spacing w:val="14"/>
          <w:sz w:val="18"/>
        </w:rPr>
        <w:t xml:space="preserve"> </w:t>
      </w:r>
      <w:r>
        <w:rPr>
          <w:w w:val="95"/>
          <w:sz w:val="18"/>
        </w:rPr>
        <w:t>AUS‐44),</w:t>
      </w:r>
      <w:r>
        <w:rPr>
          <w:spacing w:val="13"/>
          <w:sz w:val="18"/>
        </w:rPr>
        <w:t xml:space="preserve"> </w:t>
      </w:r>
      <w:r>
        <w:rPr>
          <w:w w:val="95"/>
          <w:sz w:val="18"/>
        </w:rPr>
        <w:t>p.</w:t>
      </w:r>
      <w:r>
        <w:rPr>
          <w:spacing w:val="15"/>
          <w:sz w:val="18"/>
        </w:rPr>
        <w:t xml:space="preserve"> </w:t>
      </w:r>
      <w:r>
        <w:rPr>
          <w:w w:val="95"/>
          <w:sz w:val="18"/>
        </w:rPr>
        <w:t>16;</w:t>
      </w:r>
      <w:r>
        <w:rPr>
          <w:spacing w:val="12"/>
          <w:sz w:val="18"/>
        </w:rPr>
        <w:t xml:space="preserve"> </w:t>
      </w:r>
      <w:r>
        <w:rPr>
          <w:spacing w:val="-2"/>
          <w:w w:val="95"/>
          <w:sz w:val="18"/>
        </w:rPr>
        <w:t>Yantai</w:t>
      </w:r>
    </w:p>
    <w:p w14:paraId="51DE96E0" w14:textId="77777777" w:rsidR="0010369C" w:rsidRDefault="008E43AE">
      <w:pPr>
        <w:spacing w:before="14" w:line="242" w:lineRule="auto"/>
        <w:ind w:left="238" w:right="611" w:hanging="1"/>
        <w:rPr>
          <w:sz w:val="18"/>
        </w:rPr>
      </w:pPr>
      <w:r>
        <w:rPr>
          <w:sz w:val="18"/>
        </w:rPr>
        <w:t>Landsun</w:t>
      </w:r>
      <w:r>
        <w:rPr>
          <w:spacing w:val="80"/>
          <w:w w:val="150"/>
          <w:sz w:val="18"/>
        </w:rPr>
        <w:t xml:space="preserve"> </w:t>
      </w:r>
      <w:r>
        <w:rPr>
          <w:sz w:val="18"/>
        </w:rPr>
        <w:t>Anti‐Dumping</w:t>
      </w:r>
      <w:r>
        <w:rPr>
          <w:spacing w:val="80"/>
          <w:w w:val="150"/>
          <w:sz w:val="18"/>
        </w:rPr>
        <w:t xml:space="preserve"> </w:t>
      </w:r>
      <w:r>
        <w:rPr>
          <w:sz w:val="18"/>
        </w:rPr>
        <w:t>Questionnaire</w:t>
      </w:r>
      <w:r>
        <w:rPr>
          <w:spacing w:val="80"/>
          <w:w w:val="150"/>
          <w:sz w:val="18"/>
        </w:rPr>
        <w:t xml:space="preserve"> </w:t>
      </w:r>
      <w:r>
        <w:rPr>
          <w:sz w:val="18"/>
        </w:rPr>
        <w:t>Response</w:t>
      </w:r>
      <w:r>
        <w:rPr>
          <w:spacing w:val="80"/>
          <w:w w:val="150"/>
          <w:sz w:val="18"/>
        </w:rPr>
        <w:t xml:space="preserve"> </w:t>
      </w:r>
      <w:r>
        <w:rPr>
          <w:sz w:val="18"/>
        </w:rPr>
        <w:t>(Exhibit</w:t>
      </w:r>
      <w:r>
        <w:rPr>
          <w:spacing w:val="80"/>
          <w:w w:val="150"/>
          <w:sz w:val="18"/>
        </w:rPr>
        <w:t xml:space="preserve"> </w:t>
      </w:r>
      <w:r>
        <w:rPr>
          <w:sz w:val="18"/>
        </w:rPr>
        <w:t>AUS‐52),</w:t>
      </w:r>
      <w:r>
        <w:rPr>
          <w:spacing w:val="80"/>
          <w:w w:val="150"/>
          <w:sz w:val="18"/>
        </w:rPr>
        <w:t xml:space="preserve"> </w:t>
      </w:r>
      <w:r>
        <w:rPr>
          <w:sz w:val="18"/>
        </w:rPr>
        <w:t>p.</w:t>
      </w:r>
      <w:r>
        <w:rPr>
          <w:spacing w:val="80"/>
          <w:w w:val="150"/>
          <w:sz w:val="18"/>
        </w:rPr>
        <w:t xml:space="preserve"> </w:t>
      </w:r>
      <w:r>
        <w:rPr>
          <w:sz w:val="18"/>
        </w:rPr>
        <w:t>13;</w:t>
      </w:r>
      <w:r>
        <w:rPr>
          <w:spacing w:val="80"/>
          <w:w w:val="150"/>
          <w:sz w:val="18"/>
        </w:rPr>
        <w:t xml:space="preserve"> </w:t>
      </w:r>
      <w:r>
        <w:rPr>
          <w:sz w:val="18"/>
        </w:rPr>
        <w:t>COFCO</w:t>
      </w:r>
      <w:r>
        <w:rPr>
          <w:spacing w:val="80"/>
          <w:w w:val="150"/>
          <w:sz w:val="18"/>
        </w:rPr>
        <w:t xml:space="preserve"> </w:t>
      </w:r>
      <w:r>
        <w:rPr>
          <w:sz w:val="18"/>
        </w:rPr>
        <w:t>Anti‐Dumping</w:t>
      </w:r>
      <w:r>
        <w:rPr>
          <w:spacing w:val="80"/>
          <w:w w:val="150"/>
          <w:sz w:val="18"/>
        </w:rPr>
        <w:t xml:space="preserve"> </w:t>
      </w:r>
      <w:r>
        <w:rPr>
          <w:sz w:val="18"/>
        </w:rPr>
        <w:t>Questionnaire Response</w:t>
      </w:r>
      <w:r>
        <w:rPr>
          <w:spacing w:val="40"/>
          <w:sz w:val="18"/>
        </w:rPr>
        <w:t xml:space="preserve"> </w:t>
      </w:r>
      <w:r>
        <w:rPr>
          <w:sz w:val="18"/>
        </w:rPr>
        <w:t>(Exhibit AUS‐44), p.13.</w:t>
      </w:r>
    </w:p>
    <w:p w14:paraId="51DE96E1" w14:textId="77777777" w:rsidR="0010369C" w:rsidRDefault="008E43AE">
      <w:pPr>
        <w:spacing w:before="95" w:line="184" w:lineRule="auto"/>
        <w:ind w:left="238" w:right="611" w:hanging="1"/>
        <w:rPr>
          <w:sz w:val="18"/>
        </w:rPr>
      </w:pPr>
      <w:r>
        <w:rPr>
          <w:sz w:val="18"/>
          <w:vertAlign w:val="superscript"/>
        </w:rPr>
        <w:t>1020</w:t>
      </w:r>
      <w:r>
        <w:rPr>
          <w:spacing w:val="26"/>
          <w:sz w:val="18"/>
        </w:rPr>
        <w:t xml:space="preserve"> </w:t>
      </w:r>
      <w:r>
        <w:rPr>
          <w:sz w:val="18"/>
        </w:rPr>
        <w:t>See</w:t>
      </w:r>
      <w:r>
        <w:rPr>
          <w:spacing w:val="26"/>
          <w:sz w:val="18"/>
        </w:rPr>
        <w:t xml:space="preserve"> </w:t>
      </w:r>
      <w:r>
        <w:rPr>
          <w:sz w:val="18"/>
        </w:rPr>
        <w:t>for</w:t>
      </w:r>
      <w:r>
        <w:rPr>
          <w:spacing w:val="25"/>
          <w:sz w:val="18"/>
        </w:rPr>
        <w:t xml:space="preserve"> </w:t>
      </w:r>
      <w:r>
        <w:rPr>
          <w:sz w:val="18"/>
        </w:rPr>
        <w:t>example:</w:t>
      </w:r>
      <w:r>
        <w:rPr>
          <w:spacing w:val="25"/>
          <w:sz w:val="18"/>
        </w:rPr>
        <w:t xml:space="preserve"> </w:t>
      </w:r>
      <w:r>
        <w:rPr>
          <w:sz w:val="18"/>
        </w:rPr>
        <w:t>Changyu</w:t>
      </w:r>
      <w:r>
        <w:rPr>
          <w:spacing w:val="26"/>
          <w:sz w:val="18"/>
        </w:rPr>
        <w:t xml:space="preserve"> </w:t>
      </w:r>
      <w:r>
        <w:rPr>
          <w:sz w:val="18"/>
        </w:rPr>
        <w:t>Wines</w:t>
      </w:r>
      <w:r>
        <w:rPr>
          <w:spacing w:val="25"/>
          <w:sz w:val="18"/>
        </w:rPr>
        <w:t xml:space="preserve"> </w:t>
      </w:r>
      <w:r>
        <w:rPr>
          <w:sz w:val="18"/>
        </w:rPr>
        <w:t>Anti‐Dumpin</w:t>
      </w:r>
      <w:r>
        <w:rPr>
          <w:sz w:val="18"/>
        </w:rPr>
        <w:t>g</w:t>
      </w:r>
      <w:r>
        <w:rPr>
          <w:spacing w:val="26"/>
          <w:sz w:val="18"/>
        </w:rPr>
        <w:t xml:space="preserve"> </w:t>
      </w:r>
      <w:r>
        <w:rPr>
          <w:sz w:val="18"/>
        </w:rPr>
        <w:t>Questionnaire</w:t>
      </w:r>
      <w:r>
        <w:rPr>
          <w:spacing w:val="25"/>
          <w:sz w:val="18"/>
        </w:rPr>
        <w:t xml:space="preserve"> </w:t>
      </w:r>
      <w:r>
        <w:rPr>
          <w:sz w:val="18"/>
        </w:rPr>
        <w:t>Response</w:t>
      </w:r>
      <w:r>
        <w:rPr>
          <w:spacing w:val="26"/>
          <w:sz w:val="18"/>
        </w:rPr>
        <w:t xml:space="preserve"> </w:t>
      </w:r>
      <w:r>
        <w:rPr>
          <w:sz w:val="18"/>
        </w:rPr>
        <w:t>(Exhibit</w:t>
      </w:r>
      <w:r>
        <w:rPr>
          <w:spacing w:val="26"/>
          <w:sz w:val="18"/>
        </w:rPr>
        <w:t xml:space="preserve"> </w:t>
      </w:r>
      <w:r>
        <w:rPr>
          <w:sz w:val="18"/>
        </w:rPr>
        <w:t>AUS‐53),</w:t>
      </w:r>
      <w:r>
        <w:rPr>
          <w:spacing w:val="25"/>
          <w:sz w:val="18"/>
        </w:rPr>
        <w:t xml:space="preserve"> </w:t>
      </w:r>
      <w:r>
        <w:rPr>
          <w:sz w:val="18"/>
        </w:rPr>
        <w:t>pp.</w:t>
      </w:r>
      <w:r>
        <w:rPr>
          <w:spacing w:val="26"/>
          <w:sz w:val="18"/>
        </w:rPr>
        <w:t xml:space="preserve"> </w:t>
      </w:r>
      <w:r>
        <w:rPr>
          <w:sz w:val="18"/>
        </w:rPr>
        <w:t>17;</w:t>
      </w:r>
      <w:r>
        <w:rPr>
          <w:spacing w:val="25"/>
          <w:sz w:val="18"/>
        </w:rPr>
        <w:t xml:space="preserve"> </w:t>
      </w:r>
      <w:r>
        <w:rPr>
          <w:sz w:val="18"/>
        </w:rPr>
        <w:t>and</w:t>
      </w:r>
      <w:r>
        <w:rPr>
          <w:spacing w:val="26"/>
          <w:sz w:val="18"/>
        </w:rPr>
        <w:t xml:space="preserve"> </w:t>
      </w:r>
      <w:r>
        <w:rPr>
          <w:sz w:val="18"/>
        </w:rPr>
        <w:t>COFCO</w:t>
      </w:r>
      <w:r>
        <w:rPr>
          <w:spacing w:val="27"/>
          <w:sz w:val="18"/>
        </w:rPr>
        <w:t xml:space="preserve"> </w:t>
      </w:r>
      <w:r>
        <w:rPr>
          <w:sz w:val="18"/>
        </w:rPr>
        <w:t>Anti‐ Dumping Questionnaire Response (Exhibit AUS‐44), p. 16.</w:t>
      </w:r>
    </w:p>
    <w:p w14:paraId="51DE96E2" w14:textId="77777777" w:rsidR="0010369C" w:rsidRDefault="008E43AE">
      <w:pPr>
        <w:spacing w:before="107" w:line="184" w:lineRule="auto"/>
        <w:ind w:left="238" w:right="614" w:hanging="1"/>
        <w:rPr>
          <w:sz w:val="18"/>
        </w:rPr>
      </w:pPr>
      <w:r>
        <w:rPr>
          <w:sz w:val="18"/>
          <w:vertAlign w:val="superscript"/>
        </w:rPr>
        <w:t>1021</w:t>
      </w:r>
      <w:r>
        <w:rPr>
          <w:spacing w:val="40"/>
          <w:sz w:val="18"/>
        </w:rPr>
        <w:t xml:space="preserve"> </w:t>
      </w:r>
      <w:r>
        <w:rPr>
          <w:sz w:val="18"/>
        </w:rPr>
        <w:t>Yantai</w:t>
      </w:r>
      <w:r>
        <w:rPr>
          <w:spacing w:val="40"/>
          <w:sz w:val="18"/>
        </w:rPr>
        <w:t xml:space="preserve"> </w:t>
      </w:r>
      <w:r>
        <w:rPr>
          <w:sz w:val="18"/>
        </w:rPr>
        <w:t>Landsun</w:t>
      </w:r>
      <w:r>
        <w:rPr>
          <w:spacing w:val="40"/>
          <w:sz w:val="18"/>
        </w:rPr>
        <w:t xml:space="preserve"> </w:t>
      </w:r>
      <w:r>
        <w:rPr>
          <w:sz w:val="18"/>
        </w:rPr>
        <w:t>Anti‐Dumping</w:t>
      </w:r>
      <w:r>
        <w:rPr>
          <w:spacing w:val="40"/>
          <w:sz w:val="18"/>
        </w:rPr>
        <w:t xml:space="preserve"> </w:t>
      </w:r>
      <w:r>
        <w:rPr>
          <w:sz w:val="18"/>
        </w:rPr>
        <w:t>Questionnaire</w:t>
      </w:r>
      <w:r>
        <w:rPr>
          <w:spacing w:val="40"/>
          <w:sz w:val="18"/>
        </w:rPr>
        <w:t xml:space="preserve"> </w:t>
      </w:r>
      <w:r>
        <w:rPr>
          <w:sz w:val="18"/>
        </w:rPr>
        <w:t>Response</w:t>
      </w:r>
      <w:r>
        <w:rPr>
          <w:spacing w:val="40"/>
          <w:sz w:val="18"/>
        </w:rPr>
        <w:t xml:space="preserve"> </w:t>
      </w:r>
      <w:r>
        <w:rPr>
          <w:sz w:val="18"/>
        </w:rPr>
        <w:t>(Exhibit</w:t>
      </w:r>
      <w:r>
        <w:rPr>
          <w:spacing w:val="40"/>
          <w:sz w:val="18"/>
        </w:rPr>
        <w:t xml:space="preserve"> </w:t>
      </w:r>
      <w:r>
        <w:rPr>
          <w:sz w:val="18"/>
        </w:rPr>
        <w:t>AUS‐52),</w:t>
      </w:r>
      <w:r>
        <w:rPr>
          <w:spacing w:val="40"/>
          <w:sz w:val="18"/>
        </w:rPr>
        <w:t xml:space="preserve"> </w:t>
      </w:r>
      <w:r>
        <w:rPr>
          <w:sz w:val="18"/>
        </w:rPr>
        <w:t>p.</w:t>
      </w:r>
      <w:r>
        <w:rPr>
          <w:spacing w:val="40"/>
          <w:sz w:val="18"/>
        </w:rPr>
        <w:t xml:space="preserve"> </w:t>
      </w:r>
      <w:r>
        <w:rPr>
          <w:sz w:val="18"/>
        </w:rPr>
        <w:t>16;</w:t>
      </w:r>
      <w:r>
        <w:rPr>
          <w:spacing w:val="40"/>
          <w:sz w:val="18"/>
        </w:rPr>
        <w:t xml:space="preserve"> </w:t>
      </w:r>
      <w:r>
        <w:rPr>
          <w:sz w:val="18"/>
        </w:rPr>
        <w:t>Dynasty</w:t>
      </w:r>
      <w:r>
        <w:rPr>
          <w:spacing w:val="40"/>
          <w:sz w:val="18"/>
        </w:rPr>
        <w:t xml:space="preserve"> </w:t>
      </w:r>
      <w:r>
        <w:rPr>
          <w:sz w:val="18"/>
        </w:rPr>
        <w:t>Fine</w:t>
      </w:r>
      <w:r>
        <w:rPr>
          <w:spacing w:val="40"/>
          <w:sz w:val="18"/>
        </w:rPr>
        <w:t xml:space="preserve"> </w:t>
      </w:r>
      <w:r>
        <w:rPr>
          <w:sz w:val="18"/>
        </w:rPr>
        <w:t>Wine</w:t>
      </w:r>
      <w:r>
        <w:rPr>
          <w:spacing w:val="40"/>
          <w:sz w:val="18"/>
        </w:rPr>
        <w:t xml:space="preserve"> </w:t>
      </w:r>
      <w:r>
        <w:rPr>
          <w:sz w:val="18"/>
        </w:rPr>
        <w:t xml:space="preserve">Anti‐Dumping </w:t>
      </w:r>
      <w:r>
        <w:rPr>
          <w:w w:val="95"/>
          <w:sz w:val="18"/>
        </w:rPr>
        <w:t>Questionnaire</w:t>
      </w:r>
      <w:r>
        <w:rPr>
          <w:spacing w:val="17"/>
          <w:sz w:val="18"/>
        </w:rPr>
        <w:t xml:space="preserve"> </w:t>
      </w:r>
      <w:r>
        <w:rPr>
          <w:w w:val="95"/>
          <w:sz w:val="18"/>
        </w:rPr>
        <w:t>Response</w:t>
      </w:r>
      <w:r>
        <w:rPr>
          <w:spacing w:val="17"/>
          <w:sz w:val="18"/>
        </w:rPr>
        <w:t xml:space="preserve"> </w:t>
      </w:r>
      <w:r>
        <w:rPr>
          <w:w w:val="95"/>
          <w:sz w:val="18"/>
        </w:rPr>
        <w:t>(Exhibit</w:t>
      </w:r>
      <w:r>
        <w:rPr>
          <w:spacing w:val="19"/>
          <w:sz w:val="18"/>
        </w:rPr>
        <w:t xml:space="preserve"> </w:t>
      </w:r>
      <w:r>
        <w:rPr>
          <w:w w:val="95"/>
          <w:sz w:val="18"/>
        </w:rPr>
        <w:t>AUS‐55),</w:t>
      </w:r>
      <w:r>
        <w:rPr>
          <w:spacing w:val="15"/>
          <w:sz w:val="18"/>
        </w:rPr>
        <w:t xml:space="preserve"> </w:t>
      </w:r>
      <w:r>
        <w:rPr>
          <w:w w:val="95"/>
          <w:sz w:val="18"/>
        </w:rPr>
        <w:t>pp.</w:t>
      </w:r>
      <w:r>
        <w:rPr>
          <w:spacing w:val="17"/>
          <w:sz w:val="18"/>
        </w:rPr>
        <w:t xml:space="preserve"> </w:t>
      </w:r>
      <w:r>
        <w:rPr>
          <w:w w:val="95"/>
          <w:sz w:val="18"/>
        </w:rPr>
        <w:t>16‐17;</w:t>
      </w:r>
      <w:r>
        <w:rPr>
          <w:spacing w:val="17"/>
          <w:sz w:val="18"/>
        </w:rPr>
        <w:t xml:space="preserve"> </w:t>
      </w:r>
      <w:r>
        <w:rPr>
          <w:w w:val="95"/>
          <w:sz w:val="18"/>
        </w:rPr>
        <w:t>Ningxia</w:t>
      </w:r>
      <w:r>
        <w:rPr>
          <w:spacing w:val="19"/>
          <w:sz w:val="18"/>
        </w:rPr>
        <w:t xml:space="preserve"> </w:t>
      </w:r>
      <w:r>
        <w:rPr>
          <w:w w:val="95"/>
          <w:sz w:val="18"/>
        </w:rPr>
        <w:t>Anti‐Dumping</w:t>
      </w:r>
      <w:r>
        <w:rPr>
          <w:spacing w:val="19"/>
          <w:sz w:val="18"/>
        </w:rPr>
        <w:t xml:space="preserve"> </w:t>
      </w:r>
      <w:r>
        <w:rPr>
          <w:w w:val="95"/>
          <w:sz w:val="18"/>
        </w:rPr>
        <w:t>Questionnaire</w:t>
      </w:r>
      <w:r>
        <w:rPr>
          <w:spacing w:val="17"/>
          <w:sz w:val="18"/>
        </w:rPr>
        <w:t xml:space="preserve"> </w:t>
      </w:r>
      <w:r>
        <w:rPr>
          <w:w w:val="95"/>
          <w:sz w:val="18"/>
        </w:rPr>
        <w:t>Response</w:t>
      </w:r>
      <w:r>
        <w:rPr>
          <w:spacing w:val="19"/>
          <w:sz w:val="18"/>
        </w:rPr>
        <w:t xml:space="preserve"> </w:t>
      </w:r>
      <w:r>
        <w:rPr>
          <w:w w:val="95"/>
          <w:sz w:val="18"/>
        </w:rPr>
        <w:t>(Exhibit</w:t>
      </w:r>
      <w:r>
        <w:rPr>
          <w:spacing w:val="19"/>
          <w:sz w:val="18"/>
        </w:rPr>
        <w:t xml:space="preserve"> </w:t>
      </w:r>
      <w:r>
        <w:rPr>
          <w:w w:val="95"/>
          <w:sz w:val="18"/>
        </w:rPr>
        <w:t>AUS‐57),</w:t>
      </w:r>
      <w:r>
        <w:rPr>
          <w:spacing w:val="15"/>
          <w:sz w:val="18"/>
        </w:rPr>
        <w:t xml:space="preserve"> </w:t>
      </w:r>
      <w:r>
        <w:rPr>
          <w:w w:val="95"/>
          <w:sz w:val="18"/>
        </w:rPr>
        <w:t>pp.</w:t>
      </w:r>
      <w:r>
        <w:rPr>
          <w:spacing w:val="17"/>
          <w:sz w:val="18"/>
        </w:rPr>
        <w:t xml:space="preserve"> </w:t>
      </w:r>
      <w:r>
        <w:rPr>
          <w:spacing w:val="-5"/>
          <w:w w:val="95"/>
          <w:sz w:val="18"/>
        </w:rPr>
        <w:t>16‐</w:t>
      </w:r>
    </w:p>
    <w:p w14:paraId="51DE96E3" w14:textId="77777777" w:rsidR="0010369C" w:rsidRDefault="008E43AE">
      <w:pPr>
        <w:spacing w:before="15" w:line="242" w:lineRule="auto"/>
        <w:ind w:left="237" w:right="494"/>
        <w:rPr>
          <w:sz w:val="18"/>
        </w:rPr>
      </w:pPr>
      <w:r>
        <w:rPr>
          <w:sz w:val="18"/>
        </w:rPr>
        <w:t>17;</w:t>
      </w:r>
      <w:r>
        <w:rPr>
          <w:spacing w:val="74"/>
          <w:sz w:val="18"/>
        </w:rPr>
        <w:t xml:space="preserve"> </w:t>
      </w:r>
      <w:r>
        <w:rPr>
          <w:sz w:val="18"/>
        </w:rPr>
        <w:t>Grand</w:t>
      </w:r>
      <w:r>
        <w:rPr>
          <w:spacing w:val="74"/>
          <w:sz w:val="18"/>
        </w:rPr>
        <w:t xml:space="preserve"> </w:t>
      </w:r>
      <w:r>
        <w:rPr>
          <w:sz w:val="18"/>
        </w:rPr>
        <w:t>Dragon</w:t>
      </w:r>
      <w:r>
        <w:rPr>
          <w:spacing w:val="74"/>
          <w:sz w:val="18"/>
        </w:rPr>
        <w:t xml:space="preserve"> </w:t>
      </w:r>
      <w:r>
        <w:rPr>
          <w:sz w:val="18"/>
        </w:rPr>
        <w:t>Wine</w:t>
      </w:r>
      <w:r>
        <w:rPr>
          <w:spacing w:val="74"/>
          <w:sz w:val="18"/>
        </w:rPr>
        <w:t xml:space="preserve"> </w:t>
      </w:r>
      <w:r>
        <w:rPr>
          <w:sz w:val="18"/>
        </w:rPr>
        <w:t>Questionnaire</w:t>
      </w:r>
      <w:r>
        <w:rPr>
          <w:spacing w:val="74"/>
          <w:sz w:val="18"/>
        </w:rPr>
        <w:t xml:space="preserve"> </w:t>
      </w:r>
      <w:r>
        <w:rPr>
          <w:sz w:val="18"/>
        </w:rPr>
        <w:t>Response</w:t>
      </w:r>
      <w:r>
        <w:rPr>
          <w:spacing w:val="74"/>
          <w:sz w:val="18"/>
        </w:rPr>
        <w:t xml:space="preserve"> </w:t>
      </w:r>
      <w:r>
        <w:rPr>
          <w:sz w:val="18"/>
        </w:rPr>
        <w:t>(Exhibit</w:t>
      </w:r>
      <w:r>
        <w:rPr>
          <w:spacing w:val="75"/>
          <w:sz w:val="18"/>
        </w:rPr>
        <w:t xml:space="preserve"> </w:t>
      </w:r>
      <w:r>
        <w:rPr>
          <w:sz w:val="18"/>
        </w:rPr>
        <w:t>AUS‐51);</w:t>
      </w:r>
      <w:r>
        <w:rPr>
          <w:spacing w:val="74"/>
          <w:sz w:val="18"/>
        </w:rPr>
        <w:t xml:space="preserve"> </w:t>
      </w:r>
      <w:r>
        <w:rPr>
          <w:sz w:val="18"/>
        </w:rPr>
        <w:t>pp.</w:t>
      </w:r>
      <w:r>
        <w:rPr>
          <w:spacing w:val="75"/>
          <w:sz w:val="18"/>
        </w:rPr>
        <w:t xml:space="preserve"> </w:t>
      </w:r>
      <w:r>
        <w:rPr>
          <w:sz w:val="18"/>
        </w:rPr>
        <w:t>18‐19;</w:t>
      </w:r>
      <w:r>
        <w:rPr>
          <w:spacing w:val="74"/>
          <w:sz w:val="18"/>
        </w:rPr>
        <w:t xml:space="preserve"> </w:t>
      </w:r>
      <w:r>
        <w:rPr>
          <w:sz w:val="18"/>
        </w:rPr>
        <w:t>Tonghua</w:t>
      </w:r>
      <w:r>
        <w:rPr>
          <w:spacing w:val="75"/>
          <w:sz w:val="18"/>
        </w:rPr>
        <w:t xml:space="preserve"> </w:t>
      </w:r>
      <w:r>
        <w:rPr>
          <w:sz w:val="18"/>
        </w:rPr>
        <w:t>Tontine</w:t>
      </w:r>
      <w:r>
        <w:rPr>
          <w:spacing w:val="75"/>
          <w:sz w:val="18"/>
        </w:rPr>
        <w:t xml:space="preserve"> </w:t>
      </w:r>
      <w:r>
        <w:rPr>
          <w:sz w:val="18"/>
        </w:rPr>
        <w:t>Wine</w:t>
      </w:r>
      <w:r>
        <w:rPr>
          <w:spacing w:val="74"/>
          <w:sz w:val="18"/>
        </w:rPr>
        <w:t xml:space="preserve"> </w:t>
      </w:r>
      <w:r>
        <w:rPr>
          <w:sz w:val="18"/>
        </w:rPr>
        <w:t>Anti‐ Dumping</w:t>
      </w:r>
      <w:r>
        <w:rPr>
          <w:spacing w:val="-2"/>
          <w:sz w:val="18"/>
        </w:rPr>
        <w:t xml:space="preserve"> </w:t>
      </w:r>
      <w:r>
        <w:rPr>
          <w:sz w:val="18"/>
        </w:rPr>
        <w:t>Questionnaire</w:t>
      </w:r>
      <w:r>
        <w:rPr>
          <w:spacing w:val="-3"/>
          <w:sz w:val="18"/>
        </w:rPr>
        <w:t xml:space="preserve"> </w:t>
      </w:r>
      <w:r>
        <w:rPr>
          <w:sz w:val="18"/>
        </w:rPr>
        <w:t>Response</w:t>
      </w:r>
      <w:r>
        <w:rPr>
          <w:spacing w:val="-3"/>
          <w:sz w:val="18"/>
        </w:rPr>
        <w:t xml:space="preserve"> </w:t>
      </w:r>
      <w:r>
        <w:rPr>
          <w:sz w:val="18"/>
        </w:rPr>
        <w:t>(Exhibit</w:t>
      </w:r>
      <w:r>
        <w:rPr>
          <w:spacing w:val="-3"/>
          <w:sz w:val="18"/>
        </w:rPr>
        <w:t xml:space="preserve"> </w:t>
      </w:r>
      <w:r>
        <w:rPr>
          <w:sz w:val="18"/>
        </w:rPr>
        <w:t>AUS‐50),</w:t>
      </w:r>
      <w:r>
        <w:rPr>
          <w:spacing w:val="-2"/>
          <w:sz w:val="18"/>
        </w:rPr>
        <w:t xml:space="preserve"> </w:t>
      </w:r>
      <w:r>
        <w:rPr>
          <w:sz w:val="18"/>
        </w:rPr>
        <w:t>pp.</w:t>
      </w:r>
      <w:r>
        <w:rPr>
          <w:spacing w:val="-2"/>
          <w:sz w:val="18"/>
        </w:rPr>
        <w:t xml:space="preserve"> </w:t>
      </w:r>
      <w:r>
        <w:rPr>
          <w:sz w:val="18"/>
        </w:rPr>
        <w:t>16‐17;</w:t>
      </w:r>
      <w:r>
        <w:rPr>
          <w:spacing w:val="-2"/>
          <w:sz w:val="18"/>
        </w:rPr>
        <w:t xml:space="preserve"> </w:t>
      </w:r>
      <w:r>
        <w:rPr>
          <w:sz w:val="18"/>
        </w:rPr>
        <w:t>Xinjiang</w:t>
      </w:r>
      <w:r>
        <w:rPr>
          <w:spacing w:val="-3"/>
          <w:sz w:val="18"/>
        </w:rPr>
        <w:t xml:space="preserve"> </w:t>
      </w:r>
      <w:r>
        <w:rPr>
          <w:sz w:val="18"/>
        </w:rPr>
        <w:t>Sunyard</w:t>
      </w:r>
      <w:r>
        <w:rPr>
          <w:spacing w:val="-3"/>
          <w:sz w:val="18"/>
        </w:rPr>
        <w:t xml:space="preserve"> </w:t>
      </w:r>
      <w:r>
        <w:rPr>
          <w:sz w:val="18"/>
        </w:rPr>
        <w:t>Wine</w:t>
      </w:r>
      <w:r>
        <w:rPr>
          <w:spacing w:val="-3"/>
          <w:sz w:val="18"/>
        </w:rPr>
        <w:t xml:space="preserve"> </w:t>
      </w:r>
      <w:r>
        <w:rPr>
          <w:sz w:val="18"/>
        </w:rPr>
        <w:t>Anti‐Dumping</w:t>
      </w:r>
      <w:r>
        <w:rPr>
          <w:spacing w:val="-3"/>
          <w:sz w:val="18"/>
        </w:rPr>
        <w:t xml:space="preserve"> </w:t>
      </w:r>
      <w:r>
        <w:rPr>
          <w:sz w:val="18"/>
        </w:rPr>
        <w:t>Questionnaire</w:t>
      </w:r>
      <w:r>
        <w:rPr>
          <w:spacing w:val="-3"/>
          <w:sz w:val="18"/>
        </w:rPr>
        <w:t xml:space="preserve"> </w:t>
      </w:r>
      <w:r>
        <w:rPr>
          <w:sz w:val="18"/>
        </w:rPr>
        <w:t>Response (Exhibit AUS‐49); pp. 16‐17; Chateau Junding</w:t>
      </w:r>
      <w:r>
        <w:rPr>
          <w:spacing w:val="-1"/>
          <w:sz w:val="18"/>
        </w:rPr>
        <w:t xml:space="preserve"> </w:t>
      </w:r>
      <w:r>
        <w:rPr>
          <w:sz w:val="18"/>
        </w:rPr>
        <w:t>Anti‐Dumping Questionnaire Response (Exhibit AUS‐48), p. 17; Yunan Gaoyuan Wine Anti‐dumping Question</w:t>
      </w:r>
      <w:r>
        <w:rPr>
          <w:sz w:val="18"/>
        </w:rPr>
        <w:t>naire Response (Exhibit AUS-46), pp. 15‐16; Xinjiang West Region Pearl Winery Anti‐dumping Questionnaire Response (Exhibit</w:t>
      </w:r>
      <w:r>
        <w:rPr>
          <w:spacing w:val="32"/>
          <w:sz w:val="18"/>
        </w:rPr>
        <w:t xml:space="preserve"> </w:t>
      </w:r>
      <w:r>
        <w:rPr>
          <w:sz w:val="18"/>
        </w:rPr>
        <w:t>AUS‐45),</w:t>
      </w:r>
      <w:r>
        <w:rPr>
          <w:spacing w:val="32"/>
          <w:sz w:val="18"/>
        </w:rPr>
        <w:t xml:space="preserve"> </w:t>
      </w:r>
      <w:r>
        <w:rPr>
          <w:sz w:val="18"/>
        </w:rPr>
        <w:t>pp.</w:t>
      </w:r>
      <w:r>
        <w:rPr>
          <w:spacing w:val="32"/>
          <w:sz w:val="18"/>
        </w:rPr>
        <w:t xml:space="preserve"> </w:t>
      </w:r>
      <w:r>
        <w:rPr>
          <w:sz w:val="18"/>
        </w:rPr>
        <w:t>15‐16; Tonghua</w:t>
      </w:r>
      <w:r>
        <w:rPr>
          <w:spacing w:val="32"/>
          <w:sz w:val="18"/>
        </w:rPr>
        <w:t xml:space="preserve"> </w:t>
      </w:r>
      <w:r>
        <w:rPr>
          <w:sz w:val="18"/>
        </w:rPr>
        <w:t>Winery Anti‐Dumping</w:t>
      </w:r>
      <w:r>
        <w:rPr>
          <w:spacing w:val="32"/>
          <w:sz w:val="18"/>
        </w:rPr>
        <w:t xml:space="preserve"> </w:t>
      </w:r>
      <w:r>
        <w:rPr>
          <w:sz w:val="18"/>
        </w:rPr>
        <w:t>Questionnaire</w:t>
      </w:r>
      <w:r>
        <w:rPr>
          <w:spacing w:val="32"/>
          <w:sz w:val="18"/>
        </w:rPr>
        <w:t xml:space="preserve"> </w:t>
      </w:r>
      <w:r>
        <w:rPr>
          <w:sz w:val="18"/>
        </w:rPr>
        <w:t>Response</w:t>
      </w:r>
      <w:r>
        <w:rPr>
          <w:spacing w:val="32"/>
          <w:sz w:val="18"/>
        </w:rPr>
        <w:t xml:space="preserve"> </w:t>
      </w:r>
      <w:r>
        <w:rPr>
          <w:sz w:val="18"/>
        </w:rPr>
        <w:t>(Exhibit AUS‐43),</w:t>
      </w:r>
      <w:r>
        <w:rPr>
          <w:spacing w:val="26"/>
          <w:sz w:val="18"/>
        </w:rPr>
        <w:t xml:space="preserve"> </w:t>
      </w:r>
      <w:r>
        <w:rPr>
          <w:sz w:val="18"/>
        </w:rPr>
        <w:t>pp.</w:t>
      </w:r>
      <w:r>
        <w:rPr>
          <w:spacing w:val="27"/>
          <w:sz w:val="18"/>
        </w:rPr>
        <w:t xml:space="preserve"> </w:t>
      </w:r>
      <w:r>
        <w:rPr>
          <w:sz w:val="18"/>
        </w:rPr>
        <w:t>17‐18;</w:t>
      </w:r>
      <w:r>
        <w:rPr>
          <w:spacing w:val="80"/>
          <w:sz w:val="18"/>
        </w:rPr>
        <w:t xml:space="preserve"> </w:t>
      </w:r>
      <w:r>
        <w:rPr>
          <w:sz w:val="18"/>
        </w:rPr>
        <w:t>Shanxi</w:t>
      </w:r>
      <w:r>
        <w:rPr>
          <w:spacing w:val="40"/>
          <w:sz w:val="18"/>
        </w:rPr>
        <w:t xml:space="preserve"> </w:t>
      </w:r>
      <w:r>
        <w:rPr>
          <w:sz w:val="18"/>
        </w:rPr>
        <w:t>Rongzi</w:t>
      </w:r>
      <w:r>
        <w:rPr>
          <w:spacing w:val="80"/>
          <w:sz w:val="18"/>
        </w:rPr>
        <w:t xml:space="preserve"> </w:t>
      </w:r>
      <w:r>
        <w:rPr>
          <w:sz w:val="18"/>
        </w:rPr>
        <w:t>Winery</w:t>
      </w:r>
      <w:r>
        <w:rPr>
          <w:spacing w:val="80"/>
          <w:sz w:val="18"/>
        </w:rPr>
        <w:t xml:space="preserve"> </w:t>
      </w:r>
      <w:r>
        <w:rPr>
          <w:sz w:val="18"/>
        </w:rPr>
        <w:t>Anti‐Dumping</w:t>
      </w:r>
      <w:r>
        <w:rPr>
          <w:spacing w:val="80"/>
          <w:sz w:val="18"/>
        </w:rPr>
        <w:t xml:space="preserve"> </w:t>
      </w:r>
      <w:r>
        <w:rPr>
          <w:sz w:val="18"/>
        </w:rPr>
        <w:t>Questionnaire</w:t>
      </w:r>
      <w:r>
        <w:rPr>
          <w:spacing w:val="80"/>
          <w:sz w:val="18"/>
        </w:rPr>
        <w:t xml:space="preserve"> </w:t>
      </w:r>
      <w:r>
        <w:rPr>
          <w:sz w:val="18"/>
        </w:rPr>
        <w:t>Response</w:t>
      </w:r>
      <w:r>
        <w:rPr>
          <w:spacing w:val="80"/>
          <w:sz w:val="18"/>
        </w:rPr>
        <w:t xml:space="preserve"> </w:t>
      </w:r>
      <w:r>
        <w:rPr>
          <w:sz w:val="18"/>
        </w:rPr>
        <w:t>(Exhibit</w:t>
      </w:r>
      <w:r>
        <w:rPr>
          <w:spacing w:val="80"/>
          <w:sz w:val="18"/>
        </w:rPr>
        <w:t xml:space="preserve"> </w:t>
      </w:r>
      <w:r>
        <w:rPr>
          <w:sz w:val="18"/>
        </w:rPr>
        <w:t>AUS‐63),</w:t>
      </w:r>
      <w:r>
        <w:rPr>
          <w:spacing w:val="80"/>
          <w:sz w:val="18"/>
        </w:rPr>
        <w:t xml:space="preserve"> </w:t>
      </w:r>
      <w:r>
        <w:rPr>
          <w:sz w:val="18"/>
        </w:rPr>
        <w:t>pp.</w:t>
      </w:r>
      <w:r>
        <w:rPr>
          <w:spacing w:val="80"/>
          <w:sz w:val="18"/>
        </w:rPr>
        <w:t xml:space="preserve"> </w:t>
      </w:r>
      <w:r>
        <w:rPr>
          <w:sz w:val="18"/>
        </w:rPr>
        <w:t>16‐17; Shangri‐La</w:t>
      </w:r>
      <w:r>
        <w:rPr>
          <w:spacing w:val="80"/>
          <w:sz w:val="18"/>
        </w:rPr>
        <w:t xml:space="preserve"> </w:t>
      </w:r>
      <w:r>
        <w:rPr>
          <w:sz w:val="18"/>
        </w:rPr>
        <w:t>Wine</w:t>
      </w:r>
      <w:r>
        <w:rPr>
          <w:spacing w:val="80"/>
          <w:sz w:val="18"/>
        </w:rPr>
        <w:t xml:space="preserve"> </w:t>
      </w:r>
      <w:r>
        <w:rPr>
          <w:sz w:val="18"/>
        </w:rPr>
        <w:t>Anti‐Dumping Questionnaire</w:t>
      </w:r>
      <w:r>
        <w:rPr>
          <w:spacing w:val="40"/>
          <w:sz w:val="18"/>
        </w:rPr>
        <w:t xml:space="preserve"> </w:t>
      </w:r>
      <w:r>
        <w:rPr>
          <w:sz w:val="18"/>
        </w:rPr>
        <w:t>Response</w:t>
      </w:r>
      <w:r>
        <w:rPr>
          <w:spacing w:val="40"/>
          <w:sz w:val="18"/>
        </w:rPr>
        <w:t xml:space="preserve"> </w:t>
      </w:r>
      <w:r>
        <w:rPr>
          <w:sz w:val="18"/>
        </w:rPr>
        <w:t>(Exhibit</w:t>
      </w:r>
      <w:r>
        <w:rPr>
          <w:spacing w:val="40"/>
          <w:sz w:val="18"/>
        </w:rPr>
        <w:t xml:space="preserve"> </w:t>
      </w:r>
      <w:r>
        <w:rPr>
          <w:sz w:val="18"/>
        </w:rPr>
        <w:t>AUS‐62),</w:t>
      </w:r>
      <w:r>
        <w:rPr>
          <w:spacing w:val="40"/>
          <w:sz w:val="18"/>
        </w:rPr>
        <w:t xml:space="preserve"> </w:t>
      </w:r>
      <w:r>
        <w:rPr>
          <w:sz w:val="18"/>
        </w:rPr>
        <w:t>pp.</w:t>
      </w:r>
      <w:r>
        <w:rPr>
          <w:spacing w:val="40"/>
          <w:sz w:val="18"/>
        </w:rPr>
        <w:t xml:space="preserve"> </w:t>
      </w:r>
      <w:r>
        <w:rPr>
          <w:sz w:val="18"/>
        </w:rPr>
        <w:t>16‐17;</w:t>
      </w:r>
      <w:r>
        <w:rPr>
          <w:spacing w:val="40"/>
          <w:sz w:val="18"/>
        </w:rPr>
        <w:t xml:space="preserve"> </w:t>
      </w:r>
      <w:r>
        <w:rPr>
          <w:sz w:val="18"/>
        </w:rPr>
        <w:t>Qingdao</w:t>
      </w:r>
      <w:r>
        <w:rPr>
          <w:spacing w:val="40"/>
          <w:sz w:val="18"/>
        </w:rPr>
        <w:t xml:space="preserve"> </w:t>
      </w:r>
      <w:r>
        <w:rPr>
          <w:sz w:val="18"/>
        </w:rPr>
        <w:t>Huadong</w:t>
      </w:r>
      <w:r>
        <w:rPr>
          <w:spacing w:val="40"/>
          <w:sz w:val="18"/>
        </w:rPr>
        <w:t xml:space="preserve"> </w:t>
      </w:r>
      <w:r>
        <w:rPr>
          <w:sz w:val="18"/>
        </w:rPr>
        <w:t>Winery</w:t>
      </w:r>
      <w:r>
        <w:rPr>
          <w:spacing w:val="40"/>
          <w:sz w:val="18"/>
        </w:rPr>
        <w:t xml:space="preserve"> </w:t>
      </w:r>
      <w:r>
        <w:rPr>
          <w:sz w:val="18"/>
        </w:rPr>
        <w:t>Anti‐ Dumping</w:t>
      </w:r>
      <w:r>
        <w:rPr>
          <w:spacing w:val="40"/>
          <w:sz w:val="18"/>
        </w:rPr>
        <w:t xml:space="preserve"> </w:t>
      </w:r>
      <w:r>
        <w:rPr>
          <w:sz w:val="18"/>
        </w:rPr>
        <w:t>Questionnaire</w:t>
      </w:r>
      <w:r>
        <w:rPr>
          <w:spacing w:val="40"/>
          <w:sz w:val="18"/>
        </w:rPr>
        <w:t xml:space="preserve"> </w:t>
      </w:r>
      <w:r>
        <w:rPr>
          <w:sz w:val="18"/>
        </w:rPr>
        <w:t>Response</w:t>
      </w:r>
      <w:r>
        <w:rPr>
          <w:spacing w:val="40"/>
          <w:sz w:val="18"/>
        </w:rPr>
        <w:t xml:space="preserve"> </w:t>
      </w:r>
      <w:r>
        <w:rPr>
          <w:sz w:val="18"/>
        </w:rPr>
        <w:t>(Exhibit AUS‐61), p. 17; Kweichow Moutai Distillery Anti‐Dumping Questionnaire Response (Exhibit AUS‐60), pp. 17‐18; Gansu Zixuan</w:t>
      </w:r>
      <w:r>
        <w:rPr>
          <w:spacing w:val="40"/>
          <w:sz w:val="18"/>
        </w:rPr>
        <w:t xml:space="preserve"> </w:t>
      </w:r>
      <w:r>
        <w:rPr>
          <w:sz w:val="18"/>
        </w:rPr>
        <w:t>Wine</w:t>
      </w:r>
      <w:r>
        <w:rPr>
          <w:spacing w:val="40"/>
          <w:sz w:val="18"/>
        </w:rPr>
        <w:t xml:space="preserve"> </w:t>
      </w:r>
      <w:r>
        <w:rPr>
          <w:sz w:val="18"/>
        </w:rPr>
        <w:t>Anti‐Dumping</w:t>
      </w:r>
      <w:r>
        <w:rPr>
          <w:spacing w:val="40"/>
          <w:sz w:val="18"/>
        </w:rPr>
        <w:t xml:space="preserve"> </w:t>
      </w:r>
      <w:r>
        <w:rPr>
          <w:sz w:val="18"/>
        </w:rPr>
        <w:t>Questionnaire</w:t>
      </w:r>
      <w:r>
        <w:rPr>
          <w:spacing w:val="40"/>
          <w:sz w:val="18"/>
        </w:rPr>
        <w:t xml:space="preserve"> </w:t>
      </w:r>
      <w:r>
        <w:rPr>
          <w:sz w:val="18"/>
        </w:rPr>
        <w:t>Response</w:t>
      </w:r>
      <w:r>
        <w:rPr>
          <w:spacing w:val="40"/>
          <w:sz w:val="18"/>
        </w:rPr>
        <w:t xml:space="preserve"> </w:t>
      </w:r>
      <w:r>
        <w:rPr>
          <w:sz w:val="18"/>
        </w:rPr>
        <w:t>(Exhibit</w:t>
      </w:r>
      <w:r>
        <w:rPr>
          <w:spacing w:val="40"/>
          <w:sz w:val="18"/>
        </w:rPr>
        <w:t xml:space="preserve"> </w:t>
      </w:r>
      <w:r>
        <w:rPr>
          <w:sz w:val="18"/>
        </w:rPr>
        <w:t>AUS‐59),</w:t>
      </w:r>
      <w:r>
        <w:rPr>
          <w:spacing w:val="40"/>
          <w:sz w:val="18"/>
        </w:rPr>
        <w:t xml:space="preserve"> </w:t>
      </w:r>
      <w:r>
        <w:rPr>
          <w:sz w:val="18"/>
        </w:rPr>
        <w:t>p.16; Gansu</w:t>
      </w:r>
      <w:r>
        <w:rPr>
          <w:spacing w:val="27"/>
          <w:sz w:val="18"/>
        </w:rPr>
        <w:t xml:space="preserve"> </w:t>
      </w:r>
      <w:r>
        <w:rPr>
          <w:sz w:val="18"/>
        </w:rPr>
        <w:t>Mogao</w:t>
      </w:r>
      <w:r>
        <w:rPr>
          <w:spacing w:val="27"/>
          <w:sz w:val="18"/>
        </w:rPr>
        <w:t xml:space="preserve"> </w:t>
      </w:r>
      <w:r>
        <w:rPr>
          <w:sz w:val="18"/>
        </w:rPr>
        <w:t>Industrial</w:t>
      </w:r>
      <w:r>
        <w:rPr>
          <w:spacing w:val="27"/>
          <w:sz w:val="18"/>
        </w:rPr>
        <w:t xml:space="preserve"> </w:t>
      </w:r>
      <w:r>
        <w:rPr>
          <w:sz w:val="18"/>
        </w:rPr>
        <w:t>Development</w:t>
      </w:r>
      <w:r>
        <w:rPr>
          <w:spacing w:val="28"/>
          <w:sz w:val="18"/>
        </w:rPr>
        <w:t xml:space="preserve"> </w:t>
      </w:r>
      <w:r>
        <w:rPr>
          <w:sz w:val="18"/>
        </w:rPr>
        <w:t>Anti‐Dumping</w:t>
      </w:r>
      <w:r>
        <w:rPr>
          <w:spacing w:val="-3"/>
          <w:sz w:val="18"/>
        </w:rPr>
        <w:t xml:space="preserve"> </w:t>
      </w:r>
      <w:r>
        <w:rPr>
          <w:sz w:val="18"/>
        </w:rPr>
        <w:t>Questionnaire</w:t>
      </w:r>
      <w:r>
        <w:rPr>
          <w:spacing w:val="-3"/>
          <w:sz w:val="18"/>
        </w:rPr>
        <w:t xml:space="preserve"> </w:t>
      </w:r>
      <w:r>
        <w:rPr>
          <w:sz w:val="18"/>
        </w:rPr>
        <w:t>Response</w:t>
      </w:r>
      <w:r>
        <w:rPr>
          <w:spacing w:val="-3"/>
          <w:sz w:val="18"/>
        </w:rPr>
        <w:t xml:space="preserve"> </w:t>
      </w:r>
      <w:r>
        <w:rPr>
          <w:sz w:val="18"/>
        </w:rPr>
        <w:t>(Exhibit</w:t>
      </w:r>
      <w:r>
        <w:rPr>
          <w:spacing w:val="-3"/>
          <w:sz w:val="18"/>
        </w:rPr>
        <w:t xml:space="preserve"> </w:t>
      </w:r>
      <w:r>
        <w:rPr>
          <w:sz w:val="18"/>
        </w:rPr>
        <w:t>AUS‐58),</w:t>
      </w:r>
      <w:r>
        <w:rPr>
          <w:spacing w:val="-2"/>
          <w:sz w:val="18"/>
        </w:rPr>
        <w:t xml:space="preserve"> </w:t>
      </w:r>
      <w:r>
        <w:rPr>
          <w:sz w:val="18"/>
        </w:rPr>
        <w:t>pp.</w:t>
      </w:r>
      <w:r>
        <w:rPr>
          <w:spacing w:val="-2"/>
          <w:sz w:val="18"/>
        </w:rPr>
        <w:t xml:space="preserve"> </w:t>
      </w:r>
      <w:r>
        <w:rPr>
          <w:sz w:val="18"/>
        </w:rPr>
        <w:t>17‐18;</w:t>
      </w:r>
      <w:r>
        <w:rPr>
          <w:spacing w:val="-2"/>
          <w:sz w:val="18"/>
        </w:rPr>
        <w:t xml:space="preserve"> </w:t>
      </w:r>
      <w:r>
        <w:rPr>
          <w:sz w:val="18"/>
        </w:rPr>
        <w:t>Beijing</w:t>
      </w:r>
      <w:r>
        <w:rPr>
          <w:spacing w:val="-3"/>
          <w:sz w:val="18"/>
        </w:rPr>
        <w:t xml:space="preserve"> </w:t>
      </w:r>
      <w:r>
        <w:rPr>
          <w:sz w:val="18"/>
        </w:rPr>
        <w:t>Fengshou Wine Anti‐Dumping Questionnaire Response (Exhibit AUS‐56); p. 16, Turpan Louland Wine Anti‐Dumping Questionnaire Response (Exhibit AUS‐54); and pp. 16‐17, COFCO Anti‐Dumping Questionnaire Response (Ex</w:t>
      </w:r>
      <w:r>
        <w:rPr>
          <w:sz w:val="18"/>
        </w:rPr>
        <w:t>hibit AUS‐44), pp. 16‐17.</w:t>
      </w:r>
    </w:p>
    <w:p w14:paraId="51DE96E4" w14:textId="77777777" w:rsidR="0010369C" w:rsidRDefault="0010369C">
      <w:pPr>
        <w:spacing w:line="242" w:lineRule="auto"/>
        <w:rPr>
          <w:sz w:val="18"/>
        </w:rPr>
        <w:sectPr w:rsidR="0010369C">
          <w:headerReference w:type="default" r:id="rId1125"/>
          <w:footerReference w:type="default" r:id="rId1126"/>
          <w:pgSz w:w="11910" w:h="16840"/>
          <w:pgMar w:top="880" w:right="800" w:bottom="980" w:left="1180" w:header="569" w:footer="788" w:gutter="0"/>
          <w:cols w:space="720"/>
        </w:sectPr>
      </w:pPr>
    </w:p>
    <w:p w14:paraId="51DE96E5" w14:textId="77777777" w:rsidR="0010369C" w:rsidRDefault="008E43AE">
      <w:pPr>
        <w:tabs>
          <w:tab w:val="left" w:pos="6425"/>
        </w:tabs>
        <w:ind w:left="238"/>
        <w:jc w:val="both"/>
        <w:rPr>
          <w:sz w:val="20"/>
        </w:rPr>
      </w:pPr>
      <w:r>
        <w:rPr>
          <w:i/>
          <w:sz w:val="20"/>
        </w:rPr>
        <w:lastRenderedPageBreak/>
        <w:t>China</w:t>
      </w:r>
      <w:r>
        <w:rPr>
          <w:i/>
          <w:spacing w:val="-5"/>
          <w:sz w:val="20"/>
        </w:rPr>
        <w:t xml:space="preserve"> </w:t>
      </w:r>
      <w:r>
        <w:rPr>
          <w:i/>
          <w:sz w:val="20"/>
        </w:rPr>
        <w:t>–</w:t>
      </w:r>
      <w:r>
        <w:rPr>
          <w:i/>
          <w:spacing w:val="-5"/>
          <w:sz w:val="20"/>
        </w:rPr>
        <w:t xml:space="preserve"> </w:t>
      </w:r>
      <w:r>
        <w:rPr>
          <w:i/>
          <w:sz w:val="20"/>
        </w:rPr>
        <w:t>Anti‐Dumping</w:t>
      </w:r>
      <w:r>
        <w:rPr>
          <w:i/>
          <w:spacing w:val="-4"/>
          <w:sz w:val="20"/>
        </w:rPr>
        <w:t xml:space="preserve"> </w:t>
      </w:r>
      <w:r>
        <w:rPr>
          <w:i/>
          <w:sz w:val="20"/>
        </w:rPr>
        <w:t>and</w:t>
      </w:r>
      <w:r>
        <w:rPr>
          <w:i/>
          <w:spacing w:val="-5"/>
          <w:sz w:val="20"/>
        </w:rPr>
        <w:t xml:space="preserve"> </w:t>
      </w:r>
      <w:r>
        <w:rPr>
          <w:i/>
          <w:sz w:val="20"/>
        </w:rPr>
        <w:t>Countervailing</w:t>
      </w:r>
      <w:r>
        <w:rPr>
          <w:i/>
          <w:spacing w:val="-5"/>
          <w:sz w:val="20"/>
        </w:rPr>
        <w:t xml:space="preserve"> </w:t>
      </w:r>
      <w:r>
        <w:rPr>
          <w:i/>
          <w:sz w:val="20"/>
        </w:rPr>
        <w:t>Duty</w:t>
      </w:r>
      <w:r>
        <w:rPr>
          <w:i/>
          <w:spacing w:val="-4"/>
          <w:sz w:val="20"/>
        </w:rPr>
        <w:t xml:space="preserve"> </w:t>
      </w:r>
      <w:r>
        <w:rPr>
          <w:i/>
          <w:spacing w:val="-2"/>
          <w:sz w:val="20"/>
        </w:rPr>
        <w:t>Measures</w:t>
      </w:r>
      <w:r>
        <w:rPr>
          <w:i/>
          <w:sz w:val="20"/>
        </w:rPr>
        <w:tab/>
      </w:r>
      <w:r>
        <w:rPr>
          <w:sz w:val="20"/>
        </w:rPr>
        <w:t>Australia's</w:t>
      </w:r>
      <w:r>
        <w:rPr>
          <w:spacing w:val="-6"/>
          <w:sz w:val="20"/>
        </w:rPr>
        <w:t xml:space="preserve"> </w:t>
      </w:r>
      <w:r>
        <w:rPr>
          <w:sz w:val="20"/>
        </w:rPr>
        <w:t>First</w:t>
      </w:r>
      <w:r>
        <w:rPr>
          <w:spacing w:val="-2"/>
          <w:sz w:val="20"/>
        </w:rPr>
        <w:t xml:space="preserve"> </w:t>
      </w:r>
      <w:r>
        <w:rPr>
          <w:sz w:val="20"/>
        </w:rPr>
        <w:t>Written</w:t>
      </w:r>
      <w:r>
        <w:rPr>
          <w:spacing w:val="-2"/>
          <w:sz w:val="20"/>
        </w:rPr>
        <w:t xml:space="preserve"> Submission</w:t>
      </w:r>
    </w:p>
    <w:p w14:paraId="51DE96E6" w14:textId="77777777" w:rsidR="0010369C" w:rsidRDefault="008E43AE">
      <w:pPr>
        <w:tabs>
          <w:tab w:val="left" w:pos="8227"/>
        </w:tabs>
        <w:spacing w:before="1"/>
        <w:ind w:left="239"/>
        <w:jc w:val="both"/>
        <w:rPr>
          <w:sz w:val="20"/>
        </w:rPr>
      </w:pPr>
      <w:r>
        <w:rPr>
          <w:i/>
          <w:sz w:val="20"/>
        </w:rPr>
        <w:t>on</w:t>
      </w:r>
      <w:r>
        <w:rPr>
          <w:i/>
          <w:spacing w:val="-1"/>
          <w:sz w:val="20"/>
        </w:rPr>
        <w:t xml:space="preserve"> </w:t>
      </w:r>
      <w:r>
        <w:rPr>
          <w:i/>
          <w:sz w:val="20"/>
        </w:rPr>
        <w:t>Wine</w:t>
      </w:r>
      <w:r>
        <w:rPr>
          <w:i/>
          <w:spacing w:val="-1"/>
          <w:sz w:val="20"/>
        </w:rPr>
        <w:t xml:space="preserve"> </w:t>
      </w:r>
      <w:r>
        <w:rPr>
          <w:i/>
          <w:sz w:val="20"/>
        </w:rPr>
        <w:t>from</w:t>
      </w:r>
      <w:r>
        <w:rPr>
          <w:i/>
          <w:spacing w:val="-3"/>
          <w:sz w:val="20"/>
        </w:rPr>
        <w:t xml:space="preserve"> </w:t>
      </w:r>
      <w:r>
        <w:rPr>
          <w:i/>
          <w:sz w:val="20"/>
        </w:rPr>
        <w:t>Australia</w:t>
      </w:r>
      <w:r>
        <w:rPr>
          <w:i/>
          <w:spacing w:val="-1"/>
          <w:sz w:val="20"/>
        </w:rPr>
        <w:t xml:space="preserve"> </w:t>
      </w:r>
      <w:r>
        <w:rPr>
          <w:spacing w:val="-2"/>
          <w:sz w:val="20"/>
        </w:rPr>
        <w:t>(DS602)</w:t>
      </w:r>
      <w:r>
        <w:rPr>
          <w:sz w:val="20"/>
        </w:rPr>
        <w:tab/>
        <w:t>29</w:t>
      </w:r>
      <w:r>
        <w:rPr>
          <w:spacing w:val="-1"/>
          <w:sz w:val="20"/>
        </w:rPr>
        <w:t xml:space="preserve"> </w:t>
      </w:r>
      <w:r>
        <w:rPr>
          <w:sz w:val="20"/>
        </w:rPr>
        <w:t>April</w:t>
      </w:r>
      <w:r>
        <w:rPr>
          <w:spacing w:val="-2"/>
          <w:sz w:val="20"/>
        </w:rPr>
        <w:t xml:space="preserve"> </w:t>
      </w:r>
      <w:r>
        <w:rPr>
          <w:spacing w:val="-4"/>
          <w:sz w:val="20"/>
        </w:rPr>
        <w:t>2022</w:t>
      </w:r>
    </w:p>
    <w:p w14:paraId="51DE96E7" w14:textId="77777777" w:rsidR="0010369C" w:rsidRDefault="008E43AE">
      <w:pPr>
        <w:pStyle w:val="BodyText"/>
        <w:spacing w:before="34" w:line="360" w:lineRule="auto"/>
        <w:ind w:left="1940" w:right="613"/>
        <w:jc w:val="both"/>
      </w:pPr>
      <w:r>
        <w:t>MOFCOM granted this broad confidential treatment even though these products are publicly offered for sale to consumers.</w:t>
      </w:r>
    </w:p>
    <w:p w14:paraId="51DE96E8" w14:textId="77777777" w:rsidR="0010369C" w:rsidRDefault="008E43AE">
      <w:pPr>
        <w:pStyle w:val="ListParagraph"/>
        <w:numPr>
          <w:ilvl w:val="0"/>
          <w:numId w:val="24"/>
        </w:numPr>
        <w:tabs>
          <w:tab w:val="left" w:pos="1939"/>
          <w:tab w:val="left" w:pos="1940"/>
        </w:tabs>
        <w:spacing w:line="360" w:lineRule="auto"/>
        <w:ind w:right="611"/>
        <w:rPr>
          <w:sz w:val="24"/>
        </w:rPr>
      </w:pPr>
      <w:r>
        <w:rPr>
          <w:sz w:val="24"/>
        </w:rPr>
        <w:t>Confidential</w:t>
      </w:r>
      <w:r>
        <w:rPr>
          <w:spacing w:val="-13"/>
          <w:sz w:val="24"/>
        </w:rPr>
        <w:t xml:space="preserve"> </w:t>
      </w:r>
      <w:r>
        <w:rPr>
          <w:sz w:val="24"/>
        </w:rPr>
        <w:t>treatment</w:t>
      </w:r>
      <w:r>
        <w:rPr>
          <w:spacing w:val="-12"/>
          <w:sz w:val="24"/>
        </w:rPr>
        <w:t xml:space="preserve"> </w:t>
      </w:r>
      <w:r>
        <w:rPr>
          <w:sz w:val="24"/>
        </w:rPr>
        <w:t>covering</w:t>
      </w:r>
      <w:r>
        <w:rPr>
          <w:spacing w:val="-13"/>
          <w:sz w:val="24"/>
        </w:rPr>
        <w:t xml:space="preserve"> </w:t>
      </w:r>
      <w:r>
        <w:rPr>
          <w:sz w:val="24"/>
        </w:rPr>
        <w:t>the</w:t>
      </w:r>
      <w:r>
        <w:rPr>
          <w:spacing w:val="-12"/>
          <w:sz w:val="24"/>
        </w:rPr>
        <w:t xml:space="preserve"> </w:t>
      </w:r>
      <w:r>
        <w:rPr>
          <w:sz w:val="24"/>
        </w:rPr>
        <w:t>entirety</w:t>
      </w:r>
      <w:r>
        <w:rPr>
          <w:spacing w:val="-13"/>
          <w:sz w:val="24"/>
        </w:rPr>
        <w:t xml:space="preserve"> </w:t>
      </w:r>
      <w:r>
        <w:rPr>
          <w:sz w:val="24"/>
        </w:rPr>
        <w:t>of</w:t>
      </w:r>
      <w:r>
        <w:rPr>
          <w:spacing w:val="-12"/>
          <w:sz w:val="24"/>
        </w:rPr>
        <w:t xml:space="preserve"> </w:t>
      </w:r>
      <w:r>
        <w:rPr>
          <w:sz w:val="24"/>
        </w:rPr>
        <w:t>the</w:t>
      </w:r>
      <w:r>
        <w:rPr>
          <w:spacing w:val="-12"/>
          <w:sz w:val="24"/>
        </w:rPr>
        <w:t xml:space="preserve"> </w:t>
      </w:r>
      <w:r>
        <w:rPr>
          <w:sz w:val="24"/>
        </w:rPr>
        <w:t>responses</w:t>
      </w:r>
      <w:r>
        <w:rPr>
          <w:spacing w:val="-13"/>
          <w:sz w:val="24"/>
        </w:rPr>
        <w:t xml:space="preserve"> </w:t>
      </w:r>
      <w:r>
        <w:rPr>
          <w:sz w:val="24"/>
        </w:rPr>
        <w:t>supplied</w:t>
      </w:r>
      <w:r>
        <w:rPr>
          <w:spacing w:val="-12"/>
          <w:sz w:val="24"/>
        </w:rPr>
        <w:t xml:space="preserve"> </w:t>
      </w:r>
      <w:r>
        <w:rPr>
          <w:sz w:val="24"/>
        </w:rPr>
        <w:t>by</w:t>
      </w:r>
      <w:r>
        <w:rPr>
          <w:spacing w:val="-12"/>
          <w:sz w:val="24"/>
        </w:rPr>
        <w:t xml:space="preserve"> </w:t>
      </w:r>
      <w:r>
        <w:rPr>
          <w:i/>
          <w:sz w:val="24"/>
        </w:rPr>
        <w:t xml:space="preserve">all </w:t>
      </w:r>
      <w:r>
        <w:rPr>
          <w:sz w:val="24"/>
        </w:rPr>
        <w:t>domestic producers to question 12 of the Domestic Producer</w:t>
      </w:r>
      <w:r>
        <w:rPr>
          <w:sz w:val="24"/>
        </w:rPr>
        <w:t xml:space="preserve"> Questionnaire,</w:t>
      </w:r>
      <w:r>
        <w:rPr>
          <w:sz w:val="24"/>
          <w:vertAlign w:val="superscript"/>
        </w:rPr>
        <w:t>1022</w:t>
      </w:r>
      <w:r>
        <w:rPr>
          <w:sz w:val="24"/>
        </w:rPr>
        <w:t xml:space="preserve"> which asked for information concerning the "main raw materials"</w:t>
      </w:r>
      <w:r>
        <w:rPr>
          <w:spacing w:val="-11"/>
          <w:sz w:val="24"/>
        </w:rPr>
        <w:t xml:space="preserve"> </w:t>
      </w:r>
      <w:r>
        <w:rPr>
          <w:sz w:val="24"/>
        </w:rPr>
        <w:t>used</w:t>
      </w:r>
      <w:r>
        <w:rPr>
          <w:spacing w:val="-11"/>
          <w:sz w:val="24"/>
        </w:rPr>
        <w:t xml:space="preserve"> </w:t>
      </w:r>
      <w:r>
        <w:rPr>
          <w:sz w:val="24"/>
        </w:rPr>
        <w:t>in</w:t>
      </w:r>
      <w:r>
        <w:rPr>
          <w:spacing w:val="-11"/>
          <w:sz w:val="24"/>
        </w:rPr>
        <w:t xml:space="preserve"> </w:t>
      </w:r>
      <w:r>
        <w:rPr>
          <w:sz w:val="24"/>
        </w:rPr>
        <w:t>the</w:t>
      </w:r>
      <w:r>
        <w:rPr>
          <w:spacing w:val="-10"/>
          <w:sz w:val="24"/>
        </w:rPr>
        <w:t xml:space="preserve"> </w:t>
      </w:r>
      <w:r>
        <w:rPr>
          <w:sz w:val="24"/>
        </w:rPr>
        <w:t>production</w:t>
      </w:r>
      <w:r>
        <w:rPr>
          <w:spacing w:val="-12"/>
          <w:sz w:val="24"/>
        </w:rPr>
        <w:t xml:space="preserve"> </w:t>
      </w:r>
      <w:r>
        <w:rPr>
          <w:sz w:val="24"/>
        </w:rPr>
        <w:t>of</w:t>
      </w:r>
      <w:r>
        <w:rPr>
          <w:spacing w:val="-12"/>
          <w:sz w:val="24"/>
        </w:rPr>
        <w:t xml:space="preserve"> </w:t>
      </w:r>
      <w:r>
        <w:rPr>
          <w:sz w:val="24"/>
        </w:rPr>
        <w:t>the</w:t>
      </w:r>
      <w:r>
        <w:rPr>
          <w:spacing w:val="-10"/>
          <w:sz w:val="24"/>
        </w:rPr>
        <w:t xml:space="preserve"> </w:t>
      </w:r>
      <w:r>
        <w:rPr>
          <w:sz w:val="24"/>
        </w:rPr>
        <w:t>like</w:t>
      </w:r>
      <w:r>
        <w:rPr>
          <w:spacing w:val="-10"/>
          <w:sz w:val="24"/>
        </w:rPr>
        <w:t xml:space="preserve"> </w:t>
      </w:r>
      <w:r>
        <w:rPr>
          <w:sz w:val="24"/>
        </w:rPr>
        <w:t>products.</w:t>
      </w:r>
      <w:r>
        <w:rPr>
          <w:sz w:val="24"/>
          <w:vertAlign w:val="superscript"/>
        </w:rPr>
        <w:t>1023</w:t>
      </w:r>
      <w:r>
        <w:rPr>
          <w:spacing w:val="-12"/>
          <w:sz w:val="24"/>
        </w:rPr>
        <w:t xml:space="preserve"> </w:t>
      </w:r>
      <w:r>
        <w:rPr>
          <w:sz w:val="24"/>
        </w:rPr>
        <w:t>MOFCOM</w:t>
      </w:r>
      <w:r>
        <w:rPr>
          <w:spacing w:val="-11"/>
          <w:sz w:val="24"/>
        </w:rPr>
        <w:t xml:space="preserve"> </w:t>
      </w:r>
      <w:r>
        <w:rPr>
          <w:sz w:val="24"/>
        </w:rPr>
        <w:t>granted this broad confidential treatment even though (i) the product had been defined</w:t>
      </w:r>
      <w:r>
        <w:rPr>
          <w:spacing w:val="-6"/>
          <w:sz w:val="24"/>
        </w:rPr>
        <w:t xml:space="preserve"> </w:t>
      </w:r>
      <w:r>
        <w:rPr>
          <w:sz w:val="24"/>
        </w:rPr>
        <w:t>by</w:t>
      </w:r>
      <w:r>
        <w:rPr>
          <w:spacing w:val="-7"/>
          <w:sz w:val="24"/>
        </w:rPr>
        <w:t xml:space="preserve"> </w:t>
      </w:r>
      <w:r>
        <w:rPr>
          <w:sz w:val="24"/>
        </w:rPr>
        <w:t>MOFCOM</w:t>
      </w:r>
      <w:r>
        <w:rPr>
          <w:spacing w:val="-6"/>
          <w:sz w:val="24"/>
        </w:rPr>
        <w:t xml:space="preserve"> </w:t>
      </w:r>
      <w:r>
        <w:rPr>
          <w:sz w:val="24"/>
        </w:rPr>
        <w:t>in</w:t>
      </w:r>
      <w:r>
        <w:rPr>
          <w:spacing w:val="-6"/>
          <w:sz w:val="24"/>
        </w:rPr>
        <w:t xml:space="preserve"> </w:t>
      </w:r>
      <w:r>
        <w:rPr>
          <w:sz w:val="24"/>
        </w:rPr>
        <w:t>the</w:t>
      </w:r>
      <w:r>
        <w:rPr>
          <w:spacing w:val="-6"/>
          <w:sz w:val="24"/>
        </w:rPr>
        <w:t xml:space="preserve"> </w:t>
      </w:r>
      <w:r>
        <w:rPr>
          <w:sz w:val="24"/>
        </w:rPr>
        <w:t>questionnair</w:t>
      </w:r>
      <w:r>
        <w:rPr>
          <w:sz w:val="24"/>
        </w:rPr>
        <w:t>e</w:t>
      </w:r>
      <w:r>
        <w:rPr>
          <w:spacing w:val="-5"/>
          <w:sz w:val="24"/>
        </w:rPr>
        <w:t xml:space="preserve"> </w:t>
      </w:r>
      <w:r>
        <w:rPr>
          <w:sz w:val="24"/>
        </w:rPr>
        <w:t>as</w:t>
      </w:r>
      <w:r>
        <w:rPr>
          <w:spacing w:val="-6"/>
          <w:sz w:val="24"/>
        </w:rPr>
        <w:t xml:space="preserve"> </w:t>
      </w:r>
      <w:r>
        <w:rPr>
          <w:sz w:val="24"/>
        </w:rPr>
        <w:t>"Wine</w:t>
      </w:r>
      <w:r>
        <w:rPr>
          <w:spacing w:val="-5"/>
          <w:sz w:val="24"/>
        </w:rPr>
        <w:t xml:space="preserve"> </w:t>
      </w:r>
      <w:r>
        <w:rPr>
          <w:sz w:val="24"/>
        </w:rPr>
        <w:t>made</w:t>
      </w:r>
      <w:r>
        <w:rPr>
          <w:spacing w:val="-7"/>
          <w:sz w:val="24"/>
        </w:rPr>
        <w:t xml:space="preserve"> </w:t>
      </w:r>
      <w:r>
        <w:rPr>
          <w:sz w:val="24"/>
        </w:rPr>
        <w:t>from</w:t>
      </w:r>
      <w:r>
        <w:rPr>
          <w:spacing w:val="-6"/>
          <w:sz w:val="24"/>
        </w:rPr>
        <w:t xml:space="preserve"> </w:t>
      </w:r>
      <w:r>
        <w:rPr>
          <w:sz w:val="24"/>
        </w:rPr>
        <w:t>fresh</w:t>
      </w:r>
      <w:r>
        <w:rPr>
          <w:spacing w:val="-6"/>
          <w:sz w:val="24"/>
        </w:rPr>
        <w:t xml:space="preserve"> </w:t>
      </w:r>
      <w:r>
        <w:rPr>
          <w:sz w:val="24"/>
        </w:rPr>
        <w:t>grapes or grape juice",</w:t>
      </w:r>
      <w:r>
        <w:rPr>
          <w:sz w:val="24"/>
          <w:vertAlign w:val="superscript"/>
        </w:rPr>
        <w:t>1024</w:t>
      </w:r>
      <w:r>
        <w:rPr>
          <w:sz w:val="24"/>
        </w:rPr>
        <w:t xml:space="preserve"> and (ii) in response to another question in the </w:t>
      </w:r>
      <w:r>
        <w:rPr>
          <w:i/>
          <w:sz w:val="24"/>
        </w:rPr>
        <w:t>same questionnaire</w:t>
      </w:r>
      <w:r>
        <w:rPr>
          <w:i/>
          <w:spacing w:val="-7"/>
          <w:sz w:val="24"/>
        </w:rPr>
        <w:t xml:space="preserve"> </w:t>
      </w:r>
      <w:r>
        <w:rPr>
          <w:i/>
          <w:sz w:val="24"/>
        </w:rPr>
        <w:t>responses</w:t>
      </w:r>
      <w:r>
        <w:rPr>
          <w:sz w:val="24"/>
        </w:rPr>
        <w:t>,</w:t>
      </w:r>
      <w:r>
        <w:rPr>
          <w:spacing w:val="-10"/>
          <w:sz w:val="24"/>
        </w:rPr>
        <w:t xml:space="preserve"> </w:t>
      </w:r>
      <w:r>
        <w:rPr>
          <w:sz w:val="24"/>
        </w:rPr>
        <w:t>the</w:t>
      </w:r>
      <w:r>
        <w:rPr>
          <w:spacing w:val="-8"/>
          <w:sz w:val="24"/>
        </w:rPr>
        <w:t xml:space="preserve"> </w:t>
      </w:r>
      <w:r>
        <w:rPr>
          <w:sz w:val="24"/>
        </w:rPr>
        <w:t>answer</w:t>
      </w:r>
      <w:r>
        <w:rPr>
          <w:spacing w:val="-10"/>
          <w:sz w:val="24"/>
        </w:rPr>
        <w:t xml:space="preserve"> </w:t>
      </w:r>
      <w:r>
        <w:rPr>
          <w:sz w:val="24"/>
        </w:rPr>
        <w:t>had</w:t>
      </w:r>
      <w:r>
        <w:rPr>
          <w:spacing w:val="-8"/>
          <w:sz w:val="24"/>
        </w:rPr>
        <w:t xml:space="preserve"> </w:t>
      </w:r>
      <w:r>
        <w:rPr>
          <w:sz w:val="24"/>
        </w:rPr>
        <w:t>been</w:t>
      </w:r>
      <w:r>
        <w:rPr>
          <w:spacing w:val="-9"/>
          <w:sz w:val="24"/>
        </w:rPr>
        <w:t xml:space="preserve"> </w:t>
      </w:r>
      <w:r>
        <w:rPr>
          <w:sz w:val="24"/>
        </w:rPr>
        <w:t>given</w:t>
      </w:r>
      <w:r>
        <w:rPr>
          <w:spacing w:val="-9"/>
          <w:sz w:val="24"/>
        </w:rPr>
        <w:t xml:space="preserve"> </w:t>
      </w:r>
      <w:r>
        <w:rPr>
          <w:sz w:val="24"/>
        </w:rPr>
        <w:t>that</w:t>
      </w:r>
      <w:r>
        <w:rPr>
          <w:spacing w:val="-9"/>
          <w:sz w:val="24"/>
        </w:rPr>
        <w:t xml:space="preserve"> </w:t>
      </w:r>
      <w:r>
        <w:rPr>
          <w:sz w:val="24"/>
        </w:rPr>
        <w:t>"the</w:t>
      </w:r>
      <w:r>
        <w:rPr>
          <w:spacing w:val="-8"/>
          <w:sz w:val="24"/>
        </w:rPr>
        <w:t xml:space="preserve"> </w:t>
      </w:r>
      <w:r>
        <w:rPr>
          <w:sz w:val="24"/>
        </w:rPr>
        <w:t>raw</w:t>
      </w:r>
      <w:r>
        <w:rPr>
          <w:spacing w:val="-9"/>
          <w:sz w:val="24"/>
        </w:rPr>
        <w:t xml:space="preserve"> </w:t>
      </w:r>
      <w:r>
        <w:rPr>
          <w:sz w:val="24"/>
        </w:rPr>
        <w:t>materials used</w:t>
      </w:r>
      <w:r>
        <w:rPr>
          <w:spacing w:val="-9"/>
          <w:sz w:val="24"/>
        </w:rPr>
        <w:t xml:space="preserve"> </w:t>
      </w:r>
      <w:r>
        <w:rPr>
          <w:sz w:val="24"/>
        </w:rPr>
        <w:t>in</w:t>
      </w:r>
      <w:r>
        <w:rPr>
          <w:spacing w:val="-9"/>
          <w:sz w:val="24"/>
        </w:rPr>
        <w:t xml:space="preserve"> </w:t>
      </w:r>
      <w:r>
        <w:rPr>
          <w:sz w:val="24"/>
        </w:rPr>
        <w:t>the</w:t>
      </w:r>
      <w:r>
        <w:rPr>
          <w:spacing w:val="-8"/>
          <w:sz w:val="24"/>
        </w:rPr>
        <w:t xml:space="preserve"> </w:t>
      </w:r>
      <w:r>
        <w:rPr>
          <w:sz w:val="24"/>
        </w:rPr>
        <w:t>relevant</w:t>
      </w:r>
      <w:r>
        <w:rPr>
          <w:spacing w:val="-9"/>
          <w:sz w:val="24"/>
        </w:rPr>
        <w:t xml:space="preserve"> </w:t>
      </w:r>
      <w:r>
        <w:rPr>
          <w:sz w:val="24"/>
        </w:rPr>
        <w:t>wines</w:t>
      </w:r>
      <w:r>
        <w:rPr>
          <w:spacing w:val="-9"/>
          <w:sz w:val="24"/>
        </w:rPr>
        <w:t xml:space="preserve"> </w:t>
      </w:r>
      <w:r>
        <w:rPr>
          <w:sz w:val="24"/>
        </w:rPr>
        <w:t>produced</w:t>
      </w:r>
      <w:r>
        <w:rPr>
          <w:spacing w:val="-10"/>
          <w:sz w:val="24"/>
        </w:rPr>
        <w:t xml:space="preserve"> </w:t>
      </w:r>
      <w:r>
        <w:rPr>
          <w:sz w:val="24"/>
        </w:rPr>
        <w:t>by</w:t>
      </w:r>
      <w:r>
        <w:rPr>
          <w:spacing w:val="-8"/>
          <w:sz w:val="24"/>
        </w:rPr>
        <w:t xml:space="preserve"> </w:t>
      </w:r>
      <w:r>
        <w:rPr>
          <w:sz w:val="24"/>
        </w:rPr>
        <w:t>our</w:t>
      </w:r>
      <w:r>
        <w:rPr>
          <w:spacing w:val="-8"/>
          <w:sz w:val="24"/>
        </w:rPr>
        <w:t xml:space="preserve"> </w:t>
      </w:r>
      <w:r>
        <w:rPr>
          <w:sz w:val="24"/>
        </w:rPr>
        <w:t>company</w:t>
      </w:r>
      <w:r>
        <w:rPr>
          <w:spacing w:val="-8"/>
          <w:sz w:val="24"/>
        </w:rPr>
        <w:t xml:space="preserve"> </w:t>
      </w:r>
      <w:r>
        <w:rPr>
          <w:sz w:val="24"/>
        </w:rPr>
        <w:t>[…]</w:t>
      </w:r>
      <w:r>
        <w:rPr>
          <w:spacing w:val="-9"/>
          <w:sz w:val="24"/>
        </w:rPr>
        <w:t xml:space="preserve"> </w:t>
      </w:r>
      <w:r>
        <w:rPr>
          <w:sz w:val="24"/>
        </w:rPr>
        <w:t>are</w:t>
      </w:r>
      <w:r>
        <w:rPr>
          <w:spacing w:val="-8"/>
          <w:sz w:val="24"/>
        </w:rPr>
        <w:t xml:space="preserve"> </w:t>
      </w:r>
      <w:r>
        <w:rPr>
          <w:sz w:val="24"/>
        </w:rPr>
        <w:t>fresh</w:t>
      </w:r>
      <w:r>
        <w:rPr>
          <w:spacing w:val="-9"/>
          <w:sz w:val="24"/>
        </w:rPr>
        <w:t xml:space="preserve"> </w:t>
      </w:r>
      <w:r>
        <w:rPr>
          <w:sz w:val="24"/>
        </w:rPr>
        <w:t>grapes</w:t>
      </w:r>
      <w:r>
        <w:rPr>
          <w:spacing w:val="-10"/>
          <w:sz w:val="24"/>
        </w:rPr>
        <w:t xml:space="preserve"> </w:t>
      </w:r>
      <w:r>
        <w:rPr>
          <w:sz w:val="24"/>
        </w:rPr>
        <w:t>or grape juice".</w:t>
      </w:r>
      <w:r>
        <w:rPr>
          <w:sz w:val="24"/>
          <w:vertAlign w:val="superscript"/>
        </w:rPr>
        <w:t>1025</w:t>
      </w:r>
    </w:p>
    <w:p w14:paraId="51DE96E9" w14:textId="77777777" w:rsidR="0010369C" w:rsidRDefault="008E43AE">
      <w:pPr>
        <w:pStyle w:val="ListParagraph"/>
        <w:numPr>
          <w:ilvl w:val="0"/>
          <w:numId w:val="24"/>
        </w:numPr>
        <w:tabs>
          <w:tab w:val="left" w:pos="1939"/>
          <w:tab w:val="left" w:pos="1940"/>
        </w:tabs>
        <w:spacing w:line="357" w:lineRule="auto"/>
        <w:ind w:left="1940" w:right="613"/>
        <w:rPr>
          <w:sz w:val="24"/>
        </w:rPr>
      </w:pPr>
      <w:r>
        <w:rPr>
          <w:sz w:val="24"/>
        </w:rPr>
        <w:t>Confidential</w:t>
      </w:r>
      <w:r>
        <w:rPr>
          <w:spacing w:val="-14"/>
          <w:sz w:val="24"/>
        </w:rPr>
        <w:t xml:space="preserve"> </w:t>
      </w:r>
      <w:r>
        <w:rPr>
          <w:sz w:val="24"/>
        </w:rPr>
        <w:t>treatment</w:t>
      </w:r>
      <w:r>
        <w:rPr>
          <w:spacing w:val="-12"/>
          <w:sz w:val="24"/>
        </w:rPr>
        <w:t xml:space="preserve"> </w:t>
      </w:r>
      <w:r>
        <w:rPr>
          <w:sz w:val="24"/>
        </w:rPr>
        <w:t>covering</w:t>
      </w:r>
      <w:r>
        <w:rPr>
          <w:spacing w:val="-14"/>
          <w:sz w:val="24"/>
        </w:rPr>
        <w:t xml:space="preserve"> </w:t>
      </w:r>
      <w:r>
        <w:rPr>
          <w:sz w:val="24"/>
        </w:rPr>
        <w:t>the</w:t>
      </w:r>
      <w:r>
        <w:rPr>
          <w:spacing w:val="-12"/>
          <w:sz w:val="24"/>
        </w:rPr>
        <w:t xml:space="preserve"> </w:t>
      </w:r>
      <w:r>
        <w:rPr>
          <w:sz w:val="24"/>
        </w:rPr>
        <w:t>entirety</w:t>
      </w:r>
      <w:r>
        <w:rPr>
          <w:spacing w:val="-14"/>
          <w:sz w:val="24"/>
        </w:rPr>
        <w:t xml:space="preserve"> </w:t>
      </w:r>
      <w:r>
        <w:rPr>
          <w:sz w:val="24"/>
        </w:rPr>
        <w:t>of</w:t>
      </w:r>
      <w:r>
        <w:rPr>
          <w:spacing w:val="-12"/>
          <w:sz w:val="24"/>
        </w:rPr>
        <w:t xml:space="preserve"> </w:t>
      </w:r>
      <w:r>
        <w:rPr>
          <w:sz w:val="24"/>
        </w:rPr>
        <w:t>the</w:t>
      </w:r>
      <w:r>
        <w:rPr>
          <w:spacing w:val="-13"/>
          <w:sz w:val="24"/>
        </w:rPr>
        <w:t xml:space="preserve"> </w:t>
      </w:r>
      <w:r>
        <w:rPr>
          <w:sz w:val="24"/>
        </w:rPr>
        <w:t>responses</w:t>
      </w:r>
      <w:r>
        <w:rPr>
          <w:spacing w:val="-14"/>
          <w:sz w:val="24"/>
        </w:rPr>
        <w:t xml:space="preserve"> </w:t>
      </w:r>
      <w:r>
        <w:rPr>
          <w:sz w:val="24"/>
        </w:rPr>
        <w:t>supplied</w:t>
      </w:r>
      <w:r>
        <w:rPr>
          <w:spacing w:val="-12"/>
          <w:sz w:val="24"/>
        </w:rPr>
        <w:t xml:space="preserve"> </w:t>
      </w:r>
      <w:r>
        <w:rPr>
          <w:sz w:val="24"/>
        </w:rPr>
        <w:t>by</w:t>
      </w:r>
      <w:r>
        <w:rPr>
          <w:spacing w:val="-13"/>
          <w:sz w:val="24"/>
        </w:rPr>
        <w:t xml:space="preserve"> </w:t>
      </w:r>
      <w:r>
        <w:rPr>
          <w:i/>
          <w:sz w:val="24"/>
        </w:rPr>
        <w:t xml:space="preserve">all </w:t>
      </w:r>
      <w:r>
        <w:rPr>
          <w:sz w:val="24"/>
        </w:rPr>
        <w:t>domestic producers to question 14 of the Domestic Producer Questionnaire,</w:t>
      </w:r>
      <w:r>
        <w:rPr>
          <w:sz w:val="24"/>
          <w:vertAlign w:val="superscript"/>
        </w:rPr>
        <w:t>1026</w:t>
      </w:r>
      <w:r>
        <w:rPr>
          <w:sz w:val="24"/>
        </w:rPr>
        <w:t xml:space="preserve"> which asked for information concerning the production</w:t>
      </w:r>
    </w:p>
    <w:p w14:paraId="51DE96EA" w14:textId="77777777" w:rsidR="0010369C" w:rsidRDefault="008E43AE">
      <w:pPr>
        <w:pStyle w:val="BodyText"/>
        <w:spacing w:before="9"/>
        <w:rPr>
          <w:sz w:val="27"/>
        </w:rPr>
      </w:pPr>
      <w:r>
        <w:pict w14:anchorId="51DEA72A">
          <v:rect id="docshape1292" o:spid="_x0000_s1149" style="position:absolute;margin-left:70.9pt;margin-top:18.2pt;width:2in;height:.8pt;z-index:-250729984;mso-wrap-distance-left:0;mso-wrap-distance-right:0;mso-position-horizontal-relative:page" fillcolor="black" stroked="f">
            <w10:wrap type="topAndBottom" anchorx="page"/>
          </v:rect>
        </w:pict>
      </w:r>
    </w:p>
    <w:p w14:paraId="51DE96EB" w14:textId="77777777" w:rsidR="0010369C" w:rsidRDefault="008E43AE">
      <w:pPr>
        <w:spacing w:before="144" w:line="182" w:lineRule="auto"/>
        <w:ind w:left="238" w:hanging="1"/>
        <w:rPr>
          <w:sz w:val="18"/>
        </w:rPr>
      </w:pPr>
      <w:r>
        <w:rPr>
          <w:sz w:val="18"/>
          <w:vertAlign w:val="superscript"/>
        </w:rPr>
        <w:t>1022</w:t>
      </w:r>
      <w:r>
        <w:rPr>
          <w:spacing w:val="40"/>
          <w:sz w:val="18"/>
        </w:rPr>
        <w:t xml:space="preserve"> </w:t>
      </w:r>
      <w:r>
        <w:rPr>
          <w:sz w:val="18"/>
        </w:rPr>
        <w:t>Yantai</w:t>
      </w:r>
      <w:r>
        <w:rPr>
          <w:spacing w:val="40"/>
          <w:sz w:val="18"/>
        </w:rPr>
        <w:t xml:space="preserve"> </w:t>
      </w:r>
      <w:r>
        <w:rPr>
          <w:sz w:val="18"/>
        </w:rPr>
        <w:t>Landsun</w:t>
      </w:r>
      <w:r>
        <w:rPr>
          <w:spacing w:val="40"/>
          <w:sz w:val="18"/>
        </w:rPr>
        <w:t xml:space="preserve"> </w:t>
      </w:r>
      <w:r>
        <w:rPr>
          <w:sz w:val="18"/>
        </w:rPr>
        <w:t>Anti‐Dumping</w:t>
      </w:r>
      <w:r>
        <w:rPr>
          <w:spacing w:val="40"/>
          <w:sz w:val="18"/>
        </w:rPr>
        <w:t xml:space="preserve"> </w:t>
      </w:r>
      <w:r>
        <w:rPr>
          <w:sz w:val="18"/>
        </w:rPr>
        <w:t>Questionnaire</w:t>
      </w:r>
      <w:r>
        <w:rPr>
          <w:spacing w:val="40"/>
          <w:sz w:val="18"/>
        </w:rPr>
        <w:t xml:space="preserve"> </w:t>
      </w:r>
      <w:r>
        <w:rPr>
          <w:sz w:val="18"/>
        </w:rPr>
        <w:t>Response</w:t>
      </w:r>
      <w:r>
        <w:rPr>
          <w:spacing w:val="40"/>
          <w:sz w:val="18"/>
        </w:rPr>
        <w:t xml:space="preserve"> </w:t>
      </w:r>
      <w:r>
        <w:rPr>
          <w:sz w:val="18"/>
        </w:rPr>
        <w:t>(Exhibit</w:t>
      </w:r>
      <w:r>
        <w:rPr>
          <w:spacing w:val="40"/>
          <w:sz w:val="18"/>
        </w:rPr>
        <w:t xml:space="preserve"> </w:t>
      </w:r>
      <w:r>
        <w:rPr>
          <w:sz w:val="18"/>
        </w:rPr>
        <w:t>AUS‐52),</w:t>
      </w:r>
      <w:r>
        <w:rPr>
          <w:spacing w:val="40"/>
          <w:sz w:val="18"/>
        </w:rPr>
        <w:t xml:space="preserve"> </w:t>
      </w:r>
      <w:r>
        <w:rPr>
          <w:sz w:val="18"/>
        </w:rPr>
        <w:t>p.</w:t>
      </w:r>
      <w:r>
        <w:rPr>
          <w:spacing w:val="40"/>
          <w:sz w:val="18"/>
        </w:rPr>
        <w:t xml:space="preserve"> </w:t>
      </w:r>
      <w:r>
        <w:rPr>
          <w:sz w:val="18"/>
        </w:rPr>
        <w:t>19,</w:t>
      </w:r>
      <w:r>
        <w:rPr>
          <w:spacing w:val="40"/>
          <w:sz w:val="18"/>
        </w:rPr>
        <w:t xml:space="preserve"> </w:t>
      </w:r>
      <w:r>
        <w:rPr>
          <w:sz w:val="18"/>
        </w:rPr>
        <w:t>Dynasty</w:t>
      </w:r>
      <w:r>
        <w:rPr>
          <w:spacing w:val="40"/>
          <w:sz w:val="18"/>
        </w:rPr>
        <w:t xml:space="preserve"> </w:t>
      </w:r>
      <w:r>
        <w:rPr>
          <w:sz w:val="18"/>
        </w:rPr>
        <w:t>Fine</w:t>
      </w:r>
      <w:r>
        <w:rPr>
          <w:spacing w:val="40"/>
          <w:sz w:val="18"/>
        </w:rPr>
        <w:t xml:space="preserve"> </w:t>
      </w:r>
      <w:r>
        <w:rPr>
          <w:sz w:val="18"/>
        </w:rPr>
        <w:t>Wine</w:t>
      </w:r>
      <w:r>
        <w:rPr>
          <w:spacing w:val="40"/>
          <w:sz w:val="18"/>
        </w:rPr>
        <w:t xml:space="preserve"> </w:t>
      </w:r>
      <w:r>
        <w:rPr>
          <w:sz w:val="18"/>
        </w:rPr>
        <w:t xml:space="preserve">Anti‐Dumping </w:t>
      </w:r>
      <w:r>
        <w:rPr>
          <w:spacing w:val="-2"/>
          <w:sz w:val="18"/>
        </w:rPr>
        <w:t>Questionnaire</w:t>
      </w:r>
      <w:r>
        <w:rPr>
          <w:spacing w:val="4"/>
          <w:sz w:val="18"/>
        </w:rPr>
        <w:t xml:space="preserve"> </w:t>
      </w:r>
      <w:r>
        <w:rPr>
          <w:spacing w:val="-2"/>
          <w:sz w:val="18"/>
        </w:rPr>
        <w:t>Response</w:t>
      </w:r>
      <w:r>
        <w:rPr>
          <w:spacing w:val="3"/>
          <w:sz w:val="18"/>
        </w:rPr>
        <w:t xml:space="preserve"> </w:t>
      </w:r>
      <w:r>
        <w:rPr>
          <w:spacing w:val="-2"/>
          <w:sz w:val="18"/>
        </w:rPr>
        <w:t>(Exhibit</w:t>
      </w:r>
      <w:r>
        <w:rPr>
          <w:spacing w:val="4"/>
          <w:sz w:val="18"/>
        </w:rPr>
        <w:t xml:space="preserve"> </w:t>
      </w:r>
      <w:r>
        <w:rPr>
          <w:spacing w:val="-2"/>
          <w:sz w:val="18"/>
        </w:rPr>
        <w:t>AUS‐55),</w:t>
      </w:r>
      <w:r>
        <w:rPr>
          <w:spacing w:val="3"/>
          <w:sz w:val="18"/>
        </w:rPr>
        <w:t xml:space="preserve"> </w:t>
      </w:r>
      <w:r>
        <w:rPr>
          <w:spacing w:val="-2"/>
          <w:sz w:val="18"/>
        </w:rPr>
        <w:t>p.</w:t>
      </w:r>
      <w:r>
        <w:rPr>
          <w:spacing w:val="4"/>
          <w:sz w:val="18"/>
        </w:rPr>
        <w:t xml:space="preserve"> </w:t>
      </w:r>
      <w:r>
        <w:rPr>
          <w:spacing w:val="-2"/>
          <w:sz w:val="18"/>
        </w:rPr>
        <w:t>19;</w:t>
      </w:r>
      <w:r>
        <w:rPr>
          <w:spacing w:val="1"/>
          <w:sz w:val="18"/>
        </w:rPr>
        <w:t xml:space="preserve"> </w:t>
      </w:r>
      <w:r>
        <w:rPr>
          <w:spacing w:val="-2"/>
          <w:sz w:val="18"/>
        </w:rPr>
        <w:t>Ningxia</w:t>
      </w:r>
      <w:r>
        <w:rPr>
          <w:spacing w:val="3"/>
          <w:sz w:val="18"/>
        </w:rPr>
        <w:t xml:space="preserve"> </w:t>
      </w:r>
      <w:r>
        <w:rPr>
          <w:spacing w:val="-2"/>
          <w:sz w:val="18"/>
        </w:rPr>
        <w:t>Anti‐Dumping</w:t>
      </w:r>
      <w:r>
        <w:rPr>
          <w:spacing w:val="4"/>
          <w:sz w:val="18"/>
        </w:rPr>
        <w:t xml:space="preserve"> </w:t>
      </w:r>
      <w:r>
        <w:rPr>
          <w:spacing w:val="-2"/>
          <w:sz w:val="18"/>
        </w:rPr>
        <w:t>Questionnaire</w:t>
      </w:r>
      <w:r>
        <w:rPr>
          <w:spacing w:val="5"/>
          <w:sz w:val="18"/>
        </w:rPr>
        <w:t xml:space="preserve"> </w:t>
      </w:r>
      <w:r>
        <w:rPr>
          <w:spacing w:val="-2"/>
          <w:sz w:val="18"/>
        </w:rPr>
        <w:t>Resp</w:t>
      </w:r>
      <w:r>
        <w:rPr>
          <w:spacing w:val="-2"/>
          <w:sz w:val="18"/>
        </w:rPr>
        <w:t>onse</w:t>
      </w:r>
      <w:r>
        <w:rPr>
          <w:spacing w:val="1"/>
          <w:sz w:val="18"/>
        </w:rPr>
        <w:t xml:space="preserve"> </w:t>
      </w:r>
      <w:r>
        <w:rPr>
          <w:spacing w:val="-2"/>
          <w:sz w:val="18"/>
        </w:rPr>
        <w:t>(Exhibit</w:t>
      </w:r>
      <w:r>
        <w:rPr>
          <w:spacing w:val="4"/>
          <w:sz w:val="18"/>
        </w:rPr>
        <w:t xml:space="preserve"> </w:t>
      </w:r>
      <w:r>
        <w:rPr>
          <w:spacing w:val="-2"/>
          <w:sz w:val="18"/>
        </w:rPr>
        <w:t>AUS‐57),</w:t>
      </w:r>
      <w:r>
        <w:rPr>
          <w:spacing w:val="3"/>
          <w:sz w:val="18"/>
        </w:rPr>
        <w:t xml:space="preserve"> </w:t>
      </w:r>
      <w:r>
        <w:rPr>
          <w:spacing w:val="-2"/>
          <w:sz w:val="18"/>
        </w:rPr>
        <w:t>p.</w:t>
      </w:r>
      <w:r>
        <w:rPr>
          <w:spacing w:val="2"/>
          <w:sz w:val="18"/>
        </w:rPr>
        <w:t xml:space="preserve"> </w:t>
      </w:r>
      <w:r>
        <w:rPr>
          <w:spacing w:val="-2"/>
          <w:sz w:val="18"/>
        </w:rPr>
        <w:t>19;</w:t>
      </w:r>
      <w:r>
        <w:rPr>
          <w:spacing w:val="3"/>
          <w:sz w:val="18"/>
        </w:rPr>
        <w:t xml:space="preserve"> </w:t>
      </w:r>
      <w:r>
        <w:rPr>
          <w:spacing w:val="-2"/>
          <w:sz w:val="18"/>
        </w:rPr>
        <w:t>Grand</w:t>
      </w:r>
    </w:p>
    <w:p w14:paraId="51DE96EC" w14:textId="77777777" w:rsidR="0010369C" w:rsidRDefault="008E43AE">
      <w:pPr>
        <w:spacing w:before="15" w:line="242" w:lineRule="auto"/>
        <w:ind w:left="237" w:right="611"/>
        <w:rPr>
          <w:sz w:val="18"/>
        </w:rPr>
      </w:pPr>
      <w:r>
        <w:rPr>
          <w:sz w:val="18"/>
        </w:rPr>
        <w:t>Dragon</w:t>
      </w:r>
      <w:r>
        <w:rPr>
          <w:spacing w:val="30"/>
          <w:sz w:val="18"/>
        </w:rPr>
        <w:t xml:space="preserve"> </w:t>
      </w:r>
      <w:r>
        <w:rPr>
          <w:sz w:val="18"/>
        </w:rPr>
        <w:t>Wine</w:t>
      </w:r>
      <w:r>
        <w:rPr>
          <w:spacing w:val="30"/>
          <w:sz w:val="18"/>
        </w:rPr>
        <w:t xml:space="preserve"> </w:t>
      </w:r>
      <w:r>
        <w:rPr>
          <w:sz w:val="18"/>
        </w:rPr>
        <w:t>Questionnaire</w:t>
      </w:r>
      <w:r>
        <w:rPr>
          <w:spacing w:val="30"/>
          <w:sz w:val="18"/>
        </w:rPr>
        <w:t xml:space="preserve"> </w:t>
      </w:r>
      <w:r>
        <w:rPr>
          <w:sz w:val="18"/>
        </w:rPr>
        <w:t>Response</w:t>
      </w:r>
      <w:r>
        <w:rPr>
          <w:spacing w:val="29"/>
          <w:sz w:val="18"/>
        </w:rPr>
        <w:t xml:space="preserve"> </w:t>
      </w:r>
      <w:r>
        <w:rPr>
          <w:sz w:val="18"/>
        </w:rPr>
        <w:t>(Exhibit</w:t>
      </w:r>
      <w:r>
        <w:rPr>
          <w:spacing w:val="32"/>
          <w:sz w:val="18"/>
        </w:rPr>
        <w:t xml:space="preserve"> </w:t>
      </w:r>
      <w:r>
        <w:rPr>
          <w:sz w:val="18"/>
        </w:rPr>
        <w:t>AUS‐51),</w:t>
      </w:r>
      <w:r>
        <w:rPr>
          <w:spacing w:val="30"/>
          <w:sz w:val="18"/>
        </w:rPr>
        <w:t xml:space="preserve"> </w:t>
      </w:r>
      <w:r>
        <w:rPr>
          <w:sz w:val="18"/>
        </w:rPr>
        <w:t>p.</w:t>
      </w:r>
      <w:r>
        <w:rPr>
          <w:spacing w:val="31"/>
          <w:sz w:val="18"/>
        </w:rPr>
        <w:t xml:space="preserve"> </w:t>
      </w:r>
      <w:r>
        <w:rPr>
          <w:sz w:val="18"/>
        </w:rPr>
        <w:t>21;</w:t>
      </w:r>
      <w:r>
        <w:rPr>
          <w:spacing w:val="30"/>
          <w:sz w:val="18"/>
        </w:rPr>
        <w:t xml:space="preserve"> </w:t>
      </w:r>
      <w:r>
        <w:rPr>
          <w:sz w:val="18"/>
        </w:rPr>
        <w:t>Tonghua</w:t>
      </w:r>
      <w:r>
        <w:rPr>
          <w:spacing w:val="31"/>
          <w:sz w:val="18"/>
        </w:rPr>
        <w:t xml:space="preserve"> </w:t>
      </w:r>
      <w:r>
        <w:rPr>
          <w:sz w:val="18"/>
        </w:rPr>
        <w:t>Tontine</w:t>
      </w:r>
      <w:r>
        <w:rPr>
          <w:spacing w:val="30"/>
          <w:sz w:val="18"/>
        </w:rPr>
        <w:t xml:space="preserve"> </w:t>
      </w:r>
      <w:r>
        <w:rPr>
          <w:sz w:val="18"/>
        </w:rPr>
        <w:t>Anti‐Dumping</w:t>
      </w:r>
      <w:r>
        <w:rPr>
          <w:spacing w:val="30"/>
          <w:sz w:val="18"/>
        </w:rPr>
        <w:t xml:space="preserve"> </w:t>
      </w:r>
      <w:r>
        <w:rPr>
          <w:sz w:val="18"/>
        </w:rPr>
        <w:t>Questionnaire</w:t>
      </w:r>
      <w:r>
        <w:rPr>
          <w:spacing w:val="30"/>
          <w:sz w:val="18"/>
        </w:rPr>
        <w:t xml:space="preserve"> </w:t>
      </w:r>
      <w:r>
        <w:rPr>
          <w:sz w:val="18"/>
        </w:rPr>
        <w:t>Response (Exhibit AUS‐50), p. 12; Xinjiang</w:t>
      </w:r>
      <w:r>
        <w:rPr>
          <w:spacing w:val="-12"/>
          <w:sz w:val="18"/>
        </w:rPr>
        <w:t xml:space="preserve"> </w:t>
      </w:r>
      <w:r>
        <w:rPr>
          <w:sz w:val="18"/>
        </w:rPr>
        <w:t>Sunyard Wine Anti‐Dumping Questionnaire Response (Exhibit AUS‐49), p. 19; Chateau Junding</w:t>
      </w:r>
      <w:r>
        <w:rPr>
          <w:spacing w:val="30"/>
          <w:sz w:val="18"/>
        </w:rPr>
        <w:t xml:space="preserve"> </w:t>
      </w:r>
      <w:r>
        <w:rPr>
          <w:sz w:val="18"/>
        </w:rPr>
        <w:t>Anti‐Dumping</w:t>
      </w:r>
      <w:r>
        <w:rPr>
          <w:spacing w:val="30"/>
          <w:sz w:val="18"/>
        </w:rPr>
        <w:t xml:space="preserve"> </w:t>
      </w:r>
      <w:r>
        <w:rPr>
          <w:sz w:val="18"/>
        </w:rPr>
        <w:t>Questionnaire</w:t>
      </w:r>
      <w:r>
        <w:rPr>
          <w:spacing w:val="30"/>
          <w:sz w:val="18"/>
        </w:rPr>
        <w:t xml:space="preserve"> </w:t>
      </w:r>
      <w:r>
        <w:rPr>
          <w:sz w:val="18"/>
        </w:rPr>
        <w:t>Response</w:t>
      </w:r>
      <w:r>
        <w:rPr>
          <w:spacing w:val="29"/>
          <w:sz w:val="18"/>
        </w:rPr>
        <w:t xml:space="preserve"> </w:t>
      </w:r>
      <w:r>
        <w:rPr>
          <w:sz w:val="18"/>
        </w:rPr>
        <w:t>(Exhibit</w:t>
      </w:r>
      <w:r>
        <w:rPr>
          <w:spacing w:val="30"/>
          <w:sz w:val="18"/>
        </w:rPr>
        <w:t xml:space="preserve"> </w:t>
      </w:r>
      <w:r>
        <w:rPr>
          <w:sz w:val="18"/>
        </w:rPr>
        <w:t>AUS‐48),</w:t>
      </w:r>
      <w:r>
        <w:rPr>
          <w:spacing w:val="30"/>
          <w:sz w:val="18"/>
        </w:rPr>
        <w:t xml:space="preserve"> </w:t>
      </w:r>
      <w:r>
        <w:rPr>
          <w:sz w:val="18"/>
        </w:rPr>
        <w:t>p.</w:t>
      </w:r>
      <w:r>
        <w:rPr>
          <w:spacing w:val="31"/>
          <w:sz w:val="18"/>
        </w:rPr>
        <w:t xml:space="preserve"> </w:t>
      </w:r>
      <w:r>
        <w:rPr>
          <w:sz w:val="18"/>
        </w:rPr>
        <w:t>20;</w:t>
      </w:r>
      <w:r>
        <w:rPr>
          <w:spacing w:val="30"/>
          <w:sz w:val="18"/>
        </w:rPr>
        <w:t xml:space="preserve"> </w:t>
      </w:r>
      <w:r>
        <w:rPr>
          <w:sz w:val="18"/>
        </w:rPr>
        <w:t>CITIC</w:t>
      </w:r>
      <w:r>
        <w:rPr>
          <w:spacing w:val="31"/>
          <w:sz w:val="18"/>
        </w:rPr>
        <w:t xml:space="preserve"> </w:t>
      </w:r>
      <w:r>
        <w:rPr>
          <w:sz w:val="18"/>
        </w:rPr>
        <w:t>Guoan</w:t>
      </w:r>
      <w:r>
        <w:rPr>
          <w:spacing w:val="32"/>
          <w:sz w:val="18"/>
        </w:rPr>
        <w:t xml:space="preserve"> </w:t>
      </w:r>
      <w:r>
        <w:rPr>
          <w:sz w:val="18"/>
        </w:rPr>
        <w:t>Wine</w:t>
      </w:r>
      <w:r>
        <w:rPr>
          <w:spacing w:val="30"/>
          <w:sz w:val="18"/>
        </w:rPr>
        <w:t xml:space="preserve"> </w:t>
      </w:r>
      <w:r>
        <w:rPr>
          <w:sz w:val="18"/>
        </w:rPr>
        <w:t>Anti‐Dumping</w:t>
      </w:r>
      <w:r>
        <w:rPr>
          <w:spacing w:val="30"/>
          <w:sz w:val="18"/>
        </w:rPr>
        <w:t xml:space="preserve"> </w:t>
      </w:r>
      <w:r>
        <w:rPr>
          <w:sz w:val="18"/>
        </w:rPr>
        <w:t>Questionnaire Response (Exhibit AUS‐47), pp. 16, 17, 19; Yunan Gaoyuan Wine</w:t>
      </w:r>
      <w:r>
        <w:rPr>
          <w:sz w:val="18"/>
        </w:rPr>
        <w:t xml:space="preserve"> Anti‐Dumping Questionnaire Response (Exhibit AUS‐46), p. 18; Xinjiang West Region Pearl Winery Anti‐dumping Questionnaire Response (Exhibit AUS‐45), p. 18; Tonghua Winery Anti‐ Dumping</w:t>
      </w:r>
      <w:r>
        <w:rPr>
          <w:spacing w:val="33"/>
          <w:sz w:val="18"/>
        </w:rPr>
        <w:t xml:space="preserve"> </w:t>
      </w:r>
      <w:r>
        <w:rPr>
          <w:sz w:val="18"/>
        </w:rPr>
        <w:t>Questionnaire</w:t>
      </w:r>
      <w:r>
        <w:rPr>
          <w:spacing w:val="33"/>
          <w:sz w:val="18"/>
        </w:rPr>
        <w:t xml:space="preserve"> </w:t>
      </w:r>
      <w:r>
        <w:rPr>
          <w:sz w:val="18"/>
        </w:rPr>
        <w:t>Response</w:t>
      </w:r>
      <w:r>
        <w:rPr>
          <w:spacing w:val="34"/>
          <w:sz w:val="18"/>
        </w:rPr>
        <w:t xml:space="preserve"> </w:t>
      </w:r>
      <w:r>
        <w:rPr>
          <w:sz w:val="18"/>
        </w:rPr>
        <w:t>(Exhibit</w:t>
      </w:r>
      <w:r>
        <w:rPr>
          <w:spacing w:val="33"/>
          <w:sz w:val="18"/>
        </w:rPr>
        <w:t xml:space="preserve"> </w:t>
      </w:r>
      <w:r>
        <w:rPr>
          <w:sz w:val="18"/>
        </w:rPr>
        <w:t>AUS‐43),</w:t>
      </w:r>
      <w:r>
        <w:rPr>
          <w:spacing w:val="33"/>
          <w:sz w:val="18"/>
        </w:rPr>
        <w:t xml:space="preserve"> </w:t>
      </w:r>
      <w:r>
        <w:rPr>
          <w:sz w:val="18"/>
        </w:rPr>
        <w:t>p.20;</w:t>
      </w:r>
      <w:r>
        <w:rPr>
          <w:spacing w:val="34"/>
          <w:sz w:val="18"/>
        </w:rPr>
        <w:t xml:space="preserve"> </w:t>
      </w:r>
      <w:r>
        <w:rPr>
          <w:sz w:val="18"/>
        </w:rPr>
        <w:t>Shanxi</w:t>
      </w:r>
      <w:r>
        <w:rPr>
          <w:spacing w:val="34"/>
          <w:sz w:val="18"/>
        </w:rPr>
        <w:t xml:space="preserve"> </w:t>
      </w:r>
      <w:r>
        <w:rPr>
          <w:sz w:val="18"/>
        </w:rPr>
        <w:t>Rongzi</w:t>
      </w:r>
      <w:r>
        <w:rPr>
          <w:spacing w:val="36"/>
          <w:sz w:val="18"/>
        </w:rPr>
        <w:t xml:space="preserve"> </w:t>
      </w:r>
      <w:r>
        <w:rPr>
          <w:sz w:val="18"/>
        </w:rPr>
        <w:t>Winery</w:t>
      </w:r>
      <w:r>
        <w:rPr>
          <w:spacing w:val="33"/>
          <w:sz w:val="18"/>
        </w:rPr>
        <w:t xml:space="preserve"> </w:t>
      </w:r>
      <w:r>
        <w:rPr>
          <w:sz w:val="18"/>
        </w:rPr>
        <w:t>Anti‐Dumping</w:t>
      </w:r>
      <w:r>
        <w:rPr>
          <w:spacing w:val="33"/>
          <w:sz w:val="18"/>
        </w:rPr>
        <w:t xml:space="preserve"> </w:t>
      </w:r>
      <w:r>
        <w:rPr>
          <w:sz w:val="18"/>
        </w:rPr>
        <w:t>Questionnaire</w:t>
      </w:r>
      <w:r>
        <w:rPr>
          <w:spacing w:val="33"/>
          <w:sz w:val="18"/>
        </w:rPr>
        <w:t xml:space="preserve"> </w:t>
      </w:r>
      <w:r>
        <w:rPr>
          <w:sz w:val="18"/>
        </w:rPr>
        <w:t>Response (Exhibit AUS‐63), p. 19; Shangri‐La Wine Anti‐Dumping Questionnaire Response (Exhibit AUS‐62), p. 19; Qingdao Huadong Winery</w:t>
      </w:r>
      <w:r>
        <w:rPr>
          <w:spacing w:val="80"/>
          <w:sz w:val="18"/>
        </w:rPr>
        <w:t xml:space="preserve"> </w:t>
      </w:r>
      <w:r>
        <w:rPr>
          <w:sz w:val="18"/>
        </w:rPr>
        <w:t>Anti‐Dumping</w:t>
      </w:r>
      <w:r>
        <w:rPr>
          <w:spacing w:val="80"/>
          <w:sz w:val="18"/>
        </w:rPr>
        <w:t xml:space="preserve"> </w:t>
      </w:r>
      <w:r>
        <w:rPr>
          <w:sz w:val="18"/>
        </w:rPr>
        <w:t>Questionnaire</w:t>
      </w:r>
      <w:r>
        <w:rPr>
          <w:spacing w:val="80"/>
          <w:sz w:val="18"/>
        </w:rPr>
        <w:t xml:space="preserve"> </w:t>
      </w:r>
      <w:r>
        <w:rPr>
          <w:sz w:val="18"/>
        </w:rPr>
        <w:t>Response</w:t>
      </w:r>
      <w:r>
        <w:rPr>
          <w:spacing w:val="80"/>
          <w:sz w:val="18"/>
        </w:rPr>
        <w:t xml:space="preserve"> </w:t>
      </w:r>
      <w:r>
        <w:rPr>
          <w:sz w:val="18"/>
        </w:rPr>
        <w:t>(Exhibit</w:t>
      </w:r>
      <w:r>
        <w:rPr>
          <w:spacing w:val="80"/>
          <w:sz w:val="18"/>
        </w:rPr>
        <w:t xml:space="preserve"> </w:t>
      </w:r>
      <w:r>
        <w:rPr>
          <w:sz w:val="18"/>
        </w:rPr>
        <w:t>AUS‐61),</w:t>
      </w:r>
      <w:r>
        <w:rPr>
          <w:spacing w:val="80"/>
          <w:sz w:val="18"/>
        </w:rPr>
        <w:t xml:space="preserve"> </w:t>
      </w:r>
      <w:r>
        <w:rPr>
          <w:sz w:val="18"/>
        </w:rPr>
        <w:t>p.19;</w:t>
      </w:r>
      <w:r>
        <w:rPr>
          <w:spacing w:val="80"/>
          <w:sz w:val="18"/>
        </w:rPr>
        <w:t xml:space="preserve"> </w:t>
      </w:r>
      <w:r>
        <w:rPr>
          <w:sz w:val="18"/>
        </w:rPr>
        <w:t>Kweichow</w:t>
      </w:r>
      <w:r>
        <w:rPr>
          <w:spacing w:val="80"/>
          <w:sz w:val="18"/>
        </w:rPr>
        <w:t xml:space="preserve"> </w:t>
      </w:r>
      <w:r>
        <w:rPr>
          <w:sz w:val="18"/>
        </w:rPr>
        <w:t>Moutai</w:t>
      </w:r>
      <w:r>
        <w:rPr>
          <w:spacing w:val="80"/>
          <w:sz w:val="18"/>
        </w:rPr>
        <w:t xml:space="preserve"> </w:t>
      </w:r>
      <w:r>
        <w:rPr>
          <w:sz w:val="18"/>
        </w:rPr>
        <w:t>Distillery</w:t>
      </w:r>
      <w:r>
        <w:rPr>
          <w:spacing w:val="80"/>
          <w:sz w:val="18"/>
        </w:rPr>
        <w:t xml:space="preserve"> </w:t>
      </w:r>
      <w:r>
        <w:rPr>
          <w:sz w:val="18"/>
        </w:rPr>
        <w:t>A</w:t>
      </w:r>
      <w:r>
        <w:rPr>
          <w:sz w:val="18"/>
        </w:rPr>
        <w:t>nti‐Dumping Questionnaire</w:t>
      </w:r>
      <w:r>
        <w:rPr>
          <w:spacing w:val="-7"/>
          <w:sz w:val="18"/>
        </w:rPr>
        <w:t xml:space="preserve"> </w:t>
      </w:r>
      <w:r>
        <w:rPr>
          <w:sz w:val="18"/>
        </w:rPr>
        <w:t>Response</w:t>
      </w:r>
      <w:r>
        <w:rPr>
          <w:spacing w:val="-5"/>
          <w:sz w:val="18"/>
        </w:rPr>
        <w:t xml:space="preserve"> </w:t>
      </w:r>
      <w:r>
        <w:rPr>
          <w:sz w:val="18"/>
        </w:rPr>
        <w:t>(Exhibit</w:t>
      </w:r>
      <w:r>
        <w:rPr>
          <w:spacing w:val="-6"/>
          <w:sz w:val="18"/>
        </w:rPr>
        <w:t xml:space="preserve"> </w:t>
      </w:r>
      <w:r>
        <w:rPr>
          <w:sz w:val="18"/>
        </w:rPr>
        <w:t>AUS‐60),</w:t>
      </w:r>
      <w:r>
        <w:rPr>
          <w:spacing w:val="-7"/>
          <w:sz w:val="18"/>
        </w:rPr>
        <w:t xml:space="preserve"> </w:t>
      </w:r>
      <w:r>
        <w:rPr>
          <w:sz w:val="18"/>
        </w:rPr>
        <w:t>p.</w:t>
      </w:r>
      <w:r>
        <w:rPr>
          <w:spacing w:val="-6"/>
          <w:sz w:val="18"/>
        </w:rPr>
        <w:t xml:space="preserve"> </w:t>
      </w:r>
      <w:r>
        <w:rPr>
          <w:sz w:val="18"/>
        </w:rPr>
        <w:t>20;</w:t>
      </w:r>
      <w:r>
        <w:rPr>
          <w:spacing w:val="-6"/>
          <w:sz w:val="18"/>
        </w:rPr>
        <w:t xml:space="preserve"> </w:t>
      </w:r>
      <w:r>
        <w:rPr>
          <w:sz w:val="18"/>
        </w:rPr>
        <w:t>Gansu</w:t>
      </w:r>
      <w:r>
        <w:rPr>
          <w:spacing w:val="-7"/>
          <w:sz w:val="18"/>
        </w:rPr>
        <w:t xml:space="preserve"> </w:t>
      </w:r>
      <w:r>
        <w:rPr>
          <w:sz w:val="18"/>
        </w:rPr>
        <w:t>Zixuan</w:t>
      </w:r>
      <w:r>
        <w:rPr>
          <w:spacing w:val="-6"/>
          <w:sz w:val="18"/>
        </w:rPr>
        <w:t xml:space="preserve"> </w:t>
      </w:r>
      <w:r>
        <w:rPr>
          <w:sz w:val="18"/>
        </w:rPr>
        <w:t>Wine</w:t>
      </w:r>
      <w:r>
        <w:rPr>
          <w:spacing w:val="-6"/>
          <w:sz w:val="18"/>
        </w:rPr>
        <w:t xml:space="preserve"> </w:t>
      </w:r>
      <w:r>
        <w:rPr>
          <w:sz w:val="18"/>
        </w:rPr>
        <w:t>Anti‐Dumping</w:t>
      </w:r>
      <w:r>
        <w:rPr>
          <w:spacing w:val="-7"/>
          <w:sz w:val="18"/>
        </w:rPr>
        <w:t xml:space="preserve"> </w:t>
      </w:r>
      <w:r>
        <w:rPr>
          <w:sz w:val="18"/>
        </w:rPr>
        <w:t>Questionnaire</w:t>
      </w:r>
      <w:r>
        <w:rPr>
          <w:spacing w:val="-6"/>
          <w:sz w:val="18"/>
        </w:rPr>
        <w:t xml:space="preserve"> </w:t>
      </w:r>
      <w:r>
        <w:rPr>
          <w:sz w:val="18"/>
        </w:rPr>
        <w:t>Response</w:t>
      </w:r>
      <w:r>
        <w:rPr>
          <w:spacing w:val="-7"/>
          <w:sz w:val="18"/>
        </w:rPr>
        <w:t xml:space="preserve"> </w:t>
      </w:r>
      <w:r>
        <w:rPr>
          <w:sz w:val="18"/>
        </w:rPr>
        <w:t>(Exhibit</w:t>
      </w:r>
      <w:r>
        <w:rPr>
          <w:spacing w:val="-5"/>
          <w:sz w:val="18"/>
        </w:rPr>
        <w:t xml:space="preserve"> </w:t>
      </w:r>
      <w:r>
        <w:rPr>
          <w:spacing w:val="-2"/>
          <w:sz w:val="18"/>
        </w:rPr>
        <w:t>AUS‐59),</w:t>
      </w:r>
    </w:p>
    <w:p w14:paraId="51DE96ED" w14:textId="77777777" w:rsidR="0010369C" w:rsidRDefault="008E43AE">
      <w:pPr>
        <w:spacing w:line="242" w:lineRule="auto"/>
        <w:ind w:left="238" w:right="611"/>
        <w:jc w:val="both"/>
        <w:rPr>
          <w:sz w:val="18"/>
        </w:rPr>
      </w:pPr>
      <w:r>
        <w:rPr>
          <w:sz w:val="18"/>
        </w:rPr>
        <w:t>p.</w:t>
      </w:r>
      <w:r>
        <w:rPr>
          <w:spacing w:val="-6"/>
          <w:sz w:val="18"/>
        </w:rPr>
        <w:t xml:space="preserve"> </w:t>
      </w:r>
      <w:r>
        <w:rPr>
          <w:sz w:val="18"/>
        </w:rPr>
        <w:t>18;</w:t>
      </w:r>
      <w:r>
        <w:rPr>
          <w:spacing w:val="-6"/>
          <w:sz w:val="18"/>
        </w:rPr>
        <w:t xml:space="preserve"> </w:t>
      </w:r>
      <w:r>
        <w:rPr>
          <w:sz w:val="18"/>
        </w:rPr>
        <w:t>Gansu</w:t>
      </w:r>
      <w:r>
        <w:rPr>
          <w:spacing w:val="-6"/>
          <w:sz w:val="18"/>
        </w:rPr>
        <w:t xml:space="preserve"> </w:t>
      </w:r>
      <w:r>
        <w:rPr>
          <w:sz w:val="18"/>
        </w:rPr>
        <w:t>Mogao</w:t>
      </w:r>
      <w:r>
        <w:rPr>
          <w:spacing w:val="-6"/>
          <w:sz w:val="18"/>
        </w:rPr>
        <w:t xml:space="preserve"> </w:t>
      </w:r>
      <w:r>
        <w:rPr>
          <w:sz w:val="18"/>
        </w:rPr>
        <w:t>Industrial</w:t>
      </w:r>
      <w:r>
        <w:rPr>
          <w:spacing w:val="-6"/>
          <w:sz w:val="18"/>
        </w:rPr>
        <w:t xml:space="preserve"> </w:t>
      </w:r>
      <w:r>
        <w:rPr>
          <w:sz w:val="18"/>
        </w:rPr>
        <w:t>Development</w:t>
      </w:r>
      <w:r>
        <w:rPr>
          <w:spacing w:val="-6"/>
          <w:sz w:val="18"/>
        </w:rPr>
        <w:t xml:space="preserve"> </w:t>
      </w:r>
      <w:r>
        <w:rPr>
          <w:sz w:val="18"/>
        </w:rPr>
        <w:t>Anti‐Dumping</w:t>
      </w:r>
      <w:r>
        <w:rPr>
          <w:spacing w:val="-5"/>
          <w:sz w:val="18"/>
        </w:rPr>
        <w:t xml:space="preserve"> </w:t>
      </w:r>
      <w:r>
        <w:rPr>
          <w:sz w:val="18"/>
        </w:rPr>
        <w:t>Questionnaire</w:t>
      </w:r>
      <w:r>
        <w:rPr>
          <w:spacing w:val="-5"/>
          <w:sz w:val="18"/>
        </w:rPr>
        <w:t xml:space="preserve"> </w:t>
      </w:r>
      <w:r>
        <w:rPr>
          <w:sz w:val="18"/>
        </w:rPr>
        <w:t>Response</w:t>
      </w:r>
      <w:r>
        <w:rPr>
          <w:spacing w:val="-6"/>
          <w:sz w:val="18"/>
        </w:rPr>
        <w:t xml:space="preserve"> </w:t>
      </w:r>
      <w:r>
        <w:rPr>
          <w:sz w:val="18"/>
        </w:rPr>
        <w:t>(Exhibit</w:t>
      </w:r>
      <w:r>
        <w:rPr>
          <w:spacing w:val="-5"/>
          <w:sz w:val="18"/>
        </w:rPr>
        <w:t xml:space="preserve"> </w:t>
      </w:r>
      <w:r>
        <w:rPr>
          <w:sz w:val="18"/>
        </w:rPr>
        <w:t>AUS‐58),</w:t>
      </w:r>
      <w:r>
        <w:rPr>
          <w:spacing w:val="-7"/>
          <w:sz w:val="18"/>
        </w:rPr>
        <w:t xml:space="preserve"> </w:t>
      </w:r>
      <w:r>
        <w:rPr>
          <w:sz w:val="18"/>
        </w:rPr>
        <w:t>p.</w:t>
      </w:r>
      <w:r>
        <w:rPr>
          <w:spacing w:val="-6"/>
          <w:sz w:val="18"/>
        </w:rPr>
        <w:t xml:space="preserve"> </w:t>
      </w:r>
      <w:r>
        <w:rPr>
          <w:sz w:val="18"/>
        </w:rPr>
        <w:t>20;</w:t>
      </w:r>
      <w:r>
        <w:rPr>
          <w:spacing w:val="-6"/>
          <w:sz w:val="18"/>
        </w:rPr>
        <w:t xml:space="preserve"> </w:t>
      </w:r>
      <w:r>
        <w:rPr>
          <w:sz w:val="18"/>
        </w:rPr>
        <w:t>Beijing</w:t>
      </w:r>
      <w:r>
        <w:rPr>
          <w:spacing w:val="-5"/>
          <w:sz w:val="18"/>
        </w:rPr>
        <w:t xml:space="preserve"> </w:t>
      </w:r>
      <w:r>
        <w:rPr>
          <w:sz w:val="18"/>
        </w:rPr>
        <w:t>Fengshou Wine Anti‐Dumping Questionnaire Response</w:t>
      </w:r>
      <w:r>
        <w:rPr>
          <w:spacing w:val="40"/>
          <w:sz w:val="18"/>
        </w:rPr>
        <w:t xml:space="preserve"> </w:t>
      </w:r>
      <w:r>
        <w:rPr>
          <w:sz w:val="18"/>
        </w:rPr>
        <w:t>(Exhibit AUS‐56), p. 19; Turpan Louland Wine Anti‐Dumping Questionnaire Response (Exhibit AUS‐54), p. 19; and COFCO Anti‐Dumping Questionnaire Response (Exhibit AUS‐44), p. 19.</w:t>
      </w:r>
    </w:p>
    <w:p w14:paraId="51DE96EE" w14:textId="77777777" w:rsidR="0010369C" w:rsidRDefault="008E43AE">
      <w:pPr>
        <w:spacing w:before="95" w:line="182" w:lineRule="auto"/>
        <w:ind w:left="238" w:right="612" w:hanging="1"/>
        <w:jc w:val="both"/>
        <w:rPr>
          <w:sz w:val="18"/>
        </w:rPr>
      </w:pPr>
      <w:r>
        <w:rPr>
          <w:sz w:val="18"/>
          <w:vertAlign w:val="superscript"/>
        </w:rPr>
        <w:t>1023</w:t>
      </w:r>
      <w:r>
        <w:rPr>
          <w:spacing w:val="-9"/>
          <w:sz w:val="18"/>
        </w:rPr>
        <w:t xml:space="preserve"> </w:t>
      </w:r>
      <w:r>
        <w:rPr>
          <w:sz w:val="18"/>
        </w:rPr>
        <w:t>See</w:t>
      </w:r>
      <w:r>
        <w:rPr>
          <w:spacing w:val="-9"/>
          <w:sz w:val="18"/>
        </w:rPr>
        <w:t xml:space="preserve"> </w:t>
      </w:r>
      <w:r>
        <w:rPr>
          <w:sz w:val="18"/>
        </w:rPr>
        <w:t>for</w:t>
      </w:r>
      <w:r>
        <w:rPr>
          <w:spacing w:val="-10"/>
          <w:sz w:val="18"/>
        </w:rPr>
        <w:t xml:space="preserve"> </w:t>
      </w:r>
      <w:r>
        <w:rPr>
          <w:sz w:val="18"/>
        </w:rPr>
        <w:t>example,</w:t>
      </w:r>
      <w:r>
        <w:rPr>
          <w:spacing w:val="-11"/>
          <w:sz w:val="18"/>
        </w:rPr>
        <w:t xml:space="preserve"> </w:t>
      </w:r>
      <w:r>
        <w:rPr>
          <w:sz w:val="18"/>
        </w:rPr>
        <w:t>Changyu</w:t>
      </w:r>
      <w:r>
        <w:rPr>
          <w:spacing w:val="-8"/>
          <w:sz w:val="18"/>
        </w:rPr>
        <w:t xml:space="preserve"> </w:t>
      </w:r>
      <w:r>
        <w:rPr>
          <w:sz w:val="18"/>
        </w:rPr>
        <w:t>Wines</w:t>
      </w:r>
      <w:r>
        <w:rPr>
          <w:spacing w:val="-10"/>
          <w:sz w:val="18"/>
        </w:rPr>
        <w:t xml:space="preserve"> </w:t>
      </w:r>
      <w:r>
        <w:rPr>
          <w:sz w:val="18"/>
        </w:rPr>
        <w:t>Anti‐Dumping</w:t>
      </w:r>
      <w:r>
        <w:rPr>
          <w:spacing w:val="-9"/>
          <w:sz w:val="18"/>
        </w:rPr>
        <w:t xml:space="preserve"> </w:t>
      </w:r>
      <w:r>
        <w:rPr>
          <w:sz w:val="18"/>
        </w:rPr>
        <w:t>Questionnaire</w:t>
      </w:r>
      <w:r>
        <w:rPr>
          <w:spacing w:val="-9"/>
          <w:sz w:val="18"/>
        </w:rPr>
        <w:t xml:space="preserve"> </w:t>
      </w:r>
      <w:r>
        <w:rPr>
          <w:sz w:val="18"/>
        </w:rPr>
        <w:t>Response</w:t>
      </w:r>
      <w:r>
        <w:rPr>
          <w:spacing w:val="-9"/>
          <w:sz w:val="18"/>
        </w:rPr>
        <w:t xml:space="preserve"> </w:t>
      </w:r>
      <w:r>
        <w:rPr>
          <w:sz w:val="18"/>
        </w:rPr>
        <w:t>(Exhibit</w:t>
      </w:r>
      <w:r>
        <w:rPr>
          <w:spacing w:val="-9"/>
          <w:sz w:val="18"/>
        </w:rPr>
        <w:t xml:space="preserve"> </w:t>
      </w:r>
      <w:r>
        <w:rPr>
          <w:sz w:val="18"/>
        </w:rPr>
        <w:t>AUS‐53),</w:t>
      </w:r>
      <w:r>
        <w:rPr>
          <w:spacing w:val="-10"/>
          <w:sz w:val="18"/>
        </w:rPr>
        <w:t xml:space="preserve"> </w:t>
      </w:r>
      <w:r>
        <w:rPr>
          <w:sz w:val="18"/>
        </w:rPr>
        <w:t>p.</w:t>
      </w:r>
      <w:r>
        <w:rPr>
          <w:spacing w:val="-9"/>
          <w:sz w:val="18"/>
        </w:rPr>
        <w:t xml:space="preserve"> </w:t>
      </w:r>
      <w:r>
        <w:rPr>
          <w:sz w:val="18"/>
        </w:rPr>
        <w:t>20</w:t>
      </w:r>
      <w:r>
        <w:rPr>
          <w:spacing w:val="-10"/>
          <w:sz w:val="18"/>
        </w:rPr>
        <w:t xml:space="preserve"> </w:t>
      </w:r>
      <w:r>
        <w:rPr>
          <w:sz w:val="18"/>
        </w:rPr>
        <w:t>and</w:t>
      </w:r>
      <w:r>
        <w:rPr>
          <w:spacing w:val="-9"/>
          <w:sz w:val="18"/>
        </w:rPr>
        <w:t xml:space="preserve"> </w:t>
      </w:r>
      <w:r>
        <w:rPr>
          <w:sz w:val="18"/>
        </w:rPr>
        <w:t>COFCO</w:t>
      </w:r>
      <w:r>
        <w:rPr>
          <w:spacing w:val="-10"/>
          <w:sz w:val="18"/>
        </w:rPr>
        <w:t xml:space="preserve"> </w:t>
      </w:r>
      <w:r>
        <w:rPr>
          <w:sz w:val="18"/>
        </w:rPr>
        <w:t>Anti‐Dumping Questionnaire Response (Exhibit AUS‐44), p. 19.</w:t>
      </w:r>
    </w:p>
    <w:p w14:paraId="51DE96EF" w14:textId="77777777" w:rsidR="0010369C" w:rsidRDefault="008E43AE">
      <w:pPr>
        <w:spacing w:before="109" w:line="182" w:lineRule="auto"/>
        <w:ind w:left="238" w:right="612" w:hanging="1"/>
        <w:jc w:val="both"/>
        <w:rPr>
          <w:sz w:val="18"/>
        </w:rPr>
      </w:pPr>
      <w:r>
        <w:rPr>
          <w:sz w:val="18"/>
          <w:vertAlign w:val="superscript"/>
        </w:rPr>
        <w:t>1024</w:t>
      </w:r>
      <w:r>
        <w:rPr>
          <w:spacing w:val="-6"/>
          <w:sz w:val="18"/>
        </w:rPr>
        <w:t xml:space="preserve"> </w:t>
      </w:r>
      <w:r>
        <w:rPr>
          <w:sz w:val="18"/>
        </w:rPr>
        <w:t>See</w:t>
      </w:r>
      <w:r>
        <w:rPr>
          <w:spacing w:val="-5"/>
          <w:sz w:val="18"/>
        </w:rPr>
        <w:t xml:space="preserve"> </w:t>
      </w:r>
      <w:r>
        <w:rPr>
          <w:sz w:val="18"/>
        </w:rPr>
        <w:t>for</w:t>
      </w:r>
      <w:r>
        <w:rPr>
          <w:spacing w:val="-7"/>
          <w:sz w:val="18"/>
        </w:rPr>
        <w:t xml:space="preserve"> </w:t>
      </w:r>
      <w:r>
        <w:rPr>
          <w:sz w:val="18"/>
        </w:rPr>
        <w:t>example,</w:t>
      </w:r>
      <w:r>
        <w:rPr>
          <w:spacing w:val="-7"/>
          <w:sz w:val="18"/>
        </w:rPr>
        <w:t xml:space="preserve"> </w:t>
      </w:r>
      <w:r>
        <w:rPr>
          <w:sz w:val="18"/>
        </w:rPr>
        <w:t>Changyu</w:t>
      </w:r>
      <w:r>
        <w:rPr>
          <w:spacing w:val="-5"/>
          <w:sz w:val="18"/>
        </w:rPr>
        <w:t xml:space="preserve"> </w:t>
      </w:r>
      <w:r>
        <w:rPr>
          <w:sz w:val="18"/>
        </w:rPr>
        <w:t>Wines</w:t>
      </w:r>
      <w:r>
        <w:rPr>
          <w:spacing w:val="-7"/>
          <w:sz w:val="18"/>
        </w:rPr>
        <w:t xml:space="preserve"> </w:t>
      </w:r>
      <w:r>
        <w:rPr>
          <w:sz w:val="18"/>
        </w:rPr>
        <w:t>Anti‐Dumping</w:t>
      </w:r>
      <w:r>
        <w:rPr>
          <w:spacing w:val="-6"/>
          <w:sz w:val="18"/>
        </w:rPr>
        <w:t xml:space="preserve"> </w:t>
      </w:r>
      <w:r>
        <w:rPr>
          <w:sz w:val="18"/>
        </w:rPr>
        <w:t>Questionnaire</w:t>
      </w:r>
      <w:r>
        <w:rPr>
          <w:spacing w:val="-6"/>
          <w:sz w:val="18"/>
        </w:rPr>
        <w:t xml:space="preserve"> </w:t>
      </w:r>
      <w:r>
        <w:rPr>
          <w:sz w:val="18"/>
        </w:rPr>
        <w:t>Response</w:t>
      </w:r>
      <w:r>
        <w:rPr>
          <w:spacing w:val="-6"/>
          <w:sz w:val="18"/>
        </w:rPr>
        <w:t xml:space="preserve"> </w:t>
      </w:r>
      <w:r>
        <w:rPr>
          <w:sz w:val="18"/>
        </w:rPr>
        <w:t>(Exhibit</w:t>
      </w:r>
      <w:r>
        <w:rPr>
          <w:spacing w:val="-5"/>
          <w:sz w:val="18"/>
        </w:rPr>
        <w:t xml:space="preserve"> </w:t>
      </w:r>
      <w:r>
        <w:rPr>
          <w:sz w:val="18"/>
        </w:rPr>
        <w:t>AUS‐53),</w:t>
      </w:r>
      <w:r>
        <w:rPr>
          <w:spacing w:val="-7"/>
          <w:sz w:val="18"/>
        </w:rPr>
        <w:t xml:space="preserve"> </w:t>
      </w:r>
      <w:r>
        <w:rPr>
          <w:sz w:val="18"/>
        </w:rPr>
        <w:t>p.</w:t>
      </w:r>
      <w:r>
        <w:rPr>
          <w:spacing w:val="-6"/>
          <w:sz w:val="18"/>
        </w:rPr>
        <w:t xml:space="preserve"> </w:t>
      </w:r>
      <w:r>
        <w:rPr>
          <w:sz w:val="18"/>
        </w:rPr>
        <w:t>3;</w:t>
      </w:r>
      <w:r>
        <w:rPr>
          <w:spacing w:val="-6"/>
          <w:sz w:val="18"/>
        </w:rPr>
        <w:t xml:space="preserve"> </w:t>
      </w:r>
      <w:r>
        <w:rPr>
          <w:sz w:val="18"/>
        </w:rPr>
        <w:t>and</w:t>
      </w:r>
      <w:r>
        <w:rPr>
          <w:spacing w:val="-7"/>
          <w:sz w:val="18"/>
        </w:rPr>
        <w:t xml:space="preserve"> </w:t>
      </w:r>
      <w:r>
        <w:rPr>
          <w:sz w:val="18"/>
        </w:rPr>
        <w:t>COFCO</w:t>
      </w:r>
      <w:r>
        <w:rPr>
          <w:spacing w:val="-6"/>
          <w:sz w:val="18"/>
        </w:rPr>
        <w:t xml:space="preserve"> </w:t>
      </w:r>
      <w:r>
        <w:rPr>
          <w:sz w:val="18"/>
        </w:rPr>
        <w:t>Anti‐Dumping Questionnaire Response (Exhibit AUS‐44), p. 3.</w:t>
      </w:r>
    </w:p>
    <w:p w14:paraId="51DE96F0" w14:textId="77777777" w:rsidR="0010369C" w:rsidRDefault="008E43AE">
      <w:pPr>
        <w:spacing w:before="110" w:line="182" w:lineRule="auto"/>
        <w:ind w:left="238" w:right="611" w:hanging="1"/>
        <w:jc w:val="both"/>
        <w:rPr>
          <w:sz w:val="18"/>
        </w:rPr>
      </w:pPr>
      <w:r>
        <w:rPr>
          <w:sz w:val="18"/>
          <w:vertAlign w:val="superscript"/>
        </w:rPr>
        <w:t>1025</w:t>
      </w:r>
      <w:r>
        <w:rPr>
          <w:spacing w:val="-9"/>
          <w:sz w:val="18"/>
        </w:rPr>
        <w:t xml:space="preserve"> </w:t>
      </w:r>
      <w:r>
        <w:rPr>
          <w:sz w:val="18"/>
        </w:rPr>
        <w:t>See</w:t>
      </w:r>
      <w:r>
        <w:rPr>
          <w:spacing w:val="-9"/>
          <w:sz w:val="18"/>
        </w:rPr>
        <w:t xml:space="preserve"> </w:t>
      </w:r>
      <w:r>
        <w:rPr>
          <w:sz w:val="18"/>
        </w:rPr>
        <w:t>for</w:t>
      </w:r>
      <w:r>
        <w:rPr>
          <w:spacing w:val="-10"/>
          <w:sz w:val="18"/>
        </w:rPr>
        <w:t xml:space="preserve"> </w:t>
      </w:r>
      <w:r>
        <w:rPr>
          <w:sz w:val="18"/>
        </w:rPr>
        <w:t>example:</w:t>
      </w:r>
      <w:r>
        <w:rPr>
          <w:spacing w:val="-10"/>
          <w:sz w:val="18"/>
        </w:rPr>
        <w:t xml:space="preserve"> </w:t>
      </w:r>
      <w:r>
        <w:rPr>
          <w:sz w:val="18"/>
        </w:rPr>
        <w:t>Changyu</w:t>
      </w:r>
      <w:r>
        <w:rPr>
          <w:spacing w:val="-9"/>
          <w:sz w:val="18"/>
        </w:rPr>
        <w:t xml:space="preserve"> </w:t>
      </w:r>
      <w:r>
        <w:rPr>
          <w:sz w:val="18"/>
        </w:rPr>
        <w:t>Wines</w:t>
      </w:r>
      <w:r>
        <w:rPr>
          <w:spacing w:val="-11"/>
          <w:sz w:val="18"/>
        </w:rPr>
        <w:t xml:space="preserve"> </w:t>
      </w:r>
      <w:r>
        <w:rPr>
          <w:sz w:val="18"/>
        </w:rPr>
        <w:t>Anti‐Dumping</w:t>
      </w:r>
      <w:r>
        <w:rPr>
          <w:spacing w:val="-8"/>
          <w:sz w:val="18"/>
        </w:rPr>
        <w:t xml:space="preserve"> </w:t>
      </w:r>
      <w:r>
        <w:rPr>
          <w:sz w:val="18"/>
        </w:rPr>
        <w:t>Questionnaire</w:t>
      </w:r>
      <w:r>
        <w:rPr>
          <w:spacing w:val="-9"/>
          <w:sz w:val="18"/>
        </w:rPr>
        <w:t xml:space="preserve"> </w:t>
      </w:r>
      <w:r>
        <w:rPr>
          <w:sz w:val="18"/>
        </w:rPr>
        <w:t>Response</w:t>
      </w:r>
      <w:r>
        <w:rPr>
          <w:spacing w:val="-9"/>
          <w:sz w:val="18"/>
        </w:rPr>
        <w:t xml:space="preserve"> </w:t>
      </w:r>
      <w:r>
        <w:rPr>
          <w:sz w:val="18"/>
        </w:rPr>
        <w:t>(Exhibit</w:t>
      </w:r>
      <w:r>
        <w:rPr>
          <w:spacing w:val="-9"/>
          <w:sz w:val="18"/>
        </w:rPr>
        <w:t xml:space="preserve"> </w:t>
      </w:r>
      <w:r>
        <w:rPr>
          <w:sz w:val="18"/>
        </w:rPr>
        <w:t>AUS‐53),</w:t>
      </w:r>
      <w:r>
        <w:rPr>
          <w:spacing w:val="-10"/>
          <w:sz w:val="18"/>
        </w:rPr>
        <w:t xml:space="preserve"> </w:t>
      </w:r>
      <w:r>
        <w:rPr>
          <w:sz w:val="18"/>
        </w:rPr>
        <w:t>p.</w:t>
      </w:r>
      <w:r>
        <w:rPr>
          <w:spacing w:val="-9"/>
          <w:sz w:val="18"/>
        </w:rPr>
        <w:t xml:space="preserve"> </w:t>
      </w:r>
      <w:r>
        <w:rPr>
          <w:sz w:val="18"/>
        </w:rPr>
        <w:t>18</w:t>
      </w:r>
      <w:r>
        <w:rPr>
          <w:spacing w:val="-10"/>
          <w:sz w:val="18"/>
        </w:rPr>
        <w:t xml:space="preserve"> </w:t>
      </w:r>
      <w:r>
        <w:rPr>
          <w:sz w:val="18"/>
        </w:rPr>
        <w:t>and</w:t>
      </w:r>
      <w:r>
        <w:rPr>
          <w:spacing w:val="-9"/>
          <w:sz w:val="18"/>
        </w:rPr>
        <w:t xml:space="preserve"> </w:t>
      </w:r>
      <w:r>
        <w:rPr>
          <w:sz w:val="18"/>
        </w:rPr>
        <w:t>COFCO</w:t>
      </w:r>
      <w:r>
        <w:rPr>
          <w:spacing w:val="-10"/>
          <w:sz w:val="18"/>
        </w:rPr>
        <w:t xml:space="preserve"> </w:t>
      </w:r>
      <w:r>
        <w:rPr>
          <w:sz w:val="18"/>
        </w:rPr>
        <w:t>Anti‐Dumping Questionnaire Response (Exhibit AUS‐44), p. 17.</w:t>
      </w:r>
    </w:p>
    <w:p w14:paraId="51DE96F1" w14:textId="77777777" w:rsidR="0010369C" w:rsidRDefault="008E43AE">
      <w:pPr>
        <w:spacing w:before="110" w:line="182" w:lineRule="auto"/>
        <w:ind w:left="238" w:hanging="1"/>
        <w:rPr>
          <w:sz w:val="18"/>
        </w:rPr>
      </w:pPr>
      <w:r>
        <w:rPr>
          <w:sz w:val="18"/>
          <w:vertAlign w:val="superscript"/>
        </w:rPr>
        <w:t>1026</w:t>
      </w:r>
      <w:r>
        <w:rPr>
          <w:spacing w:val="40"/>
          <w:sz w:val="18"/>
        </w:rPr>
        <w:t xml:space="preserve"> </w:t>
      </w:r>
      <w:r>
        <w:rPr>
          <w:sz w:val="18"/>
        </w:rPr>
        <w:t>Yantai</w:t>
      </w:r>
      <w:r>
        <w:rPr>
          <w:spacing w:val="40"/>
          <w:sz w:val="18"/>
        </w:rPr>
        <w:t xml:space="preserve"> </w:t>
      </w:r>
      <w:r>
        <w:rPr>
          <w:sz w:val="18"/>
        </w:rPr>
        <w:t>Landsun</w:t>
      </w:r>
      <w:r>
        <w:rPr>
          <w:spacing w:val="40"/>
          <w:sz w:val="18"/>
        </w:rPr>
        <w:t xml:space="preserve"> </w:t>
      </w:r>
      <w:r>
        <w:rPr>
          <w:sz w:val="18"/>
        </w:rPr>
        <w:t>Anti‐Dump</w:t>
      </w:r>
      <w:r>
        <w:rPr>
          <w:sz w:val="18"/>
        </w:rPr>
        <w:t>ing</w:t>
      </w:r>
      <w:r>
        <w:rPr>
          <w:spacing w:val="40"/>
          <w:sz w:val="18"/>
        </w:rPr>
        <w:t xml:space="preserve"> </w:t>
      </w:r>
      <w:r>
        <w:rPr>
          <w:sz w:val="18"/>
        </w:rPr>
        <w:t>Questionnaire</w:t>
      </w:r>
      <w:r>
        <w:rPr>
          <w:spacing w:val="40"/>
          <w:sz w:val="18"/>
        </w:rPr>
        <w:t xml:space="preserve"> </w:t>
      </w:r>
      <w:r>
        <w:rPr>
          <w:sz w:val="18"/>
        </w:rPr>
        <w:t>Response</w:t>
      </w:r>
      <w:r>
        <w:rPr>
          <w:spacing w:val="40"/>
          <w:sz w:val="18"/>
        </w:rPr>
        <w:t xml:space="preserve"> </w:t>
      </w:r>
      <w:r>
        <w:rPr>
          <w:sz w:val="18"/>
        </w:rPr>
        <w:t>(Exhibit</w:t>
      </w:r>
      <w:r>
        <w:rPr>
          <w:spacing w:val="40"/>
          <w:sz w:val="18"/>
        </w:rPr>
        <w:t xml:space="preserve"> </w:t>
      </w:r>
      <w:r>
        <w:rPr>
          <w:sz w:val="18"/>
        </w:rPr>
        <w:t>AUS‐52),</w:t>
      </w:r>
      <w:r>
        <w:rPr>
          <w:spacing w:val="40"/>
          <w:sz w:val="18"/>
        </w:rPr>
        <w:t xml:space="preserve"> </w:t>
      </w:r>
      <w:r>
        <w:rPr>
          <w:sz w:val="18"/>
        </w:rPr>
        <w:t>p.</w:t>
      </w:r>
      <w:r>
        <w:rPr>
          <w:spacing w:val="40"/>
          <w:sz w:val="18"/>
        </w:rPr>
        <w:t xml:space="preserve"> </w:t>
      </w:r>
      <w:r>
        <w:rPr>
          <w:sz w:val="18"/>
        </w:rPr>
        <w:t>19;</w:t>
      </w:r>
      <w:r>
        <w:rPr>
          <w:spacing w:val="40"/>
          <w:sz w:val="18"/>
        </w:rPr>
        <w:t xml:space="preserve"> </w:t>
      </w:r>
      <w:r>
        <w:rPr>
          <w:sz w:val="18"/>
        </w:rPr>
        <w:t>Dynasty</w:t>
      </w:r>
      <w:r>
        <w:rPr>
          <w:spacing w:val="40"/>
          <w:sz w:val="18"/>
        </w:rPr>
        <w:t xml:space="preserve"> </w:t>
      </w:r>
      <w:r>
        <w:rPr>
          <w:sz w:val="18"/>
        </w:rPr>
        <w:t>Fine</w:t>
      </w:r>
      <w:r>
        <w:rPr>
          <w:spacing w:val="40"/>
          <w:sz w:val="18"/>
        </w:rPr>
        <w:t xml:space="preserve"> </w:t>
      </w:r>
      <w:r>
        <w:rPr>
          <w:sz w:val="18"/>
        </w:rPr>
        <w:t>Wine</w:t>
      </w:r>
      <w:r>
        <w:rPr>
          <w:spacing w:val="40"/>
          <w:sz w:val="18"/>
        </w:rPr>
        <w:t xml:space="preserve"> </w:t>
      </w:r>
      <w:r>
        <w:rPr>
          <w:sz w:val="18"/>
        </w:rPr>
        <w:t>Anti‐Dumping Questionnaire</w:t>
      </w:r>
      <w:r>
        <w:rPr>
          <w:spacing w:val="-12"/>
          <w:sz w:val="18"/>
        </w:rPr>
        <w:t xml:space="preserve"> </w:t>
      </w:r>
      <w:r>
        <w:rPr>
          <w:sz w:val="18"/>
        </w:rPr>
        <w:t>Response</w:t>
      </w:r>
      <w:r>
        <w:rPr>
          <w:spacing w:val="-10"/>
          <w:sz w:val="18"/>
        </w:rPr>
        <w:t xml:space="preserve"> </w:t>
      </w:r>
      <w:r>
        <w:rPr>
          <w:sz w:val="18"/>
        </w:rPr>
        <w:t>(Exhibit</w:t>
      </w:r>
      <w:r>
        <w:rPr>
          <w:spacing w:val="-9"/>
          <w:sz w:val="18"/>
        </w:rPr>
        <w:t xml:space="preserve"> </w:t>
      </w:r>
      <w:r>
        <w:rPr>
          <w:sz w:val="18"/>
        </w:rPr>
        <w:t>AUS‐55),</w:t>
      </w:r>
      <w:r>
        <w:rPr>
          <w:spacing w:val="-10"/>
          <w:sz w:val="18"/>
        </w:rPr>
        <w:t xml:space="preserve"> </w:t>
      </w:r>
      <w:r>
        <w:rPr>
          <w:sz w:val="18"/>
        </w:rPr>
        <w:t>p.19;</w:t>
      </w:r>
      <w:r>
        <w:rPr>
          <w:spacing w:val="-9"/>
          <w:sz w:val="18"/>
        </w:rPr>
        <w:t xml:space="preserve"> </w:t>
      </w:r>
      <w:r>
        <w:rPr>
          <w:sz w:val="18"/>
        </w:rPr>
        <w:t>Ningxia</w:t>
      </w:r>
      <w:r>
        <w:rPr>
          <w:spacing w:val="-10"/>
          <w:sz w:val="18"/>
        </w:rPr>
        <w:t xml:space="preserve"> </w:t>
      </w:r>
      <w:r>
        <w:rPr>
          <w:sz w:val="18"/>
        </w:rPr>
        <w:t>Anti‐Dumping</w:t>
      </w:r>
      <w:r>
        <w:rPr>
          <w:spacing w:val="-9"/>
          <w:sz w:val="18"/>
        </w:rPr>
        <w:t xml:space="preserve"> </w:t>
      </w:r>
      <w:r>
        <w:rPr>
          <w:sz w:val="18"/>
        </w:rPr>
        <w:t>Questionnaire</w:t>
      </w:r>
      <w:r>
        <w:rPr>
          <w:spacing w:val="-9"/>
          <w:sz w:val="18"/>
        </w:rPr>
        <w:t xml:space="preserve"> </w:t>
      </w:r>
      <w:r>
        <w:rPr>
          <w:sz w:val="18"/>
        </w:rPr>
        <w:t>Response</w:t>
      </w:r>
      <w:r>
        <w:rPr>
          <w:spacing w:val="-11"/>
          <w:sz w:val="18"/>
        </w:rPr>
        <w:t xml:space="preserve"> </w:t>
      </w:r>
      <w:r>
        <w:rPr>
          <w:sz w:val="18"/>
        </w:rPr>
        <w:t>(Exhibit</w:t>
      </w:r>
      <w:r>
        <w:rPr>
          <w:spacing w:val="-9"/>
          <w:sz w:val="18"/>
        </w:rPr>
        <w:t xml:space="preserve"> </w:t>
      </w:r>
      <w:r>
        <w:rPr>
          <w:sz w:val="18"/>
        </w:rPr>
        <w:t>AUS‐57),</w:t>
      </w:r>
      <w:r>
        <w:rPr>
          <w:spacing w:val="-10"/>
          <w:sz w:val="18"/>
        </w:rPr>
        <w:t xml:space="preserve"> </w:t>
      </w:r>
      <w:r>
        <w:rPr>
          <w:sz w:val="18"/>
        </w:rPr>
        <w:t>p.</w:t>
      </w:r>
      <w:r>
        <w:rPr>
          <w:spacing w:val="-10"/>
          <w:sz w:val="18"/>
        </w:rPr>
        <w:t xml:space="preserve"> </w:t>
      </w:r>
      <w:r>
        <w:rPr>
          <w:sz w:val="18"/>
        </w:rPr>
        <w:t>19;</w:t>
      </w:r>
      <w:r>
        <w:rPr>
          <w:spacing w:val="-10"/>
          <w:sz w:val="18"/>
        </w:rPr>
        <w:t xml:space="preserve"> </w:t>
      </w:r>
      <w:r>
        <w:rPr>
          <w:spacing w:val="-2"/>
          <w:sz w:val="18"/>
        </w:rPr>
        <w:t>Grand</w:t>
      </w:r>
    </w:p>
    <w:p w14:paraId="51DE96F2" w14:textId="77777777" w:rsidR="0010369C" w:rsidRDefault="008E43AE">
      <w:pPr>
        <w:spacing w:before="15" w:line="242" w:lineRule="auto"/>
        <w:ind w:left="238" w:right="543" w:hanging="1"/>
        <w:rPr>
          <w:sz w:val="18"/>
        </w:rPr>
      </w:pPr>
      <w:r>
        <w:rPr>
          <w:sz w:val="18"/>
        </w:rPr>
        <w:t>Dragon</w:t>
      </w:r>
      <w:r>
        <w:rPr>
          <w:spacing w:val="25"/>
          <w:sz w:val="18"/>
        </w:rPr>
        <w:t xml:space="preserve"> </w:t>
      </w:r>
      <w:r>
        <w:rPr>
          <w:sz w:val="18"/>
        </w:rPr>
        <w:t>Wine</w:t>
      </w:r>
      <w:r>
        <w:rPr>
          <w:spacing w:val="24"/>
          <w:sz w:val="18"/>
        </w:rPr>
        <w:t xml:space="preserve"> </w:t>
      </w:r>
      <w:r>
        <w:rPr>
          <w:sz w:val="18"/>
        </w:rPr>
        <w:t>Questionnaire</w:t>
      </w:r>
      <w:r>
        <w:rPr>
          <w:spacing w:val="24"/>
          <w:sz w:val="18"/>
        </w:rPr>
        <w:t xml:space="preserve"> </w:t>
      </w:r>
      <w:r>
        <w:rPr>
          <w:sz w:val="18"/>
        </w:rPr>
        <w:t>Response</w:t>
      </w:r>
      <w:r>
        <w:rPr>
          <w:spacing w:val="25"/>
          <w:sz w:val="18"/>
        </w:rPr>
        <w:t xml:space="preserve"> </w:t>
      </w:r>
      <w:r>
        <w:rPr>
          <w:sz w:val="18"/>
        </w:rPr>
        <w:t>(Exhibit</w:t>
      </w:r>
      <w:r>
        <w:rPr>
          <w:spacing w:val="24"/>
          <w:sz w:val="18"/>
        </w:rPr>
        <w:t xml:space="preserve"> </w:t>
      </w:r>
      <w:r>
        <w:rPr>
          <w:sz w:val="18"/>
        </w:rPr>
        <w:t>AUS‐51),</w:t>
      </w:r>
      <w:r>
        <w:rPr>
          <w:spacing w:val="24"/>
          <w:sz w:val="18"/>
        </w:rPr>
        <w:t xml:space="preserve"> </w:t>
      </w:r>
      <w:r>
        <w:rPr>
          <w:sz w:val="18"/>
        </w:rPr>
        <w:t>p.</w:t>
      </w:r>
      <w:r>
        <w:rPr>
          <w:spacing w:val="25"/>
          <w:sz w:val="18"/>
        </w:rPr>
        <w:t xml:space="preserve"> </w:t>
      </w:r>
      <w:r>
        <w:rPr>
          <w:sz w:val="18"/>
        </w:rPr>
        <w:t>21;</w:t>
      </w:r>
      <w:r>
        <w:rPr>
          <w:spacing w:val="80"/>
          <w:sz w:val="18"/>
        </w:rPr>
        <w:t xml:space="preserve"> </w:t>
      </w:r>
      <w:r>
        <w:rPr>
          <w:sz w:val="18"/>
        </w:rPr>
        <w:t>Tonghua</w:t>
      </w:r>
      <w:r>
        <w:rPr>
          <w:spacing w:val="25"/>
          <w:sz w:val="18"/>
        </w:rPr>
        <w:t xml:space="preserve"> </w:t>
      </w:r>
      <w:r>
        <w:rPr>
          <w:sz w:val="18"/>
        </w:rPr>
        <w:t>Tontine</w:t>
      </w:r>
      <w:r>
        <w:rPr>
          <w:spacing w:val="25"/>
          <w:sz w:val="18"/>
        </w:rPr>
        <w:t xml:space="preserve"> </w:t>
      </w:r>
      <w:r>
        <w:rPr>
          <w:sz w:val="18"/>
        </w:rPr>
        <w:t>Anti‐Dumping</w:t>
      </w:r>
      <w:r>
        <w:rPr>
          <w:spacing w:val="24"/>
          <w:sz w:val="18"/>
        </w:rPr>
        <w:t xml:space="preserve"> </w:t>
      </w:r>
      <w:r>
        <w:rPr>
          <w:sz w:val="18"/>
        </w:rPr>
        <w:t>Questionnaire</w:t>
      </w:r>
      <w:r>
        <w:rPr>
          <w:spacing w:val="24"/>
          <w:sz w:val="18"/>
        </w:rPr>
        <w:t xml:space="preserve"> </w:t>
      </w:r>
      <w:r>
        <w:rPr>
          <w:sz w:val="18"/>
        </w:rPr>
        <w:t>Response (Exhibit AUS‐50), pp. 19‐20; Xinjiang Sunyard Wine Anti‐Dumping Questionnaire Response (Exhibit AUS‐49), p. 19; Chateau Junding</w:t>
      </w:r>
      <w:r>
        <w:rPr>
          <w:spacing w:val="32"/>
          <w:sz w:val="18"/>
        </w:rPr>
        <w:t xml:space="preserve"> </w:t>
      </w:r>
      <w:r>
        <w:rPr>
          <w:sz w:val="18"/>
        </w:rPr>
        <w:t>Anti‐Dumping</w:t>
      </w:r>
      <w:r>
        <w:rPr>
          <w:spacing w:val="32"/>
          <w:sz w:val="18"/>
        </w:rPr>
        <w:t xml:space="preserve"> </w:t>
      </w:r>
      <w:r>
        <w:rPr>
          <w:sz w:val="18"/>
        </w:rPr>
        <w:t>Questionnaire</w:t>
      </w:r>
      <w:r>
        <w:rPr>
          <w:spacing w:val="32"/>
          <w:sz w:val="18"/>
        </w:rPr>
        <w:t xml:space="preserve"> </w:t>
      </w:r>
      <w:r>
        <w:rPr>
          <w:sz w:val="18"/>
        </w:rPr>
        <w:t>Response (Exhibit</w:t>
      </w:r>
      <w:r>
        <w:rPr>
          <w:spacing w:val="32"/>
          <w:sz w:val="18"/>
        </w:rPr>
        <w:t xml:space="preserve"> </w:t>
      </w:r>
      <w:r>
        <w:rPr>
          <w:sz w:val="18"/>
        </w:rPr>
        <w:t>AUS‐48),</w:t>
      </w:r>
      <w:r>
        <w:rPr>
          <w:spacing w:val="32"/>
          <w:sz w:val="18"/>
        </w:rPr>
        <w:t xml:space="preserve"> </w:t>
      </w:r>
      <w:r>
        <w:rPr>
          <w:sz w:val="18"/>
        </w:rPr>
        <w:t>p.</w:t>
      </w:r>
      <w:r>
        <w:rPr>
          <w:spacing w:val="33"/>
          <w:sz w:val="18"/>
        </w:rPr>
        <w:t xml:space="preserve"> </w:t>
      </w:r>
      <w:r>
        <w:rPr>
          <w:sz w:val="18"/>
        </w:rPr>
        <w:t>20;</w:t>
      </w:r>
      <w:r>
        <w:rPr>
          <w:spacing w:val="32"/>
          <w:sz w:val="18"/>
        </w:rPr>
        <w:t xml:space="preserve"> </w:t>
      </w:r>
      <w:r>
        <w:rPr>
          <w:sz w:val="18"/>
        </w:rPr>
        <w:t>CITIC</w:t>
      </w:r>
      <w:r>
        <w:rPr>
          <w:spacing w:val="32"/>
          <w:sz w:val="18"/>
        </w:rPr>
        <w:t xml:space="preserve"> </w:t>
      </w:r>
      <w:r>
        <w:rPr>
          <w:sz w:val="18"/>
        </w:rPr>
        <w:t>Guoan</w:t>
      </w:r>
      <w:r>
        <w:rPr>
          <w:spacing w:val="34"/>
          <w:sz w:val="18"/>
        </w:rPr>
        <w:t xml:space="preserve"> </w:t>
      </w:r>
      <w:r>
        <w:rPr>
          <w:sz w:val="18"/>
        </w:rPr>
        <w:t>Wine</w:t>
      </w:r>
      <w:r>
        <w:rPr>
          <w:spacing w:val="32"/>
          <w:sz w:val="18"/>
        </w:rPr>
        <w:t xml:space="preserve"> </w:t>
      </w:r>
      <w:r>
        <w:rPr>
          <w:sz w:val="18"/>
        </w:rPr>
        <w:t>Anti‐Dumping</w:t>
      </w:r>
      <w:r>
        <w:rPr>
          <w:spacing w:val="32"/>
          <w:sz w:val="18"/>
        </w:rPr>
        <w:t xml:space="preserve"> </w:t>
      </w:r>
      <w:r>
        <w:rPr>
          <w:sz w:val="18"/>
        </w:rPr>
        <w:t>Questionnaire Response (Exhibit AUS‐47), p. 19;</w:t>
      </w:r>
      <w:r>
        <w:rPr>
          <w:spacing w:val="36"/>
          <w:sz w:val="18"/>
        </w:rPr>
        <w:t xml:space="preserve"> </w:t>
      </w:r>
      <w:r>
        <w:rPr>
          <w:sz w:val="18"/>
        </w:rPr>
        <w:t>Yunan Gaoyuan Wine Anti‐Dumping Questionnaire Response, p. 18; Xinjiang West Region Pearl Winery Anti‐dumping Questionnaire Response (Exhibit AUS‐45), p. 18; Tonghua Winery Anti</w:t>
      </w:r>
      <w:r>
        <w:rPr>
          <w:sz w:val="18"/>
        </w:rPr>
        <w:t>‐Dumping Questionnaire Response, (Exhibit AUS‐43) p. 20; Shanxi Rongzi Winery Anti‐Dumping Questionnaire Response (Exhibit AUS‐63), p. 19;</w:t>
      </w:r>
      <w:r>
        <w:rPr>
          <w:spacing w:val="40"/>
          <w:sz w:val="18"/>
        </w:rPr>
        <w:t xml:space="preserve"> </w:t>
      </w:r>
      <w:r>
        <w:rPr>
          <w:sz w:val="18"/>
        </w:rPr>
        <w:t>Shangri‐La Wine Anti‐Dumping Questionnaire Response (Exhibit AUS‐62), p. 19; Qingdao Huadong Winery Anti‐Dumping</w:t>
      </w:r>
    </w:p>
    <w:p w14:paraId="51DE96F3" w14:textId="77777777" w:rsidR="0010369C" w:rsidRDefault="0010369C">
      <w:pPr>
        <w:spacing w:line="242" w:lineRule="auto"/>
        <w:rPr>
          <w:sz w:val="18"/>
        </w:rPr>
        <w:sectPr w:rsidR="0010369C">
          <w:pgSz w:w="11910" w:h="16840"/>
          <w:pgMar w:top="880" w:right="800" w:bottom="980" w:left="1180" w:header="569" w:footer="788" w:gutter="0"/>
          <w:cols w:space="720"/>
        </w:sectPr>
      </w:pPr>
    </w:p>
    <w:p w14:paraId="51DE96F4" w14:textId="77777777" w:rsidR="0010369C" w:rsidRDefault="008E43AE">
      <w:pPr>
        <w:tabs>
          <w:tab w:val="left" w:pos="6425"/>
        </w:tabs>
        <w:ind w:left="238"/>
        <w:jc w:val="both"/>
        <w:rPr>
          <w:sz w:val="20"/>
        </w:rPr>
      </w:pPr>
      <w:r>
        <w:rPr>
          <w:i/>
          <w:sz w:val="20"/>
        </w:rPr>
        <w:lastRenderedPageBreak/>
        <w:t>China</w:t>
      </w:r>
      <w:r>
        <w:rPr>
          <w:i/>
          <w:spacing w:val="-5"/>
          <w:sz w:val="20"/>
        </w:rPr>
        <w:t xml:space="preserve"> </w:t>
      </w:r>
      <w:r>
        <w:rPr>
          <w:i/>
          <w:sz w:val="20"/>
        </w:rPr>
        <w:t>–</w:t>
      </w:r>
      <w:r>
        <w:rPr>
          <w:i/>
          <w:spacing w:val="-5"/>
          <w:sz w:val="20"/>
        </w:rPr>
        <w:t xml:space="preserve"> </w:t>
      </w:r>
      <w:r>
        <w:rPr>
          <w:i/>
          <w:sz w:val="20"/>
        </w:rPr>
        <w:t>Anti‐Dumping</w:t>
      </w:r>
      <w:r>
        <w:rPr>
          <w:i/>
          <w:spacing w:val="-4"/>
          <w:sz w:val="20"/>
        </w:rPr>
        <w:t xml:space="preserve"> </w:t>
      </w:r>
      <w:r>
        <w:rPr>
          <w:i/>
          <w:sz w:val="20"/>
        </w:rPr>
        <w:t>and</w:t>
      </w:r>
      <w:r>
        <w:rPr>
          <w:i/>
          <w:spacing w:val="-5"/>
          <w:sz w:val="20"/>
        </w:rPr>
        <w:t xml:space="preserve"> </w:t>
      </w:r>
      <w:r>
        <w:rPr>
          <w:i/>
          <w:sz w:val="20"/>
        </w:rPr>
        <w:t>Countervailing</w:t>
      </w:r>
      <w:r>
        <w:rPr>
          <w:i/>
          <w:spacing w:val="-5"/>
          <w:sz w:val="20"/>
        </w:rPr>
        <w:t xml:space="preserve"> </w:t>
      </w:r>
      <w:r>
        <w:rPr>
          <w:i/>
          <w:sz w:val="20"/>
        </w:rPr>
        <w:t>Duty</w:t>
      </w:r>
      <w:r>
        <w:rPr>
          <w:i/>
          <w:spacing w:val="-4"/>
          <w:sz w:val="20"/>
        </w:rPr>
        <w:t xml:space="preserve"> </w:t>
      </w:r>
      <w:r>
        <w:rPr>
          <w:i/>
          <w:spacing w:val="-2"/>
          <w:sz w:val="20"/>
        </w:rPr>
        <w:t>Measures</w:t>
      </w:r>
      <w:r>
        <w:rPr>
          <w:i/>
          <w:sz w:val="20"/>
        </w:rPr>
        <w:tab/>
      </w:r>
      <w:r>
        <w:rPr>
          <w:sz w:val="20"/>
        </w:rPr>
        <w:t>Australia's</w:t>
      </w:r>
      <w:r>
        <w:rPr>
          <w:spacing w:val="-6"/>
          <w:sz w:val="20"/>
        </w:rPr>
        <w:t xml:space="preserve"> </w:t>
      </w:r>
      <w:r>
        <w:rPr>
          <w:sz w:val="20"/>
        </w:rPr>
        <w:t>First</w:t>
      </w:r>
      <w:r>
        <w:rPr>
          <w:spacing w:val="-2"/>
          <w:sz w:val="20"/>
        </w:rPr>
        <w:t xml:space="preserve"> </w:t>
      </w:r>
      <w:r>
        <w:rPr>
          <w:sz w:val="20"/>
        </w:rPr>
        <w:t>Written</w:t>
      </w:r>
      <w:r>
        <w:rPr>
          <w:spacing w:val="-2"/>
          <w:sz w:val="20"/>
        </w:rPr>
        <w:t xml:space="preserve"> Submission</w:t>
      </w:r>
    </w:p>
    <w:p w14:paraId="51DE96F5" w14:textId="77777777" w:rsidR="0010369C" w:rsidRDefault="008E43AE">
      <w:pPr>
        <w:tabs>
          <w:tab w:val="left" w:pos="8227"/>
        </w:tabs>
        <w:spacing w:before="1"/>
        <w:ind w:left="239"/>
        <w:jc w:val="both"/>
        <w:rPr>
          <w:sz w:val="20"/>
        </w:rPr>
      </w:pPr>
      <w:r>
        <w:rPr>
          <w:i/>
          <w:sz w:val="20"/>
        </w:rPr>
        <w:t>on</w:t>
      </w:r>
      <w:r>
        <w:rPr>
          <w:i/>
          <w:spacing w:val="-1"/>
          <w:sz w:val="20"/>
        </w:rPr>
        <w:t xml:space="preserve"> </w:t>
      </w:r>
      <w:r>
        <w:rPr>
          <w:i/>
          <w:sz w:val="20"/>
        </w:rPr>
        <w:t>Wine</w:t>
      </w:r>
      <w:r>
        <w:rPr>
          <w:i/>
          <w:spacing w:val="-1"/>
          <w:sz w:val="20"/>
        </w:rPr>
        <w:t xml:space="preserve"> </w:t>
      </w:r>
      <w:r>
        <w:rPr>
          <w:i/>
          <w:sz w:val="20"/>
        </w:rPr>
        <w:t>from</w:t>
      </w:r>
      <w:r>
        <w:rPr>
          <w:i/>
          <w:spacing w:val="-3"/>
          <w:sz w:val="20"/>
        </w:rPr>
        <w:t xml:space="preserve"> </w:t>
      </w:r>
      <w:r>
        <w:rPr>
          <w:i/>
          <w:sz w:val="20"/>
        </w:rPr>
        <w:t>Australia</w:t>
      </w:r>
      <w:r>
        <w:rPr>
          <w:i/>
          <w:spacing w:val="-1"/>
          <w:sz w:val="20"/>
        </w:rPr>
        <w:t xml:space="preserve"> </w:t>
      </w:r>
      <w:r>
        <w:rPr>
          <w:spacing w:val="-2"/>
          <w:sz w:val="20"/>
        </w:rPr>
        <w:t>(DS602)</w:t>
      </w:r>
      <w:r>
        <w:rPr>
          <w:sz w:val="20"/>
        </w:rPr>
        <w:tab/>
        <w:t>29</w:t>
      </w:r>
      <w:r>
        <w:rPr>
          <w:spacing w:val="-1"/>
          <w:sz w:val="20"/>
        </w:rPr>
        <w:t xml:space="preserve"> </w:t>
      </w:r>
      <w:r>
        <w:rPr>
          <w:sz w:val="20"/>
        </w:rPr>
        <w:t>April</w:t>
      </w:r>
      <w:r>
        <w:rPr>
          <w:spacing w:val="-2"/>
          <w:sz w:val="20"/>
        </w:rPr>
        <w:t xml:space="preserve"> </w:t>
      </w:r>
      <w:r>
        <w:rPr>
          <w:spacing w:val="-4"/>
          <w:sz w:val="20"/>
        </w:rPr>
        <w:t>2022</w:t>
      </w:r>
    </w:p>
    <w:p w14:paraId="51DE96F6" w14:textId="77777777" w:rsidR="0010369C" w:rsidRDefault="008E43AE">
      <w:pPr>
        <w:pStyle w:val="BodyText"/>
        <w:spacing w:before="34" w:line="360" w:lineRule="auto"/>
        <w:ind w:left="1939" w:right="613"/>
        <w:jc w:val="both"/>
      </w:pPr>
      <w:r>
        <w:t>equipment used in the production of bottled wine.</w:t>
      </w:r>
      <w:r>
        <w:rPr>
          <w:vertAlign w:val="superscript"/>
        </w:rPr>
        <w:t>1027</w:t>
      </w:r>
      <w:r>
        <w:t xml:space="preserve"> MOFCOM granted this broad confidential treatment even though in response to another question</w:t>
      </w:r>
      <w:r>
        <w:rPr>
          <w:spacing w:val="-4"/>
        </w:rPr>
        <w:t xml:space="preserve"> </w:t>
      </w:r>
      <w:r>
        <w:t>in</w:t>
      </w:r>
      <w:r>
        <w:rPr>
          <w:spacing w:val="-5"/>
        </w:rPr>
        <w:t xml:space="preserve"> </w:t>
      </w:r>
      <w:r>
        <w:t>the</w:t>
      </w:r>
      <w:r>
        <w:rPr>
          <w:spacing w:val="-4"/>
        </w:rPr>
        <w:t xml:space="preserve"> </w:t>
      </w:r>
      <w:r>
        <w:rPr>
          <w:i/>
        </w:rPr>
        <w:t>same</w:t>
      </w:r>
      <w:r>
        <w:rPr>
          <w:i/>
          <w:spacing w:val="-4"/>
        </w:rPr>
        <w:t xml:space="preserve"> </w:t>
      </w:r>
      <w:r>
        <w:rPr>
          <w:i/>
        </w:rPr>
        <w:t>questionnaire</w:t>
      </w:r>
      <w:r>
        <w:rPr>
          <w:i/>
          <w:spacing w:val="-3"/>
        </w:rPr>
        <w:t xml:space="preserve"> </w:t>
      </w:r>
      <w:r>
        <w:rPr>
          <w:i/>
        </w:rPr>
        <w:t>responses,</w:t>
      </w:r>
      <w:r>
        <w:rPr>
          <w:i/>
          <w:spacing w:val="-5"/>
        </w:rPr>
        <w:t xml:space="preserve"> </w:t>
      </w:r>
      <w:r>
        <w:t>the</w:t>
      </w:r>
      <w:r>
        <w:rPr>
          <w:spacing w:val="-4"/>
        </w:rPr>
        <w:t xml:space="preserve"> </w:t>
      </w:r>
      <w:r>
        <w:t>response</w:t>
      </w:r>
      <w:r>
        <w:rPr>
          <w:spacing w:val="-6"/>
        </w:rPr>
        <w:t xml:space="preserve"> </w:t>
      </w:r>
      <w:r>
        <w:t>had</w:t>
      </w:r>
      <w:r>
        <w:rPr>
          <w:spacing w:val="-5"/>
        </w:rPr>
        <w:t xml:space="preserve"> </w:t>
      </w:r>
      <w:r>
        <w:t>been</w:t>
      </w:r>
      <w:r>
        <w:rPr>
          <w:spacing w:val="-5"/>
        </w:rPr>
        <w:t xml:space="preserve"> </w:t>
      </w:r>
      <w:r>
        <w:t>given that the "domestic industry mainly uses modern production equipment for large‐scale</w:t>
      </w:r>
      <w:r>
        <w:rPr>
          <w:spacing w:val="-9"/>
        </w:rPr>
        <w:t xml:space="preserve"> </w:t>
      </w:r>
      <w:r>
        <w:t>production,</w:t>
      </w:r>
      <w:r>
        <w:rPr>
          <w:spacing w:val="-8"/>
        </w:rPr>
        <w:t xml:space="preserve"> </w:t>
      </w:r>
      <w:r>
        <w:t>including</w:t>
      </w:r>
      <w:r>
        <w:rPr>
          <w:spacing w:val="-8"/>
        </w:rPr>
        <w:t xml:space="preserve"> </w:t>
      </w:r>
      <w:r>
        <w:t>grape</w:t>
      </w:r>
      <w:r>
        <w:rPr>
          <w:spacing w:val="-9"/>
        </w:rPr>
        <w:t xml:space="preserve"> </w:t>
      </w:r>
      <w:r>
        <w:t>sorting</w:t>
      </w:r>
      <w:r>
        <w:rPr>
          <w:spacing w:val="-10"/>
        </w:rPr>
        <w:t xml:space="preserve"> </w:t>
      </w:r>
      <w:r>
        <w:t>equipment,</w:t>
      </w:r>
      <w:r>
        <w:rPr>
          <w:spacing w:val="-9"/>
        </w:rPr>
        <w:t xml:space="preserve"> </w:t>
      </w:r>
      <w:r>
        <w:t>destemming</w:t>
      </w:r>
      <w:r>
        <w:rPr>
          <w:spacing w:val="-9"/>
        </w:rPr>
        <w:t xml:space="preserve"> </w:t>
      </w:r>
      <w:r>
        <w:t>and crushing</w:t>
      </w:r>
      <w:r>
        <w:rPr>
          <w:spacing w:val="-4"/>
        </w:rPr>
        <w:t xml:space="preserve"> </w:t>
      </w:r>
      <w:r>
        <w:t>machines,</w:t>
      </w:r>
      <w:r>
        <w:rPr>
          <w:spacing w:val="-4"/>
        </w:rPr>
        <w:t xml:space="preserve"> </w:t>
      </w:r>
      <w:r>
        <w:t>fermentation</w:t>
      </w:r>
      <w:r>
        <w:rPr>
          <w:spacing w:val="-4"/>
        </w:rPr>
        <w:t xml:space="preserve"> </w:t>
      </w:r>
      <w:r>
        <w:t>tanks,</w:t>
      </w:r>
      <w:r>
        <w:rPr>
          <w:spacing w:val="-3"/>
        </w:rPr>
        <w:t xml:space="preserve"> </w:t>
      </w:r>
      <w:r>
        <w:t>presses,</w:t>
      </w:r>
      <w:r>
        <w:rPr>
          <w:spacing w:val="-3"/>
        </w:rPr>
        <w:t xml:space="preserve"> </w:t>
      </w:r>
      <w:r>
        <w:t>centrifuges,</w:t>
      </w:r>
      <w:r>
        <w:rPr>
          <w:spacing w:val="-5"/>
        </w:rPr>
        <w:t xml:space="preserve"> </w:t>
      </w:r>
      <w:r>
        <w:t>freezers,</w:t>
      </w:r>
      <w:r>
        <w:rPr>
          <w:spacing w:val="-3"/>
        </w:rPr>
        <w:t xml:space="preserve"> </w:t>
      </w:r>
      <w:r>
        <w:t>plate and frame filters, diatomaceous‐earth filters, pumps, etc".</w:t>
      </w:r>
      <w:r>
        <w:rPr>
          <w:vertAlign w:val="superscript"/>
        </w:rPr>
        <w:t>1028</w:t>
      </w:r>
    </w:p>
    <w:p w14:paraId="51DE96F7" w14:textId="77777777" w:rsidR="0010369C" w:rsidRDefault="008E43AE">
      <w:pPr>
        <w:pStyle w:val="ListParagraph"/>
        <w:numPr>
          <w:ilvl w:val="0"/>
          <w:numId w:val="23"/>
        </w:numPr>
        <w:tabs>
          <w:tab w:val="left" w:pos="1939"/>
          <w:tab w:val="left" w:pos="1940"/>
        </w:tabs>
        <w:spacing w:line="360" w:lineRule="auto"/>
        <w:ind w:right="613"/>
        <w:rPr>
          <w:sz w:val="24"/>
        </w:rPr>
      </w:pPr>
      <w:r>
        <w:rPr>
          <w:sz w:val="24"/>
        </w:rPr>
        <w:t>Confidential</w:t>
      </w:r>
      <w:r>
        <w:rPr>
          <w:spacing w:val="-14"/>
          <w:sz w:val="24"/>
        </w:rPr>
        <w:t xml:space="preserve"> </w:t>
      </w:r>
      <w:r>
        <w:rPr>
          <w:sz w:val="24"/>
        </w:rPr>
        <w:t>treatment</w:t>
      </w:r>
      <w:r>
        <w:rPr>
          <w:spacing w:val="-12"/>
          <w:sz w:val="24"/>
        </w:rPr>
        <w:t xml:space="preserve"> </w:t>
      </w:r>
      <w:r>
        <w:rPr>
          <w:sz w:val="24"/>
        </w:rPr>
        <w:t>covering</w:t>
      </w:r>
      <w:r>
        <w:rPr>
          <w:spacing w:val="-14"/>
          <w:sz w:val="24"/>
        </w:rPr>
        <w:t xml:space="preserve"> </w:t>
      </w:r>
      <w:r>
        <w:rPr>
          <w:sz w:val="24"/>
        </w:rPr>
        <w:t>the</w:t>
      </w:r>
      <w:r>
        <w:rPr>
          <w:spacing w:val="-12"/>
          <w:sz w:val="24"/>
        </w:rPr>
        <w:t xml:space="preserve"> </w:t>
      </w:r>
      <w:r>
        <w:rPr>
          <w:sz w:val="24"/>
        </w:rPr>
        <w:t>entirety</w:t>
      </w:r>
      <w:r>
        <w:rPr>
          <w:spacing w:val="-14"/>
          <w:sz w:val="24"/>
        </w:rPr>
        <w:t xml:space="preserve"> </w:t>
      </w:r>
      <w:r>
        <w:rPr>
          <w:sz w:val="24"/>
        </w:rPr>
        <w:t>of</w:t>
      </w:r>
      <w:r>
        <w:rPr>
          <w:spacing w:val="-12"/>
          <w:sz w:val="24"/>
        </w:rPr>
        <w:t xml:space="preserve"> </w:t>
      </w:r>
      <w:r>
        <w:rPr>
          <w:sz w:val="24"/>
        </w:rPr>
        <w:t>the</w:t>
      </w:r>
      <w:r>
        <w:rPr>
          <w:spacing w:val="-13"/>
          <w:sz w:val="24"/>
        </w:rPr>
        <w:t xml:space="preserve"> </w:t>
      </w:r>
      <w:r>
        <w:rPr>
          <w:sz w:val="24"/>
        </w:rPr>
        <w:t>responses</w:t>
      </w:r>
      <w:r>
        <w:rPr>
          <w:spacing w:val="-14"/>
          <w:sz w:val="24"/>
        </w:rPr>
        <w:t xml:space="preserve"> </w:t>
      </w:r>
      <w:r>
        <w:rPr>
          <w:sz w:val="24"/>
        </w:rPr>
        <w:t>supplied</w:t>
      </w:r>
      <w:r>
        <w:rPr>
          <w:spacing w:val="-12"/>
          <w:sz w:val="24"/>
        </w:rPr>
        <w:t xml:space="preserve"> </w:t>
      </w:r>
      <w:r>
        <w:rPr>
          <w:sz w:val="24"/>
        </w:rPr>
        <w:t>by</w:t>
      </w:r>
      <w:r>
        <w:rPr>
          <w:spacing w:val="-13"/>
          <w:sz w:val="24"/>
        </w:rPr>
        <w:t xml:space="preserve"> </w:t>
      </w:r>
      <w:r>
        <w:rPr>
          <w:i/>
          <w:sz w:val="24"/>
        </w:rPr>
        <w:t xml:space="preserve">all </w:t>
      </w:r>
      <w:r>
        <w:rPr>
          <w:sz w:val="24"/>
        </w:rPr>
        <w:t>domestic producers to question 30 of the Domestic Producer Questionnaire,</w:t>
      </w:r>
      <w:r>
        <w:rPr>
          <w:sz w:val="24"/>
          <w:vertAlign w:val="superscript"/>
        </w:rPr>
        <w:t>1029</w:t>
      </w:r>
      <w:r>
        <w:rPr>
          <w:sz w:val="24"/>
        </w:rPr>
        <w:t xml:space="preserve"> which asked for information concerning the sales structure, sales channels, and sales geographical distribution of the like products.</w:t>
      </w:r>
      <w:r>
        <w:rPr>
          <w:sz w:val="24"/>
          <w:vertAlign w:val="superscript"/>
        </w:rPr>
        <w:t>1030</w:t>
      </w:r>
      <w:r>
        <w:rPr>
          <w:sz w:val="24"/>
        </w:rPr>
        <w:t xml:space="preserve"> MOFCOM granted</w:t>
      </w:r>
      <w:r>
        <w:rPr>
          <w:sz w:val="24"/>
        </w:rPr>
        <w:t xml:space="preserve"> this broad confidential treatment even though (i) wine is made available for public sales through channels readily observable to the public, and (ii)in a response to an earlier question in the </w:t>
      </w:r>
      <w:r>
        <w:rPr>
          <w:i/>
          <w:sz w:val="24"/>
        </w:rPr>
        <w:t>same</w:t>
      </w:r>
      <w:r>
        <w:rPr>
          <w:i/>
          <w:spacing w:val="-13"/>
          <w:sz w:val="24"/>
        </w:rPr>
        <w:t xml:space="preserve"> </w:t>
      </w:r>
      <w:r>
        <w:rPr>
          <w:i/>
          <w:sz w:val="24"/>
        </w:rPr>
        <w:t>questionnaire</w:t>
      </w:r>
      <w:r>
        <w:rPr>
          <w:i/>
          <w:spacing w:val="-11"/>
          <w:sz w:val="24"/>
        </w:rPr>
        <w:t xml:space="preserve"> </w:t>
      </w:r>
      <w:r>
        <w:rPr>
          <w:i/>
          <w:sz w:val="24"/>
        </w:rPr>
        <w:t>responses,</w:t>
      </w:r>
      <w:r>
        <w:rPr>
          <w:i/>
          <w:spacing w:val="-14"/>
          <w:sz w:val="24"/>
        </w:rPr>
        <w:t xml:space="preserve"> </w:t>
      </w:r>
      <w:r>
        <w:rPr>
          <w:sz w:val="24"/>
        </w:rPr>
        <w:t>the</w:t>
      </w:r>
      <w:r>
        <w:rPr>
          <w:spacing w:val="-12"/>
          <w:sz w:val="24"/>
        </w:rPr>
        <w:t xml:space="preserve"> </w:t>
      </w:r>
      <w:r>
        <w:rPr>
          <w:sz w:val="24"/>
        </w:rPr>
        <w:t>answer</w:t>
      </w:r>
      <w:r>
        <w:rPr>
          <w:spacing w:val="-13"/>
          <w:sz w:val="24"/>
        </w:rPr>
        <w:t xml:space="preserve"> </w:t>
      </w:r>
      <w:r>
        <w:rPr>
          <w:sz w:val="24"/>
        </w:rPr>
        <w:t>had</w:t>
      </w:r>
      <w:r>
        <w:rPr>
          <w:spacing w:val="-13"/>
          <w:sz w:val="24"/>
        </w:rPr>
        <w:t xml:space="preserve"> </w:t>
      </w:r>
      <w:r>
        <w:rPr>
          <w:sz w:val="24"/>
        </w:rPr>
        <w:t>been</w:t>
      </w:r>
      <w:r>
        <w:rPr>
          <w:spacing w:val="-13"/>
          <w:sz w:val="24"/>
        </w:rPr>
        <w:t xml:space="preserve"> </w:t>
      </w:r>
      <w:r>
        <w:rPr>
          <w:sz w:val="24"/>
        </w:rPr>
        <w:t>given</w:t>
      </w:r>
      <w:r>
        <w:rPr>
          <w:spacing w:val="-14"/>
          <w:sz w:val="24"/>
        </w:rPr>
        <w:t xml:space="preserve"> </w:t>
      </w:r>
      <w:r>
        <w:rPr>
          <w:sz w:val="24"/>
        </w:rPr>
        <w:t>that</w:t>
      </w:r>
      <w:r>
        <w:rPr>
          <w:spacing w:val="-12"/>
          <w:sz w:val="24"/>
        </w:rPr>
        <w:t xml:space="preserve"> </w:t>
      </w:r>
      <w:r>
        <w:rPr>
          <w:sz w:val="24"/>
        </w:rPr>
        <w:t>the</w:t>
      </w:r>
      <w:r>
        <w:rPr>
          <w:spacing w:val="-13"/>
          <w:sz w:val="24"/>
        </w:rPr>
        <w:t xml:space="preserve"> </w:t>
      </w:r>
      <w:r>
        <w:rPr>
          <w:sz w:val="24"/>
        </w:rPr>
        <w:t>domestic industry's "sales channels includ[e] direct sales, distribution, online sales, etc".</w:t>
      </w:r>
      <w:r>
        <w:rPr>
          <w:spacing w:val="-20"/>
          <w:sz w:val="24"/>
        </w:rPr>
        <w:t xml:space="preserve"> </w:t>
      </w:r>
      <w:r>
        <w:rPr>
          <w:sz w:val="24"/>
          <w:vertAlign w:val="superscript"/>
        </w:rPr>
        <w:t>1031</w:t>
      </w:r>
    </w:p>
    <w:p w14:paraId="51DE96F8" w14:textId="77777777" w:rsidR="0010369C" w:rsidRDefault="008E43AE">
      <w:pPr>
        <w:pStyle w:val="BodyText"/>
        <w:spacing w:before="11"/>
        <w:rPr>
          <w:sz w:val="25"/>
        </w:rPr>
      </w:pPr>
      <w:r>
        <w:pict w14:anchorId="51DEA72B">
          <v:rect id="docshape1293" o:spid="_x0000_s1148" style="position:absolute;margin-left:70.9pt;margin-top:17.05pt;width:2in;height:.8pt;z-index:-250728960;mso-wrap-distance-left:0;mso-wrap-distance-right:0;mso-position-horizontal-relative:page" fillcolor="black" stroked="f">
            <w10:wrap type="topAndBottom" anchorx="page"/>
          </v:rect>
        </w:pict>
      </w:r>
    </w:p>
    <w:p w14:paraId="51DE96F9" w14:textId="77777777" w:rsidR="0010369C" w:rsidRDefault="008E43AE">
      <w:pPr>
        <w:spacing w:before="109"/>
        <w:ind w:left="238" w:right="611" w:hanging="1"/>
        <w:jc w:val="both"/>
        <w:rPr>
          <w:sz w:val="18"/>
        </w:rPr>
      </w:pPr>
      <w:r>
        <w:rPr>
          <w:sz w:val="18"/>
        </w:rPr>
        <w:t>Questionnaire Response (Exhibit AUS‐61), p. 19;</w:t>
      </w:r>
      <w:r>
        <w:rPr>
          <w:spacing w:val="-1"/>
          <w:sz w:val="18"/>
        </w:rPr>
        <w:t xml:space="preserve"> </w:t>
      </w:r>
      <w:r>
        <w:rPr>
          <w:sz w:val="18"/>
        </w:rPr>
        <w:t>Kweichow</w:t>
      </w:r>
      <w:r>
        <w:rPr>
          <w:spacing w:val="-1"/>
          <w:sz w:val="18"/>
        </w:rPr>
        <w:t xml:space="preserve"> </w:t>
      </w:r>
      <w:r>
        <w:rPr>
          <w:sz w:val="18"/>
        </w:rPr>
        <w:t>Moutai</w:t>
      </w:r>
      <w:r>
        <w:rPr>
          <w:spacing w:val="-1"/>
          <w:sz w:val="18"/>
        </w:rPr>
        <w:t xml:space="preserve"> </w:t>
      </w:r>
      <w:r>
        <w:rPr>
          <w:sz w:val="18"/>
        </w:rPr>
        <w:t>Distillery Anti‐Dumping Questionnaire Response (Exhibit AUS‐60), p. 20; Gansu Zixu</w:t>
      </w:r>
      <w:r>
        <w:rPr>
          <w:sz w:val="18"/>
        </w:rPr>
        <w:t>an Wine Anti‐Dumping Questionnaire Response (Exhibit AUS‐59), p.18; Gansu Mogao Industrial Development Anti‐Dumping Questionnaire Response (Exhibit AUS‐58), p.20; Beijing Fengshou Wine Anti‐Dumping Questionnaire Response</w:t>
      </w:r>
      <w:r>
        <w:rPr>
          <w:spacing w:val="40"/>
          <w:sz w:val="18"/>
        </w:rPr>
        <w:t xml:space="preserve"> </w:t>
      </w:r>
      <w:r>
        <w:rPr>
          <w:sz w:val="18"/>
        </w:rPr>
        <w:t>(Exhibit AUS‐56),</w:t>
      </w:r>
      <w:r>
        <w:rPr>
          <w:spacing w:val="-1"/>
          <w:sz w:val="18"/>
        </w:rPr>
        <w:t xml:space="preserve"> </w:t>
      </w:r>
      <w:r>
        <w:rPr>
          <w:sz w:val="18"/>
        </w:rPr>
        <w:t>p. 19; Turpan Lou</w:t>
      </w:r>
      <w:r>
        <w:rPr>
          <w:sz w:val="18"/>
        </w:rPr>
        <w:t>land Wine Anti‐Dumping Questionnaire Response (Exhibit AUS‐ 54), p. 19; and COFCO Anti‐Dumping Questionnaire Response (Exhibit AUS‐44), p. 19.</w:t>
      </w:r>
    </w:p>
    <w:p w14:paraId="51DE96FA" w14:textId="77777777" w:rsidR="0010369C" w:rsidRDefault="008E43AE">
      <w:pPr>
        <w:spacing w:before="101" w:line="177" w:lineRule="auto"/>
        <w:ind w:left="238" w:right="612"/>
        <w:jc w:val="both"/>
        <w:rPr>
          <w:sz w:val="18"/>
        </w:rPr>
      </w:pPr>
      <w:r>
        <w:rPr>
          <w:sz w:val="18"/>
          <w:vertAlign w:val="superscript"/>
        </w:rPr>
        <w:t>1027</w:t>
      </w:r>
      <w:r>
        <w:rPr>
          <w:sz w:val="18"/>
        </w:rPr>
        <w:t xml:space="preserve"> See for example, Changyu Wines Anti‐Dumping Questionnaire Response (Exhibit AUS‐53), p. 20; COFCO Anti‐Dumpi</w:t>
      </w:r>
      <w:r>
        <w:rPr>
          <w:sz w:val="18"/>
        </w:rPr>
        <w:t>ng Questionnaire Response (Exhibit AUS‐44), p. 19.</w:t>
      </w:r>
    </w:p>
    <w:p w14:paraId="51DE96FB" w14:textId="77777777" w:rsidR="0010369C" w:rsidRDefault="008E43AE">
      <w:pPr>
        <w:spacing w:before="114" w:line="177" w:lineRule="auto"/>
        <w:ind w:left="238" w:right="612"/>
        <w:jc w:val="both"/>
        <w:rPr>
          <w:sz w:val="18"/>
        </w:rPr>
      </w:pPr>
      <w:r>
        <w:rPr>
          <w:sz w:val="18"/>
          <w:vertAlign w:val="superscript"/>
        </w:rPr>
        <w:t>1028</w:t>
      </w:r>
      <w:r>
        <w:rPr>
          <w:sz w:val="18"/>
        </w:rPr>
        <w:t xml:space="preserve"> See for example, Changyu Wines Anti‐Dumping Questionnaire Response (Exhibit AUS‐53), p. 19; COFCO Anti‐Dumping Questionnaire Response (Exhibit AUS‐44), p. 18.</w:t>
      </w:r>
    </w:p>
    <w:p w14:paraId="51DE96FC" w14:textId="77777777" w:rsidR="0010369C" w:rsidRDefault="008E43AE">
      <w:pPr>
        <w:spacing w:before="115" w:line="177" w:lineRule="auto"/>
        <w:ind w:left="238"/>
        <w:rPr>
          <w:sz w:val="18"/>
        </w:rPr>
      </w:pPr>
      <w:r>
        <w:rPr>
          <w:sz w:val="18"/>
          <w:vertAlign w:val="superscript"/>
        </w:rPr>
        <w:t>1029</w:t>
      </w:r>
      <w:r>
        <w:rPr>
          <w:spacing w:val="40"/>
          <w:sz w:val="18"/>
        </w:rPr>
        <w:t xml:space="preserve"> </w:t>
      </w:r>
      <w:r>
        <w:rPr>
          <w:sz w:val="18"/>
        </w:rPr>
        <w:t>Yantai</w:t>
      </w:r>
      <w:r>
        <w:rPr>
          <w:spacing w:val="40"/>
          <w:sz w:val="18"/>
        </w:rPr>
        <w:t xml:space="preserve"> </w:t>
      </w:r>
      <w:r>
        <w:rPr>
          <w:sz w:val="18"/>
        </w:rPr>
        <w:t>Landsun</w:t>
      </w:r>
      <w:r>
        <w:rPr>
          <w:spacing w:val="40"/>
          <w:sz w:val="18"/>
        </w:rPr>
        <w:t xml:space="preserve"> </w:t>
      </w:r>
      <w:r>
        <w:rPr>
          <w:sz w:val="18"/>
        </w:rPr>
        <w:t>Anti‐Dumping</w:t>
      </w:r>
      <w:r>
        <w:rPr>
          <w:spacing w:val="40"/>
          <w:sz w:val="18"/>
        </w:rPr>
        <w:t xml:space="preserve"> </w:t>
      </w:r>
      <w:r>
        <w:rPr>
          <w:sz w:val="18"/>
        </w:rPr>
        <w:t>Question</w:t>
      </w:r>
      <w:r>
        <w:rPr>
          <w:sz w:val="18"/>
        </w:rPr>
        <w:t>naire</w:t>
      </w:r>
      <w:r>
        <w:rPr>
          <w:spacing w:val="40"/>
          <w:sz w:val="18"/>
        </w:rPr>
        <w:t xml:space="preserve"> </w:t>
      </w:r>
      <w:r>
        <w:rPr>
          <w:sz w:val="18"/>
        </w:rPr>
        <w:t>Response</w:t>
      </w:r>
      <w:r>
        <w:rPr>
          <w:spacing w:val="40"/>
          <w:sz w:val="18"/>
        </w:rPr>
        <w:t xml:space="preserve"> </w:t>
      </w:r>
      <w:r>
        <w:rPr>
          <w:sz w:val="18"/>
        </w:rPr>
        <w:t>(Exhibit</w:t>
      </w:r>
      <w:r>
        <w:rPr>
          <w:spacing w:val="40"/>
          <w:sz w:val="18"/>
        </w:rPr>
        <w:t xml:space="preserve"> </w:t>
      </w:r>
      <w:r>
        <w:rPr>
          <w:sz w:val="18"/>
        </w:rPr>
        <w:t>AUS‐52),</w:t>
      </w:r>
      <w:r>
        <w:rPr>
          <w:spacing w:val="40"/>
          <w:sz w:val="18"/>
        </w:rPr>
        <w:t xml:space="preserve"> </w:t>
      </w:r>
      <w:r>
        <w:rPr>
          <w:sz w:val="18"/>
        </w:rPr>
        <w:t>p.</w:t>
      </w:r>
      <w:r>
        <w:rPr>
          <w:spacing w:val="40"/>
          <w:sz w:val="18"/>
        </w:rPr>
        <w:t xml:space="preserve"> </w:t>
      </w:r>
      <w:r>
        <w:rPr>
          <w:sz w:val="18"/>
        </w:rPr>
        <w:t>30;</w:t>
      </w:r>
      <w:r>
        <w:rPr>
          <w:spacing w:val="40"/>
          <w:sz w:val="18"/>
        </w:rPr>
        <w:t xml:space="preserve"> </w:t>
      </w:r>
      <w:r>
        <w:rPr>
          <w:sz w:val="18"/>
        </w:rPr>
        <w:t>Dynasty</w:t>
      </w:r>
      <w:r>
        <w:rPr>
          <w:spacing w:val="40"/>
          <w:sz w:val="18"/>
        </w:rPr>
        <w:t xml:space="preserve"> </w:t>
      </w:r>
      <w:r>
        <w:rPr>
          <w:sz w:val="18"/>
        </w:rPr>
        <w:t>Fine</w:t>
      </w:r>
      <w:r>
        <w:rPr>
          <w:spacing w:val="40"/>
          <w:sz w:val="18"/>
        </w:rPr>
        <w:t xml:space="preserve"> </w:t>
      </w:r>
      <w:r>
        <w:rPr>
          <w:sz w:val="18"/>
        </w:rPr>
        <w:t>Wine</w:t>
      </w:r>
      <w:r>
        <w:rPr>
          <w:spacing w:val="40"/>
          <w:sz w:val="18"/>
        </w:rPr>
        <w:t xml:space="preserve"> </w:t>
      </w:r>
      <w:r>
        <w:rPr>
          <w:sz w:val="18"/>
        </w:rPr>
        <w:t>Anti‐Dumping Questionnaire Response (Exhibit AUS‐55); p. 30; Ningxia Anti‐Dumping Questionnaire Response (Exhibit AUS‐57), p. 30;</w:t>
      </w:r>
    </w:p>
    <w:p w14:paraId="51DE96FD" w14:textId="77777777" w:rsidR="0010369C" w:rsidRDefault="008E43AE">
      <w:pPr>
        <w:spacing w:before="13"/>
        <w:ind w:left="238" w:right="611"/>
        <w:rPr>
          <w:sz w:val="18"/>
        </w:rPr>
      </w:pPr>
      <w:r>
        <w:rPr>
          <w:sz w:val="18"/>
        </w:rPr>
        <w:t>Tonghua</w:t>
      </w:r>
      <w:r>
        <w:rPr>
          <w:spacing w:val="28"/>
          <w:sz w:val="18"/>
        </w:rPr>
        <w:t xml:space="preserve"> </w:t>
      </w:r>
      <w:r>
        <w:rPr>
          <w:sz w:val="18"/>
        </w:rPr>
        <w:t>Tontine</w:t>
      </w:r>
      <w:r>
        <w:rPr>
          <w:spacing w:val="28"/>
          <w:sz w:val="18"/>
        </w:rPr>
        <w:t xml:space="preserve"> </w:t>
      </w:r>
      <w:r>
        <w:rPr>
          <w:sz w:val="18"/>
        </w:rPr>
        <w:t>Wine Anti‐Dumping</w:t>
      </w:r>
      <w:r>
        <w:rPr>
          <w:spacing w:val="28"/>
          <w:sz w:val="18"/>
        </w:rPr>
        <w:t xml:space="preserve"> </w:t>
      </w:r>
      <w:r>
        <w:rPr>
          <w:sz w:val="18"/>
        </w:rPr>
        <w:t>Questionnaire Response (Exhibit</w:t>
      </w:r>
      <w:r>
        <w:rPr>
          <w:spacing w:val="28"/>
          <w:sz w:val="18"/>
        </w:rPr>
        <w:t xml:space="preserve"> </w:t>
      </w:r>
      <w:r>
        <w:rPr>
          <w:sz w:val="18"/>
        </w:rPr>
        <w:t>AUS‐50),</w:t>
      </w:r>
      <w:r>
        <w:rPr>
          <w:spacing w:val="28"/>
          <w:sz w:val="18"/>
        </w:rPr>
        <w:t xml:space="preserve"> </w:t>
      </w:r>
      <w:r>
        <w:rPr>
          <w:sz w:val="18"/>
        </w:rPr>
        <w:t>pp.</w:t>
      </w:r>
      <w:r>
        <w:rPr>
          <w:spacing w:val="28"/>
          <w:sz w:val="18"/>
        </w:rPr>
        <w:t xml:space="preserve"> </w:t>
      </w:r>
      <w:r>
        <w:rPr>
          <w:sz w:val="18"/>
        </w:rPr>
        <w:t>30‐31;</w:t>
      </w:r>
      <w:r>
        <w:rPr>
          <w:spacing w:val="28"/>
          <w:sz w:val="18"/>
        </w:rPr>
        <w:t xml:space="preserve"> </w:t>
      </w:r>
      <w:r>
        <w:rPr>
          <w:sz w:val="18"/>
        </w:rPr>
        <w:t>Xinjiang Sunyard Wine Anti‐ Dumping Questionnaire Response (Exhibit AUS‐49), p. 29; Chateau Junding Anti‐Dumping Questionnaire Response (Exhibit AUS‐48),</w:t>
      </w:r>
      <w:r>
        <w:rPr>
          <w:spacing w:val="-2"/>
          <w:sz w:val="18"/>
        </w:rPr>
        <w:t xml:space="preserve"> </w:t>
      </w:r>
      <w:r>
        <w:rPr>
          <w:sz w:val="18"/>
        </w:rPr>
        <w:t>p.</w:t>
      </w:r>
      <w:r>
        <w:rPr>
          <w:spacing w:val="-2"/>
          <w:sz w:val="18"/>
        </w:rPr>
        <w:t xml:space="preserve"> </w:t>
      </w:r>
      <w:r>
        <w:rPr>
          <w:sz w:val="18"/>
        </w:rPr>
        <w:t>30;</w:t>
      </w:r>
      <w:r>
        <w:rPr>
          <w:spacing w:val="-3"/>
          <w:sz w:val="18"/>
        </w:rPr>
        <w:t xml:space="preserve"> </w:t>
      </w:r>
      <w:r>
        <w:rPr>
          <w:sz w:val="18"/>
        </w:rPr>
        <w:t>CITIC</w:t>
      </w:r>
      <w:r>
        <w:rPr>
          <w:spacing w:val="-4"/>
          <w:sz w:val="18"/>
        </w:rPr>
        <w:t xml:space="preserve"> </w:t>
      </w:r>
      <w:r>
        <w:rPr>
          <w:sz w:val="18"/>
        </w:rPr>
        <w:t>Guoan</w:t>
      </w:r>
      <w:r>
        <w:rPr>
          <w:spacing w:val="-3"/>
          <w:sz w:val="18"/>
        </w:rPr>
        <w:t xml:space="preserve"> </w:t>
      </w:r>
      <w:r>
        <w:rPr>
          <w:sz w:val="18"/>
        </w:rPr>
        <w:t>Wine</w:t>
      </w:r>
      <w:r>
        <w:rPr>
          <w:spacing w:val="-3"/>
          <w:sz w:val="18"/>
        </w:rPr>
        <w:t xml:space="preserve"> </w:t>
      </w:r>
      <w:r>
        <w:rPr>
          <w:sz w:val="18"/>
        </w:rPr>
        <w:t>Anti‐Dumping</w:t>
      </w:r>
      <w:r>
        <w:rPr>
          <w:spacing w:val="-2"/>
          <w:sz w:val="18"/>
        </w:rPr>
        <w:t xml:space="preserve"> </w:t>
      </w:r>
      <w:r>
        <w:rPr>
          <w:sz w:val="18"/>
        </w:rPr>
        <w:t>Questionnaire</w:t>
      </w:r>
      <w:r>
        <w:rPr>
          <w:spacing w:val="-3"/>
          <w:sz w:val="18"/>
        </w:rPr>
        <w:t xml:space="preserve"> </w:t>
      </w:r>
      <w:r>
        <w:rPr>
          <w:sz w:val="18"/>
        </w:rPr>
        <w:t>Response</w:t>
      </w:r>
      <w:r>
        <w:rPr>
          <w:spacing w:val="-3"/>
          <w:sz w:val="18"/>
        </w:rPr>
        <w:t xml:space="preserve"> </w:t>
      </w:r>
      <w:r>
        <w:rPr>
          <w:sz w:val="18"/>
        </w:rPr>
        <w:t>(Exhibit</w:t>
      </w:r>
      <w:r>
        <w:rPr>
          <w:spacing w:val="-3"/>
          <w:sz w:val="18"/>
        </w:rPr>
        <w:t xml:space="preserve"> </w:t>
      </w:r>
      <w:r>
        <w:rPr>
          <w:sz w:val="18"/>
        </w:rPr>
        <w:t>AUS‐47),</w:t>
      </w:r>
      <w:r>
        <w:rPr>
          <w:spacing w:val="-2"/>
          <w:sz w:val="18"/>
        </w:rPr>
        <w:t xml:space="preserve"> </w:t>
      </w:r>
      <w:r>
        <w:rPr>
          <w:sz w:val="18"/>
        </w:rPr>
        <w:t>p.</w:t>
      </w:r>
      <w:r>
        <w:rPr>
          <w:spacing w:val="-2"/>
          <w:sz w:val="18"/>
        </w:rPr>
        <w:t xml:space="preserve"> </w:t>
      </w:r>
      <w:r>
        <w:rPr>
          <w:sz w:val="18"/>
        </w:rPr>
        <w:t>29;</w:t>
      </w:r>
      <w:r>
        <w:rPr>
          <w:spacing w:val="-3"/>
          <w:sz w:val="18"/>
        </w:rPr>
        <w:t xml:space="preserve"> </w:t>
      </w:r>
      <w:r>
        <w:rPr>
          <w:sz w:val="18"/>
        </w:rPr>
        <w:t>Yunan</w:t>
      </w:r>
      <w:r>
        <w:rPr>
          <w:spacing w:val="-3"/>
          <w:sz w:val="18"/>
        </w:rPr>
        <w:t xml:space="preserve"> </w:t>
      </w:r>
      <w:r>
        <w:rPr>
          <w:sz w:val="18"/>
        </w:rPr>
        <w:t>Gaoyuan</w:t>
      </w:r>
      <w:r>
        <w:rPr>
          <w:spacing w:val="-3"/>
          <w:sz w:val="18"/>
        </w:rPr>
        <w:t xml:space="preserve"> </w:t>
      </w:r>
      <w:r>
        <w:rPr>
          <w:sz w:val="18"/>
        </w:rPr>
        <w:t>Wine</w:t>
      </w:r>
      <w:r>
        <w:rPr>
          <w:spacing w:val="-3"/>
          <w:sz w:val="18"/>
        </w:rPr>
        <w:t xml:space="preserve"> </w:t>
      </w:r>
      <w:r>
        <w:rPr>
          <w:sz w:val="18"/>
        </w:rPr>
        <w:t>Anti‐ Dumping Questionnaire Response (Exhibit AUS-46), p. 28; Xinjiang West Region Pearl Winery Anti‐dumping Questionnaire Response (Exhibit AUS‐45), p. 28; Tonghua Winery Anti‐Dumping Questionnaire Res</w:t>
      </w:r>
      <w:r>
        <w:rPr>
          <w:sz w:val="18"/>
        </w:rPr>
        <w:t>ponse (Exhibit AUS‐43), p. 30; Shanxi Rongzi</w:t>
      </w:r>
      <w:r>
        <w:rPr>
          <w:spacing w:val="-1"/>
          <w:sz w:val="18"/>
        </w:rPr>
        <w:t xml:space="preserve"> </w:t>
      </w:r>
      <w:r>
        <w:rPr>
          <w:sz w:val="18"/>
        </w:rPr>
        <w:t>Winery Anti‐Dumping Questionnaire</w:t>
      </w:r>
      <w:r>
        <w:rPr>
          <w:spacing w:val="-1"/>
          <w:sz w:val="18"/>
        </w:rPr>
        <w:t xml:space="preserve"> </w:t>
      </w:r>
      <w:r>
        <w:rPr>
          <w:sz w:val="18"/>
        </w:rPr>
        <w:t>Response</w:t>
      </w:r>
      <w:r>
        <w:rPr>
          <w:spacing w:val="-1"/>
          <w:sz w:val="18"/>
        </w:rPr>
        <w:t xml:space="preserve"> </w:t>
      </w:r>
      <w:r>
        <w:rPr>
          <w:sz w:val="18"/>
        </w:rPr>
        <w:t>(Exhibit</w:t>
      </w:r>
      <w:r>
        <w:rPr>
          <w:spacing w:val="-1"/>
          <w:sz w:val="18"/>
        </w:rPr>
        <w:t xml:space="preserve"> </w:t>
      </w:r>
      <w:r>
        <w:rPr>
          <w:sz w:val="18"/>
        </w:rPr>
        <w:t>AUS‐63), p. 29;</w:t>
      </w:r>
      <w:r>
        <w:rPr>
          <w:spacing w:val="-1"/>
          <w:sz w:val="18"/>
        </w:rPr>
        <w:t xml:space="preserve"> </w:t>
      </w:r>
      <w:r>
        <w:rPr>
          <w:sz w:val="18"/>
        </w:rPr>
        <w:t>Shangri‐La Wine</w:t>
      </w:r>
      <w:r>
        <w:rPr>
          <w:spacing w:val="-1"/>
          <w:sz w:val="18"/>
        </w:rPr>
        <w:t xml:space="preserve"> </w:t>
      </w:r>
      <w:r>
        <w:rPr>
          <w:sz w:val="18"/>
        </w:rPr>
        <w:t>Anti‐Dumping</w:t>
      </w:r>
      <w:r>
        <w:rPr>
          <w:spacing w:val="-1"/>
          <w:sz w:val="18"/>
        </w:rPr>
        <w:t xml:space="preserve"> </w:t>
      </w:r>
      <w:r>
        <w:rPr>
          <w:sz w:val="18"/>
        </w:rPr>
        <w:t>Questionnaire Response (Exhibit AUS‐62), p. 29; Qingdao Huadong Winery Anti‐Dumping Questionnaire Response (Exhibi</w:t>
      </w:r>
      <w:r>
        <w:rPr>
          <w:sz w:val="18"/>
        </w:rPr>
        <w:t xml:space="preserve">t AUS‐61), p. 29; Kweichow Moutai Distillery Anti‐Dumping Questionnaire Response (Exhibit AUS‐60), pp. 30‐31; Gansu Zixuan Wine Anti‐ Dumping Questionnaire Response (Exhibit AUS‐59), pp. 28‐29; Gansu Mogao Industrial Development Anti‐Dumping Questionnaire </w:t>
      </w:r>
      <w:r>
        <w:rPr>
          <w:sz w:val="18"/>
        </w:rPr>
        <w:t>Response (Exhibit AUS‐58), pp. 30‐31; Beijing Fengshou Wine Anti‐Dumping Questionnaire Response (Exhibit AUS‐56), p. 29; Turpan Louland Wine</w:t>
      </w:r>
      <w:r>
        <w:rPr>
          <w:spacing w:val="34"/>
          <w:sz w:val="18"/>
        </w:rPr>
        <w:t xml:space="preserve"> </w:t>
      </w:r>
      <w:r>
        <w:rPr>
          <w:sz w:val="18"/>
        </w:rPr>
        <w:t>Anti‐Dumping</w:t>
      </w:r>
      <w:r>
        <w:rPr>
          <w:spacing w:val="34"/>
          <w:sz w:val="18"/>
        </w:rPr>
        <w:t xml:space="preserve"> </w:t>
      </w:r>
      <w:r>
        <w:rPr>
          <w:sz w:val="18"/>
        </w:rPr>
        <w:t>Questionnaire</w:t>
      </w:r>
      <w:r>
        <w:rPr>
          <w:spacing w:val="34"/>
          <w:sz w:val="18"/>
        </w:rPr>
        <w:t xml:space="preserve"> </w:t>
      </w:r>
      <w:r>
        <w:rPr>
          <w:sz w:val="18"/>
        </w:rPr>
        <w:t>Response</w:t>
      </w:r>
      <w:r>
        <w:rPr>
          <w:spacing w:val="35"/>
          <w:sz w:val="18"/>
        </w:rPr>
        <w:t xml:space="preserve"> </w:t>
      </w:r>
      <w:r>
        <w:rPr>
          <w:sz w:val="18"/>
        </w:rPr>
        <w:t>(Exhibit</w:t>
      </w:r>
      <w:r>
        <w:rPr>
          <w:spacing w:val="34"/>
          <w:sz w:val="18"/>
        </w:rPr>
        <w:t xml:space="preserve"> </w:t>
      </w:r>
      <w:r>
        <w:rPr>
          <w:sz w:val="18"/>
        </w:rPr>
        <w:t>AUS‐54),</w:t>
      </w:r>
      <w:r>
        <w:rPr>
          <w:spacing w:val="34"/>
          <w:sz w:val="18"/>
        </w:rPr>
        <w:t xml:space="preserve"> </w:t>
      </w:r>
      <w:r>
        <w:rPr>
          <w:sz w:val="18"/>
        </w:rPr>
        <w:t>p.</w:t>
      </w:r>
      <w:r>
        <w:rPr>
          <w:spacing w:val="35"/>
          <w:sz w:val="18"/>
        </w:rPr>
        <w:t xml:space="preserve"> </w:t>
      </w:r>
      <w:r>
        <w:rPr>
          <w:sz w:val="18"/>
        </w:rPr>
        <w:t>29;</w:t>
      </w:r>
      <w:r>
        <w:rPr>
          <w:spacing w:val="34"/>
          <w:sz w:val="18"/>
        </w:rPr>
        <w:t xml:space="preserve"> </w:t>
      </w:r>
      <w:r>
        <w:rPr>
          <w:sz w:val="18"/>
        </w:rPr>
        <w:t>and</w:t>
      </w:r>
      <w:r>
        <w:rPr>
          <w:spacing w:val="35"/>
          <w:sz w:val="18"/>
        </w:rPr>
        <w:t xml:space="preserve"> </w:t>
      </w:r>
      <w:r>
        <w:rPr>
          <w:sz w:val="18"/>
        </w:rPr>
        <w:t>COFCO</w:t>
      </w:r>
      <w:r>
        <w:rPr>
          <w:spacing w:val="34"/>
          <w:sz w:val="18"/>
        </w:rPr>
        <w:t xml:space="preserve"> </w:t>
      </w:r>
      <w:r>
        <w:rPr>
          <w:sz w:val="18"/>
        </w:rPr>
        <w:t>Anti‐ Dumping</w:t>
      </w:r>
      <w:r>
        <w:rPr>
          <w:spacing w:val="40"/>
          <w:sz w:val="18"/>
        </w:rPr>
        <w:t xml:space="preserve"> </w:t>
      </w:r>
      <w:r>
        <w:rPr>
          <w:sz w:val="18"/>
        </w:rPr>
        <w:t>Questionnaire</w:t>
      </w:r>
      <w:r>
        <w:rPr>
          <w:spacing w:val="40"/>
          <w:sz w:val="18"/>
        </w:rPr>
        <w:t xml:space="preserve"> </w:t>
      </w:r>
      <w:r>
        <w:rPr>
          <w:sz w:val="18"/>
        </w:rPr>
        <w:t>Response</w:t>
      </w:r>
      <w:r>
        <w:rPr>
          <w:spacing w:val="40"/>
          <w:sz w:val="18"/>
        </w:rPr>
        <w:t xml:space="preserve"> </w:t>
      </w:r>
      <w:r>
        <w:rPr>
          <w:sz w:val="18"/>
        </w:rPr>
        <w:t>(Exhibit AUS‐44), p. 30.</w:t>
      </w:r>
    </w:p>
    <w:p w14:paraId="51DE96FE" w14:textId="77777777" w:rsidR="0010369C" w:rsidRDefault="008E43AE">
      <w:pPr>
        <w:spacing w:before="101" w:line="177" w:lineRule="auto"/>
        <w:ind w:left="238"/>
        <w:rPr>
          <w:sz w:val="18"/>
        </w:rPr>
      </w:pPr>
      <w:r>
        <w:rPr>
          <w:sz w:val="18"/>
          <w:vertAlign w:val="superscript"/>
        </w:rPr>
        <w:t>1030</w:t>
      </w:r>
      <w:r>
        <w:rPr>
          <w:sz w:val="18"/>
        </w:rPr>
        <w:t xml:space="preserve"> See for example, Changyu Wines Anti‐Dumping Questionnaire Response (Exhibit AUS‐53), p. 31; COFCO Anti‐Dumping Questionnaire Response (Exhibit AUS‐44), p. 31.</w:t>
      </w:r>
    </w:p>
    <w:p w14:paraId="51DE96FF" w14:textId="77777777" w:rsidR="0010369C" w:rsidRDefault="008E43AE">
      <w:pPr>
        <w:spacing w:before="114" w:line="177" w:lineRule="auto"/>
        <w:ind w:left="238"/>
        <w:rPr>
          <w:sz w:val="18"/>
        </w:rPr>
      </w:pPr>
      <w:r>
        <w:rPr>
          <w:sz w:val="18"/>
          <w:vertAlign w:val="superscript"/>
        </w:rPr>
        <w:t>1031</w:t>
      </w:r>
      <w:r>
        <w:rPr>
          <w:sz w:val="18"/>
        </w:rPr>
        <w:t xml:space="preserve"> See for example: Changyu Wines Anti‐Dumping Questionnaire Resp</w:t>
      </w:r>
      <w:r>
        <w:rPr>
          <w:sz w:val="18"/>
        </w:rPr>
        <w:t>onse (Exhibit AUS‐53), p. 19; COFCO Anti‐Dumping Questionnaire Response (Exhibit AUS‐44), p. 19.</w:t>
      </w:r>
    </w:p>
    <w:p w14:paraId="51DE9700" w14:textId="77777777" w:rsidR="0010369C" w:rsidRDefault="0010369C">
      <w:pPr>
        <w:spacing w:line="177" w:lineRule="auto"/>
        <w:rPr>
          <w:sz w:val="18"/>
        </w:rPr>
        <w:sectPr w:rsidR="0010369C">
          <w:pgSz w:w="11910" w:h="16840"/>
          <w:pgMar w:top="880" w:right="800" w:bottom="980" w:left="1180" w:header="569" w:footer="788" w:gutter="0"/>
          <w:cols w:space="720"/>
        </w:sectPr>
      </w:pPr>
    </w:p>
    <w:p w14:paraId="51DE9701" w14:textId="77777777" w:rsidR="0010369C" w:rsidRDefault="008E43AE">
      <w:pPr>
        <w:tabs>
          <w:tab w:val="left" w:pos="6426"/>
        </w:tabs>
        <w:ind w:left="238"/>
        <w:rPr>
          <w:sz w:val="20"/>
        </w:rPr>
      </w:pPr>
      <w:r>
        <w:rPr>
          <w:i/>
          <w:sz w:val="20"/>
        </w:rPr>
        <w:lastRenderedPageBreak/>
        <w:t>China</w:t>
      </w:r>
      <w:r>
        <w:rPr>
          <w:i/>
          <w:spacing w:val="-5"/>
          <w:sz w:val="20"/>
        </w:rPr>
        <w:t xml:space="preserve"> </w:t>
      </w:r>
      <w:r>
        <w:rPr>
          <w:i/>
          <w:sz w:val="20"/>
        </w:rPr>
        <w:t>–</w:t>
      </w:r>
      <w:r>
        <w:rPr>
          <w:i/>
          <w:spacing w:val="-5"/>
          <w:sz w:val="20"/>
        </w:rPr>
        <w:t xml:space="preserve"> </w:t>
      </w:r>
      <w:r>
        <w:rPr>
          <w:i/>
          <w:sz w:val="20"/>
        </w:rPr>
        <w:t>Anti‐Dumping</w:t>
      </w:r>
      <w:r>
        <w:rPr>
          <w:i/>
          <w:spacing w:val="-4"/>
          <w:sz w:val="20"/>
        </w:rPr>
        <w:t xml:space="preserve"> </w:t>
      </w:r>
      <w:r>
        <w:rPr>
          <w:i/>
          <w:sz w:val="20"/>
        </w:rPr>
        <w:t>and</w:t>
      </w:r>
      <w:r>
        <w:rPr>
          <w:i/>
          <w:spacing w:val="-5"/>
          <w:sz w:val="20"/>
        </w:rPr>
        <w:t xml:space="preserve"> </w:t>
      </w:r>
      <w:r>
        <w:rPr>
          <w:i/>
          <w:sz w:val="20"/>
        </w:rPr>
        <w:t>Countervailing</w:t>
      </w:r>
      <w:r>
        <w:rPr>
          <w:i/>
          <w:spacing w:val="-5"/>
          <w:sz w:val="20"/>
        </w:rPr>
        <w:t xml:space="preserve"> </w:t>
      </w:r>
      <w:r>
        <w:rPr>
          <w:i/>
          <w:sz w:val="20"/>
        </w:rPr>
        <w:t>Duty</w:t>
      </w:r>
      <w:r>
        <w:rPr>
          <w:i/>
          <w:spacing w:val="-4"/>
          <w:sz w:val="20"/>
        </w:rPr>
        <w:t xml:space="preserve"> </w:t>
      </w:r>
      <w:r>
        <w:rPr>
          <w:i/>
          <w:spacing w:val="-2"/>
          <w:sz w:val="20"/>
        </w:rPr>
        <w:t>Measures</w:t>
      </w:r>
      <w:r>
        <w:rPr>
          <w:i/>
          <w:sz w:val="20"/>
        </w:rPr>
        <w:tab/>
      </w:r>
      <w:r>
        <w:rPr>
          <w:sz w:val="20"/>
        </w:rPr>
        <w:t>Australia's</w:t>
      </w:r>
      <w:r>
        <w:rPr>
          <w:spacing w:val="-7"/>
          <w:sz w:val="20"/>
        </w:rPr>
        <w:t xml:space="preserve"> </w:t>
      </w:r>
      <w:r>
        <w:rPr>
          <w:sz w:val="20"/>
        </w:rPr>
        <w:t>First</w:t>
      </w:r>
      <w:r>
        <w:rPr>
          <w:spacing w:val="-2"/>
          <w:sz w:val="20"/>
        </w:rPr>
        <w:t xml:space="preserve"> </w:t>
      </w:r>
      <w:r>
        <w:rPr>
          <w:sz w:val="20"/>
        </w:rPr>
        <w:t>Written</w:t>
      </w:r>
      <w:r>
        <w:rPr>
          <w:spacing w:val="-2"/>
          <w:sz w:val="20"/>
        </w:rPr>
        <w:t xml:space="preserve"> Submission</w:t>
      </w:r>
    </w:p>
    <w:p w14:paraId="51DE9702" w14:textId="77777777" w:rsidR="0010369C" w:rsidRDefault="008E43AE">
      <w:pPr>
        <w:tabs>
          <w:tab w:val="left" w:pos="8228"/>
        </w:tabs>
        <w:spacing w:before="1"/>
        <w:ind w:left="239"/>
        <w:rPr>
          <w:sz w:val="20"/>
        </w:rPr>
      </w:pPr>
      <w:r>
        <w:rPr>
          <w:i/>
          <w:sz w:val="20"/>
        </w:rPr>
        <w:t>on</w:t>
      </w:r>
      <w:r>
        <w:rPr>
          <w:i/>
          <w:spacing w:val="-1"/>
          <w:sz w:val="20"/>
        </w:rPr>
        <w:t xml:space="preserve"> </w:t>
      </w:r>
      <w:r>
        <w:rPr>
          <w:i/>
          <w:sz w:val="20"/>
        </w:rPr>
        <w:t>Wine</w:t>
      </w:r>
      <w:r>
        <w:rPr>
          <w:i/>
          <w:spacing w:val="-1"/>
          <w:sz w:val="20"/>
        </w:rPr>
        <w:t xml:space="preserve"> </w:t>
      </w:r>
      <w:r>
        <w:rPr>
          <w:i/>
          <w:sz w:val="20"/>
        </w:rPr>
        <w:t>from</w:t>
      </w:r>
      <w:r>
        <w:rPr>
          <w:i/>
          <w:spacing w:val="-3"/>
          <w:sz w:val="20"/>
        </w:rPr>
        <w:t xml:space="preserve"> </w:t>
      </w:r>
      <w:r>
        <w:rPr>
          <w:i/>
          <w:sz w:val="20"/>
        </w:rPr>
        <w:t>Australia</w:t>
      </w:r>
      <w:r>
        <w:rPr>
          <w:i/>
          <w:spacing w:val="-1"/>
          <w:sz w:val="20"/>
        </w:rPr>
        <w:t xml:space="preserve"> </w:t>
      </w:r>
      <w:r>
        <w:rPr>
          <w:spacing w:val="-2"/>
          <w:sz w:val="20"/>
        </w:rPr>
        <w:t>(DS602)</w:t>
      </w:r>
      <w:r>
        <w:rPr>
          <w:sz w:val="20"/>
        </w:rPr>
        <w:tab/>
        <w:t>29</w:t>
      </w:r>
      <w:r>
        <w:rPr>
          <w:spacing w:val="-1"/>
          <w:sz w:val="20"/>
        </w:rPr>
        <w:t xml:space="preserve"> </w:t>
      </w:r>
      <w:r>
        <w:rPr>
          <w:sz w:val="20"/>
        </w:rPr>
        <w:t>April</w:t>
      </w:r>
      <w:r>
        <w:rPr>
          <w:spacing w:val="-2"/>
          <w:sz w:val="20"/>
        </w:rPr>
        <w:t xml:space="preserve"> </w:t>
      </w:r>
      <w:r>
        <w:rPr>
          <w:spacing w:val="-4"/>
          <w:sz w:val="20"/>
        </w:rPr>
        <w:t>2022</w:t>
      </w:r>
    </w:p>
    <w:p w14:paraId="51DE9703" w14:textId="77777777" w:rsidR="0010369C" w:rsidRDefault="008E43AE">
      <w:pPr>
        <w:pStyle w:val="BodyText"/>
        <w:spacing w:before="34" w:line="360" w:lineRule="auto"/>
        <w:ind w:left="237" w:right="613" w:firstLine="851"/>
        <w:jc w:val="both"/>
      </w:pPr>
      <w:r>
        <w:rPr>
          <w:noProof/>
        </w:rPr>
        <w:drawing>
          <wp:anchor distT="0" distB="0" distL="0" distR="0" simplePos="0" relativeHeight="251452928" behindDoc="1" locked="0" layoutInCell="1" allowOverlap="1" wp14:anchorId="51DEA72C" wp14:editId="51DEA72D">
            <wp:simplePos x="0" y="0"/>
            <wp:positionH relativeFrom="page">
              <wp:posOffset>902208</wp:posOffset>
            </wp:positionH>
            <wp:positionV relativeFrom="paragraph">
              <wp:posOffset>69165</wp:posOffset>
            </wp:positionV>
            <wp:extent cx="262127" cy="103631"/>
            <wp:effectExtent l="0" t="0" r="0" b="0"/>
            <wp:wrapNone/>
            <wp:docPr id="1669" name="image8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 name="image862.png"/>
                    <pic:cNvPicPr/>
                  </pic:nvPicPr>
                  <pic:blipFill>
                    <a:blip r:embed="rId1127" cstate="print"/>
                    <a:stretch>
                      <a:fillRect/>
                    </a:stretch>
                  </pic:blipFill>
                  <pic:spPr>
                    <a:xfrm>
                      <a:off x="0" y="0"/>
                      <a:ext cx="262127" cy="103631"/>
                    </a:xfrm>
                    <a:prstGeom prst="rect">
                      <a:avLst/>
                    </a:prstGeom>
                  </pic:spPr>
                </pic:pic>
              </a:graphicData>
            </a:graphic>
          </wp:anchor>
        </w:drawing>
      </w:r>
      <w:r>
        <w:t>In every domestic producer's questionnaire response, the same requests for confidential treatment were made, in identical terms, to cover the responses to the same questions. In addition, the same non‐confidential summaries of the information for which con</w:t>
      </w:r>
      <w:r>
        <w:t>fidential</w:t>
      </w:r>
      <w:r>
        <w:rPr>
          <w:spacing w:val="-14"/>
        </w:rPr>
        <w:t xml:space="preserve"> </w:t>
      </w:r>
      <w:r>
        <w:t>treatment</w:t>
      </w:r>
      <w:r>
        <w:rPr>
          <w:spacing w:val="-14"/>
        </w:rPr>
        <w:t xml:space="preserve"> </w:t>
      </w:r>
      <w:r>
        <w:t>was</w:t>
      </w:r>
      <w:r>
        <w:rPr>
          <w:spacing w:val="-13"/>
        </w:rPr>
        <w:t xml:space="preserve"> </w:t>
      </w:r>
      <w:r>
        <w:t>requested</w:t>
      </w:r>
      <w:r>
        <w:rPr>
          <w:spacing w:val="-14"/>
        </w:rPr>
        <w:t xml:space="preserve"> </w:t>
      </w:r>
      <w:r>
        <w:t>were</w:t>
      </w:r>
      <w:r>
        <w:rPr>
          <w:spacing w:val="-13"/>
        </w:rPr>
        <w:t xml:space="preserve"> </w:t>
      </w:r>
      <w:r>
        <w:t>furnished</w:t>
      </w:r>
      <w:r>
        <w:rPr>
          <w:spacing w:val="-14"/>
        </w:rPr>
        <w:t xml:space="preserve"> </w:t>
      </w:r>
      <w:r>
        <w:t>in</w:t>
      </w:r>
      <w:r>
        <w:rPr>
          <w:spacing w:val="-13"/>
        </w:rPr>
        <w:t xml:space="preserve"> </w:t>
      </w:r>
      <w:r>
        <w:t>identical</w:t>
      </w:r>
      <w:r>
        <w:rPr>
          <w:spacing w:val="-14"/>
        </w:rPr>
        <w:t xml:space="preserve"> </w:t>
      </w:r>
      <w:r>
        <w:t>terms</w:t>
      </w:r>
      <w:r>
        <w:rPr>
          <w:spacing w:val="-14"/>
        </w:rPr>
        <w:t xml:space="preserve"> </w:t>
      </w:r>
      <w:r>
        <w:t>in</w:t>
      </w:r>
      <w:r>
        <w:rPr>
          <w:spacing w:val="-13"/>
        </w:rPr>
        <w:t xml:space="preserve"> </w:t>
      </w:r>
      <w:r>
        <w:t>every</w:t>
      </w:r>
      <w:r>
        <w:rPr>
          <w:spacing w:val="-14"/>
        </w:rPr>
        <w:t xml:space="preserve"> </w:t>
      </w:r>
      <w:r>
        <w:t>questionnaire response. A representative response is provided as an example below:</w:t>
      </w:r>
      <w:r>
        <w:rPr>
          <w:spacing w:val="-8"/>
        </w:rPr>
        <w:t xml:space="preserve"> </w:t>
      </w:r>
      <w:r>
        <w:rPr>
          <w:vertAlign w:val="superscript"/>
        </w:rPr>
        <w:t>1032</w:t>
      </w:r>
    </w:p>
    <w:p w14:paraId="51DE9704" w14:textId="77777777" w:rsidR="0010369C" w:rsidRDefault="008E43AE">
      <w:pPr>
        <w:spacing w:before="161" w:line="276" w:lineRule="auto"/>
        <w:ind w:left="1089" w:right="615" w:hanging="1"/>
        <w:jc w:val="both"/>
      </w:pPr>
      <w:r>
        <w:t>14. Please describe the production equipment and devices as well as the production techniques</w:t>
      </w:r>
      <w:r>
        <w:rPr>
          <w:spacing w:val="-1"/>
        </w:rPr>
        <w:t xml:space="preserve"> </w:t>
      </w:r>
      <w:r>
        <w:t>and</w:t>
      </w:r>
      <w:r>
        <w:rPr>
          <w:spacing w:val="-2"/>
        </w:rPr>
        <w:t xml:space="preserve"> </w:t>
      </w:r>
      <w:r>
        <w:t>process</w:t>
      </w:r>
      <w:r>
        <w:rPr>
          <w:spacing w:val="-1"/>
        </w:rPr>
        <w:t xml:space="preserve"> </w:t>
      </w:r>
      <w:r>
        <w:t>used</w:t>
      </w:r>
      <w:r>
        <w:rPr>
          <w:spacing w:val="-1"/>
        </w:rPr>
        <w:t xml:space="preserve"> </w:t>
      </w:r>
      <w:r>
        <w:t>to produce</w:t>
      </w:r>
      <w:r>
        <w:rPr>
          <w:spacing w:val="-1"/>
        </w:rPr>
        <w:t xml:space="preserve"> </w:t>
      </w:r>
      <w:r>
        <w:t>the like</w:t>
      </w:r>
      <w:r>
        <w:rPr>
          <w:spacing w:val="-1"/>
        </w:rPr>
        <w:t xml:space="preserve"> </w:t>
      </w:r>
      <w:r>
        <w:t>products of</w:t>
      </w:r>
      <w:r>
        <w:rPr>
          <w:spacing w:val="-1"/>
        </w:rPr>
        <w:t xml:space="preserve"> </w:t>
      </w:r>
      <w:r>
        <w:t>your</w:t>
      </w:r>
      <w:r>
        <w:rPr>
          <w:spacing w:val="-1"/>
        </w:rPr>
        <w:t xml:space="preserve"> </w:t>
      </w:r>
      <w:r>
        <w:t>company (please</w:t>
      </w:r>
      <w:r>
        <w:rPr>
          <w:spacing w:val="-1"/>
        </w:rPr>
        <w:t xml:space="preserve"> </w:t>
      </w:r>
      <w:r>
        <w:t>attach</w:t>
      </w:r>
      <w:r>
        <w:rPr>
          <w:spacing w:val="-2"/>
        </w:rPr>
        <w:t xml:space="preserve"> </w:t>
      </w:r>
      <w:r>
        <w:t>a production flow chart).</w:t>
      </w:r>
    </w:p>
    <w:p w14:paraId="51DE9705" w14:textId="77777777" w:rsidR="0010369C" w:rsidRDefault="0010369C">
      <w:pPr>
        <w:pStyle w:val="BodyText"/>
        <w:spacing w:before="8"/>
        <w:rPr>
          <w:sz w:val="19"/>
        </w:rPr>
      </w:pPr>
    </w:p>
    <w:p w14:paraId="51DE9706" w14:textId="77777777" w:rsidR="0010369C" w:rsidRDefault="008E43AE">
      <w:pPr>
        <w:spacing w:line="276" w:lineRule="auto"/>
        <w:ind w:left="1089" w:right="614"/>
        <w:jc w:val="both"/>
      </w:pPr>
      <w:r>
        <w:t>Answer: [This involves relevant information about the prod</w:t>
      </w:r>
      <w:r>
        <w:t>uction equipment, devices and techniques</w:t>
      </w:r>
      <w:r>
        <w:rPr>
          <w:spacing w:val="-13"/>
        </w:rPr>
        <w:t xml:space="preserve"> </w:t>
      </w:r>
      <w:r>
        <w:t>used</w:t>
      </w:r>
      <w:r>
        <w:rPr>
          <w:spacing w:val="-12"/>
        </w:rPr>
        <w:t xml:space="preserve"> </w:t>
      </w:r>
      <w:r>
        <w:t>for</w:t>
      </w:r>
      <w:r>
        <w:rPr>
          <w:spacing w:val="-13"/>
        </w:rPr>
        <w:t xml:space="preserve"> </w:t>
      </w:r>
      <w:r>
        <w:t>like</w:t>
      </w:r>
      <w:r>
        <w:rPr>
          <w:spacing w:val="-12"/>
        </w:rPr>
        <w:t xml:space="preserve"> </w:t>
      </w:r>
      <w:r>
        <w:t>products</w:t>
      </w:r>
      <w:r>
        <w:rPr>
          <w:spacing w:val="-13"/>
        </w:rPr>
        <w:t xml:space="preserve"> </w:t>
      </w:r>
      <w:r>
        <w:t>of</w:t>
      </w:r>
      <w:r>
        <w:rPr>
          <w:spacing w:val="-12"/>
        </w:rPr>
        <w:t xml:space="preserve"> </w:t>
      </w:r>
      <w:r>
        <w:t>our</w:t>
      </w:r>
      <w:r>
        <w:rPr>
          <w:spacing w:val="-13"/>
        </w:rPr>
        <w:t xml:space="preserve"> </w:t>
      </w:r>
      <w:r>
        <w:t>company,</w:t>
      </w:r>
      <w:r>
        <w:rPr>
          <w:spacing w:val="-12"/>
        </w:rPr>
        <w:t xml:space="preserve"> </w:t>
      </w:r>
      <w:r>
        <w:t>which</w:t>
      </w:r>
      <w:r>
        <w:rPr>
          <w:spacing w:val="-12"/>
        </w:rPr>
        <w:t xml:space="preserve"> </w:t>
      </w:r>
      <w:r>
        <w:t>is</w:t>
      </w:r>
      <w:r>
        <w:rPr>
          <w:spacing w:val="-13"/>
        </w:rPr>
        <w:t xml:space="preserve"> </w:t>
      </w:r>
      <w:r>
        <w:t>a</w:t>
      </w:r>
      <w:r>
        <w:rPr>
          <w:spacing w:val="-12"/>
        </w:rPr>
        <w:t xml:space="preserve"> </w:t>
      </w:r>
      <w:r>
        <w:t>trade</w:t>
      </w:r>
      <w:r>
        <w:rPr>
          <w:spacing w:val="-13"/>
        </w:rPr>
        <w:t xml:space="preserve"> </w:t>
      </w:r>
      <w:r>
        <w:t>secret.</w:t>
      </w:r>
      <w:r>
        <w:rPr>
          <w:spacing w:val="-12"/>
        </w:rPr>
        <w:t xml:space="preserve"> </w:t>
      </w:r>
      <w:r>
        <w:t>Its</w:t>
      </w:r>
      <w:r>
        <w:rPr>
          <w:spacing w:val="-13"/>
        </w:rPr>
        <w:t xml:space="preserve"> </w:t>
      </w:r>
      <w:r>
        <w:t>public</w:t>
      </w:r>
      <w:r>
        <w:rPr>
          <w:spacing w:val="-12"/>
        </w:rPr>
        <w:t xml:space="preserve"> </w:t>
      </w:r>
      <w:r>
        <w:t>disclosure will</w:t>
      </w:r>
      <w:r>
        <w:rPr>
          <w:spacing w:val="-8"/>
        </w:rPr>
        <w:t xml:space="preserve"> </w:t>
      </w:r>
      <w:r>
        <w:t>adversely</w:t>
      </w:r>
      <w:r>
        <w:rPr>
          <w:spacing w:val="-7"/>
        </w:rPr>
        <w:t xml:space="preserve"> </w:t>
      </w:r>
      <w:r>
        <w:t>affect</w:t>
      </w:r>
      <w:r>
        <w:rPr>
          <w:spacing w:val="-8"/>
        </w:rPr>
        <w:t xml:space="preserve"> </w:t>
      </w:r>
      <w:r>
        <w:t>our</w:t>
      </w:r>
      <w:r>
        <w:rPr>
          <w:spacing w:val="-6"/>
        </w:rPr>
        <w:t xml:space="preserve"> </w:t>
      </w:r>
      <w:r>
        <w:t>company.</w:t>
      </w:r>
      <w:r>
        <w:rPr>
          <w:spacing w:val="-7"/>
        </w:rPr>
        <w:t xml:space="preserve"> </w:t>
      </w:r>
      <w:r>
        <w:t>We</w:t>
      </w:r>
      <w:r>
        <w:rPr>
          <w:spacing w:val="-7"/>
        </w:rPr>
        <w:t xml:space="preserve"> </w:t>
      </w:r>
      <w:r>
        <w:t>therefore</w:t>
      </w:r>
      <w:r>
        <w:rPr>
          <w:spacing w:val="-8"/>
        </w:rPr>
        <w:t xml:space="preserve"> </w:t>
      </w:r>
      <w:r>
        <w:t>request</w:t>
      </w:r>
      <w:r>
        <w:rPr>
          <w:spacing w:val="-7"/>
        </w:rPr>
        <w:t xml:space="preserve"> </w:t>
      </w:r>
      <w:r>
        <w:t>that</w:t>
      </w:r>
      <w:r>
        <w:rPr>
          <w:spacing w:val="-7"/>
        </w:rPr>
        <w:t xml:space="preserve"> </w:t>
      </w:r>
      <w:r>
        <w:t>such</w:t>
      </w:r>
      <w:r>
        <w:rPr>
          <w:spacing w:val="-8"/>
        </w:rPr>
        <w:t xml:space="preserve"> </w:t>
      </w:r>
      <w:r>
        <w:t>information</w:t>
      </w:r>
      <w:r>
        <w:rPr>
          <w:spacing w:val="-7"/>
        </w:rPr>
        <w:t xml:space="preserve"> </w:t>
      </w:r>
      <w:r>
        <w:t>be</w:t>
      </w:r>
      <w:r>
        <w:rPr>
          <w:spacing w:val="-6"/>
        </w:rPr>
        <w:t xml:space="preserve"> </w:t>
      </w:r>
      <w:r>
        <w:t>treated</w:t>
      </w:r>
      <w:r>
        <w:rPr>
          <w:spacing w:val="-7"/>
        </w:rPr>
        <w:t xml:space="preserve"> </w:t>
      </w:r>
      <w:r>
        <w:t>as confidential and not be listed.]</w:t>
      </w:r>
    </w:p>
    <w:p w14:paraId="51DE9707" w14:textId="77777777" w:rsidR="0010369C" w:rsidRDefault="0010369C">
      <w:pPr>
        <w:pStyle w:val="BodyText"/>
        <w:spacing w:before="5"/>
        <w:rPr>
          <w:sz w:val="15"/>
        </w:rPr>
      </w:pPr>
    </w:p>
    <w:p w14:paraId="51DE9708" w14:textId="77777777" w:rsidR="0010369C" w:rsidRDefault="008E43AE">
      <w:pPr>
        <w:pStyle w:val="BodyText"/>
        <w:spacing w:before="51" w:line="360" w:lineRule="auto"/>
        <w:ind w:left="235" w:right="612" w:firstLine="853"/>
        <w:jc w:val="both"/>
      </w:pPr>
      <w:r>
        <w:rPr>
          <w:noProof/>
        </w:rPr>
        <w:drawing>
          <wp:anchor distT="0" distB="0" distL="0" distR="0" simplePos="0" relativeHeight="251453952" behindDoc="1" locked="0" layoutInCell="1" allowOverlap="1" wp14:anchorId="51DEA72E" wp14:editId="51DEA72F">
            <wp:simplePos x="0" y="0"/>
            <wp:positionH relativeFrom="page">
              <wp:posOffset>902208</wp:posOffset>
            </wp:positionH>
            <wp:positionV relativeFrom="paragraph">
              <wp:posOffset>81315</wp:posOffset>
            </wp:positionV>
            <wp:extent cx="262127" cy="100753"/>
            <wp:effectExtent l="0" t="0" r="0" b="0"/>
            <wp:wrapNone/>
            <wp:docPr id="1671" name="image8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 name="image863.png"/>
                    <pic:cNvPicPr/>
                  </pic:nvPicPr>
                  <pic:blipFill>
                    <a:blip r:embed="rId1128" cstate="print"/>
                    <a:stretch>
                      <a:fillRect/>
                    </a:stretch>
                  </pic:blipFill>
                  <pic:spPr>
                    <a:xfrm>
                      <a:off x="0" y="0"/>
                      <a:ext cx="262127" cy="100753"/>
                    </a:xfrm>
                    <a:prstGeom prst="rect">
                      <a:avLst/>
                    </a:prstGeom>
                  </pic:spPr>
                </pic:pic>
              </a:graphicData>
            </a:graphic>
          </wp:anchor>
        </w:drawing>
      </w:r>
      <w:r>
        <w:t>The</w:t>
      </w:r>
      <w:r>
        <w:rPr>
          <w:spacing w:val="-7"/>
        </w:rPr>
        <w:t xml:space="preserve"> </w:t>
      </w:r>
      <w:r>
        <w:t>fact</w:t>
      </w:r>
      <w:r>
        <w:rPr>
          <w:spacing w:val="-7"/>
        </w:rPr>
        <w:t xml:space="preserve"> </w:t>
      </w:r>
      <w:r>
        <w:t>that</w:t>
      </w:r>
      <w:r>
        <w:rPr>
          <w:spacing w:val="-7"/>
        </w:rPr>
        <w:t xml:space="preserve"> </w:t>
      </w:r>
      <w:r>
        <w:t>all</w:t>
      </w:r>
      <w:r>
        <w:rPr>
          <w:spacing w:val="-8"/>
        </w:rPr>
        <w:t xml:space="preserve"> </w:t>
      </w:r>
      <w:r>
        <w:t>of</w:t>
      </w:r>
      <w:r>
        <w:rPr>
          <w:spacing w:val="-8"/>
        </w:rPr>
        <w:t xml:space="preserve"> </w:t>
      </w:r>
      <w:r>
        <w:t>these</w:t>
      </w:r>
      <w:r>
        <w:rPr>
          <w:spacing w:val="-7"/>
        </w:rPr>
        <w:t xml:space="preserve"> </w:t>
      </w:r>
      <w:r>
        <w:t>competitor</w:t>
      </w:r>
      <w:r>
        <w:rPr>
          <w:spacing w:val="-9"/>
        </w:rPr>
        <w:t xml:space="preserve"> </w:t>
      </w:r>
      <w:r>
        <w:t>companies</w:t>
      </w:r>
      <w:r>
        <w:rPr>
          <w:spacing w:val="-8"/>
        </w:rPr>
        <w:t xml:space="preserve"> </w:t>
      </w:r>
      <w:r>
        <w:t>provided</w:t>
      </w:r>
      <w:r>
        <w:rPr>
          <w:spacing w:val="-7"/>
        </w:rPr>
        <w:t xml:space="preserve"> </w:t>
      </w:r>
      <w:r>
        <w:t>verbatim</w:t>
      </w:r>
      <w:r>
        <w:rPr>
          <w:spacing w:val="-8"/>
        </w:rPr>
        <w:t xml:space="preserve"> </w:t>
      </w:r>
      <w:r>
        <w:t>identical</w:t>
      </w:r>
      <w:r>
        <w:rPr>
          <w:spacing w:val="-7"/>
        </w:rPr>
        <w:t xml:space="preserve"> </w:t>
      </w:r>
      <w:r>
        <w:t>requests for confidential treatment and non‐confidential summaries in their individual questionnaire responses</w:t>
      </w:r>
      <w:r>
        <w:rPr>
          <w:spacing w:val="-11"/>
        </w:rPr>
        <w:t xml:space="preserve"> </w:t>
      </w:r>
      <w:r>
        <w:t>is</w:t>
      </w:r>
      <w:r>
        <w:rPr>
          <w:spacing w:val="-10"/>
        </w:rPr>
        <w:t xml:space="preserve"> </w:t>
      </w:r>
      <w:r>
        <w:t>striking.</w:t>
      </w:r>
      <w:r>
        <w:rPr>
          <w:spacing w:val="-10"/>
        </w:rPr>
        <w:t xml:space="preserve"> </w:t>
      </w:r>
      <w:r>
        <w:t>It</w:t>
      </w:r>
      <w:r>
        <w:rPr>
          <w:spacing w:val="-10"/>
        </w:rPr>
        <w:t xml:space="preserve"> </w:t>
      </w:r>
      <w:r>
        <w:t>indicates</w:t>
      </w:r>
      <w:r>
        <w:rPr>
          <w:spacing w:val="-10"/>
        </w:rPr>
        <w:t xml:space="preserve"> </w:t>
      </w:r>
      <w:r>
        <w:t>that</w:t>
      </w:r>
      <w:r>
        <w:rPr>
          <w:spacing w:val="-10"/>
        </w:rPr>
        <w:t xml:space="preserve"> </w:t>
      </w:r>
      <w:r>
        <w:t>there</w:t>
      </w:r>
      <w:r>
        <w:rPr>
          <w:spacing w:val="-10"/>
        </w:rPr>
        <w:t xml:space="preserve"> </w:t>
      </w:r>
      <w:r>
        <w:t>was</w:t>
      </w:r>
      <w:r>
        <w:rPr>
          <w:spacing w:val="-10"/>
        </w:rPr>
        <w:t xml:space="preserve"> </w:t>
      </w:r>
      <w:r>
        <w:t>some</w:t>
      </w:r>
      <w:r>
        <w:rPr>
          <w:spacing w:val="-10"/>
        </w:rPr>
        <w:t xml:space="preserve"> </w:t>
      </w:r>
      <w:r>
        <w:t>form</w:t>
      </w:r>
      <w:r>
        <w:rPr>
          <w:spacing w:val="-10"/>
        </w:rPr>
        <w:t xml:space="preserve"> </w:t>
      </w:r>
      <w:r>
        <w:t>of</w:t>
      </w:r>
      <w:r>
        <w:rPr>
          <w:spacing w:val="-10"/>
        </w:rPr>
        <w:t xml:space="preserve"> </w:t>
      </w:r>
      <w:r>
        <w:t>coordination</w:t>
      </w:r>
      <w:r>
        <w:rPr>
          <w:spacing w:val="-11"/>
        </w:rPr>
        <w:t xml:space="preserve"> </w:t>
      </w:r>
      <w:r>
        <w:t>or</w:t>
      </w:r>
      <w:r>
        <w:rPr>
          <w:spacing w:val="-10"/>
        </w:rPr>
        <w:t xml:space="preserve"> </w:t>
      </w:r>
      <w:r>
        <w:t>central</w:t>
      </w:r>
      <w:r>
        <w:rPr>
          <w:spacing w:val="-10"/>
        </w:rPr>
        <w:t xml:space="preserve"> </w:t>
      </w:r>
      <w:r>
        <w:t>planning involved</w:t>
      </w:r>
      <w:r>
        <w:rPr>
          <w:spacing w:val="-12"/>
        </w:rPr>
        <w:t xml:space="preserve"> </w:t>
      </w:r>
      <w:r>
        <w:t>in</w:t>
      </w:r>
      <w:r>
        <w:rPr>
          <w:spacing w:val="-12"/>
        </w:rPr>
        <w:t xml:space="preserve"> </w:t>
      </w:r>
      <w:r>
        <w:t>determining</w:t>
      </w:r>
      <w:r>
        <w:rPr>
          <w:spacing w:val="-12"/>
        </w:rPr>
        <w:t xml:space="preserve"> </w:t>
      </w:r>
      <w:r>
        <w:t>that</w:t>
      </w:r>
      <w:r>
        <w:rPr>
          <w:spacing w:val="-12"/>
        </w:rPr>
        <w:t xml:space="preserve"> </w:t>
      </w:r>
      <w:r>
        <w:t>the</w:t>
      </w:r>
      <w:r>
        <w:rPr>
          <w:spacing w:val="-12"/>
        </w:rPr>
        <w:t xml:space="preserve"> </w:t>
      </w:r>
      <w:r>
        <w:t>answers</w:t>
      </w:r>
      <w:r>
        <w:rPr>
          <w:spacing w:val="-13"/>
        </w:rPr>
        <w:t xml:space="preserve"> </w:t>
      </w:r>
      <w:r>
        <w:t>to</w:t>
      </w:r>
      <w:r>
        <w:rPr>
          <w:spacing w:val="-12"/>
        </w:rPr>
        <w:t xml:space="preserve"> </w:t>
      </w:r>
      <w:r>
        <w:t>certain</w:t>
      </w:r>
      <w:r>
        <w:rPr>
          <w:spacing w:val="-13"/>
        </w:rPr>
        <w:t xml:space="preserve"> </w:t>
      </w:r>
      <w:r>
        <w:t>questions</w:t>
      </w:r>
      <w:r>
        <w:rPr>
          <w:spacing w:val="-11"/>
        </w:rPr>
        <w:t xml:space="preserve"> </w:t>
      </w:r>
      <w:r>
        <w:t>in</w:t>
      </w:r>
      <w:r>
        <w:rPr>
          <w:spacing w:val="-12"/>
        </w:rPr>
        <w:t xml:space="preserve"> </w:t>
      </w:r>
      <w:r>
        <w:t>every</w:t>
      </w:r>
      <w:r>
        <w:rPr>
          <w:spacing w:val="-12"/>
        </w:rPr>
        <w:t xml:space="preserve"> </w:t>
      </w:r>
      <w:r>
        <w:t>questionnaire</w:t>
      </w:r>
      <w:r>
        <w:rPr>
          <w:spacing w:val="-11"/>
        </w:rPr>
        <w:t xml:space="preserve"> </w:t>
      </w:r>
      <w:r>
        <w:t>response would be treated as confidential in their entirety, rather than each company making its own requests for confidentiality on an answer‐by‐answer and point‐by‐point basis, with each taking into account its own particular circumstances and what it co</w:t>
      </w:r>
      <w:r>
        <w:t>nsidered to be the confidential</w:t>
      </w:r>
      <w:r>
        <w:rPr>
          <w:spacing w:val="-11"/>
        </w:rPr>
        <w:t xml:space="preserve"> </w:t>
      </w:r>
      <w:r>
        <w:t>information</w:t>
      </w:r>
      <w:r>
        <w:rPr>
          <w:spacing w:val="-10"/>
        </w:rPr>
        <w:t xml:space="preserve"> </w:t>
      </w:r>
      <w:r>
        <w:t>contained</w:t>
      </w:r>
      <w:r>
        <w:rPr>
          <w:spacing w:val="-10"/>
        </w:rPr>
        <w:t xml:space="preserve"> </w:t>
      </w:r>
      <w:r>
        <w:t>within</w:t>
      </w:r>
      <w:r>
        <w:rPr>
          <w:spacing w:val="-10"/>
        </w:rPr>
        <w:t xml:space="preserve"> </w:t>
      </w:r>
      <w:r>
        <w:t>its</w:t>
      </w:r>
      <w:r>
        <w:rPr>
          <w:spacing w:val="-10"/>
        </w:rPr>
        <w:t xml:space="preserve"> </w:t>
      </w:r>
      <w:r>
        <w:t>answers.</w:t>
      </w:r>
      <w:r>
        <w:rPr>
          <w:spacing w:val="-9"/>
        </w:rPr>
        <w:t xml:space="preserve"> </w:t>
      </w:r>
      <w:r>
        <w:t>If</w:t>
      </w:r>
      <w:r>
        <w:rPr>
          <w:spacing w:val="-10"/>
        </w:rPr>
        <w:t xml:space="preserve"> </w:t>
      </w:r>
      <w:r>
        <w:t>this</w:t>
      </w:r>
      <w:r>
        <w:rPr>
          <w:spacing w:val="-10"/>
        </w:rPr>
        <w:t xml:space="preserve"> </w:t>
      </w:r>
      <w:r>
        <w:t>approach</w:t>
      </w:r>
      <w:r>
        <w:rPr>
          <w:spacing w:val="-10"/>
        </w:rPr>
        <w:t xml:space="preserve"> </w:t>
      </w:r>
      <w:r>
        <w:t>was</w:t>
      </w:r>
      <w:r>
        <w:rPr>
          <w:spacing w:val="-10"/>
        </w:rPr>
        <w:t xml:space="preserve"> </w:t>
      </w:r>
      <w:r>
        <w:t>based</w:t>
      </w:r>
      <w:r>
        <w:rPr>
          <w:spacing w:val="-10"/>
        </w:rPr>
        <w:t xml:space="preserve"> </w:t>
      </w:r>
      <w:r>
        <w:t>on</w:t>
      </w:r>
      <w:r>
        <w:rPr>
          <w:spacing w:val="-11"/>
        </w:rPr>
        <w:t xml:space="preserve"> </w:t>
      </w:r>
      <w:r>
        <w:t>guidance provided by MOFCOM to the domestic producers, it demonstrates that MOFCOM failed to conduct</w:t>
      </w:r>
      <w:r>
        <w:rPr>
          <w:spacing w:val="-10"/>
        </w:rPr>
        <w:t xml:space="preserve"> </w:t>
      </w:r>
      <w:r>
        <w:t>an</w:t>
      </w:r>
      <w:r>
        <w:rPr>
          <w:spacing w:val="-11"/>
        </w:rPr>
        <w:t xml:space="preserve"> </w:t>
      </w:r>
      <w:r>
        <w:t>objective</w:t>
      </w:r>
      <w:r>
        <w:rPr>
          <w:spacing w:val="-9"/>
        </w:rPr>
        <w:t xml:space="preserve"> </w:t>
      </w:r>
      <w:r>
        <w:t>assessment</w:t>
      </w:r>
      <w:r>
        <w:rPr>
          <w:spacing w:val="-10"/>
        </w:rPr>
        <w:t xml:space="preserve"> </w:t>
      </w:r>
      <w:r>
        <w:t>of</w:t>
      </w:r>
      <w:r>
        <w:rPr>
          <w:spacing w:val="-11"/>
        </w:rPr>
        <w:t xml:space="preserve"> </w:t>
      </w:r>
      <w:r>
        <w:t>whether</w:t>
      </w:r>
      <w:r>
        <w:rPr>
          <w:spacing w:val="-10"/>
        </w:rPr>
        <w:t xml:space="preserve"> </w:t>
      </w:r>
      <w:r>
        <w:t>"good</w:t>
      </w:r>
      <w:r>
        <w:rPr>
          <w:spacing w:val="-10"/>
        </w:rPr>
        <w:t xml:space="preserve"> </w:t>
      </w:r>
      <w:r>
        <w:t>cause"</w:t>
      </w:r>
      <w:r>
        <w:rPr>
          <w:spacing w:val="-11"/>
        </w:rPr>
        <w:t xml:space="preserve"> </w:t>
      </w:r>
      <w:r>
        <w:t>was</w:t>
      </w:r>
      <w:r>
        <w:rPr>
          <w:spacing w:val="-10"/>
        </w:rPr>
        <w:t xml:space="preserve"> </w:t>
      </w:r>
      <w:r>
        <w:t>shown</w:t>
      </w:r>
      <w:r>
        <w:rPr>
          <w:spacing w:val="-10"/>
        </w:rPr>
        <w:t xml:space="preserve"> </w:t>
      </w:r>
      <w:r>
        <w:t>in</w:t>
      </w:r>
      <w:r>
        <w:rPr>
          <w:spacing w:val="-10"/>
        </w:rPr>
        <w:t xml:space="preserve"> </w:t>
      </w:r>
      <w:r>
        <w:t>each</w:t>
      </w:r>
      <w:r>
        <w:rPr>
          <w:spacing w:val="-12"/>
        </w:rPr>
        <w:t xml:space="preserve"> </w:t>
      </w:r>
      <w:r>
        <w:t>of</w:t>
      </w:r>
      <w:r>
        <w:rPr>
          <w:spacing w:val="-10"/>
        </w:rPr>
        <w:t xml:space="preserve"> </w:t>
      </w:r>
      <w:r>
        <w:t>the</w:t>
      </w:r>
      <w:r>
        <w:rPr>
          <w:spacing w:val="-9"/>
        </w:rPr>
        <w:t xml:space="preserve"> </w:t>
      </w:r>
      <w:r>
        <w:t xml:space="preserve">requests. Regardless, MOFCOM's treatment of the same annexures in each questionnaire verification response as confidential </w:t>
      </w:r>
      <w:r>
        <w:rPr>
          <w:i/>
        </w:rPr>
        <w:t xml:space="preserve">in their entirety </w:t>
      </w:r>
      <w:r>
        <w:t xml:space="preserve">based upon identical, formulaic requests and identical, formulaic non‐confidential summaries </w:t>
      </w:r>
      <w:r>
        <w:t xml:space="preserve">is </w:t>
      </w:r>
      <w:r>
        <w:rPr>
          <w:i/>
        </w:rPr>
        <w:t xml:space="preserve">prima facie </w:t>
      </w:r>
      <w:r>
        <w:t>evidence of a failure to (i) require "good cause" to be shown, (ii) objectively examine whether "good cause" has been shown, or (iii) require non‐confidential summaries to be furnished "in sufficient detail to permit a reasonable understandi</w:t>
      </w:r>
      <w:r>
        <w:t xml:space="preserve">ng of the substance of the information submitted in </w:t>
      </w:r>
      <w:r>
        <w:rPr>
          <w:spacing w:val="-2"/>
        </w:rPr>
        <w:t>confidence".</w:t>
      </w:r>
    </w:p>
    <w:p w14:paraId="51DE9709" w14:textId="77777777" w:rsidR="0010369C" w:rsidRDefault="0010369C">
      <w:pPr>
        <w:pStyle w:val="BodyText"/>
        <w:rPr>
          <w:sz w:val="20"/>
        </w:rPr>
      </w:pPr>
    </w:p>
    <w:p w14:paraId="51DE970A" w14:textId="77777777" w:rsidR="0010369C" w:rsidRDefault="0010369C">
      <w:pPr>
        <w:pStyle w:val="BodyText"/>
        <w:rPr>
          <w:sz w:val="20"/>
        </w:rPr>
      </w:pPr>
    </w:p>
    <w:p w14:paraId="51DE970B" w14:textId="77777777" w:rsidR="0010369C" w:rsidRDefault="008E43AE">
      <w:pPr>
        <w:pStyle w:val="BodyText"/>
        <w:spacing w:before="5"/>
        <w:rPr>
          <w:sz w:val="19"/>
        </w:rPr>
      </w:pPr>
      <w:r>
        <w:pict w14:anchorId="51DEA730">
          <v:rect id="docshape1294" o:spid="_x0000_s1147" style="position:absolute;margin-left:70.9pt;margin-top:13.05pt;width:2in;height:.8pt;z-index:-250727936;mso-wrap-distance-left:0;mso-wrap-distance-right:0;mso-position-horizontal-relative:page" fillcolor="black" stroked="f">
            <w10:wrap type="topAndBottom" anchorx="page"/>
          </v:rect>
        </w:pict>
      </w:r>
    </w:p>
    <w:p w14:paraId="51DE970C" w14:textId="77777777" w:rsidR="0010369C" w:rsidRDefault="008E43AE">
      <w:pPr>
        <w:spacing w:before="109"/>
        <w:ind w:left="238"/>
        <w:rPr>
          <w:sz w:val="18"/>
        </w:rPr>
      </w:pPr>
      <w:r>
        <w:rPr>
          <w:w w:val="95"/>
          <w:sz w:val="18"/>
          <w:vertAlign w:val="superscript"/>
        </w:rPr>
        <w:t>1032</w:t>
      </w:r>
      <w:r>
        <w:rPr>
          <w:spacing w:val="13"/>
          <w:sz w:val="18"/>
        </w:rPr>
        <w:t xml:space="preserve"> </w:t>
      </w:r>
      <w:r>
        <w:rPr>
          <w:w w:val="95"/>
          <w:sz w:val="18"/>
        </w:rPr>
        <w:t>See</w:t>
      </w:r>
      <w:r>
        <w:rPr>
          <w:spacing w:val="13"/>
          <w:sz w:val="18"/>
        </w:rPr>
        <w:t xml:space="preserve"> </w:t>
      </w:r>
      <w:r>
        <w:rPr>
          <w:w w:val="95"/>
          <w:sz w:val="18"/>
        </w:rPr>
        <w:t>the</w:t>
      </w:r>
      <w:r>
        <w:rPr>
          <w:spacing w:val="14"/>
          <w:sz w:val="18"/>
        </w:rPr>
        <w:t xml:space="preserve"> </w:t>
      </w:r>
      <w:r>
        <w:rPr>
          <w:w w:val="95"/>
          <w:sz w:val="18"/>
        </w:rPr>
        <w:t>identical</w:t>
      </w:r>
      <w:r>
        <w:rPr>
          <w:spacing w:val="13"/>
          <w:sz w:val="18"/>
        </w:rPr>
        <w:t xml:space="preserve"> </w:t>
      </w:r>
      <w:r>
        <w:rPr>
          <w:w w:val="95"/>
          <w:sz w:val="18"/>
        </w:rPr>
        <w:t>text</w:t>
      </w:r>
      <w:r>
        <w:rPr>
          <w:spacing w:val="12"/>
          <w:sz w:val="18"/>
        </w:rPr>
        <w:t xml:space="preserve"> </w:t>
      </w:r>
      <w:r>
        <w:rPr>
          <w:w w:val="95"/>
          <w:sz w:val="18"/>
        </w:rPr>
        <w:t>in</w:t>
      </w:r>
      <w:r>
        <w:rPr>
          <w:spacing w:val="13"/>
          <w:sz w:val="18"/>
        </w:rPr>
        <w:t xml:space="preserve"> </w:t>
      </w:r>
      <w:r>
        <w:rPr>
          <w:w w:val="95"/>
          <w:sz w:val="18"/>
        </w:rPr>
        <w:t>the</w:t>
      </w:r>
      <w:r>
        <w:rPr>
          <w:spacing w:val="14"/>
          <w:sz w:val="18"/>
        </w:rPr>
        <w:t xml:space="preserve"> </w:t>
      </w:r>
      <w:r>
        <w:rPr>
          <w:w w:val="95"/>
          <w:sz w:val="18"/>
        </w:rPr>
        <w:t>following</w:t>
      </w:r>
      <w:r>
        <w:rPr>
          <w:spacing w:val="13"/>
          <w:sz w:val="18"/>
        </w:rPr>
        <w:t xml:space="preserve"> </w:t>
      </w:r>
      <w:r>
        <w:rPr>
          <w:w w:val="95"/>
          <w:sz w:val="18"/>
        </w:rPr>
        <w:t>responses:</w:t>
      </w:r>
      <w:r>
        <w:rPr>
          <w:spacing w:val="9"/>
          <w:sz w:val="18"/>
        </w:rPr>
        <w:t xml:space="preserve"> </w:t>
      </w:r>
      <w:r>
        <w:rPr>
          <w:w w:val="95"/>
          <w:sz w:val="18"/>
        </w:rPr>
        <w:t>Changyu</w:t>
      </w:r>
      <w:r>
        <w:rPr>
          <w:spacing w:val="13"/>
          <w:sz w:val="18"/>
        </w:rPr>
        <w:t xml:space="preserve"> </w:t>
      </w:r>
      <w:r>
        <w:rPr>
          <w:w w:val="95"/>
          <w:sz w:val="18"/>
        </w:rPr>
        <w:t>Wines</w:t>
      </w:r>
      <w:r>
        <w:rPr>
          <w:spacing w:val="10"/>
          <w:sz w:val="18"/>
        </w:rPr>
        <w:t xml:space="preserve"> </w:t>
      </w:r>
      <w:r>
        <w:rPr>
          <w:w w:val="95"/>
          <w:sz w:val="18"/>
        </w:rPr>
        <w:t>Anti‐Dumping</w:t>
      </w:r>
      <w:r>
        <w:rPr>
          <w:spacing w:val="14"/>
          <w:sz w:val="18"/>
        </w:rPr>
        <w:t xml:space="preserve"> </w:t>
      </w:r>
      <w:r>
        <w:rPr>
          <w:w w:val="95"/>
          <w:sz w:val="18"/>
        </w:rPr>
        <w:t>Questionnaire</w:t>
      </w:r>
      <w:r>
        <w:rPr>
          <w:spacing w:val="13"/>
          <w:sz w:val="18"/>
        </w:rPr>
        <w:t xml:space="preserve"> </w:t>
      </w:r>
      <w:r>
        <w:rPr>
          <w:w w:val="95"/>
          <w:sz w:val="18"/>
        </w:rPr>
        <w:t>Response</w:t>
      </w:r>
      <w:r>
        <w:rPr>
          <w:spacing w:val="13"/>
          <w:sz w:val="18"/>
        </w:rPr>
        <w:t xml:space="preserve"> </w:t>
      </w:r>
      <w:r>
        <w:rPr>
          <w:w w:val="95"/>
          <w:sz w:val="18"/>
        </w:rPr>
        <w:t>(Exhibit</w:t>
      </w:r>
      <w:r>
        <w:rPr>
          <w:spacing w:val="14"/>
          <w:sz w:val="18"/>
        </w:rPr>
        <w:t xml:space="preserve"> </w:t>
      </w:r>
      <w:r>
        <w:rPr>
          <w:spacing w:val="-2"/>
          <w:w w:val="95"/>
          <w:sz w:val="18"/>
        </w:rPr>
        <w:t>AUS‐53),</w:t>
      </w:r>
    </w:p>
    <w:p w14:paraId="51DE970D" w14:textId="77777777" w:rsidR="0010369C" w:rsidRDefault="008E43AE">
      <w:pPr>
        <w:ind w:left="237" w:right="611"/>
        <w:rPr>
          <w:sz w:val="18"/>
        </w:rPr>
      </w:pPr>
      <w:r>
        <w:rPr>
          <w:sz w:val="18"/>
        </w:rPr>
        <w:t>p.</w:t>
      </w:r>
      <w:r>
        <w:rPr>
          <w:spacing w:val="-1"/>
          <w:sz w:val="18"/>
        </w:rPr>
        <w:t xml:space="preserve"> </w:t>
      </w:r>
      <w:r>
        <w:rPr>
          <w:sz w:val="18"/>
        </w:rPr>
        <w:t>20;</w:t>
      </w:r>
      <w:r>
        <w:rPr>
          <w:spacing w:val="-1"/>
          <w:sz w:val="18"/>
        </w:rPr>
        <w:t xml:space="preserve"> </w:t>
      </w:r>
      <w:r>
        <w:rPr>
          <w:sz w:val="18"/>
        </w:rPr>
        <w:t>COFCO</w:t>
      </w:r>
      <w:r>
        <w:rPr>
          <w:spacing w:val="-1"/>
          <w:sz w:val="18"/>
        </w:rPr>
        <w:t xml:space="preserve"> </w:t>
      </w:r>
      <w:r>
        <w:rPr>
          <w:sz w:val="18"/>
        </w:rPr>
        <w:t>Anti‐Dumping Questionnaire</w:t>
      </w:r>
      <w:r>
        <w:rPr>
          <w:spacing w:val="-1"/>
          <w:sz w:val="18"/>
        </w:rPr>
        <w:t xml:space="preserve"> </w:t>
      </w:r>
      <w:r>
        <w:rPr>
          <w:sz w:val="18"/>
        </w:rPr>
        <w:t>Response</w:t>
      </w:r>
      <w:r>
        <w:rPr>
          <w:spacing w:val="-2"/>
          <w:sz w:val="18"/>
        </w:rPr>
        <w:t xml:space="preserve"> </w:t>
      </w:r>
      <w:r>
        <w:rPr>
          <w:sz w:val="18"/>
        </w:rPr>
        <w:t>(Exhibit</w:t>
      </w:r>
      <w:r>
        <w:rPr>
          <w:spacing w:val="-1"/>
          <w:sz w:val="18"/>
        </w:rPr>
        <w:t xml:space="preserve"> </w:t>
      </w:r>
      <w:r>
        <w:rPr>
          <w:sz w:val="18"/>
        </w:rPr>
        <w:t>AUS‐44),</w:t>
      </w:r>
      <w:r>
        <w:rPr>
          <w:spacing w:val="-2"/>
          <w:sz w:val="18"/>
        </w:rPr>
        <w:t xml:space="preserve"> </w:t>
      </w:r>
      <w:r>
        <w:rPr>
          <w:sz w:val="18"/>
        </w:rPr>
        <w:t>p.</w:t>
      </w:r>
      <w:r>
        <w:rPr>
          <w:spacing w:val="-1"/>
          <w:sz w:val="18"/>
        </w:rPr>
        <w:t xml:space="preserve"> </w:t>
      </w:r>
      <w:r>
        <w:rPr>
          <w:sz w:val="18"/>
        </w:rPr>
        <w:t>19;</w:t>
      </w:r>
      <w:r>
        <w:rPr>
          <w:spacing w:val="-1"/>
          <w:sz w:val="18"/>
        </w:rPr>
        <w:t xml:space="preserve"> </w:t>
      </w:r>
      <w:r>
        <w:rPr>
          <w:sz w:val="18"/>
        </w:rPr>
        <w:t>Ningxia</w:t>
      </w:r>
      <w:r>
        <w:rPr>
          <w:spacing w:val="-1"/>
          <w:sz w:val="18"/>
        </w:rPr>
        <w:t xml:space="preserve"> </w:t>
      </w:r>
      <w:r>
        <w:rPr>
          <w:sz w:val="18"/>
        </w:rPr>
        <w:t>Anti‐Dumping Questionnaire</w:t>
      </w:r>
      <w:r>
        <w:rPr>
          <w:spacing w:val="-1"/>
          <w:sz w:val="18"/>
        </w:rPr>
        <w:t xml:space="preserve"> </w:t>
      </w:r>
      <w:r>
        <w:rPr>
          <w:sz w:val="18"/>
        </w:rPr>
        <w:t>Response (Exhibit AUS‐57), p. 19; Yantai Landsun Anti‐Dumping Questionnaire Response (Exhibit AUS‐52), p. 19.</w:t>
      </w:r>
    </w:p>
    <w:p w14:paraId="51DE970E" w14:textId="77777777" w:rsidR="0010369C" w:rsidRDefault="0010369C">
      <w:pPr>
        <w:rPr>
          <w:sz w:val="18"/>
        </w:rPr>
        <w:sectPr w:rsidR="0010369C">
          <w:pgSz w:w="11910" w:h="16840"/>
          <w:pgMar w:top="880" w:right="800" w:bottom="980" w:left="1180" w:header="569" w:footer="788" w:gutter="0"/>
          <w:cols w:space="720"/>
        </w:sectPr>
      </w:pPr>
    </w:p>
    <w:p w14:paraId="51DE970F" w14:textId="77777777" w:rsidR="0010369C" w:rsidRDefault="008E43AE">
      <w:pPr>
        <w:tabs>
          <w:tab w:val="left" w:pos="6425"/>
        </w:tabs>
        <w:ind w:left="238"/>
        <w:jc w:val="both"/>
        <w:rPr>
          <w:sz w:val="20"/>
        </w:rPr>
      </w:pPr>
      <w:r>
        <w:rPr>
          <w:i/>
          <w:sz w:val="20"/>
        </w:rPr>
        <w:lastRenderedPageBreak/>
        <w:t>China</w:t>
      </w:r>
      <w:r>
        <w:rPr>
          <w:i/>
          <w:spacing w:val="-5"/>
          <w:sz w:val="20"/>
        </w:rPr>
        <w:t xml:space="preserve"> </w:t>
      </w:r>
      <w:r>
        <w:rPr>
          <w:i/>
          <w:sz w:val="20"/>
        </w:rPr>
        <w:t>–</w:t>
      </w:r>
      <w:r>
        <w:rPr>
          <w:i/>
          <w:spacing w:val="-5"/>
          <w:sz w:val="20"/>
        </w:rPr>
        <w:t xml:space="preserve"> </w:t>
      </w:r>
      <w:r>
        <w:rPr>
          <w:i/>
          <w:sz w:val="20"/>
        </w:rPr>
        <w:t>Anti‐Dumping</w:t>
      </w:r>
      <w:r>
        <w:rPr>
          <w:i/>
          <w:spacing w:val="-4"/>
          <w:sz w:val="20"/>
        </w:rPr>
        <w:t xml:space="preserve"> </w:t>
      </w:r>
      <w:r>
        <w:rPr>
          <w:i/>
          <w:sz w:val="20"/>
        </w:rPr>
        <w:t>and</w:t>
      </w:r>
      <w:r>
        <w:rPr>
          <w:i/>
          <w:spacing w:val="-5"/>
          <w:sz w:val="20"/>
        </w:rPr>
        <w:t xml:space="preserve"> </w:t>
      </w:r>
      <w:r>
        <w:rPr>
          <w:i/>
          <w:sz w:val="20"/>
        </w:rPr>
        <w:t>Counter</w:t>
      </w:r>
      <w:r>
        <w:rPr>
          <w:i/>
          <w:sz w:val="20"/>
        </w:rPr>
        <w:t>vailing</w:t>
      </w:r>
      <w:r>
        <w:rPr>
          <w:i/>
          <w:spacing w:val="-5"/>
          <w:sz w:val="20"/>
        </w:rPr>
        <w:t xml:space="preserve"> </w:t>
      </w:r>
      <w:r>
        <w:rPr>
          <w:i/>
          <w:sz w:val="20"/>
        </w:rPr>
        <w:t>Duty</w:t>
      </w:r>
      <w:r>
        <w:rPr>
          <w:i/>
          <w:spacing w:val="-4"/>
          <w:sz w:val="20"/>
        </w:rPr>
        <w:t xml:space="preserve"> </w:t>
      </w:r>
      <w:r>
        <w:rPr>
          <w:i/>
          <w:spacing w:val="-2"/>
          <w:sz w:val="20"/>
        </w:rPr>
        <w:t>Measures</w:t>
      </w:r>
      <w:r>
        <w:rPr>
          <w:i/>
          <w:sz w:val="20"/>
        </w:rPr>
        <w:tab/>
      </w:r>
      <w:r>
        <w:rPr>
          <w:sz w:val="20"/>
        </w:rPr>
        <w:t>Australia's</w:t>
      </w:r>
      <w:r>
        <w:rPr>
          <w:spacing w:val="-7"/>
          <w:sz w:val="20"/>
        </w:rPr>
        <w:t xml:space="preserve"> </w:t>
      </w:r>
      <w:r>
        <w:rPr>
          <w:sz w:val="20"/>
        </w:rPr>
        <w:t>First</w:t>
      </w:r>
      <w:r>
        <w:rPr>
          <w:spacing w:val="-2"/>
          <w:sz w:val="20"/>
        </w:rPr>
        <w:t xml:space="preserve"> </w:t>
      </w:r>
      <w:r>
        <w:rPr>
          <w:sz w:val="20"/>
        </w:rPr>
        <w:t>Written</w:t>
      </w:r>
      <w:r>
        <w:rPr>
          <w:spacing w:val="-2"/>
          <w:sz w:val="20"/>
        </w:rPr>
        <w:t xml:space="preserve"> Submission</w:t>
      </w:r>
    </w:p>
    <w:p w14:paraId="51DE9710" w14:textId="77777777" w:rsidR="0010369C" w:rsidRDefault="008E43AE">
      <w:pPr>
        <w:tabs>
          <w:tab w:val="left" w:pos="8227"/>
        </w:tabs>
        <w:spacing w:before="1"/>
        <w:ind w:left="239"/>
        <w:jc w:val="both"/>
        <w:rPr>
          <w:sz w:val="20"/>
        </w:rPr>
      </w:pPr>
      <w:r>
        <w:rPr>
          <w:i/>
          <w:sz w:val="20"/>
        </w:rPr>
        <w:t>on</w:t>
      </w:r>
      <w:r>
        <w:rPr>
          <w:i/>
          <w:spacing w:val="-1"/>
          <w:sz w:val="20"/>
        </w:rPr>
        <w:t xml:space="preserve"> </w:t>
      </w:r>
      <w:r>
        <w:rPr>
          <w:i/>
          <w:sz w:val="20"/>
        </w:rPr>
        <w:t>Wine</w:t>
      </w:r>
      <w:r>
        <w:rPr>
          <w:i/>
          <w:spacing w:val="-1"/>
          <w:sz w:val="20"/>
        </w:rPr>
        <w:t xml:space="preserve"> </w:t>
      </w:r>
      <w:r>
        <w:rPr>
          <w:i/>
          <w:sz w:val="20"/>
        </w:rPr>
        <w:t>from</w:t>
      </w:r>
      <w:r>
        <w:rPr>
          <w:i/>
          <w:spacing w:val="-3"/>
          <w:sz w:val="20"/>
        </w:rPr>
        <w:t xml:space="preserve"> </w:t>
      </w:r>
      <w:r>
        <w:rPr>
          <w:i/>
          <w:sz w:val="20"/>
        </w:rPr>
        <w:t>Australia</w:t>
      </w:r>
      <w:r>
        <w:rPr>
          <w:i/>
          <w:spacing w:val="-1"/>
          <w:sz w:val="20"/>
        </w:rPr>
        <w:t xml:space="preserve"> </w:t>
      </w:r>
      <w:r>
        <w:rPr>
          <w:spacing w:val="-2"/>
          <w:sz w:val="20"/>
        </w:rPr>
        <w:t>(DS602)</w:t>
      </w:r>
      <w:r>
        <w:rPr>
          <w:sz w:val="20"/>
        </w:rPr>
        <w:tab/>
        <w:t>29</w:t>
      </w:r>
      <w:r>
        <w:rPr>
          <w:spacing w:val="-1"/>
          <w:sz w:val="20"/>
        </w:rPr>
        <w:t xml:space="preserve"> </w:t>
      </w:r>
      <w:r>
        <w:rPr>
          <w:sz w:val="20"/>
        </w:rPr>
        <w:t>April</w:t>
      </w:r>
      <w:r>
        <w:rPr>
          <w:spacing w:val="-2"/>
          <w:sz w:val="20"/>
        </w:rPr>
        <w:t xml:space="preserve"> </w:t>
      </w:r>
      <w:r>
        <w:rPr>
          <w:spacing w:val="-4"/>
          <w:sz w:val="20"/>
        </w:rPr>
        <w:t>2022</w:t>
      </w:r>
    </w:p>
    <w:p w14:paraId="51DE9711" w14:textId="77777777" w:rsidR="0010369C" w:rsidRDefault="008E43AE">
      <w:pPr>
        <w:pStyle w:val="BodyText"/>
        <w:spacing w:before="25" w:line="360" w:lineRule="auto"/>
        <w:ind w:left="238" w:right="611" w:firstLine="850"/>
        <w:jc w:val="both"/>
      </w:pPr>
      <w:r>
        <w:rPr>
          <w:noProof/>
        </w:rPr>
        <w:drawing>
          <wp:anchor distT="0" distB="0" distL="0" distR="0" simplePos="0" relativeHeight="251454976" behindDoc="1" locked="0" layoutInCell="1" allowOverlap="1" wp14:anchorId="51DEA731" wp14:editId="51DEA732">
            <wp:simplePos x="0" y="0"/>
            <wp:positionH relativeFrom="page">
              <wp:posOffset>902208</wp:posOffset>
            </wp:positionH>
            <wp:positionV relativeFrom="paragraph">
              <wp:posOffset>69479</wp:posOffset>
            </wp:positionV>
            <wp:extent cx="262127" cy="103631"/>
            <wp:effectExtent l="0" t="0" r="0" b="0"/>
            <wp:wrapNone/>
            <wp:docPr id="1673" name="image8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 name="image864.png"/>
                    <pic:cNvPicPr/>
                  </pic:nvPicPr>
                  <pic:blipFill>
                    <a:blip r:embed="rId1129" cstate="print"/>
                    <a:stretch>
                      <a:fillRect/>
                    </a:stretch>
                  </pic:blipFill>
                  <pic:spPr>
                    <a:xfrm>
                      <a:off x="0" y="0"/>
                      <a:ext cx="262127" cy="103631"/>
                    </a:xfrm>
                    <a:prstGeom prst="rect">
                      <a:avLst/>
                    </a:prstGeom>
                  </pic:spPr>
                </pic:pic>
              </a:graphicData>
            </a:graphic>
          </wp:anchor>
        </w:drawing>
      </w:r>
      <w:r>
        <w:t>There is no evidence in the Final Determination or its supporting documents that MOFCOM</w:t>
      </w:r>
      <w:r>
        <w:rPr>
          <w:spacing w:val="-6"/>
        </w:rPr>
        <w:t xml:space="preserve"> </w:t>
      </w:r>
      <w:r>
        <w:t>assessed</w:t>
      </w:r>
      <w:r>
        <w:rPr>
          <w:spacing w:val="-6"/>
        </w:rPr>
        <w:t xml:space="preserve"> </w:t>
      </w:r>
      <w:r>
        <w:t>or</w:t>
      </w:r>
      <w:r>
        <w:rPr>
          <w:spacing w:val="-6"/>
        </w:rPr>
        <w:t xml:space="preserve"> </w:t>
      </w:r>
      <w:r>
        <w:t>determined</w:t>
      </w:r>
      <w:r>
        <w:rPr>
          <w:spacing w:val="-6"/>
        </w:rPr>
        <w:t xml:space="preserve"> </w:t>
      </w:r>
      <w:r>
        <w:t>that</w:t>
      </w:r>
      <w:r>
        <w:rPr>
          <w:spacing w:val="-6"/>
        </w:rPr>
        <w:t xml:space="preserve"> </w:t>
      </w:r>
      <w:r>
        <w:t>"good</w:t>
      </w:r>
      <w:r>
        <w:rPr>
          <w:spacing w:val="-7"/>
        </w:rPr>
        <w:t xml:space="preserve"> </w:t>
      </w:r>
      <w:r>
        <w:t>cause"</w:t>
      </w:r>
      <w:r>
        <w:rPr>
          <w:spacing w:val="-7"/>
        </w:rPr>
        <w:t xml:space="preserve"> </w:t>
      </w:r>
      <w:r>
        <w:t>had</w:t>
      </w:r>
      <w:r>
        <w:rPr>
          <w:spacing w:val="-6"/>
        </w:rPr>
        <w:t xml:space="preserve"> </w:t>
      </w:r>
      <w:r>
        <w:t>been</w:t>
      </w:r>
      <w:r>
        <w:rPr>
          <w:spacing w:val="-6"/>
        </w:rPr>
        <w:t xml:space="preserve"> </w:t>
      </w:r>
      <w:r>
        <w:t>shown</w:t>
      </w:r>
      <w:r>
        <w:rPr>
          <w:spacing w:val="-6"/>
        </w:rPr>
        <w:t xml:space="preserve"> </w:t>
      </w:r>
      <w:r>
        <w:t>in</w:t>
      </w:r>
      <w:r>
        <w:rPr>
          <w:spacing w:val="-5"/>
        </w:rPr>
        <w:t xml:space="preserve"> </w:t>
      </w:r>
      <w:r>
        <w:t>respect</w:t>
      </w:r>
      <w:r>
        <w:rPr>
          <w:spacing w:val="-7"/>
        </w:rPr>
        <w:t xml:space="preserve"> </w:t>
      </w:r>
      <w:r>
        <w:t>of</w:t>
      </w:r>
      <w:r>
        <w:rPr>
          <w:spacing w:val="-6"/>
        </w:rPr>
        <w:t xml:space="preserve"> </w:t>
      </w:r>
      <w:r>
        <w:t>any</w:t>
      </w:r>
      <w:r>
        <w:rPr>
          <w:spacing w:val="-6"/>
        </w:rPr>
        <w:t xml:space="preserve"> </w:t>
      </w:r>
      <w:r>
        <w:t>of</w:t>
      </w:r>
      <w:r>
        <w:rPr>
          <w:spacing w:val="-6"/>
        </w:rPr>
        <w:t xml:space="preserve"> </w:t>
      </w:r>
      <w:r>
        <w:t>the above‐referenced requests. MOFCOM appears to have accepted all requests for confidentia</w:t>
      </w:r>
      <w:r>
        <w:t>l treatment without conducting the objective examination of the justification for confidential treatment that it was obligated to undertake, and therefore acted inconsistently with the requirements of Article 6.5.</w:t>
      </w:r>
    </w:p>
    <w:p w14:paraId="51DE9712" w14:textId="77777777" w:rsidR="0010369C" w:rsidRDefault="008E43AE">
      <w:pPr>
        <w:pStyle w:val="BodyText"/>
        <w:spacing w:before="150" w:line="360" w:lineRule="auto"/>
        <w:ind w:left="238" w:right="460" w:firstLine="854"/>
      </w:pPr>
      <w:r>
        <w:rPr>
          <w:noProof/>
        </w:rPr>
        <w:drawing>
          <wp:anchor distT="0" distB="0" distL="0" distR="0" simplePos="0" relativeHeight="251456000" behindDoc="1" locked="0" layoutInCell="1" allowOverlap="1" wp14:anchorId="51DEA733" wp14:editId="51DEA734">
            <wp:simplePos x="0" y="0"/>
            <wp:positionH relativeFrom="page">
              <wp:posOffset>902208</wp:posOffset>
            </wp:positionH>
            <wp:positionV relativeFrom="paragraph">
              <wp:posOffset>156241</wp:posOffset>
            </wp:positionV>
            <wp:extent cx="262127" cy="100753"/>
            <wp:effectExtent l="0" t="0" r="0" b="0"/>
            <wp:wrapNone/>
            <wp:docPr id="1675" name="image8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 name="image865.png"/>
                    <pic:cNvPicPr/>
                  </pic:nvPicPr>
                  <pic:blipFill>
                    <a:blip r:embed="rId1130" cstate="print"/>
                    <a:stretch>
                      <a:fillRect/>
                    </a:stretch>
                  </pic:blipFill>
                  <pic:spPr>
                    <a:xfrm>
                      <a:off x="0" y="0"/>
                      <a:ext cx="262127" cy="100753"/>
                    </a:xfrm>
                    <a:prstGeom prst="rect">
                      <a:avLst/>
                    </a:prstGeom>
                  </pic:spPr>
                </pic:pic>
              </a:graphicData>
            </a:graphic>
          </wp:anchor>
        </w:drawing>
      </w:r>
      <w:r>
        <w:t>The</w:t>
      </w:r>
      <w:r>
        <w:rPr>
          <w:spacing w:val="40"/>
        </w:rPr>
        <w:t xml:space="preserve"> </w:t>
      </w:r>
      <w:r>
        <w:t>identical,</w:t>
      </w:r>
      <w:r>
        <w:rPr>
          <w:spacing w:val="40"/>
        </w:rPr>
        <w:t xml:space="preserve"> </w:t>
      </w:r>
      <w:r>
        <w:t>formulaic</w:t>
      </w:r>
      <w:r>
        <w:rPr>
          <w:spacing w:val="40"/>
        </w:rPr>
        <w:t xml:space="preserve"> </w:t>
      </w:r>
      <w:r>
        <w:t>non‐confidential</w:t>
      </w:r>
      <w:r>
        <w:rPr>
          <w:spacing w:val="40"/>
        </w:rPr>
        <w:t xml:space="preserve"> </w:t>
      </w:r>
      <w:r>
        <w:t>summaries</w:t>
      </w:r>
      <w:r>
        <w:rPr>
          <w:spacing w:val="40"/>
        </w:rPr>
        <w:t xml:space="preserve"> </w:t>
      </w:r>
      <w:r>
        <w:t>gave</w:t>
      </w:r>
      <w:r>
        <w:rPr>
          <w:spacing w:val="40"/>
        </w:rPr>
        <w:t xml:space="preserve"> </w:t>
      </w:r>
      <w:r>
        <w:t>the</w:t>
      </w:r>
      <w:r>
        <w:rPr>
          <w:spacing w:val="40"/>
        </w:rPr>
        <w:t xml:space="preserve"> </w:t>
      </w:r>
      <w:r>
        <w:t>other</w:t>
      </w:r>
      <w:r>
        <w:rPr>
          <w:spacing w:val="40"/>
        </w:rPr>
        <w:t xml:space="preserve"> </w:t>
      </w:r>
      <w:r>
        <w:t>interested</w:t>
      </w:r>
      <w:r>
        <w:rPr>
          <w:spacing w:val="80"/>
        </w:rPr>
        <w:t xml:space="preserve"> </w:t>
      </w:r>
      <w:r>
        <w:t>parties</w:t>
      </w:r>
      <w:r>
        <w:rPr>
          <w:spacing w:val="40"/>
        </w:rPr>
        <w:t xml:space="preserve"> </w:t>
      </w:r>
      <w:r>
        <w:t>no</w:t>
      </w:r>
      <w:r>
        <w:rPr>
          <w:spacing w:val="40"/>
        </w:rPr>
        <w:t xml:space="preserve"> </w:t>
      </w:r>
      <w:r>
        <w:t>information</w:t>
      </w:r>
      <w:r>
        <w:rPr>
          <w:spacing w:val="40"/>
        </w:rPr>
        <w:t xml:space="preserve"> </w:t>
      </w:r>
      <w:r>
        <w:t>about</w:t>
      </w:r>
      <w:r>
        <w:rPr>
          <w:spacing w:val="40"/>
        </w:rPr>
        <w:t xml:space="preserve"> </w:t>
      </w:r>
      <w:r>
        <w:t>the</w:t>
      </w:r>
      <w:r>
        <w:rPr>
          <w:spacing w:val="40"/>
        </w:rPr>
        <w:t xml:space="preserve"> </w:t>
      </w:r>
      <w:r>
        <w:t>substance</w:t>
      </w:r>
      <w:r>
        <w:rPr>
          <w:spacing w:val="40"/>
        </w:rPr>
        <w:t xml:space="preserve"> </w:t>
      </w:r>
      <w:r>
        <w:t>of</w:t>
      </w:r>
      <w:r>
        <w:rPr>
          <w:spacing w:val="40"/>
        </w:rPr>
        <w:t xml:space="preserve"> </w:t>
      </w:r>
      <w:r>
        <w:t>the</w:t>
      </w:r>
      <w:r>
        <w:rPr>
          <w:spacing w:val="40"/>
        </w:rPr>
        <w:t xml:space="preserve"> </w:t>
      </w:r>
      <w:r>
        <w:t>purportedly</w:t>
      </w:r>
      <w:r>
        <w:rPr>
          <w:spacing w:val="40"/>
        </w:rPr>
        <w:t xml:space="preserve"> </w:t>
      </w:r>
      <w:r>
        <w:t>confidential</w:t>
      </w:r>
      <w:r>
        <w:rPr>
          <w:spacing w:val="40"/>
        </w:rPr>
        <w:t xml:space="preserve"> </w:t>
      </w:r>
      <w:r>
        <w:t>information. These summaries briefly restated the nature of the information referred to in the question,</w:t>
      </w:r>
      <w:r>
        <w:rPr>
          <w:spacing w:val="80"/>
        </w:rPr>
        <w:t xml:space="preserve"> </w:t>
      </w:r>
      <w:r>
        <w:t>asserted that the information provided was a "trade secret", and stated that public disclosure would have an adverse effect. The answer provides no det</w:t>
      </w:r>
      <w:r>
        <w:t>ails about the actual substance of the</w:t>
      </w:r>
      <w:r>
        <w:rPr>
          <w:spacing w:val="74"/>
        </w:rPr>
        <w:t xml:space="preserve"> </w:t>
      </w:r>
      <w:r>
        <w:t>information,</w:t>
      </w:r>
      <w:r>
        <w:rPr>
          <w:spacing w:val="74"/>
        </w:rPr>
        <w:t xml:space="preserve"> </w:t>
      </w:r>
      <w:r>
        <w:t>which</w:t>
      </w:r>
      <w:r>
        <w:rPr>
          <w:spacing w:val="74"/>
        </w:rPr>
        <w:t xml:space="preserve"> </w:t>
      </w:r>
      <w:r>
        <w:t>was</w:t>
      </w:r>
      <w:r>
        <w:rPr>
          <w:spacing w:val="74"/>
        </w:rPr>
        <w:t xml:space="preserve"> </w:t>
      </w:r>
      <w:r>
        <w:t>treated</w:t>
      </w:r>
      <w:r>
        <w:rPr>
          <w:spacing w:val="74"/>
        </w:rPr>
        <w:t xml:space="preserve"> </w:t>
      </w:r>
      <w:r>
        <w:t>as</w:t>
      </w:r>
      <w:r>
        <w:rPr>
          <w:spacing w:val="74"/>
        </w:rPr>
        <w:t xml:space="preserve"> </w:t>
      </w:r>
      <w:r>
        <w:t>confidential.</w:t>
      </w:r>
      <w:r>
        <w:rPr>
          <w:spacing w:val="75"/>
        </w:rPr>
        <w:t xml:space="preserve"> </w:t>
      </w:r>
      <w:r>
        <w:t>No</w:t>
      </w:r>
      <w:r>
        <w:rPr>
          <w:spacing w:val="74"/>
        </w:rPr>
        <w:t xml:space="preserve"> </w:t>
      </w:r>
      <w:r>
        <w:t>justification</w:t>
      </w:r>
      <w:r>
        <w:rPr>
          <w:spacing w:val="75"/>
        </w:rPr>
        <w:t xml:space="preserve"> </w:t>
      </w:r>
      <w:r>
        <w:t>was</w:t>
      </w:r>
      <w:r>
        <w:rPr>
          <w:spacing w:val="74"/>
        </w:rPr>
        <w:t xml:space="preserve"> </w:t>
      </w:r>
      <w:r>
        <w:t>given</w:t>
      </w:r>
      <w:r>
        <w:rPr>
          <w:spacing w:val="74"/>
        </w:rPr>
        <w:t xml:space="preserve"> </w:t>
      </w:r>
      <w:r>
        <w:t>for</w:t>
      </w:r>
      <w:r>
        <w:rPr>
          <w:spacing w:val="74"/>
        </w:rPr>
        <w:t xml:space="preserve"> </w:t>
      </w:r>
      <w:r>
        <w:t>the confidential</w:t>
      </w:r>
      <w:r>
        <w:rPr>
          <w:spacing w:val="-2"/>
        </w:rPr>
        <w:t xml:space="preserve"> </w:t>
      </w:r>
      <w:r>
        <w:t>treatment</w:t>
      </w:r>
      <w:r>
        <w:rPr>
          <w:spacing w:val="-3"/>
        </w:rPr>
        <w:t xml:space="preserve"> </w:t>
      </w:r>
      <w:r>
        <w:t>of</w:t>
      </w:r>
      <w:r>
        <w:rPr>
          <w:spacing w:val="-2"/>
        </w:rPr>
        <w:t xml:space="preserve"> </w:t>
      </w:r>
      <w:r>
        <w:t>information</w:t>
      </w:r>
      <w:r>
        <w:rPr>
          <w:spacing w:val="-2"/>
        </w:rPr>
        <w:t xml:space="preserve"> </w:t>
      </w:r>
      <w:r>
        <w:t>in</w:t>
      </w:r>
      <w:r>
        <w:rPr>
          <w:spacing w:val="-2"/>
        </w:rPr>
        <w:t xml:space="preserve"> </w:t>
      </w:r>
      <w:r>
        <w:t>the</w:t>
      </w:r>
      <w:r>
        <w:rPr>
          <w:spacing w:val="-2"/>
        </w:rPr>
        <w:t xml:space="preserve"> </w:t>
      </w:r>
      <w:r>
        <w:t>answer</w:t>
      </w:r>
      <w:r>
        <w:rPr>
          <w:spacing w:val="-2"/>
        </w:rPr>
        <w:t xml:space="preserve"> </w:t>
      </w:r>
      <w:r>
        <w:t>even</w:t>
      </w:r>
      <w:r>
        <w:rPr>
          <w:spacing w:val="-2"/>
        </w:rPr>
        <w:t xml:space="preserve"> </w:t>
      </w:r>
      <w:r>
        <w:t>though</w:t>
      </w:r>
      <w:r>
        <w:rPr>
          <w:spacing w:val="-2"/>
        </w:rPr>
        <w:t xml:space="preserve"> </w:t>
      </w:r>
      <w:r>
        <w:t>certain</w:t>
      </w:r>
      <w:r>
        <w:rPr>
          <w:spacing w:val="-2"/>
        </w:rPr>
        <w:t xml:space="preserve"> </w:t>
      </w:r>
      <w:r>
        <w:t>processes,</w:t>
      </w:r>
      <w:r>
        <w:rPr>
          <w:spacing w:val="-3"/>
        </w:rPr>
        <w:t xml:space="preserve"> </w:t>
      </w:r>
      <w:r>
        <w:t>materials, and</w:t>
      </w:r>
      <w:r>
        <w:rPr>
          <w:spacing w:val="-1"/>
        </w:rPr>
        <w:t xml:space="preserve"> </w:t>
      </w:r>
      <w:r>
        <w:t>equipment are</w:t>
      </w:r>
      <w:r>
        <w:rPr>
          <w:spacing w:val="-1"/>
        </w:rPr>
        <w:t xml:space="preserve"> </w:t>
      </w:r>
      <w:r>
        <w:t>common to</w:t>
      </w:r>
      <w:r>
        <w:rPr>
          <w:spacing w:val="-1"/>
        </w:rPr>
        <w:t xml:space="preserve"> </w:t>
      </w:r>
      <w:r>
        <w:t>all</w:t>
      </w:r>
      <w:r>
        <w:rPr>
          <w:spacing w:val="-1"/>
        </w:rPr>
        <w:t xml:space="preserve"> </w:t>
      </w:r>
      <w:r>
        <w:t>wine pro</w:t>
      </w:r>
      <w:r>
        <w:t>duction</w:t>
      </w:r>
      <w:r>
        <w:rPr>
          <w:spacing w:val="-1"/>
        </w:rPr>
        <w:t xml:space="preserve"> </w:t>
      </w:r>
      <w:r>
        <w:t>and</w:t>
      </w:r>
      <w:r>
        <w:rPr>
          <w:spacing w:val="-1"/>
        </w:rPr>
        <w:t xml:space="preserve"> </w:t>
      </w:r>
      <w:r>
        <w:t>would not</w:t>
      </w:r>
      <w:r>
        <w:rPr>
          <w:spacing w:val="-1"/>
        </w:rPr>
        <w:t xml:space="preserve"> </w:t>
      </w:r>
      <w:r>
        <w:t>constitute a</w:t>
      </w:r>
      <w:r>
        <w:rPr>
          <w:spacing w:val="-1"/>
        </w:rPr>
        <w:t xml:space="preserve"> </w:t>
      </w:r>
      <w:r>
        <w:t>"trade secret".</w:t>
      </w:r>
    </w:p>
    <w:p w14:paraId="51DE9713" w14:textId="77777777" w:rsidR="0010369C" w:rsidRDefault="008E43AE">
      <w:pPr>
        <w:pStyle w:val="BodyText"/>
        <w:spacing w:before="150" w:line="360" w:lineRule="auto"/>
        <w:ind w:left="237" w:right="504" w:firstLine="852"/>
      </w:pPr>
      <w:r>
        <w:rPr>
          <w:noProof/>
        </w:rPr>
        <w:drawing>
          <wp:anchor distT="0" distB="0" distL="0" distR="0" simplePos="0" relativeHeight="251457024" behindDoc="1" locked="0" layoutInCell="1" allowOverlap="1" wp14:anchorId="51DEA735" wp14:editId="51DEA736">
            <wp:simplePos x="0" y="0"/>
            <wp:positionH relativeFrom="page">
              <wp:posOffset>902208</wp:posOffset>
            </wp:positionH>
            <wp:positionV relativeFrom="paragraph">
              <wp:posOffset>157083</wp:posOffset>
            </wp:positionV>
            <wp:extent cx="262127" cy="106679"/>
            <wp:effectExtent l="0" t="0" r="0" b="0"/>
            <wp:wrapNone/>
            <wp:docPr id="1677" name="image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 name="image866.png"/>
                    <pic:cNvPicPr/>
                  </pic:nvPicPr>
                  <pic:blipFill>
                    <a:blip r:embed="rId1131" cstate="print"/>
                    <a:stretch>
                      <a:fillRect/>
                    </a:stretch>
                  </pic:blipFill>
                  <pic:spPr>
                    <a:xfrm>
                      <a:off x="0" y="0"/>
                      <a:ext cx="262127" cy="106679"/>
                    </a:xfrm>
                    <a:prstGeom prst="rect">
                      <a:avLst/>
                    </a:prstGeom>
                  </pic:spPr>
                </pic:pic>
              </a:graphicData>
            </a:graphic>
          </wp:anchor>
        </w:drawing>
      </w:r>
      <w:r>
        <w:t>The purpose of requiring a non‐confidential summary "in sufficient detail to permit a reasonable understanding of the substance of the information submitted in confidence" is to afford procedural fairness to those parties</w:t>
      </w:r>
      <w:r>
        <w:rPr>
          <w:spacing w:val="-1"/>
        </w:rPr>
        <w:t xml:space="preserve"> </w:t>
      </w:r>
      <w:r>
        <w:t>who cannot</w:t>
      </w:r>
      <w:r>
        <w:rPr>
          <w:spacing w:val="-1"/>
        </w:rPr>
        <w:t xml:space="preserve"> </w:t>
      </w:r>
      <w:r>
        <w:t>access the confidential</w:t>
      </w:r>
      <w:r>
        <w:rPr>
          <w:spacing w:val="-1"/>
        </w:rPr>
        <w:t xml:space="preserve"> </w:t>
      </w:r>
      <w:r>
        <w:t>information, so that they have an adequate opportunity for the defence of their interests. This "opportunity must be meaningful in terms of a party's ability to defend itself"</w:t>
      </w:r>
      <w:r>
        <w:rPr>
          <w:vertAlign w:val="superscript"/>
        </w:rPr>
        <w:t>1033</w:t>
      </w:r>
      <w:r>
        <w:t>. The summaries given by the</w:t>
      </w:r>
      <w:r>
        <w:rPr>
          <w:spacing w:val="40"/>
        </w:rPr>
        <w:t xml:space="preserve"> </w:t>
      </w:r>
      <w:r>
        <w:t>domestic</w:t>
      </w:r>
      <w:r>
        <w:rPr>
          <w:spacing w:val="40"/>
        </w:rPr>
        <w:t xml:space="preserve"> </w:t>
      </w:r>
      <w:r>
        <w:t>companies</w:t>
      </w:r>
      <w:r>
        <w:rPr>
          <w:spacing w:val="40"/>
        </w:rPr>
        <w:t xml:space="preserve"> </w:t>
      </w:r>
      <w:r>
        <w:t>offer</w:t>
      </w:r>
      <w:r>
        <w:rPr>
          <w:spacing w:val="40"/>
        </w:rPr>
        <w:t xml:space="preserve"> </w:t>
      </w:r>
      <w:r>
        <w:t>no</w:t>
      </w:r>
      <w:r>
        <w:rPr>
          <w:spacing w:val="40"/>
        </w:rPr>
        <w:t xml:space="preserve"> </w:t>
      </w:r>
      <w:r>
        <w:t>more</w:t>
      </w:r>
      <w:r>
        <w:rPr>
          <w:spacing w:val="40"/>
        </w:rPr>
        <w:t xml:space="preserve"> </w:t>
      </w:r>
      <w:r>
        <w:t>than</w:t>
      </w:r>
      <w:r>
        <w:rPr>
          <w:spacing w:val="40"/>
        </w:rPr>
        <w:t xml:space="preserve"> </w:t>
      </w:r>
      <w:r>
        <w:t>a</w:t>
      </w:r>
      <w:r>
        <w:rPr>
          <w:spacing w:val="40"/>
        </w:rPr>
        <w:t xml:space="preserve"> </w:t>
      </w:r>
      <w:r>
        <w:t>vague</w:t>
      </w:r>
      <w:r>
        <w:rPr>
          <w:spacing w:val="40"/>
        </w:rPr>
        <w:t xml:space="preserve"> </w:t>
      </w:r>
      <w:r>
        <w:t>i</w:t>
      </w:r>
      <w:r>
        <w:t>mpression</w:t>
      </w:r>
      <w:r>
        <w:rPr>
          <w:spacing w:val="40"/>
        </w:rPr>
        <w:t xml:space="preserve"> </w:t>
      </w:r>
      <w:r>
        <w:t>of</w:t>
      </w:r>
      <w:r>
        <w:rPr>
          <w:spacing w:val="40"/>
        </w:rPr>
        <w:t xml:space="preserve"> </w:t>
      </w:r>
      <w:r>
        <w:t>the</w:t>
      </w:r>
      <w:r>
        <w:rPr>
          <w:spacing w:val="40"/>
        </w:rPr>
        <w:t xml:space="preserve"> </w:t>
      </w:r>
      <w:r>
        <w:t>nature</w:t>
      </w:r>
      <w:r>
        <w:rPr>
          <w:spacing w:val="40"/>
        </w:rPr>
        <w:t xml:space="preserve"> </w:t>
      </w:r>
      <w:r>
        <w:t>of</w:t>
      </w:r>
      <w:r>
        <w:rPr>
          <w:spacing w:val="40"/>
        </w:rPr>
        <w:t xml:space="preserve"> </w:t>
      </w:r>
      <w:r>
        <w:t>the</w:t>
      </w:r>
      <w:r>
        <w:rPr>
          <w:spacing w:val="80"/>
          <w:w w:val="150"/>
        </w:rPr>
        <w:t xml:space="preserve"> </w:t>
      </w:r>
      <w:r>
        <w:t>information.</w:t>
      </w:r>
      <w:r>
        <w:rPr>
          <w:spacing w:val="31"/>
        </w:rPr>
        <w:t xml:space="preserve"> </w:t>
      </w:r>
      <w:r>
        <w:t>They</w:t>
      </w:r>
      <w:r>
        <w:rPr>
          <w:spacing w:val="30"/>
        </w:rPr>
        <w:t xml:space="preserve"> </w:t>
      </w:r>
      <w:r>
        <w:t>provide</w:t>
      </w:r>
      <w:r>
        <w:rPr>
          <w:spacing w:val="30"/>
        </w:rPr>
        <w:t xml:space="preserve"> </w:t>
      </w:r>
      <w:r>
        <w:t>no</w:t>
      </w:r>
      <w:r>
        <w:rPr>
          <w:spacing w:val="30"/>
        </w:rPr>
        <w:t xml:space="preserve"> </w:t>
      </w:r>
      <w:r>
        <w:t>detail,</w:t>
      </w:r>
      <w:r>
        <w:rPr>
          <w:spacing w:val="30"/>
        </w:rPr>
        <w:t xml:space="preserve"> </w:t>
      </w:r>
      <w:r>
        <w:t>and</w:t>
      </w:r>
      <w:r>
        <w:rPr>
          <w:spacing w:val="30"/>
        </w:rPr>
        <w:t xml:space="preserve"> </w:t>
      </w:r>
      <w:r>
        <w:t>do</w:t>
      </w:r>
      <w:r>
        <w:rPr>
          <w:spacing w:val="30"/>
        </w:rPr>
        <w:t xml:space="preserve"> </w:t>
      </w:r>
      <w:r>
        <w:t>not</w:t>
      </w:r>
      <w:r>
        <w:rPr>
          <w:spacing w:val="30"/>
        </w:rPr>
        <w:t xml:space="preserve"> </w:t>
      </w:r>
      <w:r>
        <w:t>permit</w:t>
      </w:r>
      <w:r>
        <w:rPr>
          <w:spacing w:val="30"/>
        </w:rPr>
        <w:t xml:space="preserve"> </w:t>
      </w:r>
      <w:r>
        <w:t>a</w:t>
      </w:r>
      <w:r>
        <w:rPr>
          <w:spacing w:val="30"/>
        </w:rPr>
        <w:t xml:space="preserve"> </w:t>
      </w:r>
      <w:r>
        <w:t>reasonable</w:t>
      </w:r>
      <w:r>
        <w:rPr>
          <w:spacing w:val="29"/>
        </w:rPr>
        <w:t xml:space="preserve"> </w:t>
      </w:r>
      <w:r>
        <w:t>understanding</w:t>
      </w:r>
      <w:r>
        <w:rPr>
          <w:spacing w:val="31"/>
        </w:rPr>
        <w:t xml:space="preserve"> </w:t>
      </w:r>
      <w:r>
        <w:t>of</w:t>
      </w:r>
      <w:r>
        <w:rPr>
          <w:spacing w:val="30"/>
        </w:rPr>
        <w:t xml:space="preserve"> </w:t>
      </w:r>
      <w:r>
        <w:t>the substance</w:t>
      </w:r>
      <w:r>
        <w:rPr>
          <w:spacing w:val="75"/>
        </w:rPr>
        <w:t xml:space="preserve"> </w:t>
      </w:r>
      <w:r>
        <w:t>of</w:t>
      </w:r>
      <w:r>
        <w:rPr>
          <w:spacing w:val="75"/>
        </w:rPr>
        <w:t xml:space="preserve"> </w:t>
      </w:r>
      <w:r>
        <w:t>the</w:t>
      </w:r>
      <w:r>
        <w:rPr>
          <w:spacing w:val="75"/>
        </w:rPr>
        <w:t xml:space="preserve"> </w:t>
      </w:r>
      <w:r>
        <w:t>information.</w:t>
      </w:r>
      <w:r>
        <w:rPr>
          <w:spacing w:val="76"/>
        </w:rPr>
        <w:t xml:space="preserve"> </w:t>
      </w:r>
      <w:r>
        <w:t>This</w:t>
      </w:r>
      <w:r>
        <w:rPr>
          <w:spacing w:val="75"/>
        </w:rPr>
        <w:t xml:space="preserve"> </w:t>
      </w:r>
      <w:r>
        <w:t>leaves</w:t>
      </w:r>
      <w:r>
        <w:rPr>
          <w:spacing w:val="76"/>
        </w:rPr>
        <w:t xml:space="preserve"> </w:t>
      </w:r>
      <w:r>
        <w:t>the</w:t>
      </w:r>
      <w:r>
        <w:rPr>
          <w:spacing w:val="75"/>
        </w:rPr>
        <w:t xml:space="preserve"> </w:t>
      </w:r>
      <w:r>
        <w:t>interested</w:t>
      </w:r>
      <w:r>
        <w:rPr>
          <w:spacing w:val="75"/>
        </w:rPr>
        <w:t xml:space="preserve"> </w:t>
      </w:r>
      <w:r>
        <w:t>parties</w:t>
      </w:r>
      <w:r>
        <w:rPr>
          <w:spacing w:val="76"/>
        </w:rPr>
        <w:t xml:space="preserve"> </w:t>
      </w:r>
      <w:r>
        <w:t>without</w:t>
      </w:r>
      <w:r>
        <w:rPr>
          <w:spacing w:val="75"/>
        </w:rPr>
        <w:t xml:space="preserve"> </w:t>
      </w:r>
      <w:r>
        <w:t>a</w:t>
      </w:r>
      <w:r>
        <w:rPr>
          <w:spacing w:val="75"/>
        </w:rPr>
        <w:t xml:space="preserve"> </w:t>
      </w:r>
      <w:r>
        <w:t>meaningful opportunity</w:t>
      </w:r>
      <w:r>
        <w:rPr>
          <w:spacing w:val="40"/>
        </w:rPr>
        <w:t xml:space="preserve"> </w:t>
      </w:r>
      <w:r>
        <w:t>to</w:t>
      </w:r>
      <w:r>
        <w:rPr>
          <w:spacing w:val="40"/>
        </w:rPr>
        <w:t xml:space="preserve"> </w:t>
      </w:r>
      <w:r>
        <w:t>defend</w:t>
      </w:r>
      <w:r>
        <w:rPr>
          <w:spacing w:val="40"/>
        </w:rPr>
        <w:t xml:space="preserve"> </w:t>
      </w:r>
      <w:r>
        <w:t>their</w:t>
      </w:r>
      <w:r>
        <w:rPr>
          <w:spacing w:val="40"/>
        </w:rPr>
        <w:t xml:space="preserve"> </w:t>
      </w:r>
      <w:r>
        <w:t>interests</w:t>
      </w:r>
      <w:r>
        <w:rPr>
          <w:spacing w:val="40"/>
        </w:rPr>
        <w:t xml:space="preserve"> </w:t>
      </w:r>
      <w:r>
        <w:t>in</w:t>
      </w:r>
      <w:r>
        <w:rPr>
          <w:spacing w:val="40"/>
        </w:rPr>
        <w:t xml:space="preserve"> </w:t>
      </w:r>
      <w:r>
        <w:t>relation</w:t>
      </w:r>
      <w:r>
        <w:rPr>
          <w:spacing w:val="40"/>
        </w:rPr>
        <w:t xml:space="preserve"> </w:t>
      </w:r>
      <w:r>
        <w:t>to</w:t>
      </w:r>
      <w:r>
        <w:rPr>
          <w:spacing w:val="40"/>
        </w:rPr>
        <w:t xml:space="preserve"> </w:t>
      </w:r>
      <w:r>
        <w:t>the</w:t>
      </w:r>
      <w:r>
        <w:rPr>
          <w:spacing w:val="40"/>
        </w:rPr>
        <w:t xml:space="preserve"> </w:t>
      </w:r>
      <w:r>
        <w:t>information.</w:t>
      </w:r>
      <w:r>
        <w:rPr>
          <w:spacing w:val="40"/>
        </w:rPr>
        <w:t xml:space="preserve"> </w:t>
      </w:r>
      <w:r>
        <w:t>Since</w:t>
      </w:r>
      <w:r>
        <w:rPr>
          <w:spacing w:val="40"/>
        </w:rPr>
        <w:t xml:space="preserve"> </w:t>
      </w:r>
      <w:r>
        <w:t>no</w:t>
      </w:r>
      <w:r>
        <w:rPr>
          <w:spacing w:val="40"/>
        </w:rPr>
        <w:t xml:space="preserve"> </w:t>
      </w:r>
      <w:r>
        <w:t>redacted</w:t>
      </w:r>
      <w:r>
        <w:rPr>
          <w:spacing w:val="80"/>
          <w:w w:val="150"/>
        </w:rPr>
        <w:t xml:space="preserve"> </w:t>
      </w:r>
      <w:r>
        <w:t>versions of the documents were provided, these "summaries" represent the entirety of the</w:t>
      </w:r>
      <w:r>
        <w:rPr>
          <w:spacing w:val="80"/>
        </w:rPr>
        <w:t xml:space="preserve"> </w:t>
      </w:r>
      <w:r>
        <w:t>information available to interested parties about these answers in the verification responses, upon</w:t>
      </w:r>
      <w:r>
        <w:rPr>
          <w:spacing w:val="40"/>
        </w:rPr>
        <w:t xml:space="preserve"> </w:t>
      </w:r>
      <w:r>
        <w:t>which</w:t>
      </w:r>
      <w:r>
        <w:rPr>
          <w:spacing w:val="40"/>
        </w:rPr>
        <w:t xml:space="preserve"> </w:t>
      </w:r>
      <w:r>
        <w:t>MOFCOM</w:t>
      </w:r>
      <w:r>
        <w:rPr>
          <w:spacing w:val="80"/>
        </w:rPr>
        <w:t xml:space="preserve"> </w:t>
      </w:r>
      <w:r>
        <w:t>appears</w:t>
      </w:r>
      <w:r>
        <w:rPr>
          <w:spacing w:val="80"/>
        </w:rPr>
        <w:t xml:space="preserve"> </w:t>
      </w:r>
      <w:r>
        <w:t>to</w:t>
      </w:r>
      <w:r>
        <w:rPr>
          <w:spacing w:val="80"/>
        </w:rPr>
        <w:t xml:space="preserve"> </w:t>
      </w:r>
      <w:r>
        <w:t>have</w:t>
      </w:r>
      <w:r>
        <w:rPr>
          <w:spacing w:val="80"/>
        </w:rPr>
        <w:t xml:space="preserve"> </w:t>
      </w:r>
      <w:r>
        <w:t>placed</w:t>
      </w:r>
      <w:r>
        <w:rPr>
          <w:spacing w:val="80"/>
        </w:rPr>
        <w:t xml:space="preserve"> </w:t>
      </w:r>
      <w:r>
        <w:t>significant</w:t>
      </w:r>
      <w:r>
        <w:rPr>
          <w:spacing w:val="80"/>
        </w:rPr>
        <w:t xml:space="preserve"> </w:t>
      </w:r>
      <w:r>
        <w:t>weight</w:t>
      </w:r>
      <w:r>
        <w:rPr>
          <w:spacing w:val="80"/>
        </w:rPr>
        <w:t xml:space="preserve"> </w:t>
      </w:r>
      <w:r>
        <w:t>in</w:t>
      </w:r>
      <w:r>
        <w:rPr>
          <w:spacing w:val="80"/>
        </w:rPr>
        <w:t xml:space="preserve"> </w:t>
      </w:r>
      <w:r>
        <w:t>making</w:t>
      </w:r>
      <w:r>
        <w:rPr>
          <w:spacing w:val="80"/>
        </w:rPr>
        <w:t xml:space="preserve"> </w:t>
      </w:r>
      <w:r>
        <w:t>its</w:t>
      </w:r>
      <w:r>
        <w:rPr>
          <w:spacing w:val="40"/>
        </w:rPr>
        <w:t xml:space="preserve"> </w:t>
      </w:r>
      <w:r>
        <w:t>determinations.</w:t>
      </w:r>
      <w:r>
        <w:rPr>
          <w:spacing w:val="40"/>
        </w:rPr>
        <w:t xml:space="preserve"> </w:t>
      </w:r>
      <w:r>
        <w:t>These</w:t>
      </w:r>
      <w:r>
        <w:rPr>
          <w:spacing w:val="40"/>
        </w:rPr>
        <w:t xml:space="preserve"> </w:t>
      </w:r>
      <w:r>
        <w:t>"summaries" do not meet the standard required by Article 6.5.1.</w:t>
      </w:r>
    </w:p>
    <w:p w14:paraId="51DE9714" w14:textId="77777777" w:rsidR="0010369C" w:rsidRDefault="0010369C">
      <w:pPr>
        <w:pStyle w:val="BodyText"/>
        <w:rPr>
          <w:sz w:val="20"/>
        </w:rPr>
      </w:pPr>
    </w:p>
    <w:p w14:paraId="51DE9715" w14:textId="77777777" w:rsidR="0010369C" w:rsidRDefault="0010369C">
      <w:pPr>
        <w:pStyle w:val="BodyText"/>
        <w:rPr>
          <w:sz w:val="20"/>
        </w:rPr>
      </w:pPr>
    </w:p>
    <w:p w14:paraId="51DE9716" w14:textId="77777777" w:rsidR="0010369C" w:rsidRDefault="0010369C">
      <w:pPr>
        <w:pStyle w:val="BodyText"/>
        <w:rPr>
          <w:sz w:val="20"/>
        </w:rPr>
      </w:pPr>
    </w:p>
    <w:p w14:paraId="51DE9717" w14:textId="77777777" w:rsidR="0010369C" w:rsidRDefault="0010369C">
      <w:pPr>
        <w:pStyle w:val="BodyText"/>
        <w:rPr>
          <w:sz w:val="20"/>
        </w:rPr>
      </w:pPr>
    </w:p>
    <w:p w14:paraId="51DE9718" w14:textId="77777777" w:rsidR="0010369C" w:rsidRDefault="008E43AE">
      <w:pPr>
        <w:pStyle w:val="BodyText"/>
        <w:spacing w:before="1"/>
        <w:rPr>
          <w:sz w:val="23"/>
        </w:rPr>
      </w:pPr>
      <w:r>
        <w:pict w14:anchorId="51DEA737">
          <v:rect id="docshape1295" o:spid="_x0000_s1146" style="position:absolute;margin-left:70.9pt;margin-top:15.3pt;width:2in;height:.8pt;z-index:-250726912;mso-wrap-distance-left:0;mso-wrap-distance-right:0;mso-position-horizontal-relative:page" fillcolor="black" stroked="f">
            <w10:wrap type="topAndBottom" anchorx="page"/>
          </v:rect>
        </w:pict>
      </w:r>
    </w:p>
    <w:p w14:paraId="51DE9719" w14:textId="77777777" w:rsidR="0010369C" w:rsidRDefault="008E43AE">
      <w:pPr>
        <w:spacing w:before="109"/>
        <w:ind w:left="238"/>
        <w:rPr>
          <w:sz w:val="18"/>
        </w:rPr>
      </w:pPr>
      <w:r>
        <w:rPr>
          <w:sz w:val="18"/>
          <w:vertAlign w:val="superscript"/>
        </w:rPr>
        <w:t>1033</w:t>
      </w:r>
      <w:r>
        <w:rPr>
          <w:spacing w:val="26"/>
          <w:sz w:val="18"/>
        </w:rPr>
        <w:t xml:space="preserve"> </w:t>
      </w:r>
      <w:r>
        <w:rPr>
          <w:sz w:val="18"/>
        </w:rPr>
        <w:t>Appellate</w:t>
      </w:r>
      <w:r>
        <w:rPr>
          <w:spacing w:val="26"/>
          <w:sz w:val="18"/>
        </w:rPr>
        <w:t xml:space="preserve"> </w:t>
      </w:r>
      <w:r>
        <w:rPr>
          <w:sz w:val="18"/>
        </w:rPr>
        <w:t>Body</w:t>
      </w:r>
      <w:r>
        <w:rPr>
          <w:spacing w:val="24"/>
          <w:sz w:val="18"/>
        </w:rPr>
        <w:t xml:space="preserve"> </w:t>
      </w:r>
      <w:r>
        <w:rPr>
          <w:sz w:val="18"/>
        </w:rPr>
        <w:t>Report,</w:t>
      </w:r>
      <w:r>
        <w:rPr>
          <w:spacing w:val="26"/>
          <w:sz w:val="18"/>
        </w:rPr>
        <w:t xml:space="preserve"> </w:t>
      </w:r>
      <w:r>
        <w:rPr>
          <w:i/>
          <w:sz w:val="18"/>
        </w:rPr>
        <w:t>EC</w:t>
      </w:r>
      <w:r>
        <w:rPr>
          <w:i/>
          <w:spacing w:val="25"/>
          <w:sz w:val="18"/>
        </w:rPr>
        <w:t xml:space="preserve"> </w:t>
      </w:r>
      <w:r>
        <w:rPr>
          <w:i/>
          <w:sz w:val="18"/>
        </w:rPr>
        <w:t>–</w:t>
      </w:r>
      <w:r>
        <w:rPr>
          <w:i/>
          <w:spacing w:val="26"/>
          <w:sz w:val="18"/>
        </w:rPr>
        <w:t xml:space="preserve"> </w:t>
      </w:r>
      <w:r>
        <w:rPr>
          <w:i/>
          <w:sz w:val="18"/>
        </w:rPr>
        <w:t>Fasteners</w:t>
      </w:r>
      <w:r>
        <w:rPr>
          <w:i/>
          <w:spacing w:val="25"/>
          <w:sz w:val="18"/>
        </w:rPr>
        <w:t xml:space="preserve"> </w:t>
      </w:r>
      <w:r>
        <w:rPr>
          <w:i/>
          <w:sz w:val="18"/>
        </w:rPr>
        <w:t>(China)</w:t>
      </w:r>
      <w:r>
        <w:rPr>
          <w:sz w:val="18"/>
        </w:rPr>
        <w:t>,</w:t>
      </w:r>
      <w:r>
        <w:rPr>
          <w:spacing w:val="25"/>
          <w:sz w:val="18"/>
        </w:rPr>
        <w:t xml:space="preserve"> </w:t>
      </w:r>
      <w:r>
        <w:rPr>
          <w:sz w:val="18"/>
        </w:rPr>
        <w:t>para.</w:t>
      </w:r>
      <w:r>
        <w:rPr>
          <w:spacing w:val="26"/>
          <w:sz w:val="18"/>
        </w:rPr>
        <w:t xml:space="preserve"> </w:t>
      </w:r>
      <w:r>
        <w:rPr>
          <w:sz w:val="18"/>
        </w:rPr>
        <w:t>541,</w:t>
      </w:r>
      <w:r>
        <w:rPr>
          <w:spacing w:val="25"/>
          <w:sz w:val="18"/>
        </w:rPr>
        <w:t xml:space="preserve"> </w:t>
      </w:r>
      <w:r>
        <w:rPr>
          <w:sz w:val="18"/>
        </w:rPr>
        <w:t>citing</w:t>
      </w:r>
      <w:r>
        <w:rPr>
          <w:spacing w:val="26"/>
          <w:sz w:val="18"/>
        </w:rPr>
        <w:t xml:space="preserve"> </w:t>
      </w:r>
      <w:r>
        <w:rPr>
          <w:sz w:val="18"/>
        </w:rPr>
        <w:t>Appellate</w:t>
      </w:r>
      <w:r>
        <w:rPr>
          <w:spacing w:val="27"/>
          <w:sz w:val="18"/>
        </w:rPr>
        <w:t xml:space="preserve"> </w:t>
      </w:r>
      <w:r>
        <w:rPr>
          <w:sz w:val="18"/>
        </w:rPr>
        <w:t>Body</w:t>
      </w:r>
      <w:r>
        <w:rPr>
          <w:spacing w:val="26"/>
          <w:sz w:val="18"/>
        </w:rPr>
        <w:t xml:space="preserve"> </w:t>
      </w:r>
      <w:r>
        <w:rPr>
          <w:sz w:val="18"/>
        </w:rPr>
        <w:t>Report,</w:t>
      </w:r>
      <w:r>
        <w:rPr>
          <w:spacing w:val="26"/>
          <w:sz w:val="18"/>
        </w:rPr>
        <w:t xml:space="preserve"> </w:t>
      </w:r>
      <w:r>
        <w:rPr>
          <w:i/>
          <w:sz w:val="18"/>
        </w:rPr>
        <w:t>US</w:t>
      </w:r>
      <w:r>
        <w:rPr>
          <w:i/>
          <w:spacing w:val="26"/>
          <w:sz w:val="18"/>
        </w:rPr>
        <w:t xml:space="preserve"> </w:t>
      </w:r>
      <w:r>
        <w:rPr>
          <w:i/>
          <w:sz w:val="18"/>
        </w:rPr>
        <w:t>–</w:t>
      </w:r>
      <w:r>
        <w:rPr>
          <w:i/>
          <w:spacing w:val="26"/>
          <w:sz w:val="18"/>
        </w:rPr>
        <w:t xml:space="preserve"> </w:t>
      </w:r>
      <w:r>
        <w:rPr>
          <w:i/>
          <w:sz w:val="18"/>
        </w:rPr>
        <w:t>Gambling</w:t>
      </w:r>
      <w:r>
        <w:rPr>
          <w:sz w:val="18"/>
        </w:rPr>
        <w:t>,</w:t>
      </w:r>
      <w:r>
        <w:rPr>
          <w:spacing w:val="25"/>
          <w:sz w:val="18"/>
        </w:rPr>
        <w:t xml:space="preserve"> </w:t>
      </w:r>
      <w:r>
        <w:rPr>
          <w:sz w:val="18"/>
        </w:rPr>
        <w:t>para.</w:t>
      </w:r>
      <w:r>
        <w:rPr>
          <w:spacing w:val="26"/>
          <w:sz w:val="18"/>
        </w:rPr>
        <w:t xml:space="preserve"> </w:t>
      </w:r>
      <w:r>
        <w:rPr>
          <w:sz w:val="18"/>
        </w:rPr>
        <w:t>270; Appellate Body Report, China – HP‐SSST (Japan) / HP‐SSST (EU), para. 5.96.</w:t>
      </w:r>
    </w:p>
    <w:p w14:paraId="51DE971A" w14:textId="77777777" w:rsidR="0010369C" w:rsidRDefault="0010369C">
      <w:pPr>
        <w:rPr>
          <w:sz w:val="18"/>
        </w:rPr>
        <w:sectPr w:rsidR="0010369C">
          <w:pgSz w:w="11910" w:h="16840"/>
          <w:pgMar w:top="880" w:right="800" w:bottom="980" w:left="1180" w:header="569" w:footer="788" w:gutter="0"/>
          <w:cols w:space="720"/>
        </w:sectPr>
      </w:pPr>
    </w:p>
    <w:p w14:paraId="51DE971B" w14:textId="77777777" w:rsidR="0010369C" w:rsidRDefault="008E43AE">
      <w:pPr>
        <w:tabs>
          <w:tab w:val="left" w:pos="6425"/>
        </w:tabs>
        <w:ind w:left="238"/>
        <w:jc w:val="both"/>
        <w:rPr>
          <w:sz w:val="20"/>
        </w:rPr>
      </w:pPr>
      <w:r>
        <w:rPr>
          <w:i/>
          <w:sz w:val="20"/>
        </w:rPr>
        <w:lastRenderedPageBreak/>
        <w:t>China</w:t>
      </w:r>
      <w:r>
        <w:rPr>
          <w:i/>
          <w:spacing w:val="-5"/>
          <w:sz w:val="20"/>
        </w:rPr>
        <w:t xml:space="preserve"> </w:t>
      </w:r>
      <w:r>
        <w:rPr>
          <w:i/>
          <w:sz w:val="20"/>
        </w:rPr>
        <w:t>–</w:t>
      </w:r>
      <w:r>
        <w:rPr>
          <w:i/>
          <w:spacing w:val="-5"/>
          <w:sz w:val="20"/>
        </w:rPr>
        <w:t xml:space="preserve"> </w:t>
      </w:r>
      <w:r>
        <w:rPr>
          <w:i/>
          <w:sz w:val="20"/>
        </w:rPr>
        <w:t>Anti‐Dumping</w:t>
      </w:r>
      <w:r>
        <w:rPr>
          <w:i/>
          <w:spacing w:val="-4"/>
          <w:sz w:val="20"/>
        </w:rPr>
        <w:t xml:space="preserve"> </w:t>
      </w:r>
      <w:r>
        <w:rPr>
          <w:i/>
          <w:sz w:val="20"/>
        </w:rPr>
        <w:t>and</w:t>
      </w:r>
      <w:r>
        <w:rPr>
          <w:i/>
          <w:spacing w:val="-5"/>
          <w:sz w:val="20"/>
        </w:rPr>
        <w:t xml:space="preserve"> </w:t>
      </w:r>
      <w:r>
        <w:rPr>
          <w:i/>
          <w:sz w:val="20"/>
        </w:rPr>
        <w:t>Countervailing</w:t>
      </w:r>
      <w:r>
        <w:rPr>
          <w:i/>
          <w:spacing w:val="-5"/>
          <w:sz w:val="20"/>
        </w:rPr>
        <w:t xml:space="preserve"> </w:t>
      </w:r>
      <w:r>
        <w:rPr>
          <w:i/>
          <w:sz w:val="20"/>
        </w:rPr>
        <w:t>Duty</w:t>
      </w:r>
      <w:r>
        <w:rPr>
          <w:i/>
          <w:spacing w:val="-4"/>
          <w:sz w:val="20"/>
        </w:rPr>
        <w:t xml:space="preserve"> </w:t>
      </w:r>
      <w:r>
        <w:rPr>
          <w:i/>
          <w:spacing w:val="-2"/>
          <w:sz w:val="20"/>
        </w:rPr>
        <w:t>Measures</w:t>
      </w:r>
      <w:r>
        <w:rPr>
          <w:i/>
          <w:sz w:val="20"/>
        </w:rPr>
        <w:tab/>
      </w:r>
      <w:r>
        <w:rPr>
          <w:sz w:val="20"/>
        </w:rPr>
        <w:t>Australia's</w:t>
      </w:r>
      <w:r>
        <w:rPr>
          <w:spacing w:val="-7"/>
          <w:sz w:val="20"/>
        </w:rPr>
        <w:t xml:space="preserve"> </w:t>
      </w:r>
      <w:r>
        <w:rPr>
          <w:sz w:val="20"/>
        </w:rPr>
        <w:t>First</w:t>
      </w:r>
      <w:r>
        <w:rPr>
          <w:spacing w:val="-2"/>
          <w:sz w:val="20"/>
        </w:rPr>
        <w:t xml:space="preserve"> </w:t>
      </w:r>
      <w:r>
        <w:rPr>
          <w:sz w:val="20"/>
        </w:rPr>
        <w:t>Written</w:t>
      </w:r>
      <w:r>
        <w:rPr>
          <w:spacing w:val="-2"/>
          <w:sz w:val="20"/>
        </w:rPr>
        <w:t xml:space="preserve"> Submission</w:t>
      </w:r>
    </w:p>
    <w:p w14:paraId="51DE971C" w14:textId="77777777" w:rsidR="0010369C" w:rsidRDefault="008E43AE">
      <w:pPr>
        <w:tabs>
          <w:tab w:val="left" w:pos="8227"/>
        </w:tabs>
        <w:spacing w:before="1"/>
        <w:ind w:left="239"/>
        <w:jc w:val="both"/>
        <w:rPr>
          <w:sz w:val="20"/>
        </w:rPr>
      </w:pPr>
      <w:r>
        <w:rPr>
          <w:i/>
          <w:sz w:val="20"/>
        </w:rPr>
        <w:t>on</w:t>
      </w:r>
      <w:r>
        <w:rPr>
          <w:i/>
          <w:spacing w:val="-1"/>
          <w:sz w:val="20"/>
        </w:rPr>
        <w:t xml:space="preserve"> </w:t>
      </w:r>
      <w:r>
        <w:rPr>
          <w:i/>
          <w:sz w:val="20"/>
        </w:rPr>
        <w:t>Wine</w:t>
      </w:r>
      <w:r>
        <w:rPr>
          <w:i/>
          <w:spacing w:val="-1"/>
          <w:sz w:val="20"/>
        </w:rPr>
        <w:t xml:space="preserve"> </w:t>
      </w:r>
      <w:r>
        <w:rPr>
          <w:i/>
          <w:sz w:val="20"/>
        </w:rPr>
        <w:t>from</w:t>
      </w:r>
      <w:r>
        <w:rPr>
          <w:i/>
          <w:spacing w:val="-3"/>
          <w:sz w:val="20"/>
        </w:rPr>
        <w:t xml:space="preserve"> </w:t>
      </w:r>
      <w:r>
        <w:rPr>
          <w:i/>
          <w:sz w:val="20"/>
        </w:rPr>
        <w:t>Australia</w:t>
      </w:r>
      <w:r>
        <w:rPr>
          <w:i/>
          <w:spacing w:val="-1"/>
          <w:sz w:val="20"/>
        </w:rPr>
        <w:t xml:space="preserve"> </w:t>
      </w:r>
      <w:r>
        <w:rPr>
          <w:spacing w:val="-2"/>
          <w:sz w:val="20"/>
        </w:rPr>
        <w:t>(DS602)</w:t>
      </w:r>
      <w:r>
        <w:rPr>
          <w:sz w:val="20"/>
        </w:rPr>
        <w:tab/>
        <w:t>29</w:t>
      </w:r>
      <w:r>
        <w:rPr>
          <w:spacing w:val="-1"/>
          <w:sz w:val="20"/>
        </w:rPr>
        <w:t xml:space="preserve"> </w:t>
      </w:r>
      <w:r>
        <w:rPr>
          <w:sz w:val="20"/>
        </w:rPr>
        <w:t>April</w:t>
      </w:r>
      <w:r>
        <w:rPr>
          <w:spacing w:val="-2"/>
          <w:sz w:val="20"/>
        </w:rPr>
        <w:t xml:space="preserve"> </w:t>
      </w:r>
      <w:r>
        <w:rPr>
          <w:spacing w:val="-4"/>
          <w:sz w:val="20"/>
        </w:rPr>
        <w:t>2022</w:t>
      </w:r>
    </w:p>
    <w:p w14:paraId="51DE971D" w14:textId="77777777" w:rsidR="0010369C" w:rsidRDefault="008E43AE">
      <w:pPr>
        <w:pStyle w:val="BodyText"/>
        <w:spacing w:before="34" w:line="360" w:lineRule="auto"/>
        <w:ind w:left="237" w:right="614" w:firstLine="851"/>
        <w:jc w:val="both"/>
      </w:pPr>
      <w:r>
        <w:rPr>
          <w:noProof/>
        </w:rPr>
        <w:drawing>
          <wp:anchor distT="0" distB="0" distL="0" distR="0" simplePos="0" relativeHeight="251458048" behindDoc="1" locked="0" layoutInCell="1" allowOverlap="1" wp14:anchorId="51DEA738" wp14:editId="51DEA739">
            <wp:simplePos x="0" y="0"/>
            <wp:positionH relativeFrom="page">
              <wp:posOffset>902208</wp:posOffset>
            </wp:positionH>
            <wp:positionV relativeFrom="paragraph">
              <wp:posOffset>69165</wp:posOffset>
            </wp:positionV>
            <wp:extent cx="262127" cy="103631"/>
            <wp:effectExtent l="0" t="0" r="0" b="0"/>
            <wp:wrapNone/>
            <wp:docPr id="1679" name="image8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 name="image867.png"/>
                    <pic:cNvPicPr/>
                  </pic:nvPicPr>
                  <pic:blipFill>
                    <a:blip r:embed="rId1132" cstate="print"/>
                    <a:stretch>
                      <a:fillRect/>
                    </a:stretch>
                  </pic:blipFill>
                  <pic:spPr>
                    <a:xfrm>
                      <a:off x="0" y="0"/>
                      <a:ext cx="262127" cy="103631"/>
                    </a:xfrm>
                    <a:prstGeom prst="rect">
                      <a:avLst/>
                    </a:prstGeom>
                  </pic:spPr>
                </pic:pic>
              </a:graphicData>
            </a:graphic>
          </wp:anchor>
        </w:drawing>
      </w:r>
      <w:r>
        <w:t>There is no evidence in the Final Determination or its supporting documents that MOFCOM</w:t>
      </w:r>
      <w:r>
        <w:rPr>
          <w:spacing w:val="-6"/>
        </w:rPr>
        <w:t xml:space="preserve"> </w:t>
      </w:r>
      <w:r>
        <w:t>assessed</w:t>
      </w:r>
      <w:r>
        <w:rPr>
          <w:spacing w:val="-6"/>
        </w:rPr>
        <w:t xml:space="preserve"> </w:t>
      </w:r>
      <w:r>
        <w:t>or</w:t>
      </w:r>
      <w:r>
        <w:rPr>
          <w:spacing w:val="-6"/>
        </w:rPr>
        <w:t xml:space="preserve"> </w:t>
      </w:r>
      <w:r>
        <w:t>determined</w:t>
      </w:r>
      <w:r>
        <w:rPr>
          <w:spacing w:val="-6"/>
        </w:rPr>
        <w:t xml:space="preserve"> </w:t>
      </w:r>
      <w:r>
        <w:t>that</w:t>
      </w:r>
      <w:r>
        <w:rPr>
          <w:spacing w:val="-6"/>
        </w:rPr>
        <w:t xml:space="preserve"> </w:t>
      </w:r>
      <w:r>
        <w:t>"good</w:t>
      </w:r>
      <w:r>
        <w:rPr>
          <w:spacing w:val="-7"/>
        </w:rPr>
        <w:t xml:space="preserve"> </w:t>
      </w:r>
      <w:r>
        <w:t>cause"</w:t>
      </w:r>
      <w:r>
        <w:rPr>
          <w:spacing w:val="-7"/>
        </w:rPr>
        <w:t xml:space="preserve"> </w:t>
      </w:r>
      <w:r>
        <w:t>had</w:t>
      </w:r>
      <w:r>
        <w:rPr>
          <w:spacing w:val="-6"/>
        </w:rPr>
        <w:t xml:space="preserve"> </w:t>
      </w:r>
      <w:r>
        <w:t>been</w:t>
      </w:r>
      <w:r>
        <w:rPr>
          <w:spacing w:val="-6"/>
        </w:rPr>
        <w:t xml:space="preserve"> </w:t>
      </w:r>
      <w:r>
        <w:t>shown</w:t>
      </w:r>
      <w:r>
        <w:rPr>
          <w:spacing w:val="-6"/>
        </w:rPr>
        <w:t xml:space="preserve"> </w:t>
      </w:r>
      <w:r>
        <w:t>in</w:t>
      </w:r>
      <w:r>
        <w:rPr>
          <w:spacing w:val="-5"/>
        </w:rPr>
        <w:t xml:space="preserve"> </w:t>
      </w:r>
      <w:r>
        <w:t>respect</w:t>
      </w:r>
      <w:r>
        <w:rPr>
          <w:spacing w:val="-7"/>
        </w:rPr>
        <w:t xml:space="preserve"> </w:t>
      </w:r>
      <w:r>
        <w:t>of</w:t>
      </w:r>
      <w:r>
        <w:rPr>
          <w:spacing w:val="-6"/>
        </w:rPr>
        <w:t xml:space="preserve"> </w:t>
      </w:r>
      <w:r>
        <w:t>any</w:t>
      </w:r>
      <w:r>
        <w:rPr>
          <w:spacing w:val="-6"/>
        </w:rPr>
        <w:t xml:space="preserve"> </w:t>
      </w:r>
      <w:r>
        <w:t>of</w:t>
      </w:r>
      <w:r>
        <w:rPr>
          <w:spacing w:val="-6"/>
        </w:rPr>
        <w:t xml:space="preserve"> </w:t>
      </w:r>
      <w:r>
        <w:t>the above‐referenced requests.</w:t>
      </w:r>
    </w:p>
    <w:p w14:paraId="51DE971E" w14:textId="77777777" w:rsidR="0010369C" w:rsidRDefault="0010369C">
      <w:pPr>
        <w:pStyle w:val="BodyText"/>
        <w:spacing w:before="11"/>
        <w:rPr>
          <w:sz w:val="8"/>
        </w:rPr>
      </w:pPr>
    </w:p>
    <w:p w14:paraId="51DE971F" w14:textId="77777777" w:rsidR="0010369C" w:rsidRDefault="008E43AE">
      <w:pPr>
        <w:pStyle w:val="BodyText"/>
        <w:spacing w:before="52" w:line="360" w:lineRule="auto"/>
        <w:ind w:left="237" w:right="615" w:firstLine="851"/>
        <w:jc w:val="both"/>
      </w:pPr>
      <w:r>
        <w:rPr>
          <w:noProof/>
        </w:rPr>
        <w:drawing>
          <wp:anchor distT="0" distB="0" distL="0" distR="0" simplePos="0" relativeHeight="251459072" behindDoc="1" locked="0" layoutInCell="1" allowOverlap="1" wp14:anchorId="51DEA73A" wp14:editId="51DEA73B">
            <wp:simplePos x="0" y="0"/>
            <wp:positionH relativeFrom="page">
              <wp:posOffset>902208</wp:posOffset>
            </wp:positionH>
            <wp:positionV relativeFrom="paragraph">
              <wp:posOffset>80595</wp:posOffset>
            </wp:positionV>
            <wp:extent cx="262127" cy="103631"/>
            <wp:effectExtent l="0" t="0" r="0" b="0"/>
            <wp:wrapNone/>
            <wp:docPr id="1681" name="image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 name="image868.png"/>
                    <pic:cNvPicPr/>
                  </pic:nvPicPr>
                  <pic:blipFill>
                    <a:blip r:embed="rId1133" cstate="print"/>
                    <a:stretch>
                      <a:fillRect/>
                    </a:stretch>
                  </pic:blipFill>
                  <pic:spPr>
                    <a:xfrm>
                      <a:off x="0" y="0"/>
                      <a:ext cx="262127" cy="103631"/>
                    </a:xfrm>
                    <a:prstGeom prst="rect">
                      <a:avLst/>
                    </a:prstGeom>
                  </pic:spPr>
                </pic:pic>
              </a:graphicData>
            </a:graphic>
          </wp:anchor>
        </w:drawing>
      </w:r>
      <w:r>
        <w:t xml:space="preserve">The Panel in </w:t>
      </w:r>
      <w:r>
        <w:rPr>
          <w:i/>
        </w:rPr>
        <w:t xml:space="preserve">China – GOES </w:t>
      </w:r>
      <w:r>
        <w:t>found that non‐confidential summaries under circumstances very similar to those in the current dispute to be inadequate. That panel explained as follows:</w:t>
      </w:r>
    </w:p>
    <w:p w14:paraId="51DE9720" w14:textId="77777777" w:rsidR="0010369C" w:rsidRDefault="008E43AE">
      <w:pPr>
        <w:pStyle w:val="ListParagraph"/>
        <w:numPr>
          <w:ilvl w:val="1"/>
          <w:numId w:val="22"/>
        </w:numPr>
        <w:tabs>
          <w:tab w:val="left" w:pos="1671"/>
        </w:tabs>
        <w:spacing w:before="161" w:line="276" w:lineRule="auto"/>
        <w:ind w:right="612" w:firstLine="0"/>
        <w:jc w:val="both"/>
      </w:pPr>
      <w:r>
        <w:t>We note that Part II‐2 of the application consists of short and general statements regarding the natur</w:t>
      </w:r>
      <w:r>
        <w:t>e of the information treated as confidential. For example, the section in Part II‐2 that refers to the redacted information regarding "change in price" provides:</w:t>
      </w:r>
    </w:p>
    <w:p w14:paraId="51DE9721" w14:textId="77777777" w:rsidR="0010369C" w:rsidRDefault="0010369C">
      <w:pPr>
        <w:pStyle w:val="BodyText"/>
        <w:spacing w:before="7"/>
        <w:rPr>
          <w:sz w:val="19"/>
        </w:rPr>
      </w:pPr>
    </w:p>
    <w:p w14:paraId="51DE9722" w14:textId="77777777" w:rsidR="0010369C" w:rsidRDefault="008E43AE">
      <w:pPr>
        <w:spacing w:before="1" w:line="276" w:lineRule="auto"/>
        <w:ind w:left="1939" w:right="614" w:firstLine="1"/>
        <w:jc w:val="both"/>
      </w:pPr>
      <w:r>
        <w:t>This part involves sales price of the subject merchandise by the petitioners from 2006 to Feb</w:t>
      </w:r>
      <w:r>
        <w:t>ruary 2009. As they are business proprietary of the petitioners, disclosure of which will seriously harm the interest of the petitioners; therefore, the petitioners applied for confidential treatment of the information.</w:t>
      </w:r>
    </w:p>
    <w:p w14:paraId="51DE9723" w14:textId="77777777" w:rsidR="0010369C" w:rsidRDefault="0010369C">
      <w:pPr>
        <w:pStyle w:val="BodyText"/>
        <w:spacing w:before="7"/>
        <w:rPr>
          <w:sz w:val="19"/>
        </w:rPr>
      </w:pPr>
    </w:p>
    <w:p w14:paraId="51DE9724" w14:textId="77777777" w:rsidR="0010369C" w:rsidRDefault="008E43AE">
      <w:pPr>
        <w:pStyle w:val="ListParagraph"/>
        <w:numPr>
          <w:ilvl w:val="1"/>
          <w:numId w:val="22"/>
        </w:numPr>
        <w:tabs>
          <w:tab w:val="left" w:pos="1717"/>
        </w:tabs>
        <w:spacing w:before="0" w:line="276" w:lineRule="auto"/>
        <w:ind w:left="1087" w:right="615" w:firstLine="0"/>
        <w:jc w:val="both"/>
      </w:pPr>
      <w:r>
        <w:t>Therefore, in the Panel's view, the</w:t>
      </w:r>
      <w:r>
        <w:t xml:space="preserve"> "summaries" in Part II‐2 provide minimal descriptions of the nature, rather than the substance, of the information treated as confidential. Indeed, China does not even attempt to argue that the summaries in Part II‐2 are sufficient under Articles 12.4.1 o</w:t>
      </w:r>
      <w:r>
        <w:t xml:space="preserve">f the SCM Agreement and 6.5.1 of the Anti‐Dumping </w:t>
      </w:r>
      <w:r>
        <w:rPr>
          <w:spacing w:val="-2"/>
        </w:rPr>
        <w:t>Agreement.</w:t>
      </w:r>
    </w:p>
    <w:p w14:paraId="51DE9725" w14:textId="77777777" w:rsidR="0010369C" w:rsidRDefault="0010369C">
      <w:pPr>
        <w:pStyle w:val="BodyText"/>
        <w:spacing w:before="5"/>
        <w:rPr>
          <w:sz w:val="15"/>
        </w:rPr>
      </w:pPr>
    </w:p>
    <w:p w14:paraId="51DE9726" w14:textId="77777777" w:rsidR="0010369C" w:rsidRDefault="008E43AE">
      <w:pPr>
        <w:pStyle w:val="BodyText"/>
        <w:spacing w:before="51" w:line="360" w:lineRule="auto"/>
        <w:ind w:left="237" w:right="613" w:firstLine="851"/>
        <w:jc w:val="both"/>
      </w:pPr>
      <w:r>
        <w:rPr>
          <w:noProof/>
        </w:rPr>
        <w:drawing>
          <wp:anchor distT="0" distB="0" distL="0" distR="0" simplePos="0" relativeHeight="251460096" behindDoc="1" locked="0" layoutInCell="1" allowOverlap="1" wp14:anchorId="51DEA73C" wp14:editId="51DEA73D">
            <wp:simplePos x="0" y="0"/>
            <wp:positionH relativeFrom="page">
              <wp:posOffset>902208</wp:posOffset>
            </wp:positionH>
            <wp:positionV relativeFrom="paragraph">
              <wp:posOffset>79960</wp:posOffset>
            </wp:positionV>
            <wp:extent cx="262127" cy="103631"/>
            <wp:effectExtent l="0" t="0" r="0" b="0"/>
            <wp:wrapNone/>
            <wp:docPr id="1683" name="image8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 name="image869.png"/>
                    <pic:cNvPicPr/>
                  </pic:nvPicPr>
                  <pic:blipFill>
                    <a:blip r:embed="rId1134" cstate="print"/>
                    <a:stretch>
                      <a:fillRect/>
                    </a:stretch>
                  </pic:blipFill>
                  <pic:spPr>
                    <a:xfrm>
                      <a:off x="0" y="0"/>
                      <a:ext cx="262127" cy="103631"/>
                    </a:xfrm>
                    <a:prstGeom prst="rect">
                      <a:avLst/>
                    </a:prstGeom>
                  </pic:spPr>
                </pic:pic>
              </a:graphicData>
            </a:graphic>
          </wp:anchor>
        </w:drawing>
      </w:r>
      <w:r>
        <w:t>For the same reasons as those outlined above, the identical, formulaic summaries provided in the domestic producers' questionnaire responses in the current dispute are also inadequate.</w:t>
      </w:r>
      <w:r>
        <w:rPr>
          <w:spacing w:val="-8"/>
        </w:rPr>
        <w:t xml:space="preserve"> </w:t>
      </w:r>
      <w:r>
        <w:t>Thus,</w:t>
      </w:r>
      <w:r>
        <w:rPr>
          <w:spacing w:val="-8"/>
        </w:rPr>
        <w:t xml:space="preserve"> </w:t>
      </w:r>
      <w:r>
        <w:t>MOFCOM</w:t>
      </w:r>
      <w:r>
        <w:rPr>
          <w:spacing w:val="-8"/>
        </w:rPr>
        <w:t xml:space="preserve"> </w:t>
      </w:r>
      <w:r>
        <w:t>failed</w:t>
      </w:r>
      <w:r>
        <w:rPr>
          <w:spacing w:val="-8"/>
        </w:rPr>
        <w:t xml:space="preserve"> </w:t>
      </w:r>
      <w:r>
        <w:t>in</w:t>
      </w:r>
      <w:r>
        <w:rPr>
          <w:spacing w:val="-10"/>
        </w:rPr>
        <w:t xml:space="preserve"> </w:t>
      </w:r>
      <w:r>
        <w:t>its</w:t>
      </w:r>
      <w:r>
        <w:rPr>
          <w:spacing w:val="-9"/>
        </w:rPr>
        <w:t xml:space="preserve"> </w:t>
      </w:r>
      <w:r>
        <w:t>obligation</w:t>
      </w:r>
      <w:r>
        <w:rPr>
          <w:spacing w:val="-8"/>
        </w:rPr>
        <w:t xml:space="preserve"> </w:t>
      </w:r>
      <w:r>
        <w:t>under</w:t>
      </w:r>
      <w:r>
        <w:rPr>
          <w:spacing w:val="-8"/>
        </w:rPr>
        <w:t xml:space="preserve"> </w:t>
      </w:r>
      <w:r>
        <w:t>Article</w:t>
      </w:r>
      <w:r>
        <w:rPr>
          <w:spacing w:val="-8"/>
        </w:rPr>
        <w:t xml:space="preserve"> </w:t>
      </w:r>
      <w:r>
        <w:t>6.5.1</w:t>
      </w:r>
      <w:r>
        <w:rPr>
          <w:spacing w:val="-9"/>
        </w:rPr>
        <w:t xml:space="preserve"> </w:t>
      </w:r>
      <w:r>
        <w:t>to</w:t>
      </w:r>
      <w:r>
        <w:rPr>
          <w:spacing w:val="-9"/>
        </w:rPr>
        <w:t xml:space="preserve"> </w:t>
      </w:r>
      <w:r>
        <w:t>require</w:t>
      </w:r>
      <w:r>
        <w:rPr>
          <w:spacing w:val="-9"/>
        </w:rPr>
        <w:t xml:space="preserve"> </w:t>
      </w:r>
      <w:r>
        <w:t>the</w:t>
      </w:r>
      <w:r>
        <w:rPr>
          <w:spacing w:val="-8"/>
        </w:rPr>
        <w:t xml:space="preserve"> </w:t>
      </w:r>
      <w:r>
        <w:t>domestic producers to furnish adequate non‐confidential summaries of the information treated as confidential in their questionnaire responses.</w:t>
      </w:r>
    </w:p>
    <w:p w14:paraId="51DE9727" w14:textId="77777777" w:rsidR="0010369C" w:rsidRDefault="008E43AE">
      <w:pPr>
        <w:pStyle w:val="BodyText"/>
        <w:tabs>
          <w:tab w:val="left" w:pos="3642"/>
        </w:tabs>
        <w:spacing w:before="160" w:line="362" w:lineRule="auto"/>
        <w:ind w:left="3642" w:right="615" w:hanging="853"/>
        <w:jc w:val="both"/>
      </w:pPr>
      <w:r>
        <w:rPr>
          <w:spacing w:val="-4"/>
          <w:u w:val="single"/>
        </w:rPr>
        <w:t>(b)</w:t>
      </w:r>
      <w:r>
        <w:tab/>
      </w:r>
      <w:r>
        <w:rPr>
          <w:u w:val="single"/>
        </w:rPr>
        <w:t>The responses to notices of verification f</w:t>
      </w:r>
      <w:r>
        <w:rPr>
          <w:u w:val="single"/>
        </w:rPr>
        <w:t>rom domestic</w:t>
      </w:r>
      <w:r>
        <w:t xml:space="preserve"> </w:t>
      </w:r>
      <w:r>
        <w:rPr>
          <w:spacing w:val="-2"/>
          <w:u w:val="single"/>
        </w:rPr>
        <w:t>industry</w:t>
      </w:r>
    </w:p>
    <w:p w14:paraId="51DE9728" w14:textId="77777777" w:rsidR="0010369C" w:rsidRDefault="0010369C">
      <w:pPr>
        <w:pStyle w:val="BodyText"/>
        <w:spacing w:before="5"/>
        <w:rPr>
          <w:sz w:val="8"/>
        </w:rPr>
      </w:pPr>
    </w:p>
    <w:p w14:paraId="51DE9729" w14:textId="77777777" w:rsidR="0010369C" w:rsidRDefault="008E43AE">
      <w:pPr>
        <w:pStyle w:val="BodyText"/>
        <w:spacing w:before="52" w:line="360" w:lineRule="auto"/>
        <w:ind w:left="237" w:right="613" w:firstLine="851"/>
        <w:jc w:val="both"/>
      </w:pPr>
      <w:r>
        <w:rPr>
          <w:noProof/>
        </w:rPr>
        <w:drawing>
          <wp:anchor distT="0" distB="0" distL="0" distR="0" simplePos="0" relativeHeight="251461120" behindDoc="1" locked="0" layoutInCell="1" allowOverlap="1" wp14:anchorId="51DEA73E" wp14:editId="51DEA73F">
            <wp:simplePos x="0" y="0"/>
            <wp:positionH relativeFrom="page">
              <wp:posOffset>902208</wp:posOffset>
            </wp:positionH>
            <wp:positionV relativeFrom="paragraph">
              <wp:posOffset>81949</wp:posOffset>
            </wp:positionV>
            <wp:extent cx="262127" cy="100753"/>
            <wp:effectExtent l="0" t="0" r="0" b="0"/>
            <wp:wrapNone/>
            <wp:docPr id="1685" name="image8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 name="image870.png"/>
                    <pic:cNvPicPr/>
                  </pic:nvPicPr>
                  <pic:blipFill>
                    <a:blip r:embed="rId1135" cstate="print"/>
                    <a:stretch>
                      <a:fillRect/>
                    </a:stretch>
                  </pic:blipFill>
                  <pic:spPr>
                    <a:xfrm>
                      <a:off x="0" y="0"/>
                      <a:ext cx="262127" cy="100753"/>
                    </a:xfrm>
                    <a:prstGeom prst="rect">
                      <a:avLst/>
                    </a:prstGeom>
                  </pic:spPr>
                </pic:pic>
              </a:graphicData>
            </a:graphic>
          </wp:anchor>
        </w:drawing>
      </w:r>
      <w:r>
        <w:t>MOFCOM issued "notices of verification"</w:t>
      </w:r>
      <w:r>
        <w:rPr>
          <w:spacing w:val="-2"/>
        </w:rPr>
        <w:t xml:space="preserve"> </w:t>
      </w:r>
      <w:r>
        <w:t>relating</w:t>
      </w:r>
      <w:r>
        <w:rPr>
          <w:spacing w:val="-2"/>
        </w:rPr>
        <w:t xml:space="preserve"> </w:t>
      </w:r>
      <w:r>
        <w:t>to the information provided in the questionnaire responses to two of the twenty‐one Chinese producers who submitted a response to the Domestic Producer Questionnaire, COFCO Greatwall and Changyu Wines. MOFCOM</w:t>
      </w:r>
      <w:r>
        <w:rPr>
          <w:spacing w:val="-1"/>
        </w:rPr>
        <w:t xml:space="preserve"> </w:t>
      </w:r>
      <w:r>
        <w:t>treated</w:t>
      </w:r>
      <w:r>
        <w:rPr>
          <w:spacing w:val="-2"/>
        </w:rPr>
        <w:t xml:space="preserve"> </w:t>
      </w:r>
      <w:r>
        <w:t>certain</w:t>
      </w:r>
      <w:r>
        <w:rPr>
          <w:spacing w:val="-2"/>
        </w:rPr>
        <w:t xml:space="preserve"> </w:t>
      </w:r>
      <w:r>
        <w:t>information in</w:t>
      </w:r>
      <w:r>
        <w:rPr>
          <w:spacing w:val="-2"/>
        </w:rPr>
        <w:t xml:space="preserve"> </w:t>
      </w:r>
      <w:r>
        <w:t>the verification</w:t>
      </w:r>
      <w:r>
        <w:rPr>
          <w:spacing w:val="-3"/>
        </w:rPr>
        <w:t xml:space="preserve"> </w:t>
      </w:r>
      <w:r>
        <w:t>responses</w:t>
      </w:r>
      <w:r>
        <w:rPr>
          <w:spacing w:val="-2"/>
        </w:rPr>
        <w:t xml:space="preserve"> </w:t>
      </w:r>
      <w:r>
        <w:t>as</w:t>
      </w:r>
      <w:r>
        <w:rPr>
          <w:spacing w:val="-2"/>
        </w:rPr>
        <w:t xml:space="preserve"> </w:t>
      </w:r>
      <w:r>
        <w:t>confidential</w:t>
      </w:r>
      <w:r>
        <w:rPr>
          <w:spacing w:val="-2"/>
        </w:rPr>
        <w:t xml:space="preserve"> </w:t>
      </w:r>
      <w:r>
        <w:t>without</w:t>
      </w:r>
      <w:r>
        <w:rPr>
          <w:spacing w:val="-2"/>
        </w:rPr>
        <w:t xml:space="preserve"> </w:t>
      </w:r>
      <w:r>
        <w:t>(i) requiring "good cause" to be shown for such treatment, (ii) assessing whether "good cause" had</w:t>
      </w:r>
      <w:r>
        <w:rPr>
          <w:spacing w:val="63"/>
        </w:rPr>
        <w:t xml:space="preserve"> </w:t>
      </w:r>
      <w:r>
        <w:t>been</w:t>
      </w:r>
      <w:r>
        <w:rPr>
          <w:spacing w:val="64"/>
        </w:rPr>
        <w:t xml:space="preserve"> </w:t>
      </w:r>
      <w:r>
        <w:t>shown,</w:t>
      </w:r>
      <w:r>
        <w:rPr>
          <w:spacing w:val="64"/>
        </w:rPr>
        <w:t xml:space="preserve"> </w:t>
      </w:r>
      <w:r>
        <w:t>or</w:t>
      </w:r>
      <w:r>
        <w:rPr>
          <w:spacing w:val="64"/>
        </w:rPr>
        <w:t xml:space="preserve"> </w:t>
      </w:r>
      <w:r>
        <w:t>(iii)</w:t>
      </w:r>
      <w:r>
        <w:rPr>
          <w:spacing w:val="65"/>
        </w:rPr>
        <w:t xml:space="preserve"> </w:t>
      </w:r>
      <w:r>
        <w:t>requiring</w:t>
      </w:r>
      <w:r>
        <w:rPr>
          <w:spacing w:val="63"/>
        </w:rPr>
        <w:t xml:space="preserve"> </w:t>
      </w:r>
      <w:r>
        <w:t>the</w:t>
      </w:r>
      <w:r>
        <w:rPr>
          <w:spacing w:val="65"/>
        </w:rPr>
        <w:t xml:space="preserve"> </w:t>
      </w:r>
      <w:r>
        <w:t>domestic</w:t>
      </w:r>
      <w:r>
        <w:rPr>
          <w:spacing w:val="65"/>
        </w:rPr>
        <w:t xml:space="preserve"> </w:t>
      </w:r>
      <w:r>
        <w:t>producers</w:t>
      </w:r>
      <w:r>
        <w:rPr>
          <w:spacing w:val="64"/>
        </w:rPr>
        <w:t xml:space="preserve"> </w:t>
      </w:r>
      <w:r>
        <w:t>to</w:t>
      </w:r>
      <w:r>
        <w:rPr>
          <w:spacing w:val="65"/>
        </w:rPr>
        <w:t xml:space="preserve"> </w:t>
      </w:r>
      <w:r>
        <w:t>furnish</w:t>
      </w:r>
      <w:r>
        <w:rPr>
          <w:spacing w:val="64"/>
        </w:rPr>
        <w:t xml:space="preserve"> </w:t>
      </w:r>
      <w:r>
        <w:rPr>
          <w:spacing w:val="-2"/>
        </w:rPr>
        <w:t>non‐confidential</w:t>
      </w:r>
    </w:p>
    <w:p w14:paraId="51DE972A" w14:textId="77777777" w:rsidR="0010369C" w:rsidRDefault="0010369C">
      <w:pPr>
        <w:spacing w:line="360" w:lineRule="auto"/>
        <w:jc w:val="both"/>
        <w:sectPr w:rsidR="0010369C">
          <w:pgSz w:w="11910" w:h="16840"/>
          <w:pgMar w:top="880" w:right="800" w:bottom="980" w:left="1180" w:header="569" w:footer="788" w:gutter="0"/>
          <w:cols w:space="720"/>
        </w:sectPr>
      </w:pPr>
    </w:p>
    <w:p w14:paraId="51DE972B" w14:textId="77777777" w:rsidR="0010369C" w:rsidRDefault="008E43AE">
      <w:pPr>
        <w:tabs>
          <w:tab w:val="left" w:pos="6426"/>
        </w:tabs>
        <w:ind w:left="238"/>
        <w:rPr>
          <w:sz w:val="20"/>
        </w:rPr>
      </w:pPr>
      <w:r>
        <w:rPr>
          <w:i/>
          <w:sz w:val="20"/>
        </w:rPr>
        <w:lastRenderedPageBreak/>
        <w:t>China</w:t>
      </w:r>
      <w:r>
        <w:rPr>
          <w:i/>
          <w:spacing w:val="-5"/>
          <w:sz w:val="20"/>
        </w:rPr>
        <w:t xml:space="preserve"> </w:t>
      </w:r>
      <w:r>
        <w:rPr>
          <w:i/>
          <w:sz w:val="20"/>
        </w:rPr>
        <w:t>–</w:t>
      </w:r>
      <w:r>
        <w:rPr>
          <w:i/>
          <w:spacing w:val="-5"/>
          <w:sz w:val="20"/>
        </w:rPr>
        <w:t xml:space="preserve"> </w:t>
      </w:r>
      <w:r>
        <w:rPr>
          <w:i/>
          <w:sz w:val="20"/>
        </w:rPr>
        <w:t>Anti‐Dumping</w:t>
      </w:r>
      <w:r>
        <w:rPr>
          <w:i/>
          <w:spacing w:val="-4"/>
          <w:sz w:val="20"/>
        </w:rPr>
        <w:t xml:space="preserve"> </w:t>
      </w:r>
      <w:r>
        <w:rPr>
          <w:i/>
          <w:sz w:val="20"/>
        </w:rPr>
        <w:t>and</w:t>
      </w:r>
      <w:r>
        <w:rPr>
          <w:i/>
          <w:spacing w:val="-5"/>
          <w:sz w:val="20"/>
        </w:rPr>
        <w:t xml:space="preserve"> </w:t>
      </w:r>
      <w:r>
        <w:rPr>
          <w:i/>
          <w:sz w:val="20"/>
        </w:rPr>
        <w:t>Countervailing</w:t>
      </w:r>
      <w:r>
        <w:rPr>
          <w:i/>
          <w:spacing w:val="-5"/>
          <w:sz w:val="20"/>
        </w:rPr>
        <w:t xml:space="preserve"> </w:t>
      </w:r>
      <w:r>
        <w:rPr>
          <w:i/>
          <w:sz w:val="20"/>
        </w:rPr>
        <w:t>Duty</w:t>
      </w:r>
      <w:r>
        <w:rPr>
          <w:i/>
          <w:spacing w:val="-4"/>
          <w:sz w:val="20"/>
        </w:rPr>
        <w:t xml:space="preserve"> </w:t>
      </w:r>
      <w:r>
        <w:rPr>
          <w:i/>
          <w:spacing w:val="-2"/>
          <w:sz w:val="20"/>
        </w:rPr>
        <w:t>Measures</w:t>
      </w:r>
      <w:r>
        <w:rPr>
          <w:i/>
          <w:sz w:val="20"/>
        </w:rPr>
        <w:tab/>
      </w:r>
      <w:r>
        <w:rPr>
          <w:sz w:val="20"/>
        </w:rPr>
        <w:t>Australia's</w:t>
      </w:r>
      <w:r>
        <w:rPr>
          <w:spacing w:val="-7"/>
          <w:sz w:val="20"/>
        </w:rPr>
        <w:t xml:space="preserve"> </w:t>
      </w:r>
      <w:r>
        <w:rPr>
          <w:sz w:val="20"/>
        </w:rPr>
        <w:t>First</w:t>
      </w:r>
      <w:r>
        <w:rPr>
          <w:spacing w:val="-2"/>
          <w:sz w:val="20"/>
        </w:rPr>
        <w:t xml:space="preserve"> </w:t>
      </w:r>
      <w:r>
        <w:rPr>
          <w:sz w:val="20"/>
        </w:rPr>
        <w:t>Written</w:t>
      </w:r>
      <w:r>
        <w:rPr>
          <w:spacing w:val="-2"/>
          <w:sz w:val="20"/>
        </w:rPr>
        <w:t xml:space="preserve"> Submission</w:t>
      </w:r>
    </w:p>
    <w:p w14:paraId="51DE972C" w14:textId="77777777" w:rsidR="0010369C" w:rsidRDefault="008E43AE">
      <w:pPr>
        <w:tabs>
          <w:tab w:val="left" w:pos="8228"/>
        </w:tabs>
        <w:spacing w:before="1"/>
        <w:ind w:left="239"/>
        <w:rPr>
          <w:sz w:val="20"/>
        </w:rPr>
      </w:pPr>
      <w:r>
        <w:rPr>
          <w:i/>
          <w:sz w:val="20"/>
        </w:rPr>
        <w:t>on</w:t>
      </w:r>
      <w:r>
        <w:rPr>
          <w:i/>
          <w:spacing w:val="-1"/>
          <w:sz w:val="20"/>
        </w:rPr>
        <w:t xml:space="preserve"> </w:t>
      </w:r>
      <w:r>
        <w:rPr>
          <w:i/>
          <w:sz w:val="20"/>
        </w:rPr>
        <w:t>Wine</w:t>
      </w:r>
      <w:r>
        <w:rPr>
          <w:i/>
          <w:spacing w:val="-1"/>
          <w:sz w:val="20"/>
        </w:rPr>
        <w:t xml:space="preserve"> </w:t>
      </w:r>
      <w:r>
        <w:rPr>
          <w:i/>
          <w:sz w:val="20"/>
        </w:rPr>
        <w:t>from</w:t>
      </w:r>
      <w:r>
        <w:rPr>
          <w:i/>
          <w:spacing w:val="-3"/>
          <w:sz w:val="20"/>
        </w:rPr>
        <w:t xml:space="preserve"> </w:t>
      </w:r>
      <w:r>
        <w:rPr>
          <w:i/>
          <w:sz w:val="20"/>
        </w:rPr>
        <w:t>Australia</w:t>
      </w:r>
      <w:r>
        <w:rPr>
          <w:i/>
          <w:spacing w:val="-1"/>
          <w:sz w:val="20"/>
        </w:rPr>
        <w:t xml:space="preserve"> </w:t>
      </w:r>
      <w:r>
        <w:rPr>
          <w:spacing w:val="-2"/>
          <w:sz w:val="20"/>
        </w:rPr>
        <w:t>(DS602)</w:t>
      </w:r>
      <w:r>
        <w:rPr>
          <w:sz w:val="20"/>
        </w:rPr>
        <w:tab/>
        <w:t>29</w:t>
      </w:r>
      <w:r>
        <w:rPr>
          <w:spacing w:val="-1"/>
          <w:sz w:val="20"/>
        </w:rPr>
        <w:t xml:space="preserve"> </w:t>
      </w:r>
      <w:r>
        <w:rPr>
          <w:sz w:val="20"/>
        </w:rPr>
        <w:t>April</w:t>
      </w:r>
      <w:r>
        <w:rPr>
          <w:spacing w:val="-2"/>
          <w:sz w:val="20"/>
        </w:rPr>
        <w:t xml:space="preserve"> </w:t>
      </w:r>
      <w:r>
        <w:rPr>
          <w:spacing w:val="-4"/>
          <w:sz w:val="20"/>
        </w:rPr>
        <w:t>2022</w:t>
      </w:r>
    </w:p>
    <w:p w14:paraId="51DE972D" w14:textId="77777777" w:rsidR="0010369C" w:rsidRDefault="008E43AE">
      <w:pPr>
        <w:pStyle w:val="BodyText"/>
        <w:spacing w:before="34" w:line="360" w:lineRule="auto"/>
        <w:ind w:left="237"/>
      </w:pPr>
      <w:r>
        <w:t>summaries "in sufficient detail to permit a reasonable understanding of the substance of the information submitted in confidence</w:t>
      </w:r>
      <w:r>
        <w:t>".</w:t>
      </w:r>
    </w:p>
    <w:p w14:paraId="51DE972E" w14:textId="77777777" w:rsidR="0010369C" w:rsidRDefault="0010369C">
      <w:pPr>
        <w:pStyle w:val="BodyText"/>
        <w:spacing w:before="10"/>
        <w:rPr>
          <w:sz w:val="8"/>
        </w:rPr>
      </w:pPr>
    </w:p>
    <w:p w14:paraId="51DE972F" w14:textId="77777777" w:rsidR="0010369C" w:rsidRDefault="008E43AE">
      <w:pPr>
        <w:pStyle w:val="BodyText"/>
        <w:spacing w:before="52" w:line="360" w:lineRule="auto"/>
        <w:ind w:left="237" w:right="614" w:firstLine="851"/>
        <w:jc w:val="both"/>
      </w:pPr>
      <w:r>
        <w:rPr>
          <w:noProof/>
        </w:rPr>
        <w:drawing>
          <wp:anchor distT="0" distB="0" distL="0" distR="0" simplePos="0" relativeHeight="251462144" behindDoc="1" locked="0" layoutInCell="1" allowOverlap="1" wp14:anchorId="51DEA740" wp14:editId="51DEA741">
            <wp:simplePos x="0" y="0"/>
            <wp:positionH relativeFrom="page">
              <wp:posOffset>902208</wp:posOffset>
            </wp:positionH>
            <wp:positionV relativeFrom="paragraph">
              <wp:posOffset>76785</wp:posOffset>
            </wp:positionV>
            <wp:extent cx="262127" cy="106679"/>
            <wp:effectExtent l="0" t="0" r="0" b="0"/>
            <wp:wrapNone/>
            <wp:docPr id="1687" name="image8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 name="image871.png"/>
                    <pic:cNvPicPr/>
                  </pic:nvPicPr>
                  <pic:blipFill>
                    <a:blip r:embed="rId1136" cstate="print"/>
                    <a:stretch>
                      <a:fillRect/>
                    </a:stretch>
                  </pic:blipFill>
                  <pic:spPr>
                    <a:xfrm>
                      <a:off x="0" y="0"/>
                      <a:ext cx="262127" cy="106679"/>
                    </a:xfrm>
                    <a:prstGeom prst="rect">
                      <a:avLst/>
                    </a:prstGeom>
                  </pic:spPr>
                </pic:pic>
              </a:graphicData>
            </a:graphic>
          </wp:anchor>
        </w:drawing>
      </w:r>
      <w:r>
        <w:t>In its response dated 9</w:t>
      </w:r>
      <w:r>
        <w:rPr>
          <w:spacing w:val="-3"/>
        </w:rPr>
        <w:t xml:space="preserve"> </w:t>
      </w:r>
      <w:r>
        <w:t>February</w:t>
      </w:r>
      <w:r>
        <w:rPr>
          <w:spacing w:val="-1"/>
        </w:rPr>
        <w:t xml:space="preserve"> </w:t>
      </w:r>
      <w:r>
        <w:t>2021, COFCO Greatwall requested confidential treatment covering 10 of 11 annexures it provided.</w:t>
      </w:r>
      <w:r>
        <w:rPr>
          <w:vertAlign w:val="superscript"/>
        </w:rPr>
        <w:t>1034</w:t>
      </w:r>
      <w:r>
        <w:t xml:space="preserve"> Similarly, in its response dated 9 February 2021, Changyu Wines</w:t>
      </w:r>
      <w:r>
        <w:rPr>
          <w:vertAlign w:val="superscript"/>
        </w:rPr>
        <w:t>1035</w:t>
      </w:r>
      <w:r>
        <w:t xml:space="preserve"> requested confidential treatment covering 9 of 11 </w:t>
      </w:r>
      <w:r>
        <w:rPr>
          <w:spacing w:val="-2"/>
        </w:rPr>
        <w:t>annexures.</w:t>
      </w:r>
      <w:r>
        <w:rPr>
          <w:spacing w:val="-2"/>
          <w:vertAlign w:val="superscript"/>
        </w:rPr>
        <w:t>1036</w:t>
      </w:r>
    </w:p>
    <w:p w14:paraId="51DE9730" w14:textId="77777777" w:rsidR="0010369C" w:rsidRDefault="0010369C">
      <w:pPr>
        <w:pStyle w:val="BodyText"/>
        <w:spacing w:before="11"/>
        <w:rPr>
          <w:sz w:val="8"/>
        </w:rPr>
      </w:pPr>
    </w:p>
    <w:p w14:paraId="51DE9731" w14:textId="77777777" w:rsidR="0010369C" w:rsidRDefault="008E43AE">
      <w:pPr>
        <w:pStyle w:val="BodyText"/>
        <w:spacing w:before="52" w:line="360" w:lineRule="auto"/>
        <w:ind w:left="238" w:right="613" w:firstLine="851"/>
        <w:jc w:val="both"/>
      </w:pPr>
      <w:r>
        <w:rPr>
          <w:noProof/>
        </w:rPr>
        <w:drawing>
          <wp:anchor distT="0" distB="0" distL="0" distR="0" simplePos="0" relativeHeight="251463168" behindDoc="1" locked="0" layoutInCell="1" allowOverlap="1" wp14:anchorId="51DEA742" wp14:editId="51DEA743">
            <wp:simplePos x="0" y="0"/>
            <wp:positionH relativeFrom="page">
              <wp:posOffset>902208</wp:posOffset>
            </wp:positionH>
            <wp:positionV relativeFrom="paragraph">
              <wp:posOffset>80595</wp:posOffset>
            </wp:positionV>
            <wp:extent cx="262127" cy="103631"/>
            <wp:effectExtent l="0" t="0" r="0" b="0"/>
            <wp:wrapNone/>
            <wp:docPr id="1689" name="image8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 name="image872.png"/>
                    <pic:cNvPicPr/>
                  </pic:nvPicPr>
                  <pic:blipFill>
                    <a:blip r:embed="rId1137" cstate="print"/>
                    <a:stretch>
                      <a:fillRect/>
                    </a:stretch>
                  </pic:blipFill>
                  <pic:spPr>
                    <a:xfrm>
                      <a:off x="0" y="0"/>
                      <a:ext cx="262127" cy="103631"/>
                    </a:xfrm>
                    <a:prstGeom prst="rect">
                      <a:avLst/>
                    </a:prstGeom>
                  </pic:spPr>
                </pic:pic>
              </a:graphicData>
            </a:graphic>
          </wp:anchor>
        </w:drawing>
      </w:r>
      <w:r>
        <w:t>For</w:t>
      </w:r>
      <w:r>
        <w:rPr>
          <w:spacing w:val="-8"/>
        </w:rPr>
        <w:t xml:space="preserve"> </w:t>
      </w:r>
      <w:r>
        <w:t>the</w:t>
      </w:r>
      <w:r>
        <w:rPr>
          <w:spacing w:val="-8"/>
        </w:rPr>
        <w:t xml:space="preserve"> </w:t>
      </w:r>
      <w:r>
        <w:t>9</w:t>
      </w:r>
      <w:r>
        <w:rPr>
          <w:spacing w:val="-9"/>
        </w:rPr>
        <w:t xml:space="preserve"> </w:t>
      </w:r>
      <w:r>
        <w:t>annexures</w:t>
      </w:r>
      <w:r>
        <w:rPr>
          <w:spacing w:val="-10"/>
        </w:rPr>
        <w:t xml:space="preserve"> </w:t>
      </w:r>
      <w:r>
        <w:t>over</w:t>
      </w:r>
      <w:r>
        <w:rPr>
          <w:spacing w:val="-8"/>
        </w:rPr>
        <w:t xml:space="preserve"> </w:t>
      </w:r>
      <w:r>
        <w:t>which</w:t>
      </w:r>
      <w:r>
        <w:rPr>
          <w:spacing w:val="-9"/>
        </w:rPr>
        <w:t xml:space="preserve"> </w:t>
      </w:r>
      <w:r>
        <w:t>both</w:t>
      </w:r>
      <w:r>
        <w:rPr>
          <w:spacing w:val="-10"/>
        </w:rPr>
        <w:t xml:space="preserve"> </w:t>
      </w:r>
      <w:r>
        <w:t>respondents</w:t>
      </w:r>
      <w:r>
        <w:rPr>
          <w:spacing w:val="-10"/>
        </w:rPr>
        <w:t xml:space="preserve"> </w:t>
      </w:r>
      <w:r>
        <w:t>sought</w:t>
      </w:r>
      <w:r>
        <w:rPr>
          <w:spacing w:val="-8"/>
        </w:rPr>
        <w:t xml:space="preserve"> </w:t>
      </w:r>
      <w:r>
        <w:t>confidential</w:t>
      </w:r>
      <w:r>
        <w:rPr>
          <w:spacing w:val="-9"/>
        </w:rPr>
        <w:t xml:space="preserve"> </w:t>
      </w:r>
      <w:r>
        <w:t>treatment,</w:t>
      </w:r>
      <w:r>
        <w:rPr>
          <w:spacing w:val="-9"/>
        </w:rPr>
        <w:t xml:space="preserve"> </w:t>
      </w:r>
      <w:r>
        <w:t>the same</w:t>
      </w:r>
      <w:r>
        <w:rPr>
          <w:spacing w:val="-9"/>
        </w:rPr>
        <w:t xml:space="preserve"> </w:t>
      </w:r>
      <w:r>
        <w:t>requests</w:t>
      </w:r>
      <w:r>
        <w:rPr>
          <w:spacing w:val="-11"/>
        </w:rPr>
        <w:t xml:space="preserve"> </w:t>
      </w:r>
      <w:r>
        <w:t>for</w:t>
      </w:r>
      <w:r>
        <w:rPr>
          <w:spacing w:val="-9"/>
        </w:rPr>
        <w:t xml:space="preserve"> </w:t>
      </w:r>
      <w:r>
        <w:t>confidential</w:t>
      </w:r>
      <w:r>
        <w:rPr>
          <w:spacing w:val="-11"/>
        </w:rPr>
        <w:t xml:space="preserve"> </w:t>
      </w:r>
      <w:r>
        <w:t>treatment</w:t>
      </w:r>
      <w:r>
        <w:rPr>
          <w:spacing w:val="-10"/>
        </w:rPr>
        <w:t xml:space="preserve"> </w:t>
      </w:r>
      <w:r>
        <w:t>were</w:t>
      </w:r>
      <w:r>
        <w:rPr>
          <w:spacing w:val="-9"/>
        </w:rPr>
        <w:t xml:space="preserve"> </w:t>
      </w:r>
      <w:r>
        <w:t>made,</w:t>
      </w:r>
      <w:r>
        <w:rPr>
          <w:spacing w:val="-10"/>
        </w:rPr>
        <w:t xml:space="preserve"> </w:t>
      </w:r>
      <w:r>
        <w:t>in</w:t>
      </w:r>
      <w:r>
        <w:rPr>
          <w:spacing w:val="-10"/>
        </w:rPr>
        <w:t xml:space="preserve"> </w:t>
      </w:r>
      <w:r>
        <w:t>identical</w:t>
      </w:r>
      <w:r>
        <w:rPr>
          <w:spacing w:val="-9"/>
        </w:rPr>
        <w:t xml:space="preserve"> </w:t>
      </w:r>
      <w:r>
        <w:t>terms.</w:t>
      </w:r>
      <w:r>
        <w:rPr>
          <w:spacing w:val="-11"/>
        </w:rPr>
        <w:t xml:space="preserve"> </w:t>
      </w:r>
      <w:r>
        <w:t>In</w:t>
      </w:r>
      <w:r>
        <w:rPr>
          <w:spacing w:val="-10"/>
        </w:rPr>
        <w:t xml:space="preserve"> </w:t>
      </w:r>
      <w:r>
        <w:t>addition,</w:t>
      </w:r>
      <w:r>
        <w:rPr>
          <w:spacing w:val="-8"/>
        </w:rPr>
        <w:t xml:space="preserve"> </w:t>
      </w:r>
      <w:r>
        <w:t>the</w:t>
      </w:r>
      <w:r>
        <w:rPr>
          <w:spacing w:val="-9"/>
        </w:rPr>
        <w:t xml:space="preserve"> </w:t>
      </w:r>
      <w:r>
        <w:t>same non‐confidential summaries of the information for which confidential treatment was requested were furnished in identical terms in both responses, as follows:</w:t>
      </w:r>
    </w:p>
    <w:p w14:paraId="51DE9732" w14:textId="77777777" w:rsidR="0010369C" w:rsidRDefault="008E43AE">
      <w:pPr>
        <w:spacing w:before="161"/>
        <w:ind w:left="1089"/>
        <w:jc w:val="both"/>
      </w:pPr>
      <w:r>
        <w:t>Annex</w:t>
      </w:r>
      <w:r>
        <w:rPr>
          <w:spacing w:val="-6"/>
        </w:rPr>
        <w:t xml:space="preserve"> </w:t>
      </w:r>
      <w:r>
        <w:t>I:</w:t>
      </w:r>
      <w:r>
        <w:rPr>
          <w:spacing w:val="-7"/>
        </w:rPr>
        <w:t xml:space="preserve"> </w:t>
      </w:r>
      <w:r>
        <w:t>Brochure</w:t>
      </w:r>
      <w:r>
        <w:rPr>
          <w:spacing w:val="-7"/>
        </w:rPr>
        <w:t xml:space="preserve"> </w:t>
      </w:r>
      <w:r>
        <w:t>and</w:t>
      </w:r>
      <w:r>
        <w:rPr>
          <w:spacing w:val="-7"/>
        </w:rPr>
        <w:t xml:space="preserve"> </w:t>
      </w:r>
      <w:r>
        <w:t>Product</w:t>
      </w:r>
      <w:r>
        <w:rPr>
          <w:spacing w:val="-7"/>
        </w:rPr>
        <w:t xml:space="preserve"> </w:t>
      </w:r>
      <w:r>
        <w:t>Specification</w:t>
      </w:r>
      <w:r>
        <w:rPr>
          <w:spacing w:val="-8"/>
        </w:rPr>
        <w:t xml:space="preserve"> </w:t>
      </w:r>
      <w:r>
        <w:t>and</w:t>
      </w:r>
      <w:r>
        <w:rPr>
          <w:spacing w:val="-6"/>
        </w:rPr>
        <w:t xml:space="preserve"> </w:t>
      </w:r>
      <w:r>
        <w:rPr>
          <w:spacing w:val="-2"/>
        </w:rPr>
        <w:t>Classification</w:t>
      </w:r>
    </w:p>
    <w:p w14:paraId="51DE9733" w14:textId="77777777" w:rsidR="0010369C" w:rsidRDefault="0010369C">
      <w:pPr>
        <w:pStyle w:val="BodyText"/>
        <w:spacing w:before="11"/>
        <w:rPr>
          <w:sz w:val="22"/>
        </w:rPr>
      </w:pPr>
    </w:p>
    <w:p w14:paraId="51DE9734" w14:textId="77777777" w:rsidR="0010369C" w:rsidRDefault="008E43AE">
      <w:pPr>
        <w:spacing w:line="276" w:lineRule="auto"/>
        <w:ind w:left="1089" w:right="614" w:hanging="1"/>
        <w:jc w:val="both"/>
      </w:pPr>
      <w:r>
        <w:t>(The annex here relates to th</w:t>
      </w:r>
      <w:r>
        <w:t>e descriptions provided by the Company about like products, including</w:t>
      </w:r>
      <w:r>
        <w:rPr>
          <w:spacing w:val="-5"/>
        </w:rPr>
        <w:t xml:space="preserve"> </w:t>
      </w:r>
      <w:r>
        <w:t>product</w:t>
      </w:r>
      <w:r>
        <w:rPr>
          <w:spacing w:val="-6"/>
        </w:rPr>
        <w:t xml:space="preserve"> </w:t>
      </w:r>
      <w:r>
        <w:t>types,</w:t>
      </w:r>
      <w:r>
        <w:rPr>
          <w:spacing w:val="-7"/>
        </w:rPr>
        <w:t xml:space="preserve"> </w:t>
      </w:r>
      <w:r>
        <w:t>and</w:t>
      </w:r>
      <w:r>
        <w:rPr>
          <w:spacing w:val="-7"/>
        </w:rPr>
        <w:t xml:space="preserve"> </w:t>
      </w:r>
      <w:r>
        <w:t>product</w:t>
      </w:r>
      <w:r>
        <w:rPr>
          <w:spacing w:val="-7"/>
        </w:rPr>
        <w:t xml:space="preserve"> </w:t>
      </w:r>
      <w:r>
        <w:t>specification</w:t>
      </w:r>
      <w:r>
        <w:rPr>
          <w:spacing w:val="-7"/>
        </w:rPr>
        <w:t xml:space="preserve"> </w:t>
      </w:r>
      <w:r>
        <w:t>and</w:t>
      </w:r>
      <w:r>
        <w:rPr>
          <w:spacing w:val="-7"/>
        </w:rPr>
        <w:t xml:space="preserve"> </w:t>
      </w:r>
      <w:r>
        <w:t>classification.</w:t>
      </w:r>
      <w:r>
        <w:rPr>
          <w:spacing w:val="-7"/>
        </w:rPr>
        <w:t xml:space="preserve"> </w:t>
      </w:r>
      <w:r>
        <w:t>As</w:t>
      </w:r>
      <w:r>
        <w:rPr>
          <w:spacing w:val="-6"/>
        </w:rPr>
        <w:t xml:space="preserve"> </w:t>
      </w:r>
      <w:r>
        <w:t>it</w:t>
      </w:r>
      <w:r>
        <w:rPr>
          <w:spacing w:val="-7"/>
        </w:rPr>
        <w:t xml:space="preserve"> </w:t>
      </w:r>
      <w:r>
        <w:t>is</w:t>
      </w:r>
      <w:r>
        <w:rPr>
          <w:spacing w:val="-6"/>
        </w:rPr>
        <w:t xml:space="preserve"> </w:t>
      </w:r>
      <w:r>
        <w:t>part</w:t>
      </w:r>
      <w:r>
        <w:rPr>
          <w:spacing w:val="-7"/>
        </w:rPr>
        <w:t xml:space="preserve"> </w:t>
      </w:r>
      <w:r>
        <w:t>of</w:t>
      </w:r>
      <w:r>
        <w:rPr>
          <w:spacing w:val="-6"/>
        </w:rPr>
        <w:t xml:space="preserve"> </w:t>
      </w:r>
      <w:r>
        <w:t>our</w:t>
      </w:r>
      <w:r>
        <w:rPr>
          <w:spacing w:val="-6"/>
        </w:rPr>
        <w:t xml:space="preserve"> </w:t>
      </w:r>
      <w:r>
        <w:t>trade secrets, the disclosure will have a severe adverse impact on the Company, so this part shall be kept confidential and will not be disclosed to the public.)</w:t>
      </w:r>
    </w:p>
    <w:p w14:paraId="51DE9735" w14:textId="77777777" w:rsidR="0010369C" w:rsidRDefault="0010369C">
      <w:pPr>
        <w:pStyle w:val="BodyText"/>
        <w:spacing w:before="5"/>
        <w:rPr>
          <w:sz w:val="15"/>
        </w:rPr>
      </w:pPr>
    </w:p>
    <w:p w14:paraId="51DE9736" w14:textId="77777777" w:rsidR="0010369C" w:rsidRDefault="008E43AE">
      <w:pPr>
        <w:pStyle w:val="BodyText"/>
        <w:spacing w:before="52" w:line="360" w:lineRule="auto"/>
        <w:ind w:left="236" w:right="613" w:firstLine="852"/>
        <w:jc w:val="both"/>
      </w:pPr>
      <w:r>
        <w:rPr>
          <w:noProof/>
        </w:rPr>
        <w:drawing>
          <wp:anchor distT="0" distB="0" distL="0" distR="0" simplePos="0" relativeHeight="251464192" behindDoc="1" locked="0" layoutInCell="1" allowOverlap="1" wp14:anchorId="51DEA744" wp14:editId="51DEA745">
            <wp:simplePos x="0" y="0"/>
            <wp:positionH relativeFrom="page">
              <wp:posOffset>902208</wp:posOffset>
            </wp:positionH>
            <wp:positionV relativeFrom="paragraph">
              <wp:posOffset>76785</wp:posOffset>
            </wp:positionV>
            <wp:extent cx="262127" cy="106679"/>
            <wp:effectExtent l="0" t="0" r="0" b="0"/>
            <wp:wrapNone/>
            <wp:docPr id="1691" name="image8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 name="image873.png"/>
                    <pic:cNvPicPr/>
                  </pic:nvPicPr>
                  <pic:blipFill>
                    <a:blip r:embed="rId1138" cstate="print"/>
                    <a:stretch>
                      <a:fillRect/>
                    </a:stretch>
                  </pic:blipFill>
                  <pic:spPr>
                    <a:xfrm>
                      <a:off x="0" y="0"/>
                      <a:ext cx="262127" cy="106679"/>
                    </a:xfrm>
                    <a:prstGeom prst="rect">
                      <a:avLst/>
                    </a:prstGeom>
                  </pic:spPr>
                </pic:pic>
              </a:graphicData>
            </a:graphic>
          </wp:anchor>
        </w:drawing>
      </w:r>
      <w:r>
        <w:t>The fact that both of these competitor companies provided verbatim identical requests for confidential treatment and non‐confidential summaries in their individual verification</w:t>
      </w:r>
      <w:r>
        <w:rPr>
          <w:spacing w:val="-14"/>
        </w:rPr>
        <w:t xml:space="preserve"> </w:t>
      </w:r>
      <w:r>
        <w:t>responses,</w:t>
      </w:r>
      <w:r>
        <w:rPr>
          <w:spacing w:val="-14"/>
        </w:rPr>
        <w:t xml:space="preserve"> </w:t>
      </w:r>
      <w:r>
        <w:t>as</w:t>
      </w:r>
      <w:r>
        <w:rPr>
          <w:spacing w:val="-13"/>
        </w:rPr>
        <w:t xml:space="preserve"> </w:t>
      </w:r>
      <w:r>
        <w:t>they</w:t>
      </w:r>
      <w:r>
        <w:rPr>
          <w:spacing w:val="-14"/>
        </w:rPr>
        <w:t xml:space="preserve"> </w:t>
      </w:r>
      <w:r>
        <w:t>did</w:t>
      </w:r>
      <w:r>
        <w:rPr>
          <w:spacing w:val="-13"/>
        </w:rPr>
        <w:t xml:space="preserve"> </w:t>
      </w:r>
      <w:r>
        <w:t>with</w:t>
      </w:r>
      <w:r>
        <w:rPr>
          <w:spacing w:val="-14"/>
        </w:rPr>
        <w:t xml:space="preserve"> </w:t>
      </w:r>
      <w:r>
        <w:t>their</w:t>
      </w:r>
      <w:r>
        <w:rPr>
          <w:spacing w:val="-13"/>
        </w:rPr>
        <w:t xml:space="preserve"> </w:t>
      </w:r>
      <w:r>
        <w:t>initial</w:t>
      </w:r>
      <w:r>
        <w:rPr>
          <w:spacing w:val="-14"/>
        </w:rPr>
        <w:t xml:space="preserve"> </w:t>
      </w:r>
      <w:r>
        <w:t>responses</w:t>
      </w:r>
      <w:r>
        <w:rPr>
          <w:spacing w:val="-14"/>
        </w:rPr>
        <w:t xml:space="preserve"> </w:t>
      </w:r>
      <w:r>
        <w:t>to</w:t>
      </w:r>
      <w:r>
        <w:rPr>
          <w:spacing w:val="-13"/>
        </w:rPr>
        <w:t xml:space="preserve"> </w:t>
      </w:r>
      <w:r>
        <w:t>the</w:t>
      </w:r>
      <w:r>
        <w:rPr>
          <w:spacing w:val="-14"/>
        </w:rPr>
        <w:t xml:space="preserve"> </w:t>
      </w:r>
      <w:r>
        <w:t>Questionnaires,</w:t>
      </w:r>
      <w:r>
        <w:rPr>
          <w:spacing w:val="-13"/>
        </w:rPr>
        <w:t xml:space="preserve"> </w:t>
      </w:r>
      <w:r>
        <w:t>is</w:t>
      </w:r>
      <w:r>
        <w:rPr>
          <w:spacing w:val="-14"/>
        </w:rPr>
        <w:t xml:space="preserve"> </w:t>
      </w:r>
      <w:r>
        <w:t>s</w:t>
      </w:r>
      <w:r>
        <w:t>triking. It again indicates that there was some form of coordination or central planning involved in determining that the answers to the questions in the verification requests would be treated as confidential in their entirety, rather than each company mak</w:t>
      </w:r>
      <w:r>
        <w:t>ing its own requests for confidentiality on an answer‐by‐answer and point‐by‐point basis, with each taking into account its own particular circumstances and what it considered to be the confidential information contained within its answers.</w:t>
      </w:r>
    </w:p>
    <w:p w14:paraId="51DE9737" w14:textId="77777777" w:rsidR="0010369C" w:rsidRDefault="0010369C">
      <w:pPr>
        <w:pStyle w:val="BodyText"/>
        <w:spacing w:before="10"/>
        <w:rPr>
          <w:sz w:val="8"/>
        </w:rPr>
      </w:pPr>
    </w:p>
    <w:p w14:paraId="51DE9738" w14:textId="77777777" w:rsidR="0010369C" w:rsidRDefault="008E43AE">
      <w:pPr>
        <w:pStyle w:val="BodyText"/>
        <w:spacing w:before="52" w:line="360" w:lineRule="auto"/>
        <w:ind w:left="237" w:right="613" w:firstLine="851"/>
        <w:jc w:val="both"/>
      </w:pPr>
      <w:r>
        <w:rPr>
          <w:noProof/>
        </w:rPr>
        <w:drawing>
          <wp:anchor distT="0" distB="0" distL="0" distR="0" simplePos="0" relativeHeight="251465216" behindDoc="1" locked="0" layoutInCell="1" allowOverlap="1" wp14:anchorId="51DEA746" wp14:editId="51DEA747">
            <wp:simplePos x="0" y="0"/>
            <wp:positionH relativeFrom="page">
              <wp:posOffset>902208</wp:posOffset>
            </wp:positionH>
            <wp:positionV relativeFrom="paragraph">
              <wp:posOffset>81949</wp:posOffset>
            </wp:positionV>
            <wp:extent cx="262127" cy="100753"/>
            <wp:effectExtent l="0" t="0" r="0" b="0"/>
            <wp:wrapNone/>
            <wp:docPr id="1693" name="image8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 name="image874.png"/>
                    <pic:cNvPicPr/>
                  </pic:nvPicPr>
                  <pic:blipFill>
                    <a:blip r:embed="rId1139" cstate="print"/>
                    <a:stretch>
                      <a:fillRect/>
                    </a:stretch>
                  </pic:blipFill>
                  <pic:spPr>
                    <a:xfrm>
                      <a:off x="0" y="0"/>
                      <a:ext cx="262127" cy="100753"/>
                    </a:xfrm>
                    <a:prstGeom prst="rect">
                      <a:avLst/>
                    </a:prstGeom>
                  </pic:spPr>
                </pic:pic>
              </a:graphicData>
            </a:graphic>
          </wp:anchor>
        </w:drawing>
      </w:r>
      <w:r>
        <w:t>If this appro</w:t>
      </w:r>
      <w:r>
        <w:t>ach was based on guidance provided by MOFCOM to the domestic producers, it demonstrates that MOFCOM failed to conduct an objective assessment of whether "good</w:t>
      </w:r>
      <w:r>
        <w:rPr>
          <w:spacing w:val="-1"/>
        </w:rPr>
        <w:t xml:space="preserve"> </w:t>
      </w:r>
      <w:r>
        <w:t>cause"</w:t>
      </w:r>
      <w:r>
        <w:rPr>
          <w:spacing w:val="-1"/>
        </w:rPr>
        <w:t xml:space="preserve"> </w:t>
      </w:r>
      <w:r>
        <w:t>was</w:t>
      </w:r>
      <w:r>
        <w:rPr>
          <w:spacing w:val="-1"/>
        </w:rPr>
        <w:t xml:space="preserve"> </w:t>
      </w:r>
      <w:r>
        <w:t>shown in each</w:t>
      </w:r>
      <w:r>
        <w:rPr>
          <w:spacing w:val="-1"/>
        </w:rPr>
        <w:t xml:space="preserve"> </w:t>
      </w:r>
      <w:r>
        <w:t>of the requests. Regardless, MOFCOM's treatment of</w:t>
      </w:r>
      <w:r>
        <w:rPr>
          <w:spacing w:val="18"/>
        </w:rPr>
        <w:t xml:space="preserve"> </w:t>
      </w:r>
      <w:r>
        <w:t>the</w:t>
      </w:r>
      <w:r>
        <w:rPr>
          <w:spacing w:val="19"/>
        </w:rPr>
        <w:t xml:space="preserve"> </w:t>
      </w:r>
      <w:r>
        <w:t>same</w:t>
      </w:r>
      <w:r>
        <w:rPr>
          <w:spacing w:val="18"/>
        </w:rPr>
        <w:t xml:space="preserve"> </w:t>
      </w:r>
      <w:r>
        <w:t>annexures</w:t>
      </w:r>
      <w:r>
        <w:rPr>
          <w:spacing w:val="19"/>
        </w:rPr>
        <w:t xml:space="preserve"> </w:t>
      </w:r>
      <w:r>
        <w:t>in</w:t>
      </w:r>
      <w:r>
        <w:rPr>
          <w:spacing w:val="18"/>
        </w:rPr>
        <w:t xml:space="preserve"> </w:t>
      </w:r>
      <w:r>
        <w:t>each</w:t>
      </w:r>
      <w:r>
        <w:rPr>
          <w:spacing w:val="18"/>
        </w:rPr>
        <w:t xml:space="preserve"> </w:t>
      </w:r>
      <w:r>
        <w:t>verification</w:t>
      </w:r>
      <w:r>
        <w:rPr>
          <w:spacing w:val="17"/>
        </w:rPr>
        <w:t xml:space="preserve"> </w:t>
      </w:r>
      <w:r>
        <w:t>response</w:t>
      </w:r>
      <w:r>
        <w:rPr>
          <w:spacing w:val="20"/>
        </w:rPr>
        <w:t xml:space="preserve"> </w:t>
      </w:r>
      <w:r>
        <w:t>as</w:t>
      </w:r>
      <w:r>
        <w:rPr>
          <w:spacing w:val="18"/>
        </w:rPr>
        <w:t xml:space="preserve"> </w:t>
      </w:r>
      <w:r>
        <w:t>confidential</w:t>
      </w:r>
      <w:r>
        <w:rPr>
          <w:spacing w:val="18"/>
        </w:rPr>
        <w:t xml:space="preserve"> </w:t>
      </w:r>
      <w:r>
        <w:rPr>
          <w:i/>
        </w:rPr>
        <w:t>in</w:t>
      </w:r>
      <w:r>
        <w:rPr>
          <w:i/>
          <w:spacing w:val="19"/>
        </w:rPr>
        <w:t xml:space="preserve"> </w:t>
      </w:r>
      <w:r>
        <w:rPr>
          <w:i/>
        </w:rPr>
        <w:t>their</w:t>
      </w:r>
      <w:r>
        <w:rPr>
          <w:i/>
          <w:spacing w:val="20"/>
        </w:rPr>
        <w:t xml:space="preserve"> </w:t>
      </w:r>
      <w:r>
        <w:rPr>
          <w:i/>
        </w:rPr>
        <w:t>entirety</w:t>
      </w:r>
      <w:r>
        <w:rPr>
          <w:i/>
          <w:spacing w:val="17"/>
        </w:rPr>
        <w:t xml:space="preserve"> </w:t>
      </w:r>
      <w:r>
        <w:rPr>
          <w:spacing w:val="-2"/>
        </w:rPr>
        <w:t>based</w:t>
      </w:r>
    </w:p>
    <w:p w14:paraId="51DE9739" w14:textId="77777777" w:rsidR="0010369C" w:rsidRDefault="0010369C">
      <w:pPr>
        <w:pStyle w:val="BodyText"/>
        <w:rPr>
          <w:sz w:val="20"/>
        </w:rPr>
      </w:pPr>
    </w:p>
    <w:p w14:paraId="51DE973A" w14:textId="77777777" w:rsidR="0010369C" w:rsidRDefault="008E43AE">
      <w:pPr>
        <w:pStyle w:val="BodyText"/>
        <w:spacing w:before="8"/>
        <w:rPr>
          <w:sz w:val="14"/>
        </w:rPr>
      </w:pPr>
      <w:r>
        <w:pict w14:anchorId="51DEA748">
          <v:rect id="docshape1296" o:spid="_x0000_s1145" style="position:absolute;margin-left:70.9pt;margin-top:10.15pt;width:2in;height:.8pt;z-index:-250725888;mso-wrap-distance-left:0;mso-wrap-distance-right:0;mso-position-horizontal-relative:page" fillcolor="black" stroked="f">
            <w10:wrap type="topAndBottom" anchorx="page"/>
          </v:rect>
        </w:pict>
      </w:r>
    </w:p>
    <w:p w14:paraId="51DE973B" w14:textId="77777777" w:rsidR="0010369C" w:rsidRDefault="008E43AE">
      <w:pPr>
        <w:spacing w:before="109"/>
        <w:ind w:left="238" w:right="2389"/>
        <w:jc w:val="both"/>
        <w:rPr>
          <w:sz w:val="18"/>
        </w:rPr>
      </w:pPr>
      <w:r>
        <w:rPr>
          <w:sz w:val="18"/>
          <w:vertAlign w:val="superscript"/>
        </w:rPr>
        <w:t>1034</w:t>
      </w:r>
      <w:r>
        <w:rPr>
          <w:spacing w:val="-1"/>
          <w:sz w:val="18"/>
        </w:rPr>
        <w:t xml:space="preserve"> </w:t>
      </w:r>
      <w:r>
        <w:rPr>
          <w:sz w:val="18"/>
        </w:rPr>
        <w:t>COFCO</w:t>
      </w:r>
      <w:r>
        <w:rPr>
          <w:spacing w:val="-1"/>
          <w:sz w:val="18"/>
        </w:rPr>
        <w:t xml:space="preserve"> </w:t>
      </w:r>
      <w:r>
        <w:rPr>
          <w:sz w:val="18"/>
        </w:rPr>
        <w:t>Wines</w:t>
      </w:r>
      <w:r>
        <w:rPr>
          <w:spacing w:val="-2"/>
          <w:sz w:val="18"/>
        </w:rPr>
        <w:t xml:space="preserve"> </w:t>
      </w:r>
      <w:r>
        <w:rPr>
          <w:sz w:val="18"/>
        </w:rPr>
        <w:t>Anti‐Dumping</w:t>
      </w:r>
      <w:r>
        <w:rPr>
          <w:spacing w:val="-1"/>
          <w:sz w:val="18"/>
        </w:rPr>
        <w:t xml:space="preserve"> </w:t>
      </w:r>
      <w:r>
        <w:rPr>
          <w:sz w:val="18"/>
        </w:rPr>
        <w:t>Questionnaire</w:t>
      </w:r>
      <w:r>
        <w:rPr>
          <w:spacing w:val="-1"/>
          <w:sz w:val="18"/>
        </w:rPr>
        <w:t xml:space="preserve"> </w:t>
      </w:r>
      <w:r>
        <w:rPr>
          <w:sz w:val="18"/>
        </w:rPr>
        <w:t>Response</w:t>
      </w:r>
      <w:r>
        <w:rPr>
          <w:spacing w:val="-1"/>
          <w:sz w:val="18"/>
        </w:rPr>
        <w:t xml:space="preserve"> </w:t>
      </w:r>
      <w:r>
        <w:rPr>
          <w:sz w:val="18"/>
        </w:rPr>
        <w:t>Supporting</w:t>
      </w:r>
      <w:r>
        <w:rPr>
          <w:spacing w:val="-1"/>
          <w:sz w:val="18"/>
        </w:rPr>
        <w:t xml:space="preserve"> </w:t>
      </w:r>
      <w:r>
        <w:rPr>
          <w:sz w:val="18"/>
        </w:rPr>
        <w:t>Documents</w:t>
      </w:r>
      <w:r>
        <w:rPr>
          <w:spacing w:val="-1"/>
          <w:sz w:val="18"/>
        </w:rPr>
        <w:t xml:space="preserve"> </w:t>
      </w:r>
      <w:r>
        <w:rPr>
          <w:sz w:val="18"/>
        </w:rPr>
        <w:t>(Exhibit</w:t>
      </w:r>
      <w:r>
        <w:rPr>
          <w:spacing w:val="-1"/>
          <w:sz w:val="18"/>
        </w:rPr>
        <w:t xml:space="preserve"> </w:t>
      </w:r>
      <w:r>
        <w:rPr>
          <w:sz w:val="18"/>
        </w:rPr>
        <w:t xml:space="preserve">AUS‐102). </w:t>
      </w:r>
      <w:r>
        <w:rPr>
          <w:sz w:val="18"/>
          <w:vertAlign w:val="superscript"/>
        </w:rPr>
        <w:t>1035</w:t>
      </w:r>
      <w:r>
        <w:rPr>
          <w:spacing w:val="-4"/>
          <w:sz w:val="18"/>
        </w:rPr>
        <w:t xml:space="preserve"> </w:t>
      </w:r>
      <w:r>
        <w:rPr>
          <w:sz w:val="18"/>
        </w:rPr>
        <w:t>Changyu</w:t>
      </w:r>
      <w:r>
        <w:rPr>
          <w:spacing w:val="-4"/>
          <w:sz w:val="18"/>
        </w:rPr>
        <w:t xml:space="preserve"> </w:t>
      </w:r>
      <w:r>
        <w:rPr>
          <w:sz w:val="18"/>
        </w:rPr>
        <w:t>Wines</w:t>
      </w:r>
      <w:r>
        <w:rPr>
          <w:spacing w:val="-6"/>
          <w:sz w:val="18"/>
        </w:rPr>
        <w:t xml:space="preserve"> </w:t>
      </w:r>
      <w:r>
        <w:rPr>
          <w:sz w:val="18"/>
        </w:rPr>
        <w:t>Anti‐Dumping</w:t>
      </w:r>
      <w:r>
        <w:rPr>
          <w:spacing w:val="-4"/>
          <w:sz w:val="18"/>
        </w:rPr>
        <w:t xml:space="preserve"> </w:t>
      </w:r>
      <w:r>
        <w:rPr>
          <w:sz w:val="18"/>
        </w:rPr>
        <w:t>Questionnaire</w:t>
      </w:r>
      <w:r>
        <w:rPr>
          <w:spacing w:val="-4"/>
          <w:sz w:val="18"/>
        </w:rPr>
        <w:t xml:space="preserve"> </w:t>
      </w:r>
      <w:r>
        <w:rPr>
          <w:sz w:val="18"/>
        </w:rPr>
        <w:t>Response</w:t>
      </w:r>
      <w:r>
        <w:rPr>
          <w:spacing w:val="-3"/>
          <w:sz w:val="18"/>
        </w:rPr>
        <w:t xml:space="preserve"> </w:t>
      </w:r>
      <w:r>
        <w:rPr>
          <w:sz w:val="18"/>
        </w:rPr>
        <w:t>Supporting</w:t>
      </w:r>
      <w:r>
        <w:rPr>
          <w:spacing w:val="-3"/>
          <w:sz w:val="18"/>
        </w:rPr>
        <w:t xml:space="preserve"> </w:t>
      </w:r>
      <w:r>
        <w:rPr>
          <w:sz w:val="18"/>
        </w:rPr>
        <w:t>Documents</w:t>
      </w:r>
      <w:r>
        <w:rPr>
          <w:spacing w:val="-4"/>
          <w:sz w:val="18"/>
        </w:rPr>
        <w:t xml:space="preserve"> </w:t>
      </w:r>
      <w:r>
        <w:rPr>
          <w:sz w:val="18"/>
        </w:rPr>
        <w:t>(Exhibit</w:t>
      </w:r>
      <w:r>
        <w:rPr>
          <w:spacing w:val="-4"/>
          <w:sz w:val="18"/>
        </w:rPr>
        <w:t xml:space="preserve"> </w:t>
      </w:r>
      <w:r>
        <w:rPr>
          <w:sz w:val="18"/>
        </w:rPr>
        <w:t xml:space="preserve">AUS‐91). </w:t>
      </w:r>
      <w:r>
        <w:rPr>
          <w:sz w:val="18"/>
          <w:vertAlign w:val="superscript"/>
        </w:rPr>
        <w:t>1036</w:t>
      </w:r>
      <w:r>
        <w:rPr>
          <w:spacing w:val="-4"/>
          <w:sz w:val="18"/>
        </w:rPr>
        <w:t xml:space="preserve"> </w:t>
      </w:r>
      <w:r>
        <w:rPr>
          <w:sz w:val="18"/>
        </w:rPr>
        <w:t>Changyu</w:t>
      </w:r>
      <w:r>
        <w:rPr>
          <w:spacing w:val="-4"/>
          <w:sz w:val="18"/>
        </w:rPr>
        <w:t xml:space="preserve"> </w:t>
      </w:r>
      <w:r>
        <w:rPr>
          <w:sz w:val="18"/>
        </w:rPr>
        <w:t>Wines</w:t>
      </w:r>
      <w:r>
        <w:rPr>
          <w:spacing w:val="-6"/>
          <w:sz w:val="18"/>
        </w:rPr>
        <w:t xml:space="preserve"> </w:t>
      </w:r>
      <w:r>
        <w:rPr>
          <w:sz w:val="18"/>
        </w:rPr>
        <w:t>Anti‐Dumping</w:t>
      </w:r>
      <w:r>
        <w:rPr>
          <w:spacing w:val="-4"/>
          <w:sz w:val="18"/>
        </w:rPr>
        <w:t xml:space="preserve"> </w:t>
      </w:r>
      <w:r>
        <w:rPr>
          <w:sz w:val="18"/>
        </w:rPr>
        <w:t>Questionnaire</w:t>
      </w:r>
      <w:r>
        <w:rPr>
          <w:spacing w:val="-4"/>
          <w:sz w:val="18"/>
        </w:rPr>
        <w:t xml:space="preserve"> </w:t>
      </w:r>
      <w:r>
        <w:rPr>
          <w:sz w:val="18"/>
        </w:rPr>
        <w:t>Response</w:t>
      </w:r>
      <w:r>
        <w:rPr>
          <w:spacing w:val="-3"/>
          <w:sz w:val="18"/>
        </w:rPr>
        <w:t xml:space="preserve"> </w:t>
      </w:r>
      <w:r>
        <w:rPr>
          <w:sz w:val="18"/>
        </w:rPr>
        <w:t>Supporting</w:t>
      </w:r>
      <w:r>
        <w:rPr>
          <w:spacing w:val="-3"/>
          <w:sz w:val="18"/>
        </w:rPr>
        <w:t xml:space="preserve"> </w:t>
      </w:r>
      <w:r>
        <w:rPr>
          <w:sz w:val="18"/>
        </w:rPr>
        <w:t>Documents</w:t>
      </w:r>
      <w:r>
        <w:rPr>
          <w:spacing w:val="-4"/>
          <w:sz w:val="18"/>
        </w:rPr>
        <w:t xml:space="preserve"> </w:t>
      </w:r>
      <w:r>
        <w:rPr>
          <w:sz w:val="18"/>
        </w:rPr>
        <w:t>(Exhibit</w:t>
      </w:r>
      <w:r>
        <w:rPr>
          <w:spacing w:val="-4"/>
          <w:sz w:val="18"/>
        </w:rPr>
        <w:t xml:space="preserve"> </w:t>
      </w:r>
      <w:r>
        <w:rPr>
          <w:sz w:val="18"/>
        </w:rPr>
        <w:t>AUS‐91).</w:t>
      </w:r>
    </w:p>
    <w:p w14:paraId="51DE973C" w14:textId="77777777" w:rsidR="0010369C" w:rsidRDefault="0010369C">
      <w:pPr>
        <w:jc w:val="both"/>
        <w:rPr>
          <w:sz w:val="18"/>
        </w:rPr>
        <w:sectPr w:rsidR="0010369C">
          <w:pgSz w:w="11910" w:h="16840"/>
          <w:pgMar w:top="880" w:right="800" w:bottom="980" w:left="1180" w:header="569" w:footer="788" w:gutter="0"/>
          <w:cols w:space="720"/>
        </w:sectPr>
      </w:pPr>
    </w:p>
    <w:p w14:paraId="51DE973D" w14:textId="77777777" w:rsidR="0010369C" w:rsidRDefault="008E43AE">
      <w:pPr>
        <w:tabs>
          <w:tab w:val="left" w:pos="6426"/>
        </w:tabs>
        <w:ind w:left="238"/>
        <w:jc w:val="both"/>
        <w:rPr>
          <w:sz w:val="20"/>
        </w:rPr>
      </w:pPr>
      <w:r>
        <w:rPr>
          <w:i/>
          <w:sz w:val="20"/>
        </w:rPr>
        <w:lastRenderedPageBreak/>
        <w:t>China</w:t>
      </w:r>
      <w:r>
        <w:rPr>
          <w:i/>
          <w:spacing w:val="-5"/>
          <w:sz w:val="20"/>
        </w:rPr>
        <w:t xml:space="preserve"> </w:t>
      </w:r>
      <w:r>
        <w:rPr>
          <w:i/>
          <w:sz w:val="20"/>
        </w:rPr>
        <w:t>–</w:t>
      </w:r>
      <w:r>
        <w:rPr>
          <w:i/>
          <w:spacing w:val="-5"/>
          <w:sz w:val="20"/>
        </w:rPr>
        <w:t xml:space="preserve"> </w:t>
      </w:r>
      <w:r>
        <w:rPr>
          <w:i/>
          <w:sz w:val="20"/>
        </w:rPr>
        <w:t>Anti‐Dumping</w:t>
      </w:r>
      <w:r>
        <w:rPr>
          <w:i/>
          <w:spacing w:val="-4"/>
          <w:sz w:val="20"/>
        </w:rPr>
        <w:t xml:space="preserve"> </w:t>
      </w:r>
      <w:r>
        <w:rPr>
          <w:i/>
          <w:sz w:val="20"/>
        </w:rPr>
        <w:t>and</w:t>
      </w:r>
      <w:r>
        <w:rPr>
          <w:i/>
          <w:spacing w:val="-5"/>
          <w:sz w:val="20"/>
        </w:rPr>
        <w:t xml:space="preserve"> </w:t>
      </w:r>
      <w:r>
        <w:rPr>
          <w:i/>
          <w:sz w:val="20"/>
        </w:rPr>
        <w:t>Countervailing</w:t>
      </w:r>
      <w:r>
        <w:rPr>
          <w:i/>
          <w:spacing w:val="-5"/>
          <w:sz w:val="20"/>
        </w:rPr>
        <w:t xml:space="preserve"> </w:t>
      </w:r>
      <w:r>
        <w:rPr>
          <w:i/>
          <w:sz w:val="20"/>
        </w:rPr>
        <w:t>Duty</w:t>
      </w:r>
      <w:r>
        <w:rPr>
          <w:i/>
          <w:spacing w:val="-4"/>
          <w:sz w:val="20"/>
        </w:rPr>
        <w:t xml:space="preserve"> </w:t>
      </w:r>
      <w:r>
        <w:rPr>
          <w:i/>
          <w:spacing w:val="-2"/>
          <w:sz w:val="20"/>
        </w:rPr>
        <w:t>Measures</w:t>
      </w:r>
      <w:r>
        <w:rPr>
          <w:i/>
          <w:sz w:val="20"/>
        </w:rPr>
        <w:tab/>
      </w:r>
      <w:r>
        <w:rPr>
          <w:sz w:val="20"/>
        </w:rPr>
        <w:t>Australia's</w:t>
      </w:r>
      <w:r>
        <w:rPr>
          <w:spacing w:val="-7"/>
          <w:sz w:val="20"/>
        </w:rPr>
        <w:t xml:space="preserve"> </w:t>
      </w:r>
      <w:r>
        <w:rPr>
          <w:sz w:val="20"/>
        </w:rPr>
        <w:t>First</w:t>
      </w:r>
      <w:r>
        <w:rPr>
          <w:spacing w:val="-2"/>
          <w:sz w:val="20"/>
        </w:rPr>
        <w:t xml:space="preserve"> </w:t>
      </w:r>
      <w:r>
        <w:rPr>
          <w:sz w:val="20"/>
        </w:rPr>
        <w:t>Written</w:t>
      </w:r>
      <w:r>
        <w:rPr>
          <w:spacing w:val="-2"/>
          <w:sz w:val="20"/>
        </w:rPr>
        <w:t xml:space="preserve"> Submission</w:t>
      </w:r>
    </w:p>
    <w:p w14:paraId="51DE973E" w14:textId="77777777" w:rsidR="0010369C" w:rsidRDefault="008E43AE">
      <w:pPr>
        <w:tabs>
          <w:tab w:val="left" w:pos="8228"/>
        </w:tabs>
        <w:spacing w:before="1"/>
        <w:ind w:left="239"/>
        <w:jc w:val="both"/>
        <w:rPr>
          <w:sz w:val="20"/>
        </w:rPr>
      </w:pPr>
      <w:r>
        <w:rPr>
          <w:i/>
          <w:sz w:val="20"/>
        </w:rPr>
        <w:t>on</w:t>
      </w:r>
      <w:r>
        <w:rPr>
          <w:i/>
          <w:spacing w:val="-1"/>
          <w:sz w:val="20"/>
        </w:rPr>
        <w:t xml:space="preserve"> </w:t>
      </w:r>
      <w:r>
        <w:rPr>
          <w:i/>
          <w:sz w:val="20"/>
        </w:rPr>
        <w:t>Wine</w:t>
      </w:r>
      <w:r>
        <w:rPr>
          <w:i/>
          <w:spacing w:val="-1"/>
          <w:sz w:val="20"/>
        </w:rPr>
        <w:t xml:space="preserve"> </w:t>
      </w:r>
      <w:r>
        <w:rPr>
          <w:i/>
          <w:sz w:val="20"/>
        </w:rPr>
        <w:t>from</w:t>
      </w:r>
      <w:r>
        <w:rPr>
          <w:i/>
          <w:spacing w:val="-3"/>
          <w:sz w:val="20"/>
        </w:rPr>
        <w:t xml:space="preserve"> </w:t>
      </w:r>
      <w:r>
        <w:rPr>
          <w:i/>
          <w:sz w:val="20"/>
        </w:rPr>
        <w:t>Australia</w:t>
      </w:r>
      <w:r>
        <w:rPr>
          <w:i/>
          <w:spacing w:val="-1"/>
          <w:sz w:val="20"/>
        </w:rPr>
        <w:t xml:space="preserve"> </w:t>
      </w:r>
      <w:r>
        <w:rPr>
          <w:spacing w:val="-2"/>
          <w:sz w:val="20"/>
        </w:rPr>
        <w:t>(DS602)</w:t>
      </w:r>
      <w:r>
        <w:rPr>
          <w:sz w:val="20"/>
        </w:rPr>
        <w:tab/>
        <w:t>29</w:t>
      </w:r>
      <w:r>
        <w:rPr>
          <w:spacing w:val="-1"/>
          <w:sz w:val="20"/>
        </w:rPr>
        <w:t xml:space="preserve"> </w:t>
      </w:r>
      <w:r>
        <w:rPr>
          <w:sz w:val="20"/>
        </w:rPr>
        <w:t>April</w:t>
      </w:r>
      <w:r>
        <w:rPr>
          <w:spacing w:val="-2"/>
          <w:sz w:val="20"/>
        </w:rPr>
        <w:t xml:space="preserve"> </w:t>
      </w:r>
      <w:r>
        <w:rPr>
          <w:spacing w:val="-4"/>
          <w:sz w:val="20"/>
        </w:rPr>
        <w:t>2022</w:t>
      </w:r>
    </w:p>
    <w:p w14:paraId="51DE973F" w14:textId="77777777" w:rsidR="0010369C" w:rsidRDefault="008E43AE">
      <w:pPr>
        <w:pStyle w:val="BodyText"/>
        <w:spacing w:before="34" w:line="360" w:lineRule="auto"/>
        <w:ind w:left="235" w:right="612" w:firstLine="2"/>
        <w:jc w:val="both"/>
      </w:pPr>
      <w:r>
        <w:t xml:space="preserve">upon identical, formulaic requests and identical, formulaic non‐confidential summaries is </w:t>
      </w:r>
      <w:r>
        <w:rPr>
          <w:i/>
        </w:rPr>
        <w:t xml:space="preserve">prima facie </w:t>
      </w:r>
      <w:r>
        <w:t>evidence of a failure to (i) require "good cause" to be shown, (ii) objectively examine whether "good cause" has been shown, or (iii) require non‐con</w:t>
      </w:r>
      <w:r>
        <w:t>fidential summaries to</w:t>
      </w:r>
      <w:r>
        <w:rPr>
          <w:spacing w:val="-5"/>
        </w:rPr>
        <w:t xml:space="preserve"> </w:t>
      </w:r>
      <w:r>
        <w:t>be</w:t>
      </w:r>
      <w:r>
        <w:rPr>
          <w:spacing w:val="-5"/>
        </w:rPr>
        <w:t xml:space="preserve"> </w:t>
      </w:r>
      <w:r>
        <w:t>furnished</w:t>
      </w:r>
      <w:r>
        <w:rPr>
          <w:spacing w:val="-5"/>
        </w:rPr>
        <w:t xml:space="preserve"> </w:t>
      </w:r>
      <w:r>
        <w:t>"</w:t>
      </w:r>
      <w:r>
        <w:rPr>
          <w:spacing w:val="-5"/>
        </w:rPr>
        <w:t xml:space="preserve"> </w:t>
      </w:r>
      <w:r>
        <w:t>in</w:t>
      </w:r>
      <w:r>
        <w:rPr>
          <w:spacing w:val="-5"/>
        </w:rPr>
        <w:t xml:space="preserve"> </w:t>
      </w:r>
      <w:r>
        <w:t>sufficient</w:t>
      </w:r>
      <w:r>
        <w:rPr>
          <w:spacing w:val="-5"/>
        </w:rPr>
        <w:t xml:space="preserve"> </w:t>
      </w:r>
      <w:r>
        <w:t>detail</w:t>
      </w:r>
      <w:r>
        <w:rPr>
          <w:spacing w:val="-5"/>
        </w:rPr>
        <w:t xml:space="preserve"> </w:t>
      </w:r>
      <w:r>
        <w:t>to</w:t>
      </w:r>
      <w:r>
        <w:rPr>
          <w:spacing w:val="-5"/>
        </w:rPr>
        <w:t xml:space="preserve"> </w:t>
      </w:r>
      <w:r>
        <w:t>permit</w:t>
      </w:r>
      <w:r>
        <w:rPr>
          <w:spacing w:val="-5"/>
        </w:rPr>
        <w:t xml:space="preserve"> </w:t>
      </w:r>
      <w:r>
        <w:t>a</w:t>
      </w:r>
      <w:r>
        <w:rPr>
          <w:spacing w:val="-5"/>
        </w:rPr>
        <w:t xml:space="preserve"> </w:t>
      </w:r>
      <w:r>
        <w:t>reasonable</w:t>
      </w:r>
      <w:r>
        <w:rPr>
          <w:spacing w:val="-6"/>
        </w:rPr>
        <w:t xml:space="preserve"> </w:t>
      </w:r>
      <w:r>
        <w:t>understanding</w:t>
      </w:r>
      <w:r>
        <w:rPr>
          <w:spacing w:val="-4"/>
        </w:rPr>
        <w:t xml:space="preserve"> </w:t>
      </w:r>
      <w:r>
        <w:t>of</w:t>
      </w:r>
      <w:r>
        <w:rPr>
          <w:spacing w:val="-5"/>
        </w:rPr>
        <w:t xml:space="preserve"> </w:t>
      </w:r>
      <w:r>
        <w:t>the</w:t>
      </w:r>
      <w:r>
        <w:rPr>
          <w:spacing w:val="-4"/>
        </w:rPr>
        <w:t xml:space="preserve"> </w:t>
      </w:r>
      <w:r>
        <w:t>substance</w:t>
      </w:r>
      <w:r>
        <w:rPr>
          <w:spacing w:val="-4"/>
        </w:rPr>
        <w:t xml:space="preserve"> </w:t>
      </w:r>
      <w:r>
        <w:t>of the information submitted in confidence".</w:t>
      </w:r>
    </w:p>
    <w:p w14:paraId="51DE9740" w14:textId="77777777" w:rsidR="0010369C" w:rsidRDefault="0010369C">
      <w:pPr>
        <w:pStyle w:val="BodyText"/>
        <w:spacing w:before="11"/>
        <w:rPr>
          <w:sz w:val="8"/>
        </w:rPr>
      </w:pPr>
    </w:p>
    <w:p w14:paraId="51DE9741" w14:textId="77777777" w:rsidR="0010369C" w:rsidRDefault="008E43AE">
      <w:pPr>
        <w:pStyle w:val="BodyText"/>
        <w:spacing w:before="51" w:line="360" w:lineRule="auto"/>
        <w:ind w:left="237" w:right="614" w:firstLine="851"/>
        <w:jc w:val="both"/>
      </w:pPr>
      <w:r>
        <w:rPr>
          <w:noProof/>
        </w:rPr>
        <w:drawing>
          <wp:anchor distT="0" distB="0" distL="0" distR="0" simplePos="0" relativeHeight="251466240" behindDoc="1" locked="0" layoutInCell="1" allowOverlap="1" wp14:anchorId="51DEA749" wp14:editId="51DEA74A">
            <wp:simplePos x="0" y="0"/>
            <wp:positionH relativeFrom="page">
              <wp:posOffset>902208</wp:posOffset>
            </wp:positionH>
            <wp:positionV relativeFrom="paragraph">
              <wp:posOffset>79960</wp:posOffset>
            </wp:positionV>
            <wp:extent cx="262127" cy="103631"/>
            <wp:effectExtent l="0" t="0" r="0" b="0"/>
            <wp:wrapNone/>
            <wp:docPr id="1695" name="image8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 name="image875.png"/>
                    <pic:cNvPicPr/>
                  </pic:nvPicPr>
                  <pic:blipFill>
                    <a:blip r:embed="rId1140" cstate="print"/>
                    <a:stretch>
                      <a:fillRect/>
                    </a:stretch>
                  </pic:blipFill>
                  <pic:spPr>
                    <a:xfrm>
                      <a:off x="0" y="0"/>
                      <a:ext cx="262127" cy="103631"/>
                    </a:xfrm>
                    <a:prstGeom prst="rect">
                      <a:avLst/>
                    </a:prstGeom>
                  </pic:spPr>
                </pic:pic>
              </a:graphicData>
            </a:graphic>
          </wp:anchor>
        </w:drawing>
      </w:r>
      <w:r>
        <w:t>There is no evidence in the Final Determination or its supporting documents that MOFCOM had assessed or determined that "good cause" had been shown in respect of any of the above‐referenced requests.</w:t>
      </w:r>
    </w:p>
    <w:p w14:paraId="51DE9742" w14:textId="77777777" w:rsidR="0010369C" w:rsidRDefault="0010369C">
      <w:pPr>
        <w:pStyle w:val="BodyText"/>
        <w:spacing w:before="11"/>
        <w:rPr>
          <w:sz w:val="8"/>
        </w:rPr>
      </w:pPr>
    </w:p>
    <w:p w14:paraId="51DE9743" w14:textId="77777777" w:rsidR="0010369C" w:rsidRDefault="008E43AE">
      <w:pPr>
        <w:pStyle w:val="BodyText"/>
        <w:spacing w:before="52" w:line="360" w:lineRule="auto"/>
        <w:ind w:left="238" w:right="612" w:firstLine="850"/>
        <w:jc w:val="both"/>
      </w:pPr>
      <w:r>
        <w:rPr>
          <w:noProof/>
        </w:rPr>
        <w:drawing>
          <wp:anchor distT="0" distB="0" distL="0" distR="0" simplePos="0" relativeHeight="251467264" behindDoc="1" locked="0" layoutInCell="1" allowOverlap="1" wp14:anchorId="51DEA74B" wp14:editId="51DEA74C">
            <wp:simplePos x="0" y="0"/>
            <wp:positionH relativeFrom="page">
              <wp:posOffset>902208</wp:posOffset>
            </wp:positionH>
            <wp:positionV relativeFrom="paragraph">
              <wp:posOffset>80595</wp:posOffset>
            </wp:positionV>
            <wp:extent cx="262127" cy="103631"/>
            <wp:effectExtent l="0" t="0" r="0" b="0"/>
            <wp:wrapNone/>
            <wp:docPr id="1697" name="image8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 name="image876.png"/>
                    <pic:cNvPicPr/>
                  </pic:nvPicPr>
                  <pic:blipFill>
                    <a:blip r:embed="rId1141" cstate="print"/>
                    <a:stretch>
                      <a:fillRect/>
                    </a:stretch>
                  </pic:blipFill>
                  <pic:spPr>
                    <a:xfrm>
                      <a:off x="0" y="0"/>
                      <a:ext cx="262127" cy="103631"/>
                    </a:xfrm>
                    <a:prstGeom prst="rect">
                      <a:avLst/>
                    </a:prstGeom>
                  </pic:spPr>
                </pic:pic>
              </a:graphicData>
            </a:graphic>
          </wp:anchor>
        </w:drawing>
      </w:r>
      <w:r>
        <w:t>MOFCOM appears to have accepted all requests for confi</w:t>
      </w:r>
      <w:r>
        <w:t>dential treatment without conducting</w:t>
      </w:r>
      <w:r>
        <w:rPr>
          <w:spacing w:val="-14"/>
        </w:rPr>
        <w:t xml:space="preserve"> </w:t>
      </w:r>
      <w:r>
        <w:t>the</w:t>
      </w:r>
      <w:r>
        <w:rPr>
          <w:spacing w:val="-14"/>
        </w:rPr>
        <w:t xml:space="preserve"> </w:t>
      </w:r>
      <w:r>
        <w:t>objective</w:t>
      </w:r>
      <w:r>
        <w:rPr>
          <w:spacing w:val="-12"/>
        </w:rPr>
        <w:t xml:space="preserve"> </w:t>
      </w:r>
      <w:r>
        <w:t>examination</w:t>
      </w:r>
      <w:r>
        <w:rPr>
          <w:spacing w:val="-14"/>
        </w:rPr>
        <w:t xml:space="preserve"> </w:t>
      </w:r>
      <w:r>
        <w:t>of</w:t>
      </w:r>
      <w:r>
        <w:rPr>
          <w:spacing w:val="-14"/>
        </w:rPr>
        <w:t xml:space="preserve"> </w:t>
      </w:r>
      <w:r>
        <w:t>the</w:t>
      </w:r>
      <w:r>
        <w:rPr>
          <w:spacing w:val="-12"/>
        </w:rPr>
        <w:t xml:space="preserve"> </w:t>
      </w:r>
      <w:r>
        <w:t>justification</w:t>
      </w:r>
      <w:r>
        <w:rPr>
          <w:spacing w:val="-13"/>
        </w:rPr>
        <w:t xml:space="preserve"> </w:t>
      </w:r>
      <w:r>
        <w:t>for</w:t>
      </w:r>
      <w:r>
        <w:rPr>
          <w:spacing w:val="-13"/>
        </w:rPr>
        <w:t xml:space="preserve"> </w:t>
      </w:r>
      <w:r>
        <w:t>confidential</w:t>
      </w:r>
      <w:r>
        <w:rPr>
          <w:spacing w:val="-14"/>
        </w:rPr>
        <w:t xml:space="preserve"> </w:t>
      </w:r>
      <w:r>
        <w:t>treatment</w:t>
      </w:r>
      <w:r>
        <w:rPr>
          <w:spacing w:val="-14"/>
        </w:rPr>
        <w:t xml:space="preserve"> </w:t>
      </w:r>
      <w:r>
        <w:t>that</w:t>
      </w:r>
      <w:r>
        <w:rPr>
          <w:spacing w:val="-12"/>
        </w:rPr>
        <w:t xml:space="preserve"> </w:t>
      </w:r>
      <w:r>
        <w:t>it</w:t>
      </w:r>
      <w:r>
        <w:rPr>
          <w:spacing w:val="-13"/>
        </w:rPr>
        <w:t xml:space="preserve"> </w:t>
      </w:r>
      <w:r>
        <w:t xml:space="preserve">was obligated to undertake, and therefore acted inconsistently with the requirements of Article </w:t>
      </w:r>
      <w:r>
        <w:rPr>
          <w:spacing w:val="-4"/>
        </w:rPr>
        <w:t>6.5.</w:t>
      </w:r>
    </w:p>
    <w:p w14:paraId="51DE9744" w14:textId="77777777" w:rsidR="0010369C" w:rsidRDefault="0010369C">
      <w:pPr>
        <w:pStyle w:val="BodyText"/>
        <w:spacing w:before="10"/>
        <w:rPr>
          <w:sz w:val="8"/>
        </w:rPr>
      </w:pPr>
    </w:p>
    <w:p w14:paraId="51DE9745" w14:textId="77777777" w:rsidR="0010369C" w:rsidRDefault="008E43AE">
      <w:pPr>
        <w:pStyle w:val="BodyText"/>
        <w:spacing w:before="52" w:line="360" w:lineRule="auto"/>
        <w:ind w:left="237" w:right="612" w:firstLine="851"/>
        <w:jc w:val="both"/>
      </w:pPr>
      <w:r>
        <w:rPr>
          <w:noProof/>
        </w:rPr>
        <w:drawing>
          <wp:anchor distT="0" distB="0" distL="0" distR="0" simplePos="0" relativeHeight="251468288" behindDoc="1" locked="0" layoutInCell="1" allowOverlap="1" wp14:anchorId="51DEA74D" wp14:editId="51DEA74E">
            <wp:simplePos x="0" y="0"/>
            <wp:positionH relativeFrom="page">
              <wp:posOffset>902208</wp:posOffset>
            </wp:positionH>
            <wp:positionV relativeFrom="paragraph">
              <wp:posOffset>81950</wp:posOffset>
            </wp:positionV>
            <wp:extent cx="262127" cy="100753"/>
            <wp:effectExtent l="0" t="0" r="0" b="0"/>
            <wp:wrapNone/>
            <wp:docPr id="1699" name="image8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 name="image877.png"/>
                    <pic:cNvPicPr/>
                  </pic:nvPicPr>
                  <pic:blipFill>
                    <a:blip r:embed="rId1142" cstate="print"/>
                    <a:stretch>
                      <a:fillRect/>
                    </a:stretch>
                  </pic:blipFill>
                  <pic:spPr>
                    <a:xfrm>
                      <a:off x="0" y="0"/>
                      <a:ext cx="262127" cy="100753"/>
                    </a:xfrm>
                    <a:prstGeom prst="rect">
                      <a:avLst/>
                    </a:prstGeom>
                  </pic:spPr>
                </pic:pic>
              </a:graphicData>
            </a:graphic>
          </wp:anchor>
        </w:drawing>
      </w:r>
      <w:r>
        <w:t>The identical, formulaic non‐confi</w:t>
      </w:r>
      <w:r>
        <w:t>dential summaries gave the other interested parties</w:t>
      </w:r>
      <w:r>
        <w:rPr>
          <w:spacing w:val="-14"/>
        </w:rPr>
        <w:t xml:space="preserve"> </w:t>
      </w:r>
      <w:r>
        <w:t>no</w:t>
      </w:r>
      <w:r>
        <w:rPr>
          <w:spacing w:val="-14"/>
        </w:rPr>
        <w:t xml:space="preserve"> </w:t>
      </w:r>
      <w:r>
        <w:t>information</w:t>
      </w:r>
      <w:r>
        <w:rPr>
          <w:spacing w:val="-13"/>
        </w:rPr>
        <w:t xml:space="preserve"> </w:t>
      </w:r>
      <w:r>
        <w:t>about</w:t>
      </w:r>
      <w:r>
        <w:rPr>
          <w:spacing w:val="-14"/>
        </w:rPr>
        <w:t xml:space="preserve"> </w:t>
      </w:r>
      <w:r>
        <w:t>the</w:t>
      </w:r>
      <w:r>
        <w:rPr>
          <w:spacing w:val="-13"/>
        </w:rPr>
        <w:t xml:space="preserve"> </w:t>
      </w:r>
      <w:r>
        <w:t>substance</w:t>
      </w:r>
      <w:r>
        <w:rPr>
          <w:spacing w:val="-14"/>
        </w:rPr>
        <w:t xml:space="preserve"> </w:t>
      </w:r>
      <w:r>
        <w:t>of</w:t>
      </w:r>
      <w:r>
        <w:rPr>
          <w:spacing w:val="-13"/>
        </w:rPr>
        <w:t xml:space="preserve"> </w:t>
      </w:r>
      <w:r>
        <w:t>the</w:t>
      </w:r>
      <w:r>
        <w:rPr>
          <w:spacing w:val="-14"/>
        </w:rPr>
        <w:t xml:space="preserve"> </w:t>
      </w:r>
      <w:r>
        <w:t>purportedly</w:t>
      </w:r>
      <w:r>
        <w:rPr>
          <w:spacing w:val="-14"/>
        </w:rPr>
        <w:t xml:space="preserve"> </w:t>
      </w:r>
      <w:r>
        <w:t>confidential</w:t>
      </w:r>
      <w:r>
        <w:rPr>
          <w:spacing w:val="-13"/>
        </w:rPr>
        <w:t xml:space="preserve"> </w:t>
      </w:r>
      <w:r>
        <w:t>information.</w:t>
      </w:r>
      <w:r>
        <w:rPr>
          <w:spacing w:val="-14"/>
        </w:rPr>
        <w:t xml:space="preserve"> </w:t>
      </w:r>
      <w:r>
        <w:t>These summaries</w:t>
      </w:r>
      <w:r>
        <w:rPr>
          <w:spacing w:val="-10"/>
        </w:rPr>
        <w:t xml:space="preserve"> </w:t>
      </w:r>
      <w:r>
        <w:t>briefly</w:t>
      </w:r>
      <w:r>
        <w:rPr>
          <w:spacing w:val="-8"/>
        </w:rPr>
        <w:t xml:space="preserve"> </w:t>
      </w:r>
      <w:r>
        <w:t>restated</w:t>
      </w:r>
      <w:r>
        <w:rPr>
          <w:spacing w:val="-9"/>
        </w:rPr>
        <w:t xml:space="preserve"> </w:t>
      </w:r>
      <w:r>
        <w:t>the</w:t>
      </w:r>
      <w:r>
        <w:rPr>
          <w:spacing w:val="-8"/>
        </w:rPr>
        <w:t xml:space="preserve"> </w:t>
      </w:r>
      <w:r>
        <w:t>nature</w:t>
      </w:r>
      <w:r>
        <w:rPr>
          <w:spacing w:val="-8"/>
        </w:rPr>
        <w:t xml:space="preserve"> </w:t>
      </w:r>
      <w:r>
        <w:t>of</w:t>
      </w:r>
      <w:r>
        <w:rPr>
          <w:spacing w:val="-9"/>
        </w:rPr>
        <w:t xml:space="preserve"> </w:t>
      </w:r>
      <w:r>
        <w:t>the</w:t>
      </w:r>
      <w:r>
        <w:rPr>
          <w:spacing w:val="-8"/>
        </w:rPr>
        <w:t xml:space="preserve"> </w:t>
      </w:r>
      <w:r>
        <w:t>information</w:t>
      </w:r>
      <w:r>
        <w:rPr>
          <w:spacing w:val="-8"/>
        </w:rPr>
        <w:t xml:space="preserve"> </w:t>
      </w:r>
      <w:r>
        <w:t>referred</w:t>
      </w:r>
      <w:r>
        <w:rPr>
          <w:spacing w:val="-10"/>
        </w:rPr>
        <w:t xml:space="preserve"> </w:t>
      </w:r>
      <w:r>
        <w:t>to</w:t>
      </w:r>
      <w:r>
        <w:rPr>
          <w:spacing w:val="-8"/>
        </w:rPr>
        <w:t xml:space="preserve"> </w:t>
      </w:r>
      <w:r>
        <w:t>in</w:t>
      </w:r>
      <w:r>
        <w:rPr>
          <w:spacing w:val="-9"/>
        </w:rPr>
        <w:t xml:space="preserve"> </w:t>
      </w:r>
      <w:r>
        <w:t>the</w:t>
      </w:r>
      <w:r>
        <w:rPr>
          <w:spacing w:val="-8"/>
        </w:rPr>
        <w:t xml:space="preserve"> </w:t>
      </w:r>
      <w:r>
        <w:t>question,</w:t>
      </w:r>
      <w:r>
        <w:rPr>
          <w:spacing w:val="-9"/>
        </w:rPr>
        <w:t xml:space="preserve"> </w:t>
      </w:r>
      <w:r>
        <w:t>asserted that</w:t>
      </w:r>
      <w:r>
        <w:rPr>
          <w:spacing w:val="-14"/>
        </w:rPr>
        <w:t xml:space="preserve"> </w:t>
      </w:r>
      <w:r>
        <w:t>the</w:t>
      </w:r>
      <w:r>
        <w:rPr>
          <w:spacing w:val="-14"/>
        </w:rPr>
        <w:t xml:space="preserve"> </w:t>
      </w:r>
      <w:r>
        <w:t>information</w:t>
      </w:r>
      <w:r>
        <w:rPr>
          <w:spacing w:val="-13"/>
        </w:rPr>
        <w:t xml:space="preserve"> </w:t>
      </w:r>
      <w:r>
        <w:t>provided</w:t>
      </w:r>
      <w:r>
        <w:rPr>
          <w:spacing w:val="-14"/>
        </w:rPr>
        <w:t xml:space="preserve"> </w:t>
      </w:r>
      <w:r>
        <w:t>"involves</w:t>
      </w:r>
      <w:r>
        <w:rPr>
          <w:spacing w:val="-13"/>
        </w:rPr>
        <w:t xml:space="preserve"> </w:t>
      </w:r>
      <w:r>
        <w:t>commercial</w:t>
      </w:r>
      <w:r>
        <w:rPr>
          <w:spacing w:val="-14"/>
        </w:rPr>
        <w:t xml:space="preserve"> </w:t>
      </w:r>
      <w:r>
        <w:t>secrets",</w:t>
      </w:r>
      <w:r>
        <w:rPr>
          <w:spacing w:val="-13"/>
        </w:rPr>
        <w:t xml:space="preserve"> </w:t>
      </w:r>
      <w:r>
        <w:t>and</w:t>
      </w:r>
      <w:r>
        <w:rPr>
          <w:spacing w:val="-14"/>
        </w:rPr>
        <w:t xml:space="preserve"> </w:t>
      </w:r>
      <w:r>
        <w:t>stated</w:t>
      </w:r>
      <w:r>
        <w:rPr>
          <w:spacing w:val="-13"/>
        </w:rPr>
        <w:t xml:space="preserve"> </w:t>
      </w:r>
      <w:r>
        <w:t>that</w:t>
      </w:r>
      <w:r>
        <w:rPr>
          <w:spacing w:val="-14"/>
        </w:rPr>
        <w:t xml:space="preserve"> </w:t>
      </w:r>
      <w:r>
        <w:t>public</w:t>
      </w:r>
      <w:r>
        <w:rPr>
          <w:spacing w:val="-13"/>
        </w:rPr>
        <w:t xml:space="preserve"> </w:t>
      </w:r>
      <w:r>
        <w:t>disclosure would have a serious adverse effect. No details were provided about the actual substance of the</w:t>
      </w:r>
      <w:r>
        <w:rPr>
          <w:spacing w:val="-6"/>
        </w:rPr>
        <w:t xml:space="preserve"> </w:t>
      </w:r>
      <w:r>
        <w:t>information</w:t>
      </w:r>
      <w:r>
        <w:rPr>
          <w:spacing w:val="-6"/>
        </w:rPr>
        <w:t xml:space="preserve"> </w:t>
      </w:r>
      <w:r>
        <w:t>in</w:t>
      </w:r>
      <w:r>
        <w:rPr>
          <w:spacing w:val="-7"/>
        </w:rPr>
        <w:t xml:space="preserve"> </w:t>
      </w:r>
      <w:r>
        <w:t>the</w:t>
      </w:r>
      <w:r>
        <w:rPr>
          <w:spacing w:val="-6"/>
        </w:rPr>
        <w:t xml:space="preserve"> </w:t>
      </w:r>
      <w:r>
        <w:t>answer,</w:t>
      </w:r>
      <w:r>
        <w:rPr>
          <w:spacing w:val="-6"/>
        </w:rPr>
        <w:t xml:space="preserve"> </w:t>
      </w:r>
      <w:r>
        <w:t>which</w:t>
      </w:r>
      <w:r>
        <w:rPr>
          <w:spacing w:val="-7"/>
        </w:rPr>
        <w:t xml:space="preserve"> </w:t>
      </w:r>
      <w:r>
        <w:t>was</w:t>
      </w:r>
      <w:r>
        <w:rPr>
          <w:spacing w:val="-7"/>
        </w:rPr>
        <w:t xml:space="preserve"> </w:t>
      </w:r>
      <w:r>
        <w:t>treated</w:t>
      </w:r>
      <w:r>
        <w:rPr>
          <w:spacing w:val="-7"/>
        </w:rPr>
        <w:t xml:space="preserve"> </w:t>
      </w:r>
      <w:r>
        <w:t>as</w:t>
      </w:r>
      <w:r>
        <w:rPr>
          <w:spacing w:val="-7"/>
        </w:rPr>
        <w:t xml:space="preserve"> </w:t>
      </w:r>
      <w:r>
        <w:t>confidential</w:t>
      </w:r>
      <w:r>
        <w:rPr>
          <w:spacing w:val="-7"/>
        </w:rPr>
        <w:t xml:space="preserve"> </w:t>
      </w:r>
      <w:r>
        <w:t>in</w:t>
      </w:r>
      <w:r>
        <w:rPr>
          <w:spacing w:val="-7"/>
        </w:rPr>
        <w:t xml:space="preserve"> </w:t>
      </w:r>
      <w:r>
        <w:t>its</w:t>
      </w:r>
      <w:r>
        <w:rPr>
          <w:spacing w:val="-5"/>
        </w:rPr>
        <w:t xml:space="preserve"> </w:t>
      </w:r>
      <w:r>
        <w:t>entire</w:t>
      </w:r>
      <w:r>
        <w:t>ty.</w:t>
      </w:r>
      <w:r>
        <w:rPr>
          <w:spacing w:val="-7"/>
        </w:rPr>
        <w:t xml:space="preserve"> </w:t>
      </w:r>
      <w:r>
        <w:t>This</w:t>
      </w:r>
      <w:r>
        <w:rPr>
          <w:spacing w:val="-6"/>
        </w:rPr>
        <w:t xml:space="preserve"> </w:t>
      </w:r>
      <w:r>
        <w:t>is</w:t>
      </w:r>
      <w:r>
        <w:rPr>
          <w:spacing w:val="-6"/>
        </w:rPr>
        <w:t xml:space="preserve"> </w:t>
      </w:r>
      <w:r>
        <w:t>despite the fact that the information over which confidential treatment was sought, such as product brochures and specifications that are used by companies to describe their products to customers, are commonly filed in anti‐dumping investigatio</w:t>
      </w:r>
      <w:r>
        <w:t>ns and are treated as non‐ confidential or public information.</w:t>
      </w:r>
    </w:p>
    <w:p w14:paraId="51DE9746" w14:textId="77777777" w:rsidR="0010369C" w:rsidRDefault="0010369C">
      <w:pPr>
        <w:pStyle w:val="BodyText"/>
        <w:spacing w:before="11"/>
        <w:rPr>
          <w:sz w:val="8"/>
        </w:rPr>
      </w:pPr>
    </w:p>
    <w:p w14:paraId="51DE9747" w14:textId="77777777" w:rsidR="0010369C" w:rsidRDefault="008E43AE">
      <w:pPr>
        <w:pStyle w:val="BodyText"/>
        <w:spacing w:before="52" w:line="360" w:lineRule="auto"/>
        <w:ind w:left="237" w:right="613" w:firstLine="851"/>
        <w:jc w:val="both"/>
      </w:pPr>
      <w:r>
        <w:rPr>
          <w:noProof/>
        </w:rPr>
        <w:drawing>
          <wp:anchor distT="0" distB="0" distL="0" distR="0" simplePos="0" relativeHeight="251469312" behindDoc="1" locked="0" layoutInCell="1" allowOverlap="1" wp14:anchorId="51DEA74F" wp14:editId="51DEA750">
            <wp:simplePos x="0" y="0"/>
            <wp:positionH relativeFrom="page">
              <wp:posOffset>902208</wp:posOffset>
            </wp:positionH>
            <wp:positionV relativeFrom="paragraph">
              <wp:posOffset>81949</wp:posOffset>
            </wp:positionV>
            <wp:extent cx="262127" cy="100753"/>
            <wp:effectExtent l="0" t="0" r="0" b="0"/>
            <wp:wrapNone/>
            <wp:docPr id="1701" name="image8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 name="image878.png"/>
                    <pic:cNvPicPr/>
                  </pic:nvPicPr>
                  <pic:blipFill>
                    <a:blip r:embed="rId1143" cstate="print"/>
                    <a:stretch>
                      <a:fillRect/>
                    </a:stretch>
                  </pic:blipFill>
                  <pic:spPr>
                    <a:xfrm>
                      <a:off x="0" y="0"/>
                      <a:ext cx="262127" cy="100753"/>
                    </a:xfrm>
                    <a:prstGeom prst="rect">
                      <a:avLst/>
                    </a:prstGeom>
                  </pic:spPr>
                </pic:pic>
              </a:graphicData>
            </a:graphic>
          </wp:anchor>
        </w:drawing>
      </w:r>
      <w:r>
        <w:t>The</w:t>
      </w:r>
      <w:r>
        <w:rPr>
          <w:spacing w:val="-5"/>
        </w:rPr>
        <w:t xml:space="preserve"> </w:t>
      </w:r>
      <w:r>
        <w:t>purpose</w:t>
      </w:r>
      <w:r>
        <w:rPr>
          <w:spacing w:val="-6"/>
        </w:rPr>
        <w:t xml:space="preserve"> </w:t>
      </w:r>
      <w:r>
        <w:t>of</w:t>
      </w:r>
      <w:r>
        <w:rPr>
          <w:spacing w:val="-6"/>
        </w:rPr>
        <w:t xml:space="preserve"> </w:t>
      </w:r>
      <w:r>
        <w:t>requiring</w:t>
      </w:r>
      <w:r>
        <w:rPr>
          <w:spacing w:val="-7"/>
        </w:rPr>
        <w:t xml:space="preserve"> </w:t>
      </w:r>
      <w:r>
        <w:t>a</w:t>
      </w:r>
      <w:r>
        <w:rPr>
          <w:spacing w:val="-6"/>
        </w:rPr>
        <w:t xml:space="preserve"> </w:t>
      </w:r>
      <w:r>
        <w:t>non‐confidential</w:t>
      </w:r>
      <w:r>
        <w:rPr>
          <w:spacing w:val="-7"/>
        </w:rPr>
        <w:t xml:space="preserve"> </w:t>
      </w:r>
      <w:r>
        <w:t>summary</w:t>
      </w:r>
      <w:r>
        <w:rPr>
          <w:spacing w:val="-5"/>
        </w:rPr>
        <w:t xml:space="preserve"> </w:t>
      </w:r>
      <w:r>
        <w:t>"in</w:t>
      </w:r>
      <w:r>
        <w:rPr>
          <w:spacing w:val="-6"/>
        </w:rPr>
        <w:t xml:space="preserve"> </w:t>
      </w:r>
      <w:r>
        <w:t>sufficient</w:t>
      </w:r>
      <w:r>
        <w:rPr>
          <w:spacing w:val="-5"/>
        </w:rPr>
        <w:t xml:space="preserve"> </w:t>
      </w:r>
      <w:r>
        <w:t>detail</w:t>
      </w:r>
      <w:r>
        <w:rPr>
          <w:spacing w:val="-7"/>
        </w:rPr>
        <w:t xml:space="preserve"> </w:t>
      </w:r>
      <w:r>
        <w:t>to</w:t>
      </w:r>
      <w:r>
        <w:rPr>
          <w:spacing w:val="-6"/>
        </w:rPr>
        <w:t xml:space="preserve"> </w:t>
      </w:r>
      <w:r>
        <w:t>permit</w:t>
      </w:r>
      <w:r>
        <w:rPr>
          <w:spacing w:val="-6"/>
        </w:rPr>
        <w:t xml:space="preserve"> </w:t>
      </w:r>
      <w:r>
        <w:t>a reasonable</w:t>
      </w:r>
      <w:r>
        <w:rPr>
          <w:spacing w:val="-2"/>
        </w:rPr>
        <w:t xml:space="preserve"> </w:t>
      </w:r>
      <w:r>
        <w:t>understanding</w:t>
      </w:r>
      <w:r>
        <w:rPr>
          <w:spacing w:val="-1"/>
        </w:rPr>
        <w:t xml:space="preserve"> </w:t>
      </w:r>
      <w:r>
        <w:t>of</w:t>
      </w:r>
      <w:r>
        <w:rPr>
          <w:spacing w:val="-2"/>
        </w:rPr>
        <w:t xml:space="preserve"> </w:t>
      </w:r>
      <w:r>
        <w:t>the substance</w:t>
      </w:r>
      <w:r>
        <w:rPr>
          <w:spacing w:val="-1"/>
        </w:rPr>
        <w:t xml:space="preserve"> </w:t>
      </w:r>
      <w:r>
        <w:t>of</w:t>
      </w:r>
      <w:r>
        <w:rPr>
          <w:spacing w:val="-2"/>
        </w:rPr>
        <w:t xml:space="preserve"> </w:t>
      </w:r>
      <w:r>
        <w:t>the</w:t>
      </w:r>
      <w:r>
        <w:rPr>
          <w:spacing w:val="-1"/>
        </w:rPr>
        <w:t xml:space="preserve"> </w:t>
      </w:r>
      <w:r>
        <w:t>information</w:t>
      </w:r>
      <w:r>
        <w:rPr>
          <w:spacing w:val="-1"/>
        </w:rPr>
        <w:t xml:space="preserve"> </w:t>
      </w:r>
      <w:r>
        <w:t>submitted</w:t>
      </w:r>
      <w:r>
        <w:rPr>
          <w:spacing w:val="-1"/>
        </w:rPr>
        <w:t xml:space="preserve"> </w:t>
      </w:r>
      <w:r>
        <w:t>in</w:t>
      </w:r>
      <w:r>
        <w:rPr>
          <w:spacing w:val="-2"/>
        </w:rPr>
        <w:t xml:space="preserve"> </w:t>
      </w:r>
      <w:r>
        <w:t>confidence"</w:t>
      </w:r>
      <w:r>
        <w:rPr>
          <w:spacing w:val="-2"/>
        </w:rPr>
        <w:t xml:space="preserve"> </w:t>
      </w:r>
      <w:r>
        <w:t>is</w:t>
      </w:r>
      <w:r>
        <w:rPr>
          <w:spacing w:val="-2"/>
        </w:rPr>
        <w:t xml:space="preserve"> </w:t>
      </w:r>
      <w:r>
        <w:t>to afford</w:t>
      </w:r>
      <w:r>
        <w:rPr>
          <w:spacing w:val="-10"/>
        </w:rPr>
        <w:t xml:space="preserve"> </w:t>
      </w:r>
      <w:r>
        <w:t>procedural</w:t>
      </w:r>
      <w:r>
        <w:rPr>
          <w:spacing w:val="-9"/>
        </w:rPr>
        <w:t xml:space="preserve"> </w:t>
      </w:r>
      <w:r>
        <w:t>fairness</w:t>
      </w:r>
      <w:r>
        <w:rPr>
          <w:spacing w:val="-10"/>
        </w:rPr>
        <w:t xml:space="preserve"> </w:t>
      </w:r>
      <w:r>
        <w:t>to</w:t>
      </w:r>
      <w:r>
        <w:rPr>
          <w:spacing w:val="-9"/>
        </w:rPr>
        <w:t xml:space="preserve"> </w:t>
      </w:r>
      <w:r>
        <w:t>those</w:t>
      </w:r>
      <w:r>
        <w:rPr>
          <w:spacing w:val="-10"/>
        </w:rPr>
        <w:t xml:space="preserve"> </w:t>
      </w:r>
      <w:r>
        <w:t>parties</w:t>
      </w:r>
      <w:r>
        <w:rPr>
          <w:spacing w:val="-10"/>
        </w:rPr>
        <w:t xml:space="preserve"> </w:t>
      </w:r>
      <w:r>
        <w:t>who</w:t>
      </w:r>
      <w:r>
        <w:rPr>
          <w:spacing w:val="-9"/>
        </w:rPr>
        <w:t xml:space="preserve"> </w:t>
      </w:r>
      <w:r>
        <w:t>cannot</w:t>
      </w:r>
      <w:r>
        <w:rPr>
          <w:spacing w:val="-10"/>
        </w:rPr>
        <w:t xml:space="preserve"> </w:t>
      </w:r>
      <w:r>
        <w:t>access</w:t>
      </w:r>
      <w:r>
        <w:rPr>
          <w:spacing w:val="-10"/>
        </w:rPr>
        <w:t xml:space="preserve"> </w:t>
      </w:r>
      <w:r>
        <w:t>the</w:t>
      </w:r>
      <w:r>
        <w:rPr>
          <w:spacing w:val="-9"/>
        </w:rPr>
        <w:t xml:space="preserve"> </w:t>
      </w:r>
      <w:r>
        <w:t>confidential</w:t>
      </w:r>
      <w:r>
        <w:rPr>
          <w:spacing w:val="-9"/>
        </w:rPr>
        <w:t xml:space="preserve"> </w:t>
      </w:r>
      <w:r>
        <w:t>information,</w:t>
      </w:r>
      <w:r>
        <w:rPr>
          <w:spacing w:val="-10"/>
        </w:rPr>
        <w:t xml:space="preserve"> </w:t>
      </w:r>
      <w:r>
        <w:t>so that they have an adequate opportunity for the defence of their interests. This "opportunity must be meaningful in terms of a party's ability to defend itself</w:t>
      </w:r>
      <w:r>
        <w:t>"</w:t>
      </w:r>
      <w:r>
        <w:rPr>
          <w:vertAlign w:val="superscript"/>
        </w:rPr>
        <w:t>1037</w:t>
      </w:r>
      <w:r>
        <w:t xml:space="preserve"> to allow them a "full defence</w:t>
      </w:r>
      <w:r>
        <w:rPr>
          <w:spacing w:val="6"/>
        </w:rPr>
        <w:t xml:space="preserve"> </w:t>
      </w:r>
      <w:r>
        <w:t>of</w:t>
      </w:r>
      <w:r>
        <w:rPr>
          <w:spacing w:val="6"/>
        </w:rPr>
        <w:t xml:space="preserve"> </w:t>
      </w:r>
      <w:r>
        <w:t>their</w:t>
      </w:r>
      <w:r>
        <w:rPr>
          <w:spacing w:val="6"/>
        </w:rPr>
        <w:t xml:space="preserve"> </w:t>
      </w:r>
      <w:r>
        <w:t>interests".</w:t>
      </w:r>
      <w:r>
        <w:rPr>
          <w:spacing w:val="8"/>
        </w:rPr>
        <w:t xml:space="preserve"> </w:t>
      </w:r>
      <w:r>
        <w:t>The</w:t>
      </w:r>
      <w:r>
        <w:rPr>
          <w:spacing w:val="6"/>
        </w:rPr>
        <w:t xml:space="preserve"> </w:t>
      </w:r>
      <w:r>
        <w:t>summaries</w:t>
      </w:r>
      <w:r>
        <w:rPr>
          <w:spacing w:val="5"/>
        </w:rPr>
        <w:t xml:space="preserve"> </w:t>
      </w:r>
      <w:r>
        <w:t>given</w:t>
      </w:r>
      <w:r>
        <w:rPr>
          <w:spacing w:val="5"/>
        </w:rPr>
        <w:t xml:space="preserve"> </w:t>
      </w:r>
      <w:r>
        <w:t>by</w:t>
      </w:r>
      <w:r>
        <w:rPr>
          <w:spacing w:val="6"/>
        </w:rPr>
        <w:t xml:space="preserve"> </w:t>
      </w:r>
      <w:r>
        <w:t>the</w:t>
      </w:r>
      <w:r>
        <w:rPr>
          <w:spacing w:val="6"/>
        </w:rPr>
        <w:t xml:space="preserve"> </w:t>
      </w:r>
      <w:r>
        <w:t>domestic</w:t>
      </w:r>
      <w:r>
        <w:rPr>
          <w:spacing w:val="7"/>
        </w:rPr>
        <w:t xml:space="preserve"> </w:t>
      </w:r>
      <w:r>
        <w:t>companies</w:t>
      </w:r>
      <w:r>
        <w:rPr>
          <w:spacing w:val="5"/>
        </w:rPr>
        <w:t xml:space="preserve"> </w:t>
      </w:r>
      <w:r>
        <w:t>offer</w:t>
      </w:r>
      <w:r>
        <w:rPr>
          <w:spacing w:val="5"/>
        </w:rPr>
        <w:t xml:space="preserve"> </w:t>
      </w:r>
      <w:r>
        <w:t>no</w:t>
      </w:r>
      <w:r>
        <w:rPr>
          <w:spacing w:val="6"/>
        </w:rPr>
        <w:t xml:space="preserve"> </w:t>
      </w:r>
      <w:r>
        <w:rPr>
          <w:spacing w:val="-4"/>
        </w:rPr>
        <w:t>more</w:t>
      </w:r>
    </w:p>
    <w:p w14:paraId="51DE9748" w14:textId="77777777" w:rsidR="0010369C" w:rsidRDefault="0010369C">
      <w:pPr>
        <w:pStyle w:val="BodyText"/>
        <w:rPr>
          <w:sz w:val="20"/>
        </w:rPr>
      </w:pPr>
    </w:p>
    <w:p w14:paraId="51DE9749" w14:textId="77777777" w:rsidR="0010369C" w:rsidRDefault="008E43AE">
      <w:pPr>
        <w:pStyle w:val="BodyText"/>
        <w:spacing w:before="5"/>
        <w:rPr>
          <w:sz w:val="18"/>
        </w:rPr>
      </w:pPr>
      <w:r>
        <w:pict w14:anchorId="51DEA751">
          <v:rect id="docshape1297" o:spid="_x0000_s1144" style="position:absolute;margin-left:70.9pt;margin-top:12.45pt;width:2in;height:.8pt;z-index:-250724864;mso-wrap-distance-left:0;mso-wrap-distance-right:0;mso-position-horizontal-relative:page" fillcolor="black" stroked="f">
            <w10:wrap type="topAndBottom" anchorx="page"/>
          </v:rect>
        </w:pict>
      </w:r>
    </w:p>
    <w:p w14:paraId="51DE974A" w14:textId="77777777" w:rsidR="0010369C" w:rsidRDefault="008E43AE">
      <w:pPr>
        <w:spacing w:before="109"/>
        <w:ind w:left="238"/>
        <w:rPr>
          <w:i/>
          <w:sz w:val="18"/>
        </w:rPr>
      </w:pPr>
      <w:r>
        <w:rPr>
          <w:spacing w:val="-2"/>
          <w:sz w:val="18"/>
          <w:vertAlign w:val="superscript"/>
        </w:rPr>
        <w:t>1037</w:t>
      </w:r>
      <w:r>
        <w:rPr>
          <w:sz w:val="18"/>
        </w:rPr>
        <w:t xml:space="preserve"> </w:t>
      </w:r>
      <w:r>
        <w:rPr>
          <w:spacing w:val="-2"/>
          <w:sz w:val="18"/>
        </w:rPr>
        <w:t>Appellate</w:t>
      </w:r>
      <w:r>
        <w:rPr>
          <w:sz w:val="18"/>
        </w:rPr>
        <w:t xml:space="preserve"> </w:t>
      </w:r>
      <w:r>
        <w:rPr>
          <w:spacing w:val="-2"/>
          <w:sz w:val="18"/>
        </w:rPr>
        <w:t>Body Reports,</w:t>
      </w:r>
      <w:r>
        <w:rPr>
          <w:sz w:val="18"/>
        </w:rPr>
        <w:t xml:space="preserve"> </w:t>
      </w:r>
      <w:r>
        <w:rPr>
          <w:i/>
          <w:spacing w:val="-2"/>
          <w:sz w:val="18"/>
        </w:rPr>
        <w:t>EC</w:t>
      </w:r>
      <w:r>
        <w:rPr>
          <w:i/>
          <w:spacing w:val="-1"/>
          <w:sz w:val="18"/>
        </w:rPr>
        <w:t xml:space="preserve"> </w:t>
      </w:r>
      <w:r>
        <w:rPr>
          <w:i/>
          <w:spacing w:val="-2"/>
          <w:sz w:val="18"/>
        </w:rPr>
        <w:t>–</w:t>
      </w:r>
      <w:r>
        <w:rPr>
          <w:i/>
          <w:sz w:val="18"/>
        </w:rPr>
        <w:t xml:space="preserve"> </w:t>
      </w:r>
      <w:r>
        <w:rPr>
          <w:i/>
          <w:spacing w:val="-2"/>
          <w:sz w:val="18"/>
        </w:rPr>
        <w:t>Fasteners</w:t>
      </w:r>
      <w:r>
        <w:rPr>
          <w:i/>
          <w:sz w:val="18"/>
        </w:rPr>
        <w:t xml:space="preserve"> </w:t>
      </w:r>
      <w:r>
        <w:rPr>
          <w:i/>
          <w:spacing w:val="-2"/>
          <w:sz w:val="18"/>
        </w:rPr>
        <w:t>(China)</w:t>
      </w:r>
      <w:r>
        <w:rPr>
          <w:spacing w:val="-2"/>
          <w:sz w:val="18"/>
        </w:rPr>
        <w:t>,</w:t>
      </w:r>
      <w:r>
        <w:rPr>
          <w:spacing w:val="1"/>
          <w:sz w:val="18"/>
        </w:rPr>
        <w:t xml:space="preserve"> </w:t>
      </w:r>
      <w:r>
        <w:rPr>
          <w:spacing w:val="-2"/>
          <w:sz w:val="18"/>
        </w:rPr>
        <w:t>para.</w:t>
      </w:r>
      <w:r>
        <w:rPr>
          <w:sz w:val="18"/>
        </w:rPr>
        <w:t xml:space="preserve"> </w:t>
      </w:r>
      <w:r>
        <w:rPr>
          <w:spacing w:val="-2"/>
          <w:sz w:val="18"/>
        </w:rPr>
        <w:t>541</w:t>
      </w:r>
      <w:r>
        <w:rPr>
          <w:sz w:val="18"/>
        </w:rPr>
        <w:t xml:space="preserve"> </w:t>
      </w:r>
      <w:r>
        <w:rPr>
          <w:spacing w:val="-2"/>
          <w:sz w:val="18"/>
        </w:rPr>
        <w:t>(citing</w:t>
      </w:r>
      <w:r>
        <w:rPr>
          <w:spacing w:val="-1"/>
          <w:sz w:val="18"/>
        </w:rPr>
        <w:t xml:space="preserve"> </w:t>
      </w:r>
      <w:r>
        <w:rPr>
          <w:spacing w:val="-2"/>
          <w:sz w:val="18"/>
        </w:rPr>
        <w:t>Appellate</w:t>
      </w:r>
      <w:r>
        <w:rPr>
          <w:sz w:val="18"/>
        </w:rPr>
        <w:t xml:space="preserve"> </w:t>
      </w:r>
      <w:r>
        <w:rPr>
          <w:spacing w:val="-2"/>
          <w:sz w:val="18"/>
        </w:rPr>
        <w:t>Body</w:t>
      </w:r>
      <w:r>
        <w:rPr>
          <w:spacing w:val="-1"/>
          <w:sz w:val="18"/>
        </w:rPr>
        <w:t xml:space="preserve"> </w:t>
      </w:r>
      <w:r>
        <w:rPr>
          <w:spacing w:val="-2"/>
          <w:sz w:val="18"/>
        </w:rPr>
        <w:t>Report,</w:t>
      </w:r>
      <w:r>
        <w:rPr>
          <w:sz w:val="18"/>
        </w:rPr>
        <w:t xml:space="preserve"> </w:t>
      </w:r>
      <w:r>
        <w:rPr>
          <w:i/>
          <w:spacing w:val="-2"/>
          <w:sz w:val="18"/>
        </w:rPr>
        <w:t>US</w:t>
      </w:r>
      <w:r>
        <w:rPr>
          <w:i/>
          <w:sz w:val="18"/>
        </w:rPr>
        <w:t xml:space="preserve"> </w:t>
      </w:r>
      <w:r>
        <w:rPr>
          <w:i/>
          <w:spacing w:val="-2"/>
          <w:sz w:val="18"/>
        </w:rPr>
        <w:t>–</w:t>
      </w:r>
      <w:r>
        <w:rPr>
          <w:i/>
          <w:spacing w:val="1"/>
          <w:sz w:val="18"/>
        </w:rPr>
        <w:t xml:space="preserve"> </w:t>
      </w:r>
      <w:r>
        <w:rPr>
          <w:i/>
          <w:spacing w:val="-2"/>
          <w:sz w:val="18"/>
        </w:rPr>
        <w:t>Gambling</w:t>
      </w:r>
      <w:r>
        <w:rPr>
          <w:spacing w:val="-2"/>
          <w:sz w:val="18"/>
        </w:rPr>
        <w:t>,</w:t>
      </w:r>
      <w:r>
        <w:rPr>
          <w:spacing w:val="-1"/>
          <w:sz w:val="18"/>
        </w:rPr>
        <w:t xml:space="preserve"> </w:t>
      </w:r>
      <w:r>
        <w:rPr>
          <w:spacing w:val="-2"/>
          <w:sz w:val="18"/>
        </w:rPr>
        <w:t>para.</w:t>
      </w:r>
      <w:r>
        <w:rPr>
          <w:sz w:val="18"/>
        </w:rPr>
        <w:t xml:space="preserve"> </w:t>
      </w:r>
      <w:r>
        <w:rPr>
          <w:spacing w:val="-2"/>
          <w:sz w:val="18"/>
        </w:rPr>
        <w:t>270);</w:t>
      </w:r>
      <w:r>
        <w:rPr>
          <w:sz w:val="18"/>
        </w:rPr>
        <w:t xml:space="preserve"> </w:t>
      </w:r>
      <w:r>
        <w:rPr>
          <w:i/>
          <w:spacing w:val="-2"/>
          <w:sz w:val="18"/>
        </w:rPr>
        <w:t>China</w:t>
      </w:r>
    </w:p>
    <w:p w14:paraId="51DE974B" w14:textId="77777777" w:rsidR="0010369C" w:rsidRDefault="008E43AE">
      <w:pPr>
        <w:pStyle w:val="ListParagraph"/>
        <w:numPr>
          <w:ilvl w:val="0"/>
          <w:numId w:val="41"/>
        </w:numPr>
        <w:tabs>
          <w:tab w:val="left" w:pos="370"/>
        </w:tabs>
        <w:spacing w:before="0"/>
        <w:ind w:hanging="132"/>
        <w:jc w:val="left"/>
        <w:rPr>
          <w:sz w:val="18"/>
        </w:rPr>
      </w:pPr>
      <w:r>
        <w:rPr>
          <w:i/>
          <w:sz w:val="18"/>
        </w:rPr>
        <w:t>HP‐SSST</w:t>
      </w:r>
      <w:r>
        <w:rPr>
          <w:i/>
          <w:spacing w:val="-7"/>
          <w:sz w:val="18"/>
        </w:rPr>
        <w:t xml:space="preserve"> </w:t>
      </w:r>
      <w:r>
        <w:rPr>
          <w:i/>
          <w:sz w:val="18"/>
        </w:rPr>
        <w:t>(Japan)</w:t>
      </w:r>
      <w:r>
        <w:rPr>
          <w:i/>
          <w:spacing w:val="-4"/>
          <w:sz w:val="18"/>
        </w:rPr>
        <w:t xml:space="preserve"> </w:t>
      </w:r>
      <w:r>
        <w:rPr>
          <w:i/>
          <w:sz w:val="18"/>
        </w:rPr>
        <w:t>/</w:t>
      </w:r>
      <w:r>
        <w:rPr>
          <w:i/>
          <w:spacing w:val="-4"/>
          <w:sz w:val="18"/>
        </w:rPr>
        <w:t xml:space="preserve"> </w:t>
      </w:r>
      <w:r>
        <w:rPr>
          <w:i/>
          <w:sz w:val="18"/>
        </w:rPr>
        <w:t>HP‐SSST</w:t>
      </w:r>
      <w:r>
        <w:rPr>
          <w:i/>
          <w:spacing w:val="-7"/>
          <w:sz w:val="18"/>
        </w:rPr>
        <w:t xml:space="preserve"> </w:t>
      </w:r>
      <w:r>
        <w:rPr>
          <w:i/>
          <w:sz w:val="18"/>
        </w:rPr>
        <w:t>(EU),</w:t>
      </w:r>
      <w:r>
        <w:rPr>
          <w:i/>
          <w:spacing w:val="-5"/>
          <w:sz w:val="18"/>
        </w:rPr>
        <w:t xml:space="preserve"> </w:t>
      </w:r>
      <w:r>
        <w:rPr>
          <w:sz w:val="18"/>
        </w:rPr>
        <w:t>para.</w:t>
      </w:r>
      <w:r>
        <w:rPr>
          <w:spacing w:val="-5"/>
          <w:sz w:val="18"/>
        </w:rPr>
        <w:t xml:space="preserve"> </w:t>
      </w:r>
      <w:r>
        <w:rPr>
          <w:spacing w:val="-2"/>
          <w:sz w:val="18"/>
        </w:rPr>
        <w:t>5.96.</w:t>
      </w:r>
    </w:p>
    <w:p w14:paraId="51DE974C" w14:textId="77777777" w:rsidR="0010369C" w:rsidRDefault="0010369C">
      <w:pPr>
        <w:rPr>
          <w:sz w:val="18"/>
        </w:rPr>
        <w:sectPr w:rsidR="0010369C">
          <w:pgSz w:w="11910" w:h="16840"/>
          <w:pgMar w:top="880" w:right="800" w:bottom="980" w:left="1180" w:header="569" w:footer="788" w:gutter="0"/>
          <w:cols w:space="720"/>
        </w:sectPr>
      </w:pPr>
    </w:p>
    <w:p w14:paraId="51DE974D" w14:textId="77777777" w:rsidR="0010369C" w:rsidRDefault="008E43AE">
      <w:pPr>
        <w:tabs>
          <w:tab w:val="left" w:pos="6426"/>
        </w:tabs>
        <w:ind w:left="238"/>
        <w:jc w:val="both"/>
        <w:rPr>
          <w:sz w:val="20"/>
        </w:rPr>
      </w:pPr>
      <w:r>
        <w:rPr>
          <w:i/>
          <w:sz w:val="20"/>
        </w:rPr>
        <w:lastRenderedPageBreak/>
        <w:t>China</w:t>
      </w:r>
      <w:r>
        <w:rPr>
          <w:i/>
          <w:spacing w:val="-5"/>
          <w:sz w:val="20"/>
        </w:rPr>
        <w:t xml:space="preserve"> </w:t>
      </w:r>
      <w:r>
        <w:rPr>
          <w:i/>
          <w:sz w:val="20"/>
        </w:rPr>
        <w:t>–</w:t>
      </w:r>
      <w:r>
        <w:rPr>
          <w:i/>
          <w:spacing w:val="-5"/>
          <w:sz w:val="20"/>
        </w:rPr>
        <w:t xml:space="preserve"> </w:t>
      </w:r>
      <w:r>
        <w:rPr>
          <w:i/>
          <w:sz w:val="20"/>
        </w:rPr>
        <w:t>Anti‐Dumping</w:t>
      </w:r>
      <w:r>
        <w:rPr>
          <w:i/>
          <w:spacing w:val="-4"/>
          <w:sz w:val="20"/>
        </w:rPr>
        <w:t xml:space="preserve"> </w:t>
      </w:r>
      <w:r>
        <w:rPr>
          <w:i/>
          <w:sz w:val="20"/>
        </w:rPr>
        <w:t>and</w:t>
      </w:r>
      <w:r>
        <w:rPr>
          <w:i/>
          <w:spacing w:val="-5"/>
          <w:sz w:val="20"/>
        </w:rPr>
        <w:t xml:space="preserve"> </w:t>
      </w:r>
      <w:r>
        <w:rPr>
          <w:i/>
          <w:sz w:val="20"/>
        </w:rPr>
        <w:t>Countervailing</w:t>
      </w:r>
      <w:r>
        <w:rPr>
          <w:i/>
          <w:spacing w:val="-5"/>
          <w:sz w:val="20"/>
        </w:rPr>
        <w:t xml:space="preserve"> </w:t>
      </w:r>
      <w:r>
        <w:rPr>
          <w:i/>
          <w:sz w:val="20"/>
        </w:rPr>
        <w:t>Duty</w:t>
      </w:r>
      <w:r>
        <w:rPr>
          <w:i/>
          <w:spacing w:val="-4"/>
          <w:sz w:val="20"/>
        </w:rPr>
        <w:t xml:space="preserve"> </w:t>
      </w:r>
      <w:r>
        <w:rPr>
          <w:i/>
          <w:spacing w:val="-2"/>
          <w:sz w:val="20"/>
        </w:rPr>
        <w:t>Measures</w:t>
      </w:r>
      <w:r>
        <w:rPr>
          <w:i/>
          <w:sz w:val="20"/>
        </w:rPr>
        <w:tab/>
      </w:r>
      <w:r>
        <w:rPr>
          <w:sz w:val="20"/>
        </w:rPr>
        <w:t>Australia's</w:t>
      </w:r>
      <w:r>
        <w:rPr>
          <w:spacing w:val="-7"/>
          <w:sz w:val="20"/>
        </w:rPr>
        <w:t xml:space="preserve"> </w:t>
      </w:r>
      <w:r>
        <w:rPr>
          <w:sz w:val="20"/>
        </w:rPr>
        <w:t>First</w:t>
      </w:r>
      <w:r>
        <w:rPr>
          <w:spacing w:val="-2"/>
          <w:sz w:val="20"/>
        </w:rPr>
        <w:t xml:space="preserve"> </w:t>
      </w:r>
      <w:r>
        <w:rPr>
          <w:sz w:val="20"/>
        </w:rPr>
        <w:t>Written</w:t>
      </w:r>
      <w:r>
        <w:rPr>
          <w:spacing w:val="-2"/>
          <w:sz w:val="20"/>
        </w:rPr>
        <w:t xml:space="preserve"> Submission</w:t>
      </w:r>
    </w:p>
    <w:p w14:paraId="51DE974E" w14:textId="77777777" w:rsidR="0010369C" w:rsidRDefault="008E43AE">
      <w:pPr>
        <w:tabs>
          <w:tab w:val="left" w:pos="8228"/>
        </w:tabs>
        <w:spacing w:before="1"/>
        <w:ind w:left="239"/>
        <w:jc w:val="both"/>
        <w:rPr>
          <w:sz w:val="20"/>
        </w:rPr>
      </w:pPr>
      <w:r>
        <w:rPr>
          <w:i/>
          <w:sz w:val="20"/>
        </w:rPr>
        <w:t>on</w:t>
      </w:r>
      <w:r>
        <w:rPr>
          <w:i/>
          <w:spacing w:val="-1"/>
          <w:sz w:val="20"/>
        </w:rPr>
        <w:t xml:space="preserve"> </w:t>
      </w:r>
      <w:r>
        <w:rPr>
          <w:i/>
          <w:sz w:val="20"/>
        </w:rPr>
        <w:t>Wine</w:t>
      </w:r>
      <w:r>
        <w:rPr>
          <w:i/>
          <w:spacing w:val="-1"/>
          <w:sz w:val="20"/>
        </w:rPr>
        <w:t xml:space="preserve"> </w:t>
      </w:r>
      <w:r>
        <w:rPr>
          <w:i/>
          <w:sz w:val="20"/>
        </w:rPr>
        <w:t>from</w:t>
      </w:r>
      <w:r>
        <w:rPr>
          <w:i/>
          <w:spacing w:val="-3"/>
          <w:sz w:val="20"/>
        </w:rPr>
        <w:t xml:space="preserve"> </w:t>
      </w:r>
      <w:r>
        <w:rPr>
          <w:i/>
          <w:sz w:val="20"/>
        </w:rPr>
        <w:t>Australia</w:t>
      </w:r>
      <w:r>
        <w:rPr>
          <w:i/>
          <w:spacing w:val="-1"/>
          <w:sz w:val="20"/>
        </w:rPr>
        <w:t xml:space="preserve"> </w:t>
      </w:r>
      <w:r>
        <w:rPr>
          <w:spacing w:val="-2"/>
          <w:sz w:val="20"/>
        </w:rPr>
        <w:t>(DS602)</w:t>
      </w:r>
      <w:r>
        <w:rPr>
          <w:sz w:val="20"/>
        </w:rPr>
        <w:tab/>
        <w:t>29</w:t>
      </w:r>
      <w:r>
        <w:rPr>
          <w:spacing w:val="-1"/>
          <w:sz w:val="20"/>
        </w:rPr>
        <w:t xml:space="preserve"> </w:t>
      </w:r>
      <w:r>
        <w:rPr>
          <w:sz w:val="20"/>
        </w:rPr>
        <w:t>April</w:t>
      </w:r>
      <w:r>
        <w:rPr>
          <w:spacing w:val="-2"/>
          <w:sz w:val="20"/>
        </w:rPr>
        <w:t xml:space="preserve"> </w:t>
      </w:r>
      <w:r>
        <w:rPr>
          <w:spacing w:val="-4"/>
          <w:sz w:val="20"/>
        </w:rPr>
        <w:t>2022</w:t>
      </w:r>
    </w:p>
    <w:p w14:paraId="51DE974F" w14:textId="77777777" w:rsidR="0010369C" w:rsidRDefault="008E43AE">
      <w:pPr>
        <w:pStyle w:val="BodyText"/>
        <w:spacing w:before="34" w:line="360" w:lineRule="auto"/>
        <w:ind w:left="236" w:right="613" w:firstLine="1"/>
        <w:jc w:val="both"/>
      </w:pPr>
      <w:r>
        <w:t>than a vague impression of the nature of the information, provide no details, and do not permit a reasonable understanding of the substance of the information. This leaves the interested parties without a meaningful opportunity to defend their interests in</w:t>
      </w:r>
      <w:r>
        <w:t xml:space="preserve"> relation to the information. Since no redacted versions of the documents were provided, these "summaries" represent the entirety of the information available to interested parties about these answers in the verification responses, upon which MOFCOM appear</w:t>
      </w:r>
      <w:r>
        <w:t>s to have placed significant</w:t>
      </w:r>
      <w:r>
        <w:rPr>
          <w:spacing w:val="-7"/>
        </w:rPr>
        <w:t xml:space="preserve"> </w:t>
      </w:r>
      <w:r>
        <w:t>weight</w:t>
      </w:r>
      <w:r>
        <w:rPr>
          <w:spacing w:val="-7"/>
        </w:rPr>
        <w:t xml:space="preserve"> </w:t>
      </w:r>
      <w:r>
        <w:t>in</w:t>
      </w:r>
      <w:r>
        <w:rPr>
          <w:spacing w:val="-7"/>
        </w:rPr>
        <w:t xml:space="preserve"> </w:t>
      </w:r>
      <w:r>
        <w:t>making</w:t>
      </w:r>
      <w:r>
        <w:rPr>
          <w:spacing w:val="-7"/>
        </w:rPr>
        <w:t xml:space="preserve"> </w:t>
      </w:r>
      <w:r>
        <w:t>its</w:t>
      </w:r>
      <w:r>
        <w:rPr>
          <w:spacing w:val="-7"/>
        </w:rPr>
        <w:t xml:space="preserve"> </w:t>
      </w:r>
      <w:r>
        <w:t>determinations.</w:t>
      </w:r>
      <w:r>
        <w:rPr>
          <w:spacing w:val="-6"/>
        </w:rPr>
        <w:t xml:space="preserve"> </w:t>
      </w:r>
      <w:r>
        <w:t>These</w:t>
      </w:r>
      <w:r>
        <w:rPr>
          <w:spacing w:val="-6"/>
        </w:rPr>
        <w:t xml:space="preserve"> </w:t>
      </w:r>
      <w:r>
        <w:t>"summaries"</w:t>
      </w:r>
      <w:r>
        <w:rPr>
          <w:spacing w:val="-8"/>
        </w:rPr>
        <w:t xml:space="preserve"> </w:t>
      </w:r>
      <w:r>
        <w:t>do</w:t>
      </w:r>
      <w:r>
        <w:rPr>
          <w:spacing w:val="-7"/>
        </w:rPr>
        <w:t xml:space="preserve"> </w:t>
      </w:r>
      <w:r>
        <w:t>not</w:t>
      </w:r>
      <w:r>
        <w:rPr>
          <w:spacing w:val="-7"/>
        </w:rPr>
        <w:t xml:space="preserve"> </w:t>
      </w:r>
      <w:r>
        <w:t>meet</w:t>
      </w:r>
      <w:r>
        <w:rPr>
          <w:spacing w:val="-7"/>
        </w:rPr>
        <w:t xml:space="preserve"> </w:t>
      </w:r>
      <w:r>
        <w:t>the</w:t>
      </w:r>
      <w:r>
        <w:rPr>
          <w:spacing w:val="-7"/>
        </w:rPr>
        <w:t xml:space="preserve"> </w:t>
      </w:r>
      <w:r>
        <w:t>standard required by Article 6.5.1.</w:t>
      </w:r>
    </w:p>
    <w:p w14:paraId="51DE9750" w14:textId="77777777" w:rsidR="0010369C" w:rsidRDefault="0010369C">
      <w:pPr>
        <w:pStyle w:val="BodyText"/>
        <w:spacing w:before="11"/>
        <w:rPr>
          <w:sz w:val="8"/>
        </w:rPr>
      </w:pPr>
    </w:p>
    <w:p w14:paraId="51DE9751" w14:textId="77777777" w:rsidR="0010369C" w:rsidRDefault="008E43AE">
      <w:pPr>
        <w:pStyle w:val="BodyText"/>
        <w:spacing w:before="52" w:line="360" w:lineRule="auto"/>
        <w:ind w:left="237" w:right="612" w:firstLine="851"/>
        <w:jc w:val="both"/>
      </w:pPr>
      <w:r>
        <w:rPr>
          <w:noProof/>
        </w:rPr>
        <w:drawing>
          <wp:anchor distT="0" distB="0" distL="0" distR="0" simplePos="0" relativeHeight="251470336" behindDoc="1" locked="0" layoutInCell="1" allowOverlap="1" wp14:anchorId="51DEA752" wp14:editId="51DEA753">
            <wp:simplePos x="0" y="0"/>
            <wp:positionH relativeFrom="page">
              <wp:posOffset>902208</wp:posOffset>
            </wp:positionH>
            <wp:positionV relativeFrom="paragraph">
              <wp:posOffset>81357</wp:posOffset>
            </wp:positionV>
            <wp:extent cx="262127" cy="103631"/>
            <wp:effectExtent l="0" t="0" r="0" b="0"/>
            <wp:wrapNone/>
            <wp:docPr id="1703" name="image8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 name="image879.png"/>
                    <pic:cNvPicPr/>
                  </pic:nvPicPr>
                  <pic:blipFill>
                    <a:blip r:embed="rId1144" cstate="print"/>
                    <a:stretch>
                      <a:fillRect/>
                    </a:stretch>
                  </pic:blipFill>
                  <pic:spPr>
                    <a:xfrm>
                      <a:off x="0" y="0"/>
                      <a:ext cx="262127" cy="103631"/>
                    </a:xfrm>
                    <a:prstGeom prst="rect">
                      <a:avLst/>
                    </a:prstGeom>
                  </pic:spPr>
                </pic:pic>
              </a:graphicData>
            </a:graphic>
          </wp:anchor>
        </w:drawing>
      </w:r>
      <w:r>
        <w:t>Each</w:t>
      </w:r>
      <w:r>
        <w:rPr>
          <w:spacing w:val="-5"/>
        </w:rPr>
        <w:t xml:space="preserve"> </w:t>
      </w:r>
      <w:r>
        <w:t>of</w:t>
      </w:r>
      <w:r>
        <w:rPr>
          <w:spacing w:val="-5"/>
        </w:rPr>
        <w:t xml:space="preserve"> </w:t>
      </w:r>
      <w:r>
        <w:t>the</w:t>
      </w:r>
      <w:r>
        <w:rPr>
          <w:spacing w:val="-5"/>
        </w:rPr>
        <w:t xml:space="preserve"> </w:t>
      </w:r>
      <w:r>
        <w:t>purportedly</w:t>
      </w:r>
      <w:r>
        <w:rPr>
          <w:spacing w:val="-4"/>
        </w:rPr>
        <w:t xml:space="preserve"> </w:t>
      </w:r>
      <w:r>
        <w:t>non‐confidential</w:t>
      </w:r>
      <w:r>
        <w:rPr>
          <w:spacing w:val="-6"/>
        </w:rPr>
        <w:t xml:space="preserve"> </w:t>
      </w:r>
      <w:r>
        <w:t>summaries</w:t>
      </w:r>
      <w:r>
        <w:rPr>
          <w:spacing w:val="-6"/>
        </w:rPr>
        <w:t xml:space="preserve"> </w:t>
      </w:r>
      <w:r>
        <w:t>CADA</w:t>
      </w:r>
      <w:r>
        <w:rPr>
          <w:spacing w:val="-4"/>
        </w:rPr>
        <w:t xml:space="preserve"> </w:t>
      </w:r>
      <w:r>
        <w:t>provided</w:t>
      </w:r>
      <w:r>
        <w:rPr>
          <w:spacing w:val="-5"/>
        </w:rPr>
        <w:t xml:space="preserve"> </w:t>
      </w:r>
      <w:r>
        <w:t>was</w:t>
      </w:r>
      <w:r>
        <w:rPr>
          <w:spacing w:val="-5"/>
        </w:rPr>
        <w:t xml:space="preserve"> </w:t>
      </w:r>
      <w:r>
        <w:t xml:space="preserve">inadequate for the same reasons as the summaries that were provided under very similar circumstances in </w:t>
      </w:r>
      <w:r>
        <w:rPr>
          <w:i/>
        </w:rPr>
        <w:t xml:space="preserve">China‐GOES, </w:t>
      </w:r>
      <w:r>
        <w:t>as discussed above. Thus, MOFCOM failed in its obligation</w:t>
      </w:r>
      <w:r>
        <w:rPr>
          <w:spacing w:val="-1"/>
        </w:rPr>
        <w:t xml:space="preserve"> </w:t>
      </w:r>
      <w:r>
        <w:t>under Article 6.5.1 to require the domestic producers to furnish adequate non‐conf</w:t>
      </w:r>
      <w:r>
        <w:t>idential summaries of the information treated as confidential in their questionnaire responses.</w:t>
      </w:r>
    </w:p>
    <w:p w14:paraId="51DE9752" w14:textId="77777777" w:rsidR="0010369C" w:rsidRDefault="008E43AE">
      <w:pPr>
        <w:pStyle w:val="Heading4"/>
        <w:tabs>
          <w:tab w:val="left" w:pos="2648"/>
        </w:tabs>
        <w:spacing w:before="160"/>
        <w:ind w:left="1798" w:firstLine="0"/>
      </w:pPr>
      <w:r>
        <w:rPr>
          <w:spacing w:val="-5"/>
        </w:rPr>
        <w:t>4.</w:t>
      </w:r>
      <w:r>
        <w:tab/>
      </w:r>
      <w:r>
        <w:rPr>
          <w:spacing w:val="-2"/>
        </w:rPr>
        <w:t>Conclusion</w:t>
      </w:r>
    </w:p>
    <w:p w14:paraId="51DE9753" w14:textId="77777777" w:rsidR="0010369C" w:rsidRDefault="0010369C">
      <w:pPr>
        <w:pStyle w:val="BodyText"/>
        <w:spacing w:before="10"/>
        <w:rPr>
          <w:b/>
          <w:sz w:val="20"/>
        </w:rPr>
      </w:pPr>
    </w:p>
    <w:p w14:paraId="51DE9754" w14:textId="77777777" w:rsidR="0010369C" w:rsidRDefault="008E43AE">
      <w:pPr>
        <w:pStyle w:val="BodyText"/>
        <w:spacing w:before="52"/>
        <w:ind w:left="1089"/>
      </w:pPr>
      <w:r>
        <w:rPr>
          <w:noProof/>
        </w:rPr>
        <w:drawing>
          <wp:anchor distT="0" distB="0" distL="0" distR="0" simplePos="0" relativeHeight="250690048" behindDoc="0" locked="0" layoutInCell="1" allowOverlap="1" wp14:anchorId="51DEA754" wp14:editId="51DEA755">
            <wp:simplePos x="0" y="0"/>
            <wp:positionH relativeFrom="page">
              <wp:posOffset>902208</wp:posOffset>
            </wp:positionH>
            <wp:positionV relativeFrom="paragraph">
              <wp:posOffset>81357</wp:posOffset>
            </wp:positionV>
            <wp:extent cx="262127" cy="103631"/>
            <wp:effectExtent l="0" t="0" r="0" b="0"/>
            <wp:wrapNone/>
            <wp:docPr id="1705" name="image8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 name="image880.png"/>
                    <pic:cNvPicPr/>
                  </pic:nvPicPr>
                  <pic:blipFill>
                    <a:blip r:embed="rId1145" cstate="print"/>
                    <a:stretch>
                      <a:fillRect/>
                    </a:stretch>
                  </pic:blipFill>
                  <pic:spPr>
                    <a:xfrm>
                      <a:off x="0" y="0"/>
                      <a:ext cx="262127" cy="103631"/>
                    </a:xfrm>
                    <a:prstGeom prst="rect">
                      <a:avLst/>
                    </a:prstGeom>
                  </pic:spPr>
                </pic:pic>
              </a:graphicData>
            </a:graphic>
          </wp:anchor>
        </w:drawing>
      </w:r>
      <w:r>
        <w:t>For</w:t>
      </w:r>
      <w:r>
        <w:rPr>
          <w:spacing w:val="9"/>
        </w:rPr>
        <w:t xml:space="preserve"> </w:t>
      </w:r>
      <w:r>
        <w:t>the</w:t>
      </w:r>
      <w:r>
        <w:rPr>
          <w:spacing w:val="9"/>
        </w:rPr>
        <w:t xml:space="preserve"> </w:t>
      </w:r>
      <w:r>
        <w:t>reasons</w:t>
      </w:r>
      <w:r>
        <w:rPr>
          <w:spacing w:val="8"/>
        </w:rPr>
        <w:t xml:space="preserve"> </w:t>
      </w:r>
      <w:r>
        <w:t>set</w:t>
      </w:r>
      <w:r>
        <w:rPr>
          <w:spacing w:val="8"/>
        </w:rPr>
        <w:t xml:space="preserve"> </w:t>
      </w:r>
      <w:r>
        <w:t>out</w:t>
      </w:r>
      <w:r>
        <w:rPr>
          <w:spacing w:val="9"/>
        </w:rPr>
        <w:t xml:space="preserve"> </w:t>
      </w:r>
      <w:r>
        <w:t>above,</w:t>
      </w:r>
      <w:r>
        <w:rPr>
          <w:spacing w:val="9"/>
        </w:rPr>
        <w:t xml:space="preserve"> </w:t>
      </w:r>
      <w:r>
        <w:t>MOFCOM</w:t>
      </w:r>
      <w:r>
        <w:rPr>
          <w:spacing w:val="8"/>
        </w:rPr>
        <w:t xml:space="preserve"> </w:t>
      </w:r>
      <w:r>
        <w:t>acted</w:t>
      </w:r>
      <w:r>
        <w:rPr>
          <w:spacing w:val="9"/>
        </w:rPr>
        <w:t xml:space="preserve"> </w:t>
      </w:r>
      <w:r>
        <w:t>inconsistently</w:t>
      </w:r>
      <w:r>
        <w:rPr>
          <w:spacing w:val="10"/>
        </w:rPr>
        <w:t xml:space="preserve"> </w:t>
      </w:r>
      <w:r>
        <w:t>with</w:t>
      </w:r>
      <w:r>
        <w:rPr>
          <w:spacing w:val="8"/>
        </w:rPr>
        <w:t xml:space="preserve"> </w:t>
      </w:r>
      <w:r>
        <w:t>Articles</w:t>
      </w:r>
      <w:r>
        <w:rPr>
          <w:spacing w:val="7"/>
        </w:rPr>
        <w:t xml:space="preserve"> </w:t>
      </w:r>
      <w:r>
        <w:t>6.5</w:t>
      </w:r>
      <w:r>
        <w:rPr>
          <w:spacing w:val="7"/>
        </w:rPr>
        <w:t xml:space="preserve"> </w:t>
      </w:r>
      <w:r>
        <w:rPr>
          <w:spacing w:val="-5"/>
        </w:rPr>
        <w:t>and</w:t>
      </w:r>
    </w:p>
    <w:p w14:paraId="51DE9755" w14:textId="77777777" w:rsidR="0010369C" w:rsidRDefault="008E43AE">
      <w:pPr>
        <w:pStyle w:val="BodyText"/>
        <w:spacing w:before="147"/>
        <w:ind w:left="238"/>
      </w:pPr>
      <w:r>
        <w:t>6.5.1</w:t>
      </w:r>
      <w:r>
        <w:rPr>
          <w:spacing w:val="-8"/>
        </w:rPr>
        <w:t xml:space="preserve"> </w:t>
      </w:r>
      <w:r>
        <w:t>of</w:t>
      </w:r>
      <w:r>
        <w:rPr>
          <w:spacing w:val="-7"/>
        </w:rPr>
        <w:t xml:space="preserve"> </w:t>
      </w:r>
      <w:r>
        <w:t>the</w:t>
      </w:r>
      <w:r>
        <w:rPr>
          <w:spacing w:val="-7"/>
        </w:rPr>
        <w:t xml:space="preserve"> </w:t>
      </w:r>
      <w:r>
        <w:t>Anti‐Dumping</w:t>
      </w:r>
      <w:r>
        <w:rPr>
          <w:spacing w:val="-6"/>
        </w:rPr>
        <w:t xml:space="preserve"> </w:t>
      </w:r>
      <w:r>
        <w:rPr>
          <w:spacing w:val="-2"/>
        </w:rPr>
        <w:t>Agreement.</w:t>
      </w:r>
    </w:p>
    <w:p w14:paraId="51DE9756" w14:textId="77777777" w:rsidR="0010369C" w:rsidRDefault="0010369C">
      <w:pPr>
        <w:pStyle w:val="BodyText"/>
        <w:rPr>
          <w:sz w:val="25"/>
        </w:rPr>
      </w:pPr>
    </w:p>
    <w:p w14:paraId="51DE9757" w14:textId="77777777" w:rsidR="0010369C" w:rsidRDefault="008E43AE">
      <w:pPr>
        <w:pStyle w:val="ListParagraph"/>
        <w:numPr>
          <w:ilvl w:val="1"/>
          <w:numId w:val="75"/>
        </w:numPr>
        <w:tabs>
          <w:tab w:val="left" w:pos="1940"/>
        </w:tabs>
        <w:spacing w:before="0" w:line="360" w:lineRule="auto"/>
        <w:ind w:left="1939" w:right="614"/>
        <w:jc w:val="both"/>
        <w:rPr>
          <w:b/>
          <w:sz w:val="28"/>
        </w:rPr>
      </w:pPr>
      <w:r>
        <w:rPr>
          <w:b/>
          <w:sz w:val="28"/>
        </w:rPr>
        <w:t>MOFCOM'</w:t>
      </w:r>
      <w:r>
        <w:rPr>
          <w:b/>
        </w:rPr>
        <w:t>S</w:t>
      </w:r>
      <w:r>
        <w:rPr>
          <w:b/>
          <w:spacing w:val="-7"/>
        </w:rPr>
        <w:t xml:space="preserve"> </w:t>
      </w:r>
      <w:r>
        <w:rPr>
          <w:b/>
        </w:rPr>
        <w:t>FAILURE</w:t>
      </w:r>
      <w:r>
        <w:rPr>
          <w:b/>
          <w:spacing w:val="-7"/>
        </w:rPr>
        <w:t xml:space="preserve"> </w:t>
      </w:r>
      <w:r>
        <w:rPr>
          <w:b/>
        </w:rPr>
        <w:t>TO</w:t>
      </w:r>
      <w:r>
        <w:rPr>
          <w:b/>
          <w:spacing w:val="-7"/>
        </w:rPr>
        <w:t xml:space="preserve"> </w:t>
      </w:r>
      <w:r>
        <w:rPr>
          <w:b/>
        </w:rPr>
        <w:t>CONSTRUCT</w:t>
      </w:r>
      <w:r>
        <w:rPr>
          <w:b/>
          <w:spacing w:val="-7"/>
        </w:rPr>
        <w:t xml:space="preserve"> </w:t>
      </w:r>
      <w:r>
        <w:rPr>
          <w:b/>
        </w:rPr>
        <w:t>A</w:t>
      </w:r>
      <w:r>
        <w:rPr>
          <w:b/>
          <w:spacing w:val="-7"/>
        </w:rPr>
        <w:t xml:space="preserve"> </w:t>
      </w:r>
      <w:r>
        <w:rPr>
          <w:b/>
        </w:rPr>
        <w:t>SAMPLE</w:t>
      </w:r>
      <w:r>
        <w:rPr>
          <w:b/>
          <w:spacing w:val="-6"/>
        </w:rPr>
        <w:t xml:space="preserve"> </w:t>
      </w:r>
      <w:r>
        <w:rPr>
          <w:b/>
        </w:rPr>
        <w:t>USING</w:t>
      </w:r>
      <w:r>
        <w:rPr>
          <w:b/>
          <w:spacing w:val="-7"/>
        </w:rPr>
        <w:t xml:space="preserve"> </w:t>
      </w:r>
      <w:r>
        <w:rPr>
          <w:b/>
        </w:rPr>
        <w:t>A</w:t>
      </w:r>
      <w:r>
        <w:rPr>
          <w:b/>
          <w:spacing w:val="-7"/>
        </w:rPr>
        <w:t xml:space="preserve"> </w:t>
      </w:r>
      <w:r>
        <w:rPr>
          <w:b/>
        </w:rPr>
        <w:t>PERMITTED</w:t>
      </w:r>
      <w:r>
        <w:rPr>
          <w:b/>
          <w:spacing w:val="-8"/>
        </w:rPr>
        <w:t xml:space="preserve"> </w:t>
      </w:r>
      <w:r>
        <w:rPr>
          <w:b/>
        </w:rPr>
        <w:t xml:space="preserve">METHOD BREACHED </w:t>
      </w:r>
      <w:r>
        <w:rPr>
          <w:b/>
          <w:sz w:val="28"/>
        </w:rPr>
        <w:t>C</w:t>
      </w:r>
      <w:r>
        <w:rPr>
          <w:b/>
        </w:rPr>
        <w:t>HINA</w:t>
      </w:r>
      <w:r>
        <w:rPr>
          <w:b/>
          <w:sz w:val="28"/>
        </w:rPr>
        <w:t>'</w:t>
      </w:r>
      <w:r>
        <w:rPr>
          <w:b/>
        </w:rPr>
        <w:t xml:space="preserve">S OBLIGATIONS UNDER </w:t>
      </w:r>
      <w:r>
        <w:rPr>
          <w:b/>
          <w:sz w:val="28"/>
        </w:rPr>
        <w:t>A</w:t>
      </w:r>
      <w:r>
        <w:rPr>
          <w:b/>
        </w:rPr>
        <w:t xml:space="preserve">RTICLE </w:t>
      </w:r>
      <w:r>
        <w:rPr>
          <w:b/>
          <w:sz w:val="28"/>
        </w:rPr>
        <w:t xml:space="preserve">6.10 </w:t>
      </w:r>
      <w:r>
        <w:rPr>
          <w:b/>
        </w:rPr>
        <w:t xml:space="preserve">OF THE </w:t>
      </w:r>
      <w:r>
        <w:rPr>
          <w:b/>
          <w:sz w:val="28"/>
        </w:rPr>
        <w:t>A</w:t>
      </w:r>
      <w:r>
        <w:rPr>
          <w:b/>
        </w:rPr>
        <w:t>NTI</w:t>
      </w:r>
      <w:r>
        <w:rPr>
          <w:b/>
          <w:sz w:val="28"/>
        </w:rPr>
        <w:t>‐ D</w:t>
      </w:r>
      <w:r>
        <w:rPr>
          <w:b/>
        </w:rPr>
        <w:t xml:space="preserve">UMPING </w:t>
      </w:r>
      <w:r>
        <w:rPr>
          <w:b/>
          <w:sz w:val="28"/>
        </w:rPr>
        <w:t>A</w:t>
      </w:r>
      <w:r>
        <w:rPr>
          <w:b/>
        </w:rPr>
        <w:t>GREEMENT</w:t>
      </w:r>
    </w:p>
    <w:p w14:paraId="51DE9758" w14:textId="77777777" w:rsidR="0010369C" w:rsidRDefault="0010369C">
      <w:pPr>
        <w:pStyle w:val="BodyText"/>
        <w:spacing w:before="11"/>
        <w:rPr>
          <w:b/>
          <w:sz w:val="8"/>
        </w:rPr>
      </w:pPr>
    </w:p>
    <w:p w14:paraId="51DE9759" w14:textId="77777777" w:rsidR="0010369C" w:rsidRDefault="008E43AE">
      <w:pPr>
        <w:pStyle w:val="BodyText"/>
        <w:spacing w:before="51" w:line="360" w:lineRule="auto"/>
        <w:ind w:left="238" w:right="614" w:firstLine="851"/>
        <w:jc w:val="both"/>
      </w:pPr>
      <w:r>
        <w:rPr>
          <w:noProof/>
        </w:rPr>
        <w:drawing>
          <wp:anchor distT="0" distB="0" distL="0" distR="0" simplePos="0" relativeHeight="251471360" behindDoc="1" locked="0" layoutInCell="1" allowOverlap="1" wp14:anchorId="51DEA756" wp14:editId="51DEA757">
            <wp:simplePos x="0" y="0"/>
            <wp:positionH relativeFrom="page">
              <wp:posOffset>902208</wp:posOffset>
            </wp:positionH>
            <wp:positionV relativeFrom="paragraph">
              <wp:posOffset>80722</wp:posOffset>
            </wp:positionV>
            <wp:extent cx="262127" cy="103631"/>
            <wp:effectExtent l="0" t="0" r="0" b="0"/>
            <wp:wrapNone/>
            <wp:docPr id="1707" name="image8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 name="image881.png"/>
                    <pic:cNvPicPr/>
                  </pic:nvPicPr>
                  <pic:blipFill>
                    <a:blip r:embed="rId1146" cstate="print"/>
                    <a:stretch>
                      <a:fillRect/>
                    </a:stretch>
                  </pic:blipFill>
                  <pic:spPr>
                    <a:xfrm>
                      <a:off x="0" y="0"/>
                      <a:ext cx="262127" cy="103631"/>
                    </a:xfrm>
                    <a:prstGeom prst="rect">
                      <a:avLst/>
                    </a:prstGeom>
                  </pic:spPr>
                </pic:pic>
              </a:graphicData>
            </a:graphic>
          </wp:anchor>
        </w:drawing>
      </w:r>
      <w:r>
        <w:t>China</w:t>
      </w:r>
      <w:r>
        <w:rPr>
          <w:spacing w:val="-7"/>
        </w:rPr>
        <w:t xml:space="preserve"> </w:t>
      </w:r>
      <w:r>
        <w:t>acted</w:t>
      </w:r>
      <w:r>
        <w:rPr>
          <w:spacing w:val="-9"/>
        </w:rPr>
        <w:t xml:space="preserve"> </w:t>
      </w:r>
      <w:r>
        <w:t>inconsistently</w:t>
      </w:r>
      <w:r>
        <w:rPr>
          <w:spacing w:val="-5"/>
        </w:rPr>
        <w:t xml:space="preserve"> </w:t>
      </w:r>
      <w:r>
        <w:t>with</w:t>
      </w:r>
      <w:r>
        <w:rPr>
          <w:spacing w:val="-7"/>
        </w:rPr>
        <w:t xml:space="preserve"> </w:t>
      </w:r>
      <w:r>
        <w:t>Article</w:t>
      </w:r>
      <w:r>
        <w:rPr>
          <w:spacing w:val="-7"/>
        </w:rPr>
        <w:t xml:space="preserve"> </w:t>
      </w:r>
      <w:r>
        <w:t>6.10</w:t>
      </w:r>
      <w:r>
        <w:rPr>
          <w:spacing w:val="-8"/>
        </w:rPr>
        <w:t xml:space="preserve"> </w:t>
      </w:r>
      <w:r>
        <w:t>of</w:t>
      </w:r>
      <w:r>
        <w:rPr>
          <w:spacing w:val="-7"/>
        </w:rPr>
        <w:t xml:space="preserve"> </w:t>
      </w:r>
      <w:r>
        <w:t>the</w:t>
      </w:r>
      <w:r>
        <w:rPr>
          <w:spacing w:val="-7"/>
        </w:rPr>
        <w:t xml:space="preserve"> </w:t>
      </w:r>
      <w:r>
        <w:t>Anti‐Dumping</w:t>
      </w:r>
      <w:r>
        <w:rPr>
          <w:spacing w:val="-7"/>
        </w:rPr>
        <w:t xml:space="preserve"> </w:t>
      </w:r>
      <w:r>
        <w:t>Agreement</w:t>
      </w:r>
      <w:r>
        <w:rPr>
          <w:spacing w:val="-8"/>
        </w:rPr>
        <w:t xml:space="preserve"> </w:t>
      </w:r>
      <w:r>
        <w:t>because the sample of the top three exporters MOFCOM chose for the investigation was not the "largest percentage of the volume of the exports from [Australia] which could reasonably be investigated"</w:t>
      </w:r>
      <w:r>
        <w:rPr>
          <w:spacing w:val="-7"/>
        </w:rPr>
        <w:t xml:space="preserve"> </w:t>
      </w:r>
      <w:r>
        <w:t>and</w:t>
      </w:r>
      <w:r>
        <w:rPr>
          <w:spacing w:val="-8"/>
        </w:rPr>
        <w:t xml:space="preserve"> </w:t>
      </w:r>
      <w:r>
        <w:t>because</w:t>
      </w:r>
      <w:r>
        <w:rPr>
          <w:spacing w:val="-7"/>
        </w:rPr>
        <w:t xml:space="preserve"> </w:t>
      </w:r>
      <w:r>
        <w:t>it</w:t>
      </w:r>
      <w:r>
        <w:rPr>
          <w:spacing w:val="-8"/>
        </w:rPr>
        <w:t xml:space="preserve"> </w:t>
      </w:r>
      <w:r>
        <w:t>was</w:t>
      </w:r>
      <w:r>
        <w:rPr>
          <w:spacing w:val="-8"/>
        </w:rPr>
        <w:t xml:space="preserve"> </w:t>
      </w:r>
      <w:r>
        <w:t>not</w:t>
      </w:r>
      <w:r>
        <w:rPr>
          <w:spacing w:val="-6"/>
        </w:rPr>
        <w:t xml:space="preserve"> </w:t>
      </w:r>
      <w:r>
        <w:t>verified</w:t>
      </w:r>
      <w:r>
        <w:rPr>
          <w:spacing w:val="-9"/>
        </w:rPr>
        <w:t xml:space="preserve"> </w:t>
      </w:r>
      <w:r>
        <w:t>that</w:t>
      </w:r>
      <w:r>
        <w:rPr>
          <w:spacing w:val="-8"/>
        </w:rPr>
        <w:t xml:space="preserve"> </w:t>
      </w:r>
      <w:r>
        <w:t>the</w:t>
      </w:r>
      <w:r>
        <w:rPr>
          <w:spacing w:val="-7"/>
        </w:rPr>
        <w:t xml:space="preserve"> </w:t>
      </w:r>
      <w:r>
        <w:t>exporters</w:t>
      </w:r>
      <w:r>
        <w:rPr>
          <w:spacing w:val="-9"/>
        </w:rPr>
        <w:t xml:space="preserve"> </w:t>
      </w:r>
      <w:r>
        <w:t>in</w:t>
      </w:r>
      <w:r>
        <w:rPr>
          <w:spacing w:val="-8"/>
        </w:rPr>
        <w:t xml:space="preserve"> </w:t>
      </w:r>
      <w:r>
        <w:t>the</w:t>
      </w:r>
      <w:r>
        <w:rPr>
          <w:spacing w:val="-7"/>
        </w:rPr>
        <w:t xml:space="preserve"> </w:t>
      </w:r>
      <w:r>
        <w:t>sample</w:t>
      </w:r>
      <w:r>
        <w:rPr>
          <w:spacing w:val="-7"/>
        </w:rPr>
        <w:t xml:space="preserve"> </w:t>
      </w:r>
      <w:r>
        <w:t>were</w:t>
      </w:r>
      <w:r>
        <w:rPr>
          <w:spacing w:val="-7"/>
        </w:rPr>
        <w:t xml:space="preserve"> </w:t>
      </w:r>
      <w:r>
        <w:t>in</w:t>
      </w:r>
      <w:r>
        <w:rPr>
          <w:spacing w:val="-8"/>
        </w:rPr>
        <w:t xml:space="preserve"> </w:t>
      </w:r>
      <w:r>
        <w:t>fact</w:t>
      </w:r>
      <w:r>
        <w:rPr>
          <w:spacing w:val="-8"/>
        </w:rPr>
        <w:t xml:space="preserve"> </w:t>
      </w:r>
      <w:r>
        <w:t>the top three exporters.</w:t>
      </w:r>
    </w:p>
    <w:p w14:paraId="51DE975A" w14:textId="77777777" w:rsidR="0010369C" w:rsidRDefault="008E43AE">
      <w:pPr>
        <w:pStyle w:val="Heading4"/>
        <w:numPr>
          <w:ilvl w:val="2"/>
          <w:numId w:val="75"/>
        </w:numPr>
        <w:tabs>
          <w:tab w:val="left" w:pos="2649"/>
          <w:tab w:val="left" w:pos="2650"/>
        </w:tabs>
        <w:spacing w:before="162"/>
        <w:ind w:left="2649" w:hanging="852"/>
        <w:jc w:val="both"/>
      </w:pPr>
      <w:r>
        <w:t>Legal</w:t>
      </w:r>
      <w:r>
        <w:rPr>
          <w:spacing w:val="-7"/>
        </w:rPr>
        <w:t xml:space="preserve"> </w:t>
      </w:r>
      <w:r>
        <w:rPr>
          <w:spacing w:val="-2"/>
        </w:rPr>
        <w:t>framework</w:t>
      </w:r>
    </w:p>
    <w:p w14:paraId="51DE975B" w14:textId="77777777" w:rsidR="0010369C" w:rsidRDefault="0010369C">
      <w:pPr>
        <w:pStyle w:val="BodyText"/>
        <w:spacing w:before="10"/>
        <w:rPr>
          <w:b/>
          <w:sz w:val="20"/>
        </w:rPr>
      </w:pPr>
    </w:p>
    <w:p w14:paraId="51DE975C" w14:textId="77777777" w:rsidR="0010369C" w:rsidRDefault="008E43AE">
      <w:pPr>
        <w:pStyle w:val="BodyText"/>
        <w:spacing w:before="52"/>
        <w:ind w:left="1089"/>
        <w:jc w:val="both"/>
      </w:pPr>
      <w:r>
        <w:rPr>
          <w:noProof/>
        </w:rPr>
        <w:drawing>
          <wp:anchor distT="0" distB="0" distL="0" distR="0" simplePos="0" relativeHeight="250691072" behindDoc="0" locked="0" layoutInCell="1" allowOverlap="1" wp14:anchorId="51DEA758" wp14:editId="51DEA759">
            <wp:simplePos x="0" y="0"/>
            <wp:positionH relativeFrom="page">
              <wp:posOffset>902208</wp:posOffset>
            </wp:positionH>
            <wp:positionV relativeFrom="paragraph">
              <wp:posOffset>80596</wp:posOffset>
            </wp:positionV>
            <wp:extent cx="262127" cy="103632"/>
            <wp:effectExtent l="0" t="0" r="0" b="0"/>
            <wp:wrapNone/>
            <wp:docPr id="1709" name="image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 name="image882.png"/>
                    <pic:cNvPicPr/>
                  </pic:nvPicPr>
                  <pic:blipFill>
                    <a:blip r:embed="rId1147" cstate="print"/>
                    <a:stretch>
                      <a:fillRect/>
                    </a:stretch>
                  </pic:blipFill>
                  <pic:spPr>
                    <a:xfrm>
                      <a:off x="0" y="0"/>
                      <a:ext cx="262127" cy="103632"/>
                    </a:xfrm>
                    <a:prstGeom prst="rect">
                      <a:avLst/>
                    </a:prstGeom>
                  </pic:spPr>
                </pic:pic>
              </a:graphicData>
            </a:graphic>
          </wp:anchor>
        </w:drawing>
      </w:r>
      <w:r>
        <w:t>Article</w:t>
      </w:r>
      <w:r>
        <w:rPr>
          <w:spacing w:val="-10"/>
        </w:rPr>
        <w:t xml:space="preserve"> </w:t>
      </w:r>
      <w:r>
        <w:t>6.10</w:t>
      </w:r>
      <w:r>
        <w:rPr>
          <w:spacing w:val="-9"/>
        </w:rPr>
        <w:t xml:space="preserve"> </w:t>
      </w:r>
      <w:r>
        <w:t>of</w:t>
      </w:r>
      <w:r>
        <w:rPr>
          <w:spacing w:val="-9"/>
        </w:rPr>
        <w:t xml:space="preserve"> </w:t>
      </w:r>
      <w:r>
        <w:t>the</w:t>
      </w:r>
      <w:r>
        <w:rPr>
          <w:spacing w:val="-8"/>
        </w:rPr>
        <w:t xml:space="preserve"> </w:t>
      </w:r>
      <w:r>
        <w:t>Anti‐Dumping</w:t>
      </w:r>
      <w:r>
        <w:rPr>
          <w:spacing w:val="-9"/>
        </w:rPr>
        <w:t xml:space="preserve"> </w:t>
      </w:r>
      <w:r>
        <w:t>Agreement</w:t>
      </w:r>
      <w:r>
        <w:rPr>
          <w:spacing w:val="-9"/>
        </w:rPr>
        <w:t xml:space="preserve"> </w:t>
      </w:r>
      <w:r>
        <w:t>provides,</w:t>
      </w:r>
      <w:r>
        <w:rPr>
          <w:spacing w:val="-8"/>
        </w:rPr>
        <w:t xml:space="preserve"> </w:t>
      </w:r>
      <w:r>
        <w:t>in</w:t>
      </w:r>
      <w:r>
        <w:rPr>
          <w:spacing w:val="-10"/>
        </w:rPr>
        <w:t xml:space="preserve"> </w:t>
      </w:r>
      <w:r>
        <w:t>relevant</w:t>
      </w:r>
      <w:r>
        <w:rPr>
          <w:spacing w:val="-9"/>
        </w:rPr>
        <w:t xml:space="preserve"> </w:t>
      </w:r>
      <w:r>
        <w:rPr>
          <w:spacing w:val="-2"/>
        </w:rPr>
        <w:t>part:</w:t>
      </w:r>
    </w:p>
    <w:p w14:paraId="51DE975D" w14:textId="77777777" w:rsidR="0010369C" w:rsidRDefault="0010369C">
      <w:pPr>
        <w:pStyle w:val="BodyText"/>
        <w:spacing w:before="1"/>
        <w:rPr>
          <w:sz w:val="25"/>
        </w:rPr>
      </w:pPr>
    </w:p>
    <w:p w14:paraId="51DE975E" w14:textId="77777777" w:rsidR="0010369C" w:rsidRDefault="008E43AE">
      <w:pPr>
        <w:spacing w:before="1" w:line="276" w:lineRule="auto"/>
        <w:ind w:left="1088" w:right="614"/>
        <w:jc w:val="both"/>
      </w:pPr>
      <w:r>
        <w:t>In</w:t>
      </w:r>
      <w:r>
        <w:rPr>
          <w:spacing w:val="-3"/>
        </w:rPr>
        <w:t xml:space="preserve"> </w:t>
      </w:r>
      <w:r>
        <w:t>cases</w:t>
      </w:r>
      <w:r>
        <w:rPr>
          <w:spacing w:val="-3"/>
        </w:rPr>
        <w:t xml:space="preserve"> </w:t>
      </w:r>
      <w:r>
        <w:t>where</w:t>
      </w:r>
      <w:r>
        <w:rPr>
          <w:spacing w:val="-3"/>
        </w:rPr>
        <w:t xml:space="preserve"> </w:t>
      </w:r>
      <w:r>
        <w:t>the</w:t>
      </w:r>
      <w:r>
        <w:rPr>
          <w:spacing w:val="-3"/>
        </w:rPr>
        <w:t xml:space="preserve"> </w:t>
      </w:r>
      <w:r>
        <w:t>number</w:t>
      </w:r>
      <w:r>
        <w:rPr>
          <w:spacing w:val="-2"/>
        </w:rPr>
        <w:t xml:space="preserve"> </w:t>
      </w:r>
      <w:r>
        <w:t>of</w:t>
      </w:r>
      <w:r>
        <w:rPr>
          <w:spacing w:val="-3"/>
        </w:rPr>
        <w:t xml:space="preserve"> </w:t>
      </w:r>
      <w:r>
        <w:t>exporters,</w:t>
      </w:r>
      <w:r>
        <w:rPr>
          <w:spacing w:val="-4"/>
        </w:rPr>
        <w:t xml:space="preserve"> </w:t>
      </w:r>
      <w:r>
        <w:t>producers,</w:t>
      </w:r>
      <w:r>
        <w:rPr>
          <w:spacing w:val="-2"/>
        </w:rPr>
        <w:t xml:space="preserve"> </w:t>
      </w:r>
      <w:r>
        <w:t>importers</w:t>
      </w:r>
      <w:r>
        <w:rPr>
          <w:spacing w:val="-2"/>
        </w:rPr>
        <w:t xml:space="preserve"> </w:t>
      </w:r>
      <w:r>
        <w:t>or</w:t>
      </w:r>
      <w:r>
        <w:rPr>
          <w:spacing w:val="-3"/>
        </w:rPr>
        <w:t xml:space="preserve"> </w:t>
      </w:r>
      <w:r>
        <w:t>types</w:t>
      </w:r>
      <w:r>
        <w:rPr>
          <w:spacing w:val="-2"/>
        </w:rPr>
        <w:t xml:space="preserve"> </w:t>
      </w:r>
      <w:r>
        <w:t>of</w:t>
      </w:r>
      <w:r>
        <w:rPr>
          <w:spacing w:val="-3"/>
        </w:rPr>
        <w:t xml:space="preserve"> </w:t>
      </w:r>
      <w:r>
        <w:t>products</w:t>
      </w:r>
      <w:r>
        <w:rPr>
          <w:spacing w:val="-2"/>
        </w:rPr>
        <w:t xml:space="preserve"> </w:t>
      </w:r>
      <w:r>
        <w:t>involved is so large as to make suc</w:t>
      </w:r>
      <w:r>
        <w:t>h a determination impracticable, the authorities may limit their examination</w:t>
      </w:r>
      <w:r>
        <w:rPr>
          <w:spacing w:val="40"/>
        </w:rPr>
        <w:t xml:space="preserve"> </w:t>
      </w:r>
      <w:r>
        <w:t>either</w:t>
      </w:r>
      <w:r>
        <w:rPr>
          <w:spacing w:val="43"/>
        </w:rPr>
        <w:t xml:space="preserve"> </w:t>
      </w:r>
      <w:r>
        <w:t>to</w:t>
      </w:r>
      <w:r>
        <w:rPr>
          <w:spacing w:val="42"/>
        </w:rPr>
        <w:t xml:space="preserve"> </w:t>
      </w:r>
      <w:r>
        <w:t>a</w:t>
      </w:r>
      <w:r>
        <w:rPr>
          <w:spacing w:val="42"/>
        </w:rPr>
        <w:t xml:space="preserve"> </w:t>
      </w:r>
      <w:r>
        <w:t>reasonable</w:t>
      </w:r>
      <w:r>
        <w:rPr>
          <w:spacing w:val="40"/>
        </w:rPr>
        <w:t xml:space="preserve"> </w:t>
      </w:r>
      <w:r>
        <w:t>number</w:t>
      </w:r>
      <w:r>
        <w:rPr>
          <w:spacing w:val="42"/>
        </w:rPr>
        <w:t xml:space="preserve"> </w:t>
      </w:r>
      <w:r>
        <w:t>of</w:t>
      </w:r>
      <w:r>
        <w:rPr>
          <w:spacing w:val="42"/>
        </w:rPr>
        <w:t xml:space="preserve"> </w:t>
      </w:r>
      <w:r>
        <w:t>interested</w:t>
      </w:r>
      <w:r>
        <w:rPr>
          <w:spacing w:val="43"/>
        </w:rPr>
        <w:t xml:space="preserve"> </w:t>
      </w:r>
      <w:r>
        <w:t>parties</w:t>
      </w:r>
      <w:r>
        <w:rPr>
          <w:spacing w:val="42"/>
        </w:rPr>
        <w:t xml:space="preserve"> </w:t>
      </w:r>
      <w:r>
        <w:t>or</w:t>
      </w:r>
      <w:r>
        <w:rPr>
          <w:spacing w:val="41"/>
        </w:rPr>
        <w:t xml:space="preserve"> </w:t>
      </w:r>
      <w:r>
        <w:t>products</w:t>
      </w:r>
      <w:r>
        <w:rPr>
          <w:spacing w:val="43"/>
        </w:rPr>
        <w:t xml:space="preserve"> </w:t>
      </w:r>
      <w:r>
        <w:t>by</w:t>
      </w:r>
      <w:r>
        <w:rPr>
          <w:spacing w:val="42"/>
        </w:rPr>
        <w:t xml:space="preserve"> </w:t>
      </w:r>
      <w:r>
        <w:rPr>
          <w:spacing w:val="-2"/>
        </w:rPr>
        <w:t>using</w:t>
      </w:r>
    </w:p>
    <w:p w14:paraId="51DE975F" w14:textId="77777777" w:rsidR="0010369C" w:rsidRDefault="0010369C">
      <w:pPr>
        <w:spacing w:line="276" w:lineRule="auto"/>
        <w:jc w:val="both"/>
        <w:sectPr w:rsidR="0010369C">
          <w:pgSz w:w="11910" w:h="16840"/>
          <w:pgMar w:top="880" w:right="800" w:bottom="980" w:left="1180" w:header="569" w:footer="788" w:gutter="0"/>
          <w:cols w:space="720"/>
        </w:sectPr>
      </w:pPr>
    </w:p>
    <w:p w14:paraId="51DE9760" w14:textId="77777777" w:rsidR="0010369C" w:rsidRDefault="008E43AE">
      <w:pPr>
        <w:tabs>
          <w:tab w:val="left" w:pos="6426"/>
        </w:tabs>
        <w:ind w:left="238"/>
        <w:jc w:val="both"/>
        <w:rPr>
          <w:sz w:val="20"/>
        </w:rPr>
      </w:pPr>
      <w:r>
        <w:rPr>
          <w:i/>
          <w:sz w:val="20"/>
        </w:rPr>
        <w:lastRenderedPageBreak/>
        <w:t>China</w:t>
      </w:r>
      <w:r>
        <w:rPr>
          <w:i/>
          <w:spacing w:val="-5"/>
          <w:sz w:val="20"/>
        </w:rPr>
        <w:t xml:space="preserve"> </w:t>
      </w:r>
      <w:r>
        <w:rPr>
          <w:i/>
          <w:sz w:val="20"/>
        </w:rPr>
        <w:t>–</w:t>
      </w:r>
      <w:r>
        <w:rPr>
          <w:i/>
          <w:spacing w:val="-5"/>
          <w:sz w:val="20"/>
        </w:rPr>
        <w:t xml:space="preserve"> </w:t>
      </w:r>
      <w:r>
        <w:rPr>
          <w:i/>
          <w:sz w:val="20"/>
        </w:rPr>
        <w:t>Anti‐Dumping</w:t>
      </w:r>
      <w:r>
        <w:rPr>
          <w:i/>
          <w:spacing w:val="-4"/>
          <w:sz w:val="20"/>
        </w:rPr>
        <w:t xml:space="preserve"> </w:t>
      </w:r>
      <w:r>
        <w:rPr>
          <w:i/>
          <w:sz w:val="20"/>
        </w:rPr>
        <w:t>and</w:t>
      </w:r>
      <w:r>
        <w:rPr>
          <w:i/>
          <w:spacing w:val="-5"/>
          <w:sz w:val="20"/>
        </w:rPr>
        <w:t xml:space="preserve"> </w:t>
      </w:r>
      <w:r>
        <w:rPr>
          <w:i/>
          <w:sz w:val="20"/>
        </w:rPr>
        <w:t>Countervailing</w:t>
      </w:r>
      <w:r>
        <w:rPr>
          <w:i/>
          <w:spacing w:val="-5"/>
          <w:sz w:val="20"/>
        </w:rPr>
        <w:t xml:space="preserve"> </w:t>
      </w:r>
      <w:r>
        <w:rPr>
          <w:i/>
          <w:sz w:val="20"/>
        </w:rPr>
        <w:t>Duty</w:t>
      </w:r>
      <w:r>
        <w:rPr>
          <w:i/>
          <w:spacing w:val="-4"/>
          <w:sz w:val="20"/>
        </w:rPr>
        <w:t xml:space="preserve"> </w:t>
      </w:r>
      <w:r>
        <w:rPr>
          <w:i/>
          <w:spacing w:val="-2"/>
          <w:sz w:val="20"/>
        </w:rPr>
        <w:t>Measures</w:t>
      </w:r>
      <w:r>
        <w:rPr>
          <w:i/>
          <w:sz w:val="20"/>
        </w:rPr>
        <w:tab/>
      </w:r>
      <w:r>
        <w:rPr>
          <w:sz w:val="20"/>
        </w:rPr>
        <w:t>Australia's</w:t>
      </w:r>
      <w:r>
        <w:rPr>
          <w:spacing w:val="-7"/>
          <w:sz w:val="20"/>
        </w:rPr>
        <w:t xml:space="preserve"> </w:t>
      </w:r>
      <w:r>
        <w:rPr>
          <w:sz w:val="20"/>
        </w:rPr>
        <w:t>First</w:t>
      </w:r>
      <w:r>
        <w:rPr>
          <w:spacing w:val="-2"/>
          <w:sz w:val="20"/>
        </w:rPr>
        <w:t xml:space="preserve"> </w:t>
      </w:r>
      <w:r>
        <w:rPr>
          <w:sz w:val="20"/>
        </w:rPr>
        <w:t>Written</w:t>
      </w:r>
      <w:r>
        <w:rPr>
          <w:spacing w:val="-2"/>
          <w:sz w:val="20"/>
        </w:rPr>
        <w:t xml:space="preserve"> Submission</w:t>
      </w:r>
    </w:p>
    <w:p w14:paraId="51DE9761" w14:textId="77777777" w:rsidR="0010369C" w:rsidRDefault="008E43AE">
      <w:pPr>
        <w:tabs>
          <w:tab w:val="left" w:pos="8228"/>
        </w:tabs>
        <w:spacing w:before="1"/>
        <w:ind w:left="239"/>
        <w:jc w:val="both"/>
        <w:rPr>
          <w:sz w:val="20"/>
        </w:rPr>
      </w:pPr>
      <w:r>
        <w:rPr>
          <w:i/>
          <w:sz w:val="20"/>
        </w:rPr>
        <w:t>on</w:t>
      </w:r>
      <w:r>
        <w:rPr>
          <w:i/>
          <w:spacing w:val="-1"/>
          <w:sz w:val="20"/>
        </w:rPr>
        <w:t xml:space="preserve"> </w:t>
      </w:r>
      <w:r>
        <w:rPr>
          <w:i/>
          <w:sz w:val="20"/>
        </w:rPr>
        <w:t>Wine</w:t>
      </w:r>
      <w:r>
        <w:rPr>
          <w:i/>
          <w:spacing w:val="-1"/>
          <w:sz w:val="20"/>
        </w:rPr>
        <w:t xml:space="preserve"> </w:t>
      </w:r>
      <w:r>
        <w:rPr>
          <w:i/>
          <w:sz w:val="20"/>
        </w:rPr>
        <w:t>from</w:t>
      </w:r>
      <w:r>
        <w:rPr>
          <w:i/>
          <w:spacing w:val="-3"/>
          <w:sz w:val="20"/>
        </w:rPr>
        <w:t xml:space="preserve"> </w:t>
      </w:r>
      <w:r>
        <w:rPr>
          <w:i/>
          <w:sz w:val="20"/>
        </w:rPr>
        <w:t>Australia</w:t>
      </w:r>
      <w:r>
        <w:rPr>
          <w:i/>
          <w:spacing w:val="-1"/>
          <w:sz w:val="20"/>
        </w:rPr>
        <w:t xml:space="preserve"> </w:t>
      </w:r>
      <w:r>
        <w:rPr>
          <w:spacing w:val="-2"/>
          <w:sz w:val="20"/>
        </w:rPr>
        <w:t>(DS602)</w:t>
      </w:r>
      <w:r>
        <w:rPr>
          <w:sz w:val="20"/>
        </w:rPr>
        <w:tab/>
        <w:t>29</w:t>
      </w:r>
      <w:r>
        <w:rPr>
          <w:spacing w:val="-1"/>
          <w:sz w:val="20"/>
        </w:rPr>
        <w:t xml:space="preserve"> </w:t>
      </w:r>
      <w:r>
        <w:rPr>
          <w:sz w:val="20"/>
        </w:rPr>
        <w:t>April</w:t>
      </w:r>
      <w:r>
        <w:rPr>
          <w:spacing w:val="-2"/>
          <w:sz w:val="20"/>
        </w:rPr>
        <w:t xml:space="preserve"> </w:t>
      </w:r>
      <w:r>
        <w:rPr>
          <w:spacing w:val="-4"/>
          <w:sz w:val="20"/>
        </w:rPr>
        <w:t>2022</w:t>
      </w:r>
    </w:p>
    <w:p w14:paraId="51DE9762" w14:textId="77777777" w:rsidR="0010369C" w:rsidRDefault="008E43AE">
      <w:pPr>
        <w:spacing w:before="35" w:line="276" w:lineRule="auto"/>
        <w:ind w:left="1089" w:right="613" w:hanging="1"/>
        <w:jc w:val="both"/>
      </w:pPr>
      <w:r>
        <w:t>samples which are statistically valid on the basis of information available to the authorities at the time of the selection, or to the largest percentage of the volume of the exports from the country</w:t>
      </w:r>
      <w:r>
        <w:t xml:space="preserve"> in question which can reasonably be investigated.</w:t>
      </w:r>
    </w:p>
    <w:p w14:paraId="51DE9763" w14:textId="77777777" w:rsidR="0010369C" w:rsidRDefault="0010369C">
      <w:pPr>
        <w:pStyle w:val="BodyText"/>
        <w:spacing w:before="4"/>
        <w:rPr>
          <w:sz w:val="15"/>
        </w:rPr>
      </w:pPr>
    </w:p>
    <w:p w14:paraId="51DE9764" w14:textId="77777777" w:rsidR="0010369C" w:rsidRDefault="008E43AE">
      <w:pPr>
        <w:pStyle w:val="BodyText"/>
        <w:spacing w:before="52" w:line="360" w:lineRule="auto"/>
        <w:ind w:left="236" w:right="613" w:firstLine="852"/>
        <w:jc w:val="both"/>
      </w:pPr>
      <w:r>
        <w:rPr>
          <w:noProof/>
        </w:rPr>
        <w:drawing>
          <wp:anchor distT="0" distB="0" distL="0" distR="0" simplePos="0" relativeHeight="251472384" behindDoc="1" locked="0" layoutInCell="1" allowOverlap="1" wp14:anchorId="51DEA75A" wp14:editId="51DEA75B">
            <wp:simplePos x="0" y="0"/>
            <wp:positionH relativeFrom="page">
              <wp:posOffset>902208</wp:posOffset>
            </wp:positionH>
            <wp:positionV relativeFrom="paragraph">
              <wp:posOffset>80595</wp:posOffset>
            </wp:positionV>
            <wp:extent cx="262127" cy="103631"/>
            <wp:effectExtent l="0" t="0" r="0" b="0"/>
            <wp:wrapNone/>
            <wp:docPr id="1711" name="image8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 name="image883.png"/>
                    <pic:cNvPicPr/>
                  </pic:nvPicPr>
                  <pic:blipFill>
                    <a:blip r:embed="rId1148" cstate="print"/>
                    <a:stretch>
                      <a:fillRect/>
                    </a:stretch>
                  </pic:blipFill>
                  <pic:spPr>
                    <a:xfrm>
                      <a:off x="0" y="0"/>
                      <a:ext cx="262127" cy="103631"/>
                    </a:xfrm>
                    <a:prstGeom prst="rect">
                      <a:avLst/>
                    </a:prstGeom>
                  </pic:spPr>
                </pic:pic>
              </a:graphicData>
            </a:graphic>
          </wp:anchor>
        </w:drawing>
      </w:r>
      <w:r>
        <w:t>The effect of Article 6.10 is to permit a departure from the ordinary rule that individual margins must be determined where doing so would be impracticable. Where such a</w:t>
      </w:r>
      <w:r>
        <w:rPr>
          <w:spacing w:val="-1"/>
        </w:rPr>
        <w:t xml:space="preserve"> </w:t>
      </w:r>
      <w:r>
        <w:t>departure</w:t>
      </w:r>
      <w:r>
        <w:rPr>
          <w:spacing w:val="-1"/>
        </w:rPr>
        <w:t xml:space="preserve"> </w:t>
      </w:r>
      <w:r>
        <w:t>occurs,</w:t>
      </w:r>
      <w:r>
        <w:rPr>
          <w:spacing w:val="-1"/>
        </w:rPr>
        <w:t xml:space="preserve"> </w:t>
      </w:r>
      <w:r>
        <w:t>the</w:t>
      </w:r>
      <w:r>
        <w:rPr>
          <w:spacing w:val="-1"/>
        </w:rPr>
        <w:t xml:space="preserve"> </w:t>
      </w:r>
      <w:r>
        <w:t>"sample"</w:t>
      </w:r>
      <w:r>
        <w:rPr>
          <w:spacing w:val="-2"/>
        </w:rPr>
        <w:t xml:space="preserve"> </w:t>
      </w:r>
      <w:r>
        <w:t>chosen</w:t>
      </w:r>
      <w:r>
        <w:rPr>
          <w:spacing w:val="-2"/>
        </w:rPr>
        <w:t xml:space="preserve"> </w:t>
      </w:r>
      <w:r>
        <w:t>for</w:t>
      </w:r>
      <w:r>
        <w:rPr>
          <w:spacing w:val="-1"/>
        </w:rPr>
        <w:t xml:space="preserve"> </w:t>
      </w:r>
      <w:r>
        <w:t>examination</w:t>
      </w:r>
      <w:r>
        <w:rPr>
          <w:spacing w:val="-3"/>
        </w:rPr>
        <w:t xml:space="preserve"> </w:t>
      </w:r>
      <w:r>
        <w:t>must</w:t>
      </w:r>
      <w:r>
        <w:rPr>
          <w:spacing w:val="-2"/>
        </w:rPr>
        <w:t xml:space="preserve"> </w:t>
      </w:r>
      <w:r>
        <w:t>be</w:t>
      </w:r>
      <w:r>
        <w:rPr>
          <w:spacing w:val="-1"/>
        </w:rPr>
        <w:t xml:space="preserve"> </w:t>
      </w:r>
      <w:r>
        <w:t>constructed</w:t>
      </w:r>
      <w:r>
        <w:rPr>
          <w:spacing w:val="-2"/>
        </w:rPr>
        <w:t xml:space="preserve"> </w:t>
      </w:r>
      <w:r>
        <w:t>in</w:t>
      </w:r>
      <w:r>
        <w:rPr>
          <w:spacing w:val="-2"/>
        </w:rPr>
        <w:t xml:space="preserve"> </w:t>
      </w:r>
      <w:r>
        <w:t>accordanc</w:t>
      </w:r>
      <w:r>
        <w:t>e with one of the two alternative methods.</w:t>
      </w:r>
    </w:p>
    <w:p w14:paraId="51DE9765" w14:textId="77777777" w:rsidR="0010369C" w:rsidRDefault="0010369C">
      <w:pPr>
        <w:pStyle w:val="BodyText"/>
        <w:spacing w:before="11"/>
        <w:rPr>
          <w:sz w:val="8"/>
        </w:rPr>
      </w:pPr>
    </w:p>
    <w:p w14:paraId="51DE9766" w14:textId="77777777" w:rsidR="0010369C" w:rsidRDefault="008E43AE">
      <w:pPr>
        <w:pStyle w:val="BodyText"/>
        <w:spacing w:before="51" w:line="360" w:lineRule="auto"/>
        <w:ind w:left="237" w:right="613" w:firstLine="851"/>
        <w:jc w:val="both"/>
      </w:pPr>
      <w:r>
        <w:rPr>
          <w:noProof/>
        </w:rPr>
        <w:drawing>
          <wp:anchor distT="0" distB="0" distL="0" distR="0" simplePos="0" relativeHeight="251473408" behindDoc="1" locked="0" layoutInCell="1" allowOverlap="1" wp14:anchorId="51DEA75C" wp14:editId="51DEA75D">
            <wp:simplePos x="0" y="0"/>
            <wp:positionH relativeFrom="page">
              <wp:posOffset>902208</wp:posOffset>
            </wp:positionH>
            <wp:positionV relativeFrom="paragraph">
              <wp:posOffset>81314</wp:posOffset>
            </wp:positionV>
            <wp:extent cx="262127" cy="100753"/>
            <wp:effectExtent l="0" t="0" r="0" b="0"/>
            <wp:wrapNone/>
            <wp:docPr id="1713" name="image8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 name="image884.png"/>
                    <pic:cNvPicPr/>
                  </pic:nvPicPr>
                  <pic:blipFill>
                    <a:blip r:embed="rId1149" cstate="print"/>
                    <a:stretch>
                      <a:fillRect/>
                    </a:stretch>
                  </pic:blipFill>
                  <pic:spPr>
                    <a:xfrm>
                      <a:off x="0" y="0"/>
                      <a:ext cx="262127" cy="100753"/>
                    </a:xfrm>
                    <a:prstGeom prst="rect">
                      <a:avLst/>
                    </a:prstGeom>
                  </pic:spPr>
                </pic:pic>
              </a:graphicData>
            </a:graphic>
          </wp:anchor>
        </w:drawing>
      </w:r>
      <w:r>
        <w:t>The second method is relevant in this instance. This alternative method requires an examination of the "largest percentage of the volume of the exports from the country in question which can reasonably be invest</w:t>
      </w:r>
      <w:r>
        <w:t>igated".</w:t>
      </w:r>
    </w:p>
    <w:p w14:paraId="51DE9767" w14:textId="77777777" w:rsidR="0010369C" w:rsidRDefault="0010369C">
      <w:pPr>
        <w:pStyle w:val="BodyText"/>
        <w:spacing w:before="11"/>
        <w:rPr>
          <w:sz w:val="8"/>
        </w:rPr>
      </w:pPr>
    </w:p>
    <w:p w14:paraId="51DE9768" w14:textId="77777777" w:rsidR="0010369C" w:rsidRDefault="008E43AE">
      <w:pPr>
        <w:pStyle w:val="BodyText"/>
        <w:spacing w:before="52" w:line="360" w:lineRule="auto"/>
        <w:ind w:left="237" w:right="613" w:firstLine="851"/>
        <w:jc w:val="both"/>
      </w:pPr>
      <w:r>
        <w:rPr>
          <w:noProof/>
        </w:rPr>
        <w:drawing>
          <wp:anchor distT="0" distB="0" distL="0" distR="0" simplePos="0" relativeHeight="251474432" behindDoc="1" locked="0" layoutInCell="1" allowOverlap="1" wp14:anchorId="51DEA75E" wp14:editId="51DEA75F">
            <wp:simplePos x="0" y="0"/>
            <wp:positionH relativeFrom="page">
              <wp:posOffset>902208</wp:posOffset>
            </wp:positionH>
            <wp:positionV relativeFrom="paragraph">
              <wp:posOffset>81949</wp:posOffset>
            </wp:positionV>
            <wp:extent cx="262127" cy="100753"/>
            <wp:effectExtent l="0" t="0" r="0" b="0"/>
            <wp:wrapNone/>
            <wp:docPr id="1715" name="image8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 name="image885.png"/>
                    <pic:cNvPicPr/>
                  </pic:nvPicPr>
                  <pic:blipFill>
                    <a:blip r:embed="rId1150" cstate="print"/>
                    <a:stretch>
                      <a:fillRect/>
                    </a:stretch>
                  </pic:blipFill>
                  <pic:spPr>
                    <a:xfrm>
                      <a:off x="0" y="0"/>
                      <a:ext cx="262127" cy="100753"/>
                    </a:xfrm>
                    <a:prstGeom prst="rect">
                      <a:avLst/>
                    </a:prstGeom>
                  </pic:spPr>
                </pic:pic>
              </a:graphicData>
            </a:graphic>
          </wp:anchor>
        </w:drawing>
      </w:r>
      <w:r>
        <w:t>Where this approach is used there is no requirement that the group selected be representative</w:t>
      </w:r>
      <w:r>
        <w:rPr>
          <w:spacing w:val="-1"/>
        </w:rPr>
        <w:t xml:space="preserve"> </w:t>
      </w:r>
      <w:r>
        <w:t>of those</w:t>
      </w:r>
      <w:r>
        <w:rPr>
          <w:spacing w:val="-1"/>
        </w:rPr>
        <w:t xml:space="preserve"> </w:t>
      </w:r>
      <w:r>
        <w:t>exporters,</w:t>
      </w:r>
      <w:r>
        <w:rPr>
          <w:spacing w:val="-1"/>
        </w:rPr>
        <w:t xml:space="preserve"> </w:t>
      </w:r>
      <w:r>
        <w:t>"including</w:t>
      </w:r>
      <w:r>
        <w:rPr>
          <w:spacing w:val="-1"/>
        </w:rPr>
        <w:t xml:space="preserve"> </w:t>
      </w:r>
      <w:r>
        <w:t>the</w:t>
      </w:r>
      <w:r>
        <w:rPr>
          <w:spacing w:val="-1"/>
        </w:rPr>
        <w:t xml:space="preserve"> </w:t>
      </w:r>
      <w:r>
        <w:t>percentage of exports</w:t>
      </w:r>
      <w:r>
        <w:rPr>
          <w:spacing w:val="-2"/>
        </w:rPr>
        <w:t xml:space="preserve"> </w:t>
      </w:r>
      <w:r>
        <w:t>of the product under consideration for which they account".</w:t>
      </w:r>
      <w:r>
        <w:rPr>
          <w:vertAlign w:val="superscript"/>
        </w:rPr>
        <w:t>1038</w:t>
      </w:r>
      <w:r>
        <w:rPr>
          <w:spacing w:val="-12"/>
        </w:rPr>
        <w:t xml:space="preserve"> </w:t>
      </w:r>
      <w:r>
        <w:t>Concepts of representativeness</w:t>
      </w:r>
      <w:r>
        <w:t xml:space="preserve"> are only relevant to the first alternative method and the requirement for statistical validity. However, nothing precludes</w:t>
      </w:r>
      <w:r>
        <w:rPr>
          <w:spacing w:val="-13"/>
        </w:rPr>
        <w:t xml:space="preserve"> </w:t>
      </w:r>
      <w:r>
        <w:t>an</w:t>
      </w:r>
      <w:r>
        <w:rPr>
          <w:spacing w:val="-14"/>
        </w:rPr>
        <w:t xml:space="preserve"> </w:t>
      </w:r>
      <w:r>
        <w:t>investigating</w:t>
      </w:r>
      <w:r>
        <w:rPr>
          <w:spacing w:val="-11"/>
        </w:rPr>
        <w:t xml:space="preserve"> </w:t>
      </w:r>
      <w:r>
        <w:t>authority</w:t>
      </w:r>
      <w:r>
        <w:rPr>
          <w:spacing w:val="-14"/>
        </w:rPr>
        <w:t xml:space="preserve"> </w:t>
      </w:r>
      <w:r>
        <w:t>from</w:t>
      </w:r>
      <w:r>
        <w:rPr>
          <w:spacing w:val="-12"/>
        </w:rPr>
        <w:t xml:space="preserve"> </w:t>
      </w:r>
      <w:r>
        <w:t>taking</w:t>
      </w:r>
      <w:r>
        <w:rPr>
          <w:spacing w:val="-14"/>
        </w:rPr>
        <w:t xml:space="preserve"> </w:t>
      </w:r>
      <w:r>
        <w:t>into</w:t>
      </w:r>
      <w:r>
        <w:rPr>
          <w:spacing w:val="-11"/>
        </w:rPr>
        <w:t xml:space="preserve"> </w:t>
      </w:r>
      <w:r>
        <w:t>account</w:t>
      </w:r>
      <w:r>
        <w:rPr>
          <w:spacing w:val="-14"/>
        </w:rPr>
        <w:t xml:space="preserve"> </w:t>
      </w:r>
      <w:r>
        <w:t>additional</w:t>
      </w:r>
      <w:r>
        <w:rPr>
          <w:spacing w:val="-12"/>
        </w:rPr>
        <w:t xml:space="preserve"> </w:t>
      </w:r>
      <w:r>
        <w:t>criteria,</w:t>
      </w:r>
      <w:r>
        <w:rPr>
          <w:spacing w:val="-14"/>
        </w:rPr>
        <w:t xml:space="preserve"> </w:t>
      </w:r>
      <w:r>
        <w:t>provided</w:t>
      </w:r>
      <w:r>
        <w:rPr>
          <w:spacing w:val="-12"/>
        </w:rPr>
        <w:t xml:space="preserve"> </w:t>
      </w:r>
      <w:r>
        <w:t>that it does not result in a selection that is inc</w:t>
      </w:r>
      <w:r>
        <w:t>onsistent with the criterion outlined in Article 6.10,</w:t>
      </w:r>
    </w:p>
    <w:p w14:paraId="51DE9769" w14:textId="77777777" w:rsidR="0010369C" w:rsidRDefault="008E43AE">
      <w:pPr>
        <w:pStyle w:val="BodyText"/>
        <w:ind w:left="237"/>
        <w:jc w:val="both"/>
      </w:pPr>
      <w:r>
        <w:t>i.e.</w:t>
      </w:r>
      <w:r>
        <w:rPr>
          <w:spacing w:val="-5"/>
        </w:rPr>
        <w:t xml:space="preserve"> </w:t>
      </w:r>
      <w:r>
        <w:t>the</w:t>
      </w:r>
      <w:r>
        <w:rPr>
          <w:spacing w:val="-6"/>
        </w:rPr>
        <w:t xml:space="preserve"> </w:t>
      </w:r>
      <w:r>
        <w:t>volume</w:t>
      </w:r>
      <w:r>
        <w:rPr>
          <w:spacing w:val="-7"/>
        </w:rPr>
        <w:t xml:space="preserve"> </w:t>
      </w:r>
      <w:r>
        <w:t>of</w:t>
      </w:r>
      <w:r>
        <w:rPr>
          <w:spacing w:val="-6"/>
        </w:rPr>
        <w:t xml:space="preserve"> </w:t>
      </w:r>
      <w:r>
        <w:t>the</w:t>
      </w:r>
      <w:r>
        <w:rPr>
          <w:spacing w:val="-7"/>
        </w:rPr>
        <w:t xml:space="preserve"> </w:t>
      </w:r>
      <w:r>
        <w:t>exports</w:t>
      </w:r>
      <w:r>
        <w:rPr>
          <w:spacing w:val="-6"/>
        </w:rPr>
        <w:t xml:space="preserve"> </w:t>
      </w:r>
      <w:r>
        <w:t>from</w:t>
      </w:r>
      <w:r>
        <w:rPr>
          <w:spacing w:val="-6"/>
        </w:rPr>
        <w:t xml:space="preserve"> </w:t>
      </w:r>
      <w:r>
        <w:t>the</w:t>
      </w:r>
      <w:r>
        <w:rPr>
          <w:spacing w:val="-6"/>
        </w:rPr>
        <w:t xml:space="preserve"> </w:t>
      </w:r>
      <w:r>
        <w:t>country</w:t>
      </w:r>
      <w:r>
        <w:rPr>
          <w:spacing w:val="-5"/>
        </w:rPr>
        <w:t xml:space="preserve"> </w:t>
      </w:r>
      <w:r>
        <w:t>in</w:t>
      </w:r>
      <w:r>
        <w:rPr>
          <w:spacing w:val="-7"/>
        </w:rPr>
        <w:t xml:space="preserve"> </w:t>
      </w:r>
      <w:r>
        <w:rPr>
          <w:spacing w:val="-2"/>
        </w:rPr>
        <w:t>question.</w:t>
      </w:r>
      <w:r>
        <w:rPr>
          <w:spacing w:val="-2"/>
          <w:vertAlign w:val="superscript"/>
        </w:rPr>
        <w:t>1039</w:t>
      </w:r>
    </w:p>
    <w:p w14:paraId="51DE976A" w14:textId="77777777" w:rsidR="0010369C" w:rsidRDefault="0010369C">
      <w:pPr>
        <w:pStyle w:val="BodyText"/>
        <w:spacing w:before="10"/>
        <w:rPr>
          <w:sz w:val="20"/>
        </w:rPr>
      </w:pPr>
    </w:p>
    <w:p w14:paraId="51DE976B" w14:textId="77777777" w:rsidR="0010369C" w:rsidRDefault="008E43AE">
      <w:pPr>
        <w:pStyle w:val="BodyText"/>
        <w:spacing w:before="52" w:line="360" w:lineRule="auto"/>
        <w:ind w:left="236" w:right="613" w:firstLine="853"/>
        <w:jc w:val="both"/>
      </w:pPr>
      <w:r>
        <w:rPr>
          <w:noProof/>
        </w:rPr>
        <w:drawing>
          <wp:anchor distT="0" distB="0" distL="0" distR="0" simplePos="0" relativeHeight="251475456" behindDoc="1" locked="0" layoutInCell="1" allowOverlap="1" wp14:anchorId="51DEA760" wp14:editId="51DEA761">
            <wp:simplePos x="0" y="0"/>
            <wp:positionH relativeFrom="page">
              <wp:posOffset>902208</wp:posOffset>
            </wp:positionH>
            <wp:positionV relativeFrom="paragraph">
              <wp:posOffset>81357</wp:posOffset>
            </wp:positionV>
            <wp:extent cx="262127" cy="103631"/>
            <wp:effectExtent l="0" t="0" r="0" b="0"/>
            <wp:wrapNone/>
            <wp:docPr id="1717" name="image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 name="image886.png"/>
                    <pic:cNvPicPr/>
                  </pic:nvPicPr>
                  <pic:blipFill>
                    <a:blip r:embed="rId1151" cstate="print"/>
                    <a:stretch>
                      <a:fillRect/>
                    </a:stretch>
                  </pic:blipFill>
                  <pic:spPr>
                    <a:xfrm>
                      <a:off x="0" y="0"/>
                      <a:ext cx="262127" cy="103631"/>
                    </a:xfrm>
                    <a:prstGeom prst="rect">
                      <a:avLst/>
                    </a:prstGeom>
                  </pic:spPr>
                </pic:pic>
              </a:graphicData>
            </a:graphic>
          </wp:anchor>
        </w:drawing>
      </w:r>
      <w:r>
        <w:t>An investigating authority may act inconsistently with Article 6.10 if it fails to investigate a producer that has a larger volume of exports than one of those selected in circumstances where it would be reasonable for the investigating authority to includ</w:t>
      </w:r>
      <w:r>
        <w:t>e that producer's exports in its investigation. The assessment as to whether the percentage of exports selected is the largest that can "reasonably" be investigated is fact‐specific.</w:t>
      </w:r>
      <w:r>
        <w:rPr>
          <w:vertAlign w:val="superscript"/>
        </w:rPr>
        <w:t>1040</w:t>
      </w:r>
      <w:r>
        <w:t xml:space="preserve"> The volume of export</w:t>
      </w:r>
      <w:r>
        <w:rPr>
          <w:spacing w:val="-1"/>
        </w:rPr>
        <w:t xml:space="preserve"> </w:t>
      </w:r>
      <w:r>
        <w:t>sales that may be</w:t>
      </w:r>
      <w:r>
        <w:rPr>
          <w:spacing w:val="-1"/>
        </w:rPr>
        <w:t xml:space="preserve"> </w:t>
      </w:r>
      <w:r>
        <w:t>reasonable for an</w:t>
      </w:r>
      <w:r>
        <w:rPr>
          <w:spacing w:val="-1"/>
        </w:rPr>
        <w:t xml:space="preserve"> </w:t>
      </w:r>
      <w:r>
        <w:t>investigatin</w:t>
      </w:r>
      <w:r>
        <w:t>g authority to investigate is a</w:t>
      </w:r>
      <w:r>
        <w:rPr>
          <w:spacing w:val="-11"/>
        </w:rPr>
        <w:t xml:space="preserve"> </w:t>
      </w:r>
      <w:r>
        <w:t>question</w:t>
      </w:r>
      <w:r>
        <w:rPr>
          <w:spacing w:val="-10"/>
        </w:rPr>
        <w:t xml:space="preserve"> </w:t>
      </w:r>
      <w:r>
        <w:t>that</w:t>
      </w:r>
      <w:r>
        <w:rPr>
          <w:spacing w:val="-11"/>
        </w:rPr>
        <w:t xml:space="preserve"> </w:t>
      </w:r>
      <w:r>
        <w:t>must</w:t>
      </w:r>
      <w:r>
        <w:rPr>
          <w:spacing w:val="-11"/>
        </w:rPr>
        <w:t xml:space="preserve"> </w:t>
      </w:r>
      <w:r>
        <w:t>be</w:t>
      </w:r>
      <w:r>
        <w:rPr>
          <w:spacing w:val="-9"/>
        </w:rPr>
        <w:t xml:space="preserve"> </w:t>
      </w:r>
      <w:r>
        <w:t>assessed</w:t>
      </w:r>
      <w:r>
        <w:rPr>
          <w:spacing w:val="-11"/>
        </w:rPr>
        <w:t xml:space="preserve"> </w:t>
      </w:r>
      <w:r>
        <w:t>on</w:t>
      </w:r>
      <w:r>
        <w:rPr>
          <w:spacing w:val="-11"/>
        </w:rPr>
        <w:t xml:space="preserve"> </w:t>
      </w:r>
      <w:r>
        <w:t>a</w:t>
      </w:r>
      <w:r>
        <w:rPr>
          <w:spacing w:val="-11"/>
        </w:rPr>
        <w:t xml:space="preserve"> </w:t>
      </w:r>
      <w:r>
        <w:t>case‐by‐case</w:t>
      </w:r>
      <w:r>
        <w:rPr>
          <w:spacing w:val="-11"/>
        </w:rPr>
        <w:t xml:space="preserve"> </w:t>
      </w:r>
      <w:r>
        <w:t>basis,</w:t>
      </w:r>
      <w:r>
        <w:rPr>
          <w:spacing w:val="-10"/>
        </w:rPr>
        <w:t xml:space="preserve"> </w:t>
      </w:r>
      <w:r>
        <w:t>taking</w:t>
      </w:r>
      <w:r>
        <w:rPr>
          <w:spacing w:val="-11"/>
        </w:rPr>
        <w:t xml:space="preserve"> </w:t>
      </w:r>
      <w:r>
        <w:t>into</w:t>
      </w:r>
      <w:r>
        <w:rPr>
          <w:spacing w:val="-10"/>
        </w:rPr>
        <w:t xml:space="preserve"> </w:t>
      </w:r>
      <w:r>
        <w:t>account</w:t>
      </w:r>
      <w:r>
        <w:rPr>
          <w:spacing w:val="-11"/>
        </w:rPr>
        <w:t xml:space="preserve"> </w:t>
      </w:r>
      <w:r>
        <w:t>all</w:t>
      </w:r>
      <w:r>
        <w:rPr>
          <w:spacing w:val="-11"/>
        </w:rPr>
        <w:t xml:space="preserve"> </w:t>
      </w:r>
      <w:r>
        <w:t>relevant</w:t>
      </w:r>
      <w:r>
        <w:rPr>
          <w:spacing w:val="-11"/>
        </w:rPr>
        <w:t xml:space="preserve"> </w:t>
      </w:r>
      <w:r>
        <w:t>facts that are before the investigating authority.</w:t>
      </w:r>
      <w:r>
        <w:rPr>
          <w:vertAlign w:val="superscript"/>
        </w:rPr>
        <w:t>1041</w:t>
      </w:r>
    </w:p>
    <w:p w14:paraId="51DE976C" w14:textId="77777777" w:rsidR="0010369C" w:rsidRDefault="0010369C">
      <w:pPr>
        <w:pStyle w:val="BodyText"/>
        <w:rPr>
          <w:sz w:val="20"/>
        </w:rPr>
      </w:pPr>
    </w:p>
    <w:p w14:paraId="51DE976D" w14:textId="77777777" w:rsidR="0010369C" w:rsidRDefault="0010369C">
      <w:pPr>
        <w:pStyle w:val="BodyText"/>
        <w:rPr>
          <w:sz w:val="20"/>
        </w:rPr>
      </w:pPr>
    </w:p>
    <w:p w14:paraId="51DE976E" w14:textId="77777777" w:rsidR="0010369C" w:rsidRDefault="0010369C">
      <w:pPr>
        <w:pStyle w:val="BodyText"/>
        <w:rPr>
          <w:sz w:val="20"/>
        </w:rPr>
      </w:pPr>
    </w:p>
    <w:p w14:paraId="51DE976F" w14:textId="77777777" w:rsidR="0010369C" w:rsidRDefault="0010369C">
      <w:pPr>
        <w:pStyle w:val="BodyText"/>
        <w:rPr>
          <w:sz w:val="20"/>
        </w:rPr>
      </w:pPr>
    </w:p>
    <w:p w14:paraId="51DE9770" w14:textId="77777777" w:rsidR="0010369C" w:rsidRDefault="0010369C">
      <w:pPr>
        <w:pStyle w:val="BodyText"/>
        <w:rPr>
          <w:sz w:val="20"/>
        </w:rPr>
      </w:pPr>
    </w:p>
    <w:p w14:paraId="51DE9771" w14:textId="77777777" w:rsidR="0010369C" w:rsidRDefault="0010369C">
      <w:pPr>
        <w:pStyle w:val="BodyText"/>
        <w:rPr>
          <w:sz w:val="20"/>
        </w:rPr>
      </w:pPr>
    </w:p>
    <w:p w14:paraId="51DE9772" w14:textId="77777777" w:rsidR="0010369C" w:rsidRDefault="008E43AE">
      <w:pPr>
        <w:pStyle w:val="BodyText"/>
        <w:spacing w:before="11"/>
        <w:rPr>
          <w:sz w:val="15"/>
        </w:rPr>
      </w:pPr>
      <w:r>
        <w:pict w14:anchorId="51DEA762">
          <v:rect id="docshape1298" o:spid="_x0000_s1143" style="position:absolute;margin-left:70.9pt;margin-top:10.95pt;width:2in;height:.8pt;z-index:-250723840;mso-wrap-distance-left:0;mso-wrap-distance-right:0;mso-position-horizontal-relative:page" fillcolor="black" stroked="f">
            <w10:wrap type="topAndBottom" anchorx="page"/>
          </v:rect>
        </w:pict>
      </w:r>
    </w:p>
    <w:p w14:paraId="51DE9773" w14:textId="77777777" w:rsidR="0010369C" w:rsidRDefault="008E43AE">
      <w:pPr>
        <w:spacing w:before="110"/>
        <w:ind w:left="238"/>
        <w:rPr>
          <w:sz w:val="18"/>
        </w:rPr>
      </w:pPr>
      <w:r>
        <w:rPr>
          <w:sz w:val="18"/>
          <w:vertAlign w:val="superscript"/>
        </w:rPr>
        <w:t>1038</w:t>
      </w:r>
      <w:r>
        <w:rPr>
          <w:spacing w:val="-7"/>
          <w:sz w:val="18"/>
        </w:rPr>
        <w:t xml:space="preserve"> </w:t>
      </w:r>
      <w:r>
        <w:rPr>
          <w:sz w:val="18"/>
        </w:rPr>
        <w:t>Panel</w:t>
      </w:r>
      <w:r>
        <w:rPr>
          <w:spacing w:val="-7"/>
          <w:sz w:val="18"/>
        </w:rPr>
        <w:t xml:space="preserve"> </w:t>
      </w:r>
      <w:r>
        <w:rPr>
          <w:sz w:val="18"/>
        </w:rPr>
        <w:t>Report,</w:t>
      </w:r>
      <w:r>
        <w:rPr>
          <w:spacing w:val="-6"/>
          <w:sz w:val="18"/>
        </w:rPr>
        <w:t xml:space="preserve"> </w:t>
      </w:r>
      <w:r>
        <w:rPr>
          <w:i/>
          <w:sz w:val="18"/>
        </w:rPr>
        <w:t>EU</w:t>
      </w:r>
      <w:r>
        <w:rPr>
          <w:i/>
          <w:spacing w:val="-8"/>
          <w:sz w:val="18"/>
        </w:rPr>
        <w:t xml:space="preserve"> </w:t>
      </w:r>
      <w:r>
        <w:rPr>
          <w:i/>
          <w:sz w:val="18"/>
        </w:rPr>
        <w:t>–</w:t>
      </w:r>
      <w:r>
        <w:rPr>
          <w:i/>
          <w:spacing w:val="-6"/>
          <w:sz w:val="18"/>
        </w:rPr>
        <w:t xml:space="preserve"> </w:t>
      </w:r>
      <w:r>
        <w:rPr>
          <w:i/>
          <w:sz w:val="18"/>
        </w:rPr>
        <w:t>Footwear</w:t>
      </w:r>
      <w:r>
        <w:rPr>
          <w:i/>
          <w:spacing w:val="-6"/>
          <w:sz w:val="18"/>
        </w:rPr>
        <w:t xml:space="preserve"> </w:t>
      </w:r>
      <w:r>
        <w:rPr>
          <w:i/>
          <w:sz w:val="18"/>
        </w:rPr>
        <w:t>(China)</w:t>
      </w:r>
      <w:r>
        <w:rPr>
          <w:sz w:val="18"/>
        </w:rPr>
        <w:t>,</w:t>
      </w:r>
      <w:r>
        <w:rPr>
          <w:spacing w:val="-7"/>
          <w:sz w:val="18"/>
        </w:rPr>
        <w:t xml:space="preserve"> </w:t>
      </w:r>
      <w:r>
        <w:rPr>
          <w:sz w:val="18"/>
        </w:rPr>
        <w:t>para.</w:t>
      </w:r>
      <w:r>
        <w:rPr>
          <w:spacing w:val="-7"/>
          <w:sz w:val="18"/>
        </w:rPr>
        <w:t xml:space="preserve"> </w:t>
      </w:r>
      <w:r>
        <w:rPr>
          <w:spacing w:val="-2"/>
          <w:sz w:val="18"/>
        </w:rPr>
        <w:t>7.216.</w:t>
      </w:r>
    </w:p>
    <w:p w14:paraId="51DE9774" w14:textId="77777777" w:rsidR="0010369C" w:rsidRDefault="008E43AE">
      <w:pPr>
        <w:ind w:left="238"/>
        <w:rPr>
          <w:sz w:val="18"/>
        </w:rPr>
      </w:pPr>
      <w:r>
        <w:rPr>
          <w:sz w:val="18"/>
          <w:vertAlign w:val="superscript"/>
        </w:rPr>
        <w:t>1039</w:t>
      </w:r>
      <w:r>
        <w:rPr>
          <w:spacing w:val="-7"/>
          <w:sz w:val="18"/>
        </w:rPr>
        <w:t xml:space="preserve"> </w:t>
      </w:r>
      <w:r>
        <w:rPr>
          <w:sz w:val="18"/>
        </w:rPr>
        <w:t>Panel</w:t>
      </w:r>
      <w:r>
        <w:rPr>
          <w:spacing w:val="-7"/>
          <w:sz w:val="18"/>
        </w:rPr>
        <w:t xml:space="preserve"> </w:t>
      </w:r>
      <w:r>
        <w:rPr>
          <w:sz w:val="18"/>
        </w:rPr>
        <w:t>Report,</w:t>
      </w:r>
      <w:r>
        <w:rPr>
          <w:spacing w:val="-7"/>
          <w:sz w:val="18"/>
        </w:rPr>
        <w:t xml:space="preserve"> </w:t>
      </w:r>
      <w:r>
        <w:rPr>
          <w:i/>
          <w:sz w:val="18"/>
        </w:rPr>
        <w:t>EU</w:t>
      </w:r>
      <w:r>
        <w:rPr>
          <w:i/>
          <w:spacing w:val="-7"/>
          <w:sz w:val="18"/>
        </w:rPr>
        <w:t xml:space="preserve"> </w:t>
      </w:r>
      <w:r>
        <w:rPr>
          <w:i/>
          <w:sz w:val="18"/>
        </w:rPr>
        <w:t>–</w:t>
      </w:r>
      <w:r>
        <w:rPr>
          <w:i/>
          <w:spacing w:val="-6"/>
          <w:sz w:val="18"/>
        </w:rPr>
        <w:t xml:space="preserve"> </w:t>
      </w:r>
      <w:r>
        <w:rPr>
          <w:i/>
          <w:sz w:val="18"/>
        </w:rPr>
        <w:t>Footwear</w:t>
      </w:r>
      <w:r>
        <w:rPr>
          <w:i/>
          <w:spacing w:val="-7"/>
          <w:sz w:val="18"/>
        </w:rPr>
        <w:t xml:space="preserve"> </w:t>
      </w:r>
      <w:r>
        <w:rPr>
          <w:i/>
          <w:sz w:val="18"/>
        </w:rPr>
        <w:t>(China),</w:t>
      </w:r>
      <w:r>
        <w:rPr>
          <w:i/>
          <w:spacing w:val="-7"/>
          <w:sz w:val="18"/>
        </w:rPr>
        <w:t xml:space="preserve"> </w:t>
      </w:r>
      <w:r>
        <w:rPr>
          <w:sz w:val="18"/>
        </w:rPr>
        <w:t>para.</w:t>
      </w:r>
      <w:r>
        <w:rPr>
          <w:spacing w:val="-7"/>
          <w:sz w:val="18"/>
        </w:rPr>
        <w:t xml:space="preserve"> </w:t>
      </w:r>
      <w:r>
        <w:rPr>
          <w:spacing w:val="-2"/>
          <w:sz w:val="18"/>
        </w:rPr>
        <w:t>7.222.</w:t>
      </w:r>
    </w:p>
    <w:p w14:paraId="51DE9775" w14:textId="77777777" w:rsidR="0010369C" w:rsidRDefault="008E43AE">
      <w:pPr>
        <w:ind w:left="238"/>
        <w:rPr>
          <w:sz w:val="18"/>
        </w:rPr>
      </w:pPr>
      <w:r>
        <w:rPr>
          <w:sz w:val="18"/>
          <w:vertAlign w:val="superscript"/>
        </w:rPr>
        <w:t>1040</w:t>
      </w:r>
      <w:r>
        <w:rPr>
          <w:spacing w:val="-6"/>
          <w:sz w:val="18"/>
        </w:rPr>
        <w:t xml:space="preserve"> </w:t>
      </w:r>
      <w:r>
        <w:rPr>
          <w:sz w:val="18"/>
        </w:rPr>
        <w:t>Panel</w:t>
      </w:r>
      <w:r>
        <w:rPr>
          <w:spacing w:val="-6"/>
          <w:sz w:val="18"/>
        </w:rPr>
        <w:t xml:space="preserve"> </w:t>
      </w:r>
      <w:r>
        <w:rPr>
          <w:sz w:val="18"/>
        </w:rPr>
        <w:t>Report,</w:t>
      </w:r>
      <w:r>
        <w:rPr>
          <w:spacing w:val="-6"/>
          <w:sz w:val="18"/>
        </w:rPr>
        <w:t xml:space="preserve"> </w:t>
      </w:r>
      <w:r>
        <w:rPr>
          <w:i/>
          <w:sz w:val="18"/>
        </w:rPr>
        <w:t>EC</w:t>
      </w:r>
      <w:r>
        <w:rPr>
          <w:i/>
          <w:spacing w:val="-6"/>
          <w:sz w:val="18"/>
        </w:rPr>
        <w:t xml:space="preserve"> </w:t>
      </w:r>
      <w:r>
        <w:rPr>
          <w:i/>
          <w:sz w:val="18"/>
        </w:rPr>
        <w:t>‐Salmon</w:t>
      </w:r>
      <w:r>
        <w:rPr>
          <w:i/>
          <w:spacing w:val="-7"/>
          <w:sz w:val="18"/>
        </w:rPr>
        <w:t xml:space="preserve"> </w:t>
      </w:r>
      <w:r>
        <w:rPr>
          <w:i/>
          <w:sz w:val="18"/>
        </w:rPr>
        <w:t>(Norway)</w:t>
      </w:r>
      <w:r>
        <w:rPr>
          <w:sz w:val="18"/>
        </w:rPr>
        <w:t>,</w:t>
      </w:r>
      <w:r>
        <w:rPr>
          <w:spacing w:val="-6"/>
          <w:sz w:val="18"/>
        </w:rPr>
        <w:t xml:space="preserve"> </w:t>
      </w:r>
      <w:r>
        <w:rPr>
          <w:sz w:val="18"/>
        </w:rPr>
        <w:t>paras.</w:t>
      </w:r>
      <w:r>
        <w:rPr>
          <w:spacing w:val="-6"/>
          <w:sz w:val="18"/>
        </w:rPr>
        <w:t xml:space="preserve"> </w:t>
      </w:r>
      <w:r>
        <w:rPr>
          <w:spacing w:val="-2"/>
          <w:sz w:val="18"/>
        </w:rPr>
        <w:t>7.187‐7.188.</w:t>
      </w:r>
    </w:p>
    <w:p w14:paraId="51DE9776" w14:textId="77777777" w:rsidR="0010369C" w:rsidRDefault="008E43AE">
      <w:pPr>
        <w:ind w:left="238"/>
        <w:rPr>
          <w:sz w:val="18"/>
        </w:rPr>
      </w:pPr>
      <w:r>
        <w:rPr>
          <w:sz w:val="18"/>
          <w:vertAlign w:val="superscript"/>
        </w:rPr>
        <w:t>1041</w:t>
      </w:r>
      <w:r>
        <w:rPr>
          <w:spacing w:val="-5"/>
          <w:sz w:val="18"/>
        </w:rPr>
        <w:t xml:space="preserve"> </w:t>
      </w:r>
      <w:r>
        <w:rPr>
          <w:sz w:val="18"/>
        </w:rPr>
        <w:t>Panel</w:t>
      </w:r>
      <w:r>
        <w:rPr>
          <w:spacing w:val="-6"/>
          <w:sz w:val="18"/>
        </w:rPr>
        <w:t xml:space="preserve"> </w:t>
      </w:r>
      <w:r>
        <w:rPr>
          <w:sz w:val="18"/>
        </w:rPr>
        <w:t>Report,</w:t>
      </w:r>
      <w:r>
        <w:rPr>
          <w:spacing w:val="-5"/>
          <w:sz w:val="18"/>
        </w:rPr>
        <w:t xml:space="preserve"> </w:t>
      </w:r>
      <w:r>
        <w:rPr>
          <w:i/>
          <w:sz w:val="18"/>
        </w:rPr>
        <w:t>EC</w:t>
      </w:r>
      <w:r>
        <w:rPr>
          <w:i/>
          <w:spacing w:val="-6"/>
          <w:sz w:val="18"/>
        </w:rPr>
        <w:t xml:space="preserve"> </w:t>
      </w:r>
      <w:r>
        <w:rPr>
          <w:i/>
          <w:sz w:val="18"/>
        </w:rPr>
        <w:t>‐Salmon</w:t>
      </w:r>
      <w:r>
        <w:rPr>
          <w:i/>
          <w:spacing w:val="-6"/>
          <w:sz w:val="18"/>
        </w:rPr>
        <w:t xml:space="preserve"> </w:t>
      </w:r>
      <w:r>
        <w:rPr>
          <w:i/>
          <w:sz w:val="18"/>
        </w:rPr>
        <w:t>(Norway)</w:t>
      </w:r>
      <w:r>
        <w:rPr>
          <w:sz w:val="18"/>
        </w:rPr>
        <w:t>,</w:t>
      </w:r>
      <w:r>
        <w:rPr>
          <w:spacing w:val="-6"/>
          <w:sz w:val="18"/>
        </w:rPr>
        <w:t xml:space="preserve"> </w:t>
      </w:r>
      <w:r>
        <w:rPr>
          <w:sz w:val="18"/>
        </w:rPr>
        <w:t>para.</w:t>
      </w:r>
      <w:r>
        <w:rPr>
          <w:spacing w:val="-5"/>
          <w:sz w:val="18"/>
        </w:rPr>
        <w:t xml:space="preserve"> </w:t>
      </w:r>
      <w:r>
        <w:rPr>
          <w:sz w:val="18"/>
        </w:rPr>
        <w:t>7.</w:t>
      </w:r>
      <w:r>
        <w:rPr>
          <w:spacing w:val="-5"/>
          <w:sz w:val="18"/>
        </w:rPr>
        <w:t xml:space="preserve"> </w:t>
      </w:r>
      <w:r>
        <w:rPr>
          <w:spacing w:val="-4"/>
          <w:sz w:val="18"/>
        </w:rPr>
        <w:t>188.</w:t>
      </w:r>
    </w:p>
    <w:p w14:paraId="51DE9777" w14:textId="77777777" w:rsidR="0010369C" w:rsidRDefault="0010369C">
      <w:pPr>
        <w:rPr>
          <w:sz w:val="18"/>
        </w:rPr>
        <w:sectPr w:rsidR="0010369C">
          <w:pgSz w:w="11910" w:h="16840"/>
          <w:pgMar w:top="880" w:right="800" w:bottom="980" w:left="1180" w:header="569" w:footer="788" w:gutter="0"/>
          <w:cols w:space="720"/>
        </w:sectPr>
      </w:pPr>
    </w:p>
    <w:p w14:paraId="51DE9778" w14:textId="77777777" w:rsidR="0010369C" w:rsidRDefault="008E43AE">
      <w:pPr>
        <w:tabs>
          <w:tab w:val="left" w:pos="6426"/>
        </w:tabs>
        <w:ind w:left="238"/>
        <w:rPr>
          <w:sz w:val="20"/>
        </w:rPr>
      </w:pPr>
      <w:r>
        <w:rPr>
          <w:i/>
          <w:sz w:val="20"/>
        </w:rPr>
        <w:lastRenderedPageBreak/>
        <w:t>China</w:t>
      </w:r>
      <w:r>
        <w:rPr>
          <w:i/>
          <w:spacing w:val="-5"/>
          <w:sz w:val="20"/>
        </w:rPr>
        <w:t xml:space="preserve"> </w:t>
      </w:r>
      <w:r>
        <w:rPr>
          <w:i/>
          <w:sz w:val="20"/>
        </w:rPr>
        <w:t>–</w:t>
      </w:r>
      <w:r>
        <w:rPr>
          <w:i/>
          <w:spacing w:val="-5"/>
          <w:sz w:val="20"/>
        </w:rPr>
        <w:t xml:space="preserve"> </w:t>
      </w:r>
      <w:r>
        <w:rPr>
          <w:i/>
          <w:sz w:val="20"/>
        </w:rPr>
        <w:t>Anti‐Dumping</w:t>
      </w:r>
      <w:r>
        <w:rPr>
          <w:i/>
          <w:spacing w:val="-4"/>
          <w:sz w:val="20"/>
        </w:rPr>
        <w:t xml:space="preserve"> </w:t>
      </w:r>
      <w:r>
        <w:rPr>
          <w:i/>
          <w:sz w:val="20"/>
        </w:rPr>
        <w:t>and</w:t>
      </w:r>
      <w:r>
        <w:rPr>
          <w:i/>
          <w:spacing w:val="-5"/>
          <w:sz w:val="20"/>
        </w:rPr>
        <w:t xml:space="preserve"> </w:t>
      </w:r>
      <w:r>
        <w:rPr>
          <w:i/>
          <w:sz w:val="20"/>
        </w:rPr>
        <w:t>Countervailing</w:t>
      </w:r>
      <w:r>
        <w:rPr>
          <w:i/>
          <w:spacing w:val="-5"/>
          <w:sz w:val="20"/>
        </w:rPr>
        <w:t xml:space="preserve"> </w:t>
      </w:r>
      <w:r>
        <w:rPr>
          <w:i/>
          <w:sz w:val="20"/>
        </w:rPr>
        <w:t>Duty</w:t>
      </w:r>
      <w:r>
        <w:rPr>
          <w:i/>
          <w:spacing w:val="-4"/>
          <w:sz w:val="20"/>
        </w:rPr>
        <w:t xml:space="preserve"> </w:t>
      </w:r>
      <w:r>
        <w:rPr>
          <w:i/>
          <w:spacing w:val="-2"/>
          <w:sz w:val="20"/>
        </w:rPr>
        <w:t>Measures</w:t>
      </w:r>
      <w:r>
        <w:rPr>
          <w:i/>
          <w:sz w:val="20"/>
        </w:rPr>
        <w:tab/>
      </w:r>
      <w:r>
        <w:rPr>
          <w:sz w:val="20"/>
        </w:rPr>
        <w:t>Australia's</w:t>
      </w:r>
      <w:r>
        <w:rPr>
          <w:spacing w:val="-7"/>
          <w:sz w:val="20"/>
        </w:rPr>
        <w:t xml:space="preserve"> </w:t>
      </w:r>
      <w:r>
        <w:rPr>
          <w:sz w:val="20"/>
        </w:rPr>
        <w:t>First</w:t>
      </w:r>
      <w:r>
        <w:rPr>
          <w:spacing w:val="-2"/>
          <w:sz w:val="20"/>
        </w:rPr>
        <w:t xml:space="preserve"> </w:t>
      </w:r>
      <w:r>
        <w:rPr>
          <w:sz w:val="20"/>
        </w:rPr>
        <w:t>Written</w:t>
      </w:r>
      <w:r>
        <w:rPr>
          <w:spacing w:val="-2"/>
          <w:sz w:val="20"/>
        </w:rPr>
        <w:t xml:space="preserve"> Submission</w:t>
      </w:r>
    </w:p>
    <w:p w14:paraId="51DE9779" w14:textId="77777777" w:rsidR="0010369C" w:rsidRDefault="008E43AE">
      <w:pPr>
        <w:tabs>
          <w:tab w:val="left" w:pos="8228"/>
        </w:tabs>
        <w:spacing w:before="1"/>
        <w:ind w:left="239"/>
        <w:rPr>
          <w:sz w:val="20"/>
        </w:rPr>
      </w:pPr>
      <w:r>
        <w:rPr>
          <w:i/>
          <w:sz w:val="20"/>
        </w:rPr>
        <w:t>on</w:t>
      </w:r>
      <w:r>
        <w:rPr>
          <w:i/>
          <w:spacing w:val="-1"/>
          <w:sz w:val="20"/>
        </w:rPr>
        <w:t xml:space="preserve"> </w:t>
      </w:r>
      <w:r>
        <w:rPr>
          <w:i/>
          <w:sz w:val="20"/>
        </w:rPr>
        <w:t>Wine</w:t>
      </w:r>
      <w:r>
        <w:rPr>
          <w:i/>
          <w:spacing w:val="-1"/>
          <w:sz w:val="20"/>
        </w:rPr>
        <w:t xml:space="preserve"> </w:t>
      </w:r>
      <w:r>
        <w:rPr>
          <w:i/>
          <w:sz w:val="20"/>
        </w:rPr>
        <w:t>from</w:t>
      </w:r>
      <w:r>
        <w:rPr>
          <w:i/>
          <w:spacing w:val="-3"/>
          <w:sz w:val="20"/>
        </w:rPr>
        <w:t xml:space="preserve"> </w:t>
      </w:r>
      <w:r>
        <w:rPr>
          <w:i/>
          <w:sz w:val="20"/>
        </w:rPr>
        <w:t>Australia</w:t>
      </w:r>
      <w:r>
        <w:rPr>
          <w:i/>
          <w:spacing w:val="-1"/>
          <w:sz w:val="20"/>
        </w:rPr>
        <w:t xml:space="preserve"> </w:t>
      </w:r>
      <w:r>
        <w:rPr>
          <w:spacing w:val="-2"/>
          <w:sz w:val="20"/>
        </w:rPr>
        <w:t>(DS602)</w:t>
      </w:r>
      <w:r>
        <w:rPr>
          <w:sz w:val="20"/>
        </w:rPr>
        <w:tab/>
        <w:t>29</w:t>
      </w:r>
      <w:r>
        <w:rPr>
          <w:spacing w:val="-1"/>
          <w:sz w:val="20"/>
        </w:rPr>
        <w:t xml:space="preserve"> </w:t>
      </w:r>
      <w:r>
        <w:rPr>
          <w:sz w:val="20"/>
        </w:rPr>
        <w:t>April</w:t>
      </w:r>
      <w:r>
        <w:rPr>
          <w:spacing w:val="-2"/>
          <w:sz w:val="20"/>
        </w:rPr>
        <w:t xml:space="preserve"> </w:t>
      </w:r>
      <w:r>
        <w:rPr>
          <w:spacing w:val="-4"/>
          <w:sz w:val="20"/>
        </w:rPr>
        <w:t>2022</w:t>
      </w:r>
    </w:p>
    <w:p w14:paraId="51DE977A" w14:textId="77777777" w:rsidR="0010369C" w:rsidRDefault="008E43AE">
      <w:pPr>
        <w:pStyle w:val="Heading4"/>
        <w:numPr>
          <w:ilvl w:val="2"/>
          <w:numId w:val="75"/>
        </w:numPr>
        <w:tabs>
          <w:tab w:val="left" w:pos="2649"/>
          <w:tab w:val="left" w:pos="2650"/>
        </w:tabs>
        <w:spacing w:before="35"/>
        <w:ind w:left="2649" w:hanging="852"/>
      </w:pPr>
      <w:r>
        <w:t>Construction</w:t>
      </w:r>
      <w:r>
        <w:rPr>
          <w:spacing w:val="-8"/>
        </w:rPr>
        <w:t xml:space="preserve"> </w:t>
      </w:r>
      <w:r>
        <w:t>of</w:t>
      </w:r>
      <w:r>
        <w:rPr>
          <w:spacing w:val="-8"/>
        </w:rPr>
        <w:t xml:space="preserve"> </w:t>
      </w:r>
      <w:r>
        <w:t>the</w:t>
      </w:r>
      <w:r>
        <w:rPr>
          <w:spacing w:val="-7"/>
        </w:rPr>
        <w:t xml:space="preserve"> </w:t>
      </w:r>
      <w:r>
        <w:rPr>
          <w:spacing w:val="-2"/>
        </w:rPr>
        <w:t>sample</w:t>
      </w:r>
    </w:p>
    <w:p w14:paraId="51DE977B" w14:textId="77777777" w:rsidR="0010369C" w:rsidRDefault="0010369C">
      <w:pPr>
        <w:pStyle w:val="BodyText"/>
        <w:spacing w:before="9"/>
        <w:rPr>
          <w:b/>
          <w:sz w:val="20"/>
        </w:rPr>
      </w:pPr>
    </w:p>
    <w:p w14:paraId="51DE977C" w14:textId="77777777" w:rsidR="0010369C" w:rsidRDefault="008E43AE">
      <w:pPr>
        <w:pStyle w:val="BodyText"/>
        <w:spacing w:before="52" w:line="360" w:lineRule="auto"/>
        <w:ind w:left="236" w:right="612" w:firstLine="852"/>
        <w:jc w:val="both"/>
      </w:pPr>
      <w:r>
        <w:rPr>
          <w:noProof/>
        </w:rPr>
        <w:drawing>
          <wp:anchor distT="0" distB="0" distL="0" distR="0" simplePos="0" relativeHeight="251476480" behindDoc="1" locked="0" layoutInCell="1" allowOverlap="1" wp14:anchorId="51DEA763" wp14:editId="51DEA764">
            <wp:simplePos x="0" y="0"/>
            <wp:positionH relativeFrom="page">
              <wp:posOffset>902208</wp:posOffset>
            </wp:positionH>
            <wp:positionV relativeFrom="paragraph">
              <wp:posOffset>81357</wp:posOffset>
            </wp:positionV>
            <wp:extent cx="262127" cy="103631"/>
            <wp:effectExtent l="0" t="0" r="0" b="0"/>
            <wp:wrapNone/>
            <wp:docPr id="1719" name="image8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 name="image887.png"/>
                    <pic:cNvPicPr/>
                  </pic:nvPicPr>
                  <pic:blipFill>
                    <a:blip r:embed="rId1152" cstate="print"/>
                    <a:stretch>
                      <a:fillRect/>
                    </a:stretch>
                  </pic:blipFill>
                  <pic:spPr>
                    <a:xfrm>
                      <a:off x="0" y="0"/>
                      <a:ext cx="262127" cy="103631"/>
                    </a:xfrm>
                    <a:prstGeom prst="rect">
                      <a:avLst/>
                    </a:prstGeom>
                  </pic:spPr>
                </pic:pic>
              </a:graphicData>
            </a:graphic>
          </wp:anchor>
        </w:drawing>
      </w:r>
      <w:r>
        <w:t>Interested parties were advised of MOFCOM's intention to employ a sampling methodology on 15</w:t>
      </w:r>
      <w:r>
        <w:rPr>
          <w:spacing w:val="-3"/>
        </w:rPr>
        <w:t xml:space="preserve"> </w:t>
      </w:r>
      <w:r>
        <w:t>September</w:t>
      </w:r>
      <w:r>
        <w:rPr>
          <w:spacing w:val="-1"/>
        </w:rPr>
        <w:t xml:space="preserve"> </w:t>
      </w:r>
      <w:r>
        <w:t>2020, when MOFCOM issued a sampling questionnaire to registe</w:t>
      </w:r>
      <w:r>
        <w:t>red Australian exporters. On 27</w:t>
      </w:r>
      <w:r>
        <w:rPr>
          <w:spacing w:val="-2"/>
        </w:rPr>
        <w:t xml:space="preserve"> </w:t>
      </w:r>
      <w:r>
        <w:t>September 2020, MOFCOM announced that it had selected three Australian wine exporters for its sample, Treasury Wines, Casella Wines and Swan</w:t>
      </w:r>
      <w:r>
        <w:rPr>
          <w:spacing w:val="-12"/>
        </w:rPr>
        <w:t xml:space="preserve"> </w:t>
      </w:r>
      <w:r>
        <w:t>Vintage,</w:t>
      </w:r>
      <w:r>
        <w:rPr>
          <w:spacing w:val="-12"/>
        </w:rPr>
        <w:t xml:space="preserve"> </w:t>
      </w:r>
      <w:r>
        <w:t>purportedly</w:t>
      </w:r>
      <w:r>
        <w:rPr>
          <w:spacing w:val="-11"/>
        </w:rPr>
        <w:t xml:space="preserve"> </w:t>
      </w:r>
      <w:r>
        <w:t>constituting</w:t>
      </w:r>
      <w:r>
        <w:rPr>
          <w:spacing w:val="-13"/>
        </w:rPr>
        <w:t xml:space="preserve"> </w:t>
      </w:r>
      <w:r>
        <w:t>the</w:t>
      </w:r>
      <w:r>
        <w:rPr>
          <w:spacing w:val="-12"/>
        </w:rPr>
        <w:t xml:space="preserve"> </w:t>
      </w:r>
      <w:r>
        <w:t>top</w:t>
      </w:r>
      <w:r>
        <w:rPr>
          <w:spacing w:val="-12"/>
        </w:rPr>
        <w:t xml:space="preserve"> </w:t>
      </w:r>
      <w:r>
        <w:t>three</w:t>
      </w:r>
      <w:r>
        <w:rPr>
          <w:spacing w:val="-13"/>
        </w:rPr>
        <w:t xml:space="preserve"> </w:t>
      </w:r>
      <w:r>
        <w:t>exporters</w:t>
      </w:r>
      <w:r>
        <w:rPr>
          <w:spacing w:val="-13"/>
        </w:rPr>
        <w:t xml:space="preserve"> </w:t>
      </w:r>
      <w:r>
        <w:t>by</w:t>
      </w:r>
      <w:r>
        <w:rPr>
          <w:spacing w:val="-12"/>
        </w:rPr>
        <w:t xml:space="preserve"> </w:t>
      </w:r>
      <w:r>
        <w:t>volume</w:t>
      </w:r>
      <w:r>
        <w:rPr>
          <w:spacing w:val="-13"/>
        </w:rPr>
        <w:t xml:space="preserve"> </w:t>
      </w:r>
      <w:r>
        <w:t>amongst</w:t>
      </w:r>
      <w:r>
        <w:rPr>
          <w:spacing w:val="-12"/>
        </w:rPr>
        <w:t xml:space="preserve"> </w:t>
      </w:r>
      <w:r>
        <w:t>those</w:t>
      </w:r>
      <w:r>
        <w:rPr>
          <w:spacing w:val="-12"/>
        </w:rPr>
        <w:t xml:space="preserve"> </w:t>
      </w:r>
      <w:r>
        <w:t>that had submitted responses to the Sampling Questionnaire.</w:t>
      </w:r>
      <w:r>
        <w:rPr>
          <w:vertAlign w:val="superscript"/>
        </w:rPr>
        <w:t>1042</w:t>
      </w:r>
      <w:r>
        <w:t xml:space="preserve"> MOFCOM disregarded comments</w:t>
      </w:r>
      <w:r>
        <w:rPr>
          <w:spacing w:val="-14"/>
        </w:rPr>
        <w:t xml:space="preserve"> </w:t>
      </w:r>
      <w:r>
        <w:t>from</w:t>
      </w:r>
      <w:r>
        <w:rPr>
          <w:spacing w:val="-12"/>
        </w:rPr>
        <w:t xml:space="preserve"> </w:t>
      </w:r>
      <w:r>
        <w:t>several</w:t>
      </w:r>
      <w:r>
        <w:rPr>
          <w:spacing w:val="-14"/>
        </w:rPr>
        <w:t xml:space="preserve"> </w:t>
      </w:r>
      <w:r>
        <w:t>parties</w:t>
      </w:r>
      <w:r>
        <w:rPr>
          <w:spacing w:val="-12"/>
        </w:rPr>
        <w:t xml:space="preserve"> </w:t>
      </w:r>
      <w:r>
        <w:t>that</w:t>
      </w:r>
      <w:r>
        <w:rPr>
          <w:spacing w:val="-14"/>
        </w:rPr>
        <w:t xml:space="preserve"> </w:t>
      </w:r>
      <w:r>
        <w:t>the</w:t>
      </w:r>
      <w:r>
        <w:rPr>
          <w:spacing w:val="-12"/>
        </w:rPr>
        <w:t xml:space="preserve"> </w:t>
      </w:r>
      <w:r>
        <w:t>chosen</w:t>
      </w:r>
      <w:r>
        <w:rPr>
          <w:spacing w:val="-13"/>
        </w:rPr>
        <w:t xml:space="preserve"> </w:t>
      </w:r>
      <w:r>
        <w:t>sample</w:t>
      </w:r>
      <w:r>
        <w:rPr>
          <w:spacing w:val="-12"/>
        </w:rPr>
        <w:t xml:space="preserve"> </w:t>
      </w:r>
      <w:r>
        <w:t>was</w:t>
      </w:r>
      <w:r>
        <w:rPr>
          <w:spacing w:val="-14"/>
        </w:rPr>
        <w:t xml:space="preserve"> </w:t>
      </w:r>
      <w:r>
        <w:t>not</w:t>
      </w:r>
      <w:r>
        <w:rPr>
          <w:spacing w:val="-12"/>
        </w:rPr>
        <w:t xml:space="preserve"> </w:t>
      </w:r>
      <w:r>
        <w:t>representative</w:t>
      </w:r>
      <w:r>
        <w:rPr>
          <w:spacing w:val="-12"/>
        </w:rPr>
        <w:t xml:space="preserve"> </w:t>
      </w:r>
      <w:r>
        <w:t>of</w:t>
      </w:r>
      <w:r>
        <w:rPr>
          <w:spacing w:val="-14"/>
        </w:rPr>
        <w:t xml:space="preserve"> </w:t>
      </w:r>
      <w:r>
        <w:t>the</w:t>
      </w:r>
      <w:r>
        <w:rPr>
          <w:spacing w:val="-12"/>
        </w:rPr>
        <w:t xml:space="preserve"> </w:t>
      </w:r>
      <w:r>
        <w:t>diversity of Australian wine exports, and rebuffed Pernod Ricard's request to be inc</w:t>
      </w:r>
      <w:r>
        <w:t>luded as a fourth sampled company.</w:t>
      </w:r>
      <w:r>
        <w:rPr>
          <w:vertAlign w:val="superscript"/>
        </w:rPr>
        <w:t>1043</w:t>
      </w:r>
      <w:r>
        <w:t xml:space="preserve"> On 10 October 2020, MOFCOM proceeded to issue the Anti‐Dumping Questionnaire to Treasury Wines, Casella Wines and Swan Vintage.</w:t>
      </w:r>
    </w:p>
    <w:p w14:paraId="51DE977D" w14:textId="77777777" w:rsidR="0010369C" w:rsidRDefault="0010369C">
      <w:pPr>
        <w:pStyle w:val="BodyText"/>
        <w:spacing w:before="11"/>
        <w:rPr>
          <w:sz w:val="8"/>
        </w:rPr>
      </w:pPr>
    </w:p>
    <w:p w14:paraId="51DE977E" w14:textId="77777777" w:rsidR="0010369C" w:rsidRDefault="008E43AE">
      <w:pPr>
        <w:pStyle w:val="BodyText"/>
        <w:spacing w:before="52" w:line="360" w:lineRule="auto"/>
        <w:ind w:left="238" w:right="612" w:firstLine="850"/>
        <w:jc w:val="both"/>
      </w:pPr>
      <w:r>
        <w:rPr>
          <w:noProof/>
        </w:rPr>
        <w:drawing>
          <wp:anchor distT="0" distB="0" distL="0" distR="0" simplePos="0" relativeHeight="251477504" behindDoc="1" locked="0" layoutInCell="1" allowOverlap="1" wp14:anchorId="51DEA765" wp14:editId="51DEA766">
            <wp:simplePos x="0" y="0"/>
            <wp:positionH relativeFrom="page">
              <wp:posOffset>902208</wp:posOffset>
            </wp:positionH>
            <wp:positionV relativeFrom="paragraph">
              <wp:posOffset>81357</wp:posOffset>
            </wp:positionV>
            <wp:extent cx="262127" cy="103631"/>
            <wp:effectExtent l="0" t="0" r="0" b="0"/>
            <wp:wrapNone/>
            <wp:docPr id="1721" name="image8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 name="image888.png"/>
                    <pic:cNvPicPr/>
                  </pic:nvPicPr>
                  <pic:blipFill>
                    <a:blip r:embed="rId1153" cstate="print"/>
                    <a:stretch>
                      <a:fillRect/>
                    </a:stretch>
                  </pic:blipFill>
                  <pic:spPr>
                    <a:xfrm>
                      <a:off x="0" y="0"/>
                      <a:ext cx="262127" cy="103631"/>
                    </a:xfrm>
                    <a:prstGeom prst="rect">
                      <a:avLst/>
                    </a:prstGeom>
                  </pic:spPr>
                </pic:pic>
              </a:graphicData>
            </a:graphic>
          </wp:anchor>
        </w:drawing>
      </w:r>
      <w:r>
        <w:t>MOFCOM explained that "those Australian producers having submitted responses were</w:t>
      </w:r>
      <w:r>
        <w:rPr>
          <w:spacing w:val="-5"/>
        </w:rPr>
        <w:t xml:space="preserve"> </w:t>
      </w:r>
      <w:r>
        <w:t>seque</w:t>
      </w:r>
      <w:r>
        <w:t>nced</w:t>
      </w:r>
      <w:r>
        <w:rPr>
          <w:spacing w:val="-5"/>
        </w:rPr>
        <w:t xml:space="preserve"> </w:t>
      </w:r>
      <w:r>
        <w:t>based</w:t>
      </w:r>
      <w:r>
        <w:rPr>
          <w:spacing w:val="-5"/>
        </w:rPr>
        <w:t xml:space="preserve"> </w:t>
      </w:r>
      <w:r>
        <w:t>on</w:t>
      </w:r>
      <w:r>
        <w:rPr>
          <w:spacing w:val="-5"/>
        </w:rPr>
        <w:t xml:space="preserve"> </w:t>
      </w:r>
      <w:r>
        <w:t>their</w:t>
      </w:r>
      <w:r>
        <w:rPr>
          <w:spacing w:val="-5"/>
        </w:rPr>
        <w:t xml:space="preserve"> </w:t>
      </w:r>
      <w:r>
        <w:t>reported</w:t>
      </w:r>
      <w:r>
        <w:rPr>
          <w:spacing w:val="-6"/>
        </w:rPr>
        <w:t xml:space="preserve"> </w:t>
      </w:r>
      <w:r>
        <w:t>exports,</w:t>
      </w:r>
      <w:r>
        <w:rPr>
          <w:spacing w:val="-6"/>
        </w:rPr>
        <w:t xml:space="preserve"> </w:t>
      </w:r>
      <w:r>
        <w:t>and</w:t>
      </w:r>
      <w:r>
        <w:rPr>
          <w:spacing w:val="-5"/>
        </w:rPr>
        <w:t xml:space="preserve"> </w:t>
      </w:r>
      <w:r>
        <w:t>Top</w:t>
      </w:r>
      <w:r>
        <w:rPr>
          <w:spacing w:val="-5"/>
        </w:rPr>
        <w:t xml:space="preserve"> </w:t>
      </w:r>
      <w:r>
        <w:t>3</w:t>
      </w:r>
      <w:r>
        <w:rPr>
          <w:spacing w:val="-6"/>
        </w:rPr>
        <w:t xml:space="preserve"> </w:t>
      </w:r>
      <w:r>
        <w:t>producers</w:t>
      </w:r>
      <w:r>
        <w:rPr>
          <w:spacing w:val="-5"/>
        </w:rPr>
        <w:t xml:space="preserve"> </w:t>
      </w:r>
      <w:r>
        <w:t>with</w:t>
      </w:r>
      <w:r>
        <w:rPr>
          <w:spacing w:val="-5"/>
        </w:rPr>
        <w:t xml:space="preserve"> </w:t>
      </w:r>
      <w:r>
        <w:t>the</w:t>
      </w:r>
      <w:r>
        <w:rPr>
          <w:spacing w:val="-4"/>
        </w:rPr>
        <w:t xml:space="preserve"> </w:t>
      </w:r>
      <w:r>
        <w:t>most</w:t>
      </w:r>
      <w:r>
        <w:rPr>
          <w:spacing w:val="-5"/>
        </w:rPr>
        <w:t xml:space="preserve"> </w:t>
      </w:r>
      <w:r>
        <w:t>exports were selected as the samples".</w:t>
      </w:r>
      <w:r>
        <w:rPr>
          <w:vertAlign w:val="superscript"/>
        </w:rPr>
        <w:t>1044</w:t>
      </w:r>
    </w:p>
    <w:p w14:paraId="51DE977F" w14:textId="77777777" w:rsidR="0010369C" w:rsidRDefault="0010369C">
      <w:pPr>
        <w:pStyle w:val="BodyText"/>
        <w:spacing w:before="11"/>
        <w:rPr>
          <w:sz w:val="8"/>
        </w:rPr>
      </w:pPr>
    </w:p>
    <w:p w14:paraId="51DE9780" w14:textId="77777777" w:rsidR="0010369C" w:rsidRDefault="008E43AE">
      <w:pPr>
        <w:pStyle w:val="BodyText"/>
        <w:spacing w:before="51" w:line="360" w:lineRule="auto"/>
        <w:ind w:left="237" w:right="613" w:firstLine="851"/>
        <w:jc w:val="both"/>
      </w:pPr>
      <w:r>
        <w:rPr>
          <w:noProof/>
        </w:rPr>
        <w:drawing>
          <wp:anchor distT="0" distB="0" distL="0" distR="0" simplePos="0" relativeHeight="251478528" behindDoc="1" locked="0" layoutInCell="1" allowOverlap="1" wp14:anchorId="51DEA767" wp14:editId="51DEA768">
            <wp:simplePos x="0" y="0"/>
            <wp:positionH relativeFrom="page">
              <wp:posOffset>902208</wp:posOffset>
            </wp:positionH>
            <wp:positionV relativeFrom="paragraph">
              <wp:posOffset>80722</wp:posOffset>
            </wp:positionV>
            <wp:extent cx="262127" cy="103631"/>
            <wp:effectExtent l="0" t="0" r="0" b="0"/>
            <wp:wrapNone/>
            <wp:docPr id="1723" name="image8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 name="image889.png"/>
                    <pic:cNvPicPr/>
                  </pic:nvPicPr>
                  <pic:blipFill>
                    <a:blip r:embed="rId1154" cstate="print"/>
                    <a:stretch>
                      <a:fillRect/>
                    </a:stretch>
                  </pic:blipFill>
                  <pic:spPr>
                    <a:xfrm>
                      <a:off x="0" y="0"/>
                      <a:ext cx="262127" cy="103631"/>
                    </a:xfrm>
                    <a:prstGeom prst="rect">
                      <a:avLst/>
                    </a:prstGeom>
                  </pic:spPr>
                </pic:pic>
              </a:graphicData>
            </a:graphic>
          </wp:anchor>
        </w:drawing>
      </w:r>
      <w:r>
        <w:t>Australia</w:t>
      </w:r>
      <w:r>
        <w:rPr>
          <w:spacing w:val="-3"/>
        </w:rPr>
        <w:t xml:space="preserve"> </w:t>
      </w:r>
      <w:r>
        <w:t>proceeds</w:t>
      </w:r>
      <w:r>
        <w:rPr>
          <w:spacing w:val="-2"/>
        </w:rPr>
        <w:t xml:space="preserve"> </w:t>
      </w:r>
      <w:r>
        <w:t>on</w:t>
      </w:r>
      <w:r>
        <w:rPr>
          <w:spacing w:val="-3"/>
        </w:rPr>
        <w:t xml:space="preserve"> </w:t>
      </w:r>
      <w:r>
        <w:t>the</w:t>
      </w:r>
      <w:r>
        <w:rPr>
          <w:spacing w:val="-2"/>
        </w:rPr>
        <w:t xml:space="preserve"> </w:t>
      </w:r>
      <w:r>
        <w:t>assumption</w:t>
      </w:r>
      <w:r>
        <w:rPr>
          <w:spacing w:val="-3"/>
        </w:rPr>
        <w:t xml:space="preserve"> </w:t>
      </w:r>
      <w:r>
        <w:t>that</w:t>
      </w:r>
      <w:r>
        <w:rPr>
          <w:spacing w:val="-3"/>
        </w:rPr>
        <w:t xml:space="preserve"> </w:t>
      </w:r>
      <w:r>
        <w:t>MOFCOM</w:t>
      </w:r>
      <w:r>
        <w:rPr>
          <w:spacing w:val="-2"/>
        </w:rPr>
        <w:t xml:space="preserve"> </w:t>
      </w:r>
      <w:r>
        <w:t>constructed</w:t>
      </w:r>
      <w:r>
        <w:rPr>
          <w:spacing w:val="-3"/>
        </w:rPr>
        <w:t xml:space="preserve"> </w:t>
      </w:r>
      <w:r>
        <w:t>the</w:t>
      </w:r>
      <w:r>
        <w:rPr>
          <w:spacing w:val="-2"/>
        </w:rPr>
        <w:t xml:space="preserve"> </w:t>
      </w:r>
      <w:r>
        <w:t>sample</w:t>
      </w:r>
      <w:r>
        <w:rPr>
          <w:spacing w:val="-3"/>
        </w:rPr>
        <w:t xml:space="preserve"> </w:t>
      </w:r>
      <w:r>
        <w:t>on</w:t>
      </w:r>
      <w:r>
        <w:rPr>
          <w:spacing w:val="-3"/>
        </w:rPr>
        <w:t xml:space="preserve"> </w:t>
      </w:r>
      <w:r>
        <w:t>the basis that it was the largest percentage of the volume of the exports from the country in question</w:t>
      </w:r>
      <w:r>
        <w:rPr>
          <w:spacing w:val="-12"/>
        </w:rPr>
        <w:t xml:space="preserve"> </w:t>
      </w:r>
      <w:r>
        <w:t>that</w:t>
      </w:r>
      <w:r>
        <w:rPr>
          <w:spacing w:val="-12"/>
        </w:rPr>
        <w:t xml:space="preserve"> </w:t>
      </w:r>
      <w:r>
        <w:t>could</w:t>
      </w:r>
      <w:r>
        <w:rPr>
          <w:spacing w:val="-13"/>
        </w:rPr>
        <w:t xml:space="preserve"> </w:t>
      </w:r>
      <w:r>
        <w:t>reasonably</w:t>
      </w:r>
      <w:r>
        <w:rPr>
          <w:spacing w:val="-11"/>
        </w:rPr>
        <w:t xml:space="preserve"> </w:t>
      </w:r>
      <w:r>
        <w:t>be</w:t>
      </w:r>
      <w:r>
        <w:rPr>
          <w:spacing w:val="-12"/>
        </w:rPr>
        <w:t xml:space="preserve"> </w:t>
      </w:r>
      <w:r>
        <w:t>investigated,</w:t>
      </w:r>
      <w:r>
        <w:rPr>
          <w:spacing w:val="-13"/>
        </w:rPr>
        <w:t xml:space="preserve"> </w:t>
      </w:r>
      <w:r>
        <w:t>rather</w:t>
      </w:r>
      <w:r>
        <w:rPr>
          <w:spacing w:val="-13"/>
        </w:rPr>
        <w:t xml:space="preserve"> </w:t>
      </w:r>
      <w:r>
        <w:t>than</w:t>
      </w:r>
      <w:r>
        <w:rPr>
          <w:spacing w:val="-13"/>
        </w:rPr>
        <w:t xml:space="preserve"> </w:t>
      </w:r>
      <w:r>
        <w:t>on</w:t>
      </w:r>
      <w:r>
        <w:rPr>
          <w:spacing w:val="-12"/>
        </w:rPr>
        <w:t xml:space="preserve"> </w:t>
      </w:r>
      <w:r>
        <w:t>the</w:t>
      </w:r>
      <w:r>
        <w:rPr>
          <w:spacing w:val="-12"/>
        </w:rPr>
        <w:t xml:space="preserve"> </w:t>
      </w:r>
      <w:r>
        <w:t>basis</w:t>
      </w:r>
      <w:r>
        <w:rPr>
          <w:spacing w:val="-12"/>
        </w:rPr>
        <w:t xml:space="preserve"> </w:t>
      </w:r>
      <w:r>
        <w:t>of</w:t>
      </w:r>
      <w:r>
        <w:rPr>
          <w:spacing w:val="-12"/>
        </w:rPr>
        <w:t xml:space="preserve"> </w:t>
      </w:r>
      <w:r>
        <w:t>it</w:t>
      </w:r>
      <w:r>
        <w:rPr>
          <w:spacing w:val="-12"/>
        </w:rPr>
        <w:t xml:space="preserve"> </w:t>
      </w:r>
      <w:r>
        <w:t>being</w:t>
      </w:r>
      <w:r>
        <w:rPr>
          <w:spacing w:val="-12"/>
        </w:rPr>
        <w:t xml:space="preserve"> </w:t>
      </w:r>
      <w:r>
        <w:t>statistically valid, notwithstanding MOFCOM's assertions about the sample bei</w:t>
      </w:r>
      <w:r>
        <w:t>ng representative and the citation of submissions from interested parties about statistical validity of the sample.</w:t>
      </w:r>
      <w:r>
        <w:rPr>
          <w:vertAlign w:val="superscript"/>
        </w:rPr>
        <w:t>1045</w:t>
      </w:r>
    </w:p>
    <w:p w14:paraId="51DE9781" w14:textId="77777777" w:rsidR="0010369C" w:rsidRDefault="0010369C">
      <w:pPr>
        <w:pStyle w:val="BodyText"/>
        <w:spacing w:before="11"/>
        <w:rPr>
          <w:sz w:val="8"/>
        </w:rPr>
      </w:pPr>
    </w:p>
    <w:p w14:paraId="51DE9782" w14:textId="77777777" w:rsidR="0010369C" w:rsidRDefault="008E43AE">
      <w:pPr>
        <w:pStyle w:val="BodyText"/>
        <w:spacing w:before="51" w:line="360" w:lineRule="auto"/>
        <w:ind w:left="237" w:right="613" w:firstLine="851"/>
        <w:jc w:val="both"/>
      </w:pPr>
      <w:r>
        <w:rPr>
          <w:noProof/>
        </w:rPr>
        <w:drawing>
          <wp:anchor distT="0" distB="0" distL="0" distR="0" simplePos="0" relativeHeight="251479552" behindDoc="1" locked="0" layoutInCell="1" allowOverlap="1" wp14:anchorId="51DEA769" wp14:editId="51DEA76A">
            <wp:simplePos x="0" y="0"/>
            <wp:positionH relativeFrom="page">
              <wp:posOffset>902208</wp:posOffset>
            </wp:positionH>
            <wp:positionV relativeFrom="paragraph">
              <wp:posOffset>80722</wp:posOffset>
            </wp:positionV>
            <wp:extent cx="262127" cy="103631"/>
            <wp:effectExtent l="0" t="0" r="0" b="0"/>
            <wp:wrapNone/>
            <wp:docPr id="1725" name="image8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 name="image890.png"/>
                    <pic:cNvPicPr/>
                  </pic:nvPicPr>
                  <pic:blipFill>
                    <a:blip r:embed="rId1155" cstate="print"/>
                    <a:stretch>
                      <a:fillRect/>
                    </a:stretch>
                  </pic:blipFill>
                  <pic:spPr>
                    <a:xfrm>
                      <a:off x="0" y="0"/>
                      <a:ext cx="262127" cy="103631"/>
                    </a:xfrm>
                    <a:prstGeom prst="rect">
                      <a:avLst/>
                    </a:prstGeom>
                  </pic:spPr>
                </pic:pic>
              </a:graphicData>
            </a:graphic>
          </wp:anchor>
        </w:drawing>
      </w:r>
      <w:r>
        <w:t>Accordingly,</w:t>
      </w:r>
      <w:r>
        <w:rPr>
          <w:spacing w:val="-3"/>
        </w:rPr>
        <w:t xml:space="preserve"> </w:t>
      </w:r>
      <w:r>
        <w:t>for the sample to have been validly</w:t>
      </w:r>
      <w:r>
        <w:rPr>
          <w:spacing w:val="-2"/>
        </w:rPr>
        <w:t xml:space="preserve"> </w:t>
      </w:r>
      <w:r>
        <w:t>constructed, MOFCOM was</w:t>
      </w:r>
      <w:r>
        <w:rPr>
          <w:spacing w:val="-1"/>
        </w:rPr>
        <w:t xml:space="preserve"> </w:t>
      </w:r>
      <w:r>
        <w:t>obliged to construct</w:t>
      </w:r>
      <w:r>
        <w:rPr>
          <w:spacing w:val="-2"/>
        </w:rPr>
        <w:t xml:space="preserve"> </w:t>
      </w:r>
      <w:r>
        <w:t>it from the</w:t>
      </w:r>
      <w:r>
        <w:rPr>
          <w:spacing w:val="-1"/>
        </w:rPr>
        <w:t xml:space="preserve"> </w:t>
      </w:r>
      <w:r>
        <w:t>"largest percentage of the v</w:t>
      </w:r>
      <w:r>
        <w:t>olume of the exports</w:t>
      </w:r>
      <w:r>
        <w:rPr>
          <w:spacing w:val="-1"/>
        </w:rPr>
        <w:t xml:space="preserve"> </w:t>
      </w:r>
      <w:r>
        <w:t>from the country</w:t>
      </w:r>
      <w:r>
        <w:rPr>
          <w:spacing w:val="-3"/>
        </w:rPr>
        <w:t xml:space="preserve"> </w:t>
      </w:r>
      <w:r>
        <w:t>in question which can reasonably be investigated". MOFCOM failed to construct a sample that allowed it to meet this standard.</w:t>
      </w:r>
    </w:p>
    <w:p w14:paraId="51DE9783" w14:textId="77777777" w:rsidR="0010369C" w:rsidRDefault="0010369C">
      <w:pPr>
        <w:pStyle w:val="BodyText"/>
        <w:spacing w:before="11"/>
        <w:rPr>
          <w:sz w:val="8"/>
        </w:rPr>
      </w:pPr>
    </w:p>
    <w:p w14:paraId="51DE9784" w14:textId="77777777" w:rsidR="0010369C" w:rsidRDefault="008E43AE">
      <w:pPr>
        <w:pStyle w:val="BodyText"/>
        <w:spacing w:before="51" w:line="360" w:lineRule="auto"/>
        <w:ind w:left="238" w:right="611" w:firstLine="850"/>
      </w:pPr>
      <w:r>
        <w:rPr>
          <w:noProof/>
        </w:rPr>
        <w:drawing>
          <wp:anchor distT="0" distB="0" distL="0" distR="0" simplePos="0" relativeHeight="251480576" behindDoc="1" locked="0" layoutInCell="1" allowOverlap="1" wp14:anchorId="51DEA76B" wp14:editId="51DEA76C">
            <wp:simplePos x="0" y="0"/>
            <wp:positionH relativeFrom="page">
              <wp:posOffset>902208</wp:posOffset>
            </wp:positionH>
            <wp:positionV relativeFrom="paragraph">
              <wp:posOffset>76150</wp:posOffset>
            </wp:positionV>
            <wp:extent cx="262127" cy="106679"/>
            <wp:effectExtent l="0" t="0" r="0" b="0"/>
            <wp:wrapNone/>
            <wp:docPr id="1727" name="image8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 name="image891.png"/>
                    <pic:cNvPicPr/>
                  </pic:nvPicPr>
                  <pic:blipFill>
                    <a:blip r:embed="rId1156" cstate="print"/>
                    <a:stretch>
                      <a:fillRect/>
                    </a:stretch>
                  </pic:blipFill>
                  <pic:spPr>
                    <a:xfrm>
                      <a:off x="0" y="0"/>
                      <a:ext cx="262127" cy="106679"/>
                    </a:xfrm>
                    <a:prstGeom prst="rect">
                      <a:avLst/>
                    </a:prstGeom>
                  </pic:spPr>
                </pic:pic>
              </a:graphicData>
            </a:graphic>
          </wp:anchor>
        </w:drawing>
      </w:r>
      <w:r>
        <w:t>The explanation repeatedly given by MOFCOM in the Final Determination for why</w:t>
      </w:r>
      <w:r>
        <w:rPr>
          <w:spacing w:val="40"/>
        </w:rPr>
        <w:t xml:space="preserve"> </w:t>
      </w:r>
      <w:r>
        <w:t>only</w:t>
      </w:r>
      <w:r>
        <w:rPr>
          <w:spacing w:val="-2"/>
        </w:rPr>
        <w:t xml:space="preserve"> </w:t>
      </w:r>
      <w:r>
        <w:t>three</w:t>
      </w:r>
      <w:r>
        <w:rPr>
          <w:spacing w:val="-1"/>
        </w:rPr>
        <w:t xml:space="preserve"> </w:t>
      </w:r>
      <w:r>
        <w:t>companies</w:t>
      </w:r>
      <w:r>
        <w:rPr>
          <w:spacing w:val="-2"/>
        </w:rPr>
        <w:t xml:space="preserve"> </w:t>
      </w:r>
      <w:r>
        <w:t>were</w:t>
      </w:r>
      <w:r>
        <w:rPr>
          <w:spacing w:val="-1"/>
        </w:rPr>
        <w:t xml:space="preserve"> </w:t>
      </w:r>
      <w:r>
        <w:t>sampled, rather</w:t>
      </w:r>
      <w:r>
        <w:rPr>
          <w:spacing w:val="-2"/>
        </w:rPr>
        <w:t xml:space="preserve"> </w:t>
      </w:r>
      <w:r>
        <w:t>than</w:t>
      </w:r>
      <w:r>
        <w:rPr>
          <w:spacing w:val="-1"/>
        </w:rPr>
        <w:t xml:space="preserve"> </w:t>
      </w:r>
      <w:r>
        <w:t>some</w:t>
      </w:r>
      <w:r>
        <w:rPr>
          <w:spacing w:val="-1"/>
        </w:rPr>
        <w:t xml:space="preserve"> </w:t>
      </w:r>
      <w:r>
        <w:t>greater</w:t>
      </w:r>
      <w:r>
        <w:rPr>
          <w:spacing w:val="-2"/>
        </w:rPr>
        <w:t xml:space="preserve"> </w:t>
      </w:r>
      <w:r>
        <w:t>number,</w:t>
      </w:r>
      <w:r>
        <w:rPr>
          <w:spacing w:val="-2"/>
        </w:rPr>
        <w:t xml:space="preserve"> </w:t>
      </w:r>
      <w:r>
        <w:t>was</w:t>
      </w:r>
      <w:r>
        <w:rPr>
          <w:spacing w:val="-2"/>
        </w:rPr>
        <w:t xml:space="preserve"> </w:t>
      </w:r>
      <w:r>
        <w:t>that</w:t>
      </w:r>
      <w:r>
        <w:rPr>
          <w:spacing w:val="-2"/>
        </w:rPr>
        <w:t xml:space="preserve"> </w:t>
      </w:r>
      <w:r>
        <w:t>in</w:t>
      </w:r>
      <w:r>
        <w:rPr>
          <w:spacing w:val="-1"/>
        </w:rPr>
        <w:t xml:space="preserve"> </w:t>
      </w:r>
      <w:r>
        <w:t>order</w:t>
      </w:r>
      <w:r>
        <w:rPr>
          <w:spacing w:val="-1"/>
        </w:rPr>
        <w:t xml:space="preserve"> </w:t>
      </w:r>
      <w:r>
        <w:rPr>
          <w:spacing w:val="-5"/>
        </w:rPr>
        <w:t>to</w:t>
      </w:r>
    </w:p>
    <w:p w14:paraId="51DE9785" w14:textId="77777777" w:rsidR="0010369C" w:rsidRDefault="0010369C">
      <w:pPr>
        <w:pStyle w:val="BodyText"/>
        <w:rPr>
          <w:sz w:val="20"/>
        </w:rPr>
      </w:pPr>
    </w:p>
    <w:p w14:paraId="51DE9786" w14:textId="77777777" w:rsidR="0010369C" w:rsidRDefault="0010369C">
      <w:pPr>
        <w:pStyle w:val="BodyText"/>
        <w:rPr>
          <w:sz w:val="20"/>
        </w:rPr>
      </w:pPr>
    </w:p>
    <w:p w14:paraId="51DE9787" w14:textId="77777777" w:rsidR="0010369C" w:rsidRDefault="0010369C">
      <w:pPr>
        <w:pStyle w:val="BodyText"/>
        <w:rPr>
          <w:sz w:val="20"/>
        </w:rPr>
      </w:pPr>
    </w:p>
    <w:p w14:paraId="51DE9788" w14:textId="77777777" w:rsidR="0010369C" w:rsidRDefault="008E43AE">
      <w:pPr>
        <w:pStyle w:val="BodyText"/>
        <w:spacing w:before="4"/>
        <w:rPr>
          <w:sz w:val="19"/>
        </w:rPr>
      </w:pPr>
      <w:r>
        <w:pict w14:anchorId="51DEA76D">
          <v:rect id="docshape1299" o:spid="_x0000_s1142" style="position:absolute;margin-left:70.9pt;margin-top:13.05pt;width:2in;height:.8pt;z-index:-250722816;mso-wrap-distance-left:0;mso-wrap-distance-right:0;mso-position-horizontal-relative:page" fillcolor="black" stroked="f">
            <w10:wrap type="topAndBottom" anchorx="page"/>
          </v:rect>
        </w:pict>
      </w:r>
    </w:p>
    <w:p w14:paraId="51DE9789" w14:textId="77777777" w:rsidR="0010369C" w:rsidRDefault="008E43AE">
      <w:pPr>
        <w:spacing w:before="109"/>
        <w:ind w:left="238"/>
        <w:rPr>
          <w:sz w:val="18"/>
        </w:rPr>
      </w:pPr>
      <w:r>
        <w:rPr>
          <w:sz w:val="18"/>
          <w:vertAlign w:val="superscript"/>
        </w:rPr>
        <w:t>1042</w:t>
      </w:r>
      <w:r>
        <w:rPr>
          <w:spacing w:val="-9"/>
          <w:sz w:val="18"/>
        </w:rPr>
        <w:t xml:space="preserve"> </w:t>
      </w:r>
      <w:r>
        <w:rPr>
          <w:sz w:val="18"/>
        </w:rPr>
        <w:t>Anti‐Dumping</w:t>
      </w:r>
      <w:r>
        <w:rPr>
          <w:spacing w:val="-8"/>
          <w:sz w:val="18"/>
        </w:rPr>
        <w:t xml:space="preserve"> </w:t>
      </w:r>
      <w:r>
        <w:rPr>
          <w:sz w:val="18"/>
        </w:rPr>
        <w:t>Sampling</w:t>
      </w:r>
      <w:r>
        <w:rPr>
          <w:spacing w:val="-7"/>
          <w:sz w:val="18"/>
        </w:rPr>
        <w:t xml:space="preserve"> </w:t>
      </w:r>
      <w:r>
        <w:rPr>
          <w:sz w:val="18"/>
        </w:rPr>
        <w:t>Notice</w:t>
      </w:r>
      <w:r>
        <w:rPr>
          <w:spacing w:val="-8"/>
          <w:sz w:val="18"/>
        </w:rPr>
        <w:t xml:space="preserve"> </w:t>
      </w:r>
      <w:r>
        <w:rPr>
          <w:sz w:val="18"/>
        </w:rPr>
        <w:t>(Exhibit</w:t>
      </w:r>
      <w:r>
        <w:rPr>
          <w:spacing w:val="-9"/>
          <w:sz w:val="18"/>
        </w:rPr>
        <w:t xml:space="preserve"> </w:t>
      </w:r>
      <w:r>
        <w:rPr>
          <w:sz w:val="18"/>
        </w:rPr>
        <w:t>AUS‐92),</w:t>
      </w:r>
      <w:r>
        <w:rPr>
          <w:spacing w:val="-8"/>
          <w:sz w:val="18"/>
        </w:rPr>
        <w:t xml:space="preserve"> </w:t>
      </w:r>
      <w:r>
        <w:rPr>
          <w:sz w:val="18"/>
        </w:rPr>
        <w:t>p.</w:t>
      </w:r>
      <w:r>
        <w:rPr>
          <w:spacing w:val="-8"/>
          <w:sz w:val="18"/>
        </w:rPr>
        <w:t xml:space="preserve"> </w:t>
      </w:r>
      <w:r>
        <w:rPr>
          <w:spacing w:val="-5"/>
          <w:sz w:val="18"/>
        </w:rPr>
        <w:t>1.</w:t>
      </w:r>
    </w:p>
    <w:p w14:paraId="51DE978A" w14:textId="77777777" w:rsidR="0010369C" w:rsidRDefault="008E43AE">
      <w:pPr>
        <w:spacing w:before="1"/>
        <w:ind w:left="238"/>
        <w:rPr>
          <w:sz w:val="18"/>
        </w:rPr>
      </w:pPr>
      <w:r>
        <w:rPr>
          <w:sz w:val="18"/>
          <w:vertAlign w:val="superscript"/>
        </w:rPr>
        <w:t>1043</w:t>
      </w:r>
      <w:r>
        <w:rPr>
          <w:spacing w:val="-8"/>
          <w:sz w:val="18"/>
        </w:rPr>
        <w:t xml:space="preserve"> </w:t>
      </w:r>
      <w:r>
        <w:rPr>
          <w:sz w:val="18"/>
        </w:rPr>
        <w:t>Pernod</w:t>
      </w:r>
      <w:r>
        <w:rPr>
          <w:spacing w:val="-7"/>
          <w:sz w:val="18"/>
        </w:rPr>
        <w:t xml:space="preserve"> </w:t>
      </w:r>
      <w:r>
        <w:rPr>
          <w:sz w:val="18"/>
        </w:rPr>
        <w:t>Ricard</w:t>
      </w:r>
      <w:r>
        <w:rPr>
          <w:spacing w:val="-7"/>
          <w:sz w:val="18"/>
        </w:rPr>
        <w:t xml:space="preserve"> </w:t>
      </w:r>
      <w:r>
        <w:rPr>
          <w:sz w:val="18"/>
        </w:rPr>
        <w:t>Comments</w:t>
      </w:r>
      <w:r>
        <w:rPr>
          <w:spacing w:val="-7"/>
          <w:sz w:val="18"/>
        </w:rPr>
        <w:t xml:space="preserve"> </w:t>
      </w:r>
      <w:r>
        <w:rPr>
          <w:sz w:val="18"/>
        </w:rPr>
        <w:t>on</w:t>
      </w:r>
      <w:r>
        <w:rPr>
          <w:spacing w:val="-7"/>
          <w:sz w:val="18"/>
        </w:rPr>
        <w:t xml:space="preserve"> </w:t>
      </w:r>
      <w:r>
        <w:rPr>
          <w:sz w:val="18"/>
        </w:rPr>
        <w:t>Sampling</w:t>
      </w:r>
      <w:r>
        <w:rPr>
          <w:spacing w:val="-6"/>
          <w:sz w:val="18"/>
        </w:rPr>
        <w:t xml:space="preserve"> </w:t>
      </w:r>
      <w:r>
        <w:rPr>
          <w:sz w:val="18"/>
        </w:rPr>
        <w:t>(Exhibit</w:t>
      </w:r>
      <w:r>
        <w:rPr>
          <w:spacing w:val="-7"/>
          <w:sz w:val="18"/>
        </w:rPr>
        <w:t xml:space="preserve"> </w:t>
      </w:r>
      <w:r>
        <w:rPr>
          <w:sz w:val="18"/>
        </w:rPr>
        <w:t>AUS‐93),</w:t>
      </w:r>
      <w:r>
        <w:rPr>
          <w:spacing w:val="-8"/>
          <w:sz w:val="18"/>
        </w:rPr>
        <w:t xml:space="preserve"> </w:t>
      </w:r>
      <w:r>
        <w:rPr>
          <w:sz w:val="18"/>
        </w:rPr>
        <w:t>p.</w:t>
      </w:r>
      <w:r>
        <w:rPr>
          <w:spacing w:val="-7"/>
          <w:sz w:val="18"/>
        </w:rPr>
        <w:t xml:space="preserve"> </w:t>
      </w:r>
      <w:r>
        <w:rPr>
          <w:spacing w:val="-5"/>
          <w:sz w:val="18"/>
        </w:rPr>
        <w:t>2.</w:t>
      </w:r>
    </w:p>
    <w:p w14:paraId="51DE978B" w14:textId="77777777" w:rsidR="0010369C" w:rsidRDefault="008E43AE">
      <w:pPr>
        <w:ind w:left="238" w:right="611"/>
        <w:rPr>
          <w:sz w:val="18"/>
        </w:rPr>
      </w:pPr>
      <w:r>
        <w:rPr>
          <w:sz w:val="18"/>
          <w:vertAlign w:val="superscript"/>
        </w:rPr>
        <w:t>1044</w:t>
      </w:r>
      <w:r>
        <w:rPr>
          <w:sz w:val="18"/>
        </w:rPr>
        <w:t xml:space="preserve"> Anti‐Dumping Final Determination (Exhibit AUS‐2), p.10; see also Anti‐Dumping Sampling Notice (Exhibit AUS‐92), p. 1. </w:t>
      </w:r>
      <w:r>
        <w:rPr>
          <w:sz w:val="18"/>
          <w:vertAlign w:val="superscript"/>
        </w:rPr>
        <w:t>1045</w:t>
      </w:r>
      <w:r>
        <w:rPr>
          <w:spacing w:val="-5"/>
          <w:sz w:val="18"/>
        </w:rPr>
        <w:t xml:space="preserve"> </w:t>
      </w:r>
      <w:r>
        <w:rPr>
          <w:sz w:val="18"/>
        </w:rPr>
        <w:t>If</w:t>
      </w:r>
      <w:r>
        <w:rPr>
          <w:spacing w:val="-5"/>
          <w:sz w:val="18"/>
        </w:rPr>
        <w:t xml:space="preserve"> </w:t>
      </w:r>
      <w:r>
        <w:rPr>
          <w:sz w:val="18"/>
        </w:rPr>
        <w:t>that</w:t>
      </w:r>
      <w:r>
        <w:rPr>
          <w:spacing w:val="-5"/>
          <w:sz w:val="18"/>
        </w:rPr>
        <w:t xml:space="preserve"> </w:t>
      </w:r>
      <w:r>
        <w:rPr>
          <w:sz w:val="18"/>
        </w:rPr>
        <w:t>was</w:t>
      </w:r>
      <w:r>
        <w:rPr>
          <w:spacing w:val="-5"/>
          <w:sz w:val="18"/>
        </w:rPr>
        <w:t xml:space="preserve"> </w:t>
      </w:r>
      <w:r>
        <w:rPr>
          <w:sz w:val="18"/>
        </w:rPr>
        <w:t>not</w:t>
      </w:r>
      <w:r>
        <w:rPr>
          <w:spacing w:val="-4"/>
          <w:sz w:val="18"/>
        </w:rPr>
        <w:t xml:space="preserve"> </w:t>
      </w:r>
      <w:r>
        <w:rPr>
          <w:sz w:val="18"/>
        </w:rPr>
        <w:t>the</w:t>
      </w:r>
      <w:r>
        <w:rPr>
          <w:spacing w:val="-5"/>
          <w:sz w:val="18"/>
        </w:rPr>
        <w:t xml:space="preserve"> </w:t>
      </w:r>
      <w:r>
        <w:rPr>
          <w:sz w:val="18"/>
        </w:rPr>
        <w:t>case,</w:t>
      </w:r>
      <w:r>
        <w:rPr>
          <w:spacing w:val="-6"/>
          <w:sz w:val="18"/>
        </w:rPr>
        <w:t xml:space="preserve"> </w:t>
      </w:r>
      <w:r>
        <w:rPr>
          <w:sz w:val="18"/>
        </w:rPr>
        <w:t>then</w:t>
      </w:r>
      <w:r>
        <w:rPr>
          <w:spacing w:val="-5"/>
          <w:sz w:val="18"/>
        </w:rPr>
        <w:t xml:space="preserve"> </w:t>
      </w:r>
      <w:r>
        <w:rPr>
          <w:sz w:val="18"/>
        </w:rPr>
        <w:t>Australia</w:t>
      </w:r>
      <w:r>
        <w:rPr>
          <w:spacing w:val="-5"/>
          <w:sz w:val="18"/>
        </w:rPr>
        <w:t xml:space="preserve"> </w:t>
      </w:r>
      <w:r>
        <w:rPr>
          <w:sz w:val="18"/>
        </w:rPr>
        <w:t>reserves</w:t>
      </w:r>
      <w:r>
        <w:rPr>
          <w:spacing w:val="-5"/>
          <w:sz w:val="18"/>
        </w:rPr>
        <w:t xml:space="preserve"> </w:t>
      </w:r>
      <w:r>
        <w:rPr>
          <w:sz w:val="18"/>
        </w:rPr>
        <w:t>the</w:t>
      </w:r>
      <w:r>
        <w:rPr>
          <w:spacing w:val="-4"/>
          <w:sz w:val="18"/>
        </w:rPr>
        <w:t xml:space="preserve"> </w:t>
      </w:r>
      <w:r>
        <w:rPr>
          <w:sz w:val="18"/>
        </w:rPr>
        <w:t>right</w:t>
      </w:r>
      <w:r>
        <w:rPr>
          <w:spacing w:val="-6"/>
          <w:sz w:val="18"/>
        </w:rPr>
        <w:t xml:space="preserve"> </w:t>
      </w:r>
      <w:r>
        <w:rPr>
          <w:sz w:val="18"/>
        </w:rPr>
        <w:t>to</w:t>
      </w:r>
      <w:r>
        <w:rPr>
          <w:spacing w:val="-5"/>
          <w:sz w:val="18"/>
        </w:rPr>
        <w:t xml:space="preserve"> </w:t>
      </w:r>
      <w:r>
        <w:rPr>
          <w:sz w:val="18"/>
        </w:rPr>
        <w:t>make</w:t>
      </w:r>
      <w:r>
        <w:rPr>
          <w:spacing w:val="-3"/>
          <w:sz w:val="18"/>
        </w:rPr>
        <w:t xml:space="preserve"> </w:t>
      </w:r>
      <w:r>
        <w:rPr>
          <w:sz w:val="18"/>
        </w:rPr>
        <w:t>additional</w:t>
      </w:r>
      <w:r>
        <w:rPr>
          <w:spacing w:val="-6"/>
          <w:sz w:val="18"/>
        </w:rPr>
        <w:t xml:space="preserve"> </w:t>
      </w:r>
      <w:r>
        <w:rPr>
          <w:sz w:val="18"/>
        </w:rPr>
        <w:t>arguments</w:t>
      </w:r>
      <w:r>
        <w:rPr>
          <w:spacing w:val="-5"/>
          <w:sz w:val="18"/>
        </w:rPr>
        <w:t xml:space="preserve"> </w:t>
      </w:r>
      <w:r>
        <w:rPr>
          <w:sz w:val="18"/>
        </w:rPr>
        <w:t>that</w:t>
      </w:r>
      <w:r>
        <w:rPr>
          <w:spacing w:val="-5"/>
          <w:sz w:val="18"/>
        </w:rPr>
        <w:t xml:space="preserve"> </w:t>
      </w:r>
      <w:r>
        <w:rPr>
          <w:sz w:val="18"/>
        </w:rPr>
        <w:t>the</w:t>
      </w:r>
      <w:r>
        <w:rPr>
          <w:spacing w:val="-4"/>
          <w:sz w:val="18"/>
        </w:rPr>
        <w:t xml:space="preserve"> </w:t>
      </w:r>
      <w:r>
        <w:rPr>
          <w:sz w:val="18"/>
        </w:rPr>
        <w:t>sample</w:t>
      </w:r>
      <w:r>
        <w:rPr>
          <w:spacing w:val="-4"/>
          <w:sz w:val="18"/>
        </w:rPr>
        <w:t xml:space="preserve"> </w:t>
      </w:r>
      <w:r>
        <w:rPr>
          <w:sz w:val="18"/>
        </w:rPr>
        <w:t>selected</w:t>
      </w:r>
      <w:r>
        <w:rPr>
          <w:spacing w:val="-5"/>
          <w:sz w:val="18"/>
        </w:rPr>
        <w:t xml:space="preserve"> </w:t>
      </w:r>
      <w:r>
        <w:rPr>
          <w:sz w:val="18"/>
        </w:rPr>
        <w:t>was</w:t>
      </w:r>
      <w:r>
        <w:rPr>
          <w:spacing w:val="-5"/>
          <w:sz w:val="18"/>
        </w:rPr>
        <w:t xml:space="preserve"> </w:t>
      </w:r>
      <w:r>
        <w:rPr>
          <w:sz w:val="18"/>
        </w:rPr>
        <w:t>not a statistically valid reflection of the diverse range of Australian exporters or producers of the product under consideration.</w:t>
      </w:r>
    </w:p>
    <w:p w14:paraId="51DE978C" w14:textId="77777777" w:rsidR="0010369C" w:rsidRDefault="0010369C">
      <w:pPr>
        <w:rPr>
          <w:sz w:val="18"/>
        </w:rPr>
        <w:sectPr w:rsidR="0010369C">
          <w:pgSz w:w="11910" w:h="16840"/>
          <w:pgMar w:top="880" w:right="800" w:bottom="980" w:left="1180" w:header="569" w:footer="788" w:gutter="0"/>
          <w:cols w:space="720"/>
        </w:sectPr>
      </w:pPr>
    </w:p>
    <w:p w14:paraId="51DE978D" w14:textId="77777777" w:rsidR="0010369C" w:rsidRDefault="008E43AE">
      <w:pPr>
        <w:tabs>
          <w:tab w:val="left" w:pos="6426"/>
        </w:tabs>
        <w:ind w:left="238"/>
        <w:rPr>
          <w:sz w:val="20"/>
        </w:rPr>
      </w:pPr>
      <w:r>
        <w:rPr>
          <w:i/>
          <w:sz w:val="20"/>
        </w:rPr>
        <w:lastRenderedPageBreak/>
        <w:t>China</w:t>
      </w:r>
      <w:r>
        <w:rPr>
          <w:i/>
          <w:spacing w:val="-5"/>
          <w:sz w:val="20"/>
        </w:rPr>
        <w:t xml:space="preserve"> </w:t>
      </w:r>
      <w:r>
        <w:rPr>
          <w:i/>
          <w:sz w:val="20"/>
        </w:rPr>
        <w:t>–</w:t>
      </w:r>
      <w:r>
        <w:rPr>
          <w:i/>
          <w:spacing w:val="-5"/>
          <w:sz w:val="20"/>
        </w:rPr>
        <w:t xml:space="preserve"> </w:t>
      </w:r>
      <w:r>
        <w:rPr>
          <w:i/>
          <w:sz w:val="20"/>
        </w:rPr>
        <w:t>Anti‐Dumping</w:t>
      </w:r>
      <w:r>
        <w:rPr>
          <w:i/>
          <w:spacing w:val="-4"/>
          <w:sz w:val="20"/>
        </w:rPr>
        <w:t xml:space="preserve"> </w:t>
      </w:r>
      <w:r>
        <w:rPr>
          <w:i/>
          <w:sz w:val="20"/>
        </w:rPr>
        <w:t>and</w:t>
      </w:r>
      <w:r>
        <w:rPr>
          <w:i/>
          <w:spacing w:val="-5"/>
          <w:sz w:val="20"/>
        </w:rPr>
        <w:t xml:space="preserve"> </w:t>
      </w:r>
      <w:r>
        <w:rPr>
          <w:i/>
          <w:sz w:val="20"/>
        </w:rPr>
        <w:t>Countervailing</w:t>
      </w:r>
      <w:r>
        <w:rPr>
          <w:i/>
          <w:spacing w:val="-5"/>
          <w:sz w:val="20"/>
        </w:rPr>
        <w:t xml:space="preserve"> </w:t>
      </w:r>
      <w:r>
        <w:rPr>
          <w:i/>
          <w:sz w:val="20"/>
        </w:rPr>
        <w:t>Duty</w:t>
      </w:r>
      <w:r>
        <w:rPr>
          <w:i/>
          <w:spacing w:val="-4"/>
          <w:sz w:val="20"/>
        </w:rPr>
        <w:t xml:space="preserve"> </w:t>
      </w:r>
      <w:r>
        <w:rPr>
          <w:i/>
          <w:spacing w:val="-2"/>
          <w:sz w:val="20"/>
        </w:rPr>
        <w:t>Measures</w:t>
      </w:r>
      <w:r>
        <w:rPr>
          <w:i/>
          <w:sz w:val="20"/>
        </w:rPr>
        <w:tab/>
      </w:r>
      <w:r>
        <w:rPr>
          <w:sz w:val="20"/>
        </w:rPr>
        <w:t>Aus</w:t>
      </w:r>
      <w:r>
        <w:rPr>
          <w:sz w:val="20"/>
        </w:rPr>
        <w:t>tralia's</w:t>
      </w:r>
      <w:r>
        <w:rPr>
          <w:spacing w:val="-7"/>
          <w:sz w:val="20"/>
        </w:rPr>
        <w:t xml:space="preserve"> </w:t>
      </w:r>
      <w:r>
        <w:rPr>
          <w:sz w:val="20"/>
        </w:rPr>
        <w:t>First</w:t>
      </w:r>
      <w:r>
        <w:rPr>
          <w:spacing w:val="-2"/>
          <w:sz w:val="20"/>
        </w:rPr>
        <w:t xml:space="preserve"> </w:t>
      </w:r>
      <w:r>
        <w:rPr>
          <w:sz w:val="20"/>
        </w:rPr>
        <w:t>Written</w:t>
      </w:r>
      <w:r>
        <w:rPr>
          <w:spacing w:val="-2"/>
          <w:sz w:val="20"/>
        </w:rPr>
        <w:t xml:space="preserve"> Submission</w:t>
      </w:r>
    </w:p>
    <w:p w14:paraId="51DE978E" w14:textId="77777777" w:rsidR="0010369C" w:rsidRDefault="008E43AE">
      <w:pPr>
        <w:tabs>
          <w:tab w:val="left" w:pos="8228"/>
        </w:tabs>
        <w:spacing w:before="1"/>
        <w:ind w:left="239"/>
        <w:rPr>
          <w:sz w:val="20"/>
        </w:rPr>
      </w:pPr>
      <w:r>
        <w:rPr>
          <w:i/>
          <w:sz w:val="20"/>
        </w:rPr>
        <w:t>on</w:t>
      </w:r>
      <w:r>
        <w:rPr>
          <w:i/>
          <w:spacing w:val="-1"/>
          <w:sz w:val="20"/>
        </w:rPr>
        <w:t xml:space="preserve"> </w:t>
      </w:r>
      <w:r>
        <w:rPr>
          <w:i/>
          <w:sz w:val="20"/>
        </w:rPr>
        <w:t>Wine</w:t>
      </w:r>
      <w:r>
        <w:rPr>
          <w:i/>
          <w:spacing w:val="-1"/>
          <w:sz w:val="20"/>
        </w:rPr>
        <w:t xml:space="preserve"> </w:t>
      </w:r>
      <w:r>
        <w:rPr>
          <w:i/>
          <w:sz w:val="20"/>
        </w:rPr>
        <w:t>from</w:t>
      </w:r>
      <w:r>
        <w:rPr>
          <w:i/>
          <w:spacing w:val="-3"/>
          <w:sz w:val="20"/>
        </w:rPr>
        <w:t xml:space="preserve"> </w:t>
      </w:r>
      <w:r>
        <w:rPr>
          <w:i/>
          <w:sz w:val="20"/>
        </w:rPr>
        <w:t>Australia</w:t>
      </w:r>
      <w:r>
        <w:rPr>
          <w:i/>
          <w:spacing w:val="-1"/>
          <w:sz w:val="20"/>
        </w:rPr>
        <w:t xml:space="preserve"> </w:t>
      </w:r>
      <w:r>
        <w:rPr>
          <w:spacing w:val="-2"/>
          <w:sz w:val="20"/>
        </w:rPr>
        <w:t>(DS602)</w:t>
      </w:r>
      <w:r>
        <w:rPr>
          <w:sz w:val="20"/>
        </w:rPr>
        <w:tab/>
        <w:t>29</w:t>
      </w:r>
      <w:r>
        <w:rPr>
          <w:spacing w:val="-1"/>
          <w:sz w:val="20"/>
        </w:rPr>
        <w:t xml:space="preserve"> </w:t>
      </w:r>
      <w:r>
        <w:rPr>
          <w:sz w:val="20"/>
        </w:rPr>
        <w:t>April</w:t>
      </w:r>
      <w:r>
        <w:rPr>
          <w:spacing w:val="-2"/>
          <w:sz w:val="20"/>
        </w:rPr>
        <w:t xml:space="preserve"> </w:t>
      </w:r>
      <w:r>
        <w:rPr>
          <w:spacing w:val="-4"/>
          <w:sz w:val="20"/>
        </w:rPr>
        <w:t>2022</w:t>
      </w:r>
    </w:p>
    <w:p w14:paraId="51DE978F" w14:textId="77777777" w:rsidR="0010369C" w:rsidRDefault="008E43AE">
      <w:pPr>
        <w:pStyle w:val="BodyText"/>
        <w:spacing w:before="34" w:line="360" w:lineRule="auto"/>
        <w:ind w:left="238" w:right="611"/>
      </w:pPr>
      <w:r>
        <w:t>complete the anti‐dumping investigation in a timely manner, selecting three samples is the most practical scheme for the Investigating Authority.</w:t>
      </w:r>
      <w:r>
        <w:rPr>
          <w:spacing w:val="-7"/>
        </w:rPr>
        <w:t xml:space="preserve"> </w:t>
      </w:r>
      <w:r>
        <w:rPr>
          <w:vertAlign w:val="superscript"/>
        </w:rPr>
        <w:t>1046</w:t>
      </w:r>
    </w:p>
    <w:p w14:paraId="51DE9790" w14:textId="77777777" w:rsidR="0010369C" w:rsidRDefault="0010369C">
      <w:pPr>
        <w:pStyle w:val="BodyText"/>
        <w:spacing w:before="10"/>
        <w:rPr>
          <w:sz w:val="8"/>
        </w:rPr>
      </w:pPr>
    </w:p>
    <w:p w14:paraId="51DE9791" w14:textId="77777777" w:rsidR="0010369C" w:rsidRDefault="008E43AE">
      <w:pPr>
        <w:pStyle w:val="BodyText"/>
        <w:spacing w:before="52" w:line="360" w:lineRule="auto"/>
        <w:ind w:left="237" w:right="613" w:firstLine="852"/>
        <w:jc w:val="both"/>
      </w:pPr>
      <w:r>
        <w:rPr>
          <w:noProof/>
        </w:rPr>
        <w:drawing>
          <wp:anchor distT="0" distB="0" distL="0" distR="0" simplePos="0" relativeHeight="251481600" behindDoc="1" locked="0" layoutInCell="1" allowOverlap="1" wp14:anchorId="51DEA76E" wp14:editId="51DEA76F">
            <wp:simplePos x="0" y="0"/>
            <wp:positionH relativeFrom="page">
              <wp:posOffset>902208</wp:posOffset>
            </wp:positionH>
            <wp:positionV relativeFrom="paragraph">
              <wp:posOffset>76785</wp:posOffset>
            </wp:positionV>
            <wp:extent cx="262127" cy="106679"/>
            <wp:effectExtent l="0" t="0" r="0" b="0"/>
            <wp:wrapNone/>
            <wp:docPr id="1729" name="image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 name="image892.png"/>
                    <pic:cNvPicPr/>
                  </pic:nvPicPr>
                  <pic:blipFill>
                    <a:blip r:embed="rId1157" cstate="print"/>
                    <a:stretch>
                      <a:fillRect/>
                    </a:stretch>
                  </pic:blipFill>
                  <pic:spPr>
                    <a:xfrm>
                      <a:off x="0" y="0"/>
                      <a:ext cx="262127" cy="106679"/>
                    </a:xfrm>
                    <a:prstGeom prst="rect">
                      <a:avLst/>
                    </a:prstGeom>
                  </pic:spPr>
                </pic:pic>
              </a:graphicData>
            </a:graphic>
          </wp:anchor>
        </w:drawing>
      </w:r>
      <w:r>
        <w:t>The evidence before MOFCOM clearly establishes that the volume of the three sampled exporters was not t</w:t>
      </w:r>
      <w:r>
        <w:t>he largest percentage of the volume of the exports that could "reasonably be investigated". In the parallel countervailing duty investigation that was conducted with respect to the same wine products from Australia, MOFCOM chose to select four respondents,</w:t>
      </w:r>
      <w:r>
        <w:t xml:space="preserve"> being Treasury Wines, Swan Vintage, Casella Wines and Pernod Ricard. Given</w:t>
      </w:r>
      <w:r>
        <w:rPr>
          <w:spacing w:val="-14"/>
        </w:rPr>
        <w:t xml:space="preserve"> </w:t>
      </w:r>
      <w:r>
        <w:t>the</w:t>
      </w:r>
      <w:r>
        <w:rPr>
          <w:spacing w:val="-14"/>
        </w:rPr>
        <w:t xml:space="preserve"> </w:t>
      </w:r>
      <w:r>
        <w:t>significant</w:t>
      </w:r>
      <w:r>
        <w:rPr>
          <w:spacing w:val="-13"/>
        </w:rPr>
        <w:t xml:space="preserve"> </w:t>
      </w:r>
      <w:r>
        <w:t>areas</w:t>
      </w:r>
      <w:r>
        <w:rPr>
          <w:spacing w:val="-14"/>
        </w:rPr>
        <w:t xml:space="preserve"> </w:t>
      </w:r>
      <w:r>
        <w:t>of</w:t>
      </w:r>
      <w:r>
        <w:rPr>
          <w:spacing w:val="-13"/>
        </w:rPr>
        <w:t xml:space="preserve"> </w:t>
      </w:r>
      <w:r>
        <w:t>overlap</w:t>
      </w:r>
      <w:r>
        <w:rPr>
          <w:spacing w:val="-14"/>
        </w:rPr>
        <w:t xml:space="preserve"> </w:t>
      </w:r>
      <w:r>
        <w:t>between</w:t>
      </w:r>
      <w:r>
        <w:rPr>
          <w:spacing w:val="-13"/>
        </w:rPr>
        <w:t xml:space="preserve"> </w:t>
      </w:r>
      <w:r>
        <w:t>the</w:t>
      </w:r>
      <w:r>
        <w:rPr>
          <w:spacing w:val="-14"/>
        </w:rPr>
        <w:t xml:space="preserve"> </w:t>
      </w:r>
      <w:r>
        <w:t>two</w:t>
      </w:r>
      <w:r>
        <w:rPr>
          <w:spacing w:val="-14"/>
        </w:rPr>
        <w:t xml:space="preserve"> </w:t>
      </w:r>
      <w:r>
        <w:t>investigations,</w:t>
      </w:r>
      <w:r>
        <w:rPr>
          <w:spacing w:val="-13"/>
        </w:rPr>
        <w:t xml:space="preserve"> </w:t>
      </w:r>
      <w:r>
        <w:t>the</w:t>
      </w:r>
      <w:r>
        <w:rPr>
          <w:spacing w:val="-14"/>
        </w:rPr>
        <w:t xml:space="preserve"> </w:t>
      </w:r>
      <w:r>
        <w:t>additional</w:t>
      </w:r>
      <w:r>
        <w:rPr>
          <w:spacing w:val="-13"/>
        </w:rPr>
        <w:t xml:space="preserve"> </w:t>
      </w:r>
      <w:r>
        <w:t>work</w:t>
      </w:r>
      <w:r>
        <w:rPr>
          <w:spacing w:val="-14"/>
        </w:rPr>
        <w:t xml:space="preserve"> </w:t>
      </w:r>
      <w:r>
        <w:t>that would have been required for MOFCOM to also examine Pernod Ricard in its anti‐dumping inve</w:t>
      </w:r>
      <w:r>
        <w:t>stigation</w:t>
      </w:r>
      <w:r>
        <w:rPr>
          <w:spacing w:val="-12"/>
        </w:rPr>
        <w:t xml:space="preserve"> </w:t>
      </w:r>
      <w:r>
        <w:t>would</w:t>
      </w:r>
      <w:r>
        <w:rPr>
          <w:spacing w:val="-13"/>
        </w:rPr>
        <w:t xml:space="preserve"> </w:t>
      </w:r>
      <w:r>
        <w:t>have</w:t>
      </w:r>
      <w:r>
        <w:rPr>
          <w:spacing w:val="-11"/>
        </w:rPr>
        <w:t xml:space="preserve"> </w:t>
      </w:r>
      <w:r>
        <w:t>been</w:t>
      </w:r>
      <w:r>
        <w:rPr>
          <w:spacing w:val="-13"/>
        </w:rPr>
        <w:t xml:space="preserve"> </w:t>
      </w:r>
      <w:r>
        <w:t>reduced,</w:t>
      </w:r>
      <w:r>
        <w:rPr>
          <w:spacing w:val="-13"/>
        </w:rPr>
        <w:t xml:space="preserve"> </w:t>
      </w:r>
      <w:r>
        <w:t>a</w:t>
      </w:r>
      <w:r>
        <w:rPr>
          <w:spacing w:val="-12"/>
        </w:rPr>
        <w:t xml:space="preserve"> </w:t>
      </w:r>
      <w:r>
        <w:t>point</w:t>
      </w:r>
      <w:r>
        <w:rPr>
          <w:spacing w:val="-13"/>
        </w:rPr>
        <w:t xml:space="preserve"> </w:t>
      </w:r>
      <w:r>
        <w:t>expressly</w:t>
      </w:r>
      <w:r>
        <w:rPr>
          <w:spacing w:val="-12"/>
        </w:rPr>
        <w:t xml:space="preserve"> </w:t>
      </w:r>
      <w:r>
        <w:t>made</w:t>
      </w:r>
      <w:r>
        <w:rPr>
          <w:spacing w:val="-12"/>
        </w:rPr>
        <w:t xml:space="preserve"> </w:t>
      </w:r>
      <w:r>
        <w:t>to</w:t>
      </w:r>
      <w:r>
        <w:rPr>
          <w:spacing w:val="-12"/>
        </w:rPr>
        <w:t xml:space="preserve"> </w:t>
      </w:r>
      <w:r>
        <w:t>MOFCOM</w:t>
      </w:r>
      <w:r>
        <w:rPr>
          <w:spacing w:val="-12"/>
        </w:rPr>
        <w:t xml:space="preserve"> </w:t>
      </w:r>
      <w:r>
        <w:t>by</w:t>
      </w:r>
      <w:r>
        <w:rPr>
          <w:spacing w:val="-12"/>
        </w:rPr>
        <w:t xml:space="preserve"> </w:t>
      </w:r>
      <w:r>
        <w:t>Pernod</w:t>
      </w:r>
      <w:r>
        <w:rPr>
          <w:spacing w:val="-14"/>
        </w:rPr>
        <w:t xml:space="preserve"> </w:t>
      </w:r>
      <w:r>
        <w:t>Ricard when MOFCOM was constructing the sample.</w:t>
      </w:r>
      <w:r>
        <w:rPr>
          <w:vertAlign w:val="superscript"/>
        </w:rPr>
        <w:t>1047</w:t>
      </w:r>
      <w:r>
        <w:t xml:space="preserve"> MOFCOM provided no explanation for its decision to reject Pernod Ricard's reasoned request to be included in the sample, aside from the general assertion that three exporters was the "most practical" number.</w:t>
      </w:r>
      <w:r>
        <w:rPr>
          <w:vertAlign w:val="superscript"/>
        </w:rPr>
        <w:t>1048</w:t>
      </w:r>
      <w:r>
        <w:t xml:space="preserve"> If MOFCOM was</w:t>
      </w:r>
      <w:r>
        <w:rPr>
          <w:spacing w:val="-14"/>
        </w:rPr>
        <w:t xml:space="preserve"> </w:t>
      </w:r>
      <w:r>
        <w:t>able</w:t>
      </w:r>
      <w:r>
        <w:rPr>
          <w:spacing w:val="-14"/>
        </w:rPr>
        <w:t xml:space="preserve"> </w:t>
      </w:r>
      <w:r>
        <w:t>to</w:t>
      </w:r>
      <w:r>
        <w:rPr>
          <w:spacing w:val="-13"/>
        </w:rPr>
        <w:t xml:space="preserve"> </w:t>
      </w:r>
      <w:r>
        <w:t>reasonably</w:t>
      </w:r>
      <w:r>
        <w:rPr>
          <w:spacing w:val="-14"/>
        </w:rPr>
        <w:t xml:space="preserve"> </w:t>
      </w:r>
      <w:r>
        <w:t>examine</w:t>
      </w:r>
      <w:r>
        <w:rPr>
          <w:spacing w:val="-13"/>
        </w:rPr>
        <w:t xml:space="preserve"> </w:t>
      </w:r>
      <w:r>
        <w:t>a</w:t>
      </w:r>
      <w:r>
        <w:rPr>
          <w:spacing w:val="-14"/>
        </w:rPr>
        <w:t xml:space="preserve"> </w:t>
      </w:r>
      <w:r>
        <w:t>larger</w:t>
      </w:r>
      <w:r>
        <w:rPr>
          <w:spacing w:val="-13"/>
        </w:rPr>
        <w:t xml:space="preserve"> </w:t>
      </w:r>
      <w:r>
        <w:t>percentage</w:t>
      </w:r>
      <w:r>
        <w:rPr>
          <w:spacing w:val="-14"/>
        </w:rPr>
        <w:t xml:space="preserve"> </w:t>
      </w:r>
      <w:r>
        <w:t>of</w:t>
      </w:r>
      <w:r>
        <w:rPr>
          <w:spacing w:val="-14"/>
        </w:rPr>
        <w:t xml:space="preserve"> </w:t>
      </w:r>
      <w:r>
        <w:t>exports</w:t>
      </w:r>
      <w:r>
        <w:rPr>
          <w:spacing w:val="-13"/>
        </w:rPr>
        <w:t xml:space="preserve"> </w:t>
      </w:r>
      <w:r>
        <w:t>by</w:t>
      </w:r>
      <w:r>
        <w:rPr>
          <w:spacing w:val="-14"/>
        </w:rPr>
        <w:t xml:space="preserve"> </w:t>
      </w:r>
      <w:r>
        <w:t>considering</w:t>
      </w:r>
      <w:r>
        <w:rPr>
          <w:spacing w:val="-13"/>
        </w:rPr>
        <w:t xml:space="preserve"> </w:t>
      </w:r>
      <w:r>
        <w:t>more</w:t>
      </w:r>
      <w:r>
        <w:rPr>
          <w:spacing w:val="-14"/>
        </w:rPr>
        <w:t xml:space="preserve"> </w:t>
      </w:r>
      <w:r>
        <w:t>than</w:t>
      </w:r>
      <w:r>
        <w:rPr>
          <w:spacing w:val="-13"/>
        </w:rPr>
        <w:t xml:space="preserve"> </w:t>
      </w:r>
      <w:r>
        <w:t>three exporters, then it was obliged to do so.</w:t>
      </w:r>
    </w:p>
    <w:p w14:paraId="51DE9792" w14:textId="77777777" w:rsidR="0010369C" w:rsidRDefault="0010369C">
      <w:pPr>
        <w:pStyle w:val="BodyText"/>
        <w:spacing w:before="10"/>
        <w:rPr>
          <w:sz w:val="8"/>
        </w:rPr>
      </w:pPr>
    </w:p>
    <w:p w14:paraId="51DE9793" w14:textId="77777777" w:rsidR="0010369C" w:rsidRDefault="008E43AE">
      <w:pPr>
        <w:pStyle w:val="BodyText"/>
        <w:spacing w:before="52" w:line="360" w:lineRule="auto"/>
        <w:ind w:left="236" w:right="612" w:firstLine="852"/>
        <w:jc w:val="both"/>
      </w:pPr>
      <w:r>
        <w:rPr>
          <w:noProof/>
        </w:rPr>
        <w:drawing>
          <wp:anchor distT="0" distB="0" distL="0" distR="0" simplePos="0" relativeHeight="251482624" behindDoc="1" locked="0" layoutInCell="1" allowOverlap="1" wp14:anchorId="51DEA770" wp14:editId="51DEA771">
            <wp:simplePos x="0" y="0"/>
            <wp:positionH relativeFrom="page">
              <wp:posOffset>902208</wp:posOffset>
            </wp:positionH>
            <wp:positionV relativeFrom="paragraph">
              <wp:posOffset>81357</wp:posOffset>
            </wp:positionV>
            <wp:extent cx="262127" cy="103631"/>
            <wp:effectExtent l="0" t="0" r="0" b="0"/>
            <wp:wrapNone/>
            <wp:docPr id="1731" name="image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 name="image893.png"/>
                    <pic:cNvPicPr/>
                  </pic:nvPicPr>
                  <pic:blipFill>
                    <a:blip r:embed="rId1158" cstate="print"/>
                    <a:stretch>
                      <a:fillRect/>
                    </a:stretch>
                  </pic:blipFill>
                  <pic:spPr>
                    <a:xfrm>
                      <a:off x="0" y="0"/>
                      <a:ext cx="262127" cy="103631"/>
                    </a:xfrm>
                    <a:prstGeom prst="rect">
                      <a:avLst/>
                    </a:prstGeom>
                  </pic:spPr>
                </pic:pic>
              </a:graphicData>
            </a:graphic>
          </wp:anchor>
        </w:drawing>
      </w:r>
      <w:r>
        <w:t>As</w:t>
      </w:r>
      <w:r>
        <w:rPr>
          <w:spacing w:val="-5"/>
        </w:rPr>
        <w:t xml:space="preserve"> </w:t>
      </w:r>
      <w:r>
        <w:t>the</w:t>
      </w:r>
      <w:r>
        <w:rPr>
          <w:spacing w:val="-4"/>
        </w:rPr>
        <w:t xml:space="preserve"> </w:t>
      </w:r>
      <w:r>
        <w:t>panel</w:t>
      </w:r>
      <w:r>
        <w:rPr>
          <w:spacing w:val="-6"/>
        </w:rPr>
        <w:t xml:space="preserve"> </w:t>
      </w:r>
      <w:r>
        <w:t>in</w:t>
      </w:r>
      <w:r>
        <w:rPr>
          <w:spacing w:val="-5"/>
        </w:rPr>
        <w:t xml:space="preserve"> </w:t>
      </w:r>
      <w:r>
        <w:rPr>
          <w:i/>
        </w:rPr>
        <w:t>EC</w:t>
      </w:r>
      <w:r>
        <w:rPr>
          <w:i/>
          <w:spacing w:val="-4"/>
        </w:rPr>
        <w:t xml:space="preserve"> </w:t>
      </w:r>
      <w:r>
        <w:rPr>
          <w:i/>
        </w:rPr>
        <w:t>—</w:t>
      </w:r>
      <w:r>
        <w:rPr>
          <w:i/>
          <w:spacing w:val="-5"/>
        </w:rPr>
        <w:t xml:space="preserve"> </w:t>
      </w:r>
      <w:r>
        <w:rPr>
          <w:i/>
        </w:rPr>
        <w:t>Salmon</w:t>
      </w:r>
      <w:r>
        <w:rPr>
          <w:i/>
          <w:spacing w:val="-5"/>
        </w:rPr>
        <w:t xml:space="preserve"> </w:t>
      </w:r>
      <w:r>
        <w:rPr>
          <w:i/>
        </w:rPr>
        <w:t>(Norway)</w:t>
      </w:r>
      <w:r>
        <w:rPr>
          <w:i/>
          <w:spacing w:val="-4"/>
        </w:rPr>
        <w:t xml:space="preserve"> </w:t>
      </w:r>
      <w:r>
        <w:t>explained,</w:t>
      </w:r>
      <w:r>
        <w:rPr>
          <w:spacing w:val="-4"/>
        </w:rPr>
        <w:t xml:space="preserve"> </w:t>
      </w:r>
      <w:r>
        <w:t>where</w:t>
      </w:r>
      <w:r>
        <w:rPr>
          <w:spacing w:val="-4"/>
        </w:rPr>
        <w:t xml:space="preserve"> </w:t>
      </w:r>
      <w:r>
        <w:t>an</w:t>
      </w:r>
      <w:r>
        <w:rPr>
          <w:spacing w:val="-5"/>
        </w:rPr>
        <w:t xml:space="preserve"> </w:t>
      </w:r>
      <w:r>
        <w:t>investigating</w:t>
      </w:r>
      <w:r>
        <w:rPr>
          <w:spacing w:val="-4"/>
        </w:rPr>
        <w:t xml:space="preserve"> </w:t>
      </w:r>
      <w:r>
        <w:t>authority</w:t>
      </w:r>
      <w:r>
        <w:rPr>
          <w:spacing w:val="-4"/>
        </w:rPr>
        <w:t xml:space="preserve"> </w:t>
      </w:r>
      <w:r>
        <w:t>is on</w:t>
      </w:r>
      <w:r>
        <w:rPr>
          <w:spacing w:val="-5"/>
        </w:rPr>
        <w:t xml:space="preserve"> </w:t>
      </w:r>
      <w:r>
        <w:t>notice</w:t>
      </w:r>
      <w:r>
        <w:rPr>
          <w:spacing w:val="-5"/>
        </w:rPr>
        <w:t xml:space="preserve"> </w:t>
      </w:r>
      <w:r>
        <w:t>that</w:t>
      </w:r>
      <w:r>
        <w:rPr>
          <w:spacing w:val="-5"/>
        </w:rPr>
        <w:t xml:space="preserve"> </w:t>
      </w:r>
      <w:r>
        <w:t>it</w:t>
      </w:r>
      <w:r>
        <w:rPr>
          <w:spacing w:val="-5"/>
        </w:rPr>
        <w:t xml:space="preserve"> </w:t>
      </w:r>
      <w:r>
        <w:t>may</w:t>
      </w:r>
      <w:r>
        <w:rPr>
          <w:spacing w:val="-5"/>
        </w:rPr>
        <w:t xml:space="preserve"> </w:t>
      </w:r>
      <w:r>
        <w:t>have</w:t>
      </w:r>
      <w:r>
        <w:rPr>
          <w:spacing w:val="-4"/>
        </w:rPr>
        <w:t xml:space="preserve"> </w:t>
      </w:r>
      <w:r>
        <w:t>omitted</w:t>
      </w:r>
      <w:r>
        <w:rPr>
          <w:spacing w:val="-5"/>
        </w:rPr>
        <w:t xml:space="preserve"> </w:t>
      </w:r>
      <w:r>
        <w:t>a</w:t>
      </w:r>
      <w:r>
        <w:rPr>
          <w:spacing w:val="-6"/>
        </w:rPr>
        <w:t xml:space="preserve"> </w:t>
      </w:r>
      <w:r>
        <w:t>major</w:t>
      </w:r>
      <w:r>
        <w:rPr>
          <w:spacing w:val="-5"/>
        </w:rPr>
        <w:t xml:space="preserve"> </w:t>
      </w:r>
      <w:r>
        <w:t>exporter</w:t>
      </w:r>
      <w:r>
        <w:rPr>
          <w:spacing w:val="-6"/>
        </w:rPr>
        <w:t xml:space="preserve"> </w:t>
      </w:r>
      <w:r>
        <w:t>from</w:t>
      </w:r>
      <w:r>
        <w:rPr>
          <w:spacing w:val="-4"/>
        </w:rPr>
        <w:t xml:space="preserve"> </w:t>
      </w:r>
      <w:r>
        <w:t>its</w:t>
      </w:r>
      <w:r>
        <w:rPr>
          <w:spacing w:val="-4"/>
        </w:rPr>
        <w:t xml:space="preserve"> </w:t>
      </w:r>
      <w:r>
        <w:t>sample,</w:t>
      </w:r>
      <w:r>
        <w:rPr>
          <w:spacing w:val="-5"/>
        </w:rPr>
        <w:t xml:space="preserve"> </w:t>
      </w:r>
      <w:r>
        <w:t>Article</w:t>
      </w:r>
      <w:r>
        <w:rPr>
          <w:spacing w:val="-5"/>
        </w:rPr>
        <w:t xml:space="preserve"> </w:t>
      </w:r>
      <w:r>
        <w:t>6.10</w:t>
      </w:r>
      <w:r>
        <w:rPr>
          <w:spacing w:val="-6"/>
        </w:rPr>
        <w:t xml:space="preserve"> </w:t>
      </w:r>
      <w:r>
        <w:t>requires</w:t>
      </w:r>
      <w:r>
        <w:rPr>
          <w:spacing w:val="-6"/>
        </w:rPr>
        <w:t xml:space="preserve"> </w:t>
      </w:r>
      <w:r>
        <w:t>the investigating</w:t>
      </w:r>
      <w:r>
        <w:rPr>
          <w:spacing w:val="-8"/>
        </w:rPr>
        <w:t xml:space="preserve"> </w:t>
      </w:r>
      <w:r>
        <w:t>authority</w:t>
      </w:r>
      <w:r>
        <w:rPr>
          <w:spacing w:val="-9"/>
        </w:rPr>
        <w:t xml:space="preserve"> </w:t>
      </w:r>
      <w:r>
        <w:t>to</w:t>
      </w:r>
      <w:r>
        <w:rPr>
          <w:spacing w:val="-9"/>
        </w:rPr>
        <w:t xml:space="preserve"> </w:t>
      </w:r>
      <w:r>
        <w:t>take</w:t>
      </w:r>
      <w:r>
        <w:rPr>
          <w:spacing w:val="-8"/>
        </w:rPr>
        <w:t xml:space="preserve"> </w:t>
      </w:r>
      <w:r>
        <w:t>reasonable</w:t>
      </w:r>
      <w:r>
        <w:rPr>
          <w:spacing w:val="-10"/>
        </w:rPr>
        <w:t xml:space="preserve"> </w:t>
      </w:r>
      <w:r>
        <w:t>steps</w:t>
      </w:r>
      <w:r>
        <w:rPr>
          <w:spacing w:val="-11"/>
        </w:rPr>
        <w:t xml:space="preserve"> </w:t>
      </w:r>
      <w:r>
        <w:t>to</w:t>
      </w:r>
      <w:r>
        <w:rPr>
          <w:spacing w:val="-9"/>
        </w:rPr>
        <w:t xml:space="preserve"> </w:t>
      </w:r>
      <w:r>
        <w:t>seek</w:t>
      </w:r>
      <w:r>
        <w:rPr>
          <w:spacing w:val="-10"/>
        </w:rPr>
        <w:t xml:space="preserve"> </w:t>
      </w:r>
      <w:r>
        <w:t>clarification</w:t>
      </w:r>
      <w:r>
        <w:rPr>
          <w:spacing w:val="-10"/>
        </w:rPr>
        <w:t xml:space="preserve"> </w:t>
      </w:r>
      <w:r>
        <w:t>about</w:t>
      </w:r>
      <w:r>
        <w:rPr>
          <w:spacing w:val="-10"/>
        </w:rPr>
        <w:t xml:space="preserve"> </w:t>
      </w:r>
      <w:r>
        <w:t>the</w:t>
      </w:r>
      <w:r>
        <w:rPr>
          <w:spacing w:val="-9"/>
        </w:rPr>
        <w:t xml:space="preserve"> </w:t>
      </w:r>
      <w:r>
        <w:t>level</w:t>
      </w:r>
      <w:r>
        <w:rPr>
          <w:spacing w:val="-11"/>
        </w:rPr>
        <w:t xml:space="preserve"> </w:t>
      </w:r>
      <w:r>
        <w:t>of</w:t>
      </w:r>
      <w:r>
        <w:rPr>
          <w:spacing w:val="-11"/>
        </w:rPr>
        <w:t xml:space="preserve"> </w:t>
      </w:r>
      <w:r>
        <w:t>exports to "remove any doubts".</w:t>
      </w:r>
      <w:r>
        <w:rPr>
          <w:vertAlign w:val="superscript"/>
        </w:rPr>
        <w:t>1049</w:t>
      </w:r>
      <w:r>
        <w:t xml:space="preserve"> It is not sufficient for the investigating authority to refuse to do so</w:t>
      </w:r>
      <w:r>
        <w:rPr>
          <w:spacing w:val="-9"/>
        </w:rPr>
        <w:t xml:space="preserve"> </w:t>
      </w:r>
      <w:r>
        <w:t>on</w:t>
      </w:r>
      <w:r>
        <w:rPr>
          <w:spacing w:val="-10"/>
        </w:rPr>
        <w:t xml:space="preserve"> </w:t>
      </w:r>
      <w:r>
        <w:t>the</w:t>
      </w:r>
      <w:r>
        <w:rPr>
          <w:spacing w:val="-9"/>
        </w:rPr>
        <w:t xml:space="preserve"> </w:t>
      </w:r>
      <w:r>
        <w:t>basis</w:t>
      </w:r>
      <w:r>
        <w:rPr>
          <w:spacing w:val="-10"/>
        </w:rPr>
        <w:t xml:space="preserve"> </w:t>
      </w:r>
      <w:r>
        <w:t>that</w:t>
      </w:r>
      <w:r>
        <w:rPr>
          <w:spacing w:val="-10"/>
        </w:rPr>
        <w:t xml:space="preserve"> </w:t>
      </w:r>
      <w:r>
        <w:t>it</w:t>
      </w:r>
      <w:r>
        <w:rPr>
          <w:spacing w:val="-10"/>
        </w:rPr>
        <w:t xml:space="preserve"> </w:t>
      </w:r>
      <w:r>
        <w:t>has</w:t>
      </w:r>
      <w:r>
        <w:rPr>
          <w:spacing w:val="-10"/>
        </w:rPr>
        <w:t xml:space="preserve"> </w:t>
      </w:r>
      <w:r>
        <w:t>chosen</w:t>
      </w:r>
      <w:r>
        <w:rPr>
          <w:spacing w:val="-10"/>
        </w:rPr>
        <w:t xml:space="preserve"> </w:t>
      </w:r>
      <w:r>
        <w:t>to</w:t>
      </w:r>
      <w:r>
        <w:rPr>
          <w:spacing w:val="-9"/>
        </w:rPr>
        <w:t xml:space="preserve"> </w:t>
      </w:r>
      <w:r>
        <w:t>rely</w:t>
      </w:r>
      <w:r>
        <w:rPr>
          <w:spacing w:val="-9"/>
        </w:rPr>
        <w:t xml:space="preserve"> </w:t>
      </w:r>
      <w:r>
        <w:t>solely</w:t>
      </w:r>
      <w:r>
        <w:rPr>
          <w:spacing w:val="-10"/>
        </w:rPr>
        <w:t xml:space="preserve"> </w:t>
      </w:r>
      <w:r>
        <w:t>on</w:t>
      </w:r>
      <w:r>
        <w:rPr>
          <w:spacing w:val="-10"/>
        </w:rPr>
        <w:t xml:space="preserve"> </w:t>
      </w:r>
      <w:r>
        <w:t>the</w:t>
      </w:r>
      <w:r>
        <w:rPr>
          <w:spacing w:val="-9"/>
        </w:rPr>
        <w:t xml:space="preserve"> </w:t>
      </w:r>
      <w:r>
        <w:t>answers</w:t>
      </w:r>
      <w:r>
        <w:rPr>
          <w:spacing w:val="-10"/>
        </w:rPr>
        <w:t xml:space="preserve"> </w:t>
      </w:r>
      <w:r>
        <w:t>to</w:t>
      </w:r>
      <w:r>
        <w:rPr>
          <w:spacing w:val="-9"/>
        </w:rPr>
        <w:t xml:space="preserve"> </w:t>
      </w:r>
      <w:r>
        <w:t>the</w:t>
      </w:r>
      <w:r>
        <w:rPr>
          <w:spacing w:val="-10"/>
        </w:rPr>
        <w:t xml:space="preserve"> </w:t>
      </w:r>
      <w:r>
        <w:t>sampling</w:t>
      </w:r>
      <w:r>
        <w:rPr>
          <w:spacing w:val="-10"/>
        </w:rPr>
        <w:t xml:space="preserve"> </w:t>
      </w:r>
      <w:r>
        <w:t xml:space="preserve">questionnaires. In </w:t>
      </w:r>
      <w:r>
        <w:rPr>
          <w:i/>
        </w:rPr>
        <w:t>EC — Salmon (Norway)</w:t>
      </w:r>
      <w:r>
        <w:t xml:space="preserve">, the Panel found a breach of Article 6.10 due to a failure to seek clarification once on notice, even though the exporter in question had not identified </w:t>
      </w:r>
      <w:r>
        <w:rPr>
          <w:i/>
        </w:rPr>
        <w:t xml:space="preserve">any </w:t>
      </w:r>
      <w:r>
        <w:t>relev</w:t>
      </w:r>
      <w:r>
        <w:t>ant exports in its response to the sampling questionnaire.</w:t>
      </w:r>
      <w:r>
        <w:rPr>
          <w:vertAlign w:val="superscript"/>
        </w:rPr>
        <w:t>1050</w:t>
      </w:r>
    </w:p>
    <w:p w14:paraId="51DE9794" w14:textId="77777777" w:rsidR="0010369C" w:rsidRDefault="0010369C">
      <w:pPr>
        <w:pStyle w:val="BodyText"/>
        <w:rPr>
          <w:sz w:val="9"/>
        </w:rPr>
      </w:pPr>
    </w:p>
    <w:p w14:paraId="51DE9795" w14:textId="77777777" w:rsidR="0010369C" w:rsidRDefault="008E43AE">
      <w:pPr>
        <w:pStyle w:val="BodyText"/>
        <w:spacing w:before="51" w:line="360" w:lineRule="auto"/>
        <w:ind w:left="238" w:right="614" w:firstLine="851"/>
      </w:pPr>
      <w:r>
        <w:rPr>
          <w:noProof/>
        </w:rPr>
        <w:drawing>
          <wp:anchor distT="0" distB="0" distL="0" distR="0" simplePos="0" relativeHeight="251483648" behindDoc="1" locked="0" layoutInCell="1" allowOverlap="1" wp14:anchorId="51DEA772" wp14:editId="51DEA773">
            <wp:simplePos x="0" y="0"/>
            <wp:positionH relativeFrom="page">
              <wp:posOffset>902208</wp:posOffset>
            </wp:positionH>
            <wp:positionV relativeFrom="paragraph">
              <wp:posOffset>80722</wp:posOffset>
            </wp:positionV>
            <wp:extent cx="262127" cy="103631"/>
            <wp:effectExtent l="0" t="0" r="0" b="0"/>
            <wp:wrapNone/>
            <wp:docPr id="1733" name="image8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 name="image894.png"/>
                    <pic:cNvPicPr/>
                  </pic:nvPicPr>
                  <pic:blipFill>
                    <a:blip r:embed="rId1159" cstate="print"/>
                    <a:stretch>
                      <a:fillRect/>
                    </a:stretch>
                  </pic:blipFill>
                  <pic:spPr>
                    <a:xfrm>
                      <a:off x="0" y="0"/>
                      <a:ext cx="262127" cy="103631"/>
                    </a:xfrm>
                    <a:prstGeom prst="rect">
                      <a:avLst/>
                    </a:prstGeom>
                  </pic:spPr>
                </pic:pic>
              </a:graphicData>
            </a:graphic>
          </wp:anchor>
        </w:drawing>
      </w:r>
      <w:r>
        <w:pict w14:anchorId="51DEA774">
          <v:rect id="docshape1304" o:spid="_x0000_s1141" style="position:absolute;left:0;text-align:left;margin-left:305pt;margin-top:24.6pt;width:218.45pt;height:16.05pt;z-index:-251286016;mso-position-horizontal-relative:page;mso-position-vertical-relative:text" fillcolor="black" stroked="f">
            <w10:wrap anchorx="page"/>
          </v:rect>
        </w:pict>
      </w:r>
      <w:r>
        <w:t>In the present instance, MOFCOM was placed squarely on notice, at the time it was constructing</w:t>
      </w:r>
      <w:r>
        <w:rPr>
          <w:spacing w:val="40"/>
        </w:rPr>
        <w:t xml:space="preserve"> </w:t>
      </w:r>
      <w:r>
        <w:t>the</w:t>
      </w:r>
      <w:r>
        <w:rPr>
          <w:spacing w:val="40"/>
        </w:rPr>
        <w:t xml:space="preserve"> </w:t>
      </w:r>
      <w:r>
        <w:t>sample,</w:t>
      </w:r>
      <w:r>
        <w:rPr>
          <w:spacing w:val="40"/>
        </w:rPr>
        <w:t xml:space="preserve"> </w:t>
      </w:r>
      <w:r>
        <w:t>that</w:t>
      </w:r>
      <w:r>
        <w:rPr>
          <w:spacing w:val="40"/>
        </w:rPr>
        <w:t xml:space="preserve"> </w:t>
      </w:r>
      <w:r>
        <w:t>Pernod</w:t>
      </w:r>
      <w:r>
        <w:rPr>
          <w:spacing w:val="40"/>
        </w:rPr>
        <w:t xml:space="preserve"> </w:t>
      </w:r>
      <w:r>
        <w:t>Ricard</w:t>
      </w:r>
      <w:r>
        <w:rPr>
          <w:spacing w:val="40"/>
        </w:rPr>
        <w:t xml:space="preserve"> </w:t>
      </w:r>
      <w:r>
        <w:t>[[</w:t>
      </w:r>
    </w:p>
    <w:p w14:paraId="51DE9796" w14:textId="77777777" w:rsidR="0010369C" w:rsidRDefault="008E43AE">
      <w:pPr>
        <w:pStyle w:val="BodyText"/>
        <w:spacing w:line="360" w:lineRule="auto"/>
        <w:ind w:left="237" w:right="611" w:firstLine="6601"/>
      </w:pPr>
      <w:r>
        <w:pict w14:anchorId="51DEA775">
          <v:rect id="docshape1305" o:spid="_x0000_s1140" style="position:absolute;left:0;text-align:left;margin-left:69.9pt;margin-top:.1pt;width:330pt;height:16.05pt;z-index:-251284992;mso-position-horizontal-relative:page" fillcolor="black" stroked="f">
            <w10:wrap anchorx="page"/>
          </v:rect>
        </w:pict>
      </w:r>
      <w:r>
        <w:t>]]. Yet MOFCOM took no steps</w:t>
      </w:r>
      <w:r>
        <w:rPr>
          <w:spacing w:val="-3"/>
        </w:rPr>
        <w:t xml:space="preserve"> </w:t>
      </w:r>
      <w:r>
        <w:t>to</w:t>
      </w:r>
      <w:r>
        <w:rPr>
          <w:spacing w:val="-2"/>
        </w:rPr>
        <w:t xml:space="preserve"> </w:t>
      </w:r>
      <w:r>
        <w:t>clarify</w:t>
      </w:r>
      <w:r>
        <w:rPr>
          <w:spacing w:val="-3"/>
        </w:rPr>
        <w:t xml:space="preserve"> </w:t>
      </w:r>
      <w:r>
        <w:t>the</w:t>
      </w:r>
      <w:r>
        <w:rPr>
          <w:spacing w:val="-2"/>
        </w:rPr>
        <w:t xml:space="preserve"> </w:t>
      </w:r>
      <w:r>
        <w:t>position,</w:t>
      </w:r>
      <w:r>
        <w:rPr>
          <w:spacing w:val="-1"/>
        </w:rPr>
        <w:t xml:space="preserve"> </w:t>
      </w:r>
      <w:r>
        <w:t>and</w:t>
      </w:r>
      <w:r>
        <w:rPr>
          <w:spacing w:val="-3"/>
        </w:rPr>
        <w:t xml:space="preserve"> </w:t>
      </w:r>
      <w:r>
        <w:t>instead</w:t>
      </w:r>
      <w:r>
        <w:rPr>
          <w:spacing w:val="-2"/>
        </w:rPr>
        <w:t xml:space="preserve"> </w:t>
      </w:r>
      <w:r>
        <w:t>chose</w:t>
      </w:r>
      <w:r>
        <w:rPr>
          <w:spacing w:val="-3"/>
        </w:rPr>
        <w:t xml:space="preserve"> </w:t>
      </w:r>
      <w:r>
        <w:t>to</w:t>
      </w:r>
      <w:r>
        <w:rPr>
          <w:spacing w:val="-2"/>
        </w:rPr>
        <w:t xml:space="preserve"> </w:t>
      </w:r>
      <w:r>
        <w:t>rely</w:t>
      </w:r>
      <w:r>
        <w:rPr>
          <w:spacing w:val="-2"/>
        </w:rPr>
        <w:t xml:space="preserve"> </w:t>
      </w:r>
      <w:r>
        <w:t>on</w:t>
      </w:r>
      <w:r>
        <w:rPr>
          <w:spacing w:val="-3"/>
        </w:rPr>
        <w:t xml:space="preserve"> </w:t>
      </w:r>
      <w:r>
        <w:t>unverified</w:t>
      </w:r>
      <w:r>
        <w:rPr>
          <w:spacing w:val="-2"/>
        </w:rPr>
        <w:t xml:space="preserve"> </w:t>
      </w:r>
      <w:r>
        <w:t>assertions</w:t>
      </w:r>
      <w:r>
        <w:rPr>
          <w:spacing w:val="-3"/>
        </w:rPr>
        <w:t xml:space="preserve"> </w:t>
      </w:r>
      <w:r>
        <w:t>as</w:t>
      </w:r>
      <w:r>
        <w:rPr>
          <w:spacing w:val="-2"/>
        </w:rPr>
        <w:t xml:space="preserve"> </w:t>
      </w:r>
      <w:r>
        <w:t>to</w:t>
      </w:r>
      <w:r>
        <w:rPr>
          <w:spacing w:val="-4"/>
        </w:rPr>
        <w:t xml:space="preserve"> </w:t>
      </w:r>
      <w:r>
        <w:t>the</w:t>
      </w:r>
      <w:r>
        <w:rPr>
          <w:spacing w:val="-1"/>
        </w:rPr>
        <w:t xml:space="preserve"> </w:t>
      </w:r>
      <w:r>
        <w:rPr>
          <w:spacing w:val="-2"/>
        </w:rPr>
        <w:t>level</w:t>
      </w:r>
    </w:p>
    <w:p w14:paraId="51DE9797" w14:textId="77777777" w:rsidR="0010369C" w:rsidRDefault="0010369C">
      <w:pPr>
        <w:pStyle w:val="BodyText"/>
      </w:pPr>
    </w:p>
    <w:p w14:paraId="51DE9798" w14:textId="77777777" w:rsidR="0010369C" w:rsidRDefault="0010369C">
      <w:pPr>
        <w:pStyle w:val="BodyText"/>
        <w:spacing w:before="9"/>
        <w:rPr>
          <w:sz w:val="21"/>
        </w:rPr>
      </w:pPr>
    </w:p>
    <w:p w14:paraId="51DE9799" w14:textId="77777777" w:rsidR="0010369C" w:rsidRDefault="008E43AE">
      <w:pPr>
        <w:ind w:left="238" w:right="4963"/>
        <w:rPr>
          <w:sz w:val="18"/>
        </w:rPr>
      </w:pPr>
      <w:r>
        <w:rPr>
          <w:sz w:val="18"/>
          <w:vertAlign w:val="superscript"/>
        </w:rPr>
        <w:t>1046</w:t>
      </w:r>
      <w:r>
        <w:rPr>
          <w:sz w:val="18"/>
        </w:rPr>
        <w:t xml:space="preserve"> Anti‐Dumping Final Determination (Exhibit AUS‐2), p. 11.</w:t>
      </w:r>
      <w:r>
        <w:rPr>
          <w:spacing w:val="80"/>
          <w:sz w:val="18"/>
        </w:rPr>
        <w:t xml:space="preserve"> </w:t>
      </w:r>
      <w:r>
        <w:rPr>
          <w:sz w:val="18"/>
          <w:vertAlign w:val="superscript"/>
        </w:rPr>
        <w:t>1047</w:t>
      </w:r>
      <w:r>
        <w:rPr>
          <w:spacing w:val="-4"/>
          <w:sz w:val="18"/>
        </w:rPr>
        <w:t xml:space="preserve"> </w:t>
      </w:r>
      <w:r>
        <w:rPr>
          <w:sz w:val="18"/>
        </w:rPr>
        <w:t>Pernod</w:t>
      </w:r>
      <w:r>
        <w:rPr>
          <w:spacing w:val="-4"/>
          <w:sz w:val="18"/>
        </w:rPr>
        <w:t xml:space="preserve"> </w:t>
      </w:r>
      <w:r>
        <w:rPr>
          <w:sz w:val="18"/>
        </w:rPr>
        <w:t>Ricard</w:t>
      </w:r>
      <w:r>
        <w:rPr>
          <w:spacing w:val="-4"/>
          <w:sz w:val="18"/>
        </w:rPr>
        <w:t xml:space="preserve"> </w:t>
      </w:r>
      <w:r>
        <w:rPr>
          <w:sz w:val="18"/>
        </w:rPr>
        <w:t>Comments</w:t>
      </w:r>
      <w:r>
        <w:rPr>
          <w:spacing w:val="-4"/>
          <w:sz w:val="18"/>
        </w:rPr>
        <w:t xml:space="preserve"> </w:t>
      </w:r>
      <w:r>
        <w:rPr>
          <w:sz w:val="18"/>
        </w:rPr>
        <w:t>on</w:t>
      </w:r>
      <w:r>
        <w:rPr>
          <w:spacing w:val="-4"/>
          <w:sz w:val="18"/>
        </w:rPr>
        <w:t xml:space="preserve"> </w:t>
      </w:r>
      <w:r>
        <w:rPr>
          <w:sz w:val="18"/>
        </w:rPr>
        <w:t>Sampling</w:t>
      </w:r>
      <w:r>
        <w:rPr>
          <w:spacing w:val="-3"/>
          <w:sz w:val="18"/>
        </w:rPr>
        <w:t xml:space="preserve"> </w:t>
      </w:r>
      <w:r>
        <w:rPr>
          <w:sz w:val="18"/>
        </w:rPr>
        <w:t>(Exhibit</w:t>
      </w:r>
      <w:r>
        <w:rPr>
          <w:spacing w:val="-4"/>
          <w:sz w:val="18"/>
        </w:rPr>
        <w:t xml:space="preserve"> </w:t>
      </w:r>
      <w:r>
        <w:rPr>
          <w:sz w:val="18"/>
        </w:rPr>
        <w:t>AUS‐93),</w:t>
      </w:r>
      <w:r>
        <w:rPr>
          <w:spacing w:val="-5"/>
          <w:sz w:val="18"/>
        </w:rPr>
        <w:t xml:space="preserve"> </w:t>
      </w:r>
      <w:r>
        <w:rPr>
          <w:sz w:val="18"/>
        </w:rPr>
        <w:t>p.</w:t>
      </w:r>
      <w:r>
        <w:rPr>
          <w:spacing w:val="-4"/>
          <w:sz w:val="18"/>
        </w:rPr>
        <w:t xml:space="preserve"> </w:t>
      </w:r>
      <w:r>
        <w:rPr>
          <w:sz w:val="18"/>
        </w:rPr>
        <w:t xml:space="preserve">2. </w:t>
      </w:r>
      <w:r>
        <w:rPr>
          <w:sz w:val="18"/>
          <w:vertAlign w:val="superscript"/>
        </w:rPr>
        <w:t>1048</w:t>
      </w:r>
      <w:r>
        <w:rPr>
          <w:sz w:val="18"/>
        </w:rPr>
        <w:t xml:space="preserve"> Anti‐Dumping Final Determination (Exhibit AUS‐2), p. 11.</w:t>
      </w:r>
    </w:p>
    <w:p w14:paraId="51DE979A" w14:textId="77777777" w:rsidR="0010369C" w:rsidRDefault="008E43AE">
      <w:pPr>
        <w:spacing w:before="1"/>
        <w:ind w:left="238"/>
        <w:rPr>
          <w:sz w:val="18"/>
        </w:rPr>
      </w:pPr>
      <w:r>
        <w:rPr>
          <w:sz w:val="18"/>
          <w:vertAlign w:val="superscript"/>
        </w:rPr>
        <w:t>1049</w:t>
      </w:r>
      <w:r>
        <w:rPr>
          <w:spacing w:val="-5"/>
          <w:sz w:val="18"/>
        </w:rPr>
        <w:t xml:space="preserve"> </w:t>
      </w:r>
      <w:r>
        <w:rPr>
          <w:sz w:val="18"/>
        </w:rPr>
        <w:t>Panel</w:t>
      </w:r>
      <w:r>
        <w:rPr>
          <w:spacing w:val="-5"/>
          <w:sz w:val="18"/>
        </w:rPr>
        <w:t xml:space="preserve"> </w:t>
      </w:r>
      <w:r>
        <w:rPr>
          <w:sz w:val="18"/>
        </w:rPr>
        <w:t>Report,</w:t>
      </w:r>
      <w:r>
        <w:rPr>
          <w:spacing w:val="-5"/>
          <w:sz w:val="18"/>
        </w:rPr>
        <w:t xml:space="preserve"> </w:t>
      </w:r>
      <w:r>
        <w:rPr>
          <w:i/>
          <w:sz w:val="18"/>
        </w:rPr>
        <w:t>EC</w:t>
      </w:r>
      <w:r>
        <w:rPr>
          <w:i/>
          <w:spacing w:val="-5"/>
          <w:sz w:val="18"/>
        </w:rPr>
        <w:t xml:space="preserve"> </w:t>
      </w:r>
      <w:r>
        <w:rPr>
          <w:i/>
          <w:sz w:val="18"/>
        </w:rPr>
        <w:t>Salmon</w:t>
      </w:r>
      <w:r>
        <w:rPr>
          <w:i/>
          <w:spacing w:val="-6"/>
          <w:sz w:val="18"/>
        </w:rPr>
        <w:t xml:space="preserve"> </w:t>
      </w:r>
      <w:r>
        <w:rPr>
          <w:i/>
          <w:sz w:val="18"/>
        </w:rPr>
        <w:t>–</w:t>
      </w:r>
      <w:r>
        <w:rPr>
          <w:i/>
          <w:spacing w:val="-4"/>
          <w:sz w:val="18"/>
        </w:rPr>
        <w:t xml:space="preserve"> </w:t>
      </w:r>
      <w:r>
        <w:rPr>
          <w:i/>
          <w:sz w:val="18"/>
        </w:rPr>
        <w:t>Norway</w:t>
      </w:r>
      <w:r>
        <w:rPr>
          <w:sz w:val="18"/>
        </w:rPr>
        <w:t>,</w:t>
      </w:r>
      <w:r>
        <w:rPr>
          <w:spacing w:val="-6"/>
          <w:sz w:val="18"/>
        </w:rPr>
        <w:t xml:space="preserve"> </w:t>
      </w:r>
      <w:r>
        <w:rPr>
          <w:sz w:val="18"/>
        </w:rPr>
        <w:t>para.</w:t>
      </w:r>
      <w:r>
        <w:rPr>
          <w:spacing w:val="-4"/>
          <w:sz w:val="18"/>
        </w:rPr>
        <w:t xml:space="preserve"> </w:t>
      </w:r>
      <w:r>
        <w:rPr>
          <w:spacing w:val="-2"/>
          <w:sz w:val="18"/>
        </w:rPr>
        <w:t>7.203.</w:t>
      </w:r>
    </w:p>
    <w:p w14:paraId="51DE979B" w14:textId="77777777" w:rsidR="0010369C" w:rsidRDefault="008E43AE">
      <w:pPr>
        <w:ind w:left="238"/>
        <w:rPr>
          <w:sz w:val="18"/>
        </w:rPr>
      </w:pPr>
      <w:r>
        <w:rPr>
          <w:sz w:val="18"/>
          <w:vertAlign w:val="superscript"/>
        </w:rPr>
        <w:t>1050</w:t>
      </w:r>
      <w:r>
        <w:rPr>
          <w:spacing w:val="-5"/>
          <w:sz w:val="18"/>
        </w:rPr>
        <w:t xml:space="preserve"> </w:t>
      </w:r>
      <w:r>
        <w:rPr>
          <w:sz w:val="18"/>
        </w:rPr>
        <w:t>Panel</w:t>
      </w:r>
      <w:r>
        <w:rPr>
          <w:spacing w:val="-6"/>
          <w:sz w:val="18"/>
        </w:rPr>
        <w:t xml:space="preserve"> </w:t>
      </w:r>
      <w:r>
        <w:rPr>
          <w:sz w:val="18"/>
        </w:rPr>
        <w:t>Report,</w:t>
      </w:r>
      <w:r>
        <w:rPr>
          <w:spacing w:val="-4"/>
          <w:sz w:val="18"/>
        </w:rPr>
        <w:t xml:space="preserve"> </w:t>
      </w:r>
      <w:r>
        <w:rPr>
          <w:i/>
          <w:sz w:val="18"/>
        </w:rPr>
        <w:t>EC</w:t>
      </w:r>
      <w:r>
        <w:rPr>
          <w:i/>
          <w:spacing w:val="-6"/>
          <w:sz w:val="18"/>
        </w:rPr>
        <w:t xml:space="preserve"> </w:t>
      </w:r>
      <w:r>
        <w:rPr>
          <w:i/>
          <w:sz w:val="18"/>
        </w:rPr>
        <w:t>Salmon</w:t>
      </w:r>
      <w:r>
        <w:rPr>
          <w:i/>
          <w:spacing w:val="-5"/>
          <w:sz w:val="18"/>
        </w:rPr>
        <w:t xml:space="preserve"> </w:t>
      </w:r>
      <w:r>
        <w:rPr>
          <w:i/>
          <w:sz w:val="18"/>
        </w:rPr>
        <w:t>–</w:t>
      </w:r>
      <w:r>
        <w:rPr>
          <w:i/>
          <w:spacing w:val="-5"/>
          <w:sz w:val="18"/>
        </w:rPr>
        <w:t xml:space="preserve"> </w:t>
      </w:r>
      <w:r>
        <w:rPr>
          <w:i/>
          <w:sz w:val="18"/>
        </w:rPr>
        <w:t>Norway</w:t>
      </w:r>
      <w:r>
        <w:rPr>
          <w:sz w:val="18"/>
        </w:rPr>
        <w:t>,</w:t>
      </w:r>
      <w:r>
        <w:rPr>
          <w:spacing w:val="-6"/>
          <w:sz w:val="18"/>
        </w:rPr>
        <w:t xml:space="preserve"> </w:t>
      </w:r>
      <w:r>
        <w:rPr>
          <w:sz w:val="18"/>
        </w:rPr>
        <w:t>paras.</w:t>
      </w:r>
      <w:r>
        <w:rPr>
          <w:spacing w:val="-4"/>
          <w:sz w:val="18"/>
        </w:rPr>
        <w:t xml:space="preserve"> </w:t>
      </w:r>
      <w:r>
        <w:rPr>
          <w:spacing w:val="-2"/>
          <w:sz w:val="18"/>
        </w:rPr>
        <w:t>7.196‐7.203.</w:t>
      </w:r>
    </w:p>
    <w:p w14:paraId="51DE979C" w14:textId="77777777" w:rsidR="0010369C" w:rsidRDefault="0010369C">
      <w:pPr>
        <w:rPr>
          <w:sz w:val="18"/>
        </w:rPr>
        <w:sectPr w:rsidR="0010369C">
          <w:headerReference w:type="default" r:id="rId1160"/>
          <w:footerReference w:type="default" r:id="rId1161"/>
          <w:pgSz w:w="11910" w:h="16840"/>
          <w:pgMar w:top="880" w:right="800" w:bottom="1340" w:left="1180" w:header="569" w:footer="1143" w:gutter="0"/>
          <w:cols w:space="720"/>
        </w:sectPr>
      </w:pPr>
    </w:p>
    <w:p w14:paraId="51DE979D" w14:textId="77777777" w:rsidR="0010369C" w:rsidRDefault="008E43AE">
      <w:pPr>
        <w:tabs>
          <w:tab w:val="left" w:pos="6425"/>
        </w:tabs>
        <w:ind w:left="238"/>
        <w:jc w:val="both"/>
        <w:rPr>
          <w:sz w:val="20"/>
        </w:rPr>
      </w:pPr>
      <w:r>
        <w:rPr>
          <w:i/>
          <w:sz w:val="20"/>
        </w:rPr>
        <w:lastRenderedPageBreak/>
        <w:t>China</w:t>
      </w:r>
      <w:r>
        <w:rPr>
          <w:i/>
          <w:spacing w:val="-5"/>
          <w:sz w:val="20"/>
        </w:rPr>
        <w:t xml:space="preserve"> </w:t>
      </w:r>
      <w:r>
        <w:rPr>
          <w:i/>
          <w:sz w:val="20"/>
        </w:rPr>
        <w:t>–</w:t>
      </w:r>
      <w:r>
        <w:rPr>
          <w:i/>
          <w:spacing w:val="-5"/>
          <w:sz w:val="20"/>
        </w:rPr>
        <w:t xml:space="preserve"> </w:t>
      </w:r>
      <w:r>
        <w:rPr>
          <w:i/>
          <w:sz w:val="20"/>
        </w:rPr>
        <w:t>Anti‐Dumping</w:t>
      </w:r>
      <w:r>
        <w:rPr>
          <w:i/>
          <w:spacing w:val="-4"/>
          <w:sz w:val="20"/>
        </w:rPr>
        <w:t xml:space="preserve"> </w:t>
      </w:r>
      <w:r>
        <w:rPr>
          <w:i/>
          <w:sz w:val="20"/>
        </w:rPr>
        <w:t>and</w:t>
      </w:r>
      <w:r>
        <w:rPr>
          <w:i/>
          <w:spacing w:val="-5"/>
          <w:sz w:val="20"/>
        </w:rPr>
        <w:t xml:space="preserve"> </w:t>
      </w:r>
      <w:r>
        <w:rPr>
          <w:i/>
          <w:sz w:val="20"/>
        </w:rPr>
        <w:t>Countervailing</w:t>
      </w:r>
      <w:r>
        <w:rPr>
          <w:i/>
          <w:spacing w:val="-5"/>
          <w:sz w:val="20"/>
        </w:rPr>
        <w:t xml:space="preserve"> </w:t>
      </w:r>
      <w:r>
        <w:rPr>
          <w:i/>
          <w:sz w:val="20"/>
        </w:rPr>
        <w:t>Duty</w:t>
      </w:r>
      <w:r>
        <w:rPr>
          <w:i/>
          <w:spacing w:val="-4"/>
          <w:sz w:val="20"/>
        </w:rPr>
        <w:t xml:space="preserve"> </w:t>
      </w:r>
      <w:r>
        <w:rPr>
          <w:i/>
          <w:spacing w:val="-2"/>
          <w:sz w:val="20"/>
        </w:rPr>
        <w:t>Measures</w:t>
      </w:r>
      <w:r>
        <w:rPr>
          <w:i/>
          <w:sz w:val="20"/>
        </w:rPr>
        <w:tab/>
      </w:r>
      <w:r>
        <w:rPr>
          <w:sz w:val="20"/>
        </w:rPr>
        <w:t>Australia's</w:t>
      </w:r>
      <w:r>
        <w:rPr>
          <w:spacing w:val="-7"/>
          <w:sz w:val="20"/>
        </w:rPr>
        <w:t xml:space="preserve"> </w:t>
      </w:r>
      <w:r>
        <w:rPr>
          <w:sz w:val="20"/>
        </w:rPr>
        <w:t>First</w:t>
      </w:r>
      <w:r>
        <w:rPr>
          <w:spacing w:val="-2"/>
          <w:sz w:val="20"/>
        </w:rPr>
        <w:t xml:space="preserve"> </w:t>
      </w:r>
      <w:r>
        <w:rPr>
          <w:sz w:val="20"/>
        </w:rPr>
        <w:t>Written</w:t>
      </w:r>
      <w:r>
        <w:rPr>
          <w:spacing w:val="-2"/>
          <w:sz w:val="20"/>
        </w:rPr>
        <w:t xml:space="preserve"> Submission</w:t>
      </w:r>
    </w:p>
    <w:p w14:paraId="51DE979E" w14:textId="77777777" w:rsidR="0010369C" w:rsidRDefault="008E43AE">
      <w:pPr>
        <w:tabs>
          <w:tab w:val="left" w:pos="8227"/>
        </w:tabs>
        <w:spacing w:before="1"/>
        <w:ind w:left="239"/>
        <w:jc w:val="both"/>
        <w:rPr>
          <w:sz w:val="20"/>
        </w:rPr>
      </w:pPr>
      <w:r>
        <w:rPr>
          <w:i/>
          <w:sz w:val="20"/>
        </w:rPr>
        <w:t>on</w:t>
      </w:r>
      <w:r>
        <w:rPr>
          <w:i/>
          <w:spacing w:val="-1"/>
          <w:sz w:val="20"/>
        </w:rPr>
        <w:t xml:space="preserve"> </w:t>
      </w:r>
      <w:r>
        <w:rPr>
          <w:i/>
          <w:sz w:val="20"/>
        </w:rPr>
        <w:t>Wine</w:t>
      </w:r>
      <w:r>
        <w:rPr>
          <w:i/>
          <w:spacing w:val="-1"/>
          <w:sz w:val="20"/>
        </w:rPr>
        <w:t xml:space="preserve"> </w:t>
      </w:r>
      <w:r>
        <w:rPr>
          <w:i/>
          <w:sz w:val="20"/>
        </w:rPr>
        <w:t>from</w:t>
      </w:r>
      <w:r>
        <w:rPr>
          <w:i/>
          <w:spacing w:val="-3"/>
          <w:sz w:val="20"/>
        </w:rPr>
        <w:t xml:space="preserve"> </w:t>
      </w:r>
      <w:r>
        <w:rPr>
          <w:i/>
          <w:sz w:val="20"/>
        </w:rPr>
        <w:t>Australia</w:t>
      </w:r>
      <w:r>
        <w:rPr>
          <w:i/>
          <w:spacing w:val="-1"/>
          <w:sz w:val="20"/>
        </w:rPr>
        <w:t xml:space="preserve"> </w:t>
      </w:r>
      <w:r>
        <w:rPr>
          <w:spacing w:val="-2"/>
          <w:sz w:val="20"/>
        </w:rPr>
        <w:t>(DS602)</w:t>
      </w:r>
      <w:r>
        <w:rPr>
          <w:sz w:val="20"/>
        </w:rPr>
        <w:tab/>
        <w:t>29</w:t>
      </w:r>
      <w:r>
        <w:rPr>
          <w:spacing w:val="-1"/>
          <w:sz w:val="20"/>
        </w:rPr>
        <w:t xml:space="preserve"> </w:t>
      </w:r>
      <w:r>
        <w:rPr>
          <w:sz w:val="20"/>
        </w:rPr>
        <w:t>April</w:t>
      </w:r>
      <w:r>
        <w:rPr>
          <w:spacing w:val="-2"/>
          <w:sz w:val="20"/>
        </w:rPr>
        <w:t xml:space="preserve"> </w:t>
      </w:r>
      <w:r>
        <w:rPr>
          <w:spacing w:val="-4"/>
          <w:sz w:val="20"/>
        </w:rPr>
        <w:t>2022</w:t>
      </w:r>
    </w:p>
    <w:p w14:paraId="51DE979F" w14:textId="77777777" w:rsidR="0010369C" w:rsidRDefault="008E43AE">
      <w:pPr>
        <w:pStyle w:val="BodyText"/>
        <w:spacing w:before="34" w:line="360" w:lineRule="auto"/>
        <w:ind w:left="237" w:right="613"/>
        <w:jc w:val="both"/>
      </w:pPr>
      <w:r>
        <w:t>of exports. MOFCOM's decision not to take reasonably available steps to ensure that it had constructed</w:t>
      </w:r>
      <w:r>
        <w:t xml:space="preserve"> a sample that comprised the largest percentage of the volume of exports that could be reasonably investigated meant that it failed to comply with Article 6.10.</w:t>
      </w:r>
    </w:p>
    <w:p w14:paraId="51DE97A0" w14:textId="77777777" w:rsidR="0010369C" w:rsidRDefault="0010369C">
      <w:pPr>
        <w:pStyle w:val="BodyText"/>
        <w:spacing w:before="11"/>
        <w:rPr>
          <w:sz w:val="8"/>
        </w:rPr>
      </w:pPr>
    </w:p>
    <w:p w14:paraId="51DE97A1" w14:textId="77777777" w:rsidR="0010369C" w:rsidRDefault="008E43AE">
      <w:pPr>
        <w:pStyle w:val="BodyText"/>
        <w:spacing w:before="52" w:line="360" w:lineRule="auto"/>
        <w:ind w:left="237" w:right="612" w:firstLine="851"/>
        <w:jc w:val="both"/>
      </w:pPr>
      <w:r>
        <w:rPr>
          <w:noProof/>
        </w:rPr>
        <w:drawing>
          <wp:anchor distT="0" distB="0" distL="0" distR="0" simplePos="0" relativeHeight="251484672" behindDoc="1" locked="0" layoutInCell="1" allowOverlap="1" wp14:anchorId="51DEA776" wp14:editId="51DEA777">
            <wp:simplePos x="0" y="0"/>
            <wp:positionH relativeFrom="page">
              <wp:posOffset>902208</wp:posOffset>
            </wp:positionH>
            <wp:positionV relativeFrom="paragraph">
              <wp:posOffset>80595</wp:posOffset>
            </wp:positionV>
            <wp:extent cx="262127" cy="103631"/>
            <wp:effectExtent l="0" t="0" r="0" b="0"/>
            <wp:wrapNone/>
            <wp:docPr id="1735" name="image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 name="image895.png"/>
                    <pic:cNvPicPr/>
                  </pic:nvPicPr>
                  <pic:blipFill>
                    <a:blip r:embed="rId1162" cstate="print"/>
                    <a:stretch>
                      <a:fillRect/>
                    </a:stretch>
                  </pic:blipFill>
                  <pic:spPr>
                    <a:xfrm>
                      <a:off x="0" y="0"/>
                      <a:ext cx="262127" cy="103631"/>
                    </a:xfrm>
                    <a:prstGeom prst="rect">
                      <a:avLst/>
                    </a:prstGeom>
                  </pic:spPr>
                </pic:pic>
              </a:graphicData>
            </a:graphic>
          </wp:anchor>
        </w:drawing>
      </w:r>
      <w:r>
        <w:t>Even</w:t>
      </w:r>
      <w:r>
        <w:rPr>
          <w:spacing w:val="-11"/>
        </w:rPr>
        <w:t xml:space="preserve"> </w:t>
      </w:r>
      <w:r>
        <w:t>if,</w:t>
      </w:r>
      <w:r>
        <w:rPr>
          <w:spacing w:val="-11"/>
        </w:rPr>
        <w:t xml:space="preserve"> </w:t>
      </w:r>
      <w:r>
        <w:rPr>
          <w:i/>
        </w:rPr>
        <w:t>arguendo</w:t>
      </w:r>
      <w:r>
        <w:t>,</w:t>
      </w:r>
      <w:r>
        <w:rPr>
          <w:spacing w:val="-11"/>
        </w:rPr>
        <w:t xml:space="preserve"> </w:t>
      </w:r>
      <w:r>
        <w:t>MOFCOM's</w:t>
      </w:r>
      <w:r>
        <w:rPr>
          <w:spacing w:val="-11"/>
        </w:rPr>
        <w:t xml:space="preserve"> </w:t>
      </w:r>
      <w:r>
        <w:t>decision</w:t>
      </w:r>
      <w:r>
        <w:rPr>
          <w:spacing w:val="-11"/>
        </w:rPr>
        <w:t xml:space="preserve"> </w:t>
      </w:r>
      <w:r>
        <w:t>to</w:t>
      </w:r>
      <w:r>
        <w:rPr>
          <w:spacing w:val="-11"/>
        </w:rPr>
        <w:t xml:space="preserve"> </w:t>
      </w:r>
      <w:r>
        <w:t>only</w:t>
      </w:r>
      <w:r>
        <w:rPr>
          <w:spacing w:val="-10"/>
        </w:rPr>
        <w:t xml:space="preserve"> </w:t>
      </w:r>
      <w:r>
        <w:t>select</w:t>
      </w:r>
      <w:r>
        <w:rPr>
          <w:spacing w:val="-11"/>
        </w:rPr>
        <w:t xml:space="preserve"> </w:t>
      </w:r>
      <w:r>
        <w:t>three</w:t>
      </w:r>
      <w:r>
        <w:rPr>
          <w:spacing w:val="-11"/>
        </w:rPr>
        <w:t xml:space="preserve"> </w:t>
      </w:r>
      <w:r>
        <w:t>sampled</w:t>
      </w:r>
      <w:r>
        <w:rPr>
          <w:spacing w:val="-11"/>
        </w:rPr>
        <w:t xml:space="preserve"> </w:t>
      </w:r>
      <w:r>
        <w:t>companies</w:t>
      </w:r>
      <w:r>
        <w:rPr>
          <w:spacing w:val="-12"/>
        </w:rPr>
        <w:t xml:space="preserve"> </w:t>
      </w:r>
      <w:r>
        <w:t>could be shown to be consistent with Article 6.10, MOFCOM failed to take the necessary steps to ensure that the selected companies were in fact the three largest exporters.</w:t>
      </w:r>
    </w:p>
    <w:p w14:paraId="51DE97A2" w14:textId="77777777" w:rsidR="0010369C" w:rsidRDefault="0010369C">
      <w:pPr>
        <w:pStyle w:val="BodyText"/>
        <w:spacing w:before="10"/>
        <w:rPr>
          <w:sz w:val="8"/>
        </w:rPr>
      </w:pPr>
    </w:p>
    <w:p w14:paraId="51DE97A3" w14:textId="77777777" w:rsidR="0010369C" w:rsidRDefault="008E43AE">
      <w:pPr>
        <w:pStyle w:val="BodyText"/>
        <w:spacing w:before="52" w:line="360" w:lineRule="auto"/>
        <w:ind w:left="237" w:right="612" w:firstLine="851"/>
        <w:jc w:val="both"/>
      </w:pPr>
      <w:r>
        <w:rPr>
          <w:noProof/>
        </w:rPr>
        <w:drawing>
          <wp:anchor distT="0" distB="0" distL="0" distR="0" simplePos="0" relativeHeight="251485696" behindDoc="1" locked="0" layoutInCell="1" allowOverlap="1" wp14:anchorId="51DEA778" wp14:editId="51DEA779">
            <wp:simplePos x="0" y="0"/>
            <wp:positionH relativeFrom="page">
              <wp:posOffset>902208</wp:posOffset>
            </wp:positionH>
            <wp:positionV relativeFrom="paragraph">
              <wp:posOffset>80595</wp:posOffset>
            </wp:positionV>
            <wp:extent cx="262127" cy="103631"/>
            <wp:effectExtent l="0" t="0" r="0" b="0"/>
            <wp:wrapNone/>
            <wp:docPr id="1737" name="image8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 name="image896.png"/>
                    <pic:cNvPicPr/>
                  </pic:nvPicPr>
                  <pic:blipFill>
                    <a:blip r:embed="rId1163" cstate="print"/>
                    <a:stretch>
                      <a:fillRect/>
                    </a:stretch>
                  </pic:blipFill>
                  <pic:spPr>
                    <a:xfrm>
                      <a:off x="0" y="0"/>
                      <a:ext cx="262127" cy="103631"/>
                    </a:xfrm>
                    <a:prstGeom prst="rect">
                      <a:avLst/>
                    </a:prstGeom>
                  </pic:spPr>
                </pic:pic>
              </a:graphicData>
            </a:graphic>
          </wp:anchor>
        </w:drawing>
      </w:r>
      <w:r>
        <w:pict w14:anchorId="51DEA77A">
          <v:rect id="docshape1309" o:spid="_x0000_s1139" style="position:absolute;left:0;text-align:left;margin-left:135.25pt;margin-top:68.6pt;width:388.1pt;height:16.05pt;z-index:-251283968;mso-position-horizontal-relative:page;mso-position-vertical-relative:text" fillcolor="black" stroked="f">
            <w10:wrap anchorx="page"/>
          </v:rect>
        </w:pict>
      </w:r>
      <w:r>
        <w:t>MOFCOM</w:t>
      </w:r>
      <w:r>
        <w:rPr>
          <w:spacing w:val="-7"/>
        </w:rPr>
        <w:t xml:space="preserve"> </w:t>
      </w:r>
      <w:r>
        <w:t>explained</w:t>
      </w:r>
      <w:r>
        <w:rPr>
          <w:spacing w:val="-8"/>
        </w:rPr>
        <w:t xml:space="preserve"> </w:t>
      </w:r>
      <w:r>
        <w:t>that</w:t>
      </w:r>
      <w:r>
        <w:rPr>
          <w:spacing w:val="-7"/>
        </w:rPr>
        <w:t xml:space="preserve"> </w:t>
      </w:r>
      <w:r>
        <w:t>it</w:t>
      </w:r>
      <w:r>
        <w:rPr>
          <w:spacing w:val="-7"/>
        </w:rPr>
        <w:t xml:space="preserve"> </w:t>
      </w:r>
      <w:r>
        <w:t>sequenced</w:t>
      </w:r>
      <w:r>
        <w:rPr>
          <w:spacing w:val="-8"/>
        </w:rPr>
        <w:t xml:space="preserve"> </w:t>
      </w:r>
      <w:r>
        <w:t>the</w:t>
      </w:r>
      <w:r>
        <w:rPr>
          <w:spacing w:val="-8"/>
        </w:rPr>
        <w:t xml:space="preserve"> </w:t>
      </w:r>
      <w:r>
        <w:t>exporters</w:t>
      </w:r>
      <w:r>
        <w:rPr>
          <w:spacing w:val="-8"/>
        </w:rPr>
        <w:t xml:space="preserve"> </w:t>
      </w:r>
      <w:r>
        <w:t>based</w:t>
      </w:r>
      <w:r>
        <w:rPr>
          <w:spacing w:val="-9"/>
        </w:rPr>
        <w:t xml:space="preserve"> </w:t>
      </w:r>
      <w:r>
        <w:t>on</w:t>
      </w:r>
      <w:r>
        <w:rPr>
          <w:spacing w:val="-7"/>
        </w:rPr>
        <w:t xml:space="preserve"> </w:t>
      </w:r>
      <w:r>
        <w:t>their</w:t>
      </w:r>
      <w:r>
        <w:rPr>
          <w:spacing w:val="-7"/>
        </w:rPr>
        <w:t xml:space="preserve"> </w:t>
      </w:r>
      <w:r>
        <w:t>reported</w:t>
      </w:r>
      <w:r>
        <w:rPr>
          <w:spacing w:val="-8"/>
        </w:rPr>
        <w:t xml:space="preserve"> </w:t>
      </w:r>
      <w:r>
        <w:t>exports</w:t>
      </w:r>
      <w:r>
        <w:t xml:space="preserve"> in the Sampling Questionnaire and selected</w:t>
      </w:r>
      <w:r>
        <w:rPr>
          <w:spacing w:val="-1"/>
        </w:rPr>
        <w:t xml:space="preserve"> </w:t>
      </w:r>
      <w:r>
        <w:t>the</w:t>
      </w:r>
      <w:r>
        <w:rPr>
          <w:spacing w:val="-1"/>
        </w:rPr>
        <w:t xml:space="preserve"> </w:t>
      </w:r>
      <w:r>
        <w:t>top 3</w:t>
      </w:r>
      <w:r>
        <w:rPr>
          <w:spacing w:val="-1"/>
        </w:rPr>
        <w:t xml:space="preserve"> </w:t>
      </w:r>
      <w:r>
        <w:t>as</w:t>
      </w:r>
      <w:r>
        <w:rPr>
          <w:spacing w:val="-1"/>
        </w:rPr>
        <w:t xml:space="preserve"> </w:t>
      </w:r>
      <w:r>
        <w:t>samples.</w:t>
      </w:r>
      <w:r>
        <w:rPr>
          <w:vertAlign w:val="superscript"/>
        </w:rPr>
        <w:t>1051</w:t>
      </w:r>
      <w:r>
        <w:rPr>
          <w:spacing w:val="-1"/>
        </w:rPr>
        <w:t xml:space="preserve"> </w:t>
      </w:r>
      <w:r>
        <w:t>MOFCOM failed</w:t>
      </w:r>
      <w:r>
        <w:rPr>
          <w:spacing w:val="-1"/>
        </w:rPr>
        <w:t xml:space="preserve"> </w:t>
      </w:r>
      <w:r>
        <w:t>to take any steps to verify these data even though it had expressly been put on notice by Pernod Ricard that [[</w:t>
      </w:r>
    </w:p>
    <w:p w14:paraId="51DE97A4" w14:textId="77777777" w:rsidR="0010369C" w:rsidRDefault="008E43AE">
      <w:pPr>
        <w:pStyle w:val="BodyText"/>
        <w:ind w:left="218"/>
        <w:rPr>
          <w:sz w:val="20"/>
        </w:rPr>
      </w:pPr>
      <w:r>
        <w:rPr>
          <w:sz w:val="20"/>
        </w:rPr>
      </w:r>
      <w:r>
        <w:rPr>
          <w:sz w:val="20"/>
        </w:rPr>
        <w:pict w14:anchorId="51DEA77C">
          <v:group id="docshapegroup1310" o:spid="_x0000_s1137" style="width:453.55pt;height:16.1pt;mso-position-horizontal-relative:char;mso-position-vertical-relative:line" coordsize="9071,322">
            <v:rect id="docshape1311" o:spid="_x0000_s1138" style="position:absolute;width:9071;height:322" fillcolor="black" stroked="f"/>
            <w10:anchorlock/>
          </v:group>
        </w:pict>
      </w:r>
    </w:p>
    <w:p w14:paraId="51DE97A5" w14:textId="77777777" w:rsidR="0010369C" w:rsidRDefault="008E43AE">
      <w:pPr>
        <w:pStyle w:val="BodyText"/>
        <w:rPr>
          <w:sz w:val="5"/>
        </w:rPr>
      </w:pPr>
      <w:r>
        <w:pict w14:anchorId="51DEA77D">
          <v:rect id="docshape1312" o:spid="_x0000_s1136" style="position:absolute;margin-left:69.9pt;margin-top:4.25pt;width:453.5pt;height:16.05pt;z-index:-250721792;mso-wrap-distance-left:0;mso-wrap-distance-right:0;mso-position-horizontal-relative:page" fillcolor="black" stroked="f">
            <w10:wrap type="topAndBottom" anchorx="page"/>
          </v:rect>
        </w:pict>
      </w:r>
      <w:r>
        <w:pict w14:anchorId="51DEA77E">
          <v:rect id="docshape1313" o:spid="_x0000_s1135" style="position:absolute;margin-left:69.9pt;margin-top:26.25pt;width:453.5pt;height:16.05pt;z-index:-250720768;mso-wrap-distance-left:0;mso-wrap-distance-right:0;mso-position-horizontal-relative:page" fillcolor="black" stroked="f">
            <w10:wrap type="topAndBottom" anchorx="page"/>
          </v:rect>
        </w:pict>
      </w:r>
    </w:p>
    <w:p w14:paraId="51DE97A6" w14:textId="77777777" w:rsidR="0010369C" w:rsidRDefault="0010369C">
      <w:pPr>
        <w:pStyle w:val="BodyText"/>
        <w:spacing w:before="8"/>
        <w:rPr>
          <w:sz w:val="7"/>
        </w:rPr>
      </w:pPr>
    </w:p>
    <w:p w14:paraId="51DE97A7" w14:textId="77777777" w:rsidR="0010369C" w:rsidRDefault="008E43AE">
      <w:pPr>
        <w:pStyle w:val="BodyText"/>
        <w:spacing w:before="115" w:line="360" w:lineRule="auto"/>
        <w:ind w:left="238" w:right="611" w:firstLine="5219"/>
      </w:pPr>
      <w:r>
        <w:t>]]</w:t>
      </w:r>
      <w:r>
        <w:rPr>
          <w:spacing w:val="-12"/>
        </w:rPr>
        <w:t xml:space="preserve"> </w:t>
      </w:r>
      <w:r>
        <w:t>Pernod</w:t>
      </w:r>
      <w:r>
        <w:rPr>
          <w:spacing w:val="-13"/>
        </w:rPr>
        <w:t xml:space="preserve"> </w:t>
      </w:r>
      <w:r>
        <w:t>Ricard</w:t>
      </w:r>
      <w:r>
        <w:rPr>
          <w:spacing w:val="-12"/>
        </w:rPr>
        <w:t xml:space="preserve"> </w:t>
      </w:r>
      <w:r>
        <w:t>submitted</w:t>
      </w:r>
      <w:r>
        <w:rPr>
          <w:spacing w:val="-12"/>
        </w:rPr>
        <w:t xml:space="preserve"> </w:t>
      </w:r>
      <w:r>
        <w:t>that</w:t>
      </w:r>
      <w:r>
        <w:rPr>
          <w:spacing w:val="-12"/>
        </w:rPr>
        <w:t xml:space="preserve"> </w:t>
      </w:r>
      <w:r>
        <w:t>for</w:t>
      </w:r>
      <w:r>
        <w:rPr>
          <w:spacing w:val="-12"/>
        </w:rPr>
        <w:t xml:space="preserve"> </w:t>
      </w:r>
      <w:r>
        <w:t>this, and other reasons, it should be selected as a mandatory respondent for the sample.</w:t>
      </w:r>
      <w:r>
        <w:rPr>
          <w:vertAlign w:val="superscript"/>
        </w:rPr>
        <w:t>1053</w:t>
      </w:r>
    </w:p>
    <w:p w14:paraId="51DE97A8" w14:textId="77777777" w:rsidR="0010369C" w:rsidRDefault="0010369C">
      <w:pPr>
        <w:pStyle w:val="BodyText"/>
        <w:spacing w:before="11"/>
        <w:rPr>
          <w:sz w:val="8"/>
        </w:rPr>
      </w:pPr>
    </w:p>
    <w:p w14:paraId="51DE97A9" w14:textId="77777777" w:rsidR="0010369C" w:rsidRDefault="008E43AE">
      <w:pPr>
        <w:pStyle w:val="BodyText"/>
        <w:spacing w:before="52" w:line="360" w:lineRule="auto"/>
        <w:ind w:left="237" w:right="613" w:firstLine="851"/>
        <w:jc w:val="both"/>
      </w:pPr>
      <w:r>
        <w:pict w14:anchorId="51DEA77F">
          <v:rect id="docshape1314" o:spid="_x0000_s1134" style="position:absolute;left:0;text-align:left;margin-left:69.9pt;margin-top:-49.25pt;width:261pt;height:16.05pt;z-index:-251282944;mso-position-horizontal-relative:page" fillcolor="black" stroked="f">
            <w10:wrap anchorx="page"/>
          </v:rect>
        </w:pict>
      </w:r>
      <w:r>
        <w:rPr>
          <w:noProof/>
        </w:rPr>
        <w:drawing>
          <wp:anchor distT="0" distB="0" distL="0" distR="0" simplePos="0" relativeHeight="251486720" behindDoc="1" locked="0" layoutInCell="1" allowOverlap="1" wp14:anchorId="51DEA780" wp14:editId="51DEA781">
            <wp:simplePos x="0" y="0"/>
            <wp:positionH relativeFrom="page">
              <wp:posOffset>902208</wp:posOffset>
            </wp:positionH>
            <wp:positionV relativeFrom="paragraph">
              <wp:posOffset>76785</wp:posOffset>
            </wp:positionV>
            <wp:extent cx="262127" cy="106679"/>
            <wp:effectExtent l="0" t="0" r="0" b="0"/>
            <wp:wrapNone/>
            <wp:docPr id="1739" name="image8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 name="image897.png"/>
                    <pic:cNvPicPr/>
                  </pic:nvPicPr>
                  <pic:blipFill>
                    <a:blip r:embed="rId1164" cstate="print"/>
                    <a:stretch>
                      <a:fillRect/>
                    </a:stretch>
                  </pic:blipFill>
                  <pic:spPr>
                    <a:xfrm>
                      <a:off x="0" y="0"/>
                      <a:ext cx="262127" cy="106679"/>
                    </a:xfrm>
                    <a:prstGeom prst="rect">
                      <a:avLst/>
                    </a:prstGeom>
                  </pic:spPr>
                </pic:pic>
              </a:graphicData>
            </a:graphic>
          </wp:anchor>
        </w:drawing>
      </w:r>
      <w:r>
        <w:t>No response was given by MOFCOM to this submission in the Final Determination, aside</w:t>
      </w:r>
      <w:r>
        <w:rPr>
          <w:spacing w:val="-5"/>
        </w:rPr>
        <w:t xml:space="preserve"> </w:t>
      </w:r>
      <w:r>
        <w:t>from</w:t>
      </w:r>
      <w:r>
        <w:rPr>
          <w:spacing w:val="-5"/>
        </w:rPr>
        <w:t xml:space="preserve"> </w:t>
      </w:r>
      <w:r>
        <w:t>reasserting</w:t>
      </w:r>
      <w:r>
        <w:rPr>
          <w:spacing w:val="-6"/>
        </w:rPr>
        <w:t xml:space="preserve"> </w:t>
      </w:r>
      <w:r>
        <w:t>its</w:t>
      </w:r>
      <w:r>
        <w:rPr>
          <w:spacing w:val="-5"/>
        </w:rPr>
        <w:t xml:space="preserve"> </w:t>
      </w:r>
      <w:r>
        <w:t>methodology</w:t>
      </w:r>
      <w:r>
        <w:rPr>
          <w:spacing w:val="-5"/>
        </w:rPr>
        <w:t xml:space="preserve"> </w:t>
      </w:r>
      <w:r>
        <w:t>and</w:t>
      </w:r>
      <w:r>
        <w:rPr>
          <w:spacing w:val="-5"/>
        </w:rPr>
        <w:t xml:space="preserve"> </w:t>
      </w:r>
      <w:r>
        <w:t>its</w:t>
      </w:r>
      <w:r>
        <w:rPr>
          <w:spacing w:val="-5"/>
        </w:rPr>
        <w:t xml:space="preserve"> </w:t>
      </w:r>
      <w:r>
        <w:t>general</w:t>
      </w:r>
      <w:r>
        <w:rPr>
          <w:spacing w:val="-5"/>
        </w:rPr>
        <w:t xml:space="preserve"> </w:t>
      </w:r>
      <w:r>
        <w:t>assertion</w:t>
      </w:r>
      <w:r>
        <w:rPr>
          <w:spacing w:val="-5"/>
        </w:rPr>
        <w:t xml:space="preserve"> </w:t>
      </w:r>
      <w:r>
        <w:t>that</w:t>
      </w:r>
      <w:r>
        <w:rPr>
          <w:spacing w:val="-5"/>
        </w:rPr>
        <w:t xml:space="preserve"> </w:t>
      </w:r>
      <w:r>
        <w:t>three</w:t>
      </w:r>
      <w:r>
        <w:rPr>
          <w:spacing w:val="-5"/>
        </w:rPr>
        <w:t xml:space="preserve"> </w:t>
      </w:r>
      <w:r>
        <w:t>exporters</w:t>
      </w:r>
      <w:r>
        <w:rPr>
          <w:spacing w:val="-6"/>
        </w:rPr>
        <w:t xml:space="preserve"> </w:t>
      </w:r>
      <w:r>
        <w:t>was</w:t>
      </w:r>
      <w:r>
        <w:rPr>
          <w:spacing w:val="-5"/>
        </w:rPr>
        <w:t xml:space="preserve"> </w:t>
      </w:r>
      <w:r>
        <w:t>the "most practical" number.</w:t>
      </w:r>
      <w:r>
        <w:rPr>
          <w:vertAlign w:val="superscript"/>
        </w:rPr>
        <w:t>1054</w:t>
      </w:r>
      <w:r>
        <w:t xml:space="preserve"> Having been alerted to these concerns, MOFCOM should h</w:t>
      </w:r>
      <w:r>
        <w:t>ave cross‐checked its data against the comprehensive data on export volumes held by Wine Australia,</w:t>
      </w:r>
      <w:r>
        <w:rPr>
          <w:spacing w:val="-3"/>
        </w:rPr>
        <w:t xml:space="preserve"> </w:t>
      </w:r>
      <w:r>
        <w:t>which</w:t>
      </w:r>
      <w:r>
        <w:rPr>
          <w:spacing w:val="-3"/>
        </w:rPr>
        <w:t xml:space="preserve"> </w:t>
      </w:r>
      <w:r>
        <w:t>MOFCOM</w:t>
      </w:r>
      <w:r>
        <w:rPr>
          <w:spacing w:val="-2"/>
        </w:rPr>
        <w:t xml:space="preserve"> </w:t>
      </w:r>
      <w:r>
        <w:t>could</w:t>
      </w:r>
      <w:r>
        <w:rPr>
          <w:spacing w:val="-3"/>
        </w:rPr>
        <w:t xml:space="preserve"> </w:t>
      </w:r>
      <w:r>
        <w:t>have</w:t>
      </w:r>
      <w:r>
        <w:rPr>
          <w:spacing w:val="-2"/>
        </w:rPr>
        <w:t xml:space="preserve"> </w:t>
      </w:r>
      <w:r>
        <w:t>requested</w:t>
      </w:r>
      <w:r>
        <w:rPr>
          <w:spacing w:val="-4"/>
        </w:rPr>
        <w:t xml:space="preserve"> </w:t>
      </w:r>
      <w:r>
        <w:t>from</w:t>
      </w:r>
      <w:r>
        <w:rPr>
          <w:spacing w:val="-2"/>
        </w:rPr>
        <w:t xml:space="preserve"> </w:t>
      </w:r>
      <w:r>
        <w:t>the</w:t>
      </w:r>
      <w:r>
        <w:rPr>
          <w:spacing w:val="-3"/>
        </w:rPr>
        <w:t xml:space="preserve"> </w:t>
      </w:r>
      <w:r>
        <w:t>Australian</w:t>
      </w:r>
      <w:r>
        <w:rPr>
          <w:spacing w:val="-3"/>
        </w:rPr>
        <w:t xml:space="preserve"> </w:t>
      </w:r>
      <w:r>
        <w:t>Government.</w:t>
      </w:r>
      <w:r>
        <w:rPr>
          <w:spacing w:val="-2"/>
        </w:rPr>
        <w:t xml:space="preserve"> </w:t>
      </w:r>
      <w:r>
        <w:t>MOFCOM was evidently aware that such data existed because it had expressly requested this information in the corresponding countervailing duty investigation.</w:t>
      </w:r>
    </w:p>
    <w:p w14:paraId="51DE97AA" w14:textId="77777777" w:rsidR="0010369C" w:rsidRDefault="0010369C">
      <w:pPr>
        <w:pStyle w:val="BodyText"/>
        <w:spacing w:before="11"/>
        <w:rPr>
          <w:sz w:val="8"/>
        </w:rPr>
      </w:pPr>
    </w:p>
    <w:p w14:paraId="51DE97AB" w14:textId="77777777" w:rsidR="0010369C" w:rsidRDefault="008E43AE">
      <w:pPr>
        <w:pStyle w:val="BodyText"/>
        <w:spacing w:before="51" w:line="360" w:lineRule="auto"/>
        <w:ind w:left="238" w:firstLine="850"/>
      </w:pPr>
      <w:r>
        <w:rPr>
          <w:noProof/>
        </w:rPr>
        <w:drawing>
          <wp:anchor distT="0" distB="0" distL="0" distR="0" simplePos="0" relativeHeight="251487744" behindDoc="1" locked="0" layoutInCell="1" allowOverlap="1" wp14:anchorId="51DEA782" wp14:editId="51DEA783">
            <wp:simplePos x="0" y="0"/>
            <wp:positionH relativeFrom="page">
              <wp:posOffset>902208</wp:posOffset>
            </wp:positionH>
            <wp:positionV relativeFrom="paragraph">
              <wp:posOffset>81314</wp:posOffset>
            </wp:positionV>
            <wp:extent cx="262127" cy="100753"/>
            <wp:effectExtent l="0" t="0" r="0" b="0"/>
            <wp:wrapNone/>
            <wp:docPr id="1741" name="image8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 name="image898.png"/>
                    <pic:cNvPicPr/>
                  </pic:nvPicPr>
                  <pic:blipFill>
                    <a:blip r:embed="rId1165" cstate="print"/>
                    <a:stretch>
                      <a:fillRect/>
                    </a:stretch>
                  </pic:blipFill>
                  <pic:spPr>
                    <a:xfrm>
                      <a:off x="0" y="0"/>
                      <a:ext cx="262127" cy="100753"/>
                    </a:xfrm>
                    <a:prstGeom prst="rect">
                      <a:avLst/>
                    </a:prstGeom>
                  </pic:spPr>
                </pic:pic>
              </a:graphicData>
            </a:graphic>
          </wp:anchor>
        </w:drawing>
      </w:r>
      <w:r>
        <w:t>On</w:t>
      </w:r>
      <w:r>
        <w:rPr>
          <w:spacing w:val="-2"/>
        </w:rPr>
        <w:t xml:space="preserve"> </w:t>
      </w:r>
      <w:r>
        <w:t>the basis of</w:t>
      </w:r>
      <w:r>
        <w:rPr>
          <w:spacing w:val="-2"/>
        </w:rPr>
        <w:t xml:space="preserve"> </w:t>
      </w:r>
      <w:r>
        <w:t>the</w:t>
      </w:r>
      <w:r>
        <w:rPr>
          <w:spacing w:val="-1"/>
        </w:rPr>
        <w:t xml:space="preserve"> </w:t>
      </w:r>
      <w:r>
        <w:t>foregoing,</w:t>
      </w:r>
      <w:r>
        <w:rPr>
          <w:spacing w:val="-1"/>
        </w:rPr>
        <w:t xml:space="preserve"> </w:t>
      </w:r>
      <w:r>
        <w:t>MOFCOM</w:t>
      </w:r>
      <w:r>
        <w:rPr>
          <w:spacing w:val="-1"/>
        </w:rPr>
        <w:t xml:space="preserve"> </w:t>
      </w:r>
      <w:r>
        <w:t>acted</w:t>
      </w:r>
      <w:r>
        <w:rPr>
          <w:spacing w:val="-2"/>
        </w:rPr>
        <w:t xml:space="preserve"> </w:t>
      </w:r>
      <w:r>
        <w:t>inconsistently with</w:t>
      </w:r>
      <w:r>
        <w:rPr>
          <w:spacing w:val="-2"/>
        </w:rPr>
        <w:t xml:space="preserve"> </w:t>
      </w:r>
      <w:r>
        <w:t>Article</w:t>
      </w:r>
      <w:r>
        <w:rPr>
          <w:spacing w:val="-4"/>
        </w:rPr>
        <w:t xml:space="preserve"> </w:t>
      </w:r>
      <w:r>
        <w:t>6.10</w:t>
      </w:r>
      <w:r>
        <w:rPr>
          <w:spacing w:val="-2"/>
        </w:rPr>
        <w:t xml:space="preserve"> </w:t>
      </w:r>
      <w:r>
        <w:t>of</w:t>
      </w:r>
      <w:r>
        <w:rPr>
          <w:spacing w:val="-2"/>
        </w:rPr>
        <w:t xml:space="preserve"> </w:t>
      </w:r>
      <w:r>
        <w:t>the Anti‐Dumping</w:t>
      </w:r>
      <w:r>
        <w:t xml:space="preserve"> Agreement.</w:t>
      </w:r>
    </w:p>
    <w:p w14:paraId="51DE97AC" w14:textId="77777777" w:rsidR="0010369C" w:rsidRDefault="0010369C">
      <w:pPr>
        <w:pStyle w:val="BodyText"/>
        <w:rPr>
          <w:sz w:val="20"/>
        </w:rPr>
      </w:pPr>
    </w:p>
    <w:p w14:paraId="51DE97AD" w14:textId="77777777" w:rsidR="0010369C" w:rsidRDefault="0010369C">
      <w:pPr>
        <w:pStyle w:val="BodyText"/>
        <w:rPr>
          <w:sz w:val="20"/>
        </w:rPr>
      </w:pPr>
    </w:p>
    <w:p w14:paraId="51DE97AE" w14:textId="77777777" w:rsidR="0010369C" w:rsidRDefault="0010369C">
      <w:pPr>
        <w:pStyle w:val="BodyText"/>
        <w:rPr>
          <w:sz w:val="20"/>
        </w:rPr>
      </w:pPr>
    </w:p>
    <w:p w14:paraId="51DE97AF" w14:textId="77777777" w:rsidR="0010369C" w:rsidRDefault="0010369C">
      <w:pPr>
        <w:pStyle w:val="BodyText"/>
        <w:rPr>
          <w:sz w:val="20"/>
        </w:rPr>
      </w:pPr>
    </w:p>
    <w:p w14:paraId="51DE97B0" w14:textId="77777777" w:rsidR="0010369C" w:rsidRDefault="0010369C">
      <w:pPr>
        <w:pStyle w:val="BodyText"/>
        <w:rPr>
          <w:sz w:val="20"/>
        </w:rPr>
      </w:pPr>
    </w:p>
    <w:p w14:paraId="51DE97B1" w14:textId="77777777" w:rsidR="0010369C" w:rsidRDefault="0010369C">
      <w:pPr>
        <w:pStyle w:val="BodyText"/>
        <w:rPr>
          <w:sz w:val="20"/>
        </w:rPr>
      </w:pPr>
    </w:p>
    <w:p w14:paraId="51DE97B2" w14:textId="77777777" w:rsidR="0010369C" w:rsidRDefault="008E43AE">
      <w:pPr>
        <w:pStyle w:val="BodyText"/>
        <w:spacing w:before="5"/>
        <w:rPr>
          <w:sz w:val="26"/>
        </w:rPr>
      </w:pPr>
      <w:r>
        <w:pict w14:anchorId="51DEA784">
          <v:rect id="docshape1315" o:spid="_x0000_s1133" style="position:absolute;margin-left:70.9pt;margin-top:17.35pt;width:2in;height:.8pt;z-index:-250719744;mso-wrap-distance-left:0;mso-wrap-distance-right:0;mso-position-horizontal-relative:page" fillcolor="black" stroked="f">
            <w10:wrap type="topAndBottom" anchorx="page"/>
          </v:rect>
        </w:pict>
      </w:r>
    </w:p>
    <w:p w14:paraId="51DE97B3" w14:textId="77777777" w:rsidR="0010369C" w:rsidRDefault="008E43AE">
      <w:pPr>
        <w:spacing w:before="107"/>
        <w:ind w:left="238"/>
        <w:rPr>
          <w:sz w:val="18"/>
        </w:rPr>
      </w:pPr>
      <w:r>
        <w:rPr>
          <w:sz w:val="18"/>
          <w:vertAlign w:val="superscript"/>
        </w:rPr>
        <w:t>1051</w:t>
      </w:r>
      <w:r>
        <w:rPr>
          <w:spacing w:val="-9"/>
          <w:sz w:val="18"/>
        </w:rPr>
        <w:t xml:space="preserve"> </w:t>
      </w:r>
      <w:r>
        <w:rPr>
          <w:sz w:val="18"/>
        </w:rPr>
        <w:t>Anti‐Dumping</w:t>
      </w:r>
      <w:r>
        <w:rPr>
          <w:spacing w:val="-9"/>
          <w:sz w:val="18"/>
        </w:rPr>
        <w:t xml:space="preserve"> </w:t>
      </w:r>
      <w:r>
        <w:rPr>
          <w:sz w:val="18"/>
        </w:rPr>
        <w:t>Final</w:t>
      </w:r>
      <w:r>
        <w:rPr>
          <w:spacing w:val="-8"/>
          <w:sz w:val="18"/>
        </w:rPr>
        <w:t xml:space="preserve"> </w:t>
      </w:r>
      <w:r>
        <w:rPr>
          <w:sz w:val="18"/>
        </w:rPr>
        <w:t>Determination</w:t>
      </w:r>
      <w:r>
        <w:rPr>
          <w:spacing w:val="-8"/>
          <w:sz w:val="18"/>
        </w:rPr>
        <w:t xml:space="preserve"> </w:t>
      </w:r>
      <w:r>
        <w:rPr>
          <w:sz w:val="18"/>
        </w:rPr>
        <w:t>(Exhibit</w:t>
      </w:r>
      <w:r>
        <w:rPr>
          <w:spacing w:val="-9"/>
          <w:sz w:val="18"/>
        </w:rPr>
        <w:t xml:space="preserve"> </w:t>
      </w:r>
      <w:r>
        <w:rPr>
          <w:sz w:val="18"/>
        </w:rPr>
        <w:t>AUS‐2),</w:t>
      </w:r>
      <w:r>
        <w:rPr>
          <w:spacing w:val="-8"/>
          <w:sz w:val="18"/>
        </w:rPr>
        <w:t xml:space="preserve"> </w:t>
      </w:r>
      <w:r>
        <w:rPr>
          <w:sz w:val="18"/>
        </w:rPr>
        <w:t>p.</w:t>
      </w:r>
      <w:r>
        <w:rPr>
          <w:spacing w:val="-9"/>
          <w:sz w:val="18"/>
        </w:rPr>
        <w:t xml:space="preserve"> </w:t>
      </w:r>
      <w:r>
        <w:rPr>
          <w:sz w:val="18"/>
        </w:rPr>
        <w:t>10.</w:t>
      </w:r>
      <w:r>
        <w:rPr>
          <w:spacing w:val="-9"/>
          <w:sz w:val="18"/>
        </w:rPr>
        <w:t xml:space="preserve"> </w:t>
      </w:r>
      <w:r>
        <w:rPr>
          <w:sz w:val="18"/>
        </w:rPr>
        <w:t>See</w:t>
      </w:r>
      <w:r>
        <w:rPr>
          <w:spacing w:val="-9"/>
          <w:sz w:val="18"/>
        </w:rPr>
        <w:t xml:space="preserve"> </w:t>
      </w:r>
      <w:r>
        <w:rPr>
          <w:sz w:val="18"/>
        </w:rPr>
        <w:t>also</w:t>
      </w:r>
      <w:r>
        <w:rPr>
          <w:spacing w:val="-9"/>
          <w:sz w:val="18"/>
        </w:rPr>
        <w:t xml:space="preserve"> </w:t>
      </w:r>
      <w:r>
        <w:rPr>
          <w:sz w:val="18"/>
        </w:rPr>
        <w:t>Anti‐Dumping</w:t>
      </w:r>
      <w:r>
        <w:rPr>
          <w:spacing w:val="-9"/>
          <w:sz w:val="18"/>
        </w:rPr>
        <w:t xml:space="preserve"> </w:t>
      </w:r>
      <w:r>
        <w:rPr>
          <w:sz w:val="18"/>
        </w:rPr>
        <w:t>Sampling</w:t>
      </w:r>
      <w:r>
        <w:rPr>
          <w:spacing w:val="-9"/>
          <w:sz w:val="18"/>
        </w:rPr>
        <w:t xml:space="preserve"> </w:t>
      </w:r>
      <w:r>
        <w:rPr>
          <w:sz w:val="18"/>
        </w:rPr>
        <w:t>Notice</w:t>
      </w:r>
      <w:r>
        <w:rPr>
          <w:spacing w:val="-9"/>
          <w:sz w:val="18"/>
        </w:rPr>
        <w:t xml:space="preserve"> </w:t>
      </w:r>
      <w:r>
        <w:rPr>
          <w:sz w:val="18"/>
        </w:rPr>
        <w:t>(Exhibit</w:t>
      </w:r>
      <w:r>
        <w:rPr>
          <w:spacing w:val="-9"/>
          <w:sz w:val="18"/>
        </w:rPr>
        <w:t xml:space="preserve"> </w:t>
      </w:r>
      <w:r>
        <w:rPr>
          <w:sz w:val="18"/>
        </w:rPr>
        <w:t>AUS‐92),</w:t>
      </w:r>
      <w:r>
        <w:rPr>
          <w:spacing w:val="-8"/>
          <w:sz w:val="18"/>
        </w:rPr>
        <w:t xml:space="preserve"> </w:t>
      </w:r>
      <w:r>
        <w:rPr>
          <w:sz w:val="18"/>
        </w:rPr>
        <w:t>p.</w:t>
      </w:r>
      <w:r>
        <w:rPr>
          <w:spacing w:val="-9"/>
          <w:sz w:val="18"/>
        </w:rPr>
        <w:t xml:space="preserve"> </w:t>
      </w:r>
      <w:r>
        <w:rPr>
          <w:spacing w:val="-5"/>
          <w:sz w:val="18"/>
        </w:rPr>
        <w:t>1.</w:t>
      </w:r>
    </w:p>
    <w:p w14:paraId="51DE97B4" w14:textId="77777777" w:rsidR="0010369C" w:rsidRDefault="008E43AE">
      <w:pPr>
        <w:tabs>
          <w:tab w:val="left" w:pos="3475"/>
          <w:tab w:val="left" w:pos="5065"/>
        </w:tabs>
        <w:ind w:left="238"/>
        <w:rPr>
          <w:sz w:val="18"/>
        </w:rPr>
      </w:pPr>
      <w:r>
        <w:pict w14:anchorId="51DEA785">
          <v:rect id="docshape1316" o:spid="_x0000_s1132" style="position:absolute;left:0;text-align:left;margin-left:293.4pt;margin-top:.55pt;width:17.9pt;height:11.7pt;z-index:-251281920;mso-position-horizontal-relative:page" fillcolor="black" stroked="f">
            <w10:wrap anchorx="page"/>
          </v:rect>
        </w:pict>
      </w:r>
      <w:r>
        <w:pict w14:anchorId="51DEA786">
          <v:rect id="docshape1317" o:spid="_x0000_s1131" style="position:absolute;left:0;text-align:left;margin-left:89.7pt;margin-top:.55pt;width:140.05pt;height:11.7pt;z-index:-251280896;mso-position-horizontal-relative:page" fillcolor="black" stroked="f">
            <w10:wrap anchorx="page"/>
          </v:rect>
        </w:pict>
      </w:r>
      <w:r>
        <w:rPr>
          <w:sz w:val="18"/>
          <w:vertAlign w:val="superscript"/>
        </w:rPr>
        <w:t>1052</w:t>
      </w:r>
      <w:r>
        <w:rPr>
          <w:spacing w:val="-3"/>
          <w:sz w:val="18"/>
        </w:rPr>
        <w:t xml:space="preserve"> </w:t>
      </w:r>
      <w:r>
        <w:rPr>
          <w:spacing w:val="-10"/>
          <w:sz w:val="18"/>
        </w:rPr>
        <w:t>[</w:t>
      </w:r>
      <w:r>
        <w:rPr>
          <w:sz w:val="18"/>
        </w:rPr>
        <w:tab/>
      </w:r>
      <w:r>
        <w:rPr>
          <w:spacing w:val="-2"/>
          <w:sz w:val="18"/>
        </w:rPr>
        <w:t>(Exhibit</w:t>
      </w:r>
      <w:r>
        <w:rPr>
          <w:spacing w:val="2"/>
          <w:sz w:val="18"/>
        </w:rPr>
        <w:t xml:space="preserve"> </w:t>
      </w:r>
      <w:r>
        <w:rPr>
          <w:spacing w:val="-2"/>
          <w:sz w:val="18"/>
        </w:rPr>
        <w:t>AUS‐93),</w:t>
      </w:r>
      <w:r>
        <w:rPr>
          <w:sz w:val="18"/>
        </w:rPr>
        <w:tab/>
      </w:r>
      <w:r>
        <w:rPr>
          <w:spacing w:val="-5"/>
          <w:sz w:val="18"/>
        </w:rPr>
        <w:t>]]</w:t>
      </w:r>
    </w:p>
    <w:p w14:paraId="51DE97B5" w14:textId="77777777" w:rsidR="0010369C" w:rsidRDefault="008E43AE">
      <w:pPr>
        <w:ind w:left="238"/>
        <w:rPr>
          <w:sz w:val="18"/>
        </w:rPr>
      </w:pPr>
      <w:r>
        <w:rPr>
          <w:sz w:val="18"/>
          <w:vertAlign w:val="superscript"/>
        </w:rPr>
        <w:t>1053</w:t>
      </w:r>
      <w:r>
        <w:rPr>
          <w:spacing w:val="-3"/>
          <w:sz w:val="18"/>
        </w:rPr>
        <w:t xml:space="preserve"> </w:t>
      </w:r>
      <w:r>
        <w:rPr>
          <w:spacing w:val="-2"/>
          <w:sz w:val="18"/>
        </w:rPr>
        <w:t>Ibid.</w:t>
      </w:r>
    </w:p>
    <w:p w14:paraId="51DE97B6" w14:textId="77777777" w:rsidR="0010369C" w:rsidRDefault="008E43AE">
      <w:pPr>
        <w:ind w:left="238"/>
        <w:rPr>
          <w:sz w:val="18"/>
        </w:rPr>
      </w:pPr>
      <w:r>
        <w:rPr>
          <w:sz w:val="18"/>
          <w:vertAlign w:val="superscript"/>
        </w:rPr>
        <w:t>1054</w:t>
      </w:r>
      <w:r>
        <w:rPr>
          <w:spacing w:val="-10"/>
          <w:sz w:val="18"/>
        </w:rPr>
        <w:t xml:space="preserve"> </w:t>
      </w:r>
      <w:r>
        <w:rPr>
          <w:sz w:val="18"/>
        </w:rPr>
        <w:t>Anti‐Dumping</w:t>
      </w:r>
      <w:r>
        <w:rPr>
          <w:spacing w:val="-10"/>
          <w:sz w:val="18"/>
        </w:rPr>
        <w:t xml:space="preserve"> </w:t>
      </w:r>
      <w:r>
        <w:rPr>
          <w:sz w:val="18"/>
        </w:rPr>
        <w:t>Final</w:t>
      </w:r>
      <w:r>
        <w:rPr>
          <w:spacing w:val="-9"/>
          <w:sz w:val="18"/>
        </w:rPr>
        <w:t xml:space="preserve"> </w:t>
      </w:r>
      <w:r>
        <w:rPr>
          <w:sz w:val="18"/>
        </w:rPr>
        <w:t>Determination</w:t>
      </w:r>
      <w:r>
        <w:rPr>
          <w:spacing w:val="-8"/>
          <w:sz w:val="18"/>
        </w:rPr>
        <w:t xml:space="preserve"> </w:t>
      </w:r>
      <w:r>
        <w:rPr>
          <w:sz w:val="18"/>
        </w:rPr>
        <w:t>(Exhibit</w:t>
      </w:r>
      <w:r>
        <w:rPr>
          <w:spacing w:val="-10"/>
          <w:sz w:val="18"/>
        </w:rPr>
        <w:t xml:space="preserve"> </w:t>
      </w:r>
      <w:r>
        <w:rPr>
          <w:sz w:val="18"/>
        </w:rPr>
        <w:t>AUS‐2),</w:t>
      </w:r>
      <w:r>
        <w:rPr>
          <w:spacing w:val="-9"/>
          <w:sz w:val="18"/>
        </w:rPr>
        <w:t xml:space="preserve"> </w:t>
      </w:r>
      <w:r>
        <w:rPr>
          <w:sz w:val="18"/>
        </w:rPr>
        <w:t>p.</w:t>
      </w:r>
      <w:r>
        <w:rPr>
          <w:spacing w:val="-10"/>
          <w:sz w:val="18"/>
        </w:rPr>
        <w:t xml:space="preserve"> </w:t>
      </w:r>
      <w:r>
        <w:rPr>
          <w:spacing w:val="-5"/>
          <w:sz w:val="18"/>
        </w:rPr>
        <w:t>11.</w:t>
      </w:r>
    </w:p>
    <w:p w14:paraId="51DE97B7" w14:textId="77777777" w:rsidR="0010369C" w:rsidRDefault="0010369C">
      <w:pPr>
        <w:rPr>
          <w:sz w:val="18"/>
        </w:rPr>
        <w:sectPr w:rsidR="0010369C">
          <w:headerReference w:type="default" r:id="rId1166"/>
          <w:footerReference w:type="default" r:id="rId1167"/>
          <w:pgSz w:w="11910" w:h="16840"/>
          <w:pgMar w:top="880" w:right="800" w:bottom="980" w:left="1180" w:header="569" w:footer="788" w:gutter="0"/>
          <w:cols w:space="720"/>
        </w:sectPr>
      </w:pPr>
    </w:p>
    <w:p w14:paraId="51DE97B8" w14:textId="77777777" w:rsidR="0010369C" w:rsidRDefault="008E43AE">
      <w:pPr>
        <w:tabs>
          <w:tab w:val="left" w:pos="6426"/>
        </w:tabs>
        <w:ind w:left="238"/>
        <w:rPr>
          <w:sz w:val="20"/>
        </w:rPr>
      </w:pPr>
      <w:r>
        <w:rPr>
          <w:i/>
          <w:sz w:val="20"/>
        </w:rPr>
        <w:lastRenderedPageBreak/>
        <w:t>China</w:t>
      </w:r>
      <w:r>
        <w:rPr>
          <w:i/>
          <w:spacing w:val="-5"/>
          <w:sz w:val="20"/>
        </w:rPr>
        <w:t xml:space="preserve"> </w:t>
      </w:r>
      <w:r>
        <w:rPr>
          <w:i/>
          <w:sz w:val="20"/>
        </w:rPr>
        <w:t>–</w:t>
      </w:r>
      <w:r>
        <w:rPr>
          <w:i/>
          <w:spacing w:val="-5"/>
          <w:sz w:val="20"/>
        </w:rPr>
        <w:t xml:space="preserve"> </w:t>
      </w:r>
      <w:r>
        <w:rPr>
          <w:i/>
          <w:sz w:val="20"/>
        </w:rPr>
        <w:t>Anti‐Dumping</w:t>
      </w:r>
      <w:r>
        <w:rPr>
          <w:i/>
          <w:spacing w:val="-4"/>
          <w:sz w:val="20"/>
        </w:rPr>
        <w:t xml:space="preserve"> </w:t>
      </w:r>
      <w:r>
        <w:rPr>
          <w:i/>
          <w:sz w:val="20"/>
        </w:rPr>
        <w:t>and</w:t>
      </w:r>
      <w:r>
        <w:rPr>
          <w:i/>
          <w:spacing w:val="-5"/>
          <w:sz w:val="20"/>
        </w:rPr>
        <w:t xml:space="preserve"> </w:t>
      </w:r>
      <w:r>
        <w:rPr>
          <w:i/>
          <w:sz w:val="20"/>
        </w:rPr>
        <w:t>Countervailing</w:t>
      </w:r>
      <w:r>
        <w:rPr>
          <w:i/>
          <w:spacing w:val="-5"/>
          <w:sz w:val="20"/>
        </w:rPr>
        <w:t xml:space="preserve"> </w:t>
      </w:r>
      <w:r>
        <w:rPr>
          <w:i/>
          <w:sz w:val="20"/>
        </w:rPr>
        <w:t>Duty</w:t>
      </w:r>
      <w:r>
        <w:rPr>
          <w:i/>
          <w:spacing w:val="-4"/>
          <w:sz w:val="20"/>
        </w:rPr>
        <w:t xml:space="preserve"> </w:t>
      </w:r>
      <w:r>
        <w:rPr>
          <w:i/>
          <w:spacing w:val="-2"/>
          <w:sz w:val="20"/>
        </w:rPr>
        <w:t>Measures</w:t>
      </w:r>
      <w:r>
        <w:rPr>
          <w:i/>
          <w:sz w:val="20"/>
        </w:rPr>
        <w:tab/>
      </w:r>
      <w:r>
        <w:rPr>
          <w:sz w:val="20"/>
        </w:rPr>
        <w:t>Australia's</w:t>
      </w:r>
      <w:r>
        <w:rPr>
          <w:spacing w:val="-7"/>
          <w:sz w:val="20"/>
        </w:rPr>
        <w:t xml:space="preserve"> </w:t>
      </w:r>
      <w:r>
        <w:rPr>
          <w:sz w:val="20"/>
        </w:rPr>
        <w:t>First</w:t>
      </w:r>
      <w:r>
        <w:rPr>
          <w:spacing w:val="-2"/>
          <w:sz w:val="20"/>
        </w:rPr>
        <w:t xml:space="preserve"> </w:t>
      </w:r>
      <w:r>
        <w:rPr>
          <w:sz w:val="20"/>
        </w:rPr>
        <w:t>Written</w:t>
      </w:r>
      <w:r>
        <w:rPr>
          <w:spacing w:val="-2"/>
          <w:sz w:val="20"/>
        </w:rPr>
        <w:t xml:space="preserve"> Submission</w:t>
      </w:r>
    </w:p>
    <w:p w14:paraId="51DE97B9" w14:textId="77777777" w:rsidR="0010369C" w:rsidRDefault="008E43AE">
      <w:pPr>
        <w:tabs>
          <w:tab w:val="left" w:pos="8228"/>
        </w:tabs>
        <w:spacing w:before="1"/>
        <w:ind w:left="239"/>
        <w:rPr>
          <w:sz w:val="20"/>
        </w:rPr>
      </w:pPr>
      <w:r>
        <w:rPr>
          <w:i/>
          <w:sz w:val="20"/>
        </w:rPr>
        <w:t>on</w:t>
      </w:r>
      <w:r>
        <w:rPr>
          <w:i/>
          <w:spacing w:val="-1"/>
          <w:sz w:val="20"/>
        </w:rPr>
        <w:t xml:space="preserve"> </w:t>
      </w:r>
      <w:r>
        <w:rPr>
          <w:i/>
          <w:sz w:val="20"/>
        </w:rPr>
        <w:t>Wine</w:t>
      </w:r>
      <w:r>
        <w:rPr>
          <w:i/>
          <w:spacing w:val="-1"/>
          <w:sz w:val="20"/>
        </w:rPr>
        <w:t xml:space="preserve"> </w:t>
      </w:r>
      <w:r>
        <w:rPr>
          <w:i/>
          <w:sz w:val="20"/>
        </w:rPr>
        <w:t>from</w:t>
      </w:r>
      <w:r>
        <w:rPr>
          <w:i/>
          <w:spacing w:val="-3"/>
          <w:sz w:val="20"/>
        </w:rPr>
        <w:t xml:space="preserve"> </w:t>
      </w:r>
      <w:r>
        <w:rPr>
          <w:i/>
          <w:sz w:val="20"/>
        </w:rPr>
        <w:t>Australia</w:t>
      </w:r>
      <w:r>
        <w:rPr>
          <w:i/>
          <w:spacing w:val="-1"/>
          <w:sz w:val="20"/>
        </w:rPr>
        <w:t xml:space="preserve"> </w:t>
      </w:r>
      <w:r>
        <w:rPr>
          <w:spacing w:val="-2"/>
          <w:sz w:val="20"/>
        </w:rPr>
        <w:t>(DS602)</w:t>
      </w:r>
      <w:r>
        <w:rPr>
          <w:sz w:val="20"/>
        </w:rPr>
        <w:tab/>
        <w:t>29</w:t>
      </w:r>
      <w:r>
        <w:rPr>
          <w:spacing w:val="-1"/>
          <w:sz w:val="20"/>
        </w:rPr>
        <w:t xml:space="preserve"> </w:t>
      </w:r>
      <w:r>
        <w:rPr>
          <w:sz w:val="20"/>
        </w:rPr>
        <w:t>April</w:t>
      </w:r>
      <w:r>
        <w:rPr>
          <w:spacing w:val="-2"/>
          <w:sz w:val="20"/>
        </w:rPr>
        <w:t xml:space="preserve"> </w:t>
      </w:r>
      <w:r>
        <w:rPr>
          <w:spacing w:val="-4"/>
          <w:sz w:val="20"/>
        </w:rPr>
        <w:t>2022</w:t>
      </w:r>
    </w:p>
    <w:p w14:paraId="51DE97BA" w14:textId="77777777" w:rsidR="0010369C" w:rsidRDefault="008E43AE">
      <w:pPr>
        <w:pStyle w:val="ListParagraph"/>
        <w:numPr>
          <w:ilvl w:val="1"/>
          <w:numId w:val="75"/>
        </w:numPr>
        <w:tabs>
          <w:tab w:val="left" w:pos="1940"/>
        </w:tabs>
        <w:spacing w:before="35" w:line="403" w:lineRule="auto"/>
        <w:ind w:left="1939" w:right="614"/>
        <w:jc w:val="both"/>
        <w:rPr>
          <w:b/>
          <w:sz w:val="28"/>
        </w:rPr>
      </w:pPr>
      <w:r>
        <w:rPr>
          <w:b/>
          <w:sz w:val="28"/>
        </w:rPr>
        <w:t>MOFCOM'</w:t>
      </w:r>
      <w:r>
        <w:rPr>
          <w:b/>
        </w:rPr>
        <w:t>S FAILURE TO PROVIDE INTERESTED PARTIES WITH AMPLE OPPORTUNITIES</w:t>
      </w:r>
      <w:r>
        <w:rPr>
          <w:b/>
          <w:spacing w:val="-12"/>
        </w:rPr>
        <w:t xml:space="preserve"> </w:t>
      </w:r>
      <w:r>
        <w:rPr>
          <w:b/>
        </w:rPr>
        <w:t>TO</w:t>
      </w:r>
      <w:r>
        <w:rPr>
          <w:b/>
          <w:spacing w:val="-12"/>
        </w:rPr>
        <w:t xml:space="preserve"> </w:t>
      </w:r>
      <w:r>
        <w:rPr>
          <w:b/>
        </w:rPr>
        <w:t>PRESENT</w:t>
      </w:r>
      <w:r>
        <w:rPr>
          <w:b/>
          <w:spacing w:val="-12"/>
        </w:rPr>
        <w:t xml:space="preserve"> </w:t>
      </w:r>
      <w:r>
        <w:rPr>
          <w:b/>
        </w:rPr>
        <w:t>EVIDENCE</w:t>
      </w:r>
      <w:r>
        <w:rPr>
          <w:b/>
          <w:spacing w:val="-12"/>
        </w:rPr>
        <w:t xml:space="preserve"> </w:t>
      </w:r>
      <w:r>
        <w:rPr>
          <w:b/>
        </w:rPr>
        <w:t>THEY</w:t>
      </w:r>
      <w:r>
        <w:rPr>
          <w:b/>
          <w:spacing w:val="-12"/>
        </w:rPr>
        <w:t xml:space="preserve"> </w:t>
      </w:r>
      <w:r>
        <w:rPr>
          <w:b/>
        </w:rPr>
        <w:t>CONSIDERED</w:t>
      </w:r>
      <w:r>
        <w:rPr>
          <w:b/>
          <w:spacing w:val="-11"/>
        </w:rPr>
        <w:t xml:space="preserve"> </w:t>
      </w:r>
      <w:r>
        <w:rPr>
          <w:b/>
        </w:rPr>
        <w:t>RELEVANT</w:t>
      </w:r>
      <w:r>
        <w:rPr>
          <w:b/>
          <w:spacing w:val="-12"/>
        </w:rPr>
        <w:t xml:space="preserve"> </w:t>
      </w:r>
      <w:r>
        <w:rPr>
          <w:b/>
        </w:rPr>
        <w:t xml:space="preserve">BREACHED </w:t>
      </w:r>
      <w:r>
        <w:rPr>
          <w:b/>
          <w:sz w:val="28"/>
        </w:rPr>
        <w:t>C</w:t>
      </w:r>
      <w:r>
        <w:rPr>
          <w:b/>
        </w:rPr>
        <w:t>HINA</w:t>
      </w:r>
      <w:r>
        <w:rPr>
          <w:b/>
          <w:sz w:val="28"/>
        </w:rPr>
        <w:t>'</w:t>
      </w:r>
      <w:r>
        <w:rPr>
          <w:b/>
        </w:rPr>
        <w:t>S</w:t>
      </w:r>
      <w:r>
        <w:rPr>
          <w:b/>
          <w:spacing w:val="21"/>
        </w:rPr>
        <w:t xml:space="preserve"> </w:t>
      </w:r>
      <w:r>
        <w:rPr>
          <w:b/>
        </w:rPr>
        <w:t>OBLIGATIONS</w:t>
      </w:r>
      <w:r>
        <w:rPr>
          <w:b/>
          <w:spacing w:val="20"/>
        </w:rPr>
        <w:t xml:space="preserve"> </w:t>
      </w:r>
      <w:r>
        <w:rPr>
          <w:b/>
        </w:rPr>
        <w:t>UNDER</w:t>
      </w:r>
      <w:r>
        <w:rPr>
          <w:b/>
          <w:spacing w:val="21"/>
        </w:rPr>
        <w:t xml:space="preserve"> </w:t>
      </w:r>
      <w:r>
        <w:rPr>
          <w:b/>
          <w:sz w:val="28"/>
        </w:rPr>
        <w:t>A</w:t>
      </w:r>
      <w:r>
        <w:rPr>
          <w:b/>
        </w:rPr>
        <w:t>RTICLES</w:t>
      </w:r>
      <w:r>
        <w:rPr>
          <w:b/>
          <w:spacing w:val="20"/>
        </w:rPr>
        <w:t xml:space="preserve"> </w:t>
      </w:r>
      <w:r>
        <w:rPr>
          <w:b/>
          <w:sz w:val="28"/>
        </w:rPr>
        <w:t xml:space="preserve">6.1, 6.1.1, 6.1.2 </w:t>
      </w:r>
      <w:r>
        <w:rPr>
          <w:b/>
        </w:rPr>
        <w:t>AND</w:t>
      </w:r>
      <w:r>
        <w:rPr>
          <w:b/>
          <w:spacing w:val="20"/>
        </w:rPr>
        <w:t xml:space="preserve"> </w:t>
      </w:r>
      <w:r>
        <w:rPr>
          <w:b/>
          <w:sz w:val="28"/>
        </w:rPr>
        <w:t xml:space="preserve">6.2 </w:t>
      </w:r>
      <w:r>
        <w:rPr>
          <w:b/>
        </w:rPr>
        <w:t>OF</w:t>
      </w:r>
      <w:r>
        <w:rPr>
          <w:b/>
          <w:spacing w:val="21"/>
        </w:rPr>
        <w:t xml:space="preserve"> </w:t>
      </w:r>
      <w:r>
        <w:rPr>
          <w:b/>
        </w:rPr>
        <w:t>THE</w:t>
      </w:r>
    </w:p>
    <w:p w14:paraId="51DE97BB" w14:textId="77777777" w:rsidR="0010369C" w:rsidRDefault="008E43AE">
      <w:pPr>
        <w:spacing w:line="279" w:lineRule="exact"/>
        <w:ind w:left="1940"/>
        <w:jc w:val="both"/>
        <w:rPr>
          <w:b/>
        </w:rPr>
      </w:pPr>
      <w:r>
        <w:rPr>
          <w:b/>
          <w:w w:val="95"/>
          <w:sz w:val="28"/>
        </w:rPr>
        <w:t>A</w:t>
      </w:r>
      <w:r>
        <w:rPr>
          <w:b/>
          <w:w w:val="95"/>
        </w:rPr>
        <w:t>NTI</w:t>
      </w:r>
      <w:r>
        <w:rPr>
          <w:b/>
          <w:w w:val="95"/>
          <w:sz w:val="28"/>
        </w:rPr>
        <w:t>‐D</w:t>
      </w:r>
      <w:r>
        <w:rPr>
          <w:b/>
          <w:w w:val="95"/>
        </w:rPr>
        <w:t>UMPING</w:t>
      </w:r>
      <w:r>
        <w:rPr>
          <w:b/>
          <w:spacing w:val="58"/>
        </w:rPr>
        <w:t xml:space="preserve"> </w:t>
      </w:r>
      <w:r>
        <w:rPr>
          <w:b/>
          <w:spacing w:val="-2"/>
          <w:sz w:val="28"/>
        </w:rPr>
        <w:t>A</w:t>
      </w:r>
      <w:r>
        <w:rPr>
          <w:b/>
          <w:spacing w:val="-2"/>
        </w:rPr>
        <w:t>GREEMENT</w:t>
      </w:r>
    </w:p>
    <w:p w14:paraId="51DE97BC" w14:textId="77777777" w:rsidR="0010369C" w:rsidRDefault="0010369C">
      <w:pPr>
        <w:pStyle w:val="BodyText"/>
        <w:spacing w:before="2"/>
        <w:rPr>
          <w:b/>
          <w:sz w:val="27"/>
        </w:rPr>
      </w:pPr>
    </w:p>
    <w:p w14:paraId="51DE97BD" w14:textId="77777777" w:rsidR="0010369C" w:rsidRDefault="008E43AE">
      <w:pPr>
        <w:pStyle w:val="Heading4"/>
        <w:numPr>
          <w:ilvl w:val="2"/>
          <w:numId w:val="75"/>
        </w:numPr>
        <w:tabs>
          <w:tab w:val="left" w:pos="2649"/>
          <w:tab w:val="left" w:pos="2650"/>
        </w:tabs>
        <w:spacing w:before="0"/>
        <w:ind w:left="2649" w:hanging="852"/>
      </w:pPr>
      <w:r>
        <w:t>Legal</w:t>
      </w:r>
      <w:r>
        <w:rPr>
          <w:spacing w:val="-7"/>
        </w:rPr>
        <w:t xml:space="preserve"> </w:t>
      </w:r>
      <w:r>
        <w:rPr>
          <w:spacing w:val="-2"/>
        </w:rPr>
        <w:t>framework</w:t>
      </w:r>
    </w:p>
    <w:p w14:paraId="51DE97BE" w14:textId="77777777" w:rsidR="0010369C" w:rsidRDefault="0010369C">
      <w:pPr>
        <w:pStyle w:val="BodyText"/>
        <w:spacing w:before="2"/>
        <w:rPr>
          <w:b/>
          <w:sz w:val="19"/>
        </w:rPr>
      </w:pPr>
    </w:p>
    <w:p w14:paraId="51DE97BF" w14:textId="77777777" w:rsidR="0010369C" w:rsidRDefault="0010369C">
      <w:pPr>
        <w:rPr>
          <w:sz w:val="19"/>
        </w:rPr>
        <w:sectPr w:rsidR="0010369C">
          <w:pgSz w:w="11910" w:h="16840"/>
          <w:pgMar w:top="880" w:right="800" w:bottom="980" w:left="1180" w:header="569" w:footer="788" w:gutter="0"/>
          <w:cols w:space="720"/>
        </w:sectPr>
      </w:pPr>
    </w:p>
    <w:p w14:paraId="51DE97C0" w14:textId="77777777" w:rsidR="0010369C" w:rsidRDefault="008E43AE">
      <w:pPr>
        <w:pStyle w:val="BodyText"/>
        <w:spacing w:before="72"/>
        <w:ind w:left="1089"/>
      </w:pPr>
      <w:r>
        <w:rPr>
          <w:noProof/>
        </w:rPr>
        <w:drawing>
          <wp:anchor distT="0" distB="0" distL="0" distR="0" simplePos="0" relativeHeight="250692096" behindDoc="0" locked="0" layoutInCell="1" allowOverlap="1" wp14:anchorId="51DEA787" wp14:editId="51DEA788">
            <wp:simplePos x="0" y="0"/>
            <wp:positionH relativeFrom="page">
              <wp:posOffset>902208</wp:posOffset>
            </wp:positionH>
            <wp:positionV relativeFrom="paragraph">
              <wp:posOffset>94649</wp:posOffset>
            </wp:positionV>
            <wp:extent cx="262127" cy="100753"/>
            <wp:effectExtent l="0" t="0" r="0" b="0"/>
            <wp:wrapNone/>
            <wp:docPr id="1743" name="image8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 name="image899.png"/>
                    <pic:cNvPicPr/>
                  </pic:nvPicPr>
                  <pic:blipFill>
                    <a:blip r:embed="rId1168" cstate="print"/>
                    <a:stretch>
                      <a:fillRect/>
                    </a:stretch>
                  </pic:blipFill>
                  <pic:spPr>
                    <a:xfrm>
                      <a:off x="0" y="0"/>
                      <a:ext cx="262127" cy="100753"/>
                    </a:xfrm>
                    <a:prstGeom prst="rect">
                      <a:avLst/>
                    </a:prstGeom>
                  </pic:spPr>
                </pic:pic>
              </a:graphicData>
            </a:graphic>
          </wp:anchor>
        </w:drawing>
      </w:r>
      <w:r>
        <w:t>Articles</w:t>
      </w:r>
      <w:r>
        <w:rPr>
          <w:spacing w:val="54"/>
        </w:rPr>
        <w:t xml:space="preserve"> </w:t>
      </w:r>
      <w:r>
        <w:t>6.1,</w:t>
      </w:r>
      <w:r>
        <w:rPr>
          <w:vertAlign w:val="superscript"/>
        </w:rPr>
        <w:t>1055</w:t>
      </w:r>
      <w:r>
        <w:rPr>
          <w:spacing w:val="55"/>
        </w:rPr>
        <w:t xml:space="preserve"> </w:t>
      </w:r>
      <w:r>
        <w:t>6.1.1,</w:t>
      </w:r>
      <w:r>
        <w:rPr>
          <w:vertAlign w:val="superscript"/>
        </w:rPr>
        <w:t>1056</w:t>
      </w:r>
      <w:r>
        <w:rPr>
          <w:spacing w:val="55"/>
        </w:rPr>
        <w:t xml:space="preserve"> </w:t>
      </w:r>
      <w:r>
        <w:rPr>
          <w:spacing w:val="-2"/>
        </w:rPr>
        <w:t>6.1.2,</w:t>
      </w:r>
      <w:r>
        <w:rPr>
          <w:spacing w:val="-2"/>
          <w:vertAlign w:val="superscript"/>
        </w:rPr>
        <w:t>1057</w:t>
      </w:r>
    </w:p>
    <w:p w14:paraId="51DE97C1" w14:textId="77777777" w:rsidR="0010369C" w:rsidRDefault="008E43AE">
      <w:pPr>
        <w:pStyle w:val="BodyText"/>
        <w:spacing w:before="72"/>
        <w:ind w:left="81"/>
      </w:pPr>
      <w:r>
        <w:br w:type="column"/>
      </w:r>
      <w:r>
        <w:t>and</w:t>
      </w:r>
      <w:r>
        <w:rPr>
          <w:spacing w:val="62"/>
        </w:rPr>
        <w:t xml:space="preserve"> </w:t>
      </w:r>
      <w:r>
        <w:rPr>
          <w:spacing w:val="-2"/>
        </w:rPr>
        <w:t>6.2</w:t>
      </w:r>
      <w:r>
        <w:rPr>
          <w:spacing w:val="-2"/>
          <w:vertAlign w:val="superscript"/>
        </w:rPr>
        <w:t>1058</w:t>
      </w:r>
    </w:p>
    <w:p w14:paraId="51DE97C2" w14:textId="77777777" w:rsidR="0010369C" w:rsidRDefault="008E43AE">
      <w:pPr>
        <w:pStyle w:val="BodyText"/>
        <w:spacing w:before="72"/>
        <w:ind w:left="81"/>
      </w:pPr>
      <w:r>
        <w:br w:type="column"/>
      </w:r>
      <w:r>
        <w:t>of</w:t>
      </w:r>
      <w:r>
        <w:rPr>
          <w:spacing w:val="58"/>
        </w:rPr>
        <w:t xml:space="preserve"> </w:t>
      </w:r>
      <w:r>
        <w:t>the</w:t>
      </w:r>
      <w:r>
        <w:rPr>
          <w:spacing w:val="60"/>
        </w:rPr>
        <w:t xml:space="preserve"> </w:t>
      </w:r>
      <w:r>
        <w:t>Anti‐Dumping</w:t>
      </w:r>
      <w:r>
        <w:rPr>
          <w:spacing w:val="59"/>
        </w:rPr>
        <w:t xml:space="preserve"> </w:t>
      </w:r>
      <w:r>
        <w:rPr>
          <w:spacing w:val="-2"/>
        </w:rPr>
        <w:t>Agreement</w:t>
      </w:r>
    </w:p>
    <w:p w14:paraId="51DE97C3" w14:textId="77777777" w:rsidR="0010369C" w:rsidRDefault="0010369C">
      <w:pPr>
        <w:sectPr w:rsidR="0010369C">
          <w:type w:val="continuous"/>
          <w:pgSz w:w="11910" w:h="16840"/>
          <w:pgMar w:top="1460" w:right="800" w:bottom="280" w:left="1180" w:header="569" w:footer="788" w:gutter="0"/>
          <w:cols w:num="3" w:space="720" w:equalWidth="0">
            <w:col w:w="4601" w:space="40"/>
            <w:col w:w="1195" w:space="39"/>
            <w:col w:w="4055"/>
          </w:cols>
        </w:sectPr>
      </w:pPr>
    </w:p>
    <w:p w14:paraId="51DE97C4" w14:textId="77777777" w:rsidR="0010369C" w:rsidRDefault="008E43AE">
      <w:pPr>
        <w:pStyle w:val="BodyText"/>
        <w:spacing w:before="146" w:line="360" w:lineRule="auto"/>
        <w:ind w:left="236" w:right="613" w:firstLine="1"/>
        <w:jc w:val="both"/>
      </w:pPr>
      <w:r>
        <w:t>enshrine fundamental due process rights.</w:t>
      </w:r>
      <w:r>
        <w:rPr>
          <w:vertAlign w:val="superscript"/>
        </w:rPr>
        <w:t>1059</w:t>
      </w:r>
      <w:r>
        <w:t xml:space="preserve"> These provisions require an investigating authority to give all interested parties notice of the information the authority requires, to provide</w:t>
      </w:r>
      <w:r>
        <w:rPr>
          <w:spacing w:val="-14"/>
        </w:rPr>
        <w:t xml:space="preserve"> </w:t>
      </w:r>
      <w:r>
        <w:t>"ample</w:t>
      </w:r>
      <w:r>
        <w:rPr>
          <w:spacing w:val="-14"/>
        </w:rPr>
        <w:t xml:space="preserve"> </w:t>
      </w:r>
      <w:r>
        <w:t>opportunity"</w:t>
      </w:r>
      <w:r>
        <w:rPr>
          <w:spacing w:val="-13"/>
        </w:rPr>
        <w:t xml:space="preserve"> </w:t>
      </w:r>
      <w:r>
        <w:t>to</w:t>
      </w:r>
      <w:r>
        <w:rPr>
          <w:spacing w:val="-14"/>
        </w:rPr>
        <w:t xml:space="preserve"> </w:t>
      </w:r>
      <w:r>
        <w:t>interested</w:t>
      </w:r>
      <w:r>
        <w:rPr>
          <w:spacing w:val="-13"/>
        </w:rPr>
        <w:t xml:space="preserve"> </w:t>
      </w:r>
      <w:r>
        <w:t>parties</w:t>
      </w:r>
      <w:r>
        <w:rPr>
          <w:spacing w:val="-14"/>
        </w:rPr>
        <w:t xml:space="preserve"> </w:t>
      </w:r>
      <w:r>
        <w:t>to</w:t>
      </w:r>
      <w:r>
        <w:rPr>
          <w:spacing w:val="-13"/>
        </w:rPr>
        <w:t xml:space="preserve"> </w:t>
      </w:r>
      <w:r>
        <w:t>present</w:t>
      </w:r>
      <w:r>
        <w:rPr>
          <w:spacing w:val="-14"/>
        </w:rPr>
        <w:t xml:space="preserve"> </w:t>
      </w:r>
      <w:r>
        <w:t>in</w:t>
      </w:r>
      <w:r>
        <w:rPr>
          <w:spacing w:val="-14"/>
        </w:rPr>
        <w:t xml:space="preserve"> </w:t>
      </w:r>
      <w:r>
        <w:t>writing</w:t>
      </w:r>
      <w:r>
        <w:rPr>
          <w:spacing w:val="-13"/>
        </w:rPr>
        <w:t xml:space="preserve"> </w:t>
      </w:r>
      <w:r>
        <w:t>all</w:t>
      </w:r>
      <w:r>
        <w:rPr>
          <w:spacing w:val="-14"/>
        </w:rPr>
        <w:t xml:space="preserve"> </w:t>
      </w:r>
      <w:r>
        <w:t>evidence</w:t>
      </w:r>
      <w:r>
        <w:rPr>
          <w:spacing w:val="-13"/>
        </w:rPr>
        <w:t xml:space="preserve"> </w:t>
      </w:r>
      <w:r>
        <w:t>which</w:t>
      </w:r>
      <w:r>
        <w:rPr>
          <w:spacing w:val="-14"/>
        </w:rPr>
        <w:t xml:space="preserve"> </w:t>
      </w:r>
      <w:r>
        <w:t>they consider</w:t>
      </w:r>
      <w:r>
        <w:rPr>
          <w:spacing w:val="-9"/>
        </w:rPr>
        <w:t xml:space="preserve"> </w:t>
      </w:r>
      <w:r>
        <w:t>relevant</w:t>
      </w:r>
      <w:r>
        <w:rPr>
          <w:spacing w:val="-8"/>
        </w:rPr>
        <w:t xml:space="preserve"> </w:t>
      </w:r>
      <w:r>
        <w:t>to</w:t>
      </w:r>
      <w:r>
        <w:rPr>
          <w:spacing w:val="-7"/>
        </w:rPr>
        <w:t xml:space="preserve"> </w:t>
      </w:r>
      <w:r>
        <w:t>th</w:t>
      </w:r>
      <w:r>
        <w:t>e</w:t>
      </w:r>
      <w:r>
        <w:rPr>
          <w:spacing w:val="-8"/>
        </w:rPr>
        <w:t xml:space="preserve"> </w:t>
      </w:r>
      <w:r>
        <w:t>investigation,</w:t>
      </w:r>
      <w:r>
        <w:rPr>
          <w:spacing w:val="-6"/>
        </w:rPr>
        <w:t xml:space="preserve"> </w:t>
      </w:r>
      <w:r>
        <w:t>to</w:t>
      </w:r>
      <w:r>
        <w:rPr>
          <w:spacing w:val="-7"/>
        </w:rPr>
        <w:t xml:space="preserve"> </w:t>
      </w:r>
      <w:r>
        <w:t>give</w:t>
      </w:r>
      <w:r>
        <w:rPr>
          <w:spacing w:val="-7"/>
        </w:rPr>
        <w:t xml:space="preserve"> </w:t>
      </w:r>
      <w:r>
        <w:t>due</w:t>
      </w:r>
      <w:r>
        <w:rPr>
          <w:spacing w:val="-7"/>
        </w:rPr>
        <w:t xml:space="preserve"> </w:t>
      </w:r>
      <w:r>
        <w:t>consideration</w:t>
      </w:r>
      <w:r>
        <w:rPr>
          <w:spacing w:val="-8"/>
        </w:rPr>
        <w:t xml:space="preserve"> </w:t>
      </w:r>
      <w:r>
        <w:t>to</w:t>
      </w:r>
      <w:r>
        <w:rPr>
          <w:spacing w:val="-7"/>
        </w:rPr>
        <w:t xml:space="preserve"> </w:t>
      </w:r>
      <w:r>
        <w:t>any</w:t>
      </w:r>
      <w:r>
        <w:rPr>
          <w:spacing w:val="-7"/>
        </w:rPr>
        <w:t xml:space="preserve"> </w:t>
      </w:r>
      <w:r>
        <w:t>requests</w:t>
      </w:r>
      <w:r>
        <w:rPr>
          <w:spacing w:val="-9"/>
        </w:rPr>
        <w:t xml:space="preserve"> </w:t>
      </w:r>
      <w:r>
        <w:t>for</w:t>
      </w:r>
      <w:r>
        <w:rPr>
          <w:spacing w:val="-7"/>
        </w:rPr>
        <w:t xml:space="preserve"> </w:t>
      </w:r>
      <w:r>
        <w:t>extension of the period given for the submission of responses to the exporter and foreign producer questionnaires, and to grant such requests, upon cause shown, whenever practicable.</w:t>
      </w:r>
    </w:p>
    <w:p w14:paraId="51DE97C5" w14:textId="77777777" w:rsidR="0010369C" w:rsidRDefault="0010369C">
      <w:pPr>
        <w:pStyle w:val="BodyText"/>
        <w:spacing w:before="10"/>
        <w:rPr>
          <w:sz w:val="8"/>
        </w:rPr>
      </w:pPr>
    </w:p>
    <w:p w14:paraId="51DE97C6" w14:textId="77777777" w:rsidR="0010369C" w:rsidRDefault="008E43AE">
      <w:pPr>
        <w:pStyle w:val="BodyText"/>
        <w:spacing w:before="52" w:line="360" w:lineRule="auto"/>
        <w:ind w:left="237" w:right="613" w:firstLine="851"/>
        <w:jc w:val="both"/>
      </w:pPr>
      <w:r>
        <w:rPr>
          <w:noProof/>
        </w:rPr>
        <w:drawing>
          <wp:anchor distT="0" distB="0" distL="0" distR="0" simplePos="0" relativeHeight="251488768" behindDoc="1" locked="0" layoutInCell="1" allowOverlap="1" wp14:anchorId="51DEA789" wp14:editId="51DEA78A">
            <wp:simplePos x="0" y="0"/>
            <wp:positionH relativeFrom="page">
              <wp:posOffset>902208</wp:posOffset>
            </wp:positionH>
            <wp:positionV relativeFrom="paragraph">
              <wp:posOffset>81949</wp:posOffset>
            </wp:positionV>
            <wp:extent cx="262127" cy="100753"/>
            <wp:effectExtent l="0" t="0" r="0" b="0"/>
            <wp:wrapNone/>
            <wp:docPr id="1745" name="image9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 name="image900.png"/>
                    <pic:cNvPicPr/>
                  </pic:nvPicPr>
                  <pic:blipFill>
                    <a:blip r:embed="rId1169" cstate="print"/>
                    <a:stretch>
                      <a:fillRect/>
                    </a:stretch>
                  </pic:blipFill>
                  <pic:spPr>
                    <a:xfrm>
                      <a:off x="0" y="0"/>
                      <a:ext cx="262127" cy="100753"/>
                    </a:xfrm>
                    <a:prstGeom prst="rect">
                      <a:avLst/>
                    </a:prstGeom>
                  </pic:spPr>
                </pic:pic>
              </a:graphicData>
            </a:graphic>
          </wp:anchor>
        </w:drawing>
      </w:r>
      <w:r>
        <w:t xml:space="preserve">In assessing whether "ample opportunity" had been provided under Article 6.1, the Appellate Body considered that it is necessary to take into account, </w:t>
      </w:r>
      <w:r>
        <w:rPr>
          <w:i/>
        </w:rPr>
        <w:t xml:space="preserve">inter alia, </w:t>
      </w:r>
      <w:r>
        <w:t>whether the information</w:t>
      </w:r>
      <w:r>
        <w:rPr>
          <w:spacing w:val="-7"/>
        </w:rPr>
        <w:t xml:space="preserve"> </w:t>
      </w:r>
      <w:r>
        <w:t>is</w:t>
      </w:r>
      <w:r>
        <w:rPr>
          <w:spacing w:val="-7"/>
        </w:rPr>
        <w:t xml:space="preserve"> </w:t>
      </w:r>
      <w:r>
        <w:t>readily</w:t>
      </w:r>
      <w:r>
        <w:rPr>
          <w:spacing w:val="-6"/>
        </w:rPr>
        <w:t xml:space="preserve"> </w:t>
      </w:r>
      <w:r>
        <w:t>available</w:t>
      </w:r>
      <w:r>
        <w:rPr>
          <w:spacing w:val="-6"/>
        </w:rPr>
        <w:t xml:space="preserve"> </w:t>
      </w:r>
      <w:r>
        <w:t>to</w:t>
      </w:r>
      <w:r>
        <w:rPr>
          <w:spacing w:val="-6"/>
        </w:rPr>
        <w:t xml:space="preserve"> </w:t>
      </w:r>
      <w:r>
        <w:t>the</w:t>
      </w:r>
      <w:r>
        <w:rPr>
          <w:spacing w:val="-6"/>
        </w:rPr>
        <w:t xml:space="preserve"> </w:t>
      </w:r>
      <w:r>
        <w:t>responding</w:t>
      </w:r>
      <w:r>
        <w:rPr>
          <w:spacing w:val="-6"/>
        </w:rPr>
        <w:t xml:space="preserve"> </w:t>
      </w:r>
      <w:r>
        <w:t>party,</w:t>
      </w:r>
      <w:r>
        <w:rPr>
          <w:spacing w:val="-6"/>
        </w:rPr>
        <w:t xml:space="preserve"> </w:t>
      </w:r>
      <w:r>
        <w:t>whether</w:t>
      </w:r>
      <w:r>
        <w:rPr>
          <w:spacing w:val="-6"/>
        </w:rPr>
        <w:t xml:space="preserve"> </w:t>
      </w:r>
      <w:r>
        <w:t>the</w:t>
      </w:r>
      <w:r>
        <w:rPr>
          <w:spacing w:val="-6"/>
        </w:rPr>
        <w:t xml:space="preserve"> </w:t>
      </w:r>
      <w:r>
        <w:t>data</w:t>
      </w:r>
      <w:r>
        <w:rPr>
          <w:spacing w:val="-5"/>
        </w:rPr>
        <w:t xml:space="preserve"> </w:t>
      </w:r>
      <w:r>
        <w:t>reques</w:t>
      </w:r>
      <w:r>
        <w:t>ted</w:t>
      </w:r>
      <w:r>
        <w:rPr>
          <w:spacing w:val="-9"/>
        </w:rPr>
        <w:t xml:space="preserve"> </w:t>
      </w:r>
      <w:r>
        <w:t>needs</w:t>
      </w:r>
      <w:r>
        <w:rPr>
          <w:spacing w:val="-6"/>
        </w:rPr>
        <w:t xml:space="preserve"> </w:t>
      </w:r>
      <w:r>
        <w:t>to be collected and reported in a form that is not regularly kept by the company, the consequences of the matter on which the information is sought, and the amount of the information solicited.</w:t>
      </w:r>
      <w:r>
        <w:rPr>
          <w:vertAlign w:val="superscript"/>
        </w:rPr>
        <w:t>1060</w:t>
      </w:r>
    </w:p>
    <w:p w14:paraId="51DE97C7" w14:textId="77777777" w:rsidR="0010369C" w:rsidRDefault="0010369C">
      <w:pPr>
        <w:pStyle w:val="BodyText"/>
        <w:spacing w:before="11"/>
        <w:rPr>
          <w:sz w:val="8"/>
        </w:rPr>
      </w:pPr>
    </w:p>
    <w:p w14:paraId="51DE97C8" w14:textId="77777777" w:rsidR="0010369C" w:rsidRDefault="008E43AE">
      <w:pPr>
        <w:pStyle w:val="BodyText"/>
        <w:spacing w:before="52" w:line="360" w:lineRule="auto"/>
        <w:ind w:left="238" w:right="613" w:firstLine="851"/>
        <w:jc w:val="both"/>
      </w:pPr>
      <w:r>
        <w:rPr>
          <w:noProof/>
        </w:rPr>
        <w:drawing>
          <wp:anchor distT="0" distB="0" distL="0" distR="0" simplePos="0" relativeHeight="251489792" behindDoc="1" locked="0" layoutInCell="1" allowOverlap="1" wp14:anchorId="51DEA78B" wp14:editId="51DEA78C">
            <wp:simplePos x="0" y="0"/>
            <wp:positionH relativeFrom="page">
              <wp:posOffset>902208</wp:posOffset>
            </wp:positionH>
            <wp:positionV relativeFrom="paragraph">
              <wp:posOffset>76785</wp:posOffset>
            </wp:positionV>
            <wp:extent cx="262127" cy="106679"/>
            <wp:effectExtent l="0" t="0" r="0" b="0"/>
            <wp:wrapNone/>
            <wp:docPr id="1747" name="image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 name="image901.png"/>
                    <pic:cNvPicPr/>
                  </pic:nvPicPr>
                  <pic:blipFill>
                    <a:blip r:embed="rId1170" cstate="print"/>
                    <a:stretch>
                      <a:fillRect/>
                    </a:stretch>
                  </pic:blipFill>
                  <pic:spPr>
                    <a:xfrm>
                      <a:off x="0" y="0"/>
                      <a:ext cx="262127" cy="106679"/>
                    </a:xfrm>
                    <a:prstGeom prst="rect">
                      <a:avLst/>
                    </a:prstGeom>
                  </pic:spPr>
                </pic:pic>
              </a:graphicData>
            </a:graphic>
          </wp:anchor>
        </w:drawing>
      </w:r>
      <w:r>
        <w:t>The obligation to give interested parties ampl</w:t>
      </w:r>
      <w:r>
        <w:t>e opportunity to submit evidence means that an investigating authority must take this evidence into account. The Appellate Body</w:t>
      </w:r>
      <w:r>
        <w:rPr>
          <w:spacing w:val="-7"/>
        </w:rPr>
        <w:t xml:space="preserve"> </w:t>
      </w:r>
      <w:r>
        <w:t>has</w:t>
      </w:r>
      <w:r>
        <w:rPr>
          <w:spacing w:val="-8"/>
        </w:rPr>
        <w:t xml:space="preserve"> </w:t>
      </w:r>
      <w:r>
        <w:t>explained</w:t>
      </w:r>
      <w:r>
        <w:rPr>
          <w:spacing w:val="-8"/>
        </w:rPr>
        <w:t xml:space="preserve"> </w:t>
      </w:r>
      <w:r>
        <w:t>that</w:t>
      </w:r>
      <w:r>
        <w:rPr>
          <w:spacing w:val="-8"/>
        </w:rPr>
        <w:t xml:space="preserve"> </w:t>
      </w:r>
      <w:r>
        <w:t>"[t]his</w:t>
      </w:r>
      <w:r>
        <w:rPr>
          <w:spacing w:val="-8"/>
        </w:rPr>
        <w:t xml:space="preserve"> </w:t>
      </w:r>
      <w:r>
        <w:t>due</w:t>
      </w:r>
      <w:r>
        <w:rPr>
          <w:spacing w:val="-7"/>
        </w:rPr>
        <w:t xml:space="preserve"> </w:t>
      </w:r>
      <w:r>
        <w:t>process</w:t>
      </w:r>
      <w:r>
        <w:rPr>
          <w:spacing w:val="-7"/>
        </w:rPr>
        <w:t xml:space="preserve"> </w:t>
      </w:r>
      <w:r>
        <w:t>obligation—that</w:t>
      </w:r>
      <w:r>
        <w:rPr>
          <w:spacing w:val="-8"/>
        </w:rPr>
        <w:t xml:space="preserve"> </w:t>
      </w:r>
      <w:r>
        <w:t>an</w:t>
      </w:r>
      <w:r>
        <w:rPr>
          <w:spacing w:val="-8"/>
        </w:rPr>
        <w:t xml:space="preserve"> </w:t>
      </w:r>
      <w:r>
        <w:t>interested</w:t>
      </w:r>
      <w:r>
        <w:rPr>
          <w:spacing w:val="-6"/>
        </w:rPr>
        <w:t xml:space="preserve"> </w:t>
      </w:r>
      <w:r>
        <w:t>party</w:t>
      </w:r>
      <w:r>
        <w:rPr>
          <w:spacing w:val="-7"/>
        </w:rPr>
        <w:t xml:space="preserve"> </w:t>
      </w:r>
      <w:r>
        <w:t>be</w:t>
      </w:r>
      <w:r>
        <w:rPr>
          <w:spacing w:val="-7"/>
        </w:rPr>
        <w:t xml:space="preserve"> </w:t>
      </w:r>
      <w:r>
        <w:t>permitted to</w:t>
      </w:r>
      <w:r>
        <w:rPr>
          <w:spacing w:val="26"/>
        </w:rPr>
        <w:t xml:space="preserve"> </w:t>
      </w:r>
      <w:r>
        <w:t>present</w:t>
      </w:r>
      <w:r>
        <w:rPr>
          <w:spacing w:val="25"/>
        </w:rPr>
        <w:t xml:space="preserve"> </w:t>
      </w:r>
      <w:r>
        <w:t>all</w:t>
      </w:r>
      <w:r>
        <w:rPr>
          <w:spacing w:val="26"/>
        </w:rPr>
        <w:t xml:space="preserve"> </w:t>
      </w:r>
      <w:r>
        <w:t>the</w:t>
      </w:r>
      <w:r>
        <w:rPr>
          <w:spacing w:val="26"/>
        </w:rPr>
        <w:t xml:space="preserve"> </w:t>
      </w:r>
      <w:r>
        <w:t>evidence</w:t>
      </w:r>
      <w:r>
        <w:rPr>
          <w:spacing w:val="25"/>
        </w:rPr>
        <w:t xml:space="preserve"> </w:t>
      </w:r>
      <w:r>
        <w:t>it</w:t>
      </w:r>
      <w:r>
        <w:rPr>
          <w:spacing w:val="26"/>
        </w:rPr>
        <w:t xml:space="preserve"> </w:t>
      </w:r>
      <w:r>
        <w:t>considers</w:t>
      </w:r>
      <w:r>
        <w:rPr>
          <w:spacing w:val="26"/>
        </w:rPr>
        <w:t xml:space="preserve"> </w:t>
      </w:r>
      <w:r>
        <w:t>relevant—concomitantly</w:t>
      </w:r>
      <w:r>
        <w:rPr>
          <w:spacing w:val="25"/>
        </w:rPr>
        <w:t xml:space="preserve"> </w:t>
      </w:r>
      <w:r>
        <w:t>requires</w:t>
      </w:r>
      <w:r>
        <w:rPr>
          <w:spacing w:val="25"/>
        </w:rPr>
        <w:t xml:space="preserve"> </w:t>
      </w:r>
      <w:r>
        <w:t>the</w:t>
      </w:r>
      <w:r>
        <w:rPr>
          <w:spacing w:val="26"/>
        </w:rPr>
        <w:t xml:space="preserve"> </w:t>
      </w:r>
      <w:r>
        <w:t>investigating</w:t>
      </w:r>
    </w:p>
    <w:p w14:paraId="51DE97C9" w14:textId="77777777" w:rsidR="0010369C" w:rsidRDefault="0010369C">
      <w:pPr>
        <w:pStyle w:val="BodyText"/>
        <w:rPr>
          <w:sz w:val="20"/>
        </w:rPr>
      </w:pPr>
    </w:p>
    <w:p w14:paraId="51DE97CA" w14:textId="77777777" w:rsidR="0010369C" w:rsidRDefault="008E43AE">
      <w:pPr>
        <w:pStyle w:val="BodyText"/>
        <w:spacing w:before="5"/>
        <w:rPr>
          <w:sz w:val="12"/>
        </w:rPr>
      </w:pPr>
      <w:r>
        <w:pict w14:anchorId="51DEA78D">
          <v:rect id="docshape1318" o:spid="_x0000_s1130" style="position:absolute;margin-left:70.9pt;margin-top:8.8pt;width:2in;height:.8pt;z-index:-250718720;mso-wrap-distance-left:0;mso-wrap-distance-right:0;mso-position-horizontal-relative:page" fillcolor="black" stroked="f">
            <w10:wrap type="topAndBottom" anchorx="page"/>
          </v:rect>
        </w:pict>
      </w:r>
    </w:p>
    <w:p w14:paraId="51DE97CB" w14:textId="77777777" w:rsidR="0010369C" w:rsidRDefault="008E43AE">
      <w:pPr>
        <w:spacing w:before="110"/>
        <w:ind w:left="237" w:right="613"/>
        <w:jc w:val="both"/>
        <w:rPr>
          <w:sz w:val="18"/>
        </w:rPr>
      </w:pPr>
      <w:r>
        <w:rPr>
          <w:sz w:val="18"/>
          <w:vertAlign w:val="superscript"/>
        </w:rPr>
        <w:t>1055</w:t>
      </w:r>
      <w:r>
        <w:rPr>
          <w:spacing w:val="-11"/>
          <w:sz w:val="18"/>
        </w:rPr>
        <w:t xml:space="preserve"> </w:t>
      </w:r>
      <w:r>
        <w:rPr>
          <w:sz w:val="18"/>
        </w:rPr>
        <w:t>Article</w:t>
      </w:r>
      <w:r>
        <w:rPr>
          <w:spacing w:val="-10"/>
          <w:sz w:val="18"/>
        </w:rPr>
        <w:t xml:space="preserve"> </w:t>
      </w:r>
      <w:r>
        <w:rPr>
          <w:sz w:val="18"/>
        </w:rPr>
        <w:t>6.1</w:t>
      </w:r>
      <w:r>
        <w:rPr>
          <w:spacing w:val="-10"/>
          <w:sz w:val="18"/>
        </w:rPr>
        <w:t xml:space="preserve"> </w:t>
      </w:r>
      <w:r>
        <w:rPr>
          <w:sz w:val="18"/>
        </w:rPr>
        <w:t>of</w:t>
      </w:r>
      <w:r>
        <w:rPr>
          <w:spacing w:val="-10"/>
          <w:sz w:val="18"/>
        </w:rPr>
        <w:t xml:space="preserve"> </w:t>
      </w:r>
      <w:r>
        <w:rPr>
          <w:sz w:val="18"/>
        </w:rPr>
        <w:t>the</w:t>
      </w:r>
      <w:r>
        <w:rPr>
          <w:spacing w:val="-10"/>
          <w:sz w:val="18"/>
        </w:rPr>
        <w:t xml:space="preserve"> </w:t>
      </w:r>
      <w:r>
        <w:rPr>
          <w:sz w:val="18"/>
        </w:rPr>
        <w:t>Anti‐Dumping</w:t>
      </w:r>
      <w:r>
        <w:rPr>
          <w:spacing w:val="-11"/>
          <w:sz w:val="18"/>
        </w:rPr>
        <w:t xml:space="preserve"> </w:t>
      </w:r>
      <w:r>
        <w:rPr>
          <w:sz w:val="18"/>
        </w:rPr>
        <w:t>Agreement</w:t>
      </w:r>
      <w:r>
        <w:rPr>
          <w:spacing w:val="-10"/>
          <w:sz w:val="18"/>
        </w:rPr>
        <w:t xml:space="preserve"> </w:t>
      </w:r>
      <w:r>
        <w:rPr>
          <w:sz w:val="18"/>
        </w:rPr>
        <w:t>provides:</w:t>
      </w:r>
      <w:r>
        <w:rPr>
          <w:spacing w:val="-10"/>
          <w:sz w:val="18"/>
        </w:rPr>
        <w:t xml:space="preserve"> </w:t>
      </w:r>
      <w:r>
        <w:rPr>
          <w:sz w:val="18"/>
        </w:rPr>
        <w:t>"All</w:t>
      </w:r>
      <w:r>
        <w:rPr>
          <w:spacing w:val="-10"/>
          <w:sz w:val="18"/>
        </w:rPr>
        <w:t xml:space="preserve"> </w:t>
      </w:r>
      <w:r>
        <w:rPr>
          <w:sz w:val="18"/>
        </w:rPr>
        <w:t>interested</w:t>
      </w:r>
      <w:r>
        <w:rPr>
          <w:spacing w:val="-10"/>
          <w:sz w:val="18"/>
        </w:rPr>
        <w:t xml:space="preserve"> </w:t>
      </w:r>
      <w:r>
        <w:rPr>
          <w:sz w:val="18"/>
        </w:rPr>
        <w:t>parties</w:t>
      </w:r>
      <w:r>
        <w:rPr>
          <w:spacing w:val="-10"/>
          <w:sz w:val="18"/>
        </w:rPr>
        <w:t xml:space="preserve"> </w:t>
      </w:r>
      <w:r>
        <w:rPr>
          <w:sz w:val="18"/>
        </w:rPr>
        <w:t>in</w:t>
      </w:r>
      <w:r>
        <w:rPr>
          <w:spacing w:val="-11"/>
          <w:sz w:val="18"/>
        </w:rPr>
        <w:t xml:space="preserve"> </w:t>
      </w:r>
      <w:r>
        <w:rPr>
          <w:sz w:val="18"/>
        </w:rPr>
        <w:t>an</w:t>
      </w:r>
      <w:r>
        <w:rPr>
          <w:spacing w:val="-10"/>
          <w:sz w:val="18"/>
        </w:rPr>
        <w:t xml:space="preserve"> </w:t>
      </w:r>
      <w:r>
        <w:rPr>
          <w:sz w:val="18"/>
        </w:rPr>
        <w:t>anti‐dumping</w:t>
      </w:r>
      <w:r>
        <w:rPr>
          <w:spacing w:val="-10"/>
          <w:sz w:val="18"/>
        </w:rPr>
        <w:t xml:space="preserve"> </w:t>
      </w:r>
      <w:r>
        <w:rPr>
          <w:sz w:val="18"/>
        </w:rPr>
        <w:t>investigation</w:t>
      </w:r>
      <w:r>
        <w:rPr>
          <w:spacing w:val="-10"/>
          <w:sz w:val="18"/>
        </w:rPr>
        <w:t xml:space="preserve"> </w:t>
      </w:r>
      <w:r>
        <w:rPr>
          <w:sz w:val="18"/>
        </w:rPr>
        <w:t>shall</w:t>
      </w:r>
      <w:r>
        <w:rPr>
          <w:spacing w:val="-10"/>
          <w:sz w:val="18"/>
        </w:rPr>
        <w:t xml:space="preserve"> </w:t>
      </w:r>
      <w:r>
        <w:rPr>
          <w:sz w:val="18"/>
        </w:rPr>
        <w:t>be</w:t>
      </w:r>
      <w:r>
        <w:rPr>
          <w:spacing w:val="-10"/>
          <w:sz w:val="18"/>
        </w:rPr>
        <w:t xml:space="preserve"> </w:t>
      </w:r>
      <w:r>
        <w:rPr>
          <w:sz w:val="18"/>
        </w:rPr>
        <w:t>given notice of the information which the authorities require and ample opportunity to present in writing all evidence which they consider relevant in respect of the investigation in question."</w:t>
      </w:r>
    </w:p>
    <w:p w14:paraId="51DE97CC" w14:textId="77777777" w:rsidR="0010369C" w:rsidRDefault="008E43AE">
      <w:pPr>
        <w:ind w:left="238" w:right="613"/>
        <w:jc w:val="both"/>
        <w:rPr>
          <w:sz w:val="18"/>
        </w:rPr>
      </w:pPr>
      <w:r>
        <w:rPr>
          <w:sz w:val="18"/>
          <w:vertAlign w:val="superscript"/>
        </w:rPr>
        <w:t>1056</w:t>
      </w:r>
      <w:r>
        <w:rPr>
          <w:sz w:val="18"/>
        </w:rPr>
        <w:t xml:space="preserve"> Article 6.1.1 of the Anti‐Dumping Agreement</w:t>
      </w:r>
      <w:r>
        <w:rPr>
          <w:spacing w:val="-1"/>
          <w:sz w:val="18"/>
        </w:rPr>
        <w:t xml:space="preserve"> </w:t>
      </w:r>
      <w:r>
        <w:rPr>
          <w:sz w:val="18"/>
        </w:rPr>
        <w:t>provides: "Ex</w:t>
      </w:r>
      <w:r>
        <w:rPr>
          <w:sz w:val="18"/>
        </w:rPr>
        <w:t>porters or foreign producers receiving questionnaires used in an anti‐dumping investigation shall</w:t>
      </w:r>
      <w:r>
        <w:rPr>
          <w:spacing w:val="-1"/>
          <w:sz w:val="18"/>
        </w:rPr>
        <w:t xml:space="preserve"> </w:t>
      </w:r>
      <w:r>
        <w:rPr>
          <w:sz w:val="18"/>
        </w:rPr>
        <w:t>be given at least 30 days for reply. Due consideration should be given to any request for an extension of the 30‐day period, and upon due cause shown, such an</w:t>
      </w:r>
      <w:r>
        <w:rPr>
          <w:sz w:val="18"/>
        </w:rPr>
        <w:t xml:space="preserve"> extension should be granted wherever practicable." </w:t>
      </w:r>
      <w:r>
        <w:rPr>
          <w:sz w:val="18"/>
          <w:vertAlign w:val="superscript"/>
        </w:rPr>
        <w:t>1057</w:t>
      </w:r>
      <w:r>
        <w:rPr>
          <w:sz w:val="18"/>
        </w:rPr>
        <w:t xml:space="preserve"> Article 6.1.2 of the Anti‐Dumping Agreement provides: "Subject to the requirement to protect confidential information, evidence presented in writing by one interested party shall be made available pr</w:t>
      </w:r>
      <w:r>
        <w:rPr>
          <w:sz w:val="18"/>
        </w:rPr>
        <w:t>omptly to other interested parties participating in the investigation."</w:t>
      </w:r>
    </w:p>
    <w:p w14:paraId="51DE97CD" w14:textId="77777777" w:rsidR="0010369C" w:rsidRDefault="008E43AE">
      <w:pPr>
        <w:ind w:left="237" w:right="614"/>
        <w:jc w:val="both"/>
        <w:rPr>
          <w:sz w:val="18"/>
        </w:rPr>
      </w:pPr>
      <w:r>
        <w:rPr>
          <w:sz w:val="18"/>
          <w:vertAlign w:val="superscript"/>
        </w:rPr>
        <w:t>1058</w:t>
      </w:r>
      <w:r>
        <w:rPr>
          <w:sz w:val="18"/>
        </w:rPr>
        <w:t xml:space="preserve"> Article 6.2 of the Anti‐Dumping Agreement provides: "Throughout the anti‐dumping investigation all interested parties shall have a full opportunity for the defence of their intere</w:t>
      </w:r>
      <w:r>
        <w:rPr>
          <w:sz w:val="18"/>
        </w:rPr>
        <w:t>sts."</w:t>
      </w:r>
    </w:p>
    <w:p w14:paraId="51DE97CE" w14:textId="77777777" w:rsidR="0010369C" w:rsidRDefault="008E43AE">
      <w:pPr>
        <w:spacing w:line="219" w:lineRule="exact"/>
        <w:ind w:left="238"/>
        <w:jc w:val="both"/>
        <w:rPr>
          <w:sz w:val="18"/>
        </w:rPr>
      </w:pPr>
      <w:r>
        <w:rPr>
          <w:sz w:val="18"/>
          <w:vertAlign w:val="superscript"/>
        </w:rPr>
        <w:t>1059</w:t>
      </w:r>
      <w:r>
        <w:rPr>
          <w:spacing w:val="-8"/>
          <w:sz w:val="18"/>
        </w:rPr>
        <w:t xml:space="preserve"> </w:t>
      </w:r>
      <w:r>
        <w:rPr>
          <w:sz w:val="18"/>
        </w:rPr>
        <w:t>See</w:t>
      </w:r>
      <w:r>
        <w:rPr>
          <w:spacing w:val="-7"/>
          <w:sz w:val="18"/>
        </w:rPr>
        <w:t xml:space="preserve"> </w:t>
      </w:r>
      <w:r>
        <w:rPr>
          <w:sz w:val="18"/>
        </w:rPr>
        <w:t>e.g.,</w:t>
      </w:r>
      <w:r>
        <w:rPr>
          <w:spacing w:val="-8"/>
          <w:sz w:val="18"/>
        </w:rPr>
        <w:t xml:space="preserve"> </w:t>
      </w:r>
      <w:r>
        <w:rPr>
          <w:sz w:val="18"/>
        </w:rPr>
        <w:t>Appellate</w:t>
      </w:r>
      <w:r>
        <w:rPr>
          <w:spacing w:val="-7"/>
          <w:sz w:val="18"/>
        </w:rPr>
        <w:t xml:space="preserve"> </w:t>
      </w:r>
      <w:r>
        <w:rPr>
          <w:sz w:val="18"/>
        </w:rPr>
        <w:t>Body</w:t>
      </w:r>
      <w:r>
        <w:rPr>
          <w:spacing w:val="-7"/>
          <w:sz w:val="18"/>
        </w:rPr>
        <w:t xml:space="preserve"> </w:t>
      </w:r>
      <w:r>
        <w:rPr>
          <w:sz w:val="18"/>
        </w:rPr>
        <w:t>Report,</w:t>
      </w:r>
      <w:r>
        <w:rPr>
          <w:spacing w:val="-7"/>
          <w:sz w:val="18"/>
        </w:rPr>
        <w:t xml:space="preserve"> </w:t>
      </w:r>
      <w:r>
        <w:rPr>
          <w:i/>
          <w:sz w:val="18"/>
        </w:rPr>
        <w:t>US–Oil</w:t>
      </w:r>
      <w:r>
        <w:rPr>
          <w:i/>
          <w:spacing w:val="-8"/>
          <w:sz w:val="18"/>
        </w:rPr>
        <w:t xml:space="preserve"> </w:t>
      </w:r>
      <w:r>
        <w:rPr>
          <w:i/>
          <w:sz w:val="18"/>
        </w:rPr>
        <w:t>Country</w:t>
      </w:r>
      <w:r>
        <w:rPr>
          <w:i/>
          <w:spacing w:val="-7"/>
          <w:sz w:val="18"/>
        </w:rPr>
        <w:t xml:space="preserve"> </w:t>
      </w:r>
      <w:r>
        <w:rPr>
          <w:i/>
          <w:sz w:val="18"/>
        </w:rPr>
        <w:t>Tubular</w:t>
      </w:r>
      <w:r>
        <w:rPr>
          <w:i/>
          <w:spacing w:val="-8"/>
          <w:sz w:val="18"/>
        </w:rPr>
        <w:t xml:space="preserve"> </w:t>
      </w:r>
      <w:r>
        <w:rPr>
          <w:i/>
          <w:sz w:val="18"/>
        </w:rPr>
        <w:t>Goods</w:t>
      </w:r>
      <w:r>
        <w:rPr>
          <w:i/>
          <w:spacing w:val="-8"/>
          <w:sz w:val="18"/>
        </w:rPr>
        <w:t xml:space="preserve"> </w:t>
      </w:r>
      <w:r>
        <w:rPr>
          <w:i/>
          <w:sz w:val="18"/>
        </w:rPr>
        <w:t>Sunset</w:t>
      </w:r>
      <w:r>
        <w:rPr>
          <w:i/>
          <w:spacing w:val="-8"/>
          <w:sz w:val="18"/>
        </w:rPr>
        <w:t xml:space="preserve"> </w:t>
      </w:r>
      <w:r>
        <w:rPr>
          <w:i/>
          <w:sz w:val="18"/>
        </w:rPr>
        <w:t>Reviews</w:t>
      </w:r>
      <w:r>
        <w:rPr>
          <w:sz w:val="18"/>
        </w:rPr>
        <w:t>,</w:t>
      </w:r>
      <w:r>
        <w:rPr>
          <w:spacing w:val="-8"/>
          <w:sz w:val="18"/>
        </w:rPr>
        <w:t xml:space="preserve"> </w:t>
      </w:r>
      <w:r>
        <w:rPr>
          <w:sz w:val="18"/>
        </w:rPr>
        <w:t>para.</w:t>
      </w:r>
      <w:r>
        <w:rPr>
          <w:spacing w:val="-8"/>
          <w:sz w:val="18"/>
        </w:rPr>
        <w:t xml:space="preserve"> </w:t>
      </w:r>
      <w:r>
        <w:rPr>
          <w:spacing w:val="-4"/>
          <w:sz w:val="18"/>
        </w:rPr>
        <w:t>241.</w:t>
      </w:r>
    </w:p>
    <w:p w14:paraId="51DE97CF" w14:textId="77777777" w:rsidR="0010369C" w:rsidRDefault="008E43AE">
      <w:pPr>
        <w:ind w:left="238"/>
        <w:jc w:val="both"/>
        <w:rPr>
          <w:sz w:val="18"/>
        </w:rPr>
      </w:pPr>
      <w:r>
        <w:rPr>
          <w:sz w:val="18"/>
          <w:vertAlign w:val="superscript"/>
        </w:rPr>
        <w:t>1060</w:t>
      </w:r>
      <w:r>
        <w:rPr>
          <w:spacing w:val="-7"/>
          <w:sz w:val="18"/>
        </w:rPr>
        <w:t xml:space="preserve"> </w:t>
      </w:r>
      <w:r>
        <w:rPr>
          <w:sz w:val="18"/>
        </w:rPr>
        <w:t>Appellate</w:t>
      </w:r>
      <w:r>
        <w:rPr>
          <w:spacing w:val="-7"/>
          <w:sz w:val="18"/>
        </w:rPr>
        <w:t xml:space="preserve"> </w:t>
      </w:r>
      <w:r>
        <w:rPr>
          <w:sz w:val="18"/>
        </w:rPr>
        <w:t>Body</w:t>
      </w:r>
      <w:r>
        <w:rPr>
          <w:spacing w:val="-8"/>
          <w:sz w:val="18"/>
        </w:rPr>
        <w:t xml:space="preserve"> </w:t>
      </w:r>
      <w:r>
        <w:rPr>
          <w:sz w:val="18"/>
        </w:rPr>
        <w:t>Report,</w:t>
      </w:r>
      <w:r>
        <w:rPr>
          <w:spacing w:val="-7"/>
          <w:sz w:val="18"/>
        </w:rPr>
        <w:t xml:space="preserve"> </w:t>
      </w:r>
      <w:r>
        <w:rPr>
          <w:i/>
          <w:sz w:val="18"/>
        </w:rPr>
        <w:t>EC</w:t>
      </w:r>
      <w:r>
        <w:rPr>
          <w:i/>
          <w:spacing w:val="-8"/>
          <w:sz w:val="18"/>
        </w:rPr>
        <w:t xml:space="preserve"> </w:t>
      </w:r>
      <w:r>
        <w:rPr>
          <w:i/>
          <w:sz w:val="18"/>
        </w:rPr>
        <w:t>Fasteners</w:t>
      </w:r>
      <w:r>
        <w:rPr>
          <w:i/>
          <w:spacing w:val="-7"/>
          <w:sz w:val="18"/>
        </w:rPr>
        <w:t xml:space="preserve"> </w:t>
      </w:r>
      <w:r>
        <w:rPr>
          <w:i/>
          <w:sz w:val="18"/>
        </w:rPr>
        <w:t>(China)</w:t>
      </w:r>
      <w:r>
        <w:rPr>
          <w:sz w:val="18"/>
        </w:rPr>
        <w:t>,</w:t>
      </w:r>
      <w:r>
        <w:rPr>
          <w:spacing w:val="-8"/>
          <w:sz w:val="18"/>
        </w:rPr>
        <w:t xml:space="preserve"> </w:t>
      </w:r>
      <w:r>
        <w:rPr>
          <w:sz w:val="18"/>
        </w:rPr>
        <w:t>para.</w:t>
      </w:r>
      <w:r>
        <w:rPr>
          <w:spacing w:val="-6"/>
          <w:sz w:val="18"/>
        </w:rPr>
        <w:t xml:space="preserve"> </w:t>
      </w:r>
      <w:r>
        <w:rPr>
          <w:spacing w:val="-4"/>
          <w:sz w:val="18"/>
        </w:rPr>
        <w:t>615.</w:t>
      </w:r>
    </w:p>
    <w:p w14:paraId="51DE97D0" w14:textId="77777777" w:rsidR="0010369C" w:rsidRDefault="0010369C">
      <w:pPr>
        <w:jc w:val="both"/>
        <w:rPr>
          <w:sz w:val="18"/>
        </w:rPr>
        <w:sectPr w:rsidR="0010369C">
          <w:type w:val="continuous"/>
          <w:pgSz w:w="11910" w:h="16840"/>
          <w:pgMar w:top="1460" w:right="800" w:bottom="280" w:left="1180" w:header="569" w:footer="788" w:gutter="0"/>
          <w:cols w:space="720"/>
        </w:sectPr>
      </w:pPr>
    </w:p>
    <w:p w14:paraId="51DE97D1" w14:textId="77777777" w:rsidR="0010369C" w:rsidRDefault="008E43AE">
      <w:pPr>
        <w:tabs>
          <w:tab w:val="left" w:pos="6426"/>
        </w:tabs>
        <w:ind w:left="238"/>
        <w:rPr>
          <w:sz w:val="20"/>
        </w:rPr>
      </w:pPr>
      <w:r>
        <w:rPr>
          <w:i/>
          <w:sz w:val="20"/>
        </w:rPr>
        <w:lastRenderedPageBreak/>
        <w:t>China</w:t>
      </w:r>
      <w:r>
        <w:rPr>
          <w:i/>
          <w:spacing w:val="-5"/>
          <w:sz w:val="20"/>
        </w:rPr>
        <w:t xml:space="preserve"> </w:t>
      </w:r>
      <w:r>
        <w:rPr>
          <w:i/>
          <w:sz w:val="20"/>
        </w:rPr>
        <w:t>–</w:t>
      </w:r>
      <w:r>
        <w:rPr>
          <w:i/>
          <w:spacing w:val="-5"/>
          <w:sz w:val="20"/>
        </w:rPr>
        <w:t xml:space="preserve"> </w:t>
      </w:r>
      <w:r>
        <w:rPr>
          <w:i/>
          <w:sz w:val="20"/>
        </w:rPr>
        <w:t>Anti‐Dumping</w:t>
      </w:r>
      <w:r>
        <w:rPr>
          <w:i/>
          <w:spacing w:val="-4"/>
          <w:sz w:val="20"/>
        </w:rPr>
        <w:t xml:space="preserve"> </w:t>
      </w:r>
      <w:r>
        <w:rPr>
          <w:i/>
          <w:sz w:val="20"/>
        </w:rPr>
        <w:t>and</w:t>
      </w:r>
      <w:r>
        <w:rPr>
          <w:i/>
          <w:spacing w:val="-5"/>
          <w:sz w:val="20"/>
        </w:rPr>
        <w:t xml:space="preserve"> </w:t>
      </w:r>
      <w:r>
        <w:rPr>
          <w:i/>
          <w:sz w:val="20"/>
        </w:rPr>
        <w:t>Countervailing</w:t>
      </w:r>
      <w:r>
        <w:rPr>
          <w:i/>
          <w:spacing w:val="-5"/>
          <w:sz w:val="20"/>
        </w:rPr>
        <w:t xml:space="preserve"> </w:t>
      </w:r>
      <w:r>
        <w:rPr>
          <w:i/>
          <w:sz w:val="20"/>
        </w:rPr>
        <w:t>Duty</w:t>
      </w:r>
      <w:r>
        <w:rPr>
          <w:i/>
          <w:spacing w:val="-4"/>
          <w:sz w:val="20"/>
        </w:rPr>
        <w:t xml:space="preserve"> </w:t>
      </w:r>
      <w:r>
        <w:rPr>
          <w:i/>
          <w:spacing w:val="-2"/>
          <w:sz w:val="20"/>
        </w:rPr>
        <w:t>Measures</w:t>
      </w:r>
      <w:r>
        <w:rPr>
          <w:i/>
          <w:sz w:val="20"/>
        </w:rPr>
        <w:tab/>
      </w:r>
      <w:r>
        <w:rPr>
          <w:sz w:val="20"/>
        </w:rPr>
        <w:t>Australia's</w:t>
      </w:r>
      <w:r>
        <w:rPr>
          <w:spacing w:val="-7"/>
          <w:sz w:val="20"/>
        </w:rPr>
        <w:t xml:space="preserve"> </w:t>
      </w:r>
      <w:r>
        <w:rPr>
          <w:sz w:val="20"/>
        </w:rPr>
        <w:t>First</w:t>
      </w:r>
      <w:r>
        <w:rPr>
          <w:spacing w:val="-2"/>
          <w:sz w:val="20"/>
        </w:rPr>
        <w:t xml:space="preserve"> </w:t>
      </w:r>
      <w:r>
        <w:rPr>
          <w:sz w:val="20"/>
        </w:rPr>
        <w:t>Written</w:t>
      </w:r>
      <w:r>
        <w:rPr>
          <w:spacing w:val="-2"/>
          <w:sz w:val="20"/>
        </w:rPr>
        <w:t xml:space="preserve"> Submission</w:t>
      </w:r>
    </w:p>
    <w:p w14:paraId="51DE97D2" w14:textId="77777777" w:rsidR="0010369C" w:rsidRDefault="008E43AE">
      <w:pPr>
        <w:tabs>
          <w:tab w:val="left" w:pos="8228"/>
        </w:tabs>
        <w:spacing w:before="1"/>
        <w:ind w:left="239"/>
        <w:rPr>
          <w:sz w:val="20"/>
        </w:rPr>
      </w:pPr>
      <w:r>
        <w:rPr>
          <w:i/>
          <w:sz w:val="20"/>
        </w:rPr>
        <w:t>on</w:t>
      </w:r>
      <w:r>
        <w:rPr>
          <w:i/>
          <w:spacing w:val="-1"/>
          <w:sz w:val="20"/>
        </w:rPr>
        <w:t xml:space="preserve"> </w:t>
      </w:r>
      <w:r>
        <w:rPr>
          <w:i/>
          <w:sz w:val="20"/>
        </w:rPr>
        <w:t>Wine</w:t>
      </w:r>
      <w:r>
        <w:rPr>
          <w:i/>
          <w:spacing w:val="-1"/>
          <w:sz w:val="20"/>
        </w:rPr>
        <w:t xml:space="preserve"> </w:t>
      </w:r>
      <w:r>
        <w:rPr>
          <w:i/>
          <w:sz w:val="20"/>
        </w:rPr>
        <w:t>from</w:t>
      </w:r>
      <w:r>
        <w:rPr>
          <w:i/>
          <w:spacing w:val="-3"/>
          <w:sz w:val="20"/>
        </w:rPr>
        <w:t xml:space="preserve"> </w:t>
      </w:r>
      <w:r>
        <w:rPr>
          <w:i/>
          <w:sz w:val="20"/>
        </w:rPr>
        <w:t>Australia</w:t>
      </w:r>
      <w:r>
        <w:rPr>
          <w:i/>
          <w:spacing w:val="-1"/>
          <w:sz w:val="20"/>
        </w:rPr>
        <w:t xml:space="preserve"> </w:t>
      </w:r>
      <w:r>
        <w:rPr>
          <w:spacing w:val="-2"/>
          <w:sz w:val="20"/>
        </w:rPr>
        <w:t>(DS602)</w:t>
      </w:r>
      <w:r>
        <w:rPr>
          <w:sz w:val="20"/>
        </w:rPr>
        <w:tab/>
        <w:t>29</w:t>
      </w:r>
      <w:r>
        <w:rPr>
          <w:spacing w:val="-1"/>
          <w:sz w:val="20"/>
        </w:rPr>
        <w:t xml:space="preserve"> </w:t>
      </w:r>
      <w:r>
        <w:rPr>
          <w:sz w:val="20"/>
        </w:rPr>
        <w:t>April</w:t>
      </w:r>
      <w:r>
        <w:rPr>
          <w:spacing w:val="-2"/>
          <w:sz w:val="20"/>
        </w:rPr>
        <w:t xml:space="preserve"> </w:t>
      </w:r>
      <w:r>
        <w:rPr>
          <w:spacing w:val="-4"/>
          <w:sz w:val="20"/>
        </w:rPr>
        <w:t>2022</w:t>
      </w:r>
    </w:p>
    <w:p w14:paraId="51DE97D3" w14:textId="77777777" w:rsidR="0010369C" w:rsidRDefault="008E43AE">
      <w:pPr>
        <w:pStyle w:val="BodyText"/>
        <w:spacing w:before="34" w:line="360" w:lineRule="auto"/>
        <w:ind w:left="238"/>
      </w:pPr>
      <w:r>
        <w:t>authority,</w:t>
      </w:r>
      <w:r>
        <w:rPr>
          <w:spacing w:val="-14"/>
        </w:rPr>
        <w:t xml:space="preserve"> </w:t>
      </w:r>
      <w:r>
        <w:t>where</w:t>
      </w:r>
      <w:r>
        <w:rPr>
          <w:spacing w:val="-14"/>
        </w:rPr>
        <w:t xml:space="preserve"> </w:t>
      </w:r>
      <w:r>
        <w:t>appropriate,</w:t>
      </w:r>
      <w:r>
        <w:rPr>
          <w:spacing w:val="-13"/>
        </w:rPr>
        <w:t xml:space="preserve"> </w:t>
      </w:r>
      <w:r>
        <w:t>to</w:t>
      </w:r>
      <w:r>
        <w:rPr>
          <w:spacing w:val="-14"/>
        </w:rPr>
        <w:t xml:space="preserve"> </w:t>
      </w:r>
      <w:r>
        <w:t>take</w:t>
      </w:r>
      <w:r>
        <w:rPr>
          <w:spacing w:val="-13"/>
        </w:rPr>
        <w:t xml:space="preserve"> </w:t>
      </w:r>
      <w:r>
        <w:t>into</w:t>
      </w:r>
      <w:r>
        <w:rPr>
          <w:spacing w:val="-14"/>
        </w:rPr>
        <w:t xml:space="preserve"> </w:t>
      </w:r>
      <w:r>
        <w:t>account</w:t>
      </w:r>
      <w:r>
        <w:rPr>
          <w:spacing w:val="-13"/>
        </w:rPr>
        <w:t xml:space="preserve"> </w:t>
      </w:r>
      <w:r>
        <w:t>the</w:t>
      </w:r>
      <w:r>
        <w:rPr>
          <w:spacing w:val="-14"/>
        </w:rPr>
        <w:t xml:space="preserve"> </w:t>
      </w:r>
      <w:r>
        <w:t>information</w:t>
      </w:r>
      <w:r>
        <w:rPr>
          <w:spacing w:val="-14"/>
        </w:rPr>
        <w:t xml:space="preserve"> </w:t>
      </w:r>
      <w:r>
        <w:t>submitted</w:t>
      </w:r>
      <w:r>
        <w:rPr>
          <w:spacing w:val="-13"/>
        </w:rPr>
        <w:t xml:space="preserve"> </w:t>
      </w:r>
      <w:r>
        <w:t>by</w:t>
      </w:r>
      <w:r>
        <w:rPr>
          <w:spacing w:val="-14"/>
        </w:rPr>
        <w:t xml:space="preserve"> </w:t>
      </w:r>
      <w:r>
        <w:t>an</w:t>
      </w:r>
      <w:r>
        <w:rPr>
          <w:spacing w:val="-13"/>
        </w:rPr>
        <w:t xml:space="preserve"> </w:t>
      </w:r>
      <w:r>
        <w:t xml:space="preserve">interested </w:t>
      </w:r>
      <w:r>
        <w:rPr>
          <w:spacing w:val="-2"/>
        </w:rPr>
        <w:t>party".</w:t>
      </w:r>
      <w:r>
        <w:rPr>
          <w:spacing w:val="-2"/>
          <w:vertAlign w:val="superscript"/>
        </w:rPr>
        <w:t>1061</w:t>
      </w:r>
    </w:p>
    <w:p w14:paraId="51DE97D4" w14:textId="77777777" w:rsidR="0010369C" w:rsidRDefault="0010369C">
      <w:pPr>
        <w:pStyle w:val="BodyText"/>
        <w:spacing w:before="10"/>
        <w:rPr>
          <w:sz w:val="8"/>
        </w:rPr>
      </w:pPr>
    </w:p>
    <w:p w14:paraId="51DE97D5" w14:textId="77777777" w:rsidR="0010369C" w:rsidRDefault="008E43AE">
      <w:pPr>
        <w:pStyle w:val="BodyText"/>
        <w:spacing w:before="52" w:line="360" w:lineRule="auto"/>
        <w:ind w:left="238" w:right="613" w:firstLine="850"/>
        <w:jc w:val="both"/>
      </w:pPr>
      <w:r>
        <w:rPr>
          <w:noProof/>
        </w:rPr>
        <w:drawing>
          <wp:anchor distT="0" distB="0" distL="0" distR="0" simplePos="0" relativeHeight="251490816" behindDoc="1" locked="0" layoutInCell="1" allowOverlap="1" wp14:anchorId="51DEA78E" wp14:editId="51DEA78F">
            <wp:simplePos x="0" y="0"/>
            <wp:positionH relativeFrom="page">
              <wp:posOffset>902208</wp:posOffset>
            </wp:positionH>
            <wp:positionV relativeFrom="paragraph">
              <wp:posOffset>76785</wp:posOffset>
            </wp:positionV>
            <wp:extent cx="262127" cy="106679"/>
            <wp:effectExtent l="0" t="0" r="0" b="0"/>
            <wp:wrapNone/>
            <wp:docPr id="1749" name="image9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 name="image902.png"/>
                    <pic:cNvPicPr/>
                  </pic:nvPicPr>
                  <pic:blipFill>
                    <a:blip r:embed="rId1171" cstate="print"/>
                    <a:stretch>
                      <a:fillRect/>
                    </a:stretch>
                  </pic:blipFill>
                  <pic:spPr>
                    <a:xfrm>
                      <a:off x="0" y="0"/>
                      <a:ext cx="262127" cy="106679"/>
                    </a:xfrm>
                    <a:prstGeom prst="rect">
                      <a:avLst/>
                    </a:prstGeom>
                  </pic:spPr>
                </pic:pic>
              </a:graphicData>
            </a:graphic>
          </wp:anchor>
        </w:drawing>
      </w:r>
      <w:r>
        <w:t>The Appellate Body has explained that, "[a]ccording to the express wording of the second sentence of Article 6.1.1, investigating authorities must extend the time‐limit for responses to questionnaires 'upon</w:t>
      </w:r>
      <w:r>
        <w:rPr>
          <w:spacing w:val="-2"/>
        </w:rPr>
        <w:t xml:space="preserve"> </w:t>
      </w:r>
      <w:r>
        <w:rPr>
          <w:i/>
          <w:color w:val="323232"/>
        </w:rPr>
        <w:t>cause shown</w:t>
      </w:r>
      <w:r>
        <w:t>', where granting such an extension is</w:t>
      </w:r>
      <w:r>
        <w:t xml:space="preserve"> </w:t>
      </w:r>
      <w:r>
        <w:rPr>
          <w:spacing w:val="-2"/>
        </w:rPr>
        <w:t>'</w:t>
      </w:r>
      <w:r>
        <w:rPr>
          <w:i/>
          <w:color w:val="323232"/>
          <w:spacing w:val="-2"/>
        </w:rPr>
        <w:t>practicable</w:t>
      </w:r>
      <w:r>
        <w:rPr>
          <w:spacing w:val="-2"/>
        </w:rPr>
        <w:t>'".</w:t>
      </w:r>
      <w:r>
        <w:rPr>
          <w:color w:val="323232"/>
          <w:spacing w:val="-2"/>
          <w:vertAlign w:val="superscript"/>
        </w:rPr>
        <w:t>1062</w:t>
      </w:r>
    </w:p>
    <w:p w14:paraId="51DE97D6" w14:textId="77777777" w:rsidR="0010369C" w:rsidRDefault="0010369C">
      <w:pPr>
        <w:pStyle w:val="BodyText"/>
        <w:rPr>
          <w:sz w:val="9"/>
        </w:rPr>
      </w:pPr>
    </w:p>
    <w:p w14:paraId="51DE97D7" w14:textId="77777777" w:rsidR="0010369C" w:rsidRDefault="008E43AE">
      <w:pPr>
        <w:pStyle w:val="BodyText"/>
        <w:spacing w:before="52"/>
        <w:ind w:left="1089"/>
        <w:jc w:val="both"/>
      </w:pPr>
      <w:r>
        <w:rPr>
          <w:noProof/>
        </w:rPr>
        <w:drawing>
          <wp:anchor distT="0" distB="0" distL="0" distR="0" simplePos="0" relativeHeight="250693120" behindDoc="0" locked="0" layoutInCell="1" allowOverlap="1" wp14:anchorId="51DEA790" wp14:editId="51DEA791">
            <wp:simplePos x="0" y="0"/>
            <wp:positionH relativeFrom="page">
              <wp:posOffset>902208</wp:posOffset>
            </wp:positionH>
            <wp:positionV relativeFrom="paragraph">
              <wp:posOffset>76785</wp:posOffset>
            </wp:positionV>
            <wp:extent cx="262127" cy="106679"/>
            <wp:effectExtent l="0" t="0" r="0" b="0"/>
            <wp:wrapNone/>
            <wp:docPr id="1751" name="image9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 name="image903.png"/>
                    <pic:cNvPicPr/>
                  </pic:nvPicPr>
                  <pic:blipFill>
                    <a:blip r:embed="rId1172" cstate="print"/>
                    <a:stretch>
                      <a:fillRect/>
                    </a:stretch>
                  </pic:blipFill>
                  <pic:spPr>
                    <a:xfrm>
                      <a:off x="0" y="0"/>
                      <a:ext cx="262127" cy="106679"/>
                    </a:xfrm>
                    <a:prstGeom prst="rect">
                      <a:avLst/>
                    </a:prstGeom>
                  </pic:spPr>
                </pic:pic>
              </a:graphicData>
            </a:graphic>
          </wp:anchor>
        </w:drawing>
      </w:r>
      <w:r>
        <w:t>The</w:t>
      </w:r>
      <w:r>
        <w:rPr>
          <w:spacing w:val="-7"/>
        </w:rPr>
        <w:t xml:space="preserve"> </w:t>
      </w:r>
      <w:r>
        <w:t>Appellate</w:t>
      </w:r>
      <w:r>
        <w:rPr>
          <w:spacing w:val="-7"/>
        </w:rPr>
        <w:t xml:space="preserve"> </w:t>
      </w:r>
      <w:r>
        <w:t>Body</w:t>
      </w:r>
      <w:r>
        <w:rPr>
          <w:spacing w:val="-7"/>
        </w:rPr>
        <w:t xml:space="preserve"> </w:t>
      </w:r>
      <w:r>
        <w:t>then</w:t>
      </w:r>
      <w:r>
        <w:rPr>
          <w:spacing w:val="-7"/>
        </w:rPr>
        <w:t xml:space="preserve"> </w:t>
      </w:r>
      <w:r>
        <w:t>went</w:t>
      </w:r>
      <w:r>
        <w:rPr>
          <w:spacing w:val="-7"/>
        </w:rPr>
        <w:t xml:space="preserve"> </w:t>
      </w:r>
      <w:r>
        <w:t>on</w:t>
      </w:r>
      <w:r>
        <w:rPr>
          <w:spacing w:val="-8"/>
        </w:rPr>
        <w:t xml:space="preserve"> </w:t>
      </w:r>
      <w:r>
        <w:t>to</w:t>
      </w:r>
      <w:r>
        <w:rPr>
          <w:spacing w:val="-6"/>
        </w:rPr>
        <w:t xml:space="preserve"> </w:t>
      </w:r>
      <w:r>
        <w:t>consider</w:t>
      </w:r>
      <w:r>
        <w:rPr>
          <w:spacing w:val="-8"/>
        </w:rPr>
        <w:t xml:space="preserve"> </w:t>
      </w:r>
      <w:r>
        <w:t>as</w:t>
      </w:r>
      <w:r>
        <w:rPr>
          <w:spacing w:val="-7"/>
        </w:rPr>
        <w:t xml:space="preserve"> </w:t>
      </w:r>
      <w:r>
        <w:rPr>
          <w:spacing w:val="-2"/>
        </w:rPr>
        <w:t>follows:</w:t>
      </w:r>
    </w:p>
    <w:p w14:paraId="51DE97D8" w14:textId="77777777" w:rsidR="0010369C" w:rsidRDefault="0010369C">
      <w:pPr>
        <w:pStyle w:val="BodyText"/>
        <w:rPr>
          <w:sz w:val="25"/>
        </w:rPr>
      </w:pPr>
    </w:p>
    <w:p w14:paraId="51DE97D9" w14:textId="77777777" w:rsidR="0010369C" w:rsidRDefault="008E43AE">
      <w:pPr>
        <w:spacing w:before="1" w:line="276" w:lineRule="auto"/>
        <w:ind w:left="1089" w:right="614"/>
        <w:jc w:val="both"/>
      </w:pPr>
      <w:r>
        <w:t>Taken together, these provisions</w:t>
      </w:r>
      <w:r>
        <w:rPr>
          <w:vertAlign w:val="superscript"/>
        </w:rPr>
        <w:t>1063</w:t>
      </w:r>
      <w:r>
        <w:t xml:space="preserve"> establish a coherent framework for the treatment, by investigating authorities, of information submitted by interested parties. Article 6.1.1 establishes</w:t>
      </w:r>
      <w:r>
        <w:rPr>
          <w:spacing w:val="-7"/>
        </w:rPr>
        <w:t xml:space="preserve"> </w:t>
      </w:r>
      <w:r>
        <w:t>that</w:t>
      </w:r>
      <w:r>
        <w:rPr>
          <w:spacing w:val="-8"/>
        </w:rPr>
        <w:t xml:space="preserve"> </w:t>
      </w:r>
      <w:r>
        <w:t>investigating</w:t>
      </w:r>
      <w:r>
        <w:rPr>
          <w:spacing w:val="-7"/>
        </w:rPr>
        <w:t xml:space="preserve"> </w:t>
      </w:r>
      <w:r>
        <w:t>authorities</w:t>
      </w:r>
      <w:r>
        <w:rPr>
          <w:spacing w:val="-7"/>
        </w:rPr>
        <w:t xml:space="preserve"> </w:t>
      </w:r>
      <w:r>
        <w:t>may</w:t>
      </w:r>
      <w:r>
        <w:rPr>
          <w:spacing w:val="-7"/>
        </w:rPr>
        <w:t xml:space="preserve"> </w:t>
      </w:r>
      <w:r>
        <w:t>fix</w:t>
      </w:r>
      <w:r>
        <w:rPr>
          <w:spacing w:val="-7"/>
        </w:rPr>
        <w:t xml:space="preserve"> </w:t>
      </w:r>
      <w:r>
        <w:t>time‐limits</w:t>
      </w:r>
      <w:r>
        <w:rPr>
          <w:spacing w:val="-6"/>
        </w:rPr>
        <w:t xml:space="preserve"> </w:t>
      </w:r>
      <w:r>
        <w:t>for</w:t>
      </w:r>
      <w:r>
        <w:rPr>
          <w:spacing w:val="-6"/>
        </w:rPr>
        <w:t xml:space="preserve"> </w:t>
      </w:r>
      <w:r>
        <w:t>responses</w:t>
      </w:r>
      <w:r>
        <w:rPr>
          <w:spacing w:val="-8"/>
        </w:rPr>
        <w:t xml:space="preserve"> </w:t>
      </w:r>
      <w:r>
        <w:t>to</w:t>
      </w:r>
      <w:r>
        <w:rPr>
          <w:spacing w:val="-7"/>
        </w:rPr>
        <w:t xml:space="preserve"> </w:t>
      </w:r>
      <w:r>
        <w:t>questionnaires, but indicates tha</w:t>
      </w:r>
      <w:r>
        <w:t xml:space="preserve">t, "upon cause shown", and if "practicable", these time‐limits are to be </w:t>
      </w:r>
      <w:r>
        <w:rPr>
          <w:spacing w:val="-2"/>
        </w:rPr>
        <w:t>extended.</w:t>
      </w:r>
      <w:r>
        <w:rPr>
          <w:color w:val="323232"/>
          <w:spacing w:val="-2"/>
          <w:vertAlign w:val="superscript"/>
        </w:rPr>
        <w:t>1064</w:t>
      </w:r>
    </w:p>
    <w:p w14:paraId="51DE97DA" w14:textId="77777777" w:rsidR="0010369C" w:rsidRDefault="0010369C">
      <w:pPr>
        <w:pStyle w:val="BodyText"/>
        <w:spacing w:before="4"/>
        <w:rPr>
          <w:sz w:val="15"/>
        </w:rPr>
      </w:pPr>
    </w:p>
    <w:p w14:paraId="51DE97DB" w14:textId="77777777" w:rsidR="0010369C" w:rsidRDefault="008E43AE">
      <w:pPr>
        <w:pStyle w:val="BodyText"/>
        <w:spacing w:before="52" w:line="360" w:lineRule="auto"/>
        <w:ind w:left="237" w:right="612" w:firstLine="851"/>
        <w:jc w:val="both"/>
      </w:pPr>
      <w:r>
        <w:rPr>
          <w:noProof/>
        </w:rPr>
        <w:drawing>
          <wp:anchor distT="0" distB="0" distL="0" distR="0" simplePos="0" relativeHeight="251491840" behindDoc="1" locked="0" layoutInCell="1" allowOverlap="1" wp14:anchorId="51DEA792" wp14:editId="51DEA793">
            <wp:simplePos x="0" y="0"/>
            <wp:positionH relativeFrom="page">
              <wp:posOffset>902208</wp:posOffset>
            </wp:positionH>
            <wp:positionV relativeFrom="paragraph">
              <wp:posOffset>81949</wp:posOffset>
            </wp:positionV>
            <wp:extent cx="262127" cy="100753"/>
            <wp:effectExtent l="0" t="0" r="0" b="0"/>
            <wp:wrapNone/>
            <wp:docPr id="1753" name="image9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 name="image904.png"/>
                    <pic:cNvPicPr/>
                  </pic:nvPicPr>
                  <pic:blipFill>
                    <a:blip r:embed="rId1173" cstate="print"/>
                    <a:stretch>
                      <a:fillRect/>
                    </a:stretch>
                  </pic:blipFill>
                  <pic:spPr>
                    <a:xfrm>
                      <a:off x="0" y="0"/>
                      <a:ext cx="262127" cy="100753"/>
                    </a:xfrm>
                    <a:prstGeom prst="rect">
                      <a:avLst/>
                    </a:prstGeom>
                  </pic:spPr>
                </pic:pic>
              </a:graphicData>
            </a:graphic>
          </wp:anchor>
        </w:drawing>
      </w:r>
      <w:r>
        <w:t>The</w:t>
      </w:r>
      <w:r>
        <w:rPr>
          <w:spacing w:val="-8"/>
        </w:rPr>
        <w:t xml:space="preserve"> </w:t>
      </w:r>
      <w:r>
        <w:t>obligation</w:t>
      </w:r>
      <w:r>
        <w:rPr>
          <w:spacing w:val="-8"/>
        </w:rPr>
        <w:t xml:space="preserve"> </w:t>
      </w:r>
      <w:r>
        <w:t>to</w:t>
      </w:r>
      <w:r>
        <w:rPr>
          <w:spacing w:val="-8"/>
        </w:rPr>
        <w:t xml:space="preserve"> </w:t>
      </w:r>
      <w:r>
        <w:t>provide</w:t>
      </w:r>
      <w:r>
        <w:rPr>
          <w:spacing w:val="-8"/>
        </w:rPr>
        <w:t xml:space="preserve"> </w:t>
      </w:r>
      <w:r>
        <w:t>interested</w:t>
      </w:r>
      <w:r>
        <w:rPr>
          <w:spacing w:val="-9"/>
        </w:rPr>
        <w:t xml:space="preserve"> </w:t>
      </w:r>
      <w:r>
        <w:t>parties</w:t>
      </w:r>
      <w:r>
        <w:rPr>
          <w:spacing w:val="-8"/>
        </w:rPr>
        <w:t xml:space="preserve"> </w:t>
      </w:r>
      <w:r>
        <w:t>with</w:t>
      </w:r>
      <w:r>
        <w:rPr>
          <w:spacing w:val="-9"/>
        </w:rPr>
        <w:t xml:space="preserve"> </w:t>
      </w:r>
      <w:r>
        <w:t>opportunities</w:t>
      </w:r>
      <w:r>
        <w:rPr>
          <w:spacing w:val="-8"/>
        </w:rPr>
        <w:t xml:space="preserve"> </w:t>
      </w:r>
      <w:r>
        <w:t>for</w:t>
      </w:r>
      <w:r>
        <w:rPr>
          <w:spacing w:val="-8"/>
        </w:rPr>
        <w:t xml:space="preserve"> </w:t>
      </w:r>
      <w:r>
        <w:t>the</w:t>
      </w:r>
      <w:r>
        <w:rPr>
          <w:spacing w:val="-8"/>
        </w:rPr>
        <w:t xml:space="preserve"> </w:t>
      </w:r>
      <w:r>
        <w:t>full</w:t>
      </w:r>
      <w:r>
        <w:rPr>
          <w:spacing w:val="-8"/>
        </w:rPr>
        <w:t xml:space="preserve"> </w:t>
      </w:r>
      <w:r>
        <w:t>defence</w:t>
      </w:r>
      <w:r>
        <w:rPr>
          <w:spacing w:val="-8"/>
        </w:rPr>
        <w:t xml:space="preserve"> </w:t>
      </w:r>
      <w:r>
        <w:t>of their interests in Article 6.2 also entails the right to comment on how the data collected by the authorities is assessed.</w:t>
      </w:r>
      <w:r>
        <w:rPr>
          <w:vertAlign w:val="superscript"/>
        </w:rPr>
        <w:t>1065</w:t>
      </w:r>
      <w:r>
        <w:t xml:space="preserve"> There should be "liberal opportunities for respondents to defend their interests" throughout an investigation.</w:t>
      </w:r>
      <w:r>
        <w:rPr>
          <w:vertAlign w:val="superscript"/>
        </w:rPr>
        <w:t>1066</w:t>
      </w:r>
    </w:p>
    <w:p w14:paraId="51DE97DC" w14:textId="77777777" w:rsidR="0010369C" w:rsidRDefault="0010369C">
      <w:pPr>
        <w:pStyle w:val="BodyText"/>
        <w:spacing w:before="10"/>
        <w:rPr>
          <w:sz w:val="8"/>
        </w:rPr>
      </w:pPr>
    </w:p>
    <w:p w14:paraId="51DE97DD" w14:textId="77777777" w:rsidR="0010369C" w:rsidRDefault="008E43AE">
      <w:pPr>
        <w:pStyle w:val="BodyText"/>
        <w:spacing w:before="52" w:line="360" w:lineRule="auto"/>
        <w:ind w:left="237" w:right="613" w:firstLine="852"/>
        <w:jc w:val="both"/>
      </w:pPr>
      <w:r>
        <w:rPr>
          <w:noProof/>
        </w:rPr>
        <w:drawing>
          <wp:anchor distT="0" distB="0" distL="0" distR="0" simplePos="0" relativeHeight="251492864" behindDoc="1" locked="0" layoutInCell="1" allowOverlap="1" wp14:anchorId="51DEA794" wp14:editId="51DEA795">
            <wp:simplePos x="0" y="0"/>
            <wp:positionH relativeFrom="page">
              <wp:posOffset>902208</wp:posOffset>
            </wp:positionH>
            <wp:positionV relativeFrom="paragraph">
              <wp:posOffset>80595</wp:posOffset>
            </wp:positionV>
            <wp:extent cx="262127" cy="103631"/>
            <wp:effectExtent l="0" t="0" r="0" b="0"/>
            <wp:wrapNone/>
            <wp:docPr id="1755" name="image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 name="image905.png"/>
                    <pic:cNvPicPr/>
                  </pic:nvPicPr>
                  <pic:blipFill>
                    <a:blip r:embed="rId1174" cstate="print"/>
                    <a:stretch>
                      <a:fillRect/>
                    </a:stretch>
                  </pic:blipFill>
                  <pic:spPr>
                    <a:xfrm>
                      <a:off x="0" y="0"/>
                      <a:ext cx="262127" cy="103631"/>
                    </a:xfrm>
                    <a:prstGeom prst="rect">
                      <a:avLst/>
                    </a:prstGeom>
                  </pic:spPr>
                </pic:pic>
              </a:graphicData>
            </a:graphic>
          </wp:anchor>
        </w:drawing>
      </w:r>
      <w:r>
        <w:t>MOFCOM acted inconsistently with Articles 6.1, 6.1.1, 6.1.2, and 6.2 of the Anti‐ Dumping Agreement. The obligations under these provision</w:t>
      </w:r>
      <w:r>
        <w:t>s, although distinct, operate together to ensure that interested parties can properly defend their interests during an investigation. This relies on an investigating authority providing adequate reasons for its determinations. The investigating authority's</w:t>
      </w:r>
      <w:r>
        <w:t xml:space="preserve"> reasons must be sufficiently detailed such that they can be discerned and are understood.</w:t>
      </w:r>
      <w:r>
        <w:rPr>
          <w:vertAlign w:val="superscript"/>
        </w:rPr>
        <w:t>1067</w:t>
      </w:r>
    </w:p>
    <w:p w14:paraId="51DE97DE" w14:textId="77777777" w:rsidR="0010369C" w:rsidRDefault="0010369C">
      <w:pPr>
        <w:pStyle w:val="BodyText"/>
        <w:spacing w:before="11"/>
        <w:rPr>
          <w:sz w:val="8"/>
        </w:rPr>
      </w:pPr>
    </w:p>
    <w:p w14:paraId="51DE97DF" w14:textId="77777777" w:rsidR="0010369C" w:rsidRDefault="008E43AE">
      <w:pPr>
        <w:pStyle w:val="BodyText"/>
        <w:spacing w:before="52" w:line="360" w:lineRule="auto"/>
        <w:ind w:left="238" w:right="613" w:firstLine="851"/>
        <w:jc w:val="both"/>
      </w:pPr>
      <w:r>
        <w:rPr>
          <w:noProof/>
        </w:rPr>
        <w:drawing>
          <wp:anchor distT="0" distB="0" distL="0" distR="0" simplePos="0" relativeHeight="251493888" behindDoc="1" locked="0" layoutInCell="1" allowOverlap="1" wp14:anchorId="51DEA796" wp14:editId="51DEA797">
            <wp:simplePos x="0" y="0"/>
            <wp:positionH relativeFrom="page">
              <wp:posOffset>902208</wp:posOffset>
            </wp:positionH>
            <wp:positionV relativeFrom="paragraph">
              <wp:posOffset>81357</wp:posOffset>
            </wp:positionV>
            <wp:extent cx="262127" cy="103631"/>
            <wp:effectExtent l="0" t="0" r="0" b="0"/>
            <wp:wrapNone/>
            <wp:docPr id="1757" name="image9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 name="image906.png"/>
                    <pic:cNvPicPr/>
                  </pic:nvPicPr>
                  <pic:blipFill>
                    <a:blip r:embed="rId1175" cstate="print"/>
                    <a:stretch>
                      <a:fillRect/>
                    </a:stretch>
                  </pic:blipFill>
                  <pic:spPr>
                    <a:xfrm>
                      <a:off x="0" y="0"/>
                      <a:ext cx="262127" cy="103631"/>
                    </a:xfrm>
                    <a:prstGeom prst="rect">
                      <a:avLst/>
                    </a:prstGeom>
                  </pic:spPr>
                </pic:pic>
              </a:graphicData>
            </a:graphic>
          </wp:anchor>
        </w:drawing>
      </w:r>
      <w:r>
        <w:t>MOFCOM</w:t>
      </w:r>
      <w:r>
        <w:rPr>
          <w:spacing w:val="-12"/>
        </w:rPr>
        <w:t xml:space="preserve"> </w:t>
      </w:r>
      <w:r>
        <w:t>failed</w:t>
      </w:r>
      <w:r>
        <w:rPr>
          <w:spacing w:val="-12"/>
        </w:rPr>
        <w:t xml:space="preserve"> </w:t>
      </w:r>
      <w:r>
        <w:t>to</w:t>
      </w:r>
      <w:r>
        <w:rPr>
          <w:spacing w:val="-12"/>
        </w:rPr>
        <w:t xml:space="preserve"> </w:t>
      </w:r>
      <w:r>
        <w:t>observe</w:t>
      </w:r>
      <w:r>
        <w:rPr>
          <w:spacing w:val="-11"/>
        </w:rPr>
        <w:t xml:space="preserve"> </w:t>
      </w:r>
      <w:r>
        <w:t>the</w:t>
      </w:r>
      <w:r>
        <w:rPr>
          <w:spacing w:val="-11"/>
        </w:rPr>
        <w:t xml:space="preserve"> </w:t>
      </w:r>
      <w:r>
        <w:t>framework</w:t>
      </w:r>
      <w:r>
        <w:rPr>
          <w:spacing w:val="-13"/>
        </w:rPr>
        <w:t xml:space="preserve"> </w:t>
      </w:r>
      <w:r>
        <w:t>of</w:t>
      </w:r>
      <w:r>
        <w:rPr>
          <w:spacing w:val="-12"/>
        </w:rPr>
        <w:t xml:space="preserve"> </w:t>
      </w:r>
      <w:r>
        <w:t>procedural</w:t>
      </w:r>
      <w:r>
        <w:rPr>
          <w:spacing w:val="-11"/>
        </w:rPr>
        <w:t xml:space="preserve"> </w:t>
      </w:r>
      <w:r>
        <w:t>and</w:t>
      </w:r>
      <w:r>
        <w:rPr>
          <w:spacing w:val="-12"/>
        </w:rPr>
        <w:t xml:space="preserve"> </w:t>
      </w:r>
      <w:r>
        <w:t>due</w:t>
      </w:r>
      <w:r>
        <w:rPr>
          <w:spacing w:val="-11"/>
        </w:rPr>
        <w:t xml:space="preserve"> </w:t>
      </w:r>
      <w:r>
        <w:t>process</w:t>
      </w:r>
      <w:r>
        <w:rPr>
          <w:spacing w:val="-12"/>
        </w:rPr>
        <w:t xml:space="preserve"> </w:t>
      </w:r>
      <w:r>
        <w:t>obligations set out in Article 6. Despite being the primary source of information in the i</w:t>
      </w:r>
      <w:r>
        <w:t>nvestigations,</w:t>
      </w:r>
      <w:r>
        <w:rPr>
          <w:vertAlign w:val="superscript"/>
        </w:rPr>
        <w:t>1068</w:t>
      </w:r>
      <w:r>
        <w:t xml:space="preserve"> interested</w:t>
      </w:r>
      <w:r>
        <w:rPr>
          <w:spacing w:val="78"/>
        </w:rPr>
        <w:t xml:space="preserve"> </w:t>
      </w:r>
      <w:r>
        <w:t>parties</w:t>
      </w:r>
      <w:r>
        <w:rPr>
          <w:spacing w:val="78"/>
        </w:rPr>
        <w:t xml:space="preserve"> </w:t>
      </w:r>
      <w:r>
        <w:t>were</w:t>
      </w:r>
      <w:r>
        <w:rPr>
          <w:spacing w:val="79"/>
        </w:rPr>
        <w:t xml:space="preserve"> </w:t>
      </w:r>
      <w:r>
        <w:t>not</w:t>
      </w:r>
      <w:r>
        <w:rPr>
          <w:spacing w:val="78"/>
        </w:rPr>
        <w:t xml:space="preserve"> </w:t>
      </w:r>
      <w:r>
        <w:t>given</w:t>
      </w:r>
      <w:r>
        <w:rPr>
          <w:spacing w:val="77"/>
        </w:rPr>
        <w:t xml:space="preserve"> </w:t>
      </w:r>
      <w:r>
        <w:t>ample</w:t>
      </w:r>
      <w:r>
        <w:rPr>
          <w:spacing w:val="79"/>
        </w:rPr>
        <w:t xml:space="preserve"> </w:t>
      </w:r>
      <w:r>
        <w:t>opportunities</w:t>
      </w:r>
      <w:r>
        <w:rPr>
          <w:spacing w:val="77"/>
        </w:rPr>
        <w:t xml:space="preserve"> </w:t>
      </w:r>
      <w:r>
        <w:t>to</w:t>
      </w:r>
      <w:r>
        <w:rPr>
          <w:spacing w:val="79"/>
        </w:rPr>
        <w:t xml:space="preserve"> </w:t>
      </w:r>
      <w:r>
        <w:t>present</w:t>
      </w:r>
      <w:r>
        <w:rPr>
          <w:spacing w:val="78"/>
        </w:rPr>
        <w:t xml:space="preserve"> </w:t>
      </w:r>
      <w:r>
        <w:t>relevant</w:t>
      </w:r>
      <w:r>
        <w:rPr>
          <w:spacing w:val="78"/>
        </w:rPr>
        <w:t xml:space="preserve"> </w:t>
      </w:r>
      <w:r>
        <w:rPr>
          <w:spacing w:val="-2"/>
        </w:rPr>
        <w:t>evidence.</w:t>
      </w:r>
    </w:p>
    <w:p w14:paraId="51DE97E0" w14:textId="77777777" w:rsidR="0010369C" w:rsidRDefault="008E43AE">
      <w:pPr>
        <w:pStyle w:val="BodyText"/>
        <w:spacing w:before="2"/>
        <w:rPr>
          <w:sz w:val="23"/>
        </w:rPr>
      </w:pPr>
      <w:r>
        <w:pict w14:anchorId="51DEA798">
          <v:rect id="docshape1319" o:spid="_x0000_s1129" style="position:absolute;margin-left:70.9pt;margin-top:15.35pt;width:2in;height:.8pt;z-index:-250717696;mso-wrap-distance-left:0;mso-wrap-distance-right:0;mso-position-horizontal-relative:page" fillcolor="black" stroked="f">
            <w10:wrap type="topAndBottom" anchorx="page"/>
          </v:rect>
        </w:pict>
      </w:r>
    </w:p>
    <w:p w14:paraId="51DE97E1" w14:textId="77777777" w:rsidR="0010369C" w:rsidRDefault="008E43AE">
      <w:pPr>
        <w:spacing w:before="109"/>
        <w:ind w:left="238"/>
        <w:rPr>
          <w:sz w:val="18"/>
        </w:rPr>
      </w:pPr>
      <w:r>
        <w:rPr>
          <w:sz w:val="18"/>
          <w:vertAlign w:val="superscript"/>
        </w:rPr>
        <w:t>1061</w:t>
      </w:r>
      <w:r>
        <w:rPr>
          <w:spacing w:val="-7"/>
          <w:sz w:val="18"/>
        </w:rPr>
        <w:t xml:space="preserve"> </w:t>
      </w:r>
      <w:r>
        <w:rPr>
          <w:sz w:val="18"/>
        </w:rPr>
        <w:t>Appellate</w:t>
      </w:r>
      <w:r>
        <w:rPr>
          <w:spacing w:val="-7"/>
          <w:sz w:val="18"/>
        </w:rPr>
        <w:t xml:space="preserve"> </w:t>
      </w:r>
      <w:r>
        <w:rPr>
          <w:sz w:val="18"/>
        </w:rPr>
        <w:t>Body</w:t>
      </w:r>
      <w:r>
        <w:rPr>
          <w:spacing w:val="-8"/>
          <w:sz w:val="18"/>
        </w:rPr>
        <w:t xml:space="preserve"> </w:t>
      </w:r>
      <w:r>
        <w:rPr>
          <w:sz w:val="18"/>
        </w:rPr>
        <w:t>Report,</w:t>
      </w:r>
      <w:r>
        <w:rPr>
          <w:spacing w:val="-6"/>
          <w:sz w:val="18"/>
        </w:rPr>
        <w:t xml:space="preserve"> </w:t>
      </w:r>
      <w:r>
        <w:rPr>
          <w:i/>
          <w:sz w:val="18"/>
        </w:rPr>
        <w:t>Mexico</w:t>
      </w:r>
      <w:r>
        <w:rPr>
          <w:i/>
          <w:spacing w:val="-7"/>
          <w:sz w:val="18"/>
        </w:rPr>
        <w:t xml:space="preserve"> </w:t>
      </w:r>
      <w:r>
        <w:rPr>
          <w:i/>
          <w:sz w:val="18"/>
        </w:rPr>
        <w:t>–</w:t>
      </w:r>
      <w:r>
        <w:rPr>
          <w:i/>
          <w:spacing w:val="-6"/>
          <w:sz w:val="18"/>
        </w:rPr>
        <w:t xml:space="preserve"> </w:t>
      </w:r>
      <w:r>
        <w:rPr>
          <w:i/>
          <w:sz w:val="18"/>
        </w:rPr>
        <w:t>Anti‐Dumping</w:t>
      </w:r>
      <w:r>
        <w:rPr>
          <w:i/>
          <w:spacing w:val="-6"/>
          <w:sz w:val="18"/>
        </w:rPr>
        <w:t xml:space="preserve"> </w:t>
      </w:r>
      <w:r>
        <w:rPr>
          <w:i/>
          <w:sz w:val="18"/>
        </w:rPr>
        <w:t>Measures</w:t>
      </w:r>
      <w:r>
        <w:rPr>
          <w:i/>
          <w:spacing w:val="-7"/>
          <w:sz w:val="18"/>
        </w:rPr>
        <w:t xml:space="preserve"> </w:t>
      </w:r>
      <w:r>
        <w:rPr>
          <w:i/>
          <w:sz w:val="18"/>
        </w:rPr>
        <w:t>on</w:t>
      </w:r>
      <w:r>
        <w:rPr>
          <w:i/>
          <w:spacing w:val="-7"/>
          <w:sz w:val="18"/>
        </w:rPr>
        <w:t xml:space="preserve"> </w:t>
      </w:r>
      <w:r>
        <w:rPr>
          <w:i/>
          <w:sz w:val="18"/>
        </w:rPr>
        <w:t>Rice</w:t>
      </w:r>
      <w:r>
        <w:rPr>
          <w:sz w:val="18"/>
        </w:rPr>
        <w:t>,</w:t>
      </w:r>
      <w:r>
        <w:rPr>
          <w:spacing w:val="-7"/>
          <w:sz w:val="18"/>
        </w:rPr>
        <w:t xml:space="preserve"> </w:t>
      </w:r>
      <w:r>
        <w:rPr>
          <w:sz w:val="18"/>
        </w:rPr>
        <w:t>para.</w:t>
      </w:r>
      <w:r>
        <w:rPr>
          <w:spacing w:val="-7"/>
          <w:sz w:val="18"/>
        </w:rPr>
        <w:t xml:space="preserve"> </w:t>
      </w:r>
      <w:r>
        <w:rPr>
          <w:spacing w:val="-4"/>
          <w:sz w:val="18"/>
        </w:rPr>
        <w:t>292.</w:t>
      </w:r>
    </w:p>
    <w:p w14:paraId="51DE97E2" w14:textId="77777777" w:rsidR="0010369C" w:rsidRDefault="008E43AE">
      <w:pPr>
        <w:ind w:left="238"/>
        <w:rPr>
          <w:sz w:val="18"/>
        </w:rPr>
      </w:pPr>
      <w:r>
        <w:rPr>
          <w:sz w:val="18"/>
          <w:vertAlign w:val="superscript"/>
        </w:rPr>
        <w:t>1062</w:t>
      </w:r>
      <w:r>
        <w:rPr>
          <w:spacing w:val="-6"/>
          <w:sz w:val="18"/>
        </w:rPr>
        <w:t xml:space="preserve"> </w:t>
      </w:r>
      <w:r>
        <w:rPr>
          <w:sz w:val="18"/>
        </w:rPr>
        <w:t>Appellate</w:t>
      </w:r>
      <w:r>
        <w:rPr>
          <w:spacing w:val="-5"/>
          <w:sz w:val="18"/>
        </w:rPr>
        <w:t xml:space="preserve"> </w:t>
      </w:r>
      <w:r>
        <w:rPr>
          <w:sz w:val="18"/>
        </w:rPr>
        <w:t>Body</w:t>
      </w:r>
      <w:r>
        <w:rPr>
          <w:spacing w:val="-7"/>
          <w:sz w:val="18"/>
        </w:rPr>
        <w:t xml:space="preserve"> </w:t>
      </w:r>
      <w:r>
        <w:rPr>
          <w:sz w:val="18"/>
        </w:rPr>
        <w:t>Report,</w:t>
      </w:r>
      <w:r>
        <w:rPr>
          <w:spacing w:val="-5"/>
          <w:sz w:val="18"/>
        </w:rPr>
        <w:t xml:space="preserve"> </w:t>
      </w:r>
      <w:r>
        <w:rPr>
          <w:i/>
          <w:sz w:val="18"/>
        </w:rPr>
        <w:t>US</w:t>
      </w:r>
      <w:r>
        <w:rPr>
          <w:i/>
          <w:spacing w:val="-5"/>
          <w:sz w:val="18"/>
        </w:rPr>
        <w:t xml:space="preserve"> </w:t>
      </w:r>
      <w:r>
        <w:rPr>
          <w:i/>
          <w:sz w:val="18"/>
        </w:rPr>
        <w:t>–</w:t>
      </w:r>
      <w:r>
        <w:rPr>
          <w:i/>
          <w:spacing w:val="-5"/>
          <w:sz w:val="18"/>
        </w:rPr>
        <w:t xml:space="preserve"> </w:t>
      </w:r>
      <w:r>
        <w:rPr>
          <w:i/>
          <w:sz w:val="18"/>
        </w:rPr>
        <w:t>Hot</w:t>
      </w:r>
      <w:r>
        <w:rPr>
          <w:i/>
          <w:spacing w:val="-4"/>
          <w:sz w:val="18"/>
        </w:rPr>
        <w:t xml:space="preserve"> </w:t>
      </w:r>
      <w:r>
        <w:rPr>
          <w:i/>
          <w:sz w:val="18"/>
        </w:rPr>
        <w:t>Rolled</w:t>
      </w:r>
      <w:r>
        <w:rPr>
          <w:i/>
          <w:spacing w:val="-5"/>
          <w:sz w:val="18"/>
        </w:rPr>
        <w:t xml:space="preserve"> </w:t>
      </w:r>
      <w:r>
        <w:rPr>
          <w:i/>
          <w:sz w:val="18"/>
        </w:rPr>
        <w:t>Steel,</w:t>
      </w:r>
      <w:r>
        <w:rPr>
          <w:i/>
          <w:spacing w:val="-6"/>
          <w:sz w:val="18"/>
        </w:rPr>
        <w:t xml:space="preserve"> </w:t>
      </w:r>
      <w:r>
        <w:rPr>
          <w:sz w:val="18"/>
        </w:rPr>
        <w:t>para.</w:t>
      </w:r>
      <w:r>
        <w:rPr>
          <w:spacing w:val="-5"/>
          <w:sz w:val="18"/>
        </w:rPr>
        <w:t xml:space="preserve"> </w:t>
      </w:r>
      <w:r>
        <w:rPr>
          <w:sz w:val="18"/>
        </w:rPr>
        <w:t>74.</w:t>
      </w:r>
      <w:r>
        <w:rPr>
          <w:spacing w:val="-6"/>
          <w:sz w:val="18"/>
        </w:rPr>
        <w:t xml:space="preserve"> </w:t>
      </w:r>
      <w:r>
        <w:rPr>
          <w:sz w:val="18"/>
        </w:rPr>
        <w:t>(emphasis</w:t>
      </w:r>
      <w:r>
        <w:rPr>
          <w:spacing w:val="-6"/>
          <w:sz w:val="18"/>
        </w:rPr>
        <w:t xml:space="preserve"> </w:t>
      </w:r>
      <w:r>
        <w:rPr>
          <w:spacing w:val="-2"/>
          <w:sz w:val="18"/>
        </w:rPr>
        <w:t>original)</w:t>
      </w:r>
    </w:p>
    <w:p w14:paraId="51DE97E3" w14:textId="77777777" w:rsidR="0010369C" w:rsidRDefault="008E43AE">
      <w:pPr>
        <w:ind w:left="238"/>
        <w:rPr>
          <w:sz w:val="18"/>
        </w:rPr>
      </w:pPr>
      <w:r>
        <w:rPr>
          <w:sz w:val="18"/>
          <w:vertAlign w:val="superscript"/>
        </w:rPr>
        <w:t>1063</w:t>
      </w:r>
      <w:r>
        <w:rPr>
          <w:spacing w:val="-5"/>
          <w:sz w:val="18"/>
        </w:rPr>
        <w:t xml:space="preserve"> </w:t>
      </w:r>
      <w:r>
        <w:rPr>
          <w:sz w:val="18"/>
        </w:rPr>
        <w:t>Referring</w:t>
      </w:r>
      <w:r>
        <w:rPr>
          <w:spacing w:val="-5"/>
          <w:sz w:val="18"/>
        </w:rPr>
        <w:t xml:space="preserve"> </w:t>
      </w:r>
      <w:r>
        <w:rPr>
          <w:sz w:val="18"/>
        </w:rPr>
        <w:t>to</w:t>
      </w:r>
      <w:r>
        <w:rPr>
          <w:spacing w:val="-5"/>
          <w:sz w:val="18"/>
        </w:rPr>
        <w:t xml:space="preserve"> </w:t>
      </w:r>
      <w:r>
        <w:rPr>
          <w:sz w:val="18"/>
        </w:rPr>
        <w:t>Articles</w:t>
      </w:r>
      <w:r>
        <w:rPr>
          <w:spacing w:val="-5"/>
          <w:sz w:val="18"/>
        </w:rPr>
        <w:t xml:space="preserve"> </w:t>
      </w:r>
      <w:r>
        <w:rPr>
          <w:sz w:val="18"/>
        </w:rPr>
        <w:t>6.1.1</w:t>
      </w:r>
      <w:r>
        <w:rPr>
          <w:spacing w:val="-6"/>
          <w:sz w:val="18"/>
        </w:rPr>
        <w:t xml:space="preserve"> </w:t>
      </w:r>
      <w:r>
        <w:rPr>
          <w:sz w:val="18"/>
        </w:rPr>
        <w:t>and</w:t>
      </w:r>
      <w:r>
        <w:rPr>
          <w:spacing w:val="-5"/>
          <w:sz w:val="18"/>
        </w:rPr>
        <w:t xml:space="preserve"> </w:t>
      </w:r>
      <w:r>
        <w:rPr>
          <w:sz w:val="18"/>
        </w:rPr>
        <w:t>6.8,</w:t>
      </w:r>
      <w:r>
        <w:rPr>
          <w:spacing w:val="-6"/>
          <w:sz w:val="18"/>
        </w:rPr>
        <w:t xml:space="preserve"> </w:t>
      </w:r>
      <w:r>
        <w:rPr>
          <w:sz w:val="18"/>
        </w:rPr>
        <w:t>and</w:t>
      </w:r>
      <w:r>
        <w:rPr>
          <w:spacing w:val="-5"/>
          <w:sz w:val="18"/>
        </w:rPr>
        <w:t xml:space="preserve"> </w:t>
      </w:r>
      <w:r>
        <w:rPr>
          <w:sz w:val="18"/>
        </w:rPr>
        <w:t>Annex</w:t>
      </w:r>
      <w:r>
        <w:rPr>
          <w:spacing w:val="-6"/>
          <w:sz w:val="18"/>
        </w:rPr>
        <w:t xml:space="preserve"> </w:t>
      </w:r>
      <w:r>
        <w:rPr>
          <w:sz w:val="18"/>
        </w:rPr>
        <w:t>II,</w:t>
      </w:r>
      <w:r>
        <w:rPr>
          <w:spacing w:val="-6"/>
          <w:sz w:val="18"/>
        </w:rPr>
        <w:t xml:space="preserve"> </w:t>
      </w:r>
      <w:r>
        <w:rPr>
          <w:sz w:val="18"/>
        </w:rPr>
        <w:t>of</w:t>
      </w:r>
      <w:r>
        <w:rPr>
          <w:spacing w:val="-5"/>
          <w:sz w:val="18"/>
        </w:rPr>
        <w:t xml:space="preserve"> </w:t>
      </w:r>
      <w:r>
        <w:rPr>
          <w:sz w:val="18"/>
        </w:rPr>
        <w:t>the</w:t>
      </w:r>
      <w:r>
        <w:rPr>
          <w:spacing w:val="-5"/>
          <w:sz w:val="18"/>
        </w:rPr>
        <w:t xml:space="preserve"> </w:t>
      </w:r>
      <w:r>
        <w:rPr>
          <w:sz w:val="18"/>
        </w:rPr>
        <w:t>Anti‐Dumping</w:t>
      </w:r>
      <w:r>
        <w:rPr>
          <w:spacing w:val="-5"/>
          <w:sz w:val="18"/>
        </w:rPr>
        <w:t xml:space="preserve"> </w:t>
      </w:r>
      <w:r>
        <w:rPr>
          <w:spacing w:val="-2"/>
          <w:sz w:val="18"/>
        </w:rPr>
        <w:t>Agreement.</w:t>
      </w:r>
    </w:p>
    <w:p w14:paraId="51DE97E4" w14:textId="77777777" w:rsidR="0010369C" w:rsidRDefault="008E43AE">
      <w:pPr>
        <w:ind w:left="238"/>
        <w:rPr>
          <w:sz w:val="18"/>
        </w:rPr>
      </w:pPr>
      <w:r>
        <w:rPr>
          <w:sz w:val="18"/>
          <w:vertAlign w:val="superscript"/>
        </w:rPr>
        <w:t>1064</w:t>
      </w:r>
      <w:r>
        <w:rPr>
          <w:spacing w:val="-5"/>
          <w:sz w:val="18"/>
        </w:rPr>
        <w:t xml:space="preserve"> </w:t>
      </w:r>
      <w:r>
        <w:rPr>
          <w:sz w:val="18"/>
        </w:rPr>
        <w:t>Appellate</w:t>
      </w:r>
      <w:r>
        <w:rPr>
          <w:spacing w:val="-5"/>
          <w:sz w:val="18"/>
        </w:rPr>
        <w:t xml:space="preserve"> </w:t>
      </w:r>
      <w:r>
        <w:rPr>
          <w:sz w:val="18"/>
        </w:rPr>
        <w:t>Body</w:t>
      </w:r>
      <w:r>
        <w:rPr>
          <w:spacing w:val="-7"/>
          <w:sz w:val="18"/>
        </w:rPr>
        <w:t xml:space="preserve"> </w:t>
      </w:r>
      <w:r>
        <w:rPr>
          <w:sz w:val="18"/>
        </w:rPr>
        <w:t>Report,</w:t>
      </w:r>
      <w:r>
        <w:rPr>
          <w:spacing w:val="-5"/>
          <w:sz w:val="18"/>
        </w:rPr>
        <w:t xml:space="preserve"> </w:t>
      </w:r>
      <w:r>
        <w:rPr>
          <w:i/>
          <w:sz w:val="18"/>
        </w:rPr>
        <w:t>US</w:t>
      </w:r>
      <w:r>
        <w:rPr>
          <w:i/>
          <w:spacing w:val="-5"/>
          <w:sz w:val="18"/>
        </w:rPr>
        <w:t xml:space="preserve"> </w:t>
      </w:r>
      <w:r>
        <w:rPr>
          <w:i/>
          <w:sz w:val="18"/>
        </w:rPr>
        <w:t>–</w:t>
      </w:r>
      <w:r>
        <w:rPr>
          <w:i/>
          <w:spacing w:val="-5"/>
          <w:sz w:val="18"/>
        </w:rPr>
        <w:t xml:space="preserve"> </w:t>
      </w:r>
      <w:r>
        <w:rPr>
          <w:i/>
          <w:sz w:val="18"/>
        </w:rPr>
        <w:t>Hot</w:t>
      </w:r>
      <w:r>
        <w:rPr>
          <w:i/>
          <w:spacing w:val="-4"/>
          <w:sz w:val="18"/>
        </w:rPr>
        <w:t xml:space="preserve"> </w:t>
      </w:r>
      <w:r>
        <w:rPr>
          <w:i/>
          <w:sz w:val="18"/>
        </w:rPr>
        <w:t>Rolled</w:t>
      </w:r>
      <w:r>
        <w:rPr>
          <w:i/>
          <w:spacing w:val="-5"/>
          <w:sz w:val="18"/>
        </w:rPr>
        <w:t xml:space="preserve"> </w:t>
      </w:r>
      <w:r>
        <w:rPr>
          <w:i/>
          <w:sz w:val="18"/>
        </w:rPr>
        <w:t>Steel</w:t>
      </w:r>
      <w:r>
        <w:rPr>
          <w:sz w:val="18"/>
        </w:rPr>
        <w:t>,</w:t>
      </w:r>
      <w:r>
        <w:rPr>
          <w:spacing w:val="-6"/>
          <w:sz w:val="18"/>
        </w:rPr>
        <w:t xml:space="preserve"> </w:t>
      </w:r>
      <w:r>
        <w:rPr>
          <w:sz w:val="18"/>
        </w:rPr>
        <w:t>para.</w:t>
      </w:r>
      <w:r>
        <w:rPr>
          <w:spacing w:val="-5"/>
          <w:sz w:val="18"/>
        </w:rPr>
        <w:t xml:space="preserve"> 82.</w:t>
      </w:r>
    </w:p>
    <w:p w14:paraId="51DE97E5" w14:textId="77777777" w:rsidR="0010369C" w:rsidRDefault="008E43AE">
      <w:pPr>
        <w:ind w:left="238"/>
        <w:rPr>
          <w:sz w:val="18"/>
        </w:rPr>
      </w:pPr>
      <w:r>
        <w:rPr>
          <w:sz w:val="18"/>
          <w:vertAlign w:val="superscript"/>
        </w:rPr>
        <w:t>1065</w:t>
      </w:r>
      <w:r>
        <w:rPr>
          <w:spacing w:val="-6"/>
          <w:sz w:val="18"/>
        </w:rPr>
        <w:t xml:space="preserve"> </w:t>
      </w:r>
      <w:r>
        <w:rPr>
          <w:sz w:val="18"/>
        </w:rPr>
        <w:t>Panel</w:t>
      </w:r>
      <w:r>
        <w:rPr>
          <w:spacing w:val="-6"/>
          <w:sz w:val="18"/>
        </w:rPr>
        <w:t xml:space="preserve"> </w:t>
      </w:r>
      <w:r>
        <w:rPr>
          <w:sz w:val="18"/>
        </w:rPr>
        <w:t>Report,</w:t>
      </w:r>
      <w:r>
        <w:rPr>
          <w:spacing w:val="-6"/>
          <w:sz w:val="18"/>
        </w:rPr>
        <w:t xml:space="preserve"> </w:t>
      </w:r>
      <w:r>
        <w:rPr>
          <w:i/>
          <w:sz w:val="18"/>
        </w:rPr>
        <w:t>Korea</w:t>
      </w:r>
      <w:r>
        <w:rPr>
          <w:i/>
          <w:spacing w:val="-6"/>
          <w:sz w:val="18"/>
        </w:rPr>
        <w:t xml:space="preserve"> </w:t>
      </w:r>
      <w:r>
        <w:rPr>
          <w:i/>
          <w:sz w:val="18"/>
        </w:rPr>
        <w:t>–</w:t>
      </w:r>
      <w:r>
        <w:rPr>
          <w:i/>
          <w:spacing w:val="-6"/>
          <w:sz w:val="18"/>
        </w:rPr>
        <w:t xml:space="preserve"> </w:t>
      </w:r>
      <w:r>
        <w:rPr>
          <w:i/>
          <w:sz w:val="18"/>
        </w:rPr>
        <w:t>Certain</w:t>
      </w:r>
      <w:r>
        <w:rPr>
          <w:i/>
          <w:spacing w:val="-5"/>
          <w:sz w:val="18"/>
        </w:rPr>
        <w:t xml:space="preserve"> </w:t>
      </w:r>
      <w:r>
        <w:rPr>
          <w:i/>
          <w:sz w:val="18"/>
        </w:rPr>
        <w:t>Paper</w:t>
      </w:r>
      <w:r>
        <w:rPr>
          <w:i/>
          <w:spacing w:val="-7"/>
          <w:sz w:val="18"/>
        </w:rPr>
        <w:t xml:space="preserve"> </w:t>
      </w:r>
      <w:r>
        <w:rPr>
          <w:i/>
          <w:sz w:val="18"/>
        </w:rPr>
        <w:t>(Article</w:t>
      </w:r>
      <w:r>
        <w:rPr>
          <w:i/>
          <w:spacing w:val="-5"/>
          <w:sz w:val="18"/>
        </w:rPr>
        <w:t xml:space="preserve"> </w:t>
      </w:r>
      <w:r>
        <w:rPr>
          <w:i/>
          <w:sz w:val="18"/>
        </w:rPr>
        <w:t>21.5)</w:t>
      </w:r>
      <w:r>
        <w:rPr>
          <w:sz w:val="18"/>
        </w:rPr>
        <w:t>,</w:t>
      </w:r>
      <w:r>
        <w:rPr>
          <w:spacing w:val="-7"/>
          <w:sz w:val="18"/>
        </w:rPr>
        <w:t xml:space="preserve"> </w:t>
      </w:r>
      <w:r>
        <w:rPr>
          <w:sz w:val="18"/>
        </w:rPr>
        <w:t>para.</w:t>
      </w:r>
      <w:r>
        <w:rPr>
          <w:spacing w:val="-5"/>
          <w:sz w:val="18"/>
        </w:rPr>
        <w:t xml:space="preserve"> </w:t>
      </w:r>
      <w:r>
        <w:rPr>
          <w:spacing w:val="-2"/>
          <w:sz w:val="18"/>
        </w:rPr>
        <w:t>6.80.</w:t>
      </w:r>
    </w:p>
    <w:p w14:paraId="51DE97E6" w14:textId="77777777" w:rsidR="0010369C" w:rsidRDefault="008E43AE">
      <w:pPr>
        <w:ind w:left="238"/>
        <w:rPr>
          <w:sz w:val="18"/>
        </w:rPr>
      </w:pPr>
      <w:r>
        <w:rPr>
          <w:sz w:val="18"/>
          <w:vertAlign w:val="superscript"/>
        </w:rPr>
        <w:t>1066</w:t>
      </w:r>
      <w:r>
        <w:rPr>
          <w:spacing w:val="-6"/>
          <w:sz w:val="18"/>
        </w:rPr>
        <w:t xml:space="preserve"> </w:t>
      </w:r>
      <w:r>
        <w:rPr>
          <w:sz w:val="18"/>
        </w:rPr>
        <w:t>Appellate</w:t>
      </w:r>
      <w:r>
        <w:rPr>
          <w:spacing w:val="-6"/>
          <w:sz w:val="18"/>
        </w:rPr>
        <w:t xml:space="preserve"> </w:t>
      </w:r>
      <w:r>
        <w:rPr>
          <w:sz w:val="18"/>
        </w:rPr>
        <w:t>Body</w:t>
      </w:r>
      <w:r>
        <w:rPr>
          <w:spacing w:val="-8"/>
          <w:sz w:val="18"/>
        </w:rPr>
        <w:t xml:space="preserve"> </w:t>
      </w:r>
      <w:r>
        <w:rPr>
          <w:sz w:val="18"/>
        </w:rPr>
        <w:t>Report,</w:t>
      </w:r>
      <w:r>
        <w:rPr>
          <w:spacing w:val="-6"/>
          <w:sz w:val="18"/>
        </w:rPr>
        <w:t xml:space="preserve"> </w:t>
      </w:r>
      <w:r>
        <w:rPr>
          <w:i/>
          <w:sz w:val="18"/>
        </w:rPr>
        <w:t>US</w:t>
      </w:r>
      <w:r>
        <w:rPr>
          <w:i/>
          <w:spacing w:val="-5"/>
          <w:sz w:val="18"/>
        </w:rPr>
        <w:t xml:space="preserve"> </w:t>
      </w:r>
      <w:r>
        <w:rPr>
          <w:i/>
          <w:sz w:val="18"/>
        </w:rPr>
        <w:t>–</w:t>
      </w:r>
      <w:r>
        <w:rPr>
          <w:i/>
          <w:spacing w:val="-6"/>
          <w:sz w:val="18"/>
        </w:rPr>
        <w:t xml:space="preserve"> </w:t>
      </w:r>
      <w:r>
        <w:rPr>
          <w:i/>
          <w:sz w:val="18"/>
        </w:rPr>
        <w:t>Oil</w:t>
      </w:r>
      <w:r>
        <w:rPr>
          <w:i/>
          <w:spacing w:val="-6"/>
          <w:sz w:val="18"/>
        </w:rPr>
        <w:t xml:space="preserve"> </w:t>
      </w:r>
      <w:r>
        <w:rPr>
          <w:i/>
          <w:sz w:val="18"/>
        </w:rPr>
        <w:t>Country</w:t>
      </w:r>
      <w:r>
        <w:rPr>
          <w:i/>
          <w:spacing w:val="-6"/>
          <w:sz w:val="18"/>
        </w:rPr>
        <w:t xml:space="preserve"> </w:t>
      </w:r>
      <w:r>
        <w:rPr>
          <w:i/>
          <w:sz w:val="18"/>
        </w:rPr>
        <w:t>Tubular</w:t>
      </w:r>
      <w:r>
        <w:rPr>
          <w:i/>
          <w:spacing w:val="-6"/>
          <w:sz w:val="18"/>
        </w:rPr>
        <w:t xml:space="preserve"> </w:t>
      </w:r>
      <w:r>
        <w:rPr>
          <w:i/>
          <w:sz w:val="18"/>
        </w:rPr>
        <w:t>Goods</w:t>
      </w:r>
      <w:r>
        <w:rPr>
          <w:i/>
          <w:spacing w:val="-7"/>
          <w:sz w:val="18"/>
        </w:rPr>
        <w:t xml:space="preserve"> </w:t>
      </w:r>
      <w:r>
        <w:rPr>
          <w:i/>
          <w:sz w:val="18"/>
        </w:rPr>
        <w:t>Sunset</w:t>
      </w:r>
      <w:r>
        <w:rPr>
          <w:i/>
          <w:spacing w:val="-6"/>
          <w:sz w:val="18"/>
        </w:rPr>
        <w:t xml:space="preserve"> </w:t>
      </w:r>
      <w:r>
        <w:rPr>
          <w:i/>
          <w:sz w:val="18"/>
        </w:rPr>
        <w:t>Reviews</w:t>
      </w:r>
      <w:r>
        <w:rPr>
          <w:sz w:val="18"/>
        </w:rPr>
        <w:t>,</w:t>
      </w:r>
      <w:r>
        <w:rPr>
          <w:spacing w:val="-7"/>
          <w:sz w:val="18"/>
        </w:rPr>
        <w:t xml:space="preserve"> </w:t>
      </w:r>
      <w:r>
        <w:rPr>
          <w:sz w:val="18"/>
        </w:rPr>
        <w:t>para.</w:t>
      </w:r>
      <w:r>
        <w:rPr>
          <w:spacing w:val="-6"/>
          <w:sz w:val="18"/>
        </w:rPr>
        <w:t xml:space="preserve"> </w:t>
      </w:r>
      <w:r>
        <w:rPr>
          <w:spacing w:val="-4"/>
          <w:sz w:val="18"/>
        </w:rPr>
        <w:t>241.</w:t>
      </w:r>
    </w:p>
    <w:p w14:paraId="51DE97E7" w14:textId="77777777" w:rsidR="0010369C" w:rsidRDefault="008E43AE">
      <w:pPr>
        <w:spacing w:before="1"/>
        <w:ind w:left="238"/>
        <w:rPr>
          <w:sz w:val="18"/>
        </w:rPr>
      </w:pPr>
      <w:r>
        <w:rPr>
          <w:sz w:val="18"/>
          <w:vertAlign w:val="superscript"/>
        </w:rPr>
        <w:t>1067</w:t>
      </w:r>
      <w:r>
        <w:rPr>
          <w:spacing w:val="-7"/>
          <w:sz w:val="18"/>
        </w:rPr>
        <w:t xml:space="preserve"> </w:t>
      </w:r>
      <w:r>
        <w:rPr>
          <w:sz w:val="18"/>
        </w:rPr>
        <w:t>Panel</w:t>
      </w:r>
      <w:r>
        <w:rPr>
          <w:spacing w:val="-7"/>
          <w:sz w:val="18"/>
        </w:rPr>
        <w:t xml:space="preserve"> </w:t>
      </w:r>
      <w:r>
        <w:rPr>
          <w:sz w:val="18"/>
        </w:rPr>
        <w:t>Reports,</w:t>
      </w:r>
      <w:r>
        <w:rPr>
          <w:spacing w:val="-6"/>
          <w:sz w:val="18"/>
        </w:rPr>
        <w:t xml:space="preserve"> </w:t>
      </w:r>
      <w:r>
        <w:rPr>
          <w:i/>
          <w:sz w:val="18"/>
        </w:rPr>
        <w:t>China</w:t>
      </w:r>
      <w:r>
        <w:rPr>
          <w:i/>
          <w:spacing w:val="-6"/>
          <w:sz w:val="18"/>
        </w:rPr>
        <w:t xml:space="preserve"> </w:t>
      </w:r>
      <w:r>
        <w:rPr>
          <w:i/>
          <w:sz w:val="18"/>
        </w:rPr>
        <w:t>–</w:t>
      </w:r>
      <w:r>
        <w:rPr>
          <w:i/>
          <w:spacing w:val="-6"/>
          <w:sz w:val="18"/>
        </w:rPr>
        <w:t xml:space="preserve"> </w:t>
      </w:r>
      <w:r>
        <w:rPr>
          <w:i/>
          <w:sz w:val="18"/>
        </w:rPr>
        <w:t>X‐Ray</w:t>
      </w:r>
      <w:r>
        <w:rPr>
          <w:i/>
          <w:spacing w:val="-7"/>
          <w:sz w:val="18"/>
        </w:rPr>
        <w:t xml:space="preserve"> </w:t>
      </w:r>
      <w:r>
        <w:rPr>
          <w:i/>
          <w:sz w:val="18"/>
        </w:rPr>
        <w:t>Equipment</w:t>
      </w:r>
      <w:r>
        <w:rPr>
          <w:sz w:val="18"/>
        </w:rPr>
        <w:t>,</w:t>
      </w:r>
      <w:r>
        <w:rPr>
          <w:spacing w:val="-7"/>
          <w:sz w:val="18"/>
        </w:rPr>
        <w:t xml:space="preserve"> </w:t>
      </w:r>
      <w:r>
        <w:rPr>
          <w:sz w:val="18"/>
        </w:rPr>
        <w:t>para.</w:t>
      </w:r>
      <w:r>
        <w:rPr>
          <w:spacing w:val="-6"/>
          <w:sz w:val="18"/>
        </w:rPr>
        <w:t xml:space="preserve"> </w:t>
      </w:r>
      <w:r>
        <w:rPr>
          <w:sz w:val="18"/>
        </w:rPr>
        <w:t>7.472;</w:t>
      </w:r>
      <w:r>
        <w:rPr>
          <w:spacing w:val="-7"/>
          <w:sz w:val="18"/>
        </w:rPr>
        <w:t xml:space="preserve"> </w:t>
      </w:r>
      <w:r>
        <w:rPr>
          <w:sz w:val="18"/>
        </w:rPr>
        <w:t>and</w:t>
      </w:r>
      <w:r>
        <w:rPr>
          <w:spacing w:val="-6"/>
          <w:sz w:val="18"/>
        </w:rPr>
        <w:t xml:space="preserve"> </w:t>
      </w:r>
      <w:r>
        <w:rPr>
          <w:i/>
          <w:sz w:val="18"/>
        </w:rPr>
        <w:t>EU</w:t>
      </w:r>
      <w:r>
        <w:rPr>
          <w:i/>
          <w:spacing w:val="-7"/>
          <w:sz w:val="18"/>
        </w:rPr>
        <w:t xml:space="preserve"> </w:t>
      </w:r>
      <w:r>
        <w:rPr>
          <w:i/>
          <w:sz w:val="18"/>
        </w:rPr>
        <w:t>–</w:t>
      </w:r>
      <w:r>
        <w:rPr>
          <w:i/>
          <w:spacing w:val="-6"/>
          <w:sz w:val="18"/>
        </w:rPr>
        <w:t xml:space="preserve"> </w:t>
      </w:r>
      <w:r>
        <w:rPr>
          <w:i/>
          <w:sz w:val="18"/>
        </w:rPr>
        <w:t>Footwear</w:t>
      </w:r>
      <w:r>
        <w:rPr>
          <w:i/>
          <w:spacing w:val="-7"/>
          <w:sz w:val="18"/>
        </w:rPr>
        <w:t xml:space="preserve"> </w:t>
      </w:r>
      <w:r>
        <w:rPr>
          <w:i/>
          <w:sz w:val="18"/>
        </w:rPr>
        <w:t>(China)</w:t>
      </w:r>
      <w:r>
        <w:rPr>
          <w:sz w:val="18"/>
        </w:rPr>
        <w:t>,</w:t>
      </w:r>
      <w:r>
        <w:rPr>
          <w:spacing w:val="-6"/>
          <w:sz w:val="18"/>
        </w:rPr>
        <w:t xml:space="preserve"> </w:t>
      </w:r>
      <w:r>
        <w:rPr>
          <w:sz w:val="18"/>
        </w:rPr>
        <w:t>para.</w:t>
      </w:r>
      <w:r>
        <w:rPr>
          <w:spacing w:val="-6"/>
          <w:sz w:val="18"/>
        </w:rPr>
        <w:t xml:space="preserve"> </w:t>
      </w:r>
      <w:r>
        <w:rPr>
          <w:spacing w:val="-2"/>
          <w:sz w:val="18"/>
        </w:rPr>
        <w:t>7.844.</w:t>
      </w:r>
    </w:p>
    <w:p w14:paraId="51DE97E8" w14:textId="77777777" w:rsidR="0010369C" w:rsidRDefault="008E43AE">
      <w:pPr>
        <w:ind w:left="238" w:right="612" w:hanging="1"/>
        <w:jc w:val="both"/>
        <w:rPr>
          <w:sz w:val="18"/>
        </w:rPr>
      </w:pPr>
      <w:r>
        <w:rPr>
          <w:sz w:val="18"/>
          <w:vertAlign w:val="superscript"/>
        </w:rPr>
        <w:t>1068</w:t>
      </w:r>
      <w:r>
        <w:rPr>
          <w:spacing w:val="-2"/>
          <w:sz w:val="18"/>
        </w:rPr>
        <w:t xml:space="preserve"> </w:t>
      </w:r>
      <w:r>
        <w:rPr>
          <w:sz w:val="18"/>
        </w:rPr>
        <w:t>Appellate</w:t>
      </w:r>
      <w:r>
        <w:rPr>
          <w:spacing w:val="-3"/>
          <w:sz w:val="18"/>
        </w:rPr>
        <w:t xml:space="preserve"> </w:t>
      </w:r>
      <w:r>
        <w:rPr>
          <w:sz w:val="18"/>
        </w:rPr>
        <w:t>Body</w:t>
      </w:r>
      <w:r>
        <w:rPr>
          <w:spacing w:val="-4"/>
          <w:sz w:val="18"/>
        </w:rPr>
        <w:t xml:space="preserve"> </w:t>
      </w:r>
      <w:r>
        <w:rPr>
          <w:sz w:val="18"/>
        </w:rPr>
        <w:t>Report,</w:t>
      </w:r>
      <w:r>
        <w:rPr>
          <w:spacing w:val="-2"/>
          <w:sz w:val="18"/>
        </w:rPr>
        <w:t xml:space="preserve"> </w:t>
      </w:r>
      <w:r>
        <w:rPr>
          <w:i/>
          <w:sz w:val="18"/>
        </w:rPr>
        <w:t>US</w:t>
      </w:r>
      <w:r>
        <w:rPr>
          <w:i/>
          <w:spacing w:val="-2"/>
          <w:sz w:val="18"/>
        </w:rPr>
        <w:t xml:space="preserve"> </w:t>
      </w:r>
      <w:r>
        <w:rPr>
          <w:i/>
          <w:sz w:val="18"/>
        </w:rPr>
        <w:t>–</w:t>
      </w:r>
      <w:r>
        <w:rPr>
          <w:i/>
          <w:spacing w:val="-2"/>
          <w:sz w:val="18"/>
        </w:rPr>
        <w:t xml:space="preserve"> </w:t>
      </w:r>
      <w:r>
        <w:rPr>
          <w:i/>
          <w:sz w:val="18"/>
        </w:rPr>
        <w:t>Wheat</w:t>
      </w:r>
      <w:r>
        <w:rPr>
          <w:i/>
          <w:spacing w:val="-3"/>
          <w:sz w:val="18"/>
        </w:rPr>
        <w:t xml:space="preserve"> </w:t>
      </w:r>
      <w:r>
        <w:rPr>
          <w:i/>
          <w:sz w:val="18"/>
        </w:rPr>
        <w:t>Gluten</w:t>
      </w:r>
      <w:r>
        <w:rPr>
          <w:sz w:val="18"/>
        </w:rPr>
        <w:t>,</w:t>
      </w:r>
      <w:r>
        <w:rPr>
          <w:spacing w:val="-3"/>
          <w:sz w:val="18"/>
        </w:rPr>
        <w:t xml:space="preserve"> </w:t>
      </w:r>
      <w:r>
        <w:rPr>
          <w:sz w:val="18"/>
        </w:rPr>
        <w:t>para.</w:t>
      </w:r>
      <w:r>
        <w:rPr>
          <w:spacing w:val="-3"/>
          <w:sz w:val="18"/>
        </w:rPr>
        <w:t xml:space="preserve"> </w:t>
      </w:r>
      <w:r>
        <w:rPr>
          <w:sz w:val="18"/>
        </w:rPr>
        <w:t>54.</w:t>
      </w:r>
      <w:r>
        <w:rPr>
          <w:spacing w:val="-2"/>
          <w:sz w:val="18"/>
        </w:rPr>
        <w:t xml:space="preserve"> </w:t>
      </w:r>
      <w:r>
        <w:rPr>
          <w:i/>
          <w:sz w:val="18"/>
        </w:rPr>
        <w:t>US</w:t>
      </w:r>
      <w:r>
        <w:rPr>
          <w:i/>
          <w:spacing w:val="-2"/>
          <w:sz w:val="18"/>
        </w:rPr>
        <w:t xml:space="preserve"> </w:t>
      </w:r>
      <w:r>
        <w:rPr>
          <w:i/>
          <w:sz w:val="18"/>
        </w:rPr>
        <w:t>–</w:t>
      </w:r>
      <w:r>
        <w:rPr>
          <w:i/>
          <w:spacing w:val="-3"/>
          <w:sz w:val="18"/>
        </w:rPr>
        <w:t xml:space="preserve"> </w:t>
      </w:r>
      <w:r>
        <w:rPr>
          <w:i/>
          <w:sz w:val="18"/>
        </w:rPr>
        <w:t>Wheat</w:t>
      </w:r>
      <w:r>
        <w:rPr>
          <w:i/>
          <w:spacing w:val="-3"/>
          <w:sz w:val="18"/>
        </w:rPr>
        <w:t xml:space="preserve"> </w:t>
      </w:r>
      <w:r>
        <w:rPr>
          <w:i/>
          <w:sz w:val="18"/>
        </w:rPr>
        <w:t>Gluten</w:t>
      </w:r>
      <w:r>
        <w:rPr>
          <w:i/>
          <w:spacing w:val="-3"/>
          <w:sz w:val="18"/>
        </w:rPr>
        <w:t xml:space="preserve"> </w:t>
      </w:r>
      <w:r>
        <w:rPr>
          <w:sz w:val="18"/>
        </w:rPr>
        <w:t>considers</w:t>
      </w:r>
      <w:r>
        <w:rPr>
          <w:spacing w:val="-3"/>
          <w:sz w:val="18"/>
        </w:rPr>
        <w:t xml:space="preserve"> </w:t>
      </w:r>
      <w:r>
        <w:rPr>
          <w:sz w:val="18"/>
        </w:rPr>
        <w:t>the</w:t>
      </w:r>
      <w:r>
        <w:rPr>
          <w:spacing w:val="-2"/>
          <w:sz w:val="18"/>
        </w:rPr>
        <w:t xml:space="preserve"> </w:t>
      </w:r>
      <w:r>
        <w:rPr>
          <w:sz w:val="18"/>
        </w:rPr>
        <w:t>investigation</w:t>
      </w:r>
      <w:r>
        <w:rPr>
          <w:spacing w:val="-1"/>
          <w:sz w:val="18"/>
        </w:rPr>
        <w:t xml:space="preserve"> </w:t>
      </w:r>
      <w:r>
        <w:rPr>
          <w:sz w:val="18"/>
        </w:rPr>
        <w:t>requirements</w:t>
      </w:r>
      <w:r>
        <w:rPr>
          <w:spacing w:val="-4"/>
          <w:sz w:val="18"/>
        </w:rPr>
        <w:t xml:space="preserve"> </w:t>
      </w:r>
      <w:r>
        <w:rPr>
          <w:sz w:val="18"/>
        </w:rPr>
        <w:t>under the</w:t>
      </w:r>
      <w:r>
        <w:rPr>
          <w:spacing w:val="-2"/>
          <w:sz w:val="18"/>
        </w:rPr>
        <w:t xml:space="preserve"> </w:t>
      </w:r>
      <w:r>
        <w:rPr>
          <w:i/>
          <w:sz w:val="18"/>
        </w:rPr>
        <w:t>Agreement</w:t>
      </w:r>
      <w:r>
        <w:rPr>
          <w:i/>
          <w:spacing w:val="-1"/>
          <w:sz w:val="18"/>
        </w:rPr>
        <w:t xml:space="preserve"> </w:t>
      </w:r>
      <w:r>
        <w:rPr>
          <w:i/>
          <w:sz w:val="18"/>
        </w:rPr>
        <w:t>on Safeguards</w:t>
      </w:r>
      <w:r>
        <w:rPr>
          <w:i/>
          <w:spacing w:val="-2"/>
          <w:sz w:val="18"/>
        </w:rPr>
        <w:t xml:space="preserve"> </w:t>
      </w:r>
      <w:r>
        <w:rPr>
          <w:sz w:val="18"/>
        </w:rPr>
        <w:t>rather than the</w:t>
      </w:r>
      <w:r>
        <w:rPr>
          <w:spacing w:val="-2"/>
          <w:sz w:val="18"/>
        </w:rPr>
        <w:t xml:space="preserve"> </w:t>
      </w:r>
      <w:r>
        <w:rPr>
          <w:i/>
          <w:sz w:val="18"/>
        </w:rPr>
        <w:t>Anti‐Dumping Agreement</w:t>
      </w:r>
      <w:r>
        <w:rPr>
          <w:sz w:val="18"/>
        </w:rPr>
        <w:t>, but we</w:t>
      </w:r>
      <w:r>
        <w:rPr>
          <w:spacing w:val="-1"/>
          <w:sz w:val="18"/>
        </w:rPr>
        <w:t xml:space="preserve"> </w:t>
      </w:r>
      <w:r>
        <w:rPr>
          <w:sz w:val="18"/>
        </w:rPr>
        <w:t>consider</w:t>
      </w:r>
      <w:r>
        <w:rPr>
          <w:spacing w:val="-1"/>
          <w:sz w:val="18"/>
        </w:rPr>
        <w:t xml:space="preserve"> </w:t>
      </w:r>
      <w:r>
        <w:rPr>
          <w:sz w:val="18"/>
        </w:rPr>
        <w:t>it is relevant</w:t>
      </w:r>
      <w:r>
        <w:rPr>
          <w:spacing w:val="-1"/>
          <w:sz w:val="18"/>
        </w:rPr>
        <w:t xml:space="preserve"> </w:t>
      </w:r>
      <w:r>
        <w:rPr>
          <w:sz w:val="18"/>
        </w:rPr>
        <w:t xml:space="preserve">jurisprudence for the purposes of the </w:t>
      </w:r>
      <w:r>
        <w:rPr>
          <w:i/>
          <w:sz w:val="18"/>
        </w:rPr>
        <w:t>Anti‐Dumping Agreement</w:t>
      </w:r>
      <w:r>
        <w:rPr>
          <w:sz w:val="18"/>
        </w:rPr>
        <w:t>.</w:t>
      </w:r>
    </w:p>
    <w:p w14:paraId="51DE97E9" w14:textId="77777777" w:rsidR="0010369C" w:rsidRDefault="0010369C">
      <w:pPr>
        <w:jc w:val="both"/>
        <w:rPr>
          <w:sz w:val="18"/>
        </w:rPr>
        <w:sectPr w:rsidR="0010369C">
          <w:pgSz w:w="11910" w:h="16840"/>
          <w:pgMar w:top="880" w:right="800" w:bottom="980" w:left="1180" w:header="569" w:footer="788" w:gutter="0"/>
          <w:cols w:space="720"/>
        </w:sectPr>
      </w:pPr>
    </w:p>
    <w:p w14:paraId="51DE97EA" w14:textId="77777777" w:rsidR="0010369C" w:rsidRDefault="008E43AE">
      <w:pPr>
        <w:tabs>
          <w:tab w:val="left" w:pos="6426"/>
        </w:tabs>
        <w:ind w:left="238"/>
        <w:jc w:val="both"/>
        <w:rPr>
          <w:sz w:val="20"/>
        </w:rPr>
      </w:pPr>
      <w:r>
        <w:rPr>
          <w:i/>
          <w:sz w:val="20"/>
        </w:rPr>
        <w:lastRenderedPageBreak/>
        <w:t>China</w:t>
      </w:r>
      <w:r>
        <w:rPr>
          <w:i/>
          <w:spacing w:val="-5"/>
          <w:sz w:val="20"/>
        </w:rPr>
        <w:t xml:space="preserve"> </w:t>
      </w:r>
      <w:r>
        <w:rPr>
          <w:i/>
          <w:sz w:val="20"/>
        </w:rPr>
        <w:t>–</w:t>
      </w:r>
      <w:r>
        <w:rPr>
          <w:i/>
          <w:spacing w:val="-5"/>
          <w:sz w:val="20"/>
        </w:rPr>
        <w:t xml:space="preserve"> </w:t>
      </w:r>
      <w:r>
        <w:rPr>
          <w:i/>
          <w:sz w:val="20"/>
        </w:rPr>
        <w:t>Anti‐Dumping</w:t>
      </w:r>
      <w:r>
        <w:rPr>
          <w:i/>
          <w:spacing w:val="-4"/>
          <w:sz w:val="20"/>
        </w:rPr>
        <w:t xml:space="preserve"> </w:t>
      </w:r>
      <w:r>
        <w:rPr>
          <w:i/>
          <w:sz w:val="20"/>
        </w:rPr>
        <w:t>and</w:t>
      </w:r>
      <w:r>
        <w:rPr>
          <w:i/>
          <w:spacing w:val="-5"/>
          <w:sz w:val="20"/>
        </w:rPr>
        <w:t xml:space="preserve"> </w:t>
      </w:r>
      <w:r>
        <w:rPr>
          <w:i/>
          <w:sz w:val="20"/>
        </w:rPr>
        <w:t>Countervailing</w:t>
      </w:r>
      <w:r>
        <w:rPr>
          <w:i/>
          <w:spacing w:val="-5"/>
          <w:sz w:val="20"/>
        </w:rPr>
        <w:t xml:space="preserve"> </w:t>
      </w:r>
      <w:r>
        <w:rPr>
          <w:i/>
          <w:sz w:val="20"/>
        </w:rPr>
        <w:t>Duty</w:t>
      </w:r>
      <w:r>
        <w:rPr>
          <w:i/>
          <w:spacing w:val="-4"/>
          <w:sz w:val="20"/>
        </w:rPr>
        <w:t xml:space="preserve"> </w:t>
      </w:r>
      <w:r>
        <w:rPr>
          <w:i/>
          <w:spacing w:val="-2"/>
          <w:sz w:val="20"/>
        </w:rPr>
        <w:t>Measures</w:t>
      </w:r>
      <w:r>
        <w:rPr>
          <w:i/>
          <w:sz w:val="20"/>
        </w:rPr>
        <w:tab/>
      </w:r>
      <w:r>
        <w:rPr>
          <w:sz w:val="20"/>
        </w:rPr>
        <w:t>Australia's</w:t>
      </w:r>
      <w:r>
        <w:rPr>
          <w:spacing w:val="-7"/>
          <w:sz w:val="20"/>
        </w:rPr>
        <w:t xml:space="preserve"> </w:t>
      </w:r>
      <w:r>
        <w:rPr>
          <w:sz w:val="20"/>
        </w:rPr>
        <w:t>First</w:t>
      </w:r>
      <w:r>
        <w:rPr>
          <w:spacing w:val="-2"/>
          <w:sz w:val="20"/>
        </w:rPr>
        <w:t xml:space="preserve"> </w:t>
      </w:r>
      <w:r>
        <w:rPr>
          <w:sz w:val="20"/>
        </w:rPr>
        <w:t>Written</w:t>
      </w:r>
      <w:r>
        <w:rPr>
          <w:spacing w:val="-2"/>
          <w:sz w:val="20"/>
        </w:rPr>
        <w:t xml:space="preserve"> Submission</w:t>
      </w:r>
    </w:p>
    <w:p w14:paraId="51DE97EB" w14:textId="77777777" w:rsidR="0010369C" w:rsidRDefault="008E43AE">
      <w:pPr>
        <w:tabs>
          <w:tab w:val="left" w:pos="8228"/>
        </w:tabs>
        <w:spacing w:before="1"/>
        <w:ind w:left="239"/>
        <w:jc w:val="both"/>
        <w:rPr>
          <w:sz w:val="20"/>
        </w:rPr>
      </w:pPr>
      <w:r>
        <w:rPr>
          <w:i/>
          <w:sz w:val="20"/>
        </w:rPr>
        <w:t>on</w:t>
      </w:r>
      <w:r>
        <w:rPr>
          <w:i/>
          <w:spacing w:val="-1"/>
          <w:sz w:val="20"/>
        </w:rPr>
        <w:t xml:space="preserve"> </w:t>
      </w:r>
      <w:r>
        <w:rPr>
          <w:i/>
          <w:sz w:val="20"/>
        </w:rPr>
        <w:t>Wine</w:t>
      </w:r>
      <w:r>
        <w:rPr>
          <w:i/>
          <w:spacing w:val="-1"/>
          <w:sz w:val="20"/>
        </w:rPr>
        <w:t xml:space="preserve"> </w:t>
      </w:r>
      <w:r>
        <w:rPr>
          <w:i/>
          <w:sz w:val="20"/>
        </w:rPr>
        <w:t>from</w:t>
      </w:r>
      <w:r>
        <w:rPr>
          <w:i/>
          <w:spacing w:val="-3"/>
          <w:sz w:val="20"/>
        </w:rPr>
        <w:t xml:space="preserve"> </w:t>
      </w:r>
      <w:r>
        <w:rPr>
          <w:i/>
          <w:sz w:val="20"/>
        </w:rPr>
        <w:t>Australia</w:t>
      </w:r>
      <w:r>
        <w:rPr>
          <w:i/>
          <w:spacing w:val="-1"/>
          <w:sz w:val="20"/>
        </w:rPr>
        <w:t xml:space="preserve"> </w:t>
      </w:r>
      <w:r>
        <w:rPr>
          <w:spacing w:val="-2"/>
          <w:sz w:val="20"/>
        </w:rPr>
        <w:t>(DS602)</w:t>
      </w:r>
      <w:r>
        <w:rPr>
          <w:sz w:val="20"/>
        </w:rPr>
        <w:tab/>
        <w:t>29</w:t>
      </w:r>
      <w:r>
        <w:rPr>
          <w:spacing w:val="-1"/>
          <w:sz w:val="20"/>
        </w:rPr>
        <w:t xml:space="preserve"> </w:t>
      </w:r>
      <w:r>
        <w:rPr>
          <w:sz w:val="20"/>
        </w:rPr>
        <w:t>April</w:t>
      </w:r>
      <w:r>
        <w:rPr>
          <w:spacing w:val="-2"/>
          <w:sz w:val="20"/>
        </w:rPr>
        <w:t xml:space="preserve"> </w:t>
      </w:r>
      <w:r>
        <w:rPr>
          <w:spacing w:val="-4"/>
          <w:sz w:val="20"/>
        </w:rPr>
        <w:t>2022</w:t>
      </w:r>
    </w:p>
    <w:p w14:paraId="51DE97EC" w14:textId="77777777" w:rsidR="0010369C" w:rsidRDefault="008E43AE">
      <w:pPr>
        <w:pStyle w:val="BodyText"/>
        <w:spacing w:before="34" w:line="360" w:lineRule="auto"/>
        <w:ind w:left="238" w:right="614"/>
        <w:jc w:val="both"/>
      </w:pPr>
      <w:r>
        <w:t>MOFCOM failed to grant extension requests for which due cause was shown, even though it was clearly practicable for MOFCOM to do so. MOFCOM also failed to engage meaningfully with information provided by interested parties.</w:t>
      </w:r>
    </w:p>
    <w:p w14:paraId="51DE97ED" w14:textId="77777777" w:rsidR="0010369C" w:rsidRDefault="0010369C">
      <w:pPr>
        <w:pStyle w:val="BodyText"/>
        <w:spacing w:before="11"/>
        <w:rPr>
          <w:sz w:val="8"/>
        </w:rPr>
      </w:pPr>
    </w:p>
    <w:p w14:paraId="51DE97EE" w14:textId="77777777" w:rsidR="0010369C" w:rsidRDefault="008E43AE">
      <w:pPr>
        <w:pStyle w:val="BodyText"/>
        <w:spacing w:before="52" w:line="360" w:lineRule="auto"/>
        <w:ind w:left="236" w:right="613" w:firstLine="852"/>
        <w:jc w:val="both"/>
      </w:pPr>
      <w:r>
        <w:rPr>
          <w:noProof/>
        </w:rPr>
        <w:drawing>
          <wp:anchor distT="0" distB="0" distL="0" distR="0" simplePos="0" relativeHeight="251494912" behindDoc="1" locked="0" layoutInCell="1" allowOverlap="1" wp14:anchorId="51DEA799" wp14:editId="51DEA79A">
            <wp:simplePos x="0" y="0"/>
            <wp:positionH relativeFrom="page">
              <wp:posOffset>902208</wp:posOffset>
            </wp:positionH>
            <wp:positionV relativeFrom="paragraph">
              <wp:posOffset>80595</wp:posOffset>
            </wp:positionV>
            <wp:extent cx="262127" cy="103631"/>
            <wp:effectExtent l="0" t="0" r="0" b="0"/>
            <wp:wrapNone/>
            <wp:docPr id="1759" name="image9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 name="image907.png"/>
                    <pic:cNvPicPr/>
                  </pic:nvPicPr>
                  <pic:blipFill>
                    <a:blip r:embed="rId1176" cstate="print"/>
                    <a:stretch>
                      <a:fillRect/>
                    </a:stretch>
                  </pic:blipFill>
                  <pic:spPr>
                    <a:xfrm>
                      <a:off x="0" y="0"/>
                      <a:ext cx="262127" cy="103631"/>
                    </a:xfrm>
                    <a:prstGeom prst="rect">
                      <a:avLst/>
                    </a:prstGeom>
                  </pic:spPr>
                </pic:pic>
              </a:graphicData>
            </a:graphic>
          </wp:anchor>
        </w:drawing>
      </w:r>
      <w:r>
        <w:t>As a consequence, MOFCOM acted</w:t>
      </w:r>
      <w:r>
        <w:t xml:space="preserve"> inconsistently with Articles 6.1 and 6.2 by failing to provide interested parties with (i) ample opportunity to present in writing all evidence which</w:t>
      </w:r>
      <w:r>
        <w:rPr>
          <w:spacing w:val="-7"/>
        </w:rPr>
        <w:t xml:space="preserve"> </w:t>
      </w:r>
      <w:r>
        <w:t>they</w:t>
      </w:r>
      <w:r>
        <w:rPr>
          <w:spacing w:val="-6"/>
        </w:rPr>
        <w:t xml:space="preserve"> </w:t>
      </w:r>
      <w:r>
        <w:t>considered</w:t>
      </w:r>
      <w:r>
        <w:rPr>
          <w:spacing w:val="-6"/>
        </w:rPr>
        <w:t xml:space="preserve"> </w:t>
      </w:r>
      <w:r>
        <w:t>relevant</w:t>
      </w:r>
      <w:r>
        <w:rPr>
          <w:spacing w:val="-6"/>
        </w:rPr>
        <w:t xml:space="preserve"> </w:t>
      </w:r>
      <w:r>
        <w:t>to</w:t>
      </w:r>
      <w:r>
        <w:rPr>
          <w:spacing w:val="-6"/>
        </w:rPr>
        <w:t xml:space="preserve"> </w:t>
      </w:r>
      <w:r>
        <w:t>the</w:t>
      </w:r>
      <w:r>
        <w:rPr>
          <w:spacing w:val="-6"/>
        </w:rPr>
        <w:t xml:space="preserve"> </w:t>
      </w:r>
      <w:r>
        <w:t>investigation,</w:t>
      </w:r>
      <w:r>
        <w:rPr>
          <w:spacing w:val="-5"/>
        </w:rPr>
        <w:t xml:space="preserve"> </w:t>
      </w:r>
      <w:r>
        <w:t>and</w:t>
      </w:r>
      <w:r>
        <w:rPr>
          <w:spacing w:val="-6"/>
        </w:rPr>
        <w:t xml:space="preserve"> </w:t>
      </w:r>
      <w:r>
        <w:t>(ii)</w:t>
      </w:r>
      <w:r>
        <w:rPr>
          <w:spacing w:val="-6"/>
        </w:rPr>
        <w:t xml:space="preserve"> </w:t>
      </w:r>
      <w:r>
        <w:t>a</w:t>
      </w:r>
      <w:r>
        <w:rPr>
          <w:spacing w:val="-6"/>
        </w:rPr>
        <w:t xml:space="preserve"> </w:t>
      </w:r>
      <w:r>
        <w:t>full</w:t>
      </w:r>
      <w:r>
        <w:rPr>
          <w:spacing w:val="-6"/>
        </w:rPr>
        <w:t xml:space="preserve"> </w:t>
      </w:r>
      <w:r>
        <w:t>opportunity</w:t>
      </w:r>
      <w:r>
        <w:rPr>
          <w:spacing w:val="-5"/>
        </w:rPr>
        <w:t xml:space="preserve"> </w:t>
      </w:r>
      <w:r>
        <w:t>for</w:t>
      </w:r>
      <w:r>
        <w:rPr>
          <w:spacing w:val="-6"/>
        </w:rPr>
        <w:t xml:space="preserve"> </w:t>
      </w:r>
      <w:r>
        <w:t>the</w:t>
      </w:r>
      <w:r>
        <w:rPr>
          <w:spacing w:val="-6"/>
        </w:rPr>
        <w:t xml:space="preserve"> </w:t>
      </w:r>
      <w:r>
        <w:t>defence of their inter</w:t>
      </w:r>
      <w:r>
        <w:t>ests. This manifested not only in the specific instances set out below, but also when considering the totality of MOFCOM's conduct and management of the investigation.</w:t>
      </w:r>
    </w:p>
    <w:p w14:paraId="51DE97EF" w14:textId="77777777" w:rsidR="0010369C" w:rsidRDefault="008E43AE">
      <w:pPr>
        <w:pStyle w:val="Heading4"/>
        <w:numPr>
          <w:ilvl w:val="2"/>
          <w:numId w:val="75"/>
        </w:numPr>
        <w:tabs>
          <w:tab w:val="left" w:pos="2649"/>
          <w:tab w:val="left" w:pos="2650"/>
        </w:tabs>
        <w:spacing w:before="159" w:line="360" w:lineRule="auto"/>
        <w:ind w:right="614"/>
        <w:jc w:val="both"/>
      </w:pPr>
      <w:r>
        <w:t>MOFCOM failed to provide interested parties with ample opportunities to provide evidence</w:t>
      </w:r>
      <w:r>
        <w:t xml:space="preserve"> they considered relevant</w:t>
      </w:r>
    </w:p>
    <w:p w14:paraId="51DE97F0" w14:textId="77777777" w:rsidR="0010369C" w:rsidRDefault="008E43AE">
      <w:pPr>
        <w:pStyle w:val="ListParagraph"/>
        <w:numPr>
          <w:ilvl w:val="3"/>
          <w:numId w:val="75"/>
        </w:numPr>
        <w:tabs>
          <w:tab w:val="left" w:pos="3641"/>
          <w:tab w:val="left" w:pos="3642"/>
        </w:tabs>
        <w:spacing w:before="162"/>
        <w:ind w:left="3641" w:hanging="853"/>
        <w:jc w:val="both"/>
        <w:rPr>
          <w:sz w:val="24"/>
        </w:rPr>
      </w:pPr>
      <w:r>
        <w:rPr>
          <w:sz w:val="24"/>
          <w:u w:val="single"/>
        </w:rPr>
        <w:t>Extension</w:t>
      </w:r>
      <w:r>
        <w:rPr>
          <w:spacing w:val="-13"/>
          <w:sz w:val="24"/>
          <w:u w:val="single"/>
        </w:rPr>
        <w:t xml:space="preserve"> </w:t>
      </w:r>
      <w:r>
        <w:rPr>
          <w:sz w:val="24"/>
          <w:u w:val="single"/>
        </w:rPr>
        <w:t>requests</w:t>
      </w:r>
      <w:r>
        <w:rPr>
          <w:spacing w:val="-13"/>
          <w:sz w:val="24"/>
          <w:u w:val="single"/>
        </w:rPr>
        <w:t xml:space="preserve"> </w:t>
      </w:r>
      <w:r>
        <w:rPr>
          <w:sz w:val="24"/>
          <w:u w:val="single"/>
        </w:rPr>
        <w:t>for</w:t>
      </w:r>
      <w:r>
        <w:rPr>
          <w:spacing w:val="-13"/>
          <w:sz w:val="24"/>
          <w:u w:val="single"/>
        </w:rPr>
        <w:t xml:space="preserve"> </w:t>
      </w:r>
      <w:r>
        <w:rPr>
          <w:sz w:val="24"/>
          <w:u w:val="single"/>
        </w:rPr>
        <w:t>questionnaire</w:t>
      </w:r>
      <w:r>
        <w:rPr>
          <w:spacing w:val="-12"/>
          <w:sz w:val="24"/>
          <w:u w:val="single"/>
        </w:rPr>
        <w:t xml:space="preserve"> </w:t>
      </w:r>
      <w:r>
        <w:rPr>
          <w:spacing w:val="-2"/>
          <w:sz w:val="24"/>
          <w:u w:val="single"/>
        </w:rPr>
        <w:t>responses</w:t>
      </w:r>
    </w:p>
    <w:p w14:paraId="51DE97F1" w14:textId="77777777" w:rsidR="0010369C" w:rsidRDefault="0010369C">
      <w:pPr>
        <w:pStyle w:val="BodyText"/>
        <w:spacing w:before="9"/>
        <w:rPr>
          <w:sz w:val="20"/>
        </w:rPr>
      </w:pPr>
    </w:p>
    <w:p w14:paraId="51DE97F2" w14:textId="77777777" w:rsidR="0010369C" w:rsidRDefault="008E43AE">
      <w:pPr>
        <w:pStyle w:val="BodyText"/>
        <w:spacing w:before="51" w:line="360" w:lineRule="auto"/>
        <w:ind w:left="236" w:right="614" w:firstLine="853"/>
        <w:jc w:val="both"/>
      </w:pPr>
      <w:r>
        <w:rPr>
          <w:noProof/>
        </w:rPr>
        <w:drawing>
          <wp:anchor distT="0" distB="0" distL="0" distR="0" simplePos="0" relativeHeight="251495936" behindDoc="1" locked="0" layoutInCell="1" allowOverlap="1" wp14:anchorId="51DEA79B" wp14:editId="51DEA79C">
            <wp:simplePos x="0" y="0"/>
            <wp:positionH relativeFrom="page">
              <wp:posOffset>902208</wp:posOffset>
            </wp:positionH>
            <wp:positionV relativeFrom="paragraph">
              <wp:posOffset>76150</wp:posOffset>
            </wp:positionV>
            <wp:extent cx="262127" cy="106679"/>
            <wp:effectExtent l="0" t="0" r="0" b="0"/>
            <wp:wrapNone/>
            <wp:docPr id="1761" name="image9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 name="image908.png"/>
                    <pic:cNvPicPr/>
                  </pic:nvPicPr>
                  <pic:blipFill>
                    <a:blip r:embed="rId1177" cstate="print"/>
                    <a:stretch>
                      <a:fillRect/>
                    </a:stretch>
                  </pic:blipFill>
                  <pic:spPr>
                    <a:xfrm>
                      <a:off x="0" y="0"/>
                      <a:ext cx="262127" cy="106679"/>
                    </a:xfrm>
                    <a:prstGeom prst="rect">
                      <a:avLst/>
                    </a:prstGeom>
                  </pic:spPr>
                </pic:pic>
              </a:graphicData>
            </a:graphic>
          </wp:anchor>
        </w:drawing>
      </w:r>
      <w:r>
        <w:t>Pursuant to Article 6.1 of the Anti‐Dumping Agreement, interested parties must be given ample opportunity to present in writing all evidence they consider relevant. Implicit in the</w:t>
      </w:r>
      <w:r>
        <w:rPr>
          <w:spacing w:val="-12"/>
        </w:rPr>
        <w:t xml:space="preserve"> </w:t>
      </w:r>
      <w:r>
        <w:t>right</w:t>
      </w:r>
      <w:r>
        <w:rPr>
          <w:spacing w:val="-13"/>
        </w:rPr>
        <w:t xml:space="preserve"> </w:t>
      </w:r>
      <w:r>
        <w:t>to</w:t>
      </w:r>
      <w:r>
        <w:rPr>
          <w:spacing w:val="-12"/>
        </w:rPr>
        <w:t xml:space="preserve"> </w:t>
      </w:r>
      <w:r>
        <w:t>present</w:t>
      </w:r>
      <w:r>
        <w:rPr>
          <w:spacing w:val="-12"/>
        </w:rPr>
        <w:t xml:space="preserve"> </w:t>
      </w:r>
      <w:r>
        <w:t>evidence</w:t>
      </w:r>
      <w:r>
        <w:rPr>
          <w:spacing w:val="-12"/>
        </w:rPr>
        <w:t xml:space="preserve"> </w:t>
      </w:r>
      <w:r>
        <w:t>is</w:t>
      </w:r>
      <w:r>
        <w:rPr>
          <w:spacing w:val="-13"/>
        </w:rPr>
        <w:t xml:space="preserve"> </w:t>
      </w:r>
      <w:r>
        <w:t>being</w:t>
      </w:r>
      <w:r>
        <w:rPr>
          <w:spacing w:val="-12"/>
        </w:rPr>
        <w:t xml:space="preserve"> </w:t>
      </w:r>
      <w:r>
        <w:t>granted</w:t>
      </w:r>
      <w:r>
        <w:rPr>
          <w:spacing w:val="-13"/>
        </w:rPr>
        <w:t xml:space="preserve"> </w:t>
      </w:r>
      <w:r>
        <w:t>the</w:t>
      </w:r>
      <w:r>
        <w:rPr>
          <w:spacing w:val="-12"/>
        </w:rPr>
        <w:t xml:space="preserve"> </w:t>
      </w:r>
      <w:r>
        <w:t>time</w:t>
      </w:r>
      <w:r>
        <w:rPr>
          <w:spacing w:val="-12"/>
        </w:rPr>
        <w:t xml:space="preserve"> </w:t>
      </w:r>
      <w:r>
        <w:t>necessary</w:t>
      </w:r>
      <w:r>
        <w:rPr>
          <w:spacing w:val="-11"/>
        </w:rPr>
        <w:t xml:space="preserve"> </w:t>
      </w:r>
      <w:r>
        <w:t>to</w:t>
      </w:r>
      <w:r>
        <w:rPr>
          <w:spacing w:val="-12"/>
        </w:rPr>
        <w:t xml:space="preserve"> </w:t>
      </w:r>
      <w:r>
        <w:t>prepare</w:t>
      </w:r>
      <w:r>
        <w:rPr>
          <w:spacing w:val="-11"/>
        </w:rPr>
        <w:t xml:space="preserve"> </w:t>
      </w:r>
      <w:r>
        <w:t>that</w:t>
      </w:r>
      <w:r>
        <w:rPr>
          <w:spacing w:val="-12"/>
        </w:rPr>
        <w:t xml:space="preserve"> </w:t>
      </w:r>
      <w:r>
        <w:t>evidence.</w:t>
      </w:r>
      <w:r>
        <w:rPr>
          <w:vertAlign w:val="superscript"/>
        </w:rPr>
        <w:t>1069</w:t>
      </w:r>
      <w:r>
        <w:t xml:space="preserve"> Article</w:t>
      </w:r>
      <w:r>
        <w:rPr>
          <w:spacing w:val="-13"/>
        </w:rPr>
        <w:t xml:space="preserve"> </w:t>
      </w:r>
      <w:r>
        <w:t>6.1.1</w:t>
      </w:r>
      <w:r>
        <w:rPr>
          <w:spacing w:val="-12"/>
        </w:rPr>
        <w:t xml:space="preserve"> </w:t>
      </w:r>
      <w:r>
        <w:t>provides</w:t>
      </w:r>
      <w:r>
        <w:rPr>
          <w:spacing w:val="-13"/>
        </w:rPr>
        <w:t xml:space="preserve"> </w:t>
      </w:r>
      <w:r>
        <w:t>context</w:t>
      </w:r>
      <w:r>
        <w:rPr>
          <w:spacing w:val="-13"/>
        </w:rPr>
        <w:t xml:space="preserve"> </w:t>
      </w:r>
      <w:r>
        <w:t>for</w:t>
      </w:r>
      <w:r>
        <w:rPr>
          <w:spacing w:val="-12"/>
        </w:rPr>
        <w:t xml:space="preserve"> </w:t>
      </w:r>
      <w:r>
        <w:t>the</w:t>
      </w:r>
      <w:r>
        <w:rPr>
          <w:spacing w:val="-13"/>
        </w:rPr>
        <w:t xml:space="preserve"> </w:t>
      </w:r>
      <w:r>
        <w:t>interpretation</w:t>
      </w:r>
      <w:r>
        <w:rPr>
          <w:spacing w:val="-12"/>
        </w:rPr>
        <w:t xml:space="preserve"> </w:t>
      </w:r>
      <w:r>
        <w:t>of</w:t>
      </w:r>
      <w:r>
        <w:rPr>
          <w:spacing w:val="-13"/>
        </w:rPr>
        <w:t xml:space="preserve"> </w:t>
      </w:r>
      <w:r>
        <w:t>the</w:t>
      </w:r>
      <w:r>
        <w:rPr>
          <w:spacing w:val="-12"/>
        </w:rPr>
        <w:t xml:space="preserve"> </w:t>
      </w:r>
      <w:r>
        <w:t>scope</w:t>
      </w:r>
      <w:r>
        <w:rPr>
          <w:spacing w:val="-12"/>
        </w:rPr>
        <w:t xml:space="preserve"> </w:t>
      </w:r>
      <w:r>
        <w:t>of</w:t>
      </w:r>
      <w:r>
        <w:rPr>
          <w:spacing w:val="-13"/>
        </w:rPr>
        <w:t xml:space="preserve"> </w:t>
      </w:r>
      <w:r>
        <w:t>the</w:t>
      </w:r>
      <w:r>
        <w:rPr>
          <w:spacing w:val="-12"/>
        </w:rPr>
        <w:t xml:space="preserve"> </w:t>
      </w:r>
      <w:r>
        <w:t>obligation</w:t>
      </w:r>
      <w:r>
        <w:rPr>
          <w:spacing w:val="-12"/>
        </w:rPr>
        <w:t xml:space="preserve"> </w:t>
      </w:r>
      <w:r>
        <w:t>in</w:t>
      </w:r>
      <w:r>
        <w:rPr>
          <w:spacing w:val="-13"/>
        </w:rPr>
        <w:t xml:space="preserve"> </w:t>
      </w:r>
      <w:r>
        <w:t>Article</w:t>
      </w:r>
      <w:r>
        <w:rPr>
          <w:spacing w:val="-3"/>
        </w:rPr>
        <w:t xml:space="preserve"> </w:t>
      </w:r>
      <w:r>
        <w:t>6.1 that interested parties must be provided with "ample opportunity</w:t>
      </w:r>
      <w:r>
        <w:t>". Article 6.1.1 of the Anti‐Dumping</w:t>
      </w:r>
      <w:r>
        <w:rPr>
          <w:spacing w:val="-2"/>
        </w:rPr>
        <w:t xml:space="preserve"> </w:t>
      </w:r>
      <w:r>
        <w:t>Agreement provides that interested parties must be given at least 30 days to respond to the questionnaire from the date of its receipt, which is deemed to be seven days after the questionnaire was issued.</w:t>
      </w:r>
      <w:r>
        <w:rPr>
          <w:vertAlign w:val="superscript"/>
        </w:rPr>
        <w:t>1070</w:t>
      </w:r>
      <w:r>
        <w:t xml:space="preserve"> In additio</w:t>
      </w:r>
      <w:r>
        <w:t>n, Article 6.1.1 provides that due consideration should be given to any request for an extension and, upon cause shown, an extension should be granted whenever practicable.</w:t>
      </w:r>
    </w:p>
    <w:p w14:paraId="51DE97F3" w14:textId="77777777" w:rsidR="0010369C" w:rsidRDefault="0010369C">
      <w:pPr>
        <w:pStyle w:val="BodyText"/>
        <w:spacing w:before="12"/>
        <w:rPr>
          <w:sz w:val="8"/>
        </w:rPr>
      </w:pPr>
    </w:p>
    <w:p w14:paraId="51DE97F4" w14:textId="77777777" w:rsidR="0010369C" w:rsidRDefault="008E43AE">
      <w:pPr>
        <w:pStyle w:val="BodyText"/>
        <w:spacing w:before="51" w:line="360" w:lineRule="auto"/>
        <w:ind w:left="238" w:right="614" w:firstLine="851"/>
        <w:jc w:val="both"/>
      </w:pPr>
      <w:r>
        <w:rPr>
          <w:noProof/>
        </w:rPr>
        <w:drawing>
          <wp:anchor distT="0" distB="0" distL="0" distR="0" simplePos="0" relativeHeight="251496960" behindDoc="1" locked="0" layoutInCell="1" allowOverlap="1" wp14:anchorId="51DEA79D" wp14:editId="51DEA79E">
            <wp:simplePos x="0" y="0"/>
            <wp:positionH relativeFrom="page">
              <wp:posOffset>902208</wp:posOffset>
            </wp:positionH>
            <wp:positionV relativeFrom="paragraph">
              <wp:posOffset>76150</wp:posOffset>
            </wp:positionV>
            <wp:extent cx="262127" cy="106679"/>
            <wp:effectExtent l="0" t="0" r="0" b="0"/>
            <wp:wrapNone/>
            <wp:docPr id="1763" name="image9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 name="image909.png"/>
                    <pic:cNvPicPr/>
                  </pic:nvPicPr>
                  <pic:blipFill>
                    <a:blip r:embed="rId1178" cstate="print"/>
                    <a:stretch>
                      <a:fillRect/>
                    </a:stretch>
                  </pic:blipFill>
                  <pic:spPr>
                    <a:xfrm>
                      <a:off x="0" y="0"/>
                      <a:ext cx="262127" cy="106679"/>
                    </a:xfrm>
                    <a:prstGeom prst="rect">
                      <a:avLst/>
                    </a:prstGeom>
                  </pic:spPr>
                </pic:pic>
              </a:graphicData>
            </a:graphic>
          </wp:anchor>
        </w:drawing>
      </w:r>
      <w:r>
        <w:t>MOFCOM issued the Anti‐Dumping Questionnaire to Australian exporters and producers</w:t>
      </w:r>
      <w:r>
        <w:rPr>
          <w:spacing w:val="-4"/>
        </w:rPr>
        <w:t xml:space="preserve"> </w:t>
      </w:r>
      <w:r>
        <w:t>on</w:t>
      </w:r>
      <w:r>
        <w:rPr>
          <w:spacing w:val="-5"/>
        </w:rPr>
        <w:t xml:space="preserve"> </w:t>
      </w:r>
      <w:r>
        <w:t>10</w:t>
      </w:r>
      <w:r>
        <w:rPr>
          <w:spacing w:val="-3"/>
        </w:rPr>
        <w:t xml:space="preserve"> </w:t>
      </w:r>
      <w:r>
        <w:t>October</w:t>
      </w:r>
      <w:r>
        <w:rPr>
          <w:spacing w:val="-3"/>
        </w:rPr>
        <w:t xml:space="preserve"> </w:t>
      </w:r>
      <w:r>
        <w:t>2020.</w:t>
      </w:r>
      <w:r>
        <w:rPr>
          <w:spacing w:val="-4"/>
        </w:rPr>
        <w:t xml:space="preserve"> </w:t>
      </w:r>
      <w:r>
        <w:t>MOFCOM</w:t>
      </w:r>
      <w:r>
        <w:rPr>
          <w:spacing w:val="-5"/>
        </w:rPr>
        <w:t xml:space="preserve"> </w:t>
      </w:r>
      <w:r>
        <w:t>allowed</w:t>
      </w:r>
      <w:r>
        <w:rPr>
          <w:spacing w:val="-5"/>
        </w:rPr>
        <w:t xml:space="preserve"> </w:t>
      </w:r>
      <w:r>
        <w:t>37</w:t>
      </w:r>
      <w:r>
        <w:rPr>
          <w:spacing w:val="-4"/>
        </w:rPr>
        <w:t xml:space="preserve"> </w:t>
      </w:r>
      <w:r>
        <w:t>days</w:t>
      </w:r>
      <w:r>
        <w:rPr>
          <w:spacing w:val="-5"/>
        </w:rPr>
        <w:t xml:space="preserve"> </w:t>
      </w:r>
      <w:r>
        <w:t>for</w:t>
      </w:r>
      <w:r>
        <w:rPr>
          <w:spacing w:val="-4"/>
        </w:rPr>
        <w:t xml:space="preserve"> </w:t>
      </w:r>
      <w:r>
        <w:t>responses,</w:t>
      </w:r>
      <w:r>
        <w:rPr>
          <w:spacing w:val="-6"/>
        </w:rPr>
        <w:t xml:space="preserve"> </w:t>
      </w:r>
      <w:r>
        <w:t>being</w:t>
      </w:r>
      <w:r>
        <w:rPr>
          <w:spacing w:val="-5"/>
        </w:rPr>
        <w:t xml:space="preserve"> </w:t>
      </w:r>
      <w:r>
        <w:t>the</w:t>
      </w:r>
      <w:r>
        <w:rPr>
          <w:spacing w:val="-4"/>
        </w:rPr>
        <w:t xml:space="preserve"> </w:t>
      </w:r>
      <w:r>
        <w:t>minimum time allowed under the Anti‐Dumping Agreement.</w:t>
      </w:r>
    </w:p>
    <w:p w14:paraId="51DE97F5" w14:textId="77777777" w:rsidR="0010369C" w:rsidRDefault="0010369C">
      <w:pPr>
        <w:pStyle w:val="BodyText"/>
        <w:spacing w:before="11"/>
        <w:rPr>
          <w:sz w:val="8"/>
        </w:rPr>
      </w:pPr>
    </w:p>
    <w:p w14:paraId="51DE97F6" w14:textId="77777777" w:rsidR="0010369C" w:rsidRDefault="008E43AE">
      <w:pPr>
        <w:pStyle w:val="BodyText"/>
        <w:spacing w:before="52" w:line="360" w:lineRule="auto"/>
        <w:ind w:left="238" w:firstLine="850"/>
      </w:pPr>
      <w:r>
        <w:rPr>
          <w:noProof/>
        </w:rPr>
        <w:drawing>
          <wp:anchor distT="0" distB="0" distL="0" distR="0" simplePos="0" relativeHeight="251497984" behindDoc="1" locked="0" layoutInCell="1" allowOverlap="1" wp14:anchorId="51DEA79F" wp14:editId="51DEA7A0">
            <wp:simplePos x="0" y="0"/>
            <wp:positionH relativeFrom="page">
              <wp:posOffset>902208</wp:posOffset>
            </wp:positionH>
            <wp:positionV relativeFrom="paragraph">
              <wp:posOffset>76785</wp:posOffset>
            </wp:positionV>
            <wp:extent cx="262127" cy="106679"/>
            <wp:effectExtent l="0" t="0" r="0" b="0"/>
            <wp:wrapNone/>
            <wp:docPr id="1765" name="image9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 name="image910.png"/>
                    <pic:cNvPicPr/>
                  </pic:nvPicPr>
                  <pic:blipFill>
                    <a:blip r:embed="rId1179" cstate="print"/>
                    <a:stretch>
                      <a:fillRect/>
                    </a:stretch>
                  </pic:blipFill>
                  <pic:spPr>
                    <a:xfrm>
                      <a:off x="0" y="0"/>
                      <a:ext cx="262127" cy="106679"/>
                    </a:xfrm>
                    <a:prstGeom prst="rect">
                      <a:avLst/>
                    </a:prstGeom>
                  </pic:spPr>
                </pic:pic>
              </a:graphicData>
            </a:graphic>
          </wp:anchor>
        </w:drawing>
      </w:r>
      <w:r>
        <w:t>Two</w:t>
      </w:r>
      <w:r>
        <w:rPr>
          <w:spacing w:val="-10"/>
        </w:rPr>
        <w:t xml:space="preserve"> </w:t>
      </w:r>
      <w:r>
        <w:t>sampled</w:t>
      </w:r>
      <w:r>
        <w:rPr>
          <w:spacing w:val="-11"/>
        </w:rPr>
        <w:t xml:space="preserve"> </w:t>
      </w:r>
      <w:r>
        <w:t>Australian</w:t>
      </w:r>
      <w:r>
        <w:rPr>
          <w:spacing w:val="-13"/>
        </w:rPr>
        <w:t xml:space="preserve"> </w:t>
      </w:r>
      <w:r>
        <w:t>companies,</w:t>
      </w:r>
      <w:r>
        <w:rPr>
          <w:spacing w:val="-12"/>
        </w:rPr>
        <w:t xml:space="preserve"> </w:t>
      </w:r>
      <w:r>
        <w:t>Treasury</w:t>
      </w:r>
      <w:r>
        <w:rPr>
          <w:spacing w:val="-10"/>
        </w:rPr>
        <w:t xml:space="preserve"> </w:t>
      </w:r>
      <w:r>
        <w:t>Wines</w:t>
      </w:r>
      <w:r>
        <w:rPr>
          <w:spacing w:val="-11"/>
        </w:rPr>
        <w:t xml:space="preserve"> </w:t>
      </w:r>
      <w:r>
        <w:t>and</w:t>
      </w:r>
      <w:r>
        <w:rPr>
          <w:spacing w:val="-11"/>
        </w:rPr>
        <w:t xml:space="preserve"> </w:t>
      </w:r>
      <w:r>
        <w:t>Casella</w:t>
      </w:r>
      <w:r>
        <w:rPr>
          <w:spacing w:val="-10"/>
        </w:rPr>
        <w:t xml:space="preserve"> </w:t>
      </w:r>
      <w:r>
        <w:t>Wines,</w:t>
      </w:r>
      <w:r>
        <w:rPr>
          <w:spacing w:val="-11"/>
        </w:rPr>
        <w:t xml:space="preserve"> </w:t>
      </w:r>
      <w:r>
        <w:t>requested</w:t>
      </w:r>
      <w:r>
        <w:rPr>
          <w:spacing w:val="-12"/>
        </w:rPr>
        <w:t xml:space="preserve"> </w:t>
      </w:r>
      <w:r>
        <w:t>an extension</w:t>
      </w:r>
      <w:r>
        <w:rPr>
          <w:spacing w:val="41"/>
        </w:rPr>
        <w:t xml:space="preserve"> </w:t>
      </w:r>
      <w:r>
        <w:t>to</w:t>
      </w:r>
      <w:r>
        <w:rPr>
          <w:spacing w:val="44"/>
        </w:rPr>
        <w:t xml:space="preserve"> </w:t>
      </w:r>
      <w:r>
        <w:t>respond</w:t>
      </w:r>
      <w:r>
        <w:rPr>
          <w:spacing w:val="43"/>
        </w:rPr>
        <w:t xml:space="preserve"> </w:t>
      </w:r>
      <w:r>
        <w:t>to</w:t>
      </w:r>
      <w:r>
        <w:rPr>
          <w:spacing w:val="43"/>
        </w:rPr>
        <w:t xml:space="preserve"> </w:t>
      </w:r>
      <w:r>
        <w:t>the</w:t>
      </w:r>
      <w:r>
        <w:rPr>
          <w:spacing w:val="42"/>
        </w:rPr>
        <w:t xml:space="preserve"> </w:t>
      </w:r>
      <w:r>
        <w:t>Anti‐Dumping</w:t>
      </w:r>
      <w:r>
        <w:rPr>
          <w:spacing w:val="43"/>
        </w:rPr>
        <w:t xml:space="preserve"> </w:t>
      </w:r>
      <w:r>
        <w:t>Questionnaire.</w:t>
      </w:r>
      <w:r>
        <w:rPr>
          <w:spacing w:val="44"/>
        </w:rPr>
        <w:t xml:space="preserve"> </w:t>
      </w:r>
      <w:r>
        <w:t>Treasury</w:t>
      </w:r>
      <w:r>
        <w:rPr>
          <w:spacing w:val="41"/>
        </w:rPr>
        <w:t xml:space="preserve"> </w:t>
      </w:r>
      <w:r>
        <w:t>Wines</w:t>
      </w:r>
      <w:r>
        <w:rPr>
          <w:spacing w:val="42"/>
        </w:rPr>
        <w:t xml:space="preserve"> </w:t>
      </w:r>
      <w:r>
        <w:t>requested</w:t>
      </w:r>
      <w:r>
        <w:rPr>
          <w:spacing w:val="43"/>
        </w:rPr>
        <w:t xml:space="preserve"> </w:t>
      </w:r>
      <w:r>
        <w:rPr>
          <w:spacing w:val="-5"/>
        </w:rPr>
        <w:t>an</w:t>
      </w:r>
    </w:p>
    <w:p w14:paraId="51DE97F7" w14:textId="77777777" w:rsidR="0010369C" w:rsidRDefault="008E43AE">
      <w:pPr>
        <w:pStyle w:val="BodyText"/>
        <w:spacing w:before="2"/>
        <w:rPr>
          <w:sz w:val="12"/>
        </w:rPr>
      </w:pPr>
      <w:r>
        <w:pict w14:anchorId="51DEA7A1">
          <v:rect id="docshape1320" o:spid="_x0000_s1128" style="position:absolute;margin-left:70.9pt;margin-top:8.65pt;width:2in;height:.8pt;z-index:-250716672;mso-wrap-distance-left:0;mso-wrap-distance-right:0;mso-position-horizontal-relative:page" fillcolor="black" stroked="f">
            <w10:wrap type="topAndBottom" anchorx="page"/>
          </v:rect>
        </w:pict>
      </w:r>
    </w:p>
    <w:p w14:paraId="51DE97F8" w14:textId="77777777" w:rsidR="0010369C" w:rsidRDefault="008E43AE">
      <w:pPr>
        <w:spacing w:before="109"/>
        <w:ind w:left="238"/>
        <w:jc w:val="both"/>
        <w:rPr>
          <w:sz w:val="18"/>
        </w:rPr>
      </w:pPr>
      <w:r>
        <w:rPr>
          <w:sz w:val="18"/>
          <w:vertAlign w:val="superscript"/>
        </w:rPr>
        <w:t>1069</w:t>
      </w:r>
      <w:r>
        <w:rPr>
          <w:spacing w:val="-6"/>
          <w:sz w:val="18"/>
        </w:rPr>
        <w:t xml:space="preserve"> </w:t>
      </w:r>
      <w:r>
        <w:rPr>
          <w:sz w:val="18"/>
        </w:rPr>
        <w:t>Panel</w:t>
      </w:r>
      <w:r>
        <w:rPr>
          <w:spacing w:val="-7"/>
          <w:sz w:val="18"/>
        </w:rPr>
        <w:t xml:space="preserve"> </w:t>
      </w:r>
      <w:r>
        <w:rPr>
          <w:sz w:val="18"/>
        </w:rPr>
        <w:t>Report,</w:t>
      </w:r>
      <w:r>
        <w:rPr>
          <w:spacing w:val="-6"/>
          <w:sz w:val="18"/>
        </w:rPr>
        <w:t xml:space="preserve"> </w:t>
      </w:r>
      <w:r>
        <w:rPr>
          <w:i/>
          <w:sz w:val="18"/>
        </w:rPr>
        <w:t>China</w:t>
      </w:r>
      <w:r>
        <w:rPr>
          <w:i/>
          <w:spacing w:val="-6"/>
          <w:sz w:val="18"/>
        </w:rPr>
        <w:t xml:space="preserve"> </w:t>
      </w:r>
      <w:r>
        <w:rPr>
          <w:i/>
          <w:sz w:val="18"/>
        </w:rPr>
        <w:t>–</w:t>
      </w:r>
      <w:r>
        <w:rPr>
          <w:i/>
          <w:spacing w:val="-5"/>
          <w:sz w:val="18"/>
        </w:rPr>
        <w:t xml:space="preserve"> </w:t>
      </w:r>
      <w:r>
        <w:rPr>
          <w:i/>
          <w:sz w:val="18"/>
        </w:rPr>
        <w:t>Broiler</w:t>
      </w:r>
      <w:r>
        <w:rPr>
          <w:i/>
          <w:spacing w:val="-7"/>
          <w:sz w:val="18"/>
        </w:rPr>
        <w:t xml:space="preserve"> </w:t>
      </w:r>
      <w:r>
        <w:rPr>
          <w:i/>
          <w:sz w:val="18"/>
        </w:rPr>
        <w:t>Products</w:t>
      </w:r>
      <w:r>
        <w:rPr>
          <w:i/>
          <w:spacing w:val="-7"/>
          <w:sz w:val="18"/>
        </w:rPr>
        <w:t xml:space="preserve"> </w:t>
      </w:r>
      <w:r>
        <w:rPr>
          <w:i/>
          <w:sz w:val="18"/>
        </w:rPr>
        <w:t>(Article</w:t>
      </w:r>
      <w:r>
        <w:rPr>
          <w:i/>
          <w:spacing w:val="-5"/>
          <w:sz w:val="18"/>
        </w:rPr>
        <w:t xml:space="preserve"> </w:t>
      </w:r>
      <w:r>
        <w:rPr>
          <w:i/>
          <w:sz w:val="18"/>
        </w:rPr>
        <w:t>21.5)</w:t>
      </w:r>
      <w:r>
        <w:rPr>
          <w:sz w:val="18"/>
        </w:rPr>
        <w:t>,</w:t>
      </w:r>
      <w:r>
        <w:rPr>
          <w:spacing w:val="-7"/>
          <w:sz w:val="18"/>
        </w:rPr>
        <w:t xml:space="preserve"> </w:t>
      </w:r>
      <w:r>
        <w:rPr>
          <w:sz w:val="18"/>
        </w:rPr>
        <w:t>para.</w:t>
      </w:r>
      <w:r>
        <w:rPr>
          <w:spacing w:val="-6"/>
          <w:sz w:val="18"/>
        </w:rPr>
        <w:t xml:space="preserve"> </w:t>
      </w:r>
      <w:r>
        <w:rPr>
          <w:spacing w:val="-2"/>
          <w:sz w:val="18"/>
        </w:rPr>
        <w:t>7.218.</w:t>
      </w:r>
    </w:p>
    <w:p w14:paraId="51DE97F9" w14:textId="77777777" w:rsidR="0010369C" w:rsidRDefault="008E43AE">
      <w:pPr>
        <w:ind w:left="238"/>
        <w:jc w:val="both"/>
        <w:rPr>
          <w:sz w:val="18"/>
        </w:rPr>
      </w:pPr>
      <w:r>
        <w:rPr>
          <w:sz w:val="18"/>
          <w:vertAlign w:val="superscript"/>
        </w:rPr>
        <w:t>1070</w:t>
      </w:r>
      <w:r>
        <w:rPr>
          <w:spacing w:val="-6"/>
          <w:sz w:val="18"/>
        </w:rPr>
        <w:t xml:space="preserve"> </w:t>
      </w:r>
      <w:r>
        <w:rPr>
          <w:sz w:val="18"/>
        </w:rPr>
        <w:t>Footnote</w:t>
      </w:r>
      <w:r>
        <w:rPr>
          <w:spacing w:val="-5"/>
          <w:sz w:val="18"/>
        </w:rPr>
        <w:t xml:space="preserve"> </w:t>
      </w:r>
      <w:r>
        <w:rPr>
          <w:sz w:val="18"/>
        </w:rPr>
        <w:t>15</w:t>
      </w:r>
      <w:r>
        <w:rPr>
          <w:spacing w:val="-6"/>
          <w:sz w:val="18"/>
        </w:rPr>
        <w:t xml:space="preserve"> </w:t>
      </w:r>
      <w:r>
        <w:rPr>
          <w:sz w:val="18"/>
        </w:rPr>
        <w:t>in</w:t>
      </w:r>
      <w:r>
        <w:rPr>
          <w:spacing w:val="-6"/>
          <w:sz w:val="18"/>
        </w:rPr>
        <w:t xml:space="preserve"> </w:t>
      </w:r>
      <w:r>
        <w:rPr>
          <w:sz w:val="18"/>
        </w:rPr>
        <w:t>Article</w:t>
      </w:r>
      <w:r>
        <w:rPr>
          <w:spacing w:val="-6"/>
          <w:sz w:val="18"/>
        </w:rPr>
        <w:t xml:space="preserve"> </w:t>
      </w:r>
      <w:r>
        <w:rPr>
          <w:sz w:val="18"/>
        </w:rPr>
        <w:t>6.1.1</w:t>
      </w:r>
      <w:r>
        <w:rPr>
          <w:spacing w:val="-6"/>
          <w:sz w:val="18"/>
        </w:rPr>
        <w:t xml:space="preserve"> </w:t>
      </w:r>
      <w:r>
        <w:rPr>
          <w:spacing w:val="-2"/>
          <w:sz w:val="18"/>
        </w:rPr>
        <w:t>provides:</w:t>
      </w:r>
    </w:p>
    <w:p w14:paraId="51DE97FA" w14:textId="77777777" w:rsidR="0010369C" w:rsidRDefault="008E43AE">
      <w:pPr>
        <w:spacing w:before="1"/>
        <w:ind w:left="1088" w:right="613"/>
        <w:jc w:val="both"/>
        <w:rPr>
          <w:sz w:val="18"/>
        </w:rPr>
      </w:pPr>
      <w:r>
        <w:rPr>
          <w:sz w:val="18"/>
        </w:rPr>
        <w:t>As a general rule, the time‐limit for exporters shall be counted from the date of receipt of the questionnaire, which for this purpose shall be deemed to have been re</w:t>
      </w:r>
      <w:r>
        <w:rPr>
          <w:sz w:val="18"/>
        </w:rPr>
        <w:t>ceived one week from the date on which it was sent to the respondent or transmitted to the appropriate diplomatic representative of the exporting Member or, in the case of a separate customs territory Member of the WTO, an official representative of the ex</w:t>
      </w:r>
      <w:r>
        <w:rPr>
          <w:sz w:val="18"/>
        </w:rPr>
        <w:t>porting territory.</w:t>
      </w:r>
    </w:p>
    <w:p w14:paraId="51DE97FB" w14:textId="77777777" w:rsidR="0010369C" w:rsidRDefault="0010369C">
      <w:pPr>
        <w:jc w:val="both"/>
        <w:rPr>
          <w:sz w:val="18"/>
        </w:rPr>
        <w:sectPr w:rsidR="0010369C">
          <w:pgSz w:w="11910" w:h="16840"/>
          <w:pgMar w:top="880" w:right="800" w:bottom="980" w:left="1180" w:header="569" w:footer="788" w:gutter="0"/>
          <w:cols w:space="720"/>
        </w:sectPr>
      </w:pPr>
    </w:p>
    <w:p w14:paraId="51DE97FC" w14:textId="77777777" w:rsidR="0010369C" w:rsidRDefault="008E43AE">
      <w:pPr>
        <w:tabs>
          <w:tab w:val="left" w:pos="6426"/>
        </w:tabs>
        <w:ind w:left="238"/>
        <w:jc w:val="both"/>
        <w:rPr>
          <w:sz w:val="20"/>
        </w:rPr>
      </w:pPr>
      <w:r>
        <w:rPr>
          <w:i/>
          <w:sz w:val="20"/>
        </w:rPr>
        <w:lastRenderedPageBreak/>
        <w:t>China</w:t>
      </w:r>
      <w:r>
        <w:rPr>
          <w:i/>
          <w:spacing w:val="-5"/>
          <w:sz w:val="20"/>
        </w:rPr>
        <w:t xml:space="preserve"> </w:t>
      </w:r>
      <w:r>
        <w:rPr>
          <w:i/>
          <w:sz w:val="20"/>
        </w:rPr>
        <w:t>–</w:t>
      </w:r>
      <w:r>
        <w:rPr>
          <w:i/>
          <w:spacing w:val="-5"/>
          <w:sz w:val="20"/>
        </w:rPr>
        <w:t xml:space="preserve"> </w:t>
      </w:r>
      <w:r>
        <w:rPr>
          <w:i/>
          <w:sz w:val="20"/>
        </w:rPr>
        <w:t>Anti‐Dumping</w:t>
      </w:r>
      <w:r>
        <w:rPr>
          <w:i/>
          <w:spacing w:val="-4"/>
          <w:sz w:val="20"/>
        </w:rPr>
        <w:t xml:space="preserve"> </w:t>
      </w:r>
      <w:r>
        <w:rPr>
          <w:i/>
          <w:sz w:val="20"/>
        </w:rPr>
        <w:t>and</w:t>
      </w:r>
      <w:r>
        <w:rPr>
          <w:i/>
          <w:spacing w:val="-5"/>
          <w:sz w:val="20"/>
        </w:rPr>
        <w:t xml:space="preserve"> </w:t>
      </w:r>
      <w:r>
        <w:rPr>
          <w:i/>
          <w:sz w:val="20"/>
        </w:rPr>
        <w:t>Countervailing</w:t>
      </w:r>
      <w:r>
        <w:rPr>
          <w:i/>
          <w:spacing w:val="-5"/>
          <w:sz w:val="20"/>
        </w:rPr>
        <w:t xml:space="preserve"> </w:t>
      </w:r>
      <w:r>
        <w:rPr>
          <w:i/>
          <w:sz w:val="20"/>
        </w:rPr>
        <w:t>Duty</w:t>
      </w:r>
      <w:r>
        <w:rPr>
          <w:i/>
          <w:spacing w:val="-4"/>
          <w:sz w:val="20"/>
        </w:rPr>
        <w:t xml:space="preserve"> </w:t>
      </w:r>
      <w:r>
        <w:rPr>
          <w:i/>
          <w:spacing w:val="-2"/>
          <w:sz w:val="20"/>
        </w:rPr>
        <w:t>Measures</w:t>
      </w:r>
      <w:r>
        <w:rPr>
          <w:i/>
          <w:sz w:val="20"/>
        </w:rPr>
        <w:tab/>
      </w:r>
      <w:r>
        <w:rPr>
          <w:sz w:val="20"/>
        </w:rPr>
        <w:t>Australia's</w:t>
      </w:r>
      <w:r>
        <w:rPr>
          <w:spacing w:val="-7"/>
          <w:sz w:val="20"/>
        </w:rPr>
        <w:t xml:space="preserve"> </w:t>
      </w:r>
      <w:r>
        <w:rPr>
          <w:sz w:val="20"/>
        </w:rPr>
        <w:t>First</w:t>
      </w:r>
      <w:r>
        <w:rPr>
          <w:spacing w:val="-2"/>
          <w:sz w:val="20"/>
        </w:rPr>
        <w:t xml:space="preserve"> </w:t>
      </w:r>
      <w:r>
        <w:rPr>
          <w:sz w:val="20"/>
        </w:rPr>
        <w:t>Written</w:t>
      </w:r>
      <w:r>
        <w:rPr>
          <w:spacing w:val="-2"/>
          <w:sz w:val="20"/>
        </w:rPr>
        <w:t xml:space="preserve"> Submission</w:t>
      </w:r>
    </w:p>
    <w:p w14:paraId="51DE97FD" w14:textId="77777777" w:rsidR="0010369C" w:rsidRDefault="008E43AE">
      <w:pPr>
        <w:tabs>
          <w:tab w:val="left" w:pos="8228"/>
        </w:tabs>
        <w:spacing w:before="1"/>
        <w:ind w:left="239"/>
        <w:jc w:val="both"/>
        <w:rPr>
          <w:sz w:val="20"/>
        </w:rPr>
      </w:pPr>
      <w:r>
        <w:rPr>
          <w:i/>
          <w:sz w:val="20"/>
        </w:rPr>
        <w:t>on</w:t>
      </w:r>
      <w:r>
        <w:rPr>
          <w:i/>
          <w:spacing w:val="-1"/>
          <w:sz w:val="20"/>
        </w:rPr>
        <w:t xml:space="preserve"> </w:t>
      </w:r>
      <w:r>
        <w:rPr>
          <w:i/>
          <w:sz w:val="20"/>
        </w:rPr>
        <w:t>Wine</w:t>
      </w:r>
      <w:r>
        <w:rPr>
          <w:i/>
          <w:spacing w:val="-1"/>
          <w:sz w:val="20"/>
        </w:rPr>
        <w:t xml:space="preserve"> </w:t>
      </w:r>
      <w:r>
        <w:rPr>
          <w:i/>
          <w:sz w:val="20"/>
        </w:rPr>
        <w:t>from</w:t>
      </w:r>
      <w:r>
        <w:rPr>
          <w:i/>
          <w:spacing w:val="-3"/>
          <w:sz w:val="20"/>
        </w:rPr>
        <w:t xml:space="preserve"> </w:t>
      </w:r>
      <w:r>
        <w:rPr>
          <w:i/>
          <w:sz w:val="20"/>
        </w:rPr>
        <w:t>Australia</w:t>
      </w:r>
      <w:r>
        <w:rPr>
          <w:i/>
          <w:spacing w:val="-1"/>
          <w:sz w:val="20"/>
        </w:rPr>
        <w:t xml:space="preserve"> </w:t>
      </w:r>
      <w:r>
        <w:rPr>
          <w:spacing w:val="-2"/>
          <w:sz w:val="20"/>
        </w:rPr>
        <w:t>(DS602)</w:t>
      </w:r>
      <w:r>
        <w:rPr>
          <w:sz w:val="20"/>
        </w:rPr>
        <w:tab/>
        <w:t>29</w:t>
      </w:r>
      <w:r>
        <w:rPr>
          <w:spacing w:val="-1"/>
          <w:sz w:val="20"/>
        </w:rPr>
        <w:t xml:space="preserve"> </w:t>
      </w:r>
      <w:r>
        <w:rPr>
          <w:sz w:val="20"/>
        </w:rPr>
        <w:t>April</w:t>
      </w:r>
      <w:r>
        <w:rPr>
          <w:spacing w:val="-2"/>
          <w:sz w:val="20"/>
        </w:rPr>
        <w:t xml:space="preserve"> </w:t>
      </w:r>
      <w:r>
        <w:rPr>
          <w:spacing w:val="-4"/>
          <w:sz w:val="20"/>
        </w:rPr>
        <w:t>2022</w:t>
      </w:r>
    </w:p>
    <w:p w14:paraId="51DE97FE" w14:textId="77777777" w:rsidR="0010369C" w:rsidRDefault="008E43AE">
      <w:pPr>
        <w:pStyle w:val="BodyText"/>
        <w:spacing w:before="34" w:line="360" w:lineRule="auto"/>
        <w:ind w:left="235" w:right="613" w:firstLine="2"/>
        <w:jc w:val="both"/>
      </w:pPr>
      <w:r>
        <w:t>extension of 10</w:t>
      </w:r>
      <w:r>
        <w:rPr>
          <w:spacing w:val="-2"/>
        </w:rPr>
        <w:t xml:space="preserve"> </w:t>
      </w:r>
      <w:r>
        <w:t>days.</w:t>
      </w:r>
      <w:r>
        <w:rPr>
          <w:vertAlign w:val="superscript"/>
        </w:rPr>
        <w:t>1071</w:t>
      </w:r>
      <w:r>
        <w:t xml:space="preserve"> Casella Wines requested an extension of three weeks.</w:t>
      </w:r>
      <w:r>
        <w:rPr>
          <w:vertAlign w:val="superscript"/>
        </w:rPr>
        <w:t>1072</w:t>
      </w:r>
      <w:r>
        <w:t xml:space="preserve"> Casella Wines made their request on 9</w:t>
      </w:r>
      <w:r>
        <w:rPr>
          <w:spacing w:val="-2"/>
        </w:rPr>
        <w:t xml:space="preserve"> </w:t>
      </w:r>
      <w:r>
        <w:t>November</w:t>
      </w:r>
      <w:r>
        <w:rPr>
          <w:spacing w:val="-2"/>
        </w:rPr>
        <w:t xml:space="preserve"> </w:t>
      </w:r>
      <w:r>
        <w:t>2020, within 30</w:t>
      </w:r>
      <w:r>
        <w:rPr>
          <w:spacing w:val="-2"/>
        </w:rPr>
        <w:t xml:space="preserve"> </w:t>
      </w:r>
      <w:r>
        <w:t>days of the issuance of the questionnaire</w:t>
      </w:r>
      <w:r>
        <w:rPr>
          <w:spacing w:val="37"/>
        </w:rPr>
        <w:t xml:space="preserve">  </w:t>
      </w:r>
      <w:r>
        <w:t>on</w:t>
      </w:r>
      <w:r>
        <w:rPr>
          <w:spacing w:val="36"/>
        </w:rPr>
        <w:t xml:space="preserve">  </w:t>
      </w:r>
      <w:r>
        <w:t>10</w:t>
      </w:r>
      <w:r>
        <w:rPr>
          <w:spacing w:val="36"/>
        </w:rPr>
        <w:t xml:space="preserve">  </w:t>
      </w:r>
      <w:r>
        <w:t>October</w:t>
      </w:r>
      <w:r>
        <w:rPr>
          <w:spacing w:val="36"/>
        </w:rPr>
        <w:t xml:space="preserve">  </w:t>
      </w:r>
      <w:r>
        <w:t>2020,</w:t>
      </w:r>
      <w:r>
        <w:rPr>
          <w:spacing w:val="37"/>
        </w:rPr>
        <w:t xml:space="preserve">  </w:t>
      </w:r>
      <w:r>
        <w:t>and</w:t>
      </w:r>
      <w:r>
        <w:rPr>
          <w:spacing w:val="37"/>
        </w:rPr>
        <w:t xml:space="preserve">  </w:t>
      </w:r>
      <w:r>
        <w:t>Treasury</w:t>
      </w:r>
      <w:r>
        <w:rPr>
          <w:spacing w:val="37"/>
        </w:rPr>
        <w:t xml:space="preserve">  </w:t>
      </w:r>
      <w:r>
        <w:t>Wines</w:t>
      </w:r>
      <w:r>
        <w:rPr>
          <w:spacing w:val="36"/>
        </w:rPr>
        <w:t xml:space="preserve">  </w:t>
      </w:r>
      <w:r>
        <w:t>made</w:t>
      </w:r>
      <w:r>
        <w:rPr>
          <w:spacing w:val="37"/>
        </w:rPr>
        <w:t xml:space="preserve">  </w:t>
      </w:r>
      <w:r>
        <w:t>their</w:t>
      </w:r>
      <w:r>
        <w:rPr>
          <w:spacing w:val="37"/>
        </w:rPr>
        <w:t xml:space="preserve">  </w:t>
      </w:r>
      <w:r>
        <w:t>request</w:t>
      </w:r>
      <w:r>
        <w:rPr>
          <w:spacing w:val="36"/>
        </w:rPr>
        <w:t xml:space="preserve">  </w:t>
      </w:r>
      <w:r>
        <w:t>on 7</w:t>
      </w:r>
      <w:r>
        <w:rPr>
          <w:spacing w:val="-3"/>
        </w:rPr>
        <w:t xml:space="preserve"> </w:t>
      </w:r>
      <w:r>
        <w:t>November</w:t>
      </w:r>
      <w:r>
        <w:rPr>
          <w:spacing w:val="-5"/>
        </w:rPr>
        <w:t xml:space="preserve"> </w:t>
      </w:r>
      <w:r>
        <w:t>2020, with</w:t>
      </w:r>
      <w:r>
        <w:t>in 28 days of the issuance of the questionnaire. As the deadline for submission of extension requests was 9</w:t>
      </w:r>
      <w:r>
        <w:rPr>
          <w:spacing w:val="-3"/>
        </w:rPr>
        <w:t xml:space="preserve"> </w:t>
      </w:r>
      <w:r>
        <w:t>November</w:t>
      </w:r>
      <w:r>
        <w:rPr>
          <w:spacing w:val="-3"/>
        </w:rPr>
        <w:t xml:space="preserve"> </w:t>
      </w:r>
      <w:r>
        <w:t>2020 (seven days before the deadline for the questionnaire submission of 16</w:t>
      </w:r>
      <w:r>
        <w:rPr>
          <w:spacing w:val="-2"/>
        </w:rPr>
        <w:t xml:space="preserve"> </w:t>
      </w:r>
      <w:r>
        <w:t>November</w:t>
      </w:r>
      <w:r>
        <w:rPr>
          <w:spacing w:val="-2"/>
        </w:rPr>
        <w:t xml:space="preserve"> </w:t>
      </w:r>
      <w:r>
        <w:t>2020), both companies submitted their responses in wri</w:t>
      </w:r>
      <w:r>
        <w:t>ting within the period specified by MOFCOM.</w:t>
      </w:r>
      <w:r>
        <w:rPr>
          <w:vertAlign w:val="superscript"/>
        </w:rPr>
        <w:t>1073</w:t>
      </w:r>
    </w:p>
    <w:p w14:paraId="51DE97FF" w14:textId="77777777" w:rsidR="0010369C" w:rsidRDefault="0010369C">
      <w:pPr>
        <w:pStyle w:val="BodyText"/>
        <w:spacing w:before="10"/>
        <w:rPr>
          <w:sz w:val="8"/>
        </w:rPr>
      </w:pPr>
    </w:p>
    <w:p w14:paraId="51DE9800" w14:textId="77777777" w:rsidR="0010369C" w:rsidRDefault="008E43AE">
      <w:pPr>
        <w:pStyle w:val="BodyText"/>
        <w:spacing w:before="52" w:line="360" w:lineRule="auto"/>
        <w:ind w:left="237" w:right="614" w:firstLine="851"/>
        <w:jc w:val="both"/>
      </w:pPr>
      <w:r>
        <w:rPr>
          <w:noProof/>
        </w:rPr>
        <w:drawing>
          <wp:anchor distT="0" distB="0" distL="0" distR="0" simplePos="0" relativeHeight="251499008" behindDoc="1" locked="0" layoutInCell="1" allowOverlap="1" wp14:anchorId="51DEA7A2" wp14:editId="51DEA7A3">
            <wp:simplePos x="0" y="0"/>
            <wp:positionH relativeFrom="page">
              <wp:posOffset>902208</wp:posOffset>
            </wp:positionH>
            <wp:positionV relativeFrom="paragraph">
              <wp:posOffset>80595</wp:posOffset>
            </wp:positionV>
            <wp:extent cx="262127" cy="103631"/>
            <wp:effectExtent l="0" t="0" r="0" b="0"/>
            <wp:wrapNone/>
            <wp:docPr id="1767" name="image9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 name="image911.png"/>
                    <pic:cNvPicPr/>
                  </pic:nvPicPr>
                  <pic:blipFill>
                    <a:blip r:embed="rId1180" cstate="print"/>
                    <a:stretch>
                      <a:fillRect/>
                    </a:stretch>
                  </pic:blipFill>
                  <pic:spPr>
                    <a:xfrm>
                      <a:off x="0" y="0"/>
                      <a:ext cx="262127" cy="103631"/>
                    </a:xfrm>
                    <a:prstGeom prst="rect">
                      <a:avLst/>
                    </a:prstGeom>
                  </pic:spPr>
                </pic:pic>
              </a:graphicData>
            </a:graphic>
          </wp:anchor>
        </w:drawing>
      </w:r>
      <w:r>
        <w:t xml:space="preserve">These companies substantiated their requests for an extension by referring to, </w:t>
      </w:r>
      <w:r>
        <w:rPr>
          <w:i/>
        </w:rPr>
        <w:t>inter alia</w:t>
      </w:r>
      <w:r>
        <w:t>, the large volume of work involved resulting from the countervailing measures investigation being conducted concurrently,</w:t>
      </w:r>
      <w:r>
        <w:rPr>
          <w:vertAlign w:val="superscript"/>
        </w:rPr>
        <w:t>1074</w:t>
      </w:r>
      <w:r>
        <w:t xml:space="preserve"> the many different product control numbers,</w:t>
      </w:r>
      <w:r>
        <w:rPr>
          <w:vertAlign w:val="superscript"/>
        </w:rPr>
        <w:t>1075</w:t>
      </w:r>
      <w:r>
        <w:t xml:space="preserve"> the inexperience of staff in responding to questionnaires for anti‐dumping and co</w:t>
      </w:r>
      <w:r>
        <w:t>untervailing duty investigations,</w:t>
      </w:r>
      <w:r>
        <w:rPr>
          <w:vertAlign w:val="superscript"/>
        </w:rPr>
        <w:t>1076</w:t>
      </w:r>
      <w:r>
        <w:t xml:space="preserve"> the vast amount of data requested,</w:t>
      </w:r>
      <w:r>
        <w:rPr>
          <w:vertAlign w:val="superscript"/>
        </w:rPr>
        <w:t>1077</w:t>
      </w:r>
      <w:r>
        <w:t xml:space="preserve"> the time required to translate documents,</w:t>
      </w:r>
      <w:r>
        <w:rPr>
          <w:vertAlign w:val="superscript"/>
        </w:rPr>
        <w:t>1078</w:t>
      </w:r>
      <w:r>
        <w:t xml:space="preserve"> and the abnormal circumstances regarding city‐wide lockdowns due to the COVID‐19 pandemic.</w:t>
      </w:r>
      <w:r>
        <w:rPr>
          <w:vertAlign w:val="superscript"/>
        </w:rPr>
        <w:t>1079</w:t>
      </w:r>
    </w:p>
    <w:p w14:paraId="51DE9801" w14:textId="77777777" w:rsidR="0010369C" w:rsidRDefault="0010369C">
      <w:pPr>
        <w:pStyle w:val="BodyText"/>
        <w:spacing w:before="11"/>
        <w:rPr>
          <w:sz w:val="8"/>
        </w:rPr>
      </w:pPr>
    </w:p>
    <w:p w14:paraId="51DE9802" w14:textId="77777777" w:rsidR="0010369C" w:rsidRDefault="008E43AE">
      <w:pPr>
        <w:pStyle w:val="BodyText"/>
        <w:spacing w:before="51" w:line="360" w:lineRule="auto"/>
        <w:ind w:left="237" w:right="613" w:firstLine="851"/>
        <w:jc w:val="both"/>
      </w:pPr>
      <w:r>
        <w:rPr>
          <w:noProof/>
        </w:rPr>
        <w:drawing>
          <wp:anchor distT="0" distB="0" distL="0" distR="0" simplePos="0" relativeHeight="251500032" behindDoc="1" locked="0" layoutInCell="1" allowOverlap="1" wp14:anchorId="51DEA7A4" wp14:editId="51DEA7A5">
            <wp:simplePos x="0" y="0"/>
            <wp:positionH relativeFrom="page">
              <wp:posOffset>902208</wp:posOffset>
            </wp:positionH>
            <wp:positionV relativeFrom="paragraph">
              <wp:posOffset>76150</wp:posOffset>
            </wp:positionV>
            <wp:extent cx="262127" cy="106679"/>
            <wp:effectExtent l="0" t="0" r="0" b="0"/>
            <wp:wrapNone/>
            <wp:docPr id="1769" name="image9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 name="image912.png"/>
                    <pic:cNvPicPr/>
                  </pic:nvPicPr>
                  <pic:blipFill>
                    <a:blip r:embed="rId1181" cstate="print"/>
                    <a:stretch>
                      <a:fillRect/>
                    </a:stretch>
                  </pic:blipFill>
                  <pic:spPr>
                    <a:xfrm>
                      <a:off x="0" y="0"/>
                      <a:ext cx="262127" cy="106679"/>
                    </a:xfrm>
                    <a:prstGeom prst="rect">
                      <a:avLst/>
                    </a:prstGeom>
                  </pic:spPr>
                </pic:pic>
              </a:graphicData>
            </a:graphic>
          </wp:anchor>
        </w:drawing>
      </w:r>
      <w:r>
        <w:t>On</w:t>
      </w:r>
      <w:r>
        <w:rPr>
          <w:spacing w:val="-4"/>
        </w:rPr>
        <w:t xml:space="preserve"> </w:t>
      </w:r>
      <w:r>
        <w:t>the</w:t>
      </w:r>
      <w:r>
        <w:rPr>
          <w:spacing w:val="-3"/>
        </w:rPr>
        <w:t xml:space="preserve"> </w:t>
      </w:r>
      <w:r>
        <w:t>point</w:t>
      </w:r>
      <w:r>
        <w:rPr>
          <w:spacing w:val="-4"/>
        </w:rPr>
        <w:t xml:space="preserve"> </w:t>
      </w:r>
      <w:r>
        <w:t>of</w:t>
      </w:r>
      <w:r>
        <w:rPr>
          <w:spacing w:val="-4"/>
        </w:rPr>
        <w:t xml:space="preserve"> </w:t>
      </w:r>
      <w:r>
        <w:t>the</w:t>
      </w:r>
      <w:r>
        <w:rPr>
          <w:spacing w:val="-3"/>
        </w:rPr>
        <w:t xml:space="preserve"> </w:t>
      </w:r>
      <w:r>
        <w:t>COVID‐19</w:t>
      </w:r>
      <w:r>
        <w:rPr>
          <w:spacing w:val="-3"/>
        </w:rPr>
        <w:t xml:space="preserve"> </w:t>
      </w:r>
      <w:r>
        <w:t>pandemi</w:t>
      </w:r>
      <w:r>
        <w:t>c,</w:t>
      </w:r>
      <w:r>
        <w:rPr>
          <w:spacing w:val="-3"/>
        </w:rPr>
        <w:t xml:space="preserve"> </w:t>
      </w:r>
      <w:r>
        <w:t>Treasury</w:t>
      </w:r>
      <w:r>
        <w:rPr>
          <w:spacing w:val="-4"/>
        </w:rPr>
        <w:t xml:space="preserve"> </w:t>
      </w:r>
      <w:r>
        <w:t>Wines</w:t>
      </w:r>
      <w:r>
        <w:rPr>
          <w:spacing w:val="-4"/>
        </w:rPr>
        <w:t xml:space="preserve"> </w:t>
      </w:r>
      <w:r>
        <w:t>supported</w:t>
      </w:r>
      <w:r>
        <w:rPr>
          <w:spacing w:val="-4"/>
        </w:rPr>
        <w:t xml:space="preserve"> </w:t>
      </w:r>
      <w:r>
        <w:t>their</w:t>
      </w:r>
      <w:r>
        <w:rPr>
          <w:spacing w:val="-5"/>
        </w:rPr>
        <w:t xml:space="preserve"> </w:t>
      </w:r>
      <w:r>
        <w:t>request</w:t>
      </w:r>
      <w:r>
        <w:rPr>
          <w:spacing w:val="-4"/>
        </w:rPr>
        <w:t xml:space="preserve"> </w:t>
      </w:r>
      <w:r>
        <w:t xml:space="preserve">for extension by providing detailed explanations and, where appropriate, copies of primary documents detailing the lockdown conditions they were operating under, which severely hampered their abilities to complete </w:t>
      </w:r>
      <w:r>
        <w:t>the Questionnaire response fully. In their extension request submitted to MOFCOM on 07 October 2021, Treasury Wines stated as follows:</w:t>
      </w:r>
    </w:p>
    <w:p w14:paraId="51DE9803" w14:textId="77777777" w:rsidR="0010369C" w:rsidRDefault="008E43AE">
      <w:pPr>
        <w:spacing w:before="162" w:line="276" w:lineRule="auto"/>
        <w:ind w:left="1087" w:right="612" w:firstLine="1"/>
        <w:jc w:val="both"/>
      </w:pPr>
      <w:r>
        <w:t>The anti‐dumping investigation questionnaire involves numerous sales and financial data of the Company, which requires th</w:t>
      </w:r>
      <w:r>
        <w:t>e Company to organise a large number of staff across multiple</w:t>
      </w:r>
      <w:r>
        <w:rPr>
          <w:spacing w:val="-4"/>
        </w:rPr>
        <w:t xml:space="preserve"> </w:t>
      </w:r>
      <w:r>
        <w:t>departments</w:t>
      </w:r>
      <w:r>
        <w:rPr>
          <w:spacing w:val="-4"/>
        </w:rPr>
        <w:t xml:space="preserve"> </w:t>
      </w:r>
      <w:r>
        <w:t>to</w:t>
      </w:r>
      <w:r>
        <w:rPr>
          <w:spacing w:val="-3"/>
        </w:rPr>
        <w:t xml:space="preserve"> </w:t>
      </w:r>
      <w:r>
        <w:t>participate</w:t>
      </w:r>
      <w:r>
        <w:rPr>
          <w:spacing w:val="-4"/>
        </w:rPr>
        <w:t xml:space="preserve"> </w:t>
      </w:r>
      <w:r>
        <w:t>in</w:t>
      </w:r>
      <w:r>
        <w:rPr>
          <w:spacing w:val="-4"/>
        </w:rPr>
        <w:t xml:space="preserve"> </w:t>
      </w:r>
      <w:r>
        <w:t>the</w:t>
      </w:r>
      <w:r>
        <w:rPr>
          <w:spacing w:val="-5"/>
        </w:rPr>
        <w:t xml:space="preserve"> </w:t>
      </w:r>
      <w:r>
        <w:t>work.</w:t>
      </w:r>
      <w:r>
        <w:rPr>
          <w:spacing w:val="-4"/>
        </w:rPr>
        <w:t xml:space="preserve"> </w:t>
      </w:r>
      <w:r>
        <w:t>In</w:t>
      </w:r>
      <w:r>
        <w:rPr>
          <w:spacing w:val="-4"/>
        </w:rPr>
        <w:t xml:space="preserve"> </w:t>
      </w:r>
      <w:r>
        <w:t>order</w:t>
      </w:r>
      <w:r>
        <w:rPr>
          <w:spacing w:val="-5"/>
        </w:rPr>
        <w:t xml:space="preserve"> </w:t>
      </w:r>
      <w:r>
        <w:t>to</w:t>
      </w:r>
      <w:r>
        <w:rPr>
          <w:spacing w:val="-3"/>
        </w:rPr>
        <w:t xml:space="preserve"> </w:t>
      </w:r>
      <w:r>
        <w:t>contain</w:t>
      </w:r>
      <w:r>
        <w:rPr>
          <w:spacing w:val="-5"/>
        </w:rPr>
        <w:t xml:space="preserve"> </w:t>
      </w:r>
      <w:r>
        <w:t>the</w:t>
      </w:r>
      <w:r>
        <w:rPr>
          <w:spacing w:val="-5"/>
        </w:rPr>
        <w:t xml:space="preserve"> </w:t>
      </w:r>
      <w:r>
        <w:t>COVID‐19</w:t>
      </w:r>
      <w:r>
        <w:rPr>
          <w:spacing w:val="-5"/>
        </w:rPr>
        <w:t xml:space="preserve"> </w:t>
      </w:r>
      <w:r>
        <w:t>outbreak, the Melbourne metropolitan area in Victoria, Australia, where TWEV is located, has implemented a strict lockdow</w:t>
      </w:r>
      <w:r>
        <w:t>n policy since 8 July 2020. According to the policy, individuals are limited to a 5‐kilimeter radius of their homes, and only essential service workers are allowed to</w:t>
      </w:r>
      <w:r>
        <w:rPr>
          <w:spacing w:val="17"/>
        </w:rPr>
        <w:t xml:space="preserve"> </w:t>
      </w:r>
      <w:r>
        <w:t>work on‐site.</w:t>
      </w:r>
      <w:r>
        <w:rPr>
          <w:spacing w:val="16"/>
        </w:rPr>
        <w:t xml:space="preserve"> </w:t>
      </w:r>
      <w:r>
        <w:t>Other</w:t>
      </w:r>
      <w:r>
        <w:rPr>
          <w:spacing w:val="17"/>
        </w:rPr>
        <w:t xml:space="preserve"> </w:t>
      </w:r>
      <w:r>
        <w:t>residents</w:t>
      </w:r>
      <w:r>
        <w:rPr>
          <w:spacing w:val="16"/>
        </w:rPr>
        <w:t xml:space="preserve"> </w:t>
      </w:r>
      <w:r>
        <w:t>must in</w:t>
      </w:r>
      <w:r>
        <w:rPr>
          <w:spacing w:val="17"/>
        </w:rPr>
        <w:t xml:space="preserve"> </w:t>
      </w:r>
      <w:r>
        <w:t>principle</w:t>
      </w:r>
      <w:r>
        <w:rPr>
          <w:spacing w:val="16"/>
        </w:rPr>
        <w:t xml:space="preserve"> </w:t>
      </w:r>
      <w:r>
        <w:t>work</w:t>
      </w:r>
      <w:r>
        <w:rPr>
          <w:spacing w:val="16"/>
        </w:rPr>
        <w:t xml:space="preserve"> </w:t>
      </w:r>
      <w:r>
        <w:t>from</w:t>
      </w:r>
      <w:r>
        <w:rPr>
          <w:spacing w:val="16"/>
        </w:rPr>
        <w:t xml:space="preserve"> </w:t>
      </w:r>
      <w:r>
        <w:t>home.</w:t>
      </w:r>
      <w:r>
        <w:rPr>
          <w:spacing w:val="18"/>
        </w:rPr>
        <w:t xml:space="preserve"> </w:t>
      </w:r>
      <w:r>
        <w:t>Although</w:t>
      </w:r>
      <w:r>
        <w:rPr>
          <w:spacing w:val="17"/>
        </w:rPr>
        <w:t xml:space="preserve"> </w:t>
      </w:r>
      <w:r>
        <w:t>the</w:t>
      </w:r>
    </w:p>
    <w:p w14:paraId="51DE9804" w14:textId="77777777" w:rsidR="0010369C" w:rsidRDefault="0010369C">
      <w:pPr>
        <w:pStyle w:val="BodyText"/>
        <w:rPr>
          <w:sz w:val="20"/>
        </w:rPr>
      </w:pPr>
    </w:p>
    <w:p w14:paraId="51DE9805" w14:textId="77777777" w:rsidR="0010369C" w:rsidRDefault="008E43AE">
      <w:pPr>
        <w:pStyle w:val="BodyText"/>
        <w:spacing w:before="4"/>
        <w:rPr>
          <w:sz w:val="16"/>
        </w:rPr>
      </w:pPr>
      <w:r>
        <w:pict w14:anchorId="51DEA7A6">
          <v:rect id="docshape1321" o:spid="_x0000_s1127" style="position:absolute;margin-left:70.9pt;margin-top:11.2pt;width:2in;height:.8pt;z-index:-250715648;mso-wrap-distance-left:0;mso-wrap-distance-right:0;mso-position-horizontal-relative:page" fillcolor="black" stroked="f">
            <w10:wrap type="topAndBottom" anchorx="page"/>
          </v:rect>
        </w:pict>
      </w:r>
    </w:p>
    <w:p w14:paraId="51DE9806" w14:textId="77777777" w:rsidR="0010369C" w:rsidRDefault="008E43AE">
      <w:pPr>
        <w:spacing w:before="109"/>
        <w:ind w:left="238" w:right="3013"/>
        <w:rPr>
          <w:sz w:val="18"/>
        </w:rPr>
      </w:pPr>
      <w:r>
        <w:rPr>
          <w:sz w:val="18"/>
          <w:vertAlign w:val="superscript"/>
        </w:rPr>
        <w:t>1071</w:t>
      </w:r>
      <w:r>
        <w:rPr>
          <w:spacing w:val="-3"/>
          <w:sz w:val="18"/>
        </w:rPr>
        <w:t xml:space="preserve"> </w:t>
      </w:r>
      <w:r>
        <w:rPr>
          <w:sz w:val="18"/>
        </w:rPr>
        <w:t>Treasury</w:t>
      </w:r>
      <w:r>
        <w:rPr>
          <w:spacing w:val="-2"/>
          <w:sz w:val="18"/>
        </w:rPr>
        <w:t xml:space="preserve"> </w:t>
      </w:r>
      <w:r>
        <w:rPr>
          <w:sz w:val="18"/>
        </w:rPr>
        <w:t>Wines</w:t>
      </w:r>
      <w:r>
        <w:rPr>
          <w:spacing w:val="-5"/>
          <w:sz w:val="18"/>
        </w:rPr>
        <w:t xml:space="preserve"> </w:t>
      </w:r>
      <w:r>
        <w:rPr>
          <w:sz w:val="18"/>
        </w:rPr>
        <w:t>Anti‐Dumping</w:t>
      </w:r>
      <w:r>
        <w:rPr>
          <w:spacing w:val="-3"/>
          <w:sz w:val="18"/>
        </w:rPr>
        <w:t xml:space="preserve"> </w:t>
      </w:r>
      <w:r>
        <w:rPr>
          <w:sz w:val="18"/>
        </w:rPr>
        <w:t>Questionnaire</w:t>
      </w:r>
      <w:r>
        <w:rPr>
          <w:spacing w:val="-3"/>
          <w:sz w:val="18"/>
        </w:rPr>
        <w:t xml:space="preserve"> </w:t>
      </w:r>
      <w:r>
        <w:rPr>
          <w:sz w:val="18"/>
        </w:rPr>
        <w:t>Extension</w:t>
      </w:r>
      <w:r>
        <w:rPr>
          <w:spacing w:val="-3"/>
          <w:sz w:val="18"/>
        </w:rPr>
        <w:t xml:space="preserve"> </w:t>
      </w:r>
      <w:r>
        <w:rPr>
          <w:sz w:val="18"/>
        </w:rPr>
        <w:t>Request</w:t>
      </w:r>
      <w:r>
        <w:rPr>
          <w:spacing w:val="-4"/>
          <w:sz w:val="18"/>
        </w:rPr>
        <w:t xml:space="preserve"> </w:t>
      </w:r>
      <w:r>
        <w:rPr>
          <w:sz w:val="18"/>
        </w:rPr>
        <w:t>(Exhibit</w:t>
      </w:r>
      <w:r>
        <w:rPr>
          <w:spacing w:val="-3"/>
          <w:sz w:val="18"/>
        </w:rPr>
        <w:t xml:space="preserve"> </w:t>
      </w:r>
      <w:r>
        <w:rPr>
          <w:sz w:val="18"/>
        </w:rPr>
        <w:t>AUS‐94),</w:t>
      </w:r>
      <w:r>
        <w:rPr>
          <w:spacing w:val="-3"/>
          <w:sz w:val="18"/>
        </w:rPr>
        <w:t xml:space="preserve"> </w:t>
      </w:r>
      <w:r>
        <w:rPr>
          <w:sz w:val="18"/>
        </w:rPr>
        <w:t>p.</w:t>
      </w:r>
      <w:r>
        <w:rPr>
          <w:spacing w:val="-3"/>
          <w:sz w:val="18"/>
        </w:rPr>
        <w:t xml:space="preserve"> </w:t>
      </w:r>
      <w:r>
        <w:rPr>
          <w:sz w:val="18"/>
        </w:rPr>
        <w:t xml:space="preserve">1. </w:t>
      </w:r>
      <w:r>
        <w:rPr>
          <w:sz w:val="18"/>
          <w:vertAlign w:val="superscript"/>
        </w:rPr>
        <w:t>1072</w:t>
      </w:r>
      <w:r>
        <w:rPr>
          <w:sz w:val="18"/>
        </w:rPr>
        <w:t xml:space="preserve"> Casella Wines Anti‐Dumping Questionnaire Extension Request (Exhibit AUS‐95), p. 2. </w:t>
      </w:r>
      <w:r>
        <w:rPr>
          <w:sz w:val="18"/>
          <w:vertAlign w:val="superscript"/>
        </w:rPr>
        <w:t>1073</w:t>
      </w:r>
      <w:r>
        <w:rPr>
          <w:sz w:val="18"/>
        </w:rPr>
        <w:t xml:space="preserve"> Anti‐Dumping Questionnaire (Exhibit AUS‐3), p. 8.</w:t>
      </w:r>
    </w:p>
    <w:p w14:paraId="51DE9807" w14:textId="77777777" w:rsidR="0010369C" w:rsidRDefault="008E43AE">
      <w:pPr>
        <w:ind w:left="238" w:right="3226"/>
        <w:jc w:val="both"/>
        <w:rPr>
          <w:sz w:val="18"/>
        </w:rPr>
      </w:pPr>
      <w:r>
        <w:rPr>
          <w:sz w:val="18"/>
          <w:vertAlign w:val="superscript"/>
        </w:rPr>
        <w:t>1074</w:t>
      </w:r>
      <w:r>
        <w:rPr>
          <w:spacing w:val="-3"/>
          <w:sz w:val="18"/>
        </w:rPr>
        <w:t xml:space="preserve"> </w:t>
      </w:r>
      <w:r>
        <w:rPr>
          <w:sz w:val="18"/>
        </w:rPr>
        <w:t>Casella</w:t>
      </w:r>
      <w:r>
        <w:rPr>
          <w:spacing w:val="-3"/>
          <w:sz w:val="18"/>
        </w:rPr>
        <w:t xml:space="preserve"> </w:t>
      </w:r>
      <w:r>
        <w:rPr>
          <w:sz w:val="18"/>
        </w:rPr>
        <w:t>Wines</w:t>
      </w:r>
      <w:r>
        <w:rPr>
          <w:spacing w:val="-4"/>
          <w:sz w:val="18"/>
        </w:rPr>
        <w:t xml:space="preserve"> </w:t>
      </w:r>
      <w:r>
        <w:rPr>
          <w:sz w:val="18"/>
        </w:rPr>
        <w:t>Anti‐Dumpi</w:t>
      </w:r>
      <w:r>
        <w:rPr>
          <w:sz w:val="18"/>
        </w:rPr>
        <w:t>ng</w:t>
      </w:r>
      <w:r>
        <w:rPr>
          <w:spacing w:val="-3"/>
          <w:sz w:val="18"/>
        </w:rPr>
        <w:t xml:space="preserve"> </w:t>
      </w:r>
      <w:r>
        <w:rPr>
          <w:sz w:val="18"/>
        </w:rPr>
        <w:t>Questionnaire</w:t>
      </w:r>
      <w:r>
        <w:rPr>
          <w:spacing w:val="-3"/>
          <w:sz w:val="18"/>
        </w:rPr>
        <w:t xml:space="preserve"> </w:t>
      </w:r>
      <w:r>
        <w:rPr>
          <w:sz w:val="18"/>
        </w:rPr>
        <w:t>Extension</w:t>
      </w:r>
      <w:r>
        <w:rPr>
          <w:spacing w:val="-3"/>
          <w:sz w:val="18"/>
        </w:rPr>
        <w:t xml:space="preserve"> </w:t>
      </w:r>
      <w:r>
        <w:rPr>
          <w:sz w:val="18"/>
        </w:rPr>
        <w:t>Request</w:t>
      </w:r>
      <w:r>
        <w:rPr>
          <w:spacing w:val="-5"/>
          <w:sz w:val="18"/>
        </w:rPr>
        <w:t xml:space="preserve"> </w:t>
      </w:r>
      <w:r>
        <w:rPr>
          <w:sz w:val="18"/>
        </w:rPr>
        <w:t>(Exhibit</w:t>
      </w:r>
      <w:r>
        <w:rPr>
          <w:spacing w:val="-3"/>
          <w:sz w:val="18"/>
        </w:rPr>
        <w:t xml:space="preserve"> </w:t>
      </w:r>
      <w:r>
        <w:rPr>
          <w:sz w:val="18"/>
        </w:rPr>
        <w:t>AUS‐95),</w:t>
      </w:r>
      <w:r>
        <w:rPr>
          <w:spacing w:val="-4"/>
          <w:sz w:val="18"/>
        </w:rPr>
        <w:t xml:space="preserve"> </w:t>
      </w:r>
      <w:r>
        <w:rPr>
          <w:sz w:val="18"/>
        </w:rPr>
        <w:t>p.</w:t>
      </w:r>
      <w:r>
        <w:rPr>
          <w:spacing w:val="-3"/>
          <w:sz w:val="18"/>
        </w:rPr>
        <w:t xml:space="preserve"> </w:t>
      </w:r>
      <w:r>
        <w:rPr>
          <w:sz w:val="18"/>
        </w:rPr>
        <w:t xml:space="preserve">3. </w:t>
      </w:r>
      <w:r>
        <w:rPr>
          <w:sz w:val="18"/>
          <w:vertAlign w:val="superscript"/>
        </w:rPr>
        <w:t>1075</w:t>
      </w:r>
      <w:r>
        <w:rPr>
          <w:spacing w:val="-3"/>
          <w:sz w:val="18"/>
        </w:rPr>
        <w:t xml:space="preserve"> </w:t>
      </w:r>
      <w:r>
        <w:rPr>
          <w:sz w:val="18"/>
        </w:rPr>
        <w:t>Casella</w:t>
      </w:r>
      <w:r>
        <w:rPr>
          <w:spacing w:val="-3"/>
          <w:sz w:val="18"/>
        </w:rPr>
        <w:t xml:space="preserve"> </w:t>
      </w:r>
      <w:r>
        <w:rPr>
          <w:sz w:val="18"/>
        </w:rPr>
        <w:t>Wines</w:t>
      </w:r>
      <w:r>
        <w:rPr>
          <w:spacing w:val="-4"/>
          <w:sz w:val="18"/>
        </w:rPr>
        <w:t xml:space="preserve"> </w:t>
      </w:r>
      <w:r>
        <w:rPr>
          <w:sz w:val="18"/>
        </w:rPr>
        <w:t>Anti‐Dumping</w:t>
      </w:r>
      <w:r>
        <w:rPr>
          <w:spacing w:val="-3"/>
          <w:sz w:val="18"/>
        </w:rPr>
        <w:t xml:space="preserve"> </w:t>
      </w:r>
      <w:r>
        <w:rPr>
          <w:sz w:val="18"/>
        </w:rPr>
        <w:t>Questionnaire</w:t>
      </w:r>
      <w:r>
        <w:rPr>
          <w:spacing w:val="-3"/>
          <w:sz w:val="18"/>
        </w:rPr>
        <w:t xml:space="preserve"> </w:t>
      </w:r>
      <w:r>
        <w:rPr>
          <w:sz w:val="18"/>
        </w:rPr>
        <w:t>Extension</w:t>
      </w:r>
      <w:r>
        <w:rPr>
          <w:spacing w:val="-3"/>
          <w:sz w:val="18"/>
        </w:rPr>
        <w:t xml:space="preserve"> </w:t>
      </w:r>
      <w:r>
        <w:rPr>
          <w:sz w:val="18"/>
        </w:rPr>
        <w:t>Request</w:t>
      </w:r>
      <w:r>
        <w:rPr>
          <w:spacing w:val="-5"/>
          <w:sz w:val="18"/>
        </w:rPr>
        <w:t xml:space="preserve"> </w:t>
      </w:r>
      <w:r>
        <w:rPr>
          <w:sz w:val="18"/>
        </w:rPr>
        <w:t>(Exhibit</w:t>
      </w:r>
      <w:r>
        <w:rPr>
          <w:spacing w:val="-3"/>
          <w:sz w:val="18"/>
        </w:rPr>
        <w:t xml:space="preserve"> </w:t>
      </w:r>
      <w:r>
        <w:rPr>
          <w:sz w:val="18"/>
        </w:rPr>
        <w:t>AUS‐95),</w:t>
      </w:r>
      <w:r>
        <w:rPr>
          <w:spacing w:val="-4"/>
          <w:sz w:val="18"/>
        </w:rPr>
        <w:t xml:space="preserve"> </w:t>
      </w:r>
      <w:r>
        <w:rPr>
          <w:sz w:val="18"/>
        </w:rPr>
        <w:t>p.</w:t>
      </w:r>
      <w:r>
        <w:rPr>
          <w:spacing w:val="-3"/>
          <w:sz w:val="18"/>
        </w:rPr>
        <w:t xml:space="preserve"> </w:t>
      </w:r>
      <w:r>
        <w:rPr>
          <w:sz w:val="18"/>
        </w:rPr>
        <w:t xml:space="preserve">2. </w:t>
      </w:r>
      <w:r>
        <w:rPr>
          <w:sz w:val="18"/>
          <w:vertAlign w:val="superscript"/>
        </w:rPr>
        <w:t>1076</w:t>
      </w:r>
      <w:r>
        <w:rPr>
          <w:spacing w:val="-3"/>
          <w:sz w:val="18"/>
        </w:rPr>
        <w:t xml:space="preserve"> </w:t>
      </w:r>
      <w:r>
        <w:rPr>
          <w:sz w:val="18"/>
        </w:rPr>
        <w:t>Casella</w:t>
      </w:r>
      <w:r>
        <w:rPr>
          <w:spacing w:val="-3"/>
          <w:sz w:val="18"/>
        </w:rPr>
        <w:t xml:space="preserve"> </w:t>
      </w:r>
      <w:r>
        <w:rPr>
          <w:sz w:val="18"/>
        </w:rPr>
        <w:t>Wines</w:t>
      </w:r>
      <w:r>
        <w:rPr>
          <w:spacing w:val="-4"/>
          <w:sz w:val="18"/>
        </w:rPr>
        <w:t xml:space="preserve"> </w:t>
      </w:r>
      <w:r>
        <w:rPr>
          <w:sz w:val="18"/>
        </w:rPr>
        <w:t>Anti‐Dumping</w:t>
      </w:r>
      <w:r>
        <w:rPr>
          <w:spacing w:val="-3"/>
          <w:sz w:val="18"/>
        </w:rPr>
        <w:t xml:space="preserve"> </w:t>
      </w:r>
      <w:r>
        <w:rPr>
          <w:sz w:val="18"/>
        </w:rPr>
        <w:t>Questionnaire</w:t>
      </w:r>
      <w:r>
        <w:rPr>
          <w:spacing w:val="-3"/>
          <w:sz w:val="18"/>
        </w:rPr>
        <w:t xml:space="preserve"> </w:t>
      </w:r>
      <w:r>
        <w:rPr>
          <w:sz w:val="18"/>
        </w:rPr>
        <w:t>Extension</w:t>
      </w:r>
      <w:r>
        <w:rPr>
          <w:spacing w:val="-3"/>
          <w:sz w:val="18"/>
        </w:rPr>
        <w:t xml:space="preserve"> </w:t>
      </w:r>
      <w:r>
        <w:rPr>
          <w:sz w:val="18"/>
        </w:rPr>
        <w:t>Request</w:t>
      </w:r>
      <w:r>
        <w:rPr>
          <w:spacing w:val="-5"/>
          <w:sz w:val="18"/>
        </w:rPr>
        <w:t xml:space="preserve"> </w:t>
      </w:r>
      <w:r>
        <w:rPr>
          <w:sz w:val="18"/>
        </w:rPr>
        <w:t>(Exhibit</w:t>
      </w:r>
      <w:r>
        <w:rPr>
          <w:spacing w:val="-3"/>
          <w:sz w:val="18"/>
        </w:rPr>
        <w:t xml:space="preserve"> </w:t>
      </w:r>
      <w:r>
        <w:rPr>
          <w:sz w:val="18"/>
        </w:rPr>
        <w:t>AUS‐95),</w:t>
      </w:r>
      <w:r>
        <w:rPr>
          <w:spacing w:val="-4"/>
          <w:sz w:val="18"/>
        </w:rPr>
        <w:t xml:space="preserve"> </w:t>
      </w:r>
      <w:r>
        <w:rPr>
          <w:sz w:val="18"/>
        </w:rPr>
        <w:t>p.</w:t>
      </w:r>
      <w:r>
        <w:rPr>
          <w:spacing w:val="-3"/>
          <w:sz w:val="18"/>
        </w:rPr>
        <w:t xml:space="preserve"> </w:t>
      </w:r>
      <w:r>
        <w:rPr>
          <w:sz w:val="18"/>
        </w:rPr>
        <w:t>2.</w:t>
      </w:r>
    </w:p>
    <w:p w14:paraId="51DE9808" w14:textId="77777777" w:rsidR="0010369C" w:rsidRDefault="008E43AE">
      <w:pPr>
        <w:ind w:left="237" w:right="614"/>
        <w:rPr>
          <w:sz w:val="18"/>
        </w:rPr>
      </w:pPr>
      <w:r>
        <w:rPr>
          <w:sz w:val="18"/>
          <w:vertAlign w:val="superscript"/>
        </w:rPr>
        <w:t>1077</w:t>
      </w:r>
      <w:r>
        <w:rPr>
          <w:sz w:val="18"/>
        </w:rPr>
        <w:t xml:space="preserve"> See Casella Wines Anti‐Dumping Questionnaire Extension Request (Exhibit AUS‐95), p. 2; Treasury Wines Anti‐Dumping Questionnaire Extension Request (Exhibit AUS‐94), p. 2.</w:t>
      </w:r>
    </w:p>
    <w:p w14:paraId="51DE9809" w14:textId="77777777" w:rsidR="0010369C" w:rsidRDefault="008E43AE">
      <w:pPr>
        <w:ind w:left="238" w:right="614"/>
        <w:rPr>
          <w:sz w:val="18"/>
        </w:rPr>
      </w:pPr>
      <w:r>
        <w:rPr>
          <w:sz w:val="18"/>
          <w:vertAlign w:val="superscript"/>
        </w:rPr>
        <w:t>1078</w:t>
      </w:r>
      <w:r>
        <w:rPr>
          <w:sz w:val="18"/>
        </w:rPr>
        <w:t xml:space="preserve"> See Casella Wines Anti‐Dumping Questionnaire Extension Request (Exhibit AUS‐95)</w:t>
      </w:r>
      <w:r>
        <w:rPr>
          <w:sz w:val="18"/>
        </w:rPr>
        <w:t>, p.3; Treasury Wines Anti‐Dumping Questionnaire Extension Request (Exhibit AUS‐94), p. 2.</w:t>
      </w:r>
    </w:p>
    <w:p w14:paraId="51DE980A" w14:textId="77777777" w:rsidR="0010369C" w:rsidRDefault="008E43AE">
      <w:pPr>
        <w:spacing w:line="219" w:lineRule="exact"/>
        <w:ind w:left="238"/>
        <w:rPr>
          <w:sz w:val="18"/>
        </w:rPr>
      </w:pPr>
      <w:r>
        <w:rPr>
          <w:sz w:val="18"/>
          <w:vertAlign w:val="superscript"/>
        </w:rPr>
        <w:t>1079</w:t>
      </w:r>
      <w:r>
        <w:rPr>
          <w:spacing w:val="-10"/>
          <w:sz w:val="18"/>
        </w:rPr>
        <w:t xml:space="preserve"> </w:t>
      </w:r>
      <w:r>
        <w:rPr>
          <w:sz w:val="18"/>
        </w:rPr>
        <w:t>See</w:t>
      </w:r>
      <w:r>
        <w:rPr>
          <w:spacing w:val="-10"/>
          <w:sz w:val="18"/>
        </w:rPr>
        <w:t xml:space="preserve"> </w:t>
      </w:r>
      <w:r>
        <w:rPr>
          <w:sz w:val="18"/>
        </w:rPr>
        <w:t>Treasury</w:t>
      </w:r>
      <w:r>
        <w:rPr>
          <w:spacing w:val="-10"/>
          <w:sz w:val="18"/>
        </w:rPr>
        <w:t xml:space="preserve"> </w:t>
      </w:r>
      <w:r>
        <w:rPr>
          <w:sz w:val="18"/>
        </w:rPr>
        <w:t>Wines</w:t>
      </w:r>
      <w:r>
        <w:rPr>
          <w:spacing w:val="-10"/>
          <w:sz w:val="18"/>
        </w:rPr>
        <w:t xml:space="preserve"> </w:t>
      </w:r>
      <w:r>
        <w:rPr>
          <w:sz w:val="18"/>
        </w:rPr>
        <w:t>Anti‐Dumping</w:t>
      </w:r>
      <w:r>
        <w:rPr>
          <w:spacing w:val="-9"/>
          <w:sz w:val="18"/>
        </w:rPr>
        <w:t xml:space="preserve"> </w:t>
      </w:r>
      <w:r>
        <w:rPr>
          <w:sz w:val="18"/>
        </w:rPr>
        <w:t>Questionnaire</w:t>
      </w:r>
      <w:r>
        <w:rPr>
          <w:spacing w:val="-10"/>
          <w:sz w:val="18"/>
        </w:rPr>
        <w:t xml:space="preserve"> </w:t>
      </w:r>
      <w:r>
        <w:rPr>
          <w:sz w:val="18"/>
        </w:rPr>
        <w:t>Extension</w:t>
      </w:r>
      <w:r>
        <w:rPr>
          <w:spacing w:val="-10"/>
          <w:sz w:val="18"/>
        </w:rPr>
        <w:t xml:space="preserve"> </w:t>
      </w:r>
      <w:r>
        <w:rPr>
          <w:sz w:val="18"/>
        </w:rPr>
        <w:t>Request</w:t>
      </w:r>
      <w:r>
        <w:rPr>
          <w:spacing w:val="-9"/>
          <w:sz w:val="18"/>
        </w:rPr>
        <w:t xml:space="preserve"> </w:t>
      </w:r>
      <w:r>
        <w:rPr>
          <w:sz w:val="18"/>
        </w:rPr>
        <w:t>(Exhibit</w:t>
      </w:r>
      <w:r>
        <w:rPr>
          <w:spacing w:val="-10"/>
          <w:sz w:val="18"/>
        </w:rPr>
        <w:t xml:space="preserve"> </w:t>
      </w:r>
      <w:r>
        <w:rPr>
          <w:sz w:val="18"/>
        </w:rPr>
        <w:t>AUS‐94),</w:t>
      </w:r>
      <w:r>
        <w:rPr>
          <w:spacing w:val="-10"/>
          <w:sz w:val="18"/>
        </w:rPr>
        <w:t xml:space="preserve"> </w:t>
      </w:r>
      <w:r>
        <w:rPr>
          <w:sz w:val="18"/>
        </w:rPr>
        <w:t>p.</w:t>
      </w:r>
      <w:r>
        <w:rPr>
          <w:spacing w:val="-9"/>
          <w:sz w:val="18"/>
        </w:rPr>
        <w:t xml:space="preserve"> </w:t>
      </w:r>
      <w:r>
        <w:rPr>
          <w:spacing w:val="-5"/>
          <w:sz w:val="18"/>
        </w:rPr>
        <w:t>1.</w:t>
      </w:r>
    </w:p>
    <w:p w14:paraId="51DE980B" w14:textId="77777777" w:rsidR="0010369C" w:rsidRDefault="0010369C">
      <w:pPr>
        <w:spacing w:line="219" w:lineRule="exact"/>
        <w:rPr>
          <w:sz w:val="18"/>
        </w:rPr>
        <w:sectPr w:rsidR="0010369C">
          <w:pgSz w:w="11910" w:h="16840"/>
          <w:pgMar w:top="880" w:right="800" w:bottom="980" w:left="1180" w:header="569" w:footer="788" w:gutter="0"/>
          <w:cols w:space="720"/>
        </w:sectPr>
      </w:pPr>
    </w:p>
    <w:p w14:paraId="51DE980C" w14:textId="77777777" w:rsidR="0010369C" w:rsidRDefault="008E43AE">
      <w:pPr>
        <w:tabs>
          <w:tab w:val="left" w:pos="6426"/>
        </w:tabs>
        <w:ind w:left="238"/>
        <w:jc w:val="both"/>
        <w:rPr>
          <w:sz w:val="20"/>
        </w:rPr>
      </w:pPr>
      <w:r>
        <w:rPr>
          <w:i/>
          <w:sz w:val="20"/>
        </w:rPr>
        <w:lastRenderedPageBreak/>
        <w:t>China</w:t>
      </w:r>
      <w:r>
        <w:rPr>
          <w:i/>
          <w:spacing w:val="-5"/>
          <w:sz w:val="20"/>
        </w:rPr>
        <w:t xml:space="preserve"> </w:t>
      </w:r>
      <w:r>
        <w:rPr>
          <w:i/>
          <w:sz w:val="20"/>
        </w:rPr>
        <w:t>–</w:t>
      </w:r>
      <w:r>
        <w:rPr>
          <w:i/>
          <w:spacing w:val="-5"/>
          <w:sz w:val="20"/>
        </w:rPr>
        <w:t xml:space="preserve"> </w:t>
      </w:r>
      <w:r>
        <w:rPr>
          <w:i/>
          <w:sz w:val="20"/>
        </w:rPr>
        <w:t>Anti‐Dumping</w:t>
      </w:r>
      <w:r>
        <w:rPr>
          <w:i/>
          <w:spacing w:val="-4"/>
          <w:sz w:val="20"/>
        </w:rPr>
        <w:t xml:space="preserve"> </w:t>
      </w:r>
      <w:r>
        <w:rPr>
          <w:i/>
          <w:sz w:val="20"/>
        </w:rPr>
        <w:t>and</w:t>
      </w:r>
      <w:r>
        <w:rPr>
          <w:i/>
          <w:spacing w:val="-5"/>
          <w:sz w:val="20"/>
        </w:rPr>
        <w:t xml:space="preserve"> </w:t>
      </w:r>
      <w:r>
        <w:rPr>
          <w:i/>
          <w:sz w:val="20"/>
        </w:rPr>
        <w:t>Countervailing</w:t>
      </w:r>
      <w:r>
        <w:rPr>
          <w:i/>
          <w:spacing w:val="-5"/>
          <w:sz w:val="20"/>
        </w:rPr>
        <w:t xml:space="preserve"> </w:t>
      </w:r>
      <w:r>
        <w:rPr>
          <w:i/>
          <w:sz w:val="20"/>
        </w:rPr>
        <w:t>Duty</w:t>
      </w:r>
      <w:r>
        <w:rPr>
          <w:i/>
          <w:spacing w:val="-4"/>
          <w:sz w:val="20"/>
        </w:rPr>
        <w:t xml:space="preserve"> </w:t>
      </w:r>
      <w:r>
        <w:rPr>
          <w:i/>
          <w:spacing w:val="-2"/>
          <w:sz w:val="20"/>
        </w:rPr>
        <w:t>Measures</w:t>
      </w:r>
      <w:r>
        <w:rPr>
          <w:i/>
          <w:sz w:val="20"/>
        </w:rPr>
        <w:tab/>
      </w:r>
      <w:r>
        <w:rPr>
          <w:sz w:val="20"/>
        </w:rPr>
        <w:t>Australia's</w:t>
      </w:r>
      <w:r>
        <w:rPr>
          <w:spacing w:val="-7"/>
          <w:sz w:val="20"/>
        </w:rPr>
        <w:t xml:space="preserve"> </w:t>
      </w:r>
      <w:r>
        <w:rPr>
          <w:sz w:val="20"/>
        </w:rPr>
        <w:t>First</w:t>
      </w:r>
      <w:r>
        <w:rPr>
          <w:spacing w:val="-2"/>
          <w:sz w:val="20"/>
        </w:rPr>
        <w:t xml:space="preserve"> </w:t>
      </w:r>
      <w:r>
        <w:rPr>
          <w:sz w:val="20"/>
        </w:rPr>
        <w:t>Written</w:t>
      </w:r>
      <w:r>
        <w:rPr>
          <w:spacing w:val="-2"/>
          <w:sz w:val="20"/>
        </w:rPr>
        <w:t xml:space="preserve"> Submission</w:t>
      </w:r>
    </w:p>
    <w:p w14:paraId="51DE980D" w14:textId="77777777" w:rsidR="0010369C" w:rsidRDefault="008E43AE">
      <w:pPr>
        <w:tabs>
          <w:tab w:val="left" w:pos="8228"/>
        </w:tabs>
        <w:spacing w:before="1"/>
        <w:ind w:left="239"/>
        <w:jc w:val="both"/>
        <w:rPr>
          <w:sz w:val="20"/>
        </w:rPr>
      </w:pPr>
      <w:r>
        <w:rPr>
          <w:i/>
          <w:sz w:val="20"/>
        </w:rPr>
        <w:t>on</w:t>
      </w:r>
      <w:r>
        <w:rPr>
          <w:i/>
          <w:spacing w:val="-1"/>
          <w:sz w:val="20"/>
        </w:rPr>
        <w:t xml:space="preserve"> </w:t>
      </w:r>
      <w:r>
        <w:rPr>
          <w:i/>
          <w:sz w:val="20"/>
        </w:rPr>
        <w:t>Wine</w:t>
      </w:r>
      <w:r>
        <w:rPr>
          <w:i/>
          <w:spacing w:val="-1"/>
          <w:sz w:val="20"/>
        </w:rPr>
        <w:t xml:space="preserve"> </w:t>
      </w:r>
      <w:r>
        <w:rPr>
          <w:i/>
          <w:sz w:val="20"/>
        </w:rPr>
        <w:t>from</w:t>
      </w:r>
      <w:r>
        <w:rPr>
          <w:i/>
          <w:spacing w:val="-3"/>
          <w:sz w:val="20"/>
        </w:rPr>
        <w:t xml:space="preserve"> </w:t>
      </w:r>
      <w:r>
        <w:rPr>
          <w:i/>
          <w:sz w:val="20"/>
        </w:rPr>
        <w:t>Australia</w:t>
      </w:r>
      <w:r>
        <w:rPr>
          <w:i/>
          <w:spacing w:val="-1"/>
          <w:sz w:val="20"/>
        </w:rPr>
        <w:t xml:space="preserve"> </w:t>
      </w:r>
      <w:r>
        <w:rPr>
          <w:spacing w:val="-2"/>
          <w:sz w:val="20"/>
        </w:rPr>
        <w:t>(DS602)</w:t>
      </w:r>
      <w:r>
        <w:rPr>
          <w:sz w:val="20"/>
        </w:rPr>
        <w:tab/>
        <w:t>29</w:t>
      </w:r>
      <w:r>
        <w:rPr>
          <w:spacing w:val="-1"/>
          <w:sz w:val="20"/>
        </w:rPr>
        <w:t xml:space="preserve"> </w:t>
      </w:r>
      <w:r>
        <w:rPr>
          <w:sz w:val="20"/>
        </w:rPr>
        <w:t>April</w:t>
      </w:r>
      <w:r>
        <w:rPr>
          <w:spacing w:val="-2"/>
          <w:sz w:val="20"/>
        </w:rPr>
        <w:t xml:space="preserve"> </w:t>
      </w:r>
      <w:r>
        <w:rPr>
          <w:spacing w:val="-4"/>
          <w:sz w:val="20"/>
        </w:rPr>
        <w:t>2022</w:t>
      </w:r>
    </w:p>
    <w:p w14:paraId="51DE980E" w14:textId="77777777" w:rsidR="0010369C" w:rsidRDefault="008E43AE">
      <w:pPr>
        <w:spacing w:before="35" w:line="276" w:lineRule="auto"/>
        <w:ind w:left="1088" w:right="612"/>
        <w:jc w:val="both"/>
      </w:pPr>
      <w:r>
        <w:t>lockdown has been relaxed since 28 October, several restrictions still remain</w:t>
      </w:r>
      <w:r>
        <w:rPr>
          <w:spacing w:val="-2"/>
        </w:rPr>
        <w:t xml:space="preserve"> </w:t>
      </w:r>
      <w:r>
        <w:t>in place across Victoria, including a requirement to work from home when possible. Plea</w:t>
      </w:r>
      <w:r>
        <w:t>se refer to the Annex of this application for official notices and its Chinese translations of the quarantine policy</w:t>
      </w:r>
      <w:r>
        <w:rPr>
          <w:spacing w:val="-13"/>
        </w:rPr>
        <w:t xml:space="preserve"> </w:t>
      </w:r>
      <w:r>
        <w:t>in</w:t>
      </w:r>
      <w:r>
        <w:rPr>
          <w:spacing w:val="-12"/>
        </w:rPr>
        <w:t xml:space="preserve"> </w:t>
      </w:r>
      <w:r>
        <w:t>the</w:t>
      </w:r>
      <w:r>
        <w:rPr>
          <w:spacing w:val="-13"/>
        </w:rPr>
        <w:t xml:space="preserve"> </w:t>
      </w:r>
      <w:r>
        <w:t>Victoria</w:t>
      </w:r>
      <w:r>
        <w:rPr>
          <w:spacing w:val="-12"/>
        </w:rPr>
        <w:t xml:space="preserve"> </w:t>
      </w:r>
      <w:r>
        <w:t>and</w:t>
      </w:r>
      <w:r>
        <w:rPr>
          <w:spacing w:val="-13"/>
        </w:rPr>
        <w:t xml:space="preserve"> </w:t>
      </w:r>
      <w:r>
        <w:t>Melbourne</w:t>
      </w:r>
      <w:r>
        <w:rPr>
          <w:spacing w:val="-12"/>
        </w:rPr>
        <w:t xml:space="preserve"> </w:t>
      </w:r>
      <w:r>
        <w:t>Metropolitan</w:t>
      </w:r>
      <w:r>
        <w:rPr>
          <w:spacing w:val="-13"/>
        </w:rPr>
        <w:t xml:space="preserve"> </w:t>
      </w:r>
      <w:r>
        <w:t>Area.</w:t>
      </w:r>
      <w:r>
        <w:rPr>
          <w:spacing w:val="-12"/>
        </w:rPr>
        <w:t xml:space="preserve"> </w:t>
      </w:r>
      <w:r>
        <w:t>TWEV</w:t>
      </w:r>
      <w:r>
        <w:rPr>
          <w:spacing w:val="-12"/>
        </w:rPr>
        <w:t xml:space="preserve"> </w:t>
      </w:r>
      <w:r>
        <w:t>strictly</w:t>
      </w:r>
      <w:r>
        <w:rPr>
          <w:spacing w:val="-13"/>
        </w:rPr>
        <w:t xml:space="preserve"> </w:t>
      </w:r>
      <w:r>
        <w:t>complies</w:t>
      </w:r>
      <w:r>
        <w:rPr>
          <w:spacing w:val="-12"/>
        </w:rPr>
        <w:t xml:space="preserve"> </w:t>
      </w:r>
      <w:r>
        <w:t>with</w:t>
      </w:r>
      <w:r>
        <w:rPr>
          <w:spacing w:val="-13"/>
        </w:rPr>
        <w:t xml:space="preserve"> </w:t>
      </w:r>
      <w:r>
        <w:t>relevant quarantine regulations, and all work related to the a</w:t>
      </w:r>
      <w:r>
        <w:t>nti‐dumping response will have to be done remotely until 28 October. As of the date of submission of this application, most employees are still working from home. Although the Company has made every effort to collate and collect the necessary data relevant</w:t>
      </w:r>
      <w:r>
        <w:t xml:space="preserve"> to the response, telecommuting from home has significantly increased the cost of communication and the difficulty of accessing the Company's data and records, severely impacting the responding progress of the Company. Even</w:t>
      </w:r>
      <w:r>
        <w:rPr>
          <w:spacing w:val="-9"/>
        </w:rPr>
        <w:t xml:space="preserve"> </w:t>
      </w:r>
      <w:r>
        <w:t>though</w:t>
      </w:r>
      <w:r>
        <w:rPr>
          <w:spacing w:val="-7"/>
        </w:rPr>
        <w:t xml:space="preserve"> </w:t>
      </w:r>
      <w:r>
        <w:t>some</w:t>
      </w:r>
      <w:r>
        <w:rPr>
          <w:spacing w:val="-9"/>
        </w:rPr>
        <w:t xml:space="preserve"> </w:t>
      </w:r>
      <w:r>
        <w:t>of</w:t>
      </w:r>
      <w:r>
        <w:rPr>
          <w:spacing w:val="-9"/>
        </w:rPr>
        <w:t xml:space="preserve"> </w:t>
      </w:r>
      <w:r>
        <w:t>the</w:t>
      </w:r>
      <w:r>
        <w:rPr>
          <w:spacing w:val="-9"/>
        </w:rPr>
        <w:t xml:space="preserve"> </w:t>
      </w:r>
      <w:r>
        <w:t>Company's</w:t>
      </w:r>
      <w:r>
        <w:rPr>
          <w:spacing w:val="-8"/>
        </w:rPr>
        <w:t xml:space="preserve"> </w:t>
      </w:r>
      <w:r>
        <w:t>employees</w:t>
      </w:r>
      <w:r>
        <w:rPr>
          <w:spacing w:val="-8"/>
        </w:rPr>
        <w:t xml:space="preserve"> </w:t>
      </w:r>
      <w:r>
        <w:t>have</w:t>
      </w:r>
      <w:r>
        <w:rPr>
          <w:spacing w:val="-8"/>
        </w:rPr>
        <w:t xml:space="preserve"> </w:t>
      </w:r>
      <w:r>
        <w:t>been</w:t>
      </w:r>
      <w:r>
        <w:rPr>
          <w:spacing w:val="-9"/>
        </w:rPr>
        <w:t xml:space="preserve"> </w:t>
      </w:r>
      <w:r>
        <w:t>able</w:t>
      </w:r>
      <w:r>
        <w:rPr>
          <w:spacing w:val="-10"/>
        </w:rPr>
        <w:t xml:space="preserve"> </w:t>
      </w:r>
      <w:r>
        <w:t>to</w:t>
      </w:r>
      <w:r>
        <w:rPr>
          <w:spacing w:val="-8"/>
        </w:rPr>
        <w:t xml:space="preserve"> </w:t>
      </w:r>
      <w:r>
        <w:t>resume</w:t>
      </w:r>
      <w:r>
        <w:rPr>
          <w:spacing w:val="-8"/>
        </w:rPr>
        <w:t xml:space="preserve"> </w:t>
      </w:r>
      <w:r>
        <w:t>their</w:t>
      </w:r>
      <w:r>
        <w:rPr>
          <w:spacing w:val="-9"/>
        </w:rPr>
        <w:t xml:space="preserve"> </w:t>
      </w:r>
      <w:r>
        <w:t>on‐site</w:t>
      </w:r>
      <w:r>
        <w:rPr>
          <w:spacing w:val="-9"/>
        </w:rPr>
        <w:t xml:space="preserve"> </w:t>
      </w:r>
      <w:r>
        <w:t>work since the lockdown policy of Melbourne City was eased on 28 October, the prescribed time limit</w:t>
      </w:r>
      <w:r>
        <w:rPr>
          <w:spacing w:val="-3"/>
        </w:rPr>
        <w:t xml:space="preserve"> </w:t>
      </w:r>
      <w:r>
        <w:t>of</w:t>
      </w:r>
      <w:r>
        <w:rPr>
          <w:spacing w:val="-3"/>
        </w:rPr>
        <w:t xml:space="preserve"> </w:t>
      </w:r>
      <w:r>
        <w:t>37</w:t>
      </w:r>
      <w:r>
        <w:rPr>
          <w:spacing w:val="-3"/>
        </w:rPr>
        <w:t xml:space="preserve"> </w:t>
      </w:r>
      <w:r>
        <w:t>days</w:t>
      </w:r>
      <w:r>
        <w:rPr>
          <w:spacing w:val="-2"/>
        </w:rPr>
        <w:t xml:space="preserve"> </w:t>
      </w:r>
      <w:r>
        <w:t>is</w:t>
      </w:r>
      <w:r>
        <w:rPr>
          <w:spacing w:val="-2"/>
        </w:rPr>
        <w:t xml:space="preserve"> </w:t>
      </w:r>
      <w:r>
        <w:t>still</w:t>
      </w:r>
      <w:r>
        <w:rPr>
          <w:spacing w:val="-3"/>
        </w:rPr>
        <w:t xml:space="preserve"> </w:t>
      </w:r>
      <w:r>
        <w:t>very</w:t>
      </w:r>
      <w:r>
        <w:rPr>
          <w:spacing w:val="-3"/>
        </w:rPr>
        <w:t xml:space="preserve"> </w:t>
      </w:r>
      <w:r>
        <w:t>tight</w:t>
      </w:r>
      <w:r>
        <w:rPr>
          <w:spacing w:val="-2"/>
        </w:rPr>
        <w:t xml:space="preserve"> </w:t>
      </w:r>
      <w:r>
        <w:t>for</w:t>
      </w:r>
      <w:r>
        <w:rPr>
          <w:spacing w:val="-3"/>
        </w:rPr>
        <w:t xml:space="preserve"> </w:t>
      </w:r>
      <w:r>
        <w:t>the</w:t>
      </w:r>
      <w:r>
        <w:rPr>
          <w:spacing w:val="-2"/>
        </w:rPr>
        <w:t xml:space="preserve"> </w:t>
      </w:r>
      <w:r>
        <w:t>Company,</w:t>
      </w:r>
      <w:r>
        <w:rPr>
          <w:spacing w:val="-2"/>
        </w:rPr>
        <w:t xml:space="preserve"> </w:t>
      </w:r>
      <w:r>
        <w:t>given</w:t>
      </w:r>
      <w:r>
        <w:rPr>
          <w:spacing w:val="-3"/>
        </w:rPr>
        <w:t xml:space="preserve"> </w:t>
      </w:r>
      <w:r>
        <w:t>that</w:t>
      </w:r>
      <w:r>
        <w:rPr>
          <w:spacing w:val="-3"/>
        </w:rPr>
        <w:t xml:space="preserve"> </w:t>
      </w:r>
      <w:r>
        <w:t>full</w:t>
      </w:r>
      <w:r>
        <w:rPr>
          <w:spacing w:val="-3"/>
        </w:rPr>
        <w:t xml:space="preserve"> </w:t>
      </w:r>
      <w:r>
        <w:t>resumption</w:t>
      </w:r>
      <w:r>
        <w:rPr>
          <w:spacing w:val="-4"/>
        </w:rPr>
        <w:t xml:space="preserve"> </w:t>
      </w:r>
      <w:r>
        <w:t>of</w:t>
      </w:r>
      <w:r>
        <w:rPr>
          <w:spacing w:val="-2"/>
        </w:rPr>
        <w:t xml:space="preserve"> </w:t>
      </w:r>
      <w:r>
        <w:t>work</w:t>
      </w:r>
      <w:r>
        <w:rPr>
          <w:spacing w:val="-3"/>
        </w:rPr>
        <w:t xml:space="preserve"> </w:t>
      </w:r>
      <w:r>
        <w:t>has</w:t>
      </w:r>
      <w:r>
        <w:rPr>
          <w:spacing w:val="-2"/>
        </w:rPr>
        <w:t xml:space="preserve"> </w:t>
      </w:r>
      <w:r>
        <w:t>not yet ta</w:t>
      </w:r>
      <w:r>
        <w:t>ken place.</w:t>
      </w:r>
      <w:r>
        <w:rPr>
          <w:vertAlign w:val="superscript"/>
        </w:rPr>
        <w:t>1080</w:t>
      </w:r>
    </w:p>
    <w:p w14:paraId="51DE980F" w14:textId="77777777" w:rsidR="0010369C" w:rsidRDefault="0010369C">
      <w:pPr>
        <w:pStyle w:val="BodyText"/>
        <w:spacing w:before="4"/>
        <w:rPr>
          <w:sz w:val="15"/>
        </w:rPr>
      </w:pPr>
    </w:p>
    <w:p w14:paraId="51DE9810" w14:textId="77777777" w:rsidR="0010369C" w:rsidRDefault="008E43AE">
      <w:pPr>
        <w:pStyle w:val="BodyText"/>
        <w:spacing w:before="52" w:line="360" w:lineRule="auto"/>
        <w:ind w:left="238" w:right="612" w:firstLine="851"/>
        <w:jc w:val="both"/>
      </w:pPr>
      <w:r>
        <w:rPr>
          <w:noProof/>
        </w:rPr>
        <w:drawing>
          <wp:anchor distT="0" distB="0" distL="0" distR="0" simplePos="0" relativeHeight="251501056" behindDoc="1" locked="0" layoutInCell="1" allowOverlap="1" wp14:anchorId="51DEA7A7" wp14:editId="51DEA7A8">
            <wp:simplePos x="0" y="0"/>
            <wp:positionH relativeFrom="page">
              <wp:posOffset>902208</wp:posOffset>
            </wp:positionH>
            <wp:positionV relativeFrom="paragraph">
              <wp:posOffset>81357</wp:posOffset>
            </wp:positionV>
            <wp:extent cx="262127" cy="103631"/>
            <wp:effectExtent l="0" t="0" r="0" b="0"/>
            <wp:wrapNone/>
            <wp:docPr id="1771" name="image9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 name="image913.png"/>
                    <pic:cNvPicPr/>
                  </pic:nvPicPr>
                  <pic:blipFill>
                    <a:blip r:embed="rId1182" cstate="print"/>
                    <a:stretch>
                      <a:fillRect/>
                    </a:stretch>
                  </pic:blipFill>
                  <pic:spPr>
                    <a:xfrm>
                      <a:off x="0" y="0"/>
                      <a:ext cx="262127" cy="103631"/>
                    </a:xfrm>
                    <a:prstGeom prst="rect">
                      <a:avLst/>
                    </a:prstGeom>
                  </pic:spPr>
                </pic:pic>
              </a:graphicData>
            </a:graphic>
          </wp:anchor>
        </w:drawing>
      </w:r>
      <w:r>
        <w:t>Further, in the Annexure to their extension request, Treasury Wines provided over 50</w:t>
      </w:r>
      <w:r>
        <w:rPr>
          <w:spacing w:val="-2"/>
        </w:rPr>
        <w:t xml:space="preserve"> </w:t>
      </w:r>
      <w:r>
        <w:t>pages</w:t>
      </w:r>
      <w:r>
        <w:rPr>
          <w:spacing w:val="-1"/>
        </w:rPr>
        <w:t xml:space="preserve"> </w:t>
      </w:r>
      <w:r>
        <w:t>of</w:t>
      </w:r>
      <w:r>
        <w:rPr>
          <w:spacing w:val="-1"/>
        </w:rPr>
        <w:t xml:space="preserve"> </w:t>
      </w:r>
      <w:r>
        <w:t>supporting</w:t>
      </w:r>
      <w:r>
        <w:rPr>
          <w:spacing w:val="-1"/>
        </w:rPr>
        <w:t xml:space="preserve"> </w:t>
      </w:r>
      <w:r>
        <w:t>documentation including copies</w:t>
      </w:r>
      <w:r>
        <w:rPr>
          <w:spacing w:val="-2"/>
        </w:rPr>
        <w:t xml:space="preserve"> </w:t>
      </w:r>
      <w:r>
        <w:t>of</w:t>
      </w:r>
      <w:r>
        <w:rPr>
          <w:spacing w:val="-1"/>
        </w:rPr>
        <w:t xml:space="preserve"> </w:t>
      </w:r>
      <w:r>
        <w:t>government</w:t>
      </w:r>
      <w:r>
        <w:rPr>
          <w:spacing w:val="-2"/>
        </w:rPr>
        <w:t xml:space="preserve"> </w:t>
      </w:r>
      <w:r>
        <w:t>Stay at</w:t>
      </w:r>
      <w:r>
        <w:rPr>
          <w:spacing w:val="-1"/>
        </w:rPr>
        <w:t xml:space="preserve"> </w:t>
      </w:r>
      <w:r>
        <w:t>Home</w:t>
      </w:r>
      <w:r>
        <w:rPr>
          <w:spacing w:val="-1"/>
        </w:rPr>
        <w:t xml:space="preserve"> </w:t>
      </w:r>
      <w:r>
        <w:t>Orders, public</w:t>
      </w:r>
      <w:r>
        <w:rPr>
          <w:spacing w:val="-2"/>
        </w:rPr>
        <w:t xml:space="preserve"> </w:t>
      </w:r>
      <w:r>
        <w:t>statements</w:t>
      </w:r>
      <w:r>
        <w:rPr>
          <w:spacing w:val="-3"/>
        </w:rPr>
        <w:t xml:space="preserve"> </w:t>
      </w:r>
      <w:r>
        <w:t>from</w:t>
      </w:r>
      <w:r>
        <w:rPr>
          <w:spacing w:val="-5"/>
        </w:rPr>
        <w:t xml:space="preserve"> </w:t>
      </w:r>
      <w:r>
        <w:t>government</w:t>
      </w:r>
      <w:r>
        <w:rPr>
          <w:spacing w:val="-4"/>
        </w:rPr>
        <w:t xml:space="preserve"> </w:t>
      </w:r>
      <w:r>
        <w:t>officials,</w:t>
      </w:r>
      <w:r>
        <w:rPr>
          <w:spacing w:val="-1"/>
        </w:rPr>
        <w:t xml:space="preserve"> </w:t>
      </w:r>
      <w:r>
        <w:t>government</w:t>
      </w:r>
      <w:r>
        <w:rPr>
          <w:spacing w:val="-3"/>
        </w:rPr>
        <w:t xml:space="preserve"> </w:t>
      </w:r>
      <w:r>
        <w:t>action</w:t>
      </w:r>
      <w:r>
        <w:rPr>
          <w:spacing w:val="-3"/>
        </w:rPr>
        <w:t xml:space="preserve"> </w:t>
      </w:r>
      <w:r>
        <w:t>plans</w:t>
      </w:r>
      <w:r>
        <w:rPr>
          <w:spacing w:val="-2"/>
        </w:rPr>
        <w:t xml:space="preserve"> </w:t>
      </w:r>
      <w:r>
        <w:t>for</w:t>
      </w:r>
      <w:r>
        <w:rPr>
          <w:spacing w:val="-2"/>
        </w:rPr>
        <w:t xml:space="preserve"> </w:t>
      </w:r>
      <w:r>
        <w:t>the</w:t>
      </w:r>
      <w:r>
        <w:rPr>
          <w:spacing w:val="-2"/>
        </w:rPr>
        <w:t xml:space="preserve"> </w:t>
      </w:r>
      <w:r>
        <w:t>lockdown,</w:t>
      </w:r>
      <w:r>
        <w:rPr>
          <w:spacing w:val="-1"/>
        </w:rPr>
        <w:t xml:space="preserve"> </w:t>
      </w:r>
      <w:r>
        <w:t xml:space="preserve">and other advice detailing the circumstances, including the very strict lock down requirements in </w:t>
      </w:r>
      <w:r>
        <w:rPr>
          <w:spacing w:val="-2"/>
        </w:rPr>
        <w:t>place.</w:t>
      </w:r>
    </w:p>
    <w:p w14:paraId="51DE9811" w14:textId="77777777" w:rsidR="0010369C" w:rsidRDefault="0010369C">
      <w:pPr>
        <w:pStyle w:val="BodyText"/>
        <w:spacing w:before="10"/>
        <w:rPr>
          <w:sz w:val="8"/>
        </w:rPr>
      </w:pPr>
    </w:p>
    <w:p w14:paraId="51DE9812" w14:textId="77777777" w:rsidR="0010369C" w:rsidRDefault="008E43AE">
      <w:pPr>
        <w:pStyle w:val="BodyText"/>
        <w:spacing w:before="52" w:line="360" w:lineRule="auto"/>
        <w:ind w:left="236" w:right="612" w:firstLine="852"/>
        <w:jc w:val="both"/>
      </w:pPr>
      <w:r>
        <w:rPr>
          <w:noProof/>
        </w:rPr>
        <w:drawing>
          <wp:anchor distT="0" distB="0" distL="0" distR="0" simplePos="0" relativeHeight="251502080" behindDoc="1" locked="0" layoutInCell="1" allowOverlap="1" wp14:anchorId="51DEA7A9" wp14:editId="51DEA7AA">
            <wp:simplePos x="0" y="0"/>
            <wp:positionH relativeFrom="page">
              <wp:posOffset>902208</wp:posOffset>
            </wp:positionH>
            <wp:positionV relativeFrom="paragraph">
              <wp:posOffset>81357</wp:posOffset>
            </wp:positionV>
            <wp:extent cx="262127" cy="103631"/>
            <wp:effectExtent l="0" t="0" r="0" b="0"/>
            <wp:wrapNone/>
            <wp:docPr id="1773" name="image9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 name="image914.png"/>
                    <pic:cNvPicPr/>
                  </pic:nvPicPr>
                  <pic:blipFill>
                    <a:blip r:embed="rId1183" cstate="print"/>
                    <a:stretch>
                      <a:fillRect/>
                    </a:stretch>
                  </pic:blipFill>
                  <pic:spPr>
                    <a:xfrm>
                      <a:off x="0" y="0"/>
                      <a:ext cx="262127" cy="103631"/>
                    </a:xfrm>
                    <a:prstGeom prst="rect">
                      <a:avLst/>
                    </a:prstGeom>
                  </pic:spPr>
                </pic:pic>
              </a:graphicData>
            </a:graphic>
          </wp:anchor>
        </w:drawing>
      </w:r>
      <w:r>
        <w:t xml:space="preserve">In </w:t>
      </w:r>
      <w:r>
        <w:rPr>
          <w:i/>
        </w:rPr>
        <w:t>EC – Fasteners (China)</w:t>
      </w:r>
      <w:r>
        <w:t>, the Panel considered that where information requested would</w:t>
      </w:r>
      <w:r>
        <w:rPr>
          <w:spacing w:val="-14"/>
        </w:rPr>
        <w:t xml:space="preserve"> </w:t>
      </w:r>
      <w:r>
        <w:t>need</w:t>
      </w:r>
      <w:r>
        <w:rPr>
          <w:spacing w:val="-14"/>
        </w:rPr>
        <w:t xml:space="preserve"> </w:t>
      </w:r>
      <w:r>
        <w:t>to</w:t>
      </w:r>
      <w:r>
        <w:rPr>
          <w:spacing w:val="-13"/>
        </w:rPr>
        <w:t xml:space="preserve"> </w:t>
      </w:r>
      <w:r>
        <w:t>be</w:t>
      </w:r>
      <w:r>
        <w:rPr>
          <w:spacing w:val="-14"/>
        </w:rPr>
        <w:t xml:space="preserve"> </w:t>
      </w:r>
      <w:r>
        <w:t>collected</w:t>
      </w:r>
      <w:r>
        <w:rPr>
          <w:spacing w:val="-13"/>
        </w:rPr>
        <w:t xml:space="preserve"> </w:t>
      </w:r>
      <w:r>
        <w:t>and</w:t>
      </w:r>
      <w:r>
        <w:rPr>
          <w:spacing w:val="-14"/>
        </w:rPr>
        <w:t xml:space="preserve"> </w:t>
      </w:r>
      <w:r>
        <w:t>reported</w:t>
      </w:r>
      <w:r>
        <w:rPr>
          <w:spacing w:val="-13"/>
        </w:rPr>
        <w:t xml:space="preserve"> </w:t>
      </w:r>
      <w:r>
        <w:t>in</w:t>
      </w:r>
      <w:r>
        <w:rPr>
          <w:spacing w:val="-14"/>
        </w:rPr>
        <w:t xml:space="preserve"> </w:t>
      </w:r>
      <w:r>
        <w:t>a</w:t>
      </w:r>
      <w:r>
        <w:rPr>
          <w:spacing w:val="-14"/>
        </w:rPr>
        <w:t xml:space="preserve"> </w:t>
      </w:r>
      <w:r>
        <w:t>form</w:t>
      </w:r>
      <w:r>
        <w:rPr>
          <w:spacing w:val="-13"/>
        </w:rPr>
        <w:t xml:space="preserve"> </w:t>
      </w:r>
      <w:r>
        <w:t>that</w:t>
      </w:r>
      <w:r>
        <w:rPr>
          <w:spacing w:val="-14"/>
        </w:rPr>
        <w:t xml:space="preserve"> </w:t>
      </w:r>
      <w:r>
        <w:t>was</w:t>
      </w:r>
      <w:r>
        <w:rPr>
          <w:spacing w:val="-13"/>
        </w:rPr>
        <w:t xml:space="preserve"> </w:t>
      </w:r>
      <w:r>
        <w:t>not</w:t>
      </w:r>
      <w:r>
        <w:rPr>
          <w:spacing w:val="-14"/>
        </w:rPr>
        <w:t xml:space="preserve"> </w:t>
      </w:r>
      <w:r>
        <w:t>regularly</w:t>
      </w:r>
      <w:r>
        <w:rPr>
          <w:spacing w:val="-13"/>
        </w:rPr>
        <w:t xml:space="preserve"> </w:t>
      </w:r>
      <w:r>
        <w:t>kept</w:t>
      </w:r>
      <w:r>
        <w:rPr>
          <w:spacing w:val="-14"/>
        </w:rPr>
        <w:t xml:space="preserve"> </w:t>
      </w:r>
      <w:r>
        <w:t>by</w:t>
      </w:r>
      <w:r>
        <w:rPr>
          <w:spacing w:val="-14"/>
        </w:rPr>
        <w:t xml:space="preserve"> </w:t>
      </w:r>
      <w:r>
        <w:t>the</w:t>
      </w:r>
      <w:r>
        <w:rPr>
          <w:spacing w:val="-13"/>
        </w:rPr>
        <w:t xml:space="preserve"> </w:t>
      </w:r>
      <w:r>
        <w:t>company, this</w:t>
      </w:r>
      <w:r>
        <w:rPr>
          <w:spacing w:val="-4"/>
        </w:rPr>
        <w:t xml:space="preserve"> </w:t>
      </w:r>
      <w:r>
        <w:t>would</w:t>
      </w:r>
      <w:r>
        <w:rPr>
          <w:spacing w:val="-4"/>
        </w:rPr>
        <w:t xml:space="preserve"> </w:t>
      </w:r>
      <w:r>
        <w:t>involve</w:t>
      </w:r>
      <w:r>
        <w:rPr>
          <w:spacing w:val="-3"/>
        </w:rPr>
        <w:t xml:space="preserve"> </w:t>
      </w:r>
      <w:r>
        <w:t>a</w:t>
      </w:r>
      <w:r>
        <w:rPr>
          <w:spacing w:val="-4"/>
        </w:rPr>
        <w:t xml:space="preserve"> </w:t>
      </w:r>
      <w:r>
        <w:t>certain</w:t>
      </w:r>
      <w:r>
        <w:rPr>
          <w:spacing w:val="-4"/>
        </w:rPr>
        <w:t xml:space="preserve"> </w:t>
      </w:r>
      <w:r>
        <w:t>amount</w:t>
      </w:r>
      <w:r>
        <w:rPr>
          <w:spacing w:val="-5"/>
        </w:rPr>
        <w:t xml:space="preserve"> </w:t>
      </w:r>
      <w:r>
        <w:t>of</w:t>
      </w:r>
      <w:r>
        <w:rPr>
          <w:spacing w:val="-4"/>
        </w:rPr>
        <w:t xml:space="preserve"> </w:t>
      </w:r>
      <w:r>
        <w:t>time</w:t>
      </w:r>
      <w:r>
        <w:rPr>
          <w:spacing w:val="-3"/>
        </w:rPr>
        <w:t xml:space="preserve"> </w:t>
      </w:r>
      <w:r>
        <w:t>and</w:t>
      </w:r>
      <w:r>
        <w:rPr>
          <w:spacing w:val="-3"/>
        </w:rPr>
        <w:t xml:space="preserve"> </w:t>
      </w:r>
      <w:r>
        <w:t>effort</w:t>
      </w:r>
      <w:r>
        <w:rPr>
          <w:spacing w:val="-4"/>
        </w:rPr>
        <w:t xml:space="preserve"> </w:t>
      </w:r>
      <w:r>
        <w:t>for</w:t>
      </w:r>
      <w:r>
        <w:rPr>
          <w:spacing w:val="-3"/>
        </w:rPr>
        <w:t xml:space="preserve"> </w:t>
      </w:r>
      <w:r>
        <w:t>completion.</w:t>
      </w:r>
      <w:r>
        <w:rPr>
          <w:vertAlign w:val="superscript"/>
        </w:rPr>
        <w:t>1081</w:t>
      </w:r>
      <w:r>
        <w:rPr>
          <w:spacing w:val="-4"/>
        </w:rPr>
        <w:t xml:space="preserve"> </w:t>
      </w:r>
      <w:r>
        <w:t>MOFCOM</w:t>
      </w:r>
      <w:r>
        <w:rPr>
          <w:spacing w:val="-4"/>
        </w:rPr>
        <w:t xml:space="preserve"> </w:t>
      </w:r>
      <w:r>
        <w:t xml:space="preserve">required data to be presented in the questionnaire using product control numbers for wines that differed significantly from the product numbers regularly kept by the companies. As a result, this information was especially onerous for companies to collate. </w:t>
      </w:r>
      <w:r>
        <w:t>Casella stated in its extension request as follows:</w:t>
      </w:r>
    </w:p>
    <w:p w14:paraId="51DE9813" w14:textId="77777777" w:rsidR="0010369C" w:rsidRDefault="008E43AE">
      <w:pPr>
        <w:spacing w:before="161"/>
        <w:ind w:left="919" w:right="982" w:hanging="1"/>
        <w:jc w:val="both"/>
      </w:pPr>
      <w:r>
        <w:t>In this case, the wine product types were very complex and diverse, and the product control numbers required by the Ministry of Commerce are completely different from</w:t>
      </w:r>
      <w:r>
        <w:rPr>
          <w:spacing w:val="80"/>
        </w:rPr>
        <w:t xml:space="preserve"> </w:t>
      </w:r>
      <w:r>
        <w:t>the product models in our system. Tha</w:t>
      </w:r>
      <w:r>
        <w:t>t's why Casella has to spend a lot of time matching our product models with the product control numbers.</w:t>
      </w:r>
      <w:r>
        <w:rPr>
          <w:vertAlign w:val="superscript"/>
        </w:rPr>
        <w:t>1082</w:t>
      </w:r>
    </w:p>
    <w:p w14:paraId="51DE9814" w14:textId="77777777" w:rsidR="0010369C" w:rsidRDefault="0010369C">
      <w:pPr>
        <w:pStyle w:val="BodyText"/>
        <w:spacing w:before="9"/>
        <w:rPr>
          <w:sz w:val="17"/>
        </w:rPr>
      </w:pPr>
    </w:p>
    <w:p w14:paraId="51DE9815" w14:textId="77777777" w:rsidR="0010369C" w:rsidRDefault="008E43AE">
      <w:pPr>
        <w:pStyle w:val="BodyText"/>
        <w:spacing w:before="51" w:line="360" w:lineRule="auto"/>
        <w:ind w:left="238" w:right="611" w:firstLine="851"/>
      </w:pPr>
      <w:r>
        <w:rPr>
          <w:noProof/>
        </w:rPr>
        <w:drawing>
          <wp:anchor distT="0" distB="0" distL="0" distR="0" simplePos="0" relativeHeight="251503104" behindDoc="1" locked="0" layoutInCell="1" allowOverlap="1" wp14:anchorId="51DEA7AB" wp14:editId="51DEA7AC">
            <wp:simplePos x="0" y="0"/>
            <wp:positionH relativeFrom="page">
              <wp:posOffset>902208</wp:posOffset>
            </wp:positionH>
            <wp:positionV relativeFrom="paragraph">
              <wp:posOffset>80722</wp:posOffset>
            </wp:positionV>
            <wp:extent cx="262127" cy="103631"/>
            <wp:effectExtent l="0" t="0" r="0" b="0"/>
            <wp:wrapNone/>
            <wp:docPr id="1775" name="image9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 name="image915.png"/>
                    <pic:cNvPicPr/>
                  </pic:nvPicPr>
                  <pic:blipFill>
                    <a:blip r:embed="rId1184" cstate="print"/>
                    <a:stretch>
                      <a:fillRect/>
                    </a:stretch>
                  </pic:blipFill>
                  <pic:spPr>
                    <a:xfrm>
                      <a:off x="0" y="0"/>
                      <a:ext cx="262127" cy="103631"/>
                    </a:xfrm>
                    <a:prstGeom prst="rect">
                      <a:avLst/>
                    </a:prstGeom>
                  </pic:spPr>
                </pic:pic>
              </a:graphicData>
            </a:graphic>
          </wp:anchor>
        </w:drawing>
      </w:r>
      <w:r>
        <w:t>The</w:t>
      </w:r>
      <w:r>
        <w:rPr>
          <w:spacing w:val="-8"/>
        </w:rPr>
        <w:t xml:space="preserve"> </w:t>
      </w:r>
      <w:r>
        <w:t>consequences</w:t>
      </w:r>
      <w:r>
        <w:rPr>
          <w:spacing w:val="-10"/>
        </w:rPr>
        <w:t xml:space="preserve"> </w:t>
      </w:r>
      <w:r>
        <w:t>of</w:t>
      </w:r>
      <w:r>
        <w:rPr>
          <w:spacing w:val="-9"/>
        </w:rPr>
        <w:t xml:space="preserve"> </w:t>
      </w:r>
      <w:r>
        <w:t>the</w:t>
      </w:r>
      <w:r>
        <w:rPr>
          <w:spacing w:val="-8"/>
        </w:rPr>
        <w:t xml:space="preserve"> </w:t>
      </w:r>
      <w:r>
        <w:t>matter</w:t>
      </w:r>
      <w:r>
        <w:rPr>
          <w:spacing w:val="-10"/>
        </w:rPr>
        <w:t xml:space="preserve"> </w:t>
      </w:r>
      <w:r>
        <w:t>on</w:t>
      </w:r>
      <w:r>
        <w:rPr>
          <w:spacing w:val="-9"/>
        </w:rPr>
        <w:t xml:space="preserve"> </w:t>
      </w:r>
      <w:r>
        <w:t>which</w:t>
      </w:r>
      <w:r>
        <w:rPr>
          <w:spacing w:val="-9"/>
        </w:rPr>
        <w:t xml:space="preserve"> </w:t>
      </w:r>
      <w:r>
        <w:t>the</w:t>
      </w:r>
      <w:r>
        <w:rPr>
          <w:spacing w:val="-8"/>
        </w:rPr>
        <w:t xml:space="preserve"> </w:t>
      </w:r>
      <w:r>
        <w:t>information</w:t>
      </w:r>
      <w:r>
        <w:rPr>
          <w:spacing w:val="-8"/>
        </w:rPr>
        <w:t xml:space="preserve"> </w:t>
      </w:r>
      <w:r>
        <w:t>is</w:t>
      </w:r>
      <w:r>
        <w:rPr>
          <w:spacing w:val="-9"/>
        </w:rPr>
        <w:t xml:space="preserve"> </w:t>
      </w:r>
      <w:r>
        <w:t>sought,</w:t>
      </w:r>
      <w:r>
        <w:rPr>
          <w:spacing w:val="-9"/>
        </w:rPr>
        <w:t xml:space="preserve"> </w:t>
      </w:r>
      <w:r>
        <w:t>and</w:t>
      </w:r>
      <w:r>
        <w:rPr>
          <w:spacing w:val="-9"/>
        </w:rPr>
        <w:t xml:space="preserve"> </w:t>
      </w:r>
      <w:r>
        <w:t>the</w:t>
      </w:r>
      <w:r>
        <w:rPr>
          <w:spacing w:val="-8"/>
        </w:rPr>
        <w:t xml:space="preserve"> </w:t>
      </w:r>
      <w:r>
        <w:t>amount of</w:t>
      </w:r>
      <w:r>
        <w:rPr>
          <w:spacing w:val="-14"/>
        </w:rPr>
        <w:t xml:space="preserve"> </w:t>
      </w:r>
      <w:r>
        <w:t>the</w:t>
      </w:r>
      <w:r>
        <w:rPr>
          <w:spacing w:val="-14"/>
        </w:rPr>
        <w:t xml:space="preserve"> </w:t>
      </w:r>
      <w:r>
        <w:t>information</w:t>
      </w:r>
      <w:r>
        <w:rPr>
          <w:spacing w:val="-12"/>
        </w:rPr>
        <w:t xml:space="preserve"> </w:t>
      </w:r>
      <w:r>
        <w:t>solicited,</w:t>
      </w:r>
      <w:r>
        <w:rPr>
          <w:vertAlign w:val="superscript"/>
        </w:rPr>
        <w:t>1083</w:t>
      </w:r>
      <w:r>
        <w:rPr>
          <w:spacing w:val="-14"/>
        </w:rPr>
        <w:t xml:space="preserve"> </w:t>
      </w:r>
      <w:r>
        <w:t>should</w:t>
      </w:r>
      <w:r>
        <w:rPr>
          <w:spacing w:val="-13"/>
        </w:rPr>
        <w:t xml:space="preserve"> </w:t>
      </w:r>
      <w:r>
        <w:t>have</w:t>
      </w:r>
      <w:r>
        <w:rPr>
          <w:spacing w:val="-12"/>
        </w:rPr>
        <w:t xml:space="preserve"> </w:t>
      </w:r>
      <w:r>
        <w:t>both</w:t>
      </w:r>
      <w:r>
        <w:rPr>
          <w:spacing w:val="-13"/>
        </w:rPr>
        <w:t xml:space="preserve"> </w:t>
      </w:r>
      <w:r>
        <w:t>been</w:t>
      </w:r>
      <w:r>
        <w:rPr>
          <w:spacing w:val="-14"/>
        </w:rPr>
        <w:t xml:space="preserve"> </w:t>
      </w:r>
      <w:r>
        <w:t>taken</w:t>
      </w:r>
      <w:r>
        <w:rPr>
          <w:spacing w:val="-13"/>
        </w:rPr>
        <w:t xml:space="preserve"> </w:t>
      </w:r>
      <w:r>
        <w:t>i</w:t>
      </w:r>
      <w:r>
        <w:t>nto</w:t>
      </w:r>
      <w:r>
        <w:rPr>
          <w:spacing w:val="-12"/>
        </w:rPr>
        <w:t xml:space="preserve"> </w:t>
      </w:r>
      <w:r>
        <w:t>account</w:t>
      </w:r>
      <w:r>
        <w:rPr>
          <w:spacing w:val="-14"/>
        </w:rPr>
        <w:t xml:space="preserve"> </w:t>
      </w:r>
      <w:r>
        <w:t>by</w:t>
      </w:r>
      <w:r>
        <w:rPr>
          <w:spacing w:val="-13"/>
        </w:rPr>
        <w:t xml:space="preserve"> </w:t>
      </w:r>
      <w:r>
        <w:t>MOFCOM</w:t>
      </w:r>
      <w:r>
        <w:rPr>
          <w:spacing w:val="-13"/>
        </w:rPr>
        <w:t xml:space="preserve"> </w:t>
      </w:r>
      <w:r>
        <w:rPr>
          <w:spacing w:val="-4"/>
        </w:rPr>
        <w:t>when</w:t>
      </w:r>
    </w:p>
    <w:p w14:paraId="51DE9816" w14:textId="77777777" w:rsidR="0010369C" w:rsidRDefault="0010369C">
      <w:pPr>
        <w:pStyle w:val="BodyText"/>
        <w:rPr>
          <w:sz w:val="20"/>
        </w:rPr>
      </w:pPr>
    </w:p>
    <w:p w14:paraId="51DE9817" w14:textId="77777777" w:rsidR="0010369C" w:rsidRDefault="008E43AE">
      <w:pPr>
        <w:pStyle w:val="BodyText"/>
        <w:spacing w:before="9"/>
        <w:rPr>
          <w:sz w:val="28"/>
        </w:rPr>
      </w:pPr>
      <w:r>
        <w:pict w14:anchorId="51DEA7AD">
          <v:rect id="docshape1322" o:spid="_x0000_s1126" style="position:absolute;margin-left:70.9pt;margin-top:18.8pt;width:2in;height:.8pt;z-index:-250714624;mso-wrap-distance-left:0;mso-wrap-distance-right:0;mso-position-horizontal-relative:page" fillcolor="black" stroked="f">
            <w10:wrap type="topAndBottom" anchorx="page"/>
          </v:rect>
        </w:pict>
      </w:r>
    </w:p>
    <w:p w14:paraId="51DE9818" w14:textId="77777777" w:rsidR="0010369C" w:rsidRDefault="008E43AE">
      <w:pPr>
        <w:spacing w:before="110"/>
        <w:ind w:left="238"/>
        <w:rPr>
          <w:sz w:val="18"/>
        </w:rPr>
      </w:pPr>
      <w:r>
        <w:rPr>
          <w:sz w:val="18"/>
          <w:vertAlign w:val="superscript"/>
        </w:rPr>
        <w:t>1080</w:t>
      </w:r>
      <w:r>
        <w:rPr>
          <w:spacing w:val="-10"/>
          <w:sz w:val="18"/>
        </w:rPr>
        <w:t xml:space="preserve"> </w:t>
      </w:r>
      <w:r>
        <w:rPr>
          <w:sz w:val="18"/>
        </w:rPr>
        <w:t>Treasury</w:t>
      </w:r>
      <w:r>
        <w:rPr>
          <w:spacing w:val="-8"/>
          <w:sz w:val="18"/>
        </w:rPr>
        <w:t xml:space="preserve"> </w:t>
      </w:r>
      <w:r>
        <w:rPr>
          <w:sz w:val="18"/>
        </w:rPr>
        <w:t>Wines</w:t>
      </w:r>
      <w:r>
        <w:rPr>
          <w:spacing w:val="-10"/>
          <w:sz w:val="18"/>
        </w:rPr>
        <w:t xml:space="preserve"> </w:t>
      </w:r>
      <w:r>
        <w:rPr>
          <w:sz w:val="18"/>
        </w:rPr>
        <w:t>Anti‐Dumping</w:t>
      </w:r>
      <w:r>
        <w:rPr>
          <w:spacing w:val="-9"/>
          <w:sz w:val="18"/>
        </w:rPr>
        <w:t xml:space="preserve"> </w:t>
      </w:r>
      <w:r>
        <w:rPr>
          <w:sz w:val="18"/>
        </w:rPr>
        <w:t>Questionnaire</w:t>
      </w:r>
      <w:r>
        <w:rPr>
          <w:spacing w:val="-9"/>
          <w:sz w:val="18"/>
        </w:rPr>
        <w:t xml:space="preserve"> </w:t>
      </w:r>
      <w:r>
        <w:rPr>
          <w:sz w:val="18"/>
        </w:rPr>
        <w:t>Extension</w:t>
      </w:r>
      <w:r>
        <w:rPr>
          <w:spacing w:val="-9"/>
          <w:sz w:val="18"/>
        </w:rPr>
        <w:t xml:space="preserve"> </w:t>
      </w:r>
      <w:r>
        <w:rPr>
          <w:sz w:val="18"/>
        </w:rPr>
        <w:t>Request</w:t>
      </w:r>
      <w:r>
        <w:rPr>
          <w:spacing w:val="-10"/>
          <w:sz w:val="18"/>
        </w:rPr>
        <w:t xml:space="preserve"> </w:t>
      </w:r>
      <w:r>
        <w:rPr>
          <w:sz w:val="18"/>
        </w:rPr>
        <w:t>(Exhibit</w:t>
      </w:r>
      <w:r>
        <w:rPr>
          <w:spacing w:val="-9"/>
          <w:sz w:val="18"/>
        </w:rPr>
        <w:t xml:space="preserve"> </w:t>
      </w:r>
      <w:r>
        <w:rPr>
          <w:sz w:val="18"/>
        </w:rPr>
        <w:t>AUS‐94),</w:t>
      </w:r>
      <w:r>
        <w:rPr>
          <w:spacing w:val="-9"/>
          <w:sz w:val="18"/>
        </w:rPr>
        <w:t xml:space="preserve"> </w:t>
      </w:r>
      <w:r>
        <w:rPr>
          <w:sz w:val="18"/>
        </w:rPr>
        <w:t>pp.</w:t>
      </w:r>
      <w:r>
        <w:rPr>
          <w:spacing w:val="-9"/>
          <w:sz w:val="18"/>
        </w:rPr>
        <w:t xml:space="preserve"> </w:t>
      </w:r>
      <w:r>
        <w:rPr>
          <w:spacing w:val="-4"/>
          <w:sz w:val="18"/>
        </w:rPr>
        <w:t>1‐2.</w:t>
      </w:r>
    </w:p>
    <w:p w14:paraId="51DE9819" w14:textId="77777777" w:rsidR="0010369C" w:rsidRDefault="008E43AE">
      <w:pPr>
        <w:ind w:left="238"/>
        <w:rPr>
          <w:sz w:val="18"/>
        </w:rPr>
      </w:pPr>
      <w:r>
        <w:rPr>
          <w:sz w:val="18"/>
          <w:vertAlign w:val="superscript"/>
        </w:rPr>
        <w:t>1081</w:t>
      </w:r>
      <w:r>
        <w:rPr>
          <w:spacing w:val="-7"/>
          <w:sz w:val="18"/>
        </w:rPr>
        <w:t xml:space="preserve"> </w:t>
      </w:r>
      <w:r>
        <w:rPr>
          <w:sz w:val="18"/>
        </w:rPr>
        <w:t>Appellate</w:t>
      </w:r>
      <w:r>
        <w:rPr>
          <w:spacing w:val="-7"/>
          <w:sz w:val="18"/>
        </w:rPr>
        <w:t xml:space="preserve"> </w:t>
      </w:r>
      <w:r>
        <w:rPr>
          <w:sz w:val="18"/>
        </w:rPr>
        <w:t>Body</w:t>
      </w:r>
      <w:r>
        <w:rPr>
          <w:spacing w:val="-8"/>
          <w:sz w:val="18"/>
        </w:rPr>
        <w:t xml:space="preserve"> </w:t>
      </w:r>
      <w:r>
        <w:rPr>
          <w:sz w:val="18"/>
        </w:rPr>
        <w:t>Report,</w:t>
      </w:r>
      <w:r>
        <w:rPr>
          <w:spacing w:val="-7"/>
          <w:sz w:val="18"/>
        </w:rPr>
        <w:t xml:space="preserve"> </w:t>
      </w:r>
      <w:r>
        <w:rPr>
          <w:i/>
          <w:sz w:val="18"/>
        </w:rPr>
        <w:t>EC</w:t>
      </w:r>
      <w:r>
        <w:rPr>
          <w:i/>
          <w:spacing w:val="-8"/>
          <w:sz w:val="18"/>
        </w:rPr>
        <w:t xml:space="preserve"> </w:t>
      </w:r>
      <w:r>
        <w:rPr>
          <w:i/>
          <w:sz w:val="18"/>
        </w:rPr>
        <w:t>Fasteners</w:t>
      </w:r>
      <w:r>
        <w:rPr>
          <w:i/>
          <w:spacing w:val="-7"/>
          <w:sz w:val="18"/>
        </w:rPr>
        <w:t xml:space="preserve"> </w:t>
      </w:r>
      <w:r>
        <w:rPr>
          <w:i/>
          <w:sz w:val="18"/>
        </w:rPr>
        <w:t>(China)</w:t>
      </w:r>
      <w:r>
        <w:rPr>
          <w:sz w:val="18"/>
        </w:rPr>
        <w:t>,</w:t>
      </w:r>
      <w:r>
        <w:rPr>
          <w:spacing w:val="-8"/>
          <w:sz w:val="18"/>
        </w:rPr>
        <w:t xml:space="preserve"> </w:t>
      </w:r>
      <w:r>
        <w:rPr>
          <w:sz w:val="18"/>
        </w:rPr>
        <w:t>para.</w:t>
      </w:r>
      <w:r>
        <w:rPr>
          <w:spacing w:val="-6"/>
          <w:sz w:val="18"/>
        </w:rPr>
        <w:t xml:space="preserve"> </w:t>
      </w:r>
      <w:r>
        <w:rPr>
          <w:spacing w:val="-4"/>
          <w:sz w:val="18"/>
        </w:rPr>
        <w:t>615.</w:t>
      </w:r>
    </w:p>
    <w:p w14:paraId="51DE981A" w14:textId="77777777" w:rsidR="0010369C" w:rsidRDefault="008E43AE">
      <w:pPr>
        <w:ind w:left="238"/>
        <w:rPr>
          <w:sz w:val="18"/>
        </w:rPr>
      </w:pPr>
      <w:r>
        <w:rPr>
          <w:sz w:val="18"/>
          <w:vertAlign w:val="superscript"/>
        </w:rPr>
        <w:t>1082</w:t>
      </w:r>
      <w:r>
        <w:rPr>
          <w:spacing w:val="-9"/>
          <w:sz w:val="18"/>
        </w:rPr>
        <w:t xml:space="preserve"> </w:t>
      </w:r>
      <w:r>
        <w:rPr>
          <w:sz w:val="18"/>
        </w:rPr>
        <w:t>Casella</w:t>
      </w:r>
      <w:r>
        <w:rPr>
          <w:spacing w:val="-8"/>
          <w:sz w:val="18"/>
        </w:rPr>
        <w:t xml:space="preserve"> </w:t>
      </w:r>
      <w:r>
        <w:rPr>
          <w:sz w:val="18"/>
        </w:rPr>
        <w:t>Wines</w:t>
      </w:r>
      <w:r>
        <w:rPr>
          <w:spacing w:val="-10"/>
          <w:sz w:val="18"/>
        </w:rPr>
        <w:t xml:space="preserve"> </w:t>
      </w:r>
      <w:r>
        <w:rPr>
          <w:sz w:val="18"/>
        </w:rPr>
        <w:t>Anti‐Dumping</w:t>
      </w:r>
      <w:r>
        <w:rPr>
          <w:spacing w:val="-8"/>
          <w:sz w:val="18"/>
        </w:rPr>
        <w:t xml:space="preserve"> </w:t>
      </w:r>
      <w:r>
        <w:rPr>
          <w:sz w:val="18"/>
        </w:rPr>
        <w:t>Questionnaire</w:t>
      </w:r>
      <w:r>
        <w:rPr>
          <w:spacing w:val="-9"/>
          <w:sz w:val="18"/>
        </w:rPr>
        <w:t xml:space="preserve"> </w:t>
      </w:r>
      <w:r>
        <w:rPr>
          <w:sz w:val="18"/>
        </w:rPr>
        <w:t>Extension</w:t>
      </w:r>
      <w:r>
        <w:rPr>
          <w:spacing w:val="-8"/>
          <w:sz w:val="18"/>
        </w:rPr>
        <w:t xml:space="preserve"> </w:t>
      </w:r>
      <w:r>
        <w:rPr>
          <w:sz w:val="18"/>
        </w:rPr>
        <w:t>Request</w:t>
      </w:r>
      <w:r>
        <w:rPr>
          <w:spacing w:val="-10"/>
          <w:sz w:val="18"/>
        </w:rPr>
        <w:t xml:space="preserve"> </w:t>
      </w:r>
      <w:r>
        <w:rPr>
          <w:sz w:val="18"/>
        </w:rPr>
        <w:t>(Exhibit</w:t>
      </w:r>
      <w:r>
        <w:rPr>
          <w:spacing w:val="-9"/>
          <w:sz w:val="18"/>
        </w:rPr>
        <w:t xml:space="preserve"> </w:t>
      </w:r>
      <w:r>
        <w:rPr>
          <w:sz w:val="18"/>
        </w:rPr>
        <w:t>AUS‐95),</w:t>
      </w:r>
      <w:r>
        <w:rPr>
          <w:spacing w:val="-9"/>
          <w:sz w:val="18"/>
        </w:rPr>
        <w:t xml:space="preserve"> </w:t>
      </w:r>
      <w:r>
        <w:rPr>
          <w:sz w:val="18"/>
        </w:rPr>
        <w:t>p.</w:t>
      </w:r>
      <w:r>
        <w:rPr>
          <w:spacing w:val="-9"/>
          <w:sz w:val="18"/>
        </w:rPr>
        <w:t xml:space="preserve"> </w:t>
      </w:r>
      <w:r>
        <w:rPr>
          <w:spacing w:val="-5"/>
          <w:sz w:val="18"/>
        </w:rPr>
        <w:t>2.</w:t>
      </w:r>
    </w:p>
    <w:p w14:paraId="51DE981B" w14:textId="77777777" w:rsidR="0010369C" w:rsidRDefault="008E43AE">
      <w:pPr>
        <w:ind w:left="238"/>
        <w:rPr>
          <w:sz w:val="18"/>
        </w:rPr>
      </w:pPr>
      <w:r>
        <w:rPr>
          <w:sz w:val="18"/>
          <w:vertAlign w:val="superscript"/>
        </w:rPr>
        <w:t>1083</w:t>
      </w:r>
      <w:r>
        <w:rPr>
          <w:spacing w:val="-7"/>
          <w:sz w:val="18"/>
        </w:rPr>
        <w:t xml:space="preserve"> </w:t>
      </w:r>
      <w:r>
        <w:rPr>
          <w:sz w:val="18"/>
        </w:rPr>
        <w:t>Appellate</w:t>
      </w:r>
      <w:r>
        <w:rPr>
          <w:spacing w:val="-7"/>
          <w:sz w:val="18"/>
        </w:rPr>
        <w:t xml:space="preserve"> </w:t>
      </w:r>
      <w:r>
        <w:rPr>
          <w:sz w:val="18"/>
        </w:rPr>
        <w:t>Body</w:t>
      </w:r>
      <w:r>
        <w:rPr>
          <w:spacing w:val="-8"/>
          <w:sz w:val="18"/>
        </w:rPr>
        <w:t xml:space="preserve"> </w:t>
      </w:r>
      <w:r>
        <w:rPr>
          <w:sz w:val="18"/>
        </w:rPr>
        <w:t>Report,</w:t>
      </w:r>
      <w:r>
        <w:rPr>
          <w:spacing w:val="-7"/>
          <w:sz w:val="18"/>
        </w:rPr>
        <w:t xml:space="preserve"> </w:t>
      </w:r>
      <w:r>
        <w:rPr>
          <w:i/>
          <w:sz w:val="18"/>
        </w:rPr>
        <w:t>EC</w:t>
      </w:r>
      <w:r>
        <w:rPr>
          <w:i/>
          <w:spacing w:val="-8"/>
          <w:sz w:val="18"/>
        </w:rPr>
        <w:t xml:space="preserve"> </w:t>
      </w:r>
      <w:r>
        <w:rPr>
          <w:i/>
          <w:sz w:val="18"/>
        </w:rPr>
        <w:t>Fasteners</w:t>
      </w:r>
      <w:r>
        <w:rPr>
          <w:i/>
          <w:spacing w:val="-7"/>
          <w:sz w:val="18"/>
        </w:rPr>
        <w:t xml:space="preserve"> </w:t>
      </w:r>
      <w:r>
        <w:rPr>
          <w:i/>
          <w:sz w:val="18"/>
        </w:rPr>
        <w:t>(China)</w:t>
      </w:r>
      <w:r>
        <w:rPr>
          <w:sz w:val="18"/>
        </w:rPr>
        <w:t>,</w:t>
      </w:r>
      <w:r>
        <w:rPr>
          <w:spacing w:val="-8"/>
          <w:sz w:val="18"/>
        </w:rPr>
        <w:t xml:space="preserve"> </w:t>
      </w:r>
      <w:r>
        <w:rPr>
          <w:sz w:val="18"/>
        </w:rPr>
        <w:t>para.</w:t>
      </w:r>
      <w:r>
        <w:rPr>
          <w:spacing w:val="-6"/>
          <w:sz w:val="18"/>
        </w:rPr>
        <w:t xml:space="preserve"> </w:t>
      </w:r>
      <w:r>
        <w:rPr>
          <w:spacing w:val="-4"/>
          <w:sz w:val="18"/>
        </w:rPr>
        <w:t>615.</w:t>
      </w:r>
    </w:p>
    <w:p w14:paraId="51DE981C" w14:textId="77777777" w:rsidR="0010369C" w:rsidRDefault="0010369C">
      <w:pPr>
        <w:rPr>
          <w:sz w:val="18"/>
        </w:rPr>
        <w:sectPr w:rsidR="0010369C">
          <w:pgSz w:w="11910" w:h="16840"/>
          <w:pgMar w:top="880" w:right="800" w:bottom="980" w:left="1180" w:header="569" w:footer="788" w:gutter="0"/>
          <w:cols w:space="720"/>
        </w:sectPr>
      </w:pPr>
    </w:p>
    <w:p w14:paraId="51DE981D" w14:textId="77777777" w:rsidR="0010369C" w:rsidRDefault="008E43AE">
      <w:pPr>
        <w:tabs>
          <w:tab w:val="left" w:pos="6426"/>
        </w:tabs>
        <w:ind w:left="238"/>
        <w:rPr>
          <w:sz w:val="20"/>
        </w:rPr>
      </w:pPr>
      <w:r>
        <w:rPr>
          <w:i/>
          <w:sz w:val="20"/>
        </w:rPr>
        <w:lastRenderedPageBreak/>
        <w:t>China</w:t>
      </w:r>
      <w:r>
        <w:rPr>
          <w:i/>
          <w:spacing w:val="-5"/>
          <w:sz w:val="20"/>
        </w:rPr>
        <w:t xml:space="preserve"> </w:t>
      </w:r>
      <w:r>
        <w:rPr>
          <w:i/>
          <w:sz w:val="20"/>
        </w:rPr>
        <w:t>–</w:t>
      </w:r>
      <w:r>
        <w:rPr>
          <w:i/>
          <w:spacing w:val="-5"/>
          <w:sz w:val="20"/>
        </w:rPr>
        <w:t xml:space="preserve"> </w:t>
      </w:r>
      <w:r>
        <w:rPr>
          <w:i/>
          <w:sz w:val="20"/>
        </w:rPr>
        <w:t>Anti‐Dumping</w:t>
      </w:r>
      <w:r>
        <w:rPr>
          <w:i/>
          <w:spacing w:val="-4"/>
          <w:sz w:val="20"/>
        </w:rPr>
        <w:t xml:space="preserve"> </w:t>
      </w:r>
      <w:r>
        <w:rPr>
          <w:i/>
          <w:sz w:val="20"/>
        </w:rPr>
        <w:t>and</w:t>
      </w:r>
      <w:r>
        <w:rPr>
          <w:i/>
          <w:spacing w:val="-5"/>
          <w:sz w:val="20"/>
        </w:rPr>
        <w:t xml:space="preserve"> </w:t>
      </w:r>
      <w:r>
        <w:rPr>
          <w:i/>
          <w:sz w:val="20"/>
        </w:rPr>
        <w:t>Countervailing</w:t>
      </w:r>
      <w:r>
        <w:rPr>
          <w:i/>
          <w:spacing w:val="-5"/>
          <w:sz w:val="20"/>
        </w:rPr>
        <w:t xml:space="preserve"> </w:t>
      </w:r>
      <w:r>
        <w:rPr>
          <w:i/>
          <w:sz w:val="20"/>
        </w:rPr>
        <w:t>Duty</w:t>
      </w:r>
      <w:r>
        <w:rPr>
          <w:i/>
          <w:spacing w:val="-4"/>
          <w:sz w:val="20"/>
        </w:rPr>
        <w:t xml:space="preserve"> </w:t>
      </w:r>
      <w:r>
        <w:rPr>
          <w:i/>
          <w:spacing w:val="-2"/>
          <w:sz w:val="20"/>
        </w:rPr>
        <w:t>Measures</w:t>
      </w:r>
      <w:r>
        <w:rPr>
          <w:i/>
          <w:sz w:val="20"/>
        </w:rPr>
        <w:tab/>
      </w:r>
      <w:r>
        <w:rPr>
          <w:sz w:val="20"/>
        </w:rPr>
        <w:t>Australia's</w:t>
      </w:r>
      <w:r>
        <w:rPr>
          <w:spacing w:val="-7"/>
          <w:sz w:val="20"/>
        </w:rPr>
        <w:t xml:space="preserve"> </w:t>
      </w:r>
      <w:r>
        <w:rPr>
          <w:sz w:val="20"/>
        </w:rPr>
        <w:t>First</w:t>
      </w:r>
      <w:r>
        <w:rPr>
          <w:spacing w:val="-2"/>
          <w:sz w:val="20"/>
        </w:rPr>
        <w:t xml:space="preserve"> </w:t>
      </w:r>
      <w:r>
        <w:rPr>
          <w:sz w:val="20"/>
        </w:rPr>
        <w:t>Written</w:t>
      </w:r>
      <w:r>
        <w:rPr>
          <w:spacing w:val="-2"/>
          <w:sz w:val="20"/>
        </w:rPr>
        <w:t xml:space="preserve"> Submission</w:t>
      </w:r>
    </w:p>
    <w:p w14:paraId="51DE981E" w14:textId="77777777" w:rsidR="0010369C" w:rsidRDefault="008E43AE">
      <w:pPr>
        <w:tabs>
          <w:tab w:val="left" w:pos="8228"/>
        </w:tabs>
        <w:spacing w:before="1"/>
        <w:ind w:left="239"/>
        <w:rPr>
          <w:sz w:val="20"/>
        </w:rPr>
      </w:pPr>
      <w:r>
        <w:rPr>
          <w:i/>
          <w:sz w:val="20"/>
        </w:rPr>
        <w:t>on</w:t>
      </w:r>
      <w:r>
        <w:rPr>
          <w:i/>
          <w:spacing w:val="-1"/>
          <w:sz w:val="20"/>
        </w:rPr>
        <w:t xml:space="preserve"> </w:t>
      </w:r>
      <w:r>
        <w:rPr>
          <w:i/>
          <w:sz w:val="20"/>
        </w:rPr>
        <w:t>Wine</w:t>
      </w:r>
      <w:r>
        <w:rPr>
          <w:i/>
          <w:spacing w:val="-1"/>
          <w:sz w:val="20"/>
        </w:rPr>
        <w:t xml:space="preserve"> </w:t>
      </w:r>
      <w:r>
        <w:rPr>
          <w:i/>
          <w:sz w:val="20"/>
        </w:rPr>
        <w:t>from</w:t>
      </w:r>
      <w:r>
        <w:rPr>
          <w:i/>
          <w:spacing w:val="-3"/>
          <w:sz w:val="20"/>
        </w:rPr>
        <w:t xml:space="preserve"> </w:t>
      </w:r>
      <w:r>
        <w:rPr>
          <w:i/>
          <w:sz w:val="20"/>
        </w:rPr>
        <w:t>Australia</w:t>
      </w:r>
      <w:r>
        <w:rPr>
          <w:i/>
          <w:spacing w:val="-1"/>
          <w:sz w:val="20"/>
        </w:rPr>
        <w:t xml:space="preserve"> </w:t>
      </w:r>
      <w:r>
        <w:rPr>
          <w:spacing w:val="-2"/>
          <w:sz w:val="20"/>
        </w:rPr>
        <w:t>(DS602)</w:t>
      </w:r>
      <w:r>
        <w:rPr>
          <w:sz w:val="20"/>
        </w:rPr>
        <w:tab/>
        <w:t>29</w:t>
      </w:r>
      <w:r>
        <w:rPr>
          <w:spacing w:val="-1"/>
          <w:sz w:val="20"/>
        </w:rPr>
        <w:t xml:space="preserve"> </w:t>
      </w:r>
      <w:r>
        <w:rPr>
          <w:sz w:val="20"/>
        </w:rPr>
        <w:t>April</w:t>
      </w:r>
      <w:r>
        <w:rPr>
          <w:spacing w:val="-2"/>
          <w:sz w:val="20"/>
        </w:rPr>
        <w:t xml:space="preserve"> </w:t>
      </w:r>
      <w:r>
        <w:rPr>
          <w:spacing w:val="-4"/>
          <w:sz w:val="20"/>
        </w:rPr>
        <w:t>2022</w:t>
      </w:r>
    </w:p>
    <w:p w14:paraId="51DE981F" w14:textId="77777777" w:rsidR="0010369C" w:rsidRDefault="008E43AE">
      <w:pPr>
        <w:pStyle w:val="BodyText"/>
        <w:spacing w:before="34" w:line="360" w:lineRule="auto"/>
        <w:ind w:left="238" w:right="611"/>
      </w:pPr>
      <w:r>
        <w:t>considering</w:t>
      </w:r>
      <w:r>
        <w:rPr>
          <w:spacing w:val="-14"/>
        </w:rPr>
        <w:t xml:space="preserve"> </w:t>
      </w:r>
      <w:r>
        <w:t>if</w:t>
      </w:r>
      <w:r>
        <w:rPr>
          <w:spacing w:val="-14"/>
        </w:rPr>
        <w:t xml:space="preserve"> </w:t>
      </w:r>
      <w:r>
        <w:t>ample</w:t>
      </w:r>
      <w:r>
        <w:rPr>
          <w:spacing w:val="-15"/>
        </w:rPr>
        <w:t xml:space="preserve"> </w:t>
      </w:r>
      <w:r>
        <w:t>opportunity</w:t>
      </w:r>
      <w:r>
        <w:rPr>
          <w:spacing w:val="-14"/>
        </w:rPr>
        <w:t xml:space="preserve"> </w:t>
      </w:r>
      <w:r>
        <w:t>was</w:t>
      </w:r>
      <w:r>
        <w:rPr>
          <w:spacing w:val="-14"/>
        </w:rPr>
        <w:t xml:space="preserve"> </w:t>
      </w:r>
      <w:r>
        <w:t>provided</w:t>
      </w:r>
      <w:r>
        <w:rPr>
          <w:spacing w:val="-14"/>
        </w:rPr>
        <w:t xml:space="preserve"> </w:t>
      </w:r>
      <w:r>
        <w:t>for</w:t>
      </w:r>
      <w:r>
        <w:rPr>
          <w:spacing w:val="-14"/>
        </w:rPr>
        <w:t xml:space="preserve"> </w:t>
      </w:r>
      <w:r>
        <w:t>companies</w:t>
      </w:r>
      <w:r>
        <w:rPr>
          <w:spacing w:val="-16"/>
        </w:rPr>
        <w:t xml:space="preserve"> </w:t>
      </w:r>
      <w:r>
        <w:t>to</w:t>
      </w:r>
      <w:r>
        <w:rPr>
          <w:spacing w:val="-13"/>
        </w:rPr>
        <w:t xml:space="preserve"> </w:t>
      </w:r>
      <w:r>
        <w:t>present</w:t>
      </w:r>
      <w:r>
        <w:rPr>
          <w:spacing w:val="-14"/>
        </w:rPr>
        <w:t xml:space="preserve"> </w:t>
      </w:r>
      <w:r>
        <w:t>all</w:t>
      </w:r>
      <w:r>
        <w:rPr>
          <w:spacing w:val="-14"/>
        </w:rPr>
        <w:t xml:space="preserve"> </w:t>
      </w:r>
      <w:r>
        <w:t>evidence</w:t>
      </w:r>
      <w:r>
        <w:rPr>
          <w:spacing w:val="-14"/>
        </w:rPr>
        <w:t xml:space="preserve"> </w:t>
      </w:r>
      <w:r>
        <w:t>in</w:t>
      </w:r>
      <w:r>
        <w:rPr>
          <w:spacing w:val="-15"/>
        </w:rPr>
        <w:t xml:space="preserve"> </w:t>
      </w:r>
      <w:r>
        <w:t>writing under Article 6.1.</w:t>
      </w:r>
    </w:p>
    <w:p w14:paraId="51DE9820" w14:textId="77777777" w:rsidR="0010369C" w:rsidRDefault="008E43AE">
      <w:pPr>
        <w:pStyle w:val="BodyText"/>
        <w:spacing w:before="159" w:line="362" w:lineRule="auto"/>
        <w:ind w:left="238" w:right="615" w:firstLine="850"/>
        <w:jc w:val="both"/>
      </w:pPr>
      <w:r>
        <w:rPr>
          <w:noProof/>
        </w:rPr>
        <w:drawing>
          <wp:anchor distT="0" distB="0" distL="0" distR="0" simplePos="0" relativeHeight="251504128" behindDoc="1" locked="0" layoutInCell="1" allowOverlap="1" wp14:anchorId="51DEA7AE" wp14:editId="51DEA7AF">
            <wp:simplePos x="0" y="0"/>
            <wp:positionH relativeFrom="page">
              <wp:posOffset>902208</wp:posOffset>
            </wp:positionH>
            <wp:positionV relativeFrom="paragraph">
              <wp:posOffset>144730</wp:posOffset>
            </wp:positionV>
            <wp:extent cx="262127" cy="106679"/>
            <wp:effectExtent l="0" t="0" r="0" b="0"/>
            <wp:wrapNone/>
            <wp:docPr id="1777" name="image9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 name="image916.png"/>
                    <pic:cNvPicPr/>
                  </pic:nvPicPr>
                  <pic:blipFill>
                    <a:blip r:embed="rId1185" cstate="print"/>
                    <a:stretch>
                      <a:fillRect/>
                    </a:stretch>
                  </pic:blipFill>
                  <pic:spPr>
                    <a:xfrm>
                      <a:off x="0" y="0"/>
                      <a:ext cx="262127" cy="106679"/>
                    </a:xfrm>
                    <a:prstGeom prst="rect">
                      <a:avLst/>
                    </a:prstGeom>
                  </pic:spPr>
                </pic:pic>
              </a:graphicData>
            </a:graphic>
          </wp:anchor>
        </w:drawing>
      </w:r>
      <w:r>
        <w:t>MOFCOM refused both requests for an extension.</w:t>
      </w:r>
      <w:r>
        <w:rPr>
          <w:vertAlign w:val="superscript"/>
        </w:rPr>
        <w:t>1084</w:t>
      </w:r>
      <w:r>
        <w:t xml:space="preserve"> MOFCOM provided the following reasons for the refusals:</w:t>
      </w:r>
    </w:p>
    <w:p w14:paraId="51DE9821" w14:textId="77777777" w:rsidR="0010369C" w:rsidRDefault="008E43AE">
      <w:pPr>
        <w:spacing w:before="156" w:line="276" w:lineRule="auto"/>
        <w:ind w:left="1087" w:right="612" w:firstLine="1"/>
        <w:jc w:val="both"/>
      </w:pPr>
      <w:r>
        <w:t>After</w:t>
      </w:r>
      <w:r>
        <w:rPr>
          <w:spacing w:val="-13"/>
        </w:rPr>
        <w:t xml:space="preserve"> </w:t>
      </w:r>
      <w:r>
        <w:t>a</w:t>
      </w:r>
      <w:r>
        <w:rPr>
          <w:spacing w:val="-12"/>
        </w:rPr>
        <w:t xml:space="preserve"> </w:t>
      </w:r>
      <w:r>
        <w:t>review,</w:t>
      </w:r>
      <w:r>
        <w:rPr>
          <w:spacing w:val="-13"/>
        </w:rPr>
        <w:t xml:space="preserve"> </w:t>
      </w:r>
      <w:r>
        <w:t>the</w:t>
      </w:r>
      <w:r>
        <w:rPr>
          <w:spacing w:val="-12"/>
        </w:rPr>
        <w:t xml:space="preserve"> </w:t>
      </w:r>
      <w:r>
        <w:t>Investigating</w:t>
      </w:r>
      <w:r>
        <w:rPr>
          <w:spacing w:val="-13"/>
        </w:rPr>
        <w:t xml:space="preserve"> </w:t>
      </w:r>
      <w:r>
        <w:t>Authority</w:t>
      </w:r>
      <w:r>
        <w:rPr>
          <w:spacing w:val="-12"/>
        </w:rPr>
        <w:t xml:space="preserve"> </w:t>
      </w:r>
      <w:r>
        <w:t>believed</w:t>
      </w:r>
      <w:r>
        <w:rPr>
          <w:spacing w:val="-13"/>
        </w:rPr>
        <w:t xml:space="preserve"> </w:t>
      </w:r>
      <w:r>
        <w:t>that</w:t>
      </w:r>
      <w:r>
        <w:rPr>
          <w:spacing w:val="-12"/>
        </w:rPr>
        <w:t xml:space="preserve"> </w:t>
      </w:r>
      <w:r>
        <w:t>firstly,</w:t>
      </w:r>
      <w:r>
        <w:rPr>
          <w:spacing w:val="-12"/>
        </w:rPr>
        <w:t xml:space="preserve"> </w:t>
      </w:r>
      <w:r>
        <w:t>it</w:t>
      </w:r>
      <w:r>
        <w:rPr>
          <w:spacing w:val="-13"/>
        </w:rPr>
        <w:t xml:space="preserve"> </w:t>
      </w:r>
      <w:r>
        <w:t>had</w:t>
      </w:r>
      <w:r>
        <w:rPr>
          <w:spacing w:val="-12"/>
        </w:rPr>
        <w:t xml:space="preserve"> </w:t>
      </w:r>
      <w:r>
        <w:t>conducted</w:t>
      </w:r>
      <w:r>
        <w:rPr>
          <w:spacing w:val="-13"/>
        </w:rPr>
        <w:t xml:space="preserve"> </w:t>
      </w:r>
      <w:r>
        <w:t>independent sampling before distributing the questionnaire, and the stakeholders had been granted sufficient time for preparing the responses; secondly, a number of questions in the Anti‐ Dumping</w:t>
      </w:r>
      <w:r>
        <w:rPr>
          <w:spacing w:val="-2"/>
        </w:rPr>
        <w:t xml:space="preserve"> </w:t>
      </w:r>
      <w:r>
        <w:t>Questionnaire</w:t>
      </w:r>
      <w:r>
        <w:rPr>
          <w:spacing w:val="-2"/>
        </w:rPr>
        <w:t xml:space="preserve"> </w:t>
      </w:r>
      <w:r>
        <w:t>for</w:t>
      </w:r>
      <w:r>
        <w:rPr>
          <w:spacing w:val="-1"/>
        </w:rPr>
        <w:t xml:space="preserve"> </w:t>
      </w:r>
      <w:r>
        <w:t>Foreign</w:t>
      </w:r>
      <w:r>
        <w:rPr>
          <w:spacing w:val="-1"/>
        </w:rPr>
        <w:t xml:space="preserve"> </w:t>
      </w:r>
      <w:r>
        <w:t>Exporters</w:t>
      </w:r>
      <w:r>
        <w:rPr>
          <w:spacing w:val="-1"/>
        </w:rPr>
        <w:t xml:space="preserve"> </w:t>
      </w:r>
      <w:r>
        <w:t>or</w:t>
      </w:r>
      <w:r>
        <w:rPr>
          <w:spacing w:val="-1"/>
        </w:rPr>
        <w:t xml:space="preserve"> </w:t>
      </w:r>
      <w:r>
        <w:t>Producers</w:t>
      </w:r>
      <w:r>
        <w:rPr>
          <w:spacing w:val="-2"/>
        </w:rPr>
        <w:t xml:space="preserve"> </w:t>
      </w:r>
      <w:r>
        <w:t>were</w:t>
      </w:r>
      <w:r>
        <w:rPr>
          <w:spacing w:val="-1"/>
        </w:rPr>
        <w:t xml:space="preserve"> </w:t>
      </w:r>
      <w:r>
        <w:t>the</w:t>
      </w:r>
      <w:r>
        <w:rPr>
          <w:spacing w:val="-2"/>
        </w:rPr>
        <w:t xml:space="preserve"> </w:t>
      </w:r>
      <w:r>
        <w:t>same</w:t>
      </w:r>
      <w:r>
        <w:rPr>
          <w:spacing w:val="-2"/>
        </w:rPr>
        <w:t xml:space="preserve"> </w:t>
      </w:r>
      <w:r>
        <w:t>with</w:t>
      </w:r>
      <w:r>
        <w:rPr>
          <w:spacing w:val="-2"/>
        </w:rPr>
        <w:t xml:space="preserve"> </w:t>
      </w:r>
      <w:r>
        <w:t>those</w:t>
      </w:r>
      <w:r>
        <w:rPr>
          <w:spacing w:val="-2"/>
        </w:rPr>
        <w:t xml:space="preserve"> </w:t>
      </w:r>
      <w:r>
        <w:t>in the sampling questionnaire, and it would take them less time to fill in the Questionnaire since they had replied to those questions in the sampling questionnaire. Therefore, the I</w:t>
      </w:r>
      <w:r>
        <w:t>nvestigating Authority held that the stakeholders had been granted sufficient time to prepare for and fill in the responses, so the extension application was rejected.</w:t>
      </w:r>
      <w:r>
        <w:rPr>
          <w:vertAlign w:val="superscript"/>
        </w:rPr>
        <w:t>1085</w:t>
      </w:r>
    </w:p>
    <w:p w14:paraId="51DE9822" w14:textId="77777777" w:rsidR="0010369C" w:rsidRDefault="0010369C">
      <w:pPr>
        <w:pStyle w:val="BodyText"/>
        <w:spacing w:before="4"/>
        <w:rPr>
          <w:sz w:val="15"/>
        </w:rPr>
      </w:pPr>
    </w:p>
    <w:p w14:paraId="51DE9823" w14:textId="77777777" w:rsidR="0010369C" w:rsidRDefault="008E43AE">
      <w:pPr>
        <w:pStyle w:val="BodyText"/>
        <w:spacing w:before="52" w:line="360" w:lineRule="auto"/>
        <w:ind w:left="237" w:right="612" w:firstLine="851"/>
        <w:jc w:val="both"/>
      </w:pPr>
      <w:r>
        <w:rPr>
          <w:noProof/>
        </w:rPr>
        <w:drawing>
          <wp:anchor distT="0" distB="0" distL="0" distR="0" simplePos="0" relativeHeight="251505152" behindDoc="1" locked="0" layoutInCell="1" allowOverlap="1" wp14:anchorId="51DEA7B0" wp14:editId="51DEA7B1">
            <wp:simplePos x="0" y="0"/>
            <wp:positionH relativeFrom="page">
              <wp:posOffset>902208</wp:posOffset>
            </wp:positionH>
            <wp:positionV relativeFrom="paragraph">
              <wp:posOffset>81949</wp:posOffset>
            </wp:positionV>
            <wp:extent cx="262127" cy="100753"/>
            <wp:effectExtent l="0" t="0" r="0" b="0"/>
            <wp:wrapNone/>
            <wp:docPr id="1779" name="image9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 name="image917.png"/>
                    <pic:cNvPicPr/>
                  </pic:nvPicPr>
                  <pic:blipFill>
                    <a:blip r:embed="rId1186" cstate="print"/>
                    <a:stretch>
                      <a:fillRect/>
                    </a:stretch>
                  </pic:blipFill>
                  <pic:spPr>
                    <a:xfrm>
                      <a:off x="0" y="0"/>
                      <a:ext cx="262127" cy="100753"/>
                    </a:xfrm>
                    <a:prstGeom prst="rect">
                      <a:avLst/>
                    </a:prstGeom>
                  </pic:spPr>
                </pic:pic>
              </a:graphicData>
            </a:graphic>
          </wp:anchor>
        </w:drawing>
      </w:r>
      <w:r>
        <w:t>MOFCOM's</w:t>
      </w:r>
      <w:r>
        <w:rPr>
          <w:spacing w:val="-8"/>
        </w:rPr>
        <w:t xml:space="preserve"> </w:t>
      </w:r>
      <w:r>
        <w:t>explanation</w:t>
      </w:r>
      <w:r>
        <w:rPr>
          <w:spacing w:val="-11"/>
        </w:rPr>
        <w:t xml:space="preserve"> </w:t>
      </w:r>
      <w:r>
        <w:t>did</w:t>
      </w:r>
      <w:r>
        <w:rPr>
          <w:spacing w:val="-9"/>
        </w:rPr>
        <w:t xml:space="preserve"> </w:t>
      </w:r>
      <w:r>
        <w:t>not</w:t>
      </w:r>
      <w:r>
        <w:rPr>
          <w:spacing w:val="-8"/>
        </w:rPr>
        <w:t xml:space="preserve"> </w:t>
      </w:r>
      <w:r>
        <w:t>respond</w:t>
      </w:r>
      <w:r>
        <w:rPr>
          <w:spacing w:val="-9"/>
        </w:rPr>
        <w:t xml:space="preserve"> </w:t>
      </w:r>
      <w:r>
        <w:t>to</w:t>
      </w:r>
      <w:r>
        <w:rPr>
          <w:spacing w:val="-8"/>
        </w:rPr>
        <w:t xml:space="preserve"> </w:t>
      </w:r>
      <w:r>
        <w:t>the</w:t>
      </w:r>
      <w:r>
        <w:rPr>
          <w:spacing w:val="-9"/>
        </w:rPr>
        <w:t xml:space="preserve"> </w:t>
      </w:r>
      <w:r>
        <w:t>grounds</w:t>
      </w:r>
      <w:r>
        <w:rPr>
          <w:spacing w:val="-8"/>
        </w:rPr>
        <w:t xml:space="preserve"> </w:t>
      </w:r>
      <w:r>
        <w:t>for</w:t>
      </w:r>
      <w:r>
        <w:rPr>
          <w:spacing w:val="-9"/>
        </w:rPr>
        <w:t xml:space="preserve"> </w:t>
      </w:r>
      <w:r>
        <w:t>extension</w:t>
      </w:r>
      <w:r>
        <w:rPr>
          <w:spacing w:val="-10"/>
        </w:rPr>
        <w:t xml:space="preserve"> </w:t>
      </w:r>
      <w:r>
        <w:t>specified</w:t>
      </w:r>
      <w:r>
        <w:rPr>
          <w:spacing w:val="-8"/>
        </w:rPr>
        <w:t xml:space="preserve"> </w:t>
      </w:r>
      <w:r>
        <w:t>in</w:t>
      </w:r>
      <w:r>
        <w:rPr>
          <w:spacing w:val="-9"/>
        </w:rPr>
        <w:t xml:space="preserve"> </w:t>
      </w:r>
      <w:r>
        <w:t>the</w:t>
      </w:r>
      <w:r>
        <w:t xml:space="preserve"> requests. Instead, MOFCOM simply rejected that the requested extensions were necessary because,</w:t>
      </w:r>
      <w:r>
        <w:rPr>
          <w:spacing w:val="-14"/>
        </w:rPr>
        <w:t xml:space="preserve"> </w:t>
      </w:r>
      <w:r>
        <w:t>in</w:t>
      </w:r>
      <w:r>
        <w:rPr>
          <w:spacing w:val="-14"/>
        </w:rPr>
        <w:t xml:space="preserve"> </w:t>
      </w:r>
      <w:r>
        <w:t>its</w:t>
      </w:r>
      <w:r>
        <w:rPr>
          <w:spacing w:val="-13"/>
        </w:rPr>
        <w:t xml:space="preserve"> </w:t>
      </w:r>
      <w:r>
        <w:t>view,</w:t>
      </w:r>
      <w:r>
        <w:rPr>
          <w:spacing w:val="-14"/>
        </w:rPr>
        <w:t xml:space="preserve"> </w:t>
      </w:r>
      <w:r>
        <w:t>"the</w:t>
      </w:r>
      <w:r>
        <w:rPr>
          <w:spacing w:val="-13"/>
        </w:rPr>
        <w:t xml:space="preserve"> </w:t>
      </w:r>
      <w:r>
        <w:t>stakeholders</w:t>
      </w:r>
      <w:r>
        <w:rPr>
          <w:spacing w:val="-14"/>
        </w:rPr>
        <w:t xml:space="preserve"> </w:t>
      </w:r>
      <w:r>
        <w:t>had</w:t>
      </w:r>
      <w:r>
        <w:rPr>
          <w:spacing w:val="-13"/>
        </w:rPr>
        <w:t xml:space="preserve"> </w:t>
      </w:r>
      <w:r>
        <w:t>been</w:t>
      </w:r>
      <w:r>
        <w:rPr>
          <w:spacing w:val="-14"/>
        </w:rPr>
        <w:t xml:space="preserve"> </w:t>
      </w:r>
      <w:r>
        <w:t>granted</w:t>
      </w:r>
      <w:r>
        <w:rPr>
          <w:spacing w:val="-14"/>
        </w:rPr>
        <w:t xml:space="preserve"> </w:t>
      </w:r>
      <w:r>
        <w:t>sufficient</w:t>
      </w:r>
      <w:r>
        <w:rPr>
          <w:spacing w:val="-13"/>
        </w:rPr>
        <w:t xml:space="preserve"> </w:t>
      </w:r>
      <w:r>
        <w:t>time".</w:t>
      </w:r>
      <w:r>
        <w:rPr>
          <w:spacing w:val="-14"/>
        </w:rPr>
        <w:t xml:space="preserve"> </w:t>
      </w:r>
      <w:r>
        <w:t>The</w:t>
      </w:r>
      <w:r>
        <w:rPr>
          <w:spacing w:val="-13"/>
        </w:rPr>
        <w:t xml:space="preserve"> </w:t>
      </w:r>
      <w:r>
        <w:t>only</w:t>
      </w:r>
      <w:r>
        <w:rPr>
          <w:spacing w:val="-14"/>
        </w:rPr>
        <w:t xml:space="preserve"> </w:t>
      </w:r>
      <w:r>
        <w:t>explanation given for this view is that "a number of the questions" in the questionnaire had purportedly also been asked in the sampling questionnaire. At most, 14 out of over 300 questions and sub‐questions in the questionnaire were comparable to those in</w:t>
      </w:r>
      <w:r>
        <w:t xml:space="preserve"> the sampling questionnaire, with nine of these questions relating to the corporate business structures of the responding parties.</w:t>
      </w:r>
      <w:r>
        <w:rPr>
          <w:spacing w:val="-6"/>
        </w:rPr>
        <w:t xml:space="preserve"> </w:t>
      </w:r>
      <w:r>
        <w:t>This</w:t>
      </w:r>
      <w:r>
        <w:rPr>
          <w:spacing w:val="-6"/>
        </w:rPr>
        <w:t xml:space="preserve"> </w:t>
      </w:r>
      <w:r>
        <w:t>overlap</w:t>
      </w:r>
      <w:r>
        <w:rPr>
          <w:spacing w:val="-6"/>
        </w:rPr>
        <w:t xml:space="preserve"> </w:t>
      </w:r>
      <w:r>
        <w:t>could</w:t>
      </w:r>
      <w:r>
        <w:rPr>
          <w:spacing w:val="-6"/>
        </w:rPr>
        <w:t xml:space="preserve"> </w:t>
      </w:r>
      <w:r>
        <w:t>not</w:t>
      </w:r>
      <w:r>
        <w:rPr>
          <w:spacing w:val="-6"/>
        </w:rPr>
        <w:t xml:space="preserve"> </w:t>
      </w:r>
      <w:r>
        <w:t>have</w:t>
      </w:r>
      <w:r>
        <w:rPr>
          <w:spacing w:val="-5"/>
        </w:rPr>
        <w:t xml:space="preserve"> </w:t>
      </w:r>
      <w:r>
        <w:t>meaningfully</w:t>
      </w:r>
      <w:r>
        <w:rPr>
          <w:spacing w:val="-6"/>
        </w:rPr>
        <w:t xml:space="preserve"> </w:t>
      </w:r>
      <w:r>
        <w:t>affected</w:t>
      </w:r>
      <w:r>
        <w:rPr>
          <w:spacing w:val="-7"/>
        </w:rPr>
        <w:t xml:space="preserve"> </w:t>
      </w:r>
      <w:r>
        <w:t>the</w:t>
      </w:r>
      <w:r>
        <w:rPr>
          <w:spacing w:val="-6"/>
        </w:rPr>
        <w:t xml:space="preserve"> </w:t>
      </w:r>
      <w:r>
        <w:t>amount</w:t>
      </w:r>
      <w:r>
        <w:rPr>
          <w:spacing w:val="-6"/>
        </w:rPr>
        <w:t xml:space="preserve"> </w:t>
      </w:r>
      <w:r>
        <w:t>of</w:t>
      </w:r>
      <w:r>
        <w:rPr>
          <w:spacing w:val="-8"/>
        </w:rPr>
        <w:t xml:space="preserve"> </w:t>
      </w:r>
      <w:r>
        <w:t>work,</w:t>
      </w:r>
      <w:r>
        <w:rPr>
          <w:spacing w:val="-6"/>
        </w:rPr>
        <w:t xml:space="preserve"> </w:t>
      </w:r>
      <w:r>
        <w:t>and</w:t>
      </w:r>
      <w:r>
        <w:rPr>
          <w:spacing w:val="-6"/>
        </w:rPr>
        <w:t xml:space="preserve"> </w:t>
      </w:r>
      <w:r>
        <w:t>therefore the amount of time required to prepare an</w:t>
      </w:r>
      <w:r>
        <w:t xml:space="preserve">d submit completed responses to the </w:t>
      </w:r>
      <w:r>
        <w:rPr>
          <w:spacing w:val="-2"/>
        </w:rPr>
        <w:t>questionnaire.</w:t>
      </w:r>
    </w:p>
    <w:p w14:paraId="51DE9824" w14:textId="77777777" w:rsidR="0010369C" w:rsidRDefault="0010369C">
      <w:pPr>
        <w:pStyle w:val="BodyText"/>
        <w:spacing w:before="11"/>
        <w:rPr>
          <w:sz w:val="8"/>
        </w:rPr>
      </w:pPr>
    </w:p>
    <w:p w14:paraId="51DE9825" w14:textId="77777777" w:rsidR="0010369C" w:rsidRDefault="008E43AE">
      <w:pPr>
        <w:pStyle w:val="BodyText"/>
        <w:spacing w:before="52" w:line="360" w:lineRule="auto"/>
        <w:ind w:left="237" w:right="613" w:firstLine="851"/>
        <w:jc w:val="both"/>
      </w:pPr>
      <w:r>
        <w:rPr>
          <w:noProof/>
        </w:rPr>
        <w:drawing>
          <wp:anchor distT="0" distB="0" distL="0" distR="0" simplePos="0" relativeHeight="251506176" behindDoc="1" locked="0" layoutInCell="1" allowOverlap="1" wp14:anchorId="51DEA7B2" wp14:editId="51DEA7B3">
            <wp:simplePos x="0" y="0"/>
            <wp:positionH relativeFrom="page">
              <wp:posOffset>902208</wp:posOffset>
            </wp:positionH>
            <wp:positionV relativeFrom="paragraph">
              <wp:posOffset>81949</wp:posOffset>
            </wp:positionV>
            <wp:extent cx="262127" cy="100753"/>
            <wp:effectExtent l="0" t="0" r="0" b="0"/>
            <wp:wrapNone/>
            <wp:docPr id="1781" name="image9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 name="image918.png"/>
                    <pic:cNvPicPr/>
                  </pic:nvPicPr>
                  <pic:blipFill>
                    <a:blip r:embed="rId1187" cstate="print"/>
                    <a:stretch>
                      <a:fillRect/>
                    </a:stretch>
                  </pic:blipFill>
                  <pic:spPr>
                    <a:xfrm>
                      <a:off x="0" y="0"/>
                      <a:ext cx="262127" cy="100753"/>
                    </a:xfrm>
                    <a:prstGeom prst="rect">
                      <a:avLst/>
                    </a:prstGeom>
                  </pic:spPr>
                </pic:pic>
              </a:graphicData>
            </a:graphic>
          </wp:anchor>
        </w:drawing>
      </w:r>
      <w:r>
        <w:t>Even to the extent that there was some overlap between the questions in the two questionnaires,</w:t>
      </w:r>
      <w:r>
        <w:rPr>
          <w:spacing w:val="-1"/>
        </w:rPr>
        <w:t xml:space="preserve"> </w:t>
      </w:r>
      <w:r>
        <w:t>MOFCOM's</w:t>
      </w:r>
      <w:r>
        <w:rPr>
          <w:spacing w:val="-3"/>
        </w:rPr>
        <w:t xml:space="preserve"> </w:t>
      </w:r>
      <w:r>
        <w:t>decisions</w:t>
      </w:r>
      <w:r>
        <w:rPr>
          <w:spacing w:val="-2"/>
        </w:rPr>
        <w:t xml:space="preserve"> </w:t>
      </w:r>
      <w:r>
        <w:t>to</w:t>
      </w:r>
      <w:r>
        <w:rPr>
          <w:spacing w:val="-2"/>
        </w:rPr>
        <w:t xml:space="preserve"> </w:t>
      </w:r>
      <w:r>
        <w:t>reject</w:t>
      </w:r>
      <w:r>
        <w:rPr>
          <w:spacing w:val="-3"/>
        </w:rPr>
        <w:t xml:space="preserve"> </w:t>
      </w:r>
      <w:r>
        <w:t>extension</w:t>
      </w:r>
      <w:r>
        <w:rPr>
          <w:spacing w:val="-3"/>
        </w:rPr>
        <w:t xml:space="preserve"> </w:t>
      </w:r>
      <w:r>
        <w:t>requests</w:t>
      </w:r>
      <w:r>
        <w:rPr>
          <w:spacing w:val="-3"/>
        </w:rPr>
        <w:t xml:space="preserve"> </w:t>
      </w:r>
      <w:r>
        <w:t>have</w:t>
      </w:r>
      <w:r>
        <w:rPr>
          <w:spacing w:val="-1"/>
        </w:rPr>
        <w:t xml:space="preserve"> </w:t>
      </w:r>
      <w:r>
        <w:t>no</w:t>
      </w:r>
      <w:r>
        <w:rPr>
          <w:spacing w:val="-2"/>
        </w:rPr>
        <w:t xml:space="preserve"> </w:t>
      </w:r>
      <w:r>
        <w:t>logical</w:t>
      </w:r>
      <w:r>
        <w:rPr>
          <w:spacing w:val="-2"/>
        </w:rPr>
        <w:t xml:space="preserve"> </w:t>
      </w:r>
      <w:r>
        <w:t>connection to</w:t>
      </w:r>
      <w:r>
        <w:rPr>
          <w:spacing w:val="-6"/>
        </w:rPr>
        <w:t xml:space="preserve"> </w:t>
      </w:r>
      <w:r>
        <w:t>the</w:t>
      </w:r>
      <w:r>
        <w:rPr>
          <w:spacing w:val="-6"/>
        </w:rPr>
        <w:t xml:space="preserve"> </w:t>
      </w:r>
      <w:r>
        <w:t>specific</w:t>
      </w:r>
      <w:r>
        <w:rPr>
          <w:spacing w:val="-6"/>
        </w:rPr>
        <w:t xml:space="preserve"> </w:t>
      </w:r>
      <w:r>
        <w:t>grounds</w:t>
      </w:r>
      <w:r>
        <w:rPr>
          <w:spacing w:val="-7"/>
        </w:rPr>
        <w:t xml:space="preserve"> </w:t>
      </w:r>
      <w:r>
        <w:t>given</w:t>
      </w:r>
      <w:r>
        <w:rPr>
          <w:spacing w:val="-7"/>
        </w:rPr>
        <w:t xml:space="preserve"> </w:t>
      </w:r>
      <w:r>
        <w:t>by</w:t>
      </w:r>
      <w:r>
        <w:rPr>
          <w:spacing w:val="-6"/>
        </w:rPr>
        <w:t xml:space="preserve"> </w:t>
      </w:r>
      <w:r>
        <w:t>each</w:t>
      </w:r>
      <w:r>
        <w:rPr>
          <w:spacing w:val="-8"/>
        </w:rPr>
        <w:t xml:space="preserve"> </w:t>
      </w:r>
      <w:r>
        <w:t>company.</w:t>
      </w:r>
      <w:r>
        <w:rPr>
          <w:spacing w:val="-7"/>
        </w:rPr>
        <w:t xml:space="preserve"> </w:t>
      </w:r>
      <w:r>
        <w:t>These</w:t>
      </w:r>
      <w:r>
        <w:rPr>
          <w:spacing w:val="-5"/>
        </w:rPr>
        <w:t xml:space="preserve"> </w:t>
      </w:r>
      <w:r>
        <w:t>grounds</w:t>
      </w:r>
      <w:r>
        <w:rPr>
          <w:spacing w:val="-7"/>
        </w:rPr>
        <w:t xml:space="preserve"> </w:t>
      </w:r>
      <w:r>
        <w:t>were</w:t>
      </w:r>
      <w:r>
        <w:rPr>
          <w:spacing w:val="-6"/>
        </w:rPr>
        <w:t xml:space="preserve"> </w:t>
      </w:r>
      <w:r>
        <w:t>reasonable</w:t>
      </w:r>
      <w:r>
        <w:rPr>
          <w:spacing w:val="-7"/>
        </w:rPr>
        <w:t xml:space="preserve"> </w:t>
      </w:r>
      <w:r>
        <w:t>on</w:t>
      </w:r>
      <w:r>
        <w:rPr>
          <w:spacing w:val="-6"/>
        </w:rPr>
        <w:t xml:space="preserve"> </w:t>
      </w:r>
      <w:r>
        <w:t>their</w:t>
      </w:r>
      <w:r>
        <w:rPr>
          <w:spacing w:val="-6"/>
        </w:rPr>
        <w:t xml:space="preserve"> </w:t>
      </w:r>
      <w:r>
        <w:t>face, and they were based on factual claims that were readily verifiable by MOFCOM, such as the large volume of data requested and the impact that the imposition of lockdown measures in Australi</w:t>
      </w:r>
      <w:r>
        <w:t>a in response to COVID‐19 outbreaks was having on the parties' capacities to gather and</w:t>
      </w:r>
      <w:r>
        <w:rPr>
          <w:spacing w:val="20"/>
        </w:rPr>
        <w:t xml:space="preserve"> </w:t>
      </w:r>
      <w:r>
        <w:t>prepare</w:t>
      </w:r>
      <w:r>
        <w:rPr>
          <w:spacing w:val="20"/>
        </w:rPr>
        <w:t xml:space="preserve"> </w:t>
      </w:r>
      <w:r>
        <w:t>the</w:t>
      </w:r>
      <w:r>
        <w:rPr>
          <w:spacing w:val="21"/>
        </w:rPr>
        <w:t xml:space="preserve"> </w:t>
      </w:r>
      <w:r>
        <w:t>responsive</w:t>
      </w:r>
      <w:r>
        <w:rPr>
          <w:spacing w:val="20"/>
        </w:rPr>
        <w:t xml:space="preserve"> </w:t>
      </w:r>
      <w:r>
        <w:t>information.</w:t>
      </w:r>
      <w:r>
        <w:rPr>
          <w:spacing w:val="22"/>
        </w:rPr>
        <w:t xml:space="preserve"> </w:t>
      </w:r>
      <w:r>
        <w:t>MOFCOM</w:t>
      </w:r>
      <w:r>
        <w:rPr>
          <w:spacing w:val="20"/>
        </w:rPr>
        <w:t xml:space="preserve"> </w:t>
      </w:r>
      <w:r>
        <w:t>did</w:t>
      </w:r>
      <w:r>
        <w:rPr>
          <w:spacing w:val="20"/>
        </w:rPr>
        <w:t xml:space="preserve"> </w:t>
      </w:r>
      <w:r>
        <w:t>not</w:t>
      </w:r>
      <w:r>
        <w:rPr>
          <w:spacing w:val="21"/>
        </w:rPr>
        <w:t xml:space="preserve"> </w:t>
      </w:r>
      <w:r>
        <w:t>contend</w:t>
      </w:r>
      <w:r>
        <w:rPr>
          <w:spacing w:val="20"/>
        </w:rPr>
        <w:t xml:space="preserve"> </w:t>
      </w:r>
      <w:r>
        <w:t>that</w:t>
      </w:r>
      <w:r>
        <w:rPr>
          <w:spacing w:val="20"/>
        </w:rPr>
        <w:t xml:space="preserve"> </w:t>
      </w:r>
      <w:r>
        <w:t>these</w:t>
      </w:r>
      <w:r>
        <w:rPr>
          <w:spacing w:val="21"/>
        </w:rPr>
        <w:t xml:space="preserve"> </w:t>
      </w:r>
      <w:r>
        <w:t>reasons</w:t>
      </w:r>
      <w:r>
        <w:rPr>
          <w:spacing w:val="20"/>
        </w:rPr>
        <w:t xml:space="preserve"> </w:t>
      </w:r>
      <w:r>
        <w:t>for</w:t>
      </w:r>
    </w:p>
    <w:p w14:paraId="51DE9826" w14:textId="77777777" w:rsidR="0010369C" w:rsidRDefault="0010369C">
      <w:pPr>
        <w:pStyle w:val="BodyText"/>
        <w:rPr>
          <w:sz w:val="20"/>
        </w:rPr>
      </w:pPr>
    </w:p>
    <w:p w14:paraId="51DE9827" w14:textId="77777777" w:rsidR="0010369C" w:rsidRDefault="0010369C">
      <w:pPr>
        <w:pStyle w:val="BodyText"/>
        <w:rPr>
          <w:sz w:val="20"/>
        </w:rPr>
      </w:pPr>
    </w:p>
    <w:p w14:paraId="51DE9828" w14:textId="77777777" w:rsidR="0010369C" w:rsidRDefault="0010369C">
      <w:pPr>
        <w:pStyle w:val="BodyText"/>
        <w:rPr>
          <w:sz w:val="20"/>
        </w:rPr>
      </w:pPr>
    </w:p>
    <w:p w14:paraId="51DE9829" w14:textId="77777777" w:rsidR="0010369C" w:rsidRDefault="008E43AE">
      <w:pPr>
        <w:pStyle w:val="BodyText"/>
        <w:spacing w:before="6"/>
        <w:rPr>
          <w:sz w:val="21"/>
        </w:rPr>
      </w:pPr>
      <w:r>
        <w:pict w14:anchorId="51DEA7B4">
          <v:rect id="docshape1323" o:spid="_x0000_s1125" style="position:absolute;margin-left:70.9pt;margin-top:14.3pt;width:2in;height:.8pt;z-index:-250713600;mso-wrap-distance-left:0;mso-wrap-distance-right:0;mso-position-horizontal-relative:page" fillcolor="black" stroked="f">
            <w10:wrap type="topAndBottom" anchorx="page"/>
          </v:rect>
        </w:pict>
      </w:r>
    </w:p>
    <w:p w14:paraId="51DE982A" w14:textId="77777777" w:rsidR="0010369C" w:rsidRDefault="008E43AE">
      <w:pPr>
        <w:spacing w:before="109"/>
        <w:ind w:left="238"/>
        <w:rPr>
          <w:sz w:val="18"/>
        </w:rPr>
      </w:pPr>
      <w:r>
        <w:rPr>
          <w:sz w:val="18"/>
          <w:vertAlign w:val="superscript"/>
        </w:rPr>
        <w:t>1084</w:t>
      </w:r>
      <w:r>
        <w:rPr>
          <w:spacing w:val="-10"/>
          <w:sz w:val="18"/>
        </w:rPr>
        <w:t xml:space="preserve"> </w:t>
      </w:r>
      <w:r>
        <w:rPr>
          <w:sz w:val="18"/>
        </w:rPr>
        <w:t>Anti‐Dumping</w:t>
      </w:r>
      <w:r>
        <w:rPr>
          <w:spacing w:val="-9"/>
          <w:sz w:val="18"/>
        </w:rPr>
        <w:t xml:space="preserve"> </w:t>
      </w:r>
      <w:r>
        <w:rPr>
          <w:sz w:val="18"/>
        </w:rPr>
        <w:t>Final</w:t>
      </w:r>
      <w:r>
        <w:rPr>
          <w:spacing w:val="-9"/>
          <w:sz w:val="18"/>
        </w:rPr>
        <w:t xml:space="preserve"> </w:t>
      </w:r>
      <w:r>
        <w:rPr>
          <w:sz w:val="18"/>
        </w:rPr>
        <w:t>Determination</w:t>
      </w:r>
      <w:r>
        <w:rPr>
          <w:spacing w:val="-8"/>
          <w:sz w:val="18"/>
        </w:rPr>
        <w:t xml:space="preserve"> </w:t>
      </w:r>
      <w:r>
        <w:rPr>
          <w:sz w:val="18"/>
        </w:rPr>
        <w:t>(Exhibit</w:t>
      </w:r>
      <w:r>
        <w:rPr>
          <w:spacing w:val="-9"/>
          <w:sz w:val="18"/>
        </w:rPr>
        <w:t xml:space="preserve"> </w:t>
      </w:r>
      <w:r>
        <w:rPr>
          <w:sz w:val="18"/>
        </w:rPr>
        <w:t>AUS‐2),</w:t>
      </w:r>
      <w:r>
        <w:rPr>
          <w:spacing w:val="-10"/>
          <w:sz w:val="18"/>
        </w:rPr>
        <w:t xml:space="preserve"> </w:t>
      </w:r>
      <w:r>
        <w:rPr>
          <w:sz w:val="18"/>
        </w:rPr>
        <w:t>pp.</w:t>
      </w:r>
      <w:r>
        <w:rPr>
          <w:spacing w:val="-9"/>
          <w:sz w:val="18"/>
        </w:rPr>
        <w:t xml:space="preserve"> </w:t>
      </w:r>
      <w:r>
        <w:rPr>
          <w:spacing w:val="-2"/>
          <w:sz w:val="18"/>
        </w:rPr>
        <w:t>17‐18.</w:t>
      </w:r>
    </w:p>
    <w:p w14:paraId="51DE982B" w14:textId="77777777" w:rsidR="0010369C" w:rsidRDefault="008E43AE">
      <w:pPr>
        <w:ind w:left="238"/>
        <w:rPr>
          <w:sz w:val="18"/>
        </w:rPr>
      </w:pPr>
      <w:r>
        <w:rPr>
          <w:sz w:val="18"/>
          <w:vertAlign w:val="superscript"/>
        </w:rPr>
        <w:t>1085</w:t>
      </w:r>
      <w:r>
        <w:rPr>
          <w:spacing w:val="-10"/>
          <w:sz w:val="18"/>
        </w:rPr>
        <w:t xml:space="preserve"> </w:t>
      </w:r>
      <w:r>
        <w:rPr>
          <w:sz w:val="18"/>
        </w:rPr>
        <w:t>Anti‐Dumping</w:t>
      </w:r>
      <w:r>
        <w:rPr>
          <w:spacing w:val="-9"/>
          <w:sz w:val="18"/>
        </w:rPr>
        <w:t xml:space="preserve"> </w:t>
      </w:r>
      <w:r>
        <w:rPr>
          <w:sz w:val="18"/>
        </w:rPr>
        <w:t>Final</w:t>
      </w:r>
      <w:r>
        <w:rPr>
          <w:spacing w:val="-9"/>
          <w:sz w:val="18"/>
        </w:rPr>
        <w:t xml:space="preserve"> </w:t>
      </w:r>
      <w:r>
        <w:rPr>
          <w:sz w:val="18"/>
        </w:rPr>
        <w:t>Determination</w:t>
      </w:r>
      <w:r>
        <w:rPr>
          <w:spacing w:val="-8"/>
          <w:sz w:val="18"/>
        </w:rPr>
        <w:t xml:space="preserve"> </w:t>
      </w:r>
      <w:r>
        <w:rPr>
          <w:sz w:val="18"/>
        </w:rPr>
        <w:t>(Exhibit</w:t>
      </w:r>
      <w:r>
        <w:rPr>
          <w:spacing w:val="-9"/>
          <w:sz w:val="18"/>
        </w:rPr>
        <w:t xml:space="preserve"> </w:t>
      </w:r>
      <w:r>
        <w:rPr>
          <w:sz w:val="18"/>
        </w:rPr>
        <w:t>AUS‐2),</w:t>
      </w:r>
      <w:r>
        <w:rPr>
          <w:spacing w:val="-10"/>
          <w:sz w:val="18"/>
        </w:rPr>
        <w:t xml:space="preserve"> </w:t>
      </w:r>
      <w:r>
        <w:rPr>
          <w:sz w:val="18"/>
        </w:rPr>
        <w:t>pp.</w:t>
      </w:r>
      <w:r>
        <w:rPr>
          <w:spacing w:val="-9"/>
          <w:sz w:val="18"/>
        </w:rPr>
        <w:t xml:space="preserve"> </w:t>
      </w:r>
      <w:r>
        <w:rPr>
          <w:spacing w:val="-2"/>
          <w:sz w:val="18"/>
        </w:rPr>
        <w:t>17‐18.</w:t>
      </w:r>
    </w:p>
    <w:p w14:paraId="51DE982C" w14:textId="77777777" w:rsidR="0010369C" w:rsidRDefault="0010369C">
      <w:pPr>
        <w:rPr>
          <w:sz w:val="18"/>
        </w:rPr>
        <w:sectPr w:rsidR="0010369C">
          <w:pgSz w:w="11910" w:h="16840"/>
          <w:pgMar w:top="880" w:right="800" w:bottom="980" w:left="1180" w:header="569" w:footer="788" w:gutter="0"/>
          <w:cols w:space="720"/>
        </w:sectPr>
      </w:pPr>
    </w:p>
    <w:p w14:paraId="51DE982D" w14:textId="77777777" w:rsidR="0010369C" w:rsidRDefault="008E43AE">
      <w:pPr>
        <w:tabs>
          <w:tab w:val="left" w:pos="6426"/>
        </w:tabs>
        <w:ind w:left="238"/>
        <w:rPr>
          <w:sz w:val="20"/>
        </w:rPr>
      </w:pPr>
      <w:r>
        <w:rPr>
          <w:i/>
          <w:sz w:val="20"/>
        </w:rPr>
        <w:lastRenderedPageBreak/>
        <w:t>China</w:t>
      </w:r>
      <w:r>
        <w:rPr>
          <w:i/>
          <w:spacing w:val="-5"/>
          <w:sz w:val="20"/>
        </w:rPr>
        <w:t xml:space="preserve"> </w:t>
      </w:r>
      <w:r>
        <w:rPr>
          <w:i/>
          <w:sz w:val="20"/>
        </w:rPr>
        <w:t>–</w:t>
      </w:r>
      <w:r>
        <w:rPr>
          <w:i/>
          <w:spacing w:val="-5"/>
          <w:sz w:val="20"/>
        </w:rPr>
        <w:t xml:space="preserve"> </w:t>
      </w:r>
      <w:r>
        <w:rPr>
          <w:i/>
          <w:sz w:val="20"/>
        </w:rPr>
        <w:t>Anti‐Dumping</w:t>
      </w:r>
      <w:r>
        <w:rPr>
          <w:i/>
          <w:spacing w:val="-4"/>
          <w:sz w:val="20"/>
        </w:rPr>
        <w:t xml:space="preserve"> </w:t>
      </w:r>
      <w:r>
        <w:rPr>
          <w:i/>
          <w:sz w:val="20"/>
        </w:rPr>
        <w:t>and</w:t>
      </w:r>
      <w:r>
        <w:rPr>
          <w:i/>
          <w:spacing w:val="-5"/>
          <w:sz w:val="20"/>
        </w:rPr>
        <w:t xml:space="preserve"> </w:t>
      </w:r>
      <w:r>
        <w:rPr>
          <w:i/>
          <w:sz w:val="20"/>
        </w:rPr>
        <w:t>Countervailing</w:t>
      </w:r>
      <w:r>
        <w:rPr>
          <w:i/>
          <w:spacing w:val="-5"/>
          <w:sz w:val="20"/>
        </w:rPr>
        <w:t xml:space="preserve"> </w:t>
      </w:r>
      <w:r>
        <w:rPr>
          <w:i/>
          <w:sz w:val="20"/>
        </w:rPr>
        <w:t>Duty</w:t>
      </w:r>
      <w:r>
        <w:rPr>
          <w:i/>
          <w:spacing w:val="-4"/>
          <w:sz w:val="20"/>
        </w:rPr>
        <w:t xml:space="preserve"> </w:t>
      </w:r>
      <w:r>
        <w:rPr>
          <w:i/>
          <w:spacing w:val="-2"/>
          <w:sz w:val="20"/>
        </w:rPr>
        <w:t>Measures</w:t>
      </w:r>
      <w:r>
        <w:rPr>
          <w:i/>
          <w:sz w:val="20"/>
        </w:rPr>
        <w:tab/>
      </w:r>
      <w:r>
        <w:rPr>
          <w:sz w:val="20"/>
        </w:rPr>
        <w:t>Australia's</w:t>
      </w:r>
      <w:r>
        <w:rPr>
          <w:spacing w:val="-7"/>
          <w:sz w:val="20"/>
        </w:rPr>
        <w:t xml:space="preserve"> </w:t>
      </w:r>
      <w:r>
        <w:rPr>
          <w:sz w:val="20"/>
        </w:rPr>
        <w:t>First</w:t>
      </w:r>
      <w:r>
        <w:rPr>
          <w:spacing w:val="-2"/>
          <w:sz w:val="20"/>
        </w:rPr>
        <w:t xml:space="preserve"> </w:t>
      </w:r>
      <w:r>
        <w:rPr>
          <w:sz w:val="20"/>
        </w:rPr>
        <w:t>Written</w:t>
      </w:r>
      <w:r>
        <w:rPr>
          <w:spacing w:val="-2"/>
          <w:sz w:val="20"/>
        </w:rPr>
        <w:t xml:space="preserve"> Submission</w:t>
      </w:r>
    </w:p>
    <w:p w14:paraId="51DE982E" w14:textId="77777777" w:rsidR="0010369C" w:rsidRDefault="008E43AE">
      <w:pPr>
        <w:tabs>
          <w:tab w:val="left" w:pos="8228"/>
        </w:tabs>
        <w:spacing w:before="1"/>
        <w:ind w:left="239"/>
        <w:rPr>
          <w:sz w:val="20"/>
        </w:rPr>
      </w:pPr>
      <w:r>
        <w:rPr>
          <w:i/>
          <w:sz w:val="20"/>
        </w:rPr>
        <w:t>on</w:t>
      </w:r>
      <w:r>
        <w:rPr>
          <w:i/>
          <w:spacing w:val="-1"/>
          <w:sz w:val="20"/>
        </w:rPr>
        <w:t xml:space="preserve"> </w:t>
      </w:r>
      <w:r>
        <w:rPr>
          <w:i/>
          <w:sz w:val="20"/>
        </w:rPr>
        <w:t>Wine</w:t>
      </w:r>
      <w:r>
        <w:rPr>
          <w:i/>
          <w:spacing w:val="-1"/>
          <w:sz w:val="20"/>
        </w:rPr>
        <w:t xml:space="preserve"> </w:t>
      </w:r>
      <w:r>
        <w:rPr>
          <w:i/>
          <w:sz w:val="20"/>
        </w:rPr>
        <w:t>from</w:t>
      </w:r>
      <w:r>
        <w:rPr>
          <w:i/>
          <w:spacing w:val="-3"/>
          <w:sz w:val="20"/>
        </w:rPr>
        <w:t xml:space="preserve"> </w:t>
      </w:r>
      <w:r>
        <w:rPr>
          <w:i/>
          <w:sz w:val="20"/>
        </w:rPr>
        <w:t>Australia</w:t>
      </w:r>
      <w:r>
        <w:rPr>
          <w:i/>
          <w:spacing w:val="-1"/>
          <w:sz w:val="20"/>
        </w:rPr>
        <w:t xml:space="preserve"> </w:t>
      </w:r>
      <w:r>
        <w:rPr>
          <w:spacing w:val="-2"/>
          <w:sz w:val="20"/>
        </w:rPr>
        <w:t>(DS602)</w:t>
      </w:r>
      <w:r>
        <w:rPr>
          <w:sz w:val="20"/>
        </w:rPr>
        <w:tab/>
        <w:t>29</w:t>
      </w:r>
      <w:r>
        <w:rPr>
          <w:spacing w:val="-1"/>
          <w:sz w:val="20"/>
        </w:rPr>
        <w:t xml:space="preserve"> </w:t>
      </w:r>
      <w:r>
        <w:rPr>
          <w:sz w:val="20"/>
        </w:rPr>
        <w:t>April</w:t>
      </w:r>
      <w:r>
        <w:rPr>
          <w:spacing w:val="-2"/>
          <w:sz w:val="20"/>
        </w:rPr>
        <w:t xml:space="preserve"> </w:t>
      </w:r>
      <w:r>
        <w:rPr>
          <w:spacing w:val="-4"/>
          <w:sz w:val="20"/>
        </w:rPr>
        <w:t>2022</w:t>
      </w:r>
    </w:p>
    <w:p w14:paraId="51DE982F" w14:textId="77777777" w:rsidR="0010369C" w:rsidRDefault="008E43AE">
      <w:pPr>
        <w:pStyle w:val="BodyText"/>
        <w:spacing w:before="34" w:line="360" w:lineRule="auto"/>
        <w:ind w:left="238" w:right="611"/>
      </w:pPr>
      <w:r>
        <w:t>requesting</w:t>
      </w:r>
      <w:r>
        <w:rPr>
          <w:spacing w:val="-4"/>
        </w:rPr>
        <w:t xml:space="preserve"> </w:t>
      </w:r>
      <w:r>
        <w:t>an</w:t>
      </w:r>
      <w:r>
        <w:rPr>
          <w:spacing w:val="-3"/>
        </w:rPr>
        <w:t xml:space="preserve"> </w:t>
      </w:r>
      <w:r>
        <w:t>extension</w:t>
      </w:r>
      <w:r>
        <w:rPr>
          <w:spacing w:val="-5"/>
        </w:rPr>
        <w:t xml:space="preserve"> </w:t>
      </w:r>
      <w:r>
        <w:t>did</w:t>
      </w:r>
      <w:r>
        <w:rPr>
          <w:spacing w:val="-3"/>
        </w:rPr>
        <w:t xml:space="preserve"> </w:t>
      </w:r>
      <w:r>
        <w:t>not</w:t>
      </w:r>
      <w:r>
        <w:rPr>
          <w:spacing w:val="-2"/>
        </w:rPr>
        <w:t xml:space="preserve"> </w:t>
      </w:r>
      <w:r>
        <w:t>constitute</w:t>
      </w:r>
      <w:r>
        <w:rPr>
          <w:spacing w:val="-2"/>
        </w:rPr>
        <w:t xml:space="preserve"> </w:t>
      </w:r>
      <w:r>
        <w:t>"cause</w:t>
      </w:r>
      <w:r>
        <w:rPr>
          <w:spacing w:val="-2"/>
        </w:rPr>
        <w:t xml:space="preserve"> </w:t>
      </w:r>
      <w:r>
        <w:t>shown"</w:t>
      </w:r>
      <w:r>
        <w:rPr>
          <w:spacing w:val="-3"/>
        </w:rPr>
        <w:t xml:space="preserve"> </w:t>
      </w:r>
      <w:r>
        <w:t>within</w:t>
      </w:r>
      <w:r>
        <w:rPr>
          <w:spacing w:val="-3"/>
        </w:rPr>
        <w:t xml:space="preserve"> </w:t>
      </w:r>
      <w:r>
        <w:t>the</w:t>
      </w:r>
      <w:r>
        <w:rPr>
          <w:spacing w:val="-2"/>
        </w:rPr>
        <w:t xml:space="preserve"> </w:t>
      </w:r>
      <w:r>
        <w:t>meaning</w:t>
      </w:r>
      <w:r>
        <w:rPr>
          <w:spacing w:val="-3"/>
        </w:rPr>
        <w:t xml:space="preserve"> </w:t>
      </w:r>
      <w:r>
        <w:t>of</w:t>
      </w:r>
      <w:r>
        <w:rPr>
          <w:spacing w:val="-3"/>
        </w:rPr>
        <w:t xml:space="preserve"> </w:t>
      </w:r>
      <w:r>
        <w:t>Article</w:t>
      </w:r>
      <w:r>
        <w:rPr>
          <w:spacing w:val="-2"/>
        </w:rPr>
        <w:t xml:space="preserve"> </w:t>
      </w:r>
      <w:r>
        <w:t>6.1.1 of the Anti‐Dumping Agreement.</w:t>
      </w:r>
    </w:p>
    <w:p w14:paraId="51DE9830" w14:textId="77777777" w:rsidR="0010369C" w:rsidRDefault="0010369C">
      <w:pPr>
        <w:pStyle w:val="BodyText"/>
        <w:spacing w:before="10"/>
        <w:rPr>
          <w:sz w:val="8"/>
        </w:rPr>
      </w:pPr>
    </w:p>
    <w:p w14:paraId="51DE9831" w14:textId="77777777" w:rsidR="0010369C" w:rsidRDefault="008E43AE">
      <w:pPr>
        <w:pStyle w:val="BodyText"/>
        <w:spacing w:before="52" w:line="360" w:lineRule="auto"/>
        <w:ind w:left="236" w:right="614" w:firstLine="852"/>
        <w:jc w:val="both"/>
      </w:pPr>
      <w:r>
        <w:rPr>
          <w:noProof/>
        </w:rPr>
        <w:drawing>
          <wp:anchor distT="0" distB="0" distL="0" distR="0" simplePos="0" relativeHeight="251507200" behindDoc="1" locked="0" layoutInCell="1" allowOverlap="1" wp14:anchorId="51DEA7B5" wp14:editId="51DEA7B6">
            <wp:simplePos x="0" y="0"/>
            <wp:positionH relativeFrom="page">
              <wp:posOffset>902208</wp:posOffset>
            </wp:positionH>
            <wp:positionV relativeFrom="paragraph">
              <wp:posOffset>76785</wp:posOffset>
            </wp:positionV>
            <wp:extent cx="262127" cy="106679"/>
            <wp:effectExtent l="0" t="0" r="0" b="0"/>
            <wp:wrapNone/>
            <wp:docPr id="1783" name="image9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 name="image919.png"/>
                    <pic:cNvPicPr/>
                  </pic:nvPicPr>
                  <pic:blipFill>
                    <a:blip r:embed="rId1188" cstate="print"/>
                    <a:stretch>
                      <a:fillRect/>
                    </a:stretch>
                  </pic:blipFill>
                  <pic:spPr>
                    <a:xfrm>
                      <a:off x="0" y="0"/>
                      <a:ext cx="262127" cy="106679"/>
                    </a:xfrm>
                    <a:prstGeom prst="rect">
                      <a:avLst/>
                    </a:prstGeom>
                  </pic:spPr>
                </pic:pic>
              </a:graphicData>
            </a:graphic>
          </wp:anchor>
        </w:drawing>
      </w:r>
      <w:r>
        <w:t>By entirely failing to address the reasons given in the "cause shown" by the requesting parties or to explain how these reasons were taken into account in MOFCOM'</w:t>
      </w:r>
      <w:r>
        <w:t>s decisions</w:t>
      </w:r>
      <w:r>
        <w:rPr>
          <w:spacing w:val="-5"/>
        </w:rPr>
        <w:t xml:space="preserve"> </w:t>
      </w:r>
      <w:r>
        <w:t>to</w:t>
      </w:r>
      <w:r>
        <w:rPr>
          <w:spacing w:val="-6"/>
        </w:rPr>
        <w:t xml:space="preserve"> </w:t>
      </w:r>
      <w:r>
        <w:t>reject</w:t>
      </w:r>
      <w:r>
        <w:rPr>
          <w:spacing w:val="-6"/>
        </w:rPr>
        <w:t xml:space="preserve"> </w:t>
      </w:r>
      <w:r>
        <w:t>the</w:t>
      </w:r>
      <w:r>
        <w:rPr>
          <w:spacing w:val="-4"/>
        </w:rPr>
        <w:t xml:space="preserve"> </w:t>
      </w:r>
      <w:r>
        <w:t>extension</w:t>
      </w:r>
      <w:r>
        <w:rPr>
          <w:spacing w:val="-6"/>
        </w:rPr>
        <w:t xml:space="preserve"> </w:t>
      </w:r>
      <w:r>
        <w:t>requests,</w:t>
      </w:r>
      <w:r>
        <w:rPr>
          <w:spacing w:val="-5"/>
        </w:rPr>
        <w:t xml:space="preserve"> </w:t>
      </w:r>
      <w:r>
        <w:t>MOFCOM</w:t>
      </w:r>
      <w:r>
        <w:rPr>
          <w:spacing w:val="-5"/>
        </w:rPr>
        <w:t xml:space="preserve"> </w:t>
      </w:r>
      <w:r>
        <w:t>failed</w:t>
      </w:r>
      <w:r>
        <w:rPr>
          <w:spacing w:val="-5"/>
        </w:rPr>
        <w:t xml:space="preserve"> </w:t>
      </w:r>
      <w:r>
        <w:t>to</w:t>
      </w:r>
      <w:r>
        <w:rPr>
          <w:spacing w:val="-5"/>
        </w:rPr>
        <w:t xml:space="preserve"> </w:t>
      </w:r>
      <w:r>
        <w:t>give</w:t>
      </w:r>
      <w:r>
        <w:rPr>
          <w:spacing w:val="-4"/>
        </w:rPr>
        <w:t xml:space="preserve"> </w:t>
      </w:r>
      <w:r>
        <w:t>"due</w:t>
      </w:r>
      <w:r>
        <w:rPr>
          <w:spacing w:val="-5"/>
        </w:rPr>
        <w:t xml:space="preserve"> </w:t>
      </w:r>
      <w:r>
        <w:t>consideration"</w:t>
      </w:r>
      <w:r>
        <w:rPr>
          <w:spacing w:val="-4"/>
        </w:rPr>
        <w:t xml:space="preserve"> </w:t>
      </w:r>
      <w:r>
        <w:t>to</w:t>
      </w:r>
      <w:r>
        <w:rPr>
          <w:spacing w:val="-5"/>
        </w:rPr>
        <w:t xml:space="preserve"> </w:t>
      </w:r>
      <w:r>
        <w:t>the requests in accordance with Article 6.1.1.</w:t>
      </w:r>
    </w:p>
    <w:p w14:paraId="51DE9832" w14:textId="77777777" w:rsidR="0010369C" w:rsidRDefault="0010369C">
      <w:pPr>
        <w:pStyle w:val="BodyText"/>
        <w:spacing w:before="11"/>
        <w:rPr>
          <w:sz w:val="8"/>
        </w:rPr>
      </w:pPr>
    </w:p>
    <w:p w14:paraId="51DE9833" w14:textId="77777777" w:rsidR="0010369C" w:rsidRDefault="008E43AE">
      <w:pPr>
        <w:pStyle w:val="BodyText"/>
        <w:spacing w:before="52"/>
        <w:ind w:left="1089"/>
        <w:jc w:val="both"/>
      </w:pPr>
      <w:r>
        <w:rPr>
          <w:noProof/>
        </w:rPr>
        <w:drawing>
          <wp:anchor distT="0" distB="0" distL="0" distR="0" simplePos="0" relativeHeight="250694144" behindDoc="0" locked="0" layoutInCell="1" allowOverlap="1" wp14:anchorId="51DEA7B7" wp14:editId="51DEA7B8">
            <wp:simplePos x="0" y="0"/>
            <wp:positionH relativeFrom="page">
              <wp:posOffset>902208</wp:posOffset>
            </wp:positionH>
            <wp:positionV relativeFrom="paragraph">
              <wp:posOffset>80595</wp:posOffset>
            </wp:positionV>
            <wp:extent cx="262127" cy="103631"/>
            <wp:effectExtent l="0" t="0" r="0" b="0"/>
            <wp:wrapNone/>
            <wp:docPr id="1785" name="image9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 name="image920.png"/>
                    <pic:cNvPicPr/>
                  </pic:nvPicPr>
                  <pic:blipFill>
                    <a:blip r:embed="rId1189" cstate="print"/>
                    <a:stretch>
                      <a:fillRect/>
                    </a:stretch>
                  </pic:blipFill>
                  <pic:spPr>
                    <a:xfrm>
                      <a:off x="0" y="0"/>
                      <a:ext cx="262127" cy="103631"/>
                    </a:xfrm>
                    <a:prstGeom prst="rect">
                      <a:avLst/>
                    </a:prstGeom>
                  </pic:spPr>
                </pic:pic>
              </a:graphicData>
            </a:graphic>
          </wp:anchor>
        </w:drawing>
      </w:r>
      <w:r>
        <w:t>Further, there</w:t>
      </w:r>
      <w:r>
        <w:rPr>
          <w:spacing w:val="1"/>
        </w:rPr>
        <w:t xml:space="preserve"> </w:t>
      </w:r>
      <w:r>
        <w:t>is nothing</w:t>
      </w:r>
      <w:r>
        <w:rPr>
          <w:spacing w:val="1"/>
        </w:rPr>
        <w:t xml:space="preserve"> </w:t>
      </w:r>
      <w:r>
        <w:t>in</w:t>
      </w:r>
      <w:r>
        <w:rPr>
          <w:spacing w:val="-1"/>
        </w:rPr>
        <w:t xml:space="preserve"> </w:t>
      </w:r>
      <w:r>
        <w:t>(i)</w:t>
      </w:r>
      <w:r>
        <w:rPr>
          <w:spacing w:val="1"/>
        </w:rPr>
        <w:t xml:space="preserve"> </w:t>
      </w:r>
      <w:r>
        <w:t>MOFCOM's decisions</w:t>
      </w:r>
      <w:r>
        <w:rPr>
          <w:spacing w:val="1"/>
        </w:rPr>
        <w:t xml:space="preserve"> </w:t>
      </w:r>
      <w:r>
        <w:t>to deny the</w:t>
      </w:r>
      <w:r>
        <w:rPr>
          <w:spacing w:val="1"/>
        </w:rPr>
        <w:t xml:space="preserve"> </w:t>
      </w:r>
      <w:r>
        <w:t xml:space="preserve">extension </w:t>
      </w:r>
      <w:r>
        <w:rPr>
          <w:spacing w:val="-2"/>
        </w:rPr>
        <w:t>requests,</w:t>
      </w:r>
    </w:p>
    <w:p w14:paraId="51DE9834" w14:textId="77777777" w:rsidR="0010369C" w:rsidRDefault="008E43AE">
      <w:pPr>
        <w:pStyle w:val="ListParagraph"/>
        <w:numPr>
          <w:ilvl w:val="0"/>
          <w:numId w:val="28"/>
        </w:numPr>
        <w:tabs>
          <w:tab w:val="left" w:pos="559"/>
        </w:tabs>
        <w:spacing w:before="146" w:line="360" w:lineRule="auto"/>
        <w:ind w:right="613" w:firstLine="0"/>
        <w:jc w:val="both"/>
        <w:rPr>
          <w:sz w:val="24"/>
        </w:rPr>
      </w:pPr>
      <w:r>
        <w:rPr>
          <w:sz w:val="24"/>
        </w:rPr>
        <w:t>its explanation of these decisions in the Final Determination, or (iii) anywhere else in the Final Determination to indicate that it was not "practicable" to grant the extensions as requested.</w:t>
      </w:r>
      <w:r>
        <w:rPr>
          <w:spacing w:val="-3"/>
          <w:sz w:val="24"/>
        </w:rPr>
        <w:t xml:space="preserve"> </w:t>
      </w:r>
      <w:r>
        <w:rPr>
          <w:sz w:val="24"/>
        </w:rPr>
        <w:t>The</w:t>
      </w:r>
      <w:r>
        <w:rPr>
          <w:spacing w:val="-2"/>
          <w:sz w:val="24"/>
        </w:rPr>
        <w:t xml:space="preserve"> </w:t>
      </w:r>
      <w:r>
        <w:rPr>
          <w:sz w:val="24"/>
        </w:rPr>
        <w:t>extension</w:t>
      </w:r>
      <w:r>
        <w:rPr>
          <w:spacing w:val="-3"/>
          <w:sz w:val="24"/>
        </w:rPr>
        <w:t xml:space="preserve"> </w:t>
      </w:r>
      <w:r>
        <w:rPr>
          <w:sz w:val="24"/>
        </w:rPr>
        <w:t>requests</w:t>
      </w:r>
      <w:r>
        <w:rPr>
          <w:spacing w:val="-3"/>
          <w:sz w:val="24"/>
        </w:rPr>
        <w:t xml:space="preserve"> </w:t>
      </w:r>
      <w:r>
        <w:rPr>
          <w:sz w:val="24"/>
        </w:rPr>
        <w:t>were</w:t>
      </w:r>
      <w:r>
        <w:rPr>
          <w:spacing w:val="-2"/>
          <w:sz w:val="24"/>
        </w:rPr>
        <w:t xml:space="preserve"> </w:t>
      </w:r>
      <w:r>
        <w:rPr>
          <w:sz w:val="24"/>
        </w:rPr>
        <w:t>submitted</w:t>
      </w:r>
      <w:r>
        <w:rPr>
          <w:spacing w:val="-2"/>
          <w:sz w:val="24"/>
        </w:rPr>
        <w:t xml:space="preserve"> </w:t>
      </w:r>
      <w:r>
        <w:rPr>
          <w:sz w:val="24"/>
        </w:rPr>
        <w:t>only</w:t>
      </w:r>
      <w:r>
        <w:rPr>
          <w:spacing w:val="-2"/>
          <w:sz w:val="24"/>
        </w:rPr>
        <w:t xml:space="preserve"> </w:t>
      </w:r>
      <w:r>
        <w:rPr>
          <w:sz w:val="24"/>
        </w:rPr>
        <w:t>two</w:t>
      </w:r>
      <w:r>
        <w:rPr>
          <w:spacing w:val="-2"/>
          <w:sz w:val="24"/>
        </w:rPr>
        <w:t xml:space="preserve"> </w:t>
      </w:r>
      <w:r>
        <w:rPr>
          <w:sz w:val="24"/>
        </w:rPr>
        <w:t>months</w:t>
      </w:r>
      <w:r>
        <w:rPr>
          <w:spacing w:val="-3"/>
          <w:sz w:val="24"/>
        </w:rPr>
        <w:t xml:space="preserve"> </w:t>
      </w:r>
      <w:r>
        <w:rPr>
          <w:sz w:val="24"/>
        </w:rPr>
        <w:t>into</w:t>
      </w:r>
      <w:r>
        <w:rPr>
          <w:spacing w:val="-2"/>
          <w:sz w:val="24"/>
        </w:rPr>
        <w:t xml:space="preserve"> </w:t>
      </w:r>
      <w:r>
        <w:rPr>
          <w:sz w:val="24"/>
        </w:rPr>
        <w:t>the</w:t>
      </w:r>
      <w:r>
        <w:rPr>
          <w:spacing w:val="-2"/>
          <w:sz w:val="24"/>
        </w:rPr>
        <w:t xml:space="preserve"> </w:t>
      </w:r>
      <w:r>
        <w:rPr>
          <w:sz w:val="24"/>
        </w:rPr>
        <w:t>investigation.</w:t>
      </w:r>
      <w:r>
        <w:rPr>
          <w:spacing w:val="-1"/>
          <w:sz w:val="24"/>
        </w:rPr>
        <w:t xml:space="preserve"> </w:t>
      </w:r>
      <w:r>
        <w:rPr>
          <w:sz w:val="24"/>
        </w:rPr>
        <w:t>It was clearly practicable for MOFCOM to grant the requested extensions at this point in the ongoing investigation</w:t>
      </w:r>
      <w:r>
        <w:rPr>
          <w:sz w:val="16"/>
        </w:rPr>
        <w:t xml:space="preserve">, </w:t>
      </w:r>
      <w:r>
        <w:rPr>
          <w:sz w:val="24"/>
        </w:rPr>
        <w:t>especially considering that supplementary questionnaires were not provided</w:t>
      </w:r>
      <w:r>
        <w:rPr>
          <w:spacing w:val="-11"/>
          <w:sz w:val="24"/>
        </w:rPr>
        <w:t xml:space="preserve"> </w:t>
      </w:r>
      <w:r>
        <w:rPr>
          <w:sz w:val="24"/>
        </w:rPr>
        <w:t>to</w:t>
      </w:r>
      <w:r>
        <w:rPr>
          <w:spacing w:val="-11"/>
          <w:sz w:val="24"/>
        </w:rPr>
        <w:t xml:space="preserve"> </w:t>
      </w:r>
      <w:r>
        <w:rPr>
          <w:sz w:val="24"/>
        </w:rPr>
        <w:t>companies</w:t>
      </w:r>
      <w:r>
        <w:rPr>
          <w:spacing w:val="-12"/>
          <w:sz w:val="24"/>
        </w:rPr>
        <w:t xml:space="preserve"> </w:t>
      </w:r>
      <w:r>
        <w:rPr>
          <w:sz w:val="24"/>
        </w:rPr>
        <w:t>until</w:t>
      </w:r>
      <w:r>
        <w:rPr>
          <w:spacing w:val="-11"/>
          <w:sz w:val="24"/>
        </w:rPr>
        <w:t xml:space="preserve"> </w:t>
      </w:r>
      <w:r>
        <w:rPr>
          <w:sz w:val="24"/>
        </w:rPr>
        <w:t>1</w:t>
      </w:r>
      <w:r>
        <w:rPr>
          <w:spacing w:val="-3"/>
          <w:sz w:val="24"/>
        </w:rPr>
        <w:t xml:space="preserve"> </w:t>
      </w:r>
      <w:r>
        <w:rPr>
          <w:sz w:val="24"/>
        </w:rPr>
        <w:t>February</w:t>
      </w:r>
      <w:r>
        <w:rPr>
          <w:spacing w:val="-1"/>
          <w:sz w:val="24"/>
        </w:rPr>
        <w:t xml:space="preserve"> </w:t>
      </w:r>
      <w:r>
        <w:rPr>
          <w:sz w:val="24"/>
        </w:rPr>
        <w:t>2021,</w:t>
      </w:r>
      <w:r>
        <w:rPr>
          <w:spacing w:val="-10"/>
          <w:sz w:val="24"/>
        </w:rPr>
        <w:t xml:space="preserve"> </w:t>
      </w:r>
      <w:r>
        <w:rPr>
          <w:sz w:val="24"/>
        </w:rPr>
        <w:t>77</w:t>
      </w:r>
      <w:r>
        <w:rPr>
          <w:spacing w:val="-9"/>
          <w:sz w:val="24"/>
        </w:rPr>
        <w:t xml:space="preserve"> </w:t>
      </w:r>
      <w:r>
        <w:rPr>
          <w:sz w:val="24"/>
        </w:rPr>
        <w:t>days</w:t>
      </w:r>
      <w:r>
        <w:rPr>
          <w:spacing w:val="-11"/>
          <w:sz w:val="24"/>
        </w:rPr>
        <w:t xml:space="preserve"> </w:t>
      </w:r>
      <w:r>
        <w:rPr>
          <w:sz w:val="24"/>
        </w:rPr>
        <w:t>after</w:t>
      </w:r>
      <w:r>
        <w:rPr>
          <w:spacing w:val="-11"/>
          <w:sz w:val="24"/>
        </w:rPr>
        <w:t xml:space="preserve"> </w:t>
      </w:r>
      <w:r>
        <w:rPr>
          <w:sz w:val="24"/>
        </w:rPr>
        <w:t>the</w:t>
      </w:r>
      <w:r>
        <w:rPr>
          <w:spacing w:val="-10"/>
          <w:sz w:val="24"/>
        </w:rPr>
        <w:t xml:space="preserve"> </w:t>
      </w:r>
      <w:r>
        <w:rPr>
          <w:sz w:val="24"/>
        </w:rPr>
        <w:t>deadline</w:t>
      </w:r>
      <w:r>
        <w:rPr>
          <w:spacing w:val="-10"/>
          <w:sz w:val="24"/>
        </w:rPr>
        <w:t xml:space="preserve"> </w:t>
      </w:r>
      <w:r>
        <w:rPr>
          <w:sz w:val="24"/>
        </w:rPr>
        <w:t>for</w:t>
      </w:r>
      <w:r>
        <w:rPr>
          <w:spacing w:val="-11"/>
          <w:sz w:val="24"/>
        </w:rPr>
        <w:t xml:space="preserve"> </w:t>
      </w:r>
      <w:r>
        <w:rPr>
          <w:sz w:val="24"/>
        </w:rPr>
        <w:t>the</w:t>
      </w:r>
      <w:r>
        <w:rPr>
          <w:spacing w:val="-10"/>
          <w:sz w:val="24"/>
        </w:rPr>
        <w:t xml:space="preserve"> </w:t>
      </w:r>
      <w:r>
        <w:rPr>
          <w:sz w:val="24"/>
        </w:rPr>
        <w:t xml:space="preserve">questionnaire </w:t>
      </w:r>
      <w:r>
        <w:rPr>
          <w:spacing w:val="-2"/>
          <w:sz w:val="24"/>
        </w:rPr>
        <w:t>responses.</w:t>
      </w:r>
    </w:p>
    <w:p w14:paraId="51DE9835" w14:textId="77777777" w:rsidR="0010369C" w:rsidRDefault="0010369C">
      <w:pPr>
        <w:pStyle w:val="BodyText"/>
        <w:spacing w:before="11"/>
        <w:rPr>
          <w:sz w:val="8"/>
        </w:rPr>
      </w:pPr>
    </w:p>
    <w:p w14:paraId="51DE9836" w14:textId="77777777" w:rsidR="0010369C" w:rsidRDefault="008E43AE">
      <w:pPr>
        <w:pStyle w:val="BodyText"/>
        <w:spacing w:before="52" w:line="360" w:lineRule="auto"/>
        <w:ind w:left="237" w:right="614" w:firstLine="852"/>
        <w:jc w:val="both"/>
      </w:pPr>
      <w:r>
        <w:rPr>
          <w:noProof/>
        </w:rPr>
        <w:drawing>
          <wp:anchor distT="0" distB="0" distL="0" distR="0" simplePos="0" relativeHeight="251508224" behindDoc="1" locked="0" layoutInCell="1" allowOverlap="1" wp14:anchorId="51DEA7B9" wp14:editId="51DEA7BA">
            <wp:simplePos x="0" y="0"/>
            <wp:positionH relativeFrom="page">
              <wp:posOffset>902208</wp:posOffset>
            </wp:positionH>
            <wp:positionV relativeFrom="paragraph">
              <wp:posOffset>81357</wp:posOffset>
            </wp:positionV>
            <wp:extent cx="262127" cy="103631"/>
            <wp:effectExtent l="0" t="0" r="0" b="0"/>
            <wp:wrapNone/>
            <wp:docPr id="1787" name="image9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 name="image921.png"/>
                    <pic:cNvPicPr/>
                  </pic:nvPicPr>
                  <pic:blipFill>
                    <a:blip r:embed="rId1190" cstate="print"/>
                    <a:stretch>
                      <a:fillRect/>
                    </a:stretch>
                  </pic:blipFill>
                  <pic:spPr>
                    <a:xfrm>
                      <a:off x="0" y="0"/>
                      <a:ext cx="262127" cy="103631"/>
                    </a:xfrm>
                    <a:prstGeom prst="rect">
                      <a:avLst/>
                    </a:prstGeom>
                  </pic:spPr>
                </pic:pic>
              </a:graphicData>
            </a:graphic>
          </wp:anchor>
        </w:drawing>
      </w:r>
      <w:r>
        <w:t>MOFCOM</w:t>
      </w:r>
      <w:r>
        <w:rPr>
          <w:spacing w:val="-1"/>
        </w:rPr>
        <w:t xml:space="preserve"> </w:t>
      </w:r>
      <w:r>
        <w:t>failed</w:t>
      </w:r>
      <w:r>
        <w:rPr>
          <w:spacing w:val="-1"/>
        </w:rPr>
        <w:t xml:space="preserve"> </w:t>
      </w:r>
      <w:r>
        <w:t>to</w:t>
      </w:r>
      <w:r>
        <w:rPr>
          <w:spacing w:val="-1"/>
        </w:rPr>
        <w:t xml:space="preserve"> </w:t>
      </w:r>
      <w:r>
        <w:t>indicate there</w:t>
      </w:r>
      <w:r>
        <w:rPr>
          <w:spacing w:val="-1"/>
        </w:rPr>
        <w:t xml:space="preserve"> </w:t>
      </w:r>
      <w:r>
        <w:t>were</w:t>
      </w:r>
      <w:r>
        <w:rPr>
          <w:spacing w:val="-1"/>
        </w:rPr>
        <w:t xml:space="preserve"> </w:t>
      </w:r>
      <w:r>
        <w:t>any</w:t>
      </w:r>
      <w:r>
        <w:rPr>
          <w:spacing w:val="-1"/>
        </w:rPr>
        <w:t xml:space="preserve"> </w:t>
      </w:r>
      <w:r>
        <w:t>grounds</w:t>
      </w:r>
      <w:r>
        <w:rPr>
          <w:spacing w:val="-2"/>
        </w:rPr>
        <w:t xml:space="preserve"> </w:t>
      </w:r>
      <w:r>
        <w:t>for</w:t>
      </w:r>
      <w:r>
        <w:rPr>
          <w:spacing w:val="-1"/>
        </w:rPr>
        <w:t xml:space="preserve"> </w:t>
      </w:r>
      <w:r>
        <w:t>urgency</w:t>
      </w:r>
      <w:r>
        <w:rPr>
          <w:spacing w:val="-1"/>
        </w:rPr>
        <w:t xml:space="preserve"> </w:t>
      </w:r>
      <w:r>
        <w:t>in</w:t>
      </w:r>
      <w:r>
        <w:rPr>
          <w:spacing w:val="-2"/>
        </w:rPr>
        <w:t xml:space="preserve"> </w:t>
      </w:r>
      <w:r>
        <w:t>the</w:t>
      </w:r>
      <w:r>
        <w:rPr>
          <w:spacing w:val="-1"/>
        </w:rPr>
        <w:t xml:space="preserve"> </w:t>
      </w:r>
      <w:r>
        <w:t>investigation. At no time did MOFCOM provide a timeline of the investigation to interested parties to demonstrate any time pressures.</w:t>
      </w:r>
    </w:p>
    <w:p w14:paraId="51DE9837" w14:textId="77777777" w:rsidR="0010369C" w:rsidRDefault="0010369C">
      <w:pPr>
        <w:pStyle w:val="BodyText"/>
        <w:spacing w:before="11"/>
        <w:rPr>
          <w:sz w:val="8"/>
        </w:rPr>
      </w:pPr>
    </w:p>
    <w:p w14:paraId="51DE9838" w14:textId="77777777" w:rsidR="0010369C" w:rsidRDefault="008E43AE">
      <w:pPr>
        <w:pStyle w:val="BodyText"/>
        <w:spacing w:before="51" w:line="360" w:lineRule="auto"/>
        <w:ind w:left="237" w:right="613" w:firstLine="851"/>
        <w:jc w:val="both"/>
      </w:pPr>
      <w:r>
        <w:rPr>
          <w:noProof/>
        </w:rPr>
        <w:drawing>
          <wp:anchor distT="0" distB="0" distL="0" distR="0" simplePos="0" relativeHeight="251509248" behindDoc="1" locked="0" layoutInCell="1" allowOverlap="1" wp14:anchorId="51DEA7BB" wp14:editId="51DEA7BC">
            <wp:simplePos x="0" y="0"/>
            <wp:positionH relativeFrom="page">
              <wp:posOffset>902208</wp:posOffset>
            </wp:positionH>
            <wp:positionV relativeFrom="paragraph">
              <wp:posOffset>80722</wp:posOffset>
            </wp:positionV>
            <wp:extent cx="262127" cy="103631"/>
            <wp:effectExtent l="0" t="0" r="0" b="0"/>
            <wp:wrapNone/>
            <wp:docPr id="1789" name="image9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 name="image922.png"/>
                    <pic:cNvPicPr/>
                  </pic:nvPicPr>
                  <pic:blipFill>
                    <a:blip r:embed="rId1191" cstate="print"/>
                    <a:stretch>
                      <a:fillRect/>
                    </a:stretch>
                  </pic:blipFill>
                  <pic:spPr>
                    <a:xfrm>
                      <a:off x="0" y="0"/>
                      <a:ext cx="262127" cy="103631"/>
                    </a:xfrm>
                    <a:prstGeom prst="rect">
                      <a:avLst/>
                    </a:prstGeom>
                  </pic:spPr>
                </pic:pic>
              </a:graphicData>
            </a:graphic>
          </wp:anchor>
        </w:drawing>
      </w:r>
      <w:r>
        <w:t>Therefore, MOFCOM acted inconsistently with Article 6.1.1 of the Anti‐Dumping Agreement</w:t>
      </w:r>
      <w:r>
        <w:rPr>
          <w:spacing w:val="-5"/>
        </w:rPr>
        <w:t xml:space="preserve"> </w:t>
      </w:r>
      <w:r>
        <w:t>by</w:t>
      </w:r>
      <w:r>
        <w:rPr>
          <w:spacing w:val="-2"/>
        </w:rPr>
        <w:t xml:space="preserve"> </w:t>
      </w:r>
      <w:r>
        <w:t>failing</w:t>
      </w:r>
      <w:r>
        <w:rPr>
          <w:spacing w:val="-3"/>
        </w:rPr>
        <w:t xml:space="preserve"> </w:t>
      </w:r>
      <w:r>
        <w:t>to</w:t>
      </w:r>
      <w:r>
        <w:rPr>
          <w:spacing w:val="-3"/>
        </w:rPr>
        <w:t xml:space="preserve"> </w:t>
      </w:r>
      <w:r>
        <w:t>grant</w:t>
      </w:r>
      <w:r>
        <w:rPr>
          <w:spacing w:val="-3"/>
        </w:rPr>
        <w:t xml:space="preserve"> </w:t>
      </w:r>
      <w:r>
        <w:t>reasonable</w:t>
      </w:r>
      <w:r>
        <w:rPr>
          <w:spacing w:val="-2"/>
        </w:rPr>
        <w:t xml:space="preserve"> </w:t>
      </w:r>
      <w:r>
        <w:t>extension</w:t>
      </w:r>
      <w:r>
        <w:rPr>
          <w:spacing w:val="-4"/>
        </w:rPr>
        <w:t xml:space="preserve"> </w:t>
      </w:r>
      <w:r>
        <w:t>requests</w:t>
      </w:r>
      <w:r>
        <w:rPr>
          <w:spacing w:val="-3"/>
        </w:rPr>
        <w:t xml:space="preserve"> </w:t>
      </w:r>
      <w:r>
        <w:t>for</w:t>
      </w:r>
      <w:r>
        <w:rPr>
          <w:spacing w:val="-2"/>
        </w:rPr>
        <w:t xml:space="preserve"> </w:t>
      </w:r>
      <w:r>
        <w:t>which</w:t>
      </w:r>
      <w:r>
        <w:rPr>
          <w:spacing w:val="-3"/>
        </w:rPr>
        <w:t xml:space="preserve"> </w:t>
      </w:r>
      <w:r>
        <w:t>the</w:t>
      </w:r>
      <w:r>
        <w:rPr>
          <w:spacing w:val="-2"/>
        </w:rPr>
        <w:t xml:space="preserve"> </w:t>
      </w:r>
      <w:r>
        <w:t>requesting</w:t>
      </w:r>
      <w:r>
        <w:rPr>
          <w:spacing w:val="-4"/>
        </w:rPr>
        <w:t xml:space="preserve"> </w:t>
      </w:r>
      <w:r>
        <w:t>parties had shown cause by giving detailed reasons supported by verifiable evidence, in circumstances where it was practicable for MOFCOM to grant the extensions as requested.</w:t>
      </w:r>
    </w:p>
    <w:p w14:paraId="51DE9839" w14:textId="77777777" w:rsidR="0010369C" w:rsidRDefault="0010369C">
      <w:pPr>
        <w:pStyle w:val="BodyText"/>
        <w:spacing w:before="11"/>
        <w:rPr>
          <w:sz w:val="8"/>
        </w:rPr>
      </w:pPr>
    </w:p>
    <w:p w14:paraId="51DE983A" w14:textId="77777777" w:rsidR="0010369C" w:rsidRDefault="008E43AE">
      <w:pPr>
        <w:pStyle w:val="BodyText"/>
        <w:spacing w:before="51" w:line="360" w:lineRule="auto"/>
        <w:ind w:left="237" w:right="612" w:firstLine="851"/>
        <w:jc w:val="both"/>
      </w:pPr>
      <w:r>
        <w:rPr>
          <w:noProof/>
        </w:rPr>
        <w:drawing>
          <wp:anchor distT="0" distB="0" distL="0" distR="0" simplePos="0" relativeHeight="251510272" behindDoc="1" locked="0" layoutInCell="1" allowOverlap="1" wp14:anchorId="51DEA7BD" wp14:editId="51DEA7BE">
            <wp:simplePos x="0" y="0"/>
            <wp:positionH relativeFrom="page">
              <wp:posOffset>902208</wp:posOffset>
            </wp:positionH>
            <wp:positionV relativeFrom="paragraph">
              <wp:posOffset>76150</wp:posOffset>
            </wp:positionV>
            <wp:extent cx="262127" cy="106679"/>
            <wp:effectExtent l="0" t="0" r="0" b="0"/>
            <wp:wrapNone/>
            <wp:docPr id="1791" name="image9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 name="image923.png"/>
                    <pic:cNvPicPr/>
                  </pic:nvPicPr>
                  <pic:blipFill>
                    <a:blip r:embed="rId1192" cstate="print"/>
                    <a:stretch>
                      <a:fillRect/>
                    </a:stretch>
                  </pic:blipFill>
                  <pic:spPr>
                    <a:xfrm>
                      <a:off x="0" y="0"/>
                      <a:ext cx="262127" cy="106679"/>
                    </a:xfrm>
                    <a:prstGeom prst="rect">
                      <a:avLst/>
                    </a:prstGeom>
                  </pic:spPr>
                </pic:pic>
              </a:graphicData>
            </a:graphic>
          </wp:anchor>
        </w:drawing>
      </w:r>
      <w:r>
        <w:t>Further, by failing to grant the extension requests in accordance with Article</w:t>
      </w:r>
      <w:r>
        <w:t xml:space="preserve"> 6.1.1, MOFCOM also acted inconsistently with the obligation</w:t>
      </w:r>
      <w:r>
        <w:rPr>
          <w:spacing w:val="-1"/>
        </w:rPr>
        <w:t xml:space="preserve"> </w:t>
      </w:r>
      <w:r>
        <w:t>under Article 6.2</w:t>
      </w:r>
      <w:r>
        <w:rPr>
          <w:spacing w:val="-1"/>
        </w:rPr>
        <w:t xml:space="preserve"> </w:t>
      </w:r>
      <w:r>
        <w:t>of the Anti‐Dumping Agreement to provide "interested parties" with "a full opportunity for the defence of their interests". This obligation is "a fundamental due process provisi</w:t>
      </w:r>
      <w:r>
        <w:t>on"</w:t>
      </w:r>
      <w:r>
        <w:rPr>
          <w:vertAlign w:val="superscript"/>
        </w:rPr>
        <w:t>1086</w:t>
      </w:r>
      <w:r>
        <w:t xml:space="preserve"> which applies to the entirety of the investigation,</w:t>
      </w:r>
      <w:r>
        <w:rPr>
          <w:vertAlign w:val="superscript"/>
        </w:rPr>
        <w:t>1087</w:t>
      </w:r>
      <w:r>
        <w:t xml:space="preserve"> and it is additional to the specific procedural requirements otherwise</w:t>
      </w:r>
      <w:r>
        <w:rPr>
          <w:spacing w:val="56"/>
        </w:rPr>
        <w:t xml:space="preserve"> </w:t>
      </w:r>
      <w:r>
        <w:t>provided</w:t>
      </w:r>
      <w:r>
        <w:rPr>
          <w:spacing w:val="55"/>
        </w:rPr>
        <w:t xml:space="preserve"> </w:t>
      </w:r>
      <w:r>
        <w:t>for</w:t>
      </w:r>
      <w:r>
        <w:rPr>
          <w:spacing w:val="55"/>
        </w:rPr>
        <w:t xml:space="preserve"> </w:t>
      </w:r>
      <w:r>
        <w:t>in</w:t>
      </w:r>
      <w:r>
        <w:rPr>
          <w:spacing w:val="55"/>
        </w:rPr>
        <w:t xml:space="preserve"> </w:t>
      </w:r>
      <w:r>
        <w:t>the</w:t>
      </w:r>
      <w:r>
        <w:rPr>
          <w:spacing w:val="56"/>
        </w:rPr>
        <w:t xml:space="preserve"> </w:t>
      </w:r>
      <w:r>
        <w:t>Anti‐Dumping</w:t>
      </w:r>
      <w:r>
        <w:rPr>
          <w:spacing w:val="55"/>
        </w:rPr>
        <w:t xml:space="preserve"> </w:t>
      </w:r>
      <w:r>
        <w:t>Agreement</w:t>
      </w:r>
      <w:r>
        <w:rPr>
          <w:spacing w:val="54"/>
        </w:rPr>
        <w:t xml:space="preserve"> </w:t>
      </w:r>
      <w:r>
        <w:t>(including</w:t>
      </w:r>
      <w:r>
        <w:rPr>
          <w:spacing w:val="55"/>
        </w:rPr>
        <w:t xml:space="preserve"> </w:t>
      </w:r>
      <w:r>
        <w:t>in</w:t>
      </w:r>
      <w:r>
        <w:rPr>
          <w:spacing w:val="56"/>
        </w:rPr>
        <w:t xml:space="preserve"> </w:t>
      </w:r>
      <w:r>
        <w:t>the</w:t>
      </w:r>
      <w:r>
        <w:rPr>
          <w:spacing w:val="55"/>
        </w:rPr>
        <w:t xml:space="preserve"> </w:t>
      </w:r>
      <w:r>
        <w:t>remainder</w:t>
      </w:r>
      <w:r>
        <w:rPr>
          <w:spacing w:val="56"/>
        </w:rPr>
        <w:t xml:space="preserve"> </w:t>
      </w:r>
      <w:r>
        <w:rPr>
          <w:spacing w:val="-5"/>
        </w:rPr>
        <w:t>of</w:t>
      </w:r>
    </w:p>
    <w:p w14:paraId="51DE983B" w14:textId="77777777" w:rsidR="0010369C" w:rsidRDefault="0010369C">
      <w:pPr>
        <w:pStyle w:val="BodyText"/>
      </w:pPr>
    </w:p>
    <w:p w14:paraId="51DE983C" w14:textId="77777777" w:rsidR="0010369C" w:rsidRDefault="0010369C">
      <w:pPr>
        <w:pStyle w:val="BodyText"/>
      </w:pPr>
    </w:p>
    <w:p w14:paraId="51DE983D" w14:textId="77777777" w:rsidR="0010369C" w:rsidRDefault="0010369C">
      <w:pPr>
        <w:pStyle w:val="BodyText"/>
        <w:spacing w:before="7"/>
        <w:rPr>
          <w:sz w:val="25"/>
        </w:rPr>
      </w:pPr>
    </w:p>
    <w:p w14:paraId="51DE983E" w14:textId="77777777" w:rsidR="0010369C" w:rsidRDefault="008E43AE">
      <w:pPr>
        <w:ind w:left="238"/>
        <w:rPr>
          <w:sz w:val="18"/>
        </w:rPr>
      </w:pPr>
      <w:r>
        <w:rPr>
          <w:sz w:val="18"/>
          <w:vertAlign w:val="superscript"/>
        </w:rPr>
        <w:t>1086</w:t>
      </w:r>
      <w:r>
        <w:rPr>
          <w:spacing w:val="-6"/>
          <w:sz w:val="18"/>
        </w:rPr>
        <w:t xml:space="preserve"> </w:t>
      </w:r>
      <w:r>
        <w:rPr>
          <w:sz w:val="18"/>
        </w:rPr>
        <w:t>Panel</w:t>
      </w:r>
      <w:r>
        <w:rPr>
          <w:spacing w:val="-7"/>
          <w:sz w:val="18"/>
        </w:rPr>
        <w:t xml:space="preserve"> </w:t>
      </w:r>
      <w:r>
        <w:rPr>
          <w:sz w:val="18"/>
        </w:rPr>
        <w:t>Report,</w:t>
      </w:r>
      <w:r>
        <w:rPr>
          <w:spacing w:val="-5"/>
          <w:sz w:val="18"/>
        </w:rPr>
        <w:t xml:space="preserve"> </w:t>
      </w:r>
      <w:r>
        <w:rPr>
          <w:i/>
          <w:sz w:val="18"/>
        </w:rPr>
        <w:t>Guatemala</w:t>
      </w:r>
      <w:r>
        <w:rPr>
          <w:i/>
          <w:spacing w:val="-7"/>
          <w:sz w:val="18"/>
        </w:rPr>
        <w:t xml:space="preserve"> </w:t>
      </w:r>
      <w:r>
        <w:rPr>
          <w:i/>
          <w:sz w:val="18"/>
        </w:rPr>
        <w:t>–</w:t>
      </w:r>
      <w:r>
        <w:rPr>
          <w:i/>
          <w:spacing w:val="-5"/>
          <w:sz w:val="18"/>
        </w:rPr>
        <w:t xml:space="preserve"> </w:t>
      </w:r>
      <w:r>
        <w:rPr>
          <w:i/>
          <w:sz w:val="18"/>
        </w:rPr>
        <w:t>Cement</w:t>
      </w:r>
      <w:r>
        <w:rPr>
          <w:i/>
          <w:spacing w:val="-6"/>
          <w:sz w:val="18"/>
        </w:rPr>
        <w:t xml:space="preserve"> </w:t>
      </w:r>
      <w:r>
        <w:rPr>
          <w:i/>
          <w:sz w:val="18"/>
        </w:rPr>
        <w:t>II</w:t>
      </w:r>
      <w:r>
        <w:rPr>
          <w:sz w:val="18"/>
        </w:rPr>
        <w:t>,</w:t>
      </w:r>
      <w:r>
        <w:rPr>
          <w:spacing w:val="-7"/>
          <w:sz w:val="18"/>
        </w:rPr>
        <w:t xml:space="preserve"> </w:t>
      </w:r>
      <w:r>
        <w:rPr>
          <w:sz w:val="18"/>
        </w:rPr>
        <w:t>para.</w:t>
      </w:r>
      <w:r>
        <w:rPr>
          <w:spacing w:val="-5"/>
          <w:sz w:val="18"/>
        </w:rPr>
        <w:t xml:space="preserve"> </w:t>
      </w:r>
      <w:r>
        <w:rPr>
          <w:spacing w:val="-2"/>
          <w:sz w:val="18"/>
        </w:rPr>
        <w:t>8.179.</w:t>
      </w:r>
    </w:p>
    <w:p w14:paraId="51DE983F" w14:textId="77777777" w:rsidR="0010369C" w:rsidRDefault="008E43AE">
      <w:pPr>
        <w:ind w:left="238"/>
        <w:rPr>
          <w:sz w:val="18"/>
        </w:rPr>
      </w:pPr>
      <w:r>
        <w:rPr>
          <w:sz w:val="18"/>
          <w:vertAlign w:val="superscript"/>
        </w:rPr>
        <w:t>1087</w:t>
      </w:r>
      <w:r>
        <w:rPr>
          <w:spacing w:val="-6"/>
          <w:sz w:val="18"/>
        </w:rPr>
        <w:t xml:space="preserve"> </w:t>
      </w:r>
      <w:r>
        <w:rPr>
          <w:sz w:val="18"/>
        </w:rPr>
        <w:t>Appellate</w:t>
      </w:r>
      <w:r>
        <w:rPr>
          <w:spacing w:val="-6"/>
          <w:sz w:val="18"/>
        </w:rPr>
        <w:t xml:space="preserve"> </w:t>
      </w:r>
      <w:r>
        <w:rPr>
          <w:sz w:val="18"/>
        </w:rPr>
        <w:t>Body</w:t>
      </w:r>
      <w:r>
        <w:rPr>
          <w:spacing w:val="-7"/>
          <w:sz w:val="18"/>
        </w:rPr>
        <w:t xml:space="preserve"> </w:t>
      </w:r>
      <w:r>
        <w:rPr>
          <w:sz w:val="18"/>
        </w:rPr>
        <w:t>Report,</w:t>
      </w:r>
      <w:r>
        <w:rPr>
          <w:spacing w:val="-6"/>
          <w:sz w:val="18"/>
        </w:rPr>
        <w:t xml:space="preserve"> </w:t>
      </w:r>
      <w:r>
        <w:rPr>
          <w:i/>
          <w:sz w:val="18"/>
        </w:rPr>
        <w:t>EC</w:t>
      </w:r>
      <w:r>
        <w:rPr>
          <w:i/>
          <w:spacing w:val="-7"/>
          <w:sz w:val="18"/>
        </w:rPr>
        <w:t xml:space="preserve"> </w:t>
      </w:r>
      <w:r>
        <w:rPr>
          <w:i/>
          <w:sz w:val="18"/>
        </w:rPr>
        <w:t>–</w:t>
      </w:r>
      <w:r>
        <w:rPr>
          <w:i/>
          <w:spacing w:val="-6"/>
          <w:sz w:val="18"/>
        </w:rPr>
        <w:t xml:space="preserve"> </w:t>
      </w:r>
      <w:r>
        <w:rPr>
          <w:i/>
          <w:sz w:val="18"/>
        </w:rPr>
        <w:t>Fasteners</w:t>
      </w:r>
      <w:r>
        <w:rPr>
          <w:i/>
          <w:spacing w:val="-5"/>
          <w:sz w:val="18"/>
        </w:rPr>
        <w:t xml:space="preserve"> </w:t>
      </w:r>
      <w:r>
        <w:rPr>
          <w:i/>
          <w:sz w:val="18"/>
        </w:rPr>
        <w:t>(China),</w:t>
      </w:r>
      <w:r>
        <w:rPr>
          <w:i/>
          <w:spacing w:val="-7"/>
          <w:sz w:val="18"/>
        </w:rPr>
        <w:t xml:space="preserve"> </w:t>
      </w:r>
      <w:r>
        <w:rPr>
          <w:sz w:val="18"/>
        </w:rPr>
        <w:t>para.</w:t>
      </w:r>
      <w:r>
        <w:rPr>
          <w:spacing w:val="-6"/>
          <w:sz w:val="18"/>
        </w:rPr>
        <w:t xml:space="preserve"> </w:t>
      </w:r>
      <w:r>
        <w:rPr>
          <w:sz w:val="18"/>
        </w:rPr>
        <w:t>615.</w:t>
      </w:r>
      <w:r>
        <w:rPr>
          <w:spacing w:val="-5"/>
          <w:sz w:val="18"/>
        </w:rPr>
        <w:t xml:space="preserve"> </w:t>
      </w:r>
      <w:r>
        <w:rPr>
          <w:sz w:val="18"/>
        </w:rPr>
        <w:t>Panel</w:t>
      </w:r>
      <w:r>
        <w:rPr>
          <w:spacing w:val="-7"/>
          <w:sz w:val="18"/>
        </w:rPr>
        <w:t xml:space="preserve"> </w:t>
      </w:r>
      <w:r>
        <w:rPr>
          <w:sz w:val="18"/>
        </w:rPr>
        <w:t>Report,</w:t>
      </w:r>
      <w:r>
        <w:rPr>
          <w:spacing w:val="-6"/>
          <w:sz w:val="18"/>
        </w:rPr>
        <w:t xml:space="preserve"> </w:t>
      </w:r>
      <w:r>
        <w:rPr>
          <w:i/>
          <w:sz w:val="18"/>
        </w:rPr>
        <w:t>EU</w:t>
      </w:r>
      <w:r>
        <w:rPr>
          <w:i/>
          <w:spacing w:val="-6"/>
          <w:sz w:val="18"/>
        </w:rPr>
        <w:t xml:space="preserve"> </w:t>
      </w:r>
      <w:r>
        <w:rPr>
          <w:i/>
          <w:sz w:val="18"/>
        </w:rPr>
        <w:t>–</w:t>
      </w:r>
      <w:r>
        <w:rPr>
          <w:i/>
          <w:spacing w:val="-6"/>
          <w:sz w:val="18"/>
        </w:rPr>
        <w:t xml:space="preserve"> </w:t>
      </w:r>
      <w:r>
        <w:rPr>
          <w:i/>
          <w:sz w:val="18"/>
        </w:rPr>
        <w:t>Footwear</w:t>
      </w:r>
      <w:r>
        <w:rPr>
          <w:i/>
          <w:spacing w:val="-6"/>
          <w:sz w:val="18"/>
        </w:rPr>
        <w:t xml:space="preserve"> </w:t>
      </w:r>
      <w:r>
        <w:rPr>
          <w:i/>
          <w:sz w:val="18"/>
        </w:rPr>
        <w:t>(China)</w:t>
      </w:r>
      <w:r>
        <w:rPr>
          <w:sz w:val="18"/>
        </w:rPr>
        <w:t>,</w:t>
      </w:r>
      <w:r>
        <w:rPr>
          <w:spacing w:val="-6"/>
          <w:sz w:val="18"/>
        </w:rPr>
        <w:t xml:space="preserve"> </w:t>
      </w:r>
      <w:r>
        <w:rPr>
          <w:sz w:val="18"/>
        </w:rPr>
        <w:t>para.</w:t>
      </w:r>
      <w:r>
        <w:rPr>
          <w:spacing w:val="-6"/>
          <w:sz w:val="18"/>
        </w:rPr>
        <w:t xml:space="preserve"> </w:t>
      </w:r>
      <w:r>
        <w:rPr>
          <w:spacing w:val="-2"/>
          <w:sz w:val="18"/>
        </w:rPr>
        <w:t>7.604.</w:t>
      </w:r>
    </w:p>
    <w:p w14:paraId="51DE9840" w14:textId="77777777" w:rsidR="0010369C" w:rsidRDefault="0010369C">
      <w:pPr>
        <w:rPr>
          <w:sz w:val="18"/>
        </w:rPr>
        <w:sectPr w:rsidR="0010369C">
          <w:headerReference w:type="default" r:id="rId1193"/>
          <w:footerReference w:type="default" r:id="rId1194"/>
          <w:pgSz w:w="11910" w:h="16840"/>
          <w:pgMar w:top="880" w:right="800" w:bottom="1340" w:left="1180" w:header="569" w:footer="1143" w:gutter="0"/>
          <w:cols w:space="720"/>
        </w:sectPr>
      </w:pPr>
    </w:p>
    <w:p w14:paraId="51DE9841" w14:textId="77777777" w:rsidR="0010369C" w:rsidRDefault="008E43AE">
      <w:pPr>
        <w:tabs>
          <w:tab w:val="left" w:pos="6426"/>
        </w:tabs>
        <w:ind w:left="238"/>
        <w:jc w:val="both"/>
        <w:rPr>
          <w:sz w:val="20"/>
        </w:rPr>
      </w:pPr>
      <w:r>
        <w:rPr>
          <w:i/>
          <w:sz w:val="20"/>
        </w:rPr>
        <w:lastRenderedPageBreak/>
        <w:t>China</w:t>
      </w:r>
      <w:r>
        <w:rPr>
          <w:i/>
          <w:spacing w:val="-5"/>
          <w:sz w:val="20"/>
        </w:rPr>
        <w:t xml:space="preserve"> </w:t>
      </w:r>
      <w:r>
        <w:rPr>
          <w:i/>
          <w:sz w:val="20"/>
        </w:rPr>
        <w:t>–</w:t>
      </w:r>
      <w:r>
        <w:rPr>
          <w:i/>
          <w:spacing w:val="-5"/>
          <w:sz w:val="20"/>
        </w:rPr>
        <w:t xml:space="preserve"> </w:t>
      </w:r>
      <w:r>
        <w:rPr>
          <w:i/>
          <w:sz w:val="20"/>
        </w:rPr>
        <w:t>Anti‐Dumping</w:t>
      </w:r>
      <w:r>
        <w:rPr>
          <w:i/>
          <w:spacing w:val="-4"/>
          <w:sz w:val="20"/>
        </w:rPr>
        <w:t xml:space="preserve"> </w:t>
      </w:r>
      <w:r>
        <w:rPr>
          <w:i/>
          <w:sz w:val="20"/>
        </w:rPr>
        <w:t>and</w:t>
      </w:r>
      <w:r>
        <w:rPr>
          <w:i/>
          <w:spacing w:val="-5"/>
          <w:sz w:val="20"/>
        </w:rPr>
        <w:t xml:space="preserve"> </w:t>
      </w:r>
      <w:r>
        <w:rPr>
          <w:i/>
          <w:sz w:val="20"/>
        </w:rPr>
        <w:t>Countervailing</w:t>
      </w:r>
      <w:r>
        <w:rPr>
          <w:i/>
          <w:spacing w:val="-5"/>
          <w:sz w:val="20"/>
        </w:rPr>
        <w:t xml:space="preserve"> </w:t>
      </w:r>
      <w:r>
        <w:rPr>
          <w:i/>
          <w:sz w:val="20"/>
        </w:rPr>
        <w:t>Duty</w:t>
      </w:r>
      <w:r>
        <w:rPr>
          <w:i/>
          <w:spacing w:val="-4"/>
          <w:sz w:val="20"/>
        </w:rPr>
        <w:t xml:space="preserve"> </w:t>
      </w:r>
      <w:r>
        <w:rPr>
          <w:i/>
          <w:spacing w:val="-2"/>
          <w:sz w:val="20"/>
        </w:rPr>
        <w:t>Measures</w:t>
      </w:r>
      <w:r>
        <w:rPr>
          <w:i/>
          <w:sz w:val="20"/>
        </w:rPr>
        <w:tab/>
      </w:r>
      <w:r>
        <w:rPr>
          <w:sz w:val="20"/>
        </w:rPr>
        <w:t>Australia's</w:t>
      </w:r>
      <w:r>
        <w:rPr>
          <w:spacing w:val="-7"/>
          <w:sz w:val="20"/>
        </w:rPr>
        <w:t xml:space="preserve"> </w:t>
      </w:r>
      <w:r>
        <w:rPr>
          <w:sz w:val="20"/>
        </w:rPr>
        <w:t>First</w:t>
      </w:r>
      <w:r>
        <w:rPr>
          <w:spacing w:val="-2"/>
          <w:sz w:val="20"/>
        </w:rPr>
        <w:t xml:space="preserve"> </w:t>
      </w:r>
      <w:r>
        <w:rPr>
          <w:sz w:val="20"/>
        </w:rPr>
        <w:t>Written</w:t>
      </w:r>
      <w:r>
        <w:rPr>
          <w:spacing w:val="-2"/>
          <w:sz w:val="20"/>
        </w:rPr>
        <w:t xml:space="preserve"> Submission</w:t>
      </w:r>
    </w:p>
    <w:p w14:paraId="51DE9842" w14:textId="77777777" w:rsidR="0010369C" w:rsidRDefault="008E43AE">
      <w:pPr>
        <w:tabs>
          <w:tab w:val="left" w:pos="8228"/>
        </w:tabs>
        <w:spacing w:before="1"/>
        <w:ind w:left="239"/>
        <w:jc w:val="both"/>
        <w:rPr>
          <w:sz w:val="20"/>
        </w:rPr>
      </w:pPr>
      <w:r>
        <w:rPr>
          <w:i/>
          <w:sz w:val="20"/>
        </w:rPr>
        <w:t>on</w:t>
      </w:r>
      <w:r>
        <w:rPr>
          <w:i/>
          <w:spacing w:val="-1"/>
          <w:sz w:val="20"/>
        </w:rPr>
        <w:t xml:space="preserve"> </w:t>
      </w:r>
      <w:r>
        <w:rPr>
          <w:i/>
          <w:sz w:val="20"/>
        </w:rPr>
        <w:t>Wine</w:t>
      </w:r>
      <w:r>
        <w:rPr>
          <w:i/>
          <w:spacing w:val="-1"/>
          <w:sz w:val="20"/>
        </w:rPr>
        <w:t xml:space="preserve"> </w:t>
      </w:r>
      <w:r>
        <w:rPr>
          <w:i/>
          <w:sz w:val="20"/>
        </w:rPr>
        <w:t>from</w:t>
      </w:r>
      <w:r>
        <w:rPr>
          <w:i/>
          <w:spacing w:val="-3"/>
          <w:sz w:val="20"/>
        </w:rPr>
        <w:t xml:space="preserve"> </w:t>
      </w:r>
      <w:r>
        <w:rPr>
          <w:i/>
          <w:sz w:val="20"/>
        </w:rPr>
        <w:t>Australia</w:t>
      </w:r>
      <w:r>
        <w:rPr>
          <w:i/>
          <w:spacing w:val="-1"/>
          <w:sz w:val="20"/>
        </w:rPr>
        <w:t xml:space="preserve"> </w:t>
      </w:r>
      <w:r>
        <w:rPr>
          <w:spacing w:val="-2"/>
          <w:sz w:val="20"/>
        </w:rPr>
        <w:t>(DS602)</w:t>
      </w:r>
      <w:r>
        <w:rPr>
          <w:sz w:val="20"/>
        </w:rPr>
        <w:tab/>
        <w:t>29</w:t>
      </w:r>
      <w:r>
        <w:rPr>
          <w:spacing w:val="-1"/>
          <w:sz w:val="20"/>
        </w:rPr>
        <w:t xml:space="preserve"> </w:t>
      </w:r>
      <w:r>
        <w:rPr>
          <w:sz w:val="20"/>
        </w:rPr>
        <w:t>April</w:t>
      </w:r>
      <w:r>
        <w:rPr>
          <w:spacing w:val="-2"/>
          <w:sz w:val="20"/>
        </w:rPr>
        <w:t xml:space="preserve"> </w:t>
      </w:r>
      <w:r>
        <w:rPr>
          <w:spacing w:val="-4"/>
          <w:sz w:val="20"/>
        </w:rPr>
        <w:t>2022</w:t>
      </w:r>
    </w:p>
    <w:p w14:paraId="51DE9843" w14:textId="77777777" w:rsidR="0010369C" w:rsidRDefault="008E43AE">
      <w:pPr>
        <w:pStyle w:val="BodyText"/>
        <w:spacing w:before="34" w:line="360" w:lineRule="auto"/>
        <w:ind w:left="237" w:right="612" w:firstLine="1"/>
        <w:jc w:val="both"/>
      </w:pPr>
      <w:r>
        <w:t>Article</w:t>
      </w:r>
      <w:r>
        <w:rPr>
          <w:spacing w:val="-2"/>
        </w:rPr>
        <w:t xml:space="preserve"> </w:t>
      </w:r>
      <w:r>
        <w:t>6.2 itself).</w:t>
      </w:r>
      <w:r>
        <w:rPr>
          <w:vertAlign w:val="superscript"/>
        </w:rPr>
        <w:t>1088</w:t>
      </w:r>
      <w:r>
        <w:t xml:space="preserve"> In this case, the interested parties who requested the extensions explained in detail the reasons why they required additional time to properly complete and submit their questionnaire responses, and supported these explanations with verifiable evidence. B</w:t>
      </w:r>
      <w:r>
        <w:t>y failing to give due consideration to these requests and to grant them in accordance</w:t>
      </w:r>
      <w:r>
        <w:rPr>
          <w:spacing w:val="-9"/>
        </w:rPr>
        <w:t xml:space="preserve"> </w:t>
      </w:r>
      <w:r>
        <w:t>with</w:t>
      </w:r>
      <w:r>
        <w:rPr>
          <w:spacing w:val="-10"/>
        </w:rPr>
        <w:t xml:space="preserve"> </w:t>
      </w:r>
      <w:r>
        <w:t>Article</w:t>
      </w:r>
      <w:r>
        <w:rPr>
          <w:spacing w:val="-11"/>
        </w:rPr>
        <w:t xml:space="preserve"> </w:t>
      </w:r>
      <w:r>
        <w:t>6.1.1,</w:t>
      </w:r>
      <w:r>
        <w:rPr>
          <w:spacing w:val="-10"/>
        </w:rPr>
        <w:t xml:space="preserve"> </w:t>
      </w:r>
      <w:r>
        <w:t>MOFCOM</w:t>
      </w:r>
      <w:r>
        <w:rPr>
          <w:spacing w:val="-9"/>
        </w:rPr>
        <w:t xml:space="preserve"> </w:t>
      </w:r>
      <w:r>
        <w:t>refused</w:t>
      </w:r>
      <w:r>
        <w:rPr>
          <w:spacing w:val="-11"/>
        </w:rPr>
        <w:t xml:space="preserve"> </w:t>
      </w:r>
      <w:r>
        <w:t>to</w:t>
      </w:r>
      <w:r>
        <w:rPr>
          <w:spacing w:val="-9"/>
        </w:rPr>
        <w:t xml:space="preserve"> </w:t>
      </w:r>
      <w:r>
        <w:t>permit</w:t>
      </w:r>
      <w:r>
        <w:rPr>
          <w:spacing w:val="-9"/>
        </w:rPr>
        <w:t xml:space="preserve"> </w:t>
      </w:r>
      <w:r>
        <w:t>the</w:t>
      </w:r>
      <w:r>
        <w:rPr>
          <w:spacing w:val="-9"/>
        </w:rPr>
        <w:t xml:space="preserve"> </w:t>
      </w:r>
      <w:r>
        <w:t>additional</w:t>
      </w:r>
      <w:r>
        <w:rPr>
          <w:spacing w:val="-11"/>
        </w:rPr>
        <w:t xml:space="preserve"> </w:t>
      </w:r>
      <w:r>
        <w:t>time</w:t>
      </w:r>
      <w:r>
        <w:rPr>
          <w:spacing w:val="-9"/>
        </w:rPr>
        <w:t xml:space="preserve"> </w:t>
      </w:r>
      <w:r>
        <w:t>that</w:t>
      </w:r>
      <w:r>
        <w:rPr>
          <w:spacing w:val="-10"/>
        </w:rPr>
        <w:t xml:space="preserve"> </w:t>
      </w:r>
      <w:r>
        <w:t>the</w:t>
      </w:r>
      <w:r>
        <w:rPr>
          <w:spacing w:val="-9"/>
        </w:rPr>
        <w:t xml:space="preserve"> </w:t>
      </w:r>
      <w:r>
        <w:t xml:space="preserve">parties had explained they needed under the circumstances in order to submit complete responses </w:t>
      </w:r>
      <w:r>
        <w:t>to</w:t>
      </w:r>
      <w:r>
        <w:rPr>
          <w:spacing w:val="-7"/>
        </w:rPr>
        <w:t xml:space="preserve"> </w:t>
      </w:r>
      <w:r>
        <w:t>the</w:t>
      </w:r>
      <w:r>
        <w:rPr>
          <w:spacing w:val="-7"/>
        </w:rPr>
        <w:t xml:space="preserve"> </w:t>
      </w:r>
      <w:r>
        <w:t>questionnaire</w:t>
      </w:r>
      <w:r>
        <w:rPr>
          <w:spacing w:val="-6"/>
        </w:rPr>
        <w:t xml:space="preserve"> </w:t>
      </w:r>
      <w:r>
        <w:t>questions.</w:t>
      </w:r>
      <w:r>
        <w:rPr>
          <w:spacing w:val="-6"/>
        </w:rPr>
        <w:t xml:space="preserve"> </w:t>
      </w:r>
      <w:r>
        <w:t>In</w:t>
      </w:r>
      <w:r>
        <w:rPr>
          <w:spacing w:val="-8"/>
        </w:rPr>
        <w:t xml:space="preserve"> </w:t>
      </w:r>
      <w:r>
        <w:t>so</w:t>
      </w:r>
      <w:r>
        <w:rPr>
          <w:spacing w:val="-7"/>
        </w:rPr>
        <w:t xml:space="preserve"> </w:t>
      </w:r>
      <w:r>
        <w:t>doing,</w:t>
      </w:r>
      <w:r>
        <w:rPr>
          <w:spacing w:val="-7"/>
        </w:rPr>
        <w:t xml:space="preserve"> </w:t>
      </w:r>
      <w:r>
        <w:t>MOFCOM</w:t>
      </w:r>
      <w:r>
        <w:rPr>
          <w:spacing w:val="-7"/>
        </w:rPr>
        <w:t xml:space="preserve"> </w:t>
      </w:r>
      <w:r>
        <w:t>failed</w:t>
      </w:r>
      <w:r>
        <w:rPr>
          <w:spacing w:val="-7"/>
        </w:rPr>
        <w:t xml:space="preserve"> </w:t>
      </w:r>
      <w:r>
        <w:t>to</w:t>
      </w:r>
      <w:r>
        <w:rPr>
          <w:spacing w:val="-7"/>
        </w:rPr>
        <w:t xml:space="preserve"> </w:t>
      </w:r>
      <w:r>
        <w:t>provide</w:t>
      </w:r>
      <w:r>
        <w:rPr>
          <w:spacing w:val="-6"/>
        </w:rPr>
        <w:t xml:space="preserve"> </w:t>
      </w:r>
      <w:r>
        <w:t>the</w:t>
      </w:r>
      <w:r>
        <w:rPr>
          <w:spacing w:val="-7"/>
        </w:rPr>
        <w:t xml:space="preserve"> </w:t>
      </w:r>
      <w:r>
        <w:t>parties</w:t>
      </w:r>
      <w:r>
        <w:rPr>
          <w:spacing w:val="-7"/>
        </w:rPr>
        <w:t xml:space="preserve"> </w:t>
      </w:r>
      <w:r>
        <w:t>with</w:t>
      </w:r>
      <w:r>
        <w:rPr>
          <w:spacing w:val="-8"/>
        </w:rPr>
        <w:t xml:space="preserve"> </w:t>
      </w:r>
      <w:r>
        <w:t>"a</w:t>
      </w:r>
      <w:r>
        <w:rPr>
          <w:spacing w:val="-7"/>
        </w:rPr>
        <w:t xml:space="preserve"> </w:t>
      </w:r>
      <w:r>
        <w:t>full opportunity for the defence of their interests" within the meaning of Article 6.2.</w:t>
      </w:r>
    </w:p>
    <w:p w14:paraId="51DE9844" w14:textId="77777777" w:rsidR="0010369C" w:rsidRDefault="008E43AE">
      <w:pPr>
        <w:pStyle w:val="ListParagraph"/>
        <w:numPr>
          <w:ilvl w:val="3"/>
          <w:numId w:val="75"/>
        </w:numPr>
        <w:tabs>
          <w:tab w:val="left" w:pos="3642"/>
          <w:tab w:val="left" w:pos="3643"/>
        </w:tabs>
        <w:spacing w:before="160" w:line="360" w:lineRule="auto"/>
        <w:ind w:right="613" w:hanging="852"/>
        <w:jc w:val="both"/>
        <w:rPr>
          <w:sz w:val="24"/>
        </w:rPr>
      </w:pPr>
      <w:r>
        <w:rPr>
          <w:sz w:val="24"/>
          <w:u w:val="single"/>
        </w:rPr>
        <w:t>Failure to provide notice of deficiencies in information</w:t>
      </w:r>
      <w:r>
        <w:rPr>
          <w:sz w:val="24"/>
        </w:rPr>
        <w:t xml:space="preserve"> </w:t>
      </w:r>
      <w:r>
        <w:rPr>
          <w:sz w:val="24"/>
          <w:u w:val="single"/>
        </w:rPr>
        <w:t>submitted and opportu</w:t>
      </w:r>
      <w:r>
        <w:rPr>
          <w:sz w:val="24"/>
          <w:u w:val="single"/>
        </w:rPr>
        <w:t>nities to present all evidence</w:t>
      </w:r>
      <w:r>
        <w:rPr>
          <w:sz w:val="24"/>
        </w:rPr>
        <w:t xml:space="preserve"> </w:t>
      </w:r>
      <w:r>
        <w:rPr>
          <w:sz w:val="24"/>
          <w:u w:val="single"/>
        </w:rPr>
        <w:t>interested parties considered relevant</w:t>
      </w:r>
    </w:p>
    <w:p w14:paraId="51DE9845" w14:textId="77777777" w:rsidR="0010369C" w:rsidRDefault="0010369C">
      <w:pPr>
        <w:pStyle w:val="BodyText"/>
        <w:spacing w:before="11"/>
        <w:rPr>
          <w:sz w:val="8"/>
        </w:rPr>
      </w:pPr>
    </w:p>
    <w:p w14:paraId="51DE9846" w14:textId="77777777" w:rsidR="0010369C" w:rsidRDefault="008E43AE">
      <w:pPr>
        <w:pStyle w:val="BodyText"/>
        <w:spacing w:before="52" w:line="360" w:lineRule="auto"/>
        <w:ind w:left="236" w:right="611" w:firstLine="852"/>
        <w:jc w:val="both"/>
      </w:pPr>
      <w:r>
        <w:rPr>
          <w:noProof/>
        </w:rPr>
        <w:drawing>
          <wp:anchor distT="0" distB="0" distL="0" distR="0" simplePos="0" relativeHeight="251511296" behindDoc="1" locked="0" layoutInCell="1" allowOverlap="1" wp14:anchorId="51DEA7BF" wp14:editId="51DEA7C0">
            <wp:simplePos x="0" y="0"/>
            <wp:positionH relativeFrom="page">
              <wp:posOffset>902208</wp:posOffset>
            </wp:positionH>
            <wp:positionV relativeFrom="paragraph">
              <wp:posOffset>81357</wp:posOffset>
            </wp:positionV>
            <wp:extent cx="262127" cy="103631"/>
            <wp:effectExtent l="0" t="0" r="0" b="0"/>
            <wp:wrapNone/>
            <wp:docPr id="1793" name="image9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 name="image924.png"/>
                    <pic:cNvPicPr/>
                  </pic:nvPicPr>
                  <pic:blipFill>
                    <a:blip r:embed="rId1195" cstate="print"/>
                    <a:stretch>
                      <a:fillRect/>
                    </a:stretch>
                  </pic:blipFill>
                  <pic:spPr>
                    <a:xfrm>
                      <a:off x="0" y="0"/>
                      <a:ext cx="262127" cy="103631"/>
                    </a:xfrm>
                    <a:prstGeom prst="rect">
                      <a:avLst/>
                    </a:prstGeom>
                  </pic:spPr>
                </pic:pic>
              </a:graphicData>
            </a:graphic>
          </wp:anchor>
        </w:drawing>
      </w:r>
      <w:r>
        <w:t>MOFCOM's refusal to consider the detailed evidence provided by Casella Wines on the basis of the format in which it was submitted, without having made Casella Wines aware of its decisi</w:t>
      </w:r>
      <w:r>
        <w:t>on to do so prior to the Final Disclosure, denied Casella Wines a full opportunity for defence of its interests under Article 6.2 of the Anti‐Dumping Agreement. In the absence of</w:t>
      </w:r>
      <w:r>
        <w:rPr>
          <w:spacing w:val="-3"/>
        </w:rPr>
        <w:t xml:space="preserve"> </w:t>
      </w:r>
      <w:r>
        <w:t>express</w:t>
      </w:r>
      <w:r>
        <w:rPr>
          <w:spacing w:val="-4"/>
        </w:rPr>
        <w:t xml:space="preserve"> </w:t>
      </w:r>
      <w:r>
        <w:t>notice</w:t>
      </w:r>
      <w:r>
        <w:rPr>
          <w:spacing w:val="-1"/>
        </w:rPr>
        <w:t xml:space="preserve"> </w:t>
      </w:r>
      <w:r>
        <w:t>to</w:t>
      </w:r>
      <w:r>
        <w:rPr>
          <w:spacing w:val="-2"/>
        </w:rPr>
        <w:t xml:space="preserve"> </w:t>
      </w:r>
      <w:r>
        <w:t>the</w:t>
      </w:r>
      <w:r>
        <w:rPr>
          <w:spacing w:val="-2"/>
        </w:rPr>
        <w:t xml:space="preserve"> </w:t>
      </w:r>
      <w:r>
        <w:t>contrary,</w:t>
      </w:r>
      <w:r>
        <w:rPr>
          <w:spacing w:val="-3"/>
        </w:rPr>
        <w:t xml:space="preserve"> </w:t>
      </w:r>
      <w:r>
        <w:t>Casella</w:t>
      </w:r>
      <w:r>
        <w:rPr>
          <w:spacing w:val="-2"/>
        </w:rPr>
        <w:t xml:space="preserve"> </w:t>
      </w:r>
      <w:r>
        <w:t>Wines</w:t>
      </w:r>
      <w:r>
        <w:rPr>
          <w:spacing w:val="-3"/>
        </w:rPr>
        <w:t xml:space="preserve"> </w:t>
      </w:r>
      <w:r>
        <w:t>was</w:t>
      </w:r>
      <w:r>
        <w:rPr>
          <w:spacing w:val="-3"/>
        </w:rPr>
        <w:t xml:space="preserve"> </w:t>
      </w:r>
      <w:r>
        <w:t>entitled</w:t>
      </w:r>
      <w:r>
        <w:rPr>
          <w:spacing w:val="-4"/>
        </w:rPr>
        <w:t xml:space="preserve"> </w:t>
      </w:r>
      <w:r>
        <w:t>to</w:t>
      </w:r>
      <w:r>
        <w:rPr>
          <w:spacing w:val="-2"/>
        </w:rPr>
        <w:t xml:space="preserve"> </w:t>
      </w:r>
      <w:r>
        <w:t>assume</w:t>
      </w:r>
      <w:r>
        <w:rPr>
          <w:spacing w:val="-3"/>
        </w:rPr>
        <w:t xml:space="preserve"> </w:t>
      </w:r>
      <w:r>
        <w:t>that</w:t>
      </w:r>
      <w:r>
        <w:rPr>
          <w:spacing w:val="-3"/>
        </w:rPr>
        <w:t xml:space="preserve"> </w:t>
      </w:r>
      <w:r>
        <w:t>MOFCOM</w:t>
      </w:r>
      <w:r>
        <w:rPr>
          <w:spacing w:val="-3"/>
        </w:rPr>
        <w:t xml:space="preserve"> </w:t>
      </w:r>
      <w:r>
        <w:t>would have regard to the data it had submitted.</w:t>
      </w:r>
    </w:p>
    <w:p w14:paraId="51DE9847" w14:textId="77777777" w:rsidR="0010369C" w:rsidRDefault="008E43AE">
      <w:pPr>
        <w:pStyle w:val="BodyText"/>
        <w:spacing w:before="159" w:line="360" w:lineRule="auto"/>
        <w:ind w:left="237" w:right="615" w:firstLine="851"/>
        <w:jc w:val="both"/>
      </w:pPr>
      <w:r>
        <w:rPr>
          <w:noProof/>
        </w:rPr>
        <w:drawing>
          <wp:anchor distT="0" distB="0" distL="0" distR="0" simplePos="0" relativeHeight="251512320" behindDoc="1" locked="0" layoutInCell="1" allowOverlap="1" wp14:anchorId="51DEA7C1" wp14:editId="51DEA7C2">
            <wp:simplePos x="0" y="0"/>
            <wp:positionH relativeFrom="page">
              <wp:posOffset>902208</wp:posOffset>
            </wp:positionH>
            <wp:positionV relativeFrom="paragraph">
              <wp:posOffset>144730</wp:posOffset>
            </wp:positionV>
            <wp:extent cx="262127" cy="106679"/>
            <wp:effectExtent l="0" t="0" r="0" b="0"/>
            <wp:wrapNone/>
            <wp:docPr id="1795" name="image9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 name="image925.png"/>
                    <pic:cNvPicPr/>
                  </pic:nvPicPr>
                  <pic:blipFill>
                    <a:blip r:embed="rId1196" cstate="print"/>
                    <a:stretch>
                      <a:fillRect/>
                    </a:stretch>
                  </pic:blipFill>
                  <pic:spPr>
                    <a:xfrm>
                      <a:off x="0" y="0"/>
                      <a:ext cx="262127" cy="106679"/>
                    </a:xfrm>
                    <a:prstGeom prst="rect">
                      <a:avLst/>
                    </a:prstGeom>
                  </pic:spPr>
                </pic:pic>
              </a:graphicData>
            </a:graphic>
          </wp:anchor>
        </w:drawing>
      </w:r>
      <w:r>
        <w:pict w14:anchorId="51DEA7C3">
          <v:rect id="docshape1331" o:spid="_x0000_s1124" style="position:absolute;left:0;text-align:left;margin-left:238.95pt;margin-top:52.05pt;width:284.55pt;height:16.05pt;z-index:-251279872;mso-position-horizontal-relative:page;mso-position-vertical-relative:text" fillcolor="black" stroked="f">
            <w10:wrap anchorx="page"/>
          </v:rect>
        </w:pict>
      </w:r>
      <w:r>
        <w:t>On 3</w:t>
      </w:r>
      <w:r>
        <w:rPr>
          <w:spacing w:val="-2"/>
        </w:rPr>
        <w:t xml:space="preserve"> </w:t>
      </w:r>
      <w:r>
        <w:t>December</w:t>
      </w:r>
      <w:r>
        <w:rPr>
          <w:spacing w:val="-1"/>
        </w:rPr>
        <w:t xml:space="preserve"> </w:t>
      </w:r>
      <w:r>
        <w:t>2020,</w:t>
      </w:r>
      <w:r>
        <w:rPr>
          <w:vertAlign w:val="superscript"/>
        </w:rPr>
        <w:t>1089</w:t>
      </w:r>
      <w:r>
        <w:t xml:space="preserve"> less than one week (four business days) after the publication of the Preliminary Determination on 27</w:t>
      </w:r>
      <w:r>
        <w:rPr>
          <w:spacing w:val="-3"/>
        </w:rPr>
        <w:t xml:space="preserve"> </w:t>
      </w:r>
      <w:r>
        <w:t>November</w:t>
      </w:r>
      <w:r>
        <w:rPr>
          <w:spacing w:val="-3"/>
        </w:rPr>
        <w:t xml:space="preserve"> </w:t>
      </w:r>
      <w:r>
        <w:t>2020, Casella Wines wrote to MOFCOM and explained that an [[</w:t>
      </w:r>
    </w:p>
    <w:p w14:paraId="51DE9848" w14:textId="77777777" w:rsidR="0010369C" w:rsidRDefault="008E43AE">
      <w:pPr>
        <w:pStyle w:val="BodyText"/>
        <w:spacing w:line="360" w:lineRule="auto"/>
        <w:ind w:left="237" w:right="613" w:firstLine="4298"/>
        <w:jc w:val="both"/>
      </w:pPr>
      <w:r>
        <w:pict w14:anchorId="51DEA7C4">
          <v:rect id="docshape1332" o:spid="_x0000_s1123" style="position:absolute;left:0;text-align:left;margin-left:69.9pt;margin-top:.1pt;width:214.95pt;height:16.05pt;z-index:-251278848;mso-position-horizontal-relative:page" fillcolor="black" stroked="f">
            <w10:wrap anchorx="page"/>
          </v:rect>
        </w:pict>
      </w:r>
      <w:r>
        <w:t>]].</w:t>
      </w:r>
      <w:r>
        <w:rPr>
          <w:spacing w:val="-3"/>
        </w:rPr>
        <w:t xml:space="preserve"> </w:t>
      </w:r>
      <w:r>
        <w:t>This</w:t>
      </w:r>
      <w:r>
        <w:rPr>
          <w:spacing w:val="-3"/>
        </w:rPr>
        <w:t xml:space="preserve"> </w:t>
      </w:r>
      <w:r>
        <w:t>led</w:t>
      </w:r>
      <w:r>
        <w:rPr>
          <w:spacing w:val="-3"/>
        </w:rPr>
        <w:t xml:space="preserve"> </w:t>
      </w:r>
      <w:r>
        <w:t>to</w:t>
      </w:r>
      <w:r>
        <w:rPr>
          <w:spacing w:val="-3"/>
        </w:rPr>
        <w:t xml:space="preserve"> </w:t>
      </w:r>
      <w:r>
        <w:t>incomplete</w:t>
      </w:r>
      <w:r>
        <w:rPr>
          <w:spacing w:val="-2"/>
        </w:rPr>
        <w:t xml:space="preserve"> </w:t>
      </w:r>
      <w:r>
        <w:t>data</w:t>
      </w:r>
      <w:r>
        <w:rPr>
          <w:spacing w:val="-3"/>
        </w:rPr>
        <w:t xml:space="preserve"> </w:t>
      </w:r>
      <w:r>
        <w:t>being</w:t>
      </w:r>
      <w:r>
        <w:rPr>
          <w:spacing w:val="-3"/>
        </w:rPr>
        <w:t xml:space="preserve"> </w:t>
      </w:r>
      <w:r>
        <w:t>provided,</w:t>
      </w:r>
      <w:r>
        <w:rPr>
          <w:spacing w:val="-3"/>
        </w:rPr>
        <w:t xml:space="preserve"> </w:t>
      </w:r>
      <w:r>
        <w:t>as detailed by MOFCOM in the Prelim</w:t>
      </w:r>
      <w:r>
        <w:t>inary Determination.</w:t>
      </w:r>
      <w:r>
        <w:rPr>
          <w:vertAlign w:val="superscript"/>
        </w:rPr>
        <w:t>1090</w:t>
      </w:r>
      <w:r>
        <w:t xml:space="preserve"> In the same communication, Casella Wines submitted a corrected and complete set of data in three different formats and offered the following explanation of the issue and the proposed solution:</w:t>
      </w:r>
    </w:p>
    <w:p w14:paraId="51DE9849" w14:textId="77777777" w:rsidR="0010369C" w:rsidRDefault="0010369C">
      <w:pPr>
        <w:pStyle w:val="BodyText"/>
        <w:spacing w:before="4"/>
        <w:rPr>
          <w:sz w:val="13"/>
        </w:rPr>
      </w:pPr>
    </w:p>
    <w:tbl>
      <w:tblPr>
        <w:tblW w:w="0" w:type="auto"/>
        <w:tblCellSpacing w:w="7" w:type="dxa"/>
        <w:tblInd w:w="1084" w:type="dxa"/>
        <w:tblLayout w:type="fixed"/>
        <w:tblCellMar>
          <w:left w:w="0" w:type="dxa"/>
          <w:right w:w="0" w:type="dxa"/>
        </w:tblCellMar>
        <w:tblLook w:val="01E0" w:firstRow="1" w:lastRow="1" w:firstColumn="1" w:lastColumn="1" w:noHBand="0" w:noVBand="0"/>
      </w:tblPr>
      <w:tblGrid>
        <w:gridCol w:w="8248"/>
      </w:tblGrid>
      <w:tr w:rsidR="0010369C" w14:paraId="51DE984B" w14:textId="77777777">
        <w:trPr>
          <w:trHeight w:val="319"/>
          <w:tblCellSpacing w:w="7" w:type="dxa"/>
        </w:trPr>
        <w:tc>
          <w:tcPr>
            <w:tcW w:w="8220" w:type="dxa"/>
            <w:tcBorders>
              <w:bottom w:val="nil"/>
            </w:tcBorders>
            <w:shd w:val="clear" w:color="auto" w:fill="000000"/>
          </w:tcPr>
          <w:p w14:paraId="51DE984A" w14:textId="77777777" w:rsidR="0010369C" w:rsidRDefault="008E43AE">
            <w:pPr>
              <w:pStyle w:val="TableParagraph"/>
              <w:spacing w:line="291" w:lineRule="exact"/>
              <w:ind w:left="19"/>
              <w:rPr>
                <w:sz w:val="24"/>
              </w:rPr>
            </w:pPr>
            <w:r>
              <w:rPr>
                <w:spacing w:val="-5"/>
                <w:sz w:val="24"/>
              </w:rPr>
              <w:t>[[</w:t>
            </w:r>
          </w:p>
        </w:tc>
      </w:tr>
      <w:tr w:rsidR="0010369C" w14:paraId="51DE984D" w14:textId="77777777">
        <w:trPr>
          <w:trHeight w:val="317"/>
          <w:tblCellSpacing w:w="7" w:type="dxa"/>
        </w:trPr>
        <w:tc>
          <w:tcPr>
            <w:tcW w:w="8220" w:type="dxa"/>
            <w:tcBorders>
              <w:top w:val="nil"/>
              <w:bottom w:val="nil"/>
            </w:tcBorders>
            <w:shd w:val="clear" w:color="auto" w:fill="000000"/>
          </w:tcPr>
          <w:p w14:paraId="51DE984C" w14:textId="77777777" w:rsidR="0010369C" w:rsidRDefault="0010369C">
            <w:pPr>
              <w:pStyle w:val="TableParagraph"/>
              <w:rPr>
                <w:rFonts w:ascii="Times New Roman"/>
              </w:rPr>
            </w:pPr>
          </w:p>
        </w:tc>
      </w:tr>
      <w:tr w:rsidR="0010369C" w14:paraId="51DE984F" w14:textId="77777777">
        <w:trPr>
          <w:trHeight w:val="319"/>
          <w:tblCellSpacing w:w="7" w:type="dxa"/>
        </w:trPr>
        <w:tc>
          <w:tcPr>
            <w:tcW w:w="8220" w:type="dxa"/>
            <w:tcBorders>
              <w:top w:val="nil"/>
            </w:tcBorders>
            <w:shd w:val="clear" w:color="auto" w:fill="000000"/>
          </w:tcPr>
          <w:p w14:paraId="51DE984E" w14:textId="77777777" w:rsidR="0010369C" w:rsidRDefault="0010369C">
            <w:pPr>
              <w:pStyle w:val="TableParagraph"/>
              <w:rPr>
                <w:rFonts w:ascii="Times New Roman"/>
              </w:rPr>
            </w:pPr>
          </w:p>
        </w:tc>
      </w:tr>
      <w:tr w:rsidR="0010369C" w14:paraId="51DE9851" w14:textId="77777777">
        <w:trPr>
          <w:trHeight w:val="321"/>
          <w:tblCellSpacing w:w="7" w:type="dxa"/>
        </w:trPr>
        <w:tc>
          <w:tcPr>
            <w:tcW w:w="8220" w:type="dxa"/>
            <w:shd w:val="clear" w:color="auto" w:fill="000000"/>
          </w:tcPr>
          <w:p w14:paraId="51DE9850" w14:textId="77777777" w:rsidR="0010369C" w:rsidRDefault="0010369C">
            <w:pPr>
              <w:pStyle w:val="TableParagraph"/>
              <w:rPr>
                <w:rFonts w:ascii="Times New Roman"/>
              </w:rPr>
            </w:pPr>
          </w:p>
        </w:tc>
      </w:tr>
    </w:tbl>
    <w:p w14:paraId="51DE9852" w14:textId="77777777" w:rsidR="0010369C" w:rsidRDefault="0010369C">
      <w:pPr>
        <w:pStyle w:val="BodyText"/>
        <w:rPr>
          <w:sz w:val="20"/>
        </w:rPr>
      </w:pPr>
    </w:p>
    <w:p w14:paraId="51DE9853" w14:textId="77777777" w:rsidR="0010369C" w:rsidRDefault="008E43AE">
      <w:pPr>
        <w:pStyle w:val="BodyText"/>
        <w:spacing w:before="2"/>
        <w:rPr>
          <w:sz w:val="17"/>
        </w:rPr>
      </w:pPr>
      <w:r>
        <w:pict w14:anchorId="51DEA7C5">
          <v:rect id="docshape1333" o:spid="_x0000_s1122" style="position:absolute;margin-left:70.9pt;margin-top:11.7pt;width:2in;height:.8pt;z-index:-250712576;mso-wrap-distance-left:0;mso-wrap-distance-right:0;mso-position-horizontal-relative:page" fillcolor="black" stroked="f">
            <w10:wrap type="topAndBottom" anchorx="page"/>
          </v:rect>
        </w:pict>
      </w:r>
    </w:p>
    <w:p w14:paraId="51DE9854" w14:textId="77777777" w:rsidR="0010369C" w:rsidRDefault="008E43AE">
      <w:pPr>
        <w:spacing w:before="110"/>
        <w:ind w:left="237" w:right="671"/>
        <w:rPr>
          <w:sz w:val="18"/>
        </w:rPr>
      </w:pPr>
      <w:r>
        <w:rPr>
          <w:sz w:val="18"/>
          <w:vertAlign w:val="superscript"/>
        </w:rPr>
        <w:t>1088</w:t>
      </w:r>
      <w:r>
        <w:rPr>
          <w:sz w:val="18"/>
        </w:rPr>
        <w:t xml:space="preserve"> Appellate Body Report, </w:t>
      </w:r>
      <w:r>
        <w:rPr>
          <w:i/>
          <w:sz w:val="18"/>
        </w:rPr>
        <w:t xml:space="preserve">EC – Fasteners (China), </w:t>
      </w:r>
      <w:r>
        <w:rPr>
          <w:sz w:val="18"/>
        </w:rPr>
        <w:t xml:space="preserve">para. 615. See also Panel Report, </w:t>
      </w:r>
      <w:r>
        <w:rPr>
          <w:i/>
          <w:sz w:val="18"/>
        </w:rPr>
        <w:t xml:space="preserve">EU – Footwear (China), </w:t>
      </w:r>
      <w:r>
        <w:rPr>
          <w:sz w:val="18"/>
        </w:rPr>
        <w:t>para. 7.604.</w:t>
      </w:r>
      <w:r>
        <w:rPr>
          <w:spacing w:val="80"/>
          <w:sz w:val="18"/>
        </w:rPr>
        <w:t xml:space="preserve"> </w:t>
      </w:r>
      <w:r>
        <w:rPr>
          <w:sz w:val="18"/>
          <w:vertAlign w:val="superscript"/>
        </w:rPr>
        <w:t>1089</w:t>
      </w:r>
      <w:r>
        <w:rPr>
          <w:sz w:val="18"/>
        </w:rPr>
        <w:t xml:space="preserve"> While the document's cover page states 4 December 2020, the public record states this was submitted and received by MOFCOM on 3 Decem</w:t>
      </w:r>
      <w:r>
        <w:rPr>
          <w:sz w:val="18"/>
        </w:rPr>
        <w:t>ber 2020.</w:t>
      </w:r>
    </w:p>
    <w:p w14:paraId="51DE9855" w14:textId="77777777" w:rsidR="0010369C" w:rsidRDefault="008E43AE">
      <w:pPr>
        <w:spacing w:line="219" w:lineRule="exact"/>
        <w:ind w:left="238"/>
        <w:rPr>
          <w:sz w:val="18"/>
        </w:rPr>
      </w:pPr>
      <w:r>
        <w:rPr>
          <w:sz w:val="18"/>
          <w:vertAlign w:val="superscript"/>
        </w:rPr>
        <w:t>1090</w:t>
      </w:r>
      <w:r>
        <w:rPr>
          <w:spacing w:val="-10"/>
          <w:sz w:val="18"/>
        </w:rPr>
        <w:t xml:space="preserve"> </w:t>
      </w:r>
      <w:r>
        <w:rPr>
          <w:sz w:val="18"/>
        </w:rPr>
        <w:t>Anti‐Dumping</w:t>
      </w:r>
      <w:r>
        <w:rPr>
          <w:spacing w:val="-9"/>
          <w:sz w:val="18"/>
        </w:rPr>
        <w:t xml:space="preserve"> </w:t>
      </w:r>
      <w:r>
        <w:rPr>
          <w:sz w:val="18"/>
        </w:rPr>
        <w:t>Preliminary</w:t>
      </w:r>
      <w:r>
        <w:rPr>
          <w:spacing w:val="-9"/>
          <w:sz w:val="18"/>
        </w:rPr>
        <w:t xml:space="preserve"> </w:t>
      </w:r>
      <w:r>
        <w:rPr>
          <w:sz w:val="18"/>
        </w:rPr>
        <w:t>Determination</w:t>
      </w:r>
      <w:r>
        <w:rPr>
          <w:spacing w:val="-9"/>
          <w:sz w:val="18"/>
        </w:rPr>
        <w:t xml:space="preserve"> </w:t>
      </w:r>
      <w:r>
        <w:rPr>
          <w:sz w:val="18"/>
        </w:rPr>
        <w:t>(Exhibit</w:t>
      </w:r>
      <w:r>
        <w:rPr>
          <w:spacing w:val="-10"/>
          <w:sz w:val="18"/>
        </w:rPr>
        <w:t xml:space="preserve"> </w:t>
      </w:r>
      <w:r>
        <w:rPr>
          <w:sz w:val="18"/>
        </w:rPr>
        <w:t>AUS‐35),</w:t>
      </w:r>
      <w:r>
        <w:rPr>
          <w:spacing w:val="-10"/>
          <w:sz w:val="18"/>
        </w:rPr>
        <w:t xml:space="preserve"> </w:t>
      </w:r>
      <w:r>
        <w:rPr>
          <w:sz w:val="18"/>
        </w:rPr>
        <w:t>p.</w:t>
      </w:r>
      <w:r>
        <w:rPr>
          <w:spacing w:val="-10"/>
          <w:sz w:val="18"/>
        </w:rPr>
        <w:t xml:space="preserve"> </w:t>
      </w:r>
      <w:r>
        <w:rPr>
          <w:spacing w:val="-5"/>
          <w:sz w:val="18"/>
        </w:rPr>
        <w:t>35.</w:t>
      </w:r>
    </w:p>
    <w:p w14:paraId="51DE9856" w14:textId="77777777" w:rsidR="0010369C" w:rsidRDefault="0010369C">
      <w:pPr>
        <w:spacing w:line="219" w:lineRule="exact"/>
        <w:rPr>
          <w:sz w:val="18"/>
        </w:rPr>
        <w:sectPr w:rsidR="0010369C">
          <w:headerReference w:type="default" r:id="rId1197"/>
          <w:footerReference w:type="default" r:id="rId1198"/>
          <w:pgSz w:w="11910" w:h="16840"/>
          <w:pgMar w:top="880" w:right="800" w:bottom="980" w:left="1180" w:header="569" w:footer="788" w:gutter="0"/>
          <w:cols w:space="720"/>
        </w:sectPr>
      </w:pPr>
    </w:p>
    <w:p w14:paraId="51DE9857" w14:textId="77777777" w:rsidR="0010369C" w:rsidRDefault="008E43AE">
      <w:pPr>
        <w:tabs>
          <w:tab w:val="left" w:pos="6425"/>
        </w:tabs>
        <w:ind w:left="238"/>
        <w:rPr>
          <w:sz w:val="20"/>
        </w:rPr>
      </w:pPr>
      <w:r>
        <w:rPr>
          <w:i/>
          <w:sz w:val="20"/>
        </w:rPr>
        <w:lastRenderedPageBreak/>
        <w:t>China</w:t>
      </w:r>
      <w:r>
        <w:rPr>
          <w:i/>
          <w:spacing w:val="-5"/>
          <w:sz w:val="20"/>
        </w:rPr>
        <w:t xml:space="preserve"> </w:t>
      </w:r>
      <w:r>
        <w:rPr>
          <w:i/>
          <w:sz w:val="20"/>
        </w:rPr>
        <w:t>–</w:t>
      </w:r>
      <w:r>
        <w:rPr>
          <w:i/>
          <w:spacing w:val="-5"/>
          <w:sz w:val="20"/>
        </w:rPr>
        <w:t xml:space="preserve"> </w:t>
      </w:r>
      <w:r>
        <w:rPr>
          <w:i/>
          <w:sz w:val="20"/>
        </w:rPr>
        <w:t>Anti‐Dumping</w:t>
      </w:r>
      <w:r>
        <w:rPr>
          <w:i/>
          <w:spacing w:val="-4"/>
          <w:sz w:val="20"/>
        </w:rPr>
        <w:t xml:space="preserve"> </w:t>
      </w:r>
      <w:r>
        <w:rPr>
          <w:i/>
          <w:sz w:val="20"/>
        </w:rPr>
        <w:t>and</w:t>
      </w:r>
      <w:r>
        <w:rPr>
          <w:i/>
          <w:spacing w:val="-5"/>
          <w:sz w:val="20"/>
        </w:rPr>
        <w:t xml:space="preserve"> </w:t>
      </w:r>
      <w:r>
        <w:rPr>
          <w:i/>
          <w:sz w:val="20"/>
        </w:rPr>
        <w:t>Countervailing</w:t>
      </w:r>
      <w:r>
        <w:rPr>
          <w:i/>
          <w:spacing w:val="-5"/>
          <w:sz w:val="20"/>
        </w:rPr>
        <w:t xml:space="preserve"> </w:t>
      </w:r>
      <w:r>
        <w:rPr>
          <w:i/>
          <w:sz w:val="20"/>
        </w:rPr>
        <w:t>Duty</w:t>
      </w:r>
      <w:r>
        <w:rPr>
          <w:i/>
          <w:spacing w:val="-4"/>
          <w:sz w:val="20"/>
        </w:rPr>
        <w:t xml:space="preserve"> </w:t>
      </w:r>
      <w:r>
        <w:rPr>
          <w:i/>
          <w:spacing w:val="-2"/>
          <w:sz w:val="20"/>
        </w:rPr>
        <w:t>Measures</w:t>
      </w:r>
      <w:r>
        <w:rPr>
          <w:i/>
          <w:sz w:val="20"/>
        </w:rPr>
        <w:tab/>
      </w:r>
      <w:r>
        <w:rPr>
          <w:sz w:val="20"/>
        </w:rPr>
        <w:t>Australia's</w:t>
      </w:r>
      <w:r>
        <w:rPr>
          <w:spacing w:val="-7"/>
          <w:sz w:val="20"/>
        </w:rPr>
        <w:t xml:space="preserve"> </w:t>
      </w:r>
      <w:r>
        <w:rPr>
          <w:sz w:val="20"/>
        </w:rPr>
        <w:t>First</w:t>
      </w:r>
      <w:r>
        <w:rPr>
          <w:spacing w:val="-2"/>
          <w:sz w:val="20"/>
        </w:rPr>
        <w:t xml:space="preserve"> </w:t>
      </w:r>
      <w:r>
        <w:rPr>
          <w:sz w:val="20"/>
        </w:rPr>
        <w:t>Written</w:t>
      </w:r>
      <w:r>
        <w:rPr>
          <w:spacing w:val="-2"/>
          <w:sz w:val="20"/>
        </w:rPr>
        <w:t xml:space="preserve"> Submission</w:t>
      </w:r>
    </w:p>
    <w:p w14:paraId="51DE9858" w14:textId="77777777" w:rsidR="0010369C" w:rsidRDefault="008E43AE">
      <w:pPr>
        <w:tabs>
          <w:tab w:val="left" w:pos="8227"/>
        </w:tabs>
        <w:spacing w:before="1"/>
        <w:ind w:left="239"/>
        <w:rPr>
          <w:sz w:val="20"/>
        </w:rPr>
      </w:pPr>
      <w:r>
        <w:pict w14:anchorId="51DEA7C6">
          <v:group id="docshapegroup1334" o:spid="_x0000_s1119" style="position:absolute;left:0;text-align:left;margin-left:112.45pt;margin-top:14.1pt;width:411pt;height:66.6pt;z-index:-250711552;mso-wrap-distance-left:0;mso-wrap-distance-right:0;mso-position-horizontal-relative:page" coordorigin="2249,282" coordsize="8220,1332">
            <v:shape id="docshape1335" o:spid="_x0000_s1121" style="position:absolute;left:2249;top:281;width:8220;height:1332" coordorigin="2249,282" coordsize="8220,1332" o:spt="100" adj="0,,0" path="m6427,1292r-4178,l2249,1614r4178,l6427,1292xm10467,618r-8218,l2249,939r8218,l10467,618xm10468,282r-8219,l2249,603r8219,l10468,282xm10469,955r-8220,l2249,1276r8220,l10469,955xe" fillcolor="black" stroked="f">
              <v:stroke joinstyle="round"/>
              <v:formulas/>
              <v:path arrowok="t" o:connecttype="segments"/>
            </v:shape>
            <v:shape id="docshape1336" o:spid="_x0000_s1120" type="#_x0000_t202" style="position:absolute;left:6446;top:1338;width:167;height:240" filled="f" stroked="f">
              <v:textbox inset="0,0,0,0">
                <w:txbxContent>
                  <w:p w14:paraId="51DEACA5" w14:textId="77777777" w:rsidR="0010369C" w:rsidRDefault="008E43AE">
                    <w:pPr>
                      <w:spacing w:line="240" w:lineRule="exact"/>
                      <w:rPr>
                        <w:sz w:val="24"/>
                      </w:rPr>
                    </w:pPr>
                    <w:r>
                      <w:rPr>
                        <w:spacing w:val="-5"/>
                        <w:sz w:val="24"/>
                      </w:rPr>
                      <w:t>]]</w:t>
                    </w:r>
                  </w:p>
                </w:txbxContent>
              </v:textbox>
            </v:shape>
            <w10:wrap type="topAndBottom" anchorx="page"/>
          </v:group>
        </w:pict>
      </w:r>
      <w:r>
        <w:rPr>
          <w:i/>
          <w:sz w:val="20"/>
        </w:rPr>
        <w:t>on</w:t>
      </w:r>
      <w:r>
        <w:rPr>
          <w:i/>
          <w:spacing w:val="-1"/>
          <w:sz w:val="20"/>
        </w:rPr>
        <w:t xml:space="preserve"> </w:t>
      </w:r>
      <w:r>
        <w:rPr>
          <w:i/>
          <w:sz w:val="20"/>
        </w:rPr>
        <w:t>Wine</w:t>
      </w:r>
      <w:r>
        <w:rPr>
          <w:i/>
          <w:spacing w:val="-1"/>
          <w:sz w:val="20"/>
        </w:rPr>
        <w:t xml:space="preserve"> </w:t>
      </w:r>
      <w:r>
        <w:rPr>
          <w:i/>
          <w:sz w:val="20"/>
        </w:rPr>
        <w:t>from</w:t>
      </w:r>
      <w:r>
        <w:rPr>
          <w:i/>
          <w:spacing w:val="-3"/>
          <w:sz w:val="20"/>
        </w:rPr>
        <w:t xml:space="preserve"> </w:t>
      </w:r>
      <w:r>
        <w:rPr>
          <w:i/>
          <w:sz w:val="20"/>
        </w:rPr>
        <w:t>Australia</w:t>
      </w:r>
      <w:r>
        <w:rPr>
          <w:i/>
          <w:spacing w:val="-1"/>
          <w:sz w:val="20"/>
        </w:rPr>
        <w:t xml:space="preserve"> </w:t>
      </w:r>
      <w:r>
        <w:rPr>
          <w:spacing w:val="-2"/>
          <w:sz w:val="20"/>
        </w:rPr>
        <w:t>(DS602)</w:t>
      </w:r>
      <w:r>
        <w:rPr>
          <w:sz w:val="20"/>
        </w:rPr>
        <w:tab/>
        <w:t>29</w:t>
      </w:r>
      <w:r>
        <w:rPr>
          <w:spacing w:val="-1"/>
          <w:sz w:val="20"/>
        </w:rPr>
        <w:t xml:space="preserve"> </w:t>
      </w:r>
      <w:r>
        <w:rPr>
          <w:sz w:val="20"/>
        </w:rPr>
        <w:t>April</w:t>
      </w:r>
      <w:r>
        <w:rPr>
          <w:spacing w:val="-2"/>
          <w:sz w:val="20"/>
        </w:rPr>
        <w:t xml:space="preserve"> </w:t>
      </w:r>
      <w:r>
        <w:rPr>
          <w:spacing w:val="-4"/>
          <w:sz w:val="20"/>
        </w:rPr>
        <w:t>2022</w:t>
      </w:r>
    </w:p>
    <w:p w14:paraId="51DE9859" w14:textId="77777777" w:rsidR="0010369C" w:rsidRDefault="0010369C">
      <w:pPr>
        <w:pStyle w:val="BodyText"/>
        <w:spacing w:before="11"/>
        <w:rPr>
          <w:sz w:val="9"/>
        </w:rPr>
      </w:pPr>
    </w:p>
    <w:p w14:paraId="51DE985A" w14:textId="77777777" w:rsidR="0010369C" w:rsidRDefault="008E43AE">
      <w:pPr>
        <w:pStyle w:val="BodyText"/>
        <w:spacing w:before="52" w:line="360" w:lineRule="auto"/>
        <w:ind w:left="237" w:right="613" w:firstLine="851"/>
        <w:jc w:val="both"/>
      </w:pPr>
      <w:r>
        <w:rPr>
          <w:noProof/>
        </w:rPr>
        <w:drawing>
          <wp:anchor distT="0" distB="0" distL="0" distR="0" simplePos="0" relativeHeight="251513344" behindDoc="1" locked="0" layoutInCell="1" allowOverlap="1" wp14:anchorId="51DEA7C7" wp14:editId="51DEA7C8">
            <wp:simplePos x="0" y="0"/>
            <wp:positionH relativeFrom="page">
              <wp:posOffset>902208</wp:posOffset>
            </wp:positionH>
            <wp:positionV relativeFrom="paragraph">
              <wp:posOffset>80595</wp:posOffset>
            </wp:positionV>
            <wp:extent cx="262127" cy="103631"/>
            <wp:effectExtent l="0" t="0" r="0" b="0"/>
            <wp:wrapNone/>
            <wp:docPr id="1797" name="image9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 name="image926.png"/>
                    <pic:cNvPicPr/>
                  </pic:nvPicPr>
                  <pic:blipFill>
                    <a:blip r:embed="rId1199" cstate="print"/>
                    <a:stretch>
                      <a:fillRect/>
                    </a:stretch>
                  </pic:blipFill>
                  <pic:spPr>
                    <a:xfrm>
                      <a:off x="0" y="0"/>
                      <a:ext cx="262127" cy="103631"/>
                    </a:xfrm>
                    <a:prstGeom prst="rect">
                      <a:avLst/>
                    </a:prstGeom>
                  </pic:spPr>
                </pic:pic>
              </a:graphicData>
            </a:graphic>
          </wp:anchor>
        </w:drawing>
      </w:r>
      <w:r>
        <w:t>MOFCOM did not raise any concerns about the approach taken by Casella Wines to ensure that MOFCOM had a complete set of the relevant data on the investigation record, correcting the issue t</w:t>
      </w:r>
      <w:r>
        <w:t>hat it had identified. Further, MOFCOM did not issue any follow‐up questions,</w:t>
      </w:r>
      <w:r>
        <w:rPr>
          <w:spacing w:val="-8"/>
        </w:rPr>
        <w:t xml:space="preserve"> </w:t>
      </w:r>
      <w:r>
        <w:t>or</w:t>
      </w:r>
      <w:r>
        <w:rPr>
          <w:spacing w:val="-8"/>
        </w:rPr>
        <w:t xml:space="preserve"> </w:t>
      </w:r>
      <w:r>
        <w:t>requests</w:t>
      </w:r>
      <w:r>
        <w:rPr>
          <w:spacing w:val="-10"/>
        </w:rPr>
        <w:t xml:space="preserve"> </w:t>
      </w:r>
      <w:r>
        <w:t>on</w:t>
      </w:r>
      <w:r>
        <w:rPr>
          <w:spacing w:val="-9"/>
        </w:rPr>
        <w:t xml:space="preserve"> </w:t>
      </w:r>
      <w:r>
        <w:t>this</w:t>
      </w:r>
      <w:r>
        <w:rPr>
          <w:spacing w:val="-9"/>
        </w:rPr>
        <w:t xml:space="preserve"> </w:t>
      </w:r>
      <w:r>
        <w:t>issue,</w:t>
      </w:r>
      <w:r>
        <w:rPr>
          <w:spacing w:val="-7"/>
        </w:rPr>
        <w:t xml:space="preserve"> </w:t>
      </w:r>
      <w:r>
        <w:t>or</w:t>
      </w:r>
      <w:r>
        <w:rPr>
          <w:spacing w:val="-8"/>
        </w:rPr>
        <w:t xml:space="preserve"> </w:t>
      </w:r>
      <w:r>
        <w:t>provide</w:t>
      </w:r>
      <w:r>
        <w:rPr>
          <w:spacing w:val="-8"/>
        </w:rPr>
        <w:t xml:space="preserve"> </w:t>
      </w:r>
      <w:r>
        <w:t>any</w:t>
      </w:r>
      <w:r>
        <w:rPr>
          <w:spacing w:val="-8"/>
        </w:rPr>
        <w:t xml:space="preserve"> </w:t>
      </w:r>
      <w:r>
        <w:t>notice</w:t>
      </w:r>
      <w:r>
        <w:rPr>
          <w:spacing w:val="-7"/>
        </w:rPr>
        <w:t xml:space="preserve"> </w:t>
      </w:r>
      <w:r>
        <w:t>that</w:t>
      </w:r>
      <w:r>
        <w:rPr>
          <w:spacing w:val="-9"/>
        </w:rPr>
        <w:t xml:space="preserve"> </w:t>
      </w:r>
      <w:r>
        <w:t>it</w:t>
      </w:r>
      <w:r>
        <w:rPr>
          <w:spacing w:val="-9"/>
        </w:rPr>
        <w:t xml:space="preserve"> </w:t>
      </w:r>
      <w:r>
        <w:t>required</w:t>
      </w:r>
      <w:r>
        <w:rPr>
          <w:spacing w:val="-10"/>
        </w:rPr>
        <w:t xml:space="preserve"> </w:t>
      </w:r>
      <w:r>
        <w:t>Casella</w:t>
      </w:r>
      <w:r>
        <w:rPr>
          <w:spacing w:val="-8"/>
        </w:rPr>
        <w:t xml:space="preserve"> </w:t>
      </w:r>
      <w:r>
        <w:t>to</w:t>
      </w:r>
      <w:r>
        <w:rPr>
          <w:spacing w:val="-9"/>
        </w:rPr>
        <w:t xml:space="preserve"> </w:t>
      </w:r>
      <w:r>
        <w:t>re‐submit the complete set of data in an alternative format.</w:t>
      </w:r>
    </w:p>
    <w:p w14:paraId="51DE985B" w14:textId="77777777" w:rsidR="0010369C" w:rsidRDefault="0010369C">
      <w:pPr>
        <w:pStyle w:val="BodyText"/>
        <w:spacing w:before="10"/>
        <w:rPr>
          <w:sz w:val="8"/>
        </w:rPr>
      </w:pPr>
    </w:p>
    <w:p w14:paraId="51DE985C" w14:textId="77777777" w:rsidR="0010369C" w:rsidRDefault="008E43AE">
      <w:pPr>
        <w:pStyle w:val="BodyText"/>
        <w:spacing w:before="52" w:line="360" w:lineRule="auto"/>
        <w:ind w:left="236" w:right="613" w:firstLine="852"/>
        <w:jc w:val="both"/>
      </w:pPr>
      <w:r>
        <w:rPr>
          <w:noProof/>
        </w:rPr>
        <w:drawing>
          <wp:anchor distT="0" distB="0" distL="0" distR="0" simplePos="0" relativeHeight="251514368" behindDoc="1" locked="0" layoutInCell="1" allowOverlap="1" wp14:anchorId="51DEA7C9" wp14:editId="51DEA7CA">
            <wp:simplePos x="0" y="0"/>
            <wp:positionH relativeFrom="page">
              <wp:posOffset>902208</wp:posOffset>
            </wp:positionH>
            <wp:positionV relativeFrom="paragraph">
              <wp:posOffset>80595</wp:posOffset>
            </wp:positionV>
            <wp:extent cx="262127" cy="103631"/>
            <wp:effectExtent l="0" t="0" r="0" b="0"/>
            <wp:wrapNone/>
            <wp:docPr id="1799" name="image9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 name="image927.png"/>
                    <pic:cNvPicPr/>
                  </pic:nvPicPr>
                  <pic:blipFill>
                    <a:blip r:embed="rId1200" cstate="print"/>
                    <a:stretch>
                      <a:fillRect/>
                    </a:stretch>
                  </pic:blipFill>
                  <pic:spPr>
                    <a:xfrm>
                      <a:off x="0" y="0"/>
                      <a:ext cx="262127" cy="103631"/>
                    </a:xfrm>
                    <a:prstGeom prst="rect">
                      <a:avLst/>
                    </a:prstGeom>
                  </pic:spPr>
                </pic:pic>
              </a:graphicData>
            </a:graphic>
          </wp:anchor>
        </w:drawing>
      </w:r>
      <w:r>
        <w:t xml:space="preserve">The Supplementary Questionnaire provided to Casella Wines on 1 February 2021 simply outlined MOFCOM's perception of the deficiencies in the information provided by Casella Wines, asked why the </w:t>
      </w:r>
      <w:r>
        <w:t>electronic data in the original response was incomplete, and asked why Casella Wines</w:t>
      </w:r>
      <w:r>
        <w:rPr>
          <w:spacing w:val="-1"/>
        </w:rPr>
        <w:t xml:space="preserve"> </w:t>
      </w:r>
      <w:r>
        <w:t>had not submitted an application to provide its original response in a</w:t>
      </w:r>
      <w:r>
        <w:rPr>
          <w:spacing w:val="-7"/>
        </w:rPr>
        <w:t xml:space="preserve"> </w:t>
      </w:r>
      <w:r>
        <w:t>different</w:t>
      </w:r>
      <w:r>
        <w:rPr>
          <w:spacing w:val="-7"/>
        </w:rPr>
        <w:t xml:space="preserve"> </w:t>
      </w:r>
      <w:r>
        <w:t>format</w:t>
      </w:r>
      <w:r>
        <w:rPr>
          <w:spacing w:val="-8"/>
        </w:rPr>
        <w:t xml:space="preserve"> </w:t>
      </w:r>
      <w:r>
        <w:t>within</w:t>
      </w:r>
      <w:r>
        <w:rPr>
          <w:spacing w:val="-7"/>
        </w:rPr>
        <w:t xml:space="preserve"> </w:t>
      </w:r>
      <w:r>
        <w:t>15</w:t>
      </w:r>
      <w:r>
        <w:rPr>
          <w:spacing w:val="-8"/>
        </w:rPr>
        <w:t xml:space="preserve"> </w:t>
      </w:r>
      <w:r>
        <w:t>days</w:t>
      </w:r>
      <w:r>
        <w:rPr>
          <w:spacing w:val="-8"/>
        </w:rPr>
        <w:t xml:space="preserve"> </w:t>
      </w:r>
      <w:r>
        <w:t>of</w:t>
      </w:r>
      <w:r>
        <w:rPr>
          <w:spacing w:val="-8"/>
        </w:rPr>
        <w:t xml:space="preserve"> </w:t>
      </w:r>
      <w:r>
        <w:t>receipt</w:t>
      </w:r>
      <w:r>
        <w:rPr>
          <w:spacing w:val="-8"/>
        </w:rPr>
        <w:t xml:space="preserve"> </w:t>
      </w:r>
      <w:r>
        <w:t>of</w:t>
      </w:r>
      <w:r>
        <w:rPr>
          <w:spacing w:val="-8"/>
        </w:rPr>
        <w:t xml:space="preserve"> </w:t>
      </w:r>
      <w:r>
        <w:t>the</w:t>
      </w:r>
      <w:r>
        <w:rPr>
          <w:spacing w:val="-7"/>
        </w:rPr>
        <w:t xml:space="preserve"> </w:t>
      </w:r>
      <w:r>
        <w:t>questionnaire.</w:t>
      </w:r>
      <w:r>
        <w:rPr>
          <w:vertAlign w:val="superscript"/>
        </w:rPr>
        <w:t>1092</w:t>
      </w:r>
      <w:r>
        <w:rPr>
          <w:spacing w:val="-8"/>
        </w:rPr>
        <w:t xml:space="preserve"> </w:t>
      </w:r>
      <w:r>
        <w:t>Casella</w:t>
      </w:r>
      <w:r>
        <w:rPr>
          <w:spacing w:val="-8"/>
        </w:rPr>
        <w:t xml:space="preserve"> </w:t>
      </w:r>
      <w:r>
        <w:t>Wines</w:t>
      </w:r>
      <w:r>
        <w:rPr>
          <w:spacing w:val="-8"/>
        </w:rPr>
        <w:t xml:space="preserve"> </w:t>
      </w:r>
      <w:r>
        <w:t>responded by reit</w:t>
      </w:r>
      <w:r>
        <w:t>erating the explanation given in the above‐mentioned submission, adding that it had been impossible for it to submit an application within 15 days of the questionnaire being issued given the problem had not been identified until much later.</w:t>
      </w:r>
    </w:p>
    <w:p w14:paraId="51DE985D" w14:textId="77777777" w:rsidR="0010369C" w:rsidRDefault="0010369C">
      <w:pPr>
        <w:pStyle w:val="BodyText"/>
        <w:spacing w:before="11"/>
        <w:rPr>
          <w:sz w:val="8"/>
        </w:rPr>
      </w:pPr>
    </w:p>
    <w:p w14:paraId="51DE985E" w14:textId="77777777" w:rsidR="0010369C" w:rsidRDefault="008E43AE">
      <w:pPr>
        <w:pStyle w:val="BodyText"/>
        <w:spacing w:before="51" w:line="360" w:lineRule="auto"/>
        <w:ind w:left="237" w:right="613" w:firstLine="852"/>
        <w:jc w:val="both"/>
      </w:pPr>
      <w:r>
        <w:rPr>
          <w:noProof/>
        </w:rPr>
        <w:drawing>
          <wp:anchor distT="0" distB="0" distL="0" distR="0" simplePos="0" relativeHeight="251515392" behindDoc="1" locked="0" layoutInCell="1" allowOverlap="1" wp14:anchorId="51DEA7CB" wp14:editId="51DEA7CC">
            <wp:simplePos x="0" y="0"/>
            <wp:positionH relativeFrom="page">
              <wp:posOffset>902208</wp:posOffset>
            </wp:positionH>
            <wp:positionV relativeFrom="paragraph">
              <wp:posOffset>80722</wp:posOffset>
            </wp:positionV>
            <wp:extent cx="262127" cy="103631"/>
            <wp:effectExtent l="0" t="0" r="0" b="0"/>
            <wp:wrapNone/>
            <wp:docPr id="1801" name="image9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 name="image928.png"/>
                    <pic:cNvPicPr/>
                  </pic:nvPicPr>
                  <pic:blipFill>
                    <a:blip r:embed="rId1201" cstate="print"/>
                    <a:stretch>
                      <a:fillRect/>
                    </a:stretch>
                  </pic:blipFill>
                  <pic:spPr>
                    <a:xfrm>
                      <a:off x="0" y="0"/>
                      <a:ext cx="262127" cy="103631"/>
                    </a:xfrm>
                    <a:prstGeom prst="rect">
                      <a:avLst/>
                    </a:prstGeom>
                  </pic:spPr>
                </pic:pic>
              </a:graphicData>
            </a:graphic>
          </wp:anchor>
        </w:drawing>
      </w:r>
      <w:r>
        <w:t>There were no further relevant communications from MOFCOM to Casella Wines until the Final Disclosure. In the absence of any concern having been raised by MOFCOM, Casella</w:t>
      </w:r>
      <w:r>
        <w:rPr>
          <w:spacing w:val="-9"/>
        </w:rPr>
        <w:t xml:space="preserve"> </w:t>
      </w:r>
      <w:r>
        <w:t>Wines</w:t>
      </w:r>
      <w:r>
        <w:rPr>
          <w:spacing w:val="-11"/>
        </w:rPr>
        <w:t xml:space="preserve"> </w:t>
      </w:r>
      <w:r>
        <w:t>was</w:t>
      </w:r>
      <w:r>
        <w:rPr>
          <w:spacing w:val="-10"/>
        </w:rPr>
        <w:t xml:space="preserve"> </w:t>
      </w:r>
      <w:r>
        <w:t>entitled</w:t>
      </w:r>
      <w:r>
        <w:rPr>
          <w:spacing w:val="-11"/>
        </w:rPr>
        <w:t xml:space="preserve"> </w:t>
      </w:r>
      <w:r>
        <w:t>to</w:t>
      </w:r>
      <w:r>
        <w:rPr>
          <w:spacing w:val="-9"/>
        </w:rPr>
        <w:t xml:space="preserve"> </w:t>
      </w:r>
      <w:r>
        <w:t>assume</w:t>
      </w:r>
      <w:r>
        <w:rPr>
          <w:spacing w:val="-9"/>
        </w:rPr>
        <w:t xml:space="preserve"> </w:t>
      </w:r>
      <w:r>
        <w:t>that</w:t>
      </w:r>
      <w:r>
        <w:rPr>
          <w:spacing w:val="-10"/>
        </w:rPr>
        <w:t xml:space="preserve"> </w:t>
      </w:r>
      <w:r>
        <w:t>its</w:t>
      </w:r>
      <w:r>
        <w:rPr>
          <w:spacing w:val="-10"/>
        </w:rPr>
        <w:t xml:space="preserve"> </w:t>
      </w:r>
      <w:r>
        <w:t>initial</w:t>
      </w:r>
      <w:r>
        <w:rPr>
          <w:spacing w:val="-9"/>
        </w:rPr>
        <w:t xml:space="preserve"> </w:t>
      </w:r>
      <w:r>
        <w:t>error</w:t>
      </w:r>
      <w:r>
        <w:rPr>
          <w:spacing w:val="-10"/>
        </w:rPr>
        <w:t xml:space="preserve"> </w:t>
      </w:r>
      <w:r>
        <w:t>had</w:t>
      </w:r>
      <w:r>
        <w:rPr>
          <w:spacing w:val="-10"/>
        </w:rPr>
        <w:t xml:space="preserve"> </w:t>
      </w:r>
      <w:r>
        <w:t>been</w:t>
      </w:r>
      <w:r>
        <w:rPr>
          <w:spacing w:val="-10"/>
        </w:rPr>
        <w:t xml:space="preserve"> </w:t>
      </w:r>
      <w:r>
        <w:t>corrected</w:t>
      </w:r>
      <w:r>
        <w:rPr>
          <w:spacing w:val="-10"/>
        </w:rPr>
        <w:t xml:space="preserve"> </w:t>
      </w:r>
      <w:r>
        <w:t>and</w:t>
      </w:r>
      <w:r>
        <w:rPr>
          <w:spacing w:val="-10"/>
        </w:rPr>
        <w:t xml:space="preserve"> </w:t>
      </w:r>
      <w:r>
        <w:t>any</w:t>
      </w:r>
      <w:r>
        <w:rPr>
          <w:spacing w:val="-10"/>
        </w:rPr>
        <w:t xml:space="preserve"> </w:t>
      </w:r>
      <w:r>
        <w:t>decision affecting</w:t>
      </w:r>
      <w:r>
        <w:rPr>
          <w:spacing w:val="-14"/>
        </w:rPr>
        <w:t xml:space="preserve"> </w:t>
      </w:r>
      <w:r>
        <w:t>its</w:t>
      </w:r>
      <w:r>
        <w:rPr>
          <w:spacing w:val="-13"/>
        </w:rPr>
        <w:t xml:space="preserve"> </w:t>
      </w:r>
      <w:r>
        <w:t>interests</w:t>
      </w:r>
      <w:r>
        <w:rPr>
          <w:spacing w:val="-12"/>
        </w:rPr>
        <w:t xml:space="preserve"> </w:t>
      </w:r>
      <w:r>
        <w:t>would</w:t>
      </w:r>
      <w:r>
        <w:rPr>
          <w:spacing w:val="-13"/>
        </w:rPr>
        <w:t xml:space="preserve"> </w:t>
      </w:r>
      <w:r>
        <w:t>be</w:t>
      </w:r>
      <w:r>
        <w:rPr>
          <w:spacing w:val="-12"/>
        </w:rPr>
        <w:t xml:space="preserve"> </w:t>
      </w:r>
      <w:r>
        <w:t>made</w:t>
      </w:r>
      <w:r>
        <w:rPr>
          <w:spacing w:val="-13"/>
        </w:rPr>
        <w:t xml:space="preserve"> </w:t>
      </w:r>
      <w:r>
        <w:t>having</w:t>
      </w:r>
      <w:r>
        <w:rPr>
          <w:spacing w:val="-12"/>
        </w:rPr>
        <w:t xml:space="preserve"> </w:t>
      </w:r>
      <w:r>
        <w:t>regard</w:t>
      </w:r>
      <w:r>
        <w:rPr>
          <w:spacing w:val="-13"/>
        </w:rPr>
        <w:t xml:space="preserve"> </w:t>
      </w:r>
      <w:r>
        <w:t>to</w:t>
      </w:r>
      <w:r>
        <w:rPr>
          <w:spacing w:val="-12"/>
        </w:rPr>
        <w:t xml:space="preserve"> </w:t>
      </w:r>
      <w:r>
        <w:t>the</w:t>
      </w:r>
      <w:r>
        <w:rPr>
          <w:spacing w:val="-13"/>
        </w:rPr>
        <w:t xml:space="preserve"> </w:t>
      </w:r>
      <w:r>
        <w:t>complete</w:t>
      </w:r>
      <w:r>
        <w:rPr>
          <w:spacing w:val="-12"/>
        </w:rPr>
        <w:t xml:space="preserve"> </w:t>
      </w:r>
      <w:r>
        <w:t>data</w:t>
      </w:r>
      <w:r>
        <w:rPr>
          <w:spacing w:val="-14"/>
        </w:rPr>
        <w:t xml:space="preserve"> </w:t>
      </w:r>
      <w:r>
        <w:t>that</w:t>
      </w:r>
      <w:r>
        <w:rPr>
          <w:spacing w:val="-13"/>
        </w:rPr>
        <w:t xml:space="preserve"> </w:t>
      </w:r>
      <w:r>
        <w:t>it</w:t>
      </w:r>
      <w:r>
        <w:rPr>
          <w:spacing w:val="-13"/>
        </w:rPr>
        <w:t xml:space="preserve"> </w:t>
      </w:r>
      <w:r>
        <w:t>had</w:t>
      </w:r>
      <w:r>
        <w:rPr>
          <w:spacing w:val="-13"/>
        </w:rPr>
        <w:t xml:space="preserve"> </w:t>
      </w:r>
      <w:r>
        <w:rPr>
          <w:spacing w:val="-2"/>
        </w:rPr>
        <w:t>provided.</w:t>
      </w:r>
    </w:p>
    <w:p w14:paraId="51DE985F" w14:textId="77777777" w:rsidR="0010369C" w:rsidRDefault="0010369C">
      <w:pPr>
        <w:pStyle w:val="BodyText"/>
        <w:rPr>
          <w:sz w:val="9"/>
        </w:rPr>
      </w:pPr>
    </w:p>
    <w:p w14:paraId="51DE9860" w14:textId="77777777" w:rsidR="0010369C" w:rsidRDefault="008E43AE">
      <w:pPr>
        <w:pStyle w:val="BodyText"/>
        <w:spacing w:before="51" w:line="360" w:lineRule="auto"/>
        <w:ind w:left="236" w:right="612" w:firstLine="852"/>
        <w:jc w:val="both"/>
      </w:pPr>
      <w:r>
        <w:rPr>
          <w:noProof/>
        </w:rPr>
        <w:drawing>
          <wp:anchor distT="0" distB="0" distL="0" distR="0" simplePos="0" relativeHeight="251516416" behindDoc="1" locked="0" layoutInCell="1" allowOverlap="1" wp14:anchorId="51DEA7CD" wp14:editId="51DEA7CE">
            <wp:simplePos x="0" y="0"/>
            <wp:positionH relativeFrom="page">
              <wp:posOffset>902208</wp:posOffset>
            </wp:positionH>
            <wp:positionV relativeFrom="paragraph">
              <wp:posOffset>81315</wp:posOffset>
            </wp:positionV>
            <wp:extent cx="262127" cy="100753"/>
            <wp:effectExtent l="0" t="0" r="0" b="0"/>
            <wp:wrapNone/>
            <wp:docPr id="1803" name="image9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 name="image929.png"/>
                    <pic:cNvPicPr/>
                  </pic:nvPicPr>
                  <pic:blipFill>
                    <a:blip r:embed="rId1202" cstate="print"/>
                    <a:stretch>
                      <a:fillRect/>
                    </a:stretch>
                  </pic:blipFill>
                  <pic:spPr>
                    <a:xfrm>
                      <a:off x="0" y="0"/>
                      <a:ext cx="262127" cy="100753"/>
                    </a:xfrm>
                    <a:prstGeom prst="rect">
                      <a:avLst/>
                    </a:prstGeom>
                  </pic:spPr>
                </pic:pic>
              </a:graphicData>
            </a:graphic>
          </wp:anchor>
        </w:drawing>
      </w:r>
      <w:r>
        <w:pict w14:anchorId="51DEA7CF">
          <v:rect id="docshape1337" o:spid="_x0000_s1118" style="position:absolute;left:0;text-align:left;margin-left:471.75pt;margin-top:208.2pt;width:13.6pt;height:11.7pt;z-index:251869696;mso-position-horizontal-relative:page;mso-position-vertical-relative:text" fillcolor="black" stroked="f">
            <w10:wrap anchorx="page"/>
          </v:rect>
        </w:pict>
      </w:r>
      <w:r>
        <w:t>In the Final Disclosure on 12</w:t>
      </w:r>
      <w:r>
        <w:rPr>
          <w:spacing w:val="-2"/>
        </w:rPr>
        <w:t xml:space="preserve"> </w:t>
      </w:r>
      <w:r>
        <w:t>March</w:t>
      </w:r>
      <w:r>
        <w:rPr>
          <w:spacing w:val="-2"/>
        </w:rPr>
        <w:t xml:space="preserve"> </w:t>
      </w:r>
      <w:r>
        <w:t>2021, 98 days after Casella Wines informed MOFCOM of the error</w:t>
      </w:r>
      <w:r>
        <w:rPr>
          <w:spacing w:val="-1"/>
        </w:rPr>
        <w:t xml:space="preserve"> </w:t>
      </w:r>
      <w:r>
        <w:t>in</w:t>
      </w:r>
      <w:r>
        <w:rPr>
          <w:spacing w:val="-1"/>
        </w:rPr>
        <w:t xml:space="preserve"> </w:t>
      </w:r>
      <w:r>
        <w:t>the data, MOFCOM made adverse findings</w:t>
      </w:r>
      <w:r>
        <w:rPr>
          <w:spacing w:val="-1"/>
        </w:rPr>
        <w:t xml:space="preserve"> </w:t>
      </w:r>
      <w:r>
        <w:t>against</w:t>
      </w:r>
      <w:r>
        <w:rPr>
          <w:spacing w:val="-1"/>
        </w:rPr>
        <w:t xml:space="preserve"> </w:t>
      </w:r>
      <w:r>
        <w:t>Casella Wines</w:t>
      </w:r>
      <w:r>
        <w:rPr>
          <w:spacing w:val="-1"/>
        </w:rPr>
        <w:t xml:space="preserve"> </w:t>
      </w:r>
      <w:r>
        <w:t xml:space="preserve">on the basis of the deficiencies in the </w:t>
      </w:r>
      <w:r>
        <w:rPr>
          <w:i/>
        </w:rPr>
        <w:t xml:space="preserve">original </w:t>
      </w:r>
      <w:r>
        <w:t>data submitted by Casella Wines in WPS format, notwithstanding that Casella Wines had provided an explanation for the issues affecting the data and provided a complete replacement in three diff</w:t>
      </w:r>
      <w:r>
        <w:t>erent formats on 3</w:t>
      </w:r>
      <w:r>
        <w:rPr>
          <w:spacing w:val="-3"/>
        </w:rPr>
        <w:t xml:space="preserve"> </w:t>
      </w:r>
      <w:r>
        <w:t>December</w:t>
      </w:r>
      <w:r>
        <w:rPr>
          <w:spacing w:val="-2"/>
        </w:rPr>
        <w:t xml:space="preserve"> </w:t>
      </w:r>
      <w:r>
        <w:t>2020. There</w:t>
      </w:r>
      <w:r>
        <w:rPr>
          <w:spacing w:val="-5"/>
        </w:rPr>
        <w:t xml:space="preserve"> </w:t>
      </w:r>
      <w:r>
        <w:t>is</w:t>
      </w:r>
      <w:r>
        <w:rPr>
          <w:spacing w:val="-5"/>
        </w:rPr>
        <w:t xml:space="preserve"> </w:t>
      </w:r>
      <w:r>
        <w:t>no</w:t>
      </w:r>
      <w:r>
        <w:rPr>
          <w:spacing w:val="-5"/>
        </w:rPr>
        <w:t xml:space="preserve"> </w:t>
      </w:r>
      <w:r>
        <w:t>reference</w:t>
      </w:r>
      <w:r>
        <w:rPr>
          <w:spacing w:val="-5"/>
        </w:rPr>
        <w:t xml:space="preserve"> </w:t>
      </w:r>
      <w:r>
        <w:t>in</w:t>
      </w:r>
      <w:r>
        <w:rPr>
          <w:spacing w:val="-5"/>
        </w:rPr>
        <w:t xml:space="preserve"> </w:t>
      </w:r>
      <w:r>
        <w:t>the</w:t>
      </w:r>
      <w:r>
        <w:rPr>
          <w:spacing w:val="-5"/>
        </w:rPr>
        <w:t xml:space="preserve"> </w:t>
      </w:r>
      <w:r>
        <w:t>Final</w:t>
      </w:r>
      <w:r>
        <w:rPr>
          <w:spacing w:val="-5"/>
        </w:rPr>
        <w:t xml:space="preserve"> </w:t>
      </w:r>
      <w:r>
        <w:t>Disclosure</w:t>
      </w:r>
      <w:r>
        <w:rPr>
          <w:spacing w:val="-5"/>
        </w:rPr>
        <w:t xml:space="preserve"> </w:t>
      </w:r>
      <w:r>
        <w:t>to</w:t>
      </w:r>
      <w:r>
        <w:rPr>
          <w:spacing w:val="-5"/>
        </w:rPr>
        <w:t xml:space="preserve"> </w:t>
      </w:r>
      <w:r>
        <w:t>the</w:t>
      </w:r>
      <w:r>
        <w:rPr>
          <w:spacing w:val="-5"/>
        </w:rPr>
        <w:t xml:space="preserve"> </w:t>
      </w:r>
      <w:r>
        <w:t>complete</w:t>
      </w:r>
      <w:r>
        <w:rPr>
          <w:spacing w:val="-5"/>
        </w:rPr>
        <w:t xml:space="preserve"> </w:t>
      </w:r>
      <w:r>
        <w:t>data</w:t>
      </w:r>
      <w:r>
        <w:rPr>
          <w:spacing w:val="-5"/>
        </w:rPr>
        <w:t xml:space="preserve"> </w:t>
      </w:r>
      <w:r>
        <w:t>submitted</w:t>
      </w:r>
      <w:r>
        <w:rPr>
          <w:spacing w:val="-5"/>
        </w:rPr>
        <w:t xml:space="preserve"> </w:t>
      </w:r>
      <w:r>
        <w:t>by</w:t>
      </w:r>
      <w:r>
        <w:rPr>
          <w:spacing w:val="-5"/>
        </w:rPr>
        <w:t xml:space="preserve"> </w:t>
      </w:r>
      <w:r>
        <w:t>Casella</w:t>
      </w:r>
      <w:r>
        <w:rPr>
          <w:spacing w:val="-5"/>
        </w:rPr>
        <w:t xml:space="preserve"> </w:t>
      </w:r>
      <w:r>
        <w:t>Wines in</w:t>
      </w:r>
      <w:r>
        <w:rPr>
          <w:spacing w:val="-4"/>
        </w:rPr>
        <w:t xml:space="preserve"> </w:t>
      </w:r>
      <w:r>
        <w:t>Excel</w:t>
      </w:r>
      <w:r>
        <w:rPr>
          <w:spacing w:val="-4"/>
        </w:rPr>
        <w:t xml:space="preserve"> </w:t>
      </w:r>
      <w:r>
        <w:t>and</w:t>
      </w:r>
      <w:r>
        <w:rPr>
          <w:spacing w:val="-3"/>
        </w:rPr>
        <w:t xml:space="preserve"> </w:t>
      </w:r>
      <w:r>
        <w:t>PDF,</w:t>
      </w:r>
      <w:r>
        <w:rPr>
          <w:spacing w:val="-4"/>
        </w:rPr>
        <w:t xml:space="preserve"> </w:t>
      </w:r>
      <w:r>
        <w:t>both</w:t>
      </w:r>
      <w:r>
        <w:rPr>
          <w:spacing w:val="-4"/>
        </w:rPr>
        <w:t xml:space="preserve"> </w:t>
      </w:r>
      <w:r>
        <w:t>of</w:t>
      </w:r>
      <w:r>
        <w:rPr>
          <w:spacing w:val="-3"/>
        </w:rPr>
        <w:t xml:space="preserve"> </w:t>
      </w:r>
      <w:r>
        <w:t>which</w:t>
      </w:r>
      <w:r>
        <w:rPr>
          <w:spacing w:val="-4"/>
        </w:rPr>
        <w:t xml:space="preserve"> </w:t>
      </w:r>
      <w:r>
        <w:t>are</w:t>
      </w:r>
      <w:r>
        <w:rPr>
          <w:spacing w:val="-3"/>
        </w:rPr>
        <w:t xml:space="preserve"> </w:t>
      </w:r>
      <w:r>
        <w:t>commonly</w:t>
      </w:r>
      <w:r>
        <w:rPr>
          <w:spacing w:val="-3"/>
        </w:rPr>
        <w:t xml:space="preserve"> </w:t>
      </w:r>
      <w:r>
        <w:t>used</w:t>
      </w:r>
      <w:r>
        <w:rPr>
          <w:spacing w:val="-3"/>
        </w:rPr>
        <w:t xml:space="preserve"> </w:t>
      </w:r>
      <w:r>
        <w:t>formats.</w:t>
      </w:r>
      <w:r>
        <w:rPr>
          <w:spacing w:val="-5"/>
        </w:rPr>
        <w:t xml:space="preserve"> </w:t>
      </w:r>
      <w:r>
        <w:t>MOFCOM</w:t>
      </w:r>
      <w:r>
        <w:rPr>
          <w:spacing w:val="-4"/>
        </w:rPr>
        <w:t xml:space="preserve"> </w:t>
      </w:r>
      <w:r>
        <w:t>acknowledged</w:t>
      </w:r>
      <w:r>
        <w:rPr>
          <w:spacing w:val="-3"/>
        </w:rPr>
        <w:t xml:space="preserve"> </w:t>
      </w:r>
      <w:r>
        <w:t>that</w:t>
      </w:r>
      <w:r>
        <w:rPr>
          <w:spacing w:val="-4"/>
        </w:rPr>
        <w:t xml:space="preserve"> </w:t>
      </w:r>
      <w:r>
        <w:rPr>
          <w:spacing w:val="-10"/>
        </w:rPr>
        <w:t>a</w:t>
      </w:r>
    </w:p>
    <w:p w14:paraId="51DE9861" w14:textId="77777777" w:rsidR="0010369C" w:rsidRDefault="0010369C">
      <w:pPr>
        <w:pStyle w:val="BodyText"/>
        <w:rPr>
          <w:sz w:val="20"/>
        </w:rPr>
      </w:pPr>
    </w:p>
    <w:p w14:paraId="51DE9862" w14:textId="77777777" w:rsidR="0010369C" w:rsidRDefault="0010369C">
      <w:pPr>
        <w:pStyle w:val="BodyText"/>
        <w:rPr>
          <w:sz w:val="20"/>
        </w:rPr>
      </w:pPr>
    </w:p>
    <w:p w14:paraId="51DE9863" w14:textId="77777777" w:rsidR="0010369C" w:rsidRDefault="0010369C">
      <w:pPr>
        <w:pStyle w:val="BodyText"/>
        <w:rPr>
          <w:sz w:val="20"/>
        </w:rPr>
      </w:pPr>
    </w:p>
    <w:p w14:paraId="51DE9864" w14:textId="77777777" w:rsidR="0010369C" w:rsidRDefault="008E43AE">
      <w:pPr>
        <w:pStyle w:val="BodyText"/>
        <w:spacing w:before="1"/>
        <w:rPr>
          <w:sz w:val="12"/>
        </w:rPr>
      </w:pPr>
      <w:r>
        <w:pict w14:anchorId="51DEA7D0">
          <v:rect id="docshape1338" o:spid="_x0000_s1117" style="position:absolute;margin-left:70.9pt;margin-top:8.6pt;width:2in;height:.8pt;z-index:-250710528;mso-wrap-distance-left:0;mso-wrap-distance-right:0;mso-position-horizontal-relative:page" fillcolor="black" stroked="f">
            <w10:wrap type="topAndBottom" anchorx="page"/>
          </v:rect>
        </w:pict>
      </w:r>
    </w:p>
    <w:p w14:paraId="51DE9865" w14:textId="77777777" w:rsidR="0010369C" w:rsidRDefault="0010369C">
      <w:pPr>
        <w:pStyle w:val="BodyText"/>
        <w:spacing w:before="8"/>
        <w:rPr>
          <w:sz w:val="5"/>
        </w:rPr>
      </w:pPr>
    </w:p>
    <w:p w14:paraId="51DE9866" w14:textId="77777777" w:rsidR="0010369C" w:rsidRDefault="0010369C">
      <w:pPr>
        <w:rPr>
          <w:sz w:val="5"/>
        </w:rPr>
        <w:sectPr w:rsidR="0010369C">
          <w:pgSz w:w="11910" w:h="16840"/>
          <w:pgMar w:top="880" w:right="800" w:bottom="980" w:left="1180" w:header="569" w:footer="788" w:gutter="0"/>
          <w:cols w:space="720"/>
        </w:sectPr>
      </w:pPr>
    </w:p>
    <w:p w14:paraId="51DE9867" w14:textId="77777777" w:rsidR="0010369C" w:rsidRDefault="008E43AE">
      <w:pPr>
        <w:spacing w:before="34"/>
        <w:ind w:left="238"/>
        <w:rPr>
          <w:sz w:val="18"/>
        </w:rPr>
      </w:pPr>
      <w:r>
        <w:pict w14:anchorId="51DEA7D1">
          <v:rect id="docshape1339" o:spid="_x0000_s1116" style="position:absolute;left:0;text-align:left;margin-left:89.7pt;margin-top:2.4pt;width:296.8pt;height:11.7pt;z-index:251868672;mso-position-horizontal-relative:page" fillcolor="black" stroked="f">
            <w10:wrap anchorx="page"/>
          </v:rect>
        </w:pict>
      </w:r>
      <w:r>
        <w:rPr>
          <w:sz w:val="12"/>
        </w:rPr>
        <w:t>1091</w:t>
      </w:r>
      <w:r>
        <w:rPr>
          <w:spacing w:val="10"/>
          <w:sz w:val="12"/>
        </w:rPr>
        <w:t xml:space="preserve"> </w:t>
      </w:r>
      <w:r>
        <w:rPr>
          <w:spacing w:val="-10"/>
          <w:position w:val="-5"/>
          <w:sz w:val="18"/>
        </w:rPr>
        <w:t>[</w:t>
      </w:r>
    </w:p>
    <w:p w14:paraId="51DE9868" w14:textId="77777777" w:rsidR="0010369C" w:rsidRDefault="008E43AE">
      <w:pPr>
        <w:ind w:left="238"/>
        <w:rPr>
          <w:sz w:val="18"/>
        </w:rPr>
      </w:pPr>
      <w:r>
        <w:rPr>
          <w:sz w:val="18"/>
          <w:vertAlign w:val="superscript"/>
        </w:rPr>
        <w:t>1092</w:t>
      </w:r>
      <w:r>
        <w:rPr>
          <w:spacing w:val="-10"/>
          <w:sz w:val="18"/>
        </w:rPr>
        <w:t xml:space="preserve"> </w:t>
      </w:r>
      <w:r>
        <w:rPr>
          <w:sz w:val="18"/>
        </w:rPr>
        <w:t>Casella</w:t>
      </w:r>
      <w:r>
        <w:rPr>
          <w:spacing w:val="-9"/>
          <w:sz w:val="18"/>
        </w:rPr>
        <w:t xml:space="preserve"> </w:t>
      </w:r>
      <w:r>
        <w:rPr>
          <w:sz w:val="18"/>
        </w:rPr>
        <w:t>Wines</w:t>
      </w:r>
      <w:r>
        <w:rPr>
          <w:spacing w:val="-10"/>
          <w:sz w:val="18"/>
        </w:rPr>
        <w:t xml:space="preserve"> </w:t>
      </w:r>
      <w:r>
        <w:rPr>
          <w:sz w:val="18"/>
        </w:rPr>
        <w:t>Supplementary</w:t>
      </w:r>
      <w:r>
        <w:rPr>
          <w:spacing w:val="-10"/>
          <w:sz w:val="18"/>
        </w:rPr>
        <w:t xml:space="preserve"> </w:t>
      </w:r>
      <w:r>
        <w:rPr>
          <w:sz w:val="18"/>
        </w:rPr>
        <w:t>Questionnaire</w:t>
      </w:r>
      <w:r>
        <w:rPr>
          <w:spacing w:val="-10"/>
          <w:sz w:val="18"/>
        </w:rPr>
        <w:t xml:space="preserve"> </w:t>
      </w:r>
      <w:r>
        <w:rPr>
          <w:sz w:val="18"/>
        </w:rPr>
        <w:t>Response</w:t>
      </w:r>
      <w:r>
        <w:rPr>
          <w:spacing w:val="-10"/>
          <w:sz w:val="18"/>
        </w:rPr>
        <w:t xml:space="preserve"> </w:t>
      </w:r>
      <w:r>
        <w:rPr>
          <w:sz w:val="18"/>
        </w:rPr>
        <w:t>(Exhibit</w:t>
      </w:r>
      <w:r>
        <w:rPr>
          <w:spacing w:val="-9"/>
          <w:sz w:val="18"/>
        </w:rPr>
        <w:t xml:space="preserve"> </w:t>
      </w:r>
      <w:r>
        <w:rPr>
          <w:sz w:val="18"/>
        </w:rPr>
        <w:t>AUS‐30),</w:t>
      </w:r>
      <w:r>
        <w:rPr>
          <w:spacing w:val="-9"/>
          <w:sz w:val="18"/>
        </w:rPr>
        <w:t xml:space="preserve"> </w:t>
      </w:r>
      <w:r>
        <w:rPr>
          <w:sz w:val="18"/>
        </w:rPr>
        <w:t>pp.</w:t>
      </w:r>
      <w:r>
        <w:rPr>
          <w:spacing w:val="-9"/>
          <w:sz w:val="18"/>
        </w:rPr>
        <w:t xml:space="preserve"> </w:t>
      </w:r>
      <w:r>
        <w:rPr>
          <w:spacing w:val="-4"/>
          <w:sz w:val="18"/>
        </w:rPr>
        <w:t>5‐8.</w:t>
      </w:r>
    </w:p>
    <w:p w14:paraId="51DE9869" w14:textId="77777777" w:rsidR="0010369C" w:rsidRDefault="008E43AE">
      <w:pPr>
        <w:spacing w:before="36"/>
        <w:ind w:left="191"/>
        <w:rPr>
          <w:sz w:val="18"/>
        </w:rPr>
      </w:pPr>
      <w:r>
        <w:br w:type="column"/>
      </w:r>
      <w:r>
        <w:rPr>
          <w:sz w:val="18"/>
        </w:rPr>
        <w:t>(Exhibit</w:t>
      </w:r>
      <w:r>
        <w:rPr>
          <w:spacing w:val="-11"/>
          <w:sz w:val="18"/>
        </w:rPr>
        <w:t xml:space="preserve"> </w:t>
      </w:r>
      <w:r>
        <w:rPr>
          <w:sz w:val="18"/>
        </w:rPr>
        <w:t>AUS‐29</w:t>
      </w:r>
      <w:r>
        <w:rPr>
          <w:spacing w:val="-9"/>
          <w:sz w:val="18"/>
        </w:rPr>
        <w:t xml:space="preserve"> </w:t>
      </w:r>
      <w:r>
        <w:rPr>
          <w:spacing w:val="-2"/>
          <w:sz w:val="18"/>
        </w:rPr>
        <w:t>(BCI)),</w:t>
      </w:r>
    </w:p>
    <w:p w14:paraId="51DE986A" w14:textId="77777777" w:rsidR="0010369C" w:rsidRDefault="008E43AE">
      <w:pPr>
        <w:spacing w:before="36"/>
        <w:ind w:left="238"/>
        <w:rPr>
          <w:sz w:val="18"/>
        </w:rPr>
      </w:pPr>
      <w:r>
        <w:br w:type="column"/>
      </w:r>
      <w:r>
        <w:rPr>
          <w:spacing w:val="-5"/>
          <w:sz w:val="18"/>
        </w:rPr>
        <w:t>.]]</w:t>
      </w:r>
    </w:p>
    <w:p w14:paraId="51DE986B" w14:textId="77777777" w:rsidR="0010369C" w:rsidRDefault="0010369C">
      <w:pPr>
        <w:rPr>
          <w:sz w:val="18"/>
        </w:rPr>
        <w:sectPr w:rsidR="0010369C">
          <w:type w:val="continuous"/>
          <w:pgSz w:w="11910" w:h="16840"/>
          <w:pgMar w:top="1460" w:right="800" w:bottom="280" w:left="1180" w:header="569" w:footer="788" w:gutter="0"/>
          <w:cols w:num="3" w:space="720" w:equalWidth="0">
            <w:col w:w="6381" w:space="40"/>
            <w:col w:w="1814" w:space="73"/>
            <w:col w:w="1622"/>
          </w:cols>
        </w:sectPr>
      </w:pPr>
    </w:p>
    <w:p w14:paraId="51DE986C" w14:textId="77777777" w:rsidR="0010369C" w:rsidRDefault="0010369C">
      <w:pPr>
        <w:pStyle w:val="BodyText"/>
        <w:spacing w:before="2"/>
        <w:rPr>
          <w:sz w:val="15"/>
        </w:rPr>
      </w:pPr>
    </w:p>
    <w:p w14:paraId="51DE986D" w14:textId="77777777" w:rsidR="0010369C" w:rsidRDefault="008E43AE">
      <w:pPr>
        <w:tabs>
          <w:tab w:val="left" w:pos="8228"/>
        </w:tabs>
        <w:spacing w:before="60"/>
        <w:ind w:left="239"/>
        <w:rPr>
          <w:sz w:val="20"/>
        </w:rPr>
      </w:pPr>
      <w:r>
        <w:rPr>
          <w:i/>
          <w:sz w:val="20"/>
        </w:rPr>
        <w:t>on</w:t>
      </w:r>
      <w:r>
        <w:rPr>
          <w:i/>
          <w:spacing w:val="-1"/>
          <w:sz w:val="20"/>
        </w:rPr>
        <w:t xml:space="preserve"> </w:t>
      </w:r>
      <w:r>
        <w:rPr>
          <w:i/>
          <w:sz w:val="20"/>
        </w:rPr>
        <w:t>Wine</w:t>
      </w:r>
      <w:r>
        <w:rPr>
          <w:i/>
          <w:spacing w:val="-1"/>
          <w:sz w:val="20"/>
        </w:rPr>
        <w:t xml:space="preserve"> </w:t>
      </w:r>
      <w:r>
        <w:rPr>
          <w:i/>
          <w:sz w:val="20"/>
        </w:rPr>
        <w:t>from</w:t>
      </w:r>
      <w:r>
        <w:rPr>
          <w:i/>
          <w:spacing w:val="-3"/>
          <w:sz w:val="20"/>
        </w:rPr>
        <w:t xml:space="preserve"> </w:t>
      </w:r>
      <w:r>
        <w:rPr>
          <w:i/>
          <w:sz w:val="20"/>
        </w:rPr>
        <w:t>Australia</w:t>
      </w:r>
      <w:r>
        <w:rPr>
          <w:i/>
          <w:spacing w:val="-1"/>
          <w:sz w:val="20"/>
        </w:rPr>
        <w:t xml:space="preserve"> </w:t>
      </w:r>
      <w:r>
        <w:rPr>
          <w:spacing w:val="-2"/>
          <w:sz w:val="20"/>
        </w:rPr>
        <w:t>(DS602)</w:t>
      </w:r>
      <w:r>
        <w:rPr>
          <w:sz w:val="20"/>
        </w:rPr>
        <w:tab/>
        <w:t>29</w:t>
      </w:r>
      <w:r>
        <w:rPr>
          <w:spacing w:val="-1"/>
          <w:sz w:val="20"/>
        </w:rPr>
        <w:t xml:space="preserve"> </w:t>
      </w:r>
      <w:r>
        <w:rPr>
          <w:sz w:val="20"/>
        </w:rPr>
        <w:t>April</w:t>
      </w:r>
      <w:r>
        <w:rPr>
          <w:spacing w:val="-2"/>
          <w:sz w:val="20"/>
        </w:rPr>
        <w:t xml:space="preserve"> </w:t>
      </w:r>
      <w:r>
        <w:rPr>
          <w:spacing w:val="-4"/>
          <w:sz w:val="20"/>
        </w:rPr>
        <w:t>2022</w:t>
      </w:r>
    </w:p>
    <w:p w14:paraId="51DE986E" w14:textId="77777777" w:rsidR="0010369C" w:rsidRDefault="008E43AE">
      <w:pPr>
        <w:pStyle w:val="BodyText"/>
        <w:spacing w:before="34" w:line="360" w:lineRule="auto"/>
        <w:ind w:left="238" w:right="614"/>
      </w:pPr>
      <w:r>
        <w:t>printed copy of the complete data had been submitted but refused to consider it as the data in it was "inconsistent" with the original WPS submission.</w:t>
      </w:r>
      <w:r>
        <w:rPr>
          <w:vertAlign w:val="superscript"/>
        </w:rPr>
        <w:t>1093</w:t>
      </w:r>
    </w:p>
    <w:p w14:paraId="51DE986F" w14:textId="77777777" w:rsidR="0010369C" w:rsidRDefault="0010369C">
      <w:pPr>
        <w:pStyle w:val="BodyText"/>
        <w:spacing w:before="10"/>
        <w:rPr>
          <w:sz w:val="8"/>
        </w:rPr>
      </w:pPr>
    </w:p>
    <w:p w14:paraId="51DE9870" w14:textId="77777777" w:rsidR="0010369C" w:rsidRDefault="008E43AE">
      <w:pPr>
        <w:pStyle w:val="BodyText"/>
        <w:spacing w:before="52" w:line="360" w:lineRule="auto"/>
        <w:ind w:left="238" w:right="613" w:firstLine="851"/>
        <w:jc w:val="both"/>
      </w:pPr>
      <w:r>
        <w:rPr>
          <w:noProof/>
        </w:rPr>
        <w:drawing>
          <wp:anchor distT="0" distB="0" distL="0" distR="0" simplePos="0" relativeHeight="251517440" behindDoc="1" locked="0" layoutInCell="1" allowOverlap="1" wp14:anchorId="51DEA7D2" wp14:editId="51DEA7D3">
            <wp:simplePos x="0" y="0"/>
            <wp:positionH relativeFrom="page">
              <wp:posOffset>902208</wp:posOffset>
            </wp:positionH>
            <wp:positionV relativeFrom="paragraph">
              <wp:posOffset>76785</wp:posOffset>
            </wp:positionV>
            <wp:extent cx="262127" cy="106679"/>
            <wp:effectExtent l="0" t="0" r="0" b="0"/>
            <wp:wrapNone/>
            <wp:docPr id="1805" name="image9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 name="image930.png"/>
                    <pic:cNvPicPr/>
                  </pic:nvPicPr>
                  <pic:blipFill>
                    <a:blip r:embed="rId1203" cstate="print"/>
                    <a:stretch>
                      <a:fillRect/>
                    </a:stretch>
                  </pic:blipFill>
                  <pic:spPr>
                    <a:xfrm>
                      <a:off x="0" y="0"/>
                      <a:ext cx="262127" cy="106679"/>
                    </a:xfrm>
                    <a:prstGeom prst="rect">
                      <a:avLst/>
                    </a:prstGeom>
                  </pic:spPr>
                </pic:pic>
              </a:graphicData>
            </a:graphic>
          </wp:anchor>
        </w:drawing>
      </w:r>
      <w:r>
        <w:t>The</w:t>
      </w:r>
      <w:r>
        <w:rPr>
          <w:spacing w:val="40"/>
        </w:rPr>
        <w:t xml:space="preserve"> </w:t>
      </w:r>
      <w:r>
        <w:t>same</w:t>
      </w:r>
      <w:r>
        <w:rPr>
          <w:spacing w:val="40"/>
        </w:rPr>
        <w:t xml:space="preserve"> </w:t>
      </w:r>
      <w:r>
        <w:t>findings</w:t>
      </w:r>
      <w:r>
        <w:rPr>
          <w:spacing w:val="40"/>
        </w:rPr>
        <w:t xml:space="preserve"> </w:t>
      </w:r>
      <w:r>
        <w:t>were</w:t>
      </w:r>
      <w:r>
        <w:rPr>
          <w:spacing w:val="40"/>
        </w:rPr>
        <w:t xml:space="preserve"> </w:t>
      </w:r>
      <w:r>
        <w:t>repeated</w:t>
      </w:r>
      <w:r>
        <w:rPr>
          <w:spacing w:val="40"/>
        </w:rPr>
        <w:t xml:space="preserve"> </w:t>
      </w:r>
      <w:r>
        <w:t>in</w:t>
      </w:r>
      <w:r>
        <w:rPr>
          <w:spacing w:val="40"/>
        </w:rPr>
        <w:t xml:space="preserve"> </w:t>
      </w:r>
      <w:r>
        <w:t>the</w:t>
      </w:r>
      <w:r>
        <w:rPr>
          <w:spacing w:val="40"/>
        </w:rPr>
        <w:t xml:space="preserve"> </w:t>
      </w:r>
      <w:r>
        <w:t>Final</w:t>
      </w:r>
      <w:r>
        <w:rPr>
          <w:spacing w:val="40"/>
        </w:rPr>
        <w:t xml:space="preserve"> </w:t>
      </w:r>
      <w:r>
        <w:t>Determination</w:t>
      </w:r>
      <w:r>
        <w:rPr>
          <w:spacing w:val="40"/>
        </w:rPr>
        <w:t xml:space="preserve"> </w:t>
      </w:r>
      <w:r>
        <w:t>on</w:t>
      </w:r>
      <w:r>
        <w:rPr>
          <w:spacing w:val="40"/>
        </w:rPr>
        <w:t xml:space="preserve"> </w:t>
      </w:r>
      <w:r>
        <w:t>26</w:t>
      </w:r>
      <w:r>
        <w:rPr>
          <w:spacing w:val="-3"/>
        </w:rPr>
        <w:t xml:space="preserve"> </w:t>
      </w:r>
      <w:r>
        <w:t>March</w:t>
      </w:r>
      <w:r>
        <w:rPr>
          <w:spacing w:val="-3"/>
        </w:rPr>
        <w:t xml:space="preserve"> </w:t>
      </w:r>
      <w:r>
        <w:t>2021, 112</w:t>
      </w:r>
      <w:r>
        <w:rPr>
          <w:spacing w:val="-3"/>
        </w:rPr>
        <w:t xml:space="preserve"> </w:t>
      </w:r>
      <w:r>
        <w:t>days after Casella Wines had first provided an explanation for the issues and provided MOFCOM with corrected and complete replacement data.</w:t>
      </w:r>
    </w:p>
    <w:p w14:paraId="51DE9871" w14:textId="77777777" w:rsidR="0010369C" w:rsidRDefault="0010369C">
      <w:pPr>
        <w:pStyle w:val="BodyText"/>
        <w:spacing w:before="10"/>
        <w:rPr>
          <w:sz w:val="8"/>
        </w:rPr>
      </w:pPr>
    </w:p>
    <w:p w14:paraId="51DE9872" w14:textId="77777777" w:rsidR="0010369C" w:rsidRDefault="008E43AE">
      <w:pPr>
        <w:pStyle w:val="BodyText"/>
        <w:spacing w:before="52" w:line="360" w:lineRule="auto"/>
        <w:ind w:left="236" w:right="613" w:firstLine="852"/>
        <w:jc w:val="both"/>
      </w:pPr>
      <w:r>
        <w:rPr>
          <w:noProof/>
        </w:rPr>
        <w:drawing>
          <wp:anchor distT="0" distB="0" distL="0" distR="0" simplePos="0" relativeHeight="251518464" behindDoc="1" locked="0" layoutInCell="1" allowOverlap="1" wp14:anchorId="51DEA7D4" wp14:editId="51DEA7D5">
            <wp:simplePos x="0" y="0"/>
            <wp:positionH relativeFrom="page">
              <wp:posOffset>902208</wp:posOffset>
            </wp:positionH>
            <wp:positionV relativeFrom="paragraph">
              <wp:posOffset>76786</wp:posOffset>
            </wp:positionV>
            <wp:extent cx="262127" cy="106679"/>
            <wp:effectExtent l="0" t="0" r="0" b="0"/>
            <wp:wrapNone/>
            <wp:docPr id="1807" name="image9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 name="image931.png"/>
                    <pic:cNvPicPr/>
                  </pic:nvPicPr>
                  <pic:blipFill>
                    <a:blip r:embed="rId1204" cstate="print"/>
                    <a:stretch>
                      <a:fillRect/>
                    </a:stretch>
                  </pic:blipFill>
                  <pic:spPr>
                    <a:xfrm>
                      <a:off x="0" y="0"/>
                      <a:ext cx="262127" cy="106679"/>
                    </a:xfrm>
                    <a:prstGeom prst="rect">
                      <a:avLst/>
                    </a:prstGeom>
                  </pic:spPr>
                </pic:pic>
              </a:graphicData>
            </a:graphic>
          </wp:anchor>
        </w:drawing>
      </w:r>
      <w:r>
        <w:t>The approach taken by MOFCOM placed Casella Wines in an impossible position, denying Casella Wines the opportunity</w:t>
      </w:r>
      <w:r>
        <w:t xml:space="preserve"> for a full defence of its interests. The original error in the</w:t>
      </w:r>
      <w:r>
        <w:rPr>
          <w:spacing w:val="-4"/>
        </w:rPr>
        <w:t xml:space="preserve"> </w:t>
      </w:r>
      <w:r>
        <w:t>completeness</w:t>
      </w:r>
      <w:r>
        <w:rPr>
          <w:spacing w:val="-5"/>
        </w:rPr>
        <w:t xml:space="preserve"> </w:t>
      </w:r>
      <w:r>
        <w:t>of</w:t>
      </w:r>
      <w:r>
        <w:rPr>
          <w:spacing w:val="-5"/>
        </w:rPr>
        <w:t xml:space="preserve"> </w:t>
      </w:r>
      <w:r>
        <w:t>data</w:t>
      </w:r>
      <w:r>
        <w:rPr>
          <w:spacing w:val="-5"/>
        </w:rPr>
        <w:t xml:space="preserve"> </w:t>
      </w:r>
      <w:r>
        <w:t>in</w:t>
      </w:r>
      <w:r>
        <w:rPr>
          <w:spacing w:val="-5"/>
        </w:rPr>
        <w:t xml:space="preserve"> </w:t>
      </w:r>
      <w:r>
        <w:t>those</w:t>
      </w:r>
      <w:r>
        <w:rPr>
          <w:spacing w:val="-5"/>
        </w:rPr>
        <w:t xml:space="preserve"> </w:t>
      </w:r>
      <w:r>
        <w:t>forms</w:t>
      </w:r>
      <w:r>
        <w:rPr>
          <w:spacing w:val="-5"/>
        </w:rPr>
        <w:t xml:space="preserve"> </w:t>
      </w:r>
      <w:r>
        <w:t>was</w:t>
      </w:r>
      <w:r>
        <w:rPr>
          <w:spacing w:val="-5"/>
        </w:rPr>
        <w:t xml:space="preserve"> </w:t>
      </w:r>
      <w:r>
        <w:t>regrettable,</w:t>
      </w:r>
      <w:r>
        <w:rPr>
          <w:spacing w:val="-6"/>
        </w:rPr>
        <w:t xml:space="preserve"> </w:t>
      </w:r>
      <w:r>
        <w:t>as</w:t>
      </w:r>
      <w:r>
        <w:rPr>
          <w:spacing w:val="-5"/>
        </w:rPr>
        <w:t xml:space="preserve"> </w:t>
      </w:r>
      <w:r>
        <w:t>Casella</w:t>
      </w:r>
      <w:r>
        <w:rPr>
          <w:spacing w:val="-4"/>
        </w:rPr>
        <w:t xml:space="preserve"> </w:t>
      </w:r>
      <w:r>
        <w:t>acknowledged.</w:t>
      </w:r>
      <w:r>
        <w:rPr>
          <w:spacing w:val="-4"/>
        </w:rPr>
        <w:t xml:space="preserve"> </w:t>
      </w:r>
      <w:r>
        <w:t>However, from that point on, MOFCOM's approach was that it would only base its findings on the original incomplete</w:t>
      </w:r>
      <w:r>
        <w:t xml:space="preserve"> data, disregarding all subsequent attempts by Casella Wines to correct this error. As explained above, MOFCOM maintained its criticisms of the incompleteness of the data originally submitted, disregarding Casella Wines' submissions which recognised and co</w:t>
      </w:r>
      <w:r>
        <w:t xml:space="preserve">rrected this issue. In doing so, MOFCOM failed to consider the complete data provided in commonly‐used Excel and PDF formats, neither issuing a request to Casella Wines to provide the complete data in an alternate format, nor identifying any deficiency in </w:t>
      </w:r>
      <w:r>
        <w:t>that data, nor offering any explanation for its refusal to take the complete data into account.</w:t>
      </w:r>
    </w:p>
    <w:p w14:paraId="51DE9873" w14:textId="77777777" w:rsidR="0010369C" w:rsidRDefault="0010369C">
      <w:pPr>
        <w:pStyle w:val="BodyText"/>
        <w:spacing w:before="11"/>
        <w:rPr>
          <w:sz w:val="8"/>
        </w:rPr>
      </w:pPr>
    </w:p>
    <w:p w14:paraId="51DE9874" w14:textId="77777777" w:rsidR="0010369C" w:rsidRDefault="008E43AE">
      <w:pPr>
        <w:pStyle w:val="BodyText"/>
        <w:spacing w:before="52" w:line="360" w:lineRule="auto"/>
        <w:ind w:left="236" w:right="613" w:firstLine="852"/>
        <w:jc w:val="both"/>
      </w:pPr>
      <w:r>
        <w:rPr>
          <w:noProof/>
        </w:rPr>
        <w:drawing>
          <wp:anchor distT="0" distB="0" distL="0" distR="0" simplePos="0" relativeHeight="251519488" behindDoc="1" locked="0" layoutInCell="1" allowOverlap="1" wp14:anchorId="51DEA7D6" wp14:editId="51DEA7D7">
            <wp:simplePos x="0" y="0"/>
            <wp:positionH relativeFrom="page">
              <wp:posOffset>902208</wp:posOffset>
            </wp:positionH>
            <wp:positionV relativeFrom="paragraph">
              <wp:posOffset>81357</wp:posOffset>
            </wp:positionV>
            <wp:extent cx="262127" cy="103631"/>
            <wp:effectExtent l="0" t="0" r="0" b="0"/>
            <wp:wrapNone/>
            <wp:docPr id="1809" name="image9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 name="image932.png"/>
                    <pic:cNvPicPr/>
                  </pic:nvPicPr>
                  <pic:blipFill>
                    <a:blip r:embed="rId1205" cstate="print"/>
                    <a:stretch>
                      <a:fillRect/>
                    </a:stretch>
                  </pic:blipFill>
                  <pic:spPr>
                    <a:xfrm>
                      <a:off x="0" y="0"/>
                      <a:ext cx="262127" cy="103631"/>
                    </a:xfrm>
                    <a:prstGeom prst="rect">
                      <a:avLst/>
                    </a:prstGeom>
                  </pic:spPr>
                </pic:pic>
              </a:graphicData>
            </a:graphic>
          </wp:anchor>
        </w:drawing>
      </w:r>
      <w:r>
        <w:t xml:space="preserve">Given the limitations of the WPS file format there was nothing more Casella Wines could reasonably have been expected to do. It provided complete and correct </w:t>
      </w:r>
      <w:r>
        <w:t xml:space="preserve">data to MOFCOM within four days of publication of the Preliminary Determination. Taking all of the relevant circumstances into account, there was no basis on which an objective and unbiased investigating authority could have determined that Casella Wine's </w:t>
      </w:r>
      <w:r>
        <w:t>original error, swiftly correct, either impeded the investigation or constituted a failure to provide necessary information</w:t>
      </w:r>
      <w:r>
        <w:rPr>
          <w:spacing w:val="-1"/>
        </w:rPr>
        <w:t xml:space="preserve"> </w:t>
      </w:r>
      <w:r>
        <w:t>within</w:t>
      </w:r>
      <w:r>
        <w:rPr>
          <w:spacing w:val="-2"/>
        </w:rPr>
        <w:t xml:space="preserve"> </w:t>
      </w:r>
      <w:r>
        <w:t>a</w:t>
      </w:r>
      <w:r>
        <w:rPr>
          <w:spacing w:val="-1"/>
        </w:rPr>
        <w:t xml:space="preserve"> </w:t>
      </w:r>
      <w:r>
        <w:t>reasonable</w:t>
      </w:r>
      <w:r>
        <w:rPr>
          <w:spacing w:val="-2"/>
        </w:rPr>
        <w:t xml:space="preserve"> </w:t>
      </w:r>
      <w:r>
        <w:t>period. Casella</w:t>
      </w:r>
      <w:r>
        <w:rPr>
          <w:spacing w:val="-1"/>
        </w:rPr>
        <w:t xml:space="preserve"> </w:t>
      </w:r>
      <w:r>
        <w:t>Wines</w:t>
      </w:r>
      <w:r>
        <w:rPr>
          <w:spacing w:val="-2"/>
        </w:rPr>
        <w:t xml:space="preserve"> </w:t>
      </w:r>
      <w:r>
        <w:t>promptly identified</w:t>
      </w:r>
      <w:r>
        <w:rPr>
          <w:spacing w:val="-1"/>
        </w:rPr>
        <w:t xml:space="preserve"> </w:t>
      </w:r>
      <w:r>
        <w:t>the</w:t>
      </w:r>
      <w:r>
        <w:rPr>
          <w:spacing w:val="-1"/>
        </w:rPr>
        <w:t xml:space="preserve"> </w:t>
      </w:r>
      <w:r>
        <w:t>error,</w:t>
      </w:r>
      <w:r>
        <w:rPr>
          <w:spacing w:val="-1"/>
        </w:rPr>
        <w:t xml:space="preserve"> </w:t>
      </w:r>
      <w:r>
        <w:t>brought it to MOFCOM's attention, and submitted corrected a</w:t>
      </w:r>
      <w:r>
        <w:t>nd complete data that completely addressed and resolved the error. MOFCOM's approach was therefore inconsistent with Article 6.2 and entirely undermined Casella Wines' entitlement to a "full opportunity for defence" of its interests.</w:t>
      </w:r>
      <w:r>
        <w:rPr>
          <w:vertAlign w:val="superscript"/>
        </w:rPr>
        <w:t>1094</w:t>
      </w:r>
    </w:p>
    <w:p w14:paraId="51DE9875" w14:textId="77777777" w:rsidR="0010369C" w:rsidRDefault="0010369C">
      <w:pPr>
        <w:pStyle w:val="BodyText"/>
        <w:rPr>
          <w:sz w:val="20"/>
        </w:rPr>
      </w:pPr>
    </w:p>
    <w:p w14:paraId="51DE9876" w14:textId="77777777" w:rsidR="0010369C" w:rsidRDefault="0010369C">
      <w:pPr>
        <w:pStyle w:val="BodyText"/>
        <w:rPr>
          <w:sz w:val="20"/>
        </w:rPr>
      </w:pPr>
    </w:p>
    <w:p w14:paraId="51DE9877" w14:textId="77777777" w:rsidR="0010369C" w:rsidRDefault="0010369C">
      <w:pPr>
        <w:pStyle w:val="BodyText"/>
        <w:rPr>
          <w:sz w:val="20"/>
        </w:rPr>
      </w:pPr>
    </w:p>
    <w:p w14:paraId="51DE9878" w14:textId="77777777" w:rsidR="0010369C" w:rsidRDefault="008E43AE">
      <w:pPr>
        <w:pStyle w:val="BodyText"/>
        <w:spacing w:before="7"/>
        <w:rPr>
          <w:sz w:val="27"/>
        </w:rPr>
      </w:pPr>
      <w:r>
        <w:pict w14:anchorId="51DEA7D8">
          <v:rect id="docshape1345" o:spid="_x0000_s1115" style="position:absolute;margin-left:70.9pt;margin-top:18.05pt;width:2in;height:.8pt;z-index:-250709504;mso-wrap-distance-left:0;mso-wrap-distance-right:0;mso-position-horizontal-relative:page" fillcolor="black" stroked="f">
            <w10:wrap type="topAndBottom" anchorx="page"/>
          </v:rect>
        </w:pict>
      </w:r>
    </w:p>
    <w:p w14:paraId="51DE9879" w14:textId="77777777" w:rsidR="0010369C" w:rsidRDefault="008E43AE">
      <w:pPr>
        <w:spacing w:before="109"/>
        <w:ind w:left="238"/>
        <w:rPr>
          <w:sz w:val="18"/>
        </w:rPr>
      </w:pPr>
      <w:r>
        <w:rPr>
          <w:sz w:val="18"/>
          <w:vertAlign w:val="superscript"/>
        </w:rPr>
        <w:t>1093</w:t>
      </w:r>
      <w:r>
        <w:rPr>
          <w:spacing w:val="-9"/>
          <w:sz w:val="18"/>
        </w:rPr>
        <w:t xml:space="preserve"> </w:t>
      </w:r>
      <w:r>
        <w:rPr>
          <w:sz w:val="18"/>
        </w:rPr>
        <w:t>Anti‐Dumping</w:t>
      </w:r>
      <w:r>
        <w:rPr>
          <w:spacing w:val="-9"/>
          <w:sz w:val="18"/>
        </w:rPr>
        <w:t xml:space="preserve"> </w:t>
      </w:r>
      <w:r>
        <w:rPr>
          <w:sz w:val="18"/>
        </w:rPr>
        <w:t>Additional</w:t>
      </w:r>
      <w:r>
        <w:rPr>
          <w:spacing w:val="-10"/>
          <w:sz w:val="18"/>
        </w:rPr>
        <w:t xml:space="preserve"> </w:t>
      </w:r>
      <w:r>
        <w:rPr>
          <w:sz w:val="18"/>
        </w:rPr>
        <w:t>Final</w:t>
      </w:r>
      <w:r>
        <w:rPr>
          <w:spacing w:val="-9"/>
          <w:sz w:val="18"/>
        </w:rPr>
        <w:t xml:space="preserve"> </w:t>
      </w:r>
      <w:r>
        <w:rPr>
          <w:sz w:val="18"/>
        </w:rPr>
        <w:t>Disclosure</w:t>
      </w:r>
      <w:r>
        <w:rPr>
          <w:spacing w:val="-9"/>
          <w:sz w:val="18"/>
        </w:rPr>
        <w:t xml:space="preserve"> </w:t>
      </w:r>
      <w:r>
        <w:rPr>
          <w:sz w:val="18"/>
        </w:rPr>
        <w:t>(Exhibit</w:t>
      </w:r>
      <w:r>
        <w:rPr>
          <w:spacing w:val="-9"/>
          <w:sz w:val="18"/>
        </w:rPr>
        <w:t xml:space="preserve"> </w:t>
      </w:r>
      <w:r>
        <w:rPr>
          <w:sz w:val="18"/>
        </w:rPr>
        <w:t>AUS‐101),</w:t>
      </w:r>
      <w:r>
        <w:rPr>
          <w:spacing w:val="-10"/>
          <w:sz w:val="18"/>
        </w:rPr>
        <w:t xml:space="preserve"> </w:t>
      </w:r>
      <w:r>
        <w:rPr>
          <w:sz w:val="18"/>
        </w:rPr>
        <w:t>p.</w:t>
      </w:r>
      <w:r>
        <w:rPr>
          <w:spacing w:val="-9"/>
          <w:sz w:val="18"/>
        </w:rPr>
        <w:t xml:space="preserve"> </w:t>
      </w:r>
      <w:r>
        <w:rPr>
          <w:spacing w:val="-5"/>
          <w:sz w:val="18"/>
        </w:rPr>
        <w:t>24.</w:t>
      </w:r>
    </w:p>
    <w:p w14:paraId="51DE987A" w14:textId="77777777" w:rsidR="0010369C" w:rsidRDefault="008E43AE">
      <w:pPr>
        <w:ind w:left="238"/>
        <w:rPr>
          <w:sz w:val="18"/>
        </w:rPr>
      </w:pPr>
      <w:r>
        <w:rPr>
          <w:sz w:val="18"/>
          <w:vertAlign w:val="superscript"/>
        </w:rPr>
        <w:t>1094</w:t>
      </w:r>
      <w:r>
        <w:rPr>
          <w:spacing w:val="-6"/>
          <w:sz w:val="18"/>
        </w:rPr>
        <w:t xml:space="preserve"> </w:t>
      </w:r>
      <w:r>
        <w:rPr>
          <w:sz w:val="18"/>
        </w:rPr>
        <w:t>See</w:t>
      </w:r>
      <w:r>
        <w:rPr>
          <w:spacing w:val="-5"/>
          <w:sz w:val="18"/>
        </w:rPr>
        <w:t xml:space="preserve"> </w:t>
      </w:r>
      <w:r>
        <w:rPr>
          <w:sz w:val="18"/>
        </w:rPr>
        <w:t>above,</w:t>
      </w:r>
      <w:r>
        <w:rPr>
          <w:spacing w:val="-6"/>
          <w:sz w:val="18"/>
        </w:rPr>
        <w:t xml:space="preserve"> </w:t>
      </w:r>
      <w:r>
        <w:rPr>
          <w:sz w:val="18"/>
        </w:rPr>
        <w:t>section</w:t>
      </w:r>
      <w:r>
        <w:rPr>
          <w:spacing w:val="-6"/>
          <w:sz w:val="18"/>
        </w:rPr>
        <w:t xml:space="preserve"> </w:t>
      </w:r>
      <w:r>
        <w:rPr>
          <w:spacing w:val="-2"/>
          <w:sz w:val="18"/>
        </w:rPr>
        <w:t>II.F.3.</w:t>
      </w:r>
    </w:p>
    <w:p w14:paraId="51DE987B" w14:textId="77777777" w:rsidR="0010369C" w:rsidRDefault="0010369C">
      <w:pPr>
        <w:rPr>
          <w:sz w:val="18"/>
        </w:rPr>
        <w:sectPr w:rsidR="0010369C">
          <w:headerReference w:type="default" r:id="rId1206"/>
          <w:footerReference w:type="default" r:id="rId1207"/>
          <w:pgSz w:w="11910" w:h="16840"/>
          <w:pgMar w:top="880" w:right="800" w:bottom="980" w:left="1180" w:header="569" w:footer="788" w:gutter="0"/>
          <w:cols w:space="720"/>
        </w:sectPr>
      </w:pPr>
    </w:p>
    <w:p w14:paraId="51DE987C" w14:textId="77777777" w:rsidR="0010369C" w:rsidRDefault="0010369C">
      <w:pPr>
        <w:pStyle w:val="BodyText"/>
        <w:spacing w:before="4"/>
        <w:rPr>
          <w:sz w:val="23"/>
        </w:rPr>
      </w:pPr>
    </w:p>
    <w:tbl>
      <w:tblPr>
        <w:tblW w:w="0" w:type="auto"/>
        <w:tblInd w:w="196" w:type="dxa"/>
        <w:tblLayout w:type="fixed"/>
        <w:tblCellMar>
          <w:left w:w="0" w:type="dxa"/>
          <w:right w:w="0" w:type="dxa"/>
        </w:tblCellMar>
        <w:tblLook w:val="01E0" w:firstRow="1" w:lastRow="1" w:firstColumn="1" w:lastColumn="1" w:noHBand="0" w:noVBand="0"/>
      </w:tblPr>
      <w:tblGrid>
        <w:gridCol w:w="3151"/>
        <w:gridCol w:w="6019"/>
      </w:tblGrid>
      <w:tr w:rsidR="0010369C" w14:paraId="51DE987F" w14:textId="77777777">
        <w:trPr>
          <w:trHeight w:val="243"/>
        </w:trPr>
        <w:tc>
          <w:tcPr>
            <w:tcW w:w="3151" w:type="dxa"/>
          </w:tcPr>
          <w:p w14:paraId="51DE987D" w14:textId="77777777" w:rsidR="0010369C" w:rsidRDefault="008E43AE">
            <w:pPr>
              <w:pStyle w:val="TableParagraph"/>
              <w:spacing w:line="204" w:lineRule="exact"/>
              <w:ind w:left="50"/>
              <w:rPr>
                <w:sz w:val="20"/>
              </w:rPr>
            </w:pPr>
            <w:r>
              <w:rPr>
                <w:i/>
                <w:sz w:val="20"/>
              </w:rPr>
              <w:t>on</w:t>
            </w:r>
            <w:r>
              <w:rPr>
                <w:i/>
                <w:spacing w:val="-1"/>
                <w:sz w:val="20"/>
              </w:rPr>
              <w:t xml:space="preserve"> </w:t>
            </w:r>
            <w:r>
              <w:rPr>
                <w:i/>
                <w:sz w:val="20"/>
              </w:rPr>
              <w:t>Wine</w:t>
            </w:r>
            <w:r>
              <w:rPr>
                <w:i/>
                <w:spacing w:val="-1"/>
                <w:sz w:val="20"/>
              </w:rPr>
              <w:t xml:space="preserve"> </w:t>
            </w:r>
            <w:r>
              <w:rPr>
                <w:i/>
                <w:sz w:val="20"/>
              </w:rPr>
              <w:t>from</w:t>
            </w:r>
            <w:r>
              <w:rPr>
                <w:i/>
                <w:spacing w:val="-3"/>
                <w:sz w:val="20"/>
              </w:rPr>
              <w:t xml:space="preserve"> </w:t>
            </w:r>
            <w:r>
              <w:rPr>
                <w:i/>
                <w:sz w:val="20"/>
              </w:rPr>
              <w:t>Australia</w:t>
            </w:r>
            <w:r>
              <w:rPr>
                <w:i/>
                <w:spacing w:val="-1"/>
                <w:sz w:val="20"/>
              </w:rPr>
              <w:t xml:space="preserve"> </w:t>
            </w:r>
            <w:r>
              <w:rPr>
                <w:spacing w:val="-2"/>
                <w:sz w:val="20"/>
              </w:rPr>
              <w:t>(DS602)</w:t>
            </w:r>
          </w:p>
        </w:tc>
        <w:tc>
          <w:tcPr>
            <w:tcW w:w="6019" w:type="dxa"/>
          </w:tcPr>
          <w:p w14:paraId="51DE987E" w14:textId="77777777" w:rsidR="0010369C" w:rsidRDefault="008E43AE">
            <w:pPr>
              <w:pStyle w:val="TableParagraph"/>
              <w:spacing w:line="204" w:lineRule="exact"/>
              <w:ind w:right="46"/>
              <w:jc w:val="right"/>
              <w:rPr>
                <w:sz w:val="20"/>
              </w:rPr>
            </w:pPr>
            <w:r>
              <w:rPr>
                <w:sz w:val="20"/>
              </w:rPr>
              <w:t>29</w:t>
            </w:r>
            <w:r>
              <w:rPr>
                <w:spacing w:val="-1"/>
                <w:sz w:val="20"/>
              </w:rPr>
              <w:t xml:space="preserve"> </w:t>
            </w:r>
            <w:r>
              <w:rPr>
                <w:sz w:val="20"/>
              </w:rPr>
              <w:t>April</w:t>
            </w:r>
            <w:r>
              <w:rPr>
                <w:spacing w:val="-2"/>
                <w:sz w:val="20"/>
              </w:rPr>
              <w:t xml:space="preserve"> </w:t>
            </w:r>
            <w:r>
              <w:rPr>
                <w:spacing w:val="-4"/>
                <w:sz w:val="20"/>
              </w:rPr>
              <w:t>2022</w:t>
            </w:r>
          </w:p>
        </w:tc>
      </w:tr>
      <w:tr w:rsidR="0010369C" w14:paraId="51DE9882" w14:textId="77777777">
        <w:trPr>
          <w:trHeight w:val="383"/>
        </w:trPr>
        <w:tc>
          <w:tcPr>
            <w:tcW w:w="3151" w:type="dxa"/>
          </w:tcPr>
          <w:p w14:paraId="51DE9880" w14:textId="77777777" w:rsidR="0010369C" w:rsidRDefault="008E43AE">
            <w:pPr>
              <w:pStyle w:val="TableParagraph"/>
              <w:spacing w:line="288" w:lineRule="exact"/>
              <w:ind w:right="299"/>
              <w:jc w:val="right"/>
              <w:rPr>
                <w:sz w:val="24"/>
              </w:rPr>
            </w:pPr>
            <w:r>
              <w:rPr>
                <w:spacing w:val="-5"/>
                <w:sz w:val="24"/>
                <w:u w:val="single"/>
              </w:rPr>
              <w:t>(c)</w:t>
            </w:r>
          </w:p>
        </w:tc>
        <w:tc>
          <w:tcPr>
            <w:tcW w:w="6019" w:type="dxa"/>
          </w:tcPr>
          <w:p w14:paraId="51DE9881" w14:textId="77777777" w:rsidR="0010369C" w:rsidRDefault="008E43AE">
            <w:pPr>
              <w:pStyle w:val="TableParagraph"/>
              <w:spacing w:line="288" w:lineRule="exact"/>
              <w:ind w:right="49"/>
              <w:jc w:val="right"/>
              <w:rPr>
                <w:sz w:val="24"/>
              </w:rPr>
            </w:pPr>
            <w:r>
              <w:rPr>
                <w:sz w:val="24"/>
                <w:u w:val="single"/>
              </w:rPr>
              <w:t>Failure</w:t>
            </w:r>
            <w:r>
              <w:rPr>
                <w:spacing w:val="10"/>
                <w:sz w:val="24"/>
                <w:u w:val="single"/>
              </w:rPr>
              <w:t xml:space="preserve"> </w:t>
            </w:r>
            <w:r>
              <w:rPr>
                <w:sz w:val="24"/>
                <w:u w:val="single"/>
              </w:rPr>
              <w:t>to</w:t>
            </w:r>
            <w:r>
              <w:rPr>
                <w:spacing w:val="10"/>
                <w:sz w:val="24"/>
                <w:u w:val="single"/>
              </w:rPr>
              <w:t xml:space="preserve"> </w:t>
            </w:r>
            <w:r>
              <w:rPr>
                <w:sz w:val="24"/>
                <w:u w:val="single"/>
              </w:rPr>
              <w:t>provide</w:t>
            </w:r>
            <w:r>
              <w:rPr>
                <w:spacing w:val="10"/>
                <w:sz w:val="24"/>
                <w:u w:val="single"/>
              </w:rPr>
              <w:t xml:space="preserve"> </w:t>
            </w:r>
            <w:r>
              <w:rPr>
                <w:sz w:val="24"/>
                <w:u w:val="single"/>
              </w:rPr>
              <w:t>evidence</w:t>
            </w:r>
            <w:r>
              <w:rPr>
                <w:spacing w:val="10"/>
                <w:sz w:val="24"/>
                <w:u w:val="single"/>
              </w:rPr>
              <w:t xml:space="preserve"> </w:t>
            </w:r>
            <w:r>
              <w:rPr>
                <w:sz w:val="24"/>
                <w:u w:val="single"/>
              </w:rPr>
              <w:t>presented</w:t>
            </w:r>
            <w:r>
              <w:rPr>
                <w:spacing w:val="10"/>
                <w:sz w:val="24"/>
                <w:u w:val="single"/>
              </w:rPr>
              <w:t xml:space="preserve"> </w:t>
            </w:r>
            <w:r>
              <w:rPr>
                <w:sz w:val="24"/>
                <w:u w:val="single"/>
              </w:rPr>
              <w:t>in</w:t>
            </w:r>
            <w:r>
              <w:rPr>
                <w:spacing w:val="9"/>
                <w:sz w:val="24"/>
                <w:u w:val="single"/>
              </w:rPr>
              <w:t xml:space="preserve"> </w:t>
            </w:r>
            <w:r>
              <w:rPr>
                <w:sz w:val="24"/>
                <w:u w:val="single"/>
              </w:rPr>
              <w:t>writing</w:t>
            </w:r>
            <w:r>
              <w:rPr>
                <w:spacing w:val="10"/>
                <w:sz w:val="24"/>
                <w:u w:val="single"/>
              </w:rPr>
              <w:t xml:space="preserve"> </w:t>
            </w:r>
            <w:r>
              <w:rPr>
                <w:sz w:val="24"/>
                <w:u w:val="single"/>
              </w:rPr>
              <w:t>to</w:t>
            </w:r>
            <w:r>
              <w:rPr>
                <w:spacing w:val="10"/>
                <w:sz w:val="24"/>
                <w:u w:val="single"/>
              </w:rPr>
              <w:t xml:space="preserve"> </w:t>
            </w:r>
            <w:r>
              <w:rPr>
                <w:spacing w:val="-2"/>
                <w:sz w:val="24"/>
                <w:u w:val="single"/>
              </w:rPr>
              <w:t>other</w:t>
            </w:r>
          </w:p>
        </w:tc>
      </w:tr>
      <w:tr w:rsidR="0010369C" w14:paraId="51DE9885" w14:textId="77777777">
        <w:trPr>
          <w:trHeight w:val="340"/>
        </w:trPr>
        <w:tc>
          <w:tcPr>
            <w:tcW w:w="3151" w:type="dxa"/>
          </w:tcPr>
          <w:p w14:paraId="51DE9883" w14:textId="77777777" w:rsidR="0010369C" w:rsidRDefault="0010369C">
            <w:pPr>
              <w:pStyle w:val="TableParagraph"/>
              <w:rPr>
                <w:rFonts w:ascii="Times New Roman"/>
              </w:rPr>
            </w:pPr>
          </w:p>
        </w:tc>
        <w:tc>
          <w:tcPr>
            <w:tcW w:w="6019" w:type="dxa"/>
          </w:tcPr>
          <w:p w14:paraId="51DE9884" w14:textId="77777777" w:rsidR="0010369C" w:rsidRDefault="008E43AE">
            <w:pPr>
              <w:pStyle w:val="TableParagraph"/>
              <w:spacing w:before="51" w:line="269" w:lineRule="exact"/>
              <w:ind w:left="302"/>
              <w:rPr>
                <w:sz w:val="24"/>
              </w:rPr>
            </w:pPr>
            <w:r>
              <w:rPr>
                <w:sz w:val="24"/>
                <w:u w:val="single"/>
              </w:rPr>
              <w:t>interested</w:t>
            </w:r>
            <w:r>
              <w:rPr>
                <w:spacing w:val="-13"/>
                <w:sz w:val="24"/>
                <w:u w:val="single"/>
              </w:rPr>
              <w:t xml:space="preserve"> </w:t>
            </w:r>
            <w:r>
              <w:rPr>
                <w:spacing w:val="-2"/>
                <w:sz w:val="24"/>
                <w:u w:val="single"/>
              </w:rPr>
              <w:t>parties</w:t>
            </w:r>
          </w:p>
        </w:tc>
      </w:tr>
    </w:tbl>
    <w:p w14:paraId="51DE9886" w14:textId="77777777" w:rsidR="0010369C" w:rsidRDefault="0010369C">
      <w:pPr>
        <w:pStyle w:val="BodyText"/>
        <w:spacing w:before="2"/>
        <w:rPr>
          <w:sz w:val="21"/>
        </w:rPr>
      </w:pPr>
    </w:p>
    <w:p w14:paraId="51DE9887" w14:textId="77777777" w:rsidR="0010369C" w:rsidRDefault="008E43AE">
      <w:pPr>
        <w:pStyle w:val="BodyText"/>
        <w:spacing w:before="52" w:line="362" w:lineRule="auto"/>
        <w:ind w:left="238" w:right="614" w:firstLine="850"/>
        <w:jc w:val="both"/>
      </w:pPr>
      <w:r>
        <w:rPr>
          <w:noProof/>
        </w:rPr>
        <w:drawing>
          <wp:anchor distT="0" distB="0" distL="0" distR="0" simplePos="0" relativeHeight="251520512" behindDoc="1" locked="0" layoutInCell="1" allowOverlap="1" wp14:anchorId="51DEA7D9" wp14:editId="51DEA7DA">
            <wp:simplePos x="0" y="0"/>
            <wp:positionH relativeFrom="page">
              <wp:posOffset>902208</wp:posOffset>
            </wp:positionH>
            <wp:positionV relativeFrom="paragraph">
              <wp:posOffset>76785</wp:posOffset>
            </wp:positionV>
            <wp:extent cx="262127" cy="106679"/>
            <wp:effectExtent l="0" t="0" r="0" b="0"/>
            <wp:wrapNone/>
            <wp:docPr id="1811" name="image9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 name="image933.png"/>
                    <pic:cNvPicPr/>
                  </pic:nvPicPr>
                  <pic:blipFill>
                    <a:blip r:embed="rId1208" cstate="print"/>
                    <a:stretch>
                      <a:fillRect/>
                    </a:stretch>
                  </pic:blipFill>
                  <pic:spPr>
                    <a:xfrm>
                      <a:off x="0" y="0"/>
                      <a:ext cx="262127" cy="106679"/>
                    </a:xfrm>
                    <a:prstGeom prst="rect">
                      <a:avLst/>
                    </a:prstGeom>
                  </pic:spPr>
                </pic:pic>
              </a:graphicData>
            </a:graphic>
          </wp:anchor>
        </w:drawing>
      </w:r>
      <w:r>
        <w:t>Article</w:t>
      </w:r>
      <w:r>
        <w:rPr>
          <w:spacing w:val="-12"/>
        </w:rPr>
        <w:t xml:space="preserve"> </w:t>
      </w:r>
      <w:r>
        <w:t>6.1.2</w:t>
      </w:r>
      <w:r>
        <w:rPr>
          <w:spacing w:val="-13"/>
        </w:rPr>
        <w:t xml:space="preserve"> </w:t>
      </w:r>
      <w:r>
        <w:t>guarantees</w:t>
      </w:r>
      <w:r>
        <w:rPr>
          <w:spacing w:val="-13"/>
        </w:rPr>
        <w:t xml:space="preserve"> </w:t>
      </w:r>
      <w:r>
        <w:t>interested</w:t>
      </w:r>
      <w:r>
        <w:rPr>
          <w:spacing w:val="-12"/>
        </w:rPr>
        <w:t xml:space="preserve"> </w:t>
      </w:r>
      <w:r>
        <w:t>parties'</w:t>
      </w:r>
      <w:r>
        <w:rPr>
          <w:spacing w:val="-12"/>
        </w:rPr>
        <w:t xml:space="preserve"> </w:t>
      </w:r>
      <w:r>
        <w:t>rights</w:t>
      </w:r>
      <w:r>
        <w:rPr>
          <w:spacing w:val="-13"/>
        </w:rPr>
        <w:t xml:space="preserve"> </w:t>
      </w:r>
      <w:r>
        <w:t>to</w:t>
      </w:r>
      <w:r>
        <w:rPr>
          <w:spacing w:val="-12"/>
        </w:rPr>
        <w:t xml:space="preserve"> </w:t>
      </w:r>
      <w:r>
        <w:t>see</w:t>
      </w:r>
      <w:r>
        <w:rPr>
          <w:spacing w:val="-11"/>
        </w:rPr>
        <w:t xml:space="preserve"> </w:t>
      </w:r>
      <w:r>
        <w:t>non‐confidential</w:t>
      </w:r>
      <w:r>
        <w:rPr>
          <w:spacing w:val="-12"/>
        </w:rPr>
        <w:t xml:space="preserve"> </w:t>
      </w:r>
      <w:r>
        <w:t>information submitted by another interested party.</w:t>
      </w:r>
      <w:r>
        <w:rPr>
          <w:vertAlign w:val="superscript"/>
        </w:rPr>
        <w:t>1095</w:t>
      </w:r>
    </w:p>
    <w:p w14:paraId="51DE9888" w14:textId="77777777" w:rsidR="0010369C" w:rsidRDefault="008E43AE">
      <w:pPr>
        <w:pStyle w:val="BodyText"/>
        <w:spacing w:before="154" w:line="360" w:lineRule="auto"/>
        <w:ind w:left="237" w:right="612" w:firstLine="851"/>
        <w:jc w:val="both"/>
      </w:pPr>
      <w:r>
        <w:rPr>
          <w:noProof/>
        </w:rPr>
        <w:drawing>
          <wp:anchor distT="0" distB="0" distL="0" distR="0" simplePos="0" relativeHeight="251521536" behindDoc="1" locked="0" layoutInCell="1" allowOverlap="1" wp14:anchorId="51DEA7DB" wp14:editId="51DEA7DC">
            <wp:simplePos x="0" y="0"/>
            <wp:positionH relativeFrom="page">
              <wp:posOffset>902208</wp:posOffset>
            </wp:positionH>
            <wp:positionV relativeFrom="paragraph">
              <wp:posOffset>146127</wp:posOffset>
            </wp:positionV>
            <wp:extent cx="262127" cy="103631"/>
            <wp:effectExtent l="0" t="0" r="0" b="0"/>
            <wp:wrapNone/>
            <wp:docPr id="1813" name="image9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 name="image934.png"/>
                    <pic:cNvPicPr/>
                  </pic:nvPicPr>
                  <pic:blipFill>
                    <a:blip r:embed="rId1209" cstate="print"/>
                    <a:stretch>
                      <a:fillRect/>
                    </a:stretch>
                  </pic:blipFill>
                  <pic:spPr>
                    <a:xfrm>
                      <a:off x="0" y="0"/>
                      <a:ext cx="262127" cy="103631"/>
                    </a:xfrm>
                    <a:prstGeom prst="rect">
                      <a:avLst/>
                    </a:prstGeom>
                  </pic:spPr>
                </pic:pic>
              </a:graphicData>
            </a:graphic>
          </wp:anchor>
        </w:drawing>
      </w:r>
      <w:r>
        <w:t>As set out above,</w:t>
      </w:r>
      <w:r>
        <w:rPr>
          <w:vertAlign w:val="superscript"/>
        </w:rPr>
        <w:t>1096</w:t>
      </w:r>
      <w:r>
        <w:t xml:space="preserve"> Australia submits</w:t>
      </w:r>
      <w:r>
        <w:rPr>
          <w:spacing w:val="-1"/>
        </w:rPr>
        <w:t xml:space="preserve"> </w:t>
      </w:r>
      <w:r>
        <w:t>that MOFCOM upheld a wide range</w:t>
      </w:r>
      <w:r>
        <w:rPr>
          <w:spacing w:val="-1"/>
        </w:rPr>
        <w:t xml:space="preserve"> </w:t>
      </w:r>
      <w:r>
        <w:t>of claims for confidentiality by CADA and the Chinese companies that responded to the Domestic Producer Questio</w:t>
      </w:r>
      <w:r>
        <w:t>nnaire over material that it could not have been satisfied met the requirements of Article 6.5 of the Anti‐Dumping Agreement. The inevitable consequence of upholding these overbroad claims was to deny interested parties the opportunity to see information t</w:t>
      </w:r>
      <w:r>
        <w:t>hat, was in truth, non‐confidential and that otherwise fell within the scope of Article 6.1.2.</w:t>
      </w:r>
    </w:p>
    <w:p w14:paraId="51DE9889" w14:textId="77777777" w:rsidR="0010369C" w:rsidRDefault="008E43AE">
      <w:pPr>
        <w:pStyle w:val="Heading4"/>
        <w:numPr>
          <w:ilvl w:val="2"/>
          <w:numId w:val="75"/>
        </w:numPr>
        <w:tabs>
          <w:tab w:val="left" w:pos="2648"/>
          <w:tab w:val="left" w:pos="2649"/>
        </w:tabs>
        <w:spacing w:before="162"/>
        <w:jc w:val="both"/>
      </w:pPr>
      <w:r>
        <w:rPr>
          <w:spacing w:val="-2"/>
        </w:rPr>
        <w:t>Conclusion</w:t>
      </w:r>
    </w:p>
    <w:p w14:paraId="51DE988A" w14:textId="77777777" w:rsidR="0010369C" w:rsidRDefault="0010369C">
      <w:pPr>
        <w:pStyle w:val="BodyText"/>
        <w:rPr>
          <w:b/>
          <w:sz w:val="25"/>
        </w:rPr>
      </w:pPr>
    </w:p>
    <w:p w14:paraId="51DE988B" w14:textId="77777777" w:rsidR="0010369C" w:rsidRDefault="008E43AE">
      <w:pPr>
        <w:pStyle w:val="BodyText"/>
        <w:spacing w:line="360" w:lineRule="auto"/>
        <w:ind w:left="236" w:right="613" w:firstLine="853"/>
        <w:jc w:val="both"/>
      </w:pPr>
      <w:r>
        <w:rPr>
          <w:noProof/>
        </w:rPr>
        <w:drawing>
          <wp:anchor distT="0" distB="0" distL="0" distR="0" simplePos="0" relativeHeight="251522560" behindDoc="1" locked="0" layoutInCell="1" allowOverlap="1" wp14:anchorId="51DEA7DD" wp14:editId="51DEA7DE">
            <wp:simplePos x="0" y="0"/>
            <wp:positionH relativeFrom="page">
              <wp:posOffset>902208</wp:posOffset>
            </wp:positionH>
            <wp:positionV relativeFrom="paragraph">
              <wp:posOffset>47575</wp:posOffset>
            </wp:positionV>
            <wp:extent cx="262127" cy="103631"/>
            <wp:effectExtent l="0" t="0" r="0" b="0"/>
            <wp:wrapNone/>
            <wp:docPr id="1815" name="image9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 name="image935.png"/>
                    <pic:cNvPicPr/>
                  </pic:nvPicPr>
                  <pic:blipFill>
                    <a:blip r:embed="rId1210" cstate="print"/>
                    <a:stretch>
                      <a:fillRect/>
                    </a:stretch>
                  </pic:blipFill>
                  <pic:spPr>
                    <a:xfrm>
                      <a:off x="0" y="0"/>
                      <a:ext cx="262127" cy="103631"/>
                    </a:xfrm>
                    <a:prstGeom prst="rect">
                      <a:avLst/>
                    </a:prstGeom>
                  </pic:spPr>
                </pic:pic>
              </a:graphicData>
            </a:graphic>
          </wp:anchor>
        </w:drawing>
      </w:r>
      <w:r>
        <w:t>For the foregoing reasons, MOFCOM acted inconsistently with China's obligations under</w:t>
      </w:r>
      <w:r>
        <w:rPr>
          <w:spacing w:val="-6"/>
        </w:rPr>
        <w:t xml:space="preserve"> </w:t>
      </w:r>
      <w:r>
        <w:t>Articles</w:t>
      </w:r>
      <w:r>
        <w:rPr>
          <w:spacing w:val="-8"/>
        </w:rPr>
        <w:t xml:space="preserve"> </w:t>
      </w:r>
      <w:r>
        <w:t>6.1,</w:t>
      </w:r>
      <w:r>
        <w:rPr>
          <w:spacing w:val="-6"/>
        </w:rPr>
        <w:t xml:space="preserve"> </w:t>
      </w:r>
      <w:r>
        <w:t>6.1.1,</w:t>
      </w:r>
      <w:r>
        <w:rPr>
          <w:spacing w:val="-6"/>
        </w:rPr>
        <w:t xml:space="preserve"> </w:t>
      </w:r>
      <w:r>
        <w:t>6.1.2,</w:t>
      </w:r>
      <w:r>
        <w:rPr>
          <w:spacing w:val="-6"/>
        </w:rPr>
        <w:t xml:space="preserve"> </w:t>
      </w:r>
      <w:r>
        <w:t>and</w:t>
      </w:r>
      <w:r>
        <w:rPr>
          <w:spacing w:val="-6"/>
        </w:rPr>
        <w:t xml:space="preserve"> </w:t>
      </w:r>
      <w:r>
        <w:t>6.2</w:t>
      </w:r>
      <w:r>
        <w:rPr>
          <w:spacing w:val="-7"/>
        </w:rPr>
        <w:t xml:space="preserve"> </w:t>
      </w:r>
      <w:r>
        <w:t>of</w:t>
      </w:r>
      <w:r>
        <w:rPr>
          <w:spacing w:val="-6"/>
        </w:rPr>
        <w:t xml:space="preserve"> </w:t>
      </w:r>
      <w:r>
        <w:t>the</w:t>
      </w:r>
      <w:r>
        <w:rPr>
          <w:spacing w:val="-6"/>
        </w:rPr>
        <w:t xml:space="preserve"> </w:t>
      </w:r>
      <w:r>
        <w:t>Anti‐Dumping</w:t>
      </w:r>
      <w:r>
        <w:rPr>
          <w:spacing w:val="-6"/>
        </w:rPr>
        <w:t xml:space="preserve"> </w:t>
      </w:r>
      <w:r>
        <w:t>Agreement.</w:t>
      </w:r>
      <w:r>
        <w:rPr>
          <w:spacing w:val="-8"/>
        </w:rPr>
        <w:t xml:space="preserve"> </w:t>
      </w:r>
      <w:r>
        <w:t>The</w:t>
      </w:r>
      <w:r>
        <w:rPr>
          <w:spacing w:val="-5"/>
        </w:rPr>
        <w:t xml:space="preserve"> </w:t>
      </w:r>
      <w:r>
        <w:t>manner</w:t>
      </w:r>
      <w:r>
        <w:rPr>
          <w:spacing w:val="-6"/>
        </w:rPr>
        <w:t xml:space="preserve"> </w:t>
      </w:r>
      <w:r>
        <w:t>in</w:t>
      </w:r>
      <w:r>
        <w:rPr>
          <w:spacing w:val="-6"/>
        </w:rPr>
        <w:t xml:space="preserve"> </w:t>
      </w:r>
      <w:r>
        <w:t>which MOFCOM conducted its investigation failed to give Australian interested parties ample opportunity to present in writing all evidence which they considered relevant to the investigation and denied them their funda</w:t>
      </w:r>
      <w:r>
        <w:t xml:space="preserve">mental right to a full opportunity to defend their </w:t>
      </w:r>
      <w:r>
        <w:rPr>
          <w:spacing w:val="-2"/>
        </w:rPr>
        <w:t>interests.</w:t>
      </w:r>
    </w:p>
    <w:p w14:paraId="51DE988C" w14:textId="77777777" w:rsidR="0010369C" w:rsidRDefault="008E43AE">
      <w:pPr>
        <w:pStyle w:val="ListParagraph"/>
        <w:numPr>
          <w:ilvl w:val="1"/>
          <w:numId w:val="75"/>
        </w:numPr>
        <w:tabs>
          <w:tab w:val="left" w:pos="1940"/>
          <w:tab w:val="left" w:pos="1941"/>
        </w:tabs>
        <w:spacing w:before="160" w:line="360" w:lineRule="auto"/>
        <w:ind w:left="1939" w:right="615"/>
        <w:jc w:val="left"/>
        <w:rPr>
          <w:b/>
          <w:sz w:val="28"/>
        </w:rPr>
      </w:pPr>
      <w:r>
        <w:rPr>
          <w:b/>
          <w:sz w:val="28"/>
        </w:rPr>
        <w:t>MOFCOM'</w:t>
      </w:r>
      <w:r>
        <w:rPr>
          <w:b/>
        </w:rPr>
        <w:t>S</w:t>
      </w:r>
      <w:r>
        <w:rPr>
          <w:b/>
          <w:spacing w:val="80"/>
          <w:w w:val="150"/>
        </w:rPr>
        <w:t xml:space="preserve"> </w:t>
      </w:r>
      <w:r>
        <w:rPr>
          <w:b/>
        </w:rPr>
        <w:t>FAILURE</w:t>
      </w:r>
      <w:r>
        <w:rPr>
          <w:b/>
          <w:spacing w:val="80"/>
          <w:w w:val="150"/>
        </w:rPr>
        <w:t xml:space="preserve"> </w:t>
      </w:r>
      <w:r>
        <w:rPr>
          <w:b/>
        </w:rPr>
        <w:t>TO</w:t>
      </w:r>
      <w:r>
        <w:rPr>
          <w:b/>
          <w:spacing w:val="80"/>
          <w:w w:val="150"/>
        </w:rPr>
        <w:t xml:space="preserve"> </w:t>
      </w:r>
      <w:r>
        <w:rPr>
          <w:b/>
        </w:rPr>
        <w:t>SATISFY</w:t>
      </w:r>
      <w:r>
        <w:rPr>
          <w:b/>
          <w:spacing w:val="80"/>
          <w:w w:val="150"/>
        </w:rPr>
        <w:t xml:space="preserve"> </w:t>
      </w:r>
      <w:r>
        <w:rPr>
          <w:b/>
        </w:rPr>
        <w:t>ITSELF</w:t>
      </w:r>
      <w:r>
        <w:rPr>
          <w:b/>
          <w:spacing w:val="80"/>
          <w:w w:val="150"/>
        </w:rPr>
        <w:t xml:space="preserve"> </w:t>
      </w:r>
      <w:r>
        <w:rPr>
          <w:b/>
        </w:rPr>
        <w:t>AS</w:t>
      </w:r>
      <w:r>
        <w:rPr>
          <w:b/>
          <w:spacing w:val="80"/>
          <w:w w:val="150"/>
        </w:rPr>
        <w:t xml:space="preserve"> </w:t>
      </w:r>
      <w:r>
        <w:rPr>
          <w:b/>
        </w:rPr>
        <w:t>TO</w:t>
      </w:r>
      <w:r>
        <w:rPr>
          <w:b/>
          <w:spacing w:val="80"/>
          <w:w w:val="150"/>
        </w:rPr>
        <w:t xml:space="preserve"> </w:t>
      </w:r>
      <w:r>
        <w:rPr>
          <w:b/>
        </w:rPr>
        <w:t>THE</w:t>
      </w:r>
      <w:r>
        <w:rPr>
          <w:b/>
          <w:spacing w:val="80"/>
          <w:w w:val="150"/>
        </w:rPr>
        <w:t xml:space="preserve"> </w:t>
      </w:r>
      <w:r>
        <w:rPr>
          <w:b/>
        </w:rPr>
        <w:t>ACCURACY</w:t>
      </w:r>
      <w:r>
        <w:rPr>
          <w:b/>
          <w:spacing w:val="80"/>
          <w:w w:val="150"/>
        </w:rPr>
        <w:t xml:space="preserve"> </w:t>
      </w:r>
      <w:r>
        <w:rPr>
          <w:b/>
        </w:rPr>
        <w:t>OF</w:t>
      </w:r>
      <w:r>
        <w:rPr>
          <w:b/>
          <w:spacing w:val="40"/>
        </w:rPr>
        <w:t xml:space="preserve"> </w:t>
      </w:r>
      <w:r>
        <w:rPr>
          <w:b/>
        </w:rPr>
        <w:t xml:space="preserve">INFORMATION BREACHED </w:t>
      </w:r>
      <w:r>
        <w:rPr>
          <w:b/>
          <w:sz w:val="28"/>
        </w:rPr>
        <w:t>C</w:t>
      </w:r>
      <w:r>
        <w:rPr>
          <w:b/>
        </w:rPr>
        <w:t>HINA</w:t>
      </w:r>
      <w:r>
        <w:rPr>
          <w:b/>
          <w:sz w:val="28"/>
        </w:rPr>
        <w:t>'</w:t>
      </w:r>
      <w:r>
        <w:rPr>
          <w:b/>
        </w:rPr>
        <w:t xml:space="preserve">S OBLIGATIONS UNDER </w:t>
      </w:r>
      <w:r>
        <w:rPr>
          <w:b/>
          <w:sz w:val="28"/>
        </w:rPr>
        <w:t>A</w:t>
      </w:r>
      <w:r>
        <w:rPr>
          <w:b/>
        </w:rPr>
        <w:t xml:space="preserve">RTICLE </w:t>
      </w:r>
      <w:r>
        <w:rPr>
          <w:b/>
          <w:sz w:val="28"/>
        </w:rPr>
        <w:t xml:space="preserve">6.6 </w:t>
      </w:r>
      <w:r>
        <w:rPr>
          <w:b/>
        </w:rPr>
        <w:t>OF THE</w:t>
      </w:r>
    </w:p>
    <w:p w14:paraId="51DE988D" w14:textId="77777777" w:rsidR="0010369C" w:rsidRDefault="008E43AE">
      <w:pPr>
        <w:spacing w:before="1"/>
        <w:ind w:left="1940"/>
        <w:rPr>
          <w:b/>
        </w:rPr>
      </w:pPr>
      <w:r>
        <w:rPr>
          <w:b/>
          <w:w w:val="95"/>
          <w:sz w:val="28"/>
        </w:rPr>
        <w:t>A</w:t>
      </w:r>
      <w:r>
        <w:rPr>
          <w:b/>
          <w:w w:val="95"/>
        </w:rPr>
        <w:t>NTI</w:t>
      </w:r>
      <w:r>
        <w:rPr>
          <w:b/>
          <w:w w:val="95"/>
          <w:sz w:val="28"/>
        </w:rPr>
        <w:t>‐D</w:t>
      </w:r>
      <w:r>
        <w:rPr>
          <w:b/>
          <w:w w:val="95"/>
        </w:rPr>
        <w:t>UMPING</w:t>
      </w:r>
      <w:r>
        <w:rPr>
          <w:b/>
          <w:spacing w:val="58"/>
        </w:rPr>
        <w:t xml:space="preserve"> </w:t>
      </w:r>
      <w:r>
        <w:rPr>
          <w:b/>
          <w:spacing w:val="-2"/>
          <w:sz w:val="28"/>
        </w:rPr>
        <w:t>A</w:t>
      </w:r>
      <w:r>
        <w:rPr>
          <w:b/>
          <w:spacing w:val="-2"/>
        </w:rPr>
        <w:t>GREEMENT</w:t>
      </w:r>
    </w:p>
    <w:p w14:paraId="51DE988E" w14:textId="77777777" w:rsidR="0010369C" w:rsidRDefault="0010369C">
      <w:pPr>
        <w:pStyle w:val="BodyText"/>
        <w:rPr>
          <w:b/>
          <w:sz w:val="27"/>
        </w:rPr>
      </w:pPr>
    </w:p>
    <w:p w14:paraId="51DE988F" w14:textId="77777777" w:rsidR="0010369C" w:rsidRDefault="008E43AE">
      <w:pPr>
        <w:pStyle w:val="BodyText"/>
        <w:spacing w:line="360" w:lineRule="auto"/>
        <w:ind w:left="236" w:right="613" w:firstLine="852"/>
        <w:jc w:val="both"/>
      </w:pPr>
      <w:r>
        <w:rPr>
          <w:noProof/>
        </w:rPr>
        <w:drawing>
          <wp:anchor distT="0" distB="0" distL="0" distR="0" simplePos="0" relativeHeight="251523584" behindDoc="1" locked="0" layoutInCell="1" allowOverlap="1" wp14:anchorId="51DEA7DF" wp14:editId="51DEA7E0">
            <wp:simplePos x="0" y="0"/>
            <wp:positionH relativeFrom="page">
              <wp:posOffset>902208</wp:posOffset>
            </wp:positionH>
            <wp:positionV relativeFrom="paragraph">
              <wp:posOffset>43765</wp:posOffset>
            </wp:positionV>
            <wp:extent cx="262127" cy="106679"/>
            <wp:effectExtent l="0" t="0" r="0" b="0"/>
            <wp:wrapNone/>
            <wp:docPr id="1817" name="image9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 name="image936.png"/>
                    <pic:cNvPicPr/>
                  </pic:nvPicPr>
                  <pic:blipFill>
                    <a:blip r:embed="rId1211" cstate="print"/>
                    <a:stretch>
                      <a:fillRect/>
                    </a:stretch>
                  </pic:blipFill>
                  <pic:spPr>
                    <a:xfrm>
                      <a:off x="0" y="0"/>
                      <a:ext cx="262127" cy="106679"/>
                    </a:xfrm>
                    <a:prstGeom prst="rect">
                      <a:avLst/>
                    </a:prstGeom>
                  </pic:spPr>
                </pic:pic>
              </a:graphicData>
            </a:graphic>
          </wp:anchor>
        </w:drawing>
      </w:r>
      <w:r>
        <w:t>MOFCOM acted inconsistently with China's obligations under Article 6.6 of the Anti‐Dumping</w:t>
      </w:r>
      <w:r>
        <w:rPr>
          <w:spacing w:val="-14"/>
        </w:rPr>
        <w:t xml:space="preserve"> </w:t>
      </w:r>
      <w:r>
        <w:t>Agreement</w:t>
      </w:r>
      <w:r>
        <w:rPr>
          <w:spacing w:val="-14"/>
        </w:rPr>
        <w:t xml:space="preserve"> </w:t>
      </w:r>
      <w:r>
        <w:t>by</w:t>
      </w:r>
      <w:r>
        <w:rPr>
          <w:spacing w:val="-13"/>
        </w:rPr>
        <w:t xml:space="preserve"> </w:t>
      </w:r>
      <w:r>
        <w:t>failing</w:t>
      </w:r>
      <w:r>
        <w:rPr>
          <w:spacing w:val="-14"/>
        </w:rPr>
        <w:t xml:space="preserve"> </w:t>
      </w:r>
      <w:r>
        <w:t>to</w:t>
      </w:r>
      <w:r>
        <w:rPr>
          <w:spacing w:val="-13"/>
        </w:rPr>
        <w:t xml:space="preserve"> </w:t>
      </w:r>
      <w:r>
        <w:t>satisfy</w:t>
      </w:r>
      <w:r>
        <w:rPr>
          <w:spacing w:val="-14"/>
        </w:rPr>
        <w:t xml:space="preserve"> </w:t>
      </w:r>
      <w:r>
        <w:t>itself</w:t>
      </w:r>
      <w:r>
        <w:rPr>
          <w:spacing w:val="-13"/>
        </w:rPr>
        <w:t xml:space="preserve"> </w:t>
      </w:r>
      <w:r>
        <w:t>of</w:t>
      </w:r>
      <w:r>
        <w:rPr>
          <w:spacing w:val="-14"/>
        </w:rPr>
        <w:t xml:space="preserve"> </w:t>
      </w:r>
      <w:r>
        <w:t>the</w:t>
      </w:r>
      <w:r>
        <w:rPr>
          <w:spacing w:val="-14"/>
        </w:rPr>
        <w:t xml:space="preserve"> </w:t>
      </w:r>
      <w:r>
        <w:t>accuracy</w:t>
      </w:r>
      <w:r>
        <w:rPr>
          <w:spacing w:val="-13"/>
        </w:rPr>
        <w:t xml:space="preserve"> </w:t>
      </w:r>
      <w:r>
        <w:t>of</w:t>
      </w:r>
      <w:r>
        <w:rPr>
          <w:spacing w:val="-14"/>
        </w:rPr>
        <w:t xml:space="preserve"> </w:t>
      </w:r>
      <w:r>
        <w:t>the</w:t>
      </w:r>
      <w:r>
        <w:rPr>
          <w:spacing w:val="-13"/>
        </w:rPr>
        <w:t xml:space="preserve"> </w:t>
      </w:r>
      <w:r>
        <w:t>information</w:t>
      </w:r>
      <w:r>
        <w:rPr>
          <w:spacing w:val="-14"/>
        </w:rPr>
        <w:t xml:space="preserve"> </w:t>
      </w:r>
      <w:r>
        <w:t>on</w:t>
      </w:r>
      <w:r>
        <w:rPr>
          <w:spacing w:val="-13"/>
        </w:rPr>
        <w:t xml:space="preserve"> </w:t>
      </w:r>
      <w:r>
        <w:t>which its</w:t>
      </w:r>
      <w:r>
        <w:rPr>
          <w:spacing w:val="-3"/>
        </w:rPr>
        <w:t xml:space="preserve"> </w:t>
      </w:r>
      <w:r>
        <w:t>findings</w:t>
      </w:r>
      <w:r>
        <w:rPr>
          <w:spacing w:val="-2"/>
        </w:rPr>
        <w:t xml:space="preserve"> </w:t>
      </w:r>
      <w:r>
        <w:t>were</w:t>
      </w:r>
      <w:r>
        <w:rPr>
          <w:spacing w:val="-2"/>
        </w:rPr>
        <w:t xml:space="preserve"> </w:t>
      </w:r>
      <w:r>
        <w:t>based,</w:t>
      </w:r>
      <w:r>
        <w:rPr>
          <w:spacing w:val="-4"/>
        </w:rPr>
        <w:t xml:space="preserve"> </w:t>
      </w:r>
      <w:r>
        <w:t>including</w:t>
      </w:r>
      <w:r>
        <w:rPr>
          <w:spacing w:val="-2"/>
        </w:rPr>
        <w:t xml:space="preserve"> </w:t>
      </w:r>
      <w:r>
        <w:t>with</w:t>
      </w:r>
      <w:r>
        <w:rPr>
          <w:spacing w:val="-3"/>
        </w:rPr>
        <w:t xml:space="preserve"> </w:t>
      </w:r>
      <w:r>
        <w:t>respect</w:t>
      </w:r>
      <w:r>
        <w:rPr>
          <w:spacing w:val="-3"/>
        </w:rPr>
        <w:t xml:space="preserve"> </w:t>
      </w:r>
      <w:r>
        <w:t>to:</w:t>
      </w:r>
      <w:r>
        <w:rPr>
          <w:spacing w:val="-2"/>
        </w:rPr>
        <w:t xml:space="preserve"> </w:t>
      </w:r>
      <w:r>
        <w:t>(i)</w:t>
      </w:r>
      <w:r>
        <w:rPr>
          <w:spacing w:val="-2"/>
        </w:rPr>
        <w:t xml:space="preserve"> </w:t>
      </w:r>
      <w:r>
        <w:t>MOFCOM's</w:t>
      </w:r>
      <w:r>
        <w:rPr>
          <w:spacing w:val="-3"/>
        </w:rPr>
        <w:t xml:space="preserve"> </w:t>
      </w:r>
      <w:r>
        <w:t>calculation</w:t>
      </w:r>
      <w:r>
        <w:rPr>
          <w:spacing w:val="-3"/>
        </w:rPr>
        <w:t xml:space="preserve"> </w:t>
      </w:r>
      <w:r>
        <w:t>of</w:t>
      </w:r>
      <w:r>
        <w:rPr>
          <w:spacing w:val="-3"/>
        </w:rPr>
        <w:t xml:space="preserve"> </w:t>
      </w:r>
      <w:r>
        <w:t>to</w:t>
      </w:r>
      <w:r>
        <w:t>tal</w:t>
      </w:r>
      <w:r>
        <w:rPr>
          <w:spacing w:val="-2"/>
        </w:rPr>
        <w:t xml:space="preserve"> </w:t>
      </w:r>
      <w:r>
        <w:t>domestic output; (ii) MOFCOM's analysis of the responses to the Domestic Producer Questionnaire, particularly in light of the contradictions in the data; (iii) MOFCOM's finding that the information</w:t>
      </w:r>
      <w:r>
        <w:rPr>
          <w:spacing w:val="-4"/>
        </w:rPr>
        <w:t xml:space="preserve"> </w:t>
      </w:r>
      <w:r>
        <w:t>supplied</w:t>
      </w:r>
      <w:r>
        <w:rPr>
          <w:spacing w:val="-4"/>
        </w:rPr>
        <w:t xml:space="preserve"> </w:t>
      </w:r>
      <w:r>
        <w:t>by</w:t>
      </w:r>
      <w:r>
        <w:rPr>
          <w:spacing w:val="-5"/>
        </w:rPr>
        <w:t xml:space="preserve"> </w:t>
      </w:r>
      <w:r>
        <w:t>the</w:t>
      </w:r>
      <w:r>
        <w:rPr>
          <w:spacing w:val="-3"/>
        </w:rPr>
        <w:t xml:space="preserve"> </w:t>
      </w:r>
      <w:r>
        <w:t>three</w:t>
      </w:r>
      <w:r>
        <w:rPr>
          <w:spacing w:val="-3"/>
        </w:rPr>
        <w:t xml:space="preserve"> </w:t>
      </w:r>
      <w:r>
        <w:t>sampled</w:t>
      </w:r>
      <w:r>
        <w:rPr>
          <w:spacing w:val="-4"/>
        </w:rPr>
        <w:t xml:space="preserve"> </w:t>
      </w:r>
      <w:r>
        <w:t>Australian</w:t>
      </w:r>
      <w:r>
        <w:rPr>
          <w:spacing w:val="-5"/>
        </w:rPr>
        <w:t xml:space="preserve"> </w:t>
      </w:r>
      <w:r>
        <w:t>exporters</w:t>
      </w:r>
      <w:r>
        <w:rPr>
          <w:spacing w:val="-5"/>
        </w:rPr>
        <w:t xml:space="preserve"> </w:t>
      </w:r>
      <w:r>
        <w:t>cou</w:t>
      </w:r>
      <w:r>
        <w:t>ld</w:t>
      </w:r>
      <w:r>
        <w:rPr>
          <w:spacing w:val="-3"/>
        </w:rPr>
        <w:t xml:space="preserve"> </w:t>
      </w:r>
      <w:r>
        <w:t>not</w:t>
      </w:r>
      <w:r>
        <w:rPr>
          <w:spacing w:val="-4"/>
        </w:rPr>
        <w:t xml:space="preserve"> </w:t>
      </w:r>
      <w:r>
        <w:t>be</w:t>
      </w:r>
      <w:r>
        <w:rPr>
          <w:spacing w:val="-3"/>
        </w:rPr>
        <w:t xml:space="preserve"> </w:t>
      </w:r>
      <w:r>
        <w:t>verified;</w:t>
      </w:r>
      <w:r>
        <w:rPr>
          <w:spacing w:val="-4"/>
        </w:rPr>
        <w:t xml:space="preserve"> </w:t>
      </w:r>
      <w:r>
        <w:t>(iv)</w:t>
      </w:r>
      <w:r>
        <w:rPr>
          <w:spacing w:val="-3"/>
        </w:rPr>
        <w:t xml:space="preserve"> </w:t>
      </w:r>
      <w:r>
        <w:t>the</w:t>
      </w:r>
    </w:p>
    <w:p w14:paraId="51DE9890" w14:textId="77777777" w:rsidR="0010369C" w:rsidRDefault="0010369C">
      <w:pPr>
        <w:pStyle w:val="BodyText"/>
      </w:pPr>
    </w:p>
    <w:p w14:paraId="51DE9891" w14:textId="77777777" w:rsidR="0010369C" w:rsidRDefault="0010369C">
      <w:pPr>
        <w:pStyle w:val="BodyText"/>
        <w:spacing w:before="6"/>
        <w:rPr>
          <w:sz w:val="18"/>
        </w:rPr>
      </w:pPr>
    </w:p>
    <w:p w14:paraId="51DE9892" w14:textId="77777777" w:rsidR="0010369C" w:rsidRDefault="008E43AE">
      <w:pPr>
        <w:ind w:left="238"/>
        <w:rPr>
          <w:sz w:val="18"/>
        </w:rPr>
      </w:pPr>
      <w:r>
        <w:rPr>
          <w:sz w:val="18"/>
          <w:vertAlign w:val="superscript"/>
        </w:rPr>
        <w:t>1095</w:t>
      </w:r>
      <w:r>
        <w:rPr>
          <w:spacing w:val="-6"/>
          <w:sz w:val="18"/>
        </w:rPr>
        <w:t xml:space="preserve"> </w:t>
      </w:r>
      <w:r>
        <w:rPr>
          <w:sz w:val="18"/>
        </w:rPr>
        <w:t>Panel</w:t>
      </w:r>
      <w:r>
        <w:rPr>
          <w:spacing w:val="-7"/>
          <w:sz w:val="18"/>
        </w:rPr>
        <w:t xml:space="preserve"> </w:t>
      </w:r>
      <w:r>
        <w:rPr>
          <w:sz w:val="18"/>
        </w:rPr>
        <w:t>Report,</w:t>
      </w:r>
      <w:r>
        <w:rPr>
          <w:spacing w:val="-5"/>
          <w:sz w:val="18"/>
        </w:rPr>
        <w:t xml:space="preserve"> </w:t>
      </w:r>
      <w:r>
        <w:rPr>
          <w:i/>
          <w:sz w:val="18"/>
        </w:rPr>
        <w:t>Guatemala</w:t>
      </w:r>
      <w:r>
        <w:rPr>
          <w:i/>
          <w:spacing w:val="-7"/>
          <w:sz w:val="18"/>
        </w:rPr>
        <w:t xml:space="preserve"> </w:t>
      </w:r>
      <w:r>
        <w:rPr>
          <w:i/>
          <w:sz w:val="18"/>
        </w:rPr>
        <w:t>–</w:t>
      </w:r>
      <w:r>
        <w:rPr>
          <w:i/>
          <w:spacing w:val="-5"/>
          <w:sz w:val="18"/>
        </w:rPr>
        <w:t xml:space="preserve"> </w:t>
      </w:r>
      <w:r>
        <w:rPr>
          <w:i/>
          <w:sz w:val="18"/>
        </w:rPr>
        <w:t>Cement</w:t>
      </w:r>
      <w:r>
        <w:rPr>
          <w:i/>
          <w:spacing w:val="-6"/>
          <w:sz w:val="18"/>
        </w:rPr>
        <w:t xml:space="preserve"> </w:t>
      </w:r>
      <w:r>
        <w:rPr>
          <w:i/>
          <w:sz w:val="18"/>
        </w:rPr>
        <w:t>II</w:t>
      </w:r>
      <w:r>
        <w:rPr>
          <w:sz w:val="18"/>
        </w:rPr>
        <w:t>,</w:t>
      </w:r>
      <w:r>
        <w:rPr>
          <w:spacing w:val="-7"/>
          <w:sz w:val="18"/>
        </w:rPr>
        <w:t xml:space="preserve"> </w:t>
      </w:r>
      <w:r>
        <w:rPr>
          <w:sz w:val="18"/>
        </w:rPr>
        <w:t>para.</w:t>
      </w:r>
      <w:r>
        <w:rPr>
          <w:spacing w:val="-5"/>
          <w:sz w:val="18"/>
        </w:rPr>
        <w:t xml:space="preserve"> </w:t>
      </w:r>
      <w:r>
        <w:rPr>
          <w:spacing w:val="-2"/>
          <w:sz w:val="18"/>
        </w:rPr>
        <w:t>8.133.</w:t>
      </w:r>
    </w:p>
    <w:p w14:paraId="51DE9893" w14:textId="77777777" w:rsidR="0010369C" w:rsidRDefault="008E43AE">
      <w:pPr>
        <w:ind w:left="238"/>
        <w:rPr>
          <w:sz w:val="18"/>
        </w:rPr>
      </w:pPr>
      <w:r>
        <w:rPr>
          <w:sz w:val="18"/>
          <w:vertAlign w:val="superscript"/>
        </w:rPr>
        <w:t>1096</w:t>
      </w:r>
      <w:r>
        <w:rPr>
          <w:spacing w:val="-6"/>
          <w:sz w:val="18"/>
        </w:rPr>
        <w:t xml:space="preserve"> </w:t>
      </w:r>
      <w:r>
        <w:rPr>
          <w:sz w:val="18"/>
        </w:rPr>
        <w:t>See</w:t>
      </w:r>
      <w:r>
        <w:rPr>
          <w:spacing w:val="-5"/>
          <w:sz w:val="18"/>
        </w:rPr>
        <w:t xml:space="preserve"> </w:t>
      </w:r>
      <w:r>
        <w:rPr>
          <w:sz w:val="18"/>
        </w:rPr>
        <w:t>above,</w:t>
      </w:r>
      <w:r>
        <w:rPr>
          <w:spacing w:val="-6"/>
          <w:sz w:val="18"/>
        </w:rPr>
        <w:t xml:space="preserve"> </w:t>
      </w:r>
      <w:r>
        <w:rPr>
          <w:sz w:val="18"/>
        </w:rPr>
        <w:t>section</w:t>
      </w:r>
      <w:r>
        <w:rPr>
          <w:spacing w:val="-6"/>
          <w:sz w:val="18"/>
        </w:rPr>
        <w:t xml:space="preserve"> </w:t>
      </w:r>
      <w:r>
        <w:rPr>
          <w:spacing w:val="-2"/>
          <w:sz w:val="18"/>
        </w:rPr>
        <w:t>VII.B.</w:t>
      </w:r>
    </w:p>
    <w:p w14:paraId="51DE9894" w14:textId="77777777" w:rsidR="0010369C" w:rsidRDefault="0010369C">
      <w:pPr>
        <w:rPr>
          <w:sz w:val="18"/>
        </w:rPr>
        <w:sectPr w:rsidR="0010369C">
          <w:headerReference w:type="default" r:id="rId1212"/>
          <w:footerReference w:type="default" r:id="rId1213"/>
          <w:pgSz w:w="11910" w:h="16840"/>
          <w:pgMar w:top="880" w:right="800" w:bottom="1340" w:left="1180" w:header="569" w:footer="1143" w:gutter="0"/>
          <w:cols w:space="720"/>
        </w:sectPr>
      </w:pPr>
    </w:p>
    <w:p w14:paraId="51DE9895" w14:textId="77777777" w:rsidR="0010369C" w:rsidRDefault="0010369C">
      <w:pPr>
        <w:pStyle w:val="BodyText"/>
        <w:spacing w:before="2"/>
        <w:rPr>
          <w:sz w:val="15"/>
        </w:rPr>
      </w:pPr>
    </w:p>
    <w:p w14:paraId="51DE9896" w14:textId="77777777" w:rsidR="0010369C" w:rsidRDefault="008E43AE">
      <w:pPr>
        <w:tabs>
          <w:tab w:val="left" w:pos="8228"/>
        </w:tabs>
        <w:spacing w:before="60"/>
        <w:ind w:left="239"/>
        <w:rPr>
          <w:sz w:val="20"/>
        </w:rPr>
      </w:pPr>
      <w:r>
        <w:rPr>
          <w:i/>
          <w:sz w:val="20"/>
        </w:rPr>
        <w:t>on</w:t>
      </w:r>
      <w:r>
        <w:rPr>
          <w:i/>
          <w:spacing w:val="-1"/>
          <w:sz w:val="20"/>
        </w:rPr>
        <w:t xml:space="preserve"> </w:t>
      </w:r>
      <w:r>
        <w:rPr>
          <w:i/>
          <w:sz w:val="20"/>
        </w:rPr>
        <w:t>Wine</w:t>
      </w:r>
      <w:r>
        <w:rPr>
          <w:i/>
          <w:spacing w:val="-1"/>
          <w:sz w:val="20"/>
        </w:rPr>
        <w:t xml:space="preserve"> </w:t>
      </w:r>
      <w:r>
        <w:rPr>
          <w:i/>
          <w:sz w:val="20"/>
        </w:rPr>
        <w:t>from</w:t>
      </w:r>
      <w:r>
        <w:rPr>
          <w:i/>
          <w:spacing w:val="-3"/>
          <w:sz w:val="20"/>
        </w:rPr>
        <w:t xml:space="preserve"> </w:t>
      </w:r>
      <w:r>
        <w:rPr>
          <w:i/>
          <w:sz w:val="20"/>
        </w:rPr>
        <w:t>Australia</w:t>
      </w:r>
      <w:r>
        <w:rPr>
          <w:i/>
          <w:spacing w:val="-1"/>
          <w:sz w:val="20"/>
        </w:rPr>
        <w:t xml:space="preserve"> </w:t>
      </w:r>
      <w:r>
        <w:rPr>
          <w:spacing w:val="-2"/>
          <w:sz w:val="20"/>
        </w:rPr>
        <w:t>(DS602)</w:t>
      </w:r>
      <w:r>
        <w:rPr>
          <w:sz w:val="20"/>
        </w:rPr>
        <w:tab/>
        <w:t>29</w:t>
      </w:r>
      <w:r>
        <w:rPr>
          <w:spacing w:val="-1"/>
          <w:sz w:val="20"/>
        </w:rPr>
        <w:t xml:space="preserve"> </w:t>
      </w:r>
      <w:r>
        <w:rPr>
          <w:sz w:val="20"/>
        </w:rPr>
        <w:t>April</w:t>
      </w:r>
      <w:r>
        <w:rPr>
          <w:spacing w:val="-2"/>
          <w:sz w:val="20"/>
        </w:rPr>
        <w:t xml:space="preserve"> </w:t>
      </w:r>
      <w:r>
        <w:rPr>
          <w:spacing w:val="-4"/>
          <w:sz w:val="20"/>
        </w:rPr>
        <w:t>2022</w:t>
      </w:r>
    </w:p>
    <w:p w14:paraId="51DE9897" w14:textId="77777777" w:rsidR="0010369C" w:rsidRDefault="008E43AE">
      <w:pPr>
        <w:pStyle w:val="BodyText"/>
        <w:spacing w:before="34" w:line="360" w:lineRule="auto"/>
        <w:ind w:left="237"/>
      </w:pPr>
      <w:r>
        <w:t>methodology</w:t>
      </w:r>
      <w:r>
        <w:rPr>
          <w:spacing w:val="73"/>
        </w:rPr>
        <w:t xml:space="preserve"> </w:t>
      </w:r>
      <w:r>
        <w:t>that</w:t>
      </w:r>
      <w:r>
        <w:rPr>
          <w:spacing w:val="73"/>
        </w:rPr>
        <w:t xml:space="preserve"> </w:t>
      </w:r>
      <w:r>
        <w:t>MOFCOM</w:t>
      </w:r>
      <w:r>
        <w:rPr>
          <w:spacing w:val="74"/>
        </w:rPr>
        <w:t xml:space="preserve"> </w:t>
      </w:r>
      <w:r>
        <w:t>used</w:t>
      </w:r>
      <w:r>
        <w:rPr>
          <w:spacing w:val="73"/>
        </w:rPr>
        <w:t xml:space="preserve"> </w:t>
      </w:r>
      <w:r>
        <w:t>to</w:t>
      </w:r>
      <w:r>
        <w:rPr>
          <w:spacing w:val="73"/>
        </w:rPr>
        <w:t xml:space="preserve"> </w:t>
      </w:r>
      <w:r>
        <w:t>verify</w:t>
      </w:r>
      <w:r>
        <w:rPr>
          <w:spacing w:val="74"/>
        </w:rPr>
        <w:t xml:space="preserve"> </w:t>
      </w:r>
      <w:r>
        <w:t>the</w:t>
      </w:r>
      <w:r>
        <w:rPr>
          <w:spacing w:val="73"/>
        </w:rPr>
        <w:t xml:space="preserve"> </w:t>
      </w:r>
      <w:r>
        <w:t>information</w:t>
      </w:r>
      <w:r>
        <w:rPr>
          <w:spacing w:val="74"/>
        </w:rPr>
        <w:t xml:space="preserve"> </w:t>
      </w:r>
      <w:r>
        <w:t>provided</w:t>
      </w:r>
      <w:r>
        <w:rPr>
          <w:spacing w:val="74"/>
        </w:rPr>
        <w:t xml:space="preserve"> </w:t>
      </w:r>
      <w:r>
        <w:t>by</w:t>
      </w:r>
      <w:r>
        <w:rPr>
          <w:spacing w:val="73"/>
        </w:rPr>
        <w:t xml:space="preserve"> </w:t>
      </w:r>
      <w:r>
        <w:t>the</w:t>
      </w:r>
      <w:r>
        <w:rPr>
          <w:spacing w:val="73"/>
        </w:rPr>
        <w:t xml:space="preserve"> </w:t>
      </w:r>
      <w:r>
        <w:t>sampled companies; and (v) MOFCOM's decision to resort to "facts available".</w:t>
      </w:r>
    </w:p>
    <w:p w14:paraId="51DE9898" w14:textId="77777777" w:rsidR="0010369C" w:rsidRDefault="0010369C">
      <w:pPr>
        <w:pStyle w:val="BodyText"/>
        <w:spacing w:before="10"/>
        <w:rPr>
          <w:sz w:val="8"/>
        </w:rPr>
      </w:pPr>
    </w:p>
    <w:p w14:paraId="51DE9899" w14:textId="77777777" w:rsidR="0010369C" w:rsidRDefault="008E43AE">
      <w:pPr>
        <w:pStyle w:val="BodyText"/>
        <w:spacing w:before="52" w:line="360" w:lineRule="auto"/>
        <w:ind w:left="237" w:right="614" w:firstLine="851"/>
        <w:jc w:val="both"/>
      </w:pPr>
      <w:r>
        <w:rPr>
          <w:noProof/>
        </w:rPr>
        <w:drawing>
          <wp:anchor distT="0" distB="0" distL="0" distR="0" simplePos="0" relativeHeight="251524608" behindDoc="1" locked="0" layoutInCell="1" allowOverlap="1" wp14:anchorId="51DEA7E1" wp14:editId="51DEA7E2">
            <wp:simplePos x="0" y="0"/>
            <wp:positionH relativeFrom="page">
              <wp:posOffset>902208</wp:posOffset>
            </wp:positionH>
            <wp:positionV relativeFrom="paragraph">
              <wp:posOffset>76785</wp:posOffset>
            </wp:positionV>
            <wp:extent cx="262127" cy="106679"/>
            <wp:effectExtent l="0" t="0" r="0" b="0"/>
            <wp:wrapNone/>
            <wp:docPr id="1819" name="image9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 name="image937.png"/>
                    <pic:cNvPicPr/>
                  </pic:nvPicPr>
                  <pic:blipFill>
                    <a:blip r:embed="rId1214" cstate="print"/>
                    <a:stretch>
                      <a:fillRect/>
                    </a:stretch>
                  </pic:blipFill>
                  <pic:spPr>
                    <a:xfrm>
                      <a:off x="0" y="0"/>
                      <a:ext cx="262127" cy="106679"/>
                    </a:xfrm>
                    <a:prstGeom prst="rect">
                      <a:avLst/>
                    </a:prstGeom>
                  </pic:spPr>
                </pic:pic>
              </a:graphicData>
            </a:graphic>
          </wp:anchor>
        </w:drawing>
      </w:r>
      <w:r>
        <w:t>There</w:t>
      </w:r>
      <w:r>
        <w:rPr>
          <w:spacing w:val="-3"/>
        </w:rPr>
        <w:t xml:space="preserve"> </w:t>
      </w:r>
      <w:r>
        <w:t>is</w:t>
      </w:r>
      <w:r>
        <w:rPr>
          <w:spacing w:val="-4"/>
        </w:rPr>
        <w:t xml:space="preserve"> </w:t>
      </w:r>
      <w:r>
        <w:t>limited</w:t>
      </w:r>
      <w:r>
        <w:rPr>
          <w:spacing w:val="-4"/>
        </w:rPr>
        <w:t xml:space="preserve"> </w:t>
      </w:r>
      <w:r>
        <w:t>evidence</w:t>
      </w:r>
      <w:r>
        <w:rPr>
          <w:spacing w:val="-4"/>
        </w:rPr>
        <w:t xml:space="preserve"> </w:t>
      </w:r>
      <w:r>
        <w:t>on</w:t>
      </w:r>
      <w:r>
        <w:rPr>
          <w:spacing w:val="-4"/>
        </w:rPr>
        <w:t xml:space="preserve"> </w:t>
      </w:r>
      <w:r>
        <w:t>the</w:t>
      </w:r>
      <w:r>
        <w:rPr>
          <w:spacing w:val="-3"/>
        </w:rPr>
        <w:t xml:space="preserve"> </w:t>
      </w:r>
      <w:r>
        <w:t>record</w:t>
      </w:r>
      <w:r>
        <w:rPr>
          <w:spacing w:val="-5"/>
        </w:rPr>
        <w:t xml:space="preserve"> </w:t>
      </w:r>
      <w:r>
        <w:t>that</w:t>
      </w:r>
      <w:r>
        <w:rPr>
          <w:spacing w:val="-4"/>
        </w:rPr>
        <w:t xml:space="preserve"> </w:t>
      </w:r>
      <w:r>
        <w:t>MOFCOM</w:t>
      </w:r>
      <w:r>
        <w:rPr>
          <w:spacing w:val="-3"/>
        </w:rPr>
        <w:t xml:space="preserve"> </w:t>
      </w:r>
      <w:r>
        <w:t>undertook</w:t>
      </w:r>
      <w:r>
        <w:rPr>
          <w:spacing w:val="-3"/>
        </w:rPr>
        <w:t xml:space="preserve"> </w:t>
      </w:r>
      <w:r>
        <w:t>any</w:t>
      </w:r>
      <w:r>
        <w:rPr>
          <w:spacing w:val="-3"/>
        </w:rPr>
        <w:t xml:space="preserve"> </w:t>
      </w:r>
      <w:r>
        <w:t>sort</w:t>
      </w:r>
      <w:r>
        <w:rPr>
          <w:spacing w:val="-4"/>
        </w:rPr>
        <w:t xml:space="preserve"> </w:t>
      </w:r>
      <w:r>
        <w:t>of</w:t>
      </w:r>
      <w:r>
        <w:rPr>
          <w:spacing w:val="-4"/>
        </w:rPr>
        <w:t xml:space="preserve"> </w:t>
      </w:r>
      <w:r>
        <w:t>activity to satisfy itself as to the accuracy of the information provided by the interested parties. In</w:t>
      </w:r>
      <w:r>
        <w:t>stead, MOFCOM chose to make only limited enquiries that were incapable of allowing it to assess the accuracy of the majority of the information before it.</w:t>
      </w:r>
    </w:p>
    <w:p w14:paraId="51DE989A" w14:textId="77777777" w:rsidR="0010369C" w:rsidRDefault="008E43AE">
      <w:pPr>
        <w:pStyle w:val="Heading4"/>
        <w:numPr>
          <w:ilvl w:val="2"/>
          <w:numId w:val="75"/>
        </w:numPr>
        <w:tabs>
          <w:tab w:val="left" w:pos="2647"/>
          <w:tab w:val="left" w:pos="2648"/>
        </w:tabs>
        <w:spacing w:before="162"/>
        <w:ind w:left="2647" w:hanging="852"/>
        <w:jc w:val="both"/>
      </w:pPr>
      <w:r>
        <w:t>Legal</w:t>
      </w:r>
      <w:r>
        <w:rPr>
          <w:spacing w:val="-7"/>
        </w:rPr>
        <w:t xml:space="preserve"> </w:t>
      </w:r>
      <w:r>
        <w:rPr>
          <w:spacing w:val="-2"/>
        </w:rPr>
        <w:t>framework</w:t>
      </w:r>
    </w:p>
    <w:p w14:paraId="51DE989B" w14:textId="77777777" w:rsidR="0010369C" w:rsidRDefault="0010369C">
      <w:pPr>
        <w:pStyle w:val="BodyText"/>
        <w:spacing w:before="10"/>
        <w:rPr>
          <w:b/>
          <w:sz w:val="20"/>
        </w:rPr>
      </w:pPr>
    </w:p>
    <w:p w14:paraId="51DE989C" w14:textId="77777777" w:rsidR="0010369C" w:rsidRDefault="008E43AE">
      <w:pPr>
        <w:pStyle w:val="BodyText"/>
        <w:spacing w:before="52"/>
        <w:ind w:left="1089"/>
        <w:jc w:val="both"/>
      </w:pPr>
      <w:r>
        <w:rPr>
          <w:noProof/>
        </w:rPr>
        <w:drawing>
          <wp:anchor distT="0" distB="0" distL="0" distR="0" simplePos="0" relativeHeight="250695168" behindDoc="0" locked="0" layoutInCell="1" allowOverlap="1" wp14:anchorId="51DEA7E3" wp14:editId="51DEA7E4">
            <wp:simplePos x="0" y="0"/>
            <wp:positionH relativeFrom="page">
              <wp:posOffset>902208</wp:posOffset>
            </wp:positionH>
            <wp:positionV relativeFrom="paragraph">
              <wp:posOffset>80595</wp:posOffset>
            </wp:positionV>
            <wp:extent cx="262127" cy="103631"/>
            <wp:effectExtent l="0" t="0" r="0" b="0"/>
            <wp:wrapNone/>
            <wp:docPr id="1821" name="image9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 name="image938.png"/>
                    <pic:cNvPicPr/>
                  </pic:nvPicPr>
                  <pic:blipFill>
                    <a:blip r:embed="rId1215" cstate="print"/>
                    <a:stretch>
                      <a:fillRect/>
                    </a:stretch>
                  </pic:blipFill>
                  <pic:spPr>
                    <a:xfrm>
                      <a:off x="0" y="0"/>
                      <a:ext cx="262127" cy="103631"/>
                    </a:xfrm>
                    <a:prstGeom prst="rect">
                      <a:avLst/>
                    </a:prstGeom>
                  </pic:spPr>
                </pic:pic>
              </a:graphicData>
            </a:graphic>
          </wp:anchor>
        </w:drawing>
      </w:r>
      <w:r>
        <w:t>Article</w:t>
      </w:r>
      <w:r>
        <w:rPr>
          <w:spacing w:val="-9"/>
        </w:rPr>
        <w:t xml:space="preserve"> </w:t>
      </w:r>
      <w:r>
        <w:t>6.6</w:t>
      </w:r>
      <w:r>
        <w:rPr>
          <w:spacing w:val="-8"/>
        </w:rPr>
        <w:t xml:space="preserve"> </w:t>
      </w:r>
      <w:r>
        <w:t>of</w:t>
      </w:r>
      <w:r>
        <w:rPr>
          <w:spacing w:val="-9"/>
        </w:rPr>
        <w:t xml:space="preserve"> </w:t>
      </w:r>
      <w:r>
        <w:t>the</w:t>
      </w:r>
      <w:r>
        <w:rPr>
          <w:spacing w:val="-8"/>
        </w:rPr>
        <w:t xml:space="preserve"> </w:t>
      </w:r>
      <w:r>
        <w:t>Anti‐Dumping</w:t>
      </w:r>
      <w:r>
        <w:rPr>
          <w:spacing w:val="-7"/>
        </w:rPr>
        <w:t xml:space="preserve"> </w:t>
      </w:r>
      <w:r>
        <w:t>Agreement</w:t>
      </w:r>
      <w:r>
        <w:rPr>
          <w:spacing w:val="-10"/>
        </w:rPr>
        <w:t xml:space="preserve"> </w:t>
      </w:r>
      <w:r>
        <w:t>provides</w:t>
      </w:r>
      <w:r>
        <w:rPr>
          <w:spacing w:val="-8"/>
        </w:rPr>
        <w:t xml:space="preserve"> </w:t>
      </w:r>
      <w:r>
        <w:rPr>
          <w:spacing w:val="-2"/>
        </w:rPr>
        <w:t>that:</w:t>
      </w:r>
    </w:p>
    <w:p w14:paraId="51DE989D" w14:textId="77777777" w:rsidR="0010369C" w:rsidRDefault="0010369C">
      <w:pPr>
        <w:pStyle w:val="BodyText"/>
        <w:spacing w:before="1"/>
        <w:rPr>
          <w:sz w:val="25"/>
        </w:rPr>
      </w:pPr>
    </w:p>
    <w:p w14:paraId="51DE989E" w14:textId="77777777" w:rsidR="0010369C" w:rsidRDefault="008E43AE">
      <w:pPr>
        <w:spacing w:line="276" w:lineRule="auto"/>
        <w:ind w:left="1090" w:right="613" w:hanging="2"/>
        <w:jc w:val="both"/>
      </w:pPr>
      <w:r>
        <w:t>Except in circumstances p</w:t>
      </w:r>
      <w:r>
        <w:t>rovided for in paragraph 8, the authorities shall during the course of an investigation satisfy themselves as to the accuracy of the information supplied by interested parties upon which their findings are based.</w:t>
      </w:r>
    </w:p>
    <w:p w14:paraId="51DE989F" w14:textId="77777777" w:rsidR="0010369C" w:rsidRDefault="0010369C">
      <w:pPr>
        <w:pStyle w:val="BodyText"/>
        <w:spacing w:before="4"/>
        <w:rPr>
          <w:sz w:val="15"/>
        </w:rPr>
      </w:pPr>
    </w:p>
    <w:p w14:paraId="51DE98A0" w14:textId="77777777" w:rsidR="0010369C" w:rsidRDefault="008E43AE">
      <w:pPr>
        <w:pStyle w:val="BodyText"/>
        <w:spacing w:before="52" w:line="360" w:lineRule="auto"/>
        <w:ind w:left="237" w:right="614" w:firstLine="851"/>
        <w:jc w:val="both"/>
      </w:pPr>
      <w:r>
        <w:rPr>
          <w:noProof/>
        </w:rPr>
        <w:drawing>
          <wp:anchor distT="0" distB="0" distL="0" distR="0" simplePos="0" relativeHeight="251525632" behindDoc="1" locked="0" layoutInCell="1" allowOverlap="1" wp14:anchorId="51DEA7E5" wp14:editId="51DEA7E6">
            <wp:simplePos x="0" y="0"/>
            <wp:positionH relativeFrom="page">
              <wp:posOffset>902208</wp:posOffset>
            </wp:positionH>
            <wp:positionV relativeFrom="paragraph">
              <wp:posOffset>81357</wp:posOffset>
            </wp:positionV>
            <wp:extent cx="262127" cy="103631"/>
            <wp:effectExtent l="0" t="0" r="0" b="0"/>
            <wp:wrapNone/>
            <wp:docPr id="1823" name="image9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 name="image939.png"/>
                    <pic:cNvPicPr/>
                  </pic:nvPicPr>
                  <pic:blipFill>
                    <a:blip r:embed="rId1216" cstate="print"/>
                    <a:stretch>
                      <a:fillRect/>
                    </a:stretch>
                  </pic:blipFill>
                  <pic:spPr>
                    <a:xfrm>
                      <a:off x="0" y="0"/>
                      <a:ext cx="262127" cy="103631"/>
                    </a:xfrm>
                    <a:prstGeom prst="rect">
                      <a:avLst/>
                    </a:prstGeom>
                  </pic:spPr>
                </pic:pic>
              </a:graphicData>
            </a:graphic>
          </wp:anchor>
        </w:drawing>
      </w:r>
      <w:r>
        <w:t>Article 6.6 does not prescribe the activities which an investigating authority must undertake in order satisfy itself as to the accuracy of the information.</w:t>
      </w:r>
      <w:r>
        <w:rPr>
          <w:vertAlign w:val="superscript"/>
        </w:rPr>
        <w:t>1097</w:t>
      </w:r>
      <w:r>
        <w:t xml:space="preserve"> While an investigating authority is not required to undertake "on‐the‐spot" verification of the</w:t>
      </w:r>
      <w:r>
        <w:t xml:space="preserve"> type permitted by Article 6.7, it nonetheless has a "general obligation" to ensure that the information on which it bases its findings is accurate.</w:t>
      </w:r>
      <w:r>
        <w:rPr>
          <w:vertAlign w:val="superscript"/>
        </w:rPr>
        <w:t>1098</w:t>
      </w:r>
    </w:p>
    <w:p w14:paraId="51DE98A1" w14:textId="77777777" w:rsidR="0010369C" w:rsidRDefault="0010369C">
      <w:pPr>
        <w:pStyle w:val="BodyText"/>
        <w:spacing w:before="10"/>
        <w:rPr>
          <w:sz w:val="8"/>
        </w:rPr>
      </w:pPr>
    </w:p>
    <w:p w14:paraId="51DE98A2" w14:textId="77777777" w:rsidR="0010369C" w:rsidRDefault="008E43AE">
      <w:pPr>
        <w:pStyle w:val="BodyText"/>
        <w:spacing w:before="52" w:line="360" w:lineRule="auto"/>
        <w:ind w:left="237" w:right="613" w:firstLine="851"/>
        <w:jc w:val="both"/>
      </w:pPr>
      <w:r>
        <w:rPr>
          <w:noProof/>
        </w:rPr>
        <w:drawing>
          <wp:anchor distT="0" distB="0" distL="0" distR="0" simplePos="0" relativeHeight="251526656" behindDoc="1" locked="0" layoutInCell="1" allowOverlap="1" wp14:anchorId="51DEA7E7" wp14:editId="51DEA7E8">
            <wp:simplePos x="0" y="0"/>
            <wp:positionH relativeFrom="page">
              <wp:posOffset>902208</wp:posOffset>
            </wp:positionH>
            <wp:positionV relativeFrom="paragraph">
              <wp:posOffset>81357</wp:posOffset>
            </wp:positionV>
            <wp:extent cx="262127" cy="103631"/>
            <wp:effectExtent l="0" t="0" r="0" b="0"/>
            <wp:wrapNone/>
            <wp:docPr id="1825" name="image9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 name="image940.png"/>
                    <pic:cNvPicPr/>
                  </pic:nvPicPr>
                  <pic:blipFill>
                    <a:blip r:embed="rId1217" cstate="print"/>
                    <a:stretch>
                      <a:fillRect/>
                    </a:stretch>
                  </pic:blipFill>
                  <pic:spPr>
                    <a:xfrm>
                      <a:off x="0" y="0"/>
                      <a:ext cx="262127" cy="103631"/>
                    </a:xfrm>
                    <a:prstGeom prst="rect">
                      <a:avLst/>
                    </a:prstGeom>
                  </pic:spPr>
                </pic:pic>
              </a:graphicData>
            </a:graphic>
          </wp:anchor>
        </w:drawing>
      </w:r>
      <w:r>
        <w:t>Exporters are not required to submit evidence to demonstrate the accuracy of the information</w:t>
      </w:r>
      <w:r>
        <w:rPr>
          <w:spacing w:val="-2"/>
        </w:rPr>
        <w:t xml:space="preserve"> </w:t>
      </w:r>
      <w:r>
        <w:t>they</w:t>
      </w:r>
      <w:r>
        <w:rPr>
          <w:spacing w:val="-1"/>
        </w:rPr>
        <w:t xml:space="preserve"> </w:t>
      </w:r>
      <w:r>
        <w:t>supply</w:t>
      </w:r>
      <w:r>
        <w:rPr>
          <w:spacing w:val="-2"/>
        </w:rPr>
        <w:t xml:space="preserve"> </w:t>
      </w:r>
      <w:r>
        <w:t>unless</w:t>
      </w:r>
      <w:r>
        <w:rPr>
          <w:spacing w:val="-1"/>
        </w:rPr>
        <w:t xml:space="preserve"> </w:t>
      </w:r>
      <w:r>
        <w:t>otherwise indicated. If</w:t>
      </w:r>
      <w:r>
        <w:rPr>
          <w:spacing w:val="-1"/>
        </w:rPr>
        <w:t xml:space="preserve"> </w:t>
      </w:r>
      <w:r>
        <w:t>an</w:t>
      </w:r>
      <w:r>
        <w:rPr>
          <w:spacing w:val="-2"/>
        </w:rPr>
        <w:t xml:space="preserve"> </w:t>
      </w:r>
      <w:r>
        <w:t>investigating authority</w:t>
      </w:r>
      <w:r>
        <w:rPr>
          <w:spacing w:val="-1"/>
        </w:rPr>
        <w:t xml:space="preserve"> </w:t>
      </w:r>
      <w:r>
        <w:t>decides</w:t>
      </w:r>
      <w:r>
        <w:rPr>
          <w:spacing w:val="-1"/>
        </w:rPr>
        <w:t xml:space="preserve"> </w:t>
      </w:r>
      <w:r>
        <w:t xml:space="preserve">that no on‐the‐spot verification is going to take place, but that certain additional </w:t>
      </w:r>
      <w:r>
        <w:t>documents are needed</w:t>
      </w:r>
      <w:r>
        <w:rPr>
          <w:spacing w:val="-14"/>
        </w:rPr>
        <w:t xml:space="preserve"> </w:t>
      </w:r>
      <w:r>
        <w:t>for</w:t>
      </w:r>
      <w:r>
        <w:rPr>
          <w:spacing w:val="-14"/>
        </w:rPr>
        <w:t xml:space="preserve"> </w:t>
      </w:r>
      <w:r>
        <w:t>verification</w:t>
      </w:r>
      <w:r>
        <w:rPr>
          <w:spacing w:val="-13"/>
        </w:rPr>
        <w:t xml:space="preserve"> </w:t>
      </w:r>
      <w:r>
        <w:t>purposes,</w:t>
      </w:r>
      <w:r>
        <w:rPr>
          <w:spacing w:val="-14"/>
        </w:rPr>
        <w:t xml:space="preserve"> </w:t>
      </w:r>
      <w:r>
        <w:t>the</w:t>
      </w:r>
      <w:r>
        <w:rPr>
          <w:spacing w:val="-13"/>
        </w:rPr>
        <w:t xml:space="preserve"> </w:t>
      </w:r>
      <w:r>
        <w:t>investigating</w:t>
      </w:r>
      <w:r>
        <w:rPr>
          <w:spacing w:val="-14"/>
        </w:rPr>
        <w:t xml:space="preserve"> </w:t>
      </w:r>
      <w:r>
        <w:t>authority</w:t>
      </w:r>
      <w:r>
        <w:rPr>
          <w:spacing w:val="-13"/>
        </w:rPr>
        <w:t xml:space="preserve"> </w:t>
      </w:r>
      <w:r>
        <w:t>should</w:t>
      </w:r>
      <w:r>
        <w:rPr>
          <w:spacing w:val="-13"/>
        </w:rPr>
        <w:t xml:space="preserve"> </w:t>
      </w:r>
      <w:r>
        <w:t>inform</w:t>
      </w:r>
      <w:r>
        <w:rPr>
          <w:spacing w:val="-13"/>
        </w:rPr>
        <w:t xml:space="preserve"> </w:t>
      </w:r>
      <w:r>
        <w:t>the</w:t>
      </w:r>
      <w:r>
        <w:rPr>
          <w:spacing w:val="-13"/>
        </w:rPr>
        <w:t xml:space="preserve"> </w:t>
      </w:r>
      <w:r>
        <w:t>exporter</w:t>
      </w:r>
      <w:r>
        <w:rPr>
          <w:spacing w:val="-14"/>
        </w:rPr>
        <w:t xml:space="preserve"> </w:t>
      </w:r>
      <w:r>
        <w:t>of</w:t>
      </w:r>
      <w:r>
        <w:rPr>
          <w:spacing w:val="-13"/>
        </w:rPr>
        <w:t xml:space="preserve"> </w:t>
      </w:r>
      <w:r>
        <w:t>the nature of the information for which</w:t>
      </w:r>
      <w:r>
        <w:rPr>
          <w:spacing w:val="-1"/>
        </w:rPr>
        <w:t xml:space="preserve"> </w:t>
      </w:r>
      <w:r>
        <w:t>they require such additional evidence and of any further documents they require.</w:t>
      </w:r>
      <w:r>
        <w:rPr>
          <w:vertAlign w:val="superscript"/>
        </w:rPr>
        <w:t>1099</w:t>
      </w:r>
    </w:p>
    <w:p w14:paraId="51DE98A3" w14:textId="77777777" w:rsidR="0010369C" w:rsidRDefault="008E43AE">
      <w:pPr>
        <w:pStyle w:val="Heading4"/>
        <w:numPr>
          <w:ilvl w:val="2"/>
          <w:numId w:val="75"/>
        </w:numPr>
        <w:tabs>
          <w:tab w:val="left" w:pos="2649"/>
          <w:tab w:val="left" w:pos="2650"/>
        </w:tabs>
        <w:spacing w:before="162"/>
        <w:ind w:left="2649" w:hanging="852"/>
        <w:jc w:val="both"/>
      </w:pPr>
      <w:r>
        <w:t>MOFCOM</w:t>
      </w:r>
      <w:r>
        <w:rPr>
          <w:spacing w:val="-6"/>
        </w:rPr>
        <w:t xml:space="preserve"> </w:t>
      </w:r>
      <w:r>
        <w:t>failed</w:t>
      </w:r>
      <w:r>
        <w:rPr>
          <w:spacing w:val="-7"/>
        </w:rPr>
        <w:t xml:space="preserve"> </w:t>
      </w:r>
      <w:r>
        <w:t>to</w:t>
      </w:r>
      <w:r>
        <w:rPr>
          <w:spacing w:val="-5"/>
        </w:rPr>
        <w:t xml:space="preserve"> </w:t>
      </w:r>
      <w:r>
        <w:t>satisfy</w:t>
      </w:r>
      <w:r>
        <w:rPr>
          <w:spacing w:val="-6"/>
        </w:rPr>
        <w:t xml:space="preserve"> </w:t>
      </w:r>
      <w:r>
        <w:t>itself</w:t>
      </w:r>
      <w:r>
        <w:rPr>
          <w:spacing w:val="-7"/>
        </w:rPr>
        <w:t xml:space="preserve"> </w:t>
      </w:r>
      <w:r>
        <w:t>as</w:t>
      </w:r>
      <w:r>
        <w:rPr>
          <w:spacing w:val="-6"/>
        </w:rPr>
        <w:t xml:space="preserve"> </w:t>
      </w:r>
      <w:r>
        <w:t>to</w:t>
      </w:r>
      <w:r>
        <w:rPr>
          <w:spacing w:val="-6"/>
        </w:rPr>
        <w:t xml:space="preserve"> </w:t>
      </w:r>
      <w:r>
        <w:t>the</w:t>
      </w:r>
      <w:r>
        <w:rPr>
          <w:spacing w:val="-6"/>
        </w:rPr>
        <w:t xml:space="preserve"> </w:t>
      </w:r>
      <w:r>
        <w:t>accuracy</w:t>
      </w:r>
      <w:r>
        <w:rPr>
          <w:spacing w:val="-6"/>
        </w:rPr>
        <w:t xml:space="preserve"> </w:t>
      </w:r>
      <w:r>
        <w:t>of</w:t>
      </w:r>
      <w:r>
        <w:rPr>
          <w:spacing w:val="-7"/>
        </w:rPr>
        <w:t xml:space="preserve"> </w:t>
      </w:r>
      <w:r>
        <w:rPr>
          <w:spacing w:val="-2"/>
        </w:rPr>
        <w:t>information</w:t>
      </w:r>
    </w:p>
    <w:p w14:paraId="51DE98A4" w14:textId="77777777" w:rsidR="0010369C" w:rsidRDefault="0010369C">
      <w:pPr>
        <w:pStyle w:val="BodyText"/>
        <w:rPr>
          <w:b/>
          <w:sz w:val="25"/>
        </w:rPr>
      </w:pPr>
    </w:p>
    <w:p w14:paraId="51DE98A5" w14:textId="77777777" w:rsidR="0010369C" w:rsidRDefault="008E43AE">
      <w:pPr>
        <w:pStyle w:val="ListParagraph"/>
        <w:numPr>
          <w:ilvl w:val="3"/>
          <w:numId w:val="75"/>
        </w:numPr>
        <w:tabs>
          <w:tab w:val="left" w:pos="3642"/>
          <w:tab w:val="left" w:pos="3643"/>
        </w:tabs>
        <w:spacing w:before="0"/>
        <w:ind w:hanging="853"/>
        <w:rPr>
          <w:sz w:val="24"/>
        </w:rPr>
      </w:pPr>
      <w:r>
        <w:rPr>
          <w:sz w:val="24"/>
          <w:u w:val="single"/>
        </w:rPr>
        <w:t>MOFCOM's</w:t>
      </w:r>
      <w:r>
        <w:rPr>
          <w:spacing w:val="-11"/>
          <w:sz w:val="24"/>
          <w:u w:val="single"/>
        </w:rPr>
        <w:t xml:space="preserve"> </w:t>
      </w:r>
      <w:r>
        <w:rPr>
          <w:sz w:val="24"/>
          <w:u w:val="single"/>
        </w:rPr>
        <w:t>calculation</w:t>
      </w:r>
      <w:r>
        <w:rPr>
          <w:spacing w:val="-13"/>
          <w:sz w:val="24"/>
          <w:u w:val="single"/>
        </w:rPr>
        <w:t xml:space="preserve"> </w:t>
      </w:r>
      <w:r>
        <w:rPr>
          <w:sz w:val="24"/>
          <w:u w:val="single"/>
        </w:rPr>
        <w:t>of</w:t>
      </w:r>
      <w:r>
        <w:rPr>
          <w:spacing w:val="-11"/>
          <w:sz w:val="24"/>
          <w:u w:val="single"/>
        </w:rPr>
        <w:t xml:space="preserve"> </w:t>
      </w:r>
      <w:r>
        <w:rPr>
          <w:sz w:val="24"/>
          <w:u w:val="single"/>
        </w:rPr>
        <w:t>total</w:t>
      </w:r>
      <w:r>
        <w:rPr>
          <w:spacing w:val="-12"/>
          <w:sz w:val="24"/>
          <w:u w:val="single"/>
        </w:rPr>
        <w:t xml:space="preserve"> </w:t>
      </w:r>
      <w:r>
        <w:rPr>
          <w:sz w:val="24"/>
          <w:u w:val="single"/>
        </w:rPr>
        <w:t>domestic</w:t>
      </w:r>
      <w:r>
        <w:rPr>
          <w:spacing w:val="-11"/>
          <w:sz w:val="24"/>
          <w:u w:val="single"/>
        </w:rPr>
        <w:t xml:space="preserve"> </w:t>
      </w:r>
      <w:r>
        <w:rPr>
          <w:spacing w:val="-2"/>
          <w:sz w:val="24"/>
          <w:u w:val="single"/>
        </w:rPr>
        <w:t>output</w:t>
      </w:r>
    </w:p>
    <w:p w14:paraId="51DE98A6" w14:textId="77777777" w:rsidR="0010369C" w:rsidRDefault="0010369C">
      <w:pPr>
        <w:pStyle w:val="BodyText"/>
        <w:spacing w:before="10"/>
        <w:rPr>
          <w:sz w:val="20"/>
        </w:rPr>
      </w:pPr>
    </w:p>
    <w:p w14:paraId="51DE98A7" w14:textId="77777777" w:rsidR="0010369C" w:rsidRDefault="008E43AE">
      <w:pPr>
        <w:pStyle w:val="BodyText"/>
        <w:spacing w:before="52" w:line="360" w:lineRule="auto"/>
        <w:ind w:left="238" w:right="611" w:firstLine="850"/>
      </w:pPr>
      <w:r>
        <w:rPr>
          <w:noProof/>
        </w:rPr>
        <w:drawing>
          <wp:anchor distT="0" distB="0" distL="0" distR="0" simplePos="0" relativeHeight="251527680" behindDoc="1" locked="0" layoutInCell="1" allowOverlap="1" wp14:anchorId="51DEA7E9" wp14:editId="51DEA7EA">
            <wp:simplePos x="0" y="0"/>
            <wp:positionH relativeFrom="page">
              <wp:posOffset>902208</wp:posOffset>
            </wp:positionH>
            <wp:positionV relativeFrom="paragraph">
              <wp:posOffset>76785</wp:posOffset>
            </wp:positionV>
            <wp:extent cx="262127" cy="106679"/>
            <wp:effectExtent l="0" t="0" r="0" b="0"/>
            <wp:wrapNone/>
            <wp:docPr id="1827" name="image9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 name="image941.png"/>
                    <pic:cNvPicPr/>
                  </pic:nvPicPr>
                  <pic:blipFill>
                    <a:blip r:embed="rId1218" cstate="print"/>
                    <a:stretch>
                      <a:fillRect/>
                    </a:stretch>
                  </pic:blipFill>
                  <pic:spPr>
                    <a:xfrm>
                      <a:off x="0" y="0"/>
                      <a:ext cx="262127" cy="106679"/>
                    </a:xfrm>
                    <a:prstGeom prst="rect">
                      <a:avLst/>
                    </a:prstGeom>
                  </pic:spPr>
                </pic:pic>
              </a:graphicData>
            </a:graphic>
          </wp:anchor>
        </w:drawing>
      </w:r>
      <w:r>
        <w:t>Despite</w:t>
      </w:r>
      <w:r>
        <w:rPr>
          <w:spacing w:val="-8"/>
        </w:rPr>
        <w:t xml:space="preserve"> </w:t>
      </w:r>
      <w:r>
        <w:t>concerns</w:t>
      </w:r>
      <w:r>
        <w:rPr>
          <w:spacing w:val="-9"/>
        </w:rPr>
        <w:t xml:space="preserve"> </w:t>
      </w:r>
      <w:r>
        <w:t>about</w:t>
      </w:r>
      <w:r>
        <w:rPr>
          <w:spacing w:val="-10"/>
        </w:rPr>
        <w:t xml:space="preserve"> </w:t>
      </w:r>
      <w:r>
        <w:t>the</w:t>
      </w:r>
      <w:r>
        <w:rPr>
          <w:spacing w:val="-8"/>
        </w:rPr>
        <w:t xml:space="preserve"> </w:t>
      </w:r>
      <w:r>
        <w:t>accuracy</w:t>
      </w:r>
      <w:r>
        <w:rPr>
          <w:spacing w:val="-9"/>
        </w:rPr>
        <w:t xml:space="preserve"> </w:t>
      </w:r>
      <w:r>
        <w:t>of</w:t>
      </w:r>
      <w:r>
        <w:rPr>
          <w:spacing w:val="-9"/>
        </w:rPr>
        <w:t xml:space="preserve"> </w:t>
      </w:r>
      <w:r>
        <w:t>the</w:t>
      </w:r>
      <w:r>
        <w:rPr>
          <w:spacing w:val="-8"/>
        </w:rPr>
        <w:t xml:space="preserve"> </w:t>
      </w:r>
      <w:r>
        <w:t>statistics</w:t>
      </w:r>
      <w:r>
        <w:rPr>
          <w:spacing w:val="-9"/>
        </w:rPr>
        <w:t xml:space="preserve"> </w:t>
      </w:r>
      <w:r>
        <w:t>contained</w:t>
      </w:r>
      <w:r>
        <w:rPr>
          <w:spacing w:val="-9"/>
        </w:rPr>
        <w:t xml:space="preserve"> </w:t>
      </w:r>
      <w:r>
        <w:t>in</w:t>
      </w:r>
      <w:r>
        <w:rPr>
          <w:spacing w:val="-9"/>
        </w:rPr>
        <w:t xml:space="preserve"> </w:t>
      </w:r>
      <w:r>
        <w:t>CADA's</w:t>
      </w:r>
      <w:r>
        <w:rPr>
          <w:spacing w:val="-10"/>
        </w:rPr>
        <w:t xml:space="preserve"> </w:t>
      </w:r>
      <w:r>
        <w:t>application raised</w:t>
      </w:r>
      <w:r>
        <w:rPr>
          <w:spacing w:val="-13"/>
        </w:rPr>
        <w:t xml:space="preserve"> </w:t>
      </w:r>
      <w:r>
        <w:t>by</w:t>
      </w:r>
      <w:r>
        <w:rPr>
          <w:spacing w:val="-11"/>
        </w:rPr>
        <w:t xml:space="preserve"> </w:t>
      </w:r>
      <w:r>
        <w:t>interested</w:t>
      </w:r>
      <w:r>
        <w:rPr>
          <w:spacing w:val="-12"/>
        </w:rPr>
        <w:t xml:space="preserve"> </w:t>
      </w:r>
      <w:r>
        <w:t>parties</w:t>
      </w:r>
      <w:r>
        <w:rPr>
          <w:spacing w:val="-12"/>
        </w:rPr>
        <w:t xml:space="preserve"> </w:t>
      </w:r>
      <w:r>
        <w:t>at</w:t>
      </w:r>
      <w:r>
        <w:rPr>
          <w:spacing w:val="-12"/>
        </w:rPr>
        <w:t xml:space="preserve"> </w:t>
      </w:r>
      <w:r>
        <w:t>the</w:t>
      </w:r>
      <w:r>
        <w:rPr>
          <w:spacing w:val="-12"/>
        </w:rPr>
        <w:t xml:space="preserve"> </w:t>
      </w:r>
      <w:r>
        <w:t>start</w:t>
      </w:r>
      <w:r>
        <w:rPr>
          <w:spacing w:val="-11"/>
        </w:rPr>
        <w:t xml:space="preserve"> </w:t>
      </w:r>
      <w:r>
        <w:t>of</w:t>
      </w:r>
      <w:r>
        <w:rPr>
          <w:spacing w:val="-13"/>
        </w:rPr>
        <w:t xml:space="preserve"> </w:t>
      </w:r>
      <w:r>
        <w:t>the</w:t>
      </w:r>
      <w:r>
        <w:rPr>
          <w:spacing w:val="-11"/>
        </w:rPr>
        <w:t xml:space="preserve"> </w:t>
      </w:r>
      <w:r>
        <w:t>investigation,</w:t>
      </w:r>
      <w:r>
        <w:rPr>
          <w:spacing w:val="-11"/>
        </w:rPr>
        <w:t xml:space="preserve"> </w:t>
      </w:r>
      <w:r>
        <w:t>MOFCOM</w:t>
      </w:r>
      <w:r>
        <w:rPr>
          <w:spacing w:val="-11"/>
        </w:rPr>
        <w:t xml:space="preserve"> </w:t>
      </w:r>
      <w:r>
        <w:t>took</w:t>
      </w:r>
      <w:r>
        <w:rPr>
          <w:spacing w:val="-13"/>
        </w:rPr>
        <w:t xml:space="preserve"> </w:t>
      </w:r>
      <w:r>
        <w:t>no</w:t>
      </w:r>
      <w:r>
        <w:rPr>
          <w:spacing w:val="-11"/>
        </w:rPr>
        <w:t xml:space="preserve"> </w:t>
      </w:r>
      <w:r>
        <w:t>steps</w:t>
      </w:r>
      <w:r>
        <w:rPr>
          <w:spacing w:val="-11"/>
        </w:rPr>
        <w:t xml:space="preserve"> </w:t>
      </w:r>
      <w:r>
        <w:t>to</w:t>
      </w:r>
      <w:r>
        <w:rPr>
          <w:spacing w:val="-12"/>
        </w:rPr>
        <w:t xml:space="preserve"> </w:t>
      </w:r>
      <w:r>
        <w:rPr>
          <w:spacing w:val="-2"/>
        </w:rPr>
        <w:t>satisfy</w:t>
      </w:r>
    </w:p>
    <w:p w14:paraId="51DE98A8" w14:textId="77777777" w:rsidR="0010369C" w:rsidRDefault="008E43AE">
      <w:pPr>
        <w:pStyle w:val="BodyText"/>
        <w:spacing w:before="5"/>
        <w:rPr>
          <w:sz w:val="16"/>
        </w:rPr>
      </w:pPr>
      <w:r>
        <w:pict w14:anchorId="51DEA7EB">
          <v:rect id="docshape1357" o:spid="_x0000_s1114" style="position:absolute;margin-left:70.9pt;margin-top:11.25pt;width:2in;height:.8pt;z-index:-250708480;mso-wrap-distance-left:0;mso-wrap-distance-right:0;mso-position-horizontal-relative:page" fillcolor="black" stroked="f">
            <w10:wrap type="topAndBottom" anchorx="page"/>
          </v:rect>
        </w:pict>
      </w:r>
    </w:p>
    <w:p w14:paraId="51DE98A9" w14:textId="77777777" w:rsidR="0010369C" w:rsidRDefault="008E43AE">
      <w:pPr>
        <w:spacing w:before="109"/>
        <w:ind w:left="236" w:right="614" w:firstLine="1"/>
        <w:rPr>
          <w:sz w:val="18"/>
        </w:rPr>
      </w:pPr>
      <w:r>
        <w:rPr>
          <w:sz w:val="18"/>
          <w:vertAlign w:val="superscript"/>
        </w:rPr>
        <w:t>1097</w:t>
      </w:r>
      <w:r>
        <w:rPr>
          <w:sz w:val="18"/>
        </w:rPr>
        <w:t xml:space="preserve"> Panel</w:t>
      </w:r>
      <w:r>
        <w:rPr>
          <w:spacing w:val="-1"/>
          <w:sz w:val="18"/>
        </w:rPr>
        <w:t xml:space="preserve"> </w:t>
      </w:r>
      <w:r>
        <w:rPr>
          <w:sz w:val="18"/>
        </w:rPr>
        <w:t xml:space="preserve">Reports, </w:t>
      </w:r>
      <w:r>
        <w:rPr>
          <w:i/>
          <w:sz w:val="18"/>
        </w:rPr>
        <w:t>EC</w:t>
      </w:r>
      <w:r>
        <w:rPr>
          <w:i/>
          <w:spacing w:val="-1"/>
          <w:sz w:val="18"/>
        </w:rPr>
        <w:t xml:space="preserve"> </w:t>
      </w:r>
      <w:r>
        <w:rPr>
          <w:i/>
          <w:sz w:val="18"/>
        </w:rPr>
        <w:t>– Fasteners (China) (Article 21.5 – China)</w:t>
      </w:r>
      <w:r>
        <w:rPr>
          <w:sz w:val="18"/>
        </w:rPr>
        <w:t xml:space="preserve">, para. 7.191; </w:t>
      </w:r>
      <w:r>
        <w:rPr>
          <w:i/>
          <w:sz w:val="18"/>
        </w:rPr>
        <w:t>US – DRAMS</w:t>
      </w:r>
      <w:r>
        <w:rPr>
          <w:sz w:val="18"/>
        </w:rPr>
        <w:t>,</w:t>
      </w:r>
      <w:r>
        <w:rPr>
          <w:spacing w:val="-1"/>
          <w:sz w:val="18"/>
        </w:rPr>
        <w:t xml:space="preserve"> </w:t>
      </w:r>
      <w:r>
        <w:rPr>
          <w:sz w:val="18"/>
        </w:rPr>
        <w:t xml:space="preserve">para. 6.78 and </w:t>
      </w:r>
      <w:r>
        <w:rPr>
          <w:i/>
          <w:sz w:val="18"/>
        </w:rPr>
        <w:t>US – Steel</w:t>
      </w:r>
      <w:r>
        <w:rPr>
          <w:i/>
          <w:spacing w:val="-1"/>
          <w:sz w:val="18"/>
        </w:rPr>
        <w:t xml:space="preserve"> </w:t>
      </w:r>
      <w:r>
        <w:rPr>
          <w:i/>
          <w:sz w:val="18"/>
        </w:rPr>
        <w:t>Plate</w:t>
      </w:r>
      <w:r>
        <w:rPr>
          <w:sz w:val="18"/>
        </w:rPr>
        <w:t>,</w:t>
      </w:r>
      <w:r>
        <w:rPr>
          <w:spacing w:val="-1"/>
          <w:sz w:val="18"/>
        </w:rPr>
        <w:t xml:space="preserve"> </w:t>
      </w:r>
      <w:r>
        <w:rPr>
          <w:sz w:val="18"/>
        </w:rPr>
        <w:t xml:space="preserve">fn </w:t>
      </w:r>
      <w:r>
        <w:rPr>
          <w:spacing w:val="-4"/>
          <w:sz w:val="18"/>
        </w:rPr>
        <w:t>67.</w:t>
      </w:r>
    </w:p>
    <w:p w14:paraId="51DE98AA" w14:textId="77777777" w:rsidR="0010369C" w:rsidRDefault="008E43AE">
      <w:pPr>
        <w:spacing w:before="1"/>
        <w:ind w:left="239" w:right="611" w:hanging="1"/>
        <w:rPr>
          <w:sz w:val="18"/>
        </w:rPr>
      </w:pPr>
      <w:r>
        <w:rPr>
          <w:sz w:val="18"/>
          <w:vertAlign w:val="superscript"/>
        </w:rPr>
        <w:t>1098</w:t>
      </w:r>
      <w:r>
        <w:rPr>
          <w:spacing w:val="-2"/>
          <w:sz w:val="18"/>
        </w:rPr>
        <w:t xml:space="preserve"> </w:t>
      </w:r>
      <w:r>
        <w:rPr>
          <w:sz w:val="18"/>
        </w:rPr>
        <w:t>Panel</w:t>
      </w:r>
      <w:r>
        <w:rPr>
          <w:spacing w:val="-3"/>
          <w:sz w:val="18"/>
        </w:rPr>
        <w:t xml:space="preserve"> </w:t>
      </w:r>
      <w:r>
        <w:rPr>
          <w:sz w:val="18"/>
        </w:rPr>
        <w:t>Reports,</w:t>
      </w:r>
      <w:r>
        <w:rPr>
          <w:spacing w:val="-3"/>
          <w:sz w:val="18"/>
        </w:rPr>
        <w:t xml:space="preserve"> </w:t>
      </w:r>
      <w:r>
        <w:rPr>
          <w:i/>
          <w:sz w:val="18"/>
        </w:rPr>
        <w:t>EC</w:t>
      </w:r>
      <w:r>
        <w:rPr>
          <w:i/>
          <w:spacing w:val="-3"/>
          <w:sz w:val="18"/>
        </w:rPr>
        <w:t xml:space="preserve"> </w:t>
      </w:r>
      <w:r>
        <w:rPr>
          <w:i/>
          <w:sz w:val="18"/>
        </w:rPr>
        <w:t>–</w:t>
      </w:r>
      <w:r>
        <w:rPr>
          <w:i/>
          <w:spacing w:val="-2"/>
          <w:sz w:val="18"/>
        </w:rPr>
        <w:t xml:space="preserve"> </w:t>
      </w:r>
      <w:r>
        <w:rPr>
          <w:i/>
          <w:sz w:val="18"/>
        </w:rPr>
        <w:t>Fasteners</w:t>
      </w:r>
      <w:r>
        <w:rPr>
          <w:i/>
          <w:spacing w:val="-3"/>
          <w:sz w:val="18"/>
        </w:rPr>
        <w:t xml:space="preserve"> </w:t>
      </w:r>
      <w:r>
        <w:rPr>
          <w:i/>
          <w:sz w:val="18"/>
        </w:rPr>
        <w:t>(China)</w:t>
      </w:r>
      <w:r>
        <w:rPr>
          <w:i/>
          <w:spacing w:val="-2"/>
          <w:sz w:val="18"/>
        </w:rPr>
        <w:t xml:space="preserve"> </w:t>
      </w:r>
      <w:r>
        <w:rPr>
          <w:i/>
          <w:sz w:val="18"/>
        </w:rPr>
        <w:t>(Article</w:t>
      </w:r>
      <w:r>
        <w:rPr>
          <w:i/>
          <w:spacing w:val="-2"/>
          <w:sz w:val="18"/>
        </w:rPr>
        <w:t xml:space="preserve"> </w:t>
      </w:r>
      <w:r>
        <w:rPr>
          <w:i/>
          <w:sz w:val="18"/>
        </w:rPr>
        <w:t>21.5</w:t>
      </w:r>
      <w:r>
        <w:rPr>
          <w:i/>
          <w:spacing w:val="-2"/>
          <w:sz w:val="18"/>
        </w:rPr>
        <w:t xml:space="preserve"> </w:t>
      </w:r>
      <w:r>
        <w:rPr>
          <w:i/>
          <w:sz w:val="18"/>
        </w:rPr>
        <w:t>–</w:t>
      </w:r>
      <w:r>
        <w:rPr>
          <w:i/>
          <w:spacing w:val="-2"/>
          <w:sz w:val="18"/>
        </w:rPr>
        <w:t xml:space="preserve"> </w:t>
      </w:r>
      <w:r>
        <w:rPr>
          <w:i/>
          <w:sz w:val="18"/>
        </w:rPr>
        <w:t>China)</w:t>
      </w:r>
      <w:r>
        <w:rPr>
          <w:sz w:val="18"/>
        </w:rPr>
        <w:t>,</w:t>
      </w:r>
      <w:r>
        <w:rPr>
          <w:spacing w:val="-3"/>
          <w:sz w:val="18"/>
        </w:rPr>
        <w:t xml:space="preserve"> </w:t>
      </w:r>
      <w:r>
        <w:rPr>
          <w:sz w:val="18"/>
        </w:rPr>
        <w:t>para.</w:t>
      </w:r>
      <w:r>
        <w:rPr>
          <w:spacing w:val="-2"/>
          <w:sz w:val="18"/>
        </w:rPr>
        <w:t xml:space="preserve"> </w:t>
      </w:r>
      <w:r>
        <w:rPr>
          <w:sz w:val="18"/>
        </w:rPr>
        <w:t>7.191;</w:t>
      </w:r>
      <w:r>
        <w:rPr>
          <w:spacing w:val="-3"/>
          <w:sz w:val="18"/>
        </w:rPr>
        <w:t xml:space="preserve"> </w:t>
      </w:r>
      <w:r>
        <w:rPr>
          <w:i/>
          <w:sz w:val="18"/>
        </w:rPr>
        <w:t>US</w:t>
      </w:r>
      <w:r>
        <w:rPr>
          <w:i/>
          <w:spacing w:val="-3"/>
          <w:sz w:val="18"/>
        </w:rPr>
        <w:t xml:space="preserve"> </w:t>
      </w:r>
      <w:r>
        <w:rPr>
          <w:i/>
          <w:sz w:val="18"/>
        </w:rPr>
        <w:t>–</w:t>
      </w:r>
      <w:r>
        <w:rPr>
          <w:i/>
          <w:spacing w:val="-2"/>
          <w:sz w:val="18"/>
        </w:rPr>
        <w:t xml:space="preserve"> </w:t>
      </w:r>
      <w:r>
        <w:rPr>
          <w:i/>
          <w:sz w:val="18"/>
        </w:rPr>
        <w:t>DRAMS</w:t>
      </w:r>
      <w:r>
        <w:rPr>
          <w:sz w:val="18"/>
        </w:rPr>
        <w:t>,</w:t>
      </w:r>
      <w:r>
        <w:rPr>
          <w:spacing w:val="-3"/>
          <w:sz w:val="18"/>
        </w:rPr>
        <w:t xml:space="preserve"> </w:t>
      </w:r>
      <w:r>
        <w:rPr>
          <w:sz w:val="18"/>
        </w:rPr>
        <w:t>para.</w:t>
      </w:r>
      <w:r>
        <w:rPr>
          <w:spacing w:val="-2"/>
          <w:sz w:val="18"/>
        </w:rPr>
        <w:t xml:space="preserve"> </w:t>
      </w:r>
      <w:r>
        <w:rPr>
          <w:sz w:val="18"/>
        </w:rPr>
        <w:t>6.78;</w:t>
      </w:r>
      <w:r>
        <w:rPr>
          <w:spacing w:val="-3"/>
          <w:sz w:val="18"/>
        </w:rPr>
        <w:t xml:space="preserve"> </w:t>
      </w:r>
      <w:r>
        <w:rPr>
          <w:sz w:val="18"/>
        </w:rPr>
        <w:t>and</w:t>
      </w:r>
      <w:r>
        <w:rPr>
          <w:spacing w:val="-2"/>
          <w:sz w:val="18"/>
        </w:rPr>
        <w:t xml:space="preserve"> </w:t>
      </w:r>
      <w:r>
        <w:rPr>
          <w:i/>
          <w:sz w:val="18"/>
        </w:rPr>
        <w:t>US</w:t>
      </w:r>
      <w:r>
        <w:rPr>
          <w:i/>
          <w:spacing w:val="-3"/>
          <w:sz w:val="18"/>
        </w:rPr>
        <w:t xml:space="preserve"> </w:t>
      </w:r>
      <w:r>
        <w:rPr>
          <w:i/>
          <w:sz w:val="18"/>
        </w:rPr>
        <w:t>–</w:t>
      </w:r>
      <w:r>
        <w:rPr>
          <w:i/>
          <w:spacing w:val="-3"/>
          <w:sz w:val="18"/>
        </w:rPr>
        <w:t xml:space="preserve"> </w:t>
      </w:r>
      <w:r>
        <w:rPr>
          <w:i/>
          <w:sz w:val="18"/>
        </w:rPr>
        <w:t>Steel</w:t>
      </w:r>
      <w:r>
        <w:rPr>
          <w:i/>
          <w:spacing w:val="-4"/>
          <w:sz w:val="18"/>
        </w:rPr>
        <w:t xml:space="preserve"> </w:t>
      </w:r>
      <w:r>
        <w:rPr>
          <w:i/>
          <w:sz w:val="18"/>
        </w:rPr>
        <w:t>Plate</w:t>
      </w:r>
      <w:r>
        <w:rPr>
          <w:sz w:val="18"/>
        </w:rPr>
        <w:t>,</w:t>
      </w:r>
      <w:r>
        <w:rPr>
          <w:spacing w:val="-3"/>
          <w:sz w:val="18"/>
        </w:rPr>
        <w:t xml:space="preserve"> </w:t>
      </w:r>
      <w:r>
        <w:rPr>
          <w:sz w:val="18"/>
        </w:rPr>
        <w:t xml:space="preserve">fn </w:t>
      </w:r>
      <w:r>
        <w:rPr>
          <w:spacing w:val="-4"/>
          <w:sz w:val="18"/>
        </w:rPr>
        <w:t>67.</w:t>
      </w:r>
    </w:p>
    <w:p w14:paraId="51DE98AB" w14:textId="77777777" w:rsidR="0010369C" w:rsidRDefault="008E43AE">
      <w:pPr>
        <w:spacing w:line="219" w:lineRule="exact"/>
        <w:ind w:left="238"/>
        <w:rPr>
          <w:sz w:val="18"/>
        </w:rPr>
      </w:pPr>
      <w:r>
        <w:rPr>
          <w:sz w:val="18"/>
          <w:vertAlign w:val="superscript"/>
        </w:rPr>
        <w:t>1099</w:t>
      </w:r>
      <w:r>
        <w:rPr>
          <w:spacing w:val="-7"/>
          <w:sz w:val="18"/>
        </w:rPr>
        <w:t xml:space="preserve"> </w:t>
      </w:r>
      <w:r>
        <w:rPr>
          <w:sz w:val="18"/>
        </w:rPr>
        <w:t>Panel</w:t>
      </w:r>
      <w:r>
        <w:rPr>
          <w:spacing w:val="-8"/>
          <w:sz w:val="18"/>
        </w:rPr>
        <w:t xml:space="preserve"> </w:t>
      </w:r>
      <w:r>
        <w:rPr>
          <w:sz w:val="18"/>
        </w:rPr>
        <w:t>Report,</w:t>
      </w:r>
      <w:r>
        <w:rPr>
          <w:spacing w:val="-6"/>
          <w:sz w:val="18"/>
        </w:rPr>
        <w:t xml:space="preserve"> </w:t>
      </w:r>
      <w:r>
        <w:rPr>
          <w:i/>
          <w:sz w:val="18"/>
        </w:rPr>
        <w:t>Argentina</w:t>
      </w:r>
      <w:r>
        <w:rPr>
          <w:i/>
          <w:spacing w:val="-8"/>
          <w:sz w:val="18"/>
        </w:rPr>
        <w:t xml:space="preserve"> </w:t>
      </w:r>
      <w:r>
        <w:rPr>
          <w:i/>
          <w:sz w:val="18"/>
        </w:rPr>
        <w:t>–</w:t>
      </w:r>
      <w:r>
        <w:rPr>
          <w:i/>
          <w:spacing w:val="-6"/>
          <w:sz w:val="18"/>
        </w:rPr>
        <w:t xml:space="preserve"> </w:t>
      </w:r>
      <w:r>
        <w:rPr>
          <w:i/>
          <w:sz w:val="18"/>
        </w:rPr>
        <w:t>Ceramic</w:t>
      </w:r>
      <w:r>
        <w:rPr>
          <w:i/>
          <w:spacing w:val="-7"/>
          <w:sz w:val="18"/>
        </w:rPr>
        <w:t xml:space="preserve"> </w:t>
      </w:r>
      <w:r>
        <w:rPr>
          <w:i/>
          <w:sz w:val="18"/>
        </w:rPr>
        <w:t>Tiles</w:t>
      </w:r>
      <w:r>
        <w:rPr>
          <w:sz w:val="18"/>
        </w:rPr>
        <w:t>,</w:t>
      </w:r>
      <w:r>
        <w:rPr>
          <w:spacing w:val="-7"/>
          <w:sz w:val="18"/>
        </w:rPr>
        <w:t xml:space="preserve"> </w:t>
      </w:r>
      <w:r>
        <w:rPr>
          <w:sz w:val="18"/>
        </w:rPr>
        <w:t>para.</w:t>
      </w:r>
      <w:r>
        <w:rPr>
          <w:spacing w:val="-7"/>
          <w:sz w:val="18"/>
        </w:rPr>
        <w:t xml:space="preserve"> </w:t>
      </w:r>
      <w:r>
        <w:rPr>
          <w:spacing w:val="-2"/>
          <w:sz w:val="18"/>
        </w:rPr>
        <w:t>6.57.</w:t>
      </w:r>
    </w:p>
    <w:p w14:paraId="51DE98AC" w14:textId="77777777" w:rsidR="0010369C" w:rsidRDefault="0010369C">
      <w:pPr>
        <w:spacing w:line="219" w:lineRule="exact"/>
        <w:rPr>
          <w:sz w:val="18"/>
        </w:rPr>
        <w:sectPr w:rsidR="0010369C">
          <w:headerReference w:type="default" r:id="rId1219"/>
          <w:footerReference w:type="default" r:id="rId1220"/>
          <w:pgSz w:w="11910" w:h="16840"/>
          <w:pgMar w:top="880" w:right="800" w:bottom="980" w:left="1180" w:header="569" w:footer="788" w:gutter="0"/>
          <w:cols w:space="720"/>
        </w:sectPr>
      </w:pPr>
    </w:p>
    <w:p w14:paraId="51DE98AD" w14:textId="77777777" w:rsidR="0010369C" w:rsidRDefault="008E43AE">
      <w:pPr>
        <w:tabs>
          <w:tab w:val="left" w:pos="6426"/>
        </w:tabs>
        <w:ind w:left="238"/>
        <w:jc w:val="both"/>
        <w:rPr>
          <w:sz w:val="20"/>
        </w:rPr>
      </w:pPr>
      <w:r>
        <w:rPr>
          <w:i/>
          <w:sz w:val="20"/>
        </w:rPr>
        <w:lastRenderedPageBreak/>
        <w:t>China</w:t>
      </w:r>
      <w:r>
        <w:rPr>
          <w:i/>
          <w:spacing w:val="-5"/>
          <w:sz w:val="20"/>
        </w:rPr>
        <w:t xml:space="preserve"> </w:t>
      </w:r>
      <w:r>
        <w:rPr>
          <w:i/>
          <w:sz w:val="20"/>
        </w:rPr>
        <w:t>–</w:t>
      </w:r>
      <w:r>
        <w:rPr>
          <w:i/>
          <w:spacing w:val="-5"/>
          <w:sz w:val="20"/>
        </w:rPr>
        <w:t xml:space="preserve"> </w:t>
      </w:r>
      <w:r>
        <w:rPr>
          <w:i/>
          <w:sz w:val="20"/>
        </w:rPr>
        <w:t>Anti‐Dumping</w:t>
      </w:r>
      <w:r>
        <w:rPr>
          <w:i/>
          <w:spacing w:val="-4"/>
          <w:sz w:val="20"/>
        </w:rPr>
        <w:t xml:space="preserve"> </w:t>
      </w:r>
      <w:r>
        <w:rPr>
          <w:i/>
          <w:sz w:val="20"/>
        </w:rPr>
        <w:t>and</w:t>
      </w:r>
      <w:r>
        <w:rPr>
          <w:i/>
          <w:spacing w:val="-5"/>
          <w:sz w:val="20"/>
        </w:rPr>
        <w:t xml:space="preserve"> </w:t>
      </w:r>
      <w:r>
        <w:rPr>
          <w:i/>
          <w:sz w:val="20"/>
        </w:rPr>
        <w:t>Countervailing</w:t>
      </w:r>
      <w:r>
        <w:rPr>
          <w:i/>
          <w:spacing w:val="-5"/>
          <w:sz w:val="20"/>
        </w:rPr>
        <w:t xml:space="preserve"> </w:t>
      </w:r>
      <w:r>
        <w:rPr>
          <w:i/>
          <w:sz w:val="20"/>
        </w:rPr>
        <w:t>Duty</w:t>
      </w:r>
      <w:r>
        <w:rPr>
          <w:i/>
          <w:spacing w:val="-4"/>
          <w:sz w:val="20"/>
        </w:rPr>
        <w:t xml:space="preserve"> </w:t>
      </w:r>
      <w:r>
        <w:rPr>
          <w:i/>
          <w:spacing w:val="-2"/>
          <w:sz w:val="20"/>
        </w:rPr>
        <w:t>Measures</w:t>
      </w:r>
      <w:r>
        <w:rPr>
          <w:i/>
          <w:sz w:val="20"/>
        </w:rPr>
        <w:tab/>
      </w:r>
      <w:r>
        <w:rPr>
          <w:sz w:val="20"/>
        </w:rPr>
        <w:t>Australia's</w:t>
      </w:r>
      <w:r>
        <w:rPr>
          <w:spacing w:val="-7"/>
          <w:sz w:val="20"/>
        </w:rPr>
        <w:t xml:space="preserve"> </w:t>
      </w:r>
      <w:r>
        <w:rPr>
          <w:sz w:val="20"/>
        </w:rPr>
        <w:t>First</w:t>
      </w:r>
      <w:r>
        <w:rPr>
          <w:spacing w:val="-2"/>
          <w:sz w:val="20"/>
        </w:rPr>
        <w:t xml:space="preserve"> </w:t>
      </w:r>
      <w:r>
        <w:rPr>
          <w:sz w:val="20"/>
        </w:rPr>
        <w:t>Written</w:t>
      </w:r>
      <w:r>
        <w:rPr>
          <w:spacing w:val="-2"/>
          <w:sz w:val="20"/>
        </w:rPr>
        <w:t xml:space="preserve"> Submission</w:t>
      </w:r>
    </w:p>
    <w:p w14:paraId="51DE98AE" w14:textId="77777777" w:rsidR="0010369C" w:rsidRDefault="008E43AE">
      <w:pPr>
        <w:tabs>
          <w:tab w:val="left" w:pos="8228"/>
        </w:tabs>
        <w:spacing w:before="1"/>
        <w:ind w:left="239"/>
        <w:jc w:val="both"/>
        <w:rPr>
          <w:sz w:val="20"/>
        </w:rPr>
      </w:pPr>
      <w:r>
        <w:rPr>
          <w:i/>
          <w:sz w:val="20"/>
        </w:rPr>
        <w:t>on</w:t>
      </w:r>
      <w:r>
        <w:rPr>
          <w:i/>
          <w:spacing w:val="-1"/>
          <w:sz w:val="20"/>
        </w:rPr>
        <w:t xml:space="preserve"> </w:t>
      </w:r>
      <w:r>
        <w:rPr>
          <w:i/>
          <w:sz w:val="20"/>
        </w:rPr>
        <w:t>Wine</w:t>
      </w:r>
      <w:r>
        <w:rPr>
          <w:i/>
          <w:spacing w:val="-1"/>
          <w:sz w:val="20"/>
        </w:rPr>
        <w:t xml:space="preserve"> </w:t>
      </w:r>
      <w:r>
        <w:rPr>
          <w:i/>
          <w:sz w:val="20"/>
        </w:rPr>
        <w:t>from</w:t>
      </w:r>
      <w:r>
        <w:rPr>
          <w:i/>
          <w:spacing w:val="-3"/>
          <w:sz w:val="20"/>
        </w:rPr>
        <w:t xml:space="preserve"> </w:t>
      </w:r>
      <w:r>
        <w:rPr>
          <w:i/>
          <w:sz w:val="20"/>
        </w:rPr>
        <w:t>Australia</w:t>
      </w:r>
      <w:r>
        <w:rPr>
          <w:i/>
          <w:spacing w:val="-1"/>
          <w:sz w:val="20"/>
        </w:rPr>
        <w:t xml:space="preserve"> </w:t>
      </w:r>
      <w:r>
        <w:rPr>
          <w:spacing w:val="-2"/>
          <w:sz w:val="20"/>
        </w:rPr>
        <w:t>(DS602)</w:t>
      </w:r>
      <w:r>
        <w:rPr>
          <w:sz w:val="20"/>
        </w:rPr>
        <w:tab/>
        <w:t>29</w:t>
      </w:r>
      <w:r>
        <w:rPr>
          <w:spacing w:val="-1"/>
          <w:sz w:val="20"/>
        </w:rPr>
        <w:t xml:space="preserve"> </w:t>
      </w:r>
      <w:r>
        <w:rPr>
          <w:sz w:val="20"/>
        </w:rPr>
        <w:t>April</w:t>
      </w:r>
      <w:r>
        <w:rPr>
          <w:spacing w:val="-2"/>
          <w:sz w:val="20"/>
        </w:rPr>
        <w:t xml:space="preserve"> </w:t>
      </w:r>
      <w:r>
        <w:rPr>
          <w:spacing w:val="-4"/>
          <w:sz w:val="20"/>
        </w:rPr>
        <w:t>2022</w:t>
      </w:r>
    </w:p>
    <w:p w14:paraId="51DE98AF" w14:textId="77777777" w:rsidR="0010369C" w:rsidRDefault="008E43AE">
      <w:pPr>
        <w:pStyle w:val="BodyText"/>
        <w:spacing w:before="34" w:line="360" w:lineRule="auto"/>
        <w:ind w:left="237" w:right="613"/>
        <w:jc w:val="both"/>
      </w:pPr>
      <w:r>
        <w:t>itself of the accuracy of the information prior to the initiation of the investigation.</w:t>
      </w:r>
      <w:r>
        <w:rPr>
          <w:vertAlign w:val="superscript"/>
        </w:rPr>
        <w:t>1100</w:t>
      </w:r>
      <w:r>
        <w:t xml:space="preserve"> Following</w:t>
      </w:r>
      <w:r>
        <w:rPr>
          <w:spacing w:val="-5"/>
        </w:rPr>
        <w:t xml:space="preserve"> </w:t>
      </w:r>
      <w:r>
        <w:t>initiation,</w:t>
      </w:r>
      <w:r>
        <w:rPr>
          <w:spacing w:val="-5"/>
        </w:rPr>
        <w:t xml:space="preserve"> </w:t>
      </w:r>
      <w:r>
        <w:t>MOFCOM</w:t>
      </w:r>
      <w:r>
        <w:rPr>
          <w:spacing w:val="-6"/>
        </w:rPr>
        <w:t xml:space="preserve"> </w:t>
      </w:r>
      <w:r>
        <w:t>sought</w:t>
      </w:r>
      <w:r>
        <w:rPr>
          <w:spacing w:val="-6"/>
        </w:rPr>
        <w:t xml:space="preserve"> </w:t>
      </w:r>
      <w:r>
        <w:t>to</w:t>
      </w:r>
      <w:r>
        <w:rPr>
          <w:spacing w:val="-6"/>
        </w:rPr>
        <w:t xml:space="preserve"> </w:t>
      </w:r>
      <w:r>
        <w:t>verify</w:t>
      </w:r>
      <w:r>
        <w:rPr>
          <w:spacing w:val="-6"/>
        </w:rPr>
        <w:t xml:space="preserve"> </w:t>
      </w:r>
      <w:r>
        <w:t>the</w:t>
      </w:r>
      <w:r>
        <w:rPr>
          <w:spacing w:val="-5"/>
        </w:rPr>
        <w:t xml:space="preserve"> </w:t>
      </w:r>
      <w:r>
        <w:t>accuracy</w:t>
      </w:r>
      <w:r>
        <w:rPr>
          <w:spacing w:val="-5"/>
        </w:rPr>
        <w:t xml:space="preserve"> </w:t>
      </w:r>
      <w:r>
        <w:t>of</w:t>
      </w:r>
      <w:r>
        <w:rPr>
          <w:spacing w:val="-6"/>
        </w:rPr>
        <w:t xml:space="preserve"> </w:t>
      </w:r>
      <w:r>
        <w:t>the</w:t>
      </w:r>
      <w:r>
        <w:rPr>
          <w:spacing w:val="-5"/>
        </w:rPr>
        <w:t xml:space="preserve"> </w:t>
      </w:r>
      <w:r>
        <w:t>statistics</w:t>
      </w:r>
      <w:r>
        <w:rPr>
          <w:spacing w:val="-6"/>
        </w:rPr>
        <w:t xml:space="preserve"> </w:t>
      </w:r>
      <w:r>
        <w:t>on</w:t>
      </w:r>
      <w:r>
        <w:rPr>
          <w:spacing w:val="-6"/>
        </w:rPr>
        <w:t xml:space="preserve"> </w:t>
      </w:r>
      <w:r>
        <w:t>overall</w:t>
      </w:r>
      <w:r>
        <w:rPr>
          <w:spacing w:val="-6"/>
        </w:rPr>
        <w:t xml:space="preserve"> </w:t>
      </w:r>
      <w:r>
        <w:t>output of</w:t>
      </w:r>
      <w:r>
        <w:rPr>
          <w:spacing w:val="-2"/>
        </w:rPr>
        <w:t xml:space="preserve"> </w:t>
      </w:r>
      <w:r>
        <w:t>Chinese</w:t>
      </w:r>
      <w:r>
        <w:rPr>
          <w:spacing w:val="-2"/>
        </w:rPr>
        <w:t xml:space="preserve"> </w:t>
      </w:r>
      <w:r>
        <w:t>wines</w:t>
      </w:r>
      <w:r>
        <w:rPr>
          <w:spacing w:val="-2"/>
        </w:rPr>
        <w:t xml:space="preserve"> </w:t>
      </w:r>
      <w:r>
        <w:t>for</w:t>
      </w:r>
      <w:r>
        <w:rPr>
          <w:spacing w:val="-1"/>
        </w:rPr>
        <w:t xml:space="preserve"> </w:t>
      </w:r>
      <w:r>
        <w:t>the</w:t>
      </w:r>
      <w:r>
        <w:rPr>
          <w:spacing w:val="-1"/>
        </w:rPr>
        <w:t xml:space="preserve"> </w:t>
      </w:r>
      <w:r>
        <w:t>purpose</w:t>
      </w:r>
      <w:r>
        <w:rPr>
          <w:spacing w:val="-1"/>
        </w:rPr>
        <w:t xml:space="preserve"> </w:t>
      </w:r>
      <w:r>
        <w:t>of</w:t>
      </w:r>
      <w:r>
        <w:rPr>
          <w:spacing w:val="-2"/>
        </w:rPr>
        <w:t xml:space="preserve"> </w:t>
      </w:r>
      <w:r>
        <w:t>determining</w:t>
      </w:r>
      <w:r>
        <w:rPr>
          <w:spacing w:val="-1"/>
        </w:rPr>
        <w:t xml:space="preserve"> </w:t>
      </w:r>
      <w:r>
        <w:t>the</w:t>
      </w:r>
      <w:r>
        <w:rPr>
          <w:spacing w:val="-1"/>
        </w:rPr>
        <w:t xml:space="preserve"> </w:t>
      </w:r>
      <w:r>
        <w:t>domestic industry</w:t>
      </w:r>
      <w:r>
        <w:t>. It</w:t>
      </w:r>
      <w:r>
        <w:rPr>
          <w:spacing w:val="-2"/>
        </w:rPr>
        <w:t xml:space="preserve"> </w:t>
      </w:r>
      <w:r>
        <w:t>concluded</w:t>
      </w:r>
      <w:r>
        <w:rPr>
          <w:spacing w:val="-3"/>
        </w:rPr>
        <w:t xml:space="preserve"> </w:t>
      </w:r>
      <w:r>
        <w:t>that</w:t>
      </w:r>
      <w:r>
        <w:rPr>
          <w:spacing w:val="-2"/>
        </w:rPr>
        <w:t xml:space="preserve"> </w:t>
      </w:r>
      <w:r>
        <w:t>the statistics were inflated by the inclusion of a range of products outside the scope of the investigation request, and that it was unable to rely upon them.</w:t>
      </w:r>
      <w:r>
        <w:rPr>
          <w:vertAlign w:val="superscript"/>
        </w:rPr>
        <w:t>1101</w:t>
      </w:r>
    </w:p>
    <w:p w14:paraId="51DE98B0" w14:textId="77777777" w:rsidR="0010369C" w:rsidRDefault="0010369C">
      <w:pPr>
        <w:pStyle w:val="BodyText"/>
        <w:spacing w:before="11"/>
        <w:rPr>
          <w:sz w:val="8"/>
        </w:rPr>
      </w:pPr>
    </w:p>
    <w:p w14:paraId="51DE98B1" w14:textId="77777777" w:rsidR="0010369C" w:rsidRDefault="008E43AE">
      <w:pPr>
        <w:pStyle w:val="BodyText"/>
        <w:spacing w:before="51" w:line="360" w:lineRule="auto"/>
        <w:ind w:left="237" w:right="614" w:firstLine="851"/>
        <w:jc w:val="both"/>
      </w:pPr>
      <w:r>
        <w:rPr>
          <w:noProof/>
        </w:rPr>
        <w:drawing>
          <wp:anchor distT="0" distB="0" distL="0" distR="0" simplePos="0" relativeHeight="251528704" behindDoc="1" locked="0" layoutInCell="1" allowOverlap="1" wp14:anchorId="51DEA7EC" wp14:editId="51DEA7ED">
            <wp:simplePos x="0" y="0"/>
            <wp:positionH relativeFrom="page">
              <wp:posOffset>902208</wp:posOffset>
            </wp:positionH>
            <wp:positionV relativeFrom="paragraph">
              <wp:posOffset>79960</wp:posOffset>
            </wp:positionV>
            <wp:extent cx="262127" cy="103631"/>
            <wp:effectExtent l="0" t="0" r="0" b="0"/>
            <wp:wrapNone/>
            <wp:docPr id="1829" name="image9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 name="image942.png"/>
                    <pic:cNvPicPr/>
                  </pic:nvPicPr>
                  <pic:blipFill>
                    <a:blip r:embed="rId1221" cstate="print"/>
                    <a:stretch>
                      <a:fillRect/>
                    </a:stretch>
                  </pic:blipFill>
                  <pic:spPr>
                    <a:xfrm>
                      <a:off x="0" y="0"/>
                      <a:ext cx="262127" cy="103631"/>
                    </a:xfrm>
                    <a:prstGeom prst="rect">
                      <a:avLst/>
                    </a:prstGeom>
                  </pic:spPr>
                </pic:pic>
              </a:graphicData>
            </a:graphic>
          </wp:anchor>
        </w:drawing>
      </w:r>
      <w:r>
        <w:t>MOFCOM chose instead to try to estimate the overall domestic output of Chinese wine</w:t>
      </w:r>
      <w:r>
        <w:rPr>
          <w:spacing w:val="-12"/>
        </w:rPr>
        <w:t xml:space="preserve"> </w:t>
      </w:r>
      <w:r>
        <w:t>by</w:t>
      </w:r>
      <w:r>
        <w:rPr>
          <w:spacing w:val="-12"/>
        </w:rPr>
        <w:t xml:space="preserve"> </w:t>
      </w:r>
      <w:r>
        <w:t>extrapolating</w:t>
      </w:r>
      <w:r>
        <w:rPr>
          <w:spacing w:val="-14"/>
        </w:rPr>
        <w:t xml:space="preserve"> </w:t>
      </w:r>
      <w:r>
        <w:t>it</w:t>
      </w:r>
      <w:r>
        <w:rPr>
          <w:spacing w:val="-11"/>
        </w:rPr>
        <w:t xml:space="preserve"> </w:t>
      </w:r>
      <w:r>
        <w:t>from</w:t>
      </w:r>
      <w:r>
        <w:rPr>
          <w:spacing w:val="-12"/>
        </w:rPr>
        <w:t xml:space="preserve"> </w:t>
      </w:r>
      <w:r>
        <w:t>statistical</w:t>
      </w:r>
      <w:r>
        <w:rPr>
          <w:spacing w:val="-12"/>
        </w:rPr>
        <w:t xml:space="preserve"> </w:t>
      </w:r>
      <w:r>
        <w:t>metrics</w:t>
      </w:r>
      <w:r>
        <w:rPr>
          <w:spacing w:val="-13"/>
        </w:rPr>
        <w:t xml:space="preserve"> </w:t>
      </w:r>
      <w:r>
        <w:t>provided</w:t>
      </w:r>
      <w:r>
        <w:rPr>
          <w:spacing w:val="-12"/>
        </w:rPr>
        <w:t xml:space="preserve"> </w:t>
      </w:r>
      <w:r>
        <w:t>by</w:t>
      </w:r>
      <w:r>
        <w:rPr>
          <w:spacing w:val="-12"/>
        </w:rPr>
        <w:t xml:space="preserve"> </w:t>
      </w:r>
      <w:r>
        <w:t>unnamed</w:t>
      </w:r>
      <w:r>
        <w:rPr>
          <w:spacing w:val="-11"/>
        </w:rPr>
        <w:t xml:space="preserve"> </w:t>
      </w:r>
      <w:r>
        <w:t>"authoritative</w:t>
      </w:r>
      <w:r>
        <w:rPr>
          <w:spacing w:val="-11"/>
        </w:rPr>
        <w:t xml:space="preserve"> </w:t>
      </w:r>
      <w:r>
        <w:t>domestic organizations".</w:t>
      </w:r>
      <w:r>
        <w:rPr>
          <w:vertAlign w:val="superscript"/>
        </w:rPr>
        <w:t>1102</w:t>
      </w:r>
      <w:r>
        <w:t xml:space="preserve"> The identify of these organizations it unknown, and there is no</w:t>
      </w:r>
      <w:r>
        <w:t xml:space="preserve"> factual foundation for the Panel to conclude that MOFCOM satisfied itself of the accuracy of these </w:t>
      </w:r>
      <w:r>
        <w:rPr>
          <w:spacing w:val="-2"/>
        </w:rPr>
        <w:t>statistics.</w:t>
      </w:r>
    </w:p>
    <w:p w14:paraId="51DE98B2" w14:textId="77777777" w:rsidR="0010369C" w:rsidRDefault="0010369C">
      <w:pPr>
        <w:pStyle w:val="BodyText"/>
        <w:spacing w:before="10"/>
        <w:rPr>
          <w:sz w:val="8"/>
        </w:rPr>
      </w:pPr>
    </w:p>
    <w:p w14:paraId="51DE98B3" w14:textId="77777777" w:rsidR="0010369C" w:rsidRDefault="008E43AE">
      <w:pPr>
        <w:pStyle w:val="BodyText"/>
        <w:spacing w:before="52" w:line="360" w:lineRule="auto"/>
        <w:ind w:left="238" w:right="613" w:firstLine="851"/>
        <w:jc w:val="both"/>
      </w:pPr>
      <w:r>
        <w:rPr>
          <w:noProof/>
        </w:rPr>
        <w:drawing>
          <wp:anchor distT="0" distB="0" distL="0" distR="0" simplePos="0" relativeHeight="251529728" behindDoc="1" locked="0" layoutInCell="1" allowOverlap="1" wp14:anchorId="51DEA7EE" wp14:editId="51DEA7EF">
            <wp:simplePos x="0" y="0"/>
            <wp:positionH relativeFrom="page">
              <wp:posOffset>902208</wp:posOffset>
            </wp:positionH>
            <wp:positionV relativeFrom="paragraph">
              <wp:posOffset>80595</wp:posOffset>
            </wp:positionV>
            <wp:extent cx="262127" cy="103631"/>
            <wp:effectExtent l="0" t="0" r="0" b="0"/>
            <wp:wrapNone/>
            <wp:docPr id="1831" name="image9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 name="image943.png"/>
                    <pic:cNvPicPr/>
                  </pic:nvPicPr>
                  <pic:blipFill>
                    <a:blip r:embed="rId1222" cstate="print"/>
                    <a:stretch>
                      <a:fillRect/>
                    </a:stretch>
                  </pic:blipFill>
                  <pic:spPr>
                    <a:xfrm>
                      <a:off x="0" y="0"/>
                      <a:ext cx="262127" cy="103631"/>
                    </a:xfrm>
                    <a:prstGeom prst="rect">
                      <a:avLst/>
                    </a:prstGeom>
                  </pic:spPr>
                </pic:pic>
              </a:graphicData>
            </a:graphic>
          </wp:anchor>
        </w:drawing>
      </w:r>
      <w:r>
        <w:t>The record shows that the estimate of total domestic output that MOFCOM calculated</w:t>
      </w:r>
      <w:r>
        <w:rPr>
          <w:spacing w:val="-11"/>
        </w:rPr>
        <w:t xml:space="preserve"> </w:t>
      </w:r>
      <w:r>
        <w:t>was</w:t>
      </w:r>
      <w:r>
        <w:rPr>
          <w:spacing w:val="-11"/>
        </w:rPr>
        <w:t xml:space="preserve"> </w:t>
      </w:r>
      <w:r>
        <w:t>substantially</w:t>
      </w:r>
      <w:r>
        <w:rPr>
          <w:spacing w:val="-10"/>
        </w:rPr>
        <w:t xml:space="preserve"> </w:t>
      </w:r>
      <w:r>
        <w:t>lower</w:t>
      </w:r>
      <w:r>
        <w:rPr>
          <w:spacing w:val="-10"/>
        </w:rPr>
        <w:t xml:space="preserve"> </w:t>
      </w:r>
      <w:r>
        <w:t>than</w:t>
      </w:r>
      <w:r>
        <w:rPr>
          <w:spacing w:val="-11"/>
        </w:rPr>
        <w:t xml:space="preserve"> </w:t>
      </w:r>
      <w:r>
        <w:t>the</w:t>
      </w:r>
      <w:r>
        <w:rPr>
          <w:spacing w:val="-10"/>
        </w:rPr>
        <w:t xml:space="preserve"> </w:t>
      </w:r>
      <w:r>
        <w:t>Applicant's</w:t>
      </w:r>
      <w:r>
        <w:rPr>
          <w:spacing w:val="-12"/>
        </w:rPr>
        <w:t xml:space="preserve"> </w:t>
      </w:r>
      <w:r>
        <w:t>claimed</w:t>
      </w:r>
      <w:r>
        <w:rPr>
          <w:spacing w:val="-11"/>
        </w:rPr>
        <w:t xml:space="preserve"> </w:t>
      </w:r>
      <w:r>
        <w:t>level</w:t>
      </w:r>
      <w:r>
        <w:rPr>
          <w:spacing w:val="-10"/>
        </w:rPr>
        <w:t xml:space="preserve"> </w:t>
      </w:r>
      <w:r>
        <w:t>of</w:t>
      </w:r>
      <w:r>
        <w:rPr>
          <w:spacing w:val="-11"/>
        </w:rPr>
        <w:t xml:space="preserve"> </w:t>
      </w:r>
      <w:r>
        <w:t>total</w:t>
      </w:r>
      <w:r>
        <w:rPr>
          <w:spacing w:val="-11"/>
        </w:rPr>
        <w:t xml:space="preserve"> </w:t>
      </w:r>
      <w:r>
        <w:t>domestic</w:t>
      </w:r>
      <w:r>
        <w:rPr>
          <w:spacing w:val="-9"/>
        </w:rPr>
        <w:t xml:space="preserve"> </w:t>
      </w:r>
      <w:r>
        <w:t>output. MOFCOM was justified in rejecting the Applicant's data having found it unreliable. However, that</w:t>
      </w:r>
      <w:r>
        <w:rPr>
          <w:spacing w:val="-3"/>
        </w:rPr>
        <w:t xml:space="preserve"> </w:t>
      </w:r>
      <w:r>
        <w:t>finding,</w:t>
      </w:r>
      <w:r>
        <w:rPr>
          <w:spacing w:val="-1"/>
        </w:rPr>
        <w:t xml:space="preserve"> </w:t>
      </w:r>
      <w:r>
        <w:t>together</w:t>
      </w:r>
      <w:r>
        <w:rPr>
          <w:spacing w:val="-3"/>
        </w:rPr>
        <w:t xml:space="preserve"> </w:t>
      </w:r>
      <w:r>
        <w:t>with</w:t>
      </w:r>
      <w:r>
        <w:rPr>
          <w:spacing w:val="-3"/>
        </w:rPr>
        <w:t xml:space="preserve"> </w:t>
      </w:r>
      <w:r>
        <w:t>the</w:t>
      </w:r>
      <w:r>
        <w:rPr>
          <w:spacing w:val="-2"/>
        </w:rPr>
        <w:t xml:space="preserve"> </w:t>
      </w:r>
      <w:r>
        <w:t>fact</w:t>
      </w:r>
      <w:r>
        <w:rPr>
          <w:spacing w:val="-3"/>
        </w:rPr>
        <w:t xml:space="preserve"> </w:t>
      </w:r>
      <w:r>
        <w:t>that</w:t>
      </w:r>
      <w:r>
        <w:rPr>
          <w:spacing w:val="-3"/>
        </w:rPr>
        <w:t xml:space="preserve"> </w:t>
      </w:r>
      <w:r>
        <w:t>MOFCOM's</w:t>
      </w:r>
      <w:r>
        <w:rPr>
          <w:spacing w:val="-3"/>
        </w:rPr>
        <w:t xml:space="preserve"> </w:t>
      </w:r>
      <w:r>
        <w:t>estimate</w:t>
      </w:r>
      <w:r>
        <w:rPr>
          <w:spacing w:val="-3"/>
        </w:rPr>
        <w:t xml:space="preserve"> </w:t>
      </w:r>
      <w:r>
        <w:t>of</w:t>
      </w:r>
      <w:r>
        <w:rPr>
          <w:spacing w:val="-3"/>
        </w:rPr>
        <w:t xml:space="preserve"> </w:t>
      </w:r>
      <w:r>
        <w:t>total</w:t>
      </w:r>
      <w:r>
        <w:rPr>
          <w:spacing w:val="-3"/>
        </w:rPr>
        <w:t xml:space="preserve"> </w:t>
      </w:r>
      <w:r>
        <w:t>domestic</w:t>
      </w:r>
      <w:r>
        <w:rPr>
          <w:spacing w:val="-1"/>
        </w:rPr>
        <w:t xml:space="preserve"> </w:t>
      </w:r>
      <w:r>
        <w:t>output</w:t>
      </w:r>
      <w:r>
        <w:rPr>
          <w:spacing w:val="-2"/>
        </w:rPr>
        <w:t xml:space="preserve"> </w:t>
      </w:r>
      <w:r>
        <w:t>was</w:t>
      </w:r>
      <w:r>
        <w:rPr>
          <w:spacing w:val="-2"/>
        </w:rPr>
        <w:t xml:space="preserve"> </w:t>
      </w:r>
      <w:r>
        <w:t>so different to</w:t>
      </w:r>
      <w:r>
        <w:rPr>
          <w:spacing w:val="-1"/>
        </w:rPr>
        <w:t xml:space="preserve"> </w:t>
      </w:r>
      <w:r>
        <w:t>that claimed</w:t>
      </w:r>
      <w:r>
        <w:rPr>
          <w:spacing w:val="-2"/>
        </w:rPr>
        <w:t xml:space="preserve"> </w:t>
      </w:r>
      <w:r>
        <w:t>by the Applicant,</w:t>
      </w:r>
      <w:r>
        <w:rPr>
          <w:spacing w:val="-1"/>
        </w:rPr>
        <w:t xml:space="preserve"> </w:t>
      </w:r>
      <w:r>
        <w:t>meant</w:t>
      </w:r>
      <w:r>
        <w:rPr>
          <w:spacing w:val="-2"/>
        </w:rPr>
        <w:t xml:space="preserve"> </w:t>
      </w:r>
      <w:r>
        <w:t>that MOFCOM</w:t>
      </w:r>
      <w:r>
        <w:rPr>
          <w:spacing w:val="-1"/>
        </w:rPr>
        <w:t xml:space="preserve"> </w:t>
      </w:r>
      <w:r>
        <w:t>had no real‐world</w:t>
      </w:r>
      <w:r>
        <w:rPr>
          <w:spacing w:val="-1"/>
        </w:rPr>
        <w:t xml:space="preserve"> </w:t>
      </w:r>
      <w:r>
        <w:t>data with which to verify the estimate it had determined. This should have underscored for MOFCOM the importance of ensuring the accuracy and suitability of the statistics upon which it based that estim</w:t>
      </w:r>
      <w:r>
        <w:t>ate. MOFCOM failed to do so.</w:t>
      </w:r>
    </w:p>
    <w:p w14:paraId="51DE98B4" w14:textId="77777777" w:rsidR="0010369C" w:rsidRDefault="008E43AE">
      <w:pPr>
        <w:pStyle w:val="ListParagraph"/>
        <w:numPr>
          <w:ilvl w:val="3"/>
          <w:numId w:val="75"/>
        </w:numPr>
        <w:tabs>
          <w:tab w:val="left" w:pos="3642"/>
          <w:tab w:val="left" w:pos="3643"/>
        </w:tabs>
        <w:spacing w:before="161"/>
        <w:ind w:hanging="853"/>
        <w:jc w:val="both"/>
        <w:rPr>
          <w:sz w:val="24"/>
        </w:rPr>
      </w:pPr>
      <w:r>
        <w:rPr>
          <w:sz w:val="24"/>
          <w:u w:val="single"/>
        </w:rPr>
        <w:t>Responses</w:t>
      </w:r>
      <w:r>
        <w:rPr>
          <w:spacing w:val="-10"/>
          <w:sz w:val="24"/>
          <w:u w:val="single"/>
        </w:rPr>
        <w:t xml:space="preserve"> </w:t>
      </w:r>
      <w:r>
        <w:rPr>
          <w:sz w:val="24"/>
          <w:u w:val="single"/>
        </w:rPr>
        <w:t>to</w:t>
      </w:r>
      <w:r>
        <w:rPr>
          <w:spacing w:val="-8"/>
          <w:sz w:val="24"/>
          <w:u w:val="single"/>
        </w:rPr>
        <w:t xml:space="preserve"> </w:t>
      </w:r>
      <w:r>
        <w:rPr>
          <w:sz w:val="24"/>
          <w:u w:val="single"/>
        </w:rPr>
        <w:t>the</w:t>
      </w:r>
      <w:r>
        <w:rPr>
          <w:spacing w:val="-9"/>
          <w:sz w:val="24"/>
          <w:u w:val="single"/>
        </w:rPr>
        <w:t xml:space="preserve"> </w:t>
      </w:r>
      <w:r>
        <w:rPr>
          <w:sz w:val="24"/>
          <w:u w:val="single"/>
        </w:rPr>
        <w:t>Domestic</w:t>
      </w:r>
      <w:r>
        <w:rPr>
          <w:spacing w:val="-9"/>
          <w:sz w:val="24"/>
          <w:u w:val="single"/>
        </w:rPr>
        <w:t xml:space="preserve"> </w:t>
      </w:r>
      <w:r>
        <w:rPr>
          <w:sz w:val="24"/>
          <w:u w:val="single"/>
        </w:rPr>
        <w:t>Producer</w:t>
      </w:r>
      <w:r>
        <w:rPr>
          <w:spacing w:val="-8"/>
          <w:sz w:val="24"/>
          <w:u w:val="single"/>
        </w:rPr>
        <w:t xml:space="preserve"> </w:t>
      </w:r>
      <w:r>
        <w:rPr>
          <w:spacing w:val="-2"/>
          <w:sz w:val="24"/>
          <w:u w:val="single"/>
        </w:rPr>
        <w:t>Questionnaire</w:t>
      </w:r>
    </w:p>
    <w:p w14:paraId="51DE98B5" w14:textId="77777777" w:rsidR="0010369C" w:rsidRDefault="0010369C">
      <w:pPr>
        <w:pStyle w:val="BodyText"/>
        <w:spacing w:before="10"/>
        <w:rPr>
          <w:sz w:val="20"/>
        </w:rPr>
      </w:pPr>
    </w:p>
    <w:p w14:paraId="51DE98B6" w14:textId="77777777" w:rsidR="0010369C" w:rsidRDefault="008E43AE">
      <w:pPr>
        <w:pStyle w:val="BodyText"/>
        <w:spacing w:before="52" w:line="360" w:lineRule="auto"/>
        <w:ind w:left="237" w:right="612" w:firstLine="851"/>
        <w:jc w:val="both"/>
      </w:pPr>
      <w:r>
        <w:rPr>
          <w:noProof/>
        </w:rPr>
        <w:drawing>
          <wp:anchor distT="0" distB="0" distL="0" distR="0" simplePos="0" relativeHeight="251530752" behindDoc="1" locked="0" layoutInCell="1" allowOverlap="1" wp14:anchorId="51DEA7F0" wp14:editId="51DEA7F1">
            <wp:simplePos x="0" y="0"/>
            <wp:positionH relativeFrom="page">
              <wp:posOffset>902208</wp:posOffset>
            </wp:positionH>
            <wp:positionV relativeFrom="paragraph">
              <wp:posOffset>81357</wp:posOffset>
            </wp:positionV>
            <wp:extent cx="262127" cy="103631"/>
            <wp:effectExtent l="0" t="0" r="0" b="0"/>
            <wp:wrapNone/>
            <wp:docPr id="1833" name="image9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 name="image944.png"/>
                    <pic:cNvPicPr/>
                  </pic:nvPicPr>
                  <pic:blipFill>
                    <a:blip r:embed="rId1223" cstate="print"/>
                    <a:stretch>
                      <a:fillRect/>
                    </a:stretch>
                  </pic:blipFill>
                  <pic:spPr>
                    <a:xfrm>
                      <a:off x="0" y="0"/>
                      <a:ext cx="262127" cy="103631"/>
                    </a:xfrm>
                    <a:prstGeom prst="rect">
                      <a:avLst/>
                    </a:prstGeom>
                  </pic:spPr>
                </pic:pic>
              </a:graphicData>
            </a:graphic>
          </wp:anchor>
        </w:drawing>
      </w:r>
      <w:r>
        <w:t>On 10 October 2020, MOFCOM issued a Domestic Producer Questionnaire, which included</w:t>
      </w:r>
      <w:r>
        <w:rPr>
          <w:spacing w:val="-11"/>
        </w:rPr>
        <w:t xml:space="preserve"> </w:t>
      </w:r>
      <w:r>
        <w:t>questions</w:t>
      </w:r>
      <w:r>
        <w:rPr>
          <w:spacing w:val="-12"/>
        </w:rPr>
        <w:t xml:space="preserve"> </w:t>
      </w:r>
      <w:r>
        <w:t>on</w:t>
      </w:r>
      <w:r>
        <w:rPr>
          <w:spacing w:val="-12"/>
        </w:rPr>
        <w:t xml:space="preserve"> </w:t>
      </w:r>
      <w:r>
        <w:t>the</w:t>
      </w:r>
      <w:r>
        <w:rPr>
          <w:spacing w:val="-11"/>
        </w:rPr>
        <w:t xml:space="preserve"> </w:t>
      </w:r>
      <w:r>
        <w:t>operations,</w:t>
      </w:r>
      <w:r>
        <w:rPr>
          <w:spacing w:val="-12"/>
        </w:rPr>
        <w:t xml:space="preserve"> </w:t>
      </w:r>
      <w:r>
        <w:t>production</w:t>
      </w:r>
      <w:r>
        <w:rPr>
          <w:spacing w:val="-12"/>
        </w:rPr>
        <w:t xml:space="preserve"> </w:t>
      </w:r>
      <w:r>
        <w:t>methods</w:t>
      </w:r>
      <w:r>
        <w:rPr>
          <w:spacing w:val="-12"/>
        </w:rPr>
        <w:t xml:space="preserve"> </w:t>
      </w:r>
      <w:r>
        <w:t>and</w:t>
      </w:r>
      <w:r>
        <w:rPr>
          <w:spacing w:val="-12"/>
        </w:rPr>
        <w:t xml:space="preserve"> </w:t>
      </w:r>
      <w:r>
        <w:t>output</w:t>
      </w:r>
      <w:r>
        <w:rPr>
          <w:spacing w:val="-12"/>
        </w:rPr>
        <w:t xml:space="preserve"> </w:t>
      </w:r>
      <w:r>
        <w:t>of</w:t>
      </w:r>
      <w:r>
        <w:rPr>
          <w:spacing w:val="-12"/>
        </w:rPr>
        <w:t xml:space="preserve"> </w:t>
      </w:r>
      <w:r>
        <w:t>those</w:t>
      </w:r>
      <w:r>
        <w:rPr>
          <w:spacing w:val="-12"/>
        </w:rPr>
        <w:t xml:space="preserve"> </w:t>
      </w:r>
      <w:r>
        <w:t>producers.</w:t>
      </w:r>
      <w:r>
        <w:rPr>
          <w:vertAlign w:val="superscript"/>
        </w:rPr>
        <w:t>1103</w:t>
      </w:r>
      <w:r>
        <w:t xml:space="preserve"> While MOF</w:t>
      </w:r>
      <w:r>
        <w:t>COM was aware that CADA represented 122 domestic producers, and that there were</w:t>
      </w:r>
      <w:r>
        <w:rPr>
          <w:spacing w:val="-7"/>
        </w:rPr>
        <w:t xml:space="preserve"> </w:t>
      </w:r>
      <w:r>
        <w:t>"hundreds"</w:t>
      </w:r>
      <w:r>
        <w:rPr>
          <w:spacing w:val="-8"/>
        </w:rPr>
        <w:t xml:space="preserve"> </w:t>
      </w:r>
      <w:r>
        <w:t>more,</w:t>
      </w:r>
      <w:r>
        <w:rPr>
          <w:spacing w:val="-9"/>
        </w:rPr>
        <w:t xml:space="preserve"> </w:t>
      </w:r>
      <w:r>
        <w:t>it</w:t>
      </w:r>
      <w:r>
        <w:rPr>
          <w:spacing w:val="-7"/>
        </w:rPr>
        <w:t xml:space="preserve"> </w:t>
      </w:r>
      <w:r>
        <w:t>only</w:t>
      </w:r>
      <w:r>
        <w:rPr>
          <w:spacing w:val="-6"/>
        </w:rPr>
        <w:t xml:space="preserve"> </w:t>
      </w:r>
      <w:r>
        <w:t>received</w:t>
      </w:r>
      <w:r>
        <w:rPr>
          <w:spacing w:val="-7"/>
        </w:rPr>
        <w:t xml:space="preserve"> </w:t>
      </w:r>
      <w:r>
        <w:t>responses</w:t>
      </w:r>
      <w:r>
        <w:rPr>
          <w:spacing w:val="-8"/>
        </w:rPr>
        <w:t xml:space="preserve"> </w:t>
      </w:r>
      <w:r>
        <w:t>from</w:t>
      </w:r>
      <w:r>
        <w:rPr>
          <w:spacing w:val="-7"/>
        </w:rPr>
        <w:t xml:space="preserve"> </w:t>
      </w:r>
      <w:r>
        <w:t>21</w:t>
      </w:r>
      <w:r>
        <w:rPr>
          <w:spacing w:val="-8"/>
        </w:rPr>
        <w:t xml:space="preserve"> </w:t>
      </w:r>
      <w:r>
        <w:t>domestic</w:t>
      </w:r>
      <w:r>
        <w:rPr>
          <w:spacing w:val="-5"/>
        </w:rPr>
        <w:t xml:space="preserve"> </w:t>
      </w:r>
      <w:r>
        <w:t>producers.</w:t>
      </w:r>
      <w:r>
        <w:rPr>
          <w:vertAlign w:val="superscript"/>
        </w:rPr>
        <w:t>1104</w:t>
      </w:r>
      <w:r>
        <w:rPr>
          <w:spacing w:val="-8"/>
        </w:rPr>
        <w:t xml:space="preserve"> </w:t>
      </w:r>
      <w:r>
        <w:t>MOFCOM then relied upon those 21 Domestic Producer Questionnaire responses to make a range of findings in its assessment of injury and causation.</w:t>
      </w:r>
      <w:r>
        <w:rPr>
          <w:vertAlign w:val="superscript"/>
        </w:rPr>
        <w:t>1105</w:t>
      </w:r>
    </w:p>
    <w:p w14:paraId="51DE98B7" w14:textId="77777777" w:rsidR="0010369C" w:rsidRDefault="0010369C">
      <w:pPr>
        <w:pStyle w:val="BodyText"/>
        <w:rPr>
          <w:sz w:val="20"/>
        </w:rPr>
      </w:pPr>
    </w:p>
    <w:p w14:paraId="51DE98B8" w14:textId="77777777" w:rsidR="0010369C" w:rsidRDefault="0010369C">
      <w:pPr>
        <w:pStyle w:val="BodyText"/>
        <w:rPr>
          <w:sz w:val="20"/>
        </w:rPr>
      </w:pPr>
    </w:p>
    <w:p w14:paraId="51DE98B9" w14:textId="77777777" w:rsidR="0010369C" w:rsidRDefault="008E43AE">
      <w:pPr>
        <w:pStyle w:val="BodyText"/>
        <w:spacing w:before="5"/>
        <w:rPr>
          <w:sz w:val="16"/>
        </w:rPr>
      </w:pPr>
      <w:r>
        <w:pict w14:anchorId="51DEA7F2">
          <v:rect id="docshape1361" o:spid="_x0000_s1113" style="position:absolute;margin-left:70.9pt;margin-top:11.25pt;width:2in;height:.8pt;z-index:-250707456;mso-wrap-distance-left:0;mso-wrap-distance-right:0;mso-position-horizontal-relative:page" fillcolor="black" stroked="f">
            <w10:wrap type="topAndBottom" anchorx="page"/>
          </v:rect>
        </w:pict>
      </w:r>
    </w:p>
    <w:p w14:paraId="51DE98BA" w14:textId="77777777" w:rsidR="0010369C" w:rsidRDefault="008E43AE">
      <w:pPr>
        <w:spacing w:before="109"/>
        <w:ind w:left="238"/>
        <w:rPr>
          <w:sz w:val="18"/>
        </w:rPr>
      </w:pPr>
      <w:r>
        <w:rPr>
          <w:sz w:val="18"/>
          <w:vertAlign w:val="superscript"/>
        </w:rPr>
        <w:t>1100</w:t>
      </w:r>
      <w:r>
        <w:rPr>
          <w:spacing w:val="-6"/>
          <w:sz w:val="18"/>
        </w:rPr>
        <w:t xml:space="preserve"> </w:t>
      </w:r>
      <w:r>
        <w:rPr>
          <w:sz w:val="18"/>
        </w:rPr>
        <w:t>See</w:t>
      </w:r>
      <w:r>
        <w:rPr>
          <w:spacing w:val="-5"/>
          <w:sz w:val="18"/>
        </w:rPr>
        <w:t xml:space="preserve"> </w:t>
      </w:r>
      <w:r>
        <w:rPr>
          <w:sz w:val="18"/>
        </w:rPr>
        <w:t>above</w:t>
      </w:r>
      <w:r>
        <w:rPr>
          <w:spacing w:val="-6"/>
          <w:sz w:val="18"/>
        </w:rPr>
        <w:t xml:space="preserve"> </w:t>
      </w:r>
      <w:r>
        <w:rPr>
          <w:sz w:val="18"/>
        </w:rPr>
        <w:t>section</w:t>
      </w:r>
      <w:r>
        <w:rPr>
          <w:spacing w:val="-5"/>
          <w:sz w:val="18"/>
        </w:rPr>
        <w:t xml:space="preserve"> </w:t>
      </w:r>
      <w:r>
        <w:rPr>
          <w:spacing w:val="-2"/>
          <w:sz w:val="18"/>
        </w:rPr>
        <w:t>VI.A.</w:t>
      </w:r>
    </w:p>
    <w:p w14:paraId="51DE98BB" w14:textId="77777777" w:rsidR="0010369C" w:rsidRDefault="008E43AE">
      <w:pPr>
        <w:ind w:left="238"/>
        <w:rPr>
          <w:sz w:val="18"/>
        </w:rPr>
      </w:pPr>
      <w:r>
        <w:rPr>
          <w:sz w:val="18"/>
          <w:vertAlign w:val="superscript"/>
        </w:rPr>
        <w:t>1101</w:t>
      </w:r>
      <w:r>
        <w:rPr>
          <w:spacing w:val="-10"/>
          <w:sz w:val="18"/>
        </w:rPr>
        <w:t xml:space="preserve"> </w:t>
      </w:r>
      <w:r>
        <w:rPr>
          <w:sz w:val="18"/>
        </w:rPr>
        <w:t>Anti‐Dumping</w:t>
      </w:r>
      <w:r>
        <w:rPr>
          <w:spacing w:val="-9"/>
          <w:sz w:val="18"/>
        </w:rPr>
        <w:t xml:space="preserve"> </w:t>
      </w:r>
      <w:r>
        <w:rPr>
          <w:sz w:val="18"/>
        </w:rPr>
        <w:t>Final</w:t>
      </w:r>
      <w:r>
        <w:rPr>
          <w:spacing w:val="-9"/>
          <w:sz w:val="18"/>
        </w:rPr>
        <w:t xml:space="preserve"> </w:t>
      </w:r>
      <w:r>
        <w:rPr>
          <w:sz w:val="18"/>
        </w:rPr>
        <w:t>Determination</w:t>
      </w:r>
      <w:r>
        <w:rPr>
          <w:spacing w:val="-8"/>
          <w:sz w:val="18"/>
        </w:rPr>
        <w:t xml:space="preserve"> </w:t>
      </w:r>
      <w:r>
        <w:rPr>
          <w:sz w:val="18"/>
        </w:rPr>
        <w:t>(Exhibit</w:t>
      </w:r>
      <w:r>
        <w:rPr>
          <w:spacing w:val="-9"/>
          <w:sz w:val="18"/>
        </w:rPr>
        <w:t xml:space="preserve"> </w:t>
      </w:r>
      <w:r>
        <w:rPr>
          <w:sz w:val="18"/>
        </w:rPr>
        <w:t>AUS‐2),</w:t>
      </w:r>
      <w:r>
        <w:rPr>
          <w:spacing w:val="-10"/>
          <w:sz w:val="18"/>
        </w:rPr>
        <w:t xml:space="preserve"> </w:t>
      </w:r>
      <w:r>
        <w:rPr>
          <w:sz w:val="18"/>
        </w:rPr>
        <w:t>pp.</w:t>
      </w:r>
      <w:r>
        <w:rPr>
          <w:spacing w:val="-9"/>
          <w:sz w:val="18"/>
        </w:rPr>
        <w:t xml:space="preserve"> </w:t>
      </w:r>
      <w:r>
        <w:rPr>
          <w:spacing w:val="-2"/>
          <w:sz w:val="18"/>
        </w:rPr>
        <w:t>108‐109.</w:t>
      </w:r>
    </w:p>
    <w:p w14:paraId="51DE98BC" w14:textId="77777777" w:rsidR="0010369C" w:rsidRDefault="008E43AE">
      <w:pPr>
        <w:ind w:left="238"/>
        <w:rPr>
          <w:sz w:val="18"/>
        </w:rPr>
      </w:pPr>
      <w:r>
        <w:rPr>
          <w:sz w:val="18"/>
          <w:vertAlign w:val="superscript"/>
        </w:rPr>
        <w:t>1102</w:t>
      </w:r>
      <w:r>
        <w:rPr>
          <w:spacing w:val="-9"/>
          <w:sz w:val="18"/>
        </w:rPr>
        <w:t xml:space="preserve"> </w:t>
      </w:r>
      <w:r>
        <w:rPr>
          <w:sz w:val="18"/>
        </w:rPr>
        <w:t>Anti‐Dumping</w:t>
      </w:r>
      <w:r>
        <w:rPr>
          <w:spacing w:val="-9"/>
          <w:sz w:val="18"/>
        </w:rPr>
        <w:t xml:space="preserve"> </w:t>
      </w:r>
      <w:r>
        <w:rPr>
          <w:sz w:val="18"/>
        </w:rPr>
        <w:t>Final</w:t>
      </w:r>
      <w:r>
        <w:rPr>
          <w:spacing w:val="-9"/>
          <w:sz w:val="18"/>
        </w:rPr>
        <w:t xml:space="preserve"> </w:t>
      </w:r>
      <w:r>
        <w:rPr>
          <w:sz w:val="18"/>
        </w:rPr>
        <w:t>Determination</w:t>
      </w:r>
      <w:r>
        <w:rPr>
          <w:spacing w:val="-8"/>
          <w:sz w:val="18"/>
        </w:rPr>
        <w:t xml:space="preserve"> </w:t>
      </w:r>
      <w:r>
        <w:rPr>
          <w:sz w:val="18"/>
        </w:rPr>
        <w:t>(Exhibit</w:t>
      </w:r>
      <w:r>
        <w:rPr>
          <w:spacing w:val="-9"/>
          <w:sz w:val="18"/>
        </w:rPr>
        <w:t xml:space="preserve"> </w:t>
      </w:r>
      <w:r>
        <w:rPr>
          <w:sz w:val="18"/>
        </w:rPr>
        <w:t>AUS‐2),</w:t>
      </w:r>
      <w:r>
        <w:rPr>
          <w:spacing w:val="-10"/>
          <w:sz w:val="18"/>
        </w:rPr>
        <w:t xml:space="preserve"> </w:t>
      </w:r>
      <w:r>
        <w:rPr>
          <w:sz w:val="18"/>
        </w:rPr>
        <w:t>p.</w:t>
      </w:r>
      <w:r>
        <w:rPr>
          <w:spacing w:val="-9"/>
          <w:sz w:val="18"/>
        </w:rPr>
        <w:t xml:space="preserve"> </w:t>
      </w:r>
      <w:r>
        <w:rPr>
          <w:spacing w:val="-4"/>
          <w:sz w:val="18"/>
        </w:rPr>
        <w:t>109.</w:t>
      </w:r>
    </w:p>
    <w:p w14:paraId="51DE98BD" w14:textId="77777777" w:rsidR="0010369C" w:rsidRDefault="008E43AE">
      <w:pPr>
        <w:spacing w:before="1"/>
        <w:ind w:left="238" w:right="611"/>
        <w:rPr>
          <w:sz w:val="18"/>
        </w:rPr>
      </w:pPr>
      <w:r>
        <w:rPr>
          <w:sz w:val="18"/>
          <w:vertAlign w:val="superscript"/>
        </w:rPr>
        <w:t>1103</w:t>
      </w:r>
      <w:r>
        <w:rPr>
          <w:sz w:val="18"/>
        </w:rPr>
        <w:t xml:space="preserve"> Anti‐Dumping Final Determination (Exhibit AUS‐2), p. 11; Issuance of Anti‐Dumping Questionnaire Notice (Exhibit AUS‐ 42), pp. 1‐2.</w:t>
      </w:r>
    </w:p>
    <w:p w14:paraId="51DE98BE" w14:textId="77777777" w:rsidR="0010369C" w:rsidRDefault="008E43AE">
      <w:pPr>
        <w:spacing w:line="219" w:lineRule="exact"/>
        <w:ind w:left="238"/>
        <w:rPr>
          <w:sz w:val="18"/>
        </w:rPr>
      </w:pPr>
      <w:r>
        <w:rPr>
          <w:sz w:val="18"/>
          <w:vertAlign w:val="superscript"/>
        </w:rPr>
        <w:t>1104</w:t>
      </w:r>
      <w:r>
        <w:rPr>
          <w:spacing w:val="-9"/>
          <w:sz w:val="18"/>
        </w:rPr>
        <w:t xml:space="preserve"> </w:t>
      </w:r>
      <w:r>
        <w:rPr>
          <w:sz w:val="18"/>
        </w:rPr>
        <w:t>Anti‐Dumping</w:t>
      </w:r>
      <w:r>
        <w:rPr>
          <w:spacing w:val="-8"/>
          <w:sz w:val="18"/>
        </w:rPr>
        <w:t xml:space="preserve"> </w:t>
      </w:r>
      <w:r>
        <w:rPr>
          <w:sz w:val="18"/>
        </w:rPr>
        <w:t>Final</w:t>
      </w:r>
      <w:r>
        <w:rPr>
          <w:spacing w:val="-8"/>
          <w:sz w:val="18"/>
        </w:rPr>
        <w:t xml:space="preserve"> </w:t>
      </w:r>
      <w:r>
        <w:rPr>
          <w:sz w:val="18"/>
        </w:rPr>
        <w:t>Determination</w:t>
      </w:r>
      <w:r>
        <w:rPr>
          <w:spacing w:val="-8"/>
          <w:sz w:val="18"/>
        </w:rPr>
        <w:t xml:space="preserve"> </w:t>
      </w:r>
      <w:r>
        <w:rPr>
          <w:sz w:val="18"/>
        </w:rPr>
        <w:t>(Exhibit</w:t>
      </w:r>
      <w:r>
        <w:rPr>
          <w:spacing w:val="-8"/>
          <w:sz w:val="18"/>
        </w:rPr>
        <w:t xml:space="preserve"> </w:t>
      </w:r>
      <w:r>
        <w:rPr>
          <w:sz w:val="18"/>
        </w:rPr>
        <w:t>AUS‐2),</w:t>
      </w:r>
      <w:r>
        <w:rPr>
          <w:spacing w:val="-9"/>
          <w:sz w:val="18"/>
        </w:rPr>
        <w:t xml:space="preserve"> </w:t>
      </w:r>
      <w:r>
        <w:rPr>
          <w:sz w:val="18"/>
        </w:rPr>
        <w:t>pp.</w:t>
      </w:r>
      <w:r>
        <w:rPr>
          <w:spacing w:val="-8"/>
          <w:sz w:val="18"/>
        </w:rPr>
        <w:t xml:space="preserve"> </w:t>
      </w:r>
      <w:r>
        <w:rPr>
          <w:sz w:val="18"/>
        </w:rPr>
        <w:t>18,</w:t>
      </w:r>
      <w:r>
        <w:rPr>
          <w:spacing w:val="-9"/>
          <w:sz w:val="18"/>
        </w:rPr>
        <w:t xml:space="preserve"> </w:t>
      </w:r>
      <w:r>
        <w:rPr>
          <w:spacing w:val="-4"/>
          <w:sz w:val="18"/>
        </w:rPr>
        <w:t>108.</w:t>
      </w:r>
    </w:p>
    <w:p w14:paraId="51DE98BF" w14:textId="77777777" w:rsidR="0010369C" w:rsidRDefault="008E43AE">
      <w:pPr>
        <w:ind w:left="238"/>
        <w:rPr>
          <w:sz w:val="18"/>
        </w:rPr>
      </w:pPr>
      <w:r>
        <w:rPr>
          <w:sz w:val="18"/>
          <w:vertAlign w:val="superscript"/>
        </w:rPr>
        <w:t>1105</w:t>
      </w:r>
      <w:r>
        <w:rPr>
          <w:spacing w:val="-10"/>
          <w:sz w:val="18"/>
        </w:rPr>
        <w:t xml:space="preserve"> </w:t>
      </w:r>
      <w:r>
        <w:rPr>
          <w:sz w:val="18"/>
        </w:rPr>
        <w:t>Anti‐Dumping</w:t>
      </w:r>
      <w:r>
        <w:rPr>
          <w:spacing w:val="-9"/>
          <w:sz w:val="18"/>
        </w:rPr>
        <w:t xml:space="preserve"> </w:t>
      </w:r>
      <w:r>
        <w:rPr>
          <w:sz w:val="18"/>
        </w:rPr>
        <w:t>Final</w:t>
      </w:r>
      <w:r>
        <w:rPr>
          <w:spacing w:val="-9"/>
          <w:sz w:val="18"/>
        </w:rPr>
        <w:t xml:space="preserve"> </w:t>
      </w:r>
      <w:r>
        <w:rPr>
          <w:sz w:val="18"/>
        </w:rPr>
        <w:t>Determination</w:t>
      </w:r>
      <w:r>
        <w:rPr>
          <w:spacing w:val="-8"/>
          <w:sz w:val="18"/>
        </w:rPr>
        <w:t xml:space="preserve"> </w:t>
      </w:r>
      <w:r>
        <w:rPr>
          <w:sz w:val="18"/>
        </w:rPr>
        <w:t>(Exhibit</w:t>
      </w:r>
      <w:r>
        <w:rPr>
          <w:spacing w:val="-9"/>
          <w:sz w:val="18"/>
        </w:rPr>
        <w:t xml:space="preserve"> </w:t>
      </w:r>
      <w:r>
        <w:rPr>
          <w:sz w:val="18"/>
        </w:rPr>
        <w:t>AUS‐2),</w:t>
      </w:r>
      <w:r>
        <w:rPr>
          <w:spacing w:val="-10"/>
          <w:sz w:val="18"/>
        </w:rPr>
        <w:t xml:space="preserve"> </w:t>
      </w:r>
      <w:r>
        <w:rPr>
          <w:sz w:val="18"/>
        </w:rPr>
        <w:t>pp.</w:t>
      </w:r>
      <w:r>
        <w:rPr>
          <w:spacing w:val="-9"/>
          <w:sz w:val="18"/>
        </w:rPr>
        <w:t xml:space="preserve"> </w:t>
      </w:r>
      <w:r>
        <w:rPr>
          <w:spacing w:val="-2"/>
          <w:sz w:val="18"/>
        </w:rPr>
        <w:t>110‐131.</w:t>
      </w:r>
    </w:p>
    <w:p w14:paraId="51DE98C0" w14:textId="77777777" w:rsidR="0010369C" w:rsidRDefault="0010369C">
      <w:pPr>
        <w:rPr>
          <w:sz w:val="18"/>
        </w:rPr>
        <w:sectPr w:rsidR="0010369C">
          <w:headerReference w:type="default" r:id="rId1224"/>
          <w:footerReference w:type="default" r:id="rId1225"/>
          <w:pgSz w:w="11910" w:h="16840"/>
          <w:pgMar w:top="880" w:right="800" w:bottom="980" w:left="1180" w:header="569" w:footer="788" w:gutter="0"/>
          <w:cols w:space="720"/>
        </w:sectPr>
      </w:pPr>
    </w:p>
    <w:p w14:paraId="51DE98C1" w14:textId="77777777" w:rsidR="0010369C" w:rsidRDefault="008E43AE">
      <w:pPr>
        <w:tabs>
          <w:tab w:val="left" w:pos="6426"/>
        </w:tabs>
        <w:ind w:left="238"/>
        <w:jc w:val="both"/>
        <w:rPr>
          <w:sz w:val="20"/>
        </w:rPr>
      </w:pPr>
      <w:r>
        <w:rPr>
          <w:i/>
          <w:sz w:val="20"/>
        </w:rPr>
        <w:lastRenderedPageBreak/>
        <w:t>China</w:t>
      </w:r>
      <w:r>
        <w:rPr>
          <w:i/>
          <w:spacing w:val="-5"/>
          <w:sz w:val="20"/>
        </w:rPr>
        <w:t xml:space="preserve"> </w:t>
      </w:r>
      <w:r>
        <w:rPr>
          <w:i/>
          <w:sz w:val="20"/>
        </w:rPr>
        <w:t>–</w:t>
      </w:r>
      <w:r>
        <w:rPr>
          <w:i/>
          <w:spacing w:val="-5"/>
          <w:sz w:val="20"/>
        </w:rPr>
        <w:t xml:space="preserve"> </w:t>
      </w:r>
      <w:r>
        <w:rPr>
          <w:i/>
          <w:sz w:val="20"/>
        </w:rPr>
        <w:t>Anti‐Dumping</w:t>
      </w:r>
      <w:r>
        <w:rPr>
          <w:i/>
          <w:spacing w:val="-4"/>
          <w:sz w:val="20"/>
        </w:rPr>
        <w:t xml:space="preserve"> </w:t>
      </w:r>
      <w:r>
        <w:rPr>
          <w:i/>
          <w:sz w:val="20"/>
        </w:rPr>
        <w:t>and</w:t>
      </w:r>
      <w:r>
        <w:rPr>
          <w:i/>
          <w:spacing w:val="-5"/>
          <w:sz w:val="20"/>
        </w:rPr>
        <w:t xml:space="preserve"> </w:t>
      </w:r>
      <w:r>
        <w:rPr>
          <w:i/>
          <w:sz w:val="20"/>
        </w:rPr>
        <w:t>Countervailing</w:t>
      </w:r>
      <w:r>
        <w:rPr>
          <w:i/>
          <w:spacing w:val="-5"/>
          <w:sz w:val="20"/>
        </w:rPr>
        <w:t xml:space="preserve"> </w:t>
      </w:r>
      <w:r>
        <w:rPr>
          <w:i/>
          <w:sz w:val="20"/>
        </w:rPr>
        <w:t>Duty</w:t>
      </w:r>
      <w:r>
        <w:rPr>
          <w:i/>
          <w:spacing w:val="-4"/>
          <w:sz w:val="20"/>
        </w:rPr>
        <w:t xml:space="preserve"> </w:t>
      </w:r>
      <w:r>
        <w:rPr>
          <w:i/>
          <w:spacing w:val="-2"/>
          <w:sz w:val="20"/>
        </w:rPr>
        <w:t>Measures</w:t>
      </w:r>
      <w:r>
        <w:rPr>
          <w:i/>
          <w:sz w:val="20"/>
        </w:rPr>
        <w:tab/>
      </w:r>
      <w:r>
        <w:rPr>
          <w:sz w:val="20"/>
        </w:rPr>
        <w:t>Australia's</w:t>
      </w:r>
      <w:r>
        <w:rPr>
          <w:spacing w:val="-7"/>
          <w:sz w:val="20"/>
        </w:rPr>
        <w:t xml:space="preserve"> </w:t>
      </w:r>
      <w:r>
        <w:rPr>
          <w:sz w:val="20"/>
        </w:rPr>
        <w:t>First</w:t>
      </w:r>
      <w:r>
        <w:rPr>
          <w:spacing w:val="-2"/>
          <w:sz w:val="20"/>
        </w:rPr>
        <w:t xml:space="preserve"> </w:t>
      </w:r>
      <w:r>
        <w:rPr>
          <w:sz w:val="20"/>
        </w:rPr>
        <w:t>Written</w:t>
      </w:r>
      <w:r>
        <w:rPr>
          <w:spacing w:val="-2"/>
          <w:sz w:val="20"/>
        </w:rPr>
        <w:t xml:space="preserve"> Submission</w:t>
      </w:r>
    </w:p>
    <w:p w14:paraId="51DE98C2" w14:textId="77777777" w:rsidR="0010369C" w:rsidRDefault="008E43AE">
      <w:pPr>
        <w:tabs>
          <w:tab w:val="left" w:pos="8228"/>
        </w:tabs>
        <w:spacing w:before="1"/>
        <w:ind w:left="239"/>
        <w:jc w:val="both"/>
        <w:rPr>
          <w:sz w:val="20"/>
        </w:rPr>
      </w:pPr>
      <w:r>
        <w:rPr>
          <w:i/>
          <w:sz w:val="20"/>
        </w:rPr>
        <w:t>on</w:t>
      </w:r>
      <w:r>
        <w:rPr>
          <w:i/>
          <w:spacing w:val="-1"/>
          <w:sz w:val="20"/>
        </w:rPr>
        <w:t xml:space="preserve"> </w:t>
      </w:r>
      <w:r>
        <w:rPr>
          <w:i/>
          <w:sz w:val="20"/>
        </w:rPr>
        <w:t>Wine</w:t>
      </w:r>
      <w:r>
        <w:rPr>
          <w:i/>
          <w:spacing w:val="-1"/>
          <w:sz w:val="20"/>
        </w:rPr>
        <w:t xml:space="preserve"> </w:t>
      </w:r>
      <w:r>
        <w:rPr>
          <w:i/>
          <w:sz w:val="20"/>
        </w:rPr>
        <w:t>from</w:t>
      </w:r>
      <w:r>
        <w:rPr>
          <w:i/>
          <w:spacing w:val="-3"/>
          <w:sz w:val="20"/>
        </w:rPr>
        <w:t xml:space="preserve"> </w:t>
      </w:r>
      <w:r>
        <w:rPr>
          <w:i/>
          <w:sz w:val="20"/>
        </w:rPr>
        <w:t>Australia</w:t>
      </w:r>
      <w:r>
        <w:rPr>
          <w:i/>
          <w:spacing w:val="-1"/>
          <w:sz w:val="20"/>
        </w:rPr>
        <w:t xml:space="preserve"> </w:t>
      </w:r>
      <w:r>
        <w:rPr>
          <w:spacing w:val="-2"/>
          <w:sz w:val="20"/>
        </w:rPr>
        <w:t>(DS602)</w:t>
      </w:r>
      <w:r>
        <w:rPr>
          <w:sz w:val="20"/>
        </w:rPr>
        <w:tab/>
        <w:t>29</w:t>
      </w:r>
      <w:r>
        <w:rPr>
          <w:spacing w:val="-1"/>
          <w:sz w:val="20"/>
        </w:rPr>
        <w:t xml:space="preserve"> </w:t>
      </w:r>
      <w:r>
        <w:rPr>
          <w:sz w:val="20"/>
        </w:rPr>
        <w:t>April</w:t>
      </w:r>
      <w:r>
        <w:rPr>
          <w:spacing w:val="-2"/>
          <w:sz w:val="20"/>
        </w:rPr>
        <w:t xml:space="preserve"> </w:t>
      </w:r>
      <w:r>
        <w:rPr>
          <w:spacing w:val="-4"/>
          <w:sz w:val="20"/>
        </w:rPr>
        <w:t>2022</w:t>
      </w:r>
    </w:p>
    <w:p w14:paraId="51DE98C3" w14:textId="77777777" w:rsidR="0010369C" w:rsidRDefault="008E43AE">
      <w:pPr>
        <w:pStyle w:val="BodyText"/>
        <w:spacing w:before="34" w:line="360" w:lineRule="auto"/>
        <w:ind w:left="238" w:right="614" w:firstLine="850"/>
        <w:jc w:val="both"/>
      </w:pPr>
      <w:r>
        <w:rPr>
          <w:noProof/>
        </w:rPr>
        <w:drawing>
          <wp:anchor distT="0" distB="0" distL="0" distR="0" simplePos="0" relativeHeight="251531776" behindDoc="1" locked="0" layoutInCell="1" allowOverlap="1" wp14:anchorId="51DEA7F3" wp14:editId="51DEA7F4">
            <wp:simplePos x="0" y="0"/>
            <wp:positionH relativeFrom="page">
              <wp:posOffset>902208</wp:posOffset>
            </wp:positionH>
            <wp:positionV relativeFrom="paragraph">
              <wp:posOffset>69165</wp:posOffset>
            </wp:positionV>
            <wp:extent cx="262127" cy="103631"/>
            <wp:effectExtent l="0" t="0" r="0" b="0"/>
            <wp:wrapNone/>
            <wp:docPr id="1835" name="image9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 name="image945.png"/>
                    <pic:cNvPicPr/>
                  </pic:nvPicPr>
                  <pic:blipFill>
                    <a:blip r:embed="rId1226" cstate="print"/>
                    <a:stretch>
                      <a:fillRect/>
                    </a:stretch>
                  </pic:blipFill>
                  <pic:spPr>
                    <a:xfrm>
                      <a:off x="0" y="0"/>
                      <a:ext cx="262127" cy="103631"/>
                    </a:xfrm>
                    <a:prstGeom prst="rect">
                      <a:avLst/>
                    </a:prstGeom>
                  </pic:spPr>
                </pic:pic>
              </a:graphicData>
            </a:graphic>
          </wp:anchor>
        </w:drawing>
      </w:r>
      <w:r>
        <w:t>MOFCOM</w:t>
      </w:r>
      <w:r>
        <w:rPr>
          <w:spacing w:val="-9"/>
        </w:rPr>
        <w:t xml:space="preserve"> </w:t>
      </w:r>
      <w:r>
        <w:t>only</w:t>
      </w:r>
      <w:r>
        <w:rPr>
          <w:spacing w:val="-9"/>
        </w:rPr>
        <w:t xml:space="preserve"> </w:t>
      </w:r>
      <w:r>
        <w:t>sought</w:t>
      </w:r>
      <w:r>
        <w:rPr>
          <w:spacing w:val="-10"/>
        </w:rPr>
        <w:t xml:space="preserve"> </w:t>
      </w:r>
      <w:r>
        <w:t>to</w:t>
      </w:r>
      <w:r>
        <w:rPr>
          <w:spacing w:val="-9"/>
        </w:rPr>
        <w:t xml:space="preserve"> </w:t>
      </w:r>
      <w:r>
        <w:t>verify</w:t>
      </w:r>
      <w:r>
        <w:rPr>
          <w:spacing w:val="-10"/>
        </w:rPr>
        <w:t xml:space="preserve"> </w:t>
      </w:r>
      <w:r>
        <w:t>the</w:t>
      </w:r>
      <w:r>
        <w:rPr>
          <w:spacing w:val="-10"/>
        </w:rPr>
        <w:t xml:space="preserve"> </w:t>
      </w:r>
      <w:r>
        <w:t>accuracy</w:t>
      </w:r>
      <w:r>
        <w:rPr>
          <w:spacing w:val="-11"/>
        </w:rPr>
        <w:t xml:space="preserve"> </w:t>
      </w:r>
      <w:r>
        <w:t>of</w:t>
      </w:r>
      <w:r>
        <w:rPr>
          <w:spacing w:val="-10"/>
        </w:rPr>
        <w:t xml:space="preserve"> </w:t>
      </w:r>
      <w:r>
        <w:t>the</w:t>
      </w:r>
      <w:r>
        <w:rPr>
          <w:spacing w:val="-9"/>
        </w:rPr>
        <w:t xml:space="preserve"> </w:t>
      </w:r>
      <w:r>
        <w:t>responses</w:t>
      </w:r>
      <w:r>
        <w:rPr>
          <w:spacing w:val="-11"/>
        </w:rPr>
        <w:t xml:space="preserve"> </w:t>
      </w:r>
      <w:r>
        <w:t>given</w:t>
      </w:r>
      <w:r>
        <w:rPr>
          <w:spacing w:val="-10"/>
        </w:rPr>
        <w:t xml:space="preserve"> </w:t>
      </w:r>
      <w:r>
        <w:t>in</w:t>
      </w:r>
      <w:r>
        <w:rPr>
          <w:spacing w:val="-10"/>
        </w:rPr>
        <w:t xml:space="preserve"> </w:t>
      </w:r>
      <w:r>
        <w:t>only</w:t>
      </w:r>
      <w:r>
        <w:rPr>
          <w:spacing w:val="-9"/>
        </w:rPr>
        <w:t xml:space="preserve"> </w:t>
      </w:r>
      <w:r>
        <w:t>two</w:t>
      </w:r>
      <w:r>
        <w:rPr>
          <w:spacing w:val="-9"/>
        </w:rPr>
        <w:t xml:space="preserve"> </w:t>
      </w:r>
      <w:r>
        <w:t>of</w:t>
      </w:r>
      <w:r>
        <w:rPr>
          <w:spacing w:val="-10"/>
        </w:rPr>
        <w:t xml:space="preserve"> </w:t>
      </w:r>
      <w:r>
        <w:t>the 21 Domestic Producer Questionnaire responses it received:</w:t>
      </w:r>
    </w:p>
    <w:p w14:paraId="51DE98C4" w14:textId="77777777" w:rsidR="0010369C" w:rsidRDefault="008E43AE">
      <w:pPr>
        <w:spacing w:before="160" w:line="276" w:lineRule="auto"/>
        <w:ind w:left="1089" w:right="612" w:hanging="1"/>
        <w:jc w:val="both"/>
      </w:pPr>
      <w:r>
        <w:t>In order to verify the documents and evidence provided in the applications and responses and</w:t>
      </w:r>
      <w:r>
        <w:rPr>
          <w:spacing w:val="-4"/>
        </w:rPr>
        <w:t xml:space="preserve"> </w:t>
      </w:r>
      <w:r>
        <w:t>gain</w:t>
      </w:r>
      <w:r>
        <w:rPr>
          <w:spacing w:val="-5"/>
        </w:rPr>
        <w:t xml:space="preserve"> </w:t>
      </w:r>
      <w:r>
        <w:t>an</w:t>
      </w:r>
      <w:r>
        <w:rPr>
          <w:spacing w:val="-3"/>
        </w:rPr>
        <w:t xml:space="preserve"> </w:t>
      </w:r>
      <w:r>
        <w:t>understanding</w:t>
      </w:r>
      <w:r>
        <w:rPr>
          <w:spacing w:val="-2"/>
        </w:rPr>
        <w:t xml:space="preserve"> </w:t>
      </w:r>
      <w:r>
        <w:t>of</w:t>
      </w:r>
      <w:r>
        <w:rPr>
          <w:spacing w:val="-4"/>
        </w:rPr>
        <w:t xml:space="preserve"> </w:t>
      </w:r>
      <w:r>
        <w:t>other</w:t>
      </w:r>
      <w:r>
        <w:rPr>
          <w:spacing w:val="-4"/>
        </w:rPr>
        <w:t xml:space="preserve"> </w:t>
      </w:r>
      <w:r>
        <w:t>respects</w:t>
      </w:r>
      <w:r>
        <w:rPr>
          <w:spacing w:val="-3"/>
        </w:rPr>
        <w:t xml:space="preserve"> </w:t>
      </w:r>
      <w:r>
        <w:t>of</w:t>
      </w:r>
      <w:r>
        <w:rPr>
          <w:spacing w:val="-4"/>
        </w:rPr>
        <w:t xml:space="preserve"> </w:t>
      </w:r>
      <w:r>
        <w:t>the</w:t>
      </w:r>
      <w:r>
        <w:rPr>
          <w:spacing w:val="-3"/>
        </w:rPr>
        <w:t xml:space="preserve"> </w:t>
      </w:r>
      <w:r>
        <w:t>investigation,</w:t>
      </w:r>
      <w:r>
        <w:rPr>
          <w:spacing w:val="-2"/>
        </w:rPr>
        <w:t xml:space="preserve"> </w:t>
      </w:r>
      <w:r>
        <w:t>the</w:t>
      </w:r>
      <w:r>
        <w:rPr>
          <w:spacing w:val="-4"/>
        </w:rPr>
        <w:t xml:space="preserve"> </w:t>
      </w:r>
      <w:r>
        <w:t>Investigating</w:t>
      </w:r>
      <w:r>
        <w:rPr>
          <w:spacing w:val="-4"/>
        </w:rPr>
        <w:t xml:space="preserve"> </w:t>
      </w:r>
      <w:r>
        <w:t>Authority distributed</w:t>
      </w:r>
      <w:r>
        <w:rPr>
          <w:spacing w:val="-4"/>
        </w:rPr>
        <w:t xml:space="preserve"> </w:t>
      </w:r>
      <w:r>
        <w:t>the</w:t>
      </w:r>
      <w:r>
        <w:rPr>
          <w:spacing w:val="-6"/>
        </w:rPr>
        <w:t xml:space="preserve"> </w:t>
      </w:r>
      <w:r>
        <w:t>Notice</w:t>
      </w:r>
      <w:r>
        <w:rPr>
          <w:spacing w:val="-4"/>
        </w:rPr>
        <w:t xml:space="preserve"> </w:t>
      </w:r>
      <w:r>
        <w:t>on</w:t>
      </w:r>
      <w:r>
        <w:rPr>
          <w:spacing w:val="-4"/>
        </w:rPr>
        <w:t xml:space="preserve"> </w:t>
      </w:r>
      <w:r>
        <w:t>the</w:t>
      </w:r>
      <w:r>
        <w:rPr>
          <w:spacing w:val="-6"/>
        </w:rPr>
        <w:t xml:space="preserve"> </w:t>
      </w:r>
      <w:r>
        <w:t>Verification</w:t>
      </w:r>
      <w:r>
        <w:rPr>
          <w:spacing w:val="-5"/>
        </w:rPr>
        <w:t xml:space="preserve"> </w:t>
      </w:r>
      <w:r>
        <w:t>of</w:t>
      </w:r>
      <w:r>
        <w:rPr>
          <w:spacing w:val="-4"/>
        </w:rPr>
        <w:t xml:space="preserve"> </w:t>
      </w:r>
      <w:r>
        <w:t>Relevant</w:t>
      </w:r>
      <w:r>
        <w:rPr>
          <w:spacing w:val="-5"/>
        </w:rPr>
        <w:t xml:space="preserve"> </w:t>
      </w:r>
      <w:r>
        <w:t>Matters</w:t>
      </w:r>
      <w:r>
        <w:rPr>
          <w:spacing w:val="-5"/>
        </w:rPr>
        <w:t xml:space="preserve"> </w:t>
      </w:r>
      <w:r>
        <w:t>Regarding</w:t>
      </w:r>
      <w:r>
        <w:rPr>
          <w:spacing w:val="-4"/>
        </w:rPr>
        <w:t xml:space="preserve"> </w:t>
      </w:r>
      <w:r>
        <w:t>the</w:t>
      </w:r>
      <w:r>
        <w:rPr>
          <w:spacing w:val="-4"/>
        </w:rPr>
        <w:t xml:space="preserve"> </w:t>
      </w:r>
      <w:r>
        <w:t>Relevant</w:t>
      </w:r>
      <w:r>
        <w:rPr>
          <w:spacing w:val="-6"/>
        </w:rPr>
        <w:t xml:space="preserve"> </w:t>
      </w:r>
      <w:r>
        <w:t xml:space="preserve">Wines Anti‐Dumping and Countervailing Duty Cases to Yantai Changyu Pioneer Wine Company Limited and COFCO Greatwall Wines &amp; Spirits Co., Ltd. on 27 January 2021, and demanded these </w:t>
      </w:r>
      <w:r>
        <w:t>two enterprises to prepare and submit relevant written documents and supporting evidence promptly based on the requirements of the List of Verification Questions.</w:t>
      </w:r>
      <w:r>
        <w:rPr>
          <w:vertAlign w:val="superscript"/>
        </w:rPr>
        <w:t>1106</w:t>
      </w:r>
    </w:p>
    <w:p w14:paraId="51DE98C5" w14:textId="77777777" w:rsidR="0010369C" w:rsidRDefault="0010369C">
      <w:pPr>
        <w:pStyle w:val="BodyText"/>
        <w:spacing w:before="5"/>
        <w:rPr>
          <w:sz w:val="15"/>
        </w:rPr>
      </w:pPr>
    </w:p>
    <w:p w14:paraId="51DE98C6" w14:textId="77777777" w:rsidR="0010369C" w:rsidRDefault="008E43AE">
      <w:pPr>
        <w:pStyle w:val="BodyText"/>
        <w:spacing w:before="52" w:line="360" w:lineRule="auto"/>
        <w:ind w:left="237" w:right="612" w:firstLine="852"/>
        <w:jc w:val="both"/>
      </w:pPr>
      <w:r>
        <w:rPr>
          <w:noProof/>
        </w:rPr>
        <w:drawing>
          <wp:anchor distT="0" distB="0" distL="0" distR="0" simplePos="0" relativeHeight="251532800" behindDoc="1" locked="0" layoutInCell="1" allowOverlap="1" wp14:anchorId="51DEA7F5" wp14:editId="51DEA7F6">
            <wp:simplePos x="0" y="0"/>
            <wp:positionH relativeFrom="page">
              <wp:posOffset>902208</wp:posOffset>
            </wp:positionH>
            <wp:positionV relativeFrom="paragraph">
              <wp:posOffset>81357</wp:posOffset>
            </wp:positionV>
            <wp:extent cx="262127" cy="103631"/>
            <wp:effectExtent l="0" t="0" r="0" b="0"/>
            <wp:wrapNone/>
            <wp:docPr id="1837" name="image9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 name="image946.png"/>
                    <pic:cNvPicPr/>
                  </pic:nvPicPr>
                  <pic:blipFill>
                    <a:blip r:embed="rId1227" cstate="print"/>
                    <a:stretch>
                      <a:fillRect/>
                    </a:stretch>
                  </pic:blipFill>
                  <pic:spPr>
                    <a:xfrm>
                      <a:off x="0" y="0"/>
                      <a:ext cx="262127" cy="103631"/>
                    </a:xfrm>
                    <a:prstGeom prst="rect">
                      <a:avLst/>
                    </a:prstGeom>
                  </pic:spPr>
                </pic:pic>
              </a:graphicData>
            </a:graphic>
          </wp:anchor>
        </w:drawing>
      </w:r>
      <w:r>
        <w:t>As the responses provided by Changyu Wines and COFCO Greatwall are almost entirely</w:t>
      </w:r>
      <w:r>
        <w:rPr>
          <w:spacing w:val="-10"/>
        </w:rPr>
        <w:t xml:space="preserve"> </w:t>
      </w:r>
      <w:r>
        <w:t>subject</w:t>
      </w:r>
      <w:r>
        <w:rPr>
          <w:spacing w:val="-10"/>
        </w:rPr>
        <w:t xml:space="preserve"> </w:t>
      </w:r>
      <w:r>
        <w:t>to</w:t>
      </w:r>
      <w:r>
        <w:rPr>
          <w:spacing w:val="-9"/>
        </w:rPr>
        <w:t xml:space="preserve"> </w:t>
      </w:r>
      <w:r>
        <w:t>claims</w:t>
      </w:r>
      <w:r>
        <w:rPr>
          <w:spacing w:val="-11"/>
        </w:rPr>
        <w:t xml:space="preserve"> </w:t>
      </w:r>
      <w:r>
        <w:t>of</w:t>
      </w:r>
      <w:r>
        <w:rPr>
          <w:spacing w:val="-10"/>
        </w:rPr>
        <w:t xml:space="preserve"> </w:t>
      </w:r>
      <w:r>
        <w:t>confidentiality</w:t>
      </w:r>
      <w:r>
        <w:rPr>
          <w:spacing w:val="-10"/>
        </w:rPr>
        <w:t xml:space="preserve"> </w:t>
      </w:r>
      <w:r>
        <w:t>that</w:t>
      </w:r>
      <w:r>
        <w:rPr>
          <w:spacing w:val="-10"/>
        </w:rPr>
        <w:t xml:space="preserve"> </w:t>
      </w:r>
      <w:r>
        <w:t>mean</w:t>
      </w:r>
      <w:r>
        <w:rPr>
          <w:spacing w:val="-10"/>
        </w:rPr>
        <w:t xml:space="preserve"> </w:t>
      </w:r>
      <w:r>
        <w:t>other</w:t>
      </w:r>
      <w:r>
        <w:rPr>
          <w:spacing w:val="-9"/>
        </w:rPr>
        <w:t xml:space="preserve"> </w:t>
      </w:r>
      <w:r>
        <w:t>interested</w:t>
      </w:r>
      <w:r>
        <w:rPr>
          <w:spacing w:val="-9"/>
        </w:rPr>
        <w:t xml:space="preserve"> </w:t>
      </w:r>
      <w:r>
        <w:t>parties</w:t>
      </w:r>
      <w:r>
        <w:rPr>
          <w:spacing w:val="-10"/>
        </w:rPr>
        <w:t xml:space="preserve"> </w:t>
      </w:r>
      <w:r>
        <w:t>had</w:t>
      </w:r>
      <w:r>
        <w:rPr>
          <w:spacing w:val="-10"/>
        </w:rPr>
        <w:t xml:space="preserve"> </w:t>
      </w:r>
      <w:r>
        <w:t>no</w:t>
      </w:r>
      <w:r>
        <w:rPr>
          <w:spacing w:val="-9"/>
        </w:rPr>
        <w:t xml:space="preserve"> </w:t>
      </w:r>
      <w:r>
        <w:t>visibility or information regarding the content of those responses. Based on the limited information available,</w:t>
      </w:r>
      <w:r>
        <w:rPr>
          <w:spacing w:val="-10"/>
        </w:rPr>
        <w:t xml:space="preserve"> </w:t>
      </w:r>
      <w:r>
        <w:t>the</w:t>
      </w:r>
      <w:r>
        <w:rPr>
          <w:spacing w:val="-9"/>
        </w:rPr>
        <w:t xml:space="preserve"> </w:t>
      </w:r>
      <w:r>
        <w:t>responses</w:t>
      </w:r>
      <w:r>
        <w:rPr>
          <w:spacing w:val="-12"/>
        </w:rPr>
        <w:t xml:space="preserve"> </w:t>
      </w:r>
      <w:r>
        <w:t>provided</w:t>
      </w:r>
      <w:r>
        <w:rPr>
          <w:spacing w:val="-10"/>
        </w:rPr>
        <w:t xml:space="preserve"> </w:t>
      </w:r>
      <w:r>
        <w:t>appear</w:t>
      </w:r>
      <w:r>
        <w:rPr>
          <w:spacing w:val="-9"/>
        </w:rPr>
        <w:t xml:space="preserve"> </w:t>
      </w:r>
      <w:r>
        <w:t>to</w:t>
      </w:r>
      <w:r>
        <w:rPr>
          <w:spacing w:val="-9"/>
        </w:rPr>
        <w:t xml:space="preserve"> </w:t>
      </w:r>
      <w:r>
        <w:t>relate</w:t>
      </w:r>
      <w:r>
        <w:rPr>
          <w:spacing w:val="-9"/>
        </w:rPr>
        <w:t xml:space="preserve"> </w:t>
      </w:r>
      <w:r>
        <w:t>entirely</w:t>
      </w:r>
      <w:r>
        <w:rPr>
          <w:spacing w:val="-10"/>
        </w:rPr>
        <w:t xml:space="preserve"> </w:t>
      </w:r>
      <w:r>
        <w:t>to</w:t>
      </w:r>
      <w:r>
        <w:rPr>
          <w:spacing w:val="-12"/>
        </w:rPr>
        <w:t xml:space="preserve"> </w:t>
      </w:r>
      <w:r>
        <w:t>information</w:t>
      </w:r>
      <w:r>
        <w:rPr>
          <w:spacing w:val="-10"/>
        </w:rPr>
        <w:t xml:space="preserve"> </w:t>
      </w:r>
      <w:r>
        <w:t>about</w:t>
      </w:r>
      <w:r>
        <w:rPr>
          <w:spacing w:val="-10"/>
        </w:rPr>
        <w:t xml:space="preserve"> </w:t>
      </w:r>
      <w:r>
        <w:t>each</w:t>
      </w:r>
      <w:r>
        <w:rPr>
          <w:spacing w:val="-12"/>
        </w:rPr>
        <w:t xml:space="preserve"> </w:t>
      </w:r>
      <w:r>
        <w:t>of</w:t>
      </w:r>
      <w:r>
        <w:rPr>
          <w:spacing w:val="-10"/>
        </w:rPr>
        <w:t xml:space="preserve"> </w:t>
      </w:r>
      <w:r>
        <w:t>those two individual companies, their operations, their sales acti</w:t>
      </w:r>
      <w:r>
        <w:t>vities, and financial reports.</w:t>
      </w:r>
      <w:r>
        <w:rPr>
          <w:vertAlign w:val="superscript"/>
        </w:rPr>
        <w:t>1107</w:t>
      </w:r>
      <w:r>
        <w:t xml:space="preserve"> Such information can provide very little reliable information, if any, about the circumstances of any </w:t>
      </w:r>
      <w:r>
        <w:rPr>
          <w:i/>
        </w:rPr>
        <w:t xml:space="preserve">other </w:t>
      </w:r>
      <w:r>
        <w:t>Chinese importers or producers. The fact that one or both of these companies may (or may not) have submitted veri</w:t>
      </w:r>
      <w:r>
        <w:t>fiable information in their questionnaire does not provide a rational basis for an objective investigating authority to draw inferences about the accuracy of data from other unrelated entities.</w:t>
      </w:r>
    </w:p>
    <w:p w14:paraId="51DE98C7" w14:textId="77777777" w:rsidR="0010369C" w:rsidRDefault="0010369C">
      <w:pPr>
        <w:pStyle w:val="BodyText"/>
        <w:spacing w:before="10"/>
        <w:rPr>
          <w:sz w:val="8"/>
        </w:rPr>
      </w:pPr>
    </w:p>
    <w:p w14:paraId="51DE98C8" w14:textId="77777777" w:rsidR="0010369C" w:rsidRDefault="008E43AE">
      <w:pPr>
        <w:pStyle w:val="BodyText"/>
        <w:spacing w:before="52" w:line="362" w:lineRule="auto"/>
        <w:ind w:left="238" w:right="614" w:firstLine="851"/>
      </w:pPr>
      <w:r>
        <w:rPr>
          <w:noProof/>
        </w:rPr>
        <w:drawing>
          <wp:anchor distT="0" distB="0" distL="0" distR="0" simplePos="0" relativeHeight="251533824" behindDoc="1" locked="0" layoutInCell="1" allowOverlap="1" wp14:anchorId="51DEA7F7" wp14:editId="51DEA7F8">
            <wp:simplePos x="0" y="0"/>
            <wp:positionH relativeFrom="page">
              <wp:posOffset>902208</wp:posOffset>
            </wp:positionH>
            <wp:positionV relativeFrom="paragraph">
              <wp:posOffset>81949</wp:posOffset>
            </wp:positionV>
            <wp:extent cx="262127" cy="100753"/>
            <wp:effectExtent l="0" t="0" r="0" b="0"/>
            <wp:wrapNone/>
            <wp:docPr id="1839" name="image9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 name="image947.png"/>
                    <pic:cNvPicPr/>
                  </pic:nvPicPr>
                  <pic:blipFill>
                    <a:blip r:embed="rId1228" cstate="print"/>
                    <a:stretch>
                      <a:fillRect/>
                    </a:stretch>
                  </pic:blipFill>
                  <pic:spPr>
                    <a:xfrm>
                      <a:off x="0" y="0"/>
                      <a:ext cx="262127" cy="100753"/>
                    </a:xfrm>
                    <a:prstGeom prst="rect">
                      <a:avLst/>
                    </a:prstGeom>
                  </pic:spPr>
                </pic:pic>
              </a:graphicData>
            </a:graphic>
          </wp:anchor>
        </w:drawing>
      </w:r>
      <w:r>
        <w:t>MOFCOM</w:t>
      </w:r>
      <w:r>
        <w:rPr>
          <w:spacing w:val="33"/>
        </w:rPr>
        <w:t xml:space="preserve"> </w:t>
      </w:r>
      <w:r>
        <w:t>did</w:t>
      </w:r>
      <w:r>
        <w:rPr>
          <w:spacing w:val="33"/>
        </w:rPr>
        <w:t xml:space="preserve"> </w:t>
      </w:r>
      <w:r>
        <w:t>nothing</w:t>
      </w:r>
      <w:r>
        <w:rPr>
          <w:spacing w:val="33"/>
        </w:rPr>
        <w:t xml:space="preserve"> </w:t>
      </w:r>
      <w:r>
        <w:t>to</w:t>
      </w:r>
      <w:r>
        <w:rPr>
          <w:spacing w:val="33"/>
        </w:rPr>
        <w:t xml:space="preserve"> </w:t>
      </w:r>
      <w:r>
        <w:t>satisfy</w:t>
      </w:r>
      <w:r>
        <w:rPr>
          <w:spacing w:val="34"/>
        </w:rPr>
        <w:t xml:space="preserve"> </w:t>
      </w:r>
      <w:r>
        <w:t>itself</w:t>
      </w:r>
      <w:r>
        <w:rPr>
          <w:spacing w:val="33"/>
        </w:rPr>
        <w:t xml:space="preserve"> </w:t>
      </w:r>
      <w:r>
        <w:t>as</w:t>
      </w:r>
      <w:r>
        <w:rPr>
          <w:spacing w:val="32"/>
        </w:rPr>
        <w:t xml:space="preserve"> </w:t>
      </w:r>
      <w:r>
        <w:t>to</w:t>
      </w:r>
      <w:r>
        <w:rPr>
          <w:spacing w:val="33"/>
        </w:rPr>
        <w:t xml:space="preserve"> </w:t>
      </w:r>
      <w:r>
        <w:t>the</w:t>
      </w:r>
      <w:r>
        <w:rPr>
          <w:spacing w:val="33"/>
        </w:rPr>
        <w:t xml:space="preserve"> </w:t>
      </w:r>
      <w:r>
        <w:t>accuracy</w:t>
      </w:r>
      <w:r>
        <w:rPr>
          <w:spacing w:val="32"/>
        </w:rPr>
        <w:t xml:space="preserve"> </w:t>
      </w:r>
      <w:r>
        <w:t>of</w:t>
      </w:r>
      <w:r>
        <w:rPr>
          <w:spacing w:val="33"/>
        </w:rPr>
        <w:t xml:space="preserve"> </w:t>
      </w:r>
      <w:r>
        <w:t>t</w:t>
      </w:r>
      <w:r>
        <w:t>he</w:t>
      </w:r>
      <w:r>
        <w:rPr>
          <w:spacing w:val="33"/>
        </w:rPr>
        <w:t xml:space="preserve"> </w:t>
      </w:r>
      <w:r>
        <w:t>responses</w:t>
      </w:r>
      <w:r>
        <w:rPr>
          <w:spacing w:val="32"/>
        </w:rPr>
        <w:t xml:space="preserve"> </w:t>
      </w:r>
      <w:r>
        <w:t>to</w:t>
      </w:r>
      <w:r>
        <w:rPr>
          <w:spacing w:val="33"/>
        </w:rPr>
        <w:t xml:space="preserve"> </w:t>
      </w:r>
      <w:r>
        <w:t>the Questionnaire for Domestic Producers submitted by the other 19 respondents.</w:t>
      </w:r>
    </w:p>
    <w:p w14:paraId="51DE98C9" w14:textId="77777777" w:rsidR="0010369C" w:rsidRDefault="0010369C">
      <w:pPr>
        <w:pStyle w:val="BodyText"/>
        <w:spacing w:before="5"/>
        <w:rPr>
          <w:sz w:val="8"/>
        </w:rPr>
      </w:pPr>
    </w:p>
    <w:p w14:paraId="51DE98CA" w14:textId="77777777" w:rsidR="0010369C" w:rsidRDefault="008E43AE">
      <w:pPr>
        <w:pStyle w:val="BodyText"/>
        <w:spacing w:before="51" w:line="360" w:lineRule="auto"/>
        <w:ind w:left="237" w:right="613" w:firstLine="851"/>
        <w:jc w:val="both"/>
      </w:pPr>
      <w:r>
        <w:rPr>
          <w:noProof/>
        </w:rPr>
        <w:drawing>
          <wp:anchor distT="0" distB="0" distL="0" distR="0" simplePos="0" relativeHeight="251534848" behindDoc="1" locked="0" layoutInCell="1" allowOverlap="1" wp14:anchorId="51DEA7F9" wp14:editId="51DEA7FA">
            <wp:simplePos x="0" y="0"/>
            <wp:positionH relativeFrom="page">
              <wp:posOffset>902208</wp:posOffset>
            </wp:positionH>
            <wp:positionV relativeFrom="paragraph">
              <wp:posOffset>79960</wp:posOffset>
            </wp:positionV>
            <wp:extent cx="262127" cy="103631"/>
            <wp:effectExtent l="0" t="0" r="0" b="0"/>
            <wp:wrapNone/>
            <wp:docPr id="1841" name="image9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 name="image948.png"/>
                    <pic:cNvPicPr/>
                  </pic:nvPicPr>
                  <pic:blipFill>
                    <a:blip r:embed="rId1229" cstate="print"/>
                    <a:stretch>
                      <a:fillRect/>
                    </a:stretch>
                  </pic:blipFill>
                  <pic:spPr>
                    <a:xfrm>
                      <a:off x="0" y="0"/>
                      <a:ext cx="262127" cy="103631"/>
                    </a:xfrm>
                    <a:prstGeom prst="rect">
                      <a:avLst/>
                    </a:prstGeom>
                  </pic:spPr>
                </pic:pic>
              </a:graphicData>
            </a:graphic>
          </wp:anchor>
        </w:drawing>
      </w:r>
      <w:r>
        <w:t>This is striking given MOFCOM's earlier conclusion that it could not rely upon the statistical data submitted about the industry by CADA. Given that MOFCOM wa</w:t>
      </w:r>
      <w:r>
        <w:t>s aware that the</w:t>
      </w:r>
      <w:r>
        <w:rPr>
          <w:spacing w:val="-1"/>
        </w:rPr>
        <w:t xml:space="preserve"> </w:t>
      </w:r>
      <w:r>
        <w:t>domestic industry had</w:t>
      </w:r>
      <w:r>
        <w:rPr>
          <w:spacing w:val="-1"/>
        </w:rPr>
        <w:t xml:space="preserve"> </w:t>
      </w:r>
      <w:r>
        <w:t>already</w:t>
      </w:r>
      <w:r>
        <w:rPr>
          <w:spacing w:val="-1"/>
        </w:rPr>
        <w:t xml:space="preserve"> </w:t>
      </w:r>
      <w:r>
        <w:t>provided</w:t>
      </w:r>
      <w:r>
        <w:rPr>
          <w:spacing w:val="-1"/>
        </w:rPr>
        <w:t xml:space="preserve"> </w:t>
      </w:r>
      <w:r>
        <w:t>inaccurate information,</w:t>
      </w:r>
      <w:r>
        <w:rPr>
          <w:spacing w:val="-1"/>
        </w:rPr>
        <w:t xml:space="preserve"> </w:t>
      </w:r>
      <w:r>
        <w:t>including the</w:t>
      </w:r>
      <w:r>
        <w:rPr>
          <w:spacing w:val="-1"/>
        </w:rPr>
        <w:t xml:space="preserve"> </w:t>
      </w:r>
      <w:r>
        <w:t>inflation</w:t>
      </w:r>
      <w:r>
        <w:rPr>
          <w:spacing w:val="-2"/>
        </w:rPr>
        <w:t xml:space="preserve"> </w:t>
      </w:r>
      <w:r>
        <w:t>of domestic production through the inclusion of products outside of the scope of the investigation,</w:t>
      </w:r>
      <w:r>
        <w:rPr>
          <w:spacing w:val="-6"/>
        </w:rPr>
        <w:t xml:space="preserve"> </w:t>
      </w:r>
      <w:r>
        <w:t>it</w:t>
      </w:r>
      <w:r>
        <w:rPr>
          <w:spacing w:val="-7"/>
        </w:rPr>
        <w:t xml:space="preserve"> </w:t>
      </w:r>
      <w:r>
        <w:t>should</w:t>
      </w:r>
      <w:r>
        <w:rPr>
          <w:spacing w:val="-6"/>
        </w:rPr>
        <w:t xml:space="preserve"> </w:t>
      </w:r>
      <w:r>
        <w:t>have</w:t>
      </w:r>
      <w:r>
        <w:rPr>
          <w:spacing w:val="-6"/>
        </w:rPr>
        <w:t xml:space="preserve"> </w:t>
      </w:r>
      <w:r>
        <w:t>been</w:t>
      </w:r>
      <w:r>
        <w:rPr>
          <w:spacing w:val="-7"/>
        </w:rPr>
        <w:t xml:space="preserve"> </w:t>
      </w:r>
      <w:r>
        <w:t>particularly</w:t>
      </w:r>
      <w:r>
        <w:rPr>
          <w:spacing w:val="-6"/>
        </w:rPr>
        <w:t xml:space="preserve"> </w:t>
      </w:r>
      <w:r>
        <w:t>attentive</w:t>
      </w:r>
      <w:r>
        <w:rPr>
          <w:spacing w:val="-7"/>
        </w:rPr>
        <w:t xml:space="preserve"> </w:t>
      </w:r>
      <w:r>
        <w:t>to</w:t>
      </w:r>
      <w:r>
        <w:rPr>
          <w:spacing w:val="-7"/>
        </w:rPr>
        <w:t xml:space="preserve"> </w:t>
      </w:r>
      <w:r>
        <w:t>the</w:t>
      </w:r>
      <w:r>
        <w:rPr>
          <w:spacing w:val="-7"/>
        </w:rPr>
        <w:t xml:space="preserve"> </w:t>
      </w:r>
      <w:r>
        <w:t>need</w:t>
      </w:r>
      <w:r>
        <w:rPr>
          <w:spacing w:val="-7"/>
        </w:rPr>
        <w:t xml:space="preserve"> </w:t>
      </w:r>
      <w:r>
        <w:t>to</w:t>
      </w:r>
      <w:r>
        <w:rPr>
          <w:spacing w:val="-7"/>
        </w:rPr>
        <w:t xml:space="preserve"> </w:t>
      </w:r>
      <w:r>
        <w:t>actively</w:t>
      </w:r>
      <w:r>
        <w:rPr>
          <w:spacing w:val="-7"/>
        </w:rPr>
        <w:t xml:space="preserve"> </w:t>
      </w:r>
      <w:r>
        <w:t>investigate</w:t>
      </w:r>
      <w:r>
        <w:rPr>
          <w:spacing w:val="-6"/>
        </w:rPr>
        <w:t xml:space="preserve"> </w:t>
      </w:r>
      <w:r>
        <w:t>the accuracy of submissions by the domestic industry. In such circumstances a</w:t>
      </w:r>
      <w:r>
        <w:t>n objective investigating authority would have concluded that it was not appropriate to rely solely on simple assertion from the domestic industry to assess the accuracy of their responses.</w:t>
      </w:r>
    </w:p>
    <w:p w14:paraId="51DE98CB" w14:textId="77777777" w:rsidR="0010369C" w:rsidRDefault="0010369C">
      <w:pPr>
        <w:pStyle w:val="BodyText"/>
        <w:rPr>
          <w:sz w:val="20"/>
        </w:rPr>
      </w:pPr>
    </w:p>
    <w:p w14:paraId="51DE98CC" w14:textId="77777777" w:rsidR="0010369C" w:rsidRDefault="0010369C">
      <w:pPr>
        <w:pStyle w:val="BodyText"/>
        <w:rPr>
          <w:sz w:val="20"/>
        </w:rPr>
      </w:pPr>
    </w:p>
    <w:p w14:paraId="51DE98CD" w14:textId="77777777" w:rsidR="0010369C" w:rsidRDefault="008E43AE">
      <w:pPr>
        <w:pStyle w:val="BodyText"/>
        <w:spacing w:before="11"/>
        <w:rPr>
          <w:sz w:val="12"/>
        </w:rPr>
      </w:pPr>
      <w:r>
        <w:pict w14:anchorId="51DEA7FB">
          <v:rect id="docshape1362" o:spid="_x0000_s1112" style="position:absolute;margin-left:70.9pt;margin-top:9.1pt;width:2in;height:.8pt;z-index:-250706432;mso-wrap-distance-left:0;mso-wrap-distance-right:0;mso-position-horizontal-relative:page" fillcolor="black" stroked="f">
            <w10:wrap type="topAndBottom" anchorx="page"/>
          </v:rect>
        </w:pict>
      </w:r>
    </w:p>
    <w:p w14:paraId="51DE98CE" w14:textId="77777777" w:rsidR="0010369C" w:rsidRDefault="008E43AE">
      <w:pPr>
        <w:spacing w:before="109"/>
        <w:ind w:left="238"/>
        <w:rPr>
          <w:sz w:val="18"/>
        </w:rPr>
      </w:pPr>
      <w:r>
        <w:rPr>
          <w:sz w:val="18"/>
          <w:vertAlign w:val="superscript"/>
        </w:rPr>
        <w:t>1106</w:t>
      </w:r>
      <w:r>
        <w:rPr>
          <w:spacing w:val="-9"/>
          <w:sz w:val="18"/>
        </w:rPr>
        <w:t xml:space="preserve"> </w:t>
      </w:r>
      <w:r>
        <w:rPr>
          <w:sz w:val="18"/>
        </w:rPr>
        <w:t>Anti‐Dumping</w:t>
      </w:r>
      <w:r>
        <w:rPr>
          <w:spacing w:val="-9"/>
          <w:sz w:val="18"/>
        </w:rPr>
        <w:t xml:space="preserve"> </w:t>
      </w:r>
      <w:r>
        <w:rPr>
          <w:sz w:val="18"/>
        </w:rPr>
        <w:t>Final</w:t>
      </w:r>
      <w:r>
        <w:rPr>
          <w:spacing w:val="-9"/>
          <w:sz w:val="18"/>
        </w:rPr>
        <w:t xml:space="preserve"> </w:t>
      </w:r>
      <w:r>
        <w:rPr>
          <w:sz w:val="18"/>
        </w:rPr>
        <w:t>Determination</w:t>
      </w:r>
      <w:r>
        <w:rPr>
          <w:spacing w:val="-8"/>
          <w:sz w:val="18"/>
        </w:rPr>
        <w:t xml:space="preserve"> </w:t>
      </w:r>
      <w:r>
        <w:rPr>
          <w:sz w:val="18"/>
        </w:rPr>
        <w:t>(Exhibit</w:t>
      </w:r>
      <w:r>
        <w:rPr>
          <w:spacing w:val="-9"/>
          <w:sz w:val="18"/>
        </w:rPr>
        <w:t xml:space="preserve"> </w:t>
      </w:r>
      <w:r>
        <w:rPr>
          <w:sz w:val="18"/>
        </w:rPr>
        <w:t>AUS‐2),</w:t>
      </w:r>
      <w:r>
        <w:rPr>
          <w:spacing w:val="-10"/>
          <w:sz w:val="18"/>
        </w:rPr>
        <w:t xml:space="preserve"> </w:t>
      </w:r>
      <w:r>
        <w:rPr>
          <w:sz w:val="18"/>
        </w:rPr>
        <w:t>p.</w:t>
      </w:r>
      <w:r>
        <w:rPr>
          <w:spacing w:val="-9"/>
          <w:sz w:val="18"/>
        </w:rPr>
        <w:t xml:space="preserve"> </w:t>
      </w:r>
      <w:r>
        <w:rPr>
          <w:spacing w:val="-5"/>
          <w:sz w:val="18"/>
        </w:rPr>
        <w:t>28.</w:t>
      </w:r>
    </w:p>
    <w:p w14:paraId="51DE98CF" w14:textId="77777777" w:rsidR="0010369C" w:rsidRDefault="008E43AE">
      <w:pPr>
        <w:ind w:left="238" w:right="611"/>
        <w:rPr>
          <w:sz w:val="18"/>
        </w:rPr>
      </w:pPr>
      <w:r>
        <w:rPr>
          <w:sz w:val="18"/>
          <w:vertAlign w:val="superscript"/>
        </w:rPr>
        <w:t>1107</w:t>
      </w:r>
      <w:r>
        <w:rPr>
          <w:sz w:val="18"/>
        </w:rPr>
        <w:t xml:space="preserve"> COFCO Anti‐Dumping Questionnaire Response</w:t>
      </w:r>
      <w:r>
        <w:rPr>
          <w:spacing w:val="-3"/>
          <w:sz w:val="18"/>
        </w:rPr>
        <w:t xml:space="preserve"> </w:t>
      </w:r>
      <w:r>
        <w:rPr>
          <w:sz w:val="18"/>
        </w:rPr>
        <w:t>(Exhibit AUS‐44), pp. 1‐53; Changyu Wines Anti‐Dumping Questionnaire Response (Exhibit AUS‐53), pp. 1‐52.</w:t>
      </w:r>
    </w:p>
    <w:p w14:paraId="51DE98D0" w14:textId="77777777" w:rsidR="0010369C" w:rsidRDefault="0010369C">
      <w:pPr>
        <w:rPr>
          <w:sz w:val="18"/>
        </w:rPr>
        <w:sectPr w:rsidR="0010369C">
          <w:pgSz w:w="11910" w:h="16840"/>
          <w:pgMar w:top="880" w:right="800" w:bottom="980" w:left="1180" w:header="569" w:footer="788" w:gutter="0"/>
          <w:cols w:space="720"/>
        </w:sectPr>
      </w:pPr>
    </w:p>
    <w:p w14:paraId="51DE98D1" w14:textId="77777777" w:rsidR="0010369C" w:rsidRDefault="008E43AE">
      <w:pPr>
        <w:tabs>
          <w:tab w:val="left" w:pos="6426"/>
        </w:tabs>
        <w:ind w:left="238"/>
        <w:rPr>
          <w:sz w:val="20"/>
        </w:rPr>
      </w:pPr>
      <w:r>
        <w:rPr>
          <w:i/>
          <w:sz w:val="20"/>
        </w:rPr>
        <w:lastRenderedPageBreak/>
        <w:t>China</w:t>
      </w:r>
      <w:r>
        <w:rPr>
          <w:i/>
          <w:spacing w:val="-5"/>
          <w:sz w:val="20"/>
        </w:rPr>
        <w:t xml:space="preserve"> </w:t>
      </w:r>
      <w:r>
        <w:rPr>
          <w:i/>
          <w:sz w:val="20"/>
        </w:rPr>
        <w:t>–</w:t>
      </w:r>
      <w:r>
        <w:rPr>
          <w:i/>
          <w:spacing w:val="-5"/>
          <w:sz w:val="20"/>
        </w:rPr>
        <w:t xml:space="preserve"> </w:t>
      </w:r>
      <w:r>
        <w:rPr>
          <w:i/>
          <w:sz w:val="20"/>
        </w:rPr>
        <w:t>Anti‐Dumping</w:t>
      </w:r>
      <w:r>
        <w:rPr>
          <w:i/>
          <w:spacing w:val="-4"/>
          <w:sz w:val="20"/>
        </w:rPr>
        <w:t xml:space="preserve"> </w:t>
      </w:r>
      <w:r>
        <w:rPr>
          <w:i/>
          <w:sz w:val="20"/>
        </w:rPr>
        <w:t>and</w:t>
      </w:r>
      <w:r>
        <w:rPr>
          <w:i/>
          <w:spacing w:val="-5"/>
          <w:sz w:val="20"/>
        </w:rPr>
        <w:t xml:space="preserve"> </w:t>
      </w:r>
      <w:r>
        <w:rPr>
          <w:i/>
          <w:sz w:val="20"/>
        </w:rPr>
        <w:t>Countervailing</w:t>
      </w:r>
      <w:r>
        <w:rPr>
          <w:i/>
          <w:spacing w:val="-5"/>
          <w:sz w:val="20"/>
        </w:rPr>
        <w:t xml:space="preserve"> </w:t>
      </w:r>
      <w:r>
        <w:rPr>
          <w:i/>
          <w:sz w:val="20"/>
        </w:rPr>
        <w:t>Duty</w:t>
      </w:r>
      <w:r>
        <w:rPr>
          <w:i/>
          <w:spacing w:val="-4"/>
          <w:sz w:val="20"/>
        </w:rPr>
        <w:t xml:space="preserve"> </w:t>
      </w:r>
      <w:r>
        <w:rPr>
          <w:i/>
          <w:spacing w:val="-2"/>
          <w:sz w:val="20"/>
        </w:rPr>
        <w:t>Measures</w:t>
      </w:r>
      <w:r>
        <w:rPr>
          <w:i/>
          <w:sz w:val="20"/>
        </w:rPr>
        <w:tab/>
      </w:r>
      <w:r>
        <w:rPr>
          <w:sz w:val="20"/>
        </w:rPr>
        <w:t>Australia's</w:t>
      </w:r>
      <w:r>
        <w:rPr>
          <w:spacing w:val="-7"/>
          <w:sz w:val="20"/>
        </w:rPr>
        <w:t xml:space="preserve"> </w:t>
      </w:r>
      <w:r>
        <w:rPr>
          <w:sz w:val="20"/>
        </w:rPr>
        <w:t>First</w:t>
      </w:r>
      <w:r>
        <w:rPr>
          <w:spacing w:val="-2"/>
          <w:sz w:val="20"/>
        </w:rPr>
        <w:t xml:space="preserve"> </w:t>
      </w:r>
      <w:r>
        <w:rPr>
          <w:sz w:val="20"/>
        </w:rPr>
        <w:t>Written</w:t>
      </w:r>
      <w:r>
        <w:rPr>
          <w:spacing w:val="-2"/>
          <w:sz w:val="20"/>
        </w:rPr>
        <w:t xml:space="preserve"> Submission</w:t>
      </w:r>
    </w:p>
    <w:p w14:paraId="51DE98D2" w14:textId="77777777" w:rsidR="0010369C" w:rsidRDefault="008E43AE">
      <w:pPr>
        <w:tabs>
          <w:tab w:val="left" w:pos="8228"/>
        </w:tabs>
        <w:spacing w:before="1"/>
        <w:ind w:left="239"/>
        <w:rPr>
          <w:sz w:val="20"/>
        </w:rPr>
      </w:pPr>
      <w:r>
        <w:rPr>
          <w:i/>
          <w:sz w:val="20"/>
        </w:rPr>
        <w:t>on</w:t>
      </w:r>
      <w:r>
        <w:rPr>
          <w:i/>
          <w:spacing w:val="-1"/>
          <w:sz w:val="20"/>
        </w:rPr>
        <w:t xml:space="preserve"> </w:t>
      </w:r>
      <w:r>
        <w:rPr>
          <w:i/>
          <w:sz w:val="20"/>
        </w:rPr>
        <w:t>Wine</w:t>
      </w:r>
      <w:r>
        <w:rPr>
          <w:i/>
          <w:spacing w:val="-1"/>
          <w:sz w:val="20"/>
        </w:rPr>
        <w:t xml:space="preserve"> </w:t>
      </w:r>
      <w:r>
        <w:rPr>
          <w:i/>
          <w:sz w:val="20"/>
        </w:rPr>
        <w:t>from</w:t>
      </w:r>
      <w:r>
        <w:rPr>
          <w:i/>
          <w:spacing w:val="-3"/>
          <w:sz w:val="20"/>
        </w:rPr>
        <w:t xml:space="preserve"> </w:t>
      </w:r>
      <w:r>
        <w:rPr>
          <w:i/>
          <w:sz w:val="20"/>
        </w:rPr>
        <w:t>Australia</w:t>
      </w:r>
      <w:r>
        <w:rPr>
          <w:i/>
          <w:spacing w:val="-1"/>
          <w:sz w:val="20"/>
        </w:rPr>
        <w:t xml:space="preserve"> </w:t>
      </w:r>
      <w:r>
        <w:rPr>
          <w:spacing w:val="-2"/>
          <w:sz w:val="20"/>
        </w:rPr>
        <w:t>(DS602)</w:t>
      </w:r>
      <w:r>
        <w:rPr>
          <w:sz w:val="20"/>
        </w:rPr>
        <w:tab/>
        <w:t>29</w:t>
      </w:r>
      <w:r>
        <w:rPr>
          <w:spacing w:val="-1"/>
          <w:sz w:val="20"/>
        </w:rPr>
        <w:t xml:space="preserve"> </w:t>
      </w:r>
      <w:r>
        <w:rPr>
          <w:sz w:val="20"/>
        </w:rPr>
        <w:t>April</w:t>
      </w:r>
      <w:r>
        <w:rPr>
          <w:spacing w:val="-2"/>
          <w:sz w:val="20"/>
        </w:rPr>
        <w:t xml:space="preserve"> </w:t>
      </w:r>
      <w:r>
        <w:rPr>
          <w:spacing w:val="-4"/>
          <w:sz w:val="20"/>
        </w:rPr>
        <w:t>2022</w:t>
      </w:r>
    </w:p>
    <w:p w14:paraId="51DE98D3" w14:textId="77777777" w:rsidR="0010369C" w:rsidRDefault="008E43AE">
      <w:pPr>
        <w:pStyle w:val="ListParagraph"/>
        <w:numPr>
          <w:ilvl w:val="3"/>
          <w:numId w:val="75"/>
        </w:numPr>
        <w:tabs>
          <w:tab w:val="left" w:pos="3642"/>
          <w:tab w:val="left" w:pos="3643"/>
        </w:tabs>
        <w:spacing w:before="35"/>
        <w:ind w:hanging="853"/>
        <w:rPr>
          <w:sz w:val="24"/>
        </w:rPr>
      </w:pPr>
      <w:r>
        <w:rPr>
          <w:sz w:val="24"/>
          <w:u w:val="single"/>
        </w:rPr>
        <w:t>The</w:t>
      </w:r>
      <w:r>
        <w:rPr>
          <w:spacing w:val="-8"/>
          <w:sz w:val="24"/>
          <w:u w:val="single"/>
        </w:rPr>
        <w:t xml:space="preserve"> </w:t>
      </w:r>
      <w:r>
        <w:rPr>
          <w:sz w:val="24"/>
          <w:u w:val="single"/>
        </w:rPr>
        <w:t>Sampling</w:t>
      </w:r>
      <w:r>
        <w:rPr>
          <w:spacing w:val="-7"/>
          <w:sz w:val="24"/>
          <w:u w:val="single"/>
        </w:rPr>
        <w:t xml:space="preserve"> </w:t>
      </w:r>
      <w:r>
        <w:rPr>
          <w:spacing w:val="-2"/>
          <w:sz w:val="24"/>
          <w:u w:val="single"/>
        </w:rPr>
        <w:t>Questionnaire</w:t>
      </w:r>
    </w:p>
    <w:p w14:paraId="51DE98D4" w14:textId="77777777" w:rsidR="0010369C" w:rsidRDefault="0010369C">
      <w:pPr>
        <w:pStyle w:val="BodyText"/>
        <w:spacing w:before="9"/>
        <w:rPr>
          <w:sz w:val="20"/>
        </w:rPr>
      </w:pPr>
    </w:p>
    <w:p w14:paraId="51DE98D5" w14:textId="77777777" w:rsidR="0010369C" w:rsidRDefault="008E43AE">
      <w:pPr>
        <w:pStyle w:val="BodyText"/>
        <w:spacing w:before="52" w:line="360" w:lineRule="auto"/>
        <w:ind w:left="237" w:right="612" w:firstLine="851"/>
        <w:jc w:val="both"/>
      </w:pPr>
      <w:r>
        <w:rPr>
          <w:noProof/>
        </w:rPr>
        <w:drawing>
          <wp:anchor distT="0" distB="0" distL="0" distR="0" simplePos="0" relativeHeight="251535872" behindDoc="1" locked="0" layoutInCell="1" allowOverlap="1" wp14:anchorId="51DEA7FC" wp14:editId="51DEA7FD">
            <wp:simplePos x="0" y="0"/>
            <wp:positionH relativeFrom="page">
              <wp:posOffset>902208</wp:posOffset>
            </wp:positionH>
            <wp:positionV relativeFrom="paragraph">
              <wp:posOffset>81357</wp:posOffset>
            </wp:positionV>
            <wp:extent cx="262127" cy="103631"/>
            <wp:effectExtent l="0" t="0" r="0" b="0"/>
            <wp:wrapNone/>
            <wp:docPr id="1843" name="image9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 name="image949.png"/>
                    <pic:cNvPicPr/>
                  </pic:nvPicPr>
                  <pic:blipFill>
                    <a:blip r:embed="rId1230" cstate="print"/>
                    <a:stretch>
                      <a:fillRect/>
                    </a:stretch>
                  </pic:blipFill>
                  <pic:spPr>
                    <a:xfrm>
                      <a:off x="0" y="0"/>
                      <a:ext cx="262127" cy="103631"/>
                    </a:xfrm>
                    <a:prstGeom prst="rect">
                      <a:avLst/>
                    </a:prstGeom>
                  </pic:spPr>
                </pic:pic>
              </a:graphicData>
            </a:graphic>
          </wp:anchor>
        </w:drawing>
      </w:r>
      <w:r>
        <w:t>MOFCOM chose to conduct its investigation through sampling, with the samples constructed by selecting, purportedly, the three Australian producers with the largest levels of exports. MOFCOM explained that it identified those producers "based on their repor</w:t>
      </w:r>
      <w:r>
        <w:t>ted exports" in their "submitted responses" to the sampling questionnaire.</w:t>
      </w:r>
      <w:r>
        <w:rPr>
          <w:vertAlign w:val="superscript"/>
        </w:rPr>
        <w:t>1108</w:t>
      </w:r>
    </w:p>
    <w:p w14:paraId="51DE98D6" w14:textId="77777777" w:rsidR="0010369C" w:rsidRDefault="0010369C">
      <w:pPr>
        <w:pStyle w:val="BodyText"/>
        <w:spacing w:before="10"/>
        <w:rPr>
          <w:sz w:val="8"/>
        </w:rPr>
      </w:pPr>
    </w:p>
    <w:p w14:paraId="51DE98D7" w14:textId="77777777" w:rsidR="0010369C" w:rsidRDefault="008E43AE">
      <w:pPr>
        <w:pStyle w:val="BodyText"/>
        <w:spacing w:before="52" w:line="360" w:lineRule="auto"/>
        <w:ind w:left="237" w:right="614" w:firstLine="851"/>
        <w:jc w:val="both"/>
      </w:pPr>
      <w:r>
        <w:rPr>
          <w:noProof/>
        </w:rPr>
        <w:drawing>
          <wp:anchor distT="0" distB="0" distL="0" distR="0" simplePos="0" relativeHeight="251536896" behindDoc="1" locked="0" layoutInCell="1" allowOverlap="1" wp14:anchorId="51DEA7FE" wp14:editId="51DEA7FF">
            <wp:simplePos x="0" y="0"/>
            <wp:positionH relativeFrom="page">
              <wp:posOffset>902208</wp:posOffset>
            </wp:positionH>
            <wp:positionV relativeFrom="paragraph">
              <wp:posOffset>76786</wp:posOffset>
            </wp:positionV>
            <wp:extent cx="262127" cy="106679"/>
            <wp:effectExtent l="0" t="0" r="0" b="0"/>
            <wp:wrapNone/>
            <wp:docPr id="1845" name="image9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 name="image950.png"/>
                    <pic:cNvPicPr/>
                  </pic:nvPicPr>
                  <pic:blipFill>
                    <a:blip r:embed="rId1231" cstate="print"/>
                    <a:stretch>
                      <a:fillRect/>
                    </a:stretch>
                  </pic:blipFill>
                  <pic:spPr>
                    <a:xfrm>
                      <a:off x="0" y="0"/>
                      <a:ext cx="262127" cy="106679"/>
                    </a:xfrm>
                    <a:prstGeom prst="rect">
                      <a:avLst/>
                    </a:prstGeom>
                  </pic:spPr>
                </pic:pic>
              </a:graphicData>
            </a:graphic>
          </wp:anchor>
        </w:drawing>
      </w:r>
      <w:r>
        <w:t>MOFCOM's decision to only select three companies in the sample was a significant step in the investigation, since the choice of sampled companies had the potential to very sig</w:t>
      </w:r>
      <w:r>
        <w:t>nificantly affect the margins of dumping applicable to the non‐sampled companies.</w:t>
      </w:r>
      <w:r>
        <w:rPr>
          <w:vertAlign w:val="superscript"/>
        </w:rPr>
        <w:t>1109</w:t>
      </w:r>
      <w:r>
        <w:t xml:space="preserve"> However, there is no evidence that MOFCOM took any steps to satisfy itself of the accuracy of these responses.</w:t>
      </w:r>
    </w:p>
    <w:p w14:paraId="51DE98D8" w14:textId="77777777" w:rsidR="0010369C" w:rsidRDefault="0010369C">
      <w:pPr>
        <w:pStyle w:val="BodyText"/>
        <w:spacing w:before="12"/>
        <w:rPr>
          <w:sz w:val="8"/>
        </w:rPr>
      </w:pPr>
    </w:p>
    <w:p w14:paraId="51DE98D9" w14:textId="77777777" w:rsidR="0010369C" w:rsidRDefault="008E43AE">
      <w:pPr>
        <w:pStyle w:val="BodyText"/>
        <w:spacing w:before="51" w:after="2" w:line="360" w:lineRule="auto"/>
        <w:ind w:left="237" w:right="614" w:firstLine="851"/>
        <w:jc w:val="both"/>
      </w:pPr>
      <w:r>
        <w:rPr>
          <w:noProof/>
        </w:rPr>
        <w:drawing>
          <wp:anchor distT="0" distB="0" distL="0" distR="0" simplePos="0" relativeHeight="251537920" behindDoc="1" locked="0" layoutInCell="1" allowOverlap="1" wp14:anchorId="51DEA800" wp14:editId="51DEA801">
            <wp:simplePos x="0" y="0"/>
            <wp:positionH relativeFrom="page">
              <wp:posOffset>902208</wp:posOffset>
            </wp:positionH>
            <wp:positionV relativeFrom="paragraph">
              <wp:posOffset>81315</wp:posOffset>
            </wp:positionV>
            <wp:extent cx="262127" cy="100753"/>
            <wp:effectExtent l="0" t="0" r="0" b="0"/>
            <wp:wrapNone/>
            <wp:docPr id="1847" name="image9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 name="image951.png"/>
                    <pic:cNvPicPr/>
                  </pic:nvPicPr>
                  <pic:blipFill>
                    <a:blip r:embed="rId1232" cstate="print"/>
                    <a:stretch>
                      <a:fillRect/>
                    </a:stretch>
                  </pic:blipFill>
                  <pic:spPr>
                    <a:xfrm>
                      <a:off x="0" y="0"/>
                      <a:ext cx="262127" cy="100753"/>
                    </a:xfrm>
                    <a:prstGeom prst="rect">
                      <a:avLst/>
                    </a:prstGeom>
                  </pic:spPr>
                </pic:pic>
              </a:graphicData>
            </a:graphic>
          </wp:anchor>
        </w:drawing>
      </w:r>
      <w:r>
        <w:pict w14:anchorId="51DEA802">
          <v:rect id="docshape1363" o:spid="_x0000_s1111" style="position:absolute;left:0;text-align:left;margin-left:405.95pt;margin-top:46.6pt;width:117.55pt;height:16.05pt;z-index:-251277824;mso-position-horizontal-relative:page;mso-position-vertical-relative:text" fillcolor="black" stroked="f">
            <w10:wrap anchorx="page"/>
          </v:rect>
        </w:pict>
      </w:r>
      <w:r>
        <w:t>MOFCOM issued a notice setting out its "preliminary iden</w:t>
      </w:r>
      <w:r>
        <w:t>tification" of the three sampled companies.</w:t>
      </w:r>
      <w:r>
        <w:rPr>
          <w:vertAlign w:val="superscript"/>
        </w:rPr>
        <w:t>1110</w:t>
      </w:r>
      <w:r>
        <w:t xml:space="preserve"> In response to this, Pernod</w:t>
      </w:r>
      <w:r>
        <w:rPr>
          <w:spacing w:val="-1"/>
        </w:rPr>
        <w:t xml:space="preserve"> </w:t>
      </w:r>
      <w:r>
        <w:t>Ricard (which had not been selected as a sampled</w:t>
      </w:r>
      <w:r>
        <w:rPr>
          <w:spacing w:val="40"/>
        </w:rPr>
        <w:t xml:space="preserve"> </w:t>
      </w:r>
      <w:r>
        <w:t>company)</w:t>
      </w:r>
      <w:r>
        <w:rPr>
          <w:spacing w:val="40"/>
        </w:rPr>
        <w:t xml:space="preserve"> </w:t>
      </w:r>
      <w:r>
        <w:t>provided</w:t>
      </w:r>
      <w:r>
        <w:rPr>
          <w:spacing w:val="40"/>
        </w:rPr>
        <w:t xml:space="preserve"> </w:t>
      </w:r>
      <w:r>
        <w:t>a</w:t>
      </w:r>
      <w:r>
        <w:rPr>
          <w:spacing w:val="40"/>
        </w:rPr>
        <w:t xml:space="preserve"> </w:t>
      </w:r>
      <w:r>
        <w:t>submission</w:t>
      </w:r>
      <w:r>
        <w:rPr>
          <w:spacing w:val="40"/>
        </w:rPr>
        <w:t xml:space="preserve"> </w:t>
      </w:r>
      <w:r>
        <w:t>in</w:t>
      </w:r>
      <w:r>
        <w:rPr>
          <w:spacing w:val="40"/>
        </w:rPr>
        <w:t xml:space="preserve"> </w:t>
      </w:r>
      <w:r>
        <w:t>which</w:t>
      </w:r>
      <w:r>
        <w:rPr>
          <w:spacing w:val="40"/>
        </w:rPr>
        <w:t xml:space="preserve"> </w:t>
      </w:r>
      <w:r>
        <w:t>it</w:t>
      </w:r>
      <w:r>
        <w:rPr>
          <w:spacing w:val="40"/>
        </w:rPr>
        <w:t xml:space="preserve"> </w:t>
      </w:r>
      <w:r>
        <w:t>said</w:t>
      </w:r>
      <w:r>
        <w:rPr>
          <w:spacing w:val="40"/>
        </w:rPr>
        <w:t xml:space="preserve"> </w:t>
      </w:r>
      <w:r>
        <w:t>that,</w:t>
      </w:r>
      <w:r>
        <w:rPr>
          <w:spacing w:val="40"/>
        </w:rPr>
        <w:t xml:space="preserve"> </w:t>
      </w:r>
      <w:r>
        <w:t>[[</w:t>
      </w:r>
    </w:p>
    <w:p w14:paraId="51DE98DA" w14:textId="77777777" w:rsidR="0010369C" w:rsidRDefault="008E43AE">
      <w:pPr>
        <w:pStyle w:val="BodyText"/>
        <w:ind w:left="218"/>
        <w:rPr>
          <w:sz w:val="20"/>
        </w:rPr>
      </w:pPr>
      <w:r>
        <w:rPr>
          <w:sz w:val="20"/>
        </w:rPr>
      </w:r>
      <w:r>
        <w:rPr>
          <w:sz w:val="20"/>
        </w:rPr>
        <w:pict w14:anchorId="51DEA804">
          <v:group id="docshapegroup1364" o:spid="_x0000_s1109" style="width:453.6pt;height:16.1pt;mso-position-horizontal-relative:char;mso-position-vertical-relative:line" coordsize="9072,322">
            <v:rect id="docshape1365" o:spid="_x0000_s1110" style="position:absolute;width:9072;height:322" fillcolor="black" stroked="f"/>
            <w10:anchorlock/>
          </v:group>
        </w:pict>
      </w:r>
    </w:p>
    <w:p w14:paraId="51DE98DB" w14:textId="77777777" w:rsidR="0010369C" w:rsidRDefault="008E43AE">
      <w:pPr>
        <w:spacing w:before="84"/>
        <w:ind w:left="3658" w:right="771"/>
        <w:jc w:val="center"/>
        <w:rPr>
          <w:sz w:val="24"/>
        </w:rPr>
      </w:pPr>
      <w:r>
        <w:pict w14:anchorId="51DEA805">
          <v:rect id="docshape1366" o:spid="_x0000_s1108" style="position:absolute;left:0;text-align:left;margin-left:69.95pt;margin-top:4.3pt;width:303.25pt;height:16.05pt;z-index:251870720;mso-position-horizontal-relative:page" fillcolor="black" stroked="f">
            <w10:wrap anchorx="page"/>
          </v:rect>
        </w:pict>
      </w:r>
      <w:r>
        <w:rPr>
          <w:spacing w:val="-5"/>
          <w:sz w:val="24"/>
        </w:rPr>
        <w:t>]].</w:t>
      </w:r>
    </w:p>
    <w:p w14:paraId="51DE98DC" w14:textId="77777777" w:rsidR="0010369C" w:rsidRDefault="0010369C">
      <w:pPr>
        <w:pStyle w:val="BodyText"/>
        <w:spacing w:before="9"/>
        <w:rPr>
          <w:sz w:val="20"/>
        </w:rPr>
      </w:pPr>
    </w:p>
    <w:p w14:paraId="51DE98DD" w14:textId="77777777" w:rsidR="0010369C" w:rsidRDefault="008E43AE">
      <w:pPr>
        <w:pStyle w:val="BodyText"/>
        <w:spacing w:before="52" w:line="360" w:lineRule="auto"/>
        <w:ind w:left="238" w:right="613" w:firstLine="850"/>
        <w:jc w:val="both"/>
      </w:pPr>
      <w:r>
        <w:rPr>
          <w:noProof/>
        </w:rPr>
        <w:drawing>
          <wp:anchor distT="0" distB="0" distL="0" distR="0" simplePos="0" relativeHeight="251538944" behindDoc="1" locked="0" layoutInCell="1" allowOverlap="1" wp14:anchorId="51DEA806" wp14:editId="51DEA807">
            <wp:simplePos x="0" y="0"/>
            <wp:positionH relativeFrom="page">
              <wp:posOffset>902208</wp:posOffset>
            </wp:positionH>
            <wp:positionV relativeFrom="paragraph">
              <wp:posOffset>81949</wp:posOffset>
            </wp:positionV>
            <wp:extent cx="262127" cy="100753"/>
            <wp:effectExtent l="0" t="0" r="0" b="0"/>
            <wp:wrapNone/>
            <wp:docPr id="1849" name="image9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 name="image952.png"/>
                    <pic:cNvPicPr/>
                  </pic:nvPicPr>
                  <pic:blipFill>
                    <a:blip r:embed="rId1233" cstate="print"/>
                    <a:stretch>
                      <a:fillRect/>
                    </a:stretch>
                  </pic:blipFill>
                  <pic:spPr>
                    <a:xfrm>
                      <a:off x="0" y="0"/>
                      <a:ext cx="262127" cy="100753"/>
                    </a:xfrm>
                    <a:prstGeom prst="rect">
                      <a:avLst/>
                    </a:prstGeom>
                  </pic:spPr>
                </pic:pic>
              </a:graphicData>
            </a:graphic>
          </wp:anchor>
        </w:drawing>
      </w:r>
      <w:r>
        <w:t>Despite this direct challenge to the accuracy of the data upon which MOFCOM was basing</w:t>
      </w:r>
      <w:r>
        <w:rPr>
          <w:spacing w:val="-10"/>
        </w:rPr>
        <w:t xml:space="preserve"> </w:t>
      </w:r>
      <w:r>
        <w:t>this</w:t>
      </w:r>
      <w:r>
        <w:rPr>
          <w:spacing w:val="-10"/>
        </w:rPr>
        <w:t xml:space="preserve"> </w:t>
      </w:r>
      <w:r>
        <w:t>significant</w:t>
      </w:r>
      <w:r>
        <w:rPr>
          <w:spacing w:val="-9"/>
        </w:rPr>
        <w:t xml:space="preserve"> </w:t>
      </w:r>
      <w:r>
        <w:t>step,</w:t>
      </w:r>
      <w:r>
        <w:rPr>
          <w:spacing w:val="-10"/>
        </w:rPr>
        <w:t xml:space="preserve"> </w:t>
      </w:r>
      <w:r>
        <w:t>there</w:t>
      </w:r>
      <w:r>
        <w:rPr>
          <w:spacing w:val="-9"/>
        </w:rPr>
        <w:t xml:space="preserve"> </w:t>
      </w:r>
      <w:r>
        <w:t>is</w:t>
      </w:r>
      <w:r>
        <w:rPr>
          <w:spacing w:val="-10"/>
        </w:rPr>
        <w:t xml:space="preserve"> </w:t>
      </w:r>
      <w:r>
        <w:t>nothing</w:t>
      </w:r>
      <w:r>
        <w:rPr>
          <w:spacing w:val="-10"/>
        </w:rPr>
        <w:t xml:space="preserve"> </w:t>
      </w:r>
      <w:r>
        <w:t>on</w:t>
      </w:r>
      <w:r>
        <w:rPr>
          <w:spacing w:val="-10"/>
        </w:rPr>
        <w:t xml:space="preserve"> </w:t>
      </w:r>
      <w:r>
        <w:t>the</w:t>
      </w:r>
      <w:r>
        <w:rPr>
          <w:spacing w:val="-9"/>
        </w:rPr>
        <w:t xml:space="preserve"> </w:t>
      </w:r>
      <w:r>
        <w:t>record</w:t>
      </w:r>
      <w:r>
        <w:rPr>
          <w:spacing w:val="-11"/>
        </w:rPr>
        <w:t xml:space="preserve"> </w:t>
      </w:r>
      <w:r>
        <w:t>to</w:t>
      </w:r>
      <w:r>
        <w:rPr>
          <w:spacing w:val="-9"/>
        </w:rPr>
        <w:t xml:space="preserve"> </w:t>
      </w:r>
      <w:r>
        <w:t>show</w:t>
      </w:r>
      <w:r>
        <w:rPr>
          <w:spacing w:val="-10"/>
        </w:rPr>
        <w:t xml:space="preserve"> </w:t>
      </w:r>
      <w:r>
        <w:t>that</w:t>
      </w:r>
      <w:r>
        <w:rPr>
          <w:spacing w:val="-10"/>
        </w:rPr>
        <w:t xml:space="preserve"> </w:t>
      </w:r>
      <w:r>
        <w:t>MOFCOM</w:t>
      </w:r>
      <w:r>
        <w:rPr>
          <w:spacing w:val="-9"/>
        </w:rPr>
        <w:t xml:space="preserve"> </w:t>
      </w:r>
      <w:r>
        <w:t>did</w:t>
      </w:r>
      <w:r>
        <w:rPr>
          <w:spacing w:val="-9"/>
        </w:rPr>
        <w:t xml:space="preserve"> </w:t>
      </w:r>
      <w:r>
        <w:t>anything to satisfy itself of the accuracy of the data upon which it relied.</w:t>
      </w:r>
      <w:r>
        <w:rPr>
          <w:vertAlign w:val="superscript"/>
        </w:rPr>
        <w:t>1112</w:t>
      </w:r>
    </w:p>
    <w:p w14:paraId="51DE98DE" w14:textId="77777777" w:rsidR="0010369C" w:rsidRDefault="008E43AE">
      <w:pPr>
        <w:pStyle w:val="ListParagraph"/>
        <w:numPr>
          <w:ilvl w:val="3"/>
          <w:numId w:val="75"/>
        </w:numPr>
        <w:tabs>
          <w:tab w:val="left" w:pos="3642"/>
          <w:tab w:val="left" w:pos="3643"/>
        </w:tabs>
        <w:spacing w:before="160" w:line="360" w:lineRule="auto"/>
        <w:ind w:right="613" w:hanging="853"/>
        <w:jc w:val="both"/>
        <w:rPr>
          <w:sz w:val="24"/>
        </w:rPr>
      </w:pPr>
      <w:r>
        <w:rPr>
          <w:sz w:val="24"/>
          <w:u w:val="single"/>
        </w:rPr>
        <w:t>Defective assessment of the responses from the sampled</w:t>
      </w:r>
      <w:r>
        <w:rPr>
          <w:sz w:val="24"/>
        </w:rPr>
        <w:t xml:space="preserve"> </w:t>
      </w:r>
      <w:r>
        <w:rPr>
          <w:spacing w:val="-2"/>
          <w:sz w:val="24"/>
          <w:u w:val="single"/>
        </w:rPr>
        <w:t>companies</w:t>
      </w:r>
    </w:p>
    <w:p w14:paraId="51DE98DF" w14:textId="77777777" w:rsidR="0010369C" w:rsidRDefault="0010369C">
      <w:pPr>
        <w:pStyle w:val="BodyText"/>
        <w:spacing w:before="5"/>
        <w:rPr>
          <w:sz w:val="15"/>
        </w:rPr>
      </w:pPr>
    </w:p>
    <w:p w14:paraId="51DE98E0" w14:textId="77777777" w:rsidR="0010369C" w:rsidRDefault="008E43AE">
      <w:pPr>
        <w:pStyle w:val="BodyText"/>
        <w:spacing w:before="52" w:line="360" w:lineRule="auto"/>
        <w:ind w:left="237" w:right="614" w:firstLine="851"/>
        <w:jc w:val="both"/>
      </w:pPr>
      <w:r>
        <w:rPr>
          <w:noProof/>
        </w:rPr>
        <w:drawing>
          <wp:anchor distT="0" distB="0" distL="0" distR="0" simplePos="0" relativeHeight="251539968" behindDoc="1" locked="0" layoutInCell="1" allowOverlap="1" wp14:anchorId="51DEA808" wp14:editId="51DEA809">
            <wp:simplePos x="0" y="0"/>
            <wp:positionH relativeFrom="page">
              <wp:posOffset>902208</wp:posOffset>
            </wp:positionH>
            <wp:positionV relativeFrom="paragraph">
              <wp:posOffset>81357</wp:posOffset>
            </wp:positionV>
            <wp:extent cx="262127" cy="103631"/>
            <wp:effectExtent l="0" t="0" r="0" b="0"/>
            <wp:wrapNone/>
            <wp:docPr id="1851" name="image9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 name="image953.png"/>
                    <pic:cNvPicPr/>
                  </pic:nvPicPr>
                  <pic:blipFill>
                    <a:blip r:embed="rId1234" cstate="print"/>
                    <a:stretch>
                      <a:fillRect/>
                    </a:stretch>
                  </pic:blipFill>
                  <pic:spPr>
                    <a:xfrm>
                      <a:off x="0" y="0"/>
                      <a:ext cx="262127" cy="103631"/>
                    </a:xfrm>
                    <a:prstGeom prst="rect">
                      <a:avLst/>
                    </a:prstGeom>
                  </pic:spPr>
                </pic:pic>
              </a:graphicData>
            </a:graphic>
          </wp:anchor>
        </w:drawing>
      </w:r>
      <w:r>
        <w:t>In the Final Determination, MOFCOM makes repeated reference to having been unable to "verify" information provided by the sampled companies in particular forms attached to the Questionnaire. MOFCOM determined that, as a result of these findings it would</w:t>
      </w:r>
      <w:r>
        <w:rPr>
          <w:spacing w:val="-12"/>
        </w:rPr>
        <w:t xml:space="preserve"> </w:t>
      </w:r>
      <w:r>
        <w:t>no</w:t>
      </w:r>
      <w:r>
        <w:t>t</w:t>
      </w:r>
      <w:r>
        <w:rPr>
          <w:spacing w:val="-13"/>
        </w:rPr>
        <w:t xml:space="preserve"> </w:t>
      </w:r>
      <w:r>
        <w:t>use</w:t>
      </w:r>
      <w:r>
        <w:rPr>
          <w:spacing w:val="-11"/>
        </w:rPr>
        <w:t xml:space="preserve"> </w:t>
      </w:r>
      <w:r>
        <w:t>the</w:t>
      </w:r>
      <w:r>
        <w:rPr>
          <w:spacing w:val="-11"/>
        </w:rPr>
        <w:t xml:space="preserve"> </w:t>
      </w:r>
      <w:r>
        <w:t>information</w:t>
      </w:r>
      <w:r>
        <w:rPr>
          <w:spacing w:val="-12"/>
        </w:rPr>
        <w:t xml:space="preserve"> </w:t>
      </w:r>
      <w:r>
        <w:t>submitted</w:t>
      </w:r>
      <w:r>
        <w:rPr>
          <w:spacing w:val="-12"/>
        </w:rPr>
        <w:t xml:space="preserve"> </w:t>
      </w:r>
      <w:r>
        <w:t>by</w:t>
      </w:r>
      <w:r>
        <w:rPr>
          <w:spacing w:val="-13"/>
        </w:rPr>
        <w:t xml:space="preserve"> </w:t>
      </w:r>
      <w:r>
        <w:t>the</w:t>
      </w:r>
      <w:r>
        <w:rPr>
          <w:spacing w:val="-11"/>
        </w:rPr>
        <w:t xml:space="preserve"> </w:t>
      </w:r>
      <w:r>
        <w:t>sampled</w:t>
      </w:r>
      <w:r>
        <w:rPr>
          <w:spacing w:val="-12"/>
        </w:rPr>
        <w:t xml:space="preserve"> </w:t>
      </w:r>
      <w:r>
        <w:t>companies</w:t>
      </w:r>
      <w:r>
        <w:rPr>
          <w:spacing w:val="-14"/>
        </w:rPr>
        <w:t xml:space="preserve"> </w:t>
      </w:r>
      <w:r>
        <w:t>and</w:t>
      </w:r>
      <w:r>
        <w:rPr>
          <w:spacing w:val="-11"/>
        </w:rPr>
        <w:t xml:space="preserve"> </w:t>
      </w:r>
      <w:r>
        <w:t>instead</w:t>
      </w:r>
      <w:r>
        <w:rPr>
          <w:spacing w:val="-13"/>
        </w:rPr>
        <w:t xml:space="preserve"> </w:t>
      </w:r>
      <w:r>
        <w:t>would</w:t>
      </w:r>
      <w:r>
        <w:rPr>
          <w:spacing w:val="-12"/>
        </w:rPr>
        <w:t xml:space="preserve"> </w:t>
      </w:r>
      <w:r>
        <w:t>resort to</w:t>
      </w:r>
      <w:r>
        <w:rPr>
          <w:spacing w:val="-14"/>
        </w:rPr>
        <w:t xml:space="preserve"> </w:t>
      </w:r>
      <w:r>
        <w:t>"known</w:t>
      </w:r>
      <w:r>
        <w:rPr>
          <w:spacing w:val="-14"/>
        </w:rPr>
        <w:t xml:space="preserve"> </w:t>
      </w:r>
      <w:r>
        <w:t>facts</w:t>
      </w:r>
      <w:r>
        <w:rPr>
          <w:spacing w:val="-14"/>
        </w:rPr>
        <w:t xml:space="preserve"> </w:t>
      </w:r>
      <w:r>
        <w:t>and</w:t>
      </w:r>
      <w:r>
        <w:rPr>
          <w:spacing w:val="-14"/>
        </w:rPr>
        <w:t xml:space="preserve"> </w:t>
      </w:r>
      <w:r>
        <w:t>best</w:t>
      </w:r>
      <w:r>
        <w:rPr>
          <w:spacing w:val="-14"/>
        </w:rPr>
        <w:t xml:space="preserve"> </w:t>
      </w:r>
      <w:r>
        <w:t>information</w:t>
      </w:r>
      <w:r>
        <w:rPr>
          <w:spacing w:val="-13"/>
        </w:rPr>
        <w:t xml:space="preserve"> </w:t>
      </w:r>
      <w:r>
        <w:t>available".</w:t>
      </w:r>
      <w:r>
        <w:rPr>
          <w:spacing w:val="-15"/>
        </w:rPr>
        <w:t xml:space="preserve"> </w:t>
      </w:r>
      <w:r>
        <w:t>The</w:t>
      </w:r>
      <w:r>
        <w:rPr>
          <w:spacing w:val="-14"/>
        </w:rPr>
        <w:t xml:space="preserve"> </w:t>
      </w:r>
      <w:r>
        <w:t>process</w:t>
      </w:r>
      <w:r>
        <w:rPr>
          <w:spacing w:val="-15"/>
        </w:rPr>
        <w:t xml:space="preserve"> </w:t>
      </w:r>
      <w:r>
        <w:t>used</w:t>
      </w:r>
      <w:r>
        <w:rPr>
          <w:spacing w:val="-14"/>
        </w:rPr>
        <w:t xml:space="preserve"> </w:t>
      </w:r>
      <w:r>
        <w:t>by</w:t>
      </w:r>
      <w:r>
        <w:rPr>
          <w:spacing w:val="-13"/>
        </w:rPr>
        <w:t xml:space="preserve"> </w:t>
      </w:r>
      <w:r>
        <w:t>MOFCOM</w:t>
      </w:r>
      <w:r>
        <w:rPr>
          <w:spacing w:val="-14"/>
        </w:rPr>
        <w:t xml:space="preserve"> </w:t>
      </w:r>
      <w:r>
        <w:t>to</w:t>
      </w:r>
      <w:r>
        <w:rPr>
          <w:spacing w:val="-13"/>
        </w:rPr>
        <w:t xml:space="preserve"> </w:t>
      </w:r>
      <w:r>
        <w:t>purportedly</w:t>
      </w:r>
    </w:p>
    <w:p w14:paraId="51DE98E1" w14:textId="77777777" w:rsidR="0010369C" w:rsidRDefault="0010369C">
      <w:pPr>
        <w:pStyle w:val="BodyText"/>
        <w:rPr>
          <w:sz w:val="20"/>
        </w:rPr>
      </w:pPr>
    </w:p>
    <w:p w14:paraId="51DE98E2" w14:textId="77777777" w:rsidR="0010369C" w:rsidRDefault="0010369C">
      <w:pPr>
        <w:pStyle w:val="BodyText"/>
        <w:rPr>
          <w:sz w:val="20"/>
        </w:rPr>
      </w:pPr>
    </w:p>
    <w:p w14:paraId="51DE98E3" w14:textId="77777777" w:rsidR="0010369C" w:rsidRDefault="008E43AE">
      <w:pPr>
        <w:pStyle w:val="BodyText"/>
        <w:spacing w:before="7"/>
        <w:rPr>
          <w:sz w:val="19"/>
        </w:rPr>
      </w:pPr>
      <w:r>
        <w:pict w14:anchorId="51DEA80A">
          <v:rect id="docshape1367" o:spid="_x0000_s1107" style="position:absolute;margin-left:70.9pt;margin-top:13.2pt;width:2in;height:.8pt;z-index:-250705408;mso-wrap-distance-left:0;mso-wrap-distance-right:0;mso-position-horizontal-relative:page" fillcolor="black" stroked="f">
            <w10:wrap type="topAndBottom" anchorx="page"/>
          </v:rect>
        </w:pict>
      </w:r>
    </w:p>
    <w:p w14:paraId="51DE98E4" w14:textId="77777777" w:rsidR="0010369C" w:rsidRDefault="008E43AE">
      <w:pPr>
        <w:spacing w:before="109"/>
        <w:ind w:left="238"/>
        <w:rPr>
          <w:sz w:val="18"/>
        </w:rPr>
      </w:pPr>
      <w:r>
        <w:rPr>
          <w:sz w:val="18"/>
          <w:vertAlign w:val="superscript"/>
        </w:rPr>
        <w:t>1108</w:t>
      </w:r>
      <w:r>
        <w:rPr>
          <w:spacing w:val="-9"/>
          <w:sz w:val="18"/>
        </w:rPr>
        <w:t xml:space="preserve"> </w:t>
      </w:r>
      <w:r>
        <w:rPr>
          <w:sz w:val="18"/>
        </w:rPr>
        <w:t>Anti‐Dumping</w:t>
      </w:r>
      <w:r>
        <w:rPr>
          <w:spacing w:val="-9"/>
          <w:sz w:val="18"/>
        </w:rPr>
        <w:t xml:space="preserve"> </w:t>
      </w:r>
      <w:r>
        <w:rPr>
          <w:sz w:val="18"/>
        </w:rPr>
        <w:t>Final</w:t>
      </w:r>
      <w:r>
        <w:rPr>
          <w:spacing w:val="-8"/>
          <w:sz w:val="18"/>
        </w:rPr>
        <w:t xml:space="preserve"> </w:t>
      </w:r>
      <w:r>
        <w:rPr>
          <w:sz w:val="18"/>
        </w:rPr>
        <w:t>Determination</w:t>
      </w:r>
      <w:r>
        <w:rPr>
          <w:spacing w:val="-8"/>
          <w:sz w:val="18"/>
        </w:rPr>
        <w:t xml:space="preserve"> </w:t>
      </w:r>
      <w:r>
        <w:rPr>
          <w:sz w:val="18"/>
        </w:rPr>
        <w:t>(Exhibit</w:t>
      </w:r>
      <w:r>
        <w:rPr>
          <w:spacing w:val="-8"/>
          <w:sz w:val="18"/>
        </w:rPr>
        <w:t xml:space="preserve"> </w:t>
      </w:r>
      <w:r>
        <w:rPr>
          <w:sz w:val="18"/>
        </w:rPr>
        <w:t>AUS‐2),</w:t>
      </w:r>
      <w:r>
        <w:rPr>
          <w:spacing w:val="-10"/>
          <w:sz w:val="18"/>
        </w:rPr>
        <w:t xml:space="preserve"> </w:t>
      </w:r>
      <w:r>
        <w:rPr>
          <w:sz w:val="18"/>
        </w:rPr>
        <w:t>p.</w:t>
      </w:r>
      <w:r>
        <w:rPr>
          <w:spacing w:val="-8"/>
          <w:sz w:val="18"/>
        </w:rPr>
        <w:t xml:space="preserve"> </w:t>
      </w:r>
      <w:r>
        <w:rPr>
          <w:sz w:val="18"/>
        </w:rPr>
        <w:t>10;</w:t>
      </w:r>
      <w:r>
        <w:rPr>
          <w:spacing w:val="-10"/>
          <w:sz w:val="18"/>
        </w:rPr>
        <w:t xml:space="preserve"> </w:t>
      </w:r>
      <w:r>
        <w:rPr>
          <w:sz w:val="18"/>
        </w:rPr>
        <w:t>Anti‐Dumping</w:t>
      </w:r>
      <w:r>
        <w:rPr>
          <w:spacing w:val="-8"/>
          <w:sz w:val="18"/>
        </w:rPr>
        <w:t xml:space="preserve"> </w:t>
      </w:r>
      <w:r>
        <w:rPr>
          <w:sz w:val="18"/>
        </w:rPr>
        <w:t>Sampling</w:t>
      </w:r>
      <w:r>
        <w:rPr>
          <w:spacing w:val="-8"/>
          <w:sz w:val="18"/>
        </w:rPr>
        <w:t xml:space="preserve"> </w:t>
      </w:r>
      <w:r>
        <w:rPr>
          <w:sz w:val="18"/>
        </w:rPr>
        <w:t>Notice</w:t>
      </w:r>
      <w:r>
        <w:rPr>
          <w:spacing w:val="-9"/>
          <w:sz w:val="18"/>
        </w:rPr>
        <w:t xml:space="preserve"> </w:t>
      </w:r>
      <w:r>
        <w:rPr>
          <w:sz w:val="18"/>
        </w:rPr>
        <w:t>(Exhibit</w:t>
      </w:r>
      <w:r>
        <w:rPr>
          <w:spacing w:val="-8"/>
          <w:sz w:val="18"/>
        </w:rPr>
        <w:t xml:space="preserve"> </w:t>
      </w:r>
      <w:r>
        <w:rPr>
          <w:sz w:val="18"/>
        </w:rPr>
        <w:t>AUS‐92),</w:t>
      </w:r>
      <w:r>
        <w:rPr>
          <w:spacing w:val="-9"/>
          <w:sz w:val="18"/>
        </w:rPr>
        <w:t xml:space="preserve"> </w:t>
      </w:r>
      <w:r>
        <w:rPr>
          <w:sz w:val="18"/>
        </w:rPr>
        <w:t>p.</w:t>
      </w:r>
      <w:r>
        <w:rPr>
          <w:spacing w:val="-9"/>
          <w:sz w:val="18"/>
        </w:rPr>
        <w:t xml:space="preserve"> </w:t>
      </w:r>
      <w:r>
        <w:rPr>
          <w:spacing w:val="-5"/>
          <w:sz w:val="18"/>
        </w:rPr>
        <w:t>1.</w:t>
      </w:r>
    </w:p>
    <w:p w14:paraId="51DE98E5" w14:textId="77777777" w:rsidR="0010369C" w:rsidRDefault="008E43AE">
      <w:pPr>
        <w:spacing w:before="1"/>
        <w:ind w:left="238"/>
        <w:rPr>
          <w:sz w:val="18"/>
        </w:rPr>
      </w:pPr>
      <w:r>
        <w:rPr>
          <w:sz w:val="18"/>
          <w:vertAlign w:val="superscript"/>
        </w:rPr>
        <w:t>1109</w:t>
      </w:r>
      <w:r>
        <w:rPr>
          <w:spacing w:val="-6"/>
          <w:sz w:val="18"/>
        </w:rPr>
        <w:t xml:space="preserve"> </w:t>
      </w:r>
      <w:r>
        <w:rPr>
          <w:sz w:val="18"/>
        </w:rPr>
        <w:t>See</w:t>
      </w:r>
      <w:r>
        <w:rPr>
          <w:spacing w:val="-5"/>
          <w:sz w:val="18"/>
        </w:rPr>
        <w:t xml:space="preserve"> </w:t>
      </w:r>
      <w:r>
        <w:rPr>
          <w:sz w:val="18"/>
        </w:rPr>
        <w:t>above,</w:t>
      </w:r>
      <w:r>
        <w:rPr>
          <w:spacing w:val="-6"/>
          <w:sz w:val="18"/>
        </w:rPr>
        <w:t xml:space="preserve"> </w:t>
      </w:r>
      <w:r>
        <w:rPr>
          <w:sz w:val="18"/>
        </w:rPr>
        <w:t>section</w:t>
      </w:r>
      <w:r>
        <w:rPr>
          <w:spacing w:val="-6"/>
          <w:sz w:val="18"/>
        </w:rPr>
        <w:t xml:space="preserve"> </w:t>
      </w:r>
      <w:r>
        <w:rPr>
          <w:spacing w:val="-2"/>
          <w:sz w:val="18"/>
        </w:rPr>
        <w:t>VII.C.2.</w:t>
      </w:r>
    </w:p>
    <w:p w14:paraId="51DE98E6" w14:textId="77777777" w:rsidR="0010369C" w:rsidRDefault="008E43AE">
      <w:pPr>
        <w:ind w:left="238"/>
        <w:rPr>
          <w:sz w:val="18"/>
        </w:rPr>
      </w:pPr>
      <w:r>
        <w:rPr>
          <w:sz w:val="18"/>
          <w:vertAlign w:val="superscript"/>
        </w:rPr>
        <w:t>1110</w:t>
      </w:r>
      <w:r>
        <w:rPr>
          <w:spacing w:val="-9"/>
          <w:sz w:val="18"/>
        </w:rPr>
        <w:t xml:space="preserve"> </w:t>
      </w:r>
      <w:r>
        <w:rPr>
          <w:sz w:val="18"/>
        </w:rPr>
        <w:t>Anti‐Dumping</w:t>
      </w:r>
      <w:r>
        <w:rPr>
          <w:spacing w:val="-8"/>
          <w:sz w:val="18"/>
        </w:rPr>
        <w:t xml:space="preserve"> </w:t>
      </w:r>
      <w:r>
        <w:rPr>
          <w:sz w:val="18"/>
        </w:rPr>
        <w:t>Sampling</w:t>
      </w:r>
      <w:r>
        <w:rPr>
          <w:spacing w:val="-7"/>
          <w:sz w:val="18"/>
        </w:rPr>
        <w:t xml:space="preserve"> </w:t>
      </w:r>
      <w:r>
        <w:rPr>
          <w:sz w:val="18"/>
        </w:rPr>
        <w:t>Notice</w:t>
      </w:r>
      <w:r>
        <w:rPr>
          <w:spacing w:val="-8"/>
          <w:sz w:val="18"/>
        </w:rPr>
        <w:t xml:space="preserve"> </w:t>
      </w:r>
      <w:r>
        <w:rPr>
          <w:sz w:val="18"/>
        </w:rPr>
        <w:t>(Exhibit</w:t>
      </w:r>
      <w:r>
        <w:rPr>
          <w:spacing w:val="-9"/>
          <w:sz w:val="18"/>
        </w:rPr>
        <w:t xml:space="preserve"> </w:t>
      </w:r>
      <w:r>
        <w:rPr>
          <w:sz w:val="18"/>
        </w:rPr>
        <w:t>AUS‐92),</w:t>
      </w:r>
      <w:r>
        <w:rPr>
          <w:spacing w:val="-8"/>
          <w:sz w:val="18"/>
        </w:rPr>
        <w:t xml:space="preserve"> </w:t>
      </w:r>
      <w:r>
        <w:rPr>
          <w:sz w:val="18"/>
        </w:rPr>
        <w:t>p.</w:t>
      </w:r>
      <w:r>
        <w:rPr>
          <w:spacing w:val="-8"/>
          <w:sz w:val="18"/>
        </w:rPr>
        <w:t xml:space="preserve"> </w:t>
      </w:r>
      <w:r>
        <w:rPr>
          <w:spacing w:val="-5"/>
          <w:sz w:val="18"/>
        </w:rPr>
        <w:t>1.</w:t>
      </w:r>
    </w:p>
    <w:p w14:paraId="51DE98E7" w14:textId="77777777" w:rsidR="0010369C" w:rsidRDefault="008E43AE">
      <w:pPr>
        <w:tabs>
          <w:tab w:val="left" w:pos="3478"/>
          <w:tab w:val="left" w:pos="5024"/>
        </w:tabs>
        <w:ind w:left="238"/>
        <w:rPr>
          <w:sz w:val="18"/>
        </w:rPr>
      </w:pPr>
      <w:r>
        <w:pict w14:anchorId="51DEA80B">
          <v:rect id="docshape1368" o:spid="_x0000_s1106" style="position:absolute;left:0;text-align:left;margin-left:89.75pt;margin-top:.35pt;width:140.1pt;height:12.05pt;z-index:-251276800;mso-position-horizontal-relative:page" fillcolor="black" stroked="f">
            <w10:wrap anchorx="page"/>
          </v:rect>
        </w:pict>
      </w:r>
      <w:r>
        <w:pict w14:anchorId="51DEA80C">
          <v:rect id="docshape1369" o:spid="_x0000_s1105" style="position:absolute;left:0;text-align:left;margin-left:295.6pt;margin-top:.35pt;width:13.6pt;height:12.05pt;z-index:-251275776;mso-position-horizontal-relative:page" fillcolor="black" stroked="f">
            <w10:wrap anchorx="page"/>
          </v:rect>
        </w:pict>
      </w:r>
      <w:r>
        <w:rPr>
          <w:sz w:val="18"/>
          <w:vertAlign w:val="superscript"/>
        </w:rPr>
        <w:t>1111</w:t>
      </w:r>
      <w:r>
        <w:rPr>
          <w:spacing w:val="-3"/>
          <w:sz w:val="18"/>
        </w:rPr>
        <w:t xml:space="preserve"> </w:t>
      </w:r>
      <w:r>
        <w:rPr>
          <w:spacing w:val="-10"/>
          <w:sz w:val="18"/>
        </w:rPr>
        <w:t>[</w:t>
      </w:r>
      <w:r>
        <w:rPr>
          <w:sz w:val="18"/>
        </w:rPr>
        <w:tab/>
      </w:r>
      <w:r>
        <w:rPr>
          <w:spacing w:val="-2"/>
          <w:sz w:val="18"/>
        </w:rPr>
        <w:t>(Exhibit</w:t>
      </w:r>
      <w:r>
        <w:rPr>
          <w:spacing w:val="4"/>
          <w:sz w:val="18"/>
        </w:rPr>
        <w:t xml:space="preserve"> </w:t>
      </w:r>
      <w:r>
        <w:rPr>
          <w:spacing w:val="-2"/>
          <w:sz w:val="18"/>
        </w:rPr>
        <w:t>AUS‐93),</w:t>
      </w:r>
      <w:r>
        <w:rPr>
          <w:sz w:val="18"/>
        </w:rPr>
        <w:tab/>
      </w:r>
      <w:r>
        <w:rPr>
          <w:spacing w:val="-5"/>
          <w:sz w:val="18"/>
        </w:rPr>
        <w:t>.]]</w:t>
      </w:r>
    </w:p>
    <w:p w14:paraId="51DE98E8" w14:textId="77777777" w:rsidR="0010369C" w:rsidRDefault="008E43AE">
      <w:pPr>
        <w:ind w:left="238"/>
        <w:rPr>
          <w:sz w:val="18"/>
        </w:rPr>
      </w:pPr>
      <w:r>
        <w:rPr>
          <w:sz w:val="18"/>
          <w:vertAlign w:val="superscript"/>
        </w:rPr>
        <w:t>1112</w:t>
      </w:r>
      <w:r>
        <w:rPr>
          <w:spacing w:val="-6"/>
          <w:sz w:val="18"/>
        </w:rPr>
        <w:t xml:space="preserve"> </w:t>
      </w:r>
      <w:r>
        <w:rPr>
          <w:sz w:val="18"/>
        </w:rPr>
        <w:t>See</w:t>
      </w:r>
      <w:r>
        <w:rPr>
          <w:spacing w:val="-5"/>
          <w:sz w:val="18"/>
        </w:rPr>
        <w:t xml:space="preserve"> </w:t>
      </w:r>
      <w:r>
        <w:rPr>
          <w:sz w:val="18"/>
        </w:rPr>
        <w:t>above,</w:t>
      </w:r>
      <w:r>
        <w:rPr>
          <w:spacing w:val="-6"/>
          <w:sz w:val="18"/>
        </w:rPr>
        <w:t xml:space="preserve"> </w:t>
      </w:r>
      <w:r>
        <w:rPr>
          <w:sz w:val="18"/>
        </w:rPr>
        <w:t>section</w:t>
      </w:r>
      <w:r>
        <w:rPr>
          <w:spacing w:val="-6"/>
          <w:sz w:val="18"/>
        </w:rPr>
        <w:t xml:space="preserve"> </w:t>
      </w:r>
      <w:r>
        <w:rPr>
          <w:spacing w:val="-2"/>
          <w:sz w:val="18"/>
        </w:rPr>
        <w:t>VII.C.2.</w:t>
      </w:r>
    </w:p>
    <w:p w14:paraId="51DE98E9" w14:textId="77777777" w:rsidR="0010369C" w:rsidRDefault="0010369C">
      <w:pPr>
        <w:rPr>
          <w:sz w:val="18"/>
        </w:rPr>
        <w:sectPr w:rsidR="0010369C">
          <w:pgSz w:w="11910" w:h="16840"/>
          <w:pgMar w:top="880" w:right="800" w:bottom="980" w:left="1180" w:header="569" w:footer="788" w:gutter="0"/>
          <w:cols w:space="720"/>
        </w:sectPr>
      </w:pPr>
    </w:p>
    <w:p w14:paraId="51DE98EA" w14:textId="77777777" w:rsidR="0010369C" w:rsidRDefault="008E43AE">
      <w:pPr>
        <w:tabs>
          <w:tab w:val="left" w:pos="6426"/>
        </w:tabs>
        <w:ind w:left="238"/>
        <w:rPr>
          <w:sz w:val="20"/>
        </w:rPr>
      </w:pPr>
      <w:r>
        <w:rPr>
          <w:i/>
          <w:sz w:val="20"/>
        </w:rPr>
        <w:lastRenderedPageBreak/>
        <w:t>China</w:t>
      </w:r>
      <w:r>
        <w:rPr>
          <w:i/>
          <w:spacing w:val="-5"/>
          <w:sz w:val="20"/>
        </w:rPr>
        <w:t xml:space="preserve"> </w:t>
      </w:r>
      <w:r>
        <w:rPr>
          <w:i/>
          <w:sz w:val="20"/>
        </w:rPr>
        <w:t>–</w:t>
      </w:r>
      <w:r>
        <w:rPr>
          <w:i/>
          <w:spacing w:val="-5"/>
          <w:sz w:val="20"/>
        </w:rPr>
        <w:t xml:space="preserve"> </w:t>
      </w:r>
      <w:r>
        <w:rPr>
          <w:i/>
          <w:sz w:val="20"/>
        </w:rPr>
        <w:t>Anti‐Dumping</w:t>
      </w:r>
      <w:r>
        <w:rPr>
          <w:i/>
          <w:spacing w:val="-4"/>
          <w:sz w:val="20"/>
        </w:rPr>
        <w:t xml:space="preserve"> </w:t>
      </w:r>
      <w:r>
        <w:rPr>
          <w:i/>
          <w:sz w:val="20"/>
        </w:rPr>
        <w:t>and</w:t>
      </w:r>
      <w:r>
        <w:rPr>
          <w:i/>
          <w:spacing w:val="-5"/>
          <w:sz w:val="20"/>
        </w:rPr>
        <w:t xml:space="preserve"> </w:t>
      </w:r>
      <w:r>
        <w:rPr>
          <w:i/>
          <w:sz w:val="20"/>
        </w:rPr>
        <w:t>Countervailing</w:t>
      </w:r>
      <w:r>
        <w:rPr>
          <w:i/>
          <w:spacing w:val="-5"/>
          <w:sz w:val="20"/>
        </w:rPr>
        <w:t xml:space="preserve"> </w:t>
      </w:r>
      <w:r>
        <w:rPr>
          <w:i/>
          <w:sz w:val="20"/>
        </w:rPr>
        <w:t>Duty</w:t>
      </w:r>
      <w:r>
        <w:rPr>
          <w:i/>
          <w:spacing w:val="-4"/>
          <w:sz w:val="20"/>
        </w:rPr>
        <w:t xml:space="preserve"> </w:t>
      </w:r>
      <w:r>
        <w:rPr>
          <w:i/>
          <w:spacing w:val="-2"/>
          <w:sz w:val="20"/>
        </w:rPr>
        <w:t>Measures</w:t>
      </w:r>
      <w:r>
        <w:rPr>
          <w:i/>
          <w:sz w:val="20"/>
        </w:rPr>
        <w:tab/>
      </w:r>
      <w:r>
        <w:rPr>
          <w:sz w:val="20"/>
        </w:rPr>
        <w:t>Australia's</w:t>
      </w:r>
      <w:r>
        <w:rPr>
          <w:spacing w:val="-7"/>
          <w:sz w:val="20"/>
        </w:rPr>
        <w:t xml:space="preserve"> </w:t>
      </w:r>
      <w:r>
        <w:rPr>
          <w:sz w:val="20"/>
        </w:rPr>
        <w:t>First</w:t>
      </w:r>
      <w:r>
        <w:rPr>
          <w:spacing w:val="-2"/>
          <w:sz w:val="20"/>
        </w:rPr>
        <w:t xml:space="preserve"> </w:t>
      </w:r>
      <w:r>
        <w:rPr>
          <w:sz w:val="20"/>
        </w:rPr>
        <w:t>Written</w:t>
      </w:r>
      <w:r>
        <w:rPr>
          <w:spacing w:val="-2"/>
          <w:sz w:val="20"/>
        </w:rPr>
        <w:t xml:space="preserve"> Submission</w:t>
      </w:r>
    </w:p>
    <w:p w14:paraId="51DE98EB" w14:textId="77777777" w:rsidR="0010369C" w:rsidRDefault="008E43AE">
      <w:pPr>
        <w:tabs>
          <w:tab w:val="left" w:pos="8228"/>
        </w:tabs>
        <w:spacing w:before="1"/>
        <w:ind w:left="239"/>
        <w:rPr>
          <w:sz w:val="20"/>
        </w:rPr>
      </w:pPr>
      <w:r>
        <w:rPr>
          <w:i/>
          <w:sz w:val="20"/>
        </w:rPr>
        <w:t>on</w:t>
      </w:r>
      <w:r>
        <w:rPr>
          <w:i/>
          <w:spacing w:val="-1"/>
          <w:sz w:val="20"/>
        </w:rPr>
        <w:t xml:space="preserve"> </w:t>
      </w:r>
      <w:r>
        <w:rPr>
          <w:i/>
          <w:sz w:val="20"/>
        </w:rPr>
        <w:t>Wine</w:t>
      </w:r>
      <w:r>
        <w:rPr>
          <w:i/>
          <w:spacing w:val="-1"/>
          <w:sz w:val="20"/>
        </w:rPr>
        <w:t xml:space="preserve"> </w:t>
      </w:r>
      <w:r>
        <w:rPr>
          <w:i/>
          <w:sz w:val="20"/>
        </w:rPr>
        <w:t>from</w:t>
      </w:r>
      <w:r>
        <w:rPr>
          <w:i/>
          <w:spacing w:val="-3"/>
          <w:sz w:val="20"/>
        </w:rPr>
        <w:t xml:space="preserve"> </w:t>
      </w:r>
      <w:r>
        <w:rPr>
          <w:i/>
          <w:sz w:val="20"/>
        </w:rPr>
        <w:t>Australia</w:t>
      </w:r>
      <w:r>
        <w:rPr>
          <w:i/>
          <w:spacing w:val="-1"/>
          <w:sz w:val="20"/>
        </w:rPr>
        <w:t xml:space="preserve"> </w:t>
      </w:r>
      <w:r>
        <w:rPr>
          <w:spacing w:val="-2"/>
          <w:sz w:val="20"/>
        </w:rPr>
        <w:t>(DS602)</w:t>
      </w:r>
      <w:r>
        <w:rPr>
          <w:sz w:val="20"/>
        </w:rPr>
        <w:tab/>
        <w:t>29</w:t>
      </w:r>
      <w:r>
        <w:rPr>
          <w:spacing w:val="-1"/>
          <w:sz w:val="20"/>
        </w:rPr>
        <w:t xml:space="preserve"> </w:t>
      </w:r>
      <w:r>
        <w:rPr>
          <w:sz w:val="20"/>
        </w:rPr>
        <w:t>April</w:t>
      </w:r>
      <w:r>
        <w:rPr>
          <w:spacing w:val="-2"/>
          <w:sz w:val="20"/>
        </w:rPr>
        <w:t xml:space="preserve"> </w:t>
      </w:r>
      <w:r>
        <w:rPr>
          <w:spacing w:val="-4"/>
          <w:sz w:val="20"/>
        </w:rPr>
        <w:t>2022</w:t>
      </w:r>
    </w:p>
    <w:p w14:paraId="51DE98EC" w14:textId="77777777" w:rsidR="0010369C" w:rsidRDefault="008E43AE">
      <w:pPr>
        <w:pStyle w:val="BodyText"/>
        <w:spacing w:before="34" w:line="360" w:lineRule="auto"/>
        <w:ind w:left="238"/>
      </w:pPr>
      <w:r>
        <w:t>satisfy itself as to the accuracy of the information provided by the sampled companies was</w:t>
      </w:r>
      <w:r>
        <w:rPr>
          <w:spacing w:val="40"/>
        </w:rPr>
        <w:t xml:space="preserve"> </w:t>
      </w:r>
      <w:r>
        <w:t>defective and led to MOFCOM improperly rejecting information.</w:t>
      </w:r>
    </w:p>
    <w:p w14:paraId="51DE98ED" w14:textId="77777777" w:rsidR="0010369C" w:rsidRDefault="0010369C">
      <w:pPr>
        <w:pStyle w:val="BodyText"/>
        <w:spacing w:before="5"/>
        <w:rPr>
          <w:sz w:val="15"/>
        </w:rPr>
      </w:pPr>
    </w:p>
    <w:p w14:paraId="51DE98EE" w14:textId="77777777" w:rsidR="0010369C" w:rsidRDefault="008E43AE">
      <w:pPr>
        <w:pStyle w:val="BodyText"/>
        <w:spacing w:before="52" w:line="360" w:lineRule="auto"/>
        <w:ind w:left="237" w:right="611" w:firstLine="851"/>
      </w:pPr>
      <w:r>
        <w:rPr>
          <w:noProof/>
        </w:rPr>
        <w:drawing>
          <wp:anchor distT="0" distB="0" distL="0" distR="0" simplePos="0" relativeHeight="251540992" behindDoc="1" locked="0" layoutInCell="1" allowOverlap="1" wp14:anchorId="51DEA80D" wp14:editId="51DEA80E">
            <wp:simplePos x="0" y="0"/>
            <wp:positionH relativeFrom="page">
              <wp:posOffset>902208</wp:posOffset>
            </wp:positionH>
            <wp:positionV relativeFrom="paragraph">
              <wp:posOffset>80595</wp:posOffset>
            </wp:positionV>
            <wp:extent cx="262127" cy="103631"/>
            <wp:effectExtent l="0" t="0" r="0" b="0"/>
            <wp:wrapNone/>
            <wp:docPr id="1853" name="image9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 name="image954.png"/>
                    <pic:cNvPicPr/>
                  </pic:nvPicPr>
                  <pic:blipFill>
                    <a:blip r:embed="rId1235" cstate="print"/>
                    <a:stretch>
                      <a:fillRect/>
                    </a:stretch>
                  </pic:blipFill>
                  <pic:spPr>
                    <a:xfrm>
                      <a:off x="0" y="0"/>
                      <a:ext cx="262127" cy="103631"/>
                    </a:xfrm>
                    <a:prstGeom prst="rect">
                      <a:avLst/>
                    </a:prstGeom>
                  </pic:spPr>
                </pic:pic>
              </a:graphicData>
            </a:graphic>
          </wp:anchor>
        </w:drawing>
      </w:r>
      <w:r>
        <w:t>Australia's detailed submissions on the inadequacy of these findings are set out in</w:t>
      </w:r>
      <w:r>
        <w:rPr>
          <w:spacing w:val="40"/>
        </w:rPr>
        <w:t xml:space="preserve"> </w:t>
      </w:r>
      <w:r>
        <w:t>above sections II.C, II.E, II.F and II.G.</w:t>
      </w:r>
    </w:p>
    <w:p w14:paraId="51DE98EF" w14:textId="77777777" w:rsidR="0010369C" w:rsidRDefault="0010369C">
      <w:pPr>
        <w:pStyle w:val="BodyText"/>
        <w:spacing w:before="6"/>
        <w:rPr>
          <w:sz w:val="15"/>
        </w:rPr>
      </w:pPr>
    </w:p>
    <w:p w14:paraId="51DE98F0" w14:textId="77777777" w:rsidR="0010369C" w:rsidRDefault="008E43AE">
      <w:pPr>
        <w:pStyle w:val="BodyText"/>
        <w:spacing w:before="51" w:line="360" w:lineRule="auto"/>
        <w:ind w:left="237" w:right="612" w:firstLine="851"/>
        <w:jc w:val="both"/>
      </w:pPr>
      <w:r>
        <w:rPr>
          <w:noProof/>
        </w:rPr>
        <w:drawing>
          <wp:anchor distT="0" distB="0" distL="0" distR="0" simplePos="0" relativeHeight="251542016" behindDoc="1" locked="0" layoutInCell="1" allowOverlap="1" wp14:anchorId="51DEA80F" wp14:editId="51DEA810">
            <wp:simplePos x="0" y="0"/>
            <wp:positionH relativeFrom="page">
              <wp:posOffset>902208</wp:posOffset>
            </wp:positionH>
            <wp:positionV relativeFrom="paragraph">
              <wp:posOffset>76150</wp:posOffset>
            </wp:positionV>
            <wp:extent cx="262127" cy="106679"/>
            <wp:effectExtent l="0" t="0" r="0" b="0"/>
            <wp:wrapNone/>
            <wp:docPr id="1855" name="image9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 name="image955.png"/>
                    <pic:cNvPicPr/>
                  </pic:nvPicPr>
                  <pic:blipFill>
                    <a:blip r:embed="rId1236" cstate="print"/>
                    <a:stretch>
                      <a:fillRect/>
                    </a:stretch>
                  </pic:blipFill>
                  <pic:spPr>
                    <a:xfrm>
                      <a:off x="0" y="0"/>
                      <a:ext cx="262127" cy="106679"/>
                    </a:xfrm>
                    <a:prstGeom prst="rect">
                      <a:avLst/>
                    </a:prstGeom>
                  </pic:spPr>
                </pic:pic>
              </a:graphicData>
            </a:graphic>
          </wp:anchor>
        </w:drawing>
      </w:r>
      <w:r>
        <w:t>The</w:t>
      </w:r>
      <w:r>
        <w:rPr>
          <w:spacing w:val="-14"/>
        </w:rPr>
        <w:t xml:space="preserve"> </w:t>
      </w:r>
      <w:r>
        <w:t>approach</w:t>
      </w:r>
      <w:r>
        <w:rPr>
          <w:spacing w:val="-14"/>
        </w:rPr>
        <w:t xml:space="preserve"> </w:t>
      </w:r>
      <w:r>
        <w:t>adopted</w:t>
      </w:r>
      <w:r>
        <w:rPr>
          <w:spacing w:val="-13"/>
        </w:rPr>
        <w:t xml:space="preserve"> </w:t>
      </w:r>
      <w:r>
        <w:t>by</w:t>
      </w:r>
      <w:r>
        <w:rPr>
          <w:spacing w:val="-14"/>
        </w:rPr>
        <w:t xml:space="preserve"> </w:t>
      </w:r>
      <w:r>
        <w:t>MOFCOM</w:t>
      </w:r>
      <w:r>
        <w:rPr>
          <w:spacing w:val="-13"/>
        </w:rPr>
        <w:t xml:space="preserve"> </w:t>
      </w:r>
      <w:r>
        <w:t>to</w:t>
      </w:r>
      <w:r>
        <w:rPr>
          <w:spacing w:val="-14"/>
        </w:rPr>
        <w:t xml:space="preserve"> </w:t>
      </w:r>
      <w:r>
        <w:t>the</w:t>
      </w:r>
      <w:r>
        <w:rPr>
          <w:spacing w:val="-13"/>
        </w:rPr>
        <w:t xml:space="preserve"> </w:t>
      </w:r>
      <w:r>
        <w:t>assessment</w:t>
      </w:r>
      <w:r>
        <w:rPr>
          <w:spacing w:val="-14"/>
        </w:rPr>
        <w:t xml:space="preserve"> </w:t>
      </w:r>
      <w:r>
        <w:t>of</w:t>
      </w:r>
      <w:r>
        <w:rPr>
          <w:spacing w:val="-14"/>
        </w:rPr>
        <w:t xml:space="preserve"> </w:t>
      </w:r>
      <w:r>
        <w:t>the</w:t>
      </w:r>
      <w:r>
        <w:rPr>
          <w:spacing w:val="-13"/>
        </w:rPr>
        <w:t xml:space="preserve"> </w:t>
      </w:r>
      <w:r>
        <w:t>accuracy</w:t>
      </w:r>
      <w:r>
        <w:rPr>
          <w:spacing w:val="-14"/>
        </w:rPr>
        <w:t xml:space="preserve"> </w:t>
      </w:r>
      <w:r>
        <w:t>of</w:t>
      </w:r>
      <w:r>
        <w:rPr>
          <w:spacing w:val="-13"/>
        </w:rPr>
        <w:t xml:space="preserve"> </w:t>
      </w:r>
      <w:r>
        <w:t>the</w:t>
      </w:r>
      <w:r>
        <w:rPr>
          <w:spacing w:val="-14"/>
        </w:rPr>
        <w:t xml:space="preserve"> </w:t>
      </w:r>
      <w:r>
        <w:t>material submitted by the sampled companies also contrav</w:t>
      </w:r>
      <w:r>
        <w:t>enes China's obligations under Article 6.6. Necessarily inherent in the obligation on an investigating authority to "satisfy itself as to the accuracy"</w:t>
      </w:r>
      <w:r>
        <w:rPr>
          <w:spacing w:val="-14"/>
        </w:rPr>
        <w:t xml:space="preserve"> </w:t>
      </w:r>
      <w:r>
        <w:t>of</w:t>
      </w:r>
      <w:r>
        <w:rPr>
          <w:spacing w:val="-14"/>
        </w:rPr>
        <w:t xml:space="preserve"> </w:t>
      </w:r>
      <w:r>
        <w:t>information</w:t>
      </w:r>
      <w:r>
        <w:rPr>
          <w:spacing w:val="-13"/>
        </w:rPr>
        <w:t xml:space="preserve"> </w:t>
      </w:r>
      <w:r>
        <w:t>is</w:t>
      </w:r>
      <w:r>
        <w:rPr>
          <w:spacing w:val="-14"/>
        </w:rPr>
        <w:t xml:space="preserve"> </w:t>
      </w:r>
      <w:r>
        <w:t>that</w:t>
      </w:r>
      <w:r>
        <w:rPr>
          <w:spacing w:val="-13"/>
        </w:rPr>
        <w:t xml:space="preserve"> </w:t>
      </w:r>
      <w:r>
        <w:t>the</w:t>
      </w:r>
      <w:r>
        <w:rPr>
          <w:spacing w:val="-14"/>
        </w:rPr>
        <w:t xml:space="preserve"> </w:t>
      </w:r>
      <w:r>
        <w:t>process</w:t>
      </w:r>
      <w:r>
        <w:rPr>
          <w:spacing w:val="-13"/>
        </w:rPr>
        <w:t xml:space="preserve"> </w:t>
      </w:r>
      <w:r>
        <w:t>it</w:t>
      </w:r>
      <w:r>
        <w:rPr>
          <w:spacing w:val="-14"/>
        </w:rPr>
        <w:t xml:space="preserve"> </w:t>
      </w:r>
      <w:r>
        <w:t>uses</w:t>
      </w:r>
      <w:r>
        <w:rPr>
          <w:spacing w:val="-14"/>
        </w:rPr>
        <w:t xml:space="preserve"> </w:t>
      </w:r>
      <w:r>
        <w:t>to</w:t>
      </w:r>
      <w:r>
        <w:rPr>
          <w:spacing w:val="-13"/>
        </w:rPr>
        <w:t xml:space="preserve"> </w:t>
      </w:r>
      <w:r>
        <w:t>make</w:t>
      </w:r>
      <w:r>
        <w:rPr>
          <w:spacing w:val="-13"/>
        </w:rPr>
        <w:t xml:space="preserve"> </w:t>
      </w:r>
      <w:r>
        <w:t>that</w:t>
      </w:r>
      <w:r>
        <w:rPr>
          <w:spacing w:val="-14"/>
        </w:rPr>
        <w:t xml:space="preserve"> </w:t>
      </w:r>
      <w:r>
        <w:t>assessment</w:t>
      </w:r>
      <w:r>
        <w:rPr>
          <w:spacing w:val="-13"/>
        </w:rPr>
        <w:t xml:space="preserve"> </w:t>
      </w:r>
      <w:r>
        <w:t>must</w:t>
      </w:r>
      <w:r>
        <w:rPr>
          <w:spacing w:val="-14"/>
        </w:rPr>
        <w:t xml:space="preserve"> </w:t>
      </w:r>
      <w:r>
        <w:t>be</w:t>
      </w:r>
      <w:r>
        <w:rPr>
          <w:spacing w:val="-12"/>
        </w:rPr>
        <w:t xml:space="preserve"> </w:t>
      </w:r>
      <w:r>
        <w:t>rationally capable of determi</w:t>
      </w:r>
      <w:r>
        <w:t>ning the reliability and probity of the information being assessed. The information</w:t>
      </w:r>
      <w:r>
        <w:rPr>
          <w:spacing w:val="-4"/>
        </w:rPr>
        <w:t xml:space="preserve"> </w:t>
      </w:r>
      <w:r>
        <w:t>submitted</w:t>
      </w:r>
      <w:r>
        <w:rPr>
          <w:spacing w:val="-4"/>
        </w:rPr>
        <w:t xml:space="preserve"> </w:t>
      </w:r>
      <w:r>
        <w:t>by</w:t>
      </w:r>
      <w:r>
        <w:rPr>
          <w:spacing w:val="-3"/>
        </w:rPr>
        <w:t xml:space="preserve"> </w:t>
      </w:r>
      <w:r>
        <w:t>the</w:t>
      </w:r>
      <w:r>
        <w:rPr>
          <w:spacing w:val="-3"/>
        </w:rPr>
        <w:t xml:space="preserve"> </w:t>
      </w:r>
      <w:r>
        <w:t>sampled</w:t>
      </w:r>
      <w:r>
        <w:rPr>
          <w:spacing w:val="-4"/>
        </w:rPr>
        <w:t xml:space="preserve"> </w:t>
      </w:r>
      <w:r>
        <w:t>companies</w:t>
      </w:r>
      <w:r>
        <w:rPr>
          <w:spacing w:val="-4"/>
        </w:rPr>
        <w:t xml:space="preserve"> </w:t>
      </w:r>
      <w:r>
        <w:t>was</w:t>
      </w:r>
      <w:r>
        <w:rPr>
          <w:spacing w:val="-4"/>
        </w:rPr>
        <w:t xml:space="preserve"> </w:t>
      </w:r>
      <w:r>
        <w:t>accurate</w:t>
      </w:r>
      <w:r>
        <w:rPr>
          <w:spacing w:val="-3"/>
        </w:rPr>
        <w:t xml:space="preserve"> </w:t>
      </w:r>
      <w:r>
        <w:t>and</w:t>
      </w:r>
      <w:r>
        <w:rPr>
          <w:spacing w:val="-4"/>
        </w:rPr>
        <w:t xml:space="preserve"> </w:t>
      </w:r>
      <w:r>
        <w:t>MOFCOM</w:t>
      </w:r>
      <w:r>
        <w:rPr>
          <w:spacing w:val="-4"/>
        </w:rPr>
        <w:t xml:space="preserve"> </w:t>
      </w:r>
      <w:r>
        <w:t>should</w:t>
      </w:r>
      <w:r>
        <w:rPr>
          <w:spacing w:val="-4"/>
        </w:rPr>
        <w:t xml:space="preserve"> </w:t>
      </w:r>
      <w:r>
        <w:t>readily have been able to satisfy itself as to its accuracy but instead employed a methodology that improperly</w:t>
      </w:r>
      <w:r>
        <w:rPr>
          <w:spacing w:val="-2"/>
        </w:rPr>
        <w:t xml:space="preserve"> </w:t>
      </w:r>
      <w:r>
        <w:t>led</w:t>
      </w:r>
      <w:r>
        <w:rPr>
          <w:spacing w:val="-3"/>
        </w:rPr>
        <w:t xml:space="preserve"> </w:t>
      </w:r>
      <w:r>
        <w:t>to</w:t>
      </w:r>
      <w:r>
        <w:rPr>
          <w:spacing w:val="-2"/>
        </w:rPr>
        <w:t xml:space="preserve"> </w:t>
      </w:r>
      <w:r>
        <w:t>it</w:t>
      </w:r>
      <w:r>
        <w:rPr>
          <w:spacing w:val="-4"/>
        </w:rPr>
        <w:t xml:space="preserve"> </w:t>
      </w:r>
      <w:r>
        <w:t>rejecting</w:t>
      </w:r>
      <w:r>
        <w:rPr>
          <w:spacing w:val="-3"/>
        </w:rPr>
        <w:t xml:space="preserve"> </w:t>
      </w:r>
      <w:r>
        <w:t>the</w:t>
      </w:r>
      <w:r>
        <w:rPr>
          <w:spacing w:val="-2"/>
        </w:rPr>
        <w:t xml:space="preserve"> </w:t>
      </w:r>
      <w:r>
        <w:t>data.</w:t>
      </w:r>
      <w:r>
        <w:rPr>
          <w:spacing w:val="-2"/>
        </w:rPr>
        <w:t xml:space="preserve"> </w:t>
      </w:r>
      <w:r>
        <w:t>The</w:t>
      </w:r>
      <w:r>
        <w:rPr>
          <w:spacing w:val="-2"/>
        </w:rPr>
        <w:t xml:space="preserve"> </w:t>
      </w:r>
      <w:r>
        <w:t>record</w:t>
      </w:r>
      <w:r>
        <w:rPr>
          <w:spacing w:val="-3"/>
        </w:rPr>
        <w:t xml:space="preserve"> </w:t>
      </w:r>
      <w:r>
        <w:t>shows</w:t>
      </w:r>
      <w:r>
        <w:rPr>
          <w:spacing w:val="-3"/>
        </w:rPr>
        <w:t xml:space="preserve"> </w:t>
      </w:r>
      <w:r>
        <w:t>that</w:t>
      </w:r>
      <w:r>
        <w:rPr>
          <w:spacing w:val="-3"/>
        </w:rPr>
        <w:t xml:space="preserve"> </w:t>
      </w:r>
      <w:r>
        <w:t>the</w:t>
      </w:r>
      <w:r>
        <w:rPr>
          <w:spacing w:val="-2"/>
        </w:rPr>
        <w:t xml:space="preserve"> </w:t>
      </w:r>
      <w:r>
        <w:t>findings</w:t>
      </w:r>
      <w:r>
        <w:rPr>
          <w:spacing w:val="-3"/>
        </w:rPr>
        <w:t xml:space="preserve"> </w:t>
      </w:r>
      <w:r>
        <w:t>made</w:t>
      </w:r>
      <w:r>
        <w:rPr>
          <w:spacing w:val="-2"/>
        </w:rPr>
        <w:t xml:space="preserve"> </w:t>
      </w:r>
      <w:r>
        <w:t>by</w:t>
      </w:r>
      <w:r>
        <w:rPr>
          <w:spacing w:val="-3"/>
        </w:rPr>
        <w:t xml:space="preserve"> </w:t>
      </w:r>
      <w:r>
        <w:t>MOFCOM to identify purported deficiencies instead reflect decisions by M</w:t>
      </w:r>
      <w:r>
        <w:t>OFCOM to:</w:t>
      </w:r>
    </w:p>
    <w:p w14:paraId="51DE98F1" w14:textId="77777777" w:rsidR="0010369C" w:rsidRDefault="008E43AE">
      <w:pPr>
        <w:pStyle w:val="ListParagraph"/>
        <w:numPr>
          <w:ilvl w:val="0"/>
          <w:numId w:val="21"/>
        </w:numPr>
        <w:tabs>
          <w:tab w:val="left" w:pos="1940"/>
          <w:tab w:val="left" w:pos="1941"/>
        </w:tabs>
        <w:spacing w:before="160" w:line="355" w:lineRule="auto"/>
        <w:ind w:right="613"/>
        <w:rPr>
          <w:sz w:val="24"/>
        </w:rPr>
      </w:pPr>
      <w:r>
        <w:rPr>
          <w:sz w:val="24"/>
        </w:rPr>
        <w:t>treat</w:t>
      </w:r>
      <w:r>
        <w:rPr>
          <w:spacing w:val="-14"/>
          <w:sz w:val="24"/>
        </w:rPr>
        <w:t xml:space="preserve"> </w:t>
      </w:r>
      <w:r>
        <w:rPr>
          <w:sz w:val="24"/>
        </w:rPr>
        <w:t>inconsequential</w:t>
      </w:r>
      <w:r>
        <w:rPr>
          <w:spacing w:val="-14"/>
          <w:sz w:val="24"/>
        </w:rPr>
        <w:t xml:space="preserve"> </w:t>
      </w:r>
      <w:r>
        <w:rPr>
          <w:sz w:val="24"/>
        </w:rPr>
        <w:t>omissions</w:t>
      </w:r>
      <w:r>
        <w:rPr>
          <w:spacing w:val="-13"/>
          <w:sz w:val="24"/>
        </w:rPr>
        <w:t xml:space="preserve"> </w:t>
      </w:r>
      <w:r>
        <w:rPr>
          <w:sz w:val="24"/>
        </w:rPr>
        <w:t>in</w:t>
      </w:r>
      <w:r>
        <w:rPr>
          <w:spacing w:val="-14"/>
          <w:sz w:val="24"/>
        </w:rPr>
        <w:t xml:space="preserve"> </w:t>
      </w:r>
      <w:r>
        <w:rPr>
          <w:sz w:val="24"/>
        </w:rPr>
        <w:t>substantially</w:t>
      </w:r>
      <w:r>
        <w:rPr>
          <w:spacing w:val="-13"/>
          <w:sz w:val="24"/>
        </w:rPr>
        <w:t xml:space="preserve"> </w:t>
      </w:r>
      <w:r>
        <w:rPr>
          <w:sz w:val="24"/>
        </w:rPr>
        <w:t>complete</w:t>
      </w:r>
      <w:r>
        <w:rPr>
          <w:spacing w:val="-14"/>
          <w:sz w:val="24"/>
        </w:rPr>
        <w:t xml:space="preserve"> </w:t>
      </w:r>
      <w:r>
        <w:rPr>
          <w:sz w:val="24"/>
        </w:rPr>
        <w:t>data</w:t>
      </w:r>
      <w:r>
        <w:rPr>
          <w:spacing w:val="-13"/>
          <w:sz w:val="24"/>
        </w:rPr>
        <w:t xml:space="preserve"> </w:t>
      </w:r>
      <w:r>
        <w:rPr>
          <w:sz w:val="24"/>
        </w:rPr>
        <w:t>sets</w:t>
      </w:r>
      <w:r>
        <w:rPr>
          <w:spacing w:val="-14"/>
          <w:sz w:val="24"/>
        </w:rPr>
        <w:t xml:space="preserve"> </w:t>
      </w:r>
      <w:r>
        <w:rPr>
          <w:sz w:val="24"/>
        </w:rPr>
        <w:t>as</w:t>
      </w:r>
      <w:r>
        <w:rPr>
          <w:spacing w:val="-14"/>
          <w:sz w:val="24"/>
        </w:rPr>
        <w:t xml:space="preserve"> </w:t>
      </w:r>
      <w:r>
        <w:rPr>
          <w:sz w:val="24"/>
        </w:rPr>
        <w:t>a</w:t>
      </w:r>
      <w:r>
        <w:rPr>
          <w:spacing w:val="-13"/>
          <w:sz w:val="24"/>
        </w:rPr>
        <w:t xml:space="preserve"> </w:t>
      </w:r>
      <w:r>
        <w:rPr>
          <w:sz w:val="24"/>
        </w:rPr>
        <w:t>basis for rejecting the data sets in their entirety;</w:t>
      </w:r>
    </w:p>
    <w:p w14:paraId="51DE98F2" w14:textId="77777777" w:rsidR="0010369C" w:rsidRDefault="008E43AE">
      <w:pPr>
        <w:pStyle w:val="ListParagraph"/>
        <w:numPr>
          <w:ilvl w:val="0"/>
          <w:numId w:val="21"/>
        </w:numPr>
        <w:tabs>
          <w:tab w:val="left" w:pos="1940"/>
          <w:tab w:val="left" w:pos="1941"/>
        </w:tabs>
        <w:spacing w:before="132" w:line="357" w:lineRule="auto"/>
        <w:ind w:left="1939" w:right="612"/>
        <w:rPr>
          <w:sz w:val="24"/>
        </w:rPr>
      </w:pPr>
      <w:r>
        <w:rPr>
          <w:sz w:val="24"/>
        </w:rPr>
        <w:t>insist upon direct comparability between different data sets given in different forms, and disregard explanations from t</w:t>
      </w:r>
      <w:r>
        <w:rPr>
          <w:sz w:val="24"/>
        </w:rPr>
        <w:t>he companies about differences between them; and</w:t>
      </w:r>
    </w:p>
    <w:p w14:paraId="51DE98F3" w14:textId="77777777" w:rsidR="0010369C" w:rsidRDefault="008E43AE">
      <w:pPr>
        <w:pStyle w:val="ListParagraph"/>
        <w:numPr>
          <w:ilvl w:val="0"/>
          <w:numId w:val="21"/>
        </w:numPr>
        <w:tabs>
          <w:tab w:val="left" w:pos="1940"/>
          <w:tab w:val="left" w:pos="1941"/>
        </w:tabs>
        <w:spacing w:before="127" w:line="357" w:lineRule="auto"/>
        <w:ind w:right="613"/>
        <w:rPr>
          <w:sz w:val="24"/>
        </w:rPr>
      </w:pPr>
      <w:r>
        <w:rPr>
          <w:sz w:val="24"/>
        </w:rPr>
        <w:t>maintain findings that certain information had not been provided in a questionnaire response, even once it had been provided with submissions from the company identifying where the information had been inclu</w:t>
      </w:r>
      <w:r>
        <w:rPr>
          <w:sz w:val="24"/>
        </w:rPr>
        <w:t>ded in the original response.</w:t>
      </w:r>
    </w:p>
    <w:p w14:paraId="51DE98F4" w14:textId="77777777" w:rsidR="0010369C" w:rsidRDefault="008E43AE">
      <w:pPr>
        <w:pStyle w:val="BodyText"/>
        <w:spacing w:before="132" w:line="360" w:lineRule="auto"/>
        <w:ind w:left="237" w:right="612" w:firstLine="851"/>
        <w:jc w:val="both"/>
      </w:pPr>
      <w:r>
        <w:rPr>
          <w:noProof/>
        </w:rPr>
        <w:drawing>
          <wp:anchor distT="0" distB="0" distL="0" distR="0" simplePos="0" relativeHeight="251543040" behindDoc="1" locked="0" layoutInCell="1" allowOverlap="1" wp14:anchorId="51DEA811" wp14:editId="51DEA812">
            <wp:simplePos x="0" y="0"/>
            <wp:positionH relativeFrom="page">
              <wp:posOffset>902208</wp:posOffset>
            </wp:positionH>
            <wp:positionV relativeFrom="paragraph">
              <wp:posOffset>132749</wp:posOffset>
            </wp:positionV>
            <wp:extent cx="262127" cy="100753"/>
            <wp:effectExtent l="0" t="0" r="0" b="0"/>
            <wp:wrapNone/>
            <wp:docPr id="1857" name="image9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 name="image956.png"/>
                    <pic:cNvPicPr/>
                  </pic:nvPicPr>
                  <pic:blipFill>
                    <a:blip r:embed="rId1237" cstate="print"/>
                    <a:stretch>
                      <a:fillRect/>
                    </a:stretch>
                  </pic:blipFill>
                  <pic:spPr>
                    <a:xfrm>
                      <a:off x="0" y="0"/>
                      <a:ext cx="262127" cy="100753"/>
                    </a:xfrm>
                    <a:prstGeom prst="rect">
                      <a:avLst/>
                    </a:prstGeom>
                  </pic:spPr>
                </pic:pic>
              </a:graphicData>
            </a:graphic>
          </wp:anchor>
        </w:drawing>
      </w:r>
      <w:r>
        <w:t>MOFCOM</w:t>
      </w:r>
      <w:r>
        <w:rPr>
          <w:spacing w:val="-7"/>
        </w:rPr>
        <w:t xml:space="preserve"> </w:t>
      </w:r>
      <w:r>
        <w:t>also</w:t>
      </w:r>
      <w:r>
        <w:rPr>
          <w:spacing w:val="-6"/>
        </w:rPr>
        <w:t xml:space="preserve"> </w:t>
      </w:r>
      <w:r>
        <w:t>chose</w:t>
      </w:r>
      <w:r>
        <w:rPr>
          <w:spacing w:val="-7"/>
        </w:rPr>
        <w:t xml:space="preserve"> </w:t>
      </w:r>
      <w:r>
        <w:t>not</w:t>
      </w:r>
      <w:r>
        <w:rPr>
          <w:spacing w:val="-8"/>
        </w:rPr>
        <w:t xml:space="preserve"> </w:t>
      </w:r>
      <w:r>
        <w:t>to</w:t>
      </w:r>
      <w:r>
        <w:rPr>
          <w:spacing w:val="-7"/>
        </w:rPr>
        <w:t xml:space="preserve"> </w:t>
      </w:r>
      <w:r>
        <w:t>take</w:t>
      </w:r>
      <w:r>
        <w:rPr>
          <w:spacing w:val="-6"/>
        </w:rPr>
        <w:t xml:space="preserve"> </w:t>
      </w:r>
      <w:r>
        <w:t>readily</w:t>
      </w:r>
      <w:r>
        <w:rPr>
          <w:spacing w:val="-7"/>
        </w:rPr>
        <w:t xml:space="preserve"> </w:t>
      </w:r>
      <w:r>
        <w:t>available</w:t>
      </w:r>
      <w:r>
        <w:rPr>
          <w:spacing w:val="-8"/>
        </w:rPr>
        <w:t xml:space="preserve"> </w:t>
      </w:r>
      <w:r>
        <w:t>steps</w:t>
      </w:r>
      <w:r>
        <w:rPr>
          <w:spacing w:val="-7"/>
        </w:rPr>
        <w:t xml:space="preserve"> </w:t>
      </w:r>
      <w:r>
        <w:t>that</w:t>
      </w:r>
      <w:r>
        <w:rPr>
          <w:spacing w:val="-7"/>
        </w:rPr>
        <w:t xml:space="preserve"> </w:t>
      </w:r>
      <w:r>
        <w:t>would</w:t>
      </w:r>
      <w:r>
        <w:rPr>
          <w:spacing w:val="-8"/>
        </w:rPr>
        <w:t xml:space="preserve"> </w:t>
      </w:r>
      <w:r>
        <w:t>have</w:t>
      </w:r>
      <w:r>
        <w:rPr>
          <w:spacing w:val="-6"/>
        </w:rPr>
        <w:t xml:space="preserve"> </w:t>
      </w:r>
      <w:r>
        <w:t>allowed</w:t>
      </w:r>
      <w:r>
        <w:rPr>
          <w:spacing w:val="-7"/>
        </w:rPr>
        <w:t xml:space="preserve"> </w:t>
      </w:r>
      <w:r>
        <w:t>it</w:t>
      </w:r>
      <w:r>
        <w:rPr>
          <w:spacing w:val="-7"/>
        </w:rPr>
        <w:t xml:space="preserve"> </w:t>
      </w:r>
      <w:r>
        <w:t>to satisfy</w:t>
      </w:r>
      <w:r>
        <w:rPr>
          <w:spacing w:val="-14"/>
        </w:rPr>
        <w:t xml:space="preserve"> </w:t>
      </w:r>
      <w:r>
        <w:t>itself</w:t>
      </w:r>
      <w:r>
        <w:rPr>
          <w:spacing w:val="-14"/>
        </w:rPr>
        <w:t xml:space="preserve"> </w:t>
      </w:r>
      <w:r>
        <w:t>of</w:t>
      </w:r>
      <w:r>
        <w:rPr>
          <w:spacing w:val="-13"/>
        </w:rPr>
        <w:t xml:space="preserve"> </w:t>
      </w:r>
      <w:r>
        <w:t>the</w:t>
      </w:r>
      <w:r>
        <w:rPr>
          <w:spacing w:val="-14"/>
        </w:rPr>
        <w:t xml:space="preserve"> </w:t>
      </w:r>
      <w:r>
        <w:t>accuracy</w:t>
      </w:r>
      <w:r>
        <w:rPr>
          <w:spacing w:val="-13"/>
        </w:rPr>
        <w:t xml:space="preserve"> </w:t>
      </w:r>
      <w:r>
        <w:t>of</w:t>
      </w:r>
      <w:r>
        <w:rPr>
          <w:spacing w:val="-14"/>
        </w:rPr>
        <w:t xml:space="preserve"> </w:t>
      </w:r>
      <w:r>
        <w:t>the</w:t>
      </w:r>
      <w:r>
        <w:rPr>
          <w:spacing w:val="-13"/>
        </w:rPr>
        <w:t xml:space="preserve"> </w:t>
      </w:r>
      <w:r>
        <w:t>information.</w:t>
      </w:r>
      <w:r>
        <w:rPr>
          <w:spacing w:val="-14"/>
        </w:rPr>
        <w:t xml:space="preserve"> </w:t>
      </w:r>
      <w:r>
        <w:t>For</w:t>
      </w:r>
      <w:r>
        <w:rPr>
          <w:spacing w:val="-14"/>
        </w:rPr>
        <w:t xml:space="preserve"> </w:t>
      </w:r>
      <w:r>
        <w:t>example,</w:t>
      </w:r>
      <w:r>
        <w:rPr>
          <w:spacing w:val="-13"/>
        </w:rPr>
        <w:t xml:space="preserve"> </w:t>
      </w:r>
      <w:r>
        <w:t>as</w:t>
      </w:r>
      <w:r>
        <w:rPr>
          <w:spacing w:val="-14"/>
        </w:rPr>
        <w:t xml:space="preserve"> </w:t>
      </w:r>
      <w:r>
        <w:t>discussed</w:t>
      </w:r>
      <w:r>
        <w:rPr>
          <w:spacing w:val="-13"/>
        </w:rPr>
        <w:t xml:space="preserve"> </w:t>
      </w:r>
      <w:r>
        <w:t>above,</w:t>
      </w:r>
      <w:r>
        <w:rPr>
          <w:vertAlign w:val="superscript"/>
        </w:rPr>
        <w:t>1113</w:t>
      </w:r>
      <w:r>
        <w:rPr>
          <w:spacing w:val="-14"/>
        </w:rPr>
        <w:t xml:space="preserve"> </w:t>
      </w:r>
      <w:r>
        <w:t>MOFCOM did not seek to verify the information submitted by the sampled companies during the investigation by reference to their respective accounting systems, despite being informed of their existence.</w:t>
      </w:r>
    </w:p>
    <w:p w14:paraId="51DE98F5" w14:textId="77777777" w:rsidR="0010369C" w:rsidRDefault="0010369C">
      <w:pPr>
        <w:pStyle w:val="BodyText"/>
        <w:rPr>
          <w:sz w:val="20"/>
        </w:rPr>
      </w:pPr>
    </w:p>
    <w:p w14:paraId="51DE98F6" w14:textId="77777777" w:rsidR="0010369C" w:rsidRDefault="0010369C">
      <w:pPr>
        <w:pStyle w:val="BodyText"/>
        <w:rPr>
          <w:sz w:val="20"/>
        </w:rPr>
      </w:pPr>
    </w:p>
    <w:p w14:paraId="51DE98F7" w14:textId="77777777" w:rsidR="0010369C" w:rsidRDefault="008E43AE">
      <w:pPr>
        <w:pStyle w:val="BodyText"/>
        <w:spacing w:before="10"/>
        <w:rPr>
          <w:sz w:val="19"/>
        </w:rPr>
      </w:pPr>
      <w:r>
        <w:pict w14:anchorId="51DEA813">
          <v:rect id="docshape1370" o:spid="_x0000_s1104" style="position:absolute;margin-left:70.9pt;margin-top:13.3pt;width:2in;height:.8pt;z-index:-250704384;mso-wrap-distance-left:0;mso-wrap-distance-right:0;mso-position-horizontal-relative:page" fillcolor="black" stroked="f">
            <w10:wrap type="topAndBottom" anchorx="page"/>
          </v:rect>
        </w:pict>
      </w:r>
    </w:p>
    <w:p w14:paraId="51DE98F8" w14:textId="77777777" w:rsidR="0010369C" w:rsidRDefault="008E43AE">
      <w:pPr>
        <w:spacing w:before="109"/>
        <w:ind w:left="238"/>
        <w:rPr>
          <w:sz w:val="18"/>
        </w:rPr>
      </w:pPr>
      <w:r>
        <w:rPr>
          <w:sz w:val="18"/>
          <w:vertAlign w:val="superscript"/>
        </w:rPr>
        <w:t>1113</w:t>
      </w:r>
      <w:r>
        <w:rPr>
          <w:spacing w:val="-6"/>
          <w:sz w:val="18"/>
        </w:rPr>
        <w:t xml:space="preserve"> </w:t>
      </w:r>
      <w:r>
        <w:rPr>
          <w:sz w:val="18"/>
        </w:rPr>
        <w:t>See</w:t>
      </w:r>
      <w:r>
        <w:rPr>
          <w:spacing w:val="-5"/>
          <w:sz w:val="18"/>
        </w:rPr>
        <w:t xml:space="preserve"> </w:t>
      </w:r>
      <w:r>
        <w:rPr>
          <w:sz w:val="18"/>
        </w:rPr>
        <w:t>above,</w:t>
      </w:r>
      <w:r>
        <w:rPr>
          <w:spacing w:val="-6"/>
          <w:sz w:val="18"/>
        </w:rPr>
        <w:t xml:space="preserve"> </w:t>
      </w:r>
      <w:r>
        <w:rPr>
          <w:sz w:val="18"/>
        </w:rPr>
        <w:t>section</w:t>
      </w:r>
      <w:r>
        <w:rPr>
          <w:spacing w:val="-6"/>
          <w:sz w:val="18"/>
        </w:rPr>
        <w:t xml:space="preserve"> </w:t>
      </w:r>
      <w:r>
        <w:rPr>
          <w:spacing w:val="-5"/>
          <w:sz w:val="18"/>
        </w:rPr>
        <w:t>II.</w:t>
      </w:r>
    </w:p>
    <w:p w14:paraId="51DE98F9" w14:textId="77777777" w:rsidR="0010369C" w:rsidRDefault="0010369C">
      <w:pPr>
        <w:rPr>
          <w:sz w:val="18"/>
        </w:rPr>
        <w:sectPr w:rsidR="0010369C">
          <w:pgSz w:w="11910" w:h="16840"/>
          <w:pgMar w:top="880" w:right="800" w:bottom="980" w:left="1180" w:header="569" w:footer="788" w:gutter="0"/>
          <w:cols w:space="720"/>
        </w:sectPr>
      </w:pPr>
    </w:p>
    <w:p w14:paraId="51DE98FA" w14:textId="77777777" w:rsidR="0010369C" w:rsidRDefault="008E43AE">
      <w:pPr>
        <w:tabs>
          <w:tab w:val="left" w:pos="6426"/>
        </w:tabs>
        <w:ind w:left="238"/>
        <w:rPr>
          <w:sz w:val="20"/>
        </w:rPr>
      </w:pPr>
      <w:r>
        <w:rPr>
          <w:i/>
          <w:sz w:val="20"/>
        </w:rPr>
        <w:lastRenderedPageBreak/>
        <w:t>China</w:t>
      </w:r>
      <w:r>
        <w:rPr>
          <w:i/>
          <w:spacing w:val="-5"/>
          <w:sz w:val="20"/>
        </w:rPr>
        <w:t xml:space="preserve"> </w:t>
      </w:r>
      <w:r>
        <w:rPr>
          <w:i/>
          <w:sz w:val="20"/>
        </w:rPr>
        <w:t>–</w:t>
      </w:r>
      <w:r>
        <w:rPr>
          <w:i/>
          <w:spacing w:val="-5"/>
          <w:sz w:val="20"/>
        </w:rPr>
        <w:t xml:space="preserve"> </w:t>
      </w:r>
      <w:r>
        <w:rPr>
          <w:i/>
          <w:sz w:val="20"/>
        </w:rPr>
        <w:t>Anti‐Dumping</w:t>
      </w:r>
      <w:r>
        <w:rPr>
          <w:i/>
          <w:spacing w:val="-4"/>
          <w:sz w:val="20"/>
        </w:rPr>
        <w:t xml:space="preserve"> </w:t>
      </w:r>
      <w:r>
        <w:rPr>
          <w:i/>
          <w:sz w:val="20"/>
        </w:rPr>
        <w:t>and</w:t>
      </w:r>
      <w:r>
        <w:rPr>
          <w:i/>
          <w:spacing w:val="-5"/>
          <w:sz w:val="20"/>
        </w:rPr>
        <w:t xml:space="preserve"> </w:t>
      </w:r>
      <w:r>
        <w:rPr>
          <w:i/>
          <w:sz w:val="20"/>
        </w:rPr>
        <w:t>Countervailing</w:t>
      </w:r>
      <w:r>
        <w:rPr>
          <w:i/>
          <w:spacing w:val="-5"/>
          <w:sz w:val="20"/>
        </w:rPr>
        <w:t xml:space="preserve"> </w:t>
      </w:r>
      <w:r>
        <w:rPr>
          <w:i/>
          <w:sz w:val="20"/>
        </w:rPr>
        <w:t>Duty</w:t>
      </w:r>
      <w:r>
        <w:rPr>
          <w:i/>
          <w:spacing w:val="-4"/>
          <w:sz w:val="20"/>
        </w:rPr>
        <w:t xml:space="preserve"> </w:t>
      </w:r>
      <w:r>
        <w:rPr>
          <w:i/>
          <w:spacing w:val="-2"/>
          <w:sz w:val="20"/>
        </w:rPr>
        <w:t>Measures</w:t>
      </w:r>
      <w:r>
        <w:rPr>
          <w:i/>
          <w:sz w:val="20"/>
        </w:rPr>
        <w:tab/>
      </w:r>
      <w:r>
        <w:rPr>
          <w:sz w:val="20"/>
        </w:rPr>
        <w:t>Australia's</w:t>
      </w:r>
      <w:r>
        <w:rPr>
          <w:spacing w:val="-7"/>
          <w:sz w:val="20"/>
        </w:rPr>
        <w:t xml:space="preserve"> </w:t>
      </w:r>
      <w:r>
        <w:rPr>
          <w:sz w:val="20"/>
        </w:rPr>
        <w:t>First</w:t>
      </w:r>
      <w:r>
        <w:rPr>
          <w:spacing w:val="-2"/>
          <w:sz w:val="20"/>
        </w:rPr>
        <w:t xml:space="preserve"> </w:t>
      </w:r>
      <w:r>
        <w:rPr>
          <w:sz w:val="20"/>
        </w:rPr>
        <w:t>Written</w:t>
      </w:r>
      <w:r>
        <w:rPr>
          <w:spacing w:val="-2"/>
          <w:sz w:val="20"/>
        </w:rPr>
        <w:t xml:space="preserve"> Submission</w:t>
      </w:r>
    </w:p>
    <w:p w14:paraId="51DE98FB" w14:textId="77777777" w:rsidR="0010369C" w:rsidRDefault="008E43AE">
      <w:pPr>
        <w:tabs>
          <w:tab w:val="left" w:pos="8228"/>
        </w:tabs>
        <w:spacing w:before="1"/>
        <w:ind w:left="239"/>
        <w:rPr>
          <w:sz w:val="20"/>
        </w:rPr>
      </w:pPr>
      <w:r>
        <w:rPr>
          <w:i/>
          <w:sz w:val="20"/>
        </w:rPr>
        <w:t>on</w:t>
      </w:r>
      <w:r>
        <w:rPr>
          <w:i/>
          <w:spacing w:val="-1"/>
          <w:sz w:val="20"/>
        </w:rPr>
        <w:t xml:space="preserve"> </w:t>
      </w:r>
      <w:r>
        <w:rPr>
          <w:i/>
          <w:sz w:val="20"/>
        </w:rPr>
        <w:t>Wine</w:t>
      </w:r>
      <w:r>
        <w:rPr>
          <w:i/>
          <w:spacing w:val="-1"/>
          <w:sz w:val="20"/>
        </w:rPr>
        <w:t xml:space="preserve"> </w:t>
      </w:r>
      <w:r>
        <w:rPr>
          <w:i/>
          <w:sz w:val="20"/>
        </w:rPr>
        <w:t>from</w:t>
      </w:r>
      <w:r>
        <w:rPr>
          <w:i/>
          <w:spacing w:val="-3"/>
          <w:sz w:val="20"/>
        </w:rPr>
        <w:t xml:space="preserve"> </w:t>
      </w:r>
      <w:r>
        <w:rPr>
          <w:i/>
          <w:sz w:val="20"/>
        </w:rPr>
        <w:t>Australia</w:t>
      </w:r>
      <w:r>
        <w:rPr>
          <w:i/>
          <w:spacing w:val="-1"/>
          <w:sz w:val="20"/>
        </w:rPr>
        <w:t xml:space="preserve"> </w:t>
      </w:r>
      <w:r>
        <w:rPr>
          <w:spacing w:val="-2"/>
          <w:sz w:val="20"/>
        </w:rPr>
        <w:t>(DS602)</w:t>
      </w:r>
      <w:r>
        <w:rPr>
          <w:sz w:val="20"/>
        </w:rPr>
        <w:tab/>
        <w:t>29</w:t>
      </w:r>
      <w:r>
        <w:rPr>
          <w:spacing w:val="-1"/>
          <w:sz w:val="20"/>
        </w:rPr>
        <w:t xml:space="preserve"> </w:t>
      </w:r>
      <w:r>
        <w:rPr>
          <w:sz w:val="20"/>
        </w:rPr>
        <w:t>April</w:t>
      </w:r>
      <w:r>
        <w:rPr>
          <w:spacing w:val="-2"/>
          <w:sz w:val="20"/>
        </w:rPr>
        <w:t xml:space="preserve"> </w:t>
      </w:r>
      <w:r>
        <w:rPr>
          <w:spacing w:val="-4"/>
          <w:sz w:val="20"/>
        </w:rPr>
        <w:t>2022</w:t>
      </w:r>
    </w:p>
    <w:p w14:paraId="51DE98FC" w14:textId="77777777" w:rsidR="0010369C" w:rsidRDefault="008E43AE">
      <w:pPr>
        <w:pStyle w:val="Heading4"/>
        <w:numPr>
          <w:ilvl w:val="2"/>
          <w:numId w:val="75"/>
        </w:numPr>
        <w:tabs>
          <w:tab w:val="left" w:pos="2649"/>
          <w:tab w:val="left" w:pos="2650"/>
        </w:tabs>
        <w:spacing w:before="35"/>
        <w:ind w:left="2649" w:hanging="852"/>
      </w:pPr>
      <w:r>
        <w:rPr>
          <w:spacing w:val="-2"/>
        </w:rPr>
        <w:t>Conclusion</w:t>
      </w:r>
    </w:p>
    <w:p w14:paraId="51DE98FD" w14:textId="77777777" w:rsidR="0010369C" w:rsidRDefault="0010369C">
      <w:pPr>
        <w:pStyle w:val="BodyText"/>
        <w:spacing w:before="9"/>
        <w:rPr>
          <w:b/>
          <w:sz w:val="20"/>
        </w:rPr>
      </w:pPr>
    </w:p>
    <w:p w14:paraId="51DE98FE" w14:textId="77777777" w:rsidR="0010369C" w:rsidRDefault="008E43AE">
      <w:pPr>
        <w:pStyle w:val="BodyText"/>
        <w:spacing w:before="52" w:line="360" w:lineRule="auto"/>
        <w:ind w:left="237" w:right="612" w:firstLine="851"/>
        <w:jc w:val="both"/>
      </w:pPr>
      <w:r>
        <w:rPr>
          <w:noProof/>
        </w:rPr>
        <w:drawing>
          <wp:anchor distT="0" distB="0" distL="0" distR="0" simplePos="0" relativeHeight="251544064" behindDoc="1" locked="0" layoutInCell="1" allowOverlap="1" wp14:anchorId="51DEA814" wp14:editId="51DEA815">
            <wp:simplePos x="0" y="0"/>
            <wp:positionH relativeFrom="page">
              <wp:posOffset>902208</wp:posOffset>
            </wp:positionH>
            <wp:positionV relativeFrom="paragraph">
              <wp:posOffset>81357</wp:posOffset>
            </wp:positionV>
            <wp:extent cx="262127" cy="103631"/>
            <wp:effectExtent l="0" t="0" r="0" b="0"/>
            <wp:wrapNone/>
            <wp:docPr id="1859" name="image9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 name="image957.png"/>
                    <pic:cNvPicPr/>
                  </pic:nvPicPr>
                  <pic:blipFill>
                    <a:blip r:embed="rId1238" cstate="print"/>
                    <a:stretch>
                      <a:fillRect/>
                    </a:stretch>
                  </pic:blipFill>
                  <pic:spPr>
                    <a:xfrm>
                      <a:off x="0" y="0"/>
                      <a:ext cx="262127" cy="103631"/>
                    </a:xfrm>
                    <a:prstGeom prst="rect">
                      <a:avLst/>
                    </a:prstGeom>
                  </pic:spPr>
                </pic:pic>
              </a:graphicData>
            </a:graphic>
          </wp:anchor>
        </w:drawing>
      </w:r>
      <w:r>
        <w:t>For the foregoing reasons, MOFCOM acted inconsistently with China's obligations under Article 6.6 of the Anti‐Dumping Agreement by failing to satisfy itself of the accuracy of the information on which its findings were based, including with respect to: (i)</w:t>
      </w:r>
      <w:r>
        <w:t xml:space="preserve"> MOFCOM's calculation of total domestic output; (ii) MOFCOM's analysis of the responses to the Questionnaire</w:t>
      </w:r>
      <w:r>
        <w:rPr>
          <w:spacing w:val="3"/>
        </w:rPr>
        <w:t xml:space="preserve"> </w:t>
      </w:r>
      <w:r>
        <w:t>for</w:t>
      </w:r>
      <w:r>
        <w:rPr>
          <w:spacing w:val="4"/>
        </w:rPr>
        <w:t xml:space="preserve"> </w:t>
      </w:r>
      <w:r>
        <w:t>Domestic</w:t>
      </w:r>
      <w:r>
        <w:rPr>
          <w:spacing w:val="4"/>
        </w:rPr>
        <w:t xml:space="preserve"> </w:t>
      </w:r>
      <w:r>
        <w:t>Producers,</w:t>
      </w:r>
      <w:r>
        <w:rPr>
          <w:spacing w:val="3"/>
        </w:rPr>
        <w:t xml:space="preserve"> </w:t>
      </w:r>
      <w:r>
        <w:t>particularly</w:t>
      </w:r>
      <w:r>
        <w:rPr>
          <w:spacing w:val="5"/>
        </w:rPr>
        <w:t xml:space="preserve"> </w:t>
      </w:r>
      <w:r>
        <w:t>in</w:t>
      </w:r>
      <w:r>
        <w:rPr>
          <w:spacing w:val="3"/>
        </w:rPr>
        <w:t xml:space="preserve"> </w:t>
      </w:r>
      <w:r>
        <w:t>light</w:t>
      </w:r>
      <w:r>
        <w:rPr>
          <w:spacing w:val="4"/>
        </w:rPr>
        <w:t xml:space="preserve"> </w:t>
      </w:r>
      <w:r>
        <w:t>of</w:t>
      </w:r>
      <w:r>
        <w:rPr>
          <w:spacing w:val="3"/>
        </w:rPr>
        <w:t xml:space="preserve"> </w:t>
      </w:r>
      <w:r>
        <w:t>the</w:t>
      </w:r>
      <w:r>
        <w:rPr>
          <w:spacing w:val="4"/>
        </w:rPr>
        <w:t xml:space="preserve"> </w:t>
      </w:r>
      <w:r>
        <w:t>contradictions</w:t>
      </w:r>
      <w:r>
        <w:rPr>
          <w:spacing w:val="2"/>
        </w:rPr>
        <w:t xml:space="preserve"> </w:t>
      </w:r>
      <w:r>
        <w:t>in</w:t>
      </w:r>
      <w:r>
        <w:rPr>
          <w:spacing w:val="4"/>
        </w:rPr>
        <w:t xml:space="preserve"> </w:t>
      </w:r>
      <w:r>
        <w:t>the</w:t>
      </w:r>
      <w:r>
        <w:rPr>
          <w:spacing w:val="4"/>
        </w:rPr>
        <w:t xml:space="preserve"> </w:t>
      </w:r>
      <w:r>
        <w:rPr>
          <w:spacing w:val="-2"/>
        </w:rPr>
        <w:t>data;</w:t>
      </w:r>
    </w:p>
    <w:p w14:paraId="51DE98FF" w14:textId="77777777" w:rsidR="0010369C" w:rsidRDefault="008E43AE">
      <w:pPr>
        <w:pStyle w:val="ListParagraph"/>
        <w:numPr>
          <w:ilvl w:val="0"/>
          <w:numId w:val="28"/>
        </w:numPr>
        <w:tabs>
          <w:tab w:val="left" w:pos="673"/>
        </w:tabs>
        <w:spacing w:before="0" w:line="360" w:lineRule="auto"/>
        <w:ind w:left="236" w:right="613" w:firstLine="1"/>
        <w:jc w:val="both"/>
        <w:rPr>
          <w:sz w:val="24"/>
        </w:rPr>
      </w:pPr>
      <w:r>
        <w:rPr>
          <w:sz w:val="24"/>
        </w:rPr>
        <w:t>MOFCOM's finding that the information supplied by the three sample</w:t>
      </w:r>
      <w:r>
        <w:rPr>
          <w:sz w:val="24"/>
        </w:rPr>
        <w:t>d Australian exporters could not be verified; (iv) the methodology that MOFCOM used to verify the information provided by the sampled companies; and (v) MOFCOM's decision to resort to "facts available".</w:t>
      </w:r>
    </w:p>
    <w:p w14:paraId="51DE9900" w14:textId="77777777" w:rsidR="0010369C" w:rsidRDefault="008E43AE">
      <w:pPr>
        <w:pStyle w:val="ListParagraph"/>
        <w:numPr>
          <w:ilvl w:val="1"/>
          <w:numId w:val="75"/>
        </w:numPr>
        <w:tabs>
          <w:tab w:val="left" w:pos="1940"/>
        </w:tabs>
        <w:spacing w:before="160" w:line="360" w:lineRule="auto"/>
        <w:ind w:left="1939" w:right="613"/>
        <w:jc w:val="both"/>
        <w:rPr>
          <w:b/>
          <w:sz w:val="28"/>
        </w:rPr>
      </w:pPr>
      <w:r>
        <w:rPr>
          <w:b/>
          <w:sz w:val="28"/>
        </w:rPr>
        <w:t>MOFCOM'</w:t>
      </w:r>
      <w:r>
        <w:rPr>
          <w:b/>
        </w:rPr>
        <w:t>S FAILURE TO PROVIDE INTERESTED PARTIES TIMELY</w:t>
      </w:r>
      <w:r>
        <w:rPr>
          <w:b/>
        </w:rPr>
        <w:t xml:space="preserve"> OPPORTUNITIES TO SEE ALL INFORMATION BREACHED </w:t>
      </w:r>
      <w:r>
        <w:rPr>
          <w:b/>
          <w:sz w:val="28"/>
        </w:rPr>
        <w:t>C</w:t>
      </w:r>
      <w:r>
        <w:rPr>
          <w:b/>
        </w:rPr>
        <w:t>HINA</w:t>
      </w:r>
      <w:r>
        <w:rPr>
          <w:b/>
          <w:sz w:val="28"/>
        </w:rPr>
        <w:t>'</w:t>
      </w:r>
      <w:r>
        <w:rPr>
          <w:b/>
        </w:rPr>
        <w:t xml:space="preserve">S OBLIGATIONS UNDER </w:t>
      </w:r>
      <w:r>
        <w:rPr>
          <w:b/>
          <w:sz w:val="28"/>
        </w:rPr>
        <w:t>A</w:t>
      </w:r>
      <w:r>
        <w:rPr>
          <w:b/>
        </w:rPr>
        <w:t xml:space="preserve">RTICLE </w:t>
      </w:r>
      <w:r>
        <w:rPr>
          <w:b/>
          <w:sz w:val="28"/>
        </w:rPr>
        <w:t xml:space="preserve">6.4 </w:t>
      </w:r>
      <w:r>
        <w:rPr>
          <w:b/>
        </w:rPr>
        <w:t xml:space="preserve">OF THE </w:t>
      </w:r>
      <w:r>
        <w:rPr>
          <w:b/>
          <w:sz w:val="28"/>
        </w:rPr>
        <w:t>A</w:t>
      </w:r>
      <w:r>
        <w:rPr>
          <w:b/>
        </w:rPr>
        <w:t>NTI</w:t>
      </w:r>
      <w:r>
        <w:rPr>
          <w:b/>
          <w:sz w:val="28"/>
        </w:rPr>
        <w:t>‐D</w:t>
      </w:r>
      <w:r>
        <w:rPr>
          <w:b/>
        </w:rPr>
        <w:t xml:space="preserve">UMPING </w:t>
      </w:r>
      <w:r>
        <w:rPr>
          <w:b/>
          <w:sz w:val="28"/>
        </w:rPr>
        <w:t>A</w:t>
      </w:r>
      <w:r>
        <w:rPr>
          <w:b/>
        </w:rPr>
        <w:t>GREEMENT</w:t>
      </w:r>
    </w:p>
    <w:p w14:paraId="51DE9901" w14:textId="77777777" w:rsidR="0010369C" w:rsidRDefault="0010369C">
      <w:pPr>
        <w:pStyle w:val="BodyText"/>
        <w:spacing w:before="11"/>
        <w:rPr>
          <w:b/>
          <w:sz w:val="8"/>
        </w:rPr>
      </w:pPr>
    </w:p>
    <w:p w14:paraId="51DE9902" w14:textId="77777777" w:rsidR="0010369C" w:rsidRDefault="008E43AE">
      <w:pPr>
        <w:pStyle w:val="BodyText"/>
        <w:spacing w:before="52" w:line="360" w:lineRule="auto"/>
        <w:ind w:left="236" w:right="613" w:firstLine="852"/>
        <w:jc w:val="both"/>
      </w:pPr>
      <w:r>
        <w:rPr>
          <w:noProof/>
        </w:rPr>
        <w:drawing>
          <wp:anchor distT="0" distB="0" distL="0" distR="0" simplePos="0" relativeHeight="251545088" behindDoc="1" locked="0" layoutInCell="1" allowOverlap="1" wp14:anchorId="51DEA816" wp14:editId="51DEA817">
            <wp:simplePos x="0" y="0"/>
            <wp:positionH relativeFrom="page">
              <wp:posOffset>902208</wp:posOffset>
            </wp:positionH>
            <wp:positionV relativeFrom="paragraph">
              <wp:posOffset>80595</wp:posOffset>
            </wp:positionV>
            <wp:extent cx="262127" cy="103631"/>
            <wp:effectExtent l="0" t="0" r="0" b="0"/>
            <wp:wrapNone/>
            <wp:docPr id="1861" name="image9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 name="image958.png"/>
                    <pic:cNvPicPr/>
                  </pic:nvPicPr>
                  <pic:blipFill>
                    <a:blip r:embed="rId1239" cstate="print"/>
                    <a:stretch>
                      <a:fillRect/>
                    </a:stretch>
                  </pic:blipFill>
                  <pic:spPr>
                    <a:xfrm>
                      <a:off x="0" y="0"/>
                      <a:ext cx="262127" cy="103631"/>
                    </a:xfrm>
                    <a:prstGeom prst="rect">
                      <a:avLst/>
                    </a:prstGeom>
                  </pic:spPr>
                </pic:pic>
              </a:graphicData>
            </a:graphic>
          </wp:anchor>
        </w:drawing>
      </w:r>
      <w:r>
        <w:t>MOFCOM acted inconsistently with Article 6.4 of the Anti‐Dumping Agreement by failing to provide timely opportunities for interested parties to see all non‐confidential information.</w:t>
      </w:r>
      <w:r>
        <w:rPr>
          <w:spacing w:val="-5"/>
        </w:rPr>
        <w:t xml:space="preserve"> </w:t>
      </w:r>
      <w:r>
        <w:t>This</w:t>
      </w:r>
      <w:r>
        <w:rPr>
          <w:spacing w:val="-6"/>
        </w:rPr>
        <w:t xml:space="preserve"> </w:t>
      </w:r>
      <w:r>
        <w:t>failure</w:t>
      </w:r>
      <w:r>
        <w:rPr>
          <w:spacing w:val="-6"/>
        </w:rPr>
        <w:t xml:space="preserve"> </w:t>
      </w:r>
      <w:r>
        <w:t>denied</w:t>
      </w:r>
      <w:r>
        <w:rPr>
          <w:spacing w:val="-6"/>
        </w:rPr>
        <w:t xml:space="preserve"> </w:t>
      </w:r>
      <w:r>
        <w:t>interested</w:t>
      </w:r>
      <w:r>
        <w:rPr>
          <w:spacing w:val="-7"/>
        </w:rPr>
        <w:t xml:space="preserve"> </w:t>
      </w:r>
      <w:r>
        <w:t>parties</w:t>
      </w:r>
      <w:r>
        <w:rPr>
          <w:spacing w:val="-6"/>
        </w:rPr>
        <w:t xml:space="preserve"> </w:t>
      </w:r>
      <w:r>
        <w:t>a</w:t>
      </w:r>
      <w:r>
        <w:rPr>
          <w:spacing w:val="-6"/>
        </w:rPr>
        <w:t xml:space="preserve"> </w:t>
      </w:r>
      <w:r>
        <w:t>full</w:t>
      </w:r>
      <w:r>
        <w:rPr>
          <w:spacing w:val="-6"/>
        </w:rPr>
        <w:t xml:space="preserve"> </w:t>
      </w:r>
      <w:r>
        <w:t>opportunity</w:t>
      </w:r>
      <w:r>
        <w:rPr>
          <w:spacing w:val="-5"/>
        </w:rPr>
        <w:t xml:space="preserve"> </w:t>
      </w:r>
      <w:r>
        <w:t>to</w:t>
      </w:r>
      <w:r>
        <w:rPr>
          <w:spacing w:val="-7"/>
        </w:rPr>
        <w:t xml:space="preserve"> </w:t>
      </w:r>
      <w:r>
        <w:t>prepare</w:t>
      </w:r>
      <w:r>
        <w:rPr>
          <w:spacing w:val="-6"/>
        </w:rPr>
        <w:t xml:space="preserve"> </w:t>
      </w:r>
      <w:r>
        <w:t>prese</w:t>
      </w:r>
      <w:r>
        <w:t>ntations on the basis of this information and defend their interests.</w:t>
      </w:r>
    </w:p>
    <w:p w14:paraId="51DE9903" w14:textId="77777777" w:rsidR="0010369C" w:rsidRDefault="0010369C">
      <w:pPr>
        <w:pStyle w:val="BodyText"/>
        <w:spacing w:before="11"/>
        <w:rPr>
          <w:sz w:val="8"/>
        </w:rPr>
      </w:pPr>
    </w:p>
    <w:p w14:paraId="51DE9904" w14:textId="77777777" w:rsidR="0010369C" w:rsidRDefault="008E43AE">
      <w:pPr>
        <w:pStyle w:val="BodyText"/>
        <w:spacing w:before="51" w:line="360" w:lineRule="auto"/>
        <w:ind w:left="237" w:right="615" w:firstLine="851"/>
        <w:jc w:val="both"/>
      </w:pPr>
      <w:r>
        <w:rPr>
          <w:noProof/>
        </w:rPr>
        <w:drawing>
          <wp:anchor distT="0" distB="0" distL="0" distR="0" simplePos="0" relativeHeight="251546112" behindDoc="1" locked="0" layoutInCell="1" allowOverlap="1" wp14:anchorId="51DEA818" wp14:editId="51DEA819">
            <wp:simplePos x="0" y="0"/>
            <wp:positionH relativeFrom="page">
              <wp:posOffset>902208</wp:posOffset>
            </wp:positionH>
            <wp:positionV relativeFrom="paragraph">
              <wp:posOffset>81315</wp:posOffset>
            </wp:positionV>
            <wp:extent cx="262127" cy="100753"/>
            <wp:effectExtent l="0" t="0" r="0" b="0"/>
            <wp:wrapNone/>
            <wp:docPr id="1863" name="image9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 name="image959.png"/>
                    <pic:cNvPicPr/>
                  </pic:nvPicPr>
                  <pic:blipFill>
                    <a:blip r:embed="rId1240" cstate="print"/>
                    <a:stretch>
                      <a:fillRect/>
                    </a:stretch>
                  </pic:blipFill>
                  <pic:spPr>
                    <a:xfrm>
                      <a:off x="0" y="0"/>
                      <a:ext cx="262127" cy="100753"/>
                    </a:xfrm>
                    <a:prstGeom prst="rect">
                      <a:avLst/>
                    </a:prstGeom>
                  </pic:spPr>
                </pic:pic>
              </a:graphicData>
            </a:graphic>
          </wp:anchor>
        </w:drawing>
      </w:r>
      <w:r>
        <w:t>Specifically, MOFCOM failed to provide interested parties opportunities to see all information that was used in, and relevant to:</w:t>
      </w:r>
    </w:p>
    <w:p w14:paraId="51DE9905" w14:textId="77777777" w:rsidR="0010369C" w:rsidRDefault="008E43AE">
      <w:pPr>
        <w:pStyle w:val="ListParagraph"/>
        <w:numPr>
          <w:ilvl w:val="0"/>
          <w:numId w:val="20"/>
        </w:numPr>
        <w:tabs>
          <w:tab w:val="left" w:pos="1939"/>
          <w:tab w:val="left" w:pos="1940"/>
        </w:tabs>
        <w:spacing w:before="160" w:line="357" w:lineRule="auto"/>
        <w:ind w:right="614"/>
        <w:rPr>
          <w:sz w:val="24"/>
        </w:rPr>
      </w:pPr>
      <w:r>
        <w:rPr>
          <w:sz w:val="24"/>
        </w:rPr>
        <w:t>the calculation of the total production of the domesti</w:t>
      </w:r>
      <w:r>
        <w:rPr>
          <w:sz w:val="24"/>
        </w:rPr>
        <w:t xml:space="preserve">c industry and the proportion of that production accounted for by the participating Chinese </w:t>
      </w:r>
      <w:r>
        <w:rPr>
          <w:spacing w:val="-2"/>
          <w:sz w:val="24"/>
        </w:rPr>
        <w:t>producers;</w:t>
      </w:r>
    </w:p>
    <w:p w14:paraId="51DE9906" w14:textId="77777777" w:rsidR="0010369C" w:rsidRDefault="008E43AE">
      <w:pPr>
        <w:pStyle w:val="ListParagraph"/>
        <w:numPr>
          <w:ilvl w:val="0"/>
          <w:numId w:val="20"/>
        </w:numPr>
        <w:tabs>
          <w:tab w:val="left" w:pos="1939"/>
          <w:tab w:val="left" w:pos="1940"/>
        </w:tabs>
        <w:spacing w:before="129"/>
        <w:ind w:hanging="852"/>
        <w:rPr>
          <w:sz w:val="24"/>
        </w:rPr>
      </w:pPr>
      <w:r>
        <w:rPr>
          <w:sz w:val="24"/>
        </w:rPr>
        <w:t>the</w:t>
      </w:r>
      <w:r>
        <w:rPr>
          <w:spacing w:val="-10"/>
          <w:sz w:val="24"/>
        </w:rPr>
        <w:t xml:space="preserve"> </w:t>
      </w:r>
      <w:r>
        <w:rPr>
          <w:sz w:val="24"/>
        </w:rPr>
        <w:t>determination</w:t>
      </w:r>
      <w:r>
        <w:rPr>
          <w:spacing w:val="-10"/>
          <w:sz w:val="24"/>
        </w:rPr>
        <w:t xml:space="preserve"> </w:t>
      </w:r>
      <w:r>
        <w:rPr>
          <w:sz w:val="24"/>
        </w:rPr>
        <w:t>of</w:t>
      </w:r>
      <w:r>
        <w:rPr>
          <w:spacing w:val="-10"/>
          <w:sz w:val="24"/>
        </w:rPr>
        <w:t xml:space="preserve"> </w:t>
      </w:r>
      <w:r>
        <w:rPr>
          <w:sz w:val="24"/>
        </w:rPr>
        <w:t>normal</w:t>
      </w:r>
      <w:r>
        <w:rPr>
          <w:spacing w:val="-10"/>
          <w:sz w:val="24"/>
        </w:rPr>
        <w:t xml:space="preserve"> </w:t>
      </w:r>
      <w:r>
        <w:rPr>
          <w:spacing w:val="-2"/>
          <w:sz w:val="24"/>
        </w:rPr>
        <w:t>value;</w:t>
      </w:r>
    </w:p>
    <w:p w14:paraId="51DE9907" w14:textId="77777777" w:rsidR="0010369C" w:rsidRDefault="008E43AE">
      <w:pPr>
        <w:pStyle w:val="ListParagraph"/>
        <w:numPr>
          <w:ilvl w:val="0"/>
          <w:numId w:val="20"/>
        </w:numPr>
        <w:tabs>
          <w:tab w:val="left" w:pos="1939"/>
          <w:tab w:val="left" w:pos="1940"/>
        </w:tabs>
        <w:spacing w:before="267" w:line="352" w:lineRule="auto"/>
        <w:ind w:right="613" w:hanging="852"/>
        <w:rPr>
          <w:sz w:val="24"/>
        </w:rPr>
      </w:pPr>
      <w:r>
        <w:rPr>
          <w:sz w:val="24"/>
        </w:rPr>
        <w:t>the adjustments to ensure a fair comparison between normal value and export price;</w:t>
      </w:r>
    </w:p>
    <w:p w14:paraId="51DE9908" w14:textId="77777777" w:rsidR="0010369C" w:rsidRDefault="008E43AE">
      <w:pPr>
        <w:pStyle w:val="ListParagraph"/>
        <w:numPr>
          <w:ilvl w:val="0"/>
          <w:numId w:val="20"/>
        </w:numPr>
        <w:tabs>
          <w:tab w:val="left" w:pos="1939"/>
          <w:tab w:val="left" w:pos="1940"/>
        </w:tabs>
        <w:spacing w:before="137"/>
        <w:rPr>
          <w:sz w:val="24"/>
        </w:rPr>
      </w:pPr>
      <w:r>
        <w:rPr>
          <w:sz w:val="24"/>
        </w:rPr>
        <w:t>differences</w:t>
      </w:r>
      <w:r>
        <w:rPr>
          <w:spacing w:val="-9"/>
          <w:sz w:val="24"/>
        </w:rPr>
        <w:t xml:space="preserve"> </w:t>
      </w:r>
      <w:r>
        <w:rPr>
          <w:sz w:val="24"/>
        </w:rPr>
        <w:t>in</w:t>
      </w:r>
      <w:r>
        <w:rPr>
          <w:spacing w:val="-8"/>
          <w:sz w:val="24"/>
        </w:rPr>
        <w:t xml:space="preserve"> </w:t>
      </w:r>
      <w:r>
        <w:rPr>
          <w:sz w:val="24"/>
        </w:rPr>
        <w:t>price</w:t>
      </w:r>
      <w:r>
        <w:rPr>
          <w:spacing w:val="-7"/>
          <w:sz w:val="24"/>
        </w:rPr>
        <w:t xml:space="preserve"> </w:t>
      </w:r>
      <w:r>
        <w:rPr>
          <w:spacing w:val="-2"/>
          <w:sz w:val="24"/>
        </w:rPr>
        <w:t>comparability;</w:t>
      </w:r>
    </w:p>
    <w:p w14:paraId="51DE9909" w14:textId="77777777" w:rsidR="0010369C" w:rsidRDefault="008E43AE">
      <w:pPr>
        <w:pStyle w:val="ListParagraph"/>
        <w:numPr>
          <w:ilvl w:val="0"/>
          <w:numId w:val="20"/>
        </w:numPr>
        <w:tabs>
          <w:tab w:val="left" w:pos="1939"/>
          <w:tab w:val="left" w:pos="1940"/>
        </w:tabs>
        <w:spacing w:before="265"/>
        <w:jc w:val="left"/>
        <w:rPr>
          <w:sz w:val="24"/>
        </w:rPr>
      </w:pPr>
      <w:r>
        <w:rPr>
          <w:sz w:val="24"/>
        </w:rPr>
        <w:t>the</w:t>
      </w:r>
      <w:r>
        <w:rPr>
          <w:spacing w:val="-9"/>
          <w:sz w:val="24"/>
        </w:rPr>
        <w:t xml:space="preserve"> </w:t>
      </w:r>
      <w:r>
        <w:rPr>
          <w:sz w:val="24"/>
        </w:rPr>
        <w:t>calculation</w:t>
      </w:r>
      <w:r>
        <w:rPr>
          <w:spacing w:val="-9"/>
          <w:sz w:val="24"/>
        </w:rPr>
        <w:t xml:space="preserve"> </w:t>
      </w:r>
      <w:r>
        <w:rPr>
          <w:sz w:val="24"/>
        </w:rPr>
        <w:t>of</w:t>
      </w:r>
      <w:r>
        <w:rPr>
          <w:spacing w:val="-9"/>
          <w:sz w:val="24"/>
        </w:rPr>
        <w:t xml:space="preserve"> </w:t>
      </w:r>
      <w:r>
        <w:rPr>
          <w:sz w:val="24"/>
        </w:rPr>
        <w:t>the</w:t>
      </w:r>
      <w:r>
        <w:rPr>
          <w:spacing w:val="-8"/>
          <w:sz w:val="24"/>
        </w:rPr>
        <w:t xml:space="preserve"> </w:t>
      </w:r>
      <w:r>
        <w:rPr>
          <w:sz w:val="24"/>
        </w:rPr>
        <w:t>dumping</w:t>
      </w:r>
      <w:r>
        <w:rPr>
          <w:spacing w:val="-8"/>
          <w:sz w:val="24"/>
        </w:rPr>
        <w:t xml:space="preserve"> </w:t>
      </w:r>
      <w:r>
        <w:rPr>
          <w:sz w:val="24"/>
        </w:rPr>
        <w:t>margins;</w:t>
      </w:r>
      <w:r>
        <w:rPr>
          <w:spacing w:val="-9"/>
          <w:sz w:val="24"/>
        </w:rPr>
        <w:t xml:space="preserve"> </w:t>
      </w:r>
      <w:r>
        <w:rPr>
          <w:spacing w:val="-5"/>
          <w:sz w:val="24"/>
        </w:rPr>
        <w:t>and</w:t>
      </w:r>
    </w:p>
    <w:p w14:paraId="51DE990A" w14:textId="77777777" w:rsidR="0010369C" w:rsidRDefault="008E43AE">
      <w:pPr>
        <w:pStyle w:val="ListParagraph"/>
        <w:numPr>
          <w:ilvl w:val="0"/>
          <w:numId w:val="20"/>
        </w:numPr>
        <w:tabs>
          <w:tab w:val="left" w:pos="1939"/>
          <w:tab w:val="left" w:pos="1940"/>
        </w:tabs>
        <w:spacing w:before="267"/>
        <w:jc w:val="left"/>
        <w:rPr>
          <w:sz w:val="24"/>
        </w:rPr>
      </w:pPr>
      <w:r>
        <w:rPr>
          <w:sz w:val="24"/>
        </w:rPr>
        <w:t>the</w:t>
      </w:r>
      <w:r>
        <w:rPr>
          <w:spacing w:val="-10"/>
          <w:sz w:val="24"/>
        </w:rPr>
        <w:t xml:space="preserve"> </w:t>
      </w:r>
      <w:r>
        <w:rPr>
          <w:sz w:val="24"/>
        </w:rPr>
        <w:t>determination</w:t>
      </w:r>
      <w:r>
        <w:rPr>
          <w:spacing w:val="-9"/>
          <w:sz w:val="24"/>
        </w:rPr>
        <w:t xml:space="preserve"> </w:t>
      </w:r>
      <w:r>
        <w:rPr>
          <w:sz w:val="24"/>
        </w:rPr>
        <w:t>of</w:t>
      </w:r>
      <w:r>
        <w:rPr>
          <w:spacing w:val="-10"/>
          <w:sz w:val="24"/>
        </w:rPr>
        <w:t xml:space="preserve"> </w:t>
      </w:r>
      <w:r>
        <w:rPr>
          <w:sz w:val="24"/>
        </w:rPr>
        <w:t>injury</w:t>
      </w:r>
      <w:r>
        <w:rPr>
          <w:spacing w:val="-9"/>
          <w:sz w:val="24"/>
        </w:rPr>
        <w:t xml:space="preserve"> </w:t>
      </w:r>
      <w:r>
        <w:rPr>
          <w:sz w:val="24"/>
        </w:rPr>
        <w:t>and</w:t>
      </w:r>
      <w:r>
        <w:rPr>
          <w:spacing w:val="-10"/>
          <w:sz w:val="24"/>
        </w:rPr>
        <w:t xml:space="preserve"> </w:t>
      </w:r>
      <w:r>
        <w:rPr>
          <w:spacing w:val="-2"/>
          <w:sz w:val="24"/>
        </w:rPr>
        <w:t>causation.</w:t>
      </w:r>
    </w:p>
    <w:p w14:paraId="51DE990B" w14:textId="77777777" w:rsidR="0010369C" w:rsidRDefault="0010369C">
      <w:pPr>
        <w:rPr>
          <w:sz w:val="24"/>
        </w:rPr>
        <w:sectPr w:rsidR="0010369C">
          <w:pgSz w:w="11910" w:h="16840"/>
          <w:pgMar w:top="880" w:right="800" w:bottom="980" w:left="1180" w:header="569" w:footer="788" w:gutter="0"/>
          <w:cols w:space="720"/>
        </w:sectPr>
      </w:pPr>
    </w:p>
    <w:p w14:paraId="51DE990C" w14:textId="77777777" w:rsidR="0010369C" w:rsidRDefault="008E43AE">
      <w:pPr>
        <w:tabs>
          <w:tab w:val="left" w:pos="6425"/>
        </w:tabs>
        <w:ind w:left="238"/>
        <w:jc w:val="both"/>
        <w:rPr>
          <w:sz w:val="20"/>
        </w:rPr>
      </w:pPr>
      <w:r>
        <w:rPr>
          <w:i/>
          <w:sz w:val="20"/>
        </w:rPr>
        <w:lastRenderedPageBreak/>
        <w:t>China</w:t>
      </w:r>
      <w:r>
        <w:rPr>
          <w:i/>
          <w:spacing w:val="-5"/>
          <w:sz w:val="20"/>
        </w:rPr>
        <w:t xml:space="preserve"> </w:t>
      </w:r>
      <w:r>
        <w:rPr>
          <w:i/>
          <w:sz w:val="20"/>
        </w:rPr>
        <w:t>–</w:t>
      </w:r>
      <w:r>
        <w:rPr>
          <w:i/>
          <w:spacing w:val="-5"/>
          <w:sz w:val="20"/>
        </w:rPr>
        <w:t xml:space="preserve"> </w:t>
      </w:r>
      <w:r>
        <w:rPr>
          <w:i/>
          <w:sz w:val="20"/>
        </w:rPr>
        <w:t>Anti‐Dumping</w:t>
      </w:r>
      <w:r>
        <w:rPr>
          <w:i/>
          <w:spacing w:val="-4"/>
          <w:sz w:val="20"/>
        </w:rPr>
        <w:t xml:space="preserve"> </w:t>
      </w:r>
      <w:r>
        <w:rPr>
          <w:i/>
          <w:sz w:val="20"/>
        </w:rPr>
        <w:t>and</w:t>
      </w:r>
      <w:r>
        <w:rPr>
          <w:i/>
          <w:spacing w:val="-5"/>
          <w:sz w:val="20"/>
        </w:rPr>
        <w:t xml:space="preserve"> </w:t>
      </w:r>
      <w:r>
        <w:rPr>
          <w:i/>
          <w:sz w:val="20"/>
        </w:rPr>
        <w:t>Countervailing</w:t>
      </w:r>
      <w:r>
        <w:rPr>
          <w:i/>
          <w:spacing w:val="-5"/>
          <w:sz w:val="20"/>
        </w:rPr>
        <w:t xml:space="preserve"> </w:t>
      </w:r>
      <w:r>
        <w:rPr>
          <w:i/>
          <w:sz w:val="20"/>
        </w:rPr>
        <w:t>Duty</w:t>
      </w:r>
      <w:r>
        <w:rPr>
          <w:i/>
          <w:spacing w:val="-4"/>
          <w:sz w:val="20"/>
        </w:rPr>
        <w:t xml:space="preserve"> </w:t>
      </w:r>
      <w:r>
        <w:rPr>
          <w:i/>
          <w:spacing w:val="-2"/>
          <w:sz w:val="20"/>
        </w:rPr>
        <w:t>Measures</w:t>
      </w:r>
      <w:r>
        <w:rPr>
          <w:i/>
          <w:sz w:val="20"/>
        </w:rPr>
        <w:tab/>
      </w:r>
      <w:r>
        <w:rPr>
          <w:sz w:val="20"/>
        </w:rPr>
        <w:t>Australia's</w:t>
      </w:r>
      <w:r>
        <w:rPr>
          <w:spacing w:val="-7"/>
          <w:sz w:val="20"/>
        </w:rPr>
        <w:t xml:space="preserve"> </w:t>
      </w:r>
      <w:r>
        <w:rPr>
          <w:sz w:val="20"/>
        </w:rPr>
        <w:t>First</w:t>
      </w:r>
      <w:r>
        <w:rPr>
          <w:spacing w:val="-2"/>
          <w:sz w:val="20"/>
        </w:rPr>
        <w:t xml:space="preserve"> </w:t>
      </w:r>
      <w:r>
        <w:rPr>
          <w:sz w:val="20"/>
        </w:rPr>
        <w:t>Written</w:t>
      </w:r>
      <w:r>
        <w:rPr>
          <w:spacing w:val="-2"/>
          <w:sz w:val="20"/>
        </w:rPr>
        <w:t xml:space="preserve"> Submission</w:t>
      </w:r>
    </w:p>
    <w:p w14:paraId="51DE990D" w14:textId="77777777" w:rsidR="0010369C" w:rsidRDefault="008E43AE">
      <w:pPr>
        <w:tabs>
          <w:tab w:val="left" w:pos="8227"/>
        </w:tabs>
        <w:spacing w:before="1"/>
        <w:ind w:left="239"/>
        <w:jc w:val="both"/>
        <w:rPr>
          <w:sz w:val="20"/>
        </w:rPr>
      </w:pPr>
      <w:r>
        <w:rPr>
          <w:i/>
          <w:sz w:val="20"/>
        </w:rPr>
        <w:t>on</w:t>
      </w:r>
      <w:r>
        <w:rPr>
          <w:i/>
          <w:spacing w:val="-1"/>
          <w:sz w:val="20"/>
        </w:rPr>
        <w:t xml:space="preserve"> </w:t>
      </w:r>
      <w:r>
        <w:rPr>
          <w:i/>
          <w:sz w:val="20"/>
        </w:rPr>
        <w:t>Wine</w:t>
      </w:r>
      <w:r>
        <w:rPr>
          <w:i/>
          <w:spacing w:val="-1"/>
          <w:sz w:val="20"/>
        </w:rPr>
        <w:t xml:space="preserve"> </w:t>
      </w:r>
      <w:r>
        <w:rPr>
          <w:i/>
          <w:sz w:val="20"/>
        </w:rPr>
        <w:t>from</w:t>
      </w:r>
      <w:r>
        <w:rPr>
          <w:i/>
          <w:spacing w:val="-3"/>
          <w:sz w:val="20"/>
        </w:rPr>
        <w:t xml:space="preserve"> </w:t>
      </w:r>
      <w:r>
        <w:rPr>
          <w:i/>
          <w:sz w:val="20"/>
        </w:rPr>
        <w:t>Australia</w:t>
      </w:r>
      <w:r>
        <w:rPr>
          <w:i/>
          <w:spacing w:val="-1"/>
          <w:sz w:val="20"/>
        </w:rPr>
        <w:t xml:space="preserve"> </w:t>
      </w:r>
      <w:r>
        <w:rPr>
          <w:spacing w:val="-2"/>
          <w:sz w:val="20"/>
        </w:rPr>
        <w:t>(DS602)</w:t>
      </w:r>
      <w:r>
        <w:rPr>
          <w:sz w:val="20"/>
        </w:rPr>
        <w:tab/>
        <w:t>29</w:t>
      </w:r>
      <w:r>
        <w:rPr>
          <w:spacing w:val="-1"/>
          <w:sz w:val="20"/>
        </w:rPr>
        <w:t xml:space="preserve"> </w:t>
      </w:r>
      <w:r>
        <w:rPr>
          <w:sz w:val="20"/>
        </w:rPr>
        <w:t>April</w:t>
      </w:r>
      <w:r>
        <w:rPr>
          <w:spacing w:val="-2"/>
          <w:sz w:val="20"/>
        </w:rPr>
        <w:t xml:space="preserve"> </w:t>
      </w:r>
      <w:r>
        <w:rPr>
          <w:spacing w:val="-4"/>
          <w:sz w:val="20"/>
        </w:rPr>
        <w:t>2022</w:t>
      </w:r>
    </w:p>
    <w:p w14:paraId="51DE990E" w14:textId="77777777" w:rsidR="0010369C" w:rsidRDefault="008E43AE">
      <w:pPr>
        <w:pStyle w:val="BodyText"/>
        <w:spacing w:before="34" w:line="360" w:lineRule="auto"/>
        <w:ind w:left="237" w:right="614" w:firstLine="851"/>
        <w:jc w:val="both"/>
      </w:pPr>
      <w:r>
        <w:rPr>
          <w:noProof/>
        </w:rPr>
        <w:drawing>
          <wp:anchor distT="0" distB="0" distL="0" distR="0" simplePos="0" relativeHeight="251547136" behindDoc="1" locked="0" layoutInCell="1" allowOverlap="1" wp14:anchorId="51DEA81A" wp14:editId="51DEA81B">
            <wp:simplePos x="0" y="0"/>
            <wp:positionH relativeFrom="page">
              <wp:posOffset>902208</wp:posOffset>
            </wp:positionH>
            <wp:positionV relativeFrom="paragraph">
              <wp:posOffset>69165</wp:posOffset>
            </wp:positionV>
            <wp:extent cx="262127" cy="103631"/>
            <wp:effectExtent l="0" t="0" r="0" b="0"/>
            <wp:wrapNone/>
            <wp:docPr id="1865" name="image9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 name="image960.png"/>
                    <pic:cNvPicPr/>
                  </pic:nvPicPr>
                  <pic:blipFill>
                    <a:blip r:embed="rId1241" cstate="print"/>
                    <a:stretch>
                      <a:fillRect/>
                    </a:stretch>
                  </pic:blipFill>
                  <pic:spPr>
                    <a:xfrm>
                      <a:off x="0" y="0"/>
                      <a:ext cx="262127" cy="103631"/>
                    </a:xfrm>
                    <a:prstGeom prst="rect">
                      <a:avLst/>
                    </a:prstGeom>
                  </pic:spPr>
                </pic:pic>
              </a:graphicData>
            </a:graphic>
          </wp:anchor>
        </w:drawing>
      </w:r>
      <w:r>
        <w:t>In</w:t>
      </w:r>
      <w:r>
        <w:rPr>
          <w:spacing w:val="-5"/>
        </w:rPr>
        <w:t xml:space="preserve"> </w:t>
      </w:r>
      <w:r>
        <w:t>respect</w:t>
      </w:r>
      <w:r>
        <w:rPr>
          <w:spacing w:val="-6"/>
        </w:rPr>
        <w:t xml:space="preserve"> </w:t>
      </w:r>
      <w:r>
        <w:t>of</w:t>
      </w:r>
      <w:r>
        <w:rPr>
          <w:spacing w:val="-6"/>
        </w:rPr>
        <w:t xml:space="preserve"> </w:t>
      </w:r>
      <w:r>
        <w:t>each</w:t>
      </w:r>
      <w:r>
        <w:rPr>
          <w:spacing w:val="-6"/>
        </w:rPr>
        <w:t xml:space="preserve"> </w:t>
      </w:r>
      <w:r>
        <w:t>of</w:t>
      </w:r>
      <w:r>
        <w:rPr>
          <w:spacing w:val="-5"/>
        </w:rPr>
        <w:t xml:space="preserve"> </w:t>
      </w:r>
      <w:r>
        <w:t>the</w:t>
      </w:r>
      <w:r>
        <w:rPr>
          <w:spacing w:val="-6"/>
        </w:rPr>
        <w:t xml:space="preserve"> </w:t>
      </w:r>
      <w:r>
        <w:t>above</w:t>
      </w:r>
      <w:r>
        <w:rPr>
          <w:spacing w:val="-5"/>
        </w:rPr>
        <w:t xml:space="preserve"> </w:t>
      </w:r>
      <w:r>
        <w:t>categories</w:t>
      </w:r>
      <w:r>
        <w:rPr>
          <w:spacing w:val="-6"/>
        </w:rPr>
        <w:t xml:space="preserve"> </w:t>
      </w:r>
      <w:r>
        <w:t>of</w:t>
      </w:r>
      <w:r>
        <w:rPr>
          <w:spacing w:val="-5"/>
        </w:rPr>
        <w:t xml:space="preserve"> </w:t>
      </w:r>
      <w:r>
        <w:t>information,</w:t>
      </w:r>
      <w:r>
        <w:rPr>
          <w:spacing w:val="-5"/>
        </w:rPr>
        <w:t xml:space="preserve"> </w:t>
      </w:r>
      <w:r>
        <w:t>discussed</w:t>
      </w:r>
      <w:r>
        <w:rPr>
          <w:spacing w:val="-5"/>
        </w:rPr>
        <w:t xml:space="preserve"> </w:t>
      </w:r>
      <w:r>
        <w:t>in</w:t>
      </w:r>
      <w:r>
        <w:rPr>
          <w:spacing w:val="-5"/>
        </w:rPr>
        <w:t xml:space="preserve"> </w:t>
      </w:r>
      <w:r>
        <w:t>more</w:t>
      </w:r>
      <w:r>
        <w:rPr>
          <w:spacing w:val="-5"/>
        </w:rPr>
        <w:t xml:space="preserve"> </w:t>
      </w:r>
      <w:r>
        <w:t>detail</w:t>
      </w:r>
      <w:r>
        <w:rPr>
          <w:spacing w:val="-5"/>
        </w:rPr>
        <w:t xml:space="preserve"> </w:t>
      </w:r>
      <w:r>
        <w:t xml:space="preserve">in subsections 2(a)‐(f) below, Australia's submission is that the relevant information was </w:t>
      </w:r>
      <w:r>
        <w:rPr>
          <w:i/>
        </w:rPr>
        <w:t xml:space="preserve">never </w:t>
      </w:r>
      <w:r>
        <w:t>disclosed to interested parties. In addition, in subsection 2(g), Australia su</w:t>
      </w:r>
      <w:r>
        <w:t>bmits that where certain non‐confidential information was provided to interested parties, it was incomplete and</w:t>
      </w:r>
      <w:r>
        <w:rPr>
          <w:spacing w:val="-8"/>
        </w:rPr>
        <w:t xml:space="preserve"> </w:t>
      </w:r>
      <w:r>
        <w:t>insufficient,</w:t>
      </w:r>
      <w:r>
        <w:rPr>
          <w:spacing w:val="-6"/>
        </w:rPr>
        <w:t xml:space="preserve"> </w:t>
      </w:r>
      <w:r>
        <w:t>and</w:t>
      </w:r>
      <w:r>
        <w:rPr>
          <w:spacing w:val="-8"/>
        </w:rPr>
        <w:t xml:space="preserve"> </w:t>
      </w:r>
      <w:r>
        <w:t>MOFCOM</w:t>
      </w:r>
      <w:r>
        <w:rPr>
          <w:spacing w:val="-7"/>
        </w:rPr>
        <w:t xml:space="preserve"> </w:t>
      </w:r>
      <w:r>
        <w:t>failed</w:t>
      </w:r>
      <w:r>
        <w:rPr>
          <w:spacing w:val="-7"/>
        </w:rPr>
        <w:t xml:space="preserve"> </w:t>
      </w:r>
      <w:r>
        <w:t>to</w:t>
      </w:r>
      <w:r>
        <w:rPr>
          <w:spacing w:val="-7"/>
        </w:rPr>
        <w:t xml:space="preserve"> </w:t>
      </w:r>
      <w:r>
        <w:t>provide</w:t>
      </w:r>
      <w:r>
        <w:rPr>
          <w:spacing w:val="-6"/>
        </w:rPr>
        <w:t xml:space="preserve"> </w:t>
      </w:r>
      <w:r>
        <w:t>it</w:t>
      </w:r>
      <w:r>
        <w:rPr>
          <w:spacing w:val="-7"/>
        </w:rPr>
        <w:t xml:space="preserve"> </w:t>
      </w:r>
      <w:r>
        <w:t>in</w:t>
      </w:r>
      <w:r>
        <w:rPr>
          <w:spacing w:val="-8"/>
        </w:rPr>
        <w:t xml:space="preserve"> </w:t>
      </w:r>
      <w:r>
        <w:t>a</w:t>
      </w:r>
      <w:r>
        <w:rPr>
          <w:spacing w:val="-7"/>
        </w:rPr>
        <w:t xml:space="preserve"> </w:t>
      </w:r>
      <w:r>
        <w:t>"timely"</w:t>
      </w:r>
      <w:r>
        <w:rPr>
          <w:spacing w:val="-8"/>
        </w:rPr>
        <w:t xml:space="preserve"> </w:t>
      </w:r>
      <w:r>
        <w:t>basis</w:t>
      </w:r>
      <w:r>
        <w:rPr>
          <w:spacing w:val="-7"/>
        </w:rPr>
        <w:t xml:space="preserve"> </w:t>
      </w:r>
      <w:r>
        <w:t>as</w:t>
      </w:r>
      <w:r>
        <w:rPr>
          <w:spacing w:val="-8"/>
        </w:rPr>
        <w:t xml:space="preserve"> </w:t>
      </w:r>
      <w:r>
        <w:t>required</w:t>
      </w:r>
      <w:r>
        <w:rPr>
          <w:spacing w:val="-7"/>
        </w:rPr>
        <w:t xml:space="preserve"> </w:t>
      </w:r>
      <w:r>
        <w:t>under</w:t>
      </w:r>
      <w:r>
        <w:rPr>
          <w:spacing w:val="-7"/>
        </w:rPr>
        <w:t xml:space="preserve"> </w:t>
      </w:r>
      <w:r>
        <w:t xml:space="preserve">Article </w:t>
      </w:r>
      <w:r>
        <w:rPr>
          <w:spacing w:val="-4"/>
        </w:rPr>
        <w:t>6.4.</w:t>
      </w:r>
    </w:p>
    <w:p w14:paraId="51DE990F" w14:textId="77777777" w:rsidR="0010369C" w:rsidRDefault="0010369C">
      <w:pPr>
        <w:pStyle w:val="BodyText"/>
        <w:spacing w:before="10"/>
        <w:rPr>
          <w:sz w:val="8"/>
        </w:rPr>
      </w:pPr>
    </w:p>
    <w:p w14:paraId="51DE9910" w14:textId="77777777" w:rsidR="0010369C" w:rsidRDefault="008E43AE">
      <w:pPr>
        <w:pStyle w:val="BodyText"/>
        <w:spacing w:before="52" w:line="360" w:lineRule="auto"/>
        <w:ind w:left="237" w:right="613" w:firstLine="851"/>
        <w:jc w:val="both"/>
      </w:pPr>
      <w:r>
        <w:rPr>
          <w:noProof/>
        </w:rPr>
        <w:drawing>
          <wp:anchor distT="0" distB="0" distL="0" distR="0" simplePos="0" relativeHeight="251548160" behindDoc="1" locked="0" layoutInCell="1" allowOverlap="1" wp14:anchorId="51DEA81C" wp14:editId="51DEA81D">
            <wp:simplePos x="0" y="0"/>
            <wp:positionH relativeFrom="page">
              <wp:posOffset>902208</wp:posOffset>
            </wp:positionH>
            <wp:positionV relativeFrom="paragraph">
              <wp:posOffset>81949</wp:posOffset>
            </wp:positionV>
            <wp:extent cx="262127" cy="100753"/>
            <wp:effectExtent l="0" t="0" r="0" b="0"/>
            <wp:wrapNone/>
            <wp:docPr id="1867" name="image9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 name="image961.png"/>
                    <pic:cNvPicPr/>
                  </pic:nvPicPr>
                  <pic:blipFill>
                    <a:blip r:embed="rId1242" cstate="print"/>
                    <a:stretch>
                      <a:fillRect/>
                    </a:stretch>
                  </pic:blipFill>
                  <pic:spPr>
                    <a:xfrm>
                      <a:off x="0" y="0"/>
                      <a:ext cx="262127" cy="100753"/>
                    </a:xfrm>
                    <a:prstGeom prst="rect">
                      <a:avLst/>
                    </a:prstGeom>
                  </pic:spPr>
                </pic:pic>
              </a:graphicData>
            </a:graphic>
          </wp:anchor>
        </w:drawing>
      </w:r>
      <w:r>
        <w:t>To the extent that the Panel finds MOFCOM act</w:t>
      </w:r>
      <w:r>
        <w:t>ed inconsistently with Article 6.5 by failing to objectively assess "good</w:t>
      </w:r>
      <w:r>
        <w:rPr>
          <w:spacing w:val="-1"/>
        </w:rPr>
        <w:t xml:space="preserve"> </w:t>
      </w:r>
      <w:r>
        <w:t>cause"</w:t>
      </w:r>
      <w:r>
        <w:rPr>
          <w:spacing w:val="-1"/>
        </w:rPr>
        <w:t xml:space="preserve"> </w:t>
      </w:r>
      <w:r>
        <w:t>for claims</w:t>
      </w:r>
      <w:r>
        <w:rPr>
          <w:spacing w:val="-1"/>
        </w:rPr>
        <w:t xml:space="preserve"> </w:t>
      </w:r>
      <w:r>
        <w:t>of confidentiality or that MOFCOM</w:t>
      </w:r>
      <w:r>
        <w:rPr>
          <w:spacing w:val="-1"/>
        </w:rPr>
        <w:t xml:space="preserve"> </w:t>
      </w:r>
      <w:r>
        <w:t>acted inconsistently with Article 6.5.1 by failing to furnish interested parties with nonconfidential summaries, MOFCOM acted inco</w:t>
      </w:r>
      <w:r>
        <w:t>nsistently with Article 6.4 in respect of the information that should have been disclosed.</w:t>
      </w:r>
    </w:p>
    <w:p w14:paraId="51DE9911" w14:textId="77777777" w:rsidR="0010369C" w:rsidRDefault="008E43AE">
      <w:pPr>
        <w:pStyle w:val="Heading4"/>
        <w:numPr>
          <w:ilvl w:val="2"/>
          <w:numId w:val="75"/>
        </w:numPr>
        <w:tabs>
          <w:tab w:val="left" w:pos="2648"/>
          <w:tab w:val="left" w:pos="2649"/>
        </w:tabs>
        <w:spacing w:before="162"/>
        <w:ind w:hanging="852"/>
        <w:jc w:val="both"/>
      </w:pPr>
      <w:r>
        <w:t>Legal</w:t>
      </w:r>
      <w:r>
        <w:rPr>
          <w:spacing w:val="-7"/>
        </w:rPr>
        <w:t xml:space="preserve"> </w:t>
      </w:r>
      <w:r>
        <w:rPr>
          <w:spacing w:val="-2"/>
        </w:rPr>
        <w:t>framework</w:t>
      </w:r>
    </w:p>
    <w:p w14:paraId="51DE9912" w14:textId="77777777" w:rsidR="0010369C" w:rsidRDefault="0010369C">
      <w:pPr>
        <w:pStyle w:val="BodyText"/>
        <w:spacing w:before="9"/>
        <w:rPr>
          <w:b/>
          <w:sz w:val="20"/>
        </w:rPr>
      </w:pPr>
    </w:p>
    <w:p w14:paraId="51DE9913" w14:textId="77777777" w:rsidR="0010369C" w:rsidRDefault="008E43AE">
      <w:pPr>
        <w:pStyle w:val="BodyText"/>
        <w:spacing w:before="51"/>
        <w:ind w:left="1089"/>
        <w:jc w:val="both"/>
      </w:pPr>
      <w:r>
        <w:rPr>
          <w:noProof/>
        </w:rPr>
        <w:drawing>
          <wp:anchor distT="0" distB="0" distL="0" distR="0" simplePos="0" relativeHeight="250696192" behindDoc="0" locked="0" layoutInCell="1" allowOverlap="1" wp14:anchorId="51DEA81E" wp14:editId="51DEA81F">
            <wp:simplePos x="0" y="0"/>
            <wp:positionH relativeFrom="page">
              <wp:posOffset>902208</wp:posOffset>
            </wp:positionH>
            <wp:positionV relativeFrom="paragraph">
              <wp:posOffset>81315</wp:posOffset>
            </wp:positionV>
            <wp:extent cx="262127" cy="100753"/>
            <wp:effectExtent l="0" t="0" r="0" b="0"/>
            <wp:wrapNone/>
            <wp:docPr id="1869" name="image9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 name="image962.png"/>
                    <pic:cNvPicPr/>
                  </pic:nvPicPr>
                  <pic:blipFill>
                    <a:blip r:embed="rId1243" cstate="print"/>
                    <a:stretch>
                      <a:fillRect/>
                    </a:stretch>
                  </pic:blipFill>
                  <pic:spPr>
                    <a:xfrm>
                      <a:off x="0" y="0"/>
                      <a:ext cx="262127" cy="100753"/>
                    </a:xfrm>
                    <a:prstGeom prst="rect">
                      <a:avLst/>
                    </a:prstGeom>
                  </pic:spPr>
                </pic:pic>
              </a:graphicData>
            </a:graphic>
          </wp:anchor>
        </w:drawing>
      </w:r>
      <w:r>
        <w:t>Interested</w:t>
      </w:r>
      <w:r>
        <w:rPr>
          <w:spacing w:val="3"/>
        </w:rPr>
        <w:t xml:space="preserve"> </w:t>
      </w:r>
      <w:r>
        <w:t>parties</w:t>
      </w:r>
      <w:r>
        <w:rPr>
          <w:spacing w:val="5"/>
        </w:rPr>
        <w:t xml:space="preserve"> </w:t>
      </w:r>
      <w:r>
        <w:t>have</w:t>
      </w:r>
      <w:r>
        <w:rPr>
          <w:spacing w:val="5"/>
        </w:rPr>
        <w:t xml:space="preserve"> </w:t>
      </w:r>
      <w:r>
        <w:t>a</w:t>
      </w:r>
      <w:r>
        <w:rPr>
          <w:spacing w:val="4"/>
        </w:rPr>
        <w:t xml:space="preserve"> </w:t>
      </w:r>
      <w:r>
        <w:t>right</w:t>
      </w:r>
      <w:r>
        <w:rPr>
          <w:spacing w:val="4"/>
        </w:rPr>
        <w:t xml:space="preserve"> </w:t>
      </w:r>
      <w:r>
        <w:t>to</w:t>
      </w:r>
      <w:r>
        <w:rPr>
          <w:spacing w:val="5"/>
        </w:rPr>
        <w:t xml:space="preserve"> </w:t>
      </w:r>
      <w:r>
        <w:t>see</w:t>
      </w:r>
      <w:r>
        <w:rPr>
          <w:spacing w:val="5"/>
        </w:rPr>
        <w:t xml:space="preserve"> </w:t>
      </w:r>
      <w:r>
        <w:t>information</w:t>
      </w:r>
      <w:r>
        <w:rPr>
          <w:spacing w:val="5"/>
        </w:rPr>
        <w:t xml:space="preserve"> </w:t>
      </w:r>
      <w:r>
        <w:t>used</w:t>
      </w:r>
      <w:r>
        <w:rPr>
          <w:spacing w:val="4"/>
        </w:rPr>
        <w:t xml:space="preserve"> </w:t>
      </w:r>
      <w:r>
        <w:t>by</w:t>
      </w:r>
      <w:r>
        <w:rPr>
          <w:spacing w:val="5"/>
        </w:rPr>
        <w:t xml:space="preserve"> </w:t>
      </w:r>
      <w:r>
        <w:t>investigating</w:t>
      </w:r>
      <w:r>
        <w:rPr>
          <w:spacing w:val="6"/>
        </w:rPr>
        <w:t xml:space="preserve"> </w:t>
      </w:r>
      <w:r>
        <w:rPr>
          <w:spacing w:val="-2"/>
        </w:rPr>
        <w:t>authorities.</w:t>
      </w:r>
    </w:p>
    <w:p w14:paraId="51DE9914" w14:textId="77777777" w:rsidR="0010369C" w:rsidRDefault="008E43AE">
      <w:pPr>
        <w:pStyle w:val="BodyText"/>
        <w:spacing w:before="148"/>
        <w:ind w:left="238"/>
      </w:pPr>
      <w:r>
        <w:t>Article</w:t>
      </w:r>
      <w:r>
        <w:rPr>
          <w:spacing w:val="-9"/>
        </w:rPr>
        <w:t xml:space="preserve"> </w:t>
      </w:r>
      <w:r>
        <w:t>6.4</w:t>
      </w:r>
      <w:r>
        <w:rPr>
          <w:spacing w:val="-8"/>
        </w:rPr>
        <w:t xml:space="preserve"> </w:t>
      </w:r>
      <w:r>
        <w:t>of</w:t>
      </w:r>
      <w:r>
        <w:rPr>
          <w:spacing w:val="-9"/>
        </w:rPr>
        <w:t xml:space="preserve"> </w:t>
      </w:r>
      <w:r>
        <w:t>the</w:t>
      </w:r>
      <w:r>
        <w:rPr>
          <w:spacing w:val="-8"/>
        </w:rPr>
        <w:t xml:space="preserve"> </w:t>
      </w:r>
      <w:r>
        <w:t>Anti‐Dumping</w:t>
      </w:r>
      <w:r>
        <w:rPr>
          <w:spacing w:val="-7"/>
        </w:rPr>
        <w:t xml:space="preserve"> </w:t>
      </w:r>
      <w:r>
        <w:t>Agreement</w:t>
      </w:r>
      <w:r>
        <w:rPr>
          <w:spacing w:val="-10"/>
        </w:rPr>
        <w:t xml:space="preserve"> </w:t>
      </w:r>
      <w:r>
        <w:t>provides</w:t>
      </w:r>
      <w:r>
        <w:rPr>
          <w:spacing w:val="-8"/>
        </w:rPr>
        <w:t xml:space="preserve"> </w:t>
      </w:r>
      <w:r>
        <w:rPr>
          <w:spacing w:val="-2"/>
        </w:rPr>
        <w:t>that:</w:t>
      </w:r>
    </w:p>
    <w:p w14:paraId="51DE9915" w14:textId="77777777" w:rsidR="0010369C" w:rsidRDefault="0010369C">
      <w:pPr>
        <w:pStyle w:val="BodyText"/>
        <w:spacing w:before="1"/>
        <w:rPr>
          <w:sz w:val="25"/>
        </w:rPr>
      </w:pPr>
    </w:p>
    <w:p w14:paraId="51DE9916" w14:textId="77777777" w:rsidR="0010369C" w:rsidRDefault="008E43AE">
      <w:pPr>
        <w:spacing w:line="276" w:lineRule="auto"/>
        <w:ind w:left="1088" w:right="614" w:firstLine="1"/>
        <w:jc w:val="both"/>
      </w:pPr>
      <w:r>
        <w:t>The authorities shall whenever practicable provide timely opportunities for all interested parties to see all information that is relevant to the presentation of their cases, that is not confidential</w:t>
      </w:r>
      <w:r>
        <w:rPr>
          <w:spacing w:val="-7"/>
        </w:rPr>
        <w:t xml:space="preserve"> </w:t>
      </w:r>
      <w:r>
        <w:t>as</w:t>
      </w:r>
      <w:r>
        <w:rPr>
          <w:spacing w:val="-7"/>
        </w:rPr>
        <w:t xml:space="preserve"> </w:t>
      </w:r>
      <w:r>
        <w:t>defined</w:t>
      </w:r>
      <w:r>
        <w:rPr>
          <w:spacing w:val="-7"/>
        </w:rPr>
        <w:t xml:space="preserve"> </w:t>
      </w:r>
      <w:r>
        <w:t>in</w:t>
      </w:r>
      <w:r>
        <w:rPr>
          <w:spacing w:val="-5"/>
        </w:rPr>
        <w:t xml:space="preserve"> </w:t>
      </w:r>
      <w:r>
        <w:t>paragraph</w:t>
      </w:r>
      <w:r>
        <w:rPr>
          <w:spacing w:val="-8"/>
        </w:rPr>
        <w:t xml:space="preserve"> </w:t>
      </w:r>
      <w:r>
        <w:t>5,</w:t>
      </w:r>
      <w:r>
        <w:rPr>
          <w:spacing w:val="-6"/>
        </w:rPr>
        <w:t xml:space="preserve"> </w:t>
      </w:r>
      <w:r>
        <w:t>and</w:t>
      </w:r>
      <w:r>
        <w:rPr>
          <w:spacing w:val="-7"/>
        </w:rPr>
        <w:t xml:space="preserve"> </w:t>
      </w:r>
      <w:r>
        <w:t>that</w:t>
      </w:r>
      <w:r>
        <w:rPr>
          <w:spacing w:val="-7"/>
        </w:rPr>
        <w:t xml:space="preserve"> </w:t>
      </w:r>
      <w:r>
        <w:t>is</w:t>
      </w:r>
      <w:r>
        <w:rPr>
          <w:spacing w:val="-6"/>
        </w:rPr>
        <w:t xml:space="preserve"> </w:t>
      </w:r>
      <w:r>
        <w:t>used</w:t>
      </w:r>
      <w:r>
        <w:rPr>
          <w:spacing w:val="-6"/>
        </w:rPr>
        <w:t xml:space="preserve"> </w:t>
      </w:r>
      <w:r>
        <w:t>by</w:t>
      </w:r>
      <w:r>
        <w:rPr>
          <w:spacing w:val="-6"/>
        </w:rPr>
        <w:t xml:space="preserve"> </w:t>
      </w:r>
      <w:r>
        <w:t>the</w:t>
      </w:r>
      <w:r>
        <w:rPr>
          <w:spacing w:val="-7"/>
        </w:rPr>
        <w:t xml:space="preserve"> </w:t>
      </w:r>
      <w:r>
        <w:t>autho</w:t>
      </w:r>
      <w:r>
        <w:t>rities</w:t>
      </w:r>
      <w:r>
        <w:rPr>
          <w:spacing w:val="-7"/>
        </w:rPr>
        <w:t xml:space="preserve"> </w:t>
      </w:r>
      <w:r>
        <w:t>in</w:t>
      </w:r>
      <w:r>
        <w:rPr>
          <w:spacing w:val="-7"/>
        </w:rPr>
        <w:t xml:space="preserve"> </w:t>
      </w:r>
      <w:r>
        <w:t>an</w:t>
      </w:r>
      <w:r>
        <w:rPr>
          <w:spacing w:val="-7"/>
        </w:rPr>
        <w:t xml:space="preserve"> </w:t>
      </w:r>
      <w:r>
        <w:t>anti‐dumping investigation, and to prepare presentations on the basis of this information.</w:t>
      </w:r>
    </w:p>
    <w:p w14:paraId="51DE9917" w14:textId="77777777" w:rsidR="0010369C" w:rsidRDefault="0010369C">
      <w:pPr>
        <w:pStyle w:val="BodyText"/>
        <w:spacing w:before="4"/>
        <w:rPr>
          <w:sz w:val="15"/>
        </w:rPr>
      </w:pPr>
    </w:p>
    <w:p w14:paraId="51DE9918" w14:textId="77777777" w:rsidR="0010369C" w:rsidRDefault="008E43AE">
      <w:pPr>
        <w:pStyle w:val="BodyText"/>
        <w:spacing w:before="52" w:line="362" w:lineRule="auto"/>
        <w:ind w:left="238" w:right="614" w:firstLine="851"/>
      </w:pPr>
      <w:r>
        <w:rPr>
          <w:noProof/>
        </w:rPr>
        <w:drawing>
          <wp:anchor distT="0" distB="0" distL="0" distR="0" simplePos="0" relativeHeight="251549184" behindDoc="1" locked="0" layoutInCell="1" allowOverlap="1" wp14:anchorId="51DEA820" wp14:editId="51DEA821">
            <wp:simplePos x="0" y="0"/>
            <wp:positionH relativeFrom="page">
              <wp:posOffset>902208</wp:posOffset>
            </wp:positionH>
            <wp:positionV relativeFrom="paragraph">
              <wp:posOffset>76785</wp:posOffset>
            </wp:positionV>
            <wp:extent cx="262127" cy="106679"/>
            <wp:effectExtent l="0" t="0" r="0" b="0"/>
            <wp:wrapNone/>
            <wp:docPr id="1871" name="image9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 name="image963.png"/>
                    <pic:cNvPicPr/>
                  </pic:nvPicPr>
                  <pic:blipFill>
                    <a:blip r:embed="rId1244" cstate="print"/>
                    <a:stretch>
                      <a:fillRect/>
                    </a:stretch>
                  </pic:blipFill>
                  <pic:spPr>
                    <a:xfrm>
                      <a:off x="0" y="0"/>
                      <a:ext cx="262127" cy="106679"/>
                    </a:xfrm>
                    <a:prstGeom prst="rect">
                      <a:avLst/>
                    </a:prstGeom>
                  </pic:spPr>
                </pic:pic>
              </a:graphicData>
            </a:graphic>
          </wp:anchor>
        </w:drawing>
      </w:r>
      <w:r>
        <w:t>The</w:t>
      </w:r>
      <w:r>
        <w:rPr>
          <w:spacing w:val="29"/>
        </w:rPr>
        <w:t xml:space="preserve"> </w:t>
      </w:r>
      <w:r>
        <w:t>obligation</w:t>
      </w:r>
      <w:r>
        <w:rPr>
          <w:spacing w:val="30"/>
        </w:rPr>
        <w:t xml:space="preserve"> </w:t>
      </w:r>
      <w:r>
        <w:t>in</w:t>
      </w:r>
      <w:r>
        <w:rPr>
          <w:spacing w:val="30"/>
        </w:rPr>
        <w:t xml:space="preserve"> </w:t>
      </w:r>
      <w:r>
        <w:t>Article</w:t>
      </w:r>
      <w:r>
        <w:rPr>
          <w:spacing w:val="30"/>
        </w:rPr>
        <w:t xml:space="preserve"> </w:t>
      </w:r>
      <w:r>
        <w:t>6.4</w:t>
      </w:r>
      <w:r>
        <w:rPr>
          <w:spacing w:val="29"/>
        </w:rPr>
        <w:t xml:space="preserve"> </w:t>
      </w:r>
      <w:r>
        <w:t>applies</w:t>
      </w:r>
      <w:r>
        <w:rPr>
          <w:spacing w:val="29"/>
        </w:rPr>
        <w:t xml:space="preserve"> </w:t>
      </w:r>
      <w:r>
        <w:t>to</w:t>
      </w:r>
      <w:r>
        <w:rPr>
          <w:spacing w:val="30"/>
        </w:rPr>
        <w:t xml:space="preserve"> </w:t>
      </w:r>
      <w:r>
        <w:t>"all</w:t>
      </w:r>
      <w:r>
        <w:rPr>
          <w:spacing w:val="29"/>
        </w:rPr>
        <w:t xml:space="preserve"> </w:t>
      </w:r>
      <w:r>
        <w:t>information"</w:t>
      </w:r>
      <w:r>
        <w:rPr>
          <w:spacing w:val="30"/>
        </w:rPr>
        <w:t xml:space="preserve"> </w:t>
      </w:r>
      <w:r>
        <w:t>that</w:t>
      </w:r>
      <w:r>
        <w:rPr>
          <w:spacing w:val="30"/>
        </w:rPr>
        <w:t xml:space="preserve"> </w:t>
      </w:r>
      <w:r>
        <w:t>meets</w:t>
      </w:r>
      <w:r>
        <w:rPr>
          <w:spacing w:val="29"/>
        </w:rPr>
        <w:t xml:space="preserve"> </w:t>
      </w:r>
      <w:r>
        <w:t>the</w:t>
      </w:r>
      <w:r>
        <w:rPr>
          <w:spacing w:val="30"/>
        </w:rPr>
        <w:t xml:space="preserve"> </w:t>
      </w:r>
      <w:r>
        <w:t xml:space="preserve">following </w:t>
      </w:r>
      <w:r>
        <w:rPr>
          <w:spacing w:val="-2"/>
        </w:rPr>
        <w:t>criteria:</w:t>
      </w:r>
      <w:r>
        <w:rPr>
          <w:spacing w:val="-2"/>
          <w:vertAlign w:val="superscript"/>
        </w:rPr>
        <w:t>1114</w:t>
      </w:r>
    </w:p>
    <w:p w14:paraId="51DE9919" w14:textId="77777777" w:rsidR="0010369C" w:rsidRDefault="008E43AE">
      <w:pPr>
        <w:pStyle w:val="ListParagraph"/>
        <w:numPr>
          <w:ilvl w:val="0"/>
          <w:numId w:val="20"/>
        </w:numPr>
        <w:tabs>
          <w:tab w:val="left" w:pos="1940"/>
          <w:tab w:val="left" w:pos="1941"/>
        </w:tabs>
        <w:spacing w:before="155" w:line="355" w:lineRule="auto"/>
        <w:ind w:left="1940" w:right="615"/>
        <w:jc w:val="left"/>
        <w:rPr>
          <w:sz w:val="24"/>
        </w:rPr>
      </w:pPr>
      <w:r>
        <w:rPr>
          <w:sz w:val="24"/>
        </w:rPr>
        <w:t>the</w:t>
      </w:r>
      <w:r>
        <w:rPr>
          <w:spacing w:val="30"/>
          <w:sz w:val="24"/>
        </w:rPr>
        <w:t xml:space="preserve"> </w:t>
      </w:r>
      <w:r>
        <w:rPr>
          <w:sz w:val="24"/>
        </w:rPr>
        <w:t>information</w:t>
      </w:r>
      <w:r>
        <w:rPr>
          <w:spacing w:val="31"/>
          <w:sz w:val="24"/>
        </w:rPr>
        <w:t xml:space="preserve"> </w:t>
      </w:r>
      <w:r>
        <w:rPr>
          <w:sz w:val="24"/>
        </w:rPr>
        <w:t>is</w:t>
      </w:r>
      <w:r>
        <w:rPr>
          <w:spacing w:val="30"/>
          <w:sz w:val="24"/>
        </w:rPr>
        <w:t xml:space="preserve"> </w:t>
      </w:r>
      <w:r>
        <w:rPr>
          <w:sz w:val="24"/>
        </w:rPr>
        <w:t>relevant</w:t>
      </w:r>
      <w:r>
        <w:rPr>
          <w:spacing w:val="30"/>
          <w:sz w:val="24"/>
        </w:rPr>
        <w:t xml:space="preserve"> </w:t>
      </w:r>
      <w:r>
        <w:rPr>
          <w:sz w:val="24"/>
        </w:rPr>
        <w:t>to</w:t>
      </w:r>
      <w:r>
        <w:rPr>
          <w:spacing w:val="30"/>
          <w:sz w:val="24"/>
        </w:rPr>
        <w:t xml:space="preserve"> </w:t>
      </w:r>
      <w:r>
        <w:rPr>
          <w:sz w:val="24"/>
        </w:rPr>
        <w:t>the</w:t>
      </w:r>
      <w:r>
        <w:rPr>
          <w:spacing w:val="29"/>
          <w:sz w:val="24"/>
        </w:rPr>
        <w:t xml:space="preserve"> </w:t>
      </w:r>
      <w:r>
        <w:rPr>
          <w:sz w:val="24"/>
        </w:rPr>
        <w:t>presentation</w:t>
      </w:r>
      <w:r>
        <w:rPr>
          <w:spacing w:val="31"/>
          <w:sz w:val="24"/>
        </w:rPr>
        <w:t xml:space="preserve"> </w:t>
      </w:r>
      <w:r>
        <w:rPr>
          <w:sz w:val="24"/>
        </w:rPr>
        <w:t>of</w:t>
      </w:r>
      <w:r>
        <w:rPr>
          <w:spacing w:val="30"/>
          <w:sz w:val="24"/>
        </w:rPr>
        <w:t xml:space="preserve"> </w:t>
      </w:r>
      <w:r>
        <w:rPr>
          <w:sz w:val="24"/>
        </w:rPr>
        <w:t>the</w:t>
      </w:r>
      <w:r>
        <w:rPr>
          <w:spacing w:val="30"/>
          <w:sz w:val="24"/>
        </w:rPr>
        <w:t xml:space="preserve"> </w:t>
      </w:r>
      <w:r>
        <w:rPr>
          <w:sz w:val="24"/>
        </w:rPr>
        <w:t>interested</w:t>
      </w:r>
      <w:r>
        <w:rPr>
          <w:spacing w:val="30"/>
          <w:sz w:val="24"/>
        </w:rPr>
        <w:t xml:space="preserve"> </w:t>
      </w:r>
      <w:r>
        <w:rPr>
          <w:sz w:val="24"/>
        </w:rPr>
        <w:t>parties' cases (this may include interested Members);</w:t>
      </w:r>
    </w:p>
    <w:p w14:paraId="51DE991A" w14:textId="77777777" w:rsidR="0010369C" w:rsidRDefault="008E43AE">
      <w:pPr>
        <w:pStyle w:val="ListParagraph"/>
        <w:numPr>
          <w:ilvl w:val="0"/>
          <w:numId w:val="20"/>
        </w:numPr>
        <w:tabs>
          <w:tab w:val="left" w:pos="1940"/>
          <w:tab w:val="left" w:pos="1941"/>
        </w:tabs>
        <w:spacing w:before="131"/>
        <w:ind w:left="1940" w:hanging="852"/>
        <w:jc w:val="left"/>
        <w:rPr>
          <w:sz w:val="24"/>
        </w:rPr>
      </w:pPr>
      <w:r>
        <w:rPr>
          <w:sz w:val="24"/>
        </w:rPr>
        <w:t>the</w:t>
      </w:r>
      <w:r>
        <w:rPr>
          <w:spacing w:val="-7"/>
          <w:sz w:val="24"/>
        </w:rPr>
        <w:t xml:space="preserve"> </w:t>
      </w:r>
      <w:r>
        <w:rPr>
          <w:sz w:val="24"/>
        </w:rPr>
        <w:t>information</w:t>
      </w:r>
      <w:r>
        <w:rPr>
          <w:spacing w:val="-7"/>
          <w:sz w:val="24"/>
        </w:rPr>
        <w:t xml:space="preserve"> </w:t>
      </w:r>
      <w:r>
        <w:rPr>
          <w:sz w:val="24"/>
        </w:rPr>
        <w:t>is</w:t>
      </w:r>
      <w:r>
        <w:rPr>
          <w:spacing w:val="-8"/>
          <w:sz w:val="24"/>
        </w:rPr>
        <w:t xml:space="preserve"> </w:t>
      </w:r>
      <w:r>
        <w:rPr>
          <w:sz w:val="24"/>
        </w:rPr>
        <w:t>not</w:t>
      </w:r>
      <w:r>
        <w:rPr>
          <w:spacing w:val="-7"/>
          <w:sz w:val="24"/>
        </w:rPr>
        <w:t xml:space="preserve"> </w:t>
      </w:r>
      <w:r>
        <w:rPr>
          <w:sz w:val="24"/>
        </w:rPr>
        <w:t>confidential,</w:t>
      </w:r>
      <w:r>
        <w:rPr>
          <w:spacing w:val="-7"/>
          <w:sz w:val="24"/>
        </w:rPr>
        <w:t xml:space="preserve"> </w:t>
      </w:r>
      <w:r>
        <w:rPr>
          <w:sz w:val="24"/>
        </w:rPr>
        <w:t>as</w:t>
      </w:r>
      <w:r>
        <w:rPr>
          <w:spacing w:val="-7"/>
          <w:sz w:val="24"/>
        </w:rPr>
        <w:t xml:space="preserve"> </w:t>
      </w:r>
      <w:r>
        <w:rPr>
          <w:sz w:val="24"/>
        </w:rPr>
        <w:t>defined</w:t>
      </w:r>
      <w:r>
        <w:rPr>
          <w:spacing w:val="-7"/>
          <w:sz w:val="24"/>
        </w:rPr>
        <w:t xml:space="preserve"> </w:t>
      </w:r>
      <w:r>
        <w:rPr>
          <w:sz w:val="24"/>
        </w:rPr>
        <w:t>in</w:t>
      </w:r>
      <w:r>
        <w:rPr>
          <w:spacing w:val="-8"/>
          <w:sz w:val="24"/>
        </w:rPr>
        <w:t xml:space="preserve"> </w:t>
      </w:r>
      <w:r>
        <w:rPr>
          <w:sz w:val="24"/>
        </w:rPr>
        <w:t>Article</w:t>
      </w:r>
      <w:r>
        <w:rPr>
          <w:spacing w:val="-8"/>
          <w:sz w:val="24"/>
        </w:rPr>
        <w:t xml:space="preserve"> </w:t>
      </w:r>
      <w:r>
        <w:rPr>
          <w:sz w:val="24"/>
        </w:rPr>
        <w:t>6.5;</w:t>
      </w:r>
      <w:r>
        <w:rPr>
          <w:spacing w:val="-6"/>
          <w:sz w:val="24"/>
        </w:rPr>
        <w:t xml:space="preserve"> </w:t>
      </w:r>
      <w:r>
        <w:rPr>
          <w:spacing w:val="-5"/>
          <w:sz w:val="24"/>
        </w:rPr>
        <w:t>and</w:t>
      </w:r>
    </w:p>
    <w:p w14:paraId="51DE991B" w14:textId="77777777" w:rsidR="0010369C" w:rsidRDefault="008E43AE">
      <w:pPr>
        <w:pStyle w:val="ListParagraph"/>
        <w:numPr>
          <w:ilvl w:val="0"/>
          <w:numId w:val="20"/>
        </w:numPr>
        <w:tabs>
          <w:tab w:val="left" w:pos="1940"/>
          <w:tab w:val="left" w:pos="1941"/>
        </w:tabs>
        <w:spacing w:before="266" w:line="355" w:lineRule="auto"/>
        <w:ind w:left="1940" w:right="614"/>
        <w:jc w:val="left"/>
        <w:rPr>
          <w:sz w:val="24"/>
        </w:rPr>
      </w:pPr>
      <w:r>
        <w:rPr>
          <w:sz w:val="24"/>
        </w:rPr>
        <w:t>the information is used by the investigating authority in an anti‐dumping</w:t>
      </w:r>
      <w:r>
        <w:rPr>
          <w:spacing w:val="40"/>
          <w:sz w:val="24"/>
        </w:rPr>
        <w:t xml:space="preserve"> </w:t>
      </w:r>
      <w:r>
        <w:rPr>
          <w:spacing w:val="-2"/>
          <w:sz w:val="24"/>
        </w:rPr>
        <w:t>investigation.</w:t>
      </w:r>
    </w:p>
    <w:p w14:paraId="51DE991C" w14:textId="77777777" w:rsidR="0010369C" w:rsidRDefault="0010369C">
      <w:pPr>
        <w:pStyle w:val="BodyText"/>
        <w:rPr>
          <w:sz w:val="20"/>
        </w:rPr>
      </w:pPr>
    </w:p>
    <w:p w14:paraId="51DE991D" w14:textId="77777777" w:rsidR="0010369C" w:rsidRDefault="0010369C">
      <w:pPr>
        <w:pStyle w:val="BodyText"/>
        <w:rPr>
          <w:sz w:val="20"/>
        </w:rPr>
      </w:pPr>
    </w:p>
    <w:p w14:paraId="51DE991E" w14:textId="77777777" w:rsidR="0010369C" w:rsidRDefault="0010369C">
      <w:pPr>
        <w:pStyle w:val="BodyText"/>
        <w:rPr>
          <w:sz w:val="20"/>
        </w:rPr>
      </w:pPr>
    </w:p>
    <w:p w14:paraId="51DE991F" w14:textId="77777777" w:rsidR="0010369C" w:rsidRDefault="0010369C">
      <w:pPr>
        <w:pStyle w:val="BodyText"/>
        <w:rPr>
          <w:sz w:val="20"/>
        </w:rPr>
      </w:pPr>
    </w:p>
    <w:p w14:paraId="51DE9920" w14:textId="77777777" w:rsidR="0010369C" w:rsidRDefault="0010369C">
      <w:pPr>
        <w:pStyle w:val="BodyText"/>
        <w:rPr>
          <w:sz w:val="20"/>
        </w:rPr>
      </w:pPr>
    </w:p>
    <w:p w14:paraId="51DE9921" w14:textId="77777777" w:rsidR="0010369C" w:rsidRDefault="0010369C">
      <w:pPr>
        <w:pStyle w:val="BodyText"/>
        <w:rPr>
          <w:sz w:val="20"/>
        </w:rPr>
      </w:pPr>
    </w:p>
    <w:p w14:paraId="51DE9922" w14:textId="77777777" w:rsidR="0010369C" w:rsidRDefault="0010369C">
      <w:pPr>
        <w:pStyle w:val="BodyText"/>
        <w:rPr>
          <w:sz w:val="20"/>
        </w:rPr>
      </w:pPr>
    </w:p>
    <w:p w14:paraId="51DE9923" w14:textId="77777777" w:rsidR="0010369C" w:rsidRDefault="008E43AE">
      <w:pPr>
        <w:pStyle w:val="BodyText"/>
        <w:spacing w:before="8"/>
        <w:rPr>
          <w:sz w:val="12"/>
        </w:rPr>
      </w:pPr>
      <w:r>
        <w:pict w14:anchorId="51DEA822">
          <v:rect id="docshape1371" o:spid="_x0000_s1103" style="position:absolute;margin-left:70.9pt;margin-top:8.95pt;width:2in;height:.8pt;z-index:-250703360;mso-wrap-distance-left:0;mso-wrap-distance-right:0;mso-position-horizontal-relative:page" fillcolor="black" stroked="f">
            <w10:wrap type="topAndBottom" anchorx="page"/>
          </v:rect>
        </w:pict>
      </w:r>
    </w:p>
    <w:p w14:paraId="51DE9924" w14:textId="77777777" w:rsidR="0010369C" w:rsidRDefault="008E43AE">
      <w:pPr>
        <w:spacing w:before="109"/>
        <w:ind w:left="238"/>
        <w:rPr>
          <w:sz w:val="18"/>
        </w:rPr>
      </w:pPr>
      <w:r>
        <w:rPr>
          <w:sz w:val="18"/>
          <w:vertAlign w:val="superscript"/>
        </w:rPr>
        <w:t>1114</w:t>
      </w:r>
      <w:r>
        <w:rPr>
          <w:spacing w:val="-5"/>
          <w:sz w:val="18"/>
        </w:rPr>
        <w:t xml:space="preserve"> </w:t>
      </w:r>
      <w:r>
        <w:rPr>
          <w:sz w:val="18"/>
        </w:rPr>
        <w:t>Appellate</w:t>
      </w:r>
      <w:r>
        <w:rPr>
          <w:spacing w:val="-5"/>
          <w:sz w:val="18"/>
        </w:rPr>
        <w:t xml:space="preserve"> </w:t>
      </w:r>
      <w:r>
        <w:rPr>
          <w:sz w:val="18"/>
        </w:rPr>
        <w:t>Body</w:t>
      </w:r>
      <w:r>
        <w:rPr>
          <w:spacing w:val="-7"/>
          <w:sz w:val="18"/>
        </w:rPr>
        <w:t xml:space="preserve"> </w:t>
      </w:r>
      <w:r>
        <w:rPr>
          <w:sz w:val="18"/>
        </w:rPr>
        <w:t>Report,</w:t>
      </w:r>
      <w:r>
        <w:rPr>
          <w:spacing w:val="-5"/>
          <w:sz w:val="18"/>
        </w:rPr>
        <w:t xml:space="preserve"> </w:t>
      </w:r>
      <w:r>
        <w:rPr>
          <w:i/>
          <w:sz w:val="18"/>
        </w:rPr>
        <w:t>EC</w:t>
      </w:r>
      <w:r>
        <w:rPr>
          <w:i/>
          <w:spacing w:val="-6"/>
          <w:sz w:val="18"/>
        </w:rPr>
        <w:t xml:space="preserve"> </w:t>
      </w:r>
      <w:r>
        <w:rPr>
          <w:i/>
          <w:sz w:val="18"/>
        </w:rPr>
        <w:t>–</w:t>
      </w:r>
      <w:r>
        <w:rPr>
          <w:i/>
          <w:spacing w:val="-4"/>
          <w:sz w:val="18"/>
        </w:rPr>
        <w:t xml:space="preserve"> </w:t>
      </w:r>
      <w:r>
        <w:rPr>
          <w:i/>
          <w:sz w:val="18"/>
        </w:rPr>
        <w:t>Tube</w:t>
      </w:r>
      <w:r>
        <w:rPr>
          <w:i/>
          <w:spacing w:val="-5"/>
          <w:sz w:val="18"/>
        </w:rPr>
        <w:t xml:space="preserve"> </w:t>
      </w:r>
      <w:r>
        <w:rPr>
          <w:i/>
          <w:sz w:val="18"/>
        </w:rPr>
        <w:t>or</w:t>
      </w:r>
      <w:r>
        <w:rPr>
          <w:i/>
          <w:spacing w:val="-6"/>
          <w:sz w:val="18"/>
        </w:rPr>
        <w:t xml:space="preserve"> </w:t>
      </w:r>
      <w:r>
        <w:rPr>
          <w:i/>
          <w:sz w:val="18"/>
        </w:rPr>
        <w:t>Pipe</w:t>
      </w:r>
      <w:r>
        <w:rPr>
          <w:i/>
          <w:spacing w:val="-5"/>
          <w:sz w:val="18"/>
        </w:rPr>
        <w:t xml:space="preserve"> </w:t>
      </w:r>
      <w:r>
        <w:rPr>
          <w:i/>
          <w:sz w:val="18"/>
        </w:rPr>
        <w:t>Fittings</w:t>
      </w:r>
      <w:r>
        <w:rPr>
          <w:sz w:val="18"/>
        </w:rPr>
        <w:t>,</w:t>
      </w:r>
      <w:r>
        <w:rPr>
          <w:spacing w:val="-6"/>
          <w:sz w:val="18"/>
        </w:rPr>
        <w:t xml:space="preserve"> </w:t>
      </w:r>
      <w:r>
        <w:rPr>
          <w:sz w:val="18"/>
        </w:rPr>
        <w:t>para.</w:t>
      </w:r>
      <w:r>
        <w:rPr>
          <w:spacing w:val="-5"/>
          <w:sz w:val="18"/>
        </w:rPr>
        <w:t xml:space="preserve"> </w:t>
      </w:r>
      <w:r>
        <w:rPr>
          <w:spacing w:val="-4"/>
          <w:sz w:val="18"/>
        </w:rPr>
        <w:t>142.</w:t>
      </w:r>
    </w:p>
    <w:p w14:paraId="51DE9925" w14:textId="77777777" w:rsidR="0010369C" w:rsidRDefault="0010369C">
      <w:pPr>
        <w:rPr>
          <w:sz w:val="18"/>
        </w:rPr>
        <w:sectPr w:rsidR="0010369C">
          <w:pgSz w:w="11910" w:h="16840"/>
          <w:pgMar w:top="880" w:right="800" w:bottom="980" w:left="1180" w:header="569" w:footer="788" w:gutter="0"/>
          <w:cols w:space="720"/>
        </w:sectPr>
      </w:pPr>
    </w:p>
    <w:p w14:paraId="51DE9926" w14:textId="77777777" w:rsidR="0010369C" w:rsidRDefault="008E43AE">
      <w:pPr>
        <w:tabs>
          <w:tab w:val="left" w:pos="6426"/>
        </w:tabs>
        <w:ind w:left="238"/>
        <w:rPr>
          <w:sz w:val="20"/>
        </w:rPr>
      </w:pPr>
      <w:r>
        <w:rPr>
          <w:i/>
          <w:sz w:val="20"/>
        </w:rPr>
        <w:lastRenderedPageBreak/>
        <w:t>China</w:t>
      </w:r>
      <w:r>
        <w:rPr>
          <w:i/>
          <w:spacing w:val="-5"/>
          <w:sz w:val="20"/>
        </w:rPr>
        <w:t xml:space="preserve"> </w:t>
      </w:r>
      <w:r>
        <w:rPr>
          <w:i/>
          <w:sz w:val="20"/>
        </w:rPr>
        <w:t>–</w:t>
      </w:r>
      <w:r>
        <w:rPr>
          <w:i/>
          <w:spacing w:val="-5"/>
          <w:sz w:val="20"/>
        </w:rPr>
        <w:t xml:space="preserve"> </w:t>
      </w:r>
      <w:r>
        <w:rPr>
          <w:i/>
          <w:sz w:val="20"/>
        </w:rPr>
        <w:t>Anti‐Dumping</w:t>
      </w:r>
      <w:r>
        <w:rPr>
          <w:i/>
          <w:spacing w:val="-4"/>
          <w:sz w:val="20"/>
        </w:rPr>
        <w:t xml:space="preserve"> </w:t>
      </w:r>
      <w:r>
        <w:rPr>
          <w:i/>
          <w:sz w:val="20"/>
        </w:rPr>
        <w:t>and</w:t>
      </w:r>
      <w:r>
        <w:rPr>
          <w:i/>
          <w:spacing w:val="-5"/>
          <w:sz w:val="20"/>
        </w:rPr>
        <w:t xml:space="preserve"> </w:t>
      </w:r>
      <w:r>
        <w:rPr>
          <w:i/>
          <w:sz w:val="20"/>
        </w:rPr>
        <w:t>Countervailing</w:t>
      </w:r>
      <w:r>
        <w:rPr>
          <w:i/>
          <w:spacing w:val="-5"/>
          <w:sz w:val="20"/>
        </w:rPr>
        <w:t xml:space="preserve"> </w:t>
      </w:r>
      <w:r>
        <w:rPr>
          <w:i/>
          <w:sz w:val="20"/>
        </w:rPr>
        <w:t>Duty</w:t>
      </w:r>
      <w:r>
        <w:rPr>
          <w:i/>
          <w:spacing w:val="-4"/>
          <w:sz w:val="20"/>
        </w:rPr>
        <w:t xml:space="preserve"> </w:t>
      </w:r>
      <w:r>
        <w:rPr>
          <w:i/>
          <w:spacing w:val="-2"/>
          <w:sz w:val="20"/>
        </w:rPr>
        <w:t>Measures</w:t>
      </w:r>
      <w:r>
        <w:rPr>
          <w:i/>
          <w:sz w:val="20"/>
        </w:rPr>
        <w:tab/>
      </w:r>
      <w:r>
        <w:rPr>
          <w:sz w:val="20"/>
        </w:rPr>
        <w:t>Australia's</w:t>
      </w:r>
      <w:r>
        <w:rPr>
          <w:spacing w:val="-7"/>
          <w:sz w:val="20"/>
        </w:rPr>
        <w:t xml:space="preserve"> </w:t>
      </w:r>
      <w:r>
        <w:rPr>
          <w:sz w:val="20"/>
        </w:rPr>
        <w:t>First</w:t>
      </w:r>
      <w:r>
        <w:rPr>
          <w:spacing w:val="-2"/>
          <w:sz w:val="20"/>
        </w:rPr>
        <w:t xml:space="preserve"> </w:t>
      </w:r>
      <w:r>
        <w:rPr>
          <w:sz w:val="20"/>
        </w:rPr>
        <w:t>Written</w:t>
      </w:r>
      <w:r>
        <w:rPr>
          <w:spacing w:val="-2"/>
          <w:sz w:val="20"/>
        </w:rPr>
        <w:t xml:space="preserve"> Submission</w:t>
      </w:r>
    </w:p>
    <w:p w14:paraId="51DE9927" w14:textId="77777777" w:rsidR="0010369C" w:rsidRDefault="008E43AE">
      <w:pPr>
        <w:tabs>
          <w:tab w:val="left" w:pos="8228"/>
        </w:tabs>
        <w:spacing w:before="1"/>
        <w:ind w:left="239"/>
        <w:rPr>
          <w:sz w:val="20"/>
        </w:rPr>
      </w:pPr>
      <w:r>
        <w:rPr>
          <w:i/>
          <w:sz w:val="20"/>
        </w:rPr>
        <w:t>on</w:t>
      </w:r>
      <w:r>
        <w:rPr>
          <w:i/>
          <w:spacing w:val="-1"/>
          <w:sz w:val="20"/>
        </w:rPr>
        <w:t xml:space="preserve"> </w:t>
      </w:r>
      <w:r>
        <w:rPr>
          <w:i/>
          <w:sz w:val="20"/>
        </w:rPr>
        <w:t>Wine</w:t>
      </w:r>
      <w:r>
        <w:rPr>
          <w:i/>
          <w:spacing w:val="-1"/>
          <w:sz w:val="20"/>
        </w:rPr>
        <w:t xml:space="preserve"> </w:t>
      </w:r>
      <w:r>
        <w:rPr>
          <w:i/>
          <w:sz w:val="20"/>
        </w:rPr>
        <w:t>from</w:t>
      </w:r>
      <w:r>
        <w:rPr>
          <w:i/>
          <w:spacing w:val="-3"/>
          <w:sz w:val="20"/>
        </w:rPr>
        <w:t xml:space="preserve"> </w:t>
      </w:r>
      <w:r>
        <w:rPr>
          <w:i/>
          <w:sz w:val="20"/>
        </w:rPr>
        <w:t>Australia</w:t>
      </w:r>
      <w:r>
        <w:rPr>
          <w:i/>
          <w:spacing w:val="-1"/>
          <w:sz w:val="20"/>
        </w:rPr>
        <w:t xml:space="preserve"> </w:t>
      </w:r>
      <w:r>
        <w:rPr>
          <w:spacing w:val="-2"/>
          <w:sz w:val="20"/>
        </w:rPr>
        <w:t>(DS602)</w:t>
      </w:r>
      <w:r>
        <w:rPr>
          <w:sz w:val="20"/>
        </w:rPr>
        <w:tab/>
        <w:t>29</w:t>
      </w:r>
      <w:r>
        <w:rPr>
          <w:spacing w:val="-1"/>
          <w:sz w:val="20"/>
        </w:rPr>
        <w:t xml:space="preserve"> </w:t>
      </w:r>
      <w:r>
        <w:rPr>
          <w:sz w:val="20"/>
        </w:rPr>
        <w:t>April</w:t>
      </w:r>
      <w:r>
        <w:rPr>
          <w:spacing w:val="-2"/>
          <w:sz w:val="20"/>
        </w:rPr>
        <w:t xml:space="preserve"> </w:t>
      </w:r>
      <w:r>
        <w:rPr>
          <w:spacing w:val="-4"/>
          <w:sz w:val="20"/>
        </w:rPr>
        <w:t>2022</w:t>
      </w:r>
    </w:p>
    <w:p w14:paraId="51DE9928" w14:textId="77777777" w:rsidR="0010369C" w:rsidRDefault="008E43AE">
      <w:pPr>
        <w:pStyle w:val="BodyText"/>
        <w:spacing w:before="34" w:line="360" w:lineRule="auto"/>
        <w:ind w:left="237" w:right="613" w:firstLine="851"/>
        <w:jc w:val="both"/>
      </w:pPr>
      <w:r>
        <w:rPr>
          <w:noProof/>
        </w:rPr>
        <w:drawing>
          <wp:anchor distT="0" distB="0" distL="0" distR="0" simplePos="0" relativeHeight="251550208" behindDoc="1" locked="0" layoutInCell="1" allowOverlap="1" wp14:anchorId="51DEA823" wp14:editId="51DEA824">
            <wp:simplePos x="0" y="0"/>
            <wp:positionH relativeFrom="page">
              <wp:posOffset>902208</wp:posOffset>
            </wp:positionH>
            <wp:positionV relativeFrom="paragraph">
              <wp:posOffset>69165</wp:posOffset>
            </wp:positionV>
            <wp:extent cx="262127" cy="103631"/>
            <wp:effectExtent l="0" t="0" r="0" b="0"/>
            <wp:wrapNone/>
            <wp:docPr id="1873" name="image9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 name="image964.png"/>
                    <pic:cNvPicPr/>
                  </pic:nvPicPr>
                  <pic:blipFill>
                    <a:blip r:embed="rId1245" cstate="print"/>
                    <a:stretch>
                      <a:fillRect/>
                    </a:stretch>
                  </pic:blipFill>
                  <pic:spPr>
                    <a:xfrm>
                      <a:off x="0" y="0"/>
                      <a:ext cx="262127" cy="103631"/>
                    </a:xfrm>
                    <a:prstGeom prst="rect">
                      <a:avLst/>
                    </a:prstGeom>
                  </pic:spPr>
                </pic:pic>
              </a:graphicData>
            </a:graphic>
          </wp:anchor>
        </w:drawing>
      </w:r>
      <w:r>
        <w:t>Importantly, the obligation in Article 6.4 has been interpreted expansively and extends both to information provided by "interested parties" and to other information collected by investigating authorities, provided it meets the criteria set out above.</w:t>
      </w:r>
      <w:r>
        <w:rPr>
          <w:vertAlign w:val="superscript"/>
        </w:rPr>
        <w:t>1115</w:t>
      </w:r>
    </w:p>
    <w:p w14:paraId="51DE9929" w14:textId="77777777" w:rsidR="0010369C" w:rsidRDefault="0010369C">
      <w:pPr>
        <w:pStyle w:val="BodyText"/>
        <w:spacing w:before="11"/>
        <w:rPr>
          <w:sz w:val="8"/>
        </w:rPr>
      </w:pPr>
    </w:p>
    <w:p w14:paraId="51DE992A" w14:textId="77777777" w:rsidR="0010369C" w:rsidRDefault="008E43AE">
      <w:pPr>
        <w:pStyle w:val="BodyText"/>
        <w:spacing w:before="52" w:line="360" w:lineRule="auto"/>
        <w:ind w:left="236" w:right="613" w:firstLine="852"/>
        <w:jc w:val="both"/>
      </w:pPr>
      <w:r>
        <w:rPr>
          <w:noProof/>
        </w:rPr>
        <w:drawing>
          <wp:anchor distT="0" distB="0" distL="0" distR="0" simplePos="0" relativeHeight="251551232" behindDoc="1" locked="0" layoutInCell="1" allowOverlap="1" wp14:anchorId="51DEA825" wp14:editId="51DEA826">
            <wp:simplePos x="0" y="0"/>
            <wp:positionH relativeFrom="page">
              <wp:posOffset>902208</wp:posOffset>
            </wp:positionH>
            <wp:positionV relativeFrom="paragraph">
              <wp:posOffset>80595</wp:posOffset>
            </wp:positionV>
            <wp:extent cx="262127" cy="103631"/>
            <wp:effectExtent l="0" t="0" r="0" b="0"/>
            <wp:wrapNone/>
            <wp:docPr id="1875" name="image9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 name="image965.png"/>
                    <pic:cNvPicPr/>
                  </pic:nvPicPr>
                  <pic:blipFill>
                    <a:blip r:embed="rId1246" cstate="print"/>
                    <a:stretch>
                      <a:fillRect/>
                    </a:stretch>
                  </pic:blipFill>
                  <pic:spPr>
                    <a:xfrm>
                      <a:off x="0" y="0"/>
                      <a:ext cx="262127" cy="103631"/>
                    </a:xfrm>
                    <a:prstGeom prst="rect">
                      <a:avLst/>
                    </a:prstGeom>
                  </pic:spPr>
                </pic:pic>
              </a:graphicData>
            </a:graphic>
          </wp:anchor>
        </w:drawing>
      </w:r>
      <w:r>
        <w:t>The</w:t>
      </w:r>
      <w:r>
        <w:rPr>
          <w:spacing w:val="-1"/>
        </w:rPr>
        <w:t xml:space="preserve"> </w:t>
      </w:r>
      <w:r>
        <w:t>concept</w:t>
      </w:r>
      <w:r>
        <w:rPr>
          <w:spacing w:val="-2"/>
        </w:rPr>
        <w:t xml:space="preserve"> </w:t>
      </w:r>
      <w:r>
        <w:t>of</w:t>
      </w:r>
      <w:r>
        <w:rPr>
          <w:spacing w:val="-2"/>
        </w:rPr>
        <w:t xml:space="preserve"> </w:t>
      </w:r>
      <w:r>
        <w:t>information</w:t>
      </w:r>
      <w:r>
        <w:rPr>
          <w:spacing w:val="-1"/>
        </w:rPr>
        <w:t xml:space="preserve"> </w:t>
      </w:r>
      <w:r>
        <w:t>that</w:t>
      </w:r>
      <w:r>
        <w:rPr>
          <w:spacing w:val="-2"/>
        </w:rPr>
        <w:t xml:space="preserve"> </w:t>
      </w:r>
      <w:r>
        <w:t>is</w:t>
      </w:r>
      <w:r>
        <w:rPr>
          <w:spacing w:val="-2"/>
        </w:rPr>
        <w:t xml:space="preserve"> </w:t>
      </w:r>
      <w:r>
        <w:t>"used</w:t>
      </w:r>
      <w:r>
        <w:rPr>
          <w:spacing w:val="-1"/>
        </w:rPr>
        <w:t xml:space="preserve"> </w:t>
      </w:r>
      <w:r>
        <w:t>by"</w:t>
      </w:r>
      <w:r>
        <w:rPr>
          <w:spacing w:val="-1"/>
        </w:rPr>
        <w:t xml:space="preserve"> </w:t>
      </w:r>
      <w:r>
        <w:t>an</w:t>
      </w:r>
      <w:r>
        <w:rPr>
          <w:spacing w:val="-2"/>
        </w:rPr>
        <w:t xml:space="preserve"> </w:t>
      </w:r>
      <w:r>
        <w:t>investigating authority</w:t>
      </w:r>
      <w:r>
        <w:rPr>
          <w:spacing w:val="-1"/>
        </w:rPr>
        <w:t xml:space="preserve"> </w:t>
      </w:r>
      <w:r>
        <w:t>is</w:t>
      </w:r>
      <w:r>
        <w:rPr>
          <w:spacing w:val="-2"/>
        </w:rPr>
        <w:t xml:space="preserve"> </w:t>
      </w:r>
      <w:r>
        <w:t>not</w:t>
      </w:r>
      <w:r>
        <w:rPr>
          <w:spacing w:val="-1"/>
        </w:rPr>
        <w:t xml:space="preserve"> </w:t>
      </w:r>
      <w:r>
        <w:t>limited to information which the authority is required to consider, or which it does, in fact, consider in the course of an investigation.</w:t>
      </w:r>
      <w:r>
        <w:rPr>
          <w:vertAlign w:val="superscript"/>
        </w:rPr>
        <w:t>1116</w:t>
      </w:r>
      <w:r>
        <w:t xml:space="preserve"> The scope of whether information</w:t>
      </w:r>
      <w:r>
        <w:t xml:space="preserve"> is properly characterised as having been "used by" an investigating authority depends on the circumstances of the investigation, the stage of the investigation and the particular issues before the investigating authority.</w:t>
      </w:r>
      <w:r>
        <w:rPr>
          <w:vertAlign w:val="superscript"/>
        </w:rPr>
        <w:t>1117</w:t>
      </w:r>
      <w:r>
        <w:t xml:space="preserve"> A broader interpretation of t</w:t>
      </w:r>
      <w:r>
        <w:t xml:space="preserve">he phrase "used by" is necessary in order to give effect to the purpose of Article 6.4: for interested parties to see, and to prepare presentations on the basis of information that is before the investigating authority that the interested parties consider </w:t>
      </w:r>
      <w:r>
        <w:t>is relevant.</w:t>
      </w:r>
      <w:r>
        <w:rPr>
          <w:vertAlign w:val="superscript"/>
        </w:rPr>
        <w:t>1118</w:t>
      </w:r>
    </w:p>
    <w:p w14:paraId="51DE992B" w14:textId="77777777" w:rsidR="0010369C" w:rsidRDefault="0010369C">
      <w:pPr>
        <w:pStyle w:val="BodyText"/>
        <w:spacing w:before="10"/>
        <w:rPr>
          <w:sz w:val="8"/>
        </w:rPr>
      </w:pPr>
    </w:p>
    <w:p w14:paraId="51DE992C" w14:textId="77777777" w:rsidR="0010369C" w:rsidRDefault="008E43AE">
      <w:pPr>
        <w:pStyle w:val="BodyText"/>
        <w:spacing w:before="52" w:line="360" w:lineRule="auto"/>
        <w:ind w:left="237" w:right="612" w:firstLine="851"/>
        <w:jc w:val="both"/>
      </w:pPr>
      <w:r>
        <w:rPr>
          <w:noProof/>
        </w:rPr>
        <w:drawing>
          <wp:anchor distT="0" distB="0" distL="0" distR="0" simplePos="0" relativeHeight="251552256" behindDoc="1" locked="0" layoutInCell="1" allowOverlap="1" wp14:anchorId="51DEA827" wp14:editId="51DEA828">
            <wp:simplePos x="0" y="0"/>
            <wp:positionH relativeFrom="page">
              <wp:posOffset>902208</wp:posOffset>
            </wp:positionH>
            <wp:positionV relativeFrom="paragraph">
              <wp:posOffset>76785</wp:posOffset>
            </wp:positionV>
            <wp:extent cx="262127" cy="106679"/>
            <wp:effectExtent l="0" t="0" r="0" b="0"/>
            <wp:wrapNone/>
            <wp:docPr id="1877" name="image9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 name="image966.png"/>
                    <pic:cNvPicPr/>
                  </pic:nvPicPr>
                  <pic:blipFill>
                    <a:blip r:embed="rId1247" cstate="print"/>
                    <a:stretch>
                      <a:fillRect/>
                    </a:stretch>
                  </pic:blipFill>
                  <pic:spPr>
                    <a:xfrm>
                      <a:off x="0" y="0"/>
                      <a:ext cx="262127" cy="106679"/>
                    </a:xfrm>
                    <a:prstGeom prst="rect">
                      <a:avLst/>
                    </a:prstGeom>
                  </pic:spPr>
                </pic:pic>
              </a:graphicData>
            </a:graphic>
          </wp:anchor>
        </w:drawing>
      </w:r>
      <w:r>
        <w:t xml:space="preserve">The Appellate Body in </w:t>
      </w:r>
      <w:r>
        <w:rPr>
          <w:i/>
        </w:rPr>
        <w:t xml:space="preserve">EC – Fasteners (China) (Article 21.5 – China) </w:t>
      </w:r>
      <w:r>
        <w:t xml:space="preserve">confirmed that Article 6.4 captures a broad range of information used by an investigating authority for the purposes of carrying out a required step in an anti‐dumping investigation. It found as </w:t>
      </w:r>
      <w:r>
        <w:rPr>
          <w:spacing w:val="-2"/>
        </w:rPr>
        <w:t>follows:</w:t>
      </w:r>
      <w:r>
        <w:rPr>
          <w:spacing w:val="-2"/>
          <w:vertAlign w:val="superscript"/>
        </w:rPr>
        <w:t>1119</w:t>
      </w:r>
    </w:p>
    <w:p w14:paraId="51DE992D" w14:textId="77777777" w:rsidR="0010369C" w:rsidRDefault="008E43AE">
      <w:pPr>
        <w:spacing w:before="161" w:line="276" w:lineRule="auto"/>
        <w:ind w:left="1087" w:right="614" w:firstLine="1"/>
        <w:jc w:val="both"/>
      </w:pPr>
      <w:r>
        <w:t>[I]n our view, there is no textual basis in Arti</w:t>
      </w:r>
      <w:r>
        <w:t>cle 6.4 for limiting information "relevant to the presentation of [parties'] cases" and "used by the authorities" to facts or raw data unprocessed by the authorities. Indeed, the broad range of information subject to the obligation under Article 6.4 may ta</w:t>
      </w:r>
      <w:r>
        <w:t>ke various forms, including data submitted by the interested parties, and information that has been processed, organized, or summarized by the authority. We do not see why only facts and raw data would be relevant to the parties' presentation of their case</w:t>
      </w:r>
      <w:r>
        <w:t>s. A proper interpretation of Article 6.4 does not mean, however, that an investigating authority's reasoning or internal deliberation in reaching its final determination is also subject to the obligation under Article 6.4. Article 6.4 concerns the informa</w:t>
      </w:r>
      <w:r>
        <w:t>tion that is used by an authority, rather than an authority's detailed analysis of the information, or the determination it reaches based on such information.</w:t>
      </w:r>
    </w:p>
    <w:p w14:paraId="51DE992E" w14:textId="77777777" w:rsidR="0010369C" w:rsidRDefault="0010369C">
      <w:pPr>
        <w:pStyle w:val="BodyText"/>
        <w:rPr>
          <w:sz w:val="20"/>
        </w:rPr>
      </w:pPr>
    </w:p>
    <w:p w14:paraId="51DE992F" w14:textId="77777777" w:rsidR="0010369C" w:rsidRDefault="0010369C">
      <w:pPr>
        <w:pStyle w:val="BodyText"/>
        <w:rPr>
          <w:sz w:val="20"/>
        </w:rPr>
      </w:pPr>
    </w:p>
    <w:p w14:paraId="51DE9930" w14:textId="77777777" w:rsidR="0010369C" w:rsidRDefault="0010369C">
      <w:pPr>
        <w:pStyle w:val="BodyText"/>
        <w:rPr>
          <w:sz w:val="20"/>
        </w:rPr>
      </w:pPr>
    </w:p>
    <w:p w14:paraId="51DE9931" w14:textId="77777777" w:rsidR="0010369C" w:rsidRDefault="0010369C">
      <w:pPr>
        <w:pStyle w:val="BodyText"/>
        <w:rPr>
          <w:sz w:val="20"/>
        </w:rPr>
      </w:pPr>
    </w:p>
    <w:p w14:paraId="51DE9932" w14:textId="77777777" w:rsidR="0010369C" w:rsidRDefault="0010369C">
      <w:pPr>
        <w:pStyle w:val="BodyText"/>
        <w:rPr>
          <w:sz w:val="20"/>
        </w:rPr>
      </w:pPr>
    </w:p>
    <w:p w14:paraId="51DE9933" w14:textId="77777777" w:rsidR="0010369C" w:rsidRDefault="008E43AE">
      <w:pPr>
        <w:pStyle w:val="BodyText"/>
        <w:spacing w:before="1"/>
        <w:rPr>
          <w:sz w:val="15"/>
        </w:rPr>
      </w:pPr>
      <w:r>
        <w:pict w14:anchorId="51DEA829">
          <v:rect id="docshape1372" o:spid="_x0000_s1102" style="position:absolute;margin-left:70.9pt;margin-top:10.45pt;width:2in;height:.8pt;z-index:-250702336;mso-wrap-distance-left:0;mso-wrap-distance-right:0;mso-position-horizontal-relative:page" fillcolor="black" stroked="f">
            <w10:wrap type="topAndBottom" anchorx="page"/>
          </v:rect>
        </w:pict>
      </w:r>
    </w:p>
    <w:p w14:paraId="51DE9934" w14:textId="77777777" w:rsidR="0010369C" w:rsidRDefault="008E43AE">
      <w:pPr>
        <w:spacing w:before="109"/>
        <w:ind w:left="240" w:right="611" w:hanging="2"/>
        <w:rPr>
          <w:sz w:val="18"/>
        </w:rPr>
      </w:pPr>
      <w:r>
        <w:rPr>
          <w:sz w:val="18"/>
          <w:vertAlign w:val="superscript"/>
        </w:rPr>
        <w:t>1115</w:t>
      </w:r>
      <w:r>
        <w:rPr>
          <w:sz w:val="18"/>
        </w:rPr>
        <w:t xml:space="preserve"> Panel Report, </w:t>
      </w:r>
      <w:r>
        <w:rPr>
          <w:i/>
          <w:sz w:val="18"/>
        </w:rPr>
        <w:t>Korea – Certain Paper (Article 21.5 – Indonesia)</w:t>
      </w:r>
      <w:r>
        <w:rPr>
          <w:sz w:val="18"/>
        </w:rPr>
        <w:t>, para. 6.82; and Appel</w:t>
      </w:r>
      <w:r>
        <w:rPr>
          <w:sz w:val="18"/>
        </w:rPr>
        <w:t xml:space="preserve">late Body Report, </w:t>
      </w:r>
      <w:r>
        <w:rPr>
          <w:i/>
          <w:sz w:val="18"/>
        </w:rPr>
        <w:t>EC – Fasteners</w:t>
      </w:r>
      <w:r>
        <w:rPr>
          <w:i/>
          <w:spacing w:val="80"/>
          <w:sz w:val="18"/>
        </w:rPr>
        <w:t xml:space="preserve"> </w:t>
      </w:r>
      <w:r>
        <w:rPr>
          <w:i/>
          <w:sz w:val="18"/>
        </w:rPr>
        <w:t>(China) (Article 21.5 – China)</w:t>
      </w:r>
      <w:r>
        <w:rPr>
          <w:sz w:val="18"/>
        </w:rPr>
        <w:t>, paras. 480‐481.</w:t>
      </w:r>
    </w:p>
    <w:p w14:paraId="51DE9935" w14:textId="77777777" w:rsidR="0010369C" w:rsidRDefault="008E43AE">
      <w:pPr>
        <w:spacing w:line="219" w:lineRule="exact"/>
        <w:ind w:left="238"/>
        <w:rPr>
          <w:sz w:val="18"/>
        </w:rPr>
      </w:pPr>
      <w:r>
        <w:rPr>
          <w:sz w:val="18"/>
          <w:vertAlign w:val="superscript"/>
        </w:rPr>
        <w:t>1116</w:t>
      </w:r>
      <w:r>
        <w:rPr>
          <w:spacing w:val="-6"/>
          <w:sz w:val="18"/>
        </w:rPr>
        <w:t xml:space="preserve"> </w:t>
      </w:r>
      <w:r>
        <w:rPr>
          <w:sz w:val="18"/>
        </w:rPr>
        <w:t>See</w:t>
      </w:r>
      <w:r>
        <w:rPr>
          <w:spacing w:val="-6"/>
          <w:sz w:val="18"/>
        </w:rPr>
        <w:t xml:space="preserve"> </w:t>
      </w:r>
      <w:r>
        <w:rPr>
          <w:sz w:val="18"/>
        </w:rPr>
        <w:t>Panel</w:t>
      </w:r>
      <w:r>
        <w:rPr>
          <w:spacing w:val="-7"/>
          <w:sz w:val="18"/>
        </w:rPr>
        <w:t xml:space="preserve"> </w:t>
      </w:r>
      <w:r>
        <w:rPr>
          <w:sz w:val="18"/>
        </w:rPr>
        <w:t>Report,</w:t>
      </w:r>
      <w:r>
        <w:rPr>
          <w:spacing w:val="-5"/>
          <w:sz w:val="18"/>
        </w:rPr>
        <w:t xml:space="preserve"> </w:t>
      </w:r>
      <w:r>
        <w:rPr>
          <w:i/>
          <w:sz w:val="18"/>
        </w:rPr>
        <w:t>China</w:t>
      </w:r>
      <w:r>
        <w:rPr>
          <w:i/>
          <w:spacing w:val="-6"/>
          <w:sz w:val="18"/>
        </w:rPr>
        <w:t xml:space="preserve"> </w:t>
      </w:r>
      <w:r>
        <w:rPr>
          <w:i/>
          <w:sz w:val="18"/>
        </w:rPr>
        <w:t>–</w:t>
      </w:r>
      <w:r>
        <w:rPr>
          <w:i/>
          <w:spacing w:val="-6"/>
          <w:sz w:val="18"/>
        </w:rPr>
        <w:t xml:space="preserve"> </w:t>
      </w:r>
      <w:r>
        <w:rPr>
          <w:i/>
          <w:sz w:val="18"/>
        </w:rPr>
        <w:t>Broiler</w:t>
      </w:r>
      <w:r>
        <w:rPr>
          <w:i/>
          <w:spacing w:val="-4"/>
          <w:sz w:val="18"/>
        </w:rPr>
        <w:t xml:space="preserve"> </w:t>
      </w:r>
      <w:r>
        <w:rPr>
          <w:i/>
          <w:sz w:val="18"/>
        </w:rPr>
        <w:t>Products</w:t>
      </w:r>
      <w:r>
        <w:rPr>
          <w:i/>
          <w:spacing w:val="-7"/>
          <w:sz w:val="18"/>
        </w:rPr>
        <w:t xml:space="preserve"> </w:t>
      </w:r>
      <w:r>
        <w:rPr>
          <w:i/>
          <w:sz w:val="18"/>
        </w:rPr>
        <w:t>(Article</w:t>
      </w:r>
      <w:r>
        <w:rPr>
          <w:i/>
          <w:spacing w:val="-5"/>
          <w:sz w:val="18"/>
        </w:rPr>
        <w:t xml:space="preserve"> </w:t>
      </w:r>
      <w:r>
        <w:rPr>
          <w:i/>
          <w:sz w:val="18"/>
        </w:rPr>
        <w:t>21.5</w:t>
      </w:r>
      <w:r>
        <w:rPr>
          <w:i/>
          <w:spacing w:val="-6"/>
          <w:sz w:val="18"/>
        </w:rPr>
        <w:t xml:space="preserve"> </w:t>
      </w:r>
      <w:r>
        <w:rPr>
          <w:i/>
          <w:sz w:val="18"/>
        </w:rPr>
        <w:t>–</w:t>
      </w:r>
      <w:r>
        <w:rPr>
          <w:i/>
          <w:spacing w:val="-5"/>
          <w:sz w:val="18"/>
        </w:rPr>
        <w:t xml:space="preserve"> </w:t>
      </w:r>
      <w:r>
        <w:rPr>
          <w:i/>
          <w:sz w:val="18"/>
        </w:rPr>
        <w:t>US)</w:t>
      </w:r>
      <w:r>
        <w:rPr>
          <w:sz w:val="18"/>
        </w:rPr>
        <w:t>,</w:t>
      </w:r>
      <w:r>
        <w:rPr>
          <w:spacing w:val="-7"/>
          <w:sz w:val="18"/>
        </w:rPr>
        <w:t xml:space="preserve"> </w:t>
      </w:r>
      <w:r>
        <w:rPr>
          <w:sz w:val="18"/>
        </w:rPr>
        <w:t>para.</w:t>
      </w:r>
      <w:r>
        <w:rPr>
          <w:spacing w:val="-5"/>
          <w:sz w:val="18"/>
        </w:rPr>
        <w:t xml:space="preserve"> </w:t>
      </w:r>
      <w:r>
        <w:rPr>
          <w:spacing w:val="-2"/>
          <w:sz w:val="18"/>
        </w:rPr>
        <w:t>7.286.</w:t>
      </w:r>
    </w:p>
    <w:p w14:paraId="51DE9936" w14:textId="77777777" w:rsidR="0010369C" w:rsidRDefault="008E43AE">
      <w:pPr>
        <w:spacing w:before="1"/>
        <w:ind w:left="238" w:right="611"/>
        <w:rPr>
          <w:sz w:val="18"/>
        </w:rPr>
      </w:pPr>
      <w:r>
        <w:rPr>
          <w:sz w:val="18"/>
          <w:vertAlign w:val="superscript"/>
        </w:rPr>
        <w:t>1117</w:t>
      </w:r>
      <w:r>
        <w:rPr>
          <w:spacing w:val="-7"/>
          <w:sz w:val="18"/>
        </w:rPr>
        <w:t xml:space="preserve"> </w:t>
      </w:r>
      <w:r>
        <w:rPr>
          <w:sz w:val="18"/>
        </w:rPr>
        <w:t>See</w:t>
      </w:r>
      <w:r>
        <w:rPr>
          <w:spacing w:val="-8"/>
          <w:sz w:val="18"/>
        </w:rPr>
        <w:t xml:space="preserve"> </w:t>
      </w:r>
      <w:r>
        <w:rPr>
          <w:sz w:val="18"/>
        </w:rPr>
        <w:t>Panel</w:t>
      </w:r>
      <w:r>
        <w:rPr>
          <w:spacing w:val="-8"/>
          <w:sz w:val="18"/>
        </w:rPr>
        <w:t xml:space="preserve"> </w:t>
      </w:r>
      <w:r>
        <w:rPr>
          <w:sz w:val="18"/>
        </w:rPr>
        <w:t>Report,</w:t>
      </w:r>
      <w:r>
        <w:rPr>
          <w:spacing w:val="-7"/>
          <w:sz w:val="18"/>
        </w:rPr>
        <w:t xml:space="preserve"> </w:t>
      </w:r>
      <w:r>
        <w:rPr>
          <w:i/>
          <w:sz w:val="18"/>
        </w:rPr>
        <w:t>China</w:t>
      </w:r>
      <w:r>
        <w:rPr>
          <w:i/>
          <w:spacing w:val="-7"/>
          <w:sz w:val="18"/>
        </w:rPr>
        <w:t xml:space="preserve"> </w:t>
      </w:r>
      <w:r>
        <w:rPr>
          <w:i/>
          <w:sz w:val="18"/>
        </w:rPr>
        <w:t>–</w:t>
      </w:r>
      <w:r>
        <w:rPr>
          <w:i/>
          <w:spacing w:val="-7"/>
          <w:sz w:val="18"/>
        </w:rPr>
        <w:t xml:space="preserve"> </w:t>
      </w:r>
      <w:r>
        <w:rPr>
          <w:i/>
          <w:sz w:val="18"/>
        </w:rPr>
        <w:t>Broiler</w:t>
      </w:r>
      <w:r>
        <w:rPr>
          <w:i/>
          <w:spacing w:val="-6"/>
          <w:sz w:val="18"/>
        </w:rPr>
        <w:t xml:space="preserve"> </w:t>
      </w:r>
      <w:r>
        <w:rPr>
          <w:i/>
          <w:sz w:val="18"/>
        </w:rPr>
        <w:t>Products</w:t>
      </w:r>
      <w:r>
        <w:rPr>
          <w:i/>
          <w:spacing w:val="-8"/>
          <w:sz w:val="18"/>
        </w:rPr>
        <w:t xml:space="preserve"> </w:t>
      </w:r>
      <w:r>
        <w:rPr>
          <w:i/>
          <w:sz w:val="18"/>
        </w:rPr>
        <w:t>(Article</w:t>
      </w:r>
      <w:r>
        <w:rPr>
          <w:i/>
          <w:spacing w:val="-6"/>
          <w:sz w:val="18"/>
        </w:rPr>
        <w:t xml:space="preserve"> </w:t>
      </w:r>
      <w:r>
        <w:rPr>
          <w:i/>
          <w:sz w:val="18"/>
        </w:rPr>
        <w:t>21.5</w:t>
      </w:r>
      <w:r>
        <w:rPr>
          <w:i/>
          <w:spacing w:val="-9"/>
          <w:sz w:val="18"/>
        </w:rPr>
        <w:t xml:space="preserve"> </w:t>
      </w:r>
      <w:r>
        <w:rPr>
          <w:i/>
          <w:sz w:val="18"/>
        </w:rPr>
        <w:t>–</w:t>
      </w:r>
      <w:r>
        <w:rPr>
          <w:i/>
          <w:spacing w:val="-7"/>
          <w:sz w:val="18"/>
        </w:rPr>
        <w:t xml:space="preserve"> </w:t>
      </w:r>
      <w:r>
        <w:rPr>
          <w:i/>
          <w:sz w:val="18"/>
        </w:rPr>
        <w:t>US)</w:t>
      </w:r>
      <w:r>
        <w:rPr>
          <w:sz w:val="18"/>
        </w:rPr>
        <w:t>,</w:t>
      </w:r>
      <w:r>
        <w:rPr>
          <w:spacing w:val="-8"/>
          <w:sz w:val="18"/>
        </w:rPr>
        <w:t xml:space="preserve"> </w:t>
      </w:r>
      <w:r>
        <w:rPr>
          <w:sz w:val="18"/>
        </w:rPr>
        <w:t>para.</w:t>
      </w:r>
      <w:r>
        <w:rPr>
          <w:spacing w:val="-7"/>
          <w:sz w:val="18"/>
        </w:rPr>
        <w:t xml:space="preserve"> </w:t>
      </w:r>
      <w:r>
        <w:rPr>
          <w:sz w:val="18"/>
        </w:rPr>
        <w:t>7.286.</w:t>
      </w:r>
      <w:r>
        <w:rPr>
          <w:spacing w:val="-7"/>
          <w:sz w:val="18"/>
        </w:rPr>
        <w:t xml:space="preserve"> </w:t>
      </w:r>
      <w:r>
        <w:rPr>
          <w:sz w:val="18"/>
        </w:rPr>
        <w:t>See</w:t>
      </w:r>
      <w:r>
        <w:rPr>
          <w:spacing w:val="-8"/>
          <w:sz w:val="18"/>
        </w:rPr>
        <w:t xml:space="preserve"> </w:t>
      </w:r>
      <w:r>
        <w:rPr>
          <w:sz w:val="18"/>
        </w:rPr>
        <w:t>also,</w:t>
      </w:r>
      <w:r>
        <w:rPr>
          <w:spacing w:val="-8"/>
          <w:sz w:val="18"/>
        </w:rPr>
        <w:t xml:space="preserve"> </w:t>
      </w:r>
      <w:r>
        <w:rPr>
          <w:sz w:val="18"/>
        </w:rPr>
        <w:t>Appellate</w:t>
      </w:r>
      <w:r>
        <w:rPr>
          <w:spacing w:val="-7"/>
          <w:sz w:val="18"/>
        </w:rPr>
        <w:t xml:space="preserve"> </w:t>
      </w:r>
      <w:r>
        <w:rPr>
          <w:sz w:val="18"/>
        </w:rPr>
        <w:t>Body</w:t>
      </w:r>
      <w:r>
        <w:rPr>
          <w:spacing w:val="-7"/>
          <w:sz w:val="18"/>
        </w:rPr>
        <w:t xml:space="preserve"> </w:t>
      </w:r>
      <w:r>
        <w:rPr>
          <w:sz w:val="18"/>
        </w:rPr>
        <w:t>Report,</w:t>
      </w:r>
      <w:r>
        <w:rPr>
          <w:spacing w:val="-7"/>
          <w:sz w:val="18"/>
        </w:rPr>
        <w:t xml:space="preserve"> </w:t>
      </w:r>
      <w:r>
        <w:rPr>
          <w:i/>
          <w:sz w:val="18"/>
        </w:rPr>
        <w:t>EC</w:t>
      </w:r>
      <w:r>
        <w:rPr>
          <w:i/>
          <w:spacing w:val="-8"/>
          <w:sz w:val="18"/>
        </w:rPr>
        <w:t xml:space="preserve"> </w:t>
      </w:r>
      <w:r>
        <w:rPr>
          <w:i/>
          <w:sz w:val="18"/>
        </w:rPr>
        <w:t>–</w:t>
      </w:r>
      <w:r>
        <w:rPr>
          <w:i/>
          <w:spacing w:val="-7"/>
          <w:sz w:val="18"/>
        </w:rPr>
        <w:t xml:space="preserve"> </w:t>
      </w:r>
      <w:r>
        <w:rPr>
          <w:i/>
          <w:sz w:val="18"/>
        </w:rPr>
        <w:t>Fasteners (China) (Article 21.5 – China)</w:t>
      </w:r>
      <w:r>
        <w:rPr>
          <w:sz w:val="18"/>
        </w:rPr>
        <w:t>, para. 485.</w:t>
      </w:r>
    </w:p>
    <w:p w14:paraId="51DE9937" w14:textId="77777777" w:rsidR="0010369C" w:rsidRDefault="008E43AE">
      <w:pPr>
        <w:spacing w:line="219" w:lineRule="exact"/>
        <w:ind w:left="238"/>
        <w:rPr>
          <w:sz w:val="18"/>
        </w:rPr>
      </w:pPr>
      <w:r>
        <w:rPr>
          <w:sz w:val="18"/>
          <w:vertAlign w:val="superscript"/>
        </w:rPr>
        <w:t>1118</w:t>
      </w:r>
      <w:r>
        <w:rPr>
          <w:spacing w:val="-6"/>
          <w:sz w:val="18"/>
        </w:rPr>
        <w:t xml:space="preserve"> </w:t>
      </w:r>
      <w:r>
        <w:rPr>
          <w:sz w:val="18"/>
        </w:rPr>
        <w:t>Panel</w:t>
      </w:r>
      <w:r>
        <w:rPr>
          <w:spacing w:val="-7"/>
          <w:sz w:val="18"/>
        </w:rPr>
        <w:t xml:space="preserve"> </w:t>
      </w:r>
      <w:r>
        <w:rPr>
          <w:sz w:val="18"/>
        </w:rPr>
        <w:t>Report,</w:t>
      </w:r>
      <w:r>
        <w:rPr>
          <w:spacing w:val="-6"/>
          <w:sz w:val="18"/>
        </w:rPr>
        <w:t xml:space="preserve"> </w:t>
      </w:r>
      <w:r>
        <w:rPr>
          <w:i/>
          <w:sz w:val="18"/>
        </w:rPr>
        <w:t>China</w:t>
      </w:r>
      <w:r>
        <w:rPr>
          <w:i/>
          <w:spacing w:val="-6"/>
          <w:sz w:val="18"/>
        </w:rPr>
        <w:t xml:space="preserve"> </w:t>
      </w:r>
      <w:r>
        <w:rPr>
          <w:i/>
          <w:sz w:val="18"/>
        </w:rPr>
        <w:t>–</w:t>
      </w:r>
      <w:r>
        <w:rPr>
          <w:i/>
          <w:spacing w:val="-6"/>
          <w:sz w:val="18"/>
        </w:rPr>
        <w:t xml:space="preserve"> </w:t>
      </w:r>
      <w:r>
        <w:rPr>
          <w:i/>
          <w:sz w:val="18"/>
        </w:rPr>
        <w:t>Broiler</w:t>
      </w:r>
      <w:r>
        <w:rPr>
          <w:i/>
          <w:spacing w:val="-6"/>
          <w:sz w:val="18"/>
        </w:rPr>
        <w:t xml:space="preserve"> </w:t>
      </w:r>
      <w:r>
        <w:rPr>
          <w:i/>
          <w:sz w:val="18"/>
        </w:rPr>
        <w:t>Products</w:t>
      </w:r>
      <w:r>
        <w:rPr>
          <w:i/>
          <w:spacing w:val="-7"/>
          <w:sz w:val="18"/>
        </w:rPr>
        <w:t xml:space="preserve"> </w:t>
      </w:r>
      <w:r>
        <w:rPr>
          <w:i/>
          <w:sz w:val="18"/>
        </w:rPr>
        <w:t>(Article</w:t>
      </w:r>
      <w:r>
        <w:rPr>
          <w:i/>
          <w:spacing w:val="-6"/>
          <w:sz w:val="18"/>
        </w:rPr>
        <w:t xml:space="preserve"> </w:t>
      </w:r>
      <w:r>
        <w:rPr>
          <w:i/>
          <w:sz w:val="18"/>
        </w:rPr>
        <w:t>21.5)</w:t>
      </w:r>
      <w:r>
        <w:rPr>
          <w:sz w:val="18"/>
        </w:rPr>
        <w:t>,</w:t>
      </w:r>
      <w:r>
        <w:rPr>
          <w:spacing w:val="-7"/>
          <w:sz w:val="18"/>
        </w:rPr>
        <w:t xml:space="preserve"> </w:t>
      </w:r>
      <w:r>
        <w:rPr>
          <w:sz w:val="18"/>
        </w:rPr>
        <w:t>paras.</w:t>
      </w:r>
      <w:r>
        <w:rPr>
          <w:spacing w:val="-6"/>
          <w:sz w:val="18"/>
        </w:rPr>
        <w:t xml:space="preserve"> </w:t>
      </w:r>
      <w:r>
        <w:rPr>
          <w:spacing w:val="-2"/>
          <w:sz w:val="18"/>
        </w:rPr>
        <w:t>7.285‐7.286.</w:t>
      </w:r>
    </w:p>
    <w:p w14:paraId="51DE9938" w14:textId="77777777" w:rsidR="0010369C" w:rsidRDefault="008E43AE">
      <w:pPr>
        <w:ind w:left="238"/>
        <w:rPr>
          <w:sz w:val="18"/>
        </w:rPr>
      </w:pPr>
      <w:r>
        <w:rPr>
          <w:sz w:val="18"/>
          <w:vertAlign w:val="superscript"/>
        </w:rPr>
        <w:t>1119</w:t>
      </w:r>
      <w:r>
        <w:rPr>
          <w:spacing w:val="-6"/>
          <w:sz w:val="18"/>
        </w:rPr>
        <w:t xml:space="preserve"> </w:t>
      </w:r>
      <w:r>
        <w:rPr>
          <w:sz w:val="18"/>
        </w:rPr>
        <w:t>Appellate</w:t>
      </w:r>
      <w:r>
        <w:rPr>
          <w:spacing w:val="-5"/>
          <w:sz w:val="18"/>
        </w:rPr>
        <w:t xml:space="preserve"> </w:t>
      </w:r>
      <w:r>
        <w:rPr>
          <w:sz w:val="18"/>
        </w:rPr>
        <w:t>Body</w:t>
      </w:r>
      <w:r>
        <w:rPr>
          <w:spacing w:val="-8"/>
          <w:sz w:val="18"/>
        </w:rPr>
        <w:t xml:space="preserve"> </w:t>
      </w:r>
      <w:r>
        <w:rPr>
          <w:sz w:val="18"/>
        </w:rPr>
        <w:t>Report,</w:t>
      </w:r>
      <w:r>
        <w:rPr>
          <w:spacing w:val="-5"/>
          <w:sz w:val="18"/>
        </w:rPr>
        <w:t xml:space="preserve"> </w:t>
      </w:r>
      <w:r>
        <w:rPr>
          <w:i/>
          <w:sz w:val="18"/>
        </w:rPr>
        <w:t>EC</w:t>
      </w:r>
      <w:r>
        <w:rPr>
          <w:i/>
          <w:spacing w:val="-7"/>
          <w:sz w:val="18"/>
        </w:rPr>
        <w:t xml:space="preserve"> </w:t>
      </w:r>
      <w:r>
        <w:rPr>
          <w:i/>
          <w:sz w:val="18"/>
        </w:rPr>
        <w:t>–</w:t>
      </w:r>
      <w:r>
        <w:rPr>
          <w:i/>
          <w:spacing w:val="-5"/>
          <w:sz w:val="18"/>
        </w:rPr>
        <w:t xml:space="preserve"> </w:t>
      </w:r>
      <w:r>
        <w:rPr>
          <w:i/>
          <w:sz w:val="18"/>
        </w:rPr>
        <w:t>Fasteners</w:t>
      </w:r>
      <w:r>
        <w:rPr>
          <w:i/>
          <w:spacing w:val="-5"/>
          <w:sz w:val="18"/>
        </w:rPr>
        <w:t xml:space="preserve"> </w:t>
      </w:r>
      <w:r>
        <w:rPr>
          <w:i/>
          <w:sz w:val="18"/>
        </w:rPr>
        <w:t>(China)</w:t>
      </w:r>
      <w:r>
        <w:rPr>
          <w:i/>
          <w:spacing w:val="-6"/>
          <w:sz w:val="18"/>
        </w:rPr>
        <w:t xml:space="preserve"> </w:t>
      </w:r>
      <w:r>
        <w:rPr>
          <w:i/>
          <w:sz w:val="18"/>
        </w:rPr>
        <w:t>(Article</w:t>
      </w:r>
      <w:r>
        <w:rPr>
          <w:i/>
          <w:spacing w:val="-5"/>
          <w:sz w:val="18"/>
        </w:rPr>
        <w:t xml:space="preserve"> </w:t>
      </w:r>
      <w:r>
        <w:rPr>
          <w:i/>
          <w:sz w:val="18"/>
        </w:rPr>
        <w:t>21.5</w:t>
      </w:r>
      <w:r>
        <w:rPr>
          <w:i/>
          <w:spacing w:val="-6"/>
          <w:sz w:val="18"/>
        </w:rPr>
        <w:t xml:space="preserve"> </w:t>
      </w:r>
      <w:r>
        <w:rPr>
          <w:i/>
          <w:sz w:val="18"/>
        </w:rPr>
        <w:t>–</w:t>
      </w:r>
      <w:r>
        <w:rPr>
          <w:i/>
          <w:spacing w:val="-5"/>
          <w:sz w:val="18"/>
        </w:rPr>
        <w:t xml:space="preserve"> </w:t>
      </w:r>
      <w:r>
        <w:rPr>
          <w:i/>
          <w:sz w:val="18"/>
        </w:rPr>
        <w:t>China)</w:t>
      </w:r>
      <w:r>
        <w:rPr>
          <w:sz w:val="18"/>
        </w:rPr>
        <w:t>,</w:t>
      </w:r>
      <w:r>
        <w:rPr>
          <w:spacing w:val="-7"/>
          <w:sz w:val="18"/>
        </w:rPr>
        <w:t xml:space="preserve"> </w:t>
      </w:r>
      <w:r>
        <w:rPr>
          <w:sz w:val="18"/>
        </w:rPr>
        <w:t>para.</w:t>
      </w:r>
      <w:r>
        <w:rPr>
          <w:spacing w:val="-5"/>
          <w:sz w:val="18"/>
        </w:rPr>
        <w:t xml:space="preserve"> </w:t>
      </w:r>
      <w:r>
        <w:rPr>
          <w:spacing w:val="-4"/>
          <w:sz w:val="18"/>
        </w:rPr>
        <w:t>480.</w:t>
      </w:r>
    </w:p>
    <w:p w14:paraId="51DE9939" w14:textId="77777777" w:rsidR="0010369C" w:rsidRDefault="0010369C">
      <w:pPr>
        <w:rPr>
          <w:sz w:val="18"/>
        </w:rPr>
        <w:sectPr w:rsidR="0010369C">
          <w:pgSz w:w="11910" w:h="16840"/>
          <w:pgMar w:top="880" w:right="800" w:bottom="980" w:left="1180" w:header="569" w:footer="788" w:gutter="0"/>
          <w:cols w:space="720"/>
        </w:sectPr>
      </w:pPr>
    </w:p>
    <w:p w14:paraId="51DE993A" w14:textId="77777777" w:rsidR="0010369C" w:rsidRDefault="008E43AE">
      <w:pPr>
        <w:tabs>
          <w:tab w:val="left" w:pos="6426"/>
        </w:tabs>
        <w:ind w:left="238"/>
        <w:rPr>
          <w:sz w:val="20"/>
        </w:rPr>
      </w:pPr>
      <w:r>
        <w:rPr>
          <w:i/>
          <w:sz w:val="20"/>
        </w:rPr>
        <w:lastRenderedPageBreak/>
        <w:t>China</w:t>
      </w:r>
      <w:r>
        <w:rPr>
          <w:i/>
          <w:spacing w:val="-5"/>
          <w:sz w:val="20"/>
        </w:rPr>
        <w:t xml:space="preserve"> </w:t>
      </w:r>
      <w:r>
        <w:rPr>
          <w:i/>
          <w:sz w:val="20"/>
        </w:rPr>
        <w:t>–</w:t>
      </w:r>
      <w:r>
        <w:rPr>
          <w:i/>
          <w:spacing w:val="-5"/>
          <w:sz w:val="20"/>
        </w:rPr>
        <w:t xml:space="preserve"> </w:t>
      </w:r>
      <w:r>
        <w:rPr>
          <w:i/>
          <w:sz w:val="20"/>
        </w:rPr>
        <w:t>Anti‐Dumping</w:t>
      </w:r>
      <w:r>
        <w:rPr>
          <w:i/>
          <w:spacing w:val="-4"/>
          <w:sz w:val="20"/>
        </w:rPr>
        <w:t xml:space="preserve"> </w:t>
      </w:r>
      <w:r>
        <w:rPr>
          <w:i/>
          <w:sz w:val="20"/>
        </w:rPr>
        <w:t>and</w:t>
      </w:r>
      <w:r>
        <w:rPr>
          <w:i/>
          <w:spacing w:val="-5"/>
          <w:sz w:val="20"/>
        </w:rPr>
        <w:t xml:space="preserve"> </w:t>
      </w:r>
      <w:r>
        <w:rPr>
          <w:i/>
          <w:sz w:val="20"/>
        </w:rPr>
        <w:t>Countervailing</w:t>
      </w:r>
      <w:r>
        <w:rPr>
          <w:i/>
          <w:spacing w:val="-5"/>
          <w:sz w:val="20"/>
        </w:rPr>
        <w:t xml:space="preserve"> </w:t>
      </w:r>
      <w:r>
        <w:rPr>
          <w:i/>
          <w:sz w:val="20"/>
        </w:rPr>
        <w:t>Duty</w:t>
      </w:r>
      <w:r>
        <w:rPr>
          <w:i/>
          <w:spacing w:val="-4"/>
          <w:sz w:val="20"/>
        </w:rPr>
        <w:t xml:space="preserve"> </w:t>
      </w:r>
      <w:r>
        <w:rPr>
          <w:i/>
          <w:spacing w:val="-2"/>
          <w:sz w:val="20"/>
        </w:rPr>
        <w:t>Measures</w:t>
      </w:r>
      <w:r>
        <w:rPr>
          <w:i/>
          <w:sz w:val="20"/>
        </w:rPr>
        <w:tab/>
      </w:r>
      <w:r>
        <w:rPr>
          <w:sz w:val="20"/>
        </w:rPr>
        <w:t>Australia's</w:t>
      </w:r>
      <w:r>
        <w:rPr>
          <w:spacing w:val="-7"/>
          <w:sz w:val="20"/>
        </w:rPr>
        <w:t xml:space="preserve"> </w:t>
      </w:r>
      <w:r>
        <w:rPr>
          <w:sz w:val="20"/>
        </w:rPr>
        <w:t>First</w:t>
      </w:r>
      <w:r>
        <w:rPr>
          <w:spacing w:val="-2"/>
          <w:sz w:val="20"/>
        </w:rPr>
        <w:t xml:space="preserve"> </w:t>
      </w:r>
      <w:r>
        <w:rPr>
          <w:sz w:val="20"/>
        </w:rPr>
        <w:t>Written</w:t>
      </w:r>
      <w:r>
        <w:rPr>
          <w:spacing w:val="-2"/>
          <w:sz w:val="20"/>
        </w:rPr>
        <w:t xml:space="preserve"> Submission</w:t>
      </w:r>
    </w:p>
    <w:p w14:paraId="51DE993B" w14:textId="77777777" w:rsidR="0010369C" w:rsidRDefault="008E43AE">
      <w:pPr>
        <w:tabs>
          <w:tab w:val="left" w:pos="8228"/>
        </w:tabs>
        <w:spacing w:before="1"/>
        <w:ind w:left="239"/>
        <w:rPr>
          <w:sz w:val="20"/>
        </w:rPr>
      </w:pPr>
      <w:r>
        <w:rPr>
          <w:i/>
          <w:sz w:val="20"/>
        </w:rPr>
        <w:t>on</w:t>
      </w:r>
      <w:r>
        <w:rPr>
          <w:i/>
          <w:spacing w:val="-1"/>
          <w:sz w:val="20"/>
        </w:rPr>
        <w:t xml:space="preserve"> </w:t>
      </w:r>
      <w:r>
        <w:rPr>
          <w:i/>
          <w:sz w:val="20"/>
        </w:rPr>
        <w:t>Wine</w:t>
      </w:r>
      <w:r>
        <w:rPr>
          <w:i/>
          <w:spacing w:val="-1"/>
          <w:sz w:val="20"/>
        </w:rPr>
        <w:t xml:space="preserve"> </w:t>
      </w:r>
      <w:r>
        <w:rPr>
          <w:i/>
          <w:sz w:val="20"/>
        </w:rPr>
        <w:t>from</w:t>
      </w:r>
      <w:r>
        <w:rPr>
          <w:i/>
          <w:spacing w:val="-3"/>
          <w:sz w:val="20"/>
        </w:rPr>
        <w:t xml:space="preserve"> </w:t>
      </w:r>
      <w:r>
        <w:rPr>
          <w:i/>
          <w:sz w:val="20"/>
        </w:rPr>
        <w:t>Australia</w:t>
      </w:r>
      <w:r>
        <w:rPr>
          <w:i/>
          <w:spacing w:val="-1"/>
          <w:sz w:val="20"/>
        </w:rPr>
        <w:t xml:space="preserve"> </w:t>
      </w:r>
      <w:r>
        <w:rPr>
          <w:spacing w:val="-2"/>
          <w:sz w:val="20"/>
        </w:rPr>
        <w:t>(DS602)</w:t>
      </w:r>
      <w:r>
        <w:rPr>
          <w:sz w:val="20"/>
        </w:rPr>
        <w:tab/>
        <w:t>29</w:t>
      </w:r>
      <w:r>
        <w:rPr>
          <w:spacing w:val="-1"/>
          <w:sz w:val="20"/>
        </w:rPr>
        <w:t xml:space="preserve"> </w:t>
      </w:r>
      <w:r>
        <w:rPr>
          <w:sz w:val="20"/>
        </w:rPr>
        <w:t>April</w:t>
      </w:r>
      <w:r>
        <w:rPr>
          <w:spacing w:val="-2"/>
          <w:sz w:val="20"/>
        </w:rPr>
        <w:t xml:space="preserve"> </w:t>
      </w:r>
      <w:r>
        <w:rPr>
          <w:spacing w:val="-4"/>
          <w:sz w:val="20"/>
        </w:rPr>
        <w:t>2022</w:t>
      </w:r>
    </w:p>
    <w:p w14:paraId="51DE993C" w14:textId="77777777" w:rsidR="0010369C" w:rsidRDefault="008E43AE">
      <w:pPr>
        <w:pStyle w:val="BodyText"/>
        <w:spacing w:before="34" w:line="360" w:lineRule="auto"/>
        <w:ind w:left="237" w:right="613" w:firstLine="852"/>
        <w:jc w:val="both"/>
      </w:pPr>
      <w:r>
        <w:rPr>
          <w:noProof/>
        </w:rPr>
        <w:drawing>
          <wp:anchor distT="0" distB="0" distL="0" distR="0" simplePos="0" relativeHeight="251553280" behindDoc="1" locked="0" layoutInCell="1" allowOverlap="1" wp14:anchorId="51DEA82A" wp14:editId="51DEA82B">
            <wp:simplePos x="0" y="0"/>
            <wp:positionH relativeFrom="page">
              <wp:posOffset>902208</wp:posOffset>
            </wp:positionH>
            <wp:positionV relativeFrom="paragraph">
              <wp:posOffset>69165</wp:posOffset>
            </wp:positionV>
            <wp:extent cx="262127" cy="103631"/>
            <wp:effectExtent l="0" t="0" r="0" b="0"/>
            <wp:wrapNone/>
            <wp:docPr id="1879" name="image9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 name="image967.png"/>
                    <pic:cNvPicPr/>
                  </pic:nvPicPr>
                  <pic:blipFill>
                    <a:blip r:embed="rId1248" cstate="print"/>
                    <a:stretch>
                      <a:fillRect/>
                    </a:stretch>
                  </pic:blipFill>
                  <pic:spPr>
                    <a:xfrm>
                      <a:off x="0" y="0"/>
                      <a:ext cx="262127" cy="103631"/>
                    </a:xfrm>
                    <a:prstGeom prst="rect">
                      <a:avLst/>
                    </a:prstGeom>
                  </pic:spPr>
                </pic:pic>
              </a:graphicData>
            </a:graphic>
          </wp:anchor>
        </w:drawing>
      </w:r>
      <w:r>
        <w:t>The "relevance" of the information must be assessed from the perspective of the interested parties,</w:t>
      </w:r>
      <w:r>
        <w:rPr>
          <w:vertAlign w:val="superscript"/>
        </w:rPr>
        <w:t>1120</w:t>
      </w:r>
      <w:r>
        <w:rPr>
          <w:spacing w:val="-14"/>
        </w:rPr>
        <w:t xml:space="preserve"> </w:t>
      </w:r>
      <w:r>
        <w:t>and with reference to the issues under consideration.</w:t>
      </w:r>
      <w:r>
        <w:rPr>
          <w:vertAlign w:val="superscript"/>
        </w:rPr>
        <w:t>1121</w:t>
      </w:r>
      <w:r>
        <w:t xml:space="preserve"> The Panel in </w:t>
      </w:r>
      <w:r>
        <w:rPr>
          <w:i/>
        </w:rPr>
        <w:t xml:space="preserve">EC – Salmon (Norway) </w:t>
      </w:r>
      <w:r>
        <w:t>explained that relevance is determined with reference to the</w:t>
      </w:r>
      <w:r>
        <w:t xml:space="preserve"> issues considered by the investigating authority. Therefore, any information that relates to issues the investigating authority was required to consider, or exercised its discretion to consider during the investigation, presumptively falls within the scop</w:t>
      </w:r>
      <w:r>
        <w:t>e of Article 6.4.</w:t>
      </w:r>
      <w:r>
        <w:rPr>
          <w:vertAlign w:val="superscript"/>
        </w:rPr>
        <w:t>1122</w:t>
      </w:r>
    </w:p>
    <w:p w14:paraId="51DE993D" w14:textId="77777777" w:rsidR="0010369C" w:rsidRDefault="0010369C">
      <w:pPr>
        <w:pStyle w:val="BodyText"/>
        <w:spacing w:before="10"/>
        <w:rPr>
          <w:sz w:val="8"/>
        </w:rPr>
      </w:pPr>
    </w:p>
    <w:p w14:paraId="51DE993E" w14:textId="77777777" w:rsidR="0010369C" w:rsidRDefault="008E43AE">
      <w:pPr>
        <w:pStyle w:val="BodyText"/>
        <w:spacing w:before="52" w:line="360" w:lineRule="auto"/>
        <w:ind w:left="238" w:right="612" w:firstLine="850"/>
        <w:jc w:val="both"/>
      </w:pPr>
      <w:r>
        <w:rPr>
          <w:noProof/>
        </w:rPr>
        <w:drawing>
          <wp:anchor distT="0" distB="0" distL="0" distR="0" simplePos="0" relativeHeight="251554304" behindDoc="1" locked="0" layoutInCell="1" allowOverlap="1" wp14:anchorId="51DEA82C" wp14:editId="51DEA82D">
            <wp:simplePos x="0" y="0"/>
            <wp:positionH relativeFrom="page">
              <wp:posOffset>902208</wp:posOffset>
            </wp:positionH>
            <wp:positionV relativeFrom="paragraph">
              <wp:posOffset>81949</wp:posOffset>
            </wp:positionV>
            <wp:extent cx="262127" cy="100753"/>
            <wp:effectExtent l="0" t="0" r="0" b="0"/>
            <wp:wrapNone/>
            <wp:docPr id="1881" name="image9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 name="image968.png"/>
                    <pic:cNvPicPr/>
                  </pic:nvPicPr>
                  <pic:blipFill>
                    <a:blip r:embed="rId1249" cstate="print"/>
                    <a:stretch>
                      <a:fillRect/>
                    </a:stretch>
                  </pic:blipFill>
                  <pic:spPr>
                    <a:xfrm>
                      <a:off x="0" y="0"/>
                      <a:ext cx="262127" cy="100753"/>
                    </a:xfrm>
                    <a:prstGeom prst="rect">
                      <a:avLst/>
                    </a:prstGeom>
                  </pic:spPr>
                </pic:pic>
              </a:graphicData>
            </a:graphic>
          </wp:anchor>
        </w:drawing>
      </w:r>
      <w:r>
        <w:t>The</w:t>
      </w:r>
      <w:r>
        <w:rPr>
          <w:spacing w:val="-3"/>
        </w:rPr>
        <w:t xml:space="preserve"> </w:t>
      </w:r>
      <w:r>
        <w:t>matters</w:t>
      </w:r>
      <w:r>
        <w:rPr>
          <w:spacing w:val="-6"/>
        </w:rPr>
        <w:t xml:space="preserve"> </w:t>
      </w:r>
      <w:r>
        <w:t>that</w:t>
      </w:r>
      <w:r>
        <w:rPr>
          <w:spacing w:val="-4"/>
        </w:rPr>
        <w:t xml:space="preserve"> </w:t>
      </w:r>
      <w:r>
        <w:t>the</w:t>
      </w:r>
      <w:r>
        <w:rPr>
          <w:spacing w:val="-3"/>
        </w:rPr>
        <w:t xml:space="preserve"> </w:t>
      </w:r>
      <w:r>
        <w:t>Appellate</w:t>
      </w:r>
      <w:r>
        <w:rPr>
          <w:spacing w:val="-4"/>
        </w:rPr>
        <w:t xml:space="preserve"> </w:t>
      </w:r>
      <w:r>
        <w:t>Body</w:t>
      </w:r>
      <w:r>
        <w:rPr>
          <w:spacing w:val="-4"/>
        </w:rPr>
        <w:t xml:space="preserve"> </w:t>
      </w:r>
      <w:r>
        <w:t>and</w:t>
      </w:r>
      <w:r>
        <w:rPr>
          <w:spacing w:val="-4"/>
        </w:rPr>
        <w:t xml:space="preserve"> </w:t>
      </w:r>
      <w:r>
        <w:t>previous</w:t>
      </w:r>
      <w:r>
        <w:rPr>
          <w:spacing w:val="-3"/>
        </w:rPr>
        <w:t xml:space="preserve"> </w:t>
      </w:r>
      <w:r>
        <w:t>panels</w:t>
      </w:r>
      <w:r>
        <w:rPr>
          <w:spacing w:val="-4"/>
        </w:rPr>
        <w:t xml:space="preserve"> </w:t>
      </w:r>
      <w:r>
        <w:t>have</w:t>
      </w:r>
      <w:r>
        <w:rPr>
          <w:spacing w:val="-3"/>
        </w:rPr>
        <w:t xml:space="preserve"> </w:t>
      </w:r>
      <w:r>
        <w:t>found</w:t>
      </w:r>
      <w:r>
        <w:rPr>
          <w:spacing w:val="-4"/>
        </w:rPr>
        <w:t xml:space="preserve"> </w:t>
      </w:r>
      <w:r>
        <w:t>to</w:t>
      </w:r>
      <w:r>
        <w:rPr>
          <w:spacing w:val="-3"/>
        </w:rPr>
        <w:t xml:space="preserve"> </w:t>
      </w:r>
      <w:r>
        <w:t>be</w:t>
      </w:r>
      <w:r>
        <w:rPr>
          <w:spacing w:val="-3"/>
        </w:rPr>
        <w:t xml:space="preserve"> </w:t>
      </w:r>
      <w:r>
        <w:t>"relevant information" that needed to be disclosed under Article 6.4 include:</w:t>
      </w:r>
    </w:p>
    <w:p w14:paraId="51DE993F" w14:textId="77777777" w:rsidR="0010369C" w:rsidRDefault="008E43AE">
      <w:pPr>
        <w:pStyle w:val="ListParagraph"/>
        <w:numPr>
          <w:ilvl w:val="0"/>
          <w:numId w:val="20"/>
        </w:numPr>
        <w:tabs>
          <w:tab w:val="left" w:pos="1939"/>
          <w:tab w:val="left" w:pos="1940"/>
        </w:tabs>
        <w:spacing w:before="161" w:line="357" w:lineRule="auto"/>
        <w:ind w:left="1938" w:right="616"/>
        <w:rPr>
          <w:sz w:val="24"/>
        </w:rPr>
      </w:pPr>
      <w:r>
        <w:rPr>
          <w:sz w:val="24"/>
        </w:rPr>
        <w:t>information relating to the injury factors set out in Article 3.4, including "wid</w:t>
      </w:r>
      <w:r>
        <w:rPr>
          <w:sz w:val="24"/>
        </w:rPr>
        <w:t>e</w:t>
      </w:r>
      <w:r>
        <w:rPr>
          <w:spacing w:val="-6"/>
          <w:sz w:val="24"/>
        </w:rPr>
        <w:t xml:space="preserve"> </w:t>
      </w:r>
      <w:r>
        <w:rPr>
          <w:sz w:val="24"/>
        </w:rPr>
        <w:t>ranging</w:t>
      </w:r>
      <w:r>
        <w:rPr>
          <w:spacing w:val="-7"/>
          <w:sz w:val="24"/>
        </w:rPr>
        <w:t xml:space="preserve"> </w:t>
      </w:r>
      <w:r>
        <w:rPr>
          <w:sz w:val="24"/>
        </w:rPr>
        <w:t>information"</w:t>
      </w:r>
      <w:r>
        <w:rPr>
          <w:spacing w:val="-5"/>
          <w:sz w:val="24"/>
        </w:rPr>
        <w:t xml:space="preserve"> </w:t>
      </w:r>
      <w:r>
        <w:rPr>
          <w:sz w:val="24"/>
        </w:rPr>
        <w:t>concerning</w:t>
      </w:r>
      <w:r>
        <w:rPr>
          <w:spacing w:val="-6"/>
          <w:sz w:val="24"/>
        </w:rPr>
        <w:t xml:space="preserve"> </w:t>
      </w:r>
      <w:r>
        <w:rPr>
          <w:sz w:val="24"/>
        </w:rPr>
        <w:t>the</w:t>
      </w:r>
      <w:r>
        <w:rPr>
          <w:spacing w:val="-5"/>
          <w:sz w:val="24"/>
        </w:rPr>
        <w:t xml:space="preserve"> </w:t>
      </w:r>
      <w:r>
        <w:rPr>
          <w:sz w:val="24"/>
        </w:rPr>
        <w:t>state</w:t>
      </w:r>
      <w:r>
        <w:rPr>
          <w:spacing w:val="-5"/>
          <w:sz w:val="24"/>
        </w:rPr>
        <w:t xml:space="preserve"> </w:t>
      </w:r>
      <w:r>
        <w:rPr>
          <w:sz w:val="24"/>
        </w:rPr>
        <w:t>of</w:t>
      </w:r>
      <w:r>
        <w:rPr>
          <w:spacing w:val="-6"/>
          <w:sz w:val="24"/>
        </w:rPr>
        <w:t xml:space="preserve"> </w:t>
      </w:r>
      <w:r>
        <w:rPr>
          <w:sz w:val="24"/>
        </w:rPr>
        <w:t>the</w:t>
      </w:r>
      <w:r>
        <w:rPr>
          <w:spacing w:val="-5"/>
          <w:sz w:val="24"/>
        </w:rPr>
        <w:t xml:space="preserve"> </w:t>
      </w:r>
      <w:r>
        <w:rPr>
          <w:sz w:val="24"/>
        </w:rPr>
        <w:t>industry</w:t>
      </w:r>
      <w:r>
        <w:rPr>
          <w:spacing w:val="-5"/>
          <w:sz w:val="24"/>
        </w:rPr>
        <w:t xml:space="preserve"> </w:t>
      </w:r>
      <w:r>
        <w:rPr>
          <w:sz w:val="24"/>
        </w:rPr>
        <w:t>and</w:t>
      </w:r>
      <w:r>
        <w:rPr>
          <w:spacing w:val="-6"/>
          <w:sz w:val="24"/>
        </w:rPr>
        <w:t xml:space="preserve"> </w:t>
      </w:r>
      <w:r>
        <w:rPr>
          <w:sz w:val="24"/>
        </w:rPr>
        <w:t>alleged injury;</w:t>
      </w:r>
      <w:r>
        <w:rPr>
          <w:sz w:val="24"/>
          <w:vertAlign w:val="superscript"/>
        </w:rPr>
        <w:t>1123</w:t>
      </w:r>
      <w:r>
        <w:rPr>
          <w:sz w:val="24"/>
        </w:rPr>
        <w:t xml:space="preserve"> and</w:t>
      </w:r>
    </w:p>
    <w:p w14:paraId="51DE9940" w14:textId="77777777" w:rsidR="0010369C" w:rsidRDefault="008E43AE">
      <w:pPr>
        <w:pStyle w:val="ListParagraph"/>
        <w:numPr>
          <w:ilvl w:val="0"/>
          <w:numId w:val="20"/>
        </w:numPr>
        <w:tabs>
          <w:tab w:val="left" w:pos="1940"/>
          <w:tab w:val="left" w:pos="1941"/>
        </w:tabs>
        <w:spacing w:before="128" w:line="357" w:lineRule="auto"/>
        <w:ind w:right="613"/>
        <w:rPr>
          <w:sz w:val="24"/>
        </w:rPr>
      </w:pPr>
      <w:r>
        <w:rPr>
          <w:sz w:val="24"/>
        </w:rPr>
        <w:t>information that the investigating authority will need to ensure a fair comparison, including the product groups by which the authority will conduct a price comparison.</w:t>
      </w:r>
      <w:r>
        <w:rPr>
          <w:sz w:val="24"/>
          <w:vertAlign w:val="superscript"/>
        </w:rPr>
        <w:t>1124</w:t>
      </w:r>
    </w:p>
    <w:p w14:paraId="51DE9941" w14:textId="77777777" w:rsidR="0010369C" w:rsidRDefault="008E43AE">
      <w:pPr>
        <w:pStyle w:val="BodyText"/>
        <w:spacing w:before="128" w:line="360" w:lineRule="auto"/>
        <w:ind w:left="238" w:right="614" w:firstLine="851"/>
        <w:jc w:val="both"/>
      </w:pPr>
      <w:r>
        <w:rPr>
          <w:noProof/>
        </w:rPr>
        <w:drawing>
          <wp:anchor distT="0" distB="0" distL="0" distR="0" simplePos="0" relativeHeight="251555328" behindDoc="1" locked="0" layoutInCell="1" allowOverlap="1" wp14:anchorId="51DEA82E" wp14:editId="51DEA82F">
            <wp:simplePos x="0" y="0"/>
            <wp:positionH relativeFrom="page">
              <wp:posOffset>902208</wp:posOffset>
            </wp:positionH>
            <wp:positionV relativeFrom="paragraph">
              <wp:posOffset>129617</wp:posOffset>
            </wp:positionV>
            <wp:extent cx="262127" cy="103631"/>
            <wp:effectExtent l="0" t="0" r="0" b="0"/>
            <wp:wrapNone/>
            <wp:docPr id="1883" name="image9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 name="image969.png"/>
                    <pic:cNvPicPr/>
                  </pic:nvPicPr>
                  <pic:blipFill>
                    <a:blip r:embed="rId1250" cstate="print"/>
                    <a:stretch>
                      <a:fillRect/>
                    </a:stretch>
                  </pic:blipFill>
                  <pic:spPr>
                    <a:xfrm>
                      <a:off x="0" y="0"/>
                      <a:ext cx="262127" cy="103631"/>
                    </a:xfrm>
                    <a:prstGeom prst="rect">
                      <a:avLst/>
                    </a:prstGeom>
                  </pic:spPr>
                </pic:pic>
              </a:graphicData>
            </a:graphic>
          </wp:anchor>
        </w:drawing>
      </w:r>
      <w:r>
        <w:t>The</w:t>
      </w:r>
      <w:r>
        <w:rPr>
          <w:spacing w:val="-9"/>
        </w:rPr>
        <w:t xml:space="preserve"> </w:t>
      </w:r>
      <w:r>
        <w:t>obligation</w:t>
      </w:r>
      <w:r>
        <w:rPr>
          <w:spacing w:val="-9"/>
        </w:rPr>
        <w:t xml:space="preserve"> </w:t>
      </w:r>
      <w:r>
        <w:t>on</w:t>
      </w:r>
      <w:r>
        <w:rPr>
          <w:spacing w:val="-10"/>
        </w:rPr>
        <w:t xml:space="preserve"> </w:t>
      </w:r>
      <w:r>
        <w:t>the</w:t>
      </w:r>
      <w:r>
        <w:rPr>
          <w:spacing w:val="-9"/>
        </w:rPr>
        <w:t xml:space="preserve"> </w:t>
      </w:r>
      <w:r>
        <w:t>investigating</w:t>
      </w:r>
      <w:r>
        <w:rPr>
          <w:spacing w:val="-8"/>
        </w:rPr>
        <w:t xml:space="preserve"> </w:t>
      </w:r>
      <w:r>
        <w:t>authority</w:t>
      </w:r>
      <w:r>
        <w:rPr>
          <w:spacing w:val="-9"/>
        </w:rPr>
        <w:t xml:space="preserve"> </w:t>
      </w:r>
      <w:r>
        <w:t>to</w:t>
      </w:r>
      <w:r>
        <w:rPr>
          <w:spacing w:val="-9"/>
        </w:rPr>
        <w:t xml:space="preserve"> </w:t>
      </w:r>
      <w:r>
        <w:t>"provide</w:t>
      </w:r>
      <w:r>
        <w:rPr>
          <w:spacing w:val="-9"/>
        </w:rPr>
        <w:t xml:space="preserve"> </w:t>
      </w:r>
      <w:r>
        <w:t>timely</w:t>
      </w:r>
      <w:r>
        <w:rPr>
          <w:spacing w:val="-9"/>
        </w:rPr>
        <w:t xml:space="preserve"> </w:t>
      </w:r>
      <w:r>
        <w:t>opportunities"</w:t>
      </w:r>
      <w:r>
        <w:rPr>
          <w:spacing w:val="-8"/>
        </w:rPr>
        <w:t xml:space="preserve"> </w:t>
      </w:r>
      <w:r>
        <w:t>to</w:t>
      </w:r>
      <w:r>
        <w:rPr>
          <w:spacing w:val="-9"/>
        </w:rPr>
        <w:t xml:space="preserve"> </w:t>
      </w:r>
      <w:r>
        <w:t>see relevant information is not conditional on receiving a request from an interested party.</w:t>
      </w:r>
      <w:r>
        <w:rPr>
          <w:vertAlign w:val="superscript"/>
        </w:rPr>
        <w:t>1125</w:t>
      </w:r>
      <w:r>
        <w:t xml:space="preserve"> Interested parties cannot request to see information that they may not know exists.</w:t>
      </w:r>
      <w:r>
        <w:rPr>
          <w:vertAlign w:val="superscript"/>
        </w:rPr>
        <w:t>1126</w:t>
      </w:r>
    </w:p>
    <w:p w14:paraId="51DE9942" w14:textId="77777777" w:rsidR="0010369C" w:rsidRDefault="0010369C">
      <w:pPr>
        <w:pStyle w:val="BodyText"/>
        <w:spacing w:before="11"/>
        <w:rPr>
          <w:sz w:val="8"/>
        </w:rPr>
      </w:pPr>
    </w:p>
    <w:p w14:paraId="51DE9943" w14:textId="77777777" w:rsidR="0010369C" w:rsidRDefault="008E43AE">
      <w:pPr>
        <w:pStyle w:val="BodyText"/>
        <w:spacing w:before="52" w:line="360" w:lineRule="auto"/>
        <w:ind w:left="237" w:right="613" w:firstLine="852"/>
        <w:jc w:val="both"/>
      </w:pPr>
      <w:r>
        <w:rPr>
          <w:noProof/>
        </w:rPr>
        <w:drawing>
          <wp:anchor distT="0" distB="0" distL="0" distR="0" simplePos="0" relativeHeight="251556352" behindDoc="1" locked="0" layoutInCell="1" allowOverlap="1" wp14:anchorId="51DEA830" wp14:editId="51DEA831">
            <wp:simplePos x="0" y="0"/>
            <wp:positionH relativeFrom="page">
              <wp:posOffset>902208</wp:posOffset>
            </wp:positionH>
            <wp:positionV relativeFrom="paragraph">
              <wp:posOffset>81358</wp:posOffset>
            </wp:positionV>
            <wp:extent cx="262127" cy="103631"/>
            <wp:effectExtent l="0" t="0" r="0" b="0"/>
            <wp:wrapNone/>
            <wp:docPr id="1885" name="image9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 name="image970.png"/>
                    <pic:cNvPicPr/>
                  </pic:nvPicPr>
                  <pic:blipFill>
                    <a:blip r:embed="rId1251" cstate="print"/>
                    <a:stretch>
                      <a:fillRect/>
                    </a:stretch>
                  </pic:blipFill>
                  <pic:spPr>
                    <a:xfrm>
                      <a:off x="0" y="0"/>
                      <a:ext cx="262127" cy="103631"/>
                    </a:xfrm>
                    <a:prstGeom prst="rect">
                      <a:avLst/>
                    </a:prstGeom>
                  </pic:spPr>
                </pic:pic>
              </a:graphicData>
            </a:graphic>
          </wp:anchor>
        </w:drawing>
      </w:r>
      <w:r>
        <w:t>The obligation to provide information is subject to</w:t>
      </w:r>
      <w:r>
        <w:t xml:space="preserve"> the confidentiality protections established</w:t>
      </w:r>
      <w:r>
        <w:rPr>
          <w:spacing w:val="-12"/>
        </w:rPr>
        <w:t xml:space="preserve"> </w:t>
      </w:r>
      <w:r>
        <w:t>by</w:t>
      </w:r>
      <w:r>
        <w:rPr>
          <w:spacing w:val="-10"/>
        </w:rPr>
        <w:t xml:space="preserve"> </w:t>
      </w:r>
      <w:r>
        <w:t>Article</w:t>
      </w:r>
      <w:r>
        <w:rPr>
          <w:spacing w:val="-11"/>
        </w:rPr>
        <w:t xml:space="preserve"> </w:t>
      </w:r>
      <w:r>
        <w:t>6.5.</w:t>
      </w:r>
      <w:r>
        <w:rPr>
          <w:vertAlign w:val="superscript"/>
        </w:rPr>
        <w:t>1127</w:t>
      </w:r>
      <w:r>
        <w:rPr>
          <w:spacing w:val="-11"/>
        </w:rPr>
        <w:t xml:space="preserve"> </w:t>
      </w:r>
      <w:r>
        <w:t>An</w:t>
      </w:r>
      <w:r>
        <w:rPr>
          <w:spacing w:val="-11"/>
        </w:rPr>
        <w:t xml:space="preserve"> </w:t>
      </w:r>
      <w:r>
        <w:t>investigating</w:t>
      </w:r>
      <w:r>
        <w:rPr>
          <w:spacing w:val="-10"/>
        </w:rPr>
        <w:t xml:space="preserve"> </w:t>
      </w:r>
      <w:r>
        <w:t>authority</w:t>
      </w:r>
      <w:r>
        <w:rPr>
          <w:spacing w:val="-10"/>
        </w:rPr>
        <w:t xml:space="preserve"> </w:t>
      </w:r>
      <w:r>
        <w:t>is</w:t>
      </w:r>
      <w:r>
        <w:rPr>
          <w:spacing w:val="-11"/>
        </w:rPr>
        <w:t xml:space="preserve"> </w:t>
      </w:r>
      <w:r>
        <w:t>not</w:t>
      </w:r>
      <w:r>
        <w:rPr>
          <w:spacing w:val="-12"/>
        </w:rPr>
        <w:t xml:space="preserve"> </w:t>
      </w:r>
      <w:r>
        <w:t>required</w:t>
      </w:r>
      <w:r>
        <w:rPr>
          <w:spacing w:val="-12"/>
        </w:rPr>
        <w:t xml:space="preserve"> </w:t>
      </w:r>
      <w:r>
        <w:t>to</w:t>
      </w:r>
      <w:r>
        <w:rPr>
          <w:spacing w:val="-10"/>
        </w:rPr>
        <w:t xml:space="preserve"> </w:t>
      </w:r>
      <w:r>
        <w:t>provide</w:t>
      </w:r>
      <w:r>
        <w:rPr>
          <w:spacing w:val="-10"/>
        </w:rPr>
        <w:t xml:space="preserve"> </w:t>
      </w:r>
      <w:r>
        <w:t>information that is by its nature confidential or provided on a confidential basis, where the conditions in Article</w:t>
      </w:r>
      <w:r>
        <w:rPr>
          <w:spacing w:val="15"/>
        </w:rPr>
        <w:t xml:space="preserve"> </w:t>
      </w:r>
      <w:r>
        <w:t>6.5</w:t>
      </w:r>
      <w:r>
        <w:rPr>
          <w:spacing w:val="15"/>
        </w:rPr>
        <w:t xml:space="preserve"> </w:t>
      </w:r>
      <w:r>
        <w:t>for</w:t>
      </w:r>
      <w:r>
        <w:rPr>
          <w:spacing w:val="16"/>
        </w:rPr>
        <w:t xml:space="preserve"> </w:t>
      </w:r>
      <w:r>
        <w:t>protecting</w:t>
      </w:r>
      <w:r>
        <w:rPr>
          <w:spacing w:val="17"/>
        </w:rPr>
        <w:t xml:space="preserve"> </w:t>
      </w:r>
      <w:r>
        <w:t>that</w:t>
      </w:r>
      <w:r>
        <w:rPr>
          <w:spacing w:val="16"/>
        </w:rPr>
        <w:t xml:space="preserve"> </w:t>
      </w:r>
      <w:r>
        <w:t>information</w:t>
      </w:r>
      <w:r>
        <w:rPr>
          <w:spacing w:val="16"/>
        </w:rPr>
        <w:t xml:space="preserve"> </w:t>
      </w:r>
      <w:r>
        <w:t>are</w:t>
      </w:r>
      <w:r>
        <w:rPr>
          <w:spacing w:val="16"/>
        </w:rPr>
        <w:t xml:space="preserve"> </w:t>
      </w:r>
      <w:r>
        <w:t>met,</w:t>
      </w:r>
      <w:r>
        <w:rPr>
          <w:spacing w:val="16"/>
        </w:rPr>
        <w:t xml:space="preserve"> </w:t>
      </w:r>
      <w:r>
        <w:t>namely</w:t>
      </w:r>
      <w:r>
        <w:rPr>
          <w:spacing w:val="17"/>
        </w:rPr>
        <w:t xml:space="preserve"> </w:t>
      </w:r>
      <w:r>
        <w:t>where</w:t>
      </w:r>
      <w:r>
        <w:rPr>
          <w:spacing w:val="14"/>
        </w:rPr>
        <w:t xml:space="preserve"> </w:t>
      </w:r>
      <w:r>
        <w:t>confidentiality</w:t>
      </w:r>
      <w:r>
        <w:rPr>
          <w:spacing w:val="15"/>
        </w:rPr>
        <w:t xml:space="preserve"> </w:t>
      </w:r>
      <w:r>
        <w:t>has</w:t>
      </w:r>
      <w:r>
        <w:rPr>
          <w:spacing w:val="15"/>
        </w:rPr>
        <w:t xml:space="preserve"> </w:t>
      </w:r>
      <w:r>
        <w:rPr>
          <w:spacing w:val="-4"/>
        </w:rPr>
        <w:t>been</w:t>
      </w:r>
    </w:p>
    <w:p w14:paraId="51DE9944" w14:textId="77777777" w:rsidR="0010369C" w:rsidRDefault="0010369C">
      <w:pPr>
        <w:pStyle w:val="BodyText"/>
        <w:rPr>
          <w:sz w:val="20"/>
        </w:rPr>
      </w:pPr>
    </w:p>
    <w:p w14:paraId="51DE9945" w14:textId="77777777" w:rsidR="0010369C" w:rsidRDefault="008E43AE">
      <w:pPr>
        <w:pStyle w:val="BodyText"/>
        <w:spacing w:before="8"/>
        <w:rPr>
          <w:sz w:val="27"/>
        </w:rPr>
      </w:pPr>
      <w:r>
        <w:pict w14:anchorId="51DEA832">
          <v:rect id="docshape1373" o:spid="_x0000_s1101" style="position:absolute;margin-left:70.9pt;margin-top:18.15pt;width:2in;height:.8pt;z-index:-250701312;mso-wrap-distance-left:0;mso-wrap-distance-right:0;mso-position-horizontal-relative:page" fillcolor="black" stroked="f">
            <w10:wrap type="topAndBottom" anchorx="page"/>
          </v:rect>
        </w:pict>
      </w:r>
    </w:p>
    <w:p w14:paraId="51DE9946" w14:textId="77777777" w:rsidR="0010369C" w:rsidRDefault="008E43AE">
      <w:pPr>
        <w:spacing w:before="109"/>
        <w:ind w:left="239" w:right="611" w:hanging="1"/>
        <w:rPr>
          <w:sz w:val="18"/>
        </w:rPr>
      </w:pPr>
      <w:r>
        <w:rPr>
          <w:sz w:val="18"/>
          <w:vertAlign w:val="superscript"/>
        </w:rPr>
        <w:t>1120</w:t>
      </w:r>
      <w:r>
        <w:rPr>
          <w:sz w:val="18"/>
        </w:rPr>
        <w:t xml:space="preserve"> Appellate Body Report, </w:t>
      </w:r>
      <w:r>
        <w:rPr>
          <w:i/>
          <w:sz w:val="18"/>
        </w:rPr>
        <w:t>EC – Tube or Pipe Fittings</w:t>
      </w:r>
      <w:r>
        <w:rPr>
          <w:sz w:val="18"/>
        </w:rPr>
        <w:t xml:space="preserve">, para. 145; and Panel Report, </w:t>
      </w:r>
      <w:r>
        <w:rPr>
          <w:i/>
          <w:sz w:val="18"/>
        </w:rPr>
        <w:t>China – Broiler Products (Article 21.5)</w:t>
      </w:r>
      <w:r>
        <w:rPr>
          <w:sz w:val="18"/>
        </w:rPr>
        <w:t>, para. 7.291.</w:t>
      </w:r>
    </w:p>
    <w:p w14:paraId="51DE9947" w14:textId="77777777" w:rsidR="0010369C" w:rsidRDefault="008E43AE">
      <w:pPr>
        <w:spacing w:before="1"/>
        <w:ind w:left="238" w:right="610" w:hanging="1"/>
        <w:rPr>
          <w:sz w:val="18"/>
        </w:rPr>
      </w:pPr>
      <w:r>
        <w:rPr>
          <w:sz w:val="18"/>
          <w:vertAlign w:val="superscript"/>
        </w:rPr>
        <w:t>1121</w:t>
      </w:r>
      <w:r>
        <w:rPr>
          <w:spacing w:val="-11"/>
          <w:sz w:val="18"/>
        </w:rPr>
        <w:t xml:space="preserve"> </w:t>
      </w:r>
      <w:r>
        <w:rPr>
          <w:sz w:val="18"/>
        </w:rPr>
        <w:t>Panel</w:t>
      </w:r>
      <w:r>
        <w:rPr>
          <w:spacing w:val="-10"/>
          <w:sz w:val="18"/>
        </w:rPr>
        <w:t xml:space="preserve"> </w:t>
      </w:r>
      <w:r>
        <w:rPr>
          <w:sz w:val="18"/>
        </w:rPr>
        <w:t>Report,</w:t>
      </w:r>
      <w:r>
        <w:rPr>
          <w:spacing w:val="-10"/>
          <w:sz w:val="18"/>
        </w:rPr>
        <w:t xml:space="preserve"> </w:t>
      </w:r>
      <w:r>
        <w:rPr>
          <w:i/>
          <w:sz w:val="18"/>
        </w:rPr>
        <w:t>EC</w:t>
      </w:r>
      <w:r>
        <w:rPr>
          <w:i/>
          <w:spacing w:val="-10"/>
          <w:sz w:val="18"/>
        </w:rPr>
        <w:t xml:space="preserve"> </w:t>
      </w:r>
      <w:r>
        <w:rPr>
          <w:i/>
          <w:sz w:val="18"/>
        </w:rPr>
        <w:t>–</w:t>
      </w:r>
      <w:r>
        <w:rPr>
          <w:i/>
          <w:spacing w:val="-10"/>
          <w:sz w:val="18"/>
        </w:rPr>
        <w:t xml:space="preserve"> </w:t>
      </w:r>
      <w:r>
        <w:rPr>
          <w:i/>
          <w:sz w:val="18"/>
        </w:rPr>
        <w:t>Salmon</w:t>
      </w:r>
      <w:r>
        <w:rPr>
          <w:i/>
          <w:spacing w:val="-11"/>
          <w:sz w:val="18"/>
        </w:rPr>
        <w:t xml:space="preserve"> </w:t>
      </w:r>
      <w:r>
        <w:rPr>
          <w:i/>
          <w:sz w:val="18"/>
        </w:rPr>
        <w:t>(Norway)</w:t>
      </w:r>
      <w:r>
        <w:rPr>
          <w:sz w:val="18"/>
        </w:rPr>
        <w:t>,</w:t>
      </w:r>
      <w:r>
        <w:rPr>
          <w:spacing w:val="-10"/>
          <w:sz w:val="18"/>
        </w:rPr>
        <w:t xml:space="preserve"> </w:t>
      </w:r>
      <w:r>
        <w:rPr>
          <w:sz w:val="18"/>
        </w:rPr>
        <w:t>para.</w:t>
      </w:r>
      <w:r>
        <w:rPr>
          <w:spacing w:val="-10"/>
          <w:sz w:val="18"/>
        </w:rPr>
        <w:t xml:space="preserve"> </w:t>
      </w:r>
      <w:r>
        <w:rPr>
          <w:sz w:val="18"/>
        </w:rPr>
        <w:t>7.769</w:t>
      </w:r>
      <w:r>
        <w:rPr>
          <w:spacing w:val="-10"/>
          <w:sz w:val="18"/>
        </w:rPr>
        <w:t xml:space="preserve"> </w:t>
      </w:r>
      <w:r>
        <w:rPr>
          <w:sz w:val="18"/>
        </w:rPr>
        <w:t>(cited</w:t>
      </w:r>
      <w:r>
        <w:rPr>
          <w:spacing w:val="-10"/>
          <w:sz w:val="18"/>
        </w:rPr>
        <w:t xml:space="preserve"> </w:t>
      </w:r>
      <w:r>
        <w:rPr>
          <w:sz w:val="18"/>
        </w:rPr>
        <w:t>with</w:t>
      </w:r>
      <w:r>
        <w:rPr>
          <w:spacing w:val="-10"/>
          <w:sz w:val="18"/>
        </w:rPr>
        <w:t xml:space="preserve"> </w:t>
      </w:r>
      <w:r>
        <w:rPr>
          <w:sz w:val="18"/>
        </w:rPr>
        <w:t>approval</w:t>
      </w:r>
      <w:r>
        <w:rPr>
          <w:spacing w:val="-11"/>
          <w:sz w:val="18"/>
        </w:rPr>
        <w:t xml:space="preserve"> </w:t>
      </w:r>
      <w:r>
        <w:rPr>
          <w:sz w:val="18"/>
        </w:rPr>
        <w:t>in</w:t>
      </w:r>
      <w:r>
        <w:rPr>
          <w:spacing w:val="-10"/>
          <w:sz w:val="18"/>
        </w:rPr>
        <w:t xml:space="preserve"> </w:t>
      </w:r>
      <w:r>
        <w:rPr>
          <w:sz w:val="18"/>
        </w:rPr>
        <w:t>Panel</w:t>
      </w:r>
      <w:r>
        <w:rPr>
          <w:spacing w:val="-10"/>
          <w:sz w:val="18"/>
        </w:rPr>
        <w:t xml:space="preserve"> </w:t>
      </w:r>
      <w:r>
        <w:rPr>
          <w:sz w:val="18"/>
        </w:rPr>
        <w:t>Report,</w:t>
      </w:r>
      <w:r>
        <w:rPr>
          <w:spacing w:val="-10"/>
          <w:sz w:val="18"/>
        </w:rPr>
        <w:t xml:space="preserve"> </w:t>
      </w:r>
      <w:r>
        <w:rPr>
          <w:i/>
          <w:sz w:val="18"/>
        </w:rPr>
        <w:t>EU</w:t>
      </w:r>
      <w:r>
        <w:rPr>
          <w:i/>
          <w:spacing w:val="-10"/>
          <w:sz w:val="18"/>
        </w:rPr>
        <w:t xml:space="preserve"> </w:t>
      </w:r>
      <w:r>
        <w:rPr>
          <w:i/>
          <w:sz w:val="18"/>
        </w:rPr>
        <w:t>–</w:t>
      </w:r>
      <w:r>
        <w:rPr>
          <w:i/>
          <w:spacing w:val="-10"/>
          <w:sz w:val="18"/>
        </w:rPr>
        <w:t xml:space="preserve"> </w:t>
      </w:r>
      <w:r>
        <w:rPr>
          <w:i/>
          <w:sz w:val="18"/>
        </w:rPr>
        <w:t>Footwear</w:t>
      </w:r>
      <w:r>
        <w:rPr>
          <w:i/>
          <w:spacing w:val="-11"/>
          <w:sz w:val="18"/>
        </w:rPr>
        <w:t xml:space="preserve"> </w:t>
      </w:r>
      <w:r>
        <w:rPr>
          <w:i/>
          <w:sz w:val="18"/>
        </w:rPr>
        <w:t>(China)</w:t>
      </w:r>
      <w:r>
        <w:rPr>
          <w:sz w:val="18"/>
        </w:rPr>
        <w:t>,</w:t>
      </w:r>
      <w:r>
        <w:rPr>
          <w:spacing w:val="-10"/>
          <w:sz w:val="18"/>
        </w:rPr>
        <w:t xml:space="preserve"> </w:t>
      </w:r>
      <w:r>
        <w:rPr>
          <w:sz w:val="18"/>
        </w:rPr>
        <w:t>para.</w:t>
      </w:r>
      <w:r>
        <w:rPr>
          <w:spacing w:val="-10"/>
          <w:sz w:val="18"/>
        </w:rPr>
        <w:t xml:space="preserve"> </w:t>
      </w:r>
      <w:r>
        <w:rPr>
          <w:sz w:val="18"/>
        </w:rPr>
        <w:t xml:space="preserve">7.602); and Appellate Body Report, </w:t>
      </w:r>
      <w:r>
        <w:rPr>
          <w:i/>
          <w:sz w:val="18"/>
        </w:rPr>
        <w:t>EC – Fasteners (China), para. 485</w:t>
      </w:r>
      <w:r>
        <w:rPr>
          <w:sz w:val="18"/>
        </w:rPr>
        <w:t>.</w:t>
      </w:r>
    </w:p>
    <w:p w14:paraId="51DE9948" w14:textId="77777777" w:rsidR="0010369C" w:rsidRDefault="008E43AE">
      <w:pPr>
        <w:spacing w:line="219" w:lineRule="exact"/>
        <w:ind w:left="238"/>
        <w:rPr>
          <w:sz w:val="18"/>
        </w:rPr>
      </w:pPr>
      <w:r>
        <w:rPr>
          <w:sz w:val="18"/>
          <w:vertAlign w:val="superscript"/>
        </w:rPr>
        <w:t>1122</w:t>
      </w:r>
      <w:r>
        <w:rPr>
          <w:spacing w:val="-3"/>
          <w:sz w:val="18"/>
        </w:rPr>
        <w:t xml:space="preserve"> </w:t>
      </w:r>
      <w:r>
        <w:rPr>
          <w:spacing w:val="-2"/>
          <w:sz w:val="18"/>
        </w:rPr>
        <w:t>Ibid.</w:t>
      </w:r>
    </w:p>
    <w:p w14:paraId="51DE9949" w14:textId="77777777" w:rsidR="0010369C" w:rsidRDefault="008E43AE">
      <w:pPr>
        <w:ind w:left="238"/>
        <w:rPr>
          <w:sz w:val="18"/>
        </w:rPr>
      </w:pPr>
      <w:r>
        <w:rPr>
          <w:sz w:val="18"/>
          <w:vertAlign w:val="superscript"/>
        </w:rPr>
        <w:t>1123</w:t>
      </w:r>
      <w:r>
        <w:rPr>
          <w:spacing w:val="-6"/>
          <w:sz w:val="18"/>
        </w:rPr>
        <w:t xml:space="preserve"> </w:t>
      </w:r>
      <w:r>
        <w:rPr>
          <w:sz w:val="18"/>
        </w:rPr>
        <w:t>Appellate</w:t>
      </w:r>
      <w:r>
        <w:rPr>
          <w:spacing w:val="-6"/>
          <w:sz w:val="18"/>
        </w:rPr>
        <w:t xml:space="preserve"> </w:t>
      </w:r>
      <w:r>
        <w:rPr>
          <w:sz w:val="18"/>
        </w:rPr>
        <w:t>Body</w:t>
      </w:r>
      <w:r>
        <w:rPr>
          <w:spacing w:val="-7"/>
          <w:sz w:val="18"/>
        </w:rPr>
        <w:t xml:space="preserve"> </w:t>
      </w:r>
      <w:r>
        <w:rPr>
          <w:sz w:val="18"/>
        </w:rPr>
        <w:t>Report,</w:t>
      </w:r>
      <w:r>
        <w:rPr>
          <w:spacing w:val="-6"/>
          <w:sz w:val="18"/>
        </w:rPr>
        <w:t xml:space="preserve"> </w:t>
      </w:r>
      <w:r>
        <w:rPr>
          <w:i/>
          <w:sz w:val="18"/>
        </w:rPr>
        <w:t>EC</w:t>
      </w:r>
      <w:r>
        <w:rPr>
          <w:i/>
          <w:spacing w:val="-7"/>
          <w:sz w:val="18"/>
        </w:rPr>
        <w:t xml:space="preserve"> </w:t>
      </w:r>
      <w:r>
        <w:rPr>
          <w:i/>
          <w:sz w:val="18"/>
        </w:rPr>
        <w:t>–</w:t>
      </w:r>
      <w:r>
        <w:rPr>
          <w:i/>
          <w:spacing w:val="-5"/>
          <w:sz w:val="18"/>
        </w:rPr>
        <w:t xml:space="preserve"> </w:t>
      </w:r>
      <w:r>
        <w:rPr>
          <w:i/>
          <w:sz w:val="18"/>
        </w:rPr>
        <w:t>Fasteners</w:t>
      </w:r>
      <w:r>
        <w:rPr>
          <w:i/>
          <w:spacing w:val="-6"/>
          <w:sz w:val="18"/>
        </w:rPr>
        <w:t xml:space="preserve"> </w:t>
      </w:r>
      <w:r>
        <w:rPr>
          <w:i/>
          <w:sz w:val="18"/>
        </w:rPr>
        <w:t>(China)</w:t>
      </w:r>
      <w:r>
        <w:rPr>
          <w:sz w:val="18"/>
        </w:rPr>
        <w:t>,</w:t>
      </w:r>
      <w:r>
        <w:rPr>
          <w:spacing w:val="-7"/>
          <w:sz w:val="18"/>
        </w:rPr>
        <w:t xml:space="preserve"> </w:t>
      </w:r>
      <w:r>
        <w:rPr>
          <w:sz w:val="18"/>
        </w:rPr>
        <w:t>para.</w:t>
      </w:r>
      <w:r>
        <w:rPr>
          <w:spacing w:val="-5"/>
          <w:sz w:val="18"/>
        </w:rPr>
        <w:t xml:space="preserve"> </w:t>
      </w:r>
      <w:r>
        <w:rPr>
          <w:spacing w:val="-4"/>
          <w:sz w:val="18"/>
        </w:rPr>
        <w:t>413.</w:t>
      </w:r>
    </w:p>
    <w:p w14:paraId="51DE994A" w14:textId="77777777" w:rsidR="0010369C" w:rsidRDefault="008E43AE">
      <w:pPr>
        <w:ind w:left="238"/>
        <w:rPr>
          <w:sz w:val="18"/>
        </w:rPr>
      </w:pPr>
      <w:r>
        <w:rPr>
          <w:sz w:val="18"/>
          <w:vertAlign w:val="superscript"/>
        </w:rPr>
        <w:t>1124</w:t>
      </w:r>
      <w:r>
        <w:rPr>
          <w:spacing w:val="-6"/>
          <w:sz w:val="18"/>
        </w:rPr>
        <w:t xml:space="preserve"> </w:t>
      </w:r>
      <w:r>
        <w:rPr>
          <w:sz w:val="18"/>
        </w:rPr>
        <w:t>Appellate</w:t>
      </w:r>
      <w:r>
        <w:rPr>
          <w:spacing w:val="-6"/>
          <w:sz w:val="18"/>
        </w:rPr>
        <w:t xml:space="preserve"> </w:t>
      </w:r>
      <w:r>
        <w:rPr>
          <w:sz w:val="18"/>
        </w:rPr>
        <w:t>Body</w:t>
      </w:r>
      <w:r>
        <w:rPr>
          <w:spacing w:val="-7"/>
          <w:sz w:val="18"/>
        </w:rPr>
        <w:t xml:space="preserve"> </w:t>
      </w:r>
      <w:r>
        <w:rPr>
          <w:sz w:val="18"/>
        </w:rPr>
        <w:t>Report,</w:t>
      </w:r>
      <w:r>
        <w:rPr>
          <w:spacing w:val="-6"/>
          <w:sz w:val="18"/>
        </w:rPr>
        <w:t xml:space="preserve"> </w:t>
      </w:r>
      <w:r>
        <w:rPr>
          <w:i/>
          <w:sz w:val="18"/>
        </w:rPr>
        <w:t>EC</w:t>
      </w:r>
      <w:r>
        <w:rPr>
          <w:i/>
          <w:spacing w:val="-7"/>
          <w:sz w:val="18"/>
        </w:rPr>
        <w:t xml:space="preserve"> </w:t>
      </w:r>
      <w:r>
        <w:rPr>
          <w:i/>
          <w:sz w:val="18"/>
        </w:rPr>
        <w:t>–</w:t>
      </w:r>
      <w:r>
        <w:rPr>
          <w:i/>
          <w:spacing w:val="-5"/>
          <w:sz w:val="18"/>
        </w:rPr>
        <w:t xml:space="preserve"> </w:t>
      </w:r>
      <w:r>
        <w:rPr>
          <w:i/>
          <w:sz w:val="18"/>
        </w:rPr>
        <w:t>Fasteners</w:t>
      </w:r>
      <w:r>
        <w:rPr>
          <w:i/>
          <w:spacing w:val="-6"/>
          <w:sz w:val="18"/>
        </w:rPr>
        <w:t xml:space="preserve"> </w:t>
      </w:r>
      <w:r>
        <w:rPr>
          <w:i/>
          <w:sz w:val="18"/>
        </w:rPr>
        <w:t>(China)</w:t>
      </w:r>
      <w:r>
        <w:rPr>
          <w:sz w:val="18"/>
        </w:rPr>
        <w:t>,</w:t>
      </w:r>
      <w:r>
        <w:rPr>
          <w:spacing w:val="-7"/>
          <w:sz w:val="18"/>
        </w:rPr>
        <w:t xml:space="preserve"> </w:t>
      </w:r>
      <w:r>
        <w:rPr>
          <w:sz w:val="18"/>
        </w:rPr>
        <w:t>para.</w:t>
      </w:r>
      <w:r>
        <w:rPr>
          <w:spacing w:val="-5"/>
          <w:sz w:val="18"/>
        </w:rPr>
        <w:t xml:space="preserve"> </w:t>
      </w:r>
      <w:r>
        <w:rPr>
          <w:spacing w:val="-4"/>
          <w:sz w:val="18"/>
        </w:rPr>
        <w:t>490.</w:t>
      </w:r>
    </w:p>
    <w:p w14:paraId="51DE994B" w14:textId="77777777" w:rsidR="0010369C" w:rsidRDefault="008E43AE">
      <w:pPr>
        <w:ind w:left="238"/>
        <w:rPr>
          <w:sz w:val="18"/>
        </w:rPr>
      </w:pPr>
      <w:r>
        <w:rPr>
          <w:sz w:val="18"/>
          <w:vertAlign w:val="superscript"/>
        </w:rPr>
        <w:t>1125</w:t>
      </w:r>
      <w:r>
        <w:rPr>
          <w:spacing w:val="-6"/>
          <w:sz w:val="18"/>
        </w:rPr>
        <w:t xml:space="preserve"> </w:t>
      </w:r>
      <w:r>
        <w:rPr>
          <w:sz w:val="18"/>
        </w:rPr>
        <w:t>Panel</w:t>
      </w:r>
      <w:r>
        <w:rPr>
          <w:spacing w:val="-6"/>
          <w:sz w:val="18"/>
        </w:rPr>
        <w:t xml:space="preserve"> </w:t>
      </w:r>
      <w:r>
        <w:rPr>
          <w:sz w:val="18"/>
        </w:rPr>
        <w:t>Report,</w:t>
      </w:r>
      <w:r>
        <w:rPr>
          <w:spacing w:val="-5"/>
          <w:sz w:val="18"/>
        </w:rPr>
        <w:t xml:space="preserve"> </w:t>
      </w:r>
      <w:r>
        <w:rPr>
          <w:i/>
          <w:sz w:val="18"/>
        </w:rPr>
        <w:t>China</w:t>
      </w:r>
      <w:r>
        <w:rPr>
          <w:i/>
          <w:spacing w:val="-5"/>
          <w:sz w:val="18"/>
        </w:rPr>
        <w:t xml:space="preserve"> </w:t>
      </w:r>
      <w:r>
        <w:rPr>
          <w:i/>
          <w:sz w:val="18"/>
        </w:rPr>
        <w:t>–</w:t>
      </w:r>
      <w:r>
        <w:rPr>
          <w:i/>
          <w:spacing w:val="-5"/>
          <w:sz w:val="18"/>
        </w:rPr>
        <w:t xml:space="preserve"> </w:t>
      </w:r>
      <w:r>
        <w:rPr>
          <w:i/>
          <w:sz w:val="18"/>
        </w:rPr>
        <w:t>Broiler</w:t>
      </w:r>
      <w:r>
        <w:rPr>
          <w:i/>
          <w:spacing w:val="-6"/>
          <w:sz w:val="18"/>
        </w:rPr>
        <w:t xml:space="preserve"> </w:t>
      </w:r>
      <w:r>
        <w:rPr>
          <w:i/>
          <w:sz w:val="18"/>
        </w:rPr>
        <w:t>Products</w:t>
      </w:r>
      <w:r>
        <w:rPr>
          <w:i/>
          <w:spacing w:val="-6"/>
          <w:sz w:val="18"/>
        </w:rPr>
        <w:t xml:space="preserve"> </w:t>
      </w:r>
      <w:r>
        <w:rPr>
          <w:i/>
          <w:sz w:val="18"/>
        </w:rPr>
        <w:t>(Article</w:t>
      </w:r>
      <w:r>
        <w:rPr>
          <w:i/>
          <w:spacing w:val="-5"/>
          <w:sz w:val="18"/>
        </w:rPr>
        <w:t xml:space="preserve"> </w:t>
      </w:r>
      <w:r>
        <w:rPr>
          <w:i/>
          <w:sz w:val="18"/>
        </w:rPr>
        <w:t>21.5</w:t>
      </w:r>
      <w:r>
        <w:rPr>
          <w:i/>
          <w:spacing w:val="-5"/>
          <w:sz w:val="18"/>
        </w:rPr>
        <w:t xml:space="preserve"> </w:t>
      </w:r>
      <w:r>
        <w:rPr>
          <w:i/>
          <w:sz w:val="18"/>
        </w:rPr>
        <w:t>–</w:t>
      </w:r>
      <w:r>
        <w:rPr>
          <w:i/>
          <w:spacing w:val="-5"/>
          <w:sz w:val="18"/>
        </w:rPr>
        <w:t xml:space="preserve"> </w:t>
      </w:r>
      <w:r>
        <w:rPr>
          <w:i/>
          <w:sz w:val="18"/>
        </w:rPr>
        <w:t>US)</w:t>
      </w:r>
      <w:r>
        <w:rPr>
          <w:sz w:val="18"/>
        </w:rPr>
        <w:t>,</w:t>
      </w:r>
      <w:r>
        <w:rPr>
          <w:spacing w:val="-6"/>
          <w:sz w:val="18"/>
        </w:rPr>
        <w:t xml:space="preserve"> </w:t>
      </w:r>
      <w:r>
        <w:rPr>
          <w:sz w:val="18"/>
        </w:rPr>
        <w:t>para.</w:t>
      </w:r>
      <w:r>
        <w:rPr>
          <w:spacing w:val="-6"/>
          <w:sz w:val="18"/>
        </w:rPr>
        <w:t xml:space="preserve"> </w:t>
      </w:r>
      <w:r>
        <w:rPr>
          <w:spacing w:val="-2"/>
          <w:sz w:val="18"/>
        </w:rPr>
        <w:t>7.291.</w:t>
      </w:r>
    </w:p>
    <w:p w14:paraId="51DE994C" w14:textId="77777777" w:rsidR="0010369C" w:rsidRDefault="008E43AE">
      <w:pPr>
        <w:ind w:left="237" w:right="612"/>
        <w:jc w:val="both"/>
        <w:rPr>
          <w:sz w:val="18"/>
        </w:rPr>
      </w:pPr>
      <w:r>
        <w:rPr>
          <w:sz w:val="18"/>
          <w:vertAlign w:val="superscript"/>
        </w:rPr>
        <w:t>1126</w:t>
      </w:r>
      <w:r>
        <w:rPr>
          <w:spacing w:val="-6"/>
          <w:sz w:val="18"/>
        </w:rPr>
        <w:t xml:space="preserve"> </w:t>
      </w:r>
      <w:r>
        <w:rPr>
          <w:sz w:val="18"/>
        </w:rPr>
        <w:t>The</w:t>
      </w:r>
      <w:r>
        <w:rPr>
          <w:spacing w:val="-5"/>
          <w:sz w:val="18"/>
        </w:rPr>
        <w:t xml:space="preserve"> </w:t>
      </w:r>
      <w:r>
        <w:rPr>
          <w:sz w:val="18"/>
        </w:rPr>
        <w:t>panel</w:t>
      </w:r>
      <w:r>
        <w:rPr>
          <w:spacing w:val="-6"/>
          <w:sz w:val="18"/>
        </w:rPr>
        <w:t xml:space="preserve"> </w:t>
      </w:r>
      <w:r>
        <w:rPr>
          <w:sz w:val="18"/>
        </w:rPr>
        <w:t>in</w:t>
      </w:r>
      <w:r>
        <w:rPr>
          <w:spacing w:val="-6"/>
          <w:sz w:val="18"/>
        </w:rPr>
        <w:t xml:space="preserve"> </w:t>
      </w:r>
      <w:r>
        <w:rPr>
          <w:i/>
          <w:sz w:val="18"/>
        </w:rPr>
        <w:t>China</w:t>
      </w:r>
      <w:r>
        <w:rPr>
          <w:i/>
          <w:spacing w:val="-6"/>
          <w:sz w:val="18"/>
        </w:rPr>
        <w:t xml:space="preserve"> </w:t>
      </w:r>
      <w:r>
        <w:rPr>
          <w:i/>
          <w:sz w:val="18"/>
        </w:rPr>
        <w:t>–</w:t>
      </w:r>
      <w:r>
        <w:rPr>
          <w:i/>
          <w:spacing w:val="-6"/>
          <w:sz w:val="18"/>
        </w:rPr>
        <w:t xml:space="preserve"> </w:t>
      </w:r>
      <w:r>
        <w:rPr>
          <w:i/>
          <w:sz w:val="18"/>
        </w:rPr>
        <w:t>Broiler</w:t>
      </w:r>
      <w:r>
        <w:rPr>
          <w:i/>
          <w:spacing w:val="-6"/>
          <w:sz w:val="18"/>
        </w:rPr>
        <w:t xml:space="preserve"> </w:t>
      </w:r>
      <w:r>
        <w:rPr>
          <w:i/>
          <w:sz w:val="18"/>
        </w:rPr>
        <w:t>Products</w:t>
      </w:r>
      <w:r>
        <w:rPr>
          <w:i/>
          <w:spacing w:val="-7"/>
          <w:sz w:val="18"/>
        </w:rPr>
        <w:t xml:space="preserve"> </w:t>
      </w:r>
      <w:r>
        <w:rPr>
          <w:i/>
          <w:sz w:val="18"/>
        </w:rPr>
        <w:t>(Article</w:t>
      </w:r>
      <w:r>
        <w:rPr>
          <w:i/>
          <w:spacing w:val="-5"/>
          <w:sz w:val="18"/>
        </w:rPr>
        <w:t xml:space="preserve"> </w:t>
      </w:r>
      <w:r>
        <w:rPr>
          <w:i/>
          <w:sz w:val="18"/>
        </w:rPr>
        <w:t>21.5</w:t>
      </w:r>
      <w:r>
        <w:rPr>
          <w:i/>
          <w:spacing w:val="-6"/>
          <w:sz w:val="18"/>
        </w:rPr>
        <w:t xml:space="preserve"> </w:t>
      </w:r>
      <w:r>
        <w:rPr>
          <w:i/>
          <w:sz w:val="18"/>
        </w:rPr>
        <w:t>–</w:t>
      </w:r>
      <w:r>
        <w:rPr>
          <w:i/>
          <w:spacing w:val="-6"/>
          <w:sz w:val="18"/>
        </w:rPr>
        <w:t xml:space="preserve"> </w:t>
      </w:r>
      <w:r>
        <w:rPr>
          <w:i/>
          <w:sz w:val="18"/>
        </w:rPr>
        <w:t>US)</w:t>
      </w:r>
      <w:r>
        <w:rPr>
          <w:i/>
          <w:spacing w:val="-7"/>
          <w:sz w:val="18"/>
        </w:rPr>
        <w:t xml:space="preserve"> </w:t>
      </w:r>
      <w:r>
        <w:rPr>
          <w:sz w:val="18"/>
        </w:rPr>
        <w:t>noted</w:t>
      </w:r>
      <w:r>
        <w:rPr>
          <w:spacing w:val="-5"/>
          <w:sz w:val="18"/>
        </w:rPr>
        <w:t xml:space="preserve"> </w:t>
      </w:r>
      <w:r>
        <w:rPr>
          <w:sz w:val="18"/>
        </w:rPr>
        <w:t>the</w:t>
      </w:r>
      <w:r>
        <w:rPr>
          <w:spacing w:val="-7"/>
          <w:sz w:val="18"/>
        </w:rPr>
        <w:t xml:space="preserve"> </w:t>
      </w:r>
      <w:r>
        <w:rPr>
          <w:sz w:val="18"/>
        </w:rPr>
        <w:t>evidentiary</w:t>
      </w:r>
      <w:r>
        <w:rPr>
          <w:spacing w:val="-6"/>
          <w:sz w:val="18"/>
        </w:rPr>
        <w:t xml:space="preserve"> </w:t>
      </w:r>
      <w:r>
        <w:rPr>
          <w:sz w:val="18"/>
        </w:rPr>
        <w:t>difficulties</w:t>
      </w:r>
      <w:r>
        <w:rPr>
          <w:spacing w:val="-4"/>
          <w:sz w:val="18"/>
        </w:rPr>
        <w:t xml:space="preserve"> </w:t>
      </w:r>
      <w:r>
        <w:rPr>
          <w:sz w:val="18"/>
        </w:rPr>
        <w:t>with</w:t>
      </w:r>
      <w:r>
        <w:rPr>
          <w:spacing w:val="-6"/>
          <w:sz w:val="18"/>
        </w:rPr>
        <w:t xml:space="preserve"> </w:t>
      </w:r>
      <w:r>
        <w:rPr>
          <w:sz w:val="18"/>
        </w:rPr>
        <w:t>a</w:t>
      </w:r>
      <w:r>
        <w:rPr>
          <w:spacing w:val="-6"/>
          <w:sz w:val="18"/>
        </w:rPr>
        <w:t xml:space="preserve"> </w:t>
      </w:r>
      <w:r>
        <w:rPr>
          <w:sz w:val="18"/>
        </w:rPr>
        <w:t>claim</w:t>
      </w:r>
      <w:r>
        <w:rPr>
          <w:spacing w:val="-6"/>
          <w:sz w:val="18"/>
        </w:rPr>
        <w:t xml:space="preserve"> </w:t>
      </w:r>
      <w:r>
        <w:rPr>
          <w:sz w:val="18"/>
        </w:rPr>
        <w:t>based</w:t>
      </w:r>
      <w:r>
        <w:rPr>
          <w:spacing w:val="-6"/>
          <w:sz w:val="18"/>
        </w:rPr>
        <w:t xml:space="preserve"> </w:t>
      </w:r>
      <w:r>
        <w:rPr>
          <w:sz w:val="18"/>
        </w:rPr>
        <w:t>on</w:t>
      </w:r>
      <w:r>
        <w:rPr>
          <w:spacing w:val="-6"/>
          <w:sz w:val="18"/>
        </w:rPr>
        <w:t xml:space="preserve"> </w:t>
      </w:r>
      <w:r>
        <w:rPr>
          <w:sz w:val="18"/>
        </w:rPr>
        <w:t>an</w:t>
      </w:r>
      <w:r>
        <w:rPr>
          <w:spacing w:val="-6"/>
          <w:sz w:val="18"/>
        </w:rPr>
        <w:t xml:space="preserve"> </w:t>
      </w:r>
      <w:r>
        <w:rPr>
          <w:sz w:val="18"/>
        </w:rPr>
        <w:t>alleged omission,</w:t>
      </w:r>
      <w:r>
        <w:rPr>
          <w:spacing w:val="-5"/>
          <w:sz w:val="18"/>
        </w:rPr>
        <w:t xml:space="preserve"> </w:t>
      </w:r>
      <w:r>
        <w:rPr>
          <w:sz w:val="18"/>
        </w:rPr>
        <w:t>in</w:t>
      </w:r>
      <w:r>
        <w:rPr>
          <w:spacing w:val="-4"/>
          <w:sz w:val="18"/>
        </w:rPr>
        <w:t xml:space="preserve"> </w:t>
      </w:r>
      <w:r>
        <w:rPr>
          <w:sz w:val="18"/>
        </w:rPr>
        <w:t>that</w:t>
      </w:r>
      <w:r>
        <w:rPr>
          <w:spacing w:val="-5"/>
          <w:sz w:val="18"/>
        </w:rPr>
        <w:t xml:space="preserve"> </w:t>
      </w:r>
      <w:r>
        <w:rPr>
          <w:sz w:val="18"/>
        </w:rPr>
        <w:t>it</w:t>
      </w:r>
      <w:r>
        <w:rPr>
          <w:spacing w:val="-5"/>
          <w:sz w:val="18"/>
        </w:rPr>
        <w:t xml:space="preserve"> </w:t>
      </w:r>
      <w:r>
        <w:rPr>
          <w:sz w:val="18"/>
        </w:rPr>
        <w:t>may</w:t>
      </w:r>
      <w:r>
        <w:rPr>
          <w:spacing w:val="-6"/>
          <w:sz w:val="18"/>
        </w:rPr>
        <w:t xml:space="preserve"> </w:t>
      </w:r>
      <w:r>
        <w:rPr>
          <w:sz w:val="18"/>
        </w:rPr>
        <w:t>be</w:t>
      </w:r>
      <w:r>
        <w:rPr>
          <w:spacing w:val="-6"/>
          <w:sz w:val="18"/>
        </w:rPr>
        <w:t xml:space="preserve"> </w:t>
      </w:r>
      <w:r>
        <w:rPr>
          <w:sz w:val="18"/>
        </w:rPr>
        <w:t>difficult</w:t>
      </w:r>
      <w:r>
        <w:rPr>
          <w:spacing w:val="-4"/>
          <w:sz w:val="18"/>
        </w:rPr>
        <w:t xml:space="preserve"> </w:t>
      </w:r>
      <w:r>
        <w:rPr>
          <w:sz w:val="18"/>
        </w:rPr>
        <w:t>to</w:t>
      </w:r>
      <w:r>
        <w:rPr>
          <w:spacing w:val="-5"/>
          <w:sz w:val="18"/>
        </w:rPr>
        <w:t xml:space="preserve"> </w:t>
      </w:r>
      <w:r>
        <w:rPr>
          <w:sz w:val="18"/>
        </w:rPr>
        <w:t>prove</w:t>
      </w:r>
      <w:r>
        <w:rPr>
          <w:spacing w:val="-4"/>
          <w:sz w:val="18"/>
        </w:rPr>
        <w:t xml:space="preserve"> </w:t>
      </w:r>
      <w:r>
        <w:rPr>
          <w:sz w:val="18"/>
        </w:rPr>
        <w:t>the</w:t>
      </w:r>
      <w:r>
        <w:rPr>
          <w:spacing w:val="-6"/>
          <w:sz w:val="18"/>
        </w:rPr>
        <w:t xml:space="preserve"> </w:t>
      </w:r>
      <w:r>
        <w:rPr>
          <w:i/>
          <w:sz w:val="18"/>
        </w:rPr>
        <w:t>absence</w:t>
      </w:r>
      <w:r>
        <w:rPr>
          <w:i/>
          <w:spacing w:val="-4"/>
          <w:sz w:val="18"/>
        </w:rPr>
        <w:t xml:space="preserve"> </w:t>
      </w:r>
      <w:r>
        <w:rPr>
          <w:sz w:val="18"/>
        </w:rPr>
        <w:t>of</w:t>
      </w:r>
      <w:r>
        <w:rPr>
          <w:spacing w:val="-4"/>
          <w:sz w:val="18"/>
        </w:rPr>
        <w:t xml:space="preserve"> </w:t>
      </w:r>
      <w:r>
        <w:rPr>
          <w:sz w:val="18"/>
        </w:rPr>
        <w:t>an</w:t>
      </w:r>
      <w:r>
        <w:rPr>
          <w:spacing w:val="-6"/>
          <w:sz w:val="18"/>
        </w:rPr>
        <w:t xml:space="preserve"> </w:t>
      </w:r>
      <w:r>
        <w:rPr>
          <w:sz w:val="18"/>
        </w:rPr>
        <w:t>opportunity</w:t>
      </w:r>
      <w:r>
        <w:rPr>
          <w:spacing w:val="-4"/>
          <w:sz w:val="18"/>
        </w:rPr>
        <w:t xml:space="preserve"> </w:t>
      </w:r>
      <w:r>
        <w:rPr>
          <w:sz w:val="18"/>
        </w:rPr>
        <w:t>to</w:t>
      </w:r>
      <w:r>
        <w:rPr>
          <w:spacing w:val="-5"/>
          <w:sz w:val="18"/>
        </w:rPr>
        <w:t xml:space="preserve"> </w:t>
      </w:r>
      <w:r>
        <w:rPr>
          <w:sz w:val="18"/>
        </w:rPr>
        <w:t>see</w:t>
      </w:r>
      <w:r>
        <w:rPr>
          <w:spacing w:val="-7"/>
          <w:sz w:val="18"/>
        </w:rPr>
        <w:t xml:space="preserve"> </w:t>
      </w:r>
      <w:r>
        <w:rPr>
          <w:sz w:val="18"/>
        </w:rPr>
        <w:t>information.</w:t>
      </w:r>
      <w:r>
        <w:rPr>
          <w:spacing w:val="-4"/>
          <w:sz w:val="18"/>
        </w:rPr>
        <w:t xml:space="preserve"> </w:t>
      </w:r>
      <w:r>
        <w:rPr>
          <w:sz w:val="18"/>
        </w:rPr>
        <w:t>The</w:t>
      </w:r>
      <w:r>
        <w:rPr>
          <w:spacing w:val="-6"/>
          <w:sz w:val="18"/>
        </w:rPr>
        <w:t xml:space="preserve"> </w:t>
      </w:r>
      <w:r>
        <w:rPr>
          <w:sz w:val="18"/>
        </w:rPr>
        <w:t>panel</w:t>
      </w:r>
      <w:r>
        <w:rPr>
          <w:spacing w:val="-6"/>
          <w:sz w:val="18"/>
        </w:rPr>
        <w:t xml:space="preserve"> </w:t>
      </w:r>
      <w:r>
        <w:rPr>
          <w:sz w:val="18"/>
        </w:rPr>
        <w:t>explained</w:t>
      </w:r>
      <w:r>
        <w:rPr>
          <w:spacing w:val="-6"/>
          <w:sz w:val="18"/>
        </w:rPr>
        <w:t xml:space="preserve"> </w:t>
      </w:r>
      <w:r>
        <w:rPr>
          <w:sz w:val="18"/>
        </w:rPr>
        <w:t>that</w:t>
      </w:r>
      <w:r>
        <w:rPr>
          <w:spacing w:val="-5"/>
          <w:sz w:val="18"/>
        </w:rPr>
        <w:t xml:space="preserve"> </w:t>
      </w:r>
      <w:r>
        <w:rPr>
          <w:sz w:val="18"/>
        </w:rPr>
        <w:t>from an evidentiary perspective, it may be useful if a complainant can demonstrate that an interested party requested to see i</w:t>
      </w:r>
      <w:r>
        <w:rPr>
          <w:sz w:val="18"/>
        </w:rPr>
        <w:t>nformation. However,</w:t>
      </w:r>
      <w:r>
        <w:rPr>
          <w:spacing w:val="-1"/>
          <w:sz w:val="18"/>
        </w:rPr>
        <w:t xml:space="preserve"> </w:t>
      </w:r>
      <w:r>
        <w:rPr>
          <w:sz w:val="18"/>
        </w:rPr>
        <w:t>this does</w:t>
      </w:r>
      <w:r>
        <w:rPr>
          <w:spacing w:val="-1"/>
          <w:sz w:val="18"/>
        </w:rPr>
        <w:t xml:space="preserve"> </w:t>
      </w:r>
      <w:r>
        <w:rPr>
          <w:sz w:val="18"/>
        </w:rPr>
        <w:t>not mean that a</w:t>
      </w:r>
      <w:r>
        <w:rPr>
          <w:spacing w:val="-1"/>
          <w:sz w:val="18"/>
        </w:rPr>
        <w:t xml:space="preserve"> </w:t>
      </w:r>
      <w:r>
        <w:rPr>
          <w:sz w:val="18"/>
        </w:rPr>
        <w:t>request</w:t>
      </w:r>
      <w:r>
        <w:rPr>
          <w:spacing w:val="-1"/>
          <w:sz w:val="18"/>
        </w:rPr>
        <w:t xml:space="preserve"> </w:t>
      </w:r>
      <w:r>
        <w:rPr>
          <w:sz w:val="18"/>
        </w:rPr>
        <w:t xml:space="preserve">is </w:t>
      </w:r>
      <w:r>
        <w:rPr>
          <w:i/>
          <w:sz w:val="18"/>
        </w:rPr>
        <w:t xml:space="preserve">necessary </w:t>
      </w:r>
      <w:r>
        <w:rPr>
          <w:sz w:val="18"/>
        </w:rPr>
        <w:t>in order to demonstrate a</w:t>
      </w:r>
      <w:r>
        <w:rPr>
          <w:spacing w:val="-1"/>
          <w:sz w:val="18"/>
        </w:rPr>
        <w:t xml:space="preserve"> </w:t>
      </w:r>
      <w:r>
        <w:rPr>
          <w:sz w:val="18"/>
        </w:rPr>
        <w:t>violation of Article 6.4. The fact</w:t>
      </w:r>
      <w:r>
        <w:rPr>
          <w:spacing w:val="-2"/>
          <w:sz w:val="18"/>
        </w:rPr>
        <w:t xml:space="preserve"> </w:t>
      </w:r>
      <w:r>
        <w:rPr>
          <w:sz w:val="18"/>
        </w:rPr>
        <w:t>remains</w:t>
      </w:r>
      <w:r>
        <w:rPr>
          <w:spacing w:val="-2"/>
          <w:sz w:val="18"/>
        </w:rPr>
        <w:t xml:space="preserve"> </w:t>
      </w:r>
      <w:r>
        <w:rPr>
          <w:sz w:val="18"/>
        </w:rPr>
        <w:t>that</w:t>
      </w:r>
      <w:r>
        <w:rPr>
          <w:spacing w:val="-3"/>
          <w:sz w:val="18"/>
        </w:rPr>
        <w:t xml:space="preserve"> </w:t>
      </w:r>
      <w:r>
        <w:rPr>
          <w:sz w:val="18"/>
        </w:rPr>
        <w:t>a</w:t>
      </w:r>
      <w:r>
        <w:rPr>
          <w:spacing w:val="-2"/>
          <w:sz w:val="18"/>
        </w:rPr>
        <w:t xml:space="preserve"> </w:t>
      </w:r>
      <w:r>
        <w:rPr>
          <w:sz w:val="18"/>
        </w:rPr>
        <w:t>failure</w:t>
      </w:r>
      <w:r>
        <w:rPr>
          <w:spacing w:val="-2"/>
          <w:sz w:val="18"/>
        </w:rPr>
        <w:t xml:space="preserve"> </w:t>
      </w:r>
      <w:r>
        <w:rPr>
          <w:sz w:val="18"/>
        </w:rPr>
        <w:t>to</w:t>
      </w:r>
      <w:r>
        <w:rPr>
          <w:spacing w:val="-2"/>
          <w:sz w:val="18"/>
        </w:rPr>
        <w:t xml:space="preserve"> </w:t>
      </w:r>
      <w:r>
        <w:rPr>
          <w:sz w:val="18"/>
        </w:rPr>
        <w:t>provide</w:t>
      </w:r>
      <w:r>
        <w:rPr>
          <w:spacing w:val="-1"/>
          <w:sz w:val="18"/>
        </w:rPr>
        <w:t xml:space="preserve"> </w:t>
      </w:r>
      <w:r>
        <w:rPr>
          <w:sz w:val="18"/>
        </w:rPr>
        <w:t>opportunities</w:t>
      </w:r>
      <w:r>
        <w:rPr>
          <w:spacing w:val="-2"/>
          <w:sz w:val="18"/>
        </w:rPr>
        <w:t xml:space="preserve"> </w:t>
      </w:r>
      <w:r>
        <w:rPr>
          <w:sz w:val="18"/>
        </w:rPr>
        <w:t>to</w:t>
      </w:r>
      <w:r>
        <w:rPr>
          <w:spacing w:val="-2"/>
          <w:sz w:val="18"/>
        </w:rPr>
        <w:t xml:space="preserve"> </w:t>
      </w:r>
      <w:r>
        <w:rPr>
          <w:sz w:val="18"/>
        </w:rPr>
        <w:t>see</w:t>
      </w:r>
      <w:r>
        <w:rPr>
          <w:spacing w:val="-2"/>
          <w:sz w:val="18"/>
        </w:rPr>
        <w:t xml:space="preserve"> </w:t>
      </w:r>
      <w:r>
        <w:rPr>
          <w:sz w:val="18"/>
        </w:rPr>
        <w:t>information</w:t>
      </w:r>
      <w:r>
        <w:rPr>
          <w:spacing w:val="-1"/>
          <w:sz w:val="18"/>
        </w:rPr>
        <w:t xml:space="preserve"> </w:t>
      </w:r>
      <w:r>
        <w:rPr>
          <w:sz w:val="18"/>
        </w:rPr>
        <w:t>which</w:t>
      </w:r>
      <w:r>
        <w:rPr>
          <w:spacing w:val="-2"/>
          <w:sz w:val="18"/>
        </w:rPr>
        <w:t xml:space="preserve"> </w:t>
      </w:r>
      <w:r>
        <w:rPr>
          <w:sz w:val="18"/>
        </w:rPr>
        <w:t>meets</w:t>
      </w:r>
      <w:r>
        <w:rPr>
          <w:spacing w:val="-2"/>
          <w:sz w:val="18"/>
        </w:rPr>
        <w:t xml:space="preserve"> </w:t>
      </w:r>
      <w:r>
        <w:rPr>
          <w:sz w:val="18"/>
        </w:rPr>
        <w:t>the</w:t>
      </w:r>
      <w:r>
        <w:rPr>
          <w:spacing w:val="-2"/>
          <w:sz w:val="18"/>
        </w:rPr>
        <w:t xml:space="preserve"> </w:t>
      </w:r>
      <w:r>
        <w:rPr>
          <w:sz w:val="18"/>
        </w:rPr>
        <w:t>criteria</w:t>
      </w:r>
      <w:r>
        <w:rPr>
          <w:spacing w:val="-2"/>
          <w:sz w:val="18"/>
        </w:rPr>
        <w:t xml:space="preserve"> </w:t>
      </w:r>
      <w:r>
        <w:rPr>
          <w:sz w:val="18"/>
        </w:rPr>
        <w:t>in</w:t>
      </w:r>
      <w:r>
        <w:rPr>
          <w:spacing w:val="-1"/>
          <w:sz w:val="18"/>
        </w:rPr>
        <w:t xml:space="preserve"> </w:t>
      </w:r>
      <w:r>
        <w:rPr>
          <w:sz w:val="18"/>
        </w:rPr>
        <w:t>Article</w:t>
      </w:r>
      <w:r>
        <w:rPr>
          <w:spacing w:val="-3"/>
          <w:sz w:val="18"/>
        </w:rPr>
        <w:t xml:space="preserve"> </w:t>
      </w:r>
      <w:r>
        <w:rPr>
          <w:sz w:val="18"/>
        </w:rPr>
        <w:t>6.4</w:t>
      </w:r>
      <w:r>
        <w:rPr>
          <w:spacing w:val="-2"/>
          <w:sz w:val="18"/>
        </w:rPr>
        <w:t xml:space="preserve"> </w:t>
      </w:r>
      <w:r>
        <w:rPr>
          <w:sz w:val="18"/>
        </w:rPr>
        <w:t>is</w:t>
      </w:r>
      <w:r>
        <w:rPr>
          <w:spacing w:val="-2"/>
          <w:sz w:val="18"/>
        </w:rPr>
        <w:t xml:space="preserve"> </w:t>
      </w:r>
      <w:r>
        <w:rPr>
          <w:sz w:val="18"/>
        </w:rPr>
        <w:t>a</w:t>
      </w:r>
      <w:r>
        <w:rPr>
          <w:spacing w:val="-2"/>
          <w:sz w:val="18"/>
        </w:rPr>
        <w:t xml:space="preserve"> </w:t>
      </w:r>
      <w:r>
        <w:rPr>
          <w:sz w:val="18"/>
        </w:rPr>
        <w:t>violation</w:t>
      </w:r>
      <w:r>
        <w:rPr>
          <w:spacing w:val="-3"/>
          <w:sz w:val="18"/>
        </w:rPr>
        <w:t xml:space="preserve"> </w:t>
      </w:r>
      <w:r>
        <w:rPr>
          <w:sz w:val="18"/>
        </w:rPr>
        <w:t xml:space="preserve">by omission. See Panel Report, </w:t>
      </w:r>
      <w:r>
        <w:rPr>
          <w:i/>
          <w:sz w:val="18"/>
        </w:rPr>
        <w:t>China – Broiler Products (Article 21.5 – US)</w:t>
      </w:r>
      <w:r>
        <w:rPr>
          <w:sz w:val="18"/>
        </w:rPr>
        <w:t>, paras. 7.291‐7.292.</w:t>
      </w:r>
    </w:p>
    <w:p w14:paraId="51DE994D" w14:textId="77777777" w:rsidR="0010369C" w:rsidRDefault="008E43AE">
      <w:pPr>
        <w:ind w:left="238"/>
        <w:jc w:val="both"/>
        <w:rPr>
          <w:sz w:val="18"/>
        </w:rPr>
      </w:pPr>
      <w:r>
        <w:rPr>
          <w:sz w:val="18"/>
          <w:vertAlign w:val="superscript"/>
        </w:rPr>
        <w:t>1127</w:t>
      </w:r>
      <w:r>
        <w:rPr>
          <w:spacing w:val="-6"/>
          <w:sz w:val="18"/>
        </w:rPr>
        <w:t xml:space="preserve"> </w:t>
      </w:r>
      <w:r>
        <w:rPr>
          <w:sz w:val="18"/>
        </w:rPr>
        <w:t>See</w:t>
      </w:r>
      <w:r>
        <w:rPr>
          <w:spacing w:val="-5"/>
          <w:sz w:val="18"/>
        </w:rPr>
        <w:t xml:space="preserve"> </w:t>
      </w:r>
      <w:r>
        <w:rPr>
          <w:sz w:val="18"/>
        </w:rPr>
        <w:t>above,</w:t>
      </w:r>
      <w:r>
        <w:rPr>
          <w:spacing w:val="-6"/>
          <w:sz w:val="18"/>
        </w:rPr>
        <w:t xml:space="preserve"> </w:t>
      </w:r>
      <w:r>
        <w:rPr>
          <w:sz w:val="18"/>
        </w:rPr>
        <w:t>section</w:t>
      </w:r>
      <w:r>
        <w:rPr>
          <w:spacing w:val="-6"/>
          <w:sz w:val="18"/>
        </w:rPr>
        <w:t xml:space="preserve"> </w:t>
      </w:r>
      <w:r>
        <w:rPr>
          <w:spacing w:val="-2"/>
          <w:sz w:val="18"/>
        </w:rPr>
        <w:t>VII.B.</w:t>
      </w:r>
    </w:p>
    <w:p w14:paraId="51DE994E" w14:textId="77777777" w:rsidR="0010369C" w:rsidRDefault="0010369C">
      <w:pPr>
        <w:jc w:val="both"/>
        <w:rPr>
          <w:sz w:val="18"/>
        </w:rPr>
        <w:sectPr w:rsidR="0010369C">
          <w:pgSz w:w="11910" w:h="16840"/>
          <w:pgMar w:top="880" w:right="800" w:bottom="980" w:left="1180" w:header="569" w:footer="788" w:gutter="0"/>
          <w:cols w:space="720"/>
        </w:sectPr>
      </w:pPr>
    </w:p>
    <w:p w14:paraId="51DE994F" w14:textId="77777777" w:rsidR="0010369C" w:rsidRDefault="008E43AE">
      <w:pPr>
        <w:tabs>
          <w:tab w:val="left" w:pos="6426"/>
        </w:tabs>
        <w:ind w:left="238"/>
        <w:jc w:val="both"/>
        <w:rPr>
          <w:sz w:val="20"/>
        </w:rPr>
      </w:pPr>
      <w:r>
        <w:rPr>
          <w:i/>
          <w:sz w:val="20"/>
        </w:rPr>
        <w:lastRenderedPageBreak/>
        <w:t>China</w:t>
      </w:r>
      <w:r>
        <w:rPr>
          <w:i/>
          <w:spacing w:val="-5"/>
          <w:sz w:val="20"/>
        </w:rPr>
        <w:t xml:space="preserve"> </w:t>
      </w:r>
      <w:r>
        <w:rPr>
          <w:i/>
          <w:sz w:val="20"/>
        </w:rPr>
        <w:t>–</w:t>
      </w:r>
      <w:r>
        <w:rPr>
          <w:i/>
          <w:spacing w:val="-5"/>
          <w:sz w:val="20"/>
        </w:rPr>
        <w:t xml:space="preserve"> </w:t>
      </w:r>
      <w:r>
        <w:rPr>
          <w:i/>
          <w:sz w:val="20"/>
        </w:rPr>
        <w:t>Anti‐Dumping</w:t>
      </w:r>
      <w:r>
        <w:rPr>
          <w:i/>
          <w:spacing w:val="-4"/>
          <w:sz w:val="20"/>
        </w:rPr>
        <w:t xml:space="preserve"> </w:t>
      </w:r>
      <w:r>
        <w:rPr>
          <w:i/>
          <w:sz w:val="20"/>
        </w:rPr>
        <w:t>and</w:t>
      </w:r>
      <w:r>
        <w:rPr>
          <w:i/>
          <w:spacing w:val="-5"/>
          <w:sz w:val="20"/>
        </w:rPr>
        <w:t xml:space="preserve"> </w:t>
      </w:r>
      <w:r>
        <w:rPr>
          <w:i/>
          <w:sz w:val="20"/>
        </w:rPr>
        <w:t>Countervailing</w:t>
      </w:r>
      <w:r>
        <w:rPr>
          <w:i/>
          <w:spacing w:val="-5"/>
          <w:sz w:val="20"/>
        </w:rPr>
        <w:t xml:space="preserve"> </w:t>
      </w:r>
      <w:r>
        <w:rPr>
          <w:i/>
          <w:sz w:val="20"/>
        </w:rPr>
        <w:t>Duty</w:t>
      </w:r>
      <w:r>
        <w:rPr>
          <w:i/>
          <w:spacing w:val="-4"/>
          <w:sz w:val="20"/>
        </w:rPr>
        <w:t xml:space="preserve"> </w:t>
      </w:r>
      <w:r>
        <w:rPr>
          <w:i/>
          <w:spacing w:val="-2"/>
          <w:sz w:val="20"/>
        </w:rPr>
        <w:t>Measures</w:t>
      </w:r>
      <w:r>
        <w:rPr>
          <w:i/>
          <w:sz w:val="20"/>
        </w:rPr>
        <w:tab/>
      </w:r>
      <w:r>
        <w:rPr>
          <w:sz w:val="20"/>
        </w:rPr>
        <w:t>Australia's</w:t>
      </w:r>
      <w:r>
        <w:rPr>
          <w:spacing w:val="-7"/>
          <w:sz w:val="20"/>
        </w:rPr>
        <w:t xml:space="preserve"> </w:t>
      </w:r>
      <w:r>
        <w:rPr>
          <w:sz w:val="20"/>
        </w:rPr>
        <w:t>First</w:t>
      </w:r>
      <w:r>
        <w:rPr>
          <w:spacing w:val="-2"/>
          <w:sz w:val="20"/>
        </w:rPr>
        <w:t xml:space="preserve"> </w:t>
      </w:r>
      <w:r>
        <w:rPr>
          <w:sz w:val="20"/>
        </w:rPr>
        <w:t>Written</w:t>
      </w:r>
      <w:r>
        <w:rPr>
          <w:spacing w:val="-2"/>
          <w:sz w:val="20"/>
        </w:rPr>
        <w:t xml:space="preserve"> Submission</w:t>
      </w:r>
    </w:p>
    <w:p w14:paraId="51DE9950" w14:textId="77777777" w:rsidR="0010369C" w:rsidRDefault="008E43AE">
      <w:pPr>
        <w:tabs>
          <w:tab w:val="left" w:pos="8228"/>
        </w:tabs>
        <w:spacing w:before="1"/>
        <w:ind w:left="239"/>
        <w:jc w:val="both"/>
        <w:rPr>
          <w:sz w:val="20"/>
        </w:rPr>
      </w:pPr>
      <w:r>
        <w:rPr>
          <w:i/>
          <w:sz w:val="20"/>
        </w:rPr>
        <w:t>on</w:t>
      </w:r>
      <w:r>
        <w:rPr>
          <w:i/>
          <w:spacing w:val="-1"/>
          <w:sz w:val="20"/>
        </w:rPr>
        <w:t xml:space="preserve"> </w:t>
      </w:r>
      <w:r>
        <w:rPr>
          <w:i/>
          <w:sz w:val="20"/>
        </w:rPr>
        <w:t>Wine</w:t>
      </w:r>
      <w:r>
        <w:rPr>
          <w:i/>
          <w:spacing w:val="-1"/>
          <w:sz w:val="20"/>
        </w:rPr>
        <w:t xml:space="preserve"> </w:t>
      </w:r>
      <w:r>
        <w:rPr>
          <w:i/>
          <w:sz w:val="20"/>
        </w:rPr>
        <w:t>from</w:t>
      </w:r>
      <w:r>
        <w:rPr>
          <w:i/>
          <w:spacing w:val="-3"/>
          <w:sz w:val="20"/>
        </w:rPr>
        <w:t xml:space="preserve"> </w:t>
      </w:r>
      <w:r>
        <w:rPr>
          <w:i/>
          <w:sz w:val="20"/>
        </w:rPr>
        <w:t>Australia</w:t>
      </w:r>
      <w:r>
        <w:rPr>
          <w:i/>
          <w:spacing w:val="-1"/>
          <w:sz w:val="20"/>
        </w:rPr>
        <w:t xml:space="preserve"> </w:t>
      </w:r>
      <w:r>
        <w:rPr>
          <w:spacing w:val="-2"/>
          <w:sz w:val="20"/>
        </w:rPr>
        <w:t>(DS602)</w:t>
      </w:r>
      <w:r>
        <w:rPr>
          <w:sz w:val="20"/>
        </w:rPr>
        <w:tab/>
        <w:t>29</w:t>
      </w:r>
      <w:r>
        <w:rPr>
          <w:spacing w:val="-1"/>
          <w:sz w:val="20"/>
        </w:rPr>
        <w:t xml:space="preserve"> </w:t>
      </w:r>
      <w:r>
        <w:rPr>
          <w:sz w:val="20"/>
        </w:rPr>
        <w:t>April</w:t>
      </w:r>
      <w:r>
        <w:rPr>
          <w:spacing w:val="-2"/>
          <w:sz w:val="20"/>
        </w:rPr>
        <w:t xml:space="preserve"> </w:t>
      </w:r>
      <w:r>
        <w:rPr>
          <w:spacing w:val="-4"/>
          <w:sz w:val="20"/>
        </w:rPr>
        <w:t>2022</w:t>
      </w:r>
    </w:p>
    <w:p w14:paraId="51DE9951" w14:textId="77777777" w:rsidR="0010369C" w:rsidRDefault="008E43AE">
      <w:pPr>
        <w:pStyle w:val="BodyText"/>
        <w:spacing w:before="34" w:line="360" w:lineRule="auto"/>
        <w:ind w:left="236" w:right="613" w:firstLine="1"/>
        <w:jc w:val="both"/>
      </w:pPr>
      <w:r>
        <w:t xml:space="preserve">asserted and "good cause" for maintaining confidentiality has been shown. Confidentiality cannot be used as a basis to deny access to an interested party's own confidential </w:t>
      </w:r>
      <w:r>
        <w:rPr>
          <w:spacing w:val="-2"/>
        </w:rPr>
        <w:t>information.</w:t>
      </w:r>
      <w:r>
        <w:rPr>
          <w:spacing w:val="-2"/>
          <w:vertAlign w:val="superscript"/>
        </w:rPr>
        <w:t>1128</w:t>
      </w:r>
    </w:p>
    <w:p w14:paraId="51DE9952" w14:textId="77777777" w:rsidR="0010369C" w:rsidRDefault="0010369C">
      <w:pPr>
        <w:pStyle w:val="BodyText"/>
        <w:spacing w:before="11"/>
        <w:rPr>
          <w:sz w:val="8"/>
        </w:rPr>
      </w:pPr>
    </w:p>
    <w:p w14:paraId="51DE9953" w14:textId="77777777" w:rsidR="0010369C" w:rsidRDefault="008E43AE">
      <w:pPr>
        <w:pStyle w:val="BodyText"/>
        <w:spacing w:before="52" w:line="360" w:lineRule="auto"/>
        <w:ind w:left="237" w:right="613" w:firstLine="851"/>
        <w:jc w:val="both"/>
      </w:pPr>
      <w:r>
        <w:rPr>
          <w:noProof/>
        </w:rPr>
        <w:drawing>
          <wp:anchor distT="0" distB="0" distL="0" distR="0" simplePos="0" relativeHeight="251557376" behindDoc="1" locked="0" layoutInCell="1" allowOverlap="1" wp14:anchorId="51DEA833" wp14:editId="51DEA834">
            <wp:simplePos x="0" y="0"/>
            <wp:positionH relativeFrom="page">
              <wp:posOffset>902208</wp:posOffset>
            </wp:positionH>
            <wp:positionV relativeFrom="paragraph">
              <wp:posOffset>80595</wp:posOffset>
            </wp:positionV>
            <wp:extent cx="262127" cy="103631"/>
            <wp:effectExtent l="0" t="0" r="0" b="0"/>
            <wp:wrapNone/>
            <wp:docPr id="1887" name="image9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 name="image971.png"/>
                    <pic:cNvPicPr/>
                  </pic:nvPicPr>
                  <pic:blipFill>
                    <a:blip r:embed="rId1252" cstate="print"/>
                    <a:stretch>
                      <a:fillRect/>
                    </a:stretch>
                  </pic:blipFill>
                  <pic:spPr>
                    <a:xfrm>
                      <a:off x="0" y="0"/>
                      <a:ext cx="262127" cy="103631"/>
                    </a:xfrm>
                    <a:prstGeom prst="rect">
                      <a:avLst/>
                    </a:prstGeom>
                  </pic:spPr>
                </pic:pic>
              </a:graphicData>
            </a:graphic>
          </wp:anchor>
        </w:drawing>
      </w:r>
      <w:r>
        <w:t>The</w:t>
      </w:r>
      <w:r>
        <w:rPr>
          <w:spacing w:val="-1"/>
        </w:rPr>
        <w:t xml:space="preserve"> </w:t>
      </w:r>
      <w:r>
        <w:t>ordinary meaning</w:t>
      </w:r>
      <w:r>
        <w:rPr>
          <w:spacing w:val="-2"/>
        </w:rPr>
        <w:t xml:space="preserve"> </w:t>
      </w:r>
      <w:r>
        <w:t>of</w:t>
      </w:r>
      <w:r>
        <w:rPr>
          <w:spacing w:val="-2"/>
        </w:rPr>
        <w:t xml:space="preserve"> </w:t>
      </w:r>
      <w:r>
        <w:t>"timely"</w:t>
      </w:r>
      <w:r>
        <w:rPr>
          <w:spacing w:val="-2"/>
        </w:rPr>
        <w:t xml:space="preserve"> </w:t>
      </w:r>
      <w:r>
        <w:t>is</w:t>
      </w:r>
      <w:r>
        <w:rPr>
          <w:spacing w:val="-2"/>
        </w:rPr>
        <w:t xml:space="preserve"> </w:t>
      </w:r>
      <w:r>
        <w:t>"done…</w:t>
      </w:r>
      <w:r>
        <w:rPr>
          <w:spacing w:val="-2"/>
        </w:rPr>
        <w:t xml:space="preserve"> </w:t>
      </w:r>
      <w:r>
        <w:t>at</w:t>
      </w:r>
      <w:r>
        <w:rPr>
          <w:spacing w:val="-2"/>
        </w:rPr>
        <w:t xml:space="preserve"> </w:t>
      </w:r>
      <w:r>
        <w:t>a</w:t>
      </w:r>
      <w:r>
        <w:rPr>
          <w:spacing w:val="-3"/>
        </w:rPr>
        <w:t xml:space="preserve"> </w:t>
      </w:r>
      <w:r>
        <w:t>fitting,</w:t>
      </w:r>
      <w:r>
        <w:rPr>
          <w:spacing w:val="-1"/>
        </w:rPr>
        <w:t xml:space="preserve"> </w:t>
      </w:r>
      <w:r>
        <w:t>suitabl</w:t>
      </w:r>
      <w:r>
        <w:t>e,</w:t>
      </w:r>
      <w:r>
        <w:rPr>
          <w:spacing w:val="-1"/>
        </w:rPr>
        <w:t xml:space="preserve"> </w:t>
      </w:r>
      <w:r>
        <w:t>or</w:t>
      </w:r>
      <w:r>
        <w:rPr>
          <w:spacing w:val="-1"/>
        </w:rPr>
        <w:t xml:space="preserve"> </w:t>
      </w:r>
      <w:r>
        <w:t>favourable</w:t>
      </w:r>
      <w:r>
        <w:rPr>
          <w:spacing w:val="-1"/>
        </w:rPr>
        <w:t xml:space="preserve"> </w:t>
      </w:r>
      <w:r>
        <w:t>time; opportune, well‐timed",</w:t>
      </w:r>
      <w:r>
        <w:rPr>
          <w:vertAlign w:val="superscript"/>
        </w:rPr>
        <w:t>1129</w:t>
      </w:r>
      <w:r>
        <w:t xml:space="preserve"> while an "opportunity" is defined as "a time, condition, or set of circumstances permitting or favourable to a particular action or purpose".</w:t>
      </w:r>
      <w:r>
        <w:rPr>
          <w:vertAlign w:val="superscript"/>
        </w:rPr>
        <w:t>1130</w:t>
      </w:r>
      <w:r>
        <w:rPr>
          <w:spacing w:val="-12"/>
        </w:rPr>
        <w:t xml:space="preserve"> </w:t>
      </w:r>
      <w:r>
        <w:t xml:space="preserve">The Appellate Body in </w:t>
      </w:r>
      <w:r>
        <w:rPr>
          <w:i/>
        </w:rPr>
        <w:t xml:space="preserve">EC – Fasteners (China) (Article 21.5 </w:t>
      </w:r>
      <w:r>
        <w:rPr>
          <w:i/>
        </w:rPr>
        <w:t xml:space="preserve">– China) </w:t>
      </w:r>
      <w:r>
        <w:t>explained that what constitutes "timely opportunities" must be determined on a case‐by‐case basis.</w:t>
      </w:r>
      <w:r>
        <w:rPr>
          <w:vertAlign w:val="superscript"/>
        </w:rPr>
        <w:t>1131</w:t>
      </w:r>
      <w:r>
        <w:rPr>
          <w:spacing w:val="-12"/>
        </w:rPr>
        <w:t xml:space="preserve"> </w:t>
      </w:r>
      <w:r>
        <w:t>In finding that the provision of three weeks for interested parties to view information was sufficient in those circumstances, the Appellate Bod</w:t>
      </w:r>
      <w:r>
        <w:t>y found that:</w:t>
      </w:r>
    </w:p>
    <w:p w14:paraId="51DE9954" w14:textId="77777777" w:rsidR="0010369C" w:rsidRDefault="008E43AE">
      <w:pPr>
        <w:spacing w:before="160" w:line="276" w:lineRule="auto"/>
        <w:ind w:left="1089" w:right="614"/>
        <w:jc w:val="both"/>
      </w:pPr>
      <w:r>
        <w:t>[W]hether</w:t>
      </w:r>
      <w:r>
        <w:rPr>
          <w:spacing w:val="-2"/>
        </w:rPr>
        <w:t xml:space="preserve"> </w:t>
      </w:r>
      <w:r>
        <w:t>'timely</w:t>
      </w:r>
      <w:r>
        <w:rPr>
          <w:spacing w:val="-2"/>
        </w:rPr>
        <w:t xml:space="preserve"> </w:t>
      </w:r>
      <w:r>
        <w:t>opportunities'</w:t>
      </w:r>
      <w:r>
        <w:rPr>
          <w:spacing w:val="-2"/>
        </w:rPr>
        <w:t xml:space="preserve"> </w:t>
      </w:r>
      <w:r>
        <w:t>have</w:t>
      </w:r>
      <w:r>
        <w:rPr>
          <w:spacing w:val="-2"/>
        </w:rPr>
        <w:t xml:space="preserve"> </w:t>
      </w:r>
      <w:r>
        <w:t>been</w:t>
      </w:r>
      <w:r>
        <w:rPr>
          <w:spacing w:val="-1"/>
        </w:rPr>
        <w:t xml:space="preserve"> </w:t>
      </w:r>
      <w:r>
        <w:t>provided</w:t>
      </w:r>
      <w:r>
        <w:rPr>
          <w:spacing w:val="-1"/>
        </w:rPr>
        <w:t xml:space="preserve"> </w:t>
      </w:r>
      <w:r>
        <w:t>to</w:t>
      </w:r>
      <w:r>
        <w:rPr>
          <w:spacing w:val="-1"/>
        </w:rPr>
        <w:t xml:space="preserve"> </w:t>
      </w:r>
      <w:r>
        <w:t>see</w:t>
      </w:r>
      <w:r>
        <w:rPr>
          <w:spacing w:val="-2"/>
        </w:rPr>
        <w:t xml:space="preserve"> </w:t>
      </w:r>
      <w:r>
        <w:t>information</w:t>
      </w:r>
      <w:r>
        <w:rPr>
          <w:spacing w:val="-1"/>
        </w:rPr>
        <w:t xml:space="preserve"> </w:t>
      </w:r>
      <w:r>
        <w:t>for</w:t>
      </w:r>
      <w:r>
        <w:rPr>
          <w:spacing w:val="-2"/>
        </w:rPr>
        <w:t xml:space="preserve"> </w:t>
      </w:r>
      <w:r>
        <w:t>the</w:t>
      </w:r>
      <w:r>
        <w:rPr>
          <w:spacing w:val="-3"/>
        </w:rPr>
        <w:t xml:space="preserve"> </w:t>
      </w:r>
      <w:r>
        <w:t>purposes</w:t>
      </w:r>
      <w:r>
        <w:rPr>
          <w:spacing w:val="-2"/>
        </w:rPr>
        <w:t xml:space="preserve"> </w:t>
      </w:r>
      <w:r>
        <w:t xml:space="preserve">of Article 6.4 must be considered in the light of the circumstances of each case, taking into account the specific information at issue, the step of the investigation to which such information relates, the practicability of disclosure at certain points of </w:t>
      </w:r>
      <w:r>
        <w:t>the investigation vis‐ à‐vis other points, and the stage of the investigation at which the interested parties have made a request to see the information at issue…</w:t>
      </w:r>
      <w:r>
        <w:rPr>
          <w:vertAlign w:val="superscript"/>
        </w:rPr>
        <w:t>1132</w:t>
      </w:r>
    </w:p>
    <w:p w14:paraId="51DE9955" w14:textId="77777777" w:rsidR="0010369C" w:rsidRDefault="0010369C">
      <w:pPr>
        <w:pStyle w:val="BodyText"/>
        <w:spacing w:before="8"/>
        <w:rPr>
          <w:sz w:val="19"/>
        </w:rPr>
      </w:pPr>
    </w:p>
    <w:p w14:paraId="51DE9956" w14:textId="77777777" w:rsidR="0010369C" w:rsidRDefault="008E43AE">
      <w:pPr>
        <w:pStyle w:val="Heading4"/>
        <w:numPr>
          <w:ilvl w:val="2"/>
          <w:numId w:val="75"/>
        </w:numPr>
        <w:tabs>
          <w:tab w:val="left" w:pos="2649"/>
          <w:tab w:val="left" w:pos="2650"/>
        </w:tabs>
        <w:spacing w:before="0" w:line="360" w:lineRule="auto"/>
        <w:ind w:right="613"/>
        <w:jc w:val="both"/>
      </w:pPr>
      <w:r>
        <w:t>MOFCOM failed to provide interested parties timely opportunities to see all information</w:t>
      </w:r>
    </w:p>
    <w:p w14:paraId="51DE9957" w14:textId="77777777" w:rsidR="0010369C" w:rsidRDefault="008E43AE">
      <w:pPr>
        <w:pStyle w:val="ListParagraph"/>
        <w:numPr>
          <w:ilvl w:val="3"/>
          <w:numId w:val="75"/>
        </w:numPr>
        <w:tabs>
          <w:tab w:val="left" w:pos="3642"/>
          <w:tab w:val="left" w:pos="3643"/>
        </w:tabs>
        <w:spacing w:before="159" w:line="360" w:lineRule="auto"/>
        <w:ind w:right="614" w:hanging="853"/>
        <w:jc w:val="both"/>
        <w:rPr>
          <w:sz w:val="24"/>
        </w:rPr>
      </w:pPr>
      <w:r>
        <w:rPr>
          <w:sz w:val="24"/>
          <w:u w:val="single"/>
        </w:rPr>
        <w:t>Calculation</w:t>
      </w:r>
      <w:r>
        <w:rPr>
          <w:spacing w:val="-10"/>
          <w:sz w:val="24"/>
          <w:u w:val="single"/>
        </w:rPr>
        <w:t xml:space="preserve"> </w:t>
      </w:r>
      <w:r>
        <w:rPr>
          <w:sz w:val="24"/>
          <w:u w:val="single"/>
        </w:rPr>
        <w:t>of</w:t>
      </w:r>
      <w:r>
        <w:rPr>
          <w:spacing w:val="-10"/>
          <w:sz w:val="24"/>
          <w:u w:val="single"/>
        </w:rPr>
        <w:t xml:space="preserve"> </w:t>
      </w:r>
      <w:r>
        <w:rPr>
          <w:sz w:val="24"/>
          <w:u w:val="single"/>
        </w:rPr>
        <w:t>the</w:t>
      </w:r>
      <w:r>
        <w:rPr>
          <w:spacing w:val="-9"/>
          <w:sz w:val="24"/>
          <w:u w:val="single"/>
        </w:rPr>
        <w:t xml:space="preserve"> </w:t>
      </w:r>
      <w:r>
        <w:rPr>
          <w:sz w:val="24"/>
          <w:u w:val="single"/>
        </w:rPr>
        <w:t>production</w:t>
      </w:r>
      <w:r>
        <w:rPr>
          <w:spacing w:val="-10"/>
          <w:sz w:val="24"/>
          <w:u w:val="single"/>
        </w:rPr>
        <w:t xml:space="preserve"> </w:t>
      </w:r>
      <w:r>
        <w:rPr>
          <w:sz w:val="24"/>
          <w:u w:val="single"/>
        </w:rPr>
        <w:t>of</w:t>
      </w:r>
      <w:r>
        <w:rPr>
          <w:spacing w:val="-10"/>
          <w:sz w:val="24"/>
          <w:u w:val="single"/>
        </w:rPr>
        <w:t xml:space="preserve"> </w:t>
      </w:r>
      <w:r>
        <w:rPr>
          <w:sz w:val="24"/>
          <w:u w:val="single"/>
        </w:rPr>
        <w:t>domestic</w:t>
      </w:r>
      <w:r>
        <w:rPr>
          <w:spacing w:val="-9"/>
          <w:sz w:val="24"/>
          <w:u w:val="single"/>
        </w:rPr>
        <w:t xml:space="preserve"> </w:t>
      </w:r>
      <w:r>
        <w:rPr>
          <w:sz w:val="24"/>
          <w:u w:val="single"/>
        </w:rPr>
        <w:t>industry</w:t>
      </w:r>
      <w:r>
        <w:rPr>
          <w:spacing w:val="-9"/>
          <w:sz w:val="24"/>
          <w:u w:val="single"/>
        </w:rPr>
        <w:t xml:space="preserve"> </w:t>
      </w:r>
      <w:r>
        <w:rPr>
          <w:sz w:val="24"/>
          <w:u w:val="single"/>
        </w:rPr>
        <w:t>and</w:t>
      </w:r>
      <w:r>
        <w:rPr>
          <w:spacing w:val="-10"/>
          <w:sz w:val="24"/>
          <w:u w:val="single"/>
        </w:rPr>
        <w:t xml:space="preserve"> </w:t>
      </w:r>
      <w:r>
        <w:rPr>
          <w:sz w:val="24"/>
          <w:u w:val="single"/>
        </w:rPr>
        <w:t>the</w:t>
      </w:r>
      <w:r>
        <w:rPr>
          <w:sz w:val="24"/>
        </w:rPr>
        <w:t xml:space="preserve"> </w:t>
      </w:r>
      <w:r>
        <w:rPr>
          <w:sz w:val="24"/>
          <w:u w:val="single"/>
        </w:rPr>
        <w:t>proportion of that production accounted for by the</w:t>
      </w:r>
      <w:r>
        <w:rPr>
          <w:sz w:val="24"/>
        </w:rPr>
        <w:t xml:space="preserve"> </w:t>
      </w:r>
      <w:r>
        <w:rPr>
          <w:sz w:val="24"/>
          <w:u w:val="single"/>
        </w:rPr>
        <w:t>participating Chinese producers</w:t>
      </w:r>
    </w:p>
    <w:p w14:paraId="51DE9958" w14:textId="77777777" w:rsidR="0010369C" w:rsidRDefault="0010369C">
      <w:pPr>
        <w:pStyle w:val="BodyText"/>
        <w:spacing w:before="11"/>
        <w:rPr>
          <w:sz w:val="8"/>
        </w:rPr>
      </w:pPr>
    </w:p>
    <w:p w14:paraId="51DE9959" w14:textId="77777777" w:rsidR="0010369C" w:rsidRDefault="008E43AE">
      <w:pPr>
        <w:pStyle w:val="BodyText"/>
        <w:spacing w:before="51" w:line="360" w:lineRule="auto"/>
        <w:ind w:left="238" w:right="613" w:firstLine="851"/>
        <w:jc w:val="both"/>
      </w:pPr>
      <w:r>
        <w:rPr>
          <w:noProof/>
        </w:rPr>
        <w:drawing>
          <wp:anchor distT="0" distB="0" distL="0" distR="0" simplePos="0" relativeHeight="251558400" behindDoc="1" locked="0" layoutInCell="1" allowOverlap="1" wp14:anchorId="51DEA835" wp14:editId="51DEA836">
            <wp:simplePos x="0" y="0"/>
            <wp:positionH relativeFrom="page">
              <wp:posOffset>902208</wp:posOffset>
            </wp:positionH>
            <wp:positionV relativeFrom="paragraph">
              <wp:posOffset>81314</wp:posOffset>
            </wp:positionV>
            <wp:extent cx="262127" cy="100753"/>
            <wp:effectExtent l="0" t="0" r="0" b="0"/>
            <wp:wrapNone/>
            <wp:docPr id="1889" name="image9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 name="image972.png"/>
                    <pic:cNvPicPr/>
                  </pic:nvPicPr>
                  <pic:blipFill>
                    <a:blip r:embed="rId1253" cstate="print"/>
                    <a:stretch>
                      <a:fillRect/>
                    </a:stretch>
                  </pic:blipFill>
                  <pic:spPr>
                    <a:xfrm>
                      <a:off x="0" y="0"/>
                      <a:ext cx="262127" cy="100753"/>
                    </a:xfrm>
                    <a:prstGeom prst="rect">
                      <a:avLst/>
                    </a:prstGeom>
                  </pic:spPr>
                </pic:pic>
              </a:graphicData>
            </a:graphic>
          </wp:anchor>
        </w:drawing>
      </w:r>
      <w:r>
        <w:t>MOFCOM did not provide all non‐confidential information that was relevant to the calculation</w:t>
      </w:r>
      <w:r>
        <w:rPr>
          <w:spacing w:val="-12"/>
        </w:rPr>
        <w:t xml:space="preserve"> </w:t>
      </w:r>
      <w:r>
        <w:t>of</w:t>
      </w:r>
      <w:r>
        <w:rPr>
          <w:spacing w:val="-12"/>
        </w:rPr>
        <w:t xml:space="preserve"> </w:t>
      </w:r>
      <w:r>
        <w:t>the</w:t>
      </w:r>
      <w:r>
        <w:rPr>
          <w:spacing w:val="-12"/>
        </w:rPr>
        <w:t xml:space="preserve"> </w:t>
      </w:r>
      <w:r>
        <w:t>production</w:t>
      </w:r>
      <w:r>
        <w:rPr>
          <w:spacing w:val="-12"/>
        </w:rPr>
        <w:t xml:space="preserve"> </w:t>
      </w:r>
      <w:r>
        <w:t>of</w:t>
      </w:r>
      <w:r>
        <w:rPr>
          <w:spacing w:val="-12"/>
        </w:rPr>
        <w:t xml:space="preserve"> </w:t>
      </w:r>
      <w:r>
        <w:t>the</w:t>
      </w:r>
      <w:r>
        <w:rPr>
          <w:spacing w:val="-12"/>
        </w:rPr>
        <w:t xml:space="preserve"> </w:t>
      </w:r>
      <w:r>
        <w:t>domestic</w:t>
      </w:r>
      <w:r>
        <w:rPr>
          <w:spacing w:val="-10"/>
        </w:rPr>
        <w:t xml:space="preserve"> </w:t>
      </w:r>
      <w:r>
        <w:t>industry.</w:t>
      </w:r>
      <w:r>
        <w:rPr>
          <w:spacing w:val="-11"/>
        </w:rPr>
        <w:t xml:space="preserve"> </w:t>
      </w:r>
      <w:r>
        <w:t>In</w:t>
      </w:r>
      <w:r>
        <w:rPr>
          <w:spacing w:val="-12"/>
        </w:rPr>
        <w:t xml:space="preserve"> </w:t>
      </w:r>
      <w:r>
        <w:t>particular,</w:t>
      </w:r>
      <w:r>
        <w:rPr>
          <w:spacing w:val="-12"/>
        </w:rPr>
        <w:t xml:space="preserve"> </w:t>
      </w:r>
      <w:r>
        <w:t>MOFCOM</w:t>
      </w:r>
      <w:r>
        <w:rPr>
          <w:spacing w:val="-12"/>
        </w:rPr>
        <w:t xml:space="preserve"> </w:t>
      </w:r>
      <w:r>
        <w:t>did</w:t>
      </w:r>
      <w:r>
        <w:rPr>
          <w:spacing w:val="-12"/>
        </w:rPr>
        <w:t xml:space="preserve"> </w:t>
      </w:r>
      <w:r>
        <w:t>not</w:t>
      </w:r>
      <w:r>
        <w:rPr>
          <w:spacing w:val="-12"/>
        </w:rPr>
        <w:t xml:space="preserve"> </w:t>
      </w:r>
      <w:r>
        <w:t>provide all information on the statistics it relied upon to determine domestic industry production volumes,</w:t>
      </w:r>
      <w:r>
        <w:rPr>
          <w:spacing w:val="-12"/>
        </w:rPr>
        <w:t xml:space="preserve"> </w:t>
      </w:r>
      <w:r>
        <w:t>including</w:t>
      </w:r>
      <w:r>
        <w:rPr>
          <w:spacing w:val="-12"/>
        </w:rPr>
        <w:t xml:space="preserve"> </w:t>
      </w:r>
      <w:r>
        <w:t>what</w:t>
      </w:r>
      <w:r>
        <w:rPr>
          <w:spacing w:val="-12"/>
        </w:rPr>
        <w:t xml:space="preserve"> </w:t>
      </w:r>
      <w:r>
        <w:t>these</w:t>
      </w:r>
      <w:r>
        <w:rPr>
          <w:spacing w:val="-12"/>
        </w:rPr>
        <w:t xml:space="preserve"> </w:t>
      </w:r>
      <w:r>
        <w:t>statistics</w:t>
      </w:r>
      <w:r>
        <w:rPr>
          <w:spacing w:val="-13"/>
        </w:rPr>
        <w:t xml:space="preserve"> </w:t>
      </w:r>
      <w:r>
        <w:t>showed,</w:t>
      </w:r>
      <w:r>
        <w:rPr>
          <w:spacing w:val="-12"/>
        </w:rPr>
        <w:t xml:space="preserve"> </w:t>
      </w:r>
      <w:r>
        <w:t>where</w:t>
      </w:r>
      <w:r>
        <w:rPr>
          <w:spacing w:val="-12"/>
        </w:rPr>
        <w:t xml:space="preserve"> </w:t>
      </w:r>
      <w:r>
        <w:t>the</w:t>
      </w:r>
      <w:r>
        <w:rPr>
          <w:spacing w:val="-12"/>
        </w:rPr>
        <w:t xml:space="preserve"> </w:t>
      </w:r>
      <w:r>
        <w:t>statistics</w:t>
      </w:r>
      <w:r>
        <w:rPr>
          <w:spacing w:val="-13"/>
        </w:rPr>
        <w:t xml:space="preserve"> </w:t>
      </w:r>
      <w:r>
        <w:t>originated</w:t>
      </w:r>
      <w:r>
        <w:rPr>
          <w:spacing w:val="-12"/>
        </w:rPr>
        <w:t xml:space="preserve"> </w:t>
      </w:r>
      <w:r>
        <w:t>from</w:t>
      </w:r>
      <w:r>
        <w:rPr>
          <w:spacing w:val="-13"/>
        </w:rPr>
        <w:t xml:space="preserve"> </w:t>
      </w:r>
      <w:r>
        <w:t>and</w:t>
      </w:r>
      <w:r>
        <w:rPr>
          <w:spacing w:val="-12"/>
        </w:rPr>
        <w:t xml:space="preserve"> </w:t>
      </w:r>
      <w:r>
        <w:t>who the relevant domestic producers were.</w:t>
      </w:r>
    </w:p>
    <w:p w14:paraId="51DE995A" w14:textId="77777777" w:rsidR="0010369C" w:rsidRDefault="0010369C">
      <w:pPr>
        <w:pStyle w:val="BodyText"/>
        <w:rPr>
          <w:sz w:val="20"/>
        </w:rPr>
      </w:pPr>
    </w:p>
    <w:p w14:paraId="51DE995B" w14:textId="77777777" w:rsidR="0010369C" w:rsidRDefault="0010369C">
      <w:pPr>
        <w:pStyle w:val="BodyText"/>
        <w:rPr>
          <w:sz w:val="20"/>
        </w:rPr>
      </w:pPr>
    </w:p>
    <w:p w14:paraId="51DE995C" w14:textId="77777777" w:rsidR="0010369C" w:rsidRDefault="008E43AE">
      <w:pPr>
        <w:pStyle w:val="BodyText"/>
        <w:rPr>
          <w:sz w:val="25"/>
        </w:rPr>
      </w:pPr>
      <w:r>
        <w:pict w14:anchorId="51DEA837">
          <v:rect id="docshape1374" o:spid="_x0000_s1100" style="position:absolute;margin-left:70.9pt;margin-top:16.5pt;width:2in;height:.8pt;z-index:-250700288;mso-wrap-distance-left:0;mso-wrap-distance-right:0;mso-position-horizontal-relative:page" fillcolor="black" stroked="f">
            <w10:wrap type="topAndBottom" anchorx="page"/>
          </v:rect>
        </w:pict>
      </w:r>
    </w:p>
    <w:p w14:paraId="51DE995D" w14:textId="77777777" w:rsidR="0010369C" w:rsidRDefault="008E43AE">
      <w:pPr>
        <w:spacing w:before="109"/>
        <w:ind w:left="238"/>
        <w:rPr>
          <w:sz w:val="18"/>
        </w:rPr>
      </w:pPr>
      <w:r>
        <w:rPr>
          <w:sz w:val="18"/>
          <w:vertAlign w:val="superscript"/>
        </w:rPr>
        <w:t>1128</w:t>
      </w:r>
      <w:r>
        <w:rPr>
          <w:spacing w:val="-6"/>
          <w:sz w:val="18"/>
        </w:rPr>
        <w:t xml:space="preserve"> </w:t>
      </w:r>
      <w:r>
        <w:rPr>
          <w:sz w:val="18"/>
        </w:rPr>
        <w:t>Panel</w:t>
      </w:r>
      <w:r>
        <w:rPr>
          <w:spacing w:val="-6"/>
          <w:sz w:val="18"/>
        </w:rPr>
        <w:t xml:space="preserve"> </w:t>
      </w:r>
      <w:r>
        <w:rPr>
          <w:sz w:val="18"/>
        </w:rPr>
        <w:t>Report,</w:t>
      </w:r>
      <w:r>
        <w:rPr>
          <w:spacing w:val="-6"/>
          <w:sz w:val="18"/>
        </w:rPr>
        <w:t xml:space="preserve"> </w:t>
      </w:r>
      <w:r>
        <w:rPr>
          <w:i/>
          <w:sz w:val="18"/>
        </w:rPr>
        <w:t>Ko</w:t>
      </w:r>
      <w:r>
        <w:rPr>
          <w:i/>
          <w:sz w:val="18"/>
        </w:rPr>
        <w:t>rea</w:t>
      </w:r>
      <w:r>
        <w:rPr>
          <w:i/>
          <w:spacing w:val="-6"/>
          <w:sz w:val="18"/>
        </w:rPr>
        <w:t xml:space="preserve"> </w:t>
      </w:r>
      <w:r>
        <w:rPr>
          <w:i/>
          <w:sz w:val="18"/>
        </w:rPr>
        <w:t>–</w:t>
      </w:r>
      <w:r>
        <w:rPr>
          <w:i/>
          <w:spacing w:val="-5"/>
          <w:sz w:val="18"/>
        </w:rPr>
        <w:t xml:space="preserve"> </w:t>
      </w:r>
      <w:r>
        <w:rPr>
          <w:i/>
          <w:sz w:val="18"/>
        </w:rPr>
        <w:t>Certain</w:t>
      </w:r>
      <w:r>
        <w:rPr>
          <w:i/>
          <w:spacing w:val="-6"/>
          <w:sz w:val="18"/>
        </w:rPr>
        <w:t xml:space="preserve"> </w:t>
      </w:r>
      <w:r>
        <w:rPr>
          <w:i/>
          <w:sz w:val="18"/>
        </w:rPr>
        <w:t>Paper</w:t>
      </w:r>
      <w:r>
        <w:rPr>
          <w:sz w:val="18"/>
        </w:rPr>
        <w:t>,</w:t>
      </w:r>
      <w:r>
        <w:rPr>
          <w:spacing w:val="-6"/>
          <w:sz w:val="18"/>
        </w:rPr>
        <w:t xml:space="preserve"> </w:t>
      </w:r>
      <w:r>
        <w:rPr>
          <w:sz w:val="18"/>
        </w:rPr>
        <w:t>para.</w:t>
      </w:r>
      <w:r>
        <w:rPr>
          <w:spacing w:val="-5"/>
          <w:sz w:val="18"/>
        </w:rPr>
        <w:t xml:space="preserve"> </w:t>
      </w:r>
      <w:r>
        <w:rPr>
          <w:spacing w:val="-2"/>
          <w:sz w:val="18"/>
        </w:rPr>
        <w:t>7.201.</w:t>
      </w:r>
    </w:p>
    <w:p w14:paraId="51DE995E" w14:textId="77777777" w:rsidR="0010369C" w:rsidRDefault="008E43AE">
      <w:pPr>
        <w:ind w:left="238" w:right="611" w:hanging="1"/>
        <w:rPr>
          <w:sz w:val="18"/>
        </w:rPr>
      </w:pPr>
      <w:r>
        <w:rPr>
          <w:sz w:val="18"/>
          <w:vertAlign w:val="superscript"/>
        </w:rPr>
        <w:t>1129</w:t>
      </w:r>
      <w:r>
        <w:rPr>
          <w:spacing w:val="-3"/>
          <w:sz w:val="18"/>
        </w:rPr>
        <w:t xml:space="preserve"> </w:t>
      </w:r>
      <w:r>
        <w:rPr>
          <w:sz w:val="18"/>
        </w:rPr>
        <w:t>Oxford</w:t>
      </w:r>
      <w:r>
        <w:rPr>
          <w:spacing w:val="-3"/>
          <w:sz w:val="18"/>
        </w:rPr>
        <w:t xml:space="preserve"> </w:t>
      </w:r>
      <w:r>
        <w:rPr>
          <w:sz w:val="18"/>
        </w:rPr>
        <w:t>English</w:t>
      </w:r>
      <w:r>
        <w:rPr>
          <w:spacing w:val="-3"/>
          <w:sz w:val="18"/>
        </w:rPr>
        <w:t xml:space="preserve"> </w:t>
      </w:r>
      <w:r>
        <w:rPr>
          <w:sz w:val="18"/>
        </w:rPr>
        <w:t>Dictionary</w:t>
      </w:r>
      <w:r>
        <w:rPr>
          <w:spacing w:val="-2"/>
          <w:sz w:val="18"/>
        </w:rPr>
        <w:t xml:space="preserve"> </w:t>
      </w:r>
      <w:r>
        <w:rPr>
          <w:sz w:val="18"/>
        </w:rPr>
        <w:t>online,</w:t>
      </w:r>
      <w:r>
        <w:rPr>
          <w:spacing w:val="-3"/>
          <w:sz w:val="18"/>
        </w:rPr>
        <w:t xml:space="preserve"> </w:t>
      </w:r>
      <w:r>
        <w:rPr>
          <w:sz w:val="18"/>
        </w:rPr>
        <w:t>definition</w:t>
      </w:r>
      <w:r>
        <w:rPr>
          <w:spacing w:val="-3"/>
          <w:sz w:val="18"/>
        </w:rPr>
        <w:t xml:space="preserve"> </w:t>
      </w:r>
      <w:r>
        <w:rPr>
          <w:sz w:val="18"/>
        </w:rPr>
        <w:t>of</w:t>
      </w:r>
      <w:r>
        <w:rPr>
          <w:spacing w:val="-3"/>
          <w:sz w:val="18"/>
        </w:rPr>
        <w:t xml:space="preserve"> </w:t>
      </w:r>
      <w:r>
        <w:rPr>
          <w:sz w:val="18"/>
        </w:rPr>
        <w:t>"timely",</w:t>
      </w:r>
      <w:r>
        <w:rPr>
          <w:spacing w:val="-4"/>
          <w:sz w:val="18"/>
        </w:rPr>
        <w:t xml:space="preserve"> </w:t>
      </w:r>
      <w:hyperlink r:id="rId1254">
        <w:r>
          <w:rPr>
            <w:sz w:val="18"/>
          </w:rPr>
          <w:t>https://www.oed.com/view/Entry/202120</w:t>
        </w:r>
        <w:r>
          <w:rPr>
            <w:spacing w:val="-4"/>
            <w:sz w:val="18"/>
          </w:rPr>
          <w:t xml:space="preserve"> </w:t>
        </w:r>
      </w:hyperlink>
      <w:r>
        <w:rPr>
          <w:sz w:val="18"/>
        </w:rPr>
        <w:t>(accessed</w:t>
      </w:r>
      <w:r>
        <w:rPr>
          <w:spacing w:val="-4"/>
          <w:sz w:val="18"/>
        </w:rPr>
        <w:t xml:space="preserve"> </w:t>
      </w:r>
      <w:r>
        <w:rPr>
          <w:sz w:val="18"/>
        </w:rPr>
        <w:t>28</w:t>
      </w:r>
      <w:r>
        <w:rPr>
          <w:spacing w:val="-5"/>
          <w:sz w:val="18"/>
        </w:rPr>
        <w:t xml:space="preserve"> </w:t>
      </w:r>
      <w:r>
        <w:rPr>
          <w:sz w:val="18"/>
        </w:rPr>
        <w:t xml:space="preserve">April </w:t>
      </w:r>
      <w:r>
        <w:rPr>
          <w:spacing w:val="-2"/>
          <w:sz w:val="18"/>
        </w:rPr>
        <w:t>2022).</w:t>
      </w:r>
    </w:p>
    <w:p w14:paraId="51DE995F" w14:textId="77777777" w:rsidR="0010369C" w:rsidRDefault="008E43AE">
      <w:pPr>
        <w:spacing w:before="1"/>
        <w:ind w:left="237" w:right="611"/>
        <w:rPr>
          <w:sz w:val="18"/>
        </w:rPr>
      </w:pPr>
      <w:r>
        <w:rPr>
          <w:sz w:val="18"/>
          <w:vertAlign w:val="superscript"/>
        </w:rPr>
        <w:t>1130</w:t>
      </w:r>
      <w:r>
        <w:rPr>
          <w:spacing w:val="40"/>
          <w:sz w:val="18"/>
        </w:rPr>
        <w:t xml:space="preserve"> </w:t>
      </w:r>
      <w:r>
        <w:rPr>
          <w:sz w:val="18"/>
        </w:rPr>
        <w:t>Oxford</w:t>
      </w:r>
      <w:r>
        <w:rPr>
          <w:spacing w:val="40"/>
          <w:sz w:val="18"/>
        </w:rPr>
        <w:t xml:space="preserve"> </w:t>
      </w:r>
      <w:r>
        <w:rPr>
          <w:sz w:val="18"/>
        </w:rPr>
        <w:t>English</w:t>
      </w:r>
      <w:r>
        <w:rPr>
          <w:spacing w:val="40"/>
          <w:sz w:val="18"/>
        </w:rPr>
        <w:t xml:space="preserve"> </w:t>
      </w:r>
      <w:r>
        <w:rPr>
          <w:sz w:val="18"/>
        </w:rPr>
        <w:t>Dictionary</w:t>
      </w:r>
      <w:r>
        <w:rPr>
          <w:spacing w:val="40"/>
          <w:sz w:val="18"/>
        </w:rPr>
        <w:t xml:space="preserve"> </w:t>
      </w:r>
      <w:r>
        <w:rPr>
          <w:sz w:val="18"/>
        </w:rPr>
        <w:t>online,</w:t>
      </w:r>
      <w:r>
        <w:rPr>
          <w:spacing w:val="40"/>
          <w:sz w:val="18"/>
        </w:rPr>
        <w:t xml:space="preserve"> </w:t>
      </w:r>
      <w:r>
        <w:rPr>
          <w:sz w:val="18"/>
        </w:rPr>
        <w:t>definition</w:t>
      </w:r>
      <w:r>
        <w:rPr>
          <w:spacing w:val="40"/>
          <w:sz w:val="18"/>
        </w:rPr>
        <w:t xml:space="preserve"> </w:t>
      </w:r>
      <w:r>
        <w:rPr>
          <w:sz w:val="18"/>
        </w:rPr>
        <w:t>of</w:t>
      </w:r>
      <w:r>
        <w:rPr>
          <w:spacing w:val="40"/>
          <w:sz w:val="18"/>
        </w:rPr>
        <w:t xml:space="preserve"> </w:t>
      </w:r>
      <w:r>
        <w:rPr>
          <w:sz w:val="18"/>
        </w:rPr>
        <w:t>"opportunity",</w:t>
      </w:r>
      <w:r>
        <w:rPr>
          <w:spacing w:val="40"/>
          <w:sz w:val="18"/>
        </w:rPr>
        <w:t xml:space="preserve"> </w:t>
      </w:r>
      <w:hyperlink r:id="rId1255">
        <w:r>
          <w:rPr>
            <w:sz w:val="18"/>
          </w:rPr>
          <w:t>https://www.oed.com/view/Entry/131973</w:t>
        </w:r>
      </w:hyperlink>
      <w:r>
        <w:rPr>
          <w:spacing w:val="40"/>
          <w:sz w:val="18"/>
        </w:rPr>
        <w:t xml:space="preserve"> </w:t>
      </w:r>
      <w:r>
        <w:rPr>
          <w:sz w:val="18"/>
        </w:rPr>
        <w:t>(accessed 28 April 2022).</w:t>
      </w:r>
    </w:p>
    <w:p w14:paraId="51DE9960" w14:textId="77777777" w:rsidR="0010369C" w:rsidRDefault="008E43AE">
      <w:pPr>
        <w:spacing w:line="219" w:lineRule="exact"/>
        <w:ind w:left="238"/>
        <w:rPr>
          <w:sz w:val="18"/>
        </w:rPr>
      </w:pPr>
      <w:r>
        <w:rPr>
          <w:sz w:val="18"/>
          <w:vertAlign w:val="superscript"/>
        </w:rPr>
        <w:t>1131</w:t>
      </w:r>
      <w:r>
        <w:rPr>
          <w:spacing w:val="-6"/>
          <w:sz w:val="18"/>
        </w:rPr>
        <w:t xml:space="preserve"> </w:t>
      </w:r>
      <w:r>
        <w:rPr>
          <w:sz w:val="18"/>
        </w:rPr>
        <w:t>Appellate</w:t>
      </w:r>
      <w:r>
        <w:rPr>
          <w:spacing w:val="-6"/>
          <w:sz w:val="18"/>
        </w:rPr>
        <w:t xml:space="preserve"> </w:t>
      </w:r>
      <w:r>
        <w:rPr>
          <w:sz w:val="18"/>
        </w:rPr>
        <w:t>Body</w:t>
      </w:r>
      <w:r>
        <w:rPr>
          <w:spacing w:val="-8"/>
          <w:sz w:val="18"/>
        </w:rPr>
        <w:t xml:space="preserve"> </w:t>
      </w:r>
      <w:r>
        <w:rPr>
          <w:sz w:val="18"/>
        </w:rPr>
        <w:t>Report,</w:t>
      </w:r>
      <w:r>
        <w:rPr>
          <w:spacing w:val="-6"/>
          <w:sz w:val="18"/>
        </w:rPr>
        <w:t xml:space="preserve"> </w:t>
      </w:r>
      <w:r>
        <w:rPr>
          <w:i/>
          <w:sz w:val="18"/>
        </w:rPr>
        <w:t>EC</w:t>
      </w:r>
      <w:r>
        <w:rPr>
          <w:i/>
          <w:spacing w:val="-6"/>
          <w:sz w:val="18"/>
        </w:rPr>
        <w:t xml:space="preserve"> </w:t>
      </w:r>
      <w:r>
        <w:rPr>
          <w:i/>
          <w:sz w:val="18"/>
        </w:rPr>
        <w:t>–</w:t>
      </w:r>
      <w:r>
        <w:rPr>
          <w:i/>
          <w:spacing w:val="-6"/>
          <w:sz w:val="18"/>
        </w:rPr>
        <w:t xml:space="preserve"> </w:t>
      </w:r>
      <w:r>
        <w:rPr>
          <w:i/>
          <w:sz w:val="18"/>
        </w:rPr>
        <w:t>Fasteners</w:t>
      </w:r>
      <w:r>
        <w:rPr>
          <w:i/>
          <w:spacing w:val="-6"/>
          <w:sz w:val="18"/>
        </w:rPr>
        <w:t xml:space="preserve"> </w:t>
      </w:r>
      <w:r>
        <w:rPr>
          <w:i/>
          <w:sz w:val="18"/>
        </w:rPr>
        <w:t>(China)</w:t>
      </w:r>
      <w:r>
        <w:rPr>
          <w:i/>
          <w:spacing w:val="-6"/>
          <w:sz w:val="18"/>
        </w:rPr>
        <w:t xml:space="preserve"> </w:t>
      </w:r>
      <w:r>
        <w:rPr>
          <w:i/>
          <w:sz w:val="18"/>
        </w:rPr>
        <w:t>(Article</w:t>
      </w:r>
      <w:r>
        <w:rPr>
          <w:i/>
          <w:spacing w:val="-6"/>
          <w:sz w:val="18"/>
        </w:rPr>
        <w:t xml:space="preserve"> </w:t>
      </w:r>
      <w:r>
        <w:rPr>
          <w:i/>
          <w:sz w:val="18"/>
        </w:rPr>
        <w:t>21.5)</w:t>
      </w:r>
      <w:r>
        <w:rPr>
          <w:sz w:val="18"/>
        </w:rPr>
        <w:t>,</w:t>
      </w:r>
      <w:r>
        <w:rPr>
          <w:spacing w:val="-6"/>
          <w:sz w:val="18"/>
        </w:rPr>
        <w:t xml:space="preserve"> </w:t>
      </w:r>
      <w:r>
        <w:rPr>
          <w:sz w:val="18"/>
        </w:rPr>
        <w:t>para.</w:t>
      </w:r>
      <w:r>
        <w:rPr>
          <w:spacing w:val="-6"/>
          <w:sz w:val="18"/>
        </w:rPr>
        <w:t xml:space="preserve"> </w:t>
      </w:r>
      <w:r>
        <w:rPr>
          <w:spacing w:val="-2"/>
          <w:sz w:val="18"/>
        </w:rPr>
        <w:t>5.122.</w:t>
      </w:r>
    </w:p>
    <w:p w14:paraId="51DE9961" w14:textId="77777777" w:rsidR="0010369C" w:rsidRDefault="008E43AE">
      <w:pPr>
        <w:ind w:left="238"/>
        <w:rPr>
          <w:sz w:val="18"/>
        </w:rPr>
      </w:pPr>
      <w:r>
        <w:rPr>
          <w:sz w:val="18"/>
          <w:vertAlign w:val="superscript"/>
        </w:rPr>
        <w:t>1132</w:t>
      </w:r>
      <w:r>
        <w:rPr>
          <w:spacing w:val="-6"/>
          <w:sz w:val="18"/>
        </w:rPr>
        <w:t xml:space="preserve"> </w:t>
      </w:r>
      <w:r>
        <w:rPr>
          <w:sz w:val="18"/>
        </w:rPr>
        <w:t>Ap</w:t>
      </w:r>
      <w:r>
        <w:rPr>
          <w:sz w:val="18"/>
        </w:rPr>
        <w:t>pellate</w:t>
      </w:r>
      <w:r>
        <w:rPr>
          <w:spacing w:val="-6"/>
          <w:sz w:val="18"/>
        </w:rPr>
        <w:t xml:space="preserve"> </w:t>
      </w:r>
      <w:r>
        <w:rPr>
          <w:sz w:val="18"/>
        </w:rPr>
        <w:t>Body</w:t>
      </w:r>
      <w:r>
        <w:rPr>
          <w:spacing w:val="-8"/>
          <w:sz w:val="18"/>
        </w:rPr>
        <w:t xml:space="preserve"> </w:t>
      </w:r>
      <w:r>
        <w:rPr>
          <w:sz w:val="18"/>
        </w:rPr>
        <w:t>Report,</w:t>
      </w:r>
      <w:r>
        <w:rPr>
          <w:spacing w:val="-6"/>
          <w:sz w:val="18"/>
        </w:rPr>
        <w:t xml:space="preserve"> </w:t>
      </w:r>
      <w:r>
        <w:rPr>
          <w:i/>
          <w:sz w:val="18"/>
        </w:rPr>
        <w:t>EC</w:t>
      </w:r>
      <w:r>
        <w:rPr>
          <w:i/>
          <w:spacing w:val="-6"/>
          <w:sz w:val="18"/>
        </w:rPr>
        <w:t xml:space="preserve"> </w:t>
      </w:r>
      <w:r>
        <w:rPr>
          <w:i/>
          <w:sz w:val="18"/>
        </w:rPr>
        <w:t>–</w:t>
      </w:r>
      <w:r>
        <w:rPr>
          <w:i/>
          <w:spacing w:val="-6"/>
          <w:sz w:val="18"/>
        </w:rPr>
        <w:t xml:space="preserve"> </w:t>
      </w:r>
      <w:r>
        <w:rPr>
          <w:i/>
          <w:sz w:val="18"/>
        </w:rPr>
        <w:t>Fasteners</w:t>
      </w:r>
      <w:r>
        <w:rPr>
          <w:i/>
          <w:spacing w:val="-6"/>
          <w:sz w:val="18"/>
        </w:rPr>
        <w:t xml:space="preserve"> </w:t>
      </w:r>
      <w:r>
        <w:rPr>
          <w:i/>
          <w:sz w:val="18"/>
        </w:rPr>
        <w:t>(China)</w:t>
      </w:r>
      <w:r>
        <w:rPr>
          <w:i/>
          <w:spacing w:val="-6"/>
          <w:sz w:val="18"/>
        </w:rPr>
        <w:t xml:space="preserve"> </w:t>
      </w:r>
      <w:r>
        <w:rPr>
          <w:i/>
          <w:sz w:val="18"/>
        </w:rPr>
        <w:t>(Article</w:t>
      </w:r>
      <w:r>
        <w:rPr>
          <w:i/>
          <w:spacing w:val="-6"/>
          <w:sz w:val="18"/>
        </w:rPr>
        <w:t xml:space="preserve"> </w:t>
      </w:r>
      <w:r>
        <w:rPr>
          <w:i/>
          <w:sz w:val="18"/>
        </w:rPr>
        <w:t>21.5)</w:t>
      </w:r>
      <w:r>
        <w:rPr>
          <w:sz w:val="18"/>
        </w:rPr>
        <w:t>,</w:t>
      </w:r>
      <w:r>
        <w:rPr>
          <w:spacing w:val="-6"/>
          <w:sz w:val="18"/>
        </w:rPr>
        <w:t xml:space="preserve"> </w:t>
      </w:r>
      <w:r>
        <w:rPr>
          <w:sz w:val="18"/>
        </w:rPr>
        <w:t>para.</w:t>
      </w:r>
      <w:r>
        <w:rPr>
          <w:spacing w:val="-6"/>
          <w:sz w:val="18"/>
        </w:rPr>
        <w:t xml:space="preserve"> </w:t>
      </w:r>
      <w:r>
        <w:rPr>
          <w:spacing w:val="-2"/>
          <w:sz w:val="18"/>
        </w:rPr>
        <w:t>5.122.</w:t>
      </w:r>
    </w:p>
    <w:p w14:paraId="51DE9962" w14:textId="77777777" w:rsidR="0010369C" w:rsidRDefault="0010369C">
      <w:pPr>
        <w:rPr>
          <w:sz w:val="18"/>
        </w:rPr>
        <w:sectPr w:rsidR="0010369C">
          <w:pgSz w:w="11910" w:h="16840"/>
          <w:pgMar w:top="880" w:right="800" w:bottom="980" w:left="1180" w:header="569" w:footer="788" w:gutter="0"/>
          <w:cols w:space="720"/>
        </w:sectPr>
      </w:pPr>
    </w:p>
    <w:p w14:paraId="51DE9963" w14:textId="77777777" w:rsidR="0010369C" w:rsidRDefault="008E43AE">
      <w:pPr>
        <w:tabs>
          <w:tab w:val="left" w:pos="6426"/>
        </w:tabs>
        <w:ind w:left="238"/>
        <w:rPr>
          <w:sz w:val="20"/>
        </w:rPr>
      </w:pPr>
      <w:r>
        <w:rPr>
          <w:i/>
          <w:sz w:val="20"/>
        </w:rPr>
        <w:lastRenderedPageBreak/>
        <w:t>China</w:t>
      </w:r>
      <w:r>
        <w:rPr>
          <w:i/>
          <w:spacing w:val="-5"/>
          <w:sz w:val="20"/>
        </w:rPr>
        <w:t xml:space="preserve"> </w:t>
      </w:r>
      <w:r>
        <w:rPr>
          <w:i/>
          <w:sz w:val="20"/>
        </w:rPr>
        <w:t>–</w:t>
      </w:r>
      <w:r>
        <w:rPr>
          <w:i/>
          <w:spacing w:val="-5"/>
          <w:sz w:val="20"/>
        </w:rPr>
        <w:t xml:space="preserve"> </w:t>
      </w:r>
      <w:r>
        <w:rPr>
          <w:i/>
          <w:sz w:val="20"/>
        </w:rPr>
        <w:t>Anti‐Dumping</w:t>
      </w:r>
      <w:r>
        <w:rPr>
          <w:i/>
          <w:spacing w:val="-4"/>
          <w:sz w:val="20"/>
        </w:rPr>
        <w:t xml:space="preserve"> </w:t>
      </w:r>
      <w:r>
        <w:rPr>
          <w:i/>
          <w:sz w:val="20"/>
        </w:rPr>
        <w:t>and</w:t>
      </w:r>
      <w:r>
        <w:rPr>
          <w:i/>
          <w:spacing w:val="-5"/>
          <w:sz w:val="20"/>
        </w:rPr>
        <w:t xml:space="preserve"> </w:t>
      </w:r>
      <w:r>
        <w:rPr>
          <w:i/>
          <w:sz w:val="20"/>
        </w:rPr>
        <w:t>Countervailing</w:t>
      </w:r>
      <w:r>
        <w:rPr>
          <w:i/>
          <w:spacing w:val="-5"/>
          <w:sz w:val="20"/>
        </w:rPr>
        <w:t xml:space="preserve"> </w:t>
      </w:r>
      <w:r>
        <w:rPr>
          <w:i/>
          <w:sz w:val="20"/>
        </w:rPr>
        <w:t>Duty</w:t>
      </w:r>
      <w:r>
        <w:rPr>
          <w:i/>
          <w:spacing w:val="-4"/>
          <w:sz w:val="20"/>
        </w:rPr>
        <w:t xml:space="preserve"> </w:t>
      </w:r>
      <w:r>
        <w:rPr>
          <w:i/>
          <w:spacing w:val="-2"/>
          <w:sz w:val="20"/>
        </w:rPr>
        <w:t>Measures</w:t>
      </w:r>
      <w:r>
        <w:rPr>
          <w:i/>
          <w:sz w:val="20"/>
        </w:rPr>
        <w:tab/>
      </w:r>
      <w:r>
        <w:rPr>
          <w:sz w:val="20"/>
        </w:rPr>
        <w:t>Australia's</w:t>
      </w:r>
      <w:r>
        <w:rPr>
          <w:spacing w:val="-7"/>
          <w:sz w:val="20"/>
        </w:rPr>
        <w:t xml:space="preserve"> </w:t>
      </w:r>
      <w:r>
        <w:rPr>
          <w:sz w:val="20"/>
        </w:rPr>
        <w:t>First</w:t>
      </w:r>
      <w:r>
        <w:rPr>
          <w:spacing w:val="-2"/>
          <w:sz w:val="20"/>
        </w:rPr>
        <w:t xml:space="preserve"> </w:t>
      </w:r>
      <w:r>
        <w:rPr>
          <w:sz w:val="20"/>
        </w:rPr>
        <w:t>Written</w:t>
      </w:r>
      <w:r>
        <w:rPr>
          <w:spacing w:val="-2"/>
          <w:sz w:val="20"/>
        </w:rPr>
        <w:t xml:space="preserve"> Submission</w:t>
      </w:r>
    </w:p>
    <w:p w14:paraId="51DE9964" w14:textId="77777777" w:rsidR="0010369C" w:rsidRDefault="008E43AE">
      <w:pPr>
        <w:tabs>
          <w:tab w:val="left" w:pos="8228"/>
        </w:tabs>
        <w:spacing w:before="1"/>
        <w:ind w:left="239"/>
        <w:rPr>
          <w:sz w:val="20"/>
        </w:rPr>
      </w:pPr>
      <w:r>
        <w:rPr>
          <w:i/>
          <w:sz w:val="20"/>
        </w:rPr>
        <w:t>on</w:t>
      </w:r>
      <w:r>
        <w:rPr>
          <w:i/>
          <w:spacing w:val="-1"/>
          <w:sz w:val="20"/>
        </w:rPr>
        <w:t xml:space="preserve"> </w:t>
      </w:r>
      <w:r>
        <w:rPr>
          <w:i/>
          <w:sz w:val="20"/>
        </w:rPr>
        <w:t>Wine</w:t>
      </w:r>
      <w:r>
        <w:rPr>
          <w:i/>
          <w:spacing w:val="-1"/>
          <w:sz w:val="20"/>
        </w:rPr>
        <w:t xml:space="preserve"> </w:t>
      </w:r>
      <w:r>
        <w:rPr>
          <w:i/>
          <w:sz w:val="20"/>
        </w:rPr>
        <w:t>from</w:t>
      </w:r>
      <w:r>
        <w:rPr>
          <w:i/>
          <w:spacing w:val="-3"/>
          <w:sz w:val="20"/>
        </w:rPr>
        <w:t xml:space="preserve"> </w:t>
      </w:r>
      <w:r>
        <w:rPr>
          <w:i/>
          <w:sz w:val="20"/>
        </w:rPr>
        <w:t>Australia</w:t>
      </w:r>
      <w:r>
        <w:rPr>
          <w:i/>
          <w:spacing w:val="-1"/>
          <w:sz w:val="20"/>
        </w:rPr>
        <w:t xml:space="preserve"> </w:t>
      </w:r>
      <w:r>
        <w:rPr>
          <w:spacing w:val="-2"/>
          <w:sz w:val="20"/>
        </w:rPr>
        <w:t>(DS602)</w:t>
      </w:r>
      <w:r>
        <w:rPr>
          <w:sz w:val="20"/>
        </w:rPr>
        <w:tab/>
        <w:t>29</w:t>
      </w:r>
      <w:r>
        <w:rPr>
          <w:spacing w:val="-1"/>
          <w:sz w:val="20"/>
        </w:rPr>
        <w:t xml:space="preserve"> </w:t>
      </w:r>
      <w:r>
        <w:rPr>
          <w:sz w:val="20"/>
        </w:rPr>
        <w:t>April</w:t>
      </w:r>
      <w:r>
        <w:rPr>
          <w:spacing w:val="-2"/>
          <w:sz w:val="20"/>
        </w:rPr>
        <w:t xml:space="preserve"> </w:t>
      </w:r>
      <w:r>
        <w:rPr>
          <w:spacing w:val="-4"/>
          <w:sz w:val="20"/>
        </w:rPr>
        <w:t>2022</w:t>
      </w:r>
    </w:p>
    <w:p w14:paraId="51DE9965" w14:textId="77777777" w:rsidR="0010369C" w:rsidRDefault="008E43AE">
      <w:pPr>
        <w:pStyle w:val="BodyText"/>
        <w:spacing w:before="34" w:line="360" w:lineRule="auto"/>
        <w:ind w:left="237" w:right="613" w:firstLine="851"/>
        <w:jc w:val="both"/>
      </w:pPr>
      <w:r>
        <w:rPr>
          <w:noProof/>
        </w:rPr>
        <w:drawing>
          <wp:anchor distT="0" distB="0" distL="0" distR="0" simplePos="0" relativeHeight="251559424" behindDoc="1" locked="0" layoutInCell="1" allowOverlap="1" wp14:anchorId="51DEA838" wp14:editId="51DEA839">
            <wp:simplePos x="0" y="0"/>
            <wp:positionH relativeFrom="page">
              <wp:posOffset>902208</wp:posOffset>
            </wp:positionH>
            <wp:positionV relativeFrom="paragraph">
              <wp:posOffset>69165</wp:posOffset>
            </wp:positionV>
            <wp:extent cx="262127" cy="103631"/>
            <wp:effectExtent l="0" t="0" r="0" b="0"/>
            <wp:wrapNone/>
            <wp:docPr id="1891" name="image9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 name="image973.png"/>
                    <pic:cNvPicPr/>
                  </pic:nvPicPr>
                  <pic:blipFill>
                    <a:blip r:embed="rId1256" cstate="print"/>
                    <a:stretch>
                      <a:fillRect/>
                    </a:stretch>
                  </pic:blipFill>
                  <pic:spPr>
                    <a:xfrm>
                      <a:off x="0" y="0"/>
                      <a:ext cx="262127" cy="103631"/>
                    </a:xfrm>
                    <a:prstGeom prst="rect">
                      <a:avLst/>
                    </a:prstGeom>
                  </pic:spPr>
                </pic:pic>
              </a:graphicData>
            </a:graphic>
          </wp:anchor>
        </w:drawing>
      </w:r>
      <w:r>
        <w:t>In the Final Determination, MOFCOM identified the domestic market as comprising the</w:t>
      </w:r>
      <w:r>
        <w:rPr>
          <w:spacing w:val="-5"/>
        </w:rPr>
        <w:t xml:space="preserve"> </w:t>
      </w:r>
      <w:r>
        <w:t>"21</w:t>
      </w:r>
      <w:r>
        <w:rPr>
          <w:spacing w:val="-7"/>
        </w:rPr>
        <w:t xml:space="preserve"> </w:t>
      </w:r>
      <w:r>
        <w:t>producers</w:t>
      </w:r>
      <w:r>
        <w:rPr>
          <w:spacing w:val="-6"/>
        </w:rPr>
        <w:t xml:space="preserve"> </w:t>
      </w:r>
      <w:r>
        <w:t>who</w:t>
      </w:r>
      <w:r>
        <w:rPr>
          <w:spacing w:val="-7"/>
        </w:rPr>
        <w:t xml:space="preserve"> </w:t>
      </w:r>
      <w:r>
        <w:t>submitted</w:t>
      </w:r>
      <w:r>
        <w:rPr>
          <w:spacing w:val="-6"/>
        </w:rPr>
        <w:t xml:space="preserve"> </w:t>
      </w:r>
      <w:r>
        <w:t>the</w:t>
      </w:r>
      <w:r>
        <w:rPr>
          <w:spacing w:val="-5"/>
        </w:rPr>
        <w:t xml:space="preserve"> </w:t>
      </w:r>
      <w:r>
        <w:t>response</w:t>
      </w:r>
      <w:r>
        <w:rPr>
          <w:spacing w:val="-7"/>
        </w:rPr>
        <w:t xml:space="preserve"> </w:t>
      </w:r>
      <w:r>
        <w:t>to</w:t>
      </w:r>
      <w:r>
        <w:rPr>
          <w:spacing w:val="-6"/>
        </w:rPr>
        <w:t xml:space="preserve"> </w:t>
      </w:r>
      <w:r>
        <w:t>the</w:t>
      </w:r>
      <w:r>
        <w:rPr>
          <w:spacing w:val="-5"/>
        </w:rPr>
        <w:t xml:space="preserve"> </w:t>
      </w:r>
      <w:r>
        <w:t>Domestic</w:t>
      </w:r>
      <w:r>
        <w:rPr>
          <w:spacing w:val="-5"/>
        </w:rPr>
        <w:t xml:space="preserve"> </w:t>
      </w:r>
      <w:r>
        <w:t>Producer</w:t>
      </w:r>
      <w:r>
        <w:rPr>
          <w:spacing w:val="-7"/>
        </w:rPr>
        <w:t xml:space="preserve"> </w:t>
      </w:r>
      <w:r>
        <w:t>Questionnaire".</w:t>
      </w:r>
      <w:r>
        <w:rPr>
          <w:vertAlign w:val="superscript"/>
        </w:rPr>
        <w:t>1133</w:t>
      </w:r>
      <w:r>
        <w:t xml:space="preserve"> It further found that these domestic producers "occupied" 66.95%, 68.27%, 60.75%, 62.76%, and 60.72% of the output of the domestic like products between 2015 and 2019, </w:t>
      </w:r>
      <w:r>
        <w:rPr>
          <w:spacing w:val="-2"/>
        </w:rPr>
        <w:t>respectively.</w:t>
      </w:r>
      <w:r>
        <w:rPr>
          <w:spacing w:val="-2"/>
          <w:vertAlign w:val="superscript"/>
        </w:rPr>
        <w:t>1134</w:t>
      </w:r>
    </w:p>
    <w:p w14:paraId="51DE9966" w14:textId="77777777" w:rsidR="0010369C" w:rsidRDefault="0010369C">
      <w:pPr>
        <w:pStyle w:val="BodyText"/>
        <w:spacing w:before="11"/>
        <w:rPr>
          <w:sz w:val="8"/>
        </w:rPr>
      </w:pPr>
    </w:p>
    <w:p w14:paraId="51DE9967" w14:textId="77777777" w:rsidR="0010369C" w:rsidRDefault="008E43AE">
      <w:pPr>
        <w:pStyle w:val="BodyText"/>
        <w:spacing w:before="51" w:line="360" w:lineRule="auto"/>
        <w:ind w:left="238" w:right="612" w:firstLine="851"/>
        <w:jc w:val="both"/>
      </w:pPr>
      <w:r>
        <w:rPr>
          <w:noProof/>
        </w:rPr>
        <w:drawing>
          <wp:anchor distT="0" distB="0" distL="0" distR="0" simplePos="0" relativeHeight="251560448" behindDoc="1" locked="0" layoutInCell="1" allowOverlap="1" wp14:anchorId="51DEA83A" wp14:editId="51DEA83B">
            <wp:simplePos x="0" y="0"/>
            <wp:positionH relativeFrom="page">
              <wp:posOffset>902208</wp:posOffset>
            </wp:positionH>
            <wp:positionV relativeFrom="paragraph">
              <wp:posOffset>79960</wp:posOffset>
            </wp:positionV>
            <wp:extent cx="262127" cy="103631"/>
            <wp:effectExtent l="0" t="0" r="0" b="0"/>
            <wp:wrapNone/>
            <wp:docPr id="1893" name="image9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 name="image974.png"/>
                    <pic:cNvPicPr/>
                  </pic:nvPicPr>
                  <pic:blipFill>
                    <a:blip r:embed="rId1257" cstate="print"/>
                    <a:stretch>
                      <a:fillRect/>
                    </a:stretch>
                  </pic:blipFill>
                  <pic:spPr>
                    <a:xfrm>
                      <a:off x="0" y="0"/>
                      <a:ext cx="262127" cy="103631"/>
                    </a:xfrm>
                    <a:prstGeom prst="rect">
                      <a:avLst/>
                    </a:prstGeom>
                  </pic:spPr>
                </pic:pic>
              </a:graphicData>
            </a:graphic>
          </wp:anchor>
        </w:drawing>
      </w:r>
      <w:r>
        <w:t>MOFCOM explained that it relied upon information in the form of "statistics from authoritative domestic organizations" to calculate the production of the domestic producers for the purposes of identifying</w:t>
      </w:r>
      <w:r>
        <w:rPr>
          <w:spacing w:val="-1"/>
        </w:rPr>
        <w:t xml:space="preserve"> </w:t>
      </w:r>
      <w:r>
        <w:t>the "domestic industry" within</w:t>
      </w:r>
      <w:r>
        <w:rPr>
          <w:spacing w:val="-1"/>
        </w:rPr>
        <w:t xml:space="preserve"> </w:t>
      </w:r>
      <w:r>
        <w:t>the meaning</w:t>
      </w:r>
      <w:r>
        <w:rPr>
          <w:spacing w:val="-1"/>
        </w:rPr>
        <w:t xml:space="preserve"> </w:t>
      </w:r>
      <w:r>
        <w:t>of Artic</w:t>
      </w:r>
      <w:r>
        <w:t>le</w:t>
      </w:r>
      <w:r>
        <w:rPr>
          <w:spacing w:val="-2"/>
        </w:rPr>
        <w:t xml:space="preserve"> </w:t>
      </w:r>
      <w:r>
        <w:t>4</w:t>
      </w:r>
      <w:r>
        <w:rPr>
          <w:spacing w:val="-1"/>
        </w:rPr>
        <w:t xml:space="preserve"> </w:t>
      </w:r>
      <w:r>
        <w:t>of the Anti‐Dumping Agreement. The only description given of the statistics were that they related to "the area of wine grapes, output per acre, wine yield, output and loss of finished wines made</w:t>
      </w:r>
      <w:r>
        <w:rPr>
          <w:spacing w:val="-1"/>
        </w:rPr>
        <w:t xml:space="preserve"> </w:t>
      </w:r>
      <w:r>
        <w:t>from</w:t>
      </w:r>
      <w:r>
        <w:rPr>
          <w:spacing w:val="-2"/>
        </w:rPr>
        <w:t xml:space="preserve"> </w:t>
      </w:r>
      <w:r>
        <w:t>imported</w:t>
      </w:r>
      <w:r>
        <w:rPr>
          <w:spacing w:val="-3"/>
        </w:rPr>
        <w:t xml:space="preserve"> </w:t>
      </w:r>
      <w:r>
        <w:t>wines,</w:t>
      </w:r>
      <w:r>
        <w:rPr>
          <w:spacing w:val="-1"/>
        </w:rPr>
        <w:t xml:space="preserve"> </w:t>
      </w:r>
      <w:r>
        <w:t>and</w:t>
      </w:r>
      <w:r>
        <w:rPr>
          <w:spacing w:val="-2"/>
        </w:rPr>
        <w:t xml:space="preserve"> </w:t>
      </w:r>
      <w:r>
        <w:t>the</w:t>
      </w:r>
      <w:r>
        <w:rPr>
          <w:spacing w:val="-2"/>
        </w:rPr>
        <w:t xml:space="preserve"> </w:t>
      </w:r>
      <w:r>
        <w:t>production</w:t>
      </w:r>
      <w:r>
        <w:rPr>
          <w:spacing w:val="-2"/>
        </w:rPr>
        <w:t xml:space="preserve"> </w:t>
      </w:r>
      <w:r>
        <w:t>proportion</w:t>
      </w:r>
      <w:r>
        <w:rPr>
          <w:spacing w:val="-2"/>
        </w:rPr>
        <w:t xml:space="preserve"> </w:t>
      </w:r>
      <w:r>
        <w:t>of</w:t>
      </w:r>
      <w:r>
        <w:rPr>
          <w:spacing w:val="-2"/>
        </w:rPr>
        <w:t xml:space="preserve"> </w:t>
      </w:r>
      <w:r>
        <w:t>d</w:t>
      </w:r>
      <w:r>
        <w:t>ifferent</w:t>
      </w:r>
      <w:r>
        <w:rPr>
          <w:spacing w:val="-3"/>
        </w:rPr>
        <w:t xml:space="preserve"> </w:t>
      </w:r>
      <w:r>
        <w:t>wines".</w:t>
      </w:r>
      <w:r>
        <w:rPr>
          <w:vertAlign w:val="superscript"/>
        </w:rPr>
        <w:t>1135</w:t>
      </w:r>
      <w:r>
        <w:rPr>
          <w:spacing w:val="-2"/>
        </w:rPr>
        <w:t xml:space="preserve"> </w:t>
      </w:r>
      <w:r>
        <w:t>MOFCOM did</w:t>
      </w:r>
      <w:r>
        <w:rPr>
          <w:spacing w:val="-3"/>
        </w:rPr>
        <w:t xml:space="preserve"> </w:t>
      </w:r>
      <w:r>
        <w:t>not</w:t>
      </w:r>
      <w:r>
        <w:rPr>
          <w:spacing w:val="-2"/>
        </w:rPr>
        <w:t xml:space="preserve"> </w:t>
      </w:r>
      <w:r>
        <w:t>disclose</w:t>
      </w:r>
      <w:r>
        <w:rPr>
          <w:spacing w:val="-1"/>
        </w:rPr>
        <w:t xml:space="preserve"> </w:t>
      </w:r>
      <w:r>
        <w:t>to</w:t>
      </w:r>
      <w:r>
        <w:rPr>
          <w:spacing w:val="-2"/>
        </w:rPr>
        <w:t xml:space="preserve"> </w:t>
      </w:r>
      <w:r>
        <w:t>the</w:t>
      </w:r>
      <w:r>
        <w:rPr>
          <w:spacing w:val="-3"/>
        </w:rPr>
        <w:t xml:space="preserve"> </w:t>
      </w:r>
      <w:r>
        <w:t>interested</w:t>
      </w:r>
      <w:r>
        <w:rPr>
          <w:spacing w:val="-2"/>
        </w:rPr>
        <w:t xml:space="preserve"> </w:t>
      </w:r>
      <w:r>
        <w:t>parties</w:t>
      </w:r>
      <w:r>
        <w:rPr>
          <w:spacing w:val="-2"/>
        </w:rPr>
        <w:t xml:space="preserve"> </w:t>
      </w:r>
      <w:r>
        <w:t>what</w:t>
      </w:r>
      <w:r>
        <w:rPr>
          <w:spacing w:val="-3"/>
        </w:rPr>
        <w:t xml:space="preserve"> </w:t>
      </w:r>
      <w:r>
        <w:t>these</w:t>
      </w:r>
      <w:r>
        <w:rPr>
          <w:spacing w:val="-2"/>
        </w:rPr>
        <w:t xml:space="preserve"> </w:t>
      </w:r>
      <w:r>
        <w:t>statistics</w:t>
      </w:r>
      <w:r>
        <w:rPr>
          <w:spacing w:val="-2"/>
        </w:rPr>
        <w:t xml:space="preserve"> </w:t>
      </w:r>
      <w:r>
        <w:t>showed,</w:t>
      </w:r>
      <w:r>
        <w:rPr>
          <w:spacing w:val="-2"/>
        </w:rPr>
        <w:t xml:space="preserve"> </w:t>
      </w:r>
      <w:r>
        <w:t>the</w:t>
      </w:r>
      <w:r>
        <w:rPr>
          <w:spacing w:val="-2"/>
        </w:rPr>
        <w:t xml:space="preserve"> </w:t>
      </w:r>
      <w:r>
        <w:t>calculations</w:t>
      </w:r>
      <w:r>
        <w:rPr>
          <w:spacing w:val="-1"/>
        </w:rPr>
        <w:t xml:space="preserve"> </w:t>
      </w:r>
      <w:r>
        <w:t>made on the basis of these statistics, including all assumptions used in the calculations, who these "domestic organizations" were that provided the statistics, why these organisations were considered "authoritative", and how these statistics were confirme</w:t>
      </w:r>
      <w:r>
        <w:t>d to reflect the total domestic production of the like products.</w:t>
      </w:r>
    </w:p>
    <w:p w14:paraId="51DE9968" w14:textId="77777777" w:rsidR="0010369C" w:rsidRDefault="0010369C">
      <w:pPr>
        <w:pStyle w:val="BodyText"/>
        <w:spacing w:before="11"/>
        <w:rPr>
          <w:sz w:val="8"/>
        </w:rPr>
      </w:pPr>
    </w:p>
    <w:p w14:paraId="51DE9969" w14:textId="77777777" w:rsidR="0010369C" w:rsidRDefault="008E43AE">
      <w:pPr>
        <w:pStyle w:val="BodyText"/>
        <w:spacing w:before="52" w:line="360" w:lineRule="auto"/>
        <w:ind w:left="237" w:right="612" w:firstLine="851"/>
        <w:jc w:val="both"/>
      </w:pPr>
      <w:r>
        <w:rPr>
          <w:noProof/>
        </w:rPr>
        <w:drawing>
          <wp:anchor distT="0" distB="0" distL="0" distR="0" simplePos="0" relativeHeight="251561472" behindDoc="1" locked="0" layoutInCell="1" allowOverlap="1" wp14:anchorId="51DEA83C" wp14:editId="51DEA83D">
            <wp:simplePos x="0" y="0"/>
            <wp:positionH relativeFrom="page">
              <wp:posOffset>902208</wp:posOffset>
            </wp:positionH>
            <wp:positionV relativeFrom="paragraph">
              <wp:posOffset>81949</wp:posOffset>
            </wp:positionV>
            <wp:extent cx="262127" cy="100753"/>
            <wp:effectExtent l="0" t="0" r="0" b="0"/>
            <wp:wrapNone/>
            <wp:docPr id="1895" name="image9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 name="image975.png"/>
                    <pic:cNvPicPr/>
                  </pic:nvPicPr>
                  <pic:blipFill>
                    <a:blip r:embed="rId1258" cstate="print"/>
                    <a:stretch>
                      <a:fillRect/>
                    </a:stretch>
                  </pic:blipFill>
                  <pic:spPr>
                    <a:xfrm>
                      <a:off x="0" y="0"/>
                      <a:ext cx="262127" cy="100753"/>
                    </a:xfrm>
                    <a:prstGeom prst="rect">
                      <a:avLst/>
                    </a:prstGeom>
                  </pic:spPr>
                </pic:pic>
              </a:graphicData>
            </a:graphic>
          </wp:anchor>
        </w:drawing>
      </w:r>
      <w:r>
        <w:t>There is nothing on the record to suggest that this information was confidential. No explanation</w:t>
      </w:r>
      <w:r>
        <w:rPr>
          <w:spacing w:val="-11"/>
        </w:rPr>
        <w:t xml:space="preserve"> </w:t>
      </w:r>
      <w:r>
        <w:t>was</w:t>
      </w:r>
      <w:r>
        <w:rPr>
          <w:spacing w:val="-9"/>
        </w:rPr>
        <w:t xml:space="preserve"> </w:t>
      </w:r>
      <w:r>
        <w:t>given</w:t>
      </w:r>
      <w:r>
        <w:rPr>
          <w:spacing w:val="-9"/>
        </w:rPr>
        <w:t xml:space="preserve"> </w:t>
      </w:r>
      <w:r>
        <w:t>for</w:t>
      </w:r>
      <w:r>
        <w:rPr>
          <w:spacing w:val="-8"/>
        </w:rPr>
        <w:t xml:space="preserve"> </w:t>
      </w:r>
      <w:r>
        <w:t>why</w:t>
      </w:r>
      <w:r>
        <w:rPr>
          <w:spacing w:val="-8"/>
        </w:rPr>
        <w:t xml:space="preserve"> </w:t>
      </w:r>
      <w:r>
        <w:t>it</w:t>
      </w:r>
      <w:r>
        <w:rPr>
          <w:spacing w:val="-9"/>
        </w:rPr>
        <w:t xml:space="preserve"> </w:t>
      </w:r>
      <w:r>
        <w:t>was</w:t>
      </w:r>
      <w:r>
        <w:rPr>
          <w:spacing w:val="-10"/>
        </w:rPr>
        <w:t xml:space="preserve"> </w:t>
      </w:r>
      <w:r>
        <w:t>not</w:t>
      </w:r>
      <w:r>
        <w:rPr>
          <w:spacing w:val="-8"/>
        </w:rPr>
        <w:t xml:space="preserve"> </w:t>
      </w:r>
      <w:r>
        <w:t>disclosed,</w:t>
      </w:r>
      <w:r>
        <w:rPr>
          <w:spacing w:val="-8"/>
        </w:rPr>
        <w:t xml:space="preserve"> </w:t>
      </w:r>
      <w:r>
        <w:t>even</w:t>
      </w:r>
      <w:r>
        <w:rPr>
          <w:spacing w:val="-9"/>
        </w:rPr>
        <w:t xml:space="preserve"> </w:t>
      </w:r>
      <w:r>
        <w:t>though</w:t>
      </w:r>
      <w:r>
        <w:rPr>
          <w:spacing w:val="-9"/>
        </w:rPr>
        <w:t xml:space="preserve"> </w:t>
      </w:r>
      <w:r>
        <w:t>it</w:t>
      </w:r>
      <w:r>
        <w:rPr>
          <w:spacing w:val="-9"/>
        </w:rPr>
        <w:t xml:space="preserve"> </w:t>
      </w:r>
      <w:r>
        <w:t>was</w:t>
      </w:r>
      <w:r>
        <w:rPr>
          <w:spacing w:val="-9"/>
        </w:rPr>
        <w:t xml:space="preserve"> </w:t>
      </w:r>
      <w:r>
        <w:t>directly</w:t>
      </w:r>
      <w:r>
        <w:rPr>
          <w:spacing w:val="-7"/>
        </w:rPr>
        <w:t xml:space="preserve"> </w:t>
      </w:r>
      <w:r>
        <w:t>relevant</w:t>
      </w:r>
      <w:r>
        <w:rPr>
          <w:spacing w:val="-9"/>
        </w:rPr>
        <w:t xml:space="preserve"> </w:t>
      </w:r>
      <w:r>
        <w:t>to</w:t>
      </w:r>
      <w:r>
        <w:rPr>
          <w:spacing w:val="-8"/>
        </w:rPr>
        <w:t xml:space="preserve"> </w:t>
      </w:r>
      <w:r>
        <w:t>the interest</w:t>
      </w:r>
      <w:r>
        <w:t>ed</w:t>
      </w:r>
      <w:r>
        <w:rPr>
          <w:spacing w:val="-14"/>
        </w:rPr>
        <w:t xml:space="preserve"> </w:t>
      </w:r>
      <w:r>
        <w:t>parties'</w:t>
      </w:r>
      <w:r>
        <w:rPr>
          <w:spacing w:val="-14"/>
        </w:rPr>
        <w:t xml:space="preserve"> </w:t>
      </w:r>
      <w:r>
        <w:t>ability</w:t>
      </w:r>
      <w:r>
        <w:rPr>
          <w:spacing w:val="-13"/>
        </w:rPr>
        <w:t xml:space="preserve"> </w:t>
      </w:r>
      <w:r>
        <w:t>to</w:t>
      </w:r>
      <w:r>
        <w:rPr>
          <w:spacing w:val="-14"/>
        </w:rPr>
        <w:t xml:space="preserve"> </w:t>
      </w:r>
      <w:r>
        <w:t>understand</w:t>
      </w:r>
      <w:r>
        <w:rPr>
          <w:spacing w:val="-13"/>
        </w:rPr>
        <w:t xml:space="preserve"> </w:t>
      </w:r>
      <w:r>
        <w:t>and</w:t>
      </w:r>
      <w:r>
        <w:rPr>
          <w:spacing w:val="-14"/>
        </w:rPr>
        <w:t xml:space="preserve"> </w:t>
      </w:r>
      <w:r>
        <w:t>prepare</w:t>
      </w:r>
      <w:r>
        <w:rPr>
          <w:spacing w:val="-13"/>
        </w:rPr>
        <w:t xml:space="preserve"> </w:t>
      </w:r>
      <w:r>
        <w:t>submissions</w:t>
      </w:r>
      <w:r>
        <w:rPr>
          <w:spacing w:val="-14"/>
        </w:rPr>
        <w:t xml:space="preserve"> </w:t>
      </w:r>
      <w:r>
        <w:t>about</w:t>
      </w:r>
      <w:r>
        <w:rPr>
          <w:spacing w:val="-14"/>
        </w:rPr>
        <w:t xml:space="preserve"> </w:t>
      </w:r>
      <w:r>
        <w:t>the</w:t>
      </w:r>
      <w:r>
        <w:rPr>
          <w:spacing w:val="-13"/>
        </w:rPr>
        <w:t xml:space="preserve"> </w:t>
      </w:r>
      <w:r>
        <w:t>adequacy</w:t>
      </w:r>
      <w:r>
        <w:rPr>
          <w:spacing w:val="-14"/>
        </w:rPr>
        <w:t xml:space="preserve"> </w:t>
      </w:r>
      <w:r>
        <w:t>of</w:t>
      </w:r>
      <w:r>
        <w:rPr>
          <w:spacing w:val="-13"/>
        </w:rPr>
        <w:t xml:space="preserve"> </w:t>
      </w:r>
      <w:r>
        <w:t>these data</w:t>
      </w:r>
      <w:r>
        <w:rPr>
          <w:spacing w:val="-9"/>
        </w:rPr>
        <w:t xml:space="preserve"> </w:t>
      </w:r>
      <w:r>
        <w:t>and</w:t>
      </w:r>
      <w:r>
        <w:rPr>
          <w:spacing w:val="-10"/>
        </w:rPr>
        <w:t xml:space="preserve"> </w:t>
      </w:r>
      <w:r>
        <w:t>whether</w:t>
      </w:r>
      <w:r>
        <w:rPr>
          <w:spacing w:val="-10"/>
        </w:rPr>
        <w:t xml:space="preserve"> </w:t>
      </w:r>
      <w:r>
        <w:t>the</w:t>
      </w:r>
      <w:r>
        <w:rPr>
          <w:spacing w:val="-9"/>
        </w:rPr>
        <w:t xml:space="preserve"> </w:t>
      </w:r>
      <w:r>
        <w:t>identified</w:t>
      </w:r>
      <w:r>
        <w:rPr>
          <w:spacing w:val="-9"/>
        </w:rPr>
        <w:t xml:space="preserve"> </w:t>
      </w:r>
      <w:r>
        <w:t>representatives</w:t>
      </w:r>
      <w:r>
        <w:rPr>
          <w:spacing w:val="-11"/>
        </w:rPr>
        <w:t xml:space="preserve"> </w:t>
      </w:r>
      <w:r>
        <w:t>of</w:t>
      </w:r>
      <w:r>
        <w:rPr>
          <w:spacing w:val="-10"/>
        </w:rPr>
        <w:t xml:space="preserve"> </w:t>
      </w:r>
      <w:r>
        <w:t>"domestic</w:t>
      </w:r>
      <w:r>
        <w:rPr>
          <w:spacing w:val="-10"/>
        </w:rPr>
        <w:t xml:space="preserve"> </w:t>
      </w:r>
      <w:r>
        <w:t>industry"</w:t>
      </w:r>
      <w:r>
        <w:rPr>
          <w:spacing w:val="-10"/>
        </w:rPr>
        <w:t xml:space="preserve"> </w:t>
      </w:r>
      <w:r>
        <w:t>accounted</w:t>
      </w:r>
      <w:r>
        <w:rPr>
          <w:spacing w:val="-10"/>
        </w:rPr>
        <w:t xml:space="preserve"> </w:t>
      </w:r>
      <w:r>
        <w:t>for</w:t>
      </w:r>
      <w:r>
        <w:rPr>
          <w:spacing w:val="-9"/>
        </w:rPr>
        <w:t xml:space="preserve"> </w:t>
      </w:r>
      <w:r>
        <w:t>a</w:t>
      </w:r>
      <w:r>
        <w:rPr>
          <w:spacing w:val="-10"/>
        </w:rPr>
        <w:t xml:space="preserve"> </w:t>
      </w:r>
      <w:r>
        <w:t>major proportion of total domestic production of like products. Indeed, interested parties consistently indicated</w:t>
      </w:r>
      <w:r>
        <w:rPr>
          <w:spacing w:val="-1"/>
        </w:rPr>
        <w:t xml:space="preserve"> </w:t>
      </w:r>
      <w:r>
        <w:t>to</w:t>
      </w:r>
      <w:r>
        <w:rPr>
          <w:spacing w:val="-1"/>
        </w:rPr>
        <w:t xml:space="preserve"> </w:t>
      </w:r>
      <w:r>
        <w:t>MOFCOM</w:t>
      </w:r>
      <w:r>
        <w:rPr>
          <w:spacing w:val="-1"/>
        </w:rPr>
        <w:t xml:space="preserve"> </w:t>
      </w:r>
      <w:r>
        <w:t>that</w:t>
      </w:r>
      <w:r>
        <w:rPr>
          <w:spacing w:val="-1"/>
        </w:rPr>
        <w:t xml:space="preserve"> </w:t>
      </w:r>
      <w:r>
        <w:t>they</w:t>
      </w:r>
      <w:r>
        <w:rPr>
          <w:spacing w:val="-1"/>
        </w:rPr>
        <w:t xml:space="preserve"> </w:t>
      </w:r>
      <w:r>
        <w:t>did</w:t>
      </w:r>
      <w:r>
        <w:rPr>
          <w:spacing w:val="-2"/>
        </w:rPr>
        <w:t xml:space="preserve"> </w:t>
      </w:r>
      <w:r>
        <w:t>not</w:t>
      </w:r>
      <w:r>
        <w:rPr>
          <w:spacing w:val="-1"/>
        </w:rPr>
        <w:t xml:space="preserve"> </w:t>
      </w:r>
      <w:r>
        <w:t>understand</w:t>
      </w:r>
      <w:r>
        <w:rPr>
          <w:spacing w:val="-1"/>
        </w:rPr>
        <w:t xml:space="preserve"> </w:t>
      </w:r>
      <w:r>
        <w:t>the</w:t>
      </w:r>
      <w:r>
        <w:rPr>
          <w:spacing w:val="-1"/>
        </w:rPr>
        <w:t xml:space="preserve"> </w:t>
      </w:r>
      <w:r>
        <w:t>data</w:t>
      </w:r>
      <w:r>
        <w:rPr>
          <w:spacing w:val="-1"/>
        </w:rPr>
        <w:t xml:space="preserve"> </w:t>
      </w:r>
      <w:r>
        <w:t>that</w:t>
      </w:r>
      <w:r>
        <w:rPr>
          <w:spacing w:val="-2"/>
        </w:rPr>
        <w:t xml:space="preserve"> </w:t>
      </w:r>
      <w:r>
        <w:t>MOFCOM</w:t>
      </w:r>
      <w:r>
        <w:rPr>
          <w:spacing w:val="-1"/>
        </w:rPr>
        <w:t xml:space="preserve"> </w:t>
      </w:r>
      <w:r>
        <w:t>had relied</w:t>
      </w:r>
      <w:r>
        <w:rPr>
          <w:spacing w:val="-14"/>
        </w:rPr>
        <w:t xml:space="preserve"> </w:t>
      </w:r>
      <w:r>
        <w:t>upon</w:t>
      </w:r>
      <w:r>
        <w:rPr>
          <w:spacing w:val="-14"/>
        </w:rPr>
        <w:t xml:space="preserve"> </w:t>
      </w:r>
      <w:r>
        <w:t>to</w:t>
      </w:r>
      <w:r>
        <w:rPr>
          <w:spacing w:val="-13"/>
        </w:rPr>
        <w:t xml:space="preserve"> </w:t>
      </w:r>
      <w:r>
        <w:t>identify</w:t>
      </w:r>
      <w:r>
        <w:rPr>
          <w:spacing w:val="-14"/>
        </w:rPr>
        <w:t xml:space="preserve"> </w:t>
      </w:r>
      <w:r>
        <w:t>the</w:t>
      </w:r>
      <w:r>
        <w:rPr>
          <w:spacing w:val="-13"/>
        </w:rPr>
        <w:t xml:space="preserve"> </w:t>
      </w:r>
      <w:r>
        <w:t>domestic</w:t>
      </w:r>
      <w:r>
        <w:rPr>
          <w:spacing w:val="-14"/>
        </w:rPr>
        <w:t xml:space="preserve"> </w:t>
      </w:r>
      <w:r>
        <w:t>industry.</w:t>
      </w:r>
      <w:r>
        <w:rPr>
          <w:vertAlign w:val="superscript"/>
        </w:rPr>
        <w:t>1136</w:t>
      </w:r>
      <w:r>
        <w:rPr>
          <w:spacing w:val="-13"/>
        </w:rPr>
        <w:t xml:space="preserve"> </w:t>
      </w:r>
      <w:r>
        <w:t>MOFCOM's</w:t>
      </w:r>
      <w:r>
        <w:rPr>
          <w:spacing w:val="-14"/>
        </w:rPr>
        <w:t xml:space="preserve"> </w:t>
      </w:r>
      <w:r>
        <w:t>failure</w:t>
      </w:r>
      <w:r>
        <w:rPr>
          <w:spacing w:val="-14"/>
        </w:rPr>
        <w:t xml:space="preserve"> </w:t>
      </w:r>
      <w:r>
        <w:t>to</w:t>
      </w:r>
      <w:r>
        <w:rPr>
          <w:spacing w:val="-13"/>
        </w:rPr>
        <w:t xml:space="preserve"> </w:t>
      </w:r>
      <w:r>
        <w:t>allow</w:t>
      </w:r>
      <w:r>
        <w:rPr>
          <w:spacing w:val="-14"/>
        </w:rPr>
        <w:t xml:space="preserve"> </w:t>
      </w:r>
      <w:r>
        <w:t>i</w:t>
      </w:r>
      <w:r>
        <w:t>nterested</w:t>
      </w:r>
      <w:r>
        <w:rPr>
          <w:spacing w:val="-13"/>
        </w:rPr>
        <w:t xml:space="preserve"> </w:t>
      </w:r>
      <w:r>
        <w:t>parties to see the information denied the parties a full opportunity to defend their interests.</w:t>
      </w:r>
    </w:p>
    <w:p w14:paraId="51DE996A" w14:textId="77777777" w:rsidR="0010369C" w:rsidRDefault="0010369C">
      <w:pPr>
        <w:pStyle w:val="BodyText"/>
        <w:rPr>
          <w:sz w:val="20"/>
        </w:rPr>
      </w:pPr>
    </w:p>
    <w:p w14:paraId="51DE996B" w14:textId="77777777" w:rsidR="0010369C" w:rsidRDefault="0010369C">
      <w:pPr>
        <w:pStyle w:val="BodyText"/>
        <w:rPr>
          <w:sz w:val="20"/>
        </w:rPr>
      </w:pPr>
    </w:p>
    <w:p w14:paraId="51DE996C" w14:textId="77777777" w:rsidR="0010369C" w:rsidRDefault="0010369C">
      <w:pPr>
        <w:pStyle w:val="BodyText"/>
        <w:rPr>
          <w:sz w:val="20"/>
        </w:rPr>
      </w:pPr>
    </w:p>
    <w:p w14:paraId="51DE996D" w14:textId="77777777" w:rsidR="0010369C" w:rsidRDefault="0010369C">
      <w:pPr>
        <w:pStyle w:val="BodyText"/>
        <w:rPr>
          <w:sz w:val="20"/>
        </w:rPr>
      </w:pPr>
    </w:p>
    <w:p w14:paraId="51DE996E" w14:textId="77777777" w:rsidR="0010369C" w:rsidRDefault="0010369C">
      <w:pPr>
        <w:pStyle w:val="BodyText"/>
        <w:rPr>
          <w:sz w:val="20"/>
        </w:rPr>
      </w:pPr>
    </w:p>
    <w:p w14:paraId="51DE996F" w14:textId="77777777" w:rsidR="0010369C" w:rsidRDefault="0010369C">
      <w:pPr>
        <w:pStyle w:val="BodyText"/>
        <w:rPr>
          <w:sz w:val="20"/>
        </w:rPr>
      </w:pPr>
    </w:p>
    <w:p w14:paraId="51DE9970" w14:textId="77777777" w:rsidR="0010369C" w:rsidRDefault="008E43AE">
      <w:pPr>
        <w:pStyle w:val="BodyText"/>
        <w:spacing w:before="7"/>
        <w:rPr>
          <w:sz w:val="16"/>
        </w:rPr>
      </w:pPr>
      <w:r>
        <w:pict w14:anchorId="51DEA83E">
          <v:rect id="docshape1375" o:spid="_x0000_s1099" style="position:absolute;margin-left:70.9pt;margin-top:11.35pt;width:2in;height:.8pt;z-index:-250699264;mso-wrap-distance-left:0;mso-wrap-distance-right:0;mso-position-horizontal-relative:page" fillcolor="black" stroked="f">
            <w10:wrap type="topAndBottom" anchorx="page"/>
          </v:rect>
        </w:pict>
      </w:r>
    </w:p>
    <w:p w14:paraId="51DE9971" w14:textId="77777777" w:rsidR="0010369C" w:rsidRDefault="008E43AE">
      <w:pPr>
        <w:spacing w:before="109"/>
        <w:ind w:left="238" w:right="5157"/>
        <w:jc w:val="both"/>
        <w:rPr>
          <w:sz w:val="18"/>
        </w:rPr>
      </w:pPr>
      <w:r>
        <w:rPr>
          <w:sz w:val="18"/>
          <w:vertAlign w:val="superscript"/>
        </w:rPr>
        <w:t>1133</w:t>
      </w:r>
      <w:r>
        <w:rPr>
          <w:spacing w:val="-5"/>
          <w:sz w:val="18"/>
        </w:rPr>
        <w:t xml:space="preserve"> </w:t>
      </w:r>
      <w:r>
        <w:rPr>
          <w:sz w:val="18"/>
        </w:rPr>
        <w:t>Anti‐Dumping</w:t>
      </w:r>
      <w:r>
        <w:rPr>
          <w:spacing w:val="-5"/>
          <w:sz w:val="18"/>
        </w:rPr>
        <w:t xml:space="preserve"> </w:t>
      </w:r>
      <w:r>
        <w:rPr>
          <w:sz w:val="18"/>
        </w:rPr>
        <w:t>Final</w:t>
      </w:r>
      <w:r>
        <w:rPr>
          <w:spacing w:val="-5"/>
          <w:sz w:val="18"/>
        </w:rPr>
        <w:t xml:space="preserve"> </w:t>
      </w:r>
      <w:r>
        <w:rPr>
          <w:sz w:val="18"/>
        </w:rPr>
        <w:t>Determination</w:t>
      </w:r>
      <w:r>
        <w:rPr>
          <w:spacing w:val="-4"/>
          <w:sz w:val="18"/>
        </w:rPr>
        <w:t xml:space="preserve"> </w:t>
      </w:r>
      <w:r>
        <w:rPr>
          <w:sz w:val="18"/>
        </w:rPr>
        <w:t>(Exhibit</w:t>
      </w:r>
      <w:r>
        <w:rPr>
          <w:spacing w:val="-5"/>
          <w:sz w:val="18"/>
        </w:rPr>
        <w:t xml:space="preserve"> </w:t>
      </w:r>
      <w:r>
        <w:rPr>
          <w:sz w:val="18"/>
        </w:rPr>
        <w:t>AUS‐2),</w:t>
      </w:r>
      <w:r>
        <w:rPr>
          <w:spacing w:val="-6"/>
          <w:sz w:val="18"/>
        </w:rPr>
        <w:t xml:space="preserve"> </w:t>
      </w:r>
      <w:r>
        <w:rPr>
          <w:sz w:val="18"/>
        </w:rPr>
        <w:t>p.</w:t>
      </w:r>
      <w:r>
        <w:rPr>
          <w:spacing w:val="-5"/>
          <w:sz w:val="18"/>
        </w:rPr>
        <w:t xml:space="preserve"> </w:t>
      </w:r>
      <w:r>
        <w:rPr>
          <w:sz w:val="18"/>
        </w:rPr>
        <w:t xml:space="preserve">108. </w:t>
      </w:r>
      <w:r>
        <w:rPr>
          <w:sz w:val="18"/>
          <w:vertAlign w:val="superscript"/>
        </w:rPr>
        <w:t>1134</w:t>
      </w:r>
      <w:r>
        <w:rPr>
          <w:spacing w:val="-5"/>
          <w:sz w:val="18"/>
        </w:rPr>
        <w:t xml:space="preserve"> </w:t>
      </w:r>
      <w:r>
        <w:rPr>
          <w:sz w:val="18"/>
        </w:rPr>
        <w:t>Anti‐Dumping</w:t>
      </w:r>
      <w:r>
        <w:rPr>
          <w:spacing w:val="-5"/>
          <w:sz w:val="18"/>
        </w:rPr>
        <w:t xml:space="preserve"> </w:t>
      </w:r>
      <w:r>
        <w:rPr>
          <w:sz w:val="18"/>
        </w:rPr>
        <w:t>Final</w:t>
      </w:r>
      <w:r>
        <w:rPr>
          <w:spacing w:val="-5"/>
          <w:sz w:val="18"/>
        </w:rPr>
        <w:t xml:space="preserve"> </w:t>
      </w:r>
      <w:r>
        <w:rPr>
          <w:sz w:val="18"/>
        </w:rPr>
        <w:t>Determination</w:t>
      </w:r>
      <w:r>
        <w:rPr>
          <w:spacing w:val="-4"/>
          <w:sz w:val="18"/>
        </w:rPr>
        <w:t xml:space="preserve"> </w:t>
      </w:r>
      <w:r>
        <w:rPr>
          <w:sz w:val="18"/>
        </w:rPr>
        <w:t>(Exhibit</w:t>
      </w:r>
      <w:r>
        <w:rPr>
          <w:spacing w:val="-5"/>
          <w:sz w:val="18"/>
        </w:rPr>
        <w:t xml:space="preserve"> </w:t>
      </w:r>
      <w:r>
        <w:rPr>
          <w:sz w:val="18"/>
        </w:rPr>
        <w:t>AUS‐2),</w:t>
      </w:r>
      <w:r>
        <w:rPr>
          <w:spacing w:val="-6"/>
          <w:sz w:val="18"/>
        </w:rPr>
        <w:t xml:space="preserve"> </w:t>
      </w:r>
      <w:r>
        <w:rPr>
          <w:sz w:val="18"/>
        </w:rPr>
        <w:t>p.</w:t>
      </w:r>
      <w:r>
        <w:rPr>
          <w:spacing w:val="-5"/>
          <w:sz w:val="18"/>
        </w:rPr>
        <w:t xml:space="preserve"> </w:t>
      </w:r>
      <w:r>
        <w:rPr>
          <w:sz w:val="18"/>
        </w:rPr>
        <w:t xml:space="preserve">108. </w:t>
      </w:r>
      <w:r>
        <w:rPr>
          <w:sz w:val="18"/>
          <w:vertAlign w:val="superscript"/>
        </w:rPr>
        <w:t>1135</w:t>
      </w:r>
      <w:r>
        <w:rPr>
          <w:spacing w:val="-9"/>
          <w:sz w:val="18"/>
        </w:rPr>
        <w:t xml:space="preserve"> </w:t>
      </w:r>
      <w:r>
        <w:rPr>
          <w:sz w:val="18"/>
        </w:rPr>
        <w:t>Anti‐Dumping</w:t>
      </w:r>
      <w:r>
        <w:rPr>
          <w:spacing w:val="-9"/>
          <w:sz w:val="18"/>
        </w:rPr>
        <w:t xml:space="preserve"> </w:t>
      </w:r>
      <w:r>
        <w:rPr>
          <w:sz w:val="18"/>
        </w:rPr>
        <w:t>Final</w:t>
      </w:r>
      <w:r>
        <w:rPr>
          <w:spacing w:val="-9"/>
          <w:sz w:val="18"/>
        </w:rPr>
        <w:t xml:space="preserve"> </w:t>
      </w:r>
      <w:r>
        <w:rPr>
          <w:sz w:val="18"/>
        </w:rPr>
        <w:t>Determination</w:t>
      </w:r>
      <w:r>
        <w:rPr>
          <w:spacing w:val="-8"/>
          <w:sz w:val="18"/>
        </w:rPr>
        <w:t xml:space="preserve"> </w:t>
      </w:r>
      <w:r>
        <w:rPr>
          <w:sz w:val="18"/>
        </w:rPr>
        <w:t>(Exhibit</w:t>
      </w:r>
      <w:r>
        <w:rPr>
          <w:spacing w:val="-9"/>
          <w:sz w:val="18"/>
        </w:rPr>
        <w:t xml:space="preserve"> </w:t>
      </w:r>
      <w:r>
        <w:rPr>
          <w:sz w:val="18"/>
        </w:rPr>
        <w:t>AUS‐2),</w:t>
      </w:r>
      <w:r>
        <w:rPr>
          <w:spacing w:val="-10"/>
          <w:sz w:val="18"/>
        </w:rPr>
        <w:t xml:space="preserve"> </w:t>
      </w:r>
      <w:r>
        <w:rPr>
          <w:sz w:val="18"/>
        </w:rPr>
        <w:t>p.</w:t>
      </w:r>
      <w:r>
        <w:rPr>
          <w:spacing w:val="-9"/>
          <w:sz w:val="18"/>
        </w:rPr>
        <w:t xml:space="preserve"> </w:t>
      </w:r>
      <w:r>
        <w:rPr>
          <w:spacing w:val="-4"/>
          <w:sz w:val="18"/>
        </w:rPr>
        <w:t>109.</w:t>
      </w:r>
    </w:p>
    <w:p w14:paraId="51DE9972" w14:textId="77777777" w:rsidR="0010369C" w:rsidRDefault="008E43AE">
      <w:pPr>
        <w:spacing w:before="1"/>
        <w:ind w:left="237" w:right="615"/>
        <w:jc w:val="both"/>
        <w:rPr>
          <w:sz w:val="18"/>
        </w:rPr>
      </w:pPr>
      <w:r>
        <w:rPr>
          <w:sz w:val="18"/>
          <w:vertAlign w:val="superscript"/>
        </w:rPr>
        <w:t>1136</w:t>
      </w:r>
      <w:r>
        <w:rPr>
          <w:sz w:val="18"/>
        </w:rPr>
        <w:t xml:space="preserve"> Australian Government Submission on Initiation (Exhibit AUS‐87), pp. 1, 6‐7; Australian Government Comments on the Final</w:t>
      </w:r>
      <w:r>
        <w:rPr>
          <w:spacing w:val="-5"/>
          <w:sz w:val="18"/>
        </w:rPr>
        <w:t xml:space="preserve"> </w:t>
      </w:r>
      <w:r>
        <w:rPr>
          <w:sz w:val="18"/>
        </w:rPr>
        <w:t>Disclosure</w:t>
      </w:r>
      <w:r>
        <w:rPr>
          <w:spacing w:val="-4"/>
          <w:sz w:val="18"/>
        </w:rPr>
        <w:t xml:space="preserve"> </w:t>
      </w:r>
      <w:r>
        <w:rPr>
          <w:sz w:val="18"/>
        </w:rPr>
        <w:t>(Exhibit</w:t>
      </w:r>
      <w:r>
        <w:rPr>
          <w:spacing w:val="-5"/>
          <w:sz w:val="18"/>
        </w:rPr>
        <w:t xml:space="preserve"> </w:t>
      </w:r>
      <w:r>
        <w:rPr>
          <w:sz w:val="18"/>
        </w:rPr>
        <w:t>AUS‐96),</w:t>
      </w:r>
      <w:r>
        <w:rPr>
          <w:spacing w:val="-5"/>
          <w:sz w:val="18"/>
        </w:rPr>
        <w:t xml:space="preserve"> </w:t>
      </w:r>
      <w:r>
        <w:rPr>
          <w:sz w:val="18"/>
        </w:rPr>
        <w:t>p.</w:t>
      </w:r>
      <w:r>
        <w:rPr>
          <w:spacing w:val="-5"/>
          <w:sz w:val="18"/>
        </w:rPr>
        <w:t xml:space="preserve"> </w:t>
      </w:r>
      <w:r>
        <w:rPr>
          <w:sz w:val="18"/>
        </w:rPr>
        <w:t>3;</w:t>
      </w:r>
      <w:r>
        <w:rPr>
          <w:spacing w:val="-5"/>
          <w:sz w:val="18"/>
        </w:rPr>
        <w:t xml:space="preserve"> </w:t>
      </w:r>
      <w:r>
        <w:rPr>
          <w:sz w:val="18"/>
        </w:rPr>
        <w:t>AGW</w:t>
      </w:r>
      <w:r>
        <w:rPr>
          <w:spacing w:val="-6"/>
          <w:sz w:val="18"/>
        </w:rPr>
        <w:t xml:space="preserve"> </w:t>
      </w:r>
      <w:r>
        <w:rPr>
          <w:sz w:val="18"/>
        </w:rPr>
        <w:t>Submission</w:t>
      </w:r>
      <w:r>
        <w:rPr>
          <w:spacing w:val="-4"/>
          <w:sz w:val="18"/>
        </w:rPr>
        <w:t xml:space="preserve"> </w:t>
      </w:r>
      <w:r>
        <w:rPr>
          <w:sz w:val="18"/>
        </w:rPr>
        <w:t>on</w:t>
      </w:r>
      <w:r>
        <w:rPr>
          <w:spacing w:val="-5"/>
          <w:sz w:val="18"/>
        </w:rPr>
        <w:t xml:space="preserve"> </w:t>
      </w:r>
      <w:r>
        <w:rPr>
          <w:sz w:val="18"/>
        </w:rPr>
        <w:t>Initiation</w:t>
      </w:r>
      <w:r>
        <w:rPr>
          <w:spacing w:val="-5"/>
          <w:sz w:val="18"/>
        </w:rPr>
        <w:t xml:space="preserve"> </w:t>
      </w:r>
      <w:r>
        <w:rPr>
          <w:sz w:val="18"/>
        </w:rPr>
        <w:t>of</w:t>
      </w:r>
      <w:r>
        <w:rPr>
          <w:spacing w:val="-5"/>
          <w:sz w:val="18"/>
        </w:rPr>
        <w:t xml:space="preserve"> </w:t>
      </w:r>
      <w:r>
        <w:rPr>
          <w:sz w:val="18"/>
        </w:rPr>
        <w:t>the</w:t>
      </w:r>
      <w:r>
        <w:rPr>
          <w:spacing w:val="-4"/>
          <w:sz w:val="18"/>
        </w:rPr>
        <w:t xml:space="preserve"> </w:t>
      </w:r>
      <w:r>
        <w:rPr>
          <w:sz w:val="18"/>
        </w:rPr>
        <w:t>I</w:t>
      </w:r>
      <w:r>
        <w:rPr>
          <w:sz w:val="18"/>
        </w:rPr>
        <w:t>nvestigation</w:t>
      </w:r>
      <w:r>
        <w:rPr>
          <w:spacing w:val="-5"/>
          <w:sz w:val="18"/>
        </w:rPr>
        <w:t xml:space="preserve"> </w:t>
      </w:r>
      <w:r>
        <w:rPr>
          <w:sz w:val="18"/>
        </w:rPr>
        <w:t>(Exhibit</w:t>
      </w:r>
      <w:r>
        <w:rPr>
          <w:spacing w:val="-5"/>
          <w:sz w:val="18"/>
        </w:rPr>
        <w:t xml:space="preserve"> </w:t>
      </w:r>
      <w:r>
        <w:rPr>
          <w:sz w:val="18"/>
        </w:rPr>
        <w:t>AUS‐71),</w:t>
      </w:r>
      <w:r>
        <w:rPr>
          <w:spacing w:val="-6"/>
          <w:sz w:val="18"/>
        </w:rPr>
        <w:t xml:space="preserve"> </w:t>
      </w:r>
      <w:r>
        <w:rPr>
          <w:sz w:val="18"/>
        </w:rPr>
        <w:t>p.</w:t>
      </w:r>
      <w:r>
        <w:rPr>
          <w:spacing w:val="-5"/>
          <w:sz w:val="18"/>
        </w:rPr>
        <w:t xml:space="preserve"> </w:t>
      </w:r>
      <w:r>
        <w:rPr>
          <w:sz w:val="18"/>
        </w:rPr>
        <w:t>7;</w:t>
      </w:r>
      <w:r>
        <w:rPr>
          <w:spacing w:val="-5"/>
          <w:sz w:val="18"/>
        </w:rPr>
        <w:t xml:space="preserve"> </w:t>
      </w:r>
      <w:r>
        <w:rPr>
          <w:sz w:val="18"/>
        </w:rPr>
        <w:t>see</w:t>
      </w:r>
      <w:r>
        <w:rPr>
          <w:spacing w:val="-4"/>
          <w:sz w:val="18"/>
        </w:rPr>
        <w:t xml:space="preserve"> </w:t>
      </w:r>
      <w:r>
        <w:rPr>
          <w:sz w:val="18"/>
        </w:rPr>
        <w:t>also</w:t>
      </w:r>
      <w:r>
        <w:rPr>
          <w:spacing w:val="-5"/>
          <w:sz w:val="18"/>
        </w:rPr>
        <w:t xml:space="preserve"> </w:t>
      </w:r>
      <w:r>
        <w:rPr>
          <w:sz w:val="18"/>
        </w:rPr>
        <w:t>AGW Comments on the Final Disclosure (Exhibit AUS‐97), p. 1.</w:t>
      </w:r>
    </w:p>
    <w:p w14:paraId="51DE9973" w14:textId="77777777" w:rsidR="0010369C" w:rsidRDefault="0010369C">
      <w:pPr>
        <w:jc w:val="both"/>
        <w:rPr>
          <w:sz w:val="18"/>
        </w:rPr>
        <w:sectPr w:rsidR="0010369C">
          <w:pgSz w:w="11910" w:h="16840"/>
          <w:pgMar w:top="880" w:right="800" w:bottom="980" w:left="1180" w:header="569" w:footer="788" w:gutter="0"/>
          <w:cols w:space="720"/>
        </w:sectPr>
      </w:pPr>
    </w:p>
    <w:p w14:paraId="51DE9974" w14:textId="77777777" w:rsidR="0010369C" w:rsidRDefault="008E43AE">
      <w:pPr>
        <w:tabs>
          <w:tab w:val="left" w:pos="6426"/>
        </w:tabs>
        <w:ind w:left="238"/>
        <w:rPr>
          <w:sz w:val="20"/>
        </w:rPr>
      </w:pPr>
      <w:r>
        <w:rPr>
          <w:i/>
          <w:sz w:val="20"/>
        </w:rPr>
        <w:lastRenderedPageBreak/>
        <w:t>China</w:t>
      </w:r>
      <w:r>
        <w:rPr>
          <w:i/>
          <w:spacing w:val="-5"/>
          <w:sz w:val="20"/>
        </w:rPr>
        <w:t xml:space="preserve"> </w:t>
      </w:r>
      <w:r>
        <w:rPr>
          <w:i/>
          <w:sz w:val="20"/>
        </w:rPr>
        <w:t>–</w:t>
      </w:r>
      <w:r>
        <w:rPr>
          <w:i/>
          <w:spacing w:val="-5"/>
          <w:sz w:val="20"/>
        </w:rPr>
        <w:t xml:space="preserve"> </w:t>
      </w:r>
      <w:r>
        <w:rPr>
          <w:i/>
          <w:sz w:val="20"/>
        </w:rPr>
        <w:t>Anti‐Dumping</w:t>
      </w:r>
      <w:r>
        <w:rPr>
          <w:i/>
          <w:spacing w:val="-4"/>
          <w:sz w:val="20"/>
        </w:rPr>
        <w:t xml:space="preserve"> </w:t>
      </w:r>
      <w:r>
        <w:rPr>
          <w:i/>
          <w:sz w:val="20"/>
        </w:rPr>
        <w:t>and</w:t>
      </w:r>
      <w:r>
        <w:rPr>
          <w:i/>
          <w:spacing w:val="-5"/>
          <w:sz w:val="20"/>
        </w:rPr>
        <w:t xml:space="preserve"> </w:t>
      </w:r>
      <w:r>
        <w:rPr>
          <w:i/>
          <w:sz w:val="20"/>
        </w:rPr>
        <w:t>Countervailing</w:t>
      </w:r>
      <w:r>
        <w:rPr>
          <w:i/>
          <w:spacing w:val="-5"/>
          <w:sz w:val="20"/>
        </w:rPr>
        <w:t xml:space="preserve"> </w:t>
      </w:r>
      <w:r>
        <w:rPr>
          <w:i/>
          <w:sz w:val="20"/>
        </w:rPr>
        <w:t>Duty</w:t>
      </w:r>
      <w:r>
        <w:rPr>
          <w:i/>
          <w:spacing w:val="-4"/>
          <w:sz w:val="20"/>
        </w:rPr>
        <w:t xml:space="preserve"> </w:t>
      </w:r>
      <w:r>
        <w:rPr>
          <w:i/>
          <w:spacing w:val="-2"/>
          <w:sz w:val="20"/>
        </w:rPr>
        <w:t>Measures</w:t>
      </w:r>
      <w:r>
        <w:rPr>
          <w:i/>
          <w:sz w:val="20"/>
        </w:rPr>
        <w:tab/>
      </w:r>
      <w:r>
        <w:rPr>
          <w:sz w:val="20"/>
        </w:rPr>
        <w:t>Australia's</w:t>
      </w:r>
      <w:r>
        <w:rPr>
          <w:spacing w:val="-7"/>
          <w:sz w:val="20"/>
        </w:rPr>
        <w:t xml:space="preserve"> </w:t>
      </w:r>
      <w:r>
        <w:rPr>
          <w:sz w:val="20"/>
        </w:rPr>
        <w:t>First</w:t>
      </w:r>
      <w:r>
        <w:rPr>
          <w:spacing w:val="-2"/>
          <w:sz w:val="20"/>
        </w:rPr>
        <w:t xml:space="preserve"> </w:t>
      </w:r>
      <w:r>
        <w:rPr>
          <w:sz w:val="20"/>
        </w:rPr>
        <w:t>Written</w:t>
      </w:r>
      <w:r>
        <w:rPr>
          <w:spacing w:val="-2"/>
          <w:sz w:val="20"/>
        </w:rPr>
        <w:t xml:space="preserve"> Submission</w:t>
      </w:r>
    </w:p>
    <w:p w14:paraId="51DE9975" w14:textId="77777777" w:rsidR="0010369C" w:rsidRDefault="008E43AE">
      <w:pPr>
        <w:tabs>
          <w:tab w:val="left" w:pos="8228"/>
        </w:tabs>
        <w:spacing w:before="1"/>
        <w:ind w:left="239"/>
        <w:rPr>
          <w:sz w:val="20"/>
        </w:rPr>
      </w:pPr>
      <w:r>
        <w:rPr>
          <w:i/>
          <w:sz w:val="20"/>
        </w:rPr>
        <w:t>on</w:t>
      </w:r>
      <w:r>
        <w:rPr>
          <w:i/>
          <w:spacing w:val="-1"/>
          <w:sz w:val="20"/>
        </w:rPr>
        <w:t xml:space="preserve"> </w:t>
      </w:r>
      <w:r>
        <w:rPr>
          <w:i/>
          <w:sz w:val="20"/>
        </w:rPr>
        <w:t>Wine</w:t>
      </w:r>
      <w:r>
        <w:rPr>
          <w:i/>
          <w:spacing w:val="-1"/>
          <w:sz w:val="20"/>
        </w:rPr>
        <w:t xml:space="preserve"> </w:t>
      </w:r>
      <w:r>
        <w:rPr>
          <w:i/>
          <w:sz w:val="20"/>
        </w:rPr>
        <w:t>from</w:t>
      </w:r>
      <w:r>
        <w:rPr>
          <w:i/>
          <w:spacing w:val="-3"/>
          <w:sz w:val="20"/>
        </w:rPr>
        <w:t xml:space="preserve"> </w:t>
      </w:r>
      <w:r>
        <w:rPr>
          <w:i/>
          <w:sz w:val="20"/>
        </w:rPr>
        <w:t>Australia</w:t>
      </w:r>
      <w:r>
        <w:rPr>
          <w:i/>
          <w:spacing w:val="-1"/>
          <w:sz w:val="20"/>
        </w:rPr>
        <w:t xml:space="preserve"> </w:t>
      </w:r>
      <w:r>
        <w:rPr>
          <w:spacing w:val="-2"/>
          <w:sz w:val="20"/>
        </w:rPr>
        <w:t>(DS602)</w:t>
      </w:r>
      <w:r>
        <w:rPr>
          <w:sz w:val="20"/>
        </w:rPr>
        <w:tab/>
        <w:t>29</w:t>
      </w:r>
      <w:r>
        <w:rPr>
          <w:spacing w:val="-1"/>
          <w:sz w:val="20"/>
        </w:rPr>
        <w:t xml:space="preserve"> </w:t>
      </w:r>
      <w:r>
        <w:rPr>
          <w:sz w:val="20"/>
        </w:rPr>
        <w:t>April</w:t>
      </w:r>
      <w:r>
        <w:rPr>
          <w:spacing w:val="-2"/>
          <w:sz w:val="20"/>
        </w:rPr>
        <w:t xml:space="preserve"> </w:t>
      </w:r>
      <w:r>
        <w:rPr>
          <w:spacing w:val="-4"/>
          <w:sz w:val="20"/>
        </w:rPr>
        <w:t>2022</w:t>
      </w:r>
    </w:p>
    <w:p w14:paraId="51DE9976" w14:textId="77777777" w:rsidR="0010369C" w:rsidRDefault="008E43AE">
      <w:pPr>
        <w:pStyle w:val="ListParagraph"/>
        <w:numPr>
          <w:ilvl w:val="3"/>
          <w:numId w:val="75"/>
        </w:numPr>
        <w:tabs>
          <w:tab w:val="left" w:pos="3642"/>
          <w:tab w:val="left" w:pos="3643"/>
        </w:tabs>
        <w:spacing w:before="35"/>
        <w:ind w:hanging="853"/>
        <w:rPr>
          <w:sz w:val="24"/>
        </w:rPr>
      </w:pPr>
      <w:r>
        <w:rPr>
          <w:sz w:val="24"/>
          <w:u w:val="single"/>
        </w:rPr>
        <w:t>Determination</w:t>
      </w:r>
      <w:r>
        <w:rPr>
          <w:spacing w:val="-8"/>
          <w:sz w:val="24"/>
          <w:u w:val="single"/>
        </w:rPr>
        <w:t xml:space="preserve"> </w:t>
      </w:r>
      <w:r>
        <w:rPr>
          <w:sz w:val="24"/>
          <w:u w:val="single"/>
        </w:rPr>
        <w:t>of</w:t>
      </w:r>
      <w:r>
        <w:rPr>
          <w:spacing w:val="-9"/>
          <w:sz w:val="24"/>
          <w:u w:val="single"/>
        </w:rPr>
        <w:t xml:space="preserve"> </w:t>
      </w:r>
      <w:r>
        <w:rPr>
          <w:sz w:val="24"/>
          <w:u w:val="single"/>
        </w:rPr>
        <w:t>Normal</w:t>
      </w:r>
      <w:r>
        <w:rPr>
          <w:spacing w:val="-9"/>
          <w:sz w:val="24"/>
          <w:u w:val="single"/>
        </w:rPr>
        <w:t xml:space="preserve"> </w:t>
      </w:r>
      <w:r>
        <w:rPr>
          <w:spacing w:val="-2"/>
          <w:sz w:val="24"/>
          <w:u w:val="single"/>
        </w:rPr>
        <w:t>Value</w:t>
      </w:r>
    </w:p>
    <w:p w14:paraId="51DE9977" w14:textId="77777777" w:rsidR="0010369C" w:rsidRDefault="0010369C">
      <w:pPr>
        <w:pStyle w:val="BodyText"/>
        <w:spacing w:before="9"/>
        <w:rPr>
          <w:sz w:val="20"/>
        </w:rPr>
      </w:pPr>
    </w:p>
    <w:p w14:paraId="51DE9978" w14:textId="77777777" w:rsidR="0010369C" w:rsidRDefault="008E43AE">
      <w:pPr>
        <w:pStyle w:val="BodyText"/>
        <w:spacing w:before="52" w:line="360" w:lineRule="auto"/>
        <w:ind w:left="237" w:right="614" w:firstLine="851"/>
        <w:jc w:val="both"/>
      </w:pPr>
      <w:r>
        <w:rPr>
          <w:noProof/>
        </w:rPr>
        <w:drawing>
          <wp:anchor distT="0" distB="0" distL="0" distR="0" simplePos="0" relativeHeight="251562496" behindDoc="1" locked="0" layoutInCell="1" allowOverlap="1" wp14:anchorId="51DEA83F" wp14:editId="51DEA840">
            <wp:simplePos x="0" y="0"/>
            <wp:positionH relativeFrom="page">
              <wp:posOffset>902208</wp:posOffset>
            </wp:positionH>
            <wp:positionV relativeFrom="paragraph">
              <wp:posOffset>81357</wp:posOffset>
            </wp:positionV>
            <wp:extent cx="262127" cy="103631"/>
            <wp:effectExtent l="0" t="0" r="0" b="0"/>
            <wp:wrapNone/>
            <wp:docPr id="1897" name="image9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 name="image976.png"/>
                    <pic:cNvPicPr/>
                  </pic:nvPicPr>
                  <pic:blipFill>
                    <a:blip r:embed="rId1259" cstate="print"/>
                    <a:stretch>
                      <a:fillRect/>
                    </a:stretch>
                  </pic:blipFill>
                  <pic:spPr>
                    <a:xfrm>
                      <a:off x="0" y="0"/>
                      <a:ext cx="262127" cy="103631"/>
                    </a:xfrm>
                    <a:prstGeom prst="rect">
                      <a:avLst/>
                    </a:prstGeom>
                  </pic:spPr>
                </pic:pic>
              </a:graphicData>
            </a:graphic>
          </wp:anchor>
        </w:drawing>
      </w:r>
      <w:r>
        <w:t>MOFCOM failed to provide interested parties with all relevant non‐confidential information that it relied upon when calculating normal value for Casella Wines and Swan Vintage, notwithstanding that interested parties had requested it.</w:t>
      </w:r>
      <w:r>
        <w:rPr>
          <w:vertAlign w:val="superscript"/>
        </w:rPr>
        <w:t>1137</w:t>
      </w:r>
    </w:p>
    <w:p w14:paraId="51DE9979" w14:textId="77777777" w:rsidR="0010369C" w:rsidRDefault="0010369C">
      <w:pPr>
        <w:pStyle w:val="BodyText"/>
        <w:spacing w:before="11"/>
        <w:rPr>
          <w:sz w:val="8"/>
        </w:rPr>
      </w:pPr>
    </w:p>
    <w:p w14:paraId="51DE997A" w14:textId="77777777" w:rsidR="0010369C" w:rsidRDefault="008E43AE">
      <w:pPr>
        <w:pStyle w:val="BodyText"/>
        <w:spacing w:before="51" w:line="360" w:lineRule="auto"/>
        <w:ind w:left="236" w:right="612" w:firstLine="852"/>
        <w:jc w:val="both"/>
      </w:pPr>
      <w:r>
        <w:rPr>
          <w:noProof/>
        </w:rPr>
        <w:drawing>
          <wp:anchor distT="0" distB="0" distL="0" distR="0" simplePos="0" relativeHeight="251563520" behindDoc="1" locked="0" layoutInCell="1" allowOverlap="1" wp14:anchorId="51DEA841" wp14:editId="51DEA842">
            <wp:simplePos x="0" y="0"/>
            <wp:positionH relativeFrom="page">
              <wp:posOffset>902208</wp:posOffset>
            </wp:positionH>
            <wp:positionV relativeFrom="paragraph">
              <wp:posOffset>80722</wp:posOffset>
            </wp:positionV>
            <wp:extent cx="262127" cy="103631"/>
            <wp:effectExtent l="0" t="0" r="0" b="0"/>
            <wp:wrapNone/>
            <wp:docPr id="1899" name="image9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 name="image977.png"/>
                    <pic:cNvPicPr/>
                  </pic:nvPicPr>
                  <pic:blipFill>
                    <a:blip r:embed="rId1260" cstate="print"/>
                    <a:stretch>
                      <a:fillRect/>
                    </a:stretch>
                  </pic:blipFill>
                  <pic:spPr>
                    <a:xfrm>
                      <a:off x="0" y="0"/>
                      <a:ext cx="262127" cy="103631"/>
                    </a:xfrm>
                    <a:prstGeom prst="rect">
                      <a:avLst/>
                    </a:prstGeom>
                  </pic:spPr>
                </pic:pic>
              </a:graphicData>
            </a:graphic>
          </wp:anchor>
        </w:drawing>
      </w:r>
      <w:r>
        <w:t>Australia</w:t>
      </w:r>
      <w:r>
        <w:rPr>
          <w:spacing w:val="-12"/>
        </w:rPr>
        <w:t xml:space="preserve"> </w:t>
      </w:r>
      <w:r>
        <w:t>recalls</w:t>
      </w:r>
      <w:r>
        <w:rPr>
          <w:spacing w:val="-12"/>
        </w:rPr>
        <w:t xml:space="preserve"> </w:t>
      </w:r>
      <w:r>
        <w:t>that</w:t>
      </w:r>
      <w:r>
        <w:rPr>
          <w:spacing w:val="-11"/>
        </w:rPr>
        <w:t xml:space="preserve"> </w:t>
      </w:r>
      <w:r>
        <w:t>MOFCOM</w:t>
      </w:r>
      <w:r>
        <w:rPr>
          <w:spacing w:val="-11"/>
        </w:rPr>
        <w:t xml:space="preserve"> </w:t>
      </w:r>
      <w:r>
        <w:t>relied</w:t>
      </w:r>
      <w:r>
        <w:rPr>
          <w:spacing w:val="-13"/>
        </w:rPr>
        <w:t xml:space="preserve"> </w:t>
      </w:r>
      <w:r>
        <w:t>upon</w:t>
      </w:r>
      <w:r>
        <w:rPr>
          <w:spacing w:val="-11"/>
        </w:rPr>
        <w:t xml:space="preserve"> </w:t>
      </w:r>
      <w:r>
        <w:t>facts</w:t>
      </w:r>
      <w:r>
        <w:rPr>
          <w:spacing w:val="-11"/>
        </w:rPr>
        <w:t xml:space="preserve"> </w:t>
      </w:r>
      <w:r>
        <w:t>available</w:t>
      </w:r>
      <w:r>
        <w:rPr>
          <w:spacing w:val="-10"/>
        </w:rPr>
        <w:t xml:space="preserve"> </w:t>
      </w:r>
      <w:r>
        <w:t>to</w:t>
      </w:r>
      <w:r>
        <w:rPr>
          <w:spacing w:val="-11"/>
        </w:rPr>
        <w:t xml:space="preserve"> </w:t>
      </w:r>
      <w:r>
        <w:t>determine</w:t>
      </w:r>
      <w:r>
        <w:rPr>
          <w:spacing w:val="-10"/>
        </w:rPr>
        <w:t xml:space="preserve"> </w:t>
      </w:r>
      <w:r>
        <w:t>the</w:t>
      </w:r>
      <w:r>
        <w:rPr>
          <w:spacing w:val="-10"/>
        </w:rPr>
        <w:t xml:space="preserve"> </w:t>
      </w:r>
      <w:r>
        <w:t>weighted average price of domestic sales for Casella Wines and Swan Vintage.</w:t>
      </w:r>
      <w:r>
        <w:rPr>
          <w:vertAlign w:val="superscript"/>
        </w:rPr>
        <w:t>1138</w:t>
      </w:r>
      <w:r>
        <w:t xml:space="preserve"> MOFCOM identified the</w:t>
      </w:r>
      <w:r>
        <w:rPr>
          <w:spacing w:val="-3"/>
        </w:rPr>
        <w:t xml:space="preserve"> </w:t>
      </w:r>
      <w:r>
        <w:t>best</w:t>
      </w:r>
      <w:r>
        <w:rPr>
          <w:spacing w:val="-3"/>
        </w:rPr>
        <w:t xml:space="preserve"> </w:t>
      </w:r>
      <w:r>
        <w:t>information</w:t>
      </w:r>
      <w:r>
        <w:rPr>
          <w:spacing w:val="-3"/>
        </w:rPr>
        <w:t xml:space="preserve"> </w:t>
      </w:r>
      <w:r>
        <w:t>available</w:t>
      </w:r>
      <w:r>
        <w:rPr>
          <w:spacing w:val="-3"/>
        </w:rPr>
        <w:t xml:space="preserve"> </w:t>
      </w:r>
      <w:r>
        <w:t>that</w:t>
      </w:r>
      <w:r>
        <w:rPr>
          <w:spacing w:val="-4"/>
        </w:rPr>
        <w:t xml:space="preserve"> </w:t>
      </w:r>
      <w:r>
        <w:t>it</w:t>
      </w:r>
      <w:r>
        <w:rPr>
          <w:spacing w:val="-4"/>
        </w:rPr>
        <w:t xml:space="preserve"> </w:t>
      </w:r>
      <w:r>
        <w:t>relied</w:t>
      </w:r>
      <w:r>
        <w:rPr>
          <w:spacing w:val="-4"/>
        </w:rPr>
        <w:t xml:space="preserve"> </w:t>
      </w:r>
      <w:r>
        <w:t>upon</w:t>
      </w:r>
      <w:r>
        <w:rPr>
          <w:spacing w:val="-4"/>
        </w:rPr>
        <w:t xml:space="preserve"> </w:t>
      </w:r>
      <w:r>
        <w:t>included</w:t>
      </w:r>
      <w:r>
        <w:rPr>
          <w:spacing w:val="-3"/>
        </w:rPr>
        <w:t xml:space="preserve"> </w:t>
      </w:r>
      <w:r>
        <w:t>the</w:t>
      </w:r>
      <w:r>
        <w:rPr>
          <w:spacing w:val="-3"/>
        </w:rPr>
        <w:t xml:space="preserve"> </w:t>
      </w:r>
      <w:r>
        <w:t>"weighted</w:t>
      </w:r>
      <w:r>
        <w:rPr>
          <w:spacing w:val="-4"/>
        </w:rPr>
        <w:t xml:space="preserve"> </w:t>
      </w:r>
      <w:r>
        <w:t>average</w:t>
      </w:r>
      <w:r>
        <w:rPr>
          <w:spacing w:val="-3"/>
        </w:rPr>
        <w:t xml:space="preserve"> </w:t>
      </w:r>
      <w:r>
        <w:t>price</w:t>
      </w:r>
      <w:r>
        <w:rPr>
          <w:spacing w:val="-3"/>
        </w:rPr>
        <w:t xml:space="preserve"> </w:t>
      </w:r>
      <w:r>
        <w:t>of</w:t>
      </w:r>
      <w:r>
        <w:rPr>
          <w:spacing w:val="-4"/>
        </w:rPr>
        <w:t xml:space="preserve"> </w:t>
      </w:r>
      <w:r>
        <w:t>t</w:t>
      </w:r>
      <w:r>
        <w:t xml:space="preserve">he domestic sales of </w:t>
      </w:r>
      <w:r>
        <w:rPr>
          <w:i/>
        </w:rPr>
        <w:t>other respondents</w:t>
      </w:r>
      <w:r>
        <w:t>" (emphasis original)</w:t>
      </w:r>
      <w:r>
        <w:rPr>
          <w:vertAlign w:val="superscript"/>
        </w:rPr>
        <w:t>1139</w:t>
      </w:r>
      <w:r>
        <w:t>, but did not identify who the "other respondents" were. MOFCOM should have identified whether "other respondents" referred to the other sampled companies, the companies that were not sampled b</w:t>
      </w:r>
      <w:r>
        <w:t>ut cooperative, or both. This lack of non‐confidential information, particularly in relation to MOFCOM's</w:t>
      </w:r>
      <w:r>
        <w:rPr>
          <w:spacing w:val="-8"/>
        </w:rPr>
        <w:t xml:space="preserve"> </w:t>
      </w:r>
      <w:r>
        <w:t>chosen</w:t>
      </w:r>
      <w:r>
        <w:rPr>
          <w:spacing w:val="-9"/>
        </w:rPr>
        <w:t xml:space="preserve"> </w:t>
      </w:r>
      <w:r>
        <w:t>methodology,</w:t>
      </w:r>
      <w:r>
        <w:rPr>
          <w:spacing w:val="-8"/>
        </w:rPr>
        <w:t xml:space="preserve"> </w:t>
      </w:r>
      <w:r>
        <w:t>made</w:t>
      </w:r>
      <w:r>
        <w:rPr>
          <w:spacing w:val="-8"/>
        </w:rPr>
        <w:t xml:space="preserve"> </w:t>
      </w:r>
      <w:r>
        <w:t>it</w:t>
      </w:r>
      <w:r>
        <w:rPr>
          <w:spacing w:val="-9"/>
        </w:rPr>
        <w:t xml:space="preserve"> </w:t>
      </w:r>
      <w:r>
        <w:t>impossible</w:t>
      </w:r>
      <w:r>
        <w:rPr>
          <w:spacing w:val="-7"/>
        </w:rPr>
        <w:t xml:space="preserve"> </w:t>
      </w:r>
      <w:r>
        <w:t>for</w:t>
      </w:r>
      <w:r>
        <w:rPr>
          <w:spacing w:val="-8"/>
        </w:rPr>
        <w:t xml:space="preserve"> </w:t>
      </w:r>
      <w:r>
        <w:t>the</w:t>
      </w:r>
      <w:r>
        <w:rPr>
          <w:spacing w:val="-8"/>
        </w:rPr>
        <w:t xml:space="preserve"> </w:t>
      </w:r>
      <w:r>
        <w:t>sampled</w:t>
      </w:r>
      <w:r>
        <w:rPr>
          <w:spacing w:val="-9"/>
        </w:rPr>
        <w:t xml:space="preserve"> </w:t>
      </w:r>
      <w:r>
        <w:t>companies</w:t>
      </w:r>
      <w:r>
        <w:rPr>
          <w:spacing w:val="-9"/>
        </w:rPr>
        <w:t xml:space="preserve"> </w:t>
      </w:r>
      <w:r>
        <w:t>to</w:t>
      </w:r>
      <w:r>
        <w:rPr>
          <w:spacing w:val="-8"/>
        </w:rPr>
        <w:t xml:space="preserve"> </w:t>
      </w:r>
      <w:r>
        <w:t>comment on the normal value calculations and therefore defend their interests.</w:t>
      </w:r>
    </w:p>
    <w:p w14:paraId="51DE997B" w14:textId="77777777" w:rsidR="0010369C" w:rsidRDefault="0010369C">
      <w:pPr>
        <w:pStyle w:val="BodyText"/>
        <w:spacing w:before="11"/>
        <w:rPr>
          <w:sz w:val="8"/>
        </w:rPr>
      </w:pPr>
    </w:p>
    <w:p w14:paraId="51DE997C" w14:textId="77777777" w:rsidR="0010369C" w:rsidRDefault="008E43AE">
      <w:pPr>
        <w:pStyle w:val="BodyText"/>
        <w:spacing w:before="51" w:line="360" w:lineRule="auto"/>
        <w:ind w:left="237" w:right="614" w:firstLine="852"/>
        <w:jc w:val="both"/>
      </w:pPr>
      <w:r>
        <w:rPr>
          <w:noProof/>
        </w:rPr>
        <w:drawing>
          <wp:anchor distT="0" distB="0" distL="0" distR="0" simplePos="0" relativeHeight="251564544" behindDoc="1" locked="0" layoutInCell="1" allowOverlap="1" wp14:anchorId="51DEA843" wp14:editId="51DEA844">
            <wp:simplePos x="0" y="0"/>
            <wp:positionH relativeFrom="page">
              <wp:posOffset>902208</wp:posOffset>
            </wp:positionH>
            <wp:positionV relativeFrom="paragraph">
              <wp:posOffset>79960</wp:posOffset>
            </wp:positionV>
            <wp:extent cx="262127" cy="103631"/>
            <wp:effectExtent l="0" t="0" r="0" b="0"/>
            <wp:wrapNone/>
            <wp:docPr id="1901" name="image9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 name="image978.png"/>
                    <pic:cNvPicPr/>
                  </pic:nvPicPr>
                  <pic:blipFill>
                    <a:blip r:embed="rId1261" cstate="print"/>
                    <a:stretch>
                      <a:fillRect/>
                    </a:stretch>
                  </pic:blipFill>
                  <pic:spPr>
                    <a:xfrm>
                      <a:off x="0" y="0"/>
                      <a:ext cx="262127" cy="103631"/>
                    </a:xfrm>
                    <a:prstGeom prst="rect">
                      <a:avLst/>
                    </a:prstGeom>
                  </pic:spPr>
                </pic:pic>
              </a:graphicData>
            </a:graphic>
          </wp:anchor>
        </w:drawing>
      </w:r>
      <w:r>
        <w:t>In</w:t>
      </w:r>
      <w:r>
        <w:rPr>
          <w:spacing w:val="-9"/>
        </w:rPr>
        <w:t xml:space="preserve"> </w:t>
      </w:r>
      <w:r>
        <w:t>the</w:t>
      </w:r>
      <w:r>
        <w:rPr>
          <w:spacing w:val="-8"/>
        </w:rPr>
        <w:t xml:space="preserve"> </w:t>
      </w:r>
      <w:r>
        <w:t>event</w:t>
      </w:r>
      <w:r>
        <w:rPr>
          <w:spacing w:val="-8"/>
        </w:rPr>
        <w:t xml:space="preserve"> </w:t>
      </w:r>
      <w:r>
        <w:t>that</w:t>
      </w:r>
      <w:r>
        <w:rPr>
          <w:spacing w:val="-9"/>
        </w:rPr>
        <w:t xml:space="preserve"> </w:t>
      </w:r>
      <w:r>
        <w:t>this</w:t>
      </w:r>
      <w:r>
        <w:rPr>
          <w:spacing w:val="-9"/>
        </w:rPr>
        <w:t xml:space="preserve"> </w:t>
      </w:r>
      <w:r>
        <w:t>refers</w:t>
      </w:r>
      <w:r>
        <w:rPr>
          <w:spacing w:val="-9"/>
        </w:rPr>
        <w:t xml:space="preserve"> </w:t>
      </w:r>
      <w:r>
        <w:t>to</w:t>
      </w:r>
      <w:r>
        <w:rPr>
          <w:spacing w:val="-8"/>
        </w:rPr>
        <w:t xml:space="preserve"> </w:t>
      </w:r>
      <w:r>
        <w:t>the</w:t>
      </w:r>
      <w:r>
        <w:rPr>
          <w:spacing w:val="-8"/>
        </w:rPr>
        <w:t xml:space="preserve"> </w:t>
      </w:r>
      <w:r>
        <w:t>other</w:t>
      </w:r>
      <w:r>
        <w:rPr>
          <w:spacing w:val="-8"/>
        </w:rPr>
        <w:t xml:space="preserve"> </w:t>
      </w:r>
      <w:r>
        <w:t>sampled</w:t>
      </w:r>
      <w:r>
        <w:rPr>
          <w:spacing w:val="-10"/>
        </w:rPr>
        <w:t xml:space="preserve"> </w:t>
      </w:r>
      <w:r>
        <w:t>respondents,</w:t>
      </w:r>
      <w:r>
        <w:rPr>
          <w:spacing w:val="-9"/>
        </w:rPr>
        <w:t xml:space="preserve"> </w:t>
      </w:r>
      <w:r>
        <w:t>this</w:t>
      </w:r>
      <w:r>
        <w:rPr>
          <w:spacing w:val="-8"/>
        </w:rPr>
        <w:t xml:space="preserve"> </w:t>
      </w:r>
      <w:r>
        <w:t>failure</w:t>
      </w:r>
      <w:r>
        <w:rPr>
          <w:spacing w:val="-8"/>
        </w:rPr>
        <w:t xml:space="preserve"> </w:t>
      </w:r>
      <w:r>
        <w:t>to</w:t>
      </w:r>
      <w:r>
        <w:rPr>
          <w:spacing w:val="-8"/>
        </w:rPr>
        <w:t xml:space="preserve"> </w:t>
      </w:r>
      <w:r>
        <w:t>disclose information relevant to the calculation of normal values is aggravated because the limited explanation</w:t>
      </w:r>
      <w:r>
        <w:rPr>
          <w:spacing w:val="-2"/>
        </w:rPr>
        <w:t xml:space="preserve"> </w:t>
      </w:r>
      <w:r>
        <w:t>provided</w:t>
      </w:r>
      <w:r>
        <w:rPr>
          <w:spacing w:val="-1"/>
        </w:rPr>
        <w:t xml:space="preserve"> </w:t>
      </w:r>
      <w:r>
        <w:t>appears</w:t>
      </w:r>
      <w:r>
        <w:rPr>
          <w:spacing w:val="-2"/>
        </w:rPr>
        <w:t xml:space="preserve"> </w:t>
      </w:r>
      <w:r>
        <w:t>inconsistent with MOFCOM's treatment</w:t>
      </w:r>
      <w:r>
        <w:rPr>
          <w:spacing w:val="-1"/>
        </w:rPr>
        <w:t xml:space="preserve"> </w:t>
      </w:r>
      <w:r>
        <w:t>of</w:t>
      </w:r>
      <w:r>
        <w:rPr>
          <w:spacing w:val="-1"/>
        </w:rPr>
        <w:t xml:space="preserve"> </w:t>
      </w:r>
      <w:r>
        <w:t>those res</w:t>
      </w:r>
      <w:r>
        <w:t>pondents. Only the three sampled companies responded to the survey questionnaire and provided sufficient detail to allow an average price of domestic sales to be calculated. MOFCOM rejected</w:t>
      </w:r>
      <w:r>
        <w:rPr>
          <w:spacing w:val="-7"/>
        </w:rPr>
        <w:t xml:space="preserve"> </w:t>
      </w:r>
      <w:r>
        <w:t>the</w:t>
      </w:r>
      <w:r>
        <w:rPr>
          <w:spacing w:val="-7"/>
        </w:rPr>
        <w:t xml:space="preserve"> </w:t>
      </w:r>
      <w:r>
        <w:t>sales</w:t>
      </w:r>
      <w:r>
        <w:rPr>
          <w:spacing w:val="-6"/>
        </w:rPr>
        <w:t xml:space="preserve"> </w:t>
      </w:r>
      <w:r>
        <w:t>data</w:t>
      </w:r>
      <w:r>
        <w:rPr>
          <w:spacing w:val="-6"/>
        </w:rPr>
        <w:t xml:space="preserve"> </w:t>
      </w:r>
      <w:r>
        <w:t>for</w:t>
      </w:r>
      <w:r>
        <w:rPr>
          <w:spacing w:val="-6"/>
        </w:rPr>
        <w:t xml:space="preserve"> </w:t>
      </w:r>
      <w:r>
        <w:t>two</w:t>
      </w:r>
      <w:r>
        <w:rPr>
          <w:spacing w:val="-6"/>
        </w:rPr>
        <w:t xml:space="preserve"> </w:t>
      </w:r>
      <w:r>
        <w:t>of</w:t>
      </w:r>
      <w:r>
        <w:rPr>
          <w:spacing w:val="-6"/>
        </w:rPr>
        <w:t xml:space="preserve"> </w:t>
      </w:r>
      <w:r>
        <w:t>the</w:t>
      </w:r>
      <w:r>
        <w:rPr>
          <w:spacing w:val="-6"/>
        </w:rPr>
        <w:t xml:space="preserve"> </w:t>
      </w:r>
      <w:r>
        <w:t>three</w:t>
      </w:r>
      <w:r>
        <w:rPr>
          <w:spacing w:val="-7"/>
        </w:rPr>
        <w:t xml:space="preserve"> </w:t>
      </w:r>
      <w:r>
        <w:t>companies</w:t>
      </w:r>
      <w:r>
        <w:rPr>
          <w:spacing w:val="-7"/>
        </w:rPr>
        <w:t xml:space="preserve"> </w:t>
      </w:r>
      <w:r>
        <w:t>for</w:t>
      </w:r>
      <w:r>
        <w:rPr>
          <w:spacing w:val="-6"/>
        </w:rPr>
        <w:t xml:space="preserve"> </w:t>
      </w:r>
      <w:r>
        <w:t>which</w:t>
      </w:r>
      <w:r>
        <w:rPr>
          <w:spacing w:val="-7"/>
        </w:rPr>
        <w:t xml:space="preserve"> </w:t>
      </w:r>
      <w:r>
        <w:t>it</w:t>
      </w:r>
      <w:r>
        <w:rPr>
          <w:spacing w:val="-6"/>
        </w:rPr>
        <w:t xml:space="preserve"> </w:t>
      </w:r>
      <w:r>
        <w:t>had</w:t>
      </w:r>
      <w:r>
        <w:rPr>
          <w:spacing w:val="-6"/>
        </w:rPr>
        <w:t xml:space="preserve"> </w:t>
      </w:r>
      <w:r>
        <w:t>suf</w:t>
      </w:r>
      <w:r>
        <w:t>ficient</w:t>
      </w:r>
      <w:r>
        <w:rPr>
          <w:spacing w:val="-6"/>
        </w:rPr>
        <w:t xml:space="preserve"> </w:t>
      </w:r>
      <w:r>
        <w:t>information. For that reason, it is impossible to understand what a "weighted average" could constitute.</w:t>
      </w:r>
    </w:p>
    <w:p w14:paraId="51DE997D" w14:textId="77777777" w:rsidR="0010369C" w:rsidRDefault="0010369C">
      <w:pPr>
        <w:pStyle w:val="BodyText"/>
        <w:spacing w:before="11"/>
        <w:rPr>
          <w:sz w:val="8"/>
        </w:rPr>
      </w:pPr>
    </w:p>
    <w:p w14:paraId="51DE997E" w14:textId="77777777" w:rsidR="0010369C" w:rsidRDefault="008E43AE">
      <w:pPr>
        <w:pStyle w:val="BodyText"/>
        <w:spacing w:before="52" w:line="360" w:lineRule="auto"/>
        <w:ind w:left="237" w:right="615" w:firstLine="851"/>
        <w:jc w:val="both"/>
      </w:pPr>
      <w:r>
        <w:rPr>
          <w:noProof/>
        </w:rPr>
        <w:drawing>
          <wp:anchor distT="0" distB="0" distL="0" distR="0" simplePos="0" relativeHeight="251565568" behindDoc="1" locked="0" layoutInCell="1" allowOverlap="1" wp14:anchorId="51DEA845" wp14:editId="51DEA846">
            <wp:simplePos x="0" y="0"/>
            <wp:positionH relativeFrom="page">
              <wp:posOffset>902208</wp:posOffset>
            </wp:positionH>
            <wp:positionV relativeFrom="paragraph">
              <wp:posOffset>76785</wp:posOffset>
            </wp:positionV>
            <wp:extent cx="262127" cy="106679"/>
            <wp:effectExtent l="0" t="0" r="0" b="0"/>
            <wp:wrapNone/>
            <wp:docPr id="1903" name="image9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 name="image979.png"/>
                    <pic:cNvPicPr/>
                  </pic:nvPicPr>
                  <pic:blipFill>
                    <a:blip r:embed="rId1262" cstate="print"/>
                    <a:stretch>
                      <a:fillRect/>
                    </a:stretch>
                  </pic:blipFill>
                  <pic:spPr>
                    <a:xfrm>
                      <a:off x="0" y="0"/>
                      <a:ext cx="262127" cy="106679"/>
                    </a:xfrm>
                    <a:prstGeom prst="rect">
                      <a:avLst/>
                    </a:prstGeom>
                  </pic:spPr>
                </pic:pic>
              </a:graphicData>
            </a:graphic>
          </wp:anchor>
        </w:drawing>
      </w:r>
      <w:r>
        <w:t>MOFCOM explained that it made the decision to use this "weighted average" after conducting</w:t>
      </w:r>
      <w:r>
        <w:rPr>
          <w:spacing w:val="-5"/>
        </w:rPr>
        <w:t xml:space="preserve"> </w:t>
      </w:r>
      <w:r>
        <w:t>a</w:t>
      </w:r>
      <w:r>
        <w:rPr>
          <w:spacing w:val="-4"/>
        </w:rPr>
        <w:t xml:space="preserve"> </w:t>
      </w:r>
      <w:r>
        <w:t>comparative</w:t>
      </w:r>
      <w:r>
        <w:rPr>
          <w:spacing w:val="-4"/>
        </w:rPr>
        <w:t xml:space="preserve"> </w:t>
      </w:r>
      <w:r>
        <w:t>analysis</w:t>
      </w:r>
      <w:r>
        <w:rPr>
          <w:spacing w:val="-4"/>
        </w:rPr>
        <w:t xml:space="preserve"> </w:t>
      </w:r>
      <w:r>
        <w:t>of</w:t>
      </w:r>
      <w:r>
        <w:rPr>
          <w:spacing w:val="-4"/>
        </w:rPr>
        <w:t xml:space="preserve"> </w:t>
      </w:r>
      <w:r>
        <w:t>"information</w:t>
      </w:r>
      <w:r>
        <w:rPr>
          <w:spacing w:val="-4"/>
        </w:rPr>
        <w:t xml:space="preserve"> </w:t>
      </w:r>
      <w:r>
        <w:t>from</w:t>
      </w:r>
      <w:r>
        <w:rPr>
          <w:spacing w:val="-3"/>
        </w:rPr>
        <w:t xml:space="preserve"> </w:t>
      </w:r>
      <w:r>
        <w:t>the</w:t>
      </w:r>
      <w:r>
        <w:rPr>
          <w:spacing w:val="-4"/>
        </w:rPr>
        <w:t xml:space="preserve"> </w:t>
      </w:r>
      <w:r>
        <w:t>investigation"</w:t>
      </w:r>
      <w:r>
        <w:rPr>
          <w:spacing w:val="-2"/>
        </w:rPr>
        <w:t xml:space="preserve"> </w:t>
      </w:r>
      <w:r>
        <w:t>from</w:t>
      </w:r>
      <w:r>
        <w:rPr>
          <w:spacing w:val="-3"/>
        </w:rPr>
        <w:t xml:space="preserve"> </w:t>
      </w:r>
      <w:r>
        <w:t>which</w:t>
      </w:r>
      <w:r>
        <w:rPr>
          <w:spacing w:val="-4"/>
        </w:rPr>
        <w:t xml:space="preserve"> </w:t>
      </w:r>
      <w:r>
        <w:t>it</w:t>
      </w:r>
      <w:r>
        <w:rPr>
          <w:spacing w:val="-4"/>
        </w:rPr>
        <w:t xml:space="preserve"> </w:t>
      </w:r>
      <w:r>
        <w:t>took "into account" "the physical properties of the product under investigation, the costs differences in different product types, trade links and other influencing factors".</w:t>
      </w:r>
      <w:r>
        <w:rPr>
          <w:vertAlign w:val="superscript"/>
        </w:rPr>
        <w:t>1140</w:t>
      </w:r>
    </w:p>
    <w:p w14:paraId="51DE997F" w14:textId="77777777" w:rsidR="0010369C" w:rsidRDefault="0010369C">
      <w:pPr>
        <w:pStyle w:val="BodyText"/>
        <w:rPr>
          <w:sz w:val="20"/>
        </w:rPr>
      </w:pPr>
    </w:p>
    <w:p w14:paraId="51DE9980" w14:textId="77777777" w:rsidR="0010369C" w:rsidRDefault="0010369C">
      <w:pPr>
        <w:pStyle w:val="BodyText"/>
        <w:rPr>
          <w:sz w:val="20"/>
        </w:rPr>
      </w:pPr>
    </w:p>
    <w:p w14:paraId="51DE9981" w14:textId="77777777" w:rsidR="0010369C" w:rsidRDefault="0010369C">
      <w:pPr>
        <w:pStyle w:val="BodyText"/>
        <w:rPr>
          <w:sz w:val="20"/>
        </w:rPr>
      </w:pPr>
    </w:p>
    <w:p w14:paraId="51DE9982" w14:textId="77777777" w:rsidR="0010369C" w:rsidRDefault="0010369C">
      <w:pPr>
        <w:pStyle w:val="BodyText"/>
        <w:rPr>
          <w:sz w:val="20"/>
        </w:rPr>
      </w:pPr>
    </w:p>
    <w:p w14:paraId="51DE9983" w14:textId="77777777" w:rsidR="0010369C" w:rsidRDefault="008E43AE">
      <w:pPr>
        <w:pStyle w:val="BodyText"/>
        <w:spacing w:before="5"/>
        <w:rPr>
          <w:sz w:val="12"/>
        </w:rPr>
      </w:pPr>
      <w:r>
        <w:pict w14:anchorId="51DEA847">
          <v:rect id="docshape1376" o:spid="_x0000_s1098" style="position:absolute;margin-left:70.9pt;margin-top:8.8pt;width:2in;height:.8pt;z-index:-250698240;mso-wrap-distance-left:0;mso-wrap-distance-right:0;mso-position-horizontal-relative:page" fillcolor="black" stroked="f">
            <w10:wrap type="topAndBottom" anchorx="page"/>
          </v:rect>
        </w:pict>
      </w:r>
    </w:p>
    <w:p w14:paraId="51DE9984" w14:textId="77777777" w:rsidR="0010369C" w:rsidRDefault="008E43AE">
      <w:pPr>
        <w:spacing w:before="109"/>
        <w:ind w:left="238" w:right="611"/>
        <w:jc w:val="both"/>
        <w:rPr>
          <w:sz w:val="18"/>
        </w:rPr>
      </w:pPr>
      <w:r>
        <w:rPr>
          <w:sz w:val="18"/>
          <w:vertAlign w:val="superscript"/>
        </w:rPr>
        <w:t>1137</w:t>
      </w:r>
      <w:r>
        <w:rPr>
          <w:sz w:val="18"/>
        </w:rPr>
        <w:t xml:space="preserve"> Casella Wines Comments on the Preliminary Determination (Exhibit AUS‐98), pp. 1, 3; AGW Comments on the Final Disclosure (Exhibit AUS‐97), p. 3; AGW Comments on the Preliminary Determination (Exhibit AUS‐69), p. 2; Swan Vintage Comments</w:t>
      </w:r>
      <w:r>
        <w:rPr>
          <w:spacing w:val="-1"/>
          <w:sz w:val="18"/>
        </w:rPr>
        <w:t xml:space="preserve"> </w:t>
      </w:r>
      <w:r>
        <w:rPr>
          <w:sz w:val="18"/>
        </w:rPr>
        <w:t>on</w:t>
      </w:r>
      <w:r>
        <w:rPr>
          <w:spacing w:val="-1"/>
          <w:sz w:val="18"/>
        </w:rPr>
        <w:t xml:space="preserve"> </w:t>
      </w:r>
      <w:r>
        <w:rPr>
          <w:sz w:val="18"/>
        </w:rPr>
        <w:t>the</w:t>
      </w:r>
      <w:r>
        <w:rPr>
          <w:spacing w:val="-1"/>
          <w:sz w:val="18"/>
        </w:rPr>
        <w:t xml:space="preserve"> </w:t>
      </w:r>
      <w:r>
        <w:rPr>
          <w:sz w:val="18"/>
        </w:rPr>
        <w:t>Final</w:t>
      </w:r>
      <w:r>
        <w:rPr>
          <w:spacing w:val="-1"/>
          <w:sz w:val="18"/>
        </w:rPr>
        <w:t xml:space="preserve"> </w:t>
      </w:r>
      <w:r>
        <w:rPr>
          <w:sz w:val="18"/>
        </w:rPr>
        <w:t>Discl</w:t>
      </w:r>
      <w:r>
        <w:rPr>
          <w:sz w:val="18"/>
        </w:rPr>
        <w:t>osure</w:t>
      </w:r>
      <w:r>
        <w:rPr>
          <w:spacing w:val="-1"/>
          <w:sz w:val="18"/>
        </w:rPr>
        <w:t xml:space="preserve"> </w:t>
      </w:r>
      <w:r>
        <w:rPr>
          <w:sz w:val="18"/>
        </w:rPr>
        <w:t>(Exhibit</w:t>
      </w:r>
      <w:r>
        <w:rPr>
          <w:spacing w:val="-1"/>
          <w:sz w:val="18"/>
        </w:rPr>
        <w:t xml:space="preserve"> </w:t>
      </w:r>
      <w:r>
        <w:rPr>
          <w:sz w:val="18"/>
        </w:rPr>
        <w:t>AUS‐39),</w:t>
      </w:r>
      <w:r>
        <w:rPr>
          <w:spacing w:val="-2"/>
          <w:sz w:val="18"/>
        </w:rPr>
        <w:t xml:space="preserve"> </w:t>
      </w:r>
      <w:r>
        <w:rPr>
          <w:sz w:val="18"/>
        </w:rPr>
        <w:t>pp.</w:t>
      </w:r>
      <w:r>
        <w:rPr>
          <w:spacing w:val="-1"/>
          <w:sz w:val="18"/>
        </w:rPr>
        <w:t xml:space="preserve"> </w:t>
      </w:r>
      <w:r>
        <w:rPr>
          <w:sz w:val="18"/>
        </w:rPr>
        <w:t>1‐2;</w:t>
      </w:r>
      <w:r>
        <w:rPr>
          <w:spacing w:val="-1"/>
          <w:sz w:val="18"/>
        </w:rPr>
        <w:t xml:space="preserve"> </w:t>
      </w:r>
      <w:r>
        <w:rPr>
          <w:sz w:val="18"/>
        </w:rPr>
        <w:t>and</w:t>
      </w:r>
      <w:r>
        <w:rPr>
          <w:spacing w:val="-2"/>
          <w:sz w:val="18"/>
        </w:rPr>
        <w:t xml:space="preserve"> </w:t>
      </w:r>
      <w:r>
        <w:rPr>
          <w:sz w:val="18"/>
        </w:rPr>
        <w:t>Swan</w:t>
      </w:r>
      <w:r>
        <w:rPr>
          <w:spacing w:val="-1"/>
          <w:sz w:val="18"/>
        </w:rPr>
        <w:t xml:space="preserve"> </w:t>
      </w:r>
      <w:r>
        <w:rPr>
          <w:sz w:val="18"/>
        </w:rPr>
        <w:t>Vintage Comments</w:t>
      </w:r>
      <w:r>
        <w:rPr>
          <w:spacing w:val="-1"/>
          <w:sz w:val="18"/>
        </w:rPr>
        <w:t xml:space="preserve"> </w:t>
      </w:r>
      <w:r>
        <w:rPr>
          <w:sz w:val="18"/>
        </w:rPr>
        <w:t>on</w:t>
      </w:r>
      <w:r>
        <w:rPr>
          <w:spacing w:val="-1"/>
          <w:sz w:val="18"/>
        </w:rPr>
        <w:t xml:space="preserve"> </w:t>
      </w:r>
      <w:r>
        <w:rPr>
          <w:sz w:val="18"/>
        </w:rPr>
        <w:t>the</w:t>
      </w:r>
      <w:r>
        <w:rPr>
          <w:spacing w:val="-2"/>
          <w:sz w:val="18"/>
        </w:rPr>
        <w:t xml:space="preserve"> </w:t>
      </w:r>
      <w:r>
        <w:rPr>
          <w:sz w:val="18"/>
        </w:rPr>
        <w:t>Preliminary</w:t>
      </w:r>
      <w:r>
        <w:rPr>
          <w:spacing w:val="-1"/>
          <w:sz w:val="18"/>
        </w:rPr>
        <w:t xml:space="preserve"> </w:t>
      </w:r>
      <w:r>
        <w:rPr>
          <w:sz w:val="18"/>
        </w:rPr>
        <w:t>Determination (Exhibit AUS‐38), pp. 1‐2, 14.</w:t>
      </w:r>
    </w:p>
    <w:p w14:paraId="51DE9985" w14:textId="77777777" w:rsidR="0010369C" w:rsidRDefault="008E43AE">
      <w:pPr>
        <w:spacing w:before="1"/>
        <w:ind w:left="238"/>
        <w:jc w:val="both"/>
        <w:rPr>
          <w:sz w:val="18"/>
        </w:rPr>
      </w:pPr>
      <w:r>
        <w:rPr>
          <w:sz w:val="18"/>
          <w:vertAlign w:val="superscript"/>
        </w:rPr>
        <w:t>1138</w:t>
      </w:r>
      <w:r>
        <w:rPr>
          <w:spacing w:val="-9"/>
          <w:sz w:val="18"/>
        </w:rPr>
        <w:t xml:space="preserve"> </w:t>
      </w:r>
      <w:r>
        <w:rPr>
          <w:sz w:val="18"/>
        </w:rPr>
        <w:t>Anti‐Dumping</w:t>
      </w:r>
      <w:r>
        <w:rPr>
          <w:spacing w:val="-8"/>
          <w:sz w:val="18"/>
        </w:rPr>
        <w:t xml:space="preserve"> </w:t>
      </w:r>
      <w:r>
        <w:rPr>
          <w:sz w:val="18"/>
        </w:rPr>
        <w:t>Final</w:t>
      </w:r>
      <w:r>
        <w:rPr>
          <w:spacing w:val="-8"/>
          <w:sz w:val="18"/>
        </w:rPr>
        <w:t xml:space="preserve"> </w:t>
      </w:r>
      <w:r>
        <w:rPr>
          <w:sz w:val="18"/>
        </w:rPr>
        <w:t>Determination</w:t>
      </w:r>
      <w:r>
        <w:rPr>
          <w:spacing w:val="-8"/>
          <w:sz w:val="18"/>
        </w:rPr>
        <w:t xml:space="preserve"> </w:t>
      </w:r>
      <w:r>
        <w:rPr>
          <w:sz w:val="18"/>
        </w:rPr>
        <w:t>(Exhibit</w:t>
      </w:r>
      <w:r>
        <w:rPr>
          <w:spacing w:val="-8"/>
          <w:sz w:val="18"/>
        </w:rPr>
        <w:t xml:space="preserve"> </w:t>
      </w:r>
      <w:r>
        <w:rPr>
          <w:sz w:val="18"/>
        </w:rPr>
        <w:t>AUS‐2),</w:t>
      </w:r>
      <w:r>
        <w:rPr>
          <w:spacing w:val="-9"/>
          <w:sz w:val="18"/>
        </w:rPr>
        <w:t xml:space="preserve"> </w:t>
      </w:r>
      <w:r>
        <w:rPr>
          <w:sz w:val="18"/>
        </w:rPr>
        <w:t>pp.</w:t>
      </w:r>
      <w:r>
        <w:rPr>
          <w:spacing w:val="-8"/>
          <w:sz w:val="18"/>
        </w:rPr>
        <w:t xml:space="preserve"> </w:t>
      </w:r>
      <w:r>
        <w:rPr>
          <w:sz w:val="18"/>
        </w:rPr>
        <w:t>85,</w:t>
      </w:r>
      <w:r>
        <w:rPr>
          <w:spacing w:val="-9"/>
          <w:sz w:val="18"/>
        </w:rPr>
        <w:t xml:space="preserve"> </w:t>
      </w:r>
      <w:r>
        <w:rPr>
          <w:spacing w:val="-5"/>
          <w:sz w:val="18"/>
        </w:rPr>
        <w:t>92.</w:t>
      </w:r>
    </w:p>
    <w:p w14:paraId="51DE9986" w14:textId="77777777" w:rsidR="0010369C" w:rsidRDefault="008E43AE">
      <w:pPr>
        <w:ind w:left="238"/>
        <w:jc w:val="both"/>
        <w:rPr>
          <w:sz w:val="18"/>
        </w:rPr>
      </w:pPr>
      <w:r>
        <w:rPr>
          <w:sz w:val="18"/>
          <w:vertAlign w:val="superscript"/>
        </w:rPr>
        <w:t>1139</w:t>
      </w:r>
      <w:r>
        <w:rPr>
          <w:spacing w:val="-9"/>
          <w:sz w:val="18"/>
        </w:rPr>
        <w:t xml:space="preserve"> </w:t>
      </w:r>
      <w:r>
        <w:rPr>
          <w:sz w:val="18"/>
        </w:rPr>
        <w:t>Anti‐Dumping</w:t>
      </w:r>
      <w:r>
        <w:rPr>
          <w:spacing w:val="-8"/>
          <w:sz w:val="18"/>
        </w:rPr>
        <w:t xml:space="preserve"> </w:t>
      </w:r>
      <w:r>
        <w:rPr>
          <w:sz w:val="18"/>
        </w:rPr>
        <w:t>Final</w:t>
      </w:r>
      <w:r>
        <w:rPr>
          <w:spacing w:val="-8"/>
          <w:sz w:val="18"/>
        </w:rPr>
        <w:t xml:space="preserve"> </w:t>
      </w:r>
      <w:r>
        <w:rPr>
          <w:sz w:val="18"/>
        </w:rPr>
        <w:t>Determination</w:t>
      </w:r>
      <w:r>
        <w:rPr>
          <w:spacing w:val="-8"/>
          <w:sz w:val="18"/>
        </w:rPr>
        <w:t xml:space="preserve"> </w:t>
      </w:r>
      <w:r>
        <w:rPr>
          <w:sz w:val="18"/>
        </w:rPr>
        <w:t>(Exhibit</w:t>
      </w:r>
      <w:r>
        <w:rPr>
          <w:spacing w:val="-8"/>
          <w:sz w:val="18"/>
        </w:rPr>
        <w:t xml:space="preserve"> </w:t>
      </w:r>
      <w:r>
        <w:rPr>
          <w:sz w:val="18"/>
        </w:rPr>
        <w:t>AUS‐2),</w:t>
      </w:r>
      <w:r>
        <w:rPr>
          <w:spacing w:val="-9"/>
          <w:sz w:val="18"/>
        </w:rPr>
        <w:t xml:space="preserve"> </w:t>
      </w:r>
      <w:r>
        <w:rPr>
          <w:sz w:val="18"/>
        </w:rPr>
        <w:t>pp.</w:t>
      </w:r>
      <w:r>
        <w:rPr>
          <w:spacing w:val="-8"/>
          <w:sz w:val="18"/>
        </w:rPr>
        <w:t xml:space="preserve"> </w:t>
      </w:r>
      <w:r>
        <w:rPr>
          <w:sz w:val="18"/>
        </w:rPr>
        <w:t>85,</w:t>
      </w:r>
      <w:r>
        <w:rPr>
          <w:spacing w:val="-9"/>
          <w:sz w:val="18"/>
        </w:rPr>
        <w:t xml:space="preserve"> </w:t>
      </w:r>
      <w:r>
        <w:rPr>
          <w:spacing w:val="-5"/>
          <w:sz w:val="18"/>
        </w:rPr>
        <w:t>92.</w:t>
      </w:r>
    </w:p>
    <w:p w14:paraId="51DE9987" w14:textId="77777777" w:rsidR="0010369C" w:rsidRDefault="008E43AE">
      <w:pPr>
        <w:ind w:left="238"/>
        <w:jc w:val="both"/>
        <w:rPr>
          <w:sz w:val="18"/>
        </w:rPr>
      </w:pPr>
      <w:r>
        <w:rPr>
          <w:sz w:val="18"/>
          <w:vertAlign w:val="superscript"/>
        </w:rPr>
        <w:t>1140</w:t>
      </w:r>
      <w:r>
        <w:rPr>
          <w:spacing w:val="-9"/>
          <w:sz w:val="18"/>
        </w:rPr>
        <w:t xml:space="preserve"> </w:t>
      </w:r>
      <w:r>
        <w:rPr>
          <w:sz w:val="18"/>
        </w:rPr>
        <w:t>Anti‐Dumping</w:t>
      </w:r>
      <w:r>
        <w:rPr>
          <w:spacing w:val="-8"/>
          <w:sz w:val="18"/>
        </w:rPr>
        <w:t xml:space="preserve"> </w:t>
      </w:r>
      <w:r>
        <w:rPr>
          <w:sz w:val="18"/>
        </w:rPr>
        <w:t>Final</w:t>
      </w:r>
      <w:r>
        <w:rPr>
          <w:spacing w:val="-8"/>
          <w:sz w:val="18"/>
        </w:rPr>
        <w:t xml:space="preserve"> </w:t>
      </w:r>
      <w:r>
        <w:rPr>
          <w:sz w:val="18"/>
        </w:rPr>
        <w:t>Determination</w:t>
      </w:r>
      <w:r>
        <w:rPr>
          <w:spacing w:val="-8"/>
          <w:sz w:val="18"/>
        </w:rPr>
        <w:t xml:space="preserve"> </w:t>
      </w:r>
      <w:r>
        <w:rPr>
          <w:sz w:val="18"/>
        </w:rPr>
        <w:t>(Exhibit</w:t>
      </w:r>
      <w:r>
        <w:rPr>
          <w:spacing w:val="-8"/>
          <w:sz w:val="18"/>
        </w:rPr>
        <w:t xml:space="preserve"> </w:t>
      </w:r>
      <w:r>
        <w:rPr>
          <w:sz w:val="18"/>
        </w:rPr>
        <w:t>AUS‐2),</w:t>
      </w:r>
      <w:r>
        <w:rPr>
          <w:spacing w:val="-9"/>
          <w:sz w:val="18"/>
        </w:rPr>
        <w:t xml:space="preserve"> </w:t>
      </w:r>
      <w:r>
        <w:rPr>
          <w:sz w:val="18"/>
        </w:rPr>
        <w:t>pp.</w:t>
      </w:r>
      <w:r>
        <w:rPr>
          <w:spacing w:val="-8"/>
          <w:sz w:val="18"/>
        </w:rPr>
        <w:t xml:space="preserve"> </w:t>
      </w:r>
      <w:r>
        <w:rPr>
          <w:sz w:val="18"/>
        </w:rPr>
        <w:t>84,</w:t>
      </w:r>
      <w:r>
        <w:rPr>
          <w:spacing w:val="-9"/>
          <w:sz w:val="18"/>
        </w:rPr>
        <w:t xml:space="preserve"> </w:t>
      </w:r>
      <w:r>
        <w:rPr>
          <w:spacing w:val="-5"/>
          <w:sz w:val="18"/>
        </w:rPr>
        <w:t>91.</w:t>
      </w:r>
    </w:p>
    <w:p w14:paraId="51DE9988" w14:textId="77777777" w:rsidR="0010369C" w:rsidRDefault="0010369C">
      <w:pPr>
        <w:jc w:val="both"/>
        <w:rPr>
          <w:sz w:val="18"/>
        </w:rPr>
        <w:sectPr w:rsidR="0010369C">
          <w:pgSz w:w="11910" w:h="16840"/>
          <w:pgMar w:top="880" w:right="800" w:bottom="980" w:left="1180" w:header="569" w:footer="788" w:gutter="0"/>
          <w:cols w:space="720"/>
        </w:sectPr>
      </w:pPr>
    </w:p>
    <w:p w14:paraId="51DE9989" w14:textId="77777777" w:rsidR="0010369C" w:rsidRDefault="008E43AE">
      <w:pPr>
        <w:tabs>
          <w:tab w:val="left" w:pos="6426"/>
        </w:tabs>
        <w:ind w:left="238"/>
        <w:jc w:val="both"/>
        <w:rPr>
          <w:sz w:val="20"/>
        </w:rPr>
      </w:pPr>
      <w:r>
        <w:rPr>
          <w:i/>
          <w:sz w:val="20"/>
        </w:rPr>
        <w:lastRenderedPageBreak/>
        <w:t>China</w:t>
      </w:r>
      <w:r>
        <w:rPr>
          <w:i/>
          <w:spacing w:val="-5"/>
          <w:sz w:val="20"/>
        </w:rPr>
        <w:t xml:space="preserve"> </w:t>
      </w:r>
      <w:r>
        <w:rPr>
          <w:i/>
          <w:sz w:val="20"/>
        </w:rPr>
        <w:t>–</w:t>
      </w:r>
      <w:r>
        <w:rPr>
          <w:i/>
          <w:spacing w:val="-5"/>
          <w:sz w:val="20"/>
        </w:rPr>
        <w:t xml:space="preserve"> </w:t>
      </w:r>
      <w:r>
        <w:rPr>
          <w:i/>
          <w:sz w:val="20"/>
        </w:rPr>
        <w:t>Anti‐Dumping</w:t>
      </w:r>
      <w:r>
        <w:rPr>
          <w:i/>
          <w:spacing w:val="-4"/>
          <w:sz w:val="20"/>
        </w:rPr>
        <w:t xml:space="preserve"> </w:t>
      </w:r>
      <w:r>
        <w:rPr>
          <w:i/>
          <w:sz w:val="20"/>
        </w:rPr>
        <w:t>and</w:t>
      </w:r>
      <w:r>
        <w:rPr>
          <w:i/>
          <w:spacing w:val="-5"/>
          <w:sz w:val="20"/>
        </w:rPr>
        <w:t xml:space="preserve"> </w:t>
      </w:r>
      <w:r>
        <w:rPr>
          <w:i/>
          <w:sz w:val="20"/>
        </w:rPr>
        <w:t>Countervailing</w:t>
      </w:r>
      <w:r>
        <w:rPr>
          <w:i/>
          <w:spacing w:val="-5"/>
          <w:sz w:val="20"/>
        </w:rPr>
        <w:t xml:space="preserve"> </w:t>
      </w:r>
      <w:r>
        <w:rPr>
          <w:i/>
          <w:sz w:val="20"/>
        </w:rPr>
        <w:t>Duty</w:t>
      </w:r>
      <w:r>
        <w:rPr>
          <w:i/>
          <w:spacing w:val="-4"/>
          <w:sz w:val="20"/>
        </w:rPr>
        <w:t xml:space="preserve"> </w:t>
      </w:r>
      <w:r>
        <w:rPr>
          <w:i/>
          <w:spacing w:val="-2"/>
          <w:sz w:val="20"/>
        </w:rPr>
        <w:t>Measures</w:t>
      </w:r>
      <w:r>
        <w:rPr>
          <w:i/>
          <w:sz w:val="20"/>
        </w:rPr>
        <w:tab/>
      </w:r>
      <w:r>
        <w:rPr>
          <w:sz w:val="20"/>
        </w:rPr>
        <w:t>Australia's</w:t>
      </w:r>
      <w:r>
        <w:rPr>
          <w:spacing w:val="-7"/>
          <w:sz w:val="20"/>
        </w:rPr>
        <w:t xml:space="preserve"> </w:t>
      </w:r>
      <w:r>
        <w:rPr>
          <w:sz w:val="20"/>
        </w:rPr>
        <w:t>First</w:t>
      </w:r>
      <w:r>
        <w:rPr>
          <w:spacing w:val="-2"/>
          <w:sz w:val="20"/>
        </w:rPr>
        <w:t xml:space="preserve"> </w:t>
      </w:r>
      <w:r>
        <w:rPr>
          <w:sz w:val="20"/>
        </w:rPr>
        <w:t>Written</w:t>
      </w:r>
      <w:r>
        <w:rPr>
          <w:spacing w:val="-2"/>
          <w:sz w:val="20"/>
        </w:rPr>
        <w:t xml:space="preserve"> Submission</w:t>
      </w:r>
    </w:p>
    <w:p w14:paraId="51DE998A" w14:textId="77777777" w:rsidR="0010369C" w:rsidRDefault="008E43AE">
      <w:pPr>
        <w:tabs>
          <w:tab w:val="left" w:pos="8228"/>
        </w:tabs>
        <w:spacing w:before="1"/>
        <w:ind w:left="239"/>
        <w:jc w:val="both"/>
        <w:rPr>
          <w:sz w:val="20"/>
        </w:rPr>
      </w:pPr>
      <w:r>
        <w:rPr>
          <w:i/>
          <w:sz w:val="20"/>
        </w:rPr>
        <w:t>on</w:t>
      </w:r>
      <w:r>
        <w:rPr>
          <w:i/>
          <w:spacing w:val="-1"/>
          <w:sz w:val="20"/>
        </w:rPr>
        <w:t xml:space="preserve"> </w:t>
      </w:r>
      <w:r>
        <w:rPr>
          <w:i/>
          <w:sz w:val="20"/>
        </w:rPr>
        <w:t>Wine</w:t>
      </w:r>
      <w:r>
        <w:rPr>
          <w:i/>
          <w:spacing w:val="-1"/>
          <w:sz w:val="20"/>
        </w:rPr>
        <w:t xml:space="preserve"> </w:t>
      </w:r>
      <w:r>
        <w:rPr>
          <w:i/>
          <w:sz w:val="20"/>
        </w:rPr>
        <w:t>from</w:t>
      </w:r>
      <w:r>
        <w:rPr>
          <w:i/>
          <w:spacing w:val="-3"/>
          <w:sz w:val="20"/>
        </w:rPr>
        <w:t xml:space="preserve"> </w:t>
      </w:r>
      <w:r>
        <w:rPr>
          <w:i/>
          <w:sz w:val="20"/>
        </w:rPr>
        <w:t>Australia</w:t>
      </w:r>
      <w:r>
        <w:rPr>
          <w:i/>
          <w:spacing w:val="-1"/>
          <w:sz w:val="20"/>
        </w:rPr>
        <w:t xml:space="preserve"> </w:t>
      </w:r>
      <w:r>
        <w:rPr>
          <w:spacing w:val="-2"/>
          <w:sz w:val="20"/>
        </w:rPr>
        <w:t>(DS602)</w:t>
      </w:r>
      <w:r>
        <w:rPr>
          <w:sz w:val="20"/>
        </w:rPr>
        <w:tab/>
        <w:t>29</w:t>
      </w:r>
      <w:r>
        <w:rPr>
          <w:spacing w:val="-1"/>
          <w:sz w:val="20"/>
        </w:rPr>
        <w:t xml:space="preserve"> </w:t>
      </w:r>
      <w:r>
        <w:rPr>
          <w:sz w:val="20"/>
        </w:rPr>
        <w:t>April</w:t>
      </w:r>
      <w:r>
        <w:rPr>
          <w:spacing w:val="-2"/>
          <w:sz w:val="20"/>
        </w:rPr>
        <w:t xml:space="preserve"> </w:t>
      </w:r>
      <w:r>
        <w:rPr>
          <w:spacing w:val="-4"/>
          <w:sz w:val="20"/>
        </w:rPr>
        <w:t>2022</w:t>
      </w:r>
    </w:p>
    <w:p w14:paraId="51DE998B" w14:textId="77777777" w:rsidR="0010369C" w:rsidRDefault="008E43AE">
      <w:pPr>
        <w:pStyle w:val="BodyText"/>
        <w:spacing w:before="34" w:line="360" w:lineRule="auto"/>
        <w:ind w:left="238" w:right="614" w:firstLine="851"/>
        <w:jc w:val="both"/>
      </w:pPr>
      <w:r>
        <w:rPr>
          <w:noProof/>
        </w:rPr>
        <w:drawing>
          <wp:anchor distT="0" distB="0" distL="0" distR="0" simplePos="0" relativeHeight="251566592" behindDoc="1" locked="0" layoutInCell="1" allowOverlap="1" wp14:anchorId="51DEA848" wp14:editId="51DEA849">
            <wp:simplePos x="0" y="0"/>
            <wp:positionH relativeFrom="page">
              <wp:posOffset>902208</wp:posOffset>
            </wp:positionH>
            <wp:positionV relativeFrom="paragraph">
              <wp:posOffset>69165</wp:posOffset>
            </wp:positionV>
            <wp:extent cx="262127" cy="103631"/>
            <wp:effectExtent l="0" t="0" r="0" b="0"/>
            <wp:wrapNone/>
            <wp:docPr id="1905" name="image9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 name="image980.png"/>
                    <pic:cNvPicPr/>
                  </pic:nvPicPr>
                  <pic:blipFill>
                    <a:blip r:embed="rId1263" cstate="print"/>
                    <a:stretch>
                      <a:fillRect/>
                    </a:stretch>
                  </pic:blipFill>
                  <pic:spPr>
                    <a:xfrm>
                      <a:off x="0" y="0"/>
                      <a:ext cx="262127" cy="103631"/>
                    </a:xfrm>
                    <a:prstGeom prst="rect">
                      <a:avLst/>
                    </a:prstGeom>
                  </pic:spPr>
                </pic:pic>
              </a:graphicData>
            </a:graphic>
          </wp:anchor>
        </w:drawing>
      </w:r>
      <w:r>
        <w:t>MOFCOM did not provide to the interested parties the information it factored into this comparative analysis. It did not explain:</w:t>
      </w:r>
    </w:p>
    <w:p w14:paraId="51DE998C" w14:textId="77777777" w:rsidR="0010369C" w:rsidRDefault="008E43AE">
      <w:pPr>
        <w:pStyle w:val="ListParagraph"/>
        <w:numPr>
          <w:ilvl w:val="0"/>
          <w:numId w:val="20"/>
        </w:numPr>
        <w:tabs>
          <w:tab w:val="left" w:pos="1939"/>
          <w:tab w:val="left" w:pos="1940"/>
        </w:tabs>
        <w:spacing w:before="160" w:line="355" w:lineRule="auto"/>
        <w:ind w:right="615"/>
        <w:rPr>
          <w:sz w:val="24"/>
        </w:rPr>
      </w:pPr>
      <w:r>
        <w:rPr>
          <w:sz w:val="24"/>
        </w:rPr>
        <w:t>what "information</w:t>
      </w:r>
      <w:r>
        <w:rPr>
          <w:spacing w:val="-1"/>
          <w:sz w:val="24"/>
        </w:rPr>
        <w:t xml:space="preserve"> </w:t>
      </w:r>
      <w:r>
        <w:rPr>
          <w:sz w:val="24"/>
        </w:rPr>
        <w:t>from the investigation" was subject to the "comparative analysis, nor what the "comparative analysis" involve</w:t>
      </w:r>
      <w:r>
        <w:rPr>
          <w:sz w:val="24"/>
        </w:rPr>
        <w:t>d;</w:t>
      </w:r>
    </w:p>
    <w:p w14:paraId="51DE998D" w14:textId="77777777" w:rsidR="0010369C" w:rsidRDefault="008E43AE">
      <w:pPr>
        <w:pStyle w:val="ListParagraph"/>
        <w:numPr>
          <w:ilvl w:val="0"/>
          <w:numId w:val="20"/>
        </w:numPr>
        <w:tabs>
          <w:tab w:val="left" w:pos="1939"/>
          <w:tab w:val="left" w:pos="1940"/>
        </w:tabs>
        <w:spacing w:before="131" w:line="355" w:lineRule="auto"/>
        <w:ind w:right="616"/>
        <w:rPr>
          <w:sz w:val="24"/>
        </w:rPr>
      </w:pPr>
      <w:r>
        <w:rPr>
          <w:sz w:val="24"/>
        </w:rPr>
        <w:t>which "physical properties of the product under investigation" it took into account, or for what purpose it took them into account;</w:t>
      </w:r>
    </w:p>
    <w:p w14:paraId="51DE998E" w14:textId="77777777" w:rsidR="0010369C" w:rsidRDefault="008E43AE">
      <w:pPr>
        <w:pStyle w:val="ListParagraph"/>
        <w:numPr>
          <w:ilvl w:val="0"/>
          <w:numId w:val="20"/>
        </w:numPr>
        <w:tabs>
          <w:tab w:val="left" w:pos="1939"/>
          <w:tab w:val="left" w:pos="1940"/>
        </w:tabs>
        <w:spacing w:before="132" w:line="357" w:lineRule="auto"/>
        <w:ind w:left="1938" w:right="613" w:hanging="850"/>
        <w:rPr>
          <w:sz w:val="24"/>
        </w:rPr>
      </w:pPr>
      <w:r>
        <w:rPr>
          <w:sz w:val="24"/>
        </w:rPr>
        <w:t>which "costs differences in different product types" it took into account, what it determined those differences were, whi</w:t>
      </w:r>
      <w:r>
        <w:rPr>
          <w:sz w:val="24"/>
        </w:rPr>
        <w:t>ch data it relied upon to identify the differences or for what purpose it took them into account;</w:t>
      </w:r>
    </w:p>
    <w:p w14:paraId="51DE998F" w14:textId="77777777" w:rsidR="0010369C" w:rsidRDefault="008E43AE">
      <w:pPr>
        <w:pStyle w:val="ListParagraph"/>
        <w:numPr>
          <w:ilvl w:val="0"/>
          <w:numId w:val="20"/>
        </w:numPr>
        <w:tabs>
          <w:tab w:val="left" w:pos="1938"/>
          <w:tab w:val="left" w:pos="1939"/>
        </w:tabs>
        <w:spacing w:before="128" w:line="357" w:lineRule="auto"/>
        <w:ind w:left="1938" w:right="613"/>
        <w:rPr>
          <w:sz w:val="24"/>
        </w:rPr>
      </w:pPr>
      <w:r>
        <w:rPr>
          <w:sz w:val="24"/>
        </w:rPr>
        <w:t>which</w:t>
      </w:r>
      <w:r>
        <w:rPr>
          <w:spacing w:val="-11"/>
          <w:sz w:val="24"/>
        </w:rPr>
        <w:t xml:space="preserve"> </w:t>
      </w:r>
      <w:r>
        <w:rPr>
          <w:sz w:val="24"/>
        </w:rPr>
        <w:t>"trade</w:t>
      </w:r>
      <w:r>
        <w:rPr>
          <w:spacing w:val="-10"/>
          <w:sz w:val="24"/>
        </w:rPr>
        <w:t xml:space="preserve"> </w:t>
      </w:r>
      <w:r>
        <w:rPr>
          <w:sz w:val="24"/>
        </w:rPr>
        <w:t>links"</w:t>
      </w:r>
      <w:r>
        <w:rPr>
          <w:spacing w:val="-10"/>
          <w:sz w:val="24"/>
        </w:rPr>
        <w:t xml:space="preserve"> </w:t>
      </w:r>
      <w:r>
        <w:rPr>
          <w:sz w:val="24"/>
        </w:rPr>
        <w:t>it</w:t>
      </w:r>
      <w:r>
        <w:rPr>
          <w:spacing w:val="-11"/>
          <w:sz w:val="24"/>
        </w:rPr>
        <w:t xml:space="preserve"> </w:t>
      </w:r>
      <w:r>
        <w:rPr>
          <w:sz w:val="24"/>
        </w:rPr>
        <w:t>took</w:t>
      </w:r>
      <w:r>
        <w:rPr>
          <w:spacing w:val="-11"/>
          <w:sz w:val="24"/>
        </w:rPr>
        <w:t xml:space="preserve"> </w:t>
      </w:r>
      <w:r>
        <w:rPr>
          <w:sz w:val="24"/>
        </w:rPr>
        <w:t>into</w:t>
      </w:r>
      <w:r>
        <w:rPr>
          <w:spacing w:val="-10"/>
          <w:sz w:val="24"/>
        </w:rPr>
        <w:t xml:space="preserve"> </w:t>
      </w:r>
      <w:r>
        <w:rPr>
          <w:sz w:val="24"/>
        </w:rPr>
        <w:t>account,</w:t>
      </w:r>
      <w:r>
        <w:rPr>
          <w:spacing w:val="-11"/>
          <w:sz w:val="24"/>
        </w:rPr>
        <w:t xml:space="preserve"> </w:t>
      </w:r>
      <w:r>
        <w:rPr>
          <w:sz w:val="24"/>
        </w:rPr>
        <w:t>why</w:t>
      </w:r>
      <w:r>
        <w:rPr>
          <w:spacing w:val="-10"/>
          <w:sz w:val="24"/>
        </w:rPr>
        <w:t xml:space="preserve"> </w:t>
      </w:r>
      <w:r>
        <w:rPr>
          <w:sz w:val="24"/>
        </w:rPr>
        <w:t>it</w:t>
      </w:r>
      <w:r>
        <w:rPr>
          <w:spacing w:val="-11"/>
          <w:sz w:val="24"/>
        </w:rPr>
        <w:t xml:space="preserve"> </w:t>
      </w:r>
      <w:r>
        <w:rPr>
          <w:sz w:val="24"/>
        </w:rPr>
        <w:t>was</w:t>
      </w:r>
      <w:r>
        <w:rPr>
          <w:spacing w:val="-11"/>
          <w:sz w:val="24"/>
        </w:rPr>
        <w:t xml:space="preserve"> </w:t>
      </w:r>
      <w:r>
        <w:rPr>
          <w:sz w:val="24"/>
        </w:rPr>
        <w:t>considering</w:t>
      </w:r>
      <w:r>
        <w:rPr>
          <w:spacing w:val="-11"/>
          <w:sz w:val="24"/>
        </w:rPr>
        <w:t xml:space="preserve"> </w:t>
      </w:r>
      <w:r>
        <w:rPr>
          <w:sz w:val="24"/>
        </w:rPr>
        <w:t>"trade</w:t>
      </w:r>
      <w:r>
        <w:rPr>
          <w:spacing w:val="-10"/>
          <w:sz w:val="24"/>
        </w:rPr>
        <w:t xml:space="preserve"> </w:t>
      </w:r>
      <w:r>
        <w:rPr>
          <w:sz w:val="24"/>
        </w:rPr>
        <w:t>links", the data from which the "trade links" were determined or the purpose for which it took them into account; and</w:t>
      </w:r>
    </w:p>
    <w:p w14:paraId="51DE9990" w14:textId="77777777" w:rsidR="0010369C" w:rsidRDefault="008E43AE">
      <w:pPr>
        <w:pStyle w:val="ListParagraph"/>
        <w:numPr>
          <w:ilvl w:val="0"/>
          <w:numId w:val="20"/>
        </w:numPr>
        <w:tabs>
          <w:tab w:val="left" w:pos="1939"/>
          <w:tab w:val="left" w:pos="1940"/>
        </w:tabs>
        <w:spacing w:before="128" w:line="357" w:lineRule="auto"/>
        <w:ind w:right="613"/>
        <w:rPr>
          <w:sz w:val="24"/>
        </w:rPr>
      </w:pPr>
      <w:r>
        <w:rPr>
          <w:sz w:val="24"/>
        </w:rPr>
        <w:t>what the "other influencing factors" were that it had regard to, why it selected those factors, which data it drew upon to assess these un</w:t>
      </w:r>
      <w:r>
        <w:rPr>
          <w:sz w:val="24"/>
        </w:rPr>
        <w:t>known factors, how it they were taken into account and weighed against each, or the purpose for which it took them into account.</w:t>
      </w:r>
    </w:p>
    <w:p w14:paraId="51DE9991" w14:textId="77777777" w:rsidR="0010369C" w:rsidRDefault="008E43AE">
      <w:pPr>
        <w:pStyle w:val="BodyText"/>
        <w:spacing w:before="132" w:line="360" w:lineRule="auto"/>
        <w:ind w:left="237" w:right="612" w:firstLine="851"/>
        <w:jc w:val="both"/>
      </w:pPr>
      <w:r>
        <w:rPr>
          <w:noProof/>
        </w:rPr>
        <w:drawing>
          <wp:anchor distT="0" distB="0" distL="0" distR="0" simplePos="0" relativeHeight="251567616" behindDoc="1" locked="0" layoutInCell="1" allowOverlap="1" wp14:anchorId="51DEA84A" wp14:editId="51DEA84B">
            <wp:simplePos x="0" y="0"/>
            <wp:positionH relativeFrom="page">
              <wp:posOffset>902208</wp:posOffset>
            </wp:positionH>
            <wp:positionV relativeFrom="paragraph">
              <wp:posOffset>132749</wp:posOffset>
            </wp:positionV>
            <wp:extent cx="262127" cy="100753"/>
            <wp:effectExtent l="0" t="0" r="0" b="0"/>
            <wp:wrapNone/>
            <wp:docPr id="1907" name="image9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 name="image981.png"/>
                    <pic:cNvPicPr/>
                  </pic:nvPicPr>
                  <pic:blipFill>
                    <a:blip r:embed="rId1264" cstate="print"/>
                    <a:stretch>
                      <a:fillRect/>
                    </a:stretch>
                  </pic:blipFill>
                  <pic:spPr>
                    <a:xfrm>
                      <a:off x="0" y="0"/>
                      <a:ext cx="262127" cy="100753"/>
                    </a:xfrm>
                    <a:prstGeom prst="rect">
                      <a:avLst/>
                    </a:prstGeom>
                  </pic:spPr>
                </pic:pic>
              </a:graphicData>
            </a:graphic>
          </wp:anchor>
        </w:drawing>
      </w:r>
      <w:r>
        <w:t>There is nothing on the record to suggest that this information was confidential. No explanation</w:t>
      </w:r>
      <w:r>
        <w:rPr>
          <w:spacing w:val="-11"/>
        </w:rPr>
        <w:t xml:space="preserve"> </w:t>
      </w:r>
      <w:r>
        <w:t>was</w:t>
      </w:r>
      <w:r>
        <w:rPr>
          <w:spacing w:val="-9"/>
        </w:rPr>
        <w:t xml:space="preserve"> </w:t>
      </w:r>
      <w:r>
        <w:t>given</w:t>
      </w:r>
      <w:r>
        <w:rPr>
          <w:spacing w:val="-9"/>
        </w:rPr>
        <w:t xml:space="preserve"> </w:t>
      </w:r>
      <w:r>
        <w:t>for</w:t>
      </w:r>
      <w:r>
        <w:rPr>
          <w:spacing w:val="-8"/>
        </w:rPr>
        <w:t xml:space="preserve"> </w:t>
      </w:r>
      <w:r>
        <w:t>why</w:t>
      </w:r>
      <w:r>
        <w:rPr>
          <w:spacing w:val="-8"/>
        </w:rPr>
        <w:t xml:space="preserve"> </w:t>
      </w:r>
      <w:r>
        <w:t>it</w:t>
      </w:r>
      <w:r>
        <w:rPr>
          <w:spacing w:val="-9"/>
        </w:rPr>
        <w:t xml:space="preserve"> </w:t>
      </w:r>
      <w:r>
        <w:t>was</w:t>
      </w:r>
      <w:r>
        <w:rPr>
          <w:spacing w:val="-10"/>
        </w:rPr>
        <w:t xml:space="preserve"> </w:t>
      </w:r>
      <w:r>
        <w:t>not</w:t>
      </w:r>
      <w:r>
        <w:rPr>
          <w:spacing w:val="-8"/>
        </w:rPr>
        <w:t xml:space="preserve"> </w:t>
      </w:r>
      <w:r>
        <w:t>disclosed,</w:t>
      </w:r>
      <w:r>
        <w:rPr>
          <w:spacing w:val="-8"/>
        </w:rPr>
        <w:t xml:space="preserve"> </w:t>
      </w:r>
      <w:r>
        <w:t>even</w:t>
      </w:r>
      <w:r>
        <w:rPr>
          <w:spacing w:val="-9"/>
        </w:rPr>
        <w:t xml:space="preserve"> </w:t>
      </w:r>
      <w:r>
        <w:t>though</w:t>
      </w:r>
      <w:r>
        <w:rPr>
          <w:spacing w:val="-9"/>
        </w:rPr>
        <w:t xml:space="preserve"> </w:t>
      </w:r>
      <w:r>
        <w:t>it</w:t>
      </w:r>
      <w:r>
        <w:rPr>
          <w:spacing w:val="-9"/>
        </w:rPr>
        <w:t xml:space="preserve"> </w:t>
      </w:r>
      <w:r>
        <w:t>was</w:t>
      </w:r>
      <w:r>
        <w:rPr>
          <w:spacing w:val="-9"/>
        </w:rPr>
        <w:t xml:space="preserve"> </w:t>
      </w:r>
      <w:r>
        <w:t>directly</w:t>
      </w:r>
      <w:r>
        <w:rPr>
          <w:spacing w:val="-7"/>
        </w:rPr>
        <w:t xml:space="preserve"> </w:t>
      </w:r>
      <w:r>
        <w:t>relevant</w:t>
      </w:r>
      <w:r>
        <w:rPr>
          <w:spacing w:val="-9"/>
        </w:rPr>
        <w:t xml:space="preserve"> </w:t>
      </w:r>
      <w:r>
        <w:t>to</w:t>
      </w:r>
      <w:r>
        <w:rPr>
          <w:spacing w:val="-8"/>
        </w:rPr>
        <w:t xml:space="preserve"> </w:t>
      </w:r>
      <w:r>
        <w:t>the interested parties' ability to understand and prepare submissions about the adequacy of this data and the decision to resort to "facts available" to make this determination. This failure denied interested parties a full opportunity to defend their inte</w:t>
      </w:r>
      <w:r>
        <w:t>rests.</w:t>
      </w:r>
    </w:p>
    <w:p w14:paraId="51DE9992" w14:textId="77777777" w:rsidR="0010369C" w:rsidRDefault="008E43AE">
      <w:pPr>
        <w:pStyle w:val="ListParagraph"/>
        <w:numPr>
          <w:ilvl w:val="3"/>
          <w:numId w:val="75"/>
        </w:numPr>
        <w:tabs>
          <w:tab w:val="left" w:pos="3642"/>
          <w:tab w:val="left" w:pos="3643"/>
        </w:tabs>
        <w:spacing w:before="159" w:line="360" w:lineRule="auto"/>
        <w:ind w:right="614" w:hanging="853"/>
        <w:jc w:val="both"/>
        <w:rPr>
          <w:sz w:val="24"/>
        </w:rPr>
      </w:pPr>
      <w:r>
        <w:rPr>
          <w:sz w:val="24"/>
          <w:u w:val="single"/>
        </w:rPr>
        <w:t>Adjustments</w:t>
      </w:r>
      <w:r>
        <w:rPr>
          <w:spacing w:val="-2"/>
          <w:sz w:val="24"/>
          <w:u w:val="single"/>
        </w:rPr>
        <w:t xml:space="preserve"> </w:t>
      </w:r>
      <w:r>
        <w:rPr>
          <w:sz w:val="24"/>
          <w:u w:val="single"/>
        </w:rPr>
        <w:t>to</w:t>
      </w:r>
      <w:r>
        <w:rPr>
          <w:spacing w:val="-1"/>
          <w:sz w:val="24"/>
          <w:u w:val="single"/>
        </w:rPr>
        <w:t xml:space="preserve"> </w:t>
      </w:r>
      <w:r>
        <w:rPr>
          <w:sz w:val="24"/>
          <w:u w:val="single"/>
        </w:rPr>
        <w:t>ensure</w:t>
      </w:r>
      <w:r>
        <w:rPr>
          <w:spacing w:val="-1"/>
          <w:sz w:val="24"/>
          <w:u w:val="single"/>
        </w:rPr>
        <w:t xml:space="preserve"> </w:t>
      </w:r>
      <w:r>
        <w:rPr>
          <w:sz w:val="24"/>
          <w:u w:val="single"/>
        </w:rPr>
        <w:t>a</w:t>
      </w:r>
      <w:r>
        <w:rPr>
          <w:spacing w:val="-1"/>
          <w:sz w:val="24"/>
          <w:u w:val="single"/>
        </w:rPr>
        <w:t xml:space="preserve"> </w:t>
      </w:r>
      <w:r>
        <w:rPr>
          <w:sz w:val="24"/>
          <w:u w:val="single"/>
        </w:rPr>
        <w:t>fair</w:t>
      </w:r>
      <w:r>
        <w:rPr>
          <w:spacing w:val="-1"/>
          <w:sz w:val="24"/>
          <w:u w:val="single"/>
        </w:rPr>
        <w:t xml:space="preserve"> </w:t>
      </w:r>
      <w:r>
        <w:rPr>
          <w:sz w:val="24"/>
          <w:u w:val="single"/>
        </w:rPr>
        <w:t>comparison</w:t>
      </w:r>
      <w:r>
        <w:rPr>
          <w:spacing w:val="-2"/>
          <w:sz w:val="24"/>
          <w:u w:val="single"/>
        </w:rPr>
        <w:t xml:space="preserve"> </w:t>
      </w:r>
      <w:r>
        <w:rPr>
          <w:sz w:val="24"/>
          <w:u w:val="single"/>
        </w:rPr>
        <w:t>between</w:t>
      </w:r>
      <w:r>
        <w:rPr>
          <w:spacing w:val="-1"/>
          <w:sz w:val="24"/>
          <w:u w:val="single"/>
        </w:rPr>
        <w:t xml:space="preserve"> </w:t>
      </w:r>
      <w:r>
        <w:rPr>
          <w:sz w:val="24"/>
          <w:u w:val="single"/>
        </w:rPr>
        <w:t>normal</w:t>
      </w:r>
      <w:r>
        <w:rPr>
          <w:sz w:val="24"/>
        </w:rPr>
        <w:t xml:space="preserve"> </w:t>
      </w:r>
      <w:r>
        <w:rPr>
          <w:sz w:val="24"/>
          <w:u w:val="single"/>
        </w:rPr>
        <w:t>value and export price</w:t>
      </w:r>
    </w:p>
    <w:p w14:paraId="51DE9993" w14:textId="77777777" w:rsidR="0010369C" w:rsidRDefault="0010369C">
      <w:pPr>
        <w:pStyle w:val="BodyText"/>
        <w:spacing w:before="11"/>
        <w:rPr>
          <w:sz w:val="8"/>
        </w:rPr>
      </w:pPr>
    </w:p>
    <w:p w14:paraId="51DE9994" w14:textId="77777777" w:rsidR="0010369C" w:rsidRDefault="008E43AE">
      <w:pPr>
        <w:pStyle w:val="BodyText"/>
        <w:spacing w:before="52" w:line="360" w:lineRule="auto"/>
        <w:ind w:left="236" w:right="612" w:firstLine="852"/>
        <w:jc w:val="both"/>
      </w:pPr>
      <w:r>
        <w:rPr>
          <w:noProof/>
        </w:rPr>
        <w:drawing>
          <wp:anchor distT="0" distB="0" distL="0" distR="0" simplePos="0" relativeHeight="251568640" behindDoc="1" locked="0" layoutInCell="1" allowOverlap="1" wp14:anchorId="51DEA84C" wp14:editId="51DEA84D">
            <wp:simplePos x="0" y="0"/>
            <wp:positionH relativeFrom="page">
              <wp:posOffset>902208</wp:posOffset>
            </wp:positionH>
            <wp:positionV relativeFrom="paragraph">
              <wp:posOffset>80595</wp:posOffset>
            </wp:positionV>
            <wp:extent cx="262127" cy="103632"/>
            <wp:effectExtent l="0" t="0" r="0" b="0"/>
            <wp:wrapNone/>
            <wp:docPr id="1909" name="image9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 name="image982.png"/>
                    <pic:cNvPicPr/>
                  </pic:nvPicPr>
                  <pic:blipFill>
                    <a:blip r:embed="rId1265" cstate="print"/>
                    <a:stretch>
                      <a:fillRect/>
                    </a:stretch>
                  </pic:blipFill>
                  <pic:spPr>
                    <a:xfrm>
                      <a:off x="0" y="0"/>
                      <a:ext cx="262127" cy="103632"/>
                    </a:xfrm>
                    <a:prstGeom prst="rect">
                      <a:avLst/>
                    </a:prstGeom>
                  </pic:spPr>
                </pic:pic>
              </a:graphicData>
            </a:graphic>
          </wp:anchor>
        </w:drawing>
      </w:r>
      <w:r>
        <w:t>MOFCOM failed to provide all non‐confidential information in relation to the adjustments</w:t>
      </w:r>
      <w:r>
        <w:rPr>
          <w:spacing w:val="-3"/>
        </w:rPr>
        <w:t xml:space="preserve"> </w:t>
      </w:r>
      <w:r>
        <w:t>that</w:t>
      </w:r>
      <w:r>
        <w:rPr>
          <w:spacing w:val="-3"/>
        </w:rPr>
        <w:t xml:space="preserve"> </w:t>
      </w:r>
      <w:r>
        <w:t>were</w:t>
      </w:r>
      <w:r>
        <w:rPr>
          <w:spacing w:val="-2"/>
        </w:rPr>
        <w:t xml:space="preserve"> </w:t>
      </w:r>
      <w:r>
        <w:t>taken</w:t>
      </w:r>
      <w:r>
        <w:rPr>
          <w:spacing w:val="-3"/>
        </w:rPr>
        <w:t xml:space="preserve"> </w:t>
      </w:r>
      <w:r>
        <w:t>into</w:t>
      </w:r>
      <w:r>
        <w:rPr>
          <w:spacing w:val="-2"/>
        </w:rPr>
        <w:t xml:space="preserve"> </w:t>
      </w:r>
      <w:r>
        <w:t>account</w:t>
      </w:r>
      <w:r>
        <w:rPr>
          <w:spacing w:val="-3"/>
        </w:rPr>
        <w:t xml:space="preserve"> </w:t>
      </w:r>
      <w:r>
        <w:t>to</w:t>
      </w:r>
      <w:r>
        <w:rPr>
          <w:spacing w:val="-2"/>
        </w:rPr>
        <w:t xml:space="preserve"> </w:t>
      </w:r>
      <w:r>
        <w:t>ensure</w:t>
      </w:r>
      <w:r>
        <w:rPr>
          <w:spacing w:val="-3"/>
        </w:rPr>
        <w:t xml:space="preserve"> </w:t>
      </w:r>
      <w:r>
        <w:t>due</w:t>
      </w:r>
      <w:r>
        <w:rPr>
          <w:spacing w:val="-2"/>
        </w:rPr>
        <w:t xml:space="preserve"> </w:t>
      </w:r>
      <w:r>
        <w:t>allowance</w:t>
      </w:r>
      <w:r>
        <w:rPr>
          <w:spacing w:val="-2"/>
        </w:rPr>
        <w:t xml:space="preserve"> </w:t>
      </w:r>
      <w:r>
        <w:t>was</w:t>
      </w:r>
      <w:r>
        <w:rPr>
          <w:spacing w:val="-3"/>
        </w:rPr>
        <w:t xml:space="preserve"> </w:t>
      </w:r>
      <w:r>
        <w:t>made</w:t>
      </w:r>
      <w:r>
        <w:rPr>
          <w:spacing w:val="-2"/>
        </w:rPr>
        <w:t xml:space="preserve"> </w:t>
      </w:r>
      <w:r>
        <w:t>for</w:t>
      </w:r>
      <w:r>
        <w:rPr>
          <w:spacing w:val="-2"/>
        </w:rPr>
        <w:t xml:space="preserve"> </w:t>
      </w:r>
      <w:r>
        <w:t>differences af</w:t>
      </w:r>
      <w:r>
        <w:t>fecting</w:t>
      </w:r>
      <w:r>
        <w:rPr>
          <w:spacing w:val="-9"/>
        </w:rPr>
        <w:t xml:space="preserve"> </w:t>
      </w:r>
      <w:r>
        <w:t>price.</w:t>
      </w:r>
      <w:r>
        <w:rPr>
          <w:spacing w:val="-9"/>
        </w:rPr>
        <w:t xml:space="preserve"> </w:t>
      </w:r>
      <w:r>
        <w:t>There</w:t>
      </w:r>
      <w:r>
        <w:rPr>
          <w:spacing w:val="-9"/>
        </w:rPr>
        <w:t xml:space="preserve"> </w:t>
      </w:r>
      <w:r>
        <w:t>were</w:t>
      </w:r>
      <w:r>
        <w:rPr>
          <w:spacing w:val="-9"/>
        </w:rPr>
        <w:t xml:space="preserve"> </w:t>
      </w:r>
      <w:r>
        <w:t>two</w:t>
      </w:r>
      <w:r>
        <w:rPr>
          <w:spacing w:val="-8"/>
        </w:rPr>
        <w:t xml:space="preserve"> </w:t>
      </w:r>
      <w:r>
        <w:t>types</w:t>
      </w:r>
      <w:r>
        <w:rPr>
          <w:spacing w:val="-9"/>
        </w:rPr>
        <w:t xml:space="preserve"> </w:t>
      </w:r>
      <w:r>
        <w:t>of</w:t>
      </w:r>
      <w:r>
        <w:rPr>
          <w:spacing w:val="-9"/>
        </w:rPr>
        <w:t xml:space="preserve"> </w:t>
      </w:r>
      <w:r>
        <w:t>information</w:t>
      </w:r>
      <w:r>
        <w:rPr>
          <w:spacing w:val="-9"/>
        </w:rPr>
        <w:t xml:space="preserve"> </w:t>
      </w:r>
      <w:r>
        <w:t>that</w:t>
      </w:r>
      <w:r>
        <w:rPr>
          <w:spacing w:val="-9"/>
        </w:rPr>
        <w:t xml:space="preserve"> </w:t>
      </w:r>
      <w:r>
        <w:t>MOFCOM</w:t>
      </w:r>
      <w:r>
        <w:rPr>
          <w:spacing w:val="-9"/>
        </w:rPr>
        <w:t xml:space="preserve"> </w:t>
      </w:r>
      <w:r>
        <w:t>failed</w:t>
      </w:r>
      <w:r>
        <w:rPr>
          <w:spacing w:val="-9"/>
        </w:rPr>
        <w:t xml:space="preserve"> </w:t>
      </w:r>
      <w:r>
        <w:t>to</w:t>
      </w:r>
      <w:r>
        <w:rPr>
          <w:spacing w:val="-8"/>
        </w:rPr>
        <w:t xml:space="preserve"> </w:t>
      </w:r>
      <w:r>
        <w:t>provide.</w:t>
      </w:r>
      <w:r>
        <w:rPr>
          <w:spacing w:val="-8"/>
        </w:rPr>
        <w:t xml:space="preserve"> </w:t>
      </w:r>
      <w:r>
        <w:t>The</w:t>
      </w:r>
      <w:r>
        <w:rPr>
          <w:spacing w:val="-8"/>
        </w:rPr>
        <w:t xml:space="preserve"> </w:t>
      </w:r>
      <w:r>
        <w:t>first concerns</w:t>
      </w:r>
      <w:r>
        <w:rPr>
          <w:spacing w:val="-4"/>
        </w:rPr>
        <w:t xml:space="preserve"> </w:t>
      </w:r>
      <w:r>
        <w:t>the</w:t>
      </w:r>
      <w:r>
        <w:rPr>
          <w:spacing w:val="-3"/>
        </w:rPr>
        <w:t xml:space="preserve"> </w:t>
      </w:r>
      <w:r>
        <w:t>information</w:t>
      </w:r>
      <w:r>
        <w:rPr>
          <w:spacing w:val="-3"/>
        </w:rPr>
        <w:t xml:space="preserve"> </w:t>
      </w:r>
      <w:r>
        <w:t>that</w:t>
      </w:r>
      <w:r>
        <w:rPr>
          <w:spacing w:val="-4"/>
        </w:rPr>
        <w:t xml:space="preserve"> </w:t>
      </w:r>
      <w:r>
        <w:t>the</w:t>
      </w:r>
      <w:r>
        <w:rPr>
          <w:spacing w:val="-3"/>
        </w:rPr>
        <w:t xml:space="preserve"> </w:t>
      </w:r>
      <w:r>
        <w:t>interested</w:t>
      </w:r>
      <w:r>
        <w:rPr>
          <w:spacing w:val="-4"/>
        </w:rPr>
        <w:t xml:space="preserve"> </w:t>
      </w:r>
      <w:r>
        <w:t>parties</w:t>
      </w:r>
      <w:r>
        <w:rPr>
          <w:spacing w:val="-4"/>
        </w:rPr>
        <w:t xml:space="preserve"> </w:t>
      </w:r>
      <w:r>
        <w:t>needed</w:t>
      </w:r>
      <w:r>
        <w:rPr>
          <w:spacing w:val="-5"/>
        </w:rPr>
        <w:t xml:space="preserve"> </w:t>
      </w:r>
      <w:r>
        <w:t>to</w:t>
      </w:r>
      <w:r>
        <w:rPr>
          <w:spacing w:val="-4"/>
        </w:rPr>
        <w:t xml:space="preserve"> </w:t>
      </w:r>
      <w:r>
        <w:t>know</w:t>
      </w:r>
      <w:r>
        <w:rPr>
          <w:spacing w:val="-4"/>
        </w:rPr>
        <w:t xml:space="preserve"> </w:t>
      </w:r>
      <w:r>
        <w:t>in</w:t>
      </w:r>
      <w:r>
        <w:rPr>
          <w:spacing w:val="-5"/>
        </w:rPr>
        <w:t xml:space="preserve"> </w:t>
      </w:r>
      <w:r>
        <w:t>order</w:t>
      </w:r>
      <w:r>
        <w:rPr>
          <w:spacing w:val="-3"/>
        </w:rPr>
        <w:t xml:space="preserve"> </w:t>
      </w:r>
      <w:r>
        <w:t>to</w:t>
      </w:r>
      <w:r>
        <w:rPr>
          <w:spacing w:val="-3"/>
        </w:rPr>
        <w:t xml:space="preserve"> </w:t>
      </w:r>
      <w:r>
        <w:t xml:space="preserve">substantiate </w:t>
      </w:r>
      <w:r>
        <w:rPr>
          <w:w w:val="95"/>
        </w:rPr>
        <w:t>their</w:t>
      </w:r>
      <w:r>
        <w:rPr>
          <w:spacing w:val="14"/>
        </w:rPr>
        <w:t xml:space="preserve"> </w:t>
      </w:r>
      <w:r>
        <w:rPr>
          <w:w w:val="95"/>
        </w:rPr>
        <w:t>requests</w:t>
      </w:r>
      <w:r>
        <w:rPr>
          <w:spacing w:val="13"/>
        </w:rPr>
        <w:t xml:space="preserve"> </w:t>
      </w:r>
      <w:r>
        <w:rPr>
          <w:w w:val="95"/>
        </w:rPr>
        <w:t>for</w:t>
      </w:r>
      <w:r>
        <w:rPr>
          <w:spacing w:val="15"/>
        </w:rPr>
        <w:t xml:space="preserve"> </w:t>
      </w:r>
      <w:r>
        <w:rPr>
          <w:w w:val="95"/>
        </w:rPr>
        <w:t>adjustments,</w:t>
      </w:r>
      <w:r>
        <w:rPr>
          <w:spacing w:val="14"/>
        </w:rPr>
        <w:t xml:space="preserve"> </w:t>
      </w:r>
      <w:r>
        <w:rPr>
          <w:w w:val="95"/>
        </w:rPr>
        <w:t>including</w:t>
      </w:r>
      <w:r>
        <w:rPr>
          <w:spacing w:val="16"/>
        </w:rPr>
        <w:t xml:space="preserve"> </w:t>
      </w:r>
      <w:r>
        <w:rPr>
          <w:w w:val="95"/>
        </w:rPr>
        <w:t>adjustments</w:t>
      </w:r>
      <w:r>
        <w:rPr>
          <w:spacing w:val="13"/>
        </w:rPr>
        <w:t xml:space="preserve"> </w:t>
      </w:r>
      <w:r>
        <w:rPr>
          <w:w w:val="95"/>
        </w:rPr>
        <w:t>to</w:t>
      </w:r>
      <w:r>
        <w:rPr>
          <w:spacing w:val="15"/>
        </w:rPr>
        <w:t xml:space="preserve"> </w:t>
      </w:r>
      <w:r>
        <w:rPr>
          <w:w w:val="95"/>
        </w:rPr>
        <w:t>ensure</w:t>
      </w:r>
      <w:r>
        <w:rPr>
          <w:spacing w:val="14"/>
        </w:rPr>
        <w:t xml:space="preserve"> </w:t>
      </w:r>
      <w:r>
        <w:rPr>
          <w:w w:val="95"/>
        </w:rPr>
        <w:t>a</w:t>
      </w:r>
      <w:r>
        <w:rPr>
          <w:spacing w:val="15"/>
        </w:rPr>
        <w:t xml:space="preserve"> </w:t>
      </w:r>
      <w:r>
        <w:rPr>
          <w:w w:val="95"/>
        </w:rPr>
        <w:t>fair</w:t>
      </w:r>
      <w:r>
        <w:rPr>
          <w:spacing w:val="15"/>
        </w:rPr>
        <w:t xml:space="preserve"> </w:t>
      </w:r>
      <w:r>
        <w:rPr>
          <w:w w:val="95"/>
        </w:rPr>
        <w:t>comparison.</w:t>
      </w:r>
      <w:r>
        <w:rPr>
          <w:spacing w:val="14"/>
        </w:rPr>
        <w:t xml:space="preserve"> </w:t>
      </w:r>
      <w:r>
        <w:rPr>
          <w:w w:val="95"/>
        </w:rPr>
        <w:t>The</w:t>
      </w:r>
      <w:r>
        <w:rPr>
          <w:spacing w:val="16"/>
        </w:rPr>
        <w:t xml:space="preserve"> </w:t>
      </w:r>
      <w:r>
        <w:rPr>
          <w:spacing w:val="-2"/>
          <w:w w:val="95"/>
        </w:rPr>
        <w:t>second</w:t>
      </w:r>
    </w:p>
    <w:p w14:paraId="51DE9995" w14:textId="77777777" w:rsidR="0010369C" w:rsidRDefault="0010369C">
      <w:pPr>
        <w:spacing w:line="360" w:lineRule="auto"/>
        <w:jc w:val="both"/>
        <w:sectPr w:rsidR="0010369C">
          <w:pgSz w:w="11910" w:h="16840"/>
          <w:pgMar w:top="880" w:right="800" w:bottom="980" w:left="1180" w:header="569" w:footer="788" w:gutter="0"/>
          <w:cols w:space="720"/>
        </w:sectPr>
      </w:pPr>
    </w:p>
    <w:p w14:paraId="51DE9996" w14:textId="77777777" w:rsidR="0010369C" w:rsidRDefault="008E43AE">
      <w:pPr>
        <w:tabs>
          <w:tab w:val="left" w:pos="6426"/>
        </w:tabs>
        <w:ind w:left="238"/>
        <w:rPr>
          <w:sz w:val="20"/>
        </w:rPr>
      </w:pPr>
      <w:r>
        <w:rPr>
          <w:i/>
          <w:sz w:val="20"/>
        </w:rPr>
        <w:lastRenderedPageBreak/>
        <w:t>China</w:t>
      </w:r>
      <w:r>
        <w:rPr>
          <w:i/>
          <w:spacing w:val="-5"/>
          <w:sz w:val="20"/>
        </w:rPr>
        <w:t xml:space="preserve"> </w:t>
      </w:r>
      <w:r>
        <w:rPr>
          <w:i/>
          <w:sz w:val="20"/>
        </w:rPr>
        <w:t>–</w:t>
      </w:r>
      <w:r>
        <w:rPr>
          <w:i/>
          <w:spacing w:val="-5"/>
          <w:sz w:val="20"/>
        </w:rPr>
        <w:t xml:space="preserve"> </w:t>
      </w:r>
      <w:r>
        <w:rPr>
          <w:i/>
          <w:sz w:val="20"/>
        </w:rPr>
        <w:t>Anti‐Dumping</w:t>
      </w:r>
      <w:r>
        <w:rPr>
          <w:i/>
          <w:spacing w:val="-4"/>
          <w:sz w:val="20"/>
        </w:rPr>
        <w:t xml:space="preserve"> </w:t>
      </w:r>
      <w:r>
        <w:rPr>
          <w:i/>
          <w:sz w:val="20"/>
        </w:rPr>
        <w:t>and</w:t>
      </w:r>
      <w:r>
        <w:rPr>
          <w:i/>
          <w:spacing w:val="-5"/>
          <w:sz w:val="20"/>
        </w:rPr>
        <w:t xml:space="preserve"> </w:t>
      </w:r>
      <w:r>
        <w:rPr>
          <w:i/>
          <w:sz w:val="20"/>
        </w:rPr>
        <w:t>Countervailing</w:t>
      </w:r>
      <w:r>
        <w:rPr>
          <w:i/>
          <w:spacing w:val="-5"/>
          <w:sz w:val="20"/>
        </w:rPr>
        <w:t xml:space="preserve"> </w:t>
      </w:r>
      <w:r>
        <w:rPr>
          <w:i/>
          <w:sz w:val="20"/>
        </w:rPr>
        <w:t>Duty</w:t>
      </w:r>
      <w:r>
        <w:rPr>
          <w:i/>
          <w:spacing w:val="-4"/>
          <w:sz w:val="20"/>
        </w:rPr>
        <w:t xml:space="preserve"> </w:t>
      </w:r>
      <w:r>
        <w:rPr>
          <w:i/>
          <w:spacing w:val="-2"/>
          <w:sz w:val="20"/>
        </w:rPr>
        <w:t>Measures</w:t>
      </w:r>
      <w:r>
        <w:rPr>
          <w:i/>
          <w:sz w:val="20"/>
        </w:rPr>
        <w:tab/>
      </w:r>
      <w:r>
        <w:rPr>
          <w:sz w:val="20"/>
        </w:rPr>
        <w:t>Australia's</w:t>
      </w:r>
      <w:r>
        <w:rPr>
          <w:spacing w:val="-7"/>
          <w:sz w:val="20"/>
        </w:rPr>
        <w:t xml:space="preserve"> </w:t>
      </w:r>
      <w:r>
        <w:rPr>
          <w:sz w:val="20"/>
        </w:rPr>
        <w:t>First</w:t>
      </w:r>
      <w:r>
        <w:rPr>
          <w:spacing w:val="-2"/>
          <w:sz w:val="20"/>
        </w:rPr>
        <w:t xml:space="preserve"> </w:t>
      </w:r>
      <w:r>
        <w:rPr>
          <w:sz w:val="20"/>
        </w:rPr>
        <w:t>Written</w:t>
      </w:r>
      <w:r>
        <w:rPr>
          <w:spacing w:val="-2"/>
          <w:sz w:val="20"/>
        </w:rPr>
        <w:t xml:space="preserve"> Submission</w:t>
      </w:r>
    </w:p>
    <w:p w14:paraId="51DE9997" w14:textId="77777777" w:rsidR="0010369C" w:rsidRDefault="008E43AE">
      <w:pPr>
        <w:tabs>
          <w:tab w:val="left" w:pos="8228"/>
        </w:tabs>
        <w:spacing w:before="1"/>
        <w:ind w:left="239"/>
        <w:rPr>
          <w:sz w:val="20"/>
        </w:rPr>
      </w:pPr>
      <w:r>
        <w:rPr>
          <w:i/>
          <w:sz w:val="20"/>
        </w:rPr>
        <w:t>on</w:t>
      </w:r>
      <w:r>
        <w:rPr>
          <w:i/>
          <w:spacing w:val="-1"/>
          <w:sz w:val="20"/>
        </w:rPr>
        <w:t xml:space="preserve"> </w:t>
      </w:r>
      <w:r>
        <w:rPr>
          <w:i/>
          <w:sz w:val="20"/>
        </w:rPr>
        <w:t>Wine</w:t>
      </w:r>
      <w:r>
        <w:rPr>
          <w:i/>
          <w:spacing w:val="-1"/>
          <w:sz w:val="20"/>
        </w:rPr>
        <w:t xml:space="preserve"> </w:t>
      </w:r>
      <w:r>
        <w:rPr>
          <w:i/>
          <w:sz w:val="20"/>
        </w:rPr>
        <w:t>from</w:t>
      </w:r>
      <w:r>
        <w:rPr>
          <w:i/>
          <w:spacing w:val="-3"/>
          <w:sz w:val="20"/>
        </w:rPr>
        <w:t xml:space="preserve"> </w:t>
      </w:r>
      <w:r>
        <w:rPr>
          <w:i/>
          <w:sz w:val="20"/>
        </w:rPr>
        <w:t>Australia</w:t>
      </w:r>
      <w:r>
        <w:rPr>
          <w:i/>
          <w:spacing w:val="-1"/>
          <w:sz w:val="20"/>
        </w:rPr>
        <w:t xml:space="preserve"> </w:t>
      </w:r>
      <w:r>
        <w:rPr>
          <w:spacing w:val="-2"/>
          <w:sz w:val="20"/>
        </w:rPr>
        <w:t>(DS602)</w:t>
      </w:r>
      <w:r>
        <w:rPr>
          <w:sz w:val="20"/>
        </w:rPr>
        <w:tab/>
        <w:t>29</w:t>
      </w:r>
      <w:r>
        <w:rPr>
          <w:spacing w:val="-1"/>
          <w:sz w:val="20"/>
        </w:rPr>
        <w:t xml:space="preserve"> </w:t>
      </w:r>
      <w:r>
        <w:rPr>
          <w:sz w:val="20"/>
        </w:rPr>
        <w:t>April</w:t>
      </w:r>
      <w:r>
        <w:rPr>
          <w:spacing w:val="-2"/>
          <w:sz w:val="20"/>
        </w:rPr>
        <w:t xml:space="preserve"> </w:t>
      </w:r>
      <w:r>
        <w:rPr>
          <w:spacing w:val="-4"/>
          <w:sz w:val="20"/>
        </w:rPr>
        <w:t>2022</w:t>
      </w:r>
    </w:p>
    <w:p w14:paraId="51DE9998" w14:textId="77777777" w:rsidR="0010369C" w:rsidRDefault="008E43AE">
      <w:pPr>
        <w:pStyle w:val="BodyText"/>
        <w:spacing w:before="34" w:line="360" w:lineRule="auto"/>
        <w:ind w:left="238" w:hanging="1"/>
      </w:pPr>
      <w:r>
        <w:t>was</w:t>
      </w:r>
      <w:r>
        <w:rPr>
          <w:spacing w:val="-14"/>
        </w:rPr>
        <w:t xml:space="preserve"> </w:t>
      </w:r>
      <w:r>
        <w:t>the</w:t>
      </w:r>
      <w:r>
        <w:rPr>
          <w:spacing w:val="-14"/>
        </w:rPr>
        <w:t xml:space="preserve"> </w:t>
      </w:r>
      <w:r>
        <w:t>information</w:t>
      </w:r>
      <w:r>
        <w:rPr>
          <w:spacing w:val="-13"/>
        </w:rPr>
        <w:t xml:space="preserve"> </w:t>
      </w:r>
      <w:r>
        <w:t>that</w:t>
      </w:r>
      <w:r>
        <w:rPr>
          <w:spacing w:val="-14"/>
        </w:rPr>
        <w:t xml:space="preserve"> </w:t>
      </w:r>
      <w:r>
        <w:t>MOFCOM</w:t>
      </w:r>
      <w:r>
        <w:rPr>
          <w:spacing w:val="-13"/>
        </w:rPr>
        <w:t xml:space="preserve"> </w:t>
      </w:r>
      <w:r>
        <w:t>relied</w:t>
      </w:r>
      <w:r>
        <w:rPr>
          <w:spacing w:val="-14"/>
        </w:rPr>
        <w:t xml:space="preserve"> </w:t>
      </w:r>
      <w:r>
        <w:t>upon</w:t>
      </w:r>
      <w:r>
        <w:rPr>
          <w:spacing w:val="-13"/>
        </w:rPr>
        <w:t xml:space="preserve"> </w:t>
      </w:r>
      <w:r>
        <w:t>to</w:t>
      </w:r>
      <w:r>
        <w:rPr>
          <w:spacing w:val="-14"/>
        </w:rPr>
        <w:t xml:space="preserve"> </w:t>
      </w:r>
      <w:r>
        <w:t>accept</w:t>
      </w:r>
      <w:r>
        <w:rPr>
          <w:spacing w:val="-14"/>
        </w:rPr>
        <w:t xml:space="preserve"> </w:t>
      </w:r>
      <w:r>
        <w:t>or</w:t>
      </w:r>
      <w:r>
        <w:rPr>
          <w:spacing w:val="-13"/>
        </w:rPr>
        <w:t xml:space="preserve"> </w:t>
      </w:r>
      <w:r>
        <w:t>reject</w:t>
      </w:r>
      <w:r>
        <w:rPr>
          <w:spacing w:val="-14"/>
        </w:rPr>
        <w:t xml:space="preserve"> </w:t>
      </w:r>
      <w:r>
        <w:t>the</w:t>
      </w:r>
      <w:r>
        <w:rPr>
          <w:spacing w:val="-13"/>
        </w:rPr>
        <w:t xml:space="preserve"> </w:t>
      </w:r>
      <w:r>
        <w:t>requested</w:t>
      </w:r>
      <w:r>
        <w:rPr>
          <w:spacing w:val="-14"/>
        </w:rPr>
        <w:t xml:space="preserve"> </w:t>
      </w:r>
      <w:r>
        <w:t>adjustments. MOFCOM ignored an interested party request to see this information.</w:t>
      </w:r>
      <w:r>
        <w:rPr>
          <w:vertAlign w:val="superscript"/>
        </w:rPr>
        <w:t>1141</w:t>
      </w:r>
    </w:p>
    <w:p w14:paraId="51DE9999" w14:textId="77777777" w:rsidR="0010369C" w:rsidRDefault="0010369C">
      <w:pPr>
        <w:pStyle w:val="BodyText"/>
        <w:spacing w:before="10"/>
        <w:rPr>
          <w:sz w:val="8"/>
        </w:rPr>
      </w:pPr>
    </w:p>
    <w:p w14:paraId="51DE999A" w14:textId="77777777" w:rsidR="0010369C" w:rsidRDefault="008E43AE">
      <w:pPr>
        <w:pStyle w:val="BodyText"/>
        <w:spacing w:before="52" w:line="360" w:lineRule="auto"/>
        <w:ind w:left="237" w:right="612" w:firstLine="852"/>
        <w:jc w:val="both"/>
      </w:pPr>
      <w:r>
        <w:rPr>
          <w:noProof/>
        </w:rPr>
        <w:drawing>
          <wp:anchor distT="0" distB="0" distL="0" distR="0" simplePos="0" relativeHeight="251569664" behindDoc="1" locked="0" layoutInCell="1" allowOverlap="1" wp14:anchorId="51DEA84E" wp14:editId="51DEA84F">
            <wp:simplePos x="0" y="0"/>
            <wp:positionH relativeFrom="page">
              <wp:posOffset>902208</wp:posOffset>
            </wp:positionH>
            <wp:positionV relativeFrom="paragraph">
              <wp:posOffset>76785</wp:posOffset>
            </wp:positionV>
            <wp:extent cx="262127" cy="106679"/>
            <wp:effectExtent l="0" t="0" r="0" b="0"/>
            <wp:wrapNone/>
            <wp:docPr id="1911" name="image9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 name="image983.png"/>
                    <pic:cNvPicPr/>
                  </pic:nvPicPr>
                  <pic:blipFill>
                    <a:blip r:embed="rId1266" cstate="print"/>
                    <a:stretch>
                      <a:fillRect/>
                    </a:stretch>
                  </pic:blipFill>
                  <pic:spPr>
                    <a:xfrm>
                      <a:off x="0" y="0"/>
                      <a:ext cx="262127" cy="106679"/>
                    </a:xfrm>
                    <a:prstGeom prst="rect">
                      <a:avLst/>
                    </a:prstGeom>
                  </pic:spPr>
                </pic:pic>
              </a:graphicData>
            </a:graphic>
          </wp:anchor>
        </w:drawing>
      </w:r>
      <w:r>
        <w:t>Pursuant</w:t>
      </w:r>
      <w:r>
        <w:rPr>
          <w:spacing w:val="-14"/>
        </w:rPr>
        <w:t xml:space="preserve"> </w:t>
      </w:r>
      <w:r>
        <w:t>to</w:t>
      </w:r>
      <w:r>
        <w:rPr>
          <w:spacing w:val="-14"/>
        </w:rPr>
        <w:t xml:space="preserve"> </w:t>
      </w:r>
      <w:r>
        <w:t>Article</w:t>
      </w:r>
      <w:r>
        <w:rPr>
          <w:spacing w:val="-13"/>
        </w:rPr>
        <w:t xml:space="preserve"> </w:t>
      </w:r>
      <w:r>
        <w:t>2.4,</w:t>
      </w:r>
      <w:r>
        <w:rPr>
          <w:spacing w:val="-14"/>
        </w:rPr>
        <w:t xml:space="preserve"> </w:t>
      </w:r>
      <w:r>
        <w:t>MOFCOM</w:t>
      </w:r>
      <w:r>
        <w:rPr>
          <w:spacing w:val="-13"/>
        </w:rPr>
        <w:t xml:space="preserve"> </w:t>
      </w:r>
      <w:r>
        <w:t>was</w:t>
      </w:r>
      <w:r>
        <w:rPr>
          <w:spacing w:val="-14"/>
        </w:rPr>
        <w:t xml:space="preserve"> </w:t>
      </w:r>
      <w:r>
        <w:t>obligated</w:t>
      </w:r>
      <w:r>
        <w:rPr>
          <w:spacing w:val="-13"/>
        </w:rPr>
        <w:t xml:space="preserve"> </w:t>
      </w:r>
      <w:r>
        <w:t>to</w:t>
      </w:r>
      <w:r>
        <w:rPr>
          <w:spacing w:val="-14"/>
        </w:rPr>
        <w:t xml:space="preserve"> </w:t>
      </w:r>
      <w:r>
        <w:t>inform</w:t>
      </w:r>
      <w:r>
        <w:rPr>
          <w:spacing w:val="-14"/>
        </w:rPr>
        <w:t xml:space="preserve"> </w:t>
      </w:r>
      <w:r>
        <w:t>the</w:t>
      </w:r>
      <w:r>
        <w:rPr>
          <w:spacing w:val="-13"/>
        </w:rPr>
        <w:t xml:space="preserve"> </w:t>
      </w:r>
      <w:r>
        <w:t>interested</w:t>
      </w:r>
      <w:r>
        <w:rPr>
          <w:spacing w:val="-14"/>
        </w:rPr>
        <w:t xml:space="preserve"> </w:t>
      </w:r>
      <w:r>
        <w:t>parties</w:t>
      </w:r>
      <w:r>
        <w:rPr>
          <w:spacing w:val="-13"/>
        </w:rPr>
        <w:t xml:space="preserve"> </w:t>
      </w:r>
      <w:r>
        <w:t>what information</w:t>
      </w:r>
      <w:r>
        <w:rPr>
          <w:spacing w:val="-14"/>
        </w:rPr>
        <w:t xml:space="preserve"> </w:t>
      </w:r>
      <w:r>
        <w:t>it</w:t>
      </w:r>
      <w:r>
        <w:rPr>
          <w:spacing w:val="-12"/>
        </w:rPr>
        <w:t xml:space="preserve"> </w:t>
      </w:r>
      <w:r>
        <w:t>required</w:t>
      </w:r>
      <w:r>
        <w:rPr>
          <w:spacing w:val="-14"/>
        </w:rPr>
        <w:t xml:space="preserve"> </w:t>
      </w:r>
      <w:r>
        <w:t>to</w:t>
      </w:r>
      <w:r>
        <w:rPr>
          <w:spacing w:val="-12"/>
        </w:rPr>
        <w:t xml:space="preserve"> </w:t>
      </w:r>
      <w:r>
        <w:t>ensure</w:t>
      </w:r>
      <w:r>
        <w:rPr>
          <w:spacing w:val="-14"/>
        </w:rPr>
        <w:t xml:space="preserve"> </w:t>
      </w:r>
      <w:r>
        <w:t>a</w:t>
      </w:r>
      <w:r>
        <w:rPr>
          <w:spacing w:val="-12"/>
        </w:rPr>
        <w:t xml:space="preserve"> </w:t>
      </w:r>
      <w:r>
        <w:t>fair</w:t>
      </w:r>
      <w:r>
        <w:rPr>
          <w:spacing w:val="-13"/>
        </w:rPr>
        <w:t xml:space="preserve"> </w:t>
      </w:r>
      <w:r>
        <w:t>comparison</w:t>
      </w:r>
      <w:r>
        <w:rPr>
          <w:spacing w:val="-13"/>
        </w:rPr>
        <w:t xml:space="preserve"> </w:t>
      </w:r>
      <w:r>
        <w:t>so</w:t>
      </w:r>
      <w:r>
        <w:rPr>
          <w:spacing w:val="-13"/>
        </w:rPr>
        <w:t xml:space="preserve"> </w:t>
      </w:r>
      <w:r>
        <w:t>that</w:t>
      </w:r>
      <w:r>
        <w:rPr>
          <w:spacing w:val="-14"/>
        </w:rPr>
        <w:t xml:space="preserve"> </w:t>
      </w:r>
      <w:r>
        <w:t>they</w:t>
      </w:r>
      <w:r>
        <w:rPr>
          <w:spacing w:val="-12"/>
        </w:rPr>
        <w:t xml:space="preserve"> </w:t>
      </w:r>
      <w:r>
        <w:t>would</w:t>
      </w:r>
      <w:r>
        <w:rPr>
          <w:spacing w:val="-14"/>
        </w:rPr>
        <w:t xml:space="preserve"> </w:t>
      </w:r>
      <w:r>
        <w:t>be</w:t>
      </w:r>
      <w:r>
        <w:rPr>
          <w:spacing w:val="-12"/>
        </w:rPr>
        <w:t xml:space="preserve"> </w:t>
      </w:r>
      <w:r>
        <w:t>in</w:t>
      </w:r>
      <w:r>
        <w:rPr>
          <w:spacing w:val="-14"/>
        </w:rPr>
        <w:t xml:space="preserve"> </w:t>
      </w:r>
      <w:r>
        <w:t>a</w:t>
      </w:r>
      <w:r>
        <w:rPr>
          <w:spacing w:val="-12"/>
        </w:rPr>
        <w:t xml:space="preserve"> </w:t>
      </w:r>
      <w:r>
        <w:t>position</w:t>
      </w:r>
      <w:r>
        <w:rPr>
          <w:spacing w:val="-14"/>
        </w:rPr>
        <w:t xml:space="preserve"> </w:t>
      </w:r>
      <w:r>
        <w:t>to</w:t>
      </w:r>
      <w:r>
        <w:rPr>
          <w:spacing w:val="-12"/>
        </w:rPr>
        <w:t xml:space="preserve"> </w:t>
      </w:r>
      <w:r>
        <w:t xml:space="preserve">make a request for adjustments. Consistent with the Appellate Body's finding in </w:t>
      </w:r>
      <w:r>
        <w:rPr>
          <w:i/>
        </w:rPr>
        <w:t>EC – Fasteners (China)</w:t>
      </w:r>
      <w:r>
        <w:t>, this obligation includes telling the parties what information they will need to substantiate their assertions of adjustments.</w:t>
      </w:r>
      <w:r>
        <w:rPr>
          <w:vertAlign w:val="superscript"/>
        </w:rPr>
        <w:t>1142</w:t>
      </w:r>
      <w:r>
        <w:t xml:space="preserve"> This </w:t>
      </w:r>
      <w:r>
        <w:t>active engagement has been described as a "dialogue" between the authority and interested party.</w:t>
      </w:r>
      <w:r>
        <w:rPr>
          <w:vertAlign w:val="superscript"/>
        </w:rPr>
        <w:t>1143</w:t>
      </w:r>
    </w:p>
    <w:p w14:paraId="51DE999B" w14:textId="77777777" w:rsidR="0010369C" w:rsidRDefault="0010369C">
      <w:pPr>
        <w:pStyle w:val="BodyText"/>
        <w:spacing w:before="11"/>
        <w:rPr>
          <w:sz w:val="8"/>
        </w:rPr>
      </w:pPr>
    </w:p>
    <w:p w14:paraId="51DE999C" w14:textId="77777777" w:rsidR="0010369C" w:rsidRDefault="008E43AE">
      <w:pPr>
        <w:pStyle w:val="BodyText"/>
        <w:spacing w:before="52" w:line="360" w:lineRule="auto"/>
        <w:ind w:left="237" w:right="613" w:firstLine="851"/>
        <w:jc w:val="both"/>
      </w:pPr>
      <w:r>
        <w:rPr>
          <w:noProof/>
        </w:rPr>
        <w:drawing>
          <wp:anchor distT="0" distB="0" distL="0" distR="0" simplePos="0" relativeHeight="251570688" behindDoc="1" locked="0" layoutInCell="1" allowOverlap="1" wp14:anchorId="51DEA850" wp14:editId="51DEA851">
            <wp:simplePos x="0" y="0"/>
            <wp:positionH relativeFrom="page">
              <wp:posOffset>902208</wp:posOffset>
            </wp:positionH>
            <wp:positionV relativeFrom="paragraph">
              <wp:posOffset>80595</wp:posOffset>
            </wp:positionV>
            <wp:extent cx="262127" cy="103631"/>
            <wp:effectExtent l="0" t="0" r="0" b="0"/>
            <wp:wrapNone/>
            <wp:docPr id="1913" name="image9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 name="image984.png"/>
                    <pic:cNvPicPr/>
                  </pic:nvPicPr>
                  <pic:blipFill>
                    <a:blip r:embed="rId1267" cstate="print"/>
                    <a:stretch>
                      <a:fillRect/>
                    </a:stretch>
                  </pic:blipFill>
                  <pic:spPr>
                    <a:xfrm>
                      <a:off x="0" y="0"/>
                      <a:ext cx="262127" cy="103631"/>
                    </a:xfrm>
                    <a:prstGeom prst="rect">
                      <a:avLst/>
                    </a:prstGeom>
                  </pic:spPr>
                </pic:pic>
              </a:graphicData>
            </a:graphic>
          </wp:anchor>
        </w:drawing>
      </w:r>
      <w:r>
        <w:t>In the Final Determination, MOFCOM provided that it "reviewed the adjustment items…that affected the price comparability one‐by‐one" for each sampled com</w:t>
      </w:r>
      <w:r>
        <w:t>pany.</w:t>
      </w:r>
      <w:r>
        <w:rPr>
          <w:vertAlign w:val="superscript"/>
        </w:rPr>
        <w:t>1144</w:t>
      </w:r>
      <w:r>
        <w:t xml:space="preserve"> It also found that "…on the basis of considering various comparable factors affecting price, the Investigating</w:t>
      </w:r>
      <w:r>
        <w:rPr>
          <w:spacing w:val="-2"/>
        </w:rPr>
        <w:t xml:space="preserve"> </w:t>
      </w:r>
      <w:r>
        <w:t>Authority</w:t>
      </w:r>
      <w:r>
        <w:rPr>
          <w:spacing w:val="-3"/>
        </w:rPr>
        <w:t xml:space="preserve"> </w:t>
      </w:r>
      <w:r>
        <w:t>compared</w:t>
      </w:r>
      <w:r>
        <w:rPr>
          <w:spacing w:val="-2"/>
        </w:rPr>
        <w:t xml:space="preserve"> </w:t>
      </w:r>
      <w:r>
        <w:t>the</w:t>
      </w:r>
      <w:r>
        <w:rPr>
          <w:spacing w:val="-1"/>
        </w:rPr>
        <w:t xml:space="preserve"> </w:t>
      </w:r>
      <w:r>
        <w:t>normal</w:t>
      </w:r>
      <w:r>
        <w:rPr>
          <w:spacing w:val="-1"/>
        </w:rPr>
        <w:t xml:space="preserve"> </w:t>
      </w:r>
      <w:r>
        <w:t>value</w:t>
      </w:r>
      <w:r>
        <w:rPr>
          <w:spacing w:val="-1"/>
        </w:rPr>
        <w:t xml:space="preserve"> </w:t>
      </w:r>
      <w:r>
        <w:t>and</w:t>
      </w:r>
      <w:r>
        <w:rPr>
          <w:spacing w:val="-2"/>
        </w:rPr>
        <w:t xml:space="preserve"> </w:t>
      </w:r>
      <w:r>
        <w:t>export</w:t>
      </w:r>
      <w:r>
        <w:rPr>
          <w:spacing w:val="-2"/>
        </w:rPr>
        <w:t xml:space="preserve"> </w:t>
      </w:r>
      <w:r>
        <w:t>price</w:t>
      </w:r>
      <w:r>
        <w:rPr>
          <w:spacing w:val="-1"/>
        </w:rPr>
        <w:t xml:space="preserve"> </w:t>
      </w:r>
      <w:r>
        <w:t>at</w:t>
      </w:r>
      <w:r>
        <w:rPr>
          <w:spacing w:val="-3"/>
        </w:rPr>
        <w:t xml:space="preserve"> </w:t>
      </w:r>
      <w:r>
        <w:t>the</w:t>
      </w:r>
      <w:r>
        <w:rPr>
          <w:spacing w:val="-1"/>
        </w:rPr>
        <w:t xml:space="preserve"> </w:t>
      </w:r>
      <w:r>
        <w:t>ex‐factory</w:t>
      </w:r>
      <w:r>
        <w:rPr>
          <w:spacing w:val="-1"/>
        </w:rPr>
        <w:t xml:space="preserve"> </w:t>
      </w:r>
      <w:r>
        <w:t>level</w:t>
      </w:r>
      <w:r>
        <w:rPr>
          <w:spacing w:val="-1"/>
        </w:rPr>
        <w:t xml:space="preserve"> </w:t>
      </w:r>
      <w:r>
        <w:t>in a fair and reasonable manner".</w:t>
      </w:r>
      <w:r>
        <w:rPr>
          <w:vertAlign w:val="superscript"/>
        </w:rPr>
        <w:t>1145</w:t>
      </w:r>
      <w:r>
        <w:t xml:space="preserve"> While MOFCOM provided some limited information concerning which adjustments it accepted and rejected for the sampled companies, it failed to</w:t>
      </w:r>
      <w:r>
        <w:rPr>
          <w:spacing w:val="-6"/>
        </w:rPr>
        <w:t xml:space="preserve"> </w:t>
      </w:r>
      <w:r>
        <w:t>provide</w:t>
      </w:r>
      <w:r>
        <w:rPr>
          <w:spacing w:val="-5"/>
        </w:rPr>
        <w:t xml:space="preserve"> </w:t>
      </w:r>
      <w:r>
        <w:t>interested</w:t>
      </w:r>
      <w:r>
        <w:rPr>
          <w:spacing w:val="-6"/>
        </w:rPr>
        <w:t xml:space="preserve"> </w:t>
      </w:r>
      <w:r>
        <w:t>parties</w:t>
      </w:r>
      <w:r>
        <w:rPr>
          <w:spacing w:val="-7"/>
        </w:rPr>
        <w:t xml:space="preserve"> </w:t>
      </w:r>
      <w:r>
        <w:t>the</w:t>
      </w:r>
      <w:r>
        <w:rPr>
          <w:spacing w:val="-6"/>
        </w:rPr>
        <w:t xml:space="preserve"> </w:t>
      </w:r>
      <w:r>
        <w:t>remaining</w:t>
      </w:r>
      <w:r>
        <w:rPr>
          <w:spacing w:val="-7"/>
        </w:rPr>
        <w:t xml:space="preserve"> </w:t>
      </w:r>
      <w:r>
        <w:t>non‐confidential</w:t>
      </w:r>
      <w:r>
        <w:rPr>
          <w:spacing w:val="-7"/>
        </w:rPr>
        <w:t xml:space="preserve"> </w:t>
      </w:r>
      <w:r>
        <w:t>information</w:t>
      </w:r>
      <w:r>
        <w:rPr>
          <w:spacing w:val="-5"/>
        </w:rPr>
        <w:t xml:space="preserve"> </w:t>
      </w:r>
      <w:r>
        <w:t>that</w:t>
      </w:r>
      <w:r>
        <w:rPr>
          <w:spacing w:val="-6"/>
        </w:rPr>
        <w:t xml:space="preserve"> </w:t>
      </w:r>
      <w:r>
        <w:t>was</w:t>
      </w:r>
      <w:r>
        <w:rPr>
          <w:spacing w:val="-5"/>
        </w:rPr>
        <w:t xml:space="preserve"> </w:t>
      </w:r>
      <w:r>
        <w:t>relevant</w:t>
      </w:r>
      <w:r>
        <w:rPr>
          <w:spacing w:val="-6"/>
        </w:rPr>
        <w:t xml:space="preserve"> </w:t>
      </w:r>
      <w:r>
        <w:t>to the conduct of a fair c</w:t>
      </w:r>
      <w:r>
        <w:t>omparison.</w:t>
      </w:r>
    </w:p>
    <w:p w14:paraId="51DE999D" w14:textId="77777777" w:rsidR="0010369C" w:rsidRDefault="0010369C">
      <w:pPr>
        <w:pStyle w:val="BodyText"/>
        <w:spacing w:before="10"/>
        <w:rPr>
          <w:sz w:val="8"/>
        </w:rPr>
      </w:pPr>
    </w:p>
    <w:p w14:paraId="51DE999E" w14:textId="77777777" w:rsidR="0010369C" w:rsidRDefault="008E43AE">
      <w:pPr>
        <w:pStyle w:val="BodyText"/>
        <w:spacing w:before="52" w:line="360" w:lineRule="auto"/>
        <w:ind w:left="236" w:right="613" w:firstLine="852"/>
        <w:jc w:val="both"/>
      </w:pPr>
      <w:r>
        <w:rPr>
          <w:noProof/>
        </w:rPr>
        <w:drawing>
          <wp:anchor distT="0" distB="0" distL="0" distR="0" simplePos="0" relativeHeight="251571712" behindDoc="1" locked="0" layoutInCell="1" allowOverlap="1" wp14:anchorId="51DEA852" wp14:editId="51DEA853">
            <wp:simplePos x="0" y="0"/>
            <wp:positionH relativeFrom="page">
              <wp:posOffset>902208</wp:posOffset>
            </wp:positionH>
            <wp:positionV relativeFrom="paragraph">
              <wp:posOffset>81357</wp:posOffset>
            </wp:positionV>
            <wp:extent cx="262127" cy="103631"/>
            <wp:effectExtent l="0" t="0" r="0" b="0"/>
            <wp:wrapNone/>
            <wp:docPr id="1915" name="image9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 name="image985.png"/>
                    <pic:cNvPicPr/>
                  </pic:nvPicPr>
                  <pic:blipFill>
                    <a:blip r:embed="rId1268" cstate="print"/>
                    <a:stretch>
                      <a:fillRect/>
                    </a:stretch>
                  </pic:blipFill>
                  <pic:spPr>
                    <a:xfrm>
                      <a:off x="0" y="0"/>
                      <a:ext cx="262127" cy="103631"/>
                    </a:xfrm>
                    <a:prstGeom prst="rect">
                      <a:avLst/>
                    </a:prstGeom>
                  </pic:spPr>
                </pic:pic>
              </a:graphicData>
            </a:graphic>
          </wp:anchor>
        </w:drawing>
      </w:r>
      <w:r>
        <w:t>MOFCOM failed to provide all of the non‐confidential information to interested parties</w:t>
      </w:r>
      <w:r>
        <w:rPr>
          <w:spacing w:val="-5"/>
        </w:rPr>
        <w:t xml:space="preserve"> </w:t>
      </w:r>
      <w:r>
        <w:t>that</w:t>
      </w:r>
      <w:r>
        <w:rPr>
          <w:spacing w:val="-6"/>
        </w:rPr>
        <w:t xml:space="preserve"> </w:t>
      </w:r>
      <w:r>
        <w:t>was</w:t>
      </w:r>
      <w:r>
        <w:rPr>
          <w:spacing w:val="-5"/>
        </w:rPr>
        <w:t xml:space="preserve"> </w:t>
      </w:r>
      <w:r>
        <w:t>relevant</w:t>
      </w:r>
      <w:r>
        <w:rPr>
          <w:spacing w:val="-6"/>
        </w:rPr>
        <w:t xml:space="preserve"> </w:t>
      </w:r>
      <w:r>
        <w:t>and</w:t>
      </w:r>
      <w:r>
        <w:rPr>
          <w:spacing w:val="-5"/>
        </w:rPr>
        <w:t xml:space="preserve"> </w:t>
      </w:r>
      <w:r>
        <w:t>necessary</w:t>
      </w:r>
      <w:r>
        <w:rPr>
          <w:spacing w:val="-4"/>
        </w:rPr>
        <w:t xml:space="preserve"> </w:t>
      </w:r>
      <w:r>
        <w:t>to</w:t>
      </w:r>
      <w:r>
        <w:rPr>
          <w:spacing w:val="-4"/>
        </w:rPr>
        <w:t xml:space="preserve"> </w:t>
      </w:r>
      <w:r>
        <w:t>substantiate</w:t>
      </w:r>
      <w:r>
        <w:rPr>
          <w:spacing w:val="-4"/>
        </w:rPr>
        <w:t xml:space="preserve"> </w:t>
      </w:r>
      <w:r>
        <w:t>their</w:t>
      </w:r>
      <w:r>
        <w:rPr>
          <w:spacing w:val="-6"/>
        </w:rPr>
        <w:t xml:space="preserve"> </w:t>
      </w:r>
      <w:r>
        <w:t>requests</w:t>
      </w:r>
      <w:r>
        <w:rPr>
          <w:spacing w:val="-6"/>
        </w:rPr>
        <w:t xml:space="preserve"> </w:t>
      </w:r>
      <w:r>
        <w:t>for</w:t>
      </w:r>
      <w:r>
        <w:rPr>
          <w:spacing w:val="-4"/>
        </w:rPr>
        <w:t xml:space="preserve"> </w:t>
      </w:r>
      <w:r>
        <w:t>adjustments.</w:t>
      </w:r>
      <w:r>
        <w:rPr>
          <w:spacing w:val="-4"/>
        </w:rPr>
        <w:t xml:space="preserve"> </w:t>
      </w:r>
      <w:r>
        <w:t>There is</w:t>
      </w:r>
      <w:r>
        <w:rPr>
          <w:spacing w:val="-4"/>
        </w:rPr>
        <w:t xml:space="preserve"> </w:t>
      </w:r>
      <w:r>
        <w:t>no</w:t>
      </w:r>
      <w:r>
        <w:rPr>
          <w:spacing w:val="-3"/>
        </w:rPr>
        <w:t xml:space="preserve"> </w:t>
      </w:r>
      <w:r>
        <w:t>evidence</w:t>
      </w:r>
      <w:r>
        <w:rPr>
          <w:spacing w:val="-4"/>
        </w:rPr>
        <w:t xml:space="preserve"> </w:t>
      </w:r>
      <w:r>
        <w:t>that</w:t>
      </w:r>
      <w:r>
        <w:rPr>
          <w:spacing w:val="-4"/>
        </w:rPr>
        <w:t xml:space="preserve"> </w:t>
      </w:r>
      <w:r>
        <w:t>MOFCOM</w:t>
      </w:r>
      <w:r>
        <w:rPr>
          <w:spacing w:val="-3"/>
        </w:rPr>
        <w:t xml:space="preserve"> </w:t>
      </w:r>
      <w:r>
        <w:t>engaged</w:t>
      </w:r>
      <w:r>
        <w:rPr>
          <w:spacing w:val="-5"/>
        </w:rPr>
        <w:t xml:space="preserve"> </w:t>
      </w:r>
      <w:r>
        <w:t>in</w:t>
      </w:r>
      <w:r>
        <w:rPr>
          <w:spacing w:val="-4"/>
        </w:rPr>
        <w:t xml:space="preserve"> </w:t>
      </w:r>
      <w:r>
        <w:t>a</w:t>
      </w:r>
      <w:r>
        <w:rPr>
          <w:spacing w:val="-4"/>
        </w:rPr>
        <w:t xml:space="preserve"> </w:t>
      </w:r>
      <w:r>
        <w:t>"dialogue"</w:t>
      </w:r>
      <w:r>
        <w:rPr>
          <w:spacing w:val="-5"/>
        </w:rPr>
        <w:t xml:space="preserve"> </w:t>
      </w:r>
      <w:r>
        <w:t>with</w:t>
      </w:r>
      <w:r>
        <w:rPr>
          <w:spacing w:val="-4"/>
        </w:rPr>
        <w:t xml:space="preserve"> </w:t>
      </w:r>
      <w:r>
        <w:t>the</w:t>
      </w:r>
      <w:r>
        <w:rPr>
          <w:spacing w:val="-3"/>
        </w:rPr>
        <w:t xml:space="preserve"> </w:t>
      </w:r>
      <w:r>
        <w:t>sampled</w:t>
      </w:r>
      <w:r>
        <w:rPr>
          <w:spacing w:val="-4"/>
        </w:rPr>
        <w:t xml:space="preserve"> </w:t>
      </w:r>
      <w:r>
        <w:t>co</w:t>
      </w:r>
      <w:r>
        <w:t>mpanies</w:t>
      </w:r>
      <w:r>
        <w:rPr>
          <w:spacing w:val="-5"/>
        </w:rPr>
        <w:t xml:space="preserve"> </w:t>
      </w:r>
      <w:r>
        <w:t>regarding the</w:t>
      </w:r>
      <w:r>
        <w:rPr>
          <w:spacing w:val="-9"/>
        </w:rPr>
        <w:t xml:space="preserve"> </w:t>
      </w:r>
      <w:r>
        <w:t>information</w:t>
      </w:r>
      <w:r>
        <w:rPr>
          <w:spacing w:val="-9"/>
        </w:rPr>
        <w:t xml:space="preserve"> </w:t>
      </w:r>
      <w:r>
        <w:t>that</w:t>
      </w:r>
      <w:r>
        <w:rPr>
          <w:spacing w:val="-10"/>
        </w:rPr>
        <w:t xml:space="preserve"> </w:t>
      </w:r>
      <w:r>
        <w:t>would</w:t>
      </w:r>
      <w:r>
        <w:rPr>
          <w:spacing w:val="-10"/>
        </w:rPr>
        <w:t xml:space="preserve"> </w:t>
      </w:r>
      <w:r>
        <w:t>need</w:t>
      </w:r>
      <w:r>
        <w:rPr>
          <w:spacing w:val="-10"/>
        </w:rPr>
        <w:t xml:space="preserve"> </w:t>
      </w:r>
      <w:r>
        <w:t>to</w:t>
      </w:r>
      <w:r>
        <w:rPr>
          <w:spacing w:val="-9"/>
        </w:rPr>
        <w:t xml:space="preserve"> </w:t>
      </w:r>
      <w:r>
        <w:t>be</w:t>
      </w:r>
      <w:r>
        <w:rPr>
          <w:spacing w:val="-9"/>
        </w:rPr>
        <w:t xml:space="preserve"> </w:t>
      </w:r>
      <w:r>
        <w:t>included</w:t>
      </w:r>
      <w:r>
        <w:rPr>
          <w:spacing w:val="-9"/>
        </w:rPr>
        <w:t xml:space="preserve"> </w:t>
      </w:r>
      <w:r>
        <w:t>in</w:t>
      </w:r>
      <w:r>
        <w:rPr>
          <w:spacing w:val="-10"/>
        </w:rPr>
        <w:t xml:space="preserve"> </w:t>
      </w:r>
      <w:r>
        <w:t>a</w:t>
      </w:r>
      <w:r>
        <w:rPr>
          <w:spacing w:val="-10"/>
        </w:rPr>
        <w:t xml:space="preserve"> </w:t>
      </w:r>
      <w:r>
        <w:t>request</w:t>
      </w:r>
      <w:r>
        <w:rPr>
          <w:spacing w:val="-10"/>
        </w:rPr>
        <w:t xml:space="preserve"> </w:t>
      </w:r>
      <w:r>
        <w:t>for</w:t>
      </w:r>
      <w:r>
        <w:rPr>
          <w:spacing w:val="-9"/>
        </w:rPr>
        <w:t xml:space="preserve"> </w:t>
      </w:r>
      <w:r>
        <w:t>adjustments.</w:t>
      </w:r>
      <w:r>
        <w:rPr>
          <w:spacing w:val="-9"/>
        </w:rPr>
        <w:t xml:space="preserve"> </w:t>
      </w:r>
      <w:r>
        <w:t>While</w:t>
      </w:r>
      <w:r>
        <w:rPr>
          <w:spacing w:val="-10"/>
        </w:rPr>
        <w:t xml:space="preserve"> </w:t>
      </w:r>
      <w:r>
        <w:t>MOFCOM did provide information on the adjustments it accepted or rejected for the sampled companies, MOFCOM did not provide the information that would have enabled interested parties to understand whether these constituted all the adjustments that were req</w:t>
      </w:r>
      <w:r>
        <w:t>uested. MOFCOM also did not inform the interested parties what the "various comparable factors affecting price" it referenced were.</w:t>
      </w:r>
    </w:p>
    <w:p w14:paraId="51DE999F" w14:textId="77777777" w:rsidR="0010369C" w:rsidRDefault="0010369C">
      <w:pPr>
        <w:pStyle w:val="BodyText"/>
        <w:spacing w:before="10"/>
        <w:rPr>
          <w:sz w:val="8"/>
        </w:rPr>
      </w:pPr>
    </w:p>
    <w:p w14:paraId="51DE99A0" w14:textId="77777777" w:rsidR="0010369C" w:rsidRDefault="008E43AE">
      <w:pPr>
        <w:pStyle w:val="BodyText"/>
        <w:spacing w:before="52" w:line="360" w:lineRule="auto"/>
        <w:ind w:left="238" w:firstLine="850"/>
      </w:pPr>
      <w:r>
        <w:rPr>
          <w:noProof/>
        </w:rPr>
        <w:drawing>
          <wp:anchor distT="0" distB="0" distL="0" distR="0" simplePos="0" relativeHeight="251572736" behindDoc="1" locked="0" layoutInCell="1" allowOverlap="1" wp14:anchorId="51DEA854" wp14:editId="51DEA855">
            <wp:simplePos x="0" y="0"/>
            <wp:positionH relativeFrom="page">
              <wp:posOffset>902208</wp:posOffset>
            </wp:positionH>
            <wp:positionV relativeFrom="paragraph">
              <wp:posOffset>80595</wp:posOffset>
            </wp:positionV>
            <wp:extent cx="262127" cy="103631"/>
            <wp:effectExtent l="0" t="0" r="0" b="0"/>
            <wp:wrapNone/>
            <wp:docPr id="1917" name="image9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 name="image986.png"/>
                    <pic:cNvPicPr/>
                  </pic:nvPicPr>
                  <pic:blipFill>
                    <a:blip r:embed="rId1269" cstate="print"/>
                    <a:stretch>
                      <a:fillRect/>
                    </a:stretch>
                  </pic:blipFill>
                  <pic:spPr>
                    <a:xfrm>
                      <a:off x="0" y="0"/>
                      <a:ext cx="262127" cy="103631"/>
                    </a:xfrm>
                    <a:prstGeom prst="rect">
                      <a:avLst/>
                    </a:prstGeom>
                  </pic:spPr>
                </pic:pic>
              </a:graphicData>
            </a:graphic>
          </wp:anchor>
        </w:drawing>
      </w:r>
      <w:r>
        <w:t>For example, for Casella Wines, MOFCOM only provided that it "decided to accept adjustment</w:t>
      </w:r>
      <w:r>
        <w:rPr>
          <w:spacing w:val="-6"/>
        </w:rPr>
        <w:t xml:space="preserve"> </w:t>
      </w:r>
      <w:r>
        <w:t>items</w:t>
      </w:r>
      <w:r>
        <w:rPr>
          <w:spacing w:val="-5"/>
        </w:rPr>
        <w:t xml:space="preserve"> </w:t>
      </w:r>
      <w:r>
        <w:t>such</w:t>
      </w:r>
      <w:r>
        <w:rPr>
          <w:spacing w:val="-7"/>
        </w:rPr>
        <w:t xml:space="preserve"> </w:t>
      </w:r>
      <w:r>
        <w:t>as</w:t>
      </w:r>
      <w:r>
        <w:rPr>
          <w:spacing w:val="-6"/>
        </w:rPr>
        <w:t xml:space="preserve"> </w:t>
      </w:r>
      <w:r>
        <w:t>invoice,</w:t>
      </w:r>
      <w:r>
        <w:rPr>
          <w:spacing w:val="-6"/>
        </w:rPr>
        <w:t xml:space="preserve"> </w:t>
      </w:r>
      <w:r>
        <w:t>discount</w:t>
      </w:r>
      <w:r>
        <w:t>,</w:t>
      </w:r>
      <w:r>
        <w:rPr>
          <w:spacing w:val="-4"/>
        </w:rPr>
        <w:t xml:space="preserve"> </w:t>
      </w:r>
      <w:r>
        <w:t>rebate,</w:t>
      </w:r>
      <w:r>
        <w:rPr>
          <w:spacing w:val="-6"/>
        </w:rPr>
        <w:t xml:space="preserve"> </w:t>
      </w:r>
      <w:r>
        <w:t>credit</w:t>
      </w:r>
      <w:r>
        <w:rPr>
          <w:spacing w:val="-6"/>
        </w:rPr>
        <w:t xml:space="preserve"> </w:t>
      </w:r>
      <w:r>
        <w:t>fee,</w:t>
      </w:r>
      <w:r>
        <w:rPr>
          <w:spacing w:val="-6"/>
        </w:rPr>
        <w:t xml:space="preserve"> </w:t>
      </w:r>
      <w:r>
        <w:t>and</w:t>
      </w:r>
      <w:r>
        <w:rPr>
          <w:spacing w:val="-5"/>
        </w:rPr>
        <w:t xml:space="preserve"> </w:t>
      </w:r>
      <w:r>
        <w:t>inland</w:t>
      </w:r>
      <w:r>
        <w:rPr>
          <w:spacing w:val="-6"/>
        </w:rPr>
        <w:t xml:space="preserve"> </w:t>
      </w:r>
      <w:r>
        <w:t>freight".</w:t>
      </w:r>
      <w:r>
        <w:rPr>
          <w:spacing w:val="-6"/>
        </w:rPr>
        <w:t xml:space="preserve"> </w:t>
      </w:r>
      <w:r>
        <w:t>The</w:t>
      </w:r>
      <w:r>
        <w:rPr>
          <w:spacing w:val="-5"/>
        </w:rPr>
        <w:t xml:space="preserve"> </w:t>
      </w:r>
      <w:r>
        <w:t>use</w:t>
      </w:r>
      <w:r>
        <w:rPr>
          <w:spacing w:val="-4"/>
        </w:rPr>
        <w:t xml:space="preserve"> </w:t>
      </w:r>
      <w:r>
        <w:rPr>
          <w:spacing w:val="-5"/>
        </w:rPr>
        <w:t>of</w:t>
      </w:r>
    </w:p>
    <w:p w14:paraId="51DE99A1" w14:textId="77777777" w:rsidR="0010369C" w:rsidRDefault="008E43AE">
      <w:pPr>
        <w:pStyle w:val="BodyText"/>
        <w:spacing w:before="5"/>
        <w:rPr>
          <w:sz w:val="20"/>
        </w:rPr>
      </w:pPr>
      <w:r>
        <w:pict w14:anchorId="51DEA856">
          <v:rect id="docshape1377" o:spid="_x0000_s1097" style="position:absolute;margin-left:70.9pt;margin-top:13.7pt;width:2in;height:.8pt;z-index:-250697216;mso-wrap-distance-left:0;mso-wrap-distance-right:0;mso-position-horizontal-relative:page" fillcolor="black" stroked="f">
            <w10:wrap type="topAndBottom" anchorx="page"/>
          </v:rect>
        </w:pict>
      </w:r>
    </w:p>
    <w:p w14:paraId="51DE99A2" w14:textId="77777777" w:rsidR="0010369C" w:rsidRDefault="008E43AE">
      <w:pPr>
        <w:spacing w:before="109"/>
        <w:ind w:left="238"/>
        <w:rPr>
          <w:sz w:val="18"/>
        </w:rPr>
      </w:pPr>
      <w:r>
        <w:rPr>
          <w:sz w:val="18"/>
          <w:vertAlign w:val="superscript"/>
        </w:rPr>
        <w:t>1141</w:t>
      </w:r>
      <w:r>
        <w:rPr>
          <w:spacing w:val="-9"/>
          <w:sz w:val="18"/>
        </w:rPr>
        <w:t xml:space="preserve"> </w:t>
      </w:r>
      <w:r>
        <w:rPr>
          <w:sz w:val="18"/>
        </w:rPr>
        <w:t>Swan</w:t>
      </w:r>
      <w:r>
        <w:rPr>
          <w:spacing w:val="-9"/>
          <w:sz w:val="18"/>
        </w:rPr>
        <w:t xml:space="preserve"> </w:t>
      </w:r>
      <w:r>
        <w:rPr>
          <w:sz w:val="18"/>
        </w:rPr>
        <w:t>Vintage</w:t>
      </w:r>
      <w:r>
        <w:rPr>
          <w:spacing w:val="-8"/>
          <w:sz w:val="18"/>
        </w:rPr>
        <w:t xml:space="preserve"> </w:t>
      </w:r>
      <w:r>
        <w:rPr>
          <w:sz w:val="18"/>
        </w:rPr>
        <w:t>Comments</w:t>
      </w:r>
      <w:r>
        <w:rPr>
          <w:spacing w:val="-9"/>
          <w:sz w:val="18"/>
        </w:rPr>
        <w:t xml:space="preserve"> </w:t>
      </w:r>
      <w:r>
        <w:rPr>
          <w:sz w:val="18"/>
        </w:rPr>
        <w:t>on</w:t>
      </w:r>
      <w:r>
        <w:rPr>
          <w:spacing w:val="-10"/>
          <w:sz w:val="18"/>
        </w:rPr>
        <w:t xml:space="preserve"> </w:t>
      </w:r>
      <w:r>
        <w:rPr>
          <w:sz w:val="18"/>
        </w:rPr>
        <w:t>Preliminary</w:t>
      </w:r>
      <w:r>
        <w:rPr>
          <w:spacing w:val="-9"/>
          <w:sz w:val="18"/>
        </w:rPr>
        <w:t xml:space="preserve"> </w:t>
      </w:r>
      <w:r>
        <w:rPr>
          <w:sz w:val="18"/>
        </w:rPr>
        <w:t>Determination</w:t>
      </w:r>
      <w:r>
        <w:rPr>
          <w:spacing w:val="-8"/>
          <w:sz w:val="18"/>
        </w:rPr>
        <w:t xml:space="preserve"> </w:t>
      </w:r>
      <w:r>
        <w:rPr>
          <w:sz w:val="18"/>
        </w:rPr>
        <w:t>(Exhibit</w:t>
      </w:r>
      <w:r>
        <w:rPr>
          <w:spacing w:val="-8"/>
          <w:sz w:val="18"/>
        </w:rPr>
        <w:t xml:space="preserve"> </w:t>
      </w:r>
      <w:r>
        <w:rPr>
          <w:sz w:val="18"/>
        </w:rPr>
        <w:t>AUS‐38),</w:t>
      </w:r>
      <w:r>
        <w:rPr>
          <w:spacing w:val="-10"/>
          <w:sz w:val="18"/>
        </w:rPr>
        <w:t xml:space="preserve"> </w:t>
      </w:r>
      <w:r>
        <w:rPr>
          <w:sz w:val="18"/>
        </w:rPr>
        <w:t>p.</w:t>
      </w:r>
      <w:r>
        <w:rPr>
          <w:spacing w:val="-9"/>
          <w:sz w:val="18"/>
        </w:rPr>
        <w:t xml:space="preserve"> </w:t>
      </w:r>
      <w:r>
        <w:rPr>
          <w:spacing w:val="-5"/>
          <w:sz w:val="18"/>
        </w:rPr>
        <w:t>2.</w:t>
      </w:r>
    </w:p>
    <w:p w14:paraId="51DE99A3" w14:textId="77777777" w:rsidR="0010369C" w:rsidRDefault="008E43AE">
      <w:pPr>
        <w:spacing w:before="1"/>
        <w:ind w:left="238"/>
        <w:rPr>
          <w:sz w:val="18"/>
        </w:rPr>
      </w:pPr>
      <w:r>
        <w:rPr>
          <w:sz w:val="18"/>
          <w:vertAlign w:val="superscript"/>
        </w:rPr>
        <w:t>1142</w:t>
      </w:r>
      <w:r>
        <w:rPr>
          <w:spacing w:val="-6"/>
          <w:sz w:val="18"/>
        </w:rPr>
        <w:t xml:space="preserve"> </w:t>
      </w:r>
      <w:r>
        <w:rPr>
          <w:sz w:val="18"/>
        </w:rPr>
        <w:t>Appellate</w:t>
      </w:r>
      <w:r>
        <w:rPr>
          <w:spacing w:val="-6"/>
          <w:sz w:val="18"/>
        </w:rPr>
        <w:t xml:space="preserve"> </w:t>
      </w:r>
      <w:r>
        <w:rPr>
          <w:sz w:val="18"/>
        </w:rPr>
        <w:t>Body</w:t>
      </w:r>
      <w:r>
        <w:rPr>
          <w:spacing w:val="-7"/>
          <w:sz w:val="18"/>
        </w:rPr>
        <w:t xml:space="preserve"> </w:t>
      </w:r>
      <w:r>
        <w:rPr>
          <w:sz w:val="18"/>
        </w:rPr>
        <w:t>Report</w:t>
      </w:r>
      <w:r>
        <w:rPr>
          <w:i/>
          <w:sz w:val="18"/>
        </w:rPr>
        <w:t>,</w:t>
      </w:r>
      <w:r>
        <w:rPr>
          <w:i/>
          <w:spacing w:val="-6"/>
          <w:sz w:val="18"/>
        </w:rPr>
        <w:t xml:space="preserve"> </w:t>
      </w:r>
      <w:r>
        <w:rPr>
          <w:i/>
          <w:sz w:val="18"/>
        </w:rPr>
        <w:t>EC</w:t>
      </w:r>
      <w:r>
        <w:rPr>
          <w:i/>
          <w:spacing w:val="-7"/>
          <w:sz w:val="18"/>
        </w:rPr>
        <w:t xml:space="preserve"> </w:t>
      </w:r>
      <w:r>
        <w:rPr>
          <w:i/>
          <w:sz w:val="18"/>
        </w:rPr>
        <w:t>–</w:t>
      </w:r>
      <w:r>
        <w:rPr>
          <w:i/>
          <w:spacing w:val="-6"/>
          <w:sz w:val="18"/>
        </w:rPr>
        <w:t xml:space="preserve"> </w:t>
      </w:r>
      <w:r>
        <w:rPr>
          <w:i/>
          <w:sz w:val="18"/>
        </w:rPr>
        <w:t>Fasteners</w:t>
      </w:r>
      <w:r>
        <w:rPr>
          <w:i/>
          <w:spacing w:val="-5"/>
          <w:sz w:val="18"/>
        </w:rPr>
        <w:t xml:space="preserve"> </w:t>
      </w:r>
      <w:r>
        <w:rPr>
          <w:i/>
          <w:sz w:val="18"/>
        </w:rPr>
        <w:t>(China)</w:t>
      </w:r>
      <w:r>
        <w:rPr>
          <w:sz w:val="18"/>
        </w:rPr>
        <w:t>,</w:t>
      </w:r>
      <w:r>
        <w:rPr>
          <w:spacing w:val="-7"/>
          <w:sz w:val="18"/>
        </w:rPr>
        <w:t xml:space="preserve"> </w:t>
      </w:r>
      <w:r>
        <w:rPr>
          <w:sz w:val="18"/>
        </w:rPr>
        <w:t>para.</w:t>
      </w:r>
      <w:r>
        <w:rPr>
          <w:spacing w:val="-5"/>
          <w:sz w:val="18"/>
        </w:rPr>
        <w:t xml:space="preserve"> </w:t>
      </w:r>
      <w:r>
        <w:rPr>
          <w:spacing w:val="-4"/>
          <w:sz w:val="18"/>
        </w:rPr>
        <w:t>489.</w:t>
      </w:r>
    </w:p>
    <w:p w14:paraId="51DE99A4" w14:textId="77777777" w:rsidR="0010369C" w:rsidRDefault="008E43AE">
      <w:pPr>
        <w:ind w:left="238"/>
        <w:rPr>
          <w:sz w:val="18"/>
        </w:rPr>
      </w:pPr>
      <w:r>
        <w:rPr>
          <w:sz w:val="18"/>
          <w:vertAlign w:val="superscript"/>
        </w:rPr>
        <w:t>1143</w:t>
      </w:r>
      <w:r>
        <w:rPr>
          <w:spacing w:val="-6"/>
          <w:sz w:val="18"/>
        </w:rPr>
        <w:t xml:space="preserve"> </w:t>
      </w:r>
      <w:r>
        <w:rPr>
          <w:sz w:val="18"/>
        </w:rPr>
        <w:t>Appellate</w:t>
      </w:r>
      <w:r>
        <w:rPr>
          <w:spacing w:val="-6"/>
          <w:sz w:val="18"/>
        </w:rPr>
        <w:t xml:space="preserve"> </w:t>
      </w:r>
      <w:r>
        <w:rPr>
          <w:sz w:val="18"/>
        </w:rPr>
        <w:t>Body</w:t>
      </w:r>
      <w:r>
        <w:rPr>
          <w:spacing w:val="-7"/>
          <w:sz w:val="18"/>
        </w:rPr>
        <w:t xml:space="preserve"> </w:t>
      </w:r>
      <w:r>
        <w:rPr>
          <w:sz w:val="18"/>
        </w:rPr>
        <w:t>Report</w:t>
      </w:r>
      <w:r>
        <w:rPr>
          <w:i/>
          <w:sz w:val="18"/>
        </w:rPr>
        <w:t>,</w:t>
      </w:r>
      <w:r>
        <w:rPr>
          <w:i/>
          <w:spacing w:val="-6"/>
          <w:sz w:val="18"/>
        </w:rPr>
        <w:t xml:space="preserve"> </w:t>
      </w:r>
      <w:r>
        <w:rPr>
          <w:i/>
          <w:sz w:val="18"/>
        </w:rPr>
        <w:t>EC</w:t>
      </w:r>
      <w:r>
        <w:rPr>
          <w:i/>
          <w:spacing w:val="-7"/>
          <w:sz w:val="18"/>
        </w:rPr>
        <w:t xml:space="preserve"> </w:t>
      </w:r>
      <w:r>
        <w:rPr>
          <w:i/>
          <w:sz w:val="18"/>
        </w:rPr>
        <w:t>–</w:t>
      </w:r>
      <w:r>
        <w:rPr>
          <w:i/>
          <w:spacing w:val="-6"/>
          <w:sz w:val="18"/>
        </w:rPr>
        <w:t xml:space="preserve"> </w:t>
      </w:r>
      <w:r>
        <w:rPr>
          <w:i/>
          <w:sz w:val="18"/>
        </w:rPr>
        <w:t>Fasteners</w:t>
      </w:r>
      <w:r>
        <w:rPr>
          <w:i/>
          <w:spacing w:val="-5"/>
          <w:sz w:val="18"/>
        </w:rPr>
        <w:t xml:space="preserve"> </w:t>
      </w:r>
      <w:r>
        <w:rPr>
          <w:i/>
          <w:sz w:val="18"/>
        </w:rPr>
        <w:t>(China)</w:t>
      </w:r>
      <w:r>
        <w:rPr>
          <w:sz w:val="18"/>
        </w:rPr>
        <w:t>,</w:t>
      </w:r>
      <w:r>
        <w:rPr>
          <w:spacing w:val="-7"/>
          <w:sz w:val="18"/>
        </w:rPr>
        <w:t xml:space="preserve"> </w:t>
      </w:r>
      <w:r>
        <w:rPr>
          <w:sz w:val="18"/>
        </w:rPr>
        <w:t>para.</w:t>
      </w:r>
      <w:r>
        <w:rPr>
          <w:spacing w:val="-5"/>
          <w:sz w:val="18"/>
        </w:rPr>
        <w:t xml:space="preserve"> </w:t>
      </w:r>
      <w:r>
        <w:rPr>
          <w:spacing w:val="-4"/>
          <w:sz w:val="18"/>
        </w:rPr>
        <w:t>489.</w:t>
      </w:r>
    </w:p>
    <w:p w14:paraId="51DE99A5" w14:textId="77777777" w:rsidR="0010369C" w:rsidRDefault="008E43AE">
      <w:pPr>
        <w:ind w:left="238"/>
        <w:rPr>
          <w:sz w:val="18"/>
        </w:rPr>
      </w:pPr>
      <w:r>
        <w:rPr>
          <w:sz w:val="18"/>
          <w:vertAlign w:val="superscript"/>
        </w:rPr>
        <w:t>1144</w:t>
      </w:r>
      <w:r>
        <w:rPr>
          <w:spacing w:val="-8"/>
          <w:sz w:val="18"/>
        </w:rPr>
        <w:t xml:space="preserve"> </w:t>
      </w:r>
      <w:r>
        <w:rPr>
          <w:sz w:val="18"/>
        </w:rPr>
        <w:t>Anti‐Dumping</w:t>
      </w:r>
      <w:r>
        <w:rPr>
          <w:spacing w:val="-8"/>
          <w:sz w:val="18"/>
        </w:rPr>
        <w:t xml:space="preserve"> </w:t>
      </w:r>
      <w:r>
        <w:rPr>
          <w:sz w:val="18"/>
        </w:rPr>
        <w:t>Final</w:t>
      </w:r>
      <w:r>
        <w:rPr>
          <w:spacing w:val="-7"/>
          <w:sz w:val="18"/>
        </w:rPr>
        <w:t xml:space="preserve"> </w:t>
      </w:r>
      <w:r>
        <w:rPr>
          <w:sz w:val="18"/>
        </w:rPr>
        <w:t>Determination</w:t>
      </w:r>
      <w:r>
        <w:rPr>
          <w:spacing w:val="-7"/>
          <w:sz w:val="18"/>
        </w:rPr>
        <w:t xml:space="preserve"> </w:t>
      </w:r>
      <w:r>
        <w:rPr>
          <w:sz w:val="18"/>
        </w:rPr>
        <w:t>(Exhibit</w:t>
      </w:r>
      <w:r>
        <w:rPr>
          <w:spacing w:val="-7"/>
          <w:sz w:val="18"/>
        </w:rPr>
        <w:t xml:space="preserve"> </w:t>
      </w:r>
      <w:r>
        <w:rPr>
          <w:sz w:val="18"/>
        </w:rPr>
        <w:t>AUS‐2),</w:t>
      </w:r>
      <w:r>
        <w:rPr>
          <w:spacing w:val="-9"/>
          <w:sz w:val="18"/>
        </w:rPr>
        <w:t xml:space="preserve"> </w:t>
      </w:r>
      <w:r>
        <w:rPr>
          <w:sz w:val="18"/>
        </w:rPr>
        <w:t>pp.</w:t>
      </w:r>
      <w:r>
        <w:rPr>
          <w:spacing w:val="-7"/>
          <w:sz w:val="18"/>
        </w:rPr>
        <w:t xml:space="preserve"> </w:t>
      </w:r>
      <w:r>
        <w:rPr>
          <w:sz w:val="18"/>
        </w:rPr>
        <w:t>70,</w:t>
      </w:r>
      <w:r>
        <w:rPr>
          <w:spacing w:val="-9"/>
          <w:sz w:val="18"/>
        </w:rPr>
        <w:t xml:space="preserve"> </w:t>
      </w:r>
      <w:r>
        <w:rPr>
          <w:sz w:val="18"/>
        </w:rPr>
        <w:t>86,</w:t>
      </w:r>
      <w:r>
        <w:rPr>
          <w:spacing w:val="-8"/>
          <w:sz w:val="18"/>
        </w:rPr>
        <w:t xml:space="preserve"> </w:t>
      </w:r>
      <w:r>
        <w:rPr>
          <w:spacing w:val="-5"/>
          <w:sz w:val="18"/>
        </w:rPr>
        <w:t>93.</w:t>
      </w:r>
    </w:p>
    <w:p w14:paraId="51DE99A6" w14:textId="77777777" w:rsidR="0010369C" w:rsidRDefault="008E43AE">
      <w:pPr>
        <w:ind w:left="238"/>
        <w:rPr>
          <w:sz w:val="18"/>
        </w:rPr>
      </w:pPr>
      <w:r>
        <w:rPr>
          <w:sz w:val="18"/>
          <w:vertAlign w:val="superscript"/>
        </w:rPr>
        <w:t>1145</w:t>
      </w:r>
      <w:r>
        <w:rPr>
          <w:spacing w:val="-9"/>
          <w:sz w:val="18"/>
        </w:rPr>
        <w:t xml:space="preserve"> </w:t>
      </w:r>
      <w:r>
        <w:rPr>
          <w:sz w:val="18"/>
        </w:rPr>
        <w:t>Anti‐Dumping</w:t>
      </w:r>
      <w:r>
        <w:rPr>
          <w:spacing w:val="-9"/>
          <w:sz w:val="18"/>
        </w:rPr>
        <w:t xml:space="preserve"> </w:t>
      </w:r>
      <w:r>
        <w:rPr>
          <w:sz w:val="18"/>
        </w:rPr>
        <w:t>Final</w:t>
      </w:r>
      <w:r>
        <w:rPr>
          <w:spacing w:val="-9"/>
          <w:sz w:val="18"/>
        </w:rPr>
        <w:t xml:space="preserve"> </w:t>
      </w:r>
      <w:r>
        <w:rPr>
          <w:sz w:val="18"/>
        </w:rPr>
        <w:t>Determination</w:t>
      </w:r>
      <w:r>
        <w:rPr>
          <w:spacing w:val="-8"/>
          <w:sz w:val="18"/>
        </w:rPr>
        <w:t xml:space="preserve"> </w:t>
      </w:r>
      <w:r>
        <w:rPr>
          <w:sz w:val="18"/>
        </w:rPr>
        <w:t>(Exhibit</w:t>
      </w:r>
      <w:r>
        <w:rPr>
          <w:spacing w:val="-9"/>
          <w:sz w:val="18"/>
        </w:rPr>
        <w:t xml:space="preserve"> </w:t>
      </w:r>
      <w:r>
        <w:rPr>
          <w:sz w:val="18"/>
        </w:rPr>
        <w:t>AUS‐2),</w:t>
      </w:r>
      <w:r>
        <w:rPr>
          <w:spacing w:val="-10"/>
          <w:sz w:val="18"/>
        </w:rPr>
        <w:t xml:space="preserve"> </w:t>
      </w:r>
      <w:r>
        <w:rPr>
          <w:sz w:val="18"/>
        </w:rPr>
        <w:t>p.</w:t>
      </w:r>
      <w:r>
        <w:rPr>
          <w:spacing w:val="-9"/>
          <w:sz w:val="18"/>
        </w:rPr>
        <w:t xml:space="preserve"> </w:t>
      </w:r>
      <w:r>
        <w:rPr>
          <w:spacing w:val="-4"/>
          <w:sz w:val="18"/>
        </w:rPr>
        <w:t>100.</w:t>
      </w:r>
    </w:p>
    <w:p w14:paraId="51DE99A7" w14:textId="77777777" w:rsidR="0010369C" w:rsidRDefault="0010369C">
      <w:pPr>
        <w:rPr>
          <w:sz w:val="18"/>
        </w:rPr>
        <w:sectPr w:rsidR="0010369C">
          <w:pgSz w:w="11910" w:h="16840"/>
          <w:pgMar w:top="880" w:right="800" w:bottom="980" w:left="1180" w:header="569" w:footer="788" w:gutter="0"/>
          <w:cols w:space="720"/>
        </w:sectPr>
      </w:pPr>
    </w:p>
    <w:p w14:paraId="51DE99A8" w14:textId="77777777" w:rsidR="0010369C" w:rsidRDefault="008E43AE">
      <w:pPr>
        <w:tabs>
          <w:tab w:val="left" w:pos="6425"/>
        </w:tabs>
        <w:ind w:left="238"/>
        <w:jc w:val="both"/>
        <w:rPr>
          <w:sz w:val="20"/>
        </w:rPr>
      </w:pPr>
      <w:r>
        <w:rPr>
          <w:i/>
          <w:sz w:val="20"/>
        </w:rPr>
        <w:lastRenderedPageBreak/>
        <w:t>China</w:t>
      </w:r>
      <w:r>
        <w:rPr>
          <w:i/>
          <w:spacing w:val="-5"/>
          <w:sz w:val="20"/>
        </w:rPr>
        <w:t xml:space="preserve"> </w:t>
      </w:r>
      <w:r>
        <w:rPr>
          <w:i/>
          <w:sz w:val="20"/>
        </w:rPr>
        <w:t>–</w:t>
      </w:r>
      <w:r>
        <w:rPr>
          <w:i/>
          <w:spacing w:val="-5"/>
          <w:sz w:val="20"/>
        </w:rPr>
        <w:t xml:space="preserve"> </w:t>
      </w:r>
      <w:r>
        <w:rPr>
          <w:i/>
          <w:sz w:val="20"/>
        </w:rPr>
        <w:t>Anti‐Dumping</w:t>
      </w:r>
      <w:r>
        <w:rPr>
          <w:i/>
          <w:spacing w:val="-4"/>
          <w:sz w:val="20"/>
        </w:rPr>
        <w:t xml:space="preserve"> </w:t>
      </w:r>
      <w:r>
        <w:rPr>
          <w:i/>
          <w:sz w:val="20"/>
        </w:rPr>
        <w:t>and</w:t>
      </w:r>
      <w:r>
        <w:rPr>
          <w:i/>
          <w:spacing w:val="-5"/>
          <w:sz w:val="20"/>
        </w:rPr>
        <w:t xml:space="preserve"> </w:t>
      </w:r>
      <w:r>
        <w:rPr>
          <w:i/>
          <w:sz w:val="20"/>
        </w:rPr>
        <w:t>Countervailing</w:t>
      </w:r>
      <w:r>
        <w:rPr>
          <w:i/>
          <w:spacing w:val="-5"/>
          <w:sz w:val="20"/>
        </w:rPr>
        <w:t xml:space="preserve"> </w:t>
      </w:r>
      <w:r>
        <w:rPr>
          <w:i/>
          <w:sz w:val="20"/>
        </w:rPr>
        <w:t>Duty</w:t>
      </w:r>
      <w:r>
        <w:rPr>
          <w:i/>
          <w:spacing w:val="-4"/>
          <w:sz w:val="20"/>
        </w:rPr>
        <w:t xml:space="preserve"> </w:t>
      </w:r>
      <w:r>
        <w:rPr>
          <w:i/>
          <w:spacing w:val="-2"/>
          <w:sz w:val="20"/>
        </w:rPr>
        <w:t>Measures</w:t>
      </w:r>
      <w:r>
        <w:rPr>
          <w:i/>
          <w:sz w:val="20"/>
        </w:rPr>
        <w:tab/>
      </w:r>
      <w:r>
        <w:rPr>
          <w:sz w:val="20"/>
        </w:rPr>
        <w:t>Australia's</w:t>
      </w:r>
      <w:r>
        <w:rPr>
          <w:spacing w:val="-7"/>
          <w:sz w:val="20"/>
        </w:rPr>
        <w:t xml:space="preserve"> </w:t>
      </w:r>
      <w:r>
        <w:rPr>
          <w:sz w:val="20"/>
        </w:rPr>
        <w:t>First</w:t>
      </w:r>
      <w:r>
        <w:rPr>
          <w:spacing w:val="-2"/>
          <w:sz w:val="20"/>
        </w:rPr>
        <w:t xml:space="preserve"> </w:t>
      </w:r>
      <w:r>
        <w:rPr>
          <w:sz w:val="20"/>
        </w:rPr>
        <w:t>Written</w:t>
      </w:r>
      <w:r>
        <w:rPr>
          <w:spacing w:val="-2"/>
          <w:sz w:val="20"/>
        </w:rPr>
        <w:t xml:space="preserve"> Submission</w:t>
      </w:r>
    </w:p>
    <w:p w14:paraId="51DE99A9" w14:textId="77777777" w:rsidR="0010369C" w:rsidRDefault="008E43AE">
      <w:pPr>
        <w:tabs>
          <w:tab w:val="left" w:pos="8227"/>
        </w:tabs>
        <w:spacing w:before="1"/>
        <w:ind w:left="239"/>
        <w:jc w:val="both"/>
        <w:rPr>
          <w:sz w:val="20"/>
        </w:rPr>
      </w:pPr>
      <w:r>
        <w:rPr>
          <w:i/>
          <w:sz w:val="20"/>
        </w:rPr>
        <w:t>on</w:t>
      </w:r>
      <w:r>
        <w:rPr>
          <w:i/>
          <w:spacing w:val="-1"/>
          <w:sz w:val="20"/>
        </w:rPr>
        <w:t xml:space="preserve"> </w:t>
      </w:r>
      <w:r>
        <w:rPr>
          <w:i/>
          <w:sz w:val="20"/>
        </w:rPr>
        <w:t>Wine</w:t>
      </w:r>
      <w:r>
        <w:rPr>
          <w:i/>
          <w:spacing w:val="-1"/>
          <w:sz w:val="20"/>
        </w:rPr>
        <w:t xml:space="preserve"> </w:t>
      </w:r>
      <w:r>
        <w:rPr>
          <w:i/>
          <w:sz w:val="20"/>
        </w:rPr>
        <w:t>from</w:t>
      </w:r>
      <w:r>
        <w:rPr>
          <w:i/>
          <w:spacing w:val="-3"/>
          <w:sz w:val="20"/>
        </w:rPr>
        <w:t xml:space="preserve"> </w:t>
      </w:r>
      <w:r>
        <w:rPr>
          <w:i/>
          <w:sz w:val="20"/>
        </w:rPr>
        <w:t>Australia</w:t>
      </w:r>
      <w:r>
        <w:rPr>
          <w:i/>
          <w:spacing w:val="-1"/>
          <w:sz w:val="20"/>
        </w:rPr>
        <w:t xml:space="preserve"> </w:t>
      </w:r>
      <w:r>
        <w:rPr>
          <w:spacing w:val="-2"/>
          <w:sz w:val="20"/>
        </w:rPr>
        <w:t>(DS602)</w:t>
      </w:r>
      <w:r>
        <w:rPr>
          <w:sz w:val="20"/>
        </w:rPr>
        <w:tab/>
        <w:t>29</w:t>
      </w:r>
      <w:r>
        <w:rPr>
          <w:spacing w:val="-1"/>
          <w:sz w:val="20"/>
        </w:rPr>
        <w:t xml:space="preserve"> </w:t>
      </w:r>
      <w:r>
        <w:rPr>
          <w:sz w:val="20"/>
        </w:rPr>
        <w:t>April</w:t>
      </w:r>
      <w:r>
        <w:rPr>
          <w:spacing w:val="-2"/>
          <w:sz w:val="20"/>
        </w:rPr>
        <w:t xml:space="preserve"> </w:t>
      </w:r>
      <w:r>
        <w:rPr>
          <w:spacing w:val="-4"/>
          <w:sz w:val="20"/>
        </w:rPr>
        <w:t>2022</w:t>
      </w:r>
    </w:p>
    <w:p w14:paraId="51DE99AA" w14:textId="77777777" w:rsidR="0010369C" w:rsidRDefault="008E43AE">
      <w:pPr>
        <w:pStyle w:val="BodyText"/>
        <w:spacing w:before="34" w:line="360" w:lineRule="auto"/>
        <w:ind w:left="236" w:right="613" w:firstLine="1"/>
        <w:jc w:val="both"/>
      </w:pPr>
      <w:r>
        <w:t>"such</w:t>
      </w:r>
      <w:r>
        <w:rPr>
          <w:spacing w:val="-3"/>
        </w:rPr>
        <w:t xml:space="preserve"> </w:t>
      </w:r>
      <w:r>
        <w:t>as"</w:t>
      </w:r>
      <w:r>
        <w:rPr>
          <w:spacing w:val="-3"/>
        </w:rPr>
        <w:t xml:space="preserve"> </w:t>
      </w:r>
      <w:r>
        <w:t>indicates</w:t>
      </w:r>
      <w:r>
        <w:rPr>
          <w:spacing w:val="-2"/>
        </w:rPr>
        <w:t xml:space="preserve"> </w:t>
      </w:r>
      <w:r>
        <w:t>that</w:t>
      </w:r>
      <w:r>
        <w:rPr>
          <w:spacing w:val="-4"/>
        </w:rPr>
        <w:t xml:space="preserve"> </w:t>
      </w:r>
      <w:r>
        <w:t>this</w:t>
      </w:r>
      <w:r>
        <w:rPr>
          <w:spacing w:val="-3"/>
        </w:rPr>
        <w:t xml:space="preserve"> </w:t>
      </w:r>
      <w:r>
        <w:t>list</w:t>
      </w:r>
      <w:r>
        <w:rPr>
          <w:spacing w:val="-3"/>
        </w:rPr>
        <w:t xml:space="preserve"> </w:t>
      </w:r>
      <w:r>
        <w:t>might</w:t>
      </w:r>
      <w:r>
        <w:rPr>
          <w:spacing w:val="-3"/>
        </w:rPr>
        <w:t xml:space="preserve"> </w:t>
      </w:r>
      <w:r>
        <w:t>be</w:t>
      </w:r>
      <w:r>
        <w:rPr>
          <w:spacing w:val="-2"/>
        </w:rPr>
        <w:t xml:space="preserve"> </w:t>
      </w:r>
      <w:r>
        <w:t>incomplete</w:t>
      </w:r>
      <w:r>
        <w:rPr>
          <w:spacing w:val="-1"/>
        </w:rPr>
        <w:t xml:space="preserve"> </w:t>
      </w:r>
      <w:r>
        <w:t>and</w:t>
      </w:r>
      <w:r>
        <w:rPr>
          <w:spacing w:val="-3"/>
        </w:rPr>
        <w:t xml:space="preserve"> </w:t>
      </w:r>
      <w:r>
        <w:t>not</w:t>
      </w:r>
      <w:r>
        <w:rPr>
          <w:spacing w:val="-2"/>
        </w:rPr>
        <w:t xml:space="preserve"> </w:t>
      </w:r>
      <w:r>
        <w:t>a</w:t>
      </w:r>
      <w:r>
        <w:rPr>
          <w:spacing w:val="-3"/>
        </w:rPr>
        <w:t xml:space="preserve"> </w:t>
      </w:r>
      <w:r>
        <w:t>conclusive</w:t>
      </w:r>
      <w:r>
        <w:rPr>
          <w:spacing w:val="-1"/>
        </w:rPr>
        <w:t xml:space="preserve"> </w:t>
      </w:r>
      <w:r>
        <w:t>list</w:t>
      </w:r>
      <w:r>
        <w:rPr>
          <w:spacing w:val="-3"/>
        </w:rPr>
        <w:t xml:space="preserve"> </w:t>
      </w:r>
      <w:r>
        <w:t>of</w:t>
      </w:r>
      <w:r>
        <w:rPr>
          <w:spacing w:val="-4"/>
        </w:rPr>
        <w:t xml:space="preserve"> </w:t>
      </w:r>
      <w:r>
        <w:t>all</w:t>
      </w:r>
      <w:r>
        <w:rPr>
          <w:spacing w:val="-3"/>
        </w:rPr>
        <w:t xml:space="preserve"> </w:t>
      </w:r>
      <w:r>
        <w:t>requested adjustments. Similarly, for Swan Vintage, MOFCOM only proposed to accept export price adjustments "such as pre‐sale warehousing costs, inland freight (from factory/warehouse to port of export), international transport costs, international transpo</w:t>
      </w:r>
      <w:r>
        <w:t>rt insurance premiums, and port load‐unload charges".</w:t>
      </w:r>
      <w:r>
        <w:rPr>
          <w:vertAlign w:val="superscript"/>
        </w:rPr>
        <w:t>1146</w:t>
      </w:r>
      <w:r>
        <w:t xml:space="preserve"> In both examples, there is no clear indication of whether MOFCOM considered all the price adjustments requested, and in the case of Swan Vintage, what</w:t>
      </w:r>
      <w:r>
        <w:rPr>
          <w:spacing w:val="-14"/>
        </w:rPr>
        <w:t xml:space="preserve"> </w:t>
      </w:r>
      <w:r>
        <w:t>the</w:t>
      </w:r>
      <w:r>
        <w:rPr>
          <w:spacing w:val="-14"/>
        </w:rPr>
        <w:t xml:space="preserve"> </w:t>
      </w:r>
      <w:r>
        <w:t>requested</w:t>
      </w:r>
      <w:r>
        <w:rPr>
          <w:spacing w:val="-13"/>
        </w:rPr>
        <w:t xml:space="preserve"> </w:t>
      </w:r>
      <w:r>
        <w:t>adjustments</w:t>
      </w:r>
      <w:r>
        <w:rPr>
          <w:spacing w:val="-14"/>
        </w:rPr>
        <w:t xml:space="preserve"> </w:t>
      </w:r>
      <w:r>
        <w:t>were.</w:t>
      </w:r>
      <w:r>
        <w:rPr>
          <w:spacing w:val="-13"/>
        </w:rPr>
        <w:t xml:space="preserve"> </w:t>
      </w:r>
      <w:r>
        <w:t>MOFCOM</w:t>
      </w:r>
      <w:r>
        <w:rPr>
          <w:spacing w:val="-14"/>
        </w:rPr>
        <w:t xml:space="preserve"> </w:t>
      </w:r>
      <w:r>
        <w:t>also</w:t>
      </w:r>
      <w:r>
        <w:rPr>
          <w:spacing w:val="-13"/>
        </w:rPr>
        <w:t xml:space="preserve"> </w:t>
      </w:r>
      <w:r>
        <w:t>fai</w:t>
      </w:r>
      <w:r>
        <w:t>led</w:t>
      </w:r>
      <w:r>
        <w:rPr>
          <w:spacing w:val="-14"/>
        </w:rPr>
        <w:t xml:space="preserve"> </w:t>
      </w:r>
      <w:r>
        <w:t>to</w:t>
      </w:r>
      <w:r>
        <w:rPr>
          <w:spacing w:val="-14"/>
        </w:rPr>
        <w:t xml:space="preserve"> </w:t>
      </w:r>
      <w:r>
        <w:t>explain</w:t>
      </w:r>
      <w:r>
        <w:rPr>
          <w:spacing w:val="-13"/>
        </w:rPr>
        <w:t xml:space="preserve"> </w:t>
      </w:r>
      <w:r>
        <w:t>how</w:t>
      </w:r>
      <w:r>
        <w:rPr>
          <w:spacing w:val="-14"/>
        </w:rPr>
        <w:t xml:space="preserve"> </w:t>
      </w:r>
      <w:r>
        <w:t>these</w:t>
      </w:r>
      <w:r>
        <w:rPr>
          <w:spacing w:val="-13"/>
        </w:rPr>
        <w:t xml:space="preserve"> </w:t>
      </w:r>
      <w:r>
        <w:t>adjustments were taken into account when it calculated constructed normal value through the weighted average domestic sales of "other respondents".</w:t>
      </w:r>
    </w:p>
    <w:p w14:paraId="51DE99AB" w14:textId="77777777" w:rsidR="0010369C" w:rsidRDefault="0010369C">
      <w:pPr>
        <w:pStyle w:val="BodyText"/>
        <w:spacing w:before="11"/>
        <w:rPr>
          <w:sz w:val="8"/>
        </w:rPr>
      </w:pPr>
    </w:p>
    <w:p w14:paraId="51DE99AC" w14:textId="77777777" w:rsidR="0010369C" w:rsidRDefault="008E43AE">
      <w:pPr>
        <w:pStyle w:val="BodyText"/>
        <w:spacing w:before="51" w:line="360" w:lineRule="auto"/>
        <w:ind w:left="236" w:right="612" w:firstLine="852"/>
        <w:jc w:val="both"/>
      </w:pPr>
      <w:r>
        <w:rPr>
          <w:noProof/>
        </w:rPr>
        <w:drawing>
          <wp:anchor distT="0" distB="0" distL="0" distR="0" simplePos="0" relativeHeight="251573760" behindDoc="1" locked="0" layoutInCell="1" allowOverlap="1" wp14:anchorId="51DEA857" wp14:editId="51DEA858">
            <wp:simplePos x="0" y="0"/>
            <wp:positionH relativeFrom="page">
              <wp:posOffset>902208</wp:posOffset>
            </wp:positionH>
            <wp:positionV relativeFrom="paragraph">
              <wp:posOffset>76150</wp:posOffset>
            </wp:positionV>
            <wp:extent cx="262127" cy="106679"/>
            <wp:effectExtent l="0" t="0" r="0" b="0"/>
            <wp:wrapNone/>
            <wp:docPr id="1919" name="image9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 name="image987.png"/>
                    <pic:cNvPicPr/>
                  </pic:nvPicPr>
                  <pic:blipFill>
                    <a:blip r:embed="rId1270" cstate="print"/>
                    <a:stretch>
                      <a:fillRect/>
                    </a:stretch>
                  </pic:blipFill>
                  <pic:spPr>
                    <a:xfrm>
                      <a:off x="0" y="0"/>
                      <a:ext cx="262127" cy="106679"/>
                    </a:xfrm>
                    <a:prstGeom prst="rect">
                      <a:avLst/>
                    </a:prstGeom>
                  </pic:spPr>
                </pic:pic>
              </a:graphicData>
            </a:graphic>
          </wp:anchor>
        </w:drawing>
      </w:r>
      <w:r>
        <w:t xml:space="preserve">MOFCOM did not provide the non‐confidential information that was relevant to its </w:t>
      </w:r>
      <w:r>
        <w:t>decision to reject or accept the requested adjustments. Consistent with Australia's earlier submissions on the deficiencies of Treasury Wines' requested adjustments to normal value,</w:t>
      </w:r>
      <w:r>
        <w:rPr>
          <w:vertAlign w:val="superscript"/>
        </w:rPr>
        <w:t>1147</w:t>
      </w:r>
      <w:r>
        <w:t xml:space="preserve"> MOFCOM did not provide all non‐confidential information concerning its</w:t>
      </w:r>
      <w:r>
        <w:t xml:space="preserve"> decision to reject the requested adjustments of discounts, rebates and advertising costs for Treasury Wines.</w:t>
      </w:r>
      <w:r>
        <w:rPr>
          <w:spacing w:val="-14"/>
        </w:rPr>
        <w:t xml:space="preserve"> </w:t>
      </w:r>
      <w:r>
        <w:t>This</w:t>
      </w:r>
      <w:r>
        <w:rPr>
          <w:spacing w:val="-14"/>
        </w:rPr>
        <w:t xml:space="preserve"> </w:t>
      </w:r>
      <w:r>
        <w:t>includes</w:t>
      </w:r>
      <w:r>
        <w:rPr>
          <w:spacing w:val="-13"/>
        </w:rPr>
        <w:t xml:space="preserve"> </w:t>
      </w:r>
      <w:r>
        <w:t>the</w:t>
      </w:r>
      <w:r>
        <w:rPr>
          <w:spacing w:val="-14"/>
        </w:rPr>
        <w:t xml:space="preserve"> </w:t>
      </w:r>
      <w:r>
        <w:t>information</w:t>
      </w:r>
      <w:r>
        <w:rPr>
          <w:spacing w:val="-13"/>
        </w:rPr>
        <w:t xml:space="preserve"> </w:t>
      </w:r>
      <w:r>
        <w:t>that</w:t>
      </w:r>
      <w:r>
        <w:rPr>
          <w:spacing w:val="-14"/>
        </w:rPr>
        <w:t xml:space="preserve"> </w:t>
      </w:r>
      <w:r>
        <w:t>MOFCOM</w:t>
      </w:r>
      <w:r>
        <w:rPr>
          <w:spacing w:val="-13"/>
        </w:rPr>
        <w:t xml:space="preserve"> </w:t>
      </w:r>
      <w:r>
        <w:t>used</w:t>
      </w:r>
      <w:r>
        <w:rPr>
          <w:spacing w:val="-14"/>
        </w:rPr>
        <w:t xml:space="preserve"> </w:t>
      </w:r>
      <w:r>
        <w:t>to</w:t>
      </w:r>
      <w:r>
        <w:rPr>
          <w:spacing w:val="-14"/>
        </w:rPr>
        <w:t xml:space="preserve"> </w:t>
      </w:r>
      <w:r>
        <w:t>reach</w:t>
      </w:r>
      <w:r>
        <w:rPr>
          <w:spacing w:val="-13"/>
        </w:rPr>
        <w:t xml:space="preserve"> </w:t>
      </w:r>
      <w:r>
        <w:t>its</w:t>
      </w:r>
      <w:r>
        <w:rPr>
          <w:spacing w:val="-14"/>
        </w:rPr>
        <w:t xml:space="preserve"> </w:t>
      </w:r>
      <w:r>
        <w:t>conclusions</w:t>
      </w:r>
      <w:r>
        <w:rPr>
          <w:spacing w:val="-13"/>
        </w:rPr>
        <w:t xml:space="preserve"> </w:t>
      </w:r>
      <w:r>
        <w:t>that:</w:t>
      </w:r>
      <w:r>
        <w:rPr>
          <w:spacing w:val="-14"/>
        </w:rPr>
        <w:t xml:space="preserve"> </w:t>
      </w:r>
      <w:r>
        <w:t>(i)</w:t>
      </w:r>
      <w:r>
        <w:rPr>
          <w:spacing w:val="-13"/>
        </w:rPr>
        <w:t xml:space="preserve"> </w:t>
      </w:r>
      <w:r>
        <w:t>there was "no sufficient evidence", (ii) Treasury Wines "did not elaborate the discount standards and bases and the methods for determining the discounts", and (iii) it "did not explain the method of determining advertising fees" or indicate "whether relev</w:t>
      </w:r>
      <w:r>
        <w:t>ant fees were directly related to the sales".</w:t>
      </w:r>
      <w:r>
        <w:rPr>
          <w:vertAlign w:val="superscript"/>
        </w:rPr>
        <w:t>1148</w:t>
      </w:r>
      <w:r>
        <w:t xml:space="preserve"> It is clear that MOFCOM only provided general reasons which is insufficient for the interested parties to understand the basis upon which MOFCOM rejected or accepted the adjustments. As a consequence, the i</w:t>
      </w:r>
      <w:r>
        <w:t>nterested parties were unable to understand</w:t>
      </w:r>
      <w:r>
        <w:rPr>
          <w:spacing w:val="-8"/>
        </w:rPr>
        <w:t xml:space="preserve"> </w:t>
      </w:r>
      <w:r>
        <w:t>MOFCOM's</w:t>
      </w:r>
      <w:r>
        <w:rPr>
          <w:spacing w:val="-7"/>
        </w:rPr>
        <w:t xml:space="preserve"> </w:t>
      </w:r>
      <w:r>
        <w:t>approach</w:t>
      </w:r>
      <w:r>
        <w:rPr>
          <w:spacing w:val="-9"/>
        </w:rPr>
        <w:t xml:space="preserve"> </w:t>
      </w:r>
      <w:r>
        <w:t>to</w:t>
      </w:r>
      <w:r>
        <w:rPr>
          <w:spacing w:val="-9"/>
        </w:rPr>
        <w:t xml:space="preserve"> </w:t>
      </w:r>
      <w:r>
        <w:t>adjustments</w:t>
      </w:r>
      <w:r>
        <w:rPr>
          <w:spacing w:val="-9"/>
        </w:rPr>
        <w:t xml:space="preserve"> </w:t>
      </w:r>
      <w:r>
        <w:t>to</w:t>
      </w:r>
      <w:r>
        <w:rPr>
          <w:spacing w:val="-8"/>
        </w:rPr>
        <w:t xml:space="preserve"> </w:t>
      </w:r>
      <w:r>
        <w:t>prepare</w:t>
      </w:r>
      <w:r>
        <w:rPr>
          <w:spacing w:val="-9"/>
        </w:rPr>
        <w:t xml:space="preserve"> </w:t>
      </w:r>
      <w:r>
        <w:t>presentations</w:t>
      </w:r>
      <w:r>
        <w:rPr>
          <w:spacing w:val="-8"/>
        </w:rPr>
        <w:t xml:space="preserve"> </w:t>
      </w:r>
      <w:r>
        <w:t>in</w:t>
      </w:r>
      <w:r>
        <w:rPr>
          <w:spacing w:val="-9"/>
        </w:rPr>
        <w:t xml:space="preserve"> </w:t>
      </w:r>
      <w:r>
        <w:t>defence</w:t>
      </w:r>
      <w:r>
        <w:rPr>
          <w:spacing w:val="-7"/>
        </w:rPr>
        <w:t xml:space="preserve"> </w:t>
      </w:r>
      <w:r>
        <w:t>of</w:t>
      </w:r>
      <w:r>
        <w:rPr>
          <w:spacing w:val="-9"/>
        </w:rPr>
        <w:t xml:space="preserve"> </w:t>
      </w:r>
      <w:r>
        <w:t xml:space="preserve">their </w:t>
      </w:r>
      <w:r>
        <w:rPr>
          <w:spacing w:val="-2"/>
        </w:rPr>
        <w:t>interests.</w:t>
      </w:r>
    </w:p>
    <w:p w14:paraId="51DE99AD" w14:textId="77777777" w:rsidR="0010369C" w:rsidRDefault="0010369C">
      <w:pPr>
        <w:pStyle w:val="BodyText"/>
        <w:spacing w:before="11"/>
        <w:rPr>
          <w:sz w:val="8"/>
        </w:rPr>
      </w:pPr>
    </w:p>
    <w:p w14:paraId="51DE99AE" w14:textId="77777777" w:rsidR="0010369C" w:rsidRDefault="008E43AE">
      <w:pPr>
        <w:pStyle w:val="BodyText"/>
        <w:spacing w:before="51" w:line="360" w:lineRule="auto"/>
        <w:ind w:left="236" w:right="612" w:firstLine="852"/>
        <w:jc w:val="both"/>
      </w:pPr>
      <w:r>
        <w:rPr>
          <w:noProof/>
        </w:rPr>
        <w:drawing>
          <wp:anchor distT="0" distB="0" distL="0" distR="0" simplePos="0" relativeHeight="251574784" behindDoc="1" locked="0" layoutInCell="1" allowOverlap="1" wp14:anchorId="51DEA859" wp14:editId="51DEA85A">
            <wp:simplePos x="0" y="0"/>
            <wp:positionH relativeFrom="page">
              <wp:posOffset>902208</wp:posOffset>
            </wp:positionH>
            <wp:positionV relativeFrom="paragraph">
              <wp:posOffset>76150</wp:posOffset>
            </wp:positionV>
            <wp:extent cx="262127" cy="106679"/>
            <wp:effectExtent l="0" t="0" r="0" b="0"/>
            <wp:wrapNone/>
            <wp:docPr id="1921" name="image9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 name="image988.png"/>
                    <pic:cNvPicPr/>
                  </pic:nvPicPr>
                  <pic:blipFill>
                    <a:blip r:embed="rId1271" cstate="print"/>
                    <a:stretch>
                      <a:fillRect/>
                    </a:stretch>
                  </pic:blipFill>
                  <pic:spPr>
                    <a:xfrm>
                      <a:off x="0" y="0"/>
                      <a:ext cx="262127" cy="106679"/>
                    </a:xfrm>
                    <a:prstGeom prst="rect">
                      <a:avLst/>
                    </a:prstGeom>
                  </pic:spPr>
                </pic:pic>
              </a:graphicData>
            </a:graphic>
          </wp:anchor>
        </w:drawing>
      </w:r>
      <w:r>
        <w:t>There is no basis for suggesting that the information set out above relating to price adjustments</w:t>
      </w:r>
      <w:r>
        <w:rPr>
          <w:spacing w:val="-10"/>
        </w:rPr>
        <w:t xml:space="preserve"> </w:t>
      </w:r>
      <w:r>
        <w:t>was</w:t>
      </w:r>
      <w:r>
        <w:rPr>
          <w:spacing w:val="-10"/>
        </w:rPr>
        <w:t xml:space="preserve"> </w:t>
      </w:r>
      <w:r>
        <w:t>confidential</w:t>
      </w:r>
      <w:r>
        <w:rPr>
          <w:spacing w:val="-10"/>
        </w:rPr>
        <w:t xml:space="preserve"> </w:t>
      </w:r>
      <w:r>
        <w:t>in</w:t>
      </w:r>
      <w:r>
        <w:rPr>
          <w:spacing w:val="-10"/>
        </w:rPr>
        <w:t xml:space="preserve"> </w:t>
      </w:r>
      <w:r>
        <w:t>its</w:t>
      </w:r>
      <w:r>
        <w:rPr>
          <w:spacing w:val="-10"/>
        </w:rPr>
        <w:t xml:space="preserve"> </w:t>
      </w:r>
      <w:r>
        <w:t>entirety.</w:t>
      </w:r>
      <w:r>
        <w:rPr>
          <w:spacing w:val="-10"/>
        </w:rPr>
        <w:t xml:space="preserve"> </w:t>
      </w:r>
      <w:r>
        <w:t>Further,</w:t>
      </w:r>
      <w:r>
        <w:rPr>
          <w:spacing w:val="-9"/>
        </w:rPr>
        <w:t xml:space="preserve"> </w:t>
      </w:r>
      <w:r>
        <w:t>it</w:t>
      </w:r>
      <w:r>
        <w:rPr>
          <w:spacing w:val="-10"/>
        </w:rPr>
        <w:t xml:space="preserve"> </w:t>
      </w:r>
      <w:r>
        <w:t>is</w:t>
      </w:r>
      <w:r>
        <w:rPr>
          <w:spacing w:val="-10"/>
        </w:rPr>
        <w:t xml:space="preserve"> </w:t>
      </w:r>
      <w:r>
        <w:t>clear</w:t>
      </w:r>
      <w:r>
        <w:rPr>
          <w:spacing w:val="-10"/>
        </w:rPr>
        <w:t xml:space="preserve"> </w:t>
      </w:r>
      <w:r>
        <w:t>that</w:t>
      </w:r>
      <w:r>
        <w:rPr>
          <w:spacing w:val="-10"/>
        </w:rPr>
        <w:t xml:space="preserve"> </w:t>
      </w:r>
      <w:r>
        <w:t>the</w:t>
      </w:r>
      <w:r>
        <w:rPr>
          <w:spacing w:val="-9"/>
        </w:rPr>
        <w:t xml:space="preserve"> </w:t>
      </w:r>
      <w:r>
        <w:t>information</w:t>
      </w:r>
      <w:r>
        <w:rPr>
          <w:spacing w:val="-9"/>
        </w:rPr>
        <w:t xml:space="preserve"> </w:t>
      </w:r>
      <w:r>
        <w:t>was</w:t>
      </w:r>
      <w:r>
        <w:rPr>
          <w:spacing w:val="-10"/>
        </w:rPr>
        <w:t xml:space="preserve"> </w:t>
      </w:r>
      <w:r>
        <w:t>in</w:t>
      </w:r>
      <w:r>
        <w:rPr>
          <w:spacing w:val="-10"/>
        </w:rPr>
        <w:t xml:space="preserve"> </w:t>
      </w:r>
      <w:r>
        <w:t xml:space="preserve">fact used by MOFCOM, as it influenced which adjustments were accepted or rejected for the purposes of a fair comparison of normal value and export price. The information relating to </w:t>
      </w:r>
      <w:r>
        <w:rPr>
          <w:w w:val="95"/>
        </w:rPr>
        <w:t>price</w:t>
      </w:r>
      <w:r>
        <w:rPr>
          <w:spacing w:val="11"/>
        </w:rPr>
        <w:t xml:space="preserve"> </w:t>
      </w:r>
      <w:r>
        <w:rPr>
          <w:w w:val="95"/>
        </w:rPr>
        <w:t>adjustments</w:t>
      </w:r>
      <w:r>
        <w:rPr>
          <w:spacing w:val="9"/>
        </w:rPr>
        <w:t xml:space="preserve"> </w:t>
      </w:r>
      <w:r>
        <w:rPr>
          <w:w w:val="95"/>
        </w:rPr>
        <w:t>was</w:t>
      </w:r>
      <w:r>
        <w:rPr>
          <w:spacing w:val="9"/>
        </w:rPr>
        <w:t xml:space="preserve"> </w:t>
      </w:r>
      <w:r>
        <w:rPr>
          <w:w w:val="95"/>
        </w:rPr>
        <w:t>therefore</w:t>
      </w:r>
      <w:r>
        <w:rPr>
          <w:spacing w:val="11"/>
        </w:rPr>
        <w:t xml:space="preserve"> </w:t>
      </w:r>
      <w:r>
        <w:rPr>
          <w:w w:val="95"/>
        </w:rPr>
        <w:t>highly</w:t>
      </w:r>
      <w:r>
        <w:rPr>
          <w:spacing w:val="11"/>
        </w:rPr>
        <w:t xml:space="preserve"> </w:t>
      </w:r>
      <w:r>
        <w:rPr>
          <w:w w:val="95"/>
        </w:rPr>
        <w:t>relevant</w:t>
      </w:r>
      <w:r>
        <w:rPr>
          <w:spacing w:val="10"/>
        </w:rPr>
        <w:t xml:space="preserve"> </w:t>
      </w:r>
      <w:r>
        <w:rPr>
          <w:w w:val="95"/>
        </w:rPr>
        <w:t>for</w:t>
      </w:r>
      <w:r>
        <w:rPr>
          <w:spacing w:val="11"/>
        </w:rPr>
        <w:t xml:space="preserve"> </w:t>
      </w:r>
      <w:r>
        <w:rPr>
          <w:w w:val="95"/>
        </w:rPr>
        <w:t>the</w:t>
      </w:r>
      <w:r>
        <w:rPr>
          <w:spacing w:val="11"/>
        </w:rPr>
        <w:t xml:space="preserve"> </w:t>
      </w:r>
      <w:r>
        <w:rPr>
          <w:w w:val="95"/>
        </w:rPr>
        <w:t>interested</w:t>
      </w:r>
      <w:r>
        <w:rPr>
          <w:spacing w:val="11"/>
        </w:rPr>
        <w:t xml:space="preserve"> </w:t>
      </w:r>
      <w:r>
        <w:rPr>
          <w:w w:val="95"/>
        </w:rPr>
        <w:t>parties</w:t>
      </w:r>
      <w:r>
        <w:rPr>
          <w:w w:val="95"/>
        </w:rPr>
        <w:t>,</w:t>
      </w:r>
      <w:r>
        <w:rPr>
          <w:spacing w:val="11"/>
        </w:rPr>
        <w:t xml:space="preserve"> </w:t>
      </w:r>
      <w:r>
        <w:rPr>
          <w:w w:val="95"/>
        </w:rPr>
        <w:t>as</w:t>
      </w:r>
      <w:r>
        <w:rPr>
          <w:spacing w:val="9"/>
        </w:rPr>
        <w:t xml:space="preserve"> </w:t>
      </w:r>
      <w:r>
        <w:rPr>
          <w:w w:val="95"/>
        </w:rPr>
        <w:t>it</w:t>
      </w:r>
      <w:r>
        <w:rPr>
          <w:spacing w:val="10"/>
        </w:rPr>
        <w:t xml:space="preserve"> </w:t>
      </w:r>
      <w:r>
        <w:rPr>
          <w:w w:val="95"/>
        </w:rPr>
        <w:t>directly</w:t>
      </w:r>
      <w:r>
        <w:rPr>
          <w:spacing w:val="12"/>
        </w:rPr>
        <w:t xml:space="preserve"> </w:t>
      </w:r>
      <w:r>
        <w:rPr>
          <w:spacing w:val="-2"/>
          <w:w w:val="95"/>
        </w:rPr>
        <w:t>related</w:t>
      </w:r>
    </w:p>
    <w:p w14:paraId="51DE99AF" w14:textId="77777777" w:rsidR="0010369C" w:rsidRDefault="0010369C">
      <w:pPr>
        <w:pStyle w:val="BodyText"/>
        <w:rPr>
          <w:sz w:val="20"/>
        </w:rPr>
      </w:pPr>
    </w:p>
    <w:p w14:paraId="51DE99B0" w14:textId="77777777" w:rsidR="0010369C" w:rsidRDefault="008E43AE">
      <w:pPr>
        <w:pStyle w:val="BodyText"/>
        <w:spacing w:before="9"/>
        <w:rPr>
          <w:sz w:val="26"/>
        </w:rPr>
      </w:pPr>
      <w:r>
        <w:pict w14:anchorId="51DEA85B">
          <v:rect id="docshape1378" o:spid="_x0000_s1096" style="position:absolute;margin-left:70.9pt;margin-top:17.55pt;width:2in;height:.8pt;z-index:-250696192;mso-wrap-distance-left:0;mso-wrap-distance-right:0;mso-position-horizontal-relative:page" fillcolor="black" stroked="f">
            <w10:wrap type="topAndBottom" anchorx="page"/>
          </v:rect>
        </w:pict>
      </w:r>
    </w:p>
    <w:p w14:paraId="51DE99B1" w14:textId="77777777" w:rsidR="0010369C" w:rsidRDefault="008E43AE">
      <w:pPr>
        <w:spacing w:before="109"/>
        <w:ind w:left="238"/>
        <w:rPr>
          <w:sz w:val="18"/>
        </w:rPr>
      </w:pPr>
      <w:r>
        <w:rPr>
          <w:sz w:val="18"/>
          <w:vertAlign w:val="superscript"/>
        </w:rPr>
        <w:t>1146</w:t>
      </w:r>
      <w:r>
        <w:rPr>
          <w:spacing w:val="-9"/>
          <w:sz w:val="18"/>
        </w:rPr>
        <w:t xml:space="preserve"> </w:t>
      </w:r>
      <w:r>
        <w:rPr>
          <w:sz w:val="18"/>
        </w:rPr>
        <w:t>Anti‐Dumping</w:t>
      </w:r>
      <w:r>
        <w:rPr>
          <w:spacing w:val="-9"/>
          <w:sz w:val="18"/>
        </w:rPr>
        <w:t xml:space="preserve"> </w:t>
      </w:r>
      <w:r>
        <w:rPr>
          <w:sz w:val="18"/>
        </w:rPr>
        <w:t>Final</w:t>
      </w:r>
      <w:r>
        <w:rPr>
          <w:spacing w:val="-9"/>
          <w:sz w:val="18"/>
        </w:rPr>
        <w:t xml:space="preserve"> </w:t>
      </w:r>
      <w:r>
        <w:rPr>
          <w:sz w:val="18"/>
        </w:rPr>
        <w:t>Determination</w:t>
      </w:r>
      <w:r>
        <w:rPr>
          <w:spacing w:val="-8"/>
          <w:sz w:val="18"/>
        </w:rPr>
        <w:t xml:space="preserve"> </w:t>
      </w:r>
      <w:r>
        <w:rPr>
          <w:sz w:val="18"/>
        </w:rPr>
        <w:t>(Exhibit</w:t>
      </w:r>
      <w:r>
        <w:rPr>
          <w:spacing w:val="-9"/>
          <w:sz w:val="18"/>
        </w:rPr>
        <w:t xml:space="preserve"> </w:t>
      </w:r>
      <w:r>
        <w:rPr>
          <w:sz w:val="18"/>
        </w:rPr>
        <w:t>AUS‐2),</w:t>
      </w:r>
      <w:r>
        <w:rPr>
          <w:spacing w:val="-10"/>
          <w:sz w:val="18"/>
        </w:rPr>
        <w:t xml:space="preserve"> </w:t>
      </w:r>
      <w:r>
        <w:rPr>
          <w:sz w:val="18"/>
        </w:rPr>
        <w:t>p.</w:t>
      </w:r>
      <w:r>
        <w:rPr>
          <w:spacing w:val="-9"/>
          <w:sz w:val="18"/>
        </w:rPr>
        <w:t xml:space="preserve"> </w:t>
      </w:r>
      <w:r>
        <w:rPr>
          <w:spacing w:val="-5"/>
          <w:sz w:val="18"/>
        </w:rPr>
        <w:t>94.</w:t>
      </w:r>
    </w:p>
    <w:p w14:paraId="51DE99B2" w14:textId="77777777" w:rsidR="0010369C" w:rsidRDefault="008E43AE">
      <w:pPr>
        <w:ind w:left="238"/>
        <w:rPr>
          <w:sz w:val="18"/>
        </w:rPr>
      </w:pPr>
      <w:r>
        <w:rPr>
          <w:sz w:val="18"/>
          <w:vertAlign w:val="superscript"/>
        </w:rPr>
        <w:t>1147</w:t>
      </w:r>
      <w:r>
        <w:rPr>
          <w:spacing w:val="-6"/>
          <w:sz w:val="18"/>
        </w:rPr>
        <w:t xml:space="preserve"> </w:t>
      </w:r>
      <w:r>
        <w:rPr>
          <w:sz w:val="18"/>
        </w:rPr>
        <w:t>See</w:t>
      </w:r>
      <w:r>
        <w:rPr>
          <w:spacing w:val="-5"/>
          <w:sz w:val="18"/>
        </w:rPr>
        <w:t xml:space="preserve"> </w:t>
      </w:r>
      <w:r>
        <w:rPr>
          <w:sz w:val="18"/>
        </w:rPr>
        <w:t>above,</w:t>
      </w:r>
      <w:r>
        <w:rPr>
          <w:spacing w:val="-6"/>
          <w:sz w:val="18"/>
        </w:rPr>
        <w:t xml:space="preserve"> </w:t>
      </w:r>
      <w:r>
        <w:rPr>
          <w:sz w:val="18"/>
        </w:rPr>
        <w:t>section</w:t>
      </w:r>
      <w:r>
        <w:rPr>
          <w:spacing w:val="-6"/>
          <w:sz w:val="18"/>
        </w:rPr>
        <w:t xml:space="preserve"> </w:t>
      </w:r>
      <w:r>
        <w:rPr>
          <w:spacing w:val="-2"/>
          <w:sz w:val="18"/>
        </w:rPr>
        <w:t>II.E.3.</w:t>
      </w:r>
    </w:p>
    <w:p w14:paraId="51DE99B3" w14:textId="77777777" w:rsidR="0010369C" w:rsidRDefault="008E43AE">
      <w:pPr>
        <w:ind w:left="238"/>
        <w:rPr>
          <w:sz w:val="18"/>
        </w:rPr>
      </w:pPr>
      <w:r>
        <w:rPr>
          <w:sz w:val="18"/>
          <w:vertAlign w:val="superscript"/>
        </w:rPr>
        <w:t>1148</w:t>
      </w:r>
      <w:r>
        <w:rPr>
          <w:spacing w:val="-10"/>
          <w:sz w:val="18"/>
        </w:rPr>
        <w:t xml:space="preserve"> </w:t>
      </w:r>
      <w:r>
        <w:rPr>
          <w:sz w:val="18"/>
        </w:rPr>
        <w:t>Anti‐Dumping</w:t>
      </w:r>
      <w:r>
        <w:rPr>
          <w:spacing w:val="-9"/>
          <w:sz w:val="18"/>
        </w:rPr>
        <w:t xml:space="preserve"> </w:t>
      </w:r>
      <w:r>
        <w:rPr>
          <w:sz w:val="18"/>
        </w:rPr>
        <w:t>Final</w:t>
      </w:r>
      <w:r>
        <w:rPr>
          <w:spacing w:val="-9"/>
          <w:sz w:val="18"/>
        </w:rPr>
        <w:t xml:space="preserve"> </w:t>
      </w:r>
      <w:r>
        <w:rPr>
          <w:sz w:val="18"/>
        </w:rPr>
        <w:t>Determination</w:t>
      </w:r>
      <w:r>
        <w:rPr>
          <w:spacing w:val="-8"/>
          <w:sz w:val="18"/>
        </w:rPr>
        <w:t xml:space="preserve"> </w:t>
      </w:r>
      <w:r>
        <w:rPr>
          <w:sz w:val="18"/>
        </w:rPr>
        <w:t>(Exhibit</w:t>
      </w:r>
      <w:r>
        <w:rPr>
          <w:spacing w:val="-9"/>
          <w:sz w:val="18"/>
        </w:rPr>
        <w:t xml:space="preserve"> </w:t>
      </w:r>
      <w:r>
        <w:rPr>
          <w:sz w:val="18"/>
        </w:rPr>
        <w:t>AUS‐2),</w:t>
      </w:r>
      <w:r>
        <w:rPr>
          <w:spacing w:val="-10"/>
          <w:sz w:val="18"/>
        </w:rPr>
        <w:t xml:space="preserve"> </w:t>
      </w:r>
      <w:r>
        <w:rPr>
          <w:sz w:val="18"/>
        </w:rPr>
        <w:t>pp.</w:t>
      </w:r>
      <w:r>
        <w:rPr>
          <w:spacing w:val="-9"/>
          <w:sz w:val="18"/>
        </w:rPr>
        <w:t xml:space="preserve"> </w:t>
      </w:r>
      <w:r>
        <w:rPr>
          <w:spacing w:val="-2"/>
          <w:sz w:val="18"/>
        </w:rPr>
        <w:t>71‐72.</w:t>
      </w:r>
    </w:p>
    <w:p w14:paraId="51DE99B4" w14:textId="77777777" w:rsidR="0010369C" w:rsidRDefault="0010369C">
      <w:pPr>
        <w:rPr>
          <w:sz w:val="18"/>
        </w:rPr>
        <w:sectPr w:rsidR="0010369C">
          <w:pgSz w:w="11910" w:h="16840"/>
          <w:pgMar w:top="880" w:right="800" w:bottom="980" w:left="1180" w:header="569" w:footer="788" w:gutter="0"/>
          <w:cols w:space="720"/>
        </w:sectPr>
      </w:pPr>
    </w:p>
    <w:p w14:paraId="51DE99B5" w14:textId="77777777" w:rsidR="0010369C" w:rsidRDefault="008E43AE">
      <w:pPr>
        <w:tabs>
          <w:tab w:val="left" w:pos="6425"/>
        </w:tabs>
        <w:ind w:left="238"/>
        <w:jc w:val="both"/>
        <w:rPr>
          <w:sz w:val="20"/>
        </w:rPr>
      </w:pPr>
      <w:r>
        <w:rPr>
          <w:i/>
          <w:sz w:val="20"/>
        </w:rPr>
        <w:lastRenderedPageBreak/>
        <w:t>China</w:t>
      </w:r>
      <w:r>
        <w:rPr>
          <w:i/>
          <w:spacing w:val="-5"/>
          <w:sz w:val="20"/>
        </w:rPr>
        <w:t xml:space="preserve"> </w:t>
      </w:r>
      <w:r>
        <w:rPr>
          <w:i/>
          <w:sz w:val="20"/>
        </w:rPr>
        <w:t>–</w:t>
      </w:r>
      <w:r>
        <w:rPr>
          <w:i/>
          <w:spacing w:val="-5"/>
          <w:sz w:val="20"/>
        </w:rPr>
        <w:t xml:space="preserve"> </w:t>
      </w:r>
      <w:r>
        <w:rPr>
          <w:i/>
          <w:sz w:val="20"/>
        </w:rPr>
        <w:t>Anti‐Dumping</w:t>
      </w:r>
      <w:r>
        <w:rPr>
          <w:i/>
          <w:spacing w:val="-4"/>
          <w:sz w:val="20"/>
        </w:rPr>
        <w:t xml:space="preserve"> </w:t>
      </w:r>
      <w:r>
        <w:rPr>
          <w:i/>
          <w:sz w:val="20"/>
        </w:rPr>
        <w:t>and</w:t>
      </w:r>
      <w:r>
        <w:rPr>
          <w:i/>
          <w:spacing w:val="-5"/>
          <w:sz w:val="20"/>
        </w:rPr>
        <w:t xml:space="preserve"> </w:t>
      </w:r>
      <w:r>
        <w:rPr>
          <w:i/>
          <w:sz w:val="20"/>
        </w:rPr>
        <w:t>Countervailing</w:t>
      </w:r>
      <w:r>
        <w:rPr>
          <w:i/>
          <w:spacing w:val="-5"/>
          <w:sz w:val="20"/>
        </w:rPr>
        <w:t xml:space="preserve"> </w:t>
      </w:r>
      <w:r>
        <w:rPr>
          <w:i/>
          <w:sz w:val="20"/>
        </w:rPr>
        <w:t>Duty</w:t>
      </w:r>
      <w:r>
        <w:rPr>
          <w:i/>
          <w:spacing w:val="-4"/>
          <w:sz w:val="20"/>
        </w:rPr>
        <w:t xml:space="preserve"> </w:t>
      </w:r>
      <w:r>
        <w:rPr>
          <w:i/>
          <w:spacing w:val="-2"/>
          <w:sz w:val="20"/>
        </w:rPr>
        <w:t>Measures</w:t>
      </w:r>
      <w:r>
        <w:rPr>
          <w:i/>
          <w:sz w:val="20"/>
        </w:rPr>
        <w:tab/>
      </w:r>
      <w:r>
        <w:rPr>
          <w:sz w:val="20"/>
        </w:rPr>
        <w:t>Australia's</w:t>
      </w:r>
      <w:r>
        <w:rPr>
          <w:spacing w:val="-7"/>
          <w:sz w:val="20"/>
        </w:rPr>
        <w:t xml:space="preserve"> </w:t>
      </w:r>
      <w:r>
        <w:rPr>
          <w:sz w:val="20"/>
        </w:rPr>
        <w:t>First</w:t>
      </w:r>
      <w:r>
        <w:rPr>
          <w:spacing w:val="-2"/>
          <w:sz w:val="20"/>
        </w:rPr>
        <w:t xml:space="preserve"> </w:t>
      </w:r>
      <w:r>
        <w:rPr>
          <w:sz w:val="20"/>
        </w:rPr>
        <w:t>Written</w:t>
      </w:r>
      <w:r>
        <w:rPr>
          <w:spacing w:val="-2"/>
          <w:sz w:val="20"/>
        </w:rPr>
        <w:t xml:space="preserve"> Submission</w:t>
      </w:r>
    </w:p>
    <w:p w14:paraId="51DE99B6" w14:textId="77777777" w:rsidR="0010369C" w:rsidRDefault="008E43AE">
      <w:pPr>
        <w:tabs>
          <w:tab w:val="left" w:pos="8227"/>
        </w:tabs>
        <w:spacing w:before="1"/>
        <w:ind w:left="239"/>
        <w:jc w:val="both"/>
        <w:rPr>
          <w:sz w:val="20"/>
        </w:rPr>
      </w:pPr>
      <w:r>
        <w:rPr>
          <w:i/>
          <w:sz w:val="20"/>
        </w:rPr>
        <w:t>on</w:t>
      </w:r>
      <w:r>
        <w:rPr>
          <w:i/>
          <w:spacing w:val="-1"/>
          <w:sz w:val="20"/>
        </w:rPr>
        <w:t xml:space="preserve"> </w:t>
      </w:r>
      <w:r>
        <w:rPr>
          <w:i/>
          <w:sz w:val="20"/>
        </w:rPr>
        <w:t>Wine</w:t>
      </w:r>
      <w:r>
        <w:rPr>
          <w:i/>
          <w:spacing w:val="-1"/>
          <w:sz w:val="20"/>
        </w:rPr>
        <w:t xml:space="preserve"> </w:t>
      </w:r>
      <w:r>
        <w:rPr>
          <w:i/>
          <w:sz w:val="20"/>
        </w:rPr>
        <w:t>from</w:t>
      </w:r>
      <w:r>
        <w:rPr>
          <w:i/>
          <w:spacing w:val="-3"/>
          <w:sz w:val="20"/>
        </w:rPr>
        <w:t xml:space="preserve"> </w:t>
      </w:r>
      <w:r>
        <w:rPr>
          <w:i/>
          <w:sz w:val="20"/>
        </w:rPr>
        <w:t>Australia</w:t>
      </w:r>
      <w:r>
        <w:rPr>
          <w:i/>
          <w:spacing w:val="-1"/>
          <w:sz w:val="20"/>
        </w:rPr>
        <w:t xml:space="preserve"> </w:t>
      </w:r>
      <w:r>
        <w:rPr>
          <w:spacing w:val="-2"/>
          <w:sz w:val="20"/>
        </w:rPr>
        <w:t>(DS602)</w:t>
      </w:r>
      <w:r>
        <w:rPr>
          <w:sz w:val="20"/>
        </w:rPr>
        <w:tab/>
        <w:t>29</w:t>
      </w:r>
      <w:r>
        <w:rPr>
          <w:spacing w:val="-1"/>
          <w:sz w:val="20"/>
        </w:rPr>
        <w:t xml:space="preserve"> </w:t>
      </w:r>
      <w:r>
        <w:rPr>
          <w:sz w:val="20"/>
        </w:rPr>
        <w:t>April</w:t>
      </w:r>
      <w:r>
        <w:rPr>
          <w:spacing w:val="-2"/>
          <w:sz w:val="20"/>
        </w:rPr>
        <w:t xml:space="preserve"> </w:t>
      </w:r>
      <w:r>
        <w:rPr>
          <w:spacing w:val="-4"/>
          <w:sz w:val="20"/>
        </w:rPr>
        <w:t>2022</w:t>
      </w:r>
    </w:p>
    <w:p w14:paraId="51DE99B7" w14:textId="77777777" w:rsidR="0010369C" w:rsidRDefault="008E43AE">
      <w:pPr>
        <w:pStyle w:val="BodyText"/>
        <w:spacing w:before="34" w:line="360" w:lineRule="auto"/>
        <w:ind w:left="235" w:right="614" w:firstLine="2"/>
        <w:jc w:val="both"/>
      </w:pPr>
      <w:r>
        <w:t>to their ability to challenge or otherwise critique MOFCOM's chosen methodology for calculating the dumping margin. MOFCOM's failure to provide all non‐confidential information in relation to adjustments and methodology has therefore deprived the intereste</w:t>
      </w:r>
      <w:r>
        <w:t>d</w:t>
      </w:r>
      <w:r>
        <w:rPr>
          <w:spacing w:val="-10"/>
        </w:rPr>
        <w:t xml:space="preserve"> </w:t>
      </w:r>
      <w:r>
        <w:t>parties</w:t>
      </w:r>
      <w:r>
        <w:rPr>
          <w:spacing w:val="-11"/>
        </w:rPr>
        <w:t xml:space="preserve"> </w:t>
      </w:r>
      <w:r>
        <w:t>of</w:t>
      </w:r>
      <w:r>
        <w:rPr>
          <w:spacing w:val="-11"/>
        </w:rPr>
        <w:t xml:space="preserve"> </w:t>
      </w:r>
      <w:r>
        <w:t>the</w:t>
      </w:r>
      <w:r>
        <w:rPr>
          <w:spacing w:val="-12"/>
        </w:rPr>
        <w:t xml:space="preserve"> </w:t>
      </w:r>
      <w:r>
        <w:t>opportunity</w:t>
      </w:r>
      <w:r>
        <w:rPr>
          <w:spacing w:val="-9"/>
        </w:rPr>
        <w:t xml:space="preserve"> </w:t>
      </w:r>
      <w:r>
        <w:t>to</w:t>
      </w:r>
      <w:r>
        <w:rPr>
          <w:spacing w:val="-11"/>
        </w:rPr>
        <w:t xml:space="preserve"> </w:t>
      </w:r>
      <w:r>
        <w:t>prepare</w:t>
      </w:r>
      <w:r>
        <w:rPr>
          <w:spacing w:val="-10"/>
        </w:rPr>
        <w:t xml:space="preserve"> </w:t>
      </w:r>
      <w:r>
        <w:t>presentations</w:t>
      </w:r>
      <w:r>
        <w:rPr>
          <w:spacing w:val="-11"/>
        </w:rPr>
        <w:t xml:space="preserve"> </w:t>
      </w:r>
      <w:r>
        <w:t>on</w:t>
      </w:r>
      <w:r>
        <w:rPr>
          <w:spacing w:val="-11"/>
        </w:rPr>
        <w:t xml:space="preserve"> </w:t>
      </w:r>
      <w:r>
        <w:t>the</w:t>
      </w:r>
      <w:r>
        <w:rPr>
          <w:spacing w:val="-10"/>
        </w:rPr>
        <w:t xml:space="preserve"> </w:t>
      </w:r>
      <w:r>
        <w:t>basis</w:t>
      </w:r>
      <w:r>
        <w:rPr>
          <w:spacing w:val="-11"/>
        </w:rPr>
        <w:t xml:space="preserve"> </w:t>
      </w:r>
      <w:r>
        <w:t>of</w:t>
      </w:r>
      <w:r>
        <w:rPr>
          <w:spacing w:val="-11"/>
        </w:rPr>
        <w:t xml:space="preserve"> </w:t>
      </w:r>
      <w:r>
        <w:t>this</w:t>
      </w:r>
      <w:r>
        <w:rPr>
          <w:spacing w:val="-11"/>
        </w:rPr>
        <w:t xml:space="preserve"> </w:t>
      </w:r>
      <w:r>
        <w:t>information and to defend themselves.</w:t>
      </w:r>
    </w:p>
    <w:p w14:paraId="51DE99B8" w14:textId="77777777" w:rsidR="0010369C" w:rsidRDefault="008E43AE">
      <w:pPr>
        <w:pStyle w:val="ListParagraph"/>
        <w:numPr>
          <w:ilvl w:val="3"/>
          <w:numId w:val="75"/>
        </w:numPr>
        <w:tabs>
          <w:tab w:val="left" w:pos="3640"/>
          <w:tab w:val="left" w:pos="3641"/>
        </w:tabs>
        <w:spacing w:before="161"/>
        <w:ind w:left="3640" w:hanging="853"/>
        <w:jc w:val="both"/>
        <w:rPr>
          <w:sz w:val="24"/>
        </w:rPr>
      </w:pPr>
      <w:r>
        <w:rPr>
          <w:sz w:val="24"/>
          <w:u w:val="single"/>
        </w:rPr>
        <w:t>Differences</w:t>
      </w:r>
      <w:r>
        <w:rPr>
          <w:spacing w:val="-8"/>
          <w:sz w:val="24"/>
          <w:u w:val="single"/>
        </w:rPr>
        <w:t xml:space="preserve"> </w:t>
      </w:r>
      <w:r>
        <w:rPr>
          <w:sz w:val="24"/>
          <w:u w:val="single"/>
        </w:rPr>
        <w:t>in</w:t>
      </w:r>
      <w:r>
        <w:rPr>
          <w:spacing w:val="-7"/>
          <w:sz w:val="24"/>
          <w:u w:val="single"/>
        </w:rPr>
        <w:t xml:space="preserve"> </w:t>
      </w:r>
      <w:r>
        <w:rPr>
          <w:sz w:val="24"/>
          <w:u w:val="single"/>
        </w:rPr>
        <w:t>price</w:t>
      </w:r>
      <w:r>
        <w:rPr>
          <w:spacing w:val="-6"/>
          <w:sz w:val="24"/>
          <w:u w:val="single"/>
        </w:rPr>
        <w:t xml:space="preserve"> </w:t>
      </w:r>
      <w:r>
        <w:rPr>
          <w:spacing w:val="-2"/>
          <w:sz w:val="24"/>
          <w:u w:val="single"/>
        </w:rPr>
        <w:t>comparability</w:t>
      </w:r>
    </w:p>
    <w:p w14:paraId="51DE99B9" w14:textId="77777777" w:rsidR="0010369C" w:rsidRDefault="0010369C">
      <w:pPr>
        <w:pStyle w:val="BodyText"/>
        <w:spacing w:before="10"/>
        <w:rPr>
          <w:sz w:val="20"/>
        </w:rPr>
      </w:pPr>
    </w:p>
    <w:p w14:paraId="51DE99BA" w14:textId="77777777" w:rsidR="0010369C" w:rsidRDefault="008E43AE">
      <w:pPr>
        <w:pStyle w:val="BodyText"/>
        <w:spacing w:before="52" w:line="360" w:lineRule="auto"/>
        <w:ind w:left="237" w:right="614" w:firstLine="851"/>
        <w:jc w:val="both"/>
      </w:pPr>
      <w:r>
        <w:rPr>
          <w:noProof/>
        </w:rPr>
        <w:drawing>
          <wp:anchor distT="0" distB="0" distL="0" distR="0" simplePos="0" relativeHeight="251575808" behindDoc="1" locked="0" layoutInCell="1" allowOverlap="1" wp14:anchorId="51DEA85C" wp14:editId="51DEA85D">
            <wp:simplePos x="0" y="0"/>
            <wp:positionH relativeFrom="page">
              <wp:posOffset>902208</wp:posOffset>
            </wp:positionH>
            <wp:positionV relativeFrom="paragraph">
              <wp:posOffset>80595</wp:posOffset>
            </wp:positionV>
            <wp:extent cx="262127" cy="103631"/>
            <wp:effectExtent l="0" t="0" r="0" b="0"/>
            <wp:wrapNone/>
            <wp:docPr id="1923" name="image9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 name="image989.png"/>
                    <pic:cNvPicPr/>
                  </pic:nvPicPr>
                  <pic:blipFill>
                    <a:blip r:embed="rId1272" cstate="print"/>
                    <a:stretch>
                      <a:fillRect/>
                    </a:stretch>
                  </pic:blipFill>
                  <pic:spPr>
                    <a:xfrm>
                      <a:off x="0" y="0"/>
                      <a:ext cx="262127" cy="103631"/>
                    </a:xfrm>
                    <a:prstGeom prst="rect">
                      <a:avLst/>
                    </a:prstGeom>
                  </pic:spPr>
                </pic:pic>
              </a:graphicData>
            </a:graphic>
          </wp:anchor>
        </w:drawing>
      </w:r>
      <w:r>
        <w:t>Consistent with MOFCOM's errors in relation to price adjustments, MOFCOM also failed to provide all information that was relevant in determining the differences in price comparability</w:t>
      </w:r>
      <w:r>
        <w:rPr>
          <w:spacing w:val="-4"/>
        </w:rPr>
        <w:t xml:space="preserve"> </w:t>
      </w:r>
      <w:r>
        <w:t>relevant</w:t>
      </w:r>
      <w:r>
        <w:rPr>
          <w:spacing w:val="-4"/>
        </w:rPr>
        <w:t xml:space="preserve"> </w:t>
      </w:r>
      <w:r>
        <w:t>to</w:t>
      </w:r>
      <w:r>
        <w:rPr>
          <w:spacing w:val="-3"/>
        </w:rPr>
        <w:t xml:space="preserve"> </w:t>
      </w:r>
      <w:r>
        <w:t>conducting</w:t>
      </w:r>
      <w:r>
        <w:rPr>
          <w:spacing w:val="-3"/>
        </w:rPr>
        <w:t xml:space="preserve"> </w:t>
      </w:r>
      <w:r>
        <w:t>a</w:t>
      </w:r>
      <w:r>
        <w:rPr>
          <w:spacing w:val="-4"/>
        </w:rPr>
        <w:t xml:space="preserve"> </w:t>
      </w:r>
      <w:r>
        <w:t>fair</w:t>
      </w:r>
      <w:r>
        <w:rPr>
          <w:spacing w:val="-3"/>
        </w:rPr>
        <w:t xml:space="preserve"> </w:t>
      </w:r>
      <w:r>
        <w:t>comparison</w:t>
      </w:r>
      <w:r>
        <w:rPr>
          <w:spacing w:val="-5"/>
        </w:rPr>
        <w:t xml:space="preserve"> </w:t>
      </w:r>
      <w:r>
        <w:t>under</w:t>
      </w:r>
      <w:r>
        <w:rPr>
          <w:spacing w:val="-3"/>
        </w:rPr>
        <w:t xml:space="preserve"> </w:t>
      </w:r>
      <w:r>
        <w:t>Article</w:t>
      </w:r>
      <w:r>
        <w:rPr>
          <w:spacing w:val="-4"/>
        </w:rPr>
        <w:t xml:space="preserve"> </w:t>
      </w:r>
      <w:r>
        <w:t>2.4</w:t>
      </w:r>
      <w:r>
        <w:rPr>
          <w:spacing w:val="-4"/>
        </w:rPr>
        <w:t xml:space="preserve"> </w:t>
      </w:r>
      <w:r>
        <w:t>of</w:t>
      </w:r>
      <w:r>
        <w:rPr>
          <w:spacing w:val="-4"/>
        </w:rPr>
        <w:t xml:space="preserve"> </w:t>
      </w:r>
      <w:r>
        <w:t>the</w:t>
      </w:r>
      <w:r>
        <w:rPr>
          <w:spacing w:val="-3"/>
        </w:rPr>
        <w:t xml:space="preserve"> </w:t>
      </w:r>
      <w:r>
        <w:t>Anti‐D</w:t>
      </w:r>
      <w:r>
        <w:t xml:space="preserve">umping Agreement. MOFCOM failed to respond when an interested party requested this </w:t>
      </w:r>
      <w:r>
        <w:rPr>
          <w:spacing w:val="-2"/>
        </w:rPr>
        <w:t>information.</w:t>
      </w:r>
      <w:r>
        <w:rPr>
          <w:spacing w:val="-2"/>
          <w:vertAlign w:val="superscript"/>
        </w:rPr>
        <w:t>1149</w:t>
      </w:r>
    </w:p>
    <w:p w14:paraId="51DE99BB" w14:textId="77777777" w:rsidR="0010369C" w:rsidRDefault="0010369C">
      <w:pPr>
        <w:pStyle w:val="BodyText"/>
        <w:spacing w:before="10"/>
        <w:rPr>
          <w:sz w:val="8"/>
        </w:rPr>
      </w:pPr>
    </w:p>
    <w:p w14:paraId="51DE99BC" w14:textId="77777777" w:rsidR="0010369C" w:rsidRDefault="008E43AE">
      <w:pPr>
        <w:pStyle w:val="BodyText"/>
        <w:spacing w:before="52" w:line="360" w:lineRule="auto"/>
        <w:ind w:left="237" w:right="613" w:firstLine="851"/>
        <w:jc w:val="both"/>
      </w:pPr>
      <w:r>
        <w:rPr>
          <w:noProof/>
        </w:rPr>
        <w:drawing>
          <wp:anchor distT="0" distB="0" distL="0" distR="0" simplePos="0" relativeHeight="251576832" behindDoc="1" locked="0" layoutInCell="1" allowOverlap="1" wp14:anchorId="51DEA85E" wp14:editId="51DEA85F">
            <wp:simplePos x="0" y="0"/>
            <wp:positionH relativeFrom="page">
              <wp:posOffset>902208</wp:posOffset>
            </wp:positionH>
            <wp:positionV relativeFrom="paragraph">
              <wp:posOffset>80595</wp:posOffset>
            </wp:positionV>
            <wp:extent cx="262127" cy="103631"/>
            <wp:effectExtent l="0" t="0" r="0" b="0"/>
            <wp:wrapNone/>
            <wp:docPr id="1925" name="image9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 name="image990.png"/>
                    <pic:cNvPicPr/>
                  </pic:nvPicPr>
                  <pic:blipFill>
                    <a:blip r:embed="rId1273" cstate="print"/>
                    <a:stretch>
                      <a:fillRect/>
                    </a:stretch>
                  </pic:blipFill>
                  <pic:spPr>
                    <a:xfrm>
                      <a:off x="0" y="0"/>
                      <a:ext cx="262127" cy="103631"/>
                    </a:xfrm>
                    <a:prstGeom prst="rect">
                      <a:avLst/>
                    </a:prstGeom>
                  </pic:spPr>
                </pic:pic>
              </a:graphicData>
            </a:graphic>
          </wp:anchor>
        </w:drawing>
      </w:r>
      <w:r>
        <w:t>In</w:t>
      </w:r>
      <w:r>
        <w:rPr>
          <w:spacing w:val="-11"/>
        </w:rPr>
        <w:t xml:space="preserve"> </w:t>
      </w:r>
      <w:r>
        <w:t>the</w:t>
      </w:r>
      <w:r>
        <w:rPr>
          <w:spacing w:val="-10"/>
        </w:rPr>
        <w:t xml:space="preserve"> </w:t>
      </w:r>
      <w:r>
        <w:t>Final</w:t>
      </w:r>
      <w:r>
        <w:rPr>
          <w:spacing w:val="-9"/>
        </w:rPr>
        <w:t xml:space="preserve"> </w:t>
      </w:r>
      <w:r>
        <w:t>Determination,</w:t>
      </w:r>
      <w:r>
        <w:rPr>
          <w:spacing w:val="-10"/>
        </w:rPr>
        <w:t xml:space="preserve"> </w:t>
      </w:r>
      <w:r>
        <w:t>MOFCOM</w:t>
      </w:r>
      <w:r>
        <w:rPr>
          <w:spacing w:val="-11"/>
        </w:rPr>
        <w:t xml:space="preserve"> </w:t>
      </w:r>
      <w:r>
        <w:t>noted</w:t>
      </w:r>
      <w:r>
        <w:rPr>
          <w:spacing w:val="-11"/>
        </w:rPr>
        <w:t xml:space="preserve"> </w:t>
      </w:r>
      <w:r>
        <w:t>that:</w:t>
      </w:r>
      <w:r>
        <w:rPr>
          <w:spacing w:val="-11"/>
        </w:rPr>
        <w:t xml:space="preserve"> </w:t>
      </w:r>
      <w:r>
        <w:t>"on</w:t>
      </w:r>
      <w:r>
        <w:rPr>
          <w:spacing w:val="-11"/>
        </w:rPr>
        <w:t xml:space="preserve"> </w:t>
      </w:r>
      <w:r>
        <w:t>the</w:t>
      </w:r>
      <w:r>
        <w:rPr>
          <w:spacing w:val="-10"/>
        </w:rPr>
        <w:t xml:space="preserve"> </w:t>
      </w:r>
      <w:r>
        <w:t>basis</w:t>
      </w:r>
      <w:r>
        <w:rPr>
          <w:spacing w:val="-11"/>
        </w:rPr>
        <w:t xml:space="preserve"> </w:t>
      </w:r>
      <w:r>
        <w:t>of</w:t>
      </w:r>
      <w:r>
        <w:rPr>
          <w:spacing w:val="-11"/>
        </w:rPr>
        <w:t xml:space="preserve"> </w:t>
      </w:r>
      <w:r>
        <w:t>considering</w:t>
      </w:r>
      <w:r>
        <w:rPr>
          <w:spacing w:val="-12"/>
        </w:rPr>
        <w:t xml:space="preserve"> </w:t>
      </w:r>
      <w:r>
        <w:t>various comparable factors affecting price, the Investigating Authority compared the normal value and</w:t>
      </w:r>
      <w:r>
        <w:rPr>
          <w:spacing w:val="-14"/>
        </w:rPr>
        <w:t xml:space="preserve"> </w:t>
      </w:r>
      <w:r>
        <w:t>export</w:t>
      </w:r>
      <w:r>
        <w:rPr>
          <w:spacing w:val="-14"/>
        </w:rPr>
        <w:t xml:space="preserve"> </w:t>
      </w:r>
      <w:r>
        <w:t>price</w:t>
      </w:r>
      <w:r>
        <w:rPr>
          <w:spacing w:val="-11"/>
        </w:rPr>
        <w:t xml:space="preserve"> </w:t>
      </w:r>
      <w:r>
        <w:t>at</w:t>
      </w:r>
      <w:r>
        <w:rPr>
          <w:spacing w:val="-10"/>
        </w:rPr>
        <w:t xml:space="preserve"> </w:t>
      </w:r>
      <w:r>
        <w:t>the</w:t>
      </w:r>
      <w:r>
        <w:rPr>
          <w:spacing w:val="-9"/>
        </w:rPr>
        <w:t xml:space="preserve"> </w:t>
      </w:r>
      <w:r>
        <w:t>ex‐factory</w:t>
      </w:r>
      <w:r>
        <w:rPr>
          <w:spacing w:val="-9"/>
        </w:rPr>
        <w:t xml:space="preserve"> </w:t>
      </w:r>
      <w:r>
        <w:t>level</w:t>
      </w:r>
      <w:r>
        <w:rPr>
          <w:spacing w:val="-9"/>
        </w:rPr>
        <w:t xml:space="preserve"> </w:t>
      </w:r>
      <w:r>
        <w:t>in</w:t>
      </w:r>
      <w:r>
        <w:rPr>
          <w:spacing w:val="-10"/>
        </w:rPr>
        <w:t xml:space="preserve"> </w:t>
      </w:r>
      <w:r>
        <w:t>a</w:t>
      </w:r>
      <w:r>
        <w:rPr>
          <w:spacing w:val="-10"/>
        </w:rPr>
        <w:t xml:space="preserve"> </w:t>
      </w:r>
      <w:r>
        <w:t>fair</w:t>
      </w:r>
      <w:r>
        <w:rPr>
          <w:spacing w:val="-9"/>
        </w:rPr>
        <w:t xml:space="preserve"> </w:t>
      </w:r>
      <w:r>
        <w:t>and</w:t>
      </w:r>
      <w:r>
        <w:rPr>
          <w:spacing w:val="-10"/>
        </w:rPr>
        <w:t xml:space="preserve"> </w:t>
      </w:r>
      <w:r>
        <w:t>reasonable</w:t>
      </w:r>
      <w:r>
        <w:rPr>
          <w:spacing w:val="-10"/>
        </w:rPr>
        <w:t xml:space="preserve"> </w:t>
      </w:r>
      <w:r>
        <w:t>manner".</w:t>
      </w:r>
      <w:r>
        <w:rPr>
          <w:vertAlign w:val="superscript"/>
        </w:rPr>
        <w:t>1150</w:t>
      </w:r>
      <w:r>
        <w:rPr>
          <w:spacing w:val="-14"/>
        </w:rPr>
        <w:t xml:space="preserve"> </w:t>
      </w:r>
      <w:r>
        <w:t>MOFCOM</w:t>
      </w:r>
      <w:r>
        <w:rPr>
          <w:spacing w:val="-9"/>
        </w:rPr>
        <w:t xml:space="preserve"> </w:t>
      </w:r>
      <w:r>
        <w:t>did</w:t>
      </w:r>
      <w:r>
        <w:rPr>
          <w:spacing w:val="-10"/>
        </w:rPr>
        <w:t xml:space="preserve"> </w:t>
      </w:r>
      <w:r>
        <w:t xml:space="preserve">not provide the non‐confidential data, calculations, formula or its </w:t>
      </w:r>
      <w:r>
        <w:t>methodology. MOFCOM also did not inform the interested parties what the "various comparable factors affecting price" referenced</w:t>
      </w:r>
      <w:r>
        <w:rPr>
          <w:spacing w:val="-11"/>
        </w:rPr>
        <w:t xml:space="preserve"> </w:t>
      </w:r>
      <w:r>
        <w:t>in</w:t>
      </w:r>
      <w:r>
        <w:rPr>
          <w:spacing w:val="-10"/>
        </w:rPr>
        <w:t xml:space="preserve"> </w:t>
      </w:r>
      <w:r>
        <w:t>the</w:t>
      </w:r>
      <w:r>
        <w:rPr>
          <w:spacing w:val="-9"/>
        </w:rPr>
        <w:t xml:space="preserve"> </w:t>
      </w:r>
      <w:r>
        <w:t>Final</w:t>
      </w:r>
      <w:r>
        <w:rPr>
          <w:spacing w:val="-9"/>
        </w:rPr>
        <w:t xml:space="preserve"> </w:t>
      </w:r>
      <w:r>
        <w:t>Determination</w:t>
      </w:r>
      <w:r>
        <w:rPr>
          <w:spacing w:val="-10"/>
        </w:rPr>
        <w:t xml:space="preserve"> </w:t>
      </w:r>
      <w:r>
        <w:t>were,</w:t>
      </w:r>
      <w:r>
        <w:rPr>
          <w:spacing w:val="-10"/>
        </w:rPr>
        <w:t xml:space="preserve"> </w:t>
      </w:r>
      <w:r>
        <w:t>nor</w:t>
      </w:r>
      <w:r>
        <w:rPr>
          <w:spacing w:val="-12"/>
        </w:rPr>
        <w:t xml:space="preserve"> </w:t>
      </w:r>
      <w:r>
        <w:t>did</w:t>
      </w:r>
      <w:r>
        <w:rPr>
          <w:spacing w:val="-10"/>
        </w:rPr>
        <w:t xml:space="preserve"> </w:t>
      </w:r>
      <w:r>
        <w:t>it</w:t>
      </w:r>
      <w:r>
        <w:rPr>
          <w:spacing w:val="-10"/>
        </w:rPr>
        <w:t xml:space="preserve"> </w:t>
      </w:r>
      <w:r>
        <w:t>sufficiently</w:t>
      </w:r>
      <w:r>
        <w:rPr>
          <w:spacing w:val="-10"/>
        </w:rPr>
        <w:t xml:space="preserve"> </w:t>
      </w:r>
      <w:r>
        <w:t>explain</w:t>
      </w:r>
      <w:r>
        <w:rPr>
          <w:spacing w:val="-11"/>
        </w:rPr>
        <w:t xml:space="preserve"> </w:t>
      </w:r>
      <w:r>
        <w:t>how</w:t>
      </w:r>
      <w:r>
        <w:rPr>
          <w:spacing w:val="-10"/>
        </w:rPr>
        <w:t xml:space="preserve"> </w:t>
      </w:r>
      <w:r>
        <w:t>the</w:t>
      </w:r>
      <w:r>
        <w:rPr>
          <w:spacing w:val="-10"/>
        </w:rPr>
        <w:t xml:space="preserve"> </w:t>
      </w:r>
      <w:r>
        <w:t>comparison was made in a "fair and reasonable" manner.</w:t>
      </w:r>
    </w:p>
    <w:p w14:paraId="51DE99BD" w14:textId="77777777" w:rsidR="0010369C" w:rsidRDefault="0010369C">
      <w:pPr>
        <w:pStyle w:val="BodyText"/>
        <w:spacing w:before="10"/>
        <w:rPr>
          <w:sz w:val="8"/>
        </w:rPr>
      </w:pPr>
    </w:p>
    <w:p w14:paraId="51DE99BE" w14:textId="77777777" w:rsidR="0010369C" w:rsidRDefault="008E43AE">
      <w:pPr>
        <w:pStyle w:val="BodyText"/>
        <w:spacing w:before="52" w:line="360" w:lineRule="auto"/>
        <w:ind w:left="237" w:right="612" w:firstLine="852"/>
        <w:jc w:val="both"/>
      </w:pPr>
      <w:r>
        <w:rPr>
          <w:noProof/>
        </w:rPr>
        <w:drawing>
          <wp:anchor distT="0" distB="0" distL="0" distR="0" simplePos="0" relativeHeight="251577856" behindDoc="1" locked="0" layoutInCell="1" allowOverlap="1" wp14:anchorId="51DEA860" wp14:editId="51DEA861">
            <wp:simplePos x="0" y="0"/>
            <wp:positionH relativeFrom="page">
              <wp:posOffset>902208</wp:posOffset>
            </wp:positionH>
            <wp:positionV relativeFrom="paragraph">
              <wp:posOffset>76786</wp:posOffset>
            </wp:positionV>
            <wp:extent cx="262127" cy="106679"/>
            <wp:effectExtent l="0" t="0" r="0" b="0"/>
            <wp:wrapNone/>
            <wp:docPr id="1927" name="image9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 name="image991.png"/>
                    <pic:cNvPicPr/>
                  </pic:nvPicPr>
                  <pic:blipFill>
                    <a:blip r:embed="rId1274" cstate="print"/>
                    <a:stretch>
                      <a:fillRect/>
                    </a:stretch>
                  </pic:blipFill>
                  <pic:spPr>
                    <a:xfrm>
                      <a:off x="0" y="0"/>
                      <a:ext cx="262127" cy="106679"/>
                    </a:xfrm>
                    <a:prstGeom prst="rect">
                      <a:avLst/>
                    </a:prstGeom>
                  </pic:spPr>
                </pic:pic>
              </a:graphicData>
            </a:graphic>
          </wp:anchor>
        </w:drawing>
      </w:r>
      <w:r>
        <w:t>MOFCOM failed to provide to interested parties any indication of how it accounted for differences in comparability for wine of different qualities. The Australian wine exporters and producers exported and sold domestically a range of wine during the period</w:t>
      </w:r>
      <w:r>
        <w:t xml:space="preserve"> of investigation that covered different price points. Accordingly, MOFCOM was obligated to provide all non‐confidential information that was relevant to how it accounted for different high, middle, and low‐quality wines when conducting a fair comparison. </w:t>
      </w:r>
      <w:r>
        <w:t>It failed to do so. MOFCOM</w:t>
      </w:r>
      <w:r>
        <w:rPr>
          <w:spacing w:val="-9"/>
        </w:rPr>
        <w:t xml:space="preserve"> </w:t>
      </w:r>
      <w:r>
        <w:t>also</w:t>
      </w:r>
      <w:r>
        <w:rPr>
          <w:spacing w:val="-9"/>
        </w:rPr>
        <w:t xml:space="preserve"> </w:t>
      </w:r>
      <w:r>
        <w:t>failed</w:t>
      </w:r>
      <w:r>
        <w:rPr>
          <w:spacing w:val="-11"/>
        </w:rPr>
        <w:t xml:space="preserve"> </w:t>
      </w:r>
      <w:r>
        <w:t>to</w:t>
      </w:r>
      <w:r>
        <w:rPr>
          <w:spacing w:val="-11"/>
        </w:rPr>
        <w:t xml:space="preserve"> </w:t>
      </w:r>
      <w:r>
        <w:t>provide</w:t>
      </w:r>
      <w:r>
        <w:rPr>
          <w:spacing w:val="-9"/>
        </w:rPr>
        <w:t xml:space="preserve"> </w:t>
      </w:r>
      <w:r>
        <w:t>any</w:t>
      </w:r>
      <w:r>
        <w:rPr>
          <w:spacing w:val="-10"/>
        </w:rPr>
        <w:t xml:space="preserve"> </w:t>
      </w:r>
      <w:r>
        <w:t>information</w:t>
      </w:r>
      <w:r>
        <w:rPr>
          <w:spacing w:val="-10"/>
        </w:rPr>
        <w:t xml:space="preserve"> </w:t>
      </w:r>
      <w:r>
        <w:t>on</w:t>
      </w:r>
      <w:r>
        <w:rPr>
          <w:spacing w:val="-10"/>
        </w:rPr>
        <w:t xml:space="preserve"> </w:t>
      </w:r>
      <w:r>
        <w:t>its</w:t>
      </w:r>
      <w:r>
        <w:rPr>
          <w:spacing w:val="-10"/>
        </w:rPr>
        <w:t xml:space="preserve"> </w:t>
      </w:r>
      <w:r>
        <w:t>consideration</w:t>
      </w:r>
      <w:r>
        <w:rPr>
          <w:spacing w:val="-9"/>
        </w:rPr>
        <w:t xml:space="preserve"> </w:t>
      </w:r>
      <w:r>
        <w:t>of</w:t>
      </w:r>
      <w:r>
        <w:rPr>
          <w:spacing w:val="-11"/>
        </w:rPr>
        <w:t xml:space="preserve"> </w:t>
      </w:r>
      <w:r>
        <w:t>the</w:t>
      </w:r>
      <w:r>
        <w:rPr>
          <w:spacing w:val="-9"/>
        </w:rPr>
        <w:t xml:space="preserve"> </w:t>
      </w:r>
      <w:r>
        <w:t>time</w:t>
      </w:r>
      <w:r>
        <w:rPr>
          <w:spacing w:val="-9"/>
        </w:rPr>
        <w:t xml:space="preserve"> </w:t>
      </w:r>
      <w:r>
        <w:t>of</w:t>
      </w:r>
      <w:r>
        <w:rPr>
          <w:spacing w:val="-11"/>
        </w:rPr>
        <w:t xml:space="preserve"> </w:t>
      </w:r>
      <w:r>
        <w:t>sales</w:t>
      </w:r>
      <w:r>
        <w:rPr>
          <w:spacing w:val="-10"/>
        </w:rPr>
        <w:t xml:space="preserve"> </w:t>
      </w:r>
      <w:r>
        <w:t xml:space="preserve">when ensuring that the sales were made "at nearly as possible the same time" pursuant to Article </w:t>
      </w:r>
      <w:r>
        <w:rPr>
          <w:spacing w:val="-4"/>
        </w:rPr>
        <w:t>2.4.</w:t>
      </w:r>
    </w:p>
    <w:p w14:paraId="51DE99BF" w14:textId="77777777" w:rsidR="0010369C" w:rsidRDefault="0010369C">
      <w:pPr>
        <w:pStyle w:val="BodyText"/>
        <w:rPr>
          <w:sz w:val="20"/>
        </w:rPr>
      </w:pPr>
    </w:p>
    <w:p w14:paraId="51DE99C0" w14:textId="77777777" w:rsidR="0010369C" w:rsidRDefault="0010369C">
      <w:pPr>
        <w:pStyle w:val="BodyText"/>
        <w:rPr>
          <w:sz w:val="20"/>
        </w:rPr>
      </w:pPr>
    </w:p>
    <w:p w14:paraId="51DE99C1" w14:textId="77777777" w:rsidR="0010369C" w:rsidRDefault="0010369C">
      <w:pPr>
        <w:pStyle w:val="BodyText"/>
        <w:rPr>
          <w:sz w:val="20"/>
        </w:rPr>
      </w:pPr>
    </w:p>
    <w:p w14:paraId="51DE99C2" w14:textId="77777777" w:rsidR="0010369C" w:rsidRDefault="008E43AE">
      <w:pPr>
        <w:pStyle w:val="BodyText"/>
        <w:spacing w:before="6"/>
        <w:rPr>
          <w:sz w:val="14"/>
        </w:rPr>
      </w:pPr>
      <w:r>
        <w:pict w14:anchorId="51DEA862">
          <v:rect id="docshape1379" o:spid="_x0000_s1095" style="position:absolute;margin-left:70.9pt;margin-top:10.05pt;width:2in;height:.8pt;z-index:-250695168;mso-wrap-distance-left:0;mso-wrap-distance-right:0;mso-position-horizontal-relative:page" fillcolor="black" stroked="f">
            <w10:wrap type="topAndBottom" anchorx="page"/>
          </v:rect>
        </w:pict>
      </w:r>
    </w:p>
    <w:p w14:paraId="51DE99C3" w14:textId="77777777" w:rsidR="0010369C" w:rsidRDefault="008E43AE">
      <w:pPr>
        <w:spacing w:before="109"/>
        <w:ind w:left="238"/>
        <w:rPr>
          <w:sz w:val="18"/>
        </w:rPr>
      </w:pPr>
      <w:r>
        <w:rPr>
          <w:sz w:val="18"/>
          <w:vertAlign w:val="superscript"/>
        </w:rPr>
        <w:t>1149</w:t>
      </w:r>
      <w:r>
        <w:rPr>
          <w:spacing w:val="-8"/>
          <w:sz w:val="18"/>
        </w:rPr>
        <w:t xml:space="preserve"> </w:t>
      </w:r>
      <w:r>
        <w:rPr>
          <w:sz w:val="18"/>
        </w:rPr>
        <w:t>Treasury</w:t>
      </w:r>
      <w:r>
        <w:rPr>
          <w:spacing w:val="-6"/>
          <w:sz w:val="18"/>
        </w:rPr>
        <w:t xml:space="preserve"> </w:t>
      </w:r>
      <w:r>
        <w:rPr>
          <w:sz w:val="18"/>
        </w:rPr>
        <w:t>Wines</w:t>
      </w:r>
      <w:r>
        <w:rPr>
          <w:spacing w:val="-9"/>
          <w:sz w:val="18"/>
        </w:rPr>
        <w:t xml:space="preserve"> </w:t>
      </w:r>
      <w:r>
        <w:rPr>
          <w:sz w:val="18"/>
        </w:rPr>
        <w:t>Comments</w:t>
      </w:r>
      <w:r>
        <w:rPr>
          <w:spacing w:val="-7"/>
          <w:sz w:val="18"/>
        </w:rPr>
        <w:t xml:space="preserve"> </w:t>
      </w:r>
      <w:r>
        <w:rPr>
          <w:sz w:val="18"/>
        </w:rPr>
        <w:t>on</w:t>
      </w:r>
      <w:r>
        <w:rPr>
          <w:spacing w:val="-7"/>
          <w:sz w:val="18"/>
        </w:rPr>
        <w:t xml:space="preserve"> </w:t>
      </w:r>
      <w:r>
        <w:rPr>
          <w:sz w:val="18"/>
        </w:rPr>
        <w:t>the</w:t>
      </w:r>
      <w:r>
        <w:rPr>
          <w:spacing w:val="-7"/>
          <w:sz w:val="18"/>
        </w:rPr>
        <w:t xml:space="preserve"> </w:t>
      </w:r>
      <w:r>
        <w:rPr>
          <w:sz w:val="18"/>
        </w:rPr>
        <w:t>Final</w:t>
      </w:r>
      <w:r>
        <w:rPr>
          <w:spacing w:val="-7"/>
          <w:sz w:val="18"/>
        </w:rPr>
        <w:t xml:space="preserve"> </w:t>
      </w:r>
      <w:r>
        <w:rPr>
          <w:sz w:val="18"/>
        </w:rPr>
        <w:t>Disclosure</w:t>
      </w:r>
      <w:r>
        <w:rPr>
          <w:spacing w:val="-8"/>
          <w:sz w:val="18"/>
        </w:rPr>
        <w:t xml:space="preserve"> </w:t>
      </w:r>
      <w:r>
        <w:rPr>
          <w:sz w:val="18"/>
        </w:rPr>
        <w:t>(Exhibit</w:t>
      </w:r>
      <w:r>
        <w:rPr>
          <w:spacing w:val="-7"/>
          <w:sz w:val="18"/>
        </w:rPr>
        <w:t xml:space="preserve"> </w:t>
      </w:r>
      <w:r>
        <w:rPr>
          <w:sz w:val="18"/>
        </w:rPr>
        <w:t>AUS‐99)</w:t>
      </w:r>
      <w:r>
        <w:rPr>
          <w:spacing w:val="-7"/>
          <w:sz w:val="18"/>
        </w:rPr>
        <w:t xml:space="preserve"> </w:t>
      </w:r>
      <w:r>
        <w:rPr>
          <w:sz w:val="18"/>
        </w:rPr>
        <w:t>p.</w:t>
      </w:r>
      <w:r>
        <w:rPr>
          <w:spacing w:val="-7"/>
          <w:sz w:val="18"/>
        </w:rPr>
        <w:t xml:space="preserve"> </w:t>
      </w:r>
      <w:r>
        <w:rPr>
          <w:spacing w:val="-5"/>
          <w:sz w:val="18"/>
        </w:rPr>
        <w:t>15.</w:t>
      </w:r>
    </w:p>
    <w:p w14:paraId="51DE99C4" w14:textId="77777777" w:rsidR="0010369C" w:rsidRDefault="008E43AE">
      <w:pPr>
        <w:ind w:left="238"/>
        <w:rPr>
          <w:sz w:val="18"/>
        </w:rPr>
      </w:pPr>
      <w:r>
        <w:rPr>
          <w:sz w:val="18"/>
          <w:vertAlign w:val="superscript"/>
        </w:rPr>
        <w:t>1150</w:t>
      </w:r>
      <w:r>
        <w:rPr>
          <w:spacing w:val="-9"/>
          <w:sz w:val="18"/>
        </w:rPr>
        <w:t xml:space="preserve"> </w:t>
      </w:r>
      <w:r>
        <w:rPr>
          <w:sz w:val="18"/>
        </w:rPr>
        <w:t>Anti‐Dumping</w:t>
      </w:r>
      <w:r>
        <w:rPr>
          <w:spacing w:val="-9"/>
          <w:sz w:val="18"/>
        </w:rPr>
        <w:t xml:space="preserve"> </w:t>
      </w:r>
      <w:r>
        <w:rPr>
          <w:sz w:val="18"/>
        </w:rPr>
        <w:t>Final</w:t>
      </w:r>
      <w:r>
        <w:rPr>
          <w:spacing w:val="-9"/>
          <w:sz w:val="18"/>
        </w:rPr>
        <w:t xml:space="preserve"> </w:t>
      </w:r>
      <w:r>
        <w:rPr>
          <w:sz w:val="18"/>
        </w:rPr>
        <w:t>Determination</w:t>
      </w:r>
      <w:r>
        <w:rPr>
          <w:spacing w:val="-8"/>
          <w:sz w:val="18"/>
        </w:rPr>
        <w:t xml:space="preserve"> </w:t>
      </w:r>
      <w:r>
        <w:rPr>
          <w:sz w:val="18"/>
        </w:rPr>
        <w:t>(Exhibit</w:t>
      </w:r>
      <w:r>
        <w:rPr>
          <w:spacing w:val="-9"/>
          <w:sz w:val="18"/>
        </w:rPr>
        <w:t xml:space="preserve"> </w:t>
      </w:r>
      <w:r>
        <w:rPr>
          <w:sz w:val="18"/>
        </w:rPr>
        <w:t>AUS‐2),</w:t>
      </w:r>
      <w:r>
        <w:rPr>
          <w:spacing w:val="-10"/>
          <w:sz w:val="18"/>
        </w:rPr>
        <w:t xml:space="preserve"> </w:t>
      </w:r>
      <w:r>
        <w:rPr>
          <w:sz w:val="18"/>
        </w:rPr>
        <w:t>p.</w:t>
      </w:r>
      <w:r>
        <w:rPr>
          <w:spacing w:val="-9"/>
          <w:sz w:val="18"/>
        </w:rPr>
        <w:t xml:space="preserve"> </w:t>
      </w:r>
      <w:r>
        <w:rPr>
          <w:spacing w:val="-4"/>
          <w:sz w:val="18"/>
        </w:rPr>
        <w:t>100.</w:t>
      </w:r>
    </w:p>
    <w:p w14:paraId="51DE99C5" w14:textId="77777777" w:rsidR="0010369C" w:rsidRDefault="0010369C">
      <w:pPr>
        <w:rPr>
          <w:sz w:val="18"/>
        </w:rPr>
        <w:sectPr w:rsidR="0010369C">
          <w:pgSz w:w="11910" w:h="16840"/>
          <w:pgMar w:top="880" w:right="800" w:bottom="980" w:left="1180" w:header="569" w:footer="788" w:gutter="0"/>
          <w:cols w:space="720"/>
        </w:sectPr>
      </w:pPr>
    </w:p>
    <w:p w14:paraId="51DE99C6" w14:textId="77777777" w:rsidR="0010369C" w:rsidRDefault="008E43AE">
      <w:pPr>
        <w:tabs>
          <w:tab w:val="left" w:pos="6425"/>
        </w:tabs>
        <w:ind w:left="238"/>
        <w:jc w:val="both"/>
        <w:rPr>
          <w:sz w:val="20"/>
        </w:rPr>
      </w:pPr>
      <w:r>
        <w:rPr>
          <w:i/>
          <w:sz w:val="20"/>
        </w:rPr>
        <w:lastRenderedPageBreak/>
        <w:t>China</w:t>
      </w:r>
      <w:r>
        <w:rPr>
          <w:i/>
          <w:spacing w:val="-5"/>
          <w:sz w:val="20"/>
        </w:rPr>
        <w:t xml:space="preserve"> </w:t>
      </w:r>
      <w:r>
        <w:rPr>
          <w:i/>
          <w:sz w:val="20"/>
        </w:rPr>
        <w:t>–</w:t>
      </w:r>
      <w:r>
        <w:rPr>
          <w:i/>
          <w:spacing w:val="-5"/>
          <w:sz w:val="20"/>
        </w:rPr>
        <w:t xml:space="preserve"> </w:t>
      </w:r>
      <w:r>
        <w:rPr>
          <w:i/>
          <w:sz w:val="20"/>
        </w:rPr>
        <w:t>Anti‐Dumping</w:t>
      </w:r>
      <w:r>
        <w:rPr>
          <w:i/>
          <w:spacing w:val="-4"/>
          <w:sz w:val="20"/>
        </w:rPr>
        <w:t xml:space="preserve"> </w:t>
      </w:r>
      <w:r>
        <w:rPr>
          <w:i/>
          <w:sz w:val="20"/>
        </w:rPr>
        <w:t>and</w:t>
      </w:r>
      <w:r>
        <w:rPr>
          <w:i/>
          <w:spacing w:val="-5"/>
          <w:sz w:val="20"/>
        </w:rPr>
        <w:t xml:space="preserve"> </w:t>
      </w:r>
      <w:r>
        <w:rPr>
          <w:i/>
          <w:sz w:val="20"/>
        </w:rPr>
        <w:t>Countervailing</w:t>
      </w:r>
      <w:r>
        <w:rPr>
          <w:i/>
          <w:spacing w:val="-5"/>
          <w:sz w:val="20"/>
        </w:rPr>
        <w:t xml:space="preserve"> </w:t>
      </w:r>
      <w:r>
        <w:rPr>
          <w:i/>
          <w:sz w:val="20"/>
        </w:rPr>
        <w:t>Duty</w:t>
      </w:r>
      <w:r>
        <w:rPr>
          <w:i/>
          <w:spacing w:val="-4"/>
          <w:sz w:val="20"/>
        </w:rPr>
        <w:t xml:space="preserve"> </w:t>
      </w:r>
      <w:r>
        <w:rPr>
          <w:i/>
          <w:spacing w:val="-2"/>
          <w:sz w:val="20"/>
        </w:rPr>
        <w:t>Measures</w:t>
      </w:r>
      <w:r>
        <w:rPr>
          <w:i/>
          <w:sz w:val="20"/>
        </w:rPr>
        <w:tab/>
      </w:r>
      <w:r>
        <w:rPr>
          <w:sz w:val="20"/>
        </w:rPr>
        <w:t>Australia's</w:t>
      </w:r>
      <w:r>
        <w:rPr>
          <w:spacing w:val="-7"/>
          <w:sz w:val="20"/>
        </w:rPr>
        <w:t xml:space="preserve"> </w:t>
      </w:r>
      <w:r>
        <w:rPr>
          <w:sz w:val="20"/>
        </w:rPr>
        <w:t>First</w:t>
      </w:r>
      <w:r>
        <w:rPr>
          <w:spacing w:val="-2"/>
          <w:sz w:val="20"/>
        </w:rPr>
        <w:t xml:space="preserve"> </w:t>
      </w:r>
      <w:r>
        <w:rPr>
          <w:sz w:val="20"/>
        </w:rPr>
        <w:t>Written</w:t>
      </w:r>
      <w:r>
        <w:rPr>
          <w:spacing w:val="-2"/>
          <w:sz w:val="20"/>
        </w:rPr>
        <w:t xml:space="preserve"> Submission</w:t>
      </w:r>
    </w:p>
    <w:p w14:paraId="51DE99C7" w14:textId="77777777" w:rsidR="0010369C" w:rsidRDefault="008E43AE">
      <w:pPr>
        <w:tabs>
          <w:tab w:val="left" w:pos="8227"/>
        </w:tabs>
        <w:spacing w:before="1"/>
        <w:ind w:left="239"/>
        <w:jc w:val="both"/>
        <w:rPr>
          <w:sz w:val="20"/>
        </w:rPr>
      </w:pPr>
      <w:r>
        <w:rPr>
          <w:i/>
          <w:sz w:val="20"/>
        </w:rPr>
        <w:t>on</w:t>
      </w:r>
      <w:r>
        <w:rPr>
          <w:i/>
          <w:spacing w:val="-1"/>
          <w:sz w:val="20"/>
        </w:rPr>
        <w:t xml:space="preserve"> </w:t>
      </w:r>
      <w:r>
        <w:rPr>
          <w:i/>
          <w:sz w:val="20"/>
        </w:rPr>
        <w:t>Wine</w:t>
      </w:r>
      <w:r>
        <w:rPr>
          <w:i/>
          <w:spacing w:val="-1"/>
          <w:sz w:val="20"/>
        </w:rPr>
        <w:t xml:space="preserve"> </w:t>
      </w:r>
      <w:r>
        <w:rPr>
          <w:i/>
          <w:sz w:val="20"/>
        </w:rPr>
        <w:t>from</w:t>
      </w:r>
      <w:r>
        <w:rPr>
          <w:i/>
          <w:spacing w:val="-3"/>
          <w:sz w:val="20"/>
        </w:rPr>
        <w:t xml:space="preserve"> </w:t>
      </w:r>
      <w:r>
        <w:rPr>
          <w:i/>
          <w:sz w:val="20"/>
        </w:rPr>
        <w:t>Australia</w:t>
      </w:r>
      <w:r>
        <w:rPr>
          <w:i/>
          <w:spacing w:val="-1"/>
          <w:sz w:val="20"/>
        </w:rPr>
        <w:t xml:space="preserve"> </w:t>
      </w:r>
      <w:r>
        <w:rPr>
          <w:spacing w:val="-2"/>
          <w:sz w:val="20"/>
        </w:rPr>
        <w:t>(DS602)</w:t>
      </w:r>
      <w:r>
        <w:rPr>
          <w:sz w:val="20"/>
        </w:rPr>
        <w:tab/>
        <w:t>29</w:t>
      </w:r>
      <w:r>
        <w:rPr>
          <w:spacing w:val="-1"/>
          <w:sz w:val="20"/>
        </w:rPr>
        <w:t xml:space="preserve"> </w:t>
      </w:r>
      <w:r>
        <w:rPr>
          <w:sz w:val="20"/>
        </w:rPr>
        <w:t>April</w:t>
      </w:r>
      <w:r>
        <w:rPr>
          <w:spacing w:val="-2"/>
          <w:sz w:val="20"/>
        </w:rPr>
        <w:t xml:space="preserve"> </w:t>
      </w:r>
      <w:r>
        <w:rPr>
          <w:spacing w:val="-4"/>
          <w:sz w:val="20"/>
        </w:rPr>
        <w:t>2022</w:t>
      </w:r>
    </w:p>
    <w:p w14:paraId="51DE99C8" w14:textId="77777777" w:rsidR="0010369C" w:rsidRDefault="008E43AE">
      <w:pPr>
        <w:pStyle w:val="BodyText"/>
        <w:spacing w:before="34" w:line="360" w:lineRule="auto"/>
        <w:ind w:left="237" w:right="611" w:firstLine="851"/>
        <w:jc w:val="both"/>
      </w:pPr>
      <w:r>
        <w:rPr>
          <w:noProof/>
        </w:rPr>
        <w:drawing>
          <wp:anchor distT="0" distB="0" distL="0" distR="0" simplePos="0" relativeHeight="251578880" behindDoc="1" locked="0" layoutInCell="1" allowOverlap="1" wp14:anchorId="51DEA863" wp14:editId="51DEA864">
            <wp:simplePos x="0" y="0"/>
            <wp:positionH relativeFrom="page">
              <wp:posOffset>902208</wp:posOffset>
            </wp:positionH>
            <wp:positionV relativeFrom="paragraph">
              <wp:posOffset>69165</wp:posOffset>
            </wp:positionV>
            <wp:extent cx="262127" cy="103631"/>
            <wp:effectExtent l="0" t="0" r="0" b="0"/>
            <wp:wrapNone/>
            <wp:docPr id="1929" name="image9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 name="image992.png"/>
                    <pic:cNvPicPr/>
                  </pic:nvPicPr>
                  <pic:blipFill>
                    <a:blip r:embed="rId1275" cstate="print"/>
                    <a:stretch>
                      <a:fillRect/>
                    </a:stretch>
                  </pic:blipFill>
                  <pic:spPr>
                    <a:xfrm>
                      <a:off x="0" y="0"/>
                      <a:ext cx="262127" cy="103631"/>
                    </a:xfrm>
                    <a:prstGeom prst="rect">
                      <a:avLst/>
                    </a:prstGeom>
                  </pic:spPr>
                </pic:pic>
              </a:graphicData>
            </a:graphic>
          </wp:anchor>
        </w:drawing>
      </w:r>
      <w:r>
        <w:t>This</w:t>
      </w:r>
      <w:r>
        <w:rPr>
          <w:spacing w:val="-10"/>
        </w:rPr>
        <w:t xml:space="preserve"> </w:t>
      </w:r>
      <w:r>
        <w:t>information</w:t>
      </w:r>
      <w:r>
        <w:rPr>
          <w:spacing w:val="-9"/>
        </w:rPr>
        <w:t xml:space="preserve"> </w:t>
      </w:r>
      <w:r>
        <w:t>was</w:t>
      </w:r>
      <w:r>
        <w:rPr>
          <w:spacing w:val="-10"/>
        </w:rPr>
        <w:t xml:space="preserve"> </w:t>
      </w:r>
      <w:r>
        <w:t>relevant</w:t>
      </w:r>
      <w:r>
        <w:rPr>
          <w:spacing w:val="-10"/>
        </w:rPr>
        <w:t xml:space="preserve"> </w:t>
      </w:r>
      <w:r>
        <w:t>for</w:t>
      </w:r>
      <w:r>
        <w:rPr>
          <w:spacing w:val="-9"/>
        </w:rPr>
        <w:t xml:space="preserve"> </w:t>
      </w:r>
      <w:r>
        <w:t>the</w:t>
      </w:r>
      <w:r>
        <w:rPr>
          <w:spacing w:val="-9"/>
        </w:rPr>
        <w:t xml:space="preserve"> </w:t>
      </w:r>
      <w:r>
        <w:t>interested</w:t>
      </w:r>
      <w:r>
        <w:rPr>
          <w:spacing w:val="-11"/>
        </w:rPr>
        <w:t xml:space="preserve"> </w:t>
      </w:r>
      <w:r>
        <w:t>parties</w:t>
      </w:r>
      <w:r>
        <w:rPr>
          <w:spacing w:val="-10"/>
        </w:rPr>
        <w:t xml:space="preserve"> </w:t>
      </w:r>
      <w:r>
        <w:t>to</w:t>
      </w:r>
      <w:r>
        <w:rPr>
          <w:spacing w:val="-9"/>
        </w:rPr>
        <w:t xml:space="preserve"> </w:t>
      </w:r>
      <w:r>
        <w:t>verify</w:t>
      </w:r>
      <w:r>
        <w:rPr>
          <w:spacing w:val="-10"/>
        </w:rPr>
        <w:t xml:space="preserve"> </w:t>
      </w:r>
      <w:r>
        <w:t>that</w:t>
      </w:r>
      <w:r>
        <w:rPr>
          <w:spacing w:val="-10"/>
        </w:rPr>
        <w:t xml:space="preserve"> </w:t>
      </w:r>
      <w:r>
        <w:t>fair</w:t>
      </w:r>
      <w:r>
        <w:rPr>
          <w:spacing w:val="-11"/>
        </w:rPr>
        <w:t xml:space="preserve"> </w:t>
      </w:r>
      <w:r>
        <w:t>comparison was conducted properly and in accordance with Article 2.4 of the Anti‐Dumping Agreement. This</w:t>
      </w:r>
      <w:r>
        <w:rPr>
          <w:spacing w:val="-14"/>
        </w:rPr>
        <w:t xml:space="preserve"> </w:t>
      </w:r>
      <w:r>
        <w:t>information</w:t>
      </w:r>
      <w:r>
        <w:rPr>
          <w:spacing w:val="-14"/>
        </w:rPr>
        <w:t xml:space="preserve"> </w:t>
      </w:r>
      <w:r>
        <w:t>would</w:t>
      </w:r>
      <w:r>
        <w:rPr>
          <w:spacing w:val="-13"/>
        </w:rPr>
        <w:t xml:space="preserve"> </w:t>
      </w:r>
      <w:r>
        <w:t>also</w:t>
      </w:r>
      <w:r>
        <w:rPr>
          <w:spacing w:val="-14"/>
        </w:rPr>
        <w:t xml:space="preserve"> </w:t>
      </w:r>
      <w:r>
        <w:t>have</w:t>
      </w:r>
      <w:r>
        <w:rPr>
          <w:spacing w:val="-13"/>
        </w:rPr>
        <w:t xml:space="preserve"> </w:t>
      </w:r>
      <w:r>
        <w:t>been</w:t>
      </w:r>
      <w:r>
        <w:rPr>
          <w:spacing w:val="-14"/>
        </w:rPr>
        <w:t xml:space="preserve"> </w:t>
      </w:r>
      <w:r>
        <w:t>used</w:t>
      </w:r>
      <w:r>
        <w:rPr>
          <w:spacing w:val="-13"/>
        </w:rPr>
        <w:t xml:space="preserve"> </w:t>
      </w:r>
      <w:r>
        <w:t>by</w:t>
      </w:r>
      <w:r>
        <w:rPr>
          <w:spacing w:val="-14"/>
        </w:rPr>
        <w:t xml:space="preserve"> </w:t>
      </w:r>
      <w:r>
        <w:t>MOFCOM</w:t>
      </w:r>
      <w:r>
        <w:rPr>
          <w:spacing w:val="-14"/>
        </w:rPr>
        <w:t xml:space="preserve"> </w:t>
      </w:r>
      <w:r>
        <w:t>to</w:t>
      </w:r>
      <w:r>
        <w:rPr>
          <w:spacing w:val="-13"/>
        </w:rPr>
        <w:t xml:space="preserve"> </w:t>
      </w:r>
      <w:r>
        <w:t>ensure</w:t>
      </w:r>
      <w:r>
        <w:rPr>
          <w:spacing w:val="-14"/>
        </w:rPr>
        <w:t xml:space="preserve"> </w:t>
      </w:r>
      <w:r>
        <w:t>the</w:t>
      </w:r>
      <w:r>
        <w:rPr>
          <w:spacing w:val="-13"/>
        </w:rPr>
        <w:t xml:space="preserve"> </w:t>
      </w:r>
      <w:r>
        <w:t>comparability</w:t>
      </w:r>
      <w:r>
        <w:rPr>
          <w:spacing w:val="-14"/>
        </w:rPr>
        <w:t xml:space="preserve"> </w:t>
      </w:r>
      <w:r>
        <w:t>of</w:t>
      </w:r>
      <w:r>
        <w:rPr>
          <w:spacing w:val="-13"/>
        </w:rPr>
        <w:t xml:space="preserve"> </w:t>
      </w:r>
      <w:r>
        <w:t>prices when conducting a fair comparison between normal value and export</w:t>
      </w:r>
      <w:r>
        <w:t xml:space="preserve"> price. By failing to provide</w:t>
      </w:r>
      <w:r>
        <w:rPr>
          <w:spacing w:val="-4"/>
        </w:rPr>
        <w:t xml:space="preserve"> </w:t>
      </w:r>
      <w:r>
        <w:t>this</w:t>
      </w:r>
      <w:r>
        <w:rPr>
          <w:spacing w:val="-7"/>
        </w:rPr>
        <w:t xml:space="preserve"> </w:t>
      </w:r>
      <w:r>
        <w:t>information,</w:t>
      </w:r>
      <w:r>
        <w:rPr>
          <w:spacing w:val="-5"/>
        </w:rPr>
        <w:t xml:space="preserve"> </w:t>
      </w:r>
      <w:r>
        <w:t>MOFCOM</w:t>
      </w:r>
      <w:r>
        <w:rPr>
          <w:spacing w:val="-5"/>
        </w:rPr>
        <w:t xml:space="preserve"> </w:t>
      </w:r>
      <w:r>
        <w:t>denied</w:t>
      </w:r>
      <w:r>
        <w:rPr>
          <w:spacing w:val="-5"/>
        </w:rPr>
        <w:t xml:space="preserve"> </w:t>
      </w:r>
      <w:r>
        <w:t>the</w:t>
      </w:r>
      <w:r>
        <w:rPr>
          <w:spacing w:val="-4"/>
        </w:rPr>
        <w:t xml:space="preserve"> </w:t>
      </w:r>
      <w:r>
        <w:t>interested</w:t>
      </w:r>
      <w:r>
        <w:rPr>
          <w:spacing w:val="-5"/>
        </w:rPr>
        <w:t xml:space="preserve"> </w:t>
      </w:r>
      <w:r>
        <w:t>parties</w:t>
      </w:r>
      <w:r>
        <w:rPr>
          <w:spacing w:val="-5"/>
        </w:rPr>
        <w:t xml:space="preserve"> </w:t>
      </w:r>
      <w:r>
        <w:t>a</w:t>
      </w:r>
      <w:r>
        <w:rPr>
          <w:spacing w:val="-5"/>
        </w:rPr>
        <w:t xml:space="preserve"> </w:t>
      </w:r>
      <w:r>
        <w:t>full</w:t>
      </w:r>
      <w:r>
        <w:rPr>
          <w:spacing w:val="-5"/>
        </w:rPr>
        <w:t xml:space="preserve"> </w:t>
      </w:r>
      <w:r>
        <w:t>opportunity</w:t>
      </w:r>
      <w:r>
        <w:rPr>
          <w:spacing w:val="-4"/>
        </w:rPr>
        <w:t xml:space="preserve"> </w:t>
      </w:r>
      <w:r>
        <w:t>to</w:t>
      </w:r>
      <w:r>
        <w:rPr>
          <w:spacing w:val="-6"/>
        </w:rPr>
        <w:t xml:space="preserve"> </w:t>
      </w:r>
      <w:r>
        <w:t>defend their interests.</w:t>
      </w:r>
    </w:p>
    <w:p w14:paraId="51DE99C9" w14:textId="77777777" w:rsidR="0010369C" w:rsidRDefault="008E43AE">
      <w:pPr>
        <w:pStyle w:val="ListParagraph"/>
        <w:numPr>
          <w:ilvl w:val="3"/>
          <w:numId w:val="75"/>
        </w:numPr>
        <w:tabs>
          <w:tab w:val="left" w:pos="3642"/>
          <w:tab w:val="left" w:pos="3643"/>
        </w:tabs>
        <w:spacing w:before="161"/>
        <w:ind w:hanging="853"/>
        <w:jc w:val="both"/>
        <w:rPr>
          <w:sz w:val="24"/>
        </w:rPr>
      </w:pPr>
      <w:r>
        <w:rPr>
          <w:sz w:val="24"/>
          <w:u w:val="single"/>
        </w:rPr>
        <w:t>Calculation</w:t>
      </w:r>
      <w:r>
        <w:rPr>
          <w:spacing w:val="-11"/>
          <w:sz w:val="24"/>
          <w:u w:val="single"/>
        </w:rPr>
        <w:t xml:space="preserve"> </w:t>
      </w:r>
      <w:r>
        <w:rPr>
          <w:sz w:val="24"/>
          <w:u w:val="single"/>
        </w:rPr>
        <w:t>of</w:t>
      </w:r>
      <w:r>
        <w:rPr>
          <w:spacing w:val="-11"/>
          <w:sz w:val="24"/>
          <w:u w:val="single"/>
        </w:rPr>
        <w:t xml:space="preserve"> </w:t>
      </w:r>
      <w:r>
        <w:rPr>
          <w:sz w:val="24"/>
          <w:u w:val="single"/>
        </w:rPr>
        <w:t>dumping</w:t>
      </w:r>
      <w:r>
        <w:rPr>
          <w:spacing w:val="-10"/>
          <w:sz w:val="24"/>
          <w:u w:val="single"/>
        </w:rPr>
        <w:t xml:space="preserve"> </w:t>
      </w:r>
      <w:r>
        <w:rPr>
          <w:spacing w:val="-2"/>
          <w:sz w:val="24"/>
          <w:u w:val="single"/>
        </w:rPr>
        <w:t>margins</w:t>
      </w:r>
    </w:p>
    <w:p w14:paraId="51DE99CA" w14:textId="77777777" w:rsidR="0010369C" w:rsidRDefault="0010369C">
      <w:pPr>
        <w:pStyle w:val="BodyText"/>
        <w:spacing w:before="10"/>
        <w:rPr>
          <w:sz w:val="20"/>
        </w:rPr>
      </w:pPr>
    </w:p>
    <w:p w14:paraId="51DE99CB" w14:textId="77777777" w:rsidR="0010369C" w:rsidRDefault="008E43AE">
      <w:pPr>
        <w:pStyle w:val="BodyText"/>
        <w:spacing w:before="51" w:line="360" w:lineRule="auto"/>
        <w:ind w:left="236" w:right="613" w:firstLine="852"/>
        <w:jc w:val="both"/>
      </w:pPr>
      <w:r>
        <w:rPr>
          <w:noProof/>
        </w:rPr>
        <w:drawing>
          <wp:anchor distT="0" distB="0" distL="0" distR="0" simplePos="0" relativeHeight="251579904" behindDoc="1" locked="0" layoutInCell="1" allowOverlap="1" wp14:anchorId="51DEA865" wp14:editId="51DEA866">
            <wp:simplePos x="0" y="0"/>
            <wp:positionH relativeFrom="page">
              <wp:posOffset>902208</wp:posOffset>
            </wp:positionH>
            <wp:positionV relativeFrom="paragraph">
              <wp:posOffset>81314</wp:posOffset>
            </wp:positionV>
            <wp:extent cx="262127" cy="100753"/>
            <wp:effectExtent l="0" t="0" r="0" b="0"/>
            <wp:wrapNone/>
            <wp:docPr id="1931" name="image9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 name="image993.png"/>
                    <pic:cNvPicPr/>
                  </pic:nvPicPr>
                  <pic:blipFill>
                    <a:blip r:embed="rId1276" cstate="print"/>
                    <a:stretch>
                      <a:fillRect/>
                    </a:stretch>
                  </pic:blipFill>
                  <pic:spPr>
                    <a:xfrm>
                      <a:off x="0" y="0"/>
                      <a:ext cx="262127" cy="100753"/>
                    </a:xfrm>
                    <a:prstGeom prst="rect">
                      <a:avLst/>
                    </a:prstGeom>
                  </pic:spPr>
                </pic:pic>
              </a:graphicData>
            </a:graphic>
          </wp:anchor>
        </w:drawing>
      </w:r>
      <w:r>
        <w:t>MOFCOM failed to provide the interested parties with all non‐confidential information in relation to the calculation of dumping margins, including (i) information that supported MOFCOM's method in calculating the dumping margin, and (ii) information that w</w:t>
      </w:r>
      <w:r>
        <w:t>as</w:t>
      </w:r>
      <w:r>
        <w:rPr>
          <w:spacing w:val="-13"/>
        </w:rPr>
        <w:t xml:space="preserve"> </w:t>
      </w:r>
      <w:r>
        <w:t>relevant</w:t>
      </w:r>
      <w:r>
        <w:rPr>
          <w:spacing w:val="-13"/>
        </w:rPr>
        <w:t xml:space="preserve"> </w:t>
      </w:r>
      <w:r>
        <w:t>to</w:t>
      </w:r>
      <w:r>
        <w:rPr>
          <w:spacing w:val="-12"/>
        </w:rPr>
        <w:t xml:space="preserve"> </w:t>
      </w:r>
      <w:r>
        <w:t>its</w:t>
      </w:r>
      <w:r>
        <w:rPr>
          <w:spacing w:val="-13"/>
        </w:rPr>
        <w:t xml:space="preserve"> </w:t>
      </w:r>
      <w:r>
        <w:t>recourse</w:t>
      </w:r>
      <w:r>
        <w:rPr>
          <w:spacing w:val="-12"/>
        </w:rPr>
        <w:t xml:space="preserve"> </w:t>
      </w:r>
      <w:r>
        <w:t>to</w:t>
      </w:r>
      <w:r>
        <w:rPr>
          <w:spacing w:val="-12"/>
        </w:rPr>
        <w:t xml:space="preserve"> </w:t>
      </w:r>
      <w:r>
        <w:t>facts</w:t>
      </w:r>
      <w:r>
        <w:rPr>
          <w:spacing w:val="-13"/>
        </w:rPr>
        <w:t xml:space="preserve"> </w:t>
      </w:r>
      <w:r>
        <w:t>available</w:t>
      </w:r>
      <w:r>
        <w:rPr>
          <w:spacing w:val="-12"/>
        </w:rPr>
        <w:t xml:space="preserve"> </w:t>
      </w:r>
      <w:r>
        <w:t>to</w:t>
      </w:r>
      <w:r>
        <w:rPr>
          <w:spacing w:val="-12"/>
        </w:rPr>
        <w:t xml:space="preserve"> </w:t>
      </w:r>
      <w:r>
        <w:t>calculate</w:t>
      </w:r>
      <w:r>
        <w:rPr>
          <w:spacing w:val="-12"/>
        </w:rPr>
        <w:t xml:space="preserve"> </w:t>
      </w:r>
      <w:r>
        <w:t>the</w:t>
      </w:r>
      <w:r>
        <w:rPr>
          <w:spacing w:val="-13"/>
        </w:rPr>
        <w:t xml:space="preserve"> </w:t>
      </w:r>
      <w:r>
        <w:t>dumping</w:t>
      </w:r>
      <w:r>
        <w:rPr>
          <w:spacing w:val="-12"/>
        </w:rPr>
        <w:t xml:space="preserve"> </w:t>
      </w:r>
      <w:r>
        <w:t>margin</w:t>
      </w:r>
      <w:r>
        <w:rPr>
          <w:spacing w:val="-13"/>
        </w:rPr>
        <w:t xml:space="preserve"> </w:t>
      </w:r>
      <w:r>
        <w:t>for</w:t>
      </w:r>
      <w:r>
        <w:rPr>
          <w:spacing w:val="-12"/>
        </w:rPr>
        <w:t xml:space="preserve"> </w:t>
      </w:r>
      <w:r>
        <w:t>"All</w:t>
      </w:r>
      <w:r>
        <w:rPr>
          <w:spacing w:val="-12"/>
        </w:rPr>
        <w:t xml:space="preserve"> </w:t>
      </w:r>
      <w:r>
        <w:t>Others". Although interested parties expressly advised MOFCOM that they lacked this information, they were ignored by MOFCOM.</w:t>
      </w:r>
      <w:r>
        <w:rPr>
          <w:vertAlign w:val="superscript"/>
        </w:rPr>
        <w:t>1151</w:t>
      </w:r>
    </w:p>
    <w:p w14:paraId="51DE99CC" w14:textId="77777777" w:rsidR="0010369C" w:rsidRDefault="0010369C">
      <w:pPr>
        <w:pStyle w:val="BodyText"/>
        <w:spacing w:before="10"/>
        <w:rPr>
          <w:sz w:val="8"/>
        </w:rPr>
      </w:pPr>
    </w:p>
    <w:p w14:paraId="51DE99CD" w14:textId="77777777" w:rsidR="0010369C" w:rsidRDefault="008E43AE">
      <w:pPr>
        <w:pStyle w:val="BodyText"/>
        <w:spacing w:before="52" w:line="360" w:lineRule="auto"/>
        <w:ind w:left="237" w:right="613" w:firstLine="851"/>
        <w:jc w:val="both"/>
      </w:pPr>
      <w:r>
        <w:rPr>
          <w:noProof/>
        </w:rPr>
        <w:drawing>
          <wp:anchor distT="0" distB="0" distL="0" distR="0" simplePos="0" relativeHeight="251580928" behindDoc="1" locked="0" layoutInCell="1" allowOverlap="1" wp14:anchorId="51DEA867" wp14:editId="51DEA868">
            <wp:simplePos x="0" y="0"/>
            <wp:positionH relativeFrom="page">
              <wp:posOffset>902208</wp:posOffset>
            </wp:positionH>
            <wp:positionV relativeFrom="paragraph">
              <wp:posOffset>80595</wp:posOffset>
            </wp:positionV>
            <wp:extent cx="262127" cy="103631"/>
            <wp:effectExtent l="0" t="0" r="0" b="0"/>
            <wp:wrapNone/>
            <wp:docPr id="1933" name="image9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 name="image994.png"/>
                    <pic:cNvPicPr/>
                  </pic:nvPicPr>
                  <pic:blipFill>
                    <a:blip r:embed="rId1277" cstate="print"/>
                    <a:stretch>
                      <a:fillRect/>
                    </a:stretch>
                  </pic:blipFill>
                  <pic:spPr>
                    <a:xfrm>
                      <a:off x="0" y="0"/>
                      <a:ext cx="262127" cy="103631"/>
                    </a:xfrm>
                    <a:prstGeom prst="rect">
                      <a:avLst/>
                    </a:prstGeom>
                  </pic:spPr>
                </pic:pic>
              </a:graphicData>
            </a:graphic>
          </wp:anchor>
        </w:drawing>
      </w:r>
      <w:r>
        <w:t>The Final Determination provides lim</w:t>
      </w:r>
      <w:r>
        <w:t>ited information on how MOFCOM calculated the margins of dumping for the other named Australian exporters. It provides that "[i]n calculating the dumping margin, the Investigating Authority compared the weighted average normal value with the weighted avera</w:t>
      </w:r>
      <w:r>
        <w:t>ge export price to obtain the dumping margin".</w:t>
      </w:r>
      <w:r>
        <w:rPr>
          <w:vertAlign w:val="superscript"/>
        </w:rPr>
        <w:t>1152</w:t>
      </w:r>
      <w:r>
        <w:t xml:space="preserve"> MOFCOM did not provide the information, figures or calculations for the weighted average normal value and the weighted average export price. Accordingly, the interested parties did not receive the necessar</w:t>
      </w:r>
      <w:r>
        <w:t>y non‐confidential information to understand or make submissions on the final dumping margins.</w:t>
      </w:r>
    </w:p>
    <w:p w14:paraId="51DE99CE" w14:textId="77777777" w:rsidR="0010369C" w:rsidRDefault="0010369C">
      <w:pPr>
        <w:pStyle w:val="BodyText"/>
        <w:spacing w:before="11"/>
        <w:rPr>
          <w:sz w:val="8"/>
        </w:rPr>
      </w:pPr>
    </w:p>
    <w:p w14:paraId="51DE99CF" w14:textId="77777777" w:rsidR="0010369C" w:rsidRDefault="008E43AE">
      <w:pPr>
        <w:pStyle w:val="BodyText"/>
        <w:spacing w:before="51" w:line="360" w:lineRule="auto"/>
        <w:ind w:left="237" w:right="612" w:firstLine="851"/>
        <w:jc w:val="both"/>
      </w:pPr>
      <w:r>
        <w:rPr>
          <w:noProof/>
        </w:rPr>
        <w:drawing>
          <wp:anchor distT="0" distB="0" distL="0" distR="0" simplePos="0" relativeHeight="251581952" behindDoc="1" locked="0" layoutInCell="1" allowOverlap="1" wp14:anchorId="51DEA869" wp14:editId="51DEA86A">
            <wp:simplePos x="0" y="0"/>
            <wp:positionH relativeFrom="page">
              <wp:posOffset>902208</wp:posOffset>
            </wp:positionH>
            <wp:positionV relativeFrom="paragraph">
              <wp:posOffset>80723</wp:posOffset>
            </wp:positionV>
            <wp:extent cx="262127" cy="103631"/>
            <wp:effectExtent l="0" t="0" r="0" b="0"/>
            <wp:wrapNone/>
            <wp:docPr id="1935" name="image9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 name="image995.png"/>
                    <pic:cNvPicPr/>
                  </pic:nvPicPr>
                  <pic:blipFill>
                    <a:blip r:embed="rId1278" cstate="print"/>
                    <a:stretch>
                      <a:fillRect/>
                    </a:stretch>
                  </pic:blipFill>
                  <pic:spPr>
                    <a:xfrm>
                      <a:off x="0" y="0"/>
                      <a:ext cx="262127" cy="103631"/>
                    </a:xfrm>
                    <a:prstGeom prst="rect">
                      <a:avLst/>
                    </a:prstGeom>
                  </pic:spPr>
                </pic:pic>
              </a:graphicData>
            </a:graphic>
          </wp:anchor>
        </w:drawing>
      </w:r>
      <w:r>
        <w:t>Further, MOFCOM relied on information to calculate the dumping margin for companies deemed non‐cooperative on the "basis of known facts and available best information".</w:t>
      </w:r>
      <w:r>
        <w:rPr>
          <w:vertAlign w:val="superscript"/>
        </w:rPr>
        <w:t>1153</w:t>
      </w:r>
      <w:r>
        <w:rPr>
          <w:spacing w:val="-12"/>
        </w:rPr>
        <w:t xml:space="preserve"> </w:t>
      </w:r>
      <w:r>
        <w:t>However,</w:t>
      </w:r>
      <w:r>
        <w:rPr>
          <w:spacing w:val="-12"/>
        </w:rPr>
        <w:t xml:space="preserve"> </w:t>
      </w:r>
      <w:r>
        <w:t>MOFCOM</w:t>
      </w:r>
      <w:r>
        <w:rPr>
          <w:spacing w:val="-11"/>
        </w:rPr>
        <w:t xml:space="preserve"> </w:t>
      </w:r>
      <w:r>
        <w:t>failed</w:t>
      </w:r>
      <w:r>
        <w:rPr>
          <w:spacing w:val="-11"/>
        </w:rPr>
        <w:t xml:space="preserve"> </w:t>
      </w:r>
      <w:r>
        <w:t>to</w:t>
      </w:r>
      <w:r>
        <w:rPr>
          <w:spacing w:val="-12"/>
        </w:rPr>
        <w:t xml:space="preserve"> </w:t>
      </w:r>
      <w:r>
        <w:t>disclose</w:t>
      </w:r>
      <w:r>
        <w:rPr>
          <w:spacing w:val="-10"/>
        </w:rPr>
        <w:t xml:space="preserve"> </w:t>
      </w:r>
      <w:r>
        <w:t>to</w:t>
      </w:r>
      <w:r>
        <w:rPr>
          <w:spacing w:val="-11"/>
        </w:rPr>
        <w:t xml:space="preserve"> </w:t>
      </w:r>
      <w:r>
        <w:t>the</w:t>
      </w:r>
      <w:r>
        <w:rPr>
          <w:spacing w:val="-10"/>
        </w:rPr>
        <w:t xml:space="preserve"> </w:t>
      </w:r>
      <w:r>
        <w:t>interested</w:t>
      </w:r>
      <w:r>
        <w:rPr>
          <w:spacing w:val="-11"/>
        </w:rPr>
        <w:t xml:space="preserve"> </w:t>
      </w:r>
      <w:r>
        <w:t>parties</w:t>
      </w:r>
      <w:r>
        <w:rPr>
          <w:spacing w:val="-11"/>
        </w:rPr>
        <w:t xml:space="preserve"> </w:t>
      </w:r>
      <w:r>
        <w:t>all</w:t>
      </w:r>
      <w:r>
        <w:rPr>
          <w:spacing w:val="-12"/>
        </w:rPr>
        <w:t xml:space="preserve"> </w:t>
      </w:r>
      <w:r>
        <w:t>of</w:t>
      </w:r>
      <w:r>
        <w:rPr>
          <w:spacing w:val="-11"/>
        </w:rPr>
        <w:t xml:space="preserve"> </w:t>
      </w:r>
      <w:r>
        <w:t>the</w:t>
      </w:r>
      <w:r>
        <w:rPr>
          <w:spacing w:val="-13"/>
        </w:rPr>
        <w:t xml:space="preserve"> </w:t>
      </w:r>
      <w:r>
        <w:t>non‐ confid</w:t>
      </w:r>
      <w:r>
        <w:t>ential</w:t>
      </w:r>
      <w:r>
        <w:rPr>
          <w:spacing w:val="-7"/>
        </w:rPr>
        <w:t xml:space="preserve"> </w:t>
      </w:r>
      <w:r>
        <w:t>information</w:t>
      </w:r>
      <w:r>
        <w:rPr>
          <w:spacing w:val="-5"/>
        </w:rPr>
        <w:t xml:space="preserve"> </w:t>
      </w:r>
      <w:r>
        <w:t>relevant</w:t>
      </w:r>
      <w:r>
        <w:rPr>
          <w:spacing w:val="-5"/>
        </w:rPr>
        <w:t xml:space="preserve"> </w:t>
      </w:r>
      <w:r>
        <w:t>to</w:t>
      </w:r>
      <w:r>
        <w:rPr>
          <w:spacing w:val="-5"/>
        </w:rPr>
        <w:t xml:space="preserve"> </w:t>
      </w:r>
      <w:r>
        <w:t>its</w:t>
      </w:r>
      <w:r>
        <w:rPr>
          <w:spacing w:val="-5"/>
        </w:rPr>
        <w:t xml:space="preserve"> </w:t>
      </w:r>
      <w:r>
        <w:t>determination</w:t>
      </w:r>
      <w:r>
        <w:rPr>
          <w:spacing w:val="-5"/>
        </w:rPr>
        <w:t xml:space="preserve"> </w:t>
      </w:r>
      <w:r>
        <w:t>of</w:t>
      </w:r>
      <w:r>
        <w:rPr>
          <w:spacing w:val="-5"/>
        </w:rPr>
        <w:t xml:space="preserve"> </w:t>
      </w:r>
      <w:r>
        <w:t>this</w:t>
      </w:r>
      <w:r>
        <w:rPr>
          <w:spacing w:val="-7"/>
        </w:rPr>
        <w:t xml:space="preserve"> </w:t>
      </w:r>
      <w:r>
        <w:t>"All</w:t>
      </w:r>
      <w:r>
        <w:rPr>
          <w:spacing w:val="-5"/>
        </w:rPr>
        <w:t xml:space="preserve"> </w:t>
      </w:r>
      <w:r>
        <w:t>Others"</w:t>
      </w:r>
      <w:r>
        <w:rPr>
          <w:spacing w:val="-5"/>
        </w:rPr>
        <w:t xml:space="preserve"> </w:t>
      </w:r>
      <w:r>
        <w:t>rate.</w:t>
      </w:r>
      <w:r>
        <w:rPr>
          <w:spacing w:val="-6"/>
        </w:rPr>
        <w:t xml:space="preserve"> </w:t>
      </w:r>
      <w:r>
        <w:t>The</w:t>
      </w:r>
      <w:r>
        <w:rPr>
          <w:spacing w:val="-4"/>
        </w:rPr>
        <w:t xml:space="preserve"> </w:t>
      </w:r>
      <w:r>
        <w:t>interested parties did not receive any information concerning what information was selected as "facts available"</w:t>
      </w:r>
      <w:r>
        <w:rPr>
          <w:spacing w:val="-7"/>
        </w:rPr>
        <w:t xml:space="preserve"> </w:t>
      </w:r>
      <w:r>
        <w:t>to</w:t>
      </w:r>
      <w:r>
        <w:rPr>
          <w:spacing w:val="-7"/>
        </w:rPr>
        <w:t xml:space="preserve"> </w:t>
      </w:r>
      <w:r>
        <w:t>calculate</w:t>
      </w:r>
      <w:r>
        <w:rPr>
          <w:spacing w:val="-6"/>
        </w:rPr>
        <w:t xml:space="preserve"> </w:t>
      </w:r>
      <w:r>
        <w:t>this</w:t>
      </w:r>
      <w:r>
        <w:rPr>
          <w:spacing w:val="-6"/>
        </w:rPr>
        <w:t xml:space="preserve"> </w:t>
      </w:r>
      <w:r>
        <w:t>margin</w:t>
      </w:r>
      <w:r>
        <w:rPr>
          <w:spacing w:val="-7"/>
        </w:rPr>
        <w:t xml:space="preserve"> </w:t>
      </w:r>
      <w:r>
        <w:t>and</w:t>
      </w:r>
      <w:r>
        <w:rPr>
          <w:spacing w:val="-6"/>
        </w:rPr>
        <w:t xml:space="preserve"> </w:t>
      </w:r>
      <w:r>
        <w:t>the</w:t>
      </w:r>
      <w:r>
        <w:rPr>
          <w:spacing w:val="-6"/>
        </w:rPr>
        <w:t xml:space="preserve"> </w:t>
      </w:r>
      <w:r>
        <w:t>basis</w:t>
      </w:r>
      <w:r>
        <w:rPr>
          <w:spacing w:val="-6"/>
        </w:rPr>
        <w:t xml:space="preserve"> </w:t>
      </w:r>
      <w:r>
        <w:t>for</w:t>
      </w:r>
      <w:r>
        <w:rPr>
          <w:spacing w:val="-6"/>
        </w:rPr>
        <w:t xml:space="preserve"> </w:t>
      </w:r>
      <w:r>
        <w:t>selecting</w:t>
      </w:r>
      <w:r>
        <w:rPr>
          <w:spacing w:val="-7"/>
        </w:rPr>
        <w:t xml:space="preserve"> </w:t>
      </w:r>
      <w:r>
        <w:t>these</w:t>
      </w:r>
      <w:r>
        <w:rPr>
          <w:spacing w:val="-6"/>
        </w:rPr>
        <w:t xml:space="preserve"> </w:t>
      </w:r>
      <w:r>
        <w:t>facts.</w:t>
      </w:r>
      <w:r>
        <w:rPr>
          <w:spacing w:val="-5"/>
        </w:rPr>
        <w:t xml:space="preserve"> </w:t>
      </w:r>
      <w:r>
        <w:t>It</w:t>
      </w:r>
      <w:r>
        <w:rPr>
          <w:spacing w:val="-6"/>
        </w:rPr>
        <w:t xml:space="preserve"> </w:t>
      </w:r>
      <w:r>
        <w:t>was</w:t>
      </w:r>
      <w:r>
        <w:rPr>
          <w:spacing w:val="-7"/>
        </w:rPr>
        <w:t xml:space="preserve"> </w:t>
      </w:r>
      <w:r>
        <w:t>impossible</w:t>
      </w:r>
      <w:r>
        <w:rPr>
          <w:spacing w:val="-5"/>
        </w:rPr>
        <w:t xml:space="preserve"> </w:t>
      </w:r>
      <w:r>
        <w:t>for</w:t>
      </w:r>
    </w:p>
    <w:p w14:paraId="51DE99D0" w14:textId="77777777" w:rsidR="0010369C" w:rsidRDefault="008E43AE">
      <w:pPr>
        <w:pStyle w:val="BodyText"/>
        <w:spacing w:before="6"/>
        <w:rPr>
          <w:sz w:val="20"/>
        </w:rPr>
      </w:pPr>
      <w:r>
        <w:pict w14:anchorId="51DEA86B">
          <v:rect id="docshape1380" o:spid="_x0000_s1094" style="position:absolute;margin-left:70.9pt;margin-top:13.75pt;width:2in;height:.8pt;z-index:-250694144;mso-wrap-distance-left:0;mso-wrap-distance-right:0;mso-position-horizontal-relative:page" fillcolor="black" stroked="f">
            <w10:wrap type="topAndBottom" anchorx="page"/>
          </v:rect>
        </w:pict>
      </w:r>
    </w:p>
    <w:p w14:paraId="51DE99D1" w14:textId="77777777" w:rsidR="0010369C" w:rsidRDefault="008E43AE">
      <w:pPr>
        <w:spacing w:before="109"/>
        <w:ind w:left="237" w:right="612"/>
        <w:jc w:val="both"/>
        <w:rPr>
          <w:sz w:val="18"/>
        </w:rPr>
      </w:pPr>
      <w:r>
        <w:rPr>
          <w:sz w:val="18"/>
          <w:vertAlign w:val="superscript"/>
        </w:rPr>
        <w:t>1151</w:t>
      </w:r>
      <w:r>
        <w:rPr>
          <w:spacing w:val="-11"/>
          <w:sz w:val="18"/>
        </w:rPr>
        <w:t xml:space="preserve"> </w:t>
      </w:r>
      <w:r>
        <w:rPr>
          <w:sz w:val="18"/>
        </w:rPr>
        <w:t>AGW</w:t>
      </w:r>
      <w:r>
        <w:rPr>
          <w:spacing w:val="-10"/>
          <w:sz w:val="18"/>
        </w:rPr>
        <w:t xml:space="preserve"> </w:t>
      </w:r>
      <w:r>
        <w:rPr>
          <w:sz w:val="18"/>
        </w:rPr>
        <w:t>Comments</w:t>
      </w:r>
      <w:r>
        <w:rPr>
          <w:spacing w:val="-10"/>
          <w:sz w:val="18"/>
        </w:rPr>
        <w:t xml:space="preserve"> </w:t>
      </w:r>
      <w:r>
        <w:rPr>
          <w:sz w:val="18"/>
        </w:rPr>
        <w:t>on</w:t>
      </w:r>
      <w:r>
        <w:rPr>
          <w:spacing w:val="-10"/>
          <w:sz w:val="18"/>
        </w:rPr>
        <w:t xml:space="preserve"> </w:t>
      </w:r>
      <w:r>
        <w:rPr>
          <w:sz w:val="18"/>
        </w:rPr>
        <w:t>the</w:t>
      </w:r>
      <w:r>
        <w:rPr>
          <w:spacing w:val="-10"/>
          <w:sz w:val="18"/>
        </w:rPr>
        <w:t xml:space="preserve"> </w:t>
      </w:r>
      <w:r>
        <w:rPr>
          <w:sz w:val="18"/>
        </w:rPr>
        <w:t>Final</w:t>
      </w:r>
      <w:r>
        <w:rPr>
          <w:spacing w:val="-11"/>
          <w:sz w:val="18"/>
        </w:rPr>
        <w:t xml:space="preserve"> </w:t>
      </w:r>
      <w:r>
        <w:rPr>
          <w:sz w:val="18"/>
        </w:rPr>
        <w:t>Disclosure</w:t>
      </w:r>
      <w:r>
        <w:rPr>
          <w:spacing w:val="-10"/>
          <w:sz w:val="18"/>
        </w:rPr>
        <w:t xml:space="preserve"> </w:t>
      </w:r>
      <w:r>
        <w:rPr>
          <w:sz w:val="18"/>
        </w:rPr>
        <w:t>(Exhibit</w:t>
      </w:r>
      <w:r>
        <w:rPr>
          <w:spacing w:val="-10"/>
          <w:sz w:val="18"/>
        </w:rPr>
        <w:t xml:space="preserve"> </w:t>
      </w:r>
      <w:r>
        <w:rPr>
          <w:sz w:val="18"/>
        </w:rPr>
        <w:t>AU</w:t>
      </w:r>
      <w:r>
        <w:rPr>
          <w:sz w:val="18"/>
        </w:rPr>
        <w:t>S‐97),</w:t>
      </w:r>
      <w:r>
        <w:rPr>
          <w:spacing w:val="-10"/>
          <w:sz w:val="18"/>
        </w:rPr>
        <w:t xml:space="preserve"> </w:t>
      </w:r>
      <w:r>
        <w:rPr>
          <w:sz w:val="18"/>
        </w:rPr>
        <w:t>pp.</w:t>
      </w:r>
      <w:r>
        <w:rPr>
          <w:spacing w:val="-10"/>
          <w:sz w:val="18"/>
        </w:rPr>
        <w:t xml:space="preserve"> </w:t>
      </w:r>
      <w:r>
        <w:rPr>
          <w:sz w:val="18"/>
        </w:rPr>
        <w:t>3,</w:t>
      </w:r>
      <w:r>
        <w:rPr>
          <w:spacing w:val="-10"/>
          <w:sz w:val="18"/>
        </w:rPr>
        <w:t xml:space="preserve"> </w:t>
      </w:r>
      <w:r>
        <w:rPr>
          <w:sz w:val="18"/>
        </w:rPr>
        <w:t>7;</w:t>
      </w:r>
      <w:r>
        <w:rPr>
          <w:spacing w:val="-11"/>
          <w:sz w:val="18"/>
        </w:rPr>
        <w:t xml:space="preserve"> </w:t>
      </w:r>
      <w:r>
        <w:rPr>
          <w:sz w:val="18"/>
        </w:rPr>
        <w:t>Swan</w:t>
      </w:r>
      <w:r>
        <w:rPr>
          <w:spacing w:val="-10"/>
          <w:sz w:val="18"/>
        </w:rPr>
        <w:t xml:space="preserve"> </w:t>
      </w:r>
      <w:r>
        <w:rPr>
          <w:sz w:val="18"/>
        </w:rPr>
        <w:t>Vintage</w:t>
      </w:r>
      <w:r>
        <w:rPr>
          <w:spacing w:val="-10"/>
          <w:sz w:val="18"/>
        </w:rPr>
        <w:t xml:space="preserve"> </w:t>
      </w:r>
      <w:r>
        <w:rPr>
          <w:sz w:val="18"/>
        </w:rPr>
        <w:t>Comments</w:t>
      </w:r>
      <w:r>
        <w:rPr>
          <w:spacing w:val="-10"/>
          <w:sz w:val="18"/>
        </w:rPr>
        <w:t xml:space="preserve"> </w:t>
      </w:r>
      <w:r>
        <w:rPr>
          <w:sz w:val="18"/>
        </w:rPr>
        <w:t>on</w:t>
      </w:r>
      <w:r>
        <w:rPr>
          <w:spacing w:val="-10"/>
          <w:sz w:val="18"/>
        </w:rPr>
        <w:t xml:space="preserve"> </w:t>
      </w:r>
      <w:r>
        <w:rPr>
          <w:sz w:val="18"/>
        </w:rPr>
        <w:t>the</w:t>
      </w:r>
      <w:r>
        <w:rPr>
          <w:spacing w:val="-10"/>
          <w:sz w:val="18"/>
        </w:rPr>
        <w:t xml:space="preserve"> </w:t>
      </w:r>
      <w:r>
        <w:rPr>
          <w:sz w:val="18"/>
        </w:rPr>
        <w:t>Final</w:t>
      </w:r>
      <w:r>
        <w:rPr>
          <w:spacing w:val="-11"/>
          <w:sz w:val="18"/>
        </w:rPr>
        <w:t xml:space="preserve"> </w:t>
      </w:r>
      <w:r>
        <w:rPr>
          <w:sz w:val="18"/>
        </w:rPr>
        <w:t>Disclosure</w:t>
      </w:r>
      <w:r>
        <w:rPr>
          <w:spacing w:val="-10"/>
          <w:sz w:val="18"/>
        </w:rPr>
        <w:t xml:space="preserve"> </w:t>
      </w:r>
      <w:r>
        <w:rPr>
          <w:sz w:val="18"/>
        </w:rPr>
        <w:t>(Exhibit AUS‐39), p. 1; Swan Vintage Comments on the Preliminary Determination (Exhibit AUS‐38), p. 1; Australian Government Comments on the Final Disclosure (Exhibit AUS‐96), p. 1.</w:t>
      </w:r>
    </w:p>
    <w:p w14:paraId="51DE99D2" w14:textId="77777777" w:rsidR="0010369C" w:rsidRDefault="008E43AE">
      <w:pPr>
        <w:spacing w:before="1"/>
        <w:ind w:left="238"/>
        <w:jc w:val="both"/>
        <w:rPr>
          <w:sz w:val="18"/>
        </w:rPr>
      </w:pPr>
      <w:r>
        <w:rPr>
          <w:sz w:val="18"/>
          <w:vertAlign w:val="superscript"/>
        </w:rPr>
        <w:t>1152</w:t>
      </w:r>
      <w:r>
        <w:rPr>
          <w:spacing w:val="-9"/>
          <w:sz w:val="18"/>
        </w:rPr>
        <w:t xml:space="preserve"> </w:t>
      </w:r>
      <w:r>
        <w:rPr>
          <w:sz w:val="18"/>
        </w:rPr>
        <w:t>Anti‐Dumping</w:t>
      </w:r>
      <w:r>
        <w:rPr>
          <w:spacing w:val="-9"/>
          <w:sz w:val="18"/>
        </w:rPr>
        <w:t xml:space="preserve"> </w:t>
      </w:r>
      <w:r>
        <w:rPr>
          <w:sz w:val="18"/>
        </w:rPr>
        <w:t>Final</w:t>
      </w:r>
      <w:r>
        <w:rPr>
          <w:spacing w:val="-9"/>
          <w:sz w:val="18"/>
        </w:rPr>
        <w:t xml:space="preserve"> </w:t>
      </w:r>
      <w:r>
        <w:rPr>
          <w:sz w:val="18"/>
        </w:rPr>
        <w:t>Determination</w:t>
      </w:r>
      <w:r>
        <w:rPr>
          <w:spacing w:val="-8"/>
          <w:sz w:val="18"/>
        </w:rPr>
        <w:t xml:space="preserve"> </w:t>
      </w:r>
      <w:r>
        <w:rPr>
          <w:sz w:val="18"/>
        </w:rPr>
        <w:t>(Exhibit</w:t>
      </w:r>
      <w:r>
        <w:rPr>
          <w:spacing w:val="-9"/>
          <w:sz w:val="18"/>
        </w:rPr>
        <w:t xml:space="preserve"> </w:t>
      </w:r>
      <w:r>
        <w:rPr>
          <w:sz w:val="18"/>
        </w:rPr>
        <w:t>AUS‐2),</w:t>
      </w:r>
      <w:r>
        <w:rPr>
          <w:spacing w:val="-10"/>
          <w:sz w:val="18"/>
        </w:rPr>
        <w:t xml:space="preserve"> </w:t>
      </w:r>
      <w:r>
        <w:rPr>
          <w:sz w:val="18"/>
        </w:rPr>
        <w:t>p.</w:t>
      </w:r>
      <w:r>
        <w:rPr>
          <w:spacing w:val="-9"/>
          <w:sz w:val="18"/>
        </w:rPr>
        <w:t xml:space="preserve"> </w:t>
      </w:r>
      <w:r>
        <w:rPr>
          <w:spacing w:val="-4"/>
          <w:sz w:val="18"/>
        </w:rPr>
        <w:t>100.</w:t>
      </w:r>
    </w:p>
    <w:p w14:paraId="51DE99D3" w14:textId="77777777" w:rsidR="0010369C" w:rsidRDefault="008E43AE">
      <w:pPr>
        <w:ind w:left="238"/>
        <w:jc w:val="both"/>
        <w:rPr>
          <w:sz w:val="18"/>
        </w:rPr>
      </w:pPr>
      <w:r>
        <w:rPr>
          <w:sz w:val="18"/>
          <w:vertAlign w:val="superscript"/>
        </w:rPr>
        <w:t>1153</w:t>
      </w:r>
      <w:r>
        <w:rPr>
          <w:spacing w:val="-9"/>
          <w:sz w:val="18"/>
        </w:rPr>
        <w:t xml:space="preserve"> </w:t>
      </w:r>
      <w:r>
        <w:rPr>
          <w:sz w:val="18"/>
        </w:rPr>
        <w:t>Anti‐D</w:t>
      </w:r>
      <w:r>
        <w:rPr>
          <w:sz w:val="18"/>
        </w:rPr>
        <w:t>umping</w:t>
      </w:r>
      <w:r>
        <w:rPr>
          <w:spacing w:val="-9"/>
          <w:sz w:val="18"/>
        </w:rPr>
        <w:t xml:space="preserve"> </w:t>
      </w:r>
      <w:r>
        <w:rPr>
          <w:sz w:val="18"/>
        </w:rPr>
        <w:t>Final</w:t>
      </w:r>
      <w:r>
        <w:rPr>
          <w:spacing w:val="-9"/>
          <w:sz w:val="18"/>
        </w:rPr>
        <w:t xml:space="preserve"> </w:t>
      </w:r>
      <w:r>
        <w:rPr>
          <w:sz w:val="18"/>
        </w:rPr>
        <w:t>Determination</w:t>
      </w:r>
      <w:r>
        <w:rPr>
          <w:spacing w:val="-8"/>
          <w:sz w:val="18"/>
        </w:rPr>
        <w:t xml:space="preserve"> </w:t>
      </w:r>
      <w:r>
        <w:rPr>
          <w:sz w:val="18"/>
        </w:rPr>
        <w:t>(Exhibit</w:t>
      </w:r>
      <w:r>
        <w:rPr>
          <w:spacing w:val="-9"/>
          <w:sz w:val="18"/>
        </w:rPr>
        <w:t xml:space="preserve"> </w:t>
      </w:r>
      <w:r>
        <w:rPr>
          <w:sz w:val="18"/>
        </w:rPr>
        <w:t>AUS‐2),</w:t>
      </w:r>
      <w:r>
        <w:rPr>
          <w:spacing w:val="-10"/>
          <w:sz w:val="18"/>
        </w:rPr>
        <w:t xml:space="preserve"> </w:t>
      </w:r>
      <w:r>
        <w:rPr>
          <w:sz w:val="18"/>
        </w:rPr>
        <w:t>p.</w:t>
      </w:r>
      <w:r>
        <w:rPr>
          <w:spacing w:val="-9"/>
          <w:sz w:val="18"/>
        </w:rPr>
        <w:t xml:space="preserve"> </w:t>
      </w:r>
      <w:r>
        <w:rPr>
          <w:spacing w:val="-5"/>
          <w:sz w:val="18"/>
        </w:rPr>
        <w:t>98.</w:t>
      </w:r>
    </w:p>
    <w:p w14:paraId="51DE99D4" w14:textId="77777777" w:rsidR="0010369C" w:rsidRDefault="0010369C">
      <w:pPr>
        <w:jc w:val="both"/>
        <w:rPr>
          <w:sz w:val="18"/>
        </w:rPr>
        <w:sectPr w:rsidR="0010369C">
          <w:pgSz w:w="11910" w:h="16840"/>
          <w:pgMar w:top="880" w:right="800" w:bottom="980" w:left="1180" w:header="569" w:footer="788" w:gutter="0"/>
          <w:cols w:space="720"/>
        </w:sectPr>
      </w:pPr>
    </w:p>
    <w:p w14:paraId="51DE99D5" w14:textId="77777777" w:rsidR="0010369C" w:rsidRDefault="008E43AE">
      <w:pPr>
        <w:tabs>
          <w:tab w:val="left" w:pos="6425"/>
        </w:tabs>
        <w:ind w:left="238"/>
        <w:rPr>
          <w:sz w:val="20"/>
        </w:rPr>
      </w:pPr>
      <w:r>
        <w:rPr>
          <w:i/>
          <w:sz w:val="20"/>
        </w:rPr>
        <w:lastRenderedPageBreak/>
        <w:t>China</w:t>
      </w:r>
      <w:r>
        <w:rPr>
          <w:i/>
          <w:spacing w:val="-5"/>
          <w:sz w:val="20"/>
        </w:rPr>
        <w:t xml:space="preserve"> </w:t>
      </w:r>
      <w:r>
        <w:rPr>
          <w:i/>
          <w:sz w:val="20"/>
        </w:rPr>
        <w:t>–</w:t>
      </w:r>
      <w:r>
        <w:rPr>
          <w:i/>
          <w:spacing w:val="-5"/>
          <w:sz w:val="20"/>
        </w:rPr>
        <w:t xml:space="preserve"> </w:t>
      </w:r>
      <w:r>
        <w:rPr>
          <w:i/>
          <w:sz w:val="20"/>
        </w:rPr>
        <w:t>Anti‐Dumping</w:t>
      </w:r>
      <w:r>
        <w:rPr>
          <w:i/>
          <w:spacing w:val="-4"/>
          <w:sz w:val="20"/>
        </w:rPr>
        <w:t xml:space="preserve"> </w:t>
      </w:r>
      <w:r>
        <w:rPr>
          <w:i/>
          <w:sz w:val="20"/>
        </w:rPr>
        <w:t>and</w:t>
      </w:r>
      <w:r>
        <w:rPr>
          <w:i/>
          <w:spacing w:val="-5"/>
          <w:sz w:val="20"/>
        </w:rPr>
        <w:t xml:space="preserve"> </w:t>
      </w:r>
      <w:r>
        <w:rPr>
          <w:i/>
          <w:sz w:val="20"/>
        </w:rPr>
        <w:t>Countervailing</w:t>
      </w:r>
      <w:r>
        <w:rPr>
          <w:i/>
          <w:spacing w:val="-5"/>
          <w:sz w:val="20"/>
        </w:rPr>
        <w:t xml:space="preserve"> </w:t>
      </w:r>
      <w:r>
        <w:rPr>
          <w:i/>
          <w:sz w:val="20"/>
        </w:rPr>
        <w:t>Duty</w:t>
      </w:r>
      <w:r>
        <w:rPr>
          <w:i/>
          <w:spacing w:val="-4"/>
          <w:sz w:val="20"/>
        </w:rPr>
        <w:t xml:space="preserve"> </w:t>
      </w:r>
      <w:r>
        <w:rPr>
          <w:i/>
          <w:spacing w:val="-2"/>
          <w:sz w:val="20"/>
        </w:rPr>
        <w:t>Measures</w:t>
      </w:r>
      <w:r>
        <w:rPr>
          <w:i/>
          <w:sz w:val="20"/>
        </w:rPr>
        <w:tab/>
      </w:r>
      <w:r>
        <w:rPr>
          <w:sz w:val="20"/>
        </w:rPr>
        <w:t>Australia's</w:t>
      </w:r>
      <w:r>
        <w:rPr>
          <w:spacing w:val="-7"/>
          <w:sz w:val="20"/>
        </w:rPr>
        <w:t xml:space="preserve"> </w:t>
      </w:r>
      <w:r>
        <w:rPr>
          <w:sz w:val="20"/>
        </w:rPr>
        <w:t>First</w:t>
      </w:r>
      <w:r>
        <w:rPr>
          <w:spacing w:val="-2"/>
          <w:sz w:val="20"/>
        </w:rPr>
        <w:t xml:space="preserve"> </w:t>
      </w:r>
      <w:r>
        <w:rPr>
          <w:sz w:val="20"/>
        </w:rPr>
        <w:t>Written</w:t>
      </w:r>
      <w:r>
        <w:rPr>
          <w:spacing w:val="-2"/>
          <w:sz w:val="20"/>
        </w:rPr>
        <w:t xml:space="preserve"> Submission</w:t>
      </w:r>
    </w:p>
    <w:p w14:paraId="51DE99D6" w14:textId="77777777" w:rsidR="0010369C" w:rsidRDefault="008E43AE">
      <w:pPr>
        <w:tabs>
          <w:tab w:val="left" w:pos="8227"/>
        </w:tabs>
        <w:spacing w:before="1"/>
        <w:ind w:left="239"/>
        <w:rPr>
          <w:sz w:val="20"/>
        </w:rPr>
      </w:pPr>
      <w:r>
        <w:rPr>
          <w:i/>
          <w:sz w:val="20"/>
        </w:rPr>
        <w:t>on</w:t>
      </w:r>
      <w:r>
        <w:rPr>
          <w:i/>
          <w:spacing w:val="-1"/>
          <w:sz w:val="20"/>
        </w:rPr>
        <w:t xml:space="preserve"> </w:t>
      </w:r>
      <w:r>
        <w:rPr>
          <w:i/>
          <w:sz w:val="20"/>
        </w:rPr>
        <w:t>Wine</w:t>
      </w:r>
      <w:r>
        <w:rPr>
          <w:i/>
          <w:spacing w:val="-1"/>
          <w:sz w:val="20"/>
        </w:rPr>
        <w:t xml:space="preserve"> </w:t>
      </w:r>
      <w:r>
        <w:rPr>
          <w:i/>
          <w:sz w:val="20"/>
        </w:rPr>
        <w:t>from</w:t>
      </w:r>
      <w:r>
        <w:rPr>
          <w:i/>
          <w:spacing w:val="-3"/>
          <w:sz w:val="20"/>
        </w:rPr>
        <w:t xml:space="preserve"> </w:t>
      </w:r>
      <w:r>
        <w:rPr>
          <w:i/>
          <w:sz w:val="20"/>
        </w:rPr>
        <w:t>Australia</w:t>
      </w:r>
      <w:r>
        <w:rPr>
          <w:i/>
          <w:spacing w:val="-1"/>
          <w:sz w:val="20"/>
        </w:rPr>
        <w:t xml:space="preserve"> </w:t>
      </w:r>
      <w:r>
        <w:rPr>
          <w:spacing w:val="-2"/>
          <w:sz w:val="20"/>
        </w:rPr>
        <w:t>(DS602)</w:t>
      </w:r>
      <w:r>
        <w:rPr>
          <w:sz w:val="20"/>
        </w:rPr>
        <w:tab/>
        <w:t>29</w:t>
      </w:r>
      <w:r>
        <w:rPr>
          <w:spacing w:val="-1"/>
          <w:sz w:val="20"/>
        </w:rPr>
        <w:t xml:space="preserve"> </w:t>
      </w:r>
      <w:r>
        <w:rPr>
          <w:sz w:val="20"/>
        </w:rPr>
        <w:t>April</w:t>
      </w:r>
      <w:r>
        <w:rPr>
          <w:spacing w:val="-2"/>
          <w:sz w:val="20"/>
        </w:rPr>
        <w:t xml:space="preserve"> </w:t>
      </w:r>
      <w:r>
        <w:rPr>
          <w:spacing w:val="-4"/>
          <w:sz w:val="20"/>
        </w:rPr>
        <w:t>2022</w:t>
      </w:r>
    </w:p>
    <w:p w14:paraId="51DE99D7" w14:textId="77777777" w:rsidR="0010369C" w:rsidRDefault="008E43AE">
      <w:pPr>
        <w:pStyle w:val="BodyText"/>
        <w:spacing w:before="34" w:line="360" w:lineRule="auto"/>
        <w:ind w:left="237"/>
      </w:pPr>
      <w:r>
        <w:t>the</w:t>
      </w:r>
      <w:r>
        <w:rPr>
          <w:spacing w:val="32"/>
        </w:rPr>
        <w:t xml:space="preserve"> </w:t>
      </w:r>
      <w:r>
        <w:t>interested</w:t>
      </w:r>
      <w:r>
        <w:rPr>
          <w:spacing w:val="32"/>
        </w:rPr>
        <w:t xml:space="preserve"> </w:t>
      </w:r>
      <w:r>
        <w:t>parties</w:t>
      </w:r>
      <w:r>
        <w:rPr>
          <w:spacing w:val="32"/>
        </w:rPr>
        <w:t xml:space="preserve"> </w:t>
      </w:r>
      <w:r>
        <w:t>to</w:t>
      </w:r>
      <w:r>
        <w:rPr>
          <w:spacing w:val="32"/>
        </w:rPr>
        <w:t xml:space="preserve"> </w:t>
      </w:r>
      <w:r>
        <w:t>even</w:t>
      </w:r>
      <w:r>
        <w:rPr>
          <w:spacing w:val="31"/>
        </w:rPr>
        <w:t xml:space="preserve"> </w:t>
      </w:r>
      <w:r>
        <w:t>speculate</w:t>
      </w:r>
      <w:r>
        <w:rPr>
          <w:spacing w:val="33"/>
        </w:rPr>
        <w:t xml:space="preserve"> </w:t>
      </w:r>
      <w:r>
        <w:t>on</w:t>
      </w:r>
      <w:r>
        <w:rPr>
          <w:spacing w:val="32"/>
        </w:rPr>
        <w:t xml:space="preserve"> </w:t>
      </w:r>
      <w:r>
        <w:t>the</w:t>
      </w:r>
      <w:r>
        <w:rPr>
          <w:spacing w:val="32"/>
        </w:rPr>
        <w:t xml:space="preserve"> </w:t>
      </w:r>
      <w:r>
        <w:t>basis</w:t>
      </w:r>
      <w:r>
        <w:rPr>
          <w:spacing w:val="32"/>
        </w:rPr>
        <w:t xml:space="preserve"> </w:t>
      </w:r>
      <w:r>
        <w:t>of</w:t>
      </w:r>
      <w:r>
        <w:rPr>
          <w:spacing w:val="32"/>
        </w:rPr>
        <w:t xml:space="preserve"> </w:t>
      </w:r>
      <w:r>
        <w:t>the</w:t>
      </w:r>
      <w:r>
        <w:rPr>
          <w:spacing w:val="32"/>
        </w:rPr>
        <w:t xml:space="preserve"> </w:t>
      </w:r>
      <w:r>
        <w:t>calculations,</w:t>
      </w:r>
      <w:r>
        <w:rPr>
          <w:spacing w:val="34"/>
        </w:rPr>
        <w:t xml:space="preserve"> </w:t>
      </w:r>
      <w:r>
        <w:t>as</w:t>
      </w:r>
      <w:r>
        <w:rPr>
          <w:spacing w:val="31"/>
        </w:rPr>
        <w:t xml:space="preserve"> </w:t>
      </w:r>
      <w:r>
        <w:t>the</w:t>
      </w:r>
      <w:r>
        <w:rPr>
          <w:spacing w:val="31"/>
        </w:rPr>
        <w:t xml:space="preserve"> </w:t>
      </w:r>
      <w:r>
        <w:t>rates</w:t>
      </w:r>
      <w:r>
        <w:rPr>
          <w:spacing w:val="31"/>
        </w:rPr>
        <w:t xml:space="preserve"> </w:t>
      </w:r>
      <w:r>
        <w:t>set appear to be entirely unrelated to the rates fixed for the sampled companies.</w:t>
      </w:r>
    </w:p>
    <w:p w14:paraId="51DE99D8" w14:textId="77777777" w:rsidR="0010369C" w:rsidRDefault="0010369C">
      <w:pPr>
        <w:pStyle w:val="BodyText"/>
        <w:spacing w:before="10"/>
        <w:rPr>
          <w:sz w:val="8"/>
        </w:rPr>
      </w:pPr>
    </w:p>
    <w:p w14:paraId="51DE99D9" w14:textId="77777777" w:rsidR="0010369C" w:rsidRDefault="008E43AE">
      <w:pPr>
        <w:pStyle w:val="BodyText"/>
        <w:spacing w:before="52" w:line="360" w:lineRule="auto"/>
        <w:ind w:left="237" w:right="614" w:firstLine="851"/>
        <w:jc w:val="both"/>
      </w:pPr>
      <w:r>
        <w:rPr>
          <w:noProof/>
        </w:rPr>
        <w:drawing>
          <wp:anchor distT="0" distB="0" distL="0" distR="0" simplePos="0" relativeHeight="251582976" behindDoc="1" locked="0" layoutInCell="1" allowOverlap="1" wp14:anchorId="51DEA86C" wp14:editId="51DEA86D">
            <wp:simplePos x="0" y="0"/>
            <wp:positionH relativeFrom="page">
              <wp:posOffset>902208</wp:posOffset>
            </wp:positionH>
            <wp:positionV relativeFrom="paragraph">
              <wp:posOffset>76785</wp:posOffset>
            </wp:positionV>
            <wp:extent cx="262127" cy="106679"/>
            <wp:effectExtent l="0" t="0" r="0" b="0"/>
            <wp:wrapNone/>
            <wp:docPr id="1937" name="image9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 name="image996.png"/>
                    <pic:cNvPicPr/>
                  </pic:nvPicPr>
                  <pic:blipFill>
                    <a:blip r:embed="rId1279" cstate="print"/>
                    <a:stretch>
                      <a:fillRect/>
                    </a:stretch>
                  </pic:blipFill>
                  <pic:spPr>
                    <a:xfrm>
                      <a:off x="0" y="0"/>
                      <a:ext cx="262127" cy="106679"/>
                    </a:xfrm>
                    <a:prstGeom prst="rect">
                      <a:avLst/>
                    </a:prstGeom>
                  </pic:spPr>
                </pic:pic>
              </a:graphicData>
            </a:graphic>
          </wp:anchor>
        </w:drawing>
      </w:r>
      <w:r>
        <w:t>Even if the information relied upon by MOFCOM was properly designated as confidential pursuant to Article 6.5, it should nonetheless</w:t>
      </w:r>
      <w:r>
        <w:t xml:space="preserve"> have been provided in a non‐ confidential form. It was used by MOFCOM in calculating the final dumping margin for the sampled companies, the other named Australian companies and the "All Others" category. It was therefore highly relevant for the intereste</w:t>
      </w:r>
      <w:r>
        <w:t>d parties to understand the final dumping margins and duties. It follows that MOFCOM's failure to provide this information prevented these parties from preparing presentations on the basis of this information and defending their interests.</w:t>
      </w:r>
    </w:p>
    <w:p w14:paraId="51DE99DA" w14:textId="77777777" w:rsidR="0010369C" w:rsidRDefault="008E43AE">
      <w:pPr>
        <w:pStyle w:val="ListParagraph"/>
        <w:numPr>
          <w:ilvl w:val="3"/>
          <w:numId w:val="75"/>
        </w:numPr>
        <w:tabs>
          <w:tab w:val="left" w:pos="3641"/>
          <w:tab w:val="left" w:pos="3643"/>
        </w:tabs>
        <w:spacing w:before="161"/>
        <w:ind w:hanging="854"/>
        <w:jc w:val="both"/>
        <w:rPr>
          <w:sz w:val="24"/>
        </w:rPr>
      </w:pPr>
      <w:r>
        <w:rPr>
          <w:sz w:val="24"/>
          <w:u w:val="single"/>
        </w:rPr>
        <w:t>Determination</w:t>
      </w:r>
      <w:r>
        <w:rPr>
          <w:spacing w:val="-7"/>
          <w:sz w:val="24"/>
          <w:u w:val="single"/>
        </w:rPr>
        <w:t xml:space="preserve"> </w:t>
      </w:r>
      <w:r>
        <w:rPr>
          <w:sz w:val="24"/>
          <w:u w:val="single"/>
        </w:rPr>
        <w:t>of</w:t>
      </w:r>
      <w:r>
        <w:rPr>
          <w:spacing w:val="-7"/>
          <w:sz w:val="24"/>
          <w:u w:val="single"/>
        </w:rPr>
        <w:t xml:space="preserve"> </w:t>
      </w:r>
      <w:r>
        <w:rPr>
          <w:sz w:val="24"/>
          <w:u w:val="single"/>
        </w:rPr>
        <w:t>injury</w:t>
      </w:r>
      <w:r>
        <w:rPr>
          <w:spacing w:val="-8"/>
          <w:sz w:val="24"/>
          <w:u w:val="single"/>
        </w:rPr>
        <w:t xml:space="preserve"> </w:t>
      </w:r>
      <w:r>
        <w:rPr>
          <w:sz w:val="24"/>
          <w:u w:val="single"/>
        </w:rPr>
        <w:t>and</w:t>
      </w:r>
      <w:r>
        <w:rPr>
          <w:spacing w:val="-7"/>
          <w:sz w:val="24"/>
          <w:u w:val="single"/>
        </w:rPr>
        <w:t xml:space="preserve"> </w:t>
      </w:r>
      <w:r>
        <w:rPr>
          <w:spacing w:val="-2"/>
          <w:sz w:val="24"/>
          <w:u w:val="single"/>
        </w:rPr>
        <w:t>causation</w:t>
      </w:r>
    </w:p>
    <w:p w14:paraId="51DE99DB" w14:textId="77777777" w:rsidR="0010369C" w:rsidRDefault="0010369C">
      <w:pPr>
        <w:pStyle w:val="BodyText"/>
        <w:spacing w:before="10"/>
        <w:rPr>
          <w:sz w:val="20"/>
        </w:rPr>
      </w:pPr>
    </w:p>
    <w:p w14:paraId="51DE99DC" w14:textId="77777777" w:rsidR="0010369C" w:rsidRDefault="008E43AE">
      <w:pPr>
        <w:pStyle w:val="BodyText"/>
        <w:spacing w:before="52" w:line="360" w:lineRule="auto"/>
        <w:ind w:left="237" w:right="612" w:firstLine="851"/>
        <w:jc w:val="both"/>
      </w:pPr>
      <w:r>
        <w:rPr>
          <w:noProof/>
        </w:rPr>
        <w:drawing>
          <wp:anchor distT="0" distB="0" distL="0" distR="0" simplePos="0" relativeHeight="251584000" behindDoc="1" locked="0" layoutInCell="1" allowOverlap="1" wp14:anchorId="51DEA86E" wp14:editId="51DEA86F">
            <wp:simplePos x="0" y="0"/>
            <wp:positionH relativeFrom="page">
              <wp:posOffset>902208</wp:posOffset>
            </wp:positionH>
            <wp:positionV relativeFrom="paragraph">
              <wp:posOffset>80595</wp:posOffset>
            </wp:positionV>
            <wp:extent cx="262127" cy="103631"/>
            <wp:effectExtent l="0" t="0" r="0" b="0"/>
            <wp:wrapNone/>
            <wp:docPr id="1939" name="image9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 name="image997.png"/>
                    <pic:cNvPicPr/>
                  </pic:nvPicPr>
                  <pic:blipFill>
                    <a:blip r:embed="rId1280" cstate="print"/>
                    <a:stretch>
                      <a:fillRect/>
                    </a:stretch>
                  </pic:blipFill>
                  <pic:spPr>
                    <a:xfrm>
                      <a:off x="0" y="0"/>
                      <a:ext cx="262127" cy="103631"/>
                    </a:xfrm>
                    <a:prstGeom prst="rect">
                      <a:avLst/>
                    </a:prstGeom>
                  </pic:spPr>
                </pic:pic>
              </a:graphicData>
            </a:graphic>
          </wp:anchor>
        </w:drawing>
      </w:r>
      <w:r>
        <w:t xml:space="preserve">MOFCOM failed to provide all non‐confidential information that was relevant and that was used in its determination of injury and causation, including the non‐confidential information related to the total production of the Chinese domestic industry and the </w:t>
      </w:r>
      <w:r>
        <w:t>proportion accounted for by the participating domestic producers. In addition, despite AGW requesting information concerning MOFCOM's determination of injury and causation,</w:t>
      </w:r>
      <w:r>
        <w:rPr>
          <w:vertAlign w:val="superscript"/>
        </w:rPr>
        <w:t>1154</w:t>
      </w:r>
      <w:r>
        <w:t xml:space="preserve"> MOFCOM failed to provide all non‐confidential information that was relevant to:</w:t>
      </w:r>
      <w:r>
        <w:t xml:space="preserve"> (i) the economic</w:t>
      </w:r>
      <w:r>
        <w:rPr>
          <w:spacing w:val="-14"/>
        </w:rPr>
        <w:t xml:space="preserve"> </w:t>
      </w:r>
      <w:r>
        <w:t>factors</w:t>
      </w:r>
      <w:r>
        <w:rPr>
          <w:spacing w:val="-14"/>
        </w:rPr>
        <w:t xml:space="preserve"> </w:t>
      </w:r>
      <w:r>
        <w:t>listed</w:t>
      </w:r>
      <w:r>
        <w:rPr>
          <w:spacing w:val="-14"/>
        </w:rPr>
        <w:t xml:space="preserve"> </w:t>
      </w:r>
      <w:r>
        <w:t>in</w:t>
      </w:r>
      <w:r>
        <w:rPr>
          <w:spacing w:val="-14"/>
        </w:rPr>
        <w:t xml:space="preserve"> </w:t>
      </w:r>
      <w:r>
        <w:t>Article</w:t>
      </w:r>
      <w:r>
        <w:rPr>
          <w:spacing w:val="-14"/>
        </w:rPr>
        <w:t xml:space="preserve"> </w:t>
      </w:r>
      <w:r>
        <w:t>3.4;</w:t>
      </w:r>
      <w:r>
        <w:rPr>
          <w:spacing w:val="-14"/>
        </w:rPr>
        <w:t xml:space="preserve"> </w:t>
      </w:r>
      <w:r>
        <w:t>(ii)</w:t>
      </w:r>
      <w:r>
        <w:rPr>
          <w:spacing w:val="-14"/>
        </w:rPr>
        <w:t xml:space="preserve"> </w:t>
      </w:r>
      <w:r>
        <w:t>the</w:t>
      </w:r>
      <w:r>
        <w:rPr>
          <w:spacing w:val="-14"/>
        </w:rPr>
        <w:t xml:space="preserve"> </w:t>
      </w:r>
      <w:r>
        <w:t>calculation</w:t>
      </w:r>
      <w:r>
        <w:rPr>
          <w:spacing w:val="-14"/>
        </w:rPr>
        <w:t xml:space="preserve"> </w:t>
      </w:r>
      <w:r>
        <w:t>of</w:t>
      </w:r>
      <w:r>
        <w:rPr>
          <w:spacing w:val="-14"/>
        </w:rPr>
        <w:t xml:space="preserve"> </w:t>
      </w:r>
      <w:r>
        <w:t>the</w:t>
      </w:r>
      <w:r>
        <w:rPr>
          <w:spacing w:val="-14"/>
        </w:rPr>
        <w:t xml:space="preserve"> </w:t>
      </w:r>
      <w:r>
        <w:t>import</w:t>
      </w:r>
      <w:r>
        <w:rPr>
          <w:spacing w:val="-14"/>
        </w:rPr>
        <w:t xml:space="preserve"> </w:t>
      </w:r>
      <w:r>
        <w:t>price</w:t>
      </w:r>
      <w:r>
        <w:rPr>
          <w:spacing w:val="-14"/>
        </w:rPr>
        <w:t xml:space="preserve"> </w:t>
      </w:r>
      <w:r>
        <w:t>for</w:t>
      </w:r>
      <w:r>
        <w:rPr>
          <w:spacing w:val="-13"/>
        </w:rPr>
        <w:t xml:space="preserve"> </w:t>
      </w:r>
      <w:r>
        <w:t>Australian</w:t>
      </w:r>
      <w:r>
        <w:rPr>
          <w:spacing w:val="-14"/>
        </w:rPr>
        <w:t xml:space="preserve"> </w:t>
      </w:r>
      <w:r>
        <w:t>wine;</w:t>
      </w:r>
    </w:p>
    <w:p w14:paraId="51DE99DD" w14:textId="77777777" w:rsidR="0010369C" w:rsidRDefault="008E43AE">
      <w:pPr>
        <w:pStyle w:val="BodyText"/>
        <w:spacing w:line="362" w:lineRule="auto"/>
        <w:ind w:left="238" w:right="612" w:hanging="1"/>
        <w:jc w:val="both"/>
      </w:pPr>
      <w:r>
        <w:t>(iii) the calculation of the factory price for domestic like products; and (iv) the calculation of the import price of non‐subject imports.</w:t>
      </w:r>
    </w:p>
    <w:p w14:paraId="51DE99DE" w14:textId="77777777" w:rsidR="0010369C" w:rsidRDefault="0010369C">
      <w:pPr>
        <w:pStyle w:val="BodyText"/>
        <w:spacing w:before="4"/>
        <w:rPr>
          <w:sz w:val="8"/>
        </w:rPr>
      </w:pPr>
    </w:p>
    <w:p w14:paraId="51DE99DF" w14:textId="77777777" w:rsidR="0010369C" w:rsidRDefault="008E43AE">
      <w:pPr>
        <w:pStyle w:val="BodyText"/>
        <w:spacing w:before="52" w:line="360" w:lineRule="auto"/>
        <w:ind w:left="237" w:right="613" w:firstLine="851"/>
        <w:jc w:val="both"/>
      </w:pPr>
      <w:r>
        <w:rPr>
          <w:noProof/>
        </w:rPr>
        <w:drawing>
          <wp:anchor distT="0" distB="0" distL="0" distR="0" simplePos="0" relativeHeight="251585024" behindDoc="1" locked="0" layoutInCell="1" allowOverlap="1" wp14:anchorId="51DEA870" wp14:editId="51DEA871">
            <wp:simplePos x="0" y="0"/>
            <wp:positionH relativeFrom="page">
              <wp:posOffset>902208</wp:posOffset>
            </wp:positionH>
            <wp:positionV relativeFrom="paragraph">
              <wp:posOffset>76785</wp:posOffset>
            </wp:positionV>
            <wp:extent cx="262127" cy="106679"/>
            <wp:effectExtent l="0" t="0" r="0" b="0"/>
            <wp:wrapNone/>
            <wp:docPr id="1941" name="image9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 name="image998.png"/>
                    <pic:cNvPicPr/>
                  </pic:nvPicPr>
                  <pic:blipFill>
                    <a:blip r:embed="rId1281" cstate="print"/>
                    <a:stretch>
                      <a:fillRect/>
                    </a:stretch>
                  </pic:blipFill>
                  <pic:spPr>
                    <a:xfrm>
                      <a:off x="0" y="0"/>
                      <a:ext cx="262127" cy="106679"/>
                    </a:xfrm>
                    <a:prstGeom prst="rect">
                      <a:avLst/>
                    </a:prstGeom>
                  </pic:spPr>
                </pic:pic>
              </a:graphicData>
            </a:graphic>
          </wp:anchor>
        </w:drawing>
      </w:r>
      <w:r>
        <w:t>MOF</w:t>
      </w:r>
      <w:r>
        <w:t>COM's failure to provide this information impeded the interested parties' capacity to understand and make submissions about whether MOFCOM correctly conducted an objective examination based on positive evidence regarding the impact of the allegedly dumped</w:t>
      </w:r>
      <w:r>
        <w:rPr>
          <w:spacing w:val="-2"/>
        </w:rPr>
        <w:t xml:space="preserve"> </w:t>
      </w:r>
      <w:r>
        <w:t>imports</w:t>
      </w:r>
      <w:r>
        <w:rPr>
          <w:spacing w:val="-2"/>
        </w:rPr>
        <w:t xml:space="preserve"> </w:t>
      </w:r>
      <w:r>
        <w:t>on</w:t>
      </w:r>
      <w:r>
        <w:rPr>
          <w:spacing w:val="-3"/>
        </w:rPr>
        <w:t xml:space="preserve"> </w:t>
      </w:r>
      <w:r>
        <w:t>the</w:t>
      </w:r>
      <w:r>
        <w:rPr>
          <w:spacing w:val="-2"/>
        </w:rPr>
        <w:t xml:space="preserve"> </w:t>
      </w:r>
      <w:r>
        <w:t>domestic</w:t>
      </w:r>
      <w:r>
        <w:rPr>
          <w:spacing w:val="-1"/>
        </w:rPr>
        <w:t xml:space="preserve"> </w:t>
      </w:r>
      <w:r>
        <w:t>industry,</w:t>
      </w:r>
      <w:r>
        <w:rPr>
          <w:spacing w:val="-2"/>
        </w:rPr>
        <w:t xml:space="preserve"> </w:t>
      </w:r>
      <w:r>
        <w:t>as</w:t>
      </w:r>
      <w:r>
        <w:rPr>
          <w:spacing w:val="-3"/>
        </w:rPr>
        <w:t xml:space="preserve"> </w:t>
      </w:r>
      <w:r>
        <w:t>required</w:t>
      </w:r>
      <w:r>
        <w:rPr>
          <w:spacing w:val="-3"/>
        </w:rPr>
        <w:t xml:space="preserve"> </w:t>
      </w:r>
      <w:r>
        <w:t>under</w:t>
      </w:r>
      <w:r>
        <w:rPr>
          <w:spacing w:val="-2"/>
        </w:rPr>
        <w:t xml:space="preserve"> </w:t>
      </w:r>
      <w:r>
        <w:t>Article</w:t>
      </w:r>
      <w:r>
        <w:rPr>
          <w:spacing w:val="-3"/>
        </w:rPr>
        <w:t xml:space="preserve"> </w:t>
      </w:r>
      <w:r>
        <w:t>3.1</w:t>
      </w:r>
      <w:r>
        <w:rPr>
          <w:spacing w:val="-3"/>
        </w:rPr>
        <w:t xml:space="preserve"> </w:t>
      </w:r>
      <w:r>
        <w:t>of</w:t>
      </w:r>
      <w:r>
        <w:rPr>
          <w:spacing w:val="-3"/>
        </w:rPr>
        <w:t xml:space="preserve"> </w:t>
      </w:r>
      <w:r>
        <w:t>the</w:t>
      </w:r>
      <w:r>
        <w:rPr>
          <w:spacing w:val="-2"/>
        </w:rPr>
        <w:t xml:space="preserve"> </w:t>
      </w:r>
      <w:r>
        <w:t xml:space="preserve">Anti‐Dumping </w:t>
      </w:r>
      <w:r>
        <w:rPr>
          <w:spacing w:val="-2"/>
        </w:rPr>
        <w:t>Agreement.</w:t>
      </w:r>
    </w:p>
    <w:p w14:paraId="51DE99E0" w14:textId="77777777" w:rsidR="0010369C" w:rsidRDefault="0010369C">
      <w:pPr>
        <w:pStyle w:val="BodyText"/>
        <w:spacing w:before="11"/>
        <w:rPr>
          <w:sz w:val="8"/>
        </w:rPr>
      </w:pPr>
    </w:p>
    <w:p w14:paraId="51DE99E1" w14:textId="77777777" w:rsidR="0010369C" w:rsidRDefault="008E43AE">
      <w:pPr>
        <w:pStyle w:val="BodyText"/>
        <w:spacing w:before="52" w:line="360" w:lineRule="auto"/>
        <w:ind w:left="238" w:firstLine="851"/>
      </w:pPr>
      <w:r>
        <w:rPr>
          <w:noProof/>
        </w:rPr>
        <w:drawing>
          <wp:anchor distT="0" distB="0" distL="0" distR="0" simplePos="0" relativeHeight="251586048" behindDoc="1" locked="0" layoutInCell="1" allowOverlap="1" wp14:anchorId="51DEA872" wp14:editId="51DEA873">
            <wp:simplePos x="0" y="0"/>
            <wp:positionH relativeFrom="page">
              <wp:posOffset>902208</wp:posOffset>
            </wp:positionH>
            <wp:positionV relativeFrom="paragraph">
              <wp:posOffset>81949</wp:posOffset>
            </wp:positionV>
            <wp:extent cx="262127" cy="100753"/>
            <wp:effectExtent l="0" t="0" r="0" b="0"/>
            <wp:wrapNone/>
            <wp:docPr id="1943" name="image9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 name="image999.png"/>
                    <pic:cNvPicPr/>
                  </pic:nvPicPr>
                  <pic:blipFill>
                    <a:blip r:embed="rId1282" cstate="print"/>
                    <a:stretch>
                      <a:fillRect/>
                    </a:stretch>
                  </pic:blipFill>
                  <pic:spPr>
                    <a:xfrm>
                      <a:off x="0" y="0"/>
                      <a:ext cx="262127" cy="100753"/>
                    </a:xfrm>
                    <a:prstGeom prst="rect">
                      <a:avLst/>
                    </a:prstGeom>
                  </pic:spPr>
                </pic:pic>
              </a:graphicData>
            </a:graphic>
          </wp:anchor>
        </w:drawing>
      </w:r>
      <w:r>
        <w:t>MOFCOM</w:t>
      </w:r>
      <w:r>
        <w:rPr>
          <w:spacing w:val="-5"/>
        </w:rPr>
        <w:t xml:space="preserve"> </w:t>
      </w:r>
      <w:r>
        <w:t>was</w:t>
      </w:r>
      <w:r>
        <w:rPr>
          <w:spacing w:val="-5"/>
        </w:rPr>
        <w:t xml:space="preserve"> </w:t>
      </w:r>
      <w:r>
        <w:t>required</w:t>
      </w:r>
      <w:r>
        <w:rPr>
          <w:spacing w:val="-6"/>
        </w:rPr>
        <w:t xml:space="preserve"> </w:t>
      </w:r>
      <w:r>
        <w:t>to</w:t>
      </w:r>
      <w:r>
        <w:rPr>
          <w:spacing w:val="-5"/>
        </w:rPr>
        <w:t xml:space="preserve"> </w:t>
      </w:r>
      <w:r>
        <w:t>provide</w:t>
      </w:r>
      <w:r>
        <w:rPr>
          <w:spacing w:val="-4"/>
        </w:rPr>
        <w:t xml:space="preserve"> </w:t>
      </w:r>
      <w:r>
        <w:t>all</w:t>
      </w:r>
      <w:r>
        <w:rPr>
          <w:spacing w:val="-5"/>
        </w:rPr>
        <w:t xml:space="preserve"> </w:t>
      </w:r>
      <w:r>
        <w:t>non‐confidential</w:t>
      </w:r>
      <w:r>
        <w:rPr>
          <w:spacing w:val="-5"/>
        </w:rPr>
        <w:t xml:space="preserve"> </w:t>
      </w:r>
      <w:r>
        <w:t>information</w:t>
      </w:r>
      <w:r>
        <w:rPr>
          <w:spacing w:val="-4"/>
        </w:rPr>
        <w:t xml:space="preserve"> </w:t>
      </w:r>
      <w:r>
        <w:t>connected</w:t>
      </w:r>
      <w:r>
        <w:rPr>
          <w:spacing w:val="-5"/>
        </w:rPr>
        <w:t xml:space="preserve"> </w:t>
      </w:r>
      <w:r>
        <w:t>to</w:t>
      </w:r>
      <w:r>
        <w:rPr>
          <w:spacing w:val="-5"/>
        </w:rPr>
        <w:t xml:space="preserve"> </w:t>
      </w:r>
      <w:r>
        <w:t>the economic</w:t>
      </w:r>
      <w:r>
        <w:rPr>
          <w:spacing w:val="73"/>
        </w:rPr>
        <w:t xml:space="preserve"> </w:t>
      </w:r>
      <w:r>
        <w:t>factors</w:t>
      </w:r>
      <w:r>
        <w:rPr>
          <w:spacing w:val="72"/>
        </w:rPr>
        <w:t xml:space="preserve"> </w:t>
      </w:r>
      <w:r>
        <w:t>listed</w:t>
      </w:r>
      <w:r>
        <w:rPr>
          <w:spacing w:val="73"/>
        </w:rPr>
        <w:t xml:space="preserve"> </w:t>
      </w:r>
      <w:r>
        <w:t>in</w:t>
      </w:r>
      <w:r>
        <w:rPr>
          <w:spacing w:val="72"/>
        </w:rPr>
        <w:t xml:space="preserve"> </w:t>
      </w:r>
      <w:r>
        <w:t>Article</w:t>
      </w:r>
      <w:r>
        <w:rPr>
          <w:spacing w:val="71"/>
        </w:rPr>
        <w:t xml:space="preserve"> </w:t>
      </w:r>
      <w:r>
        <w:t>3.4.</w:t>
      </w:r>
      <w:r>
        <w:rPr>
          <w:vertAlign w:val="superscript"/>
        </w:rPr>
        <w:t>1155</w:t>
      </w:r>
      <w:r>
        <w:rPr>
          <w:spacing w:val="73"/>
        </w:rPr>
        <w:t xml:space="preserve"> </w:t>
      </w:r>
      <w:r>
        <w:t>When</w:t>
      </w:r>
      <w:r>
        <w:rPr>
          <w:spacing w:val="72"/>
        </w:rPr>
        <w:t xml:space="preserve"> </w:t>
      </w:r>
      <w:r>
        <w:t>read</w:t>
      </w:r>
      <w:r>
        <w:rPr>
          <w:spacing w:val="72"/>
        </w:rPr>
        <w:t xml:space="preserve"> </w:t>
      </w:r>
      <w:r>
        <w:t>with</w:t>
      </w:r>
      <w:r>
        <w:rPr>
          <w:spacing w:val="72"/>
        </w:rPr>
        <w:t xml:space="preserve"> </w:t>
      </w:r>
      <w:r>
        <w:t>Article</w:t>
      </w:r>
      <w:r>
        <w:rPr>
          <w:spacing w:val="72"/>
        </w:rPr>
        <w:t xml:space="preserve"> </w:t>
      </w:r>
      <w:r>
        <w:t>3.1,</w:t>
      </w:r>
      <w:r>
        <w:rPr>
          <w:spacing w:val="74"/>
        </w:rPr>
        <w:t xml:space="preserve"> </w:t>
      </w:r>
      <w:r>
        <w:t>this</w:t>
      </w:r>
      <w:r>
        <w:rPr>
          <w:spacing w:val="72"/>
        </w:rPr>
        <w:t xml:space="preserve"> </w:t>
      </w:r>
      <w:r>
        <w:rPr>
          <w:spacing w:val="-2"/>
        </w:rPr>
        <w:t>obligation</w:t>
      </w:r>
    </w:p>
    <w:p w14:paraId="51DE99E2" w14:textId="77777777" w:rsidR="0010369C" w:rsidRDefault="0010369C">
      <w:pPr>
        <w:pStyle w:val="BodyText"/>
        <w:rPr>
          <w:sz w:val="20"/>
        </w:rPr>
      </w:pPr>
    </w:p>
    <w:p w14:paraId="51DE99E3" w14:textId="77777777" w:rsidR="0010369C" w:rsidRDefault="008E43AE">
      <w:pPr>
        <w:pStyle w:val="BodyText"/>
        <w:spacing w:before="4"/>
        <w:rPr>
          <w:sz w:val="23"/>
        </w:rPr>
      </w:pPr>
      <w:r>
        <w:pict w14:anchorId="51DEA874">
          <v:rect id="docshape1381" o:spid="_x0000_s1093" style="position:absolute;margin-left:70.9pt;margin-top:15.45pt;width:2in;height:.8pt;z-index:-250693120;mso-wrap-distance-left:0;mso-wrap-distance-right:0;mso-position-horizontal-relative:page" fillcolor="black" stroked="f">
            <w10:wrap type="topAndBottom" anchorx="page"/>
          </v:rect>
        </w:pict>
      </w:r>
    </w:p>
    <w:p w14:paraId="51DE99E4" w14:textId="77777777" w:rsidR="0010369C" w:rsidRDefault="008E43AE">
      <w:pPr>
        <w:spacing w:before="109"/>
        <w:ind w:left="237"/>
        <w:rPr>
          <w:sz w:val="18"/>
        </w:rPr>
      </w:pPr>
      <w:r>
        <w:rPr>
          <w:sz w:val="18"/>
          <w:vertAlign w:val="superscript"/>
        </w:rPr>
        <w:t>1154</w:t>
      </w:r>
      <w:r>
        <w:rPr>
          <w:sz w:val="18"/>
        </w:rPr>
        <w:t xml:space="preserve"> AGW Comments on Anti‐Dumping Final Disclosure (Exhibit AUS‐16), pp. 5, 7, 23; AGW Comments on the Preliminary</w:t>
      </w:r>
      <w:r>
        <w:rPr>
          <w:spacing w:val="80"/>
          <w:sz w:val="18"/>
        </w:rPr>
        <w:t xml:space="preserve"> </w:t>
      </w:r>
      <w:r>
        <w:rPr>
          <w:sz w:val="18"/>
        </w:rPr>
        <w:t>Determination (Exhibit AUS‐69), pp. 2, 10, 14.</w:t>
      </w:r>
    </w:p>
    <w:p w14:paraId="51DE99E5" w14:textId="77777777" w:rsidR="0010369C" w:rsidRDefault="008E43AE">
      <w:pPr>
        <w:spacing w:line="219" w:lineRule="exact"/>
        <w:ind w:left="238"/>
        <w:rPr>
          <w:sz w:val="18"/>
        </w:rPr>
      </w:pPr>
      <w:r>
        <w:rPr>
          <w:sz w:val="18"/>
          <w:vertAlign w:val="superscript"/>
        </w:rPr>
        <w:t>1155</w:t>
      </w:r>
      <w:r>
        <w:rPr>
          <w:spacing w:val="-5"/>
          <w:sz w:val="18"/>
        </w:rPr>
        <w:t xml:space="preserve"> </w:t>
      </w:r>
      <w:r>
        <w:rPr>
          <w:sz w:val="18"/>
        </w:rPr>
        <w:t>Appellate</w:t>
      </w:r>
      <w:r>
        <w:rPr>
          <w:spacing w:val="-5"/>
          <w:sz w:val="18"/>
        </w:rPr>
        <w:t xml:space="preserve"> </w:t>
      </w:r>
      <w:r>
        <w:rPr>
          <w:sz w:val="18"/>
        </w:rPr>
        <w:t>Body</w:t>
      </w:r>
      <w:r>
        <w:rPr>
          <w:spacing w:val="-7"/>
          <w:sz w:val="18"/>
        </w:rPr>
        <w:t xml:space="preserve"> </w:t>
      </w:r>
      <w:r>
        <w:rPr>
          <w:sz w:val="18"/>
        </w:rPr>
        <w:t>Report,</w:t>
      </w:r>
      <w:r>
        <w:rPr>
          <w:spacing w:val="-5"/>
          <w:sz w:val="18"/>
        </w:rPr>
        <w:t xml:space="preserve"> </w:t>
      </w:r>
      <w:r>
        <w:rPr>
          <w:i/>
          <w:sz w:val="18"/>
        </w:rPr>
        <w:t>EC</w:t>
      </w:r>
      <w:r>
        <w:rPr>
          <w:i/>
          <w:spacing w:val="-6"/>
          <w:sz w:val="18"/>
        </w:rPr>
        <w:t xml:space="preserve"> </w:t>
      </w:r>
      <w:r>
        <w:rPr>
          <w:i/>
          <w:sz w:val="18"/>
        </w:rPr>
        <w:t>–</w:t>
      </w:r>
      <w:r>
        <w:rPr>
          <w:i/>
          <w:spacing w:val="-4"/>
          <w:sz w:val="18"/>
        </w:rPr>
        <w:t xml:space="preserve"> </w:t>
      </w:r>
      <w:r>
        <w:rPr>
          <w:i/>
          <w:sz w:val="18"/>
        </w:rPr>
        <w:t>Tube</w:t>
      </w:r>
      <w:r>
        <w:rPr>
          <w:i/>
          <w:spacing w:val="-5"/>
          <w:sz w:val="18"/>
        </w:rPr>
        <w:t xml:space="preserve"> </w:t>
      </w:r>
      <w:r>
        <w:rPr>
          <w:i/>
          <w:sz w:val="18"/>
        </w:rPr>
        <w:t>or</w:t>
      </w:r>
      <w:r>
        <w:rPr>
          <w:i/>
          <w:spacing w:val="-6"/>
          <w:sz w:val="18"/>
        </w:rPr>
        <w:t xml:space="preserve"> </w:t>
      </w:r>
      <w:r>
        <w:rPr>
          <w:i/>
          <w:sz w:val="18"/>
        </w:rPr>
        <w:t>Pipe</w:t>
      </w:r>
      <w:r>
        <w:rPr>
          <w:i/>
          <w:spacing w:val="-5"/>
          <w:sz w:val="18"/>
        </w:rPr>
        <w:t xml:space="preserve"> </w:t>
      </w:r>
      <w:r>
        <w:rPr>
          <w:i/>
          <w:sz w:val="18"/>
        </w:rPr>
        <w:t>Fittings</w:t>
      </w:r>
      <w:r>
        <w:rPr>
          <w:sz w:val="18"/>
        </w:rPr>
        <w:t>,</w:t>
      </w:r>
      <w:r>
        <w:rPr>
          <w:spacing w:val="-6"/>
          <w:sz w:val="18"/>
        </w:rPr>
        <w:t xml:space="preserve"> </w:t>
      </w:r>
      <w:r>
        <w:rPr>
          <w:sz w:val="18"/>
        </w:rPr>
        <w:t>para.</w:t>
      </w:r>
      <w:r>
        <w:rPr>
          <w:spacing w:val="-5"/>
          <w:sz w:val="18"/>
        </w:rPr>
        <w:t xml:space="preserve"> </w:t>
      </w:r>
      <w:r>
        <w:rPr>
          <w:spacing w:val="-4"/>
          <w:sz w:val="18"/>
        </w:rPr>
        <w:t>146.</w:t>
      </w:r>
    </w:p>
    <w:p w14:paraId="51DE99E6" w14:textId="77777777" w:rsidR="0010369C" w:rsidRDefault="0010369C">
      <w:pPr>
        <w:spacing w:line="219" w:lineRule="exact"/>
        <w:rPr>
          <w:sz w:val="18"/>
        </w:rPr>
        <w:sectPr w:rsidR="0010369C">
          <w:pgSz w:w="11910" w:h="16840"/>
          <w:pgMar w:top="880" w:right="800" w:bottom="980" w:left="1180" w:header="569" w:footer="788" w:gutter="0"/>
          <w:cols w:space="720"/>
        </w:sectPr>
      </w:pPr>
    </w:p>
    <w:p w14:paraId="51DE99E7" w14:textId="77777777" w:rsidR="0010369C" w:rsidRDefault="008E43AE">
      <w:pPr>
        <w:tabs>
          <w:tab w:val="left" w:pos="6425"/>
        </w:tabs>
        <w:ind w:left="238"/>
        <w:jc w:val="both"/>
        <w:rPr>
          <w:sz w:val="20"/>
        </w:rPr>
      </w:pPr>
      <w:r>
        <w:rPr>
          <w:i/>
          <w:sz w:val="20"/>
        </w:rPr>
        <w:lastRenderedPageBreak/>
        <w:t>China</w:t>
      </w:r>
      <w:r>
        <w:rPr>
          <w:i/>
          <w:spacing w:val="-5"/>
          <w:sz w:val="20"/>
        </w:rPr>
        <w:t xml:space="preserve"> </w:t>
      </w:r>
      <w:r>
        <w:rPr>
          <w:i/>
          <w:sz w:val="20"/>
        </w:rPr>
        <w:t>–</w:t>
      </w:r>
      <w:r>
        <w:rPr>
          <w:i/>
          <w:spacing w:val="-5"/>
          <w:sz w:val="20"/>
        </w:rPr>
        <w:t xml:space="preserve"> </w:t>
      </w:r>
      <w:r>
        <w:rPr>
          <w:i/>
          <w:sz w:val="20"/>
        </w:rPr>
        <w:t>Anti‐Dumping</w:t>
      </w:r>
      <w:r>
        <w:rPr>
          <w:i/>
          <w:spacing w:val="-4"/>
          <w:sz w:val="20"/>
        </w:rPr>
        <w:t xml:space="preserve"> </w:t>
      </w:r>
      <w:r>
        <w:rPr>
          <w:i/>
          <w:sz w:val="20"/>
        </w:rPr>
        <w:t>and</w:t>
      </w:r>
      <w:r>
        <w:rPr>
          <w:i/>
          <w:spacing w:val="-5"/>
          <w:sz w:val="20"/>
        </w:rPr>
        <w:t xml:space="preserve"> </w:t>
      </w:r>
      <w:r>
        <w:rPr>
          <w:i/>
          <w:sz w:val="20"/>
        </w:rPr>
        <w:t>Countervailing</w:t>
      </w:r>
      <w:r>
        <w:rPr>
          <w:i/>
          <w:spacing w:val="-5"/>
          <w:sz w:val="20"/>
        </w:rPr>
        <w:t xml:space="preserve"> </w:t>
      </w:r>
      <w:r>
        <w:rPr>
          <w:i/>
          <w:sz w:val="20"/>
        </w:rPr>
        <w:t>Duty</w:t>
      </w:r>
      <w:r>
        <w:rPr>
          <w:i/>
          <w:spacing w:val="-4"/>
          <w:sz w:val="20"/>
        </w:rPr>
        <w:t xml:space="preserve"> </w:t>
      </w:r>
      <w:r>
        <w:rPr>
          <w:i/>
          <w:spacing w:val="-2"/>
          <w:sz w:val="20"/>
        </w:rPr>
        <w:t>Measures</w:t>
      </w:r>
      <w:r>
        <w:rPr>
          <w:i/>
          <w:sz w:val="20"/>
        </w:rPr>
        <w:tab/>
      </w:r>
      <w:r>
        <w:rPr>
          <w:sz w:val="20"/>
        </w:rPr>
        <w:t>Australia's</w:t>
      </w:r>
      <w:r>
        <w:rPr>
          <w:spacing w:val="-7"/>
          <w:sz w:val="20"/>
        </w:rPr>
        <w:t xml:space="preserve"> </w:t>
      </w:r>
      <w:r>
        <w:rPr>
          <w:sz w:val="20"/>
        </w:rPr>
        <w:t>First</w:t>
      </w:r>
      <w:r>
        <w:rPr>
          <w:spacing w:val="-2"/>
          <w:sz w:val="20"/>
        </w:rPr>
        <w:t xml:space="preserve"> </w:t>
      </w:r>
      <w:r>
        <w:rPr>
          <w:sz w:val="20"/>
        </w:rPr>
        <w:t>Written</w:t>
      </w:r>
      <w:r>
        <w:rPr>
          <w:spacing w:val="-2"/>
          <w:sz w:val="20"/>
        </w:rPr>
        <w:t xml:space="preserve"> Submission</w:t>
      </w:r>
    </w:p>
    <w:p w14:paraId="51DE99E8" w14:textId="77777777" w:rsidR="0010369C" w:rsidRDefault="008E43AE">
      <w:pPr>
        <w:tabs>
          <w:tab w:val="left" w:pos="8227"/>
        </w:tabs>
        <w:spacing w:before="1"/>
        <w:ind w:left="239"/>
        <w:jc w:val="both"/>
        <w:rPr>
          <w:sz w:val="20"/>
        </w:rPr>
      </w:pPr>
      <w:r>
        <w:rPr>
          <w:i/>
          <w:sz w:val="20"/>
        </w:rPr>
        <w:t>on</w:t>
      </w:r>
      <w:r>
        <w:rPr>
          <w:i/>
          <w:spacing w:val="-1"/>
          <w:sz w:val="20"/>
        </w:rPr>
        <w:t xml:space="preserve"> </w:t>
      </w:r>
      <w:r>
        <w:rPr>
          <w:i/>
          <w:sz w:val="20"/>
        </w:rPr>
        <w:t>Wine</w:t>
      </w:r>
      <w:r>
        <w:rPr>
          <w:i/>
          <w:spacing w:val="-1"/>
          <w:sz w:val="20"/>
        </w:rPr>
        <w:t xml:space="preserve"> </w:t>
      </w:r>
      <w:r>
        <w:rPr>
          <w:i/>
          <w:sz w:val="20"/>
        </w:rPr>
        <w:t>from</w:t>
      </w:r>
      <w:r>
        <w:rPr>
          <w:i/>
          <w:spacing w:val="-3"/>
          <w:sz w:val="20"/>
        </w:rPr>
        <w:t xml:space="preserve"> </w:t>
      </w:r>
      <w:r>
        <w:rPr>
          <w:i/>
          <w:sz w:val="20"/>
        </w:rPr>
        <w:t>Australia</w:t>
      </w:r>
      <w:r>
        <w:rPr>
          <w:i/>
          <w:spacing w:val="-1"/>
          <w:sz w:val="20"/>
        </w:rPr>
        <w:t xml:space="preserve"> </w:t>
      </w:r>
      <w:r>
        <w:rPr>
          <w:spacing w:val="-2"/>
          <w:sz w:val="20"/>
        </w:rPr>
        <w:t>(DS602)</w:t>
      </w:r>
      <w:r>
        <w:rPr>
          <w:sz w:val="20"/>
        </w:rPr>
        <w:tab/>
        <w:t>29</w:t>
      </w:r>
      <w:r>
        <w:rPr>
          <w:spacing w:val="-1"/>
          <w:sz w:val="20"/>
        </w:rPr>
        <w:t xml:space="preserve"> </w:t>
      </w:r>
      <w:r>
        <w:rPr>
          <w:sz w:val="20"/>
        </w:rPr>
        <w:t>April</w:t>
      </w:r>
      <w:r>
        <w:rPr>
          <w:spacing w:val="-2"/>
          <w:sz w:val="20"/>
        </w:rPr>
        <w:t xml:space="preserve"> </w:t>
      </w:r>
      <w:r>
        <w:rPr>
          <w:spacing w:val="-4"/>
          <w:sz w:val="20"/>
        </w:rPr>
        <w:t>2022</w:t>
      </w:r>
    </w:p>
    <w:p w14:paraId="51DE99E9" w14:textId="77777777" w:rsidR="0010369C" w:rsidRDefault="008E43AE">
      <w:pPr>
        <w:pStyle w:val="BodyText"/>
        <w:spacing w:before="34" w:line="360" w:lineRule="auto"/>
        <w:ind w:left="237" w:right="612" w:firstLine="1"/>
        <w:jc w:val="both"/>
      </w:pPr>
      <w:r>
        <w:t>necessitates "positive evidence" with "wide‐ranging information concerning the relevant economic</w:t>
      </w:r>
      <w:r>
        <w:rPr>
          <w:spacing w:val="-5"/>
        </w:rPr>
        <w:t xml:space="preserve"> </w:t>
      </w:r>
      <w:r>
        <w:t>factors</w:t>
      </w:r>
      <w:r>
        <w:rPr>
          <w:spacing w:val="-5"/>
        </w:rPr>
        <w:t xml:space="preserve"> </w:t>
      </w:r>
      <w:r>
        <w:t>in</w:t>
      </w:r>
      <w:r>
        <w:rPr>
          <w:spacing w:val="-5"/>
        </w:rPr>
        <w:t xml:space="preserve"> </w:t>
      </w:r>
      <w:r>
        <w:t>order</w:t>
      </w:r>
      <w:r>
        <w:rPr>
          <w:spacing w:val="-4"/>
        </w:rPr>
        <w:t xml:space="preserve"> </w:t>
      </w:r>
      <w:r>
        <w:t>to</w:t>
      </w:r>
      <w:r>
        <w:rPr>
          <w:spacing w:val="-5"/>
        </w:rPr>
        <w:t xml:space="preserve"> </w:t>
      </w:r>
      <w:r>
        <w:t>ensure</w:t>
      </w:r>
      <w:r>
        <w:rPr>
          <w:spacing w:val="-5"/>
        </w:rPr>
        <w:t xml:space="preserve"> </w:t>
      </w:r>
      <w:r>
        <w:t>the</w:t>
      </w:r>
      <w:r>
        <w:rPr>
          <w:spacing w:val="-4"/>
        </w:rPr>
        <w:t xml:space="preserve"> </w:t>
      </w:r>
      <w:r>
        <w:t>accuracy</w:t>
      </w:r>
      <w:r>
        <w:rPr>
          <w:spacing w:val="-6"/>
        </w:rPr>
        <w:t xml:space="preserve"> </w:t>
      </w:r>
      <w:r>
        <w:t>of</w:t>
      </w:r>
      <w:r>
        <w:rPr>
          <w:spacing w:val="-5"/>
        </w:rPr>
        <w:t xml:space="preserve"> </w:t>
      </w:r>
      <w:r>
        <w:t>the</w:t>
      </w:r>
      <w:r>
        <w:rPr>
          <w:spacing w:val="-4"/>
        </w:rPr>
        <w:t xml:space="preserve"> </w:t>
      </w:r>
      <w:r>
        <w:t>investigation</w:t>
      </w:r>
      <w:r>
        <w:rPr>
          <w:spacing w:val="-4"/>
        </w:rPr>
        <w:t xml:space="preserve"> </w:t>
      </w:r>
      <w:r>
        <w:t>concerning</w:t>
      </w:r>
      <w:r>
        <w:rPr>
          <w:spacing w:val="-5"/>
        </w:rPr>
        <w:t xml:space="preserve"> </w:t>
      </w:r>
      <w:r>
        <w:t>the</w:t>
      </w:r>
      <w:r>
        <w:rPr>
          <w:spacing w:val="-4"/>
        </w:rPr>
        <w:t xml:space="preserve"> </w:t>
      </w:r>
      <w:r>
        <w:t>relevant economic</w:t>
      </w:r>
      <w:r>
        <w:rPr>
          <w:spacing w:val="-6"/>
        </w:rPr>
        <w:t xml:space="preserve"> </w:t>
      </w:r>
      <w:r>
        <w:t>factors".</w:t>
      </w:r>
      <w:r>
        <w:rPr>
          <w:vertAlign w:val="superscript"/>
        </w:rPr>
        <w:t>1156</w:t>
      </w:r>
      <w:r>
        <w:rPr>
          <w:spacing w:val="-14"/>
        </w:rPr>
        <w:t xml:space="preserve"> </w:t>
      </w:r>
      <w:r>
        <w:t>MOFCOM considered</w:t>
      </w:r>
      <w:r>
        <w:rPr>
          <w:spacing w:val="-1"/>
        </w:rPr>
        <w:t xml:space="preserve"> </w:t>
      </w:r>
      <w:r>
        <w:t>16</w:t>
      </w:r>
      <w:r>
        <w:rPr>
          <w:spacing w:val="-1"/>
        </w:rPr>
        <w:t xml:space="preserve"> </w:t>
      </w:r>
      <w:r>
        <w:t>factors to assess the impact</w:t>
      </w:r>
      <w:r>
        <w:rPr>
          <w:spacing w:val="-1"/>
        </w:rPr>
        <w:t xml:space="preserve"> </w:t>
      </w:r>
      <w:r>
        <w:t>o</w:t>
      </w:r>
      <w:r>
        <w:t>f the "dumped" products on domestic industry.</w:t>
      </w:r>
      <w:r>
        <w:rPr>
          <w:vertAlign w:val="superscript"/>
        </w:rPr>
        <w:t>1157</w:t>
      </w:r>
      <w:r>
        <w:t xml:space="preserve"> For the factors it did consider, MOFCOM's consideration merely</w:t>
      </w:r>
      <w:r>
        <w:rPr>
          <w:spacing w:val="-6"/>
        </w:rPr>
        <w:t xml:space="preserve"> </w:t>
      </w:r>
      <w:r>
        <w:t>consists</w:t>
      </w:r>
      <w:r>
        <w:rPr>
          <w:spacing w:val="-6"/>
        </w:rPr>
        <w:t xml:space="preserve"> </w:t>
      </w:r>
      <w:r>
        <w:t>of</w:t>
      </w:r>
      <w:r>
        <w:rPr>
          <w:spacing w:val="-6"/>
        </w:rPr>
        <w:t xml:space="preserve"> </w:t>
      </w:r>
      <w:r>
        <w:t>a</w:t>
      </w:r>
      <w:r>
        <w:rPr>
          <w:spacing w:val="-5"/>
        </w:rPr>
        <w:t xml:space="preserve"> </w:t>
      </w:r>
      <w:r>
        <w:t>conclusive</w:t>
      </w:r>
      <w:r>
        <w:rPr>
          <w:spacing w:val="-5"/>
        </w:rPr>
        <w:t xml:space="preserve"> </w:t>
      </w:r>
      <w:r>
        <w:t>statement</w:t>
      </w:r>
      <w:r>
        <w:rPr>
          <w:spacing w:val="-6"/>
        </w:rPr>
        <w:t xml:space="preserve"> </w:t>
      </w:r>
      <w:r>
        <w:t>coupled</w:t>
      </w:r>
      <w:r>
        <w:rPr>
          <w:spacing w:val="-6"/>
        </w:rPr>
        <w:t xml:space="preserve"> </w:t>
      </w:r>
      <w:r>
        <w:t>with</w:t>
      </w:r>
      <w:r>
        <w:rPr>
          <w:spacing w:val="-6"/>
        </w:rPr>
        <w:t xml:space="preserve"> </w:t>
      </w:r>
      <w:r>
        <w:t>data</w:t>
      </w:r>
      <w:r>
        <w:rPr>
          <w:spacing w:val="-3"/>
        </w:rPr>
        <w:t xml:space="preserve"> </w:t>
      </w:r>
      <w:r>
        <w:t>of</w:t>
      </w:r>
      <w:r>
        <w:rPr>
          <w:spacing w:val="-6"/>
        </w:rPr>
        <w:t xml:space="preserve"> </w:t>
      </w:r>
      <w:r>
        <w:t>an</w:t>
      </w:r>
      <w:r>
        <w:rPr>
          <w:spacing w:val="-7"/>
        </w:rPr>
        <w:t xml:space="preserve"> </w:t>
      </w:r>
      <w:r>
        <w:t>unknown</w:t>
      </w:r>
      <w:r>
        <w:rPr>
          <w:spacing w:val="-6"/>
        </w:rPr>
        <w:t xml:space="preserve"> </w:t>
      </w:r>
      <w:r>
        <w:t>origin.</w:t>
      </w:r>
      <w:r>
        <w:rPr>
          <w:spacing w:val="-5"/>
        </w:rPr>
        <w:t xml:space="preserve"> </w:t>
      </w:r>
      <w:r>
        <w:t>There</w:t>
      </w:r>
      <w:r>
        <w:rPr>
          <w:spacing w:val="-5"/>
        </w:rPr>
        <w:t xml:space="preserve"> </w:t>
      </w:r>
      <w:r>
        <w:t>was no</w:t>
      </w:r>
      <w:r>
        <w:rPr>
          <w:spacing w:val="-4"/>
        </w:rPr>
        <w:t xml:space="preserve"> </w:t>
      </w:r>
      <w:r>
        <w:t>disclosure</w:t>
      </w:r>
      <w:r>
        <w:rPr>
          <w:spacing w:val="-3"/>
        </w:rPr>
        <w:t xml:space="preserve"> </w:t>
      </w:r>
      <w:r>
        <w:t>to</w:t>
      </w:r>
      <w:r>
        <w:rPr>
          <w:spacing w:val="-5"/>
        </w:rPr>
        <w:t xml:space="preserve"> </w:t>
      </w:r>
      <w:r>
        <w:t>the</w:t>
      </w:r>
      <w:r>
        <w:rPr>
          <w:spacing w:val="-4"/>
        </w:rPr>
        <w:t xml:space="preserve"> </w:t>
      </w:r>
      <w:r>
        <w:t>interested</w:t>
      </w:r>
      <w:r>
        <w:rPr>
          <w:spacing w:val="-6"/>
        </w:rPr>
        <w:t xml:space="preserve"> </w:t>
      </w:r>
      <w:r>
        <w:t>parties</w:t>
      </w:r>
      <w:r>
        <w:rPr>
          <w:spacing w:val="-5"/>
        </w:rPr>
        <w:t xml:space="preserve"> </w:t>
      </w:r>
      <w:r>
        <w:t>of</w:t>
      </w:r>
      <w:r>
        <w:rPr>
          <w:spacing w:val="-5"/>
        </w:rPr>
        <w:t xml:space="preserve"> </w:t>
      </w:r>
      <w:r>
        <w:t>the</w:t>
      </w:r>
      <w:r>
        <w:rPr>
          <w:spacing w:val="-4"/>
        </w:rPr>
        <w:t xml:space="preserve"> </w:t>
      </w:r>
      <w:r>
        <w:t>sources</w:t>
      </w:r>
      <w:r>
        <w:rPr>
          <w:spacing w:val="-5"/>
        </w:rPr>
        <w:t xml:space="preserve"> </w:t>
      </w:r>
      <w:r>
        <w:t>for</w:t>
      </w:r>
      <w:r>
        <w:rPr>
          <w:spacing w:val="-5"/>
        </w:rPr>
        <w:t xml:space="preserve"> </w:t>
      </w:r>
      <w:r>
        <w:t>this</w:t>
      </w:r>
      <w:r>
        <w:rPr>
          <w:spacing w:val="-5"/>
        </w:rPr>
        <w:t xml:space="preserve"> </w:t>
      </w:r>
      <w:r>
        <w:t>data,</w:t>
      </w:r>
      <w:r>
        <w:rPr>
          <w:spacing w:val="-5"/>
        </w:rPr>
        <w:t xml:space="preserve"> </w:t>
      </w:r>
      <w:r>
        <w:t>which</w:t>
      </w:r>
      <w:r>
        <w:rPr>
          <w:spacing w:val="-5"/>
        </w:rPr>
        <w:t xml:space="preserve"> </w:t>
      </w:r>
      <w:r>
        <w:t>deprived</w:t>
      </w:r>
      <w:r>
        <w:rPr>
          <w:spacing w:val="-5"/>
        </w:rPr>
        <w:t xml:space="preserve"> </w:t>
      </w:r>
      <w:r>
        <w:t>the</w:t>
      </w:r>
      <w:r>
        <w:rPr>
          <w:spacing w:val="-4"/>
        </w:rPr>
        <w:t xml:space="preserve"> </w:t>
      </w:r>
      <w:r>
        <w:t>parties of</w:t>
      </w:r>
      <w:r>
        <w:rPr>
          <w:spacing w:val="-2"/>
        </w:rPr>
        <w:t xml:space="preserve"> </w:t>
      </w:r>
      <w:r>
        <w:t>the</w:t>
      </w:r>
      <w:r>
        <w:rPr>
          <w:spacing w:val="-1"/>
        </w:rPr>
        <w:t xml:space="preserve"> </w:t>
      </w:r>
      <w:r>
        <w:t>opportunities</w:t>
      </w:r>
      <w:r>
        <w:rPr>
          <w:spacing w:val="-1"/>
        </w:rPr>
        <w:t xml:space="preserve"> </w:t>
      </w:r>
      <w:r>
        <w:t>to</w:t>
      </w:r>
      <w:r>
        <w:rPr>
          <w:spacing w:val="-1"/>
        </w:rPr>
        <w:t xml:space="preserve"> </w:t>
      </w:r>
      <w:r>
        <w:t>make</w:t>
      </w:r>
      <w:r>
        <w:rPr>
          <w:spacing w:val="-1"/>
        </w:rPr>
        <w:t xml:space="preserve"> </w:t>
      </w:r>
      <w:r>
        <w:t>submissions</w:t>
      </w:r>
      <w:r>
        <w:rPr>
          <w:spacing w:val="-1"/>
        </w:rPr>
        <w:t xml:space="preserve"> </w:t>
      </w:r>
      <w:r>
        <w:t>on</w:t>
      </w:r>
      <w:r>
        <w:rPr>
          <w:spacing w:val="-2"/>
        </w:rPr>
        <w:t xml:space="preserve"> </w:t>
      </w:r>
      <w:r>
        <w:t>the</w:t>
      </w:r>
      <w:r>
        <w:rPr>
          <w:spacing w:val="-1"/>
        </w:rPr>
        <w:t xml:space="preserve"> </w:t>
      </w:r>
      <w:r>
        <w:t>accuracy</w:t>
      </w:r>
      <w:r>
        <w:rPr>
          <w:spacing w:val="-1"/>
        </w:rPr>
        <w:t xml:space="preserve"> </w:t>
      </w:r>
      <w:r>
        <w:t>and</w:t>
      </w:r>
      <w:r>
        <w:rPr>
          <w:spacing w:val="-2"/>
        </w:rPr>
        <w:t xml:space="preserve"> </w:t>
      </w:r>
      <w:r>
        <w:t>relevance</w:t>
      </w:r>
      <w:r>
        <w:rPr>
          <w:spacing w:val="-1"/>
        </w:rPr>
        <w:t xml:space="preserve"> </w:t>
      </w:r>
      <w:r>
        <w:t>of</w:t>
      </w:r>
      <w:r>
        <w:rPr>
          <w:spacing w:val="-2"/>
        </w:rPr>
        <w:t xml:space="preserve"> </w:t>
      </w:r>
      <w:r>
        <w:t>that</w:t>
      </w:r>
      <w:r>
        <w:rPr>
          <w:spacing w:val="-2"/>
        </w:rPr>
        <w:t xml:space="preserve"> </w:t>
      </w:r>
      <w:r>
        <w:t>information. The mere statement of conclusions omits any information concerning the objective analysis MOFCOM allegedly engaged</w:t>
      </w:r>
      <w:r>
        <w:t xml:space="preserve"> on each index. It also falls far short of the "wide‐ranging information" threshold established in WTO jurisprudence.</w:t>
      </w:r>
      <w:r>
        <w:rPr>
          <w:vertAlign w:val="superscript"/>
        </w:rPr>
        <w:t>1158</w:t>
      </w:r>
    </w:p>
    <w:p w14:paraId="51DE99EA" w14:textId="77777777" w:rsidR="0010369C" w:rsidRDefault="0010369C">
      <w:pPr>
        <w:pStyle w:val="BodyText"/>
        <w:spacing w:before="10"/>
        <w:rPr>
          <w:sz w:val="8"/>
        </w:rPr>
      </w:pPr>
    </w:p>
    <w:p w14:paraId="51DE99EB" w14:textId="77777777" w:rsidR="0010369C" w:rsidRDefault="008E43AE">
      <w:pPr>
        <w:pStyle w:val="BodyText"/>
        <w:spacing w:before="53" w:line="360" w:lineRule="auto"/>
        <w:ind w:left="236" w:right="613" w:firstLine="13"/>
        <w:jc w:val="both"/>
      </w:pPr>
      <w:r>
        <w:rPr>
          <w:noProof/>
        </w:rPr>
        <w:drawing>
          <wp:inline distT="0" distB="0" distL="0" distR="0" wp14:anchorId="51DEA875" wp14:editId="51DEA876">
            <wp:extent cx="332231" cy="109727"/>
            <wp:effectExtent l="0" t="0" r="0" b="0"/>
            <wp:docPr id="1945" name="image1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 name="image1000.png"/>
                    <pic:cNvPicPr/>
                  </pic:nvPicPr>
                  <pic:blipFill>
                    <a:blip r:embed="rId1283" cstate="print"/>
                    <a:stretch>
                      <a:fillRect/>
                    </a:stretch>
                  </pic:blipFill>
                  <pic:spPr>
                    <a:xfrm>
                      <a:off x="0" y="0"/>
                      <a:ext cx="332231" cy="109727"/>
                    </a:xfrm>
                    <a:prstGeom prst="rect">
                      <a:avLst/>
                    </a:prstGeom>
                  </pic:spPr>
                </pic:pic>
              </a:graphicData>
            </a:graphic>
          </wp:inline>
        </w:drawing>
      </w:r>
      <w:r>
        <w:rPr>
          <w:rFonts w:ascii="Times New Roman" w:hAnsi="Times New Roman"/>
          <w:spacing w:val="80"/>
          <w:position w:val="1"/>
          <w:sz w:val="20"/>
        </w:rPr>
        <w:t xml:space="preserve">  </w:t>
      </w:r>
      <w:r>
        <w:rPr>
          <w:position w:val="1"/>
        </w:rPr>
        <w:t xml:space="preserve">In relation to the calculation of the average import price for Australian wine, as set </w:t>
      </w:r>
      <w:r>
        <w:t>out above,</w:t>
      </w:r>
      <w:r>
        <w:rPr>
          <w:vertAlign w:val="superscript"/>
        </w:rPr>
        <w:t>1159</w:t>
      </w:r>
      <w:r>
        <w:t xml:space="preserve"> MOFCOM failed to provide all</w:t>
      </w:r>
      <w:r>
        <w:t xml:space="preserve"> non‐confidential</w:t>
      </w:r>
      <w:r>
        <w:rPr>
          <w:spacing w:val="-1"/>
        </w:rPr>
        <w:t xml:space="preserve"> </w:t>
      </w:r>
      <w:r>
        <w:t>information concerning:</w:t>
      </w:r>
      <w:r>
        <w:rPr>
          <w:spacing w:val="-1"/>
        </w:rPr>
        <w:t xml:space="preserve"> </w:t>
      </w:r>
      <w:r>
        <w:t>(i) the methodology</w:t>
      </w:r>
      <w:r>
        <w:rPr>
          <w:spacing w:val="-1"/>
        </w:rPr>
        <w:t xml:space="preserve"> </w:t>
      </w:r>
      <w:r>
        <w:t>it</w:t>
      </w:r>
      <w:r>
        <w:rPr>
          <w:spacing w:val="-1"/>
        </w:rPr>
        <w:t xml:space="preserve"> </w:t>
      </w:r>
      <w:r>
        <w:t>adopted</w:t>
      </w:r>
      <w:r>
        <w:rPr>
          <w:spacing w:val="-3"/>
        </w:rPr>
        <w:t xml:space="preserve"> </w:t>
      </w:r>
      <w:r>
        <w:t>to</w:t>
      </w:r>
      <w:r>
        <w:rPr>
          <w:spacing w:val="-1"/>
        </w:rPr>
        <w:t xml:space="preserve"> </w:t>
      </w:r>
      <w:r>
        <w:t>calculate</w:t>
      </w:r>
      <w:r>
        <w:rPr>
          <w:spacing w:val="-2"/>
        </w:rPr>
        <w:t xml:space="preserve"> </w:t>
      </w:r>
      <w:r>
        <w:t>the</w:t>
      </w:r>
      <w:r>
        <w:rPr>
          <w:spacing w:val="-1"/>
        </w:rPr>
        <w:t xml:space="preserve"> </w:t>
      </w:r>
      <w:r>
        <w:t>average</w:t>
      </w:r>
      <w:r>
        <w:rPr>
          <w:spacing w:val="-2"/>
        </w:rPr>
        <w:t xml:space="preserve"> </w:t>
      </w:r>
      <w:r>
        <w:t>import</w:t>
      </w:r>
      <w:r>
        <w:rPr>
          <w:spacing w:val="-1"/>
        </w:rPr>
        <w:t xml:space="preserve"> </w:t>
      </w:r>
      <w:r>
        <w:t>price;</w:t>
      </w:r>
      <w:r>
        <w:rPr>
          <w:spacing w:val="-1"/>
        </w:rPr>
        <w:t xml:space="preserve"> </w:t>
      </w:r>
      <w:r>
        <w:t>(ii)</w:t>
      </w:r>
      <w:r>
        <w:rPr>
          <w:spacing w:val="-1"/>
        </w:rPr>
        <w:t xml:space="preserve"> </w:t>
      </w:r>
      <w:r>
        <w:t>the</w:t>
      </w:r>
      <w:r>
        <w:rPr>
          <w:spacing w:val="-1"/>
        </w:rPr>
        <w:t xml:space="preserve"> </w:t>
      </w:r>
      <w:r>
        <w:t>value</w:t>
      </w:r>
      <w:r>
        <w:rPr>
          <w:spacing w:val="-1"/>
        </w:rPr>
        <w:t xml:space="preserve"> </w:t>
      </w:r>
      <w:r>
        <w:t>of</w:t>
      </w:r>
      <w:r>
        <w:rPr>
          <w:spacing w:val="-2"/>
        </w:rPr>
        <w:t xml:space="preserve"> </w:t>
      </w:r>
      <w:r>
        <w:t>adjustments</w:t>
      </w:r>
      <w:r>
        <w:rPr>
          <w:spacing w:val="-2"/>
        </w:rPr>
        <w:t xml:space="preserve"> </w:t>
      </w:r>
      <w:r>
        <w:t>it applied during the calculation process; and (iii) the CIF price data, exchange rate, tariff rate and customs clearance costs it relied upon. In the Final Determination, MOFCOM stated that the import price for subject imports was "[b]ased on the CIF pric</w:t>
      </w:r>
      <w:r>
        <w:t>e of the dumped imported product</w:t>
      </w:r>
      <w:r>
        <w:rPr>
          <w:spacing w:val="-12"/>
        </w:rPr>
        <w:t xml:space="preserve"> </w:t>
      </w:r>
      <w:r>
        <w:t>provided</w:t>
      </w:r>
      <w:r>
        <w:rPr>
          <w:spacing w:val="-12"/>
        </w:rPr>
        <w:t xml:space="preserve"> </w:t>
      </w:r>
      <w:r>
        <w:t>by</w:t>
      </w:r>
      <w:r>
        <w:rPr>
          <w:spacing w:val="-12"/>
        </w:rPr>
        <w:t xml:space="preserve"> </w:t>
      </w:r>
      <w:r>
        <w:t>China</w:t>
      </w:r>
      <w:r>
        <w:rPr>
          <w:spacing w:val="-12"/>
        </w:rPr>
        <w:t xml:space="preserve"> </w:t>
      </w:r>
      <w:r>
        <w:t>Customs",</w:t>
      </w:r>
      <w:r>
        <w:rPr>
          <w:spacing w:val="-11"/>
        </w:rPr>
        <w:t xml:space="preserve"> </w:t>
      </w:r>
      <w:r>
        <w:t>with</w:t>
      </w:r>
      <w:r>
        <w:rPr>
          <w:spacing w:val="-12"/>
        </w:rPr>
        <w:t xml:space="preserve"> </w:t>
      </w:r>
      <w:r>
        <w:t>adjustments</w:t>
      </w:r>
      <w:r>
        <w:rPr>
          <w:spacing w:val="-12"/>
        </w:rPr>
        <w:t xml:space="preserve"> </w:t>
      </w:r>
      <w:r>
        <w:t>applied</w:t>
      </w:r>
      <w:r>
        <w:rPr>
          <w:spacing w:val="-12"/>
        </w:rPr>
        <w:t xml:space="preserve"> </w:t>
      </w:r>
      <w:r>
        <w:t>for</w:t>
      </w:r>
      <w:r>
        <w:rPr>
          <w:spacing w:val="-13"/>
        </w:rPr>
        <w:t xml:space="preserve"> </w:t>
      </w:r>
      <w:r>
        <w:t>exchange</w:t>
      </w:r>
      <w:r>
        <w:rPr>
          <w:spacing w:val="-12"/>
        </w:rPr>
        <w:t xml:space="preserve"> </w:t>
      </w:r>
      <w:r>
        <w:t>rates,</w:t>
      </w:r>
      <w:r>
        <w:rPr>
          <w:spacing w:val="-12"/>
        </w:rPr>
        <w:t xml:space="preserve"> </w:t>
      </w:r>
      <w:r>
        <w:t>tariff</w:t>
      </w:r>
      <w:r>
        <w:rPr>
          <w:spacing w:val="-12"/>
        </w:rPr>
        <w:t xml:space="preserve"> </w:t>
      </w:r>
      <w:r>
        <w:t>rates and customs clearance costs.</w:t>
      </w:r>
      <w:r>
        <w:rPr>
          <w:vertAlign w:val="superscript"/>
        </w:rPr>
        <w:t>1160</w:t>
      </w:r>
      <w:r>
        <w:t xml:space="preserve"> MOFCOM then provided yearly average unit values that it asserted</w:t>
      </w:r>
      <w:r>
        <w:rPr>
          <w:spacing w:val="-10"/>
        </w:rPr>
        <w:t xml:space="preserve"> </w:t>
      </w:r>
      <w:r>
        <w:t>were</w:t>
      </w:r>
      <w:r>
        <w:rPr>
          <w:spacing w:val="-10"/>
        </w:rPr>
        <w:t xml:space="preserve"> </w:t>
      </w:r>
      <w:r>
        <w:t>the</w:t>
      </w:r>
      <w:r>
        <w:rPr>
          <w:spacing w:val="-9"/>
        </w:rPr>
        <w:t xml:space="preserve"> </w:t>
      </w:r>
      <w:r>
        <w:t>import</w:t>
      </w:r>
      <w:r>
        <w:rPr>
          <w:spacing w:val="-9"/>
        </w:rPr>
        <w:t xml:space="preserve"> </w:t>
      </w:r>
      <w:r>
        <w:t>price</w:t>
      </w:r>
      <w:r>
        <w:rPr>
          <w:spacing w:val="-9"/>
        </w:rPr>
        <w:t xml:space="preserve"> </w:t>
      </w:r>
      <w:r>
        <w:t>for</w:t>
      </w:r>
      <w:r>
        <w:rPr>
          <w:spacing w:val="-9"/>
        </w:rPr>
        <w:t xml:space="preserve"> </w:t>
      </w:r>
      <w:r>
        <w:t>Australian</w:t>
      </w:r>
      <w:r>
        <w:rPr>
          <w:spacing w:val="-11"/>
        </w:rPr>
        <w:t xml:space="preserve"> </w:t>
      </w:r>
      <w:r>
        <w:t>wi</w:t>
      </w:r>
      <w:r>
        <w:t>ne.</w:t>
      </w:r>
      <w:r>
        <w:rPr>
          <w:spacing w:val="-9"/>
        </w:rPr>
        <w:t xml:space="preserve"> </w:t>
      </w:r>
      <w:r>
        <w:t>These</w:t>
      </w:r>
      <w:r>
        <w:rPr>
          <w:spacing w:val="-9"/>
        </w:rPr>
        <w:t xml:space="preserve"> </w:t>
      </w:r>
      <w:r>
        <w:t>average</w:t>
      </w:r>
      <w:r>
        <w:rPr>
          <w:spacing w:val="-9"/>
        </w:rPr>
        <w:t xml:space="preserve"> </w:t>
      </w:r>
      <w:r>
        <w:t>prices</w:t>
      </w:r>
      <w:r>
        <w:rPr>
          <w:spacing w:val="-10"/>
        </w:rPr>
        <w:t xml:space="preserve"> </w:t>
      </w:r>
      <w:r>
        <w:t>clearly</w:t>
      </w:r>
      <w:r>
        <w:rPr>
          <w:spacing w:val="-10"/>
        </w:rPr>
        <w:t xml:space="preserve"> </w:t>
      </w:r>
      <w:r>
        <w:t>resulted</w:t>
      </w:r>
      <w:r>
        <w:rPr>
          <w:spacing w:val="-11"/>
        </w:rPr>
        <w:t xml:space="preserve"> </w:t>
      </w:r>
      <w:r>
        <w:t>from some form of calculation. MOFCOM did not provide information about the pre‐adjustment CIF price used as the base for its calculation or the adjustment figures it applied.</w:t>
      </w:r>
      <w:r>
        <w:rPr>
          <w:vertAlign w:val="superscript"/>
        </w:rPr>
        <w:t>1161</w:t>
      </w:r>
      <w:r>
        <w:t xml:space="preserve"> No information was provided about </w:t>
      </w:r>
      <w:r>
        <w:t>adjustments that are by their nature non‐confidential, such as exchange rates, tariff rates, customs clearance costs and the monthly average exchange rate published by the People's Bank of China. The failure to provide this non‐confidential information pre</w:t>
      </w:r>
      <w:r>
        <w:t>vented interested parties from being able to understand and prepare submissions on the calculation of CIF price and the final import price.</w:t>
      </w:r>
    </w:p>
    <w:p w14:paraId="51DE99EC" w14:textId="77777777" w:rsidR="0010369C" w:rsidRDefault="0010369C">
      <w:pPr>
        <w:pStyle w:val="BodyText"/>
        <w:rPr>
          <w:sz w:val="20"/>
        </w:rPr>
      </w:pPr>
    </w:p>
    <w:p w14:paraId="51DE99ED" w14:textId="77777777" w:rsidR="0010369C" w:rsidRDefault="0010369C">
      <w:pPr>
        <w:pStyle w:val="BodyText"/>
        <w:rPr>
          <w:sz w:val="20"/>
        </w:rPr>
      </w:pPr>
    </w:p>
    <w:p w14:paraId="51DE99EE" w14:textId="77777777" w:rsidR="0010369C" w:rsidRDefault="0010369C">
      <w:pPr>
        <w:pStyle w:val="BodyText"/>
        <w:rPr>
          <w:sz w:val="20"/>
        </w:rPr>
      </w:pPr>
    </w:p>
    <w:p w14:paraId="51DE99EF" w14:textId="77777777" w:rsidR="0010369C" w:rsidRDefault="008E43AE">
      <w:pPr>
        <w:pStyle w:val="BodyText"/>
        <w:spacing w:before="8"/>
        <w:rPr>
          <w:sz w:val="17"/>
        </w:rPr>
      </w:pPr>
      <w:r>
        <w:pict w14:anchorId="51DEA877">
          <v:rect id="docshape1382" o:spid="_x0000_s1092" style="position:absolute;margin-left:70.9pt;margin-top:12pt;width:2in;height:.8pt;z-index:-250692096;mso-wrap-distance-left:0;mso-wrap-distance-right:0;mso-position-horizontal-relative:page" fillcolor="black" stroked="f">
            <w10:wrap type="topAndBottom" anchorx="page"/>
          </v:rect>
        </w:pict>
      </w:r>
    </w:p>
    <w:p w14:paraId="51DE99F0" w14:textId="77777777" w:rsidR="0010369C" w:rsidRDefault="008E43AE">
      <w:pPr>
        <w:spacing w:before="109"/>
        <w:ind w:left="238"/>
        <w:rPr>
          <w:sz w:val="18"/>
        </w:rPr>
      </w:pPr>
      <w:r>
        <w:rPr>
          <w:sz w:val="18"/>
          <w:vertAlign w:val="superscript"/>
        </w:rPr>
        <w:t>1156</w:t>
      </w:r>
      <w:r>
        <w:rPr>
          <w:spacing w:val="-6"/>
          <w:sz w:val="18"/>
        </w:rPr>
        <w:t xml:space="preserve"> </w:t>
      </w:r>
      <w:r>
        <w:rPr>
          <w:sz w:val="18"/>
        </w:rPr>
        <w:t>Appellate</w:t>
      </w:r>
      <w:r>
        <w:rPr>
          <w:spacing w:val="-6"/>
          <w:sz w:val="18"/>
        </w:rPr>
        <w:t xml:space="preserve"> </w:t>
      </w:r>
      <w:r>
        <w:rPr>
          <w:sz w:val="18"/>
        </w:rPr>
        <w:t>Body</w:t>
      </w:r>
      <w:r>
        <w:rPr>
          <w:spacing w:val="-7"/>
          <w:sz w:val="18"/>
        </w:rPr>
        <w:t xml:space="preserve"> </w:t>
      </w:r>
      <w:r>
        <w:rPr>
          <w:sz w:val="18"/>
        </w:rPr>
        <w:t>Report,</w:t>
      </w:r>
      <w:r>
        <w:rPr>
          <w:spacing w:val="-6"/>
          <w:sz w:val="18"/>
        </w:rPr>
        <w:t xml:space="preserve"> </w:t>
      </w:r>
      <w:r>
        <w:rPr>
          <w:i/>
          <w:sz w:val="18"/>
        </w:rPr>
        <w:t>EC</w:t>
      </w:r>
      <w:r>
        <w:rPr>
          <w:i/>
          <w:spacing w:val="-7"/>
          <w:sz w:val="18"/>
        </w:rPr>
        <w:t xml:space="preserve"> </w:t>
      </w:r>
      <w:r>
        <w:rPr>
          <w:i/>
          <w:sz w:val="18"/>
        </w:rPr>
        <w:t>–</w:t>
      </w:r>
      <w:r>
        <w:rPr>
          <w:i/>
          <w:spacing w:val="-5"/>
          <w:sz w:val="18"/>
        </w:rPr>
        <w:t xml:space="preserve"> </w:t>
      </w:r>
      <w:r>
        <w:rPr>
          <w:i/>
          <w:sz w:val="18"/>
        </w:rPr>
        <w:t>Fasteners</w:t>
      </w:r>
      <w:r>
        <w:rPr>
          <w:i/>
          <w:spacing w:val="-6"/>
          <w:sz w:val="18"/>
        </w:rPr>
        <w:t xml:space="preserve"> </w:t>
      </w:r>
      <w:r>
        <w:rPr>
          <w:i/>
          <w:sz w:val="18"/>
        </w:rPr>
        <w:t>(China)</w:t>
      </w:r>
      <w:r>
        <w:rPr>
          <w:sz w:val="18"/>
        </w:rPr>
        <w:t>,</w:t>
      </w:r>
      <w:r>
        <w:rPr>
          <w:spacing w:val="-7"/>
          <w:sz w:val="18"/>
        </w:rPr>
        <w:t xml:space="preserve"> </w:t>
      </w:r>
      <w:r>
        <w:rPr>
          <w:sz w:val="18"/>
        </w:rPr>
        <w:t>para.</w:t>
      </w:r>
      <w:r>
        <w:rPr>
          <w:spacing w:val="-5"/>
          <w:sz w:val="18"/>
        </w:rPr>
        <w:t xml:space="preserve"> </w:t>
      </w:r>
      <w:r>
        <w:rPr>
          <w:spacing w:val="-4"/>
          <w:sz w:val="18"/>
        </w:rPr>
        <w:t>413.</w:t>
      </w:r>
    </w:p>
    <w:p w14:paraId="51DE99F1" w14:textId="77777777" w:rsidR="0010369C" w:rsidRDefault="008E43AE">
      <w:pPr>
        <w:ind w:left="238"/>
        <w:rPr>
          <w:sz w:val="18"/>
        </w:rPr>
      </w:pPr>
      <w:r>
        <w:rPr>
          <w:sz w:val="18"/>
          <w:vertAlign w:val="superscript"/>
        </w:rPr>
        <w:t>1157</w:t>
      </w:r>
      <w:r>
        <w:rPr>
          <w:spacing w:val="-10"/>
          <w:sz w:val="18"/>
        </w:rPr>
        <w:t xml:space="preserve"> </w:t>
      </w:r>
      <w:r>
        <w:rPr>
          <w:sz w:val="18"/>
        </w:rPr>
        <w:t>Anti‐Dumping</w:t>
      </w:r>
      <w:r>
        <w:rPr>
          <w:spacing w:val="-9"/>
          <w:sz w:val="18"/>
        </w:rPr>
        <w:t xml:space="preserve"> </w:t>
      </w:r>
      <w:r>
        <w:rPr>
          <w:sz w:val="18"/>
        </w:rPr>
        <w:t>Final</w:t>
      </w:r>
      <w:r>
        <w:rPr>
          <w:spacing w:val="-9"/>
          <w:sz w:val="18"/>
        </w:rPr>
        <w:t xml:space="preserve"> </w:t>
      </w:r>
      <w:r>
        <w:rPr>
          <w:sz w:val="18"/>
        </w:rPr>
        <w:t>Determination</w:t>
      </w:r>
      <w:r>
        <w:rPr>
          <w:spacing w:val="-8"/>
          <w:sz w:val="18"/>
        </w:rPr>
        <w:t xml:space="preserve"> </w:t>
      </w:r>
      <w:r>
        <w:rPr>
          <w:sz w:val="18"/>
        </w:rPr>
        <w:t>(Exhibit</w:t>
      </w:r>
      <w:r>
        <w:rPr>
          <w:spacing w:val="-9"/>
          <w:sz w:val="18"/>
        </w:rPr>
        <w:t xml:space="preserve"> </w:t>
      </w:r>
      <w:r>
        <w:rPr>
          <w:sz w:val="18"/>
        </w:rPr>
        <w:t>AUS‐2),</w:t>
      </w:r>
      <w:r>
        <w:rPr>
          <w:spacing w:val="-10"/>
          <w:sz w:val="18"/>
        </w:rPr>
        <w:t xml:space="preserve"> </w:t>
      </w:r>
      <w:r>
        <w:rPr>
          <w:sz w:val="18"/>
        </w:rPr>
        <w:t>pp.</w:t>
      </w:r>
      <w:r>
        <w:rPr>
          <w:spacing w:val="-9"/>
          <w:sz w:val="18"/>
        </w:rPr>
        <w:t xml:space="preserve"> </w:t>
      </w:r>
      <w:r>
        <w:rPr>
          <w:spacing w:val="-2"/>
          <w:sz w:val="18"/>
        </w:rPr>
        <w:t>123‐134.</w:t>
      </w:r>
    </w:p>
    <w:p w14:paraId="51DE99F2" w14:textId="77777777" w:rsidR="0010369C" w:rsidRDefault="008E43AE">
      <w:pPr>
        <w:spacing w:before="1"/>
        <w:ind w:left="238"/>
        <w:rPr>
          <w:sz w:val="18"/>
        </w:rPr>
      </w:pPr>
      <w:r>
        <w:rPr>
          <w:sz w:val="18"/>
          <w:vertAlign w:val="superscript"/>
        </w:rPr>
        <w:t>1158</w:t>
      </w:r>
      <w:r>
        <w:rPr>
          <w:spacing w:val="-6"/>
          <w:sz w:val="18"/>
        </w:rPr>
        <w:t xml:space="preserve"> </w:t>
      </w:r>
      <w:r>
        <w:rPr>
          <w:sz w:val="18"/>
        </w:rPr>
        <w:t>Appellate</w:t>
      </w:r>
      <w:r>
        <w:rPr>
          <w:spacing w:val="-6"/>
          <w:sz w:val="18"/>
        </w:rPr>
        <w:t xml:space="preserve"> </w:t>
      </w:r>
      <w:r>
        <w:rPr>
          <w:sz w:val="18"/>
        </w:rPr>
        <w:t>Body</w:t>
      </w:r>
      <w:r>
        <w:rPr>
          <w:spacing w:val="-7"/>
          <w:sz w:val="18"/>
        </w:rPr>
        <w:t xml:space="preserve"> </w:t>
      </w:r>
      <w:r>
        <w:rPr>
          <w:sz w:val="18"/>
        </w:rPr>
        <w:t>Report,</w:t>
      </w:r>
      <w:r>
        <w:rPr>
          <w:spacing w:val="-6"/>
          <w:sz w:val="18"/>
        </w:rPr>
        <w:t xml:space="preserve"> </w:t>
      </w:r>
      <w:r>
        <w:rPr>
          <w:i/>
          <w:sz w:val="18"/>
        </w:rPr>
        <w:t>EC</w:t>
      </w:r>
      <w:r>
        <w:rPr>
          <w:i/>
          <w:spacing w:val="-7"/>
          <w:sz w:val="18"/>
        </w:rPr>
        <w:t xml:space="preserve"> </w:t>
      </w:r>
      <w:r>
        <w:rPr>
          <w:i/>
          <w:sz w:val="18"/>
        </w:rPr>
        <w:t>–</w:t>
      </w:r>
      <w:r>
        <w:rPr>
          <w:i/>
          <w:spacing w:val="-5"/>
          <w:sz w:val="18"/>
        </w:rPr>
        <w:t xml:space="preserve"> </w:t>
      </w:r>
      <w:r>
        <w:rPr>
          <w:i/>
          <w:sz w:val="18"/>
        </w:rPr>
        <w:t>Fasteners</w:t>
      </w:r>
      <w:r>
        <w:rPr>
          <w:i/>
          <w:spacing w:val="-6"/>
          <w:sz w:val="18"/>
        </w:rPr>
        <w:t xml:space="preserve"> </w:t>
      </w:r>
      <w:r>
        <w:rPr>
          <w:i/>
          <w:sz w:val="18"/>
        </w:rPr>
        <w:t>(China)</w:t>
      </w:r>
      <w:r>
        <w:rPr>
          <w:sz w:val="18"/>
        </w:rPr>
        <w:t>,</w:t>
      </w:r>
      <w:r>
        <w:rPr>
          <w:spacing w:val="-7"/>
          <w:sz w:val="18"/>
        </w:rPr>
        <w:t xml:space="preserve"> </w:t>
      </w:r>
      <w:r>
        <w:rPr>
          <w:sz w:val="18"/>
        </w:rPr>
        <w:t>para.</w:t>
      </w:r>
      <w:r>
        <w:rPr>
          <w:spacing w:val="-5"/>
          <w:sz w:val="18"/>
        </w:rPr>
        <w:t xml:space="preserve"> </w:t>
      </w:r>
      <w:r>
        <w:rPr>
          <w:spacing w:val="-4"/>
          <w:sz w:val="18"/>
        </w:rPr>
        <w:t>413.</w:t>
      </w:r>
    </w:p>
    <w:p w14:paraId="51DE99F3" w14:textId="77777777" w:rsidR="0010369C" w:rsidRDefault="008E43AE">
      <w:pPr>
        <w:ind w:left="238"/>
        <w:rPr>
          <w:sz w:val="18"/>
        </w:rPr>
      </w:pPr>
      <w:r>
        <w:rPr>
          <w:sz w:val="18"/>
          <w:vertAlign w:val="superscript"/>
        </w:rPr>
        <w:t>1159</w:t>
      </w:r>
      <w:r>
        <w:rPr>
          <w:spacing w:val="-6"/>
          <w:sz w:val="18"/>
        </w:rPr>
        <w:t xml:space="preserve"> </w:t>
      </w:r>
      <w:r>
        <w:rPr>
          <w:sz w:val="18"/>
        </w:rPr>
        <w:t>See</w:t>
      </w:r>
      <w:r>
        <w:rPr>
          <w:spacing w:val="-5"/>
          <w:sz w:val="18"/>
        </w:rPr>
        <w:t xml:space="preserve"> </w:t>
      </w:r>
      <w:r>
        <w:rPr>
          <w:sz w:val="18"/>
        </w:rPr>
        <w:t>above,</w:t>
      </w:r>
      <w:r>
        <w:rPr>
          <w:spacing w:val="-6"/>
          <w:sz w:val="18"/>
        </w:rPr>
        <w:t xml:space="preserve"> </w:t>
      </w:r>
      <w:r>
        <w:rPr>
          <w:sz w:val="18"/>
        </w:rPr>
        <w:t>section</w:t>
      </w:r>
      <w:r>
        <w:rPr>
          <w:spacing w:val="-6"/>
          <w:sz w:val="18"/>
        </w:rPr>
        <w:t xml:space="preserve"> </w:t>
      </w:r>
      <w:r>
        <w:rPr>
          <w:spacing w:val="-5"/>
          <w:sz w:val="18"/>
        </w:rPr>
        <w:t>IV.</w:t>
      </w:r>
    </w:p>
    <w:p w14:paraId="51DE99F4" w14:textId="77777777" w:rsidR="0010369C" w:rsidRDefault="008E43AE">
      <w:pPr>
        <w:ind w:left="238"/>
        <w:rPr>
          <w:sz w:val="18"/>
        </w:rPr>
      </w:pPr>
      <w:r>
        <w:rPr>
          <w:sz w:val="18"/>
          <w:vertAlign w:val="superscript"/>
        </w:rPr>
        <w:t>1160</w:t>
      </w:r>
      <w:r>
        <w:rPr>
          <w:spacing w:val="-9"/>
          <w:sz w:val="18"/>
        </w:rPr>
        <w:t xml:space="preserve"> </w:t>
      </w:r>
      <w:r>
        <w:rPr>
          <w:sz w:val="18"/>
        </w:rPr>
        <w:t>Anti‐Dumping</w:t>
      </w:r>
      <w:r>
        <w:rPr>
          <w:spacing w:val="-9"/>
          <w:sz w:val="18"/>
        </w:rPr>
        <w:t xml:space="preserve"> </w:t>
      </w:r>
      <w:r>
        <w:rPr>
          <w:sz w:val="18"/>
        </w:rPr>
        <w:t>Final</w:t>
      </w:r>
      <w:r>
        <w:rPr>
          <w:spacing w:val="-9"/>
          <w:sz w:val="18"/>
        </w:rPr>
        <w:t xml:space="preserve"> </w:t>
      </w:r>
      <w:r>
        <w:rPr>
          <w:sz w:val="18"/>
        </w:rPr>
        <w:t>Determination</w:t>
      </w:r>
      <w:r>
        <w:rPr>
          <w:spacing w:val="-8"/>
          <w:sz w:val="18"/>
        </w:rPr>
        <w:t xml:space="preserve"> </w:t>
      </w:r>
      <w:r>
        <w:rPr>
          <w:sz w:val="18"/>
        </w:rPr>
        <w:t>(Exhibit</w:t>
      </w:r>
      <w:r>
        <w:rPr>
          <w:spacing w:val="-9"/>
          <w:sz w:val="18"/>
        </w:rPr>
        <w:t xml:space="preserve"> </w:t>
      </w:r>
      <w:r>
        <w:rPr>
          <w:sz w:val="18"/>
        </w:rPr>
        <w:t>AUS‐2),</w:t>
      </w:r>
      <w:r>
        <w:rPr>
          <w:spacing w:val="-10"/>
          <w:sz w:val="18"/>
        </w:rPr>
        <w:t xml:space="preserve"> </w:t>
      </w:r>
      <w:r>
        <w:rPr>
          <w:sz w:val="18"/>
        </w:rPr>
        <w:t>p.</w:t>
      </w:r>
      <w:r>
        <w:rPr>
          <w:spacing w:val="-9"/>
          <w:sz w:val="18"/>
        </w:rPr>
        <w:t xml:space="preserve"> </w:t>
      </w:r>
      <w:r>
        <w:rPr>
          <w:spacing w:val="-4"/>
          <w:sz w:val="18"/>
        </w:rPr>
        <w:t>113.</w:t>
      </w:r>
    </w:p>
    <w:p w14:paraId="51DE99F5" w14:textId="77777777" w:rsidR="0010369C" w:rsidRDefault="008E43AE">
      <w:pPr>
        <w:ind w:left="238"/>
        <w:rPr>
          <w:sz w:val="18"/>
        </w:rPr>
      </w:pPr>
      <w:r>
        <w:rPr>
          <w:sz w:val="18"/>
          <w:vertAlign w:val="superscript"/>
        </w:rPr>
        <w:t>1161</w:t>
      </w:r>
      <w:r>
        <w:rPr>
          <w:spacing w:val="-9"/>
          <w:sz w:val="18"/>
        </w:rPr>
        <w:t xml:space="preserve"> </w:t>
      </w:r>
      <w:r>
        <w:rPr>
          <w:sz w:val="18"/>
        </w:rPr>
        <w:t>Anti‐Dumping</w:t>
      </w:r>
      <w:r>
        <w:rPr>
          <w:spacing w:val="-9"/>
          <w:sz w:val="18"/>
        </w:rPr>
        <w:t xml:space="preserve"> </w:t>
      </w:r>
      <w:r>
        <w:rPr>
          <w:sz w:val="18"/>
        </w:rPr>
        <w:t>Final</w:t>
      </w:r>
      <w:r>
        <w:rPr>
          <w:spacing w:val="-9"/>
          <w:sz w:val="18"/>
        </w:rPr>
        <w:t xml:space="preserve"> </w:t>
      </w:r>
      <w:r>
        <w:rPr>
          <w:sz w:val="18"/>
        </w:rPr>
        <w:t>Determination</w:t>
      </w:r>
      <w:r>
        <w:rPr>
          <w:spacing w:val="-8"/>
          <w:sz w:val="18"/>
        </w:rPr>
        <w:t xml:space="preserve"> </w:t>
      </w:r>
      <w:r>
        <w:rPr>
          <w:sz w:val="18"/>
        </w:rPr>
        <w:t>(Exhibit</w:t>
      </w:r>
      <w:r>
        <w:rPr>
          <w:spacing w:val="-9"/>
          <w:sz w:val="18"/>
        </w:rPr>
        <w:t xml:space="preserve"> </w:t>
      </w:r>
      <w:r>
        <w:rPr>
          <w:sz w:val="18"/>
        </w:rPr>
        <w:t>AUS‐2),</w:t>
      </w:r>
      <w:r>
        <w:rPr>
          <w:spacing w:val="-10"/>
          <w:sz w:val="18"/>
        </w:rPr>
        <w:t xml:space="preserve"> </w:t>
      </w:r>
      <w:r>
        <w:rPr>
          <w:sz w:val="18"/>
        </w:rPr>
        <w:t>p.</w:t>
      </w:r>
      <w:r>
        <w:rPr>
          <w:spacing w:val="-9"/>
          <w:sz w:val="18"/>
        </w:rPr>
        <w:t xml:space="preserve"> </w:t>
      </w:r>
      <w:r>
        <w:rPr>
          <w:spacing w:val="-4"/>
          <w:sz w:val="18"/>
        </w:rPr>
        <w:t>113.</w:t>
      </w:r>
    </w:p>
    <w:p w14:paraId="51DE99F6" w14:textId="77777777" w:rsidR="0010369C" w:rsidRDefault="0010369C">
      <w:pPr>
        <w:rPr>
          <w:sz w:val="18"/>
        </w:rPr>
        <w:sectPr w:rsidR="0010369C">
          <w:pgSz w:w="11910" w:h="16840"/>
          <w:pgMar w:top="880" w:right="800" w:bottom="980" w:left="1180" w:header="569" w:footer="788" w:gutter="0"/>
          <w:cols w:space="720"/>
        </w:sectPr>
      </w:pPr>
    </w:p>
    <w:p w14:paraId="51DE99F7" w14:textId="77777777" w:rsidR="0010369C" w:rsidRDefault="008E43AE">
      <w:pPr>
        <w:tabs>
          <w:tab w:val="left" w:pos="6425"/>
        </w:tabs>
        <w:ind w:left="238"/>
        <w:rPr>
          <w:sz w:val="20"/>
        </w:rPr>
      </w:pPr>
      <w:r>
        <w:rPr>
          <w:i/>
          <w:sz w:val="20"/>
        </w:rPr>
        <w:lastRenderedPageBreak/>
        <w:t>China</w:t>
      </w:r>
      <w:r>
        <w:rPr>
          <w:i/>
          <w:spacing w:val="-5"/>
          <w:sz w:val="20"/>
        </w:rPr>
        <w:t xml:space="preserve"> </w:t>
      </w:r>
      <w:r>
        <w:rPr>
          <w:i/>
          <w:sz w:val="20"/>
        </w:rPr>
        <w:t>–</w:t>
      </w:r>
      <w:r>
        <w:rPr>
          <w:i/>
          <w:spacing w:val="-5"/>
          <w:sz w:val="20"/>
        </w:rPr>
        <w:t xml:space="preserve"> </w:t>
      </w:r>
      <w:r>
        <w:rPr>
          <w:i/>
          <w:sz w:val="20"/>
        </w:rPr>
        <w:t>Anti‐Dumping</w:t>
      </w:r>
      <w:r>
        <w:rPr>
          <w:i/>
          <w:spacing w:val="-4"/>
          <w:sz w:val="20"/>
        </w:rPr>
        <w:t xml:space="preserve"> </w:t>
      </w:r>
      <w:r>
        <w:rPr>
          <w:i/>
          <w:sz w:val="20"/>
        </w:rPr>
        <w:t>and</w:t>
      </w:r>
      <w:r>
        <w:rPr>
          <w:i/>
          <w:spacing w:val="-5"/>
          <w:sz w:val="20"/>
        </w:rPr>
        <w:t xml:space="preserve"> </w:t>
      </w:r>
      <w:r>
        <w:rPr>
          <w:i/>
          <w:sz w:val="20"/>
        </w:rPr>
        <w:t>Countervailing</w:t>
      </w:r>
      <w:r>
        <w:rPr>
          <w:i/>
          <w:spacing w:val="-5"/>
          <w:sz w:val="20"/>
        </w:rPr>
        <w:t xml:space="preserve"> </w:t>
      </w:r>
      <w:r>
        <w:rPr>
          <w:i/>
          <w:sz w:val="20"/>
        </w:rPr>
        <w:t>Duty</w:t>
      </w:r>
      <w:r>
        <w:rPr>
          <w:i/>
          <w:spacing w:val="-4"/>
          <w:sz w:val="20"/>
        </w:rPr>
        <w:t xml:space="preserve"> </w:t>
      </w:r>
      <w:r>
        <w:rPr>
          <w:i/>
          <w:spacing w:val="-2"/>
          <w:sz w:val="20"/>
        </w:rPr>
        <w:t>Measures</w:t>
      </w:r>
      <w:r>
        <w:rPr>
          <w:i/>
          <w:sz w:val="20"/>
        </w:rPr>
        <w:tab/>
      </w:r>
      <w:r>
        <w:rPr>
          <w:sz w:val="20"/>
        </w:rPr>
        <w:t>Australia's</w:t>
      </w:r>
      <w:r>
        <w:rPr>
          <w:spacing w:val="-7"/>
          <w:sz w:val="20"/>
        </w:rPr>
        <w:t xml:space="preserve"> </w:t>
      </w:r>
      <w:r>
        <w:rPr>
          <w:sz w:val="20"/>
        </w:rPr>
        <w:t>First</w:t>
      </w:r>
      <w:r>
        <w:rPr>
          <w:spacing w:val="-2"/>
          <w:sz w:val="20"/>
        </w:rPr>
        <w:t xml:space="preserve"> </w:t>
      </w:r>
      <w:r>
        <w:rPr>
          <w:sz w:val="20"/>
        </w:rPr>
        <w:t>Written</w:t>
      </w:r>
      <w:r>
        <w:rPr>
          <w:spacing w:val="-2"/>
          <w:sz w:val="20"/>
        </w:rPr>
        <w:t xml:space="preserve"> Submission</w:t>
      </w:r>
    </w:p>
    <w:p w14:paraId="51DE99F8" w14:textId="77777777" w:rsidR="0010369C" w:rsidRDefault="008E43AE">
      <w:pPr>
        <w:tabs>
          <w:tab w:val="left" w:pos="8227"/>
        </w:tabs>
        <w:spacing w:before="1"/>
        <w:ind w:left="239"/>
        <w:rPr>
          <w:sz w:val="20"/>
        </w:rPr>
      </w:pPr>
      <w:r>
        <w:rPr>
          <w:i/>
          <w:sz w:val="20"/>
        </w:rPr>
        <w:t>on</w:t>
      </w:r>
      <w:r>
        <w:rPr>
          <w:i/>
          <w:spacing w:val="-1"/>
          <w:sz w:val="20"/>
        </w:rPr>
        <w:t xml:space="preserve"> </w:t>
      </w:r>
      <w:r>
        <w:rPr>
          <w:i/>
          <w:sz w:val="20"/>
        </w:rPr>
        <w:t>Wine</w:t>
      </w:r>
      <w:r>
        <w:rPr>
          <w:i/>
          <w:spacing w:val="-1"/>
          <w:sz w:val="20"/>
        </w:rPr>
        <w:t xml:space="preserve"> </w:t>
      </w:r>
      <w:r>
        <w:rPr>
          <w:i/>
          <w:sz w:val="20"/>
        </w:rPr>
        <w:t>from</w:t>
      </w:r>
      <w:r>
        <w:rPr>
          <w:i/>
          <w:spacing w:val="-3"/>
          <w:sz w:val="20"/>
        </w:rPr>
        <w:t xml:space="preserve"> </w:t>
      </w:r>
      <w:r>
        <w:rPr>
          <w:i/>
          <w:sz w:val="20"/>
        </w:rPr>
        <w:t>Australia</w:t>
      </w:r>
      <w:r>
        <w:rPr>
          <w:i/>
          <w:spacing w:val="-1"/>
          <w:sz w:val="20"/>
        </w:rPr>
        <w:t xml:space="preserve"> </w:t>
      </w:r>
      <w:r>
        <w:rPr>
          <w:spacing w:val="-2"/>
          <w:sz w:val="20"/>
        </w:rPr>
        <w:t>(DS602)</w:t>
      </w:r>
      <w:r>
        <w:rPr>
          <w:sz w:val="20"/>
        </w:rPr>
        <w:tab/>
        <w:t>29</w:t>
      </w:r>
      <w:r>
        <w:rPr>
          <w:spacing w:val="-1"/>
          <w:sz w:val="20"/>
        </w:rPr>
        <w:t xml:space="preserve"> </w:t>
      </w:r>
      <w:r>
        <w:rPr>
          <w:sz w:val="20"/>
        </w:rPr>
        <w:t>April</w:t>
      </w:r>
      <w:r>
        <w:rPr>
          <w:spacing w:val="-2"/>
          <w:sz w:val="20"/>
        </w:rPr>
        <w:t xml:space="preserve"> </w:t>
      </w:r>
      <w:r>
        <w:rPr>
          <w:spacing w:val="-4"/>
          <w:sz w:val="20"/>
        </w:rPr>
        <w:t>2022</w:t>
      </w:r>
    </w:p>
    <w:p w14:paraId="51DE99F9" w14:textId="77777777" w:rsidR="0010369C" w:rsidRDefault="008E43AE">
      <w:pPr>
        <w:pStyle w:val="BodyText"/>
        <w:spacing w:before="34" w:line="360" w:lineRule="auto"/>
        <w:ind w:left="237" w:right="612" w:firstLine="851"/>
        <w:jc w:val="both"/>
      </w:pPr>
      <w:r>
        <w:rPr>
          <w:noProof/>
        </w:rPr>
        <w:drawing>
          <wp:anchor distT="0" distB="0" distL="0" distR="0" simplePos="0" relativeHeight="251587072" behindDoc="1" locked="0" layoutInCell="1" allowOverlap="1" wp14:anchorId="51DEA878" wp14:editId="51DEA879">
            <wp:simplePos x="0" y="0"/>
            <wp:positionH relativeFrom="page">
              <wp:posOffset>908303</wp:posOffset>
            </wp:positionH>
            <wp:positionV relativeFrom="paragraph">
              <wp:posOffset>69165</wp:posOffset>
            </wp:positionV>
            <wp:extent cx="332231" cy="103631"/>
            <wp:effectExtent l="0" t="0" r="0" b="0"/>
            <wp:wrapNone/>
            <wp:docPr id="1947" name="image1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 name="image1001.png"/>
                    <pic:cNvPicPr/>
                  </pic:nvPicPr>
                  <pic:blipFill>
                    <a:blip r:embed="rId1284" cstate="print"/>
                    <a:stretch>
                      <a:fillRect/>
                    </a:stretch>
                  </pic:blipFill>
                  <pic:spPr>
                    <a:xfrm>
                      <a:off x="0" y="0"/>
                      <a:ext cx="332231" cy="103631"/>
                    </a:xfrm>
                    <a:prstGeom prst="rect">
                      <a:avLst/>
                    </a:prstGeom>
                  </pic:spPr>
                </pic:pic>
              </a:graphicData>
            </a:graphic>
          </wp:anchor>
        </w:drawing>
      </w:r>
      <w:r>
        <w:t>MOFCOM failed to provide all non‐confidential information regarding its calculation of</w:t>
      </w:r>
      <w:r>
        <w:rPr>
          <w:spacing w:val="-14"/>
        </w:rPr>
        <w:t xml:space="preserve"> </w:t>
      </w:r>
      <w:r>
        <w:t>the</w:t>
      </w:r>
      <w:r>
        <w:rPr>
          <w:spacing w:val="-14"/>
        </w:rPr>
        <w:t xml:space="preserve"> </w:t>
      </w:r>
      <w:r>
        <w:t>average</w:t>
      </w:r>
      <w:r>
        <w:rPr>
          <w:spacing w:val="-13"/>
        </w:rPr>
        <w:t xml:space="preserve"> </w:t>
      </w:r>
      <w:r>
        <w:t>unit</w:t>
      </w:r>
      <w:r>
        <w:rPr>
          <w:spacing w:val="-14"/>
        </w:rPr>
        <w:t xml:space="preserve"> </w:t>
      </w:r>
      <w:r>
        <w:t>price</w:t>
      </w:r>
      <w:r>
        <w:rPr>
          <w:spacing w:val="-13"/>
        </w:rPr>
        <w:t xml:space="preserve"> </w:t>
      </w:r>
      <w:r>
        <w:t>of</w:t>
      </w:r>
      <w:r>
        <w:rPr>
          <w:spacing w:val="-14"/>
        </w:rPr>
        <w:t xml:space="preserve"> </w:t>
      </w:r>
      <w:r>
        <w:t>domestic</w:t>
      </w:r>
      <w:r>
        <w:rPr>
          <w:spacing w:val="-13"/>
        </w:rPr>
        <w:t xml:space="preserve"> </w:t>
      </w:r>
      <w:r>
        <w:t>like</w:t>
      </w:r>
      <w:r>
        <w:rPr>
          <w:spacing w:val="-14"/>
        </w:rPr>
        <w:t xml:space="preserve"> </w:t>
      </w:r>
      <w:r>
        <w:t>products.</w:t>
      </w:r>
      <w:r>
        <w:rPr>
          <w:spacing w:val="-14"/>
        </w:rPr>
        <w:t xml:space="preserve"> </w:t>
      </w:r>
      <w:r>
        <w:t>In</w:t>
      </w:r>
      <w:r>
        <w:rPr>
          <w:spacing w:val="-13"/>
        </w:rPr>
        <w:t xml:space="preserve"> </w:t>
      </w:r>
      <w:r>
        <w:t>its</w:t>
      </w:r>
      <w:r>
        <w:rPr>
          <w:spacing w:val="-14"/>
        </w:rPr>
        <w:t xml:space="preserve"> </w:t>
      </w:r>
      <w:r>
        <w:t>Final</w:t>
      </w:r>
      <w:r>
        <w:rPr>
          <w:spacing w:val="-13"/>
        </w:rPr>
        <w:t xml:space="preserve"> </w:t>
      </w:r>
      <w:r>
        <w:t>Determination,</w:t>
      </w:r>
      <w:r>
        <w:rPr>
          <w:spacing w:val="-14"/>
        </w:rPr>
        <w:t xml:space="preserve"> </w:t>
      </w:r>
      <w:r>
        <w:t>MOFCOM</w:t>
      </w:r>
      <w:r>
        <w:rPr>
          <w:spacing w:val="-13"/>
        </w:rPr>
        <w:t xml:space="preserve"> </w:t>
      </w:r>
      <w:r>
        <w:t>stated that "[b]y summarizing the responses to the Questionnaire for Domestic Produc</w:t>
      </w:r>
      <w:r>
        <w:t>ers, the Investigating</w:t>
      </w:r>
      <w:r>
        <w:rPr>
          <w:spacing w:val="-1"/>
        </w:rPr>
        <w:t xml:space="preserve"> </w:t>
      </w:r>
      <w:r>
        <w:t>Authority</w:t>
      </w:r>
      <w:r>
        <w:rPr>
          <w:spacing w:val="-2"/>
        </w:rPr>
        <w:t xml:space="preserve"> </w:t>
      </w:r>
      <w:r>
        <w:t>took the weighted</w:t>
      </w:r>
      <w:r>
        <w:rPr>
          <w:spacing w:val="-1"/>
        </w:rPr>
        <w:t xml:space="preserve"> </w:t>
      </w:r>
      <w:r>
        <w:t>average price of the factory</w:t>
      </w:r>
      <w:r>
        <w:rPr>
          <w:spacing w:val="-1"/>
        </w:rPr>
        <w:t xml:space="preserve"> </w:t>
      </w:r>
      <w:r>
        <w:t>prices</w:t>
      </w:r>
      <w:r>
        <w:rPr>
          <w:spacing w:val="-2"/>
        </w:rPr>
        <w:t xml:space="preserve"> </w:t>
      </w:r>
      <w:r>
        <w:t>of</w:t>
      </w:r>
      <w:r>
        <w:rPr>
          <w:spacing w:val="-1"/>
        </w:rPr>
        <w:t xml:space="preserve"> </w:t>
      </w:r>
      <w:r>
        <w:t>domestic like products as the price of these products".</w:t>
      </w:r>
      <w:r>
        <w:rPr>
          <w:vertAlign w:val="superscript"/>
        </w:rPr>
        <w:t>1162</w:t>
      </w:r>
      <w:r>
        <w:t xml:space="preserve"> MOFCOM did not disclose the non‐confidential information</w:t>
      </w:r>
      <w:r>
        <w:rPr>
          <w:spacing w:val="-1"/>
        </w:rPr>
        <w:t xml:space="preserve"> </w:t>
      </w:r>
      <w:r>
        <w:t>relating</w:t>
      </w:r>
      <w:r>
        <w:rPr>
          <w:spacing w:val="-2"/>
        </w:rPr>
        <w:t xml:space="preserve"> </w:t>
      </w:r>
      <w:r>
        <w:t>to:</w:t>
      </w:r>
      <w:r>
        <w:rPr>
          <w:spacing w:val="-1"/>
        </w:rPr>
        <w:t xml:space="preserve"> </w:t>
      </w:r>
      <w:r>
        <w:t>(i)</w:t>
      </w:r>
      <w:r>
        <w:rPr>
          <w:spacing w:val="-1"/>
        </w:rPr>
        <w:t xml:space="preserve"> </w:t>
      </w:r>
      <w:r>
        <w:t>price</w:t>
      </w:r>
      <w:r>
        <w:rPr>
          <w:spacing w:val="-1"/>
        </w:rPr>
        <w:t xml:space="preserve"> </w:t>
      </w:r>
      <w:r>
        <w:t>data</w:t>
      </w:r>
      <w:r>
        <w:rPr>
          <w:spacing w:val="-2"/>
        </w:rPr>
        <w:t xml:space="preserve"> </w:t>
      </w:r>
      <w:r>
        <w:t>provided</w:t>
      </w:r>
      <w:r>
        <w:rPr>
          <w:spacing w:val="-1"/>
        </w:rPr>
        <w:t xml:space="preserve"> </w:t>
      </w:r>
      <w:r>
        <w:t>by</w:t>
      </w:r>
      <w:r>
        <w:rPr>
          <w:spacing w:val="-2"/>
        </w:rPr>
        <w:t xml:space="preserve"> </w:t>
      </w:r>
      <w:r>
        <w:t>the</w:t>
      </w:r>
      <w:r>
        <w:rPr>
          <w:spacing w:val="-1"/>
        </w:rPr>
        <w:t xml:space="preserve"> </w:t>
      </w:r>
      <w:r>
        <w:t>Chinese</w:t>
      </w:r>
      <w:r>
        <w:rPr>
          <w:spacing w:val="-2"/>
        </w:rPr>
        <w:t xml:space="preserve"> </w:t>
      </w:r>
      <w:r>
        <w:t>domestic industry that</w:t>
      </w:r>
      <w:r>
        <w:rPr>
          <w:spacing w:val="-2"/>
        </w:rPr>
        <w:t xml:space="preserve"> </w:t>
      </w:r>
      <w:r>
        <w:t>it</w:t>
      </w:r>
      <w:r>
        <w:rPr>
          <w:spacing w:val="-1"/>
        </w:rPr>
        <w:t xml:space="preserve"> </w:t>
      </w:r>
      <w:r>
        <w:t xml:space="preserve">relied upon; (ii) the summarising process that it undertook; (iii) the weighting that was applied and why it was required; or (iv) the adjustments it applied, if any. The lack of all non‐confidential information prevented </w:t>
      </w:r>
      <w:r>
        <w:t>the interested parties from preparing presentations on the price of domestic like products.</w:t>
      </w:r>
    </w:p>
    <w:p w14:paraId="51DE99FA" w14:textId="77777777" w:rsidR="0010369C" w:rsidRDefault="0010369C">
      <w:pPr>
        <w:pStyle w:val="BodyText"/>
        <w:spacing w:before="10"/>
        <w:rPr>
          <w:sz w:val="8"/>
        </w:rPr>
      </w:pPr>
    </w:p>
    <w:p w14:paraId="51DE99FB" w14:textId="77777777" w:rsidR="0010369C" w:rsidRDefault="008E43AE">
      <w:pPr>
        <w:pStyle w:val="BodyText"/>
        <w:spacing w:before="53" w:line="360" w:lineRule="auto"/>
        <w:ind w:left="236" w:right="613" w:firstLine="13"/>
        <w:jc w:val="both"/>
      </w:pPr>
      <w:r>
        <w:rPr>
          <w:noProof/>
        </w:rPr>
        <w:drawing>
          <wp:inline distT="0" distB="0" distL="0" distR="0" wp14:anchorId="51DEA87A" wp14:editId="51DEA87B">
            <wp:extent cx="332231" cy="109727"/>
            <wp:effectExtent l="0" t="0" r="0" b="0"/>
            <wp:docPr id="1949" name="image1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 name="image1002.png"/>
                    <pic:cNvPicPr/>
                  </pic:nvPicPr>
                  <pic:blipFill>
                    <a:blip r:embed="rId1285" cstate="print"/>
                    <a:stretch>
                      <a:fillRect/>
                    </a:stretch>
                  </pic:blipFill>
                  <pic:spPr>
                    <a:xfrm>
                      <a:off x="0" y="0"/>
                      <a:ext cx="332231" cy="109727"/>
                    </a:xfrm>
                    <a:prstGeom prst="rect">
                      <a:avLst/>
                    </a:prstGeom>
                  </pic:spPr>
                </pic:pic>
              </a:graphicData>
            </a:graphic>
          </wp:inline>
        </w:drawing>
      </w:r>
      <w:r>
        <w:rPr>
          <w:rFonts w:ascii="Times New Roman" w:hAnsi="Times New Roman"/>
          <w:spacing w:val="80"/>
          <w:position w:val="1"/>
          <w:sz w:val="20"/>
        </w:rPr>
        <w:t xml:space="preserve"> </w:t>
      </w:r>
      <w:r>
        <w:rPr>
          <w:position w:val="1"/>
        </w:rPr>
        <w:t xml:space="preserve">Further, MOFCOM failed to provide all non‐confidential information regarding its </w:t>
      </w:r>
      <w:r>
        <w:t>calculation of the yearly average import price of non‐subject imports. In the Fi</w:t>
      </w:r>
      <w:r>
        <w:t>nal Determination, MOFCOM only provides the average import</w:t>
      </w:r>
      <w:r>
        <w:rPr>
          <w:spacing w:val="-1"/>
        </w:rPr>
        <w:t xml:space="preserve"> </w:t>
      </w:r>
      <w:r>
        <w:t>price for non‐subject imports for two of the five years in the Injury POI, 2015 and 2019.</w:t>
      </w:r>
      <w:r>
        <w:rPr>
          <w:vertAlign w:val="superscript"/>
        </w:rPr>
        <w:t>1163</w:t>
      </w:r>
      <w:r>
        <w:t xml:space="preserve"> MOFCOM did not provide all non‐confidential information regarding: (i) the methodology it adopted to ca</w:t>
      </w:r>
      <w:r>
        <w:t>lculate the average import price for non‐subject imports; (ii) the value of adjustments (if any) that were applied;</w:t>
      </w:r>
      <w:r>
        <w:rPr>
          <w:spacing w:val="-4"/>
        </w:rPr>
        <w:t xml:space="preserve"> </w:t>
      </w:r>
      <w:r>
        <w:t>(iii)</w:t>
      </w:r>
      <w:r>
        <w:rPr>
          <w:spacing w:val="-4"/>
        </w:rPr>
        <w:t xml:space="preserve"> </w:t>
      </w:r>
      <w:r>
        <w:t>that</w:t>
      </w:r>
      <w:r>
        <w:rPr>
          <w:spacing w:val="-5"/>
        </w:rPr>
        <w:t xml:space="preserve"> </w:t>
      </w:r>
      <w:r>
        <w:t>data</w:t>
      </w:r>
      <w:r>
        <w:rPr>
          <w:spacing w:val="-5"/>
        </w:rPr>
        <w:t xml:space="preserve"> </w:t>
      </w:r>
      <w:r>
        <w:t>that</w:t>
      </w:r>
      <w:r>
        <w:rPr>
          <w:spacing w:val="-5"/>
        </w:rPr>
        <w:t xml:space="preserve"> </w:t>
      </w:r>
      <w:r>
        <w:t>it</w:t>
      </w:r>
      <w:r>
        <w:rPr>
          <w:spacing w:val="-5"/>
        </w:rPr>
        <w:t xml:space="preserve"> </w:t>
      </w:r>
      <w:r>
        <w:t>relied</w:t>
      </w:r>
      <w:r>
        <w:rPr>
          <w:spacing w:val="-6"/>
        </w:rPr>
        <w:t xml:space="preserve"> </w:t>
      </w:r>
      <w:r>
        <w:t>upon;</w:t>
      </w:r>
      <w:r>
        <w:rPr>
          <w:spacing w:val="-4"/>
        </w:rPr>
        <w:t xml:space="preserve"> </w:t>
      </w:r>
      <w:r>
        <w:t>or</w:t>
      </w:r>
      <w:r>
        <w:rPr>
          <w:spacing w:val="-5"/>
        </w:rPr>
        <w:t xml:space="preserve"> </w:t>
      </w:r>
      <w:r>
        <w:t>(iv)</w:t>
      </w:r>
      <w:r>
        <w:rPr>
          <w:spacing w:val="-4"/>
        </w:rPr>
        <w:t xml:space="preserve"> </w:t>
      </w:r>
      <w:r>
        <w:t>the</w:t>
      </w:r>
      <w:r>
        <w:rPr>
          <w:spacing w:val="-4"/>
        </w:rPr>
        <w:t xml:space="preserve"> </w:t>
      </w:r>
      <w:r>
        <w:t>average</w:t>
      </w:r>
      <w:r>
        <w:rPr>
          <w:spacing w:val="-6"/>
        </w:rPr>
        <w:t xml:space="preserve"> </w:t>
      </w:r>
      <w:r>
        <w:t>yearly</w:t>
      </w:r>
      <w:r>
        <w:rPr>
          <w:spacing w:val="-5"/>
        </w:rPr>
        <w:t xml:space="preserve"> </w:t>
      </w:r>
      <w:r>
        <w:t>import</w:t>
      </w:r>
      <w:r>
        <w:rPr>
          <w:spacing w:val="-4"/>
        </w:rPr>
        <w:t xml:space="preserve"> </w:t>
      </w:r>
      <w:r>
        <w:t>prices</w:t>
      </w:r>
      <w:r>
        <w:rPr>
          <w:spacing w:val="-5"/>
        </w:rPr>
        <w:t xml:space="preserve"> </w:t>
      </w:r>
      <w:r>
        <w:t>for</w:t>
      </w:r>
      <w:r>
        <w:rPr>
          <w:spacing w:val="-5"/>
        </w:rPr>
        <w:t xml:space="preserve"> </w:t>
      </w:r>
      <w:r>
        <w:t>the</w:t>
      </w:r>
      <w:r>
        <w:rPr>
          <w:spacing w:val="-4"/>
        </w:rPr>
        <w:t xml:space="preserve"> </w:t>
      </w:r>
      <w:r>
        <w:t>years of 2016, 2017 and 2018. Additionally, MOFCOM pro</w:t>
      </w:r>
      <w:r>
        <w:t>vided the Australian import price and domestic prices in RMB/kl, but then provided the prices of non‐subject imports in USD/kl. MOFCOM should have provided the non‐subject import prices in RMB/kl to enable proper comparison. Failure to provide the foregoin</w:t>
      </w:r>
      <w:r>
        <w:t>g on non‐subject import prices undermined the due process rights of the interested parties.</w:t>
      </w:r>
    </w:p>
    <w:p w14:paraId="51DE99FC" w14:textId="77777777" w:rsidR="0010369C" w:rsidRDefault="0010369C">
      <w:pPr>
        <w:pStyle w:val="BodyText"/>
        <w:spacing w:before="10"/>
        <w:rPr>
          <w:sz w:val="8"/>
        </w:rPr>
      </w:pPr>
    </w:p>
    <w:p w14:paraId="51DE99FD" w14:textId="77777777" w:rsidR="0010369C" w:rsidRDefault="008E43AE">
      <w:pPr>
        <w:pStyle w:val="BodyText"/>
        <w:spacing w:before="52" w:line="360" w:lineRule="auto"/>
        <w:ind w:left="237" w:right="612" w:firstLine="12"/>
        <w:jc w:val="both"/>
      </w:pPr>
      <w:r>
        <w:rPr>
          <w:noProof/>
        </w:rPr>
        <w:drawing>
          <wp:inline distT="0" distB="0" distL="0" distR="0" wp14:anchorId="51DEA87C" wp14:editId="51DEA87D">
            <wp:extent cx="332231" cy="109727"/>
            <wp:effectExtent l="0" t="0" r="0" b="0"/>
            <wp:docPr id="1951" name="image1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 name="image1003.png"/>
                    <pic:cNvPicPr/>
                  </pic:nvPicPr>
                  <pic:blipFill>
                    <a:blip r:embed="rId1286" cstate="print"/>
                    <a:stretch>
                      <a:fillRect/>
                    </a:stretch>
                  </pic:blipFill>
                  <pic:spPr>
                    <a:xfrm>
                      <a:off x="0" y="0"/>
                      <a:ext cx="332231" cy="109727"/>
                    </a:xfrm>
                    <a:prstGeom prst="rect">
                      <a:avLst/>
                    </a:prstGeom>
                  </pic:spPr>
                </pic:pic>
              </a:graphicData>
            </a:graphic>
          </wp:inline>
        </w:drawing>
      </w:r>
      <w:r>
        <w:rPr>
          <w:rFonts w:ascii="Times New Roman" w:hAnsi="Times New Roman"/>
          <w:spacing w:val="80"/>
          <w:w w:val="150"/>
          <w:position w:val="1"/>
          <w:sz w:val="20"/>
        </w:rPr>
        <w:t xml:space="preserve"> </w:t>
      </w:r>
      <w:r>
        <w:rPr>
          <w:position w:val="1"/>
        </w:rPr>
        <w:t xml:space="preserve">This information was non‐confidential and should have been provided on a timely </w:t>
      </w:r>
      <w:r>
        <w:t xml:space="preserve">basis. It was essential information that was used by MOFCOM in its determination </w:t>
      </w:r>
      <w:r>
        <w:t>that Australian bottled wine exports to China were causing injury to the domestic industry. It was therefore highly relevant. Access to this information would have enabled the interested parties to prepare submissions that demonstrated to an objective exam</w:t>
      </w:r>
      <w:r>
        <w:t>iner that subject imports of Australian wine were not causing the alleged injury to domestic producers.</w:t>
      </w:r>
    </w:p>
    <w:p w14:paraId="51DE99FE" w14:textId="77777777" w:rsidR="0010369C" w:rsidRDefault="0010369C">
      <w:pPr>
        <w:pStyle w:val="BodyText"/>
        <w:rPr>
          <w:sz w:val="20"/>
        </w:rPr>
      </w:pPr>
    </w:p>
    <w:p w14:paraId="51DE99FF" w14:textId="77777777" w:rsidR="0010369C" w:rsidRDefault="0010369C">
      <w:pPr>
        <w:pStyle w:val="BodyText"/>
        <w:rPr>
          <w:sz w:val="20"/>
        </w:rPr>
      </w:pPr>
    </w:p>
    <w:p w14:paraId="51DE9A00" w14:textId="77777777" w:rsidR="0010369C" w:rsidRDefault="008E43AE">
      <w:pPr>
        <w:pStyle w:val="BodyText"/>
        <w:spacing w:before="8"/>
      </w:pPr>
      <w:r>
        <w:pict w14:anchorId="51DEA87E">
          <v:rect id="docshape1383" o:spid="_x0000_s1091" style="position:absolute;margin-left:70.9pt;margin-top:16.25pt;width:2in;height:.8pt;z-index:-250691072;mso-wrap-distance-left:0;mso-wrap-distance-right:0;mso-position-horizontal-relative:page" fillcolor="black" stroked="f">
            <w10:wrap type="topAndBottom" anchorx="page"/>
          </v:rect>
        </w:pict>
      </w:r>
    </w:p>
    <w:p w14:paraId="51DE9A01" w14:textId="77777777" w:rsidR="0010369C" w:rsidRDefault="008E43AE">
      <w:pPr>
        <w:spacing w:before="109"/>
        <w:ind w:left="238"/>
        <w:jc w:val="both"/>
        <w:rPr>
          <w:sz w:val="18"/>
        </w:rPr>
      </w:pPr>
      <w:r>
        <w:rPr>
          <w:sz w:val="18"/>
          <w:vertAlign w:val="superscript"/>
        </w:rPr>
        <w:t>1162</w:t>
      </w:r>
      <w:r>
        <w:rPr>
          <w:spacing w:val="-9"/>
          <w:sz w:val="18"/>
        </w:rPr>
        <w:t xml:space="preserve"> </w:t>
      </w:r>
      <w:r>
        <w:rPr>
          <w:sz w:val="18"/>
        </w:rPr>
        <w:t>Anti‐Dumping</w:t>
      </w:r>
      <w:r>
        <w:rPr>
          <w:spacing w:val="-9"/>
          <w:sz w:val="18"/>
        </w:rPr>
        <w:t xml:space="preserve"> </w:t>
      </w:r>
      <w:r>
        <w:rPr>
          <w:sz w:val="18"/>
        </w:rPr>
        <w:t>Final</w:t>
      </w:r>
      <w:r>
        <w:rPr>
          <w:spacing w:val="-9"/>
          <w:sz w:val="18"/>
        </w:rPr>
        <w:t xml:space="preserve"> </w:t>
      </w:r>
      <w:r>
        <w:rPr>
          <w:sz w:val="18"/>
        </w:rPr>
        <w:t>Determination</w:t>
      </w:r>
      <w:r>
        <w:rPr>
          <w:spacing w:val="-8"/>
          <w:sz w:val="18"/>
        </w:rPr>
        <w:t xml:space="preserve"> </w:t>
      </w:r>
      <w:r>
        <w:rPr>
          <w:sz w:val="18"/>
        </w:rPr>
        <w:t>(Exhibit</w:t>
      </w:r>
      <w:r>
        <w:rPr>
          <w:spacing w:val="-9"/>
          <w:sz w:val="18"/>
        </w:rPr>
        <w:t xml:space="preserve"> </w:t>
      </w:r>
      <w:r>
        <w:rPr>
          <w:sz w:val="18"/>
        </w:rPr>
        <w:t>AUS‐2),</w:t>
      </w:r>
      <w:r>
        <w:rPr>
          <w:spacing w:val="-10"/>
          <w:sz w:val="18"/>
        </w:rPr>
        <w:t xml:space="preserve"> </w:t>
      </w:r>
      <w:r>
        <w:rPr>
          <w:sz w:val="18"/>
        </w:rPr>
        <w:t>p.</w:t>
      </w:r>
      <w:r>
        <w:rPr>
          <w:spacing w:val="-9"/>
          <w:sz w:val="18"/>
        </w:rPr>
        <w:t xml:space="preserve"> </w:t>
      </w:r>
      <w:r>
        <w:rPr>
          <w:spacing w:val="-4"/>
          <w:sz w:val="18"/>
        </w:rPr>
        <w:t>113.</w:t>
      </w:r>
    </w:p>
    <w:p w14:paraId="51DE9A02" w14:textId="77777777" w:rsidR="0010369C" w:rsidRDefault="008E43AE">
      <w:pPr>
        <w:ind w:left="238"/>
        <w:jc w:val="both"/>
        <w:rPr>
          <w:sz w:val="18"/>
        </w:rPr>
      </w:pPr>
      <w:r>
        <w:rPr>
          <w:sz w:val="18"/>
          <w:vertAlign w:val="superscript"/>
        </w:rPr>
        <w:t>1163</w:t>
      </w:r>
      <w:r>
        <w:rPr>
          <w:spacing w:val="-9"/>
          <w:sz w:val="18"/>
        </w:rPr>
        <w:t xml:space="preserve"> </w:t>
      </w:r>
      <w:r>
        <w:rPr>
          <w:sz w:val="18"/>
        </w:rPr>
        <w:t>Anti‐Dumping</w:t>
      </w:r>
      <w:r>
        <w:rPr>
          <w:spacing w:val="-9"/>
          <w:sz w:val="18"/>
        </w:rPr>
        <w:t xml:space="preserve"> </w:t>
      </w:r>
      <w:r>
        <w:rPr>
          <w:sz w:val="18"/>
        </w:rPr>
        <w:t>Final</w:t>
      </w:r>
      <w:r>
        <w:rPr>
          <w:spacing w:val="-9"/>
          <w:sz w:val="18"/>
        </w:rPr>
        <w:t xml:space="preserve"> </w:t>
      </w:r>
      <w:r>
        <w:rPr>
          <w:sz w:val="18"/>
        </w:rPr>
        <w:t>Determination</w:t>
      </w:r>
      <w:r>
        <w:rPr>
          <w:spacing w:val="-8"/>
          <w:sz w:val="18"/>
        </w:rPr>
        <w:t xml:space="preserve"> </w:t>
      </w:r>
      <w:r>
        <w:rPr>
          <w:sz w:val="18"/>
        </w:rPr>
        <w:t>(Exhibit</w:t>
      </w:r>
      <w:r>
        <w:rPr>
          <w:spacing w:val="-9"/>
          <w:sz w:val="18"/>
        </w:rPr>
        <w:t xml:space="preserve"> </w:t>
      </w:r>
      <w:r>
        <w:rPr>
          <w:sz w:val="18"/>
        </w:rPr>
        <w:t>AUS‐2),</w:t>
      </w:r>
      <w:r>
        <w:rPr>
          <w:spacing w:val="-10"/>
          <w:sz w:val="18"/>
        </w:rPr>
        <w:t xml:space="preserve"> </w:t>
      </w:r>
      <w:r>
        <w:rPr>
          <w:sz w:val="18"/>
        </w:rPr>
        <w:t>p.</w:t>
      </w:r>
      <w:r>
        <w:rPr>
          <w:spacing w:val="-9"/>
          <w:sz w:val="18"/>
        </w:rPr>
        <w:t xml:space="preserve"> </w:t>
      </w:r>
      <w:r>
        <w:rPr>
          <w:spacing w:val="-4"/>
          <w:sz w:val="18"/>
        </w:rPr>
        <w:t>144.</w:t>
      </w:r>
    </w:p>
    <w:p w14:paraId="51DE9A03" w14:textId="77777777" w:rsidR="0010369C" w:rsidRDefault="0010369C">
      <w:pPr>
        <w:jc w:val="both"/>
        <w:rPr>
          <w:sz w:val="18"/>
        </w:rPr>
        <w:sectPr w:rsidR="0010369C">
          <w:pgSz w:w="11910" w:h="16840"/>
          <w:pgMar w:top="880" w:right="800" w:bottom="980" w:left="1180" w:header="569" w:footer="788" w:gutter="0"/>
          <w:cols w:space="720"/>
        </w:sectPr>
      </w:pPr>
    </w:p>
    <w:p w14:paraId="51DE9A04" w14:textId="77777777" w:rsidR="0010369C" w:rsidRDefault="008E43AE">
      <w:pPr>
        <w:tabs>
          <w:tab w:val="left" w:pos="6425"/>
        </w:tabs>
        <w:ind w:left="238"/>
        <w:jc w:val="both"/>
        <w:rPr>
          <w:sz w:val="20"/>
        </w:rPr>
      </w:pPr>
      <w:r>
        <w:rPr>
          <w:i/>
          <w:sz w:val="20"/>
        </w:rPr>
        <w:lastRenderedPageBreak/>
        <w:t>China</w:t>
      </w:r>
      <w:r>
        <w:rPr>
          <w:i/>
          <w:spacing w:val="-5"/>
          <w:sz w:val="20"/>
        </w:rPr>
        <w:t xml:space="preserve"> </w:t>
      </w:r>
      <w:r>
        <w:rPr>
          <w:i/>
          <w:sz w:val="20"/>
        </w:rPr>
        <w:t>–</w:t>
      </w:r>
      <w:r>
        <w:rPr>
          <w:i/>
          <w:spacing w:val="-5"/>
          <w:sz w:val="20"/>
        </w:rPr>
        <w:t xml:space="preserve"> </w:t>
      </w:r>
      <w:r>
        <w:rPr>
          <w:i/>
          <w:sz w:val="20"/>
        </w:rPr>
        <w:t>Anti‐Dumping</w:t>
      </w:r>
      <w:r>
        <w:rPr>
          <w:i/>
          <w:spacing w:val="-4"/>
          <w:sz w:val="20"/>
        </w:rPr>
        <w:t xml:space="preserve"> </w:t>
      </w:r>
      <w:r>
        <w:rPr>
          <w:i/>
          <w:sz w:val="20"/>
        </w:rPr>
        <w:t>and</w:t>
      </w:r>
      <w:r>
        <w:rPr>
          <w:i/>
          <w:spacing w:val="-5"/>
          <w:sz w:val="20"/>
        </w:rPr>
        <w:t xml:space="preserve"> </w:t>
      </w:r>
      <w:r>
        <w:rPr>
          <w:i/>
          <w:sz w:val="20"/>
        </w:rPr>
        <w:t>Countervailing</w:t>
      </w:r>
      <w:r>
        <w:rPr>
          <w:i/>
          <w:spacing w:val="-5"/>
          <w:sz w:val="20"/>
        </w:rPr>
        <w:t xml:space="preserve"> </w:t>
      </w:r>
      <w:r>
        <w:rPr>
          <w:i/>
          <w:sz w:val="20"/>
        </w:rPr>
        <w:t>Duty</w:t>
      </w:r>
      <w:r>
        <w:rPr>
          <w:i/>
          <w:spacing w:val="-4"/>
          <w:sz w:val="20"/>
        </w:rPr>
        <w:t xml:space="preserve"> </w:t>
      </w:r>
      <w:r>
        <w:rPr>
          <w:i/>
          <w:spacing w:val="-2"/>
          <w:sz w:val="20"/>
        </w:rPr>
        <w:t>Measures</w:t>
      </w:r>
      <w:r>
        <w:rPr>
          <w:i/>
          <w:sz w:val="20"/>
        </w:rPr>
        <w:tab/>
      </w:r>
      <w:r>
        <w:rPr>
          <w:sz w:val="20"/>
        </w:rPr>
        <w:t>Australia's</w:t>
      </w:r>
      <w:r>
        <w:rPr>
          <w:spacing w:val="-7"/>
          <w:sz w:val="20"/>
        </w:rPr>
        <w:t xml:space="preserve"> </w:t>
      </w:r>
      <w:r>
        <w:rPr>
          <w:sz w:val="20"/>
        </w:rPr>
        <w:t>First</w:t>
      </w:r>
      <w:r>
        <w:rPr>
          <w:spacing w:val="-2"/>
          <w:sz w:val="20"/>
        </w:rPr>
        <w:t xml:space="preserve"> </w:t>
      </w:r>
      <w:r>
        <w:rPr>
          <w:sz w:val="20"/>
        </w:rPr>
        <w:t>Written</w:t>
      </w:r>
      <w:r>
        <w:rPr>
          <w:spacing w:val="-2"/>
          <w:sz w:val="20"/>
        </w:rPr>
        <w:t xml:space="preserve"> Submission</w:t>
      </w:r>
    </w:p>
    <w:p w14:paraId="51DE9A05" w14:textId="77777777" w:rsidR="0010369C" w:rsidRDefault="008E43AE">
      <w:pPr>
        <w:tabs>
          <w:tab w:val="left" w:pos="8227"/>
        </w:tabs>
        <w:spacing w:before="1"/>
        <w:ind w:left="239"/>
        <w:jc w:val="both"/>
        <w:rPr>
          <w:sz w:val="20"/>
        </w:rPr>
      </w:pPr>
      <w:r>
        <w:rPr>
          <w:i/>
          <w:sz w:val="20"/>
        </w:rPr>
        <w:t>on</w:t>
      </w:r>
      <w:r>
        <w:rPr>
          <w:i/>
          <w:spacing w:val="-1"/>
          <w:sz w:val="20"/>
        </w:rPr>
        <w:t xml:space="preserve"> </w:t>
      </w:r>
      <w:r>
        <w:rPr>
          <w:i/>
          <w:sz w:val="20"/>
        </w:rPr>
        <w:t>Wine</w:t>
      </w:r>
      <w:r>
        <w:rPr>
          <w:i/>
          <w:spacing w:val="-1"/>
          <w:sz w:val="20"/>
        </w:rPr>
        <w:t xml:space="preserve"> </w:t>
      </w:r>
      <w:r>
        <w:rPr>
          <w:i/>
          <w:sz w:val="20"/>
        </w:rPr>
        <w:t>from</w:t>
      </w:r>
      <w:r>
        <w:rPr>
          <w:i/>
          <w:spacing w:val="-3"/>
          <w:sz w:val="20"/>
        </w:rPr>
        <w:t xml:space="preserve"> </w:t>
      </w:r>
      <w:r>
        <w:rPr>
          <w:i/>
          <w:sz w:val="20"/>
        </w:rPr>
        <w:t>Australia</w:t>
      </w:r>
      <w:r>
        <w:rPr>
          <w:i/>
          <w:spacing w:val="-1"/>
          <w:sz w:val="20"/>
        </w:rPr>
        <w:t xml:space="preserve"> </w:t>
      </w:r>
      <w:r>
        <w:rPr>
          <w:spacing w:val="-2"/>
          <w:sz w:val="20"/>
        </w:rPr>
        <w:t>(DS602)</w:t>
      </w:r>
      <w:r>
        <w:rPr>
          <w:sz w:val="20"/>
        </w:rPr>
        <w:tab/>
        <w:t>29</w:t>
      </w:r>
      <w:r>
        <w:rPr>
          <w:spacing w:val="-1"/>
          <w:sz w:val="20"/>
        </w:rPr>
        <w:t xml:space="preserve"> </w:t>
      </w:r>
      <w:r>
        <w:rPr>
          <w:sz w:val="20"/>
        </w:rPr>
        <w:t>April</w:t>
      </w:r>
      <w:r>
        <w:rPr>
          <w:spacing w:val="-2"/>
          <w:sz w:val="20"/>
        </w:rPr>
        <w:t xml:space="preserve"> </w:t>
      </w:r>
      <w:r>
        <w:rPr>
          <w:spacing w:val="-4"/>
          <w:sz w:val="20"/>
        </w:rPr>
        <w:t>2022</w:t>
      </w:r>
    </w:p>
    <w:p w14:paraId="51DE9A06" w14:textId="77777777" w:rsidR="0010369C" w:rsidRDefault="008E43AE">
      <w:pPr>
        <w:pStyle w:val="ListParagraph"/>
        <w:numPr>
          <w:ilvl w:val="3"/>
          <w:numId w:val="75"/>
        </w:numPr>
        <w:tabs>
          <w:tab w:val="left" w:pos="3642"/>
          <w:tab w:val="left" w:pos="3643"/>
        </w:tabs>
        <w:spacing w:before="34" w:line="360" w:lineRule="auto"/>
        <w:ind w:right="615" w:hanging="852"/>
        <w:jc w:val="both"/>
        <w:rPr>
          <w:sz w:val="24"/>
        </w:rPr>
      </w:pPr>
      <w:r>
        <w:rPr>
          <w:sz w:val="24"/>
          <w:u w:val="single"/>
        </w:rPr>
        <w:t>To the extent that non‐confidential information was</w:t>
      </w:r>
      <w:r>
        <w:rPr>
          <w:sz w:val="24"/>
        </w:rPr>
        <w:t xml:space="preserve"> </w:t>
      </w:r>
      <w:r>
        <w:rPr>
          <w:sz w:val="24"/>
          <w:u w:val="single"/>
        </w:rPr>
        <w:t>disclosed to some interested parties, MOFCOM failed to</w:t>
      </w:r>
      <w:r>
        <w:rPr>
          <w:sz w:val="24"/>
        </w:rPr>
        <w:t xml:space="preserve"> </w:t>
      </w:r>
      <w:r>
        <w:rPr>
          <w:sz w:val="24"/>
          <w:u w:val="single"/>
        </w:rPr>
        <w:t>provide those parties timely opportunities to see the</w:t>
      </w:r>
      <w:r>
        <w:rPr>
          <w:sz w:val="24"/>
        </w:rPr>
        <w:t xml:space="preserve"> </w:t>
      </w:r>
      <w:r>
        <w:rPr>
          <w:sz w:val="24"/>
          <w:u w:val="single"/>
        </w:rPr>
        <w:t>information and prepare presentations</w:t>
      </w:r>
    </w:p>
    <w:p w14:paraId="51DE9A07" w14:textId="77777777" w:rsidR="0010369C" w:rsidRDefault="0010369C">
      <w:pPr>
        <w:pStyle w:val="BodyText"/>
        <w:spacing w:before="11"/>
        <w:rPr>
          <w:sz w:val="8"/>
        </w:rPr>
      </w:pPr>
    </w:p>
    <w:p w14:paraId="51DE9A08" w14:textId="77777777" w:rsidR="0010369C" w:rsidRDefault="008E43AE">
      <w:pPr>
        <w:pStyle w:val="BodyText"/>
        <w:spacing w:before="51" w:line="360" w:lineRule="auto"/>
        <w:ind w:left="236" w:right="614" w:firstLine="852"/>
        <w:jc w:val="both"/>
      </w:pPr>
      <w:r>
        <w:rPr>
          <w:noProof/>
        </w:rPr>
        <w:drawing>
          <wp:anchor distT="0" distB="0" distL="0" distR="0" simplePos="0" relativeHeight="251588096" behindDoc="1" locked="0" layoutInCell="1" allowOverlap="1" wp14:anchorId="51DEA87F" wp14:editId="51DEA880">
            <wp:simplePos x="0" y="0"/>
            <wp:positionH relativeFrom="page">
              <wp:posOffset>908303</wp:posOffset>
            </wp:positionH>
            <wp:positionV relativeFrom="paragraph">
              <wp:posOffset>75388</wp:posOffset>
            </wp:positionV>
            <wp:extent cx="332231" cy="106679"/>
            <wp:effectExtent l="0" t="0" r="0" b="0"/>
            <wp:wrapNone/>
            <wp:docPr id="1953" name="image1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 name="image1004.png"/>
                    <pic:cNvPicPr/>
                  </pic:nvPicPr>
                  <pic:blipFill>
                    <a:blip r:embed="rId1287" cstate="print"/>
                    <a:stretch>
                      <a:fillRect/>
                    </a:stretch>
                  </pic:blipFill>
                  <pic:spPr>
                    <a:xfrm>
                      <a:off x="0" y="0"/>
                      <a:ext cx="332231" cy="106679"/>
                    </a:xfrm>
                    <a:prstGeom prst="rect">
                      <a:avLst/>
                    </a:prstGeom>
                  </pic:spPr>
                </pic:pic>
              </a:graphicData>
            </a:graphic>
          </wp:anchor>
        </w:drawing>
      </w:r>
      <w:r>
        <w:t>To the extent that MOFCOM made some disclosures of relevant non‐confidential information,</w:t>
      </w:r>
      <w:r>
        <w:rPr>
          <w:spacing w:val="-14"/>
        </w:rPr>
        <w:t xml:space="preserve"> </w:t>
      </w:r>
      <w:r>
        <w:t>it</w:t>
      </w:r>
      <w:r>
        <w:rPr>
          <w:spacing w:val="-14"/>
        </w:rPr>
        <w:t xml:space="preserve"> </w:t>
      </w:r>
      <w:r>
        <w:t>failed</w:t>
      </w:r>
      <w:r>
        <w:rPr>
          <w:spacing w:val="-13"/>
        </w:rPr>
        <w:t xml:space="preserve"> </w:t>
      </w:r>
      <w:r>
        <w:t>to</w:t>
      </w:r>
      <w:r>
        <w:rPr>
          <w:spacing w:val="-14"/>
        </w:rPr>
        <w:t xml:space="preserve"> </w:t>
      </w:r>
      <w:r>
        <w:t>do</w:t>
      </w:r>
      <w:r>
        <w:rPr>
          <w:spacing w:val="-13"/>
        </w:rPr>
        <w:t xml:space="preserve"> </w:t>
      </w:r>
      <w:r>
        <w:t>s</w:t>
      </w:r>
      <w:r>
        <w:t>o</w:t>
      </w:r>
      <w:r>
        <w:rPr>
          <w:spacing w:val="-14"/>
        </w:rPr>
        <w:t xml:space="preserve"> </w:t>
      </w:r>
      <w:r>
        <w:t>in</w:t>
      </w:r>
      <w:r>
        <w:rPr>
          <w:spacing w:val="-13"/>
        </w:rPr>
        <w:t xml:space="preserve"> </w:t>
      </w:r>
      <w:r>
        <w:t>a</w:t>
      </w:r>
      <w:r>
        <w:rPr>
          <w:spacing w:val="-14"/>
        </w:rPr>
        <w:t xml:space="preserve"> </w:t>
      </w:r>
      <w:r>
        <w:t>manner</w:t>
      </w:r>
      <w:r>
        <w:rPr>
          <w:spacing w:val="-14"/>
        </w:rPr>
        <w:t xml:space="preserve"> </w:t>
      </w:r>
      <w:r>
        <w:t>that</w:t>
      </w:r>
      <w:r>
        <w:rPr>
          <w:spacing w:val="-13"/>
        </w:rPr>
        <w:t xml:space="preserve"> </w:t>
      </w:r>
      <w:r>
        <w:t>provided</w:t>
      </w:r>
      <w:r>
        <w:rPr>
          <w:spacing w:val="-14"/>
        </w:rPr>
        <w:t xml:space="preserve"> </w:t>
      </w:r>
      <w:r>
        <w:t>timely</w:t>
      </w:r>
      <w:r>
        <w:rPr>
          <w:spacing w:val="-13"/>
        </w:rPr>
        <w:t xml:space="preserve"> </w:t>
      </w:r>
      <w:r>
        <w:t>opportunities</w:t>
      </w:r>
      <w:r>
        <w:rPr>
          <w:spacing w:val="-14"/>
        </w:rPr>
        <w:t xml:space="preserve"> </w:t>
      </w:r>
      <w:r>
        <w:t>for</w:t>
      </w:r>
      <w:r>
        <w:rPr>
          <w:spacing w:val="-13"/>
        </w:rPr>
        <w:t xml:space="preserve"> </w:t>
      </w:r>
      <w:r>
        <w:t>the</w:t>
      </w:r>
      <w:r>
        <w:rPr>
          <w:spacing w:val="-14"/>
        </w:rPr>
        <w:t xml:space="preserve"> </w:t>
      </w:r>
      <w:r>
        <w:t>interested parties</w:t>
      </w:r>
      <w:r>
        <w:rPr>
          <w:spacing w:val="-6"/>
        </w:rPr>
        <w:t xml:space="preserve"> </w:t>
      </w:r>
      <w:r>
        <w:t>that</w:t>
      </w:r>
      <w:r>
        <w:rPr>
          <w:spacing w:val="-6"/>
        </w:rPr>
        <w:t xml:space="preserve"> </w:t>
      </w:r>
      <w:r>
        <w:t>received</w:t>
      </w:r>
      <w:r>
        <w:rPr>
          <w:spacing w:val="-7"/>
        </w:rPr>
        <w:t xml:space="preserve"> </w:t>
      </w:r>
      <w:r>
        <w:t>this</w:t>
      </w:r>
      <w:r>
        <w:rPr>
          <w:spacing w:val="-6"/>
        </w:rPr>
        <w:t xml:space="preserve"> </w:t>
      </w:r>
      <w:r>
        <w:t>information</w:t>
      </w:r>
      <w:r>
        <w:rPr>
          <w:spacing w:val="-6"/>
        </w:rPr>
        <w:t xml:space="preserve"> </w:t>
      </w:r>
      <w:r>
        <w:t>to</w:t>
      </w:r>
      <w:r>
        <w:rPr>
          <w:spacing w:val="-6"/>
        </w:rPr>
        <w:t xml:space="preserve"> </w:t>
      </w:r>
      <w:r>
        <w:t>see</w:t>
      </w:r>
      <w:r>
        <w:rPr>
          <w:spacing w:val="-6"/>
        </w:rPr>
        <w:t xml:space="preserve"> </w:t>
      </w:r>
      <w:r>
        <w:t>the</w:t>
      </w:r>
      <w:r>
        <w:rPr>
          <w:spacing w:val="-6"/>
        </w:rPr>
        <w:t xml:space="preserve"> </w:t>
      </w:r>
      <w:r>
        <w:t>information</w:t>
      </w:r>
      <w:r>
        <w:rPr>
          <w:spacing w:val="-6"/>
        </w:rPr>
        <w:t xml:space="preserve"> </w:t>
      </w:r>
      <w:r>
        <w:t>and</w:t>
      </w:r>
      <w:r>
        <w:rPr>
          <w:spacing w:val="-6"/>
        </w:rPr>
        <w:t xml:space="preserve"> </w:t>
      </w:r>
      <w:r>
        <w:t>prepare</w:t>
      </w:r>
      <w:r>
        <w:rPr>
          <w:spacing w:val="-6"/>
        </w:rPr>
        <w:t xml:space="preserve"> </w:t>
      </w:r>
      <w:r>
        <w:t>their</w:t>
      </w:r>
      <w:r>
        <w:rPr>
          <w:spacing w:val="-6"/>
        </w:rPr>
        <w:t xml:space="preserve"> </w:t>
      </w:r>
      <w:r>
        <w:t>presentations. Article 6.4 imposes an obligation on investigating authorities to provide timely opportunitie</w:t>
      </w:r>
      <w:r>
        <w:t>s for all interested parties to see all relevant non‐confidential information that is used in the investigation. As discussed above, MOFCOM failed to make disclosures of relevant information. To the extent that some information was disclosed to the three s</w:t>
      </w:r>
      <w:r>
        <w:t>ampled Australian</w:t>
      </w:r>
      <w:r>
        <w:rPr>
          <w:spacing w:val="-3"/>
        </w:rPr>
        <w:t xml:space="preserve"> </w:t>
      </w:r>
      <w:r>
        <w:t>producers,</w:t>
      </w:r>
      <w:r>
        <w:rPr>
          <w:spacing w:val="-1"/>
        </w:rPr>
        <w:t xml:space="preserve"> </w:t>
      </w:r>
      <w:r>
        <w:t>as</w:t>
      </w:r>
      <w:r>
        <w:rPr>
          <w:spacing w:val="-4"/>
        </w:rPr>
        <w:t xml:space="preserve"> </w:t>
      </w:r>
      <w:r>
        <w:t>described</w:t>
      </w:r>
      <w:r>
        <w:rPr>
          <w:spacing w:val="-2"/>
        </w:rPr>
        <w:t xml:space="preserve"> </w:t>
      </w:r>
      <w:r>
        <w:t>below,</w:t>
      </w:r>
      <w:r>
        <w:rPr>
          <w:spacing w:val="-2"/>
        </w:rPr>
        <w:t xml:space="preserve"> </w:t>
      </w:r>
      <w:r>
        <w:t>disclosure</w:t>
      </w:r>
      <w:r>
        <w:rPr>
          <w:spacing w:val="-1"/>
        </w:rPr>
        <w:t xml:space="preserve"> </w:t>
      </w:r>
      <w:r>
        <w:t>was</w:t>
      </w:r>
      <w:r>
        <w:rPr>
          <w:spacing w:val="-3"/>
        </w:rPr>
        <w:t xml:space="preserve"> </w:t>
      </w:r>
      <w:r>
        <w:t>not</w:t>
      </w:r>
      <w:r>
        <w:rPr>
          <w:spacing w:val="-2"/>
        </w:rPr>
        <w:t xml:space="preserve"> </w:t>
      </w:r>
      <w:r>
        <w:t>done</w:t>
      </w:r>
      <w:r>
        <w:rPr>
          <w:spacing w:val="-1"/>
        </w:rPr>
        <w:t xml:space="preserve"> </w:t>
      </w:r>
      <w:r>
        <w:t>in</w:t>
      </w:r>
      <w:r>
        <w:rPr>
          <w:spacing w:val="-4"/>
        </w:rPr>
        <w:t xml:space="preserve"> </w:t>
      </w:r>
      <w:r>
        <w:t>a</w:t>
      </w:r>
      <w:r>
        <w:rPr>
          <w:spacing w:val="-2"/>
        </w:rPr>
        <w:t xml:space="preserve"> </w:t>
      </w:r>
      <w:r>
        <w:t>timely</w:t>
      </w:r>
      <w:r>
        <w:rPr>
          <w:spacing w:val="-3"/>
        </w:rPr>
        <w:t xml:space="preserve"> </w:t>
      </w:r>
      <w:r>
        <w:t>manner,</w:t>
      </w:r>
      <w:r>
        <w:rPr>
          <w:spacing w:val="-2"/>
        </w:rPr>
        <w:t xml:space="preserve"> </w:t>
      </w:r>
      <w:r>
        <w:t>which resulted in a further breach of Article 6.4.</w:t>
      </w:r>
    </w:p>
    <w:p w14:paraId="51DE9A09" w14:textId="77777777" w:rsidR="0010369C" w:rsidRDefault="0010369C">
      <w:pPr>
        <w:pStyle w:val="BodyText"/>
        <w:spacing w:before="11"/>
        <w:rPr>
          <w:sz w:val="8"/>
        </w:rPr>
      </w:pPr>
    </w:p>
    <w:p w14:paraId="51DE9A0A" w14:textId="77777777" w:rsidR="0010369C" w:rsidRDefault="008E43AE">
      <w:pPr>
        <w:pStyle w:val="BodyText"/>
        <w:spacing w:before="52" w:line="360" w:lineRule="auto"/>
        <w:ind w:left="237" w:right="612" w:firstLine="12"/>
        <w:jc w:val="both"/>
      </w:pPr>
      <w:r>
        <w:rPr>
          <w:noProof/>
        </w:rPr>
        <w:drawing>
          <wp:inline distT="0" distB="0" distL="0" distR="0" wp14:anchorId="51DEA881" wp14:editId="51DEA882">
            <wp:extent cx="332231" cy="109727"/>
            <wp:effectExtent l="0" t="0" r="0" b="0"/>
            <wp:docPr id="1955" name="image1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 name="image1005.png"/>
                    <pic:cNvPicPr/>
                  </pic:nvPicPr>
                  <pic:blipFill>
                    <a:blip r:embed="rId1288" cstate="print"/>
                    <a:stretch>
                      <a:fillRect/>
                    </a:stretch>
                  </pic:blipFill>
                  <pic:spPr>
                    <a:xfrm>
                      <a:off x="0" y="0"/>
                      <a:ext cx="332231" cy="109727"/>
                    </a:xfrm>
                    <a:prstGeom prst="rect">
                      <a:avLst/>
                    </a:prstGeom>
                  </pic:spPr>
                </pic:pic>
              </a:graphicData>
            </a:graphic>
          </wp:inline>
        </w:drawing>
      </w:r>
      <w:r>
        <w:rPr>
          <w:rFonts w:ascii="Times New Roman"/>
          <w:spacing w:val="40"/>
          <w:position w:val="1"/>
          <w:sz w:val="20"/>
        </w:rPr>
        <w:t xml:space="preserve">  </w:t>
      </w:r>
      <w:r>
        <w:rPr>
          <w:position w:val="1"/>
        </w:rPr>
        <w:t xml:space="preserve">MOFCOM alerted the interested parties to the existence of new and highly relevant </w:t>
      </w:r>
      <w:r>
        <w:t>information concerning the facts available for the constructed</w:t>
      </w:r>
      <w:r>
        <w:rPr>
          <w:spacing w:val="-1"/>
        </w:rPr>
        <w:t xml:space="preserve"> </w:t>
      </w:r>
      <w:r>
        <w:t>normal value of Casella Wines and</w:t>
      </w:r>
      <w:r>
        <w:rPr>
          <w:spacing w:val="-14"/>
        </w:rPr>
        <w:t xml:space="preserve"> </w:t>
      </w:r>
      <w:r>
        <w:t>Swan</w:t>
      </w:r>
      <w:r>
        <w:rPr>
          <w:spacing w:val="-14"/>
        </w:rPr>
        <w:t xml:space="preserve"> </w:t>
      </w:r>
      <w:r>
        <w:t>Vintage.</w:t>
      </w:r>
      <w:r>
        <w:rPr>
          <w:spacing w:val="-13"/>
        </w:rPr>
        <w:t xml:space="preserve"> </w:t>
      </w:r>
      <w:r>
        <w:t>However,</w:t>
      </w:r>
      <w:r>
        <w:rPr>
          <w:spacing w:val="-14"/>
        </w:rPr>
        <w:t xml:space="preserve"> </w:t>
      </w:r>
      <w:r>
        <w:t>MOFCOM</w:t>
      </w:r>
      <w:r>
        <w:rPr>
          <w:spacing w:val="-13"/>
        </w:rPr>
        <w:t xml:space="preserve"> </w:t>
      </w:r>
      <w:r>
        <w:t>failed</w:t>
      </w:r>
      <w:r>
        <w:rPr>
          <w:spacing w:val="-14"/>
        </w:rPr>
        <w:t xml:space="preserve"> </w:t>
      </w:r>
      <w:r>
        <w:t>to</w:t>
      </w:r>
      <w:r>
        <w:rPr>
          <w:spacing w:val="-13"/>
        </w:rPr>
        <w:t xml:space="preserve"> </w:t>
      </w:r>
      <w:r>
        <w:t>provide</w:t>
      </w:r>
      <w:r>
        <w:rPr>
          <w:spacing w:val="-14"/>
        </w:rPr>
        <w:t xml:space="preserve"> </w:t>
      </w:r>
      <w:r>
        <w:t>timely</w:t>
      </w:r>
      <w:r>
        <w:rPr>
          <w:spacing w:val="-14"/>
        </w:rPr>
        <w:t xml:space="preserve"> </w:t>
      </w:r>
      <w:r>
        <w:t>opportunities</w:t>
      </w:r>
      <w:r>
        <w:rPr>
          <w:spacing w:val="-13"/>
        </w:rPr>
        <w:t xml:space="preserve"> </w:t>
      </w:r>
      <w:r>
        <w:t>to</w:t>
      </w:r>
      <w:r>
        <w:rPr>
          <w:spacing w:val="-14"/>
        </w:rPr>
        <w:t xml:space="preserve"> </w:t>
      </w:r>
      <w:r>
        <w:t>the</w:t>
      </w:r>
      <w:r>
        <w:rPr>
          <w:spacing w:val="-13"/>
        </w:rPr>
        <w:t xml:space="preserve"> </w:t>
      </w:r>
      <w:r>
        <w:t>i</w:t>
      </w:r>
      <w:r>
        <w:t>nterested parties to see this information and consequently undermined their ability to understand the information and prepare presentations.</w:t>
      </w:r>
    </w:p>
    <w:p w14:paraId="51DE9A0B" w14:textId="77777777" w:rsidR="0010369C" w:rsidRDefault="0010369C">
      <w:pPr>
        <w:pStyle w:val="BodyText"/>
        <w:spacing w:before="10"/>
        <w:rPr>
          <w:sz w:val="8"/>
        </w:rPr>
      </w:pPr>
    </w:p>
    <w:p w14:paraId="51DE9A0C" w14:textId="77777777" w:rsidR="0010369C" w:rsidRDefault="008E43AE">
      <w:pPr>
        <w:pStyle w:val="BodyText"/>
        <w:spacing w:before="52" w:line="360" w:lineRule="auto"/>
        <w:ind w:left="237" w:right="612" w:firstLine="12"/>
        <w:jc w:val="both"/>
      </w:pPr>
      <w:r>
        <w:rPr>
          <w:noProof/>
        </w:rPr>
        <w:drawing>
          <wp:inline distT="0" distB="0" distL="0" distR="0" wp14:anchorId="51DEA883" wp14:editId="51DEA884">
            <wp:extent cx="332231" cy="109727"/>
            <wp:effectExtent l="0" t="0" r="0" b="0"/>
            <wp:docPr id="1957" name="image1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 name="image1006.png"/>
                    <pic:cNvPicPr/>
                  </pic:nvPicPr>
                  <pic:blipFill>
                    <a:blip r:embed="rId1289" cstate="print"/>
                    <a:stretch>
                      <a:fillRect/>
                    </a:stretch>
                  </pic:blipFill>
                  <pic:spPr>
                    <a:xfrm>
                      <a:off x="0" y="0"/>
                      <a:ext cx="332231" cy="109727"/>
                    </a:xfrm>
                    <a:prstGeom prst="rect">
                      <a:avLst/>
                    </a:prstGeom>
                  </pic:spPr>
                </pic:pic>
              </a:graphicData>
            </a:graphic>
          </wp:inline>
        </w:drawing>
      </w:r>
      <w:r>
        <w:rPr>
          <w:rFonts w:ascii="Times New Roman"/>
          <w:spacing w:val="80"/>
          <w:w w:val="150"/>
          <w:position w:val="1"/>
          <w:sz w:val="20"/>
        </w:rPr>
        <w:t xml:space="preserve"> </w:t>
      </w:r>
      <w:r>
        <w:rPr>
          <w:position w:val="1"/>
        </w:rPr>
        <w:t xml:space="preserve">In determining the facts available for the calculation of Casella Wines' constructed </w:t>
      </w:r>
      <w:r>
        <w:t>normal</w:t>
      </w:r>
      <w:r>
        <w:rPr>
          <w:spacing w:val="-2"/>
        </w:rPr>
        <w:t xml:space="preserve"> </w:t>
      </w:r>
      <w:r>
        <w:t>value,</w:t>
      </w:r>
      <w:r>
        <w:rPr>
          <w:spacing w:val="-2"/>
        </w:rPr>
        <w:t xml:space="preserve"> </w:t>
      </w:r>
      <w:r>
        <w:t>MOFCOM</w:t>
      </w:r>
      <w:r>
        <w:rPr>
          <w:spacing w:val="-2"/>
        </w:rPr>
        <w:t xml:space="preserve"> </w:t>
      </w:r>
      <w:r>
        <w:t>initia</w:t>
      </w:r>
      <w:r>
        <w:t>lly</w:t>
      </w:r>
      <w:r>
        <w:rPr>
          <w:spacing w:val="-1"/>
        </w:rPr>
        <w:t xml:space="preserve"> </w:t>
      </w:r>
      <w:r>
        <w:t>used</w:t>
      </w:r>
      <w:r>
        <w:rPr>
          <w:spacing w:val="-1"/>
        </w:rPr>
        <w:t xml:space="preserve"> </w:t>
      </w:r>
      <w:r>
        <w:t>"the</w:t>
      </w:r>
      <w:r>
        <w:rPr>
          <w:spacing w:val="-1"/>
        </w:rPr>
        <w:t xml:space="preserve"> </w:t>
      </w:r>
      <w:r>
        <w:t>prices</w:t>
      </w:r>
      <w:r>
        <w:rPr>
          <w:spacing w:val="-1"/>
        </w:rPr>
        <w:t xml:space="preserve"> </w:t>
      </w:r>
      <w:r>
        <w:t>of</w:t>
      </w:r>
      <w:r>
        <w:rPr>
          <w:spacing w:val="-2"/>
        </w:rPr>
        <w:t xml:space="preserve"> </w:t>
      </w:r>
      <w:r>
        <w:t>some</w:t>
      </w:r>
      <w:r>
        <w:rPr>
          <w:spacing w:val="-1"/>
        </w:rPr>
        <w:t xml:space="preserve"> </w:t>
      </w:r>
      <w:r>
        <w:t>of</w:t>
      </w:r>
      <w:r>
        <w:rPr>
          <w:spacing w:val="-3"/>
        </w:rPr>
        <w:t xml:space="preserve"> </w:t>
      </w:r>
      <w:r>
        <w:t>the</w:t>
      </w:r>
      <w:r>
        <w:rPr>
          <w:spacing w:val="-1"/>
        </w:rPr>
        <w:t xml:space="preserve"> </w:t>
      </w:r>
      <w:r>
        <w:t>transactions</w:t>
      </w:r>
      <w:r>
        <w:rPr>
          <w:spacing w:val="-2"/>
        </w:rPr>
        <w:t xml:space="preserve"> </w:t>
      </w:r>
      <w:r>
        <w:t>reported</w:t>
      </w:r>
      <w:r>
        <w:rPr>
          <w:spacing w:val="-2"/>
        </w:rPr>
        <w:t xml:space="preserve"> </w:t>
      </w:r>
      <w:r>
        <w:t>by</w:t>
      </w:r>
      <w:r>
        <w:rPr>
          <w:spacing w:val="-1"/>
        </w:rPr>
        <w:t xml:space="preserve"> </w:t>
      </w:r>
      <w:r>
        <w:t>the Company"</w:t>
      </w:r>
      <w:r>
        <w:rPr>
          <w:vertAlign w:val="superscript"/>
        </w:rPr>
        <w:t>1164</w:t>
      </w:r>
      <w:r>
        <w:t xml:space="preserve"> in the Preliminary Determination. In the Final Disclosure and Final Determination, it instead relied upon the "weighted average price of other domestic sales of the product under investigation given</w:t>
      </w:r>
      <w:r>
        <w:rPr>
          <w:spacing w:val="-1"/>
        </w:rPr>
        <w:t xml:space="preserve"> </w:t>
      </w:r>
      <w:r>
        <w:t>by other respondents".</w:t>
      </w:r>
      <w:r>
        <w:rPr>
          <w:vertAlign w:val="superscript"/>
        </w:rPr>
        <w:t>1165</w:t>
      </w:r>
      <w:r>
        <w:rPr>
          <w:spacing w:val="-1"/>
        </w:rPr>
        <w:t xml:space="preserve"> </w:t>
      </w:r>
      <w:r>
        <w:t>Similarly, in the Preliminary</w:t>
      </w:r>
      <w:r>
        <w:t xml:space="preserve"> Determination,</w:t>
      </w:r>
      <w:r>
        <w:rPr>
          <w:spacing w:val="-8"/>
        </w:rPr>
        <w:t xml:space="preserve"> </w:t>
      </w:r>
      <w:r>
        <w:t>MOFCOM</w:t>
      </w:r>
      <w:r>
        <w:rPr>
          <w:spacing w:val="-8"/>
        </w:rPr>
        <w:t xml:space="preserve"> </w:t>
      </w:r>
      <w:r>
        <w:t>determined</w:t>
      </w:r>
      <w:r>
        <w:rPr>
          <w:spacing w:val="-8"/>
        </w:rPr>
        <w:t xml:space="preserve"> </w:t>
      </w:r>
      <w:r>
        <w:t>that</w:t>
      </w:r>
      <w:r>
        <w:rPr>
          <w:spacing w:val="-9"/>
        </w:rPr>
        <w:t xml:space="preserve"> </w:t>
      </w:r>
      <w:r>
        <w:t>the</w:t>
      </w:r>
      <w:r>
        <w:rPr>
          <w:spacing w:val="-9"/>
        </w:rPr>
        <w:t xml:space="preserve"> </w:t>
      </w:r>
      <w:r>
        <w:t>facts</w:t>
      </w:r>
      <w:r>
        <w:rPr>
          <w:spacing w:val="-9"/>
        </w:rPr>
        <w:t xml:space="preserve"> </w:t>
      </w:r>
      <w:r>
        <w:t>available</w:t>
      </w:r>
      <w:r>
        <w:rPr>
          <w:spacing w:val="-8"/>
        </w:rPr>
        <w:t xml:space="preserve"> </w:t>
      </w:r>
      <w:r>
        <w:t>for</w:t>
      </w:r>
      <w:r>
        <w:rPr>
          <w:spacing w:val="-9"/>
        </w:rPr>
        <w:t xml:space="preserve"> </w:t>
      </w:r>
      <w:r>
        <w:t>calculating</w:t>
      </w:r>
      <w:r>
        <w:rPr>
          <w:spacing w:val="-8"/>
        </w:rPr>
        <w:t xml:space="preserve"> </w:t>
      </w:r>
      <w:r>
        <w:t>the</w:t>
      </w:r>
      <w:r>
        <w:rPr>
          <w:spacing w:val="-8"/>
        </w:rPr>
        <w:t xml:space="preserve"> </w:t>
      </w:r>
      <w:r>
        <w:t>normal</w:t>
      </w:r>
      <w:r>
        <w:rPr>
          <w:spacing w:val="-8"/>
        </w:rPr>
        <w:t xml:space="preserve"> </w:t>
      </w:r>
      <w:r>
        <w:t>value of Swan Vintage were "the costs and expenses of some of the product under investigation reported by the Company, as well as the profit margin reported by the Compan</w:t>
      </w:r>
      <w:r>
        <w:t>y".</w:t>
      </w:r>
      <w:r>
        <w:rPr>
          <w:vertAlign w:val="superscript"/>
        </w:rPr>
        <w:t>1166</w:t>
      </w:r>
      <w:r>
        <w:t xml:space="preserve"> However,</w:t>
      </w:r>
      <w:r>
        <w:rPr>
          <w:spacing w:val="-5"/>
        </w:rPr>
        <w:t xml:space="preserve"> </w:t>
      </w:r>
      <w:r>
        <w:t>in</w:t>
      </w:r>
      <w:r>
        <w:rPr>
          <w:spacing w:val="-6"/>
        </w:rPr>
        <w:t xml:space="preserve"> </w:t>
      </w:r>
      <w:r>
        <w:t>the</w:t>
      </w:r>
      <w:r>
        <w:rPr>
          <w:spacing w:val="-4"/>
        </w:rPr>
        <w:t xml:space="preserve"> </w:t>
      </w:r>
      <w:r>
        <w:t>Final</w:t>
      </w:r>
      <w:r>
        <w:rPr>
          <w:spacing w:val="-5"/>
        </w:rPr>
        <w:t xml:space="preserve"> </w:t>
      </w:r>
      <w:r>
        <w:t>Disclosure</w:t>
      </w:r>
      <w:r>
        <w:rPr>
          <w:spacing w:val="-5"/>
        </w:rPr>
        <w:t xml:space="preserve"> </w:t>
      </w:r>
      <w:r>
        <w:t>and</w:t>
      </w:r>
      <w:r>
        <w:rPr>
          <w:spacing w:val="-5"/>
        </w:rPr>
        <w:t xml:space="preserve"> </w:t>
      </w:r>
      <w:r>
        <w:t>the</w:t>
      </w:r>
      <w:r>
        <w:rPr>
          <w:spacing w:val="-4"/>
        </w:rPr>
        <w:t xml:space="preserve"> </w:t>
      </w:r>
      <w:r>
        <w:t>Final</w:t>
      </w:r>
      <w:r>
        <w:rPr>
          <w:spacing w:val="-5"/>
        </w:rPr>
        <w:t xml:space="preserve"> </w:t>
      </w:r>
      <w:r>
        <w:t>Determination,</w:t>
      </w:r>
      <w:r>
        <w:rPr>
          <w:spacing w:val="-5"/>
        </w:rPr>
        <w:t xml:space="preserve"> </w:t>
      </w:r>
      <w:r>
        <w:t>MOFCOM</w:t>
      </w:r>
      <w:r>
        <w:rPr>
          <w:spacing w:val="-5"/>
        </w:rPr>
        <w:t xml:space="preserve"> </w:t>
      </w:r>
      <w:r>
        <w:t>inexplicably</w:t>
      </w:r>
      <w:r>
        <w:rPr>
          <w:spacing w:val="-5"/>
        </w:rPr>
        <w:t xml:space="preserve"> </w:t>
      </w:r>
      <w:r>
        <w:rPr>
          <w:spacing w:val="-2"/>
        </w:rPr>
        <w:t>decided</w:t>
      </w:r>
    </w:p>
    <w:p w14:paraId="51DE9A0D" w14:textId="77777777" w:rsidR="0010369C" w:rsidRDefault="0010369C">
      <w:pPr>
        <w:pStyle w:val="BodyText"/>
        <w:rPr>
          <w:sz w:val="20"/>
        </w:rPr>
      </w:pPr>
    </w:p>
    <w:p w14:paraId="51DE9A0E" w14:textId="77777777" w:rsidR="0010369C" w:rsidRDefault="0010369C">
      <w:pPr>
        <w:pStyle w:val="BodyText"/>
        <w:rPr>
          <w:sz w:val="20"/>
        </w:rPr>
      </w:pPr>
    </w:p>
    <w:p w14:paraId="51DE9A0F" w14:textId="77777777" w:rsidR="0010369C" w:rsidRDefault="008E43AE">
      <w:pPr>
        <w:pStyle w:val="BodyText"/>
        <w:spacing w:before="7"/>
        <w:rPr>
          <w:sz w:val="29"/>
        </w:rPr>
      </w:pPr>
      <w:r>
        <w:pict w14:anchorId="51DEA885">
          <v:rect id="docshape1384" o:spid="_x0000_s1090" style="position:absolute;margin-left:70.9pt;margin-top:19.3pt;width:2in;height:.8pt;z-index:-250690048;mso-wrap-distance-left:0;mso-wrap-distance-right:0;mso-position-horizontal-relative:page" fillcolor="black" stroked="f">
            <w10:wrap type="topAndBottom" anchorx="page"/>
          </v:rect>
        </w:pict>
      </w:r>
    </w:p>
    <w:p w14:paraId="51DE9A10" w14:textId="77777777" w:rsidR="0010369C" w:rsidRDefault="008E43AE">
      <w:pPr>
        <w:spacing w:before="109"/>
        <w:ind w:left="238"/>
        <w:rPr>
          <w:sz w:val="18"/>
        </w:rPr>
      </w:pPr>
      <w:r>
        <w:rPr>
          <w:sz w:val="18"/>
          <w:vertAlign w:val="superscript"/>
        </w:rPr>
        <w:t>1164</w:t>
      </w:r>
      <w:r>
        <w:rPr>
          <w:spacing w:val="-9"/>
          <w:sz w:val="18"/>
        </w:rPr>
        <w:t xml:space="preserve"> </w:t>
      </w:r>
      <w:r>
        <w:rPr>
          <w:sz w:val="18"/>
        </w:rPr>
        <w:t>Anti‐Dumping</w:t>
      </w:r>
      <w:r>
        <w:rPr>
          <w:spacing w:val="-9"/>
          <w:sz w:val="18"/>
        </w:rPr>
        <w:t xml:space="preserve"> </w:t>
      </w:r>
      <w:r>
        <w:rPr>
          <w:sz w:val="18"/>
        </w:rPr>
        <w:t>Preliminary</w:t>
      </w:r>
      <w:r>
        <w:rPr>
          <w:spacing w:val="-9"/>
          <w:sz w:val="18"/>
        </w:rPr>
        <w:t xml:space="preserve"> </w:t>
      </w:r>
      <w:r>
        <w:rPr>
          <w:sz w:val="18"/>
        </w:rPr>
        <w:t>Determination</w:t>
      </w:r>
      <w:r>
        <w:rPr>
          <w:spacing w:val="-8"/>
          <w:sz w:val="18"/>
        </w:rPr>
        <w:t xml:space="preserve"> </w:t>
      </w:r>
      <w:r>
        <w:rPr>
          <w:sz w:val="18"/>
        </w:rPr>
        <w:t>(Exhibit</w:t>
      </w:r>
      <w:r>
        <w:rPr>
          <w:spacing w:val="-10"/>
          <w:sz w:val="18"/>
        </w:rPr>
        <w:t xml:space="preserve"> </w:t>
      </w:r>
      <w:r>
        <w:rPr>
          <w:sz w:val="18"/>
        </w:rPr>
        <w:t>AUS‐35),</w:t>
      </w:r>
      <w:r>
        <w:rPr>
          <w:spacing w:val="-9"/>
          <w:sz w:val="18"/>
        </w:rPr>
        <w:t xml:space="preserve"> </w:t>
      </w:r>
      <w:r>
        <w:rPr>
          <w:sz w:val="18"/>
        </w:rPr>
        <w:t>pp.</w:t>
      </w:r>
      <w:r>
        <w:rPr>
          <w:spacing w:val="-9"/>
          <w:sz w:val="18"/>
        </w:rPr>
        <w:t xml:space="preserve"> </w:t>
      </w:r>
      <w:r>
        <w:rPr>
          <w:sz w:val="18"/>
        </w:rPr>
        <w:t>29,</w:t>
      </w:r>
      <w:r>
        <w:rPr>
          <w:spacing w:val="-10"/>
          <w:sz w:val="18"/>
        </w:rPr>
        <w:t xml:space="preserve"> </w:t>
      </w:r>
      <w:r>
        <w:rPr>
          <w:spacing w:val="-2"/>
          <w:sz w:val="18"/>
        </w:rPr>
        <w:t>51‐52.</w:t>
      </w:r>
    </w:p>
    <w:p w14:paraId="51DE9A11" w14:textId="77777777" w:rsidR="0010369C" w:rsidRDefault="008E43AE">
      <w:pPr>
        <w:ind w:left="238"/>
        <w:rPr>
          <w:sz w:val="18"/>
        </w:rPr>
      </w:pPr>
      <w:r>
        <w:rPr>
          <w:sz w:val="18"/>
          <w:vertAlign w:val="superscript"/>
        </w:rPr>
        <w:t>1165</w:t>
      </w:r>
      <w:r>
        <w:rPr>
          <w:spacing w:val="-9"/>
          <w:sz w:val="18"/>
        </w:rPr>
        <w:t xml:space="preserve"> </w:t>
      </w:r>
      <w:r>
        <w:rPr>
          <w:sz w:val="18"/>
        </w:rPr>
        <w:t>Anti‐Dumping</w:t>
      </w:r>
      <w:r>
        <w:rPr>
          <w:spacing w:val="-8"/>
          <w:sz w:val="18"/>
        </w:rPr>
        <w:t xml:space="preserve"> </w:t>
      </w:r>
      <w:r>
        <w:rPr>
          <w:sz w:val="18"/>
        </w:rPr>
        <w:t>Final</w:t>
      </w:r>
      <w:r>
        <w:rPr>
          <w:spacing w:val="-8"/>
          <w:sz w:val="18"/>
        </w:rPr>
        <w:t xml:space="preserve"> </w:t>
      </w:r>
      <w:r>
        <w:rPr>
          <w:sz w:val="18"/>
        </w:rPr>
        <w:t>Disclosure</w:t>
      </w:r>
      <w:r>
        <w:rPr>
          <w:spacing w:val="-8"/>
          <w:sz w:val="18"/>
        </w:rPr>
        <w:t xml:space="preserve"> </w:t>
      </w:r>
      <w:r>
        <w:rPr>
          <w:sz w:val="18"/>
        </w:rPr>
        <w:t>(Exhibit</w:t>
      </w:r>
      <w:r>
        <w:rPr>
          <w:spacing w:val="-9"/>
          <w:sz w:val="18"/>
        </w:rPr>
        <w:t xml:space="preserve"> </w:t>
      </w:r>
      <w:r>
        <w:rPr>
          <w:sz w:val="18"/>
        </w:rPr>
        <w:t>AUS‐16</w:t>
      </w:r>
      <w:r>
        <w:rPr>
          <w:spacing w:val="-8"/>
          <w:sz w:val="18"/>
        </w:rPr>
        <w:t xml:space="preserve"> </w:t>
      </w:r>
      <w:r>
        <w:rPr>
          <w:sz w:val="18"/>
        </w:rPr>
        <w:t>(BCI)),</w:t>
      </w:r>
      <w:r>
        <w:rPr>
          <w:spacing w:val="-9"/>
          <w:sz w:val="18"/>
        </w:rPr>
        <w:t xml:space="preserve"> </w:t>
      </w:r>
      <w:r>
        <w:rPr>
          <w:sz w:val="18"/>
        </w:rPr>
        <w:t>p.</w:t>
      </w:r>
      <w:r>
        <w:rPr>
          <w:spacing w:val="-8"/>
          <w:sz w:val="18"/>
        </w:rPr>
        <w:t xml:space="preserve"> </w:t>
      </w:r>
      <w:r>
        <w:rPr>
          <w:sz w:val="18"/>
        </w:rPr>
        <w:t>60;</w:t>
      </w:r>
      <w:r>
        <w:rPr>
          <w:spacing w:val="-9"/>
          <w:sz w:val="18"/>
        </w:rPr>
        <w:t xml:space="preserve"> </w:t>
      </w:r>
      <w:r>
        <w:rPr>
          <w:sz w:val="18"/>
        </w:rPr>
        <w:t>Anti‐Dumping</w:t>
      </w:r>
      <w:r>
        <w:rPr>
          <w:spacing w:val="-8"/>
          <w:sz w:val="18"/>
        </w:rPr>
        <w:t xml:space="preserve"> </w:t>
      </w:r>
      <w:r>
        <w:rPr>
          <w:sz w:val="18"/>
        </w:rPr>
        <w:t>Final</w:t>
      </w:r>
      <w:r>
        <w:rPr>
          <w:spacing w:val="-8"/>
          <w:sz w:val="18"/>
        </w:rPr>
        <w:t xml:space="preserve"> </w:t>
      </w:r>
      <w:r>
        <w:rPr>
          <w:sz w:val="18"/>
        </w:rPr>
        <w:t>Determination</w:t>
      </w:r>
      <w:r>
        <w:rPr>
          <w:spacing w:val="-9"/>
          <w:sz w:val="18"/>
        </w:rPr>
        <w:t xml:space="preserve"> </w:t>
      </w:r>
      <w:r>
        <w:rPr>
          <w:sz w:val="18"/>
        </w:rPr>
        <w:t>(Exhibit</w:t>
      </w:r>
      <w:r>
        <w:rPr>
          <w:spacing w:val="-8"/>
          <w:sz w:val="18"/>
        </w:rPr>
        <w:t xml:space="preserve"> </w:t>
      </w:r>
      <w:r>
        <w:rPr>
          <w:sz w:val="18"/>
        </w:rPr>
        <w:t>AUS‐2),</w:t>
      </w:r>
      <w:r>
        <w:rPr>
          <w:spacing w:val="-9"/>
          <w:sz w:val="18"/>
        </w:rPr>
        <w:t xml:space="preserve"> </w:t>
      </w:r>
      <w:r>
        <w:rPr>
          <w:sz w:val="18"/>
        </w:rPr>
        <w:t>p.</w:t>
      </w:r>
      <w:r>
        <w:rPr>
          <w:spacing w:val="-8"/>
          <w:sz w:val="18"/>
        </w:rPr>
        <w:t xml:space="preserve"> </w:t>
      </w:r>
      <w:r>
        <w:rPr>
          <w:spacing w:val="-5"/>
          <w:sz w:val="18"/>
        </w:rPr>
        <w:t>92.</w:t>
      </w:r>
    </w:p>
    <w:p w14:paraId="51DE9A12" w14:textId="77777777" w:rsidR="0010369C" w:rsidRDefault="008E43AE">
      <w:pPr>
        <w:ind w:left="238"/>
        <w:rPr>
          <w:sz w:val="18"/>
        </w:rPr>
      </w:pPr>
      <w:r>
        <w:rPr>
          <w:sz w:val="18"/>
          <w:vertAlign w:val="superscript"/>
        </w:rPr>
        <w:t>1166</w:t>
      </w:r>
      <w:r>
        <w:rPr>
          <w:spacing w:val="-10"/>
          <w:sz w:val="18"/>
        </w:rPr>
        <w:t xml:space="preserve"> </w:t>
      </w:r>
      <w:r>
        <w:rPr>
          <w:sz w:val="18"/>
        </w:rPr>
        <w:t>Anti‐Dumping</w:t>
      </w:r>
      <w:r>
        <w:rPr>
          <w:spacing w:val="-9"/>
          <w:sz w:val="18"/>
        </w:rPr>
        <w:t xml:space="preserve"> </w:t>
      </w:r>
      <w:r>
        <w:rPr>
          <w:sz w:val="18"/>
        </w:rPr>
        <w:t>Preliminary</w:t>
      </w:r>
      <w:r>
        <w:rPr>
          <w:spacing w:val="-9"/>
          <w:sz w:val="18"/>
        </w:rPr>
        <w:t xml:space="preserve"> </w:t>
      </w:r>
      <w:r>
        <w:rPr>
          <w:sz w:val="18"/>
        </w:rPr>
        <w:t>Determination</w:t>
      </w:r>
      <w:r>
        <w:rPr>
          <w:spacing w:val="-9"/>
          <w:sz w:val="18"/>
        </w:rPr>
        <w:t xml:space="preserve"> </w:t>
      </w:r>
      <w:r>
        <w:rPr>
          <w:sz w:val="18"/>
        </w:rPr>
        <w:t>(Exhibit</w:t>
      </w:r>
      <w:r>
        <w:rPr>
          <w:spacing w:val="-10"/>
          <w:sz w:val="18"/>
        </w:rPr>
        <w:t xml:space="preserve"> </w:t>
      </w:r>
      <w:r>
        <w:rPr>
          <w:sz w:val="18"/>
        </w:rPr>
        <w:t>AUS‐35),</w:t>
      </w:r>
      <w:r>
        <w:rPr>
          <w:spacing w:val="-10"/>
          <w:sz w:val="18"/>
        </w:rPr>
        <w:t xml:space="preserve"> </w:t>
      </w:r>
      <w:r>
        <w:rPr>
          <w:sz w:val="18"/>
        </w:rPr>
        <w:t>p.</w:t>
      </w:r>
      <w:r>
        <w:rPr>
          <w:spacing w:val="-10"/>
          <w:sz w:val="18"/>
        </w:rPr>
        <w:t xml:space="preserve"> </w:t>
      </w:r>
      <w:r>
        <w:rPr>
          <w:spacing w:val="-5"/>
          <w:sz w:val="18"/>
        </w:rPr>
        <w:t>31.</w:t>
      </w:r>
    </w:p>
    <w:p w14:paraId="51DE9A13" w14:textId="77777777" w:rsidR="0010369C" w:rsidRDefault="0010369C">
      <w:pPr>
        <w:rPr>
          <w:sz w:val="18"/>
        </w:rPr>
        <w:sectPr w:rsidR="0010369C">
          <w:pgSz w:w="11910" w:h="16840"/>
          <w:pgMar w:top="880" w:right="800" w:bottom="980" w:left="1180" w:header="569" w:footer="788" w:gutter="0"/>
          <w:cols w:space="720"/>
        </w:sectPr>
      </w:pPr>
    </w:p>
    <w:p w14:paraId="51DE9A14" w14:textId="77777777" w:rsidR="0010369C" w:rsidRDefault="008E43AE">
      <w:pPr>
        <w:tabs>
          <w:tab w:val="left" w:pos="6425"/>
        </w:tabs>
        <w:ind w:left="238"/>
        <w:rPr>
          <w:sz w:val="20"/>
        </w:rPr>
      </w:pPr>
      <w:r>
        <w:rPr>
          <w:i/>
          <w:sz w:val="20"/>
        </w:rPr>
        <w:lastRenderedPageBreak/>
        <w:t>China</w:t>
      </w:r>
      <w:r>
        <w:rPr>
          <w:i/>
          <w:spacing w:val="-5"/>
          <w:sz w:val="20"/>
        </w:rPr>
        <w:t xml:space="preserve"> </w:t>
      </w:r>
      <w:r>
        <w:rPr>
          <w:i/>
          <w:sz w:val="20"/>
        </w:rPr>
        <w:t>–</w:t>
      </w:r>
      <w:r>
        <w:rPr>
          <w:i/>
          <w:spacing w:val="-5"/>
          <w:sz w:val="20"/>
        </w:rPr>
        <w:t xml:space="preserve"> </w:t>
      </w:r>
      <w:r>
        <w:rPr>
          <w:i/>
          <w:sz w:val="20"/>
        </w:rPr>
        <w:t>Anti‐Dumping</w:t>
      </w:r>
      <w:r>
        <w:rPr>
          <w:i/>
          <w:spacing w:val="-4"/>
          <w:sz w:val="20"/>
        </w:rPr>
        <w:t xml:space="preserve"> </w:t>
      </w:r>
      <w:r>
        <w:rPr>
          <w:i/>
          <w:sz w:val="20"/>
        </w:rPr>
        <w:t>and</w:t>
      </w:r>
      <w:r>
        <w:rPr>
          <w:i/>
          <w:spacing w:val="-5"/>
          <w:sz w:val="20"/>
        </w:rPr>
        <w:t xml:space="preserve"> </w:t>
      </w:r>
      <w:r>
        <w:rPr>
          <w:i/>
          <w:sz w:val="20"/>
        </w:rPr>
        <w:t>Countervailing</w:t>
      </w:r>
      <w:r>
        <w:rPr>
          <w:i/>
          <w:spacing w:val="-5"/>
          <w:sz w:val="20"/>
        </w:rPr>
        <w:t xml:space="preserve"> </w:t>
      </w:r>
      <w:r>
        <w:rPr>
          <w:i/>
          <w:sz w:val="20"/>
        </w:rPr>
        <w:t>Duty</w:t>
      </w:r>
      <w:r>
        <w:rPr>
          <w:i/>
          <w:spacing w:val="-4"/>
          <w:sz w:val="20"/>
        </w:rPr>
        <w:t xml:space="preserve"> </w:t>
      </w:r>
      <w:r>
        <w:rPr>
          <w:i/>
          <w:spacing w:val="-2"/>
          <w:sz w:val="20"/>
        </w:rPr>
        <w:t>Measures</w:t>
      </w:r>
      <w:r>
        <w:rPr>
          <w:i/>
          <w:sz w:val="20"/>
        </w:rPr>
        <w:tab/>
      </w:r>
      <w:r>
        <w:rPr>
          <w:sz w:val="20"/>
        </w:rPr>
        <w:t>Australia's</w:t>
      </w:r>
      <w:r>
        <w:rPr>
          <w:spacing w:val="-7"/>
          <w:sz w:val="20"/>
        </w:rPr>
        <w:t xml:space="preserve"> </w:t>
      </w:r>
      <w:r>
        <w:rPr>
          <w:sz w:val="20"/>
        </w:rPr>
        <w:t>First</w:t>
      </w:r>
      <w:r>
        <w:rPr>
          <w:spacing w:val="-2"/>
          <w:sz w:val="20"/>
        </w:rPr>
        <w:t xml:space="preserve"> </w:t>
      </w:r>
      <w:r>
        <w:rPr>
          <w:sz w:val="20"/>
        </w:rPr>
        <w:t>Written</w:t>
      </w:r>
      <w:r>
        <w:rPr>
          <w:spacing w:val="-2"/>
          <w:sz w:val="20"/>
        </w:rPr>
        <w:t xml:space="preserve"> Submission</w:t>
      </w:r>
    </w:p>
    <w:p w14:paraId="51DE9A15" w14:textId="77777777" w:rsidR="0010369C" w:rsidRDefault="008E43AE">
      <w:pPr>
        <w:tabs>
          <w:tab w:val="left" w:pos="8227"/>
        </w:tabs>
        <w:spacing w:before="1"/>
        <w:ind w:left="239"/>
        <w:rPr>
          <w:sz w:val="20"/>
        </w:rPr>
      </w:pPr>
      <w:r>
        <w:rPr>
          <w:i/>
          <w:sz w:val="20"/>
        </w:rPr>
        <w:t>on</w:t>
      </w:r>
      <w:r>
        <w:rPr>
          <w:i/>
          <w:spacing w:val="-1"/>
          <w:sz w:val="20"/>
        </w:rPr>
        <w:t xml:space="preserve"> </w:t>
      </w:r>
      <w:r>
        <w:rPr>
          <w:i/>
          <w:sz w:val="20"/>
        </w:rPr>
        <w:t>Wine</w:t>
      </w:r>
      <w:r>
        <w:rPr>
          <w:i/>
          <w:spacing w:val="-1"/>
          <w:sz w:val="20"/>
        </w:rPr>
        <w:t xml:space="preserve"> </w:t>
      </w:r>
      <w:r>
        <w:rPr>
          <w:i/>
          <w:sz w:val="20"/>
        </w:rPr>
        <w:t>from</w:t>
      </w:r>
      <w:r>
        <w:rPr>
          <w:i/>
          <w:spacing w:val="-3"/>
          <w:sz w:val="20"/>
        </w:rPr>
        <w:t xml:space="preserve"> </w:t>
      </w:r>
      <w:r>
        <w:rPr>
          <w:i/>
          <w:sz w:val="20"/>
        </w:rPr>
        <w:t>Australia</w:t>
      </w:r>
      <w:r>
        <w:rPr>
          <w:i/>
          <w:spacing w:val="-1"/>
          <w:sz w:val="20"/>
        </w:rPr>
        <w:t xml:space="preserve"> </w:t>
      </w:r>
      <w:r>
        <w:rPr>
          <w:spacing w:val="-2"/>
          <w:sz w:val="20"/>
        </w:rPr>
        <w:t>(DS602)</w:t>
      </w:r>
      <w:r>
        <w:rPr>
          <w:sz w:val="20"/>
        </w:rPr>
        <w:tab/>
        <w:t>29</w:t>
      </w:r>
      <w:r>
        <w:rPr>
          <w:spacing w:val="-1"/>
          <w:sz w:val="20"/>
        </w:rPr>
        <w:t xml:space="preserve"> </w:t>
      </w:r>
      <w:r>
        <w:rPr>
          <w:sz w:val="20"/>
        </w:rPr>
        <w:t>April</w:t>
      </w:r>
      <w:r>
        <w:rPr>
          <w:spacing w:val="-2"/>
          <w:sz w:val="20"/>
        </w:rPr>
        <w:t xml:space="preserve"> </w:t>
      </w:r>
      <w:r>
        <w:rPr>
          <w:spacing w:val="-4"/>
          <w:sz w:val="20"/>
        </w:rPr>
        <w:t>2022</w:t>
      </w:r>
    </w:p>
    <w:p w14:paraId="51DE9A16" w14:textId="77777777" w:rsidR="0010369C" w:rsidRDefault="008E43AE">
      <w:pPr>
        <w:pStyle w:val="BodyText"/>
        <w:spacing w:before="34" w:line="360" w:lineRule="auto"/>
        <w:ind w:left="238" w:right="611"/>
      </w:pPr>
      <w:r>
        <w:t>that</w:t>
      </w:r>
      <w:r>
        <w:rPr>
          <w:spacing w:val="-14"/>
        </w:rPr>
        <w:t xml:space="preserve"> </w:t>
      </w:r>
      <w:r>
        <w:t>the</w:t>
      </w:r>
      <w:r>
        <w:rPr>
          <w:spacing w:val="-12"/>
        </w:rPr>
        <w:t xml:space="preserve"> </w:t>
      </w:r>
      <w:r>
        <w:t>new,</w:t>
      </w:r>
      <w:r>
        <w:rPr>
          <w:spacing w:val="-13"/>
        </w:rPr>
        <w:t xml:space="preserve"> </w:t>
      </w:r>
      <w:r>
        <w:t>replacement</w:t>
      </w:r>
      <w:r>
        <w:rPr>
          <w:spacing w:val="-14"/>
        </w:rPr>
        <w:t xml:space="preserve"> </w:t>
      </w:r>
      <w:r>
        <w:t>facts</w:t>
      </w:r>
      <w:r>
        <w:rPr>
          <w:spacing w:val="-13"/>
        </w:rPr>
        <w:t xml:space="preserve"> </w:t>
      </w:r>
      <w:r>
        <w:t>would</w:t>
      </w:r>
      <w:r>
        <w:rPr>
          <w:spacing w:val="-14"/>
        </w:rPr>
        <w:t xml:space="preserve"> </w:t>
      </w:r>
      <w:r>
        <w:t>be</w:t>
      </w:r>
      <w:r>
        <w:rPr>
          <w:spacing w:val="-12"/>
        </w:rPr>
        <w:t xml:space="preserve"> </w:t>
      </w:r>
      <w:r>
        <w:t>the</w:t>
      </w:r>
      <w:r>
        <w:rPr>
          <w:spacing w:val="-13"/>
        </w:rPr>
        <w:t xml:space="preserve"> </w:t>
      </w:r>
      <w:r>
        <w:t>"weighted</w:t>
      </w:r>
      <w:r>
        <w:rPr>
          <w:spacing w:val="-14"/>
        </w:rPr>
        <w:t xml:space="preserve"> </w:t>
      </w:r>
      <w:r>
        <w:t>average</w:t>
      </w:r>
      <w:r>
        <w:rPr>
          <w:spacing w:val="-12"/>
        </w:rPr>
        <w:t xml:space="preserve"> </w:t>
      </w:r>
      <w:r>
        <w:t>price</w:t>
      </w:r>
      <w:r>
        <w:rPr>
          <w:spacing w:val="-14"/>
        </w:rPr>
        <w:t xml:space="preserve"> </w:t>
      </w:r>
      <w:r>
        <w:t>of</w:t>
      </w:r>
      <w:r>
        <w:rPr>
          <w:spacing w:val="-13"/>
        </w:rPr>
        <w:t xml:space="preserve"> </w:t>
      </w:r>
      <w:r>
        <w:t>other</w:t>
      </w:r>
      <w:r>
        <w:rPr>
          <w:spacing w:val="-13"/>
        </w:rPr>
        <w:t xml:space="preserve"> </w:t>
      </w:r>
      <w:r>
        <w:t>domestic</w:t>
      </w:r>
      <w:r>
        <w:rPr>
          <w:spacing w:val="-12"/>
        </w:rPr>
        <w:t xml:space="preserve"> </w:t>
      </w:r>
      <w:r>
        <w:t>sales of the product under investigation given by other respondents".</w:t>
      </w:r>
      <w:r>
        <w:rPr>
          <w:vertAlign w:val="superscript"/>
        </w:rPr>
        <w:t>1167</w:t>
      </w:r>
    </w:p>
    <w:p w14:paraId="51DE9A17" w14:textId="77777777" w:rsidR="0010369C" w:rsidRDefault="0010369C">
      <w:pPr>
        <w:pStyle w:val="BodyText"/>
        <w:spacing w:before="10"/>
        <w:rPr>
          <w:sz w:val="8"/>
        </w:rPr>
      </w:pPr>
    </w:p>
    <w:p w14:paraId="51DE9A18" w14:textId="77777777" w:rsidR="0010369C" w:rsidRDefault="008E43AE">
      <w:pPr>
        <w:pStyle w:val="BodyText"/>
        <w:spacing w:before="52" w:line="360" w:lineRule="auto"/>
        <w:ind w:left="236" w:right="613" w:firstLine="852"/>
        <w:jc w:val="both"/>
      </w:pPr>
      <w:r>
        <w:rPr>
          <w:noProof/>
        </w:rPr>
        <w:drawing>
          <wp:anchor distT="0" distB="0" distL="0" distR="0" simplePos="0" relativeHeight="251589120" behindDoc="1" locked="0" layoutInCell="1" allowOverlap="1" wp14:anchorId="51DEA886" wp14:editId="51DEA887">
            <wp:simplePos x="0" y="0"/>
            <wp:positionH relativeFrom="page">
              <wp:posOffset>908303</wp:posOffset>
            </wp:positionH>
            <wp:positionV relativeFrom="paragraph">
              <wp:posOffset>76785</wp:posOffset>
            </wp:positionV>
            <wp:extent cx="332231" cy="106679"/>
            <wp:effectExtent l="0" t="0" r="0" b="0"/>
            <wp:wrapNone/>
            <wp:docPr id="1959" name="image1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 name="image1007.png"/>
                    <pic:cNvPicPr/>
                  </pic:nvPicPr>
                  <pic:blipFill>
                    <a:blip r:embed="rId1290" cstate="print"/>
                    <a:stretch>
                      <a:fillRect/>
                    </a:stretch>
                  </pic:blipFill>
                  <pic:spPr>
                    <a:xfrm>
                      <a:off x="0" y="0"/>
                      <a:ext cx="332231" cy="106679"/>
                    </a:xfrm>
                    <a:prstGeom prst="rect">
                      <a:avLst/>
                    </a:prstGeom>
                  </pic:spPr>
                </pic:pic>
              </a:graphicData>
            </a:graphic>
          </wp:anchor>
        </w:drawing>
      </w:r>
      <w:r>
        <w:t>The</w:t>
      </w:r>
      <w:r>
        <w:rPr>
          <w:spacing w:val="-12"/>
        </w:rPr>
        <w:t xml:space="preserve"> </w:t>
      </w:r>
      <w:r>
        <w:t>interested</w:t>
      </w:r>
      <w:r>
        <w:rPr>
          <w:spacing w:val="-12"/>
        </w:rPr>
        <w:t xml:space="preserve"> </w:t>
      </w:r>
      <w:r>
        <w:t>parties</w:t>
      </w:r>
      <w:r>
        <w:rPr>
          <w:spacing w:val="-12"/>
        </w:rPr>
        <w:t xml:space="preserve"> </w:t>
      </w:r>
      <w:r>
        <w:t>were</w:t>
      </w:r>
      <w:r>
        <w:rPr>
          <w:spacing w:val="-12"/>
        </w:rPr>
        <w:t xml:space="preserve"> </w:t>
      </w:r>
      <w:r>
        <w:t>only</w:t>
      </w:r>
      <w:r>
        <w:rPr>
          <w:spacing w:val="-11"/>
        </w:rPr>
        <w:t xml:space="preserve"> </w:t>
      </w:r>
      <w:r>
        <w:t>provided</w:t>
      </w:r>
      <w:r>
        <w:rPr>
          <w:spacing w:val="-12"/>
        </w:rPr>
        <w:t xml:space="preserve"> </w:t>
      </w:r>
      <w:r>
        <w:t>a</w:t>
      </w:r>
      <w:r>
        <w:rPr>
          <w:spacing w:val="-12"/>
        </w:rPr>
        <w:t xml:space="preserve"> </w:t>
      </w:r>
      <w:r>
        <w:t>10‐day</w:t>
      </w:r>
      <w:r>
        <w:rPr>
          <w:spacing w:val="-11"/>
        </w:rPr>
        <w:t xml:space="preserve"> </w:t>
      </w:r>
      <w:r>
        <w:t>period</w:t>
      </w:r>
      <w:r>
        <w:rPr>
          <w:spacing w:val="-12"/>
        </w:rPr>
        <w:t xml:space="preserve"> </w:t>
      </w:r>
      <w:r>
        <w:t>to</w:t>
      </w:r>
      <w:r>
        <w:rPr>
          <w:spacing w:val="-13"/>
        </w:rPr>
        <w:t xml:space="preserve"> </w:t>
      </w:r>
      <w:r>
        <w:t>see</w:t>
      </w:r>
      <w:r>
        <w:rPr>
          <w:spacing w:val="-12"/>
        </w:rPr>
        <w:t xml:space="preserve"> </w:t>
      </w:r>
      <w:r>
        <w:t>the</w:t>
      </w:r>
      <w:r>
        <w:rPr>
          <w:spacing w:val="-12"/>
        </w:rPr>
        <w:t xml:space="preserve"> </w:t>
      </w:r>
      <w:r>
        <w:t>information</w:t>
      </w:r>
      <w:r>
        <w:rPr>
          <w:spacing w:val="-11"/>
        </w:rPr>
        <w:t xml:space="preserve"> </w:t>
      </w:r>
      <w:r>
        <w:t>and prepare written submissions after being informed of this new methodology in the Final Disclosure. During this period, they were expected to consider the non‐confidential information and address the technological and lingui</w:t>
      </w:r>
      <w:r>
        <w:t>stic barriers to prepare their presentations. They also needed time to</w:t>
      </w:r>
      <w:r>
        <w:rPr>
          <w:spacing w:val="-1"/>
        </w:rPr>
        <w:t xml:space="preserve"> </w:t>
      </w:r>
      <w:r>
        <w:t>engage with counsel and receive legal</w:t>
      </w:r>
      <w:r>
        <w:rPr>
          <w:spacing w:val="-1"/>
        </w:rPr>
        <w:t xml:space="preserve"> </w:t>
      </w:r>
      <w:r>
        <w:t>advice. Given that the purpose of Article 6.4 is to protect the due process rights of interested parties and enable them to prepare presentations t</w:t>
      </w:r>
      <w:r>
        <w:t>o defend their interests, the 10‐day period for comment on the Final Disclosure cannot be considered to have provided "timely opportunities"</w:t>
      </w:r>
      <w:r>
        <w:rPr>
          <w:spacing w:val="-12"/>
        </w:rPr>
        <w:t xml:space="preserve"> </w:t>
      </w:r>
      <w:r>
        <w:t>(within</w:t>
      </w:r>
      <w:r>
        <w:rPr>
          <w:spacing w:val="-12"/>
        </w:rPr>
        <w:t xml:space="preserve"> </w:t>
      </w:r>
      <w:r>
        <w:t>the</w:t>
      </w:r>
      <w:r>
        <w:rPr>
          <w:spacing w:val="-12"/>
        </w:rPr>
        <w:t xml:space="preserve"> </w:t>
      </w:r>
      <w:r>
        <w:t>ordinary</w:t>
      </w:r>
      <w:r>
        <w:rPr>
          <w:spacing w:val="-10"/>
        </w:rPr>
        <w:t xml:space="preserve"> </w:t>
      </w:r>
      <w:r>
        <w:t>meaning</w:t>
      </w:r>
      <w:r>
        <w:rPr>
          <w:spacing w:val="-13"/>
        </w:rPr>
        <w:t xml:space="preserve"> </w:t>
      </w:r>
      <w:r>
        <w:t>of</w:t>
      </w:r>
      <w:r>
        <w:rPr>
          <w:spacing w:val="-12"/>
        </w:rPr>
        <w:t xml:space="preserve"> </w:t>
      </w:r>
      <w:r>
        <w:t>this</w:t>
      </w:r>
      <w:r>
        <w:rPr>
          <w:spacing w:val="-13"/>
        </w:rPr>
        <w:t xml:space="preserve"> </w:t>
      </w:r>
      <w:r>
        <w:t>term,</w:t>
      </w:r>
      <w:r>
        <w:rPr>
          <w:spacing w:val="-12"/>
        </w:rPr>
        <w:t xml:space="preserve"> </w:t>
      </w:r>
      <w:r>
        <w:t>interpreted</w:t>
      </w:r>
      <w:r>
        <w:rPr>
          <w:spacing w:val="-11"/>
        </w:rPr>
        <w:t xml:space="preserve"> </w:t>
      </w:r>
      <w:r>
        <w:t>in</w:t>
      </w:r>
      <w:r>
        <w:rPr>
          <w:spacing w:val="-12"/>
        </w:rPr>
        <w:t xml:space="preserve"> </w:t>
      </w:r>
      <w:r>
        <w:t>its</w:t>
      </w:r>
      <w:r>
        <w:rPr>
          <w:spacing w:val="-12"/>
        </w:rPr>
        <w:t xml:space="preserve"> </w:t>
      </w:r>
      <w:r>
        <w:t>context</w:t>
      </w:r>
      <w:r>
        <w:rPr>
          <w:spacing w:val="-13"/>
        </w:rPr>
        <w:t xml:space="preserve"> </w:t>
      </w:r>
      <w:r>
        <w:t>and</w:t>
      </w:r>
      <w:r>
        <w:rPr>
          <w:spacing w:val="-12"/>
        </w:rPr>
        <w:t xml:space="preserve"> </w:t>
      </w:r>
      <w:r>
        <w:t>in</w:t>
      </w:r>
      <w:r>
        <w:rPr>
          <w:spacing w:val="-12"/>
        </w:rPr>
        <w:t xml:space="preserve"> </w:t>
      </w:r>
      <w:r>
        <w:t>light of its object and purpose) to se</w:t>
      </w:r>
      <w:r>
        <w:t>e the information and prepare presentations.</w:t>
      </w:r>
      <w:r>
        <w:rPr>
          <w:vertAlign w:val="superscript"/>
        </w:rPr>
        <w:t>1168</w:t>
      </w:r>
      <w:r>
        <w:t xml:space="preserve"> The timeframe</w:t>
      </w:r>
      <w:r>
        <w:rPr>
          <w:spacing w:val="-14"/>
        </w:rPr>
        <w:t xml:space="preserve"> </w:t>
      </w:r>
      <w:r>
        <w:t>permitted</w:t>
      </w:r>
      <w:r>
        <w:rPr>
          <w:spacing w:val="-12"/>
        </w:rPr>
        <w:t xml:space="preserve"> </w:t>
      </w:r>
      <w:r>
        <w:t>was</w:t>
      </w:r>
      <w:r>
        <w:rPr>
          <w:spacing w:val="-14"/>
        </w:rPr>
        <w:t xml:space="preserve"> </w:t>
      </w:r>
      <w:r>
        <w:t>hardly</w:t>
      </w:r>
      <w:r>
        <w:rPr>
          <w:spacing w:val="-13"/>
        </w:rPr>
        <w:t xml:space="preserve"> </w:t>
      </w:r>
      <w:r>
        <w:t>"well‐timed"</w:t>
      </w:r>
      <w:r>
        <w:rPr>
          <w:spacing w:val="-14"/>
        </w:rPr>
        <w:t xml:space="preserve"> </w:t>
      </w:r>
      <w:r>
        <w:t>or</w:t>
      </w:r>
      <w:r>
        <w:rPr>
          <w:spacing w:val="-13"/>
        </w:rPr>
        <w:t xml:space="preserve"> </w:t>
      </w:r>
      <w:r>
        <w:t>"favourable"</w:t>
      </w:r>
      <w:r>
        <w:rPr>
          <w:spacing w:val="-14"/>
        </w:rPr>
        <w:t xml:space="preserve"> </w:t>
      </w:r>
      <w:r>
        <w:t>to</w:t>
      </w:r>
      <w:r>
        <w:rPr>
          <w:spacing w:val="-12"/>
        </w:rPr>
        <w:t xml:space="preserve"> </w:t>
      </w:r>
      <w:r>
        <w:t>facilitate</w:t>
      </w:r>
      <w:r>
        <w:rPr>
          <w:spacing w:val="-13"/>
        </w:rPr>
        <w:t xml:space="preserve"> </w:t>
      </w:r>
      <w:r>
        <w:t>the</w:t>
      </w:r>
      <w:r>
        <w:rPr>
          <w:spacing w:val="-13"/>
        </w:rPr>
        <w:t xml:space="preserve"> </w:t>
      </w:r>
      <w:r>
        <w:t>actions</w:t>
      </w:r>
      <w:r>
        <w:rPr>
          <w:spacing w:val="-14"/>
        </w:rPr>
        <w:t xml:space="preserve"> </w:t>
      </w:r>
      <w:r>
        <w:t>referred to in Article 6.2, namely, for interested parties to first see the information and then prepare presentation</w:t>
      </w:r>
      <w:r>
        <w:t>s. The context provided by Article 6.2 affirms that the timely opportunity requirement</w:t>
      </w:r>
      <w:r>
        <w:rPr>
          <w:spacing w:val="-14"/>
        </w:rPr>
        <w:t xml:space="preserve"> </w:t>
      </w:r>
      <w:r>
        <w:t>in</w:t>
      </w:r>
      <w:r>
        <w:rPr>
          <w:spacing w:val="-12"/>
        </w:rPr>
        <w:t xml:space="preserve"> </w:t>
      </w:r>
      <w:r>
        <w:t>Article</w:t>
      </w:r>
      <w:r>
        <w:rPr>
          <w:spacing w:val="-13"/>
        </w:rPr>
        <w:t xml:space="preserve"> </w:t>
      </w:r>
      <w:r>
        <w:t>6.4</w:t>
      </w:r>
      <w:r>
        <w:rPr>
          <w:spacing w:val="-14"/>
        </w:rPr>
        <w:t xml:space="preserve"> </w:t>
      </w:r>
      <w:r>
        <w:t>obliged</w:t>
      </w:r>
      <w:r>
        <w:rPr>
          <w:spacing w:val="-12"/>
        </w:rPr>
        <w:t xml:space="preserve"> </w:t>
      </w:r>
      <w:r>
        <w:t>MOFCOM</w:t>
      </w:r>
      <w:r>
        <w:rPr>
          <w:spacing w:val="-13"/>
        </w:rPr>
        <w:t xml:space="preserve"> </w:t>
      </w:r>
      <w:r>
        <w:t>to</w:t>
      </w:r>
      <w:r>
        <w:rPr>
          <w:spacing w:val="-13"/>
        </w:rPr>
        <w:t xml:space="preserve"> </w:t>
      </w:r>
      <w:r>
        <w:t>afford</w:t>
      </w:r>
      <w:r>
        <w:rPr>
          <w:spacing w:val="-14"/>
        </w:rPr>
        <w:t xml:space="preserve"> </w:t>
      </w:r>
      <w:r>
        <w:t>interested</w:t>
      </w:r>
      <w:r>
        <w:rPr>
          <w:spacing w:val="-12"/>
        </w:rPr>
        <w:t xml:space="preserve"> </w:t>
      </w:r>
      <w:r>
        <w:t>parties</w:t>
      </w:r>
      <w:r>
        <w:rPr>
          <w:spacing w:val="-13"/>
        </w:rPr>
        <w:t xml:space="preserve"> </w:t>
      </w:r>
      <w:r>
        <w:t>sufficient</w:t>
      </w:r>
      <w:r>
        <w:rPr>
          <w:spacing w:val="-13"/>
        </w:rPr>
        <w:t xml:space="preserve"> </w:t>
      </w:r>
      <w:r>
        <w:t>time</w:t>
      </w:r>
      <w:r>
        <w:rPr>
          <w:spacing w:val="-12"/>
        </w:rPr>
        <w:t xml:space="preserve"> </w:t>
      </w:r>
      <w:r>
        <w:t>to</w:t>
      </w:r>
      <w:r>
        <w:rPr>
          <w:spacing w:val="-13"/>
        </w:rPr>
        <w:t xml:space="preserve"> </w:t>
      </w:r>
      <w:r>
        <w:t>fully defend their interests, which MOFCOM failed to do.</w:t>
      </w:r>
    </w:p>
    <w:p w14:paraId="51DE9A19" w14:textId="77777777" w:rsidR="0010369C" w:rsidRDefault="0010369C">
      <w:pPr>
        <w:pStyle w:val="BodyText"/>
        <w:spacing w:before="11"/>
        <w:rPr>
          <w:sz w:val="8"/>
        </w:rPr>
      </w:pPr>
    </w:p>
    <w:p w14:paraId="51DE9A1A" w14:textId="77777777" w:rsidR="0010369C" w:rsidRDefault="008E43AE">
      <w:pPr>
        <w:pStyle w:val="BodyText"/>
        <w:spacing w:before="52" w:line="360" w:lineRule="auto"/>
        <w:ind w:left="237" w:right="615" w:firstLine="851"/>
        <w:jc w:val="both"/>
      </w:pPr>
      <w:r>
        <w:rPr>
          <w:noProof/>
        </w:rPr>
        <w:drawing>
          <wp:anchor distT="0" distB="0" distL="0" distR="0" simplePos="0" relativeHeight="251590144" behindDoc="1" locked="0" layoutInCell="1" allowOverlap="1" wp14:anchorId="51DEA888" wp14:editId="51DEA889">
            <wp:simplePos x="0" y="0"/>
            <wp:positionH relativeFrom="page">
              <wp:posOffset>908303</wp:posOffset>
            </wp:positionH>
            <wp:positionV relativeFrom="paragraph">
              <wp:posOffset>80595</wp:posOffset>
            </wp:positionV>
            <wp:extent cx="332231" cy="103631"/>
            <wp:effectExtent l="0" t="0" r="0" b="0"/>
            <wp:wrapNone/>
            <wp:docPr id="1961" name="image1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 name="image1008.png"/>
                    <pic:cNvPicPr/>
                  </pic:nvPicPr>
                  <pic:blipFill>
                    <a:blip r:embed="rId1291" cstate="print"/>
                    <a:stretch>
                      <a:fillRect/>
                    </a:stretch>
                  </pic:blipFill>
                  <pic:spPr>
                    <a:xfrm>
                      <a:off x="0" y="0"/>
                      <a:ext cx="332231" cy="103631"/>
                    </a:xfrm>
                    <a:prstGeom prst="rect">
                      <a:avLst/>
                    </a:prstGeom>
                  </pic:spPr>
                </pic:pic>
              </a:graphicData>
            </a:graphic>
          </wp:anchor>
        </w:drawing>
      </w:r>
      <w:r>
        <w:t>Non‐sampled Australian companies were entirely deprived of access to the key sections of the Final Disclosure at all and provided with no opportunity to review that information and prepare submissi</w:t>
      </w:r>
      <w:r>
        <w:t>ons in response.</w:t>
      </w:r>
    </w:p>
    <w:p w14:paraId="51DE9A1B" w14:textId="77777777" w:rsidR="0010369C" w:rsidRDefault="008E43AE">
      <w:pPr>
        <w:pStyle w:val="Heading4"/>
        <w:numPr>
          <w:ilvl w:val="2"/>
          <w:numId w:val="75"/>
        </w:numPr>
        <w:tabs>
          <w:tab w:val="left" w:pos="2647"/>
          <w:tab w:val="left" w:pos="2648"/>
        </w:tabs>
        <w:ind w:left="2647"/>
        <w:jc w:val="both"/>
      </w:pPr>
      <w:r>
        <w:rPr>
          <w:spacing w:val="-2"/>
        </w:rPr>
        <w:t>Conclusion</w:t>
      </w:r>
    </w:p>
    <w:p w14:paraId="51DE9A1C" w14:textId="77777777" w:rsidR="0010369C" w:rsidRDefault="0010369C">
      <w:pPr>
        <w:pStyle w:val="BodyText"/>
        <w:spacing w:before="9"/>
        <w:rPr>
          <w:b/>
          <w:sz w:val="20"/>
        </w:rPr>
      </w:pPr>
    </w:p>
    <w:p w14:paraId="51DE9A1D" w14:textId="77777777" w:rsidR="0010369C" w:rsidRDefault="008E43AE">
      <w:pPr>
        <w:pStyle w:val="BodyText"/>
        <w:spacing w:before="52" w:line="360" w:lineRule="auto"/>
        <w:ind w:left="237" w:right="612" w:firstLine="12"/>
        <w:jc w:val="both"/>
      </w:pPr>
      <w:r>
        <w:rPr>
          <w:noProof/>
        </w:rPr>
        <w:drawing>
          <wp:inline distT="0" distB="0" distL="0" distR="0" wp14:anchorId="51DEA88A" wp14:editId="51DEA88B">
            <wp:extent cx="332231" cy="109727"/>
            <wp:effectExtent l="0" t="0" r="0" b="0"/>
            <wp:docPr id="1963" name="image1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 name="image1009.png"/>
                    <pic:cNvPicPr/>
                  </pic:nvPicPr>
                  <pic:blipFill>
                    <a:blip r:embed="rId1292" cstate="print"/>
                    <a:stretch>
                      <a:fillRect/>
                    </a:stretch>
                  </pic:blipFill>
                  <pic:spPr>
                    <a:xfrm>
                      <a:off x="0" y="0"/>
                      <a:ext cx="332231" cy="109727"/>
                    </a:xfrm>
                    <a:prstGeom prst="rect">
                      <a:avLst/>
                    </a:prstGeom>
                  </pic:spPr>
                </pic:pic>
              </a:graphicData>
            </a:graphic>
          </wp:inline>
        </w:drawing>
      </w:r>
      <w:r>
        <w:rPr>
          <w:rFonts w:ascii="Times New Roman" w:hAnsi="Times New Roman"/>
          <w:spacing w:val="80"/>
          <w:position w:val="1"/>
          <w:sz w:val="20"/>
        </w:rPr>
        <w:t xml:space="preserve">  </w:t>
      </w:r>
      <w:r>
        <w:rPr>
          <w:position w:val="1"/>
        </w:rPr>
        <w:t>For</w:t>
      </w:r>
      <w:r>
        <w:rPr>
          <w:spacing w:val="-7"/>
          <w:position w:val="1"/>
        </w:rPr>
        <w:t xml:space="preserve"> </w:t>
      </w:r>
      <w:r>
        <w:rPr>
          <w:position w:val="1"/>
        </w:rPr>
        <w:t>the</w:t>
      </w:r>
      <w:r>
        <w:rPr>
          <w:spacing w:val="-7"/>
          <w:position w:val="1"/>
        </w:rPr>
        <w:t xml:space="preserve"> </w:t>
      </w:r>
      <w:r>
        <w:rPr>
          <w:position w:val="1"/>
        </w:rPr>
        <w:t>foregoing</w:t>
      </w:r>
      <w:r>
        <w:rPr>
          <w:spacing w:val="-8"/>
          <w:position w:val="1"/>
        </w:rPr>
        <w:t xml:space="preserve"> </w:t>
      </w:r>
      <w:r>
        <w:rPr>
          <w:position w:val="1"/>
        </w:rPr>
        <w:t>reasons,</w:t>
      </w:r>
      <w:r>
        <w:rPr>
          <w:spacing w:val="-7"/>
          <w:position w:val="1"/>
        </w:rPr>
        <w:t xml:space="preserve"> </w:t>
      </w:r>
      <w:r>
        <w:rPr>
          <w:position w:val="1"/>
        </w:rPr>
        <w:t>MOFCOM</w:t>
      </w:r>
      <w:r>
        <w:rPr>
          <w:spacing w:val="-8"/>
          <w:position w:val="1"/>
        </w:rPr>
        <w:t xml:space="preserve"> </w:t>
      </w:r>
      <w:r>
        <w:rPr>
          <w:position w:val="1"/>
        </w:rPr>
        <w:t>acted</w:t>
      </w:r>
      <w:r>
        <w:rPr>
          <w:spacing w:val="-8"/>
          <w:position w:val="1"/>
        </w:rPr>
        <w:t xml:space="preserve"> </w:t>
      </w:r>
      <w:r>
        <w:rPr>
          <w:position w:val="1"/>
        </w:rPr>
        <w:t>inconsistently</w:t>
      </w:r>
      <w:r>
        <w:rPr>
          <w:spacing w:val="-9"/>
          <w:position w:val="1"/>
        </w:rPr>
        <w:t xml:space="preserve"> </w:t>
      </w:r>
      <w:r>
        <w:rPr>
          <w:position w:val="1"/>
        </w:rPr>
        <w:t>with</w:t>
      </w:r>
      <w:r>
        <w:rPr>
          <w:spacing w:val="-8"/>
          <w:position w:val="1"/>
        </w:rPr>
        <w:t xml:space="preserve"> </w:t>
      </w:r>
      <w:r>
        <w:rPr>
          <w:position w:val="1"/>
        </w:rPr>
        <w:t>Article</w:t>
      </w:r>
      <w:r>
        <w:rPr>
          <w:spacing w:val="-9"/>
          <w:position w:val="1"/>
        </w:rPr>
        <w:t xml:space="preserve"> </w:t>
      </w:r>
      <w:r>
        <w:rPr>
          <w:position w:val="1"/>
        </w:rPr>
        <w:t>6.4</w:t>
      </w:r>
      <w:r>
        <w:rPr>
          <w:spacing w:val="-8"/>
          <w:position w:val="1"/>
        </w:rPr>
        <w:t xml:space="preserve"> </w:t>
      </w:r>
      <w:r>
        <w:rPr>
          <w:position w:val="1"/>
        </w:rPr>
        <w:t>of</w:t>
      </w:r>
      <w:r>
        <w:rPr>
          <w:spacing w:val="-8"/>
          <w:position w:val="1"/>
        </w:rPr>
        <w:t xml:space="preserve"> </w:t>
      </w:r>
      <w:r>
        <w:rPr>
          <w:position w:val="1"/>
        </w:rPr>
        <w:t>the</w:t>
      </w:r>
      <w:r>
        <w:rPr>
          <w:spacing w:val="-7"/>
          <w:position w:val="1"/>
        </w:rPr>
        <w:t xml:space="preserve"> </w:t>
      </w:r>
      <w:r>
        <w:rPr>
          <w:position w:val="1"/>
        </w:rPr>
        <w:t xml:space="preserve">Anti‐ </w:t>
      </w:r>
      <w:r>
        <w:t>Dumping</w:t>
      </w:r>
      <w:r>
        <w:rPr>
          <w:spacing w:val="-7"/>
        </w:rPr>
        <w:t xml:space="preserve"> </w:t>
      </w:r>
      <w:r>
        <w:t>Agreement</w:t>
      </w:r>
      <w:r>
        <w:rPr>
          <w:spacing w:val="-8"/>
        </w:rPr>
        <w:t xml:space="preserve"> </w:t>
      </w:r>
      <w:r>
        <w:t>by</w:t>
      </w:r>
      <w:r>
        <w:rPr>
          <w:spacing w:val="-8"/>
        </w:rPr>
        <w:t xml:space="preserve"> </w:t>
      </w:r>
      <w:r>
        <w:t>failing</w:t>
      </w:r>
      <w:r>
        <w:rPr>
          <w:spacing w:val="-7"/>
        </w:rPr>
        <w:t xml:space="preserve"> </w:t>
      </w:r>
      <w:r>
        <w:t>to</w:t>
      </w:r>
      <w:r>
        <w:rPr>
          <w:spacing w:val="-7"/>
        </w:rPr>
        <w:t xml:space="preserve"> </w:t>
      </w:r>
      <w:r>
        <w:t>provide</w:t>
      </w:r>
      <w:r>
        <w:rPr>
          <w:spacing w:val="-6"/>
        </w:rPr>
        <w:t xml:space="preserve"> </w:t>
      </w:r>
      <w:r>
        <w:t>timely</w:t>
      </w:r>
      <w:r>
        <w:rPr>
          <w:spacing w:val="-8"/>
        </w:rPr>
        <w:t xml:space="preserve"> </w:t>
      </w:r>
      <w:r>
        <w:t>opportunities</w:t>
      </w:r>
      <w:r>
        <w:rPr>
          <w:spacing w:val="-7"/>
        </w:rPr>
        <w:t xml:space="preserve"> </w:t>
      </w:r>
      <w:r>
        <w:t>for</w:t>
      </w:r>
      <w:r>
        <w:rPr>
          <w:spacing w:val="-8"/>
        </w:rPr>
        <w:t xml:space="preserve"> </w:t>
      </w:r>
      <w:r>
        <w:t>interested</w:t>
      </w:r>
      <w:r>
        <w:rPr>
          <w:spacing w:val="-7"/>
        </w:rPr>
        <w:t xml:space="preserve"> </w:t>
      </w:r>
      <w:r>
        <w:t>parties</w:t>
      </w:r>
      <w:r>
        <w:rPr>
          <w:spacing w:val="-8"/>
        </w:rPr>
        <w:t xml:space="preserve"> </w:t>
      </w:r>
      <w:r>
        <w:t>to</w:t>
      </w:r>
      <w:r>
        <w:rPr>
          <w:spacing w:val="-7"/>
        </w:rPr>
        <w:t xml:space="preserve"> </w:t>
      </w:r>
      <w:r>
        <w:t>see</w:t>
      </w:r>
      <w:r>
        <w:rPr>
          <w:spacing w:val="-7"/>
        </w:rPr>
        <w:t xml:space="preserve"> </w:t>
      </w:r>
      <w:r>
        <w:t>all non‐confidential information. This failure denied interested parties a full opportunity to prepare presentations on the basis of this information and to defend their interests.</w:t>
      </w:r>
    </w:p>
    <w:p w14:paraId="51DE9A1E" w14:textId="77777777" w:rsidR="0010369C" w:rsidRDefault="0010369C">
      <w:pPr>
        <w:pStyle w:val="BodyText"/>
        <w:rPr>
          <w:sz w:val="20"/>
        </w:rPr>
      </w:pPr>
    </w:p>
    <w:p w14:paraId="51DE9A1F" w14:textId="77777777" w:rsidR="0010369C" w:rsidRDefault="0010369C">
      <w:pPr>
        <w:pStyle w:val="BodyText"/>
        <w:rPr>
          <w:sz w:val="20"/>
        </w:rPr>
      </w:pPr>
    </w:p>
    <w:p w14:paraId="51DE9A20" w14:textId="77777777" w:rsidR="0010369C" w:rsidRDefault="0010369C">
      <w:pPr>
        <w:pStyle w:val="BodyText"/>
        <w:rPr>
          <w:sz w:val="20"/>
        </w:rPr>
      </w:pPr>
    </w:p>
    <w:p w14:paraId="51DE9A21" w14:textId="77777777" w:rsidR="0010369C" w:rsidRDefault="0010369C">
      <w:pPr>
        <w:pStyle w:val="BodyText"/>
        <w:rPr>
          <w:sz w:val="20"/>
        </w:rPr>
      </w:pPr>
    </w:p>
    <w:p w14:paraId="51DE9A22" w14:textId="77777777" w:rsidR="0010369C" w:rsidRDefault="0010369C">
      <w:pPr>
        <w:pStyle w:val="BodyText"/>
        <w:rPr>
          <w:sz w:val="20"/>
        </w:rPr>
      </w:pPr>
    </w:p>
    <w:p w14:paraId="51DE9A23" w14:textId="77777777" w:rsidR="0010369C" w:rsidRDefault="0010369C">
      <w:pPr>
        <w:pStyle w:val="BodyText"/>
        <w:rPr>
          <w:sz w:val="20"/>
        </w:rPr>
      </w:pPr>
    </w:p>
    <w:p w14:paraId="51DE9A24" w14:textId="77777777" w:rsidR="0010369C" w:rsidRDefault="008E43AE">
      <w:pPr>
        <w:pStyle w:val="BodyText"/>
        <w:spacing w:before="6"/>
        <w:rPr>
          <w:sz w:val="26"/>
        </w:rPr>
      </w:pPr>
      <w:r>
        <w:pict w14:anchorId="51DEA88C">
          <v:rect id="docshape1385" o:spid="_x0000_s1089" style="position:absolute;margin-left:70.9pt;margin-top:17.4pt;width:2in;height:.8pt;z-index:-250689024;mso-wrap-distance-left:0;mso-wrap-distance-right:0;mso-position-horizontal-relative:page" fillcolor="black" stroked="f">
            <w10:wrap type="topAndBottom" anchorx="page"/>
          </v:rect>
        </w:pict>
      </w:r>
    </w:p>
    <w:p w14:paraId="51DE9A25" w14:textId="77777777" w:rsidR="0010369C" w:rsidRDefault="008E43AE">
      <w:pPr>
        <w:spacing w:before="106"/>
        <w:ind w:left="238"/>
        <w:jc w:val="both"/>
        <w:rPr>
          <w:sz w:val="18"/>
        </w:rPr>
      </w:pPr>
      <w:r>
        <w:rPr>
          <w:sz w:val="18"/>
          <w:vertAlign w:val="superscript"/>
        </w:rPr>
        <w:t>1167</w:t>
      </w:r>
      <w:r>
        <w:rPr>
          <w:spacing w:val="-10"/>
          <w:sz w:val="18"/>
        </w:rPr>
        <w:t xml:space="preserve"> </w:t>
      </w:r>
      <w:r>
        <w:rPr>
          <w:sz w:val="18"/>
        </w:rPr>
        <w:t>Anti‐Dumping</w:t>
      </w:r>
      <w:r>
        <w:rPr>
          <w:spacing w:val="-10"/>
          <w:sz w:val="18"/>
        </w:rPr>
        <w:t xml:space="preserve"> </w:t>
      </w:r>
      <w:r>
        <w:rPr>
          <w:sz w:val="18"/>
        </w:rPr>
        <w:t>Final</w:t>
      </w:r>
      <w:r>
        <w:rPr>
          <w:spacing w:val="-9"/>
          <w:sz w:val="18"/>
        </w:rPr>
        <w:t xml:space="preserve"> </w:t>
      </w:r>
      <w:r>
        <w:rPr>
          <w:sz w:val="18"/>
        </w:rPr>
        <w:t>Disclosure</w:t>
      </w:r>
      <w:r>
        <w:rPr>
          <w:spacing w:val="-10"/>
          <w:sz w:val="18"/>
        </w:rPr>
        <w:t xml:space="preserve"> </w:t>
      </w:r>
      <w:r>
        <w:rPr>
          <w:sz w:val="18"/>
        </w:rPr>
        <w:t>(Exhibit</w:t>
      </w:r>
      <w:r>
        <w:rPr>
          <w:spacing w:val="-10"/>
          <w:sz w:val="18"/>
        </w:rPr>
        <w:t xml:space="preserve"> </w:t>
      </w:r>
      <w:r>
        <w:rPr>
          <w:sz w:val="18"/>
        </w:rPr>
        <w:t>AUS‐16),</w:t>
      </w:r>
      <w:r>
        <w:rPr>
          <w:spacing w:val="-9"/>
          <w:sz w:val="18"/>
        </w:rPr>
        <w:t xml:space="preserve"> </w:t>
      </w:r>
      <w:r>
        <w:rPr>
          <w:sz w:val="18"/>
        </w:rPr>
        <w:t>p.</w:t>
      </w:r>
      <w:r>
        <w:rPr>
          <w:spacing w:val="-9"/>
          <w:sz w:val="18"/>
        </w:rPr>
        <w:t xml:space="preserve"> </w:t>
      </w:r>
      <w:r>
        <w:rPr>
          <w:sz w:val="18"/>
        </w:rPr>
        <w:t>66;</w:t>
      </w:r>
      <w:r>
        <w:rPr>
          <w:spacing w:val="-10"/>
          <w:sz w:val="18"/>
        </w:rPr>
        <w:t xml:space="preserve"> </w:t>
      </w:r>
      <w:r>
        <w:rPr>
          <w:sz w:val="18"/>
        </w:rPr>
        <w:t>Anti‐Dumping</w:t>
      </w:r>
      <w:r>
        <w:rPr>
          <w:spacing w:val="-10"/>
          <w:sz w:val="18"/>
        </w:rPr>
        <w:t xml:space="preserve"> </w:t>
      </w:r>
      <w:r>
        <w:rPr>
          <w:sz w:val="18"/>
        </w:rPr>
        <w:t>Final</w:t>
      </w:r>
      <w:r>
        <w:rPr>
          <w:spacing w:val="-10"/>
          <w:sz w:val="18"/>
        </w:rPr>
        <w:t xml:space="preserve"> </w:t>
      </w:r>
      <w:r>
        <w:rPr>
          <w:sz w:val="18"/>
        </w:rPr>
        <w:t>Determination</w:t>
      </w:r>
      <w:r>
        <w:rPr>
          <w:spacing w:val="-9"/>
          <w:sz w:val="18"/>
        </w:rPr>
        <w:t xml:space="preserve"> </w:t>
      </w:r>
      <w:r>
        <w:rPr>
          <w:sz w:val="18"/>
        </w:rPr>
        <w:t>(Exhibit</w:t>
      </w:r>
      <w:r>
        <w:rPr>
          <w:spacing w:val="-10"/>
          <w:sz w:val="18"/>
        </w:rPr>
        <w:t xml:space="preserve"> </w:t>
      </w:r>
      <w:r>
        <w:rPr>
          <w:sz w:val="18"/>
        </w:rPr>
        <w:t>AUS‐2),</w:t>
      </w:r>
      <w:r>
        <w:rPr>
          <w:spacing w:val="-9"/>
          <w:sz w:val="18"/>
        </w:rPr>
        <w:t xml:space="preserve"> </w:t>
      </w:r>
      <w:r>
        <w:rPr>
          <w:sz w:val="18"/>
        </w:rPr>
        <w:t>92.</w:t>
      </w:r>
      <w:r>
        <w:rPr>
          <w:spacing w:val="-9"/>
          <w:sz w:val="18"/>
        </w:rPr>
        <w:t xml:space="preserve"> </w:t>
      </w:r>
      <w:r>
        <w:rPr>
          <w:spacing w:val="-4"/>
          <w:sz w:val="18"/>
          <w:vertAlign w:val="superscript"/>
        </w:rPr>
        <w:t>1168</w:t>
      </w:r>
    </w:p>
    <w:p w14:paraId="51DE9A26" w14:textId="77777777" w:rsidR="0010369C" w:rsidRDefault="008E43AE">
      <w:pPr>
        <w:ind w:left="238"/>
        <w:jc w:val="both"/>
        <w:rPr>
          <w:sz w:val="18"/>
        </w:rPr>
      </w:pPr>
      <w:r>
        <w:rPr>
          <w:sz w:val="18"/>
        </w:rPr>
        <w:t>Article</w:t>
      </w:r>
      <w:r>
        <w:rPr>
          <w:spacing w:val="-7"/>
          <w:sz w:val="18"/>
        </w:rPr>
        <w:t xml:space="preserve"> </w:t>
      </w:r>
      <w:r>
        <w:rPr>
          <w:sz w:val="18"/>
        </w:rPr>
        <w:t>31</w:t>
      </w:r>
      <w:r>
        <w:rPr>
          <w:spacing w:val="-5"/>
          <w:sz w:val="18"/>
        </w:rPr>
        <w:t xml:space="preserve"> </w:t>
      </w:r>
      <w:r>
        <w:rPr>
          <w:sz w:val="18"/>
        </w:rPr>
        <w:t>of</w:t>
      </w:r>
      <w:r>
        <w:rPr>
          <w:spacing w:val="-6"/>
          <w:sz w:val="18"/>
        </w:rPr>
        <w:t xml:space="preserve"> </w:t>
      </w:r>
      <w:r>
        <w:rPr>
          <w:sz w:val="18"/>
        </w:rPr>
        <w:t>the</w:t>
      </w:r>
      <w:r>
        <w:rPr>
          <w:spacing w:val="-6"/>
          <w:sz w:val="18"/>
        </w:rPr>
        <w:t xml:space="preserve"> </w:t>
      </w:r>
      <w:r>
        <w:rPr>
          <w:sz w:val="18"/>
        </w:rPr>
        <w:t>Vienna</w:t>
      </w:r>
      <w:r>
        <w:rPr>
          <w:spacing w:val="-5"/>
          <w:sz w:val="18"/>
        </w:rPr>
        <w:t xml:space="preserve"> </w:t>
      </w:r>
      <w:r>
        <w:rPr>
          <w:sz w:val="18"/>
        </w:rPr>
        <w:t>Convention</w:t>
      </w:r>
      <w:r>
        <w:rPr>
          <w:spacing w:val="-6"/>
          <w:sz w:val="18"/>
        </w:rPr>
        <w:t xml:space="preserve"> </w:t>
      </w:r>
      <w:r>
        <w:rPr>
          <w:sz w:val="18"/>
        </w:rPr>
        <w:t>on</w:t>
      </w:r>
      <w:r>
        <w:rPr>
          <w:spacing w:val="-6"/>
          <w:sz w:val="18"/>
        </w:rPr>
        <w:t xml:space="preserve"> </w:t>
      </w:r>
      <w:r>
        <w:rPr>
          <w:sz w:val="18"/>
        </w:rPr>
        <w:t>the</w:t>
      </w:r>
      <w:r>
        <w:rPr>
          <w:spacing w:val="-6"/>
          <w:sz w:val="18"/>
        </w:rPr>
        <w:t xml:space="preserve"> </w:t>
      </w:r>
      <w:r>
        <w:rPr>
          <w:sz w:val="18"/>
        </w:rPr>
        <w:t>Law</w:t>
      </w:r>
      <w:r>
        <w:rPr>
          <w:spacing w:val="-5"/>
          <w:sz w:val="18"/>
        </w:rPr>
        <w:t xml:space="preserve"> </w:t>
      </w:r>
      <w:r>
        <w:rPr>
          <w:sz w:val="18"/>
        </w:rPr>
        <w:t>of</w:t>
      </w:r>
      <w:r>
        <w:rPr>
          <w:spacing w:val="-6"/>
          <w:sz w:val="18"/>
        </w:rPr>
        <w:t xml:space="preserve"> </w:t>
      </w:r>
      <w:r>
        <w:rPr>
          <w:spacing w:val="-2"/>
          <w:sz w:val="18"/>
        </w:rPr>
        <w:t>Treaties.</w:t>
      </w:r>
    </w:p>
    <w:p w14:paraId="51DE9A27" w14:textId="77777777" w:rsidR="0010369C" w:rsidRDefault="0010369C">
      <w:pPr>
        <w:jc w:val="both"/>
        <w:rPr>
          <w:sz w:val="18"/>
        </w:rPr>
        <w:sectPr w:rsidR="0010369C">
          <w:pgSz w:w="11910" w:h="16840"/>
          <w:pgMar w:top="880" w:right="800" w:bottom="980" w:left="1180" w:header="569" w:footer="788" w:gutter="0"/>
          <w:cols w:space="720"/>
        </w:sectPr>
      </w:pPr>
    </w:p>
    <w:p w14:paraId="51DE9A28" w14:textId="77777777" w:rsidR="0010369C" w:rsidRDefault="008E43AE">
      <w:pPr>
        <w:tabs>
          <w:tab w:val="left" w:pos="6426"/>
        </w:tabs>
        <w:ind w:left="238"/>
        <w:rPr>
          <w:sz w:val="20"/>
        </w:rPr>
      </w:pPr>
      <w:r>
        <w:rPr>
          <w:i/>
          <w:sz w:val="20"/>
        </w:rPr>
        <w:lastRenderedPageBreak/>
        <w:t>China</w:t>
      </w:r>
      <w:r>
        <w:rPr>
          <w:i/>
          <w:spacing w:val="-5"/>
          <w:sz w:val="20"/>
        </w:rPr>
        <w:t xml:space="preserve"> </w:t>
      </w:r>
      <w:r>
        <w:rPr>
          <w:i/>
          <w:sz w:val="20"/>
        </w:rPr>
        <w:t>–</w:t>
      </w:r>
      <w:r>
        <w:rPr>
          <w:i/>
          <w:spacing w:val="-5"/>
          <w:sz w:val="20"/>
        </w:rPr>
        <w:t xml:space="preserve"> </w:t>
      </w:r>
      <w:r>
        <w:rPr>
          <w:i/>
          <w:sz w:val="20"/>
        </w:rPr>
        <w:t>Anti‐Dumping</w:t>
      </w:r>
      <w:r>
        <w:rPr>
          <w:i/>
          <w:spacing w:val="-4"/>
          <w:sz w:val="20"/>
        </w:rPr>
        <w:t xml:space="preserve"> </w:t>
      </w:r>
      <w:r>
        <w:rPr>
          <w:i/>
          <w:sz w:val="20"/>
        </w:rPr>
        <w:t>and</w:t>
      </w:r>
      <w:r>
        <w:rPr>
          <w:i/>
          <w:spacing w:val="-5"/>
          <w:sz w:val="20"/>
        </w:rPr>
        <w:t xml:space="preserve"> </w:t>
      </w:r>
      <w:r>
        <w:rPr>
          <w:i/>
          <w:sz w:val="20"/>
        </w:rPr>
        <w:t>Countervailing</w:t>
      </w:r>
      <w:r>
        <w:rPr>
          <w:i/>
          <w:spacing w:val="-5"/>
          <w:sz w:val="20"/>
        </w:rPr>
        <w:t xml:space="preserve"> </w:t>
      </w:r>
      <w:r>
        <w:rPr>
          <w:i/>
          <w:sz w:val="20"/>
        </w:rPr>
        <w:t>Duty</w:t>
      </w:r>
      <w:r>
        <w:rPr>
          <w:i/>
          <w:spacing w:val="-4"/>
          <w:sz w:val="20"/>
        </w:rPr>
        <w:t xml:space="preserve"> </w:t>
      </w:r>
      <w:r>
        <w:rPr>
          <w:i/>
          <w:spacing w:val="-2"/>
          <w:sz w:val="20"/>
        </w:rPr>
        <w:t>Measures</w:t>
      </w:r>
      <w:r>
        <w:rPr>
          <w:i/>
          <w:sz w:val="20"/>
        </w:rPr>
        <w:tab/>
      </w:r>
      <w:r>
        <w:rPr>
          <w:sz w:val="20"/>
        </w:rPr>
        <w:t>Australia's</w:t>
      </w:r>
      <w:r>
        <w:rPr>
          <w:spacing w:val="-7"/>
          <w:sz w:val="20"/>
        </w:rPr>
        <w:t xml:space="preserve"> </w:t>
      </w:r>
      <w:r>
        <w:rPr>
          <w:sz w:val="20"/>
        </w:rPr>
        <w:t>First</w:t>
      </w:r>
      <w:r>
        <w:rPr>
          <w:spacing w:val="-2"/>
          <w:sz w:val="20"/>
        </w:rPr>
        <w:t xml:space="preserve"> </w:t>
      </w:r>
      <w:r>
        <w:rPr>
          <w:sz w:val="20"/>
        </w:rPr>
        <w:t>Written</w:t>
      </w:r>
      <w:r>
        <w:rPr>
          <w:spacing w:val="-2"/>
          <w:sz w:val="20"/>
        </w:rPr>
        <w:t xml:space="preserve"> Submission</w:t>
      </w:r>
    </w:p>
    <w:p w14:paraId="51DE9A29" w14:textId="77777777" w:rsidR="0010369C" w:rsidRDefault="008E43AE">
      <w:pPr>
        <w:tabs>
          <w:tab w:val="left" w:pos="8228"/>
        </w:tabs>
        <w:spacing w:before="1"/>
        <w:ind w:left="239"/>
        <w:rPr>
          <w:sz w:val="20"/>
        </w:rPr>
      </w:pPr>
      <w:r>
        <w:rPr>
          <w:i/>
          <w:sz w:val="20"/>
        </w:rPr>
        <w:t>on</w:t>
      </w:r>
      <w:r>
        <w:rPr>
          <w:i/>
          <w:spacing w:val="-1"/>
          <w:sz w:val="20"/>
        </w:rPr>
        <w:t xml:space="preserve"> </w:t>
      </w:r>
      <w:r>
        <w:rPr>
          <w:i/>
          <w:sz w:val="20"/>
        </w:rPr>
        <w:t>Wine</w:t>
      </w:r>
      <w:r>
        <w:rPr>
          <w:i/>
          <w:spacing w:val="-1"/>
          <w:sz w:val="20"/>
        </w:rPr>
        <w:t xml:space="preserve"> </w:t>
      </w:r>
      <w:r>
        <w:rPr>
          <w:i/>
          <w:sz w:val="20"/>
        </w:rPr>
        <w:t>from</w:t>
      </w:r>
      <w:r>
        <w:rPr>
          <w:i/>
          <w:spacing w:val="-3"/>
          <w:sz w:val="20"/>
        </w:rPr>
        <w:t xml:space="preserve"> </w:t>
      </w:r>
      <w:r>
        <w:rPr>
          <w:i/>
          <w:sz w:val="20"/>
        </w:rPr>
        <w:t>Australia</w:t>
      </w:r>
      <w:r>
        <w:rPr>
          <w:i/>
          <w:spacing w:val="-1"/>
          <w:sz w:val="20"/>
        </w:rPr>
        <w:t xml:space="preserve"> </w:t>
      </w:r>
      <w:r>
        <w:rPr>
          <w:spacing w:val="-2"/>
          <w:sz w:val="20"/>
        </w:rPr>
        <w:t>(DS602)</w:t>
      </w:r>
      <w:r>
        <w:rPr>
          <w:sz w:val="20"/>
        </w:rPr>
        <w:tab/>
        <w:t>29</w:t>
      </w:r>
      <w:r>
        <w:rPr>
          <w:spacing w:val="-1"/>
          <w:sz w:val="20"/>
        </w:rPr>
        <w:t xml:space="preserve"> </w:t>
      </w:r>
      <w:r>
        <w:rPr>
          <w:sz w:val="20"/>
        </w:rPr>
        <w:t>April</w:t>
      </w:r>
      <w:r>
        <w:rPr>
          <w:spacing w:val="-2"/>
          <w:sz w:val="20"/>
        </w:rPr>
        <w:t xml:space="preserve"> </w:t>
      </w:r>
      <w:r>
        <w:rPr>
          <w:spacing w:val="-4"/>
          <w:sz w:val="20"/>
        </w:rPr>
        <w:t>2022</w:t>
      </w:r>
    </w:p>
    <w:p w14:paraId="51DE9A2A" w14:textId="77777777" w:rsidR="0010369C" w:rsidRDefault="008E43AE">
      <w:pPr>
        <w:pStyle w:val="ListParagraph"/>
        <w:numPr>
          <w:ilvl w:val="1"/>
          <w:numId w:val="75"/>
        </w:numPr>
        <w:tabs>
          <w:tab w:val="left" w:pos="1939"/>
          <w:tab w:val="left" w:pos="1940"/>
          <w:tab w:val="left" w:pos="3485"/>
          <w:tab w:val="left" w:pos="4477"/>
          <w:tab w:val="left" w:pos="4967"/>
          <w:tab w:val="left" w:pos="6070"/>
          <w:tab w:val="left" w:pos="6658"/>
          <w:tab w:val="left" w:pos="7852"/>
          <w:tab w:val="left" w:pos="8647"/>
        </w:tabs>
        <w:spacing w:before="35" w:line="360" w:lineRule="auto"/>
        <w:ind w:left="1939" w:right="615"/>
        <w:jc w:val="left"/>
        <w:rPr>
          <w:b/>
          <w:sz w:val="28"/>
        </w:rPr>
      </w:pPr>
      <w:r>
        <w:rPr>
          <w:b/>
          <w:spacing w:val="-2"/>
          <w:sz w:val="28"/>
        </w:rPr>
        <w:t>MOFCOM'</w:t>
      </w:r>
      <w:r>
        <w:rPr>
          <w:b/>
          <w:spacing w:val="-2"/>
        </w:rPr>
        <w:t>S</w:t>
      </w:r>
      <w:r>
        <w:rPr>
          <w:b/>
        </w:rPr>
        <w:tab/>
      </w:r>
      <w:r>
        <w:rPr>
          <w:b/>
          <w:spacing w:val="-2"/>
        </w:rPr>
        <w:t>FAILURE</w:t>
      </w:r>
      <w:r>
        <w:rPr>
          <w:b/>
        </w:rPr>
        <w:tab/>
      </w:r>
      <w:r>
        <w:rPr>
          <w:b/>
          <w:spacing w:val="-6"/>
        </w:rPr>
        <w:t>TO</w:t>
      </w:r>
      <w:r>
        <w:rPr>
          <w:b/>
        </w:rPr>
        <w:tab/>
      </w:r>
      <w:r>
        <w:rPr>
          <w:b/>
          <w:spacing w:val="-2"/>
        </w:rPr>
        <w:t>DISCLOSE</w:t>
      </w:r>
      <w:r>
        <w:rPr>
          <w:b/>
        </w:rPr>
        <w:tab/>
      </w:r>
      <w:r>
        <w:rPr>
          <w:b/>
          <w:spacing w:val="-4"/>
        </w:rPr>
        <w:t>THE</w:t>
      </w:r>
      <w:r>
        <w:rPr>
          <w:b/>
        </w:rPr>
        <w:tab/>
      </w:r>
      <w:r>
        <w:rPr>
          <w:b/>
          <w:spacing w:val="-2"/>
        </w:rPr>
        <w:t>ESSENTIAL</w:t>
      </w:r>
      <w:r>
        <w:rPr>
          <w:b/>
        </w:rPr>
        <w:tab/>
      </w:r>
      <w:r>
        <w:rPr>
          <w:b/>
          <w:spacing w:val="-2"/>
        </w:rPr>
        <w:t>FACTS</w:t>
      </w:r>
      <w:r>
        <w:rPr>
          <w:b/>
        </w:rPr>
        <w:tab/>
      </w:r>
      <w:r>
        <w:rPr>
          <w:b/>
          <w:spacing w:val="-2"/>
        </w:rPr>
        <w:t xml:space="preserve">UNDER </w:t>
      </w:r>
      <w:r>
        <w:rPr>
          <w:b/>
        </w:rPr>
        <w:t>CONSIDERATION</w:t>
      </w:r>
      <w:r>
        <w:rPr>
          <w:b/>
          <w:spacing w:val="-9"/>
        </w:rPr>
        <w:t xml:space="preserve"> </w:t>
      </w:r>
      <w:r>
        <w:rPr>
          <w:b/>
        </w:rPr>
        <w:t>BREACHED</w:t>
      </w:r>
      <w:r>
        <w:rPr>
          <w:b/>
          <w:spacing w:val="-5"/>
        </w:rPr>
        <w:t xml:space="preserve"> </w:t>
      </w:r>
      <w:r>
        <w:rPr>
          <w:b/>
          <w:sz w:val="28"/>
        </w:rPr>
        <w:t>C</w:t>
      </w:r>
      <w:r>
        <w:rPr>
          <w:b/>
        </w:rPr>
        <w:t>HINA</w:t>
      </w:r>
      <w:r>
        <w:rPr>
          <w:b/>
          <w:sz w:val="28"/>
        </w:rPr>
        <w:t>'</w:t>
      </w:r>
      <w:r>
        <w:rPr>
          <w:b/>
        </w:rPr>
        <w:t>S</w:t>
      </w:r>
      <w:r>
        <w:rPr>
          <w:b/>
          <w:spacing w:val="-5"/>
        </w:rPr>
        <w:t xml:space="preserve"> </w:t>
      </w:r>
      <w:r>
        <w:rPr>
          <w:b/>
        </w:rPr>
        <w:t>OBLIGATIONS</w:t>
      </w:r>
      <w:r>
        <w:rPr>
          <w:b/>
          <w:spacing w:val="-5"/>
        </w:rPr>
        <w:t xml:space="preserve"> </w:t>
      </w:r>
      <w:r>
        <w:rPr>
          <w:b/>
        </w:rPr>
        <w:t>UNDER</w:t>
      </w:r>
      <w:r>
        <w:rPr>
          <w:b/>
          <w:spacing w:val="-7"/>
        </w:rPr>
        <w:t xml:space="preserve"> </w:t>
      </w:r>
      <w:r>
        <w:rPr>
          <w:b/>
          <w:sz w:val="28"/>
        </w:rPr>
        <w:t>A</w:t>
      </w:r>
      <w:r>
        <w:rPr>
          <w:b/>
        </w:rPr>
        <w:t>RTICLE</w:t>
      </w:r>
      <w:r>
        <w:rPr>
          <w:b/>
          <w:spacing w:val="-7"/>
        </w:rPr>
        <w:t xml:space="preserve"> </w:t>
      </w:r>
      <w:r>
        <w:rPr>
          <w:b/>
          <w:sz w:val="28"/>
        </w:rPr>
        <w:t>6.9</w:t>
      </w:r>
      <w:r>
        <w:rPr>
          <w:b/>
          <w:spacing w:val="-16"/>
          <w:sz w:val="28"/>
        </w:rPr>
        <w:t xml:space="preserve"> </w:t>
      </w:r>
      <w:r>
        <w:rPr>
          <w:b/>
        </w:rPr>
        <w:t>OF</w:t>
      </w:r>
      <w:r>
        <w:rPr>
          <w:b/>
          <w:spacing w:val="-5"/>
        </w:rPr>
        <w:t xml:space="preserve"> </w:t>
      </w:r>
      <w:r>
        <w:rPr>
          <w:b/>
        </w:rPr>
        <w:t>THE</w:t>
      </w:r>
    </w:p>
    <w:p w14:paraId="51DE9A2B" w14:textId="77777777" w:rsidR="0010369C" w:rsidRDefault="008E43AE">
      <w:pPr>
        <w:spacing w:line="341" w:lineRule="exact"/>
        <w:ind w:left="1940"/>
        <w:rPr>
          <w:b/>
        </w:rPr>
      </w:pPr>
      <w:r>
        <w:rPr>
          <w:b/>
          <w:w w:val="95"/>
          <w:sz w:val="28"/>
        </w:rPr>
        <w:t>A</w:t>
      </w:r>
      <w:r>
        <w:rPr>
          <w:b/>
          <w:w w:val="95"/>
        </w:rPr>
        <w:t>NTI</w:t>
      </w:r>
      <w:r>
        <w:rPr>
          <w:b/>
          <w:w w:val="95"/>
          <w:sz w:val="28"/>
        </w:rPr>
        <w:t>‐D</w:t>
      </w:r>
      <w:r>
        <w:rPr>
          <w:b/>
          <w:w w:val="95"/>
        </w:rPr>
        <w:t>UMPING</w:t>
      </w:r>
      <w:r>
        <w:rPr>
          <w:b/>
          <w:spacing w:val="58"/>
        </w:rPr>
        <w:t xml:space="preserve"> </w:t>
      </w:r>
      <w:r>
        <w:rPr>
          <w:b/>
          <w:spacing w:val="-2"/>
          <w:sz w:val="28"/>
        </w:rPr>
        <w:t>A</w:t>
      </w:r>
      <w:r>
        <w:rPr>
          <w:b/>
          <w:spacing w:val="-2"/>
        </w:rPr>
        <w:t>GREEMENT</w:t>
      </w:r>
    </w:p>
    <w:p w14:paraId="51DE9A2C" w14:textId="77777777" w:rsidR="0010369C" w:rsidRDefault="0010369C">
      <w:pPr>
        <w:pStyle w:val="BodyText"/>
        <w:spacing w:before="10"/>
        <w:rPr>
          <w:b/>
          <w:sz w:val="22"/>
        </w:rPr>
      </w:pPr>
    </w:p>
    <w:p w14:paraId="51DE9A2D" w14:textId="77777777" w:rsidR="0010369C" w:rsidRDefault="008E43AE">
      <w:pPr>
        <w:pStyle w:val="BodyText"/>
        <w:spacing w:before="53" w:line="360" w:lineRule="auto"/>
        <w:ind w:left="237" w:right="614" w:firstLine="13"/>
        <w:jc w:val="both"/>
      </w:pPr>
      <w:r>
        <w:rPr>
          <w:noProof/>
        </w:rPr>
        <w:drawing>
          <wp:inline distT="0" distB="0" distL="0" distR="0" wp14:anchorId="51DEA88D" wp14:editId="51DEA88E">
            <wp:extent cx="332231" cy="109727"/>
            <wp:effectExtent l="0" t="0" r="0" b="0"/>
            <wp:docPr id="1965" name="image1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 name="image1010.png"/>
                    <pic:cNvPicPr/>
                  </pic:nvPicPr>
                  <pic:blipFill>
                    <a:blip r:embed="rId1293" cstate="print"/>
                    <a:stretch>
                      <a:fillRect/>
                    </a:stretch>
                  </pic:blipFill>
                  <pic:spPr>
                    <a:xfrm>
                      <a:off x="0" y="0"/>
                      <a:ext cx="332231" cy="109727"/>
                    </a:xfrm>
                    <a:prstGeom prst="rect">
                      <a:avLst/>
                    </a:prstGeom>
                  </pic:spPr>
                </pic:pic>
              </a:graphicData>
            </a:graphic>
          </wp:inline>
        </w:drawing>
      </w:r>
      <w:r>
        <w:rPr>
          <w:rFonts w:ascii="Times New Roman"/>
          <w:spacing w:val="80"/>
          <w:position w:val="1"/>
          <w:sz w:val="20"/>
        </w:rPr>
        <w:t xml:space="preserve">  </w:t>
      </w:r>
      <w:r>
        <w:rPr>
          <w:position w:val="1"/>
        </w:rPr>
        <w:t>China</w:t>
      </w:r>
      <w:r>
        <w:rPr>
          <w:spacing w:val="-10"/>
          <w:position w:val="1"/>
        </w:rPr>
        <w:t xml:space="preserve"> </w:t>
      </w:r>
      <w:r>
        <w:rPr>
          <w:position w:val="1"/>
        </w:rPr>
        <w:t>acted</w:t>
      </w:r>
      <w:r>
        <w:rPr>
          <w:spacing w:val="-11"/>
          <w:position w:val="1"/>
        </w:rPr>
        <w:t xml:space="preserve"> </w:t>
      </w:r>
      <w:r>
        <w:rPr>
          <w:position w:val="1"/>
        </w:rPr>
        <w:t>inconsistently</w:t>
      </w:r>
      <w:r>
        <w:rPr>
          <w:spacing w:val="-8"/>
          <w:position w:val="1"/>
        </w:rPr>
        <w:t xml:space="preserve"> </w:t>
      </w:r>
      <w:r>
        <w:rPr>
          <w:position w:val="1"/>
        </w:rPr>
        <w:t>with</w:t>
      </w:r>
      <w:r>
        <w:rPr>
          <w:spacing w:val="-10"/>
          <w:position w:val="1"/>
        </w:rPr>
        <w:t xml:space="preserve"> </w:t>
      </w:r>
      <w:r>
        <w:rPr>
          <w:position w:val="1"/>
        </w:rPr>
        <w:t>Article</w:t>
      </w:r>
      <w:r>
        <w:rPr>
          <w:spacing w:val="-10"/>
          <w:position w:val="1"/>
        </w:rPr>
        <w:t xml:space="preserve"> </w:t>
      </w:r>
      <w:r>
        <w:rPr>
          <w:position w:val="1"/>
        </w:rPr>
        <w:t>6.9</w:t>
      </w:r>
      <w:r>
        <w:rPr>
          <w:spacing w:val="-10"/>
          <w:position w:val="1"/>
        </w:rPr>
        <w:t xml:space="preserve"> </w:t>
      </w:r>
      <w:r>
        <w:rPr>
          <w:position w:val="1"/>
        </w:rPr>
        <w:t>by</w:t>
      </w:r>
      <w:r>
        <w:rPr>
          <w:spacing w:val="-9"/>
          <w:position w:val="1"/>
        </w:rPr>
        <w:t xml:space="preserve"> </w:t>
      </w:r>
      <w:r>
        <w:rPr>
          <w:position w:val="1"/>
        </w:rPr>
        <w:t>failing</w:t>
      </w:r>
      <w:r>
        <w:rPr>
          <w:spacing w:val="-10"/>
          <w:position w:val="1"/>
        </w:rPr>
        <w:t xml:space="preserve"> </w:t>
      </w:r>
      <w:r>
        <w:rPr>
          <w:position w:val="1"/>
        </w:rPr>
        <w:t>to</w:t>
      </w:r>
      <w:r>
        <w:rPr>
          <w:spacing w:val="-9"/>
          <w:position w:val="1"/>
        </w:rPr>
        <w:t xml:space="preserve"> </w:t>
      </w:r>
      <w:r>
        <w:rPr>
          <w:position w:val="1"/>
        </w:rPr>
        <w:t>inform</w:t>
      </w:r>
      <w:r>
        <w:rPr>
          <w:spacing w:val="-10"/>
          <w:position w:val="1"/>
        </w:rPr>
        <w:t xml:space="preserve"> </w:t>
      </w:r>
      <w:r>
        <w:rPr>
          <w:position w:val="1"/>
        </w:rPr>
        <w:t>interested</w:t>
      </w:r>
      <w:r>
        <w:rPr>
          <w:spacing w:val="-9"/>
          <w:position w:val="1"/>
        </w:rPr>
        <w:t xml:space="preserve"> </w:t>
      </w:r>
      <w:r>
        <w:rPr>
          <w:position w:val="1"/>
        </w:rPr>
        <w:t>parties</w:t>
      </w:r>
      <w:r>
        <w:rPr>
          <w:spacing w:val="-10"/>
          <w:position w:val="1"/>
        </w:rPr>
        <w:t xml:space="preserve"> </w:t>
      </w:r>
      <w:r>
        <w:rPr>
          <w:position w:val="1"/>
        </w:rPr>
        <w:t>of</w:t>
      </w:r>
      <w:r>
        <w:rPr>
          <w:spacing w:val="-10"/>
          <w:position w:val="1"/>
        </w:rPr>
        <w:t xml:space="preserve"> </w:t>
      </w:r>
      <w:r>
        <w:rPr>
          <w:position w:val="1"/>
        </w:rPr>
        <w:t xml:space="preserve">all </w:t>
      </w:r>
      <w:r>
        <w:t>the essential facts under consideration relating to MOFCOM's decision to impose definitive antidumping duties on Australian bottled wine.</w:t>
      </w:r>
    </w:p>
    <w:p w14:paraId="51DE9A2E" w14:textId="77777777" w:rsidR="0010369C" w:rsidRDefault="0010369C">
      <w:pPr>
        <w:pStyle w:val="BodyText"/>
        <w:spacing w:before="10"/>
        <w:rPr>
          <w:sz w:val="8"/>
        </w:rPr>
      </w:pPr>
    </w:p>
    <w:p w14:paraId="51DE9A2F" w14:textId="77777777" w:rsidR="0010369C" w:rsidRDefault="008E43AE">
      <w:pPr>
        <w:pStyle w:val="BodyText"/>
        <w:spacing w:before="52"/>
        <w:ind w:left="250"/>
      </w:pPr>
      <w:r>
        <w:pict w14:anchorId="51DEA88F">
          <v:rect id="docshape1390" o:spid="_x0000_s1088" style="position:absolute;left:0;text-align:left;margin-left:304pt;margin-top:24.65pt;width:219.3pt;height:16.05pt;z-index:251871744;mso-position-horizontal-relative:page" fillcolor="black" stroked="f">
            <w10:wrap anchorx="page"/>
          </v:rect>
        </w:pict>
      </w:r>
      <w:r>
        <w:rPr>
          <w:noProof/>
        </w:rPr>
        <w:drawing>
          <wp:inline distT="0" distB="0" distL="0" distR="0" wp14:anchorId="51DEA890" wp14:editId="51DEA891">
            <wp:extent cx="332231" cy="109727"/>
            <wp:effectExtent l="0" t="0" r="0" b="0"/>
            <wp:docPr id="1967" name="image1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 name="image1011.png"/>
                    <pic:cNvPicPr/>
                  </pic:nvPicPr>
                  <pic:blipFill>
                    <a:blip r:embed="rId1294" cstate="print"/>
                    <a:stretch>
                      <a:fillRect/>
                    </a:stretch>
                  </pic:blipFill>
                  <pic:spPr>
                    <a:xfrm>
                      <a:off x="0" y="0"/>
                      <a:ext cx="332231" cy="109727"/>
                    </a:xfrm>
                    <a:prstGeom prst="rect">
                      <a:avLst/>
                    </a:prstGeom>
                  </pic:spPr>
                </pic:pic>
              </a:graphicData>
            </a:graphic>
          </wp:inline>
        </w:drawing>
      </w:r>
      <w:r>
        <w:rPr>
          <w:rFonts w:ascii="Times New Roman"/>
          <w:spacing w:val="80"/>
          <w:position w:val="1"/>
          <w:sz w:val="20"/>
        </w:rPr>
        <w:t xml:space="preserve">  </w:t>
      </w:r>
      <w:r>
        <w:rPr>
          <w:position w:val="1"/>
        </w:rPr>
        <w:t>MOFCOM released</w:t>
      </w:r>
      <w:r>
        <w:rPr>
          <w:spacing w:val="-2"/>
          <w:position w:val="1"/>
        </w:rPr>
        <w:t xml:space="preserve"> </w:t>
      </w:r>
      <w:r>
        <w:rPr>
          <w:position w:val="1"/>
        </w:rPr>
        <w:t>its</w:t>
      </w:r>
      <w:r>
        <w:rPr>
          <w:spacing w:val="-1"/>
          <w:position w:val="1"/>
        </w:rPr>
        <w:t xml:space="preserve"> </w:t>
      </w:r>
      <w:r>
        <w:rPr>
          <w:position w:val="1"/>
        </w:rPr>
        <w:t>Final Disclosure on</w:t>
      </w:r>
      <w:r>
        <w:rPr>
          <w:spacing w:val="-1"/>
          <w:position w:val="1"/>
        </w:rPr>
        <w:t xml:space="preserve"> </w:t>
      </w:r>
      <w:r>
        <w:rPr>
          <w:position w:val="1"/>
        </w:rPr>
        <w:t>12 March 2021, with</w:t>
      </w:r>
      <w:r>
        <w:rPr>
          <w:spacing w:val="-1"/>
          <w:position w:val="1"/>
        </w:rPr>
        <w:t xml:space="preserve"> </w:t>
      </w:r>
      <w:r>
        <w:rPr>
          <w:position w:val="1"/>
        </w:rPr>
        <w:t>a</w:t>
      </w:r>
      <w:r>
        <w:rPr>
          <w:spacing w:val="-1"/>
          <w:position w:val="1"/>
        </w:rPr>
        <w:t xml:space="preserve"> </w:t>
      </w:r>
      <w:r>
        <w:rPr>
          <w:position w:val="1"/>
        </w:rPr>
        <w:t>deadline of</w:t>
      </w:r>
      <w:r>
        <w:rPr>
          <w:spacing w:val="-1"/>
          <w:position w:val="1"/>
        </w:rPr>
        <w:t xml:space="preserve"> </w:t>
      </w:r>
      <w:r>
        <w:rPr>
          <w:position w:val="1"/>
        </w:rPr>
        <w:t>ten</w:t>
      </w:r>
      <w:r>
        <w:rPr>
          <w:spacing w:val="-1"/>
          <w:position w:val="1"/>
        </w:rPr>
        <w:t xml:space="preserve"> </w:t>
      </w:r>
      <w:r>
        <w:rPr>
          <w:position w:val="1"/>
        </w:rPr>
        <w:t>days</w:t>
      </w:r>
    </w:p>
    <w:p w14:paraId="51DE9A30" w14:textId="77777777" w:rsidR="0010369C" w:rsidRDefault="0010369C">
      <w:pPr>
        <w:sectPr w:rsidR="0010369C">
          <w:headerReference w:type="default" r:id="rId1295"/>
          <w:footerReference w:type="default" r:id="rId1296"/>
          <w:pgSz w:w="11910" w:h="16840"/>
          <w:pgMar w:top="880" w:right="800" w:bottom="1340" w:left="1180" w:header="569" w:footer="1143" w:gutter="0"/>
          <w:cols w:space="720"/>
        </w:sectPr>
      </w:pPr>
    </w:p>
    <w:p w14:paraId="51DE9A31" w14:textId="77777777" w:rsidR="0010369C" w:rsidRDefault="008E43AE">
      <w:pPr>
        <w:pStyle w:val="BodyText"/>
        <w:spacing w:before="146"/>
        <w:ind w:left="237"/>
      </w:pPr>
      <w:r>
        <w:t>to</w:t>
      </w:r>
      <w:r>
        <w:rPr>
          <w:spacing w:val="79"/>
        </w:rPr>
        <w:t xml:space="preserve"> </w:t>
      </w:r>
      <w:r>
        <w:rPr>
          <w:spacing w:val="-2"/>
        </w:rPr>
        <w:t>comment</w:t>
      </w:r>
    </w:p>
    <w:p w14:paraId="51DE9A32" w14:textId="77777777" w:rsidR="0010369C" w:rsidRDefault="008E43AE">
      <w:pPr>
        <w:pStyle w:val="BodyText"/>
        <w:spacing w:before="146"/>
        <w:ind w:left="97"/>
      </w:pPr>
      <w:r>
        <w:br w:type="column"/>
      </w:r>
      <w:r>
        <w:rPr>
          <w:spacing w:val="-2"/>
        </w:rPr>
        <w:t>(i.e.</w:t>
      </w:r>
    </w:p>
    <w:p w14:paraId="51DE9A33" w14:textId="77777777" w:rsidR="0010369C" w:rsidRDefault="008E43AE">
      <w:pPr>
        <w:pStyle w:val="BodyText"/>
        <w:spacing w:before="146"/>
        <w:ind w:left="97"/>
      </w:pPr>
      <w:r>
        <w:br w:type="column"/>
      </w:r>
      <w:r>
        <w:rPr>
          <w:spacing w:val="-4"/>
        </w:rPr>
        <w:t>until</w:t>
      </w:r>
    </w:p>
    <w:p w14:paraId="51DE9A34" w14:textId="77777777" w:rsidR="0010369C" w:rsidRDefault="008E43AE">
      <w:pPr>
        <w:pStyle w:val="BodyText"/>
        <w:spacing w:before="146"/>
        <w:ind w:left="97"/>
      </w:pPr>
      <w:r>
        <w:br w:type="column"/>
      </w:r>
      <w:r>
        <w:t>22</w:t>
      </w:r>
      <w:r>
        <w:rPr>
          <w:spacing w:val="-8"/>
        </w:rPr>
        <w:t xml:space="preserve"> </w:t>
      </w:r>
      <w:r>
        <w:t>March</w:t>
      </w:r>
      <w:r>
        <w:rPr>
          <w:spacing w:val="-7"/>
        </w:rPr>
        <w:t xml:space="preserve"> </w:t>
      </w:r>
      <w:r>
        <w:t>2021).</w:t>
      </w:r>
      <w:r>
        <w:rPr>
          <w:vertAlign w:val="superscript"/>
        </w:rPr>
        <w:t>1169</w:t>
      </w:r>
      <w:r>
        <w:rPr>
          <w:spacing w:val="42"/>
        </w:rPr>
        <w:t xml:space="preserve"> </w:t>
      </w:r>
      <w:r>
        <w:rPr>
          <w:spacing w:val="-5"/>
        </w:rPr>
        <w:t>[[</w:t>
      </w:r>
    </w:p>
    <w:p w14:paraId="51DE9A35" w14:textId="77777777" w:rsidR="0010369C" w:rsidRDefault="0010369C">
      <w:pPr>
        <w:sectPr w:rsidR="0010369C">
          <w:type w:val="continuous"/>
          <w:pgSz w:w="11910" w:h="16840"/>
          <w:pgMar w:top="1460" w:right="800" w:bottom="280" w:left="1180" w:header="569" w:footer="1143" w:gutter="0"/>
          <w:cols w:num="4" w:space="720" w:equalWidth="0">
            <w:col w:w="1518" w:space="40"/>
            <w:col w:w="466" w:space="39"/>
            <w:col w:w="538" w:space="40"/>
            <w:col w:w="7289"/>
          </w:cols>
        </w:sectPr>
      </w:pPr>
    </w:p>
    <w:p w14:paraId="51DE9A36" w14:textId="77777777" w:rsidR="0010369C" w:rsidRDefault="0010369C">
      <w:pPr>
        <w:pStyle w:val="BodyText"/>
        <w:spacing w:before="2"/>
        <w:rPr>
          <w:sz w:val="12"/>
        </w:rPr>
      </w:pPr>
    </w:p>
    <w:p w14:paraId="51DE9A37" w14:textId="77777777" w:rsidR="0010369C" w:rsidRDefault="008E43AE">
      <w:pPr>
        <w:pStyle w:val="BodyText"/>
        <w:ind w:left="218"/>
        <w:rPr>
          <w:sz w:val="20"/>
        </w:rPr>
      </w:pPr>
      <w:r>
        <w:rPr>
          <w:sz w:val="20"/>
        </w:rPr>
      </w:r>
      <w:r>
        <w:rPr>
          <w:sz w:val="20"/>
        </w:rPr>
        <w:pict w14:anchorId="51DEA893">
          <v:group id="docshapegroup1391" o:spid="_x0000_s1086" style="width:453.6pt;height:16.1pt;mso-position-horizontal-relative:char;mso-position-vertical-relative:line" coordsize="9072,322">
            <v:rect id="docshape1392" o:spid="_x0000_s1087" style="position:absolute;width:9072;height:322" fillcolor="black" stroked="f"/>
            <w10:anchorlock/>
          </v:group>
        </w:pict>
      </w:r>
    </w:p>
    <w:p w14:paraId="51DE9A38" w14:textId="77777777" w:rsidR="0010369C" w:rsidRDefault="008E43AE">
      <w:pPr>
        <w:pStyle w:val="BodyText"/>
        <w:spacing w:before="82" w:line="360" w:lineRule="auto"/>
        <w:ind w:left="237" w:right="613" w:firstLine="1233"/>
        <w:jc w:val="both"/>
      </w:pPr>
      <w:r>
        <w:pict w14:anchorId="51DEA894">
          <v:rect id="docshape1393" o:spid="_x0000_s1085" style="position:absolute;left:0;text-align:left;margin-left:69.9pt;margin-top:4.2pt;width:61.6pt;height:16.05pt;z-index:-251274752;mso-position-horizontal-relative:page" fillcolor="black" stroked="f">
            <w10:wrap anchorx="page"/>
          </v:rect>
        </w:pict>
      </w:r>
      <w:r>
        <w:t>]] On 17</w:t>
      </w:r>
      <w:r>
        <w:rPr>
          <w:spacing w:val="-1"/>
        </w:rPr>
        <w:t xml:space="preserve"> </w:t>
      </w:r>
      <w:r>
        <w:t>March</w:t>
      </w:r>
      <w:r>
        <w:rPr>
          <w:spacing w:val="-2"/>
        </w:rPr>
        <w:t xml:space="preserve"> </w:t>
      </w:r>
      <w:r>
        <w:t>2021, MOFCOM provided an additional, supplementary disclosure</w:t>
      </w:r>
      <w:r>
        <w:rPr>
          <w:spacing w:val="-10"/>
        </w:rPr>
        <w:t xml:space="preserve"> </w:t>
      </w:r>
      <w:r>
        <w:t>to</w:t>
      </w:r>
      <w:r>
        <w:rPr>
          <w:spacing w:val="-11"/>
        </w:rPr>
        <w:t xml:space="preserve"> </w:t>
      </w:r>
      <w:r>
        <w:t>Australia</w:t>
      </w:r>
      <w:r>
        <w:rPr>
          <w:spacing w:val="-12"/>
        </w:rPr>
        <w:t xml:space="preserve"> </w:t>
      </w:r>
      <w:r>
        <w:t>in</w:t>
      </w:r>
      <w:r>
        <w:rPr>
          <w:spacing w:val="-11"/>
        </w:rPr>
        <w:t xml:space="preserve"> </w:t>
      </w:r>
      <w:r>
        <w:t>response</w:t>
      </w:r>
      <w:r>
        <w:rPr>
          <w:spacing w:val="-11"/>
        </w:rPr>
        <w:t xml:space="preserve"> </w:t>
      </w:r>
      <w:r>
        <w:t>to</w:t>
      </w:r>
      <w:r>
        <w:rPr>
          <w:spacing w:val="-11"/>
        </w:rPr>
        <w:t xml:space="preserve"> </w:t>
      </w:r>
      <w:r>
        <w:t>complaints</w:t>
      </w:r>
      <w:r>
        <w:rPr>
          <w:spacing w:val="-12"/>
        </w:rPr>
        <w:t xml:space="preserve"> </w:t>
      </w:r>
      <w:r>
        <w:t>by</w:t>
      </w:r>
      <w:r>
        <w:rPr>
          <w:spacing w:val="-11"/>
        </w:rPr>
        <w:t xml:space="preserve"> </w:t>
      </w:r>
      <w:r>
        <w:t>Australia</w:t>
      </w:r>
      <w:r>
        <w:rPr>
          <w:spacing w:val="-12"/>
        </w:rPr>
        <w:t xml:space="preserve"> </w:t>
      </w:r>
      <w:r>
        <w:t>about</w:t>
      </w:r>
      <w:r>
        <w:rPr>
          <w:spacing w:val="-11"/>
        </w:rPr>
        <w:t xml:space="preserve"> </w:t>
      </w:r>
      <w:r>
        <w:t>the</w:t>
      </w:r>
      <w:r>
        <w:rPr>
          <w:spacing w:val="-10"/>
        </w:rPr>
        <w:t xml:space="preserve"> </w:t>
      </w:r>
      <w:r>
        <w:t>inadequacy</w:t>
      </w:r>
      <w:r>
        <w:rPr>
          <w:spacing w:val="-9"/>
        </w:rPr>
        <w:t xml:space="preserve"> </w:t>
      </w:r>
      <w:r>
        <w:t>of</w:t>
      </w:r>
      <w:r>
        <w:rPr>
          <w:spacing w:val="-11"/>
        </w:rPr>
        <w:t xml:space="preserve"> </w:t>
      </w:r>
      <w:r>
        <w:t>the</w:t>
      </w:r>
      <w:r>
        <w:rPr>
          <w:spacing w:val="-10"/>
        </w:rPr>
        <w:t xml:space="preserve"> </w:t>
      </w:r>
      <w:r>
        <w:t>first disclosure (the Additional Final Disclosure), which omit</w:t>
      </w:r>
      <w:r>
        <w:t>ted essential facts relating to the determination of the dumping duties on the sampled companies.</w:t>
      </w:r>
      <w:r>
        <w:rPr>
          <w:vertAlign w:val="superscript"/>
        </w:rPr>
        <w:t>1170</w:t>
      </w:r>
    </w:p>
    <w:p w14:paraId="51DE9A39" w14:textId="77777777" w:rsidR="0010369C" w:rsidRDefault="0010369C">
      <w:pPr>
        <w:pStyle w:val="BodyText"/>
        <w:spacing w:before="11"/>
        <w:rPr>
          <w:sz w:val="8"/>
        </w:rPr>
      </w:pPr>
    </w:p>
    <w:p w14:paraId="51DE9A3A" w14:textId="77777777" w:rsidR="0010369C" w:rsidRDefault="008E43AE">
      <w:pPr>
        <w:pStyle w:val="BodyText"/>
        <w:spacing w:before="52" w:line="360" w:lineRule="auto"/>
        <w:ind w:left="236" w:right="613" w:firstLine="852"/>
        <w:jc w:val="both"/>
      </w:pPr>
      <w:r>
        <w:rPr>
          <w:noProof/>
        </w:rPr>
        <w:drawing>
          <wp:anchor distT="0" distB="0" distL="0" distR="0" simplePos="0" relativeHeight="251591168" behindDoc="1" locked="0" layoutInCell="1" allowOverlap="1" wp14:anchorId="51DEA895" wp14:editId="51DEA896">
            <wp:simplePos x="0" y="0"/>
            <wp:positionH relativeFrom="page">
              <wp:posOffset>908303</wp:posOffset>
            </wp:positionH>
            <wp:positionV relativeFrom="paragraph">
              <wp:posOffset>80595</wp:posOffset>
            </wp:positionV>
            <wp:extent cx="332231" cy="103631"/>
            <wp:effectExtent l="0" t="0" r="0" b="0"/>
            <wp:wrapNone/>
            <wp:docPr id="1969" name="image1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 name="image1012.png"/>
                    <pic:cNvPicPr/>
                  </pic:nvPicPr>
                  <pic:blipFill>
                    <a:blip r:embed="rId1297" cstate="print"/>
                    <a:stretch>
                      <a:fillRect/>
                    </a:stretch>
                  </pic:blipFill>
                  <pic:spPr>
                    <a:xfrm>
                      <a:off x="0" y="0"/>
                      <a:ext cx="332231" cy="103631"/>
                    </a:xfrm>
                    <a:prstGeom prst="rect">
                      <a:avLst/>
                    </a:prstGeom>
                  </pic:spPr>
                </pic:pic>
              </a:graphicData>
            </a:graphic>
          </wp:anchor>
        </w:drawing>
      </w:r>
      <w:r>
        <w:t>MOFCOM acted inconsistently with Article 6.9 of the Anti‐Dumping Agreement by failing</w:t>
      </w:r>
      <w:r>
        <w:rPr>
          <w:spacing w:val="-7"/>
        </w:rPr>
        <w:t xml:space="preserve"> </w:t>
      </w:r>
      <w:r>
        <w:t>to</w:t>
      </w:r>
      <w:r>
        <w:rPr>
          <w:spacing w:val="-8"/>
        </w:rPr>
        <w:t xml:space="preserve"> </w:t>
      </w:r>
      <w:r>
        <w:t>make</w:t>
      </w:r>
      <w:r>
        <w:rPr>
          <w:spacing w:val="-7"/>
        </w:rPr>
        <w:t xml:space="preserve"> </w:t>
      </w:r>
      <w:r>
        <w:t>available</w:t>
      </w:r>
      <w:r>
        <w:rPr>
          <w:spacing w:val="-8"/>
        </w:rPr>
        <w:t xml:space="preserve"> </w:t>
      </w:r>
      <w:r>
        <w:t>to</w:t>
      </w:r>
      <w:r>
        <w:rPr>
          <w:spacing w:val="-7"/>
        </w:rPr>
        <w:t xml:space="preserve"> </w:t>
      </w:r>
      <w:r>
        <w:t>interested</w:t>
      </w:r>
      <w:r>
        <w:rPr>
          <w:spacing w:val="-6"/>
        </w:rPr>
        <w:t xml:space="preserve"> </w:t>
      </w:r>
      <w:r>
        <w:t>parties</w:t>
      </w:r>
      <w:r>
        <w:rPr>
          <w:spacing w:val="-7"/>
        </w:rPr>
        <w:t xml:space="preserve"> </w:t>
      </w:r>
      <w:r>
        <w:t>all</w:t>
      </w:r>
      <w:r>
        <w:rPr>
          <w:spacing w:val="-9"/>
        </w:rPr>
        <w:t xml:space="preserve"> </w:t>
      </w:r>
      <w:r>
        <w:t>of</w:t>
      </w:r>
      <w:r>
        <w:rPr>
          <w:spacing w:val="-8"/>
        </w:rPr>
        <w:t xml:space="preserve"> </w:t>
      </w:r>
      <w:r>
        <w:t>the</w:t>
      </w:r>
      <w:r>
        <w:rPr>
          <w:spacing w:val="-8"/>
        </w:rPr>
        <w:t xml:space="preserve"> </w:t>
      </w:r>
      <w:r>
        <w:t>essential</w:t>
      </w:r>
      <w:r>
        <w:rPr>
          <w:spacing w:val="-8"/>
        </w:rPr>
        <w:t xml:space="preserve"> </w:t>
      </w:r>
      <w:r>
        <w:t>facts</w:t>
      </w:r>
      <w:r>
        <w:rPr>
          <w:spacing w:val="-8"/>
        </w:rPr>
        <w:t xml:space="preserve"> </w:t>
      </w:r>
      <w:r>
        <w:t>that</w:t>
      </w:r>
      <w:r>
        <w:rPr>
          <w:spacing w:val="-7"/>
        </w:rPr>
        <w:t xml:space="preserve"> </w:t>
      </w:r>
      <w:r>
        <w:t>formed</w:t>
      </w:r>
      <w:r>
        <w:rPr>
          <w:spacing w:val="-8"/>
        </w:rPr>
        <w:t xml:space="preserve"> </w:t>
      </w:r>
      <w:r>
        <w:t>the</w:t>
      </w:r>
      <w:r>
        <w:rPr>
          <w:spacing w:val="-8"/>
        </w:rPr>
        <w:t xml:space="preserve"> </w:t>
      </w:r>
      <w:r>
        <w:t>basis</w:t>
      </w:r>
      <w:r>
        <w:rPr>
          <w:spacing w:val="-7"/>
        </w:rPr>
        <w:t xml:space="preserve"> </w:t>
      </w:r>
      <w:r>
        <w:t>of its decision to impose definitive antidumping measures, prior to that determination. As a result,</w:t>
      </w:r>
      <w:r>
        <w:rPr>
          <w:spacing w:val="-11"/>
        </w:rPr>
        <w:t xml:space="preserve"> </w:t>
      </w:r>
      <w:r>
        <w:t>interested</w:t>
      </w:r>
      <w:r>
        <w:rPr>
          <w:spacing w:val="-10"/>
        </w:rPr>
        <w:t xml:space="preserve"> </w:t>
      </w:r>
      <w:r>
        <w:t>parties</w:t>
      </w:r>
      <w:r>
        <w:rPr>
          <w:spacing w:val="-11"/>
        </w:rPr>
        <w:t xml:space="preserve"> </w:t>
      </w:r>
      <w:r>
        <w:t>were</w:t>
      </w:r>
      <w:r>
        <w:rPr>
          <w:spacing w:val="-10"/>
        </w:rPr>
        <w:t xml:space="preserve"> </w:t>
      </w:r>
      <w:r>
        <w:t>deprived</w:t>
      </w:r>
      <w:r>
        <w:rPr>
          <w:spacing w:val="-10"/>
        </w:rPr>
        <w:t xml:space="preserve"> </w:t>
      </w:r>
      <w:r>
        <w:t>of</w:t>
      </w:r>
      <w:r>
        <w:rPr>
          <w:spacing w:val="-11"/>
        </w:rPr>
        <w:t xml:space="preserve"> </w:t>
      </w:r>
      <w:r>
        <w:t>a</w:t>
      </w:r>
      <w:r>
        <w:rPr>
          <w:spacing w:val="-11"/>
        </w:rPr>
        <w:t xml:space="preserve"> </w:t>
      </w:r>
      <w:r>
        <w:t>full</w:t>
      </w:r>
      <w:r>
        <w:rPr>
          <w:spacing w:val="-11"/>
        </w:rPr>
        <w:t xml:space="preserve"> </w:t>
      </w:r>
      <w:r>
        <w:t>opportunity</w:t>
      </w:r>
      <w:r>
        <w:rPr>
          <w:spacing w:val="-10"/>
        </w:rPr>
        <w:t xml:space="preserve"> </w:t>
      </w:r>
      <w:r>
        <w:t>for</w:t>
      </w:r>
      <w:r>
        <w:rPr>
          <w:spacing w:val="-10"/>
        </w:rPr>
        <w:t xml:space="preserve"> </w:t>
      </w:r>
      <w:r>
        <w:t>the</w:t>
      </w:r>
      <w:r>
        <w:rPr>
          <w:spacing w:val="-10"/>
        </w:rPr>
        <w:t xml:space="preserve"> </w:t>
      </w:r>
      <w:r>
        <w:t>defence</w:t>
      </w:r>
      <w:r>
        <w:rPr>
          <w:spacing w:val="-10"/>
        </w:rPr>
        <w:t xml:space="preserve"> </w:t>
      </w:r>
      <w:r>
        <w:t>of</w:t>
      </w:r>
      <w:r>
        <w:rPr>
          <w:spacing w:val="-11"/>
        </w:rPr>
        <w:t xml:space="preserve"> </w:t>
      </w:r>
      <w:r>
        <w:t>their</w:t>
      </w:r>
      <w:r>
        <w:rPr>
          <w:spacing w:val="-11"/>
        </w:rPr>
        <w:t xml:space="preserve"> </w:t>
      </w:r>
      <w:r>
        <w:t>interests. Specifically, MOFCOM failed to disclose to interested parties al</w:t>
      </w:r>
      <w:r>
        <w:t>l of the essential facts in relation to:</w:t>
      </w:r>
    </w:p>
    <w:p w14:paraId="51DE9A3B" w14:textId="77777777" w:rsidR="0010369C" w:rsidRDefault="008E43AE">
      <w:pPr>
        <w:pStyle w:val="ListParagraph"/>
        <w:numPr>
          <w:ilvl w:val="0"/>
          <w:numId w:val="19"/>
        </w:numPr>
        <w:tabs>
          <w:tab w:val="left" w:pos="1939"/>
          <w:tab w:val="left" w:pos="1940"/>
        </w:tabs>
        <w:spacing w:before="160" w:line="357" w:lineRule="auto"/>
        <w:ind w:right="615"/>
        <w:rPr>
          <w:sz w:val="24"/>
        </w:rPr>
      </w:pPr>
      <w:r>
        <w:rPr>
          <w:sz w:val="24"/>
        </w:rPr>
        <w:t>the</w:t>
      </w:r>
      <w:r>
        <w:rPr>
          <w:spacing w:val="-5"/>
          <w:sz w:val="24"/>
        </w:rPr>
        <w:t xml:space="preserve"> </w:t>
      </w:r>
      <w:r>
        <w:rPr>
          <w:sz w:val="24"/>
        </w:rPr>
        <w:t>calculation</w:t>
      </w:r>
      <w:r>
        <w:rPr>
          <w:spacing w:val="-6"/>
          <w:sz w:val="24"/>
        </w:rPr>
        <w:t xml:space="preserve"> </w:t>
      </w:r>
      <w:r>
        <w:rPr>
          <w:sz w:val="24"/>
        </w:rPr>
        <w:t>of</w:t>
      </w:r>
      <w:r>
        <w:rPr>
          <w:spacing w:val="-6"/>
          <w:sz w:val="24"/>
        </w:rPr>
        <w:t xml:space="preserve"> </w:t>
      </w:r>
      <w:r>
        <w:rPr>
          <w:sz w:val="24"/>
        </w:rPr>
        <w:t>the</w:t>
      </w:r>
      <w:r>
        <w:rPr>
          <w:spacing w:val="-5"/>
          <w:sz w:val="24"/>
        </w:rPr>
        <w:t xml:space="preserve"> </w:t>
      </w:r>
      <w:r>
        <w:rPr>
          <w:sz w:val="24"/>
        </w:rPr>
        <w:t>total</w:t>
      </w:r>
      <w:r>
        <w:rPr>
          <w:spacing w:val="-6"/>
          <w:sz w:val="24"/>
        </w:rPr>
        <w:t xml:space="preserve"> </w:t>
      </w:r>
      <w:r>
        <w:rPr>
          <w:sz w:val="24"/>
        </w:rPr>
        <w:t>production</w:t>
      </w:r>
      <w:r>
        <w:rPr>
          <w:spacing w:val="-5"/>
          <w:sz w:val="24"/>
        </w:rPr>
        <w:t xml:space="preserve"> </w:t>
      </w:r>
      <w:r>
        <w:rPr>
          <w:sz w:val="24"/>
        </w:rPr>
        <w:t>of</w:t>
      </w:r>
      <w:r>
        <w:rPr>
          <w:spacing w:val="-6"/>
          <w:sz w:val="24"/>
        </w:rPr>
        <w:t xml:space="preserve"> </w:t>
      </w:r>
      <w:r>
        <w:rPr>
          <w:sz w:val="24"/>
        </w:rPr>
        <w:t>the</w:t>
      </w:r>
      <w:r>
        <w:rPr>
          <w:spacing w:val="-5"/>
          <w:sz w:val="24"/>
        </w:rPr>
        <w:t xml:space="preserve"> </w:t>
      </w:r>
      <w:r>
        <w:rPr>
          <w:sz w:val="24"/>
        </w:rPr>
        <w:t>Chinese</w:t>
      </w:r>
      <w:r>
        <w:rPr>
          <w:spacing w:val="-6"/>
          <w:sz w:val="24"/>
        </w:rPr>
        <w:t xml:space="preserve"> </w:t>
      </w:r>
      <w:r>
        <w:rPr>
          <w:sz w:val="24"/>
        </w:rPr>
        <w:t>domestic</w:t>
      </w:r>
      <w:r>
        <w:rPr>
          <w:spacing w:val="-5"/>
          <w:sz w:val="24"/>
        </w:rPr>
        <w:t xml:space="preserve"> </w:t>
      </w:r>
      <w:r>
        <w:rPr>
          <w:sz w:val="24"/>
        </w:rPr>
        <w:t>industry</w:t>
      </w:r>
      <w:r>
        <w:rPr>
          <w:spacing w:val="-6"/>
          <w:sz w:val="24"/>
        </w:rPr>
        <w:t xml:space="preserve"> </w:t>
      </w:r>
      <w:r>
        <w:rPr>
          <w:sz w:val="24"/>
        </w:rPr>
        <w:t>and the</w:t>
      </w:r>
      <w:r>
        <w:rPr>
          <w:spacing w:val="-14"/>
          <w:sz w:val="24"/>
        </w:rPr>
        <w:t xml:space="preserve"> </w:t>
      </w:r>
      <w:r>
        <w:rPr>
          <w:sz w:val="24"/>
        </w:rPr>
        <w:t>proportion</w:t>
      </w:r>
      <w:r>
        <w:rPr>
          <w:spacing w:val="-14"/>
          <w:sz w:val="24"/>
        </w:rPr>
        <w:t xml:space="preserve"> </w:t>
      </w:r>
      <w:r>
        <w:rPr>
          <w:sz w:val="24"/>
        </w:rPr>
        <w:t>of</w:t>
      </w:r>
      <w:r>
        <w:rPr>
          <w:spacing w:val="-13"/>
          <w:sz w:val="24"/>
        </w:rPr>
        <w:t xml:space="preserve"> </w:t>
      </w:r>
      <w:r>
        <w:rPr>
          <w:sz w:val="24"/>
        </w:rPr>
        <w:t>that</w:t>
      </w:r>
      <w:r>
        <w:rPr>
          <w:spacing w:val="-14"/>
          <w:sz w:val="24"/>
        </w:rPr>
        <w:t xml:space="preserve"> </w:t>
      </w:r>
      <w:r>
        <w:rPr>
          <w:sz w:val="24"/>
        </w:rPr>
        <w:t>production</w:t>
      </w:r>
      <w:r>
        <w:rPr>
          <w:spacing w:val="-13"/>
          <w:sz w:val="24"/>
        </w:rPr>
        <w:t xml:space="preserve"> </w:t>
      </w:r>
      <w:r>
        <w:rPr>
          <w:sz w:val="24"/>
        </w:rPr>
        <w:t>accounted</w:t>
      </w:r>
      <w:r>
        <w:rPr>
          <w:spacing w:val="-14"/>
          <w:sz w:val="24"/>
        </w:rPr>
        <w:t xml:space="preserve"> </w:t>
      </w:r>
      <w:r>
        <w:rPr>
          <w:sz w:val="24"/>
        </w:rPr>
        <w:t>for</w:t>
      </w:r>
      <w:r>
        <w:rPr>
          <w:spacing w:val="-13"/>
          <w:sz w:val="24"/>
        </w:rPr>
        <w:t xml:space="preserve"> </w:t>
      </w:r>
      <w:r>
        <w:rPr>
          <w:sz w:val="24"/>
        </w:rPr>
        <w:t>by</w:t>
      </w:r>
      <w:r>
        <w:rPr>
          <w:spacing w:val="-14"/>
          <w:sz w:val="24"/>
        </w:rPr>
        <w:t xml:space="preserve"> </w:t>
      </w:r>
      <w:r>
        <w:rPr>
          <w:sz w:val="24"/>
        </w:rPr>
        <w:t>the</w:t>
      </w:r>
      <w:r>
        <w:rPr>
          <w:spacing w:val="-14"/>
          <w:sz w:val="24"/>
        </w:rPr>
        <w:t xml:space="preserve"> </w:t>
      </w:r>
      <w:r>
        <w:rPr>
          <w:sz w:val="24"/>
        </w:rPr>
        <w:t>participating</w:t>
      </w:r>
      <w:r>
        <w:rPr>
          <w:spacing w:val="-13"/>
          <w:sz w:val="24"/>
        </w:rPr>
        <w:t xml:space="preserve"> </w:t>
      </w:r>
      <w:r>
        <w:rPr>
          <w:sz w:val="24"/>
        </w:rPr>
        <w:t xml:space="preserve">Chinese </w:t>
      </w:r>
      <w:r>
        <w:rPr>
          <w:spacing w:val="-2"/>
          <w:sz w:val="24"/>
        </w:rPr>
        <w:t>producers;</w:t>
      </w:r>
    </w:p>
    <w:p w14:paraId="51DE9A3C" w14:textId="77777777" w:rsidR="0010369C" w:rsidRDefault="008E43AE">
      <w:pPr>
        <w:pStyle w:val="ListParagraph"/>
        <w:numPr>
          <w:ilvl w:val="0"/>
          <w:numId w:val="19"/>
        </w:numPr>
        <w:tabs>
          <w:tab w:val="left" w:pos="1939"/>
          <w:tab w:val="left" w:pos="1940"/>
        </w:tabs>
        <w:spacing w:before="128" w:line="355" w:lineRule="auto"/>
        <w:ind w:left="1940" w:right="613"/>
        <w:rPr>
          <w:sz w:val="24"/>
        </w:rPr>
      </w:pPr>
      <w:r>
        <w:rPr>
          <w:sz w:val="24"/>
        </w:rPr>
        <w:t>the</w:t>
      </w:r>
      <w:r>
        <w:rPr>
          <w:spacing w:val="-9"/>
          <w:sz w:val="24"/>
        </w:rPr>
        <w:t xml:space="preserve"> </w:t>
      </w:r>
      <w:r>
        <w:rPr>
          <w:sz w:val="24"/>
        </w:rPr>
        <w:t>information</w:t>
      </w:r>
      <w:r>
        <w:rPr>
          <w:spacing w:val="-9"/>
          <w:sz w:val="24"/>
        </w:rPr>
        <w:t xml:space="preserve"> </w:t>
      </w:r>
      <w:r>
        <w:rPr>
          <w:sz w:val="24"/>
        </w:rPr>
        <w:t>selected</w:t>
      </w:r>
      <w:r>
        <w:rPr>
          <w:spacing w:val="-11"/>
          <w:sz w:val="24"/>
        </w:rPr>
        <w:t xml:space="preserve"> </w:t>
      </w:r>
      <w:r>
        <w:rPr>
          <w:sz w:val="24"/>
        </w:rPr>
        <w:t>as</w:t>
      </w:r>
      <w:r>
        <w:rPr>
          <w:spacing w:val="-10"/>
          <w:sz w:val="24"/>
        </w:rPr>
        <w:t xml:space="preserve"> </w:t>
      </w:r>
      <w:r>
        <w:rPr>
          <w:sz w:val="24"/>
        </w:rPr>
        <w:t>"facts</w:t>
      </w:r>
      <w:r>
        <w:rPr>
          <w:spacing w:val="-10"/>
          <w:sz w:val="24"/>
        </w:rPr>
        <w:t xml:space="preserve"> </w:t>
      </w:r>
      <w:r>
        <w:rPr>
          <w:sz w:val="24"/>
        </w:rPr>
        <w:t>available"</w:t>
      </w:r>
      <w:r>
        <w:rPr>
          <w:spacing w:val="-10"/>
          <w:sz w:val="24"/>
        </w:rPr>
        <w:t xml:space="preserve"> </w:t>
      </w:r>
      <w:r>
        <w:rPr>
          <w:sz w:val="24"/>
        </w:rPr>
        <w:t>for</w:t>
      </w:r>
      <w:r>
        <w:rPr>
          <w:spacing w:val="-9"/>
          <w:sz w:val="24"/>
        </w:rPr>
        <w:t xml:space="preserve"> </w:t>
      </w:r>
      <w:r>
        <w:rPr>
          <w:sz w:val="24"/>
        </w:rPr>
        <w:t>the</w:t>
      </w:r>
      <w:r>
        <w:rPr>
          <w:spacing w:val="-9"/>
          <w:sz w:val="24"/>
        </w:rPr>
        <w:t xml:space="preserve"> </w:t>
      </w:r>
      <w:r>
        <w:rPr>
          <w:sz w:val="24"/>
        </w:rPr>
        <w:t>sampled</w:t>
      </w:r>
      <w:r>
        <w:rPr>
          <w:spacing w:val="-11"/>
          <w:sz w:val="24"/>
        </w:rPr>
        <w:t xml:space="preserve"> </w:t>
      </w:r>
      <w:r>
        <w:rPr>
          <w:sz w:val="24"/>
        </w:rPr>
        <w:t>companies</w:t>
      </w:r>
      <w:r>
        <w:rPr>
          <w:spacing w:val="-10"/>
          <w:sz w:val="24"/>
        </w:rPr>
        <w:t xml:space="preserve"> </w:t>
      </w:r>
      <w:r>
        <w:rPr>
          <w:sz w:val="24"/>
        </w:rPr>
        <w:t>and the basis for those selections;</w:t>
      </w:r>
    </w:p>
    <w:p w14:paraId="51DE9A3D" w14:textId="77777777" w:rsidR="0010369C" w:rsidRDefault="008E43AE">
      <w:pPr>
        <w:pStyle w:val="ListParagraph"/>
        <w:numPr>
          <w:ilvl w:val="0"/>
          <w:numId w:val="19"/>
        </w:numPr>
        <w:tabs>
          <w:tab w:val="left" w:pos="1940"/>
          <w:tab w:val="left" w:pos="1941"/>
        </w:tabs>
        <w:spacing w:before="131" w:line="355" w:lineRule="auto"/>
        <w:ind w:left="1940" w:right="614"/>
        <w:rPr>
          <w:sz w:val="24"/>
        </w:rPr>
      </w:pPr>
      <w:r>
        <w:rPr>
          <w:sz w:val="24"/>
        </w:rPr>
        <w:t>decisions concerning adjustments to ensure a fair comparison of normal value and export price;</w:t>
      </w:r>
    </w:p>
    <w:p w14:paraId="51DE9A3E" w14:textId="77777777" w:rsidR="0010369C" w:rsidRDefault="008E43AE">
      <w:pPr>
        <w:pStyle w:val="ListParagraph"/>
        <w:numPr>
          <w:ilvl w:val="0"/>
          <w:numId w:val="19"/>
        </w:numPr>
        <w:tabs>
          <w:tab w:val="left" w:pos="1940"/>
          <w:tab w:val="left" w:pos="1941"/>
        </w:tabs>
        <w:spacing w:before="132"/>
        <w:ind w:left="1940" w:hanging="852"/>
        <w:rPr>
          <w:sz w:val="24"/>
        </w:rPr>
      </w:pPr>
      <w:r>
        <w:rPr>
          <w:sz w:val="24"/>
        </w:rPr>
        <w:t>differences</w:t>
      </w:r>
      <w:r>
        <w:rPr>
          <w:spacing w:val="-9"/>
          <w:sz w:val="24"/>
        </w:rPr>
        <w:t xml:space="preserve"> </w:t>
      </w:r>
      <w:r>
        <w:rPr>
          <w:sz w:val="24"/>
        </w:rPr>
        <w:t>in</w:t>
      </w:r>
      <w:r>
        <w:rPr>
          <w:spacing w:val="-8"/>
          <w:sz w:val="24"/>
        </w:rPr>
        <w:t xml:space="preserve"> </w:t>
      </w:r>
      <w:r>
        <w:rPr>
          <w:sz w:val="24"/>
        </w:rPr>
        <w:t>price</w:t>
      </w:r>
      <w:r>
        <w:rPr>
          <w:spacing w:val="-7"/>
          <w:sz w:val="24"/>
        </w:rPr>
        <w:t xml:space="preserve"> </w:t>
      </w:r>
      <w:r>
        <w:rPr>
          <w:spacing w:val="-2"/>
          <w:sz w:val="24"/>
        </w:rPr>
        <w:t>comparability;</w:t>
      </w:r>
    </w:p>
    <w:p w14:paraId="51DE9A3F" w14:textId="77777777" w:rsidR="0010369C" w:rsidRDefault="0010369C">
      <w:pPr>
        <w:pStyle w:val="BodyText"/>
        <w:rPr>
          <w:sz w:val="30"/>
        </w:rPr>
      </w:pPr>
    </w:p>
    <w:p w14:paraId="51DE9A40" w14:textId="77777777" w:rsidR="0010369C" w:rsidRDefault="008E43AE">
      <w:pPr>
        <w:spacing w:before="207"/>
        <w:ind w:left="238"/>
        <w:rPr>
          <w:sz w:val="18"/>
        </w:rPr>
      </w:pPr>
      <w:r>
        <w:rPr>
          <w:sz w:val="18"/>
          <w:vertAlign w:val="superscript"/>
        </w:rPr>
        <w:t>1169</w:t>
      </w:r>
      <w:r>
        <w:rPr>
          <w:spacing w:val="-9"/>
          <w:sz w:val="18"/>
        </w:rPr>
        <w:t xml:space="preserve"> </w:t>
      </w:r>
      <w:r>
        <w:rPr>
          <w:sz w:val="18"/>
        </w:rPr>
        <w:t>Anti‐Dumping</w:t>
      </w:r>
      <w:r>
        <w:rPr>
          <w:spacing w:val="-8"/>
          <w:sz w:val="18"/>
        </w:rPr>
        <w:t xml:space="preserve"> </w:t>
      </w:r>
      <w:r>
        <w:rPr>
          <w:sz w:val="18"/>
        </w:rPr>
        <w:t>Final</w:t>
      </w:r>
      <w:r>
        <w:rPr>
          <w:spacing w:val="-8"/>
          <w:sz w:val="18"/>
        </w:rPr>
        <w:t xml:space="preserve"> </w:t>
      </w:r>
      <w:r>
        <w:rPr>
          <w:sz w:val="18"/>
        </w:rPr>
        <w:t>Disclosure</w:t>
      </w:r>
      <w:r>
        <w:rPr>
          <w:spacing w:val="-8"/>
          <w:sz w:val="18"/>
        </w:rPr>
        <w:t xml:space="preserve"> </w:t>
      </w:r>
      <w:r>
        <w:rPr>
          <w:sz w:val="18"/>
        </w:rPr>
        <w:t>Notice</w:t>
      </w:r>
      <w:r>
        <w:rPr>
          <w:spacing w:val="-9"/>
          <w:sz w:val="18"/>
        </w:rPr>
        <w:t xml:space="preserve"> </w:t>
      </w:r>
      <w:r>
        <w:rPr>
          <w:sz w:val="18"/>
        </w:rPr>
        <w:t>(Exhibit</w:t>
      </w:r>
      <w:r>
        <w:rPr>
          <w:spacing w:val="-8"/>
          <w:sz w:val="18"/>
        </w:rPr>
        <w:t xml:space="preserve"> </w:t>
      </w:r>
      <w:r>
        <w:rPr>
          <w:sz w:val="18"/>
        </w:rPr>
        <w:t>AUS‐100),</w:t>
      </w:r>
      <w:r>
        <w:rPr>
          <w:spacing w:val="-9"/>
          <w:sz w:val="18"/>
        </w:rPr>
        <w:t xml:space="preserve"> </w:t>
      </w:r>
      <w:r>
        <w:rPr>
          <w:sz w:val="18"/>
        </w:rPr>
        <w:t>p.</w:t>
      </w:r>
      <w:r>
        <w:rPr>
          <w:spacing w:val="-8"/>
          <w:sz w:val="18"/>
        </w:rPr>
        <w:t xml:space="preserve"> </w:t>
      </w:r>
      <w:r>
        <w:rPr>
          <w:spacing w:val="-5"/>
          <w:sz w:val="18"/>
        </w:rPr>
        <w:t>1.</w:t>
      </w:r>
    </w:p>
    <w:p w14:paraId="51DE9A41" w14:textId="77777777" w:rsidR="0010369C" w:rsidRDefault="008E43AE">
      <w:pPr>
        <w:ind w:left="238"/>
        <w:rPr>
          <w:sz w:val="18"/>
        </w:rPr>
      </w:pPr>
      <w:r>
        <w:rPr>
          <w:sz w:val="18"/>
          <w:vertAlign w:val="superscript"/>
        </w:rPr>
        <w:t>1170</w:t>
      </w:r>
      <w:r>
        <w:rPr>
          <w:spacing w:val="-10"/>
          <w:sz w:val="18"/>
        </w:rPr>
        <w:t xml:space="preserve"> </w:t>
      </w:r>
      <w:r>
        <w:rPr>
          <w:sz w:val="18"/>
        </w:rPr>
        <w:t>Anti‐Dumping</w:t>
      </w:r>
      <w:r>
        <w:rPr>
          <w:spacing w:val="-9"/>
          <w:sz w:val="18"/>
        </w:rPr>
        <w:t xml:space="preserve"> </w:t>
      </w:r>
      <w:r>
        <w:rPr>
          <w:sz w:val="18"/>
        </w:rPr>
        <w:t>Additional</w:t>
      </w:r>
      <w:r>
        <w:rPr>
          <w:spacing w:val="-10"/>
          <w:sz w:val="18"/>
        </w:rPr>
        <w:t xml:space="preserve"> </w:t>
      </w:r>
      <w:r>
        <w:rPr>
          <w:sz w:val="18"/>
        </w:rPr>
        <w:t>Final</w:t>
      </w:r>
      <w:r>
        <w:rPr>
          <w:spacing w:val="-9"/>
          <w:sz w:val="18"/>
        </w:rPr>
        <w:t xml:space="preserve"> </w:t>
      </w:r>
      <w:r>
        <w:rPr>
          <w:sz w:val="18"/>
        </w:rPr>
        <w:t>Disclosure</w:t>
      </w:r>
      <w:r>
        <w:rPr>
          <w:spacing w:val="-9"/>
          <w:sz w:val="18"/>
        </w:rPr>
        <w:t xml:space="preserve"> </w:t>
      </w:r>
      <w:r>
        <w:rPr>
          <w:sz w:val="18"/>
        </w:rPr>
        <w:t>(Exhibit</w:t>
      </w:r>
      <w:r>
        <w:rPr>
          <w:spacing w:val="-9"/>
          <w:sz w:val="18"/>
        </w:rPr>
        <w:t xml:space="preserve"> </w:t>
      </w:r>
      <w:r>
        <w:rPr>
          <w:sz w:val="18"/>
        </w:rPr>
        <w:t>AUS‐101),</w:t>
      </w:r>
      <w:r>
        <w:rPr>
          <w:spacing w:val="-10"/>
          <w:sz w:val="18"/>
        </w:rPr>
        <w:t xml:space="preserve"> </w:t>
      </w:r>
      <w:r>
        <w:rPr>
          <w:sz w:val="18"/>
        </w:rPr>
        <w:t>pp.</w:t>
      </w:r>
      <w:r>
        <w:rPr>
          <w:spacing w:val="-10"/>
          <w:sz w:val="18"/>
        </w:rPr>
        <w:t xml:space="preserve"> </w:t>
      </w:r>
      <w:r>
        <w:rPr>
          <w:spacing w:val="-2"/>
          <w:sz w:val="18"/>
        </w:rPr>
        <w:t>1‐34.</w:t>
      </w:r>
    </w:p>
    <w:p w14:paraId="51DE9A42" w14:textId="77777777" w:rsidR="0010369C" w:rsidRDefault="0010369C">
      <w:pPr>
        <w:rPr>
          <w:sz w:val="18"/>
        </w:rPr>
        <w:sectPr w:rsidR="0010369C">
          <w:type w:val="continuous"/>
          <w:pgSz w:w="11910" w:h="16840"/>
          <w:pgMar w:top="1460" w:right="800" w:bottom="280" w:left="1180" w:header="569" w:footer="1143" w:gutter="0"/>
          <w:cols w:space="720"/>
        </w:sectPr>
      </w:pPr>
    </w:p>
    <w:p w14:paraId="51DE9A43" w14:textId="77777777" w:rsidR="0010369C" w:rsidRDefault="008E43AE">
      <w:pPr>
        <w:tabs>
          <w:tab w:val="left" w:pos="6425"/>
        </w:tabs>
        <w:ind w:left="238"/>
        <w:rPr>
          <w:sz w:val="20"/>
        </w:rPr>
      </w:pPr>
      <w:r>
        <w:rPr>
          <w:i/>
          <w:sz w:val="20"/>
        </w:rPr>
        <w:lastRenderedPageBreak/>
        <w:t>China</w:t>
      </w:r>
      <w:r>
        <w:rPr>
          <w:i/>
          <w:spacing w:val="-5"/>
          <w:sz w:val="20"/>
        </w:rPr>
        <w:t xml:space="preserve"> </w:t>
      </w:r>
      <w:r>
        <w:rPr>
          <w:i/>
          <w:sz w:val="20"/>
        </w:rPr>
        <w:t>–</w:t>
      </w:r>
      <w:r>
        <w:rPr>
          <w:i/>
          <w:spacing w:val="-5"/>
          <w:sz w:val="20"/>
        </w:rPr>
        <w:t xml:space="preserve"> </w:t>
      </w:r>
      <w:r>
        <w:rPr>
          <w:i/>
          <w:sz w:val="20"/>
        </w:rPr>
        <w:t>Anti‐Dumping</w:t>
      </w:r>
      <w:r>
        <w:rPr>
          <w:i/>
          <w:spacing w:val="-4"/>
          <w:sz w:val="20"/>
        </w:rPr>
        <w:t xml:space="preserve"> </w:t>
      </w:r>
      <w:r>
        <w:rPr>
          <w:i/>
          <w:sz w:val="20"/>
        </w:rPr>
        <w:t>and</w:t>
      </w:r>
      <w:r>
        <w:rPr>
          <w:i/>
          <w:spacing w:val="-5"/>
          <w:sz w:val="20"/>
        </w:rPr>
        <w:t xml:space="preserve"> </w:t>
      </w:r>
      <w:r>
        <w:rPr>
          <w:i/>
          <w:sz w:val="20"/>
        </w:rPr>
        <w:t>Countervailing</w:t>
      </w:r>
      <w:r>
        <w:rPr>
          <w:i/>
          <w:spacing w:val="-5"/>
          <w:sz w:val="20"/>
        </w:rPr>
        <w:t xml:space="preserve"> </w:t>
      </w:r>
      <w:r>
        <w:rPr>
          <w:i/>
          <w:sz w:val="20"/>
        </w:rPr>
        <w:t>Duty</w:t>
      </w:r>
      <w:r>
        <w:rPr>
          <w:i/>
          <w:spacing w:val="-4"/>
          <w:sz w:val="20"/>
        </w:rPr>
        <w:t xml:space="preserve"> </w:t>
      </w:r>
      <w:r>
        <w:rPr>
          <w:i/>
          <w:spacing w:val="-2"/>
          <w:sz w:val="20"/>
        </w:rPr>
        <w:t>Measures</w:t>
      </w:r>
      <w:r>
        <w:rPr>
          <w:i/>
          <w:sz w:val="20"/>
        </w:rPr>
        <w:tab/>
      </w:r>
      <w:r>
        <w:rPr>
          <w:sz w:val="20"/>
        </w:rPr>
        <w:t>Australia's</w:t>
      </w:r>
      <w:r>
        <w:rPr>
          <w:spacing w:val="-7"/>
          <w:sz w:val="20"/>
        </w:rPr>
        <w:t xml:space="preserve"> </w:t>
      </w:r>
      <w:r>
        <w:rPr>
          <w:sz w:val="20"/>
        </w:rPr>
        <w:t>First</w:t>
      </w:r>
      <w:r>
        <w:rPr>
          <w:spacing w:val="-2"/>
          <w:sz w:val="20"/>
        </w:rPr>
        <w:t xml:space="preserve"> </w:t>
      </w:r>
      <w:r>
        <w:rPr>
          <w:sz w:val="20"/>
        </w:rPr>
        <w:t>Written</w:t>
      </w:r>
      <w:r>
        <w:rPr>
          <w:spacing w:val="-2"/>
          <w:sz w:val="20"/>
        </w:rPr>
        <w:t xml:space="preserve"> Submission</w:t>
      </w:r>
    </w:p>
    <w:p w14:paraId="51DE9A44" w14:textId="77777777" w:rsidR="0010369C" w:rsidRDefault="008E43AE">
      <w:pPr>
        <w:tabs>
          <w:tab w:val="left" w:pos="8227"/>
        </w:tabs>
        <w:spacing w:before="1"/>
        <w:ind w:left="239"/>
        <w:rPr>
          <w:sz w:val="20"/>
        </w:rPr>
      </w:pPr>
      <w:r>
        <w:rPr>
          <w:i/>
          <w:sz w:val="20"/>
        </w:rPr>
        <w:t>on</w:t>
      </w:r>
      <w:r>
        <w:rPr>
          <w:i/>
          <w:spacing w:val="-1"/>
          <w:sz w:val="20"/>
        </w:rPr>
        <w:t xml:space="preserve"> </w:t>
      </w:r>
      <w:r>
        <w:rPr>
          <w:i/>
          <w:sz w:val="20"/>
        </w:rPr>
        <w:t>Wine</w:t>
      </w:r>
      <w:r>
        <w:rPr>
          <w:i/>
          <w:spacing w:val="-1"/>
          <w:sz w:val="20"/>
        </w:rPr>
        <w:t xml:space="preserve"> </w:t>
      </w:r>
      <w:r>
        <w:rPr>
          <w:i/>
          <w:sz w:val="20"/>
        </w:rPr>
        <w:t>from</w:t>
      </w:r>
      <w:r>
        <w:rPr>
          <w:i/>
          <w:spacing w:val="-3"/>
          <w:sz w:val="20"/>
        </w:rPr>
        <w:t xml:space="preserve"> </w:t>
      </w:r>
      <w:r>
        <w:rPr>
          <w:i/>
          <w:sz w:val="20"/>
        </w:rPr>
        <w:t>Australia</w:t>
      </w:r>
      <w:r>
        <w:rPr>
          <w:i/>
          <w:spacing w:val="-1"/>
          <w:sz w:val="20"/>
        </w:rPr>
        <w:t xml:space="preserve"> </w:t>
      </w:r>
      <w:r>
        <w:rPr>
          <w:spacing w:val="-2"/>
          <w:sz w:val="20"/>
        </w:rPr>
        <w:t>(DS602)</w:t>
      </w:r>
      <w:r>
        <w:rPr>
          <w:sz w:val="20"/>
        </w:rPr>
        <w:tab/>
        <w:t>29</w:t>
      </w:r>
      <w:r>
        <w:rPr>
          <w:spacing w:val="-1"/>
          <w:sz w:val="20"/>
        </w:rPr>
        <w:t xml:space="preserve"> </w:t>
      </w:r>
      <w:r>
        <w:rPr>
          <w:sz w:val="20"/>
        </w:rPr>
        <w:t>April</w:t>
      </w:r>
      <w:r>
        <w:rPr>
          <w:spacing w:val="-2"/>
          <w:sz w:val="20"/>
        </w:rPr>
        <w:t xml:space="preserve"> </w:t>
      </w:r>
      <w:r>
        <w:rPr>
          <w:spacing w:val="-4"/>
          <w:sz w:val="20"/>
        </w:rPr>
        <w:t>2022</w:t>
      </w:r>
    </w:p>
    <w:p w14:paraId="51DE9A45" w14:textId="77777777" w:rsidR="0010369C" w:rsidRDefault="008E43AE">
      <w:pPr>
        <w:pStyle w:val="ListParagraph"/>
        <w:numPr>
          <w:ilvl w:val="0"/>
          <w:numId w:val="19"/>
        </w:numPr>
        <w:tabs>
          <w:tab w:val="left" w:pos="1940"/>
          <w:tab w:val="left" w:pos="1941"/>
        </w:tabs>
        <w:spacing w:before="35" w:line="355" w:lineRule="auto"/>
        <w:ind w:right="615"/>
        <w:jc w:val="left"/>
        <w:rPr>
          <w:sz w:val="24"/>
        </w:rPr>
      </w:pPr>
      <w:r>
        <w:rPr>
          <w:sz w:val="24"/>
        </w:rPr>
        <w:t>the</w:t>
      </w:r>
      <w:r>
        <w:rPr>
          <w:spacing w:val="-8"/>
          <w:sz w:val="24"/>
        </w:rPr>
        <w:t xml:space="preserve"> </w:t>
      </w:r>
      <w:r>
        <w:rPr>
          <w:sz w:val="24"/>
        </w:rPr>
        <w:t>decisions</w:t>
      </w:r>
      <w:r>
        <w:rPr>
          <w:spacing w:val="-8"/>
          <w:sz w:val="24"/>
        </w:rPr>
        <w:t xml:space="preserve"> </w:t>
      </w:r>
      <w:r>
        <w:rPr>
          <w:sz w:val="24"/>
        </w:rPr>
        <w:t>concerning</w:t>
      </w:r>
      <w:r>
        <w:rPr>
          <w:spacing w:val="-9"/>
          <w:sz w:val="24"/>
        </w:rPr>
        <w:t xml:space="preserve"> </w:t>
      </w:r>
      <w:r>
        <w:rPr>
          <w:sz w:val="24"/>
        </w:rPr>
        <w:t>adjustments</w:t>
      </w:r>
      <w:r>
        <w:rPr>
          <w:spacing w:val="-9"/>
          <w:sz w:val="24"/>
        </w:rPr>
        <w:t xml:space="preserve"> </w:t>
      </w:r>
      <w:r>
        <w:rPr>
          <w:sz w:val="24"/>
        </w:rPr>
        <w:t>to</w:t>
      </w:r>
      <w:r>
        <w:rPr>
          <w:spacing w:val="-8"/>
          <w:sz w:val="24"/>
        </w:rPr>
        <w:t xml:space="preserve"> </w:t>
      </w:r>
      <w:r>
        <w:rPr>
          <w:sz w:val="24"/>
        </w:rPr>
        <w:t>ensure</w:t>
      </w:r>
      <w:r>
        <w:rPr>
          <w:spacing w:val="-10"/>
          <w:sz w:val="24"/>
        </w:rPr>
        <w:t xml:space="preserve"> </w:t>
      </w:r>
      <w:r>
        <w:rPr>
          <w:sz w:val="24"/>
        </w:rPr>
        <w:t>a</w:t>
      </w:r>
      <w:r>
        <w:rPr>
          <w:spacing w:val="-8"/>
          <w:sz w:val="24"/>
        </w:rPr>
        <w:t xml:space="preserve"> </w:t>
      </w:r>
      <w:r>
        <w:rPr>
          <w:sz w:val="24"/>
        </w:rPr>
        <w:t>fair</w:t>
      </w:r>
      <w:r>
        <w:rPr>
          <w:spacing w:val="-8"/>
          <w:sz w:val="24"/>
        </w:rPr>
        <w:t xml:space="preserve"> </w:t>
      </w:r>
      <w:r>
        <w:rPr>
          <w:sz w:val="24"/>
        </w:rPr>
        <w:t>comparison</w:t>
      </w:r>
      <w:r>
        <w:rPr>
          <w:spacing w:val="-9"/>
          <w:sz w:val="24"/>
        </w:rPr>
        <w:t xml:space="preserve"> </w:t>
      </w:r>
      <w:r>
        <w:rPr>
          <w:sz w:val="24"/>
        </w:rPr>
        <w:t>of</w:t>
      </w:r>
      <w:r>
        <w:rPr>
          <w:spacing w:val="-9"/>
          <w:sz w:val="24"/>
        </w:rPr>
        <w:t xml:space="preserve"> </w:t>
      </w:r>
      <w:r>
        <w:rPr>
          <w:sz w:val="24"/>
        </w:rPr>
        <w:t>normal value and export price;</w:t>
      </w:r>
    </w:p>
    <w:p w14:paraId="51DE9A46" w14:textId="77777777" w:rsidR="0010369C" w:rsidRDefault="008E43AE">
      <w:pPr>
        <w:pStyle w:val="ListParagraph"/>
        <w:numPr>
          <w:ilvl w:val="0"/>
          <w:numId w:val="19"/>
        </w:numPr>
        <w:tabs>
          <w:tab w:val="left" w:pos="1940"/>
          <w:tab w:val="left" w:pos="1941"/>
        </w:tabs>
        <w:spacing w:before="131"/>
        <w:ind w:left="1940" w:hanging="852"/>
        <w:jc w:val="left"/>
        <w:rPr>
          <w:sz w:val="24"/>
        </w:rPr>
      </w:pPr>
      <w:r>
        <w:rPr>
          <w:sz w:val="24"/>
        </w:rPr>
        <w:t>the</w:t>
      </w:r>
      <w:r>
        <w:rPr>
          <w:spacing w:val="-7"/>
          <w:sz w:val="24"/>
        </w:rPr>
        <w:t xml:space="preserve"> </w:t>
      </w:r>
      <w:r>
        <w:rPr>
          <w:sz w:val="24"/>
        </w:rPr>
        <w:t>details</w:t>
      </w:r>
      <w:r>
        <w:rPr>
          <w:spacing w:val="-7"/>
          <w:sz w:val="24"/>
        </w:rPr>
        <w:t xml:space="preserve"> </w:t>
      </w:r>
      <w:r>
        <w:rPr>
          <w:sz w:val="24"/>
        </w:rPr>
        <w:t>of</w:t>
      </w:r>
      <w:r>
        <w:rPr>
          <w:spacing w:val="-8"/>
          <w:sz w:val="24"/>
        </w:rPr>
        <w:t xml:space="preserve"> </w:t>
      </w:r>
      <w:r>
        <w:rPr>
          <w:sz w:val="24"/>
        </w:rPr>
        <w:t>the</w:t>
      </w:r>
      <w:r>
        <w:rPr>
          <w:spacing w:val="-7"/>
          <w:sz w:val="24"/>
        </w:rPr>
        <w:t xml:space="preserve"> </w:t>
      </w:r>
      <w:r>
        <w:rPr>
          <w:sz w:val="24"/>
        </w:rPr>
        <w:t>methodologies</w:t>
      </w:r>
      <w:r>
        <w:rPr>
          <w:spacing w:val="-8"/>
          <w:sz w:val="24"/>
        </w:rPr>
        <w:t xml:space="preserve"> </w:t>
      </w:r>
      <w:r>
        <w:rPr>
          <w:sz w:val="24"/>
        </w:rPr>
        <w:t>and</w:t>
      </w:r>
      <w:r>
        <w:rPr>
          <w:spacing w:val="-8"/>
          <w:sz w:val="24"/>
        </w:rPr>
        <w:t xml:space="preserve"> </w:t>
      </w:r>
      <w:r>
        <w:rPr>
          <w:sz w:val="24"/>
        </w:rPr>
        <w:t>calculations</w:t>
      </w:r>
      <w:r>
        <w:rPr>
          <w:spacing w:val="-8"/>
          <w:sz w:val="24"/>
        </w:rPr>
        <w:t xml:space="preserve"> </w:t>
      </w:r>
      <w:r>
        <w:rPr>
          <w:sz w:val="24"/>
        </w:rPr>
        <w:t>of</w:t>
      </w:r>
      <w:r>
        <w:rPr>
          <w:spacing w:val="-7"/>
          <w:sz w:val="24"/>
        </w:rPr>
        <w:t xml:space="preserve"> </w:t>
      </w:r>
      <w:r>
        <w:rPr>
          <w:sz w:val="24"/>
        </w:rPr>
        <w:t>the</w:t>
      </w:r>
      <w:r>
        <w:rPr>
          <w:spacing w:val="-7"/>
          <w:sz w:val="24"/>
        </w:rPr>
        <w:t xml:space="preserve"> </w:t>
      </w:r>
      <w:r>
        <w:rPr>
          <w:sz w:val="24"/>
        </w:rPr>
        <w:t>dumping</w:t>
      </w:r>
      <w:r>
        <w:rPr>
          <w:spacing w:val="-7"/>
          <w:sz w:val="24"/>
        </w:rPr>
        <w:t xml:space="preserve"> </w:t>
      </w:r>
      <w:r>
        <w:rPr>
          <w:spacing w:val="-2"/>
          <w:sz w:val="24"/>
        </w:rPr>
        <w:t>margins;</w:t>
      </w:r>
    </w:p>
    <w:p w14:paraId="51DE9A47" w14:textId="77777777" w:rsidR="0010369C" w:rsidRDefault="008E43AE">
      <w:pPr>
        <w:pStyle w:val="ListParagraph"/>
        <w:numPr>
          <w:ilvl w:val="0"/>
          <w:numId w:val="19"/>
        </w:numPr>
        <w:tabs>
          <w:tab w:val="left" w:pos="1940"/>
          <w:tab w:val="left" w:pos="1941"/>
        </w:tabs>
        <w:spacing w:before="267"/>
        <w:ind w:left="1940" w:hanging="852"/>
        <w:jc w:val="left"/>
        <w:rPr>
          <w:sz w:val="24"/>
        </w:rPr>
      </w:pPr>
      <w:r>
        <w:rPr>
          <w:sz w:val="24"/>
        </w:rPr>
        <w:t>the</w:t>
      </w:r>
      <w:r>
        <w:rPr>
          <w:spacing w:val="-10"/>
          <w:sz w:val="24"/>
        </w:rPr>
        <w:t xml:space="preserve"> </w:t>
      </w:r>
      <w:r>
        <w:rPr>
          <w:sz w:val="24"/>
        </w:rPr>
        <w:t>determination</w:t>
      </w:r>
      <w:r>
        <w:rPr>
          <w:spacing w:val="-9"/>
          <w:sz w:val="24"/>
        </w:rPr>
        <w:t xml:space="preserve"> </w:t>
      </w:r>
      <w:r>
        <w:rPr>
          <w:sz w:val="24"/>
        </w:rPr>
        <w:t>of</w:t>
      </w:r>
      <w:r>
        <w:rPr>
          <w:spacing w:val="-10"/>
          <w:sz w:val="24"/>
        </w:rPr>
        <w:t xml:space="preserve"> </w:t>
      </w:r>
      <w:r>
        <w:rPr>
          <w:sz w:val="24"/>
        </w:rPr>
        <w:t>injury</w:t>
      </w:r>
      <w:r>
        <w:rPr>
          <w:spacing w:val="-9"/>
          <w:sz w:val="24"/>
        </w:rPr>
        <w:t xml:space="preserve"> </w:t>
      </w:r>
      <w:r>
        <w:rPr>
          <w:sz w:val="24"/>
        </w:rPr>
        <w:t>and</w:t>
      </w:r>
      <w:r>
        <w:rPr>
          <w:spacing w:val="-10"/>
          <w:sz w:val="24"/>
        </w:rPr>
        <w:t xml:space="preserve"> </w:t>
      </w:r>
      <w:r>
        <w:rPr>
          <w:spacing w:val="-2"/>
          <w:sz w:val="24"/>
        </w:rPr>
        <w:t>causation;</w:t>
      </w:r>
    </w:p>
    <w:p w14:paraId="51DE9A48" w14:textId="77777777" w:rsidR="0010369C" w:rsidRDefault="008E43AE">
      <w:pPr>
        <w:pStyle w:val="ListParagraph"/>
        <w:numPr>
          <w:ilvl w:val="0"/>
          <w:numId w:val="19"/>
        </w:numPr>
        <w:tabs>
          <w:tab w:val="left" w:pos="1940"/>
          <w:tab w:val="left" w:pos="1941"/>
        </w:tabs>
        <w:spacing w:before="265"/>
        <w:ind w:left="1940" w:hanging="852"/>
        <w:jc w:val="left"/>
        <w:rPr>
          <w:sz w:val="24"/>
        </w:rPr>
      </w:pPr>
      <w:r>
        <w:rPr>
          <w:sz w:val="24"/>
        </w:rPr>
        <w:t>the</w:t>
      </w:r>
      <w:r>
        <w:rPr>
          <w:spacing w:val="-8"/>
          <w:sz w:val="24"/>
        </w:rPr>
        <w:t xml:space="preserve"> </w:t>
      </w:r>
      <w:r>
        <w:rPr>
          <w:sz w:val="24"/>
        </w:rPr>
        <w:t>treatment</w:t>
      </w:r>
      <w:r>
        <w:rPr>
          <w:spacing w:val="-9"/>
          <w:sz w:val="24"/>
        </w:rPr>
        <w:t xml:space="preserve"> </w:t>
      </w:r>
      <w:r>
        <w:rPr>
          <w:sz w:val="24"/>
        </w:rPr>
        <w:t>of</w:t>
      </w:r>
      <w:r>
        <w:rPr>
          <w:spacing w:val="-9"/>
          <w:sz w:val="24"/>
        </w:rPr>
        <w:t xml:space="preserve"> </w:t>
      </w:r>
      <w:r>
        <w:rPr>
          <w:sz w:val="24"/>
        </w:rPr>
        <w:t>the</w:t>
      </w:r>
      <w:r>
        <w:rPr>
          <w:spacing w:val="-7"/>
          <w:sz w:val="24"/>
        </w:rPr>
        <w:t xml:space="preserve"> </w:t>
      </w:r>
      <w:r>
        <w:rPr>
          <w:sz w:val="24"/>
        </w:rPr>
        <w:t>other</w:t>
      </w:r>
      <w:r>
        <w:rPr>
          <w:spacing w:val="-8"/>
          <w:sz w:val="24"/>
        </w:rPr>
        <w:t xml:space="preserve"> </w:t>
      </w:r>
      <w:r>
        <w:rPr>
          <w:sz w:val="24"/>
        </w:rPr>
        <w:t>named</w:t>
      </w:r>
      <w:r>
        <w:rPr>
          <w:spacing w:val="-8"/>
          <w:sz w:val="24"/>
        </w:rPr>
        <w:t xml:space="preserve"> </w:t>
      </w:r>
      <w:r>
        <w:rPr>
          <w:sz w:val="24"/>
        </w:rPr>
        <w:t>Australian</w:t>
      </w:r>
      <w:r>
        <w:rPr>
          <w:spacing w:val="-9"/>
          <w:sz w:val="24"/>
        </w:rPr>
        <w:t xml:space="preserve"> </w:t>
      </w:r>
      <w:r>
        <w:rPr>
          <w:sz w:val="24"/>
        </w:rPr>
        <w:t>companies;</w:t>
      </w:r>
      <w:r>
        <w:rPr>
          <w:spacing w:val="-8"/>
          <w:sz w:val="24"/>
        </w:rPr>
        <w:t xml:space="preserve"> </w:t>
      </w:r>
      <w:r>
        <w:rPr>
          <w:spacing w:val="-5"/>
          <w:sz w:val="24"/>
        </w:rPr>
        <w:t>and</w:t>
      </w:r>
    </w:p>
    <w:p w14:paraId="51DE9A49" w14:textId="77777777" w:rsidR="0010369C" w:rsidRDefault="008E43AE">
      <w:pPr>
        <w:pStyle w:val="ListParagraph"/>
        <w:numPr>
          <w:ilvl w:val="0"/>
          <w:numId w:val="19"/>
        </w:numPr>
        <w:tabs>
          <w:tab w:val="left" w:pos="1940"/>
          <w:tab w:val="left" w:pos="1941"/>
        </w:tabs>
        <w:spacing w:before="267"/>
        <w:ind w:left="1940" w:hanging="852"/>
        <w:jc w:val="left"/>
        <w:rPr>
          <w:sz w:val="24"/>
        </w:rPr>
      </w:pPr>
      <w:r>
        <w:rPr>
          <w:sz w:val="24"/>
        </w:rPr>
        <w:t>the</w:t>
      </w:r>
      <w:r>
        <w:rPr>
          <w:spacing w:val="-8"/>
          <w:sz w:val="24"/>
        </w:rPr>
        <w:t xml:space="preserve"> </w:t>
      </w:r>
      <w:r>
        <w:rPr>
          <w:sz w:val="24"/>
        </w:rPr>
        <w:t>treatment</w:t>
      </w:r>
      <w:r>
        <w:rPr>
          <w:spacing w:val="-8"/>
          <w:sz w:val="24"/>
        </w:rPr>
        <w:t xml:space="preserve"> </w:t>
      </w:r>
      <w:r>
        <w:rPr>
          <w:sz w:val="24"/>
        </w:rPr>
        <w:t>of</w:t>
      </w:r>
      <w:r>
        <w:rPr>
          <w:spacing w:val="-7"/>
          <w:sz w:val="24"/>
        </w:rPr>
        <w:t xml:space="preserve"> </w:t>
      </w:r>
      <w:r>
        <w:rPr>
          <w:sz w:val="24"/>
        </w:rPr>
        <w:t>the</w:t>
      </w:r>
      <w:r>
        <w:rPr>
          <w:spacing w:val="-8"/>
          <w:sz w:val="24"/>
        </w:rPr>
        <w:t xml:space="preserve"> </w:t>
      </w:r>
      <w:r>
        <w:rPr>
          <w:sz w:val="24"/>
        </w:rPr>
        <w:t>"All</w:t>
      </w:r>
      <w:r>
        <w:rPr>
          <w:spacing w:val="-7"/>
          <w:sz w:val="24"/>
        </w:rPr>
        <w:t xml:space="preserve"> </w:t>
      </w:r>
      <w:r>
        <w:rPr>
          <w:sz w:val="24"/>
        </w:rPr>
        <w:t>Others"</w:t>
      </w:r>
      <w:r>
        <w:rPr>
          <w:spacing w:val="-8"/>
          <w:sz w:val="24"/>
        </w:rPr>
        <w:t xml:space="preserve"> </w:t>
      </w:r>
      <w:r>
        <w:rPr>
          <w:sz w:val="24"/>
        </w:rPr>
        <w:t>category</w:t>
      </w:r>
      <w:r>
        <w:rPr>
          <w:spacing w:val="-7"/>
          <w:sz w:val="24"/>
        </w:rPr>
        <w:t xml:space="preserve"> </w:t>
      </w:r>
      <w:r>
        <w:rPr>
          <w:sz w:val="24"/>
        </w:rPr>
        <w:t>of</w:t>
      </w:r>
      <w:r>
        <w:rPr>
          <w:spacing w:val="-8"/>
          <w:sz w:val="24"/>
        </w:rPr>
        <w:t xml:space="preserve"> </w:t>
      </w:r>
      <w:r>
        <w:rPr>
          <w:sz w:val="24"/>
        </w:rPr>
        <w:t>Australian</w:t>
      </w:r>
      <w:r>
        <w:rPr>
          <w:spacing w:val="-8"/>
          <w:sz w:val="24"/>
        </w:rPr>
        <w:t xml:space="preserve"> </w:t>
      </w:r>
      <w:r>
        <w:rPr>
          <w:spacing w:val="-2"/>
          <w:sz w:val="24"/>
        </w:rPr>
        <w:t>companies.</w:t>
      </w:r>
    </w:p>
    <w:p w14:paraId="51DE9A4A" w14:textId="77777777" w:rsidR="0010369C" w:rsidRDefault="008E43AE">
      <w:pPr>
        <w:pStyle w:val="Heading4"/>
        <w:numPr>
          <w:ilvl w:val="2"/>
          <w:numId w:val="75"/>
        </w:numPr>
        <w:tabs>
          <w:tab w:val="left" w:pos="2648"/>
          <w:tab w:val="left" w:pos="2650"/>
        </w:tabs>
        <w:spacing w:before="267"/>
        <w:ind w:left="2649" w:hanging="852"/>
      </w:pPr>
      <w:r>
        <w:t>Legal</w:t>
      </w:r>
      <w:r>
        <w:rPr>
          <w:spacing w:val="-7"/>
        </w:rPr>
        <w:t xml:space="preserve"> </w:t>
      </w:r>
      <w:r>
        <w:rPr>
          <w:spacing w:val="-2"/>
        </w:rPr>
        <w:t>framework</w:t>
      </w:r>
    </w:p>
    <w:p w14:paraId="51DE9A4B" w14:textId="77777777" w:rsidR="0010369C" w:rsidRDefault="0010369C">
      <w:pPr>
        <w:pStyle w:val="BodyText"/>
        <w:spacing w:before="11"/>
        <w:rPr>
          <w:b/>
          <w:sz w:val="20"/>
        </w:rPr>
      </w:pPr>
    </w:p>
    <w:p w14:paraId="51DE9A4C" w14:textId="77777777" w:rsidR="0010369C" w:rsidRDefault="008E43AE">
      <w:pPr>
        <w:pStyle w:val="BodyText"/>
        <w:spacing w:before="53"/>
        <w:ind w:left="250"/>
      </w:pPr>
      <w:r>
        <w:rPr>
          <w:noProof/>
        </w:rPr>
        <w:drawing>
          <wp:inline distT="0" distB="0" distL="0" distR="0" wp14:anchorId="51DEA897" wp14:editId="51DEA898">
            <wp:extent cx="332231" cy="109727"/>
            <wp:effectExtent l="0" t="0" r="0" b="0"/>
            <wp:docPr id="1971" name="image1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 name="image1013.png"/>
                    <pic:cNvPicPr/>
                  </pic:nvPicPr>
                  <pic:blipFill>
                    <a:blip r:embed="rId1298" cstate="print"/>
                    <a:stretch>
                      <a:fillRect/>
                    </a:stretch>
                  </pic:blipFill>
                  <pic:spPr>
                    <a:xfrm>
                      <a:off x="0" y="0"/>
                      <a:ext cx="332231" cy="109727"/>
                    </a:xfrm>
                    <a:prstGeom prst="rect">
                      <a:avLst/>
                    </a:prstGeom>
                  </pic:spPr>
                </pic:pic>
              </a:graphicData>
            </a:graphic>
          </wp:inline>
        </w:drawing>
      </w:r>
      <w:r>
        <w:rPr>
          <w:rFonts w:ascii="Times New Roman" w:hAnsi="Times New Roman"/>
          <w:spacing w:val="80"/>
          <w:position w:val="1"/>
          <w:sz w:val="20"/>
        </w:rPr>
        <w:t xml:space="preserve">  </w:t>
      </w:r>
      <w:r>
        <w:rPr>
          <w:position w:val="1"/>
        </w:rPr>
        <w:t>Article 6.9 of the Anti‐Dumping Agreement provides that:</w:t>
      </w:r>
    </w:p>
    <w:p w14:paraId="51DE9A4D" w14:textId="77777777" w:rsidR="0010369C" w:rsidRDefault="0010369C">
      <w:pPr>
        <w:pStyle w:val="BodyText"/>
        <w:spacing w:before="11"/>
      </w:pPr>
    </w:p>
    <w:p w14:paraId="51DE9A4E" w14:textId="77777777" w:rsidR="0010369C" w:rsidRDefault="008E43AE">
      <w:pPr>
        <w:spacing w:before="1" w:line="276" w:lineRule="auto"/>
        <w:ind w:left="1088" w:right="614"/>
        <w:jc w:val="both"/>
      </w:pPr>
      <w:r>
        <w:t>The authorities shall, before a final determination is made, inform all interested parties of the essential facts under consideration which form the basis for the decision whether to apply</w:t>
      </w:r>
      <w:r>
        <w:rPr>
          <w:spacing w:val="-6"/>
        </w:rPr>
        <w:t xml:space="preserve"> </w:t>
      </w:r>
      <w:r>
        <w:t>definitive</w:t>
      </w:r>
      <w:r>
        <w:rPr>
          <w:spacing w:val="-7"/>
        </w:rPr>
        <w:t xml:space="preserve"> </w:t>
      </w:r>
      <w:r>
        <w:t>measures.</w:t>
      </w:r>
      <w:r>
        <w:rPr>
          <w:spacing w:val="-6"/>
        </w:rPr>
        <w:t xml:space="preserve"> </w:t>
      </w:r>
      <w:r>
        <w:t>Such</w:t>
      </w:r>
      <w:r>
        <w:rPr>
          <w:spacing w:val="-6"/>
        </w:rPr>
        <w:t xml:space="preserve"> </w:t>
      </w:r>
      <w:r>
        <w:t>disclosure</w:t>
      </w:r>
      <w:r>
        <w:rPr>
          <w:spacing w:val="-7"/>
        </w:rPr>
        <w:t xml:space="preserve"> </w:t>
      </w:r>
      <w:r>
        <w:t>should</w:t>
      </w:r>
      <w:r>
        <w:rPr>
          <w:spacing w:val="-6"/>
        </w:rPr>
        <w:t xml:space="preserve"> </w:t>
      </w:r>
      <w:r>
        <w:t>take</w:t>
      </w:r>
      <w:r>
        <w:rPr>
          <w:spacing w:val="-8"/>
        </w:rPr>
        <w:t xml:space="preserve"> </w:t>
      </w:r>
      <w:r>
        <w:t>place</w:t>
      </w:r>
      <w:r>
        <w:rPr>
          <w:spacing w:val="-6"/>
        </w:rPr>
        <w:t xml:space="preserve"> </w:t>
      </w:r>
      <w:r>
        <w:t>in</w:t>
      </w:r>
      <w:r>
        <w:rPr>
          <w:spacing w:val="-6"/>
        </w:rPr>
        <w:t xml:space="preserve"> </w:t>
      </w:r>
      <w:r>
        <w:t>sufficien</w:t>
      </w:r>
      <w:r>
        <w:t>t</w:t>
      </w:r>
      <w:r>
        <w:rPr>
          <w:spacing w:val="-7"/>
        </w:rPr>
        <w:t xml:space="preserve"> </w:t>
      </w:r>
      <w:r>
        <w:t>time</w:t>
      </w:r>
      <w:r>
        <w:rPr>
          <w:spacing w:val="-6"/>
        </w:rPr>
        <w:t xml:space="preserve"> </w:t>
      </w:r>
      <w:r>
        <w:t>for</w:t>
      </w:r>
      <w:r>
        <w:rPr>
          <w:spacing w:val="-7"/>
        </w:rPr>
        <w:t xml:space="preserve"> </w:t>
      </w:r>
      <w:r>
        <w:t>the</w:t>
      </w:r>
      <w:r>
        <w:rPr>
          <w:spacing w:val="-7"/>
        </w:rPr>
        <w:t xml:space="preserve"> </w:t>
      </w:r>
      <w:r>
        <w:t>parties to defend their interests.</w:t>
      </w:r>
    </w:p>
    <w:p w14:paraId="51DE9A4F" w14:textId="77777777" w:rsidR="0010369C" w:rsidRDefault="0010369C">
      <w:pPr>
        <w:pStyle w:val="BodyText"/>
        <w:spacing w:before="4"/>
        <w:rPr>
          <w:sz w:val="15"/>
        </w:rPr>
      </w:pPr>
    </w:p>
    <w:p w14:paraId="51DE9A50" w14:textId="77777777" w:rsidR="0010369C" w:rsidRDefault="008E43AE">
      <w:pPr>
        <w:pStyle w:val="BodyText"/>
        <w:spacing w:before="53" w:line="360" w:lineRule="auto"/>
        <w:ind w:left="237" w:right="614" w:firstLine="12"/>
        <w:jc w:val="both"/>
      </w:pPr>
      <w:r>
        <w:rPr>
          <w:noProof/>
        </w:rPr>
        <w:drawing>
          <wp:inline distT="0" distB="0" distL="0" distR="0" wp14:anchorId="51DEA899" wp14:editId="51DEA89A">
            <wp:extent cx="332231" cy="109727"/>
            <wp:effectExtent l="0" t="0" r="0" b="0"/>
            <wp:docPr id="1973" name="image1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 name="image1014.png"/>
                    <pic:cNvPicPr/>
                  </pic:nvPicPr>
                  <pic:blipFill>
                    <a:blip r:embed="rId1299" cstate="print"/>
                    <a:stretch>
                      <a:fillRect/>
                    </a:stretch>
                  </pic:blipFill>
                  <pic:spPr>
                    <a:xfrm>
                      <a:off x="0" y="0"/>
                      <a:ext cx="332231" cy="109727"/>
                    </a:xfrm>
                    <a:prstGeom prst="rect">
                      <a:avLst/>
                    </a:prstGeom>
                  </pic:spPr>
                </pic:pic>
              </a:graphicData>
            </a:graphic>
          </wp:inline>
        </w:drawing>
      </w:r>
      <w:r>
        <w:rPr>
          <w:rFonts w:ascii="Times New Roman" w:hAnsi="Times New Roman"/>
          <w:spacing w:val="80"/>
          <w:position w:val="1"/>
          <w:sz w:val="20"/>
        </w:rPr>
        <w:t xml:space="preserve"> </w:t>
      </w:r>
      <w:r>
        <w:rPr>
          <w:position w:val="1"/>
        </w:rPr>
        <w:t xml:space="preserve">The Appellate Body in </w:t>
      </w:r>
      <w:r>
        <w:rPr>
          <w:i/>
          <w:position w:val="1"/>
        </w:rPr>
        <w:t xml:space="preserve">China – GOES </w:t>
      </w:r>
      <w:r>
        <w:rPr>
          <w:position w:val="1"/>
        </w:rPr>
        <w:t xml:space="preserve">found that the word "essential … carries a </w:t>
      </w:r>
      <w:r>
        <w:t>connotation of significant, important, or salient".</w:t>
      </w:r>
      <w:r>
        <w:rPr>
          <w:vertAlign w:val="superscript"/>
        </w:rPr>
        <w:t>1171</w:t>
      </w:r>
      <w:r>
        <w:t xml:space="preserve"> What is "significant, important, or salient" must be understood in light of the substantive obligations at issue and the factual circumstances of the investigation.</w:t>
      </w:r>
      <w:r>
        <w:rPr>
          <w:vertAlign w:val="superscript"/>
        </w:rPr>
        <w:t>1172</w:t>
      </w:r>
      <w:r>
        <w:t xml:space="preserve"> The Appellate Body explained that:</w:t>
      </w:r>
    </w:p>
    <w:p w14:paraId="51DE9A51" w14:textId="77777777" w:rsidR="0010369C" w:rsidRDefault="008E43AE">
      <w:pPr>
        <w:spacing w:before="160" w:line="278" w:lineRule="auto"/>
        <w:ind w:left="1087" w:right="614" w:firstLine="1"/>
        <w:jc w:val="both"/>
      </w:pPr>
      <w:r>
        <w:t>[W]e</w:t>
      </w:r>
      <w:r>
        <w:rPr>
          <w:spacing w:val="-13"/>
        </w:rPr>
        <w:t xml:space="preserve"> </w:t>
      </w:r>
      <w:r>
        <w:t>understand</w:t>
      </w:r>
      <w:r>
        <w:rPr>
          <w:spacing w:val="-12"/>
        </w:rPr>
        <w:t xml:space="preserve"> </w:t>
      </w:r>
      <w:r>
        <w:t>the</w:t>
      </w:r>
      <w:r>
        <w:rPr>
          <w:spacing w:val="-13"/>
        </w:rPr>
        <w:t xml:space="preserve"> </w:t>
      </w:r>
      <w:r>
        <w:t>"essential</w:t>
      </w:r>
      <w:r>
        <w:rPr>
          <w:spacing w:val="-12"/>
        </w:rPr>
        <w:t xml:space="preserve"> </w:t>
      </w:r>
      <w:r>
        <w:t>facts"</w:t>
      </w:r>
      <w:r>
        <w:rPr>
          <w:spacing w:val="-13"/>
        </w:rPr>
        <w:t xml:space="preserve"> </w:t>
      </w:r>
      <w:r>
        <w:t>to</w:t>
      </w:r>
      <w:r>
        <w:rPr>
          <w:spacing w:val="-11"/>
        </w:rPr>
        <w:t xml:space="preserve"> </w:t>
      </w:r>
      <w:r>
        <w:t>refer</w:t>
      </w:r>
      <w:r>
        <w:rPr>
          <w:spacing w:val="-12"/>
        </w:rPr>
        <w:t xml:space="preserve"> </w:t>
      </w:r>
      <w:r>
        <w:t>to</w:t>
      </w:r>
      <w:r>
        <w:rPr>
          <w:spacing w:val="-12"/>
        </w:rPr>
        <w:t xml:space="preserve"> </w:t>
      </w:r>
      <w:r>
        <w:t>those</w:t>
      </w:r>
      <w:r>
        <w:rPr>
          <w:spacing w:val="-13"/>
        </w:rPr>
        <w:t xml:space="preserve"> </w:t>
      </w:r>
      <w:r>
        <w:t>facts</w:t>
      </w:r>
      <w:r>
        <w:rPr>
          <w:spacing w:val="-12"/>
        </w:rPr>
        <w:t xml:space="preserve"> </w:t>
      </w:r>
      <w:r>
        <w:t>that</w:t>
      </w:r>
      <w:r>
        <w:rPr>
          <w:spacing w:val="-13"/>
        </w:rPr>
        <w:t xml:space="preserve"> </w:t>
      </w:r>
      <w:r>
        <w:t>are</w:t>
      </w:r>
      <w:r>
        <w:rPr>
          <w:spacing w:val="-11"/>
        </w:rPr>
        <w:t xml:space="preserve"> </w:t>
      </w:r>
      <w:r>
        <w:t>significant</w:t>
      </w:r>
      <w:r>
        <w:rPr>
          <w:spacing w:val="-13"/>
        </w:rPr>
        <w:t xml:space="preserve"> </w:t>
      </w:r>
      <w:r>
        <w:t>in</w:t>
      </w:r>
      <w:r>
        <w:rPr>
          <w:spacing w:val="-10"/>
        </w:rPr>
        <w:t xml:space="preserve"> </w:t>
      </w:r>
      <w:r>
        <w:t>the</w:t>
      </w:r>
      <w:r>
        <w:rPr>
          <w:spacing w:val="-11"/>
        </w:rPr>
        <w:t xml:space="preserve"> </w:t>
      </w:r>
      <w:r>
        <w:t>process of</w:t>
      </w:r>
      <w:r>
        <w:rPr>
          <w:spacing w:val="-9"/>
        </w:rPr>
        <w:t xml:space="preserve"> </w:t>
      </w:r>
      <w:r>
        <w:t>reaching</w:t>
      </w:r>
      <w:r>
        <w:rPr>
          <w:spacing w:val="-8"/>
        </w:rPr>
        <w:t xml:space="preserve"> </w:t>
      </w:r>
      <w:r>
        <w:t>a</w:t>
      </w:r>
      <w:r>
        <w:rPr>
          <w:spacing w:val="-7"/>
        </w:rPr>
        <w:t xml:space="preserve"> </w:t>
      </w:r>
      <w:r>
        <w:t>decision</w:t>
      </w:r>
      <w:r>
        <w:rPr>
          <w:spacing w:val="-8"/>
        </w:rPr>
        <w:t xml:space="preserve"> </w:t>
      </w:r>
      <w:r>
        <w:t>as</w:t>
      </w:r>
      <w:r>
        <w:rPr>
          <w:spacing w:val="-9"/>
        </w:rPr>
        <w:t xml:space="preserve"> </w:t>
      </w:r>
      <w:r>
        <w:t>to</w:t>
      </w:r>
      <w:r>
        <w:rPr>
          <w:spacing w:val="-7"/>
        </w:rPr>
        <w:t xml:space="preserve"> </w:t>
      </w:r>
      <w:r>
        <w:t>whether</w:t>
      </w:r>
      <w:r>
        <w:rPr>
          <w:spacing w:val="-8"/>
        </w:rPr>
        <w:t xml:space="preserve"> </w:t>
      </w:r>
      <w:r>
        <w:t>or</w:t>
      </w:r>
      <w:r>
        <w:rPr>
          <w:spacing w:val="-8"/>
        </w:rPr>
        <w:t xml:space="preserve"> </w:t>
      </w:r>
      <w:r>
        <w:t>not</w:t>
      </w:r>
      <w:r>
        <w:rPr>
          <w:spacing w:val="-9"/>
        </w:rPr>
        <w:t xml:space="preserve"> </w:t>
      </w:r>
      <w:r>
        <w:t>to</w:t>
      </w:r>
      <w:r>
        <w:rPr>
          <w:spacing w:val="-7"/>
        </w:rPr>
        <w:t xml:space="preserve"> </w:t>
      </w:r>
      <w:r>
        <w:t>apply</w:t>
      </w:r>
      <w:r>
        <w:rPr>
          <w:spacing w:val="-7"/>
        </w:rPr>
        <w:t xml:space="preserve"> </w:t>
      </w:r>
      <w:r>
        <w:t>definitive</w:t>
      </w:r>
      <w:r>
        <w:rPr>
          <w:spacing w:val="-7"/>
        </w:rPr>
        <w:t xml:space="preserve"> </w:t>
      </w:r>
      <w:r>
        <w:t>measures.</w:t>
      </w:r>
      <w:r>
        <w:rPr>
          <w:spacing w:val="-9"/>
        </w:rPr>
        <w:t xml:space="preserve"> </w:t>
      </w:r>
      <w:r>
        <w:t>Such</w:t>
      </w:r>
      <w:r>
        <w:rPr>
          <w:spacing w:val="-9"/>
        </w:rPr>
        <w:t xml:space="preserve"> </w:t>
      </w:r>
      <w:r>
        <w:t>facts</w:t>
      </w:r>
      <w:r>
        <w:rPr>
          <w:spacing w:val="-8"/>
        </w:rPr>
        <w:t xml:space="preserve"> </w:t>
      </w:r>
      <w:r>
        <w:t>are</w:t>
      </w:r>
      <w:r>
        <w:rPr>
          <w:spacing w:val="-8"/>
        </w:rPr>
        <w:t xml:space="preserve"> </w:t>
      </w:r>
      <w:r>
        <w:t>those that are salient for a decision to apply definitive measures, as well as those that are salient for a contrary ou</w:t>
      </w:r>
      <w:r>
        <w:t>tcome. An authority must disclose such facts, in a coherent way, so as to permit an interested party to understand the basis for the decision whether or not to apply definitive measures.</w:t>
      </w:r>
      <w:r>
        <w:rPr>
          <w:spacing w:val="-2"/>
        </w:rPr>
        <w:t xml:space="preserve"> </w:t>
      </w:r>
      <w:r>
        <w:t>In</w:t>
      </w:r>
      <w:r>
        <w:rPr>
          <w:spacing w:val="-2"/>
        </w:rPr>
        <w:t xml:space="preserve"> </w:t>
      </w:r>
      <w:r>
        <w:t>our</w:t>
      </w:r>
      <w:r>
        <w:rPr>
          <w:spacing w:val="-1"/>
        </w:rPr>
        <w:t xml:space="preserve"> </w:t>
      </w:r>
      <w:r>
        <w:t>view,</w:t>
      </w:r>
      <w:r>
        <w:rPr>
          <w:spacing w:val="-1"/>
        </w:rPr>
        <w:t xml:space="preserve"> </w:t>
      </w:r>
      <w:r>
        <w:t>disclosing</w:t>
      </w:r>
      <w:r>
        <w:rPr>
          <w:spacing w:val="-1"/>
        </w:rPr>
        <w:t xml:space="preserve"> </w:t>
      </w:r>
      <w:r>
        <w:t>the</w:t>
      </w:r>
      <w:r>
        <w:rPr>
          <w:spacing w:val="-2"/>
        </w:rPr>
        <w:t xml:space="preserve"> </w:t>
      </w:r>
      <w:r>
        <w:t>essential</w:t>
      </w:r>
      <w:r>
        <w:rPr>
          <w:spacing w:val="-2"/>
        </w:rPr>
        <w:t xml:space="preserve"> </w:t>
      </w:r>
      <w:r>
        <w:t>facts</w:t>
      </w:r>
      <w:r>
        <w:rPr>
          <w:spacing w:val="-1"/>
        </w:rPr>
        <w:t xml:space="preserve"> </w:t>
      </w:r>
      <w:r>
        <w:t>under</w:t>
      </w:r>
      <w:r>
        <w:rPr>
          <w:spacing w:val="-1"/>
        </w:rPr>
        <w:t xml:space="preserve"> </w:t>
      </w:r>
      <w:r>
        <w:t>consideration</w:t>
      </w:r>
      <w:r>
        <w:rPr>
          <w:spacing w:val="-2"/>
        </w:rPr>
        <w:t xml:space="preserve"> </w:t>
      </w:r>
      <w:r>
        <w:t>pursu</w:t>
      </w:r>
      <w:r>
        <w:t>ant to Articles 6.9 and 12.8 is paramount for ensuring the ability of the parties concerned to defend their interests.</w:t>
      </w:r>
      <w:r>
        <w:rPr>
          <w:vertAlign w:val="superscript"/>
        </w:rPr>
        <w:t>1173</w:t>
      </w:r>
    </w:p>
    <w:p w14:paraId="51DE9A52" w14:textId="77777777" w:rsidR="0010369C" w:rsidRDefault="0010369C">
      <w:pPr>
        <w:pStyle w:val="BodyText"/>
        <w:spacing w:before="2"/>
        <w:rPr>
          <w:sz w:val="14"/>
        </w:rPr>
      </w:pPr>
    </w:p>
    <w:p w14:paraId="51DE9A53" w14:textId="77777777" w:rsidR="0010369C" w:rsidRDefault="008E43AE">
      <w:pPr>
        <w:pStyle w:val="BodyText"/>
        <w:spacing w:before="72" w:line="360" w:lineRule="auto"/>
        <w:ind w:left="237" w:right="614" w:firstLine="851"/>
        <w:jc w:val="both"/>
      </w:pPr>
      <w:r>
        <w:rPr>
          <w:noProof/>
        </w:rPr>
        <w:drawing>
          <wp:anchor distT="0" distB="0" distL="0" distR="0" simplePos="0" relativeHeight="251592192" behindDoc="1" locked="0" layoutInCell="1" allowOverlap="1" wp14:anchorId="51DEA89B" wp14:editId="51DEA89C">
            <wp:simplePos x="0" y="0"/>
            <wp:positionH relativeFrom="page">
              <wp:posOffset>908303</wp:posOffset>
            </wp:positionH>
            <wp:positionV relativeFrom="paragraph">
              <wp:posOffset>87962</wp:posOffset>
            </wp:positionV>
            <wp:extent cx="332231" cy="109728"/>
            <wp:effectExtent l="0" t="0" r="0" b="0"/>
            <wp:wrapNone/>
            <wp:docPr id="1975" name="image1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 name="image1015.png"/>
                    <pic:cNvPicPr/>
                  </pic:nvPicPr>
                  <pic:blipFill>
                    <a:blip r:embed="rId1300" cstate="print"/>
                    <a:stretch>
                      <a:fillRect/>
                    </a:stretch>
                  </pic:blipFill>
                  <pic:spPr>
                    <a:xfrm>
                      <a:off x="0" y="0"/>
                      <a:ext cx="332231" cy="109728"/>
                    </a:xfrm>
                    <a:prstGeom prst="rect">
                      <a:avLst/>
                    </a:prstGeom>
                  </pic:spPr>
                </pic:pic>
              </a:graphicData>
            </a:graphic>
          </wp:anchor>
        </w:drawing>
      </w:r>
      <w:r>
        <w:t>Investigating authorities must disclose the essential facts in a coherent manner.</w:t>
      </w:r>
      <w:r>
        <w:rPr>
          <w:vertAlign w:val="superscript"/>
        </w:rPr>
        <w:t>1174</w:t>
      </w:r>
      <w:r>
        <w:t xml:space="preserve"> Interested parties should not be required to engage in "back‐calculations and inferential reasoning"</w:t>
      </w:r>
      <w:r>
        <w:rPr>
          <w:spacing w:val="-2"/>
        </w:rPr>
        <w:t xml:space="preserve"> </w:t>
      </w:r>
      <w:r>
        <w:t>in</w:t>
      </w:r>
      <w:r>
        <w:rPr>
          <w:spacing w:val="3"/>
        </w:rPr>
        <w:t xml:space="preserve"> </w:t>
      </w:r>
      <w:r>
        <w:t>order</w:t>
      </w:r>
      <w:r>
        <w:rPr>
          <w:spacing w:val="3"/>
        </w:rPr>
        <w:t xml:space="preserve"> </w:t>
      </w:r>
      <w:r>
        <w:t>to</w:t>
      </w:r>
      <w:r>
        <w:rPr>
          <w:spacing w:val="4"/>
        </w:rPr>
        <w:t xml:space="preserve"> </w:t>
      </w:r>
      <w:r>
        <w:t>ascertain</w:t>
      </w:r>
      <w:r>
        <w:rPr>
          <w:spacing w:val="3"/>
        </w:rPr>
        <w:t xml:space="preserve"> </w:t>
      </w:r>
      <w:r>
        <w:t>the</w:t>
      </w:r>
      <w:r>
        <w:rPr>
          <w:spacing w:val="2"/>
        </w:rPr>
        <w:t xml:space="preserve"> </w:t>
      </w:r>
      <w:r>
        <w:t>essential</w:t>
      </w:r>
      <w:r>
        <w:rPr>
          <w:spacing w:val="3"/>
        </w:rPr>
        <w:t xml:space="preserve"> </w:t>
      </w:r>
      <w:r>
        <w:t>facts.</w:t>
      </w:r>
      <w:r>
        <w:rPr>
          <w:vertAlign w:val="superscript"/>
        </w:rPr>
        <w:t>1175</w:t>
      </w:r>
      <w:r>
        <w:rPr>
          <w:spacing w:val="-14"/>
        </w:rPr>
        <w:t xml:space="preserve"> </w:t>
      </w:r>
      <w:r>
        <w:t>Furthermore,</w:t>
      </w:r>
      <w:r>
        <w:rPr>
          <w:spacing w:val="4"/>
        </w:rPr>
        <w:t xml:space="preserve"> </w:t>
      </w:r>
      <w:r>
        <w:t>the</w:t>
      </w:r>
      <w:r>
        <w:rPr>
          <w:spacing w:val="4"/>
        </w:rPr>
        <w:t xml:space="preserve"> </w:t>
      </w:r>
      <w:r>
        <w:t>Appel</w:t>
      </w:r>
      <w:r>
        <w:t>late</w:t>
      </w:r>
      <w:r>
        <w:rPr>
          <w:spacing w:val="2"/>
        </w:rPr>
        <w:t xml:space="preserve"> </w:t>
      </w:r>
      <w:r>
        <w:t>Body</w:t>
      </w:r>
      <w:r>
        <w:rPr>
          <w:spacing w:val="4"/>
        </w:rPr>
        <w:t xml:space="preserve"> </w:t>
      </w:r>
      <w:r>
        <w:rPr>
          <w:spacing w:val="-5"/>
        </w:rPr>
        <w:t>has</w:t>
      </w:r>
    </w:p>
    <w:p w14:paraId="51DE9A54" w14:textId="77777777" w:rsidR="0010369C" w:rsidRDefault="0010369C">
      <w:pPr>
        <w:pStyle w:val="BodyText"/>
        <w:rPr>
          <w:sz w:val="20"/>
        </w:rPr>
      </w:pPr>
    </w:p>
    <w:p w14:paraId="51DE9A55" w14:textId="77777777" w:rsidR="0010369C" w:rsidRDefault="008E43AE">
      <w:pPr>
        <w:pStyle w:val="BodyText"/>
        <w:rPr>
          <w:sz w:val="10"/>
        </w:rPr>
      </w:pPr>
      <w:r>
        <w:pict w14:anchorId="51DEA89D">
          <v:rect id="docshape1397" o:spid="_x0000_s1084" style="position:absolute;margin-left:70.9pt;margin-top:7.3pt;width:2in;height:.8pt;z-index:-250688000;mso-wrap-distance-left:0;mso-wrap-distance-right:0;mso-position-horizontal-relative:page" fillcolor="black" stroked="f">
            <w10:wrap type="topAndBottom" anchorx="page"/>
          </v:rect>
        </w:pict>
      </w:r>
    </w:p>
    <w:p w14:paraId="51DE9A56" w14:textId="77777777" w:rsidR="0010369C" w:rsidRDefault="008E43AE">
      <w:pPr>
        <w:spacing w:before="109"/>
        <w:ind w:left="238" w:right="614" w:hanging="1"/>
        <w:rPr>
          <w:sz w:val="18"/>
        </w:rPr>
      </w:pPr>
      <w:r>
        <w:rPr>
          <w:sz w:val="18"/>
          <w:vertAlign w:val="superscript"/>
        </w:rPr>
        <w:t>1171</w:t>
      </w:r>
      <w:r>
        <w:rPr>
          <w:spacing w:val="40"/>
          <w:sz w:val="18"/>
        </w:rPr>
        <w:t xml:space="preserve"> </w:t>
      </w:r>
      <w:r>
        <w:rPr>
          <w:sz w:val="18"/>
        </w:rPr>
        <w:t>Appellate</w:t>
      </w:r>
      <w:r>
        <w:rPr>
          <w:spacing w:val="40"/>
          <w:sz w:val="18"/>
        </w:rPr>
        <w:t xml:space="preserve"> </w:t>
      </w:r>
      <w:r>
        <w:rPr>
          <w:sz w:val="18"/>
        </w:rPr>
        <w:t>Body</w:t>
      </w:r>
      <w:r>
        <w:rPr>
          <w:spacing w:val="40"/>
          <w:sz w:val="18"/>
        </w:rPr>
        <w:t xml:space="preserve"> </w:t>
      </w:r>
      <w:r>
        <w:rPr>
          <w:sz w:val="18"/>
        </w:rPr>
        <w:t>Report,</w:t>
      </w:r>
      <w:r>
        <w:rPr>
          <w:spacing w:val="40"/>
          <w:sz w:val="18"/>
        </w:rPr>
        <w:t xml:space="preserve"> </w:t>
      </w:r>
      <w:r>
        <w:rPr>
          <w:i/>
          <w:sz w:val="18"/>
        </w:rPr>
        <w:t>China</w:t>
      </w:r>
      <w:r>
        <w:rPr>
          <w:i/>
          <w:spacing w:val="40"/>
          <w:sz w:val="18"/>
        </w:rPr>
        <w:t xml:space="preserve"> </w:t>
      </w:r>
      <w:r>
        <w:rPr>
          <w:i/>
          <w:sz w:val="18"/>
        </w:rPr>
        <w:t>–</w:t>
      </w:r>
      <w:r>
        <w:rPr>
          <w:i/>
          <w:spacing w:val="40"/>
          <w:sz w:val="18"/>
        </w:rPr>
        <w:t xml:space="preserve"> </w:t>
      </w:r>
      <w:r>
        <w:rPr>
          <w:i/>
          <w:sz w:val="18"/>
        </w:rPr>
        <w:t>GOES</w:t>
      </w:r>
      <w:r>
        <w:rPr>
          <w:sz w:val="18"/>
        </w:rPr>
        <w:t>,</w:t>
      </w:r>
      <w:r>
        <w:rPr>
          <w:spacing w:val="40"/>
          <w:sz w:val="18"/>
        </w:rPr>
        <w:t xml:space="preserve"> </w:t>
      </w:r>
      <w:r>
        <w:rPr>
          <w:sz w:val="18"/>
        </w:rPr>
        <w:t>para.</w:t>
      </w:r>
      <w:r>
        <w:rPr>
          <w:spacing w:val="40"/>
          <w:sz w:val="18"/>
        </w:rPr>
        <w:t xml:space="preserve"> </w:t>
      </w:r>
      <w:r>
        <w:rPr>
          <w:sz w:val="18"/>
        </w:rPr>
        <w:t>240.</w:t>
      </w:r>
      <w:r>
        <w:rPr>
          <w:spacing w:val="40"/>
          <w:sz w:val="18"/>
        </w:rPr>
        <w:t xml:space="preserve"> </w:t>
      </w:r>
      <w:r>
        <w:rPr>
          <w:sz w:val="18"/>
        </w:rPr>
        <w:t>See</w:t>
      </w:r>
      <w:r>
        <w:rPr>
          <w:spacing w:val="40"/>
          <w:sz w:val="18"/>
        </w:rPr>
        <w:t xml:space="preserve"> </w:t>
      </w:r>
      <w:r>
        <w:rPr>
          <w:sz w:val="18"/>
        </w:rPr>
        <w:t>also,</w:t>
      </w:r>
      <w:r>
        <w:rPr>
          <w:spacing w:val="40"/>
          <w:sz w:val="18"/>
        </w:rPr>
        <w:t xml:space="preserve"> </w:t>
      </w:r>
      <w:r>
        <w:rPr>
          <w:sz w:val="18"/>
        </w:rPr>
        <w:t>Appellate</w:t>
      </w:r>
      <w:r>
        <w:rPr>
          <w:spacing w:val="40"/>
          <w:sz w:val="18"/>
        </w:rPr>
        <w:t xml:space="preserve"> </w:t>
      </w:r>
      <w:r>
        <w:rPr>
          <w:sz w:val="18"/>
        </w:rPr>
        <w:t>Body</w:t>
      </w:r>
      <w:r>
        <w:rPr>
          <w:spacing w:val="40"/>
          <w:sz w:val="18"/>
        </w:rPr>
        <w:t xml:space="preserve"> </w:t>
      </w:r>
      <w:r>
        <w:rPr>
          <w:sz w:val="18"/>
        </w:rPr>
        <w:t>Reports,</w:t>
      </w:r>
      <w:r>
        <w:rPr>
          <w:spacing w:val="40"/>
          <w:sz w:val="18"/>
        </w:rPr>
        <w:t xml:space="preserve"> </w:t>
      </w:r>
      <w:r>
        <w:rPr>
          <w:i/>
          <w:sz w:val="18"/>
        </w:rPr>
        <w:t>China</w:t>
      </w:r>
      <w:r>
        <w:rPr>
          <w:i/>
          <w:spacing w:val="40"/>
          <w:sz w:val="18"/>
        </w:rPr>
        <w:t xml:space="preserve"> </w:t>
      </w:r>
      <w:r>
        <w:rPr>
          <w:i/>
          <w:sz w:val="18"/>
        </w:rPr>
        <w:t>–</w:t>
      </w:r>
      <w:r>
        <w:rPr>
          <w:i/>
          <w:spacing w:val="40"/>
          <w:sz w:val="18"/>
        </w:rPr>
        <w:t xml:space="preserve"> </w:t>
      </w:r>
      <w:r>
        <w:rPr>
          <w:i/>
          <w:sz w:val="18"/>
        </w:rPr>
        <w:t>HP‐SSST</w:t>
      </w:r>
      <w:r>
        <w:rPr>
          <w:i/>
          <w:spacing w:val="40"/>
          <w:sz w:val="18"/>
        </w:rPr>
        <w:t xml:space="preserve"> </w:t>
      </w:r>
      <w:r>
        <w:rPr>
          <w:i/>
          <w:sz w:val="18"/>
        </w:rPr>
        <w:t>(Japan)</w:t>
      </w:r>
      <w:r>
        <w:rPr>
          <w:i/>
          <w:spacing w:val="40"/>
          <w:sz w:val="18"/>
        </w:rPr>
        <w:t xml:space="preserve"> </w:t>
      </w:r>
      <w:r>
        <w:rPr>
          <w:i/>
          <w:sz w:val="18"/>
        </w:rPr>
        <w:t>/ China – HP‐SSST (EU)</w:t>
      </w:r>
      <w:r>
        <w:rPr>
          <w:sz w:val="18"/>
        </w:rPr>
        <w:t>, para. 5.130.</w:t>
      </w:r>
    </w:p>
    <w:p w14:paraId="51DE9A57" w14:textId="77777777" w:rsidR="0010369C" w:rsidRDefault="008E43AE">
      <w:pPr>
        <w:spacing w:line="219" w:lineRule="exact"/>
        <w:ind w:left="238"/>
        <w:rPr>
          <w:sz w:val="18"/>
        </w:rPr>
      </w:pPr>
      <w:r>
        <w:rPr>
          <w:sz w:val="18"/>
          <w:vertAlign w:val="superscript"/>
        </w:rPr>
        <w:t>1172</w:t>
      </w:r>
      <w:r>
        <w:rPr>
          <w:spacing w:val="-6"/>
          <w:sz w:val="18"/>
        </w:rPr>
        <w:t xml:space="preserve"> </w:t>
      </w:r>
      <w:r>
        <w:rPr>
          <w:sz w:val="18"/>
        </w:rPr>
        <w:t>Appellate</w:t>
      </w:r>
      <w:r>
        <w:rPr>
          <w:spacing w:val="-5"/>
          <w:sz w:val="18"/>
        </w:rPr>
        <w:t xml:space="preserve"> </w:t>
      </w:r>
      <w:r>
        <w:rPr>
          <w:sz w:val="18"/>
        </w:rPr>
        <w:t>Body</w:t>
      </w:r>
      <w:r>
        <w:rPr>
          <w:spacing w:val="-7"/>
          <w:sz w:val="18"/>
        </w:rPr>
        <w:t xml:space="preserve"> </w:t>
      </w:r>
      <w:r>
        <w:rPr>
          <w:sz w:val="18"/>
        </w:rPr>
        <w:t>Report,</w:t>
      </w:r>
      <w:r>
        <w:rPr>
          <w:spacing w:val="-5"/>
          <w:sz w:val="18"/>
        </w:rPr>
        <w:t xml:space="preserve"> </w:t>
      </w:r>
      <w:r>
        <w:rPr>
          <w:i/>
          <w:sz w:val="18"/>
        </w:rPr>
        <w:t>China</w:t>
      </w:r>
      <w:r>
        <w:rPr>
          <w:i/>
          <w:spacing w:val="-6"/>
          <w:sz w:val="18"/>
        </w:rPr>
        <w:t xml:space="preserve"> </w:t>
      </w:r>
      <w:r>
        <w:rPr>
          <w:i/>
          <w:sz w:val="18"/>
        </w:rPr>
        <w:t>–</w:t>
      </w:r>
      <w:r>
        <w:rPr>
          <w:i/>
          <w:spacing w:val="-4"/>
          <w:sz w:val="18"/>
        </w:rPr>
        <w:t xml:space="preserve"> </w:t>
      </w:r>
      <w:r>
        <w:rPr>
          <w:i/>
          <w:sz w:val="18"/>
        </w:rPr>
        <w:t>GOES</w:t>
      </w:r>
      <w:r>
        <w:rPr>
          <w:sz w:val="18"/>
        </w:rPr>
        <w:t>,</w:t>
      </w:r>
      <w:r>
        <w:rPr>
          <w:spacing w:val="-6"/>
          <w:sz w:val="18"/>
        </w:rPr>
        <w:t xml:space="preserve"> </w:t>
      </w:r>
      <w:r>
        <w:rPr>
          <w:sz w:val="18"/>
        </w:rPr>
        <w:t>para.</w:t>
      </w:r>
      <w:r>
        <w:rPr>
          <w:spacing w:val="-5"/>
          <w:sz w:val="18"/>
        </w:rPr>
        <w:t xml:space="preserve"> </w:t>
      </w:r>
      <w:r>
        <w:rPr>
          <w:spacing w:val="-4"/>
          <w:sz w:val="18"/>
        </w:rPr>
        <w:t>241.</w:t>
      </w:r>
    </w:p>
    <w:p w14:paraId="51DE9A58" w14:textId="77777777" w:rsidR="0010369C" w:rsidRDefault="008E43AE">
      <w:pPr>
        <w:spacing w:before="1"/>
        <w:ind w:left="238"/>
        <w:rPr>
          <w:sz w:val="18"/>
        </w:rPr>
      </w:pPr>
      <w:r>
        <w:rPr>
          <w:sz w:val="18"/>
          <w:vertAlign w:val="superscript"/>
        </w:rPr>
        <w:t>1173</w:t>
      </w:r>
      <w:r>
        <w:rPr>
          <w:spacing w:val="-6"/>
          <w:sz w:val="18"/>
        </w:rPr>
        <w:t xml:space="preserve"> </w:t>
      </w:r>
      <w:r>
        <w:rPr>
          <w:sz w:val="18"/>
        </w:rPr>
        <w:t>Appellate</w:t>
      </w:r>
      <w:r>
        <w:rPr>
          <w:spacing w:val="-5"/>
          <w:sz w:val="18"/>
        </w:rPr>
        <w:t xml:space="preserve"> </w:t>
      </w:r>
      <w:r>
        <w:rPr>
          <w:sz w:val="18"/>
        </w:rPr>
        <w:t>Body</w:t>
      </w:r>
      <w:r>
        <w:rPr>
          <w:spacing w:val="-7"/>
          <w:sz w:val="18"/>
        </w:rPr>
        <w:t xml:space="preserve"> </w:t>
      </w:r>
      <w:r>
        <w:rPr>
          <w:sz w:val="18"/>
        </w:rPr>
        <w:t>Report,</w:t>
      </w:r>
      <w:r>
        <w:rPr>
          <w:spacing w:val="-5"/>
          <w:sz w:val="18"/>
        </w:rPr>
        <w:t xml:space="preserve"> </w:t>
      </w:r>
      <w:r>
        <w:rPr>
          <w:i/>
          <w:sz w:val="18"/>
        </w:rPr>
        <w:t>China</w:t>
      </w:r>
      <w:r>
        <w:rPr>
          <w:i/>
          <w:spacing w:val="-6"/>
          <w:sz w:val="18"/>
        </w:rPr>
        <w:t xml:space="preserve"> </w:t>
      </w:r>
      <w:r>
        <w:rPr>
          <w:i/>
          <w:sz w:val="18"/>
        </w:rPr>
        <w:t>–</w:t>
      </w:r>
      <w:r>
        <w:rPr>
          <w:i/>
          <w:spacing w:val="-4"/>
          <w:sz w:val="18"/>
        </w:rPr>
        <w:t xml:space="preserve"> </w:t>
      </w:r>
      <w:r>
        <w:rPr>
          <w:i/>
          <w:sz w:val="18"/>
        </w:rPr>
        <w:t>GOES</w:t>
      </w:r>
      <w:r>
        <w:rPr>
          <w:sz w:val="18"/>
        </w:rPr>
        <w:t>,</w:t>
      </w:r>
      <w:r>
        <w:rPr>
          <w:spacing w:val="-6"/>
          <w:sz w:val="18"/>
        </w:rPr>
        <w:t xml:space="preserve"> </w:t>
      </w:r>
      <w:r>
        <w:rPr>
          <w:sz w:val="18"/>
        </w:rPr>
        <w:t>para.</w:t>
      </w:r>
      <w:r>
        <w:rPr>
          <w:spacing w:val="-5"/>
          <w:sz w:val="18"/>
        </w:rPr>
        <w:t xml:space="preserve"> </w:t>
      </w:r>
      <w:r>
        <w:rPr>
          <w:spacing w:val="-4"/>
          <w:sz w:val="18"/>
        </w:rPr>
        <w:t>240.</w:t>
      </w:r>
    </w:p>
    <w:p w14:paraId="51DE9A59" w14:textId="77777777" w:rsidR="0010369C" w:rsidRDefault="008E43AE">
      <w:pPr>
        <w:ind w:left="239" w:right="611" w:hanging="1"/>
        <w:rPr>
          <w:sz w:val="18"/>
        </w:rPr>
      </w:pPr>
      <w:r>
        <w:rPr>
          <w:sz w:val="18"/>
          <w:vertAlign w:val="superscript"/>
        </w:rPr>
        <w:t>1174</w:t>
      </w:r>
      <w:r>
        <w:rPr>
          <w:sz w:val="18"/>
        </w:rPr>
        <w:t xml:space="preserve"> Panel Report, </w:t>
      </w:r>
      <w:r>
        <w:rPr>
          <w:i/>
          <w:sz w:val="18"/>
        </w:rPr>
        <w:t>Ukraine – Ammonium Nitrate</w:t>
      </w:r>
      <w:r>
        <w:rPr>
          <w:sz w:val="18"/>
        </w:rPr>
        <w:t xml:space="preserve">, para. 7.227. See also, Appellate Body Reports, </w:t>
      </w:r>
      <w:r>
        <w:rPr>
          <w:i/>
          <w:sz w:val="18"/>
        </w:rPr>
        <w:t>China – HP‐SSST (Japan) /</w:t>
      </w:r>
      <w:r>
        <w:rPr>
          <w:i/>
          <w:spacing w:val="40"/>
          <w:sz w:val="18"/>
        </w:rPr>
        <w:t xml:space="preserve"> </w:t>
      </w:r>
      <w:r>
        <w:rPr>
          <w:i/>
          <w:sz w:val="18"/>
        </w:rPr>
        <w:t>China – HP‐SSST (EU)</w:t>
      </w:r>
      <w:r>
        <w:rPr>
          <w:sz w:val="18"/>
        </w:rPr>
        <w:t>, para. 5.130.</w:t>
      </w:r>
    </w:p>
    <w:p w14:paraId="51DE9A5A" w14:textId="77777777" w:rsidR="0010369C" w:rsidRDefault="008E43AE">
      <w:pPr>
        <w:spacing w:line="219" w:lineRule="exact"/>
        <w:ind w:left="238"/>
        <w:rPr>
          <w:sz w:val="18"/>
        </w:rPr>
      </w:pPr>
      <w:r>
        <w:rPr>
          <w:sz w:val="18"/>
          <w:vertAlign w:val="superscript"/>
        </w:rPr>
        <w:t>1175</w:t>
      </w:r>
      <w:r>
        <w:rPr>
          <w:spacing w:val="-7"/>
          <w:sz w:val="18"/>
        </w:rPr>
        <w:t xml:space="preserve"> </w:t>
      </w:r>
      <w:r>
        <w:rPr>
          <w:sz w:val="18"/>
        </w:rPr>
        <w:t>Panel</w:t>
      </w:r>
      <w:r>
        <w:rPr>
          <w:spacing w:val="-8"/>
          <w:sz w:val="18"/>
        </w:rPr>
        <w:t xml:space="preserve"> </w:t>
      </w:r>
      <w:r>
        <w:rPr>
          <w:sz w:val="18"/>
        </w:rPr>
        <w:t>Report,</w:t>
      </w:r>
      <w:r>
        <w:rPr>
          <w:spacing w:val="-6"/>
          <w:sz w:val="18"/>
        </w:rPr>
        <w:t xml:space="preserve"> </w:t>
      </w:r>
      <w:r>
        <w:rPr>
          <w:i/>
          <w:sz w:val="18"/>
        </w:rPr>
        <w:t>Ukraine</w:t>
      </w:r>
      <w:r>
        <w:rPr>
          <w:i/>
          <w:spacing w:val="-7"/>
          <w:sz w:val="18"/>
        </w:rPr>
        <w:t xml:space="preserve"> </w:t>
      </w:r>
      <w:r>
        <w:rPr>
          <w:i/>
          <w:sz w:val="18"/>
        </w:rPr>
        <w:t>–</w:t>
      </w:r>
      <w:r>
        <w:rPr>
          <w:i/>
          <w:spacing w:val="-7"/>
          <w:sz w:val="18"/>
        </w:rPr>
        <w:t xml:space="preserve"> </w:t>
      </w:r>
      <w:r>
        <w:rPr>
          <w:i/>
          <w:sz w:val="18"/>
        </w:rPr>
        <w:t>Ammonium</w:t>
      </w:r>
      <w:r>
        <w:rPr>
          <w:i/>
          <w:spacing w:val="-7"/>
          <w:sz w:val="18"/>
        </w:rPr>
        <w:t xml:space="preserve"> </w:t>
      </w:r>
      <w:r>
        <w:rPr>
          <w:i/>
          <w:sz w:val="18"/>
        </w:rPr>
        <w:t>Nitrate</w:t>
      </w:r>
      <w:r>
        <w:rPr>
          <w:sz w:val="18"/>
        </w:rPr>
        <w:t>,</w:t>
      </w:r>
      <w:r>
        <w:rPr>
          <w:spacing w:val="-7"/>
          <w:sz w:val="18"/>
        </w:rPr>
        <w:t xml:space="preserve"> </w:t>
      </w:r>
      <w:r>
        <w:rPr>
          <w:sz w:val="18"/>
        </w:rPr>
        <w:t>para.</w:t>
      </w:r>
      <w:r>
        <w:rPr>
          <w:spacing w:val="-7"/>
          <w:sz w:val="18"/>
        </w:rPr>
        <w:t xml:space="preserve"> </w:t>
      </w:r>
      <w:r>
        <w:rPr>
          <w:spacing w:val="-2"/>
          <w:sz w:val="18"/>
        </w:rPr>
        <w:t>7.227.</w:t>
      </w:r>
    </w:p>
    <w:p w14:paraId="51DE9A5B" w14:textId="77777777" w:rsidR="0010369C" w:rsidRDefault="0010369C">
      <w:pPr>
        <w:spacing w:line="219" w:lineRule="exact"/>
        <w:rPr>
          <w:sz w:val="18"/>
        </w:rPr>
        <w:sectPr w:rsidR="0010369C">
          <w:headerReference w:type="default" r:id="rId1301"/>
          <w:footerReference w:type="default" r:id="rId1302"/>
          <w:pgSz w:w="11910" w:h="16840"/>
          <w:pgMar w:top="880" w:right="800" w:bottom="980" w:left="1180" w:header="569" w:footer="788" w:gutter="0"/>
          <w:cols w:space="720"/>
        </w:sectPr>
      </w:pPr>
    </w:p>
    <w:p w14:paraId="51DE9A5C" w14:textId="77777777" w:rsidR="0010369C" w:rsidRDefault="008E43AE">
      <w:pPr>
        <w:tabs>
          <w:tab w:val="left" w:pos="6425"/>
        </w:tabs>
        <w:ind w:left="238"/>
        <w:jc w:val="both"/>
        <w:rPr>
          <w:sz w:val="20"/>
        </w:rPr>
      </w:pPr>
      <w:r>
        <w:rPr>
          <w:i/>
          <w:sz w:val="20"/>
        </w:rPr>
        <w:lastRenderedPageBreak/>
        <w:t>China</w:t>
      </w:r>
      <w:r>
        <w:rPr>
          <w:i/>
          <w:spacing w:val="-5"/>
          <w:sz w:val="20"/>
        </w:rPr>
        <w:t xml:space="preserve"> </w:t>
      </w:r>
      <w:r>
        <w:rPr>
          <w:i/>
          <w:sz w:val="20"/>
        </w:rPr>
        <w:t>–</w:t>
      </w:r>
      <w:r>
        <w:rPr>
          <w:i/>
          <w:spacing w:val="-5"/>
          <w:sz w:val="20"/>
        </w:rPr>
        <w:t xml:space="preserve"> </w:t>
      </w:r>
      <w:r>
        <w:rPr>
          <w:i/>
          <w:sz w:val="20"/>
        </w:rPr>
        <w:t>Anti‐Dumping</w:t>
      </w:r>
      <w:r>
        <w:rPr>
          <w:i/>
          <w:spacing w:val="-4"/>
          <w:sz w:val="20"/>
        </w:rPr>
        <w:t xml:space="preserve"> </w:t>
      </w:r>
      <w:r>
        <w:rPr>
          <w:i/>
          <w:sz w:val="20"/>
        </w:rPr>
        <w:t>and</w:t>
      </w:r>
      <w:r>
        <w:rPr>
          <w:i/>
          <w:spacing w:val="-5"/>
          <w:sz w:val="20"/>
        </w:rPr>
        <w:t xml:space="preserve"> </w:t>
      </w:r>
      <w:r>
        <w:rPr>
          <w:i/>
          <w:sz w:val="20"/>
        </w:rPr>
        <w:t>Countervailing</w:t>
      </w:r>
      <w:r>
        <w:rPr>
          <w:i/>
          <w:spacing w:val="-5"/>
          <w:sz w:val="20"/>
        </w:rPr>
        <w:t xml:space="preserve"> </w:t>
      </w:r>
      <w:r>
        <w:rPr>
          <w:i/>
          <w:sz w:val="20"/>
        </w:rPr>
        <w:t>Duty</w:t>
      </w:r>
      <w:r>
        <w:rPr>
          <w:i/>
          <w:spacing w:val="-4"/>
          <w:sz w:val="20"/>
        </w:rPr>
        <w:t xml:space="preserve"> </w:t>
      </w:r>
      <w:r>
        <w:rPr>
          <w:i/>
          <w:spacing w:val="-2"/>
          <w:sz w:val="20"/>
        </w:rPr>
        <w:t>Measures</w:t>
      </w:r>
      <w:r>
        <w:rPr>
          <w:i/>
          <w:sz w:val="20"/>
        </w:rPr>
        <w:tab/>
      </w:r>
      <w:r>
        <w:rPr>
          <w:sz w:val="20"/>
        </w:rPr>
        <w:t>Australia's</w:t>
      </w:r>
      <w:r>
        <w:rPr>
          <w:spacing w:val="-7"/>
          <w:sz w:val="20"/>
        </w:rPr>
        <w:t xml:space="preserve"> </w:t>
      </w:r>
      <w:r>
        <w:rPr>
          <w:sz w:val="20"/>
        </w:rPr>
        <w:t>First</w:t>
      </w:r>
      <w:r>
        <w:rPr>
          <w:spacing w:val="-2"/>
          <w:sz w:val="20"/>
        </w:rPr>
        <w:t xml:space="preserve"> </w:t>
      </w:r>
      <w:r>
        <w:rPr>
          <w:sz w:val="20"/>
        </w:rPr>
        <w:t>Written</w:t>
      </w:r>
      <w:r>
        <w:rPr>
          <w:spacing w:val="-2"/>
          <w:sz w:val="20"/>
        </w:rPr>
        <w:t xml:space="preserve"> Submission</w:t>
      </w:r>
    </w:p>
    <w:p w14:paraId="51DE9A5D" w14:textId="77777777" w:rsidR="0010369C" w:rsidRDefault="008E43AE">
      <w:pPr>
        <w:tabs>
          <w:tab w:val="left" w:pos="8227"/>
        </w:tabs>
        <w:spacing w:before="1"/>
        <w:ind w:left="239"/>
        <w:jc w:val="both"/>
        <w:rPr>
          <w:sz w:val="20"/>
        </w:rPr>
      </w:pPr>
      <w:r>
        <w:rPr>
          <w:i/>
          <w:sz w:val="20"/>
        </w:rPr>
        <w:t>on</w:t>
      </w:r>
      <w:r>
        <w:rPr>
          <w:i/>
          <w:spacing w:val="-1"/>
          <w:sz w:val="20"/>
        </w:rPr>
        <w:t xml:space="preserve"> </w:t>
      </w:r>
      <w:r>
        <w:rPr>
          <w:i/>
          <w:sz w:val="20"/>
        </w:rPr>
        <w:t>Wine</w:t>
      </w:r>
      <w:r>
        <w:rPr>
          <w:i/>
          <w:spacing w:val="-1"/>
          <w:sz w:val="20"/>
        </w:rPr>
        <w:t xml:space="preserve"> </w:t>
      </w:r>
      <w:r>
        <w:rPr>
          <w:i/>
          <w:sz w:val="20"/>
        </w:rPr>
        <w:t>from</w:t>
      </w:r>
      <w:r>
        <w:rPr>
          <w:i/>
          <w:spacing w:val="-3"/>
          <w:sz w:val="20"/>
        </w:rPr>
        <w:t xml:space="preserve"> </w:t>
      </w:r>
      <w:r>
        <w:rPr>
          <w:i/>
          <w:sz w:val="20"/>
        </w:rPr>
        <w:t>Australia</w:t>
      </w:r>
      <w:r>
        <w:rPr>
          <w:i/>
          <w:spacing w:val="-1"/>
          <w:sz w:val="20"/>
        </w:rPr>
        <w:t xml:space="preserve"> </w:t>
      </w:r>
      <w:r>
        <w:rPr>
          <w:spacing w:val="-2"/>
          <w:sz w:val="20"/>
        </w:rPr>
        <w:t>(DS602)</w:t>
      </w:r>
      <w:r>
        <w:rPr>
          <w:sz w:val="20"/>
        </w:rPr>
        <w:tab/>
        <w:t>29</w:t>
      </w:r>
      <w:r>
        <w:rPr>
          <w:spacing w:val="-1"/>
          <w:sz w:val="20"/>
        </w:rPr>
        <w:t xml:space="preserve"> </w:t>
      </w:r>
      <w:r>
        <w:rPr>
          <w:sz w:val="20"/>
        </w:rPr>
        <w:t>April</w:t>
      </w:r>
      <w:r>
        <w:rPr>
          <w:spacing w:val="-2"/>
          <w:sz w:val="20"/>
        </w:rPr>
        <w:t xml:space="preserve"> </w:t>
      </w:r>
      <w:r>
        <w:rPr>
          <w:spacing w:val="-4"/>
          <w:sz w:val="20"/>
        </w:rPr>
        <w:t>2022</w:t>
      </w:r>
    </w:p>
    <w:p w14:paraId="51DE9A5E" w14:textId="77777777" w:rsidR="0010369C" w:rsidRDefault="008E43AE">
      <w:pPr>
        <w:pStyle w:val="BodyText"/>
        <w:spacing w:before="34" w:line="360" w:lineRule="auto"/>
        <w:ind w:left="236" w:right="614" w:firstLine="1"/>
        <w:jc w:val="both"/>
      </w:pPr>
      <w:r>
        <w:t>held that a "narrative description of the data used" does not constitute sufficient disclosure of</w:t>
      </w:r>
      <w:r>
        <w:rPr>
          <w:spacing w:val="-4"/>
        </w:rPr>
        <w:t xml:space="preserve"> </w:t>
      </w:r>
      <w:r>
        <w:t>essential</w:t>
      </w:r>
      <w:r>
        <w:rPr>
          <w:spacing w:val="-4"/>
        </w:rPr>
        <w:t xml:space="preserve"> </w:t>
      </w:r>
      <w:r>
        <w:t>facts.</w:t>
      </w:r>
      <w:r>
        <w:rPr>
          <w:vertAlign w:val="superscript"/>
        </w:rPr>
        <w:t>1176</w:t>
      </w:r>
      <w:r>
        <w:rPr>
          <w:spacing w:val="-4"/>
        </w:rPr>
        <w:t xml:space="preserve"> </w:t>
      </w:r>
      <w:r>
        <w:t>In</w:t>
      </w:r>
      <w:r>
        <w:rPr>
          <w:spacing w:val="-3"/>
        </w:rPr>
        <w:t xml:space="preserve"> </w:t>
      </w:r>
      <w:r>
        <w:t>"all</w:t>
      </w:r>
      <w:r>
        <w:rPr>
          <w:spacing w:val="-3"/>
        </w:rPr>
        <w:t xml:space="preserve"> </w:t>
      </w:r>
      <w:r>
        <w:t>cases",</w:t>
      </w:r>
      <w:r>
        <w:rPr>
          <w:spacing w:val="-4"/>
        </w:rPr>
        <w:t xml:space="preserve"> </w:t>
      </w:r>
      <w:r>
        <w:t>the</w:t>
      </w:r>
      <w:r>
        <w:rPr>
          <w:spacing w:val="-3"/>
        </w:rPr>
        <w:t xml:space="preserve"> </w:t>
      </w:r>
      <w:r>
        <w:t>investigating</w:t>
      </w:r>
      <w:r>
        <w:rPr>
          <w:spacing w:val="-3"/>
        </w:rPr>
        <w:t xml:space="preserve"> </w:t>
      </w:r>
      <w:r>
        <w:t>authority</w:t>
      </w:r>
      <w:r>
        <w:rPr>
          <w:spacing w:val="-3"/>
        </w:rPr>
        <w:t xml:space="preserve"> </w:t>
      </w:r>
      <w:r>
        <w:t>is</w:t>
      </w:r>
      <w:r>
        <w:rPr>
          <w:spacing w:val="-3"/>
        </w:rPr>
        <w:t xml:space="preserve"> </w:t>
      </w:r>
      <w:r>
        <w:t>required</w:t>
      </w:r>
      <w:r>
        <w:rPr>
          <w:spacing w:val="-5"/>
        </w:rPr>
        <w:t xml:space="preserve"> </w:t>
      </w:r>
      <w:r>
        <w:t>to</w:t>
      </w:r>
      <w:r>
        <w:rPr>
          <w:spacing w:val="-5"/>
        </w:rPr>
        <w:t xml:space="preserve"> </w:t>
      </w:r>
      <w:r>
        <w:t>disclose</w:t>
      </w:r>
      <w:r>
        <w:rPr>
          <w:spacing w:val="-2"/>
        </w:rPr>
        <w:t xml:space="preserve"> </w:t>
      </w:r>
      <w:r>
        <w:t>the</w:t>
      </w:r>
      <w:r>
        <w:rPr>
          <w:spacing w:val="-3"/>
        </w:rPr>
        <w:t xml:space="preserve"> </w:t>
      </w:r>
      <w:r>
        <w:t>facts in such a manner that an</w:t>
      </w:r>
      <w:r>
        <w:rPr>
          <w:spacing w:val="-1"/>
        </w:rPr>
        <w:t xml:space="preserve"> </w:t>
      </w:r>
      <w:r>
        <w:t>interested party can understand cl</w:t>
      </w:r>
      <w:r>
        <w:t>early what</w:t>
      </w:r>
      <w:r>
        <w:rPr>
          <w:spacing w:val="-1"/>
        </w:rPr>
        <w:t xml:space="preserve"> </w:t>
      </w:r>
      <w:r>
        <w:t>data the investigating authority has used, and how those data were used to determine the margin of dumping.</w:t>
      </w:r>
      <w:r>
        <w:rPr>
          <w:vertAlign w:val="superscript"/>
        </w:rPr>
        <w:t>1177</w:t>
      </w:r>
      <w:r>
        <w:t xml:space="preserve"> The panel in </w:t>
      </w:r>
      <w:r>
        <w:rPr>
          <w:i/>
        </w:rPr>
        <w:t xml:space="preserve">US – Ripe Olives from Spain </w:t>
      </w:r>
      <w:r>
        <w:t>agreed that the disclosure of essential facts under Article 12.8 of the SCM Agreement (which is relevantly identical to Article 6.9 of the Anti‐Dumping Agreement) "must be done in such a way that permits an interested party to understand how they have been</w:t>
      </w:r>
      <w:r>
        <w:t xml:space="preserve"> used and potentially relied upon by an investigating </w:t>
      </w:r>
      <w:r>
        <w:rPr>
          <w:spacing w:val="-2"/>
        </w:rPr>
        <w:t>authority".</w:t>
      </w:r>
      <w:r>
        <w:rPr>
          <w:spacing w:val="-2"/>
          <w:vertAlign w:val="superscript"/>
        </w:rPr>
        <w:t>1178</w:t>
      </w:r>
    </w:p>
    <w:p w14:paraId="51DE9A5F" w14:textId="77777777" w:rsidR="0010369C" w:rsidRDefault="0010369C">
      <w:pPr>
        <w:pStyle w:val="BodyText"/>
        <w:spacing w:before="11"/>
        <w:rPr>
          <w:sz w:val="8"/>
        </w:rPr>
      </w:pPr>
    </w:p>
    <w:p w14:paraId="51DE9A60" w14:textId="77777777" w:rsidR="0010369C" w:rsidRDefault="008E43AE">
      <w:pPr>
        <w:pStyle w:val="BodyText"/>
        <w:spacing w:before="51" w:line="360" w:lineRule="auto"/>
        <w:ind w:left="237" w:right="614" w:firstLine="852"/>
        <w:jc w:val="both"/>
        <w:rPr>
          <w:i/>
        </w:rPr>
      </w:pPr>
      <w:r>
        <w:rPr>
          <w:noProof/>
        </w:rPr>
        <w:drawing>
          <wp:anchor distT="0" distB="0" distL="0" distR="0" simplePos="0" relativeHeight="251593216" behindDoc="1" locked="0" layoutInCell="1" allowOverlap="1" wp14:anchorId="51DEA89E" wp14:editId="51DEA89F">
            <wp:simplePos x="0" y="0"/>
            <wp:positionH relativeFrom="page">
              <wp:posOffset>908303</wp:posOffset>
            </wp:positionH>
            <wp:positionV relativeFrom="paragraph">
              <wp:posOffset>76150</wp:posOffset>
            </wp:positionV>
            <wp:extent cx="332231" cy="106679"/>
            <wp:effectExtent l="0" t="0" r="0" b="0"/>
            <wp:wrapNone/>
            <wp:docPr id="1977" name="image1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 name="image1016.png"/>
                    <pic:cNvPicPr/>
                  </pic:nvPicPr>
                  <pic:blipFill>
                    <a:blip r:embed="rId1303" cstate="print"/>
                    <a:stretch>
                      <a:fillRect/>
                    </a:stretch>
                  </pic:blipFill>
                  <pic:spPr>
                    <a:xfrm>
                      <a:off x="0" y="0"/>
                      <a:ext cx="332231" cy="106679"/>
                    </a:xfrm>
                    <a:prstGeom prst="rect">
                      <a:avLst/>
                    </a:prstGeom>
                  </pic:spPr>
                </pic:pic>
              </a:graphicData>
            </a:graphic>
          </wp:anchor>
        </w:drawing>
      </w:r>
      <w:r>
        <w:t xml:space="preserve">The panel in </w:t>
      </w:r>
      <w:r>
        <w:rPr>
          <w:i/>
        </w:rPr>
        <w:t xml:space="preserve">Argentina – Poultry Anti‐Dumping Duties </w:t>
      </w:r>
      <w:r>
        <w:t>considered that the term "essential facts" referred to "factual information" rather than "reasoning".</w:t>
      </w:r>
      <w:r>
        <w:rPr>
          <w:vertAlign w:val="superscript"/>
        </w:rPr>
        <w:t>1179</w:t>
      </w:r>
      <w:r>
        <w:t xml:space="preserve"> The failure to inform an </w:t>
      </w:r>
      <w:r>
        <w:t>interested party of the reasons why the authority failed to use certain data does not equate to a failure to inform an interested party of an essential fact. Nor does "fact" extend</w:t>
      </w:r>
      <w:r>
        <w:rPr>
          <w:spacing w:val="-7"/>
        </w:rPr>
        <w:t xml:space="preserve"> </w:t>
      </w:r>
      <w:r>
        <w:t>to</w:t>
      </w:r>
      <w:r>
        <w:rPr>
          <w:spacing w:val="-5"/>
        </w:rPr>
        <w:t xml:space="preserve"> </w:t>
      </w:r>
      <w:r>
        <w:t>"motives,</w:t>
      </w:r>
      <w:r>
        <w:rPr>
          <w:spacing w:val="-6"/>
        </w:rPr>
        <w:t xml:space="preserve"> </w:t>
      </w:r>
      <w:r>
        <w:t>causes</w:t>
      </w:r>
      <w:r>
        <w:rPr>
          <w:spacing w:val="-6"/>
        </w:rPr>
        <w:t xml:space="preserve"> </w:t>
      </w:r>
      <w:r>
        <w:t>or</w:t>
      </w:r>
      <w:r>
        <w:rPr>
          <w:spacing w:val="-5"/>
        </w:rPr>
        <w:t xml:space="preserve"> </w:t>
      </w:r>
      <w:r>
        <w:t>justifications".</w:t>
      </w:r>
      <w:r>
        <w:rPr>
          <w:vertAlign w:val="superscript"/>
        </w:rPr>
        <w:t>1180</w:t>
      </w:r>
      <w:r>
        <w:rPr>
          <w:spacing w:val="-6"/>
        </w:rPr>
        <w:t xml:space="preserve"> </w:t>
      </w:r>
      <w:r>
        <w:t>The</w:t>
      </w:r>
      <w:r>
        <w:rPr>
          <w:spacing w:val="-6"/>
        </w:rPr>
        <w:t xml:space="preserve"> </w:t>
      </w:r>
      <w:r>
        <w:t>panel</w:t>
      </w:r>
      <w:r>
        <w:rPr>
          <w:spacing w:val="-5"/>
        </w:rPr>
        <w:t xml:space="preserve"> </w:t>
      </w:r>
      <w:r>
        <w:t>in</w:t>
      </w:r>
      <w:r>
        <w:rPr>
          <w:spacing w:val="-4"/>
        </w:rPr>
        <w:t xml:space="preserve"> </w:t>
      </w:r>
      <w:r>
        <w:rPr>
          <w:i/>
        </w:rPr>
        <w:t>China</w:t>
      </w:r>
      <w:r>
        <w:rPr>
          <w:i/>
          <w:spacing w:val="-5"/>
        </w:rPr>
        <w:t xml:space="preserve"> </w:t>
      </w:r>
      <w:r>
        <w:rPr>
          <w:i/>
        </w:rPr>
        <w:t>–</w:t>
      </w:r>
      <w:r>
        <w:rPr>
          <w:i/>
          <w:spacing w:val="-6"/>
        </w:rPr>
        <w:t xml:space="preserve"> </w:t>
      </w:r>
      <w:r>
        <w:rPr>
          <w:i/>
        </w:rPr>
        <w:t>Broiler</w:t>
      </w:r>
      <w:r>
        <w:rPr>
          <w:i/>
          <w:spacing w:val="-5"/>
        </w:rPr>
        <w:t xml:space="preserve"> </w:t>
      </w:r>
      <w:r>
        <w:rPr>
          <w:i/>
        </w:rPr>
        <w:t>Pr</w:t>
      </w:r>
      <w:r>
        <w:rPr>
          <w:i/>
        </w:rPr>
        <w:t>oducts</w:t>
      </w:r>
      <w:r>
        <w:rPr>
          <w:i/>
          <w:spacing w:val="-7"/>
        </w:rPr>
        <w:t xml:space="preserve"> </w:t>
      </w:r>
      <w:r>
        <w:rPr>
          <w:i/>
          <w:spacing w:val="-2"/>
        </w:rPr>
        <w:t>(Article</w:t>
      </w:r>
    </w:p>
    <w:p w14:paraId="51DE9A61" w14:textId="77777777" w:rsidR="0010369C" w:rsidRDefault="008E43AE">
      <w:pPr>
        <w:pStyle w:val="BodyText"/>
        <w:spacing w:line="360" w:lineRule="auto"/>
        <w:ind w:left="237" w:right="615"/>
        <w:jc w:val="both"/>
      </w:pPr>
      <w:r>
        <w:rPr>
          <w:i/>
        </w:rPr>
        <w:t xml:space="preserve">21.5 – US) </w:t>
      </w:r>
      <w:r>
        <w:t>concluded that Article 6.9 requires disclosure of essential data, calculation methodology and formulae but not the final calculations.</w:t>
      </w:r>
      <w:r>
        <w:rPr>
          <w:vertAlign w:val="superscript"/>
        </w:rPr>
        <w:t>1181</w:t>
      </w:r>
    </w:p>
    <w:p w14:paraId="51DE9A62" w14:textId="77777777" w:rsidR="0010369C" w:rsidRDefault="0010369C">
      <w:pPr>
        <w:pStyle w:val="BodyText"/>
        <w:spacing w:before="11"/>
        <w:rPr>
          <w:sz w:val="8"/>
        </w:rPr>
      </w:pPr>
    </w:p>
    <w:p w14:paraId="51DE9A63" w14:textId="77777777" w:rsidR="0010369C" w:rsidRDefault="008E43AE">
      <w:pPr>
        <w:pStyle w:val="BodyText"/>
        <w:spacing w:before="52" w:line="360" w:lineRule="auto"/>
        <w:ind w:left="236" w:right="614" w:firstLine="852"/>
        <w:jc w:val="both"/>
      </w:pPr>
      <w:r>
        <w:rPr>
          <w:noProof/>
        </w:rPr>
        <w:drawing>
          <wp:anchor distT="0" distB="0" distL="0" distR="0" simplePos="0" relativeHeight="251594240" behindDoc="1" locked="0" layoutInCell="1" allowOverlap="1" wp14:anchorId="51DEA8A0" wp14:editId="51DEA8A1">
            <wp:simplePos x="0" y="0"/>
            <wp:positionH relativeFrom="page">
              <wp:posOffset>908303</wp:posOffset>
            </wp:positionH>
            <wp:positionV relativeFrom="paragraph">
              <wp:posOffset>76023</wp:posOffset>
            </wp:positionV>
            <wp:extent cx="332231" cy="106679"/>
            <wp:effectExtent l="0" t="0" r="0" b="0"/>
            <wp:wrapNone/>
            <wp:docPr id="1979" name="image1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 name="image1017.png"/>
                    <pic:cNvPicPr/>
                  </pic:nvPicPr>
                  <pic:blipFill>
                    <a:blip r:embed="rId1304" cstate="print"/>
                    <a:stretch>
                      <a:fillRect/>
                    </a:stretch>
                  </pic:blipFill>
                  <pic:spPr>
                    <a:xfrm>
                      <a:off x="0" y="0"/>
                      <a:ext cx="332231" cy="106679"/>
                    </a:xfrm>
                    <a:prstGeom prst="rect">
                      <a:avLst/>
                    </a:prstGeom>
                  </pic:spPr>
                </pic:pic>
              </a:graphicData>
            </a:graphic>
          </wp:anchor>
        </w:drawing>
      </w:r>
      <w:r>
        <w:t>The investigating authority is not exempt from the requirement to disclose a fact because interested parties made no further arguments on a particular issue.</w:t>
      </w:r>
      <w:r>
        <w:rPr>
          <w:vertAlign w:val="superscript"/>
        </w:rPr>
        <w:t>1182</w:t>
      </w:r>
      <w:r>
        <w:t xml:space="preserve"> The panel in </w:t>
      </w:r>
      <w:r>
        <w:rPr>
          <w:i/>
        </w:rPr>
        <w:t xml:space="preserve">China – GOES </w:t>
      </w:r>
      <w:r>
        <w:t>found that "[Article] 6.9 of the Anti‐Dumping Agreement [is] not a m</w:t>
      </w:r>
      <w:r>
        <w:t>eans by which authorities respond to arguments made by interested parties".</w:t>
      </w:r>
      <w:r>
        <w:rPr>
          <w:vertAlign w:val="superscript"/>
        </w:rPr>
        <w:t>1183</w:t>
      </w:r>
      <w:r>
        <w:t xml:space="preserve"> Investigating authorities remain subject to that disclosure obligation even with respect to confidential information. The panel in </w:t>
      </w:r>
      <w:r>
        <w:rPr>
          <w:i/>
        </w:rPr>
        <w:t xml:space="preserve">China – GOES </w:t>
      </w:r>
      <w:r>
        <w:t>found that an investigating auth</w:t>
      </w:r>
      <w:r>
        <w:t>ority could meet its Article 6.9 obligations in respect of confidential information by providing a "non‐confidential summary of the information" to parties.</w:t>
      </w:r>
      <w:r>
        <w:rPr>
          <w:vertAlign w:val="superscript"/>
        </w:rPr>
        <w:t>1184</w:t>
      </w:r>
    </w:p>
    <w:p w14:paraId="51DE9A64" w14:textId="77777777" w:rsidR="0010369C" w:rsidRDefault="0010369C">
      <w:pPr>
        <w:pStyle w:val="BodyText"/>
        <w:rPr>
          <w:sz w:val="20"/>
        </w:rPr>
      </w:pPr>
    </w:p>
    <w:p w14:paraId="51DE9A65" w14:textId="77777777" w:rsidR="0010369C" w:rsidRDefault="0010369C">
      <w:pPr>
        <w:pStyle w:val="BodyText"/>
        <w:rPr>
          <w:sz w:val="20"/>
        </w:rPr>
      </w:pPr>
    </w:p>
    <w:p w14:paraId="51DE9A66" w14:textId="77777777" w:rsidR="0010369C" w:rsidRDefault="0010369C">
      <w:pPr>
        <w:pStyle w:val="BodyText"/>
        <w:rPr>
          <w:sz w:val="20"/>
        </w:rPr>
      </w:pPr>
    </w:p>
    <w:p w14:paraId="51DE9A67" w14:textId="77777777" w:rsidR="0010369C" w:rsidRDefault="008E43AE">
      <w:pPr>
        <w:pStyle w:val="BodyText"/>
        <w:spacing w:before="8"/>
        <w:rPr>
          <w:sz w:val="22"/>
        </w:rPr>
      </w:pPr>
      <w:r>
        <w:pict w14:anchorId="51DEA8A2">
          <v:rect id="docshape1398" o:spid="_x0000_s1083" style="position:absolute;margin-left:70.9pt;margin-top:15.05pt;width:2in;height:.8pt;z-index:-250686976;mso-wrap-distance-left:0;mso-wrap-distance-right:0;mso-position-horizontal-relative:page" fillcolor="black" stroked="f">
            <w10:wrap type="topAndBottom" anchorx="page"/>
          </v:rect>
        </w:pict>
      </w:r>
    </w:p>
    <w:p w14:paraId="51DE9A68" w14:textId="77777777" w:rsidR="0010369C" w:rsidRDefault="008E43AE">
      <w:pPr>
        <w:spacing w:before="109"/>
        <w:ind w:left="238" w:right="3198"/>
        <w:jc w:val="both"/>
        <w:rPr>
          <w:sz w:val="18"/>
        </w:rPr>
      </w:pPr>
      <w:r>
        <w:rPr>
          <w:sz w:val="18"/>
          <w:vertAlign w:val="superscript"/>
        </w:rPr>
        <w:t>1176</w:t>
      </w:r>
      <w:r>
        <w:rPr>
          <w:spacing w:val="-2"/>
          <w:sz w:val="18"/>
        </w:rPr>
        <w:t xml:space="preserve"> </w:t>
      </w:r>
      <w:r>
        <w:rPr>
          <w:sz w:val="18"/>
        </w:rPr>
        <w:t>Appellate</w:t>
      </w:r>
      <w:r>
        <w:rPr>
          <w:spacing w:val="-2"/>
          <w:sz w:val="18"/>
        </w:rPr>
        <w:t xml:space="preserve"> </w:t>
      </w:r>
      <w:r>
        <w:rPr>
          <w:sz w:val="18"/>
        </w:rPr>
        <w:t>Body</w:t>
      </w:r>
      <w:r>
        <w:rPr>
          <w:spacing w:val="-4"/>
          <w:sz w:val="18"/>
        </w:rPr>
        <w:t xml:space="preserve"> </w:t>
      </w:r>
      <w:r>
        <w:rPr>
          <w:sz w:val="18"/>
        </w:rPr>
        <w:t>Reports,</w:t>
      </w:r>
      <w:r>
        <w:rPr>
          <w:spacing w:val="-2"/>
          <w:sz w:val="18"/>
        </w:rPr>
        <w:t xml:space="preserve"> </w:t>
      </w:r>
      <w:r>
        <w:rPr>
          <w:i/>
          <w:sz w:val="18"/>
        </w:rPr>
        <w:t>China</w:t>
      </w:r>
      <w:r>
        <w:rPr>
          <w:i/>
          <w:spacing w:val="-2"/>
          <w:sz w:val="18"/>
        </w:rPr>
        <w:t xml:space="preserve"> </w:t>
      </w:r>
      <w:r>
        <w:rPr>
          <w:i/>
          <w:sz w:val="18"/>
        </w:rPr>
        <w:t>–</w:t>
      </w:r>
      <w:r>
        <w:rPr>
          <w:i/>
          <w:spacing w:val="-2"/>
          <w:sz w:val="18"/>
        </w:rPr>
        <w:t xml:space="preserve"> </w:t>
      </w:r>
      <w:r>
        <w:rPr>
          <w:i/>
          <w:sz w:val="18"/>
        </w:rPr>
        <w:t>HP‐SSST</w:t>
      </w:r>
      <w:r>
        <w:rPr>
          <w:i/>
          <w:spacing w:val="-2"/>
          <w:sz w:val="18"/>
        </w:rPr>
        <w:t xml:space="preserve"> </w:t>
      </w:r>
      <w:r>
        <w:rPr>
          <w:i/>
          <w:sz w:val="18"/>
        </w:rPr>
        <w:t>(Japan)</w:t>
      </w:r>
      <w:r>
        <w:rPr>
          <w:i/>
          <w:spacing w:val="-3"/>
          <w:sz w:val="18"/>
        </w:rPr>
        <w:t xml:space="preserve"> </w:t>
      </w:r>
      <w:r>
        <w:rPr>
          <w:i/>
          <w:sz w:val="18"/>
        </w:rPr>
        <w:t>/</w:t>
      </w:r>
      <w:r>
        <w:rPr>
          <w:i/>
          <w:spacing w:val="-2"/>
          <w:sz w:val="18"/>
        </w:rPr>
        <w:t xml:space="preserve"> </w:t>
      </w:r>
      <w:r>
        <w:rPr>
          <w:i/>
          <w:sz w:val="18"/>
        </w:rPr>
        <w:t>China</w:t>
      </w:r>
      <w:r>
        <w:rPr>
          <w:i/>
          <w:spacing w:val="-2"/>
          <w:sz w:val="18"/>
        </w:rPr>
        <w:t xml:space="preserve"> </w:t>
      </w:r>
      <w:r>
        <w:rPr>
          <w:i/>
          <w:sz w:val="18"/>
        </w:rPr>
        <w:t>–</w:t>
      </w:r>
      <w:r>
        <w:rPr>
          <w:i/>
          <w:spacing w:val="-2"/>
          <w:sz w:val="18"/>
        </w:rPr>
        <w:t xml:space="preserve"> </w:t>
      </w:r>
      <w:r>
        <w:rPr>
          <w:i/>
          <w:sz w:val="18"/>
        </w:rPr>
        <w:t>HP‐SSST</w:t>
      </w:r>
      <w:r>
        <w:rPr>
          <w:i/>
          <w:spacing w:val="-2"/>
          <w:sz w:val="18"/>
        </w:rPr>
        <w:t xml:space="preserve"> </w:t>
      </w:r>
      <w:r>
        <w:rPr>
          <w:i/>
          <w:sz w:val="18"/>
        </w:rPr>
        <w:t>(EU)</w:t>
      </w:r>
      <w:r>
        <w:rPr>
          <w:sz w:val="18"/>
        </w:rPr>
        <w:t>,</w:t>
      </w:r>
      <w:r>
        <w:rPr>
          <w:spacing w:val="-3"/>
          <w:sz w:val="18"/>
        </w:rPr>
        <w:t xml:space="preserve"> </w:t>
      </w:r>
      <w:r>
        <w:rPr>
          <w:sz w:val="18"/>
        </w:rPr>
        <w:t>para.</w:t>
      </w:r>
      <w:r>
        <w:rPr>
          <w:spacing w:val="-2"/>
          <w:sz w:val="18"/>
        </w:rPr>
        <w:t xml:space="preserve"> </w:t>
      </w:r>
      <w:r>
        <w:rPr>
          <w:sz w:val="18"/>
        </w:rPr>
        <w:t xml:space="preserve">5.133. </w:t>
      </w:r>
      <w:r>
        <w:rPr>
          <w:sz w:val="18"/>
          <w:vertAlign w:val="superscript"/>
        </w:rPr>
        <w:t>1177</w:t>
      </w:r>
      <w:r>
        <w:rPr>
          <w:spacing w:val="-2"/>
          <w:sz w:val="18"/>
        </w:rPr>
        <w:t xml:space="preserve"> </w:t>
      </w:r>
      <w:r>
        <w:rPr>
          <w:sz w:val="18"/>
        </w:rPr>
        <w:t>Appellate</w:t>
      </w:r>
      <w:r>
        <w:rPr>
          <w:spacing w:val="-2"/>
          <w:sz w:val="18"/>
        </w:rPr>
        <w:t xml:space="preserve"> </w:t>
      </w:r>
      <w:r>
        <w:rPr>
          <w:sz w:val="18"/>
        </w:rPr>
        <w:t>Body</w:t>
      </w:r>
      <w:r>
        <w:rPr>
          <w:spacing w:val="-4"/>
          <w:sz w:val="18"/>
        </w:rPr>
        <w:t xml:space="preserve"> </w:t>
      </w:r>
      <w:r>
        <w:rPr>
          <w:sz w:val="18"/>
        </w:rPr>
        <w:t>Reports,</w:t>
      </w:r>
      <w:r>
        <w:rPr>
          <w:spacing w:val="-2"/>
          <w:sz w:val="18"/>
        </w:rPr>
        <w:t xml:space="preserve"> </w:t>
      </w:r>
      <w:r>
        <w:rPr>
          <w:i/>
          <w:sz w:val="18"/>
        </w:rPr>
        <w:t>China</w:t>
      </w:r>
      <w:r>
        <w:rPr>
          <w:i/>
          <w:spacing w:val="-2"/>
          <w:sz w:val="18"/>
        </w:rPr>
        <w:t xml:space="preserve"> </w:t>
      </w:r>
      <w:r>
        <w:rPr>
          <w:i/>
          <w:sz w:val="18"/>
        </w:rPr>
        <w:t>–</w:t>
      </w:r>
      <w:r>
        <w:rPr>
          <w:i/>
          <w:spacing w:val="-2"/>
          <w:sz w:val="18"/>
        </w:rPr>
        <w:t xml:space="preserve"> </w:t>
      </w:r>
      <w:r>
        <w:rPr>
          <w:i/>
          <w:sz w:val="18"/>
        </w:rPr>
        <w:t>HP‐SSST</w:t>
      </w:r>
      <w:r>
        <w:rPr>
          <w:i/>
          <w:spacing w:val="-2"/>
          <w:sz w:val="18"/>
        </w:rPr>
        <w:t xml:space="preserve"> </w:t>
      </w:r>
      <w:r>
        <w:rPr>
          <w:i/>
          <w:sz w:val="18"/>
        </w:rPr>
        <w:t>(Japan)</w:t>
      </w:r>
      <w:r>
        <w:rPr>
          <w:i/>
          <w:spacing w:val="-3"/>
          <w:sz w:val="18"/>
        </w:rPr>
        <w:t xml:space="preserve"> </w:t>
      </w:r>
      <w:r>
        <w:rPr>
          <w:i/>
          <w:sz w:val="18"/>
        </w:rPr>
        <w:t>/</w:t>
      </w:r>
      <w:r>
        <w:rPr>
          <w:i/>
          <w:spacing w:val="-2"/>
          <w:sz w:val="18"/>
        </w:rPr>
        <w:t xml:space="preserve"> </w:t>
      </w:r>
      <w:r>
        <w:rPr>
          <w:i/>
          <w:sz w:val="18"/>
        </w:rPr>
        <w:t>China</w:t>
      </w:r>
      <w:r>
        <w:rPr>
          <w:i/>
          <w:spacing w:val="-2"/>
          <w:sz w:val="18"/>
        </w:rPr>
        <w:t xml:space="preserve"> </w:t>
      </w:r>
      <w:r>
        <w:rPr>
          <w:i/>
          <w:sz w:val="18"/>
        </w:rPr>
        <w:t>–</w:t>
      </w:r>
      <w:r>
        <w:rPr>
          <w:i/>
          <w:spacing w:val="-2"/>
          <w:sz w:val="18"/>
        </w:rPr>
        <w:t xml:space="preserve"> </w:t>
      </w:r>
      <w:r>
        <w:rPr>
          <w:i/>
          <w:sz w:val="18"/>
        </w:rPr>
        <w:t>HP‐SSST</w:t>
      </w:r>
      <w:r>
        <w:rPr>
          <w:i/>
          <w:spacing w:val="-2"/>
          <w:sz w:val="18"/>
        </w:rPr>
        <w:t xml:space="preserve"> </w:t>
      </w:r>
      <w:r>
        <w:rPr>
          <w:i/>
          <w:sz w:val="18"/>
        </w:rPr>
        <w:t>(EU)</w:t>
      </w:r>
      <w:r>
        <w:rPr>
          <w:sz w:val="18"/>
        </w:rPr>
        <w:t>,</w:t>
      </w:r>
      <w:r>
        <w:rPr>
          <w:spacing w:val="-3"/>
          <w:sz w:val="18"/>
        </w:rPr>
        <w:t xml:space="preserve"> </w:t>
      </w:r>
      <w:r>
        <w:rPr>
          <w:sz w:val="18"/>
        </w:rPr>
        <w:t>para.</w:t>
      </w:r>
      <w:r>
        <w:rPr>
          <w:spacing w:val="-2"/>
          <w:sz w:val="18"/>
        </w:rPr>
        <w:t xml:space="preserve"> </w:t>
      </w:r>
      <w:r>
        <w:rPr>
          <w:sz w:val="18"/>
        </w:rPr>
        <w:t xml:space="preserve">5.131. </w:t>
      </w:r>
      <w:r>
        <w:rPr>
          <w:sz w:val="18"/>
          <w:vertAlign w:val="superscript"/>
        </w:rPr>
        <w:t>1178</w:t>
      </w:r>
      <w:r>
        <w:rPr>
          <w:sz w:val="18"/>
        </w:rPr>
        <w:t xml:space="preserve"> Panel Report, </w:t>
      </w:r>
      <w:r>
        <w:rPr>
          <w:i/>
          <w:sz w:val="18"/>
        </w:rPr>
        <w:t>US – Ripe Olives from Spain</w:t>
      </w:r>
      <w:r>
        <w:rPr>
          <w:sz w:val="18"/>
        </w:rPr>
        <w:t>, para. 7.386.</w:t>
      </w:r>
    </w:p>
    <w:p w14:paraId="51DE9A69" w14:textId="77777777" w:rsidR="0010369C" w:rsidRDefault="008E43AE">
      <w:pPr>
        <w:spacing w:line="219" w:lineRule="exact"/>
        <w:ind w:left="238"/>
        <w:jc w:val="both"/>
        <w:rPr>
          <w:sz w:val="18"/>
        </w:rPr>
      </w:pPr>
      <w:r>
        <w:rPr>
          <w:sz w:val="18"/>
          <w:vertAlign w:val="superscript"/>
        </w:rPr>
        <w:t>1179</w:t>
      </w:r>
      <w:r>
        <w:rPr>
          <w:spacing w:val="-9"/>
          <w:sz w:val="18"/>
        </w:rPr>
        <w:t xml:space="preserve"> </w:t>
      </w:r>
      <w:r>
        <w:rPr>
          <w:sz w:val="18"/>
        </w:rPr>
        <w:t>Panel</w:t>
      </w:r>
      <w:r>
        <w:rPr>
          <w:spacing w:val="-9"/>
          <w:sz w:val="18"/>
        </w:rPr>
        <w:t xml:space="preserve"> </w:t>
      </w:r>
      <w:r>
        <w:rPr>
          <w:sz w:val="18"/>
        </w:rPr>
        <w:t>Report,</w:t>
      </w:r>
      <w:r>
        <w:rPr>
          <w:spacing w:val="-8"/>
          <w:sz w:val="18"/>
        </w:rPr>
        <w:t xml:space="preserve"> </w:t>
      </w:r>
      <w:r>
        <w:rPr>
          <w:i/>
          <w:sz w:val="18"/>
        </w:rPr>
        <w:t>Argentina</w:t>
      </w:r>
      <w:r>
        <w:rPr>
          <w:i/>
          <w:spacing w:val="-9"/>
          <w:sz w:val="18"/>
        </w:rPr>
        <w:t xml:space="preserve"> </w:t>
      </w:r>
      <w:r>
        <w:rPr>
          <w:i/>
          <w:sz w:val="18"/>
        </w:rPr>
        <w:t>–</w:t>
      </w:r>
      <w:r>
        <w:rPr>
          <w:i/>
          <w:spacing w:val="-8"/>
          <w:sz w:val="18"/>
        </w:rPr>
        <w:t xml:space="preserve"> </w:t>
      </w:r>
      <w:r>
        <w:rPr>
          <w:i/>
          <w:sz w:val="18"/>
        </w:rPr>
        <w:t>Poultry</w:t>
      </w:r>
      <w:r>
        <w:rPr>
          <w:i/>
          <w:spacing w:val="-9"/>
          <w:sz w:val="18"/>
        </w:rPr>
        <w:t xml:space="preserve"> </w:t>
      </w:r>
      <w:r>
        <w:rPr>
          <w:i/>
          <w:sz w:val="18"/>
        </w:rPr>
        <w:t>Anti‐Dumping</w:t>
      </w:r>
      <w:r>
        <w:rPr>
          <w:i/>
          <w:spacing w:val="-8"/>
          <w:sz w:val="18"/>
        </w:rPr>
        <w:t xml:space="preserve"> </w:t>
      </w:r>
      <w:r>
        <w:rPr>
          <w:i/>
          <w:sz w:val="18"/>
        </w:rPr>
        <w:t>Duties</w:t>
      </w:r>
      <w:r>
        <w:rPr>
          <w:sz w:val="18"/>
        </w:rPr>
        <w:t>,</w:t>
      </w:r>
      <w:r>
        <w:rPr>
          <w:spacing w:val="-9"/>
          <w:sz w:val="18"/>
        </w:rPr>
        <w:t xml:space="preserve"> </w:t>
      </w:r>
      <w:r>
        <w:rPr>
          <w:sz w:val="18"/>
        </w:rPr>
        <w:t>para.</w:t>
      </w:r>
      <w:r>
        <w:rPr>
          <w:spacing w:val="-8"/>
          <w:sz w:val="18"/>
        </w:rPr>
        <w:t xml:space="preserve"> </w:t>
      </w:r>
      <w:r>
        <w:rPr>
          <w:spacing w:val="-2"/>
          <w:sz w:val="18"/>
        </w:rPr>
        <w:t>7.228.</w:t>
      </w:r>
    </w:p>
    <w:p w14:paraId="51DE9A6A" w14:textId="77777777" w:rsidR="0010369C" w:rsidRDefault="008E43AE">
      <w:pPr>
        <w:ind w:left="238" w:right="3684"/>
        <w:rPr>
          <w:sz w:val="18"/>
        </w:rPr>
      </w:pPr>
      <w:r>
        <w:rPr>
          <w:sz w:val="18"/>
          <w:vertAlign w:val="superscript"/>
        </w:rPr>
        <w:t>1180</w:t>
      </w:r>
      <w:r>
        <w:rPr>
          <w:sz w:val="18"/>
        </w:rPr>
        <w:t xml:space="preserve"> Panel Report, </w:t>
      </w:r>
      <w:r>
        <w:rPr>
          <w:i/>
          <w:sz w:val="18"/>
        </w:rPr>
        <w:t>Argentina – Poultry Anti‐Dumping Duties</w:t>
      </w:r>
      <w:r>
        <w:rPr>
          <w:sz w:val="18"/>
        </w:rPr>
        <w:t xml:space="preserve">, paras. 7.224‐7.225. </w:t>
      </w:r>
      <w:r>
        <w:rPr>
          <w:sz w:val="18"/>
          <w:vertAlign w:val="superscript"/>
        </w:rPr>
        <w:t>1181</w:t>
      </w:r>
      <w:r>
        <w:rPr>
          <w:spacing w:val="-2"/>
          <w:sz w:val="18"/>
        </w:rPr>
        <w:t xml:space="preserve"> </w:t>
      </w:r>
      <w:r>
        <w:rPr>
          <w:sz w:val="18"/>
        </w:rPr>
        <w:t>Panel</w:t>
      </w:r>
      <w:r>
        <w:rPr>
          <w:spacing w:val="-3"/>
          <w:sz w:val="18"/>
        </w:rPr>
        <w:t xml:space="preserve"> </w:t>
      </w:r>
      <w:r>
        <w:rPr>
          <w:sz w:val="18"/>
        </w:rPr>
        <w:t>Report,</w:t>
      </w:r>
      <w:r>
        <w:rPr>
          <w:spacing w:val="-2"/>
          <w:sz w:val="18"/>
        </w:rPr>
        <w:t xml:space="preserve"> </w:t>
      </w:r>
      <w:r>
        <w:rPr>
          <w:i/>
          <w:sz w:val="18"/>
        </w:rPr>
        <w:t>China</w:t>
      </w:r>
      <w:r>
        <w:rPr>
          <w:i/>
          <w:spacing w:val="-2"/>
          <w:sz w:val="18"/>
        </w:rPr>
        <w:t xml:space="preserve"> </w:t>
      </w:r>
      <w:r>
        <w:rPr>
          <w:i/>
          <w:sz w:val="18"/>
        </w:rPr>
        <w:t>–</w:t>
      </w:r>
      <w:r>
        <w:rPr>
          <w:i/>
          <w:spacing w:val="-2"/>
          <w:sz w:val="18"/>
        </w:rPr>
        <w:t xml:space="preserve"> </w:t>
      </w:r>
      <w:r>
        <w:rPr>
          <w:i/>
          <w:sz w:val="18"/>
        </w:rPr>
        <w:t>Broiler</w:t>
      </w:r>
      <w:r>
        <w:rPr>
          <w:i/>
          <w:spacing w:val="-3"/>
          <w:sz w:val="18"/>
        </w:rPr>
        <w:t xml:space="preserve"> </w:t>
      </w:r>
      <w:r>
        <w:rPr>
          <w:i/>
          <w:sz w:val="18"/>
        </w:rPr>
        <w:t>Products</w:t>
      </w:r>
      <w:r>
        <w:rPr>
          <w:i/>
          <w:spacing w:val="-3"/>
          <w:sz w:val="18"/>
        </w:rPr>
        <w:t xml:space="preserve"> </w:t>
      </w:r>
      <w:r>
        <w:rPr>
          <w:i/>
          <w:sz w:val="18"/>
        </w:rPr>
        <w:t>(Article</w:t>
      </w:r>
      <w:r>
        <w:rPr>
          <w:i/>
          <w:spacing w:val="-2"/>
          <w:sz w:val="18"/>
        </w:rPr>
        <w:t xml:space="preserve"> </w:t>
      </w:r>
      <w:r>
        <w:rPr>
          <w:i/>
          <w:sz w:val="18"/>
        </w:rPr>
        <w:t>21.5</w:t>
      </w:r>
      <w:r>
        <w:rPr>
          <w:i/>
          <w:spacing w:val="-2"/>
          <w:sz w:val="18"/>
        </w:rPr>
        <w:t xml:space="preserve"> </w:t>
      </w:r>
      <w:r>
        <w:rPr>
          <w:i/>
          <w:sz w:val="18"/>
        </w:rPr>
        <w:t>–</w:t>
      </w:r>
      <w:r>
        <w:rPr>
          <w:i/>
          <w:spacing w:val="-2"/>
          <w:sz w:val="18"/>
        </w:rPr>
        <w:t xml:space="preserve"> </w:t>
      </w:r>
      <w:r>
        <w:rPr>
          <w:i/>
          <w:sz w:val="18"/>
        </w:rPr>
        <w:t>US)</w:t>
      </w:r>
      <w:r>
        <w:rPr>
          <w:sz w:val="18"/>
        </w:rPr>
        <w:t>,</w:t>
      </w:r>
      <w:r>
        <w:rPr>
          <w:spacing w:val="-3"/>
          <w:sz w:val="18"/>
        </w:rPr>
        <w:t xml:space="preserve"> </w:t>
      </w:r>
      <w:r>
        <w:rPr>
          <w:sz w:val="18"/>
        </w:rPr>
        <w:t>paras.</w:t>
      </w:r>
      <w:r>
        <w:rPr>
          <w:spacing w:val="-3"/>
          <w:sz w:val="18"/>
        </w:rPr>
        <w:t xml:space="preserve"> </w:t>
      </w:r>
      <w:r>
        <w:rPr>
          <w:sz w:val="18"/>
        </w:rPr>
        <w:t xml:space="preserve">7.376‐7.378. </w:t>
      </w:r>
      <w:r>
        <w:rPr>
          <w:sz w:val="18"/>
          <w:vertAlign w:val="superscript"/>
        </w:rPr>
        <w:t>1182</w:t>
      </w:r>
      <w:r>
        <w:rPr>
          <w:sz w:val="18"/>
        </w:rPr>
        <w:t xml:space="preserve"> Panel Report, </w:t>
      </w:r>
      <w:r>
        <w:rPr>
          <w:i/>
          <w:sz w:val="18"/>
        </w:rPr>
        <w:t>China – GOES</w:t>
      </w:r>
      <w:r>
        <w:rPr>
          <w:sz w:val="18"/>
        </w:rPr>
        <w:t>, para. 7.651.</w:t>
      </w:r>
    </w:p>
    <w:p w14:paraId="51DE9A6B" w14:textId="77777777" w:rsidR="0010369C" w:rsidRDefault="008E43AE">
      <w:pPr>
        <w:spacing w:before="1"/>
        <w:ind w:left="238"/>
        <w:rPr>
          <w:sz w:val="18"/>
        </w:rPr>
      </w:pPr>
      <w:r>
        <w:rPr>
          <w:sz w:val="18"/>
          <w:vertAlign w:val="superscript"/>
        </w:rPr>
        <w:t>1183</w:t>
      </w:r>
      <w:r>
        <w:rPr>
          <w:spacing w:val="-6"/>
          <w:sz w:val="18"/>
        </w:rPr>
        <w:t xml:space="preserve"> </w:t>
      </w:r>
      <w:r>
        <w:rPr>
          <w:sz w:val="18"/>
        </w:rPr>
        <w:t>Panel</w:t>
      </w:r>
      <w:r>
        <w:rPr>
          <w:spacing w:val="-6"/>
          <w:sz w:val="18"/>
        </w:rPr>
        <w:t xml:space="preserve"> </w:t>
      </w:r>
      <w:r>
        <w:rPr>
          <w:sz w:val="18"/>
        </w:rPr>
        <w:t>Report,</w:t>
      </w:r>
      <w:r>
        <w:rPr>
          <w:spacing w:val="-5"/>
          <w:sz w:val="18"/>
        </w:rPr>
        <w:t xml:space="preserve"> </w:t>
      </w:r>
      <w:r>
        <w:rPr>
          <w:i/>
          <w:sz w:val="18"/>
        </w:rPr>
        <w:t>China</w:t>
      </w:r>
      <w:r>
        <w:rPr>
          <w:i/>
          <w:spacing w:val="-6"/>
          <w:sz w:val="18"/>
        </w:rPr>
        <w:t xml:space="preserve"> </w:t>
      </w:r>
      <w:r>
        <w:rPr>
          <w:i/>
          <w:sz w:val="18"/>
        </w:rPr>
        <w:t>–</w:t>
      </w:r>
      <w:r>
        <w:rPr>
          <w:i/>
          <w:spacing w:val="-5"/>
          <w:sz w:val="18"/>
        </w:rPr>
        <w:t xml:space="preserve"> </w:t>
      </w:r>
      <w:r>
        <w:rPr>
          <w:i/>
          <w:sz w:val="18"/>
        </w:rPr>
        <w:t>GOES</w:t>
      </w:r>
      <w:r>
        <w:rPr>
          <w:sz w:val="18"/>
        </w:rPr>
        <w:t>,</w:t>
      </w:r>
      <w:r>
        <w:rPr>
          <w:spacing w:val="-6"/>
          <w:sz w:val="18"/>
        </w:rPr>
        <w:t xml:space="preserve"> </w:t>
      </w:r>
      <w:r>
        <w:rPr>
          <w:sz w:val="18"/>
        </w:rPr>
        <w:t>para.</w:t>
      </w:r>
      <w:r>
        <w:rPr>
          <w:spacing w:val="-6"/>
          <w:sz w:val="18"/>
        </w:rPr>
        <w:t xml:space="preserve"> </w:t>
      </w:r>
      <w:r>
        <w:rPr>
          <w:spacing w:val="-2"/>
          <w:sz w:val="18"/>
        </w:rPr>
        <w:t>7.651.</w:t>
      </w:r>
    </w:p>
    <w:p w14:paraId="51DE9A6C" w14:textId="77777777" w:rsidR="0010369C" w:rsidRDefault="008E43AE">
      <w:pPr>
        <w:ind w:left="238"/>
        <w:rPr>
          <w:sz w:val="18"/>
        </w:rPr>
      </w:pPr>
      <w:r>
        <w:rPr>
          <w:sz w:val="18"/>
          <w:vertAlign w:val="superscript"/>
        </w:rPr>
        <w:t>1184</w:t>
      </w:r>
      <w:r>
        <w:rPr>
          <w:spacing w:val="-6"/>
          <w:sz w:val="18"/>
        </w:rPr>
        <w:t xml:space="preserve"> </w:t>
      </w:r>
      <w:r>
        <w:rPr>
          <w:sz w:val="18"/>
        </w:rPr>
        <w:t>Panel</w:t>
      </w:r>
      <w:r>
        <w:rPr>
          <w:spacing w:val="-6"/>
          <w:sz w:val="18"/>
        </w:rPr>
        <w:t xml:space="preserve"> </w:t>
      </w:r>
      <w:r>
        <w:rPr>
          <w:sz w:val="18"/>
        </w:rPr>
        <w:t>Report,</w:t>
      </w:r>
      <w:r>
        <w:rPr>
          <w:spacing w:val="-5"/>
          <w:sz w:val="18"/>
        </w:rPr>
        <w:t xml:space="preserve"> </w:t>
      </w:r>
      <w:r>
        <w:rPr>
          <w:i/>
          <w:sz w:val="18"/>
        </w:rPr>
        <w:t>China</w:t>
      </w:r>
      <w:r>
        <w:rPr>
          <w:i/>
          <w:spacing w:val="-6"/>
          <w:sz w:val="18"/>
        </w:rPr>
        <w:t xml:space="preserve"> </w:t>
      </w:r>
      <w:r>
        <w:rPr>
          <w:i/>
          <w:sz w:val="18"/>
        </w:rPr>
        <w:t>–</w:t>
      </w:r>
      <w:r>
        <w:rPr>
          <w:i/>
          <w:spacing w:val="-5"/>
          <w:sz w:val="18"/>
        </w:rPr>
        <w:t xml:space="preserve"> </w:t>
      </w:r>
      <w:r>
        <w:rPr>
          <w:i/>
          <w:sz w:val="18"/>
        </w:rPr>
        <w:t>GOES</w:t>
      </w:r>
      <w:r>
        <w:rPr>
          <w:sz w:val="18"/>
        </w:rPr>
        <w:t>,</w:t>
      </w:r>
      <w:r>
        <w:rPr>
          <w:spacing w:val="-6"/>
          <w:sz w:val="18"/>
        </w:rPr>
        <w:t xml:space="preserve"> </w:t>
      </w:r>
      <w:r>
        <w:rPr>
          <w:sz w:val="18"/>
        </w:rPr>
        <w:t>para.</w:t>
      </w:r>
      <w:r>
        <w:rPr>
          <w:spacing w:val="-6"/>
          <w:sz w:val="18"/>
        </w:rPr>
        <w:t xml:space="preserve"> </w:t>
      </w:r>
      <w:r>
        <w:rPr>
          <w:spacing w:val="-2"/>
          <w:sz w:val="18"/>
        </w:rPr>
        <w:t>7.410.</w:t>
      </w:r>
    </w:p>
    <w:p w14:paraId="51DE9A6D" w14:textId="77777777" w:rsidR="0010369C" w:rsidRDefault="0010369C">
      <w:pPr>
        <w:rPr>
          <w:sz w:val="18"/>
        </w:rPr>
        <w:sectPr w:rsidR="0010369C">
          <w:pgSz w:w="11910" w:h="16840"/>
          <w:pgMar w:top="880" w:right="800" w:bottom="980" w:left="1180" w:header="569" w:footer="788" w:gutter="0"/>
          <w:cols w:space="720"/>
        </w:sectPr>
      </w:pPr>
    </w:p>
    <w:p w14:paraId="51DE9A6E" w14:textId="77777777" w:rsidR="0010369C" w:rsidRDefault="008E43AE">
      <w:pPr>
        <w:tabs>
          <w:tab w:val="left" w:pos="6426"/>
        </w:tabs>
        <w:ind w:left="238"/>
        <w:rPr>
          <w:sz w:val="20"/>
        </w:rPr>
      </w:pPr>
      <w:r>
        <w:rPr>
          <w:i/>
          <w:sz w:val="20"/>
        </w:rPr>
        <w:lastRenderedPageBreak/>
        <w:t>China</w:t>
      </w:r>
      <w:r>
        <w:rPr>
          <w:i/>
          <w:spacing w:val="-5"/>
          <w:sz w:val="20"/>
        </w:rPr>
        <w:t xml:space="preserve"> </w:t>
      </w:r>
      <w:r>
        <w:rPr>
          <w:i/>
          <w:sz w:val="20"/>
        </w:rPr>
        <w:t>–</w:t>
      </w:r>
      <w:r>
        <w:rPr>
          <w:i/>
          <w:spacing w:val="-5"/>
          <w:sz w:val="20"/>
        </w:rPr>
        <w:t xml:space="preserve"> </w:t>
      </w:r>
      <w:r>
        <w:rPr>
          <w:i/>
          <w:sz w:val="20"/>
        </w:rPr>
        <w:t>Anti‐Dumping</w:t>
      </w:r>
      <w:r>
        <w:rPr>
          <w:i/>
          <w:spacing w:val="-4"/>
          <w:sz w:val="20"/>
        </w:rPr>
        <w:t xml:space="preserve"> </w:t>
      </w:r>
      <w:r>
        <w:rPr>
          <w:i/>
          <w:sz w:val="20"/>
        </w:rPr>
        <w:t>and</w:t>
      </w:r>
      <w:r>
        <w:rPr>
          <w:i/>
          <w:spacing w:val="-5"/>
          <w:sz w:val="20"/>
        </w:rPr>
        <w:t xml:space="preserve"> </w:t>
      </w:r>
      <w:r>
        <w:rPr>
          <w:i/>
          <w:sz w:val="20"/>
        </w:rPr>
        <w:t>Countervailing</w:t>
      </w:r>
      <w:r>
        <w:rPr>
          <w:i/>
          <w:spacing w:val="-5"/>
          <w:sz w:val="20"/>
        </w:rPr>
        <w:t xml:space="preserve"> </w:t>
      </w:r>
      <w:r>
        <w:rPr>
          <w:i/>
          <w:sz w:val="20"/>
        </w:rPr>
        <w:t>Duty</w:t>
      </w:r>
      <w:r>
        <w:rPr>
          <w:i/>
          <w:spacing w:val="-4"/>
          <w:sz w:val="20"/>
        </w:rPr>
        <w:t xml:space="preserve"> </w:t>
      </w:r>
      <w:r>
        <w:rPr>
          <w:i/>
          <w:spacing w:val="-2"/>
          <w:sz w:val="20"/>
        </w:rPr>
        <w:t>Measures</w:t>
      </w:r>
      <w:r>
        <w:rPr>
          <w:i/>
          <w:sz w:val="20"/>
        </w:rPr>
        <w:tab/>
      </w:r>
      <w:r>
        <w:rPr>
          <w:sz w:val="20"/>
        </w:rPr>
        <w:t>Australia's</w:t>
      </w:r>
      <w:r>
        <w:rPr>
          <w:spacing w:val="-7"/>
          <w:sz w:val="20"/>
        </w:rPr>
        <w:t xml:space="preserve"> </w:t>
      </w:r>
      <w:r>
        <w:rPr>
          <w:sz w:val="20"/>
        </w:rPr>
        <w:t>First</w:t>
      </w:r>
      <w:r>
        <w:rPr>
          <w:spacing w:val="-2"/>
          <w:sz w:val="20"/>
        </w:rPr>
        <w:t xml:space="preserve"> </w:t>
      </w:r>
      <w:r>
        <w:rPr>
          <w:sz w:val="20"/>
        </w:rPr>
        <w:t>Written</w:t>
      </w:r>
      <w:r>
        <w:rPr>
          <w:spacing w:val="-2"/>
          <w:sz w:val="20"/>
        </w:rPr>
        <w:t xml:space="preserve"> Submission</w:t>
      </w:r>
    </w:p>
    <w:p w14:paraId="51DE9A6F" w14:textId="77777777" w:rsidR="0010369C" w:rsidRDefault="008E43AE">
      <w:pPr>
        <w:tabs>
          <w:tab w:val="left" w:pos="8228"/>
        </w:tabs>
        <w:spacing w:before="1"/>
        <w:ind w:left="239"/>
        <w:rPr>
          <w:sz w:val="20"/>
        </w:rPr>
      </w:pPr>
      <w:r>
        <w:rPr>
          <w:i/>
          <w:sz w:val="20"/>
        </w:rPr>
        <w:t>on</w:t>
      </w:r>
      <w:r>
        <w:rPr>
          <w:i/>
          <w:spacing w:val="-1"/>
          <w:sz w:val="20"/>
        </w:rPr>
        <w:t xml:space="preserve"> </w:t>
      </w:r>
      <w:r>
        <w:rPr>
          <w:i/>
          <w:sz w:val="20"/>
        </w:rPr>
        <w:t>Wine</w:t>
      </w:r>
      <w:r>
        <w:rPr>
          <w:i/>
          <w:spacing w:val="-1"/>
          <w:sz w:val="20"/>
        </w:rPr>
        <w:t xml:space="preserve"> </w:t>
      </w:r>
      <w:r>
        <w:rPr>
          <w:i/>
          <w:sz w:val="20"/>
        </w:rPr>
        <w:t>from</w:t>
      </w:r>
      <w:r>
        <w:rPr>
          <w:i/>
          <w:spacing w:val="-3"/>
          <w:sz w:val="20"/>
        </w:rPr>
        <w:t xml:space="preserve"> </w:t>
      </w:r>
      <w:r>
        <w:rPr>
          <w:i/>
          <w:sz w:val="20"/>
        </w:rPr>
        <w:t>Australia</w:t>
      </w:r>
      <w:r>
        <w:rPr>
          <w:i/>
          <w:spacing w:val="-1"/>
          <w:sz w:val="20"/>
        </w:rPr>
        <w:t xml:space="preserve"> </w:t>
      </w:r>
      <w:r>
        <w:rPr>
          <w:spacing w:val="-2"/>
          <w:sz w:val="20"/>
        </w:rPr>
        <w:t>(DS602)</w:t>
      </w:r>
      <w:r>
        <w:rPr>
          <w:sz w:val="20"/>
        </w:rPr>
        <w:tab/>
        <w:t>29</w:t>
      </w:r>
      <w:r>
        <w:rPr>
          <w:spacing w:val="-1"/>
          <w:sz w:val="20"/>
        </w:rPr>
        <w:t xml:space="preserve"> </w:t>
      </w:r>
      <w:r>
        <w:rPr>
          <w:sz w:val="20"/>
        </w:rPr>
        <w:t>April</w:t>
      </w:r>
      <w:r>
        <w:rPr>
          <w:spacing w:val="-2"/>
          <w:sz w:val="20"/>
        </w:rPr>
        <w:t xml:space="preserve"> </w:t>
      </w:r>
      <w:r>
        <w:rPr>
          <w:spacing w:val="-4"/>
          <w:sz w:val="20"/>
        </w:rPr>
        <w:t>2022</w:t>
      </w:r>
    </w:p>
    <w:p w14:paraId="51DE9A70" w14:textId="77777777" w:rsidR="0010369C" w:rsidRDefault="008E43AE">
      <w:pPr>
        <w:pStyle w:val="BodyText"/>
        <w:spacing w:before="34" w:line="360" w:lineRule="auto"/>
        <w:ind w:left="237" w:right="614" w:firstLine="851"/>
        <w:jc w:val="both"/>
      </w:pPr>
      <w:r>
        <w:rPr>
          <w:noProof/>
        </w:rPr>
        <w:drawing>
          <wp:anchor distT="0" distB="0" distL="0" distR="0" simplePos="0" relativeHeight="251595264" behindDoc="1" locked="0" layoutInCell="1" allowOverlap="1" wp14:anchorId="51DEA8A3" wp14:editId="51DEA8A4">
            <wp:simplePos x="0" y="0"/>
            <wp:positionH relativeFrom="page">
              <wp:posOffset>908303</wp:posOffset>
            </wp:positionH>
            <wp:positionV relativeFrom="paragraph">
              <wp:posOffset>69165</wp:posOffset>
            </wp:positionV>
            <wp:extent cx="332231" cy="103631"/>
            <wp:effectExtent l="0" t="0" r="0" b="0"/>
            <wp:wrapNone/>
            <wp:docPr id="1981" name="image1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 name="image1018.png"/>
                    <pic:cNvPicPr/>
                  </pic:nvPicPr>
                  <pic:blipFill>
                    <a:blip r:embed="rId1305" cstate="print"/>
                    <a:stretch>
                      <a:fillRect/>
                    </a:stretch>
                  </pic:blipFill>
                  <pic:spPr>
                    <a:xfrm>
                      <a:off x="0" y="0"/>
                      <a:ext cx="332231" cy="103631"/>
                    </a:xfrm>
                    <a:prstGeom prst="rect">
                      <a:avLst/>
                    </a:prstGeom>
                  </pic:spPr>
                </pic:pic>
              </a:graphicData>
            </a:graphic>
          </wp:anchor>
        </w:drawing>
      </w:r>
      <w:r>
        <w:t>Under Article 6.9, the disclosure of essential facts must take place "before a final determination is made", and with "sufficient time for the parties to defend their interests". The</w:t>
      </w:r>
      <w:r>
        <w:rPr>
          <w:spacing w:val="-9"/>
        </w:rPr>
        <w:t xml:space="preserve"> </w:t>
      </w:r>
      <w:r>
        <w:t>sufficiency</w:t>
      </w:r>
      <w:r>
        <w:rPr>
          <w:spacing w:val="-9"/>
        </w:rPr>
        <w:t xml:space="preserve"> </w:t>
      </w:r>
      <w:r>
        <w:t>of</w:t>
      </w:r>
      <w:r>
        <w:rPr>
          <w:spacing w:val="-11"/>
        </w:rPr>
        <w:t xml:space="preserve"> </w:t>
      </w:r>
      <w:r>
        <w:t>time</w:t>
      </w:r>
      <w:r>
        <w:rPr>
          <w:spacing w:val="-12"/>
        </w:rPr>
        <w:t xml:space="preserve"> </w:t>
      </w:r>
      <w:r>
        <w:t>afforded</w:t>
      </w:r>
      <w:r>
        <w:rPr>
          <w:spacing w:val="-10"/>
        </w:rPr>
        <w:t xml:space="preserve"> </w:t>
      </w:r>
      <w:r>
        <w:t>to</w:t>
      </w:r>
      <w:r>
        <w:rPr>
          <w:spacing w:val="-9"/>
        </w:rPr>
        <w:t xml:space="preserve"> </w:t>
      </w:r>
      <w:r>
        <w:t>interested</w:t>
      </w:r>
      <w:r>
        <w:rPr>
          <w:spacing w:val="-11"/>
        </w:rPr>
        <w:t xml:space="preserve"> </w:t>
      </w:r>
      <w:r>
        <w:t>parties</w:t>
      </w:r>
      <w:r>
        <w:rPr>
          <w:spacing w:val="-10"/>
        </w:rPr>
        <w:t xml:space="preserve"> </w:t>
      </w:r>
      <w:r>
        <w:t>to</w:t>
      </w:r>
      <w:r>
        <w:rPr>
          <w:spacing w:val="-9"/>
        </w:rPr>
        <w:t xml:space="preserve"> </w:t>
      </w:r>
      <w:r>
        <w:t>respond</w:t>
      </w:r>
      <w:r>
        <w:rPr>
          <w:spacing w:val="-10"/>
        </w:rPr>
        <w:t xml:space="preserve"> </w:t>
      </w:r>
      <w:r>
        <w:t>will</w:t>
      </w:r>
      <w:r>
        <w:rPr>
          <w:spacing w:val="-10"/>
        </w:rPr>
        <w:t xml:space="preserve"> </w:t>
      </w:r>
      <w:r>
        <w:t>depend</w:t>
      </w:r>
      <w:r>
        <w:rPr>
          <w:spacing w:val="-10"/>
        </w:rPr>
        <w:t xml:space="preserve"> </w:t>
      </w:r>
      <w:r>
        <w:t>on,</w:t>
      </w:r>
      <w:r>
        <w:rPr>
          <w:spacing w:val="-10"/>
        </w:rPr>
        <w:t xml:space="preserve"> </w:t>
      </w:r>
      <w:r>
        <w:rPr>
          <w:i/>
        </w:rPr>
        <w:t>inter</w:t>
      </w:r>
      <w:r>
        <w:rPr>
          <w:i/>
          <w:spacing w:val="-9"/>
        </w:rPr>
        <w:t xml:space="preserve"> </w:t>
      </w:r>
      <w:r>
        <w:rPr>
          <w:i/>
        </w:rPr>
        <w:t>alia</w:t>
      </w:r>
      <w:r>
        <w:t>,</w:t>
      </w:r>
      <w:r>
        <w:rPr>
          <w:spacing w:val="-10"/>
        </w:rPr>
        <w:t xml:space="preserve"> </w:t>
      </w:r>
      <w:r>
        <w:t>the nature and complexity of the issue to which the parties have to respond in order to defend their interests.</w:t>
      </w:r>
      <w:r>
        <w:rPr>
          <w:vertAlign w:val="superscript"/>
        </w:rPr>
        <w:t>1185</w:t>
      </w:r>
    </w:p>
    <w:p w14:paraId="51DE9A71" w14:textId="77777777" w:rsidR="0010369C" w:rsidRDefault="008E43AE">
      <w:pPr>
        <w:pStyle w:val="Heading4"/>
        <w:numPr>
          <w:ilvl w:val="2"/>
          <w:numId w:val="75"/>
        </w:numPr>
        <w:tabs>
          <w:tab w:val="left" w:pos="2649"/>
          <w:tab w:val="left" w:pos="2650"/>
        </w:tabs>
        <w:spacing w:before="160" w:line="360" w:lineRule="auto"/>
        <w:ind w:right="615"/>
        <w:jc w:val="both"/>
      </w:pPr>
      <w:r>
        <w:t xml:space="preserve">MOFCOM failed to disclose all of the essential facts under </w:t>
      </w:r>
      <w:r>
        <w:rPr>
          <w:spacing w:val="-2"/>
        </w:rPr>
        <w:t>consideration</w:t>
      </w:r>
    </w:p>
    <w:p w14:paraId="51DE9A72" w14:textId="77777777" w:rsidR="0010369C" w:rsidRDefault="008E43AE">
      <w:pPr>
        <w:pStyle w:val="ListParagraph"/>
        <w:numPr>
          <w:ilvl w:val="3"/>
          <w:numId w:val="75"/>
        </w:numPr>
        <w:tabs>
          <w:tab w:val="left" w:pos="3642"/>
          <w:tab w:val="left" w:pos="3643"/>
        </w:tabs>
        <w:spacing w:before="160" w:line="360" w:lineRule="auto"/>
        <w:ind w:right="615" w:hanging="853"/>
        <w:jc w:val="both"/>
        <w:rPr>
          <w:sz w:val="24"/>
        </w:rPr>
      </w:pPr>
      <w:r>
        <w:rPr>
          <w:sz w:val="24"/>
          <w:u w:val="single"/>
        </w:rPr>
        <w:t>Calculation of the output of domestic industry and</w:t>
      </w:r>
      <w:r>
        <w:rPr>
          <w:sz w:val="24"/>
          <w:u w:val="single"/>
        </w:rPr>
        <w:t xml:space="preserve"> the</w:t>
      </w:r>
      <w:r>
        <w:rPr>
          <w:sz w:val="24"/>
        </w:rPr>
        <w:t xml:space="preserve"> </w:t>
      </w:r>
      <w:r>
        <w:rPr>
          <w:sz w:val="24"/>
          <w:u w:val="single"/>
        </w:rPr>
        <w:t>proportion of that production accounted for by the</w:t>
      </w:r>
      <w:r>
        <w:rPr>
          <w:sz w:val="24"/>
        </w:rPr>
        <w:t xml:space="preserve"> </w:t>
      </w:r>
      <w:r>
        <w:rPr>
          <w:sz w:val="24"/>
          <w:u w:val="single"/>
        </w:rPr>
        <w:t>participating Chinese producers</w:t>
      </w:r>
    </w:p>
    <w:p w14:paraId="51DE9A73" w14:textId="77777777" w:rsidR="0010369C" w:rsidRDefault="0010369C">
      <w:pPr>
        <w:pStyle w:val="BodyText"/>
        <w:spacing w:before="11"/>
        <w:rPr>
          <w:sz w:val="8"/>
        </w:rPr>
      </w:pPr>
    </w:p>
    <w:p w14:paraId="51DE9A74" w14:textId="77777777" w:rsidR="0010369C" w:rsidRDefault="008E43AE">
      <w:pPr>
        <w:pStyle w:val="BodyText"/>
        <w:spacing w:before="52" w:line="360" w:lineRule="auto"/>
        <w:ind w:left="236" w:right="614" w:firstLine="852"/>
        <w:jc w:val="both"/>
      </w:pPr>
      <w:r>
        <w:rPr>
          <w:noProof/>
        </w:rPr>
        <w:drawing>
          <wp:anchor distT="0" distB="0" distL="0" distR="0" simplePos="0" relativeHeight="251596288" behindDoc="1" locked="0" layoutInCell="1" allowOverlap="1" wp14:anchorId="51DEA8A5" wp14:editId="51DEA8A6">
            <wp:simplePos x="0" y="0"/>
            <wp:positionH relativeFrom="page">
              <wp:posOffset>908303</wp:posOffset>
            </wp:positionH>
            <wp:positionV relativeFrom="paragraph">
              <wp:posOffset>76023</wp:posOffset>
            </wp:positionV>
            <wp:extent cx="332231" cy="106679"/>
            <wp:effectExtent l="0" t="0" r="0" b="0"/>
            <wp:wrapNone/>
            <wp:docPr id="1983" name="image1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 name="image1019.png"/>
                    <pic:cNvPicPr/>
                  </pic:nvPicPr>
                  <pic:blipFill>
                    <a:blip r:embed="rId1306" cstate="print"/>
                    <a:stretch>
                      <a:fillRect/>
                    </a:stretch>
                  </pic:blipFill>
                  <pic:spPr>
                    <a:xfrm>
                      <a:off x="0" y="0"/>
                      <a:ext cx="332231" cy="106679"/>
                    </a:xfrm>
                    <a:prstGeom prst="rect">
                      <a:avLst/>
                    </a:prstGeom>
                  </pic:spPr>
                </pic:pic>
              </a:graphicData>
            </a:graphic>
          </wp:anchor>
        </w:drawing>
      </w:r>
      <w:r>
        <w:t>MOFCOM acted inconsistently with</w:t>
      </w:r>
      <w:r>
        <w:rPr>
          <w:spacing w:val="-1"/>
        </w:rPr>
        <w:t xml:space="preserve"> </w:t>
      </w:r>
      <w:r>
        <w:t>Article 6.9</w:t>
      </w:r>
      <w:r>
        <w:rPr>
          <w:spacing w:val="-1"/>
        </w:rPr>
        <w:t xml:space="preserve"> </w:t>
      </w:r>
      <w:r>
        <w:t>by failing to sufficiently disclose all</w:t>
      </w:r>
      <w:r>
        <w:rPr>
          <w:spacing w:val="-1"/>
        </w:rPr>
        <w:t xml:space="preserve"> </w:t>
      </w:r>
      <w:r>
        <w:t>of the</w:t>
      </w:r>
      <w:r>
        <w:rPr>
          <w:spacing w:val="-10"/>
        </w:rPr>
        <w:t xml:space="preserve"> </w:t>
      </w:r>
      <w:r>
        <w:t>essential</w:t>
      </w:r>
      <w:r>
        <w:rPr>
          <w:spacing w:val="-12"/>
        </w:rPr>
        <w:t xml:space="preserve"> </w:t>
      </w:r>
      <w:r>
        <w:t>facts</w:t>
      </w:r>
      <w:r>
        <w:rPr>
          <w:spacing w:val="-11"/>
        </w:rPr>
        <w:t xml:space="preserve"> </w:t>
      </w:r>
      <w:r>
        <w:t>relating</w:t>
      </w:r>
      <w:r>
        <w:rPr>
          <w:spacing w:val="-11"/>
        </w:rPr>
        <w:t xml:space="preserve"> </w:t>
      </w:r>
      <w:r>
        <w:t>to</w:t>
      </w:r>
      <w:r>
        <w:rPr>
          <w:spacing w:val="-11"/>
        </w:rPr>
        <w:t xml:space="preserve"> </w:t>
      </w:r>
      <w:r>
        <w:t>its</w:t>
      </w:r>
      <w:r>
        <w:rPr>
          <w:spacing w:val="-11"/>
        </w:rPr>
        <w:t xml:space="preserve"> </w:t>
      </w:r>
      <w:r>
        <w:t>calculation</w:t>
      </w:r>
      <w:r>
        <w:rPr>
          <w:spacing w:val="-12"/>
        </w:rPr>
        <w:t xml:space="preserve"> </w:t>
      </w:r>
      <w:r>
        <w:t>of</w:t>
      </w:r>
      <w:r>
        <w:rPr>
          <w:spacing w:val="-11"/>
        </w:rPr>
        <w:t xml:space="preserve"> </w:t>
      </w:r>
      <w:r>
        <w:t>the</w:t>
      </w:r>
      <w:r>
        <w:rPr>
          <w:spacing w:val="-10"/>
        </w:rPr>
        <w:t xml:space="preserve"> </w:t>
      </w:r>
      <w:r>
        <w:t>output</w:t>
      </w:r>
      <w:r>
        <w:rPr>
          <w:spacing w:val="-11"/>
        </w:rPr>
        <w:t xml:space="preserve"> </w:t>
      </w:r>
      <w:r>
        <w:t>of</w:t>
      </w:r>
      <w:r>
        <w:rPr>
          <w:spacing w:val="-11"/>
        </w:rPr>
        <w:t xml:space="preserve"> </w:t>
      </w:r>
      <w:r>
        <w:t>like</w:t>
      </w:r>
      <w:r>
        <w:rPr>
          <w:spacing w:val="-10"/>
        </w:rPr>
        <w:t xml:space="preserve"> </w:t>
      </w:r>
      <w:r>
        <w:t>products</w:t>
      </w:r>
      <w:r>
        <w:rPr>
          <w:spacing w:val="-12"/>
        </w:rPr>
        <w:t xml:space="preserve"> </w:t>
      </w:r>
      <w:r>
        <w:t>by</w:t>
      </w:r>
      <w:r>
        <w:rPr>
          <w:spacing w:val="-11"/>
        </w:rPr>
        <w:t xml:space="preserve"> </w:t>
      </w:r>
      <w:r>
        <w:t>Chinese</w:t>
      </w:r>
      <w:r>
        <w:rPr>
          <w:spacing w:val="-12"/>
        </w:rPr>
        <w:t xml:space="preserve"> </w:t>
      </w:r>
      <w:r>
        <w:t xml:space="preserve">domestic industry pursuant to Article 4. In particular, MOFCOM failed to disclose all of the essential facts underpinning its calculation of the total Chinese domestic production of like products, which was critical to assessing injury </w:t>
      </w:r>
      <w:r>
        <w:t>to the domestic industry.</w:t>
      </w:r>
    </w:p>
    <w:p w14:paraId="51DE9A75" w14:textId="77777777" w:rsidR="0010369C" w:rsidRDefault="0010369C">
      <w:pPr>
        <w:pStyle w:val="BodyText"/>
        <w:spacing w:before="10"/>
        <w:rPr>
          <w:sz w:val="8"/>
        </w:rPr>
      </w:pPr>
    </w:p>
    <w:p w14:paraId="51DE9A76" w14:textId="77777777" w:rsidR="0010369C" w:rsidRDefault="008E43AE">
      <w:pPr>
        <w:pStyle w:val="BodyText"/>
        <w:spacing w:before="51" w:line="360" w:lineRule="auto"/>
        <w:ind w:left="237" w:right="616" w:firstLine="852"/>
        <w:jc w:val="both"/>
      </w:pPr>
      <w:r>
        <w:rPr>
          <w:noProof/>
        </w:rPr>
        <w:drawing>
          <wp:anchor distT="0" distB="0" distL="0" distR="0" simplePos="0" relativeHeight="251597312" behindDoc="1" locked="0" layoutInCell="1" allowOverlap="1" wp14:anchorId="51DEA8A7" wp14:editId="51DEA8A8">
            <wp:simplePos x="0" y="0"/>
            <wp:positionH relativeFrom="page">
              <wp:posOffset>908303</wp:posOffset>
            </wp:positionH>
            <wp:positionV relativeFrom="paragraph">
              <wp:posOffset>75388</wp:posOffset>
            </wp:positionV>
            <wp:extent cx="332231" cy="106679"/>
            <wp:effectExtent l="0" t="0" r="0" b="0"/>
            <wp:wrapNone/>
            <wp:docPr id="1985" name="image1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 name="image1020.png"/>
                    <pic:cNvPicPr/>
                  </pic:nvPicPr>
                  <pic:blipFill>
                    <a:blip r:embed="rId1307" cstate="print"/>
                    <a:stretch>
                      <a:fillRect/>
                    </a:stretch>
                  </pic:blipFill>
                  <pic:spPr>
                    <a:xfrm>
                      <a:off x="0" y="0"/>
                      <a:ext cx="332231" cy="106679"/>
                    </a:xfrm>
                    <a:prstGeom prst="rect">
                      <a:avLst/>
                    </a:prstGeom>
                  </pic:spPr>
                </pic:pic>
              </a:graphicData>
            </a:graphic>
          </wp:anchor>
        </w:drawing>
      </w:r>
      <w:r>
        <w:t>In</w:t>
      </w:r>
      <w:r>
        <w:rPr>
          <w:spacing w:val="-3"/>
        </w:rPr>
        <w:t xml:space="preserve"> </w:t>
      </w:r>
      <w:r>
        <w:t>its</w:t>
      </w:r>
      <w:r>
        <w:rPr>
          <w:spacing w:val="-3"/>
        </w:rPr>
        <w:t xml:space="preserve"> </w:t>
      </w:r>
      <w:r>
        <w:t>Final</w:t>
      </w:r>
      <w:r>
        <w:rPr>
          <w:spacing w:val="-2"/>
        </w:rPr>
        <w:t xml:space="preserve"> </w:t>
      </w:r>
      <w:r>
        <w:t>Disclosure,</w:t>
      </w:r>
      <w:r>
        <w:rPr>
          <w:spacing w:val="-1"/>
        </w:rPr>
        <w:t xml:space="preserve"> </w:t>
      </w:r>
      <w:r>
        <w:t>MOFCOM</w:t>
      </w:r>
      <w:r>
        <w:rPr>
          <w:spacing w:val="-2"/>
        </w:rPr>
        <w:t xml:space="preserve"> </w:t>
      </w:r>
      <w:r>
        <w:t>claimed</w:t>
      </w:r>
      <w:r>
        <w:rPr>
          <w:spacing w:val="-3"/>
        </w:rPr>
        <w:t xml:space="preserve"> </w:t>
      </w:r>
      <w:r>
        <w:t>that</w:t>
      </w:r>
      <w:r>
        <w:rPr>
          <w:spacing w:val="-3"/>
        </w:rPr>
        <w:t xml:space="preserve"> </w:t>
      </w:r>
      <w:r>
        <w:t>it</w:t>
      </w:r>
      <w:r>
        <w:rPr>
          <w:spacing w:val="-2"/>
        </w:rPr>
        <w:t xml:space="preserve"> </w:t>
      </w:r>
      <w:r>
        <w:t>had</w:t>
      </w:r>
      <w:r>
        <w:rPr>
          <w:spacing w:val="-2"/>
        </w:rPr>
        <w:t xml:space="preserve"> </w:t>
      </w:r>
      <w:r>
        <w:t>identified</w:t>
      </w:r>
      <w:r>
        <w:rPr>
          <w:spacing w:val="-2"/>
        </w:rPr>
        <w:t xml:space="preserve"> </w:t>
      </w:r>
      <w:r>
        <w:t>the</w:t>
      </w:r>
      <w:r>
        <w:rPr>
          <w:spacing w:val="-2"/>
        </w:rPr>
        <w:t xml:space="preserve"> </w:t>
      </w:r>
      <w:r>
        <w:t>scope</w:t>
      </w:r>
      <w:r>
        <w:rPr>
          <w:spacing w:val="-2"/>
        </w:rPr>
        <w:t xml:space="preserve"> </w:t>
      </w:r>
      <w:r>
        <w:t>of</w:t>
      </w:r>
      <w:r>
        <w:rPr>
          <w:spacing w:val="-3"/>
        </w:rPr>
        <w:t xml:space="preserve"> </w:t>
      </w:r>
      <w:r>
        <w:t>domestic industry based on the Domestic Producer Questionnaire responses of 21 Chinese domestic producers, purportedly constituting around 60.72%‐68.72%</w:t>
      </w:r>
      <w:r>
        <w:t xml:space="preserve"> of domestic production over the Injury</w:t>
      </w:r>
      <w:r>
        <w:rPr>
          <w:spacing w:val="-5"/>
        </w:rPr>
        <w:t xml:space="preserve"> </w:t>
      </w:r>
      <w:r>
        <w:t>POI.</w:t>
      </w:r>
      <w:r>
        <w:rPr>
          <w:vertAlign w:val="superscript"/>
        </w:rPr>
        <w:t>1186</w:t>
      </w:r>
      <w:r>
        <w:rPr>
          <w:spacing w:val="-6"/>
        </w:rPr>
        <w:t xml:space="preserve"> </w:t>
      </w:r>
      <w:r>
        <w:t>The</w:t>
      </w:r>
      <w:r>
        <w:rPr>
          <w:spacing w:val="-4"/>
        </w:rPr>
        <w:t xml:space="preserve"> </w:t>
      </w:r>
      <w:r>
        <w:t>calculation</w:t>
      </w:r>
      <w:r>
        <w:rPr>
          <w:spacing w:val="-5"/>
        </w:rPr>
        <w:t xml:space="preserve"> </w:t>
      </w:r>
      <w:r>
        <w:t>of</w:t>
      </w:r>
      <w:r>
        <w:rPr>
          <w:spacing w:val="-5"/>
        </w:rPr>
        <w:t xml:space="preserve"> </w:t>
      </w:r>
      <w:r>
        <w:t>the</w:t>
      </w:r>
      <w:r>
        <w:rPr>
          <w:spacing w:val="-4"/>
        </w:rPr>
        <w:t xml:space="preserve"> </w:t>
      </w:r>
      <w:r>
        <w:t>proportion</w:t>
      </w:r>
      <w:r>
        <w:rPr>
          <w:spacing w:val="-4"/>
        </w:rPr>
        <w:t xml:space="preserve"> </w:t>
      </w:r>
      <w:r>
        <w:t>of</w:t>
      </w:r>
      <w:r>
        <w:rPr>
          <w:spacing w:val="-5"/>
        </w:rPr>
        <w:t xml:space="preserve"> </w:t>
      </w:r>
      <w:r>
        <w:t>domestic</w:t>
      </w:r>
      <w:r>
        <w:rPr>
          <w:spacing w:val="-3"/>
        </w:rPr>
        <w:t xml:space="preserve"> </w:t>
      </w:r>
      <w:r>
        <w:t>production</w:t>
      </w:r>
      <w:r>
        <w:rPr>
          <w:spacing w:val="-5"/>
        </w:rPr>
        <w:t xml:space="preserve"> </w:t>
      </w:r>
      <w:r>
        <w:t>represented</w:t>
      </w:r>
      <w:r>
        <w:rPr>
          <w:spacing w:val="-6"/>
        </w:rPr>
        <w:t xml:space="preserve"> </w:t>
      </w:r>
      <w:r>
        <w:t>by</w:t>
      </w:r>
      <w:r>
        <w:rPr>
          <w:spacing w:val="-5"/>
        </w:rPr>
        <w:t xml:space="preserve"> </w:t>
      </w:r>
      <w:r>
        <w:t>these producers was based on a determination by MOFCOM that the total output of domestic relevant</w:t>
      </w:r>
      <w:r>
        <w:rPr>
          <w:spacing w:val="-9"/>
        </w:rPr>
        <w:t xml:space="preserve"> </w:t>
      </w:r>
      <w:r>
        <w:t>wines</w:t>
      </w:r>
      <w:r>
        <w:rPr>
          <w:spacing w:val="-9"/>
        </w:rPr>
        <w:t xml:space="preserve"> </w:t>
      </w:r>
      <w:r>
        <w:t>was</w:t>
      </w:r>
      <w:r>
        <w:rPr>
          <w:spacing w:val="-9"/>
        </w:rPr>
        <w:t xml:space="preserve"> </w:t>
      </w:r>
      <w:r>
        <w:t>377,600</w:t>
      </w:r>
      <w:r>
        <w:rPr>
          <w:spacing w:val="-10"/>
        </w:rPr>
        <w:t xml:space="preserve"> </w:t>
      </w:r>
      <w:r>
        <w:t>kl,</w:t>
      </w:r>
      <w:r>
        <w:rPr>
          <w:spacing w:val="-9"/>
        </w:rPr>
        <w:t xml:space="preserve"> </w:t>
      </w:r>
      <w:r>
        <w:t>347,600</w:t>
      </w:r>
      <w:r>
        <w:rPr>
          <w:spacing w:val="-9"/>
        </w:rPr>
        <w:t xml:space="preserve"> </w:t>
      </w:r>
      <w:r>
        <w:t>kl,</w:t>
      </w:r>
      <w:r>
        <w:rPr>
          <w:spacing w:val="-9"/>
        </w:rPr>
        <w:t xml:space="preserve"> </w:t>
      </w:r>
      <w:r>
        <w:t>374,800</w:t>
      </w:r>
      <w:r>
        <w:rPr>
          <w:spacing w:val="-9"/>
        </w:rPr>
        <w:t xml:space="preserve"> </w:t>
      </w:r>
      <w:r>
        <w:t>kl,</w:t>
      </w:r>
      <w:r>
        <w:rPr>
          <w:spacing w:val="-9"/>
        </w:rPr>
        <w:t xml:space="preserve"> </w:t>
      </w:r>
      <w:r>
        <w:t>351,200</w:t>
      </w:r>
      <w:r>
        <w:rPr>
          <w:spacing w:val="-9"/>
        </w:rPr>
        <w:t xml:space="preserve"> </w:t>
      </w:r>
      <w:r>
        <w:t>kl</w:t>
      </w:r>
      <w:r>
        <w:rPr>
          <w:spacing w:val="-9"/>
        </w:rPr>
        <w:t xml:space="preserve"> </w:t>
      </w:r>
      <w:r>
        <w:t>and</w:t>
      </w:r>
      <w:r>
        <w:rPr>
          <w:spacing w:val="-9"/>
        </w:rPr>
        <w:t xml:space="preserve"> </w:t>
      </w:r>
      <w:r>
        <w:t>288,200</w:t>
      </w:r>
      <w:r>
        <w:rPr>
          <w:spacing w:val="-9"/>
        </w:rPr>
        <w:t xml:space="preserve"> </w:t>
      </w:r>
      <w:r>
        <w:t>kl</w:t>
      </w:r>
      <w:r>
        <w:rPr>
          <w:spacing w:val="-9"/>
        </w:rPr>
        <w:t xml:space="preserve"> </w:t>
      </w:r>
      <w:r>
        <w:t>per</w:t>
      </w:r>
      <w:r>
        <w:rPr>
          <w:spacing w:val="-8"/>
        </w:rPr>
        <w:t xml:space="preserve"> </w:t>
      </w:r>
      <w:r>
        <w:t>year</w:t>
      </w:r>
      <w:r>
        <w:rPr>
          <w:spacing w:val="-9"/>
        </w:rPr>
        <w:t xml:space="preserve"> </w:t>
      </w:r>
      <w:r>
        <w:t>from 2015 to 2019, respectively.</w:t>
      </w:r>
      <w:r>
        <w:rPr>
          <w:vertAlign w:val="superscript"/>
        </w:rPr>
        <w:t>1187</w:t>
      </w:r>
    </w:p>
    <w:p w14:paraId="51DE9A77" w14:textId="77777777" w:rsidR="0010369C" w:rsidRDefault="0010369C">
      <w:pPr>
        <w:pStyle w:val="BodyText"/>
        <w:spacing w:before="11"/>
        <w:rPr>
          <w:sz w:val="8"/>
        </w:rPr>
      </w:pPr>
    </w:p>
    <w:p w14:paraId="51DE9A78" w14:textId="77777777" w:rsidR="0010369C" w:rsidRDefault="008E43AE">
      <w:pPr>
        <w:pStyle w:val="BodyText"/>
        <w:spacing w:before="53" w:line="360" w:lineRule="auto"/>
        <w:ind w:left="237" w:right="614" w:firstLine="12"/>
        <w:jc w:val="both"/>
      </w:pPr>
      <w:r>
        <w:rPr>
          <w:noProof/>
        </w:rPr>
        <w:drawing>
          <wp:inline distT="0" distB="0" distL="0" distR="0" wp14:anchorId="51DEA8A9" wp14:editId="51DEA8AA">
            <wp:extent cx="332231" cy="109727"/>
            <wp:effectExtent l="0" t="0" r="0" b="0"/>
            <wp:docPr id="1987" name="image1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 name="image1021.png"/>
                    <pic:cNvPicPr/>
                  </pic:nvPicPr>
                  <pic:blipFill>
                    <a:blip r:embed="rId1308" cstate="print"/>
                    <a:stretch>
                      <a:fillRect/>
                    </a:stretch>
                  </pic:blipFill>
                  <pic:spPr>
                    <a:xfrm>
                      <a:off x="0" y="0"/>
                      <a:ext cx="332231" cy="109727"/>
                    </a:xfrm>
                    <a:prstGeom prst="rect">
                      <a:avLst/>
                    </a:prstGeom>
                  </pic:spPr>
                </pic:pic>
              </a:graphicData>
            </a:graphic>
          </wp:inline>
        </w:drawing>
      </w:r>
      <w:r>
        <w:rPr>
          <w:rFonts w:ascii="Times New Roman"/>
          <w:spacing w:val="80"/>
          <w:w w:val="150"/>
          <w:position w:val="1"/>
          <w:sz w:val="20"/>
        </w:rPr>
        <w:t xml:space="preserve"> </w:t>
      </w:r>
      <w:r>
        <w:rPr>
          <w:position w:val="1"/>
        </w:rPr>
        <w:t>The essential facts underpinning MOFCOM's calculation of total domestic output</w:t>
      </w:r>
      <w:r>
        <w:rPr>
          <w:spacing w:val="40"/>
          <w:position w:val="1"/>
        </w:rPr>
        <w:t xml:space="preserve"> </w:t>
      </w:r>
      <w:r>
        <w:t>were not set out in the Final Disclosure. MOFCOM explained</w:t>
      </w:r>
      <w:r>
        <w:rPr>
          <w:spacing w:val="-1"/>
        </w:rPr>
        <w:t xml:space="preserve"> </w:t>
      </w:r>
      <w:r>
        <w:t>that its findings were not base</w:t>
      </w:r>
      <w:r>
        <w:t>d on</w:t>
      </w:r>
      <w:r>
        <w:rPr>
          <w:spacing w:val="-1"/>
        </w:rPr>
        <w:t xml:space="preserve"> </w:t>
      </w:r>
      <w:r>
        <w:t>actually</w:t>
      </w:r>
      <w:r>
        <w:rPr>
          <w:spacing w:val="-1"/>
        </w:rPr>
        <w:t xml:space="preserve"> </w:t>
      </w:r>
      <w:r>
        <w:t>identifying the</w:t>
      </w:r>
      <w:r>
        <w:rPr>
          <w:spacing w:val="-1"/>
        </w:rPr>
        <w:t xml:space="preserve"> </w:t>
      </w:r>
      <w:r>
        <w:t>real</w:t>
      </w:r>
      <w:r>
        <w:rPr>
          <w:spacing w:val="-1"/>
        </w:rPr>
        <w:t xml:space="preserve"> </w:t>
      </w:r>
      <w:r>
        <w:t>domestic output,</w:t>
      </w:r>
      <w:r>
        <w:rPr>
          <w:spacing w:val="-1"/>
        </w:rPr>
        <w:t xml:space="preserve"> </w:t>
      </w:r>
      <w:r>
        <w:t>but</w:t>
      </w:r>
      <w:r>
        <w:rPr>
          <w:spacing w:val="-1"/>
        </w:rPr>
        <w:t xml:space="preserve"> </w:t>
      </w:r>
      <w:r>
        <w:t>rather</w:t>
      </w:r>
      <w:r>
        <w:rPr>
          <w:spacing w:val="-3"/>
        </w:rPr>
        <w:t xml:space="preserve"> </w:t>
      </w:r>
      <w:r>
        <w:t>by</w:t>
      </w:r>
      <w:r>
        <w:rPr>
          <w:spacing w:val="-1"/>
        </w:rPr>
        <w:t xml:space="preserve"> </w:t>
      </w:r>
      <w:r>
        <w:t>calculating</w:t>
      </w:r>
      <w:r>
        <w:rPr>
          <w:spacing w:val="-1"/>
        </w:rPr>
        <w:t xml:space="preserve"> </w:t>
      </w:r>
      <w:r>
        <w:t>"the</w:t>
      </w:r>
      <w:r>
        <w:rPr>
          <w:spacing w:val="-1"/>
        </w:rPr>
        <w:t xml:space="preserve"> </w:t>
      </w:r>
      <w:r>
        <w:t>overall</w:t>
      </w:r>
      <w:r>
        <w:rPr>
          <w:spacing w:val="-1"/>
        </w:rPr>
        <w:t xml:space="preserve"> </w:t>
      </w:r>
      <w:r>
        <w:t>output by</w:t>
      </w:r>
      <w:r>
        <w:rPr>
          <w:spacing w:val="-14"/>
        </w:rPr>
        <w:t xml:space="preserve"> </w:t>
      </w:r>
      <w:r>
        <w:t>the</w:t>
      </w:r>
      <w:r>
        <w:rPr>
          <w:spacing w:val="-14"/>
        </w:rPr>
        <w:t xml:space="preserve"> </w:t>
      </w:r>
      <w:r>
        <w:t>area</w:t>
      </w:r>
      <w:r>
        <w:rPr>
          <w:spacing w:val="-13"/>
        </w:rPr>
        <w:t xml:space="preserve"> </w:t>
      </w:r>
      <w:r>
        <w:t>of</w:t>
      </w:r>
      <w:r>
        <w:rPr>
          <w:spacing w:val="-14"/>
        </w:rPr>
        <w:t xml:space="preserve"> </w:t>
      </w:r>
      <w:r>
        <w:t>wine</w:t>
      </w:r>
      <w:r>
        <w:rPr>
          <w:spacing w:val="-13"/>
        </w:rPr>
        <w:t xml:space="preserve"> </w:t>
      </w:r>
      <w:r>
        <w:t>grapes,</w:t>
      </w:r>
      <w:r>
        <w:rPr>
          <w:spacing w:val="-14"/>
        </w:rPr>
        <w:t xml:space="preserve"> </w:t>
      </w:r>
      <w:r>
        <w:t>output</w:t>
      </w:r>
      <w:r>
        <w:rPr>
          <w:spacing w:val="-13"/>
        </w:rPr>
        <w:t xml:space="preserve"> </w:t>
      </w:r>
      <w:r>
        <w:t>per</w:t>
      </w:r>
      <w:r>
        <w:rPr>
          <w:spacing w:val="-13"/>
        </w:rPr>
        <w:t xml:space="preserve"> </w:t>
      </w:r>
      <w:r>
        <w:t>acre,</w:t>
      </w:r>
      <w:r>
        <w:rPr>
          <w:spacing w:val="-13"/>
        </w:rPr>
        <w:t xml:space="preserve"> </w:t>
      </w:r>
      <w:r>
        <w:t>wine</w:t>
      </w:r>
      <w:r>
        <w:rPr>
          <w:spacing w:val="-13"/>
        </w:rPr>
        <w:t xml:space="preserve"> </w:t>
      </w:r>
      <w:r>
        <w:t>yield,</w:t>
      </w:r>
      <w:r>
        <w:rPr>
          <w:spacing w:val="-14"/>
        </w:rPr>
        <w:t xml:space="preserve"> </w:t>
      </w:r>
      <w:r>
        <w:t>output</w:t>
      </w:r>
      <w:r>
        <w:rPr>
          <w:spacing w:val="-13"/>
        </w:rPr>
        <w:t xml:space="preserve"> </w:t>
      </w:r>
      <w:r>
        <w:t>and</w:t>
      </w:r>
      <w:r>
        <w:rPr>
          <w:spacing w:val="-14"/>
        </w:rPr>
        <w:t xml:space="preserve"> </w:t>
      </w:r>
      <w:r>
        <w:t>loss</w:t>
      </w:r>
      <w:r>
        <w:rPr>
          <w:spacing w:val="-12"/>
        </w:rPr>
        <w:t xml:space="preserve"> </w:t>
      </w:r>
      <w:r>
        <w:t>of</w:t>
      </w:r>
      <w:r>
        <w:rPr>
          <w:spacing w:val="-13"/>
        </w:rPr>
        <w:t xml:space="preserve"> </w:t>
      </w:r>
      <w:r>
        <w:t>finished</w:t>
      </w:r>
      <w:r>
        <w:rPr>
          <w:spacing w:val="-14"/>
        </w:rPr>
        <w:t xml:space="preserve"> </w:t>
      </w:r>
      <w:r>
        <w:t>wines</w:t>
      </w:r>
      <w:r>
        <w:rPr>
          <w:spacing w:val="-14"/>
        </w:rPr>
        <w:t xml:space="preserve"> </w:t>
      </w:r>
      <w:r>
        <w:t>made from</w:t>
      </w:r>
      <w:r>
        <w:rPr>
          <w:spacing w:val="7"/>
        </w:rPr>
        <w:t xml:space="preserve"> </w:t>
      </w:r>
      <w:r>
        <w:t>imported</w:t>
      </w:r>
      <w:r>
        <w:rPr>
          <w:spacing w:val="7"/>
        </w:rPr>
        <w:t xml:space="preserve"> </w:t>
      </w:r>
      <w:r>
        <w:t>wines,</w:t>
      </w:r>
      <w:r>
        <w:rPr>
          <w:spacing w:val="7"/>
        </w:rPr>
        <w:t xml:space="preserve"> </w:t>
      </w:r>
      <w:r>
        <w:t>and</w:t>
      </w:r>
      <w:r>
        <w:rPr>
          <w:spacing w:val="7"/>
        </w:rPr>
        <w:t xml:space="preserve"> </w:t>
      </w:r>
      <w:r>
        <w:t>the</w:t>
      </w:r>
      <w:r>
        <w:rPr>
          <w:spacing w:val="7"/>
        </w:rPr>
        <w:t xml:space="preserve"> </w:t>
      </w:r>
      <w:r>
        <w:t>production</w:t>
      </w:r>
      <w:r>
        <w:rPr>
          <w:spacing w:val="7"/>
        </w:rPr>
        <w:t xml:space="preserve"> </w:t>
      </w:r>
      <w:r>
        <w:t>proportion</w:t>
      </w:r>
      <w:r>
        <w:rPr>
          <w:spacing w:val="6"/>
        </w:rPr>
        <w:t xml:space="preserve"> </w:t>
      </w:r>
      <w:r>
        <w:t>of</w:t>
      </w:r>
      <w:r>
        <w:rPr>
          <w:spacing w:val="7"/>
        </w:rPr>
        <w:t xml:space="preserve"> </w:t>
      </w:r>
      <w:r>
        <w:t>different</w:t>
      </w:r>
      <w:r>
        <w:rPr>
          <w:spacing w:val="7"/>
        </w:rPr>
        <w:t xml:space="preserve"> </w:t>
      </w:r>
      <w:r>
        <w:t>wines"</w:t>
      </w:r>
      <w:r>
        <w:rPr>
          <w:spacing w:val="6"/>
        </w:rPr>
        <w:t xml:space="preserve"> </w:t>
      </w:r>
      <w:r>
        <w:t>based</w:t>
      </w:r>
      <w:r>
        <w:rPr>
          <w:spacing w:val="8"/>
        </w:rPr>
        <w:t xml:space="preserve"> </w:t>
      </w:r>
      <w:r>
        <w:t>on</w:t>
      </w:r>
      <w:r>
        <w:rPr>
          <w:spacing w:val="7"/>
        </w:rPr>
        <w:t xml:space="preserve"> </w:t>
      </w:r>
      <w:r>
        <w:rPr>
          <w:spacing w:val="-2"/>
        </w:rPr>
        <w:t>statistics</w:t>
      </w:r>
    </w:p>
    <w:p w14:paraId="51DE9A79" w14:textId="77777777" w:rsidR="0010369C" w:rsidRDefault="0010369C">
      <w:pPr>
        <w:pStyle w:val="BodyText"/>
        <w:rPr>
          <w:sz w:val="20"/>
        </w:rPr>
      </w:pPr>
    </w:p>
    <w:p w14:paraId="51DE9A7A" w14:textId="77777777" w:rsidR="0010369C" w:rsidRDefault="008E43AE">
      <w:pPr>
        <w:pStyle w:val="BodyText"/>
        <w:spacing w:before="4"/>
        <w:rPr>
          <w:sz w:val="23"/>
        </w:rPr>
      </w:pPr>
      <w:r>
        <w:pict w14:anchorId="51DEA8AB">
          <v:rect id="docshape1399" o:spid="_x0000_s1082" style="position:absolute;margin-left:70.9pt;margin-top:15.45pt;width:2in;height:.8pt;z-index:-250685952;mso-wrap-distance-left:0;mso-wrap-distance-right:0;mso-position-horizontal-relative:page" fillcolor="black" stroked="f">
            <w10:wrap type="topAndBottom" anchorx="page"/>
          </v:rect>
        </w:pict>
      </w:r>
    </w:p>
    <w:p w14:paraId="51DE9A7B" w14:textId="77777777" w:rsidR="0010369C" w:rsidRDefault="008E43AE">
      <w:pPr>
        <w:spacing w:before="109"/>
        <w:ind w:left="238"/>
        <w:rPr>
          <w:sz w:val="18"/>
        </w:rPr>
      </w:pPr>
      <w:r>
        <w:rPr>
          <w:sz w:val="18"/>
          <w:vertAlign w:val="superscript"/>
        </w:rPr>
        <w:t>1185</w:t>
      </w:r>
      <w:r>
        <w:rPr>
          <w:spacing w:val="-7"/>
          <w:sz w:val="18"/>
        </w:rPr>
        <w:t xml:space="preserve"> </w:t>
      </w:r>
      <w:r>
        <w:rPr>
          <w:sz w:val="18"/>
        </w:rPr>
        <w:t>Panel</w:t>
      </w:r>
      <w:r>
        <w:rPr>
          <w:spacing w:val="-8"/>
          <w:sz w:val="18"/>
        </w:rPr>
        <w:t xml:space="preserve"> </w:t>
      </w:r>
      <w:r>
        <w:rPr>
          <w:sz w:val="18"/>
        </w:rPr>
        <w:t>Report,</w:t>
      </w:r>
      <w:r>
        <w:rPr>
          <w:spacing w:val="-6"/>
          <w:sz w:val="18"/>
        </w:rPr>
        <w:t xml:space="preserve"> </w:t>
      </w:r>
      <w:r>
        <w:rPr>
          <w:i/>
          <w:sz w:val="18"/>
        </w:rPr>
        <w:t>Ukraine</w:t>
      </w:r>
      <w:r>
        <w:rPr>
          <w:i/>
          <w:spacing w:val="-7"/>
          <w:sz w:val="18"/>
        </w:rPr>
        <w:t xml:space="preserve"> </w:t>
      </w:r>
      <w:r>
        <w:rPr>
          <w:i/>
          <w:sz w:val="18"/>
        </w:rPr>
        <w:t>–</w:t>
      </w:r>
      <w:r>
        <w:rPr>
          <w:i/>
          <w:spacing w:val="-7"/>
          <w:sz w:val="18"/>
        </w:rPr>
        <w:t xml:space="preserve"> </w:t>
      </w:r>
      <w:r>
        <w:rPr>
          <w:i/>
          <w:sz w:val="18"/>
        </w:rPr>
        <w:t>Ammonium</w:t>
      </w:r>
      <w:r>
        <w:rPr>
          <w:i/>
          <w:spacing w:val="-7"/>
          <w:sz w:val="18"/>
        </w:rPr>
        <w:t xml:space="preserve"> </w:t>
      </w:r>
      <w:r>
        <w:rPr>
          <w:i/>
          <w:sz w:val="18"/>
        </w:rPr>
        <w:t>Nitrate</w:t>
      </w:r>
      <w:r>
        <w:rPr>
          <w:sz w:val="18"/>
        </w:rPr>
        <w:t>,</w:t>
      </w:r>
      <w:r>
        <w:rPr>
          <w:spacing w:val="-7"/>
          <w:sz w:val="18"/>
        </w:rPr>
        <w:t xml:space="preserve"> </w:t>
      </w:r>
      <w:r>
        <w:rPr>
          <w:sz w:val="18"/>
        </w:rPr>
        <w:t>para.</w:t>
      </w:r>
      <w:r>
        <w:rPr>
          <w:spacing w:val="-7"/>
          <w:sz w:val="18"/>
        </w:rPr>
        <w:t xml:space="preserve"> </w:t>
      </w:r>
      <w:r>
        <w:rPr>
          <w:spacing w:val="-2"/>
          <w:sz w:val="18"/>
        </w:rPr>
        <w:t>7.251.</w:t>
      </w:r>
    </w:p>
    <w:p w14:paraId="51DE9A7C" w14:textId="77777777" w:rsidR="0010369C" w:rsidRDefault="008E43AE">
      <w:pPr>
        <w:ind w:left="238"/>
        <w:rPr>
          <w:sz w:val="18"/>
        </w:rPr>
      </w:pPr>
      <w:r>
        <w:rPr>
          <w:sz w:val="18"/>
          <w:vertAlign w:val="superscript"/>
        </w:rPr>
        <w:t>1186</w:t>
      </w:r>
      <w:r>
        <w:rPr>
          <w:spacing w:val="-8"/>
          <w:sz w:val="18"/>
        </w:rPr>
        <w:t xml:space="preserve"> </w:t>
      </w:r>
      <w:r>
        <w:rPr>
          <w:sz w:val="18"/>
        </w:rPr>
        <w:t>Anti‐Dumping</w:t>
      </w:r>
      <w:r>
        <w:rPr>
          <w:spacing w:val="-8"/>
          <w:sz w:val="18"/>
        </w:rPr>
        <w:t xml:space="preserve"> </w:t>
      </w:r>
      <w:r>
        <w:rPr>
          <w:sz w:val="18"/>
        </w:rPr>
        <w:t>Final</w:t>
      </w:r>
      <w:r>
        <w:rPr>
          <w:spacing w:val="-8"/>
          <w:sz w:val="18"/>
        </w:rPr>
        <w:t xml:space="preserve"> </w:t>
      </w:r>
      <w:r>
        <w:rPr>
          <w:sz w:val="18"/>
        </w:rPr>
        <w:t>Disclosure</w:t>
      </w:r>
      <w:r>
        <w:rPr>
          <w:spacing w:val="-8"/>
          <w:sz w:val="18"/>
        </w:rPr>
        <w:t xml:space="preserve"> </w:t>
      </w:r>
      <w:r>
        <w:rPr>
          <w:sz w:val="18"/>
        </w:rPr>
        <w:t>(Exhibit</w:t>
      </w:r>
      <w:r>
        <w:rPr>
          <w:spacing w:val="-8"/>
          <w:sz w:val="18"/>
        </w:rPr>
        <w:t xml:space="preserve"> </w:t>
      </w:r>
      <w:r>
        <w:rPr>
          <w:sz w:val="18"/>
        </w:rPr>
        <w:t>AUS‐16),</w:t>
      </w:r>
      <w:r>
        <w:rPr>
          <w:spacing w:val="-9"/>
          <w:sz w:val="18"/>
        </w:rPr>
        <w:t xml:space="preserve"> </w:t>
      </w:r>
      <w:r>
        <w:rPr>
          <w:sz w:val="18"/>
        </w:rPr>
        <w:t>p.</w:t>
      </w:r>
      <w:r>
        <w:rPr>
          <w:spacing w:val="-7"/>
          <w:sz w:val="18"/>
        </w:rPr>
        <w:t xml:space="preserve"> </w:t>
      </w:r>
      <w:r>
        <w:rPr>
          <w:spacing w:val="-5"/>
          <w:sz w:val="18"/>
        </w:rPr>
        <w:t>57.</w:t>
      </w:r>
    </w:p>
    <w:p w14:paraId="51DE9A7D" w14:textId="77777777" w:rsidR="0010369C" w:rsidRDefault="008E43AE">
      <w:pPr>
        <w:ind w:left="238"/>
        <w:rPr>
          <w:sz w:val="18"/>
        </w:rPr>
      </w:pPr>
      <w:r>
        <w:rPr>
          <w:sz w:val="18"/>
          <w:vertAlign w:val="superscript"/>
        </w:rPr>
        <w:t>1187</w:t>
      </w:r>
      <w:r>
        <w:rPr>
          <w:spacing w:val="-8"/>
          <w:sz w:val="18"/>
        </w:rPr>
        <w:t xml:space="preserve"> </w:t>
      </w:r>
      <w:r>
        <w:rPr>
          <w:sz w:val="18"/>
        </w:rPr>
        <w:t>Anti‐Dumping</w:t>
      </w:r>
      <w:r>
        <w:rPr>
          <w:spacing w:val="-8"/>
          <w:sz w:val="18"/>
        </w:rPr>
        <w:t xml:space="preserve"> </w:t>
      </w:r>
      <w:r>
        <w:rPr>
          <w:sz w:val="18"/>
        </w:rPr>
        <w:t>Final</w:t>
      </w:r>
      <w:r>
        <w:rPr>
          <w:spacing w:val="-8"/>
          <w:sz w:val="18"/>
        </w:rPr>
        <w:t xml:space="preserve"> </w:t>
      </w:r>
      <w:r>
        <w:rPr>
          <w:sz w:val="18"/>
        </w:rPr>
        <w:t>Disclosure</w:t>
      </w:r>
      <w:r>
        <w:rPr>
          <w:spacing w:val="-8"/>
          <w:sz w:val="18"/>
        </w:rPr>
        <w:t xml:space="preserve"> </w:t>
      </w:r>
      <w:r>
        <w:rPr>
          <w:sz w:val="18"/>
        </w:rPr>
        <w:t>(Exhibit</w:t>
      </w:r>
      <w:r>
        <w:rPr>
          <w:spacing w:val="-8"/>
          <w:sz w:val="18"/>
        </w:rPr>
        <w:t xml:space="preserve"> </w:t>
      </w:r>
      <w:r>
        <w:rPr>
          <w:sz w:val="18"/>
        </w:rPr>
        <w:t>AUS‐16),</w:t>
      </w:r>
      <w:r>
        <w:rPr>
          <w:spacing w:val="-9"/>
          <w:sz w:val="18"/>
        </w:rPr>
        <w:t xml:space="preserve"> </w:t>
      </w:r>
      <w:r>
        <w:rPr>
          <w:sz w:val="18"/>
        </w:rPr>
        <w:t>p.</w:t>
      </w:r>
      <w:r>
        <w:rPr>
          <w:spacing w:val="-7"/>
          <w:sz w:val="18"/>
        </w:rPr>
        <w:t xml:space="preserve"> </w:t>
      </w:r>
      <w:r>
        <w:rPr>
          <w:spacing w:val="-5"/>
          <w:sz w:val="18"/>
        </w:rPr>
        <w:t>58.</w:t>
      </w:r>
    </w:p>
    <w:p w14:paraId="51DE9A7E" w14:textId="77777777" w:rsidR="0010369C" w:rsidRDefault="0010369C">
      <w:pPr>
        <w:rPr>
          <w:sz w:val="18"/>
        </w:rPr>
        <w:sectPr w:rsidR="0010369C">
          <w:pgSz w:w="11910" w:h="16840"/>
          <w:pgMar w:top="880" w:right="800" w:bottom="980" w:left="1180" w:header="569" w:footer="788" w:gutter="0"/>
          <w:cols w:space="720"/>
        </w:sectPr>
      </w:pPr>
    </w:p>
    <w:p w14:paraId="51DE9A7F" w14:textId="77777777" w:rsidR="0010369C" w:rsidRDefault="008E43AE">
      <w:pPr>
        <w:tabs>
          <w:tab w:val="left" w:pos="6426"/>
        </w:tabs>
        <w:ind w:left="238"/>
        <w:jc w:val="both"/>
        <w:rPr>
          <w:sz w:val="20"/>
        </w:rPr>
      </w:pPr>
      <w:r>
        <w:rPr>
          <w:i/>
          <w:sz w:val="20"/>
        </w:rPr>
        <w:lastRenderedPageBreak/>
        <w:t>China</w:t>
      </w:r>
      <w:r>
        <w:rPr>
          <w:i/>
          <w:spacing w:val="-5"/>
          <w:sz w:val="20"/>
        </w:rPr>
        <w:t xml:space="preserve"> </w:t>
      </w:r>
      <w:r>
        <w:rPr>
          <w:i/>
          <w:sz w:val="20"/>
        </w:rPr>
        <w:t>–</w:t>
      </w:r>
      <w:r>
        <w:rPr>
          <w:i/>
          <w:spacing w:val="-5"/>
          <w:sz w:val="20"/>
        </w:rPr>
        <w:t xml:space="preserve"> </w:t>
      </w:r>
      <w:r>
        <w:rPr>
          <w:i/>
          <w:sz w:val="20"/>
        </w:rPr>
        <w:t>Anti‐Dumping</w:t>
      </w:r>
      <w:r>
        <w:rPr>
          <w:i/>
          <w:spacing w:val="-4"/>
          <w:sz w:val="20"/>
        </w:rPr>
        <w:t xml:space="preserve"> </w:t>
      </w:r>
      <w:r>
        <w:rPr>
          <w:i/>
          <w:sz w:val="20"/>
        </w:rPr>
        <w:t>and</w:t>
      </w:r>
      <w:r>
        <w:rPr>
          <w:i/>
          <w:spacing w:val="-5"/>
          <w:sz w:val="20"/>
        </w:rPr>
        <w:t xml:space="preserve"> </w:t>
      </w:r>
      <w:r>
        <w:rPr>
          <w:i/>
          <w:sz w:val="20"/>
        </w:rPr>
        <w:t>Countervailing</w:t>
      </w:r>
      <w:r>
        <w:rPr>
          <w:i/>
          <w:spacing w:val="-5"/>
          <w:sz w:val="20"/>
        </w:rPr>
        <w:t xml:space="preserve"> </w:t>
      </w:r>
      <w:r>
        <w:rPr>
          <w:i/>
          <w:sz w:val="20"/>
        </w:rPr>
        <w:t>Duty</w:t>
      </w:r>
      <w:r>
        <w:rPr>
          <w:i/>
          <w:spacing w:val="-4"/>
          <w:sz w:val="20"/>
        </w:rPr>
        <w:t xml:space="preserve"> </w:t>
      </w:r>
      <w:r>
        <w:rPr>
          <w:i/>
          <w:spacing w:val="-2"/>
          <w:sz w:val="20"/>
        </w:rPr>
        <w:t>Measures</w:t>
      </w:r>
      <w:r>
        <w:rPr>
          <w:i/>
          <w:sz w:val="20"/>
        </w:rPr>
        <w:tab/>
      </w:r>
      <w:r>
        <w:rPr>
          <w:sz w:val="20"/>
        </w:rPr>
        <w:t>Australia's</w:t>
      </w:r>
      <w:r>
        <w:rPr>
          <w:spacing w:val="-7"/>
          <w:sz w:val="20"/>
        </w:rPr>
        <w:t xml:space="preserve"> </w:t>
      </w:r>
      <w:r>
        <w:rPr>
          <w:sz w:val="20"/>
        </w:rPr>
        <w:t>First</w:t>
      </w:r>
      <w:r>
        <w:rPr>
          <w:spacing w:val="-2"/>
          <w:sz w:val="20"/>
        </w:rPr>
        <w:t xml:space="preserve"> </w:t>
      </w:r>
      <w:r>
        <w:rPr>
          <w:sz w:val="20"/>
        </w:rPr>
        <w:t>Written</w:t>
      </w:r>
      <w:r>
        <w:rPr>
          <w:spacing w:val="-2"/>
          <w:sz w:val="20"/>
        </w:rPr>
        <w:t xml:space="preserve"> Submission</w:t>
      </w:r>
    </w:p>
    <w:p w14:paraId="51DE9A80" w14:textId="77777777" w:rsidR="0010369C" w:rsidRDefault="008E43AE">
      <w:pPr>
        <w:tabs>
          <w:tab w:val="left" w:pos="8228"/>
        </w:tabs>
        <w:spacing w:before="1"/>
        <w:ind w:left="239"/>
        <w:jc w:val="both"/>
        <w:rPr>
          <w:sz w:val="20"/>
        </w:rPr>
      </w:pPr>
      <w:r>
        <w:rPr>
          <w:i/>
          <w:sz w:val="20"/>
        </w:rPr>
        <w:t>on</w:t>
      </w:r>
      <w:r>
        <w:rPr>
          <w:i/>
          <w:spacing w:val="-1"/>
          <w:sz w:val="20"/>
        </w:rPr>
        <w:t xml:space="preserve"> </w:t>
      </w:r>
      <w:r>
        <w:rPr>
          <w:i/>
          <w:sz w:val="20"/>
        </w:rPr>
        <w:t>Wine</w:t>
      </w:r>
      <w:r>
        <w:rPr>
          <w:i/>
          <w:spacing w:val="-1"/>
          <w:sz w:val="20"/>
        </w:rPr>
        <w:t xml:space="preserve"> </w:t>
      </w:r>
      <w:r>
        <w:rPr>
          <w:i/>
          <w:sz w:val="20"/>
        </w:rPr>
        <w:t>from</w:t>
      </w:r>
      <w:r>
        <w:rPr>
          <w:i/>
          <w:spacing w:val="-3"/>
          <w:sz w:val="20"/>
        </w:rPr>
        <w:t xml:space="preserve"> </w:t>
      </w:r>
      <w:r>
        <w:rPr>
          <w:i/>
          <w:sz w:val="20"/>
        </w:rPr>
        <w:t>Australia</w:t>
      </w:r>
      <w:r>
        <w:rPr>
          <w:i/>
          <w:spacing w:val="-1"/>
          <w:sz w:val="20"/>
        </w:rPr>
        <w:t xml:space="preserve"> </w:t>
      </w:r>
      <w:r>
        <w:rPr>
          <w:spacing w:val="-2"/>
          <w:sz w:val="20"/>
        </w:rPr>
        <w:t>(DS602)</w:t>
      </w:r>
      <w:r>
        <w:rPr>
          <w:sz w:val="20"/>
        </w:rPr>
        <w:tab/>
        <w:t>29</w:t>
      </w:r>
      <w:r>
        <w:rPr>
          <w:spacing w:val="-1"/>
          <w:sz w:val="20"/>
        </w:rPr>
        <w:t xml:space="preserve"> </w:t>
      </w:r>
      <w:r>
        <w:rPr>
          <w:sz w:val="20"/>
        </w:rPr>
        <w:t>April</w:t>
      </w:r>
      <w:r>
        <w:rPr>
          <w:spacing w:val="-2"/>
          <w:sz w:val="20"/>
        </w:rPr>
        <w:t xml:space="preserve"> </w:t>
      </w:r>
      <w:r>
        <w:rPr>
          <w:spacing w:val="-4"/>
          <w:sz w:val="20"/>
        </w:rPr>
        <w:t>2022</w:t>
      </w:r>
    </w:p>
    <w:p w14:paraId="51DE9A81" w14:textId="77777777" w:rsidR="0010369C" w:rsidRDefault="008E43AE">
      <w:pPr>
        <w:pStyle w:val="BodyText"/>
        <w:spacing w:before="34" w:line="360" w:lineRule="auto"/>
        <w:ind w:left="237" w:right="614" w:firstLine="1"/>
        <w:jc w:val="both"/>
      </w:pPr>
      <w:r>
        <w:t>from "authoritative domestic organizations".</w:t>
      </w:r>
      <w:r>
        <w:rPr>
          <w:vertAlign w:val="superscript"/>
        </w:rPr>
        <w:t>1188</w:t>
      </w:r>
      <w:r>
        <w:t xml:space="preserve"> There was no disclosure to the interested parties of these statistics, the calculation</w:t>
      </w:r>
      <w:r>
        <w:rPr>
          <w:spacing w:val="-1"/>
        </w:rPr>
        <w:t xml:space="preserve"> </w:t>
      </w:r>
      <w:r>
        <w:t>methodology used</w:t>
      </w:r>
      <w:r>
        <w:rPr>
          <w:spacing w:val="-1"/>
        </w:rPr>
        <w:t xml:space="preserve"> </w:t>
      </w:r>
      <w:r>
        <w:t xml:space="preserve">to determine output from these statistics, or anything about the identity or character of the "authoritative domestic </w:t>
      </w:r>
      <w:r>
        <w:rPr>
          <w:spacing w:val="-2"/>
        </w:rPr>
        <w:t>organisations".</w:t>
      </w:r>
    </w:p>
    <w:p w14:paraId="51DE9A82" w14:textId="77777777" w:rsidR="0010369C" w:rsidRDefault="0010369C">
      <w:pPr>
        <w:pStyle w:val="BodyText"/>
        <w:spacing w:before="11"/>
        <w:rPr>
          <w:sz w:val="8"/>
        </w:rPr>
      </w:pPr>
    </w:p>
    <w:p w14:paraId="51DE9A83" w14:textId="77777777" w:rsidR="0010369C" w:rsidRDefault="008E43AE">
      <w:pPr>
        <w:pStyle w:val="BodyText"/>
        <w:spacing w:before="51" w:line="360" w:lineRule="auto"/>
        <w:ind w:left="237" w:right="612" w:firstLine="851"/>
        <w:jc w:val="both"/>
      </w:pPr>
      <w:r>
        <w:rPr>
          <w:noProof/>
        </w:rPr>
        <w:drawing>
          <wp:anchor distT="0" distB="0" distL="0" distR="0" simplePos="0" relativeHeight="251598336" behindDoc="1" locked="0" layoutInCell="1" allowOverlap="1" wp14:anchorId="51DEA8AC" wp14:editId="51DEA8AD">
            <wp:simplePos x="0" y="0"/>
            <wp:positionH relativeFrom="page">
              <wp:posOffset>908303</wp:posOffset>
            </wp:positionH>
            <wp:positionV relativeFrom="paragraph">
              <wp:posOffset>75388</wp:posOffset>
            </wp:positionV>
            <wp:extent cx="332231" cy="106679"/>
            <wp:effectExtent l="0" t="0" r="0" b="0"/>
            <wp:wrapNone/>
            <wp:docPr id="1989" name="image1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 name="image1022.png"/>
                    <pic:cNvPicPr/>
                  </pic:nvPicPr>
                  <pic:blipFill>
                    <a:blip r:embed="rId1309" cstate="print"/>
                    <a:stretch>
                      <a:fillRect/>
                    </a:stretch>
                  </pic:blipFill>
                  <pic:spPr>
                    <a:xfrm>
                      <a:off x="0" y="0"/>
                      <a:ext cx="332231" cy="106679"/>
                    </a:xfrm>
                    <a:prstGeom prst="rect">
                      <a:avLst/>
                    </a:prstGeom>
                  </pic:spPr>
                </pic:pic>
              </a:graphicData>
            </a:graphic>
          </wp:anchor>
        </w:drawing>
      </w:r>
      <w:r>
        <w:t>There is nothin</w:t>
      </w:r>
      <w:r>
        <w:t>g on the record to suggest that this information was confidential. No explanation</w:t>
      </w:r>
      <w:r>
        <w:rPr>
          <w:spacing w:val="-11"/>
        </w:rPr>
        <w:t xml:space="preserve"> </w:t>
      </w:r>
      <w:r>
        <w:t>was</w:t>
      </w:r>
      <w:r>
        <w:rPr>
          <w:spacing w:val="-9"/>
        </w:rPr>
        <w:t xml:space="preserve"> </w:t>
      </w:r>
      <w:r>
        <w:t>given</w:t>
      </w:r>
      <w:r>
        <w:rPr>
          <w:spacing w:val="-9"/>
        </w:rPr>
        <w:t xml:space="preserve"> </w:t>
      </w:r>
      <w:r>
        <w:t>for</w:t>
      </w:r>
      <w:r>
        <w:rPr>
          <w:spacing w:val="-8"/>
        </w:rPr>
        <w:t xml:space="preserve"> </w:t>
      </w:r>
      <w:r>
        <w:t>why</w:t>
      </w:r>
      <w:r>
        <w:rPr>
          <w:spacing w:val="-8"/>
        </w:rPr>
        <w:t xml:space="preserve"> </w:t>
      </w:r>
      <w:r>
        <w:t>it</w:t>
      </w:r>
      <w:r>
        <w:rPr>
          <w:spacing w:val="-9"/>
        </w:rPr>
        <w:t xml:space="preserve"> </w:t>
      </w:r>
      <w:r>
        <w:t>was</w:t>
      </w:r>
      <w:r>
        <w:rPr>
          <w:spacing w:val="-10"/>
        </w:rPr>
        <w:t xml:space="preserve"> </w:t>
      </w:r>
      <w:r>
        <w:t>not</w:t>
      </w:r>
      <w:r>
        <w:rPr>
          <w:spacing w:val="-8"/>
        </w:rPr>
        <w:t xml:space="preserve"> </w:t>
      </w:r>
      <w:r>
        <w:t>disclosed,</w:t>
      </w:r>
      <w:r>
        <w:rPr>
          <w:spacing w:val="-8"/>
        </w:rPr>
        <w:t xml:space="preserve"> </w:t>
      </w:r>
      <w:r>
        <w:t>even</w:t>
      </w:r>
      <w:r>
        <w:rPr>
          <w:spacing w:val="-9"/>
        </w:rPr>
        <w:t xml:space="preserve"> </w:t>
      </w:r>
      <w:r>
        <w:t>though</w:t>
      </w:r>
      <w:r>
        <w:rPr>
          <w:spacing w:val="-9"/>
        </w:rPr>
        <w:t xml:space="preserve"> </w:t>
      </w:r>
      <w:r>
        <w:t>it</w:t>
      </w:r>
      <w:r>
        <w:rPr>
          <w:spacing w:val="-9"/>
        </w:rPr>
        <w:t xml:space="preserve"> </w:t>
      </w:r>
      <w:r>
        <w:t>was</w:t>
      </w:r>
      <w:r>
        <w:rPr>
          <w:spacing w:val="-9"/>
        </w:rPr>
        <w:t xml:space="preserve"> </w:t>
      </w:r>
      <w:r>
        <w:t>directly</w:t>
      </w:r>
      <w:r>
        <w:rPr>
          <w:spacing w:val="-7"/>
        </w:rPr>
        <w:t xml:space="preserve"> </w:t>
      </w:r>
      <w:r>
        <w:t>relevant</w:t>
      </w:r>
      <w:r>
        <w:rPr>
          <w:spacing w:val="-9"/>
        </w:rPr>
        <w:t xml:space="preserve"> </w:t>
      </w:r>
      <w:r>
        <w:t>to</w:t>
      </w:r>
      <w:r>
        <w:rPr>
          <w:spacing w:val="-8"/>
        </w:rPr>
        <w:t xml:space="preserve"> </w:t>
      </w:r>
      <w:r>
        <w:t>the interested</w:t>
      </w:r>
      <w:r>
        <w:rPr>
          <w:spacing w:val="-14"/>
        </w:rPr>
        <w:t xml:space="preserve"> </w:t>
      </w:r>
      <w:r>
        <w:t>parties'</w:t>
      </w:r>
      <w:r>
        <w:rPr>
          <w:spacing w:val="-14"/>
        </w:rPr>
        <w:t xml:space="preserve"> </w:t>
      </w:r>
      <w:r>
        <w:t>ability</w:t>
      </w:r>
      <w:r>
        <w:rPr>
          <w:spacing w:val="-13"/>
        </w:rPr>
        <w:t xml:space="preserve"> </w:t>
      </w:r>
      <w:r>
        <w:t>to</w:t>
      </w:r>
      <w:r>
        <w:rPr>
          <w:spacing w:val="-14"/>
        </w:rPr>
        <w:t xml:space="preserve"> </w:t>
      </w:r>
      <w:r>
        <w:t>understand</w:t>
      </w:r>
      <w:r>
        <w:rPr>
          <w:spacing w:val="-13"/>
        </w:rPr>
        <w:t xml:space="preserve"> </w:t>
      </w:r>
      <w:r>
        <w:t>and</w:t>
      </w:r>
      <w:r>
        <w:rPr>
          <w:spacing w:val="-14"/>
        </w:rPr>
        <w:t xml:space="preserve"> </w:t>
      </w:r>
      <w:r>
        <w:t>prepare</w:t>
      </w:r>
      <w:r>
        <w:rPr>
          <w:spacing w:val="-13"/>
        </w:rPr>
        <w:t xml:space="preserve"> </w:t>
      </w:r>
      <w:r>
        <w:t>submissions</w:t>
      </w:r>
      <w:r>
        <w:rPr>
          <w:spacing w:val="-14"/>
        </w:rPr>
        <w:t xml:space="preserve"> </w:t>
      </w:r>
      <w:r>
        <w:t>about</w:t>
      </w:r>
      <w:r>
        <w:rPr>
          <w:spacing w:val="-14"/>
        </w:rPr>
        <w:t xml:space="preserve"> </w:t>
      </w:r>
      <w:r>
        <w:t>the</w:t>
      </w:r>
      <w:r>
        <w:rPr>
          <w:spacing w:val="-13"/>
        </w:rPr>
        <w:t xml:space="preserve"> </w:t>
      </w:r>
      <w:r>
        <w:t>adequacy</w:t>
      </w:r>
      <w:r>
        <w:rPr>
          <w:spacing w:val="-14"/>
        </w:rPr>
        <w:t xml:space="preserve"> </w:t>
      </w:r>
      <w:r>
        <w:t>of</w:t>
      </w:r>
      <w:r>
        <w:rPr>
          <w:spacing w:val="-13"/>
        </w:rPr>
        <w:t xml:space="preserve"> </w:t>
      </w:r>
      <w:r>
        <w:t>these data</w:t>
      </w:r>
      <w:r>
        <w:rPr>
          <w:spacing w:val="-9"/>
        </w:rPr>
        <w:t xml:space="preserve"> </w:t>
      </w:r>
      <w:r>
        <w:t>and</w:t>
      </w:r>
      <w:r>
        <w:rPr>
          <w:spacing w:val="-10"/>
        </w:rPr>
        <w:t xml:space="preserve"> </w:t>
      </w:r>
      <w:r>
        <w:t>whether</w:t>
      </w:r>
      <w:r>
        <w:rPr>
          <w:spacing w:val="-10"/>
        </w:rPr>
        <w:t xml:space="preserve"> </w:t>
      </w:r>
      <w:r>
        <w:t>the</w:t>
      </w:r>
      <w:r>
        <w:rPr>
          <w:spacing w:val="-9"/>
        </w:rPr>
        <w:t xml:space="preserve"> </w:t>
      </w:r>
      <w:r>
        <w:t>identified</w:t>
      </w:r>
      <w:r>
        <w:rPr>
          <w:spacing w:val="-9"/>
        </w:rPr>
        <w:t xml:space="preserve"> </w:t>
      </w:r>
      <w:r>
        <w:t>representatives</w:t>
      </w:r>
      <w:r>
        <w:rPr>
          <w:spacing w:val="-11"/>
        </w:rPr>
        <w:t xml:space="preserve"> </w:t>
      </w:r>
      <w:r>
        <w:t>of</w:t>
      </w:r>
      <w:r>
        <w:rPr>
          <w:spacing w:val="-10"/>
        </w:rPr>
        <w:t xml:space="preserve"> </w:t>
      </w:r>
      <w:r>
        <w:t>"domestic</w:t>
      </w:r>
      <w:r>
        <w:rPr>
          <w:spacing w:val="-10"/>
        </w:rPr>
        <w:t xml:space="preserve"> </w:t>
      </w:r>
      <w:r>
        <w:t>industry"</w:t>
      </w:r>
      <w:r>
        <w:rPr>
          <w:spacing w:val="-10"/>
        </w:rPr>
        <w:t xml:space="preserve"> </w:t>
      </w:r>
      <w:r>
        <w:t>accounted</w:t>
      </w:r>
      <w:r>
        <w:rPr>
          <w:spacing w:val="-10"/>
        </w:rPr>
        <w:t xml:space="preserve"> </w:t>
      </w:r>
      <w:r>
        <w:t>for</w:t>
      </w:r>
      <w:r>
        <w:rPr>
          <w:spacing w:val="-9"/>
        </w:rPr>
        <w:t xml:space="preserve"> </w:t>
      </w:r>
      <w:r>
        <w:t>a</w:t>
      </w:r>
      <w:r>
        <w:rPr>
          <w:spacing w:val="-10"/>
        </w:rPr>
        <w:t xml:space="preserve"> </w:t>
      </w:r>
      <w:r>
        <w:t>major proportion of total production of like products. MOFCOM's failure to disclose these salient facts denied interested parties the opportunity to de</w:t>
      </w:r>
      <w:r>
        <w:t>fend their interests in the investigation.</w:t>
      </w:r>
    </w:p>
    <w:p w14:paraId="51DE9A84" w14:textId="77777777" w:rsidR="0010369C" w:rsidRDefault="008E43AE">
      <w:pPr>
        <w:pStyle w:val="ListParagraph"/>
        <w:numPr>
          <w:ilvl w:val="3"/>
          <w:numId w:val="75"/>
        </w:numPr>
        <w:tabs>
          <w:tab w:val="left" w:pos="3642"/>
          <w:tab w:val="left" w:pos="3643"/>
        </w:tabs>
        <w:spacing w:before="160" w:line="362" w:lineRule="auto"/>
        <w:ind w:right="614" w:hanging="853"/>
        <w:jc w:val="both"/>
        <w:rPr>
          <w:sz w:val="24"/>
        </w:rPr>
      </w:pPr>
      <w:r>
        <w:rPr>
          <w:sz w:val="24"/>
          <w:u w:val="single"/>
        </w:rPr>
        <w:t>The information selected as the "facts available" for the</w:t>
      </w:r>
      <w:r>
        <w:rPr>
          <w:sz w:val="24"/>
        </w:rPr>
        <w:t xml:space="preserve"> </w:t>
      </w:r>
      <w:r>
        <w:rPr>
          <w:sz w:val="24"/>
          <w:u w:val="single"/>
        </w:rPr>
        <w:t>sampled companies and the basis for those selections</w:t>
      </w:r>
    </w:p>
    <w:p w14:paraId="51DE9A85" w14:textId="77777777" w:rsidR="0010369C" w:rsidRDefault="0010369C">
      <w:pPr>
        <w:pStyle w:val="BodyText"/>
        <w:spacing w:before="5"/>
        <w:rPr>
          <w:sz w:val="8"/>
        </w:rPr>
      </w:pPr>
    </w:p>
    <w:p w14:paraId="51DE9A86" w14:textId="77777777" w:rsidR="0010369C" w:rsidRDefault="008E43AE">
      <w:pPr>
        <w:pStyle w:val="BodyText"/>
        <w:spacing w:before="51" w:line="360" w:lineRule="auto"/>
        <w:ind w:left="237" w:right="612" w:firstLine="851"/>
        <w:jc w:val="both"/>
      </w:pPr>
      <w:r>
        <w:rPr>
          <w:noProof/>
        </w:rPr>
        <w:drawing>
          <wp:anchor distT="0" distB="0" distL="0" distR="0" simplePos="0" relativeHeight="251599360" behindDoc="1" locked="0" layoutInCell="1" allowOverlap="1" wp14:anchorId="51DEA8AE" wp14:editId="51DEA8AF">
            <wp:simplePos x="0" y="0"/>
            <wp:positionH relativeFrom="page">
              <wp:posOffset>908303</wp:posOffset>
            </wp:positionH>
            <wp:positionV relativeFrom="paragraph">
              <wp:posOffset>75388</wp:posOffset>
            </wp:positionV>
            <wp:extent cx="332231" cy="106679"/>
            <wp:effectExtent l="0" t="0" r="0" b="0"/>
            <wp:wrapNone/>
            <wp:docPr id="1991" name="image10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 name="image1023.png"/>
                    <pic:cNvPicPr/>
                  </pic:nvPicPr>
                  <pic:blipFill>
                    <a:blip r:embed="rId1310" cstate="print"/>
                    <a:stretch>
                      <a:fillRect/>
                    </a:stretch>
                  </pic:blipFill>
                  <pic:spPr>
                    <a:xfrm>
                      <a:off x="0" y="0"/>
                      <a:ext cx="332231" cy="106679"/>
                    </a:xfrm>
                    <a:prstGeom prst="rect">
                      <a:avLst/>
                    </a:prstGeom>
                  </pic:spPr>
                </pic:pic>
              </a:graphicData>
            </a:graphic>
          </wp:anchor>
        </w:drawing>
      </w:r>
      <w:r>
        <w:t>Contrary</w:t>
      </w:r>
      <w:r>
        <w:rPr>
          <w:spacing w:val="-8"/>
        </w:rPr>
        <w:t xml:space="preserve"> </w:t>
      </w:r>
      <w:r>
        <w:t>to</w:t>
      </w:r>
      <w:r>
        <w:rPr>
          <w:spacing w:val="-9"/>
        </w:rPr>
        <w:t xml:space="preserve"> </w:t>
      </w:r>
      <w:r>
        <w:t>Article</w:t>
      </w:r>
      <w:r>
        <w:rPr>
          <w:spacing w:val="-9"/>
        </w:rPr>
        <w:t xml:space="preserve"> </w:t>
      </w:r>
      <w:r>
        <w:t>6.9,</w:t>
      </w:r>
      <w:r>
        <w:rPr>
          <w:spacing w:val="-8"/>
        </w:rPr>
        <w:t xml:space="preserve"> </w:t>
      </w:r>
      <w:r>
        <w:t>MOFCOM</w:t>
      </w:r>
      <w:r>
        <w:rPr>
          <w:spacing w:val="-8"/>
        </w:rPr>
        <w:t xml:space="preserve"> </w:t>
      </w:r>
      <w:r>
        <w:t>failed</w:t>
      </w:r>
      <w:r>
        <w:rPr>
          <w:spacing w:val="-8"/>
        </w:rPr>
        <w:t xml:space="preserve"> </w:t>
      </w:r>
      <w:r>
        <w:t>to</w:t>
      </w:r>
      <w:r>
        <w:rPr>
          <w:spacing w:val="-8"/>
        </w:rPr>
        <w:t xml:space="preserve"> </w:t>
      </w:r>
      <w:r>
        <w:t>disclose</w:t>
      </w:r>
      <w:r>
        <w:rPr>
          <w:spacing w:val="-7"/>
        </w:rPr>
        <w:t xml:space="preserve"> </w:t>
      </w:r>
      <w:r>
        <w:t>the</w:t>
      </w:r>
      <w:r>
        <w:rPr>
          <w:spacing w:val="-8"/>
        </w:rPr>
        <w:t xml:space="preserve"> </w:t>
      </w:r>
      <w:r>
        <w:t>facts</w:t>
      </w:r>
      <w:r>
        <w:rPr>
          <w:spacing w:val="-9"/>
        </w:rPr>
        <w:t xml:space="preserve"> </w:t>
      </w:r>
      <w:r>
        <w:t>it</w:t>
      </w:r>
      <w:r>
        <w:rPr>
          <w:spacing w:val="-9"/>
        </w:rPr>
        <w:t xml:space="preserve"> </w:t>
      </w:r>
      <w:r>
        <w:t>selected</w:t>
      </w:r>
      <w:r>
        <w:rPr>
          <w:spacing w:val="-9"/>
        </w:rPr>
        <w:t xml:space="preserve"> </w:t>
      </w:r>
      <w:r>
        <w:t>to</w:t>
      </w:r>
      <w:r>
        <w:rPr>
          <w:spacing w:val="-9"/>
        </w:rPr>
        <w:t xml:space="preserve"> </w:t>
      </w:r>
      <w:r>
        <w:t>replace</w:t>
      </w:r>
      <w:r>
        <w:rPr>
          <w:spacing w:val="-9"/>
        </w:rPr>
        <w:t xml:space="preserve"> </w:t>
      </w:r>
      <w:r>
        <w:t>the allegedly mi</w:t>
      </w:r>
      <w:r>
        <w:t>ssing or deficient information from the sampled companies. These data, relating to price, volume, sales and product types, were salient facts for the purposes of undertaking price comparisons and calculating the final dumping margins for all interested par</w:t>
      </w:r>
      <w:r>
        <w:t>ties. The information MOFCOM relied upon as "facts available" was never disclosed to the parties, depriving them of the opportunity to understand the basis of MOFCOM's decisions and respond accordingly.</w:t>
      </w:r>
    </w:p>
    <w:p w14:paraId="51DE9A87" w14:textId="77777777" w:rsidR="0010369C" w:rsidRDefault="0010369C">
      <w:pPr>
        <w:pStyle w:val="BodyText"/>
        <w:spacing w:before="11"/>
        <w:rPr>
          <w:sz w:val="8"/>
        </w:rPr>
      </w:pPr>
    </w:p>
    <w:p w14:paraId="51DE9A88" w14:textId="77777777" w:rsidR="0010369C" w:rsidRDefault="008E43AE">
      <w:pPr>
        <w:pStyle w:val="BodyText"/>
        <w:spacing w:before="53" w:line="360" w:lineRule="auto"/>
        <w:ind w:left="237" w:right="614" w:firstLine="12"/>
        <w:jc w:val="both"/>
      </w:pPr>
      <w:r>
        <w:rPr>
          <w:noProof/>
        </w:rPr>
        <w:drawing>
          <wp:inline distT="0" distB="0" distL="0" distR="0" wp14:anchorId="51DEA8B0" wp14:editId="51DEA8B1">
            <wp:extent cx="332231" cy="109727"/>
            <wp:effectExtent l="0" t="0" r="0" b="0"/>
            <wp:docPr id="1993" name="image1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 name="image1024.png"/>
                    <pic:cNvPicPr/>
                  </pic:nvPicPr>
                  <pic:blipFill>
                    <a:blip r:embed="rId1311" cstate="print"/>
                    <a:stretch>
                      <a:fillRect/>
                    </a:stretch>
                  </pic:blipFill>
                  <pic:spPr>
                    <a:xfrm>
                      <a:off x="0" y="0"/>
                      <a:ext cx="332231" cy="109727"/>
                    </a:xfrm>
                    <a:prstGeom prst="rect">
                      <a:avLst/>
                    </a:prstGeom>
                  </pic:spPr>
                </pic:pic>
              </a:graphicData>
            </a:graphic>
          </wp:inline>
        </w:drawing>
      </w:r>
      <w:r>
        <w:rPr>
          <w:rFonts w:ascii="Times New Roman" w:hAnsi="Times New Roman"/>
          <w:spacing w:val="80"/>
          <w:position w:val="1"/>
          <w:sz w:val="20"/>
        </w:rPr>
        <w:t xml:space="preserve"> </w:t>
      </w:r>
      <w:r>
        <w:rPr>
          <w:position w:val="1"/>
        </w:rPr>
        <w:t xml:space="preserve">MOFCOM did not disclose the essential facts that formed the basis of its </w:t>
      </w:r>
      <w:r>
        <w:t>determination</w:t>
      </w:r>
      <w:r>
        <w:rPr>
          <w:spacing w:val="-10"/>
        </w:rPr>
        <w:t xml:space="preserve"> </w:t>
      </w:r>
      <w:r>
        <w:t>of</w:t>
      </w:r>
      <w:r>
        <w:rPr>
          <w:spacing w:val="-11"/>
        </w:rPr>
        <w:t xml:space="preserve"> </w:t>
      </w:r>
      <w:r>
        <w:t>normal</w:t>
      </w:r>
      <w:r>
        <w:rPr>
          <w:spacing w:val="-11"/>
        </w:rPr>
        <w:t xml:space="preserve"> </w:t>
      </w:r>
      <w:r>
        <w:t>value</w:t>
      </w:r>
      <w:r>
        <w:rPr>
          <w:spacing w:val="-11"/>
        </w:rPr>
        <w:t xml:space="preserve"> </w:t>
      </w:r>
      <w:r>
        <w:t>and</w:t>
      </w:r>
      <w:r>
        <w:rPr>
          <w:spacing w:val="-11"/>
        </w:rPr>
        <w:t xml:space="preserve"> </w:t>
      </w:r>
      <w:r>
        <w:t>export</w:t>
      </w:r>
      <w:r>
        <w:rPr>
          <w:spacing w:val="-11"/>
        </w:rPr>
        <w:t xml:space="preserve"> </w:t>
      </w:r>
      <w:r>
        <w:t>price</w:t>
      </w:r>
      <w:r>
        <w:rPr>
          <w:spacing w:val="-10"/>
        </w:rPr>
        <w:t xml:space="preserve"> </w:t>
      </w:r>
      <w:r>
        <w:t>pursuant</w:t>
      </w:r>
      <w:r>
        <w:rPr>
          <w:spacing w:val="-10"/>
        </w:rPr>
        <w:t xml:space="preserve"> </w:t>
      </w:r>
      <w:r>
        <w:t>to</w:t>
      </w:r>
      <w:r>
        <w:rPr>
          <w:spacing w:val="-11"/>
        </w:rPr>
        <w:t xml:space="preserve"> </w:t>
      </w:r>
      <w:r>
        <w:t>Article</w:t>
      </w:r>
      <w:r>
        <w:rPr>
          <w:spacing w:val="-11"/>
        </w:rPr>
        <w:t xml:space="preserve"> </w:t>
      </w:r>
      <w:r>
        <w:t>2,</w:t>
      </w:r>
      <w:r>
        <w:rPr>
          <w:spacing w:val="-11"/>
        </w:rPr>
        <w:t xml:space="preserve"> </w:t>
      </w:r>
      <w:r>
        <w:t>including</w:t>
      </w:r>
      <w:r>
        <w:rPr>
          <w:spacing w:val="-10"/>
        </w:rPr>
        <w:t xml:space="preserve"> </w:t>
      </w:r>
      <w:r>
        <w:t>the</w:t>
      </w:r>
      <w:r>
        <w:rPr>
          <w:spacing w:val="-10"/>
        </w:rPr>
        <w:t xml:space="preserve"> </w:t>
      </w:r>
      <w:r>
        <w:t xml:space="preserve">underlying data. The panel in </w:t>
      </w:r>
      <w:r>
        <w:rPr>
          <w:i/>
        </w:rPr>
        <w:t xml:space="preserve">China – Broiler Products </w:t>
      </w:r>
      <w:r>
        <w:t>concluded that "essential facts" in the cont</w:t>
      </w:r>
      <w:r>
        <w:t xml:space="preserve">ext of Article 2 included, </w:t>
      </w:r>
      <w:r>
        <w:rPr>
          <w:i/>
        </w:rPr>
        <w:t>inter alia</w:t>
      </w:r>
      <w:r>
        <w:t>:</w:t>
      </w:r>
    </w:p>
    <w:p w14:paraId="51DE9A89" w14:textId="77777777" w:rsidR="0010369C" w:rsidRDefault="008E43AE">
      <w:pPr>
        <w:spacing w:before="160" w:line="276" w:lineRule="auto"/>
        <w:ind w:left="1089" w:right="612" w:hanging="1"/>
        <w:jc w:val="both"/>
      </w:pPr>
      <w:r>
        <w:t>[The</w:t>
      </w:r>
      <w:r>
        <w:rPr>
          <w:spacing w:val="-13"/>
        </w:rPr>
        <w:t xml:space="preserve"> </w:t>
      </w:r>
      <w:r>
        <w:t>underlying</w:t>
      </w:r>
      <w:r>
        <w:rPr>
          <w:spacing w:val="-12"/>
        </w:rPr>
        <w:t xml:space="preserve"> </w:t>
      </w:r>
      <w:r>
        <w:t>data</w:t>
      </w:r>
      <w:r>
        <w:rPr>
          <w:spacing w:val="-13"/>
        </w:rPr>
        <w:t xml:space="preserve"> </w:t>
      </w:r>
      <w:r>
        <w:t>for</w:t>
      </w:r>
      <w:r>
        <w:rPr>
          <w:spacing w:val="-12"/>
        </w:rPr>
        <w:t xml:space="preserve"> </w:t>
      </w:r>
      <w:r>
        <w:t>particular</w:t>
      </w:r>
      <w:r>
        <w:rPr>
          <w:spacing w:val="-13"/>
        </w:rPr>
        <w:t xml:space="preserve"> </w:t>
      </w:r>
      <w:r>
        <w:t>elements</w:t>
      </w:r>
      <w:r>
        <w:rPr>
          <w:spacing w:val="-12"/>
        </w:rPr>
        <w:t xml:space="preserve"> </w:t>
      </w:r>
      <w:r>
        <w:t>that</w:t>
      </w:r>
      <w:r>
        <w:rPr>
          <w:spacing w:val="-13"/>
        </w:rPr>
        <w:t xml:space="preserve"> </w:t>
      </w:r>
      <w:r>
        <w:t>ultimately</w:t>
      </w:r>
      <w:r>
        <w:rPr>
          <w:spacing w:val="-12"/>
        </w:rPr>
        <w:t xml:space="preserve"> </w:t>
      </w:r>
      <w:r>
        <w:t>comprise</w:t>
      </w:r>
      <w:r>
        <w:rPr>
          <w:spacing w:val="-12"/>
        </w:rPr>
        <w:t xml:space="preserve"> </w:t>
      </w:r>
      <w:r>
        <w:t>normal</w:t>
      </w:r>
      <w:r>
        <w:rPr>
          <w:spacing w:val="-13"/>
        </w:rPr>
        <w:t xml:space="preserve"> </w:t>
      </w:r>
      <w:r>
        <w:t>value</w:t>
      </w:r>
      <w:r>
        <w:rPr>
          <w:spacing w:val="-12"/>
        </w:rPr>
        <w:t xml:space="preserve"> </w:t>
      </w:r>
      <w:r>
        <w:t>(including the price in the ordinary course of trade of individual sales of the like products in the home market or, in the case of co</w:t>
      </w:r>
      <w:r>
        <w:t>nstructed normal value, the components that make up the total cost of production, selling and general expenses, and profit); [and] export price (including any</w:t>
      </w:r>
      <w:r>
        <w:rPr>
          <w:spacing w:val="-1"/>
        </w:rPr>
        <w:t xml:space="preserve"> </w:t>
      </w:r>
      <w:r>
        <w:t>information</w:t>
      </w:r>
      <w:r>
        <w:rPr>
          <w:spacing w:val="-1"/>
        </w:rPr>
        <w:t xml:space="preserve"> </w:t>
      </w:r>
      <w:r>
        <w:t>used to</w:t>
      </w:r>
      <w:r>
        <w:rPr>
          <w:spacing w:val="-1"/>
        </w:rPr>
        <w:t xml:space="preserve"> </w:t>
      </w:r>
      <w:r>
        <w:t>construct</w:t>
      </w:r>
      <w:r>
        <w:rPr>
          <w:spacing w:val="-1"/>
        </w:rPr>
        <w:t xml:space="preserve"> </w:t>
      </w:r>
      <w:r>
        <w:t>export</w:t>
      </w:r>
      <w:r>
        <w:rPr>
          <w:spacing w:val="-2"/>
        </w:rPr>
        <w:t xml:space="preserve"> </w:t>
      </w:r>
      <w:r>
        <w:t>price under Article</w:t>
      </w:r>
      <w:r>
        <w:rPr>
          <w:spacing w:val="-1"/>
        </w:rPr>
        <w:t xml:space="preserve"> </w:t>
      </w:r>
      <w:r>
        <w:t>2.3)…</w:t>
      </w:r>
      <w:r>
        <w:rPr>
          <w:spacing w:val="-1"/>
        </w:rPr>
        <w:t xml:space="preserve"> </w:t>
      </w:r>
      <w:r>
        <w:t>Such data form</w:t>
      </w:r>
      <w:r>
        <w:rPr>
          <w:spacing w:val="-2"/>
        </w:rPr>
        <w:t xml:space="preserve"> </w:t>
      </w:r>
      <w:r>
        <w:t>the basis</w:t>
      </w:r>
    </w:p>
    <w:p w14:paraId="51DE9A8A" w14:textId="77777777" w:rsidR="0010369C" w:rsidRDefault="0010369C">
      <w:pPr>
        <w:pStyle w:val="BodyText"/>
        <w:rPr>
          <w:sz w:val="20"/>
        </w:rPr>
      </w:pPr>
    </w:p>
    <w:p w14:paraId="51DE9A8B" w14:textId="77777777" w:rsidR="0010369C" w:rsidRDefault="0010369C">
      <w:pPr>
        <w:pStyle w:val="BodyText"/>
        <w:rPr>
          <w:sz w:val="20"/>
        </w:rPr>
      </w:pPr>
    </w:p>
    <w:p w14:paraId="51DE9A8C" w14:textId="77777777" w:rsidR="0010369C" w:rsidRDefault="0010369C">
      <w:pPr>
        <w:pStyle w:val="BodyText"/>
        <w:rPr>
          <w:sz w:val="20"/>
        </w:rPr>
      </w:pPr>
    </w:p>
    <w:p w14:paraId="51DE9A8D" w14:textId="77777777" w:rsidR="0010369C" w:rsidRDefault="0010369C">
      <w:pPr>
        <w:pStyle w:val="BodyText"/>
        <w:rPr>
          <w:sz w:val="20"/>
        </w:rPr>
      </w:pPr>
    </w:p>
    <w:p w14:paraId="51DE9A8E" w14:textId="77777777" w:rsidR="0010369C" w:rsidRDefault="008E43AE">
      <w:pPr>
        <w:pStyle w:val="BodyText"/>
        <w:spacing w:before="10"/>
        <w:rPr>
          <w:sz w:val="16"/>
        </w:rPr>
      </w:pPr>
      <w:r>
        <w:pict w14:anchorId="51DEA8B2">
          <v:rect id="docshape1400" o:spid="_x0000_s1081" style="position:absolute;margin-left:70.9pt;margin-top:11.45pt;width:2in;height:.8pt;z-index:-250684928;mso-wrap-distance-left:0;mso-wrap-distance-right:0;mso-position-horizontal-relative:page" fillcolor="black" stroked="f">
            <w10:wrap type="topAndBottom" anchorx="page"/>
          </v:rect>
        </w:pict>
      </w:r>
    </w:p>
    <w:p w14:paraId="51DE9A8F" w14:textId="77777777" w:rsidR="0010369C" w:rsidRDefault="008E43AE">
      <w:pPr>
        <w:spacing w:before="109"/>
        <w:ind w:left="238"/>
        <w:jc w:val="both"/>
        <w:rPr>
          <w:sz w:val="18"/>
        </w:rPr>
      </w:pPr>
      <w:r>
        <w:rPr>
          <w:sz w:val="18"/>
          <w:vertAlign w:val="superscript"/>
        </w:rPr>
        <w:t>1188</w:t>
      </w:r>
      <w:r>
        <w:rPr>
          <w:spacing w:val="-8"/>
          <w:sz w:val="18"/>
        </w:rPr>
        <w:t xml:space="preserve"> </w:t>
      </w:r>
      <w:r>
        <w:rPr>
          <w:sz w:val="18"/>
        </w:rPr>
        <w:t>Anti‐Dumping</w:t>
      </w:r>
      <w:r>
        <w:rPr>
          <w:spacing w:val="-8"/>
          <w:sz w:val="18"/>
        </w:rPr>
        <w:t xml:space="preserve"> </w:t>
      </w:r>
      <w:r>
        <w:rPr>
          <w:sz w:val="18"/>
        </w:rPr>
        <w:t>Final</w:t>
      </w:r>
      <w:r>
        <w:rPr>
          <w:spacing w:val="-8"/>
          <w:sz w:val="18"/>
        </w:rPr>
        <w:t xml:space="preserve"> </w:t>
      </w:r>
      <w:r>
        <w:rPr>
          <w:sz w:val="18"/>
        </w:rPr>
        <w:t>Disclosure</w:t>
      </w:r>
      <w:r>
        <w:rPr>
          <w:spacing w:val="-8"/>
          <w:sz w:val="18"/>
        </w:rPr>
        <w:t xml:space="preserve"> </w:t>
      </w:r>
      <w:r>
        <w:rPr>
          <w:sz w:val="18"/>
        </w:rPr>
        <w:t>(Exhibit</w:t>
      </w:r>
      <w:r>
        <w:rPr>
          <w:spacing w:val="-8"/>
          <w:sz w:val="18"/>
        </w:rPr>
        <w:t xml:space="preserve"> </w:t>
      </w:r>
      <w:r>
        <w:rPr>
          <w:sz w:val="18"/>
        </w:rPr>
        <w:t>AUS‐16),</w:t>
      </w:r>
      <w:r>
        <w:rPr>
          <w:spacing w:val="-9"/>
          <w:sz w:val="18"/>
        </w:rPr>
        <w:t xml:space="preserve"> </w:t>
      </w:r>
      <w:r>
        <w:rPr>
          <w:sz w:val="18"/>
        </w:rPr>
        <w:t>p.</w:t>
      </w:r>
      <w:r>
        <w:rPr>
          <w:spacing w:val="-7"/>
          <w:sz w:val="18"/>
        </w:rPr>
        <w:t xml:space="preserve"> </w:t>
      </w:r>
      <w:r>
        <w:rPr>
          <w:spacing w:val="-5"/>
          <w:sz w:val="18"/>
        </w:rPr>
        <w:t>58.</w:t>
      </w:r>
    </w:p>
    <w:p w14:paraId="51DE9A90" w14:textId="77777777" w:rsidR="0010369C" w:rsidRDefault="0010369C">
      <w:pPr>
        <w:jc w:val="both"/>
        <w:rPr>
          <w:sz w:val="18"/>
        </w:rPr>
        <w:sectPr w:rsidR="0010369C">
          <w:pgSz w:w="11910" w:h="16840"/>
          <w:pgMar w:top="880" w:right="800" w:bottom="980" w:left="1180" w:header="569" w:footer="788" w:gutter="0"/>
          <w:cols w:space="720"/>
        </w:sectPr>
      </w:pPr>
    </w:p>
    <w:p w14:paraId="51DE9A91" w14:textId="77777777" w:rsidR="0010369C" w:rsidRDefault="008E43AE">
      <w:pPr>
        <w:tabs>
          <w:tab w:val="left" w:pos="6426"/>
        </w:tabs>
        <w:ind w:left="238"/>
        <w:rPr>
          <w:sz w:val="20"/>
        </w:rPr>
      </w:pPr>
      <w:r>
        <w:rPr>
          <w:i/>
          <w:sz w:val="20"/>
        </w:rPr>
        <w:lastRenderedPageBreak/>
        <w:t>China</w:t>
      </w:r>
      <w:r>
        <w:rPr>
          <w:i/>
          <w:spacing w:val="-5"/>
          <w:sz w:val="20"/>
        </w:rPr>
        <w:t xml:space="preserve"> </w:t>
      </w:r>
      <w:r>
        <w:rPr>
          <w:i/>
          <w:sz w:val="20"/>
        </w:rPr>
        <w:t>–</w:t>
      </w:r>
      <w:r>
        <w:rPr>
          <w:i/>
          <w:spacing w:val="-5"/>
          <w:sz w:val="20"/>
        </w:rPr>
        <w:t xml:space="preserve"> </w:t>
      </w:r>
      <w:r>
        <w:rPr>
          <w:i/>
          <w:sz w:val="20"/>
        </w:rPr>
        <w:t>Anti‐Dumping</w:t>
      </w:r>
      <w:r>
        <w:rPr>
          <w:i/>
          <w:spacing w:val="-4"/>
          <w:sz w:val="20"/>
        </w:rPr>
        <w:t xml:space="preserve"> </w:t>
      </w:r>
      <w:r>
        <w:rPr>
          <w:i/>
          <w:sz w:val="20"/>
        </w:rPr>
        <w:t>and</w:t>
      </w:r>
      <w:r>
        <w:rPr>
          <w:i/>
          <w:spacing w:val="-5"/>
          <w:sz w:val="20"/>
        </w:rPr>
        <w:t xml:space="preserve"> </w:t>
      </w:r>
      <w:r>
        <w:rPr>
          <w:i/>
          <w:sz w:val="20"/>
        </w:rPr>
        <w:t>Countervailing</w:t>
      </w:r>
      <w:r>
        <w:rPr>
          <w:i/>
          <w:spacing w:val="-5"/>
          <w:sz w:val="20"/>
        </w:rPr>
        <w:t xml:space="preserve"> </w:t>
      </w:r>
      <w:r>
        <w:rPr>
          <w:i/>
          <w:sz w:val="20"/>
        </w:rPr>
        <w:t>Duty</w:t>
      </w:r>
      <w:r>
        <w:rPr>
          <w:i/>
          <w:spacing w:val="-4"/>
          <w:sz w:val="20"/>
        </w:rPr>
        <w:t xml:space="preserve"> </w:t>
      </w:r>
      <w:r>
        <w:rPr>
          <w:i/>
          <w:spacing w:val="-2"/>
          <w:sz w:val="20"/>
        </w:rPr>
        <w:t>Measures</w:t>
      </w:r>
      <w:r>
        <w:rPr>
          <w:i/>
          <w:sz w:val="20"/>
        </w:rPr>
        <w:tab/>
      </w:r>
      <w:r>
        <w:rPr>
          <w:sz w:val="20"/>
        </w:rPr>
        <w:t>Australia's</w:t>
      </w:r>
      <w:r>
        <w:rPr>
          <w:spacing w:val="-7"/>
          <w:sz w:val="20"/>
        </w:rPr>
        <w:t xml:space="preserve"> </w:t>
      </w:r>
      <w:r>
        <w:rPr>
          <w:sz w:val="20"/>
        </w:rPr>
        <w:t>First</w:t>
      </w:r>
      <w:r>
        <w:rPr>
          <w:spacing w:val="-2"/>
          <w:sz w:val="20"/>
        </w:rPr>
        <w:t xml:space="preserve"> </w:t>
      </w:r>
      <w:r>
        <w:rPr>
          <w:sz w:val="20"/>
        </w:rPr>
        <w:t>Written</w:t>
      </w:r>
      <w:r>
        <w:rPr>
          <w:spacing w:val="-2"/>
          <w:sz w:val="20"/>
        </w:rPr>
        <w:t xml:space="preserve"> Submission</w:t>
      </w:r>
    </w:p>
    <w:p w14:paraId="51DE9A92" w14:textId="77777777" w:rsidR="0010369C" w:rsidRDefault="008E43AE">
      <w:pPr>
        <w:tabs>
          <w:tab w:val="left" w:pos="8228"/>
        </w:tabs>
        <w:spacing w:before="1"/>
        <w:ind w:left="239"/>
        <w:rPr>
          <w:sz w:val="20"/>
        </w:rPr>
      </w:pPr>
      <w:r>
        <w:rPr>
          <w:i/>
          <w:sz w:val="20"/>
        </w:rPr>
        <w:t>on</w:t>
      </w:r>
      <w:r>
        <w:rPr>
          <w:i/>
          <w:spacing w:val="-1"/>
          <w:sz w:val="20"/>
        </w:rPr>
        <w:t xml:space="preserve"> </w:t>
      </w:r>
      <w:r>
        <w:rPr>
          <w:i/>
          <w:sz w:val="20"/>
        </w:rPr>
        <w:t>Wine</w:t>
      </w:r>
      <w:r>
        <w:rPr>
          <w:i/>
          <w:spacing w:val="-1"/>
          <w:sz w:val="20"/>
        </w:rPr>
        <w:t xml:space="preserve"> </w:t>
      </w:r>
      <w:r>
        <w:rPr>
          <w:i/>
          <w:sz w:val="20"/>
        </w:rPr>
        <w:t>from</w:t>
      </w:r>
      <w:r>
        <w:rPr>
          <w:i/>
          <w:spacing w:val="-3"/>
          <w:sz w:val="20"/>
        </w:rPr>
        <w:t xml:space="preserve"> </w:t>
      </w:r>
      <w:r>
        <w:rPr>
          <w:i/>
          <w:sz w:val="20"/>
        </w:rPr>
        <w:t>Australia</w:t>
      </w:r>
      <w:r>
        <w:rPr>
          <w:i/>
          <w:spacing w:val="-1"/>
          <w:sz w:val="20"/>
        </w:rPr>
        <w:t xml:space="preserve"> </w:t>
      </w:r>
      <w:r>
        <w:rPr>
          <w:spacing w:val="-2"/>
          <w:sz w:val="20"/>
        </w:rPr>
        <w:t>(DS602)</w:t>
      </w:r>
      <w:r>
        <w:rPr>
          <w:sz w:val="20"/>
        </w:rPr>
        <w:tab/>
        <w:t>29</w:t>
      </w:r>
      <w:r>
        <w:rPr>
          <w:spacing w:val="-1"/>
          <w:sz w:val="20"/>
        </w:rPr>
        <w:t xml:space="preserve"> </w:t>
      </w:r>
      <w:r>
        <w:rPr>
          <w:sz w:val="20"/>
        </w:rPr>
        <w:t>April</w:t>
      </w:r>
      <w:r>
        <w:rPr>
          <w:spacing w:val="-2"/>
          <w:sz w:val="20"/>
        </w:rPr>
        <w:t xml:space="preserve"> </w:t>
      </w:r>
      <w:r>
        <w:rPr>
          <w:spacing w:val="-4"/>
          <w:sz w:val="20"/>
        </w:rPr>
        <w:t>2022</w:t>
      </w:r>
    </w:p>
    <w:p w14:paraId="51DE9A93" w14:textId="77777777" w:rsidR="0010369C" w:rsidRDefault="008E43AE">
      <w:pPr>
        <w:spacing w:before="35" w:line="276" w:lineRule="auto"/>
        <w:ind w:left="1090" w:hanging="2"/>
      </w:pPr>
      <w:r>
        <w:t>for</w:t>
      </w:r>
      <w:r>
        <w:rPr>
          <w:spacing w:val="40"/>
        </w:rPr>
        <w:t xml:space="preserve"> </w:t>
      </w:r>
      <w:r>
        <w:t>the</w:t>
      </w:r>
      <w:r>
        <w:rPr>
          <w:spacing w:val="40"/>
        </w:rPr>
        <w:t xml:space="preserve"> </w:t>
      </w:r>
      <w:r>
        <w:t>calculation</w:t>
      </w:r>
      <w:r>
        <w:rPr>
          <w:spacing w:val="40"/>
        </w:rPr>
        <w:t xml:space="preserve"> </w:t>
      </w:r>
      <w:r>
        <w:t>of</w:t>
      </w:r>
      <w:r>
        <w:rPr>
          <w:spacing w:val="40"/>
        </w:rPr>
        <w:t xml:space="preserve"> </w:t>
      </w:r>
      <w:r>
        <w:t>the</w:t>
      </w:r>
      <w:r>
        <w:rPr>
          <w:spacing w:val="40"/>
        </w:rPr>
        <w:t xml:space="preserve"> </w:t>
      </w:r>
      <w:r>
        <w:t>margin</w:t>
      </w:r>
      <w:r>
        <w:rPr>
          <w:spacing w:val="40"/>
        </w:rPr>
        <w:t xml:space="preserve"> </w:t>
      </w:r>
      <w:r>
        <w:t>of</w:t>
      </w:r>
      <w:r>
        <w:rPr>
          <w:spacing w:val="40"/>
        </w:rPr>
        <w:t xml:space="preserve"> </w:t>
      </w:r>
      <w:r>
        <w:t>dumping,</w:t>
      </w:r>
      <w:r>
        <w:rPr>
          <w:spacing w:val="40"/>
        </w:rPr>
        <w:t xml:space="preserve"> </w:t>
      </w:r>
      <w:r>
        <w:t>and</w:t>
      </w:r>
      <w:r>
        <w:rPr>
          <w:spacing w:val="40"/>
        </w:rPr>
        <w:t xml:space="preserve"> </w:t>
      </w:r>
      <w:r>
        <w:t>the</w:t>
      </w:r>
      <w:r>
        <w:rPr>
          <w:spacing w:val="40"/>
        </w:rPr>
        <w:t xml:space="preserve"> </w:t>
      </w:r>
      <w:r>
        <w:t>margin</w:t>
      </w:r>
      <w:r>
        <w:rPr>
          <w:spacing w:val="40"/>
        </w:rPr>
        <w:t xml:space="preserve"> </w:t>
      </w:r>
      <w:r>
        <w:t>established</w:t>
      </w:r>
      <w:r>
        <w:rPr>
          <w:spacing w:val="40"/>
        </w:rPr>
        <w:t xml:space="preserve"> </w:t>
      </w:r>
      <w:r>
        <w:t>cannot</w:t>
      </w:r>
      <w:r>
        <w:rPr>
          <w:spacing w:val="40"/>
        </w:rPr>
        <w:t xml:space="preserve"> </w:t>
      </w:r>
      <w:r>
        <w:t>be</w:t>
      </w:r>
      <w:r>
        <w:rPr>
          <w:spacing w:val="40"/>
        </w:rPr>
        <w:t xml:space="preserve"> </w:t>
      </w:r>
      <w:r>
        <w:t>understood without such data.</w:t>
      </w:r>
      <w:r>
        <w:rPr>
          <w:vertAlign w:val="superscript"/>
        </w:rPr>
        <w:t>1189</w:t>
      </w:r>
    </w:p>
    <w:p w14:paraId="51DE9A94" w14:textId="77777777" w:rsidR="0010369C" w:rsidRDefault="0010369C">
      <w:pPr>
        <w:pStyle w:val="BodyText"/>
        <w:spacing w:before="4"/>
        <w:rPr>
          <w:sz w:val="15"/>
        </w:rPr>
      </w:pPr>
    </w:p>
    <w:p w14:paraId="51DE9A95" w14:textId="77777777" w:rsidR="0010369C" w:rsidRDefault="008E43AE">
      <w:pPr>
        <w:pStyle w:val="BodyText"/>
        <w:spacing w:before="51" w:line="360" w:lineRule="auto"/>
        <w:ind w:left="238" w:right="612" w:firstLine="850"/>
        <w:jc w:val="both"/>
      </w:pPr>
      <w:r>
        <w:rPr>
          <w:noProof/>
        </w:rPr>
        <w:drawing>
          <wp:anchor distT="0" distB="0" distL="0" distR="0" simplePos="0" relativeHeight="251600384" behindDoc="1" locked="0" layoutInCell="1" allowOverlap="1" wp14:anchorId="51DEA8B3" wp14:editId="51DEA8B4">
            <wp:simplePos x="0" y="0"/>
            <wp:positionH relativeFrom="page">
              <wp:posOffset>908303</wp:posOffset>
            </wp:positionH>
            <wp:positionV relativeFrom="paragraph">
              <wp:posOffset>75388</wp:posOffset>
            </wp:positionV>
            <wp:extent cx="332231" cy="106679"/>
            <wp:effectExtent l="0" t="0" r="0" b="0"/>
            <wp:wrapNone/>
            <wp:docPr id="1995" name="image10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 name="image1025.png"/>
                    <pic:cNvPicPr/>
                  </pic:nvPicPr>
                  <pic:blipFill>
                    <a:blip r:embed="rId1312" cstate="print"/>
                    <a:stretch>
                      <a:fillRect/>
                    </a:stretch>
                  </pic:blipFill>
                  <pic:spPr>
                    <a:xfrm>
                      <a:off x="0" y="0"/>
                      <a:ext cx="332231" cy="106679"/>
                    </a:xfrm>
                    <a:prstGeom prst="rect">
                      <a:avLst/>
                    </a:prstGeom>
                  </pic:spPr>
                </pic:pic>
              </a:graphicData>
            </a:graphic>
          </wp:anchor>
        </w:drawing>
      </w:r>
      <w:r>
        <w:t>Australia recalls that MOFCOM relied upon "facts available" to determine costs and expenses when determining whether sales were below cost and calculating constructed normal</w:t>
      </w:r>
      <w:r>
        <w:rPr>
          <w:spacing w:val="-3"/>
        </w:rPr>
        <w:t xml:space="preserve"> </w:t>
      </w:r>
      <w:r>
        <w:t>value</w:t>
      </w:r>
      <w:r>
        <w:rPr>
          <w:spacing w:val="-4"/>
        </w:rPr>
        <w:t xml:space="preserve"> </w:t>
      </w:r>
      <w:r>
        <w:t>for</w:t>
      </w:r>
      <w:r>
        <w:rPr>
          <w:spacing w:val="-3"/>
        </w:rPr>
        <w:t xml:space="preserve"> </w:t>
      </w:r>
      <w:r>
        <w:t>Treasury</w:t>
      </w:r>
      <w:r>
        <w:rPr>
          <w:spacing w:val="-3"/>
        </w:rPr>
        <w:t xml:space="preserve"> </w:t>
      </w:r>
      <w:r>
        <w:t>Wines.</w:t>
      </w:r>
      <w:r>
        <w:rPr>
          <w:spacing w:val="-3"/>
        </w:rPr>
        <w:t xml:space="preserve"> </w:t>
      </w:r>
      <w:r>
        <w:t>For</w:t>
      </w:r>
      <w:r>
        <w:rPr>
          <w:spacing w:val="-4"/>
        </w:rPr>
        <w:t xml:space="preserve"> </w:t>
      </w:r>
      <w:r>
        <w:t>Treasury</w:t>
      </w:r>
      <w:r>
        <w:rPr>
          <w:spacing w:val="-3"/>
        </w:rPr>
        <w:t xml:space="preserve"> </w:t>
      </w:r>
      <w:r>
        <w:t>Wines,</w:t>
      </w:r>
      <w:r>
        <w:rPr>
          <w:spacing w:val="-4"/>
        </w:rPr>
        <w:t xml:space="preserve"> </w:t>
      </w:r>
      <w:r>
        <w:t>MOFCOM</w:t>
      </w:r>
      <w:r>
        <w:rPr>
          <w:spacing w:val="-4"/>
        </w:rPr>
        <w:t xml:space="preserve"> </w:t>
      </w:r>
      <w:r>
        <w:t>found</w:t>
      </w:r>
      <w:r>
        <w:rPr>
          <w:spacing w:val="-3"/>
        </w:rPr>
        <w:t xml:space="preserve"> </w:t>
      </w:r>
      <w:r>
        <w:t>in</w:t>
      </w:r>
      <w:r>
        <w:rPr>
          <w:spacing w:val="-4"/>
        </w:rPr>
        <w:t xml:space="preserve"> </w:t>
      </w:r>
      <w:r>
        <w:t>the</w:t>
      </w:r>
      <w:r>
        <w:rPr>
          <w:spacing w:val="-3"/>
        </w:rPr>
        <w:t xml:space="preserve"> </w:t>
      </w:r>
      <w:r>
        <w:t>Final</w:t>
      </w:r>
      <w:r>
        <w:rPr>
          <w:spacing w:val="-2"/>
        </w:rPr>
        <w:t xml:space="preserve"> </w:t>
      </w:r>
      <w:r>
        <w:t>Disclosure that</w:t>
      </w:r>
      <w:r>
        <w:rPr>
          <w:spacing w:val="-8"/>
        </w:rPr>
        <w:t xml:space="preserve"> </w:t>
      </w:r>
      <w:r>
        <w:t>it</w:t>
      </w:r>
      <w:r>
        <w:rPr>
          <w:spacing w:val="-7"/>
        </w:rPr>
        <w:t xml:space="preserve"> </w:t>
      </w:r>
      <w:r>
        <w:t>would</w:t>
      </w:r>
      <w:r>
        <w:rPr>
          <w:spacing w:val="-8"/>
        </w:rPr>
        <w:t xml:space="preserve"> </w:t>
      </w:r>
      <w:r>
        <w:t>"use</w:t>
      </w:r>
      <w:r>
        <w:rPr>
          <w:spacing w:val="-7"/>
        </w:rPr>
        <w:t xml:space="preserve"> </w:t>
      </w:r>
      <w:r>
        <w:t>the</w:t>
      </w:r>
      <w:r>
        <w:rPr>
          <w:spacing w:val="-7"/>
        </w:rPr>
        <w:t xml:space="preserve"> </w:t>
      </w:r>
      <w:r>
        <w:t>data</w:t>
      </w:r>
      <w:r>
        <w:rPr>
          <w:spacing w:val="-7"/>
        </w:rPr>
        <w:t xml:space="preserve"> </w:t>
      </w:r>
      <w:r>
        <w:t>of</w:t>
      </w:r>
      <w:r>
        <w:rPr>
          <w:spacing w:val="-8"/>
        </w:rPr>
        <w:t xml:space="preserve"> </w:t>
      </w:r>
      <w:r>
        <w:t>some</w:t>
      </w:r>
      <w:r>
        <w:rPr>
          <w:spacing w:val="-7"/>
        </w:rPr>
        <w:t xml:space="preserve"> </w:t>
      </w:r>
      <w:r>
        <w:t>product</w:t>
      </w:r>
      <w:r>
        <w:rPr>
          <w:spacing w:val="-7"/>
        </w:rPr>
        <w:t xml:space="preserve"> </w:t>
      </w:r>
      <w:r>
        <w:t>types</w:t>
      </w:r>
      <w:r>
        <w:rPr>
          <w:spacing w:val="-8"/>
        </w:rPr>
        <w:t xml:space="preserve"> </w:t>
      </w:r>
      <w:r>
        <w:t>reported</w:t>
      </w:r>
      <w:r>
        <w:rPr>
          <w:spacing w:val="-8"/>
        </w:rPr>
        <w:t xml:space="preserve"> </w:t>
      </w:r>
      <w:r>
        <w:t>by</w:t>
      </w:r>
      <w:r>
        <w:rPr>
          <w:spacing w:val="-7"/>
        </w:rPr>
        <w:t xml:space="preserve"> </w:t>
      </w:r>
      <w:r>
        <w:t>the</w:t>
      </w:r>
      <w:r>
        <w:rPr>
          <w:spacing w:val="-7"/>
        </w:rPr>
        <w:t xml:space="preserve"> </w:t>
      </w:r>
      <w:r>
        <w:t>Company</w:t>
      </w:r>
      <w:r>
        <w:rPr>
          <w:spacing w:val="-7"/>
        </w:rPr>
        <w:t xml:space="preserve"> </w:t>
      </w:r>
      <w:r>
        <w:t>to</w:t>
      </w:r>
      <w:r>
        <w:rPr>
          <w:spacing w:val="-7"/>
        </w:rPr>
        <w:t xml:space="preserve"> </w:t>
      </w:r>
      <w:r>
        <w:t>determine</w:t>
      </w:r>
      <w:r>
        <w:rPr>
          <w:spacing w:val="-6"/>
        </w:rPr>
        <w:t xml:space="preserve"> </w:t>
      </w:r>
      <w:r>
        <w:t>the production costs</w:t>
      </w:r>
      <w:r>
        <w:rPr>
          <w:spacing w:val="-1"/>
        </w:rPr>
        <w:t xml:space="preserve"> </w:t>
      </w:r>
      <w:r>
        <w:t>and expenses</w:t>
      </w:r>
      <w:r>
        <w:rPr>
          <w:spacing w:val="-2"/>
        </w:rPr>
        <w:t xml:space="preserve"> </w:t>
      </w:r>
      <w:r>
        <w:t>of the product under investigation and like products".</w:t>
      </w:r>
      <w:r>
        <w:rPr>
          <w:vertAlign w:val="superscript"/>
        </w:rPr>
        <w:t>1190</w:t>
      </w:r>
      <w:r>
        <w:rPr>
          <w:spacing w:val="-1"/>
        </w:rPr>
        <w:t xml:space="preserve"> </w:t>
      </w:r>
      <w:r>
        <w:t>The Final</w:t>
      </w:r>
      <w:r>
        <w:rPr>
          <w:spacing w:val="-8"/>
        </w:rPr>
        <w:t xml:space="preserve"> </w:t>
      </w:r>
      <w:r>
        <w:t>Disclosure</w:t>
      </w:r>
      <w:r>
        <w:rPr>
          <w:spacing w:val="-8"/>
        </w:rPr>
        <w:t xml:space="preserve"> </w:t>
      </w:r>
      <w:r>
        <w:t>did</w:t>
      </w:r>
      <w:r>
        <w:rPr>
          <w:spacing w:val="-9"/>
        </w:rPr>
        <w:t xml:space="preserve"> </w:t>
      </w:r>
      <w:r>
        <w:t>not</w:t>
      </w:r>
      <w:r>
        <w:rPr>
          <w:spacing w:val="-10"/>
        </w:rPr>
        <w:t xml:space="preserve"> </w:t>
      </w:r>
      <w:r>
        <w:t>disclose</w:t>
      </w:r>
      <w:r>
        <w:rPr>
          <w:spacing w:val="-7"/>
        </w:rPr>
        <w:t xml:space="preserve"> </w:t>
      </w:r>
      <w:r>
        <w:t>what</w:t>
      </w:r>
      <w:r>
        <w:rPr>
          <w:spacing w:val="-9"/>
        </w:rPr>
        <w:t xml:space="preserve"> </w:t>
      </w:r>
      <w:r>
        <w:t>costs</w:t>
      </w:r>
      <w:r>
        <w:rPr>
          <w:spacing w:val="-9"/>
        </w:rPr>
        <w:t xml:space="preserve"> </w:t>
      </w:r>
      <w:r>
        <w:t>and</w:t>
      </w:r>
      <w:r>
        <w:rPr>
          <w:spacing w:val="-11"/>
        </w:rPr>
        <w:t xml:space="preserve"> </w:t>
      </w:r>
      <w:r>
        <w:t>expenses</w:t>
      </w:r>
      <w:r>
        <w:rPr>
          <w:spacing w:val="-11"/>
        </w:rPr>
        <w:t xml:space="preserve"> </w:t>
      </w:r>
      <w:r>
        <w:t>were</w:t>
      </w:r>
      <w:r>
        <w:rPr>
          <w:spacing w:val="-9"/>
        </w:rPr>
        <w:t xml:space="preserve"> </w:t>
      </w:r>
      <w:r>
        <w:t>accepted,</w:t>
      </w:r>
      <w:r>
        <w:rPr>
          <w:spacing w:val="-9"/>
        </w:rPr>
        <w:t xml:space="preserve"> </w:t>
      </w:r>
      <w:r>
        <w:t>and</w:t>
      </w:r>
      <w:r>
        <w:rPr>
          <w:spacing w:val="-9"/>
        </w:rPr>
        <w:t xml:space="preserve"> </w:t>
      </w:r>
      <w:r>
        <w:t>how</w:t>
      </w:r>
      <w:r>
        <w:rPr>
          <w:spacing w:val="-8"/>
        </w:rPr>
        <w:t xml:space="preserve"> </w:t>
      </w:r>
      <w:r>
        <w:t>these</w:t>
      </w:r>
      <w:r>
        <w:rPr>
          <w:spacing w:val="-8"/>
        </w:rPr>
        <w:t xml:space="preserve"> </w:t>
      </w:r>
      <w:r>
        <w:t>were sufficiently representative to permit a proper comparison.</w:t>
      </w:r>
    </w:p>
    <w:p w14:paraId="51DE9A96" w14:textId="77777777" w:rsidR="0010369C" w:rsidRDefault="0010369C">
      <w:pPr>
        <w:pStyle w:val="BodyText"/>
        <w:spacing w:before="11"/>
        <w:rPr>
          <w:sz w:val="8"/>
        </w:rPr>
      </w:pPr>
    </w:p>
    <w:p w14:paraId="51DE9A97" w14:textId="77777777" w:rsidR="0010369C" w:rsidRDefault="008E43AE">
      <w:pPr>
        <w:pStyle w:val="BodyText"/>
        <w:spacing w:before="53" w:after="2" w:line="360" w:lineRule="auto"/>
        <w:ind w:left="238" w:right="614" w:firstLine="11"/>
      </w:pPr>
      <w:r>
        <w:pict w14:anchorId="51DEA8B5">
          <v:rect id="docshape1401" o:spid="_x0000_s1080" style="position:absolute;left:0;text-align:left;margin-left:110pt;margin-top:24.7pt;width:413.45pt;height:16.05pt;z-index:-251273728;mso-position-horizontal-relative:page" fillcolor="black" stroked="f">
            <w10:wrap anchorx="page"/>
          </v:rect>
        </w:pict>
      </w:r>
      <w:r>
        <w:rPr>
          <w:noProof/>
        </w:rPr>
        <w:drawing>
          <wp:inline distT="0" distB="0" distL="0" distR="0" wp14:anchorId="51DEA8B6" wp14:editId="51DEA8B7">
            <wp:extent cx="332231" cy="109727"/>
            <wp:effectExtent l="0" t="0" r="0" b="0"/>
            <wp:docPr id="1997" name="image10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 name="image1026.png"/>
                    <pic:cNvPicPr/>
                  </pic:nvPicPr>
                  <pic:blipFill>
                    <a:blip r:embed="rId1313" cstate="print"/>
                    <a:stretch>
                      <a:fillRect/>
                    </a:stretch>
                  </pic:blipFill>
                  <pic:spPr>
                    <a:xfrm>
                      <a:off x="0" y="0"/>
                      <a:ext cx="332231" cy="109727"/>
                    </a:xfrm>
                    <a:prstGeom prst="rect">
                      <a:avLst/>
                    </a:prstGeom>
                  </pic:spPr>
                </pic:pic>
              </a:graphicData>
            </a:graphic>
          </wp:inline>
        </w:drawing>
      </w:r>
      <w:r>
        <w:rPr>
          <w:rFonts w:ascii="Times New Roman"/>
          <w:spacing w:val="80"/>
          <w:position w:val="1"/>
          <w:sz w:val="20"/>
        </w:rPr>
        <w:t xml:space="preserve">  </w:t>
      </w:r>
      <w:r>
        <w:rPr>
          <w:position w:val="1"/>
        </w:rPr>
        <w:t>MOFCOM's</w:t>
      </w:r>
      <w:r>
        <w:rPr>
          <w:spacing w:val="-8"/>
          <w:position w:val="1"/>
        </w:rPr>
        <w:t xml:space="preserve"> </w:t>
      </w:r>
      <w:r>
        <w:rPr>
          <w:position w:val="1"/>
        </w:rPr>
        <w:t>methodology</w:t>
      </w:r>
      <w:r>
        <w:rPr>
          <w:spacing w:val="-9"/>
          <w:position w:val="1"/>
        </w:rPr>
        <w:t xml:space="preserve"> </w:t>
      </w:r>
      <w:r>
        <w:rPr>
          <w:position w:val="1"/>
        </w:rPr>
        <w:t>for</w:t>
      </w:r>
      <w:r>
        <w:rPr>
          <w:spacing w:val="-8"/>
          <w:position w:val="1"/>
        </w:rPr>
        <w:t xml:space="preserve"> </w:t>
      </w:r>
      <w:r>
        <w:rPr>
          <w:position w:val="1"/>
        </w:rPr>
        <w:t>calculating</w:t>
      </w:r>
      <w:r>
        <w:rPr>
          <w:spacing w:val="-8"/>
          <w:position w:val="1"/>
        </w:rPr>
        <w:t xml:space="preserve"> </w:t>
      </w:r>
      <w:r>
        <w:rPr>
          <w:position w:val="1"/>
        </w:rPr>
        <w:t>the</w:t>
      </w:r>
      <w:r>
        <w:rPr>
          <w:spacing w:val="-8"/>
          <w:position w:val="1"/>
        </w:rPr>
        <w:t xml:space="preserve"> </w:t>
      </w:r>
      <w:r>
        <w:rPr>
          <w:position w:val="1"/>
        </w:rPr>
        <w:t>dumping</w:t>
      </w:r>
      <w:r>
        <w:rPr>
          <w:spacing w:val="-8"/>
          <w:position w:val="1"/>
        </w:rPr>
        <w:t xml:space="preserve"> </w:t>
      </w:r>
      <w:r>
        <w:rPr>
          <w:position w:val="1"/>
        </w:rPr>
        <w:t>margin</w:t>
      </w:r>
      <w:r>
        <w:rPr>
          <w:spacing w:val="-9"/>
          <w:position w:val="1"/>
        </w:rPr>
        <w:t xml:space="preserve"> </w:t>
      </w:r>
      <w:r>
        <w:rPr>
          <w:position w:val="1"/>
        </w:rPr>
        <w:t>for</w:t>
      </w:r>
      <w:r>
        <w:rPr>
          <w:spacing w:val="-8"/>
          <w:position w:val="1"/>
        </w:rPr>
        <w:t xml:space="preserve"> </w:t>
      </w:r>
      <w:r>
        <w:rPr>
          <w:position w:val="1"/>
        </w:rPr>
        <w:t>Treasury</w:t>
      </w:r>
      <w:r>
        <w:rPr>
          <w:spacing w:val="-8"/>
          <w:position w:val="1"/>
        </w:rPr>
        <w:t xml:space="preserve"> </w:t>
      </w:r>
      <w:r>
        <w:rPr>
          <w:position w:val="1"/>
        </w:rPr>
        <w:t>Wines</w:t>
      </w:r>
      <w:r>
        <w:rPr>
          <w:spacing w:val="-9"/>
          <w:position w:val="1"/>
        </w:rPr>
        <w:t xml:space="preserve"> </w:t>
      </w:r>
      <w:r>
        <w:rPr>
          <w:position w:val="1"/>
        </w:rPr>
        <w:t xml:space="preserve">was </w:t>
      </w:r>
      <w:r>
        <w:t>to use [[</w:t>
      </w:r>
    </w:p>
    <w:p w14:paraId="51DE9A98" w14:textId="77777777" w:rsidR="0010369C" w:rsidRDefault="008E43AE">
      <w:pPr>
        <w:pStyle w:val="BodyText"/>
        <w:ind w:left="218"/>
        <w:rPr>
          <w:sz w:val="20"/>
        </w:rPr>
      </w:pPr>
      <w:r>
        <w:rPr>
          <w:sz w:val="20"/>
        </w:rPr>
      </w:r>
      <w:r>
        <w:rPr>
          <w:sz w:val="20"/>
        </w:rPr>
        <w:pict w14:anchorId="51DEA8B9">
          <v:group id="docshapegroup1402" o:spid="_x0000_s1078" style="width:453.5pt;height:16.1pt;mso-position-horizontal-relative:char;mso-position-vertical-relative:line" coordsize="9070,322">
            <v:rect id="docshape1403" o:spid="_x0000_s1079" style="position:absolute;width:9070;height:322" fillcolor="black" stroked="f"/>
            <w10:anchorlock/>
          </v:group>
        </w:pict>
      </w:r>
    </w:p>
    <w:p w14:paraId="51DE9A99" w14:textId="77777777" w:rsidR="0010369C" w:rsidRDefault="008E43AE">
      <w:pPr>
        <w:pStyle w:val="BodyText"/>
        <w:spacing w:before="11"/>
        <w:rPr>
          <w:sz w:val="4"/>
        </w:rPr>
      </w:pPr>
      <w:r>
        <w:pict w14:anchorId="51DEA8BA">
          <v:rect id="docshape1404" o:spid="_x0000_s1077" style="position:absolute;margin-left:69.9pt;margin-top:4.2pt;width:453.5pt;height:16.05pt;z-index:-250683904;mso-wrap-distance-left:0;mso-wrap-distance-right:0;mso-position-horizontal-relative:page" fillcolor="black" stroked="f">
            <w10:wrap type="topAndBottom" anchorx="page"/>
          </v:rect>
        </w:pict>
      </w:r>
      <w:r>
        <w:pict w14:anchorId="51DEA8BB">
          <v:rect id="docshape1405" o:spid="_x0000_s1076" style="position:absolute;margin-left:69.9pt;margin-top:26.15pt;width:453.45pt;height:16.05pt;z-index:-250682880;mso-wrap-distance-left:0;mso-wrap-distance-right:0;mso-position-horizontal-relative:page" fillcolor="black" stroked="f">
            <w10:wrap type="topAndBottom" anchorx="page"/>
          </v:rect>
        </w:pict>
      </w:r>
    </w:p>
    <w:p w14:paraId="51DE9A9A" w14:textId="77777777" w:rsidR="0010369C" w:rsidRDefault="0010369C">
      <w:pPr>
        <w:pStyle w:val="BodyText"/>
        <w:spacing w:before="8"/>
        <w:rPr>
          <w:sz w:val="7"/>
        </w:rPr>
      </w:pPr>
    </w:p>
    <w:p w14:paraId="51DE9A9B" w14:textId="77777777" w:rsidR="0010369C" w:rsidRDefault="008E43AE">
      <w:pPr>
        <w:spacing w:before="116"/>
        <w:ind w:left="165" w:right="2465"/>
        <w:jc w:val="center"/>
        <w:rPr>
          <w:sz w:val="24"/>
        </w:rPr>
      </w:pPr>
      <w:r>
        <w:rPr>
          <w:spacing w:val="-5"/>
          <w:sz w:val="24"/>
        </w:rPr>
        <w:t>]]</w:t>
      </w:r>
    </w:p>
    <w:p w14:paraId="51DE9A9C" w14:textId="77777777" w:rsidR="0010369C" w:rsidRDefault="0010369C">
      <w:pPr>
        <w:pStyle w:val="BodyText"/>
        <w:spacing w:before="10"/>
        <w:rPr>
          <w:sz w:val="20"/>
        </w:rPr>
      </w:pPr>
    </w:p>
    <w:p w14:paraId="51DE9A9D" w14:textId="77777777" w:rsidR="0010369C" w:rsidRDefault="008E43AE">
      <w:pPr>
        <w:pStyle w:val="BodyText"/>
        <w:spacing w:before="52" w:line="360" w:lineRule="auto"/>
        <w:ind w:left="238" w:right="614" w:firstLine="851"/>
        <w:jc w:val="both"/>
      </w:pPr>
      <w:r>
        <w:pict w14:anchorId="51DEA8BC">
          <v:rect id="docshape1406" o:spid="_x0000_s1075" style="position:absolute;left:0;text-align:left;margin-left:69.9pt;margin-top:-27.25pt;width:175pt;height:16.05pt;z-index:251872768;mso-position-horizontal-relative:page" fillcolor="black" stroked="f">
            <w10:wrap anchorx="page"/>
          </v:rect>
        </w:pict>
      </w:r>
      <w:r>
        <w:rPr>
          <w:noProof/>
        </w:rPr>
        <w:drawing>
          <wp:anchor distT="0" distB="0" distL="0" distR="0" simplePos="0" relativeHeight="251601408" behindDoc="1" locked="0" layoutInCell="1" allowOverlap="1" wp14:anchorId="51DEA8BD" wp14:editId="51DEA8BE">
            <wp:simplePos x="0" y="0"/>
            <wp:positionH relativeFrom="page">
              <wp:posOffset>908303</wp:posOffset>
            </wp:positionH>
            <wp:positionV relativeFrom="paragraph">
              <wp:posOffset>76023</wp:posOffset>
            </wp:positionV>
            <wp:extent cx="332231" cy="106679"/>
            <wp:effectExtent l="0" t="0" r="0" b="0"/>
            <wp:wrapNone/>
            <wp:docPr id="1999" name="image10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 name="image1027.png"/>
                    <pic:cNvPicPr/>
                  </pic:nvPicPr>
                  <pic:blipFill>
                    <a:blip r:embed="rId1314" cstate="print"/>
                    <a:stretch>
                      <a:fillRect/>
                    </a:stretch>
                  </pic:blipFill>
                  <pic:spPr>
                    <a:xfrm>
                      <a:off x="0" y="0"/>
                      <a:ext cx="332231" cy="106679"/>
                    </a:xfrm>
                    <a:prstGeom prst="rect">
                      <a:avLst/>
                    </a:prstGeom>
                  </pic:spPr>
                </pic:pic>
              </a:graphicData>
            </a:graphic>
          </wp:anchor>
        </w:drawing>
      </w:r>
      <w:r>
        <w:t>For Casella Wines, MOFCOM found that the company "neither provided complete information about domestic sale as required by the questionnaire, nor offered convincing explanations",</w:t>
      </w:r>
      <w:r>
        <w:rPr>
          <w:vertAlign w:val="superscript"/>
        </w:rPr>
        <w:t>1192</w:t>
      </w:r>
      <w:r>
        <w:t xml:space="preserve"> and therefore MOFCOM resor</w:t>
      </w:r>
      <w:r>
        <w:t>ted to "known facts and best information available" to determine normal value.</w:t>
      </w:r>
      <w:r>
        <w:rPr>
          <w:vertAlign w:val="superscript"/>
        </w:rPr>
        <w:t>1193</w:t>
      </w:r>
      <w:r>
        <w:t xml:space="preserve"> MOFCOM elaborated on its normal value methodology as follows:</w:t>
      </w:r>
    </w:p>
    <w:p w14:paraId="51DE9A9E" w14:textId="77777777" w:rsidR="0010369C" w:rsidRDefault="008E43AE">
      <w:pPr>
        <w:spacing w:before="161" w:line="276" w:lineRule="auto"/>
        <w:ind w:left="1088" w:right="613"/>
        <w:jc w:val="both"/>
      </w:pPr>
      <w:r>
        <w:t>[A]fter taking into account the physical properties of the product under investigation, the costs differences i</w:t>
      </w:r>
      <w:r>
        <w:t>n different product types, trade links and other influencing factors, the Investigating</w:t>
      </w:r>
      <w:r>
        <w:rPr>
          <w:spacing w:val="-7"/>
        </w:rPr>
        <w:t xml:space="preserve"> </w:t>
      </w:r>
      <w:r>
        <w:t>Authority</w:t>
      </w:r>
      <w:r>
        <w:rPr>
          <w:spacing w:val="-8"/>
        </w:rPr>
        <w:t xml:space="preserve"> </w:t>
      </w:r>
      <w:r>
        <w:t>held</w:t>
      </w:r>
      <w:r>
        <w:rPr>
          <w:spacing w:val="-8"/>
        </w:rPr>
        <w:t xml:space="preserve"> </w:t>
      </w:r>
      <w:r>
        <w:t>that</w:t>
      </w:r>
      <w:r>
        <w:rPr>
          <w:spacing w:val="-7"/>
        </w:rPr>
        <w:t xml:space="preserve"> </w:t>
      </w:r>
      <w:r>
        <w:t>the</w:t>
      </w:r>
      <w:r>
        <w:rPr>
          <w:spacing w:val="-8"/>
        </w:rPr>
        <w:t xml:space="preserve"> </w:t>
      </w:r>
      <w:r>
        <w:t>expenses</w:t>
      </w:r>
      <w:r>
        <w:rPr>
          <w:spacing w:val="-7"/>
        </w:rPr>
        <w:t xml:space="preserve"> </w:t>
      </w:r>
      <w:r>
        <w:t>properly</w:t>
      </w:r>
      <w:r>
        <w:rPr>
          <w:spacing w:val="-8"/>
        </w:rPr>
        <w:t xml:space="preserve"> </w:t>
      </w:r>
      <w:r>
        <w:t>adjusted</w:t>
      </w:r>
      <w:r>
        <w:rPr>
          <w:spacing w:val="-8"/>
        </w:rPr>
        <w:t xml:space="preserve"> </w:t>
      </w:r>
      <w:r>
        <w:t>based</w:t>
      </w:r>
      <w:r>
        <w:rPr>
          <w:spacing w:val="-9"/>
        </w:rPr>
        <w:t xml:space="preserve"> </w:t>
      </w:r>
      <w:r>
        <w:t>on</w:t>
      </w:r>
      <w:r>
        <w:rPr>
          <w:spacing w:val="-8"/>
        </w:rPr>
        <w:t xml:space="preserve"> </w:t>
      </w:r>
      <w:r>
        <w:t>weighted</w:t>
      </w:r>
      <w:r>
        <w:rPr>
          <w:spacing w:val="-8"/>
        </w:rPr>
        <w:t xml:space="preserve"> </w:t>
      </w:r>
      <w:r>
        <w:t>average prices of domestic sales of other respondents could be used to determine the normal value t</w:t>
      </w:r>
      <w:r>
        <w:t>hat reflected market conditions in a reasonable manner.</w:t>
      </w:r>
      <w:r>
        <w:rPr>
          <w:vertAlign w:val="superscript"/>
        </w:rPr>
        <w:t>1194</w:t>
      </w:r>
    </w:p>
    <w:p w14:paraId="51DE9A9F" w14:textId="77777777" w:rsidR="0010369C" w:rsidRDefault="0010369C">
      <w:pPr>
        <w:pStyle w:val="BodyText"/>
        <w:spacing w:before="4"/>
        <w:rPr>
          <w:sz w:val="15"/>
        </w:rPr>
      </w:pPr>
    </w:p>
    <w:p w14:paraId="51DE9AA0" w14:textId="77777777" w:rsidR="0010369C" w:rsidRDefault="008E43AE">
      <w:pPr>
        <w:pStyle w:val="BodyText"/>
        <w:spacing w:before="52" w:line="360" w:lineRule="auto"/>
        <w:ind w:left="238" w:right="615" w:firstLine="850"/>
        <w:jc w:val="both"/>
      </w:pPr>
      <w:r>
        <w:rPr>
          <w:noProof/>
        </w:rPr>
        <w:drawing>
          <wp:anchor distT="0" distB="0" distL="0" distR="0" simplePos="0" relativeHeight="251602432" behindDoc="1" locked="0" layoutInCell="1" allowOverlap="1" wp14:anchorId="51DEA8BF" wp14:editId="51DEA8C0">
            <wp:simplePos x="0" y="0"/>
            <wp:positionH relativeFrom="page">
              <wp:posOffset>908303</wp:posOffset>
            </wp:positionH>
            <wp:positionV relativeFrom="paragraph">
              <wp:posOffset>76785</wp:posOffset>
            </wp:positionV>
            <wp:extent cx="332231" cy="106679"/>
            <wp:effectExtent l="0" t="0" r="0" b="0"/>
            <wp:wrapNone/>
            <wp:docPr id="2001" name="image10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 name="image1028.png"/>
                    <pic:cNvPicPr/>
                  </pic:nvPicPr>
                  <pic:blipFill>
                    <a:blip r:embed="rId1315" cstate="print"/>
                    <a:stretch>
                      <a:fillRect/>
                    </a:stretch>
                  </pic:blipFill>
                  <pic:spPr>
                    <a:xfrm>
                      <a:off x="0" y="0"/>
                      <a:ext cx="332231" cy="106679"/>
                    </a:xfrm>
                    <a:prstGeom prst="rect">
                      <a:avLst/>
                    </a:prstGeom>
                  </pic:spPr>
                </pic:pic>
              </a:graphicData>
            </a:graphic>
          </wp:anchor>
        </w:drawing>
      </w:r>
      <w:r>
        <w:t>Contrary to MOFCOM's Article 6.9 due process obligations, however, MOFCOM did not identify with any specificity the</w:t>
      </w:r>
      <w:r>
        <w:rPr>
          <w:spacing w:val="-1"/>
        </w:rPr>
        <w:t xml:space="preserve"> </w:t>
      </w:r>
      <w:r>
        <w:t>"product types,</w:t>
      </w:r>
      <w:r>
        <w:rPr>
          <w:spacing w:val="-1"/>
        </w:rPr>
        <w:t xml:space="preserve"> </w:t>
      </w:r>
      <w:r>
        <w:t>trade</w:t>
      </w:r>
      <w:r>
        <w:rPr>
          <w:spacing w:val="-1"/>
        </w:rPr>
        <w:t xml:space="preserve"> </w:t>
      </w:r>
      <w:r>
        <w:t xml:space="preserve">links and other influencing factors" </w:t>
      </w:r>
      <w:r>
        <w:rPr>
          <w:w w:val="95"/>
        </w:rPr>
        <w:t>it</w:t>
      </w:r>
      <w:r>
        <w:rPr>
          <w:spacing w:val="14"/>
        </w:rPr>
        <w:t xml:space="preserve"> </w:t>
      </w:r>
      <w:r>
        <w:rPr>
          <w:w w:val="95"/>
        </w:rPr>
        <w:t>considered,</w:t>
      </w:r>
      <w:r>
        <w:rPr>
          <w:spacing w:val="12"/>
        </w:rPr>
        <w:t xml:space="preserve"> </w:t>
      </w:r>
      <w:r>
        <w:rPr>
          <w:w w:val="95"/>
        </w:rPr>
        <w:t>or</w:t>
      </w:r>
      <w:r>
        <w:rPr>
          <w:spacing w:val="14"/>
        </w:rPr>
        <w:t xml:space="preserve"> </w:t>
      </w:r>
      <w:r>
        <w:rPr>
          <w:w w:val="95"/>
        </w:rPr>
        <w:t>how</w:t>
      </w:r>
      <w:r>
        <w:rPr>
          <w:spacing w:val="14"/>
        </w:rPr>
        <w:t xml:space="preserve"> </w:t>
      </w:r>
      <w:r>
        <w:rPr>
          <w:w w:val="95"/>
        </w:rPr>
        <w:t>those</w:t>
      </w:r>
      <w:r>
        <w:rPr>
          <w:spacing w:val="16"/>
        </w:rPr>
        <w:t xml:space="preserve"> </w:t>
      </w:r>
      <w:r>
        <w:rPr>
          <w:w w:val="95"/>
        </w:rPr>
        <w:t>facts</w:t>
      </w:r>
      <w:r>
        <w:rPr>
          <w:spacing w:val="14"/>
        </w:rPr>
        <w:t xml:space="preserve"> </w:t>
      </w:r>
      <w:r>
        <w:rPr>
          <w:w w:val="95"/>
        </w:rPr>
        <w:t>were</w:t>
      </w:r>
      <w:r>
        <w:rPr>
          <w:spacing w:val="14"/>
        </w:rPr>
        <w:t xml:space="preserve"> </w:t>
      </w:r>
      <w:r>
        <w:rPr>
          <w:w w:val="95"/>
        </w:rPr>
        <w:t>used</w:t>
      </w:r>
      <w:r>
        <w:rPr>
          <w:spacing w:val="15"/>
        </w:rPr>
        <w:t xml:space="preserve"> </w:t>
      </w:r>
      <w:r>
        <w:rPr>
          <w:w w:val="95"/>
        </w:rPr>
        <w:t>in</w:t>
      </w:r>
      <w:r>
        <w:rPr>
          <w:spacing w:val="14"/>
        </w:rPr>
        <w:t xml:space="preserve"> </w:t>
      </w:r>
      <w:r>
        <w:rPr>
          <w:w w:val="95"/>
        </w:rPr>
        <w:t>MOFCOM's</w:t>
      </w:r>
      <w:r>
        <w:rPr>
          <w:spacing w:val="12"/>
        </w:rPr>
        <w:t xml:space="preserve"> </w:t>
      </w:r>
      <w:r>
        <w:rPr>
          <w:w w:val="95"/>
        </w:rPr>
        <w:t>methodology.</w:t>
      </w:r>
      <w:r>
        <w:rPr>
          <w:spacing w:val="11"/>
        </w:rPr>
        <w:t xml:space="preserve"> </w:t>
      </w:r>
      <w:r>
        <w:rPr>
          <w:w w:val="95"/>
        </w:rPr>
        <w:t>Similarly,</w:t>
      </w:r>
      <w:r>
        <w:rPr>
          <w:spacing w:val="14"/>
        </w:rPr>
        <w:t xml:space="preserve"> </w:t>
      </w:r>
      <w:r>
        <w:rPr>
          <w:spacing w:val="-2"/>
          <w:w w:val="95"/>
        </w:rPr>
        <w:t>M</w:t>
      </w:r>
      <w:r>
        <w:rPr>
          <w:spacing w:val="-2"/>
          <w:w w:val="95"/>
        </w:rPr>
        <w:t>OFCOM's</w:t>
      </w:r>
    </w:p>
    <w:p w14:paraId="51DE9AA1" w14:textId="77777777" w:rsidR="0010369C" w:rsidRDefault="008E43AE">
      <w:pPr>
        <w:pStyle w:val="BodyText"/>
        <w:spacing w:before="1"/>
        <w:rPr>
          <w:sz w:val="15"/>
        </w:rPr>
      </w:pPr>
      <w:r>
        <w:pict w14:anchorId="51DEA8C1">
          <v:rect id="docshape1407" o:spid="_x0000_s1074" style="position:absolute;margin-left:70.9pt;margin-top:10.45pt;width:2in;height:.8pt;z-index:-250681856;mso-wrap-distance-left:0;mso-wrap-distance-right:0;mso-position-horizontal-relative:page" fillcolor="black" stroked="f">
            <w10:wrap type="topAndBottom" anchorx="page"/>
          </v:rect>
        </w:pict>
      </w:r>
    </w:p>
    <w:p w14:paraId="51DE9AA2" w14:textId="77777777" w:rsidR="0010369C" w:rsidRDefault="008E43AE">
      <w:pPr>
        <w:spacing w:before="109"/>
        <w:ind w:left="238"/>
        <w:rPr>
          <w:sz w:val="18"/>
        </w:rPr>
      </w:pPr>
      <w:r>
        <w:rPr>
          <w:sz w:val="18"/>
          <w:vertAlign w:val="superscript"/>
        </w:rPr>
        <w:t>1189</w:t>
      </w:r>
      <w:r>
        <w:rPr>
          <w:spacing w:val="-6"/>
          <w:sz w:val="18"/>
        </w:rPr>
        <w:t xml:space="preserve"> </w:t>
      </w:r>
      <w:r>
        <w:rPr>
          <w:sz w:val="18"/>
        </w:rPr>
        <w:t>Panel</w:t>
      </w:r>
      <w:r>
        <w:rPr>
          <w:spacing w:val="-7"/>
          <w:sz w:val="18"/>
        </w:rPr>
        <w:t xml:space="preserve"> </w:t>
      </w:r>
      <w:r>
        <w:rPr>
          <w:sz w:val="18"/>
        </w:rPr>
        <w:t>Report,</w:t>
      </w:r>
      <w:r>
        <w:rPr>
          <w:spacing w:val="-5"/>
          <w:sz w:val="18"/>
        </w:rPr>
        <w:t xml:space="preserve"> </w:t>
      </w:r>
      <w:r>
        <w:rPr>
          <w:i/>
          <w:sz w:val="18"/>
        </w:rPr>
        <w:t>China</w:t>
      </w:r>
      <w:r>
        <w:rPr>
          <w:i/>
          <w:spacing w:val="-6"/>
          <w:sz w:val="18"/>
        </w:rPr>
        <w:t xml:space="preserve"> </w:t>
      </w:r>
      <w:r>
        <w:rPr>
          <w:i/>
          <w:sz w:val="18"/>
        </w:rPr>
        <w:t>–</w:t>
      </w:r>
      <w:r>
        <w:rPr>
          <w:i/>
          <w:spacing w:val="-6"/>
          <w:sz w:val="18"/>
        </w:rPr>
        <w:t xml:space="preserve"> </w:t>
      </w:r>
      <w:r>
        <w:rPr>
          <w:i/>
          <w:sz w:val="18"/>
        </w:rPr>
        <w:t>Broiler</w:t>
      </w:r>
      <w:r>
        <w:rPr>
          <w:i/>
          <w:spacing w:val="-6"/>
          <w:sz w:val="18"/>
        </w:rPr>
        <w:t xml:space="preserve"> </w:t>
      </w:r>
      <w:r>
        <w:rPr>
          <w:i/>
          <w:sz w:val="18"/>
        </w:rPr>
        <w:t>Products</w:t>
      </w:r>
      <w:r>
        <w:rPr>
          <w:sz w:val="18"/>
        </w:rPr>
        <w:t>,</w:t>
      </w:r>
      <w:r>
        <w:rPr>
          <w:spacing w:val="-7"/>
          <w:sz w:val="18"/>
        </w:rPr>
        <w:t xml:space="preserve"> </w:t>
      </w:r>
      <w:r>
        <w:rPr>
          <w:sz w:val="18"/>
        </w:rPr>
        <w:t>para.</w:t>
      </w:r>
      <w:r>
        <w:rPr>
          <w:spacing w:val="-5"/>
          <w:sz w:val="18"/>
        </w:rPr>
        <w:t xml:space="preserve"> </w:t>
      </w:r>
      <w:r>
        <w:rPr>
          <w:sz w:val="18"/>
        </w:rPr>
        <w:t>790.</w:t>
      </w:r>
      <w:r>
        <w:rPr>
          <w:spacing w:val="-6"/>
          <w:sz w:val="18"/>
        </w:rPr>
        <w:t xml:space="preserve"> </w:t>
      </w:r>
      <w:r>
        <w:rPr>
          <w:sz w:val="18"/>
        </w:rPr>
        <w:t>(footnotes</w:t>
      </w:r>
      <w:r>
        <w:rPr>
          <w:spacing w:val="-5"/>
          <w:sz w:val="18"/>
        </w:rPr>
        <w:t xml:space="preserve"> </w:t>
      </w:r>
      <w:r>
        <w:rPr>
          <w:spacing w:val="-2"/>
          <w:sz w:val="18"/>
        </w:rPr>
        <w:t>omitted)</w:t>
      </w:r>
    </w:p>
    <w:p w14:paraId="51DE9AA3" w14:textId="77777777" w:rsidR="0010369C" w:rsidRDefault="008E43AE">
      <w:pPr>
        <w:ind w:left="238"/>
        <w:rPr>
          <w:sz w:val="18"/>
        </w:rPr>
      </w:pPr>
      <w:r>
        <w:rPr>
          <w:sz w:val="18"/>
          <w:vertAlign w:val="superscript"/>
        </w:rPr>
        <w:t>1190</w:t>
      </w:r>
      <w:r>
        <w:rPr>
          <w:spacing w:val="-9"/>
          <w:sz w:val="18"/>
        </w:rPr>
        <w:t xml:space="preserve"> </w:t>
      </w:r>
      <w:r>
        <w:rPr>
          <w:sz w:val="18"/>
        </w:rPr>
        <w:t>Anti‐Dumping</w:t>
      </w:r>
      <w:r>
        <w:rPr>
          <w:spacing w:val="-9"/>
          <w:sz w:val="18"/>
        </w:rPr>
        <w:t xml:space="preserve"> </w:t>
      </w:r>
      <w:r>
        <w:rPr>
          <w:sz w:val="18"/>
        </w:rPr>
        <w:t>Additional</w:t>
      </w:r>
      <w:r>
        <w:rPr>
          <w:spacing w:val="-10"/>
          <w:sz w:val="18"/>
        </w:rPr>
        <w:t xml:space="preserve"> </w:t>
      </w:r>
      <w:r>
        <w:rPr>
          <w:sz w:val="18"/>
        </w:rPr>
        <w:t>Final</w:t>
      </w:r>
      <w:r>
        <w:rPr>
          <w:spacing w:val="-9"/>
          <w:sz w:val="18"/>
        </w:rPr>
        <w:t xml:space="preserve"> </w:t>
      </w:r>
      <w:r>
        <w:rPr>
          <w:sz w:val="18"/>
        </w:rPr>
        <w:t>Disclosure</w:t>
      </w:r>
      <w:r>
        <w:rPr>
          <w:spacing w:val="-9"/>
          <w:sz w:val="18"/>
        </w:rPr>
        <w:t xml:space="preserve"> </w:t>
      </w:r>
      <w:r>
        <w:rPr>
          <w:sz w:val="18"/>
        </w:rPr>
        <w:t>(Exhibit</w:t>
      </w:r>
      <w:r>
        <w:rPr>
          <w:spacing w:val="-9"/>
          <w:sz w:val="18"/>
        </w:rPr>
        <w:t xml:space="preserve"> </w:t>
      </w:r>
      <w:r>
        <w:rPr>
          <w:sz w:val="18"/>
        </w:rPr>
        <w:t>AUS‐101),</w:t>
      </w:r>
      <w:r>
        <w:rPr>
          <w:spacing w:val="-10"/>
          <w:sz w:val="18"/>
        </w:rPr>
        <w:t xml:space="preserve"> </w:t>
      </w:r>
      <w:r>
        <w:rPr>
          <w:sz w:val="18"/>
        </w:rPr>
        <w:t>p.</w:t>
      </w:r>
      <w:r>
        <w:rPr>
          <w:spacing w:val="-9"/>
          <w:sz w:val="18"/>
        </w:rPr>
        <w:t xml:space="preserve"> </w:t>
      </w:r>
      <w:r>
        <w:rPr>
          <w:spacing w:val="-5"/>
          <w:sz w:val="18"/>
        </w:rPr>
        <w:t>39.</w:t>
      </w:r>
    </w:p>
    <w:p w14:paraId="51DE9AA4" w14:textId="77777777" w:rsidR="0010369C" w:rsidRDefault="008E43AE">
      <w:pPr>
        <w:spacing w:before="1"/>
        <w:ind w:left="238"/>
        <w:rPr>
          <w:sz w:val="18"/>
        </w:rPr>
      </w:pPr>
      <w:r>
        <w:rPr>
          <w:sz w:val="18"/>
          <w:vertAlign w:val="superscript"/>
        </w:rPr>
        <w:t>1191</w:t>
      </w:r>
      <w:r>
        <w:rPr>
          <w:spacing w:val="-6"/>
          <w:sz w:val="18"/>
        </w:rPr>
        <w:t xml:space="preserve"> </w:t>
      </w:r>
      <w:r>
        <w:rPr>
          <w:sz w:val="18"/>
        </w:rPr>
        <w:t>See</w:t>
      </w:r>
      <w:r>
        <w:rPr>
          <w:spacing w:val="-5"/>
          <w:sz w:val="18"/>
        </w:rPr>
        <w:t xml:space="preserve"> </w:t>
      </w:r>
      <w:r>
        <w:rPr>
          <w:sz w:val="18"/>
        </w:rPr>
        <w:t>above,</w:t>
      </w:r>
      <w:r>
        <w:rPr>
          <w:spacing w:val="-6"/>
          <w:sz w:val="18"/>
        </w:rPr>
        <w:t xml:space="preserve"> </w:t>
      </w:r>
      <w:r>
        <w:rPr>
          <w:sz w:val="18"/>
        </w:rPr>
        <w:t>section</w:t>
      </w:r>
      <w:r>
        <w:rPr>
          <w:spacing w:val="-6"/>
          <w:sz w:val="18"/>
        </w:rPr>
        <w:t xml:space="preserve"> </w:t>
      </w:r>
      <w:r>
        <w:rPr>
          <w:spacing w:val="-2"/>
          <w:sz w:val="18"/>
        </w:rPr>
        <w:t>II.E.3.</w:t>
      </w:r>
    </w:p>
    <w:p w14:paraId="51DE9AA5" w14:textId="77777777" w:rsidR="0010369C" w:rsidRDefault="008E43AE">
      <w:pPr>
        <w:ind w:left="238" w:right="4592"/>
        <w:jc w:val="both"/>
        <w:rPr>
          <w:sz w:val="18"/>
        </w:rPr>
      </w:pPr>
      <w:r>
        <w:rPr>
          <w:sz w:val="18"/>
          <w:vertAlign w:val="superscript"/>
        </w:rPr>
        <w:t>1192</w:t>
      </w:r>
      <w:r>
        <w:rPr>
          <w:spacing w:val="-4"/>
          <w:sz w:val="18"/>
        </w:rPr>
        <w:t xml:space="preserve"> </w:t>
      </w:r>
      <w:r>
        <w:rPr>
          <w:sz w:val="18"/>
        </w:rPr>
        <w:t>Anti‐Dumping</w:t>
      </w:r>
      <w:r>
        <w:rPr>
          <w:spacing w:val="-4"/>
          <w:sz w:val="18"/>
        </w:rPr>
        <w:t xml:space="preserve"> </w:t>
      </w:r>
      <w:r>
        <w:rPr>
          <w:sz w:val="18"/>
        </w:rPr>
        <w:t>Additional</w:t>
      </w:r>
      <w:r>
        <w:rPr>
          <w:spacing w:val="-5"/>
          <w:sz w:val="18"/>
        </w:rPr>
        <w:t xml:space="preserve"> </w:t>
      </w:r>
      <w:r>
        <w:rPr>
          <w:sz w:val="18"/>
        </w:rPr>
        <w:t>Final</w:t>
      </w:r>
      <w:r>
        <w:rPr>
          <w:spacing w:val="-4"/>
          <w:sz w:val="18"/>
        </w:rPr>
        <w:t xml:space="preserve"> </w:t>
      </w:r>
      <w:r>
        <w:rPr>
          <w:sz w:val="18"/>
        </w:rPr>
        <w:t>Disclosure</w:t>
      </w:r>
      <w:r>
        <w:rPr>
          <w:spacing w:val="-4"/>
          <w:sz w:val="18"/>
        </w:rPr>
        <w:t xml:space="preserve"> </w:t>
      </w:r>
      <w:r>
        <w:rPr>
          <w:sz w:val="18"/>
        </w:rPr>
        <w:t>(Exhibit</w:t>
      </w:r>
      <w:r>
        <w:rPr>
          <w:spacing w:val="-4"/>
          <w:sz w:val="18"/>
        </w:rPr>
        <w:t xml:space="preserve"> </w:t>
      </w:r>
      <w:r>
        <w:rPr>
          <w:sz w:val="18"/>
        </w:rPr>
        <w:t>AUS‐101),</w:t>
      </w:r>
      <w:r>
        <w:rPr>
          <w:spacing w:val="-5"/>
          <w:sz w:val="18"/>
        </w:rPr>
        <w:t xml:space="preserve"> </w:t>
      </w:r>
      <w:r>
        <w:rPr>
          <w:sz w:val="18"/>
        </w:rPr>
        <w:t>p.</w:t>
      </w:r>
      <w:r>
        <w:rPr>
          <w:spacing w:val="-4"/>
          <w:sz w:val="18"/>
        </w:rPr>
        <w:t xml:space="preserve"> </w:t>
      </w:r>
      <w:r>
        <w:rPr>
          <w:sz w:val="18"/>
        </w:rPr>
        <w:t xml:space="preserve">24. </w:t>
      </w:r>
      <w:r>
        <w:rPr>
          <w:sz w:val="18"/>
          <w:vertAlign w:val="superscript"/>
        </w:rPr>
        <w:t>1193</w:t>
      </w:r>
      <w:r>
        <w:rPr>
          <w:spacing w:val="-4"/>
          <w:sz w:val="18"/>
        </w:rPr>
        <w:t xml:space="preserve"> </w:t>
      </w:r>
      <w:r>
        <w:rPr>
          <w:sz w:val="18"/>
        </w:rPr>
        <w:t>Anti‐Dumping</w:t>
      </w:r>
      <w:r>
        <w:rPr>
          <w:spacing w:val="-4"/>
          <w:sz w:val="18"/>
        </w:rPr>
        <w:t xml:space="preserve"> </w:t>
      </w:r>
      <w:r>
        <w:rPr>
          <w:sz w:val="18"/>
        </w:rPr>
        <w:t>Additional</w:t>
      </w:r>
      <w:r>
        <w:rPr>
          <w:spacing w:val="-5"/>
          <w:sz w:val="18"/>
        </w:rPr>
        <w:t xml:space="preserve"> </w:t>
      </w:r>
      <w:r>
        <w:rPr>
          <w:sz w:val="18"/>
        </w:rPr>
        <w:t>Final</w:t>
      </w:r>
      <w:r>
        <w:rPr>
          <w:spacing w:val="-4"/>
          <w:sz w:val="18"/>
        </w:rPr>
        <w:t xml:space="preserve"> </w:t>
      </w:r>
      <w:r>
        <w:rPr>
          <w:sz w:val="18"/>
        </w:rPr>
        <w:t>Disclosure</w:t>
      </w:r>
      <w:r>
        <w:rPr>
          <w:spacing w:val="-4"/>
          <w:sz w:val="18"/>
        </w:rPr>
        <w:t xml:space="preserve"> </w:t>
      </w:r>
      <w:r>
        <w:rPr>
          <w:sz w:val="18"/>
        </w:rPr>
        <w:t>(Exhibit</w:t>
      </w:r>
      <w:r>
        <w:rPr>
          <w:spacing w:val="-4"/>
          <w:sz w:val="18"/>
        </w:rPr>
        <w:t xml:space="preserve"> </w:t>
      </w:r>
      <w:r>
        <w:rPr>
          <w:sz w:val="18"/>
        </w:rPr>
        <w:t>AUS‐101),</w:t>
      </w:r>
      <w:r>
        <w:rPr>
          <w:spacing w:val="-5"/>
          <w:sz w:val="18"/>
        </w:rPr>
        <w:t xml:space="preserve"> </w:t>
      </w:r>
      <w:r>
        <w:rPr>
          <w:sz w:val="18"/>
        </w:rPr>
        <w:t>p.</w:t>
      </w:r>
      <w:r>
        <w:rPr>
          <w:spacing w:val="-4"/>
          <w:sz w:val="18"/>
        </w:rPr>
        <w:t xml:space="preserve"> </w:t>
      </w:r>
      <w:r>
        <w:rPr>
          <w:sz w:val="18"/>
        </w:rPr>
        <w:t xml:space="preserve">25. </w:t>
      </w:r>
      <w:r>
        <w:rPr>
          <w:sz w:val="18"/>
          <w:vertAlign w:val="superscript"/>
        </w:rPr>
        <w:t>1194</w:t>
      </w:r>
      <w:r>
        <w:rPr>
          <w:sz w:val="18"/>
        </w:rPr>
        <w:t xml:space="preserve"> Ibid.</w:t>
      </w:r>
    </w:p>
    <w:p w14:paraId="51DE9AA6" w14:textId="77777777" w:rsidR="0010369C" w:rsidRDefault="0010369C">
      <w:pPr>
        <w:jc w:val="both"/>
        <w:rPr>
          <w:sz w:val="18"/>
        </w:rPr>
        <w:sectPr w:rsidR="0010369C">
          <w:pgSz w:w="11910" w:h="16840"/>
          <w:pgMar w:top="880" w:right="800" w:bottom="980" w:left="1180" w:header="569" w:footer="788" w:gutter="0"/>
          <w:cols w:space="720"/>
        </w:sectPr>
      </w:pPr>
    </w:p>
    <w:p w14:paraId="51DE9AA7" w14:textId="77777777" w:rsidR="0010369C" w:rsidRDefault="008E43AE">
      <w:pPr>
        <w:tabs>
          <w:tab w:val="left" w:pos="6426"/>
        </w:tabs>
        <w:ind w:left="238"/>
        <w:jc w:val="both"/>
        <w:rPr>
          <w:sz w:val="20"/>
        </w:rPr>
      </w:pPr>
      <w:r>
        <w:rPr>
          <w:i/>
          <w:sz w:val="20"/>
        </w:rPr>
        <w:lastRenderedPageBreak/>
        <w:t>China</w:t>
      </w:r>
      <w:r>
        <w:rPr>
          <w:i/>
          <w:spacing w:val="-5"/>
          <w:sz w:val="20"/>
        </w:rPr>
        <w:t xml:space="preserve"> </w:t>
      </w:r>
      <w:r>
        <w:rPr>
          <w:i/>
          <w:sz w:val="20"/>
        </w:rPr>
        <w:t>–</w:t>
      </w:r>
      <w:r>
        <w:rPr>
          <w:i/>
          <w:spacing w:val="-5"/>
          <w:sz w:val="20"/>
        </w:rPr>
        <w:t xml:space="preserve"> </w:t>
      </w:r>
      <w:r>
        <w:rPr>
          <w:i/>
          <w:sz w:val="20"/>
        </w:rPr>
        <w:t>Anti‐Dumping</w:t>
      </w:r>
      <w:r>
        <w:rPr>
          <w:i/>
          <w:spacing w:val="-4"/>
          <w:sz w:val="20"/>
        </w:rPr>
        <w:t xml:space="preserve"> </w:t>
      </w:r>
      <w:r>
        <w:rPr>
          <w:i/>
          <w:sz w:val="20"/>
        </w:rPr>
        <w:t>and</w:t>
      </w:r>
      <w:r>
        <w:rPr>
          <w:i/>
          <w:spacing w:val="-5"/>
          <w:sz w:val="20"/>
        </w:rPr>
        <w:t xml:space="preserve"> </w:t>
      </w:r>
      <w:r>
        <w:rPr>
          <w:i/>
          <w:sz w:val="20"/>
        </w:rPr>
        <w:t>Countervailing</w:t>
      </w:r>
      <w:r>
        <w:rPr>
          <w:i/>
          <w:spacing w:val="-5"/>
          <w:sz w:val="20"/>
        </w:rPr>
        <w:t xml:space="preserve"> </w:t>
      </w:r>
      <w:r>
        <w:rPr>
          <w:i/>
          <w:sz w:val="20"/>
        </w:rPr>
        <w:t>Duty</w:t>
      </w:r>
      <w:r>
        <w:rPr>
          <w:i/>
          <w:spacing w:val="-4"/>
          <w:sz w:val="20"/>
        </w:rPr>
        <w:t xml:space="preserve"> </w:t>
      </w:r>
      <w:r>
        <w:rPr>
          <w:i/>
          <w:spacing w:val="-2"/>
          <w:sz w:val="20"/>
        </w:rPr>
        <w:t>Measures</w:t>
      </w:r>
      <w:r>
        <w:rPr>
          <w:i/>
          <w:sz w:val="20"/>
        </w:rPr>
        <w:tab/>
      </w:r>
      <w:r>
        <w:rPr>
          <w:sz w:val="20"/>
        </w:rPr>
        <w:t>Australia's</w:t>
      </w:r>
      <w:r>
        <w:rPr>
          <w:spacing w:val="-7"/>
          <w:sz w:val="20"/>
        </w:rPr>
        <w:t xml:space="preserve"> </w:t>
      </w:r>
      <w:r>
        <w:rPr>
          <w:sz w:val="20"/>
        </w:rPr>
        <w:t>First</w:t>
      </w:r>
      <w:r>
        <w:rPr>
          <w:spacing w:val="-2"/>
          <w:sz w:val="20"/>
        </w:rPr>
        <w:t xml:space="preserve"> </w:t>
      </w:r>
      <w:r>
        <w:rPr>
          <w:sz w:val="20"/>
        </w:rPr>
        <w:t>Written</w:t>
      </w:r>
      <w:r>
        <w:rPr>
          <w:spacing w:val="-2"/>
          <w:sz w:val="20"/>
        </w:rPr>
        <w:t xml:space="preserve"> Submission</w:t>
      </w:r>
    </w:p>
    <w:p w14:paraId="51DE9AA8" w14:textId="77777777" w:rsidR="0010369C" w:rsidRDefault="008E43AE">
      <w:pPr>
        <w:tabs>
          <w:tab w:val="left" w:pos="8228"/>
        </w:tabs>
        <w:spacing w:before="1"/>
        <w:ind w:left="239"/>
        <w:jc w:val="both"/>
        <w:rPr>
          <w:sz w:val="20"/>
        </w:rPr>
      </w:pPr>
      <w:r>
        <w:rPr>
          <w:i/>
          <w:sz w:val="20"/>
        </w:rPr>
        <w:t>on</w:t>
      </w:r>
      <w:r>
        <w:rPr>
          <w:i/>
          <w:spacing w:val="-1"/>
          <w:sz w:val="20"/>
        </w:rPr>
        <w:t xml:space="preserve"> </w:t>
      </w:r>
      <w:r>
        <w:rPr>
          <w:i/>
          <w:sz w:val="20"/>
        </w:rPr>
        <w:t>Wine</w:t>
      </w:r>
      <w:r>
        <w:rPr>
          <w:i/>
          <w:spacing w:val="-1"/>
          <w:sz w:val="20"/>
        </w:rPr>
        <w:t xml:space="preserve"> </w:t>
      </w:r>
      <w:r>
        <w:rPr>
          <w:i/>
          <w:sz w:val="20"/>
        </w:rPr>
        <w:t>from</w:t>
      </w:r>
      <w:r>
        <w:rPr>
          <w:i/>
          <w:spacing w:val="-3"/>
          <w:sz w:val="20"/>
        </w:rPr>
        <w:t xml:space="preserve"> </w:t>
      </w:r>
      <w:r>
        <w:rPr>
          <w:i/>
          <w:sz w:val="20"/>
        </w:rPr>
        <w:t>Australia</w:t>
      </w:r>
      <w:r>
        <w:rPr>
          <w:i/>
          <w:spacing w:val="-1"/>
          <w:sz w:val="20"/>
        </w:rPr>
        <w:t xml:space="preserve"> </w:t>
      </w:r>
      <w:r>
        <w:rPr>
          <w:spacing w:val="-2"/>
          <w:sz w:val="20"/>
        </w:rPr>
        <w:t>(DS602)</w:t>
      </w:r>
      <w:r>
        <w:rPr>
          <w:sz w:val="20"/>
        </w:rPr>
        <w:tab/>
        <w:t>29</w:t>
      </w:r>
      <w:r>
        <w:rPr>
          <w:spacing w:val="-1"/>
          <w:sz w:val="20"/>
        </w:rPr>
        <w:t xml:space="preserve"> </w:t>
      </w:r>
      <w:r>
        <w:rPr>
          <w:sz w:val="20"/>
        </w:rPr>
        <w:t>April</w:t>
      </w:r>
      <w:r>
        <w:rPr>
          <w:spacing w:val="-2"/>
          <w:sz w:val="20"/>
        </w:rPr>
        <w:t xml:space="preserve"> </w:t>
      </w:r>
      <w:r>
        <w:rPr>
          <w:spacing w:val="-4"/>
          <w:sz w:val="20"/>
        </w:rPr>
        <w:t>2022</w:t>
      </w:r>
    </w:p>
    <w:p w14:paraId="51DE9AA9" w14:textId="77777777" w:rsidR="0010369C" w:rsidRDefault="008E43AE">
      <w:pPr>
        <w:pStyle w:val="BodyText"/>
        <w:spacing w:before="34" w:line="360" w:lineRule="auto"/>
        <w:ind w:left="237" w:right="613"/>
        <w:jc w:val="both"/>
      </w:pPr>
      <w:r>
        <w:t>description</w:t>
      </w:r>
      <w:r>
        <w:rPr>
          <w:spacing w:val="-12"/>
        </w:rPr>
        <w:t xml:space="preserve"> </w:t>
      </w:r>
      <w:r>
        <w:t>of</w:t>
      </w:r>
      <w:r>
        <w:rPr>
          <w:spacing w:val="-12"/>
        </w:rPr>
        <w:t xml:space="preserve"> </w:t>
      </w:r>
      <w:r>
        <w:t>having</w:t>
      </w:r>
      <w:r>
        <w:rPr>
          <w:spacing w:val="-12"/>
        </w:rPr>
        <w:t xml:space="preserve"> </w:t>
      </w:r>
      <w:r>
        <w:t>adjusted</w:t>
      </w:r>
      <w:r>
        <w:rPr>
          <w:spacing w:val="-12"/>
        </w:rPr>
        <w:t xml:space="preserve"> </w:t>
      </w:r>
      <w:r>
        <w:t>Casella</w:t>
      </w:r>
      <w:r>
        <w:rPr>
          <w:spacing w:val="-12"/>
        </w:rPr>
        <w:t xml:space="preserve"> </w:t>
      </w:r>
      <w:r>
        <w:t>Wines'</w:t>
      </w:r>
      <w:r>
        <w:rPr>
          <w:spacing w:val="-12"/>
        </w:rPr>
        <w:t xml:space="preserve"> </w:t>
      </w:r>
      <w:r>
        <w:t>reported</w:t>
      </w:r>
      <w:r>
        <w:rPr>
          <w:spacing w:val="-14"/>
        </w:rPr>
        <w:t xml:space="preserve"> </w:t>
      </w:r>
      <w:r>
        <w:t>expenses</w:t>
      </w:r>
      <w:r>
        <w:rPr>
          <w:spacing w:val="-11"/>
        </w:rPr>
        <w:t xml:space="preserve"> </w:t>
      </w:r>
      <w:r>
        <w:t>based</w:t>
      </w:r>
      <w:r>
        <w:rPr>
          <w:spacing w:val="-12"/>
        </w:rPr>
        <w:t xml:space="preserve"> </w:t>
      </w:r>
      <w:r>
        <w:t>on</w:t>
      </w:r>
      <w:r>
        <w:rPr>
          <w:spacing w:val="-12"/>
        </w:rPr>
        <w:t xml:space="preserve"> </w:t>
      </w:r>
      <w:r>
        <w:t>a</w:t>
      </w:r>
      <w:r>
        <w:rPr>
          <w:spacing w:val="-12"/>
        </w:rPr>
        <w:t xml:space="preserve"> </w:t>
      </w:r>
      <w:r>
        <w:t>weighted</w:t>
      </w:r>
      <w:r>
        <w:rPr>
          <w:spacing w:val="-12"/>
        </w:rPr>
        <w:t xml:space="preserve"> </w:t>
      </w:r>
      <w:r>
        <w:t>average of</w:t>
      </w:r>
      <w:r>
        <w:rPr>
          <w:spacing w:val="-5"/>
        </w:rPr>
        <w:t xml:space="preserve"> </w:t>
      </w:r>
      <w:r>
        <w:t>the</w:t>
      </w:r>
      <w:r>
        <w:rPr>
          <w:spacing w:val="-4"/>
        </w:rPr>
        <w:t xml:space="preserve"> </w:t>
      </w:r>
      <w:r>
        <w:t>sales</w:t>
      </w:r>
      <w:r>
        <w:rPr>
          <w:spacing w:val="-6"/>
        </w:rPr>
        <w:t xml:space="preserve"> </w:t>
      </w:r>
      <w:r>
        <w:t>of</w:t>
      </w:r>
      <w:r>
        <w:rPr>
          <w:spacing w:val="-5"/>
        </w:rPr>
        <w:t xml:space="preserve"> </w:t>
      </w:r>
      <w:r>
        <w:t>other</w:t>
      </w:r>
      <w:r>
        <w:rPr>
          <w:spacing w:val="-6"/>
        </w:rPr>
        <w:t xml:space="preserve"> </w:t>
      </w:r>
      <w:r>
        <w:t>respondents</w:t>
      </w:r>
      <w:r>
        <w:rPr>
          <w:spacing w:val="-5"/>
        </w:rPr>
        <w:t xml:space="preserve"> </w:t>
      </w:r>
      <w:r>
        <w:t>was</w:t>
      </w:r>
      <w:r>
        <w:rPr>
          <w:spacing w:val="-5"/>
        </w:rPr>
        <w:t xml:space="preserve"> </w:t>
      </w:r>
      <w:r>
        <w:t>not</w:t>
      </w:r>
      <w:r>
        <w:rPr>
          <w:spacing w:val="-5"/>
        </w:rPr>
        <w:t xml:space="preserve"> </w:t>
      </w:r>
      <w:r>
        <w:t>a</w:t>
      </w:r>
      <w:r>
        <w:rPr>
          <w:spacing w:val="-5"/>
        </w:rPr>
        <w:t xml:space="preserve"> </w:t>
      </w:r>
      <w:r>
        <w:t>sufficient</w:t>
      </w:r>
      <w:r>
        <w:rPr>
          <w:spacing w:val="-4"/>
        </w:rPr>
        <w:t xml:space="preserve"> </w:t>
      </w:r>
      <w:r>
        <w:t>disclosure</w:t>
      </w:r>
      <w:r>
        <w:rPr>
          <w:spacing w:val="-4"/>
        </w:rPr>
        <w:t xml:space="preserve"> </w:t>
      </w:r>
      <w:r>
        <w:t>of</w:t>
      </w:r>
      <w:r>
        <w:rPr>
          <w:spacing w:val="-5"/>
        </w:rPr>
        <w:t xml:space="preserve"> </w:t>
      </w:r>
      <w:r>
        <w:t>the</w:t>
      </w:r>
      <w:r>
        <w:rPr>
          <w:spacing w:val="-4"/>
        </w:rPr>
        <w:t xml:space="preserve"> </w:t>
      </w:r>
      <w:r>
        <w:t>"significant,</w:t>
      </w:r>
      <w:r>
        <w:rPr>
          <w:spacing w:val="-4"/>
        </w:rPr>
        <w:t xml:space="preserve"> </w:t>
      </w:r>
      <w:r>
        <w:t>important or salient" facts relevant to MOFCOM's methodology.</w:t>
      </w:r>
      <w:r>
        <w:rPr>
          <w:vertAlign w:val="superscript"/>
        </w:rPr>
        <w:t>1195</w:t>
      </w:r>
      <w:r>
        <w:t xml:space="preserve"> Casella Wines was not in a position to know what expenses had been used (after MOFCOM had said it could not verify most of Casella Wines' data), what weights were used, or generally how the </w:t>
      </w:r>
      <w:r>
        <w:t xml:space="preserve">"adjustments" were </w:t>
      </w:r>
      <w:r>
        <w:rPr>
          <w:spacing w:val="-2"/>
        </w:rPr>
        <w:t>made.</w:t>
      </w:r>
    </w:p>
    <w:p w14:paraId="51DE9AAA" w14:textId="77777777" w:rsidR="0010369C" w:rsidRDefault="0010369C">
      <w:pPr>
        <w:pStyle w:val="BodyText"/>
        <w:spacing w:before="10"/>
        <w:rPr>
          <w:sz w:val="8"/>
        </w:rPr>
      </w:pPr>
    </w:p>
    <w:p w14:paraId="51DE9AAB" w14:textId="77777777" w:rsidR="0010369C" w:rsidRDefault="008E43AE">
      <w:pPr>
        <w:pStyle w:val="BodyText"/>
        <w:spacing w:before="52" w:line="360" w:lineRule="auto"/>
        <w:ind w:left="237" w:right="613" w:firstLine="851"/>
        <w:jc w:val="both"/>
      </w:pPr>
      <w:r>
        <w:rPr>
          <w:noProof/>
        </w:rPr>
        <w:drawing>
          <wp:anchor distT="0" distB="0" distL="0" distR="0" simplePos="0" relativeHeight="251603456" behindDoc="1" locked="0" layoutInCell="1" allowOverlap="1" wp14:anchorId="51DEA8C2" wp14:editId="51DEA8C3">
            <wp:simplePos x="0" y="0"/>
            <wp:positionH relativeFrom="page">
              <wp:posOffset>908303</wp:posOffset>
            </wp:positionH>
            <wp:positionV relativeFrom="paragraph">
              <wp:posOffset>76023</wp:posOffset>
            </wp:positionV>
            <wp:extent cx="332231" cy="106679"/>
            <wp:effectExtent l="0" t="0" r="0" b="0"/>
            <wp:wrapNone/>
            <wp:docPr id="2003" name="image10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 name="image1029.png"/>
                    <pic:cNvPicPr/>
                  </pic:nvPicPr>
                  <pic:blipFill>
                    <a:blip r:embed="rId1316" cstate="print"/>
                    <a:stretch>
                      <a:fillRect/>
                    </a:stretch>
                  </pic:blipFill>
                  <pic:spPr>
                    <a:xfrm>
                      <a:off x="0" y="0"/>
                      <a:ext cx="332231" cy="106679"/>
                    </a:xfrm>
                    <a:prstGeom prst="rect">
                      <a:avLst/>
                    </a:prstGeom>
                  </pic:spPr>
                </pic:pic>
              </a:graphicData>
            </a:graphic>
          </wp:anchor>
        </w:drawing>
      </w:r>
      <w:r>
        <w:t>For Swan Vintage, MOFCOM found that it "could not calculate the Company's constructed</w:t>
      </w:r>
      <w:r>
        <w:rPr>
          <w:spacing w:val="-10"/>
        </w:rPr>
        <w:t xml:space="preserve"> </w:t>
      </w:r>
      <w:r>
        <w:t>normal</w:t>
      </w:r>
      <w:r>
        <w:rPr>
          <w:spacing w:val="-8"/>
        </w:rPr>
        <w:t xml:space="preserve"> </w:t>
      </w:r>
      <w:r>
        <w:t>value</w:t>
      </w:r>
      <w:r>
        <w:rPr>
          <w:spacing w:val="-8"/>
        </w:rPr>
        <w:t xml:space="preserve"> </w:t>
      </w:r>
      <w:r>
        <w:t>based</w:t>
      </w:r>
      <w:r>
        <w:rPr>
          <w:spacing w:val="-8"/>
        </w:rPr>
        <w:t xml:space="preserve"> </w:t>
      </w:r>
      <w:r>
        <w:t>on</w:t>
      </w:r>
      <w:r>
        <w:rPr>
          <w:spacing w:val="-10"/>
        </w:rPr>
        <w:t xml:space="preserve"> </w:t>
      </w:r>
      <w:r>
        <w:t>the</w:t>
      </w:r>
      <w:r>
        <w:rPr>
          <w:spacing w:val="-8"/>
        </w:rPr>
        <w:t xml:space="preserve"> </w:t>
      </w:r>
      <w:r>
        <w:t>costs</w:t>
      </w:r>
      <w:r>
        <w:rPr>
          <w:spacing w:val="-9"/>
        </w:rPr>
        <w:t xml:space="preserve"> </w:t>
      </w:r>
      <w:r>
        <w:t>and</w:t>
      </w:r>
      <w:r>
        <w:rPr>
          <w:spacing w:val="-10"/>
        </w:rPr>
        <w:t xml:space="preserve"> </w:t>
      </w:r>
      <w:r>
        <w:t>expenses</w:t>
      </w:r>
      <w:r>
        <w:rPr>
          <w:spacing w:val="-9"/>
        </w:rPr>
        <w:t xml:space="preserve"> </w:t>
      </w:r>
      <w:r>
        <w:t>reported</w:t>
      </w:r>
      <w:r>
        <w:rPr>
          <w:spacing w:val="-10"/>
        </w:rPr>
        <w:t xml:space="preserve"> </w:t>
      </w:r>
      <w:r>
        <w:t>by</w:t>
      </w:r>
      <w:r>
        <w:rPr>
          <w:spacing w:val="-8"/>
        </w:rPr>
        <w:t xml:space="preserve"> </w:t>
      </w:r>
      <w:r>
        <w:t>it".</w:t>
      </w:r>
      <w:r>
        <w:rPr>
          <w:vertAlign w:val="superscript"/>
        </w:rPr>
        <w:t>1196</w:t>
      </w:r>
      <w:r>
        <w:rPr>
          <w:spacing w:val="-9"/>
        </w:rPr>
        <w:t xml:space="preserve"> </w:t>
      </w:r>
      <w:r>
        <w:t>MOFCOM</w:t>
      </w:r>
      <w:r>
        <w:rPr>
          <w:spacing w:val="-8"/>
        </w:rPr>
        <w:t xml:space="preserve"> </w:t>
      </w:r>
      <w:r>
        <w:t>then announced it "conducted a comparative analysis of the information</w:t>
      </w:r>
      <w:r>
        <w:t xml:space="preserve"> from the investigation",</w:t>
      </w:r>
      <w:r>
        <w:rPr>
          <w:vertAlign w:val="superscript"/>
        </w:rPr>
        <w:t>1197</w:t>
      </w:r>
      <w:r>
        <w:t xml:space="preserve"> without explaining what information was compared or what this "review" involved. MOFCOM further stated that:</w:t>
      </w:r>
    </w:p>
    <w:p w14:paraId="51DE9AAC" w14:textId="77777777" w:rsidR="0010369C" w:rsidRDefault="008E43AE">
      <w:pPr>
        <w:spacing w:before="162" w:line="276" w:lineRule="auto"/>
        <w:ind w:left="1088" w:right="613"/>
        <w:jc w:val="both"/>
      </w:pPr>
      <w:r>
        <w:t>[A]fter taking into account the physical properties of the product under investigation, the costs differences in diff</w:t>
      </w:r>
      <w:r>
        <w:t xml:space="preserve">erent product types, trade links and other influencing factors, the Investigating Authority decided in the Final Ruling that weighted average prices of </w:t>
      </w:r>
      <w:r>
        <w:rPr>
          <w:i/>
        </w:rPr>
        <w:t xml:space="preserve">typical </w:t>
      </w:r>
      <w:r>
        <w:t>domestic</w:t>
      </w:r>
      <w:r>
        <w:rPr>
          <w:spacing w:val="-8"/>
        </w:rPr>
        <w:t xml:space="preserve"> </w:t>
      </w:r>
      <w:r>
        <w:t>sales</w:t>
      </w:r>
      <w:r>
        <w:rPr>
          <w:spacing w:val="-7"/>
        </w:rPr>
        <w:t xml:space="preserve"> </w:t>
      </w:r>
      <w:r>
        <w:t>of</w:t>
      </w:r>
      <w:r>
        <w:rPr>
          <w:spacing w:val="-8"/>
        </w:rPr>
        <w:t xml:space="preserve"> </w:t>
      </w:r>
      <w:r>
        <w:t>the</w:t>
      </w:r>
      <w:r>
        <w:rPr>
          <w:spacing w:val="-8"/>
        </w:rPr>
        <w:t xml:space="preserve"> </w:t>
      </w:r>
      <w:r>
        <w:t>product</w:t>
      </w:r>
      <w:r>
        <w:rPr>
          <w:spacing w:val="-7"/>
        </w:rPr>
        <w:t xml:space="preserve"> </w:t>
      </w:r>
      <w:r>
        <w:t>under</w:t>
      </w:r>
      <w:r>
        <w:rPr>
          <w:spacing w:val="-8"/>
        </w:rPr>
        <w:t xml:space="preserve"> </w:t>
      </w:r>
      <w:r>
        <w:t>investigation</w:t>
      </w:r>
      <w:r>
        <w:rPr>
          <w:spacing w:val="-8"/>
        </w:rPr>
        <w:t xml:space="preserve"> </w:t>
      </w:r>
      <w:r>
        <w:t>given</w:t>
      </w:r>
      <w:r>
        <w:rPr>
          <w:spacing w:val="-8"/>
        </w:rPr>
        <w:t xml:space="preserve"> </w:t>
      </w:r>
      <w:r>
        <w:t>by</w:t>
      </w:r>
      <w:r>
        <w:rPr>
          <w:spacing w:val="-8"/>
        </w:rPr>
        <w:t xml:space="preserve"> </w:t>
      </w:r>
      <w:r>
        <w:t>other</w:t>
      </w:r>
      <w:r>
        <w:rPr>
          <w:spacing w:val="-7"/>
        </w:rPr>
        <w:t xml:space="preserve"> </w:t>
      </w:r>
      <w:r>
        <w:t>respondents</w:t>
      </w:r>
      <w:r>
        <w:rPr>
          <w:spacing w:val="-7"/>
        </w:rPr>
        <w:t xml:space="preserve"> </w:t>
      </w:r>
      <w:r>
        <w:t>would</w:t>
      </w:r>
      <w:r>
        <w:rPr>
          <w:spacing w:val="-8"/>
        </w:rPr>
        <w:t xml:space="preserve"> </w:t>
      </w:r>
      <w:r>
        <w:t>be</w:t>
      </w:r>
      <w:r>
        <w:rPr>
          <w:spacing w:val="-7"/>
        </w:rPr>
        <w:t xml:space="preserve"> </w:t>
      </w:r>
      <w:r>
        <w:t>used as</w:t>
      </w:r>
      <w:r>
        <w:rPr>
          <w:spacing w:val="-11"/>
        </w:rPr>
        <w:t xml:space="preserve"> </w:t>
      </w:r>
      <w:r>
        <w:t>known</w:t>
      </w:r>
      <w:r>
        <w:rPr>
          <w:spacing w:val="-11"/>
        </w:rPr>
        <w:t xml:space="preserve"> </w:t>
      </w:r>
      <w:r>
        <w:t>facts</w:t>
      </w:r>
      <w:r>
        <w:rPr>
          <w:spacing w:val="-11"/>
        </w:rPr>
        <w:t xml:space="preserve"> </w:t>
      </w:r>
      <w:r>
        <w:t>and</w:t>
      </w:r>
      <w:r>
        <w:rPr>
          <w:spacing w:val="-11"/>
        </w:rPr>
        <w:t xml:space="preserve"> </w:t>
      </w:r>
      <w:r>
        <w:t>the</w:t>
      </w:r>
      <w:r>
        <w:rPr>
          <w:spacing w:val="-11"/>
        </w:rPr>
        <w:t xml:space="preserve"> </w:t>
      </w:r>
      <w:r>
        <w:t>best</w:t>
      </w:r>
      <w:r>
        <w:rPr>
          <w:spacing w:val="-11"/>
        </w:rPr>
        <w:t xml:space="preserve"> </w:t>
      </w:r>
      <w:r>
        <w:t>information</w:t>
      </w:r>
      <w:r>
        <w:rPr>
          <w:spacing w:val="-10"/>
        </w:rPr>
        <w:t xml:space="preserve"> </w:t>
      </w:r>
      <w:r>
        <w:t>available</w:t>
      </w:r>
      <w:r>
        <w:rPr>
          <w:spacing w:val="-11"/>
        </w:rPr>
        <w:t xml:space="preserve"> </w:t>
      </w:r>
      <w:r>
        <w:t>to</w:t>
      </w:r>
      <w:r>
        <w:rPr>
          <w:spacing w:val="-11"/>
        </w:rPr>
        <w:t xml:space="preserve"> </w:t>
      </w:r>
      <w:r>
        <w:t>determine</w:t>
      </w:r>
      <w:r>
        <w:rPr>
          <w:spacing w:val="-11"/>
        </w:rPr>
        <w:t xml:space="preserve"> </w:t>
      </w:r>
      <w:r>
        <w:t>the</w:t>
      </w:r>
      <w:r>
        <w:rPr>
          <w:spacing w:val="-11"/>
        </w:rPr>
        <w:t xml:space="preserve"> </w:t>
      </w:r>
      <w:r>
        <w:t>Company's</w:t>
      </w:r>
      <w:r>
        <w:rPr>
          <w:spacing w:val="-10"/>
        </w:rPr>
        <w:t xml:space="preserve"> </w:t>
      </w:r>
      <w:r>
        <w:t>normal</w:t>
      </w:r>
      <w:r>
        <w:rPr>
          <w:spacing w:val="-11"/>
        </w:rPr>
        <w:t xml:space="preserve"> </w:t>
      </w:r>
      <w:r>
        <w:t xml:space="preserve">value. During this process, the Investigating Authority had adjusted other respondents' weighted average prices of domestic sale of the product under investigation to </w:t>
      </w:r>
      <w:r>
        <w:t>the ex‐factory price level.</w:t>
      </w:r>
      <w:r>
        <w:rPr>
          <w:vertAlign w:val="superscript"/>
        </w:rPr>
        <w:t>1198</w:t>
      </w:r>
      <w:r>
        <w:t xml:space="preserve"> (emphasis original)</w:t>
      </w:r>
    </w:p>
    <w:p w14:paraId="51DE9AAD" w14:textId="77777777" w:rsidR="0010369C" w:rsidRDefault="0010369C">
      <w:pPr>
        <w:pStyle w:val="BodyText"/>
        <w:spacing w:before="4"/>
        <w:rPr>
          <w:sz w:val="15"/>
        </w:rPr>
      </w:pPr>
    </w:p>
    <w:p w14:paraId="51DE9AAE" w14:textId="77777777" w:rsidR="0010369C" w:rsidRDefault="008E43AE">
      <w:pPr>
        <w:pStyle w:val="BodyText"/>
        <w:spacing w:before="52" w:line="360" w:lineRule="auto"/>
        <w:ind w:left="237" w:right="612" w:firstLine="851"/>
        <w:jc w:val="both"/>
      </w:pPr>
      <w:r>
        <w:rPr>
          <w:noProof/>
        </w:rPr>
        <w:drawing>
          <wp:anchor distT="0" distB="0" distL="0" distR="0" simplePos="0" relativeHeight="251604480" behindDoc="1" locked="0" layoutInCell="1" allowOverlap="1" wp14:anchorId="51DEA8C4" wp14:editId="51DEA8C5">
            <wp:simplePos x="0" y="0"/>
            <wp:positionH relativeFrom="page">
              <wp:posOffset>908303</wp:posOffset>
            </wp:positionH>
            <wp:positionV relativeFrom="paragraph">
              <wp:posOffset>76023</wp:posOffset>
            </wp:positionV>
            <wp:extent cx="332231" cy="106679"/>
            <wp:effectExtent l="0" t="0" r="0" b="0"/>
            <wp:wrapNone/>
            <wp:docPr id="2005" name="image10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 name="image1030.png"/>
                    <pic:cNvPicPr/>
                  </pic:nvPicPr>
                  <pic:blipFill>
                    <a:blip r:embed="rId1317" cstate="print"/>
                    <a:stretch>
                      <a:fillRect/>
                    </a:stretch>
                  </pic:blipFill>
                  <pic:spPr>
                    <a:xfrm>
                      <a:off x="0" y="0"/>
                      <a:ext cx="332231" cy="106679"/>
                    </a:xfrm>
                    <a:prstGeom prst="rect">
                      <a:avLst/>
                    </a:prstGeom>
                  </pic:spPr>
                </pic:pic>
              </a:graphicData>
            </a:graphic>
          </wp:anchor>
        </w:drawing>
      </w:r>
      <w:r>
        <w:t>MOFCOM</w:t>
      </w:r>
      <w:r>
        <w:rPr>
          <w:spacing w:val="-2"/>
        </w:rPr>
        <w:t xml:space="preserve"> </w:t>
      </w:r>
      <w:r>
        <w:t>did</w:t>
      </w:r>
      <w:r>
        <w:rPr>
          <w:spacing w:val="-3"/>
        </w:rPr>
        <w:t xml:space="preserve"> </w:t>
      </w:r>
      <w:r>
        <w:t>not</w:t>
      </w:r>
      <w:r>
        <w:rPr>
          <w:spacing w:val="-2"/>
        </w:rPr>
        <w:t xml:space="preserve"> </w:t>
      </w:r>
      <w:r>
        <w:t>inform</w:t>
      </w:r>
      <w:r>
        <w:rPr>
          <w:spacing w:val="-2"/>
        </w:rPr>
        <w:t xml:space="preserve"> </w:t>
      </w:r>
      <w:r>
        <w:t>parties</w:t>
      </w:r>
      <w:r>
        <w:rPr>
          <w:spacing w:val="-2"/>
        </w:rPr>
        <w:t xml:space="preserve"> </w:t>
      </w:r>
      <w:r>
        <w:t>what</w:t>
      </w:r>
      <w:r>
        <w:rPr>
          <w:spacing w:val="-3"/>
        </w:rPr>
        <w:t xml:space="preserve"> </w:t>
      </w:r>
      <w:r>
        <w:t>constituted</w:t>
      </w:r>
      <w:r>
        <w:rPr>
          <w:spacing w:val="-3"/>
        </w:rPr>
        <w:t xml:space="preserve"> </w:t>
      </w:r>
      <w:r>
        <w:t>a</w:t>
      </w:r>
      <w:r>
        <w:rPr>
          <w:spacing w:val="-3"/>
        </w:rPr>
        <w:t xml:space="preserve"> </w:t>
      </w:r>
      <w:r>
        <w:t>"typical"</w:t>
      </w:r>
      <w:r>
        <w:rPr>
          <w:spacing w:val="-3"/>
        </w:rPr>
        <w:t xml:space="preserve"> </w:t>
      </w:r>
      <w:r>
        <w:t>domestic</w:t>
      </w:r>
      <w:r>
        <w:rPr>
          <w:spacing w:val="-1"/>
        </w:rPr>
        <w:t xml:space="preserve"> </w:t>
      </w:r>
      <w:r>
        <w:t>sale</w:t>
      </w:r>
      <w:r>
        <w:rPr>
          <w:spacing w:val="-2"/>
        </w:rPr>
        <w:t xml:space="preserve"> </w:t>
      </w:r>
      <w:r>
        <w:t>or</w:t>
      </w:r>
      <w:r>
        <w:rPr>
          <w:spacing w:val="-2"/>
        </w:rPr>
        <w:t xml:space="preserve"> </w:t>
      </w:r>
      <w:r>
        <w:t>which sales</w:t>
      </w:r>
      <w:r>
        <w:rPr>
          <w:spacing w:val="-13"/>
        </w:rPr>
        <w:t xml:space="preserve"> </w:t>
      </w:r>
      <w:r>
        <w:t>in</w:t>
      </w:r>
      <w:r>
        <w:rPr>
          <w:spacing w:val="-13"/>
        </w:rPr>
        <w:t xml:space="preserve"> </w:t>
      </w:r>
      <w:r>
        <w:t>fact</w:t>
      </w:r>
      <w:r>
        <w:rPr>
          <w:spacing w:val="-12"/>
        </w:rPr>
        <w:t xml:space="preserve"> </w:t>
      </w:r>
      <w:r>
        <w:t>met</w:t>
      </w:r>
      <w:r>
        <w:rPr>
          <w:spacing w:val="-13"/>
        </w:rPr>
        <w:t xml:space="preserve"> </w:t>
      </w:r>
      <w:r>
        <w:t>this</w:t>
      </w:r>
      <w:r>
        <w:rPr>
          <w:spacing w:val="-13"/>
        </w:rPr>
        <w:t xml:space="preserve"> </w:t>
      </w:r>
      <w:r>
        <w:t>criterion.</w:t>
      </w:r>
      <w:r>
        <w:rPr>
          <w:spacing w:val="-13"/>
        </w:rPr>
        <w:t xml:space="preserve"> </w:t>
      </w:r>
      <w:r>
        <w:t>In</w:t>
      </w:r>
      <w:r>
        <w:rPr>
          <w:spacing w:val="-13"/>
        </w:rPr>
        <w:t xml:space="preserve"> </w:t>
      </w:r>
      <w:r>
        <w:t>addition</w:t>
      </w:r>
      <w:r>
        <w:rPr>
          <w:spacing w:val="-13"/>
        </w:rPr>
        <w:t xml:space="preserve"> </w:t>
      </w:r>
      <w:r>
        <w:t>to</w:t>
      </w:r>
      <w:r>
        <w:rPr>
          <w:spacing w:val="-12"/>
        </w:rPr>
        <w:t xml:space="preserve"> </w:t>
      </w:r>
      <w:r>
        <w:t>not</w:t>
      </w:r>
      <w:r>
        <w:rPr>
          <w:spacing w:val="-13"/>
        </w:rPr>
        <w:t xml:space="preserve"> </w:t>
      </w:r>
      <w:r>
        <w:t>explaining</w:t>
      </w:r>
      <w:r>
        <w:rPr>
          <w:spacing w:val="-13"/>
        </w:rPr>
        <w:t xml:space="preserve"> </w:t>
      </w:r>
      <w:r>
        <w:t>the</w:t>
      </w:r>
      <w:r>
        <w:rPr>
          <w:spacing w:val="-12"/>
        </w:rPr>
        <w:t xml:space="preserve"> </w:t>
      </w:r>
      <w:r>
        <w:t>term,</w:t>
      </w:r>
      <w:r>
        <w:rPr>
          <w:spacing w:val="-12"/>
        </w:rPr>
        <w:t xml:space="preserve"> </w:t>
      </w:r>
      <w:r>
        <w:t>the</w:t>
      </w:r>
      <w:r>
        <w:rPr>
          <w:spacing w:val="-13"/>
        </w:rPr>
        <w:t xml:space="preserve"> </w:t>
      </w:r>
      <w:r>
        <w:t>reference</w:t>
      </w:r>
      <w:r>
        <w:rPr>
          <w:spacing w:val="-13"/>
        </w:rPr>
        <w:t xml:space="preserve"> </w:t>
      </w:r>
      <w:r>
        <w:t>to</w:t>
      </w:r>
      <w:r>
        <w:rPr>
          <w:spacing w:val="-12"/>
        </w:rPr>
        <w:t xml:space="preserve"> </w:t>
      </w:r>
      <w:r>
        <w:t>"typical" domestic sales</w:t>
      </w:r>
      <w:r>
        <w:rPr>
          <w:spacing w:val="-2"/>
        </w:rPr>
        <w:t xml:space="preserve"> </w:t>
      </w:r>
      <w:r>
        <w:t>was</w:t>
      </w:r>
      <w:r>
        <w:rPr>
          <w:spacing w:val="-2"/>
        </w:rPr>
        <w:t xml:space="preserve"> </w:t>
      </w:r>
      <w:r>
        <w:t>then</w:t>
      </w:r>
      <w:r>
        <w:rPr>
          <w:spacing w:val="-1"/>
        </w:rPr>
        <w:t xml:space="preserve"> </w:t>
      </w:r>
      <w:r>
        <w:t>omitted</w:t>
      </w:r>
      <w:r>
        <w:rPr>
          <w:spacing w:val="-1"/>
        </w:rPr>
        <w:t xml:space="preserve"> </w:t>
      </w:r>
      <w:r>
        <w:t>in</w:t>
      </w:r>
      <w:r>
        <w:rPr>
          <w:spacing w:val="-2"/>
        </w:rPr>
        <w:t xml:space="preserve"> </w:t>
      </w:r>
      <w:r>
        <w:t>the</w:t>
      </w:r>
      <w:r>
        <w:rPr>
          <w:spacing w:val="-1"/>
        </w:rPr>
        <w:t xml:space="preserve"> </w:t>
      </w:r>
      <w:r>
        <w:t>corresponding</w:t>
      </w:r>
      <w:r>
        <w:rPr>
          <w:spacing w:val="-2"/>
        </w:rPr>
        <w:t xml:space="preserve"> </w:t>
      </w:r>
      <w:r>
        <w:t>section</w:t>
      </w:r>
      <w:r>
        <w:rPr>
          <w:spacing w:val="-1"/>
        </w:rPr>
        <w:t xml:space="preserve"> </w:t>
      </w:r>
      <w:r>
        <w:t>of</w:t>
      </w:r>
      <w:r>
        <w:rPr>
          <w:spacing w:val="-2"/>
        </w:rPr>
        <w:t xml:space="preserve"> </w:t>
      </w:r>
      <w:r>
        <w:t>the</w:t>
      </w:r>
      <w:r>
        <w:rPr>
          <w:spacing w:val="-1"/>
        </w:rPr>
        <w:t xml:space="preserve"> </w:t>
      </w:r>
      <w:r>
        <w:t>Final</w:t>
      </w:r>
      <w:r>
        <w:rPr>
          <w:spacing w:val="-1"/>
        </w:rPr>
        <w:t xml:space="preserve"> </w:t>
      </w:r>
      <w:r>
        <w:t>Determination,</w:t>
      </w:r>
      <w:r>
        <w:rPr>
          <w:vertAlign w:val="superscript"/>
        </w:rPr>
        <w:t>1199</w:t>
      </w:r>
      <w:r>
        <w:t xml:space="preserve"> suggesting the methodology set out in the Final Disclosure was different to that adopted in the Final Determination, denying parties the opportunity to c</w:t>
      </w:r>
      <w:r>
        <w:t>omment on the methodology used to determine the final duties.</w:t>
      </w:r>
    </w:p>
    <w:p w14:paraId="51DE9AAF" w14:textId="77777777" w:rsidR="0010369C" w:rsidRDefault="0010369C">
      <w:pPr>
        <w:pStyle w:val="BodyText"/>
        <w:spacing w:before="10"/>
        <w:rPr>
          <w:sz w:val="8"/>
        </w:rPr>
      </w:pPr>
    </w:p>
    <w:p w14:paraId="51DE9AB0" w14:textId="77777777" w:rsidR="0010369C" w:rsidRDefault="008E43AE">
      <w:pPr>
        <w:pStyle w:val="BodyText"/>
        <w:spacing w:before="51" w:line="360" w:lineRule="auto"/>
        <w:ind w:left="238" w:right="614" w:firstLine="851"/>
        <w:jc w:val="both"/>
      </w:pPr>
      <w:r>
        <w:rPr>
          <w:noProof/>
        </w:rPr>
        <w:drawing>
          <wp:anchor distT="0" distB="0" distL="0" distR="0" simplePos="0" relativeHeight="251605504" behindDoc="1" locked="0" layoutInCell="1" allowOverlap="1" wp14:anchorId="51DEA8C6" wp14:editId="51DEA8C7">
            <wp:simplePos x="0" y="0"/>
            <wp:positionH relativeFrom="page">
              <wp:posOffset>908303</wp:posOffset>
            </wp:positionH>
            <wp:positionV relativeFrom="paragraph">
              <wp:posOffset>79961</wp:posOffset>
            </wp:positionV>
            <wp:extent cx="332231" cy="103631"/>
            <wp:effectExtent l="0" t="0" r="0" b="0"/>
            <wp:wrapNone/>
            <wp:docPr id="2007" name="image10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 name="image1031.png"/>
                    <pic:cNvPicPr/>
                  </pic:nvPicPr>
                  <pic:blipFill>
                    <a:blip r:embed="rId1318" cstate="print"/>
                    <a:stretch>
                      <a:fillRect/>
                    </a:stretch>
                  </pic:blipFill>
                  <pic:spPr>
                    <a:xfrm>
                      <a:off x="0" y="0"/>
                      <a:ext cx="332231" cy="103631"/>
                    </a:xfrm>
                    <a:prstGeom prst="rect">
                      <a:avLst/>
                    </a:prstGeom>
                  </pic:spPr>
                </pic:pic>
              </a:graphicData>
            </a:graphic>
          </wp:anchor>
        </w:drawing>
      </w:r>
      <w:r>
        <w:t>Apart from a broad reference to "product types, trade links and other influencing factors", MOFCOM failed to disclose what information it was taking into account and how it sought</w:t>
      </w:r>
      <w:r>
        <w:rPr>
          <w:spacing w:val="-2"/>
        </w:rPr>
        <w:t xml:space="preserve"> </w:t>
      </w:r>
      <w:r>
        <w:t>to</w:t>
      </w:r>
      <w:r>
        <w:rPr>
          <w:spacing w:val="-1"/>
        </w:rPr>
        <w:t xml:space="preserve"> </w:t>
      </w:r>
      <w:r>
        <w:t>use</w:t>
      </w:r>
      <w:r>
        <w:rPr>
          <w:spacing w:val="-1"/>
        </w:rPr>
        <w:t xml:space="preserve"> </w:t>
      </w:r>
      <w:r>
        <w:t>this</w:t>
      </w:r>
      <w:r>
        <w:rPr>
          <w:spacing w:val="-2"/>
        </w:rPr>
        <w:t xml:space="preserve"> </w:t>
      </w:r>
      <w:r>
        <w:t>information</w:t>
      </w:r>
      <w:r>
        <w:rPr>
          <w:spacing w:val="-1"/>
        </w:rPr>
        <w:t xml:space="preserve"> </w:t>
      </w:r>
      <w:r>
        <w:t>to</w:t>
      </w:r>
      <w:r>
        <w:rPr>
          <w:spacing w:val="-1"/>
        </w:rPr>
        <w:t xml:space="preserve"> </w:t>
      </w:r>
      <w:r>
        <w:t>calculate</w:t>
      </w:r>
      <w:r>
        <w:rPr>
          <w:spacing w:val="-1"/>
        </w:rPr>
        <w:t xml:space="preserve"> </w:t>
      </w:r>
      <w:r>
        <w:t>normal</w:t>
      </w:r>
      <w:r>
        <w:rPr>
          <w:spacing w:val="-2"/>
        </w:rPr>
        <w:t xml:space="preserve"> </w:t>
      </w:r>
      <w:r>
        <w:t>value.</w:t>
      </w:r>
      <w:r>
        <w:rPr>
          <w:spacing w:val="-2"/>
        </w:rPr>
        <w:t xml:space="preserve"> </w:t>
      </w:r>
      <w:r>
        <w:t>That</w:t>
      </w:r>
      <w:r>
        <w:rPr>
          <w:spacing w:val="-2"/>
        </w:rPr>
        <w:t xml:space="preserve"> </w:t>
      </w:r>
      <w:r>
        <w:t>is,</w:t>
      </w:r>
      <w:r>
        <w:rPr>
          <w:spacing w:val="-1"/>
        </w:rPr>
        <w:t xml:space="preserve"> </w:t>
      </w:r>
      <w:r>
        <w:t>the</w:t>
      </w:r>
      <w:r>
        <w:rPr>
          <w:spacing w:val="-1"/>
        </w:rPr>
        <w:t xml:space="preserve"> </w:t>
      </w:r>
      <w:r>
        <w:t>factors</w:t>
      </w:r>
      <w:r>
        <w:rPr>
          <w:spacing w:val="-2"/>
        </w:rPr>
        <w:t xml:space="preserve"> </w:t>
      </w:r>
      <w:r>
        <w:t>that</w:t>
      </w:r>
      <w:r>
        <w:rPr>
          <w:spacing w:val="-2"/>
        </w:rPr>
        <w:t xml:space="preserve"> </w:t>
      </w:r>
      <w:r>
        <w:t>formed</w:t>
      </w:r>
      <w:r>
        <w:rPr>
          <w:spacing w:val="-2"/>
        </w:rPr>
        <w:t xml:space="preserve"> </w:t>
      </w:r>
      <w:r>
        <w:rPr>
          <w:spacing w:val="-5"/>
        </w:rPr>
        <w:t>the</w:t>
      </w:r>
    </w:p>
    <w:p w14:paraId="51DE9AB1" w14:textId="77777777" w:rsidR="0010369C" w:rsidRDefault="0010369C">
      <w:pPr>
        <w:pStyle w:val="BodyText"/>
      </w:pPr>
    </w:p>
    <w:p w14:paraId="51DE9AB2" w14:textId="77777777" w:rsidR="0010369C" w:rsidRDefault="0010369C">
      <w:pPr>
        <w:pStyle w:val="BodyText"/>
        <w:spacing w:before="9"/>
        <w:rPr>
          <w:sz w:val="33"/>
        </w:rPr>
      </w:pPr>
    </w:p>
    <w:p w14:paraId="51DE9AB3" w14:textId="77777777" w:rsidR="0010369C" w:rsidRDefault="008E43AE">
      <w:pPr>
        <w:ind w:left="238" w:right="614" w:hanging="1"/>
        <w:rPr>
          <w:sz w:val="18"/>
        </w:rPr>
      </w:pPr>
      <w:r>
        <w:rPr>
          <w:sz w:val="18"/>
          <w:vertAlign w:val="superscript"/>
        </w:rPr>
        <w:t>1195</w:t>
      </w:r>
      <w:r>
        <w:rPr>
          <w:spacing w:val="40"/>
          <w:sz w:val="18"/>
        </w:rPr>
        <w:t xml:space="preserve"> </w:t>
      </w:r>
      <w:r>
        <w:rPr>
          <w:sz w:val="18"/>
        </w:rPr>
        <w:t>Appellate</w:t>
      </w:r>
      <w:r>
        <w:rPr>
          <w:spacing w:val="40"/>
          <w:sz w:val="18"/>
        </w:rPr>
        <w:t xml:space="preserve"> </w:t>
      </w:r>
      <w:r>
        <w:rPr>
          <w:sz w:val="18"/>
        </w:rPr>
        <w:t>Body</w:t>
      </w:r>
      <w:r>
        <w:rPr>
          <w:spacing w:val="40"/>
          <w:sz w:val="18"/>
        </w:rPr>
        <w:t xml:space="preserve"> </w:t>
      </w:r>
      <w:r>
        <w:rPr>
          <w:sz w:val="18"/>
        </w:rPr>
        <w:t>Report,</w:t>
      </w:r>
      <w:r>
        <w:rPr>
          <w:spacing w:val="40"/>
          <w:sz w:val="18"/>
        </w:rPr>
        <w:t xml:space="preserve"> </w:t>
      </w:r>
      <w:r>
        <w:rPr>
          <w:i/>
          <w:sz w:val="18"/>
        </w:rPr>
        <w:t>China</w:t>
      </w:r>
      <w:r>
        <w:rPr>
          <w:i/>
          <w:spacing w:val="40"/>
          <w:sz w:val="18"/>
        </w:rPr>
        <w:t xml:space="preserve"> </w:t>
      </w:r>
      <w:r>
        <w:rPr>
          <w:i/>
          <w:sz w:val="18"/>
        </w:rPr>
        <w:t>–</w:t>
      </w:r>
      <w:r>
        <w:rPr>
          <w:i/>
          <w:spacing w:val="40"/>
          <w:sz w:val="18"/>
        </w:rPr>
        <w:t xml:space="preserve"> </w:t>
      </w:r>
      <w:r>
        <w:rPr>
          <w:i/>
          <w:sz w:val="18"/>
        </w:rPr>
        <w:t>GOES</w:t>
      </w:r>
      <w:r>
        <w:rPr>
          <w:sz w:val="18"/>
        </w:rPr>
        <w:t>,</w:t>
      </w:r>
      <w:r>
        <w:rPr>
          <w:spacing w:val="40"/>
          <w:sz w:val="18"/>
        </w:rPr>
        <w:t xml:space="preserve"> </w:t>
      </w:r>
      <w:r>
        <w:rPr>
          <w:sz w:val="18"/>
        </w:rPr>
        <w:t>para.</w:t>
      </w:r>
      <w:r>
        <w:rPr>
          <w:spacing w:val="40"/>
          <w:sz w:val="18"/>
        </w:rPr>
        <w:t xml:space="preserve"> </w:t>
      </w:r>
      <w:r>
        <w:rPr>
          <w:sz w:val="18"/>
        </w:rPr>
        <w:t>240.</w:t>
      </w:r>
      <w:r>
        <w:rPr>
          <w:spacing w:val="40"/>
          <w:sz w:val="18"/>
        </w:rPr>
        <w:t xml:space="preserve"> </w:t>
      </w:r>
      <w:r>
        <w:rPr>
          <w:sz w:val="18"/>
        </w:rPr>
        <w:t>See</w:t>
      </w:r>
      <w:r>
        <w:rPr>
          <w:spacing w:val="40"/>
          <w:sz w:val="18"/>
        </w:rPr>
        <w:t xml:space="preserve"> </w:t>
      </w:r>
      <w:r>
        <w:rPr>
          <w:sz w:val="18"/>
        </w:rPr>
        <w:t>also,</w:t>
      </w:r>
      <w:r>
        <w:rPr>
          <w:spacing w:val="40"/>
          <w:sz w:val="18"/>
        </w:rPr>
        <w:t xml:space="preserve"> </w:t>
      </w:r>
      <w:r>
        <w:rPr>
          <w:sz w:val="18"/>
        </w:rPr>
        <w:t>Appellate</w:t>
      </w:r>
      <w:r>
        <w:rPr>
          <w:spacing w:val="40"/>
          <w:sz w:val="18"/>
        </w:rPr>
        <w:t xml:space="preserve"> </w:t>
      </w:r>
      <w:r>
        <w:rPr>
          <w:sz w:val="18"/>
        </w:rPr>
        <w:t>Body</w:t>
      </w:r>
      <w:r>
        <w:rPr>
          <w:spacing w:val="40"/>
          <w:sz w:val="18"/>
        </w:rPr>
        <w:t xml:space="preserve"> </w:t>
      </w:r>
      <w:r>
        <w:rPr>
          <w:sz w:val="18"/>
        </w:rPr>
        <w:t>Reports,</w:t>
      </w:r>
      <w:r>
        <w:rPr>
          <w:spacing w:val="40"/>
          <w:sz w:val="18"/>
        </w:rPr>
        <w:t xml:space="preserve"> </w:t>
      </w:r>
      <w:r>
        <w:rPr>
          <w:i/>
          <w:sz w:val="18"/>
        </w:rPr>
        <w:t>China</w:t>
      </w:r>
      <w:r>
        <w:rPr>
          <w:i/>
          <w:spacing w:val="40"/>
          <w:sz w:val="18"/>
        </w:rPr>
        <w:t xml:space="preserve"> </w:t>
      </w:r>
      <w:r>
        <w:rPr>
          <w:i/>
          <w:sz w:val="18"/>
        </w:rPr>
        <w:t>–</w:t>
      </w:r>
      <w:r>
        <w:rPr>
          <w:i/>
          <w:spacing w:val="40"/>
          <w:sz w:val="18"/>
        </w:rPr>
        <w:t xml:space="preserve"> </w:t>
      </w:r>
      <w:r>
        <w:rPr>
          <w:i/>
          <w:sz w:val="18"/>
        </w:rPr>
        <w:t>HP‐SSST</w:t>
      </w:r>
      <w:r>
        <w:rPr>
          <w:i/>
          <w:spacing w:val="40"/>
          <w:sz w:val="18"/>
        </w:rPr>
        <w:t xml:space="preserve"> </w:t>
      </w:r>
      <w:r>
        <w:rPr>
          <w:i/>
          <w:sz w:val="18"/>
        </w:rPr>
        <w:t>(Japan)</w:t>
      </w:r>
      <w:r>
        <w:rPr>
          <w:i/>
          <w:spacing w:val="40"/>
          <w:sz w:val="18"/>
        </w:rPr>
        <w:t xml:space="preserve"> </w:t>
      </w:r>
      <w:r>
        <w:rPr>
          <w:i/>
          <w:sz w:val="18"/>
        </w:rPr>
        <w:t>/ China – HP‐SSST (EU)</w:t>
      </w:r>
      <w:r>
        <w:rPr>
          <w:sz w:val="18"/>
        </w:rPr>
        <w:t>, para. 5.130.</w:t>
      </w:r>
    </w:p>
    <w:p w14:paraId="51DE9AB4" w14:textId="77777777" w:rsidR="0010369C" w:rsidRDefault="008E43AE">
      <w:pPr>
        <w:spacing w:before="1"/>
        <w:ind w:left="238" w:right="4592"/>
        <w:jc w:val="both"/>
        <w:rPr>
          <w:sz w:val="18"/>
        </w:rPr>
      </w:pPr>
      <w:r>
        <w:rPr>
          <w:sz w:val="18"/>
          <w:vertAlign w:val="superscript"/>
        </w:rPr>
        <w:t>1196</w:t>
      </w:r>
      <w:r>
        <w:rPr>
          <w:spacing w:val="-4"/>
          <w:sz w:val="18"/>
        </w:rPr>
        <w:t xml:space="preserve"> </w:t>
      </w:r>
      <w:r>
        <w:rPr>
          <w:sz w:val="18"/>
        </w:rPr>
        <w:t>Anti‐Dumping</w:t>
      </w:r>
      <w:r>
        <w:rPr>
          <w:spacing w:val="-4"/>
          <w:sz w:val="18"/>
        </w:rPr>
        <w:t xml:space="preserve"> </w:t>
      </w:r>
      <w:r>
        <w:rPr>
          <w:sz w:val="18"/>
        </w:rPr>
        <w:t>Additional</w:t>
      </w:r>
      <w:r>
        <w:rPr>
          <w:spacing w:val="-5"/>
          <w:sz w:val="18"/>
        </w:rPr>
        <w:t xml:space="preserve"> </w:t>
      </w:r>
      <w:r>
        <w:rPr>
          <w:sz w:val="18"/>
        </w:rPr>
        <w:t>Final</w:t>
      </w:r>
      <w:r>
        <w:rPr>
          <w:spacing w:val="-4"/>
          <w:sz w:val="18"/>
        </w:rPr>
        <w:t xml:space="preserve"> </w:t>
      </w:r>
      <w:r>
        <w:rPr>
          <w:sz w:val="18"/>
        </w:rPr>
        <w:t>Disclosure</w:t>
      </w:r>
      <w:r>
        <w:rPr>
          <w:spacing w:val="-4"/>
          <w:sz w:val="18"/>
        </w:rPr>
        <w:t xml:space="preserve"> </w:t>
      </w:r>
      <w:r>
        <w:rPr>
          <w:sz w:val="18"/>
        </w:rPr>
        <w:t>(Exhibit</w:t>
      </w:r>
      <w:r>
        <w:rPr>
          <w:spacing w:val="-4"/>
          <w:sz w:val="18"/>
        </w:rPr>
        <w:t xml:space="preserve"> </w:t>
      </w:r>
      <w:r>
        <w:rPr>
          <w:sz w:val="18"/>
        </w:rPr>
        <w:t>AUS‐101),</w:t>
      </w:r>
      <w:r>
        <w:rPr>
          <w:spacing w:val="-5"/>
          <w:sz w:val="18"/>
        </w:rPr>
        <w:t xml:space="preserve"> </w:t>
      </w:r>
      <w:r>
        <w:rPr>
          <w:sz w:val="18"/>
        </w:rPr>
        <w:t>p.</w:t>
      </w:r>
      <w:r>
        <w:rPr>
          <w:spacing w:val="-4"/>
          <w:sz w:val="18"/>
        </w:rPr>
        <w:t xml:space="preserve"> </w:t>
      </w:r>
      <w:r>
        <w:rPr>
          <w:sz w:val="18"/>
        </w:rPr>
        <w:t xml:space="preserve">31. </w:t>
      </w:r>
      <w:r>
        <w:rPr>
          <w:sz w:val="18"/>
          <w:vertAlign w:val="superscript"/>
        </w:rPr>
        <w:t>1197</w:t>
      </w:r>
      <w:r>
        <w:rPr>
          <w:spacing w:val="-4"/>
          <w:sz w:val="18"/>
        </w:rPr>
        <w:t xml:space="preserve"> </w:t>
      </w:r>
      <w:r>
        <w:rPr>
          <w:sz w:val="18"/>
        </w:rPr>
        <w:t>Anti‐Dumping</w:t>
      </w:r>
      <w:r>
        <w:rPr>
          <w:spacing w:val="-4"/>
          <w:sz w:val="18"/>
        </w:rPr>
        <w:t xml:space="preserve"> </w:t>
      </w:r>
      <w:r>
        <w:rPr>
          <w:sz w:val="18"/>
        </w:rPr>
        <w:t>Additional</w:t>
      </w:r>
      <w:r>
        <w:rPr>
          <w:spacing w:val="-5"/>
          <w:sz w:val="18"/>
        </w:rPr>
        <w:t xml:space="preserve"> </w:t>
      </w:r>
      <w:r>
        <w:rPr>
          <w:sz w:val="18"/>
        </w:rPr>
        <w:t>Final</w:t>
      </w:r>
      <w:r>
        <w:rPr>
          <w:spacing w:val="-4"/>
          <w:sz w:val="18"/>
        </w:rPr>
        <w:t xml:space="preserve"> </w:t>
      </w:r>
      <w:r>
        <w:rPr>
          <w:sz w:val="18"/>
        </w:rPr>
        <w:t>Disclosure</w:t>
      </w:r>
      <w:r>
        <w:rPr>
          <w:spacing w:val="-4"/>
          <w:sz w:val="18"/>
        </w:rPr>
        <w:t xml:space="preserve"> </w:t>
      </w:r>
      <w:r>
        <w:rPr>
          <w:sz w:val="18"/>
        </w:rPr>
        <w:t>(Exhibit</w:t>
      </w:r>
      <w:r>
        <w:rPr>
          <w:spacing w:val="-4"/>
          <w:sz w:val="18"/>
        </w:rPr>
        <w:t xml:space="preserve"> </w:t>
      </w:r>
      <w:r>
        <w:rPr>
          <w:sz w:val="18"/>
        </w:rPr>
        <w:t>AUS‐101),</w:t>
      </w:r>
      <w:r>
        <w:rPr>
          <w:spacing w:val="-5"/>
          <w:sz w:val="18"/>
        </w:rPr>
        <w:t xml:space="preserve"> </w:t>
      </w:r>
      <w:r>
        <w:rPr>
          <w:sz w:val="18"/>
        </w:rPr>
        <w:t>p.</w:t>
      </w:r>
      <w:r>
        <w:rPr>
          <w:spacing w:val="-4"/>
          <w:sz w:val="18"/>
        </w:rPr>
        <w:t xml:space="preserve"> </w:t>
      </w:r>
      <w:r>
        <w:rPr>
          <w:sz w:val="18"/>
        </w:rPr>
        <w:t xml:space="preserve">31. </w:t>
      </w:r>
      <w:r>
        <w:rPr>
          <w:sz w:val="18"/>
          <w:vertAlign w:val="superscript"/>
        </w:rPr>
        <w:t>1198</w:t>
      </w:r>
      <w:r>
        <w:rPr>
          <w:sz w:val="18"/>
        </w:rPr>
        <w:t xml:space="preserve"> Ibid.</w:t>
      </w:r>
    </w:p>
    <w:p w14:paraId="51DE9AB5" w14:textId="77777777" w:rsidR="0010369C" w:rsidRDefault="008E43AE">
      <w:pPr>
        <w:spacing w:line="219" w:lineRule="exact"/>
        <w:ind w:left="238"/>
        <w:jc w:val="both"/>
        <w:rPr>
          <w:sz w:val="18"/>
        </w:rPr>
      </w:pPr>
      <w:r>
        <w:rPr>
          <w:sz w:val="18"/>
          <w:vertAlign w:val="superscript"/>
        </w:rPr>
        <w:t>1199</w:t>
      </w:r>
      <w:r>
        <w:rPr>
          <w:spacing w:val="-10"/>
          <w:sz w:val="18"/>
        </w:rPr>
        <w:t xml:space="preserve"> </w:t>
      </w:r>
      <w:r>
        <w:rPr>
          <w:sz w:val="18"/>
        </w:rPr>
        <w:t>Anti‐Dumping</w:t>
      </w:r>
      <w:r>
        <w:rPr>
          <w:spacing w:val="-9"/>
          <w:sz w:val="18"/>
        </w:rPr>
        <w:t xml:space="preserve"> </w:t>
      </w:r>
      <w:r>
        <w:rPr>
          <w:sz w:val="18"/>
        </w:rPr>
        <w:t>Final</w:t>
      </w:r>
      <w:r>
        <w:rPr>
          <w:spacing w:val="-9"/>
          <w:sz w:val="18"/>
        </w:rPr>
        <w:t xml:space="preserve"> </w:t>
      </w:r>
      <w:r>
        <w:rPr>
          <w:sz w:val="18"/>
        </w:rPr>
        <w:t>Determination</w:t>
      </w:r>
      <w:r>
        <w:rPr>
          <w:spacing w:val="-8"/>
          <w:sz w:val="18"/>
        </w:rPr>
        <w:t xml:space="preserve"> </w:t>
      </w:r>
      <w:r>
        <w:rPr>
          <w:sz w:val="18"/>
        </w:rPr>
        <w:t>(Exhibit</w:t>
      </w:r>
      <w:r>
        <w:rPr>
          <w:spacing w:val="-9"/>
          <w:sz w:val="18"/>
        </w:rPr>
        <w:t xml:space="preserve"> </w:t>
      </w:r>
      <w:r>
        <w:rPr>
          <w:sz w:val="18"/>
        </w:rPr>
        <w:t>AUS‐2),</w:t>
      </w:r>
      <w:r>
        <w:rPr>
          <w:spacing w:val="-10"/>
          <w:sz w:val="18"/>
        </w:rPr>
        <w:t xml:space="preserve"> </w:t>
      </w:r>
      <w:r>
        <w:rPr>
          <w:sz w:val="18"/>
        </w:rPr>
        <w:t>pp.</w:t>
      </w:r>
      <w:r>
        <w:rPr>
          <w:spacing w:val="-9"/>
          <w:sz w:val="18"/>
        </w:rPr>
        <w:t xml:space="preserve"> </w:t>
      </w:r>
      <w:r>
        <w:rPr>
          <w:spacing w:val="-2"/>
          <w:sz w:val="18"/>
        </w:rPr>
        <w:t>91‐92.</w:t>
      </w:r>
    </w:p>
    <w:p w14:paraId="51DE9AB6" w14:textId="77777777" w:rsidR="0010369C" w:rsidRDefault="0010369C">
      <w:pPr>
        <w:spacing w:line="219" w:lineRule="exact"/>
        <w:jc w:val="both"/>
        <w:rPr>
          <w:sz w:val="18"/>
        </w:rPr>
        <w:sectPr w:rsidR="0010369C">
          <w:headerReference w:type="default" r:id="rId1319"/>
          <w:footerReference w:type="default" r:id="rId1320"/>
          <w:pgSz w:w="11910" w:h="16840"/>
          <w:pgMar w:top="880" w:right="800" w:bottom="1340" w:left="1180" w:header="569" w:footer="1143" w:gutter="0"/>
          <w:cols w:space="720"/>
        </w:sectPr>
      </w:pPr>
    </w:p>
    <w:p w14:paraId="51DE9AB7" w14:textId="77777777" w:rsidR="0010369C" w:rsidRDefault="008E43AE">
      <w:pPr>
        <w:tabs>
          <w:tab w:val="left" w:pos="6426"/>
        </w:tabs>
        <w:ind w:left="238"/>
        <w:rPr>
          <w:sz w:val="20"/>
        </w:rPr>
      </w:pPr>
      <w:r>
        <w:rPr>
          <w:i/>
          <w:sz w:val="20"/>
        </w:rPr>
        <w:lastRenderedPageBreak/>
        <w:t>China</w:t>
      </w:r>
      <w:r>
        <w:rPr>
          <w:i/>
          <w:spacing w:val="-5"/>
          <w:sz w:val="20"/>
        </w:rPr>
        <w:t xml:space="preserve"> </w:t>
      </w:r>
      <w:r>
        <w:rPr>
          <w:i/>
          <w:sz w:val="20"/>
        </w:rPr>
        <w:t>–</w:t>
      </w:r>
      <w:r>
        <w:rPr>
          <w:i/>
          <w:spacing w:val="-5"/>
          <w:sz w:val="20"/>
        </w:rPr>
        <w:t xml:space="preserve"> </w:t>
      </w:r>
      <w:r>
        <w:rPr>
          <w:i/>
          <w:sz w:val="20"/>
        </w:rPr>
        <w:t>Anti‐Dumping</w:t>
      </w:r>
      <w:r>
        <w:rPr>
          <w:i/>
          <w:spacing w:val="-4"/>
          <w:sz w:val="20"/>
        </w:rPr>
        <w:t xml:space="preserve"> </w:t>
      </w:r>
      <w:r>
        <w:rPr>
          <w:i/>
          <w:sz w:val="20"/>
        </w:rPr>
        <w:t>and</w:t>
      </w:r>
      <w:r>
        <w:rPr>
          <w:i/>
          <w:spacing w:val="-5"/>
          <w:sz w:val="20"/>
        </w:rPr>
        <w:t xml:space="preserve"> </w:t>
      </w:r>
      <w:r>
        <w:rPr>
          <w:i/>
          <w:sz w:val="20"/>
        </w:rPr>
        <w:t>Countervailing</w:t>
      </w:r>
      <w:r>
        <w:rPr>
          <w:i/>
          <w:spacing w:val="-5"/>
          <w:sz w:val="20"/>
        </w:rPr>
        <w:t xml:space="preserve"> </w:t>
      </w:r>
      <w:r>
        <w:rPr>
          <w:i/>
          <w:sz w:val="20"/>
        </w:rPr>
        <w:t>Duty</w:t>
      </w:r>
      <w:r>
        <w:rPr>
          <w:i/>
          <w:spacing w:val="-4"/>
          <w:sz w:val="20"/>
        </w:rPr>
        <w:t xml:space="preserve"> </w:t>
      </w:r>
      <w:r>
        <w:rPr>
          <w:i/>
          <w:spacing w:val="-2"/>
          <w:sz w:val="20"/>
        </w:rPr>
        <w:t>Measures</w:t>
      </w:r>
      <w:r>
        <w:rPr>
          <w:i/>
          <w:sz w:val="20"/>
        </w:rPr>
        <w:tab/>
      </w:r>
      <w:r>
        <w:rPr>
          <w:sz w:val="20"/>
        </w:rPr>
        <w:t>Australia's</w:t>
      </w:r>
      <w:r>
        <w:rPr>
          <w:spacing w:val="-7"/>
          <w:sz w:val="20"/>
        </w:rPr>
        <w:t xml:space="preserve"> </w:t>
      </w:r>
      <w:r>
        <w:rPr>
          <w:sz w:val="20"/>
        </w:rPr>
        <w:t>First</w:t>
      </w:r>
      <w:r>
        <w:rPr>
          <w:spacing w:val="-2"/>
          <w:sz w:val="20"/>
        </w:rPr>
        <w:t xml:space="preserve"> </w:t>
      </w:r>
      <w:r>
        <w:rPr>
          <w:sz w:val="20"/>
        </w:rPr>
        <w:t>Written</w:t>
      </w:r>
      <w:r>
        <w:rPr>
          <w:spacing w:val="-2"/>
          <w:sz w:val="20"/>
        </w:rPr>
        <w:t xml:space="preserve"> Submission</w:t>
      </w:r>
    </w:p>
    <w:p w14:paraId="51DE9AB8" w14:textId="77777777" w:rsidR="0010369C" w:rsidRDefault="008E43AE">
      <w:pPr>
        <w:tabs>
          <w:tab w:val="left" w:pos="8228"/>
        </w:tabs>
        <w:spacing w:before="1"/>
        <w:ind w:left="239"/>
        <w:rPr>
          <w:sz w:val="20"/>
        </w:rPr>
      </w:pPr>
      <w:r>
        <w:rPr>
          <w:i/>
          <w:sz w:val="20"/>
        </w:rPr>
        <w:t>on</w:t>
      </w:r>
      <w:r>
        <w:rPr>
          <w:i/>
          <w:spacing w:val="-1"/>
          <w:sz w:val="20"/>
        </w:rPr>
        <w:t xml:space="preserve"> </w:t>
      </w:r>
      <w:r>
        <w:rPr>
          <w:i/>
          <w:sz w:val="20"/>
        </w:rPr>
        <w:t>Wine</w:t>
      </w:r>
      <w:r>
        <w:rPr>
          <w:i/>
          <w:spacing w:val="-1"/>
          <w:sz w:val="20"/>
        </w:rPr>
        <w:t xml:space="preserve"> </w:t>
      </w:r>
      <w:r>
        <w:rPr>
          <w:i/>
          <w:sz w:val="20"/>
        </w:rPr>
        <w:t>from</w:t>
      </w:r>
      <w:r>
        <w:rPr>
          <w:i/>
          <w:spacing w:val="-3"/>
          <w:sz w:val="20"/>
        </w:rPr>
        <w:t xml:space="preserve"> </w:t>
      </w:r>
      <w:r>
        <w:rPr>
          <w:i/>
          <w:sz w:val="20"/>
        </w:rPr>
        <w:t>Australia</w:t>
      </w:r>
      <w:r>
        <w:rPr>
          <w:i/>
          <w:spacing w:val="-1"/>
          <w:sz w:val="20"/>
        </w:rPr>
        <w:t xml:space="preserve"> </w:t>
      </w:r>
      <w:r>
        <w:rPr>
          <w:spacing w:val="-2"/>
          <w:sz w:val="20"/>
        </w:rPr>
        <w:t>(DS602)</w:t>
      </w:r>
      <w:r>
        <w:rPr>
          <w:sz w:val="20"/>
        </w:rPr>
        <w:tab/>
        <w:t>29</w:t>
      </w:r>
      <w:r>
        <w:rPr>
          <w:spacing w:val="-1"/>
          <w:sz w:val="20"/>
        </w:rPr>
        <w:t xml:space="preserve"> </w:t>
      </w:r>
      <w:r>
        <w:rPr>
          <w:sz w:val="20"/>
        </w:rPr>
        <w:t>April</w:t>
      </w:r>
      <w:r>
        <w:rPr>
          <w:spacing w:val="-2"/>
          <w:sz w:val="20"/>
        </w:rPr>
        <w:t xml:space="preserve"> </w:t>
      </w:r>
      <w:r>
        <w:rPr>
          <w:spacing w:val="-4"/>
          <w:sz w:val="20"/>
        </w:rPr>
        <w:t>2022</w:t>
      </w:r>
    </w:p>
    <w:p w14:paraId="51DE9AB9" w14:textId="77777777" w:rsidR="0010369C" w:rsidRDefault="008E43AE">
      <w:pPr>
        <w:pStyle w:val="BodyText"/>
        <w:spacing w:before="34" w:line="360" w:lineRule="auto"/>
        <w:ind w:left="237" w:right="614"/>
      </w:pPr>
      <w:r>
        <w:t>basis</w:t>
      </w:r>
      <w:r>
        <w:rPr>
          <w:spacing w:val="-4"/>
        </w:rPr>
        <w:t xml:space="preserve"> </w:t>
      </w:r>
      <w:r>
        <w:t>of</w:t>
      </w:r>
      <w:r>
        <w:rPr>
          <w:spacing w:val="-4"/>
        </w:rPr>
        <w:t xml:space="preserve"> </w:t>
      </w:r>
      <w:r>
        <w:t>MOFCOM's</w:t>
      </w:r>
      <w:r>
        <w:rPr>
          <w:spacing w:val="-4"/>
        </w:rPr>
        <w:t xml:space="preserve"> </w:t>
      </w:r>
      <w:r>
        <w:t>analysis</w:t>
      </w:r>
      <w:r>
        <w:rPr>
          <w:spacing w:val="-4"/>
        </w:rPr>
        <w:t xml:space="preserve"> </w:t>
      </w:r>
      <w:r>
        <w:t>and</w:t>
      </w:r>
      <w:r>
        <w:rPr>
          <w:spacing w:val="-4"/>
        </w:rPr>
        <w:t xml:space="preserve"> </w:t>
      </w:r>
      <w:r>
        <w:t>its</w:t>
      </w:r>
      <w:r>
        <w:rPr>
          <w:spacing w:val="-4"/>
        </w:rPr>
        <w:t xml:space="preserve"> </w:t>
      </w:r>
      <w:r>
        <w:t>methodology</w:t>
      </w:r>
      <w:r>
        <w:rPr>
          <w:spacing w:val="-4"/>
        </w:rPr>
        <w:t xml:space="preserve"> </w:t>
      </w:r>
      <w:r>
        <w:t>were</w:t>
      </w:r>
      <w:r>
        <w:rPr>
          <w:spacing w:val="-3"/>
        </w:rPr>
        <w:t xml:space="preserve"> </w:t>
      </w:r>
      <w:r>
        <w:t>left</w:t>
      </w:r>
      <w:r>
        <w:rPr>
          <w:spacing w:val="-3"/>
        </w:rPr>
        <w:t xml:space="preserve"> </w:t>
      </w:r>
      <w:r>
        <w:t>unexplained</w:t>
      </w:r>
      <w:r>
        <w:rPr>
          <w:spacing w:val="-3"/>
        </w:rPr>
        <w:t xml:space="preserve"> </w:t>
      </w:r>
      <w:r>
        <w:t>to</w:t>
      </w:r>
      <w:r>
        <w:rPr>
          <w:spacing w:val="-3"/>
        </w:rPr>
        <w:t xml:space="preserve"> </w:t>
      </w:r>
      <w:r>
        <w:t>interested</w:t>
      </w:r>
      <w:r>
        <w:rPr>
          <w:spacing w:val="-4"/>
        </w:rPr>
        <w:t xml:space="preserve"> </w:t>
      </w:r>
      <w:r>
        <w:t>parties. MOFCOM did not explain:</w:t>
      </w:r>
    </w:p>
    <w:p w14:paraId="51DE9ABA" w14:textId="77777777" w:rsidR="0010369C" w:rsidRDefault="008E43AE">
      <w:pPr>
        <w:pStyle w:val="ListParagraph"/>
        <w:numPr>
          <w:ilvl w:val="0"/>
          <w:numId w:val="18"/>
        </w:numPr>
        <w:tabs>
          <w:tab w:val="left" w:pos="1939"/>
          <w:tab w:val="left" w:pos="1940"/>
        </w:tabs>
        <w:spacing w:before="160"/>
        <w:ind w:hanging="852"/>
        <w:jc w:val="left"/>
        <w:rPr>
          <w:sz w:val="24"/>
        </w:rPr>
      </w:pPr>
      <w:r>
        <w:rPr>
          <w:sz w:val="24"/>
        </w:rPr>
        <w:t>from</w:t>
      </w:r>
      <w:r>
        <w:rPr>
          <w:spacing w:val="-7"/>
          <w:sz w:val="24"/>
        </w:rPr>
        <w:t xml:space="preserve"> </w:t>
      </w:r>
      <w:r>
        <w:rPr>
          <w:sz w:val="24"/>
        </w:rPr>
        <w:t>which</w:t>
      </w:r>
      <w:r>
        <w:rPr>
          <w:spacing w:val="-8"/>
          <w:sz w:val="24"/>
        </w:rPr>
        <w:t xml:space="preserve"> </w:t>
      </w:r>
      <w:r>
        <w:rPr>
          <w:sz w:val="24"/>
        </w:rPr>
        <w:t>other</w:t>
      </w:r>
      <w:r>
        <w:rPr>
          <w:spacing w:val="-7"/>
          <w:sz w:val="24"/>
        </w:rPr>
        <w:t xml:space="preserve"> </w:t>
      </w:r>
      <w:r>
        <w:rPr>
          <w:sz w:val="24"/>
        </w:rPr>
        <w:t>"respondents"</w:t>
      </w:r>
      <w:r>
        <w:rPr>
          <w:spacing w:val="-7"/>
          <w:sz w:val="24"/>
        </w:rPr>
        <w:t xml:space="preserve"> </w:t>
      </w:r>
      <w:r>
        <w:rPr>
          <w:sz w:val="24"/>
        </w:rPr>
        <w:t>it</w:t>
      </w:r>
      <w:r>
        <w:rPr>
          <w:spacing w:val="-7"/>
          <w:sz w:val="24"/>
        </w:rPr>
        <w:t xml:space="preserve"> </w:t>
      </w:r>
      <w:r>
        <w:rPr>
          <w:sz w:val="24"/>
        </w:rPr>
        <w:t>was</w:t>
      </w:r>
      <w:r>
        <w:rPr>
          <w:spacing w:val="-7"/>
          <w:sz w:val="24"/>
        </w:rPr>
        <w:t xml:space="preserve"> </w:t>
      </w:r>
      <w:r>
        <w:rPr>
          <w:sz w:val="24"/>
        </w:rPr>
        <w:t>deriving</w:t>
      </w:r>
      <w:r>
        <w:rPr>
          <w:spacing w:val="-7"/>
          <w:sz w:val="24"/>
        </w:rPr>
        <w:t xml:space="preserve"> </w:t>
      </w:r>
      <w:r>
        <w:rPr>
          <w:sz w:val="24"/>
        </w:rPr>
        <w:t>average</w:t>
      </w:r>
      <w:r>
        <w:rPr>
          <w:spacing w:val="-6"/>
          <w:sz w:val="24"/>
        </w:rPr>
        <w:t xml:space="preserve"> </w:t>
      </w:r>
      <w:r>
        <w:rPr>
          <w:spacing w:val="-2"/>
          <w:sz w:val="24"/>
        </w:rPr>
        <w:t>prices;</w:t>
      </w:r>
    </w:p>
    <w:p w14:paraId="51DE9ABB" w14:textId="77777777" w:rsidR="0010369C" w:rsidRDefault="008E43AE">
      <w:pPr>
        <w:pStyle w:val="ListParagraph"/>
        <w:numPr>
          <w:ilvl w:val="0"/>
          <w:numId w:val="18"/>
        </w:numPr>
        <w:tabs>
          <w:tab w:val="left" w:pos="1939"/>
          <w:tab w:val="left" w:pos="1940"/>
        </w:tabs>
        <w:spacing w:before="266" w:line="355" w:lineRule="auto"/>
        <w:ind w:right="615"/>
        <w:rPr>
          <w:sz w:val="24"/>
        </w:rPr>
      </w:pPr>
      <w:r>
        <w:rPr>
          <w:sz w:val="24"/>
        </w:rPr>
        <w:t>what "information</w:t>
      </w:r>
      <w:r>
        <w:rPr>
          <w:spacing w:val="-1"/>
          <w:sz w:val="24"/>
        </w:rPr>
        <w:t xml:space="preserve"> </w:t>
      </w:r>
      <w:r>
        <w:rPr>
          <w:sz w:val="24"/>
        </w:rPr>
        <w:t>from the investigation" was subject to the "comparative analysis", nor what the "comparative analysis" involved;</w:t>
      </w:r>
    </w:p>
    <w:p w14:paraId="51DE9ABC" w14:textId="77777777" w:rsidR="0010369C" w:rsidRDefault="008E43AE">
      <w:pPr>
        <w:pStyle w:val="ListParagraph"/>
        <w:numPr>
          <w:ilvl w:val="0"/>
          <w:numId w:val="18"/>
        </w:numPr>
        <w:tabs>
          <w:tab w:val="left" w:pos="1939"/>
          <w:tab w:val="left" w:pos="1940"/>
        </w:tabs>
        <w:spacing w:before="132" w:line="355" w:lineRule="auto"/>
        <w:ind w:right="614"/>
        <w:rPr>
          <w:sz w:val="24"/>
        </w:rPr>
      </w:pPr>
      <w:r>
        <w:rPr>
          <w:sz w:val="24"/>
        </w:rPr>
        <w:t>which "physical properties of the product under investigation" it took into account, or for what purpose it took them into account;</w:t>
      </w:r>
    </w:p>
    <w:p w14:paraId="51DE9ABD" w14:textId="77777777" w:rsidR="0010369C" w:rsidRDefault="008E43AE">
      <w:pPr>
        <w:pStyle w:val="ListParagraph"/>
        <w:numPr>
          <w:ilvl w:val="0"/>
          <w:numId w:val="18"/>
        </w:numPr>
        <w:tabs>
          <w:tab w:val="left" w:pos="1939"/>
          <w:tab w:val="left" w:pos="1941"/>
        </w:tabs>
        <w:spacing w:before="131" w:line="357" w:lineRule="auto"/>
        <w:ind w:left="1938" w:right="613" w:hanging="850"/>
        <w:rPr>
          <w:sz w:val="24"/>
        </w:rPr>
      </w:pPr>
      <w:r>
        <w:rPr>
          <w:sz w:val="24"/>
        </w:rPr>
        <w:t>which "cost</w:t>
      </w:r>
      <w:r>
        <w:rPr>
          <w:sz w:val="24"/>
        </w:rPr>
        <w:t>s differences in different product types" it took into account, what it determined those differences were, what data it relied upon to identify the differences or for what purpose it took them into account;</w:t>
      </w:r>
    </w:p>
    <w:p w14:paraId="51DE9ABE" w14:textId="77777777" w:rsidR="0010369C" w:rsidRDefault="008E43AE">
      <w:pPr>
        <w:pStyle w:val="ListParagraph"/>
        <w:numPr>
          <w:ilvl w:val="0"/>
          <w:numId w:val="18"/>
        </w:numPr>
        <w:tabs>
          <w:tab w:val="left" w:pos="1938"/>
          <w:tab w:val="left" w:pos="1939"/>
        </w:tabs>
        <w:spacing w:before="129" w:line="357" w:lineRule="auto"/>
        <w:ind w:left="1938" w:right="613"/>
        <w:rPr>
          <w:sz w:val="24"/>
        </w:rPr>
      </w:pPr>
      <w:r>
        <w:rPr>
          <w:sz w:val="24"/>
        </w:rPr>
        <w:t>which</w:t>
      </w:r>
      <w:r>
        <w:rPr>
          <w:spacing w:val="-11"/>
          <w:sz w:val="24"/>
        </w:rPr>
        <w:t xml:space="preserve"> </w:t>
      </w:r>
      <w:r>
        <w:rPr>
          <w:sz w:val="24"/>
        </w:rPr>
        <w:t>"trade</w:t>
      </w:r>
      <w:r>
        <w:rPr>
          <w:spacing w:val="-10"/>
          <w:sz w:val="24"/>
        </w:rPr>
        <w:t xml:space="preserve"> </w:t>
      </w:r>
      <w:r>
        <w:rPr>
          <w:sz w:val="24"/>
        </w:rPr>
        <w:t>links"</w:t>
      </w:r>
      <w:r>
        <w:rPr>
          <w:spacing w:val="-10"/>
          <w:sz w:val="24"/>
        </w:rPr>
        <w:t xml:space="preserve"> </w:t>
      </w:r>
      <w:r>
        <w:rPr>
          <w:sz w:val="24"/>
        </w:rPr>
        <w:t>it</w:t>
      </w:r>
      <w:r>
        <w:rPr>
          <w:spacing w:val="-11"/>
          <w:sz w:val="24"/>
        </w:rPr>
        <w:t xml:space="preserve"> </w:t>
      </w:r>
      <w:r>
        <w:rPr>
          <w:sz w:val="24"/>
        </w:rPr>
        <w:t>took</w:t>
      </w:r>
      <w:r>
        <w:rPr>
          <w:spacing w:val="-11"/>
          <w:sz w:val="24"/>
        </w:rPr>
        <w:t xml:space="preserve"> </w:t>
      </w:r>
      <w:r>
        <w:rPr>
          <w:sz w:val="24"/>
        </w:rPr>
        <w:t>into</w:t>
      </w:r>
      <w:r>
        <w:rPr>
          <w:spacing w:val="-10"/>
          <w:sz w:val="24"/>
        </w:rPr>
        <w:t xml:space="preserve"> </w:t>
      </w:r>
      <w:r>
        <w:rPr>
          <w:sz w:val="24"/>
        </w:rPr>
        <w:t>account,</w:t>
      </w:r>
      <w:r>
        <w:rPr>
          <w:spacing w:val="-11"/>
          <w:sz w:val="24"/>
        </w:rPr>
        <w:t xml:space="preserve"> </w:t>
      </w:r>
      <w:r>
        <w:rPr>
          <w:sz w:val="24"/>
        </w:rPr>
        <w:t>why</w:t>
      </w:r>
      <w:r>
        <w:rPr>
          <w:spacing w:val="-10"/>
          <w:sz w:val="24"/>
        </w:rPr>
        <w:t xml:space="preserve"> </w:t>
      </w:r>
      <w:r>
        <w:rPr>
          <w:sz w:val="24"/>
        </w:rPr>
        <w:t>it</w:t>
      </w:r>
      <w:r>
        <w:rPr>
          <w:spacing w:val="-11"/>
          <w:sz w:val="24"/>
        </w:rPr>
        <w:t xml:space="preserve"> </w:t>
      </w:r>
      <w:r>
        <w:rPr>
          <w:sz w:val="24"/>
        </w:rPr>
        <w:t>was</w:t>
      </w:r>
      <w:r>
        <w:rPr>
          <w:spacing w:val="-11"/>
          <w:sz w:val="24"/>
        </w:rPr>
        <w:t xml:space="preserve"> </w:t>
      </w:r>
      <w:r>
        <w:rPr>
          <w:sz w:val="24"/>
        </w:rPr>
        <w:t>considering</w:t>
      </w:r>
      <w:r>
        <w:rPr>
          <w:spacing w:val="-11"/>
          <w:sz w:val="24"/>
        </w:rPr>
        <w:t xml:space="preserve"> </w:t>
      </w:r>
      <w:r>
        <w:rPr>
          <w:sz w:val="24"/>
        </w:rPr>
        <w:t>"trade</w:t>
      </w:r>
      <w:r>
        <w:rPr>
          <w:spacing w:val="-10"/>
          <w:sz w:val="24"/>
        </w:rPr>
        <w:t xml:space="preserve"> </w:t>
      </w:r>
      <w:r>
        <w:rPr>
          <w:sz w:val="24"/>
        </w:rPr>
        <w:t>links", the data from which the "trade links" were determined or the purpose for which it took them into account; or</w:t>
      </w:r>
    </w:p>
    <w:p w14:paraId="51DE9ABF" w14:textId="77777777" w:rsidR="0010369C" w:rsidRDefault="008E43AE">
      <w:pPr>
        <w:pStyle w:val="ListParagraph"/>
        <w:numPr>
          <w:ilvl w:val="0"/>
          <w:numId w:val="18"/>
        </w:numPr>
        <w:tabs>
          <w:tab w:val="left" w:pos="1939"/>
          <w:tab w:val="left" w:pos="1940"/>
        </w:tabs>
        <w:spacing w:before="128" w:line="357" w:lineRule="auto"/>
        <w:ind w:right="614"/>
        <w:rPr>
          <w:sz w:val="24"/>
        </w:rPr>
      </w:pPr>
      <w:r>
        <w:rPr>
          <w:sz w:val="24"/>
        </w:rPr>
        <w:t>what the "other influencing factors" were that it had regard to, why it selected those factors, which data it drew upon to assess these unknown factors,</w:t>
      </w:r>
      <w:r>
        <w:rPr>
          <w:spacing w:val="-6"/>
          <w:sz w:val="24"/>
        </w:rPr>
        <w:t xml:space="preserve"> </w:t>
      </w:r>
      <w:r>
        <w:rPr>
          <w:sz w:val="24"/>
        </w:rPr>
        <w:t>how</w:t>
      </w:r>
      <w:r>
        <w:rPr>
          <w:spacing w:val="-7"/>
          <w:sz w:val="24"/>
        </w:rPr>
        <w:t xml:space="preserve"> </w:t>
      </w:r>
      <w:r>
        <w:rPr>
          <w:sz w:val="24"/>
        </w:rPr>
        <w:t>they</w:t>
      </w:r>
      <w:r>
        <w:rPr>
          <w:spacing w:val="-6"/>
          <w:sz w:val="24"/>
        </w:rPr>
        <w:t xml:space="preserve"> </w:t>
      </w:r>
      <w:r>
        <w:rPr>
          <w:sz w:val="24"/>
        </w:rPr>
        <w:t>were</w:t>
      </w:r>
      <w:r>
        <w:rPr>
          <w:spacing w:val="-6"/>
          <w:sz w:val="24"/>
        </w:rPr>
        <w:t xml:space="preserve"> </w:t>
      </w:r>
      <w:r>
        <w:rPr>
          <w:sz w:val="24"/>
        </w:rPr>
        <w:t>taken</w:t>
      </w:r>
      <w:r>
        <w:rPr>
          <w:spacing w:val="-7"/>
          <w:sz w:val="24"/>
        </w:rPr>
        <w:t xml:space="preserve"> </w:t>
      </w:r>
      <w:r>
        <w:rPr>
          <w:sz w:val="24"/>
        </w:rPr>
        <w:t>into</w:t>
      </w:r>
      <w:r>
        <w:rPr>
          <w:spacing w:val="-5"/>
          <w:sz w:val="24"/>
        </w:rPr>
        <w:t xml:space="preserve"> </w:t>
      </w:r>
      <w:r>
        <w:rPr>
          <w:sz w:val="24"/>
        </w:rPr>
        <w:t>account</w:t>
      </w:r>
      <w:r>
        <w:rPr>
          <w:spacing w:val="-6"/>
          <w:sz w:val="24"/>
        </w:rPr>
        <w:t xml:space="preserve"> </w:t>
      </w:r>
      <w:r>
        <w:rPr>
          <w:sz w:val="24"/>
        </w:rPr>
        <w:t>and</w:t>
      </w:r>
      <w:r>
        <w:rPr>
          <w:spacing w:val="-6"/>
          <w:sz w:val="24"/>
        </w:rPr>
        <w:t xml:space="preserve"> </w:t>
      </w:r>
      <w:r>
        <w:rPr>
          <w:sz w:val="24"/>
        </w:rPr>
        <w:t>weighed</w:t>
      </w:r>
      <w:r>
        <w:rPr>
          <w:spacing w:val="-7"/>
          <w:sz w:val="24"/>
        </w:rPr>
        <w:t xml:space="preserve"> </w:t>
      </w:r>
      <w:r>
        <w:rPr>
          <w:sz w:val="24"/>
        </w:rPr>
        <w:t>against</w:t>
      </w:r>
      <w:r>
        <w:rPr>
          <w:spacing w:val="-6"/>
          <w:sz w:val="24"/>
        </w:rPr>
        <w:t xml:space="preserve"> </w:t>
      </w:r>
      <w:r>
        <w:rPr>
          <w:sz w:val="24"/>
        </w:rPr>
        <w:t>each,</w:t>
      </w:r>
      <w:r>
        <w:rPr>
          <w:spacing w:val="-7"/>
          <w:sz w:val="24"/>
        </w:rPr>
        <w:t xml:space="preserve"> </w:t>
      </w:r>
      <w:r>
        <w:rPr>
          <w:sz w:val="24"/>
        </w:rPr>
        <w:t>or</w:t>
      </w:r>
      <w:r>
        <w:rPr>
          <w:spacing w:val="-6"/>
          <w:sz w:val="24"/>
        </w:rPr>
        <w:t xml:space="preserve"> </w:t>
      </w:r>
      <w:r>
        <w:rPr>
          <w:sz w:val="24"/>
        </w:rPr>
        <w:t>the purpose for which it took them into a</w:t>
      </w:r>
      <w:r>
        <w:rPr>
          <w:sz w:val="24"/>
        </w:rPr>
        <w:t>ccount.</w:t>
      </w:r>
    </w:p>
    <w:p w14:paraId="51DE9AC0" w14:textId="77777777" w:rsidR="0010369C" w:rsidRDefault="008E43AE">
      <w:pPr>
        <w:pStyle w:val="BodyText"/>
        <w:spacing w:before="130" w:line="360" w:lineRule="auto"/>
        <w:ind w:left="236" w:right="613" w:firstLine="852"/>
        <w:jc w:val="both"/>
      </w:pPr>
      <w:r>
        <w:rPr>
          <w:noProof/>
        </w:rPr>
        <w:drawing>
          <wp:anchor distT="0" distB="0" distL="0" distR="0" simplePos="0" relativeHeight="251606528" behindDoc="1" locked="0" layoutInCell="1" allowOverlap="1" wp14:anchorId="51DEA8C8" wp14:editId="51DEA8C9">
            <wp:simplePos x="0" y="0"/>
            <wp:positionH relativeFrom="page">
              <wp:posOffset>908303</wp:posOffset>
            </wp:positionH>
            <wp:positionV relativeFrom="paragraph">
              <wp:posOffset>125554</wp:posOffset>
            </wp:positionV>
            <wp:extent cx="332231" cy="106679"/>
            <wp:effectExtent l="0" t="0" r="0" b="0"/>
            <wp:wrapNone/>
            <wp:docPr id="2009" name="image10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 name="image1032.png"/>
                    <pic:cNvPicPr/>
                  </pic:nvPicPr>
                  <pic:blipFill>
                    <a:blip r:embed="rId1321" cstate="print"/>
                    <a:stretch>
                      <a:fillRect/>
                    </a:stretch>
                  </pic:blipFill>
                  <pic:spPr>
                    <a:xfrm>
                      <a:off x="0" y="0"/>
                      <a:ext cx="332231" cy="106679"/>
                    </a:xfrm>
                    <a:prstGeom prst="rect">
                      <a:avLst/>
                    </a:prstGeom>
                  </pic:spPr>
                </pic:pic>
              </a:graphicData>
            </a:graphic>
          </wp:anchor>
        </w:drawing>
      </w:r>
      <w:r>
        <w:t xml:space="preserve">In </w:t>
      </w:r>
      <w:r>
        <w:rPr>
          <w:i/>
        </w:rPr>
        <w:t>China – Broiler Products</w:t>
      </w:r>
      <w:r>
        <w:t>, the panel held that "a declaration of the weighted‐ average</w:t>
      </w:r>
      <w:r>
        <w:rPr>
          <w:spacing w:val="-14"/>
        </w:rPr>
        <w:t xml:space="preserve"> </w:t>
      </w:r>
      <w:r>
        <w:t>dumping</w:t>
      </w:r>
      <w:r>
        <w:rPr>
          <w:spacing w:val="-14"/>
        </w:rPr>
        <w:t xml:space="preserve"> </w:t>
      </w:r>
      <w:r>
        <w:t>margin</w:t>
      </w:r>
      <w:r>
        <w:rPr>
          <w:spacing w:val="-13"/>
        </w:rPr>
        <w:t xml:space="preserve"> </w:t>
      </w:r>
      <w:r>
        <w:t>for</w:t>
      </w:r>
      <w:r>
        <w:rPr>
          <w:spacing w:val="-13"/>
        </w:rPr>
        <w:t xml:space="preserve"> </w:t>
      </w:r>
      <w:r>
        <w:t>a</w:t>
      </w:r>
      <w:r>
        <w:rPr>
          <w:spacing w:val="-13"/>
        </w:rPr>
        <w:t xml:space="preserve"> </w:t>
      </w:r>
      <w:r>
        <w:t>particular</w:t>
      </w:r>
      <w:r>
        <w:rPr>
          <w:spacing w:val="-12"/>
        </w:rPr>
        <w:t xml:space="preserve"> </w:t>
      </w:r>
      <w:r>
        <w:t>model</w:t>
      </w:r>
      <w:r>
        <w:rPr>
          <w:spacing w:val="-14"/>
        </w:rPr>
        <w:t xml:space="preserve"> </w:t>
      </w:r>
      <w:r>
        <w:t>will</w:t>
      </w:r>
      <w:r>
        <w:rPr>
          <w:spacing w:val="-13"/>
        </w:rPr>
        <w:t xml:space="preserve"> </w:t>
      </w:r>
      <w:r>
        <w:t>not</w:t>
      </w:r>
      <w:r>
        <w:rPr>
          <w:spacing w:val="-13"/>
        </w:rPr>
        <w:t xml:space="preserve"> </w:t>
      </w:r>
      <w:r>
        <w:t>suffice</w:t>
      </w:r>
      <w:r>
        <w:rPr>
          <w:spacing w:val="-13"/>
        </w:rPr>
        <w:t xml:space="preserve"> </w:t>
      </w:r>
      <w:r>
        <w:t>as</w:t>
      </w:r>
      <w:r>
        <w:rPr>
          <w:spacing w:val="-14"/>
        </w:rPr>
        <w:t xml:space="preserve"> </w:t>
      </w:r>
      <w:r>
        <w:t>a</w:t>
      </w:r>
      <w:r>
        <w:rPr>
          <w:spacing w:val="-13"/>
        </w:rPr>
        <w:t xml:space="preserve"> </w:t>
      </w:r>
      <w:r>
        <w:t>disclosure</w:t>
      </w:r>
      <w:r>
        <w:rPr>
          <w:spacing w:val="-12"/>
        </w:rPr>
        <w:t xml:space="preserve"> </w:t>
      </w:r>
      <w:r>
        <w:t>of</w:t>
      </w:r>
      <w:r>
        <w:rPr>
          <w:spacing w:val="-14"/>
        </w:rPr>
        <w:t xml:space="preserve"> </w:t>
      </w:r>
      <w:r>
        <w:t>essential</w:t>
      </w:r>
      <w:r>
        <w:rPr>
          <w:spacing w:val="-14"/>
        </w:rPr>
        <w:t xml:space="preserve"> </w:t>
      </w:r>
      <w:r>
        <w:t>facts under Article 6.9 without being accompanied by the data relied upon to reach that conclusion".</w:t>
      </w:r>
      <w:r>
        <w:rPr>
          <w:vertAlign w:val="superscript"/>
        </w:rPr>
        <w:t>1200</w:t>
      </w:r>
      <w:r>
        <w:rPr>
          <w:spacing w:val="-8"/>
        </w:rPr>
        <w:t xml:space="preserve"> </w:t>
      </w:r>
      <w:r>
        <w:t>MOFCOM</w:t>
      </w:r>
      <w:r>
        <w:rPr>
          <w:spacing w:val="-6"/>
        </w:rPr>
        <w:t xml:space="preserve"> </w:t>
      </w:r>
      <w:r>
        <w:t>failed</w:t>
      </w:r>
      <w:r>
        <w:rPr>
          <w:spacing w:val="-7"/>
        </w:rPr>
        <w:t xml:space="preserve"> </w:t>
      </w:r>
      <w:r>
        <w:t>to</w:t>
      </w:r>
      <w:r>
        <w:rPr>
          <w:spacing w:val="-7"/>
        </w:rPr>
        <w:t xml:space="preserve"> </w:t>
      </w:r>
      <w:r>
        <w:t>provide</w:t>
      </w:r>
      <w:r>
        <w:rPr>
          <w:spacing w:val="-6"/>
        </w:rPr>
        <w:t xml:space="preserve"> </w:t>
      </w:r>
      <w:r>
        <w:t>such</w:t>
      </w:r>
      <w:r>
        <w:rPr>
          <w:spacing w:val="-8"/>
        </w:rPr>
        <w:t xml:space="preserve"> </w:t>
      </w:r>
      <w:r>
        <w:t>data</w:t>
      </w:r>
      <w:r>
        <w:rPr>
          <w:spacing w:val="-7"/>
        </w:rPr>
        <w:t xml:space="preserve"> </w:t>
      </w:r>
      <w:r>
        <w:t>in</w:t>
      </w:r>
      <w:r>
        <w:rPr>
          <w:spacing w:val="-8"/>
        </w:rPr>
        <w:t xml:space="preserve"> </w:t>
      </w:r>
      <w:r>
        <w:t>this</w:t>
      </w:r>
      <w:r>
        <w:rPr>
          <w:spacing w:val="-7"/>
        </w:rPr>
        <w:t xml:space="preserve"> </w:t>
      </w:r>
      <w:r>
        <w:t>instance.</w:t>
      </w:r>
      <w:r>
        <w:rPr>
          <w:spacing w:val="-6"/>
        </w:rPr>
        <w:t xml:space="preserve"> </w:t>
      </w:r>
      <w:r>
        <w:t>Australia</w:t>
      </w:r>
      <w:r>
        <w:rPr>
          <w:spacing w:val="-8"/>
        </w:rPr>
        <w:t xml:space="preserve"> </w:t>
      </w:r>
      <w:r>
        <w:t>acknowledges that this information may have needed to be disclosed in summary form to me</w:t>
      </w:r>
      <w:r>
        <w:t>et confidentiality obligations. Such a summary would need to have been in "sufficient detail to permit a reasonable understanding of the substance of the information" to meet the requirements of Article 6.5.1. Nonetheless, the data constituted essential fa</w:t>
      </w:r>
      <w:r>
        <w:t>cts for the calculation of dumping margins and needed to be disclosed to interested parties.</w:t>
      </w:r>
    </w:p>
    <w:p w14:paraId="51DE9AC1" w14:textId="77777777" w:rsidR="0010369C" w:rsidRDefault="0010369C">
      <w:pPr>
        <w:pStyle w:val="BodyText"/>
        <w:spacing w:before="12"/>
        <w:rPr>
          <w:sz w:val="8"/>
        </w:rPr>
      </w:pPr>
    </w:p>
    <w:p w14:paraId="51DE9AC2" w14:textId="77777777" w:rsidR="0010369C" w:rsidRDefault="008E43AE">
      <w:pPr>
        <w:pStyle w:val="BodyText"/>
        <w:spacing w:before="51" w:line="360" w:lineRule="auto"/>
        <w:ind w:left="237" w:right="614" w:firstLine="851"/>
      </w:pPr>
      <w:r>
        <w:rPr>
          <w:noProof/>
        </w:rPr>
        <w:drawing>
          <wp:anchor distT="0" distB="0" distL="0" distR="0" simplePos="0" relativeHeight="251607552" behindDoc="1" locked="0" layoutInCell="1" allowOverlap="1" wp14:anchorId="51DEA8CA" wp14:editId="51DEA8CB">
            <wp:simplePos x="0" y="0"/>
            <wp:positionH relativeFrom="page">
              <wp:posOffset>908303</wp:posOffset>
            </wp:positionH>
            <wp:positionV relativeFrom="paragraph">
              <wp:posOffset>79960</wp:posOffset>
            </wp:positionV>
            <wp:extent cx="332231" cy="103631"/>
            <wp:effectExtent l="0" t="0" r="0" b="0"/>
            <wp:wrapNone/>
            <wp:docPr id="2011" name="image10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 name="image1033.png"/>
                    <pic:cNvPicPr/>
                  </pic:nvPicPr>
                  <pic:blipFill>
                    <a:blip r:embed="rId1322" cstate="print"/>
                    <a:stretch>
                      <a:fillRect/>
                    </a:stretch>
                  </pic:blipFill>
                  <pic:spPr>
                    <a:xfrm>
                      <a:off x="0" y="0"/>
                      <a:ext cx="332231" cy="103631"/>
                    </a:xfrm>
                    <a:prstGeom prst="rect">
                      <a:avLst/>
                    </a:prstGeom>
                  </pic:spPr>
                </pic:pic>
              </a:graphicData>
            </a:graphic>
          </wp:anchor>
        </w:drawing>
      </w:r>
      <w:r>
        <w:t>This</w:t>
      </w:r>
      <w:r>
        <w:rPr>
          <w:spacing w:val="40"/>
        </w:rPr>
        <w:t xml:space="preserve"> </w:t>
      </w:r>
      <w:r>
        <w:t>lack</w:t>
      </w:r>
      <w:r>
        <w:rPr>
          <w:spacing w:val="40"/>
        </w:rPr>
        <w:t xml:space="preserve"> </w:t>
      </w:r>
      <w:r>
        <w:t>of</w:t>
      </w:r>
      <w:r>
        <w:rPr>
          <w:spacing w:val="40"/>
        </w:rPr>
        <w:t xml:space="preserve"> </w:t>
      </w:r>
      <w:r>
        <w:t>non‐confidential</w:t>
      </w:r>
      <w:r>
        <w:rPr>
          <w:spacing w:val="40"/>
        </w:rPr>
        <w:t xml:space="preserve"> </w:t>
      </w:r>
      <w:r>
        <w:t>information,</w:t>
      </w:r>
      <w:r>
        <w:rPr>
          <w:spacing w:val="40"/>
        </w:rPr>
        <w:t xml:space="preserve"> </w:t>
      </w:r>
      <w:r>
        <w:t>particularly</w:t>
      </w:r>
      <w:r>
        <w:rPr>
          <w:spacing w:val="40"/>
        </w:rPr>
        <w:t xml:space="preserve"> </w:t>
      </w:r>
      <w:r>
        <w:t>in</w:t>
      </w:r>
      <w:r>
        <w:rPr>
          <w:spacing w:val="40"/>
        </w:rPr>
        <w:t xml:space="preserve"> </w:t>
      </w:r>
      <w:r>
        <w:t>relation</w:t>
      </w:r>
      <w:r>
        <w:rPr>
          <w:spacing w:val="40"/>
        </w:rPr>
        <w:t xml:space="preserve"> </w:t>
      </w:r>
      <w:r>
        <w:t>to</w:t>
      </w:r>
      <w:r>
        <w:rPr>
          <w:spacing w:val="40"/>
        </w:rPr>
        <w:t xml:space="preserve"> </w:t>
      </w:r>
      <w:r>
        <w:t>MOFCOM's chosen</w:t>
      </w:r>
      <w:r>
        <w:rPr>
          <w:spacing w:val="25"/>
        </w:rPr>
        <w:t xml:space="preserve"> </w:t>
      </w:r>
      <w:r>
        <w:t>methodology,</w:t>
      </w:r>
      <w:r>
        <w:rPr>
          <w:spacing w:val="26"/>
        </w:rPr>
        <w:t xml:space="preserve"> </w:t>
      </w:r>
      <w:r>
        <w:t>made</w:t>
      </w:r>
      <w:r>
        <w:rPr>
          <w:spacing w:val="26"/>
        </w:rPr>
        <w:t xml:space="preserve"> </w:t>
      </w:r>
      <w:r>
        <w:t>it</w:t>
      </w:r>
      <w:r>
        <w:rPr>
          <w:spacing w:val="26"/>
        </w:rPr>
        <w:t xml:space="preserve"> </w:t>
      </w:r>
      <w:r>
        <w:t>impossible</w:t>
      </w:r>
      <w:r>
        <w:rPr>
          <w:spacing w:val="28"/>
        </w:rPr>
        <w:t xml:space="preserve"> </w:t>
      </w:r>
      <w:r>
        <w:t>for</w:t>
      </w:r>
      <w:r>
        <w:rPr>
          <w:spacing w:val="25"/>
        </w:rPr>
        <w:t xml:space="preserve"> </w:t>
      </w:r>
      <w:r>
        <w:t>the</w:t>
      </w:r>
      <w:r>
        <w:rPr>
          <w:spacing w:val="27"/>
        </w:rPr>
        <w:t xml:space="preserve"> </w:t>
      </w:r>
      <w:r>
        <w:t>sampled</w:t>
      </w:r>
      <w:r>
        <w:rPr>
          <w:spacing w:val="26"/>
        </w:rPr>
        <w:t xml:space="preserve"> </w:t>
      </w:r>
      <w:r>
        <w:t>companies</w:t>
      </w:r>
      <w:r>
        <w:rPr>
          <w:spacing w:val="26"/>
        </w:rPr>
        <w:t xml:space="preserve"> </w:t>
      </w:r>
      <w:r>
        <w:t>to</w:t>
      </w:r>
      <w:r>
        <w:rPr>
          <w:spacing w:val="26"/>
        </w:rPr>
        <w:t xml:space="preserve"> </w:t>
      </w:r>
      <w:r>
        <w:t>comment</w:t>
      </w:r>
      <w:r>
        <w:rPr>
          <w:spacing w:val="26"/>
        </w:rPr>
        <w:t xml:space="preserve"> </w:t>
      </w:r>
      <w:r>
        <w:t>on</w:t>
      </w:r>
      <w:r>
        <w:rPr>
          <w:spacing w:val="27"/>
        </w:rPr>
        <w:t xml:space="preserve"> </w:t>
      </w:r>
      <w:r>
        <w:rPr>
          <w:spacing w:val="-5"/>
        </w:rPr>
        <w:t>the</w:t>
      </w:r>
    </w:p>
    <w:p w14:paraId="51DE9AC3" w14:textId="77777777" w:rsidR="0010369C" w:rsidRDefault="008E43AE">
      <w:pPr>
        <w:pStyle w:val="BodyText"/>
        <w:spacing w:before="5"/>
        <w:rPr>
          <w:sz w:val="17"/>
        </w:rPr>
      </w:pPr>
      <w:r>
        <w:pict w14:anchorId="51DEA8CC">
          <v:rect id="docshape1415" o:spid="_x0000_s1073" style="position:absolute;margin-left:70.9pt;margin-top:11.85pt;width:2in;height:.8pt;z-index:-250680832;mso-wrap-distance-left:0;mso-wrap-distance-right:0;mso-position-horizontal-relative:page" fillcolor="black" stroked="f">
            <w10:wrap type="topAndBottom" anchorx="page"/>
          </v:rect>
        </w:pict>
      </w:r>
    </w:p>
    <w:p w14:paraId="51DE9AC4" w14:textId="77777777" w:rsidR="0010369C" w:rsidRDefault="008E43AE">
      <w:pPr>
        <w:spacing w:before="109"/>
        <w:ind w:left="238"/>
        <w:rPr>
          <w:sz w:val="18"/>
        </w:rPr>
      </w:pPr>
      <w:r>
        <w:rPr>
          <w:sz w:val="18"/>
          <w:vertAlign w:val="superscript"/>
        </w:rPr>
        <w:t>1200</w:t>
      </w:r>
      <w:r>
        <w:rPr>
          <w:spacing w:val="-6"/>
          <w:sz w:val="18"/>
        </w:rPr>
        <w:t xml:space="preserve"> </w:t>
      </w:r>
      <w:r>
        <w:rPr>
          <w:sz w:val="18"/>
        </w:rPr>
        <w:t>Panel</w:t>
      </w:r>
      <w:r>
        <w:rPr>
          <w:spacing w:val="-7"/>
          <w:sz w:val="18"/>
        </w:rPr>
        <w:t xml:space="preserve"> </w:t>
      </w:r>
      <w:r>
        <w:rPr>
          <w:sz w:val="18"/>
        </w:rPr>
        <w:t>Report,</w:t>
      </w:r>
      <w:r>
        <w:rPr>
          <w:spacing w:val="-6"/>
          <w:sz w:val="18"/>
        </w:rPr>
        <w:t xml:space="preserve"> </w:t>
      </w:r>
      <w:r>
        <w:rPr>
          <w:i/>
          <w:sz w:val="18"/>
        </w:rPr>
        <w:t>China</w:t>
      </w:r>
      <w:r>
        <w:rPr>
          <w:i/>
          <w:spacing w:val="-5"/>
          <w:sz w:val="18"/>
        </w:rPr>
        <w:t xml:space="preserve"> </w:t>
      </w:r>
      <w:r>
        <w:rPr>
          <w:i/>
          <w:sz w:val="18"/>
        </w:rPr>
        <w:t>–</w:t>
      </w:r>
      <w:r>
        <w:rPr>
          <w:i/>
          <w:spacing w:val="-6"/>
          <w:sz w:val="18"/>
        </w:rPr>
        <w:t xml:space="preserve"> </w:t>
      </w:r>
      <w:r>
        <w:rPr>
          <w:i/>
          <w:sz w:val="18"/>
        </w:rPr>
        <w:t>Broiler</w:t>
      </w:r>
      <w:r>
        <w:rPr>
          <w:i/>
          <w:spacing w:val="-7"/>
          <w:sz w:val="18"/>
        </w:rPr>
        <w:t xml:space="preserve"> </w:t>
      </w:r>
      <w:r>
        <w:rPr>
          <w:i/>
          <w:sz w:val="18"/>
        </w:rPr>
        <w:t>Products</w:t>
      </w:r>
      <w:r>
        <w:rPr>
          <w:sz w:val="18"/>
        </w:rPr>
        <w:t>,</w:t>
      </w:r>
      <w:r>
        <w:rPr>
          <w:spacing w:val="-6"/>
          <w:sz w:val="18"/>
        </w:rPr>
        <w:t xml:space="preserve"> </w:t>
      </w:r>
      <w:r>
        <w:rPr>
          <w:sz w:val="18"/>
        </w:rPr>
        <w:t>para.</w:t>
      </w:r>
      <w:r>
        <w:rPr>
          <w:spacing w:val="-6"/>
          <w:sz w:val="18"/>
        </w:rPr>
        <w:t xml:space="preserve"> </w:t>
      </w:r>
      <w:r>
        <w:rPr>
          <w:spacing w:val="-2"/>
          <w:sz w:val="18"/>
        </w:rPr>
        <w:t>7.90.</w:t>
      </w:r>
    </w:p>
    <w:p w14:paraId="51DE9AC5" w14:textId="77777777" w:rsidR="0010369C" w:rsidRDefault="0010369C">
      <w:pPr>
        <w:rPr>
          <w:sz w:val="18"/>
        </w:rPr>
        <w:sectPr w:rsidR="0010369C">
          <w:headerReference w:type="default" r:id="rId1323"/>
          <w:footerReference w:type="default" r:id="rId1324"/>
          <w:pgSz w:w="11910" w:h="16840"/>
          <w:pgMar w:top="880" w:right="800" w:bottom="980" w:left="1180" w:header="569" w:footer="788" w:gutter="0"/>
          <w:cols w:space="720"/>
        </w:sectPr>
      </w:pPr>
    </w:p>
    <w:p w14:paraId="51DE9AC6" w14:textId="77777777" w:rsidR="0010369C" w:rsidRDefault="008E43AE">
      <w:pPr>
        <w:tabs>
          <w:tab w:val="left" w:pos="6425"/>
        </w:tabs>
        <w:ind w:left="238"/>
        <w:jc w:val="both"/>
        <w:rPr>
          <w:sz w:val="20"/>
        </w:rPr>
      </w:pPr>
      <w:r>
        <w:rPr>
          <w:i/>
          <w:sz w:val="20"/>
        </w:rPr>
        <w:lastRenderedPageBreak/>
        <w:t>China</w:t>
      </w:r>
      <w:r>
        <w:rPr>
          <w:i/>
          <w:spacing w:val="-5"/>
          <w:sz w:val="20"/>
        </w:rPr>
        <w:t xml:space="preserve"> </w:t>
      </w:r>
      <w:r>
        <w:rPr>
          <w:i/>
          <w:sz w:val="20"/>
        </w:rPr>
        <w:t>–</w:t>
      </w:r>
      <w:r>
        <w:rPr>
          <w:i/>
          <w:spacing w:val="-5"/>
          <w:sz w:val="20"/>
        </w:rPr>
        <w:t xml:space="preserve"> </w:t>
      </w:r>
      <w:r>
        <w:rPr>
          <w:i/>
          <w:sz w:val="20"/>
        </w:rPr>
        <w:t>Anti‐Dumping</w:t>
      </w:r>
      <w:r>
        <w:rPr>
          <w:i/>
          <w:spacing w:val="-4"/>
          <w:sz w:val="20"/>
        </w:rPr>
        <w:t xml:space="preserve"> </w:t>
      </w:r>
      <w:r>
        <w:rPr>
          <w:i/>
          <w:sz w:val="20"/>
        </w:rPr>
        <w:t>and</w:t>
      </w:r>
      <w:r>
        <w:rPr>
          <w:i/>
          <w:spacing w:val="-5"/>
          <w:sz w:val="20"/>
        </w:rPr>
        <w:t xml:space="preserve"> </w:t>
      </w:r>
      <w:r>
        <w:rPr>
          <w:i/>
          <w:sz w:val="20"/>
        </w:rPr>
        <w:t>Countervailing</w:t>
      </w:r>
      <w:r>
        <w:rPr>
          <w:i/>
          <w:spacing w:val="-5"/>
          <w:sz w:val="20"/>
        </w:rPr>
        <w:t xml:space="preserve"> </w:t>
      </w:r>
      <w:r>
        <w:rPr>
          <w:i/>
          <w:sz w:val="20"/>
        </w:rPr>
        <w:t>Duty</w:t>
      </w:r>
      <w:r>
        <w:rPr>
          <w:i/>
          <w:spacing w:val="-4"/>
          <w:sz w:val="20"/>
        </w:rPr>
        <w:t xml:space="preserve"> </w:t>
      </w:r>
      <w:r>
        <w:rPr>
          <w:i/>
          <w:spacing w:val="-2"/>
          <w:sz w:val="20"/>
        </w:rPr>
        <w:t>Measures</w:t>
      </w:r>
      <w:r>
        <w:rPr>
          <w:i/>
          <w:sz w:val="20"/>
        </w:rPr>
        <w:tab/>
      </w:r>
      <w:r>
        <w:rPr>
          <w:sz w:val="20"/>
        </w:rPr>
        <w:t>Australia's</w:t>
      </w:r>
      <w:r>
        <w:rPr>
          <w:spacing w:val="-7"/>
          <w:sz w:val="20"/>
        </w:rPr>
        <w:t xml:space="preserve"> </w:t>
      </w:r>
      <w:r>
        <w:rPr>
          <w:sz w:val="20"/>
        </w:rPr>
        <w:t>First</w:t>
      </w:r>
      <w:r>
        <w:rPr>
          <w:spacing w:val="-2"/>
          <w:sz w:val="20"/>
        </w:rPr>
        <w:t xml:space="preserve"> </w:t>
      </w:r>
      <w:r>
        <w:rPr>
          <w:sz w:val="20"/>
        </w:rPr>
        <w:t>Written</w:t>
      </w:r>
      <w:r>
        <w:rPr>
          <w:spacing w:val="-2"/>
          <w:sz w:val="20"/>
        </w:rPr>
        <w:t xml:space="preserve"> Submission</w:t>
      </w:r>
    </w:p>
    <w:p w14:paraId="51DE9AC7" w14:textId="77777777" w:rsidR="0010369C" w:rsidRDefault="008E43AE">
      <w:pPr>
        <w:tabs>
          <w:tab w:val="left" w:pos="8227"/>
        </w:tabs>
        <w:spacing w:before="1"/>
        <w:ind w:left="239"/>
        <w:jc w:val="both"/>
        <w:rPr>
          <w:sz w:val="20"/>
        </w:rPr>
      </w:pPr>
      <w:r>
        <w:rPr>
          <w:i/>
          <w:sz w:val="20"/>
        </w:rPr>
        <w:t>on</w:t>
      </w:r>
      <w:r>
        <w:rPr>
          <w:i/>
          <w:spacing w:val="-1"/>
          <w:sz w:val="20"/>
        </w:rPr>
        <w:t xml:space="preserve"> </w:t>
      </w:r>
      <w:r>
        <w:rPr>
          <w:i/>
          <w:sz w:val="20"/>
        </w:rPr>
        <w:t>Wine</w:t>
      </w:r>
      <w:r>
        <w:rPr>
          <w:i/>
          <w:spacing w:val="-1"/>
          <w:sz w:val="20"/>
        </w:rPr>
        <w:t xml:space="preserve"> </w:t>
      </w:r>
      <w:r>
        <w:rPr>
          <w:i/>
          <w:sz w:val="20"/>
        </w:rPr>
        <w:t>from</w:t>
      </w:r>
      <w:r>
        <w:rPr>
          <w:i/>
          <w:spacing w:val="-3"/>
          <w:sz w:val="20"/>
        </w:rPr>
        <w:t xml:space="preserve"> </w:t>
      </w:r>
      <w:r>
        <w:rPr>
          <w:i/>
          <w:sz w:val="20"/>
        </w:rPr>
        <w:t>Australia</w:t>
      </w:r>
      <w:r>
        <w:rPr>
          <w:i/>
          <w:spacing w:val="-1"/>
          <w:sz w:val="20"/>
        </w:rPr>
        <w:t xml:space="preserve"> </w:t>
      </w:r>
      <w:r>
        <w:rPr>
          <w:spacing w:val="-2"/>
          <w:sz w:val="20"/>
        </w:rPr>
        <w:t>(DS602)</w:t>
      </w:r>
      <w:r>
        <w:rPr>
          <w:sz w:val="20"/>
        </w:rPr>
        <w:tab/>
        <w:t>29</w:t>
      </w:r>
      <w:r>
        <w:rPr>
          <w:spacing w:val="-1"/>
          <w:sz w:val="20"/>
        </w:rPr>
        <w:t xml:space="preserve"> </w:t>
      </w:r>
      <w:r>
        <w:rPr>
          <w:sz w:val="20"/>
        </w:rPr>
        <w:t>April</w:t>
      </w:r>
      <w:r>
        <w:rPr>
          <w:spacing w:val="-2"/>
          <w:sz w:val="20"/>
        </w:rPr>
        <w:t xml:space="preserve"> </w:t>
      </w:r>
      <w:r>
        <w:rPr>
          <w:spacing w:val="-4"/>
          <w:sz w:val="20"/>
        </w:rPr>
        <w:t>2022</w:t>
      </w:r>
    </w:p>
    <w:p w14:paraId="51DE9AC8" w14:textId="77777777" w:rsidR="0010369C" w:rsidRDefault="008E43AE">
      <w:pPr>
        <w:pStyle w:val="BodyText"/>
        <w:spacing w:before="34" w:line="360" w:lineRule="auto"/>
        <w:ind w:left="237" w:right="615"/>
        <w:jc w:val="both"/>
      </w:pPr>
      <w:r>
        <w:t>normal</w:t>
      </w:r>
      <w:r>
        <w:rPr>
          <w:spacing w:val="-1"/>
        </w:rPr>
        <w:t xml:space="preserve"> </w:t>
      </w:r>
      <w:r>
        <w:t>value</w:t>
      </w:r>
      <w:r>
        <w:rPr>
          <w:spacing w:val="-1"/>
        </w:rPr>
        <w:t xml:space="preserve"> </w:t>
      </w:r>
      <w:r>
        <w:t>calculations</w:t>
      </w:r>
      <w:r>
        <w:rPr>
          <w:spacing w:val="-2"/>
        </w:rPr>
        <w:t xml:space="preserve"> </w:t>
      </w:r>
      <w:r>
        <w:t>and,</w:t>
      </w:r>
      <w:r>
        <w:rPr>
          <w:spacing w:val="-1"/>
        </w:rPr>
        <w:t xml:space="preserve"> </w:t>
      </w:r>
      <w:r>
        <w:t>therefore,</w:t>
      </w:r>
      <w:r>
        <w:rPr>
          <w:spacing w:val="-2"/>
        </w:rPr>
        <w:t xml:space="preserve"> </w:t>
      </w:r>
      <w:r>
        <w:t>to</w:t>
      </w:r>
      <w:r>
        <w:rPr>
          <w:spacing w:val="-1"/>
        </w:rPr>
        <w:t xml:space="preserve"> </w:t>
      </w:r>
      <w:r>
        <w:t>defend</w:t>
      </w:r>
      <w:r>
        <w:rPr>
          <w:spacing w:val="-1"/>
        </w:rPr>
        <w:t xml:space="preserve"> </w:t>
      </w:r>
      <w:r>
        <w:t>their</w:t>
      </w:r>
      <w:r>
        <w:rPr>
          <w:spacing w:val="-1"/>
        </w:rPr>
        <w:t xml:space="preserve"> </w:t>
      </w:r>
      <w:r>
        <w:t>interests. No</w:t>
      </w:r>
      <w:r>
        <w:rPr>
          <w:spacing w:val="-1"/>
        </w:rPr>
        <w:t xml:space="preserve"> </w:t>
      </w:r>
      <w:r>
        <w:t>explanation</w:t>
      </w:r>
      <w:r>
        <w:rPr>
          <w:spacing w:val="-4"/>
        </w:rPr>
        <w:t xml:space="preserve"> </w:t>
      </w:r>
      <w:r>
        <w:t>was</w:t>
      </w:r>
      <w:r>
        <w:rPr>
          <w:spacing w:val="-2"/>
        </w:rPr>
        <w:t xml:space="preserve"> </w:t>
      </w:r>
      <w:r>
        <w:t>given as to how, even at a conceptual level, MOFCOM purported to calculate a weighted average when only partial data from a single company was accepted.</w:t>
      </w:r>
      <w:r>
        <w:rPr>
          <w:vertAlign w:val="superscript"/>
        </w:rPr>
        <w:t>1201</w:t>
      </w:r>
    </w:p>
    <w:p w14:paraId="51DE9AC9" w14:textId="77777777" w:rsidR="0010369C" w:rsidRDefault="0010369C">
      <w:pPr>
        <w:pStyle w:val="BodyText"/>
        <w:spacing w:before="11"/>
        <w:rPr>
          <w:sz w:val="8"/>
        </w:rPr>
      </w:pPr>
    </w:p>
    <w:p w14:paraId="51DE9ACA" w14:textId="77777777" w:rsidR="0010369C" w:rsidRDefault="008E43AE">
      <w:pPr>
        <w:pStyle w:val="BodyText"/>
        <w:spacing w:before="52" w:line="360" w:lineRule="auto"/>
        <w:ind w:left="237" w:right="614" w:firstLine="852"/>
        <w:jc w:val="both"/>
      </w:pPr>
      <w:r>
        <w:rPr>
          <w:noProof/>
        </w:rPr>
        <w:drawing>
          <wp:anchor distT="0" distB="0" distL="0" distR="0" simplePos="0" relativeHeight="251608576" behindDoc="1" locked="0" layoutInCell="1" allowOverlap="1" wp14:anchorId="51DEA8CD" wp14:editId="51DEA8CE">
            <wp:simplePos x="0" y="0"/>
            <wp:positionH relativeFrom="page">
              <wp:posOffset>908303</wp:posOffset>
            </wp:positionH>
            <wp:positionV relativeFrom="paragraph">
              <wp:posOffset>80595</wp:posOffset>
            </wp:positionV>
            <wp:extent cx="332231" cy="103631"/>
            <wp:effectExtent l="0" t="0" r="0" b="0"/>
            <wp:wrapNone/>
            <wp:docPr id="2013" name="image10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 name="image1034.png"/>
                    <pic:cNvPicPr/>
                  </pic:nvPicPr>
                  <pic:blipFill>
                    <a:blip r:embed="rId1325" cstate="print"/>
                    <a:stretch>
                      <a:fillRect/>
                    </a:stretch>
                  </pic:blipFill>
                  <pic:spPr>
                    <a:xfrm>
                      <a:off x="0" y="0"/>
                      <a:ext cx="332231" cy="103631"/>
                    </a:xfrm>
                    <a:prstGeom prst="rect">
                      <a:avLst/>
                    </a:prstGeom>
                  </pic:spPr>
                </pic:pic>
              </a:graphicData>
            </a:graphic>
          </wp:anchor>
        </w:drawing>
      </w:r>
      <w:r>
        <w:t>Further, MOFCOM failed</w:t>
      </w:r>
      <w:r>
        <w:rPr>
          <w:spacing w:val="-1"/>
        </w:rPr>
        <w:t xml:space="preserve"> </w:t>
      </w:r>
      <w:r>
        <w:t>to (i)</w:t>
      </w:r>
      <w:r>
        <w:rPr>
          <w:spacing w:val="-1"/>
        </w:rPr>
        <w:t xml:space="preserve"> </w:t>
      </w:r>
      <w:r>
        <w:t>disclose the methodology</w:t>
      </w:r>
      <w:r>
        <w:rPr>
          <w:spacing w:val="-1"/>
        </w:rPr>
        <w:t xml:space="preserve"> </w:t>
      </w:r>
      <w:r>
        <w:t>or factual basis</w:t>
      </w:r>
      <w:r>
        <w:rPr>
          <w:spacing w:val="-1"/>
        </w:rPr>
        <w:t xml:space="preserve"> </w:t>
      </w:r>
      <w:r>
        <w:t>relied</w:t>
      </w:r>
      <w:r>
        <w:rPr>
          <w:spacing w:val="-1"/>
        </w:rPr>
        <w:t xml:space="preserve"> </w:t>
      </w:r>
      <w:r>
        <w:t xml:space="preserve">upon to determine </w:t>
      </w:r>
      <w:r>
        <w:t>the "facts available" for Casella Wines or Swan Vintage, and ii) provide an explanation as to why it was not practicable to make these disclosures.</w:t>
      </w:r>
      <w:r>
        <w:rPr>
          <w:vertAlign w:val="superscript"/>
        </w:rPr>
        <w:t>1202</w:t>
      </w:r>
    </w:p>
    <w:p w14:paraId="51DE9ACB" w14:textId="77777777" w:rsidR="0010369C" w:rsidRDefault="0010369C">
      <w:pPr>
        <w:pStyle w:val="BodyText"/>
        <w:spacing w:before="10"/>
        <w:rPr>
          <w:sz w:val="8"/>
        </w:rPr>
      </w:pPr>
    </w:p>
    <w:p w14:paraId="51DE9ACC" w14:textId="77777777" w:rsidR="0010369C" w:rsidRDefault="008E43AE">
      <w:pPr>
        <w:pStyle w:val="BodyText"/>
        <w:spacing w:before="52" w:line="360" w:lineRule="auto"/>
        <w:ind w:left="237" w:right="615" w:firstLine="852"/>
        <w:jc w:val="both"/>
      </w:pPr>
      <w:r>
        <w:rPr>
          <w:noProof/>
        </w:rPr>
        <w:drawing>
          <wp:anchor distT="0" distB="0" distL="0" distR="0" simplePos="0" relativeHeight="251609600" behindDoc="1" locked="0" layoutInCell="1" allowOverlap="1" wp14:anchorId="51DEA8CF" wp14:editId="51DEA8D0">
            <wp:simplePos x="0" y="0"/>
            <wp:positionH relativeFrom="page">
              <wp:posOffset>908303</wp:posOffset>
            </wp:positionH>
            <wp:positionV relativeFrom="paragraph">
              <wp:posOffset>80595</wp:posOffset>
            </wp:positionV>
            <wp:extent cx="332231" cy="103631"/>
            <wp:effectExtent l="0" t="0" r="0" b="0"/>
            <wp:wrapNone/>
            <wp:docPr id="2015" name="image10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 name="image1035.png"/>
                    <pic:cNvPicPr/>
                  </pic:nvPicPr>
                  <pic:blipFill>
                    <a:blip r:embed="rId1326" cstate="print"/>
                    <a:stretch>
                      <a:fillRect/>
                    </a:stretch>
                  </pic:blipFill>
                  <pic:spPr>
                    <a:xfrm>
                      <a:off x="0" y="0"/>
                      <a:ext cx="332231" cy="103631"/>
                    </a:xfrm>
                    <a:prstGeom prst="rect">
                      <a:avLst/>
                    </a:prstGeom>
                  </pic:spPr>
                </pic:pic>
              </a:graphicData>
            </a:graphic>
          </wp:anchor>
        </w:drawing>
      </w:r>
      <w:r>
        <w:t>There</w:t>
      </w:r>
      <w:r>
        <w:rPr>
          <w:spacing w:val="-12"/>
        </w:rPr>
        <w:t xml:space="preserve"> </w:t>
      </w:r>
      <w:r>
        <w:t>is</w:t>
      </w:r>
      <w:r>
        <w:rPr>
          <w:spacing w:val="-13"/>
        </w:rPr>
        <w:t xml:space="preserve"> </w:t>
      </w:r>
      <w:r>
        <w:t>nothing</w:t>
      </w:r>
      <w:r>
        <w:rPr>
          <w:spacing w:val="-12"/>
        </w:rPr>
        <w:t xml:space="preserve"> </w:t>
      </w:r>
      <w:r>
        <w:t>on</w:t>
      </w:r>
      <w:r>
        <w:rPr>
          <w:spacing w:val="-13"/>
        </w:rPr>
        <w:t xml:space="preserve"> </w:t>
      </w:r>
      <w:r>
        <w:t>the</w:t>
      </w:r>
      <w:r>
        <w:rPr>
          <w:spacing w:val="-12"/>
        </w:rPr>
        <w:t xml:space="preserve"> </w:t>
      </w:r>
      <w:r>
        <w:t>record</w:t>
      </w:r>
      <w:r>
        <w:rPr>
          <w:spacing w:val="-13"/>
        </w:rPr>
        <w:t xml:space="preserve"> </w:t>
      </w:r>
      <w:r>
        <w:t>to</w:t>
      </w:r>
      <w:r>
        <w:rPr>
          <w:spacing w:val="-12"/>
        </w:rPr>
        <w:t xml:space="preserve"> </w:t>
      </w:r>
      <w:r>
        <w:t>suggest</w:t>
      </w:r>
      <w:r>
        <w:rPr>
          <w:spacing w:val="-13"/>
        </w:rPr>
        <w:t xml:space="preserve"> </w:t>
      </w:r>
      <w:r>
        <w:t>that</w:t>
      </w:r>
      <w:r>
        <w:rPr>
          <w:spacing w:val="-13"/>
        </w:rPr>
        <w:t xml:space="preserve"> </w:t>
      </w:r>
      <w:r>
        <w:t>all</w:t>
      </w:r>
      <w:r>
        <w:rPr>
          <w:spacing w:val="-11"/>
        </w:rPr>
        <w:t xml:space="preserve"> </w:t>
      </w:r>
      <w:r>
        <w:t>of</w:t>
      </w:r>
      <w:r>
        <w:rPr>
          <w:spacing w:val="-13"/>
        </w:rPr>
        <w:t xml:space="preserve"> </w:t>
      </w:r>
      <w:r>
        <w:t>the</w:t>
      </w:r>
      <w:r>
        <w:rPr>
          <w:spacing w:val="-12"/>
        </w:rPr>
        <w:t xml:space="preserve"> </w:t>
      </w:r>
      <w:r>
        <w:t>facts</w:t>
      </w:r>
      <w:r>
        <w:rPr>
          <w:spacing w:val="-13"/>
        </w:rPr>
        <w:t xml:space="preserve"> </w:t>
      </w:r>
      <w:r>
        <w:t>relied</w:t>
      </w:r>
      <w:r>
        <w:rPr>
          <w:spacing w:val="-13"/>
        </w:rPr>
        <w:t xml:space="preserve"> </w:t>
      </w:r>
      <w:r>
        <w:t>upon</w:t>
      </w:r>
      <w:r>
        <w:rPr>
          <w:spacing w:val="-12"/>
        </w:rPr>
        <w:t xml:space="preserve"> </w:t>
      </w:r>
      <w:r>
        <w:t>by</w:t>
      </w:r>
      <w:r>
        <w:rPr>
          <w:spacing w:val="-12"/>
        </w:rPr>
        <w:t xml:space="preserve"> </w:t>
      </w:r>
      <w:r>
        <w:t>MOFCOM were confidentia</w:t>
      </w:r>
      <w:r>
        <w:t>l. To the extent they were confidential, there was no attempt by MOFCOM to provide a meaningful non‐confidential summary, which effectively precluded interested parties from defending their interests prior to the Final Determination.</w:t>
      </w:r>
    </w:p>
    <w:p w14:paraId="51DE9ACD" w14:textId="77777777" w:rsidR="0010369C" w:rsidRDefault="008E43AE">
      <w:pPr>
        <w:pStyle w:val="ListParagraph"/>
        <w:numPr>
          <w:ilvl w:val="3"/>
          <w:numId w:val="75"/>
        </w:numPr>
        <w:tabs>
          <w:tab w:val="left" w:pos="3642"/>
          <w:tab w:val="left" w:pos="3643"/>
        </w:tabs>
        <w:spacing w:before="161"/>
        <w:ind w:hanging="853"/>
        <w:jc w:val="both"/>
        <w:rPr>
          <w:sz w:val="24"/>
        </w:rPr>
      </w:pPr>
      <w:r>
        <w:rPr>
          <w:sz w:val="24"/>
          <w:u w:val="single"/>
        </w:rPr>
        <w:t>Differences</w:t>
      </w:r>
      <w:r>
        <w:rPr>
          <w:spacing w:val="-9"/>
          <w:sz w:val="24"/>
          <w:u w:val="single"/>
        </w:rPr>
        <w:t xml:space="preserve"> </w:t>
      </w:r>
      <w:r>
        <w:rPr>
          <w:sz w:val="24"/>
          <w:u w:val="single"/>
        </w:rPr>
        <w:t>in</w:t>
      </w:r>
      <w:r>
        <w:rPr>
          <w:spacing w:val="-8"/>
          <w:sz w:val="24"/>
          <w:u w:val="single"/>
        </w:rPr>
        <w:t xml:space="preserve"> </w:t>
      </w:r>
      <w:r>
        <w:rPr>
          <w:sz w:val="24"/>
          <w:u w:val="single"/>
        </w:rPr>
        <w:t>price</w:t>
      </w:r>
      <w:r>
        <w:rPr>
          <w:spacing w:val="-7"/>
          <w:sz w:val="24"/>
          <w:u w:val="single"/>
        </w:rPr>
        <w:t xml:space="preserve"> </w:t>
      </w:r>
      <w:r>
        <w:rPr>
          <w:spacing w:val="-2"/>
          <w:sz w:val="24"/>
          <w:u w:val="single"/>
        </w:rPr>
        <w:t>comparability</w:t>
      </w:r>
    </w:p>
    <w:p w14:paraId="51DE9ACE" w14:textId="77777777" w:rsidR="0010369C" w:rsidRDefault="0010369C">
      <w:pPr>
        <w:pStyle w:val="BodyText"/>
        <w:spacing w:before="9"/>
        <w:rPr>
          <w:sz w:val="20"/>
        </w:rPr>
      </w:pPr>
    </w:p>
    <w:p w14:paraId="51DE9ACF" w14:textId="77777777" w:rsidR="0010369C" w:rsidRDefault="008E43AE">
      <w:pPr>
        <w:pStyle w:val="BodyText"/>
        <w:spacing w:before="52" w:line="362" w:lineRule="auto"/>
        <w:ind w:left="238" w:firstLine="851"/>
      </w:pPr>
      <w:r>
        <w:rPr>
          <w:noProof/>
        </w:rPr>
        <w:drawing>
          <wp:anchor distT="0" distB="0" distL="0" distR="0" simplePos="0" relativeHeight="251610624" behindDoc="1" locked="0" layoutInCell="1" allowOverlap="1" wp14:anchorId="51DEA8D1" wp14:editId="51DEA8D2">
            <wp:simplePos x="0" y="0"/>
            <wp:positionH relativeFrom="page">
              <wp:posOffset>908303</wp:posOffset>
            </wp:positionH>
            <wp:positionV relativeFrom="paragraph">
              <wp:posOffset>76785</wp:posOffset>
            </wp:positionV>
            <wp:extent cx="332231" cy="106679"/>
            <wp:effectExtent l="0" t="0" r="0" b="0"/>
            <wp:wrapNone/>
            <wp:docPr id="2017" name="image10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 name="image1036.png"/>
                    <pic:cNvPicPr/>
                  </pic:nvPicPr>
                  <pic:blipFill>
                    <a:blip r:embed="rId1327" cstate="print"/>
                    <a:stretch>
                      <a:fillRect/>
                    </a:stretch>
                  </pic:blipFill>
                  <pic:spPr>
                    <a:xfrm>
                      <a:off x="0" y="0"/>
                      <a:ext cx="332231" cy="106679"/>
                    </a:xfrm>
                    <a:prstGeom prst="rect">
                      <a:avLst/>
                    </a:prstGeom>
                  </pic:spPr>
                </pic:pic>
              </a:graphicData>
            </a:graphic>
          </wp:anchor>
        </w:drawing>
      </w:r>
      <w:r>
        <w:t>MOFCOM</w:t>
      </w:r>
      <w:r>
        <w:rPr>
          <w:spacing w:val="-1"/>
        </w:rPr>
        <w:t xml:space="preserve"> </w:t>
      </w:r>
      <w:r>
        <w:t>did</w:t>
      </w:r>
      <w:r>
        <w:rPr>
          <w:spacing w:val="-1"/>
        </w:rPr>
        <w:t xml:space="preserve"> </w:t>
      </w:r>
      <w:r>
        <w:t>not</w:t>
      </w:r>
      <w:r>
        <w:rPr>
          <w:spacing w:val="-1"/>
        </w:rPr>
        <w:t xml:space="preserve"> </w:t>
      </w:r>
      <w:r>
        <w:t>provide all</w:t>
      </w:r>
      <w:r>
        <w:rPr>
          <w:spacing w:val="-1"/>
        </w:rPr>
        <w:t xml:space="preserve"> </w:t>
      </w:r>
      <w:r>
        <w:t>the</w:t>
      </w:r>
      <w:r>
        <w:rPr>
          <w:spacing w:val="-2"/>
        </w:rPr>
        <w:t xml:space="preserve"> </w:t>
      </w:r>
      <w:r>
        <w:t>essential</w:t>
      </w:r>
      <w:r>
        <w:rPr>
          <w:spacing w:val="-2"/>
        </w:rPr>
        <w:t xml:space="preserve"> </w:t>
      </w:r>
      <w:r>
        <w:t>facts</w:t>
      </w:r>
      <w:r>
        <w:rPr>
          <w:spacing w:val="-1"/>
        </w:rPr>
        <w:t xml:space="preserve"> </w:t>
      </w:r>
      <w:r>
        <w:t>that</w:t>
      </w:r>
      <w:r>
        <w:rPr>
          <w:spacing w:val="-1"/>
        </w:rPr>
        <w:t xml:space="preserve"> </w:t>
      </w:r>
      <w:r>
        <w:t>were relevant</w:t>
      </w:r>
      <w:r>
        <w:rPr>
          <w:spacing w:val="-1"/>
        </w:rPr>
        <w:t xml:space="preserve"> </w:t>
      </w:r>
      <w:r>
        <w:t>to</w:t>
      </w:r>
      <w:r>
        <w:rPr>
          <w:spacing w:val="-2"/>
        </w:rPr>
        <w:t xml:space="preserve"> </w:t>
      </w:r>
      <w:r>
        <w:t>accounting</w:t>
      </w:r>
      <w:r>
        <w:rPr>
          <w:spacing w:val="-1"/>
        </w:rPr>
        <w:t xml:space="preserve"> </w:t>
      </w:r>
      <w:r>
        <w:t xml:space="preserve">for </w:t>
      </w:r>
      <w:r>
        <w:rPr>
          <w:spacing w:val="-2"/>
        </w:rPr>
        <w:t>differences</w:t>
      </w:r>
      <w:r>
        <w:rPr>
          <w:spacing w:val="-1"/>
        </w:rPr>
        <w:t xml:space="preserve"> </w:t>
      </w:r>
      <w:r>
        <w:rPr>
          <w:spacing w:val="-2"/>
        </w:rPr>
        <w:t>in price</w:t>
      </w:r>
      <w:r>
        <w:rPr>
          <w:spacing w:val="-1"/>
        </w:rPr>
        <w:t xml:space="preserve"> </w:t>
      </w:r>
      <w:r>
        <w:rPr>
          <w:spacing w:val="-2"/>
        </w:rPr>
        <w:t>comparability,</w:t>
      </w:r>
      <w:r>
        <w:rPr>
          <w:spacing w:val="-3"/>
        </w:rPr>
        <w:t xml:space="preserve"> </w:t>
      </w:r>
      <w:r>
        <w:rPr>
          <w:spacing w:val="-2"/>
        </w:rPr>
        <w:t>pursuant</w:t>
      </w:r>
      <w:r>
        <w:t xml:space="preserve"> </w:t>
      </w:r>
      <w:r>
        <w:rPr>
          <w:spacing w:val="-2"/>
        </w:rPr>
        <w:t>to</w:t>
      </w:r>
      <w:r>
        <w:rPr>
          <w:spacing w:val="-1"/>
        </w:rPr>
        <w:t xml:space="preserve"> </w:t>
      </w:r>
      <w:r>
        <w:rPr>
          <w:spacing w:val="-2"/>
        </w:rPr>
        <w:t>conducting a</w:t>
      </w:r>
      <w:r>
        <w:rPr>
          <w:spacing w:val="-3"/>
        </w:rPr>
        <w:t xml:space="preserve"> </w:t>
      </w:r>
      <w:r>
        <w:rPr>
          <w:spacing w:val="-2"/>
        </w:rPr>
        <w:t>fair</w:t>
      </w:r>
      <w:r>
        <w:rPr>
          <w:spacing w:val="-1"/>
        </w:rPr>
        <w:t xml:space="preserve"> </w:t>
      </w:r>
      <w:r>
        <w:rPr>
          <w:spacing w:val="-2"/>
        </w:rPr>
        <w:t>comparison</w:t>
      </w:r>
      <w:r>
        <w:rPr>
          <w:spacing w:val="-1"/>
        </w:rPr>
        <w:t xml:space="preserve"> </w:t>
      </w:r>
      <w:r>
        <w:rPr>
          <w:spacing w:val="-2"/>
        </w:rPr>
        <w:t>under</w:t>
      </w:r>
      <w:r>
        <w:rPr>
          <w:spacing w:val="-1"/>
        </w:rPr>
        <w:t xml:space="preserve"> </w:t>
      </w:r>
      <w:r>
        <w:rPr>
          <w:spacing w:val="-2"/>
        </w:rPr>
        <w:t>Article</w:t>
      </w:r>
      <w:r>
        <w:rPr>
          <w:spacing w:val="-1"/>
        </w:rPr>
        <w:t xml:space="preserve"> </w:t>
      </w:r>
      <w:r>
        <w:rPr>
          <w:spacing w:val="-4"/>
        </w:rPr>
        <w:t>2.4.</w:t>
      </w:r>
    </w:p>
    <w:p w14:paraId="51DE9AD0" w14:textId="77777777" w:rsidR="0010369C" w:rsidRDefault="0010369C">
      <w:pPr>
        <w:pStyle w:val="BodyText"/>
        <w:spacing w:before="5"/>
        <w:rPr>
          <w:sz w:val="8"/>
        </w:rPr>
      </w:pPr>
    </w:p>
    <w:p w14:paraId="51DE9AD1" w14:textId="77777777" w:rsidR="0010369C" w:rsidRDefault="008E43AE">
      <w:pPr>
        <w:pStyle w:val="BodyText"/>
        <w:spacing w:before="52" w:line="360" w:lineRule="auto"/>
        <w:ind w:left="238" w:right="613" w:firstLine="12"/>
        <w:jc w:val="both"/>
      </w:pPr>
      <w:r>
        <w:rPr>
          <w:noProof/>
        </w:rPr>
        <w:drawing>
          <wp:inline distT="0" distB="0" distL="0" distR="0" wp14:anchorId="51DEA8D3" wp14:editId="51DEA8D4">
            <wp:extent cx="332231" cy="109727"/>
            <wp:effectExtent l="0" t="0" r="0" b="0"/>
            <wp:docPr id="2019" name="image10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 name="image1037.png"/>
                    <pic:cNvPicPr/>
                  </pic:nvPicPr>
                  <pic:blipFill>
                    <a:blip r:embed="rId1328" cstate="print"/>
                    <a:stretch>
                      <a:fillRect/>
                    </a:stretch>
                  </pic:blipFill>
                  <pic:spPr>
                    <a:xfrm>
                      <a:off x="0" y="0"/>
                      <a:ext cx="332231" cy="109727"/>
                    </a:xfrm>
                    <a:prstGeom prst="rect">
                      <a:avLst/>
                    </a:prstGeom>
                  </pic:spPr>
                </pic:pic>
              </a:graphicData>
            </a:graphic>
          </wp:inline>
        </w:drawing>
      </w:r>
      <w:r>
        <w:rPr>
          <w:rFonts w:ascii="Times New Roman"/>
          <w:spacing w:val="80"/>
          <w:position w:val="1"/>
          <w:sz w:val="20"/>
        </w:rPr>
        <w:t xml:space="preserve"> </w:t>
      </w:r>
      <w:r>
        <w:rPr>
          <w:position w:val="1"/>
        </w:rPr>
        <w:t xml:space="preserve">In relation to price comparability, MOFCOM only provided the following brief </w:t>
      </w:r>
      <w:r>
        <w:t>statement in the Final Disclosure:</w:t>
      </w:r>
    </w:p>
    <w:p w14:paraId="51DE9AD2" w14:textId="77777777" w:rsidR="0010369C" w:rsidRDefault="008E43AE">
      <w:pPr>
        <w:spacing w:before="161" w:line="276" w:lineRule="auto"/>
        <w:ind w:left="1089" w:right="612" w:hanging="1"/>
        <w:jc w:val="both"/>
      </w:pPr>
      <w:r>
        <w:t>[O]n the basis of considering various comparable factors affecting price, the Investigating Authority compared the normal value and export price</w:t>
      </w:r>
      <w:r>
        <w:t xml:space="preserve"> at the ex‐factory level in a fair and reasonable</w:t>
      </w:r>
      <w:r>
        <w:rPr>
          <w:spacing w:val="-13"/>
        </w:rPr>
        <w:t xml:space="preserve"> </w:t>
      </w:r>
      <w:r>
        <w:t>manner.</w:t>
      </w:r>
      <w:r>
        <w:rPr>
          <w:spacing w:val="-12"/>
        </w:rPr>
        <w:t xml:space="preserve"> </w:t>
      </w:r>
      <w:r>
        <w:t>In</w:t>
      </w:r>
      <w:r>
        <w:rPr>
          <w:spacing w:val="-13"/>
        </w:rPr>
        <w:t xml:space="preserve"> </w:t>
      </w:r>
      <w:r>
        <w:t>calculating</w:t>
      </w:r>
      <w:r>
        <w:rPr>
          <w:spacing w:val="-12"/>
        </w:rPr>
        <w:t xml:space="preserve"> </w:t>
      </w:r>
      <w:r>
        <w:t>the</w:t>
      </w:r>
      <w:r>
        <w:rPr>
          <w:spacing w:val="-13"/>
        </w:rPr>
        <w:t xml:space="preserve"> </w:t>
      </w:r>
      <w:r>
        <w:t>dumping</w:t>
      </w:r>
      <w:r>
        <w:rPr>
          <w:spacing w:val="-12"/>
        </w:rPr>
        <w:t xml:space="preserve"> </w:t>
      </w:r>
      <w:r>
        <w:t>margin,</w:t>
      </w:r>
      <w:r>
        <w:rPr>
          <w:spacing w:val="-13"/>
        </w:rPr>
        <w:t xml:space="preserve"> </w:t>
      </w:r>
      <w:r>
        <w:t>the</w:t>
      </w:r>
      <w:r>
        <w:rPr>
          <w:spacing w:val="-12"/>
        </w:rPr>
        <w:t xml:space="preserve"> </w:t>
      </w:r>
      <w:r>
        <w:t>Investigating</w:t>
      </w:r>
      <w:r>
        <w:rPr>
          <w:spacing w:val="-12"/>
        </w:rPr>
        <w:t xml:space="preserve"> </w:t>
      </w:r>
      <w:r>
        <w:t>Authority</w:t>
      </w:r>
      <w:r>
        <w:rPr>
          <w:spacing w:val="-13"/>
        </w:rPr>
        <w:t xml:space="preserve"> </w:t>
      </w:r>
      <w:r>
        <w:t>compared the weighted average normal value with the weighted average export price to obtain the dumping margin.</w:t>
      </w:r>
      <w:r>
        <w:rPr>
          <w:vertAlign w:val="superscript"/>
        </w:rPr>
        <w:t>1203</w:t>
      </w:r>
    </w:p>
    <w:p w14:paraId="51DE9AD3" w14:textId="77777777" w:rsidR="0010369C" w:rsidRDefault="0010369C">
      <w:pPr>
        <w:pStyle w:val="BodyText"/>
        <w:spacing w:before="4"/>
        <w:rPr>
          <w:sz w:val="15"/>
        </w:rPr>
      </w:pPr>
    </w:p>
    <w:p w14:paraId="51DE9AD4" w14:textId="77777777" w:rsidR="0010369C" w:rsidRDefault="008E43AE">
      <w:pPr>
        <w:pStyle w:val="BodyText"/>
        <w:spacing w:before="52" w:line="360" w:lineRule="auto"/>
        <w:ind w:left="236" w:right="612" w:firstLine="852"/>
        <w:jc w:val="both"/>
      </w:pPr>
      <w:r>
        <w:rPr>
          <w:noProof/>
        </w:rPr>
        <w:drawing>
          <wp:anchor distT="0" distB="0" distL="0" distR="0" simplePos="0" relativeHeight="251611648" behindDoc="1" locked="0" layoutInCell="1" allowOverlap="1" wp14:anchorId="51DEA8D5" wp14:editId="51DEA8D6">
            <wp:simplePos x="0" y="0"/>
            <wp:positionH relativeFrom="page">
              <wp:posOffset>908303</wp:posOffset>
            </wp:positionH>
            <wp:positionV relativeFrom="paragraph">
              <wp:posOffset>80595</wp:posOffset>
            </wp:positionV>
            <wp:extent cx="332231" cy="103631"/>
            <wp:effectExtent l="0" t="0" r="0" b="0"/>
            <wp:wrapNone/>
            <wp:docPr id="2021" name="image10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 name="image1038.png"/>
                    <pic:cNvPicPr/>
                  </pic:nvPicPr>
                  <pic:blipFill>
                    <a:blip r:embed="rId1329" cstate="print"/>
                    <a:stretch>
                      <a:fillRect/>
                    </a:stretch>
                  </pic:blipFill>
                  <pic:spPr>
                    <a:xfrm>
                      <a:off x="0" y="0"/>
                      <a:ext cx="332231" cy="103631"/>
                    </a:xfrm>
                    <a:prstGeom prst="rect">
                      <a:avLst/>
                    </a:prstGeom>
                  </pic:spPr>
                </pic:pic>
              </a:graphicData>
            </a:graphic>
          </wp:anchor>
        </w:drawing>
      </w:r>
      <w:r>
        <w:t>MOFCOM</w:t>
      </w:r>
      <w:r>
        <w:rPr>
          <w:spacing w:val="-1"/>
        </w:rPr>
        <w:t xml:space="preserve"> </w:t>
      </w:r>
      <w:r>
        <w:t>did</w:t>
      </w:r>
      <w:r>
        <w:rPr>
          <w:spacing w:val="-1"/>
        </w:rPr>
        <w:t xml:space="preserve"> </w:t>
      </w:r>
      <w:r>
        <w:t>not</w:t>
      </w:r>
      <w:r>
        <w:rPr>
          <w:spacing w:val="-1"/>
        </w:rPr>
        <w:t xml:space="preserve"> </w:t>
      </w:r>
      <w:r>
        <w:t>provide the</w:t>
      </w:r>
      <w:r>
        <w:rPr>
          <w:spacing w:val="-1"/>
        </w:rPr>
        <w:t xml:space="preserve"> </w:t>
      </w:r>
      <w:r>
        <w:t>non‐confidential</w:t>
      </w:r>
      <w:r>
        <w:rPr>
          <w:spacing w:val="-2"/>
        </w:rPr>
        <w:t xml:space="preserve"> </w:t>
      </w:r>
      <w:r>
        <w:t>data,</w:t>
      </w:r>
      <w:r>
        <w:rPr>
          <w:spacing w:val="-1"/>
        </w:rPr>
        <w:t xml:space="preserve"> </w:t>
      </w:r>
      <w:r>
        <w:t>formulae or</w:t>
      </w:r>
      <w:r>
        <w:rPr>
          <w:spacing w:val="-1"/>
        </w:rPr>
        <w:t xml:space="preserve"> </w:t>
      </w:r>
      <w:r>
        <w:t>methodology</w:t>
      </w:r>
      <w:r>
        <w:rPr>
          <w:spacing w:val="-1"/>
        </w:rPr>
        <w:t xml:space="preserve"> </w:t>
      </w:r>
      <w:r>
        <w:t xml:space="preserve">used to conduct this price comparison. MOFCOM did not elaborate </w:t>
      </w:r>
      <w:r>
        <w:t>on its methodology for comparing prices in a "fair and reasonable manner". While MOFCOM said that it had compared normal value and export price at the ex‐factory level, it did not explain whether adjustments had been applied to ensure that prices were bein</w:t>
      </w:r>
      <w:r>
        <w:t>g compared at the "same level of trade" as required under Article 2.4.</w:t>
      </w:r>
    </w:p>
    <w:p w14:paraId="51DE9AD5" w14:textId="77777777" w:rsidR="0010369C" w:rsidRDefault="0010369C">
      <w:pPr>
        <w:pStyle w:val="BodyText"/>
        <w:spacing w:before="10"/>
        <w:rPr>
          <w:sz w:val="8"/>
        </w:rPr>
      </w:pPr>
    </w:p>
    <w:p w14:paraId="51DE9AD6" w14:textId="77777777" w:rsidR="0010369C" w:rsidRDefault="008E43AE">
      <w:pPr>
        <w:pStyle w:val="BodyText"/>
        <w:spacing w:before="51" w:line="360" w:lineRule="auto"/>
        <w:ind w:left="237" w:right="614" w:firstLine="851"/>
      </w:pPr>
      <w:r>
        <w:rPr>
          <w:noProof/>
        </w:rPr>
        <w:drawing>
          <wp:anchor distT="0" distB="0" distL="0" distR="0" simplePos="0" relativeHeight="251612672" behindDoc="1" locked="0" layoutInCell="1" allowOverlap="1" wp14:anchorId="51DEA8D7" wp14:editId="51DEA8D8">
            <wp:simplePos x="0" y="0"/>
            <wp:positionH relativeFrom="page">
              <wp:posOffset>908303</wp:posOffset>
            </wp:positionH>
            <wp:positionV relativeFrom="paragraph">
              <wp:posOffset>75389</wp:posOffset>
            </wp:positionV>
            <wp:extent cx="332231" cy="106679"/>
            <wp:effectExtent l="0" t="0" r="0" b="0"/>
            <wp:wrapNone/>
            <wp:docPr id="2023" name="image10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 name="image1039.png"/>
                    <pic:cNvPicPr/>
                  </pic:nvPicPr>
                  <pic:blipFill>
                    <a:blip r:embed="rId1330" cstate="print"/>
                    <a:stretch>
                      <a:fillRect/>
                    </a:stretch>
                  </pic:blipFill>
                  <pic:spPr>
                    <a:xfrm>
                      <a:off x="0" y="0"/>
                      <a:ext cx="332231" cy="106679"/>
                    </a:xfrm>
                    <a:prstGeom prst="rect">
                      <a:avLst/>
                    </a:prstGeom>
                  </pic:spPr>
                </pic:pic>
              </a:graphicData>
            </a:graphic>
          </wp:anchor>
        </w:drawing>
      </w:r>
      <w:r>
        <w:t>In</w:t>
      </w:r>
      <w:r>
        <w:rPr>
          <w:spacing w:val="29"/>
        </w:rPr>
        <w:t xml:space="preserve"> </w:t>
      </w:r>
      <w:r>
        <w:t>particular,</w:t>
      </w:r>
      <w:r>
        <w:rPr>
          <w:spacing w:val="30"/>
        </w:rPr>
        <w:t xml:space="preserve"> </w:t>
      </w:r>
      <w:r>
        <w:t>MOFCOM</w:t>
      </w:r>
      <w:r>
        <w:rPr>
          <w:spacing w:val="30"/>
        </w:rPr>
        <w:t xml:space="preserve"> </w:t>
      </w:r>
      <w:r>
        <w:t>did</w:t>
      </w:r>
      <w:r>
        <w:rPr>
          <w:spacing w:val="29"/>
        </w:rPr>
        <w:t xml:space="preserve"> </w:t>
      </w:r>
      <w:r>
        <w:t>not</w:t>
      </w:r>
      <w:r>
        <w:rPr>
          <w:spacing w:val="30"/>
        </w:rPr>
        <w:t xml:space="preserve"> </w:t>
      </w:r>
      <w:r>
        <w:t>disclose</w:t>
      </w:r>
      <w:r>
        <w:rPr>
          <w:spacing w:val="31"/>
        </w:rPr>
        <w:t xml:space="preserve"> </w:t>
      </w:r>
      <w:r>
        <w:t>what</w:t>
      </w:r>
      <w:r>
        <w:rPr>
          <w:spacing w:val="29"/>
        </w:rPr>
        <w:t xml:space="preserve"> </w:t>
      </w:r>
      <w:r>
        <w:t>"allowances"</w:t>
      </w:r>
      <w:r>
        <w:rPr>
          <w:spacing w:val="28"/>
        </w:rPr>
        <w:t xml:space="preserve"> </w:t>
      </w:r>
      <w:r>
        <w:t>were</w:t>
      </w:r>
      <w:r>
        <w:rPr>
          <w:spacing w:val="30"/>
        </w:rPr>
        <w:t xml:space="preserve"> </w:t>
      </w:r>
      <w:r>
        <w:t>made,</w:t>
      </w:r>
      <w:r>
        <w:rPr>
          <w:spacing w:val="29"/>
        </w:rPr>
        <w:t xml:space="preserve"> </w:t>
      </w:r>
      <w:r>
        <w:t>if</w:t>
      </w:r>
      <w:r>
        <w:rPr>
          <w:spacing w:val="29"/>
        </w:rPr>
        <w:t xml:space="preserve"> </w:t>
      </w:r>
      <w:r>
        <w:t>any,</w:t>
      </w:r>
      <w:r>
        <w:rPr>
          <w:spacing w:val="29"/>
        </w:rPr>
        <w:t xml:space="preserve"> </w:t>
      </w:r>
      <w:r>
        <w:t>to ensure</w:t>
      </w:r>
      <w:r>
        <w:rPr>
          <w:spacing w:val="70"/>
        </w:rPr>
        <w:t xml:space="preserve"> </w:t>
      </w:r>
      <w:r>
        <w:t>fair</w:t>
      </w:r>
      <w:r>
        <w:rPr>
          <w:spacing w:val="71"/>
        </w:rPr>
        <w:t xml:space="preserve"> </w:t>
      </w:r>
      <w:r>
        <w:t>comparison,</w:t>
      </w:r>
      <w:r>
        <w:rPr>
          <w:spacing w:val="71"/>
        </w:rPr>
        <w:t xml:space="preserve"> </w:t>
      </w:r>
      <w:r>
        <w:t>such</w:t>
      </w:r>
      <w:r>
        <w:rPr>
          <w:spacing w:val="70"/>
        </w:rPr>
        <w:t xml:space="preserve"> </w:t>
      </w:r>
      <w:r>
        <w:t>as,</w:t>
      </w:r>
      <w:r>
        <w:rPr>
          <w:spacing w:val="72"/>
        </w:rPr>
        <w:t xml:space="preserve"> </w:t>
      </w:r>
      <w:r>
        <w:t>for</w:t>
      </w:r>
      <w:r>
        <w:rPr>
          <w:spacing w:val="72"/>
        </w:rPr>
        <w:t xml:space="preserve"> </w:t>
      </w:r>
      <w:r>
        <w:t>example,</w:t>
      </w:r>
      <w:r>
        <w:rPr>
          <w:spacing w:val="70"/>
        </w:rPr>
        <w:t xml:space="preserve"> </w:t>
      </w:r>
      <w:r>
        <w:t>accounting</w:t>
      </w:r>
      <w:r>
        <w:rPr>
          <w:spacing w:val="71"/>
        </w:rPr>
        <w:t xml:space="preserve"> </w:t>
      </w:r>
      <w:r>
        <w:t>for</w:t>
      </w:r>
      <w:r>
        <w:rPr>
          <w:spacing w:val="72"/>
        </w:rPr>
        <w:t xml:space="preserve"> </w:t>
      </w:r>
      <w:r>
        <w:t>differences</w:t>
      </w:r>
      <w:r>
        <w:rPr>
          <w:spacing w:val="71"/>
        </w:rPr>
        <w:t xml:space="preserve"> </w:t>
      </w:r>
      <w:r>
        <w:t>in</w:t>
      </w:r>
      <w:r>
        <w:rPr>
          <w:spacing w:val="70"/>
        </w:rPr>
        <w:t xml:space="preserve"> </w:t>
      </w:r>
      <w:r>
        <w:rPr>
          <w:spacing w:val="-2"/>
        </w:rPr>
        <w:t>"physical</w:t>
      </w:r>
    </w:p>
    <w:p w14:paraId="51DE9AD7" w14:textId="77777777" w:rsidR="0010369C" w:rsidRDefault="008E43AE">
      <w:pPr>
        <w:pStyle w:val="BodyText"/>
        <w:spacing w:before="1"/>
        <w:rPr>
          <w:sz w:val="15"/>
        </w:rPr>
      </w:pPr>
      <w:r>
        <w:pict w14:anchorId="51DEA8D9">
          <v:rect id="docshape1416" o:spid="_x0000_s1072" style="position:absolute;margin-left:70.9pt;margin-top:10.4pt;width:2in;height:.8pt;z-index:-250679808;mso-wrap-distance-left:0;mso-wrap-distance-right:0;mso-position-horizontal-relative:page" fillcolor="black" stroked="f">
            <w10:wrap type="topAndBottom" anchorx="page"/>
          </v:rect>
        </w:pict>
      </w:r>
    </w:p>
    <w:p w14:paraId="51DE9AD8" w14:textId="77777777" w:rsidR="0010369C" w:rsidRDefault="008E43AE">
      <w:pPr>
        <w:spacing w:before="109"/>
        <w:ind w:left="238" w:right="2630"/>
        <w:rPr>
          <w:sz w:val="18"/>
        </w:rPr>
      </w:pPr>
      <w:r>
        <w:rPr>
          <w:sz w:val="18"/>
          <w:vertAlign w:val="superscript"/>
        </w:rPr>
        <w:t>1201</w:t>
      </w:r>
      <w:r>
        <w:rPr>
          <w:spacing w:val="-3"/>
          <w:sz w:val="18"/>
        </w:rPr>
        <w:t xml:space="preserve"> </w:t>
      </w:r>
      <w:r>
        <w:rPr>
          <w:sz w:val="18"/>
        </w:rPr>
        <w:t>See</w:t>
      </w:r>
      <w:r>
        <w:rPr>
          <w:spacing w:val="-3"/>
          <w:sz w:val="18"/>
        </w:rPr>
        <w:t xml:space="preserve"> </w:t>
      </w:r>
      <w:r>
        <w:rPr>
          <w:sz w:val="18"/>
        </w:rPr>
        <w:t>sections</w:t>
      </w:r>
      <w:r>
        <w:rPr>
          <w:spacing w:val="-3"/>
          <w:sz w:val="18"/>
        </w:rPr>
        <w:t xml:space="preserve"> </w:t>
      </w:r>
      <w:r>
        <w:rPr>
          <w:sz w:val="18"/>
        </w:rPr>
        <w:t>II.F.3(b)</w:t>
      </w:r>
      <w:r>
        <w:rPr>
          <w:spacing w:val="-4"/>
          <w:sz w:val="18"/>
        </w:rPr>
        <w:t xml:space="preserve"> </w:t>
      </w:r>
      <w:r>
        <w:rPr>
          <w:sz w:val="18"/>
        </w:rPr>
        <w:t>and</w:t>
      </w:r>
      <w:r>
        <w:rPr>
          <w:spacing w:val="-3"/>
          <w:sz w:val="18"/>
        </w:rPr>
        <w:t xml:space="preserve"> </w:t>
      </w:r>
      <w:r>
        <w:rPr>
          <w:sz w:val="18"/>
        </w:rPr>
        <w:t>II.G.4(b)</w:t>
      </w:r>
      <w:r>
        <w:rPr>
          <w:spacing w:val="-2"/>
          <w:sz w:val="18"/>
        </w:rPr>
        <w:t xml:space="preserve"> </w:t>
      </w:r>
      <w:r>
        <w:rPr>
          <w:sz w:val="18"/>
        </w:rPr>
        <w:t>concerning</w:t>
      </w:r>
      <w:r>
        <w:rPr>
          <w:spacing w:val="-3"/>
          <w:sz w:val="18"/>
        </w:rPr>
        <w:t xml:space="preserve"> </w:t>
      </w:r>
      <w:r>
        <w:rPr>
          <w:sz w:val="18"/>
        </w:rPr>
        <w:t>Casella</w:t>
      </w:r>
      <w:r>
        <w:rPr>
          <w:spacing w:val="-3"/>
          <w:sz w:val="18"/>
        </w:rPr>
        <w:t xml:space="preserve"> </w:t>
      </w:r>
      <w:r>
        <w:rPr>
          <w:sz w:val="18"/>
        </w:rPr>
        <w:t>Wines</w:t>
      </w:r>
      <w:r>
        <w:rPr>
          <w:spacing w:val="-4"/>
          <w:sz w:val="18"/>
        </w:rPr>
        <w:t xml:space="preserve"> </w:t>
      </w:r>
      <w:r>
        <w:rPr>
          <w:sz w:val="18"/>
        </w:rPr>
        <w:t>and</w:t>
      </w:r>
      <w:r>
        <w:rPr>
          <w:spacing w:val="-4"/>
          <w:sz w:val="18"/>
        </w:rPr>
        <w:t xml:space="preserve"> </w:t>
      </w:r>
      <w:r>
        <w:rPr>
          <w:sz w:val="18"/>
        </w:rPr>
        <w:t>Swan</w:t>
      </w:r>
      <w:r>
        <w:rPr>
          <w:spacing w:val="-3"/>
          <w:sz w:val="18"/>
        </w:rPr>
        <w:t xml:space="preserve"> </w:t>
      </w:r>
      <w:r>
        <w:rPr>
          <w:sz w:val="18"/>
        </w:rPr>
        <w:t>Vintage,</w:t>
      </w:r>
      <w:r>
        <w:rPr>
          <w:spacing w:val="-4"/>
          <w:sz w:val="18"/>
        </w:rPr>
        <w:t xml:space="preserve"> </w:t>
      </w:r>
      <w:r>
        <w:rPr>
          <w:sz w:val="18"/>
        </w:rPr>
        <w:t xml:space="preserve">respectively. </w:t>
      </w:r>
      <w:r>
        <w:rPr>
          <w:sz w:val="18"/>
          <w:vertAlign w:val="superscript"/>
        </w:rPr>
        <w:t>1202</w:t>
      </w:r>
      <w:r>
        <w:rPr>
          <w:sz w:val="18"/>
        </w:rPr>
        <w:t xml:space="preserve"> See above, sections II.F and II.G concerning Casella Wines and Swan Vintage, respectively. </w:t>
      </w:r>
      <w:r>
        <w:rPr>
          <w:sz w:val="18"/>
          <w:vertAlign w:val="superscript"/>
        </w:rPr>
        <w:t>1203</w:t>
      </w:r>
      <w:r>
        <w:rPr>
          <w:sz w:val="18"/>
        </w:rPr>
        <w:t xml:space="preserve"> Anti‐Dumping Final Disclosure (Exhibit AUS‐16), p. 51.</w:t>
      </w:r>
    </w:p>
    <w:p w14:paraId="51DE9AD9" w14:textId="77777777" w:rsidR="0010369C" w:rsidRDefault="0010369C">
      <w:pPr>
        <w:rPr>
          <w:sz w:val="18"/>
        </w:rPr>
        <w:sectPr w:rsidR="0010369C">
          <w:pgSz w:w="11910" w:h="16840"/>
          <w:pgMar w:top="880" w:right="800" w:bottom="980" w:left="1180" w:header="569" w:footer="788" w:gutter="0"/>
          <w:cols w:space="720"/>
        </w:sectPr>
      </w:pPr>
    </w:p>
    <w:p w14:paraId="51DE9ADA" w14:textId="77777777" w:rsidR="0010369C" w:rsidRDefault="0010369C">
      <w:pPr>
        <w:pStyle w:val="BodyText"/>
        <w:spacing w:before="2"/>
        <w:rPr>
          <w:sz w:val="15"/>
        </w:rPr>
      </w:pPr>
    </w:p>
    <w:p w14:paraId="51DE9ADB" w14:textId="77777777" w:rsidR="0010369C" w:rsidRDefault="008E43AE">
      <w:pPr>
        <w:tabs>
          <w:tab w:val="left" w:pos="8227"/>
        </w:tabs>
        <w:spacing w:before="60"/>
        <w:ind w:left="239"/>
        <w:jc w:val="both"/>
        <w:rPr>
          <w:sz w:val="20"/>
        </w:rPr>
      </w:pPr>
      <w:r>
        <w:rPr>
          <w:i/>
          <w:sz w:val="20"/>
        </w:rPr>
        <w:t>on</w:t>
      </w:r>
      <w:r>
        <w:rPr>
          <w:i/>
          <w:spacing w:val="-1"/>
          <w:sz w:val="20"/>
        </w:rPr>
        <w:t xml:space="preserve"> </w:t>
      </w:r>
      <w:r>
        <w:rPr>
          <w:i/>
          <w:sz w:val="20"/>
        </w:rPr>
        <w:t>Wine</w:t>
      </w:r>
      <w:r>
        <w:rPr>
          <w:i/>
          <w:spacing w:val="-1"/>
          <w:sz w:val="20"/>
        </w:rPr>
        <w:t xml:space="preserve"> </w:t>
      </w:r>
      <w:r>
        <w:rPr>
          <w:i/>
          <w:sz w:val="20"/>
        </w:rPr>
        <w:t>from</w:t>
      </w:r>
      <w:r>
        <w:rPr>
          <w:i/>
          <w:spacing w:val="-3"/>
          <w:sz w:val="20"/>
        </w:rPr>
        <w:t xml:space="preserve"> </w:t>
      </w:r>
      <w:r>
        <w:rPr>
          <w:i/>
          <w:sz w:val="20"/>
        </w:rPr>
        <w:t>Australia</w:t>
      </w:r>
      <w:r>
        <w:rPr>
          <w:i/>
          <w:spacing w:val="-1"/>
          <w:sz w:val="20"/>
        </w:rPr>
        <w:t xml:space="preserve"> </w:t>
      </w:r>
      <w:r>
        <w:rPr>
          <w:spacing w:val="-2"/>
          <w:sz w:val="20"/>
        </w:rPr>
        <w:t>(DS602)</w:t>
      </w:r>
      <w:r>
        <w:rPr>
          <w:sz w:val="20"/>
        </w:rPr>
        <w:tab/>
        <w:t>29</w:t>
      </w:r>
      <w:r>
        <w:rPr>
          <w:spacing w:val="-1"/>
          <w:sz w:val="20"/>
        </w:rPr>
        <w:t xml:space="preserve"> </w:t>
      </w:r>
      <w:r>
        <w:rPr>
          <w:sz w:val="20"/>
        </w:rPr>
        <w:t>April</w:t>
      </w:r>
      <w:r>
        <w:rPr>
          <w:spacing w:val="-2"/>
          <w:sz w:val="20"/>
        </w:rPr>
        <w:t xml:space="preserve"> </w:t>
      </w:r>
      <w:r>
        <w:rPr>
          <w:spacing w:val="-4"/>
          <w:sz w:val="20"/>
        </w:rPr>
        <w:t>2022</w:t>
      </w:r>
    </w:p>
    <w:p w14:paraId="51DE9ADC" w14:textId="77777777" w:rsidR="0010369C" w:rsidRDefault="008E43AE">
      <w:pPr>
        <w:pStyle w:val="BodyText"/>
        <w:spacing w:before="34" w:line="360" w:lineRule="auto"/>
        <w:ind w:left="236" w:right="612" w:firstLine="1"/>
        <w:jc w:val="both"/>
      </w:pPr>
      <w:r>
        <w:t>characteristics"</w:t>
      </w:r>
      <w:r>
        <w:rPr>
          <w:spacing w:val="-13"/>
        </w:rPr>
        <w:t xml:space="preserve"> </w:t>
      </w:r>
      <w:r>
        <w:t>of</w:t>
      </w:r>
      <w:r>
        <w:rPr>
          <w:spacing w:val="-12"/>
        </w:rPr>
        <w:t xml:space="preserve"> </w:t>
      </w:r>
      <w:r>
        <w:t>wine,</w:t>
      </w:r>
      <w:r>
        <w:rPr>
          <w:spacing w:val="-11"/>
        </w:rPr>
        <w:t xml:space="preserve"> </w:t>
      </w:r>
      <w:r>
        <w:t>such</w:t>
      </w:r>
      <w:r>
        <w:rPr>
          <w:spacing w:val="-13"/>
        </w:rPr>
        <w:t xml:space="preserve"> </w:t>
      </w:r>
      <w:r>
        <w:t>as</w:t>
      </w:r>
      <w:r>
        <w:rPr>
          <w:spacing w:val="-13"/>
        </w:rPr>
        <w:t xml:space="preserve"> </w:t>
      </w:r>
      <w:r>
        <w:t>wine</w:t>
      </w:r>
      <w:r>
        <w:rPr>
          <w:spacing w:val="-11"/>
        </w:rPr>
        <w:t xml:space="preserve"> </w:t>
      </w:r>
      <w:r>
        <w:t>quality.</w:t>
      </w:r>
      <w:r>
        <w:rPr>
          <w:vertAlign w:val="superscript"/>
        </w:rPr>
        <w:t>1204</w:t>
      </w:r>
      <w:r>
        <w:rPr>
          <w:spacing w:val="-13"/>
        </w:rPr>
        <w:t xml:space="preserve"> </w:t>
      </w:r>
      <w:r>
        <w:t>The</w:t>
      </w:r>
      <w:r>
        <w:rPr>
          <w:spacing w:val="-10"/>
        </w:rPr>
        <w:t xml:space="preserve"> </w:t>
      </w:r>
      <w:r>
        <w:t>Australian</w:t>
      </w:r>
      <w:r>
        <w:rPr>
          <w:spacing w:val="-13"/>
        </w:rPr>
        <w:t xml:space="preserve"> </w:t>
      </w:r>
      <w:r>
        <w:t>wine</w:t>
      </w:r>
      <w:r>
        <w:rPr>
          <w:spacing w:val="-12"/>
        </w:rPr>
        <w:t xml:space="preserve"> </w:t>
      </w:r>
      <w:r>
        <w:t>exporters</w:t>
      </w:r>
      <w:r>
        <w:rPr>
          <w:spacing w:val="-14"/>
        </w:rPr>
        <w:t xml:space="preserve"> </w:t>
      </w:r>
      <w:r>
        <w:t>and</w:t>
      </w:r>
      <w:r>
        <w:rPr>
          <w:spacing w:val="-11"/>
        </w:rPr>
        <w:t xml:space="preserve"> </w:t>
      </w:r>
      <w:r>
        <w:t>producers exported</w:t>
      </w:r>
      <w:r>
        <w:rPr>
          <w:spacing w:val="-14"/>
        </w:rPr>
        <w:t xml:space="preserve"> </w:t>
      </w:r>
      <w:r>
        <w:t>a</w:t>
      </w:r>
      <w:r>
        <w:rPr>
          <w:spacing w:val="-14"/>
        </w:rPr>
        <w:t xml:space="preserve"> </w:t>
      </w:r>
      <w:r>
        <w:t>range</w:t>
      </w:r>
      <w:r>
        <w:rPr>
          <w:spacing w:val="-13"/>
        </w:rPr>
        <w:t xml:space="preserve"> </w:t>
      </w:r>
      <w:r>
        <w:t>of</w:t>
      </w:r>
      <w:r>
        <w:rPr>
          <w:spacing w:val="-14"/>
        </w:rPr>
        <w:t xml:space="preserve"> </w:t>
      </w:r>
      <w:r>
        <w:t>wine</w:t>
      </w:r>
      <w:r>
        <w:rPr>
          <w:spacing w:val="-13"/>
        </w:rPr>
        <w:t xml:space="preserve"> </w:t>
      </w:r>
      <w:r>
        <w:t>during</w:t>
      </w:r>
      <w:r>
        <w:rPr>
          <w:spacing w:val="-14"/>
        </w:rPr>
        <w:t xml:space="preserve"> </w:t>
      </w:r>
      <w:r>
        <w:t>the</w:t>
      </w:r>
      <w:r>
        <w:rPr>
          <w:spacing w:val="-13"/>
        </w:rPr>
        <w:t xml:space="preserve"> </w:t>
      </w:r>
      <w:r>
        <w:t>period</w:t>
      </w:r>
      <w:r>
        <w:rPr>
          <w:spacing w:val="-14"/>
        </w:rPr>
        <w:t xml:space="preserve"> </w:t>
      </w:r>
      <w:r>
        <w:t>of</w:t>
      </w:r>
      <w:r>
        <w:rPr>
          <w:spacing w:val="-14"/>
        </w:rPr>
        <w:t xml:space="preserve"> </w:t>
      </w:r>
      <w:r>
        <w:t>investigation</w:t>
      </w:r>
      <w:r>
        <w:rPr>
          <w:spacing w:val="-13"/>
        </w:rPr>
        <w:t xml:space="preserve"> </w:t>
      </w:r>
      <w:r>
        <w:t>that</w:t>
      </w:r>
      <w:r>
        <w:rPr>
          <w:spacing w:val="-14"/>
        </w:rPr>
        <w:t xml:space="preserve"> </w:t>
      </w:r>
      <w:r>
        <w:t>covered</w:t>
      </w:r>
      <w:r>
        <w:rPr>
          <w:spacing w:val="-13"/>
        </w:rPr>
        <w:t xml:space="preserve"> </w:t>
      </w:r>
      <w:r>
        <w:t>different</w:t>
      </w:r>
      <w:r>
        <w:rPr>
          <w:spacing w:val="-14"/>
        </w:rPr>
        <w:t xml:space="preserve"> </w:t>
      </w:r>
      <w:r>
        <w:t>price</w:t>
      </w:r>
      <w:r>
        <w:rPr>
          <w:spacing w:val="-13"/>
        </w:rPr>
        <w:t xml:space="preserve"> </w:t>
      </w:r>
      <w:r>
        <w:t>points. Accordingly, MOFCOM was obliged to provide all non‐confidential information that was relevant</w:t>
      </w:r>
      <w:r>
        <w:rPr>
          <w:spacing w:val="-12"/>
        </w:rPr>
        <w:t xml:space="preserve"> </w:t>
      </w:r>
      <w:r>
        <w:t>to</w:t>
      </w:r>
      <w:r>
        <w:rPr>
          <w:spacing w:val="-13"/>
        </w:rPr>
        <w:t xml:space="preserve"> </w:t>
      </w:r>
      <w:r>
        <w:t>how</w:t>
      </w:r>
      <w:r>
        <w:rPr>
          <w:spacing w:val="-12"/>
        </w:rPr>
        <w:t xml:space="preserve"> </w:t>
      </w:r>
      <w:r>
        <w:t>it</w:t>
      </w:r>
      <w:r>
        <w:rPr>
          <w:spacing w:val="-12"/>
        </w:rPr>
        <w:t xml:space="preserve"> </w:t>
      </w:r>
      <w:r>
        <w:t>accounted</w:t>
      </w:r>
      <w:r>
        <w:rPr>
          <w:spacing w:val="-13"/>
        </w:rPr>
        <w:t xml:space="preserve"> </w:t>
      </w:r>
      <w:r>
        <w:t>for</w:t>
      </w:r>
      <w:r>
        <w:rPr>
          <w:spacing w:val="-12"/>
        </w:rPr>
        <w:t xml:space="preserve"> </w:t>
      </w:r>
      <w:r>
        <w:t>different</w:t>
      </w:r>
      <w:r>
        <w:rPr>
          <w:spacing w:val="-12"/>
        </w:rPr>
        <w:t xml:space="preserve"> </w:t>
      </w:r>
      <w:r>
        <w:t>high‐end</w:t>
      </w:r>
      <w:r>
        <w:rPr>
          <w:spacing w:val="-13"/>
        </w:rPr>
        <w:t xml:space="preserve"> </w:t>
      </w:r>
      <w:r>
        <w:t>and</w:t>
      </w:r>
      <w:r>
        <w:rPr>
          <w:spacing w:val="-12"/>
        </w:rPr>
        <w:t xml:space="preserve"> </w:t>
      </w:r>
      <w:r>
        <w:t>mid‐range</w:t>
      </w:r>
      <w:r>
        <w:rPr>
          <w:spacing w:val="-12"/>
        </w:rPr>
        <w:t xml:space="preserve"> </w:t>
      </w:r>
      <w:r>
        <w:t>and</w:t>
      </w:r>
      <w:r>
        <w:rPr>
          <w:spacing w:val="-12"/>
        </w:rPr>
        <w:t xml:space="preserve"> </w:t>
      </w:r>
      <w:r>
        <w:t>low‐priced</w:t>
      </w:r>
      <w:r>
        <w:rPr>
          <w:spacing w:val="-12"/>
        </w:rPr>
        <w:t xml:space="preserve"> </w:t>
      </w:r>
      <w:r>
        <w:t>wines</w:t>
      </w:r>
      <w:r>
        <w:rPr>
          <w:spacing w:val="-13"/>
        </w:rPr>
        <w:t xml:space="preserve"> </w:t>
      </w:r>
      <w:r>
        <w:t>when conducting a fair comparison. It failed to do so. MOFCOM also failed to</w:t>
      </w:r>
      <w:r>
        <w:t xml:space="preserve"> provide any information on its consideration of the </w:t>
      </w:r>
      <w:r>
        <w:rPr>
          <w:i/>
        </w:rPr>
        <w:t xml:space="preserve">time </w:t>
      </w:r>
      <w:r>
        <w:t>of sales to ensure that sales were made "at as nearly as possible the same time" under Article 2.4.</w:t>
      </w:r>
    </w:p>
    <w:p w14:paraId="51DE9ADD" w14:textId="77777777" w:rsidR="0010369C" w:rsidRDefault="0010369C">
      <w:pPr>
        <w:pStyle w:val="BodyText"/>
        <w:spacing w:before="10"/>
        <w:rPr>
          <w:sz w:val="8"/>
        </w:rPr>
      </w:pPr>
    </w:p>
    <w:p w14:paraId="51DE9ADE" w14:textId="77777777" w:rsidR="0010369C" w:rsidRDefault="008E43AE">
      <w:pPr>
        <w:pStyle w:val="BodyText"/>
        <w:spacing w:before="52" w:line="360" w:lineRule="auto"/>
        <w:ind w:left="237" w:right="613" w:firstLine="852"/>
        <w:jc w:val="both"/>
      </w:pPr>
      <w:r>
        <w:rPr>
          <w:noProof/>
        </w:rPr>
        <w:drawing>
          <wp:anchor distT="0" distB="0" distL="0" distR="0" simplePos="0" relativeHeight="251613696" behindDoc="1" locked="0" layoutInCell="1" allowOverlap="1" wp14:anchorId="51DEA8DA" wp14:editId="51DEA8DB">
            <wp:simplePos x="0" y="0"/>
            <wp:positionH relativeFrom="page">
              <wp:posOffset>908303</wp:posOffset>
            </wp:positionH>
            <wp:positionV relativeFrom="paragraph">
              <wp:posOffset>80595</wp:posOffset>
            </wp:positionV>
            <wp:extent cx="332231" cy="103631"/>
            <wp:effectExtent l="0" t="0" r="0" b="0"/>
            <wp:wrapNone/>
            <wp:docPr id="2025" name="image10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 name="image1040.png"/>
                    <pic:cNvPicPr/>
                  </pic:nvPicPr>
                  <pic:blipFill>
                    <a:blip r:embed="rId1331" cstate="print"/>
                    <a:stretch>
                      <a:fillRect/>
                    </a:stretch>
                  </pic:blipFill>
                  <pic:spPr>
                    <a:xfrm>
                      <a:off x="0" y="0"/>
                      <a:ext cx="332231" cy="103631"/>
                    </a:xfrm>
                    <a:prstGeom prst="rect">
                      <a:avLst/>
                    </a:prstGeom>
                  </pic:spPr>
                </pic:pic>
              </a:graphicData>
            </a:graphic>
          </wp:anchor>
        </w:drawing>
      </w:r>
      <w:r>
        <w:t>Further, MOFCOM failed to disclose the essential fact of the exchange rate(s) at which MOFCOM conducted its practice comparison. Article 2.4.1 provides that "[w]hen the comparison under paragraph 4 requires a conversion of currencies, such</w:t>
      </w:r>
      <w:r>
        <w:rPr>
          <w:spacing w:val="-4"/>
        </w:rPr>
        <w:t xml:space="preserve"> </w:t>
      </w:r>
      <w:r>
        <w:t>conversion shoul</w:t>
      </w:r>
      <w:r>
        <w:t>d be made using the rate of exchange on the date of sale". This is a fundamental essential fact relevant to the obligation in Article 6.9. Presumably, for example, MOFCOM converted its "normal value" data from AUD into RMB, but it did not disclose the rate</w:t>
      </w:r>
      <w:r>
        <w:t>(s) at which this conversion was done. MOFCOM expressed relevant figures in AUD/kl, RMB/kl and USD/kl at different points in the Final Disclosure (consider import prices from 2015 to 2019, which are defined in terms of "RMB/kl" in the body of the Final Dis</w:t>
      </w:r>
      <w:r>
        <w:t>closure,</w:t>
      </w:r>
      <w:r>
        <w:rPr>
          <w:vertAlign w:val="superscript"/>
        </w:rPr>
        <w:t>1205</w:t>
      </w:r>
      <w:r>
        <w:t xml:space="preserve"> but listed as "USD/kl" in the data table appended at the end of the document).</w:t>
      </w:r>
      <w:r>
        <w:rPr>
          <w:vertAlign w:val="superscript"/>
        </w:rPr>
        <w:t>1206</w:t>
      </w:r>
      <w:r>
        <w:t xml:space="preserve"> However, the Final Disclosure contains no explanation of how exchange rates were determined, what the rates of conversion were, or how MOFCOM purported to accou</w:t>
      </w:r>
      <w:r>
        <w:t>nt for fluctuations in exchange rates over time.</w:t>
      </w:r>
    </w:p>
    <w:p w14:paraId="51DE9ADF" w14:textId="77777777" w:rsidR="0010369C" w:rsidRDefault="0010369C">
      <w:pPr>
        <w:pStyle w:val="BodyText"/>
        <w:spacing w:before="11"/>
        <w:rPr>
          <w:sz w:val="8"/>
        </w:rPr>
      </w:pPr>
    </w:p>
    <w:p w14:paraId="51DE9AE0" w14:textId="77777777" w:rsidR="0010369C" w:rsidRDefault="008E43AE">
      <w:pPr>
        <w:pStyle w:val="BodyText"/>
        <w:spacing w:before="53" w:line="360" w:lineRule="auto"/>
        <w:ind w:left="237" w:right="613" w:firstLine="12"/>
        <w:jc w:val="both"/>
      </w:pPr>
      <w:r>
        <w:rPr>
          <w:noProof/>
        </w:rPr>
        <w:drawing>
          <wp:inline distT="0" distB="0" distL="0" distR="0" wp14:anchorId="51DEA8DC" wp14:editId="51DEA8DD">
            <wp:extent cx="332231" cy="109727"/>
            <wp:effectExtent l="0" t="0" r="0" b="0"/>
            <wp:docPr id="2027" name="image10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 name="image1041.png"/>
                    <pic:cNvPicPr/>
                  </pic:nvPicPr>
                  <pic:blipFill>
                    <a:blip r:embed="rId1332" cstate="print"/>
                    <a:stretch>
                      <a:fillRect/>
                    </a:stretch>
                  </pic:blipFill>
                  <pic:spPr>
                    <a:xfrm>
                      <a:off x="0" y="0"/>
                      <a:ext cx="332231" cy="109727"/>
                    </a:xfrm>
                    <a:prstGeom prst="rect">
                      <a:avLst/>
                    </a:prstGeom>
                  </pic:spPr>
                </pic:pic>
              </a:graphicData>
            </a:graphic>
          </wp:inline>
        </w:drawing>
      </w:r>
      <w:r>
        <w:rPr>
          <w:rFonts w:ascii="Times New Roman"/>
          <w:spacing w:val="80"/>
          <w:position w:val="1"/>
          <w:sz w:val="20"/>
        </w:rPr>
        <w:t xml:space="preserve"> </w:t>
      </w:r>
      <w:r>
        <w:rPr>
          <w:position w:val="1"/>
        </w:rPr>
        <w:t xml:space="preserve">These were all essential facts because they were critical to assessing MOFCOM's </w:t>
      </w:r>
      <w:r>
        <w:t>approach</w:t>
      </w:r>
      <w:r>
        <w:rPr>
          <w:spacing w:val="-6"/>
        </w:rPr>
        <w:t xml:space="preserve"> </w:t>
      </w:r>
      <w:r>
        <w:t>to</w:t>
      </w:r>
      <w:r>
        <w:rPr>
          <w:spacing w:val="-5"/>
        </w:rPr>
        <w:t xml:space="preserve"> </w:t>
      </w:r>
      <w:r>
        <w:t>price</w:t>
      </w:r>
      <w:r>
        <w:rPr>
          <w:spacing w:val="-4"/>
        </w:rPr>
        <w:t xml:space="preserve"> </w:t>
      </w:r>
      <w:r>
        <w:t>comparison</w:t>
      </w:r>
      <w:r>
        <w:rPr>
          <w:spacing w:val="-6"/>
        </w:rPr>
        <w:t xml:space="preserve"> </w:t>
      </w:r>
      <w:r>
        <w:t>and</w:t>
      </w:r>
      <w:r>
        <w:rPr>
          <w:spacing w:val="-5"/>
        </w:rPr>
        <w:t xml:space="preserve"> </w:t>
      </w:r>
      <w:r>
        <w:t>MOFCOM's</w:t>
      </w:r>
      <w:r>
        <w:rPr>
          <w:spacing w:val="-4"/>
        </w:rPr>
        <w:t xml:space="preserve"> </w:t>
      </w:r>
      <w:r>
        <w:t>compliance</w:t>
      </w:r>
      <w:r>
        <w:rPr>
          <w:spacing w:val="-6"/>
        </w:rPr>
        <w:t xml:space="preserve"> </w:t>
      </w:r>
      <w:r>
        <w:t>with</w:t>
      </w:r>
      <w:r>
        <w:rPr>
          <w:spacing w:val="-5"/>
        </w:rPr>
        <w:t xml:space="preserve"> </w:t>
      </w:r>
      <w:r>
        <w:t>its</w:t>
      </w:r>
      <w:r>
        <w:rPr>
          <w:spacing w:val="-5"/>
        </w:rPr>
        <w:t xml:space="preserve"> </w:t>
      </w:r>
      <w:r>
        <w:t>WTO</w:t>
      </w:r>
      <w:r>
        <w:rPr>
          <w:spacing w:val="-6"/>
        </w:rPr>
        <w:t xml:space="preserve"> </w:t>
      </w:r>
      <w:r>
        <w:t>obligations,</w:t>
      </w:r>
      <w:r>
        <w:rPr>
          <w:spacing w:val="-4"/>
        </w:rPr>
        <w:t xml:space="preserve"> </w:t>
      </w:r>
      <w:r>
        <w:t>and</w:t>
      </w:r>
      <w:r>
        <w:rPr>
          <w:spacing w:val="-5"/>
        </w:rPr>
        <w:t xml:space="preserve"> </w:t>
      </w:r>
      <w:r>
        <w:t>they formed the basis of the dumping marg</w:t>
      </w:r>
      <w:r>
        <w:t xml:space="preserve">ins that MOFCOM ultimately calculated. A bare assertion that MOFCOM conducted the comparison fairly and reasonably was not a "coherent" statement of the essential facts that were relied upon. Rather, MOFCOM's approach required interested parties to engage </w:t>
      </w:r>
      <w:r>
        <w:t>in extensive back calculations (to the extent possible) to attempt to comprehend MOFCOM's methodology and defend their interests in the investigation.</w:t>
      </w:r>
      <w:r>
        <w:rPr>
          <w:vertAlign w:val="superscript"/>
        </w:rPr>
        <w:t>1207</w:t>
      </w:r>
    </w:p>
    <w:p w14:paraId="51DE9AE1" w14:textId="77777777" w:rsidR="0010369C" w:rsidRDefault="008E43AE">
      <w:pPr>
        <w:pStyle w:val="BodyText"/>
        <w:spacing w:before="6"/>
        <w:rPr>
          <w:sz w:val="28"/>
        </w:rPr>
      </w:pPr>
      <w:r>
        <w:pict w14:anchorId="51DEA8DE">
          <v:rect id="docshape1422" o:spid="_x0000_s1071" style="position:absolute;margin-left:70.9pt;margin-top:18.6pt;width:2in;height:.8pt;z-index:-250678784;mso-wrap-distance-left:0;mso-wrap-distance-right:0;mso-position-horizontal-relative:page" fillcolor="black" stroked="f">
            <w10:wrap type="topAndBottom" anchorx="page"/>
          </v:rect>
        </w:pict>
      </w:r>
    </w:p>
    <w:p w14:paraId="51DE9AE2" w14:textId="77777777" w:rsidR="0010369C" w:rsidRDefault="008E43AE">
      <w:pPr>
        <w:spacing w:before="110"/>
        <w:ind w:left="238"/>
        <w:rPr>
          <w:sz w:val="18"/>
        </w:rPr>
      </w:pPr>
      <w:r>
        <w:rPr>
          <w:sz w:val="18"/>
          <w:vertAlign w:val="superscript"/>
        </w:rPr>
        <w:t>1204</w:t>
      </w:r>
      <w:r>
        <w:rPr>
          <w:spacing w:val="-6"/>
          <w:sz w:val="18"/>
        </w:rPr>
        <w:t xml:space="preserve"> </w:t>
      </w:r>
      <w:r>
        <w:rPr>
          <w:sz w:val="18"/>
        </w:rPr>
        <w:t>Article</w:t>
      </w:r>
      <w:r>
        <w:rPr>
          <w:spacing w:val="-5"/>
          <w:sz w:val="18"/>
        </w:rPr>
        <w:t xml:space="preserve"> </w:t>
      </w:r>
      <w:r>
        <w:rPr>
          <w:sz w:val="18"/>
        </w:rPr>
        <w:t>2.4</w:t>
      </w:r>
      <w:r>
        <w:rPr>
          <w:spacing w:val="-5"/>
          <w:sz w:val="18"/>
        </w:rPr>
        <w:t xml:space="preserve"> </w:t>
      </w:r>
      <w:r>
        <w:rPr>
          <w:sz w:val="18"/>
        </w:rPr>
        <w:t>of</w:t>
      </w:r>
      <w:r>
        <w:rPr>
          <w:spacing w:val="-6"/>
          <w:sz w:val="18"/>
        </w:rPr>
        <w:t xml:space="preserve"> </w:t>
      </w:r>
      <w:r>
        <w:rPr>
          <w:sz w:val="18"/>
        </w:rPr>
        <w:t>the</w:t>
      </w:r>
      <w:r>
        <w:rPr>
          <w:spacing w:val="-5"/>
          <w:sz w:val="18"/>
        </w:rPr>
        <w:t xml:space="preserve"> </w:t>
      </w:r>
      <w:r>
        <w:rPr>
          <w:sz w:val="18"/>
        </w:rPr>
        <w:t>Anti‐Dumping</w:t>
      </w:r>
      <w:r>
        <w:rPr>
          <w:spacing w:val="-6"/>
          <w:sz w:val="18"/>
        </w:rPr>
        <w:t xml:space="preserve"> </w:t>
      </w:r>
      <w:r>
        <w:rPr>
          <w:spacing w:val="-2"/>
          <w:sz w:val="18"/>
        </w:rPr>
        <w:t>Agreement.</w:t>
      </w:r>
    </w:p>
    <w:p w14:paraId="51DE9AE3" w14:textId="77777777" w:rsidR="0010369C" w:rsidRDefault="008E43AE">
      <w:pPr>
        <w:ind w:left="238"/>
        <w:rPr>
          <w:sz w:val="18"/>
        </w:rPr>
      </w:pPr>
      <w:r>
        <w:rPr>
          <w:sz w:val="18"/>
          <w:vertAlign w:val="superscript"/>
        </w:rPr>
        <w:t>1205</w:t>
      </w:r>
      <w:r>
        <w:rPr>
          <w:spacing w:val="-8"/>
          <w:sz w:val="18"/>
        </w:rPr>
        <w:t xml:space="preserve"> </w:t>
      </w:r>
      <w:r>
        <w:rPr>
          <w:sz w:val="18"/>
        </w:rPr>
        <w:t>Anti‐Dumping</w:t>
      </w:r>
      <w:r>
        <w:rPr>
          <w:spacing w:val="-8"/>
          <w:sz w:val="18"/>
        </w:rPr>
        <w:t xml:space="preserve"> </w:t>
      </w:r>
      <w:r>
        <w:rPr>
          <w:sz w:val="18"/>
        </w:rPr>
        <w:t>Final</w:t>
      </w:r>
      <w:r>
        <w:rPr>
          <w:spacing w:val="-8"/>
          <w:sz w:val="18"/>
        </w:rPr>
        <w:t xml:space="preserve"> </w:t>
      </w:r>
      <w:r>
        <w:rPr>
          <w:sz w:val="18"/>
        </w:rPr>
        <w:t>Disclosure</w:t>
      </w:r>
      <w:r>
        <w:rPr>
          <w:spacing w:val="-8"/>
          <w:sz w:val="18"/>
        </w:rPr>
        <w:t xml:space="preserve"> </w:t>
      </w:r>
      <w:r>
        <w:rPr>
          <w:sz w:val="18"/>
        </w:rPr>
        <w:t>(Exhibit</w:t>
      </w:r>
      <w:r>
        <w:rPr>
          <w:spacing w:val="-8"/>
          <w:sz w:val="18"/>
        </w:rPr>
        <w:t xml:space="preserve"> </w:t>
      </w:r>
      <w:r>
        <w:rPr>
          <w:sz w:val="18"/>
        </w:rPr>
        <w:t>AUS‐16),</w:t>
      </w:r>
      <w:r>
        <w:rPr>
          <w:spacing w:val="-9"/>
          <w:sz w:val="18"/>
        </w:rPr>
        <w:t xml:space="preserve"> </w:t>
      </w:r>
      <w:r>
        <w:rPr>
          <w:sz w:val="18"/>
        </w:rPr>
        <w:t>p.</w:t>
      </w:r>
      <w:r>
        <w:rPr>
          <w:spacing w:val="-7"/>
          <w:sz w:val="18"/>
        </w:rPr>
        <w:t xml:space="preserve"> </w:t>
      </w:r>
      <w:r>
        <w:rPr>
          <w:spacing w:val="-5"/>
          <w:sz w:val="18"/>
        </w:rPr>
        <w:t>62.</w:t>
      </w:r>
    </w:p>
    <w:p w14:paraId="51DE9AE4" w14:textId="77777777" w:rsidR="0010369C" w:rsidRDefault="008E43AE">
      <w:pPr>
        <w:ind w:left="238"/>
        <w:rPr>
          <w:sz w:val="18"/>
        </w:rPr>
      </w:pPr>
      <w:r>
        <w:rPr>
          <w:sz w:val="18"/>
          <w:vertAlign w:val="superscript"/>
        </w:rPr>
        <w:t>1206</w:t>
      </w:r>
      <w:r>
        <w:rPr>
          <w:spacing w:val="-8"/>
          <w:sz w:val="18"/>
        </w:rPr>
        <w:t xml:space="preserve"> </w:t>
      </w:r>
      <w:r>
        <w:rPr>
          <w:sz w:val="18"/>
        </w:rPr>
        <w:t>Anti‐Dumping</w:t>
      </w:r>
      <w:r>
        <w:rPr>
          <w:spacing w:val="-8"/>
          <w:sz w:val="18"/>
        </w:rPr>
        <w:t xml:space="preserve"> </w:t>
      </w:r>
      <w:r>
        <w:rPr>
          <w:sz w:val="18"/>
        </w:rPr>
        <w:t>Final</w:t>
      </w:r>
      <w:r>
        <w:rPr>
          <w:spacing w:val="-8"/>
          <w:sz w:val="18"/>
        </w:rPr>
        <w:t xml:space="preserve"> </w:t>
      </w:r>
      <w:r>
        <w:rPr>
          <w:sz w:val="18"/>
        </w:rPr>
        <w:t>Disclosure</w:t>
      </w:r>
      <w:r>
        <w:rPr>
          <w:spacing w:val="-8"/>
          <w:sz w:val="18"/>
        </w:rPr>
        <w:t xml:space="preserve"> </w:t>
      </w:r>
      <w:r>
        <w:rPr>
          <w:sz w:val="18"/>
        </w:rPr>
        <w:t>(Exhibit</w:t>
      </w:r>
      <w:r>
        <w:rPr>
          <w:spacing w:val="-8"/>
          <w:sz w:val="18"/>
        </w:rPr>
        <w:t xml:space="preserve"> </w:t>
      </w:r>
      <w:r>
        <w:rPr>
          <w:sz w:val="18"/>
        </w:rPr>
        <w:t>AUS‐16),</w:t>
      </w:r>
      <w:r>
        <w:rPr>
          <w:spacing w:val="-9"/>
          <w:sz w:val="18"/>
        </w:rPr>
        <w:t xml:space="preserve"> </w:t>
      </w:r>
      <w:r>
        <w:rPr>
          <w:sz w:val="18"/>
        </w:rPr>
        <w:t>p.</w:t>
      </w:r>
      <w:r>
        <w:rPr>
          <w:spacing w:val="-7"/>
          <w:sz w:val="18"/>
        </w:rPr>
        <w:t xml:space="preserve"> </w:t>
      </w:r>
      <w:r>
        <w:rPr>
          <w:spacing w:val="-5"/>
          <w:sz w:val="18"/>
        </w:rPr>
        <w:t>93.</w:t>
      </w:r>
    </w:p>
    <w:p w14:paraId="51DE9AE5" w14:textId="77777777" w:rsidR="0010369C" w:rsidRDefault="008E43AE">
      <w:pPr>
        <w:ind w:left="238"/>
        <w:rPr>
          <w:sz w:val="18"/>
        </w:rPr>
      </w:pPr>
      <w:r>
        <w:rPr>
          <w:sz w:val="18"/>
          <w:vertAlign w:val="superscript"/>
        </w:rPr>
        <w:t>1207</w:t>
      </w:r>
      <w:r>
        <w:rPr>
          <w:spacing w:val="-7"/>
          <w:sz w:val="18"/>
        </w:rPr>
        <w:t xml:space="preserve"> </w:t>
      </w:r>
      <w:r>
        <w:rPr>
          <w:sz w:val="18"/>
        </w:rPr>
        <w:t>See</w:t>
      </w:r>
      <w:r>
        <w:rPr>
          <w:spacing w:val="-7"/>
          <w:sz w:val="18"/>
        </w:rPr>
        <w:t xml:space="preserve"> </w:t>
      </w:r>
      <w:r>
        <w:rPr>
          <w:sz w:val="18"/>
        </w:rPr>
        <w:t>Panel</w:t>
      </w:r>
      <w:r>
        <w:rPr>
          <w:spacing w:val="-7"/>
          <w:sz w:val="18"/>
        </w:rPr>
        <w:t xml:space="preserve"> </w:t>
      </w:r>
      <w:r>
        <w:rPr>
          <w:sz w:val="18"/>
        </w:rPr>
        <w:t>Report,</w:t>
      </w:r>
      <w:r>
        <w:rPr>
          <w:spacing w:val="-6"/>
          <w:sz w:val="18"/>
        </w:rPr>
        <w:t xml:space="preserve"> </w:t>
      </w:r>
      <w:r>
        <w:rPr>
          <w:i/>
          <w:sz w:val="18"/>
        </w:rPr>
        <w:t>Ukraine</w:t>
      </w:r>
      <w:r>
        <w:rPr>
          <w:i/>
          <w:spacing w:val="-6"/>
          <w:sz w:val="18"/>
        </w:rPr>
        <w:t xml:space="preserve"> </w:t>
      </w:r>
      <w:r>
        <w:rPr>
          <w:i/>
          <w:sz w:val="18"/>
        </w:rPr>
        <w:t>–</w:t>
      </w:r>
      <w:r>
        <w:rPr>
          <w:i/>
          <w:spacing w:val="-7"/>
          <w:sz w:val="18"/>
        </w:rPr>
        <w:t xml:space="preserve"> </w:t>
      </w:r>
      <w:r>
        <w:rPr>
          <w:i/>
          <w:sz w:val="18"/>
        </w:rPr>
        <w:t>Ammonium</w:t>
      </w:r>
      <w:r>
        <w:rPr>
          <w:i/>
          <w:spacing w:val="-6"/>
          <w:sz w:val="18"/>
        </w:rPr>
        <w:t xml:space="preserve"> </w:t>
      </w:r>
      <w:r>
        <w:rPr>
          <w:i/>
          <w:sz w:val="18"/>
        </w:rPr>
        <w:t>Nitrate</w:t>
      </w:r>
      <w:r>
        <w:rPr>
          <w:sz w:val="18"/>
        </w:rPr>
        <w:t>,</w:t>
      </w:r>
      <w:r>
        <w:rPr>
          <w:spacing w:val="-6"/>
          <w:sz w:val="18"/>
        </w:rPr>
        <w:t xml:space="preserve"> </w:t>
      </w:r>
      <w:r>
        <w:rPr>
          <w:sz w:val="18"/>
        </w:rPr>
        <w:t>para.</w:t>
      </w:r>
      <w:r>
        <w:rPr>
          <w:spacing w:val="-7"/>
          <w:sz w:val="18"/>
        </w:rPr>
        <w:t xml:space="preserve"> </w:t>
      </w:r>
      <w:r>
        <w:rPr>
          <w:spacing w:val="-2"/>
          <w:sz w:val="18"/>
        </w:rPr>
        <w:t>7.227.</w:t>
      </w:r>
    </w:p>
    <w:p w14:paraId="51DE9AE6" w14:textId="77777777" w:rsidR="0010369C" w:rsidRDefault="0010369C">
      <w:pPr>
        <w:rPr>
          <w:sz w:val="18"/>
        </w:rPr>
        <w:sectPr w:rsidR="0010369C">
          <w:headerReference w:type="default" r:id="rId1333"/>
          <w:footerReference w:type="default" r:id="rId1334"/>
          <w:pgSz w:w="11910" w:h="16840"/>
          <w:pgMar w:top="880" w:right="800" w:bottom="980" w:left="1180" w:header="569" w:footer="788" w:gutter="0"/>
          <w:cols w:space="720"/>
        </w:sectPr>
      </w:pPr>
    </w:p>
    <w:p w14:paraId="51DE9AE7" w14:textId="77777777" w:rsidR="0010369C" w:rsidRDefault="0010369C">
      <w:pPr>
        <w:pStyle w:val="BodyText"/>
        <w:spacing w:before="4"/>
        <w:rPr>
          <w:sz w:val="23"/>
        </w:rPr>
      </w:pPr>
    </w:p>
    <w:tbl>
      <w:tblPr>
        <w:tblW w:w="0" w:type="auto"/>
        <w:tblInd w:w="196" w:type="dxa"/>
        <w:tblLayout w:type="fixed"/>
        <w:tblCellMar>
          <w:left w:w="0" w:type="dxa"/>
          <w:right w:w="0" w:type="dxa"/>
        </w:tblCellMar>
        <w:tblLook w:val="01E0" w:firstRow="1" w:lastRow="1" w:firstColumn="1" w:lastColumn="1" w:noHBand="0" w:noVBand="0"/>
      </w:tblPr>
      <w:tblGrid>
        <w:gridCol w:w="3163"/>
        <w:gridCol w:w="1305"/>
        <w:gridCol w:w="2669"/>
        <w:gridCol w:w="397"/>
        <w:gridCol w:w="860"/>
        <w:gridCol w:w="305"/>
        <w:gridCol w:w="474"/>
      </w:tblGrid>
      <w:tr w:rsidR="0010369C" w14:paraId="51DE9AED" w14:textId="77777777">
        <w:trPr>
          <w:trHeight w:val="243"/>
        </w:trPr>
        <w:tc>
          <w:tcPr>
            <w:tcW w:w="3163" w:type="dxa"/>
          </w:tcPr>
          <w:p w14:paraId="51DE9AE8" w14:textId="77777777" w:rsidR="0010369C" w:rsidRDefault="008E43AE">
            <w:pPr>
              <w:pStyle w:val="TableParagraph"/>
              <w:spacing w:line="204" w:lineRule="exact"/>
              <w:ind w:left="50"/>
              <w:rPr>
                <w:sz w:val="20"/>
              </w:rPr>
            </w:pPr>
            <w:r>
              <w:rPr>
                <w:i/>
                <w:sz w:val="20"/>
              </w:rPr>
              <w:t>on</w:t>
            </w:r>
            <w:r>
              <w:rPr>
                <w:i/>
                <w:spacing w:val="-1"/>
                <w:sz w:val="20"/>
              </w:rPr>
              <w:t xml:space="preserve"> </w:t>
            </w:r>
            <w:r>
              <w:rPr>
                <w:i/>
                <w:sz w:val="20"/>
              </w:rPr>
              <w:t>Wine</w:t>
            </w:r>
            <w:r>
              <w:rPr>
                <w:i/>
                <w:spacing w:val="-1"/>
                <w:sz w:val="20"/>
              </w:rPr>
              <w:t xml:space="preserve"> </w:t>
            </w:r>
            <w:r>
              <w:rPr>
                <w:i/>
                <w:sz w:val="20"/>
              </w:rPr>
              <w:t>from</w:t>
            </w:r>
            <w:r>
              <w:rPr>
                <w:i/>
                <w:spacing w:val="-3"/>
                <w:sz w:val="20"/>
              </w:rPr>
              <w:t xml:space="preserve"> </w:t>
            </w:r>
            <w:r>
              <w:rPr>
                <w:i/>
                <w:sz w:val="20"/>
              </w:rPr>
              <w:t>Australia</w:t>
            </w:r>
            <w:r>
              <w:rPr>
                <w:i/>
                <w:spacing w:val="-1"/>
                <w:sz w:val="20"/>
              </w:rPr>
              <w:t xml:space="preserve"> </w:t>
            </w:r>
            <w:r>
              <w:rPr>
                <w:spacing w:val="-2"/>
                <w:sz w:val="20"/>
              </w:rPr>
              <w:t>(DS602)</w:t>
            </w:r>
          </w:p>
        </w:tc>
        <w:tc>
          <w:tcPr>
            <w:tcW w:w="1305" w:type="dxa"/>
          </w:tcPr>
          <w:p w14:paraId="51DE9AE9" w14:textId="77777777" w:rsidR="0010369C" w:rsidRDefault="0010369C">
            <w:pPr>
              <w:pStyle w:val="TableParagraph"/>
              <w:rPr>
                <w:rFonts w:ascii="Times New Roman"/>
                <w:sz w:val="16"/>
              </w:rPr>
            </w:pPr>
          </w:p>
        </w:tc>
        <w:tc>
          <w:tcPr>
            <w:tcW w:w="2669" w:type="dxa"/>
          </w:tcPr>
          <w:p w14:paraId="51DE9AEA" w14:textId="77777777" w:rsidR="0010369C" w:rsidRDefault="0010369C">
            <w:pPr>
              <w:pStyle w:val="TableParagraph"/>
              <w:rPr>
                <w:rFonts w:ascii="Times New Roman"/>
                <w:sz w:val="16"/>
              </w:rPr>
            </w:pPr>
          </w:p>
        </w:tc>
        <w:tc>
          <w:tcPr>
            <w:tcW w:w="397" w:type="dxa"/>
          </w:tcPr>
          <w:p w14:paraId="51DE9AEB" w14:textId="77777777" w:rsidR="0010369C" w:rsidRDefault="0010369C">
            <w:pPr>
              <w:pStyle w:val="TableParagraph"/>
              <w:rPr>
                <w:rFonts w:ascii="Times New Roman"/>
                <w:sz w:val="16"/>
              </w:rPr>
            </w:pPr>
          </w:p>
        </w:tc>
        <w:tc>
          <w:tcPr>
            <w:tcW w:w="1639" w:type="dxa"/>
            <w:gridSpan w:val="3"/>
          </w:tcPr>
          <w:p w14:paraId="51DE9AEC" w14:textId="77777777" w:rsidR="0010369C" w:rsidRDefault="008E43AE">
            <w:pPr>
              <w:pStyle w:val="TableParagraph"/>
              <w:spacing w:line="204" w:lineRule="exact"/>
              <w:ind w:left="504"/>
              <w:rPr>
                <w:sz w:val="20"/>
              </w:rPr>
            </w:pPr>
            <w:r>
              <w:rPr>
                <w:sz w:val="20"/>
              </w:rPr>
              <w:t>29</w:t>
            </w:r>
            <w:r>
              <w:rPr>
                <w:spacing w:val="-1"/>
                <w:sz w:val="20"/>
              </w:rPr>
              <w:t xml:space="preserve"> </w:t>
            </w:r>
            <w:r>
              <w:rPr>
                <w:sz w:val="20"/>
              </w:rPr>
              <w:t>April</w:t>
            </w:r>
            <w:r>
              <w:rPr>
                <w:spacing w:val="-2"/>
                <w:sz w:val="20"/>
              </w:rPr>
              <w:t xml:space="preserve"> </w:t>
            </w:r>
            <w:r>
              <w:rPr>
                <w:spacing w:val="-4"/>
                <w:sz w:val="20"/>
              </w:rPr>
              <w:t>2022</w:t>
            </w:r>
          </w:p>
        </w:tc>
      </w:tr>
      <w:tr w:rsidR="0010369C" w14:paraId="51DE9AF5" w14:textId="77777777">
        <w:trPr>
          <w:trHeight w:val="383"/>
        </w:trPr>
        <w:tc>
          <w:tcPr>
            <w:tcW w:w="3163" w:type="dxa"/>
          </w:tcPr>
          <w:p w14:paraId="51DE9AEE" w14:textId="77777777" w:rsidR="0010369C" w:rsidRDefault="008E43AE">
            <w:pPr>
              <w:pStyle w:val="TableParagraph"/>
              <w:spacing w:line="288" w:lineRule="exact"/>
              <w:ind w:right="287"/>
              <w:jc w:val="right"/>
              <w:rPr>
                <w:sz w:val="24"/>
              </w:rPr>
            </w:pPr>
            <w:r>
              <w:rPr>
                <w:spacing w:val="-5"/>
                <w:sz w:val="24"/>
                <w:u w:val="single"/>
              </w:rPr>
              <w:t>(d)</w:t>
            </w:r>
          </w:p>
        </w:tc>
        <w:tc>
          <w:tcPr>
            <w:tcW w:w="1305" w:type="dxa"/>
          </w:tcPr>
          <w:p w14:paraId="51DE9AEF" w14:textId="77777777" w:rsidR="0010369C" w:rsidRDefault="008E43AE">
            <w:pPr>
              <w:pStyle w:val="TableParagraph"/>
              <w:spacing w:line="288" w:lineRule="exact"/>
              <w:ind w:left="290" w:right="-101"/>
              <w:rPr>
                <w:sz w:val="24"/>
              </w:rPr>
            </w:pPr>
            <w:r>
              <w:rPr>
                <w:spacing w:val="-2"/>
                <w:sz w:val="24"/>
                <w:u w:val="single"/>
              </w:rPr>
              <w:t>Decisions</w:t>
            </w:r>
            <w:r>
              <w:rPr>
                <w:spacing w:val="40"/>
                <w:sz w:val="24"/>
                <w:u w:val="single"/>
              </w:rPr>
              <w:t xml:space="preserve"> </w:t>
            </w:r>
          </w:p>
        </w:tc>
        <w:tc>
          <w:tcPr>
            <w:tcW w:w="2669" w:type="dxa"/>
          </w:tcPr>
          <w:p w14:paraId="51DE9AF0" w14:textId="77777777" w:rsidR="0010369C" w:rsidRDefault="008E43AE">
            <w:pPr>
              <w:pStyle w:val="TableParagraph"/>
              <w:spacing w:line="288" w:lineRule="exact"/>
              <w:ind w:left="95" w:right="-101"/>
              <w:rPr>
                <w:sz w:val="24"/>
              </w:rPr>
            </w:pPr>
            <w:r>
              <w:rPr>
                <w:sz w:val="24"/>
                <w:u w:val="single"/>
              </w:rPr>
              <w:t>concerning</w:t>
            </w:r>
            <w:r>
              <w:rPr>
                <w:spacing w:val="34"/>
                <w:sz w:val="24"/>
                <w:u w:val="single"/>
              </w:rPr>
              <w:t xml:space="preserve">  </w:t>
            </w:r>
            <w:r>
              <w:rPr>
                <w:spacing w:val="-2"/>
                <w:sz w:val="24"/>
                <w:u w:val="single"/>
              </w:rPr>
              <w:t>adjustments</w:t>
            </w:r>
            <w:r>
              <w:rPr>
                <w:spacing w:val="40"/>
                <w:sz w:val="24"/>
                <w:u w:val="single"/>
              </w:rPr>
              <w:t xml:space="preserve"> </w:t>
            </w:r>
          </w:p>
        </w:tc>
        <w:tc>
          <w:tcPr>
            <w:tcW w:w="397" w:type="dxa"/>
          </w:tcPr>
          <w:p w14:paraId="51DE9AF1" w14:textId="77777777" w:rsidR="0010369C" w:rsidRDefault="008E43AE">
            <w:pPr>
              <w:pStyle w:val="TableParagraph"/>
              <w:spacing w:line="288" w:lineRule="exact"/>
              <w:ind w:left="95" w:right="-101"/>
              <w:rPr>
                <w:sz w:val="24"/>
              </w:rPr>
            </w:pPr>
            <w:r>
              <w:rPr>
                <w:spacing w:val="-5"/>
                <w:sz w:val="24"/>
                <w:u w:val="single"/>
              </w:rPr>
              <w:t>to</w:t>
            </w:r>
            <w:r>
              <w:rPr>
                <w:spacing w:val="40"/>
                <w:sz w:val="24"/>
                <w:u w:val="single"/>
              </w:rPr>
              <w:t xml:space="preserve"> </w:t>
            </w:r>
          </w:p>
        </w:tc>
        <w:tc>
          <w:tcPr>
            <w:tcW w:w="860" w:type="dxa"/>
          </w:tcPr>
          <w:p w14:paraId="51DE9AF2" w14:textId="77777777" w:rsidR="0010369C" w:rsidRDefault="008E43AE">
            <w:pPr>
              <w:pStyle w:val="TableParagraph"/>
              <w:spacing w:line="288" w:lineRule="exact"/>
              <w:ind w:left="95" w:right="-101"/>
              <w:rPr>
                <w:sz w:val="24"/>
              </w:rPr>
            </w:pPr>
            <w:r>
              <w:rPr>
                <w:spacing w:val="-2"/>
                <w:sz w:val="24"/>
                <w:u w:val="single"/>
              </w:rPr>
              <w:t>ensure</w:t>
            </w:r>
            <w:r>
              <w:rPr>
                <w:spacing w:val="40"/>
                <w:sz w:val="24"/>
                <w:u w:val="single"/>
              </w:rPr>
              <w:t xml:space="preserve"> </w:t>
            </w:r>
          </w:p>
        </w:tc>
        <w:tc>
          <w:tcPr>
            <w:tcW w:w="305" w:type="dxa"/>
          </w:tcPr>
          <w:p w14:paraId="51DE9AF3" w14:textId="77777777" w:rsidR="0010369C" w:rsidRDefault="008E43AE">
            <w:pPr>
              <w:pStyle w:val="TableParagraph"/>
              <w:spacing w:line="288" w:lineRule="exact"/>
              <w:ind w:left="94" w:right="-101"/>
              <w:rPr>
                <w:sz w:val="24"/>
              </w:rPr>
            </w:pPr>
            <w:r>
              <w:rPr>
                <w:spacing w:val="-10"/>
                <w:sz w:val="24"/>
                <w:u w:val="single"/>
              </w:rPr>
              <w:t>a</w:t>
            </w:r>
            <w:r>
              <w:rPr>
                <w:spacing w:val="40"/>
                <w:sz w:val="24"/>
                <w:u w:val="single"/>
              </w:rPr>
              <w:t xml:space="preserve"> </w:t>
            </w:r>
          </w:p>
        </w:tc>
        <w:tc>
          <w:tcPr>
            <w:tcW w:w="474" w:type="dxa"/>
          </w:tcPr>
          <w:p w14:paraId="51DE9AF4" w14:textId="77777777" w:rsidR="0010369C" w:rsidRDefault="008E43AE">
            <w:pPr>
              <w:pStyle w:val="TableParagraph"/>
              <w:spacing w:line="288" w:lineRule="exact"/>
              <w:ind w:left="94"/>
              <w:rPr>
                <w:sz w:val="24"/>
              </w:rPr>
            </w:pPr>
            <w:r>
              <w:rPr>
                <w:spacing w:val="-4"/>
                <w:sz w:val="24"/>
                <w:u w:val="single"/>
              </w:rPr>
              <w:t>fair</w:t>
            </w:r>
          </w:p>
        </w:tc>
      </w:tr>
      <w:tr w:rsidR="0010369C" w14:paraId="51DE9AFA" w14:textId="77777777">
        <w:trPr>
          <w:trHeight w:val="340"/>
        </w:trPr>
        <w:tc>
          <w:tcPr>
            <w:tcW w:w="3163" w:type="dxa"/>
          </w:tcPr>
          <w:p w14:paraId="51DE9AF6" w14:textId="77777777" w:rsidR="0010369C" w:rsidRDefault="0010369C">
            <w:pPr>
              <w:pStyle w:val="TableParagraph"/>
              <w:rPr>
                <w:rFonts w:ascii="Times New Roman"/>
              </w:rPr>
            </w:pPr>
          </w:p>
        </w:tc>
        <w:tc>
          <w:tcPr>
            <w:tcW w:w="5231" w:type="dxa"/>
            <w:gridSpan w:val="4"/>
          </w:tcPr>
          <w:p w14:paraId="51DE9AF7" w14:textId="77777777" w:rsidR="0010369C" w:rsidRDefault="008E43AE">
            <w:pPr>
              <w:pStyle w:val="TableParagraph"/>
              <w:spacing w:before="51" w:line="269" w:lineRule="exact"/>
              <w:ind w:left="290"/>
              <w:rPr>
                <w:sz w:val="24"/>
              </w:rPr>
            </w:pPr>
            <w:r>
              <w:rPr>
                <w:sz w:val="24"/>
                <w:u w:val="single"/>
              </w:rPr>
              <w:t>comparison</w:t>
            </w:r>
            <w:r>
              <w:rPr>
                <w:spacing w:val="-10"/>
                <w:sz w:val="24"/>
                <w:u w:val="single"/>
              </w:rPr>
              <w:t xml:space="preserve"> </w:t>
            </w:r>
            <w:r>
              <w:rPr>
                <w:sz w:val="24"/>
                <w:u w:val="single"/>
              </w:rPr>
              <w:t>of</w:t>
            </w:r>
            <w:r>
              <w:rPr>
                <w:spacing w:val="-7"/>
                <w:sz w:val="24"/>
                <w:u w:val="single"/>
              </w:rPr>
              <w:t xml:space="preserve"> </w:t>
            </w:r>
            <w:r>
              <w:rPr>
                <w:sz w:val="24"/>
                <w:u w:val="single"/>
              </w:rPr>
              <w:t>normal</w:t>
            </w:r>
            <w:r>
              <w:rPr>
                <w:spacing w:val="-7"/>
                <w:sz w:val="24"/>
                <w:u w:val="single"/>
              </w:rPr>
              <w:t xml:space="preserve"> </w:t>
            </w:r>
            <w:r>
              <w:rPr>
                <w:sz w:val="24"/>
                <w:u w:val="single"/>
              </w:rPr>
              <w:t>value</w:t>
            </w:r>
            <w:r>
              <w:rPr>
                <w:spacing w:val="-6"/>
                <w:sz w:val="24"/>
                <w:u w:val="single"/>
              </w:rPr>
              <w:t xml:space="preserve"> </w:t>
            </w:r>
            <w:r>
              <w:rPr>
                <w:sz w:val="24"/>
                <w:u w:val="single"/>
              </w:rPr>
              <w:t>and</w:t>
            </w:r>
            <w:r>
              <w:rPr>
                <w:spacing w:val="-8"/>
                <w:sz w:val="24"/>
                <w:u w:val="single"/>
              </w:rPr>
              <w:t xml:space="preserve"> </w:t>
            </w:r>
            <w:r>
              <w:rPr>
                <w:sz w:val="24"/>
                <w:u w:val="single"/>
              </w:rPr>
              <w:t>export</w:t>
            </w:r>
            <w:r>
              <w:rPr>
                <w:spacing w:val="-7"/>
                <w:sz w:val="24"/>
                <w:u w:val="single"/>
              </w:rPr>
              <w:t xml:space="preserve"> </w:t>
            </w:r>
            <w:r>
              <w:rPr>
                <w:spacing w:val="-2"/>
                <w:sz w:val="24"/>
                <w:u w:val="single"/>
              </w:rPr>
              <w:t>price</w:t>
            </w:r>
          </w:p>
        </w:tc>
        <w:tc>
          <w:tcPr>
            <w:tcW w:w="305" w:type="dxa"/>
          </w:tcPr>
          <w:p w14:paraId="51DE9AF8" w14:textId="77777777" w:rsidR="0010369C" w:rsidRDefault="0010369C">
            <w:pPr>
              <w:pStyle w:val="TableParagraph"/>
              <w:rPr>
                <w:rFonts w:ascii="Times New Roman"/>
              </w:rPr>
            </w:pPr>
          </w:p>
        </w:tc>
        <w:tc>
          <w:tcPr>
            <w:tcW w:w="474" w:type="dxa"/>
          </w:tcPr>
          <w:p w14:paraId="51DE9AF9" w14:textId="77777777" w:rsidR="0010369C" w:rsidRDefault="0010369C">
            <w:pPr>
              <w:pStyle w:val="TableParagraph"/>
              <w:rPr>
                <w:rFonts w:ascii="Times New Roman"/>
              </w:rPr>
            </w:pPr>
          </w:p>
        </w:tc>
      </w:tr>
    </w:tbl>
    <w:p w14:paraId="51DE9AFB" w14:textId="77777777" w:rsidR="0010369C" w:rsidRDefault="0010369C">
      <w:pPr>
        <w:pStyle w:val="BodyText"/>
        <w:spacing w:before="2"/>
        <w:rPr>
          <w:sz w:val="21"/>
        </w:rPr>
      </w:pPr>
    </w:p>
    <w:p w14:paraId="51DE9AFC" w14:textId="77777777" w:rsidR="0010369C" w:rsidRDefault="008E43AE">
      <w:pPr>
        <w:pStyle w:val="BodyText"/>
        <w:spacing w:before="52" w:line="360" w:lineRule="auto"/>
        <w:ind w:left="237" w:right="613" w:firstLine="851"/>
        <w:jc w:val="both"/>
      </w:pPr>
      <w:r>
        <w:rPr>
          <w:noProof/>
        </w:rPr>
        <w:drawing>
          <wp:anchor distT="0" distB="0" distL="0" distR="0" simplePos="0" relativeHeight="251614720" behindDoc="1" locked="0" layoutInCell="1" allowOverlap="1" wp14:anchorId="51DEA8DF" wp14:editId="51DEA8E0">
            <wp:simplePos x="0" y="0"/>
            <wp:positionH relativeFrom="page">
              <wp:posOffset>908303</wp:posOffset>
            </wp:positionH>
            <wp:positionV relativeFrom="paragraph">
              <wp:posOffset>76785</wp:posOffset>
            </wp:positionV>
            <wp:extent cx="332231" cy="106679"/>
            <wp:effectExtent l="0" t="0" r="0" b="0"/>
            <wp:wrapNone/>
            <wp:docPr id="2029" name="image10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 name="image1042.png"/>
                    <pic:cNvPicPr/>
                  </pic:nvPicPr>
                  <pic:blipFill>
                    <a:blip r:embed="rId1335" cstate="print"/>
                    <a:stretch>
                      <a:fillRect/>
                    </a:stretch>
                  </pic:blipFill>
                  <pic:spPr>
                    <a:xfrm>
                      <a:off x="0" y="0"/>
                      <a:ext cx="332231" cy="106679"/>
                    </a:xfrm>
                    <a:prstGeom prst="rect">
                      <a:avLst/>
                    </a:prstGeom>
                  </pic:spPr>
                </pic:pic>
              </a:graphicData>
            </a:graphic>
          </wp:anchor>
        </w:drawing>
      </w:r>
      <w:r>
        <w:t>Consistent</w:t>
      </w:r>
      <w:r>
        <w:rPr>
          <w:spacing w:val="-8"/>
        </w:rPr>
        <w:t xml:space="preserve"> </w:t>
      </w:r>
      <w:r>
        <w:t>with</w:t>
      </w:r>
      <w:r>
        <w:rPr>
          <w:spacing w:val="-7"/>
        </w:rPr>
        <w:t xml:space="preserve"> </w:t>
      </w:r>
      <w:r>
        <w:t>MOFCOM's</w:t>
      </w:r>
      <w:r>
        <w:rPr>
          <w:spacing w:val="-7"/>
        </w:rPr>
        <w:t xml:space="preserve"> </w:t>
      </w:r>
      <w:r>
        <w:t>errors</w:t>
      </w:r>
      <w:r>
        <w:rPr>
          <w:spacing w:val="-8"/>
        </w:rPr>
        <w:t xml:space="preserve"> </w:t>
      </w:r>
      <w:r>
        <w:t>in</w:t>
      </w:r>
      <w:r>
        <w:rPr>
          <w:spacing w:val="-7"/>
        </w:rPr>
        <w:t xml:space="preserve"> </w:t>
      </w:r>
      <w:r>
        <w:t>relation</w:t>
      </w:r>
      <w:r>
        <w:rPr>
          <w:spacing w:val="-8"/>
        </w:rPr>
        <w:t xml:space="preserve"> </w:t>
      </w:r>
      <w:r>
        <w:t>to</w:t>
      </w:r>
      <w:r>
        <w:rPr>
          <w:spacing w:val="-7"/>
        </w:rPr>
        <w:t xml:space="preserve"> </w:t>
      </w:r>
      <w:r>
        <w:t>price</w:t>
      </w:r>
      <w:r>
        <w:rPr>
          <w:spacing w:val="-6"/>
        </w:rPr>
        <w:t xml:space="preserve"> </w:t>
      </w:r>
      <w:r>
        <w:t>comparability,</w:t>
      </w:r>
      <w:r>
        <w:rPr>
          <w:spacing w:val="-9"/>
        </w:rPr>
        <w:t xml:space="preserve"> </w:t>
      </w:r>
      <w:r>
        <w:t>MOFCOM</w:t>
      </w:r>
      <w:r>
        <w:rPr>
          <w:spacing w:val="-7"/>
        </w:rPr>
        <w:t xml:space="preserve"> </w:t>
      </w:r>
      <w:r>
        <w:t>failed to disclose to interested parties the price adjustments that were used to ensure a fair comparison between normal value and export price.</w:t>
      </w:r>
    </w:p>
    <w:p w14:paraId="51DE9AFD" w14:textId="77777777" w:rsidR="0010369C" w:rsidRDefault="008E43AE">
      <w:pPr>
        <w:pStyle w:val="BodyText"/>
        <w:spacing w:before="160" w:line="360" w:lineRule="auto"/>
        <w:ind w:left="237" w:right="613" w:firstLine="851"/>
        <w:jc w:val="both"/>
      </w:pPr>
      <w:r>
        <w:rPr>
          <w:noProof/>
        </w:rPr>
        <w:drawing>
          <wp:anchor distT="0" distB="0" distL="0" distR="0" simplePos="0" relativeHeight="251615744" behindDoc="1" locked="0" layoutInCell="1" allowOverlap="1" wp14:anchorId="51DEA8E1" wp14:editId="51DEA8E2">
            <wp:simplePos x="0" y="0"/>
            <wp:positionH relativeFrom="page">
              <wp:posOffset>908303</wp:posOffset>
            </wp:positionH>
            <wp:positionV relativeFrom="paragraph">
              <wp:posOffset>145365</wp:posOffset>
            </wp:positionV>
            <wp:extent cx="332231" cy="106679"/>
            <wp:effectExtent l="0" t="0" r="0" b="0"/>
            <wp:wrapNone/>
            <wp:docPr id="2031" name="image10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 name="image1043.png"/>
                    <pic:cNvPicPr/>
                  </pic:nvPicPr>
                  <pic:blipFill>
                    <a:blip r:embed="rId1336" cstate="print"/>
                    <a:stretch>
                      <a:fillRect/>
                    </a:stretch>
                  </pic:blipFill>
                  <pic:spPr>
                    <a:xfrm>
                      <a:off x="0" y="0"/>
                      <a:ext cx="332231" cy="106679"/>
                    </a:xfrm>
                    <a:prstGeom prst="rect">
                      <a:avLst/>
                    </a:prstGeom>
                  </pic:spPr>
                </pic:pic>
              </a:graphicData>
            </a:graphic>
          </wp:anchor>
        </w:drawing>
      </w:r>
      <w:r>
        <w:t>In the Final Disclosure, MOFCOM made price adjustme</w:t>
      </w:r>
      <w:r>
        <w:t>nts relating to normal value for</w:t>
      </w:r>
      <w:r>
        <w:rPr>
          <w:spacing w:val="-5"/>
        </w:rPr>
        <w:t xml:space="preserve"> </w:t>
      </w:r>
      <w:r>
        <w:t>Treasury</w:t>
      </w:r>
      <w:r>
        <w:rPr>
          <w:spacing w:val="-4"/>
        </w:rPr>
        <w:t xml:space="preserve"> </w:t>
      </w:r>
      <w:r>
        <w:t>Wines</w:t>
      </w:r>
      <w:r>
        <w:rPr>
          <w:spacing w:val="-4"/>
        </w:rPr>
        <w:t xml:space="preserve"> </w:t>
      </w:r>
      <w:r>
        <w:t>and</w:t>
      </w:r>
      <w:r>
        <w:rPr>
          <w:spacing w:val="-4"/>
        </w:rPr>
        <w:t xml:space="preserve"> </w:t>
      </w:r>
      <w:r>
        <w:t>relating</w:t>
      </w:r>
      <w:r>
        <w:rPr>
          <w:spacing w:val="-3"/>
        </w:rPr>
        <w:t xml:space="preserve"> </w:t>
      </w:r>
      <w:r>
        <w:t>to</w:t>
      </w:r>
      <w:r>
        <w:rPr>
          <w:spacing w:val="-5"/>
        </w:rPr>
        <w:t xml:space="preserve"> </w:t>
      </w:r>
      <w:r>
        <w:t>export</w:t>
      </w:r>
      <w:r>
        <w:rPr>
          <w:spacing w:val="-5"/>
        </w:rPr>
        <w:t xml:space="preserve"> </w:t>
      </w:r>
      <w:r>
        <w:t>price</w:t>
      </w:r>
      <w:r>
        <w:rPr>
          <w:spacing w:val="-3"/>
        </w:rPr>
        <w:t xml:space="preserve"> </w:t>
      </w:r>
      <w:r>
        <w:t>for</w:t>
      </w:r>
      <w:r>
        <w:rPr>
          <w:spacing w:val="-4"/>
        </w:rPr>
        <w:t xml:space="preserve"> </w:t>
      </w:r>
      <w:r>
        <w:t>all</w:t>
      </w:r>
      <w:r>
        <w:rPr>
          <w:spacing w:val="-4"/>
        </w:rPr>
        <w:t xml:space="preserve"> </w:t>
      </w:r>
      <w:r>
        <w:t>sampled</w:t>
      </w:r>
      <w:r>
        <w:rPr>
          <w:spacing w:val="-4"/>
        </w:rPr>
        <w:t xml:space="preserve"> </w:t>
      </w:r>
      <w:r>
        <w:t>companies</w:t>
      </w:r>
      <w:r>
        <w:rPr>
          <w:spacing w:val="-4"/>
        </w:rPr>
        <w:t xml:space="preserve"> </w:t>
      </w:r>
      <w:r>
        <w:t>for</w:t>
      </w:r>
      <w:r>
        <w:rPr>
          <w:spacing w:val="-3"/>
        </w:rPr>
        <w:t xml:space="preserve"> </w:t>
      </w:r>
      <w:r>
        <w:t>the</w:t>
      </w:r>
      <w:r>
        <w:rPr>
          <w:spacing w:val="-4"/>
        </w:rPr>
        <w:t xml:space="preserve"> </w:t>
      </w:r>
      <w:r>
        <w:t>purposes</w:t>
      </w:r>
      <w:r>
        <w:rPr>
          <w:spacing w:val="-3"/>
        </w:rPr>
        <w:t xml:space="preserve"> </w:t>
      </w:r>
      <w:r>
        <w:t>of undertaking a fair comparison pursuant to Article 2.4. However, MOFCOM's explanation of which adjustments it proposed to accept and w</w:t>
      </w:r>
      <w:r>
        <w:t>hich it would reject was inadequate. To the extent that MOFCOM accepted proposed adjustments, it failed to provide any non‐confidential assessment of the quantum of the adjustments (e.g. an indicative range).</w:t>
      </w:r>
    </w:p>
    <w:p w14:paraId="51DE9AFE" w14:textId="77777777" w:rsidR="0010369C" w:rsidRDefault="008E43AE">
      <w:pPr>
        <w:spacing w:before="160"/>
        <w:ind w:left="1089"/>
        <w:jc w:val="both"/>
        <w:rPr>
          <w:i/>
          <w:sz w:val="24"/>
        </w:rPr>
      </w:pPr>
      <w:r>
        <w:rPr>
          <w:noProof/>
        </w:rPr>
        <w:drawing>
          <wp:anchor distT="0" distB="0" distL="0" distR="0" simplePos="0" relativeHeight="250697216" behindDoc="0" locked="0" layoutInCell="1" allowOverlap="1" wp14:anchorId="51DEA8E3" wp14:editId="51DEA8E4">
            <wp:simplePos x="0" y="0"/>
            <wp:positionH relativeFrom="page">
              <wp:posOffset>908303</wp:posOffset>
            </wp:positionH>
            <wp:positionV relativeFrom="paragraph">
              <wp:posOffset>149175</wp:posOffset>
            </wp:positionV>
            <wp:extent cx="332231" cy="103631"/>
            <wp:effectExtent l="0" t="0" r="0" b="0"/>
            <wp:wrapNone/>
            <wp:docPr id="2033" name="image10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 name="image1044.png"/>
                    <pic:cNvPicPr/>
                  </pic:nvPicPr>
                  <pic:blipFill>
                    <a:blip r:embed="rId1337" cstate="print"/>
                    <a:stretch>
                      <a:fillRect/>
                    </a:stretch>
                  </pic:blipFill>
                  <pic:spPr>
                    <a:xfrm>
                      <a:off x="0" y="0"/>
                      <a:ext cx="332231" cy="103631"/>
                    </a:xfrm>
                    <a:prstGeom prst="rect">
                      <a:avLst/>
                    </a:prstGeom>
                  </pic:spPr>
                </pic:pic>
              </a:graphicData>
            </a:graphic>
          </wp:anchor>
        </w:drawing>
      </w:r>
      <w:r>
        <w:rPr>
          <w:sz w:val="24"/>
        </w:rPr>
        <w:t>In</w:t>
      </w:r>
      <w:r>
        <w:rPr>
          <w:spacing w:val="3"/>
          <w:sz w:val="24"/>
        </w:rPr>
        <w:t xml:space="preserve"> </w:t>
      </w:r>
      <w:r>
        <w:rPr>
          <w:sz w:val="24"/>
        </w:rPr>
        <w:t>the</w:t>
      </w:r>
      <w:r>
        <w:rPr>
          <w:spacing w:val="5"/>
          <w:sz w:val="24"/>
        </w:rPr>
        <w:t xml:space="preserve"> </w:t>
      </w:r>
      <w:r>
        <w:rPr>
          <w:sz w:val="24"/>
        </w:rPr>
        <w:t>context</w:t>
      </w:r>
      <w:r>
        <w:rPr>
          <w:spacing w:val="4"/>
          <w:sz w:val="24"/>
        </w:rPr>
        <w:t xml:space="preserve"> </w:t>
      </w:r>
      <w:r>
        <w:rPr>
          <w:sz w:val="24"/>
        </w:rPr>
        <w:t>of</w:t>
      </w:r>
      <w:r>
        <w:rPr>
          <w:spacing w:val="3"/>
          <w:sz w:val="24"/>
        </w:rPr>
        <w:t xml:space="preserve"> </w:t>
      </w:r>
      <w:r>
        <w:rPr>
          <w:sz w:val="24"/>
        </w:rPr>
        <w:t>undertaking</w:t>
      </w:r>
      <w:r>
        <w:rPr>
          <w:spacing w:val="5"/>
          <w:sz w:val="24"/>
        </w:rPr>
        <w:t xml:space="preserve"> </w:t>
      </w:r>
      <w:r>
        <w:rPr>
          <w:sz w:val="24"/>
        </w:rPr>
        <w:t>fair</w:t>
      </w:r>
      <w:r>
        <w:rPr>
          <w:spacing w:val="5"/>
          <w:sz w:val="24"/>
        </w:rPr>
        <w:t xml:space="preserve"> </w:t>
      </w:r>
      <w:r>
        <w:rPr>
          <w:sz w:val="24"/>
        </w:rPr>
        <w:t>comparison,</w:t>
      </w:r>
      <w:r>
        <w:rPr>
          <w:spacing w:val="3"/>
          <w:sz w:val="24"/>
        </w:rPr>
        <w:t xml:space="preserve"> </w:t>
      </w:r>
      <w:r>
        <w:rPr>
          <w:sz w:val="24"/>
        </w:rPr>
        <w:t>the</w:t>
      </w:r>
      <w:r>
        <w:rPr>
          <w:spacing w:val="5"/>
          <w:sz w:val="24"/>
        </w:rPr>
        <w:t xml:space="preserve"> </w:t>
      </w:r>
      <w:r>
        <w:rPr>
          <w:sz w:val="24"/>
        </w:rPr>
        <w:t>Panel</w:t>
      </w:r>
      <w:r>
        <w:rPr>
          <w:spacing w:val="4"/>
          <w:sz w:val="24"/>
        </w:rPr>
        <w:t xml:space="preserve"> </w:t>
      </w:r>
      <w:r>
        <w:rPr>
          <w:sz w:val="24"/>
        </w:rPr>
        <w:t>in</w:t>
      </w:r>
      <w:r>
        <w:rPr>
          <w:spacing w:val="3"/>
          <w:sz w:val="24"/>
        </w:rPr>
        <w:t xml:space="preserve"> </w:t>
      </w:r>
      <w:r>
        <w:rPr>
          <w:i/>
          <w:sz w:val="24"/>
        </w:rPr>
        <w:t>China</w:t>
      </w:r>
      <w:r>
        <w:rPr>
          <w:i/>
          <w:spacing w:val="5"/>
          <w:sz w:val="24"/>
        </w:rPr>
        <w:t xml:space="preserve"> </w:t>
      </w:r>
      <w:r>
        <w:rPr>
          <w:i/>
          <w:sz w:val="24"/>
        </w:rPr>
        <w:t>–</w:t>
      </w:r>
      <w:r>
        <w:rPr>
          <w:i/>
          <w:spacing w:val="4"/>
          <w:sz w:val="24"/>
        </w:rPr>
        <w:t xml:space="preserve"> </w:t>
      </w:r>
      <w:r>
        <w:rPr>
          <w:i/>
          <w:sz w:val="24"/>
        </w:rPr>
        <w:t>Broiler</w:t>
      </w:r>
      <w:r>
        <w:rPr>
          <w:i/>
          <w:spacing w:val="4"/>
          <w:sz w:val="24"/>
        </w:rPr>
        <w:t xml:space="preserve"> </w:t>
      </w:r>
      <w:r>
        <w:rPr>
          <w:i/>
          <w:spacing w:val="-2"/>
          <w:sz w:val="24"/>
        </w:rPr>
        <w:t>Products</w:t>
      </w:r>
    </w:p>
    <w:p w14:paraId="51DE9AFF" w14:textId="77777777" w:rsidR="0010369C" w:rsidRDefault="008E43AE">
      <w:pPr>
        <w:pStyle w:val="BodyText"/>
        <w:spacing w:before="148"/>
        <w:ind w:left="237"/>
      </w:pPr>
      <w:r>
        <w:t>found</w:t>
      </w:r>
      <w:r>
        <w:rPr>
          <w:spacing w:val="-7"/>
        </w:rPr>
        <w:t xml:space="preserve"> </w:t>
      </w:r>
      <w:r>
        <w:t>that</w:t>
      </w:r>
      <w:r>
        <w:rPr>
          <w:spacing w:val="-7"/>
        </w:rPr>
        <w:t xml:space="preserve"> </w:t>
      </w:r>
      <w:r>
        <w:t>"essential</w:t>
      </w:r>
      <w:r>
        <w:rPr>
          <w:spacing w:val="-8"/>
        </w:rPr>
        <w:t xml:space="preserve"> </w:t>
      </w:r>
      <w:r>
        <w:t>facts"</w:t>
      </w:r>
      <w:r>
        <w:rPr>
          <w:spacing w:val="-7"/>
        </w:rPr>
        <w:t xml:space="preserve"> </w:t>
      </w:r>
      <w:r>
        <w:t>under</w:t>
      </w:r>
      <w:r>
        <w:rPr>
          <w:spacing w:val="-7"/>
        </w:rPr>
        <w:t xml:space="preserve"> </w:t>
      </w:r>
      <w:r>
        <w:t>Article</w:t>
      </w:r>
      <w:r>
        <w:rPr>
          <w:spacing w:val="-7"/>
        </w:rPr>
        <w:t xml:space="preserve"> </w:t>
      </w:r>
      <w:r>
        <w:t>6.9</w:t>
      </w:r>
      <w:r>
        <w:rPr>
          <w:spacing w:val="-8"/>
        </w:rPr>
        <w:t xml:space="preserve"> </w:t>
      </w:r>
      <w:r>
        <w:rPr>
          <w:spacing w:val="-2"/>
        </w:rPr>
        <w:t>included:</w:t>
      </w:r>
    </w:p>
    <w:p w14:paraId="51DE9B00" w14:textId="77777777" w:rsidR="0010369C" w:rsidRDefault="0010369C">
      <w:pPr>
        <w:pStyle w:val="BodyText"/>
        <w:spacing w:before="1"/>
        <w:rPr>
          <w:sz w:val="25"/>
        </w:rPr>
      </w:pPr>
    </w:p>
    <w:p w14:paraId="51DE9B01" w14:textId="77777777" w:rsidR="0010369C" w:rsidRDefault="008E43AE">
      <w:pPr>
        <w:spacing w:line="276" w:lineRule="auto"/>
        <w:ind w:left="1088" w:right="613"/>
        <w:jc w:val="both"/>
      </w:pPr>
      <w:r>
        <w:t>The</w:t>
      </w:r>
      <w:r>
        <w:rPr>
          <w:spacing w:val="-4"/>
        </w:rPr>
        <w:t xml:space="preserve"> </w:t>
      </w:r>
      <w:r>
        <w:t>comparison</w:t>
      </w:r>
      <w:r>
        <w:rPr>
          <w:spacing w:val="-6"/>
        </w:rPr>
        <w:t xml:space="preserve"> </w:t>
      </w:r>
      <w:r>
        <w:t>of</w:t>
      </w:r>
      <w:r>
        <w:rPr>
          <w:spacing w:val="-5"/>
        </w:rPr>
        <w:t xml:space="preserve"> </w:t>
      </w:r>
      <w:r>
        <w:t>home</w:t>
      </w:r>
      <w:r>
        <w:rPr>
          <w:spacing w:val="-4"/>
        </w:rPr>
        <w:t xml:space="preserve"> </w:t>
      </w:r>
      <w:r>
        <w:t>market</w:t>
      </w:r>
      <w:r>
        <w:rPr>
          <w:spacing w:val="-5"/>
        </w:rPr>
        <w:t xml:space="preserve"> </w:t>
      </w:r>
      <w:r>
        <w:t>and</w:t>
      </w:r>
      <w:r>
        <w:rPr>
          <w:spacing w:val="-4"/>
        </w:rPr>
        <w:t xml:space="preserve"> </w:t>
      </w:r>
      <w:r>
        <w:t>export</w:t>
      </w:r>
      <w:r>
        <w:rPr>
          <w:spacing w:val="-6"/>
        </w:rPr>
        <w:t xml:space="preserve"> </w:t>
      </w:r>
      <w:r>
        <w:t>sales</w:t>
      </w:r>
      <w:r>
        <w:rPr>
          <w:spacing w:val="-4"/>
        </w:rPr>
        <w:t xml:space="preserve"> </w:t>
      </w:r>
      <w:r>
        <w:t>that</w:t>
      </w:r>
      <w:r>
        <w:rPr>
          <w:spacing w:val="-6"/>
        </w:rPr>
        <w:t xml:space="preserve"> </w:t>
      </w:r>
      <w:r>
        <w:t>led</w:t>
      </w:r>
      <w:r>
        <w:rPr>
          <w:spacing w:val="-3"/>
        </w:rPr>
        <w:t xml:space="preserve"> </w:t>
      </w:r>
      <w:r>
        <w:t>to</w:t>
      </w:r>
      <w:r>
        <w:rPr>
          <w:spacing w:val="-5"/>
        </w:rPr>
        <w:t xml:space="preserve"> </w:t>
      </w:r>
      <w:r>
        <w:t>the</w:t>
      </w:r>
      <w:r>
        <w:rPr>
          <w:spacing w:val="-4"/>
        </w:rPr>
        <w:t xml:space="preserve"> </w:t>
      </w:r>
      <w:r>
        <w:t>conclusion</w:t>
      </w:r>
      <w:r>
        <w:rPr>
          <w:spacing w:val="-4"/>
        </w:rPr>
        <w:t xml:space="preserve"> </w:t>
      </w:r>
      <w:r>
        <w:t>that</w:t>
      </w:r>
      <w:r>
        <w:rPr>
          <w:spacing w:val="-6"/>
        </w:rPr>
        <w:t xml:space="preserve"> </w:t>
      </w:r>
      <w:r>
        <w:t>a</w:t>
      </w:r>
      <w:r>
        <w:rPr>
          <w:spacing w:val="-4"/>
        </w:rPr>
        <w:t xml:space="preserve"> </w:t>
      </w:r>
      <w:r>
        <w:t>particular model or the product as a whole was dumped, and how that comparison was made […]. In our view, a proper disclosure of the</w:t>
      </w:r>
      <w:r>
        <w:rPr>
          <w:spacing w:val="-1"/>
        </w:rPr>
        <w:t xml:space="preserve"> </w:t>
      </w:r>
      <w:r>
        <w:t>comparison</w:t>
      </w:r>
      <w:r>
        <w:rPr>
          <w:spacing w:val="-1"/>
        </w:rPr>
        <w:t xml:space="preserve"> </w:t>
      </w:r>
      <w:r>
        <w:t>would</w:t>
      </w:r>
      <w:r>
        <w:rPr>
          <w:spacing w:val="-1"/>
        </w:rPr>
        <w:t xml:space="preserve"> </w:t>
      </w:r>
      <w:r>
        <w:t>require not</w:t>
      </w:r>
      <w:r>
        <w:rPr>
          <w:spacing w:val="-1"/>
        </w:rPr>
        <w:t xml:space="preserve"> </w:t>
      </w:r>
      <w:r>
        <w:t xml:space="preserve">only identification of the home market and export sales being used, but also the formula being used to compare </w:t>
      </w:r>
      <w:r>
        <w:rPr>
          <w:spacing w:val="-2"/>
        </w:rPr>
        <w:t>them.</w:t>
      </w:r>
      <w:r>
        <w:rPr>
          <w:spacing w:val="-2"/>
          <w:vertAlign w:val="superscript"/>
        </w:rPr>
        <w:t>1208</w:t>
      </w:r>
    </w:p>
    <w:p w14:paraId="51DE9B02" w14:textId="77777777" w:rsidR="0010369C" w:rsidRDefault="0010369C">
      <w:pPr>
        <w:pStyle w:val="BodyText"/>
        <w:spacing w:before="8"/>
        <w:rPr>
          <w:sz w:val="19"/>
        </w:rPr>
      </w:pPr>
    </w:p>
    <w:p w14:paraId="51DE9B03" w14:textId="77777777" w:rsidR="0010369C" w:rsidRDefault="008E43AE">
      <w:pPr>
        <w:pStyle w:val="BodyText"/>
        <w:spacing w:line="360" w:lineRule="auto"/>
        <w:ind w:left="237" w:right="612" w:firstLine="852"/>
        <w:jc w:val="both"/>
      </w:pPr>
      <w:r>
        <w:rPr>
          <w:noProof/>
        </w:rPr>
        <w:drawing>
          <wp:anchor distT="0" distB="0" distL="0" distR="0" simplePos="0" relativeHeight="251616768" behindDoc="1" locked="0" layoutInCell="1" allowOverlap="1" wp14:anchorId="51DEA8E5" wp14:editId="51DEA8E6">
            <wp:simplePos x="0" y="0"/>
            <wp:positionH relativeFrom="page">
              <wp:posOffset>908303</wp:posOffset>
            </wp:positionH>
            <wp:positionV relativeFrom="paragraph">
              <wp:posOffset>43765</wp:posOffset>
            </wp:positionV>
            <wp:extent cx="332231" cy="106679"/>
            <wp:effectExtent l="0" t="0" r="0" b="0"/>
            <wp:wrapNone/>
            <wp:docPr id="2035" name="image10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 name="image1045.png"/>
                    <pic:cNvPicPr/>
                  </pic:nvPicPr>
                  <pic:blipFill>
                    <a:blip r:embed="rId1338" cstate="print"/>
                    <a:stretch>
                      <a:fillRect/>
                    </a:stretch>
                  </pic:blipFill>
                  <pic:spPr>
                    <a:xfrm>
                      <a:off x="0" y="0"/>
                      <a:ext cx="332231" cy="106679"/>
                    </a:xfrm>
                    <a:prstGeom prst="rect">
                      <a:avLst/>
                    </a:prstGeom>
                  </pic:spPr>
                </pic:pic>
              </a:graphicData>
            </a:graphic>
          </wp:anchor>
        </w:drawing>
      </w:r>
      <w:r>
        <w:t>In relation to Swan Vintage and Casella Wines, MOFCOM "adjusted other respondents' weighted average prices of domestic sale of the pr</w:t>
      </w:r>
      <w:r>
        <w:t>oduct under investigation to the ex‐factory level".</w:t>
      </w:r>
      <w:r>
        <w:rPr>
          <w:vertAlign w:val="superscript"/>
        </w:rPr>
        <w:t>1209</w:t>
      </w:r>
      <w:r>
        <w:t xml:space="preserve"> The normal value may have been based on Treasury Wines' sales data,</w:t>
      </w:r>
      <w:r>
        <w:rPr>
          <w:spacing w:val="-2"/>
        </w:rPr>
        <w:t xml:space="preserve"> </w:t>
      </w:r>
      <w:r>
        <w:t>although</w:t>
      </w:r>
      <w:r>
        <w:rPr>
          <w:spacing w:val="-3"/>
        </w:rPr>
        <w:t xml:space="preserve"> </w:t>
      </w:r>
      <w:r>
        <w:t>this,</w:t>
      </w:r>
      <w:r>
        <w:rPr>
          <w:spacing w:val="-3"/>
        </w:rPr>
        <w:t xml:space="preserve"> </w:t>
      </w:r>
      <w:r>
        <w:t>too,</w:t>
      </w:r>
      <w:r>
        <w:rPr>
          <w:spacing w:val="-4"/>
        </w:rPr>
        <w:t xml:space="preserve"> </w:t>
      </w:r>
      <w:r>
        <w:t>was</w:t>
      </w:r>
      <w:r>
        <w:rPr>
          <w:spacing w:val="-3"/>
        </w:rPr>
        <w:t xml:space="preserve"> </w:t>
      </w:r>
      <w:r>
        <w:t>unclear,</w:t>
      </w:r>
      <w:r>
        <w:rPr>
          <w:spacing w:val="-3"/>
        </w:rPr>
        <w:t xml:space="preserve"> </w:t>
      </w:r>
      <w:r>
        <w:t>given</w:t>
      </w:r>
      <w:r>
        <w:rPr>
          <w:spacing w:val="-3"/>
        </w:rPr>
        <w:t xml:space="preserve"> </w:t>
      </w:r>
      <w:r>
        <w:t>the</w:t>
      </w:r>
      <w:r>
        <w:rPr>
          <w:spacing w:val="-2"/>
        </w:rPr>
        <w:t xml:space="preserve"> </w:t>
      </w:r>
      <w:r>
        <w:t>bare</w:t>
      </w:r>
      <w:r>
        <w:rPr>
          <w:spacing w:val="-2"/>
        </w:rPr>
        <w:t xml:space="preserve"> </w:t>
      </w:r>
      <w:r>
        <w:t>reference</w:t>
      </w:r>
      <w:r>
        <w:rPr>
          <w:spacing w:val="-2"/>
        </w:rPr>
        <w:t xml:space="preserve"> </w:t>
      </w:r>
      <w:r>
        <w:t>to</w:t>
      </w:r>
      <w:r>
        <w:rPr>
          <w:spacing w:val="-2"/>
        </w:rPr>
        <w:t xml:space="preserve"> </w:t>
      </w:r>
      <w:r>
        <w:t>the</w:t>
      </w:r>
      <w:r>
        <w:rPr>
          <w:spacing w:val="-2"/>
        </w:rPr>
        <w:t xml:space="preserve"> </w:t>
      </w:r>
      <w:r>
        <w:t>domestic</w:t>
      </w:r>
      <w:r>
        <w:rPr>
          <w:spacing w:val="-2"/>
        </w:rPr>
        <w:t xml:space="preserve"> </w:t>
      </w:r>
      <w:r>
        <w:t>sales</w:t>
      </w:r>
      <w:r>
        <w:rPr>
          <w:spacing w:val="-4"/>
        </w:rPr>
        <w:t xml:space="preserve"> </w:t>
      </w:r>
      <w:r>
        <w:t>prices</w:t>
      </w:r>
      <w:r>
        <w:rPr>
          <w:spacing w:val="-4"/>
        </w:rPr>
        <w:t xml:space="preserve"> </w:t>
      </w:r>
      <w:r>
        <w:t>of "other</w:t>
      </w:r>
      <w:r>
        <w:rPr>
          <w:spacing w:val="-1"/>
        </w:rPr>
        <w:t xml:space="preserve"> </w:t>
      </w:r>
      <w:r>
        <w:t>respondents".</w:t>
      </w:r>
      <w:r>
        <w:rPr>
          <w:spacing w:val="-2"/>
        </w:rPr>
        <w:t xml:space="preserve"> </w:t>
      </w:r>
      <w:r>
        <w:t>MOFCOM</w:t>
      </w:r>
      <w:r>
        <w:rPr>
          <w:spacing w:val="-1"/>
        </w:rPr>
        <w:t xml:space="preserve"> </w:t>
      </w:r>
      <w:r>
        <w:t>also failed</w:t>
      </w:r>
      <w:r>
        <w:rPr>
          <w:spacing w:val="-1"/>
        </w:rPr>
        <w:t xml:space="preserve"> </w:t>
      </w:r>
      <w:r>
        <w:t>to</w:t>
      </w:r>
      <w:r>
        <w:rPr>
          <w:spacing w:val="-1"/>
        </w:rPr>
        <w:t xml:space="preserve"> </w:t>
      </w:r>
      <w:r>
        <w:t>disclose the</w:t>
      </w:r>
      <w:r>
        <w:rPr>
          <w:spacing w:val="-1"/>
        </w:rPr>
        <w:t xml:space="preserve"> </w:t>
      </w:r>
      <w:r>
        <w:t>adjustments</w:t>
      </w:r>
      <w:r>
        <w:rPr>
          <w:spacing w:val="-1"/>
        </w:rPr>
        <w:t xml:space="preserve"> </w:t>
      </w:r>
      <w:r>
        <w:t>it</w:t>
      </w:r>
      <w:r>
        <w:rPr>
          <w:spacing w:val="-1"/>
        </w:rPr>
        <w:t xml:space="preserve"> </w:t>
      </w:r>
      <w:r>
        <w:t>accepted</w:t>
      </w:r>
      <w:r>
        <w:rPr>
          <w:spacing w:val="-2"/>
        </w:rPr>
        <w:t xml:space="preserve"> </w:t>
      </w:r>
      <w:r>
        <w:t>in</w:t>
      </w:r>
      <w:r>
        <w:rPr>
          <w:spacing w:val="-3"/>
        </w:rPr>
        <w:t xml:space="preserve"> </w:t>
      </w:r>
      <w:r>
        <w:t xml:space="preserve">relation to the export price of Casella Wines and Swan Vintage, for example, for Casella Wines, only noting it had "decided to accept adjustment items </w:t>
      </w:r>
      <w:r>
        <w:rPr>
          <w:i/>
        </w:rPr>
        <w:t xml:space="preserve">such as </w:t>
      </w:r>
      <w:r>
        <w:t>inland transport (from factory/warehouse to port of expo</w:t>
      </w:r>
      <w:r>
        <w:t xml:space="preserve">rt), credit fees and advertising expenses claimed by the </w:t>
      </w:r>
      <w:r>
        <w:rPr>
          <w:spacing w:val="-2"/>
        </w:rPr>
        <w:t>Company".</w:t>
      </w:r>
      <w:r>
        <w:rPr>
          <w:spacing w:val="-2"/>
          <w:vertAlign w:val="superscript"/>
        </w:rPr>
        <w:t>1210</w:t>
      </w:r>
    </w:p>
    <w:p w14:paraId="51DE9B04" w14:textId="77777777" w:rsidR="0010369C" w:rsidRDefault="0010369C">
      <w:pPr>
        <w:pStyle w:val="BodyText"/>
        <w:rPr>
          <w:sz w:val="26"/>
        </w:rPr>
      </w:pPr>
    </w:p>
    <w:p w14:paraId="51DE9B05" w14:textId="77777777" w:rsidR="0010369C" w:rsidRDefault="0010369C">
      <w:pPr>
        <w:pStyle w:val="BodyText"/>
        <w:rPr>
          <w:sz w:val="26"/>
        </w:rPr>
      </w:pPr>
    </w:p>
    <w:p w14:paraId="51DE9B06" w14:textId="77777777" w:rsidR="0010369C" w:rsidRDefault="0010369C">
      <w:pPr>
        <w:pStyle w:val="BodyText"/>
        <w:spacing w:before="6"/>
        <w:rPr>
          <w:sz w:val="32"/>
        </w:rPr>
      </w:pPr>
    </w:p>
    <w:p w14:paraId="51DE9B07" w14:textId="77777777" w:rsidR="0010369C" w:rsidRDefault="008E43AE">
      <w:pPr>
        <w:ind w:left="238"/>
        <w:rPr>
          <w:sz w:val="18"/>
        </w:rPr>
      </w:pPr>
      <w:r>
        <w:rPr>
          <w:sz w:val="18"/>
          <w:vertAlign w:val="superscript"/>
        </w:rPr>
        <w:t>1208</w:t>
      </w:r>
      <w:r>
        <w:rPr>
          <w:spacing w:val="-6"/>
          <w:sz w:val="18"/>
        </w:rPr>
        <w:t xml:space="preserve"> </w:t>
      </w:r>
      <w:r>
        <w:rPr>
          <w:sz w:val="18"/>
        </w:rPr>
        <w:t>Panel</w:t>
      </w:r>
      <w:r>
        <w:rPr>
          <w:spacing w:val="-7"/>
          <w:sz w:val="18"/>
        </w:rPr>
        <w:t xml:space="preserve"> </w:t>
      </w:r>
      <w:r>
        <w:rPr>
          <w:sz w:val="18"/>
        </w:rPr>
        <w:t>Report,</w:t>
      </w:r>
      <w:r>
        <w:rPr>
          <w:spacing w:val="-5"/>
          <w:sz w:val="18"/>
        </w:rPr>
        <w:t xml:space="preserve"> </w:t>
      </w:r>
      <w:r>
        <w:rPr>
          <w:i/>
          <w:sz w:val="18"/>
        </w:rPr>
        <w:t>China</w:t>
      </w:r>
      <w:r>
        <w:rPr>
          <w:i/>
          <w:spacing w:val="-6"/>
          <w:sz w:val="18"/>
        </w:rPr>
        <w:t xml:space="preserve"> </w:t>
      </w:r>
      <w:r>
        <w:rPr>
          <w:i/>
          <w:sz w:val="18"/>
        </w:rPr>
        <w:t>–</w:t>
      </w:r>
      <w:r>
        <w:rPr>
          <w:i/>
          <w:spacing w:val="-6"/>
          <w:sz w:val="18"/>
        </w:rPr>
        <w:t xml:space="preserve"> </w:t>
      </w:r>
      <w:r>
        <w:rPr>
          <w:i/>
          <w:sz w:val="18"/>
        </w:rPr>
        <w:t>Broiler</w:t>
      </w:r>
      <w:r>
        <w:rPr>
          <w:i/>
          <w:spacing w:val="-6"/>
          <w:sz w:val="18"/>
        </w:rPr>
        <w:t xml:space="preserve"> </w:t>
      </w:r>
      <w:r>
        <w:rPr>
          <w:i/>
          <w:sz w:val="18"/>
        </w:rPr>
        <w:t>Products</w:t>
      </w:r>
      <w:r>
        <w:rPr>
          <w:sz w:val="18"/>
        </w:rPr>
        <w:t>,</w:t>
      </w:r>
      <w:r>
        <w:rPr>
          <w:spacing w:val="-7"/>
          <w:sz w:val="18"/>
        </w:rPr>
        <w:t xml:space="preserve"> </w:t>
      </w:r>
      <w:r>
        <w:rPr>
          <w:sz w:val="18"/>
        </w:rPr>
        <w:t>para.</w:t>
      </w:r>
      <w:r>
        <w:rPr>
          <w:spacing w:val="-6"/>
          <w:sz w:val="18"/>
        </w:rPr>
        <w:t xml:space="preserve"> </w:t>
      </w:r>
      <w:r>
        <w:rPr>
          <w:sz w:val="18"/>
        </w:rPr>
        <w:t>7.91.</w:t>
      </w:r>
      <w:r>
        <w:rPr>
          <w:spacing w:val="-5"/>
          <w:sz w:val="18"/>
        </w:rPr>
        <w:t xml:space="preserve"> </w:t>
      </w:r>
      <w:r>
        <w:rPr>
          <w:sz w:val="18"/>
        </w:rPr>
        <w:t>(footnotes</w:t>
      </w:r>
      <w:r>
        <w:rPr>
          <w:spacing w:val="-5"/>
          <w:sz w:val="18"/>
        </w:rPr>
        <w:t xml:space="preserve"> </w:t>
      </w:r>
      <w:r>
        <w:rPr>
          <w:spacing w:val="-2"/>
          <w:sz w:val="18"/>
        </w:rPr>
        <w:t>omitted)</w:t>
      </w:r>
    </w:p>
    <w:p w14:paraId="51DE9B08" w14:textId="77777777" w:rsidR="0010369C" w:rsidRDefault="008E43AE">
      <w:pPr>
        <w:ind w:left="238"/>
        <w:rPr>
          <w:sz w:val="18"/>
        </w:rPr>
      </w:pPr>
      <w:r>
        <w:rPr>
          <w:sz w:val="18"/>
          <w:vertAlign w:val="superscript"/>
        </w:rPr>
        <w:t>1209</w:t>
      </w:r>
      <w:r>
        <w:rPr>
          <w:spacing w:val="-9"/>
          <w:sz w:val="18"/>
        </w:rPr>
        <w:t xml:space="preserve"> </w:t>
      </w:r>
      <w:r>
        <w:rPr>
          <w:sz w:val="18"/>
        </w:rPr>
        <w:t>Anti‐Dumping</w:t>
      </w:r>
      <w:r>
        <w:rPr>
          <w:spacing w:val="-8"/>
          <w:sz w:val="18"/>
        </w:rPr>
        <w:t xml:space="preserve"> </w:t>
      </w:r>
      <w:r>
        <w:rPr>
          <w:sz w:val="18"/>
        </w:rPr>
        <w:t>Additional</w:t>
      </w:r>
      <w:r>
        <w:rPr>
          <w:spacing w:val="-9"/>
          <w:sz w:val="18"/>
        </w:rPr>
        <w:t xml:space="preserve"> </w:t>
      </w:r>
      <w:r>
        <w:rPr>
          <w:sz w:val="18"/>
        </w:rPr>
        <w:t>Final</w:t>
      </w:r>
      <w:r>
        <w:rPr>
          <w:spacing w:val="-9"/>
          <w:sz w:val="18"/>
        </w:rPr>
        <w:t xml:space="preserve"> </w:t>
      </w:r>
      <w:r>
        <w:rPr>
          <w:sz w:val="18"/>
        </w:rPr>
        <w:t>Disclosure</w:t>
      </w:r>
      <w:r>
        <w:rPr>
          <w:spacing w:val="-8"/>
          <w:sz w:val="18"/>
        </w:rPr>
        <w:t xml:space="preserve"> </w:t>
      </w:r>
      <w:r>
        <w:rPr>
          <w:sz w:val="18"/>
        </w:rPr>
        <w:t>(Exhibit</w:t>
      </w:r>
      <w:r>
        <w:rPr>
          <w:spacing w:val="-9"/>
          <w:sz w:val="18"/>
        </w:rPr>
        <w:t xml:space="preserve"> </w:t>
      </w:r>
      <w:r>
        <w:rPr>
          <w:sz w:val="18"/>
        </w:rPr>
        <w:t>AUS‐101),</w:t>
      </w:r>
      <w:r>
        <w:rPr>
          <w:spacing w:val="-9"/>
          <w:sz w:val="18"/>
        </w:rPr>
        <w:t xml:space="preserve"> </w:t>
      </w:r>
      <w:r>
        <w:rPr>
          <w:sz w:val="18"/>
        </w:rPr>
        <w:t>pp.</w:t>
      </w:r>
      <w:r>
        <w:rPr>
          <w:spacing w:val="-9"/>
          <w:sz w:val="18"/>
        </w:rPr>
        <w:t xml:space="preserve"> </w:t>
      </w:r>
      <w:r>
        <w:rPr>
          <w:sz w:val="18"/>
        </w:rPr>
        <w:t>25,</w:t>
      </w:r>
      <w:r>
        <w:rPr>
          <w:spacing w:val="-9"/>
          <w:sz w:val="18"/>
        </w:rPr>
        <w:t xml:space="preserve"> </w:t>
      </w:r>
      <w:r>
        <w:rPr>
          <w:spacing w:val="-5"/>
          <w:sz w:val="18"/>
        </w:rPr>
        <w:t>31.</w:t>
      </w:r>
    </w:p>
    <w:p w14:paraId="51DE9B09" w14:textId="77777777" w:rsidR="0010369C" w:rsidRDefault="008E43AE">
      <w:pPr>
        <w:ind w:left="237" w:right="614"/>
        <w:rPr>
          <w:sz w:val="18"/>
        </w:rPr>
      </w:pPr>
      <w:r>
        <w:rPr>
          <w:sz w:val="18"/>
          <w:vertAlign w:val="superscript"/>
        </w:rPr>
        <w:t>1210</w:t>
      </w:r>
      <w:r>
        <w:rPr>
          <w:spacing w:val="-5"/>
          <w:sz w:val="18"/>
        </w:rPr>
        <w:t xml:space="preserve"> </w:t>
      </w:r>
      <w:r>
        <w:rPr>
          <w:sz w:val="18"/>
        </w:rPr>
        <w:t>Anti‐Dumping</w:t>
      </w:r>
      <w:r>
        <w:rPr>
          <w:spacing w:val="-4"/>
          <w:sz w:val="18"/>
        </w:rPr>
        <w:t xml:space="preserve"> </w:t>
      </w:r>
      <w:r>
        <w:rPr>
          <w:sz w:val="18"/>
        </w:rPr>
        <w:t>Final</w:t>
      </w:r>
      <w:r>
        <w:rPr>
          <w:spacing w:val="-5"/>
          <w:sz w:val="18"/>
        </w:rPr>
        <w:t xml:space="preserve"> </w:t>
      </w:r>
      <w:r>
        <w:rPr>
          <w:sz w:val="18"/>
        </w:rPr>
        <w:t>Disclosure</w:t>
      </w:r>
      <w:r>
        <w:rPr>
          <w:spacing w:val="-4"/>
          <w:sz w:val="18"/>
        </w:rPr>
        <w:t xml:space="preserve"> </w:t>
      </w:r>
      <w:r>
        <w:rPr>
          <w:sz w:val="18"/>
        </w:rPr>
        <w:t>(Exhibit</w:t>
      </w:r>
      <w:r>
        <w:rPr>
          <w:spacing w:val="-5"/>
          <w:sz w:val="18"/>
        </w:rPr>
        <w:t xml:space="preserve"> </w:t>
      </w:r>
      <w:r>
        <w:rPr>
          <w:sz w:val="18"/>
        </w:rPr>
        <w:t>AUS‐16),</w:t>
      </w:r>
      <w:r>
        <w:rPr>
          <w:spacing w:val="-6"/>
          <w:sz w:val="18"/>
        </w:rPr>
        <w:t xml:space="preserve"> </w:t>
      </w:r>
      <w:r>
        <w:rPr>
          <w:sz w:val="18"/>
        </w:rPr>
        <w:t>p.</w:t>
      </w:r>
      <w:r>
        <w:rPr>
          <w:spacing w:val="-4"/>
          <w:sz w:val="18"/>
        </w:rPr>
        <w:t xml:space="preserve"> </w:t>
      </w:r>
      <w:r>
        <w:rPr>
          <w:sz w:val="18"/>
        </w:rPr>
        <w:t>27.</w:t>
      </w:r>
      <w:r>
        <w:rPr>
          <w:spacing w:val="-5"/>
          <w:sz w:val="18"/>
        </w:rPr>
        <w:t xml:space="preserve"> </w:t>
      </w:r>
      <w:r>
        <w:rPr>
          <w:sz w:val="18"/>
        </w:rPr>
        <w:t>(emphasis</w:t>
      </w:r>
      <w:r>
        <w:rPr>
          <w:spacing w:val="-5"/>
          <w:sz w:val="18"/>
        </w:rPr>
        <w:t xml:space="preserve"> </w:t>
      </w:r>
      <w:r>
        <w:rPr>
          <w:sz w:val="18"/>
        </w:rPr>
        <w:t>original)</w:t>
      </w:r>
      <w:r>
        <w:rPr>
          <w:spacing w:val="-3"/>
          <w:sz w:val="18"/>
        </w:rPr>
        <w:t xml:space="preserve"> </w:t>
      </w:r>
      <w:r>
        <w:rPr>
          <w:sz w:val="18"/>
        </w:rPr>
        <w:t>For</w:t>
      </w:r>
      <w:r>
        <w:rPr>
          <w:spacing w:val="-5"/>
          <w:sz w:val="18"/>
        </w:rPr>
        <w:t xml:space="preserve"> </w:t>
      </w:r>
      <w:r>
        <w:rPr>
          <w:sz w:val="18"/>
        </w:rPr>
        <w:t>Swan</w:t>
      </w:r>
      <w:r>
        <w:rPr>
          <w:spacing w:val="-4"/>
          <w:sz w:val="18"/>
        </w:rPr>
        <w:t xml:space="preserve"> </w:t>
      </w:r>
      <w:r>
        <w:rPr>
          <w:sz w:val="18"/>
        </w:rPr>
        <w:t>Vintage,</w:t>
      </w:r>
      <w:r>
        <w:rPr>
          <w:spacing w:val="-5"/>
          <w:sz w:val="18"/>
        </w:rPr>
        <w:t xml:space="preserve"> </w:t>
      </w:r>
      <w:r>
        <w:rPr>
          <w:sz w:val="18"/>
        </w:rPr>
        <w:t>MOFCOM</w:t>
      </w:r>
      <w:r>
        <w:rPr>
          <w:spacing w:val="-5"/>
          <w:sz w:val="18"/>
        </w:rPr>
        <w:t xml:space="preserve"> </w:t>
      </w:r>
      <w:r>
        <w:rPr>
          <w:sz w:val="18"/>
        </w:rPr>
        <w:t>similarly</w:t>
      </w:r>
      <w:r>
        <w:rPr>
          <w:spacing w:val="-5"/>
          <w:sz w:val="18"/>
        </w:rPr>
        <w:t xml:space="preserve"> </w:t>
      </w:r>
      <w:r>
        <w:rPr>
          <w:sz w:val="18"/>
        </w:rPr>
        <w:t>provided a non‐exhaustive list: see Anti‐Dumping Additional Final Disclosure (Exhibit AUS‐101), p. 33.</w:t>
      </w:r>
    </w:p>
    <w:p w14:paraId="51DE9B0A" w14:textId="77777777" w:rsidR="0010369C" w:rsidRDefault="0010369C">
      <w:pPr>
        <w:rPr>
          <w:sz w:val="18"/>
        </w:rPr>
        <w:sectPr w:rsidR="0010369C">
          <w:headerReference w:type="default" r:id="rId1339"/>
          <w:footerReference w:type="default" r:id="rId1340"/>
          <w:pgSz w:w="11910" w:h="16840"/>
          <w:pgMar w:top="880" w:right="800" w:bottom="1340" w:left="1180" w:header="569" w:footer="1143" w:gutter="0"/>
          <w:cols w:space="720"/>
        </w:sectPr>
      </w:pPr>
    </w:p>
    <w:p w14:paraId="51DE9B0B" w14:textId="77777777" w:rsidR="0010369C" w:rsidRDefault="0010369C">
      <w:pPr>
        <w:pStyle w:val="BodyText"/>
        <w:spacing w:before="2"/>
        <w:rPr>
          <w:sz w:val="15"/>
        </w:rPr>
      </w:pPr>
    </w:p>
    <w:p w14:paraId="51DE9B0C" w14:textId="77777777" w:rsidR="0010369C" w:rsidRDefault="008E43AE">
      <w:pPr>
        <w:tabs>
          <w:tab w:val="left" w:pos="8228"/>
        </w:tabs>
        <w:spacing w:before="60"/>
        <w:ind w:left="239"/>
        <w:rPr>
          <w:sz w:val="20"/>
        </w:rPr>
      </w:pPr>
      <w:r>
        <w:rPr>
          <w:i/>
          <w:sz w:val="20"/>
        </w:rPr>
        <w:t>on</w:t>
      </w:r>
      <w:r>
        <w:rPr>
          <w:i/>
          <w:spacing w:val="-1"/>
          <w:sz w:val="20"/>
        </w:rPr>
        <w:t xml:space="preserve"> </w:t>
      </w:r>
      <w:r>
        <w:rPr>
          <w:i/>
          <w:sz w:val="20"/>
        </w:rPr>
        <w:t>Wine</w:t>
      </w:r>
      <w:r>
        <w:rPr>
          <w:i/>
          <w:spacing w:val="-1"/>
          <w:sz w:val="20"/>
        </w:rPr>
        <w:t xml:space="preserve"> </w:t>
      </w:r>
      <w:r>
        <w:rPr>
          <w:i/>
          <w:sz w:val="20"/>
        </w:rPr>
        <w:t>from</w:t>
      </w:r>
      <w:r>
        <w:rPr>
          <w:i/>
          <w:spacing w:val="-3"/>
          <w:sz w:val="20"/>
        </w:rPr>
        <w:t xml:space="preserve"> </w:t>
      </w:r>
      <w:r>
        <w:rPr>
          <w:i/>
          <w:sz w:val="20"/>
        </w:rPr>
        <w:t>Australia</w:t>
      </w:r>
      <w:r>
        <w:rPr>
          <w:i/>
          <w:spacing w:val="-1"/>
          <w:sz w:val="20"/>
        </w:rPr>
        <w:t xml:space="preserve"> </w:t>
      </w:r>
      <w:r>
        <w:rPr>
          <w:spacing w:val="-2"/>
          <w:sz w:val="20"/>
        </w:rPr>
        <w:t>(DS602)</w:t>
      </w:r>
      <w:r>
        <w:rPr>
          <w:sz w:val="20"/>
        </w:rPr>
        <w:tab/>
        <w:t>29</w:t>
      </w:r>
      <w:r>
        <w:rPr>
          <w:spacing w:val="-1"/>
          <w:sz w:val="20"/>
        </w:rPr>
        <w:t xml:space="preserve"> </w:t>
      </w:r>
      <w:r>
        <w:rPr>
          <w:sz w:val="20"/>
        </w:rPr>
        <w:t>April</w:t>
      </w:r>
      <w:r>
        <w:rPr>
          <w:spacing w:val="-2"/>
          <w:sz w:val="20"/>
        </w:rPr>
        <w:t xml:space="preserve"> </w:t>
      </w:r>
      <w:r>
        <w:rPr>
          <w:spacing w:val="-4"/>
          <w:sz w:val="20"/>
        </w:rPr>
        <w:t>2022</w:t>
      </w:r>
    </w:p>
    <w:p w14:paraId="51DE9B0D" w14:textId="77777777" w:rsidR="0010369C" w:rsidRDefault="008E43AE">
      <w:pPr>
        <w:pStyle w:val="BodyText"/>
        <w:spacing w:before="34" w:line="360" w:lineRule="auto"/>
        <w:ind w:left="237" w:right="614" w:firstLine="851"/>
        <w:jc w:val="both"/>
      </w:pPr>
      <w:r>
        <w:rPr>
          <w:noProof/>
        </w:rPr>
        <w:drawing>
          <wp:anchor distT="0" distB="0" distL="0" distR="0" simplePos="0" relativeHeight="251617792" behindDoc="1" locked="0" layoutInCell="1" allowOverlap="1" wp14:anchorId="51DEA8E7" wp14:editId="51DEA8E8">
            <wp:simplePos x="0" y="0"/>
            <wp:positionH relativeFrom="page">
              <wp:posOffset>908303</wp:posOffset>
            </wp:positionH>
            <wp:positionV relativeFrom="paragraph">
              <wp:posOffset>69165</wp:posOffset>
            </wp:positionV>
            <wp:extent cx="332231" cy="103631"/>
            <wp:effectExtent l="0" t="0" r="0" b="0"/>
            <wp:wrapNone/>
            <wp:docPr id="2037" name="image10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 name="image1046.png"/>
                    <pic:cNvPicPr/>
                  </pic:nvPicPr>
                  <pic:blipFill>
                    <a:blip r:embed="rId1341" cstate="print"/>
                    <a:stretch>
                      <a:fillRect/>
                    </a:stretch>
                  </pic:blipFill>
                  <pic:spPr>
                    <a:xfrm>
                      <a:off x="0" y="0"/>
                      <a:ext cx="332231" cy="103631"/>
                    </a:xfrm>
                    <a:prstGeom prst="rect">
                      <a:avLst/>
                    </a:prstGeom>
                  </pic:spPr>
                </pic:pic>
              </a:graphicData>
            </a:graphic>
          </wp:anchor>
        </w:drawing>
      </w:r>
      <w:r>
        <w:t>A similar failure to provide essential</w:t>
      </w:r>
      <w:r>
        <w:rPr>
          <w:spacing w:val="-2"/>
        </w:rPr>
        <w:t xml:space="preserve"> </w:t>
      </w:r>
      <w:r>
        <w:t>facts arose in the context</w:t>
      </w:r>
      <w:r>
        <w:rPr>
          <w:spacing w:val="-1"/>
        </w:rPr>
        <w:t xml:space="preserve"> </w:t>
      </w:r>
      <w:r>
        <w:t>of fair</w:t>
      </w:r>
      <w:r>
        <w:rPr>
          <w:spacing w:val="-1"/>
        </w:rPr>
        <w:t xml:space="preserve"> </w:t>
      </w:r>
      <w:r>
        <w:t>comparison</w:t>
      </w:r>
      <w:r>
        <w:rPr>
          <w:spacing w:val="-1"/>
        </w:rPr>
        <w:t xml:space="preserve"> </w:t>
      </w:r>
      <w:r>
        <w:t>for the "All Others" category of Australian companies. MOFCOM calculated an "All Others" dumping margin that was "determined… on the basis of the known facts and available best information".</w:t>
      </w:r>
      <w:r>
        <w:rPr>
          <w:vertAlign w:val="superscript"/>
        </w:rPr>
        <w:t>1211</w:t>
      </w:r>
      <w:r>
        <w:rPr>
          <w:spacing w:val="-14"/>
        </w:rPr>
        <w:t xml:space="preserve"> </w:t>
      </w:r>
      <w:r>
        <w:t xml:space="preserve">However, MOFCOM provided no further information on the basis </w:t>
      </w:r>
      <w:r>
        <w:t>on which a fair comparison was conducted for this "All Others" margin.</w:t>
      </w:r>
    </w:p>
    <w:p w14:paraId="51DE9B0E" w14:textId="77777777" w:rsidR="0010369C" w:rsidRDefault="0010369C">
      <w:pPr>
        <w:pStyle w:val="BodyText"/>
        <w:spacing w:before="11"/>
        <w:rPr>
          <w:sz w:val="8"/>
        </w:rPr>
      </w:pPr>
    </w:p>
    <w:p w14:paraId="51DE9B0F" w14:textId="77777777" w:rsidR="0010369C" w:rsidRDefault="008E43AE">
      <w:pPr>
        <w:pStyle w:val="BodyText"/>
        <w:spacing w:before="51" w:line="360" w:lineRule="auto"/>
        <w:ind w:left="236" w:right="613" w:firstLine="852"/>
        <w:jc w:val="both"/>
      </w:pPr>
      <w:r>
        <w:rPr>
          <w:noProof/>
        </w:rPr>
        <w:drawing>
          <wp:anchor distT="0" distB="0" distL="0" distR="0" simplePos="0" relativeHeight="251618816" behindDoc="1" locked="0" layoutInCell="1" allowOverlap="1" wp14:anchorId="51DEA8E9" wp14:editId="51DEA8EA">
            <wp:simplePos x="0" y="0"/>
            <wp:positionH relativeFrom="page">
              <wp:posOffset>908303</wp:posOffset>
            </wp:positionH>
            <wp:positionV relativeFrom="paragraph">
              <wp:posOffset>79960</wp:posOffset>
            </wp:positionV>
            <wp:extent cx="332231" cy="103631"/>
            <wp:effectExtent l="0" t="0" r="0" b="0"/>
            <wp:wrapNone/>
            <wp:docPr id="2039" name="image10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 name="image1047.png"/>
                    <pic:cNvPicPr/>
                  </pic:nvPicPr>
                  <pic:blipFill>
                    <a:blip r:embed="rId1342" cstate="print"/>
                    <a:stretch>
                      <a:fillRect/>
                    </a:stretch>
                  </pic:blipFill>
                  <pic:spPr>
                    <a:xfrm>
                      <a:off x="0" y="0"/>
                      <a:ext cx="332231" cy="103631"/>
                    </a:xfrm>
                    <a:prstGeom prst="rect">
                      <a:avLst/>
                    </a:prstGeom>
                  </pic:spPr>
                </pic:pic>
              </a:graphicData>
            </a:graphic>
          </wp:anchor>
        </w:drawing>
      </w:r>
      <w:r>
        <w:t>Australia</w:t>
      </w:r>
      <w:r>
        <w:rPr>
          <w:spacing w:val="-1"/>
        </w:rPr>
        <w:t xml:space="preserve"> </w:t>
      </w:r>
      <w:r>
        <w:t>submits</w:t>
      </w:r>
      <w:r>
        <w:rPr>
          <w:spacing w:val="-1"/>
        </w:rPr>
        <w:t xml:space="preserve"> </w:t>
      </w:r>
      <w:r>
        <w:t>that there is</w:t>
      </w:r>
      <w:r>
        <w:rPr>
          <w:spacing w:val="-1"/>
        </w:rPr>
        <w:t xml:space="preserve"> </w:t>
      </w:r>
      <w:r>
        <w:t>no basis for suggesting</w:t>
      </w:r>
      <w:r>
        <w:rPr>
          <w:spacing w:val="-1"/>
        </w:rPr>
        <w:t xml:space="preserve"> </w:t>
      </w:r>
      <w:r>
        <w:t>the information on the nature of the adjustments that were applied was confidential, and, if confidential, that a non‐confidential summary could not have been provided. It is clear that the information was in fact used by MOFCOM as it influenced which adju</w:t>
      </w:r>
      <w:r>
        <w:t>stments were accepted or rejected for the purposes of making due allowance to ensure price comparability. This information was therefore highly relevant for the interested parties as it directly related to their ability to challenge or otherwise critique M</w:t>
      </w:r>
      <w:r>
        <w:t>OFCOM's chosen methodology for calculating the dumping margin prior to the imposition of definitive duties. MOFCOM's failure to provide all non‐confidential information in relation to adjustments and methodology has therefore deprived the interested partie</w:t>
      </w:r>
      <w:r>
        <w:t>s of the opportunity to defend their interests.</w:t>
      </w:r>
    </w:p>
    <w:p w14:paraId="51DE9B10" w14:textId="77777777" w:rsidR="0010369C" w:rsidRDefault="0010369C">
      <w:pPr>
        <w:pStyle w:val="BodyText"/>
        <w:spacing w:before="10"/>
        <w:rPr>
          <w:sz w:val="8"/>
        </w:rPr>
      </w:pPr>
    </w:p>
    <w:p w14:paraId="51DE9B11" w14:textId="77777777" w:rsidR="0010369C" w:rsidRDefault="008E43AE">
      <w:pPr>
        <w:pStyle w:val="BodyText"/>
        <w:spacing w:before="53" w:line="360" w:lineRule="auto"/>
        <w:ind w:left="237" w:right="614" w:firstLine="13"/>
        <w:jc w:val="both"/>
      </w:pPr>
      <w:r>
        <w:rPr>
          <w:noProof/>
        </w:rPr>
        <w:drawing>
          <wp:inline distT="0" distB="0" distL="0" distR="0" wp14:anchorId="51DEA8EB" wp14:editId="51DEA8EC">
            <wp:extent cx="332231" cy="109727"/>
            <wp:effectExtent l="0" t="0" r="0" b="0"/>
            <wp:docPr id="2041" name="image10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 name="image1048.png"/>
                    <pic:cNvPicPr/>
                  </pic:nvPicPr>
                  <pic:blipFill>
                    <a:blip r:embed="rId1343" cstate="print"/>
                    <a:stretch>
                      <a:fillRect/>
                    </a:stretch>
                  </pic:blipFill>
                  <pic:spPr>
                    <a:xfrm>
                      <a:off x="0" y="0"/>
                      <a:ext cx="332231" cy="109727"/>
                    </a:xfrm>
                    <a:prstGeom prst="rect">
                      <a:avLst/>
                    </a:prstGeom>
                  </pic:spPr>
                </pic:pic>
              </a:graphicData>
            </a:graphic>
          </wp:inline>
        </w:drawing>
      </w:r>
      <w:r>
        <w:rPr>
          <w:rFonts w:ascii="Times New Roman"/>
          <w:spacing w:val="40"/>
          <w:position w:val="1"/>
          <w:sz w:val="20"/>
        </w:rPr>
        <w:t xml:space="preserve">  </w:t>
      </w:r>
      <w:r>
        <w:rPr>
          <w:position w:val="1"/>
        </w:rPr>
        <w:t xml:space="preserve">A disclosure of essential facts would have demanded the release of, </w:t>
      </w:r>
      <w:r>
        <w:rPr>
          <w:i/>
          <w:position w:val="1"/>
        </w:rPr>
        <w:t>inter alia</w:t>
      </w:r>
      <w:r>
        <w:rPr>
          <w:position w:val="1"/>
        </w:rPr>
        <w:t xml:space="preserve">, the </w:t>
      </w:r>
      <w:r>
        <w:t>sales data that was being used to calculate normal value, the quantum of adjustments that were being accepted or rejecte</w:t>
      </w:r>
      <w:r>
        <w:t>d, and MOFCOM's methodology in reconciling price adjustments</w:t>
      </w:r>
      <w:r>
        <w:rPr>
          <w:spacing w:val="-4"/>
        </w:rPr>
        <w:t xml:space="preserve"> </w:t>
      </w:r>
      <w:r>
        <w:t>proposed</w:t>
      </w:r>
      <w:r>
        <w:rPr>
          <w:spacing w:val="-4"/>
        </w:rPr>
        <w:t xml:space="preserve"> </w:t>
      </w:r>
      <w:r>
        <w:t>by</w:t>
      </w:r>
      <w:r>
        <w:rPr>
          <w:spacing w:val="-3"/>
        </w:rPr>
        <w:t xml:space="preserve"> </w:t>
      </w:r>
      <w:r>
        <w:t>one</w:t>
      </w:r>
      <w:r>
        <w:rPr>
          <w:spacing w:val="-3"/>
        </w:rPr>
        <w:t xml:space="preserve"> </w:t>
      </w:r>
      <w:r>
        <w:t>firm</w:t>
      </w:r>
      <w:r>
        <w:rPr>
          <w:spacing w:val="-3"/>
        </w:rPr>
        <w:t xml:space="preserve"> </w:t>
      </w:r>
      <w:r>
        <w:t>with</w:t>
      </w:r>
      <w:r>
        <w:rPr>
          <w:spacing w:val="-4"/>
        </w:rPr>
        <w:t xml:space="preserve"> </w:t>
      </w:r>
      <w:r>
        <w:t>sales</w:t>
      </w:r>
      <w:r>
        <w:rPr>
          <w:spacing w:val="-4"/>
        </w:rPr>
        <w:t xml:space="preserve"> </w:t>
      </w:r>
      <w:r>
        <w:t>price</w:t>
      </w:r>
      <w:r>
        <w:rPr>
          <w:spacing w:val="-3"/>
        </w:rPr>
        <w:t xml:space="preserve"> </w:t>
      </w:r>
      <w:r>
        <w:t>data</w:t>
      </w:r>
      <w:r>
        <w:rPr>
          <w:spacing w:val="-3"/>
        </w:rPr>
        <w:t xml:space="preserve"> </w:t>
      </w:r>
      <w:r>
        <w:t>from</w:t>
      </w:r>
      <w:r>
        <w:rPr>
          <w:spacing w:val="-5"/>
        </w:rPr>
        <w:t xml:space="preserve"> </w:t>
      </w:r>
      <w:r>
        <w:t>other</w:t>
      </w:r>
      <w:r>
        <w:rPr>
          <w:spacing w:val="-3"/>
        </w:rPr>
        <w:t xml:space="preserve"> </w:t>
      </w:r>
      <w:r>
        <w:t>respondents.</w:t>
      </w:r>
      <w:r>
        <w:rPr>
          <w:spacing w:val="-4"/>
        </w:rPr>
        <w:t xml:space="preserve"> </w:t>
      </w:r>
      <w:r>
        <w:t>None</w:t>
      </w:r>
      <w:r>
        <w:rPr>
          <w:spacing w:val="-3"/>
        </w:rPr>
        <w:t xml:space="preserve"> </w:t>
      </w:r>
      <w:r>
        <w:t>of</w:t>
      </w:r>
      <w:r>
        <w:rPr>
          <w:spacing w:val="-4"/>
        </w:rPr>
        <w:t xml:space="preserve"> </w:t>
      </w:r>
      <w:r>
        <w:t>the above was provided, which amounted to a breach of Article 6.9. As a consequence, the interested parties were unable to understand MOFCOM's approach to adjustments to fully defend their interests.</w:t>
      </w:r>
    </w:p>
    <w:p w14:paraId="51DE9B12" w14:textId="77777777" w:rsidR="0010369C" w:rsidRDefault="008E43AE">
      <w:pPr>
        <w:pStyle w:val="ListParagraph"/>
        <w:numPr>
          <w:ilvl w:val="0"/>
          <w:numId w:val="17"/>
        </w:numPr>
        <w:tabs>
          <w:tab w:val="left" w:pos="3641"/>
          <w:tab w:val="left" w:pos="3642"/>
        </w:tabs>
        <w:spacing w:before="159" w:line="362" w:lineRule="auto"/>
        <w:ind w:right="616" w:hanging="854"/>
        <w:jc w:val="both"/>
        <w:rPr>
          <w:sz w:val="24"/>
        </w:rPr>
      </w:pPr>
      <w:r>
        <w:rPr>
          <w:sz w:val="24"/>
          <w:u w:val="single"/>
        </w:rPr>
        <w:t>Details of the methodologies and calculations of the</w:t>
      </w:r>
      <w:r>
        <w:rPr>
          <w:sz w:val="24"/>
        </w:rPr>
        <w:t xml:space="preserve"> </w:t>
      </w:r>
      <w:r>
        <w:rPr>
          <w:sz w:val="24"/>
          <w:u w:val="single"/>
        </w:rPr>
        <w:t>dum</w:t>
      </w:r>
      <w:r>
        <w:rPr>
          <w:sz w:val="24"/>
          <w:u w:val="single"/>
        </w:rPr>
        <w:t>ping margins</w:t>
      </w:r>
    </w:p>
    <w:p w14:paraId="51DE9B13" w14:textId="77777777" w:rsidR="0010369C" w:rsidRDefault="0010369C">
      <w:pPr>
        <w:pStyle w:val="BodyText"/>
        <w:spacing w:before="5"/>
        <w:rPr>
          <w:sz w:val="8"/>
        </w:rPr>
      </w:pPr>
    </w:p>
    <w:p w14:paraId="51DE9B14" w14:textId="77777777" w:rsidR="0010369C" w:rsidRDefault="008E43AE">
      <w:pPr>
        <w:pStyle w:val="BodyText"/>
        <w:spacing w:before="52" w:line="360" w:lineRule="auto"/>
        <w:ind w:left="238" w:right="614" w:firstLine="851"/>
        <w:jc w:val="both"/>
      </w:pPr>
      <w:r>
        <w:rPr>
          <w:noProof/>
        </w:rPr>
        <w:drawing>
          <wp:anchor distT="0" distB="0" distL="0" distR="0" simplePos="0" relativeHeight="251619840" behindDoc="1" locked="0" layoutInCell="1" allowOverlap="1" wp14:anchorId="51DEA8ED" wp14:editId="51DEA8EE">
            <wp:simplePos x="0" y="0"/>
            <wp:positionH relativeFrom="page">
              <wp:posOffset>908303</wp:posOffset>
            </wp:positionH>
            <wp:positionV relativeFrom="paragraph">
              <wp:posOffset>76023</wp:posOffset>
            </wp:positionV>
            <wp:extent cx="332231" cy="106679"/>
            <wp:effectExtent l="0" t="0" r="0" b="0"/>
            <wp:wrapNone/>
            <wp:docPr id="2043" name="image10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 name="image1049.png"/>
                    <pic:cNvPicPr/>
                  </pic:nvPicPr>
                  <pic:blipFill>
                    <a:blip r:embed="rId1344" cstate="print"/>
                    <a:stretch>
                      <a:fillRect/>
                    </a:stretch>
                  </pic:blipFill>
                  <pic:spPr>
                    <a:xfrm>
                      <a:off x="0" y="0"/>
                      <a:ext cx="332231" cy="106679"/>
                    </a:xfrm>
                    <a:prstGeom prst="rect">
                      <a:avLst/>
                    </a:prstGeom>
                  </pic:spPr>
                </pic:pic>
              </a:graphicData>
            </a:graphic>
          </wp:anchor>
        </w:drawing>
      </w:r>
      <w:r>
        <w:t>MOFCOM failed to adequately disclose the essential</w:t>
      </w:r>
      <w:r>
        <w:rPr>
          <w:spacing w:val="-1"/>
        </w:rPr>
        <w:t xml:space="preserve"> </w:t>
      </w:r>
      <w:r>
        <w:t>facts underpinning its dumping margin methodology and calculations. As set out above,</w:t>
      </w:r>
      <w:r>
        <w:rPr>
          <w:vertAlign w:val="superscript"/>
        </w:rPr>
        <w:t>1212</w:t>
      </w:r>
      <w:r>
        <w:t xml:space="preserve"> MOFCOM failed to properly disclose</w:t>
      </w:r>
      <w:r>
        <w:rPr>
          <w:spacing w:val="15"/>
        </w:rPr>
        <w:t xml:space="preserve"> </w:t>
      </w:r>
      <w:r>
        <w:t>the</w:t>
      </w:r>
      <w:r>
        <w:rPr>
          <w:spacing w:val="14"/>
        </w:rPr>
        <w:t xml:space="preserve"> </w:t>
      </w:r>
      <w:r>
        <w:t>data</w:t>
      </w:r>
      <w:r>
        <w:rPr>
          <w:spacing w:val="14"/>
        </w:rPr>
        <w:t xml:space="preserve"> </w:t>
      </w:r>
      <w:r>
        <w:t>and</w:t>
      </w:r>
      <w:r>
        <w:rPr>
          <w:spacing w:val="15"/>
        </w:rPr>
        <w:t xml:space="preserve"> </w:t>
      </w:r>
      <w:r>
        <w:t>formulae</w:t>
      </w:r>
      <w:r>
        <w:rPr>
          <w:spacing w:val="15"/>
        </w:rPr>
        <w:t xml:space="preserve"> </w:t>
      </w:r>
      <w:r>
        <w:t>it</w:t>
      </w:r>
      <w:r>
        <w:rPr>
          <w:spacing w:val="15"/>
        </w:rPr>
        <w:t xml:space="preserve"> </w:t>
      </w:r>
      <w:r>
        <w:t>used</w:t>
      </w:r>
      <w:r>
        <w:rPr>
          <w:spacing w:val="15"/>
        </w:rPr>
        <w:t xml:space="preserve"> </w:t>
      </w:r>
      <w:r>
        <w:t>to</w:t>
      </w:r>
      <w:r>
        <w:rPr>
          <w:spacing w:val="14"/>
        </w:rPr>
        <w:t xml:space="preserve"> </w:t>
      </w:r>
      <w:r>
        <w:t>determine</w:t>
      </w:r>
      <w:r>
        <w:rPr>
          <w:spacing w:val="16"/>
        </w:rPr>
        <w:t xml:space="preserve"> </w:t>
      </w:r>
      <w:r>
        <w:t>normal</w:t>
      </w:r>
      <w:r>
        <w:rPr>
          <w:spacing w:val="14"/>
        </w:rPr>
        <w:t xml:space="preserve"> </w:t>
      </w:r>
      <w:r>
        <w:t>value</w:t>
      </w:r>
      <w:r>
        <w:rPr>
          <w:spacing w:val="15"/>
        </w:rPr>
        <w:t xml:space="preserve"> </w:t>
      </w:r>
      <w:r>
        <w:t>and</w:t>
      </w:r>
      <w:r>
        <w:rPr>
          <w:spacing w:val="15"/>
        </w:rPr>
        <w:t xml:space="preserve"> </w:t>
      </w:r>
      <w:r>
        <w:t>expor</w:t>
      </w:r>
      <w:r>
        <w:t>t</w:t>
      </w:r>
      <w:r>
        <w:rPr>
          <w:spacing w:val="13"/>
        </w:rPr>
        <w:t xml:space="preserve"> </w:t>
      </w:r>
      <w:r>
        <w:t>price</w:t>
      </w:r>
      <w:r>
        <w:rPr>
          <w:spacing w:val="16"/>
        </w:rPr>
        <w:t xml:space="preserve"> </w:t>
      </w:r>
      <w:r>
        <w:t>for</w:t>
      </w:r>
      <w:r>
        <w:rPr>
          <w:spacing w:val="14"/>
        </w:rPr>
        <w:t xml:space="preserve"> </w:t>
      </w:r>
      <w:r>
        <w:rPr>
          <w:spacing w:val="-5"/>
        </w:rPr>
        <w:t>the</w:t>
      </w:r>
    </w:p>
    <w:p w14:paraId="51DE9B15" w14:textId="77777777" w:rsidR="0010369C" w:rsidRDefault="0010369C">
      <w:pPr>
        <w:pStyle w:val="BodyText"/>
        <w:rPr>
          <w:sz w:val="20"/>
        </w:rPr>
      </w:pPr>
    </w:p>
    <w:p w14:paraId="51DE9B16" w14:textId="77777777" w:rsidR="0010369C" w:rsidRDefault="0010369C">
      <w:pPr>
        <w:pStyle w:val="BodyText"/>
        <w:rPr>
          <w:sz w:val="20"/>
        </w:rPr>
      </w:pPr>
    </w:p>
    <w:p w14:paraId="51DE9B17" w14:textId="77777777" w:rsidR="0010369C" w:rsidRDefault="0010369C">
      <w:pPr>
        <w:pStyle w:val="BodyText"/>
        <w:rPr>
          <w:sz w:val="20"/>
        </w:rPr>
      </w:pPr>
    </w:p>
    <w:p w14:paraId="51DE9B18" w14:textId="77777777" w:rsidR="0010369C" w:rsidRDefault="008E43AE">
      <w:pPr>
        <w:pStyle w:val="BodyText"/>
        <w:spacing w:before="6"/>
        <w:rPr>
          <w:sz w:val="14"/>
        </w:rPr>
      </w:pPr>
      <w:r>
        <w:pict w14:anchorId="51DEA8EF">
          <v:rect id="docshape1434" o:spid="_x0000_s1070" style="position:absolute;margin-left:70.9pt;margin-top:10.05pt;width:2in;height:.8pt;z-index:-250677760;mso-wrap-distance-left:0;mso-wrap-distance-right:0;mso-position-horizontal-relative:page" fillcolor="black" stroked="f">
            <w10:wrap type="topAndBottom" anchorx="page"/>
          </v:rect>
        </w:pict>
      </w:r>
    </w:p>
    <w:p w14:paraId="51DE9B19" w14:textId="77777777" w:rsidR="0010369C" w:rsidRDefault="008E43AE">
      <w:pPr>
        <w:spacing w:before="109"/>
        <w:ind w:left="238"/>
        <w:rPr>
          <w:sz w:val="18"/>
        </w:rPr>
      </w:pPr>
      <w:r>
        <w:rPr>
          <w:sz w:val="18"/>
          <w:vertAlign w:val="superscript"/>
        </w:rPr>
        <w:t>1211</w:t>
      </w:r>
      <w:r>
        <w:rPr>
          <w:spacing w:val="-8"/>
          <w:sz w:val="18"/>
        </w:rPr>
        <w:t xml:space="preserve"> </w:t>
      </w:r>
      <w:r>
        <w:rPr>
          <w:sz w:val="18"/>
        </w:rPr>
        <w:t>Anti‐Dumping</w:t>
      </w:r>
      <w:r>
        <w:rPr>
          <w:spacing w:val="-8"/>
          <w:sz w:val="18"/>
        </w:rPr>
        <w:t xml:space="preserve"> </w:t>
      </w:r>
      <w:r>
        <w:rPr>
          <w:sz w:val="18"/>
        </w:rPr>
        <w:t>Final</w:t>
      </w:r>
      <w:r>
        <w:rPr>
          <w:spacing w:val="-8"/>
          <w:sz w:val="18"/>
        </w:rPr>
        <w:t xml:space="preserve"> </w:t>
      </w:r>
      <w:r>
        <w:rPr>
          <w:sz w:val="18"/>
        </w:rPr>
        <w:t>Disclosure</w:t>
      </w:r>
      <w:r>
        <w:rPr>
          <w:spacing w:val="-8"/>
          <w:sz w:val="18"/>
        </w:rPr>
        <w:t xml:space="preserve"> </w:t>
      </w:r>
      <w:r>
        <w:rPr>
          <w:sz w:val="18"/>
        </w:rPr>
        <w:t>(Exhibit</w:t>
      </w:r>
      <w:r>
        <w:rPr>
          <w:spacing w:val="-8"/>
          <w:sz w:val="18"/>
        </w:rPr>
        <w:t xml:space="preserve"> </w:t>
      </w:r>
      <w:r>
        <w:rPr>
          <w:sz w:val="18"/>
        </w:rPr>
        <w:t>AUS‐16),</w:t>
      </w:r>
      <w:r>
        <w:rPr>
          <w:spacing w:val="-9"/>
          <w:sz w:val="18"/>
        </w:rPr>
        <w:t xml:space="preserve"> </w:t>
      </w:r>
      <w:r>
        <w:rPr>
          <w:sz w:val="18"/>
        </w:rPr>
        <w:t>p.</w:t>
      </w:r>
      <w:r>
        <w:rPr>
          <w:spacing w:val="-7"/>
          <w:sz w:val="18"/>
        </w:rPr>
        <w:t xml:space="preserve"> </w:t>
      </w:r>
      <w:r>
        <w:rPr>
          <w:spacing w:val="-5"/>
          <w:sz w:val="18"/>
        </w:rPr>
        <w:t>49.</w:t>
      </w:r>
    </w:p>
    <w:p w14:paraId="51DE9B1A" w14:textId="77777777" w:rsidR="0010369C" w:rsidRDefault="008E43AE">
      <w:pPr>
        <w:ind w:left="238"/>
        <w:rPr>
          <w:sz w:val="18"/>
        </w:rPr>
      </w:pPr>
      <w:r>
        <w:rPr>
          <w:sz w:val="18"/>
          <w:vertAlign w:val="superscript"/>
        </w:rPr>
        <w:t>1212</w:t>
      </w:r>
      <w:r>
        <w:rPr>
          <w:spacing w:val="-5"/>
          <w:sz w:val="18"/>
        </w:rPr>
        <w:t xml:space="preserve"> </w:t>
      </w:r>
      <w:r>
        <w:rPr>
          <w:sz w:val="18"/>
        </w:rPr>
        <w:t>See</w:t>
      </w:r>
      <w:r>
        <w:rPr>
          <w:spacing w:val="-5"/>
          <w:sz w:val="18"/>
        </w:rPr>
        <w:t xml:space="preserve"> </w:t>
      </w:r>
      <w:r>
        <w:rPr>
          <w:sz w:val="18"/>
        </w:rPr>
        <w:t>above,</w:t>
      </w:r>
      <w:r>
        <w:rPr>
          <w:spacing w:val="-5"/>
          <w:sz w:val="18"/>
        </w:rPr>
        <w:t xml:space="preserve"> </w:t>
      </w:r>
      <w:r>
        <w:rPr>
          <w:sz w:val="18"/>
        </w:rPr>
        <w:t>sections</w:t>
      </w:r>
      <w:r>
        <w:rPr>
          <w:spacing w:val="-6"/>
          <w:sz w:val="18"/>
        </w:rPr>
        <w:t xml:space="preserve"> </w:t>
      </w:r>
      <w:r>
        <w:rPr>
          <w:sz w:val="18"/>
        </w:rPr>
        <w:t>II.E,</w:t>
      </w:r>
      <w:r>
        <w:rPr>
          <w:spacing w:val="-5"/>
          <w:sz w:val="18"/>
        </w:rPr>
        <w:t xml:space="preserve"> </w:t>
      </w:r>
      <w:r>
        <w:rPr>
          <w:sz w:val="18"/>
        </w:rPr>
        <w:t>II.F</w:t>
      </w:r>
      <w:r>
        <w:rPr>
          <w:spacing w:val="-5"/>
          <w:sz w:val="18"/>
        </w:rPr>
        <w:t xml:space="preserve"> </w:t>
      </w:r>
      <w:r>
        <w:rPr>
          <w:sz w:val="18"/>
        </w:rPr>
        <w:t>and</w:t>
      </w:r>
      <w:r>
        <w:rPr>
          <w:spacing w:val="-5"/>
          <w:sz w:val="18"/>
        </w:rPr>
        <w:t xml:space="preserve"> </w:t>
      </w:r>
      <w:r>
        <w:rPr>
          <w:spacing w:val="-2"/>
          <w:sz w:val="18"/>
        </w:rPr>
        <w:t>II.G.</w:t>
      </w:r>
    </w:p>
    <w:p w14:paraId="51DE9B1B" w14:textId="77777777" w:rsidR="0010369C" w:rsidRDefault="0010369C">
      <w:pPr>
        <w:rPr>
          <w:sz w:val="18"/>
        </w:rPr>
        <w:sectPr w:rsidR="0010369C">
          <w:headerReference w:type="default" r:id="rId1345"/>
          <w:footerReference w:type="default" r:id="rId1346"/>
          <w:pgSz w:w="11910" w:h="16840"/>
          <w:pgMar w:top="880" w:right="800" w:bottom="980" w:left="1180" w:header="569" w:footer="788" w:gutter="0"/>
          <w:cols w:space="720"/>
        </w:sectPr>
      </w:pPr>
    </w:p>
    <w:p w14:paraId="51DE9B1C" w14:textId="77777777" w:rsidR="0010369C" w:rsidRDefault="008E43AE">
      <w:pPr>
        <w:tabs>
          <w:tab w:val="left" w:pos="6426"/>
        </w:tabs>
        <w:ind w:left="238"/>
        <w:rPr>
          <w:sz w:val="20"/>
        </w:rPr>
      </w:pPr>
      <w:r>
        <w:rPr>
          <w:i/>
          <w:sz w:val="20"/>
        </w:rPr>
        <w:lastRenderedPageBreak/>
        <w:t>China</w:t>
      </w:r>
      <w:r>
        <w:rPr>
          <w:i/>
          <w:spacing w:val="-5"/>
          <w:sz w:val="20"/>
        </w:rPr>
        <w:t xml:space="preserve"> </w:t>
      </w:r>
      <w:r>
        <w:rPr>
          <w:i/>
          <w:sz w:val="20"/>
        </w:rPr>
        <w:t>–</w:t>
      </w:r>
      <w:r>
        <w:rPr>
          <w:i/>
          <w:spacing w:val="-5"/>
          <w:sz w:val="20"/>
        </w:rPr>
        <w:t xml:space="preserve"> </w:t>
      </w:r>
      <w:r>
        <w:rPr>
          <w:i/>
          <w:sz w:val="20"/>
        </w:rPr>
        <w:t>Anti‐Dumping</w:t>
      </w:r>
      <w:r>
        <w:rPr>
          <w:i/>
          <w:spacing w:val="-4"/>
          <w:sz w:val="20"/>
        </w:rPr>
        <w:t xml:space="preserve"> </w:t>
      </w:r>
      <w:r>
        <w:rPr>
          <w:i/>
          <w:sz w:val="20"/>
        </w:rPr>
        <w:t>and</w:t>
      </w:r>
      <w:r>
        <w:rPr>
          <w:i/>
          <w:spacing w:val="-5"/>
          <w:sz w:val="20"/>
        </w:rPr>
        <w:t xml:space="preserve"> </w:t>
      </w:r>
      <w:r>
        <w:rPr>
          <w:i/>
          <w:sz w:val="20"/>
        </w:rPr>
        <w:t>Countervailing</w:t>
      </w:r>
      <w:r>
        <w:rPr>
          <w:i/>
          <w:spacing w:val="-5"/>
          <w:sz w:val="20"/>
        </w:rPr>
        <w:t xml:space="preserve"> </w:t>
      </w:r>
      <w:r>
        <w:rPr>
          <w:i/>
          <w:sz w:val="20"/>
        </w:rPr>
        <w:t>Duty</w:t>
      </w:r>
      <w:r>
        <w:rPr>
          <w:i/>
          <w:spacing w:val="-4"/>
          <w:sz w:val="20"/>
        </w:rPr>
        <w:t xml:space="preserve"> </w:t>
      </w:r>
      <w:r>
        <w:rPr>
          <w:i/>
          <w:spacing w:val="-2"/>
          <w:sz w:val="20"/>
        </w:rPr>
        <w:t>Measures</w:t>
      </w:r>
      <w:r>
        <w:rPr>
          <w:i/>
          <w:sz w:val="20"/>
        </w:rPr>
        <w:tab/>
      </w:r>
      <w:r>
        <w:rPr>
          <w:sz w:val="20"/>
        </w:rPr>
        <w:t>Australia's</w:t>
      </w:r>
      <w:r>
        <w:rPr>
          <w:spacing w:val="-7"/>
          <w:sz w:val="20"/>
        </w:rPr>
        <w:t xml:space="preserve"> </w:t>
      </w:r>
      <w:r>
        <w:rPr>
          <w:sz w:val="20"/>
        </w:rPr>
        <w:t>First</w:t>
      </w:r>
      <w:r>
        <w:rPr>
          <w:spacing w:val="-2"/>
          <w:sz w:val="20"/>
        </w:rPr>
        <w:t xml:space="preserve"> </w:t>
      </w:r>
      <w:r>
        <w:rPr>
          <w:sz w:val="20"/>
        </w:rPr>
        <w:t>Written</w:t>
      </w:r>
      <w:r>
        <w:rPr>
          <w:spacing w:val="-2"/>
          <w:sz w:val="20"/>
        </w:rPr>
        <w:t xml:space="preserve"> Submission</w:t>
      </w:r>
    </w:p>
    <w:p w14:paraId="51DE9B1D" w14:textId="77777777" w:rsidR="0010369C" w:rsidRDefault="008E43AE">
      <w:pPr>
        <w:tabs>
          <w:tab w:val="left" w:pos="8228"/>
        </w:tabs>
        <w:spacing w:before="1"/>
        <w:ind w:left="239"/>
        <w:rPr>
          <w:sz w:val="20"/>
        </w:rPr>
      </w:pPr>
      <w:r>
        <w:rPr>
          <w:i/>
          <w:sz w:val="20"/>
        </w:rPr>
        <w:t>on</w:t>
      </w:r>
      <w:r>
        <w:rPr>
          <w:i/>
          <w:spacing w:val="-1"/>
          <w:sz w:val="20"/>
        </w:rPr>
        <w:t xml:space="preserve"> </w:t>
      </w:r>
      <w:r>
        <w:rPr>
          <w:i/>
          <w:sz w:val="20"/>
        </w:rPr>
        <w:t>Wine</w:t>
      </w:r>
      <w:r>
        <w:rPr>
          <w:i/>
          <w:spacing w:val="-1"/>
          <w:sz w:val="20"/>
        </w:rPr>
        <w:t xml:space="preserve"> </w:t>
      </w:r>
      <w:r>
        <w:rPr>
          <w:i/>
          <w:sz w:val="20"/>
        </w:rPr>
        <w:t>from</w:t>
      </w:r>
      <w:r>
        <w:rPr>
          <w:i/>
          <w:spacing w:val="-3"/>
          <w:sz w:val="20"/>
        </w:rPr>
        <w:t xml:space="preserve"> </w:t>
      </w:r>
      <w:r>
        <w:rPr>
          <w:i/>
          <w:sz w:val="20"/>
        </w:rPr>
        <w:t>Australia</w:t>
      </w:r>
      <w:r>
        <w:rPr>
          <w:i/>
          <w:spacing w:val="-1"/>
          <w:sz w:val="20"/>
        </w:rPr>
        <w:t xml:space="preserve"> </w:t>
      </w:r>
      <w:r>
        <w:rPr>
          <w:spacing w:val="-2"/>
          <w:sz w:val="20"/>
        </w:rPr>
        <w:t>(DS602)</w:t>
      </w:r>
      <w:r>
        <w:rPr>
          <w:sz w:val="20"/>
        </w:rPr>
        <w:tab/>
        <w:t>29</w:t>
      </w:r>
      <w:r>
        <w:rPr>
          <w:spacing w:val="-1"/>
          <w:sz w:val="20"/>
        </w:rPr>
        <w:t xml:space="preserve"> </w:t>
      </w:r>
      <w:r>
        <w:rPr>
          <w:sz w:val="20"/>
        </w:rPr>
        <w:t>April</w:t>
      </w:r>
      <w:r>
        <w:rPr>
          <w:spacing w:val="-2"/>
          <w:sz w:val="20"/>
        </w:rPr>
        <w:t xml:space="preserve"> </w:t>
      </w:r>
      <w:r>
        <w:rPr>
          <w:spacing w:val="-4"/>
          <w:sz w:val="20"/>
        </w:rPr>
        <w:t>2022</w:t>
      </w:r>
    </w:p>
    <w:p w14:paraId="51DE9B1E" w14:textId="77777777" w:rsidR="0010369C" w:rsidRDefault="008E43AE">
      <w:pPr>
        <w:pStyle w:val="BodyText"/>
        <w:spacing w:before="34" w:line="360" w:lineRule="auto"/>
        <w:ind w:left="238" w:right="611"/>
      </w:pPr>
      <w:r>
        <w:t>three sampled companies, precluding interested parties from a meaningful opportunity for the full defence of their interests.</w:t>
      </w:r>
    </w:p>
    <w:p w14:paraId="51DE9B1F" w14:textId="77777777" w:rsidR="0010369C" w:rsidRDefault="0010369C">
      <w:pPr>
        <w:pStyle w:val="BodyText"/>
        <w:spacing w:before="10"/>
        <w:rPr>
          <w:sz w:val="8"/>
        </w:rPr>
      </w:pPr>
    </w:p>
    <w:p w14:paraId="51DE9B20" w14:textId="77777777" w:rsidR="0010369C" w:rsidRDefault="008E43AE">
      <w:pPr>
        <w:pStyle w:val="BodyText"/>
        <w:spacing w:before="52" w:line="360" w:lineRule="auto"/>
        <w:ind w:left="237" w:right="613" w:firstLine="852"/>
        <w:jc w:val="both"/>
      </w:pPr>
      <w:r>
        <w:rPr>
          <w:noProof/>
        </w:rPr>
        <w:drawing>
          <wp:anchor distT="0" distB="0" distL="0" distR="0" simplePos="0" relativeHeight="251620864" behindDoc="1" locked="0" layoutInCell="1" allowOverlap="1" wp14:anchorId="51DEA8F0" wp14:editId="51DEA8F1">
            <wp:simplePos x="0" y="0"/>
            <wp:positionH relativeFrom="page">
              <wp:posOffset>908303</wp:posOffset>
            </wp:positionH>
            <wp:positionV relativeFrom="paragraph">
              <wp:posOffset>76785</wp:posOffset>
            </wp:positionV>
            <wp:extent cx="332231" cy="106679"/>
            <wp:effectExtent l="0" t="0" r="0" b="0"/>
            <wp:wrapNone/>
            <wp:docPr id="2045" name="image10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 name="image1050.png"/>
                    <pic:cNvPicPr/>
                  </pic:nvPicPr>
                  <pic:blipFill>
                    <a:blip r:embed="rId1347" cstate="print"/>
                    <a:stretch>
                      <a:fillRect/>
                    </a:stretch>
                  </pic:blipFill>
                  <pic:spPr>
                    <a:xfrm>
                      <a:off x="0" y="0"/>
                      <a:ext cx="332231" cy="106679"/>
                    </a:xfrm>
                    <a:prstGeom prst="rect">
                      <a:avLst/>
                    </a:prstGeom>
                  </pic:spPr>
                </pic:pic>
              </a:graphicData>
            </a:graphic>
          </wp:anchor>
        </w:drawing>
      </w:r>
      <w:r>
        <w:t>The Final Disclosure contained no detail on the dumping margin calculations or methodology for the sample companies; it was left to be inferred from the narrative description of MOFCOM's process and MOFCOM's criticisms of the quality of the data those comp</w:t>
      </w:r>
      <w:r>
        <w:t>anies provided. The Appellate Body has held that a "narrative description of the data used" is not sufficient disclosure pursuant to Article 6.9.</w:t>
      </w:r>
      <w:r>
        <w:rPr>
          <w:vertAlign w:val="superscript"/>
        </w:rPr>
        <w:t>1213</w:t>
      </w:r>
      <w:r>
        <w:t xml:space="preserve"> Neither Treasury Wines, Casella Wines</w:t>
      </w:r>
      <w:r>
        <w:rPr>
          <w:spacing w:val="-1"/>
        </w:rPr>
        <w:t xml:space="preserve"> </w:t>
      </w:r>
      <w:r>
        <w:t>nor</w:t>
      </w:r>
      <w:r>
        <w:rPr>
          <w:spacing w:val="-1"/>
        </w:rPr>
        <w:t xml:space="preserve"> </w:t>
      </w:r>
      <w:r>
        <w:t>Swan Vintage could</w:t>
      </w:r>
      <w:r>
        <w:rPr>
          <w:spacing w:val="-1"/>
        </w:rPr>
        <w:t xml:space="preserve"> </w:t>
      </w:r>
      <w:r>
        <w:t>reasonably</w:t>
      </w:r>
      <w:r>
        <w:rPr>
          <w:spacing w:val="-1"/>
        </w:rPr>
        <w:t xml:space="preserve"> </w:t>
      </w:r>
      <w:r>
        <w:t>have known</w:t>
      </w:r>
      <w:r>
        <w:rPr>
          <w:spacing w:val="-1"/>
        </w:rPr>
        <w:t xml:space="preserve"> </w:t>
      </w:r>
      <w:r>
        <w:t>what</w:t>
      </w:r>
      <w:r>
        <w:rPr>
          <w:spacing w:val="-2"/>
        </w:rPr>
        <w:t xml:space="preserve"> </w:t>
      </w:r>
      <w:r>
        <w:t>the essential</w:t>
      </w:r>
      <w:r>
        <w:rPr>
          <w:spacing w:val="-1"/>
        </w:rPr>
        <w:t xml:space="preserve"> </w:t>
      </w:r>
      <w:r>
        <w:t>fact</w:t>
      </w:r>
      <w:r>
        <w:t>s were</w:t>
      </w:r>
      <w:r>
        <w:rPr>
          <w:spacing w:val="-1"/>
        </w:rPr>
        <w:t xml:space="preserve"> </w:t>
      </w:r>
      <w:r>
        <w:t>that led to the final margins.</w:t>
      </w:r>
    </w:p>
    <w:p w14:paraId="51DE9B21" w14:textId="77777777" w:rsidR="0010369C" w:rsidRDefault="0010369C">
      <w:pPr>
        <w:pStyle w:val="BodyText"/>
        <w:spacing w:before="11"/>
        <w:rPr>
          <w:sz w:val="8"/>
        </w:rPr>
      </w:pPr>
    </w:p>
    <w:p w14:paraId="51DE9B22" w14:textId="77777777" w:rsidR="0010369C" w:rsidRDefault="008E43AE">
      <w:pPr>
        <w:pStyle w:val="BodyText"/>
        <w:spacing w:before="51" w:line="360" w:lineRule="auto"/>
        <w:ind w:left="236" w:right="612" w:firstLine="852"/>
        <w:jc w:val="both"/>
      </w:pPr>
      <w:r>
        <w:rPr>
          <w:noProof/>
        </w:rPr>
        <w:drawing>
          <wp:anchor distT="0" distB="0" distL="0" distR="0" simplePos="0" relativeHeight="251621888" behindDoc="1" locked="0" layoutInCell="1" allowOverlap="1" wp14:anchorId="51DEA8F2" wp14:editId="51DEA8F3">
            <wp:simplePos x="0" y="0"/>
            <wp:positionH relativeFrom="page">
              <wp:posOffset>908303</wp:posOffset>
            </wp:positionH>
            <wp:positionV relativeFrom="paragraph">
              <wp:posOffset>75388</wp:posOffset>
            </wp:positionV>
            <wp:extent cx="332231" cy="106679"/>
            <wp:effectExtent l="0" t="0" r="0" b="0"/>
            <wp:wrapNone/>
            <wp:docPr id="2047" name="image10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 name="image1051.png"/>
                    <pic:cNvPicPr/>
                  </pic:nvPicPr>
                  <pic:blipFill>
                    <a:blip r:embed="rId1348" cstate="print"/>
                    <a:stretch>
                      <a:fillRect/>
                    </a:stretch>
                  </pic:blipFill>
                  <pic:spPr>
                    <a:xfrm>
                      <a:off x="0" y="0"/>
                      <a:ext cx="332231" cy="106679"/>
                    </a:xfrm>
                    <a:prstGeom prst="rect">
                      <a:avLst/>
                    </a:prstGeom>
                  </pic:spPr>
                </pic:pic>
              </a:graphicData>
            </a:graphic>
          </wp:anchor>
        </w:drawing>
      </w:r>
      <w:r>
        <w:t>In relation to the other named Australian exporters, MOFCOM determined that the dumping margin "should be determined based on the weighted average margin of the selected exporters and producers".</w:t>
      </w:r>
      <w:r>
        <w:rPr>
          <w:vertAlign w:val="superscript"/>
        </w:rPr>
        <w:t>1214</w:t>
      </w:r>
      <w:r>
        <w:t xml:space="preserve"> However, MOFCOM </w:t>
      </w:r>
      <w:r>
        <w:t>failed to elaborate on the methodology actually used to determine this "weighted average". In particular, MOFCOM failed to specify the "weights" that were employed – whether volume of imports, volume of sales, prices or some other variable. MOFCOM's proces</w:t>
      </w:r>
      <w:r>
        <w:t>s for calculating the "cooperative" dumping margin was a salient fact that formed the basis of the imposition of final measures.</w:t>
      </w:r>
    </w:p>
    <w:p w14:paraId="51DE9B23" w14:textId="77777777" w:rsidR="0010369C" w:rsidRDefault="008E43AE">
      <w:pPr>
        <w:pStyle w:val="ListParagraph"/>
        <w:numPr>
          <w:ilvl w:val="0"/>
          <w:numId w:val="17"/>
        </w:numPr>
        <w:tabs>
          <w:tab w:val="left" w:pos="3642"/>
          <w:tab w:val="left" w:pos="3643"/>
        </w:tabs>
        <w:spacing w:before="162"/>
        <w:ind w:hanging="853"/>
        <w:jc w:val="both"/>
        <w:rPr>
          <w:sz w:val="24"/>
        </w:rPr>
      </w:pPr>
      <w:r>
        <w:rPr>
          <w:sz w:val="24"/>
          <w:u w:val="single"/>
        </w:rPr>
        <w:t>Determination</w:t>
      </w:r>
      <w:r>
        <w:rPr>
          <w:spacing w:val="-7"/>
          <w:sz w:val="24"/>
          <w:u w:val="single"/>
        </w:rPr>
        <w:t xml:space="preserve"> </w:t>
      </w:r>
      <w:r>
        <w:rPr>
          <w:sz w:val="24"/>
          <w:u w:val="single"/>
        </w:rPr>
        <w:t>of</w:t>
      </w:r>
      <w:r>
        <w:rPr>
          <w:spacing w:val="-7"/>
          <w:sz w:val="24"/>
          <w:u w:val="single"/>
        </w:rPr>
        <w:t xml:space="preserve"> </w:t>
      </w:r>
      <w:r>
        <w:rPr>
          <w:sz w:val="24"/>
          <w:u w:val="single"/>
        </w:rPr>
        <w:t>injury</w:t>
      </w:r>
      <w:r>
        <w:rPr>
          <w:spacing w:val="-8"/>
          <w:sz w:val="24"/>
          <w:u w:val="single"/>
        </w:rPr>
        <w:t xml:space="preserve"> </w:t>
      </w:r>
      <w:r>
        <w:rPr>
          <w:sz w:val="24"/>
          <w:u w:val="single"/>
        </w:rPr>
        <w:t>and</w:t>
      </w:r>
      <w:r>
        <w:rPr>
          <w:spacing w:val="-7"/>
          <w:sz w:val="24"/>
          <w:u w:val="single"/>
        </w:rPr>
        <w:t xml:space="preserve"> </w:t>
      </w:r>
      <w:r>
        <w:rPr>
          <w:spacing w:val="-2"/>
          <w:sz w:val="24"/>
          <w:u w:val="single"/>
        </w:rPr>
        <w:t>causation</w:t>
      </w:r>
    </w:p>
    <w:p w14:paraId="51DE9B24" w14:textId="77777777" w:rsidR="0010369C" w:rsidRDefault="0010369C">
      <w:pPr>
        <w:pStyle w:val="BodyText"/>
        <w:spacing w:before="10"/>
        <w:rPr>
          <w:sz w:val="20"/>
        </w:rPr>
      </w:pPr>
    </w:p>
    <w:p w14:paraId="51DE9B25" w14:textId="77777777" w:rsidR="0010369C" w:rsidRDefault="008E43AE">
      <w:pPr>
        <w:pStyle w:val="BodyText"/>
        <w:spacing w:before="52" w:line="360" w:lineRule="auto"/>
        <w:ind w:left="236" w:right="612" w:firstLine="13"/>
        <w:jc w:val="both"/>
      </w:pPr>
      <w:r>
        <w:rPr>
          <w:noProof/>
        </w:rPr>
        <w:drawing>
          <wp:inline distT="0" distB="0" distL="0" distR="0" wp14:anchorId="51DEA8F4" wp14:editId="51DEA8F5">
            <wp:extent cx="332231" cy="109727"/>
            <wp:effectExtent l="0" t="0" r="0" b="0"/>
            <wp:docPr id="2049" name="image10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image1052.png"/>
                    <pic:cNvPicPr/>
                  </pic:nvPicPr>
                  <pic:blipFill>
                    <a:blip r:embed="rId1349" cstate="print"/>
                    <a:stretch>
                      <a:fillRect/>
                    </a:stretch>
                  </pic:blipFill>
                  <pic:spPr>
                    <a:xfrm>
                      <a:off x="0" y="0"/>
                      <a:ext cx="332231" cy="109727"/>
                    </a:xfrm>
                    <a:prstGeom prst="rect">
                      <a:avLst/>
                    </a:prstGeom>
                  </pic:spPr>
                </pic:pic>
              </a:graphicData>
            </a:graphic>
          </wp:inline>
        </w:drawing>
      </w:r>
      <w:r>
        <w:rPr>
          <w:rFonts w:ascii="Times New Roman" w:hAnsi="Times New Roman"/>
          <w:spacing w:val="40"/>
          <w:position w:val="1"/>
          <w:sz w:val="20"/>
        </w:rPr>
        <w:t xml:space="preserve">  </w:t>
      </w:r>
      <w:r>
        <w:rPr>
          <w:position w:val="1"/>
        </w:rPr>
        <w:t>In</w:t>
      </w:r>
      <w:r>
        <w:rPr>
          <w:spacing w:val="-3"/>
          <w:position w:val="1"/>
        </w:rPr>
        <w:t xml:space="preserve"> </w:t>
      </w:r>
      <w:r>
        <w:rPr>
          <w:position w:val="1"/>
        </w:rPr>
        <w:t>its</w:t>
      </w:r>
      <w:r>
        <w:rPr>
          <w:spacing w:val="-3"/>
          <w:position w:val="1"/>
        </w:rPr>
        <w:t xml:space="preserve"> </w:t>
      </w:r>
      <w:r>
        <w:rPr>
          <w:position w:val="1"/>
        </w:rPr>
        <w:t>Final</w:t>
      </w:r>
      <w:r>
        <w:rPr>
          <w:spacing w:val="-2"/>
          <w:position w:val="1"/>
        </w:rPr>
        <w:t xml:space="preserve"> </w:t>
      </w:r>
      <w:r>
        <w:rPr>
          <w:position w:val="1"/>
        </w:rPr>
        <w:t>Disclosure,</w:t>
      </w:r>
      <w:r>
        <w:rPr>
          <w:spacing w:val="-2"/>
          <w:position w:val="1"/>
        </w:rPr>
        <w:t xml:space="preserve"> </w:t>
      </w:r>
      <w:r>
        <w:rPr>
          <w:position w:val="1"/>
        </w:rPr>
        <w:t>MOFCOM</w:t>
      </w:r>
      <w:r>
        <w:rPr>
          <w:spacing w:val="-3"/>
          <w:position w:val="1"/>
        </w:rPr>
        <w:t xml:space="preserve"> </w:t>
      </w:r>
      <w:r>
        <w:rPr>
          <w:position w:val="1"/>
        </w:rPr>
        <w:t>did</w:t>
      </w:r>
      <w:r>
        <w:rPr>
          <w:spacing w:val="-3"/>
          <w:position w:val="1"/>
        </w:rPr>
        <w:t xml:space="preserve"> </w:t>
      </w:r>
      <w:r>
        <w:rPr>
          <w:position w:val="1"/>
        </w:rPr>
        <w:t>not</w:t>
      </w:r>
      <w:r>
        <w:rPr>
          <w:spacing w:val="-2"/>
          <w:position w:val="1"/>
        </w:rPr>
        <w:t xml:space="preserve"> </w:t>
      </w:r>
      <w:r>
        <w:rPr>
          <w:position w:val="1"/>
        </w:rPr>
        <w:t>provide</w:t>
      </w:r>
      <w:r>
        <w:rPr>
          <w:spacing w:val="-3"/>
          <w:position w:val="1"/>
        </w:rPr>
        <w:t xml:space="preserve"> </w:t>
      </w:r>
      <w:r>
        <w:rPr>
          <w:position w:val="1"/>
        </w:rPr>
        <w:t>all</w:t>
      </w:r>
      <w:r>
        <w:rPr>
          <w:spacing w:val="-3"/>
          <w:position w:val="1"/>
        </w:rPr>
        <w:t xml:space="preserve"> </w:t>
      </w:r>
      <w:r>
        <w:rPr>
          <w:position w:val="1"/>
        </w:rPr>
        <w:t>of</w:t>
      </w:r>
      <w:r>
        <w:rPr>
          <w:spacing w:val="-3"/>
          <w:position w:val="1"/>
        </w:rPr>
        <w:t xml:space="preserve"> </w:t>
      </w:r>
      <w:r>
        <w:rPr>
          <w:position w:val="1"/>
        </w:rPr>
        <w:t>the</w:t>
      </w:r>
      <w:r>
        <w:rPr>
          <w:spacing w:val="-2"/>
          <w:position w:val="1"/>
        </w:rPr>
        <w:t xml:space="preserve"> </w:t>
      </w:r>
      <w:r>
        <w:rPr>
          <w:position w:val="1"/>
        </w:rPr>
        <w:t>non‐confidential,</w:t>
      </w:r>
      <w:r>
        <w:rPr>
          <w:spacing w:val="-3"/>
          <w:position w:val="1"/>
        </w:rPr>
        <w:t xml:space="preserve"> </w:t>
      </w:r>
      <w:r>
        <w:rPr>
          <w:position w:val="1"/>
        </w:rPr>
        <w:t xml:space="preserve">essential </w:t>
      </w:r>
      <w:r>
        <w:t xml:space="preserve">facts that formed the basis of its determination of injury to domestic industry and causation pursuant to Article 3. In particular, MOFCOM failed to provide all essential facts that were relevant to: the economic factors listed </w:t>
      </w:r>
      <w:r>
        <w:t xml:space="preserve">in Article 3.4; the methodology for calculating the average yearly import price for Australian wine; the methodology for calculating the average yearly factory price for domestic like products; and the methodology for calculating the average yearly import </w:t>
      </w:r>
      <w:r>
        <w:t xml:space="preserve">price for non‐subject imports. MOFCOM's failure to provide this information impeded the interested parties' capacity to understand and make submissions about whether MOFCOM correctly conducted an objective examination of the impact of the allegedly dumped </w:t>
      </w:r>
      <w:r>
        <w:t>imports on domestic producers as required under Article 3.1.</w:t>
      </w:r>
    </w:p>
    <w:p w14:paraId="51DE9B26" w14:textId="77777777" w:rsidR="0010369C" w:rsidRDefault="0010369C">
      <w:pPr>
        <w:pStyle w:val="BodyText"/>
      </w:pPr>
    </w:p>
    <w:p w14:paraId="51DE9B27" w14:textId="77777777" w:rsidR="0010369C" w:rsidRDefault="0010369C">
      <w:pPr>
        <w:pStyle w:val="BodyText"/>
      </w:pPr>
    </w:p>
    <w:p w14:paraId="51DE9B28" w14:textId="77777777" w:rsidR="0010369C" w:rsidRDefault="0010369C">
      <w:pPr>
        <w:pStyle w:val="BodyText"/>
      </w:pPr>
    </w:p>
    <w:p w14:paraId="51DE9B29" w14:textId="77777777" w:rsidR="0010369C" w:rsidRDefault="008E43AE">
      <w:pPr>
        <w:spacing w:before="178"/>
        <w:ind w:left="238"/>
        <w:jc w:val="both"/>
        <w:rPr>
          <w:sz w:val="18"/>
        </w:rPr>
      </w:pPr>
      <w:r>
        <w:rPr>
          <w:sz w:val="18"/>
          <w:vertAlign w:val="superscript"/>
        </w:rPr>
        <w:t>1213</w:t>
      </w:r>
      <w:r>
        <w:rPr>
          <w:spacing w:val="-6"/>
          <w:sz w:val="18"/>
        </w:rPr>
        <w:t xml:space="preserve"> </w:t>
      </w:r>
      <w:r>
        <w:rPr>
          <w:sz w:val="18"/>
        </w:rPr>
        <w:t>Appellate</w:t>
      </w:r>
      <w:r>
        <w:rPr>
          <w:spacing w:val="-5"/>
          <w:sz w:val="18"/>
        </w:rPr>
        <w:t xml:space="preserve"> </w:t>
      </w:r>
      <w:r>
        <w:rPr>
          <w:sz w:val="18"/>
        </w:rPr>
        <w:t>Body</w:t>
      </w:r>
      <w:r>
        <w:rPr>
          <w:spacing w:val="-6"/>
          <w:sz w:val="18"/>
        </w:rPr>
        <w:t xml:space="preserve"> </w:t>
      </w:r>
      <w:r>
        <w:rPr>
          <w:sz w:val="18"/>
        </w:rPr>
        <w:t>Reports,</w:t>
      </w:r>
      <w:r>
        <w:rPr>
          <w:spacing w:val="-6"/>
          <w:sz w:val="18"/>
        </w:rPr>
        <w:t xml:space="preserve"> </w:t>
      </w:r>
      <w:r>
        <w:rPr>
          <w:i/>
          <w:sz w:val="18"/>
        </w:rPr>
        <w:t>China</w:t>
      </w:r>
      <w:r>
        <w:rPr>
          <w:i/>
          <w:spacing w:val="-5"/>
          <w:sz w:val="18"/>
        </w:rPr>
        <w:t xml:space="preserve"> </w:t>
      </w:r>
      <w:r>
        <w:rPr>
          <w:i/>
          <w:sz w:val="18"/>
        </w:rPr>
        <w:t>–</w:t>
      </w:r>
      <w:r>
        <w:rPr>
          <w:i/>
          <w:spacing w:val="-5"/>
          <w:sz w:val="18"/>
        </w:rPr>
        <w:t xml:space="preserve"> </w:t>
      </w:r>
      <w:r>
        <w:rPr>
          <w:i/>
          <w:sz w:val="18"/>
        </w:rPr>
        <w:t>HP‐SSST</w:t>
      </w:r>
      <w:r>
        <w:rPr>
          <w:i/>
          <w:spacing w:val="-5"/>
          <w:sz w:val="18"/>
        </w:rPr>
        <w:t xml:space="preserve"> </w:t>
      </w:r>
      <w:r>
        <w:rPr>
          <w:i/>
          <w:sz w:val="18"/>
        </w:rPr>
        <w:t>(Japan)</w:t>
      </w:r>
      <w:r>
        <w:rPr>
          <w:i/>
          <w:spacing w:val="-6"/>
          <w:sz w:val="18"/>
        </w:rPr>
        <w:t xml:space="preserve"> </w:t>
      </w:r>
      <w:r>
        <w:rPr>
          <w:i/>
          <w:sz w:val="18"/>
        </w:rPr>
        <w:t>/</w:t>
      </w:r>
      <w:r>
        <w:rPr>
          <w:i/>
          <w:spacing w:val="-5"/>
          <w:sz w:val="18"/>
        </w:rPr>
        <w:t xml:space="preserve"> </w:t>
      </w:r>
      <w:r>
        <w:rPr>
          <w:i/>
          <w:sz w:val="18"/>
        </w:rPr>
        <w:t>China</w:t>
      </w:r>
      <w:r>
        <w:rPr>
          <w:i/>
          <w:spacing w:val="-5"/>
          <w:sz w:val="18"/>
        </w:rPr>
        <w:t xml:space="preserve"> </w:t>
      </w:r>
      <w:r>
        <w:rPr>
          <w:i/>
          <w:sz w:val="18"/>
        </w:rPr>
        <w:t>–</w:t>
      </w:r>
      <w:r>
        <w:rPr>
          <w:i/>
          <w:spacing w:val="-5"/>
          <w:sz w:val="18"/>
        </w:rPr>
        <w:t xml:space="preserve"> </w:t>
      </w:r>
      <w:r>
        <w:rPr>
          <w:i/>
          <w:sz w:val="18"/>
        </w:rPr>
        <w:t>HP‐SSST</w:t>
      </w:r>
      <w:r>
        <w:rPr>
          <w:i/>
          <w:spacing w:val="-5"/>
          <w:sz w:val="18"/>
        </w:rPr>
        <w:t xml:space="preserve"> </w:t>
      </w:r>
      <w:r>
        <w:rPr>
          <w:i/>
          <w:sz w:val="18"/>
        </w:rPr>
        <w:t>(EU)</w:t>
      </w:r>
      <w:r>
        <w:rPr>
          <w:sz w:val="18"/>
        </w:rPr>
        <w:t>,</w:t>
      </w:r>
      <w:r>
        <w:rPr>
          <w:spacing w:val="-6"/>
          <w:sz w:val="18"/>
        </w:rPr>
        <w:t xml:space="preserve"> </w:t>
      </w:r>
      <w:r>
        <w:rPr>
          <w:sz w:val="18"/>
        </w:rPr>
        <w:t>para.</w:t>
      </w:r>
      <w:r>
        <w:rPr>
          <w:spacing w:val="-5"/>
          <w:sz w:val="18"/>
        </w:rPr>
        <w:t xml:space="preserve"> </w:t>
      </w:r>
      <w:r>
        <w:rPr>
          <w:spacing w:val="-2"/>
          <w:sz w:val="18"/>
        </w:rPr>
        <w:t>5.133.</w:t>
      </w:r>
    </w:p>
    <w:p w14:paraId="51DE9B2A" w14:textId="77777777" w:rsidR="0010369C" w:rsidRDefault="008E43AE">
      <w:pPr>
        <w:ind w:left="238"/>
        <w:jc w:val="both"/>
        <w:rPr>
          <w:sz w:val="18"/>
        </w:rPr>
      </w:pPr>
      <w:r>
        <w:rPr>
          <w:sz w:val="18"/>
          <w:vertAlign w:val="superscript"/>
        </w:rPr>
        <w:t>1214</w:t>
      </w:r>
      <w:r>
        <w:rPr>
          <w:spacing w:val="-8"/>
          <w:sz w:val="18"/>
        </w:rPr>
        <w:t xml:space="preserve"> </w:t>
      </w:r>
      <w:r>
        <w:rPr>
          <w:sz w:val="18"/>
        </w:rPr>
        <w:t>Anti‐Dumping</w:t>
      </w:r>
      <w:r>
        <w:rPr>
          <w:spacing w:val="-8"/>
          <w:sz w:val="18"/>
        </w:rPr>
        <w:t xml:space="preserve"> </w:t>
      </w:r>
      <w:r>
        <w:rPr>
          <w:sz w:val="18"/>
        </w:rPr>
        <w:t>Final</w:t>
      </w:r>
      <w:r>
        <w:rPr>
          <w:spacing w:val="-8"/>
          <w:sz w:val="18"/>
        </w:rPr>
        <w:t xml:space="preserve"> </w:t>
      </w:r>
      <w:r>
        <w:rPr>
          <w:sz w:val="18"/>
        </w:rPr>
        <w:t>Disclosure</w:t>
      </w:r>
      <w:r>
        <w:rPr>
          <w:spacing w:val="-8"/>
          <w:sz w:val="18"/>
        </w:rPr>
        <w:t xml:space="preserve"> </w:t>
      </w:r>
      <w:r>
        <w:rPr>
          <w:sz w:val="18"/>
        </w:rPr>
        <w:t>(Exhibit</w:t>
      </w:r>
      <w:r>
        <w:rPr>
          <w:spacing w:val="-8"/>
          <w:sz w:val="18"/>
        </w:rPr>
        <w:t xml:space="preserve"> </w:t>
      </w:r>
      <w:r>
        <w:rPr>
          <w:sz w:val="18"/>
        </w:rPr>
        <w:t>AUS‐16),</w:t>
      </w:r>
      <w:r>
        <w:rPr>
          <w:spacing w:val="-9"/>
          <w:sz w:val="18"/>
        </w:rPr>
        <w:t xml:space="preserve"> </w:t>
      </w:r>
      <w:r>
        <w:rPr>
          <w:sz w:val="18"/>
        </w:rPr>
        <w:t>p.</w:t>
      </w:r>
      <w:r>
        <w:rPr>
          <w:spacing w:val="-7"/>
          <w:sz w:val="18"/>
        </w:rPr>
        <w:t xml:space="preserve"> </w:t>
      </w:r>
      <w:r>
        <w:rPr>
          <w:spacing w:val="-5"/>
          <w:sz w:val="18"/>
        </w:rPr>
        <w:t>48.</w:t>
      </w:r>
    </w:p>
    <w:p w14:paraId="51DE9B2B" w14:textId="77777777" w:rsidR="0010369C" w:rsidRDefault="0010369C">
      <w:pPr>
        <w:jc w:val="both"/>
        <w:rPr>
          <w:sz w:val="18"/>
        </w:rPr>
        <w:sectPr w:rsidR="0010369C">
          <w:headerReference w:type="default" r:id="rId1350"/>
          <w:footerReference w:type="default" r:id="rId1351"/>
          <w:pgSz w:w="11910" w:h="16840"/>
          <w:pgMar w:top="880" w:right="800" w:bottom="1340" w:left="1180" w:header="569" w:footer="1143" w:gutter="0"/>
          <w:cols w:space="720"/>
        </w:sectPr>
      </w:pPr>
    </w:p>
    <w:p w14:paraId="51DE9B2C" w14:textId="77777777" w:rsidR="0010369C" w:rsidRDefault="008E43AE">
      <w:pPr>
        <w:tabs>
          <w:tab w:val="left" w:pos="6425"/>
        </w:tabs>
        <w:ind w:left="238"/>
        <w:rPr>
          <w:sz w:val="20"/>
        </w:rPr>
      </w:pPr>
      <w:r>
        <w:rPr>
          <w:i/>
          <w:sz w:val="20"/>
        </w:rPr>
        <w:lastRenderedPageBreak/>
        <w:t>China</w:t>
      </w:r>
      <w:r>
        <w:rPr>
          <w:i/>
          <w:spacing w:val="-5"/>
          <w:sz w:val="20"/>
        </w:rPr>
        <w:t xml:space="preserve"> </w:t>
      </w:r>
      <w:r>
        <w:rPr>
          <w:i/>
          <w:sz w:val="20"/>
        </w:rPr>
        <w:t>–</w:t>
      </w:r>
      <w:r>
        <w:rPr>
          <w:i/>
          <w:spacing w:val="-5"/>
          <w:sz w:val="20"/>
        </w:rPr>
        <w:t xml:space="preserve"> </w:t>
      </w:r>
      <w:r>
        <w:rPr>
          <w:i/>
          <w:sz w:val="20"/>
        </w:rPr>
        <w:t>Anti‐Dumping</w:t>
      </w:r>
      <w:r>
        <w:rPr>
          <w:i/>
          <w:spacing w:val="-4"/>
          <w:sz w:val="20"/>
        </w:rPr>
        <w:t xml:space="preserve"> </w:t>
      </w:r>
      <w:r>
        <w:rPr>
          <w:i/>
          <w:sz w:val="20"/>
        </w:rPr>
        <w:t>and</w:t>
      </w:r>
      <w:r>
        <w:rPr>
          <w:i/>
          <w:spacing w:val="-5"/>
          <w:sz w:val="20"/>
        </w:rPr>
        <w:t xml:space="preserve"> </w:t>
      </w:r>
      <w:r>
        <w:rPr>
          <w:i/>
          <w:sz w:val="20"/>
        </w:rPr>
        <w:t>Countervailing</w:t>
      </w:r>
      <w:r>
        <w:rPr>
          <w:i/>
          <w:spacing w:val="-5"/>
          <w:sz w:val="20"/>
        </w:rPr>
        <w:t xml:space="preserve"> </w:t>
      </w:r>
      <w:r>
        <w:rPr>
          <w:i/>
          <w:sz w:val="20"/>
        </w:rPr>
        <w:t>Duty</w:t>
      </w:r>
      <w:r>
        <w:rPr>
          <w:i/>
          <w:spacing w:val="-4"/>
          <w:sz w:val="20"/>
        </w:rPr>
        <w:t xml:space="preserve"> </w:t>
      </w:r>
      <w:r>
        <w:rPr>
          <w:i/>
          <w:spacing w:val="-2"/>
          <w:sz w:val="20"/>
        </w:rPr>
        <w:t>Measures</w:t>
      </w:r>
      <w:r>
        <w:rPr>
          <w:i/>
          <w:sz w:val="20"/>
        </w:rPr>
        <w:tab/>
      </w:r>
      <w:r>
        <w:rPr>
          <w:sz w:val="20"/>
        </w:rPr>
        <w:t>Australia's</w:t>
      </w:r>
      <w:r>
        <w:rPr>
          <w:spacing w:val="-7"/>
          <w:sz w:val="20"/>
        </w:rPr>
        <w:t xml:space="preserve"> </w:t>
      </w:r>
      <w:r>
        <w:rPr>
          <w:sz w:val="20"/>
        </w:rPr>
        <w:t>First</w:t>
      </w:r>
      <w:r>
        <w:rPr>
          <w:spacing w:val="-2"/>
          <w:sz w:val="20"/>
        </w:rPr>
        <w:t xml:space="preserve"> </w:t>
      </w:r>
      <w:r>
        <w:rPr>
          <w:sz w:val="20"/>
        </w:rPr>
        <w:t>Written</w:t>
      </w:r>
      <w:r>
        <w:rPr>
          <w:spacing w:val="-2"/>
          <w:sz w:val="20"/>
        </w:rPr>
        <w:t xml:space="preserve"> Submission</w:t>
      </w:r>
    </w:p>
    <w:p w14:paraId="51DE9B2D" w14:textId="77777777" w:rsidR="0010369C" w:rsidRDefault="008E43AE">
      <w:pPr>
        <w:tabs>
          <w:tab w:val="left" w:pos="8227"/>
        </w:tabs>
        <w:spacing w:before="1"/>
        <w:ind w:left="239"/>
        <w:rPr>
          <w:sz w:val="20"/>
        </w:rPr>
      </w:pPr>
      <w:r>
        <w:rPr>
          <w:i/>
          <w:sz w:val="20"/>
        </w:rPr>
        <w:t>on</w:t>
      </w:r>
      <w:r>
        <w:rPr>
          <w:i/>
          <w:spacing w:val="-1"/>
          <w:sz w:val="20"/>
        </w:rPr>
        <w:t xml:space="preserve"> </w:t>
      </w:r>
      <w:r>
        <w:rPr>
          <w:i/>
          <w:sz w:val="20"/>
        </w:rPr>
        <w:t>Wine</w:t>
      </w:r>
      <w:r>
        <w:rPr>
          <w:i/>
          <w:spacing w:val="-1"/>
          <w:sz w:val="20"/>
        </w:rPr>
        <w:t xml:space="preserve"> </w:t>
      </w:r>
      <w:r>
        <w:rPr>
          <w:i/>
          <w:sz w:val="20"/>
        </w:rPr>
        <w:t>from</w:t>
      </w:r>
      <w:r>
        <w:rPr>
          <w:i/>
          <w:spacing w:val="-3"/>
          <w:sz w:val="20"/>
        </w:rPr>
        <w:t xml:space="preserve"> </w:t>
      </w:r>
      <w:r>
        <w:rPr>
          <w:i/>
          <w:sz w:val="20"/>
        </w:rPr>
        <w:t>Australia</w:t>
      </w:r>
      <w:r>
        <w:rPr>
          <w:i/>
          <w:spacing w:val="-1"/>
          <w:sz w:val="20"/>
        </w:rPr>
        <w:t xml:space="preserve"> </w:t>
      </w:r>
      <w:r>
        <w:rPr>
          <w:spacing w:val="-2"/>
          <w:sz w:val="20"/>
        </w:rPr>
        <w:t>(DS602)</w:t>
      </w:r>
      <w:r>
        <w:rPr>
          <w:sz w:val="20"/>
        </w:rPr>
        <w:tab/>
        <w:t>29</w:t>
      </w:r>
      <w:r>
        <w:rPr>
          <w:spacing w:val="-1"/>
          <w:sz w:val="20"/>
        </w:rPr>
        <w:t xml:space="preserve"> </w:t>
      </w:r>
      <w:r>
        <w:rPr>
          <w:sz w:val="20"/>
        </w:rPr>
        <w:t>April</w:t>
      </w:r>
      <w:r>
        <w:rPr>
          <w:spacing w:val="-2"/>
          <w:sz w:val="20"/>
        </w:rPr>
        <w:t xml:space="preserve"> </w:t>
      </w:r>
      <w:r>
        <w:rPr>
          <w:spacing w:val="-4"/>
          <w:sz w:val="20"/>
        </w:rPr>
        <w:t>2022</w:t>
      </w:r>
    </w:p>
    <w:p w14:paraId="51DE9B2E" w14:textId="77777777" w:rsidR="0010369C" w:rsidRDefault="008E43AE">
      <w:pPr>
        <w:pStyle w:val="BodyText"/>
        <w:spacing w:before="34" w:line="360" w:lineRule="auto"/>
        <w:ind w:left="236" w:right="612" w:firstLine="852"/>
        <w:jc w:val="both"/>
      </w:pPr>
      <w:r>
        <w:rPr>
          <w:noProof/>
        </w:rPr>
        <w:drawing>
          <wp:anchor distT="0" distB="0" distL="0" distR="0" simplePos="0" relativeHeight="251622912" behindDoc="1" locked="0" layoutInCell="1" allowOverlap="1" wp14:anchorId="51DEA8F6" wp14:editId="51DEA8F7">
            <wp:simplePos x="0" y="0"/>
            <wp:positionH relativeFrom="page">
              <wp:posOffset>908303</wp:posOffset>
            </wp:positionH>
            <wp:positionV relativeFrom="paragraph">
              <wp:posOffset>69165</wp:posOffset>
            </wp:positionV>
            <wp:extent cx="332231" cy="103631"/>
            <wp:effectExtent l="0" t="0" r="0" b="0"/>
            <wp:wrapNone/>
            <wp:docPr id="2051" name="image10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image1053.png"/>
                    <pic:cNvPicPr/>
                  </pic:nvPicPr>
                  <pic:blipFill>
                    <a:blip r:embed="rId1352" cstate="print"/>
                    <a:stretch>
                      <a:fillRect/>
                    </a:stretch>
                  </pic:blipFill>
                  <pic:spPr>
                    <a:xfrm>
                      <a:off x="0" y="0"/>
                      <a:ext cx="332231" cy="103631"/>
                    </a:xfrm>
                    <a:prstGeom prst="rect">
                      <a:avLst/>
                    </a:prstGeom>
                  </pic:spPr>
                </pic:pic>
              </a:graphicData>
            </a:graphic>
          </wp:anchor>
        </w:drawing>
      </w:r>
      <w:r>
        <w:t>MOFCOM</w:t>
      </w:r>
      <w:r>
        <w:rPr>
          <w:spacing w:val="-5"/>
        </w:rPr>
        <w:t xml:space="preserve"> </w:t>
      </w:r>
      <w:r>
        <w:t>was</w:t>
      </w:r>
      <w:r>
        <w:rPr>
          <w:spacing w:val="-5"/>
        </w:rPr>
        <w:t xml:space="preserve"> </w:t>
      </w:r>
      <w:r>
        <w:t>required</w:t>
      </w:r>
      <w:r>
        <w:rPr>
          <w:spacing w:val="-6"/>
        </w:rPr>
        <w:t xml:space="preserve"> </w:t>
      </w:r>
      <w:r>
        <w:t>to</w:t>
      </w:r>
      <w:r>
        <w:rPr>
          <w:spacing w:val="-5"/>
        </w:rPr>
        <w:t xml:space="preserve"> </w:t>
      </w:r>
      <w:r>
        <w:t>provide</w:t>
      </w:r>
      <w:r>
        <w:rPr>
          <w:spacing w:val="-4"/>
        </w:rPr>
        <w:t xml:space="preserve"> </w:t>
      </w:r>
      <w:r>
        <w:t>all</w:t>
      </w:r>
      <w:r>
        <w:rPr>
          <w:spacing w:val="-5"/>
        </w:rPr>
        <w:t xml:space="preserve"> </w:t>
      </w:r>
      <w:r>
        <w:t>non‐confidential</w:t>
      </w:r>
      <w:r>
        <w:rPr>
          <w:spacing w:val="-5"/>
        </w:rPr>
        <w:t xml:space="preserve"> </w:t>
      </w:r>
      <w:r>
        <w:t>information</w:t>
      </w:r>
      <w:r>
        <w:rPr>
          <w:spacing w:val="-4"/>
        </w:rPr>
        <w:t xml:space="preserve"> </w:t>
      </w:r>
      <w:r>
        <w:t>connected</w:t>
      </w:r>
      <w:r>
        <w:rPr>
          <w:spacing w:val="-5"/>
        </w:rPr>
        <w:t xml:space="preserve"> </w:t>
      </w:r>
      <w:r>
        <w:t>to</w:t>
      </w:r>
      <w:r>
        <w:rPr>
          <w:spacing w:val="-5"/>
        </w:rPr>
        <w:t xml:space="preserve"> </w:t>
      </w:r>
      <w:r>
        <w:t>the economic factors listed in Article 3.4.</w:t>
      </w:r>
      <w:r>
        <w:rPr>
          <w:vertAlign w:val="superscript"/>
        </w:rPr>
        <w:t>1215</w:t>
      </w:r>
      <w:r>
        <w:t xml:space="preserve"> When read with Article 3.1, this obligation necessitated "positive evidence" with "wide‐ranging information concerning the relevant economic</w:t>
      </w:r>
      <w:r>
        <w:rPr>
          <w:spacing w:val="-5"/>
        </w:rPr>
        <w:t xml:space="preserve"> </w:t>
      </w:r>
      <w:r>
        <w:t>factors</w:t>
      </w:r>
      <w:r>
        <w:rPr>
          <w:spacing w:val="-5"/>
        </w:rPr>
        <w:t xml:space="preserve"> </w:t>
      </w:r>
      <w:r>
        <w:t>in</w:t>
      </w:r>
      <w:r>
        <w:rPr>
          <w:spacing w:val="-5"/>
        </w:rPr>
        <w:t xml:space="preserve"> </w:t>
      </w:r>
      <w:r>
        <w:t>order</w:t>
      </w:r>
      <w:r>
        <w:rPr>
          <w:spacing w:val="-4"/>
        </w:rPr>
        <w:t xml:space="preserve"> </w:t>
      </w:r>
      <w:r>
        <w:t>to</w:t>
      </w:r>
      <w:r>
        <w:rPr>
          <w:spacing w:val="-5"/>
        </w:rPr>
        <w:t xml:space="preserve"> </w:t>
      </w:r>
      <w:r>
        <w:t>ensur</w:t>
      </w:r>
      <w:r>
        <w:t>e</w:t>
      </w:r>
      <w:r>
        <w:rPr>
          <w:spacing w:val="-5"/>
        </w:rPr>
        <w:t xml:space="preserve"> </w:t>
      </w:r>
      <w:r>
        <w:t>the</w:t>
      </w:r>
      <w:r>
        <w:rPr>
          <w:spacing w:val="-4"/>
        </w:rPr>
        <w:t xml:space="preserve"> </w:t>
      </w:r>
      <w:r>
        <w:t>accuracy</w:t>
      </w:r>
      <w:r>
        <w:rPr>
          <w:spacing w:val="-6"/>
        </w:rPr>
        <w:t xml:space="preserve"> </w:t>
      </w:r>
      <w:r>
        <w:t>of</w:t>
      </w:r>
      <w:r>
        <w:rPr>
          <w:spacing w:val="-5"/>
        </w:rPr>
        <w:t xml:space="preserve"> </w:t>
      </w:r>
      <w:r>
        <w:t>the</w:t>
      </w:r>
      <w:r>
        <w:rPr>
          <w:spacing w:val="-4"/>
        </w:rPr>
        <w:t xml:space="preserve"> </w:t>
      </w:r>
      <w:r>
        <w:t>investigation</w:t>
      </w:r>
      <w:r>
        <w:rPr>
          <w:spacing w:val="-4"/>
        </w:rPr>
        <w:t xml:space="preserve"> </w:t>
      </w:r>
      <w:r>
        <w:t>concerning</w:t>
      </w:r>
      <w:r>
        <w:rPr>
          <w:spacing w:val="-5"/>
        </w:rPr>
        <w:t xml:space="preserve"> </w:t>
      </w:r>
      <w:r>
        <w:t>the</w:t>
      </w:r>
      <w:r>
        <w:rPr>
          <w:spacing w:val="-4"/>
        </w:rPr>
        <w:t xml:space="preserve"> </w:t>
      </w:r>
      <w:r>
        <w:t>relevant economic</w:t>
      </w:r>
      <w:r>
        <w:rPr>
          <w:spacing w:val="-1"/>
        </w:rPr>
        <w:t xml:space="preserve"> </w:t>
      </w:r>
      <w:r>
        <w:t>factors".</w:t>
      </w:r>
      <w:r>
        <w:rPr>
          <w:vertAlign w:val="superscript"/>
        </w:rPr>
        <w:t>1216</w:t>
      </w:r>
      <w:r>
        <w:rPr>
          <w:spacing w:val="-2"/>
        </w:rPr>
        <w:t xml:space="preserve"> </w:t>
      </w:r>
      <w:r>
        <w:t>MOFCOM</w:t>
      </w:r>
      <w:r>
        <w:rPr>
          <w:spacing w:val="-1"/>
        </w:rPr>
        <w:t xml:space="preserve"> </w:t>
      </w:r>
      <w:r>
        <w:t>considered</w:t>
      </w:r>
      <w:r>
        <w:rPr>
          <w:spacing w:val="-2"/>
        </w:rPr>
        <w:t xml:space="preserve"> </w:t>
      </w:r>
      <w:r>
        <w:t>16</w:t>
      </w:r>
      <w:r>
        <w:rPr>
          <w:spacing w:val="-2"/>
        </w:rPr>
        <w:t xml:space="preserve"> </w:t>
      </w:r>
      <w:r>
        <w:t>factors</w:t>
      </w:r>
      <w:r>
        <w:rPr>
          <w:spacing w:val="-2"/>
        </w:rPr>
        <w:t xml:space="preserve"> </w:t>
      </w:r>
      <w:r>
        <w:t>to</w:t>
      </w:r>
      <w:r>
        <w:rPr>
          <w:spacing w:val="-2"/>
        </w:rPr>
        <w:t xml:space="preserve"> </w:t>
      </w:r>
      <w:r>
        <w:t>assess</w:t>
      </w:r>
      <w:r>
        <w:rPr>
          <w:spacing w:val="-1"/>
        </w:rPr>
        <w:t xml:space="preserve"> </w:t>
      </w:r>
      <w:r>
        <w:t>the</w:t>
      </w:r>
      <w:r>
        <w:rPr>
          <w:spacing w:val="-2"/>
        </w:rPr>
        <w:t xml:space="preserve"> </w:t>
      </w:r>
      <w:r>
        <w:t>impact</w:t>
      </w:r>
      <w:r>
        <w:rPr>
          <w:spacing w:val="-3"/>
        </w:rPr>
        <w:t xml:space="preserve"> </w:t>
      </w:r>
      <w:r>
        <w:t>of</w:t>
      </w:r>
      <w:r>
        <w:rPr>
          <w:spacing w:val="-2"/>
        </w:rPr>
        <w:t xml:space="preserve"> </w:t>
      </w:r>
      <w:r>
        <w:t>the</w:t>
      </w:r>
      <w:r>
        <w:rPr>
          <w:spacing w:val="-2"/>
        </w:rPr>
        <w:t xml:space="preserve"> </w:t>
      </w:r>
      <w:r>
        <w:t>"dumped" products on domestic industry.</w:t>
      </w:r>
      <w:r>
        <w:rPr>
          <w:vertAlign w:val="superscript"/>
        </w:rPr>
        <w:t>1217</w:t>
      </w:r>
      <w:r>
        <w:t xml:space="preserve"> For the factors it did consider, MOFCOM's consideration merely consisted of a conclusive statement coupled with data of an unknown origin. There was no disclosure to the interested parties of the sources for this data, which deprived the parties of the op</w:t>
      </w:r>
      <w:r>
        <w:t xml:space="preserve">portunities to make submissions on the accuracy and adequacy of that </w:t>
      </w:r>
      <w:r>
        <w:rPr>
          <w:spacing w:val="-2"/>
        </w:rPr>
        <w:t>information.</w:t>
      </w:r>
    </w:p>
    <w:p w14:paraId="51DE9B2F" w14:textId="77777777" w:rsidR="0010369C" w:rsidRDefault="0010369C">
      <w:pPr>
        <w:pStyle w:val="BodyText"/>
        <w:spacing w:before="10"/>
        <w:rPr>
          <w:sz w:val="8"/>
        </w:rPr>
      </w:pPr>
    </w:p>
    <w:p w14:paraId="51DE9B30" w14:textId="77777777" w:rsidR="0010369C" w:rsidRDefault="008E43AE">
      <w:pPr>
        <w:pStyle w:val="BodyText"/>
        <w:spacing w:before="53" w:line="360" w:lineRule="auto"/>
        <w:ind w:left="236" w:right="613" w:firstLine="13"/>
        <w:jc w:val="both"/>
      </w:pPr>
      <w:r>
        <w:rPr>
          <w:noProof/>
        </w:rPr>
        <w:drawing>
          <wp:inline distT="0" distB="0" distL="0" distR="0" wp14:anchorId="51DEA8F8" wp14:editId="51DEA8F9">
            <wp:extent cx="332231" cy="109727"/>
            <wp:effectExtent l="0" t="0" r="0" b="0"/>
            <wp:docPr id="2053" name="image10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image1054.png"/>
                    <pic:cNvPicPr/>
                  </pic:nvPicPr>
                  <pic:blipFill>
                    <a:blip r:embed="rId1353" cstate="print"/>
                    <a:stretch>
                      <a:fillRect/>
                    </a:stretch>
                  </pic:blipFill>
                  <pic:spPr>
                    <a:xfrm>
                      <a:off x="0" y="0"/>
                      <a:ext cx="332231" cy="109727"/>
                    </a:xfrm>
                    <a:prstGeom prst="rect">
                      <a:avLst/>
                    </a:prstGeom>
                  </pic:spPr>
                </pic:pic>
              </a:graphicData>
            </a:graphic>
          </wp:inline>
        </w:drawing>
      </w:r>
      <w:r>
        <w:rPr>
          <w:rFonts w:ascii="Times New Roman" w:hAnsi="Times New Roman"/>
          <w:spacing w:val="80"/>
          <w:w w:val="150"/>
          <w:position w:val="1"/>
          <w:sz w:val="20"/>
        </w:rPr>
        <w:t xml:space="preserve"> </w:t>
      </w:r>
      <w:r>
        <w:rPr>
          <w:position w:val="1"/>
        </w:rPr>
        <w:t xml:space="preserve">MOFCOM made a series of bare assertions that sought to tie the aforementioned </w:t>
      </w:r>
      <w:r>
        <w:t xml:space="preserve">trends in Australian wine imports to domestic industry conditions, such as "the price of the </w:t>
      </w:r>
      <w:r>
        <w:t>dumped imported product suppressed the prices of domestic like products".</w:t>
      </w:r>
      <w:r>
        <w:rPr>
          <w:vertAlign w:val="superscript"/>
        </w:rPr>
        <w:t>1218</w:t>
      </w:r>
      <w:r>
        <w:t xml:space="preserve"> However, MOFCOM did not provide the evidentiary basis to support the chain of causality. MOFCOM did not provide the essential facts under consideration, if such facts existed, es</w:t>
      </w:r>
      <w:r>
        <w:t>tablishing anything more than mere correlation in time series trends. These were essential to understanding MOFCOM's causal analysis. MOFCOM's approach also fell far short of the "wide‐ranging information" threshold.</w:t>
      </w:r>
      <w:r>
        <w:rPr>
          <w:vertAlign w:val="superscript"/>
        </w:rPr>
        <w:t>1219</w:t>
      </w:r>
    </w:p>
    <w:p w14:paraId="51DE9B31" w14:textId="77777777" w:rsidR="0010369C" w:rsidRDefault="0010369C">
      <w:pPr>
        <w:pStyle w:val="BodyText"/>
        <w:spacing w:before="10"/>
        <w:rPr>
          <w:sz w:val="8"/>
        </w:rPr>
      </w:pPr>
    </w:p>
    <w:p w14:paraId="51DE9B32" w14:textId="77777777" w:rsidR="0010369C" w:rsidRDefault="008E43AE">
      <w:pPr>
        <w:pStyle w:val="BodyText"/>
        <w:spacing w:before="51" w:line="360" w:lineRule="auto"/>
        <w:ind w:left="237" w:right="612" w:firstLine="852"/>
        <w:jc w:val="both"/>
      </w:pPr>
      <w:r>
        <w:rPr>
          <w:noProof/>
        </w:rPr>
        <w:drawing>
          <wp:anchor distT="0" distB="0" distL="0" distR="0" simplePos="0" relativeHeight="251623936" behindDoc="1" locked="0" layoutInCell="1" allowOverlap="1" wp14:anchorId="51DEA8FA" wp14:editId="51DEA8FB">
            <wp:simplePos x="0" y="0"/>
            <wp:positionH relativeFrom="page">
              <wp:posOffset>908303</wp:posOffset>
            </wp:positionH>
            <wp:positionV relativeFrom="paragraph">
              <wp:posOffset>75388</wp:posOffset>
            </wp:positionV>
            <wp:extent cx="332231" cy="106679"/>
            <wp:effectExtent l="0" t="0" r="0" b="0"/>
            <wp:wrapNone/>
            <wp:docPr id="2055" name="image10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image1055.png"/>
                    <pic:cNvPicPr/>
                  </pic:nvPicPr>
                  <pic:blipFill>
                    <a:blip r:embed="rId1354" cstate="print"/>
                    <a:stretch>
                      <a:fillRect/>
                    </a:stretch>
                  </pic:blipFill>
                  <pic:spPr>
                    <a:xfrm>
                      <a:off x="0" y="0"/>
                      <a:ext cx="332231" cy="106679"/>
                    </a:xfrm>
                    <a:prstGeom prst="rect">
                      <a:avLst/>
                    </a:prstGeom>
                  </pic:spPr>
                </pic:pic>
              </a:graphicData>
            </a:graphic>
          </wp:anchor>
        </w:drawing>
      </w:r>
      <w:r>
        <w:t>In relation to the calculation of</w:t>
      </w:r>
      <w:r>
        <w:t xml:space="preserve"> the average import price for Australian wine, MOFCOM failed to provide all non‐confidential, essential facts concerning: the methodology it adopted to calculate the average import price; the value of adjustments it applied during the calculation process; </w:t>
      </w:r>
      <w:r>
        <w:t>and the CIF price data, exchange rate, tariff rate and customs clearance costs. In its Final Disclosure, MOFCOM stated that the import price for subject imports was "[b]ased on the CIF price of the dumped imported product provided by China Customs", with a</w:t>
      </w:r>
      <w:r>
        <w:t>djustments applied for exchange rates, tariff rates and customs clearance costs.</w:t>
      </w:r>
      <w:r>
        <w:rPr>
          <w:vertAlign w:val="superscript"/>
        </w:rPr>
        <w:t>1220</w:t>
      </w:r>
      <w:r>
        <w:t xml:space="preserve"> MOFCOM then provided the yearly average import price for Australian wine products.</w:t>
      </w:r>
      <w:r>
        <w:rPr>
          <w:spacing w:val="21"/>
        </w:rPr>
        <w:t xml:space="preserve"> </w:t>
      </w:r>
      <w:r>
        <w:t>This</w:t>
      </w:r>
      <w:r>
        <w:rPr>
          <w:spacing w:val="21"/>
        </w:rPr>
        <w:t xml:space="preserve"> </w:t>
      </w:r>
      <w:r>
        <w:t>amounted</w:t>
      </w:r>
      <w:r>
        <w:rPr>
          <w:spacing w:val="21"/>
        </w:rPr>
        <w:t xml:space="preserve"> </w:t>
      </w:r>
      <w:r>
        <w:t>to</w:t>
      </w:r>
      <w:r>
        <w:rPr>
          <w:spacing w:val="21"/>
        </w:rPr>
        <w:t xml:space="preserve"> </w:t>
      </w:r>
      <w:r>
        <w:t>a</w:t>
      </w:r>
      <w:r>
        <w:rPr>
          <w:spacing w:val="21"/>
        </w:rPr>
        <w:t xml:space="preserve"> </w:t>
      </w:r>
      <w:r>
        <w:t>statement</w:t>
      </w:r>
      <w:r>
        <w:rPr>
          <w:spacing w:val="21"/>
        </w:rPr>
        <w:t xml:space="preserve"> </w:t>
      </w:r>
      <w:r>
        <w:t>of</w:t>
      </w:r>
      <w:r>
        <w:rPr>
          <w:spacing w:val="21"/>
        </w:rPr>
        <w:t xml:space="preserve"> </w:t>
      </w:r>
      <w:r>
        <w:t>conclusion,</w:t>
      </w:r>
      <w:r>
        <w:rPr>
          <w:spacing w:val="22"/>
        </w:rPr>
        <w:t xml:space="preserve"> </w:t>
      </w:r>
      <w:r>
        <w:t>rather</w:t>
      </w:r>
      <w:r>
        <w:rPr>
          <w:spacing w:val="21"/>
        </w:rPr>
        <w:t xml:space="preserve"> </w:t>
      </w:r>
      <w:r>
        <w:t>than</w:t>
      </w:r>
      <w:r>
        <w:rPr>
          <w:spacing w:val="21"/>
        </w:rPr>
        <w:t xml:space="preserve"> </w:t>
      </w:r>
      <w:r>
        <w:t>a</w:t>
      </w:r>
      <w:r>
        <w:rPr>
          <w:spacing w:val="21"/>
        </w:rPr>
        <w:t xml:space="preserve"> </w:t>
      </w:r>
      <w:r>
        <w:t>detailed</w:t>
      </w:r>
      <w:r>
        <w:rPr>
          <w:spacing w:val="22"/>
        </w:rPr>
        <w:t xml:space="preserve"> </w:t>
      </w:r>
      <w:r>
        <w:rPr>
          <w:spacing w:val="-2"/>
        </w:rPr>
        <w:t>explanation</w:t>
      </w:r>
    </w:p>
    <w:p w14:paraId="51DE9B33" w14:textId="77777777" w:rsidR="0010369C" w:rsidRDefault="008E43AE">
      <w:pPr>
        <w:pStyle w:val="BodyText"/>
        <w:spacing w:before="8"/>
        <w:rPr>
          <w:sz w:val="28"/>
        </w:rPr>
      </w:pPr>
      <w:r>
        <w:pict w14:anchorId="51DEA8FC">
          <v:rect id="docshape1442" o:spid="_x0000_s1069" style="position:absolute;margin-left:70.9pt;margin-top:18.75pt;width:2in;height:.8pt;z-index:-250676736;mso-wrap-distance-left:0;mso-wrap-distance-right:0;mso-position-horizontal-relative:page" fillcolor="black" stroked="f">
            <w10:wrap type="topAndBottom" anchorx="page"/>
          </v:rect>
        </w:pict>
      </w:r>
    </w:p>
    <w:p w14:paraId="51DE9B34" w14:textId="77777777" w:rsidR="0010369C" w:rsidRDefault="008E43AE">
      <w:pPr>
        <w:spacing w:before="109"/>
        <w:ind w:left="238"/>
        <w:rPr>
          <w:sz w:val="18"/>
        </w:rPr>
      </w:pPr>
      <w:r>
        <w:rPr>
          <w:sz w:val="18"/>
          <w:vertAlign w:val="superscript"/>
        </w:rPr>
        <w:t>1215</w:t>
      </w:r>
      <w:r>
        <w:rPr>
          <w:spacing w:val="-6"/>
          <w:sz w:val="18"/>
        </w:rPr>
        <w:t xml:space="preserve"> </w:t>
      </w:r>
      <w:r>
        <w:rPr>
          <w:sz w:val="18"/>
        </w:rPr>
        <w:t>Appellate</w:t>
      </w:r>
      <w:r>
        <w:rPr>
          <w:spacing w:val="-5"/>
          <w:sz w:val="18"/>
        </w:rPr>
        <w:t xml:space="preserve"> </w:t>
      </w:r>
      <w:r>
        <w:rPr>
          <w:sz w:val="18"/>
        </w:rPr>
        <w:t>Body,</w:t>
      </w:r>
      <w:r>
        <w:rPr>
          <w:spacing w:val="-7"/>
          <w:sz w:val="18"/>
        </w:rPr>
        <w:t xml:space="preserve"> </w:t>
      </w:r>
      <w:r>
        <w:rPr>
          <w:i/>
          <w:sz w:val="18"/>
        </w:rPr>
        <w:t>EC</w:t>
      </w:r>
      <w:r>
        <w:rPr>
          <w:i/>
          <w:spacing w:val="-6"/>
          <w:sz w:val="18"/>
        </w:rPr>
        <w:t xml:space="preserve"> </w:t>
      </w:r>
      <w:r>
        <w:rPr>
          <w:i/>
          <w:sz w:val="18"/>
        </w:rPr>
        <w:t>–</w:t>
      </w:r>
      <w:r>
        <w:rPr>
          <w:i/>
          <w:spacing w:val="-5"/>
          <w:sz w:val="18"/>
        </w:rPr>
        <w:t xml:space="preserve"> </w:t>
      </w:r>
      <w:r>
        <w:rPr>
          <w:i/>
          <w:sz w:val="18"/>
        </w:rPr>
        <w:t>Fasteners</w:t>
      </w:r>
      <w:r>
        <w:rPr>
          <w:i/>
          <w:spacing w:val="-6"/>
          <w:sz w:val="18"/>
        </w:rPr>
        <w:t xml:space="preserve"> </w:t>
      </w:r>
      <w:r>
        <w:rPr>
          <w:i/>
          <w:sz w:val="18"/>
        </w:rPr>
        <w:t>(China)</w:t>
      </w:r>
      <w:r>
        <w:rPr>
          <w:sz w:val="18"/>
        </w:rPr>
        <w:t>,</w:t>
      </w:r>
      <w:r>
        <w:rPr>
          <w:spacing w:val="-6"/>
          <w:sz w:val="18"/>
        </w:rPr>
        <w:t xml:space="preserve"> </w:t>
      </w:r>
      <w:r>
        <w:rPr>
          <w:sz w:val="18"/>
        </w:rPr>
        <w:t>para.</w:t>
      </w:r>
      <w:r>
        <w:rPr>
          <w:spacing w:val="-5"/>
          <w:sz w:val="18"/>
        </w:rPr>
        <w:t xml:space="preserve"> </w:t>
      </w:r>
      <w:r>
        <w:rPr>
          <w:spacing w:val="-4"/>
          <w:sz w:val="18"/>
        </w:rPr>
        <w:t>413.</w:t>
      </w:r>
    </w:p>
    <w:p w14:paraId="51DE9B35" w14:textId="77777777" w:rsidR="0010369C" w:rsidRDefault="008E43AE">
      <w:pPr>
        <w:ind w:left="238"/>
        <w:rPr>
          <w:sz w:val="18"/>
        </w:rPr>
      </w:pPr>
      <w:r>
        <w:rPr>
          <w:sz w:val="18"/>
          <w:vertAlign w:val="superscript"/>
        </w:rPr>
        <w:t>1216</w:t>
      </w:r>
      <w:r>
        <w:rPr>
          <w:spacing w:val="-3"/>
          <w:sz w:val="18"/>
        </w:rPr>
        <w:t xml:space="preserve"> </w:t>
      </w:r>
      <w:r>
        <w:rPr>
          <w:spacing w:val="-2"/>
          <w:sz w:val="18"/>
        </w:rPr>
        <w:t>Ibid.</w:t>
      </w:r>
    </w:p>
    <w:p w14:paraId="51DE9B36" w14:textId="77777777" w:rsidR="0010369C" w:rsidRDefault="008E43AE">
      <w:pPr>
        <w:spacing w:before="1"/>
        <w:ind w:left="238"/>
        <w:rPr>
          <w:sz w:val="18"/>
        </w:rPr>
      </w:pPr>
      <w:r>
        <w:rPr>
          <w:sz w:val="18"/>
          <w:vertAlign w:val="superscript"/>
        </w:rPr>
        <w:t>1217</w:t>
      </w:r>
      <w:r>
        <w:rPr>
          <w:spacing w:val="-9"/>
          <w:sz w:val="18"/>
        </w:rPr>
        <w:t xml:space="preserve"> </w:t>
      </w:r>
      <w:r>
        <w:rPr>
          <w:sz w:val="18"/>
        </w:rPr>
        <w:t>Anti‐Dumping</w:t>
      </w:r>
      <w:r>
        <w:rPr>
          <w:spacing w:val="-8"/>
          <w:sz w:val="18"/>
        </w:rPr>
        <w:t xml:space="preserve"> </w:t>
      </w:r>
      <w:r>
        <w:rPr>
          <w:sz w:val="18"/>
        </w:rPr>
        <w:t>Final</w:t>
      </w:r>
      <w:r>
        <w:rPr>
          <w:spacing w:val="-8"/>
          <w:sz w:val="18"/>
        </w:rPr>
        <w:t xml:space="preserve"> </w:t>
      </w:r>
      <w:r>
        <w:rPr>
          <w:sz w:val="18"/>
        </w:rPr>
        <w:t>Disclosure</w:t>
      </w:r>
      <w:r>
        <w:rPr>
          <w:spacing w:val="-8"/>
          <w:sz w:val="18"/>
        </w:rPr>
        <w:t xml:space="preserve"> </w:t>
      </w:r>
      <w:r>
        <w:rPr>
          <w:sz w:val="18"/>
        </w:rPr>
        <w:t>(Exhibit</w:t>
      </w:r>
      <w:r>
        <w:rPr>
          <w:spacing w:val="-8"/>
          <w:sz w:val="18"/>
        </w:rPr>
        <w:t xml:space="preserve"> </w:t>
      </w:r>
      <w:r>
        <w:rPr>
          <w:sz w:val="18"/>
        </w:rPr>
        <w:t>AUS‐16),</w:t>
      </w:r>
      <w:r>
        <w:rPr>
          <w:spacing w:val="-8"/>
          <w:sz w:val="18"/>
        </w:rPr>
        <w:t xml:space="preserve"> </w:t>
      </w:r>
      <w:r>
        <w:rPr>
          <w:sz w:val="18"/>
        </w:rPr>
        <w:t>pp.</w:t>
      </w:r>
      <w:r>
        <w:rPr>
          <w:spacing w:val="-8"/>
          <w:sz w:val="18"/>
        </w:rPr>
        <w:t xml:space="preserve"> </w:t>
      </w:r>
      <w:r>
        <w:rPr>
          <w:spacing w:val="-2"/>
          <w:sz w:val="18"/>
        </w:rPr>
        <w:t>71‐76.</w:t>
      </w:r>
    </w:p>
    <w:p w14:paraId="51DE9B37" w14:textId="77777777" w:rsidR="0010369C" w:rsidRDefault="008E43AE">
      <w:pPr>
        <w:ind w:left="238"/>
        <w:rPr>
          <w:sz w:val="18"/>
        </w:rPr>
      </w:pPr>
      <w:r>
        <w:rPr>
          <w:sz w:val="18"/>
          <w:vertAlign w:val="superscript"/>
        </w:rPr>
        <w:t>1218</w:t>
      </w:r>
      <w:r>
        <w:rPr>
          <w:spacing w:val="-8"/>
          <w:sz w:val="18"/>
        </w:rPr>
        <w:t xml:space="preserve"> </w:t>
      </w:r>
      <w:r>
        <w:rPr>
          <w:sz w:val="18"/>
        </w:rPr>
        <w:t>Anti‐Dumping</w:t>
      </w:r>
      <w:r>
        <w:rPr>
          <w:spacing w:val="-8"/>
          <w:sz w:val="18"/>
        </w:rPr>
        <w:t xml:space="preserve"> </w:t>
      </w:r>
      <w:r>
        <w:rPr>
          <w:sz w:val="18"/>
        </w:rPr>
        <w:t>Final</w:t>
      </w:r>
      <w:r>
        <w:rPr>
          <w:spacing w:val="-8"/>
          <w:sz w:val="18"/>
        </w:rPr>
        <w:t xml:space="preserve"> </w:t>
      </w:r>
      <w:r>
        <w:rPr>
          <w:sz w:val="18"/>
        </w:rPr>
        <w:t>Disclosure</w:t>
      </w:r>
      <w:r>
        <w:rPr>
          <w:spacing w:val="-8"/>
          <w:sz w:val="18"/>
        </w:rPr>
        <w:t xml:space="preserve"> </w:t>
      </w:r>
      <w:r>
        <w:rPr>
          <w:sz w:val="18"/>
        </w:rPr>
        <w:t>(Exhibit</w:t>
      </w:r>
      <w:r>
        <w:rPr>
          <w:spacing w:val="-8"/>
          <w:sz w:val="18"/>
        </w:rPr>
        <w:t xml:space="preserve"> </w:t>
      </w:r>
      <w:r>
        <w:rPr>
          <w:sz w:val="18"/>
        </w:rPr>
        <w:t>AUS‐16),</w:t>
      </w:r>
      <w:r>
        <w:rPr>
          <w:spacing w:val="-9"/>
          <w:sz w:val="18"/>
        </w:rPr>
        <w:t xml:space="preserve"> </w:t>
      </w:r>
      <w:r>
        <w:rPr>
          <w:sz w:val="18"/>
        </w:rPr>
        <w:t>p.</w:t>
      </w:r>
      <w:r>
        <w:rPr>
          <w:spacing w:val="-7"/>
          <w:sz w:val="18"/>
        </w:rPr>
        <w:t xml:space="preserve"> </w:t>
      </w:r>
      <w:r>
        <w:rPr>
          <w:spacing w:val="-5"/>
          <w:sz w:val="18"/>
        </w:rPr>
        <w:t>78.</w:t>
      </w:r>
    </w:p>
    <w:p w14:paraId="51DE9B38" w14:textId="77777777" w:rsidR="0010369C" w:rsidRDefault="008E43AE">
      <w:pPr>
        <w:ind w:left="238"/>
        <w:rPr>
          <w:sz w:val="18"/>
        </w:rPr>
      </w:pPr>
      <w:r>
        <w:rPr>
          <w:sz w:val="18"/>
          <w:vertAlign w:val="superscript"/>
        </w:rPr>
        <w:t>1219</w:t>
      </w:r>
      <w:r>
        <w:rPr>
          <w:spacing w:val="-6"/>
          <w:sz w:val="18"/>
        </w:rPr>
        <w:t xml:space="preserve"> </w:t>
      </w:r>
      <w:r>
        <w:rPr>
          <w:sz w:val="18"/>
        </w:rPr>
        <w:t>Appellate</w:t>
      </w:r>
      <w:r>
        <w:rPr>
          <w:spacing w:val="-5"/>
          <w:sz w:val="18"/>
        </w:rPr>
        <w:t xml:space="preserve"> </w:t>
      </w:r>
      <w:r>
        <w:rPr>
          <w:sz w:val="18"/>
        </w:rPr>
        <w:t>Body,</w:t>
      </w:r>
      <w:r>
        <w:rPr>
          <w:spacing w:val="-7"/>
          <w:sz w:val="18"/>
        </w:rPr>
        <w:t xml:space="preserve"> </w:t>
      </w:r>
      <w:r>
        <w:rPr>
          <w:i/>
          <w:sz w:val="18"/>
        </w:rPr>
        <w:t>EC</w:t>
      </w:r>
      <w:r>
        <w:rPr>
          <w:i/>
          <w:spacing w:val="-6"/>
          <w:sz w:val="18"/>
        </w:rPr>
        <w:t xml:space="preserve"> </w:t>
      </w:r>
      <w:r>
        <w:rPr>
          <w:i/>
          <w:sz w:val="18"/>
        </w:rPr>
        <w:t>–</w:t>
      </w:r>
      <w:r>
        <w:rPr>
          <w:i/>
          <w:spacing w:val="-5"/>
          <w:sz w:val="18"/>
        </w:rPr>
        <w:t xml:space="preserve"> </w:t>
      </w:r>
      <w:r>
        <w:rPr>
          <w:i/>
          <w:sz w:val="18"/>
        </w:rPr>
        <w:t>Fasteners</w:t>
      </w:r>
      <w:r>
        <w:rPr>
          <w:i/>
          <w:spacing w:val="-6"/>
          <w:sz w:val="18"/>
        </w:rPr>
        <w:t xml:space="preserve"> </w:t>
      </w:r>
      <w:r>
        <w:rPr>
          <w:i/>
          <w:sz w:val="18"/>
        </w:rPr>
        <w:t>(China)</w:t>
      </w:r>
      <w:r>
        <w:rPr>
          <w:sz w:val="18"/>
        </w:rPr>
        <w:t>,</w:t>
      </w:r>
      <w:r>
        <w:rPr>
          <w:spacing w:val="-6"/>
          <w:sz w:val="18"/>
        </w:rPr>
        <w:t xml:space="preserve"> </w:t>
      </w:r>
      <w:r>
        <w:rPr>
          <w:sz w:val="18"/>
        </w:rPr>
        <w:t>para.</w:t>
      </w:r>
      <w:r>
        <w:rPr>
          <w:spacing w:val="-5"/>
          <w:sz w:val="18"/>
        </w:rPr>
        <w:t xml:space="preserve"> </w:t>
      </w:r>
      <w:r>
        <w:rPr>
          <w:spacing w:val="-4"/>
          <w:sz w:val="18"/>
        </w:rPr>
        <w:t>413.</w:t>
      </w:r>
    </w:p>
    <w:p w14:paraId="51DE9B39" w14:textId="77777777" w:rsidR="0010369C" w:rsidRDefault="008E43AE">
      <w:pPr>
        <w:ind w:left="238"/>
        <w:rPr>
          <w:sz w:val="18"/>
        </w:rPr>
      </w:pPr>
      <w:r>
        <w:rPr>
          <w:sz w:val="18"/>
          <w:vertAlign w:val="superscript"/>
        </w:rPr>
        <w:t>1220</w:t>
      </w:r>
      <w:r>
        <w:rPr>
          <w:spacing w:val="-8"/>
          <w:sz w:val="18"/>
        </w:rPr>
        <w:t xml:space="preserve"> </w:t>
      </w:r>
      <w:r>
        <w:rPr>
          <w:sz w:val="18"/>
        </w:rPr>
        <w:t>Anti‐Dumping</w:t>
      </w:r>
      <w:r>
        <w:rPr>
          <w:spacing w:val="-8"/>
          <w:sz w:val="18"/>
        </w:rPr>
        <w:t xml:space="preserve"> </w:t>
      </w:r>
      <w:r>
        <w:rPr>
          <w:sz w:val="18"/>
        </w:rPr>
        <w:t>Final</w:t>
      </w:r>
      <w:r>
        <w:rPr>
          <w:spacing w:val="-8"/>
          <w:sz w:val="18"/>
        </w:rPr>
        <w:t xml:space="preserve"> </w:t>
      </w:r>
      <w:r>
        <w:rPr>
          <w:sz w:val="18"/>
        </w:rPr>
        <w:t>Disclosure</w:t>
      </w:r>
      <w:r>
        <w:rPr>
          <w:spacing w:val="-8"/>
          <w:sz w:val="18"/>
        </w:rPr>
        <w:t xml:space="preserve"> </w:t>
      </w:r>
      <w:r>
        <w:rPr>
          <w:sz w:val="18"/>
        </w:rPr>
        <w:t>(Exhibit</w:t>
      </w:r>
      <w:r>
        <w:rPr>
          <w:spacing w:val="-8"/>
          <w:sz w:val="18"/>
        </w:rPr>
        <w:t xml:space="preserve"> </w:t>
      </w:r>
      <w:r>
        <w:rPr>
          <w:sz w:val="18"/>
        </w:rPr>
        <w:t>AUS‐16),</w:t>
      </w:r>
      <w:r>
        <w:rPr>
          <w:spacing w:val="-9"/>
          <w:sz w:val="18"/>
        </w:rPr>
        <w:t xml:space="preserve"> </w:t>
      </w:r>
      <w:r>
        <w:rPr>
          <w:sz w:val="18"/>
        </w:rPr>
        <w:t>p.</w:t>
      </w:r>
      <w:r>
        <w:rPr>
          <w:spacing w:val="-7"/>
          <w:sz w:val="18"/>
        </w:rPr>
        <w:t xml:space="preserve"> </w:t>
      </w:r>
      <w:r>
        <w:rPr>
          <w:spacing w:val="-5"/>
          <w:sz w:val="18"/>
        </w:rPr>
        <w:t>62.</w:t>
      </w:r>
    </w:p>
    <w:p w14:paraId="51DE9B3A" w14:textId="77777777" w:rsidR="0010369C" w:rsidRDefault="0010369C">
      <w:pPr>
        <w:rPr>
          <w:sz w:val="18"/>
        </w:rPr>
        <w:sectPr w:rsidR="0010369C">
          <w:headerReference w:type="default" r:id="rId1355"/>
          <w:footerReference w:type="default" r:id="rId1356"/>
          <w:pgSz w:w="11910" w:h="16840"/>
          <w:pgMar w:top="880" w:right="800" w:bottom="980" w:left="1180" w:header="569" w:footer="788" w:gutter="0"/>
          <w:cols w:space="720"/>
        </w:sectPr>
      </w:pPr>
    </w:p>
    <w:p w14:paraId="51DE9B3B" w14:textId="77777777" w:rsidR="0010369C" w:rsidRDefault="008E43AE">
      <w:pPr>
        <w:tabs>
          <w:tab w:val="left" w:pos="6425"/>
        </w:tabs>
        <w:ind w:left="238"/>
        <w:jc w:val="both"/>
        <w:rPr>
          <w:sz w:val="20"/>
        </w:rPr>
      </w:pPr>
      <w:r>
        <w:rPr>
          <w:i/>
          <w:sz w:val="20"/>
        </w:rPr>
        <w:lastRenderedPageBreak/>
        <w:t>China</w:t>
      </w:r>
      <w:r>
        <w:rPr>
          <w:i/>
          <w:spacing w:val="-5"/>
          <w:sz w:val="20"/>
        </w:rPr>
        <w:t xml:space="preserve"> </w:t>
      </w:r>
      <w:r>
        <w:rPr>
          <w:i/>
          <w:sz w:val="20"/>
        </w:rPr>
        <w:t>–</w:t>
      </w:r>
      <w:r>
        <w:rPr>
          <w:i/>
          <w:spacing w:val="-5"/>
          <w:sz w:val="20"/>
        </w:rPr>
        <w:t xml:space="preserve"> </w:t>
      </w:r>
      <w:r>
        <w:rPr>
          <w:i/>
          <w:sz w:val="20"/>
        </w:rPr>
        <w:t>Anti‐Dumping</w:t>
      </w:r>
      <w:r>
        <w:rPr>
          <w:i/>
          <w:spacing w:val="-4"/>
          <w:sz w:val="20"/>
        </w:rPr>
        <w:t xml:space="preserve"> </w:t>
      </w:r>
      <w:r>
        <w:rPr>
          <w:i/>
          <w:sz w:val="20"/>
        </w:rPr>
        <w:t>and</w:t>
      </w:r>
      <w:r>
        <w:rPr>
          <w:i/>
          <w:spacing w:val="-5"/>
          <w:sz w:val="20"/>
        </w:rPr>
        <w:t xml:space="preserve"> </w:t>
      </w:r>
      <w:r>
        <w:rPr>
          <w:i/>
          <w:sz w:val="20"/>
        </w:rPr>
        <w:t>Countervailing</w:t>
      </w:r>
      <w:r>
        <w:rPr>
          <w:i/>
          <w:spacing w:val="-5"/>
          <w:sz w:val="20"/>
        </w:rPr>
        <w:t xml:space="preserve"> </w:t>
      </w:r>
      <w:r>
        <w:rPr>
          <w:i/>
          <w:sz w:val="20"/>
        </w:rPr>
        <w:t>Duty</w:t>
      </w:r>
      <w:r>
        <w:rPr>
          <w:i/>
          <w:spacing w:val="-4"/>
          <w:sz w:val="20"/>
        </w:rPr>
        <w:t xml:space="preserve"> </w:t>
      </w:r>
      <w:r>
        <w:rPr>
          <w:i/>
          <w:spacing w:val="-2"/>
          <w:sz w:val="20"/>
        </w:rPr>
        <w:t>Measures</w:t>
      </w:r>
      <w:r>
        <w:rPr>
          <w:i/>
          <w:sz w:val="20"/>
        </w:rPr>
        <w:tab/>
      </w:r>
      <w:r>
        <w:rPr>
          <w:sz w:val="20"/>
        </w:rPr>
        <w:t>Australia's</w:t>
      </w:r>
      <w:r>
        <w:rPr>
          <w:spacing w:val="-7"/>
          <w:sz w:val="20"/>
        </w:rPr>
        <w:t xml:space="preserve"> </w:t>
      </w:r>
      <w:r>
        <w:rPr>
          <w:sz w:val="20"/>
        </w:rPr>
        <w:t>First</w:t>
      </w:r>
      <w:r>
        <w:rPr>
          <w:spacing w:val="-2"/>
          <w:sz w:val="20"/>
        </w:rPr>
        <w:t xml:space="preserve"> </w:t>
      </w:r>
      <w:r>
        <w:rPr>
          <w:sz w:val="20"/>
        </w:rPr>
        <w:t>Written</w:t>
      </w:r>
      <w:r>
        <w:rPr>
          <w:spacing w:val="-2"/>
          <w:sz w:val="20"/>
        </w:rPr>
        <w:t xml:space="preserve"> Submission</w:t>
      </w:r>
    </w:p>
    <w:p w14:paraId="51DE9B3C" w14:textId="77777777" w:rsidR="0010369C" w:rsidRDefault="008E43AE">
      <w:pPr>
        <w:tabs>
          <w:tab w:val="left" w:pos="8227"/>
        </w:tabs>
        <w:spacing w:before="1"/>
        <w:ind w:left="239"/>
        <w:jc w:val="both"/>
        <w:rPr>
          <w:sz w:val="20"/>
        </w:rPr>
      </w:pPr>
      <w:r>
        <w:rPr>
          <w:i/>
          <w:sz w:val="20"/>
        </w:rPr>
        <w:t>on</w:t>
      </w:r>
      <w:r>
        <w:rPr>
          <w:i/>
          <w:spacing w:val="-1"/>
          <w:sz w:val="20"/>
        </w:rPr>
        <w:t xml:space="preserve"> </w:t>
      </w:r>
      <w:r>
        <w:rPr>
          <w:i/>
          <w:sz w:val="20"/>
        </w:rPr>
        <w:t>Wine</w:t>
      </w:r>
      <w:r>
        <w:rPr>
          <w:i/>
          <w:spacing w:val="-1"/>
          <w:sz w:val="20"/>
        </w:rPr>
        <w:t xml:space="preserve"> </w:t>
      </w:r>
      <w:r>
        <w:rPr>
          <w:i/>
          <w:sz w:val="20"/>
        </w:rPr>
        <w:t>from</w:t>
      </w:r>
      <w:r>
        <w:rPr>
          <w:i/>
          <w:spacing w:val="-3"/>
          <w:sz w:val="20"/>
        </w:rPr>
        <w:t xml:space="preserve"> </w:t>
      </w:r>
      <w:r>
        <w:rPr>
          <w:i/>
          <w:sz w:val="20"/>
        </w:rPr>
        <w:t>Australia</w:t>
      </w:r>
      <w:r>
        <w:rPr>
          <w:i/>
          <w:spacing w:val="-1"/>
          <w:sz w:val="20"/>
        </w:rPr>
        <w:t xml:space="preserve"> </w:t>
      </w:r>
      <w:r>
        <w:rPr>
          <w:spacing w:val="-2"/>
          <w:sz w:val="20"/>
        </w:rPr>
        <w:t>(DS602)</w:t>
      </w:r>
      <w:r>
        <w:rPr>
          <w:sz w:val="20"/>
        </w:rPr>
        <w:tab/>
        <w:t>29</w:t>
      </w:r>
      <w:r>
        <w:rPr>
          <w:spacing w:val="-1"/>
          <w:sz w:val="20"/>
        </w:rPr>
        <w:t xml:space="preserve"> </w:t>
      </w:r>
      <w:r>
        <w:rPr>
          <w:sz w:val="20"/>
        </w:rPr>
        <w:t>April</w:t>
      </w:r>
      <w:r>
        <w:rPr>
          <w:spacing w:val="-2"/>
          <w:sz w:val="20"/>
        </w:rPr>
        <w:t xml:space="preserve"> </w:t>
      </w:r>
      <w:r>
        <w:rPr>
          <w:spacing w:val="-4"/>
          <w:sz w:val="20"/>
        </w:rPr>
        <w:t>2022</w:t>
      </w:r>
    </w:p>
    <w:p w14:paraId="51DE9B3D" w14:textId="77777777" w:rsidR="0010369C" w:rsidRDefault="008E43AE">
      <w:pPr>
        <w:pStyle w:val="BodyText"/>
        <w:spacing w:before="34" w:line="360" w:lineRule="auto"/>
        <w:ind w:left="237" w:right="613"/>
        <w:jc w:val="both"/>
      </w:pPr>
      <w:r>
        <w:t>outlining</w:t>
      </w:r>
      <w:r>
        <w:rPr>
          <w:spacing w:val="-5"/>
        </w:rPr>
        <w:t xml:space="preserve"> </w:t>
      </w:r>
      <w:r>
        <w:t>the</w:t>
      </w:r>
      <w:r>
        <w:rPr>
          <w:spacing w:val="-5"/>
        </w:rPr>
        <w:t xml:space="preserve"> </w:t>
      </w:r>
      <w:r>
        <w:t>essential</w:t>
      </w:r>
      <w:r>
        <w:rPr>
          <w:spacing w:val="-7"/>
        </w:rPr>
        <w:t xml:space="preserve"> </w:t>
      </w:r>
      <w:r>
        <w:t>facts.</w:t>
      </w:r>
      <w:r>
        <w:rPr>
          <w:spacing w:val="-5"/>
        </w:rPr>
        <w:t xml:space="preserve"> </w:t>
      </w:r>
      <w:r>
        <w:t>MOFCOM</w:t>
      </w:r>
      <w:r>
        <w:rPr>
          <w:spacing w:val="-6"/>
        </w:rPr>
        <w:t xml:space="preserve"> </w:t>
      </w:r>
      <w:r>
        <w:t>did</w:t>
      </w:r>
      <w:r>
        <w:rPr>
          <w:spacing w:val="-6"/>
        </w:rPr>
        <w:t xml:space="preserve"> </w:t>
      </w:r>
      <w:r>
        <w:t>not</w:t>
      </w:r>
      <w:r>
        <w:rPr>
          <w:spacing w:val="-6"/>
        </w:rPr>
        <w:t xml:space="preserve"> </w:t>
      </w:r>
      <w:r>
        <w:t>provide</w:t>
      </w:r>
      <w:r>
        <w:rPr>
          <w:spacing w:val="-5"/>
        </w:rPr>
        <w:t xml:space="preserve"> </w:t>
      </w:r>
      <w:r>
        <w:t>information</w:t>
      </w:r>
      <w:r>
        <w:rPr>
          <w:spacing w:val="-7"/>
        </w:rPr>
        <w:t xml:space="preserve"> </w:t>
      </w:r>
      <w:r>
        <w:t>about</w:t>
      </w:r>
      <w:r>
        <w:rPr>
          <w:spacing w:val="-6"/>
        </w:rPr>
        <w:t xml:space="preserve"> </w:t>
      </w:r>
      <w:r>
        <w:t>the</w:t>
      </w:r>
      <w:r>
        <w:rPr>
          <w:spacing w:val="-5"/>
        </w:rPr>
        <w:t xml:space="preserve"> </w:t>
      </w:r>
      <w:r>
        <w:t>pre‐adjustment CIF price it used as the base for its calculation or the adjustment figures it applied.</w:t>
      </w:r>
      <w:r>
        <w:rPr>
          <w:vertAlign w:val="superscript"/>
        </w:rPr>
        <w:t>1221</w:t>
      </w:r>
      <w:r>
        <w:t xml:space="preserve"> Exchange rates, tariff rates, imported customs clearance costs and the monthly average exchange rate published by the People's Bank of China are by t</w:t>
      </w:r>
      <w:r>
        <w:t>heir nature non‐confidential and constituted essential facts for the purposes of this investigation, underpinning the calculation of the CIF price and the final import price.</w:t>
      </w:r>
    </w:p>
    <w:p w14:paraId="51DE9B3E" w14:textId="77777777" w:rsidR="0010369C" w:rsidRDefault="0010369C">
      <w:pPr>
        <w:pStyle w:val="BodyText"/>
        <w:spacing w:before="10"/>
        <w:rPr>
          <w:sz w:val="8"/>
        </w:rPr>
      </w:pPr>
    </w:p>
    <w:p w14:paraId="51DE9B3F" w14:textId="77777777" w:rsidR="0010369C" w:rsidRDefault="008E43AE">
      <w:pPr>
        <w:pStyle w:val="BodyText"/>
        <w:spacing w:before="52" w:line="360" w:lineRule="auto"/>
        <w:ind w:left="237" w:right="613" w:firstLine="851"/>
        <w:jc w:val="both"/>
      </w:pPr>
      <w:r>
        <w:rPr>
          <w:noProof/>
        </w:rPr>
        <w:drawing>
          <wp:anchor distT="0" distB="0" distL="0" distR="0" simplePos="0" relativeHeight="251624960" behindDoc="1" locked="0" layoutInCell="1" allowOverlap="1" wp14:anchorId="51DEA8FD" wp14:editId="51DEA8FE">
            <wp:simplePos x="0" y="0"/>
            <wp:positionH relativeFrom="page">
              <wp:posOffset>908303</wp:posOffset>
            </wp:positionH>
            <wp:positionV relativeFrom="paragraph">
              <wp:posOffset>76023</wp:posOffset>
            </wp:positionV>
            <wp:extent cx="332231" cy="106679"/>
            <wp:effectExtent l="0" t="0" r="0" b="0"/>
            <wp:wrapNone/>
            <wp:docPr id="2057" name="image10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 name="image1056.png"/>
                    <pic:cNvPicPr/>
                  </pic:nvPicPr>
                  <pic:blipFill>
                    <a:blip r:embed="rId1357" cstate="print"/>
                    <a:stretch>
                      <a:fillRect/>
                    </a:stretch>
                  </pic:blipFill>
                  <pic:spPr>
                    <a:xfrm>
                      <a:off x="0" y="0"/>
                      <a:ext cx="332231" cy="106679"/>
                    </a:xfrm>
                    <a:prstGeom prst="rect">
                      <a:avLst/>
                    </a:prstGeom>
                  </pic:spPr>
                </pic:pic>
              </a:graphicData>
            </a:graphic>
          </wp:anchor>
        </w:drawing>
      </w:r>
      <w:r>
        <w:t>MOFCOM failed to provide all non‐confidential essential facts regarding its calculation of the average unit price of domestic like products. In its Final Disclosure, "[b]y summarizing the responses to the Questionnaire for Domestic Producers, the Investiga</w:t>
      </w:r>
      <w:r>
        <w:t>ting Authority took the weighted average price of the factory prices of domestic like products as the</w:t>
      </w:r>
      <w:r>
        <w:rPr>
          <w:spacing w:val="-12"/>
        </w:rPr>
        <w:t xml:space="preserve"> </w:t>
      </w:r>
      <w:r>
        <w:t>price</w:t>
      </w:r>
      <w:r>
        <w:rPr>
          <w:spacing w:val="-13"/>
        </w:rPr>
        <w:t xml:space="preserve"> </w:t>
      </w:r>
      <w:r>
        <w:t>of</w:t>
      </w:r>
      <w:r>
        <w:rPr>
          <w:spacing w:val="-12"/>
        </w:rPr>
        <w:t xml:space="preserve"> </w:t>
      </w:r>
      <w:r>
        <w:t>these</w:t>
      </w:r>
      <w:r>
        <w:rPr>
          <w:spacing w:val="-12"/>
        </w:rPr>
        <w:t xml:space="preserve"> </w:t>
      </w:r>
      <w:r>
        <w:t>products".</w:t>
      </w:r>
      <w:r>
        <w:rPr>
          <w:vertAlign w:val="superscript"/>
        </w:rPr>
        <w:t>1222</w:t>
      </w:r>
      <w:r>
        <w:rPr>
          <w:spacing w:val="-13"/>
        </w:rPr>
        <w:t xml:space="preserve"> </w:t>
      </w:r>
      <w:r>
        <w:t>MOFCOM</w:t>
      </w:r>
      <w:r>
        <w:rPr>
          <w:spacing w:val="-12"/>
        </w:rPr>
        <w:t xml:space="preserve"> </w:t>
      </w:r>
      <w:r>
        <w:t>did</w:t>
      </w:r>
      <w:r>
        <w:rPr>
          <w:spacing w:val="-12"/>
        </w:rPr>
        <w:t xml:space="preserve"> </w:t>
      </w:r>
      <w:r>
        <w:t>not</w:t>
      </w:r>
      <w:r>
        <w:rPr>
          <w:spacing w:val="-12"/>
        </w:rPr>
        <w:t xml:space="preserve"> </w:t>
      </w:r>
      <w:r>
        <w:t>disclose</w:t>
      </w:r>
      <w:r>
        <w:rPr>
          <w:spacing w:val="-11"/>
        </w:rPr>
        <w:t xml:space="preserve"> </w:t>
      </w:r>
      <w:r>
        <w:t>the</w:t>
      </w:r>
      <w:r>
        <w:rPr>
          <w:spacing w:val="-12"/>
        </w:rPr>
        <w:t xml:space="preserve"> </w:t>
      </w:r>
      <w:r>
        <w:t>non‐confidential</w:t>
      </w:r>
      <w:r>
        <w:rPr>
          <w:spacing w:val="-13"/>
        </w:rPr>
        <w:t xml:space="preserve"> </w:t>
      </w:r>
      <w:r>
        <w:t>essential</w:t>
      </w:r>
      <w:r>
        <w:rPr>
          <w:spacing w:val="-14"/>
        </w:rPr>
        <w:t xml:space="preserve"> </w:t>
      </w:r>
      <w:r>
        <w:t>facts relating to: price data provided by the Chinese domestic indust</w:t>
      </w:r>
      <w:r>
        <w:t>ry that it relied upon; the summarising process that it undertook; the weighting that was applied and why it was required; or the adjustments (if any) it applied. The lack of all non‐confidential, "significant, important, or salient" facts prevented the in</w:t>
      </w:r>
      <w:r>
        <w:t>terested parties from understanding how MOFCOM</w:t>
      </w:r>
      <w:r>
        <w:rPr>
          <w:spacing w:val="-14"/>
        </w:rPr>
        <w:t xml:space="preserve"> </w:t>
      </w:r>
      <w:r>
        <w:t>arrived</w:t>
      </w:r>
      <w:r>
        <w:rPr>
          <w:spacing w:val="-14"/>
        </w:rPr>
        <w:t xml:space="preserve"> </w:t>
      </w:r>
      <w:r>
        <w:t>at</w:t>
      </w:r>
      <w:r>
        <w:rPr>
          <w:spacing w:val="-13"/>
        </w:rPr>
        <w:t xml:space="preserve"> </w:t>
      </w:r>
      <w:r>
        <w:t>the</w:t>
      </w:r>
      <w:r>
        <w:rPr>
          <w:spacing w:val="-14"/>
        </w:rPr>
        <w:t xml:space="preserve"> </w:t>
      </w:r>
      <w:r>
        <w:t>prices</w:t>
      </w:r>
      <w:r>
        <w:rPr>
          <w:spacing w:val="-13"/>
        </w:rPr>
        <w:t xml:space="preserve"> </w:t>
      </w:r>
      <w:r>
        <w:t>of</w:t>
      </w:r>
      <w:r>
        <w:rPr>
          <w:spacing w:val="-14"/>
        </w:rPr>
        <w:t xml:space="preserve"> </w:t>
      </w:r>
      <w:r>
        <w:t>domestic</w:t>
      </w:r>
      <w:r>
        <w:rPr>
          <w:spacing w:val="-13"/>
        </w:rPr>
        <w:t xml:space="preserve"> </w:t>
      </w:r>
      <w:r>
        <w:t>like</w:t>
      </w:r>
      <w:r>
        <w:rPr>
          <w:spacing w:val="-14"/>
        </w:rPr>
        <w:t xml:space="preserve"> </w:t>
      </w:r>
      <w:r>
        <w:t>products</w:t>
      </w:r>
      <w:r>
        <w:rPr>
          <w:spacing w:val="-14"/>
        </w:rPr>
        <w:t xml:space="preserve"> </w:t>
      </w:r>
      <w:r>
        <w:t>that</w:t>
      </w:r>
      <w:r>
        <w:rPr>
          <w:spacing w:val="-13"/>
        </w:rPr>
        <w:t xml:space="preserve"> </w:t>
      </w:r>
      <w:r>
        <w:t>MOFCOM</w:t>
      </w:r>
      <w:r>
        <w:rPr>
          <w:spacing w:val="-14"/>
        </w:rPr>
        <w:t xml:space="preserve"> </w:t>
      </w:r>
      <w:r>
        <w:t>relied</w:t>
      </w:r>
      <w:r>
        <w:rPr>
          <w:spacing w:val="-13"/>
        </w:rPr>
        <w:t xml:space="preserve"> </w:t>
      </w:r>
      <w:r>
        <w:t>upon</w:t>
      </w:r>
      <w:r>
        <w:rPr>
          <w:spacing w:val="-14"/>
        </w:rPr>
        <w:t xml:space="preserve"> </w:t>
      </w:r>
      <w:r>
        <w:t>in</w:t>
      </w:r>
      <w:r>
        <w:rPr>
          <w:spacing w:val="-13"/>
        </w:rPr>
        <w:t xml:space="preserve"> </w:t>
      </w:r>
      <w:r>
        <w:t>its</w:t>
      </w:r>
      <w:r>
        <w:rPr>
          <w:spacing w:val="-14"/>
        </w:rPr>
        <w:t xml:space="preserve"> </w:t>
      </w:r>
      <w:r>
        <w:t>injury analysis. This denied the interested parties the opportunity to defend their interests.</w:t>
      </w:r>
    </w:p>
    <w:p w14:paraId="51DE9B40" w14:textId="77777777" w:rsidR="0010369C" w:rsidRDefault="0010369C">
      <w:pPr>
        <w:pStyle w:val="BodyText"/>
        <w:spacing w:before="11"/>
        <w:rPr>
          <w:sz w:val="8"/>
        </w:rPr>
      </w:pPr>
    </w:p>
    <w:p w14:paraId="51DE9B41" w14:textId="77777777" w:rsidR="0010369C" w:rsidRDefault="008E43AE">
      <w:pPr>
        <w:pStyle w:val="BodyText"/>
        <w:spacing w:before="52" w:line="360" w:lineRule="auto"/>
        <w:ind w:left="237" w:right="613" w:firstLine="851"/>
        <w:jc w:val="both"/>
      </w:pPr>
      <w:r>
        <w:rPr>
          <w:noProof/>
        </w:rPr>
        <w:drawing>
          <wp:anchor distT="0" distB="0" distL="0" distR="0" simplePos="0" relativeHeight="251625984" behindDoc="1" locked="0" layoutInCell="1" allowOverlap="1" wp14:anchorId="51DEA8FF" wp14:editId="51DEA900">
            <wp:simplePos x="0" y="0"/>
            <wp:positionH relativeFrom="page">
              <wp:posOffset>908303</wp:posOffset>
            </wp:positionH>
            <wp:positionV relativeFrom="paragraph">
              <wp:posOffset>80595</wp:posOffset>
            </wp:positionV>
            <wp:extent cx="332231" cy="103631"/>
            <wp:effectExtent l="0" t="0" r="0" b="0"/>
            <wp:wrapNone/>
            <wp:docPr id="2059" name="image10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 name="image1057.png"/>
                    <pic:cNvPicPr/>
                  </pic:nvPicPr>
                  <pic:blipFill>
                    <a:blip r:embed="rId1358" cstate="print"/>
                    <a:stretch>
                      <a:fillRect/>
                    </a:stretch>
                  </pic:blipFill>
                  <pic:spPr>
                    <a:xfrm>
                      <a:off x="0" y="0"/>
                      <a:ext cx="332231" cy="103631"/>
                    </a:xfrm>
                    <a:prstGeom prst="rect">
                      <a:avLst/>
                    </a:prstGeom>
                  </pic:spPr>
                </pic:pic>
              </a:graphicData>
            </a:graphic>
          </wp:anchor>
        </w:drawing>
      </w:r>
      <w:r>
        <w:t>MOFCOM failed to provide all non‐</w:t>
      </w:r>
      <w:r>
        <w:t>confidential information regarding its calculation of the yearly average import price of non‐subject imports. In its Final Disclosure, MOFCOM only</w:t>
      </w:r>
      <w:r>
        <w:rPr>
          <w:spacing w:val="-8"/>
        </w:rPr>
        <w:t xml:space="preserve"> </w:t>
      </w:r>
      <w:r>
        <w:t>provided</w:t>
      </w:r>
      <w:r>
        <w:rPr>
          <w:spacing w:val="-8"/>
        </w:rPr>
        <w:t xml:space="preserve"> </w:t>
      </w:r>
      <w:r>
        <w:t>the</w:t>
      </w:r>
      <w:r>
        <w:rPr>
          <w:spacing w:val="-8"/>
        </w:rPr>
        <w:t xml:space="preserve"> </w:t>
      </w:r>
      <w:r>
        <w:t>average</w:t>
      </w:r>
      <w:r>
        <w:rPr>
          <w:spacing w:val="-8"/>
        </w:rPr>
        <w:t xml:space="preserve"> </w:t>
      </w:r>
      <w:r>
        <w:t>import</w:t>
      </w:r>
      <w:r>
        <w:rPr>
          <w:spacing w:val="-8"/>
        </w:rPr>
        <w:t xml:space="preserve"> </w:t>
      </w:r>
      <w:r>
        <w:t>price</w:t>
      </w:r>
      <w:r>
        <w:rPr>
          <w:spacing w:val="-8"/>
        </w:rPr>
        <w:t xml:space="preserve"> </w:t>
      </w:r>
      <w:r>
        <w:t>for</w:t>
      </w:r>
      <w:r>
        <w:rPr>
          <w:spacing w:val="-8"/>
        </w:rPr>
        <w:t xml:space="preserve"> </w:t>
      </w:r>
      <w:r>
        <w:t>non‐subject</w:t>
      </w:r>
      <w:r>
        <w:rPr>
          <w:spacing w:val="-9"/>
        </w:rPr>
        <w:t xml:space="preserve"> </w:t>
      </w:r>
      <w:r>
        <w:t>imports</w:t>
      </w:r>
      <w:r>
        <w:rPr>
          <w:spacing w:val="-9"/>
        </w:rPr>
        <w:t xml:space="preserve"> </w:t>
      </w:r>
      <w:r>
        <w:t>for</w:t>
      </w:r>
      <w:r>
        <w:rPr>
          <w:spacing w:val="-8"/>
        </w:rPr>
        <w:t xml:space="preserve"> </w:t>
      </w:r>
      <w:r>
        <w:t>two</w:t>
      </w:r>
      <w:r>
        <w:rPr>
          <w:spacing w:val="-9"/>
        </w:rPr>
        <w:t xml:space="preserve"> </w:t>
      </w:r>
      <w:r>
        <w:t>of</w:t>
      </w:r>
      <w:r>
        <w:rPr>
          <w:spacing w:val="-9"/>
        </w:rPr>
        <w:t xml:space="preserve"> </w:t>
      </w:r>
      <w:r>
        <w:t>the</w:t>
      </w:r>
      <w:r>
        <w:rPr>
          <w:spacing w:val="-8"/>
        </w:rPr>
        <w:t xml:space="preserve"> </w:t>
      </w:r>
      <w:r>
        <w:t>five</w:t>
      </w:r>
      <w:r>
        <w:rPr>
          <w:spacing w:val="-9"/>
        </w:rPr>
        <w:t xml:space="preserve"> </w:t>
      </w:r>
      <w:r>
        <w:t>years</w:t>
      </w:r>
      <w:r>
        <w:rPr>
          <w:spacing w:val="-9"/>
        </w:rPr>
        <w:t xml:space="preserve"> </w:t>
      </w:r>
      <w:r>
        <w:t>in</w:t>
      </w:r>
      <w:r>
        <w:rPr>
          <w:spacing w:val="-9"/>
        </w:rPr>
        <w:t xml:space="preserve"> </w:t>
      </w:r>
      <w:r>
        <w:t>the Injury POI, 2015 and 2019.</w:t>
      </w:r>
      <w:r>
        <w:rPr>
          <w:vertAlign w:val="superscript"/>
        </w:rPr>
        <w:t>1223</w:t>
      </w:r>
      <w:r>
        <w:t xml:space="preserve"> MOFCOM did not provide all non‐confidential essential facts regarding: the methodology it adopted to calculate the average import price for non‐subject imports; the value of adjustments (if any) that were applied; the dat</w:t>
      </w:r>
      <w:r>
        <w:t>a that it relied upon; or the average yearly import prices for the years of 2016, 2017 and 2018.</w:t>
      </w:r>
    </w:p>
    <w:p w14:paraId="51DE9B42" w14:textId="77777777" w:rsidR="0010369C" w:rsidRDefault="0010369C">
      <w:pPr>
        <w:pStyle w:val="BodyText"/>
        <w:spacing w:before="11"/>
        <w:rPr>
          <w:sz w:val="8"/>
        </w:rPr>
      </w:pPr>
    </w:p>
    <w:p w14:paraId="51DE9B43" w14:textId="77777777" w:rsidR="0010369C" w:rsidRDefault="008E43AE">
      <w:pPr>
        <w:pStyle w:val="BodyText"/>
        <w:spacing w:before="51" w:line="360" w:lineRule="auto"/>
        <w:ind w:left="238" w:right="613" w:firstLine="904"/>
        <w:jc w:val="both"/>
      </w:pPr>
      <w:r>
        <w:rPr>
          <w:noProof/>
        </w:rPr>
        <w:drawing>
          <wp:anchor distT="0" distB="0" distL="0" distR="0" simplePos="0" relativeHeight="251627008" behindDoc="1" locked="0" layoutInCell="1" allowOverlap="1" wp14:anchorId="51DEA901" wp14:editId="51DEA902">
            <wp:simplePos x="0" y="0"/>
            <wp:positionH relativeFrom="page">
              <wp:posOffset>908303</wp:posOffset>
            </wp:positionH>
            <wp:positionV relativeFrom="paragraph">
              <wp:posOffset>76150</wp:posOffset>
            </wp:positionV>
            <wp:extent cx="332231" cy="106679"/>
            <wp:effectExtent l="0" t="0" r="0" b="0"/>
            <wp:wrapNone/>
            <wp:docPr id="2061" name="image10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 name="image1058.png"/>
                    <pic:cNvPicPr/>
                  </pic:nvPicPr>
                  <pic:blipFill>
                    <a:blip r:embed="rId1359" cstate="print"/>
                    <a:stretch>
                      <a:fillRect/>
                    </a:stretch>
                  </pic:blipFill>
                  <pic:spPr>
                    <a:xfrm>
                      <a:off x="0" y="0"/>
                      <a:ext cx="332231" cy="106679"/>
                    </a:xfrm>
                    <a:prstGeom prst="rect">
                      <a:avLst/>
                    </a:prstGeom>
                  </pic:spPr>
                </pic:pic>
              </a:graphicData>
            </a:graphic>
          </wp:anchor>
        </w:drawing>
      </w:r>
      <w:r>
        <w:t>Additionally, MOFCOM provided the Australian import price and domestic prices in RMB/kl,</w:t>
      </w:r>
      <w:r>
        <w:rPr>
          <w:spacing w:val="-10"/>
        </w:rPr>
        <w:t xml:space="preserve"> </w:t>
      </w:r>
      <w:r>
        <w:t>but</w:t>
      </w:r>
      <w:r>
        <w:rPr>
          <w:spacing w:val="-10"/>
        </w:rPr>
        <w:t xml:space="preserve"> </w:t>
      </w:r>
      <w:r>
        <w:t>then</w:t>
      </w:r>
      <w:r>
        <w:rPr>
          <w:spacing w:val="-10"/>
        </w:rPr>
        <w:t xml:space="preserve"> </w:t>
      </w:r>
      <w:r>
        <w:t>provided</w:t>
      </w:r>
      <w:r>
        <w:rPr>
          <w:spacing w:val="-10"/>
        </w:rPr>
        <w:t xml:space="preserve"> </w:t>
      </w:r>
      <w:r>
        <w:t>the</w:t>
      </w:r>
      <w:r>
        <w:rPr>
          <w:spacing w:val="-9"/>
        </w:rPr>
        <w:t xml:space="preserve"> </w:t>
      </w:r>
      <w:r>
        <w:t>prices</w:t>
      </w:r>
      <w:r>
        <w:rPr>
          <w:spacing w:val="-9"/>
        </w:rPr>
        <w:t xml:space="preserve"> </w:t>
      </w:r>
      <w:r>
        <w:t>of</w:t>
      </w:r>
      <w:r>
        <w:rPr>
          <w:spacing w:val="-10"/>
        </w:rPr>
        <w:t xml:space="preserve"> </w:t>
      </w:r>
      <w:r>
        <w:t>non‐subject</w:t>
      </w:r>
      <w:r>
        <w:rPr>
          <w:spacing w:val="-10"/>
        </w:rPr>
        <w:t xml:space="preserve"> </w:t>
      </w:r>
      <w:r>
        <w:t>imports</w:t>
      </w:r>
      <w:r>
        <w:rPr>
          <w:spacing w:val="-11"/>
        </w:rPr>
        <w:t xml:space="preserve"> </w:t>
      </w:r>
      <w:r>
        <w:t>in</w:t>
      </w:r>
      <w:r>
        <w:rPr>
          <w:spacing w:val="-10"/>
        </w:rPr>
        <w:t xml:space="preserve"> </w:t>
      </w:r>
      <w:r>
        <w:t>USD/kl.</w:t>
      </w:r>
      <w:r>
        <w:rPr>
          <w:spacing w:val="-10"/>
        </w:rPr>
        <w:t xml:space="preserve"> </w:t>
      </w:r>
      <w:r>
        <w:t>MOFCO</w:t>
      </w:r>
      <w:r>
        <w:t>M</w:t>
      </w:r>
      <w:r>
        <w:rPr>
          <w:spacing w:val="-9"/>
        </w:rPr>
        <w:t xml:space="preserve"> </w:t>
      </w:r>
      <w:r>
        <w:t>should</w:t>
      </w:r>
      <w:r>
        <w:rPr>
          <w:spacing w:val="-10"/>
        </w:rPr>
        <w:t xml:space="preserve"> </w:t>
      </w:r>
      <w:r>
        <w:t>have provided</w:t>
      </w:r>
      <w:r>
        <w:rPr>
          <w:spacing w:val="-8"/>
        </w:rPr>
        <w:t xml:space="preserve"> </w:t>
      </w:r>
      <w:r>
        <w:t>the</w:t>
      </w:r>
      <w:r>
        <w:rPr>
          <w:spacing w:val="-8"/>
        </w:rPr>
        <w:t xml:space="preserve"> </w:t>
      </w:r>
      <w:r>
        <w:t>non‐subject</w:t>
      </w:r>
      <w:r>
        <w:rPr>
          <w:spacing w:val="-9"/>
        </w:rPr>
        <w:t xml:space="preserve"> </w:t>
      </w:r>
      <w:r>
        <w:t>import</w:t>
      </w:r>
      <w:r>
        <w:rPr>
          <w:spacing w:val="-8"/>
        </w:rPr>
        <w:t xml:space="preserve"> </w:t>
      </w:r>
      <w:r>
        <w:t>prices</w:t>
      </w:r>
      <w:r>
        <w:rPr>
          <w:spacing w:val="-9"/>
        </w:rPr>
        <w:t xml:space="preserve"> </w:t>
      </w:r>
      <w:r>
        <w:t>in</w:t>
      </w:r>
      <w:r>
        <w:rPr>
          <w:spacing w:val="-9"/>
        </w:rPr>
        <w:t xml:space="preserve"> </w:t>
      </w:r>
      <w:r>
        <w:t>RMB/kl</w:t>
      </w:r>
      <w:r>
        <w:rPr>
          <w:spacing w:val="-9"/>
        </w:rPr>
        <w:t xml:space="preserve"> </w:t>
      </w:r>
      <w:r>
        <w:t>to</w:t>
      </w:r>
      <w:r>
        <w:rPr>
          <w:spacing w:val="-8"/>
        </w:rPr>
        <w:t xml:space="preserve"> </w:t>
      </w:r>
      <w:r>
        <w:t>the</w:t>
      </w:r>
      <w:r>
        <w:rPr>
          <w:spacing w:val="-8"/>
        </w:rPr>
        <w:t xml:space="preserve"> </w:t>
      </w:r>
      <w:r>
        <w:t>interested</w:t>
      </w:r>
      <w:r>
        <w:rPr>
          <w:spacing w:val="-8"/>
        </w:rPr>
        <w:t xml:space="preserve"> </w:t>
      </w:r>
      <w:r>
        <w:t>parties</w:t>
      </w:r>
      <w:r>
        <w:rPr>
          <w:spacing w:val="-9"/>
        </w:rPr>
        <w:t xml:space="preserve"> </w:t>
      </w:r>
      <w:r>
        <w:t>as</w:t>
      </w:r>
      <w:r>
        <w:rPr>
          <w:spacing w:val="-9"/>
        </w:rPr>
        <w:t xml:space="preserve"> </w:t>
      </w:r>
      <w:r>
        <w:t>an</w:t>
      </w:r>
      <w:r>
        <w:rPr>
          <w:spacing w:val="-9"/>
        </w:rPr>
        <w:t xml:space="preserve"> </w:t>
      </w:r>
      <w:r>
        <w:t>essential</w:t>
      </w:r>
      <w:r>
        <w:rPr>
          <w:spacing w:val="-9"/>
        </w:rPr>
        <w:t xml:space="preserve"> </w:t>
      </w:r>
      <w:r>
        <w:t>fact to</w:t>
      </w:r>
      <w:r>
        <w:rPr>
          <w:spacing w:val="7"/>
        </w:rPr>
        <w:t xml:space="preserve"> </w:t>
      </w:r>
      <w:r>
        <w:t>enable</w:t>
      </w:r>
      <w:r>
        <w:rPr>
          <w:spacing w:val="8"/>
        </w:rPr>
        <w:t xml:space="preserve"> </w:t>
      </w:r>
      <w:r>
        <w:t>proper</w:t>
      </w:r>
      <w:r>
        <w:rPr>
          <w:spacing w:val="7"/>
        </w:rPr>
        <w:t xml:space="preserve"> </w:t>
      </w:r>
      <w:r>
        <w:t>comparison.</w:t>
      </w:r>
      <w:r>
        <w:rPr>
          <w:spacing w:val="7"/>
        </w:rPr>
        <w:t xml:space="preserve"> </w:t>
      </w:r>
      <w:r>
        <w:t>The</w:t>
      </w:r>
      <w:r>
        <w:rPr>
          <w:spacing w:val="9"/>
        </w:rPr>
        <w:t xml:space="preserve"> </w:t>
      </w:r>
      <w:r>
        <w:t>failure</w:t>
      </w:r>
      <w:r>
        <w:rPr>
          <w:spacing w:val="8"/>
        </w:rPr>
        <w:t xml:space="preserve"> </w:t>
      </w:r>
      <w:r>
        <w:t>to</w:t>
      </w:r>
      <w:r>
        <w:rPr>
          <w:spacing w:val="8"/>
        </w:rPr>
        <w:t xml:space="preserve"> </w:t>
      </w:r>
      <w:r>
        <w:t>provide</w:t>
      </w:r>
      <w:r>
        <w:rPr>
          <w:spacing w:val="9"/>
        </w:rPr>
        <w:t xml:space="preserve"> </w:t>
      </w:r>
      <w:r>
        <w:t>the</w:t>
      </w:r>
      <w:r>
        <w:rPr>
          <w:spacing w:val="7"/>
        </w:rPr>
        <w:t xml:space="preserve"> </w:t>
      </w:r>
      <w:r>
        <w:t>essential</w:t>
      </w:r>
      <w:r>
        <w:rPr>
          <w:spacing w:val="7"/>
        </w:rPr>
        <w:t xml:space="preserve"> </w:t>
      </w:r>
      <w:r>
        <w:t>facts</w:t>
      </w:r>
      <w:r>
        <w:rPr>
          <w:spacing w:val="7"/>
        </w:rPr>
        <w:t xml:space="preserve"> </w:t>
      </w:r>
      <w:r>
        <w:t>relating</w:t>
      </w:r>
      <w:r>
        <w:rPr>
          <w:spacing w:val="7"/>
        </w:rPr>
        <w:t xml:space="preserve"> </w:t>
      </w:r>
      <w:r>
        <w:rPr>
          <w:spacing w:val="-2"/>
        </w:rPr>
        <w:t>non‐subject</w:t>
      </w:r>
    </w:p>
    <w:p w14:paraId="51DE9B44" w14:textId="77777777" w:rsidR="0010369C" w:rsidRDefault="0010369C">
      <w:pPr>
        <w:pStyle w:val="BodyText"/>
        <w:rPr>
          <w:sz w:val="20"/>
        </w:rPr>
      </w:pPr>
    </w:p>
    <w:p w14:paraId="51DE9B45" w14:textId="77777777" w:rsidR="0010369C" w:rsidRDefault="008E43AE">
      <w:pPr>
        <w:pStyle w:val="BodyText"/>
        <w:spacing w:before="7"/>
        <w:rPr>
          <w:sz w:val="13"/>
        </w:rPr>
      </w:pPr>
      <w:r>
        <w:pict w14:anchorId="51DEA903">
          <v:rect id="docshape1443" o:spid="_x0000_s1068" style="position:absolute;margin-left:70.9pt;margin-top:9.5pt;width:2in;height:.8pt;z-index:-250675712;mso-wrap-distance-left:0;mso-wrap-distance-right:0;mso-position-horizontal-relative:page" fillcolor="black" stroked="f">
            <w10:wrap type="topAndBottom" anchorx="page"/>
          </v:rect>
        </w:pict>
      </w:r>
    </w:p>
    <w:p w14:paraId="51DE9B46" w14:textId="77777777" w:rsidR="0010369C" w:rsidRDefault="008E43AE">
      <w:pPr>
        <w:spacing w:before="109"/>
        <w:ind w:left="238"/>
        <w:rPr>
          <w:sz w:val="18"/>
        </w:rPr>
      </w:pPr>
      <w:r>
        <w:rPr>
          <w:sz w:val="18"/>
          <w:vertAlign w:val="superscript"/>
        </w:rPr>
        <w:t>1221</w:t>
      </w:r>
      <w:r>
        <w:rPr>
          <w:spacing w:val="-3"/>
          <w:sz w:val="18"/>
        </w:rPr>
        <w:t xml:space="preserve"> </w:t>
      </w:r>
      <w:r>
        <w:rPr>
          <w:spacing w:val="-2"/>
          <w:sz w:val="18"/>
        </w:rPr>
        <w:t>Ibid.</w:t>
      </w:r>
    </w:p>
    <w:p w14:paraId="51DE9B47" w14:textId="77777777" w:rsidR="0010369C" w:rsidRDefault="008E43AE">
      <w:pPr>
        <w:ind w:left="238"/>
        <w:rPr>
          <w:sz w:val="18"/>
        </w:rPr>
      </w:pPr>
      <w:r>
        <w:rPr>
          <w:sz w:val="18"/>
          <w:vertAlign w:val="superscript"/>
        </w:rPr>
        <w:t>1222</w:t>
      </w:r>
      <w:r>
        <w:rPr>
          <w:spacing w:val="-3"/>
          <w:sz w:val="18"/>
        </w:rPr>
        <w:t xml:space="preserve"> </w:t>
      </w:r>
      <w:r>
        <w:rPr>
          <w:spacing w:val="-2"/>
          <w:sz w:val="18"/>
        </w:rPr>
        <w:t>Ibid.</w:t>
      </w:r>
    </w:p>
    <w:p w14:paraId="51DE9B48" w14:textId="77777777" w:rsidR="0010369C" w:rsidRDefault="008E43AE">
      <w:pPr>
        <w:ind w:left="238"/>
        <w:rPr>
          <w:sz w:val="18"/>
        </w:rPr>
      </w:pPr>
      <w:r>
        <w:rPr>
          <w:sz w:val="18"/>
          <w:vertAlign w:val="superscript"/>
        </w:rPr>
        <w:t>1223</w:t>
      </w:r>
      <w:r>
        <w:rPr>
          <w:spacing w:val="-8"/>
          <w:sz w:val="18"/>
        </w:rPr>
        <w:t xml:space="preserve"> </w:t>
      </w:r>
      <w:r>
        <w:rPr>
          <w:sz w:val="18"/>
        </w:rPr>
        <w:t>Anti‐Dumping</w:t>
      </w:r>
      <w:r>
        <w:rPr>
          <w:spacing w:val="-8"/>
          <w:sz w:val="18"/>
        </w:rPr>
        <w:t xml:space="preserve"> </w:t>
      </w:r>
      <w:r>
        <w:rPr>
          <w:sz w:val="18"/>
        </w:rPr>
        <w:t>Final</w:t>
      </w:r>
      <w:r>
        <w:rPr>
          <w:spacing w:val="-8"/>
          <w:sz w:val="18"/>
        </w:rPr>
        <w:t xml:space="preserve"> </w:t>
      </w:r>
      <w:r>
        <w:rPr>
          <w:sz w:val="18"/>
        </w:rPr>
        <w:t>Disclosure</w:t>
      </w:r>
      <w:r>
        <w:rPr>
          <w:spacing w:val="-8"/>
          <w:sz w:val="18"/>
        </w:rPr>
        <w:t xml:space="preserve"> </w:t>
      </w:r>
      <w:r>
        <w:rPr>
          <w:sz w:val="18"/>
        </w:rPr>
        <w:t>(Exhibit</w:t>
      </w:r>
      <w:r>
        <w:rPr>
          <w:spacing w:val="-8"/>
          <w:sz w:val="18"/>
        </w:rPr>
        <w:t xml:space="preserve"> </w:t>
      </w:r>
      <w:r>
        <w:rPr>
          <w:sz w:val="18"/>
        </w:rPr>
        <w:t>AUS‐16),</w:t>
      </w:r>
      <w:r>
        <w:rPr>
          <w:spacing w:val="-9"/>
          <w:sz w:val="18"/>
        </w:rPr>
        <w:t xml:space="preserve"> </w:t>
      </w:r>
      <w:r>
        <w:rPr>
          <w:sz w:val="18"/>
        </w:rPr>
        <w:t>p.</w:t>
      </w:r>
      <w:r>
        <w:rPr>
          <w:spacing w:val="-7"/>
          <w:sz w:val="18"/>
        </w:rPr>
        <w:t xml:space="preserve"> </w:t>
      </w:r>
      <w:r>
        <w:rPr>
          <w:spacing w:val="-5"/>
          <w:sz w:val="18"/>
        </w:rPr>
        <w:t>86.</w:t>
      </w:r>
    </w:p>
    <w:p w14:paraId="51DE9B49" w14:textId="77777777" w:rsidR="0010369C" w:rsidRDefault="0010369C">
      <w:pPr>
        <w:rPr>
          <w:sz w:val="18"/>
        </w:rPr>
        <w:sectPr w:rsidR="0010369C">
          <w:pgSz w:w="11910" w:h="16840"/>
          <w:pgMar w:top="880" w:right="800" w:bottom="980" w:left="1180" w:header="569" w:footer="788" w:gutter="0"/>
          <w:cols w:space="720"/>
        </w:sectPr>
      </w:pPr>
    </w:p>
    <w:p w14:paraId="51DE9B4A" w14:textId="77777777" w:rsidR="0010369C" w:rsidRDefault="0010369C">
      <w:pPr>
        <w:pStyle w:val="BodyText"/>
        <w:spacing w:before="2"/>
        <w:rPr>
          <w:sz w:val="15"/>
        </w:rPr>
      </w:pPr>
    </w:p>
    <w:p w14:paraId="51DE9B4B" w14:textId="77777777" w:rsidR="0010369C" w:rsidRDefault="008E43AE">
      <w:pPr>
        <w:tabs>
          <w:tab w:val="left" w:pos="8227"/>
        </w:tabs>
        <w:spacing w:before="60"/>
        <w:ind w:left="239"/>
        <w:jc w:val="both"/>
        <w:rPr>
          <w:sz w:val="20"/>
        </w:rPr>
      </w:pPr>
      <w:r>
        <w:rPr>
          <w:i/>
          <w:sz w:val="20"/>
        </w:rPr>
        <w:t>on</w:t>
      </w:r>
      <w:r>
        <w:rPr>
          <w:i/>
          <w:spacing w:val="-1"/>
          <w:sz w:val="20"/>
        </w:rPr>
        <w:t xml:space="preserve"> </w:t>
      </w:r>
      <w:r>
        <w:rPr>
          <w:i/>
          <w:sz w:val="20"/>
        </w:rPr>
        <w:t>Wine</w:t>
      </w:r>
      <w:r>
        <w:rPr>
          <w:i/>
          <w:spacing w:val="-1"/>
          <w:sz w:val="20"/>
        </w:rPr>
        <w:t xml:space="preserve"> </w:t>
      </w:r>
      <w:r>
        <w:rPr>
          <w:i/>
          <w:sz w:val="20"/>
        </w:rPr>
        <w:t>from</w:t>
      </w:r>
      <w:r>
        <w:rPr>
          <w:i/>
          <w:spacing w:val="-3"/>
          <w:sz w:val="20"/>
        </w:rPr>
        <w:t xml:space="preserve"> </w:t>
      </w:r>
      <w:r>
        <w:rPr>
          <w:i/>
          <w:sz w:val="20"/>
        </w:rPr>
        <w:t>Australia</w:t>
      </w:r>
      <w:r>
        <w:rPr>
          <w:i/>
          <w:spacing w:val="-1"/>
          <w:sz w:val="20"/>
        </w:rPr>
        <w:t xml:space="preserve"> </w:t>
      </w:r>
      <w:r>
        <w:rPr>
          <w:spacing w:val="-2"/>
          <w:sz w:val="20"/>
        </w:rPr>
        <w:t>(DS602)</w:t>
      </w:r>
      <w:r>
        <w:rPr>
          <w:sz w:val="20"/>
        </w:rPr>
        <w:tab/>
        <w:t>29</w:t>
      </w:r>
      <w:r>
        <w:rPr>
          <w:spacing w:val="-1"/>
          <w:sz w:val="20"/>
        </w:rPr>
        <w:t xml:space="preserve"> </w:t>
      </w:r>
      <w:r>
        <w:rPr>
          <w:sz w:val="20"/>
        </w:rPr>
        <w:t>April</w:t>
      </w:r>
      <w:r>
        <w:rPr>
          <w:spacing w:val="-2"/>
          <w:sz w:val="20"/>
        </w:rPr>
        <w:t xml:space="preserve"> </w:t>
      </w:r>
      <w:r>
        <w:rPr>
          <w:spacing w:val="-4"/>
          <w:sz w:val="20"/>
        </w:rPr>
        <w:t>2022</w:t>
      </w:r>
    </w:p>
    <w:p w14:paraId="51DE9B4C" w14:textId="77777777" w:rsidR="0010369C" w:rsidRDefault="008E43AE">
      <w:pPr>
        <w:pStyle w:val="BodyText"/>
        <w:spacing w:before="34" w:line="360" w:lineRule="auto"/>
        <w:ind w:left="237" w:right="611"/>
        <w:jc w:val="both"/>
      </w:pPr>
      <w:r>
        <w:t>import prices undermined the due process rights of the interested parties. This information was essential to MOFCOM's injury analysis, it was non‐confidential, and it should have been disclosed to the interested parties to ensure they had a meaningful oppo</w:t>
      </w:r>
      <w:r>
        <w:t>rtunity for a full defence of their interests. Access to this information would have enabled these parties to prepare submissions that demonstrated to an objective and unbiased investigating authority that subject imports of Australian wine were not causin</w:t>
      </w:r>
      <w:r>
        <w:t xml:space="preserve">g the alleged injury to domestic </w:t>
      </w:r>
      <w:r>
        <w:rPr>
          <w:spacing w:val="-2"/>
        </w:rPr>
        <w:t>producers.</w:t>
      </w:r>
    </w:p>
    <w:p w14:paraId="51DE9B4D" w14:textId="77777777" w:rsidR="0010369C" w:rsidRDefault="008E43AE">
      <w:pPr>
        <w:pStyle w:val="ListParagraph"/>
        <w:numPr>
          <w:ilvl w:val="0"/>
          <w:numId w:val="17"/>
        </w:numPr>
        <w:tabs>
          <w:tab w:val="left" w:pos="3642"/>
          <w:tab w:val="left" w:pos="3643"/>
        </w:tabs>
        <w:spacing w:before="161"/>
        <w:ind w:hanging="853"/>
        <w:jc w:val="both"/>
        <w:rPr>
          <w:sz w:val="24"/>
        </w:rPr>
      </w:pPr>
      <w:r>
        <w:rPr>
          <w:sz w:val="24"/>
          <w:u w:val="single"/>
        </w:rPr>
        <w:t>Treatment</w:t>
      </w:r>
      <w:r>
        <w:rPr>
          <w:spacing w:val="-9"/>
          <w:sz w:val="24"/>
          <w:u w:val="single"/>
        </w:rPr>
        <w:t xml:space="preserve"> </w:t>
      </w:r>
      <w:r>
        <w:rPr>
          <w:sz w:val="24"/>
          <w:u w:val="single"/>
        </w:rPr>
        <w:t>of</w:t>
      </w:r>
      <w:r>
        <w:rPr>
          <w:spacing w:val="-8"/>
          <w:sz w:val="24"/>
          <w:u w:val="single"/>
        </w:rPr>
        <w:t xml:space="preserve"> </w:t>
      </w:r>
      <w:r>
        <w:rPr>
          <w:sz w:val="24"/>
          <w:u w:val="single"/>
        </w:rPr>
        <w:t>the</w:t>
      </w:r>
      <w:r>
        <w:rPr>
          <w:spacing w:val="-7"/>
          <w:sz w:val="24"/>
          <w:u w:val="single"/>
        </w:rPr>
        <w:t xml:space="preserve"> </w:t>
      </w:r>
      <w:r>
        <w:rPr>
          <w:sz w:val="24"/>
          <w:u w:val="single"/>
        </w:rPr>
        <w:t>other</w:t>
      </w:r>
      <w:r>
        <w:rPr>
          <w:spacing w:val="-7"/>
          <w:sz w:val="24"/>
          <w:u w:val="single"/>
        </w:rPr>
        <w:t xml:space="preserve"> </w:t>
      </w:r>
      <w:r>
        <w:rPr>
          <w:sz w:val="24"/>
          <w:u w:val="single"/>
        </w:rPr>
        <w:t>named</w:t>
      </w:r>
      <w:r>
        <w:rPr>
          <w:spacing w:val="-7"/>
          <w:sz w:val="24"/>
          <w:u w:val="single"/>
        </w:rPr>
        <w:t xml:space="preserve"> </w:t>
      </w:r>
      <w:r>
        <w:rPr>
          <w:sz w:val="24"/>
          <w:u w:val="single"/>
        </w:rPr>
        <w:t>Australian</w:t>
      </w:r>
      <w:r>
        <w:rPr>
          <w:spacing w:val="-8"/>
          <w:sz w:val="24"/>
          <w:u w:val="single"/>
        </w:rPr>
        <w:t xml:space="preserve"> </w:t>
      </w:r>
      <w:r>
        <w:rPr>
          <w:spacing w:val="-2"/>
          <w:sz w:val="24"/>
          <w:u w:val="single"/>
        </w:rPr>
        <w:t>exporters</w:t>
      </w:r>
    </w:p>
    <w:p w14:paraId="51DE9B4E" w14:textId="77777777" w:rsidR="0010369C" w:rsidRDefault="0010369C">
      <w:pPr>
        <w:pStyle w:val="BodyText"/>
        <w:rPr>
          <w:sz w:val="20"/>
        </w:rPr>
      </w:pPr>
    </w:p>
    <w:p w14:paraId="51DE9B4F" w14:textId="77777777" w:rsidR="0010369C" w:rsidRDefault="008E43AE">
      <w:pPr>
        <w:pStyle w:val="BodyText"/>
        <w:spacing w:before="52" w:line="360" w:lineRule="auto"/>
        <w:ind w:left="238" w:right="460" w:firstLine="850"/>
      </w:pPr>
      <w:r>
        <w:rPr>
          <w:noProof/>
        </w:rPr>
        <w:drawing>
          <wp:anchor distT="0" distB="0" distL="0" distR="0" simplePos="0" relativeHeight="251628032" behindDoc="1" locked="0" layoutInCell="1" allowOverlap="1" wp14:anchorId="51DEA904" wp14:editId="51DEA905">
            <wp:simplePos x="0" y="0"/>
            <wp:positionH relativeFrom="page">
              <wp:posOffset>908303</wp:posOffset>
            </wp:positionH>
            <wp:positionV relativeFrom="paragraph">
              <wp:posOffset>86624</wp:posOffset>
            </wp:positionV>
            <wp:extent cx="332231" cy="103631"/>
            <wp:effectExtent l="0" t="0" r="0" b="0"/>
            <wp:wrapNone/>
            <wp:docPr id="2063" name="image10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 name="image1059.png"/>
                    <pic:cNvPicPr/>
                  </pic:nvPicPr>
                  <pic:blipFill>
                    <a:blip r:embed="rId1360" cstate="print"/>
                    <a:stretch>
                      <a:fillRect/>
                    </a:stretch>
                  </pic:blipFill>
                  <pic:spPr>
                    <a:xfrm>
                      <a:off x="0" y="0"/>
                      <a:ext cx="332231" cy="103631"/>
                    </a:xfrm>
                    <a:prstGeom prst="rect">
                      <a:avLst/>
                    </a:prstGeom>
                  </pic:spPr>
                </pic:pic>
              </a:graphicData>
            </a:graphic>
          </wp:anchor>
        </w:drawing>
      </w:r>
      <w:r>
        <w:t>Australia</w:t>
      </w:r>
      <w:r>
        <w:rPr>
          <w:spacing w:val="-10"/>
        </w:rPr>
        <w:t xml:space="preserve"> </w:t>
      </w:r>
      <w:r>
        <w:t>does</w:t>
      </w:r>
      <w:r>
        <w:rPr>
          <w:spacing w:val="-10"/>
        </w:rPr>
        <w:t xml:space="preserve"> </w:t>
      </w:r>
      <w:r>
        <w:t>not</w:t>
      </w:r>
      <w:r>
        <w:rPr>
          <w:spacing w:val="-10"/>
        </w:rPr>
        <w:t xml:space="preserve"> </w:t>
      </w:r>
      <w:r>
        <w:t>have</w:t>
      </w:r>
      <w:r>
        <w:rPr>
          <w:spacing w:val="-10"/>
        </w:rPr>
        <w:t xml:space="preserve"> </w:t>
      </w:r>
      <w:r>
        <w:t>access</w:t>
      </w:r>
      <w:r>
        <w:rPr>
          <w:spacing w:val="-10"/>
        </w:rPr>
        <w:t xml:space="preserve"> </w:t>
      </w:r>
      <w:r>
        <w:t>to</w:t>
      </w:r>
      <w:r>
        <w:rPr>
          <w:spacing w:val="-9"/>
        </w:rPr>
        <w:t xml:space="preserve"> </w:t>
      </w:r>
      <w:r>
        <w:t>the</w:t>
      </w:r>
      <w:r>
        <w:rPr>
          <w:spacing w:val="-9"/>
        </w:rPr>
        <w:t xml:space="preserve"> </w:t>
      </w:r>
      <w:r>
        <w:t>version</w:t>
      </w:r>
      <w:r>
        <w:rPr>
          <w:spacing w:val="-12"/>
        </w:rPr>
        <w:t xml:space="preserve"> </w:t>
      </w:r>
      <w:r>
        <w:t>of</w:t>
      </w:r>
      <w:r>
        <w:rPr>
          <w:spacing w:val="-10"/>
        </w:rPr>
        <w:t xml:space="preserve"> </w:t>
      </w:r>
      <w:r>
        <w:t>the</w:t>
      </w:r>
      <w:r>
        <w:rPr>
          <w:spacing w:val="-9"/>
        </w:rPr>
        <w:t xml:space="preserve"> </w:t>
      </w:r>
      <w:r>
        <w:t>Final</w:t>
      </w:r>
      <w:r>
        <w:rPr>
          <w:spacing w:val="-9"/>
        </w:rPr>
        <w:t xml:space="preserve"> </w:t>
      </w:r>
      <w:r>
        <w:t>Disclosure</w:t>
      </w:r>
      <w:r>
        <w:rPr>
          <w:spacing w:val="-8"/>
        </w:rPr>
        <w:t xml:space="preserve"> </w:t>
      </w:r>
      <w:r>
        <w:t>that</w:t>
      </w:r>
      <w:r>
        <w:rPr>
          <w:spacing w:val="-10"/>
        </w:rPr>
        <w:t xml:space="preserve"> </w:t>
      </w:r>
      <w:r>
        <w:t>was</w:t>
      </w:r>
      <w:r>
        <w:rPr>
          <w:spacing w:val="-10"/>
        </w:rPr>
        <w:t xml:space="preserve"> </w:t>
      </w:r>
      <w:r>
        <w:t>provided to</w:t>
      </w:r>
      <w:r>
        <w:rPr>
          <w:spacing w:val="40"/>
        </w:rPr>
        <w:t xml:space="preserve"> </w:t>
      </w:r>
      <w:r>
        <w:t>the</w:t>
      </w:r>
      <w:r>
        <w:rPr>
          <w:spacing w:val="40"/>
        </w:rPr>
        <w:t xml:space="preserve"> </w:t>
      </w:r>
      <w:r>
        <w:t>other</w:t>
      </w:r>
      <w:r>
        <w:rPr>
          <w:spacing w:val="40"/>
        </w:rPr>
        <w:t xml:space="preserve"> </w:t>
      </w:r>
      <w:r>
        <w:t>named</w:t>
      </w:r>
      <w:r>
        <w:rPr>
          <w:spacing w:val="40"/>
        </w:rPr>
        <w:t xml:space="preserve"> </w:t>
      </w:r>
      <w:r>
        <w:t>Australian</w:t>
      </w:r>
      <w:r>
        <w:rPr>
          <w:spacing w:val="40"/>
        </w:rPr>
        <w:t xml:space="preserve"> </w:t>
      </w:r>
      <w:r>
        <w:t>exporters.</w:t>
      </w:r>
      <w:r>
        <w:rPr>
          <w:spacing w:val="40"/>
        </w:rPr>
        <w:t xml:space="preserve"> </w:t>
      </w:r>
      <w:r>
        <w:t>However,</w:t>
      </w:r>
      <w:r>
        <w:rPr>
          <w:spacing w:val="40"/>
        </w:rPr>
        <w:t xml:space="preserve"> </w:t>
      </w:r>
      <w:r>
        <w:t>Australia's</w:t>
      </w:r>
      <w:r>
        <w:rPr>
          <w:spacing w:val="40"/>
        </w:rPr>
        <w:t xml:space="preserve"> </w:t>
      </w:r>
      <w:r>
        <w:t>understanding</w:t>
      </w:r>
      <w:r>
        <w:rPr>
          <w:spacing w:val="68"/>
        </w:rPr>
        <w:t xml:space="preserve"> </w:t>
      </w:r>
      <w:r>
        <w:t>is</w:t>
      </w:r>
      <w:r>
        <w:rPr>
          <w:spacing w:val="40"/>
        </w:rPr>
        <w:t xml:space="preserve"> </w:t>
      </w:r>
      <w:r>
        <w:t>that</w:t>
      </w:r>
      <w:r>
        <w:rPr>
          <w:spacing w:val="40"/>
        </w:rPr>
        <w:t xml:space="preserve"> </w:t>
      </w:r>
      <w:r>
        <w:t>it</w:t>
      </w:r>
      <w:r>
        <w:rPr>
          <w:spacing w:val="80"/>
        </w:rPr>
        <w:t xml:space="preserve"> </w:t>
      </w:r>
      <w:r>
        <w:t>reflected</w:t>
      </w:r>
      <w:r>
        <w:rPr>
          <w:spacing w:val="-10"/>
        </w:rPr>
        <w:t xml:space="preserve"> </w:t>
      </w:r>
      <w:r>
        <w:t>the</w:t>
      </w:r>
      <w:r>
        <w:rPr>
          <w:spacing w:val="-7"/>
        </w:rPr>
        <w:t xml:space="preserve"> </w:t>
      </w:r>
      <w:r>
        <w:t>version</w:t>
      </w:r>
      <w:r>
        <w:rPr>
          <w:spacing w:val="-9"/>
        </w:rPr>
        <w:t xml:space="preserve"> </w:t>
      </w:r>
      <w:r>
        <w:t>of</w:t>
      </w:r>
      <w:r>
        <w:rPr>
          <w:spacing w:val="-9"/>
        </w:rPr>
        <w:t xml:space="preserve"> </w:t>
      </w:r>
      <w:r>
        <w:t>the</w:t>
      </w:r>
      <w:r>
        <w:rPr>
          <w:spacing w:val="-7"/>
        </w:rPr>
        <w:t xml:space="preserve"> </w:t>
      </w:r>
      <w:r>
        <w:t>Final</w:t>
      </w:r>
      <w:r>
        <w:rPr>
          <w:spacing w:val="-7"/>
        </w:rPr>
        <w:t xml:space="preserve"> </w:t>
      </w:r>
      <w:r>
        <w:t>Disclosure</w:t>
      </w:r>
      <w:r>
        <w:rPr>
          <w:spacing w:val="-5"/>
        </w:rPr>
        <w:t xml:space="preserve"> </w:t>
      </w:r>
      <w:r>
        <w:t>that</w:t>
      </w:r>
      <w:r>
        <w:rPr>
          <w:spacing w:val="-9"/>
        </w:rPr>
        <w:t xml:space="preserve"> </w:t>
      </w:r>
      <w:r>
        <w:t>was</w:t>
      </w:r>
      <w:r>
        <w:rPr>
          <w:spacing w:val="-9"/>
        </w:rPr>
        <w:t xml:space="preserve"> </w:t>
      </w:r>
      <w:r>
        <w:t>distributed</w:t>
      </w:r>
      <w:r>
        <w:rPr>
          <w:spacing w:val="-7"/>
        </w:rPr>
        <w:t xml:space="preserve"> </w:t>
      </w:r>
      <w:r>
        <w:t>to</w:t>
      </w:r>
      <w:r>
        <w:rPr>
          <w:spacing w:val="-7"/>
        </w:rPr>
        <w:t xml:space="preserve"> </w:t>
      </w:r>
      <w:r>
        <w:t>the</w:t>
      </w:r>
      <w:r>
        <w:rPr>
          <w:spacing w:val="-7"/>
        </w:rPr>
        <w:t xml:space="preserve"> </w:t>
      </w:r>
      <w:r>
        <w:t>Australian</w:t>
      </w:r>
      <w:r>
        <w:rPr>
          <w:spacing w:val="-9"/>
        </w:rPr>
        <w:t xml:space="preserve"> </w:t>
      </w:r>
      <w:r>
        <w:t>Government on 12 March 2021. This version omitted any information relating to normal value and export price</w:t>
      </w:r>
      <w:r>
        <w:rPr>
          <w:spacing w:val="40"/>
        </w:rPr>
        <w:t xml:space="preserve"> </w:t>
      </w:r>
      <w:r>
        <w:t>for</w:t>
      </w:r>
      <w:r>
        <w:rPr>
          <w:spacing w:val="40"/>
        </w:rPr>
        <w:t xml:space="preserve"> </w:t>
      </w:r>
      <w:r>
        <w:t>the</w:t>
      </w:r>
      <w:r>
        <w:rPr>
          <w:spacing w:val="40"/>
        </w:rPr>
        <w:t xml:space="preserve"> </w:t>
      </w:r>
      <w:r>
        <w:t>sampled</w:t>
      </w:r>
      <w:r>
        <w:rPr>
          <w:spacing w:val="40"/>
        </w:rPr>
        <w:t xml:space="preserve"> </w:t>
      </w:r>
      <w:r>
        <w:t>companies,</w:t>
      </w:r>
      <w:r>
        <w:rPr>
          <w:spacing w:val="40"/>
        </w:rPr>
        <w:t xml:space="preserve"> </w:t>
      </w:r>
      <w:r>
        <w:t>constitutin</w:t>
      </w:r>
      <w:r>
        <w:t>g</w:t>
      </w:r>
      <w:r>
        <w:rPr>
          <w:spacing w:val="40"/>
        </w:rPr>
        <w:t xml:space="preserve"> </w:t>
      </w:r>
      <w:r>
        <w:t>34</w:t>
      </w:r>
      <w:r>
        <w:rPr>
          <w:spacing w:val="40"/>
        </w:rPr>
        <w:t xml:space="preserve"> </w:t>
      </w:r>
      <w:r>
        <w:t>pages</w:t>
      </w:r>
      <w:r>
        <w:rPr>
          <w:spacing w:val="40"/>
        </w:rPr>
        <w:t xml:space="preserve"> </w:t>
      </w:r>
      <w:r>
        <w:t>of</w:t>
      </w:r>
      <w:r>
        <w:rPr>
          <w:spacing w:val="40"/>
        </w:rPr>
        <w:t xml:space="preserve"> </w:t>
      </w:r>
      <w:r>
        <w:t>reasoning.</w:t>
      </w:r>
      <w:r>
        <w:rPr>
          <w:vertAlign w:val="superscript"/>
        </w:rPr>
        <w:t>1224</w:t>
      </w:r>
      <w:r>
        <w:rPr>
          <w:spacing w:val="40"/>
        </w:rPr>
        <w:t xml:space="preserve"> </w:t>
      </w:r>
      <w:r>
        <w:t>This</w:t>
      </w:r>
      <w:r>
        <w:rPr>
          <w:spacing w:val="40"/>
        </w:rPr>
        <w:t xml:space="preserve"> </w:t>
      </w:r>
      <w:r>
        <w:t>narrative description of MOFCOM's methodology in respect of the sampled companies, incomplete as</w:t>
      </w:r>
    </w:p>
    <w:p w14:paraId="51DE9B50" w14:textId="77777777" w:rsidR="0010369C" w:rsidRDefault="0010369C">
      <w:pPr>
        <w:spacing w:line="360" w:lineRule="auto"/>
        <w:sectPr w:rsidR="0010369C">
          <w:headerReference w:type="default" r:id="rId1361"/>
          <w:footerReference w:type="default" r:id="rId1362"/>
          <w:pgSz w:w="11910" w:h="16840"/>
          <w:pgMar w:top="880" w:right="800" w:bottom="980" w:left="1180" w:header="569" w:footer="788" w:gutter="0"/>
          <w:cols w:space="720"/>
        </w:sectPr>
      </w:pPr>
    </w:p>
    <w:p w14:paraId="51DE9B51" w14:textId="77777777" w:rsidR="0010369C" w:rsidRDefault="008E43AE">
      <w:pPr>
        <w:pStyle w:val="BodyText"/>
        <w:spacing w:before="1"/>
        <w:ind w:left="238"/>
      </w:pPr>
      <w:r>
        <w:t>it</w:t>
      </w:r>
      <w:r>
        <w:rPr>
          <w:spacing w:val="49"/>
        </w:rPr>
        <w:t xml:space="preserve"> </w:t>
      </w:r>
      <w:r>
        <w:rPr>
          <w:spacing w:val="-4"/>
        </w:rPr>
        <w:t>was,</w:t>
      </w:r>
    </w:p>
    <w:p w14:paraId="51DE9B52" w14:textId="77777777" w:rsidR="0010369C" w:rsidRDefault="008E43AE">
      <w:pPr>
        <w:spacing w:before="1"/>
        <w:ind w:left="66"/>
        <w:rPr>
          <w:sz w:val="24"/>
        </w:rPr>
      </w:pPr>
      <w:r>
        <w:br w:type="column"/>
      </w:r>
      <w:r>
        <w:rPr>
          <w:spacing w:val="-5"/>
          <w:sz w:val="24"/>
        </w:rPr>
        <w:t>was</w:t>
      </w:r>
    </w:p>
    <w:p w14:paraId="51DE9B53" w14:textId="77777777" w:rsidR="0010369C" w:rsidRDefault="008E43AE">
      <w:pPr>
        <w:pStyle w:val="BodyText"/>
        <w:spacing w:before="1"/>
        <w:ind w:left="66"/>
      </w:pPr>
      <w:r>
        <w:br w:type="column"/>
      </w:r>
      <w:r>
        <w:rPr>
          <w:spacing w:val="-2"/>
        </w:rPr>
        <w:t>never</w:t>
      </w:r>
    </w:p>
    <w:p w14:paraId="51DE9B54" w14:textId="77777777" w:rsidR="0010369C" w:rsidRDefault="008E43AE">
      <w:pPr>
        <w:pStyle w:val="BodyText"/>
        <w:spacing w:before="1"/>
        <w:ind w:left="66"/>
      </w:pPr>
      <w:r>
        <w:br w:type="column"/>
      </w:r>
      <w:r>
        <w:t>circulated</w:t>
      </w:r>
      <w:r>
        <w:rPr>
          <w:spacing w:val="32"/>
        </w:rPr>
        <w:t xml:space="preserve"> </w:t>
      </w:r>
      <w:r>
        <w:rPr>
          <w:spacing w:val="-7"/>
        </w:rPr>
        <w:t>to</w:t>
      </w:r>
    </w:p>
    <w:p w14:paraId="51DE9B55" w14:textId="77777777" w:rsidR="0010369C" w:rsidRDefault="008E43AE">
      <w:pPr>
        <w:spacing w:before="1"/>
        <w:ind w:left="66"/>
        <w:rPr>
          <w:sz w:val="24"/>
        </w:rPr>
      </w:pPr>
      <w:r>
        <w:br w:type="column"/>
      </w:r>
      <w:r>
        <w:rPr>
          <w:spacing w:val="-5"/>
          <w:sz w:val="24"/>
        </w:rPr>
        <w:t>the</w:t>
      </w:r>
    </w:p>
    <w:p w14:paraId="51DE9B56" w14:textId="77777777" w:rsidR="0010369C" w:rsidRDefault="008E43AE">
      <w:pPr>
        <w:pStyle w:val="BodyText"/>
        <w:spacing w:before="1"/>
        <w:ind w:left="66"/>
      </w:pPr>
      <w:r>
        <w:br w:type="column"/>
      </w:r>
      <w:r>
        <w:rPr>
          <w:spacing w:val="-2"/>
        </w:rPr>
        <w:t>non‐sampled</w:t>
      </w:r>
    </w:p>
    <w:p w14:paraId="51DE9B57" w14:textId="77777777" w:rsidR="0010369C" w:rsidRDefault="008E43AE">
      <w:pPr>
        <w:pStyle w:val="BodyText"/>
        <w:spacing w:before="1"/>
        <w:ind w:left="66"/>
      </w:pPr>
      <w:r>
        <w:br w:type="column"/>
      </w:r>
      <w:r>
        <w:t>exporters.</w:t>
      </w:r>
      <w:r>
        <w:rPr>
          <w:spacing w:val="40"/>
        </w:rPr>
        <w:t xml:space="preserve"> </w:t>
      </w:r>
      <w:r>
        <w:rPr>
          <w:spacing w:val="-5"/>
        </w:rPr>
        <w:t>It</w:t>
      </w:r>
    </w:p>
    <w:p w14:paraId="51DE9B58" w14:textId="77777777" w:rsidR="0010369C" w:rsidRDefault="008E43AE">
      <w:pPr>
        <w:spacing w:before="1"/>
        <w:ind w:left="66"/>
        <w:rPr>
          <w:sz w:val="24"/>
        </w:rPr>
      </w:pPr>
      <w:r>
        <w:br w:type="column"/>
      </w:r>
      <w:r>
        <w:rPr>
          <w:spacing w:val="-5"/>
          <w:sz w:val="24"/>
        </w:rPr>
        <w:t>was</w:t>
      </w:r>
    </w:p>
    <w:p w14:paraId="51DE9B59" w14:textId="77777777" w:rsidR="0010369C" w:rsidRDefault="008E43AE">
      <w:pPr>
        <w:pStyle w:val="BodyText"/>
        <w:spacing w:before="1"/>
        <w:ind w:left="64"/>
      </w:pPr>
      <w:r>
        <w:br w:type="column"/>
      </w:r>
      <w:r>
        <w:rPr>
          <w:spacing w:val="-4"/>
        </w:rPr>
        <w:t>only</w:t>
      </w:r>
    </w:p>
    <w:p w14:paraId="51DE9B5A" w14:textId="77777777" w:rsidR="0010369C" w:rsidRDefault="008E43AE">
      <w:pPr>
        <w:spacing w:before="1"/>
        <w:ind w:left="66"/>
        <w:rPr>
          <w:sz w:val="24"/>
        </w:rPr>
      </w:pPr>
      <w:r>
        <w:br w:type="column"/>
      </w:r>
      <w:r>
        <w:rPr>
          <w:spacing w:val="-5"/>
          <w:sz w:val="24"/>
        </w:rPr>
        <w:t>set</w:t>
      </w:r>
    </w:p>
    <w:p w14:paraId="51DE9B5B" w14:textId="77777777" w:rsidR="0010369C" w:rsidRDefault="008E43AE">
      <w:pPr>
        <w:spacing w:before="1"/>
        <w:ind w:left="65"/>
        <w:rPr>
          <w:sz w:val="24"/>
        </w:rPr>
      </w:pPr>
      <w:r>
        <w:br w:type="column"/>
      </w:r>
      <w:r>
        <w:rPr>
          <w:spacing w:val="-5"/>
          <w:sz w:val="24"/>
        </w:rPr>
        <w:t>out</w:t>
      </w:r>
    </w:p>
    <w:p w14:paraId="51DE9B5C" w14:textId="77777777" w:rsidR="0010369C" w:rsidRDefault="008E43AE">
      <w:pPr>
        <w:spacing w:before="1"/>
        <w:ind w:left="66"/>
        <w:rPr>
          <w:sz w:val="24"/>
        </w:rPr>
      </w:pPr>
      <w:r>
        <w:br w:type="column"/>
      </w:r>
      <w:r>
        <w:rPr>
          <w:spacing w:val="-5"/>
          <w:sz w:val="24"/>
        </w:rPr>
        <w:t>[[</w:t>
      </w:r>
    </w:p>
    <w:p w14:paraId="51DE9B5D" w14:textId="77777777" w:rsidR="0010369C" w:rsidRDefault="008E43AE">
      <w:pPr>
        <w:pStyle w:val="BodyText"/>
        <w:spacing w:before="147"/>
        <w:ind w:left="57"/>
      </w:pPr>
      <w:r>
        <w:pict w14:anchorId="51DEA906">
          <v:rect id="docshape1449" o:spid="_x0000_s1067" style="position:absolute;left:0;text-align:left;margin-left:494.15pt;margin-top:-14.2pt;width:30.65pt;height:15.6pt;z-index:251873792;mso-position-horizontal-relative:page" fillcolor="black" stroked="f">
            <w10:wrap anchorx="page"/>
          </v:rect>
        </w:pict>
      </w:r>
      <w:r>
        <w:pict w14:anchorId="51DEA907">
          <v:rect id="docshape1450" o:spid="_x0000_s1066" style="position:absolute;left:0;text-align:left;margin-left:69.9pt;margin-top:7.75pt;width:416.5pt;height:15.6pt;z-index:251874816;mso-position-horizontal-relative:page" fillcolor="black" stroked="f">
            <w10:wrap anchorx="page"/>
          </v:rect>
        </w:pict>
      </w:r>
      <w:r>
        <w:t>]]</w:t>
      </w:r>
      <w:r>
        <w:rPr>
          <w:spacing w:val="17"/>
        </w:rPr>
        <w:t xml:space="preserve"> </w:t>
      </w:r>
      <w:r>
        <w:t>and</w:t>
      </w:r>
      <w:r>
        <w:rPr>
          <w:spacing w:val="19"/>
        </w:rPr>
        <w:t xml:space="preserve"> </w:t>
      </w:r>
      <w:r>
        <w:rPr>
          <w:spacing w:val="-5"/>
        </w:rPr>
        <w:t>in</w:t>
      </w:r>
    </w:p>
    <w:p w14:paraId="51DE9B5E" w14:textId="77777777" w:rsidR="0010369C" w:rsidRDefault="0010369C">
      <w:pPr>
        <w:sectPr w:rsidR="0010369C">
          <w:type w:val="continuous"/>
          <w:pgSz w:w="11910" w:h="16840"/>
          <w:pgMar w:top="1460" w:right="800" w:bottom="280" w:left="1180" w:header="569" w:footer="788" w:gutter="0"/>
          <w:cols w:num="12" w:space="720" w:equalWidth="0">
            <w:col w:w="920" w:space="40"/>
            <w:col w:w="448" w:space="39"/>
            <w:col w:w="624" w:space="39"/>
            <w:col w:w="1343" w:space="40"/>
            <w:col w:w="391" w:space="40"/>
            <w:col w:w="1346" w:space="39"/>
            <w:col w:w="1313" w:space="39"/>
            <w:col w:w="448" w:space="40"/>
            <w:col w:w="482" w:space="39"/>
            <w:col w:w="361" w:space="40"/>
            <w:col w:w="400" w:space="39"/>
            <w:col w:w="1420"/>
          </w:cols>
        </w:sectPr>
      </w:pPr>
    </w:p>
    <w:p w14:paraId="51DE9B5F" w14:textId="77777777" w:rsidR="0010369C" w:rsidRDefault="008E43AE">
      <w:pPr>
        <w:pStyle w:val="BodyText"/>
        <w:spacing w:before="146"/>
        <w:ind w:left="238"/>
      </w:pPr>
      <w:r>
        <w:t>the</w:t>
      </w:r>
      <w:r>
        <w:rPr>
          <w:spacing w:val="-7"/>
        </w:rPr>
        <w:t xml:space="preserve"> </w:t>
      </w:r>
      <w:r>
        <w:t>Additional</w:t>
      </w:r>
      <w:r>
        <w:rPr>
          <w:spacing w:val="-8"/>
        </w:rPr>
        <w:t xml:space="preserve"> </w:t>
      </w:r>
      <w:r>
        <w:t>Final</w:t>
      </w:r>
      <w:r>
        <w:rPr>
          <w:spacing w:val="-6"/>
        </w:rPr>
        <w:t xml:space="preserve"> </w:t>
      </w:r>
      <w:r>
        <w:t>Disclosure</w:t>
      </w:r>
      <w:r>
        <w:rPr>
          <w:spacing w:val="-7"/>
        </w:rPr>
        <w:t xml:space="preserve"> </w:t>
      </w:r>
      <w:r>
        <w:t>to</w:t>
      </w:r>
      <w:r>
        <w:rPr>
          <w:spacing w:val="-6"/>
        </w:rPr>
        <w:t xml:space="preserve"> </w:t>
      </w:r>
      <w:r>
        <w:t>the</w:t>
      </w:r>
      <w:r>
        <w:rPr>
          <w:spacing w:val="-8"/>
        </w:rPr>
        <w:t xml:space="preserve"> </w:t>
      </w:r>
      <w:r>
        <w:t>Australian</w:t>
      </w:r>
      <w:r>
        <w:rPr>
          <w:spacing w:val="-7"/>
        </w:rPr>
        <w:t xml:space="preserve"> </w:t>
      </w:r>
      <w:r>
        <w:t>Government</w:t>
      </w:r>
      <w:r>
        <w:rPr>
          <w:spacing w:val="-8"/>
        </w:rPr>
        <w:t xml:space="preserve"> </w:t>
      </w:r>
      <w:r>
        <w:t>on</w:t>
      </w:r>
      <w:r>
        <w:rPr>
          <w:spacing w:val="-7"/>
        </w:rPr>
        <w:t xml:space="preserve"> </w:t>
      </w:r>
      <w:r>
        <w:t>17</w:t>
      </w:r>
      <w:r>
        <w:rPr>
          <w:spacing w:val="-8"/>
        </w:rPr>
        <w:t xml:space="preserve"> </w:t>
      </w:r>
      <w:r>
        <w:t>March</w:t>
      </w:r>
      <w:r>
        <w:rPr>
          <w:spacing w:val="-7"/>
        </w:rPr>
        <w:t xml:space="preserve"> </w:t>
      </w:r>
      <w:r>
        <w:rPr>
          <w:spacing w:val="-2"/>
        </w:rPr>
        <w:t>2021.</w:t>
      </w:r>
    </w:p>
    <w:p w14:paraId="51DE9B60" w14:textId="77777777" w:rsidR="0010369C" w:rsidRDefault="0010369C">
      <w:pPr>
        <w:pStyle w:val="BodyText"/>
        <w:rPr>
          <w:sz w:val="20"/>
        </w:rPr>
      </w:pPr>
    </w:p>
    <w:p w14:paraId="51DE9B61" w14:textId="77777777" w:rsidR="0010369C" w:rsidRDefault="008E43AE">
      <w:pPr>
        <w:pStyle w:val="BodyText"/>
        <w:spacing w:before="51" w:line="360" w:lineRule="auto"/>
        <w:ind w:left="238" w:right="611" w:firstLine="850"/>
        <w:jc w:val="both"/>
      </w:pPr>
      <w:r>
        <w:rPr>
          <w:noProof/>
        </w:rPr>
        <w:drawing>
          <wp:anchor distT="0" distB="0" distL="0" distR="0" simplePos="0" relativeHeight="251629056" behindDoc="1" locked="0" layoutInCell="1" allowOverlap="1" wp14:anchorId="51DEA908" wp14:editId="51DEA909">
            <wp:simplePos x="0" y="0"/>
            <wp:positionH relativeFrom="page">
              <wp:posOffset>908303</wp:posOffset>
            </wp:positionH>
            <wp:positionV relativeFrom="paragraph">
              <wp:posOffset>88160</wp:posOffset>
            </wp:positionV>
            <wp:extent cx="332231" cy="106679"/>
            <wp:effectExtent l="0" t="0" r="0" b="0"/>
            <wp:wrapNone/>
            <wp:docPr id="2065" name="image10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 name="image1060.png"/>
                    <pic:cNvPicPr/>
                  </pic:nvPicPr>
                  <pic:blipFill>
                    <a:blip r:embed="rId1363" cstate="print"/>
                    <a:stretch>
                      <a:fillRect/>
                    </a:stretch>
                  </pic:blipFill>
                  <pic:spPr>
                    <a:xfrm>
                      <a:off x="0" y="0"/>
                      <a:ext cx="332231" cy="106679"/>
                    </a:xfrm>
                    <a:prstGeom prst="rect">
                      <a:avLst/>
                    </a:prstGeom>
                  </pic:spPr>
                </pic:pic>
              </a:graphicData>
            </a:graphic>
          </wp:anchor>
        </w:drawing>
      </w:r>
      <w:r>
        <w:t xml:space="preserve">Thus, MOFCOM failed to make </w:t>
      </w:r>
      <w:r>
        <w:rPr>
          <w:i/>
        </w:rPr>
        <w:t xml:space="preserve">any </w:t>
      </w:r>
      <w:r>
        <w:t>disclosure of essential facts to the other named Australian</w:t>
      </w:r>
      <w:r>
        <w:rPr>
          <w:spacing w:val="-14"/>
        </w:rPr>
        <w:t xml:space="preserve"> </w:t>
      </w:r>
      <w:r>
        <w:t>exporters</w:t>
      </w:r>
      <w:r>
        <w:rPr>
          <w:spacing w:val="-14"/>
        </w:rPr>
        <w:t xml:space="preserve"> </w:t>
      </w:r>
      <w:r>
        <w:t>in</w:t>
      </w:r>
      <w:r>
        <w:rPr>
          <w:spacing w:val="-13"/>
        </w:rPr>
        <w:t xml:space="preserve"> </w:t>
      </w:r>
      <w:r>
        <w:t>relation</w:t>
      </w:r>
      <w:r>
        <w:rPr>
          <w:spacing w:val="-14"/>
        </w:rPr>
        <w:t xml:space="preserve"> </w:t>
      </w:r>
      <w:r>
        <w:t>to</w:t>
      </w:r>
      <w:r>
        <w:rPr>
          <w:spacing w:val="-13"/>
        </w:rPr>
        <w:t xml:space="preserve"> </w:t>
      </w:r>
      <w:r>
        <w:t>the</w:t>
      </w:r>
      <w:r>
        <w:rPr>
          <w:spacing w:val="-14"/>
        </w:rPr>
        <w:t xml:space="preserve"> </w:t>
      </w:r>
      <w:r>
        <w:t>calculation</w:t>
      </w:r>
      <w:r>
        <w:rPr>
          <w:spacing w:val="-13"/>
        </w:rPr>
        <w:t xml:space="preserve"> </w:t>
      </w:r>
      <w:r>
        <w:t>of</w:t>
      </w:r>
      <w:r>
        <w:rPr>
          <w:spacing w:val="-14"/>
        </w:rPr>
        <w:t xml:space="preserve"> </w:t>
      </w:r>
      <w:r>
        <w:t>the</w:t>
      </w:r>
      <w:r>
        <w:rPr>
          <w:spacing w:val="-14"/>
        </w:rPr>
        <w:t xml:space="preserve"> </w:t>
      </w:r>
      <w:r>
        <w:t>dumping</w:t>
      </w:r>
      <w:r>
        <w:rPr>
          <w:spacing w:val="-13"/>
        </w:rPr>
        <w:t xml:space="preserve"> </w:t>
      </w:r>
      <w:r>
        <w:t>margins.</w:t>
      </w:r>
      <w:r>
        <w:rPr>
          <w:spacing w:val="-14"/>
        </w:rPr>
        <w:t xml:space="preserve"> </w:t>
      </w:r>
      <w:r>
        <w:t>The</w:t>
      </w:r>
      <w:r>
        <w:rPr>
          <w:spacing w:val="-13"/>
        </w:rPr>
        <w:t xml:space="preserve"> </w:t>
      </w:r>
      <w:r>
        <w:t>Final</w:t>
      </w:r>
      <w:r>
        <w:rPr>
          <w:spacing w:val="-14"/>
        </w:rPr>
        <w:t xml:space="preserve"> </w:t>
      </w:r>
      <w:r>
        <w:t>Disclosure merely</w:t>
      </w:r>
      <w:r>
        <w:rPr>
          <w:spacing w:val="-11"/>
        </w:rPr>
        <w:t xml:space="preserve"> </w:t>
      </w:r>
      <w:r>
        <w:t>stated</w:t>
      </w:r>
      <w:r>
        <w:rPr>
          <w:spacing w:val="-11"/>
        </w:rPr>
        <w:t xml:space="preserve"> </w:t>
      </w:r>
      <w:r>
        <w:t>that</w:t>
      </w:r>
      <w:r>
        <w:rPr>
          <w:spacing w:val="-11"/>
        </w:rPr>
        <w:t xml:space="preserve"> </w:t>
      </w:r>
      <w:r>
        <w:t>MOFCOM</w:t>
      </w:r>
      <w:r>
        <w:rPr>
          <w:spacing w:val="-10"/>
        </w:rPr>
        <w:t xml:space="preserve"> </w:t>
      </w:r>
      <w:r>
        <w:t>had</w:t>
      </w:r>
      <w:r>
        <w:rPr>
          <w:spacing w:val="-11"/>
        </w:rPr>
        <w:t xml:space="preserve"> </w:t>
      </w:r>
      <w:r>
        <w:t>determined</w:t>
      </w:r>
      <w:r>
        <w:rPr>
          <w:spacing w:val="-11"/>
        </w:rPr>
        <w:t xml:space="preserve"> </w:t>
      </w:r>
      <w:r>
        <w:t>a</w:t>
      </w:r>
      <w:r>
        <w:rPr>
          <w:spacing w:val="-11"/>
        </w:rPr>
        <w:t xml:space="preserve"> </w:t>
      </w:r>
      <w:r>
        <w:t>dumping</w:t>
      </w:r>
      <w:r>
        <w:rPr>
          <w:spacing w:val="-10"/>
        </w:rPr>
        <w:t xml:space="preserve"> </w:t>
      </w:r>
      <w:r>
        <w:t>margin</w:t>
      </w:r>
      <w:r>
        <w:rPr>
          <w:spacing w:val="-11"/>
        </w:rPr>
        <w:t xml:space="preserve"> </w:t>
      </w:r>
      <w:r>
        <w:t>based</w:t>
      </w:r>
      <w:r>
        <w:rPr>
          <w:spacing w:val="-11"/>
        </w:rPr>
        <w:t xml:space="preserve"> </w:t>
      </w:r>
      <w:r>
        <w:t>on</w:t>
      </w:r>
      <w:r>
        <w:rPr>
          <w:spacing w:val="-11"/>
        </w:rPr>
        <w:t xml:space="preserve"> </w:t>
      </w:r>
      <w:r>
        <w:t>a</w:t>
      </w:r>
      <w:r>
        <w:rPr>
          <w:spacing w:val="-11"/>
        </w:rPr>
        <w:t xml:space="preserve"> </w:t>
      </w:r>
      <w:r>
        <w:t>weighted</w:t>
      </w:r>
      <w:r>
        <w:rPr>
          <w:spacing w:val="-12"/>
        </w:rPr>
        <w:t xml:space="preserve"> </w:t>
      </w:r>
      <w:r>
        <w:t>average of the sampled companies.</w:t>
      </w:r>
      <w:r>
        <w:rPr>
          <w:vertAlign w:val="superscript"/>
        </w:rPr>
        <w:t>1225</w:t>
      </w:r>
      <w:r>
        <w:t xml:space="preserve"> However, these companies were not provided with any detail in relation to the determination of normal value or export price for the sampled companies. Given that MOFCOM's approach to "facts available" for the sampled c</w:t>
      </w:r>
      <w:r>
        <w:t>ompanies affected all "cooperative"</w:t>
      </w:r>
      <w:r>
        <w:rPr>
          <w:spacing w:val="-8"/>
        </w:rPr>
        <w:t xml:space="preserve"> </w:t>
      </w:r>
      <w:r>
        <w:t>companies,</w:t>
      </w:r>
      <w:r>
        <w:rPr>
          <w:spacing w:val="-6"/>
        </w:rPr>
        <w:t xml:space="preserve"> </w:t>
      </w:r>
      <w:r>
        <w:t>it</w:t>
      </w:r>
      <w:r>
        <w:rPr>
          <w:spacing w:val="-6"/>
        </w:rPr>
        <w:t xml:space="preserve"> </w:t>
      </w:r>
      <w:r>
        <w:t>was</w:t>
      </w:r>
      <w:r>
        <w:rPr>
          <w:spacing w:val="-7"/>
        </w:rPr>
        <w:t xml:space="preserve"> </w:t>
      </w:r>
      <w:r>
        <w:t>critical</w:t>
      </w:r>
      <w:r>
        <w:rPr>
          <w:spacing w:val="-6"/>
        </w:rPr>
        <w:t xml:space="preserve"> </w:t>
      </w:r>
      <w:r>
        <w:t>for</w:t>
      </w:r>
      <w:r>
        <w:rPr>
          <w:spacing w:val="-6"/>
        </w:rPr>
        <w:t xml:space="preserve"> </w:t>
      </w:r>
      <w:r>
        <w:t>these</w:t>
      </w:r>
      <w:r>
        <w:rPr>
          <w:spacing w:val="-7"/>
        </w:rPr>
        <w:t xml:space="preserve"> </w:t>
      </w:r>
      <w:r>
        <w:t>parties</w:t>
      </w:r>
      <w:r>
        <w:rPr>
          <w:spacing w:val="-6"/>
        </w:rPr>
        <w:t xml:space="preserve"> </w:t>
      </w:r>
      <w:r>
        <w:t>to</w:t>
      </w:r>
      <w:r>
        <w:rPr>
          <w:spacing w:val="-6"/>
        </w:rPr>
        <w:t xml:space="preserve"> </w:t>
      </w:r>
      <w:r>
        <w:t>have</w:t>
      </w:r>
      <w:r>
        <w:rPr>
          <w:spacing w:val="-5"/>
        </w:rPr>
        <w:t xml:space="preserve"> </w:t>
      </w:r>
      <w:r>
        <w:t>access</w:t>
      </w:r>
      <w:r>
        <w:rPr>
          <w:spacing w:val="-6"/>
        </w:rPr>
        <w:t xml:space="preserve"> </w:t>
      </w:r>
      <w:r>
        <w:t>to</w:t>
      </w:r>
      <w:r>
        <w:rPr>
          <w:spacing w:val="-6"/>
        </w:rPr>
        <w:t xml:space="preserve"> </w:t>
      </w:r>
      <w:r>
        <w:t>this</w:t>
      </w:r>
      <w:r>
        <w:rPr>
          <w:spacing w:val="-6"/>
        </w:rPr>
        <w:t xml:space="preserve"> </w:t>
      </w:r>
      <w:r>
        <w:t>information</w:t>
      </w:r>
      <w:r>
        <w:rPr>
          <w:spacing w:val="-5"/>
        </w:rPr>
        <w:t xml:space="preserve"> </w:t>
      </w:r>
      <w:r>
        <w:t>to be able to defend their interests.</w:t>
      </w:r>
    </w:p>
    <w:p w14:paraId="51DE9B62" w14:textId="77777777" w:rsidR="0010369C" w:rsidRDefault="008E43AE">
      <w:pPr>
        <w:pStyle w:val="BodyText"/>
        <w:spacing w:before="151" w:line="360" w:lineRule="auto"/>
        <w:ind w:left="238" w:right="612" w:firstLine="850"/>
        <w:jc w:val="both"/>
      </w:pPr>
      <w:r>
        <w:rPr>
          <w:noProof/>
        </w:rPr>
        <w:drawing>
          <wp:anchor distT="0" distB="0" distL="0" distR="0" simplePos="0" relativeHeight="251630080" behindDoc="1" locked="0" layoutInCell="1" allowOverlap="1" wp14:anchorId="51DEA90A" wp14:editId="51DEA90B">
            <wp:simplePos x="0" y="0"/>
            <wp:positionH relativeFrom="page">
              <wp:posOffset>908303</wp:posOffset>
            </wp:positionH>
            <wp:positionV relativeFrom="paragraph">
              <wp:posOffset>161477</wp:posOffset>
            </wp:positionV>
            <wp:extent cx="332231" cy="103631"/>
            <wp:effectExtent l="0" t="0" r="0" b="0"/>
            <wp:wrapNone/>
            <wp:docPr id="2067" name="image10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 name="image1061.png"/>
                    <pic:cNvPicPr/>
                  </pic:nvPicPr>
                  <pic:blipFill>
                    <a:blip r:embed="rId1364" cstate="print"/>
                    <a:stretch>
                      <a:fillRect/>
                    </a:stretch>
                  </pic:blipFill>
                  <pic:spPr>
                    <a:xfrm>
                      <a:off x="0" y="0"/>
                      <a:ext cx="332231" cy="103631"/>
                    </a:xfrm>
                    <a:prstGeom prst="rect">
                      <a:avLst/>
                    </a:prstGeom>
                  </pic:spPr>
                </pic:pic>
              </a:graphicData>
            </a:graphic>
          </wp:anchor>
        </w:drawing>
      </w:r>
      <w:r>
        <w:t>Further, these sections could not have been confidential, as evidenced by the fact that they were sup</w:t>
      </w:r>
      <w:r>
        <w:t>plied to Australia in the supplementary disclosure of 17</w:t>
      </w:r>
      <w:r>
        <w:rPr>
          <w:spacing w:val="-3"/>
        </w:rPr>
        <w:t xml:space="preserve"> </w:t>
      </w:r>
      <w:r>
        <w:t>March</w:t>
      </w:r>
      <w:r>
        <w:rPr>
          <w:spacing w:val="-3"/>
        </w:rPr>
        <w:t xml:space="preserve"> </w:t>
      </w:r>
      <w:r>
        <w:t>2021, and they were included in the Final Determination, accessible to all interested parties.</w:t>
      </w:r>
    </w:p>
    <w:p w14:paraId="51DE9B63" w14:textId="77777777" w:rsidR="0010369C" w:rsidRDefault="0010369C">
      <w:pPr>
        <w:pStyle w:val="BodyText"/>
        <w:rPr>
          <w:sz w:val="20"/>
        </w:rPr>
      </w:pPr>
    </w:p>
    <w:p w14:paraId="51DE9B64" w14:textId="77777777" w:rsidR="0010369C" w:rsidRDefault="008E43AE">
      <w:pPr>
        <w:pStyle w:val="BodyText"/>
        <w:spacing w:before="10"/>
        <w:rPr>
          <w:sz w:val="20"/>
        </w:rPr>
      </w:pPr>
      <w:r>
        <w:pict w14:anchorId="51DEA90C">
          <v:rect id="docshape1451" o:spid="_x0000_s1065" style="position:absolute;margin-left:70.9pt;margin-top:13.95pt;width:2in;height:.8pt;z-index:-250674688;mso-wrap-distance-left:0;mso-wrap-distance-right:0;mso-position-horizontal-relative:page" fillcolor="black" stroked="f">
            <w10:wrap type="topAndBottom" anchorx="page"/>
          </v:rect>
        </w:pict>
      </w:r>
    </w:p>
    <w:p w14:paraId="51DE9B65" w14:textId="77777777" w:rsidR="0010369C" w:rsidRDefault="008E43AE">
      <w:pPr>
        <w:spacing w:before="109"/>
        <w:ind w:left="238"/>
        <w:rPr>
          <w:sz w:val="18"/>
        </w:rPr>
      </w:pPr>
      <w:r>
        <w:rPr>
          <w:sz w:val="18"/>
          <w:vertAlign w:val="superscript"/>
        </w:rPr>
        <w:t>1224</w:t>
      </w:r>
      <w:r>
        <w:rPr>
          <w:spacing w:val="-10"/>
          <w:sz w:val="18"/>
        </w:rPr>
        <w:t xml:space="preserve"> </w:t>
      </w:r>
      <w:r>
        <w:rPr>
          <w:sz w:val="18"/>
        </w:rPr>
        <w:t>Anti‐Dumping</w:t>
      </w:r>
      <w:r>
        <w:rPr>
          <w:spacing w:val="-9"/>
          <w:sz w:val="18"/>
        </w:rPr>
        <w:t xml:space="preserve"> </w:t>
      </w:r>
      <w:r>
        <w:rPr>
          <w:sz w:val="18"/>
        </w:rPr>
        <w:t>Additional</w:t>
      </w:r>
      <w:r>
        <w:rPr>
          <w:spacing w:val="-10"/>
          <w:sz w:val="18"/>
        </w:rPr>
        <w:t xml:space="preserve"> </w:t>
      </w:r>
      <w:r>
        <w:rPr>
          <w:sz w:val="18"/>
        </w:rPr>
        <w:t>Final</w:t>
      </w:r>
      <w:r>
        <w:rPr>
          <w:spacing w:val="-9"/>
          <w:sz w:val="18"/>
        </w:rPr>
        <w:t xml:space="preserve"> </w:t>
      </w:r>
      <w:r>
        <w:rPr>
          <w:sz w:val="18"/>
        </w:rPr>
        <w:t>Disclosure</w:t>
      </w:r>
      <w:r>
        <w:rPr>
          <w:spacing w:val="-9"/>
          <w:sz w:val="18"/>
        </w:rPr>
        <w:t xml:space="preserve"> </w:t>
      </w:r>
      <w:r>
        <w:rPr>
          <w:sz w:val="18"/>
        </w:rPr>
        <w:t>(Exhibit</w:t>
      </w:r>
      <w:r>
        <w:rPr>
          <w:spacing w:val="-9"/>
          <w:sz w:val="18"/>
        </w:rPr>
        <w:t xml:space="preserve"> </w:t>
      </w:r>
      <w:r>
        <w:rPr>
          <w:sz w:val="18"/>
        </w:rPr>
        <w:t>AUS‐101),</w:t>
      </w:r>
      <w:r>
        <w:rPr>
          <w:spacing w:val="-10"/>
          <w:sz w:val="18"/>
        </w:rPr>
        <w:t xml:space="preserve"> </w:t>
      </w:r>
      <w:r>
        <w:rPr>
          <w:sz w:val="18"/>
        </w:rPr>
        <w:t>pp.</w:t>
      </w:r>
      <w:r>
        <w:rPr>
          <w:spacing w:val="-10"/>
          <w:sz w:val="18"/>
        </w:rPr>
        <w:t xml:space="preserve"> </w:t>
      </w:r>
      <w:r>
        <w:rPr>
          <w:spacing w:val="-2"/>
          <w:sz w:val="18"/>
        </w:rPr>
        <w:t>1‐34.</w:t>
      </w:r>
    </w:p>
    <w:p w14:paraId="51DE9B66" w14:textId="77777777" w:rsidR="0010369C" w:rsidRDefault="008E43AE">
      <w:pPr>
        <w:ind w:left="238"/>
        <w:rPr>
          <w:sz w:val="18"/>
        </w:rPr>
      </w:pPr>
      <w:r>
        <w:rPr>
          <w:sz w:val="18"/>
          <w:vertAlign w:val="superscript"/>
        </w:rPr>
        <w:t>1225</w:t>
      </w:r>
      <w:r>
        <w:rPr>
          <w:spacing w:val="-9"/>
          <w:sz w:val="18"/>
        </w:rPr>
        <w:t xml:space="preserve"> </w:t>
      </w:r>
      <w:r>
        <w:rPr>
          <w:sz w:val="18"/>
        </w:rPr>
        <w:t>Anti‐Dumping</w:t>
      </w:r>
      <w:r>
        <w:rPr>
          <w:spacing w:val="-8"/>
          <w:sz w:val="18"/>
        </w:rPr>
        <w:t xml:space="preserve"> </w:t>
      </w:r>
      <w:r>
        <w:rPr>
          <w:sz w:val="18"/>
        </w:rPr>
        <w:t>Final</w:t>
      </w:r>
      <w:r>
        <w:rPr>
          <w:spacing w:val="-8"/>
          <w:sz w:val="18"/>
        </w:rPr>
        <w:t xml:space="preserve"> </w:t>
      </w:r>
      <w:r>
        <w:rPr>
          <w:sz w:val="18"/>
        </w:rPr>
        <w:t>Disclosure</w:t>
      </w:r>
      <w:r>
        <w:rPr>
          <w:spacing w:val="-8"/>
          <w:sz w:val="18"/>
        </w:rPr>
        <w:t xml:space="preserve"> </w:t>
      </w:r>
      <w:r>
        <w:rPr>
          <w:sz w:val="18"/>
        </w:rPr>
        <w:t>(Exhibit</w:t>
      </w:r>
      <w:r>
        <w:rPr>
          <w:spacing w:val="-8"/>
          <w:sz w:val="18"/>
        </w:rPr>
        <w:t xml:space="preserve"> </w:t>
      </w:r>
      <w:r>
        <w:rPr>
          <w:sz w:val="18"/>
        </w:rPr>
        <w:t>AUS‐16),</w:t>
      </w:r>
      <w:r>
        <w:rPr>
          <w:spacing w:val="-8"/>
          <w:sz w:val="18"/>
        </w:rPr>
        <w:t xml:space="preserve"> </w:t>
      </w:r>
      <w:r>
        <w:rPr>
          <w:sz w:val="18"/>
        </w:rPr>
        <w:t>pp.</w:t>
      </w:r>
      <w:r>
        <w:rPr>
          <w:spacing w:val="-8"/>
          <w:sz w:val="18"/>
        </w:rPr>
        <w:t xml:space="preserve"> </w:t>
      </w:r>
      <w:r>
        <w:rPr>
          <w:spacing w:val="-2"/>
          <w:sz w:val="18"/>
        </w:rPr>
        <w:t>47‐49.</w:t>
      </w:r>
    </w:p>
    <w:p w14:paraId="51DE9B67" w14:textId="77777777" w:rsidR="0010369C" w:rsidRDefault="0010369C">
      <w:pPr>
        <w:rPr>
          <w:sz w:val="18"/>
        </w:rPr>
        <w:sectPr w:rsidR="0010369C">
          <w:type w:val="continuous"/>
          <w:pgSz w:w="11910" w:h="16840"/>
          <w:pgMar w:top="1460" w:right="800" w:bottom="280" w:left="1180" w:header="569" w:footer="788" w:gutter="0"/>
          <w:cols w:space="720"/>
        </w:sectPr>
      </w:pPr>
    </w:p>
    <w:p w14:paraId="51DE9B68" w14:textId="77777777" w:rsidR="0010369C" w:rsidRDefault="0010369C">
      <w:pPr>
        <w:pStyle w:val="BodyText"/>
        <w:spacing w:before="4"/>
        <w:rPr>
          <w:sz w:val="23"/>
        </w:rPr>
      </w:pPr>
    </w:p>
    <w:tbl>
      <w:tblPr>
        <w:tblW w:w="0" w:type="auto"/>
        <w:tblInd w:w="196" w:type="dxa"/>
        <w:tblLayout w:type="fixed"/>
        <w:tblCellMar>
          <w:left w:w="0" w:type="dxa"/>
          <w:right w:w="0" w:type="dxa"/>
        </w:tblCellMar>
        <w:tblLook w:val="01E0" w:firstRow="1" w:lastRow="1" w:firstColumn="1" w:lastColumn="1" w:noHBand="0" w:noVBand="0"/>
      </w:tblPr>
      <w:tblGrid>
        <w:gridCol w:w="3163"/>
        <w:gridCol w:w="6008"/>
      </w:tblGrid>
      <w:tr w:rsidR="0010369C" w14:paraId="51DE9B6B" w14:textId="77777777">
        <w:trPr>
          <w:trHeight w:val="243"/>
        </w:trPr>
        <w:tc>
          <w:tcPr>
            <w:tcW w:w="3163" w:type="dxa"/>
          </w:tcPr>
          <w:p w14:paraId="51DE9B69" w14:textId="77777777" w:rsidR="0010369C" w:rsidRDefault="008E43AE">
            <w:pPr>
              <w:pStyle w:val="TableParagraph"/>
              <w:spacing w:line="204" w:lineRule="exact"/>
              <w:ind w:left="50"/>
              <w:rPr>
                <w:sz w:val="20"/>
              </w:rPr>
            </w:pPr>
            <w:r>
              <w:rPr>
                <w:i/>
                <w:sz w:val="20"/>
              </w:rPr>
              <w:t>on</w:t>
            </w:r>
            <w:r>
              <w:rPr>
                <w:i/>
                <w:spacing w:val="-1"/>
                <w:sz w:val="20"/>
              </w:rPr>
              <w:t xml:space="preserve"> </w:t>
            </w:r>
            <w:r>
              <w:rPr>
                <w:i/>
                <w:sz w:val="20"/>
              </w:rPr>
              <w:t>Wine</w:t>
            </w:r>
            <w:r>
              <w:rPr>
                <w:i/>
                <w:spacing w:val="-1"/>
                <w:sz w:val="20"/>
              </w:rPr>
              <w:t xml:space="preserve"> </w:t>
            </w:r>
            <w:r>
              <w:rPr>
                <w:i/>
                <w:sz w:val="20"/>
              </w:rPr>
              <w:t>from</w:t>
            </w:r>
            <w:r>
              <w:rPr>
                <w:i/>
                <w:spacing w:val="-3"/>
                <w:sz w:val="20"/>
              </w:rPr>
              <w:t xml:space="preserve"> </w:t>
            </w:r>
            <w:r>
              <w:rPr>
                <w:i/>
                <w:sz w:val="20"/>
              </w:rPr>
              <w:t>Australia</w:t>
            </w:r>
            <w:r>
              <w:rPr>
                <w:i/>
                <w:spacing w:val="-1"/>
                <w:sz w:val="20"/>
              </w:rPr>
              <w:t xml:space="preserve"> </w:t>
            </w:r>
            <w:r>
              <w:rPr>
                <w:spacing w:val="-2"/>
                <w:sz w:val="20"/>
              </w:rPr>
              <w:t>(DS602)</w:t>
            </w:r>
          </w:p>
        </w:tc>
        <w:tc>
          <w:tcPr>
            <w:tcW w:w="6008" w:type="dxa"/>
          </w:tcPr>
          <w:p w14:paraId="51DE9B6A" w14:textId="77777777" w:rsidR="0010369C" w:rsidRDefault="008E43AE">
            <w:pPr>
              <w:pStyle w:val="TableParagraph"/>
              <w:spacing w:line="204" w:lineRule="exact"/>
              <w:ind w:right="47"/>
              <w:jc w:val="right"/>
              <w:rPr>
                <w:sz w:val="20"/>
              </w:rPr>
            </w:pPr>
            <w:r>
              <w:rPr>
                <w:sz w:val="20"/>
              </w:rPr>
              <w:t>29</w:t>
            </w:r>
            <w:r>
              <w:rPr>
                <w:spacing w:val="-1"/>
                <w:sz w:val="20"/>
              </w:rPr>
              <w:t xml:space="preserve"> </w:t>
            </w:r>
            <w:r>
              <w:rPr>
                <w:sz w:val="20"/>
              </w:rPr>
              <w:t>April</w:t>
            </w:r>
            <w:r>
              <w:rPr>
                <w:spacing w:val="-2"/>
                <w:sz w:val="20"/>
              </w:rPr>
              <w:t xml:space="preserve"> </w:t>
            </w:r>
            <w:r>
              <w:rPr>
                <w:spacing w:val="-4"/>
                <w:sz w:val="20"/>
              </w:rPr>
              <w:t>2022</w:t>
            </w:r>
          </w:p>
        </w:tc>
      </w:tr>
      <w:tr w:rsidR="0010369C" w14:paraId="51DE9B6E" w14:textId="77777777">
        <w:trPr>
          <w:trHeight w:val="383"/>
        </w:trPr>
        <w:tc>
          <w:tcPr>
            <w:tcW w:w="3163" w:type="dxa"/>
          </w:tcPr>
          <w:p w14:paraId="51DE9B6C" w14:textId="77777777" w:rsidR="0010369C" w:rsidRDefault="008E43AE">
            <w:pPr>
              <w:pStyle w:val="TableParagraph"/>
              <w:spacing w:line="288" w:lineRule="exact"/>
              <w:ind w:right="287"/>
              <w:jc w:val="right"/>
              <w:rPr>
                <w:sz w:val="24"/>
              </w:rPr>
            </w:pPr>
            <w:r>
              <w:rPr>
                <w:spacing w:val="-5"/>
                <w:sz w:val="24"/>
                <w:u w:val="single"/>
              </w:rPr>
              <w:t>(h)</w:t>
            </w:r>
          </w:p>
        </w:tc>
        <w:tc>
          <w:tcPr>
            <w:tcW w:w="6008" w:type="dxa"/>
          </w:tcPr>
          <w:p w14:paraId="51DE9B6D" w14:textId="77777777" w:rsidR="0010369C" w:rsidRDefault="008E43AE">
            <w:pPr>
              <w:pStyle w:val="TableParagraph"/>
              <w:spacing w:line="288" w:lineRule="exact"/>
              <w:ind w:right="48"/>
              <w:jc w:val="right"/>
              <w:rPr>
                <w:sz w:val="24"/>
              </w:rPr>
            </w:pPr>
            <w:r>
              <w:rPr>
                <w:sz w:val="24"/>
                <w:u w:val="single"/>
              </w:rPr>
              <w:t>Treatment</w:t>
            </w:r>
            <w:r>
              <w:rPr>
                <w:spacing w:val="76"/>
                <w:sz w:val="24"/>
                <w:u w:val="single"/>
              </w:rPr>
              <w:t xml:space="preserve"> </w:t>
            </w:r>
            <w:r>
              <w:rPr>
                <w:sz w:val="24"/>
                <w:u w:val="single"/>
              </w:rPr>
              <w:t>of</w:t>
            </w:r>
            <w:r>
              <w:rPr>
                <w:spacing w:val="77"/>
                <w:sz w:val="24"/>
                <w:u w:val="single"/>
              </w:rPr>
              <w:t xml:space="preserve"> </w:t>
            </w:r>
            <w:r>
              <w:rPr>
                <w:sz w:val="24"/>
                <w:u w:val="single"/>
              </w:rPr>
              <w:t>the</w:t>
            </w:r>
            <w:r>
              <w:rPr>
                <w:spacing w:val="78"/>
                <w:sz w:val="24"/>
                <w:u w:val="single"/>
              </w:rPr>
              <w:t xml:space="preserve"> </w:t>
            </w:r>
            <w:r>
              <w:rPr>
                <w:sz w:val="24"/>
                <w:u w:val="single"/>
              </w:rPr>
              <w:t>"All</w:t>
            </w:r>
            <w:r>
              <w:rPr>
                <w:spacing w:val="76"/>
                <w:sz w:val="24"/>
                <w:u w:val="single"/>
              </w:rPr>
              <w:t xml:space="preserve"> </w:t>
            </w:r>
            <w:r>
              <w:rPr>
                <w:sz w:val="24"/>
                <w:u w:val="single"/>
              </w:rPr>
              <w:t>Others"</w:t>
            </w:r>
            <w:r>
              <w:rPr>
                <w:spacing w:val="78"/>
                <w:sz w:val="24"/>
                <w:u w:val="single"/>
              </w:rPr>
              <w:t xml:space="preserve"> </w:t>
            </w:r>
            <w:r>
              <w:rPr>
                <w:sz w:val="24"/>
                <w:u w:val="single"/>
              </w:rPr>
              <w:t>category</w:t>
            </w:r>
            <w:r>
              <w:rPr>
                <w:spacing w:val="77"/>
                <w:sz w:val="24"/>
                <w:u w:val="single"/>
              </w:rPr>
              <w:t xml:space="preserve"> </w:t>
            </w:r>
            <w:r>
              <w:rPr>
                <w:sz w:val="24"/>
                <w:u w:val="single"/>
              </w:rPr>
              <w:t>of</w:t>
            </w:r>
            <w:r>
              <w:rPr>
                <w:spacing w:val="75"/>
                <w:sz w:val="24"/>
                <w:u w:val="single"/>
              </w:rPr>
              <w:t xml:space="preserve"> </w:t>
            </w:r>
            <w:r>
              <w:rPr>
                <w:spacing w:val="-2"/>
                <w:sz w:val="24"/>
                <w:u w:val="single"/>
              </w:rPr>
              <w:t>Australian</w:t>
            </w:r>
          </w:p>
        </w:tc>
      </w:tr>
      <w:tr w:rsidR="0010369C" w14:paraId="51DE9B71" w14:textId="77777777">
        <w:trPr>
          <w:trHeight w:val="340"/>
        </w:trPr>
        <w:tc>
          <w:tcPr>
            <w:tcW w:w="3163" w:type="dxa"/>
          </w:tcPr>
          <w:p w14:paraId="51DE9B6F" w14:textId="77777777" w:rsidR="0010369C" w:rsidRDefault="0010369C">
            <w:pPr>
              <w:pStyle w:val="TableParagraph"/>
              <w:rPr>
                <w:rFonts w:ascii="Times New Roman"/>
                <w:sz w:val="20"/>
              </w:rPr>
            </w:pPr>
          </w:p>
        </w:tc>
        <w:tc>
          <w:tcPr>
            <w:tcW w:w="6008" w:type="dxa"/>
          </w:tcPr>
          <w:p w14:paraId="51DE9B70" w14:textId="77777777" w:rsidR="0010369C" w:rsidRDefault="008E43AE">
            <w:pPr>
              <w:pStyle w:val="TableParagraph"/>
              <w:spacing w:before="51" w:line="269" w:lineRule="exact"/>
              <w:ind w:left="290"/>
              <w:rPr>
                <w:sz w:val="24"/>
              </w:rPr>
            </w:pPr>
            <w:r>
              <w:rPr>
                <w:spacing w:val="-2"/>
                <w:sz w:val="24"/>
                <w:u w:val="single"/>
              </w:rPr>
              <w:t>companies</w:t>
            </w:r>
          </w:p>
        </w:tc>
      </w:tr>
    </w:tbl>
    <w:p w14:paraId="51DE9B72" w14:textId="77777777" w:rsidR="0010369C" w:rsidRDefault="0010369C">
      <w:pPr>
        <w:pStyle w:val="BodyText"/>
        <w:spacing w:before="2"/>
        <w:rPr>
          <w:sz w:val="21"/>
        </w:rPr>
      </w:pPr>
    </w:p>
    <w:p w14:paraId="51DE9B73" w14:textId="77777777" w:rsidR="0010369C" w:rsidRDefault="008E43AE">
      <w:pPr>
        <w:pStyle w:val="BodyText"/>
        <w:spacing w:before="52" w:line="360" w:lineRule="auto"/>
        <w:ind w:left="237" w:right="613" w:firstLine="851"/>
        <w:jc w:val="both"/>
      </w:pPr>
      <w:r>
        <w:rPr>
          <w:noProof/>
        </w:rPr>
        <w:drawing>
          <wp:anchor distT="0" distB="0" distL="0" distR="0" simplePos="0" relativeHeight="251631104" behindDoc="1" locked="0" layoutInCell="1" allowOverlap="1" wp14:anchorId="51DEA90D" wp14:editId="51DEA90E">
            <wp:simplePos x="0" y="0"/>
            <wp:positionH relativeFrom="page">
              <wp:posOffset>908303</wp:posOffset>
            </wp:positionH>
            <wp:positionV relativeFrom="paragraph">
              <wp:posOffset>76785</wp:posOffset>
            </wp:positionV>
            <wp:extent cx="332231" cy="106679"/>
            <wp:effectExtent l="0" t="0" r="0" b="0"/>
            <wp:wrapNone/>
            <wp:docPr id="2069" name="image10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 name="image1062.png"/>
                    <pic:cNvPicPr/>
                  </pic:nvPicPr>
                  <pic:blipFill>
                    <a:blip r:embed="rId1365" cstate="print"/>
                    <a:stretch>
                      <a:fillRect/>
                    </a:stretch>
                  </pic:blipFill>
                  <pic:spPr>
                    <a:xfrm>
                      <a:off x="0" y="0"/>
                      <a:ext cx="332231" cy="106679"/>
                    </a:xfrm>
                    <a:prstGeom prst="rect">
                      <a:avLst/>
                    </a:prstGeom>
                  </pic:spPr>
                </pic:pic>
              </a:graphicData>
            </a:graphic>
          </wp:anchor>
        </w:drawing>
      </w:r>
      <w:r>
        <w:t>China</w:t>
      </w:r>
      <w:r>
        <w:rPr>
          <w:spacing w:val="-14"/>
        </w:rPr>
        <w:t xml:space="preserve"> </w:t>
      </w:r>
      <w:r>
        <w:t>breached</w:t>
      </w:r>
      <w:r>
        <w:rPr>
          <w:spacing w:val="-14"/>
        </w:rPr>
        <w:t xml:space="preserve"> </w:t>
      </w:r>
      <w:r>
        <w:t>Article</w:t>
      </w:r>
      <w:r>
        <w:rPr>
          <w:spacing w:val="-13"/>
        </w:rPr>
        <w:t xml:space="preserve"> </w:t>
      </w:r>
      <w:r>
        <w:t>6.9</w:t>
      </w:r>
      <w:r>
        <w:rPr>
          <w:spacing w:val="-14"/>
        </w:rPr>
        <w:t xml:space="preserve"> </w:t>
      </w:r>
      <w:r>
        <w:t>because</w:t>
      </w:r>
      <w:r>
        <w:rPr>
          <w:spacing w:val="-13"/>
        </w:rPr>
        <w:t xml:space="preserve"> </w:t>
      </w:r>
      <w:r>
        <w:t>MOFCOM</w:t>
      </w:r>
      <w:r>
        <w:rPr>
          <w:spacing w:val="-14"/>
        </w:rPr>
        <w:t xml:space="preserve"> </w:t>
      </w:r>
      <w:r>
        <w:t>failed</w:t>
      </w:r>
      <w:r>
        <w:rPr>
          <w:spacing w:val="-13"/>
        </w:rPr>
        <w:t xml:space="preserve"> </w:t>
      </w:r>
      <w:r>
        <w:t>to</w:t>
      </w:r>
      <w:r>
        <w:rPr>
          <w:spacing w:val="-14"/>
        </w:rPr>
        <w:t xml:space="preserve"> </w:t>
      </w:r>
      <w:r>
        <w:t>provide</w:t>
      </w:r>
      <w:r>
        <w:rPr>
          <w:spacing w:val="-14"/>
        </w:rPr>
        <w:t xml:space="preserve"> </w:t>
      </w:r>
      <w:r>
        <w:t>the</w:t>
      </w:r>
      <w:r>
        <w:rPr>
          <w:spacing w:val="-13"/>
        </w:rPr>
        <w:t xml:space="preserve"> </w:t>
      </w:r>
      <w:r>
        <w:t>essential</w:t>
      </w:r>
      <w:r>
        <w:rPr>
          <w:spacing w:val="-14"/>
        </w:rPr>
        <w:t xml:space="preserve"> </w:t>
      </w:r>
      <w:r>
        <w:t>facts</w:t>
      </w:r>
      <w:r>
        <w:rPr>
          <w:spacing w:val="-13"/>
        </w:rPr>
        <w:t xml:space="preserve"> </w:t>
      </w:r>
      <w:r>
        <w:t>that justified</w:t>
      </w:r>
      <w:r>
        <w:rPr>
          <w:spacing w:val="-1"/>
        </w:rPr>
        <w:t xml:space="preserve"> </w:t>
      </w:r>
      <w:r>
        <w:t>resorting</w:t>
      </w:r>
      <w:r>
        <w:rPr>
          <w:spacing w:val="-2"/>
        </w:rPr>
        <w:t xml:space="preserve"> </w:t>
      </w:r>
      <w:r>
        <w:t>to</w:t>
      </w:r>
      <w:r>
        <w:rPr>
          <w:spacing w:val="-1"/>
        </w:rPr>
        <w:t xml:space="preserve"> </w:t>
      </w:r>
      <w:r>
        <w:t>"facts</w:t>
      </w:r>
      <w:r>
        <w:rPr>
          <w:spacing w:val="-2"/>
        </w:rPr>
        <w:t xml:space="preserve"> </w:t>
      </w:r>
      <w:r>
        <w:t>available"</w:t>
      </w:r>
      <w:r>
        <w:rPr>
          <w:spacing w:val="-1"/>
        </w:rPr>
        <w:t xml:space="preserve"> </w:t>
      </w:r>
      <w:r>
        <w:t>with</w:t>
      </w:r>
      <w:r>
        <w:rPr>
          <w:spacing w:val="-2"/>
        </w:rPr>
        <w:t xml:space="preserve"> </w:t>
      </w:r>
      <w:r>
        <w:t>respect</w:t>
      </w:r>
      <w:r>
        <w:rPr>
          <w:spacing w:val="-2"/>
        </w:rPr>
        <w:t xml:space="preserve"> </w:t>
      </w:r>
      <w:r>
        <w:t>to</w:t>
      </w:r>
      <w:r>
        <w:rPr>
          <w:spacing w:val="-1"/>
        </w:rPr>
        <w:t xml:space="preserve"> </w:t>
      </w:r>
      <w:r>
        <w:t>the</w:t>
      </w:r>
      <w:r>
        <w:rPr>
          <w:spacing w:val="-1"/>
        </w:rPr>
        <w:t xml:space="preserve"> </w:t>
      </w:r>
      <w:r>
        <w:t>"All</w:t>
      </w:r>
      <w:r>
        <w:rPr>
          <w:spacing w:val="-3"/>
        </w:rPr>
        <w:t xml:space="preserve"> </w:t>
      </w:r>
      <w:r>
        <w:t>Others"</w:t>
      </w:r>
      <w:r>
        <w:rPr>
          <w:spacing w:val="-2"/>
        </w:rPr>
        <w:t xml:space="preserve"> </w:t>
      </w:r>
      <w:r>
        <w:t>category</w:t>
      </w:r>
      <w:r>
        <w:rPr>
          <w:spacing w:val="-1"/>
        </w:rPr>
        <w:t xml:space="preserve"> </w:t>
      </w:r>
      <w:r>
        <w:t>of</w:t>
      </w:r>
      <w:r>
        <w:rPr>
          <w:spacing w:val="-3"/>
        </w:rPr>
        <w:t xml:space="preserve"> </w:t>
      </w:r>
      <w:r>
        <w:t>companies. In</w:t>
      </w:r>
      <w:r>
        <w:rPr>
          <w:spacing w:val="-9"/>
        </w:rPr>
        <w:t xml:space="preserve"> </w:t>
      </w:r>
      <w:r>
        <w:t>relation</w:t>
      </w:r>
      <w:r>
        <w:rPr>
          <w:spacing w:val="-10"/>
        </w:rPr>
        <w:t xml:space="preserve"> </w:t>
      </w:r>
      <w:r>
        <w:t>to</w:t>
      </w:r>
      <w:r>
        <w:rPr>
          <w:spacing w:val="-8"/>
        </w:rPr>
        <w:t xml:space="preserve"> </w:t>
      </w:r>
      <w:r>
        <w:t>"All</w:t>
      </w:r>
      <w:r>
        <w:rPr>
          <w:spacing w:val="-9"/>
        </w:rPr>
        <w:t xml:space="preserve"> </w:t>
      </w:r>
      <w:r>
        <w:t>Others",</w:t>
      </w:r>
      <w:r>
        <w:rPr>
          <w:spacing w:val="-8"/>
        </w:rPr>
        <w:t xml:space="preserve"> </w:t>
      </w:r>
      <w:r>
        <w:t>MOFCOM</w:t>
      </w:r>
      <w:r>
        <w:rPr>
          <w:spacing w:val="-9"/>
        </w:rPr>
        <w:t xml:space="preserve"> </w:t>
      </w:r>
      <w:r>
        <w:t>simply</w:t>
      </w:r>
      <w:r>
        <w:rPr>
          <w:spacing w:val="-8"/>
        </w:rPr>
        <w:t xml:space="preserve"> </w:t>
      </w:r>
      <w:r>
        <w:t>declared</w:t>
      </w:r>
      <w:r>
        <w:rPr>
          <w:spacing w:val="-9"/>
        </w:rPr>
        <w:t xml:space="preserve"> </w:t>
      </w:r>
      <w:r>
        <w:t>a</w:t>
      </w:r>
      <w:r>
        <w:rPr>
          <w:spacing w:val="-9"/>
        </w:rPr>
        <w:t xml:space="preserve"> </w:t>
      </w:r>
      <w:r>
        <w:t>range</w:t>
      </w:r>
      <w:r>
        <w:rPr>
          <w:spacing w:val="-8"/>
        </w:rPr>
        <w:t xml:space="preserve"> </w:t>
      </w:r>
      <w:r>
        <w:t>of</w:t>
      </w:r>
      <w:r>
        <w:rPr>
          <w:spacing w:val="-9"/>
        </w:rPr>
        <w:t xml:space="preserve"> </w:t>
      </w:r>
      <w:r>
        <w:t>values</w:t>
      </w:r>
      <w:r>
        <w:rPr>
          <w:spacing w:val="-11"/>
        </w:rPr>
        <w:t xml:space="preserve"> </w:t>
      </w:r>
      <w:r>
        <w:t>for</w:t>
      </w:r>
      <w:r>
        <w:rPr>
          <w:spacing w:val="-8"/>
        </w:rPr>
        <w:t xml:space="preserve"> </w:t>
      </w:r>
      <w:r>
        <w:t>key</w:t>
      </w:r>
      <w:r>
        <w:rPr>
          <w:spacing w:val="-8"/>
        </w:rPr>
        <w:t xml:space="preserve"> </w:t>
      </w:r>
      <w:r>
        <w:t>elements</w:t>
      </w:r>
      <w:r>
        <w:rPr>
          <w:spacing w:val="-10"/>
        </w:rPr>
        <w:t xml:space="preserve"> </w:t>
      </w:r>
      <w:r>
        <w:t>of</w:t>
      </w:r>
      <w:r>
        <w:rPr>
          <w:spacing w:val="-9"/>
        </w:rPr>
        <w:t xml:space="preserve"> </w:t>
      </w:r>
      <w:r>
        <w:t>the dumping determination:</w:t>
      </w:r>
    </w:p>
    <w:p w14:paraId="51DE9B74" w14:textId="77777777" w:rsidR="0010369C" w:rsidRDefault="008E43AE">
      <w:pPr>
        <w:spacing w:before="162" w:line="276" w:lineRule="auto"/>
        <w:ind w:left="1089" w:right="613" w:hanging="1"/>
        <w:jc w:val="both"/>
      </w:pPr>
      <w:r>
        <w:t>Since the confidential information of these companies might be involved, the Investigating Authority</w:t>
      </w:r>
      <w:r>
        <w:rPr>
          <w:spacing w:val="-9"/>
        </w:rPr>
        <w:t xml:space="preserve"> </w:t>
      </w:r>
      <w:r>
        <w:t>decided</w:t>
      </w:r>
      <w:r>
        <w:rPr>
          <w:spacing w:val="-10"/>
        </w:rPr>
        <w:t xml:space="preserve"> </w:t>
      </w:r>
      <w:r>
        <w:t>to</w:t>
      </w:r>
      <w:r>
        <w:rPr>
          <w:spacing w:val="-8"/>
        </w:rPr>
        <w:t xml:space="preserve"> </w:t>
      </w:r>
      <w:r>
        <w:t>disclose</w:t>
      </w:r>
      <w:r>
        <w:rPr>
          <w:spacing w:val="-10"/>
        </w:rPr>
        <w:t xml:space="preserve"> </w:t>
      </w:r>
      <w:r>
        <w:t>relevant</w:t>
      </w:r>
      <w:r>
        <w:rPr>
          <w:spacing w:val="-11"/>
        </w:rPr>
        <w:t xml:space="preserve"> </w:t>
      </w:r>
      <w:r>
        <w:t>information</w:t>
      </w:r>
      <w:r>
        <w:rPr>
          <w:spacing w:val="-9"/>
        </w:rPr>
        <w:t xml:space="preserve"> </w:t>
      </w:r>
      <w:r>
        <w:t>via</w:t>
      </w:r>
      <w:r>
        <w:rPr>
          <w:spacing w:val="-10"/>
        </w:rPr>
        <w:t xml:space="preserve"> </w:t>
      </w:r>
      <w:r>
        <w:t>data</w:t>
      </w:r>
      <w:r>
        <w:rPr>
          <w:spacing w:val="-9"/>
        </w:rPr>
        <w:t xml:space="preserve"> </w:t>
      </w:r>
      <w:r>
        <w:t>intervals.</w:t>
      </w:r>
      <w:r>
        <w:rPr>
          <w:spacing w:val="-10"/>
        </w:rPr>
        <w:t xml:space="preserve"> </w:t>
      </w:r>
      <w:r>
        <w:t>Normal</w:t>
      </w:r>
      <w:r>
        <w:rPr>
          <w:spacing w:val="-11"/>
        </w:rPr>
        <w:t xml:space="preserve"> </w:t>
      </w:r>
      <w:r>
        <w:t>value</w:t>
      </w:r>
      <w:r>
        <w:rPr>
          <w:spacing w:val="-10"/>
        </w:rPr>
        <w:t xml:space="preserve"> </w:t>
      </w:r>
      <w:r>
        <w:t>is</w:t>
      </w:r>
      <w:r>
        <w:rPr>
          <w:spacing w:val="-9"/>
        </w:rPr>
        <w:t xml:space="preserve"> </w:t>
      </w:r>
      <w:r>
        <w:t>12,000‐ 14,000 AUD/kl; export price is 3,000‐3,200 AUD/kl; CIF price is 4,500‐4,700 AUD/kl; the dumping margin is 218.4%.</w:t>
      </w:r>
      <w:r>
        <w:rPr>
          <w:vertAlign w:val="superscript"/>
        </w:rPr>
        <w:t>1226</w:t>
      </w:r>
    </w:p>
    <w:p w14:paraId="51DE9B75" w14:textId="77777777" w:rsidR="0010369C" w:rsidRDefault="0010369C">
      <w:pPr>
        <w:pStyle w:val="BodyText"/>
        <w:spacing w:before="7"/>
        <w:rPr>
          <w:sz w:val="19"/>
        </w:rPr>
      </w:pPr>
    </w:p>
    <w:p w14:paraId="51DE9B76" w14:textId="77777777" w:rsidR="0010369C" w:rsidRDefault="008E43AE">
      <w:pPr>
        <w:spacing w:before="1"/>
        <w:ind w:left="1089"/>
        <w:jc w:val="both"/>
        <w:rPr>
          <w:sz w:val="24"/>
        </w:rPr>
      </w:pPr>
      <w:r>
        <w:rPr>
          <w:noProof/>
        </w:rPr>
        <w:drawing>
          <wp:anchor distT="0" distB="0" distL="0" distR="0" simplePos="0" relativeHeight="250698240" behindDoc="0" locked="0" layoutInCell="1" allowOverlap="1" wp14:anchorId="51DEA90F" wp14:editId="51DEA910">
            <wp:simplePos x="0" y="0"/>
            <wp:positionH relativeFrom="page">
              <wp:posOffset>908303</wp:posOffset>
            </wp:positionH>
            <wp:positionV relativeFrom="paragraph">
              <wp:posOffset>43638</wp:posOffset>
            </wp:positionV>
            <wp:extent cx="332231" cy="106679"/>
            <wp:effectExtent l="0" t="0" r="0" b="0"/>
            <wp:wrapNone/>
            <wp:docPr id="2071" name="image10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 name="image1063.png"/>
                    <pic:cNvPicPr/>
                  </pic:nvPicPr>
                  <pic:blipFill>
                    <a:blip r:embed="rId1366" cstate="print"/>
                    <a:stretch>
                      <a:fillRect/>
                    </a:stretch>
                  </pic:blipFill>
                  <pic:spPr>
                    <a:xfrm>
                      <a:off x="0" y="0"/>
                      <a:ext cx="332231" cy="106679"/>
                    </a:xfrm>
                    <a:prstGeom prst="rect">
                      <a:avLst/>
                    </a:prstGeom>
                  </pic:spPr>
                </pic:pic>
              </a:graphicData>
            </a:graphic>
          </wp:anchor>
        </w:drawing>
      </w:r>
      <w:r>
        <w:rPr>
          <w:sz w:val="24"/>
        </w:rPr>
        <w:t>The</w:t>
      </w:r>
      <w:r>
        <w:rPr>
          <w:spacing w:val="-5"/>
          <w:sz w:val="24"/>
        </w:rPr>
        <w:t xml:space="preserve"> </w:t>
      </w:r>
      <w:r>
        <w:rPr>
          <w:sz w:val="24"/>
        </w:rPr>
        <w:t>panel</w:t>
      </w:r>
      <w:r>
        <w:rPr>
          <w:spacing w:val="-5"/>
          <w:sz w:val="24"/>
        </w:rPr>
        <w:t xml:space="preserve"> </w:t>
      </w:r>
      <w:r>
        <w:rPr>
          <w:sz w:val="24"/>
        </w:rPr>
        <w:t>in</w:t>
      </w:r>
      <w:r>
        <w:rPr>
          <w:spacing w:val="-7"/>
          <w:sz w:val="24"/>
        </w:rPr>
        <w:t xml:space="preserve"> </w:t>
      </w:r>
      <w:r>
        <w:rPr>
          <w:i/>
          <w:sz w:val="24"/>
        </w:rPr>
        <w:t>China</w:t>
      </w:r>
      <w:r>
        <w:rPr>
          <w:i/>
          <w:spacing w:val="-5"/>
          <w:sz w:val="24"/>
        </w:rPr>
        <w:t xml:space="preserve"> </w:t>
      </w:r>
      <w:r>
        <w:rPr>
          <w:i/>
          <w:sz w:val="24"/>
        </w:rPr>
        <w:t>–</w:t>
      </w:r>
      <w:r>
        <w:rPr>
          <w:i/>
          <w:spacing w:val="-4"/>
          <w:sz w:val="24"/>
        </w:rPr>
        <w:t xml:space="preserve"> </w:t>
      </w:r>
      <w:r>
        <w:rPr>
          <w:i/>
          <w:sz w:val="24"/>
        </w:rPr>
        <w:t>Broiler</w:t>
      </w:r>
      <w:r>
        <w:rPr>
          <w:i/>
          <w:spacing w:val="-5"/>
          <w:sz w:val="24"/>
        </w:rPr>
        <w:t xml:space="preserve"> </w:t>
      </w:r>
      <w:r>
        <w:rPr>
          <w:i/>
          <w:sz w:val="24"/>
        </w:rPr>
        <w:t>Products</w:t>
      </w:r>
      <w:r>
        <w:rPr>
          <w:i/>
          <w:spacing w:val="-6"/>
          <w:sz w:val="24"/>
        </w:rPr>
        <w:t xml:space="preserve"> </w:t>
      </w:r>
      <w:r>
        <w:rPr>
          <w:sz w:val="24"/>
        </w:rPr>
        <w:t>held</w:t>
      </w:r>
      <w:r>
        <w:rPr>
          <w:spacing w:val="-5"/>
          <w:sz w:val="24"/>
        </w:rPr>
        <w:t xml:space="preserve"> </w:t>
      </w:r>
      <w:r>
        <w:rPr>
          <w:sz w:val="24"/>
        </w:rPr>
        <w:t>as</w:t>
      </w:r>
      <w:r>
        <w:rPr>
          <w:spacing w:val="-5"/>
          <w:sz w:val="24"/>
        </w:rPr>
        <w:t xml:space="preserve"> </w:t>
      </w:r>
      <w:r>
        <w:rPr>
          <w:spacing w:val="-2"/>
          <w:sz w:val="24"/>
        </w:rPr>
        <w:t>follows:</w:t>
      </w:r>
    </w:p>
    <w:p w14:paraId="51DE9B77" w14:textId="77777777" w:rsidR="0010369C" w:rsidRDefault="0010369C">
      <w:pPr>
        <w:pStyle w:val="BodyText"/>
        <w:spacing w:before="1"/>
        <w:rPr>
          <w:sz w:val="25"/>
        </w:rPr>
      </w:pPr>
    </w:p>
    <w:p w14:paraId="51DE9B78" w14:textId="77777777" w:rsidR="0010369C" w:rsidRDefault="008E43AE">
      <w:pPr>
        <w:spacing w:line="276" w:lineRule="auto"/>
        <w:ind w:left="1089" w:right="611"/>
        <w:jc w:val="both"/>
      </w:pPr>
      <w:r>
        <w:t>Interpreting Article 6.9 in the light of Article 6.8, the 'essential facts' that MOFCOM was expected to disclose include: (i) the precise basis for its decision to resort to facts available, such</w:t>
      </w:r>
      <w:r>
        <w:rPr>
          <w:spacing w:val="-1"/>
        </w:rPr>
        <w:t xml:space="preserve"> </w:t>
      </w:r>
      <w:r>
        <w:t>as</w:t>
      </w:r>
      <w:r>
        <w:rPr>
          <w:spacing w:val="-1"/>
        </w:rPr>
        <w:t xml:space="preserve"> </w:t>
      </w:r>
      <w:r>
        <w:t>the</w:t>
      </w:r>
      <w:r>
        <w:rPr>
          <w:spacing w:val="-2"/>
        </w:rPr>
        <w:t xml:space="preserve"> </w:t>
      </w:r>
      <w:r>
        <w:t>failure</w:t>
      </w:r>
      <w:r>
        <w:rPr>
          <w:spacing w:val="-2"/>
        </w:rPr>
        <w:t xml:space="preserve"> </w:t>
      </w:r>
      <w:r>
        <w:t>by</w:t>
      </w:r>
      <w:r>
        <w:rPr>
          <w:spacing w:val="-2"/>
        </w:rPr>
        <w:t xml:space="preserve"> </w:t>
      </w:r>
      <w:r>
        <w:t>an</w:t>
      </w:r>
      <w:r>
        <w:rPr>
          <w:spacing w:val="-1"/>
        </w:rPr>
        <w:t xml:space="preserve"> </w:t>
      </w:r>
      <w:r>
        <w:t>interested party</w:t>
      </w:r>
      <w:r>
        <w:rPr>
          <w:spacing w:val="-1"/>
        </w:rPr>
        <w:t xml:space="preserve"> </w:t>
      </w:r>
      <w:r>
        <w:t>to</w:t>
      </w:r>
      <w:r>
        <w:rPr>
          <w:spacing w:val="-1"/>
        </w:rPr>
        <w:t xml:space="preserve"> </w:t>
      </w:r>
      <w:r>
        <w:t>provide</w:t>
      </w:r>
      <w:r>
        <w:rPr>
          <w:spacing w:val="-1"/>
        </w:rPr>
        <w:t xml:space="preserve"> </w:t>
      </w:r>
      <w:r>
        <w:t>the</w:t>
      </w:r>
      <w:r>
        <w:rPr>
          <w:spacing w:val="-2"/>
        </w:rPr>
        <w:t xml:space="preserve"> </w:t>
      </w:r>
      <w:r>
        <w:t>informa</w:t>
      </w:r>
      <w:r>
        <w:t>tion</w:t>
      </w:r>
      <w:r>
        <w:rPr>
          <w:spacing w:val="-1"/>
        </w:rPr>
        <w:t xml:space="preserve"> </w:t>
      </w:r>
      <w:r>
        <w:t>that</w:t>
      </w:r>
      <w:r>
        <w:rPr>
          <w:spacing w:val="-1"/>
        </w:rPr>
        <w:t xml:space="preserve"> </w:t>
      </w:r>
      <w:r>
        <w:t>was</w:t>
      </w:r>
      <w:r>
        <w:rPr>
          <w:spacing w:val="-1"/>
        </w:rPr>
        <w:t xml:space="preserve"> </w:t>
      </w:r>
      <w:r>
        <w:t>requested;</w:t>
      </w:r>
      <w:r>
        <w:rPr>
          <w:spacing w:val="-1"/>
        </w:rPr>
        <w:t xml:space="preserve"> </w:t>
      </w:r>
      <w:r>
        <w:t>(ii) the information which was requested from an interested party; and (iii) the facts which it used to replace the missing information.</w:t>
      </w:r>
      <w:r>
        <w:rPr>
          <w:vertAlign w:val="superscript"/>
        </w:rPr>
        <w:t>1227</w:t>
      </w:r>
    </w:p>
    <w:p w14:paraId="51DE9B79" w14:textId="77777777" w:rsidR="0010369C" w:rsidRDefault="0010369C">
      <w:pPr>
        <w:pStyle w:val="BodyText"/>
        <w:spacing w:before="7"/>
        <w:rPr>
          <w:sz w:val="19"/>
        </w:rPr>
      </w:pPr>
    </w:p>
    <w:p w14:paraId="51DE9B7A" w14:textId="77777777" w:rsidR="0010369C" w:rsidRDefault="008E43AE">
      <w:pPr>
        <w:pStyle w:val="BodyText"/>
        <w:spacing w:line="360" w:lineRule="auto"/>
        <w:ind w:left="237" w:right="613" w:firstLine="13"/>
        <w:jc w:val="both"/>
      </w:pPr>
      <w:r>
        <w:rPr>
          <w:noProof/>
        </w:rPr>
        <w:drawing>
          <wp:inline distT="0" distB="0" distL="0" distR="0" wp14:anchorId="51DEA911" wp14:editId="51DEA912">
            <wp:extent cx="332231" cy="109727"/>
            <wp:effectExtent l="0" t="0" r="0" b="0"/>
            <wp:docPr id="2073" name="image10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 name="image1064.png"/>
                    <pic:cNvPicPr/>
                  </pic:nvPicPr>
                  <pic:blipFill>
                    <a:blip r:embed="rId1367" cstate="print"/>
                    <a:stretch>
                      <a:fillRect/>
                    </a:stretch>
                  </pic:blipFill>
                  <pic:spPr>
                    <a:xfrm>
                      <a:off x="0" y="0"/>
                      <a:ext cx="332231" cy="109727"/>
                    </a:xfrm>
                    <a:prstGeom prst="rect">
                      <a:avLst/>
                    </a:prstGeom>
                  </pic:spPr>
                </pic:pic>
              </a:graphicData>
            </a:graphic>
          </wp:inline>
        </w:drawing>
      </w:r>
      <w:r>
        <w:rPr>
          <w:rFonts w:ascii="Times New Roman"/>
          <w:spacing w:val="80"/>
          <w:w w:val="150"/>
          <w:position w:val="1"/>
          <w:sz w:val="20"/>
        </w:rPr>
        <w:t xml:space="preserve"> </w:t>
      </w:r>
      <w:r>
        <w:rPr>
          <w:position w:val="1"/>
        </w:rPr>
        <w:t xml:space="preserve">It was therefore incumbent upon MOFCOM to disclose the precise basis for its </w:t>
      </w:r>
      <w:r>
        <w:t>decision t</w:t>
      </w:r>
      <w:r>
        <w:t>o resort to "facts available" in relation to the "All Others" category, and to set out the information on which it sought to rely, such</w:t>
      </w:r>
      <w:r>
        <w:rPr>
          <w:spacing w:val="-1"/>
        </w:rPr>
        <w:t xml:space="preserve"> </w:t>
      </w:r>
      <w:r>
        <w:t>that interested parties could understand the factual basis for the dumping margins that MOFCOM calculated.</w:t>
      </w:r>
    </w:p>
    <w:p w14:paraId="51DE9B7B" w14:textId="77777777" w:rsidR="0010369C" w:rsidRDefault="008E43AE">
      <w:pPr>
        <w:pStyle w:val="BodyText"/>
        <w:spacing w:before="160" w:line="360" w:lineRule="auto"/>
        <w:ind w:left="237" w:right="613" w:firstLine="851"/>
        <w:jc w:val="both"/>
      </w:pPr>
      <w:r>
        <w:rPr>
          <w:noProof/>
        </w:rPr>
        <w:drawing>
          <wp:anchor distT="0" distB="0" distL="0" distR="0" simplePos="0" relativeHeight="251632128" behindDoc="1" locked="0" layoutInCell="1" allowOverlap="1" wp14:anchorId="51DEA913" wp14:editId="51DEA914">
            <wp:simplePos x="0" y="0"/>
            <wp:positionH relativeFrom="page">
              <wp:posOffset>908303</wp:posOffset>
            </wp:positionH>
            <wp:positionV relativeFrom="paragraph">
              <wp:posOffset>144603</wp:posOffset>
            </wp:positionV>
            <wp:extent cx="332231" cy="106679"/>
            <wp:effectExtent l="0" t="0" r="0" b="0"/>
            <wp:wrapNone/>
            <wp:docPr id="2075" name="image10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 name="image1065.png"/>
                    <pic:cNvPicPr/>
                  </pic:nvPicPr>
                  <pic:blipFill>
                    <a:blip r:embed="rId1368" cstate="print"/>
                    <a:stretch>
                      <a:fillRect/>
                    </a:stretch>
                  </pic:blipFill>
                  <pic:spPr>
                    <a:xfrm>
                      <a:off x="0" y="0"/>
                      <a:ext cx="332231" cy="106679"/>
                    </a:xfrm>
                    <a:prstGeom prst="rect">
                      <a:avLst/>
                    </a:prstGeom>
                  </pic:spPr>
                </pic:pic>
              </a:graphicData>
            </a:graphic>
          </wp:anchor>
        </w:drawing>
      </w:r>
      <w:r>
        <w:t>MOFCOM's</w:t>
      </w:r>
      <w:r>
        <w:rPr>
          <w:spacing w:val="-5"/>
        </w:rPr>
        <w:t xml:space="preserve"> </w:t>
      </w:r>
      <w:r>
        <w:t>data</w:t>
      </w:r>
      <w:r>
        <w:rPr>
          <w:spacing w:val="-6"/>
        </w:rPr>
        <w:t xml:space="preserve"> </w:t>
      </w:r>
      <w:r>
        <w:t>and</w:t>
      </w:r>
      <w:r>
        <w:rPr>
          <w:spacing w:val="-6"/>
        </w:rPr>
        <w:t xml:space="preserve"> </w:t>
      </w:r>
      <w:r>
        <w:t>methodology</w:t>
      </w:r>
      <w:r>
        <w:rPr>
          <w:spacing w:val="-6"/>
        </w:rPr>
        <w:t xml:space="preserve"> </w:t>
      </w:r>
      <w:r>
        <w:t>for</w:t>
      </w:r>
      <w:r>
        <w:rPr>
          <w:spacing w:val="-6"/>
        </w:rPr>
        <w:t xml:space="preserve"> </w:t>
      </w:r>
      <w:r>
        <w:t>constructing</w:t>
      </w:r>
      <w:r>
        <w:rPr>
          <w:spacing w:val="-7"/>
        </w:rPr>
        <w:t xml:space="preserve"> </w:t>
      </w:r>
      <w:r>
        <w:t>normal</w:t>
      </w:r>
      <w:r>
        <w:rPr>
          <w:spacing w:val="-6"/>
        </w:rPr>
        <w:t xml:space="preserve"> </w:t>
      </w:r>
      <w:r>
        <w:t>value</w:t>
      </w:r>
      <w:r>
        <w:rPr>
          <w:spacing w:val="-5"/>
        </w:rPr>
        <w:t xml:space="preserve"> </w:t>
      </w:r>
      <w:r>
        <w:t>for</w:t>
      </w:r>
      <w:r>
        <w:rPr>
          <w:spacing w:val="-6"/>
        </w:rPr>
        <w:t xml:space="preserve"> </w:t>
      </w:r>
      <w:r>
        <w:t>the</w:t>
      </w:r>
      <w:r>
        <w:rPr>
          <w:spacing w:val="-7"/>
        </w:rPr>
        <w:t xml:space="preserve"> </w:t>
      </w:r>
      <w:r>
        <w:t>"All</w:t>
      </w:r>
      <w:r>
        <w:rPr>
          <w:spacing w:val="-6"/>
        </w:rPr>
        <w:t xml:space="preserve"> </w:t>
      </w:r>
      <w:r>
        <w:t>Others" category were opaque. MOFCOM compared "the export data to China of companies that registered</w:t>
      </w:r>
      <w:r>
        <w:rPr>
          <w:spacing w:val="-8"/>
        </w:rPr>
        <w:t xml:space="preserve"> </w:t>
      </w:r>
      <w:r>
        <w:t>to</w:t>
      </w:r>
      <w:r>
        <w:rPr>
          <w:spacing w:val="-6"/>
        </w:rPr>
        <w:t xml:space="preserve"> </w:t>
      </w:r>
      <w:r>
        <w:t>participate</w:t>
      </w:r>
      <w:r>
        <w:rPr>
          <w:spacing w:val="-5"/>
        </w:rPr>
        <w:t xml:space="preserve"> </w:t>
      </w:r>
      <w:r>
        <w:t>in</w:t>
      </w:r>
      <w:r>
        <w:rPr>
          <w:spacing w:val="-6"/>
        </w:rPr>
        <w:t xml:space="preserve"> </w:t>
      </w:r>
      <w:r>
        <w:t>the</w:t>
      </w:r>
      <w:r>
        <w:rPr>
          <w:spacing w:val="-6"/>
        </w:rPr>
        <w:t xml:space="preserve"> </w:t>
      </w:r>
      <w:r>
        <w:t>investigation</w:t>
      </w:r>
      <w:r>
        <w:rPr>
          <w:spacing w:val="-5"/>
        </w:rPr>
        <w:t xml:space="preserve"> </w:t>
      </w:r>
      <w:r>
        <w:t>and</w:t>
      </w:r>
      <w:r>
        <w:rPr>
          <w:spacing w:val="-6"/>
        </w:rPr>
        <w:t xml:space="preserve"> </w:t>
      </w:r>
      <w:r>
        <w:t>export</w:t>
      </w:r>
      <w:r>
        <w:rPr>
          <w:spacing w:val="-7"/>
        </w:rPr>
        <w:t xml:space="preserve"> </w:t>
      </w:r>
      <w:r>
        <w:t>data</w:t>
      </w:r>
      <w:r>
        <w:rPr>
          <w:spacing w:val="-5"/>
        </w:rPr>
        <w:t xml:space="preserve"> </w:t>
      </w:r>
      <w:r>
        <w:t>to</w:t>
      </w:r>
      <w:r>
        <w:rPr>
          <w:spacing w:val="-6"/>
        </w:rPr>
        <w:t xml:space="preserve"> </w:t>
      </w:r>
      <w:r>
        <w:t>China</w:t>
      </w:r>
      <w:r>
        <w:rPr>
          <w:spacing w:val="-6"/>
        </w:rPr>
        <w:t xml:space="preserve"> </w:t>
      </w:r>
      <w:r>
        <w:t>of</w:t>
      </w:r>
      <w:r>
        <w:rPr>
          <w:spacing w:val="-8"/>
        </w:rPr>
        <w:t xml:space="preserve"> </w:t>
      </w:r>
      <w:r>
        <w:t>companies</w:t>
      </w:r>
      <w:r>
        <w:rPr>
          <w:spacing w:val="-7"/>
        </w:rPr>
        <w:t xml:space="preserve"> </w:t>
      </w:r>
      <w:r>
        <w:t>that</w:t>
      </w:r>
      <w:r>
        <w:rPr>
          <w:spacing w:val="-6"/>
        </w:rPr>
        <w:t xml:space="preserve"> </w:t>
      </w:r>
      <w:r>
        <w:t>filled in th</w:t>
      </w:r>
      <w:r>
        <w:t>e dumping sampling questionnaire with the China Customs statistical data, and found there was a big gap between them and the China Customs' statistical data".</w:t>
      </w:r>
      <w:r>
        <w:rPr>
          <w:vertAlign w:val="superscript"/>
        </w:rPr>
        <w:t>1228</w:t>
      </w:r>
      <w:r>
        <w:t xml:space="preserve"> This finding was capable of explaining why MOFCOM considered that companies outside of those </w:t>
      </w:r>
      <w:r>
        <w:t>registered</w:t>
      </w:r>
      <w:r>
        <w:rPr>
          <w:spacing w:val="-9"/>
        </w:rPr>
        <w:t xml:space="preserve"> </w:t>
      </w:r>
      <w:r>
        <w:rPr>
          <w:i/>
        </w:rPr>
        <w:t>existed</w:t>
      </w:r>
      <w:r>
        <w:t>,</w:t>
      </w:r>
      <w:r>
        <w:rPr>
          <w:spacing w:val="-7"/>
        </w:rPr>
        <w:t xml:space="preserve"> </w:t>
      </w:r>
      <w:r>
        <w:t>but</w:t>
      </w:r>
      <w:r>
        <w:rPr>
          <w:spacing w:val="-6"/>
        </w:rPr>
        <w:t xml:space="preserve"> </w:t>
      </w:r>
      <w:r>
        <w:t>not</w:t>
      </w:r>
      <w:r>
        <w:rPr>
          <w:spacing w:val="-7"/>
        </w:rPr>
        <w:t xml:space="preserve"> </w:t>
      </w:r>
      <w:r>
        <w:t>why</w:t>
      </w:r>
      <w:r>
        <w:rPr>
          <w:spacing w:val="-6"/>
        </w:rPr>
        <w:t xml:space="preserve"> </w:t>
      </w:r>
      <w:r>
        <w:t>MOFCOM</w:t>
      </w:r>
      <w:r>
        <w:rPr>
          <w:spacing w:val="-7"/>
        </w:rPr>
        <w:t xml:space="preserve"> </w:t>
      </w:r>
      <w:r>
        <w:t>chose</w:t>
      </w:r>
      <w:r>
        <w:rPr>
          <w:spacing w:val="-6"/>
        </w:rPr>
        <w:t xml:space="preserve"> </w:t>
      </w:r>
      <w:r>
        <w:t>to</w:t>
      </w:r>
      <w:r>
        <w:rPr>
          <w:spacing w:val="-7"/>
        </w:rPr>
        <w:t xml:space="preserve"> </w:t>
      </w:r>
      <w:r>
        <w:t>adopt</w:t>
      </w:r>
      <w:r>
        <w:rPr>
          <w:spacing w:val="-6"/>
        </w:rPr>
        <w:t xml:space="preserve"> </w:t>
      </w:r>
      <w:r>
        <w:t>the</w:t>
      </w:r>
      <w:r>
        <w:rPr>
          <w:spacing w:val="-8"/>
        </w:rPr>
        <w:t xml:space="preserve"> </w:t>
      </w:r>
      <w:r>
        <w:t>calculation</w:t>
      </w:r>
      <w:r>
        <w:rPr>
          <w:spacing w:val="-7"/>
        </w:rPr>
        <w:t xml:space="preserve"> </w:t>
      </w:r>
      <w:r>
        <w:t>methodology</w:t>
      </w:r>
      <w:r>
        <w:rPr>
          <w:spacing w:val="-6"/>
        </w:rPr>
        <w:t xml:space="preserve"> </w:t>
      </w:r>
      <w:r>
        <w:t>that</w:t>
      </w:r>
      <w:r>
        <w:rPr>
          <w:spacing w:val="-8"/>
        </w:rPr>
        <w:t xml:space="preserve"> </w:t>
      </w:r>
      <w:r>
        <w:rPr>
          <w:spacing w:val="-5"/>
        </w:rPr>
        <w:t>it</w:t>
      </w:r>
    </w:p>
    <w:p w14:paraId="51DE9B7C" w14:textId="77777777" w:rsidR="0010369C" w:rsidRDefault="0010369C">
      <w:pPr>
        <w:pStyle w:val="BodyText"/>
        <w:rPr>
          <w:sz w:val="20"/>
        </w:rPr>
      </w:pPr>
    </w:p>
    <w:p w14:paraId="51DE9B7D" w14:textId="77777777" w:rsidR="0010369C" w:rsidRDefault="008E43AE">
      <w:pPr>
        <w:pStyle w:val="BodyText"/>
        <w:spacing w:before="5"/>
        <w:rPr>
          <w:sz w:val="21"/>
        </w:rPr>
      </w:pPr>
      <w:r>
        <w:pict w14:anchorId="51DEA915">
          <v:rect id="docshape1452" o:spid="_x0000_s1064" style="position:absolute;margin-left:70.9pt;margin-top:14.3pt;width:2in;height:.8pt;z-index:-250673664;mso-wrap-distance-left:0;mso-wrap-distance-right:0;mso-position-horizontal-relative:page" fillcolor="black" stroked="f">
            <w10:wrap type="topAndBottom" anchorx="page"/>
          </v:rect>
        </w:pict>
      </w:r>
    </w:p>
    <w:p w14:paraId="51DE9B7E" w14:textId="77777777" w:rsidR="0010369C" w:rsidRDefault="008E43AE">
      <w:pPr>
        <w:spacing w:before="109"/>
        <w:ind w:left="238"/>
        <w:jc w:val="both"/>
        <w:rPr>
          <w:sz w:val="18"/>
        </w:rPr>
      </w:pPr>
      <w:r>
        <w:rPr>
          <w:sz w:val="18"/>
          <w:vertAlign w:val="superscript"/>
        </w:rPr>
        <w:t>1226</w:t>
      </w:r>
      <w:r>
        <w:rPr>
          <w:spacing w:val="-8"/>
          <w:sz w:val="18"/>
        </w:rPr>
        <w:t xml:space="preserve"> </w:t>
      </w:r>
      <w:r>
        <w:rPr>
          <w:sz w:val="18"/>
        </w:rPr>
        <w:t>Anti‐Dumping</w:t>
      </w:r>
      <w:r>
        <w:rPr>
          <w:spacing w:val="-8"/>
          <w:sz w:val="18"/>
        </w:rPr>
        <w:t xml:space="preserve"> </w:t>
      </w:r>
      <w:r>
        <w:rPr>
          <w:sz w:val="18"/>
        </w:rPr>
        <w:t>Final</w:t>
      </w:r>
      <w:r>
        <w:rPr>
          <w:spacing w:val="-8"/>
          <w:sz w:val="18"/>
        </w:rPr>
        <w:t xml:space="preserve"> </w:t>
      </w:r>
      <w:r>
        <w:rPr>
          <w:sz w:val="18"/>
        </w:rPr>
        <w:t>Disclosure</w:t>
      </w:r>
      <w:r>
        <w:rPr>
          <w:spacing w:val="-8"/>
          <w:sz w:val="18"/>
        </w:rPr>
        <w:t xml:space="preserve"> </w:t>
      </w:r>
      <w:r>
        <w:rPr>
          <w:sz w:val="18"/>
        </w:rPr>
        <w:t>(Exhibit</w:t>
      </w:r>
      <w:r>
        <w:rPr>
          <w:spacing w:val="-8"/>
          <w:sz w:val="18"/>
        </w:rPr>
        <w:t xml:space="preserve"> </w:t>
      </w:r>
      <w:r>
        <w:rPr>
          <w:sz w:val="18"/>
        </w:rPr>
        <w:t>AUS‐16),</w:t>
      </w:r>
      <w:r>
        <w:rPr>
          <w:spacing w:val="-9"/>
          <w:sz w:val="18"/>
        </w:rPr>
        <w:t xml:space="preserve"> </w:t>
      </w:r>
      <w:r>
        <w:rPr>
          <w:sz w:val="18"/>
        </w:rPr>
        <w:t>p.</w:t>
      </w:r>
      <w:r>
        <w:rPr>
          <w:spacing w:val="-7"/>
          <w:sz w:val="18"/>
        </w:rPr>
        <w:t xml:space="preserve"> </w:t>
      </w:r>
      <w:r>
        <w:rPr>
          <w:spacing w:val="-5"/>
          <w:sz w:val="18"/>
        </w:rPr>
        <w:t>51.</w:t>
      </w:r>
    </w:p>
    <w:p w14:paraId="51DE9B7F" w14:textId="77777777" w:rsidR="0010369C" w:rsidRDefault="008E43AE">
      <w:pPr>
        <w:ind w:left="238"/>
        <w:jc w:val="both"/>
        <w:rPr>
          <w:sz w:val="18"/>
        </w:rPr>
      </w:pPr>
      <w:r>
        <w:rPr>
          <w:sz w:val="18"/>
          <w:vertAlign w:val="superscript"/>
        </w:rPr>
        <w:t>1227</w:t>
      </w:r>
      <w:r>
        <w:rPr>
          <w:spacing w:val="-6"/>
          <w:sz w:val="18"/>
        </w:rPr>
        <w:t xml:space="preserve"> </w:t>
      </w:r>
      <w:r>
        <w:rPr>
          <w:sz w:val="18"/>
        </w:rPr>
        <w:t>Panel</w:t>
      </w:r>
      <w:r>
        <w:rPr>
          <w:spacing w:val="-7"/>
          <w:sz w:val="18"/>
        </w:rPr>
        <w:t xml:space="preserve"> </w:t>
      </w:r>
      <w:r>
        <w:rPr>
          <w:sz w:val="18"/>
        </w:rPr>
        <w:t>Report,</w:t>
      </w:r>
      <w:r>
        <w:rPr>
          <w:spacing w:val="-6"/>
          <w:sz w:val="18"/>
        </w:rPr>
        <w:t xml:space="preserve"> </w:t>
      </w:r>
      <w:r>
        <w:rPr>
          <w:i/>
          <w:sz w:val="18"/>
        </w:rPr>
        <w:t>China</w:t>
      </w:r>
      <w:r>
        <w:rPr>
          <w:i/>
          <w:spacing w:val="-5"/>
          <w:sz w:val="18"/>
        </w:rPr>
        <w:t xml:space="preserve"> </w:t>
      </w:r>
      <w:r>
        <w:rPr>
          <w:i/>
          <w:sz w:val="18"/>
        </w:rPr>
        <w:t>–</w:t>
      </w:r>
      <w:r>
        <w:rPr>
          <w:i/>
          <w:spacing w:val="-6"/>
          <w:sz w:val="18"/>
        </w:rPr>
        <w:t xml:space="preserve"> </w:t>
      </w:r>
      <w:r>
        <w:rPr>
          <w:i/>
          <w:sz w:val="18"/>
        </w:rPr>
        <w:t>Broiler</w:t>
      </w:r>
      <w:r>
        <w:rPr>
          <w:i/>
          <w:spacing w:val="-7"/>
          <w:sz w:val="18"/>
        </w:rPr>
        <w:t xml:space="preserve"> </w:t>
      </w:r>
      <w:r>
        <w:rPr>
          <w:i/>
          <w:sz w:val="18"/>
        </w:rPr>
        <w:t>Products</w:t>
      </w:r>
      <w:r>
        <w:rPr>
          <w:sz w:val="18"/>
        </w:rPr>
        <w:t>,</w:t>
      </w:r>
      <w:r>
        <w:rPr>
          <w:spacing w:val="-6"/>
          <w:sz w:val="18"/>
        </w:rPr>
        <w:t xml:space="preserve"> </w:t>
      </w:r>
      <w:r>
        <w:rPr>
          <w:sz w:val="18"/>
        </w:rPr>
        <w:t>para.</w:t>
      </w:r>
      <w:r>
        <w:rPr>
          <w:spacing w:val="-6"/>
          <w:sz w:val="18"/>
        </w:rPr>
        <w:t xml:space="preserve"> </w:t>
      </w:r>
      <w:r>
        <w:rPr>
          <w:spacing w:val="-2"/>
          <w:sz w:val="18"/>
        </w:rPr>
        <w:t>7.317.</w:t>
      </w:r>
    </w:p>
    <w:p w14:paraId="51DE9B80" w14:textId="77777777" w:rsidR="0010369C" w:rsidRDefault="008E43AE">
      <w:pPr>
        <w:ind w:left="236" w:right="613" w:firstLine="2"/>
        <w:jc w:val="both"/>
        <w:rPr>
          <w:sz w:val="18"/>
        </w:rPr>
      </w:pPr>
      <w:r>
        <w:rPr>
          <w:sz w:val="18"/>
          <w:vertAlign w:val="superscript"/>
        </w:rPr>
        <w:t>1228</w:t>
      </w:r>
      <w:r>
        <w:rPr>
          <w:spacing w:val="-8"/>
          <w:sz w:val="18"/>
        </w:rPr>
        <w:t xml:space="preserve"> </w:t>
      </w:r>
      <w:r>
        <w:rPr>
          <w:sz w:val="18"/>
        </w:rPr>
        <w:t>Anti‐Dumping</w:t>
      </w:r>
      <w:r>
        <w:rPr>
          <w:spacing w:val="-8"/>
          <w:sz w:val="18"/>
        </w:rPr>
        <w:t xml:space="preserve"> </w:t>
      </w:r>
      <w:r>
        <w:rPr>
          <w:sz w:val="18"/>
        </w:rPr>
        <w:t>Final</w:t>
      </w:r>
      <w:r>
        <w:rPr>
          <w:spacing w:val="-9"/>
          <w:sz w:val="18"/>
        </w:rPr>
        <w:t xml:space="preserve"> </w:t>
      </w:r>
      <w:r>
        <w:rPr>
          <w:sz w:val="18"/>
        </w:rPr>
        <w:t>Disclosure</w:t>
      </w:r>
      <w:r>
        <w:rPr>
          <w:spacing w:val="-8"/>
          <w:sz w:val="18"/>
        </w:rPr>
        <w:t xml:space="preserve"> </w:t>
      </w:r>
      <w:r>
        <w:rPr>
          <w:sz w:val="18"/>
        </w:rPr>
        <w:t>(Exhibit</w:t>
      </w:r>
      <w:r>
        <w:rPr>
          <w:spacing w:val="-8"/>
          <w:sz w:val="18"/>
        </w:rPr>
        <w:t xml:space="preserve"> </w:t>
      </w:r>
      <w:r>
        <w:rPr>
          <w:sz w:val="18"/>
        </w:rPr>
        <w:t>AUS‐16),</w:t>
      </w:r>
      <w:r>
        <w:rPr>
          <w:spacing w:val="-9"/>
          <w:sz w:val="18"/>
        </w:rPr>
        <w:t xml:space="preserve"> </w:t>
      </w:r>
      <w:r>
        <w:rPr>
          <w:sz w:val="18"/>
        </w:rPr>
        <w:t>p.</w:t>
      </w:r>
      <w:r>
        <w:rPr>
          <w:spacing w:val="-8"/>
          <w:sz w:val="18"/>
        </w:rPr>
        <w:t xml:space="preserve"> </w:t>
      </w:r>
      <w:r>
        <w:rPr>
          <w:sz w:val="18"/>
        </w:rPr>
        <w:t>49.</w:t>
      </w:r>
      <w:r>
        <w:rPr>
          <w:spacing w:val="-8"/>
          <w:sz w:val="18"/>
        </w:rPr>
        <w:t xml:space="preserve"> </w:t>
      </w:r>
      <w:r>
        <w:rPr>
          <w:sz w:val="18"/>
        </w:rPr>
        <w:t>Australia</w:t>
      </w:r>
      <w:r>
        <w:rPr>
          <w:spacing w:val="-8"/>
          <w:sz w:val="18"/>
        </w:rPr>
        <w:t xml:space="preserve"> </w:t>
      </w:r>
      <w:r>
        <w:rPr>
          <w:sz w:val="18"/>
        </w:rPr>
        <w:t>objects</w:t>
      </w:r>
      <w:r>
        <w:rPr>
          <w:spacing w:val="-8"/>
          <w:sz w:val="18"/>
        </w:rPr>
        <w:t xml:space="preserve"> </w:t>
      </w:r>
      <w:r>
        <w:rPr>
          <w:sz w:val="18"/>
        </w:rPr>
        <w:t>to</w:t>
      </w:r>
      <w:r>
        <w:rPr>
          <w:spacing w:val="-9"/>
          <w:sz w:val="18"/>
        </w:rPr>
        <w:t xml:space="preserve"> </w:t>
      </w:r>
      <w:r>
        <w:rPr>
          <w:sz w:val="18"/>
        </w:rPr>
        <w:t>this</w:t>
      </w:r>
      <w:r>
        <w:rPr>
          <w:spacing w:val="-8"/>
          <w:sz w:val="18"/>
        </w:rPr>
        <w:t xml:space="preserve"> </w:t>
      </w:r>
      <w:r>
        <w:rPr>
          <w:sz w:val="18"/>
        </w:rPr>
        <w:t>approach</w:t>
      </w:r>
      <w:r>
        <w:rPr>
          <w:spacing w:val="-8"/>
          <w:sz w:val="18"/>
        </w:rPr>
        <w:t xml:space="preserve"> </w:t>
      </w:r>
      <w:r>
        <w:rPr>
          <w:sz w:val="18"/>
        </w:rPr>
        <w:t>because</w:t>
      </w:r>
      <w:r>
        <w:rPr>
          <w:spacing w:val="-8"/>
          <w:sz w:val="18"/>
        </w:rPr>
        <w:t xml:space="preserve"> </w:t>
      </w:r>
      <w:r>
        <w:rPr>
          <w:sz w:val="18"/>
        </w:rPr>
        <w:t>it</w:t>
      </w:r>
      <w:r>
        <w:rPr>
          <w:spacing w:val="-9"/>
          <w:sz w:val="18"/>
        </w:rPr>
        <w:t xml:space="preserve"> </w:t>
      </w:r>
      <w:r>
        <w:rPr>
          <w:sz w:val="18"/>
        </w:rPr>
        <w:t>seeks</w:t>
      </w:r>
      <w:r>
        <w:rPr>
          <w:spacing w:val="-8"/>
          <w:sz w:val="18"/>
        </w:rPr>
        <w:t xml:space="preserve"> </w:t>
      </w:r>
      <w:r>
        <w:rPr>
          <w:sz w:val="18"/>
        </w:rPr>
        <w:t>to</w:t>
      </w:r>
      <w:r>
        <w:rPr>
          <w:spacing w:val="-9"/>
          <w:sz w:val="18"/>
        </w:rPr>
        <w:t xml:space="preserve"> </w:t>
      </w:r>
      <w:r>
        <w:rPr>
          <w:sz w:val="18"/>
        </w:rPr>
        <w:t>compare</w:t>
      </w:r>
      <w:r>
        <w:rPr>
          <w:spacing w:val="-8"/>
          <w:sz w:val="18"/>
        </w:rPr>
        <w:t xml:space="preserve"> </w:t>
      </w:r>
      <w:r>
        <w:rPr>
          <w:sz w:val="18"/>
        </w:rPr>
        <w:t>data that are not directly comparable. Export data will not equate or necessarily align with a Member's statistical import data. Furthermore,</w:t>
      </w:r>
      <w:r>
        <w:rPr>
          <w:spacing w:val="-10"/>
          <w:sz w:val="18"/>
        </w:rPr>
        <w:t xml:space="preserve"> </w:t>
      </w:r>
      <w:r>
        <w:rPr>
          <w:sz w:val="18"/>
        </w:rPr>
        <w:t>in</w:t>
      </w:r>
      <w:r>
        <w:rPr>
          <w:spacing w:val="-8"/>
          <w:sz w:val="18"/>
        </w:rPr>
        <w:t xml:space="preserve"> </w:t>
      </w:r>
      <w:r>
        <w:rPr>
          <w:sz w:val="18"/>
        </w:rPr>
        <w:t>circumstances</w:t>
      </w:r>
      <w:r>
        <w:rPr>
          <w:spacing w:val="-10"/>
          <w:sz w:val="18"/>
        </w:rPr>
        <w:t xml:space="preserve"> </w:t>
      </w:r>
      <w:r>
        <w:rPr>
          <w:sz w:val="18"/>
        </w:rPr>
        <w:t>where</w:t>
      </w:r>
      <w:r>
        <w:rPr>
          <w:spacing w:val="-9"/>
          <w:sz w:val="18"/>
        </w:rPr>
        <w:t xml:space="preserve"> </w:t>
      </w:r>
      <w:r>
        <w:rPr>
          <w:sz w:val="18"/>
        </w:rPr>
        <w:t>MOFCOM</w:t>
      </w:r>
      <w:r>
        <w:rPr>
          <w:spacing w:val="-10"/>
          <w:sz w:val="18"/>
        </w:rPr>
        <w:t xml:space="preserve"> </w:t>
      </w:r>
      <w:r>
        <w:rPr>
          <w:sz w:val="18"/>
        </w:rPr>
        <w:t>had</w:t>
      </w:r>
      <w:r>
        <w:rPr>
          <w:spacing w:val="-9"/>
          <w:sz w:val="18"/>
        </w:rPr>
        <w:t xml:space="preserve"> </w:t>
      </w:r>
      <w:r>
        <w:rPr>
          <w:sz w:val="18"/>
        </w:rPr>
        <w:t>been</w:t>
      </w:r>
      <w:r>
        <w:rPr>
          <w:spacing w:val="-9"/>
          <w:sz w:val="18"/>
        </w:rPr>
        <w:t xml:space="preserve"> </w:t>
      </w:r>
      <w:r>
        <w:rPr>
          <w:sz w:val="18"/>
        </w:rPr>
        <w:t>apprised</w:t>
      </w:r>
      <w:r>
        <w:rPr>
          <w:spacing w:val="-9"/>
          <w:sz w:val="18"/>
        </w:rPr>
        <w:t xml:space="preserve"> </w:t>
      </w:r>
      <w:r>
        <w:rPr>
          <w:sz w:val="18"/>
        </w:rPr>
        <w:t>by</w:t>
      </w:r>
      <w:r>
        <w:rPr>
          <w:spacing w:val="-9"/>
          <w:sz w:val="18"/>
        </w:rPr>
        <w:t xml:space="preserve"> </w:t>
      </w:r>
      <w:r>
        <w:rPr>
          <w:sz w:val="18"/>
        </w:rPr>
        <w:t>Australia</w:t>
      </w:r>
      <w:r>
        <w:rPr>
          <w:spacing w:val="-9"/>
          <w:sz w:val="18"/>
        </w:rPr>
        <w:t xml:space="preserve"> </w:t>
      </w:r>
      <w:r>
        <w:rPr>
          <w:sz w:val="18"/>
        </w:rPr>
        <w:t>that</w:t>
      </w:r>
      <w:r>
        <w:rPr>
          <w:spacing w:val="-10"/>
          <w:sz w:val="18"/>
        </w:rPr>
        <w:t xml:space="preserve"> </w:t>
      </w:r>
      <w:r>
        <w:rPr>
          <w:sz w:val="18"/>
        </w:rPr>
        <w:t>there</w:t>
      </w:r>
      <w:r>
        <w:rPr>
          <w:spacing w:val="-9"/>
          <w:sz w:val="18"/>
        </w:rPr>
        <w:t xml:space="preserve"> </w:t>
      </w:r>
      <w:r>
        <w:rPr>
          <w:sz w:val="18"/>
        </w:rPr>
        <w:t>were</w:t>
      </w:r>
      <w:r>
        <w:rPr>
          <w:spacing w:val="-9"/>
          <w:sz w:val="18"/>
        </w:rPr>
        <w:t xml:space="preserve"> </w:t>
      </w:r>
      <w:r>
        <w:rPr>
          <w:sz w:val="18"/>
        </w:rPr>
        <w:t>thousands</w:t>
      </w:r>
      <w:r>
        <w:rPr>
          <w:spacing w:val="-9"/>
          <w:sz w:val="18"/>
        </w:rPr>
        <w:t xml:space="preserve"> </w:t>
      </w:r>
      <w:r>
        <w:rPr>
          <w:sz w:val="18"/>
        </w:rPr>
        <w:t>of</w:t>
      </w:r>
      <w:r>
        <w:rPr>
          <w:spacing w:val="-9"/>
          <w:sz w:val="18"/>
        </w:rPr>
        <w:t xml:space="preserve"> </w:t>
      </w:r>
      <w:r>
        <w:rPr>
          <w:sz w:val="18"/>
        </w:rPr>
        <w:t>Australian</w:t>
      </w:r>
      <w:r>
        <w:rPr>
          <w:spacing w:val="-10"/>
          <w:sz w:val="18"/>
        </w:rPr>
        <w:t xml:space="preserve"> </w:t>
      </w:r>
      <w:r>
        <w:rPr>
          <w:sz w:val="18"/>
        </w:rPr>
        <w:t>wine producer</w:t>
      </w:r>
      <w:r>
        <w:rPr>
          <w:sz w:val="18"/>
        </w:rPr>
        <w:t>s</w:t>
      </w:r>
      <w:r>
        <w:rPr>
          <w:spacing w:val="-8"/>
          <w:sz w:val="18"/>
        </w:rPr>
        <w:t xml:space="preserve"> </w:t>
      </w:r>
      <w:r>
        <w:rPr>
          <w:sz w:val="18"/>
        </w:rPr>
        <w:t>and</w:t>
      </w:r>
      <w:r>
        <w:rPr>
          <w:spacing w:val="-9"/>
          <w:sz w:val="18"/>
        </w:rPr>
        <w:t xml:space="preserve"> </w:t>
      </w:r>
      <w:r>
        <w:rPr>
          <w:sz w:val="18"/>
        </w:rPr>
        <w:t>exporters,</w:t>
      </w:r>
      <w:r>
        <w:rPr>
          <w:spacing w:val="-11"/>
          <w:sz w:val="18"/>
        </w:rPr>
        <w:t xml:space="preserve"> </w:t>
      </w:r>
      <w:r>
        <w:rPr>
          <w:sz w:val="18"/>
        </w:rPr>
        <w:t>and</w:t>
      </w:r>
      <w:r>
        <w:rPr>
          <w:spacing w:val="-8"/>
          <w:sz w:val="18"/>
        </w:rPr>
        <w:t xml:space="preserve"> </w:t>
      </w:r>
      <w:r>
        <w:rPr>
          <w:sz w:val="18"/>
        </w:rPr>
        <w:t>MOFCOM</w:t>
      </w:r>
      <w:r>
        <w:rPr>
          <w:spacing w:val="-10"/>
          <w:sz w:val="18"/>
        </w:rPr>
        <w:t xml:space="preserve"> </w:t>
      </w:r>
      <w:r>
        <w:rPr>
          <w:sz w:val="18"/>
        </w:rPr>
        <w:t>indicated</w:t>
      </w:r>
      <w:r>
        <w:rPr>
          <w:spacing w:val="-8"/>
          <w:sz w:val="18"/>
        </w:rPr>
        <w:t xml:space="preserve"> </w:t>
      </w:r>
      <w:r>
        <w:rPr>
          <w:sz w:val="18"/>
        </w:rPr>
        <w:t>that</w:t>
      </w:r>
      <w:r>
        <w:rPr>
          <w:spacing w:val="-10"/>
          <w:sz w:val="18"/>
        </w:rPr>
        <w:t xml:space="preserve"> </w:t>
      </w:r>
      <w:r>
        <w:rPr>
          <w:sz w:val="18"/>
        </w:rPr>
        <w:t>it</w:t>
      </w:r>
      <w:r>
        <w:rPr>
          <w:spacing w:val="-10"/>
          <w:sz w:val="18"/>
        </w:rPr>
        <w:t xml:space="preserve"> </w:t>
      </w:r>
      <w:r>
        <w:rPr>
          <w:sz w:val="18"/>
        </w:rPr>
        <w:t>would</w:t>
      </w:r>
      <w:r>
        <w:rPr>
          <w:spacing w:val="-9"/>
          <w:sz w:val="18"/>
        </w:rPr>
        <w:t xml:space="preserve"> </w:t>
      </w:r>
      <w:r>
        <w:rPr>
          <w:sz w:val="18"/>
        </w:rPr>
        <w:t>proceed</w:t>
      </w:r>
      <w:r>
        <w:rPr>
          <w:spacing w:val="-9"/>
          <w:sz w:val="18"/>
        </w:rPr>
        <w:t xml:space="preserve"> </w:t>
      </w:r>
      <w:r>
        <w:rPr>
          <w:sz w:val="18"/>
        </w:rPr>
        <w:t>with</w:t>
      </w:r>
      <w:r>
        <w:rPr>
          <w:spacing w:val="-9"/>
          <w:sz w:val="18"/>
        </w:rPr>
        <w:t xml:space="preserve"> </w:t>
      </w:r>
      <w:r>
        <w:rPr>
          <w:sz w:val="18"/>
        </w:rPr>
        <w:t>sampling,</w:t>
      </w:r>
      <w:r>
        <w:rPr>
          <w:spacing w:val="-10"/>
          <w:sz w:val="18"/>
        </w:rPr>
        <w:t xml:space="preserve"> </w:t>
      </w:r>
      <w:r>
        <w:rPr>
          <w:sz w:val="18"/>
        </w:rPr>
        <w:t>it</w:t>
      </w:r>
      <w:r>
        <w:rPr>
          <w:spacing w:val="-10"/>
          <w:sz w:val="18"/>
        </w:rPr>
        <w:t xml:space="preserve"> </w:t>
      </w:r>
      <w:r>
        <w:rPr>
          <w:sz w:val="18"/>
        </w:rPr>
        <w:t>begs</w:t>
      </w:r>
      <w:r>
        <w:rPr>
          <w:spacing w:val="-9"/>
          <w:sz w:val="18"/>
        </w:rPr>
        <w:t xml:space="preserve"> </w:t>
      </w:r>
      <w:r>
        <w:rPr>
          <w:sz w:val="18"/>
        </w:rPr>
        <w:t>the</w:t>
      </w:r>
      <w:r>
        <w:rPr>
          <w:spacing w:val="-10"/>
          <w:sz w:val="18"/>
        </w:rPr>
        <w:t xml:space="preserve"> </w:t>
      </w:r>
      <w:r>
        <w:rPr>
          <w:sz w:val="18"/>
        </w:rPr>
        <w:t>question</w:t>
      </w:r>
      <w:r>
        <w:rPr>
          <w:spacing w:val="-9"/>
          <w:sz w:val="18"/>
        </w:rPr>
        <w:t xml:space="preserve"> </w:t>
      </w:r>
      <w:r>
        <w:rPr>
          <w:sz w:val="18"/>
        </w:rPr>
        <w:t>what</w:t>
      </w:r>
      <w:r>
        <w:rPr>
          <w:spacing w:val="-10"/>
          <w:sz w:val="18"/>
        </w:rPr>
        <w:t xml:space="preserve"> </w:t>
      </w:r>
      <w:r>
        <w:rPr>
          <w:sz w:val="18"/>
        </w:rPr>
        <w:t>the</w:t>
      </w:r>
      <w:r>
        <w:rPr>
          <w:spacing w:val="-9"/>
          <w:sz w:val="18"/>
        </w:rPr>
        <w:t xml:space="preserve"> </w:t>
      </w:r>
      <w:r>
        <w:rPr>
          <w:sz w:val="18"/>
        </w:rPr>
        <w:t>purpose of registration is.</w:t>
      </w:r>
    </w:p>
    <w:p w14:paraId="51DE9B81" w14:textId="77777777" w:rsidR="0010369C" w:rsidRDefault="0010369C">
      <w:pPr>
        <w:jc w:val="both"/>
        <w:rPr>
          <w:sz w:val="18"/>
        </w:rPr>
        <w:sectPr w:rsidR="0010369C">
          <w:pgSz w:w="11910" w:h="16840"/>
          <w:pgMar w:top="880" w:right="800" w:bottom="980" w:left="1180" w:header="569" w:footer="788" w:gutter="0"/>
          <w:cols w:space="720"/>
        </w:sectPr>
      </w:pPr>
    </w:p>
    <w:p w14:paraId="51DE9B82" w14:textId="77777777" w:rsidR="0010369C" w:rsidRDefault="0010369C">
      <w:pPr>
        <w:pStyle w:val="BodyText"/>
        <w:spacing w:before="2"/>
        <w:rPr>
          <w:sz w:val="15"/>
        </w:rPr>
      </w:pPr>
    </w:p>
    <w:p w14:paraId="51DE9B83" w14:textId="77777777" w:rsidR="0010369C" w:rsidRDefault="008E43AE">
      <w:pPr>
        <w:tabs>
          <w:tab w:val="left" w:pos="8228"/>
        </w:tabs>
        <w:spacing w:before="60"/>
        <w:ind w:left="239"/>
        <w:rPr>
          <w:sz w:val="20"/>
        </w:rPr>
      </w:pPr>
      <w:r>
        <w:rPr>
          <w:i/>
          <w:sz w:val="20"/>
        </w:rPr>
        <w:t>on</w:t>
      </w:r>
      <w:r>
        <w:rPr>
          <w:i/>
          <w:spacing w:val="-1"/>
          <w:sz w:val="20"/>
        </w:rPr>
        <w:t xml:space="preserve"> </w:t>
      </w:r>
      <w:r>
        <w:rPr>
          <w:i/>
          <w:sz w:val="20"/>
        </w:rPr>
        <w:t>Wine</w:t>
      </w:r>
      <w:r>
        <w:rPr>
          <w:i/>
          <w:spacing w:val="-1"/>
          <w:sz w:val="20"/>
        </w:rPr>
        <w:t xml:space="preserve"> </w:t>
      </w:r>
      <w:r>
        <w:rPr>
          <w:i/>
          <w:sz w:val="20"/>
        </w:rPr>
        <w:t>from</w:t>
      </w:r>
      <w:r>
        <w:rPr>
          <w:i/>
          <w:spacing w:val="-3"/>
          <w:sz w:val="20"/>
        </w:rPr>
        <w:t xml:space="preserve"> </w:t>
      </w:r>
      <w:r>
        <w:rPr>
          <w:i/>
          <w:sz w:val="20"/>
        </w:rPr>
        <w:t>Australia</w:t>
      </w:r>
      <w:r>
        <w:rPr>
          <w:i/>
          <w:spacing w:val="-1"/>
          <w:sz w:val="20"/>
        </w:rPr>
        <w:t xml:space="preserve"> </w:t>
      </w:r>
      <w:r>
        <w:rPr>
          <w:spacing w:val="-2"/>
          <w:sz w:val="20"/>
        </w:rPr>
        <w:t>(DS602)</w:t>
      </w:r>
      <w:r>
        <w:rPr>
          <w:sz w:val="20"/>
        </w:rPr>
        <w:tab/>
        <w:t>29</w:t>
      </w:r>
      <w:r>
        <w:rPr>
          <w:spacing w:val="-1"/>
          <w:sz w:val="20"/>
        </w:rPr>
        <w:t xml:space="preserve"> </w:t>
      </w:r>
      <w:r>
        <w:rPr>
          <w:sz w:val="20"/>
        </w:rPr>
        <w:t>April</w:t>
      </w:r>
      <w:r>
        <w:rPr>
          <w:spacing w:val="-2"/>
          <w:sz w:val="20"/>
        </w:rPr>
        <w:t xml:space="preserve"> </w:t>
      </w:r>
      <w:r>
        <w:rPr>
          <w:spacing w:val="-4"/>
          <w:sz w:val="20"/>
        </w:rPr>
        <w:t>2022</w:t>
      </w:r>
    </w:p>
    <w:p w14:paraId="51DE9B84" w14:textId="77777777" w:rsidR="0010369C" w:rsidRDefault="008E43AE">
      <w:pPr>
        <w:pStyle w:val="BodyText"/>
        <w:spacing w:before="34" w:line="360" w:lineRule="auto"/>
        <w:ind w:left="237" w:right="614"/>
      </w:pPr>
      <w:r>
        <w:t>did.</w:t>
      </w:r>
      <w:r>
        <w:rPr>
          <w:spacing w:val="77"/>
        </w:rPr>
        <w:t xml:space="preserve"> </w:t>
      </w:r>
      <w:r>
        <w:t>MOFCOM</w:t>
      </w:r>
      <w:r>
        <w:rPr>
          <w:spacing w:val="77"/>
        </w:rPr>
        <w:t xml:space="preserve"> </w:t>
      </w:r>
      <w:r>
        <w:t>concluded</w:t>
      </w:r>
      <w:r>
        <w:rPr>
          <w:spacing w:val="76"/>
        </w:rPr>
        <w:t xml:space="preserve"> </w:t>
      </w:r>
      <w:r>
        <w:t>without</w:t>
      </w:r>
      <w:r>
        <w:rPr>
          <w:spacing w:val="75"/>
        </w:rPr>
        <w:t xml:space="preserve"> </w:t>
      </w:r>
      <w:r>
        <w:t>further</w:t>
      </w:r>
      <w:r>
        <w:rPr>
          <w:spacing w:val="77"/>
        </w:rPr>
        <w:t xml:space="preserve"> </w:t>
      </w:r>
      <w:r>
        <w:t>details</w:t>
      </w:r>
      <w:r>
        <w:rPr>
          <w:spacing w:val="76"/>
        </w:rPr>
        <w:t xml:space="preserve"> </w:t>
      </w:r>
      <w:r>
        <w:t>that</w:t>
      </w:r>
      <w:r>
        <w:rPr>
          <w:spacing w:val="75"/>
        </w:rPr>
        <w:t xml:space="preserve"> </w:t>
      </w:r>
      <w:r>
        <w:t>it</w:t>
      </w:r>
      <w:r>
        <w:rPr>
          <w:spacing w:val="76"/>
        </w:rPr>
        <w:t xml:space="preserve"> </w:t>
      </w:r>
      <w:r>
        <w:t>would</w:t>
      </w:r>
      <w:r>
        <w:rPr>
          <w:spacing w:val="76"/>
        </w:rPr>
        <w:t xml:space="preserve"> </w:t>
      </w:r>
      <w:r>
        <w:t>use</w:t>
      </w:r>
      <w:r>
        <w:rPr>
          <w:spacing w:val="77"/>
        </w:rPr>
        <w:t xml:space="preserve"> </w:t>
      </w:r>
      <w:r>
        <w:t>"best</w:t>
      </w:r>
      <w:r>
        <w:rPr>
          <w:spacing w:val="76"/>
        </w:rPr>
        <w:t xml:space="preserve"> </w:t>
      </w:r>
      <w:r>
        <w:t>information available", which it judged to be the information provided by the sampled companies.</w:t>
      </w:r>
    </w:p>
    <w:p w14:paraId="51DE9B85" w14:textId="77777777" w:rsidR="0010369C" w:rsidRDefault="0010369C">
      <w:pPr>
        <w:pStyle w:val="BodyText"/>
        <w:spacing w:before="10"/>
        <w:rPr>
          <w:sz w:val="8"/>
        </w:rPr>
      </w:pPr>
    </w:p>
    <w:p w14:paraId="51DE9B86" w14:textId="77777777" w:rsidR="0010369C" w:rsidRDefault="008E43AE">
      <w:pPr>
        <w:pStyle w:val="BodyText"/>
        <w:spacing w:before="52" w:line="360" w:lineRule="auto"/>
        <w:ind w:left="237" w:right="611" w:firstLine="851"/>
        <w:jc w:val="both"/>
      </w:pPr>
      <w:r>
        <w:rPr>
          <w:noProof/>
        </w:rPr>
        <w:drawing>
          <wp:anchor distT="0" distB="0" distL="0" distR="0" simplePos="0" relativeHeight="251633152" behindDoc="1" locked="0" layoutInCell="1" allowOverlap="1" wp14:anchorId="51DEA916" wp14:editId="51DEA917">
            <wp:simplePos x="0" y="0"/>
            <wp:positionH relativeFrom="page">
              <wp:posOffset>908303</wp:posOffset>
            </wp:positionH>
            <wp:positionV relativeFrom="paragraph">
              <wp:posOffset>76785</wp:posOffset>
            </wp:positionV>
            <wp:extent cx="332231" cy="106679"/>
            <wp:effectExtent l="0" t="0" r="0" b="0"/>
            <wp:wrapNone/>
            <wp:docPr id="2077" name="image10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 name="image1066.png"/>
                    <pic:cNvPicPr/>
                  </pic:nvPicPr>
                  <pic:blipFill>
                    <a:blip r:embed="rId1369" cstate="print"/>
                    <a:stretch>
                      <a:fillRect/>
                    </a:stretch>
                  </pic:blipFill>
                  <pic:spPr>
                    <a:xfrm>
                      <a:off x="0" y="0"/>
                      <a:ext cx="332231" cy="106679"/>
                    </a:xfrm>
                    <a:prstGeom prst="rect">
                      <a:avLst/>
                    </a:prstGeom>
                  </pic:spPr>
                </pic:pic>
              </a:graphicData>
            </a:graphic>
          </wp:anchor>
        </w:drawing>
      </w:r>
      <w:r>
        <w:t xml:space="preserve">No explanation was provided as to the origin or basis for the normal value, export price, or CIF price that were relied upon, save that they </w:t>
      </w:r>
      <w:r>
        <w:t>were derived in some unknown way from</w:t>
      </w:r>
      <w:r>
        <w:rPr>
          <w:spacing w:val="-5"/>
        </w:rPr>
        <w:t xml:space="preserve"> </w:t>
      </w:r>
      <w:r>
        <w:t>"information</w:t>
      </w:r>
      <w:r>
        <w:rPr>
          <w:spacing w:val="-6"/>
        </w:rPr>
        <w:t xml:space="preserve"> </w:t>
      </w:r>
      <w:r>
        <w:t>provided</w:t>
      </w:r>
      <w:r>
        <w:rPr>
          <w:spacing w:val="-5"/>
        </w:rPr>
        <w:t xml:space="preserve"> </w:t>
      </w:r>
      <w:r>
        <w:t>by</w:t>
      </w:r>
      <w:r>
        <w:rPr>
          <w:spacing w:val="-5"/>
        </w:rPr>
        <w:t xml:space="preserve"> </w:t>
      </w:r>
      <w:r>
        <w:t>the</w:t>
      </w:r>
      <w:r>
        <w:rPr>
          <w:spacing w:val="-4"/>
        </w:rPr>
        <w:t xml:space="preserve"> </w:t>
      </w:r>
      <w:r>
        <w:t>respondents".</w:t>
      </w:r>
      <w:r>
        <w:rPr>
          <w:vertAlign w:val="superscript"/>
        </w:rPr>
        <w:t>1229</w:t>
      </w:r>
      <w:r>
        <w:rPr>
          <w:spacing w:val="-6"/>
        </w:rPr>
        <w:t xml:space="preserve"> </w:t>
      </w:r>
      <w:r>
        <w:t>No</w:t>
      </w:r>
      <w:r>
        <w:rPr>
          <w:spacing w:val="-5"/>
        </w:rPr>
        <w:t xml:space="preserve"> </w:t>
      </w:r>
      <w:r>
        <w:t>explanation</w:t>
      </w:r>
      <w:r>
        <w:rPr>
          <w:spacing w:val="-6"/>
        </w:rPr>
        <w:t xml:space="preserve"> </w:t>
      </w:r>
      <w:r>
        <w:t>was</w:t>
      </w:r>
      <w:r>
        <w:rPr>
          <w:spacing w:val="-5"/>
        </w:rPr>
        <w:t xml:space="preserve"> </w:t>
      </w:r>
      <w:r>
        <w:t>given</w:t>
      </w:r>
      <w:r>
        <w:rPr>
          <w:spacing w:val="-5"/>
        </w:rPr>
        <w:t xml:space="preserve"> </w:t>
      </w:r>
      <w:r>
        <w:t>for</w:t>
      </w:r>
      <w:r>
        <w:rPr>
          <w:spacing w:val="-5"/>
        </w:rPr>
        <w:t xml:space="preserve"> </w:t>
      </w:r>
      <w:r>
        <w:t>how</w:t>
      </w:r>
      <w:r>
        <w:rPr>
          <w:spacing w:val="-5"/>
        </w:rPr>
        <w:t xml:space="preserve"> </w:t>
      </w:r>
      <w:r>
        <w:t>these values were identified from amongst that information. This is striking, considering that these were not values relied upon to calculate the dumping margins for any of the sampled companies, but rather appear to have been derived in some other way.</w:t>
      </w:r>
    </w:p>
    <w:p w14:paraId="51DE9B87" w14:textId="77777777" w:rsidR="0010369C" w:rsidRDefault="0010369C">
      <w:pPr>
        <w:pStyle w:val="BodyText"/>
        <w:spacing w:before="11"/>
        <w:rPr>
          <w:sz w:val="8"/>
        </w:rPr>
      </w:pPr>
    </w:p>
    <w:p w14:paraId="51DE9B88" w14:textId="77777777" w:rsidR="0010369C" w:rsidRDefault="008E43AE">
      <w:pPr>
        <w:pStyle w:val="BodyText"/>
        <w:spacing w:before="52" w:line="360" w:lineRule="auto"/>
        <w:ind w:left="237" w:right="612" w:firstLine="851"/>
        <w:jc w:val="both"/>
      </w:pPr>
      <w:r>
        <w:rPr>
          <w:noProof/>
        </w:rPr>
        <w:drawing>
          <wp:anchor distT="0" distB="0" distL="0" distR="0" simplePos="0" relativeHeight="251634176" behindDoc="1" locked="0" layoutInCell="1" allowOverlap="1" wp14:anchorId="51DEA918" wp14:editId="51DEA919">
            <wp:simplePos x="0" y="0"/>
            <wp:positionH relativeFrom="page">
              <wp:posOffset>908303</wp:posOffset>
            </wp:positionH>
            <wp:positionV relativeFrom="paragraph">
              <wp:posOffset>80595</wp:posOffset>
            </wp:positionV>
            <wp:extent cx="332231" cy="103631"/>
            <wp:effectExtent l="0" t="0" r="0" b="0"/>
            <wp:wrapNone/>
            <wp:docPr id="2079" name="image10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 name="image1067.png"/>
                    <pic:cNvPicPr/>
                  </pic:nvPicPr>
                  <pic:blipFill>
                    <a:blip r:embed="rId1370" cstate="print"/>
                    <a:stretch>
                      <a:fillRect/>
                    </a:stretch>
                  </pic:blipFill>
                  <pic:spPr>
                    <a:xfrm>
                      <a:off x="0" y="0"/>
                      <a:ext cx="332231" cy="103631"/>
                    </a:xfrm>
                    <a:prstGeom prst="rect">
                      <a:avLst/>
                    </a:prstGeom>
                  </pic:spPr>
                </pic:pic>
              </a:graphicData>
            </a:graphic>
          </wp:anchor>
        </w:drawing>
      </w:r>
      <w:r>
        <w:t>Based on the Final Disclosure it is impossible for Australia or other parties to even speculate on the basis of the calculations, as the rates set appear to be entirely unrelated to the</w:t>
      </w:r>
      <w:r>
        <w:rPr>
          <w:spacing w:val="-4"/>
        </w:rPr>
        <w:t xml:space="preserve"> </w:t>
      </w:r>
      <w:r>
        <w:t>rates</w:t>
      </w:r>
      <w:r>
        <w:rPr>
          <w:spacing w:val="-6"/>
        </w:rPr>
        <w:t xml:space="preserve"> </w:t>
      </w:r>
      <w:r>
        <w:t>fixed</w:t>
      </w:r>
      <w:r>
        <w:rPr>
          <w:spacing w:val="-5"/>
        </w:rPr>
        <w:t xml:space="preserve"> </w:t>
      </w:r>
      <w:r>
        <w:t>for</w:t>
      </w:r>
      <w:r>
        <w:rPr>
          <w:spacing w:val="-4"/>
        </w:rPr>
        <w:t xml:space="preserve"> </w:t>
      </w:r>
      <w:r>
        <w:t>the</w:t>
      </w:r>
      <w:r>
        <w:rPr>
          <w:spacing w:val="-4"/>
        </w:rPr>
        <w:t xml:space="preserve"> </w:t>
      </w:r>
      <w:r>
        <w:t>sampled</w:t>
      </w:r>
      <w:r>
        <w:rPr>
          <w:spacing w:val="-5"/>
        </w:rPr>
        <w:t xml:space="preserve"> </w:t>
      </w:r>
      <w:r>
        <w:t>companies.</w:t>
      </w:r>
      <w:r>
        <w:rPr>
          <w:spacing w:val="-4"/>
        </w:rPr>
        <w:t xml:space="preserve"> </w:t>
      </w:r>
      <w:r>
        <w:t>From</w:t>
      </w:r>
      <w:r>
        <w:rPr>
          <w:spacing w:val="-5"/>
        </w:rPr>
        <w:t xml:space="preserve"> </w:t>
      </w:r>
      <w:r>
        <w:t>the</w:t>
      </w:r>
      <w:r>
        <w:rPr>
          <w:spacing w:val="-4"/>
        </w:rPr>
        <w:t xml:space="preserve"> </w:t>
      </w:r>
      <w:r>
        <w:t>limited</w:t>
      </w:r>
      <w:r>
        <w:rPr>
          <w:spacing w:val="-5"/>
        </w:rPr>
        <w:t xml:space="preserve"> </w:t>
      </w:r>
      <w:r>
        <w:t>information</w:t>
      </w:r>
      <w:r>
        <w:rPr>
          <w:spacing w:val="-5"/>
        </w:rPr>
        <w:t xml:space="preserve"> </w:t>
      </w:r>
      <w:r>
        <w:t>in</w:t>
      </w:r>
      <w:r>
        <w:t>cluded</w:t>
      </w:r>
      <w:r>
        <w:rPr>
          <w:spacing w:val="-4"/>
        </w:rPr>
        <w:t xml:space="preserve"> </w:t>
      </w:r>
      <w:r>
        <w:t>in</w:t>
      </w:r>
      <w:r>
        <w:rPr>
          <w:spacing w:val="-5"/>
        </w:rPr>
        <w:t xml:space="preserve"> </w:t>
      </w:r>
      <w:r>
        <w:t>the</w:t>
      </w:r>
      <w:r>
        <w:rPr>
          <w:spacing w:val="-4"/>
        </w:rPr>
        <w:t xml:space="preserve"> </w:t>
      </w:r>
      <w:r>
        <w:t xml:space="preserve">Final Disclosure, it appears that MOFCOM applied an </w:t>
      </w:r>
      <w:r>
        <w:rPr>
          <w:i/>
        </w:rPr>
        <w:t xml:space="preserve">adverse </w:t>
      </w:r>
      <w:r>
        <w:t>methodology for this category of companies, which resulted in an inflated dumping margin compared to both the sampled companies</w:t>
      </w:r>
      <w:r>
        <w:rPr>
          <w:spacing w:val="-6"/>
        </w:rPr>
        <w:t xml:space="preserve"> </w:t>
      </w:r>
      <w:r>
        <w:t>and</w:t>
      </w:r>
      <w:r>
        <w:rPr>
          <w:spacing w:val="-5"/>
        </w:rPr>
        <w:t xml:space="preserve"> </w:t>
      </w:r>
      <w:r>
        <w:t>the</w:t>
      </w:r>
      <w:r>
        <w:rPr>
          <w:spacing w:val="-4"/>
        </w:rPr>
        <w:t xml:space="preserve"> </w:t>
      </w:r>
      <w:r>
        <w:t>"cooperative"</w:t>
      </w:r>
      <w:r>
        <w:rPr>
          <w:spacing w:val="-6"/>
        </w:rPr>
        <w:t xml:space="preserve"> </w:t>
      </w:r>
      <w:r>
        <w:t>but</w:t>
      </w:r>
      <w:r>
        <w:rPr>
          <w:spacing w:val="-5"/>
        </w:rPr>
        <w:t xml:space="preserve"> </w:t>
      </w:r>
      <w:r>
        <w:t>non‐sampled</w:t>
      </w:r>
      <w:r>
        <w:rPr>
          <w:spacing w:val="-5"/>
        </w:rPr>
        <w:t xml:space="preserve"> </w:t>
      </w:r>
      <w:r>
        <w:t>companies.</w:t>
      </w:r>
      <w:r>
        <w:rPr>
          <w:spacing w:val="-4"/>
        </w:rPr>
        <w:t xml:space="preserve"> </w:t>
      </w:r>
      <w:r>
        <w:t>Howev</w:t>
      </w:r>
      <w:r>
        <w:t>er,</w:t>
      </w:r>
      <w:r>
        <w:rPr>
          <w:spacing w:val="-5"/>
        </w:rPr>
        <w:t xml:space="preserve"> </w:t>
      </w:r>
      <w:r>
        <w:t>MOFCOM</w:t>
      </w:r>
      <w:r>
        <w:rPr>
          <w:spacing w:val="-3"/>
        </w:rPr>
        <w:t xml:space="preserve"> </w:t>
      </w:r>
      <w:r>
        <w:t>made</w:t>
      </w:r>
      <w:r>
        <w:rPr>
          <w:spacing w:val="-4"/>
        </w:rPr>
        <w:t xml:space="preserve"> </w:t>
      </w:r>
      <w:r>
        <w:t>no such findings, nor did it provide any other explanation as to why the "non‐cooperative rate" significantly exceeds the "cooperative rate".</w:t>
      </w:r>
    </w:p>
    <w:p w14:paraId="51DE9B89" w14:textId="77777777" w:rsidR="0010369C" w:rsidRDefault="0010369C">
      <w:pPr>
        <w:pStyle w:val="BodyText"/>
        <w:spacing w:before="10"/>
        <w:rPr>
          <w:sz w:val="8"/>
        </w:rPr>
      </w:pPr>
    </w:p>
    <w:p w14:paraId="51DE9B8A" w14:textId="77777777" w:rsidR="0010369C" w:rsidRDefault="008E43AE">
      <w:pPr>
        <w:pStyle w:val="BodyText"/>
        <w:spacing w:before="53" w:line="360" w:lineRule="auto"/>
        <w:ind w:left="237" w:right="611" w:firstLine="12"/>
        <w:jc w:val="both"/>
      </w:pPr>
      <w:r>
        <w:rPr>
          <w:noProof/>
        </w:rPr>
        <w:drawing>
          <wp:inline distT="0" distB="0" distL="0" distR="0" wp14:anchorId="51DEA91A" wp14:editId="51DEA91B">
            <wp:extent cx="332231" cy="109727"/>
            <wp:effectExtent l="0" t="0" r="0" b="0"/>
            <wp:docPr id="2081" name="image10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 name="image1068.png"/>
                    <pic:cNvPicPr/>
                  </pic:nvPicPr>
                  <pic:blipFill>
                    <a:blip r:embed="rId1371" cstate="print"/>
                    <a:stretch>
                      <a:fillRect/>
                    </a:stretch>
                  </pic:blipFill>
                  <pic:spPr>
                    <a:xfrm>
                      <a:off x="0" y="0"/>
                      <a:ext cx="332231" cy="109727"/>
                    </a:xfrm>
                    <a:prstGeom prst="rect">
                      <a:avLst/>
                    </a:prstGeom>
                  </pic:spPr>
                </pic:pic>
              </a:graphicData>
            </a:graphic>
          </wp:inline>
        </w:drawing>
      </w:r>
      <w:r>
        <w:rPr>
          <w:rFonts w:ascii="Times New Roman" w:hAnsi="Times New Roman"/>
          <w:spacing w:val="80"/>
          <w:position w:val="1"/>
          <w:sz w:val="20"/>
        </w:rPr>
        <w:t xml:space="preserve">  </w:t>
      </w:r>
      <w:r>
        <w:rPr>
          <w:position w:val="1"/>
        </w:rPr>
        <w:t>Australia</w:t>
      </w:r>
      <w:r>
        <w:rPr>
          <w:spacing w:val="-12"/>
          <w:position w:val="1"/>
        </w:rPr>
        <w:t xml:space="preserve"> </w:t>
      </w:r>
      <w:r>
        <w:rPr>
          <w:position w:val="1"/>
        </w:rPr>
        <w:t>accepts</w:t>
      </w:r>
      <w:r>
        <w:rPr>
          <w:spacing w:val="-11"/>
          <w:position w:val="1"/>
        </w:rPr>
        <w:t xml:space="preserve"> </w:t>
      </w:r>
      <w:r>
        <w:rPr>
          <w:position w:val="1"/>
        </w:rPr>
        <w:t>that</w:t>
      </w:r>
      <w:r>
        <w:rPr>
          <w:spacing w:val="-11"/>
          <w:position w:val="1"/>
        </w:rPr>
        <w:t xml:space="preserve"> </w:t>
      </w:r>
      <w:r>
        <w:rPr>
          <w:position w:val="1"/>
        </w:rPr>
        <w:t>the</w:t>
      </w:r>
      <w:r>
        <w:rPr>
          <w:spacing w:val="-10"/>
          <w:position w:val="1"/>
        </w:rPr>
        <w:t xml:space="preserve"> </w:t>
      </w:r>
      <w:r>
        <w:rPr>
          <w:position w:val="1"/>
        </w:rPr>
        <w:t>specific</w:t>
      </w:r>
      <w:r>
        <w:rPr>
          <w:spacing w:val="-10"/>
          <w:position w:val="1"/>
        </w:rPr>
        <w:t xml:space="preserve"> </w:t>
      </w:r>
      <w:r>
        <w:rPr>
          <w:position w:val="1"/>
        </w:rPr>
        <w:t>data</w:t>
      </w:r>
      <w:r>
        <w:rPr>
          <w:spacing w:val="-11"/>
          <w:position w:val="1"/>
        </w:rPr>
        <w:t xml:space="preserve"> </w:t>
      </w:r>
      <w:r>
        <w:rPr>
          <w:position w:val="1"/>
        </w:rPr>
        <w:t>from</w:t>
      </w:r>
      <w:r>
        <w:rPr>
          <w:spacing w:val="-11"/>
          <w:position w:val="1"/>
        </w:rPr>
        <w:t xml:space="preserve"> </w:t>
      </w:r>
      <w:r>
        <w:rPr>
          <w:position w:val="1"/>
        </w:rPr>
        <w:t>the</w:t>
      </w:r>
      <w:r>
        <w:rPr>
          <w:spacing w:val="-10"/>
          <w:position w:val="1"/>
        </w:rPr>
        <w:t xml:space="preserve"> </w:t>
      </w:r>
      <w:r>
        <w:rPr>
          <w:position w:val="1"/>
        </w:rPr>
        <w:t>sampled</w:t>
      </w:r>
      <w:r>
        <w:rPr>
          <w:spacing w:val="-11"/>
          <w:position w:val="1"/>
        </w:rPr>
        <w:t xml:space="preserve"> </w:t>
      </w:r>
      <w:r>
        <w:rPr>
          <w:position w:val="1"/>
        </w:rPr>
        <w:t>companies</w:t>
      </w:r>
      <w:r>
        <w:rPr>
          <w:spacing w:val="-12"/>
          <w:position w:val="1"/>
        </w:rPr>
        <w:t xml:space="preserve"> </w:t>
      </w:r>
      <w:r>
        <w:rPr>
          <w:position w:val="1"/>
        </w:rPr>
        <w:t>was</w:t>
      </w:r>
      <w:r>
        <w:rPr>
          <w:spacing w:val="-11"/>
          <w:position w:val="1"/>
        </w:rPr>
        <w:t xml:space="preserve"> </w:t>
      </w:r>
      <w:r>
        <w:rPr>
          <w:position w:val="1"/>
        </w:rPr>
        <w:t xml:space="preserve">confidential </w:t>
      </w:r>
      <w:r>
        <w:t>and could not be disclosed in full. Nonetheless, a meaningful non‐confidential summary should</w:t>
      </w:r>
      <w:r>
        <w:rPr>
          <w:spacing w:val="-5"/>
        </w:rPr>
        <w:t xml:space="preserve"> </w:t>
      </w:r>
      <w:r>
        <w:t>have</w:t>
      </w:r>
      <w:r>
        <w:rPr>
          <w:spacing w:val="-4"/>
        </w:rPr>
        <w:t xml:space="preserve"> </w:t>
      </w:r>
      <w:r>
        <w:t>been</w:t>
      </w:r>
      <w:r>
        <w:rPr>
          <w:spacing w:val="-5"/>
        </w:rPr>
        <w:t xml:space="preserve"> </w:t>
      </w:r>
      <w:r>
        <w:t>provided,</w:t>
      </w:r>
      <w:r>
        <w:rPr>
          <w:spacing w:val="-4"/>
        </w:rPr>
        <w:t xml:space="preserve"> </w:t>
      </w:r>
      <w:r>
        <w:t>consistent</w:t>
      </w:r>
      <w:r>
        <w:rPr>
          <w:spacing w:val="-5"/>
        </w:rPr>
        <w:t xml:space="preserve"> </w:t>
      </w:r>
      <w:r>
        <w:t>with</w:t>
      </w:r>
      <w:r>
        <w:rPr>
          <w:spacing w:val="-5"/>
        </w:rPr>
        <w:t xml:space="preserve"> </w:t>
      </w:r>
      <w:r>
        <w:t>Article</w:t>
      </w:r>
      <w:r>
        <w:rPr>
          <w:spacing w:val="-5"/>
        </w:rPr>
        <w:t xml:space="preserve"> </w:t>
      </w:r>
      <w:r>
        <w:t>6.5.1.</w:t>
      </w:r>
      <w:r>
        <w:rPr>
          <w:spacing w:val="-4"/>
        </w:rPr>
        <w:t xml:space="preserve"> </w:t>
      </w:r>
      <w:r>
        <w:t>Such</w:t>
      </w:r>
      <w:r>
        <w:rPr>
          <w:spacing w:val="-4"/>
        </w:rPr>
        <w:t xml:space="preserve"> </w:t>
      </w:r>
      <w:r>
        <w:t>claims</w:t>
      </w:r>
      <w:r>
        <w:rPr>
          <w:spacing w:val="-6"/>
        </w:rPr>
        <w:t xml:space="preserve"> </w:t>
      </w:r>
      <w:r>
        <w:t>of</w:t>
      </w:r>
      <w:r>
        <w:rPr>
          <w:spacing w:val="-5"/>
        </w:rPr>
        <w:t xml:space="preserve"> </w:t>
      </w:r>
      <w:r>
        <w:t>confidentiality</w:t>
      </w:r>
      <w:r>
        <w:rPr>
          <w:spacing w:val="-5"/>
        </w:rPr>
        <w:t xml:space="preserve"> </w:t>
      </w:r>
      <w:r>
        <w:t xml:space="preserve">would not have precluded MOFCOM from disclosing the methodology it </w:t>
      </w:r>
      <w:r>
        <w:t>applied to select and integrate</w:t>
      </w:r>
      <w:r>
        <w:rPr>
          <w:spacing w:val="-3"/>
        </w:rPr>
        <w:t xml:space="preserve"> </w:t>
      </w:r>
      <w:r>
        <w:t>data</w:t>
      </w:r>
      <w:r>
        <w:rPr>
          <w:spacing w:val="-5"/>
        </w:rPr>
        <w:t xml:space="preserve"> </w:t>
      </w:r>
      <w:r>
        <w:t>from</w:t>
      </w:r>
      <w:r>
        <w:rPr>
          <w:spacing w:val="-5"/>
        </w:rPr>
        <w:t xml:space="preserve"> </w:t>
      </w:r>
      <w:r>
        <w:t>across</w:t>
      </w:r>
      <w:r>
        <w:rPr>
          <w:spacing w:val="-5"/>
        </w:rPr>
        <w:t xml:space="preserve"> </w:t>
      </w:r>
      <w:r>
        <w:t>the</w:t>
      </w:r>
      <w:r>
        <w:rPr>
          <w:spacing w:val="-4"/>
        </w:rPr>
        <w:t xml:space="preserve"> </w:t>
      </w:r>
      <w:r>
        <w:t>respondents,</w:t>
      </w:r>
      <w:r>
        <w:rPr>
          <w:spacing w:val="-6"/>
        </w:rPr>
        <w:t xml:space="preserve"> </w:t>
      </w:r>
      <w:r>
        <w:t>and</w:t>
      </w:r>
      <w:r>
        <w:rPr>
          <w:spacing w:val="-4"/>
        </w:rPr>
        <w:t xml:space="preserve"> </w:t>
      </w:r>
      <w:r>
        <w:t>to</w:t>
      </w:r>
      <w:r>
        <w:rPr>
          <w:spacing w:val="-5"/>
        </w:rPr>
        <w:t xml:space="preserve"> </w:t>
      </w:r>
      <w:r>
        <w:t>articulate</w:t>
      </w:r>
      <w:r>
        <w:rPr>
          <w:spacing w:val="-6"/>
        </w:rPr>
        <w:t xml:space="preserve"> </w:t>
      </w:r>
      <w:r>
        <w:t>why</w:t>
      </w:r>
      <w:r>
        <w:rPr>
          <w:spacing w:val="-5"/>
        </w:rPr>
        <w:t xml:space="preserve"> </w:t>
      </w:r>
      <w:r>
        <w:t>that</w:t>
      </w:r>
      <w:r>
        <w:rPr>
          <w:spacing w:val="-5"/>
        </w:rPr>
        <w:t xml:space="preserve"> </w:t>
      </w:r>
      <w:r>
        <w:t>methodology</w:t>
      </w:r>
      <w:r>
        <w:rPr>
          <w:spacing w:val="-6"/>
        </w:rPr>
        <w:t xml:space="preserve"> </w:t>
      </w:r>
      <w:r>
        <w:t>resulted in a dumping margin that was vastly different from the others it calculated apparently from the same data sources.</w:t>
      </w:r>
    </w:p>
    <w:p w14:paraId="51DE9B8B" w14:textId="77777777" w:rsidR="0010369C" w:rsidRDefault="008E43AE">
      <w:pPr>
        <w:pStyle w:val="Heading4"/>
        <w:numPr>
          <w:ilvl w:val="2"/>
          <w:numId w:val="75"/>
        </w:numPr>
        <w:tabs>
          <w:tab w:val="left" w:pos="2648"/>
          <w:tab w:val="left" w:pos="2649"/>
        </w:tabs>
        <w:spacing w:before="160"/>
        <w:ind w:hanging="852"/>
        <w:jc w:val="both"/>
      </w:pPr>
      <w:r>
        <w:rPr>
          <w:spacing w:val="-2"/>
        </w:rPr>
        <w:t>Conclusion</w:t>
      </w:r>
    </w:p>
    <w:p w14:paraId="51DE9B8C" w14:textId="77777777" w:rsidR="0010369C" w:rsidRDefault="0010369C">
      <w:pPr>
        <w:pStyle w:val="BodyText"/>
        <w:spacing w:before="9"/>
        <w:rPr>
          <w:b/>
          <w:sz w:val="20"/>
        </w:rPr>
      </w:pPr>
    </w:p>
    <w:p w14:paraId="51DE9B8D" w14:textId="77777777" w:rsidR="0010369C" w:rsidRDefault="008E43AE">
      <w:pPr>
        <w:pStyle w:val="BodyText"/>
        <w:spacing w:before="53" w:line="360" w:lineRule="auto"/>
        <w:ind w:left="237" w:right="615" w:firstLine="12"/>
        <w:jc w:val="both"/>
      </w:pPr>
      <w:r>
        <w:rPr>
          <w:noProof/>
        </w:rPr>
        <w:drawing>
          <wp:inline distT="0" distB="0" distL="0" distR="0" wp14:anchorId="51DEA91C" wp14:editId="51DEA91D">
            <wp:extent cx="332231" cy="109727"/>
            <wp:effectExtent l="0" t="0" r="0" b="0"/>
            <wp:docPr id="2083" name="image1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 name="image1069.png"/>
                    <pic:cNvPicPr/>
                  </pic:nvPicPr>
                  <pic:blipFill>
                    <a:blip r:embed="rId1372" cstate="print"/>
                    <a:stretch>
                      <a:fillRect/>
                    </a:stretch>
                  </pic:blipFill>
                  <pic:spPr>
                    <a:xfrm>
                      <a:off x="0" y="0"/>
                      <a:ext cx="332231" cy="109727"/>
                    </a:xfrm>
                    <a:prstGeom prst="rect">
                      <a:avLst/>
                    </a:prstGeom>
                  </pic:spPr>
                </pic:pic>
              </a:graphicData>
            </a:graphic>
          </wp:inline>
        </w:drawing>
      </w:r>
      <w:r>
        <w:rPr>
          <w:rFonts w:ascii="Times New Roman" w:hAnsi="Times New Roman"/>
          <w:spacing w:val="80"/>
          <w:position w:val="1"/>
          <w:sz w:val="20"/>
        </w:rPr>
        <w:t xml:space="preserve"> </w:t>
      </w:r>
      <w:r>
        <w:rPr>
          <w:position w:val="1"/>
        </w:rPr>
        <w:t xml:space="preserve">For the foregoing reasons, China acted inconsistently with Article 6.9 by failing to </w:t>
      </w:r>
      <w:r>
        <w:t>inform</w:t>
      </w:r>
      <w:r>
        <w:rPr>
          <w:spacing w:val="-1"/>
        </w:rPr>
        <w:t xml:space="preserve"> </w:t>
      </w:r>
      <w:r>
        <w:t>interested</w:t>
      </w:r>
      <w:r>
        <w:rPr>
          <w:spacing w:val="-1"/>
        </w:rPr>
        <w:t xml:space="preserve"> </w:t>
      </w:r>
      <w:r>
        <w:t>parties</w:t>
      </w:r>
      <w:r>
        <w:rPr>
          <w:spacing w:val="-1"/>
        </w:rPr>
        <w:t xml:space="preserve"> </w:t>
      </w:r>
      <w:r>
        <w:t>of</w:t>
      </w:r>
      <w:r>
        <w:rPr>
          <w:spacing w:val="-1"/>
        </w:rPr>
        <w:t xml:space="preserve"> </w:t>
      </w:r>
      <w:r>
        <w:t>all</w:t>
      </w:r>
      <w:r>
        <w:rPr>
          <w:spacing w:val="-1"/>
        </w:rPr>
        <w:t xml:space="preserve"> </w:t>
      </w:r>
      <w:r>
        <w:t>the</w:t>
      </w:r>
      <w:r>
        <w:rPr>
          <w:spacing w:val="-1"/>
        </w:rPr>
        <w:t xml:space="preserve"> </w:t>
      </w:r>
      <w:r>
        <w:t>essential</w:t>
      </w:r>
      <w:r>
        <w:rPr>
          <w:spacing w:val="-2"/>
        </w:rPr>
        <w:t xml:space="preserve"> </w:t>
      </w:r>
      <w:r>
        <w:t>facts</w:t>
      </w:r>
      <w:r>
        <w:rPr>
          <w:spacing w:val="-1"/>
        </w:rPr>
        <w:t xml:space="preserve"> </w:t>
      </w:r>
      <w:r>
        <w:t>under</w:t>
      </w:r>
      <w:r>
        <w:rPr>
          <w:spacing w:val="-1"/>
        </w:rPr>
        <w:t xml:space="preserve"> </w:t>
      </w:r>
      <w:r>
        <w:t>consideration</w:t>
      </w:r>
      <w:r>
        <w:rPr>
          <w:spacing w:val="-1"/>
        </w:rPr>
        <w:t xml:space="preserve"> </w:t>
      </w:r>
      <w:r>
        <w:t>relating</w:t>
      </w:r>
      <w:r>
        <w:rPr>
          <w:spacing w:val="-1"/>
        </w:rPr>
        <w:t xml:space="preserve"> </w:t>
      </w:r>
      <w:r>
        <w:t>to</w:t>
      </w:r>
      <w:r>
        <w:rPr>
          <w:spacing w:val="-1"/>
        </w:rPr>
        <w:t xml:space="preserve"> </w:t>
      </w:r>
      <w:r>
        <w:t>MOFCOM's decision to impose definitive anti‐dumping duties on Australian bottled wine.</w:t>
      </w:r>
    </w:p>
    <w:p w14:paraId="51DE9B8E" w14:textId="77777777" w:rsidR="0010369C" w:rsidRDefault="0010369C">
      <w:pPr>
        <w:pStyle w:val="BodyText"/>
        <w:rPr>
          <w:sz w:val="20"/>
        </w:rPr>
      </w:pPr>
    </w:p>
    <w:p w14:paraId="51DE9B8F" w14:textId="77777777" w:rsidR="0010369C" w:rsidRDefault="0010369C">
      <w:pPr>
        <w:pStyle w:val="BodyText"/>
        <w:rPr>
          <w:sz w:val="20"/>
        </w:rPr>
      </w:pPr>
    </w:p>
    <w:p w14:paraId="51DE9B90" w14:textId="77777777" w:rsidR="0010369C" w:rsidRDefault="0010369C">
      <w:pPr>
        <w:pStyle w:val="BodyText"/>
        <w:rPr>
          <w:sz w:val="20"/>
        </w:rPr>
      </w:pPr>
    </w:p>
    <w:p w14:paraId="51DE9B91" w14:textId="77777777" w:rsidR="0010369C" w:rsidRDefault="008E43AE">
      <w:pPr>
        <w:pStyle w:val="BodyText"/>
        <w:spacing w:before="4"/>
        <w:rPr>
          <w:sz w:val="19"/>
        </w:rPr>
      </w:pPr>
      <w:r>
        <w:pict w14:anchorId="51DEA91E">
          <v:rect id="docshape1453" o:spid="_x0000_s1063" style="position:absolute;margin-left:70.9pt;margin-top:13pt;width:2in;height:.8pt;z-index:-250672640;mso-wrap-distance-left:0;mso-wrap-distance-right:0;mso-position-horizontal-relative:page" fillcolor="black" stroked="f">
            <w10:wrap type="topAndBottom" anchorx="page"/>
          </v:rect>
        </w:pict>
      </w:r>
    </w:p>
    <w:p w14:paraId="51DE9B92" w14:textId="77777777" w:rsidR="0010369C" w:rsidRDefault="008E43AE">
      <w:pPr>
        <w:spacing w:before="109"/>
        <w:ind w:left="238"/>
        <w:jc w:val="both"/>
        <w:rPr>
          <w:sz w:val="18"/>
        </w:rPr>
      </w:pPr>
      <w:r>
        <w:rPr>
          <w:sz w:val="18"/>
          <w:vertAlign w:val="superscript"/>
        </w:rPr>
        <w:t>1229</w:t>
      </w:r>
      <w:r>
        <w:rPr>
          <w:spacing w:val="-8"/>
          <w:sz w:val="18"/>
        </w:rPr>
        <w:t xml:space="preserve"> </w:t>
      </w:r>
      <w:r>
        <w:rPr>
          <w:sz w:val="18"/>
        </w:rPr>
        <w:t>Anti‐Dumping</w:t>
      </w:r>
      <w:r>
        <w:rPr>
          <w:spacing w:val="-8"/>
          <w:sz w:val="18"/>
        </w:rPr>
        <w:t xml:space="preserve"> </w:t>
      </w:r>
      <w:r>
        <w:rPr>
          <w:sz w:val="18"/>
        </w:rPr>
        <w:t>Final</w:t>
      </w:r>
      <w:r>
        <w:rPr>
          <w:spacing w:val="-8"/>
          <w:sz w:val="18"/>
        </w:rPr>
        <w:t xml:space="preserve"> </w:t>
      </w:r>
      <w:r>
        <w:rPr>
          <w:sz w:val="18"/>
        </w:rPr>
        <w:t>Disclosure</w:t>
      </w:r>
      <w:r>
        <w:rPr>
          <w:spacing w:val="-8"/>
          <w:sz w:val="18"/>
        </w:rPr>
        <w:t xml:space="preserve"> </w:t>
      </w:r>
      <w:r>
        <w:rPr>
          <w:sz w:val="18"/>
        </w:rPr>
        <w:t>(Exhibit</w:t>
      </w:r>
      <w:r>
        <w:rPr>
          <w:spacing w:val="-8"/>
          <w:sz w:val="18"/>
        </w:rPr>
        <w:t xml:space="preserve"> </w:t>
      </w:r>
      <w:r>
        <w:rPr>
          <w:sz w:val="18"/>
        </w:rPr>
        <w:t>AUS‐16),</w:t>
      </w:r>
      <w:r>
        <w:rPr>
          <w:spacing w:val="-9"/>
          <w:sz w:val="18"/>
        </w:rPr>
        <w:t xml:space="preserve"> </w:t>
      </w:r>
      <w:r>
        <w:rPr>
          <w:sz w:val="18"/>
        </w:rPr>
        <w:t>p.</w:t>
      </w:r>
      <w:r>
        <w:rPr>
          <w:spacing w:val="-7"/>
          <w:sz w:val="18"/>
        </w:rPr>
        <w:t xml:space="preserve"> </w:t>
      </w:r>
      <w:r>
        <w:rPr>
          <w:spacing w:val="-5"/>
          <w:sz w:val="18"/>
        </w:rPr>
        <w:t>49.</w:t>
      </w:r>
    </w:p>
    <w:p w14:paraId="51DE9B93" w14:textId="77777777" w:rsidR="0010369C" w:rsidRDefault="0010369C">
      <w:pPr>
        <w:jc w:val="both"/>
        <w:rPr>
          <w:sz w:val="18"/>
        </w:rPr>
        <w:sectPr w:rsidR="0010369C">
          <w:pgSz w:w="11910" w:h="16840"/>
          <w:pgMar w:top="880" w:right="800" w:bottom="980" w:left="1180" w:header="569" w:footer="788" w:gutter="0"/>
          <w:cols w:space="720"/>
        </w:sectPr>
      </w:pPr>
    </w:p>
    <w:p w14:paraId="51DE9B94" w14:textId="77777777" w:rsidR="0010369C" w:rsidRDefault="008E43AE">
      <w:pPr>
        <w:tabs>
          <w:tab w:val="left" w:pos="6426"/>
        </w:tabs>
        <w:ind w:left="238"/>
        <w:rPr>
          <w:sz w:val="20"/>
        </w:rPr>
      </w:pPr>
      <w:r>
        <w:rPr>
          <w:i/>
          <w:sz w:val="20"/>
        </w:rPr>
        <w:lastRenderedPageBreak/>
        <w:t>China</w:t>
      </w:r>
      <w:r>
        <w:rPr>
          <w:i/>
          <w:spacing w:val="-5"/>
          <w:sz w:val="20"/>
        </w:rPr>
        <w:t xml:space="preserve"> </w:t>
      </w:r>
      <w:r>
        <w:rPr>
          <w:i/>
          <w:sz w:val="20"/>
        </w:rPr>
        <w:t>–</w:t>
      </w:r>
      <w:r>
        <w:rPr>
          <w:i/>
          <w:spacing w:val="-5"/>
          <w:sz w:val="20"/>
        </w:rPr>
        <w:t xml:space="preserve"> </w:t>
      </w:r>
      <w:r>
        <w:rPr>
          <w:i/>
          <w:sz w:val="20"/>
        </w:rPr>
        <w:t>Anti‐Dumping</w:t>
      </w:r>
      <w:r>
        <w:rPr>
          <w:i/>
          <w:spacing w:val="-4"/>
          <w:sz w:val="20"/>
        </w:rPr>
        <w:t xml:space="preserve"> </w:t>
      </w:r>
      <w:r>
        <w:rPr>
          <w:i/>
          <w:sz w:val="20"/>
        </w:rPr>
        <w:t>and</w:t>
      </w:r>
      <w:r>
        <w:rPr>
          <w:i/>
          <w:spacing w:val="-5"/>
          <w:sz w:val="20"/>
        </w:rPr>
        <w:t xml:space="preserve"> </w:t>
      </w:r>
      <w:r>
        <w:rPr>
          <w:i/>
          <w:sz w:val="20"/>
        </w:rPr>
        <w:t>Countervailing</w:t>
      </w:r>
      <w:r>
        <w:rPr>
          <w:i/>
          <w:spacing w:val="-5"/>
          <w:sz w:val="20"/>
        </w:rPr>
        <w:t xml:space="preserve"> </w:t>
      </w:r>
      <w:r>
        <w:rPr>
          <w:i/>
          <w:sz w:val="20"/>
        </w:rPr>
        <w:t>Duty</w:t>
      </w:r>
      <w:r>
        <w:rPr>
          <w:i/>
          <w:spacing w:val="-4"/>
          <w:sz w:val="20"/>
        </w:rPr>
        <w:t xml:space="preserve"> </w:t>
      </w:r>
      <w:r>
        <w:rPr>
          <w:i/>
          <w:spacing w:val="-2"/>
          <w:sz w:val="20"/>
        </w:rPr>
        <w:t>Measures</w:t>
      </w:r>
      <w:r>
        <w:rPr>
          <w:i/>
          <w:sz w:val="20"/>
        </w:rPr>
        <w:tab/>
      </w:r>
      <w:r>
        <w:rPr>
          <w:sz w:val="20"/>
        </w:rPr>
        <w:t>Australia's</w:t>
      </w:r>
      <w:r>
        <w:rPr>
          <w:spacing w:val="-7"/>
          <w:sz w:val="20"/>
        </w:rPr>
        <w:t xml:space="preserve"> </w:t>
      </w:r>
      <w:r>
        <w:rPr>
          <w:sz w:val="20"/>
        </w:rPr>
        <w:t>First</w:t>
      </w:r>
      <w:r>
        <w:rPr>
          <w:spacing w:val="-2"/>
          <w:sz w:val="20"/>
        </w:rPr>
        <w:t xml:space="preserve"> </w:t>
      </w:r>
      <w:r>
        <w:rPr>
          <w:sz w:val="20"/>
        </w:rPr>
        <w:t>Written</w:t>
      </w:r>
      <w:r>
        <w:rPr>
          <w:spacing w:val="-2"/>
          <w:sz w:val="20"/>
        </w:rPr>
        <w:t xml:space="preserve"> Submission</w:t>
      </w:r>
    </w:p>
    <w:p w14:paraId="51DE9B95" w14:textId="77777777" w:rsidR="0010369C" w:rsidRDefault="008E43AE">
      <w:pPr>
        <w:tabs>
          <w:tab w:val="left" w:pos="8228"/>
        </w:tabs>
        <w:spacing w:before="1"/>
        <w:ind w:left="239"/>
        <w:rPr>
          <w:sz w:val="20"/>
        </w:rPr>
      </w:pPr>
      <w:r>
        <w:rPr>
          <w:i/>
          <w:sz w:val="20"/>
        </w:rPr>
        <w:t>on</w:t>
      </w:r>
      <w:r>
        <w:rPr>
          <w:i/>
          <w:spacing w:val="-1"/>
          <w:sz w:val="20"/>
        </w:rPr>
        <w:t xml:space="preserve"> </w:t>
      </w:r>
      <w:r>
        <w:rPr>
          <w:i/>
          <w:sz w:val="20"/>
        </w:rPr>
        <w:t>Wine</w:t>
      </w:r>
      <w:r>
        <w:rPr>
          <w:i/>
          <w:spacing w:val="-1"/>
          <w:sz w:val="20"/>
        </w:rPr>
        <w:t xml:space="preserve"> </w:t>
      </w:r>
      <w:r>
        <w:rPr>
          <w:i/>
          <w:sz w:val="20"/>
        </w:rPr>
        <w:t>from</w:t>
      </w:r>
      <w:r>
        <w:rPr>
          <w:i/>
          <w:spacing w:val="-3"/>
          <w:sz w:val="20"/>
        </w:rPr>
        <w:t xml:space="preserve"> </w:t>
      </w:r>
      <w:r>
        <w:rPr>
          <w:i/>
          <w:sz w:val="20"/>
        </w:rPr>
        <w:t>Australia</w:t>
      </w:r>
      <w:r>
        <w:rPr>
          <w:i/>
          <w:spacing w:val="-1"/>
          <w:sz w:val="20"/>
        </w:rPr>
        <w:t xml:space="preserve"> </w:t>
      </w:r>
      <w:r>
        <w:rPr>
          <w:spacing w:val="-2"/>
          <w:sz w:val="20"/>
        </w:rPr>
        <w:t>(DS602)</w:t>
      </w:r>
      <w:r>
        <w:rPr>
          <w:sz w:val="20"/>
        </w:rPr>
        <w:tab/>
        <w:t>29</w:t>
      </w:r>
      <w:r>
        <w:rPr>
          <w:spacing w:val="-1"/>
          <w:sz w:val="20"/>
        </w:rPr>
        <w:t xml:space="preserve"> </w:t>
      </w:r>
      <w:r>
        <w:rPr>
          <w:sz w:val="20"/>
        </w:rPr>
        <w:t>April</w:t>
      </w:r>
      <w:r>
        <w:rPr>
          <w:spacing w:val="-2"/>
          <w:sz w:val="20"/>
        </w:rPr>
        <w:t xml:space="preserve"> </w:t>
      </w:r>
      <w:r>
        <w:rPr>
          <w:spacing w:val="-4"/>
          <w:sz w:val="20"/>
        </w:rPr>
        <w:t>2022</w:t>
      </w:r>
    </w:p>
    <w:p w14:paraId="51DE9B96" w14:textId="77777777" w:rsidR="0010369C" w:rsidRDefault="008E43AE">
      <w:pPr>
        <w:pStyle w:val="ListParagraph"/>
        <w:numPr>
          <w:ilvl w:val="1"/>
          <w:numId w:val="75"/>
        </w:numPr>
        <w:tabs>
          <w:tab w:val="left" w:pos="1941"/>
        </w:tabs>
        <w:spacing w:before="35" w:line="360" w:lineRule="auto"/>
        <w:ind w:left="1939" w:right="614"/>
        <w:jc w:val="both"/>
        <w:rPr>
          <w:b/>
          <w:sz w:val="28"/>
        </w:rPr>
      </w:pPr>
      <w:r>
        <w:rPr>
          <w:b/>
          <w:sz w:val="28"/>
        </w:rPr>
        <w:t>MOFCOM'</w:t>
      </w:r>
      <w:r>
        <w:rPr>
          <w:b/>
        </w:rPr>
        <w:t>S PUBLIC NOTICE OF INITIATION FAILED TO CONTAIN ADEQUATE INFORMATION</w:t>
      </w:r>
      <w:r>
        <w:rPr>
          <w:b/>
          <w:spacing w:val="-13"/>
        </w:rPr>
        <w:t xml:space="preserve"> </w:t>
      </w:r>
      <w:r>
        <w:rPr>
          <w:b/>
        </w:rPr>
        <w:t>IN</w:t>
      </w:r>
      <w:r>
        <w:rPr>
          <w:b/>
          <w:spacing w:val="-12"/>
        </w:rPr>
        <w:t xml:space="preserve"> </w:t>
      </w:r>
      <w:r>
        <w:rPr>
          <w:b/>
        </w:rPr>
        <w:t>BREACH</w:t>
      </w:r>
      <w:r>
        <w:rPr>
          <w:b/>
          <w:spacing w:val="-13"/>
        </w:rPr>
        <w:t xml:space="preserve"> </w:t>
      </w:r>
      <w:r>
        <w:rPr>
          <w:b/>
        </w:rPr>
        <w:t>OF</w:t>
      </w:r>
      <w:r>
        <w:rPr>
          <w:b/>
          <w:spacing w:val="-12"/>
        </w:rPr>
        <w:t xml:space="preserve"> </w:t>
      </w:r>
      <w:r>
        <w:rPr>
          <w:b/>
          <w:sz w:val="28"/>
        </w:rPr>
        <w:t>C</w:t>
      </w:r>
      <w:r>
        <w:rPr>
          <w:b/>
        </w:rPr>
        <w:t>HINA</w:t>
      </w:r>
      <w:r>
        <w:rPr>
          <w:b/>
          <w:sz w:val="28"/>
        </w:rPr>
        <w:t>'</w:t>
      </w:r>
      <w:r>
        <w:rPr>
          <w:b/>
        </w:rPr>
        <w:t>S</w:t>
      </w:r>
      <w:r>
        <w:rPr>
          <w:b/>
          <w:spacing w:val="-13"/>
        </w:rPr>
        <w:t xml:space="preserve"> </w:t>
      </w:r>
      <w:r>
        <w:rPr>
          <w:b/>
        </w:rPr>
        <w:t>OBLIGATIONS</w:t>
      </w:r>
      <w:r>
        <w:rPr>
          <w:b/>
          <w:spacing w:val="-12"/>
        </w:rPr>
        <w:t xml:space="preserve"> </w:t>
      </w:r>
      <w:r>
        <w:rPr>
          <w:b/>
        </w:rPr>
        <w:t>UNDER</w:t>
      </w:r>
      <w:r>
        <w:rPr>
          <w:b/>
          <w:spacing w:val="-13"/>
        </w:rPr>
        <w:t xml:space="preserve"> </w:t>
      </w:r>
      <w:r>
        <w:rPr>
          <w:b/>
          <w:sz w:val="28"/>
        </w:rPr>
        <w:t>A</w:t>
      </w:r>
      <w:r>
        <w:rPr>
          <w:b/>
        </w:rPr>
        <w:t>RTICLE</w:t>
      </w:r>
      <w:r>
        <w:rPr>
          <w:b/>
          <w:spacing w:val="-12"/>
        </w:rPr>
        <w:t xml:space="preserve"> </w:t>
      </w:r>
      <w:r>
        <w:rPr>
          <w:b/>
          <w:sz w:val="28"/>
        </w:rPr>
        <w:t>12.1.1</w:t>
      </w:r>
      <w:r>
        <w:rPr>
          <w:b/>
          <w:spacing w:val="-16"/>
          <w:sz w:val="28"/>
        </w:rPr>
        <w:t xml:space="preserve"> </w:t>
      </w:r>
      <w:r>
        <w:rPr>
          <w:b/>
        </w:rPr>
        <w:t xml:space="preserve">OF THE </w:t>
      </w:r>
      <w:r>
        <w:rPr>
          <w:b/>
          <w:sz w:val="28"/>
        </w:rPr>
        <w:t>A</w:t>
      </w:r>
      <w:r>
        <w:rPr>
          <w:b/>
        </w:rPr>
        <w:t>NTI</w:t>
      </w:r>
      <w:r>
        <w:rPr>
          <w:b/>
          <w:sz w:val="28"/>
        </w:rPr>
        <w:t>‐D</w:t>
      </w:r>
      <w:r>
        <w:rPr>
          <w:b/>
        </w:rPr>
        <w:t xml:space="preserve">UMPING </w:t>
      </w:r>
      <w:r>
        <w:rPr>
          <w:b/>
          <w:sz w:val="28"/>
        </w:rPr>
        <w:t>A</w:t>
      </w:r>
      <w:r>
        <w:rPr>
          <w:b/>
        </w:rPr>
        <w:t>GREEMENT</w:t>
      </w:r>
    </w:p>
    <w:p w14:paraId="51DE9B97" w14:textId="77777777" w:rsidR="0010369C" w:rsidRDefault="0010369C">
      <w:pPr>
        <w:pStyle w:val="BodyText"/>
        <w:spacing w:before="10"/>
        <w:rPr>
          <w:b/>
          <w:sz w:val="8"/>
        </w:rPr>
      </w:pPr>
    </w:p>
    <w:p w14:paraId="51DE9B98" w14:textId="77777777" w:rsidR="0010369C" w:rsidRDefault="008E43AE">
      <w:pPr>
        <w:pStyle w:val="BodyText"/>
        <w:spacing w:before="52" w:line="360" w:lineRule="auto"/>
        <w:ind w:left="237" w:right="612" w:firstLine="12"/>
        <w:jc w:val="both"/>
      </w:pPr>
      <w:r>
        <w:rPr>
          <w:noProof/>
        </w:rPr>
        <w:drawing>
          <wp:inline distT="0" distB="0" distL="0" distR="0" wp14:anchorId="51DEA91F" wp14:editId="51DEA920">
            <wp:extent cx="332231" cy="109727"/>
            <wp:effectExtent l="0" t="0" r="0" b="0"/>
            <wp:docPr id="2085" name="image10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 name="image1070.png"/>
                    <pic:cNvPicPr/>
                  </pic:nvPicPr>
                  <pic:blipFill>
                    <a:blip r:embed="rId1373" cstate="print"/>
                    <a:stretch>
                      <a:fillRect/>
                    </a:stretch>
                  </pic:blipFill>
                  <pic:spPr>
                    <a:xfrm>
                      <a:off x="0" y="0"/>
                      <a:ext cx="332231" cy="109727"/>
                    </a:xfrm>
                    <a:prstGeom prst="rect">
                      <a:avLst/>
                    </a:prstGeom>
                  </pic:spPr>
                </pic:pic>
              </a:graphicData>
            </a:graphic>
          </wp:inline>
        </w:drawing>
      </w:r>
      <w:r>
        <w:rPr>
          <w:rFonts w:ascii="Times New Roman" w:hAnsi="Times New Roman"/>
          <w:spacing w:val="40"/>
          <w:position w:val="1"/>
          <w:sz w:val="20"/>
        </w:rPr>
        <w:t xml:space="preserve">  </w:t>
      </w:r>
      <w:r>
        <w:rPr>
          <w:position w:val="1"/>
        </w:rPr>
        <w:t>The public notice of initiation iss</w:t>
      </w:r>
      <w:r>
        <w:rPr>
          <w:position w:val="1"/>
        </w:rPr>
        <w:t xml:space="preserve">ued by MOFCOM did not meet the requirements of </w:t>
      </w:r>
      <w:r>
        <w:t>Article 12.1.1(iv) of the Anti‐Dumping Agreement because it failed to provide "a summary of the factors on which the allegation of injury is based".</w:t>
      </w:r>
    </w:p>
    <w:p w14:paraId="51DE9B99" w14:textId="77777777" w:rsidR="0010369C" w:rsidRDefault="008E43AE">
      <w:pPr>
        <w:pStyle w:val="Heading4"/>
        <w:numPr>
          <w:ilvl w:val="2"/>
          <w:numId w:val="75"/>
        </w:numPr>
        <w:tabs>
          <w:tab w:val="left" w:pos="2648"/>
          <w:tab w:val="left" w:pos="2649"/>
        </w:tabs>
        <w:ind w:hanging="852"/>
        <w:jc w:val="both"/>
      </w:pPr>
      <w:r>
        <w:t>Legal</w:t>
      </w:r>
      <w:r>
        <w:rPr>
          <w:spacing w:val="-7"/>
        </w:rPr>
        <w:t xml:space="preserve"> </w:t>
      </w:r>
      <w:r>
        <w:rPr>
          <w:spacing w:val="-2"/>
        </w:rPr>
        <w:t>framework</w:t>
      </w:r>
    </w:p>
    <w:p w14:paraId="51DE9B9A" w14:textId="77777777" w:rsidR="0010369C" w:rsidRDefault="0010369C">
      <w:pPr>
        <w:pStyle w:val="BodyText"/>
        <w:spacing w:before="10"/>
        <w:rPr>
          <w:b/>
          <w:sz w:val="20"/>
        </w:rPr>
      </w:pPr>
    </w:p>
    <w:p w14:paraId="51DE9B9B" w14:textId="77777777" w:rsidR="0010369C" w:rsidRDefault="008E43AE">
      <w:pPr>
        <w:pStyle w:val="BodyText"/>
        <w:spacing w:before="52"/>
        <w:ind w:left="250"/>
      </w:pPr>
      <w:r>
        <w:rPr>
          <w:noProof/>
        </w:rPr>
        <w:drawing>
          <wp:inline distT="0" distB="0" distL="0" distR="0" wp14:anchorId="51DEA921" wp14:editId="51DEA922">
            <wp:extent cx="332231" cy="109727"/>
            <wp:effectExtent l="0" t="0" r="0" b="0"/>
            <wp:docPr id="2087" name="image10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 name="image1071.png"/>
                    <pic:cNvPicPr/>
                  </pic:nvPicPr>
                  <pic:blipFill>
                    <a:blip r:embed="rId1374" cstate="print"/>
                    <a:stretch>
                      <a:fillRect/>
                    </a:stretch>
                  </pic:blipFill>
                  <pic:spPr>
                    <a:xfrm>
                      <a:off x="0" y="0"/>
                      <a:ext cx="332231" cy="109727"/>
                    </a:xfrm>
                    <a:prstGeom prst="rect">
                      <a:avLst/>
                    </a:prstGeom>
                  </pic:spPr>
                </pic:pic>
              </a:graphicData>
            </a:graphic>
          </wp:inline>
        </w:drawing>
      </w:r>
      <w:r>
        <w:rPr>
          <w:rFonts w:ascii="Times New Roman"/>
          <w:spacing w:val="80"/>
          <w:position w:val="1"/>
          <w:sz w:val="20"/>
        </w:rPr>
        <w:t xml:space="preserve">  </w:t>
      </w:r>
      <w:r>
        <w:rPr>
          <w:position w:val="1"/>
        </w:rPr>
        <w:t>Article 12.1 provides that:</w:t>
      </w:r>
    </w:p>
    <w:p w14:paraId="51DE9B9C" w14:textId="77777777" w:rsidR="0010369C" w:rsidRDefault="0010369C">
      <w:pPr>
        <w:pStyle w:val="BodyText"/>
        <w:spacing w:before="1"/>
        <w:rPr>
          <w:sz w:val="25"/>
        </w:rPr>
      </w:pPr>
    </w:p>
    <w:p w14:paraId="51DE9B9D" w14:textId="77777777" w:rsidR="0010369C" w:rsidRDefault="008E43AE">
      <w:pPr>
        <w:spacing w:line="276" w:lineRule="auto"/>
        <w:ind w:left="1089" w:right="612"/>
        <w:jc w:val="both"/>
      </w:pPr>
      <w:r>
        <w:t>When the</w:t>
      </w:r>
      <w:r>
        <w:rPr>
          <w:spacing w:val="-1"/>
        </w:rPr>
        <w:t xml:space="preserve"> </w:t>
      </w:r>
      <w:r>
        <w:t>authorities are satisfied that there is sufficient evidence to justify the initiation of an anti‐dumping investigation pursuant to Article 5, the Member or Members the products of which are subject to such investigatio</w:t>
      </w:r>
      <w:r>
        <w:t>n and other interested parties known to the investigating</w:t>
      </w:r>
      <w:r>
        <w:rPr>
          <w:spacing w:val="-5"/>
        </w:rPr>
        <w:t xml:space="preserve"> </w:t>
      </w:r>
      <w:r>
        <w:t>authorities</w:t>
      </w:r>
      <w:r>
        <w:rPr>
          <w:spacing w:val="-6"/>
        </w:rPr>
        <w:t xml:space="preserve"> </w:t>
      </w:r>
      <w:r>
        <w:t>to</w:t>
      </w:r>
      <w:r>
        <w:rPr>
          <w:spacing w:val="-7"/>
        </w:rPr>
        <w:t xml:space="preserve"> </w:t>
      </w:r>
      <w:r>
        <w:t>have</w:t>
      </w:r>
      <w:r>
        <w:rPr>
          <w:spacing w:val="-7"/>
        </w:rPr>
        <w:t xml:space="preserve"> </w:t>
      </w:r>
      <w:r>
        <w:t>an</w:t>
      </w:r>
      <w:r>
        <w:rPr>
          <w:spacing w:val="-8"/>
        </w:rPr>
        <w:t xml:space="preserve"> </w:t>
      </w:r>
      <w:r>
        <w:t>interest</w:t>
      </w:r>
      <w:r>
        <w:rPr>
          <w:spacing w:val="-8"/>
        </w:rPr>
        <w:t xml:space="preserve"> </w:t>
      </w:r>
      <w:r>
        <w:t>therein</w:t>
      </w:r>
      <w:r>
        <w:rPr>
          <w:spacing w:val="-8"/>
        </w:rPr>
        <w:t xml:space="preserve"> </w:t>
      </w:r>
      <w:r>
        <w:t>shall</w:t>
      </w:r>
      <w:r>
        <w:rPr>
          <w:spacing w:val="-7"/>
        </w:rPr>
        <w:t xml:space="preserve"> </w:t>
      </w:r>
      <w:r>
        <w:t>be</w:t>
      </w:r>
      <w:r>
        <w:rPr>
          <w:spacing w:val="-8"/>
        </w:rPr>
        <w:t xml:space="preserve"> </w:t>
      </w:r>
      <w:r>
        <w:t>notified</w:t>
      </w:r>
      <w:r>
        <w:rPr>
          <w:spacing w:val="-6"/>
        </w:rPr>
        <w:t xml:space="preserve"> </w:t>
      </w:r>
      <w:r>
        <w:t>and</w:t>
      </w:r>
      <w:r>
        <w:rPr>
          <w:spacing w:val="-8"/>
        </w:rPr>
        <w:t xml:space="preserve"> </w:t>
      </w:r>
      <w:r>
        <w:t>a</w:t>
      </w:r>
      <w:r>
        <w:rPr>
          <w:spacing w:val="-7"/>
        </w:rPr>
        <w:t xml:space="preserve"> </w:t>
      </w:r>
      <w:r>
        <w:t>public</w:t>
      </w:r>
      <w:r>
        <w:rPr>
          <w:spacing w:val="-5"/>
        </w:rPr>
        <w:t xml:space="preserve"> </w:t>
      </w:r>
      <w:r>
        <w:t>notice</w:t>
      </w:r>
      <w:r>
        <w:rPr>
          <w:spacing w:val="-7"/>
        </w:rPr>
        <w:t xml:space="preserve"> </w:t>
      </w:r>
      <w:r>
        <w:t>shall be given.</w:t>
      </w:r>
    </w:p>
    <w:p w14:paraId="51DE9B9E" w14:textId="77777777" w:rsidR="0010369C" w:rsidRDefault="0010369C">
      <w:pPr>
        <w:pStyle w:val="BodyText"/>
        <w:spacing w:before="10"/>
        <w:rPr>
          <w:sz w:val="8"/>
        </w:rPr>
      </w:pPr>
    </w:p>
    <w:p w14:paraId="51DE9B9F" w14:textId="77777777" w:rsidR="0010369C" w:rsidRDefault="008E43AE">
      <w:pPr>
        <w:pStyle w:val="BodyText"/>
        <w:spacing w:before="51" w:line="360" w:lineRule="auto"/>
        <w:ind w:left="237" w:right="613" w:firstLine="851"/>
        <w:jc w:val="both"/>
      </w:pPr>
      <w:r>
        <w:rPr>
          <w:noProof/>
        </w:rPr>
        <w:drawing>
          <wp:anchor distT="0" distB="0" distL="0" distR="0" simplePos="0" relativeHeight="251635200" behindDoc="1" locked="0" layoutInCell="1" allowOverlap="1" wp14:anchorId="51DEA923" wp14:editId="51DEA924">
            <wp:simplePos x="0" y="0"/>
            <wp:positionH relativeFrom="page">
              <wp:posOffset>908303</wp:posOffset>
            </wp:positionH>
            <wp:positionV relativeFrom="paragraph">
              <wp:posOffset>75388</wp:posOffset>
            </wp:positionV>
            <wp:extent cx="332231" cy="106679"/>
            <wp:effectExtent l="0" t="0" r="0" b="0"/>
            <wp:wrapNone/>
            <wp:docPr id="2089" name="image10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 name="image1072.png"/>
                    <pic:cNvPicPr/>
                  </pic:nvPicPr>
                  <pic:blipFill>
                    <a:blip r:embed="rId1375" cstate="print"/>
                    <a:stretch>
                      <a:fillRect/>
                    </a:stretch>
                  </pic:blipFill>
                  <pic:spPr>
                    <a:xfrm>
                      <a:off x="0" y="0"/>
                      <a:ext cx="332231" cy="106679"/>
                    </a:xfrm>
                    <a:prstGeom prst="rect">
                      <a:avLst/>
                    </a:prstGeom>
                  </pic:spPr>
                </pic:pic>
              </a:graphicData>
            </a:graphic>
          </wp:anchor>
        </w:drawing>
      </w:r>
      <w:r>
        <w:t>Pursuant to Article 12.1.1, this notice must contain, or otherwise make available through a separate r</w:t>
      </w:r>
      <w:r>
        <w:t>eport, "adequate information", including "(iv) a summary of the factors on which the allegation of injury is based".</w:t>
      </w:r>
    </w:p>
    <w:p w14:paraId="51DE9BA0" w14:textId="77777777" w:rsidR="0010369C" w:rsidRDefault="008E43AE">
      <w:pPr>
        <w:pStyle w:val="Heading4"/>
        <w:numPr>
          <w:ilvl w:val="2"/>
          <w:numId w:val="75"/>
        </w:numPr>
        <w:tabs>
          <w:tab w:val="left" w:pos="2648"/>
          <w:tab w:val="left" w:pos="2649"/>
        </w:tabs>
        <w:spacing w:before="160" w:line="360" w:lineRule="auto"/>
        <w:ind w:left="2647" w:right="614"/>
        <w:jc w:val="both"/>
      </w:pPr>
      <w:r>
        <w:t>MOFCOM's Public Notice of Initiation failed to contain a summary of the factors on which the allegation of injury was based</w:t>
      </w:r>
    </w:p>
    <w:p w14:paraId="51DE9BA1" w14:textId="77777777" w:rsidR="0010369C" w:rsidRDefault="0010369C">
      <w:pPr>
        <w:pStyle w:val="BodyText"/>
        <w:spacing w:before="11"/>
        <w:rPr>
          <w:b/>
          <w:sz w:val="8"/>
        </w:rPr>
      </w:pPr>
    </w:p>
    <w:p w14:paraId="51DE9BA2" w14:textId="77777777" w:rsidR="0010369C" w:rsidRDefault="008E43AE">
      <w:pPr>
        <w:pStyle w:val="BodyText"/>
        <w:spacing w:before="52" w:line="360" w:lineRule="auto"/>
        <w:ind w:left="237" w:right="614" w:firstLine="852"/>
        <w:jc w:val="both"/>
      </w:pPr>
      <w:r>
        <w:rPr>
          <w:noProof/>
        </w:rPr>
        <w:drawing>
          <wp:anchor distT="0" distB="0" distL="0" distR="0" simplePos="0" relativeHeight="251636224" behindDoc="1" locked="0" layoutInCell="1" allowOverlap="1" wp14:anchorId="51DEA925" wp14:editId="51DEA926">
            <wp:simplePos x="0" y="0"/>
            <wp:positionH relativeFrom="page">
              <wp:posOffset>908303</wp:posOffset>
            </wp:positionH>
            <wp:positionV relativeFrom="paragraph">
              <wp:posOffset>80595</wp:posOffset>
            </wp:positionV>
            <wp:extent cx="332231" cy="103631"/>
            <wp:effectExtent l="0" t="0" r="0" b="0"/>
            <wp:wrapNone/>
            <wp:docPr id="2091" name="image10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 name="image1073.png"/>
                    <pic:cNvPicPr/>
                  </pic:nvPicPr>
                  <pic:blipFill>
                    <a:blip r:embed="rId1376" cstate="print"/>
                    <a:stretch>
                      <a:fillRect/>
                    </a:stretch>
                  </pic:blipFill>
                  <pic:spPr>
                    <a:xfrm>
                      <a:off x="0" y="0"/>
                      <a:ext cx="332231" cy="103631"/>
                    </a:xfrm>
                    <a:prstGeom prst="rect">
                      <a:avLst/>
                    </a:prstGeom>
                  </pic:spPr>
                </pic:pic>
              </a:graphicData>
            </a:graphic>
          </wp:anchor>
        </w:drawing>
      </w:r>
      <w:r>
        <w:t>On 18</w:t>
      </w:r>
      <w:r>
        <w:rPr>
          <w:spacing w:val="-2"/>
        </w:rPr>
        <w:t xml:space="preserve"> </w:t>
      </w:r>
      <w:r>
        <w:t>August</w:t>
      </w:r>
      <w:r>
        <w:rPr>
          <w:spacing w:val="-3"/>
        </w:rPr>
        <w:t xml:space="preserve"> </w:t>
      </w:r>
      <w:r>
        <w:t>2020, MOFCOM issued a public notice regarding the initiation of an anti‐dumping investigation into wine imported from Australia through an announcement on its website, which included the non‐confidential versions of CADA's written application, and the anne</w:t>
      </w:r>
      <w:r>
        <w:t>xes to that application.</w:t>
      </w:r>
      <w:r>
        <w:rPr>
          <w:vertAlign w:val="superscript"/>
        </w:rPr>
        <w:t>1230</w:t>
      </w:r>
    </w:p>
    <w:p w14:paraId="51DE9BA3" w14:textId="77777777" w:rsidR="0010369C" w:rsidRDefault="0010369C">
      <w:pPr>
        <w:pStyle w:val="BodyText"/>
        <w:spacing w:before="10"/>
        <w:rPr>
          <w:sz w:val="8"/>
        </w:rPr>
      </w:pPr>
    </w:p>
    <w:p w14:paraId="51DE9BA4" w14:textId="77777777" w:rsidR="0010369C" w:rsidRDefault="008E43AE">
      <w:pPr>
        <w:pStyle w:val="BodyText"/>
        <w:spacing w:before="52" w:line="360" w:lineRule="auto"/>
        <w:ind w:left="236" w:right="612" w:firstLine="852"/>
        <w:jc w:val="both"/>
      </w:pPr>
      <w:r>
        <w:rPr>
          <w:noProof/>
        </w:rPr>
        <w:drawing>
          <wp:anchor distT="0" distB="0" distL="0" distR="0" simplePos="0" relativeHeight="251637248" behindDoc="1" locked="0" layoutInCell="1" allowOverlap="1" wp14:anchorId="51DEA927" wp14:editId="51DEA928">
            <wp:simplePos x="0" y="0"/>
            <wp:positionH relativeFrom="page">
              <wp:posOffset>908303</wp:posOffset>
            </wp:positionH>
            <wp:positionV relativeFrom="paragraph">
              <wp:posOffset>76023</wp:posOffset>
            </wp:positionV>
            <wp:extent cx="332231" cy="106679"/>
            <wp:effectExtent l="0" t="0" r="0" b="0"/>
            <wp:wrapNone/>
            <wp:docPr id="2093" name="image10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 name="image1074.png"/>
                    <pic:cNvPicPr/>
                  </pic:nvPicPr>
                  <pic:blipFill>
                    <a:blip r:embed="rId1377" cstate="print"/>
                    <a:stretch>
                      <a:fillRect/>
                    </a:stretch>
                  </pic:blipFill>
                  <pic:spPr>
                    <a:xfrm>
                      <a:off x="0" y="0"/>
                      <a:ext cx="332231" cy="106679"/>
                    </a:xfrm>
                    <a:prstGeom prst="rect">
                      <a:avLst/>
                    </a:prstGeom>
                  </pic:spPr>
                </pic:pic>
              </a:graphicData>
            </a:graphic>
          </wp:anchor>
        </w:drawing>
      </w:r>
      <w:r>
        <w:t>The notice did not set forth, or</w:t>
      </w:r>
      <w:r>
        <w:rPr>
          <w:spacing w:val="-1"/>
        </w:rPr>
        <w:t xml:space="preserve"> </w:t>
      </w:r>
      <w:r>
        <w:t>otherwise make</w:t>
      </w:r>
      <w:r>
        <w:rPr>
          <w:spacing w:val="-1"/>
        </w:rPr>
        <w:t xml:space="preserve"> </w:t>
      </w:r>
      <w:r>
        <w:t>available through a separate report, a "summary of the factors on which the allegation of injury is based", as required by Article 12.1.1(iv). In fact, the word "injury" does no</w:t>
      </w:r>
      <w:r>
        <w:t>t appear in the notice at all. The requirement for a "summary" to be provided places a positive duty on MOFCOM to disclose, by way of a summary, the factors on which the allegation of injury is based.</w:t>
      </w:r>
    </w:p>
    <w:p w14:paraId="51DE9BA5" w14:textId="77777777" w:rsidR="0010369C" w:rsidRDefault="008E43AE">
      <w:pPr>
        <w:pStyle w:val="BodyText"/>
        <w:spacing w:before="5"/>
        <w:rPr>
          <w:sz w:val="26"/>
        </w:rPr>
      </w:pPr>
      <w:r>
        <w:pict w14:anchorId="51DEA929">
          <v:rect id="docshape1457" o:spid="_x0000_s1062" style="position:absolute;margin-left:70.9pt;margin-top:17.3pt;width:2in;height:.8pt;z-index:-250671616;mso-wrap-distance-left:0;mso-wrap-distance-right:0;mso-position-horizontal-relative:page" fillcolor="black" stroked="f">
            <w10:wrap type="topAndBottom" anchorx="page"/>
          </v:rect>
        </w:pict>
      </w:r>
    </w:p>
    <w:p w14:paraId="51DE9BA6" w14:textId="77777777" w:rsidR="0010369C" w:rsidRDefault="008E43AE">
      <w:pPr>
        <w:spacing w:before="109" w:line="360" w:lineRule="auto"/>
        <w:ind w:left="237" w:right="611"/>
        <w:rPr>
          <w:sz w:val="18"/>
        </w:rPr>
      </w:pPr>
      <w:r>
        <w:rPr>
          <w:sz w:val="18"/>
          <w:vertAlign w:val="superscript"/>
        </w:rPr>
        <w:t>1230</w:t>
      </w:r>
      <w:r>
        <w:rPr>
          <w:sz w:val="18"/>
        </w:rPr>
        <w:t xml:space="preserve"> Anti‐Dumping</w:t>
      </w:r>
      <w:r>
        <w:rPr>
          <w:spacing w:val="35"/>
          <w:sz w:val="18"/>
        </w:rPr>
        <w:t xml:space="preserve"> </w:t>
      </w:r>
      <w:r>
        <w:rPr>
          <w:sz w:val="18"/>
        </w:rPr>
        <w:t>Final</w:t>
      </w:r>
      <w:r>
        <w:rPr>
          <w:spacing w:val="35"/>
          <w:sz w:val="18"/>
        </w:rPr>
        <w:t xml:space="preserve"> </w:t>
      </w:r>
      <w:r>
        <w:rPr>
          <w:sz w:val="18"/>
        </w:rPr>
        <w:t>Determination</w:t>
      </w:r>
      <w:r>
        <w:rPr>
          <w:spacing w:val="35"/>
          <w:sz w:val="18"/>
        </w:rPr>
        <w:t xml:space="preserve"> </w:t>
      </w:r>
      <w:r>
        <w:rPr>
          <w:sz w:val="18"/>
        </w:rPr>
        <w:t>Announcement</w:t>
      </w:r>
      <w:r>
        <w:rPr>
          <w:spacing w:val="34"/>
          <w:sz w:val="18"/>
        </w:rPr>
        <w:t xml:space="preserve"> </w:t>
      </w:r>
      <w:r>
        <w:rPr>
          <w:sz w:val="18"/>
        </w:rPr>
        <w:t>(Exhibit</w:t>
      </w:r>
      <w:r>
        <w:rPr>
          <w:spacing w:val="36"/>
          <w:sz w:val="18"/>
        </w:rPr>
        <w:t xml:space="preserve"> </w:t>
      </w:r>
      <w:r>
        <w:rPr>
          <w:sz w:val="18"/>
        </w:rPr>
        <w:t>AUS‐1),</w:t>
      </w:r>
      <w:r>
        <w:rPr>
          <w:spacing w:val="35"/>
          <w:sz w:val="18"/>
        </w:rPr>
        <w:t xml:space="preserve"> </w:t>
      </w:r>
      <w:r>
        <w:rPr>
          <w:sz w:val="18"/>
        </w:rPr>
        <w:t>pp.</w:t>
      </w:r>
      <w:r>
        <w:rPr>
          <w:spacing w:val="36"/>
          <w:sz w:val="18"/>
        </w:rPr>
        <w:t xml:space="preserve"> </w:t>
      </w:r>
      <w:r>
        <w:rPr>
          <w:sz w:val="18"/>
        </w:rPr>
        <w:t>1‐3;</w:t>
      </w:r>
      <w:r>
        <w:rPr>
          <w:spacing w:val="34"/>
          <w:sz w:val="18"/>
        </w:rPr>
        <w:t xml:space="preserve"> </w:t>
      </w:r>
      <w:r>
        <w:rPr>
          <w:sz w:val="18"/>
        </w:rPr>
        <w:t>and</w:t>
      </w:r>
      <w:r>
        <w:rPr>
          <w:spacing w:val="36"/>
          <w:sz w:val="18"/>
        </w:rPr>
        <w:t xml:space="preserve"> </w:t>
      </w:r>
      <w:r>
        <w:rPr>
          <w:sz w:val="18"/>
        </w:rPr>
        <w:t>Anti‐Dumping</w:t>
      </w:r>
      <w:r>
        <w:rPr>
          <w:spacing w:val="36"/>
          <w:sz w:val="18"/>
        </w:rPr>
        <w:t xml:space="preserve"> </w:t>
      </w:r>
      <w:r>
        <w:rPr>
          <w:sz w:val="18"/>
        </w:rPr>
        <w:t>Final</w:t>
      </w:r>
      <w:r>
        <w:rPr>
          <w:spacing w:val="35"/>
          <w:sz w:val="18"/>
        </w:rPr>
        <w:t xml:space="preserve"> </w:t>
      </w:r>
      <w:r>
        <w:rPr>
          <w:sz w:val="18"/>
        </w:rPr>
        <w:t>Determination (Exhibit AUS‐2), pp. 1‐149.</w:t>
      </w:r>
    </w:p>
    <w:p w14:paraId="51DE9BA7" w14:textId="77777777" w:rsidR="0010369C" w:rsidRDefault="0010369C">
      <w:pPr>
        <w:spacing w:line="360" w:lineRule="auto"/>
        <w:rPr>
          <w:sz w:val="18"/>
        </w:rPr>
        <w:sectPr w:rsidR="0010369C">
          <w:headerReference w:type="default" r:id="rId1378"/>
          <w:footerReference w:type="default" r:id="rId1379"/>
          <w:pgSz w:w="11910" w:h="16840"/>
          <w:pgMar w:top="880" w:right="800" w:bottom="980" w:left="1180" w:header="569" w:footer="788" w:gutter="0"/>
          <w:cols w:space="720"/>
        </w:sectPr>
      </w:pPr>
    </w:p>
    <w:p w14:paraId="51DE9BA8" w14:textId="77777777" w:rsidR="0010369C" w:rsidRDefault="008E43AE">
      <w:pPr>
        <w:tabs>
          <w:tab w:val="left" w:pos="6425"/>
        </w:tabs>
        <w:ind w:left="238"/>
        <w:rPr>
          <w:sz w:val="20"/>
        </w:rPr>
      </w:pPr>
      <w:r>
        <w:rPr>
          <w:i/>
          <w:sz w:val="20"/>
        </w:rPr>
        <w:lastRenderedPageBreak/>
        <w:t>China</w:t>
      </w:r>
      <w:r>
        <w:rPr>
          <w:i/>
          <w:spacing w:val="-5"/>
          <w:sz w:val="20"/>
        </w:rPr>
        <w:t xml:space="preserve"> </w:t>
      </w:r>
      <w:r>
        <w:rPr>
          <w:i/>
          <w:sz w:val="20"/>
        </w:rPr>
        <w:t>–</w:t>
      </w:r>
      <w:r>
        <w:rPr>
          <w:i/>
          <w:spacing w:val="-5"/>
          <w:sz w:val="20"/>
        </w:rPr>
        <w:t xml:space="preserve"> </w:t>
      </w:r>
      <w:r>
        <w:rPr>
          <w:i/>
          <w:sz w:val="20"/>
        </w:rPr>
        <w:t>Anti‐Dumping</w:t>
      </w:r>
      <w:r>
        <w:rPr>
          <w:i/>
          <w:spacing w:val="-4"/>
          <w:sz w:val="20"/>
        </w:rPr>
        <w:t xml:space="preserve"> </w:t>
      </w:r>
      <w:r>
        <w:rPr>
          <w:i/>
          <w:sz w:val="20"/>
        </w:rPr>
        <w:t>and</w:t>
      </w:r>
      <w:r>
        <w:rPr>
          <w:i/>
          <w:spacing w:val="-5"/>
          <w:sz w:val="20"/>
        </w:rPr>
        <w:t xml:space="preserve"> </w:t>
      </w:r>
      <w:r>
        <w:rPr>
          <w:i/>
          <w:sz w:val="20"/>
        </w:rPr>
        <w:t>Countervailing</w:t>
      </w:r>
      <w:r>
        <w:rPr>
          <w:i/>
          <w:spacing w:val="-5"/>
          <w:sz w:val="20"/>
        </w:rPr>
        <w:t xml:space="preserve"> </w:t>
      </w:r>
      <w:r>
        <w:rPr>
          <w:i/>
          <w:sz w:val="20"/>
        </w:rPr>
        <w:t>Duty</w:t>
      </w:r>
      <w:r>
        <w:rPr>
          <w:i/>
          <w:spacing w:val="-4"/>
          <w:sz w:val="20"/>
        </w:rPr>
        <w:t xml:space="preserve"> </w:t>
      </w:r>
      <w:r>
        <w:rPr>
          <w:i/>
          <w:spacing w:val="-2"/>
          <w:sz w:val="20"/>
        </w:rPr>
        <w:t>Measures</w:t>
      </w:r>
      <w:r>
        <w:rPr>
          <w:i/>
          <w:sz w:val="20"/>
        </w:rPr>
        <w:tab/>
      </w:r>
      <w:r>
        <w:rPr>
          <w:sz w:val="20"/>
        </w:rPr>
        <w:t>Australia's</w:t>
      </w:r>
      <w:r>
        <w:rPr>
          <w:spacing w:val="-7"/>
          <w:sz w:val="20"/>
        </w:rPr>
        <w:t xml:space="preserve"> </w:t>
      </w:r>
      <w:r>
        <w:rPr>
          <w:sz w:val="20"/>
        </w:rPr>
        <w:t>First</w:t>
      </w:r>
      <w:r>
        <w:rPr>
          <w:spacing w:val="-2"/>
          <w:sz w:val="20"/>
        </w:rPr>
        <w:t xml:space="preserve"> </w:t>
      </w:r>
      <w:r>
        <w:rPr>
          <w:sz w:val="20"/>
        </w:rPr>
        <w:t>Written</w:t>
      </w:r>
      <w:r>
        <w:rPr>
          <w:spacing w:val="-2"/>
          <w:sz w:val="20"/>
        </w:rPr>
        <w:t xml:space="preserve"> Submission</w:t>
      </w:r>
    </w:p>
    <w:p w14:paraId="51DE9BA9" w14:textId="77777777" w:rsidR="0010369C" w:rsidRDefault="008E43AE">
      <w:pPr>
        <w:tabs>
          <w:tab w:val="left" w:pos="8227"/>
        </w:tabs>
        <w:spacing w:before="1"/>
        <w:ind w:left="239"/>
        <w:rPr>
          <w:sz w:val="20"/>
        </w:rPr>
      </w:pPr>
      <w:r>
        <w:rPr>
          <w:i/>
          <w:sz w:val="20"/>
        </w:rPr>
        <w:t>on</w:t>
      </w:r>
      <w:r>
        <w:rPr>
          <w:i/>
          <w:spacing w:val="-1"/>
          <w:sz w:val="20"/>
        </w:rPr>
        <w:t xml:space="preserve"> </w:t>
      </w:r>
      <w:r>
        <w:rPr>
          <w:i/>
          <w:sz w:val="20"/>
        </w:rPr>
        <w:t>Wine</w:t>
      </w:r>
      <w:r>
        <w:rPr>
          <w:i/>
          <w:spacing w:val="-1"/>
          <w:sz w:val="20"/>
        </w:rPr>
        <w:t xml:space="preserve"> </w:t>
      </w:r>
      <w:r>
        <w:rPr>
          <w:i/>
          <w:sz w:val="20"/>
        </w:rPr>
        <w:t>from</w:t>
      </w:r>
      <w:r>
        <w:rPr>
          <w:i/>
          <w:spacing w:val="-3"/>
          <w:sz w:val="20"/>
        </w:rPr>
        <w:t xml:space="preserve"> </w:t>
      </w:r>
      <w:r>
        <w:rPr>
          <w:i/>
          <w:sz w:val="20"/>
        </w:rPr>
        <w:t>Australia</w:t>
      </w:r>
      <w:r>
        <w:rPr>
          <w:i/>
          <w:spacing w:val="-1"/>
          <w:sz w:val="20"/>
        </w:rPr>
        <w:t xml:space="preserve"> </w:t>
      </w:r>
      <w:r>
        <w:rPr>
          <w:spacing w:val="-2"/>
          <w:sz w:val="20"/>
        </w:rPr>
        <w:t>(DS602)</w:t>
      </w:r>
      <w:r>
        <w:rPr>
          <w:sz w:val="20"/>
        </w:rPr>
        <w:tab/>
        <w:t>29</w:t>
      </w:r>
      <w:r>
        <w:rPr>
          <w:spacing w:val="-1"/>
          <w:sz w:val="20"/>
        </w:rPr>
        <w:t xml:space="preserve"> </w:t>
      </w:r>
      <w:r>
        <w:rPr>
          <w:sz w:val="20"/>
        </w:rPr>
        <w:t>April</w:t>
      </w:r>
      <w:r>
        <w:rPr>
          <w:spacing w:val="-2"/>
          <w:sz w:val="20"/>
        </w:rPr>
        <w:t xml:space="preserve"> </w:t>
      </w:r>
      <w:r>
        <w:rPr>
          <w:spacing w:val="-4"/>
          <w:sz w:val="20"/>
        </w:rPr>
        <w:t>2022</w:t>
      </w:r>
    </w:p>
    <w:p w14:paraId="51DE9BAA" w14:textId="77777777" w:rsidR="0010369C" w:rsidRDefault="008E43AE">
      <w:pPr>
        <w:pStyle w:val="Heading4"/>
        <w:numPr>
          <w:ilvl w:val="2"/>
          <w:numId w:val="75"/>
        </w:numPr>
        <w:tabs>
          <w:tab w:val="left" w:pos="2649"/>
          <w:tab w:val="left" w:pos="2650"/>
        </w:tabs>
        <w:spacing w:before="35"/>
        <w:ind w:left="2649" w:hanging="852"/>
      </w:pPr>
      <w:r>
        <w:rPr>
          <w:spacing w:val="-2"/>
        </w:rPr>
        <w:t>Conclusion</w:t>
      </w:r>
    </w:p>
    <w:p w14:paraId="51DE9BAB" w14:textId="77777777" w:rsidR="0010369C" w:rsidRDefault="0010369C">
      <w:pPr>
        <w:pStyle w:val="BodyText"/>
        <w:spacing w:before="9"/>
        <w:rPr>
          <w:b/>
          <w:sz w:val="20"/>
        </w:rPr>
      </w:pPr>
    </w:p>
    <w:p w14:paraId="51DE9BAC" w14:textId="77777777" w:rsidR="0010369C" w:rsidRDefault="008E43AE">
      <w:pPr>
        <w:pStyle w:val="BodyText"/>
        <w:spacing w:before="53" w:line="360" w:lineRule="auto"/>
        <w:ind w:left="238" w:right="614" w:firstLine="12"/>
        <w:jc w:val="both"/>
      </w:pPr>
      <w:r>
        <w:rPr>
          <w:noProof/>
        </w:rPr>
        <w:drawing>
          <wp:inline distT="0" distB="0" distL="0" distR="0" wp14:anchorId="51DEA92A" wp14:editId="51DEA92B">
            <wp:extent cx="332231" cy="109727"/>
            <wp:effectExtent l="0" t="0" r="0" b="0"/>
            <wp:docPr id="2095" name="image10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 name="image1075.png"/>
                    <pic:cNvPicPr/>
                  </pic:nvPicPr>
                  <pic:blipFill>
                    <a:blip r:embed="rId1380" cstate="print"/>
                    <a:stretch>
                      <a:fillRect/>
                    </a:stretch>
                  </pic:blipFill>
                  <pic:spPr>
                    <a:xfrm>
                      <a:off x="0" y="0"/>
                      <a:ext cx="332231" cy="109727"/>
                    </a:xfrm>
                    <a:prstGeom prst="rect">
                      <a:avLst/>
                    </a:prstGeom>
                  </pic:spPr>
                </pic:pic>
              </a:graphicData>
            </a:graphic>
          </wp:inline>
        </w:drawing>
      </w:r>
      <w:r>
        <w:rPr>
          <w:rFonts w:ascii="Times New Roman" w:hAnsi="Times New Roman"/>
          <w:spacing w:val="80"/>
          <w:position w:val="1"/>
          <w:sz w:val="20"/>
        </w:rPr>
        <w:t xml:space="preserve">  </w:t>
      </w:r>
      <w:r>
        <w:rPr>
          <w:position w:val="1"/>
        </w:rPr>
        <w:t>For</w:t>
      </w:r>
      <w:r>
        <w:rPr>
          <w:spacing w:val="-14"/>
          <w:position w:val="1"/>
        </w:rPr>
        <w:t xml:space="preserve"> </w:t>
      </w:r>
      <w:r>
        <w:rPr>
          <w:position w:val="1"/>
        </w:rPr>
        <w:t>the</w:t>
      </w:r>
      <w:r>
        <w:rPr>
          <w:spacing w:val="-14"/>
          <w:position w:val="1"/>
        </w:rPr>
        <w:t xml:space="preserve"> </w:t>
      </w:r>
      <w:r>
        <w:rPr>
          <w:position w:val="1"/>
        </w:rPr>
        <w:t>reasons</w:t>
      </w:r>
      <w:r>
        <w:rPr>
          <w:spacing w:val="-13"/>
          <w:position w:val="1"/>
        </w:rPr>
        <w:t xml:space="preserve"> </w:t>
      </w:r>
      <w:r>
        <w:rPr>
          <w:position w:val="1"/>
        </w:rPr>
        <w:t>set</w:t>
      </w:r>
      <w:r>
        <w:rPr>
          <w:spacing w:val="-14"/>
          <w:position w:val="1"/>
        </w:rPr>
        <w:t xml:space="preserve"> </w:t>
      </w:r>
      <w:r>
        <w:rPr>
          <w:position w:val="1"/>
        </w:rPr>
        <w:t>out</w:t>
      </w:r>
      <w:r>
        <w:rPr>
          <w:spacing w:val="-13"/>
          <w:position w:val="1"/>
        </w:rPr>
        <w:t xml:space="preserve"> </w:t>
      </w:r>
      <w:r>
        <w:rPr>
          <w:position w:val="1"/>
        </w:rPr>
        <w:t>above,</w:t>
      </w:r>
      <w:r>
        <w:rPr>
          <w:spacing w:val="-14"/>
          <w:position w:val="1"/>
        </w:rPr>
        <w:t xml:space="preserve"> </w:t>
      </w:r>
      <w:r>
        <w:rPr>
          <w:position w:val="1"/>
        </w:rPr>
        <w:t>the</w:t>
      </w:r>
      <w:r>
        <w:rPr>
          <w:spacing w:val="-13"/>
          <w:position w:val="1"/>
        </w:rPr>
        <w:t xml:space="preserve"> </w:t>
      </w:r>
      <w:r>
        <w:rPr>
          <w:position w:val="1"/>
        </w:rPr>
        <w:t>public</w:t>
      </w:r>
      <w:r>
        <w:rPr>
          <w:spacing w:val="-14"/>
          <w:position w:val="1"/>
        </w:rPr>
        <w:t xml:space="preserve"> </w:t>
      </w:r>
      <w:r>
        <w:rPr>
          <w:position w:val="1"/>
        </w:rPr>
        <w:t>notice</w:t>
      </w:r>
      <w:r>
        <w:rPr>
          <w:spacing w:val="-13"/>
          <w:position w:val="1"/>
        </w:rPr>
        <w:t xml:space="preserve"> </w:t>
      </w:r>
      <w:r>
        <w:rPr>
          <w:position w:val="1"/>
        </w:rPr>
        <w:t>of</w:t>
      </w:r>
      <w:r>
        <w:rPr>
          <w:spacing w:val="-14"/>
          <w:position w:val="1"/>
        </w:rPr>
        <w:t xml:space="preserve"> </w:t>
      </w:r>
      <w:r>
        <w:rPr>
          <w:position w:val="1"/>
        </w:rPr>
        <w:t>initiation</w:t>
      </w:r>
      <w:r>
        <w:rPr>
          <w:spacing w:val="-14"/>
          <w:position w:val="1"/>
        </w:rPr>
        <w:t xml:space="preserve"> </w:t>
      </w:r>
      <w:r>
        <w:rPr>
          <w:position w:val="1"/>
        </w:rPr>
        <w:t>issued</w:t>
      </w:r>
      <w:r>
        <w:rPr>
          <w:spacing w:val="-13"/>
          <w:position w:val="1"/>
        </w:rPr>
        <w:t xml:space="preserve"> </w:t>
      </w:r>
      <w:r>
        <w:rPr>
          <w:position w:val="1"/>
        </w:rPr>
        <w:t>by</w:t>
      </w:r>
      <w:r>
        <w:rPr>
          <w:spacing w:val="-14"/>
          <w:position w:val="1"/>
        </w:rPr>
        <w:t xml:space="preserve"> </w:t>
      </w:r>
      <w:r>
        <w:rPr>
          <w:position w:val="1"/>
        </w:rPr>
        <w:t>MOFCOM</w:t>
      </w:r>
      <w:r>
        <w:rPr>
          <w:spacing w:val="-13"/>
          <w:position w:val="1"/>
        </w:rPr>
        <w:t xml:space="preserve"> </w:t>
      </w:r>
      <w:r>
        <w:rPr>
          <w:position w:val="1"/>
        </w:rPr>
        <w:t xml:space="preserve">failed </w:t>
      </w:r>
      <w:r>
        <w:t>to meet the requirements of Article 12.1.1(iv) of the Anti‐Dumping Agreement because it failed to provide "a summary of the factors on which the allegation of injury is based".</w:t>
      </w:r>
    </w:p>
    <w:p w14:paraId="51DE9BAD" w14:textId="77777777" w:rsidR="0010369C" w:rsidRDefault="008E43AE">
      <w:pPr>
        <w:pStyle w:val="ListParagraph"/>
        <w:numPr>
          <w:ilvl w:val="1"/>
          <w:numId w:val="75"/>
        </w:numPr>
        <w:tabs>
          <w:tab w:val="left" w:pos="1939"/>
          <w:tab w:val="left" w:pos="1940"/>
        </w:tabs>
        <w:spacing w:before="159" w:line="400" w:lineRule="auto"/>
        <w:ind w:left="1940" w:right="615"/>
        <w:jc w:val="left"/>
        <w:rPr>
          <w:b/>
          <w:sz w:val="28"/>
        </w:rPr>
      </w:pPr>
      <w:r>
        <w:rPr>
          <w:b/>
          <w:sz w:val="28"/>
        </w:rPr>
        <w:t>C</w:t>
      </w:r>
      <w:r>
        <w:rPr>
          <w:b/>
        </w:rPr>
        <w:t xml:space="preserve">HINA VIOLATED </w:t>
      </w:r>
      <w:r>
        <w:rPr>
          <w:b/>
          <w:sz w:val="28"/>
        </w:rPr>
        <w:t>A</w:t>
      </w:r>
      <w:r>
        <w:rPr>
          <w:b/>
        </w:rPr>
        <w:t xml:space="preserve">RTICLES </w:t>
      </w:r>
      <w:r>
        <w:rPr>
          <w:b/>
          <w:sz w:val="28"/>
        </w:rPr>
        <w:t>12.2</w:t>
      </w:r>
      <w:r>
        <w:rPr>
          <w:b/>
          <w:spacing w:val="-4"/>
          <w:sz w:val="28"/>
        </w:rPr>
        <w:t xml:space="preserve"> </w:t>
      </w:r>
      <w:r>
        <w:rPr>
          <w:b/>
        </w:rPr>
        <w:t xml:space="preserve">AND </w:t>
      </w:r>
      <w:r>
        <w:rPr>
          <w:b/>
          <w:sz w:val="28"/>
        </w:rPr>
        <w:t>12.2.2</w:t>
      </w:r>
      <w:r>
        <w:rPr>
          <w:b/>
          <w:spacing w:val="-5"/>
          <w:sz w:val="28"/>
        </w:rPr>
        <w:t xml:space="preserve"> </w:t>
      </w:r>
      <w:r>
        <w:rPr>
          <w:b/>
        </w:rPr>
        <w:t xml:space="preserve">BECAUSE </w:t>
      </w:r>
      <w:r>
        <w:rPr>
          <w:b/>
          <w:sz w:val="28"/>
        </w:rPr>
        <w:t>MOFCOM'</w:t>
      </w:r>
      <w:r>
        <w:rPr>
          <w:b/>
        </w:rPr>
        <w:t>S PUBLIC NOTICE</w:t>
      </w:r>
      <w:r>
        <w:rPr>
          <w:b/>
          <w:spacing w:val="40"/>
        </w:rPr>
        <w:t xml:space="preserve"> </w:t>
      </w:r>
      <w:r>
        <w:rPr>
          <w:b/>
        </w:rPr>
        <w:t>OF</w:t>
      </w:r>
      <w:r>
        <w:rPr>
          <w:b/>
          <w:spacing w:val="40"/>
        </w:rPr>
        <w:t xml:space="preserve"> </w:t>
      </w:r>
      <w:r>
        <w:rPr>
          <w:b/>
        </w:rPr>
        <w:t>THE</w:t>
      </w:r>
      <w:r>
        <w:rPr>
          <w:b/>
          <w:spacing w:val="40"/>
        </w:rPr>
        <w:t xml:space="preserve"> </w:t>
      </w:r>
      <w:r>
        <w:rPr>
          <w:b/>
        </w:rPr>
        <w:t>F</w:t>
      </w:r>
      <w:r>
        <w:rPr>
          <w:b/>
        </w:rPr>
        <w:t>INAL</w:t>
      </w:r>
      <w:r>
        <w:rPr>
          <w:b/>
          <w:spacing w:val="40"/>
        </w:rPr>
        <w:t xml:space="preserve"> </w:t>
      </w:r>
      <w:r>
        <w:rPr>
          <w:b/>
        </w:rPr>
        <w:t>DETERMINATION</w:t>
      </w:r>
      <w:r>
        <w:rPr>
          <w:b/>
          <w:spacing w:val="40"/>
        </w:rPr>
        <w:t xml:space="preserve"> </w:t>
      </w:r>
      <w:r>
        <w:rPr>
          <w:b/>
        </w:rPr>
        <w:t>FAILED</w:t>
      </w:r>
      <w:r>
        <w:rPr>
          <w:b/>
          <w:spacing w:val="40"/>
        </w:rPr>
        <w:t xml:space="preserve"> </w:t>
      </w:r>
      <w:r>
        <w:rPr>
          <w:b/>
        </w:rPr>
        <w:t>TO</w:t>
      </w:r>
      <w:r>
        <w:rPr>
          <w:b/>
          <w:spacing w:val="40"/>
        </w:rPr>
        <w:t xml:space="preserve"> </w:t>
      </w:r>
      <w:r>
        <w:rPr>
          <w:b/>
        </w:rPr>
        <w:t>CONTAIN</w:t>
      </w:r>
      <w:r>
        <w:rPr>
          <w:b/>
          <w:spacing w:val="40"/>
        </w:rPr>
        <w:t xml:space="preserve"> </w:t>
      </w:r>
      <w:r>
        <w:rPr>
          <w:b/>
        </w:rPr>
        <w:t>ALL</w:t>
      </w:r>
      <w:r>
        <w:rPr>
          <w:b/>
          <w:spacing w:val="40"/>
        </w:rPr>
        <w:t xml:space="preserve"> </w:t>
      </w:r>
      <w:r>
        <w:rPr>
          <w:b/>
        </w:rPr>
        <w:t>RELEVANT</w:t>
      </w:r>
    </w:p>
    <w:p w14:paraId="51DE9BAE" w14:textId="77777777" w:rsidR="0010369C" w:rsidRDefault="008E43AE">
      <w:pPr>
        <w:spacing w:before="64"/>
        <w:ind w:left="1940"/>
        <w:rPr>
          <w:b/>
        </w:rPr>
      </w:pPr>
      <w:r>
        <w:rPr>
          <w:b/>
          <w:spacing w:val="-2"/>
        </w:rPr>
        <w:t>INFORMATION</w:t>
      </w:r>
    </w:p>
    <w:p w14:paraId="51DE9BAF" w14:textId="77777777" w:rsidR="0010369C" w:rsidRDefault="0010369C">
      <w:pPr>
        <w:pStyle w:val="BodyText"/>
        <w:spacing w:before="2"/>
        <w:rPr>
          <w:b/>
        </w:rPr>
      </w:pPr>
    </w:p>
    <w:p w14:paraId="51DE9BB0" w14:textId="77777777" w:rsidR="0010369C" w:rsidRDefault="008E43AE">
      <w:pPr>
        <w:pStyle w:val="BodyText"/>
        <w:spacing w:before="51" w:line="360" w:lineRule="auto"/>
        <w:ind w:left="237" w:right="613" w:firstLine="851"/>
        <w:jc w:val="both"/>
      </w:pPr>
      <w:r>
        <w:rPr>
          <w:noProof/>
        </w:rPr>
        <w:drawing>
          <wp:anchor distT="0" distB="0" distL="0" distR="0" simplePos="0" relativeHeight="251638272" behindDoc="1" locked="0" layoutInCell="1" allowOverlap="1" wp14:anchorId="51DEA92C" wp14:editId="51DEA92D">
            <wp:simplePos x="0" y="0"/>
            <wp:positionH relativeFrom="page">
              <wp:posOffset>908303</wp:posOffset>
            </wp:positionH>
            <wp:positionV relativeFrom="paragraph">
              <wp:posOffset>75388</wp:posOffset>
            </wp:positionV>
            <wp:extent cx="332231" cy="106679"/>
            <wp:effectExtent l="0" t="0" r="0" b="0"/>
            <wp:wrapNone/>
            <wp:docPr id="2097" name="image10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 name="image1076.png"/>
                    <pic:cNvPicPr/>
                  </pic:nvPicPr>
                  <pic:blipFill>
                    <a:blip r:embed="rId1381" cstate="print"/>
                    <a:stretch>
                      <a:fillRect/>
                    </a:stretch>
                  </pic:blipFill>
                  <pic:spPr>
                    <a:xfrm>
                      <a:off x="0" y="0"/>
                      <a:ext cx="332231" cy="106679"/>
                    </a:xfrm>
                    <a:prstGeom prst="rect">
                      <a:avLst/>
                    </a:prstGeom>
                  </pic:spPr>
                </pic:pic>
              </a:graphicData>
            </a:graphic>
          </wp:anchor>
        </w:drawing>
      </w:r>
      <w:r>
        <w:t>MOFCOM acted inconsistently with Articles 12.2 and 12.2.2 by failing to provide, in the public notice of the Final Determination, all relevant information on the matters of fact and law and re</w:t>
      </w:r>
      <w:r>
        <w:t>asons which led to the imposition of final measures, and the reasons for the acceptance and rejection of relevant arguments and claims made by the exporters and importers. In particular, MOFCOM's Final Determination failed to disclose all matters of fact a</w:t>
      </w:r>
      <w:r>
        <w:t>nd law and reasons relating to:</w:t>
      </w:r>
    </w:p>
    <w:p w14:paraId="51DE9BB1" w14:textId="77777777" w:rsidR="0010369C" w:rsidRDefault="008E43AE">
      <w:pPr>
        <w:pStyle w:val="ListParagraph"/>
        <w:numPr>
          <w:ilvl w:val="0"/>
          <w:numId w:val="16"/>
        </w:numPr>
        <w:tabs>
          <w:tab w:val="left" w:pos="1939"/>
          <w:tab w:val="left" w:pos="1940"/>
        </w:tabs>
        <w:spacing w:before="161" w:line="357" w:lineRule="auto"/>
        <w:ind w:right="614"/>
        <w:rPr>
          <w:sz w:val="24"/>
        </w:rPr>
      </w:pPr>
      <w:r>
        <w:rPr>
          <w:sz w:val="24"/>
        </w:rPr>
        <w:t>the calculation of the total production of the domestic industry and the proportion of that production accounted for by the Chinese producers surveyed for the purpose of defining the domestic industry;</w:t>
      </w:r>
    </w:p>
    <w:p w14:paraId="51DE9BB2" w14:textId="77777777" w:rsidR="0010369C" w:rsidRDefault="008E43AE">
      <w:pPr>
        <w:pStyle w:val="ListParagraph"/>
        <w:numPr>
          <w:ilvl w:val="0"/>
          <w:numId w:val="16"/>
        </w:numPr>
        <w:tabs>
          <w:tab w:val="left" w:pos="1938"/>
          <w:tab w:val="left" w:pos="1940"/>
        </w:tabs>
        <w:spacing w:before="128" w:line="355" w:lineRule="auto"/>
        <w:ind w:left="1940" w:right="613" w:hanging="852"/>
        <w:rPr>
          <w:sz w:val="24"/>
        </w:rPr>
      </w:pPr>
      <w:r>
        <w:rPr>
          <w:sz w:val="24"/>
        </w:rPr>
        <w:t>MOFCOM's recourse to "</w:t>
      </w:r>
      <w:r>
        <w:rPr>
          <w:sz w:val="24"/>
        </w:rPr>
        <w:t>facts available" to determine normal value and selection of the facts available;</w:t>
      </w:r>
    </w:p>
    <w:p w14:paraId="51DE9BB3" w14:textId="77777777" w:rsidR="0010369C" w:rsidRDefault="008E43AE">
      <w:pPr>
        <w:pStyle w:val="ListParagraph"/>
        <w:numPr>
          <w:ilvl w:val="0"/>
          <w:numId w:val="16"/>
        </w:numPr>
        <w:tabs>
          <w:tab w:val="left" w:pos="1940"/>
          <w:tab w:val="left" w:pos="1941"/>
        </w:tabs>
        <w:spacing w:before="131" w:line="355" w:lineRule="auto"/>
        <w:ind w:left="1940" w:right="614"/>
        <w:rPr>
          <w:sz w:val="24"/>
        </w:rPr>
      </w:pPr>
      <w:r>
        <w:rPr>
          <w:sz w:val="24"/>
        </w:rPr>
        <w:t>decisions concerning adjustments to ensure a fair comparison of normal value and export price;</w:t>
      </w:r>
    </w:p>
    <w:p w14:paraId="51DE9BB4" w14:textId="77777777" w:rsidR="0010369C" w:rsidRDefault="008E43AE">
      <w:pPr>
        <w:pStyle w:val="ListParagraph"/>
        <w:numPr>
          <w:ilvl w:val="0"/>
          <w:numId w:val="16"/>
        </w:numPr>
        <w:tabs>
          <w:tab w:val="left" w:pos="1940"/>
          <w:tab w:val="left" w:pos="1941"/>
        </w:tabs>
        <w:spacing w:before="131"/>
        <w:ind w:left="1940" w:hanging="852"/>
        <w:rPr>
          <w:sz w:val="24"/>
        </w:rPr>
      </w:pPr>
      <w:r>
        <w:rPr>
          <w:sz w:val="24"/>
        </w:rPr>
        <w:t>the</w:t>
      </w:r>
      <w:r>
        <w:rPr>
          <w:spacing w:val="-7"/>
          <w:sz w:val="24"/>
        </w:rPr>
        <w:t xml:space="preserve"> </w:t>
      </w:r>
      <w:r>
        <w:rPr>
          <w:sz w:val="24"/>
        </w:rPr>
        <w:t>differences</w:t>
      </w:r>
      <w:r>
        <w:rPr>
          <w:spacing w:val="-8"/>
          <w:sz w:val="24"/>
        </w:rPr>
        <w:t xml:space="preserve"> </w:t>
      </w:r>
      <w:r>
        <w:rPr>
          <w:sz w:val="24"/>
        </w:rPr>
        <w:t>in</w:t>
      </w:r>
      <w:r>
        <w:rPr>
          <w:spacing w:val="-8"/>
          <w:sz w:val="24"/>
        </w:rPr>
        <w:t xml:space="preserve"> </w:t>
      </w:r>
      <w:r>
        <w:rPr>
          <w:sz w:val="24"/>
        </w:rPr>
        <w:t>price</w:t>
      </w:r>
      <w:r>
        <w:rPr>
          <w:spacing w:val="-6"/>
          <w:sz w:val="24"/>
        </w:rPr>
        <w:t xml:space="preserve"> </w:t>
      </w:r>
      <w:r>
        <w:rPr>
          <w:spacing w:val="-2"/>
          <w:sz w:val="24"/>
        </w:rPr>
        <w:t>comparability;</w:t>
      </w:r>
    </w:p>
    <w:p w14:paraId="51DE9BB5" w14:textId="77777777" w:rsidR="0010369C" w:rsidRDefault="008E43AE">
      <w:pPr>
        <w:pStyle w:val="ListParagraph"/>
        <w:numPr>
          <w:ilvl w:val="0"/>
          <w:numId w:val="16"/>
        </w:numPr>
        <w:tabs>
          <w:tab w:val="left" w:pos="1940"/>
          <w:tab w:val="left" w:pos="1941"/>
        </w:tabs>
        <w:spacing w:before="267" w:line="355" w:lineRule="auto"/>
        <w:ind w:left="1940" w:right="613"/>
        <w:rPr>
          <w:sz w:val="24"/>
        </w:rPr>
      </w:pPr>
      <w:r>
        <w:rPr>
          <w:sz w:val="24"/>
        </w:rPr>
        <w:t>the calculation of dumping margins for exporters and the reasons for the calculation methodology used; and</w:t>
      </w:r>
    </w:p>
    <w:p w14:paraId="51DE9BB6" w14:textId="77777777" w:rsidR="0010369C" w:rsidRDefault="008E43AE">
      <w:pPr>
        <w:pStyle w:val="ListParagraph"/>
        <w:numPr>
          <w:ilvl w:val="0"/>
          <w:numId w:val="16"/>
        </w:numPr>
        <w:tabs>
          <w:tab w:val="left" w:pos="1939"/>
          <w:tab w:val="left" w:pos="1940"/>
        </w:tabs>
        <w:spacing w:before="131"/>
        <w:ind w:left="1940"/>
        <w:rPr>
          <w:sz w:val="24"/>
        </w:rPr>
      </w:pPr>
      <w:r>
        <w:rPr>
          <w:sz w:val="24"/>
        </w:rPr>
        <w:t>the</w:t>
      </w:r>
      <w:r>
        <w:rPr>
          <w:spacing w:val="-10"/>
          <w:sz w:val="24"/>
        </w:rPr>
        <w:t xml:space="preserve"> </w:t>
      </w:r>
      <w:r>
        <w:rPr>
          <w:sz w:val="24"/>
        </w:rPr>
        <w:t>determination</w:t>
      </w:r>
      <w:r>
        <w:rPr>
          <w:spacing w:val="-9"/>
          <w:sz w:val="24"/>
        </w:rPr>
        <w:t xml:space="preserve"> </w:t>
      </w:r>
      <w:r>
        <w:rPr>
          <w:sz w:val="24"/>
        </w:rPr>
        <w:t>of</w:t>
      </w:r>
      <w:r>
        <w:rPr>
          <w:spacing w:val="-10"/>
          <w:sz w:val="24"/>
        </w:rPr>
        <w:t xml:space="preserve"> </w:t>
      </w:r>
      <w:r>
        <w:rPr>
          <w:sz w:val="24"/>
        </w:rPr>
        <w:t>injury</w:t>
      </w:r>
      <w:r>
        <w:rPr>
          <w:spacing w:val="-9"/>
          <w:sz w:val="24"/>
        </w:rPr>
        <w:t xml:space="preserve"> </w:t>
      </w:r>
      <w:r>
        <w:rPr>
          <w:sz w:val="24"/>
        </w:rPr>
        <w:t>and</w:t>
      </w:r>
      <w:r>
        <w:rPr>
          <w:spacing w:val="-10"/>
          <w:sz w:val="24"/>
        </w:rPr>
        <w:t xml:space="preserve"> </w:t>
      </w:r>
      <w:r>
        <w:rPr>
          <w:spacing w:val="-2"/>
          <w:sz w:val="24"/>
        </w:rPr>
        <w:t>causation.</w:t>
      </w:r>
    </w:p>
    <w:p w14:paraId="51DE9BB7" w14:textId="77777777" w:rsidR="0010369C" w:rsidRDefault="008E43AE">
      <w:pPr>
        <w:pStyle w:val="Heading4"/>
        <w:numPr>
          <w:ilvl w:val="2"/>
          <w:numId w:val="75"/>
        </w:numPr>
        <w:tabs>
          <w:tab w:val="left" w:pos="2648"/>
          <w:tab w:val="left" w:pos="2649"/>
        </w:tabs>
        <w:spacing w:before="268"/>
      </w:pPr>
      <w:r>
        <w:t>Legal</w:t>
      </w:r>
      <w:r>
        <w:rPr>
          <w:spacing w:val="-7"/>
        </w:rPr>
        <w:t xml:space="preserve"> </w:t>
      </w:r>
      <w:r>
        <w:rPr>
          <w:spacing w:val="-2"/>
        </w:rPr>
        <w:t>framework</w:t>
      </w:r>
    </w:p>
    <w:p w14:paraId="51DE9BB8" w14:textId="77777777" w:rsidR="0010369C" w:rsidRDefault="0010369C">
      <w:pPr>
        <w:pStyle w:val="BodyText"/>
        <w:spacing w:before="11"/>
        <w:rPr>
          <w:b/>
          <w:sz w:val="20"/>
        </w:rPr>
      </w:pPr>
    </w:p>
    <w:p w14:paraId="51DE9BB9" w14:textId="77777777" w:rsidR="0010369C" w:rsidRDefault="008E43AE">
      <w:pPr>
        <w:pStyle w:val="BodyText"/>
        <w:spacing w:before="51"/>
        <w:ind w:left="1089"/>
      </w:pPr>
      <w:r>
        <w:rPr>
          <w:noProof/>
        </w:rPr>
        <w:drawing>
          <wp:anchor distT="0" distB="0" distL="0" distR="0" simplePos="0" relativeHeight="250699264" behindDoc="0" locked="0" layoutInCell="1" allowOverlap="1" wp14:anchorId="51DEA92E" wp14:editId="51DEA92F">
            <wp:simplePos x="0" y="0"/>
            <wp:positionH relativeFrom="page">
              <wp:posOffset>908303</wp:posOffset>
            </wp:positionH>
            <wp:positionV relativeFrom="paragraph">
              <wp:posOffset>75388</wp:posOffset>
            </wp:positionV>
            <wp:extent cx="332231" cy="106679"/>
            <wp:effectExtent l="0" t="0" r="0" b="0"/>
            <wp:wrapNone/>
            <wp:docPr id="2099" name="image10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 name="image1077.png"/>
                    <pic:cNvPicPr/>
                  </pic:nvPicPr>
                  <pic:blipFill>
                    <a:blip r:embed="rId1382" cstate="print"/>
                    <a:stretch>
                      <a:fillRect/>
                    </a:stretch>
                  </pic:blipFill>
                  <pic:spPr>
                    <a:xfrm>
                      <a:off x="0" y="0"/>
                      <a:ext cx="332231" cy="106679"/>
                    </a:xfrm>
                    <a:prstGeom prst="rect">
                      <a:avLst/>
                    </a:prstGeom>
                  </pic:spPr>
                </pic:pic>
              </a:graphicData>
            </a:graphic>
          </wp:anchor>
        </w:drawing>
      </w:r>
      <w:r>
        <w:t>Article</w:t>
      </w:r>
      <w:r>
        <w:rPr>
          <w:spacing w:val="-9"/>
        </w:rPr>
        <w:t xml:space="preserve"> </w:t>
      </w:r>
      <w:r>
        <w:t>12.2</w:t>
      </w:r>
      <w:r>
        <w:rPr>
          <w:spacing w:val="-8"/>
        </w:rPr>
        <w:t xml:space="preserve"> </w:t>
      </w:r>
      <w:r>
        <w:t>of</w:t>
      </w:r>
      <w:r>
        <w:rPr>
          <w:spacing w:val="-8"/>
        </w:rPr>
        <w:t xml:space="preserve"> </w:t>
      </w:r>
      <w:r>
        <w:t>the</w:t>
      </w:r>
      <w:r>
        <w:rPr>
          <w:spacing w:val="-7"/>
        </w:rPr>
        <w:t xml:space="preserve"> </w:t>
      </w:r>
      <w:r>
        <w:t>Anti‐Dumping</w:t>
      </w:r>
      <w:r>
        <w:rPr>
          <w:spacing w:val="-7"/>
        </w:rPr>
        <w:t xml:space="preserve"> </w:t>
      </w:r>
      <w:r>
        <w:t>Agreement</w:t>
      </w:r>
      <w:r>
        <w:rPr>
          <w:spacing w:val="-8"/>
        </w:rPr>
        <w:t xml:space="preserve"> </w:t>
      </w:r>
      <w:r>
        <w:t>provides,</w:t>
      </w:r>
      <w:r>
        <w:rPr>
          <w:spacing w:val="-7"/>
        </w:rPr>
        <w:t xml:space="preserve"> </w:t>
      </w:r>
      <w:r>
        <w:t>in</w:t>
      </w:r>
      <w:r>
        <w:rPr>
          <w:spacing w:val="-8"/>
        </w:rPr>
        <w:t xml:space="preserve"> </w:t>
      </w:r>
      <w:r>
        <w:t>relevant</w:t>
      </w:r>
      <w:r>
        <w:rPr>
          <w:spacing w:val="-8"/>
        </w:rPr>
        <w:t xml:space="preserve"> </w:t>
      </w:r>
      <w:r>
        <w:t>part,</w:t>
      </w:r>
      <w:r>
        <w:rPr>
          <w:spacing w:val="-7"/>
        </w:rPr>
        <w:t xml:space="preserve"> </w:t>
      </w:r>
      <w:r>
        <w:t>as</w:t>
      </w:r>
      <w:r>
        <w:rPr>
          <w:spacing w:val="-8"/>
        </w:rPr>
        <w:t xml:space="preserve"> </w:t>
      </w:r>
      <w:r>
        <w:rPr>
          <w:spacing w:val="-2"/>
        </w:rPr>
        <w:t>follows:</w:t>
      </w:r>
    </w:p>
    <w:p w14:paraId="51DE9BBA" w14:textId="77777777" w:rsidR="0010369C" w:rsidRDefault="0010369C">
      <w:pPr>
        <w:pStyle w:val="BodyText"/>
        <w:spacing w:before="1"/>
        <w:rPr>
          <w:sz w:val="25"/>
        </w:rPr>
      </w:pPr>
    </w:p>
    <w:p w14:paraId="51DE9BBB" w14:textId="77777777" w:rsidR="0010369C" w:rsidRDefault="008E43AE">
      <w:pPr>
        <w:spacing w:line="276" w:lineRule="auto"/>
        <w:ind w:left="1088" w:right="614"/>
      </w:pPr>
      <w:r>
        <w:t>Publ</w:t>
      </w:r>
      <w:r>
        <w:t>ic notice shall be given of any preliminary or final determination[…] Each such notice</w:t>
      </w:r>
      <w:r>
        <w:rPr>
          <w:spacing w:val="80"/>
        </w:rPr>
        <w:t xml:space="preserve"> </w:t>
      </w:r>
      <w:r>
        <w:t>shall</w:t>
      </w:r>
      <w:r>
        <w:rPr>
          <w:spacing w:val="-10"/>
        </w:rPr>
        <w:t xml:space="preserve"> </w:t>
      </w:r>
      <w:r>
        <w:t>set</w:t>
      </w:r>
      <w:r>
        <w:rPr>
          <w:spacing w:val="-10"/>
        </w:rPr>
        <w:t xml:space="preserve"> </w:t>
      </w:r>
      <w:r>
        <w:t>forth,</w:t>
      </w:r>
      <w:r>
        <w:rPr>
          <w:spacing w:val="-10"/>
        </w:rPr>
        <w:t xml:space="preserve"> </w:t>
      </w:r>
      <w:r>
        <w:t>or</w:t>
      </w:r>
      <w:r>
        <w:rPr>
          <w:spacing w:val="-9"/>
        </w:rPr>
        <w:t xml:space="preserve"> </w:t>
      </w:r>
      <w:r>
        <w:t>otherwise</w:t>
      </w:r>
      <w:r>
        <w:rPr>
          <w:spacing w:val="-10"/>
        </w:rPr>
        <w:t xml:space="preserve"> </w:t>
      </w:r>
      <w:r>
        <w:t>make</w:t>
      </w:r>
      <w:r>
        <w:rPr>
          <w:spacing w:val="-10"/>
        </w:rPr>
        <w:t xml:space="preserve"> </w:t>
      </w:r>
      <w:r>
        <w:t>available</w:t>
      </w:r>
      <w:r>
        <w:rPr>
          <w:spacing w:val="-9"/>
        </w:rPr>
        <w:t xml:space="preserve"> </w:t>
      </w:r>
      <w:r>
        <w:t>through</w:t>
      </w:r>
      <w:r>
        <w:rPr>
          <w:spacing w:val="-10"/>
        </w:rPr>
        <w:t xml:space="preserve"> </w:t>
      </w:r>
      <w:r>
        <w:t>a</w:t>
      </w:r>
      <w:r>
        <w:rPr>
          <w:spacing w:val="-8"/>
        </w:rPr>
        <w:t xml:space="preserve"> </w:t>
      </w:r>
      <w:r>
        <w:t>separate</w:t>
      </w:r>
      <w:r>
        <w:rPr>
          <w:spacing w:val="-10"/>
        </w:rPr>
        <w:t xml:space="preserve"> </w:t>
      </w:r>
      <w:r>
        <w:t>report,</w:t>
      </w:r>
      <w:r>
        <w:rPr>
          <w:spacing w:val="-10"/>
        </w:rPr>
        <w:t xml:space="preserve"> </w:t>
      </w:r>
      <w:r>
        <w:t>in</w:t>
      </w:r>
      <w:r>
        <w:rPr>
          <w:spacing w:val="-10"/>
        </w:rPr>
        <w:t xml:space="preserve"> </w:t>
      </w:r>
      <w:r>
        <w:t>sufficient</w:t>
      </w:r>
      <w:r>
        <w:rPr>
          <w:spacing w:val="-11"/>
        </w:rPr>
        <w:t xml:space="preserve"> </w:t>
      </w:r>
      <w:r>
        <w:t>detail</w:t>
      </w:r>
      <w:r>
        <w:rPr>
          <w:spacing w:val="-9"/>
        </w:rPr>
        <w:t xml:space="preserve"> </w:t>
      </w:r>
      <w:r>
        <w:rPr>
          <w:spacing w:val="-5"/>
        </w:rPr>
        <w:t>the</w:t>
      </w:r>
    </w:p>
    <w:p w14:paraId="51DE9BBC" w14:textId="77777777" w:rsidR="0010369C" w:rsidRDefault="0010369C">
      <w:pPr>
        <w:spacing w:line="276" w:lineRule="auto"/>
        <w:sectPr w:rsidR="0010369C">
          <w:pgSz w:w="11910" w:h="16840"/>
          <w:pgMar w:top="880" w:right="800" w:bottom="980" w:left="1180" w:header="569" w:footer="788" w:gutter="0"/>
          <w:cols w:space="720"/>
        </w:sectPr>
      </w:pPr>
    </w:p>
    <w:p w14:paraId="51DE9BBD" w14:textId="77777777" w:rsidR="0010369C" w:rsidRDefault="008E43AE">
      <w:pPr>
        <w:tabs>
          <w:tab w:val="left" w:pos="6425"/>
        </w:tabs>
        <w:ind w:left="238"/>
        <w:rPr>
          <w:sz w:val="20"/>
        </w:rPr>
      </w:pPr>
      <w:r>
        <w:rPr>
          <w:i/>
          <w:sz w:val="20"/>
        </w:rPr>
        <w:lastRenderedPageBreak/>
        <w:t>China</w:t>
      </w:r>
      <w:r>
        <w:rPr>
          <w:i/>
          <w:spacing w:val="-5"/>
          <w:sz w:val="20"/>
        </w:rPr>
        <w:t xml:space="preserve"> </w:t>
      </w:r>
      <w:r>
        <w:rPr>
          <w:i/>
          <w:sz w:val="20"/>
        </w:rPr>
        <w:t>–</w:t>
      </w:r>
      <w:r>
        <w:rPr>
          <w:i/>
          <w:spacing w:val="-5"/>
          <w:sz w:val="20"/>
        </w:rPr>
        <w:t xml:space="preserve"> </w:t>
      </w:r>
      <w:r>
        <w:rPr>
          <w:i/>
          <w:sz w:val="20"/>
        </w:rPr>
        <w:t>Anti‐Dumping</w:t>
      </w:r>
      <w:r>
        <w:rPr>
          <w:i/>
          <w:spacing w:val="-4"/>
          <w:sz w:val="20"/>
        </w:rPr>
        <w:t xml:space="preserve"> </w:t>
      </w:r>
      <w:r>
        <w:rPr>
          <w:i/>
          <w:sz w:val="20"/>
        </w:rPr>
        <w:t>and</w:t>
      </w:r>
      <w:r>
        <w:rPr>
          <w:i/>
          <w:spacing w:val="-5"/>
          <w:sz w:val="20"/>
        </w:rPr>
        <w:t xml:space="preserve"> </w:t>
      </w:r>
      <w:r>
        <w:rPr>
          <w:i/>
          <w:sz w:val="20"/>
        </w:rPr>
        <w:t>Countervailing</w:t>
      </w:r>
      <w:r>
        <w:rPr>
          <w:i/>
          <w:spacing w:val="-5"/>
          <w:sz w:val="20"/>
        </w:rPr>
        <w:t xml:space="preserve"> </w:t>
      </w:r>
      <w:r>
        <w:rPr>
          <w:i/>
          <w:sz w:val="20"/>
        </w:rPr>
        <w:t>Duty</w:t>
      </w:r>
      <w:r>
        <w:rPr>
          <w:i/>
          <w:spacing w:val="-4"/>
          <w:sz w:val="20"/>
        </w:rPr>
        <w:t xml:space="preserve"> </w:t>
      </w:r>
      <w:r>
        <w:rPr>
          <w:i/>
          <w:spacing w:val="-2"/>
          <w:sz w:val="20"/>
        </w:rPr>
        <w:t>Measures</w:t>
      </w:r>
      <w:r>
        <w:rPr>
          <w:i/>
          <w:sz w:val="20"/>
        </w:rPr>
        <w:tab/>
      </w:r>
      <w:r>
        <w:rPr>
          <w:sz w:val="20"/>
        </w:rPr>
        <w:t>Australia's</w:t>
      </w:r>
      <w:r>
        <w:rPr>
          <w:spacing w:val="-7"/>
          <w:sz w:val="20"/>
        </w:rPr>
        <w:t xml:space="preserve"> </w:t>
      </w:r>
      <w:r>
        <w:rPr>
          <w:sz w:val="20"/>
        </w:rPr>
        <w:t>First</w:t>
      </w:r>
      <w:r>
        <w:rPr>
          <w:spacing w:val="-2"/>
          <w:sz w:val="20"/>
        </w:rPr>
        <w:t xml:space="preserve"> </w:t>
      </w:r>
      <w:r>
        <w:rPr>
          <w:sz w:val="20"/>
        </w:rPr>
        <w:t>Written</w:t>
      </w:r>
      <w:r>
        <w:rPr>
          <w:spacing w:val="-2"/>
          <w:sz w:val="20"/>
        </w:rPr>
        <w:t xml:space="preserve"> Submission</w:t>
      </w:r>
    </w:p>
    <w:p w14:paraId="51DE9BBE" w14:textId="77777777" w:rsidR="0010369C" w:rsidRDefault="008E43AE">
      <w:pPr>
        <w:tabs>
          <w:tab w:val="left" w:pos="8227"/>
        </w:tabs>
        <w:spacing w:before="1"/>
        <w:ind w:left="239"/>
        <w:rPr>
          <w:sz w:val="20"/>
        </w:rPr>
      </w:pPr>
      <w:r>
        <w:rPr>
          <w:i/>
          <w:sz w:val="20"/>
        </w:rPr>
        <w:t>on</w:t>
      </w:r>
      <w:r>
        <w:rPr>
          <w:i/>
          <w:spacing w:val="-1"/>
          <w:sz w:val="20"/>
        </w:rPr>
        <w:t xml:space="preserve"> </w:t>
      </w:r>
      <w:r>
        <w:rPr>
          <w:i/>
          <w:sz w:val="20"/>
        </w:rPr>
        <w:t>Wine</w:t>
      </w:r>
      <w:r>
        <w:rPr>
          <w:i/>
          <w:spacing w:val="-1"/>
          <w:sz w:val="20"/>
        </w:rPr>
        <w:t xml:space="preserve"> </w:t>
      </w:r>
      <w:r>
        <w:rPr>
          <w:i/>
          <w:sz w:val="20"/>
        </w:rPr>
        <w:t>from</w:t>
      </w:r>
      <w:r>
        <w:rPr>
          <w:i/>
          <w:spacing w:val="-3"/>
          <w:sz w:val="20"/>
        </w:rPr>
        <w:t xml:space="preserve"> </w:t>
      </w:r>
      <w:r>
        <w:rPr>
          <w:i/>
          <w:sz w:val="20"/>
        </w:rPr>
        <w:t>Australia</w:t>
      </w:r>
      <w:r>
        <w:rPr>
          <w:i/>
          <w:spacing w:val="-1"/>
          <w:sz w:val="20"/>
        </w:rPr>
        <w:t xml:space="preserve"> </w:t>
      </w:r>
      <w:r>
        <w:rPr>
          <w:spacing w:val="-2"/>
          <w:sz w:val="20"/>
        </w:rPr>
        <w:t>(DS602)</w:t>
      </w:r>
      <w:r>
        <w:rPr>
          <w:sz w:val="20"/>
        </w:rPr>
        <w:tab/>
        <w:t>29</w:t>
      </w:r>
      <w:r>
        <w:rPr>
          <w:spacing w:val="-1"/>
          <w:sz w:val="20"/>
        </w:rPr>
        <w:t xml:space="preserve"> </w:t>
      </w:r>
      <w:r>
        <w:rPr>
          <w:sz w:val="20"/>
        </w:rPr>
        <w:t>April</w:t>
      </w:r>
      <w:r>
        <w:rPr>
          <w:spacing w:val="-2"/>
          <w:sz w:val="20"/>
        </w:rPr>
        <w:t xml:space="preserve"> </w:t>
      </w:r>
      <w:r>
        <w:rPr>
          <w:spacing w:val="-4"/>
          <w:sz w:val="20"/>
        </w:rPr>
        <w:t>2022</w:t>
      </w:r>
    </w:p>
    <w:p w14:paraId="51DE9BBF" w14:textId="77777777" w:rsidR="0010369C" w:rsidRDefault="008E43AE">
      <w:pPr>
        <w:spacing w:before="35" w:line="276" w:lineRule="auto"/>
        <w:ind w:left="1089" w:right="614"/>
      </w:pPr>
      <w:r>
        <w:t>findings and conclusions reached on all issues of fact and law considered material by the</w:t>
      </w:r>
      <w:r>
        <w:rPr>
          <w:spacing w:val="80"/>
          <w:w w:val="150"/>
        </w:rPr>
        <w:t xml:space="preserve"> </w:t>
      </w:r>
      <w:r>
        <w:t>investigating authorities.</w:t>
      </w:r>
    </w:p>
    <w:p w14:paraId="51DE9BC0" w14:textId="77777777" w:rsidR="0010369C" w:rsidRDefault="0010369C">
      <w:pPr>
        <w:pStyle w:val="BodyText"/>
        <w:spacing w:before="4"/>
        <w:rPr>
          <w:sz w:val="15"/>
        </w:rPr>
      </w:pPr>
    </w:p>
    <w:p w14:paraId="51DE9BC1" w14:textId="77777777" w:rsidR="0010369C" w:rsidRDefault="008E43AE">
      <w:pPr>
        <w:pStyle w:val="BodyText"/>
        <w:spacing w:before="51" w:line="362" w:lineRule="auto"/>
        <w:ind w:left="238" w:right="612" w:firstLine="851"/>
        <w:jc w:val="both"/>
      </w:pPr>
      <w:r>
        <w:rPr>
          <w:noProof/>
        </w:rPr>
        <w:drawing>
          <wp:anchor distT="0" distB="0" distL="0" distR="0" simplePos="0" relativeHeight="251639296" behindDoc="1" locked="0" layoutInCell="1" allowOverlap="1" wp14:anchorId="51DEA930" wp14:editId="51DEA931">
            <wp:simplePos x="0" y="0"/>
            <wp:positionH relativeFrom="page">
              <wp:posOffset>908303</wp:posOffset>
            </wp:positionH>
            <wp:positionV relativeFrom="paragraph">
              <wp:posOffset>75388</wp:posOffset>
            </wp:positionV>
            <wp:extent cx="332231" cy="106679"/>
            <wp:effectExtent l="0" t="0" r="0" b="0"/>
            <wp:wrapNone/>
            <wp:docPr id="2101" name="image10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 name="image1078.png"/>
                    <pic:cNvPicPr/>
                  </pic:nvPicPr>
                  <pic:blipFill>
                    <a:blip r:embed="rId1383" cstate="print"/>
                    <a:stretch>
                      <a:fillRect/>
                    </a:stretch>
                  </pic:blipFill>
                  <pic:spPr>
                    <a:xfrm>
                      <a:off x="0" y="0"/>
                      <a:ext cx="332231" cy="106679"/>
                    </a:xfrm>
                    <a:prstGeom prst="rect">
                      <a:avLst/>
                    </a:prstGeom>
                  </pic:spPr>
                </pic:pic>
              </a:graphicData>
            </a:graphic>
          </wp:anchor>
        </w:drawing>
      </w:r>
      <w:r>
        <w:t>The disclosure obligations in relation to final affirmative determinations are elaborated in Article 12.2.2 as follows:</w:t>
      </w:r>
    </w:p>
    <w:p w14:paraId="51DE9BC2" w14:textId="77777777" w:rsidR="0010369C" w:rsidRDefault="008E43AE">
      <w:pPr>
        <w:spacing w:before="156" w:line="276" w:lineRule="auto"/>
        <w:ind w:left="1088" w:right="613"/>
        <w:jc w:val="both"/>
      </w:pPr>
      <w:r>
        <w:t>A public notice of conclusion or suspension of an investigation in the case of an affirmative determination providing for the imposition</w:t>
      </w:r>
      <w:r>
        <w:t xml:space="preserve"> of a definitive duty or the acceptance of a price undertaking</w:t>
      </w:r>
      <w:r>
        <w:rPr>
          <w:spacing w:val="-13"/>
        </w:rPr>
        <w:t xml:space="preserve"> </w:t>
      </w:r>
      <w:r>
        <w:t>shall</w:t>
      </w:r>
      <w:r>
        <w:rPr>
          <w:spacing w:val="-12"/>
        </w:rPr>
        <w:t xml:space="preserve"> </w:t>
      </w:r>
      <w:r>
        <w:t>contain,</w:t>
      </w:r>
      <w:r>
        <w:rPr>
          <w:spacing w:val="-13"/>
        </w:rPr>
        <w:t xml:space="preserve"> </w:t>
      </w:r>
      <w:r>
        <w:t>or</w:t>
      </w:r>
      <w:r>
        <w:rPr>
          <w:spacing w:val="-12"/>
        </w:rPr>
        <w:t xml:space="preserve"> </w:t>
      </w:r>
      <w:r>
        <w:t>otherwise</w:t>
      </w:r>
      <w:r>
        <w:rPr>
          <w:spacing w:val="-13"/>
        </w:rPr>
        <w:t xml:space="preserve"> </w:t>
      </w:r>
      <w:r>
        <w:t>make</w:t>
      </w:r>
      <w:r>
        <w:rPr>
          <w:spacing w:val="-12"/>
        </w:rPr>
        <w:t xml:space="preserve"> </w:t>
      </w:r>
      <w:r>
        <w:t>available</w:t>
      </w:r>
      <w:r>
        <w:rPr>
          <w:spacing w:val="-13"/>
        </w:rPr>
        <w:t xml:space="preserve"> </w:t>
      </w:r>
      <w:r>
        <w:t>through</w:t>
      </w:r>
      <w:r>
        <w:rPr>
          <w:spacing w:val="-12"/>
        </w:rPr>
        <w:t xml:space="preserve"> </w:t>
      </w:r>
      <w:r>
        <w:t>a</w:t>
      </w:r>
      <w:r>
        <w:rPr>
          <w:spacing w:val="-12"/>
        </w:rPr>
        <w:t xml:space="preserve"> </w:t>
      </w:r>
      <w:r>
        <w:t>separate</w:t>
      </w:r>
      <w:r>
        <w:rPr>
          <w:spacing w:val="-13"/>
        </w:rPr>
        <w:t xml:space="preserve"> </w:t>
      </w:r>
      <w:r>
        <w:t>report,</w:t>
      </w:r>
      <w:r>
        <w:rPr>
          <w:spacing w:val="-12"/>
        </w:rPr>
        <w:t xml:space="preserve"> </w:t>
      </w:r>
      <w:r>
        <w:t>all</w:t>
      </w:r>
      <w:r>
        <w:rPr>
          <w:spacing w:val="-13"/>
        </w:rPr>
        <w:t xml:space="preserve"> </w:t>
      </w:r>
      <w:r>
        <w:t>relevant information on the matters of fact and law and reasons which have led to the imposition of final measures or t</w:t>
      </w:r>
      <w:r>
        <w:t>he acceptance of a price undertaking, due regard being paid to the requirement</w:t>
      </w:r>
      <w:r>
        <w:rPr>
          <w:spacing w:val="-9"/>
        </w:rPr>
        <w:t xml:space="preserve"> </w:t>
      </w:r>
      <w:r>
        <w:t>for</w:t>
      </w:r>
      <w:r>
        <w:rPr>
          <w:spacing w:val="-9"/>
        </w:rPr>
        <w:t xml:space="preserve"> </w:t>
      </w:r>
      <w:r>
        <w:t>the</w:t>
      </w:r>
      <w:r>
        <w:rPr>
          <w:spacing w:val="-9"/>
        </w:rPr>
        <w:t xml:space="preserve"> </w:t>
      </w:r>
      <w:r>
        <w:t>protection</w:t>
      </w:r>
      <w:r>
        <w:rPr>
          <w:spacing w:val="-9"/>
        </w:rPr>
        <w:t xml:space="preserve"> </w:t>
      </w:r>
      <w:r>
        <w:t>of</w:t>
      </w:r>
      <w:r>
        <w:rPr>
          <w:spacing w:val="-9"/>
        </w:rPr>
        <w:t xml:space="preserve"> </w:t>
      </w:r>
      <w:r>
        <w:t>confidential</w:t>
      </w:r>
      <w:r>
        <w:rPr>
          <w:spacing w:val="-10"/>
        </w:rPr>
        <w:t xml:space="preserve"> </w:t>
      </w:r>
      <w:r>
        <w:t>information.</w:t>
      </w:r>
      <w:r>
        <w:rPr>
          <w:spacing w:val="-9"/>
        </w:rPr>
        <w:t xml:space="preserve"> </w:t>
      </w:r>
      <w:r>
        <w:t>In</w:t>
      </w:r>
      <w:r>
        <w:rPr>
          <w:spacing w:val="-9"/>
        </w:rPr>
        <w:t xml:space="preserve"> </w:t>
      </w:r>
      <w:r>
        <w:t>particular,</w:t>
      </w:r>
      <w:r>
        <w:rPr>
          <w:spacing w:val="-9"/>
        </w:rPr>
        <w:t xml:space="preserve"> </w:t>
      </w:r>
      <w:r>
        <w:t>the</w:t>
      </w:r>
      <w:r>
        <w:rPr>
          <w:spacing w:val="-9"/>
        </w:rPr>
        <w:t xml:space="preserve"> </w:t>
      </w:r>
      <w:r>
        <w:t>notice</w:t>
      </w:r>
      <w:r>
        <w:rPr>
          <w:spacing w:val="-9"/>
        </w:rPr>
        <w:t xml:space="preserve"> </w:t>
      </w:r>
      <w:r>
        <w:t>or</w:t>
      </w:r>
      <w:r>
        <w:rPr>
          <w:spacing w:val="-9"/>
        </w:rPr>
        <w:t xml:space="preserve"> </w:t>
      </w:r>
      <w:r>
        <w:t>report shall contain the information described in subparagraph 2.1, as well as the reasons for the a</w:t>
      </w:r>
      <w:r>
        <w:t>cceptance or rejection of relevant arguments or claims made by the exporters and importers, and the basis for any decision made under subparagraph 10.2 of Article 6.</w:t>
      </w:r>
    </w:p>
    <w:p w14:paraId="51DE9BC3" w14:textId="77777777" w:rsidR="0010369C" w:rsidRDefault="0010369C">
      <w:pPr>
        <w:pStyle w:val="BodyText"/>
        <w:spacing w:before="4"/>
        <w:rPr>
          <w:sz w:val="15"/>
        </w:rPr>
      </w:pPr>
    </w:p>
    <w:p w14:paraId="51DE9BC4" w14:textId="77777777" w:rsidR="0010369C" w:rsidRDefault="008E43AE">
      <w:pPr>
        <w:pStyle w:val="BodyText"/>
        <w:spacing w:before="51" w:line="360" w:lineRule="auto"/>
        <w:ind w:left="237" w:right="613" w:firstLine="851"/>
        <w:jc w:val="both"/>
      </w:pPr>
      <w:r>
        <w:rPr>
          <w:noProof/>
        </w:rPr>
        <w:drawing>
          <wp:anchor distT="0" distB="0" distL="0" distR="0" simplePos="0" relativeHeight="251640320" behindDoc="1" locked="0" layoutInCell="1" allowOverlap="1" wp14:anchorId="51DEA932" wp14:editId="51DEA933">
            <wp:simplePos x="0" y="0"/>
            <wp:positionH relativeFrom="page">
              <wp:posOffset>908303</wp:posOffset>
            </wp:positionH>
            <wp:positionV relativeFrom="paragraph">
              <wp:posOffset>79960</wp:posOffset>
            </wp:positionV>
            <wp:extent cx="332231" cy="103631"/>
            <wp:effectExtent l="0" t="0" r="0" b="0"/>
            <wp:wrapNone/>
            <wp:docPr id="2103" name="image10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 name="image1079.png"/>
                    <pic:cNvPicPr/>
                  </pic:nvPicPr>
                  <pic:blipFill>
                    <a:blip r:embed="rId1384" cstate="print"/>
                    <a:stretch>
                      <a:fillRect/>
                    </a:stretch>
                  </pic:blipFill>
                  <pic:spPr>
                    <a:xfrm>
                      <a:off x="0" y="0"/>
                      <a:ext cx="332231" cy="103631"/>
                    </a:xfrm>
                    <a:prstGeom prst="rect">
                      <a:avLst/>
                    </a:prstGeom>
                  </pic:spPr>
                </pic:pic>
              </a:graphicData>
            </a:graphic>
          </wp:anchor>
        </w:drawing>
      </w:r>
      <w:r>
        <w:t>A notice of final determination must contain or otherwise make available through a separ</w:t>
      </w:r>
      <w:r>
        <w:t>ate report all relevant information, in sufficient detail, on the matters of fact and law and</w:t>
      </w:r>
      <w:r>
        <w:rPr>
          <w:spacing w:val="-3"/>
        </w:rPr>
        <w:t xml:space="preserve"> </w:t>
      </w:r>
      <w:r>
        <w:t>reasons</w:t>
      </w:r>
      <w:r>
        <w:rPr>
          <w:spacing w:val="-4"/>
        </w:rPr>
        <w:t xml:space="preserve"> </w:t>
      </w:r>
      <w:r>
        <w:t>which</w:t>
      </w:r>
      <w:r>
        <w:rPr>
          <w:spacing w:val="-3"/>
        </w:rPr>
        <w:t xml:space="preserve"> </w:t>
      </w:r>
      <w:r>
        <w:t>have led</w:t>
      </w:r>
      <w:r>
        <w:rPr>
          <w:spacing w:val="-2"/>
        </w:rPr>
        <w:t xml:space="preserve"> </w:t>
      </w:r>
      <w:r>
        <w:t>to</w:t>
      </w:r>
      <w:r>
        <w:rPr>
          <w:spacing w:val="-2"/>
        </w:rPr>
        <w:t xml:space="preserve"> </w:t>
      </w:r>
      <w:r>
        <w:t>the</w:t>
      </w:r>
      <w:r>
        <w:rPr>
          <w:spacing w:val="-2"/>
        </w:rPr>
        <w:t xml:space="preserve"> </w:t>
      </w:r>
      <w:r>
        <w:t>imposition</w:t>
      </w:r>
      <w:r>
        <w:rPr>
          <w:spacing w:val="-2"/>
        </w:rPr>
        <w:t xml:space="preserve"> </w:t>
      </w:r>
      <w:r>
        <w:t>of</w:t>
      </w:r>
      <w:r>
        <w:rPr>
          <w:spacing w:val="-3"/>
        </w:rPr>
        <w:t xml:space="preserve"> </w:t>
      </w:r>
      <w:r>
        <w:t>final</w:t>
      </w:r>
      <w:r>
        <w:rPr>
          <w:spacing w:val="-2"/>
        </w:rPr>
        <w:t xml:space="preserve"> </w:t>
      </w:r>
      <w:r>
        <w:t>measures,</w:t>
      </w:r>
      <w:r>
        <w:rPr>
          <w:spacing w:val="-3"/>
        </w:rPr>
        <w:t xml:space="preserve"> </w:t>
      </w:r>
      <w:r>
        <w:t>including</w:t>
      </w:r>
      <w:r>
        <w:rPr>
          <w:spacing w:val="-2"/>
        </w:rPr>
        <w:t xml:space="preserve"> </w:t>
      </w:r>
      <w:r>
        <w:t>the</w:t>
      </w:r>
      <w:r>
        <w:rPr>
          <w:spacing w:val="-2"/>
        </w:rPr>
        <w:t xml:space="preserve"> </w:t>
      </w:r>
      <w:r>
        <w:t>reasons</w:t>
      </w:r>
      <w:r>
        <w:rPr>
          <w:spacing w:val="-4"/>
        </w:rPr>
        <w:t xml:space="preserve"> </w:t>
      </w:r>
      <w:r>
        <w:t>for</w:t>
      </w:r>
      <w:r>
        <w:rPr>
          <w:spacing w:val="-2"/>
        </w:rPr>
        <w:t xml:space="preserve"> </w:t>
      </w:r>
      <w:r>
        <w:t>the acceptance or rejection of relevant arguments or claims made by the exporters and importers.</w:t>
      </w:r>
      <w:r>
        <w:rPr>
          <w:vertAlign w:val="superscript"/>
        </w:rPr>
        <w:t>1231</w:t>
      </w:r>
      <w:r>
        <w:t xml:space="preserve"> Article 12.2.2 provides that the notices must contain, </w:t>
      </w:r>
      <w:r>
        <w:rPr>
          <w:i/>
        </w:rPr>
        <w:t>inter alia</w:t>
      </w:r>
      <w:r>
        <w:t>, the following information listed in Article 12.2.1:</w:t>
      </w:r>
    </w:p>
    <w:p w14:paraId="51DE9BC5" w14:textId="77777777" w:rsidR="0010369C" w:rsidRDefault="008E43AE">
      <w:pPr>
        <w:pStyle w:val="ListParagraph"/>
        <w:numPr>
          <w:ilvl w:val="0"/>
          <w:numId w:val="15"/>
        </w:numPr>
        <w:tabs>
          <w:tab w:val="left" w:pos="1315"/>
        </w:tabs>
        <w:spacing w:before="162"/>
        <w:jc w:val="both"/>
      </w:pPr>
      <w:r>
        <w:rPr>
          <w:w w:val="95"/>
        </w:rPr>
        <w:t>the</w:t>
      </w:r>
      <w:r>
        <w:rPr>
          <w:spacing w:val="10"/>
        </w:rPr>
        <w:t xml:space="preserve"> </w:t>
      </w:r>
      <w:r>
        <w:rPr>
          <w:w w:val="95"/>
        </w:rPr>
        <w:t>names</w:t>
      </w:r>
      <w:r>
        <w:rPr>
          <w:spacing w:val="13"/>
        </w:rPr>
        <w:t xml:space="preserve"> </w:t>
      </w:r>
      <w:r>
        <w:rPr>
          <w:w w:val="95"/>
        </w:rPr>
        <w:t>of</w:t>
      </w:r>
      <w:r>
        <w:rPr>
          <w:spacing w:val="11"/>
        </w:rPr>
        <w:t xml:space="preserve"> </w:t>
      </w:r>
      <w:r>
        <w:rPr>
          <w:w w:val="95"/>
        </w:rPr>
        <w:t>the</w:t>
      </w:r>
      <w:r>
        <w:rPr>
          <w:spacing w:val="10"/>
        </w:rPr>
        <w:t xml:space="preserve"> </w:t>
      </w:r>
      <w:r>
        <w:rPr>
          <w:w w:val="95"/>
        </w:rPr>
        <w:t>suppliers,</w:t>
      </w:r>
      <w:r>
        <w:rPr>
          <w:spacing w:val="11"/>
        </w:rPr>
        <w:t xml:space="preserve"> </w:t>
      </w:r>
      <w:r>
        <w:rPr>
          <w:w w:val="95"/>
        </w:rPr>
        <w:t>or</w:t>
      </w:r>
      <w:r>
        <w:rPr>
          <w:spacing w:val="10"/>
        </w:rPr>
        <w:t xml:space="preserve"> </w:t>
      </w:r>
      <w:r>
        <w:rPr>
          <w:w w:val="95"/>
        </w:rPr>
        <w:t>when</w:t>
      </w:r>
      <w:r>
        <w:rPr>
          <w:spacing w:val="9"/>
        </w:rPr>
        <w:t xml:space="preserve"> </w:t>
      </w:r>
      <w:r>
        <w:rPr>
          <w:w w:val="95"/>
        </w:rPr>
        <w:t>this</w:t>
      </w:r>
      <w:r>
        <w:rPr>
          <w:spacing w:val="10"/>
        </w:rPr>
        <w:t xml:space="preserve"> </w:t>
      </w:r>
      <w:r>
        <w:rPr>
          <w:w w:val="95"/>
        </w:rPr>
        <w:t>is</w:t>
      </w:r>
      <w:r>
        <w:rPr>
          <w:spacing w:val="11"/>
        </w:rPr>
        <w:t xml:space="preserve"> </w:t>
      </w:r>
      <w:r>
        <w:rPr>
          <w:w w:val="95"/>
        </w:rPr>
        <w:t>impracticable,</w:t>
      </w:r>
      <w:r>
        <w:rPr>
          <w:spacing w:val="13"/>
        </w:rPr>
        <w:t xml:space="preserve"> </w:t>
      </w:r>
      <w:r>
        <w:rPr>
          <w:w w:val="95"/>
        </w:rPr>
        <w:t>the</w:t>
      </w:r>
      <w:r>
        <w:rPr>
          <w:spacing w:val="12"/>
        </w:rPr>
        <w:t xml:space="preserve"> </w:t>
      </w:r>
      <w:r>
        <w:rPr>
          <w:w w:val="95"/>
        </w:rPr>
        <w:t>supplying</w:t>
      </w:r>
      <w:r>
        <w:rPr>
          <w:spacing w:val="12"/>
        </w:rPr>
        <w:t xml:space="preserve"> </w:t>
      </w:r>
      <w:r>
        <w:rPr>
          <w:w w:val="95"/>
        </w:rPr>
        <w:t>countries</w:t>
      </w:r>
      <w:r>
        <w:rPr>
          <w:spacing w:val="10"/>
        </w:rPr>
        <w:t xml:space="preserve"> </w:t>
      </w:r>
      <w:r>
        <w:rPr>
          <w:spacing w:val="-2"/>
          <w:w w:val="95"/>
        </w:rPr>
        <w:t>involved;</w:t>
      </w:r>
    </w:p>
    <w:p w14:paraId="51DE9BC6" w14:textId="77777777" w:rsidR="0010369C" w:rsidRDefault="0010369C">
      <w:pPr>
        <w:pStyle w:val="BodyText"/>
        <w:spacing w:before="11"/>
        <w:rPr>
          <w:sz w:val="22"/>
        </w:rPr>
      </w:pPr>
    </w:p>
    <w:p w14:paraId="51DE9BC7" w14:textId="77777777" w:rsidR="0010369C" w:rsidRDefault="008E43AE">
      <w:pPr>
        <w:pStyle w:val="ListParagraph"/>
        <w:numPr>
          <w:ilvl w:val="0"/>
          <w:numId w:val="15"/>
        </w:numPr>
        <w:tabs>
          <w:tab w:val="left" w:pos="1375"/>
        </w:tabs>
        <w:spacing w:before="0"/>
        <w:ind w:left="1374" w:hanging="286"/>
        <w:jc w:val="both"/>
      </w:pPr>
      <w:r>
        <w:t>a</w:t>
      </w:r>
      <w:r>
        <w:rPr>
          <w:spacing w:val="-6"/>
        </w:rPr>
        <w:t xml:space="preserve"> </w:t>
      </w:r>
      <w:r>
        <w:t>description</w:t>
      </w:r>
      <w:r>
        <w:rPr>
          <w:spacing w:val="-5"/>
        </w:rPr>
        <w:t xml:space="preserve"> </w:t>
      </w:r>
      <w:r>
        <w:t>of</w:t>
      </w:r>
      <w:r>
        <w:rPr>
          <w:spacing w:val="-6"/>
        </w:rPr>
        <w:t xml:space="preserve"> </w:t>
      </w:r>
      <w:r>
        <w:t>the</w:t>
      </w:r>
      <w:r>
        <w:rPr>
          <w:spacing w:val="-5"/>
        </w:rPr>
        <w:t xml:space="preserve"> </w:t>
      </w:r>
      <w:r>
        <w:t>product</w:t>
      </w:r>
      <w:r>
        <w:rPr>
          <w:spacing w:val="-6"/>
        </w:rPr>
        <w:t xml:space="preserve"> </w:t>
      </w:r>
      <w:r>
        <w:t>which</w:t>
      </w:r>
      <w:r>
        <w:rPr>
          <w:spacing w:val="-5"/>
        </w:rPr>
        <w:t xml:space="preserve"> </w:t>
      </w:r>
      <w:r>
        <w:t>is</w:t>
      </w:r>
      <w:r>
        <w:rPr>
          <w:spacing w:val="-4"/>
        </w:rPr>
        <w:t xml:space="preserve"> </w:t>
      </w:r>
      <w:r>
        <w:t>sufficient</w:t>
      </w:r>
      <w:r>
        <w:rPr>
          <w:spacing w:val="-5"/>
        </w:rPr>
        <w:t xml:space="preserve"> </w:t>
      </w:r>
      <w:r>
        <w:t>for</w:t>
      </w:r>
      <w:r>
        <w:rPr>
          <w:spacing w:val="-4"/>
        </w:rPr>
        <w:t xml:space="preserve"> </w:t>
      </w:r>
      <w:r>
        <w:t>customs</w:t>
      </w:r>
      <w:r>
        <w:rPr>
          <w:spacing w:val="-4"/>
        </w:rPr>
        <w:t xml:space="preserve"> </w:t>
      </w:r>
      <w:r>
        <w:rPr>
          <w:spacing w:val="-2"/>
        </w:rPr>
        <w:t>purposes;</w:t>
      </w:r>
    </w:p>
    <w:p w14:paraId="51DE9BC8" w14:textId="77777777" w:rsidR="0010369C" w:rsidRDefault="0010369C">
      <w:pPr>
        <w:pStyle w:val="BodyText"/>
        <w:rPr>
          <w:sz w:val="23"/>
        </w:rPr>
      </w:pPr>
    </w:p>
    <w:p w14:paraId="51DE9BC9" w14:textId="77777777" w:rsidR="0010369C" w:rsidRDefault="008E43AE">
      <w:pPr>
        <w:pStyle w:val="ListParagraph"/>
        <w:numPr>
          <w:ilvl w:val="0"/>
          <w:numId w:val="15"/>
        </w:numPr>
        <w:tabs>
          <w:tab w:val="left" w:pos="1476"/>
        </w:tabs>
        <w:spacing w:before="0" w:line="276" w:lineRule="auto"/>
        <w:ind w:left="1088" w:right="613" w:firstLine="0"/>
        <w:jc w:val="both"/>
      </w:pPr>
      <w:r>
        <w:t>the margins of dumping established and a full explanation of the reasons for the methodology used in the establishment and com</w:t>
      </w:r>
      <w:r>
        <w:t>parison</w:t>
      </w:r>
      <w:r>
        <w:rPr>
          <w:spacing w:val="-1"/>
        </w:rPr>
        <w:t xml:space="preserve"> </w:t>
      </w:r>
      <w:r>
        <w:t>of the export</w:t>
      </w:r>
      <w:r>
        <w:rPr>
          <w:spacing w:val="-1"/>
        </w:rPr>
        <w:t xml:space="preserve"> </w:t>
      </w:r>
      <w:r>
        <w:t>price and the normal value under Article 2;</w:t>
      </w:r>
    </w:p>
    <w:p w14:paraId="51DE9BCA" w14:textId="77777777" w:rsidR="0010369C" w:rsidRDefault="0010369C">
      <w:pPr>
        <w:pStyle w:val="BodyText"/>
        <w:spacing w:before="8"/>
        <w:rPr>
          <w:sz w:val="19"/>
        </w:rPr>
      </w:pPr>
    </w:p>
    <w:p w14:paraId="51DE9BCB" w14:textId="77777777" w:rsidR="0010369C" w:rsidRDefault="008E43AE">
      <w:pPr>
        <w:pStyle w:val="ListParagraph"/>
        <w:numPr>
          <w:ilvl w:val="0"/>
          <w:numId w:val="15"/>
        </w:numPr>
        <w:tabs>
          <w:tab w:val="left" w:pos="1423"/>
        </w:tabs>
        <w:spacing w:before="0"/>
        <w:ind w:left="1422" w:hanging="334"/>
        <w:jc w:val="both"/>
      </w:pPr>
      <w:r>
        <w:t>considerations</w:t>
      </w:r>
      <w:r>
        <w:rPr>
          <w:spacing w:val="-7"/>
        </w:rPr>
        <w:t xml:space="preserve"> </w:t>
      </w:r>
      <w:r>
        <w:t>relevant</w:t>
      </w:r>
      <w:r>
        <w:rPr>
          <w:spacing w:val="-8"/>
        </w:rPr>
        <w:t xml:space="preserve"> </w:t>
      </w:r>
      <w:r>
        <w:t>to</w:t>
      </w:r>
      <w:r>
        <w:rPr>
          <w:spacing w:val="-5"/>
        </w:rPr>
        <w:t xml:space="preserve"> </w:t>
      </w:r>
      <w:r>
        <w:t>the</w:t>
      </w:r>
      <w:r>
        <w:rPr>
          <w:spacing w:val="-6"/>
        </w:rPr>
        <w:t xml:space="preserve"> </w:t>
      </w:r>
      <w:r>
        <w:t>injury</w:t>
      </w:r>
      <w:r>
        <w:rPr>
          <w:spacing w:val="-5"/>
        </w:rPr>
        <w:t xml:space="preserve"> </w:t>
      </w:r>
      <w:r>
        <w:t>determination</w:t>
      </w:r>
      <w:r>
        <w:rPr>
          <w:spacing w:val="-6"/>
        </w:rPr>
        <w:t xml:space="preserve"> </w:t>
      </w:r>
      <w:r>
        <w:t>as</w:t>
      </w:r>
      <w:r>
        <w:rPr>
          <w:spacing w:val="-7"/>
        </w:rPr>
        <w:t xml:space="preserve"> </w:t>
      </w:r>
      <w:r>
        <w:t>set</w:t>
      </w:r>
      <w:r>
        <w:rPr>
          <w:spacing w:val="-6"/>
        </w:rPr>
        <w:t xml:space="preserve"> </w:t>
      </w:r>
      <w:r>
        <w:t>out</w:t>
      </w:r>
      <w:r>
        <w:rPr>
          <w:spacing w:val="-7"/>
        </w:rPr>
        <w:t xml:space="preserve"> </w:t>
      </w:r>
      <w:r>
        <w:t>in</w:t>
      </w:r>
      <w:r>
        <w:rPr>
          <w:spacing w:val="-7"/>
        </w:rPr>
        <w:t xml:space="preserve"> </w:t>
      </w:r>
      <w:r>
        <w:t>Article</w:t>
      </w:r>
      <w:r>
        <w:rPr>
          <w:spacing w:val="-8"/>
        </w:rPr>
        <w:t xml:space="preserve"> </w:t>
      </w:r>
      <w:r>
        <w:rPr>
          <w:spacing w:val="-5"/>
        </w:rPr>
        <w:t>3;</w:t>
      </w:r>
    </w:p>
    <w:p w14:paraId="51DE9BCC" w14:textId="77777777" w:rsidR="0010369C" w:rsidRDefault="0010369C">
      <w:pPr>
        <w:pStyle w:val="BodyText"/>
        <w:spacing w:before="11"/>
        <w:rPr>
          <w:sz w:val="22"/>
        </w:rPr>
      </w:pPr>
    </w:p>
    <w:p w14:paraId="51DE9BCD" w14:textId="77777777" w:rsidR="0010369C" w:rsidRDefault="008E43AE">
      <w:pPr>
        <w:pStyle w:val="ListParagraph"/>
        <w:numPr>
          <w:ilvl w:val="0"/>
          <w:numId w:val="15"/>
        </w:numPr>
        <w:tabs>
          <w:tab w:val="left" w:pos="1373"/>
        </w:tabs>
        <w:spacing w:before="0"/>
        <w:ind w:left="1372" w:hanging="284"/>
        <w:jc w:val="both"/>
      </w:pPr>
      <w:r>
        <w:t>the</w:t>
      </w:r>
      <w:r>
        <w:rPr>
          <w:spacing w:val="-7"/>
        </w:rPr>
        <w:t xml:space="preserve"> </w:t>
      </w:r>
      <w:r>
        <w:t>main</w:t>
      </w:r>
      <w:r>
        <w:rPr>
          <w:spacing w:val="-5"/>
        </w:rPr>
        <w:t xml:space="preserve"> </w:t>
      </w:r>
      <w:r>
        <w:t>reasons</w:t>
      </w:r>
      <w:r>
        <w:rPr>
          <w:spacing w:val="-6"/>
        </w:rPr>
        <w:t xml:space="preserve"> </w:t>
      </w:r>
      <w:r>
        <w:t>leading</w:t>
      </w:r>
      <w:r>
        <w:rPr>
          <w:spacing w:val="-7"/>
        </w:rPr>
        <w:t xml:space="preserve"> </w:t>
      </w:r>
      <w:r>
        <w:t>to</w:t>
      </w:r>
      <w:r>
        <w:rPr>
          <w:spacing w:val="-4"/>
        </w:rPr>
        <w:t xml:space="preserve"> </w:t>
      </w:r>
      <w:r>
        <w:t>the</w:t>
      </w:r>
      <w:r>
        <w:rPr>
          <w:spacing w:val="-5"/>
        </w:rPr>
        <w:t xml:space="preserve"> </w:t>
      </w:r>
      <w:r>
        <w:rPr>
          <w:spacing w:val="-2"/>
        </w:rPr>
        <w:t>determination.</w:t>
      </w:r>
    </w:p>
    <w:p w14:paraId="51DE9BCE" w14:textId="77777777" w:rsidR="0010369C" w:rsidRDefault="0010369C">
      <w:pPr>
        <w:pStyle w:val="BodyText"/>
        <w:spacing w:before="9"/>
        <w:rPr>
          <w:sz w:val="18"/>
        </w:rPr>
      </w:pPr>
    </w:p>
    <w:p w14:paraId="51DE9BCF" w14:textId="77777777" w:rsidR="0010369C" w:rsidRDefault="008E43AE">
      <w:pPr>
        <w:pStyle w:val="BodyText"/>
        <w:spacing w:before="52" w:line="360" w:lineRule="auto"/>
        <w:ind w:left="237" w:right="613" w:firstLine="851"/>
        <w:jc w:val="both"/>
      </w:pPr>
      <w:r>
        <w:rPr>
          <w:noProof/>
        </w:rPr>
        <w:drawing>
          <wp:anchor distT="0" distB="0" distL="0" distR="0" simplePos="0" relativeHeight="251641344" behindDoc="1" locked="0" layoutInCell="1" allowOverlap="1" wp14:anchorId="51DEA934" wp14:editId="51DEA935">
            <wp:simplePos x="0" y="0"/>
            <wp:positionH relativeFrom="page">
              <wp:posOffset>908303</wp:posOffset>
            </wp:positionH>
            <wp:positionV relativeFrom="paragraph">
              <wp:posOffset>76785</wp:posOffset>
            </wp:positionV>
            <wp:extent cx="332231" cy="106679"/>
            <wp:effectExtent l="0" t="0" r="0" b="0"/>
            <wp:wrapNone/>
            <wp:docPr id="2105" name="image10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 name="image1080.png"/>
                    <pic:cNvPicPr/>
                  </pic:nvPicPr>
                  <pic:blipFill>
                    <a:blip r:embed="rId1385" cstate="print"/>
                    <a:stretch>
                      <a:fillRect/>
                    </a:stretch>
                  </pic:blipFill>
                  <pic:spPr>
                    <a:xfrm>
                      <a:off x="0" y="0"/>
                      <a:ext cx="332231" cy="106679"/>
                    </a:xfrm>
                    <a:prstGeom prst="rect">
                      <a:avLst/>
                    </a:prstGeom>
                  </pic:spPr>
                </pic:pic>
              </a:graphicData>
            </a:graphic>
          </wp:anchor>
        </w:drawing>
      </w:r>
      <w:r>
        <w:t>Article 12.2 requires that the notice or separate report set out in "sufficient detail" findings</w:t>
      </w:r>
      <w:r>
        <w:rPr>
          <w:spacing w:val="-14"/>
        </w:rPr>
        <w:t xml:space="preserve"> </w:t>
      </w:r>
      <w:r>
        <w:t>and</w:t>
      </w:r>
      <w:r>
        <w:rPr>
          <w:spacing w:val="-14"/>
        </w:rPr>
        <w:t xml:space="preserve"> </w:t>
      </w:r>
      <w:r>
        <w:t>conclusions</w:t>
      </w:r>
      <w:r>
        <w:rPr>
          <w:spacing w:val="-13"/>
        </w:rPr>
        <w:t xml:space="preserve"> </w:t>
      </w:r>
      <w:r>
        <w:t>on</w:t>
      </w:r>
      <w:r>
        <w:rPr>
          <w:spacing w:val="-14"/>
        </w:rPr>
        <w:t xml:space="preserve"> </w:t>
      </w:r>
      <w:r>
        <w:t>all</w:t>
      </w:r>
      <w:r>
        <w:rPr>
          <w:spacing w:val="-13"/>
        </w:rPr>
        <w:t xml:space="preserve"> </w:t>
      </w:r>
      <w:r>
        <w:t>issues</w:t>
      </w:r>
      <w:r>
        <w:rPr>
          <w:spacing w:val="-14"/>
        </w:rPr>
        <w:t xml:space="preserve"> </w:t>
      </w:r>
      <w:r>
        <w:t>of</w:t>
      </w:r>
      <w:r>
        <w:rPr>
          <w:spacing w:val="-13"/>
        </w:rPr>
        <w:t xml:space="preserve"> </w:t>
      </w:r>
      <w:r>
        <w:t>fact</w:t>
      </w:r>
      <w:r>
        <w:rPr>
          <w:spacing w:val="-14"/>
        </w:rPr>
        <w:t xml:space="preserve"> </w:t>
      </w:r>
      <w:r>
        <w:t>and</w:t>
      </w:r>
      <w:r>
        <w:rPr>
          <w:spacing w:val="-14"/>
        </w:rPr>
        <w:t xml:space="preserve"> </w:t>
      </w:r>
      <w:r>
        <w:t>law</w:t>
      </w:r>
      <w:r>
        <w:rPr>
          <w:spacing w:val="-13"/>
        </w:rPr>
        <w:t xml:space="preserve"> </w:t>
      </w:r>
      <w:r>
        <w:t>considered</w:t>
      </w:r>
      <w:r>
        <w:rPr>
          <w:spacing w:val="-14"/>
        </w:rPr>
        <w:t xml:space="preserve"> </w:t>
      </w:r>
      <w:r>
        <w:t>"material"</w:t>
      </w:r>
      <w:r>
        <w:rPr>
          <w:spacing w:val="-13"/>
        </w:rPr>
        <w:t xml:space="preserve"> </w:t>
      </w:r>
      <w:r>
        <w:t>by</w:t>
      </w:r>
      <w:r>
        <w:rPr>
          <w:spacing w:val="-14"/>
        </w:rPr>
        <w:t xml:space="preserve"> </w:t>
      </w:r>
      <w:r>
        <w:t>the</w:t>
      </w:r>
      <w:r>
        <w:rPr>
          <w:spacing w:val="-13"/>
        </w:rPr>
        <w:t xml:space="preserve"> </w:t>
      </w:r>
      <w:r>
        <w:t>investigating authorities.</w:t>
      </w:r>
      <w:r>
        <w:rPr>
          <w:spacing w:val="-14"/>
        </w:rPr>
        <w:t xml:space="preserve"> </w:t>
      </w:r>
      <w:r>
        <w:t>In</w:t>
      </w:r>
      <w:r>
        <w:rPr>
          <w:spacing w:val="-14"/>
        </w:rPr>
        <w:t xml:space="preserve"> </w:t>
      </w:r>
      <w:r>
        <w:rPr>
          <w:i/>
        </w:rPr>
        <w:t>EC</w:t>
      </w:r>
      <w:r>
        <w:rPr>
          <w:i/>
          <w:spacing w:val="-12"/>
        </w:rPr>
        <w:t xml:space="preserve"> </w:t>
      </w:r>
      <w:r>
        <w:rPr>
          <w:i/>
        </w:rPr>
        <w:t>–</w:t>
      </w:r>
      <w:r>
        <w:rPr>
          <w:i/>
          <w:spacing w:val="-14"/>
        </w:rPr>
        <w:t xml:space="preserve"> </w:t>
      </w:r>
      <w:r>
        <w:rPr>
          <w:i/>
        </w:rPr>
        <w:t>Tube</w:t>
      </w:r>
      <w:r>
        <w:rPr>
          <w:i/>
          <w:spacing w:val="-14"/>
        </w:rPr>
        <w:t xml:space="preserve"> </w:t>
      </w:r>
      <w:r>
        <w:rPr>
          <w:i/>
        </w:rPr>
        <w:t>or</w:t>
      </w:r>
      <w:r>
        <w:rPr>
          <w:i/>
          <w:spacing w:val="-12"/>
        </w:rPr>
        <w:t xml:space="preserve"> </w:t>
      </w:r>
      <w:r>
        <w:rPr>
          <w:i/>
        </w:rPr>
        <w:t>Pipe</w:t>
      </w:r>
      <w:r>
        <w:rPr>
          <w:i/>
          <w:spacing w:val="-14"/>
        </w:rPr>
        <w:t xml:space="preserve"> </w:t>
      </w:r>
      <w:r>
        <w:rPr>
          <w:i/>
        </w:rPr>
        <w:t>Fittings</w:t>
      </w:r>
      <w:r>
        <w:t>,</w:t>
      </w:r>
      <w:r>
        <w:rPr>
          <w:spacing w:val="-13"/>
        </w:rPr>
        <w:t xml:space="preserve"> </w:t>
      </w:r>
      <w:r>
        <w:t>the</w:t>
      </w:r>
      <w:r>
        <w:rPr>
          <w:spacing w:val="-13"/>
        </w:rPr>
        <w:t xml:space="preserve"> </w:t>
      </w:r>
      <w:r>
        <w:t>panel</w:t>
      </w:r>
      <w:r>
        <w:rPr>
          <w:spacing w:val="-13"/>
        </w:rPr>
        <w:t xml:space="preserve"> </w:t>
      </w:r>
      <w:r>
        <w:t>explained</w:t>
      </w:r>
      <w:r>
        <w:rPr>
          <w:spacing w:val="-14"/>
        </w:rPr>
        <w:t xml:space="preserve"> </w:t>
      </w:r>
      <w:r>
        <w:t>that,</w:t>
      </w:r>
      <w:r>
        <w:rPr>
          <w:spacing w:val="-13"/>
        </w:rPr>
        <w:t xml:space="preserve"> </w:t>
      </w:r>
      <w:r>
        <w:t>although</w:t>
      </w:r>
      <w:r>
        <w:rPr>
          <w:spacing w:val="-14"/>
        </w:rPr>
        <w:t xml:space="preserve"> </w:t>
      </w:r>
      <w:r>
        <w:t>it</w:t>
      </w:r>
      <w:r>
        <w:rPr>
          <w:spacing w:val="-12"/>
        </w:rPr>
        <w:t xml:space="preserve"> </w:t>
      </w:r>
      <w:r>
        <w:t>seems</w:t>
      </w:r>
      <w:r>
        <w:rPr>
          <w:spacing w:val="-14"/>
        </w:rPr>
        <w:t xml:space="preserve"> </w:t>
      </w:r>
      <w:r>
        <w:t>that</w:t>
      </w:r>
      <w:r>
        <w:rPr>
          <w:spacing w:val="-13"/>
        </w:rPr>
        <w:t xml:space="preserve"> </w:t>
      </w:r>
      <w:r>
        <w:t>there is a degree of subjectivity on the part of the investigating authority, there are still "certain objective</w:t>
      </w:r>
      <w:r>
        <w:rPr>
          <w:spacing w:val="11"/>
        </w:rPr>
        <w:t xml:space="preserve"> </w:t>
      </w:r>
      <w:r>
        <w:t>requirements</w:t>
      </w:r>
      <w:r>
        <w:rPr>
          <w:spacing w:val="8"/>
        </w:rPr>
        <w:t xml:space="preserve"> </w:t>
      </w:r>
      <w:r>
        <w:t>that</w:t>
      </w:r>
      <w:r>
        <w:rPr>
          <w:spacing w:val="10"/>
        </w:rPr>
        <w:t xml:space="preserve"> </w:t>
      </w:r>
      <w:r>
        <w:t>would</w:t>
      </w:r>
      <w:r>
        <w:rPr>
          <w:spacing w:val="10"/>
        </w:rPr>
        <w:t xml:space="preserve"> </w:t>
      </w:r>
      <w:r>
        <w:t>necessarily</w:t>
      </w:r>
      <w:r>
        <w:rPr>
          <w:spacing w:val="11"/>
        </w:rPr>
        <w:t xml:space="preserve"> </w:t>
      </w:r>
      <w:r>
        <w:t>require</w:t>
      </w:r>
      <w:r>
        <w:rPr>
          <w:spacing w:val="9"/>
        </w:rPr>
        <w:t xml:space="preserve"> </w:t>
      </w:r>
      <w:r>
        <w:t>reflection</w:t>
      </w:r>
      <w:r>
        <w:rPr>
          <w:spacing w:val="10"/>
        </w:rPr>
        <w:t xml:space="preserve"> </w:t>
      </w:r>
      <w:r>
        <w:t>in</w:t>
      </w:r>
      <w:r>
        <w:rPr>
          <w:spacing w:val="10"/>
        </w:rPr>
        <w:t xml:space="preserve"> </w:t>
      </w:r>
      <w:r>
        <w:t>the</w:t>
      </w:r>
      <w:r>
        <w:rPr>
          <w:spacing w:val="10"/>
        </w:rPr>
        <w:t xml:space="preserve"> </w:t>
      </w:r>
      <w:r>
        <w:t>public</w:t>
      </w:r>
      <w:r>
        <w:rPr>
          <w:spacing w:val="11"/>
        </w:rPr>
        <w:t xml:space="preserve"> </w:t>
      </w:r>
      <w:r>
        <w:t>report</w:t>
      </w:r>
      <w:r>
        <w:rPr>
          <w:spacing w:val="12"/>
        </w:rPr>
        <w:t xml:space="preserve"> </w:t>
      </w:r>
      <w:r>
        <w:t>of</w:t>
      </w:r>
      <w:r>
        <w:rPr>
          <w:spacing w:val="10"/>
        </w:rPr>
        <w:t xml:space="preserve"> </w:t>
      </w:r>
      <w:r>
        <w:rPr>
          <w:spacing w:val="-5"/>
        </w:rPr>
        <w:t>the</w:t>
      </w:r>
    </w:p>
    <w:p w14:paraId="51DE9BD0" w14:textId="77777777" w:rsidR="0010369C" w:rsidRDefault="008E43AE">
      <w:pPr>
        <w:pStyle w:val="BodyText"/>
        <w:spacing w:before="7"/>
        <w:rPr>
          <w:sz w:val="29"/>
        </w:rPr>
      </w:pPr>
      <w:r>
        <w:pict w14:anchorId="51DEA936">
          <v:rect id="docshape1458" o:spid="_x0000_s1061" style="position:absolute;margin-left:70.9pt;margin-top:19.3pt;width:2in;height:.8pt;z-index:-250670592;mso-wrap-distance-left:0;mso-wrap-distance-right:0;mso-position-horizontal-relative:page" fillcolor="black" stroked="f">
            <w10:wrap type="topAndBottom" anchorx="page"/>
          </v:rect>
        </w:pict>
      </w:r>
    </w:p>
    <w:p w14:paraId="51DE9BD1" w14:textId="77777777" w:rsidR="0010369C" w:rsidRDefault="008E43AE">
      <w:pPr>
        <w:spacing w:before="109"/>
        <w:ind w:left="238"/>
        <w:rPr>
          <w:sz w:val="18"/>
        </w:rPr>
      </w:pPr>
      <w:r>
        <w:rPr>
          <w:sz w:val="18"/>
          <w:vertAlign w:val="superscript"/>
        </w:rPr>
        <w:t>1231</w:t>
      </w:r>
      <w:r>
        <w:rPr>
          <w:spacing w:val="-7"/>
          <w:sz w:val="18"/>
        </w:rPr>
        <w:t xml:space="preserve"> </w:t>
      </w:r>
      <w:r>
        <w:rPr>
          <w:sz w:val="18"/>
        </w:rPr>
        <w:t>See</w:t>
      </w:r>
      <w:r>
        <w:rPr>
          <w:spacing w:val="-7"/>
          <w:sz w:val="18"/>
        </w:rPr>
        <w:t xml:space="preserve"> </w:t>
      </w:r>
      <w:r>
        <w:rPr>
          <w:sz w:val="18"/>
        </w:rPr>
        <w:t>Panel</w:t>
      </w:r>
      <w:r>
        <w:rPr>
          <w:spacing w:val="-7"/>
          <w:sz w:val="18"/>
        </w:rPr>
        <w:t xml:space="preserve"> </w:t>
      </w:r>
      <w:r>
        <w:rPr>
          <w:sz w:val="18"/>
        </w:rPr>
        <w:t>Repo</w:t>
      </w:r>
      <w:r>
        <w:rPr>
          <w:sz w:val="18"/>
        </w:rPr>
        <w:t>rt,</w:t>
      </w:r>
      <w:r>
        <w:rPr>
          <w:spacing w:val="-6"/>
          <w:sz w:val="18"/>
        </w:rPr>
        <w:t xml:space="preserve"> </w:t>
      </w:r>
      <w:r>
        <w:rPr>
          <w:i/>
          <w:sz w:val="18"/>
        </w:rPr>
        <w:t>China</w:t>
      </w:r>
      <w:r>
        <w:rPr>
          <w:i/>
          <w:spacing w:val="-6"/>
          <w:sz w:val="18"/>
        </w:rPr>
        <w:t xml:space="preserve"> </w:t>
      </w:r>
      <w:r>
        <w:rPr>
          <w:i/>
          <w:sz w:val="18"/>
        </w:rPr>
        <w:t>—</w:t>
      </w:r>
      <w:r>
        <w:rPr>
          <w:i/>
          <w:spacing w:val="-6"/>
          <w:sz w:val="18"/>
        </w:rPr>
        <w:t xml:space="preserve"> </w:t>
      </w:r>
      <w:r>
        <w:rPr>
          <w:i/>
          <w:sz w:val="18"/>
        </w:rPr>
        <w:t>Broiler</w:t>
      </w:r>
      <w:r>
        <w:rPr>
          <w:i/>
          <w:spacing w:val="-7"/>
          <w:sz w:val="18"/>
        </w:rPr>
        <w:t xml:space="preserve"> </w:t>
      </w:r>
      <w:r>
        <w:rPr>
          <w:i/>
          <w:sz w:val="18"/>
        </w:rPr>
        <w:t>Products</w:t>
      </w:r>
      <w:r>
        <w:rPr>
          <w:sz w:val="18"/>
        </w:rPr>
        <w:t>,</w:t>
      </w:r>
      <w:r>
        <w:rPr>
          <w:spacing w:val="-7"/>
          <w:sz w:val="18"/>
        </w:rPr>
        <w:t xml:space="preserve"> </w:t>
      </w:r>
      <w:r>
        <w:rPr>
          <w:sz w:val="18"/>
        </w:rPr>
        <w:t>para.</w:t>
      </w:r>
      <w:r>
        <w:rPr>
          <w:spacing w:val="-6"/>
          <w:sz w:val="18"/>
        </w:rPr>
        <w:t xml:space="preserve"> </w:t>
      </w:r>
      <w:r>
        <w:rPr>
          <w:spacing w:val="-2"/>
          <w:sz w:val="18"/>
        </w:rPr>
        <w:t>7.327.</w:t>
      </w:r>
    </w:p>
    <w:p w14:paraId="51DE9BD2" w14:textId="77777777" w:rsidR="0010369C" w:rsidRDefault="0010369C">
      <w:pPr>
        <w:rPr>
          <w:sz w:val="18"/>
        </w:rPr>
        <w:sectPr w:rsidR="0010369C">
          <w:pgSz w:w="11910" w:h="16840"/>
          <w:pgMar w:top="880" w:right="800" w:bottom="980" w:left="1180" w:header="569" w:footer="788" w:gutter="0"/>
          <w:cols w:space="720"/>
        </w:sectPr>
      </w:pPr>
    </w:p>
    <w:p w14:paraId="51DE9BD3" w14:textId="77777777" w:rsidR="0010369C" w:rsidRDefault="008E43AE">
      <w:pPr>
        <w:tabs>
          <w:tab w:val="left" w:pos="6425"/>
        </w:tabs>
        <w:ind w:left="238"/>
        <w:jc w:val="both"/>
        <w:rPr>
          <w:sz w:val="20"/>
        </w:rPr>
      </w:pPr>
      <w:r>
        <w:rPr>
          <w:i/>
          <w:sz w:val="20"/>
        </w:rPr>
        <w:lastRenderedPageBreak/>
        <w:t>China</w:t>
      </w:r>
      <w:r>
        <w:rPr>
          <w:i/>
          <w:spacing w:val="-5"/>
          <w:sz w:val="20"/>
        </w:rPr>
        <w:t xml:space="preserve"> </w:t>
      </w:r>
      <w:r>
        <w:rPr>
          <w:i/>
          <w:sz w:val="20"/>
        </w:rPr>
        <w:t>–</w:t>
      </w:r>
      <w:r>
        <w:rPr>
          <w:i/>
          <w:spacing w:val="-5"/>
          <w:sz w:val="20"/>
        </w:rPr>
        <w:t xml:space="preserve"> </w:t>
      </w:r>
      <w:r>
        <w:rPr>
          <w:i/>
          <w:sz w:val="20"/>
        </w:rPr>
        <w:t>Anti‐Dumping</w:t>
      </w:r>
      <w:r>
        <w:rPr>
          <w:i/>
          <w:spacing w:val="-4"/>
          <w:sz w:val="20"/>
        </w:rPr>
        <w:t xml:space="preserve"> </w:t>
      </w:r>
      <w:r>
        <w:rPr>
          <w:i/>
          <w:sz w:val="20"/>
        </w:rPr>
        <w:t>and</w:t>
      </w:r>
      <w:r>
        <w:rPr>
          <w:i/>
          <w:spacing w:val="-5"/>
          <w:sz w:val="20"/>
        </w:rPr>
        <w:t xml:space="preserve"> </w:t>
      </w:r>
      <w:r>
        <w:rPr>
          <w:i/>
          <w:sz w:val="20"/>
        </w:rPr>
        <w:t>Countervailing</w:t>
      </w:r>
      <w:r>
        <w:rPr>
          <w:i/>
          <w:spacing w:val="-5"/>
          <w:sz w:val="20"/>
        </w:rPr>
        <w:t xml:space="preserve"> </w:t>
      </w:r>
      <w:r>
        <w:rPr>
          <w:i/>
          <w:sz w:val="20"/>
        </w:rPr>
        <w:t>Duty</w:t>
      </w:r>
      <w:r>
        <w:rPr>
          <w:i/>
          <w:spacing w:val="-4"/>
          <w:sz w:val="20"/>
        </w:rPr>
        <w:t xml:space="preserve"> </w:t>
      </w:r>
      <w:r>
        <w:rPr>
          <w:i/>
          <w:spacing w:val="-2"/>
          <w:sz w:val="20"/>
        </w:rPr>
        <w:t>Measures</w:t>
      </w:r>
      <w:r>
        <w:rPr>
          <w:i/>
          <w:sz w:val="20"/>
        </w:rPr>
        <w:tab/>
      </w:r>
      <w:r>
        <w:rPr>
          <w:sz w:val="20"/>
        </w:rPr>
        <w:t>Australia's</w:t>
      </w:r>
      <w:r>
        <w:rPr>
          <w:spacing w:val="-7"/>
          <w:sz w:val="20"/>
        </w:rPr>
        <w:t xml:space="preserve"> </w:t>
      </w:r>
      <w:r>
        <w:rPr>
          <w:sz w:val="20"/>
        </w:rPr>
        <w:t>First</w:t>
      </w:r>
      <w:r>
        <w:rPr>
          <w:spacing w:val="-2"/>
          <w:sz w:val="20"/>
        </w:rPr>
        <w:t xml:space="preserve"> </w:t>
      </w:r>
      <w:r>
        <w:rPr>
          <w:sz w:val="20"/>
        </w:rPr>
        <w:t>Written</w:t>
      </w:r>
      <w:r>
        <w:rPr>
          <w:spacing w:val="-2"/>
          <w:sz w:val="20"/>
        </w:rPr>
        <w:t xml:space="preserve"> Submission</w:t>
      </w:r>
    </w:p>
    <w:p w14:paraId="51DE9BD4" w14:textId="77777777" w:rsidR="0010369C" w:rsidRDefault="008E43AE">
      <w:pPr>
        <w:tabs>
          <w:tab w:val="left" w:pos="8227"/>
        </w:tabs>
        <w:spacing w:before="1"/>
        <w:ind w:left="239"/>
        <w:jc w:val="both"/>
        <w:rPr>
          <w:sz w:val="20"/>
        </w:rPr>
      </w:pPr>
      <w:r>
        <w:rPr>
          <w:i/>
          <w:sz w:val="20"/>
        </w:rPr>
        <w:t>on</w:t>
      </w:r>
      <w:r>
        <w:rPr>
          <w:i/>
          <w:spacing w:val="-1"/>
          <w:sz w:val="20"/>
        </w:rPr>
        <w:t xml:space="preserve"> </w:t>
      </w:r>
      <w:r>
        <w:rPr>
          <w:i/>
          <w:sz w:val="20"/>
        </w:rPr>
        <w:t>Wine</w:t>
      </w:r>
      <w:r>
        <w:rPr>
          <w:i/>
          <w:spacing w:val="-1"/>
          <w:sz w:val="20"/>
        </w:rPr>
        <w:t xml:space="preserve"> </w:t>
      </w:r>
      <w:r>
        <w:rPr>
          <w:i/>
          <w:sz w:val="20"/>
        </w:rPr>
        <w:t>from</w:t>
      </w:r>
      <w:r>
        <w:rPr>
          <w:i/>
          <w:spacing w:val="-3"/>
          <w:sz w:val="20"/>
        </w:rPr>
        <w:t xml:space="preserve"> </w:t>
      </w:r>
      <w:r>
        <w:rPr>
          <w:i/>
          <w:sz w:val="20"/>
        </w:rPr>
        <w:t>Australia</w:t>
      </w:r>
      <w:r>
        <w:rPr>
          <w:i/>
          <w:spacing w:val="-1"/>
          <w:sz w:val="20"/>
        </w:rPr>
        <w:t xml:space="preserve"> </w:t>
      </w:r>
      <w:r>
        <w:rPr>
          <w:spacing w:val="-2"/>
          <w:sz w:val="20"/>
        </w:rPr>
        <w:t>(DS602)</w:t>
      </w:r>
      <w:r>
        <w:rPr>
          <w:sz w:val="20"/>
        </w:rPr>
        <w:tab/>
        <w:t>29</w:t>
      </w:r>
      <w:r>
        <w:rPr>
          <w:spacing w:val="-1"/>
          <w:sz w:val="20"/>
        </w:rPr>
        <w:t xml:space="preserve"> </w:t>
      </w:r>
      <w:r>
        <w:rPr>
          <w:sz w:val="20"/>
        </w:rPr>
        <w:t>April</w:t>
      </w:r>
      <w:r>
        <w:rPr>
          <w:spacing w:val="-2"/>
          <w:sz w:val="20"/>
        </w:rPr>
        <w:t xml:space="preserve"> </w:t>
      </w:r>
      <w:r>
        <w:rPr>
          <w:spacing w:val="-4"/>
          <w:sz w:val="20"/>
        </w:rPr>
        <w:t>2022</w:t>
      </w:r>
    </w:p>
    <w:p w14:paraId="51DE9BD5" w14:textId="77777777" w:rsidR="0010369C" w:rsidRDefault="008E43AE">
      <w:pPr>
        <w:pStyle w:val="BodyText"/>
        <w:spacing w:before="34" w:line="360" w:lineRule="auto"/>
        <w:ind w:left="237" w:right="614"/>
        <w:jc w:val="both"/>
      </w:pPr>
      <w:r>
        <w:t>investigation".</w:t>
      </w:r>
      <w:r>
        <w:rPr>
          <w:vertAlign w:val="superscript"/>
        </w:rPr>
        <w:t>1232</w:t>
      </w:r>
      <w:r>
        <w:t xml:space="preserve"> As such, a "material issue" is "an issue that has arisen in the course of the investigation</w:t>
      </w:r>
      <w:r>
        <w:rPr>
          <w:spacing w:val="-4"/>
        </w:rPr>
        <w:t xml:space="preserve"> </w:t>
      </w:r>
      <w:r>
        <w:t>that</w:t>
      </w:r>
      <w:r>
        <w:rPr>
          <w:spacing w:val="-5"/>
        </w:rPr>
        <w:t xml:space="preserve"> </w:t>
      </w:r>
      <w:r>
        <w:t>must</w:t>
      </w:r>
      <w:r>
        <w:rPr>
          <w:spacing w:val="-5"/>
        </w:rPr>
        <w:t xml:space="preserve"> </w:t>
      </w:r>
      <w:r>
        <w:t>necessarily</w:t>
      </w:r>
      <w:r>
        <w:rPr>
          <w:spacing w:val="-4"/>
        </w:rPr>
        <w:t xml:space="preserve"> </w:t>
      </w:r>
      <w:r>
        <w:t>be</w:t>
      </w:r>
      <w:r>
        <w:rPr>
          <w:spacing w:val="-4"/>
        </w:rPr>
        <w:t xml:space="preserve"> </w:t>
      </w:r>
      <w:r>
        <w:t>resolved</w:t>
      </w:r>
      <w:r>
        <w:rPr>
          <w:spacing w:val="-6"/>
        </w:rPr>
        <w:t xml:space="preserve"> </w:t>
      </w:r>
      <w:r>
        <w:t>in</w:t>
      </w:r>
      <w:r>
        <w:rPr>
          <w:spacing w:val="-5"/>
        </w:rPr>
        <w:t xml:space="preserve"> </w:t>
      </w:r>
      <w:r>
        <w:t>order</w:t>
      </w:r>
      <w:r>
        <w:rPr>
          <w:spacing w:val="-4"/>
        </w:rPr>
        <w:t xml:space="preserve"> </w:t>
      </w:r>
      <w:r>
        <w:t>for</w:t>
      </w:r>
      <w:r>
        <w:rPr>
          <w:spacing w:val="-6"/>
        </w:rPr>
        <w:t xml:space="preserve"> </w:t>
      </w:r>
      <w:r>
        <w:t>the</w:t>
      </w:r>
      <w:r>
        <w:rPr>
          <w:spacing w:val="-4"/>
        </w:rPr>
        <w:t xml:space="preserve"> </w:t>
      </w:r>
      <w:r>
        <w:t>investigating</w:t>
      </w:r>
      <w:r>
        <w:rPr>
          <w:spacing w:val="-4"/>
        </w:rPr>
        <w:t xml:space="preserve"> </w:t>
      </w:r>
      <w:r>
        <w:t>authorities</w:t>
      </w:r>
      <w:r>
        <w:rPr>
          <w:spacing w:val="-5"/>
        </w:rPr>
        <w:t xml:space="preserve"> </w:t>
      </w:r>
      <w:r>
        <w:t>to</w:t>
      </w:r>
      <w:r>
        <w:rPr>
          <w:spacing w:val="-4"/>
        </w:rPr>
        <w:t xml:space="preserve"> </w:t>
      </w:r>
      <w:r>
        <w:t>be able to reach their determination".</w:t>
      </w:r>
      <w:r>
        <w:rPr>
          <w:vertAlign w:val="superscript"/>
        </w:rPr>
        <w:t>1233</w:t>
      </w:r>
    </w:p>
    <w:p w14:paraId="51DE9BD6" w14:textId="77777777" w:rsidR="0010369C" w:rsidRDefault="0010369C">
      <w:pPr>
        <w:pStyle w:val="BodyText"/>
        <w:spacing w:before="11"/>
        <w:rPr>
          <w:sz w:val="8"/>
        </w:rPr>
      </w:pPr>
    </w:p>
    <w:p w14:paraId="51DE9BD7" w14:textId="77777777" w:rsidR="0010369C" w:rsidRDefault="008E43AE">
      <w:pPr>
        <w:pStyle w:val="BodyText"/>
        <w:spacing w:before="52" w:line="360" w:lineRule="auto"/>
        <w:ind w:left="236" w:right="613" w:firstLine="852"/>
        <w:jc w:val="both"/>
      </w:pPr>
      <w:r>
        <w:rPr>
          <w:noProof/>
        </w:rPr>
        <w:drawing>
          <wp:anchor distT="0" distB="0" distL="0" distR="0" simplePos="0" relativeHeight="251642368" behindDoc="1" locked="0" layoutInCell="1" allowOverlap="1" wp14:anchorId="51DEA937" wp14:editId="51DEA938">
            <wp:simplePos x="0" y="0"/>
            <wp:positionH relativeFrom="page">
              <wp:posOffset>908303</wp:posOffset>
            </wp:positionH>
            <wp:positionV relativeFrom="paragraph">
              <wp:posOffset>80595</wp:posOffset>
            </wp:positionV>
            <wp:extent cx="332231" cy="103631"/>
            <wp:effectExtent l="0" t="0" r="0" b="0"/>
            <wp:wrapNone/>
            <wp:docPr id="2107" name="image10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 name="image1081.png"/>
                    <pic:cNvPicPr/>
                  </pic:nvPicPr>
                  <pic:blipFill>
                    <a:blip r:embed="rId1386" cstate="print"/>
                    <a:stretch>
                      <a:fillRect/>
                    </a:stretch>
                  </pic:blipFill>
                  <pic:spPr>
                    <a:xfrm>
                      <a:off x="0" y="0"/>
                      <a:ext cx="332231" cy="103631"/>
                    </a:xfrm>
                    <a:prstGeom prst="rect">
                      <a:avLst/>
                    </a:prstGeom>
                  </pic:spPr>
                </pic:pic>
              </a:graphicData>
            </a:graphic>
          </wp:anchor>
        </w:drawing>
      </w:r>
      <w:r>
        <w:t>Articles 12.2 and 12.2.2 require an investigating authority to provide sufficient information to permit interested parties to understand the factual basis for the final determination and "assess the conformity of those findings and conclusions with domesti</w:t>
      </w:r>
      <w:r>
        <w:t>c law, and avail themselves of the Article 13 judicial review mechanism where they consider it necessary".</w:t>
      </w:r>
      <w:r>
        <w:rPr>
          <w:vertAlign w:val="superscript"/>
        </w:rPr>
        <w:t>1234</w:t>
      </w:r>
      <w:r>
        <w:rPr>
          <w:spacing w:val="-14"/>
        </w:rPr>
        <w:t xml:space="preserve"> </w:t>
      </w:r>
      <w:r>
        <w:t>Similarly,</w:t>
      </w:r>
      <w:r>
        <w:rPr>
          <w:spacing w:val="-13"/>
        </w:rPr>
        <w:t xml:space="preserve"> </w:t>
      </w:r>
      <w:r>
        <w:t>WTO</w:t>
      </w:r>
      <w:r>
        <w:rPr>
          <w:spacing w:val="-13"/>
        </w:rPr>
        <w:t xml:space="preserve"> </w:t>
      </w:r>
      <w:r>
        <w:t>Members</w:t>
      </w:r>
      <w:r>
        <w:rPr>
          <w:spacing w:val="-13"/>
        </w:rPr>
        <w:t xml:space="preserve"> </w:t>
      </w:r>
      <w:r>
        <w:t>should</w:t>
      </w:r>
      <w:r>
        <w:rPr>
          <w:spacing w:val="-14"/>
        </w:rPr>
        <w:t xml:space="preserve"> </w:t>
      </w:r>
      <w:r>
        <w:t>be</w:t>
      </w:r>
      <w:r>
        <w:rPr>
          <w:spacing w:val="-12"/>
        </w:rPr>
        <w:t xml:space="preserve"> </w:t>
      </w:r>
      <w:r>
        <w:t>apprised</w:t>
      </w:r>
      <w:r>
        <w:rPr>
          <w:spacing w:val="-14"/>
        </w:rPr>
        <w:t xml:space="preserve"> </w:t>
      </w:r>
      <w:r>
        <w:t>of</w:t>
      </w:r>
      <w:r>
        <w:rPr>
          <w:spacing w:val="-12"/>
        </w:rPr>
        <w:t xml:space="preserve"> </w:t>
      </w:r>
      <w:r>
        <w:t>sufficient</w:t>
      </w:r>
      <w:r>
        <w:rPr>
          <w:spacing w:val="-14"/>
        </w:rPr>
        <w:t xml:space="preserve"> </w:t>
      </w:r>
      <w:r>
        <w:t>information</w:t>
      </w:r>
      <w:r>
        <w:rPr>
          <w:spacing w:val="-11"/>
        </w:rPr>
        <w:t xml:space="preserve"> </w:t>
      </w:r>
      <w:r>
        <w:t>to</w:t>
      </w:r>
      <w:r>
        <w:rPr>
          <w:spacing w:val="-14"/>
        </w:rPr>
        <w:t xml:space="preserve"> </w:t>
      </w:r>
      <w:r>
        <w:t>assess the conformity of measures with the WTO Agreement and pursue disput</w:t>
      </w:r>
      <w:r>
        <w:t>e settlement procedures if necessary.</w:t>
      </w:r>
      <w:r>
        <w:rPr>
          <w:vertAlign w:val="superscript"/>
        </w:rPr>
        <w:t>1235</w:t>
      </w:r>
    </w:p>
    <w:p w14:paraId="51DE9BD8" w14:textId="77777777" w:rsidR="0010369C" w:rsidRDefault="0010369C">
      <w:pPr>
        <w:pStyle w:val="BodyText"/>
        <w:spacing w:before="9"/>
        <w:rPr>
          <w:sz w:val="8"/>
        </w:rPr>
      </w:pPr>
    </w:p>
    <w:p w14:paraId="51DE9BD9" w14:textId="77777777" w:rsidR="0010369C" w:rsidRDefault="008E43AE">
      <w:pPr>
        <w:pStyle w:val="BodyText"/>
        <w:spacing w:before="52" w:line="360" w:lineRule="auto"/>
        <w:ind w:left="237" w:right="613" w:firstLine="851"/>
        <w:jc w:val="both"/>
      </w:pPr>
      <w:r>
        <w:rPr>
          <w:noProof/>
        </w:rPr>
        <w:drawing>
          <wp:anchor distT="0" distB="0" distL="0" distR="0" simplePos="0" relativeHeight="251643392" behindDoc="1" locked="0" layoutInCell="1" allowOverlap="1" wp14:anchorId="51DEA939" wp14:editId="51DEA93A">
            <wp:simplePos x="0" y="0"/>
            <wp:positionH relativeFrom="page">
              <wp:posOffset>908303</wp:posOffset>
            </wp:positionH>
            <wp:positionV relativeFrom="paragraph">
              <wp:posOffset>80595</wp:posOffset>
            </wp:positionV>
            <wp:extent cx="332231" cy="103631"/>
            <wp:effectExtent l="0" t="0" r="0" b="0"/>
            <wp:wrapNone/>
            <wp:docPr id="2109" name="image10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 name="image1082.png"/>
                    <pic:cNvPicPr/>
                  </pic:nvPicPr>
                  <pic:blipFill>
                    <a:blip r:embed="rId1387" cstate="print"/>
                    <a:stretch>
                      <a:fillRect/>
                    </a:stretch>
                  </pic:blipFill>
                  <pic:spPr>
                    <a:xfrm>
                      <a:off x="0" y="0"/>
                      <a:ext cx="332231" cy="103631"/>
                    </a:xfrm>
                    <a:prstGeom prst="rect">
                      <a:avLst/>
                    </a:prstGeom>
                  </pic:spPr>
                </pic:pic>
              </a:graphicData>
            </a:graphic>
          </wp:anchor>
        </w:drawing>
      </w:r>
      <w:r>
        <w:t>The</w:t>
      </w:r>
      <w:r>
        <w:rPr>
          <w:spacing w:val="-7"/>
        </w:rPr>
        <w:t xml:space="preserve"> </w:t>
      </w:r>
      <w:r>
        <w:t>purpose</w:t>
      </w:r>
      <w:r>
        <w:rPr>
          <w:spacing w:val="-7"/>
        </w:rPr>
        <w:t xml:space="preserve"> </w:t>
      </w:r>
      <w:r>
        <w:t>of</w:t>
      </w:r>
      <w:r>
        <w:rPr>
          <w:spacing w:val="-8"/>
        </w:rPr>
        <w:t xml:space="preserve"> </w:t>
      </w:r>
      <w:r>
        <w:t>Articles</w:t>
      </w:r>
      <w:r>
        <w:rPr>
          <w:spacing w:val="-9"/>
        </w:rPr>
        <w:t xml:space="preserve"> </w:t>
      </w:r>
      <w:r>
        <w:t>12.2</w:t>
      </w:r>
      <w:r>
        <w:rPr>
          <w:spacing w:val="-8"/>
        </w:rPr>
        <w:t xml:space="preserve"> </w:t>
      </w:r>
      <w:r>
        <w:t>and</w:t>
      </w:r>
      <w:r>
        <w:rPr>
          <w:spacing w:val="-6"/>
        </w:rPr>
        <w:t xml:space="preserve"> </w:t>
      </w:r>
      <w:r>
        <w:t>12.2.2</w:t>
      </w:r>
      <w:r>
        <w:rPr>
          <w:spacing w:val="-8"/>
        </w:rPr>
        <w:t xml:space="preserve"> </w:t>
      </w:r>
      <w:r>
        <w:t>of</w:t>
      </w:r>
      <w:r>
        <w:rPr>
          <w:spacing w:val="-8"/>
        </w:rPr>
        <w:t xml:space="preserve"> </w:t>
      </w:r>
      <w:r>
        <w:t>the</w:t>
      </w:r>
      <w:r>
        <w:rPr>
          <w:spacing w:val="-7"/>
        </w:rPr>
        <w:t xml:space="preserve"> </w:t>
      </w:r>
      <w:r>
        <w:t>Anti‐Dumping</w:t>
      </w:r>
      <w:r>
        <w:rPr>
          <w:spacing w:val="-7"/>
        </w:rPr>
        <w:t xml:space="preserve"> </w:t>
      </w:r>
      <w:r>
        <w:t>Agreement</w:t>
      </w:r>
      <w:r>
        <w:rPr>
          <w:spacing w:val="-8"/>
        </w:rPr>
        <w:t xml:space="preserve"> </w:t>
      </w:r>
      <w:r>
        <w:t>is</w:t>
      </w:r>
      <w:r>
        <w:rPr>
          <w:spacing w:val="-8"/>
        </w:rPr>
        <w:t xml:space="preserve"> </w:t>
      </w:r>
      <w:r>
        <w:t>to</w:t>
      </w:r>
      <w:r>
        <w:rPr>
          <w:spacing w:val="-7"/>
        </w:rPr>
        <w:t xml:space="preserve"> </w:t>
      </w:r>
      <w:r>
        <w:t>provide transparency of the authority's decision‐making at the final determination stage of proceedings.</w:t>
      </w:r>
      <w:r>
        <w:rPr>
          <w:vertAlign w:val="superscript"/>
        </w:rPr>
        <w:t>1236</w:t>
      </w:r>
      <w:r>
        <w:rPr>
          <w:spacing w:val="-3"/>
        </w:rPr>
        <w:t xml:space="preserve"> </w:t>
      </w:r>
      <w:r>
        <w:t>As such, in the context of Article 12.2, a final determination must contain details of a quantity, extent, and scope adequate to make transparent t</w:t>
      </w:r>
      <w:r>
        <w:t>he investigating authority's</w:t>
      </w:r>
      <w:r>
        <w:rPr>
          <w:spacing w:val="-14"/>
        </w:rPr>
        <w:t xml:space="preserve"> </w:t>
      </w:r>
      <w:r>
        <w:t>decision‐making.</w:t>
      </w:r>
      <w:r>
        <w:rPr>
          <w:vertAlign w:val="superscript"/>
        </w:rPr>
        <w:t>1237</w:t>
      </w:r>
      <w:r>
        <w:rPr>
          <w:spacing w:val="-14"/>
        </w:rPr>
        <w:t xml:space="preserve"> </w:t>
      </w:r>
      <w:r>
        <w:t>Simply</w:t>
      </w:r>
      <w:r>
        <w:rPr>
          <w:spacing w:val="-13"/>
        </w:rPr>
        <w:t xml:space="preserve"> </w:t>
      </w:r>
      <w:r>
        <w:t>reciting</w:t>
      </w:r>
      <w:r>
        <w:rPr>
          <w:spacing w:val="-14"/>
        </w:rPr>
        <w:t xml:space="preserve"> </w:t>
      </w:r>
      <w:r>
        <w:t>data</w:t>
      </w:r>
      <w:r>
        <w:rPr>
          <w:spacing w:val="-13"/>
        </w:rPr>
        <w:t xml:space="preserve"> </w:t>
      </w:r>
      <w:r>
        <w:t>is</w:t>
      </w:r>
      <w:r>
        <w:rPr>
          <w:spacing w:val="-11"/>
        </w:rPr>
        <w:t xml:space="preserve"> </w:t>
      </w:r>
      <w:r>
        <w:t>not</w:t>
      </w:r>
      <w:r>
        <w:rPr>
          <w:spacing w:val="-11"/>
        </w:rPr>
        <w:t xml:space="preserve"> </w:t>
      </w:r>
      <w:r>
        <w:t>a</w:t>
      </w:r>
      <w:r>
        <w:rPr>
          <w:spacing w:val="-11"/>
        </w:rPr>
        <w:t xml:space="preserve"> </w:t>
      </w:r>
      <w:r>
        <w:t>sufficient</w:t>
      </w:r>
      <w:r>
        <w:rPr>
          <w:spacing w:val="-10"/>
        </w:rPr>
        <w:t xml:space="preserve"> </w:t>
      </w:r>
      <w:r>
        <w:t>explanation</w:t>
      </w:r>
      <w:r>
        <w:rPr>
          <w:spacing w:val="-12"/>
        </w:rPr>
        <w:t xml:space="preserve"> </w:t>
      </w:r>
      <w:r>
        <w:t>to</w:t>
      </w:r>
      <w:r>
        <w:rPr>
          <w:spacing w:val="-11"/>
        </w:rPr>
        <w:t xml:space="preserve"> </w:t>
      </w:r>
      <w:r>
        <w:t>meet</w:t>
      </w:r>
      <w:r>
        <w:rPr>
          <w:spacing w:val="-12"/>
        </w:rPr>
        <w:t xml:space="preserve"> </w:t>
      </w:r>
      <w:r>
        <w:t>the requirements</w:t>
      </w:r>
      <w:r>
        <w:rPr>
          <w:spacing w:val="-3"/>
        </w:rPr>
        <w:t xml:space="preserve"> </w:t>
      </w:r>
      <w:r>
        <w:t>of Article 12.2.</w:t>
      </w:r>
      <w:r>
        <w:rPr>
          <w:vertAlign w:val="superscript"/>
        </w:rPr>
        <w:t>1238</w:t>
      </w:r>
      <w:r>
        <w:rPr>
          <w:spacing w:val="-14"/>
        </w:rPr>
        <w:t xml:space="preserve"> </w:t>
      </w:r>
      <w:r>
        <w:t>The reasons for why an investigating authority concluded as it did must be discernible from the final deter</w:t>
      </w:r>
      <w:r>
        <w:t>mination.</w:t>
      </w:r>
      <w:r>
        <w:rPr>
          <w:vertAlign w:val="superscript"/>
        </w:rPr>
        <w:t>1239</w:t>
      </w:r>
    </w:p>
    <w:p w14:paraId="51DE9BDA" w14:textId="77777777" w:rsidR="0010369C" w:rsidRDefault="0010369C">
      <w:pPr>
        <w:pStyle w:val="BodyText"/>
        <w:spacing w:before="11"/>
        <w:rPr>
          <w:sz w:val="8"/>
        </w:rPr>
      </w:pPr>
    </w:p>
    <w:p w14:paraId="51DE9BDB" w14:textId="77777777" w:rsidR="0010369C" w:rsidRDefault="008E43AE">
      <w:pPr>
        <w:pStyle w:val="BodyText"/>
        <w:spacing w:before="52" w:line="360" w:lineRule="auto"/>
        <w:ind w:left="238" w:right="615" w:firstLine="851"/>
        <w:jc w:val="both"/>
      </w:pPr>
      <w:r>
        <w:rPr>
          <w:noProof/>
        </w:rPr>
        <w:drawing>
          <wp:anchor distT="0" distB="0" distL="0" distR="0" simplePos="0" relativeHeight="251644416" behindDoc="1" locked="0" layoutInCell="1" allowOverlap="1" wp14:anchorId="51DEA93B" wp14:editId="51DEA93C">
            <wp:simplePos x="0" y="0"/>
            <wp:positionH relativeFrom="page">
              <wp:posOffset>908303</wp:posOffset>
            </wp:positionH>
            <wp:positionV relativeFrom="paragraph">
              <wp:posOffset>76785</wp:posOffset>
            </wp:positionV>
            <wp:extent cx="332231" cy="106679"/>
            <wp:effectExtent l="0" t="0" r="0" b="0"/>
            <wp:wrapNone/>
            <wp:docPr id="2111" name="image10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 name="image1083.png"/>
                    <pic:cNvPicPr/>
                  </pic:nvPicPr>
                  <pic:blipFill>
                    <a:blip r:embed="rId1388" cstate="print"/>
                    <a:stretch>
                      <a:fillRect/>
                    </a:stretch>
                  </pic:blipFill>
                  <pic:spPr>
                    <a:xfrm>
                      <a:off x="0" y="0"/>
                      <a:ext cx="332231" cy="106679"/>
                    </a:xfrm>
                    <a:prstGeom prst="rect">
                      <a:avLst/>
                    </a:prstGeom>
                  </pic:spPr>
                </pic:pic>
              </a:graphicData>
            </a:graphic>
          </wp:anchor>
        </w:drawing>
      </w:r>
      <w:r>
        <w:t>Article 12.2.2 requires disclosure of "all relevant information". The Appellate Body has explained that:</w:t>
      </w:r>
    </w:p>
    <w:p w14:paraId="51DE9BDC" w14:textId="77777777" w:rsidR="0010369C" w:rsidRDefault="008E43AE">
      <w:pPr>
        <w:spacing w:before="161" w:line="276" w:lineRule="auto"/>
        <w:ind w:left="1089" w:right="612" w:hanging="1"/>
        <w:jc w:val="both"/>
      </w:pPr>
      <w:r>
        <w:t>The obligation of disclosure under Articles 12.2.2… is framed by the requirement of "relevance",</w:t>
      </w:r>
      <w:r>
        <w:rPr>
          <w:spacing w:val="-6"/>
        </w:rPr>
        <w:t xml:space="preserve"> </w:t>
      </w:r>
      <w:r>
        <w:t>which</w:t>
      </w:r>
      <w:r>
        <w:rPr>
          <w:spacing w:val="-7"/>
        </w:rPr>
        <w:t xml:space="preserve"> </w:t>
      </w:r>
      <w:r>
        <w:t>entails</w:t>
      </w:r>
      <w:r>
        <w:rPr>
          <w:spacing w:val="-6"/>
        </w:rPr>
        <w:t xml:space="preserve"> </w:t>
      </w:r>
      <w:r>
        <w:t>the</w:t>
      </w:r>
      <w:r>
        <w:rPr>
          <w:spacing w:val="-7"/>
        </w:rPr>
        <w:t xml:space="preserve"> </w:t>
      </w:r>
      <w:r>
        <w:t>disclosure</w:t>
      </w:r>
      <w:r>
        <w:rPr>
          <w:spacing w:val="-7"/>
        </w:rPr>
        <w:t xml:space="preserve"> </w:t>
      </w:r>
      <w:r>
        <w:t>of</w:t>
      </w:r>
      <w:r>
        <w:rPr>
          <w:spacing w:val="-7"/>
        </w:rPr>
        <w:t xml:space="preserve"> </w:t>
      </w:r>
      <w:r>
        <w:t>the</w:t>
      </w:r>
      <w:r>
        <w:rPr>
          <w:spacing w:val="-6"/>
        </w:rPr>
        <w:t xml:space="preserve"> </w:t>
      </w:r>
      <w:r>
        <w:t>ma</w:t>
      </w:r>
      <w:r>
        <w:t>trix</w:t>
      </w:r>
      <w:r>
        <w:rPr>
          <w:spacing w:val="-7"/>
        </w:rPr>
        <w:t xml:space="preserve"> </w:t>
      </w:r>
      <w:r>
        <w:t>of</w:t>
      </w:r>
      <w:r>
        <w:rPr>
          <w:spacing w:val="-7"/>
        </w:rPr>
        <w:t xml:space="preserve"> </w:t>
      </w:r>
      <w:r>
        <w:t>facts,</w:t>
      </w:r>
      <w:r>
        <w:rPr>
          <w:spacing w:val="-7"/>
        </w:rPr>
        <w:t xml:space="preserve"> </w:t>
      </w:r>
      <w:r>
        <w:t>law</w:t>
      </w:r>
      <w:r>
        <w:rPr>
          <w:spacing w:val="-6"/>
        </w:rPr>
        <w:t xml:space="preserve"> </w:t>
      </w:r>
      <w:r>
        <w:t>and</w:t>
      </w:r>
      <w:r>
        <w:rPr>
          <w:spacing w:val="-7"/>
        </w:rPr>
        <w:t xml:space="preserve"> </w:t>
      </w:r>
      <w:r>
        <w:t>reasons</w:t>
      </w:r>
      <w:r>
        <w:rPr>
          <w:spacing w:val="-7"/>
        </w:rPr>
        <w:t xml:space="preserve"> </w:t>
      </w:r>
      <w:r>
        <w:t>that</w:t>
      </w:r>
      <w:r>
        <w:rPr>
          <w:spacing w:val="-7"/>
        </w:rPr>
        <w:t xml:space="preserve"> </w:t>
      </w:r>
      <w:r>
        <w:t>logically fit together to render the decision to impose final measures. By requiring the disclosure of "all relevant information" regarding these categories of information, Articles 12.2.2 … seek to</w:t>
      </w:r>
      <w:r>
        <w:rPr>
          <w:spacing w:val="-13"/>
        </w:rPr>
        <w:t xml:space="preserve"> </w:t>
      </w:r>
      <w:r>
        <w:t>guarantee</w:t>
      </w:r>
      <w:r>
        <w:rPr>
          <w:spacing w:val="-12"/>
        </w:rPr>
        <w:t xml:space="preserve"> </w:t>
      </w:r>
      <w:r>
        <w:t>that</w:t>
      </w:r>
      <w:r>
        <w:rPr>
          <w:spacing w:val="-13"/>
        </w:rPr>
        <w:t xml:space="preserve"> </w:t>
      </w:r>
      <w:r>
        <w:t>interested</w:t>
      </w:r>
      <w:r>
        <w:rPr>
          <w:spacing w:val="-12"/>
        </w:rPr>
        <w:t xml:space="preserve"> </w:t>
      </w:r>
      <w:r>
        <w:t>parties</w:t>
      </w:r>
      <w:r>
        <w:rPr>
          <w:spacing w:val="-13"/>
        </w:rPr>
        <w:t xml:space="preserve"> </w:t>
      </w:r>
      <w:r>
        <w:t>are</w:t>
      </w:r>
      <w:r>
        <w:rPr>
          <w:spacing w:val="-12"/>
        </w:rPr>
        <w:t xml:space="preserve"> </w:t>
      </w:r>
      <w:r>
        <w:t>able</w:t>
      </w:r>
      <w:r>
        <w:rPr>
          <w:spacing w:val="-13"/>
        </w:rPr>
        <w:t xml:space="preserve"> </w:t>
      </w:r>
      <w:r>
        <w:t>to</w:t>
      </w:r>
      <w:r>
        <w:rPr>
          <w:spacing w:val="-12"/>
        </w:rPr>
        <w:t xml:space="preserve"> </w:t>
      </w:r>
      <w:r>
        <w:t>pursue</w:t>
      </w:r>
      <w:r>
        <w:rPr>
          <w:spacing w:val="-12"/>
        </w:rPr>
        <w:t xml:space="preserve"> </w:t>
      </w:r>
      <w:r>
        <w:t>judi</w:t>
      </w:r>
      <w:r>
        <w:t>cial</w:t>
      </w:r>
      <w:r>
        <w:rPr>
          <w:spacing w:val="-13"/>
        </w:rPr>
        <w:t xml:space="preserve"> </w:t>
      </w:r>
      <w:r>
        <w:t>review</w:t>
      </w:r>
      <w:r>
        <w:rPr>
          <w:spacing w:val="-12"/>
        </w:rPr>
        <w:t xml:space="preserve"> </w:t>
      </w:r>
      <w:r>
        <w:t>of</w:t>
      </w:r>
      <w:r>
        <w:rPr>
          <w:spacing w:val="-13"/>
        </w:rPr>
        <w:t xml:space="preserve"> </w:t>
      </w:r>
      <w:r>
        <w:t>a</w:t>
      </w:r>
      <w:r>
        <w:rPr>
          <w:spacing w:val="-12"/>
        </w:rPr>
        <w:t xml:space="preserve"> </w:t>
      </w:r>
      <w:r>
        <w:t>final</w:t>
      </w:r>
      <w:r>
        <w:rPr>
          <w:spacing w:val="-13"/>
        </w:rPr>
        <w:t xml:space="preserve"> </w:t>
      </w:r>
      <w:r>
        <w:t xml:space="preserve">determination as provided in Article 13 of the </w:t>
      </w:r>
      <w:r>
        <w:rPr>
          <w:i/>
        </w:rPr>
        <w:t>Anti‐Dumping Agreement</w:t>
      </w:r>
      <w:r>
        <w:t>.</w:t>
      </w:r>
      <w:r>
        <w:rPr>
          <w:vertAlign w:val="superscript"/>
        </w:rPr>
        <w:t>1240</w:t>
      </w:r>
    </w:p>
    <w:p w14:paraId="51DE9BDD" w14:textId="77777777" w:rsidR="0010369C" w:rsidRDefault="0010369C">
      <w:pPr>
        <w:pStyle w:val="BodyText"/>
        <w:rPr>
          <w:sz w:val="20"/>
        </w:rPr>
      </w:pPr>
    </w:p>
    <w:p w14:paraId="51DE9BDE" w14:textId="77777777" w:rsidR="0010369C" w:rsidRDefault="0010369C">
      <w:pPr>
        <w:pStyle w:val="BodyText"/>
        <w:rPr>
          <w:sz w:val="20"/>
        </w:rPr>
      </w:pPr>
    </w:p>
    <w:p w14:paraId="51DE9BDF" w14:textId="77777777" w:rsidR="0010369C" w:rsidRDefault="0010369C">
      <w:pPr>
        <w:pStyle w:val="BodyText"/>
        <w:rPr>
          <w:sz w:val="20"/>
        </w:rPr>
      </w:pPr>
    </w:p>
    <w:p w14:paraId="51DE9BE0" w14:textId="77777777" w:rsidR="0010369C" w:rsidRDefault="008E43AE">
      <w:pPr>
        <w:pStyle w:val="BodyText"/>
        <w:spacing w:before="7"/>
      </w:pPr>
      <w:r>
        <w:pict w14:anchorId="51DEA93D">
          <v:rect id="docshape1459" o:spid="_x0000_s1060" style="position:absolute;margin-left:70.9pt;margin-top:16.2pt;width:2in;height:.8pt;z-index:-250669568;mso-wrap-distance-left:0;mso-wrap-distance-right:0;mso-position-horizontal-relative:page" fillcolor="black" stroked="f">
            <w10:wrap type="topAndBottom" anchorx="page"/>
          </v:rect>
        </w:pict>
      </w:r>
    </w:p>
    <w:p w14:paraId="51DE9BE1" w14:textId="77777777" w:rsidR="0010369C" w:rsidRDefault="008E43AE">
      <w:pPr>
        <w:spacing w:before="109"/>
        <w:ind w:left="238"/>
        <w:rPr>
          <w:sz w:val="18"/>
        </w:rPr>
      </w:pPr>
      <w:r>
        <w:rPr>
          <w:sz w:val="18"/>
          <w:vertAlign w:val="superscript"/>
        </w:rPr>
        <w:t>1232</w:t>
      </w:r>
      <w:r>
        <w:rPr>
          <w:spacing w:val="-5"/>
          <w:sz w:val="18"/>
        </w:rPr>
        <w:t xml:space="preserve"> </w:t>
      </w:r>
      <w:r>
        <w:rPr>
          <w:sz w:val="18"/>
        </w:rPr>
        <w:t>Panel</w:t>
      </w:r>
      <w:r>
        <w:rPr>
          <w:spacing w:val="-6"/>
          <w:sz w:val="18"/>
        </w:rPr>
        <w:t xml:space="preserve"> </w:t>
      </w:r>
      <w:r>
        <w:rPr>
          <w:sz w:val="18"/>
        </w:rPr>
        <w:t>Report,</w:t>
      </w:r>
      <w:r>
        <w:rPr>
          <w:spacing w:val="-5"/>
          <w:sz w:val="18"/>
        </w:rPr>
        <w:t xml:space="preserve"> </w:t>
      </w:r>
      <w:r>
        <w:rPr>
          <w:i/>
          <w:sz w:val="18"/>
        </w:rPr>
        <w:t>EC</w:t>
      </w:r>
      <w:r>
        <w:rPr>
          <w:i/>
          <w:spacing w:val="-6"/>
          <w:sz w:val="18"/>
        </w:rPr>
        <w:t xml:space="preserve"> </w:t>
      </w:r>
      <w:r>
        <w:rPr>
          <w:i/>
          <w:sz w:val="18"/>
        </w:rPr>
        <w:t>–</w:t>
      </w:r>
      <w:r>
        <w:rPr>
          <w:i/>
          <w:spacing w:val="-5"/>
          <w:sz w:val="18"/>
        </w:rPr>
        <w:t xml:space="preserve"> </w:t>
      </w:r>
      <w:r>
        <w:rPr>
          <w:i/>
          <w:sz w:val="18"/>
        </w:rPr>
        <w:t>Tube</w:t>
      </w:r>
      <w:r>
        <w:rPr>
          <w:i/>
          <w:spacing w:val="-5"/>
          <w:sz w:val="18"/>
        </w:rPr>
        <w:t xml:space="preserve"> </w:t>
      </w:r>
      <w:r>
        <w:rPr>
          <w:i/>
          <w:sz w:val="18"/>
        </w:rPr>
        <w:t>or</w:t>
      </w:r>
      <w:r>
        <w:rPr>
          <w:i/>
          <w:spacing w:val="-5"/>
          <w:sz w:val="18"/>
        </w:rPr>
        <w:t xml:space="preserve"> </w:t>
      </w:r>
      <w:r>
        <w:rPr>
          <w:i/>
          <w:sz w:val="18"/>
        </w:rPr>
        <w:t>Pipe</w:t>
      </w:r>
      <w:r>
        <w:rPr>
          <w:i/>
          <w:spacing w:val="-5"/>
          <w:sz w:val="18"/>
        </w:rPr>
        <w:t xml:space="preserve"> </w:t>
      </w:r>
      <w:r>
        <w:rPr>
          <w:i/>
          <w:sz w:val="18"/>
        </w:rPr>
        <w:t>Fittings</w:t>
      </w:r>
      <w:r>
        <w:rPr>
          <w:sz w:val="18"/>
        </w:rPr>
        <w:t>,</w:t>
      </w:r>
      <w:r>
        <w:rPr>
          <w:spacing w:val="-6"/>
          <w:sz w:val="18"/>
        </w:rPr>
        <w:t xml:space="preserve"> </w:t>
      </w:r>
      <w:r>
        <w:rPr>
          <w:sz w:val="18"/>
        </w:rPr>
        <w:t>para.</w:t>
      </w:r>
      <w:r>
        <w:rPr>
          <w:spacing w:val="-5"/>
          <w:sz w:val="18"/>
        </w:rPr>
        <w:t xml:space="preserve"> </w:t>
      </w:r>
      <w:r>
        <w:rPr>
          <w:spacing w:val="-2"/>
          <w:sz w:val="18"/>
        </w:rPr>
        <w:t>7.422.</w:t>
      </w:r>
    </w:p>
    <w:p w14:paraId="51DE9BE2" w14:textId="77777777" w:rsidR="0010369C" w:rsidRDefault="008E43AE">
      <w:pPr>
        <w:ind w:left="238"/>
        <w:rPr>
          <w:sz w:val="18"/>
        </w:rPr>
      </w:pPr>
      <w:r>
        <w:rPr>
          <w:sz w:val="18"/>
          <w:vertAlign w:val="superscript"/>
        </w:rPr>
        <w:t>1233</w:t>
      </w:r>
      <w:r>
        <w:rPr>
          <w:spacing w:val="-5"/>
          <w:sz w:val="18"/>
        </w:rPr>
        <w:t xml:space="preserve"> </w:t>
      </w:r>
      <w:r>
        <w:rPr>
          <w:sz w:val="18"/>
        </w:rPr>
        <w:t>Panel</w:t>
      </w:r>
      <w:r>
        <w:rPr>
          <w:spacing w:val="-6"/>
          <w:sz w:val="18"/>
        </w:rPr>
        <w:t xml:space="preserve"> </w:t>
      </w:r>
      <w:r>
        <w:rPr>
          <w:sz w:val="18"/>
        </w:rPr>
        <w:t>Report,</w:t>
      </w:r>
      <w:r>
        <w:rPr>
          <w:spacing w:val="-5"/>
          <w:sz w:val="18"/>
        </w:rPr>
        <w:t xml:space="preserve"> </w:t>
      </w:r>
      <w:r>
        <w:rPr>
          <w:i/>
          <w:sz w:val="18"/>
        </w:rPr>
        <w:t>EC</w:t>
      </w:r>
      <w:r>
        <w:rPr>
          <w:i/>
          <w:spacing w:val="-6"/>
          <w:sz w:val="18"/>
        </w:rPr>
        <w:t xml:space="preserve"> </w:t>
      </w:r>
      <w:r>
        <w:rPr>
          <w:i/>
          <w:sz w:val="18"/>
        </w:rPr>
        <w:t>–</w:t>
      </w:r>
      <w:r>
        <w:rPr>
          <w:i/>
          <w:spacing w:val="-5"/>
          <w:sz w:val="18"/>
        </w:rPr>
        <w:t xml:space="preserve"> </w:t>
      </w:r>
      <w:r>
        <w:rPr>
          <w:i/>
          <w:sz w:val="18"/>
        </w:rPr>
        <w:t>Tube</w:t>
      </w:r>
      <w:r>
        <w:rPr>
          <w:i/>
          <w:spacing w:val="-5"/>
          <w:sz w:val="18"/>
        </w:rPr>
        <w:t xml:space="preserve"> </w:t>
      </w:r>
      <w:r>
        <w:rPr>
          <w:i/>
          <w:sz w:val="18"/>
        </w:rPr>
        <w:t>or</w:t>
      </w:r>
      <w:r>
        <w:rPr>
          <w:i/>
          <w:spacing w:val="-5"/>
          <w:sz w:val="18"/>
        </w:rPr>
        <w:t xml:space="preserve"> </w:t>
      </w:r>
      <w:r>
        <w:rPr>
          <w:i/>
          <w:sz w:val="18"/>
        </w:rPr>
        <w:t>Pipe</w:t>
      </w:r>
      <w:r>
        <w:rPr>
          <w:i/>
          <w:spacing w:val="-5"/>
          <w:sz w:val="18"/>
        </w:rPr>
        <w:t xml:space="preserve"> </w:t>
      </w:r>
      <w:r>
        <w:rPr>
          <w:i/>
          <w:sz w:val="18"/>
        </w:rPr>
        <w:t>Fittings</w:t>
      </w:r>
      <w:r>
        <w:rPr>
          <w:sz w:val="18"/>
        </w:rPr>
        <w:t>,</w:t>
      </w:r>
      <w:r>
        <w:rPr>
          <w:spacing w:val="-6"/>
          <w:sz w:val="18"/>
        </w:rPr>
        <w:t xml:space="preserve"> </w:t>
      </w:r>
      <w:r>
        <w:rPr>
          <w:sz w:val="18"/>
        </w:rPr>
        <w:t>para.</w:t>
      </w:r>
      <w:r>
        <w:rPr>
          <w:spacing w:val="-5"/>
          <w:sz w:val="18"/>
        </w:rPr>
        <w:t xml:space="preserve"> </w:t>
      </w:r>
      <w:r>
        <w:rPr>
          <w:spacing w:val="-2"/>
          <w:sz w:val="18"/>
        </w:rPr>
        <w:t>7.424.</w:t>
      </w:r>
    </w:p>
    <w:p w14:paraId="51DE9BE3" w14:textId="77777777" w:rsidR="0010369C" w:rsidRDefault="008E43AE">
      <w:pPr>
        <w:ind w:left="238"/>
        <w:rPr>
          <w:sz w:val="18"/>
        </w:rPr>
      </w:pPr>
      <w:r>
        <w:rPr>
          <w:sz w:val="18"/>
          <w:vertAlign w:val="superscript"/>
        </w:rPr>
        <w:t>1234</w:t>
      </w:r>
      <w:r>
        <w:rPr>
          <w:spacing w:val="-6"/>
          <w:sz w:val="18"/>
        </w:rPr>
        <w:t xml:space="preserve"> </w:t>
      </w:r>
      <w:r>
        <w:rPr>
          <w:sz w:val="18"/>
        </w:rPr>
        <w:t>Panel</w:t>
      </w:r>
      <w:r>
        <w:rPr>
          <w:spacing w:val="-6"/>
          <w:sz w:val="18"/>
        </w:rPr>
        <w:t xml:space="preserve"> </w:t>
      </w:r>
      <w:r>
        <w:rPr>
          <w:sz w:val="18"/>
        </w:rPr>
        <w:t>Report,</w:t>
      </w:r>
      <w:r>
        <w:rPr>
          <w:spacing w:val="-5"/>
          <w:sz w:val="18"/>
        </w:rPr>
        <w:t xml:space="preserve"> </w:t>
      </w:r>
      <w:r>
        <w:rPr>
          <w:i/>
          <w:sz w:val="18"/>
        </w:rPr>
        <w:t>China</w:t>
      </w:r>
      <w:r>
        <w:rPr>
          <w:i/>
          <w:spacing w:val="-6"/>
          <w:sz w:val="18"/>
        </w:rPr>
        <w:t xml:space="preserve"> </w:t>
      </w:r>
      <w:r>
        <w:rPr>
          <w:i/>
          <w:sz w:val="18"/>
        </w:rPr>
        <w:t>–</w:t>
      </w:r>
      <w:r>
        <w:rPr>
          <w:i/>
          <w:spacing w:val="-5"/>
          <w:sz w:val="18"/>
        </w:rPr>
        <w:t xml:space="preserve"> </w:t>
      </w:r>
      <w:r>
        <w:rPr>
          <w:i/>
          <w:sz w:val="18"/>
        </w:rPr>
        <w:t>X</w:t>
      </w:r>
      <w:r>
        <w:rPr>
          <w:i/>
          <w:spacing w:val="-6"/>
          <w:sz w:val="18"/>
        </w:rPr>
        <w:t xml:space="preserve"> </w:t>
      </w:r>
      <w:r>
        <w:rPr>
          <w:i/>
          <w:sz w:val="18"/>
        </w:rPr>
        <w:t>Ray</w:t>
      </w:r>
      <w:r>
        <w:rPr>
          <w:i/>
          <w:spacing w:val="-5"/>
          <w:sz w:val="18"/>
        </w:rPr>
        <w:t xml:space="preserve"> </w:t>
      </w:r>
      <w:r>
        <w:rPr>
          <w:i/>
          <w:sz w:val="18"/>
        </w:rPr>
        <w:t>Equipment</w:t>
      </w:r>
      <w:r>
        <w:rPr>
          <w:sz w:val="18"/>
        </w:rPr>
        <w:t>,</w:t>
      </w:r>
      <w:r>
        <w:rPr>
          <w:spacing w:val="-6"/>
          <w:sz w:val="18"/>
        </w:rPr>
        <w:t xml:space="preserve"> </w:t>
      </w:r>
      <w:r>
        <w:rPr>
          <w:sz w:val="18"/>
        </w:rPr>
        <w:t>para.</w:t>
      </w:r>
      <w:r>
        <w:rPr>
          <w:spacing w:val="-5"/>
          <w:sz w:val="18"/>
        </w:rPr>
        <w:t xml:space="preserve"> </w:t>
      </w:r>
      <w:r>
        <w:rPr>
          <w:sz w:val="18"/>
        </w:rPr>
        <w:t>7.459;</w:t>
      </w:r>
      <w:r>
        <w:rPr>
          <w:spacing w:val="-7"/>
          <w:sz w:val="18"/>
        </w:rPr>
        <w:t xml:space="preserve"> </w:t>
      </w:r>
      <w:r>
        <w:rPr>
          <w:sz w:val="18"/>
        </w:rPr>
        <w:t>and</w:t>
      </w:r>
      <w:r>
        <w:rPr>
          <w:spacing w:val="-5"/>
          <w:sz w:val="18"/>
        </w:rPr>
        <w:t xml:space="preserve"> </w:t>
      </w:r>
      <w:r>
        <w:rPr>
          <w:sz w:val="18"/>
        </w:rPr>
        <w:t>Appellate</w:t>
      </w:r>
      <w:r>
        <w:rPr>
          <w:spacing w:val="-5"/>
          <w:sz w:val="18"/>
        </w:rPr>
        <w:t xml:space="preserve"> </w:t>
      </w:r>
      <w:r>
        <w:rPr>
          <w:sz w:val="18"/>
        </w:rPr>
        <w:t>Body</w:t>
      </w:r>
      <w:r>
        <w:rPr>
          <w:spacing w:val="-6"/>
          <w:sz w:val="18"/>
        </w:rPr>
        <w:t xml:space="preserve"> </w:t>
      </w:r>
      <w:r>
        <w:rPr>
          <w:sz w:val="18"/>
        </w:rPr>
        <w:t>Report,</w:t>
      </w:r>
      <w:r>
        <w:rPr>
          <w:spacing w:val="-5"/>
          <w:sz w:val="18"/>
        </w:rPr>
        <w:t xml:space="preserve"> </w:t>
      </w:r>
      <w:r>
        <w:rPr>
          <w:i/>
          <w:sz w:val="18"/>
        </w:rPr>
        <w:t>China</w:t>
      </w:r>
      <w:r>
        <w:rPr>
          <w:i/>
          <w:spacing w:val="-6"/>
          <w:sz w:val="18"/>
        </w:rPr>
        <w:t xml:space="preserve"> </w:t>
      </w:r>
      <w:r>
        <w:rPr>
          <w:i/>
          <w:sz w:val="18"/>
        </w:rPr>
        <w:t>–</w:t>
      </w:r>
      <w:r>
        <w:rPr>
          <w:i/>
          <w:spacing w:val="-5"/>
          <w:sz w:val="18"/>
        </w:rPr>
        <w:t xml:space="preserve"> </w:t>
      </w:r>
      <w:r>
        <w:rPr>
          <w:i/>
          <w:sz w:val="18"/>
        </w:rPr>
        <w:t>GOES</w:t>
      </w:r>
      <w:r>
        <w:rPr>
          <w:sz w:val="18"/>
        </w:rPr>
        <w:t>,</w:t>
      </w:r>
      <w:r>
        <w:rPr>
          <w:spacing w:val="-5"/>
          <w:sz w:val="18"/>
        </w:rPr>
        <w:t xml:space="preserve"> </w:t>
      </w:r>
      <w:r>
        <w:rPr>
          <w:sz w:val="18"/>
        </w:rPr>
        <w:t>paras.</w:t>
      </w:r>
      <w:r>
        <w:rPr>
          <w:spacing w:val="-6"/>
          <w:sz w:val="18"/>
        </w:rPr>
        <w:t xml:space="preserve"> </w:t>
      </w:r>
      <w:r>
        <w:rPr>
          <w:spacing w:val="-2"/>
          <w:sz w:val="18"/>
        </w:rPr>
        <w:t>256‐257.</w:t>
      </w:r>
    </w:p>
    <w:p w14:paraId="51DE9BE4" w14:textId="77777777" w:rsidR="0010369C" w:rsidRDefault="008E43AE">
      <w:pPr>
        <w:ind w:left="238"/>
        <w:rPr>
          <w:sz w:val="18"/>
        </w:rPr>
      </w:pPr>
      <w:r>
        <w:rPr>
          <w:sz w:val="18"/>
          <w:vertAlign w:val="superscript"/>
        </w:rPr>
        <w:t>1235</w:t>
      </w:r>
      <w:r>
        <w:rPr>
          <w:spacing w:val="-5"/>
          <w:sz w:val="18"/>
        </w:rPr>
        <w:t xml:space="preserve"> </w:t>
      </w:r>
      <w:r>
        <w:rPr>
          <w:sz w:val="18"/>
        </w:rPr>
        <w:t>Panel</w:t>
      </w:r>
      <w:r>
        <w:rPr>
          <w:spacing w:val="-6"/>
          <w:sz w:val="18"/>
        </w:rPr>
        <w:t xml:space="preserve"> </w:t>
      </w:r>
      <w:r>
        <w:rPr>
          <w:sz w:val="18"/>
        </w:rPr>
        <w:t>Report,</w:t>
      </w:r>
      <w:r>
        <w:rPr>
          <w:spacing w:val="-5"/>
          <w:sz w:val="18"/>
        </w:rPr>
        <w:t xml:space="preserve"> </w:t>
      </w:r>
      <w:r>
        <w:rPr>
          <w:i/>
          <w:sz w:val="18"/>
        </w:rPr>
        <w:t>China</w:t>
      </w:r>
      <w:r>
        <w:rPr>
          <w:i/>
          <w:spacing w:val="-5"/>
          <w:sz w:val="18"/>
        </w:rPr>
        <w:t xml:space="preserve"> </w:t>
      </w:r>
      <w:r>
        <w:rPr>
          <w:i/>
          <w:sz w:val="18"/>
        </w:rPr>
        <w:t>–</w:t>
      </w:r>
      <w:r>
        <w:rPr>
          <w:i/>
          <w:spacing w:val="-5"/>
          <w:sz w:val="18"/>
        </w:rPr>
        <w:t xml:space="preserve"> </w:t>
      </w:r>
      <w:r>
        <w:rPr>
          <w:i/>
          <w:sz w:val="18"/>
        </w:rPr>
        <w:t>X</w:t>
      </w:r>
      <w:r>
        <w:rPr>
          <w:i/>
          <w:spacing w:val="-5"/>
          <w:sz w:val="18"/>
        </w:rPr>
        <w:t xml:space="preserve"> </w:t>
      </w:r>
      <w:r>
        <w:rPr>
          <w:i/>
          <w:sz w:val="18"/>
        </w:rPr>
        <w:t>Ray</w:t>
      </w:r>
      <w:r>
        <w:rPr>
          <w:i/>
          <w:spacing w:val="-5"/>
          <w:sz w:val="18"/>
        </w:rPr>
        <w:t xml:space="preserve"> </w:t>
      </w:r>
      <w:r>
        <w:rPr>
          <w:i/>
          <w:sz w:val="18"/>
        </w:rPr>
        <w:t>Equipment</w:t>
      </w:r>
      <w:r>
        <w:rPr>
          <w:sz w:val="18"/>
        </w:rPr>
        <w:t>,</w:t>
      </w:r>
      <w:r>
        <w:rPr>
          <w:spacing w:val="-5"/>
          <w:sz w:val="18"/>
        </w:rPr>
        <w:t xml:space="preserve"> </w:t>
      </w:r>
      <w:r>
        <w:rPr>
          <w:sz w:val="18"/>
        </w:rPr>
        <w:t>para.</w:t>
      </w:r>
      <w:r>
        <w:rPr>
          <w:spacing w:val="-5"/>
          <w:sz w:val="18"/>
        </w:rPr>
        <w:t xml:space="preserve"> </w:t>
      </w:r>
      <w:r>
        <w:rPr>
          <w:spacing w:val="-2"/>
          <w:sz w:val="18"/>
        </w:rPr>
        <w:t>7.459.</w:t>
      </w:r>
    </w:p>
    <w:p w14:paraId="51DE9BE5" w14:textId="77777777" w:rsidR="0010369C" w:rsidRDefault="008E43AE">
      <w:pPr>
        <w:ind w:left="238"/>
        <w:rPr>
          <w:sz w:val="18"/>
        </w:rPr>
      </w:pPr>
      <w:r>
        <w:rPr>
          <w:sz w:val="18"/>
          <w:vertAlign w:val="superscript"/>
        </w:rPr>
        <w:t>1236</w:t>
      </w:r>
      <w:r>
        <w:rPr>
          <w:spacing w:val="-6"/>
          <w:sz w:val="18"/>
        </w:rPr>
        <w:t xml:space="preserve"> </w:t>
      </w:r>
      <w:r>
        <w:rPr>
          <w:sz w:val="18"/>
        </w:rPr>
        <w:t>Panel</w:t>
      </w:r>
      <w:r>
        <w:rPr>
          <w:spacing w:val="-7"/>
          <w:sz w:val="18"/>
        </w:rPr>
        <w:t xml:space="preserve"> </w:t>
      </w:r>
      <w:r>
        <w:rPr>
          <w:sz w:val="18"/>
        </w:rPr>
        <w:t>Reports,</w:t>
      </w:r>
      <w:r>
        <w:rPr>
          <w:spacing w:val="-6"/>
          <w:sz w:val="18"/>
        </w:rPr>
        <w:t xml:space="preserve"> </w:t>
      </w:r>
      <w:r>
        <w:rPr>
          <w:i/>
          <w:sz w:val="18"/>
        </w:rPr>
        <w:t>Mexico</w:t>
      </w:r>
      <w:r>
        <w:rPr>
          <w:i/>
          <w:spacing w:val="-6"/>
          <w:sz w:val="18"/>
        </w:rPr>
        <w:t xml:space="preserve"> </w:t>
      </w:r>
      <w:r>
        <w:rPr>
          <w:i/>
          <w:sz w:val="18"/>
        </w:rPr>
        <w:t>–</w:t>
      </w:r>
      <w:r>
        <w:rPr>
          <w:i/>
          <w:spacing w:val="-5"/>
          <w:sz w:val="18"/>
        </w:rPr>
        <w:t xml:space="preserve"> </w:t>
      </w:r>
      <w:r>
        <w:rPr>
          <w:i/>
          <w:sz w:val="18"/>
        </w:rPr>
        <w:t>Corn</w:t>
      </w:r>
      <w:r>
        <w:rPr>
          <w:i/>
          <w:spacing w:val="-6"/>
          <w:sz w:val="18"/>
        </w:rPr>
        <w:t xml:space="preserve"> </w:t>
      </w:r>
      <w:r>
        <w:rPr>
          <w:i/>
          <w:sz w:val="18"/>
        </w:rPr>
        <w:t>Syrup</w:t>
      </w:r>
      <w:r>
        <w:rPr>
          <w:sz w:val="18"/>
        </w:rPr>
        <w:t>,</w:t>
      </w:r>
      <w:r>
        <w:rPr>
          <w:spacing w:val="-7"/>
          <w:sz w:val="18"/>
        </w:rPr>
        <w:t xml:space="preserve"> </w:t>
      </w:r>
      <w:r>
        <w:rPr>
          <w:sz w:val="18"/>
        </w:rPr>
        <w:t>para.</w:t>
      </w:r>
      <w:r>
        <w:rPr>
          <w:spacing w:val="-6"/>
          <w:sz w:val="18"/>
        </w:rPr>
        <w:t xml:space="preserve"> </w:t>
      </w:r>
      <w:r>
        <w:rPr>
          <w:sz w:val="18"/>
        </w:rPr>
        <w:t>7.104;</w:t>
      </w:r>
      <w:r>
        <w:rPr>
          <w:spacing w:val="-6"/>
          <w:sz w:val="18"/>
        </w:rPr>
        <w:t xml:space="preserve"> </w:t>
      </w:r>
      <w:r>
        <w:rPr>
          <w:sz w:val="18"/>
        </w:rPr>
        <w:t>and</w:t>
      </w:r>
      <w:r>
        <w:rPr>
          <w:spacing w:val="-6"/>
          <w:sz w:val="18"/>
        </w:rPr>
        <w:t xml:space="preserve"> </w:t>
      </w:r>
      <w:r>
        <w:rPr>
          <w:i/>
          <w:sz w:val="18"/>
        </w:rPr>
        <w:t>EU</w:t>
      </w:r>
      <w:r>
        <w:rPr>
          <w:i/>
          <w:spacing w:val="-7"/>
          <w:sz w:val="18"/>
        </w:rPr>
        <w:t xml:space="preserve"> </w:t>
      </w:r>
      <w:r>
        <w:rPr>
          <w:i/>
          <w:sz w:val="18"/>
        </w:rPr>
        <w:t>–</w:t>
      </w:r>
      <w:r>
        <w:rPr>
          <w:i/>
          <w:spacing w:val="-5"/>
          <w:sz w:val="18"/>
        </w:rPr>
        <w:t xml:space="preserve"> </w:t>
      </w:r>
      <w:r>
        <w:rPr>
          <w:i/>
          <w:sz w:val="18"/>
        </w:rPr>
        <w:t>Footwear</w:t>
      </w:r>
      <w:r>
        <w:rPr>
          <w:i/>
          <w:spacing w:val="-6"/>
          <w:sz w:val="18"/>
        </w:rPr>
        <w:t xml:space="preserve"> </w:t>
      </w:r>
      <w:r>
        <w:rPr>
          <w:i/>
          <w:sz w:val="18"/>
        </w:rPr>
        <w:t>(China)</w:t>
      </w:r>
      <w:r>
        <w:rPr>
          <w:sz w:val="18"/>
        </w:rPr>
        <w:t>,</w:t>
      </w:r>
      <w:r>
        <w:rPr>
          <w:spacing w:val="-7"/>
          <w:sz w:val="18"/>
        </w:rPr>
        <w:t xml:space="preserve"> </w:t>
      </w:r>
      <w:r>
        <w:rPr>
          <w:sz w:val="18"/>
        </w:rPr>
        <w:t>para.</w:t>
      </w:r>
      <w:r>
        <w:rPr>
          <w:spacing w:val="-6"/>
          <w:sz w:val="18"/>
        </w:rPr>
        <w:t xml:space="preserve"> </w:t>
      </w:r>
      <w:r>
        <w:rPr>
          <w:spacing w:val="-2"/>
          <w:sz w:val="18"/>
        </w:rPr>
        <w:t>7.844.</w:t>
      </w:r>
    </w:p>
    <w:p w14:paraId="51DE9BE6" w14:textId="77777777" w:rsidR="0010369C" w:rsidRDefault="008E43AE">
      <w:pPr>
        <w:spacing w:before="1"/>
        <w:ind w:left="238"/>
        <w:rPr>
          <w:sz w:val="18"/>
        </w:rPr>
      </w:pPr>
      <w:r>
        <w:rPr>
          <w:sz w:val="18"/>
          <w:vertAlign w:val="superscript"/>
        </w:rPr>
        <w:t>1237</w:t>
      </w:r>
      <w:r>
        <w:rPr>
          <w:spacing w:val="-6"/>
          <w:sz w:val="18"/>
        </w:rPr>
        <w:t xml:space="preserve"> </w:t>
      </w:r>
      <w:r>
        <w:rPr>
          <w:sz w:val="18"/>
        </w:rPr>
        <w:t>Panel</w:t>
      </w:r>
      <w:r>
        <w:rPr>
          <w:spacing w:val="-6"/>
          <w:sz w:val="18"/>
        </w:rPr>
        <w:t xml:space="preserve"> </w:t>
      </w:r>
      <w:r>
        <w:rPr>
          <w:sz w:val="18"/>
        </w:rPr>
        <w:t>Report,</w:t>
      </w:r>
      <w:r>
        <w:rPr>
          <w:spacing w:val="-6"/>
          <w:sz w:val="18"/>
        </w:rPr>
        <w:t xml:space="preserve"> </w:t>
      </w:r>
      <w:r>
        <w:rPr>
          <w:i/>
          <w:sz w:val="18"/>
        </w:rPr>
        <w:t>Mexico</w:t>
      </w:r>
      <w:r>
        <w:rPr>
          <w:i/>
          <w:spacing w:val="-5"/>
          <w:sz w:val="18"/>
        </w:rPr>
        <w:t xml:space="preserve"> </w:t>
      </w:r>
      <w:r>
        <w:rPr>
          <w:i/>
          <w:sz w:val="18"/>
        </w:rPr>
        <w:t>–</w:t>
      </w:r>
      <w:r>
        <w:rPr>
          <w:i/>
          <w:spacing w:val="-6"/>
          <w:sz w:val="18"/>
        </w:rPr>
        <w:t xml:space="preserve"> </w:t>
      </w:r>
      <w:r>
        <w:rPr>
          <w:i/>
          <w:sz w:val="18"/>
        </w:rPr>
        <w:t>Corn</w:t>
      </w:r>
      <w:r>
        <w:rPr>
          <w:i/>
          <w:spacing w:val="-5"/>
          <w:sz w:val="18"/>
        </w:rPr>
        <w:t xml:space="preserve"> </w:t>
      </w:r>
      <w:r>
        <w:rPr>
          <w:i/>
          <w:sz w:val="18"/>
        </w:rPr>
        <w:t>Syrup</w:t>
      </w:r>
      <w:r>
        <w:rPr>
          <w:sz w:val="18"/>
        </w:rPr>
        <w:t>,</w:t>
      </w:r>
      <w:r>
        <w:rPr>
          <w:spacing w:val="-7"/>
          <w:sz w:val="18"/>
        </w:rPr>
        <w:t xml:space="preserve"> </w:t>
      </w:r>
      <w:r>
        <w:rPr>
          <w:sz w:val="18"/>
        </w:rPr>
        <w:t>para.</w:t>
      </w:r>
      <w:r>
        <w:rPr>
          <w:spacing w:val="-5"/>
          <w:sz w:val="18"/>
        </w:rPr>
        <w:t xml:space="preserve"> </w:t>
      </w:r>
      <w:r>
        <w:rPr>
          <w:spacing w:val="-2"/>
          <w:sz w:val="18"/>
        </w:rPr>
        <w:t>7.104.</w:t>
      </w:r>
    </w:p>
    <w:p w14:paraId="51DE9BE7" w14:textId="77777777" w:rsidR="0010369C" w:rsidRDefault="008E43AE">
      <w:pPr>
        <w:ind w:left="238"/>
        <w:rPr>
          <w:sz w:val="18"/>
        </w:rPr>
      </w:pPr>
      <w:r>
        <w:rPr>
          <w:sz w:val="18"/>
          <w:vertAlign w:val="superscript"/>
        </w:rPr>
        <w:t>1238</w:t>
      </w:r>
      <w:r>
        <w:rPr>
          <w:spacing w:val="-7"/>
          <w:sz w:val="18"/>
        </w:rPr>
        <w:t xml:space="preserve"> </w:t>
      </w:r>
      <w:r>
        <w:rPr>
          <w:sz w:val="18"/>
        </w:rPr>
        <w:t>Panel</w:t>
      </w:r>
      <w:r>
        <w:rPr>
          <w:spacing w:val="-8"/>
          <w:sz w:val="18"/>
        </w:rPr>
        <w:t xml:space="preserve"> </w:t>
      </w:r>
      <w:r>
        <w:rPr>
          <w:sz w:val="18"/>
        </w:rPr>
        <w:t>Report,</w:t>
      </w:r>
      <w:r>
        <w:rPr>
          <w:spacing w:val="-6"/>
          <w:sz w:val="18"/>
        </w:rPr>
        <w:t xml:space="preserve"> </w:t>
      </w:r>
      <w:r>
        <w:rPr>
          <w:i/>
          <w:sz w:val="18"/>
        </w:rPr>
        <w:t>Mexico</w:t>
      </w:r>
      <w:r>
        <w:rPr>
          <w:i/>
          <w:spacing w:val="-7"/>
          <w:sz w:val="18"/>
        </w:rPr>
        <w:t xml:space="preserve"> </w:t>
      </w:r>
      <w:r>
        <w:rPr>
          <w:i/>
          <w:sz w:val="18"/>
        </w:rPr>
        <w:t>–</w:t>
      </w:r>
      <w:r>
        <w:rPr>
          <w:i/>
          <w:spacing w:val="-7"/>
          <w:sz w:val="18"/>
        </w:rPr>
        <w:t xml:space="preserve"> </w:t>
      </w:r>
      <w:r>
        <w:rPr>
          <w:i/>
          <w:sz w:val="18"/>
        </w:rPr>
        <w:t>Corn</w:t>
      </w:r>
      <w:r>
        <w:rPr>
          <w:i/>
          <w:spacing w:val="-7"/>
          <w:sz w:val="18"/>
        </w:rPr>
        <w:t xml:space="preserve"> </w:t>
      </w:r>
      <w:r>
        <w:rPr>
          <w:i/>
          <w:sz w:val="18"/>
        </w:rPr>
        <w:t>Syrup</w:t>
      </w:r>
      <w:r>
        <w:rPr>
          <w:sz w:val="18"/>
        </w:rPr>
        <w:t>,</w:t>
      </w:r>
      <w:r>
        <w:rPr>
          <w:spacing w:val="-7"/>
          <w:sz w:val="18"/>
        </w:rPr>
        <w:t xml:space="preserve"> </w:t>
      </w:r>
      <w:r>
        <w:rPr>
          <w:sz w:val="18"/>
        </w:rPr>
        <w:t>footnote</w:t>
      </w:r>
      <w:r>
        <w:rPr>
          <w:spacing w:val="-6"/>
          <w:sz w:val="18"/>
        </w:rPr>
        <w:t xml:space="preserve"> </w:t>
      </w:r>
      <w:r>
        <w:rPr>
          <w:spacing w:val="-4"/>
          <w:sz w:val="18"/>
        </w:rPr>
        <w:t>610.</w:t>
      </w:r>
    </w:p>
    <w:p w14:paraId="51DE9BE8" w14:textId="77777777" w:rsidR="0010369C" w:rsidRDefault="008E43AE">
      <w:pPr>
        <w:ind w:left="238"/>
        <w:rPr>
          <w:sz w:val="18"/>
        </w:rPr>
      </w:pPr>
      <w:r>
        <w:rPr>
          <w:sz w:val="18"/>
          <w:vertAlign w:val="superscript"/>
        </w:rPr>
        <w:t>1239</w:t>
      </w:r>
      <w:r>
        <w:rPr>
          <w:spacing w:val="-7"/>
          <w:sz w:val="18"/>
        </w:rPr>
        <w:t xml:space="preserve"> </w:t>
      </w:r>
      <w:r>
        <w:rPr>
          <w:sz w:val="18"/>
        </w:rPr>
        <w:t>Panel</w:t>
      </w:r>
      <w:r>
        <w:rPr>
          <w:spacing w:val="-7"/>
          <w:sz w:val="18"/>
        </w:rPr>
        <w:t xml:space="preserve"> </w:t>
      </w:r>
      <w:r>
        <w:rPr>
          <w:sz w:val="18"/>
        </w:rPr>
        <w:t>Report</w:t>
      </w:r>
      <w:r>
        <w:rPr>
          <w:i/>
          <w:sz w:val="18"/>
        </w:rPr>
        <w:t>,</w:t>
      </w:r>
      <w:r>
        <w:rPr>
          <w:i/>
          <w:spacing w:val="-7"/>
          <w:sz w:val="18"/>
        </w:rPr>
        <w:t xml:space="preserve"> </w:t>
      </w:r>
      <w:r>
        <w:rPr>
          <w:i/>
          <w:sz w:val="18"/>
        </w:rPr>
        <w:t>EU</w:t>
      </w:r>
      <w:r>
        <w:rPr>
          <w:i/>
          <w:spacing w:val="-7"/>
          <w:sz w:val="18"/>
        </w:rPr>
        <w:t xml:space="preserve"> </w:t>
      </w:r>
      <w:r>
        <w:rPr>
          <w:i/>
          <w:sz w:val="18"/>
        </w:rPr>
        <w:t>–</w:t>
      </w:r>
      <w:r>
        <w:rPr>
          <w:i/>
          <w:spacing w:val="-6"/>
          <w:sz w:val="18"/>
        </w:rPr>
        <w:t xml:space="preserve"> </w:t>
      </w:r>
      <w:r>
        <w:rPr>
          <w:i/>
          <w:sz w:val="18"/>
        </w:rPr>
        <w:t>Footwear</w:t>
      </w:r>
      <w:r>
        <w:rPr>
          <w:i/>
          <w:spacing w:val="-6"/>
          <w:sz w:val="18"/>
        </w:rPr>
        <w:t xml:space="preserve"> </w:t>
      </w:r>
      <w:r>
        <w:rPr>
          <w:i/>
          <w:sz w:val="18"/>
        </w:rPr>
        <w:t>(China),</w:t>
      </w:r>
      <w:r>
        <w:rPr>
          <w:i/>
          <w:spacing w:val="-8"/>
          <w:sz w:val="18"/>
        </w:rPr>
        <w:t xml:space="preserve"> </w:t>
      </w:r>
      <w:r>
        <w:rPr>
          <w:sz w:val="18"/>
        </w:rPr>
        <w:t>para.</w:t>
      </w:r>
      <w:r>
        <w:rPr>
          <w:spacing w:val="-6"/>
          <w:sz w:val="18"/>
        </w:rPr>
        <w:t xml:space="preserve"> </w:t>
      </w:r>
      <w:r>
        <w:rPr>
          <w:sz w:val="18"/>
        </w:rPr>
        <w:t>7.844.</w:t>
      </w:r>
      <w:r>
        <w:rPr>
          <w:spacing w:val="-6"/>
          <w:sz w:val="18"/>
        </w:rPr>
        <w:t xml:space="preserve"> </w:t>
      </w:r>
      <w:r>
        <w:rPr>
          <w:sz w:val="18"/>
        </w:rPr>
        <w:t>See</w:t>
      </w:r>
      <w:r>
        <w:rPr>
          <w:spacing w:val="-6"/>
          <w:sz w:val="18"/>
        </w:rPr>
        <w:t xml:space="preserve"> </w:t>
      </w:r>
      <w:r>
        <w:rPr>
          <w:sz w:val="18"/>
        </w:rPr>
        <w:t>also,</w:t>
      </w:r>
      <w:r>
        <w:rPr>
          <w:spacing w:val="-7"/>
          <w:sz w:val="18"/>
        </w:rPr>
        <w:t xml:space="preserve"> </w:t>
      </w:r>
      <w:r>
        <w:rPr>
          <w:sz w:val="18"/>
        </w:rPr>
        <w:t>Panel</w:t>
      </w:r>
      <w:r>
        <w:rPr>
          <w:spacing w:val="-7"/>
          <w:sz w:val="18"/>
        </w:rPr>
        <w:t xml:space="preserve"> </w:t>
      </w:r>
      <w:r>
        <w:rPr>
          <w:sz w:val="18"/>
        </w:rPr>
        <w:t>Report,</w:t>
      </w:r>
      <w:r>
        <w:rPr>
          <w:spacing w:val="-6"/>
          <w:sz w:val="18"/>
        </w:rPr>
        <w:t xml:space="preserve"> </w:t>
      </w:r>
      <w:r>
        <w:rPr>
          <w:i/>
          <w:sz w:val="18"/>
        </w:rPr>
        <w:t>China</w:t>
      </w:r>
      <w:r>
        <w:rPr>
          <w:i/>
          <w:spacing w:val="-6"/>
          <w:sz w:val="18"/>
        </w:rPr>
        <w:t xml:space="preserve"> </w:t>
      </w:r>
      <w:r>
        <w:rPr>
          <w:i/>
          <w:sz w:val="18"/>
        </w:rPr>
        <w:t>–</w:t>
      </w:r>
      <w:r>
        <w:rPr>
          <w:i/>
          <w:spacing w:val="-5"/>
          <w:sz w:val="18"/>
        </w:rPr>
        <w:t xml:space="preserve"> </w:t>
      </w:r>
      <w:r>
        <w:rPr>
          <w:i/>
          <w:sz w:val="18"/>
        </w:rPr>
        <w:t>X‐Ray</w:t>
      </w:r>
      <w:r>
        <w:rPr>
          <w:i/>
          <w:spacing w:val="-7"/>
          <w:sz w:val="18"/>
        </w:rPr>
        <w:t xml:space="preserve"> </w:t>
      </w:r>
      <w:r>
        <w:rPr>
          <w:i/>
          <w:sz w:val="18"/>
        </w:rPr>
        <w:t>Equipment</w:t>
      </w:r>
      <w:r>
        <w:rPr>
          <w:sz w:val="18"/>
        </w:rPr>
        <w:t>,</w:t>
      </w:r>
      <w:r>
        <w:rPr>
          <w:spacing w:val="-6"/>
          <w:sz w:val="18"/>
        </w:rPr>
        <w:t xml:space="preserve"> </w:t>
      </w:r>
      <w:r>
        <w:rPr>
          <w:sz w:val="18"/>
        </w:rPr>
        <w:t>para.</w:t>
      </w:r>
      <w:r>
        <w:rPr>
          <w:spacing w:val="-6"/>
          <w:sz w:val="18"/>
        </w:rPr>
        <w:t xml:space="preserve"> </w:t>
      </w:r>
      <w:r>
        <w:rPr>
          <w:spacing w:val="-2"/>
          <w:sz w:val="18"/>
        </w:rPr>
        <w:t>7.459.</w:t>
      </w:r>
    </w:p>
    <w:p w14:paraId="51DE9BE9" w14:textId="77777777" w:rsidR="0010369C" w:rsidRDefault="008E43AE">
      <w:pPr>
        <w:ind w:left="238"/>
        <w:rPr>
          <w:sz w:val="18"/>
        </w:rPr>
      </w:pPr>
      <w:r>
        <w:rPr>
          <w:sz w:val="18"/>
          <w:vertAlign w:val="superscript"/>
        </w:rPr>
        <w:t>1240</w:t>
      </w:r>
      <w:r>
        <w:rPr>
          <w:spacing w:val="-6"/>
          <w:sz w:val="18"/>
        </w:rPr>
        <w:t xml:space="preserve"> </w:t>
      </w:r>
      <w:r>
        <w:rPr>
          <w:sz w:val="18"/>
        </w:rPr>
        <w:t>Appellate</w:t>
      </w:r>
      <w:r>
        <w:rPr>
          <w:spacing w:val="-5"/>
          <w:sz w:val="18"/>
        </w:rPr>
        <w:t xml:space="preserve"> </w:t>
      </w:r>
      <w:r>
        <w:rPr>
          <w:sz w:val="18"/>
        </w:rPr>
        <w:t>Body</w:t>
      </w:r>
      <w:r>
        <w:rPr>
          <w:spacing w:val="-7"/>
          <w:sz w:val="18"/>
        </w:rPr>
        <w:t xml:space="preserve"> </w:t>
      </w:r>
      <w:r>
        <w:rPr>
          <w:sz w:val="18"/>
        </w:rPr>
        <w:t>Report,</w:t>
      </w:r>
      <w:r>
        <w:rPr>
          <w:spacing w:val="-6"/>
          <w:sz w:val="18"/>
        </w:rPr>
        <w:t xml:space="preserve"> </w:t>
      </w:r>
      <w:r>
        <w:rPr>
          <w:i/>
          <w:sz w:val="18"/>
        </w:rPr>
        <w:t>China</w:t>
      </w:r>
      <w:r>
        <w:rPr>
          <w:i/>
          <w:spacing w:val="-5"/>
          <w:sz w:val="18"/>
        </w:rPr>
        <w:t xml:space="preserve"> </w:t>
      </w:r>
      <w:r>
        <w:rPr>
          <w:i/>
          <w:sz w:val="18"/>
        </w:rPr>
        <w:t>–</w:t>
      </w:r>
      <w:r>
        <w:rPr>
          <w:i/>
          <w:spacing w:val="-5"/>
          <w:sz w:val="18"/>
        </w:rPr>
        <w:t xml:space="preserve"> </w:t>
      </w:r>
      <w:r>
        <w:rPr>
          <w:i/>
          <w:sz w:val="18"/>
        </w:rPr>
        <w:t>GOES</w:t>
      </w:r>
      <w:r>
        <w:rPr>
          <w:sz w:val="18"/>
        </w:rPr>
        <w:t>,</w:t>
      </w:r>
      <w:r>
        <w:rPr>
          <w:spacing w:val="-6"/>
          <w:sz w:val="18"/>
        </w:rPr>
        <w:t xml:space="preserve"> </w:t>
      </w:r>
      <w:r>
        <w:rPr>
          <w:sz w:val="18"/>
        </w:rPr>
        <w:t>para.</w:t>
      </w:r>
      <w:r>
        <w:rPr>
          <w:spacing w:val="-5"/>
          <w:sz w:val="18"/>
        </w:rPr>
        <w:t xml:space="preserve"> </w:t>
      </w:r>
      <w:r>
        <w:rPr>
          <w:sz w:val="18"/>
        </w:rPr>
        <w:t>258.</w:t>
      </w:r>
      <w:r>
        <w:rPr>
          <w:spacing w:val="-6"/>
          <w:sz w:val="18"/>
        </w:rPr>
        <w:t xml:space="preserve"> </w:t>
      </w:r>
      <w:r>
        <w:rPr>
          <w:sz w:val="18"/>
        </w:rPr>
        <w:t>(emphasis</w:t>
      </w:r>
      <w:r>
        <w:rPr>
          <w:spacing w:val="-5"/>
          <w:sz w:val="18"/>
        </w:rPr>
        <w:t xml:space="preserve"> </w:t>
      </w:r>
      <w:r>
        <w:rPr>
          <w:spacing w:val="-2"/>
          <w:sz w:val="18"/>
        </w:rPr>
        <w:t>original)</w:t>
      </w:r>
    </w:p>
    <w:p w14:paraId="51DE9BEA" w14:textId="77777777" w:rsidR="0010369C" w:rsidRDefault="0010369C">
      <w:pPr>
        <w:rPr>
          <w:sz w:val="18"/>
        </w:rPr>
        <w:sectPr w:rsidR="0010369C">
          <w:pgSz w:w="11910" w:h="16840"/>
          <w:pgMar w:top="880" w:right="800" w:bottom="980" w:left="1180" w:header="569" w:footer="788" w:gutter="0"/>
          <w:cols w:space="720"/>
        </w:sectPr>
      </w:pPr>
    </w:p>
    <w:p w14:paraId="51DE9BEB" w14:textId="77777777" w:rsidR="0010369C" w:rsidRDefault="008E43AE">
      <w:pPr>
        <w:tabs>
          <w:tab w:val="left" w:pos="6425"/>
        </w:tabs>
        <w:ind w:left="238"/>
        <w:rPr>
          <w:sz w:val="20"/>
        </w:rPr>
      </w:pPr>
      <w:r>
        <w:rPr>
          <w:i/>
          <w:sz w:val="20"/>
        </w:rPr>
        <w:lastRenderedPageBreak/>
        <w:t>China</w:t>
      </w:r>
      <w:r>
        <w:rPr>
          <w:i/>
          <w:spacing w:val="-5"/>
          <w:sz w:val="20"/>
        </w:rPr>
        <w:t xml:space="preserve"> </w:t>
      </w:r>
      <w:r>
        <w:rPr>
          <w:i/>
          <w:sz w:val="20"/>
        </w:rPr>
        <w:t>–</w:t>
      </w:r>
      <w:r>
        <w:rPr>
          <w:i/>
          <w:spacing w:val="-5"/>
          <w:sz w:val="20"/>
        </w:rPr>
        <w:t xml:space="preserve"> </w:t>
      </w:r>
      <w:r>
        <w:rPr>
          <w:i/>
          <w:sz w:val="20"/>
        </w:rPr>
        <w:t>Anti‐Dumping</w:t>
      </w:r>
      <w:r>
        <w:rPr>
          <w:i/>
          <w:spacing w:val="-4"/>
          <w:sz w:val="20"/>
        </w:rPr>
        <w:t xml:space="preserve"> </w:t>
      </w:r>
      <w:r>
        <w:rPr>
          <w:i/>
          <w:sz w:val="20"/>
        </w:rPr>
        <w:t>and</w:t>
      </w:r>
      <w:r>
        <w:rPr>
          <w:i/>
          <w:spacing w:val="-5"/>
          <w:sz w:val="20"/>
        </w:rPr>
        <w:t xml:space="preserve"> </w:t>
      </w:r>
      <w:r>
        <w:rPr>
          <w:i/>
          <w:sz w:val="20"/>
        </w:rPr>
        <w:t>Countervailing</w:t>
      </w:r>
      <w:r>
        <w:rPr>
          <w:i/>
          <w:spacing w:val="-5"/>
          <w:sz w:val="20"/>
        </w:rPr>
        <w:t xml:space="preserve"> </w:t>
      </w:r>
      <w:r>
        <w:rPr>
          <w:i/>
          <w:sz w:val="20"/>
        </w:rPr>
        <w:t>Duty</w:t>
      </w:r>
      <w:r>
        <w:rPr>
          <w:i/>
          <w:spacing w:val="-4"/>
          <w:sz w:val="20"/>
        </w:rPr>
        <w:t xml:space="preserve"> </w:t>
      </w:r>
      <w:r>
        <w:rPr>
          <w:i/>
          <w:spacing w:val="-2"/>
          <w:sz w:val="20"/>
        </w:rPr>
        <w:t>Measures</w:t>
      </w:r>
      <w:r>
        <w:rPr>
          <w:i/>
          <w:sz w:val="20"/>
        </w:rPr>
        <w:tab/>
      </w:r>
      <w:r>
        <w:rPr>
          <w:sz w:val="20"/>
        </w:rPr>
        <w:t>Australia's</w:t>
      </w:r>
      <w:r>
        <w:rPr>
          <w:spacing w:val="-7"/>
          <w:sz w:val="20"/>
        </w:rPr>
        <w:t xml:space="preserve"> </w:t>
      </w:r>
      <w:r>
        <w:rPr>
          <w:sz w:val="20"/>
        </w:rPr>
        <w:t>First</w:t>
      </w:r>
      <w:r>
        <w:rPr>
          <w:spacing w:val="-2"/>
          <w:sz w:val="20"/>
        </w:rPr>
        <w:t xml:space="preserve"> </w:t>
      </w:r>
      <w:r>
        <w:rPr>
          <w:sz w:val="20"/>
        </w:rPr>
        <w:t>Written</w:t>
      </w:r>
      <w:r>
        <w:rPr>
          <w:spacing w:val="-2"/>
          <w:sz w:val="20"/>
        </w:rPr>
        <w:t xml:space="preserve"> Submission</w:t>
      </w:r>
    </w:p>
    <w:p w14:paraId="51DE9BEC" w14:textId="77777777" w:rsidR="0010369C" w:rsidRDefault="008E43AE">
      <w:pPr>
        <w:tabs>
          <w:tab w:val="left" w:pos="8227"/>
        </w:tabs>
        <w:spacing w:before="1"/>
        <w:ind w:left="239"/>
        <w:rPr>
          <w:sz w:val="20"/>
        </w:rPr>
      </w:pPr>
      <w:r>
        <w:rPr>
          <w:i/>
          <w:sz w:val="20"/>
        </w:rPr>
        <w:t>on</w:t>
      </w:r>
      <w:r>
        <w:rPr>
          <w:i/>
          <w:spacing w:val="-1"/>
          <w:sz w:val="20"/>
        </w:rPr>
        <w:t xml:space="preserve"> </w:t>
      </w:r>
      <w:r>
        <w:rPr>
          <w:i/>
          <w:sz w:val="20"/>
        </w:rPr>
        <w:t>Wine</w:t>
      </w:r>
      <w:r>
        <w:rPr>
          <w:i/>
          <w:spacing w:val="-1"/>
          <w:sz w:val="20"/>
        </w:rPr>
        <w:t xml:space="preserve"> </w:t>
      </w:r>
      <w:r>
        <w:rPr>
          <w:i/>
          <w:sz w:val="20"/>
        </w:rPr>
        <w:t>from</w:t>
      </w:r>
      <w:r>
        <w:rPr>
          <w:i/>
          <w:spacing w:val="-3"/>
          <w:sz w:val="20"/>
        </w:rPr>
        <w:t xml:space="preserve"> </w:t>
      </w:r>
      <w:r>
        <w:rPr>
          <w:i/>
          <w:sz w:val="20"/>
        </w:rPr>
        <w:t>Australia</w:t>
      </w:r>
      <w:r>
        <w:rPr>
          <w:i/>
          <w:spacing w:val="-1"/>
          <w:sz w:val="20"/>
        </w:rPr>
        <w:t xml:space="preserve"> </w:t>
      </w:r>
      <w:r>
        <w:rPr>
          <w:spacing w:val="-2"/>
          <w:sz w:val="20"/>
        </w:rPr>
        <w:t>(DS602)</w:t>
      </w:r>
      <w:r>
        <w:rPr>
          <w:sz w:val="20"/>
        </w:rPr>
        <w:tab/>
        <w:t>29</w:t>
      </w:r>
      <w:r>
        <w:rPr>
          <w:spacing w:val="-1"/>
          <w:sz w:val="20"/>
        </w:rPr>
        <w:t xml:space="preserve"> </w:t>
      </w:r>
      <w:r>
        <w:rPr>
          <w:sz w:val="20"/>
        </w:rPr>
        <w:t>April</w:t>
      </w:r>
      <w:r>
        <w:rPr>
          <w:spacing w:val="-2"/>
          <w:sz w:val="20"/>
        </w:rPr>
        <w:t xml:space="preserve"> </w:t>
      </w:r>
      <w:r>
        <w:rPr>
          <w:spacing w:val="-4"/>
          <w:sz w:val="20"/>
        </w:rPr>
        <w:t>2022</w:t>
      </w:r>
    </w:p>
    <w:p w14:paraId="51DE9BED" w14:textId="77777777" w:rsidR="0010369C" w:rsidRDefault="008E43AE">
      <w:pPr>
        <w:pStyle w:val="BodyText"/>
        <w:spacing w:before="34" w:line="360" w:lineRule="auto"/>
        <w:ind w:left="236" w:right="613" w:firstLine="852"/>
        <w:jc w:val="both"/>
      </w:pPr>
      <w:r>
        <w:rPr>
          <w:noProof/>
        </w:rPr>
        <w:drawing>
          <wp:anchor distT="0" distB="0" distL="0" distR="0" simplePos="0" relativeHeight="251645440" behindDoc="1" locked="0" layoutInCell="1" allowOverlap="1" wp14:anchorId="51DEA93E" wp14:editId="51DEA93F">
            <wp:simplePos x="0" y="0"/>
            <wp:positionH relativeFrom="page">
              <wp:posOffset>908303</wp:posOffset>
            </wp:positionH>
            <wp:positionV relativeFrom="paragraph">
              <wp:posOffset>69165</wp:posOffset>
            </wp:positionV>
            <wp:extent cx="332231" cy="103631"/>
            <wp:effectExtent l="0" t="0" r="0" b="0"/>
            <wp:wrapNone/>
            <wp:docPr id="2113" name="image10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 name="image1084.png"/>
                    <pic:cNvPicPr/>
                  </pic:nvPicPr>
                  <pic:blipFill>
                    <a:blip r:embed="rId1389" cstate="print"/>
                    <a:stretch>
                      <a:fillRect/>
                    </a:stretch>
                  </pic:blipFill>
                  <pic:spPr>
                    <a:xfrm>
                      <a:off x="0" y="0"/>
                      <a:ext cx="332231" cy="103631"/>
                    </a:xfrm>
                    <a:prstGeom prst="rect">
                      <a:avLst/>
                    </a:prstGeom>
                  </pic:spPr>
                </pic:pic>
              </a:graphicData>
            </a:graphic>
          </wp:anchor>
        </w:drawing>
      </w:r>
      <w:r>
        <w:t>The content of the disclosure obligation – that is, whether information is "relevant" (Article 12.2.2) or "material" (Article 12.2) – must therefore be considered in light of the investigating authority's substantive obligations to establish dumping, injur</w:t>
      </w:r>
      <w:r>
        <w:t>y and causation, given</w:t>
      </w:r>
      <w:r>
        <w:rPr>
          <w:spacing w:val="-3"/>
        </w:rPr>
        <w:t xml:space="preserve"> </w:t>
      </w:r>
      <w:r>
        <w:t>the</w:t>
      </w:r>
      <w:r>
        <w:rPr>
          <w:spacing w:val="-2"/>
        </w:rPr>
        <w:t xml:space="preserve"> </w:t>
      </w:r>
      <w:r>
        <w:t>factual</w:t>
      </w:r>
      <w:r>
        <w:rPr>
          <w:spacing w:val="-2"/>
        </w:rPr>
        <w:t xml:space="preserve"> </w:t>
      </w:r>
      <w:r>
        <w:t>circumstances</w:t>
      </w:r>
      <w:r>
        <w:rPr>
          <w:spacing w:val="-3"/>
        </w:rPr>
        <w:t xml:space="preserve"> </w:t>
      </w:r>
      <w:r>
        <w:t>of</w:t>
      </w:r>
      <w:r>
        <w:rPr>
          <w:spacing w:val="-4"/>
        </w:rPr>
        <w:t xml:space="preserve"> </w:t>
      </w:r>
      <w:r>
        <w:t>the</w:t>
      </w:r>
      <w:r>
        <w:rPr>
          <w:spacing w:val="-2"/>
        </w:rPr>
        <w:t xml:space="preserve"> </w:t>
      </w:r>
      <w:r>
        <w:t>case</w:t>
      </w:r>
      <w:r>
        <w:rPr>
          <w:spacing w:val="-2"/>
        </w:rPr>
        <w:t xml:space="preserve"> </w:t>
      </w:r>
      <w:r>
        <w:t>at</w:t>
      </w:r>
      <w:r>
        <w:rPr>
          <w:spacing w:val="-3"/>
        </w:rPr>
        <w:t xml:space="preserve"> </w:t>
      </w:r>
      <w:r>
        <w:t>hand.</w:t>
      </w:r>
      <w:r>
        <w:rPr>
          <w:vertAlign w:val="superscript"/>
        </w:rPr>
        <w:t>1241</w:t>
      </w:r>
      <w:r>
        <w:rPr>
          <w:spacing w:val="-3"/>
        </w:rPr>
        <w:t xml:space="preserve"> </w:t>
      </w:r>
      <w:r>
        <w:t>The</w:t>
      </w:r>
      <w:r>
        <w:rPr>
          <w:spacing w:val="-2"/>
        </w:rPr>
        <w:t xml:space="preserve"> </w:t>
      </w:r>
      <w:r>
        <w:t>panel</w:t>
      </w:r>
      <w:r>
        <w:rPr>
          <w:spacing w:val="-2"/>
        </w:rPr>
        <w:t xml:space="preserve"> </w:t>
      </w:r>
      <w:r>
        <w:t>in</w:t>
      </w:r>
      <w:r>
        <w:rPr>
          <w:spacing w:val="-3"/>
        </w:rPr>
        <w:t xml:space="preserve"> </w:t>
      </w:r>
      <w:r>
        <w:rPr>
          <w:i/>
        </w:rPr>
        <w:t>EC</w:t>
      </w:r>
      <w:r>
        <w:rPr>
          <w:i/>
          <w:spacing w:val="-2"/>
        </w:rPr>
        <w:t xml:space="preserve"> </w:t>
      </w:r>
      <w:r>
        <w:rPr>
          <w:i/>
        </w:rPr>
        <w:t>‐</w:t>
      </w:r>
      <w:r>
        <w:rPr>
          <w:i/>
          <w:spacing w:val="-4"/>
        </w:rPr>
        <w:t xml:space="preserve"> </w:t>
      </w:r>
      <w:r>
        <w:rPr>
          <w:i/>
        </w:rPr>
        <w:t>Tube</w:t>
      </w:r>
      <w:r>
        <w:rPr>
          <w:i/>
          <w:spacing w:val="-2"/>
        </w:rPr>
        <w:t xml:space="preserve"> </w:t>
      </w:r>
      <w:r>
        <w:rPr>
          <w:i/>
        </w:rPr>
        <w:t>or</w:t>
      </w:r>
      <w:r>
        <w:rPr>
          <w:i/>
          <w:spacing w:val="-2"/>
        </w:rPr>
        <w:t xml:space="preserve"> </w:t>
      </w:r>
      <w:r>
        <w:rPr>
          <w:i/>
        </w:rPr>
        <w:t>Pipe</w:t>
      </w:r>
      <w:r>
        <w:rPr>
          <w:i/>
          <w:spacing w:val="-3"/>
        </w:rPr>
        <w:t xml:space="preserve"> </w:t>
      </w:r>
      <w:r>
        <w:rPr>
          <w:i/>
        </w:rPr>
        <w:t xml:space="preserve">Fittings </w:t>
      </w:r>
      <w:r>
        <w:t>noted</w:t>
      </w:r>
      <w:r>
        <w:rPr>
          <w:spacing w:val="-1"/>
        </w:rPr>
        <w:t xml:space="preserve"> </w:t>
      </w:r>
      <w:r>
        <w:t>that</w:t>
      </w:r>
      <w:r>
        <w:rPr>
          <w:spacing w:val="-2"/>
        </w:rPr>
        <w:t xml:space="preserve"> </w:t>
      </w:r>
      <w:r>
        <w:t>the</w:t>
      </w:r>
      <w:r>
        <w:rPr>
          <w:spacing w:val="-1"/>
        </w:rPr>
        <w:t xml:space="preserve"> </w:t>
      </w:r>
      <w:r>
        <w:t>phase</w:t>
      </w:r>
      <w:r>
        <w:rPr>
          <w:spacing w:val="-1"/>
        </w:rPr>
        <w:t xml:space="preserve"> </w:t>
      </w:r>
      <w:r>
        <w:t>"have</w:t>
      </w:r>
      <w:r>
        <w:rPr>
          <w:spacing w:val="-1"/>
        </w:rPr>
        <w:t xml:space="preserve"> </w:t>
      </w:r>
      <w:r>
        <w:t>led</w:t>
      </w:r>
      <w:r>
        <w:rPr>
          <w:spacing w:val="-1"/>
        </w:rPr>
        <w:t xml:space="preserve"> </w:t>
      </w:r>
      <w:r>
        <w:t>to"</w:t>
      </w:r>
      <w:r>
        <w:rPr>
          <w:spacing w:val="-2"/>
        </w:rPr>
        <w:t xml:space="preserve"> </w:t>
      </w:r>
      <w:r>
        <w:t>in</w:t>
      </w:r>
      <w:r>
        <w:rPr>
          <w:spacing w:val="-2"/>
        </w:rPr>
        <w:t xml:space="preserve"> </w:t>
      </w:r>
      <w:r>
        <w:t>Article</w:t>
      </w:r>
      <w:r>
        <w:rPr>
          <w:spacing w:val="-2"/>
        </w:rPr>
        <w:t xml:space="preserve"> </w:t>
      </w:r>
      <w:r>
        <w:t>12.2.2</w:t>
      </w:r>
      <w:r>
        <w:rPr>
          <w:spacing w:val="-2"/>
        </w:rPr>
        <w:t xml:space="preserve"> </w:t>
      </w:r>
      <w:r>
        <w:t>"implies</w:t>
      </w:r>
      <w:r>
        <w:rPr>
          <w:spacing w:val="-1"/>
        </w:rPr>
        <w:t xml:space="preserve"> </w:t>
      </w:r>
      <w:r>
        <w:t>those</w:t>
      </w:r>
      <w:r>
        <w:rPr>
          <w:spacing w:val="-1"/>
        </w:rPr>
        <w:t xml:space="preserve"> </w:t>
      </w:r>
      <w:r>
        <w:t>matters</w:t>
      </w:r>
      <w:r>
        <w:rPr>
          <w:spacing w:val="-3"/>
        </w:rPr>
        <w:t xml:space="preserve"> </w:t>
      </w:r>
      <w:r>
        <w:t>on</w:t>
      </w:r>
      <w:r>
        <w:rPr>
          <w:spacing w:val="-2"/>
        </w:rPr>
        <w:t xml:space="preserve"> </w:t>
      </w:r>
      <w:r>
        <w:t>which</w:t>
      </w:r>
      <w:r>
        <w:rPr>
          <w:spacing w:val="-1"/>
        </w:rPr>
        <w:t xml:space="preserve"> </w:t>
      </w:r>
      <w:r>
        <w:t>a</w:t>
      </w:r>
      <w:r>
        <w:rPr>
          <w:spacing w:val="-2"/>
        </w:rPr>
        <w:t xml:space="preserve"> </w:t>
      </w:r>
      <w:r>
        <w:t>factual or</w:t>
      </w:r>
      <w:r>
        <w:rPr>
          <w:spacing w:val="-1"/>
        </w:rPr>
        <w:t xml:space="preserve"> </w:t>
      </w:r>
      <w:r>
        <w:t>legal</w:t>
      </w:r>
      <w:r>
        <w:rPr>
          <w:spacing w:val="-1"/>
        </w:rPr>
        <w:t xml:space="preserve"> </w:t>
      </w:r>
      <w:r>
        <w:t>determination</w:t>
      </w:r>
      <w:r>
        <w:rPr>
          <w:spacing w:val="-3"/>
        </w:rPr>
        <w:t xml:space="preserve"> </w:t>
      </w:r>
      <w:r>
        <w:t>must</w:t>
      </w:r>
      <w:r>
        <w:rPr>
          <w:spacing w:val="-2"/>
        </w:rPr>
        <w:t xml:space="preserve"> </w:t>
      </w:r>
      <w:r>
        <w:t>necessarily be</w:t>
      </w:r>
      <w:r>
        <w:rPr>
          <w:spacing w:val="-2"/>
        </w:rPr>
        <w:t xml:space="preserve"> </w:t>
      </w:r>
      <w:r>
        <w:t>made</w:t>
      </w:r>
      <w:r>
        <w:rPr>
          <w:spacing w:val="-2"/>
        </w:rPr>
        <w:t xml:space="preserve"> </w:t>
      </w:r>
      <w:r>
        <w:t>in</w:t>
      </w:r>
      <w:r>
        <w:rPr>
          <w:spacing w:val="-2"/>
        </w:rPr>
        <w:t xml:space="preserve"> </w:t>
      </w:r>
      <w:r>
        <w:t>connection</w:t>
      </w:r>
      <w:r>
        <w:rPr>
          <w:spacing w:val="-1"/>
        </w:rPr>
        <w:t xml:space="preserve"> </w:t>
      </w:r>
      <w:r>
        <w:t>with</w:t>
      </w:r>
      <w:r>
        <w:rPr>
          <w:spacing w:val="-2"/>
        </w:rPr>
        <w:t xml:space="preserve"> </w:t>
      </w:r>
      <w:r>
        <w:t>the</w:t>
      </w:r>
      <w:r>
        <w:rPr>
          <w:spacing w:val="-1"/>
        </w:rPr>
        <w:t xml:space="preserve"> </w:t>
      </w:r>
      <w:r>
        <w:t>decision</w:t>
      </w:r>
      <w:r>
        <w:rPr>
          <w:spacing w:val="-2"/>
        </w:rPr>
        <w:t xml:space="preserve"> </w:t>
      </w:r>
      <w:r>
        <w:t>to</w:t>
      </w:r>
      <w:r>
        <w:rPr>
          <w:spacing w:val="-2"/>
        </w:rPr>
        <w:t xml:space="preserve"> </w:t>
      </w:r>
      <w:r>
        <w:t>impose</w:t>
      </w:r>
      <w:r>
        <w:rPr>
          <w:spacing w:val="-1"/>
        </w:rPr>
        <w:t xml:space="preserve"> </w:t>
      </w:r>
      <w:r>
        <w:t>a definitive anti‐dumping duty".</w:t>
      </w:r>
      <w:r>
        <w:rPr>
          <w:vertAlign w:val="superscript"/>
        </w:rPr>
        <w:t>1242</w:t>
      </w:r>
    </w:p>
    <w:p w14:paraId="51DE9BEE" w14:textId="77777777" w:rsidR="0010369C" w:rsidRDefault="0010369C">
      <w:pPr>
        <w:pStyle w:val="BodyText"/>
        <w:spacing w:before="10"/>
        <w:rPr>
          <w:sz w:val="8"/>
        </w:rPr>
      </w:pPr>
    </w:p>
    <w:p w14:paraId="51DE9BEF" w14:textId="77777777" w:rsidR="0010369C" w:rsidRDefault="008E43AE">
      <w:pPr>
        <w:pStyle w:val="BodyText"/>
        <w:spacing w:before="52" w:line="360" w:lineRule="auto"/>
        <w:ind w:left="236" w:right="614" w:firstLine="852"/>
        <w:jc w:val="both"/>
      </w:pPr>
      <w:r>
        <w:rPr>
          <w:noProof/>
        </w:rPr>
        <w:drawing>
          <wp:anchor distT="0" distB="0" distL="0" distR="0" simplePos="0" relativeHeight="251646464" behindDoc="1" locked="0" layoutInCell="1" allowOverlap="1" wp14:anchorId="51DEA940" wp14:editId="51DEA941">
            <wp:simplePos x="0" y="0"/>
            <wp:positionH relativeFrom="page">
              <wp:posOffset>908303</wp:posOffset>
            </wp:positionH>
            <wp:positionV relativeFrom="paragraph">
              <wp:posOffset>80595</wp:posOffset>
            </wp:positionV>
            <wp:extent cx="332231" cy="103631"/>
            <wp:effectExtent l="0" t="0" r="0" b="0"/>
            <wp:wrapNone/>
            <wp:docPr id="2115" name="image10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 name="image1085.png"/>
                    <pic:cNvPicPr/>
                  </pic:nvPicPr>
                  <pic:blipFill>
                    <a:blip r:embed="rId1390" cstate="print"/>
                    <a:stretch>
                      <a:fillRect/>
                    </a:stretch>
                  </pic:blipFill>
                  <pic:spPr>
                    <a:xfrm>
                      <a:off x="0" y="0"/>
                      <a:ext cx="332231" cy="103631"/>
                    </a:xfrm>
                    <a:prstGeom prst="rect">
                      <a:avLst/>
                    </a:prstGeom>
                  </pic:spPr>
                </pic:pic>
              </a:graphicData>
            </a:graphic>
          </wp:anchor>
        </w:drawing>
      </w:r>
      <w:r>
        <w:t>In this respect, the Appellate Body has (in the context of relevantly identical provisions of the SCM Agreement) explained that, where a panel is required to undertake an "objective</w:t>
      </w:r>
      <w:r>
        <w:rPr>
          <w:spacing w:val="-1"/>
        </w:rPr>
        <w:t xml:space="preserve"> </w:t>
      </w:r>
      <w:r>
        <w:t>assessment"</w:t>
      </w:r>
      <w:r>
        <w:rPr>
          <w:spacing w:val="-1"/>
        </w:rPr>
        <w:t xml:space="preserve"> </w:t>
      </w:r>
      <w:r>
        <w:t>of</w:t>
      </w:r>
      <w:r>
        <w:rPr>
          <w:spacing w:val="-1"/>
        </w:rPr>
        <w:t xml:space="preserve"> </w:t>
      </w:r>
      <w:r>
        <w:t>an</w:t>
      </w:r>
      <w:r>
        <w:rPr>
          <w:spacing w:val="-1"/>
        </w:rPr>
        <w:t xml:space="preserve"> </w:t>
      </w:r>
      <w:r>
        <w:t>investigating authority's</w:t>
      </w:r>
      <w:r>
        <w:rPr>
          <w:spacing w:val="-1"/>
        </w:rPr>
        <w:t xml:space="preserve"> </w:t>
      </w:r>
      <w:r>
        <w:t>determination,</w:t>
      </w:r>
      <w:r>
        <w:rPr>
          <w:spacing w:val="-1"/>
        </w:rPr>
        <w:t xml:space="preserve"> </w:t>
      </w:r>
      <w:r>
        <w:t>the panel's</w:t>
      </w:r>
      <w:r>
        <w:rPr>
          <w:spacing w:val="-1"/>
        </w:rPr>
        <w:t xml:space="preserve"> </w:t>
      </w:r>
      <w:r>
        <w:t>ass</w:t>
      </w:r>
      <w:r>
        <w:t>essment must consider whether:</w:t>
      </w:r>
    </w:p>
    <w:p w14:paraId="51DE9BF0" w14:textId="77777777" w:rsidR="0010369C" w:rsidRDefault="008E43AE">
      <w:pPr>
        <w:spacing w:before="162" w:line="276" w:lineRule="auto"/>
        <w:ind w:left="1087" w:right="614" w:firstLine="1"/>
        <w:jc w:val="both"/>
      </w:pPr>
      <w:r>
        <w:t>[T]he agency provided a reasoned and adequate explanation as to: (i) how the evidence on the record supported its factual findings; and (ii) how those factual findings supported the overall subsidy determination. Such explana</w:t>
      </w:r>
      <w:r>
        <w:t>tion should be discernible from the published determination itself. The explanation provided by the investigating authority—with respect to its factual findings as well as its ultimate subsidy determination—should also address alternative explanations that</w:t>
      </w:r>
      <w:r>
        <w:t xml:space="preserve"> could reasonably be drawn from the evidence, as well as the reasons why the agency chose to discount such alternatives in coming to its conclusions.</w:t>
      </w:r>
      <w:r>
        <w:rPr>
          <w:vertAlign w:val="superscript"/>
        </w:rPr>
        <w:t>1243</w:t>
      </w:r>
    </w:p>
    <w:p w14:paraId="51DE9BF1" w14:textId="77777777" w:rsidR="0010369C" w:rsidRDefault="0010369C">
      <w:pPr>
        <w:pStyle w:val="BodyText"/>
        <w:spacing w:before="6"/>
        <w:rPr>
          <w:sz w:val="19"/>
        </w:rPr>
      </w:pPr>
    </w:p>
    <w:p w14:paraId="51DE9BF2" w14:textId="77777777" w:rsidR="0010369C" w:rsidRDefault="008E43AE">
      <w:pPr>
        <w:pStyle w:val="Heading4"/>
        <w:numPr>
          <w:ilvl w:val="2"/>
          <w:numId w:val="75"/>
        </w:numPr>
        <w:tabs>
          <w:tab w:val="left" w:pos="2649"/>
          <w:tab w:val="left" w:pos="2650"/>
        </w:tabs>
        <w:spacing w:before="0" w:line="360" w:lineRule="auto"/>
        <w:ind w:right="615"/>
        <w:jc w:val="both"/>
      </w:pPr>
      <w:r>
        <w:t>MOFCOM's public notice of the Final Determination failed to contain all relevant information</w:t>
      </w:r>
    </w:p>
    <w:p w14:paraId="51DE9BF3" w14:textId="77777777" w:rsidR="0010369C" w:rsidRDefault="008E43AE">
      <w:pPr>
        <w:pStyle w:val="ListParagraph"/>
        <w:numPr>
          <w:ilvl w:val="3"/>
          <w:numId w:val="75"/>
        </w:numPr>
        <w:tabs>
          <w:tab w:val="left" w:pos="3641"/>
          <w:tab w:val="left" w:pos="3642"/>
        </w:tabs>
        <w:spacing w:before="160" w:line="360" w:lineRule="auto"/>
        <w:ind w:right="613" w:hanging="853"/>
        <w:jc w:val="both"/>
        <w:rPr>
          <w:sz w:val="24"/>
        </w:rPr>
      </w:pPr>
      <w:r>
        <w:rPr>
          <w:sz w:val="24"/>
          <w:u w:val="single"/>
        </w:rPr>
        <w:t>Calculation of the output of domestic industry and the</w:t>
      </w:r>
      <w:r>
        <w:rPr>
          <w:sz w:val="24"/>
        </w:rPr>
        <w:t xml:space="preserve"> </w:t>
      </w:r>
      <w:r>
        <w:rPr>
          <w:sz w:val="24"/>
          <w:u w:val="single"/>
        </w:rPr>
        <w:t>proportion of that production accounted for by the</w:t>
      </w:r>
      <w:r>
        <w:rPr>
          <w:sz w:val="24"/>
        </w:rPr>
        <w:t xml:space="preserve"> </w:t>
      </w:r>
      <w:r>
        <w:rPr>
          <w:sz w:val="24"/>
          <w:u w:val="single"/>
        </w:rPr>
        <w:t>Chinese producers surveyed for the purpose of defining</w:t>
      </w:r>
      <w:r>
        <w:rPr>
          <w:sz w:val="24"/>
        </w:rPr>
        <w:t xml:space="preserve"> </w:t>
      </w:r>
      <w:r>
        <w:rPr>
          <w:sz w:val="24"/>
          <w:u w:val="single"/>
        </w:rPr>
        <w:t>"domestic industry"</w:t>
      </w:r>
    </w:p>
    <w:p w14:paraId="51DE9BF4" w14:textId="77777777" w:rsidR="0010369C" w:rsidRDefault="0010369C">
      <w:pPr>
        <w:pStyle w:val="BodyText"/>
        <w:spacing w:before="11"/>
        <w:rPr>
          <w:sz w:val="8"/>
        </w:rPr>
      </w:pPr>
    </w:p>
    <w:p w14:paraId="51DE9BF5" w14:textId="77777777" w:rsidR="0010369C" w:rsidRDefault="008E43AE">
      <w:pPr>
        <w:pStyle w:val="BodyText"/>
        <w:spacing w:before="51" w:line="360" w:lineRule="auto"/>
        <w:ind w:left="238" w:right="611" w:firstLine="850"/>
      </w:pPr>
      <w:r>
        <w:rPr>
          <w:noProof/>
        </w:rPr>
        <w:drawing>
          <wp:anchor distT="0" distB="0" distL="0" distR="0" simplePos="0" relativeHeight="251647488" behindDoc="1" locked="0" layoutInCell="1" allowOverlap="1" wp14:anchorId="51DEA942" wp14:editId="51DEA943">
            <wp:simplePos x="0" y="0"/>
            <wp:positionH relativeFrom="page">
              <wp:posOffset>908303</wp:posOffset>
            </wp:positionH>
            <wp:positionV relativeFrom="paragraph">
              <wp:posOffset>79960</wp:posOffset>
            </wp:positionV>
            <wp:extent cx="332231" cy="103632"/>
            <wp:effectExtent l="0" t="0" r="0" b="0"/>
            <wp:wrapNone/>
            <wp:docPr id="2117" name="image10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 name="image1086.png"/>
                    <pic:cNvPicPr/>
                  </pic:nvPicPr>
                  <pic:blipFill>
                    <a:blip r:embed="rId1391" cstate="print"/>
                    <a:stretch>
                      <a:fillRect/>
                    </a:stretch>
                  </pic:blipFill>
                  <pic:spPr>
                    <a:xfrm>
                      <a:off x="0" y="0"/>
                      <a:ext cx="332231" cy="103632"/>
                    </a:xfrm>
                    <a:prstGeom prst="rect">
                      <a:avLst/>
                    </a:prstGeom>
                  </pic:spPr>
                </pic:pic>
              </a:graphicData>
            </a:graphic>
          </wp:anchor>
        </w:drawing>
      </w:r>
      <w:r>
        <w:t>Relevant</w:t>
      </w:r>
      <w:r>
        <w:rPr>
          <w:spacing w:val="-14"/>
        </w:rPr>
        <w:t xml:space="preserve"> </w:t>
      </w:r>
      <w:r>
        <w:t>to</w:t>
      </w:r>
      <w:r>
        <w:rPr>
          <w:spacing w:val="-14"/>
        </w:rPr>
        <w:t xml:space="preserve"> </w:t>
      </w:r>
      <w:r>
        <w:t>MOFCOM's</w:t>
      </w:r>
      <w:r>
        <w:rPr>
          <w:spacing w:val="-12"/>
        </w:rPr>
        <w:t xml:space="preserve"> </w:t>
      </w:r>
      <w:r>
        <w:t>assessment</w:t>
      </w:r>
      <w:r>
        <w:rPr>
          <w:spacing w:val="-13"/>
        </w:rPr>
        <w:t xml:space="preserve"> </w:t>
      </w:r>
      <w:r>
        <w:t>of</w:t>
      </w:r>
      <w:r>
        <w:rPr>
          <w:spacing w:val="-14"/>
        </w:rPr>
        <w:t xml:space="preserve"> </w:t>
      </w:r>
      <w:r>
        <w:t>injury</w:t>
      </w:r>
      <w:r>
        <w:rPr>
          <w:spacing w:val="-13"/>
        </w:rPr>
        <w:t xml:space="preserve"> </w:t>
      </w:r>
      <w:r>
        <w:t>was</w:t>
      </w:r>
      <w:r>
        <w:rPr>
          <w:spacing w:val="-14"/>
        </w:rPr>
        <w:t xml:space="preserve"> </w:t>
      </w:r>
      <w:r>
        <w:t>the</w:t>
      </w:r>
      <w:r>
        <w:rPr>
          <w:spacing w:val="-13"/>
        </w:rPr>
        <w:t xml:space="preserve"> </w:t>
      </w:r>
      <w:r>
        <w:t>total</w:t>
      </w:r>
      <w:r>
        <w:rPr>
          <w:spacing w:val="-13"/>
        </w:rPr>
        <w:t xml:space="preserve"> </w:t>
      </w:r>
      <w:r>
        <w:t>domestic</w:t>
      </w:r>
      <w:r>
        <w:rPr>
          <w:spacing w:val="-13"/>
        </w:rPr>
        <w:t xml:space="preserve"> </w:t>
      </w:r>
      <w:r>
        <w:t>output</w:t>
      </w:r>
      <w:r>
        <w:rPr>
          <w:spacing w:val="-13"/>
        </w:rPr>
        <w:t xml:space="preserve"> </w:t>
      </w:r>
      <w:r>
        <w:t>o</w:t>
      </w:r>
      <w:r>
        <w:t>f</w:t>
      </w:r>
      <w:r>
        <w:rPr>
          <w:spacing w:val="-14"/>
        </w:rPr>
        <w:t xml:space="preserve"> </w:t>
      </w:r>
      <w:r>
        <w:t>bottled wine in China. The Final Determination states as follows:</w:t>
      </w:r>
    </w:p>
    <w:p w14:paraId="51DE9BF6" w14:textId="77777777" w:rsidR="0010369C" w:rsidRDefault="008E43AE">
      <w:pPr>
        <w:spacing w:before="162" w:line="276" w:lineRule="auto"/>
        <w:ind w:left="1088" w:right="614"/>
      </w:pPr>
      <w:r>
        <w:t>Without the overall output of domestic relevant wines at hand, the Investigating Authority surveyed</w:t>
      </w:r>
      <w:r>
        <w:rPr>
          <w:spacing w:val="25"/>
        </w:rPr>
        <w:t xml:space="preserve"> </w:t>
      </w:r>
      <w:r>
        <w:t>the</w:t>
      </w:r>
      <w:r>
        <w:rPr>
          <w:spacing w:val="25"/>
        </w:rPr>
        <w:t xml:space="preserve"> </w:t>
      </w:r>
      <w:r>
        <w:t>real</w:t>
      </w:r>
      <w:r>
        <w:rPr>
          <w:spacing w:val="25"/>
        </w:rPr>
        <w:t xml:space="preserve"> </w:t>
      </w:r>
      <w:r>
        <w:t>domestic</w:t>
      </w:r>
      <w:r>
        <w:rPr>
          <w:spacing w:val="24"/>
        </w:rPr>
        <w:t xml:space="preserve"> </w:t>
      </w:r>
      <w:r>
        <w:t>output</w:t>
      </w:r>
      <w:r>
        <w:rPr>
          <w:spacing w:val="25"/>
        </w:rPr>
        <w:t xml:space="preserve"> </w:t>
      </w:r>
      <w:r>
        <w:t>through</w:t>
      </w:r>
      <w:r>
        <w:rPr>
          <w:spacing w:val="26"/>
        </w:rPr>
        <w:t xml:space="preserve"> </w:t>
      </w:r>
      <w:r>
        <w:t>different</w:t>
      </w:r>
      <w:r>
        <w:rPr>
          <w:spacing w:val="25"/>
        </w:rPr>
        <w:t xml:space="preserve"> </w:t>
      </w:r>
      <w:r>
        <w:t>parties.</w:t>
      </w:r>
      <w:r>
        <w:rPr>
          <w:spacing w:val="25"/>
        </w:rPr>
        <w:t xml:space="preserve"> </w:t>
      </w:r>
      <w:r>
        <w:t>The</w:t>
      </w:r>
      <w:r>
        <w:rPr>
          <w:spacing w:val="25"/>
        </w:rPr>
        <w:t xml:space="preserve"> </w:t>
      </w:r>
      <w:r>
        <w:t>Investigating</w:t>
      </w:r>
      <w:r>
        <w:rPr>
          <w:spacing w:val="25"/>
        </w:rPr>
        <w:t xml:space="preserve"> </w:t>
      </w:r>
      <w:r>
        <w:rPr>
          <w:spacing w:val="-2"/>
        </w:rPr>
        <w:t>Authority</w:t>
      </w:r>
    </w:p>
    <w:p w14:paraId="51DE9BF7" w14:textId="77777777" w:rsidR="0010369C" w:rsidRDefault="008E43AE">
      <w:pPr>
        <w:pStyle w:val="BodyText"/>
        <w:spacing w:before="10"/>
        <w:rPr>
          <w:sz w:val="29"/>
        </w:rPr>
      </w:pPr>
      <w:r>
        <w:pict w14:anchorId="51DEA944">
          <v:rect id="docshape1460" o:spid="_x0000_s1059" style="position:absolute;margin-left:70.9pt;margin-top:19.45pt;width:2in;height:.8pt;z-index:-250668544;mso-wrap-distance-left:0;mso-wrap-distance-right:0;mso-position-horizontal-relative:page" fillcolor="black" stroked="f">
            <w10:wrap type="topAndBottom" anchorx="page"/>
          </v:rect>
        </w:pict>
      </w:r>
    </w:p>
    <w:p w14:paraId="51DE9BF8" w14:textId="77777777" w:rsidR="0010369C" w:rsidRDefault="008E43AE">
      <w:pPr>
        <w:spacing w:before="109"/>
        <w:ind w:left="238"/>
        <w:jc w:val="both"/>
        <w:rPr>
          <w:sz w:val="18"/>
        </w:rPr>
      </w:pPr>
      <w:r>
        <w:rPr>
          <w:sz w:val="18"/>
          <w:vertAlign w:val="superscript"/>
        </w:rPr>
        <w:t>1241</w:t>
      </w:r>
      <w:r>
        <w:rPr>
          <w:spacing w:val="-6"/>
          <w:sz w:val="18"/>
        </w:rPr>
        <w:t xml:space="preserve"> </w:t>
      </w:r>
      <w:r>
        <w:rPr>
          <w:sz w:val="18"/>
        </w:rPr>
        <w:t>Appellate</w:t>
      </w:r>
      <w:r>
        <w:rPr>
          <w:spacing w:val="-5"/>
          <w:sz w:val="18"/>
        </w:rPr>
        <w:t xml:space="preserve"> </w:t>
      </w:r>
      <w:r>
        <w:rPr>
          <w:sz w:val="18"/>
        </w:rPr>
        <w:t>Body</w:t>
      </w:r>
      <w:r>
        <w:rPr>
          <w:spacing w:val="-7"/>
          <w:sz w:val="18"/>
        </w:rPr>
        <w:t xml:space="preserve"> </w:t>
      </w:r>
      <w:r>
        <w:rPr>
          <w:sz w:val="18"/>
        </w:rPr>
        <w:t>Report,</w:t>
      </w:r>
      <w:r>
        <w:rPr>
          <w:spacing w:val="-6"/>
          <w:sz w:val="18"/>
        </w:rPr>
        <w:t xml:space="preserve"> </w:t>
      </w:r>
      <w:r>
        <w:rPr>
          <w:i/>
          <w:sz w:val="18"/>
        </w:rPr>
        <w:t>China</w:t>
      </w:r>
      <w:r>
        <w:rPr>
          <w:i/>
          <w:spacing w:val="-5"/>
          <w:sz w:val="18"/>
        </w:rPr>
        <w:t xml:space="preserve"> </w:t>
      </w:r>
      <w:r>
        <w:rPr>
          <w:i/>
          <w:sz w:val="18"/>
        </w:rPr>
        <w:t>–</w:t>
      </w:r>
      <w:r>
        <w:rPr>
          <w:i/>
          <w:spacing w:val="-4"/>
          <w:sz w:val="18"/>
        </w:rPr>
        <w:t xml:space="preserve"> </w:t>
      </w:r>
      <w:r>
        <w:rPr>
          <w:i/>
          <w:sz w:val="18"/>
        </w:rPr>
        <w:t>GOES</w:t>
      </w:r>
      <w:r>
        <w:rPr>
          <w:sz w:val="18"/>
        </w:rPr>
        <w:t>,</w:t>
      </w:r>
      <w:r>
        <w:rPr>
          <w:spacing w:val="-7"/>
          <w:sz w:val="18"/>
        </w:rPr>
        <w:t xml:space="preserve"> </w:t>
      </w:r>
      <w:r>
        <w:rPr>
          <w:sz w:val="18"/>
        </w:rPr>
        <w:t>paras.</w:t>
      </w:r>
      <w:r>
        <w:rPr>
          <w:spacing w:val="-5"/>
          <w:sz w:val="18"/>
        </w:rPr>
        <w:t xml:space="preserve"> </w:t>
      </w:r>
      <w:r>
        <w:rPr>
          <w:spacing w:val="-2"/>
          <w:sz w:val="18"/>
        </w:rPr>
        <w:t>257‐258.</w:t>
      </w:r>
    </w:p>
    <w:p w14:paraId="51DE9BF9" w14:textId="77777777" w:rsidR="0010369C" w:rsidRDefault="008E43AE">
      <w:pPr>
        <w:ind w:left="238"/>
        <w:jc w:val="both"/>
        <w:rPr>
          <w:sz w:val="18"/>
        </w:rPr>
      </w:pPr>
      <w:r>
        <w:rPr>
          <w:sz w:val="18"/>
          <w:vertAlign w:val="superscript"/>
        </w:rPr>
        <w:t>1242</w:t>
      </w:r>
      <w:r>
        <w:rPr>
          <w:spacing w:val="-5"/>
          <w:sz w:val="18"/>
        </w:rPr>
        <w:t xml:space="preserve"> </w:t>
      </w:r>
      <w:r>
        <w:rPr>
          <w:sz w:val="18"/>
        </w:rPr>
        <w:t>Panel</w:t>
      </w:r>
      <w:r>
        <w:rPr>
          <w:spacing w:val="-6"/>
          <w:sz w:val="18"/>
        </w:rPr>
        <w:t xml:space="preserve"> </w:t>
      </w:r>
      <w:r>
        <w:rPr>
          <w:sz w:val="18"/>
        </w:rPr>
        <w:t>Report,</w:t>
      </w:r>
      <w:r>
        <w:rPr>
          <w:spacing w:val="-5"/>
          <w:sz w:val="18"/>
        </w:rPr>
        <w:t xml:space="preserve"> </w:t>
      </w:r>
      <w:r>
        <w:rPr>
          <w:i/>
          <w:sz w:val="18"/>
        </w:rPr>
        <w:t>EC</w:t>
      </w:r>
      <w:r>
        <w:rPr>
          <w:i/>
          <w:spacing w:val="-6"/>
          <w:sz w:val="18"/>
        </w:rPr>
        <w:t xml:space="preserve"> </w:t>
      </w:r>
      <w:r>
        <w:rPr>
          <w:i/>
          <w:sz w:val="18"/>
        </w:rPr>
        <w:t>–</w:t>
      </w:r>
      <w:r>
        <w:rPr>
          <w:i/>
          <w:spacing w:val="-5"/>
          <w:sz w:val="18"/>
        </w:rPr>
        <w:t xml:space="preserve"> </w:t>
      </w:r>
      <w:r>
        <w:rPr>
          <w:i/>
          <w:sz w:val="18"/>
        </w:rPr>
        <w:t>Tube</w:t>
      </w:r>
      <w:r>
        <w:rPr>
          <w:i/>
          <w:spacing w:val="-5"/>
          <w:sz w:val="18"/>
        </w:rPr>
        <w:t xml:space="preserve"> </w:t>
      </w:r>
      <w:r>
        <w:rPr>
          <w:i/>
          <w:sz w:val="18"/>
        </w:rPr>
        <w:t>or</w:t>
      </w:r>
      <w:r>
        <w:rPr>
          <w:i/>
          <w:spacing w:val="-5"/>
          <w:sz w:val="18"/>
        </w:rPr>
        <w:t xml:space="preserve"> </w:t>
      </w:r>
      <w:r>
        <w:rPr>
          <w:i/>
          <w:sz w:val="18"/>
        </w:rPr>
        <w:t>Pipe</w:t>
      </w:r>
      <w:r>
        <w:rPr>
          <w:i/>
          <w:spacing w:val="-5"/>
          <w:sz w:val="18"/>
        </w:rPr>
        <w:t xml:space="preserve"> </w:t>
      </w:r>
      <w:r>
        <w:rPr>
          <w:i/>
          <w:sz w:val="18"/>
        </w:rPr>
        <w:t>Fittings</w:t>
      </w:r>
      <w:r>
        <w:rPr>
          <w:sz w:val="18"/>
        </w:rPr>
        <w:t>,</w:t>
      </w:r>
      <w:r>
        <w:rPr>
          <w:spacing w:val="-6"/>
          <w:sz w:val="18"/>
        </w:rPr>
        <w:t xml:space="preserve"> </w:t>
      </w:r>
      <w:r>
        <w:rPr>
          <w:sz w:val="18"/>
        </w:rPr>
        <w:t>para.</w:t>
      </w:r>
      <w:r>
        <w:rPr>
          <w:spacing w:val="-5"/>
          <w:sz w:val="18"/>
        </w:rPr>
        <w:t xml:space="preserve"> </w:t>
      </w:r>
      <w:r>
        <w:rPr>
          <w:spacing w:val="-2"/>
          <w:sz w:val="18"/>
        </w:rPr>
        <w:t>7.424.</w:t>
      </w:r>
    </w:p>
    <w:p w14:paraId="51DE9BFA" w14:textId="77777777" w:rsidR="0010369C" w:rsidRDefault="008E43AE">
      <w:pPr>
        <w:spacing w:before="1"/>
        <w:ind w:left="236" w:right="613" w:firstLine="1"/>
        <w:jc w:val="both"/>
        <w:rPr>
          <w:sz w:val="18"/>
        </w:rPr>
      </w:pPr>
      <w:r>
        <w:rPr>
          <w:sz w:val="18"/>
          <w:vertAlign w:val="superscript"/>
        </w:rPr>
        <w:t>1243</w:t>
      </w:r>
      <w:r>
        <w:rPr>
          <w:sz w:val="18"/>
        </w:rPr>
        <w:t xml:space="preserve"> Appellate Body Report, </w:t>
      </w:r>
      <w:r>
        <w:rPr>
          <w:i/>
          <w:sz w:val="18"/>
        </w:rPr>
        <w:t>US – Countervailing Duty Investigation on DRAMS</w:t>
      </w:r>
      <w:r>
        <w:rPr>
          <w:sz w:val="18"/>
        </w:rPr>
        <w:t>, para. 186. (footnotes omitted) Although the Appellate</w:t>
      </w:r>
      <w:r>
        <w:rPr>
          <w:spacing w:val="-1"/>
          <w:sz w:val="18"/>
        </w:rPr>
        <w:t xml:space="preserve"> </w:t>
      </w:r>
      <w:r>
        <w:rPr>
          <w:sz w:val="18"/>
        </w:rPr>
        <w:t>Body's</w:t>
      </w:r>
      <w:r>
        <w:rPr>
          <w:spacing w:val="-1"/>
          <w:sz w:val="18"/>
        </w:rPr>
        <w:t xml:space="preserve"> </w:t>
      </w:r>
      <w:r>
        <w:rPr>
          <w:sz w:val="18"/>
        </w:rPr>
        <w:t>findings</w:t>
      </w:r>
      <w:r>
        <w:rPr>
          <w:spacing w:val="-1"/>
          <w:sz w:val="18"/>
        </w:rPr>
        <w:t xml:space="preserve"> </w:t>
      </w:r>
      <w:r>
        <w:rPr>
          <w:sz w:val="18"/>
        </w:rPr>
        <w:t>were</w:t>
      </w:r>
      <w:r>
        <w:rPr>
          <w:spacing w:val="-1"/>
          <w:sz w:val="18"/>
        </w:rPr>
        <w:t xml:space="preserve"> </w:t>
      </w:r>
      <w:r>
        <w:rPr>
          <w:sz w:val="18"/>
        </w:rPr>
        <w:t>made</w:t>
      </w:r>
      <w:r>
        <w:rPr>
          <w:spacing w:val="-1"/>
          <w:sz w:val="18"/>
        </w:rPr>
        <w:t xml:space="preserve"> </w:t>
      </w:r>
      <w:r>
        <w:rPr>
          <w:sz w:val="18"/>
        </w:rPr>
        <w:t>in</w:t>
      </w:r>
      <w:r>
        <w:rPr>
          <w:spacing w:val="-1"/>
          <w:sz w:val="18"/>
        </w:rPr>
        <w:t xml:space="preserve"> </w:t>
      </w:r>
      <w:r>
        <w:rPr>
          <w:sz w:val="18"/>
        </w:rPr>
        <w:t>respect</w:t>
      </w:r>
      <w:r>
        <w:rPr>
          <w:spacing w:val="-1"/>
          <w:sz w:val="18"/>
        </w:rPr>
        <w:t xml:space="preserve"> </w:t>
      </w:r>
      <w:r>
        <w:rPr>
          <w:sz w:val="18"/>
        </w:rPr>
        <w:t>of</w:t>
      </w:r>
      <w:r>
        <w:rPr>
          <w:spacing w:val="-2"/>
          <w:sz w:val="18"/>
        </w:rPr>
        <w:t xml:space="preserve"> </w:t>
      </w:r>
      <w:r>
        <w:rPr>
          <w:sz w:val="18"/>
        </w:rPr>
        <w:t>Article</w:t>
      </w:r>
      <w:r>
        <w:rPr>
          <w:spacing w:val="-1"/>
          <w:sz w:val="18"/>
        </w:rPr>
        <w:t xml:space="preserve"> </w:t>
      </w:r>
      <w:r>
        <w:rPr>
          <w:sz w:val="18"/>
        </w:rPr>
        <w:t>22.5</w:t>
      </w:r>
      <w:r>
        <w:rPr>
          <w:spacing w:val="-1"/>
          <w:sz w:val="18"/>
        </w:rPr>
        <w:t xml:space="preserve"> </w:t>
      </w:r>
      <w:r>
        <w:rPr>
          <w:sz w:val="18"/>
        </w:rPr>
        <w:t>of</w:t>
      </w:r>
      <w:r>
        <w:rPr>
          <w:spacing w:val="-1"/>
          <w:sz w:val="18"/>
        </w:rPr>
        <w:t xml:space="preserve"> </w:t>
      </w:r>
      <w:r>
        <w:rPr>
          <w:sz w:val="18"/>
        </w:rPr>
        <w:t>the</w:t>
      </w:r>
      <w:r>
        <w:rPr>
          <w:spacing w:val="-1"/>
          <w:sz w:val="18"/>
        </w:rPr>
        <w:t xml:space="preserve"> </w:t>
      </w:r>
      <w:r>
        <w:rPr>
          <w:sz w:val="18"/>
        </w:rPr>
        <w:t>SCM</w:t>
      </w:r>
      <w:r>
        <w:rPr>
          <w:spacing w:val="-1"/>
          <w:sz w:val="18"/>
        </w:rPr>
        <w:t xml:space="preserve"> </w:t>
      </w:r>
      <w:r>
        <w:rPr>
          <w:sz w:val="18"/>
        </w:rPr>
        <w:t>Agreement,</w:t>
      </w:r>
      <w:r>
        <w:rPr>
          <w:spacing w:val="-1"/>
          <w:sz w:val="18"/>
        </w:rPr>
        <w:t xml:space="preserve"> </w:t>
      </w:r>
      <w:r>
        <w:rPr>
          <w:sz w:val="18"/>
        </w:rPr>
        <w:t>the</w:t>
      </w:r>
      <w:r>
        <w:rPr>
          <w:spacing w:val="-1"/>
          <w:sz w:val="18"/>
        </w:rPr>
        <w:t xml:space="preserve"> </w:t>
      </w:r>
      <w:r>
        <w:rPr>
          <w:sz w:val="18"/>
        </w:rPr>
        <w:t>same</w:t>
      </w:r>
      <w:r>
        <w:rPr>
          <w:spacing w:val="-1"/>
          <w:sz w:val="18"/>
        </w:rPr>
        <w:t xml:space="preserve"> </w:t>
      </w:r>
      <w:r>
        <w:rPr>
          <w:sz w:val="18"/>
        </w:rPr>
        <w:t>obligations</w:t>
      </w:r>
      <w:r>
        <w:rPr>
          <w:spacing w:val="-1"/>
          <w:sz w:val="18"/>
        </w:rPr>
        <w:t xml:space="preserve"> </w:t>
      </w:r>
      <w:r>
        <w:rPr>
          <w:sz w:val="18"/>
        </w:rPr>
        <w:t>apply</w:t>
      </w:r>
      <w:r>
        <w:rPr>
          <w:spacing w:val="-1"/>
          <w:sz w:val="18"/>
        </w:rPr>
        <w:t xml:space="preserve"> </w:t>
      </w:r>
      <w:r>
        <w:rPr>
          <w:sz w:val="18"/>
        </w:rPr>
        <w:t>in</w:t>
      </w:r>
      <w:r>
        <w:rPr>
          <w:spacing w:val="-1"/>
          <w:sz w:val="18"/>
        </w:rPr>
        <w:t xml:space="preserve"> </w:t>
      </w:r>
      <w:r>
        <w:rPr>
          <w:sz w:val="18"/>
        </w:rPr>
        <w:t>respect of</w:t>
      </w:r>
      <w:r>
        <w:rPr>
          <w:spacing w:val="-4"/>
          <w:sz w:val="18"/>
        </w:rPr>
        <w:t xml:space="preserve"> </w:t>
      </w:r>
      <w:r>
        <w:rPr>
          <w:sz w:val="18"/>
        </w:rPr>
        <w:t>a</w:t>
      </w:r>
      <w:r>
        <w:rPr>
          <w:spacing w:val="-5"/>
          <w:sz w:val="18"/>
        </w:rPr>
        <w:t xml:space="preserve"> </w:t>
      </w:r>
      <w:r>
        <w:rPr>
          <w:sz w:val="18"/>
        </w:rPr>
        <w:t>panel</w:t>
      </w:r>
      <w:r>
        <w:rPr>
          <w:spacing w:val="-5"/>
          <w:sz w:val="18"/>
        </w:rPr>
        <w:t xml:space="preserve"> </w:t>
      </w:r>
      <w:r>
        <w:rPr>
          <w:sz w:val="18"/>
        </w:rPr>
        <w:t>reviewing</w:t>
      </w:r>
      <w:r>
        <w:rPr>
          <w:spacing w:val="-5"/>
          <w:sz w:val="18"/>
        </w:rPr>
        <w:t xml:space="preserve"> </w:t>
      </w:r>
      <w:r>
        <w:rPr>
          <w:sz w:val="18"/>
        </w:rPr>
        <w:t>a</w:t>
      </w:r>
      <w:r>
        <w:rPr>
          <w:spacing w:val="-5"/>
          <w:sz w:val="18"/>
        </w:rPr>
        <w:t xml:space="preserve"> </w:t>
      </w:r>
      <w:r>
        <w:rPr>
          <w:sz w:val="18"/>
        </w:rPr>
        <w:t>determination</w:t>
      </w:r>
      <w:r>
        <w:rPr>
          <w:spacing w:val="-4"/>
          <w:sz w:val="18"/>
        </w:rPr>
        <w:t xml:space="preserve"> </w:t>
      </w:r>
      <w:r>
        <w:rPr>
          <w:sz w:val="18"/>
        </w:rPr>
        <w:t>in</w:t>
      </w:r>
      <w:r>
        <w:rPr>
          <w:spacing w:val="-4"/>
          <w:sz w:val="18"/>
        </w:rPr>
        <w:t xml:space="preserve"> </w:t>
      </w:r>
      <w:r>
        <w:rPr>
          <w:sz w:val="18"/>
        </w:rPr>
        <w:t>an</w:t>
      </w:r>
      <w:r>
        <w:rPr>
          <w:spacing w:val="-5"/>
          <w:sz w:val="18"/>
        </w:rPr>
        <w:t xml:space="preserve"> </w:t>
      </w:r>
      <w:r>
        <w:rPr>
          <w:sz w:val="18"/>
        </w:rPr>
        <w:t>anti‐dumping</w:t>
      </w:r>
      <w:r>
        <w:rPr>
          <w:spacing w:val="-4"/>
          <w:sz w:val="18"/>
        </w:rPr>
        <w:t xml:space="preserve"> </w:t>
      </w:r>
      <w:r>
        <w:rPr>
          <w:sz w:val="18"/>
        </w:rPr>
        <w:t>investigation,</w:t>
      </w:r>
      <w:r>
        <w:rPr>
          <w:spacing w:val="-5"/>
          <w:sz w:val="18"/>
        </w:rPr>
        <w:t xml:space="preserve"> </w:t>
      </w:r>
      <w:r>
        <w:rPr>
          <w:sz w:val="18"/>
        </w:rPr>
        <w:t>in</w:t>
      </w:r>
      <w:r>
        <w:rPr>
          <w:spacing w:val="-4"/>
          <w:sz w:val="18"/>
        </w:rPr>
        <w:t xml:space="preserve"> </w:t>
      </w:r>
      <w:r>
        <w:rPr>
          <w:sz w:val="18"/>
        </w:rPr>
        <w:t>accordance</w:t>
      </w:r>
      <w:r>
        <w:rPr>
          <w:spacing w:val="-4"/>
          <w:sz w:val="18"/>
        </w:rPr>
        <w:t xml:space="preserve"> </w:t>
      </w:r>
      <w:r>
        <w:rPr>
          <w:sz w:val="18"/>
        </w:rPr>
        <w:t>with</w:t>
      </w:r>
      <w:r>
        <w:rPr>
          <w:spacing w:val="-5"/>
          <w:sz w:val="18"/>
        </w:rPr>
        <w:t xml:space="preserve"> </w:t>
      </w:r>
      <w:r>
        <w:rPr>
          <w:sz w:val="18"/>
        </w:rPr>
        <w:t>Article</w:t>
      </w:r>
      <w:r>
        <w:rPr>
          <w:spacing w:val="-4"/>
          <w:sz w:val="18"/>
        </w:rPr>
        <w:t xml:space="preserve"> </w:t>
      </w:r>
      <w:r>
        <w:rPr>
          <w:sz w:val="18"/>
        </w:rPr>
        <w:t>12.2.2</w:t>
      </w:r>
      <w:r>
        <w:rPr>
          <w:spacing w:val="-5"/>
          <w:sz w:val="18"/>
        </w:rPr>
        <w:t xml:space="preserve"> </w:t>
      </w:r>
      <w:r>
        <w:rPr>
          <w:sz w:val="18"/>
        </w:rPr>
        <w:t>of</w:t>
      </w:r>
      <w:r>
        <w:rPr>
          <w:spacing w:val="-6"/>
          <w:sz w:val="18"/>
        </w:rPr>
        <w:t xml:space="preserve"> </w:t>
      </w:r>
      <w:r>
        <w:rPr>
          <w:sz w:val="18"/>
        </w:rPr>
        <w:t>the</w:t>
      </w:r>
      <w:r>
        <w:rPr>
          <w:spacing w:val="-6"/>
          <w:sz w:val="18"/>
        </w:rPr>
        <w:t xml:space="preserve"> </w:t>
      </w:r>
      <w:r>
        <w:rPr>
          <w:sz w:val="18"/>
        </w:rPr>
        <w:t xml:space="preserve">Anti‐Dumping </w:t>
      </w:r>
      <w:r>
        <w:rPr>
          <w:spacing w:val="-2"/>
          <w:sz w:val="18"/>
        </w:rPr>
        <w:t>Agreement.</w:t>
      </w:r>
    </w:p>
    <w:p w14:paraId="51DE9BFB" w14:textId="77777777" w:rsidR="0010369C" w:rsidRDefault="0010369C">
      <w:pPr>
        <w:jc w:val="both"/>
        <w:rPr>
          <w:sz w:val="18"/>
        </w:rPr>
        <w:sectPr w:rsidR="0010369C">
          <w:pgSz w:w="11910" w:h="16840"/>
          <w:pgMar w:top="880" w:right="800" w:bottom="980" w:left="1180" w:header="569" w:footer="788" w:gutter="0"/>
          <w:cols w:space="720"/>
        </w:sectPr>
      </w:pPr>
    </w:p>
    <w:p w14:paraId="51DE9BFC" w14:textId="77777777" w:rsidR="0010369C" w:rsidRDefault="008E43AE">
      <w:pPr>
        <w:tabs>
          <w:tab w:val="left" w:pos="6425"/>
        </w:tabs>
        <w:ind w:left="238"/>
        <w:jc w:val="both"/>
        <w:rPr>
          <w:sz w:val="20"/>
        </w:rPr>
      </w:pPr>
      <w:r>
        <w:rPr>
          <w:i/>
          <w:sz w:val="20"/>
        </w:rPr>
        <w:lastRenderedPageBreak/>
        <w:t>China</w:t>
      </w:r>
      <w:r>
        <w:rPr>
          <w:i/>
          <w:spacing w:val="-5"/>
          <w:sz w:val="20"/>
        </w:rPr>
        <w:t xml:space="preserve"> </w:t>
      </w:r>
      <w:r>
        <w:rPr>
          <w:i/>
          <w:sz w:val="20"/>
        </w:rPr>
        <w:t>–</w:t>
      </w:r>
      <w:r>
        <w:rPr>
          <w:i/>
          <w:spacing w:val="-5"/>
          <w:sz w:val="20"/>
        </w:rPr>
        <w:t xml:space="preserve"> </w:t>
      </w:r>
      <w:r>
        <w:rPr>
          <w:i/>
          <w:sz w:val="20"/>
        </w:rPr>
        <w:t>Anti‐Dumping</w:t>
      </w:r>
      <w:r>
        <w:rPr>
          <w:i/>
          <w:spacing w:val="-4"/>
          <w:sz w:val="20"/>
        </w:rPr>
        <w:t xml:space="preserve"> </w:t>
      </w:r>
      <w:r>
        <w:rPr>
          <w:i/>
          <w:sz w:val="20"/>
        </w:rPr>
        <w:t>and</w:t>
      </w:r>
      <w:r>
        <w:rPr>
          <w:i/>
          <w:spacing w:val="-5"/>
          <w:sz w:val="20"/>
        </w:rPr>
        <w:t xml:space="preserve"> </w:t>
      </w:r>
      <w:r>
        <w:rPr>
          <w:i/>
          <w:sz w:val="20"/>
        </w:rPr>
        <w:t>Countervailing</w:t>
      </w:r>
      <w:r>
        <w:rPr>
          <w:i/>
          <w:spacing w:val="-5"/>
          <w:sz w:val="20"/>
        </w:rPr>
        <w:t xml:space="preserve"> </w:t>
      </w:r>
      <w:r>
        <w:rPr>
          <w:i/>
          <w:sz w:val="20"/>
        </w:rPr>
        <w:t>Duty</w:t>
      </w:r>
      <w:r>
        <w:rPr>
          <w:i/>
          <w:spacing w:val="-4"/>
          <w:sz w:val="20"/>
        </w:rPr>
        <w:t xml:space="preserve"> </w:t>
      </w:r>
      <w:r>
        <w:rPr>
          <w:i/>
          <w:spacing w:val="-2"/>
          <w:sz w:val="20"/>
        </w:rPr>
        <w:t>Measures</w:t>
      </w:r>
      <w:r>
        <w:rPr>
          <w:i/>
          <w:sz w:val="20"/>
        </w:rPr>
        <w:tab/>
      </w:r>
      <w:r>
        <w:rPr>
          <w:sz w:val="20"/>
        </w:rPr>
        <w:t>Australia's</w:t>
      </w:r>
      <w:r>
        <w:rPr>
          <w:spacing w:val="-7"/>
          <w:sz w:val="20"/>
        </w:rPr>
        <w:t xml:space="preserve"> </w:t>
      </w:r>
      <w:r>
        <w:rPr>
          <w:sz w:val="20"/>
        </w:rPr>
        <w:t>First</w:t>
      </w:r>
      <w:r>
        <w:rPr>
          <w:spacing w:val="-2"/>
          <w:sz w:val="20"/>
        </w:rPr>
        <w:t xml:space="preserve"> </w:t>
      </w:r>
      <w:r>
        <w:rPr>
          <w:sz w:val="20"/>
        </w:rPr>
        <w:t>Written</w:t>
      </w:r>
      <w:r>
        <w:rPr>
          <w:spacing w:val="-2"/>
          <w:sz w:val="20"/>
        </w:rPr>
        <w:t xml:space="preserve"> Submission</w:t>
      </w:r>
    </w:p>
    <w:p w14:paraId="51DE9BFD" w14:textId="77777777" w:rsidR="0010369C" w:rsidRDefault="008E43AE">
      <w:pPr>
        <w:tabs>
          <w:tab w:val="left" w:pos="8227"/>
        </w:tabs>
        <w:spacing w:before="1"/>
        <w:ind w:left="239"/>
        <w:jc w:val="both"/>
        <w:rPr>
          <w:sz w:val="20"/>
        </w:rPr>
      </w:pPr>
      <w:r>
        <w:rPr>
          <w:i/>
          <w:sz w:val="20"/>
        </w:rPr>
        <w:t>on</w:t>
      </w:r>
      <w:r>
        <w:rPr>
          <w:i/>
          <w:spacing w:val="-1"/>
          <w:sz w:val="20"/>
        </w:rPr>
        <w:t xml:space="preserve"> </w:t>
      </w:r>
      <w:r>
        <w:rPr>
          <w:i/>
          <w:sz w:val="20"/>
        </w:rPr>
        <w:t>Wine</w:t>
      </w:r>
      <w:r>
        <w:rPr>
          <w:i/>
          <w:spacing w:val="-1"/>
          <w:sz w:val="20"/>
        </w:rPr>
        <w:t xml:space="preserve"> </w:t>
      </w:r>
      <w:r>
        <w:rPr>
          <w:i/>
          <w:sz w:val="20"/>
        </w:rPr>
        <w:t>from</w:t>
      </w:r>
      <w:r>
        <w:rPr>
          <w:i/>
          <w:spacing w:val="-3"/>
          <w:sz w:val="20"/>
        </w:rPr>
        <w:t xml:space="preserve"> </w:t>
      </w:r>
      <w:r>
        <w:rPr>
          <w:i/>
          <w:sz w:val="20"/>
        </w:rPr>
        <w:t>Australia</w:t>
      </w:r>
      <w:r>
        <w:rPr>
          <w:i/>
          <w:spacing w:val="-1"/>
          <w:sz w:val="20"/>
        </w:rPr>
        <w:t xml:space="preserve"> </w:t>
      </w:r>
      <w:r>
        <w:rPr>
          <w:spacing w:val="-2"/>
          <w:sz w:val="20"/>
        </w:rPr>
        <w:t>(DS602)</w:t>
      </w:r>
      <w:r>
        <w:rPr>
          <w:sz w:val="20"/>
        </w:rPr>
        <w:tab/>
        <w:t>29</w:t>
      </w:r>
      <w:r>
        <w:rPr>
          <w:spacing w:val="-1"/>
          <w:sz w:val="20"/>
        </w:rPr>
        <w:t xml:space="preserve"> </w:t>
      </w:r>
      <w:r>
        <w:rPr>
          <w:sz w:val="20"/>
        </w:rPr>
        <w:t>April</w:t>
      </w:r>
      <w:r>
        <w:rPr>
          <w:spacing w:val="-2"/>
          <w:sz w:val="20"/>
        </w:rPr>
        <w:t xml:space="preserve"> </w:t>
      </w:r>
      <w:r>
        <w:rPr>
          <w:spacing w:val="-4"/>
          <w:sz w:val="20"/>
        </w:rPr>
        <w:t>2022</w:t>
      </w:r>
    </w:p>
    <w:p w14:paraId="51DE9BFE" w14:textId="77777777" w:rsidR="0010369C" w:rsidRDefault="008E43AE">
      <w:pPr>
        <w:spacing w:before="35" w:line="276" w:lineRule="auto"/>
        <w:ind w:left="1088" w:right="614"/>
        <w:jc w:val="both"/>
      </w:pPr>
      <w:r>
        <w:t>believed that it was reasonable to calculate the overall output by the area of wine grapes, output per acre, wine yield, output and loss of finished wines made from imported wines, and the production proportion of different wines.</w:t>
      </w:r>
      <w:r>
        <w:rPr>
          <w:vertAlign w:val="superscript"/>
        </w:rPr>
        <w:t>1244</w:t>
      </w:r>
    </w:p>
    <w:p w14:paraId="51DE9BFF" w14:textId="77777777" w:rsidR="0010369C" w:rsidRDefault="0010369C">
      <w:pPr>
        <w:pStyle w:val="BodyText"/>
        <w:spacing w:before="4"/>
        <w:rPr>
          <w:sz w:val="15"/>
        </w:rPr>
      </w:pPr>
    </w:p>
    <w:p w14:paraId="51DE9C00" w14:textId="77777777" w:rsidR="0010369C" w:rsidRDefault="008E43AE">
      <w:pPr>
        <w:pStyle w:val="BodyText"/>
        <w:spacing w:before="52" w:line="360" w:lineRule="auto"/>
        <w:ind w:left="237" w:right="613" w:firstLine="852"/>
        <w:jc w:val="both"/>
      </w:pPr>
      <w:r>
        <w:rPr>
          <w:noProof/>
        </w:rPr>
        <w:drawing>
          <wp:anchor distT="0" distB="0" distL="0" distR="0" simplePos="0" relativeHeight="251648512" behindDoc="1" locked="0" layoutInCell="1" allowOverlap="1" wp14:anchorId="51DEA945" wp14:editId="51DEA946">
            <wp:simplePos x="0" y="0"/>
            <wp:positionH relativeFrom="page">
              <wp:posOffset>908303</wp:posOffset>
            </wp:positionH>
            <wp:positionV relativeFrom="paragraph">
              <wp:posOffset>80595</wp:posOffset>
            </wp:positionV>
            <wp:extent cx="332231" cy="103631"/>
            <wp:effectExtent l="0" t="0" r="0" b="0"/>
            <wp:wrapNone/>
            <wp:docPr id="2119" name="image10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 name="image1087.png"/>
                    <pic:cNvPicPr/>
                  </pic:nvPicPr>
                  <pic:blipFill>
                    <a:blip r:embed="rId1392" cstate="print"/>
                    <a:stretch>
                      <a:fillRect/>
                    </a:stretch>
                  </pic:blipFill>
                  <pic:spPr>
                    <a:xfrm>
                      <a:off x="0" y="0"/>
                      <a:ext cx="332231" cy="103631"/>
                    </a:xfrm>
                    <a:prstGeom prst="rect">
                      <a:avLst/>
                    </a:prstGeom>
                  </pic:spPr>
                </pic:pic>
              </a:graphicData>
            </a:graphic>
          </wp:anchor>
        </w:drawing>
      </w:r>
      <w:r>
        <w:t>In</w:t>
      </w:r>
      <w:r>
        <w:rPr>
          <w:spacing w:val="-4"/>
        </w:rPr>
        <w:t xml:space="preserve"> </w:t>
      </w:r>
      <w:r>
        <w:t>its</w:t>
      </w:r>
      <w:r>
        <w:rPr>
          <w:spacing w:val="-4"/>
        </w:rPr>
        <w:t xml:space="preserve"> </w:t>
      </w:r>
      <w:r>
        <w:t>Final</w:t>
      </w:r>
      <w:r>
        <w:rPr>
          <w:spacing w:val="-3"/>
        </w:rPr>
        <w:t xml:space="preserve"> </w:t>
      </w:r>
      <w:r>
        <w:t>Determ</w:t>
      </w:r>
      <w:r>
        <w:t>ination,</w:t>
      </w:r>
      <w:r>
        <w:rPr>
          <w:spacing w:val="-3"/>
        </w:rPr>
        <w:t xml:space="preserve"> </w:t>
      </w:r>
      <w:r>
        <w:t>MOFCOM</w:t>
      </w:r>
      <w:r>
        <w:rPr>
          <w:spacing w:val="-3"/>
        </w:rPr>
        <w:t xml:space="preserve"> </w:t>
      </w:r>
      <w:r>
        <w:t>found</w:t>
      </w:r>
      <w:r>
        <w:rPr>
          <w:spacing w:val="-4"/>
        </w:rPr>
        <w:t xml:space="preserve"> </w:t>
      </w:r>
      <w:r>
        <w:t>that</w:t>
      </w:r>
      <w:r>
        <w:rPr>
          <w:spacing w:val="-5"/>
        </w:rPr>
        <w:t xml:space="preserve"> </w:t>
      </w:r>
      <w:r>
        <w:t>21</w:t>
      </w:r>
      <w:r>
        <w:rPr>
          <w:spacing w:val="-4"/>
        </w:rPr>
        <w:t xml:space="preserve"> </w:t>
      </w:r>
      <w:r>
        <w:t>Chinese</w:t>
      </w:r>
      <w:r>
        <w:rPr>
          <w:spacing w:val="-4"/>
        </w:rPr>
        <w:t xml:space="preserve"> </w:t>
      </w:r>
      <w:r>
        <w:t>domestic</w:t>
      </w:r>
      <w:r>
        <w:rPr>
          <w:spacing w:val="-1"/>
        </w:rPr>
        <w:t xml:space="preserve"> </w:t>
      </w:r>
      <w:r>
        <w:t>producers</w:t>
      </w:r>
      <w:r>
        <w:rPr>
          <w:spacing w:val="-3"/>
        </w:rPr>
        <w:t xml:space="preserve"> </w:t>
      </w:r>
      <w:r>
        <w:t>who submitted a response to the Domestic Producer Questionnaire represented a "major proportion of the domestic industry", purportedly constituting between 60.72%‐68.72% of domestic production over t</w:t>
      </w:r>
      <w:r>
        <w:t>he Injury POI.</w:t>
      </w:r>
      <w:r>
        <w:rPr>
          <w:vertAlign w:val="superscript"/>
        </w:rPr>
        <w:t>1245</w:t>
      </w:r>
      <w:r>
        <w:rPr>
          <w:spacing w:val="-3"/>
        </w:rPr>
        <w:t xml:space="preserve"> </w:t>
      </w:r>
      <w:r>
        <w:t>The calculation of the proportion of domestic production represented by these producers was based on a determination by MOFCOM that the</w:t>
      </w:r>
      <w:r>
        <w:rPr>
          <w:spacing w:val="-4"/>
        </w:rPr>
        <w:t xml:space="preserve"> </w:t>
      </w:r>
      <w:r>
        <w:t>total</w:t>
      </w:r>
      <w:r>
        <w:rPr>
          <w:spacing w:val="-5"/>
        </w:rPr>
        <w:t xml:space="preserve"> </w:t>
      </w:r>
      <w:r>
        <w:t>output</w:t>
      </w:r>
      <w:r>
        <w:rPr>
          <w:spacing w:val="-5"/>
        </w:rPr>
        <w:t xml:space="preserve"> </w:t>
      </w:r>
      <w:r>
        <w:t>of</w:t>
      </w:r>
      <w:r>
        <w:rPr>
          <w:spacing w:val="-5"/>
        </w:rPr>
        <w:t xml:space="preserve"> </w:t>
      </w:r>
      <w:r>
        <w:t>domestic</w:t>
      </w:r>
      <w:r>
        <w:rPr>
          <w:spacing w:val="-4"/>
        </w:rPr>
        <w:t xml:space="preserve"> </w:t>
      </w:r>
      <w:r>
        <w:t>relevant</w:t>
      </w:r>
      <w:r>
        <w:rPr>
          <w:spacing w:val="-7"/>
        </w:rPr>
        <w:t xml:space="preserve"> </w:t>
      </w:r>
      <w:r>
        <w:t>wines</w:t>
      </w:r>
      <w:r>
        <w:rPr>
          <w:spacing w:val="-6"/>
        </w:rPr>
        <w:t xml:space="preserve"> </w:t>
      </w:r>
      <w:r>
        <w:t>was</w:t>
      </w:r>
      <w:r>
        <w:rPr>
          <w:spacing w:val="-5"/>
        </w:rPr>
        <w:t xml:space="preserve"> </w:t>
      </w:r>
      <w:r>
        <w:t>377,600</w:t>
      </w:r>
      <w:r>
        <w:rPr>
          <w:spacing w:val="-6"/>
        </w:rPr>
        <w:t xml:space="preserve"> </w:t>
      </w:r>
      <w:r>
        <w:t>kl,</w:t>
      </w:r>
      <w:r>
        <w:rPr>
          <w:spacing w:val="-5"/>
        </w:rPr>
        <w:t xml:space="preserve"> </w:t>
      </w:r>
      <w:r>
        <w:t>347,600</w:t>
      </w:r>
      <w:r>
        <w:rPr>
          <w:spacing w:val="-6"/>
        </w:rPr>
        <w:t xml:space="preserve"> </w:t>
      </w:r>
      <w:r>
        <w:t>kl,</w:t>
      </w:r>
      <w:r>
        <w:rPr>
          <w:spacing w:val="-5"/>
        </w:rPr>
        <w:t xml:space="preserve"> </w:t>
      </w:r>
      <w:r>
        <w:t>374,800</w:t>
      </w:r>
      <w:r>
        <w:rPr>
          <w:spacing w:val="-6"/>
        </w:rPr>
        <w:t xml:space="preserve"> </w:t>
      </w:r>
      <w:r>
        <w:t>kl,</w:t>
      </w:r>
      <w:r>
        <w:rPr>
          <w:spacing w:val="-5"/>
        </w:rPr>
        <w:t xml:space="preserve"> </w:t>
      </w:r>
      <w:r>
        <w:t>351,200</w:t>
      </w:r>
      <w:r>
        <w:rPr>
          <w:spacing w:val="-6"/>
        </w:rPr>
        <w:t xml:space="preserve"> </w:t>
      </w:r>
      <w:r>
        <w:t xml:space="preserve">kl and 288,200 kl per year from </w:t>
      </w:r>
      <w:r>
        <w:t>2015 to 2019, respectively.</w:t>
      </w:r>
      <w:r>
        <w:rPr>
          <w:vertAlign w:val="superscript"/>
        </w:rPr>
        <w:t>1246</w:t>
      </w:r>
    </w:p>
    <w:p w14:paraId="51DE9C01" w14:textId="77777777" w:rsidR="0010369C" w:rsidRDefault="0010369C">
      <w:pPr>
        <w:pStyle w:val="BodyText"/>
        <w:spacing w:before="11"/>
        <w:rPr>
          <w:sz w:val="8"/>
        </w:rPr>
      </w:pPr>
    </w:p>
    <w:p w14:paraId="51DE9C02" w14:textId="77777777" w:rsidR="0010369C" w:rsidRDefault="008E43AE">
      <w:pPr>
        <w:pStyle w:val="BodyText"/>
        <w:spacing w:before="52" w:line="360" w:lineRule="auto"/>
        <w:ind w:left="237" w:right="613" w:firstLine="851"/>
        <w:jc w:val="both"/>
      </w:pPr>
      <w:r>
        <w:rPr>
          <w:noProof/>
        </w:rPr>
        <w:drawing>
          <wp:anchor distT="0" distB="0" distL="0" distR="0" simplePos="0" relativeHeight="251649536" behindDoc="1" locked="0" layoutInCell="1" allowOverlap="1" wp14:anchorId="51DEA947" wp14:editId="51DEA948">
            <wp:simplePos x="0" y="0"/>
            <wp:positionH relativeFrom="page">
              <wp:posOffset>908303</wp:posOffset>
            </wp:positionH>
            <wp:positionV relativeFrom="paragraph">
              <wp:posOffset>76785</wp:posOffset>
            </wp:positionV>
            <wp:extent cx="332231" cy="106679"/>
            <wp:effectExtent l="0" t="0" r="0" b="0"/>
            <wp:wrapNone/>
            <wp:docPr id="2121" name="image10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 name="image1088.png"/>
                    <pic:cNvPicPr/>
                  </pic:nvPicPr>
                  <pic:blipFill>
                    <a:blip r:embed="rId1393" cstate="print"/>
                    <a:stretch>
                      <a:fillRect/>
                    </a:stretch>
                  </pic:blipFill>
                  <pic:spPr>
                    <a:xfrm>
                      <a:off x="0" y="0"/>
                      <a:ext cx="332231" cy="106679"/>
                    </a:xfrm>
                    <a:prstGeom prst="rect">
                      <a:avLst/>
                    </a:prstGeom>
                  </pic:spPr>
                </pic:pic>
              </a:graphicData>
            </a:graphic>
          </wp:anchor>
        </w:drawing>
      </w:r>
      <w:r>
        <w:t>MOFCOM did not indicate the source of that data, other than the broad statement that this was "based on the statistics from authoritative domestic organizations".</w:t>
      </w:r>
      <w:r>
        <w:rPr>
          <w:vertAlign w:val="superscript"/>
        </w:rPr>
        <w:t>1247</w:t>
      </w:r>
      <w:r>
        <w:t xml:space="preserve"> The findings</w:t>
      </w:r>
      <w:r>
        <w:rPr>
          <w:spacing w:val="-6"/>
        </w:rPr>
        <w:t xml:space="preserve"> </w:t>
      </w:r>
      <w:r>
        <w:t>and</w:t>
      </w:r>
      <w:r>
        <w:rPr>
          <w:spacing w:val="-6"/>
        </w:rPr>
        <w:t xml:space="preserve"> </w:t>
      </w:r>
      <w:r>
        <w:t>conclusions</w:t>
      </w:r>
      <w:r>
        <w:rPr>
          <w:spacing w:val="-6"/>
        </w:rPr>
        <w:t xml:space="preserve"> </w:t>
      </w:r>
      <w:r>
        <w:t>reached</w:t>
      </w:r>
      <w:r>
        <w:rPr>
          <w:spacing w:val="-7"/>
        </w:rPr>
        <w:t xml:space="preserve"> </w:t>
      </w:r>
      <w:r>
        <w:t>by</w:t>
      </w:r>
      <w:r>
        <w:rPr>
          <w:spacing w:val="-7"/>
        </w:rPr>
        <w:t xml:space="preserve"> </w:t>
      </w:r>
      <w:r>
        <w:t>MOFCOM</w:t>
      </w:r>
      <w:r>
        <w:rPr>
          <w:spacing w:val="-6"/>
        </w:rPr>
        <w:t xml:space="preserve"> </w:t>
      </w:r>
      <w:r>
        <w:t>on</w:t>
      </w:r>
      <w:r>
        <w:rPr>
          <w:spacing w:val="-6"/>
        </w:rPr>
        <w:t xml:space="preserve"> </w:t>
      </w:r>
      <w:r>
        <w:t>the</w:t>
      </w:r>
      <w:r>
        <w:rPr>
          <w:spacing w:val="-6"/>
        </w:rPr>
        <w:t xml:space="preserve"> </w:t>
      </w:r>
      <w:r>
        <w:t>i</w:t>
      </w:r>
      <w:r>
        <w:t>ssues</w:t>
      </w:r>
      <w:r>
        <w:rPr>
          <w:spacing w:val="-6"/>
        </w:rPr>
        <w:t xml:space="preserve"> </w:t>
      </w:r>
      <w:r>
        <w:t>of</w:t>
      </w:r>
      <w:r>
        <w:rPr>
          <w:spacing w:val="-6"/>
        </w:rPr>
        <w:t xml:space="preserve"> </w:t>
      </w:r>
      <w:r>
        <w:t>fact</w:t>
      </w:r>
      <w:r>
        <w:rPr>
          <w:spacing w:val="-6"/>
        </w:rPr>
        <w:t xml:space="preserve"> </w:t>
      </w:r>
      <w:r>
        <w:t>and</w:t>
      </w:r>
      <w:r>
        <w:rPr>
          <w:spacing w:val="-6"/>
        </w:rPr>
        <w:t xml:space="preserve"> </w:t>
      </w:r>
      <w:r>
        <w:t>law</w:t>
      </w:r>
      <w:r>
        <w:rPr>
          <w:spacing w:val="-6"/>
        </w:rPr>
        <w:t xml:space="preserve"> </w:t>
      </w:r>
      <w:r>
        <w:t>underpinning</w:t>
      </w:r>
      <w:r>
        <w:rPr>
          <w:spacing w:val="-5"/>
        </w:rPr>
        <w:t xml:space="preserve"> </w:t>
      </w:r>
      <w:r>
        <w:t>this calculation of total domestic output were not set out in the Final Determination. There was no</w:t>
      </w:r>
      <w:r>
        <w:rPr>
          <w:spacing w:val="-7"/>
        </w:rPr>
        <w:t xml:space="preserve"> </w:t>
      </w:r>
      <w:r>
        <w:t>disclosure</w:t>
      </w:r>
      <w:r>
        <w:rPr>
          <w:spacing w:val="-5"/>
        </w:rPr>
        <w:t xml:space="preserve"> </w:t>
      </w:r>
      <w:r>
        <w:t>to</w:t>
      </w:r>
      <w:r>
        <w:rPr>
          <w:spacing w:val="-7"/>
        </w:rPr>
        <w:t xml:space="preserve"> </w:t>
      </w:r>
      <w:r>
        <w:t>the</w:t>
      </w:r>
      <w:r>
        <w:rPr>
          <w:spacing w:val="-7"/>
        </w:rPr>
        <w:t xml:space="preserve"> </w:t>
      </w:r>
      <w:r>
        <w:t>interested</w:t>
      </w:r>
      <w:r>
        <w:rPr>
          <w:spacing w:val="-7"/>
        </w:rPr>
        <w:t xml:space="preserve"> </w:t>
      </w:r>
      <w:r>
        <w:t>parties</w:t>
      </w:r>
      <w:r>
        <w:rPr>
          <w:spacing w:val="-7"/>
        </w:rPr>
        <w:t xml:space="preserve"> </w:t>
      </w:r>
      <w:r>
        <w:t>of</w:t>
      </w:r>
      <w:r>
        <w:rPr>
          <w:spacing w:val="-7"/>
        </w:rPr>
        <w:t xml:space="preserve"> </w:t>
      </w:r>
      <w:r>
        <w:t>these</w:t>
      </w:r>
      <w:r>
        <w:rPr>
          <w:spacing w:val="-7"/>
        </w:rPr>
        <w:t xml:space="preserve"> </w:t>
      </w:r>
      <w:r>
        <w:t>statistics,</w:t>
      </w:r>
      <w:r>
        <w:rPr>
          <w:spacing w:val="-7"/>
        </w:rPr>
        <w:t xml:space="preserve"> </w:t>
      </w:r>
      <w:r>
        <w:t>the</w:t>
      </w:r>
      <w:r>
        <w:rPr>
          <w:spacing w:val="-7"/>
        </w:rPr>
        <w:t xml:space="preserve"> </w:t>
      </w:r>
      <w:r>
        <w:t>methodology</w:t>
      </w:r>
      <w:r>
        <w:rPr>
          <w:spacing w:val="-7"/>
        </w:rPr>
        <w:t xml:space="preserve"> </w:t>
      </w:r>
      <w:r>
        <w:t>used</w:t>
      </w:r>
      <w:r>
        <w:rPr>
          <w:spacing w:val="-7"/>
        </w:rPr>
        <w:t xml:space="preserve"> </w:t>
      </w:r>
      <w:r>
        <w:t>to</w:t>
      </w:r>
      <w:r>
        <w:rPr>
          <w:spacing w:val="-7"/>
        </w:rPr>
        <w:t xml:space="preserve"> </w:t>
      </w:r>
      <w:r>
        <w:t>determine domestic output from these statistics, or anything about the identity or character of the "authoritative domestic organizations".</w:t>
      </w:r>
    </w:p>
    <w:p w14:paraId="51DE9C03" w14:textId="77777777" w:rsidR="0010369C" w:rsidRDefault="0010369C">
      <w:pPr>
        <w:pStyle w:val="BodyText"/>
        <w:spacing w:before="9"/>
        <w:rPr>
          <w:sz w:val="8"/>
        </w:rPr>
      </w:pPr>
    </w:p>
    <w:p w14:paraId="51DE9C04" w14:textId="77777777" w:rsidR="0010369C" w:rsidRDefault="008E43AE">
      <w:pPr>
        <w:pStyle w:val="BodyText"/>
        <w:spacing w:before="52" w:line="360" w:lineRule="auto"/>
        <w:ind w:left="237" w:right="613" w:firstLine="851"/>
        <w:jc w:val="both"/>
      </w:pPr>
      <w:r>
        <w:rPr>
          <w:noProof/>
        </w:rPr>
        <w:drawing>
          <wp:anchor distT="0" distB="0" distL="0" distR="0" simplePos="0" relativeHeight="251650560" behindDoc="1" locked="0" layoutInCell="1" allowOverlap="1" wp14:anchorId="51DEA949" wp14:editId="51DEA94A">
            <wp:simplePos x="0" y="0"/>
            <wp:positionH relativeFrom="page">
              <wp:posOffset>908303</wp:posOffset>
            </wp:positionH>
            <wp:positionV relativeFrom="paragraph">
              <wp:posOffset>76785</wp:posOffset>
            </wp:positionV>
            <wp:extent cx="332231" cy="106679"/>
            <wp:effectExtent l="0" t="0" r="0" b="0"/>
            <wp:wrapNone/>
            <wp:docPr id="2123" name="image10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 name="image1089.png"/>
                    <pic:cNvPicPr/>
                  </pic:nvPicPr>
                  <pic:blipFill>
                    <a:blip r:embed="rId1394" cstate="print"/>
                    <a:stretch>
                      <a:fillRect/>
                    </a:stretch>
                  </pic:blipFill>
                  <pic:spPr>
                    <a:xfrm>
                      <a:off x="0" y="0"/>
                      <a:ext cx="332231" cy="106679"/>
                    </a:xfrm>
                    <a:prstGeom prst="rect">
                      <a:avLst/>
                    </a:prstGeom>
                  </pic:spPr>
                </pic:pic>
              </a:graphicData>
            </a:graphic>
          </wp:anchor>
        </w:drawing>
      </w:r>
      <w:r>
        <w:t>There is nothing on the record to suggest this information was confidential. No explanation</w:t>
      </w:r>
      <w:r>
        <w:rPr>
          <w:spacing w:val="-11"/>
        </w:rPr>
        <w:t xml:space="preserve"> </w:t>
      </w:r>
      <w:r>
        <w:t>was</w:t>
      </w:r>
      <w:r>
        <w:rPr>
          <w:spacing w:val="-9"/>
        </w:rPr>
        <w:t xml:space="preserve"> </w:t>
      </w:r>
      <w:r>
        <w:t>given</w:t>
      </w:r>
      <w:r>
        <w:rPr>
          <w:spacing w:val="-9"/>
        </w:rPr>
        <w:t xml:space="preserve"> </w:t>
      </w:r>
      <w:r>
        <w:t>for</w:t>
      </w:r>
      <w:r>
        <w:rPr>
          <w:spacing w:val="-8"/>
        </w:rPr>
        <w:t xml:space="preserve"> </w:t>
      </w:r>
      <w:r>
        <w:t>why</w:t>
      </w:r>
      <w:r>
        <w:rPr>
          <w:spacing w:val="-8"/>
        </w:rPr>
        <w:t xml:space="preserve"> </w:t>
      </w:r>
      <w:r>
        <w:t>it</w:t>
      </w:r>
      <w:r>
        <w:rPr>
          <w:spacing w:val="-9"/>
        </w:rPr>
        <w:t xml:space="preserve"> </w:t>
      </w:r>
      <w:r>
        <w:t>w</w:t>
      </w:r>
      <w:r>
        <w:t>as</w:t>
      </w:r>
      <w:r>
        <w:rPr>
          <w:spacing w:val="-10"/>
        </w:rPr>
        <w:t xml:space="preserve"> </w:t>
      </w:r>
      <w:r>
        <w:t>not</w:t>
      </w:r>
      <w:r>
        <w:rPr>
          <w:spacing w:val="-8"/>
        </w:rPr>
        <w:t xml:space="preserve"> </w:t>
      </w:r>
      <w:r>
        <w:t>disclosed,</w:t>
      </w:r>
      <w:r>
        <w:rPr>
          <w:spacing w:val="-8"/>
        </w:rPr>
        <w:t xml:space="preserve"> </w:t>
      </w:r>
      <w:r>
        <w:t>even</w:t>
      </w:r>
      <w:r>
        <w:rPr>
          <w:spacing w:val="-9"/>
        </w:rPr>
        <w:t xml:space="preserve"> </w:t>
      </w:r>
      <w:r>
        <w:t>though</w:t>
      </w:r>
      <w:r>
        <w:rPr>
          <w:spacing w:val="-9"/>
        </w:rPr>
        <w:t xml:space="preserve"> </w:t>
      </w:r>
      <w:r>
        <w:t>it</w:t>
      </w:r>
      <w:r>
        <w:rPr>
          <w:spacing w:val="-9"/>
        </w:rPr>
        <w:t xml:space="preserve"> </w:t>
      </w:r>
      <w:r>
        <w:t>was</w:t>
      </w:r>
      <w:r>
        <w:rPr>
          <w:spacing w:val="-9"/>
        </w:rPr>
        <w:t xml:space="preserve"> </w:t>
      </w:r>
      <w:r>
        <w:t>directly</w:t>
      </w:r>
      <w:r>
        <w:rPr>
          <w:spacing w:val="-7"/>
        </w:rPr>
        <w:t xml:space="preserve"> </w:t>
      </w:r>
      <w:r>
        <w:t>relevant</w:t>
      </w:r>
      <w:r>
        <w:rPr>
          <w:spacing w:val="-9"/>
        </w:rPr>
        <w:t xml:space="preserve"> </w:t>
      </w:r>
      <w:r>
        <w:t>to</w:t>
      </w:r>
      <w:r>
        <w:rPr>
          <w:spacing w:val="-8"/>
        </w:rPr>
        <w:t xml:space="preserve"> </w:t>
      </w:r>
      <w:r>
        <w:t>the interested parties' ability to understand and prepare submissions about the adequacy of this data and to whether the identified 21 domestic producers accounted for a major proportion of</w:t>
      </w:r>
      <w:r>
        <w:rPr>
          <w:spacing w:val="-4"/>
        </w:rPr>
        <w:t xml:space="preserve"> </w:t>
      </w:r>
      <w:r>
        <w:t>total</w:t>
      </w:r>
      <w:r>
        <w:rPr>
          <w:spacing w:val="-4"/>
        </w:rPr>
        <w:t xml:space="preserve"> </w:t>
      </w:r>
      <w:r>
        <w:t>pr</w:t>
      </w:r>
      <w:r>
        <w:t>oduction</w:t>
      </w:r>
      <w:r>
        <w:rPr>
          <w:spacing w:val="-4"/>
        </w:rPr>
        <w:t xml:space="preserve"> </w:t>
      </w:r>
      <w:r>
        <w:t>of</w:t>
      </w:r>
      <w:r>
        <w:rPr>
          <w:spacing w:val="-4"/>
        </w:rPr>
        <w:t xml:space="preserve"> </w:t>
      </w:r>
      <w:r>
        <w:t>like</w:t>
      </w:r>
      <w:r>
        <w:rPr>
          <w:spacing w:val="-3"/>
        </w:rPr>
        <w:t xml:space="preserve"> </w:t>
      </w:r>
      <w:r>
        <w:t>products.</w:t>
      </w:r>
      <w:r>
        <w:rPr>
          <w:spacing w:val="-3"/>
        </w:rPr>
        <w:t xml:space="preserve"> </w:t>
      </w:r>
      <w:r>
        <w:t>Interested</w:t>
      </w:r>
      <w:r>
        <w:rPr>
          <w:spacing w:val="-4"/>
        </w:rPr>
        <w:t xml:space="preserve"> </w:t>
      </w:r>
      <w:r>
        <w:t>parties</w:t>
      </w:r>
      <w:r>
        <w:rPr>
          <w:spacing w:val="-4"/>
        </w:rPr>
        <w:t xml:space="preserve"> </w:t>
      </w:r>
      <w:r>
        <w:t>were</w:t>
      </w:r>
      <w:r>
        <w:rPr>
          <w:spacing w:val="-5"/>
        </w:rPr>
        <w:t xml:space="preserve"> </w:t>
      </w:r>
      <w:r>
        <w:t>deprived</w:t>
      </w:r>
      <w:r>
        <w:rPr>
          <w:spacing w:val="-4"/>
        </w:rPr>
        <w:t xml:space="preserve"> </w:t>
      </w:r>
      <w:r>
        <w:t>of</w:t>
      </w:r>
      <w:r>
        <w:rPr>
          <w:spacing w:val="-4"/>
        </w:rPr>
        <w:t xml:space="preserve"> </w:t>
      </w:r>
      <w:r>
        <w:t>information</w:t>
      </w:r>
      <w:r>
        <w:rPr>
          <w:spacing w:val="-5"/>
        </w:rPr>
        <w:t xml:space="preserve"> </w:t>
      </w:r>
      <w:r>
        <w:t>that</w:t>
      </w:r>
      <w:r>
        <w:rPr>
          <w:spacing w:val="-4"/>
        </w:rPr>
        <w:t xml:space="preserve"> </w:t>
      </w:r>
      <w:r>
        <w:t>was "material" to the definition of domestic industry and to MOFCOM's determination of injury and causation. The failure to disclose the information denied interested parties a</w:t>
      </w:r>
      <w:r>
        <w:t xml:space="preserve"> full opportunity to assess the conformity of MOFCOM's findings and to challenge those findings.</w:t>
      </w:r>
    </w:p>
    <w:p w14:paraId="51DE9C05" w14:textId="77777777" w:rsidR="0010369C" w:rsidRDefault="0010369C">
      <w:pPr>
        <w:pStyle w:val="BodyText"/>
        <w:spacing w:before="11"/>
        <w:rPr>
          <w:sz w:val="8"/>
        </w:rPr>
      </w:pPr>
    </w:p>
    <w:p w14:paraId="51DE9C06" w14:textId="77777777" w:rsidR="0010369C" w:rsidRDefault="008E43AE">
      <w:pPr>
        <w:pStyle w:val="BodyText"/>
        <w:spacing w:before="51" w:line="360" w:lineRule="auto"/>
        <w:ind w:left="238" w:firstLine="850"/>
      </w:pPr>
      <w:r>
        <w:rPr>
          <w:noProof/>
        </w:rPr>
        <w:drawing>
          <wp:anchor distT="0" distB="0" distL="0" distR="0" simplePos="0" relativeHeight="251651584" behindDoc="1" locked="0" layoutInCell="1" allowOverlap="1" wp14:anchorId="51DEA94B" wp14:editId="51DEA94C">
            <wp:simplePos x="0" y="0"/>
            <wp:positionH relativeFrom="page">
              <wp:posOffset>908303</wp:posOffset>
            </wp:positionH>
            <wp:positionV relativeFrom="paragraph">
              <wp:posOffset>79960</wp:posOffset>
            </wp:positionV>
            <wp:extent cx="332231" cy="103632"/>
            <wp:effectExtent l="0" t="0" r="0" b="0"/>
            <wp:wrapNone/>
            <wp:docPr id="2125" name="image10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 name="image1090.png"/>
                    <pic:cNvPicPr/>
                  </pic:nvPicPr>
                  <pic:blipFill>
                    <a:blip r:embed="rId1395" cstate="print"/>
                    <a:stretch>
                      <a:fillRect/>
                    </a:stretch>
                  </pic:blipFill>
                  <pic:spPr>
                    <a:xfrm>
                      <a:off x="0" y="0"/>
                      <a:ext cx="332231" cy="103632"/>
                    </a:xfrm>
                    <a:prstGeom prst="rect">
                      <a:avLst/>
                    </a:prstGeom>
                  </pic:spPr>
                </pic:pic>
              </a:graphicData>
            </a:graphic>
          </wp:anchor>
        </w:drawing>
      </w:r>
      <w:r>
        <w:t>In</w:t>
      </w:r>
      <w:r>
        <w:rPr>
          <w:spacing w:val="-14"/>
        </w:rPr>
        <w:t xml:space="preserve"> </w:t>
      </w:r>
      <w:r>
        <w:t>addition,</w:t>
      </w:r>
      <w:r>
        <w:rPr>
          <w:spacing w:val="-14"/>
        </w:rPr>
        <w:t xml:space="preserve"> </w:t>
      </w:r>
      <w:r>
        <w:t>MOFCOM</w:t>
      </w:r>
      <w:r>
        <w:rPr>
          <w:spacing w:val="-13"/>
        </w:rPr>
        <w:t xml:space="preserve"> </w:t>
      </w:r>
      <w:r>
        <w:t>proceeded</w:t>
      </w:r>
      <w:r>
        <w:rPr>
          <w:spacing w:val="-14"/>
        </w:rPr>
        <w:t xml:space="preserve"> </w:t>
      </w:r>
      <w:r>
        <w:t>to</w:t>
      </w:r>
      <w:r>
        <w:rPr>
          <w:spacing w:val="-13"/>
        </w:rPr>
        <w:t xml:space="preserve"> </w:t>
      </w:r>
      <w:r>
        <w:t>quote</w:t>
      </w:r>
      <w:r>
        <w:rPr>
          <w:spacing w:val="-14"/>
        </w:rPr>
        <w:t xml:space="preserve"> </w:t>
      </w:r>
      <w:r>
        <w:t>a</w:t>
      </w:r>
      <w:r>
        <w:rPr>
          <w:spacing w:val="-13"/>
        </w:rPr>
        <w:t xml:space="preserve"> </w:t>
      </w:r>
      <w:r>
        <w:t>different</w:t>
      </w:r>
      <w:r>
        <w:rPr>
          <w:spacing w:val="-14"/>
        </w:rPr>
        <w:t xml:space="preserve"> </w:t>
      </w:r>
      <w:r>
        <w:t>figure</w:t>
      </w:r>
      <w:r>
        <w:rPr>
          <w:spacing w:val="-14"/>
        </w:rPr>
        <w:t xml:space="preserve"> </w:t>
      </w:r>
      <w:r>
        <w:t>for</w:t>
      </w:r>
      <w:r>
        <w:rPr>
          <w:spacing w:val="-13"/>
        </w:rPr>
        <w:t xml:space="preserve"> </w:t>
      </w:r>
      <w:r>
        <w:t>total</w:t>
      </w:r>
      <w:r>
        <w:rPr>
          <w:spacing w:val="-14"/>
        </w:rPr>
        <w:t xml:space="preserve"> </w:t>
      </w:r>
      <w:r>
        <w:t>domestic</w:t>
      </w:r>
      <w:r>
        <w:rPr>
          <w:spacing w:val="-13"/>
        </w:rPr>
        <w:t xml:space="preserve"> </w:t>
      </w:r>
      <w:r>
        <w:t>output elsewhere</w:t>
      </w:r>
      <w:r>
        <w:rPr>
          <w:spacing w:val="15"/>
        </w:rPr>
        <w:t xml:space="preserve"> </w:t>
      </w:r>
      <w:r>
        <w:t>in</w:t>
      </w:r>
      <w:r>
        <w:rPr>
          <w:spacing w:val="15"/>
        </w:rPr>
        <w:t xml:space="preserve"> </w:t>
      </w:r>
      <w:r>
        <w:t>the</w:t>
      </w:r>
      <w:r>
        <w:rPr>
          <w:spacing w:val="17"/>
        </w:rPr>
        <w:t xml:space="preserve"> </w:t>
      </w:r>
      <w:r>
        <w:t>Final</w:t>
      </w:r>
      <w:r>
        <w:rPr>
          <w:spacing w:val="14"/>
        </w:rPr>
        <w:t xml:space="preserve"> </w:t>
      </w:r>
      <w:r>
        <w:t>Determination</w:t>
      </w:r>
      <w:r>
        <w:rPr>
          <w:spacing w:val="17"/>
        </w:rPr>
        <w:t xml:space="preserve"> </w:t>
      </w:r>
      <w:r>
        <w:t>(i.e.</w:t>
      </w:r>
      <w:r>
        <w:rPr>
          <w:spacing w:val="16"/>
        </w:rPr>
        <w:t xml:space="preserve"> </w:t>
      </w:r>
      <w:r>
        <w:t>"domestic</w:t>
      </w:r>
      <w:r>
        <w:rPr>
          <w:spacing w:val="16"/>
        </w:rPr>
        <w:t xml:space="preserve"> </w:t>
      </w:r>
      <w:r>
        <w:t>sales</w:t>
      </w:r>
      <w:r>
        <w:rPr>
          <w:spacing w:val="15"/>
        </w:rPr>
        <w:t xml:space="preserve"> </w:t>
      </w:r>
      <w:r>
        <w:t>volume"),</w:t>
      </w:r>
      <w:r>
        <w:rPr>
          <w:vertAlign w:val="superscript"/>
        </w:rPr>
        <w:t>1248</w:t>
      </w:r>
      <w:r>
        <w:rPr>
          <w:spacing w:val="15"/>
        </w:rPr>
        <w:t xml:space="preserve"> </w:t>
      </w:r>
      <w:r>
        <w:t>without</w:t>
      </w:r>
      <w:r>
        <w:rPr>
          <w:spacing w:val="16"/>
        </w:rPr>
        <w:t xml:space="preserve"> </w:t>
      </w:r>
      <w:r>
        <w:rPr>
          <w:spacing w:val="-2"/>
        </w:rPr>
        <w:t>explaining</w:t>
      </w:r>
    </w:p>
    <w:p w14:paraId="51DE9C07" w14:textId="77777777" w:rsidR="0010369C" w:rsidRDefault="0010369C">
      <w:pPr>
        <w:pStyle w:val="BodyText"/>
        <w:rPr>
          <w:sz w:val="20"/>
        </w:rPr>
      </w:pPr>
    </w:p>
    <w:p w14:paraId="51DE9C08" w14:textId="77777777" w:rsidR="0010369C" w:rsidRDefault="008E43AE">
      <w:pPr>
        <w:pStyle w:val="BodyText"/>
        <w:rPr>
          <w:sz w:val="26"/>
        </w:rPr>
      </w:pPr>
      <w:r>
        <w:pict w14:anchorId="51DEA94D">
          <v:rect id="docshape1461" o:spid="_x0000_s1058" style="position:absolute;margin-left:70.9pt;margin-top:17.1pt;width:2in;height:.8pt;z-index:-250667520;mso-wrap-distance-left:0;mso-wrap-distance-right:0;mso-position-horizontal-relative:page" fillcolor="black" stroked="f">
            <w10:wrap type="topAndBottom" anchorx="page"/>
          </v:rect>
        </w:pict>
      </w:r>
    </w:p>
    <w:p w14:paraId="51DE9C09" w14:textId="77777777" w:rsidR="0010369C" w:rsidRDefault="008E43AE">
      <w:pPr>
        <w:spacing w:before="109"/>
        <w:ind w:left="238" w:right="5157"/>
        <w:jc w:val="both"/>
        <w:rPr>
          <w:sz w:val="18"/>
        </w:rPr>
      </w:pPr>
      <w:r>
        <w:rPr>
          <w:sz w:val="18"/>
          <w:vertAlign w:val="superscript"/>
        </w:rPr>
        <w:t>1244</w:t>
      </w:r>
      <w:r>
        <w:rPr>
          <w:spacing w:val="-5"/>
          <w:sz w:val="18"/>
        </w:rPr>
        <w:t xml:space="preserve"> </w:t>
      </w:r>
      <w:r>
        <w:rPr>
          <w:sz w:val="18"/>
        </w:rPr>
        <w:t>Anti‐Dumping</w:t>
      </w:r>
      <w:r>
        <w:rPr>
          <w:spacing w:val="-5"/>
          <w:sz w:val="18"/>
        </w:rPr>
        <w:t xml:space="preserve"> </w:t>
      </w:r>
      <w:r>
        <w:rPr>
          <w:sz w:val="18"/>
        </w:rPr>
        <w:t>Final</w:t>
      </w:r>
      <w:r>
        <w:rPr>
          <w:spacing w:val="-5"/>
          <w:sz w:val="18"/>
        </w:rPr>
        <w:t xml:space="preserve"> </w:t>
      </w:r>
      <w:r>
        <w:rPr>
          <w:sz w:val="18"/>
        </w:rPr>
        <w:t>Determination</w:t>
      </w:r>
      <w:r>
        <w:rPr>
          <w:spacing w:val="-4"/>
          <w:sz w:val="18"/>
        </w:rPr>
        <w:t xml:space="preserve"> </w:t>
      </w:r>
      <w:r>
        <w:rPr>
          <w:sz w:val="18"/>
        </w:rPr>
        <w:t>(Exhibit</w:t>
      </w:r>
      <w:r>
        <w:rPr>
          <w:spacing w:val="-5"/>
          <w:sz w:val="18"/>
        </w:rPr>
        <w:t xml:space="preserve"> </w:t>
      </w:r>
      <w:r>
        <w:rPr>
          <w:sz w:val="18"/>
        </w:rPr>
        <w:t>AUS‐2),</w:t>
      </w:r>
      <w:r>
        <w:rPr>
          <w:spacing w:val="-6"/>
          <w:sz w:val="18"/>
        </w:rPr>
        <w:t xml:space="preserve"> </w:t>
      </w:r>
      <w:r>
        <w:rPr>
          <w:sz w:val="18"/>
        </w:rPr>
        <w:t>p.</w:t>
      </w:r>
      <w:r>
        <w:rPr>
          <w:spacing w:val="-5"/>
          <w:sz w:val="18"/>
        </w:rPr>
        <w:t xml:space="preserve"> </w:t>
      </w:r>
      <w:r>
        <w:rPr>
          <w:sz w:val="18"/>
        </w:rPr>
        <w:t xml:space="preserve">108. </w:t>
      </w:r>
      <w:r>
        <w:rPr>
          <w:sz w:val="18"/>
          <w:vertAlign w:val="superscript"/>
        </w:rPr>
        <w:t>1245</w:t>
      </w:r>
      <w:r>
        <w:rPr>
          <w:spacing w:val="-5"/>
          <w:sz w:val="18"/>
        </w:rPr>
        <w:t xml:space="preserve"> </w:t>
      </w:r>
      <w:r>
        <w:rPr>
          <w:sz w:val="18"/>
        </w:rPr>
        <w:t>Anti‐Dumping</w:t>
      </w:r>
      <w:r>
        <w:rPr>
          <w:spacing w:val="-5"/>
          <w:sz w:val="18"/>
        </w:rPr>
        <w:t xml:space="preserve"> </w:t>
      </w:r>
      <w:r>
        <w:rPr>
          <w:sz w:val="18"/>
        </w:rPr>
        <w:t>Final</w:t>
      </w:r>
      <w:r>
        <w:rPr>
          <w:spacing w:val="-5"/>
          <w:sz w:val="18"/>
        </w:rPr>
        <w:t xml:space="preserve"> </w:t>
      </w:r>
      <w:r>
        <w:rPr>
          <w:sz w:val="18"/>
        </w:rPr>
        <w:t>Determination</w:t>
      </w:r>
      <w:r>
        <w:rPr>
          <w:spacing w:val="-4"/>
          <w:sz w:val="18"/>
        </w:rPr>
        <w:t xml:space="preserve"> </w:t>
      </w:r>
      <w:r>
        <w:rPr>
          <w:sz w:val="18"/>
        </w:rPr>
        <w:t>(Exhibit</w:t>
      </w:r>
      <w:r>
        <w:rPr>
          <w:spacing w:val="-5"/>
          <w:sz w:val="18"/>
        </w:rPr>
        <w:t xml:space="preserve"> </w:t>
      </w:r>
      <w:r>
        <w:rPr>
          <w:sz w:val="18"/>
        </w:rPr>
        <w:t>AUS‐2),</w:t>
      </w:r>
      <w:r>
        <w:rPr>
          <w:spacing w:val="-6"/>
          <w:sz w:val="18"/>
        </w:rPr>
        <w:t xml:space="preserve"> </w:t>
      </w:r>
      <w:r>
        <w:rPr>
          <w:sz w:val="18"/>
        </w:rPr>
        <w:t>p.</w:t>
      </w:r>
      <w:r>
        <w:rPr>
          <w:spacing w:val="-5"/>
          <w:sz w:val="18"/>
        </w:rPr>
        <w:t xml:space="preserve"> </w:t>
      </w:r>
      <w:r>
        <w:rPr>
          <w:sz w:val="18"/>
        </w:rPr>
        <w:t xml:space="preserve">108. </w:t>
      </w:r>
      <w:r>
        <w:rPr>
          <w:sz w:val="18"/>
          <w:vertAlign w:val="superscript"/>
        </w:rPr>
        <w:t>1246</w:t>
      </w:r>
      <w:r>
        <w:rPr>
          <w:spacing w:val="-5"/>
          <w:sz w:val="18"/>
        </w:rPr>
        <w:t xml:space="preserve"> </w:t>
      </w:r>
      <w:r>
        <w:rPr>
          <w:sz w:val="18"/>
        </w:rPr>
        <w:t>Anti‐Dumping</w:t>
      </w:r>
      <w:r>
        <w:rPr>
          <w:spacing w:val="-5"/>
          <w:sz w:val="18"/>
        </w:rPr>
        <w:t xml:space="preserve"> </w:t>
      </w:r>
      <w:r>
        <w:rPr>
          <w:sz w:val="18"/>
        </w:rPr>
        <w:t>Final</w:t>
      </w:r>
      <w:r>
        <w:rPr>
          <w:spacing w:val="-5"/>
          <w:sz w:val="18"/>
        </w:rPr>
        <w:t xml:space="preserve"> </w:t>
      </w:r>
      <w:r>
        <w:rPr>
          <w:sz w:val="18"/>
        </w:rPr>
        <w:t>Determination</w:t>
      </w:r>
      <w:r>
        <w:rPr>
          <w:spacing w:val="-4"/>
          <w:sz w:val="18"/>
        </w:rPr>
        <w:t xml:space="preserve"> </w:t>
      </w:r>
      <w:r>
        <w:rPr>
          <w:sz w:val="18"/>
        </w:rPr>
        <w:t>(Exhibit</w:t>
      </w:r>
      <w:r>
        <w:rPr>
          <w:spacing w:val="-5"/>
          <w:sz w:val="18"/>
        </w:rPr>
        <w:t xml:space="preserve"> </w:t>
      </w:r>
      <w:r>
        <w:rPr>
          <w:sz w:val="18"/>
        </w:rPr>
        <w:t>AUS‐2),</w:t>
      </w:r>
      <w:r>
        <w:rPr>
          <w:spacing w:val="-6"/>
          <w:sz w:val="18"/>
        </w:rPr>
        <w:t xml:space="preserve"> </w:t>
      </w:r>
      <w:r>
        <w:rPr>
          <w:sz w:val="18"/>
        </w:rPr>
        <w:t>p.</w:t>
      </w:r>
      <w:r>
        <w:rPr>
          <w:spacing w:val="-5"/>
          <w:sz w:val="18"/>
        </w:rPr>
        <w:t xml:space="preserve"> </w:t>
      </w:r>
      <w:r>
        <w:rPr>
          <w:sz w:val="18"/>
        </w:rPr>
        <w:t xml:space="preserve">109. </w:t>
      </w:r>
      <w:r>
        <w:rPr>
          <w:sz w:val="18"/>
          <w:vertAlign w:val="superscript"/>
        </w:rPr>
        <w:t>1247</w:t>
      </w:r>
      <w:r>
        <w:rPr>
          <w:spacing w:val="-5"/>
          <w:sz w:val="18"/>
        </w:rPr>
        <w:t xml:space="preserve"> </w:t>
      </w:r>
      <w:r>
        <w:rPr>
          <w:sz w:val="18"/>
        </w:rPr>
        <w:t>Anti‐Dumping</w:t>
      </w:r>
      <w:r>
        <w:rPr>
          <w:spacing w:val="-5"/>
          <w:sz w:val="18"/>
        </w:rPr>
        <w:t xml:space="preserve"> </w:t>
      </w:r>
      <w:r>
        <w:rPr>
          <w:sz w:val="18"/>
        </w:rPr>
        <w:t>Final</w:t>
      </w:r>
      <w:r>
        <w:rPr>
          <w:spacing w:val="-5"/>
          <w:sz w:val="18"/>
        </w:rPr>
        <w:t xml:space="preserve"> </w:t>
      </w:r>
      <w:r>
        <w:rPr>
          <w:sz w:val="18"/>
        </w:rPr>
        <w:t>Determination</w:t>
      </w:r>
      <w:r>
        <w:rPr>
          <w:spacing w:val="-4"/>
          <w:sz w:val="18"/>
        </w:rPr>
        <w:t xml:space="preserve"> </w:t>
      </w:r>
      <w:r>
        <w:rPr>
          <w:sz w:val="18"/>
        </w:rPr>
        <w:t>(Exhibit</w:t>
      </w:r>
      <w:r>
        <w:rPr>
          <w:spacing w:val="-5"/>
          <w:sz w:val="18"/>
        </w:rPr>
        <w:t xml:space="preserve"> </w:t>
      </w:r>
      <w:r>
        <w:rPr>
          <w:sz w:val="18"/>
        </w:rPr>
        <w:t>AUS‐2),</w:t>
      </w:r>
      <w:r>
        <w:rPr>
          <w:spacing w:val="-6"/>
          <w:sz w:val="18"/>
        </w:rPr>
        <w:t xml:space="preserve"> </w:t>
      </w:r>
      <w:r>
        <w:rPr>
          <w:sz w:val="18"/>
        </w:rPr>
        <w:t>p.</w:t>
      </w:r>
      <w:r>
        <w:rPr>
          <w:spacing w:val="-5"/>
          <w:sz w:val="18"/>
        </w:rPr>
        <w:t xml:space="preserve"> </w:t>
      </w:r>
      <w:r>
        <w:rPr>
          <w:sz w:val="18"/>
        </w:rPr>
        <w:t xml:space="preserve">109. </w:t>
      </w:r>
      <w:r>
        <w:rPr>
          <w:sz w:val="18"/>
          <w:vertAlign w:val="superscript"/>
        </w:rPr>
        <w:t>1248</w:t>
      </w:r>
      <w:r>
        <w:rPr>
          <w:spacing w:val="-9"/>
          <w:sz w:val="18"/>
        </w:rPr>
        <w:t xml:space="preserve"> </w:t>
      </w:r>
      <w:r>
        <w:rPr>
          <w:sz w:val="18"/>
        </w:rPr>
        <w:t>Anti‐Dumping</w:t>
      </w:r>
      <w:r>
        <w:rPr>
          <w:spacing w:val="-9"/>
          <w:sz w:val="18"/>
        </w:rPr>
        <w:t xml:space="preserve"> </w:t>
      </w:r>
      <w:r>
        <w:rPr>
          <w:sz w:val="18"/>
        </w:rPr>
        <w:t>Final</w:t>
      </w:r>
      <w:r>
        <w:rPr>
          <w:spacing w:val="-9"/>
          <w:sz w:val="18"/>
        </w:rPr>
        <w:t xml:space="preserve"> </w:t>
      </w:r>
      <w:r>
        <w:rPr>
          <w:sz w:val="18"/>
        </w:rPr>
        <w:t>Determination</w:t>
      </w:r>
      <w:r>
        <w:rPr>
          <w:spacing w:val="-8"/>
          <w:sz w:val="18"/>
        </w:rPr>
        <w:t xml:space="preserve"> </w:t>
      </w:r>
      <w:r>
        <w:rPr>
          <w:sz w:val="18"/>
        </w:rPr>
        <w:t>(Exhibit</w:t>
      </w:r>
      <w:r>
        <w:rPr>
          <w:spacing w:val="-9"/>
          <w:sz w:val="18"/>
        </w:rPr>
        <w:t xml:space="preserve"> </w:t>
      </w:r>
      <w:r>
        <w:rPr>
          <w:sz w:val="18"/>
        </w:rPr>
        <w:t>AUS‐2),</w:t>
      </w:r>
      <w:r>
        <w:rPr>
          <w:spacing w:val="-10"/>
          <w:sz w:val="18"/>
        </w:rPr>
        <w:t xml:space="preserve"> </w:t>
      </w:r>
      <w:r>
        <w:rPr>
          <w:sz w:val="18"/>
        </w:rPr>
        <w:t>p.</w:t>
      </w:r>
      <w:r>
        <w:rPr>
          <w:spacing w:val="-9"/>
          <w:sz w:val="18"/>
        </w:rPr>
        <w:t xml:space="preserve"> </w:t>
      </w:r>
      <w:r>
        <w:rPr>
          <w:spacing w:val="-4"/>
          <w:sz w:val="18"/>
        </w:rPr>
        <w:t>124.</w:t>
      </w:r>
    </w:p>
    <w:p w14:paraId="51DE9C0A" w14:textId="77777777" w:rsidR="0010369C" w:rsidRDefault="0010369C">
      <w:pPr>
        <w:jc w:val="both"/>
        <w:rPr>
          <w:sz w:val="18"/>
        </w:rPr>
        <w:sectPr w:rsidR="0010369C">
          <w:pgSz w:w="11910" w:h="16840"/>
          <w:pgMar w:top="880" w:right="800" w:bottom="980" w:left="1180" w:header="569" w:footer="788" w:gutter="0"/>
          <w:cols w:space="720"/>
        </w:sectPr>
      </w:pPr>
    </w:p>
    <w:p w14:paraId="51DE9C0B" w14:textId="77777777" w:rsidR="0010369C" w:rsidRDefault="008E43AE">
      <w:pPr>
        <w:tabs>
          <w:tab w:val="left" w:pos="6425"/>
        </w:tabs>
        <w:ind w:left="238"/>
        <w:jc w:val="both"/>
        <w:rPr>
          <w:sz w:val="20"/>
        </w:rPr>
      </w:pPr>
      <w:r>
        <w:rPr>
          <w:i/>
          <w:sz w:val="20"/>
        </w:rPr>
        <w:lastRenderedPageBreak/>
        <w:t>China</w:t>
      </w:r>
      <w:r>
        <w:rPr>
          <w:i/>
          <w:spacing w:val="-5"/>
          <w:sz w:val="20"/>
        </w:rPr>
        <w:t xml:space="preserve"> </w:t>
      </w:r>
      <w:r>
        <w:rPr>
          <w:i/>
          <w:sz w:val="20"/>
        </w:rPr>
        <w:t>–</w:t>
      </w:r>
      <w:r>
        <w:rPr>
          <w:i/>
          <w:spacing w:val="-5"/>
          <w:sz w:val="20"/>
        </w:rPr>
        <w:t xml:space="preserve"> </w:t>
      </w:r>
      <w:r>
        <w:rPr>
          <w:i/>
          <w:sz w:val="20"/>
        </w:rPr>
        <w:t>Anti‐Dumping</w:t>
      </w:r>
      <w:r>
        <w:rPr>
          <w:i/>
          <w:spacing w:val="-4"/>
          <w:sz w:val="20"/>
        </w:rPr>
        <w:t xml:space="preserve"> </w:t>
      </w:r>
      <w:r>
        <w:rPr>
          <w:i/>
          <w:sz w:val="20"/>
        </w:rPr>
        <w:t>and</w:t>
      </w:r>
      <w:r>
        <w:rPr>
          <w:i/>
          <w:spacing w:val="-5"/>
          <w:sz w:val="20"/>
        </w:rPr>
        <w:t xml:space="preserve"> </w:t>
      </w:r>
      <w:r>
        <w:rPr>
          <w:i/>
          <w:sz w:val="20"/>
        </w:rPr>
        <w:t>Countervailing</w:t>
      </w:r>
      <w:r>
        <w:rPr>
          <w:i/>
          <w:spacing w:val="-5"/>
          <w:sz w:val="20"/>
        </w:rPr>
        <w:t xml:space="preserve"> </w:t>
      </w:r>
      <w:r>
        <w:rPr>
          <w:i/>
          <w:sz w:val="20"/>
        </w:rPr>
        <w:t>Duty</w:t>
      </w:r>
      <w:r>
        <w:rPr>
          <w:i/>
          <w:spacing w:val="-4"/>
          <w:sz w:val="20"/>
        </w:rPr>
        <w:t xml:space="preserve"> </w:t>
      </w:r>
      <w:r>
        <w:rPr>
          <w:i/>
          <w:spacing w:val="-2"/>
          <w:sz w:val="20"/>
        </w:rPr>
        <w:t>Measures</w:t>
      </w:r>
      <w:r>
        <w:rPr>
          <w:i/>
          <w:sz w:val="20"/>
        </w:rPr>
        <w:tab/>
      </w:r>
      <w:r>
        <w:rPr>
          <w:sz w:val="20"/>
        </w:rPr>
        <w:t>Australia's</w:t>
      </w:r>
      <w:r>
        <w:rPr>
          <w:spacing w:val="-7"/>
          <w:sz w:val="20"/>
        </w:rPr>
        <w:t xml:space="preserve"> </w:t>
      </w:r>
      <w:r>
        <w:rPr>
          <w:sz w:val="20"/>
        </w:rPr>
        <w:t>First</w:t>
      </w:r>
      <w:r>
        <w:rPr>
          <w:spacing w:val="-2"/>
          <w:sz w:val="20"/>
        </w:rPr>
        <w:t xml:space="preserve"> </w:t>
      </w:r>
      <w:r>
        <w:rPr>
          <w:sz w:val="20"/>
        </w:rPr>
        <w:t>Written</w:t>
      </w:r>
      <w:r>
        <w:rPr>
          <w:spacing w:val="-2"/>
          <w:sz w:val="20"/>
        </w:rPr>
        <w:t xml:space="preserve"> Submission</w:t>
      </w:r>
    </w:p>
    <w:p w14:paraId="51DE9C0C" w14:textId="77777777" w:rsidR="0010369C" w:rsidRDefault="008E43AE">
      <w:pPr>
        <w:tabs>
          <w:tab w:val="left" w:pos="8227"/>
        </w:tabs>
        <w:spacing w:before="1"/>
        <w:ind w:left="239"/>
        <w:jc w:val="both"/>
        <w:rPr>
          <w:sz w:val="20"/>
        </w:rPr>
      </w:pPr>
      <w:r>
        <w:rPr>
          <w:i/>
          <w:sz w:val="20"/>
        </w:rPr>
        <w:t>on</w:t>
      </w:r>
      <w:r>
        <w:rPr>
          <w:i/>
          <w:spacing w:val="-1"/>
          <w:sz w:val="20"/>
        </w:rPr>
        <w:t xml:space="preserve"> </w:t>
      </w:r>
      <w:r>
        <w:rPr>
          <w:i/>
          <w:sz w:val="20"/>
        </w:rPr>
        <w:t>Wine</w:t>
      </w:r>
      <w:r>
        <w:rPr>
          <w:i/>
          <w:spacing w:val="-1"/>
          <w:sz w:val="20"/>
        </w:rPr>
        <w:t xml:space="preserve"> </w:t>
      </w:r>
      <w:r>
        <w:rPr>
          <w:i/>
          <w:sz w:val="20"/>
        </w:rPr>
        <w:t>from</w:t>
      </w:r>
      <w:r>
        <w:rPr>
          <w:i/>
          <w:spacing w:val="-3"/>
          <w:sz w:val="20"/>
        </w:rPr>
        <w:t xml:space="preserve"> </w:t>
      </w:r>
      <w:r>
        <w:rPr>
          <w:i/>
          <w:sz w:val="20"/>
        </w:rPr>
        <w:t>Australia</w:t>
      </w:r>
      <w:r>
        <w:rPr>
          <w:i/>
          <w:spacing w:val="-1"/>
          <w:sz w:val="20"/>
        </w:rPr>
        <w:t xml:space="preserve"> </w:t>
      </w:r>
      <w:r>
        <w:rPr>
          <w:spacing w:val="-2"/>
          <w:sz w:val="20"/>
        </w:rPr>
        <w:t>(DS602)</w:t>
      </w:r>
      <w:r>
        <w:rPr>
          <w:sz w:val="20"/>
        </w:rPr>
        <w:tab/>
        <w:t>29</w:t>
      </w:r>
      <w:r>
        <w:rPr>
          <w:spacing w:val="-1"/>
          <w:sz w:val="20"/>
        </w:rPr>
        <w:t xml:space="preserve"> </w:t>
      </w:r>
      <w:r>
        <w:rPr>
          <w:sz w:val="20"/>
        </w:rPr>
        <w:t>April</w:t>
      </w:r>
      <w:r>
        <w:rPr>
          <w:spacing w:val="-2"/>
          <w:sz w:val="20"/>
        </w:rPr>
        <w:t xml:space="preserve"> </w:t>
      </w:r>
      <w:r>
        <w:rPr>
          <w:spacing w:val="-4"/>
          <w:sz w:val="20"/>
        </w:rPr>
        <w:t>2022</w:t>
      </w:r>
    </w:p>
    <w:p w14:paraId="51DE9C0D" w14:textId="77777777" w:rsidR="0010369C" w:rsidRDefault="008E43AE">
      <w:pPr>
        <w:pStyle w:val="BodyText"/>
        <w:spacing w:before="34" w:line="360" w:lineRule="auto"/>
        <w:ind w:left="238" w:right="613"/>
        <w:jc w:val="both"/>
      </w:pPr>
      <w:r>
        <w:t>why it had adopted two different figures for apparently the same purpose, being, measuring the</w:t>
      </w:r>
      <w:r>
        <w:rPr>
          <w:spacing w:val="-11"/>
        </w:rPr>
        <w:t xml:space="preserve"> </w:t>
      </w:r>
      <w:r>
        <w:t>total</w:t>
      </w:r>
      <w:r>
        <w:rPr>
          <w:spacing w:val="-12"/>
        </w:rPr>
        <w:t xml:space="preserve"> </w:t>
      </w:r>
      <w:r>
        <w:t>size</w:t>
      </w:r>
      <w:r>
        <w:rPr>
          <w:spacing w:val="-11"/>
        </w:rPr>
        <w:t xml:space="preserve"> </w:t>
      </w:r>
      <w:r>
        <w:t>of</w:t>
      </w:r>
      <w:r>
        <w:rPr>
          <w:spacing w:val="-12"/>
        </w:rPr>
        <w:t xml:space="preserve"> </w:t>
      </w:r>
      <w:r>
        <w:t>the</w:t>
      </w:r>
      <w:r>
        <w:rPr>
          <w:spacing w:val="-11"/>
        </w:rPr>
        <w:t xml:space="preserve"> </w:t>
      </w:r>
      <w:r>
        <w:t>domestic</w:t>
      </w:r>
      <w:r>
        <w:rPr>
          <w:spacing w:val="-11"/>
        </w:rPr>
        <w:t xml:space="preserve"> </w:t>
      </w:r>
      <w:r>
        <w:t>industry.</w:t>
      </w:r>
      <w:r>
        <w:rPr>
          <w:spacing w:val="-12"/>
        </w:rPr>
        <w:t xml:space="preserve"> </w:t>
      </w:r>
      <w:r>
        <w:t>This</w:t>
      </w:r>
      <w:r>
        <w:rPr>
          <w:spacing w:val="-12"/>
        </w:rPr>
        <w:t xml:space="preserve"> </w:t>
      </w:r>
      <w:r>
        <w:t>further</w:t>
      </w:r>
      <w:r>
        <w:rPr>
          <w:spacing w:val="-12"/>
        </w:rPr>
        <w:t xml:space="preserve"> </w:t>
      </w:r>
      <w:r>
        <w:t>impeded</w:t>
      </w:r>
      <w:r>
        <w:rPr>
          <w:spacing w:val="-12"/>
        </w:rPr>
        <w:t xml:space="preserve"> </w:t>
      </w:r>
      <w:r>
        <w:t>interested</w:t>
      </w:r>
      <w:r>
        <w:rPr>
          <w:spacing w:val="-12"/>
        </w:rPr>
        <w:t xml:space="preserve"> </w:t>
      </w:r>
      <w:r>
        <w:t>parties'</w:t>
      </w:r>
      <w:r>
        <w:rPr>
          <w:spacing w:val="-12"/>
        </w:rPr>
        <w:t xml:space="preserve"> </w:t>
      </w:r>
      <w:r>
        <w:t>understanding of the factual basis for MOFCOM's findings.</w:t>
      </w:r>
    </w:p>
    <w:p w14:paraId="51DE9C0E" w14:textId="77777777" w:rsidR="0010369C" w:rsidRDefault="0010369C">
      <w:pPr>
        <w:pStyle w:val="BodyText"/>
        <w:spacing w:before="11"/>
        <w:rPr>
          <w:sz w:val="8"/>
        </w:rPr>
      </w:pPr>
    </w:p>
    <w:p w14:paraId="51DE9C0F" w14:textId="77777777" w:rsidR="0010369C" w:rsidRDefault="008E43AE">
      <w:pPr>
        <w:pStyle w:val="BodyText"/>
        <w:spacing w:before="52" w:line="360" w:lineRule="auto"/>
        <w:ind w:left="236" w:right="614" w:firstLine="853"/>
        <w:jc w:val="both"/>
      </w:pPr>
      <w:r>
        <w:rPr>
          <w:noProof/>
        </w:rPr>
        <w:drawing>
          <wp:anchor distT="0" distB="0" distL="0" distR="0" simplePos="0" relativeHeight="251652608" behindDoc="1" locked="0" layoutInCell="1" allowOverlap="1" wp14:anchorId="51DEA94E" wp14:editId="51DEA94F">
            <wp:simplePos x="0" y="0"/>
            <wp:positionH relativeFrom="page">
              <wp:posOffset>908303</wp:posOffset>
            </wp:positionH>
            <wp:positionV relativeFrom="paragraph">
              <wp:posOffset>80595</wp:posOffset>
            </wp:positionV>
            <wp:extent cx="332231" cy="103631"/>
            <wp:effectExtent l="0" t="0" r="0" b="0"/>
            <wp:wrapNone/>
            <wp:docPr id="2127" name="image10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 name="image1091.png"/>
                    <pic:cNvPicPr/>
                  </pic:nvPicPr>
                  <pic:blipFill>
                    <a:blip r:embed="rId1396" cstate="print"/>
                    <a:stretch>
                      <a:fillRect/>
                    </a:stretch>
                  </pic:blipFill>
                  <pic:spPr>
                    <a:xfrm>
                      <a:off x="0" y="0"/>
                      <a:ext cx="332231" cy="103631"/>
                    </a:xfrm>
                    <a:prstGeom prst="rect">
                      <a:avLst/>
                    </a:prstGeom>
                  </pic:spPr>
                </pic:pic>
              </a:graphicData>
            </a:graphic>
          </wp:anchor>
        </w:drawing>
      </w:r>
      <w:r>
        <w:t>The</w:t>
      </w:r>
      <w:r>
        <w:rPr>
          <w:spacing w:val="-8"/>
        </w:rPr>
        <w:t xml:space="preserve"> </w:t>
      </w:r>
      <w:r>
        <w:t>matters</w:t>
      </w:r>
      <w:r>
        <w:rPr>
          <w:spacing w:val="-10"/>
        </w:rPr>
        <w:t xml:space="preserve"> </w:t>
      </w:r>
      <w:r>
        <w:t>of</w:t>
      </w:r>
      <w:r>
        <w:rPr>
          <w:spacing w:val="-9"/>
        </w:rPr>
        <w:t xml:space="preserve"> </w:t>
      </w:r>
      <w:r>
        <w:t>fac</w:t>
      </w:r>
      <w:r>
        <w:t>t</w:t>
      </w:r>
      <w:r>
        <w:rPr>
          <w:spacing w:val="-9"/>
        </w:rPr>
        <w:t xml:space="preserve"> </w:t>
      </w:r>
      <w:r>
        <w:t>and</w:t>
      </w:r>
      <w:r>
        <w:rPr>
          <w:spacing w:val="-9"/>
        </w:rPr>
        <w:t xml:space="preserve"> </w:t>
      </w:r>
      <w:r>
        <w:t>reasons</w:t>
      </w:r>
      <w:r>
        <w:rPr>
          <w:spacing w:val="-9"/>
        </w:rPr>
        <w:t xml:space="preserve"> </w:t>
      </w:r>
      <w:r>
        <w:t>identified</w:t>
      </w:r>
      <w:r>
        <w:rPr>
          <w:spacing w:val="-9"/>
        </w:rPr>
        <w:t xml:space="preserve"> </w:t>
      </w:r>
      <w:r>
        <w:t>in</w:t>
      </w:r>
      <w:r>
        <w:rPr>
          <w:spacing w:val="-9"/>
        </w:rPr>
        <w:t xml:space="preserve"> </w:t>
      </w:r>
      <w:r>
        <w:t>the</w:t>
      </w:r>
      <w:r>
        <w:rPr>
          <w:spacing w:val="-9"/>
        </w:rPr>
        <w:t xml:space="preserve"> </w:t>
      </w:r>
      <w:r>
        <w:t>paragraphs</w:t>
      </w:r>
      <w:r>
        <w:rPr>
          <w:spacing w:val="-9"/>
        </w:rPr>
        <w:t xml:space="preserve"> </w:t>
      </w:r>
      <w:r>
        <w:t>above</w:t>
      </w:r>
      <w:r>
        <w:rPr>
          <w:spacing w:val="-8"/>
        </w:rPr>
        <w:t xml:space="preserve"> </w:t>
      </w:r>
      <w:r>
        <w:t>were</w:t>
      </w:r>
      <w:r>
        <w:rPr>
          <w:spacing w:val="-10"/>
        </w:rPr>
        <w:t xml:space="preserve"> </w:t>
      </w:r>
      <w:r>
        <w:t>essential</w:t>
      </w:r>
      <w:r>
        <w:rPr>
          <w:spacing w:val="-9"/>
        </w:rPr>
        <w:t xml:space="preserve"> </w:t>
      </w:r>
      <w:r>
        <w:t>for interested parties to assess MOFCOM's determination of domestic industry output pursuant to Article 4. In turn, the failure to provide all nonconfidential information in respect of domestic industry also compounded errors with respect to MOFCOM's analy</w:t>
      </w:r>
      <w:r>
        <w:t>ses and determination of injury and causation.</w:t>
      </w:r>
    </w:p>
    <w:p w14:paraId="51DE9C10" w14:textId="77777777" w:rsidR="0010369C" w:rsidRDefault="008E43AE">
      <w:pPr>
        <w:pStyle w:val="ListParagraph"/>
        <w:numPr>
          <w:ilvl w:val="3"/>
          <w:numId w:val="75"/>
        </w:numPr>
        <w:tabs>
          <w:tab w:val="left" w:pos="3640"/>
          <w:tab w:val="left" w:pos="3641"/>
        </w:tabs>
        <w:spacing w:before="159" w:line="360" w:lineRule="auto"/>
        <w:ind w:right="617" w:hanging="855"/>
        <w:jc w:val="both"/>
        <w:rPr>
          <w:sz w:val="24"/>
        </w:rPr>
      </w:pPr>
      <w:r>
        <w:rPr>
          <w:sz w:val="24"/>
          <w:u w:val="single"/>
        </w:rPr>
        <w:t>MOFCOM's recourse to "facts available" to determine</w:t>
      </w:r>
      <w:r>
        <w:rPr>
          <w:sz w:val="24"/>
        </w:rPr>
        <w:t xml:space="preserve"> </w:t>
      </w:r>
      <w:r>
        <w:rPr>
          <w:sz w:val="24"/>
          <w:u w:val="single"/>
        </w:rPr>
        <w:t>normal value and selection of the facts available</w:t>
      </w:r>
    </w:p>
    <w:p w14:paraId="51DE9C11" w14:textId="77777777" w:rsidR="0010369C" w:rsidRDefault="0010369C">
      <w:pPr>
        <w:pStyle w:val="BodyText"/>
        <w:spacing w:before="11"/>
        <w:rPr>
          <w:sz w:val="8"/>
        </w:rPr>
      </w:pPr>
    </w:p>
    <w:p w14:paraId="51DE9C12" w14:textId="77777777" w:rsidR="0010369C" w:rsidRDefault="008E43AE">
      <w:pPr>
        <w:pStyle w:val="BodyText"/>
        <w:spacing w:before="52" w:line="360" w:lineRule="auto"/>
        <w:ind w:left="238" w:right="611" w:firstLine="851"/>
      </w:pPr>
      <w:r>
        <w:rPr>
          <w:noProof/>
        </w:rPr>
        <w:drawing>
          <wp:anchor distT="0" distB="0" distL="0" distR="0" simplePos="0" relativeHeight="251653632" behindDoc="1" locked="0" layoutInCell="1" allowOverlap="1" wp14:anchorId="51DEA950" wp14:editId="51DEA951">
            <wp:simplePos x="0" y="0"/>
            <wp:positionH relativeFrom="page">
              <wp:posOffset>908303</wp:posOffset>
            </wp:positionH>
            <wp:positionV relativeFrom="paragraph">
              <wp:posOffset>76023</wp:posOffset>
            </wp:positionV>
            <wp:extent cx="332231" cy="106679"/>
            <wp:effectExtent l="0" t="0" r="0" b="0"/>
            <wp:wrapNone/>
            <wp:docPr id="2129" name="image10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 name="image1092.png"/>
                    <pic:cNvPicPr/>
                  </pic:nvPicPr>
                  <pic:blipFill>
                    <a:blip r:embed="rId1397" cstate="print"/>
                    <a:stretch>
                      <a:fillRect/>
                    </a:stretch>
                  </pic:blipFill>
                  <pic:spPr>
                    <a:xfrm>
                      <a:off x="0" y="0"/>
                      <a:ext cx="332231" cy="106679"/>
                    </a:xfrm>
                    <a:prstGeom prst="rect">
                      <a:avLst/>
                    </a:prstGeom>
                  </pic:spPr>
                </pic:pic>
              </a:graphicData>
            </a:graphic>
          </wp:anchor>
        </w:drawing>
      </w:r>
      <w:r>
        <w:t>MOFCOM's</w:t>
      </w:r>
      <w:r>
        <w:rPr>
          <w:spacing w:val="-6"/>
        </w:rPr>
        <w:t xml:space="preserve"> </w:t>
      </w:r>
      <w:r>
        <w:t>Final</w:t>
      </w:r>
      <w:r>
        <w:rPr>
          <w:spacing w:val="-7"/>
        </w:rPr>
        <w:t xml:space="preserve"> </w:t>
      </w:r>
      <w:r>
        <w:t>Determination</w:t>
      </w:r>
      <w:r>
        <w:rPr>
          <w:spacing w:val="-7"/>
        </w:rPr>
        <w:t xml:space="preserve"> </w:t>
      </w:r>
      <w:r>
        <w:t>did</w:t>
      </w:r>
      <w:r>
        <w:rPr>
          <w:spacing w:val="-7"/>
        </w:rPr>
        <w:t xml:space="preserve"> </w:t>
      </w:r>
      <w:r>
        <w:t>not</w:t>
      </w:r>
      <w:r>
        <w:rPr>
          <w:spacing w:val="-7"/>
        </w:rPr>
        <w:t xml:space="preserve"> </w:t>
      </w:r>
      <w:r>
        <w:t>contain</w:t>
      </w:r>
      <w:r>
        <w:rPr>
          <w:spacing w:val="-8"/>
        </w:rPr>
        <w:t xml:space="preserve"> </w:t>
      </w:r>
      <w:r>
        <w:t>all</w:t>
      </w:r>
      <w:r>
        <w:rPr>
          <w:spacing w:val="-8"/>
        </w:rPr>
        <w:t xml:space="preserve"> </w:t>
      </w:r>
      <w:r>
        <w:t>the</w:t>
      </w:r>
      <w:r>
        <w:rPr>
          <w:spacing w:val="-7"/>
        </w:rPr>
        <w:t xml:space="preserve"> </w:t>
      </w:r>
      <w:r>
        <w:t>information</w:t>
      </w:r>
      <w:r>
        <w:rPr>
          <w:spacing w:val="-8"/>
        </w:rPr>
        <w:t xml:space="preserve"> </w:t>
      </w:r>
      <w:r>
        <w:t>on</w:t>
      </w:r>
      <w:r>
        <w:rPr>
          <w:spacing w:val="-8"/>
        </w:rPr>
        <w:t xml:space="preserve"> </w:t>
      </w:r>
      <w:r>
        <w:t>the</w:t>
      </w:r>
      <w:r>
        <w:rPr>
          <w:spacing w:val="-7"/>
        </w:rPr>
        <w:t xml:space="preserve"> </w:t>
      </w:r>
      <w:r>
        <w:t>matters</w:t>
      </w:r>
      <w:r>
        <w:rPr>
          <w:spacing w:val="-9"/>
        </w:rPr>
        <w:t xml:space="preserve"> </w:t>
      </w:r>
      <w:r>
        <w:t>of fact and law and reaso</w:t>
      </w:r>
      <w:r>
        <w:t>ns that were relevant to:</w:t>
      </w:r>
    </w:p>
    <w:p w14:paraId="51DE9C13" w14:textId="77777777" w:rsidR="0010369C" w:rsidRDefault="008E43AE">
      <w:pPr>
        <w:pStyle w:val="ListParagraph"/>
        <w:numPr>
          <w:ilvl w:val="0"/>
          <w:numId w:val="16"/>
        </w:numPr>
        <w:tabs>
          <w:tab w:val="left" w:pos="1940"/>
          <w:tab w:val="left" w:pos="1941"/>
        </w:tabs>
        <w:spacing w:before="161" w:line="352" w:lineRule="auto"/>
        <w:ind w:right="615"/>
        <w:jc w:val="left"/>
        <w:rPr>
          <w:sz w:val="24"/>
        </w:rPr>
      </w:pPr>
      <w:r>
        <w:rPr>
          <w:sz w:val="24"/>
        </w:rPr>
        <w:t>MOFCOM's</w:t>
      </w:r>
      <w:r>
        <w:rPr>
          <w:spacing w:val="40"/>
          <w:sz w:val="24"/>
        </w:rPr>
        <w:t xml:space="preserve"> </w:t>
      </w:r>
      <w:r>
        <w:rPr>
          <w:sz w:val="24"/>
        </w:rPr>
        <w:t>decision</w:t>
      </w:r>
      <w:r>
        <w:rPr>
          <w:spacing w:val="40"/>
          <w:sz w:val="24"/>
        </w:rPr>
        <w:t xml:space="preserve"> </w:t>
      </w:r>
      <w:r>
        <w:rPr>
          <w:sz w:val="24"/>
        </w:rPr>
        <w:t>to</w:t>
      </w:r>
      <w:r>
        <w:rPr>
          <w:spacing w:val="40"/>
          <w:sz w:val="24"/>
        </w:rPr>
        <w:t xml:space="preserve"> </w:t>
      </w:r>
      <w:r>
        <w:rPr>
          <w:sz w:val="24"/>
        </w:rPr>
        <w:t>resort</w:t>
      </w:r>
      <w:r>
        <w:rPr>
          <w:spacing w:val="40"/>
          <w:sz w:val="24"/>
        </w:rPr>
        <w:t xml:space="preserve"> </w:t>
      </w:r>
      <w:r>
        <w:rPr>
          <w:sz w:val="24"/>
        </w:rPr>
        <w:t>to</w:t>
      </w:r>
      <w:r>
        <w:rPr>
          <w:spacing w:val="40"/>
          <w:sz w:val="24"/>
        </w:rPr>
        <w:t xml:space="preserve"> </w:t>
      </w:r>
      <w:r>
        <w:rPr>
          <w:sz w:val="24"/>
        </w:rPr>
        <w:t>"facts</w:t>
      </w:r>
      <w:r>
        <w:rPr>
          <w:spacing w:val="40"/>
          <w:sz w:val="24"/>
        </w:rPr>
        <w:t xml:space="preserve"> </w:t>
      </w:r>
      <w:r>
        <w:rPr>
          <w:sz w:val="24"/>
        </w:rPr>
        <w:t>available"</w:t>
      </w:r>
      <w:r>
        <w:rPr>
          <w:spacing w:val="40"/>
          <w:sz w:val="24"/>
        </w:rPr>
        <w:t xml:space="preserve"> </w:t>
      </w:r>
      <w:r>
        <w:rPr>
          <w:sz w:val="24"/>
        </w:rPr>
        <w:t>to</w:t>
      </w:r>
      <w:r>
        <w:rPr>
          <w:spacing w:val="40"/>
          <w:sz w:val="24"/>
        </w:rPr>
        <w:t xml:space="preserve"> </w:t>
      </w:r>
      <w:r>
        <w:rPr>
          <w:sz w:val="24"/>
        </w:rPr>
        <w:t>determine</w:t>
      </w:r>
      <w:r>
        <w:rPr>
          <w:spacing w:val="40"/>
          <w:sz w:val="24"/>
        </w:rPr>
        <w:t xml:space="preserve"> </w:t>
      </w:r>
      <w:r>
        <w:rPr>
          <w:sz w:val="24"/>
        </w:rPr>
        <w:t>normal values pursuant to Article 6.8; or</w:t>
      </w:r>
    </w:p>
    <w:p w14:paraId="51DE9C14" w14:textId="77777777" w:rsidR="0010369C" w:rsidRDefault="008E43AE">
      <w:pPr>
        <w:pStyle w:val="ListParagraph"/>
        <w:numPr>
          <w:ilvl w:val="0"/>
          <w:numId w:val="16"/>
        </w:numPr>
        <w:tabs>
          <w:tab w:val="left" w:pos="1939"/>
          <w:tab w:val="left" w:pos="1940"/>
        </w:tabs>
        <w:spacing w:before="137" w:line="352" w:lineRule="auto"/>
        <w:ind w:right="612"/>
        <w:jc w:val="left"/>
        <w:rPr>
          <w:sz w:val="24"/>
        </w:rPr>
      </w:pPr>
      <w:r>
        <w:rPr>
          <w:sz w:val="24"/>
        </w:rPr>
        <w:t>MOFCOM's findings that certain data or information otherwise constituted the "best information available".</w:t>
      </w:r>
    </w:p>
    <w:p w14:paraId="51DE9C15" w14:textId="77777777" w:rsidR="0010369C" w:rsidRDefault="008E43AE">
      <w:pPr>
        <w:pStyle w:val="BodyText"/>
        <w:spacing w:before="136" w:line="360" w:lineRule="auto"/>
        <w:ind w:left="238" w:right="613" w:firstLine="850"/>
        <w:jc w:val="both"/>
      </w:pPr>
      <w:r>
        <w:rPr>
          <w:noProof/>
        </w:rPr>
        <w:drawing>
          <wp:anchor distT="0" distB="0" distL="0" distR="0" simplePos="0" relativeHeight="251654656" behindDoc="1" locked="0" layoutInCell="1" allowOverlap="1" wp14:anchorId="51DEA952" wp14:editId="51DEA953">
            <wp:simplePos x="0" y="0"/>
            <wp:positionH relativeFrom="page">
              <wp:posOffset>908303</wp:posOffset>
            </wp:positionH>
            <wp:positionV relativeFrom="paragraph">
              <wp:posOffset>129363</wp:posOffset>
            </wp:positionV>
            <wp:extent cx="332231" cy="106679"/>
            <wp:effectExtent l="0" t="0" r="0" b="0"/>
            <wp:wrapNone/>
            <wp:docPr id="2131" name="image10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 name="image1093.png"/>
                    <pic:cNvPicPr/>
                  </pic:nvPicPr>
                  <pic:blipFill>
                    <a:blip r:embed="rId1398" cstate="print"/>
                    <a:stretch>
                      <a:fillRect/>
                    </a:stretch>
                  </pic:blipFill>
                  <pic:spPr>
                    <a:xfrm>
                      <a:off x="0" y="0"/>
                      <a:ext cx="332231" cy="106679"/>
                    </a:xfrm>
                    <a:prstGeom prst="rect">
                      <a:avLst/>
                    </a:prstGeom>
                  </pic:spPr>
                </pic:pic>
              </a:graphicData>
            </a:graphic>
          </wp:anchor>
        </w:drawing>
      </w:r>
      <w:r>
        <w:t>As</w:t>
      </w:r>
      <w:r>
        <w:rPr>
          <w:spacing w:val="-6"/>
        </w:rPr>
        <w:t xml:space="preserve"> </w:t>
      </w:r>
      <w:r>
        <w:t>MOFCOM</w:t>
      </w:r>
      <w:r>
        <w:rPr>
          <w:spacing w:val="-6"/>
        </w:rPr>
        <w:t xml:space="preserve"> </w:t>
      </w:r>
      <w:r>
        <w:t>had</w:t>
      </w:r>
      <w:r>
        <w:rPr>
          <w:spacing w:val="-5"/>
        </w:rPr>
        <w:t xml:space="preserve"> </w:t>
      </w:r>
      <w:r>
        <w:t>recourse</w:t>
      </w:r>
      <w:r>
        <w:rPr>
          <w:spacing w:val="-5"/>
        </w:rPr>
        <w:t xml:space="preserve"> </w:t>
      </w:r>
      <w:r>
        <w:t>to</w:t>
      </w:r>
      <w:r>
        <w:rPr>
          <w:spacing w:val="-5"/>
        </w:rPr>
        <w:t xml:space="preserve"> </w:t>
      </w:r>
      <w:r>
        <w:t>facts</w:t>
      </w:r>
      <w:r>
        <w:rPr>
          <w:spacing w:val="-6"/>
        </w:rPr>
        <w:t xml:space="preserve"> </w:t>
      </w:r>
      <w:r>
        <w:t>available</w:t>
      </w:r>
      <w:r>
        <w:rPr>
          <w:spacing w:val="-4"/>
        </w:rPr>
        <w:t xml:space="preserve"> </w:t>
      </w:r>
      <w:r>
        <w:t>to</w:t>
      </w:r>
      <w:r>
        <w:rPr>
          <w:spacing w:val="-5"/>
        </w:rPr>
        <w:t xml:space="preserve"> </w:t>
      </w:r>
      <w:r>
        <w:t>determine</w:t>
      </w:r>
      <w:r>
        <w:rPr>
          <w:spacing w:val="-4"/>
        </w:rPr>
        <w:t xml:space="preserve"> </w:t>
      </w:r>
      <w:r>
        <w:t>the</w:t>
      </w:r>
      <w:r>
        <w:rPr>
          <w:spacing w:val="-4"/>
        </w:rPr>
        <w:t xml:space="preserve"> </w:t>
      </w:r>
      <w:r>
        <w:t>margin</w:t>
      </w:r>
      <w:r>
        <w:rPr>
          <w:spacing w:val="-5"/>
        </w:rPr>
        <w:t xml:space="preserve"> </w:t>
      </w:r>
      <w:r>
        <w:t>of</w:t>
      </w:r>
      <w:r>
        <w:rPr>
          <w:spacing w:val="-5"/>
        </w:rPr>
        <w:t xml:space="preserve"> </w:t>
      </w:r>
      <w:r>
        <w:t>dumping</w:t>
      </w:r>
      <w:r>
        <w:rPr>
          <w:spacing w:val="-5"/>
        </w:rPr>
        <w:t xml:space="preserve"> </w:t>
      </w:r>
      <w:r>
        <w:t>for each of the sampled companies, it was material. Therefore, MOFCOM was obligated to provide sufficiently detailed explanations.</w:t>
      </w:r>
    </w:p>
    <w:p w14:paraId="51DE9C16" w14:textId="77777777" w:rsidR="0010369C" w:rsidRDefault="0010369C">
      <w:pPr>
        <w:pStyle w:val="BodyText"/>
        <w:spacing w:before="11"/>
        <w:rPr>
          <w:sz w:val="8"/>
        </w:rPr>
      </w:pPr>
    </w:p>
    <w:p w14:paraId="51DE9C17" w14:textId="77777777" w:rsidR="0010369C" w:rsidRDefault="008E43AE">
      <w:pPr>
        <w:pStyle w:val="BodyText"/>
        <w:spacing w:before="52" w:line="360" w:lineRule="auto"/>
        <w:ind w:left="237" w:right="613" w:firstLine="852"/>
        <w:jc w:val="both"/>
      </w:pPr>
      <w:r>
        <w:rPr>
          <w:noProof/>
        </w:rPr>
        <w:drawing>
          <wp:anchor distT="0" distB="0" distL="0" distR="0" simplePos="0" relativeHeight="251655680" behindDoc="1" locked="0" layoutInCell="1" allowOverlap="1" wp14:anchorId="51DEA954" wp14:editId="51DEA955">
            <wp:simplePos x="0" y="0"/>
            <wp:positionH relativeFrom="page">
              <wp:posOffset>908303</wp:posOffset>
            </wp:positionH>
            <wp:positionV relativeFrom="paragraph">
              <wp:posOffset>76023</wp:posOffset>
            </wp:positionV>
            <wp:extent cx="332231" cy="106679"/>
            <wp:effectExtent l="0" t="0" r="0" b="0"/>
            <wp:wrapNone/>
            <wp:docPr id="2133" name="image10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 name="image1094.png"/>
                    <pic:cNvPicPr/>
                  </pic:nvPicPr>
                  <pic:blipFill>
                    <a:blip r:embed="rId1399" cstate="print"/>
                    <a:stretch>
                      <a:fillRect/>
                    </a:stretch>
                  </pic:blipFill>
                  <pic:spPr>
                    <a:xfrm>
                      <a:off x="0" y="0"/>
                      <a:ext cx="332231" cy="106679"/>
                    </a:xfrm>
                    <a:prstGeom prst="rect">
                      <a:avLst/>
                    </a:prstGeom>
                  </pic:spPr>
                </pic:pic>
              </a:graphicData>
            </a:graphic>
          </wp:anchor>
        </w:drawing>
      </w:r>
      <w:r>
        <w:t>Specifically,</w:t>
      </w:r>
      <w:r>
        <w:rPr>
          <w:spacing w:val="-14"/>
        </w:rPr>
        <w:t xml:space="preserve"> </w:t>
      </w:r>
      <w:r>
        <w:t>MOFCOM</w:t>
      </w:r>
      <w:r>
        <w:rPr>
          <w:spacing w:val="-14"/>
        </w:rPr>
        <w:t xml:space="preserve"> </w:t>
      </w:r>
      <w:r>
        <w:t>failed</w:t>
      </w:r>
      <w:r>
        <w:rPr>
          <w:spacing w:val="-13"/>
        </w:rPr>
        <w:t xml:space="preserve"> </w:t>
      </w:r>
      <w:r>
        <w:t>to</w:t>
      </w:r>
      <w:r>
        <w:rPr>
          <w:spacing w:val="-14"/>
        </w:rPr>
        <w:t xml:space="preserve"> </w:t>
      </w:r>
      <w:r>
        <w:t>provide</w:t>
      </w:r>
      <w:r>
        <w:rPr>
          <w:spacing w:val="-13"/>
        </w:rPr>
        <w:t xml:space="preserve"> </w:t>
      </w:r>
      <w:r>
        <w:t>all</w:t>
      </w:r>
      <w:r>
        <w:rPr>
          <w:spacing w:val="-14"/>
        </w:rPr>
        <w:t xml:space="preserve"> </w:t>
      </w:r>
      <w:r>
        <w:t>relevant</w:t>
      </w:r>
      <w:r>
        <w:rPr>
          <w:spacing w:val="-13"/>
        </w:rPr>
        <w:t xml:space="preserve"> </w:t>
      </w:r>
      <w:r>
        <w:t>information</w:t>
      </w:r>
      <w:r>
        <w:rPr>
          <w:spacing w:val="-14"/>
        </w:rPr>
        <w:t xml:space="preserve"> </w:t>
      </w:r>
      <w:r>
        <w:t>on</w:t>
      </w:r>
      <w:r>
        <w:rPr>
          <w:spacing w:val="-14"/>
        </w:rPr>
        <w:t xml:space="preserve"> </w:t>
      </w:r>
      <w:r>
        <w:t>the</w:t>
      </w:r>
      <w:r>
        <w:rPr>
          <w:spacing w:val="-13"/>
        </w:rPr>
        <w:t xml:space="preserve"> </w:t>
      </w:r>
      <w:r>
        <w:t>matters</w:t>
      </w:r>
      <w:r>
        <w:rPr>
          <w:spacing w:val="-14"/>
        </w:rPr>
        <w:t xml:space="preserve"> </w:t>
      </w:r>
      <w:r>
        <w:t>of</w:t>
      </w:r>
      <w:r>
        <w:rPr>
          <w:spacing w:val="-13"/>
        </w:rPr>
        <w:t xml:space="preserve"> </w:t>
      </w:r>
      <w:r>
        <w:t>fact and law and reasons for its decision</w:t>
      </w:r>
      <w:r>
        <w:t xml:space="preserve"> to resort to "facts available" in relation to the three sampled companies. This included providing all relevant information regarding the "facts available" that MOFCOM used to replace the allegedly missing or deficient information from the</w:t>
      </w:r>
      <w:r>
        <w:rPr>
          <w:spacing w:val="-2"/>
        </w:rPr>
        <w:t xml:space="preserve"> </w:t>
      </w:r>
      <w:r>
        <w:t>sampled</w:t>
      </w:r>
      <w:r>
        <w:rPr>
          <w:spacing w:val="-4"/>
        </w:rPr>
        <w:t xml:space="preserve"> </w:t>
      </w:r>
      <w:r>
        <w:t>compani</w:t>
      </w:r>
      <w:r>
        <w:t>es,</w:t>
      </w:r>
      <w:r>
        <w:rPr>
          <w:spacing w:val="-3"/>
        </w:rPr>
        <w:t xml:space="preserve"> </w:t>
      </w:r>
      <w:r>
        <w:t>and</w:t>
      </w:r>
      <w:r>
        <w:rPr>
          <w:spacing w:val="-3"/>
        </w:rPr>
        <w:t xml:space="preserve"> </w:t>
      </w:r>
      <w:r>
        <w:t>the</w:t>
      </w:r>
      <w:r>
        <w:rPr>
          <w:spacing w:val="-2"/>
        </w:rPr>
        <w:t xml:space="preserve"> </w:t>
      </w:r>
      <w:r>
        <w:t>basis</w:t>
      </w:r>
      <w:r>
        <w:rPr>
          <w:spacing w:val="-3"/>
        </w:rPr>
        <w:t xml:space="preserve"> </w:t>
      </w:r>
      <w:r>
        <w:t>for</w:t>
      </w:r>
      <w:r>
        <w:rPr>
          <w:spacing w:val="-2"/>
        </w:rPr>
        <w:t xml:space="preserve"> </w:t>
      </w:r>
      <w:r>
        <w:t>its</w:t>
      </w:r>
      <w:r>
        <w:rPr>
          <w:spacing w:val="-3"/>
        </w:rPr>
        <w:t xml:space="preserve"> </w:t>
      </w:r>
      <w:r>
        <w:t>selection</w:t>
      </w:r>
      <w:r>
        <w:rPr>
          <w:spacing w:val="-2"/>
        </w:rPr>
        <w:t xml:space="preserve"> </w:t>
      </w:r>
      <w:r>
        <w:t>of</w:t>
      </w:r>
      <w:r>
        <w:rPr>
          <w:spacing w:val="-3"/>
        </w:rPr>
        <w:t xml:space="preserve"> </w:t>
      </w:r>
      <w:r>
        <w:t>those</w:t>
      </w:r>
      <w:r>
        <w:rPr>
          <w:spacing w:val="-3"/>
        </w:rPr>
        <w:t xml:space="preserve"> </w:t>
      </w:r>
      <w:r>
        <w:t>facts</w:t>
      </w:r>
      <w:r>
        <w:rPr>
          <w:spacing w:val="-3"/>
        </w:rPr>
        <w:t xml:space="preserve"> </w:t>
      </w:r>
      <w:r>
        <w:t>as</w:t>
      </w:r>
      <w:r>
        <w:rPr>
          <w:spacing w:val="-3"/>
        </w:rPr>
        <w:t xml:space="preserve"> </w:t>
      </w:r>
      <w:r>
        <w:t>the</w:t>
      </w:r>
      <w:r>
        <w:rPr>
          <w:spacing w:val="-2"/>
        </w:rPr>
        <w:t xml:space="preserve"> </w:t>
      </w:r>
      <w:r>
        <w:t>"best</w:t>
      </w:r>
      <w:r>
        <w:rPr>
          <w:spacing w:val="-3"/>
        </w:rPr>
        <w:t xml:space="preserve"> </w:t>
      </w:r>
      <w:r>
        <w:t xml:space="preserve">information </w:t>
      </w:r>
      <w:r>
        <w:rPr>
          <w:spacing w:val="-2"/>
        </w:rPr>
        <w:t>available".</w:t>
      </w:r>
    </w:p>
    <w:p w14:paraId="51DE9C18" w14:textId="77777777" w:rsidR="0010369C" w:rsidRDefault="0010369C">
      <w:pPr>
        <w:pStyle w:val="BodyText"/>
        <w:spacing w:before="9"/>
        <w:rPr>
          <w:sz w:val="8"/>
        </w:rPr>
      </w:pPr>
    </w:p>
    <w:p w14:paraId="51DE9C19" w14:textId="77777777" w:rsidR="0010369C" w:rsidRDefault="008E43AE">
      <w:pPr>
        <w:pStyle w:val="BodyText"/>
        <w:spacing w:before="52" w:line="360" w:lineRule="auto"/>
        <w:ind w:left="238" w:right="613" w:firstLine="851"/>
        <w:jc w:val="both"/>
      </w:pPr>
      <w:r>
        <w:rPr>
          <w:noProof/>
        </w:rPr>
        <w:drawing>
          <wp:anchor distT="0" distB="0" distL="0" distR="0" simplePos="0" relativeHeight="251656704" behindDoc="1" locked="0" layoutInCell="1" allowOverlap="1" wp14:anchorId="51DEA956" wp14:editId="51DEA957">
            <wp:simplePos x="0" y="0"/>
            <wp:positionH relativeFrom="page">
              <wp:posOffset>908303</wp:posOffset>
            </wp:positionH>
            <wp:positionV relativeFrom="paragraph">
              <wp:posOffset>80595</wp:posOffset>
            </wp:positionV>
            <wp:extent cx="332231" cy="103632"/>
            <wp:effectExtent l="0" t="0" r="0" b="0"/>
            <wp:wrapNone/>
            <wp:docPr id="2135" name="image10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 name="image1095.png"/>
                    <pic:cNvPicPr/>
                  </pic:nvPicPr>
                  <pic:blipFill>
                    <a:blip r:embed="rId1400" cstate="print"/>
                    <a:stretch>
                      <a:fillRect/>
                    </a:stretch>
                  </pic:blipFill>
                  <pic:spPr>
                    <a:xfrm>
                      <a:off x="0" y="0"/>
                      <a:ext cx="332231" cy="103632"/>
                    </a:xfrm>
                    <a:prstGeom prst="rect">
                      <a:avLst/>
                    </a:prstGeom>
                  </pic:spPr>
                </pic:pic>
              </a:graphicData>
            </a:graphic>
          </wp:anchor>
        </w:drawing>
      </w:r>
      <w:r>
        <w:t>With</w:t>
      </w:r>
      <w:r>
        <w:rPr>
          <w:spacing w:val="-11"/>
        </w:rPr>
        <w:t xml:space="preserve"> </w:t>
      </w:r>
      <w:r>
        <w:t>respect</w:t>
      </w:r>
      <w:r>
        <w:rPr>
          <w:spacing w:val="-12"/>
        </w:rPr>
        <w:t xml:space="preserve"> </w:t>
      </w:r>
      <w:r>
        <w:t>to</w:t>
      </w:r>
      <w:r>
        <w:rPr>
          <w:spacing w:val="-10"/>
        </w:rPr>
        <w:t xml:space="preserve"> </w:t>
      </w:r>
      <w:r>
        <w:t>Treasury</w:t>
      </w:r>
      <w:r>
        <w:rPr>
          <w:spacing w:val="-10"/>
        </w:rPr>
        <w:t xml:space="preserve"> </w:t>
      </w:r>
      <w:r>
        <w:t>Wines,</w:t>
      </w:r>
      <w:r>
        <w:rPr>
          <w:spacing w:val="-11"/>
        </w:rPr>
        <w:t xml:space="preserve"> </w:t>
      </w:r>
      <w:r>
        <w:t>MOFCOM</w:t>
      </w:r>
      <w:r>
        <w:rPr>
          <w:spacing w:val="-10"/>
        </w:rPr>
        <w:t xml:space="preserve"> </w:t>
      </w:r>
      <w:r>
        <w:t>relied</w:t>
      </w:r>
      <w:r>
        <w:rPr>
          <w:spacing w:val="-11"/>
        </w:rPr>
        <w:t xml:space="preserve"> </w:t>
      </w:r>
      <w:r>
        <w:t>upon</w:t>
      </w:r>
      <w:r>
        <w:rPr>
          <w:spacing w:val="-11"/>
        </w:rPr>
        <w:t xml:space="preserve"> </w:t>
      </w:r>
      <w:r>
        <w:t>"facts</w:t>
      </w:r>
      <w:r>
        <w:rPr>
          <w:spacing w:val="-11"/>
        </w:rPr>
        <w:t xml:space="preserve"> </w:t>
      </w:r>
      <w:r>
        <w:t>available"</w:t>
      </w:r>
      <w:r>
        <w:rPr>
          <w:spacing w:val="-10"/>
        </w:rPr>
        <w:t xml:space="preserve"> </w:t>
      </w:r>
      <w:r>
        <w:t>to</w:t>
      </w:r>
      <w:r>
        <w:rPr>
          <w:spacing w:val="-10"/>
        </w:rPr>
        <w:t xml:space="preserve"> </w:t>
      </w:r>
      <w:r>
        <w:t>determine costs and expenses when calculating constructed normal value. In the Final Determination, MOFCOM</w:t>
      </w:r>
      <w:r>
        <w:rPr>
          <w:spacing w:val="-6"/>
        </w:rPr>
        <w:t xml:space="preserve"> </w:t>
      </w:r>
      <w:r>
        <w:t>indicated</w:t>
      </w:r>
      <w:r>
        <w:rPr>
          <w:spacing w:val="-5"/>
        </w:rPr>
        <w:t xml:space="preserve"> </w:t>
      </w:r>
      <w:r>
        <w:t>that</w:t>
      </w:r>
      <w:r>
        <w:rPr>
          <w:spacing w:val="-9"/>
        </w:rPr>
        <w:t xml:space="preserve"> </w:t>
      </w:r>
      <w:r>
        <w:t>it</w:t>
      </w:r>
      <w:r>
        <w:rPr>
          <w:spacing w:val="-6"/>
        </w:rPr>
        <w:t xml:space="preserve"> </w:t>
      </w:r>
      <w:r>
        <w:t>used</w:t>
      </w:r>
      <w:r>
        <w:rPr>
          <w:spacing w:val="-6"/>
        </w:rPr>
        <w:t xml:space="preserve"> </w:t>
      </w:r>
      <w:r>
        <w:t>"the</w:t>
      </w:r>
      <w:r>
        <w:rPr>
          <w:spacing w:val="-7"/>
        </w:rPr>
        <w:t xml:space="preserve"> </w:t>
      </w:r>
      <w:r>
        <w:t>data</w:t>
      </w:r>
      <w:r>
        <w:rPr>
          <w:spacing w:val="-6"/>
        </w:rPr>
        <w:t xml:space="preserve"> </w:t>
      </w:r>
      <w:r>
        <w:t>of</w:t>
      </w:r>
      <w:r>
        <w:rPr>
          <w:spacing w:val="-6"/>
        </w:rPr>
        <w:t xml:space="preserve"> </w:t>
      </w:r>
      <w:r>
        <w:t>some</w:t>
      </w:r>
      <w:r>
        <w:rPr>
          <w:spacing w:val="-6"/>
        </w:rPr>
        <w:t xml:space="preserve"> </w:t>
      </w:r>
      <w:r>
        <w:t>product</w:t>
      </w:r>
      <w:r>
        <w:rPr>
          <w:spacing w:val="-6"/>
        </w:rPr>
        <w:t xml:space="preserve"> </w:t>
      </w:r>
      <w:r>
        <w:t>types</w:t>
      </w:r>
      <w:r>
        <w:rPr>
          <w:spacing w:val="-7"/>
        </w:rPr>
        <w:t xml:space="preserve"> </w:t>
      </w:r>
      <w:r>
        <w:t>reported</w:t>
      </w:r>
      <w:r>
        <w:rPr>
          <w:spacing w:val="-6"/>
        </w:rPr>
        <w:t xml:space="preserve"> </w:t>
      </w:r>
      <w:r>
        <w:t>by</w:t>
      </w:r>
      <w:r>
        <w:rPr>
          <w:spacing w:val="-6"/>
        </w:rPr>
        <w:t xml:space="preserve"> </w:t>
      </w:r>
      <w:r>
        <w:t>the</w:t>
      </w:r>
      <w:r>
        <w:rPr>
          <w:spacing w:val="-7"/>
        </w:rPr>
        <w:t xml:space="preserve"> </w:t>
      </w:r>
      <w:r>
        <w:t>Company</w:t>
      </w:r>
      <w:r>
        <w:rPr>
          <w:spacing w:val="-5"/>
        </w:rPr>
        <w:t xml:space="preserve"> </w:t>
      </w:r>
      <w:r>
        <w:t>to determine</w:t>
      </w:r>
      <w:r>
        <w:rPr>
          <w:spacing w:val="25"/>
        </w:rPr>
        <w:t xml:space="preserve"> </w:t>
      </w:r>
      <w:r>
        <w:t>the</w:t>
      </w:r>
      <w:r>
        <w:rPr>
          <w:spacing w:val="25"/>
        </w:rPr>
        <w:t xml:space="preserve"> </w:t>
      </w:r>
      <w:r>
        <w:t>production</w:t>
      </w:r>
      <w:r>
        <w:rPr>
          <w:spacing w:val="25"/>
        </w:rPr>
        <w:t xml:space="preserve"> </w:t>
      </w:r>
      <w:r>
        <w:t>costs</w:t>
      </w:r>
      <w:r>
        <w:rPr>
          <w:spacing w:val="24"/>
        </w:rPr>
        <w:t xml:space="preserve"> </w:t>
      </w:r>
      <w:r>
        <w:t>and</w:t>
      </w:r>
      <w:r>
        <w:rPr>
          <w:spacing w:val="24"/>
        </w:rPr>
        <w:t xml:space="preserve"> </w:t>
      </w:r>
      <w:r>
        <w:t>expenses</w:t>
      </w:r>
      <w:r>
        <w:rPr>
          <w:spacing w:val="22"/>
        </w:rPr>
        <w:t xml:space="preserve"> </w:t>
      </w:r>
      <w:r>
        <w:t>of</w:t>
      </w:r>
      <w:r>
        <w:rPr>
          <w:spacing w:val="24"/>
        </w:rPr>
        <w:t xml:space="preserve"> </w:t>
      </w:r>
      <w:r>
        <w:t>the</w:t>
      </w:r>
      <w:r>
        <w:rPr>
          <w:spacing w:val="25"/>
        </w:rPr>
        <w:t xml:space="preserve"> </w:t>
      </w:r>
      <w:r>
        <w:t>product</w:t>
      </w:r>
      <w:r>
        <w:rPr>
          <w:spacing w:val="25"/>
        </w:rPr>
        <w:t xml:space="preserve"> </w:t>
      </w:r>
      <w:r>
        <w:t>under</w:t>
      </w:r>
      <w:r>
        <w:rPr>
          <w:spacing w:val="25"/>
        </w:rPr>
        <w:t xml:space="preserve"> </w:t>
      </w:r>
      <w:r>
        <w:t>in</w:t>
      </w:r>
      <w:r>
        <w:t>vestigation</w:t>
      </w:r>
      <w:r>
        <w:rPr>
          <w:spacing w:val="24"/>
        </w:rPr>
        <w:t xml:space="preserve"> </w:t>
      </w:r>
      <w:r>
        <w:t>and</w:t>
      </w:r>
      <w:r>
        <w:rPr>
          <w:spacing w:val="24"/>
        </w:rPr>
        <w:t xml:space="preserve"> </w:t>
      </w:r>
      <w:r>
        <w:rPr>
          <w:spacing w:val="-4"/>
        </w:rPr>
        <w:t>like</w:t>
      </w:r>
    </w:p>
    <w:p w14:paraId="51DE9C1A" w14:textId="77777777" w:rsidR="0010369C" w:rsidRDefault="0010369C">
      <w:pPr>
        <w:spacing w:line="360" w:lineRule="auto"/>
        <w:jc w:val="both"/>
        <w:sectPr w:rsidR="0010369C">
          <w:pgSz w:w="11910" w:h="16840"/>
          <w:pgMar w:top="880" w:right="800" w:bottom="980" w:left="1180" w:header="569" w:footer="788" w:gutter="0"/>
          <w:cols w:space="720"/>
        </w:sectPr>
      </w:pPr>
    </w:p>
    <w:p w14:paraId="51DE9C1B" w14:textId="77777777" w:rsidR="0010369C" w:rsidRDefault="008E43AE">
      <w:pPr>
        <w:tabs>
          <w:tab w:val="left" w:pos="6425"/>
        </w:tabs>
        <w:ind w:left="238"/>
        <w:jc w:val="both"/>
        <w:rPr>
          <w:sz w:val="20"/>
        </w:rPr>
      </w:pPr>
      <w:r>
        <w:rPr>
          <w:i/>
          <w:sz w:val="20"/>
        </w:rPr>
        <w:lastRenderedPageBreak/>
        <w:t>China</w:t>
      </w:r>
      <w:r>
        <w:rPr>
          <w:i/>
          <w:spacing w:val="-5"/>
          <w:sz w:val="20"/>
        </w:rPr>
        <w:t xml:space="preserve"> </w:t>
      </w:r>
      <w:r>
        <w:rPr>
          <w:i/>
          <w:sz w:val="20"/>
        </w:rPr>
        <w:t>–</w:t>
      </w:r>
      <w:r>
        <w:rPr>
          <w:i/>
          <w:spacing w:val="-5"/>
          <w:sz w:val="20"/>
        </w:rPr>
        <w:t xml:space="preserve"> </w:t>
      </w:r>
      <w:r>
        <w:rPr>
          <w:i/>
          <w:sz w:val="20"/>
        </w:rPr>
        <w:t>Anti‐Dumping</w:t>
      </w:r>
      <w:r>
        <w:rPr>
          <w:i/>
          <w:spacing w:val="-4"/>
          <w:sz w:val="20"/>
        </w:rPr>
        <w:t xml:space="preserve"> </w:t>
      </w:r>
      <w:r>
        <w:rPr>
          <w:i/>
          <w:sz w:val="20"/>
        </w:rPr>
        <w:t>and</w:t>
      </w:r>
      <w:r>
        <w:rPr>
          <w:i/>
          <w:spacing w:val="-5"/>
          <w:sz w:val="20"/>
        </w:rPr>
        <w:t xml:space="preserve"> </w:t>
      </w:r>
      <w:r>
        <w:rPr>
          <w:i/>
          <w:sz w:val="20"/>
        </w:rPr>
        <w:t>Countervailing</w:t>
      </w:r>
      <w:r>
        <w:rPr>
          <w:i/>
          <w:spacing w:val="-5"/>
          <w:sz w:val="20"/>
        </w:rPr>
        <w:t xml:space="preserve"> </w:t>
      </w:r>
      <w:r>
        <w:rPr>
          <w:i/>
          <w:sz w:val="20"/>
        </w:rPr>
        <w:t>Duty</w:t>
      </w:r>
      <w:r>
        <w:rPr>
          <w:i/>
          <w:spacing w:val="-4"/>
          <w:sz w:val="20"/>
        </w:rPr>
        <w:t xml:space="preserve"> </w:t>
      </w:r>
      <w:r>
        <w:rPr>
          <w:i/>
          <w:spacing w:val="-2"/>
          <w:sz w:val="20"/>
        </w:rPr>
        <w:t>Measures</w:t>
      </w:r>
      <w:r>
        <w:rPr>
          <w:i/>
          <w:sz w:val="20"/>
        </w:rPr>
        <w:tab/>
      </w:r>
      <w:r>
        <w:rPr>
          <w:sz w:val="20"/>
        </w:rPr>
        <w:t>Australia's</w:t>
      </w:r>
      <w:r>
        <w:rPr>
          <w:spacing w:val="-7"/>
          <w:sz w:val="20"/>
        </w:rPr>
        <w:t xml:space="preserve"> </w:t>
      </w:r>
      <w:r>
        <w:rPr>
          <w:sz w:val="20"/>
        </w:rPr>
        <w:t>First</w:t>
      </w:r>
      <w:r>
        <w:rPr>
          <w:spacing w:val="-2"/>
          <w:sz w:val="20"/>
        </w:rPr>
        <w:t xml:space="preserve"> </w:t>
      </w:r>
      <w:r>
        <w:rPr>
          <w:sz w:val="20"/>
        </w:rPr>
        <w:t>Written</w:t>
      </w:r>
      <w:r>
        <w:rPr>
          <w:spacing w:val="-2"/>
          <w:sz w:val="20"/>
        </w:rPr>
        <w:t xml:space="preserve"> Submission</w:t>
      </w:r>
    </w:p>
    <w:p w14:paraId="51DE9C1C" w14:textId="77777777" w:rsidR="0010369C" w:rsidRDefault="008E43AE">
      <w:pPr>
        <w:tabs>
          <w:tab w:val="left" w:pos="8227"/>
        </w:tabs>
        <w:spacing w:before="1"/>
        <w:ind w:left="239"/>
        <w:jc w:val="both"/>
        <w:rPr>
          <w:sz w:val="20"/>
        </w:rPr>
      </w:pPr>
      <w:r>
        <w:rPr>
          <w:i/>
          <w:sz w:val="20"/>
        </w:rPr>
        <w:t>on</w:t>
      </w:r>
      <w:r>
        <w:rPr>
          <w:i/>
          <w:spacing w:val="-1"/>
          <w:sz w:val="20"/>
        </w:rPr>
        <w:t xml:space="preserve"> </w:t>
      </w:r>
      <w:r>
        <w:rPr>
          <w:i/>
          <w:sz w:val="20"/>
        </w:rPr>
        <w:t>Wine</w:t>
      </w:r>
      <w:r>
        <w:rPr>
          <w:i/>
          <w:spacing w:val="-1"/>
          <w:sz w:val="20"/>
        </w:rPr>
        <w:t xml:space="preserve"> </w:t>
      </w:r>
      <w:r>
        <w:rPr>
          <w:i/>
          <w:sz w:val="20"/>
        </w:rPr>
        <w:t>from</w:t>
      </w:r>
      <w:r>
        <w:rPr>
          <w:i/>
          <w:spacing w:val="-3"/>
          <w:sz w:val="20"/>
        </w:rPr>
        <w:t xml:space="preserve"> </w:t>
      </w:r>
      <w:r>
        <w:rPr>
          <w:i/>
          <w:sz w:val="20"/>
        </w:rPr>
        <w:t>Australia</w:t>
      </w:r>
      <w:r>
        <w:rPr>
          <w:i/>
          <w:spacing w:val="-1"/>
          <w:sz w:val="20"/>
        </w:rPr>
        <w:t xml:space="preserve"> </w:t>
      </w:r>
      <w:r>
        <w:rPr>
          <w:spacing w:val="-2"/>
          <w:sz w:val="20"/>
        </w:rPr>
        <w:t>(DS602)</w:t>
      </w:r>
      <w:r>
        <w:rPr>
          <w:sz w:val="20"/>
        </w:rPr>
        <w:tab/>
        <w:t>29</w:t>
      </w:r>
      <w:r>
        <w:rPr>
          <w:spacing w:val="-1"/>
          <w:sz w:val="20"/>
        </w:rPr>
        <w:t xml:space="preserve"> </w:t>
      </w:r>
      <w:r>
        <w:rPr>
          <w:sz w:val="20"/>
        </w:rPr>
        <w:t>April</w:t>
      </w:r>
      <w:r>
        <w:rPr>
          <w:spacing w:val="-2"/>
          <w:sz w:val="20"/>
        </w:rPr>
        <w:t xml:space="preserve"> </w:t>
      </w:r>
      <w:r>
        <w:rPr>
          <w:spacing w:val="-4"/>
          <w:sz w:val="20"/>
        </w:rPr>
        <w:t>2022</w:t>
      </w:r>
    </w:p>
    <w:p w14:paraId="51DE9C1D" w14:textId="77777777" w:rsidR="0010369C" w:rsidRDefault="008E43AE">
      <w:pPr>
        <w:pStyle w:val="BodyText"/>
        <w:spacing w:before="34" w:line="360" w:lineRule="auto"/>
        <w:ind w:left="238" w:right="612" w:hanging="1"/>
        <w:jc w:val="both"/>
      </w:pPr>
      <w:r>
        <w:pict w14:anchorId="51DEA958">
          <v:group id="docshapegroup1462" o:spid="_x0000_s1055" style="position:absolute;left:0;text-align:left;margin-left:69.9pt;margin-top:90.05pt;width:453.6pt;height:36pt;z-index:-250666496;mso-wrap-distance-left:0;mso-wrap-distance-right:0;mso-position-horizontal-relative:page" coordorigin="1398,1801" coordsize="9072,720">
            <v:shape id="docshape1463" o:spid="_x0000_s1057" style="position:absolute;left:1398;top:1801;width:9072;height:672" coordorigin="1398,1801" coordsize="9072,672" o:spt="100" adj="0,,0" path="m3058,2161r-1660,l1398,2473r1660,l3058,2161xm10470,1801r-9072,l1398,2113r9072,l10470,1801xe" fillcolor="black" stroked="f">
              <v:stroke joinstyle="round"/>
              <v:formulas/>
              <v:path arrowok="t" o:connecttype="segments"/>
            </v:shape>
            <v:shape id="docshape1464" o:spid="_x0000_s1056" type="#_x0000_t202" style="position:absolute;left:3076;top:2280;width:167;height:240" filled="f" stroked="f">
              <v:textbox inset="0,0,0,0">
                <w:txbxContent>
                  <w:p w14:paraId="51DEACA6" w14:textId="77777777" w:rsidR="0010369C" w:rsidRDefault="008E43AE">
                    <w:pPr>
                      <w:spacing w:line="240" w:lineRule="exact"/>
                      <w:rPr>
                        <w:sz w:val="24"/>
                      </w:rPr>
                    </w:pPr>
                    <w:r>
                      <w:rPr>
                        <w:spacing w:val="-5"/>
                        <w:sz w:val="24"/>
                      </w:rPr>
                      <w:t>]]</w:t>
                    </w:r>
                  </w:p>
                </w:txbxContent>
              </v:textbox>
            </v:shape>
            <w10:wrap type="topAndBottom" anchorx="page"/>
          </v:group>
        </w:pict>
      </w:r>
      <w:r>
        <w:pict w14:anchorId="51DEA959">
          <v:rect id="docshape1465" o:spid="_x0000_s1054" style="position:absolute;left:0;text-align:left;margin-left:229.8pt;margin-top:68.1pt;width:293.75pt;height:15.6pt;z-index:-251272704;mso-position-horizontal-relative:page" fillcolor="black" stroked="f">
            <w10:wrap anchorx="page"/>
          </v:rect>
        </w:pict>
      </w:r>
      <w:r>
        <w:t>products".</w:t>
      </w:r>
      <w:r>
        <w:rPr>
          <w:vertAlign w:val="superscript"/>
        </w:rPr>
        <w:t>1249</w:t>
      </w:r>
      <w:r>
        <w:t xml:space="preserve"> As detailed above,</w:t>
      </w:r>
      <w:r>
        <w:rPr>
          <w:vertAlign w:val="superscript"/>
        </w:rPr>
        <w:t>1250</w:t>
      </w:r>
      <w:r>
        <w:t xml:space="preserve"> MOFCOM's methodology for calculating constructed normal value for Treasury Wines was to use a single purportedly representative Model PCN for</w:t>
      </w:r>
      <w:r>
        <w:rPr>
          <w:spacing w:val="-5"/>
        </w:rPr>
        <w:t xml:space="preserve"> </w:t>
      </w:r>
      <w:r>
        <w:t>some</w:t>
      </w:r>
      <w:r>
        <w:rPr>
          <w:spacing w:val="-4"/>
        </w:rPr>
        <w:t xml:space="preserve"> </w:t>
      </w:r>
      <w:r>
        <w:t>Treasury</w:t>
      </w:r>
      <w:r>
        <w:rPr>
          <w:spacing w:val="-4"/>
        </w:rPr>
        <w:t xml:space="preserve"> </w:t>
      </w:r>
      <w:r>
        <w:t>Wines</w:t>
      </w:r>
      <w:r>
        <w:rPr>
          <w:spacing w:val="-6"/>
        </w:rPr>
        <w:t xml:space="preserve"> </w:t>
      </w:r>
      <w:r>
        <w:t>PCNs,</w:t>
      </w:r>
      <w:r>
        <w:rPr>
          <w:spacing w:val="-6"/>
        </w:rPr>
        <w:t xml:space="preserve"> </w:t>
      </w:r>
      <w:r>
        <w:t>irrespective</w:t>
      </w:r>
      <w:r>
        <w:rPr>
          <w:spacing w:val="-3"/>
        </w:rPr>
        <w:t xml:space="preserve"> </w:t>
      </w:r>
      <w:r>
        <w:t>of</w:t>
      </w:r>
      <w:r>
        <w:rPr>
          <w:spacing w:val="-5"/>
        </w:rPr>
        <w:t xml:space="preserve"> </w:t>
      </w:r>
      <w:r>
        <w:t>the</w:t>
      </w:r>
      <w:r>
        <w:rPr>
          <w:spacing w:val="-5"/>
        </w:rPr>
        <w:t xml:space="preserve"> </w:t>
      </w:r>
      <w:r>
        <w:t>actual</w:t>
      </w:r>
      <w:r>
        <w:rPr>
          <w:spacing w:val="-5"/>
        </w:rPr>
        <w:t xml:space="preserve"> </w:t>
      </w:r>
      <w:r>
        <w:t>costs</w:t>
      </w:r>
      <w:r>
        <w:rPr>
          <w:spacing w:val="-5"/>
        </w:rPr>
        <w:t xml:space="preserve"> </w:t>
      </w:r>
      <w:r>
        <w:t>for</w:t>
      </w:r>
      <w:r>
        <w:rPr>
          <w:spacing w:val="-5"/>
        </w:rPr>
        <w:t xml:space="preserve"> </w:t>
      </w:r>
      <w:r>
        <w:t>these</w:t>
      </w:r>
      <w:r>
        <w:rPr>
          <w:spacing w:val="-5"/>
        </w:rPr>
        <w:t xml:space="preserve"> </w:t>
      </w:r>
      <w:r>
        <w:t>PCNs</w:t>
      </w:r>
      <w:r>
        <w:rPr>
          <w:spacing w:val="-6"/>
        </w:rPr>
        <w:t xml:space="preserve"> </w:t>
      </w:r>
      <w:r>
        <w:t>reported</w:t>
      </w:r>
      <w:r>
        <w:rPr>
          <w:spacing w:val="-5"/>
        </w:rPr>
        <w:t xml:space="preserve"> </w:t>
      </w:r>
      <w:r>
        <w:t>in</w:t>
      </w:r>
      <w:r>
        <w:rPr>
          <w:spacing w:val="-5"/>
        </w:rPr>
        <w:t xml:space="preserve"> </w:t>
      </w:r>
      <w:r>
        <w:t>the Anti‐Dumping</w:t>
      </w:r>
      <w:r>
        <w:rPr>
          <w:spacing w:val="40"/>
        </w:rPr>
        <w:t xml:space="preserve"> </w:t>
      </w:r>
      <w:r>
        <w:t>Questionnaire.</w:t>
      </w:r>
      <w:r>
        <w:rPr>
          <w:spacing w:val="40"/>
        </w:rPr>
        <w:t xml:space="preserve"> </w:t>
      </w:r>
      <w:r>
        <w:t>[[</w:t>
      </w:r>
    </w:p>
    <w:p w14:paraId="51DE9C1E" w14:textId="77777777" w:rsidR="0010369C" w:rsidRDefault="0010369C">
      <w:pPr>
        <w:pStyle w:val="BodyText"/>
        <w:spacing w:before="3"/>
        <w:rPr>
          <w:sz w:val="20"/>
        </w:rPr>
      </w:pPr>
    </w:p>
    <w:p w14:paraId="51DE9C1F" w14:textId="77777777" w:rsidR="0010369C" w:rsidRDefault="008E43AE">
      <w:pPr>
        <w:pStyle w:val="BodyText"/>
        <w:spacing w:before="52" w:line="360" w:lineRule="auto"/>
        <w:ind w:left="238" w:right="460" w:firstLine="850"/>
      </w:pPr>
      <w:r>
        <w:pict w14:anchorId="51DEA95A">
          <v:rect id="docshape1466" o:spid="_x0000_s1053" style="position:absolute;left:0;text-align:left;margin-left:69.9pt;margin-top:156.85pt;width:458.9pt;height:15.6pt;z-index:-250665472;mso-wrap-distance-left:0;mso-wrap-distance-right:0;mso-position-horizontal-relative:page" fillcolor="black" stroked="f">
            <w10:wrap type="topAndBottom" anchorx="page"/>
          </v:rect>
        </w:pict>
      </w:r>
      <w:r>
        <w:pict w14:anchorId="51DEA95B">
          <v:rect id="docshape1467" o:spid="_x0000_s1052" style="position:absolute;left:0;text-align:left;margin-left:69.9pt;margin-top:178.85pt;width:451.6pt;height:15.6pt;z-index:-250664448;mso-wrap-distance-left:0;mso-wrap-distance-right:0;mso-position-horizontal-relative:page" fillcolor="black" stroked="f">
            <w10:wrap type="topAndBottom" anchorx="page"/>
          </v:rect>
        </w:pict>
      </w:r>
      <w:r>
        <w:pict w14:anchorId="51DEA95C">
          <v:rect id="docshape1468" o:spid="_x0000_s1051" style="position:absolute;left:0;text-align:left;margin-left:69.9pt;margin-top:200.8pt;width:455.35pt;height:15.6pt;z-index:-250663424;mso-wrap-distance-left:0;mso-wrap-distance-right:0;mso-position-horizontal-relative:page" fillcolor="black" stroked="f">
            <w10:wrap type="topAndBottom" anchorx="page"/>
          </v:rect>
        </w:pict>
      </w:r>
      <w:r>
        <w:pict w14:anchorId="51DEA95D">
          <v:rect id="docshape1469" o:spid="_x0000_s1050" style="position:absolute;left:0;text-align:left;margin-left:69.9pt;margin-top:222.8pt;width:457.05pt;height:15.6pt;z-index:-250662400;mso-wrap-distance-left:0;mso-wrap-distance-right:0;mso-position-horizontal-relative:page" fillcolor="black" stroked="f">
            <w10:wrap type="topAndBottom" anchorx="page"/>
          </v:rect>
        </w:pict>
      </w:r>
      <w:r>
        <w:pict w14:anchorId="51DEA95E">
          <v:rect id="docshape1470" o:spid="_x0000_s1049" style="position:absolute;left:0;text-align:left;margin-left:69.9pt;margin-top:244.75pt;width:455.5pt;height:15.6pt;z-index:-250661376;mso-wrap-distance-left:0;mso-wrap-distance-right:0;mso-position-horizontal-relative:page" fillcolor="black" stroked="f">
            <w10:wrap type="topAndBottom" anchorx="page"/>
          </v:rect>
        </w:pict>
      </w:r>
      <w:r>
        <w:pict w14:anchorId="51DEA95F">
          <v:rect id="docshape1471" o:spid="_x0000_s1048" style="position:absolute;left:0;text-align:left;margin-left:69.9pt;margin-top:266.75pt;width:458.1pt;height:15.6pt;z-index:-250660352;mso-wrap-distance-left:0;mso-wrap-distance-right:0;mso-position-horizontal-relative:page" fillcolor="black" stroked="f">
            <w10:wrap type="topAndBottom" anchorx="page"/>
          </v:rect>
        </w:pict>
      </w:r>
      <w:r>
        <w:pict w14:anchorId="51DEA960">
          <v:rect id="docshape1472" o:spid="_x0000_s1047" style="position:absolute;left:0;text-align:left;margin-left:69.9pt;margin-top:288.75pt;width:455.7pt;height:15.6pt;z-index:-250659328;mso-wrap-distance-left:0;mso-wrap-distance-right:0;mso-position-horizontal-relative:page" fillcolor="black" stroked="f">
            <w10:wrap type="topAndBottom" anchorx="page"/>
          </v:rect>
        </w:pict>
      </w:r>
      <w:r>
        <w:rPr>
          <w:noProof/>
        </w:rPr>
        <w:drawing>
          <wp:anchor distT="0" distB="0" distL="0" distR="0" simplePos="0" relativeHeight="251657728" behindDoc="1" locked="0" layoutInCell="1" allowOverlap="1" wp14:anchorId="51DEA961" wp14:editId="51DEA962">
            <wp:simplePos x="0" y="0"/>
            <wp:positionH relativeFrom="page">
              <wp:posOffset>908303</wp:posOffset>
            </wp:positionH>
            <wp:positionV relativeFrom="paragraph">
              <wp:posOffset>82051</wp:posOffset>
            </wp:positionV>
            <wp:extent cx="332231" cy="106679"/>
            <wp:effectExtent l="0" t="0" r="0" b="0"/>
            <wp:wrapNone/>
            <wp:docPr id="2137" name="image10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 name="image1096.png"/>
                    <pic:cNvPicPr/>
                  </pic:nvPicPr>
                  <pic:blipFill>
                    <a:blip r:embed="rId1401" cstate="print"/>
                    <a:stretch>
                      <a:fillRect/>
                    </a:stretch>
                  </pic:blipFill>
                  <pic:spPr>
                    <a:xfrm>
                      <a:off x="0" y="0"/>
                      <a:ext cx="332231" cy="106679"/>
                    </a:xfrm>
                    <a:prstGeom prst="rect">
                      <a:avLst/>
                    </a:prstGeom>
                  </pic:spPr>
                </pic:pic>
              </a:graphicData>
            </a:graphic>
          </wp:anchor>
        </w:drawing>
      </w:r>
      <w:r>
        <w:pict w14:anchorId="51DEA963">
          <v:rect id="docshape1473" o:spid="_x0000_s1046" style="position:absolute;left:0;text-align:left;margin-left:156.35pt;margin-top:134.9pt;width:372.5pt;height:15.6pt;z-index:-251271680;mso-position-horizontal-relative:page;mso-position-vertical-relative:text" fillcolor="black" stroked="f">
            <w10:wrap anchorx="page"/>
          </v:rect>
        </w:pict>
      </w:r>
      <w:r>
        <w:pict w14:anchorId="51DEA964">
          <v:rect id="docshape1474" o:spid="_x0000_s1045" style="position:absolute;left:0;text-align:left;margin-left:69.9pt;margin-top:310.7pt;width:128pt;height:15.6pt;z-index:251875840;mso-position-horizontal-relative:page;mso-position-vertical-relative:text" fillcolor="black" stroked="f">
            <w10:wrap anchorx="page"/>
          </v:rect>
        </w:pict>
      </w:r>
      <w:r>
        <w:t>While</w:t>
      </w:r>
      <w:r>
        <w:rPr>
          <w:spacing w:val="80"/>
          <w:w w:val="150"/>
        </w:rPr>
        <w:t xml:space="preserve"> </w:t>
      </w:r>
      <w:r>
        <w:t>Australia</w:t>
      </w:r>
      <w:r>
        <w:rPr>
          <w:spacing w:val="80"/>
          <w:w w:val="150"/>
        </w:rPr>
        <w:t xml:space="preserve"> </w:t>
      </w:r>
      <w:r>
        <w:t>acknowledges</w:t>
      </w:r>
      <w:r>
        <w:rPr>
          <w:spacing w:val="80"/>
          <w:w w:val="150"/>
        </w:rPr>
        <w:t xml:space="preserve"> </w:t>
      </w:r>
      <w:r>
        <w:t>that</w:t>
      </w:r>
      <w:r>
        <w:rPr>
          <w:spacing w:val="80"/>
          <w:w w:val="150"/>
        </w:rPr>
        <w:t xml:space="preserve"> </w:t>
      </w:r>
      <w:r>
        <w:t>MOFCOM's</w:t>
      </w:r>
      <w:r>
        <w:rPr>
          <w:spacing w:val="80"/>
          <w:w w:val="150"/>
        </w:rPr>
        <w:t xml:space="preserve"> </w:t>
      </w:r>
      <w:r>
        <w:t>obligations</w:t>
      </w:r>
      <w:r>
        <w:rPr>
          <w:spacing w:val="80"/>
          <w:w w:val="150"/>
        </w:rPr>
        <w:t xml:space="preserve"> </w:t>
      </w:r>
      <w:r>
        <w:t>with</w:t>
      </w:r>
      <w:r>
        <w:rPr>
          <w:spacing w:val="80"/>
          <w:w w:val="150"/>
        </w:rPr>
        <w:t xml:space="preserve"> </w:t>
      </w:r>
      <w:r>
        <w:t>respect</w:t>
      </w:r>
      <w:r>
        <w:rPr>
          <w:spacing w:val="80"/>
          <w:w w:val="150"/>
        </w:rPr>
        <w:t xml:space="preserve"> </w:t>
      </w:r>
      <w:r>
        <w:t>to confidentiality</w:t>
      </w:r>
      <w:r>
        <w:rPr>
          <w:spacing w:val="40"/>
        </w:rPr>
        <w:t xml:space="preserve"> </w:t>
      </w:r>
      <w:r>
        <w:t>designations</w:t>
      </w:r>
      <w:r>
        <w:rPr>
          <w:spacing w:val="40"/>
        </w:rPr>
        <w:t xml:space="preserve"> </w:t>
      </w:r>
      <w:r>
        <w:t>in</w:t>
      </w:r>
      <w:r>
        <w:rPr>
          <w:spacing w:val="40"/>
        </w:rPr>
        <w:t xml:space="preserve"> </w:t>
      </w:r>
      <w:r>
        <w:t>its</w:t>
      </w:r>
      <w:r>
        <w:rPr>
          <w:spacing w:val="40"/>
        </w:rPr>
        <w:t xml:space="preserve"> </w:t>
      </w:r>
      <w:r>
        <w:t>public</w:t>
      </w:r>
      <w:r>
        <w:rPr>
          <w:spacing w:val="40"/>
        </w:rPr>
        <w:t xml:space="preserve"> </w:t>
      </w:r>
      <w:r>
        <w:t>notice</w:t>
      </w:r>
      <w:r>
        <w:rPr>
          <w:spacing w:val="40"/>
        </w:rPr>
        <w:t xml:space="preserve"> </w:t>
      </w:r>
      <w:r>
        <w:t>limited</w:t>
      </w:r>
      <w:r>
        <w:rPr>
          <w:spacing w:val="40"/>
        </w:rPr>
        <w:t xml:space="preserve"> </w:t>
      </w:r>
      <w:r>
        <w:t>its</w:t>
      </w:r>
      <w:r>
        <w:rPr>
          <w:spacing w:val="40"/>
        </w:rPr>
        <w:t xml:space="preserve"> </w:t>
      </w:r>
      <w:r>
        <w:t>capacity</w:t>
      </w:r>
      <w:r>
        <w:rPr>
          <w:spacing w:val="40"/>
        </w:rPr>
        <w:t xml:space="preserve"> </w:t>
      </w:r>
      <w:r>
        <w:t>to</w:t>
      </w:r>
      <w:r>
        <w:rPr>
          <w:spacing w:val="40"/>
        </w:rPr>
        <w:t xml:space="preserve"> </w:t>
      </w:r>
      <w:r>
        <w:t>disclose</w:t>
      </w:r>
      <w:r>
        <w:rPr>
          <w:spacing w:val="40"/>
        </w:rPr>
        <w:t xml:space="preserve"> </w:t>
      </w:r>
      <w:r>
        <w:t>details</w:t>
      </w:r>
      <w:r>
        <w:rPr>
          <w:spacing w:val="40"/>
        </w:rPr>
        <w:t xml:space="preserve"> </w:t>
      </w:r>
      <w:r>
        <w:t>of Treasury Wines' product types, MOFCOM's explanation of how it proposed to use Treasury Wines' PCNs was lacking. Specifically, MOFCOM did not explain: (i) the basis for using a single Model</w:t>
      </w:r>
      <w:r>
        <w:rPr>
          <w:spacing w:val="40"/>
        </w:rPr>
        <w:t xml:space="preserve"> </w:t>
      </w:r>
      <w:r>
        <w:t>PCN,</w:t>
      </w:r>
      <w:r>
        <w:rPr>
          <w:spacing w:val="39"/>
        </w:rPr>
        <w:t xml:space="preserve"> </w:t>
      </w:r>
      <w:r>
        <w:t>(ii)</w:t>
      </w:r>
      <w:r>
        <w:rPr>
          <w:spacing w:val="40"/>
        </w:rPr>
        <w:t xml:space="preserve"> </w:t>
      </w:r>
      <w:r>
        <w:t>the</w:t>
      </w:r>
      <w:r>
        <w:rPr>
          <w:spacing w:val="39"/>
        </w:rPr>
        <w:t xml:space="preserve"> </w:t>
      </w:r>
      <w:r>
        <w:t>basis</w:t>
      </w:r>
      <w:r>
        <w:rPr>
          <w:spacing w:val="40"/>
        </w:rPr>
        <w:t xml:space="preserve"> </w:t>
      </w:r>
      <w:r>
        <w:t>for</w:t>
      </w:r>
      <w:r>
        <w:rPr>
          <w:spacing w:val="40"/>
        </w:rPr>
        <w:t xml:space="preserve"> </w:t>
      </w:r>
      <w:r>
        <w:t>the</w:t>
      </w:r>
      <w:r>
        <w:rPr>
          <w:spacing w:val="39"/>
        </w:rPr>
        <w:t xml:space="preserve"> </w:t>
      </w:r>
      <w:r>
        <w:t>selection</w:t>
      </w:r>
      <w:r>
        <w:rPr>
          <w:spacing w:val="40"/>
        </w:rPr>
        <w:t xml:space="preserve"> </w:t>
      </w:r>
      <w:r>
        <w:t>of</w:t>
      </w:r>
      <w:r>
        <w:rPr>
          <w:spacing w:val="39"/>
        </w:rPr>
        <w:t xml:space="preserve"> </w:t>
      </w:r>
      <w:r>
        <w:t>this</w:t>
      </w:r>
      <w:r>
        <w:rPr>
          <w:spacing w:val="39"/>
        </w:rPr>
        <w:t xml:space="preserve"> </w:t>
      </w:r>
      <w:r>
        <w:t>Model</w:t>
      </w:r>
      <w:r>
        <w:rPr>
          <w:spacing w:val="40"/>
        </w:rPr>
        <w:t xml:space="preserve"> </w:t>
      </w:r>
      <w:r>
        <w:t>PCN,</w:t>
      </w:r>
      <w:r>
        <w:rPr>
          <w:spacing w:val="39"/>
        </w:rPr>
        <w:t xml:space="preserve"> </w:t>
      </w:r>
      <w:r>
        <w:t>nor</w:t>
      </w:r>
      <w:r>
        <w:rPr>
          <w:spacing w:val="40"/>
        </w:rPr>
        <w:t xml:space="preserve"> </w:t>
      </w:r>
      <w:r>
        <w:t>(iii)</w:t>
      </w:r>
      <w:r>
        <w:rPr>
          <w:spacing w:val="40"/>
        </w:rPr>
        <w:t xml:space="preserve"> </w:t>
      </w:r>
      <w:r>
        <w:t>the</w:t>
      </w:r>
      <w:r>
        <w:rPr>
          <w:spacing w:val="39"/>
        </w:rPr>
        <w:t xml:space="preserve"> </w:t>
      </w:r>
      <w:r>
        <w:t>reasons</w:t>
      </w:r>
      <w:r>
        <w:rPr>
          <w:spacing w:val="39"/>
        </w:rPr>
        <w:t xml:space="preserve"> </w:t>
      </w:r>
      <w:r>
        <w:t>for</w:t>
      </w:r>
      <w:r>
        <w:rPr>
          <w:spacing w:val="40"/>
        </w:rPr>
        <w:t xml:space="preserve"> </w:t>
      </w:r>
      <w:r>
        <w:t>its conclusion</w:t>
      </w:r>
      <w:r>
        <w:rPr>
          <w:spacing w:val="28"/>
        </w:rPr>
        <w:t xml:space="preserve"> </w:t>
      </w:r>
      <w:r>
        <w:t>that</w:t>
      </w:r>
      <w:r>
        <w:rPr>
          <w:spacing w:val="29"/>
        </w:rPr>
        <w:t xml:space="preserve"> </w:t>
      </w:r>
      <w:r>
        <w:t>the</w:t>
      </w:r>
      <w:r>
        <w:rPr>
          <w:spacing w:val="28"/>
        </w:rPr>
        <w:t xml:space="preserve"> </w:t>
      </w:r>
      <w:r>
        <w:t>Model</w:t>
      </w:r>
      <w:r>
        <w:rPr>
          <w:spacing w:val="28"/>
        </w:rPr>
        <w:t xml:space="preserve"> </w:t>
      </w:r>
      <w:r>
        <w:t>PCN</w:t>
      </w:r>
      <w:r>
        <w:rPr>
          <w:spacing w:val="28"/>
        </w:rPr>
        <w:t xml:space="preserve"> </w:t>
      </w:r>
      <w:r>
        <w:t>was</w:t>
      </w:r>
      <w:r>
        <w:rPr>
          <w:spacing w:val="28"/>
        </w:rPr>
        <w:t xml:space="preserve"> </w:t>
      </w:r>
      <w:r>
        <w:t>representative</w:t>
      </w:r>
      <w:r>
        <w:rPr>
          <w:spacing w:val="27"/>
        </w:rPr>
        <w:t xml:space="preserve"> </w:t>
      </w:r>
      <w:r>
        <w:t>of</w:t>
      </w:r>
      <w:r>
        <w:rPr>
          <w:spacing w:val="29"/>
        </w:rPr>
        <w:t xml:space="preserve"> </w:t>
      </w:r>
      <w:r>
        <w:t>Treasury</w:t>
      </w:r>
      <w:r>
        <w:rPr>
          <w:spacing w:val="29"/>
        </w:rPr>
        <w:t xml:space="preserve"> </w:t>
      </w:r>
      <w:r>
        <w:t>Wines'</w:t>
      </w:r>
      <w:r>
        <w:rPr>
          <w:spacing w:val="28"/>
        </w:rPr>
        <w:t xml:space="preserve"> </w:t>
      </w:r>
      <w:r>
        <w:t>portfolio</w:t>
      </w:r>
      <w:r>
        <w:rPr>
          <w:spacing w:val="29"/>
        </w:rPr>
        <w:t xml:space="preserve"> </w:t>
      </w:r>
      <w:r>
        <w:t>of</w:t>
      </w:r>
      <w:r>
        <w:rPr>
          <w:spacing w:val="28"/>
        </w:rPr>
        <w:t xml:space="preserve"> </w:t>
      </w:r>
      <w:r>
        <w:t>Chinese domestic sales. [[</w:t>
      </w:r>
    </w:p>
    <w:p w14:paraId="51DE9C20" w14:textId="77777777" w:rsidR="0010369C" w:rsidRDefault="0010369C">
      <w:pPr>
        <w:pStyle w:val="BodyText"/>
        <w:spacing w:before="5"/>
        <w:rPr>
          <w:sz w:val="8"/>
        </w:rPr>
      </w:pPr>
    </w:p>
    <w:p w14:paraId="51DE9C21" w14:textId="77777777" w:rsidR="0010369C" w:rsidRDefault="0010369C">
      <w:pPr>
        <w:pStyle w:val="BodyText"/>
        <w:spacing w:before="5"/>
        <w:rPr>
          <w:sz w:val="8"/>
        </w:rPr>
      </w:pPr>
    </w:p>
    <w:p w14:paraId="51DE9C22" w14:textId="77777777" w:rsidR="0010369C" w:rsidRDefault="0010369C">
      <w:pPr>
        <w:pStyle w:val="BodyText"/>
        <w:spacing w:before="5"/>
        <w:rPr>
          <w:sz w:val="8"/>
        </w:rPr>
      </w:pPr>
    </w:p>
    <w:p w14:paraId="51DE9C23" w14:textId="77777777" w:rsidR="0010369C" w:rsidRDefault="0010369C">
      <w:pPr>
        <w:pStyle w:val="BodyText"/>
        <w:spacing w:before="5"/>
        <w:rPr>
          <w:sz w:val="8"/>
        </w:rPr>
      </w:pPr>
    </w:p>
    <w:p w14:paraId="51DE9C24" w14:textId="77777777" w:rsidR="0010369C" w:rsidRDefault="0010369C">
      <w:pPr>
        <w:pStyle w:val="BodyText"/>
        <w:spacing w:before="5"/>
        <w:rPr>
          <w:sz w:val="8"/>
        </w:rPr>
      </w:pPr>
    </w:p>
    <w:p w14:paraId="51DE9C25" w14:textId="77777777" w:rsidR="0010369C" w:rsidRDefault="0010369C">
      <w:pPr>
        <w:pStyle w:val="BodyText"/>
        <w:spacing w:before="5"/>
        <w:rPr>
          <w:sz w:val="8"/>
        </w:rPr>
      </w:pPr>
    </w:p>
    <w:p w14:paraId="51DE9C26" w14:textId="77777777" w:rsidR="0010369C" w:rsidRDefault="008E43AE">
      <w:pPr>
        <w:spacing w:before="119"/>
        <w:ind w:left="2798"/>
        <w:rPr>
          <w:sz w:val="24"/>
        </w:rPr>
      </w:pPr>
      <w:r>
        <w:rPr>
          <w:spacing w:val="-5"/>
          <w:sz w:val="24"/>
        </w:rPr>
        <w:t>]]</w:t>
      </w:r>
    </w:p>
    <w:p w14:paraId="51DE9C27" w14:textId="77777777" w:rsidR="0010369C" w:rsidRDefault="0010369C">
      <w:pPr>
        <w:pStyle w:val="BodyText"/>
        <w:rPr>
          <w:sz w:val="20"/>
        </w:rPr>
      </w:pPr>
    </w:p>
    <w:p w14:paraId="51DE9C28" w14:textId="77777777" w:rsidR="0010369C" w:rsidRDefault="008E43AE">
      <w:pPr>
        <w:pStyle w:val="BodyText"/>
        <w:spacing w:before="52" w:line="360" w:lineRule="auto"/>
        <w:ind w:left="237" w:right="610" w:firstLine="851"/>
        <w:jc w:val="both"/>
      </w:pPr>
      <w:r>
        <w:rPr>
          <w:noProof/>
        </w:rPr>
        <w:drawing>
          <wp:anchor distT="0" distB="0" distL="0" distR="0" simplePos="0" relativeHeight="251658752" behindDoc="1" locked="0" layoutInCell="1" allowOverlap="1" wp14:anchorId="51DEA965" wp14:editId="51DEA966">
            <wp:simplePos x="0" y="0"/>
            <wp:positionH relativeFrom="page">
              <wp:posOffset>908303</wp:posOffset>
            </wp:positionH>
            <wp:positionV relativeFrom="paragraph">
              <wp:posOffset>88871</wp:posOffset>
            </wp:positionV>
            <wp:extent cx="332231" cy="106679"/>
            <wp:effectExtent l="0" t="0" r="0" b="0"/>
            <wp:wrapNone/>
            <wp:docPr id="2139" name="image10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 name="image1097.png"/>
                    <pic:cNvPicPr/>
                  </pic:nvPicPr>
                  <pic:blipFill>
                    <a:blip r:embed="rId1402" cstate="print"/>
                    <a:stretch>
                      <a:fillRect/>
                    </a:stretch>
                  </pic:blipFill>
                  <pic:spPr>
                    <a:xfrm>
                      <a:off x="0" y="0"/>
                      <a:ext cx="332231" cy="106679"/>
                    </a:xfrm>
                    <a:prstGeom prst="rect">
                      <a:avLst/>
                    </a:prstGeom>
                  </pic:spPr>
                </pic:pic>
              </a:graphicData>
            </a:graphic>
          </wp:anchor>
        </w:drawing>
      </w:r>
      <w:r>
        <w:t>MOFCOM's methodology</w:t>
      </w:r>
      <w:r>
        <w:rPr>
          <w:spacing w:val="-1"/>
        </w:rPr>
        <w:t xml:space="preserve"> </w:t>
      </w:r>
      <w:r>
        <w:t>in</w:t>
      </w:r>
      <w:r>
        <w:rPr>
          <w:spacing w:val="-1"/>
        </w:rPr>
        <w:t xml:space="preserve"> </w:t>
      </w:r>
      <w:r>
        <w:t>determining normal</w:t>
      </w:r>
      <w:r>
        <w:rPr>
          <w:spacing w:val="-2"/>
        </w:rPr>
        <w:t xml:space="preserve"> </w:t>
      </w:r>
      <w:r>
        <w:t>value</w:t>
      </w:r>
      <w:r>
        <w:rPr>
          <w:spacing w:val="-1"/>
        </w:rPr>
        <w:t xml:space="preserve"> </w:t>
      </w:r>
      <w:r>
        <w:t>for</w:t>
      </w:r>
      <w:r>
        <w:rPr>
          <w:spacing w:val="-1"/>
        </w:rPr>
        <w:t xml:space="preserve"> </w:t>
      </w:r>
      <w:r>
        <w:t>Treasury</w:t>
      </w:r>
      <w:r>
        <w:rPr>
          <w:spacing w:val="-1"/>
        </w:rPr>
        <w:t xml:space="preserve"> </w:t>
      </w:r>
      <w:r>
        <w:t>Wines</w:t>
      </w:r>
      <w:r>
        <w:rPr>
          <w:spacing w:val="-2"/>
        </w:rPr>
        <w:t xml:space="preserve"> </w:t>
      </w:r>
      <w:r>
        <w:t>remains</w:t>
      </w:r>
      <w:r>
        <w:rPr>
          <w:spacing w:val="-2"/>
        </w:rPr>
        <w:t xml:space="preserve"> </w:t>
      </w:r>
      <w:r>
        <w:t>a "black box" in most key respects.</w:t>
      </w:r>
      <w:r>
        <w:t xml:space="preserve"> On the face of the Final Determination, MOFCOM did not set out its rationale for resorting to "facts available" when voluminous price and quantity information was supplied during the investigation. MOFCOM failed to disclose in the level of detail required</w:t>
      </w:r>
      <w:r>
        <w:t xml:space="preserve"> by the Anti‐Dumping Agreement the facts that it relied upon as the "best information available", or the methodology, findings or results from its constructed normal</w:t>
      </w:r>
    </w:p>
    <w:p w14:paraId="51DE9C29" w14:textId="77777777" w:rsidR="0010369C" w:rsidRDefault="0010369C">
      <w:pPr>
        <w:pStyle w:val="BodyText"/>
        <w:rPr>
          <w:sz w:val="20"/>
        </w:rPr>
      </w:pPr>
    </w:p>
    <w:p w14:paraId="51DE9C2A" w14:textId="77777777" w:rsidR="0010369C" w:rsidRDefault="0010369C">
      <w:pPr>
        <w:pStyle w:val="BodyText"/>
        <w:rPr>
          <w:sz w:val="20"/>
        </w:rPr>
      </w:pPr>
    </w:p>
    <w:p w14:paraId="51DE9C2B" w14:textId="77777777" w:rsidR="0010369C" w:rsidRDefault="008E43AE">
      <w:pPr>
        <w:pStyle w:val="BodyText"/>
        <w:spacing w:before="2"/>
        <w:rPr>
          <w:sz w:val="26"/>
        </w:rPr>
      </w:pPr>
      <w:r>
        <w:pict w14:anchorId="51DEA967">
          <v:rect id="docshape1475" o:spid="_x0000_s1044" style="position:absolute;margin-left:70.9pt;margin-top:17.2pt;width:2in;height:.8pt;z-index:-250658304;mso-wrap-distance-left:0;mso-wrap-distance-right:0;mso-position-horizontal-relative:page" fillcolor="black" stroked="f">
            <w10:wrap type="topAndBottom" anchorx="page"/>
          </v:rect>
        </w:pict>
      </w:r>
    </w:p>
    <w:p w14:paraId="51DE9C2C" w14:textId="77777777" w:rsidR="0010369C" w:rsidRDefault="008E43AE">
      <w:pPr>
        <w:spacing w:before="107"/>
        <w:ind w:left="238"/>
        <w:rPr>
          <w:sz w:val="18"/>
        </w:rPr>
      </w:pPr>
      <w:r>
        <w:rPr>
          <w:sz w:val="18"/>
          <w:vertAlign w:val="superscript"/>
        </w:rPr>
        <w:t>1249</w:t>
      </w:r>
      <w:r>
        <w:rPr>
          <w:spacing w:val="-10"/>
          <w:sz w:val="18"/>
        </w:rPr>
        <w:t xml:space="preserve"> </w:t>
      </w:r>
      <w:r>
        <w:rPr>
          <w:sz w:val="18"/>
        </w:rPr>
        <w:t>Anti‐Dumping</w:t>
      </w:r>
      <w:r>
        <w:rPr>
          <w:spacing w:val="-10"/>
          <w:sz w:val="18"/>
        </w:rPr>
        <w:t xml:space="preserve"> </w:t>
      </w:r>
      <w:r>
        <w:rPr>
          <w:sz w:val="18"/>
        </w:rPr>
        <w:t>Final</w:t>
      </w:r>
      <w:r>
        <w:rPr>
          <w:spacing w:val="-9"/>
          <w:sz w:val="18"/>
        </w:rPr>
        <w:t xml:space="preserve"> </w:t>
      </w:r>
      <w:r>
        <w:rPr>
          <w:sz w:val="18"/>
        </w:rPr>
        <w:t>Determination</w:t>
      </w:r>
      <w:r>
        <w:rPr>
          <w:spacing w:val="-9"/>
          <w:sz w:val="18"/>
        </w:rPr>
        <w:t xml:space="preserve"> </w:t>
      </w:r>
      <w:r>
        <w:rPr>
          <w:sz w:val="18"/>
        </w:rPr>
        <w:t>(Exhibit</w:t>
      </w:r>
      <w:r>
        <w:rPr>
          <w:spacing w:val="-10"/>
          <w:sz w:val="18"/>
        </w:rPr>
        <w:t xml:space="preserve"> </w:t>
      </w:r>
      <w:r>
        <w:rPr>
          <w:sz w:val="18"/>
        </w:rPr>
        <w:t>AUS‐2),</w:t>
      </w:r>
      <w:r>
        <w:rPr>
          <w:spacing w:val="-9"/>
          <w:sz w:val="18"/>
        </w:rPr>
        <w:t xml:space="preserve"> </w:t>
      </w:r>
      <w:r>
        <w:rPr>
          <w:sz w:val="18"/>
        </w:rPr>
        <w:t>pp.</w:t>
      </w:r>
      <w:r>
        <w:rPr>
          <w:spacing w:val="-10"/>
          <w:sz w:val="18"/>
        </w:rPr>
        <w:t xml:space="preserve"> </w:t>
      </w:r>
      <w:r>
        <w:rPr>
          <w:spacing w:val="-2"/>
          <w:sz w:val="18"/>
        </w:rPr>
        <w:t>60‐61.</w:t>
      </w:r>
    </w:p>
    <w:p w14:paraId="51DE9C2D" w14:textId="77777777" w:rsidR="0010369C" w:rsidRDefault="008E43AE">
      <w:pPr>
        <w:ind w:left="238"/>
        <w:rPr>
          <w:sz w:val="18"/>
        </w:rPr>
      </w:pPr>
      <w:r>
        <w:rPr>
          <w:sz w:val="18"/>
          <w:vertAlign w:val="superscript"/>
        </w:rPr>
        <w:t>1250</w:t>
      </w:r>
      <w:r>
        <w:rPr>
          <w:spacing w:val="-6"/>
          <w:sz w:val="18"/>
        </w:rPr>
        <w:t xml:space="preserve"> </w:t>
      </w:r>
      <w:r>
        <w:rPr>
          <w:sz w:val="18"/>
        </w:rPr>
        <w:t>See</w:t>
      </w:r>
      <w:r>
        <w:rPr>
          <w:spacing w:val="-5"/>
          <w:sz w:val="18"/>
        </w:rPr>
        <w:t xml:space="preserve"> </w:t>
      </w:r>
      <w:r>
        <w:rPr>
          <w:sz w:val="18"/>
        </w:rPr>
        <w:t>above,</w:t>
      </w:r>
      <w:r>
        <w:rPr>
          <w:spacing w:val="-6"/>
          <w:sz w:val="18"/>
        </w:rPr>
        <w:t xml:space="preserve"> </w:t>
      </w:r>
      <w:r>
        <w:rPr>
          <w:sz w:val="18"/>
        </w:rPr>
        <w:t>section</w:t>
      </w:r>
      <w:r>
        <w:rPr>
          <w:spacing w:val="-6"/>
          <w:sz w:val="18"/>
        </w:rPr>
        <w:t xml:space="preserve"> </w:t>
      </w:r>
      <w:r>
        <w:rPr>
          <w:spacing w:val="-2"/>
          <w:sz w:val="18"/>
        </w:rPr>
        <w:t>II.E.4.</w:t>
      </w:r>
    </w:p>
    <w:p w14:paraId="51DE9C2E" w14:textId="77777777" w:rsidR="0010369C" w:rsidRDefault="008E43AE">
      <w:pPr>
        <w:tabs>
          <w:tab w:val="left" w:pos="6197"/>
        </w:tabs>
        <w:ind w:left="238"/>
        <w:rPr>
          <w:sz w:val="18"/>
        </w:rPr>
      </w:pPr>
      <w:r>
        <w:pict w14:anchorId="51DEA968">
          <v:rect id="docshape1476" o:spid="_x0000_s1043" style="position:absolute;left:0;text-align:left;margin-left:89.7pt;margin-top:.55pt;width:276.15pt;height:11.7pt;z-index:-251270656;mso-position-horizontal-relative:page" fillcolor="black" stroked="f">
            <w10:wrap anchorx="page"/>
          </v:rect>
        </w:pict>
      </w:r>
      <w:r>
        <w:pict w14:anchorId="51DEA969">
          <v:rect id="docshape1477" o:spid="_x0000_s1042" style="position:absolute;left:0;text-align:left;margin-left:419.7pt;margin-top:.55pt;width:20.85pt;height:11.7pt;z-index:251876864;mso-position-horizontal-relative:page" fillcolor="black" stroked="f">
            <w10:wrap anchorx="page"/>
          </v:rect>
        </w:pict>
      </w:r>
      <w:r>
        <w:rPr>
          <w:sz w:val="18"/>
          <w:vertAlign w:val="superscript"/>
        </w:rPr>
        <w:t>1251</w:t>
      </w:r>
      <w:r>
        <w:rPr>
          <w:spacing w:val="-3"/>
          <w:sz w:val="18"/>
        </w:rPr>
        <w:t xml:space="preserve"> </w:t>
      </w:r>
      <w:r>
        <w:rPr>
          <w:spacing w:val="-10"/>
          <w:sz w:val="18"/>
        </w:rPr>
        <w:t>[</w:t>
      </w:r>
      <w:r>
        <w:rPr>
          <w:sz w:val="18"/>
        </w:rPr>
        <w:tab/>
        <w:t>(AUS‐4</w:t>
      </w:r>
      <w:r>
        <w:rPr>
          <w:spacing w:val="-7"/>
          <w:sz w:val="18"/>
        </w:rPr>
        <w:t xml:space="preserve"> </w:t>
      </w:r>
      <w:r>
        <w:rPr>
          <w:spacing w:val="-2"/>
          <w:sz w:val="18"/>
        </w:rPr>
        <w:t>(BCI)),</w:t>
      </w:r>
    </w:p>
    <w:p w14:paraId="51DE9C2F" w14:textId="77777777" w:rsidR="0010369C" w:rsidRDefault="008E43AE">
      <w:pPr>
        <w:ind w:left="329"/>
        <w:rPr>
          <w:sz w:val="18"/>
        </w:rPr>
      </w:pPr>
      <w:r>
        <w:pict w14:anchorId="51DEA96A">
          <v:rect id="docshape1478" o:spid="_x0000_s1041" style="position:absolute;left:0;text-align:left;margin-left:69.9pt;margin-top:.55pt;width:4.55pt;height:11.7pt;z-index:251877888;mso-position-horizontal-relative:page" fillcolor="black" stroked="f">
            <w10:wrap anchorx="page"/>
          </v:rect>
        </w:pict>
      </w:r>
      <w:r>
        <w:rPr>
          <w:sz w:val="18"/>
        </w:rPr>
        <w:t>.]]</w:t>
      </w:r>
      <w:r>
        <w:rPr>
          <w:spacing w:val="-6"/>
          <w:sz w:val="18"/>
        </w:rPr>
        <w:t xml:space="preserve"> </w:t>
      </w:r>
      <w:r>
        <w:rPr>
          <w:sz w:val="18"/>
          <w:vertAlign w:val="superscript"/>
        </w:rPr>
        <w:t>1252</w:t>
      </w:r>
      <w:r>
        <w:rPr>
          <w:spacing w:val="-6"/>
          <w:sz w:val="18"/>
        </w:rPr>
        <w:t xml:space="preserve"> </w:t>
      </w:r>
      <w:r>
        <w:rPr>
          <w:sz w:val="18"/>
        </w:rPr>
        <w:t>See</w:t>
      </w:r>
      <w:r>
        <w:rPr>
          <w:spacing w:val="-5"/>
          <w:sz w:val="18"/>
        </w:rPr>
        <w:t xml:space="preserve"> </w:t>
      </w:r>
      <w:r>
        <w:rPr>
          <w:sz w:val="18"/>
        </w:rPr>
        <w:t>above,</w:t>
      </w:r>
      <w:r>
        <w:rPr>
          <w:spacing w:val="-6"/>
          <w:sz w:val="18"/>
        </w:rPr>
        <w:t xml:space="preserve"> </w:t>
      </w:r>
      <w:r>
        <w:rPr>
          <w:sz w:val="18"/>
        </w:rPr>
        <w:t>sections</w:t>
      </w:r>
      <w:r>
        <w:rPr>
          <w:spacing w:val="-6"/>
          <w:sz w:val="18"/>
        </w:rPr>
        <w:t xml:space="preserve"> </w:t>
      </w:r>
      <w:r>
        <w:rPr>
          <w:sz w:val="18"/>
        </w:rPr>
        <w:t>II.E.3(a)(i)</w:t>
      </w:r>
      <w:r>
        <w:rPr>
          <w:spacing w:val="-6"/>
          <w:sz w:val="18"/>
        </w:rPr>
        <w:t xml:space="preserve"> </w:t>
      </w:r>
      <w:r>
        <w:rPr>
          <w:sz w:val="18"/>
        </w:rPr>
        <w:t>and</w:t>
      </w:r>
      <w:r>
        <w:rPr>
          <w:spacing w:val="-7"/>
          <w:sz w:val="18"/>
        </w:rPr>
        <w:t xml:space="preserve"> </w:t>
      </w:r>
      <w:r>
        <w:rPr>
          <w:spacing w:val="-2"/>
          <w:sz w:val="18"/>
        </w:rPr>
        <w:t>II.J.3.</w:t>
      </w:r>
    </w:p>
    <w:p w14:paraId="51DE9C30" w14:textId="77777777" w:rsidR="0010369C" w:rsidRDefault="0010369C">
      <w:pPr>
        <w:rPr>
          <w:sz w:val="18"/>
        </w:rPr>
        <w:sectPr w:rsidR="0010369C">
          <w:pgSz w:w="11910" w:h="16840"/>
          <w:pgMar w:top="880" w:right="800" w:bottom="980" w:left="1180" w:header="569" w:footer="788" w:gutter="0"/>
          <w:cols w:space="720"/>
        </w:sectPr>
      </w:pPr>
    </w:p>
    <w:p w14:paraId="51DE9C31" w14:textId="77777777" w:rsidR="0010369C" w:rsidRDefault="008E43AE">
      <w:pPr>
        <w:tabs>
          <w:tab w:val="left" w:pos="6425"/>
        </w:tabs>
        <w:ind w:left="238"/>
        <w:rPr>
          <w:sz w:val="20"/>
        </w:rPr>
      </w:pPr>
      <w:r>
        <w:rPr>
          <w:i/>
          <w:sz w:val="20"/>
        </w:rPr>
        <w:lastRenderedPageBreak/>
        <w:t>China</w:t>
      </w:r>
      <w:r>
        <w:rPr>
          <w:i/>
          <w:spacing w:val="-5"/>
          <w:sz w:val="20"/>
        </w:rPr>
        <w:t xml:space="preserve"> </w:t>
      </w:r>
      <w:r>
        <w:rPr>
          <w:i/>
          <w:sz w:val="20"/>
        </w:rPr>
        <w:t>–</w:t>
      </w:r>
      <w:r>
        <w:rPr>
          <w:i/>
          <w:spacing w:val="-5"/>
          <w:sz w:val="20"/>
        </w:rPr>
        <w:t xml:space="preserve"> </w:t>
      </w:r>
      <w:r>
        <w:rPr>
          <w:i/>
          <w:sz w:val="20"/>
        </w:rPr>
        <w:t>Anti‐Dumping</w:t>
      </w:r>
      <w:r>
        <w:rPr>
          <w:i/>
          <w:spacing w:val="-4"/>
          <w:sz w:val="20"/>
        </w:rPr>
        <w:t xml:space="preserve"> </w:t>
      </w:r>
      <w:r>
        <w:rPr>
          <w:i/>
          <w:sz w:val="20"/>
        </w:rPr>
        <w:t>and</w:t>
      </w:r>
      <w:r>
        <w:rPr>
          <w:i/>
          <w:spacing w:val="-5"/>
          <w:sz w:val="20"/>
        </w:rPr>
        <w:t xml:space="preserve"> </w:t>
      </w:r>
      <w:r>
        <w:rPr>
          <w:i/>
          <w:sz w:val="20"/>
        </w:rPr>
        <w:t>Countervailing</w:t>
      </w:r>
      <w:r>
        <w:rPr>
          <w:i/>
          <w:spacing w:val="-5"/>
          <w:sz w:val="20"/>
        </w:rPr>
        <w:t xml:space="preserve"> </w:t>
      </w:r>
      <w:r>
        <w:rPr>
          <w:i/>
          <w:sz w:val="20"/>
        </w:rPr>
        <w:t>Duty</w:t>
      </w:r>
      <w:r>
        <w:rPr>
          <w:i/>
          <w:spacing w:val="-4"/>
          <w:sz w:val="20"/>
        </w:rPr>
        <w:t xml:space="preserve"> </w:t>
      </w:r>
      <w:r>
        <w:rPr>
          <w:i/>
          <w:spacing w:val="-2"/>
          <w:sz w:val="20"/>
        </w:rPr>
        <w:t>Measures</w:t>
      </w:r>
      <w:r>
        <w:rPr>
          <w:i/>
          <w:sz w:val="20"/>
        </w:rPr>
        <w:tab/>
      </w:r>
      <w:r>
        <w:rPr>
          <w:sz w:val="20"/>
        </w:rPr>
        <w:t>Australia's</w:t>
      </w:r>
      <w:r>
        <w:rPr>
          <w:spacing w:val="-7"/>
          <w:sz w:val="20"/>
        </w:rPr>
        <w:t xml:space="preserve"> </w:t>
      </w:r>
      <w:r>
        <w:rPr>
          <w:sz w:val="20"/>
        </w:rPr>
        <w:t>First</w:t>
      </w:r>
      <w:r>
        <w:rPr>
          <w:spacing w:val="-2"/>
          <w:sz w:val="20"/>
        </w:rPr>
        <w:t xml:space="preserve"> </w:t>
      </w:r>
      <w:r>
        <w:rPr>
          <w:sz w:val="20"/>
        </w:rPr>
        <w:t>Written</w:t>
      </w:r>
      <w:r>
        <w:rPr>
          <w:spacing w:val="-2"/>
          <w:sz w:val="20"/>
        </w:rPr>
        <w:t xml:space="preserve"> Submission</w:t>
      </w:r>
    </w:p>
    <w:p w14:paraId="51DE9C32" w14:textId="77777777" w:rsidR="0010369C" w:rsidRDefault="008E43AE">
      <w:pPr>
        <w:tabs>
          <w:tab w:val="left" w:pos="8227"/>
        </w:tabs>
        <w:spacing w:before="1"/>
        <w:ind w:left="239"/>
        <w:rPr>
          <w:sz w:val="20"/>
        </w:rPr>
      </w:pPr>
      <w:r>
        <w:rPr>
          <w:i/>
          <w:sz w:val="20"/>
        </w:rPr>
        <w:t>on</w:t>
      </w:r>
      <w:r>
        <w:rPr>
          <w:i/>
          <w:spacing w:val="-1"/>
          <w:sz w:val="20"/>
        </w:rPr>
        <w:t xml:space="preserve"> </w:t>
      </w:r>
      <w:r>
        <w:rPr>
          <w:i/>
          <w:sz w:val="20"/>
        </w:rPr>
        <w:t>Wine</w:t>
      </w:r>
      <w:r>
        <w:rPr>
          <w:i/>
          <w:spacing w:val="-1"/>
          <w:sz w:val="20"/>
        </w:rPr>
        <w:t xml:space="preserve"> </w:t>
      </w:r>
      <w:r>
        <w:rPr>
          <w:i/>
          <w:sz w:val="20"/>
        </w:rPr>
        <w:t>from</w:t>
      </w:r>
      <w:r>
        <w:rPr>
          <w:i/>
          <w:spacing w:val="-3"/>
          <w:sz w:val="20"/>
        </w:rPr>
        <w:t xml:space="preserve"> </w:t>
      </w:r>
      <w:r>
        <w:rPr>
          <w:i/>
          <w:sz w:val="20"/>
        </w:rPr>
        <w:t>Australia</w:t>
      </w:r>
      <w:r>
        <w:rPr>
          <w:i/>
          <w:spacing w:val="-1"/>
          <w:sz w:val="20"/>
        </w:rPr>
        <w:t xml:space="preserve"> </w:t>
      </w:r>
      <w:r>
        <w:rPr>
          <w:spacing w:val="-2"/>
          <w:sz w:val="20"/>
        </w:rPr>
        <w:t>(DS602)</w:t>
      </w:r>
      <w:r>
        <w:rPr>
          <w:sz w:val="20"/>
        </w:rPr>
        <w:tab/>
        <w:t>29</w:t>
      </w:r>
      <w:r>
        <w:rPr>
          <w:spacing w:val="-1"/>
          <w:sz w:val="20"/>
        </w:rPr>
        <w:t xml:space="preserve"> </w:t>
      </w:r>
      <w:r>
        <w:rPr>
          <w:sz w:val="20"/>
        </w:rPr>
        <w:t>April</w:t>
      </w:r>
      <w:r>
        <w:rPr>
          <w:spacing w:val="-2"/>
          <w:sz w:val="20"/>
        </w:rPr>
        <w:t xml:space="preserve"> </w:t>
      </w:r>
      <w:r>
        <w:rPr>
          <w:spacing w:val="-4"/>
          <w:sz w:val="20"/>
        </w:rPr>
        <w:t>2022</w:t>
      </w:r>
    </w:p>
    <w:p w14:paraId="51DE9C33" w14:textId="77777777" w:rsidR="0010369C" w:rsidRDefault="008E43AE">
      <w:pPr>
        <w:pStyle w:val="BodyText"/>
        <w:spacing w:before="34" w:line="360" w:lineRule="auto"/>
        <w:ind w:left="237" w:right="614"/>
      </w:pPr>
      <w:r>
        <w:t>value approach (either to Treasury Wines, or through non‐confidential summaries to other interested parties).</w:t>
      </w:r>
    </w:p>
    <w:p w14:paraId="51DE9C34" w14:textId="77777777" w:rsidR="0010369C" w:rsidRDefault="0010369C">
      <w:pPr>
        <w:pStyle w:val="BodyText"/>
        <w:spacing w:before="10"/>
        <w:rPr>
          <w:sz w:val="8"/>
        </w:rPr>
      </w:pPr>
    </w:p>
    <w:p w14:paraId="51DE9C35" w14:textId="77777777" w:rsidR="0010369C" w:rsidRDefault="008E43AE">
      <w:pPr>
        <w:pStyle w:val="BodyText"/>
        <w:spacing w:before="52" w:line="360" w:lineRule="auto"/>
        <w:ind w:left="237" w:right="614" w:firstLine="851"/>
        <w:jc w:val="both"/>
      </w:pPr>
      <w:r>
        <w:rPr>
          <w:noProof/>
        </w:rPr>
        <w:drawing>
          <wp:anchor distT="0" distB="0" distL="0" distR="0" simplePos="0" relativeHeight="251659776" behindDoc="1" locked="0" layoutInCell="1" allowOverlap="1" wp14:anchorId="51DEA96B" wp14:editId="51DEA96C">
            <wp:simplePos x="0" y="0"/>
            <wp:positionH relativeFrom="page">
              <wp:posOffset>908303</wp:posOffset>
            </wp:positionH>
            <wp:positionV relativeFrom="paragraph">
              <wp:posOffset>76785</wp:posOffset>
            </wp:positionV>
            <wp:extent cx="332231" cy="106679"/>
            <wp:effectExtent l="0" t="0" r="0" b="0"/>
            <wp:wrapNone/>
            <wp:docPr id="2141" name="image10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 name="image1098.png"/>
                    <pic:cNvPicPr/>
                  </pic:nvPicPr>
                  <pic:blipFill>
                    <a:blip r:embed="rId1403" cstate="print"/>
                    <a:stretch>
                      <a:fillRect/>
                    </a:stretch>
                  </pic:blipFill>
                  <pic:spPr>
                    <a:xfrm>
                      <a:off x="0" y="0"/>
                      <a:ext cx="332231" cy="106679"/>
                    </a:xfrm>
                    <a:prstGeom prst="rect">
                      <a:avLst/>
                    </a:prstGeom>
                  </pic:spPr>
                </pic:pic>
              </a:graphicData>
            </a:graphic>
          </wp:anchor>
        </w:drawing>
      </w:r>
      <w:r>
        <w:t>With respect to Casella Wines, MOFCOM decided that "known facts and the best information available could be utilized to determine the Compa</w:t>
      </w:r>
      <w:r>
        <w:t>ny's normal value" in light of alleged deficiencies and inconsistencies in its submissions.</w:t>
      </w:r>
      <w:r>
        <w:rPr>
          <w:vertAlign w:val="superscript"/>
        </w:rPr>
        <w:t>1253</w:t>
      </w:r>
      <w:r>
        <w:t xml:space="preserve"> MOFCOM did not offer sufficient reasoning to explain why the information provided was regarded as deficient or inconsistent,</w:t>
      </w:r>
      <w:r>
        <w:rPr>
          <w:spacing w:val="-10"/>
        </w:rPr>
        <w:t xml:space="preserve"> </w:t>
      </w:r>
      <w:r>
        <w:t>or</w:t>
      </w:r>
      <w:r>
        <w:rPr>
          <w:spacing w:val="-12"/>
        </w:rPr>
        <w:t xml:space="preserve"> </w:t>
      </w:r>
      <w:r>
        <w:t>why</w:t>
      </w:r>
      <w:r>
        <w:rPr>
          <w:spacing w:val="-12"/>
        </w:rPr>
        <w:t xml:space="preserve"> </w:t>
      </w:r>
      <w:r>
        <w:t>that</w:t>
      </w:r>
      <w:r>
        <w:rPr>
          <w:spacing w:val="-13"/>
        </w:rPr>
        <w:t xml:space="preserve"> </w:t>
      </w:r>
      <w:r>
        <w:t>information</w:t>
      </w:r>
      <w:r>
        <w:rPr>
          <w:spacing w:val="-11"/>
        </w:rPr>
        <w:t xml:space="preserve"> </w:t>
      </w:r>
      <w:r>
        <w:t>was</w:t>
      </w:r>
      <w:r>
        <w:rPr>
          <w:spacing w:val="-12"/>
        </w:rPr>
        <w:t xml:space="preserve"> </w:t>
      </w:r>
      <w:r>
        <w:t>necessa</w:t>
      </w:r>
      <w:r>
        <w:t>ry</w:t>
      </w:r>
      <w:r>
        <w:rPr>
          <w:spacing w:val="-11"/>
        </w:rPr>
        <w:t xml:space="preserve"> </w:t>
      </w:r>
      <w:r>
        <w:t>to</w:t>
      </w:r>
      <w:r>
        <w:rPr>
          <w:spacing w:val="-12"/>
        </w:rPr>
        <w:t xml:space="preserve"> </w:t>
      </w:r>
      <w:r>
        <w:t>MOFCOM's</w:t>
      </w:r>
      <w:r>
        <w:rPr>
          <w:spacing w:val="-12"/>
        </w:rPr>
        <w:t xml:space="preserve"> </w:t>
      </w:r>
      <w:r>
        <w:t>determinations.</w:t>
      </w:r>
      <w:r>
        <w:rPr>
          <w:spacing w:val="-11"/>
        </w:rPr>
        <w:t xml:space="preserve"> </w:t>
      </w:r>
      <w:r>
        <w:t>MOFCOM described its process as follows:</w:t>
      </w:r>
    </w:p>
    <w:p w14:paraId="51DE9C36" w14:textId="77777777" w:rsidR="0010369C" w:rsidRDefault="008E43AE">
      <w:pPr>
        <w:spacing w:before="161" w:line="276" w:lineRule="auto"/>
        <w:ind w:left="1088" w:right="614"/>
        <w:jc w:val="both"/>
      </w:pPr>
      <w:r>
        <w:t>[A]fter taking into account the physical properties of the product under investigation, the costs differences in different product types, trade links and other influencing factors, the</w:t>
      </w:r>
      <w:r>
        <w:t xml:space="preserve"> Investigating Authority held that the expenses properly adjusted based on the weighted average</w:t>
      </w:r>
      <w:r>
        <w:rPr>
          <w:spacing w:val="-9"/>
        </w:rPr>
        <w:t xml:space="preserve"> </w:t>
      </w:r>
      <w:r>
        <w:t>price</w:t>
      </w:r>
      <w:r>
        <w:rPr>
          <w:spacing w:val="-7"/>
        </w:rPr>
        <w:t xml:space="preserve"> </w:t>
      </w:r>
      <w:r>
        <w:t>of</w:t>
      </w:r>
      <w:r>
        <w:rPr>
          <w:spacing w:val="-9"/>
        </w:rPr>
        <w:t xml:space="preserve"> </w:t>
      </w:r>
      <w:r>
        <w:t>domestic</w:t>
      </w:r>
      <w:r>
        <w:rPr>
          <w:spacing w:val="-9"/>
        </w:rPr>
        <w:t xml:space="preserve"> </w:t>
      </w:r>
      <w:r>
        <w:t>sales</w:t>
      </w:r>
      <w:r>
        <w:rPr>
          <w:spacing w:val="-8"/>
        </w:rPr>
        <w:t xml:space="preserve"> </w:t>
      </w:r>
      <w:r>
        <w:t>of</w:t>
      </w:r>
      <w:r>
        <w:rPr>
          <w:spacing w:val="-9"/>
        </w:rPr>
        <w:t xml:space="preserve"> </w:t>
      </w:r>
      <w:r>
        <w:t>other</w:t>
      </w:r>
      <w:r>
        <w:rPr>
          <w:spacing w:val="-8"/>
        </w:rPr>
        <w:t xml:space="preserve"> </w:t>
      </w:r>
      <w:r>
        <w:t>respondents</w:t>
      </w:r>
      <w:r>
        <w:rPr>
          <w:spacing w:val="-8"/>
        </w:rPr>
        <w:t xml:space="preserve"> </w:t>
      </w:r>
      <w:r>
        <w:t>could</w:t>
      </w:r>
      <w:r>
        <w:rPr>
          <w:spacing w:val="-9"/>
        </w:rPr>
        <w:t xml:space="preserve"> </w:t>
      </w:r>
      <w:r>
        <w:t>be</w:t>
      </w:r>
      <w:r>
        <w:rPr>
          <w:spacing w:val="-8"/>
        </w:rPr>
        <w:t xml:space="preserve"> </w:t>
      </w:r>
      <w:r>
        <w:t>used</w:t>
      </w:r>
      <w:r>
        <w:rPr>
          <w:spacing w:val="-9"/>
        </w:rPr>
        <w:t xml:space="preserve"> </w:t>
      </w:r>
      <w:r>
        <w:t>to</w:t>
      </w:r>
      <w:r>
        <w:rPr>
          <w:spacing w:val="-8"/>
        </w:rPr>
        <w:t xml:space="preserve"> </w:t>
      </w:r>
      <w:r>
        <w:t>determine</w:t>
      </w:r>
      <w:r>
        <w:rPr>
          <w:spacing w:val="-8"/>
        </w:rPr>
        <w:t xml:space="preserve"> </w:t>
      </w:r>
      <w:r>
        <w:t>the</w:t>
      </w:r>
      <w:r>
        <w:rPr>
          <w:spacing w:val="-8"/>
        </w:rPr>
        <w:t xml:space="preserve"> </w:t>
      </w:r>
      <w:r>
        <w:t>normal value that reflected market conditions in a reasonable manner.</w:t>
      </w:r>
      <w:r>
        <w:rPr>
          <w:vertAlign w:val="superscript"/>
        </w:rPr>
        <w:t>1254</w:t>
      </w:r>
    </w:p>
    <w:p w14:paraId="51DE9C37" w14:textId="77777777" w:rsidR="0010369C" w:rsidRDefault="0010369C">
      <w:pPr>
        <w:pStyle w:val="BodyText"/>
        <w:spacing w:before="5"/>
        <w:rPr>
          <w:sz w:val="15"/>
        </w:rPr>
      </w:pPr>
    </w:p>
    <w:p w14:paraId="51DE9C38" w14:textId="77777777" w:rsidR="0010369C" w:rsidRDefault="008E43AE">
      <w:pPr>
        <w:pStyle w:val="BodyText"/>
        <w:spacing w:before="52" w:line="360" w:lineRule="auto"/>
        <w:ind w:left="237" w:right="613" w:firstLine="12"/>
        <w:jc w:val="both"/>
      </w:pPr>
      <w:r>
        <w:rPr>
          <w:noProof/>
        </w:rPr>
        <w:drawing>
          <wp:inline distT="0" distB="0" distL="0" distR="0" wp14:anchorId="51DEA96D" wp14:editId="51DEA96E">
            <wp:extent cx="332231" cy="109727"/>
            <wp:effectExtent l="0" t="0" r="0" b="0"/>
            <wp:docPr id="2143" name="image10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 name="image1099.png"/>
                    <pic:cNvPicPr/>
                  </pic:nvPicPr>
                  <pic:blipFill>
                    <a:blip r:embed="rId1404" cstate="print"/>
                    <a:stretch>
                      <a:fillRect/>
                    </a:stretch>
                  </pic:blipFill>
                  <pic:spPr>
                    <a:xfrm>
                      <a:off x="0" y="0"/>
                      <a:ext cx="332231" cy="109727"/>
                    </a:xfrm>
                    <a:prstGeom prst="rect">
                      <a:avLst/>
                    </a:prstGeom>
                  </pic:spPr>
                </pic:pic>
              </a:graphicData>
            </a:graphic>
          </wp:inline>
        </w:drawing>
      </w:r>
      <w:r>
        <w:rPr>
          <w:rFonts w:ascii="Times New Roman"/>
          <w:spacing w:val="40"/>
          <w:position w:val="1"/>
          <w:sz w:val="20"/>
        </w:rPr>
        <w:t xml:space="preserve">  </w:t>
      </w:r>
      <w:r>
        <w:rPr>
          <w:position w:val="1"/>
        </w:rPr>
        <w:t>Contrary to</w:t>
      </w:r>
      <w:r>
        <w:rPr>
          <w:spacing w:val="-1"/>
          <w:position w:val="1"/>
        </w:rPr>
        <w:t xml:space="preserve"> </w:t>
      </w:r>
      <w:r>
        <w:rPr>
          <w:position w:val="1"/>
        </w:rPr>
        <w:t>MOFCOM's obligations</w:t>
      </w:r>
      <w:r>
        <w:rPr>
          <w:spacing w:val="-1"/>
          <w:position w:val="1"/>
        </w:rPr>
        <w:t xml:space="preserve"> </w:t>
      </w:r>
      <w:r>
        <w:rPr>
          <w:position w:val="1"/>
        </w:rPr>
        <w:t>under Articles</w:t>
      </w:r>
      <w:r>
        <w:rPr>
          <w:spacing w:val="-1"/>
          <w:position w:val="1"/>
        </w:rPr>
        <w:t xml:space="preserve"> </w:t>
      </w:r>
      <w:r>
        <w:rPr>
          <w:position w:val="1"/>
        </w:rPr>
        <w:t>12.2</w:t>
      </w:r>
      <w:r>
        <w:rPr>
          <w:spacing w:val="-1"/>
          <w:position w:val="1"/>
        </w:rPr>
        <w:t xml:space="preserve"> </w:t>
      </w:r>
      <w:r>
        <w:rPr>
          <w:position w:val="1"/>
        </w:rPr>
        <w:t>and 12.2.2, it</w:t>
      </w:r>
      <w:r>
        <w:rPr>
          <w:spacing w:val="-1"/>
          <w:position w:val="1"/>
        </w:rPr>
        <w:t xml:space="preserve"> </w:t>
      </w:r>
      <w:r>
        <w:rPr>
          <w:position w:val="1"/>
        </w:rPr>
        <w:t xml:space="preserve">did not identify </w:t>
      </w:r>
      <w:r>
        <w:t>with</w:t>
      </w:r>
      <w:r>
        <w:rPr>
          <w:spacing w:val="-14"/>
        </w:rPr>
        <w:t xml:space="preserve"> </w:t>
      </w:r>
      <w:r>
        <w:t>any</w:t>
      </w:r>
      <w:r>
        <w:rPr>
          <w:spacing w:val="-14"/>
        </w:rPr>
        <w:t xml:space="preserve"> </w:t>
      </w:r>
      <w:r>
        <w:t>specificity</w:t>
      </w:r>
      <w:r>
        <w:rPr>
          <w:spacing w:val="-13"/>
        </w:rPr>
        <w:t xml:space="preserve"> </w:t>
      </w:r>
      <w:r>
        <w:t>the</w:t>
      </w:r>
      <w:r>
        <w:rPr>
          <w:spacing w:val="-14"/>
        </w:rPr>
        <w:t xml:space="preserve"> </w:t>
      </w:r>
      <w:r>
        <w:t>"product</w:t>
      </w:r>
      <w:r>
        <w:rPr>
          <w:spacing w:val="-13"/>
        </w:rPr>
        <w:t xml:space="preserve"> </w:t>
      </w:r>
      <w:r>
        <w:t>types,</w:t>
      </w:r>
      <w:r>
        <w:rPr>
          <w:spacing w:val="-14"/>
        </w:rPr>
        <w:t xml:space="preserve"> </w:t>
      </w:r>
      <w:r>
        <w:t>trade</w:t>
      </w:r>
      <w:r>
        <w:rPr>
          <w:spacing w:val="-13"/>
        </w:rPr>
        <w:t xml:space="preserve"> </w:t>
      </w:r>
      <w:r>
        <w:t>links</w:t>
      </w:r>
      <w:r>
        <w:rPr>
          <w:spacing w:val="-14"/>
        </w:rPr>
        <w:t xml:space="preserve"> </w:t>
      </w:r>
      <w:r>
        <w:t>and</w:t>
      </w:r>
      <w:r>
        <w:rPr>
          <w:spacing w:val="-14"/>
        </w:rPr>
        <w:t xml:space="preserve"> </w:t>
      </w:r>
      <w:r>
        <w:t>other</w:t>
      </w:r>
      <w:r>
        <w:rPr>
          <w:spacing w:val="-13"/>
        </w:rPr>
        <w:t xml:space="preserve"> </w:t>
      </w:r>
      <w:r>
        <w:t>influencing</w:t>
      </w:r>
      <w:r>
        <w:rPr>
          <w:spacing w:val="-14"/>
        </w:rPr>
        <w:t xml:space="preserve"> </w:t>
      </w:r>
      <w:r>
        <w:t>factors"</w:t>
      </w:r>
      <w:r>
        <w:rPr>
          <w:spacing w:val="-13"/>
        </w:rPr>
        <w:t xml:space="preserve"> </w:t>
      </w:r>
      <w:r>
        <w:t>it</w:t>
      </w:r>
      <w:r>
        <w:rPr>
          <w:spacing w:val="-14"/>
        </w:rPr>
        <w:t xml:space="preserve"> </w:t>
      </w:r>
      <w:r>
        <w:t>consid</w:t>
      </w:r>
      <w:r>
        <w:t>ered, or</w:t>
      </w:r>
      <w:r>
        <w:rPr>
          <w:spacing w:val="-1"/>
        </w:rPr>
        <w:t xml:space="preserve"> </w:t>
      </w:r>
      <w:r>
        <w:t>how</w:t>
      </w:r>
      <w:r>
        <w:rPr>
          <w:spacing w:val="-2"/>
        </w:rPr>
        <w:t xml:space="preserve"> </w:t>
      </w:r>
      <w:r>
        <w:t>that</w:t>
      </w:r>
      <w:r>
        <w:rPr>
          <w:spacing w:val="-3"/>
        </w:rPr>
        <w:t xml:space="preserve"> </w:t>
      </w:r>
      <w:r>
        <w:t>information</w:t>
      </w:r>
      <w:r>
        <w:rPr>
          <w:spacing w:val="-2"/>
        </w:rPr>
        <w:t xml:space="preserve"> </w:t>
      </w:r>
      <w:r>
        <w:t>was</w:t>
      </w:r>
      <w:r>
        <w:rPr>
          <w:spacing w:val="-2"/>
        </w:rPr>
        <w:t xml:space="preserve"> </w:t>
      </w:r>
      <w:r>
        <w:t>used</w:t>
      </w:r>
      <w:r>
        <w:rPr>
          <w:spacing w:val="-1"/>
        </w:rPr>
        <w:t xml:space="preserve"> </w:t>
      </w:r>
      <w:r>
        <w:t>in</w:t>
      </w:r>
      <w:r>
        <w:rPr>
          <w:spacing w:val="-3"/>
        </w:rPr>
        <w:t xml:space="preserve"> </w:t>
      </w:r>
      <w:r>
        <w:t>MOFCOM's reasoning.</w:t>
      </w:r>
      <w:r>
        <w:rPr>
          <w:spacing w:val="-1"/>
        </w:rPr>
        <w:t xml:space="preserve"> </w:t>
      </w:r>
      <w:r>
        <w:t>Similarly,</w:t>
      </w:r>
      <w:r>
        <w:rPr>
          <w:spacing w:val="-1"/>
        </w:rPr>
        <w:t xml:space="preserve"> </w:t>
      </w:r>
      <w:r>
        <w:t>MOFCOM's</w:t>
      </w:r>
      <w:r>
        <w:rPr>
          <w:spacing w:val="-1"/>
        </w:rPr>
        <w:t xml:space="preserve"> </w:t>
      </w:r>
      <w:r>
        <w:t>description of</w:t>
      </w:r>
      <w:r>
        <w:rPr>
          <w:spacing w:val="-11"/>
        </w:rPr>
        <w:t xml:space="preserve"> </w:t>
      </w:r>
      <w:r>
        <w:t>having</w:t>
      </w:r>
      <w:r>
        <w:rPr>
          <w:spacing w:val="-11"/>
        </w:rPr>
        <w:t xml:space="preserve"> </w:t>
      </w:r>
      <w:r>
        <w:t>adjusted</w:t>
      </w:r>
      <w:r>
        <w:rPr>
          <w:spacing w:val="-11"/>
        </w:rPr>
        <w:t xml:space="preserve"> </w:t>
      </w:r>
      <w:r>
        <w:t>Casella</w:t>
      </w:r>
      <w:r>
        <w:rPr>
          <w:spacing w:val="-11"/>
        </w:rPr>
        <w:t xml:space="preserve"> </w:t>
      </w:r>
      <w:r>
        <w:t>Wines'</w:t>
      </w:r>
      <w:r>
        <w:rPr>
          <w:spacing w:val="-11"/>
        </w:rPr>
        <w:t xml:space="preserve"> </w:t>
      </w:r>
      <w:r>
        <w:t>reported</w:t>
      </w:r>
      <w:r>
        <w:rPr>
          <w:spacing w:val="-13"/>
        </w:rPr>
        <w:t xml:space="preserve"> </w:t>
      </w:r>
      <w:r>
        <w:t>expenses</w:t>
      </w:r>
      <w:r>
        <w:rPr>
          <w:spacing w:val="-11"/>
        </w:rPr>
        <w:t xml:space="preserve"> </w:t>
      </w:r>
      <w:r>
        <w:t>based</w:t>
      </w:r>
      <w:r>
        <w:rPr>
          <w:spacing w:val="-11"/>
        </w:rPr>
        <w:t xml:space="preserve"> </w:t>
      </w:r>
      <w:r>
        <w:t>on</w:t>
      </w:r>
      <w:r>
        <w:rPr>
          <w:spacing w:val="-11"/>
        </w:rPr>
        <w:t xml:space="preserve"> </w:t>
      </w:r>
      <w:r>
        <w:t>a</w:t>
      </w:r>
      <w:r>
        <w:rPr>
          <w:spacing w:val="-11"/>
        </w:rPr>
        <w:t xml:space="preserve"> </w:t>
      </w:r>
      <w:r>
        <w:t>weighted</w:t>
      </w:r>
      <w:r>
        <w:rPr>
          <w:spacing w:val="-11"/>
        </w:rPr>
        <w:t xml:space="preserve"> </w:t>
      </w:r>
      <w:r>
        <w:t>average</w:t>
      </w:r>
      <w:r>
        <w:rPr>
          <w:spacing w:val="-12"/>
        </w:rPr>
        <w:t xml:space="preserve"> </w:t>
      </w:r>
      <w:r>
        <w:t>of</w:t>
      </w:r>
      <w:r>
        <w:rPr>
          <w:spacing w:val="-12"/>
        </w:rPr>
        <w:t xml:space="preserve"> </w:t>
      </w:r>
      <w:r>
        <w:t>the</w:t>
      </w:r>
      <w:r>
        <w:rPr>
          <w:spacing w:val="-10"/>
        </w:rPr>
        <w:t xml:space="preserve"> </w:t>
      </w:r>
      <w:r>
        <w:t>sales of other respondents was not a sufficient disclosure of facts and reasoning relevant to MOFCOM's</w:t>
      </w:r>
      <w:r>
        <w:rPr>
          <w:spacing w:val="-3"/>
        </w:rPr>
        <w:t xml:space="preserve"> </w:t>
      </w:r>
      <w:r>
        <w:t>methodology.</w:t>
      </w:r>
      <w:r>
        <w:rPr>
          <w:spacing w:val="-4"/>
        </w:rPr>
        <w:t xml:space="preserve"> </w:t>
      </w:r>
      <w:r>
        <w:t>Casella</w:t>
      </w:r>
      <w:r>
        <w:rPr>
          <w:spacing w:val="-3"/>
        </w:rPr>
        <w:t xml:space="preserve"> </w:t>
      </w:r>
      <w:r>
        <w:t>Wines</w:t>
      </w:r>
      <w:r>
        <w:rPr>
          <w:spacing w:val="-4"/>
        </w:rPr>
        <w:t xml:space="preserve"> </w:t>
      </w:r>
      <w:r>
        <w:t>was</w:t>
      </w:r>
      <w:r>
        <w:rPr>
          <w:spacing w:val="-4"/>
        </w:rPr>
        <w:t xml:space="preserve"> </w:t>
      </w:r>
      <w:r>
        <w:t>not</w:t>
      </w:r>
      <w:r>
        <w:rPr>
          <w:spacing w:val="-5"/>
        </w:rPr>
        <w:t xml:space="preserve"> </w:t>
      </w:r>
      <w:r>
        <w:t>in</w:t>
      </w:r>
      <w:r>
        <w:rPr>
          <w:spacing w:val="-4"/>
        </w:rPr>
        <w:t xml:space="preserve"> </w:t>
      </w:r>
      <w:r>
        <w:t>a</w:t>
      </w:r>
      <w:r>
        <w:rPr>
          <w:spacing w:val="-4"/>
        </w:rPr>
        <w:t xml:space="preserve"> </w:t>
      </w:r>
      <w:r>
        <w:t>position</w:t>
      </w:r>
      <w:r>
        <w:rPr>
          <w:spacing w:val="-5"/>
        </w:rPr>
        <w:t xml:space="preserve"> </w:t>
      </w:r>
      <w:r>
        <w:t>to</w:t>
      </w:r>
      <w:r>
        <w:rPr>
          <w:spacing w:val="-3"/>
        </w:rPr>
        <w:t xml:space="preserve"> </w:t>
      </w:r>
      <w:r>
        <w:t>know:</w:t>
      </w:r>
      <w:r>
        <w:rPr>
          <w:spacing w:val="-4"/>
        </w:rPr>
        <w:t xml:space="preserve"> </w:t>
      </w:r>
      <w:r>
        <w:t>(i)</w:t>
      </w:r>
      <w:r>
        <w:rPr>
          <w:spacing w:val="-5"/>
        </w:rPr>
        <w:t xml:space="preserve"> </w:t>
      </w:r>
      <w:r>
        <w:t>what</w:t>
      </w:r>
      <w:r>
        <w:rPr>
          <w:spacing w:val="-4"/>
        </w:rPr>
        <w:t xml:space="preserve"> </w:t>
      </w:r>
      <w:r>
        <w:t>expenses</w:t>
      </w:r>
      <w:r>
        <w:rPr>
          <w:spacing w:val="-5"/>
        </w:rPr>
        <w:t xml:space="preserve"> </w:t>
      </w:r>
      <w:r>
        <w:t xml:space="preserve">had </w:t>
      </w:r>
      <w:r>
        <w:rPr>
          <w:w w:val="95"/>
        </w:rPr>
        <w:t>been</w:t>
      </w:r>
      <w:r>
        <w:rPr>
          <w:spacing w:val="10"/>
        </w:rPr>
        <w:t xml:space="preserve"> </w:t>
      </w:r>
      <w:r>
        <w:rPr>
          <w:w w:val="95"/>
        </w:rPr>
        <w:t>used,</w:t>
      </w:r>
      <w:r>
        <w:rPr>
          <w:spacing w:val="9"/>
        </w:rPr>
        <w:t xml:space="preserve"> </w:t>
      </w:r>
      <w:r>
        <w:rPr>
          <w:w w:val="95"/>
        </w:rPr>
        <w:t>particularly</w:t>
      </w:r>
      <w:r>
        <w:rPr>
          <w:spacing w:val="10"/>
        </w:rPr>
        <w:t xml:space="preserve"> </w:t>
      </w:r>
      <w:r>
        <w:rPr>
          <w:w w:val="95"/>
        </w:rPr>
        <w:t>after</w:t>
      </w:r>
      <w:r>
        <w:rPr>
          <w:spacing w:val="10"/>
        </w:rPr>
        <w:t xml:space="preserve"> </w:t>
      </w:r>
      <w:r>
        <w:rPr>
          <w:w w:val="95"/>
        </w:rPr>
        <w:t>MOFCOM</w:t>
      </w:r>
      <w:r>
        <w:rPr>
          <w:spacing w:val="11"/>
        </w:rPr>
        <w:t xml:space="preserve"> </w:t>
      </w:r>
      <w:r>
        <w:rPr>
          <w:w w:val="95"/>
        </w:rPr>
        <w:t>had</w:t>
      </w:r>
      <w:r>
        <w:rPr>
          <w:spacing w:val="10"/>
        </w:rPr>
        <w:t xml:space="preserve"> </w:t>
      </w:r>
      <w:r>
        <w:rPr>
          <w:w w:val="95"/>
        </w:rPr>
        <w:t>said</w:t>
      </w:r>
      <w:r>
        <w:rPr>
          <w:spacing w:val="12"/>
        </w:rPr>
        <w:t xml:space="preserve"> </w:t>
      </w:r>
      <w:r>
        <w:rPr>
          <w:w w:val="95"/>
        </w:rPr>
        <w:t>it</w:t>
      </w:r>
      <w:r>
        <w:rPr>
          <w:spacing w:val="10"/>
        </w:rPr>
        <w:t xml:space="preserve"> </w:t>
      </w:r>
      <w:r>
        <w:rPr>
          <w:w w:val="95"/>
        </w:rPr>
        <w:t>could</w:t>
      </w:r>
      <w:r>
        <w:rPr>
          <w:spacing w:val="9"/>
        </w:rPr>
        <w:t xml:space="preserve"> </w:t>
      </w:r>
      <w:r>
        <w:rPr>
          <w:w w:val="95"/>
        </w:rPr>
        <w:t>not</w:t>
      </w:r>
      <w:r>
        <w:rPr>
          <w:spacing w:val="9"/>
        </w:rPr>
        <w:t xml:space="preserve"> </w:t>
      </w:r>
      <w:r>
        <w:rPr>
          <w:w w:val="95"/>
        </w:rPr>
        <w:t>verify</w:t>
      </w:r>
      <w:r>
        <w:rPr>
          <w:spacing w:val="10"/>
        </w:rPr>
        <w:t xml:space="preserve"> </w:t>
      </w:r>
      <w:r>
        <w:rPr>
          <w:w w:val="95"/>
        </w:rPr>
        <w:t>most</w:t>
      </w:r>
      <w:r>
        <w:rPr>
          <w:spacing w:val="10"/>
        </w:rPr>
        <w:t xml:space="preserve"> </w:t>
      </w:r>
      <w:r>
        <w:rPr>
          <w:w w:val="95"/>
        </w:rPr>
        <w:t>of</w:t>
      </w:r>
      <w:r>
        <w:rPr>
          <w:spacing w:val="11"/>
        </w:rPr>
        <w:t xml:space="preserve"> </w:t>
      </w:r>
      <w:r>
        <w:rPr>
          <w:w w:val="95"/>
        </w:rPr>
        <w:t>Casella</w:t>
      </w:r>
      <w:r>
        <w:rPr>
          <w:spacing w:val="10"/>
        </w:rPr>
        <w:t xml:space="preserve"> </w:t>
      </w:r>
      <w:r>
        <w:rPr>
          <w:w w:val="95"/>
        </w:rPr>
        <w:t>Wines'</w:t>
      </w:r>
      <w:r>
        <w:rPr>
          <w:spacing w:val="9"/>
        </w:rPr>
        <w:t xml:space="preserve"> </w:t>
      </w:r>
      <w:r>
        <w:rPr>
          <w:spacing w:val="-2"/>
          <w:w w:val="95"/>
        </w:rPr>
        <w:t>data,</w:t>
      </w:r>
    </w:p>
    <w:p w14:paraId="51DE9C39" w14:textId="77777777" w:rsidR="0010369C" w:rsidRDefault="008E43AE">
      <w:pPr>
        <w:pStyle w:val="ListParagraph"/>
        <w:numPr>
          <w:ilvl w:val="0"/>
          <w:numId w:val="14"/>
        </w:numPr>
        <w:tabs>
          <w:tab w:val="left" w:pos="554"/>
        </w:tabs>
        <w:spacing w:before="0" w:line="362" w:lineRule="auto"/>
        <w:ind w:right="615" w:firstLine="0"/>
        <w:jc w:val="both"/>
        <w:rPr>
          <w:sz w:val="24"/>
        </w:rPr>
      </w:pPr>
      <w:r>
        <w:rPr>
          <w:sz w:val="24"/>
        </w:rPr>
        <w:t xml:space="preserve">what weights were used in the "weighted" average, or (iii) how the "adjustment" process </w:t>
      </w:r>
      <w:r>
        <w:rPr>
          <w:spacing w:val="-2"/>
          <w:sz w:val="24"/>
        </w:rPr>
        <w:t>unfolded.</w:t>
      </w:r>
    </w:p>
    <w:p w14:paraId="51DE9C3A" w14:textId="77777777" w:rsidR="0010369C" w:rsidRDefault="0010369C">
      <w:pPr>
        <w:pStyle w:val="BodyText"/>
        <w:spacing w:before="4"/>
        <w:rPr>
          <w:sz w:val="8"/>
        </w:rPr>
      </w:pPr>
    </w:p>
    <w:p w14:paraId="51DE9C3B" w14:textId="77777777" w:rsidR="0010369C" w:rsidRDefault="008E43AE">
      <w:pPr>
        <w:pStyle w:val="BodyText"/>
        <w:spacing w:before="52" w:line="360" w:lineRule="auto"/>
        <w:ind w:left="238" w:right="614" w:firstLine="851"/>
        <w:jc w:val="both"/>
      </w:pPr>
      <w:r>
        <w:rPr>
          <w:noProof/>
        </w:rPr>
        <w:drawing>
          <wp:anchor distT="0" distB="0" distL="0" distR="0" simplePos="0" relativeHeight="251660800" behindDoc="1" locked="0" layoutInCell="1" allowOverlap="1" wp14:anchorId="51DEA96F" wp14:editId="51DEA970">
            <wp:simplePos x="0" y="0"/>
            <wp:positionH relativeFrom="page">
              <wp:posOffset>908303</wp:posOffset>
            </wp:positionH>
            <wp:positionV relativeFrom="paragraph">
              <wp:posOffset>80595</wp:posOffset>
            </wp:positionV>
            <wp:extent cx="332231" cy="103631"/>
            <wp:effectExtent l="0" t="0" r="0" b="0"/>
            <wp:wrapNone/>
            <wp:docPr id="2145" name="image1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 name="image1100.png"/>
                    <pic:cNvPicPr/>
                  </pic:nvPicPr>
                  <pic:blipFill>
                    <a:blip r:embed="rId1405" cstate="print"/>
                    <a:stretch>
                      <a:fillRect/>
                    </a:stretch>
                  </pic:blipFill>
                  <pic:spPr>
                    <a:xfrm>
                      <a:off x="0" y="0"/>
                      <a:ext cx="332231" cy="103631"/>
                    </a:xfrm>
                    <a:prstGeom prst="rect">
                      <a:avLst/>
                    </a:prstGeom>
                  </pic:spPr>
                </pic:pic>
              </a:graphicData>
            </a:graphic>
          </wp:anchor>
        </w:drawing>
      </w:r>
      <w:r>
        <w:t>Similarly,</w:t>
      </w:r>
      <w:r>
        <w:rPr>
          <w:spacing w:val="-9"/>
        </w:rPr>
        <w:t xml:space="preserve"> </w:t>
      </w:r>
      <w:r>
        <w:t>MOFCOM</w:t>
      </w:r>
      <w:r>
        <w:rPr>
          <w:spacing w:val="-10"/>
        </w:rPr>
        <w:t xml:space="preserve"> </w:t>
      </w:r>
      <w:r>
        <w:t>dismissed</w:t>
      </w:r>
      <w:r>
        <w:rPr>
          <w:spacing w:val="-9"/>
        </w:rPr>
        <w:t xml:space="preserve"> </w:t>
      </w:r>
      <w:r>
        <w:t>the</w:t>
      </w:r>
      <w:r>
        <w:rPr>
          <w:spacing w:val="-9"/>
        </w:rPr>
        <w:t xml:space="preserve"> </w:t>
      </w:r>
      <w:r>
        <w:t>information</w:t>
      </w:r>
      <w:r>
        <w:rPr>
          <w:spacing w:val="-11"/>
        </w:rPr>
        <w:t xml:space="preserve"> </w:t>
      </w:r>
      <w:r>
        <w:t>supplied</w:t>
      </w:r>
      <w:r>
        <w:rPr>
          <w:spacing w:val="-10"/>
        </w:rPr>
        <w:t xml:space="preserve"> </w:t>
      </w:r>
      <w:r>
        <w:t>by</w:t>
      </w:r>
      <w:r>
        <w:rPr>
          <w:spacing w:val="-9"/>
        </w:rPr>
        <w:t xml:space="preserve"> </w:t>
      </w:r>
      <w:r>
        <w:t>Swan</w:t>
      </w:r>
      <w:r>
        <w:rPr>
          <w:spacing w:val="-10"/>
        </w:rPr>
        <w:t xml:space="preserve"> </w:t>
      </w:r>
      <w:r>
        <w:t>Vintage</w:t>
      </w:r>
      <w:r>
        <w:rPr>
          <w:spacing w:val="-9"/>
        </w:rPr>
        <w:t xml:space="preserve"> </w:t>
      </w:r>
      <w:r>
        <w:t>on</w:t>
      </w:r>
      <w:r>
        <w:rPr>
          <w:spacing w:val="-10"/>
        </w:rPr>
        <w:t xml:space="preserve"> </w:t>
      </w:r>
      <w:r>
        <w:t>the</w:t>
      </w:r>
      <w:r>
        <w:rPr>
          <w:spacing w:val="-9"/>
        </w:rPr>
        <w:t xml:space="preserve"> </w:t>
      </w:r>
      <w:r>
        <w:t>basis of alleged deficiencies in the accuracy of the data, concluding that it "could not calculate the Company's constructed normal value based on the costs and expenses reported by it".</w:t>
      </w:r>
      <w:r>
        <w:rPr>
          <w:vertAlign w:val="superscript"/>
        </w:rPr>
        <w:t>1255</w:t>
      </w:r>
      <w:r>
        <w:t xml:space="preserve"> Instead, MOFCOM resolved to use "known facts and the best informa</w:t>
      </w:r>
      <w:r>
        <w:t>tion available to determine</w:t>
      </w:r>
      <w:r>
        <w:rPr>
          <w:spacing w:val="43"/>
        </w:rPr>
        <w:t xml:space="preserve"> </w:t>
      </w:r>
      <w:r>
        <w:t>the</w:t>
      </w:r>
      <w:r>
        <w:rPr>
          <w:spacing w:val="42"/>
        </w:rPr>
        <w:t xml:space="preserve"> </w:t>
      </w:r>
      <w:r>
        <w:t>Company's</w:t>
      </w:r>
      <w:r>
        <w:rPr>
          <w:spacing w:val="42"/>
        </w:rPr>
        <w:t xml:space="preserve"> </w:t>
      </w:r>
      <w:r>
        <w:t>normal</w:t>
      </w:r>
      <w:r>
        <w:rPr>
          <w:spacing w:val="42"/>
        </w:rPr>
        <w:t xml:space="preserve"> </w:t>
      </w:r>
      <w:r>
        <w:t>value".</w:t>
      </w:r>
      <w:r>
        <w:rPr>
          <w:vertAlign w:val="superscript"/>
        </w:rPr>
        <w:t>1256</w:t>
      </w:r>
      <w:r>
        <w:rPr>
          <w:spacing w:val="41"/>
        </w:rPr>
        <w:t xml:space="preserve"> </w:t>
      </w:r>
      <w:r>
        <w:t>MOFCOM</w:t>
      </w:r>
      <w:r>
        <w:rPr>
          <w:spacing w:val="42"/>
        </w:rPr>
        <w:t xml:space="preserve"> </w:t>
      </w:r>
      <w:r>
        <w:t>then</w:t>
      </w:r>
      <w:r>
        <w:rPr>
          <w:spacing w:val="42"/>
        </w:rPr>
        <w:t xml:space="preserve"> </w:t>
      </w:r>
      <w:r>
        <w:t>announced</w:t>
      </w:r>
      <w:r>
        <w:rPr>
          <w:spacing w:val="40"/>
        </w:rPr>
        <w:t xml:space="preserve"> </w:t>
      </w:r>
      <w:r>
        <w:t>it</w:t>
      </w:r>
      <w:r>
        <w:rPr>
          <w:spacing w:val="42"/>
        </w:rPr>
        <w:t xml:space="preserve"> </w:t>
      </w:r>
      <w:r>
        <w:t>"conducted</w:t>
      </w:r>
      <w:r>
        <w:rPr>
          <w:spacing w:val="44"/>
        </w:rPr>
        <w:t xml:space="preserve"> </w:t>
      </w:r>
      <w:r>
        <w:rPr>
          <w:spacing w:val="-10"/>
        </w:rPr>
        <w:t>a</w:t>
      </w:r>
    </w:p>
    <w:p w14:paraId="51DE9C3C" w14:textId="77777777" w:rsidR="0010369C" w:rsidRDefault="0010369C">
      <w:pPr>
        <w:pStyle w:val="BodyText"/>
        <w:rPr>
          <w:sz w:val="20"/>
        </w:rPr>
      </w:pPr>
    </w:p>
    <w:p w14:paraId="51DE9C3D" w14:textId="77777777" w:rsidR="0010369C" w:rsidRDefault="0010369C">
      <w:pPr>
        <w:pStyle w:val="BodyText"/>
        <w:rPr>
          <w:sz w:val="20"/>
        </w:rPr>
      </w:pPr>
    </w:p>
    <w:p w14:paraId="51DE9C3E" w14:textId="77777777" w:rsidR="0010369C" w:rsidRDefault="0010369C">
      <w:pPr>
        <w:pStyle w:val="BodyText"/>
        <w:rPr>
          <w:sz w:val="20"/>
        </w:rPr>
      </w:pPr>
    </w:p>
    <w:p w14:paraId="51DE9C3F" w14:textId="77777777" w:rsidR="0010369C" w:rsidRDefault="008E43AE">
      <w:pPr>
        <w:pStyle w:val="BodyText"/>
        <w:spacing w:before="4"/>
        <w:rPr>
          <w:sz w:val="25"/>
        </w:rPr>
      </w:pPr>
      <w:r>
        <w:pict w14:anchorId="51DEA971">
          <v:rect id="docshape1479" o:spid="_x0000_s1040" style="position:absolute;margin-left:70.9pt;margin-top:16.65pt;width:2in;height:.8pt;z-index:-250657280;mso-wrap-distance-left:0;mso-wrap-distance-right:0;mso-position-horizontal-relative:page" fillcolor="black" stroked="f">
            <w10:wrap type="topAndBottom" anchorx="page"/>
          </v:rect>
        </w:pict>
      </w:r>
    </w:p>
    <w:p w14:paraId="51DE9C40" w14:textId="77777777" w:rsidR="0010369C" w:rsidRDefault="008E43AE">
      <w:pPr>
        <w:spacing w:before="110"/>
        <w:ind w:left="238" w:right="4904"/>
        <w:rPr>
          <w:sz w:val="18"/>
        </w:rPr>
      </w:pPr>
      <w:r>
        <w:rPr>
          <w:sz w:val="18"/>
          <w:vertAlign w:val="superscript"/>
        </w:rPr>
        <w:t>1253</w:t>
      </w:r>
      <w:r>
        <w:rPr>
          <w:spacing w:val="19"/>
          <w:sz w:val="18"/>
        </w:rPr>
        <w:t xml:space="preserve"> </w:t>
      </w:r>
      <w:r>
        <w:rPr>
          <w:sz w:val="18"/>
        </w:rPr>
        <w:t>Anti‐Dumping</w:t>
      </w:r>
      <w:r>
        <w:rPr>
          <w:spacing w:val="19"/>
          <w:sz w:val="18"/>
        </w:rPr>
        <w:t xml:space="preserve"> </w:t>
      </w:r>
      <w:r>
        <w:rPr>
          <w:sz w:val="18"/>
        </w:rPr>
        <w:t>Final</w:t>
      </w:r>
      <w:r>
        <w:rPr>
          <w:spacing w:val="19"/>
          <w:sz w:val="18"/>
        </w:rPr>
        <w:t xml:space="preserve"> </w:t>
      </w:r>
      <w:r>
        <w:rPr>
          <w:sz w:val="18"/>
        </w:rPr>
        <w:t>Determination</w:t>
      </w:r>
      <w:r>
        <w:rPr>
          <w:spacing w:val="20"/>
          <w:sz w:val="18"/>
        </w:rPr>
        <w:t xml:space="preserve"> </w:t>
      </w:r>
      <w:r>
        <w:rPr>
          <w:sz w:val="18"/>
        </w:rPr>
        <w:t>(Exhibit</w:t>
      </w:r>
      <w:r>
        <w:rPr>
          <w:spacing w:val="19"/>
          <w:sz w:val="18"/>
        </w:rPr>
        <w:t xml:space="preserve"> </w:t>
      </w:r>
      <w:r>
        <w:rPr>
          <w:sz w:val="18"/>
        </w:rPr>
        <w:t>AUS‐2),</w:t>
      </w:r>
      <w:r>
        <w:rPr>
          <w:spacing w:val="17"/>
          <w:sz w:val="18"/>
        </w:rPr>
        <w:t xml:space="preserve"> </w:t>
      </w:r>
      <w:r>
        <w:rPr>
          <w:sz w:val="18"/>
        </w:rPr>
        <w:t>p.</w:t>
      </w:r>
      <w:r>
        <w:rPr>
          <w:spacing w:val="19"/>
          <w:sz w:val="18"/>
        </w:rPr>
        <w:t xml:space="preserve"> </w:t>
      </w:r>
      <w:r>
        <w:rPr>
          <w:sz w:val="18"/>
        </w:rPr>
        <w:t xml:space="preserve">84. </w:t>
      </w:r>
      <w:r>
        <w:rPr>
          <w:sz w:val="18"/>
          <w:vertAlign w:val="superscript"/>
        </w:rPr>
        <w:t>1254</w:t>
      </w:r>
      <w:r>
        <w:rPr>
          <w:spacing w:val="-5"/>
          <w:sz w:val="18"/>
        </w:rPr>
        <w:t xml:space="preserve"> </w:t>
      </w:r>
      <w:r>
        <w:rPr>
          <w:sz w:val="18"/>
        </w:rPr>
        <w:t>Anti‐Dumping</w:t>
      </w:r>
      <w:r>
        <w:rPr>
          <w:spacing w:val="-5"/>
          <w:sz w:val="18"/>
        </w:rPr>
        <w:t xml:space="preserve"> </w:t>
      </w:r>
      <w:r>
        <w:rPr>
          <w:sz w:val="18"/>
        </w:rPr>
        <w:t>Final</w:t>
      </w:r>
      <w:r>
        <w:rPr>
          <w:spacing w:val="-5"/>
          <w:sz w:val="18"/>
        </w:rPr>
        <w:t xml:space="preserve"> </w:t>
      </w:r>
      <w:r>
        <w:rPr>
          <w:sz w:val="18"/>
        </w:rPr>
        <w:t>Determination</w:t>
      </w:r>
      <w:r>
        <w:rPr>
          <w:spacing w:val="-4"/>
          <w:sz w:val="18"/>
        </w:rPr>
        <w:t xml:space="preserve"> </w:t>
      </w:r>
      <w:r>
        <w:rPr>
          <w:sz w:val="18"/>
        </w:rPr>
        <w:t>(Exhibit</w:t>
      </w:r>
      <w:r>
        <w:rPr>
          <w:spacing w:val="-5"/>
          <w:sz w:val="18"/>
        </w:rPr>
        <w:t xml:space="preserve"> </w:t>
      </w:r>
      <w:r>
        <w:rPr>
          <w:sz w:val="18"/>
        </w:rPr>
        <w:t>AUS‐2),</w:t>
      </w:r>
      <w:r>
        <w:rPr>
          <w:spacing w:val="-5"/>
          <w:sz w:val="18"/>
        </w:rPr>
        <w:t xml:space="preserve"> </w:t>
      </w:r>
      <w:r>
        <w:rPr>
          <w:sz w:val="18"/>
        </w:rPr>
        <w:t>pp.</w:t>
      </w:r>
      <w:r>
        <w:rPr>
          <w:spacing w:val="-5"/>
          <w:sz w:val="18"/>
        </w:rPr>
        <w:t xml:space="preserve"> </w:t>
      </w:r>
      <w:r>
        <w:rPr>
          <w:sz w:val="18"/>
        </w:rPr>
        <w:t xml:space="preserve">84‐85. </w:t>
      </w:r>
      <w:r>
        <w:rPr>
          <w:sz w:val="18"/>
          <w:vertAlign w:val="superscript"/>
        </w:rPr>
        <w:t>1255</w:t>
      </w:r>
      <w:r>
        <w:rPr>
          <w:sz w:val="18"/>
        </w:rPr>
        <w:t xml:space="preserve"> Anti‐Dumping Final Determination (Exhibit AUS‐2), p. 91.</w:t>
      </w:r>
    </w:p>
    <w:p w14:paraId="51DE9C41" w14:textId="77777777" w:rsidR="0010369C" w:rsidRDefault="008E43AE">
      <w:pPr>
        <w:spacing w:line="219" w:lineRule="exact"/>
        <w:ind w:left="238"/>
        <w:rPr>
          <w:sz w:val="18"/>
        </w:rPr>
      </w:pPr>
      <w:r>
        <w:rPr>
          <w:sz w:val="18"/>
          <w:vertAlign w:val="superscript"/>
        </w:rPr>
        <w:t>1256</w:t>
      </w:r>
      <w:r>
        <w:rPr>
          <w:spacing w:val="-9"/>
          <w:sz w:val="18"/>
        </w:rPr>
        <w:t xml:space="preserve"> </w:t>
      </w:r>
      <w:r>
        <w:rPr>
          <w:sz w:val="18"/>
        </w:rPr>
        <w:t>Anti‐Dumping</w:t>
      </w:r>
      <w:r>
        <w:rPr>
          <w:spacing w:val="-9"/>
          <w:sz w:val="18"/>
        </w:rPr>
        <w:t xml:space="preserve"> </w:t>
      </w:r>
      <w:r>
        <w:rPr>
          <w:sz w:val="18"/>
        </w:rPr>
        <w:t>Final</w:t>
      </w:r>
      <w:r>
        <w:rPr>
          <w:spacing w:val="-9"/>
          <w:sz w:val="18"/>
        </w:rPr>
        <w:t xml:space="preserve"> </w:t>
      </w:r>
      <w:r>
        <w:rPr>
          <w:sz w:val="18"/>
        </w:rPr>
        <w:t>Determination</w:t>
      </w:r>
      <w:r>
        <w:rPr>
          <w:spacing w:val="-8"/>
          <w:sz w:val="18"/>
        </w:rPr>
        <w:t xml:space="preserve"> </w:t>
      </w:r>
      <w:r>
        <w:rPr>
          <w:sz w:val="18"/>
        </w:rPr>
        <w:t>(Exhibit</w:t>
      </w:r>
      <w:r>
        <w:rPr>
          <w:spacing w:val="-9"/>
          <w:sz w:val="18"/>
        </w:rPr>
        <w:t xml:space="preserve"> </w:t>
      </w:r>
      <w:r>
        <w:rPr>
          <w:sz w:val="18"/>
        </w:rPr>
        <w:t>AUS‐2),</w:t>
      </w:r>
      <w:r>
        <w:rPr>
          <w:spacing w:val="-10"/>
          <w:sz w:val="18"/>
        </w:rPr>
        <w:t xml:space="preserve"> </w:t>
      </w:r>
      <w:r>
        <w:rPr>
          <w:sz w:val="18"/>
        </w:rPr>
        <w:t>p.</w:t>
      </w:r>
      <w:r>
        <w:rPr>
          <w:spacing w:val="-9"/>
          <w:sz w:val="18"/>
        </w:rPr>
        <w:t xml:space="preserve"> </w:t>
      </w:r>
      <w:r>
        <w:rPr>
          <w:spacing w:val="-5"/>
          <w:sz w:val="18"/>
        </w:rPr>
        <w:t>91.</w:t>
      </w:r>
    </w:p>
    <w:p w14:paraId="51DE9C42" w14:textId="77777777" w:rsidR="0010369C" w:rsidRDefault="0010369C">
      <w:pPr>
        <w:spacing w:line="219" w:lineRule="exact"/>
        <w:rPr>
          <w:sz w:val="18"/>
        </w:rPr>
        <w:sectPr w:rsidR="0010369C">
          <w:pgSz w:w="11910" w:h="16840"/>
          <w:pgMar w:top="880" w:right="800" w:bottom="980" w:left="1180" w:header="569" w:footer="788" w:gutter="0"/>
          <w:cols w:space="720"/>
        </w:sectPr>
      </w:pPr>
    </w:p>
    <w:p w14:paraId="51DE9C43" w14:textId="77777777" w:rsidR="0010369C" w:rsidRDefault="008E43AE">
      <w:pPr>
        <w:tabs>
          <w:tab w:val="left" w:pos="6425"/>
        </w:tabs>
        <w:ind w:left="238"/>
        <w:rPr>
          <w:sz w:val="20"/>
        </w:rPr>
      </w:pPr>
      <w:r>
        <w:rPr>
          <w:i/>
          <w:sz w:val="20"/>
        </w:rPr>
        <w:lastRenderedPageBreak/>
        <w:t>China</w:t>
      </w:r>
      <w:r>
        <w:rPr>
          <w:i/>
          <w:spacing w:val="-5"/>
          <w:sz w:val="20"/>
        </w:rPr>
        <w:t xml:space="preserve"> </w:t>
      </w:r>
      <w:r>
        <w:rPr>
          <w:i/>
          <w:sz w:val="20"/>
        </w:rPr>
        <w:t>–</w:t>
      </w:r>
      <w:r>
        <w:rPr>
          <w:i/>
          <w:spacing w:val="-5"/>
          <w:sz w:val="20"/>
        </w:rPr>
        <w:t xml:space="preserve"> </w:t>
      </w:r>
      <w:r>
        <w:rPr>
          <w:i/>
          <w:sz w:val="20"/>
        </w:rPr>
        <w:t>Anti‐Dumping</w:t>
      </w:r>
      <w:r>
        <w:rPr>
          <w:i/>
          <w:spacing w:val="-4"/>
          <w:sz w:val="20"/>
        </w:rPr>
        <w:t xml:space="preserve"> </w:t>
      </w:r>
      <w:r>
        <w:rPr>
          <w:i/>
          <w:sz w:val="20"/>
        </w:rPr>
        <w:t>and</w:t>
      </w:r>
      <w:r>
        <w:rPr>
          <w:i/>
          <w:spacing w:val="-5"/>
          <w:sz w:val="20"/>
        </w:rPr>
        <w:t xml:space="preserve"> </w:t>
      </w:r>
      <w:r>
        <w:rPr>
          <w:i/>
          <w:sz w:val="20"/>
        </w:rPr>
        <w:t>Countervailing</w:t>
      </w:r>
      <w:r>
        <w:rPr>
          <w:i/>
          <w:spacing w:val="-5"/>
          <w:sz w:val="20"/>
        </w:rPr>
        <w:t xml:space="preserve"> </w:t>
      </w:r>
      <w:r>
        <w:rPr>
          <w:i/>
          <w:sz w:val="20"/>
        </w:rPr>
        <w:t>Duty</w:t>
      </w:r>
      <w:r>
        <w:rPr>
          <w:i/>
          <w:spacing w:val="-4"/>
          <w:sz w:val="20"/>
        </w:rPr>
        <w:t xml:space="preserve"> </w:t>
      </w:r>
      <w:r>
        <w:rPr>
          <w:i/>
          <w:spacing w:val="-2"/>
          <w:sz w:val="20"/>
        </w:rPr>
        <w:t>Measures</w:t>
      </w:r>
      <w:r>
        <w:rPr>
          <w:i/>
          <w:sz w:val="20"/>
        </w:rPr>
        <w:tab/>
      </w:r>
      <w:r>
        <w:rPr>
          <w:sz w:val="20"/>
        </w:rPr>
        <w:t>Australia's</w:t>
      </w:r>
      <w:r>
        <w:rPr>
          <w:spacing w:val="-7"/>
          <w:sz w:val="20"/>
        </w:rPr>
        <w:t xml:space="preserve"> </w:t>
      </w:r>
      <w:r>
        <w:rPr>
          <w:sz w:val="20"/>
        </w:rPr>
        <w:t>First</w:t>
      </w:r>
      <w:r>
        <w:rPr>
          <w:spacing w:val="-2"/>
          <w:sz w:val="20"/>
        </w:rPr>
        <w:t xml:space="preserve"> </w:t>
      </w:r>
      <w:r>
        <w:rPr>
          <w:sz w:val="20"/>
        </w:rPr>
        <w:t>Written</w:t>
      </w:r>
      <w:r>
        <w:rPr>
          <w:spacing w:val="-2"/>
          <w:sz w:val="20"/>
        </w:rPr>
        <w:t xml:space="preserve"> Submission</w:t>
      </w:r>
    </w:p>
    <w:p w14:paraId="51DE9C44" w14:textId="77777777" w:rsidR="0010369C" w:rsidRDefault="008E43AE">
      <w:pPr>
        <w:tabs>
          <w:tab w:val="left" w:pos="8227"/>
        </w:tabs>
        <w:spacing w:before="1"/>
        <w:ind w:left="239"/>
        <w:rPr>
          <w:sz w:val="20"/>
        </w:rPr>
      </w:pPr>
      <w:r>
        <w:rPr>
          <w:i/>
          <w:sz w:val="20"/>
        </w:rPr>
        <w:t>on</w:t>
      </w:r>
      <w:r>
        <w:rPr>
          <w:i/>
          <w:spacing w:val="-1"/>
          <w:sz w:val="20"/>
        </w:rPr>
        <w:t xml:space="preserve"> </w:t>
      </w:r>
      <w:r>
        <w:rPr>
          <w:i/>
          <w:sz w:val="20"/>
        </w:rPr>
        <w:t>Wine</w:t>
      </w:r>
      <w:r>
        <w:rPr>
          <w:i/>
          <w:spacing w:val="-1"/>
          <w:sz w:val="20"/>
        </w:rPr>
        <w:t xml:space="preserve"> </w:t>
      </w:r>
      <w:r>
        <w:rPr>
          <w:i/>
          <w:sz w:val="20"/>
        </w:rPr>
        <w:t>from</w:t>
      </w:r>
      <w:r>
        <w:rPr>
          <w:i/>
          <w:spacing w:val="-3"/>
          <w:sz w:val="20"/>
        </w:rPr>
        <w:t xml:space="preserve"> </w:t>
      </w:r>
      <w:r>
        <w:rPr>
          <w:i/>
          <w:sz w:val="20"/>
        </w:rPr>
        <w:t>Australia</w:t>
      </w:r>
      <w:r>
        <w:rPr>
          <w:i/>
          <w:spacing w:val="-1"/>
          <w:sz w:val="20"/>
        </w:rPr>
        <w:t xml:space="preserve"> </w:t>
      </w:r>
      <w:r>
        <w:rPr>
          <w:spacing w:val="-2"/>
          <w:sz w:val="20"/>
        </w:rPr>
        <w:t>(DS602)</w:t>
      </w:r>
      <w:r>
        <w:rPr>
          <w:sz w:val="20"/>
        </w:rPr>
        <w:tab/>
        <w:t>29</w:t>
      </w:r>
      <w:r>
        <w:rPr>
          <w:spacing w:val="-1"/>
          <w:sz w:val="20"/>
        </w:rPr>
        <w:t xml:space="preserve"> </w:t>
      </w:r>
      <w:r>
        <w:rPr>
          <w:sz w:val="20"/>
        </w:rPr>
        <w:t>April</w:t>
      </w:r>
      <w:r>
        <w:rPr>
          <w:spacing w:val="-2"/>
          <w:sz w:val="20"/>
        </w:rPr>
        <w:t xml:space="preserve"> </w:t>
      </w:r>
      <w:r>
        <w:rPr>
          <w:spacing w:val="-4"/>
          <w:sz w:val="20"/>
        </w:rPr>
        <w:t>2022</w:t>
      </w:r>
    </w:p>
    <w:p w14:paraId="51DE9C45" w14:textId="77777777" w:rsidR="0010369C" w:rsidRDefault="008E43AE">
      <w:pPr>
        <w:pStyle w:val="BodyText"/>
        <w:spacing w:before="34" w:line="360" w:lineRule="auto"/>
        <w:ind w:left="238" w:right="614"/>
      </w:pPr>
      <w:r>
        <w:t>comparative</w:t>
      </w:r>
      <w:r>
        <w:rPr>
          <w:spacing w:val="35"/>
        </w:rPr>
        <w:t xml:space="preserve"> </w:t>
      </w:r>
      <w:r>
        <w:t>analysis</w:t>
      </w:r>
      <w:r>
        <w:rPr>
          <w:spacing w:val="36"/>
        </w:rPr>
        <w:t xml:space="preserve"> </w:t>
      </w:r>
      <w:r>
        <w:t>of</w:t>
      </w:r>
      <w:r>
        <w:rPr>
          <w:spacing w:val="34"/>
        </w:rPr>
        <w:t xml:space="preserve"> </w:t>
      </w:r>
      <w:r>
        <w:t>the</w:t>
      </w:r>
      <w:r>
        <w:rPr>
          <w:spacing w:val="36"/>
        </w:rPr>
        <w:t xml:space="preserve"> </w:t>
      </w:r>
      <w:r>
        <w:t>information</w:t>
      </w:r>
      <w:r>
        <w:rPr>
          <w:spacing w:val="37"/>
        </w:rPr>
        <w:t xml:space="preserve"> </w:t>
      </w:r>
      <w:r>
        <w:t>from</w:t>
      </w:r>
      <w:r>
        <w:rPr>
          <w:spacing w:val="34"/>
        </w:rPr>
        <w:t xml:space="preserve"> </w:t>
      </w:r>
      <w:r>
        <w:t>the</w:t>
      </w:r>
      <w:r>
        <w:rPr>
          <w:spacing w:val="36"/>
        </w:rPr>
        <w:t xml:space="preserve"> </w:t>
      </w:r>
      <w:r>
        <w:t>investigation",</w:t>
      </w:r>
      <w:r>
        <w:rPr>
          <w:spacing w:val="37"/>
        </w:rPr>
        <w:t xml:space="preserve"> </w:t>
      </w:r>
      <w:r>
        <w:t>without</w:t>
      </w:r>
      <w:r>
        <w:rPr>
          <w:spacing w:val="36"/>
        </w:rPr>
        <w:t xml:space="preserve"> </w:t>
      </w:r>
      <w:r>
        <w:t>explaining</w:t>
      </w:r>
      <w:r>
        <w:rPr>
          <w:spacing w:val="35"/>
        </w:rPr>
        <w:t xml:space="preserve"> </w:t>
      </w:r>
      <w:r>
        <w:t>what information was compared or what this "review" involved. MOFCOM stated that:</w:t>
      </w:r>
    </w:p>
    <w:p w14:paraId="51DE9C46" w14:textId="77777777" w:rsidR="0010369C" w:rsidRDefault="008E43AE">
      <w:pPr>
        <w:pStyle w:val="ListParagraph"/>
        <w:numPr>
          <w:ilvl w:val="1"/>
          <w:numId w:val="14"/>
        </w:numPr>
        <w:tabs>
          <w:tab w:val="left" w:pos="1352"/>
        </w:tabs>
        <w:spacing w:before="160" w:line="276" w:lineRule="auto"/>
        <w:ind w:right="613" w:firstLine="0"/>
        <w:jc w:val="both"/>
      </w:pPr>
      <w:r>
        <w:t>fter taking into account the physical properties of the pr</w:t>
      </w:r>
      <w:r>
        <w:t>oduct under investigation, the costs differences in different product types, trade links and other influencing factors, the Investigating Authority decided in the Final Ruling that the weighted average price of domestic</w:t>
      </w:r>
      <w:r>
        <w:rPr>
          <w:spacing w:val="-8"/>
        </w:rPr>
        <w:t xml:space="preserve"> </w:t>
      </w:r>
      <w:r>
        <w:t>sales</w:t>
      </w:r>
      <w:r>
        <w:rPr>
          <w:spacing w:val="-7"/>
        </w:rPr>
        <w:t xml:space="preserve"> </w:t>
      </w:r>
      <w:r>
        <w:t>of</w:t>
      </w:r>
      <w:r>
        <w:rPr>
          <w:spacing w:val="-8"/>
        </w:rPr>
        <w:t xml:space="preserve"> </w:t>
      </w:r>
      <w:r>
        <w:t>the</w:t>
      </w:r>
      <w:r>
        <w:rPr>
          <w:spacing w:val="-8"/>
        </w:rPr>
        <w:t xml:space="preserve"> </w:t>
      </w:r>
      <w:r>
        <w:t>product</w:t>
      </w:r>
      <w:r>
        <w:rPr>
          <w:spacing w:val="-7"/>
        </w:rPr>
        <w:t xml:space="preserve"> </w:t>
      </w:r>
      <w:r>
        <w:t>under</w:t>
      </w:r>
      <w:r>
        <w:rPr>
          <w:spacing w:val="-8"/>
        </w:rPr>
        <w:t xml:space="preserve"> </w:t>
      </w:r>
      <w:r>
        <w:t>investigation</w:t>
      </w:r>
      <w:r>
        <w:rPr>
          <w:spacing w:val="-8"/>
        </w:rPr>
        <w:t xml:space="preserve"> </w:t>
      </w:r>
      <w:r>
        <w:t>given</w:t>
      </w:r>
      <w:r>
        <w:rPr>
          <w:spacing w:val="-8"/>
        </w:rPr>
        <w:t xml:space="preserve"> </w:t>
      </w:r>
      <w:r>
        <w:t>by</w:t>
      </w:r>
      <w:r>
        <w:rPr>
          <w:spacing w:val="-8"/>
        </w:rPr>
        <w:t xml:space="preserve"> </w:t>
      </w:r>
      <w:r>
        <w:t>other</w:t>
      </w:r>
      <w:r>
        <w:rPr>
          <w:spacing w:val="-7"/>
        </w:rPr>
        <w:t xml:space="preserve"> </w:t>
      </w:r>
      <w:r>
        <w:t>respondents</w:t>
      </w:r>
      <w:r>
        <w:rPr>
          <w:spacing w:val="-7"/>
        </w:rPr>
        <w:t xml:space="preserve"> </w:t>
      </w:r>
      <w:r>
        <w:t>would</w:t>
      </w:r>
      <w:r>
        <w:rPr>
          <w:spacing w:val="-8"/>
        </w:rPr>
        <w:t xml:space="preserve"> </w:t>
      </w:r>
      <w:r>
        <w:t>be</w:t>
      </w:r>
      <w:r>
        <w:rPr>
          <w:spacing w:val="-7"/>
        </w:rPr>
        <w:t xml:space="preserve"> </w:t>
      </w:r>
      <w:r>
        <w:t>used as</w:t>
      </w:r>
      <w:r>
        <w:rPr>
          <w:spacing w:val="-11"/>
        </w:rPr>
        <w:t xml:space="preserve"> </w:t>
      </w:r>
      <w:r>
        <w:t>known</w:t>
      </w:r>
      <w:r>
        <w:rPr>
          <w:spacing w:val="-11"/>
        </w:rPr>
        <w:t xml:space="preserve"> </w:t>
      </w:r>
      <w:r>
        <w:t>facts</w:t>
      </w:r>
      <w:r>
        <w:rPr>
          <w:spacing w:val="-11"/>
        </w:rPr>
        <w:t xml:space="preserve"> </w:t>
      </w:r>
      <w:r>
        <w:t>and</w:t>
      </w:r>
      <w:r>
        <w:rPr>
          <w:spacing w:val="-11"/>
        </w:rPr>
        <w:t xml:space="preserve"> </w:t>
      </w:r>
      <w:r>
        <w:t>the</w:t>
      </w:r>
      <w:r>
        <w:rPr>
          <w:spacing w:val="-11"/>
        </w:rPr>
        <w:t xml:space="preserve"> </w:t>
      </w:r>
      <w:r>
        <w:t>best</w:t>
      </w:r>
      <w:r>
        <w:rPr>
          <w:spacing w:val="-11"/>
        </w:rPr>
        <w:t xml:space="preserve"> </w:t>
      </w:r>
      <w:r>
        <w:t>information</w:t>
      </w:r>
      <w:r>
        <w:rPr>
          <w:spacing w:val="-10"/>
        </w:rPr>
        <w:t xml:space="preserve"> </w:t>
      </w:r>
      <w:r>
        <w:t>available</w:t>
      </w:r>
      <w:r>
        <w:rPr>
          <w:spacing w:val="-11"/>
        </w:rPr>
        <w:t xml:space="preserve"> </w:t>
      </w:r>
      <w:r>
        <w:t>to</w:t>
      </w:r>
      <w:r>
        <w:rPr>
          <w:spacing w:val="-11"/>
        </w:rPr>
        <w:t xml:space="preserve"> </w:t>
      </w:r>
      <w:r>
        <w:t>determine</w:t>
      </w:r>
      <w:r>
        <w:rPr>
          <w:spacing w:val="-11"/>
        </w:rPr>
        <w:t xml:space="preserve"> </w:t>
      </w:r>
      <w:r>
        <w:t>the</w:t>
      </w:r>
      <w:r>
        <w:rPr>
          <w:spacing w:val="-11"/>
        </w:rPr>
        <w:t xml:space="preserve"> </w:t>
      </w:r>
      <w:r>
        <w:t>Company's</w:t>
      </w:r>
      <w:r>
        <w:rPr>
          <w:spacing w:val="-10"/>
        </w:rPr>
        <w:t xml:space="preserve"> </w:t>
      </w:r>
      <w:r>
        <w:t>normal</w:t>
      </w:r>
      <w:r>
        <w:rPr>
          <w:spacing w:val="-11"/>
        </w:rPr>
        <w:t xml:space="preserve"> </w:t>
      </w:r>
      <w:r>
        <w:t>value. During this process, the Investigating Authority had adjusted other respondents' weighted average prices of do</w:t>
      </w:r>
      <w:r>
        <w:t xml:space="preserve">mestic sale of the product under investigation to the ex‐factory price </w:t>
      </w:r>
      <w:r>
        <w:rPr>
          <w:spacing w:val="-2"/>
        </w:rPr>
        <w:t>level.</w:t>
      </w:r>
      <w:r>
        <w:rPr>
          <w:spacing w:val="-2"/>
          <w:vertAlign w:val="superscript"/>
        </w:rPr>
        <w:t>1257</w:t>
      </w:r>
    </w:p>
    <w:p w14:paraId="51DE9C47" w14:textId="77777777" w:rsidR="0010369C" w:rsidRDefault="0010369C">
      <w:pPr>
        <w:pStyle w:val="BodyText"/>
        <w:spacing w:before="5"/>
        <w:rPr>
          <w:sz w:val="15"/>
        </w:rPr>
      </w:pPr>
    </w:p>
    <w:p w14:paraId="51DE9C48" w14:textId="77777777" w:rsidR="0010369C" w:rsidRDefault="008E43AE">
      <w:pPr>
        <w:pStyle w:val="BodyText"/>
        <w:spacing w:before="51" w:line="360" w:lineRule="auto"/>
        <w:ind w:left="237" w:right="614" w:firstLine="851"/>
        <w:jc w:val="both"/>
      </w:pPr>
      <w:r>
        <w:rPr>
          <w:noProof/>
        </w:rPr>
        <w:drawing>
          <wp:anchor distT="0" distB="0" distL="0" distR="0" simplePos="0" relativeHeight="251661824" behindDoc="1" locked="0" layoutInCell="1" allowOverlap="1" wp14:anchorId="51DEA972" wp14:editId="51DEA973">
            <wp:simplePos x="0" y="0"/>
            <wp:positionH relativeFrom="page">
              <wp:posOffset>908303</wp:posOffset>
            </wp:positionH>
            <wp:positionV relativeFrom="paragraph">
              <wp:posOffset>79961</wp:posOffset>
            </wp:positionV>
            <wp:extent cx="332231" cy="103631"/>
            <wp:effectExtent l="0" t="0" r="0" b="0"/>
            <wp:wrapNone/>
            <wp:docPr id="2147" name="image1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8" name="image1101.png"/>
                    <pic:cNvPicPr/>
                  </pic:nvPicPr>
                  <pic:blipFill>
                    <a:blip r:embed="rId1406" cstate="print"/>
                    <a:stretch>
                      <a:fillRect/>
                    </a:stretch>
                  </pic:blipFill>
                  <pic:spPr>
                    <a:xfrm>
                      <a:off x="0" y="0"/>
                      <a:ext cx="332231" cy="103631"/>
                    </a:xfrm>
                    <a:prstGeom prst="rect">
                      <a:avLst/>
                    </a:prstGeom>
                  </pic:spPr>
                </pic:pic>
              </a:graphicData>
            </a:graphic>
          </wp:anchor>
        </w:drawing>
      </w:r>
      <w:r>
        <w:t>Apart from broad reference to "product types, trade links and other influencing factors",</w:t>
      </w:r>
      <w:r>
        <w:rPr>
          <w:spacing w:val="-2"/>
        </w:rPr>
        <w:t xml:space="preserve"> </w:t>
      </w:r>
      <w:r>
        <w:t>MOFCOM</w:t>
      </w:r>
      <w:r>
        <w:rPr>
          <w:spacing w:val="-3"/>
        </w:rPr>
        <w:t xml:space="preserve"> </w:t>
      </w:r>
      <w:r>
        <w:t>failed</w:t>
      </w:r>
      <w:r>
        <w:rPr>
          <w:spacing w:val="-3"/>
        </w:rPr>
        <w:t xml:space="preserve"> </w:t>
      </w:r>
      <w:r>
        <w:t>to</w:t>
      </w:r>
      <w:r>
        <w:rPr>
          <w:spacing w:val="-2"/>
        </w:rPr>
        <w:t xml:space="preserve"> </w:t>
      </w:r>
      <w:r>
        <w:t>disclose</w:t>
      </w:r>
      <w:r>
        <w:rPr>
          <w:spacing w:val="-2"/>
        </w:rPr>
        <w:t xml:space="preserve"> </w:t>
      </w:r>
      <w:r>
        <w:t>what</w:t>
      </w:r>
      <w:r>
        <w:rPr>
          <w:spacing w:val="-3"/>
        </w:rPr>
        <w:t xml:space="preserve"> </w:t>
      </w:r>
      <w:r>
        <w:t>information</w:t>
      </w:r>
      <w:r>
        <w:rPr>
          <w:spacing w:val="-2"/>
        </w:rPr>
        <w:t xml:space="preserve"> </w:t>
      </w:r>
      <w:r>
        <w:t>it</w:t>
      </w:r>
      <w:r>
        <w:rPr>
          <w:spacing w:val="-3"/>
        </w:rPr>
        <w:t xml:space="preserve"> </w:t>
      </w:r>
      <w:r>
        <w:t>took</w:t>
      </w:r>
      <w:r>
        <w:rPr>
          <w:spacing w:val="-3"/>
        </w:rPr>
        <w:t xml:space="preserve"> </w:t>
      </w:r>
      <w:r>
        <w:t>into</w:t>
      </w:r>
      <w:r>
        <w:rPr>
          <w:spacing w:val="-2"/>
        </w:rPr>
        <w:t xml:space="preserve"> </w:t>
      </w:r>
      <w:r>
        <w:t>account</w:t>
      </w:r>
      <w:r>
        <w:rPr>
          <w:spacing w:val="-3"/>
        </w:rPr>
        <w:t xml:space="preserve"> </w:t>
      </w:r>
      <w:r>
        <w:t>and</w:t>
      </w:r>
      <w:r>
        <w:rPr>
          <w:spacing w:val="-3"/>
        </w:rPr>
        <w:t xml:space="preserve"> </w:t>
      </w:r>
      <w:r>
        <w:t>how</w:t>
      </w:r>
      <w:r>
        <w:rPr>
          <w:spacing w:val="-2"/>
        </w:rPr>
        <w:t xml:space="preserve"> </w:t>
      </w:r>
      <w:r>
        <w:t>it</w:t>
      </w:r>
      <w:r>
        <w:rPr>
          <w:spacing w:val="-3"/>
        </w:rPr>
        <w:t xml:space="preserve"> </w:t>
      </w:r>
      <w:r>
        <w:t>sought to</w:t>
      </w:r>
      <w:r>
        <w:rPr>
          <w:spacing w:val="-2"/>
        </w:rPr>
        <w:t xml:space="preserve"> </w:t>
      </w:r>
      <w:r>
        <w:t>use</w:t>
      </w:r>
      <w:r>
        <w:rPr>
          <w:spacing w:val="-2"/>
        </w:rPr>
        <w:t xml:space="preserve"> </w:t>
      </w:r>
      <w:r>
        <w:t>this</w:t>
      </w:r>
      <w:r>
        <w:rPr>
          <w:spacing w:val="-3"/>
        </w:rPr>
        <w:t xml:space="preserve"> </w:t>
      </w:r>
      <w:r>
        <w:t>information</w:t>
      </w:r>
      <w:r>
        <w:rPr>
          <w:spacing w:val="-2"/>
        </w:rPr>
        <w:t xml:space="preserve"> </w:t>
      </w:r>
      <w:r>
        <w:t>to</w:t>
      </w:r>
      <w:r>
        <w:rPr>
          <w:spacing w:val="-2"/>
        </w:rPr>
        <w:t xml:space="preserve"> </w:t>
      </w:r>
      <w:r>
        <w:t>calculate</w:t>
      </w:r>
      <w:r>
        <w:rPr>
          <w:spacing w:val="-3"/>
        </w:rPr>
        <w:t xml:space="preserve"> </w:t>
      </w:r>
      <w:r>
        <w:t>normal</w:t>
      </w:r>
      <w:r>
        <w:rPr>
          <w:spacing w:val="-2"/>
        </w:rPr>
        <w:t xml:space="preserve"> </w:t>
      </w:r>
      <w:r>
        <w:t>value.</w:t>
      </w:r>
      <w:r>
        <w:rPr>
          <w:spacing w:val="-3"/>
        </w:rPr>
        <w:t xml:space="preserve"> </w:t>
      </w:r>
      <w:r>
        <w:t>That</w:t>
      </w:r>
      <w:r>
        <w:rPr>
          <w:spacing w:val="-2"/>
        </w:rPr>
        <w:t xml:space="preserve"> </w:t>
      </w:r>
      <w:r>
        <w:t>is,</w:t>
      </w:r>
      <w:r>
        <w:rPr>
          <w:spacing w:val="-2"/>
        </w:rPr>
        <w:t xml:space="preserve"> </w:t>
      </w:r>
      <w:r>
        <w:t>the</w:t>
      </w:r>
      <w:r>
        <w:rPr>
          <w:spacing w:val="-2"/>
        </w:rPr>
        <w:t xml:space="preserve"> </w:t>
      </w:r>
      <w:r>
        <w:t>factors</w:t>
      </w:r>
      <w:r>
        <w:rPr>
          <w:spacing w:val="-3"/>
        </w:rPr>
        <w:t xml:space="preserve"> </w:t>
      </w:r>
      <w:r>
        <w:t>that</w:t>
      </w:r>
      <w:r>
        <w:rPr>
          <w:spacing w:val="-3"/>
        </w:rPr>
        <w:t xml:space="preserve"> </w:t>
      </w:r>
      <w:r>
        <w:t>formed</w:t>
      </w:r>
      <w:r>
        <w:rPr>
          <w:spacing w:val="-3"/>
        </w:rPr>
        <w:t xml:space="preserve"> </w:t>
      </w:r>
      <w:r>
        <w:t>the</w:t>
      </w:r>
      <w:r>
        <w:rPr>
          <w:spacing w:val="-2"/>
        </w:rPr>
        <w:t xml:space="preserve"> </w:t>
      </w:r>
      <w:r>
        <w:t>basis</w:t>
      </w:r>
      <w:r>
        <w:rPr>
          <w:spacing w:val="-3"/>
        </w:rPr>
        <w:t xml:space="preserve"> </w:t>
      </w:r>
      <w:r>
        <w:t>of MOFCOM's analysis and its methodology were left unexplained. MOFCOM failed to explain:</w:t>
      </w:r>
    </w:p>
    <w:p w14:paraId="51DE9C49" w14:textId="77777777" w:rsidR="0010369C" w:rsidRDefault="008E43AE">
      <w:pPr>
        <w:pStyle w:val="ListParagraph"/>
        <w:numPr>
          <w:ilvl w:val="0"/>
          <w:numId w:val="13"/>
        </w:numPr>
        <w:tabs>
          <w:tab w:val="left" w:pos="1939"/>
          <w:tab w:val="left" w:pos="1940"/>
        </w:tabs>
        <w:spacing w:before="162"/>
        <w:ind w:left="1939" w:hanging="852"/>
        <w:jc w:val="left"/>
        <w:rPr>
          <w:sz w:val="24"/>
        </w:rPr>
      </w:pPr>
      <w:r>
        <w:rPr>
          <w:sz w:val="24"/>
        </w:rPr>
        <w:t>from</w:t>
      </w:r>
      <w:r>
        <w:rPr>
          <w:spacing w:val="-7"/>
          <w:sz w:val="24"/>
        </w:rPr>
        <w:t xml:space="preserve"> </w:t>
      </w:r>
      <w:r>
        <w:rPr>
          <w:sz w:val="24"/>
        </w:rPr>
        <w:t>which</w:t>
      </w:r>
      <w:r>
        <w:rPr>
          <w:spacing w:val="-8"/>
          <w:sz w:val="24"/>
        </w:rPr>
        <w:t xml:space="preserve"> </w:t>
      </w:r>
      <w:r>
        <w:rPr>
          <w:sz w:val="24"/>
        </w:rPr>
        <w:t>"other</w:t>
      </w:r>
      <w:r>
        <w:rPr>
          <w:spacing w:val="-8"/>
          <w:sz w:val="24"/>
        </w:rPr>
        <w:t xml:space="preserve"> </w:t>
      </w:r>
      <w:r>
        <w:rPr>
          <w:sz w:val="24"/>
        </w:rPr>
        <w:t>respondents"</w:t>
      </w:r>
      <w:r>
        <w:rPr>
          <w:spacing w:val="-8"/>
          <w:sz w:val="24"/>
        </w:rPr>
        <w:t xml:space="preserve"> </w:t>
      </w:r>
      <w:r>
        <w:rPr>
          <w:sz w:val="24"/>
        </w:rPr>
        <w:t>it</w:t>
      </w:r>
      <w:r>
        <w:rPr>
          <w:spacing w:val="-7"/>
          <w:sz w:val="24"/>
        </w:rPr>
        <w:t xml:space="preserve"> </w:t>
      </w:r>
      <w:r>
        <w:rPr>
          <w:sz w:val="24"/>
        </w:rPr>
        <w:t>was</w:t>
      </w:r>
      <w:r>
        <w:rPr>
          <w:spacing w:val="-7"/>
          <w:sz w:val="24"/>
        </w:rPr>
        <w:t xml:space="preserve"> </w:t>
      </w:r>
      <w:r>
        <w:rPr>
          <w:sz w:val="24"/>
        </w:rPr>
        <w:t>deriving</w:t>
      </w:r>
      <w:r>
        <w:rPr>
          <w:spacing w:val="-7"/>
          <w:sz w:val="24"/>
        </w:rPr>
        <w:t xml:space="preserve"> </w:t>
      </w:r>
      <w:r>
        <w:rPr>
          <w:sz w:val="24"/>
        </w:rPr>
        <w:t>average</w:t>
      </w:r>
      <w:r>
        <w:rPr>
          <w:spacing w:val="-6"/>
          <w:sz w:val="24"/>
        </w:rPr>
        <w:t xml:space="preserve"> </w:t>
      </w:r>
      <w:r>
        <w:rPr>
          <w:spacing w:val="-2"/>
          <w:sz w:val="24"/>
        </w:rPr>
        <w:t>prices;</w:t>
      </w:r>
    </w:p>
    <w:p w14:paraId="51DE9C4A" w14:textId="77777777" w:rsidR="0010369C" w:rsidRDefault="008E43AE">
      <w:pPr>
        <w:pStyle w:val="ListParagraph"/>
        <w:numPr>
          <w:ilvl w:val="0"/>
          <w:numId w:val="13"/>
        </w:numPr>
        <w:tabs>
          <w:tab w:val="left" w:pos="1938"/>
          <w:tab w:val="left" w:pos="1939"/>
        </w:tabs>
        <w:spacing w:before="265" w:line="355" w:lineRule="auto"/>
        <w:ind w:right="614" w:hanging="853"/>
        <w:rPr>
          <w:sz w:val="24"/>
        </w:rPr>
      </w:pPr>
      <w:r>
        <w:rPr>
          <w:sz w:val="24"/>
        </w:rPr>
        <w:t>what "information from the investigation" was subject to the "comparative analysis", n</w:t>
      </w:r>
      <w:r>
        <w:rPr>
          <w:sz w:val="24"/>
        </w:rPr>
        <w:t>or what the "comparative analysis" involved;</w:t>
      </w:r>
    </w:p>
    <w:p w14:paraId="51DE9C4B" w14:textId="77777777" w:rsidR="0010369C" w:rsidRDefault="008E43AE">
      <w:pPr>
        <w:pStyle w:val="ListParagraph"/>
        <w:numPr>
          <w:ilvl w:val="0"/>
          <w:numId w:val="13"/>
        </w:numPr>
        <w:tabs>
          <w:tab w:val="left" w:pos="1940"/>
          <w:tab w:val="left" w:pos="1941"/>
        </w:tabs>
        <w:spacing w:before="131" w:line="355" w:lineRule="auto"/>
        <w:ind w:right="613"/>
        <w:rPr>
          <w:sz w:val="24"/>
        </w:rPr>
      </w:pPr>
      <w:r>
        <w:rPr>
          <w:sz w:val="24"/>
        </w:rPr>
        <w:t>which "physical properties of the product under investigation" it took into account, or for what purpose it took them into account;</w:t>
      </w:r>
    </w:p>
    <w:p w14:paraId="51DE9C4C" w14:textId="77777777" w:rsidR="0010369C" w:rsidRDefault="008E43AE">
      <w:pPr>
        <w:pStyle w:val="ListParagraph"/>
        <w:numPr>
          <w:ilvl w:val="0"/>
          <w:numId w:val="13"/>
        </w:numPr>
        <w:tabs>
          <w:tab w:val="left" w:pos="1940"/>
          <w:tab w:val="left" w:pos="1941"/>
        </w:tabs>
        <w:spacing w:before="133" w:line="357" w:lineRule="auto"/>
        <w:ind w:left="1939" w:right="613"/>
        <w:rPr>
          <w:sz w:val="24"/>
        </w:rPr>
      </w:pPr>
      <w:r>
        <w:rPr>
          <w:sz w:val="24"/>
        </w:rPr>
        <w:t>which "costs differences in different product types" it took into account, what</w:t>
      </w:r>
      <w:r>
        <w:rPr>
          <w:sz w:val="24"/>
        </w:rPr>
        <w:t xml:space="preserve"> it determined those differences were, what data it relied upon to identify the differences or for what purpose it took them into account;</w:t>
      </w:r>
    </w:p>
    <w:p w14:paraId="51DE9C4D" w14:textId="77777777" w:rsidR="0010369C" w:rsidRDefault="008E43AE">
      <w:pPr>
        <w:pStyle w:val="ListParagraph"/>
        <w:numPr>
          <w:ilvl w:val="0"/>
          <w:numId w:val="13"/>
        </w:numPr>
        <w:tabs>
          <w:tab w:val="left" w:pos="1939"/>
          <w:tab w:val="left" w:pos="1940"/>
        </w:tabs>
        <w:spacing w:before="128" w:line="357" w:lineRule="auto"/>
        <w:ind w:left="1939" w:right="613"/>
        <w:rPr>
          <w:sz w:val="24"/>
        </w:rPr>
      </w:pPr>
      <w:r>
        <w:rPr>
          <w:sz w:val="24"/>
        </w:rPr>
        <w:t>which</w:t>
      </w:r>
      <w:r>
        <w:rPr>
          <w:spacing w:val="-11"/>
          <w:sz w:val="24"/>
        </w:rPr>
        <w:t xml:space="preserve"> </w:t>
      </w:r>
      <w:r>
        <w:rPr>
          <w:sz w:val="24"/>
        </w:rPr>
        <w:t>"trade</w:t>
      </w:r>
      <w:r>
        <w:rPr>
          <w:spacing w:val="-10"/>
          <w:sz w:val="24"/>
        </w:rPr>
        <w:t xml:space="preserve"> </w:t>
      </w:r>
      <w:r>
        <w:rPr>
          <w:sz w:val="24"/>
        </w:rPr>
        <w:t>links"</w:t>
      </w:r>
      <w:r>
        <w:rPr>
          <w:spacing w:val="-10"/>
          <w:sz w:val="24"/>
        </w:rPr>
        <w:t xml:space="preserve"> </w:t>
      </w:r>
      <w:r>
        <w:rPr>
          <w:sz w:val="24"/>
        </w:rPr>
        <w:t>it</w:t>
      </w:r>
      <w:r>
        <w:rPr>
          <w:spacing w:val="-11"/>
          <w:sz w:val="24"/>
        </w:rPr>
        <w:t xml:space="preserve"> </w:t>
      </w:r>
      <w:r>
        <w:rPr>
          <w:sz w:val="24"/>
        </w:rPr>
        <w:t>took</w:t>
      </w:r>
      <w:r>
        <w:rPr>
          <w:spacing w:val="-11"/>
          <w:sz w:val="24"/>
        </w:rPr>
        <w:t xml:space="preserve"> </w:t>
      </w:r>
      <w:r>
        <w:rPr>
          <w:sz w:val="24"/>
        </w:rPr>
        <w:t>into</w:t>
      </w:r>
      <w:r>
        <w:rPr>
          <w:spacing w:val="-10"/>
          <w:sz w:val="24"/>
        </w:rPr>
        <w:t xml:space="preserve"> </w:t>
      </w:r>
      <w:r>
        <w:rPr>
          <w:sz w:val="24"/>
        </w:rPr>
        <w:t>account,</w:t>
      </w:r>
      <w:r>
        <w:rPr>
          <w:spacing w:val="-11"/>
          <w:sz w:val="24"/>
        </w:rPr>
        <w:t xml:space="preserve"> </w:t>
      </w:r>
      <w:r>
        <w:rPr>
          <w:sz w:val="24"/>
        </w:rPr>
        <w:t>why</w:t>
      </w:r>
      <w:r>
        <w:rPr>
          <w:spacing w:val="-10"/>
          <w:sz w:val="24"/>
        </w:rPr>
        <w:t xml:space="preserve"> </w:t>
      </w:r>
      <w:r>
        <w:rPr>
          <w:sz w:val="24"/>
        </w:rPr>
        <w:t>it</w:t>
      </w:r>
      <w:r>
        <w:rPr>
          <w:spacing w:val="-11"/>
          <w:sz w:val="24"/>
        </w:rPr>
        <w:t xml:space="preserve"> </w:t>
      </w:r>
      <w:r>
        <w:rPr>
          <w:sz w:val="24"/>
        </w:rPr>
        <w:t>was</w:t>
      </w:r>
      <w:r>
        <w:rPr>
          <w:spacing w:val="-11"/>
          <w:sz w:val="24"/>
        </w:rPr>
        <w:t xml:space="preserve"> </w:t>
      </w:r>
      <w:r>
        <w:rPr>
          <w:sz w:val="24"/>
        </w:rPr>
        <w:t>considering</w:t>
      </w:r>
      <w:r>
        <w:rPr>
          <w:spacing w:val="-11"/>
          <w:sz w:val="24"/>
        </w:rPr>
        <w:t xml:space="preserve"> </w:t>
      </w:r>
      <w:r>
        <w:rPr>
          <w:sz w:val="24"/>
        </w:rPr>
        <w:t>"trade</w:t>
      </w:r>
      <w:r>
        <w:rPr>
          <w:spacing w:val="-10"/>
          <w:sz w:val="24"/>
        </w:rPr>
        <w:t xml:space="preserve"> </w:t>
      </w:r>
      <w:r>
        <w:rPr>
          <w:sz w:val="24"/>
        </w:rPr>
        <w:t>links", the data from which the "trade links" were determined or the purpose for which it took them into account; or</w:t>
      </w:r>
    </w:p>
    <w:p w14:paraId="51DE9C4E" w14:textId="77777777" w:rsidR="0010369C" w:rsidRDefault="008E43AE">
      <w:pPr>
        <w:pStyle w:val="ListParagraph"/>
        <w:numPr>
          <w:ilvl w:val="0"/>
          <w:numId w:val="13"/>
        </w:numPr>
        <w:tabs>
          <w:tab w:val="left" w:pos="1940"/>
          <w:tab w:val="left" w:pos="1941"/>
        </w:tabs>
        <w:spacing w:before="128" w:line="357" w:lineRule="auto"/>
        <w:ind w:left="1939" w:right="614"/>
        <w:rPr>
          <w:sz w:val="24"/>
        </w:rPr>
      </w:pPr>
      <w:r>
        <w:rPr>
          <w:sz w:val="24"/>
        </w:rPr>
        <w:t>what the "other influencing factors" were that it had regard to, why it selected those factors, which data it drew upon to assess these unk</w:t>
      </w:r>
      <w:r>
        <w:rPr>
          <w:sz w:val="24"/>
        </w:rPr>
        <w:t>nown factors,</w:t>
      </w:r>
      <w:r>
        <w:rPr>
          <w:spacing w:val="-6"/>
          <w:sz w:val="24"/>
        </w:rPr>
        <w:t xml:space="preserve"> </w:t>
      </w:r>
      <w:r>
        <w:rPr>
          <w:sz w:val="24"/>
        </w:rPr>
        <w:t>how</w:t>
      </w:r>
      <w:r>
        <w:rPr>
          <w:spacing w:val="-7"/>
          <w:sz w:val="24"/>
        </w:rPr>
        <w:t xml:space="preserve"> </w:t>
      </w:r>
      <w:r>
        <w:rPr>
          <w:sz w:val="24"/>
        </w:rPr>
        <w:t>they</w:t>
      </w:r>
      <w:r>
        <w:rPr>
          <w:spacing w:val="-6"/>
          <w:sz w:val="24"/>
        </w:rPr>
        <w:t xml:space="preserve"> </w:t>
      </w:r>
      <w:r>
        <w:rPr>
          <w:sz w:val="24"/>
        </w:rPr>
        <w:t>were</w:t>
      </w:r>
      <w:r>
        <w:rPr>
          <w:spacing w:val="-6"/>
          <w:sz w:val="24"/>
        </w:rPr>
        <w:t xml:space="preserve"> </w:t>
      </w:r>
      <w:r>
        <w:rPr>
          <w:sz w:val="24"/>
        </w:rPr>
        <w:t>taken</w:t>
      </w:r>
      <w:r>
        <w:rPr>
          <w:spacing w:val="-7"/>
          <w:sz w:val="24"/>
        </w:rPr>
        <w:t xml:space="preserve"> </w:t>
      </w:r>
      <w:r>
        <w:rPr>
          <w:sz w:val="24"/>
        </w:rPr>
        <w:t>into</w:t>
      </w:r>
      <w:r>
        <w:rPr>
          <w:spacing w:val="-5"/>
          <w:sz w:val="24"/>
        </w:rPr>
        <w:t xml:space="preserve"> </w:t>
      </w:r>
      <w:r>
        <w:rPr>
          <w:sz w:val="24"/>
        </w:rPr>
        <w:t>account</w:t>
      </w:r>
      <w:r>
        <w:rPr>
          <w:spacing w:val="-6"/>
          <w:sz w:val="24"/>
        </w:rPr>
        <w:t xml:space="preserve"> </w:t>
      </w:r>
      <w:r>
        <w:rPr>
          <w:sz w:val="24"/>
        </w:rPr>
        <w:t>and</w:t>
      </w:r>
      <w:r>
        <w:rPr>
          <w:spacing w:val="-6"/>
          <w:sz w:val="24"/>
        </w:rPr>
        <w:t xml:space="preserve"> </w:t>
      </w:r>
      <w:r>
        <w:rPr>
          <w:sz w:val="24"/>
        </w:rPr>
        <w:t>weighed</w:t>
      </w:r>
      <w:r>
        <w:rPr>
          <w:spacing w:val="-7"/>
          <w:sz w:val="24"/>
        </w:rPr>
        <w:t xml:space="preserve"> </w:t>
      </w:r>
      <w:r>
        <w:rPr>
          <w:sz w:val="24"/>
        </w:rPr>
        <w:t>against</w:t>
      </w:r>
      <w:r>
        <w:rPr>
          <w:spacing w:val="-7"/>
          <w:sz w:val="24"/>
        </w:rPr>
        <w:t xml:space="preserve"> </w:t>
      </w:r>
      <w:r>
        <w:rPr>
          <w:sz w:val="24"/>
        </w:rPr>
        <w:t>each,</w:t>
      </w:r>
      <w:r>
        <w:rPr>
          <w:spacing w:val="-7"/>
          <w:sz w:val="24"/>
        </w:rPr>
        <w:t xml:space="preserve"> </w:t>
      </w:r>
      <w:r>
        <w:rPr>
          <w:sz w:val="24"/>
        </w:rPr>
        <w:t>or</w:t>
      </w:r>
      <w:r>
        <w:rPr>
          <w:spacing w:val="-6"/>
          <w:sz w:val="24"/>
        </w:rPr>
        <w:t xml:space="preserve"> </w:t>
      </w:r>
      <w:r>
        <w:rPr>
          <w:sz w:val="24"/>
        </w:rPr>
        <w:t>the purpose for which it took them into account.</w:t>
      </w:r>
    </w:p>
    <w:p w14:paraId="51DE9C4F" w14:textId="77777777" w:rsidR="0010369C" w:rsidRDefault="0010369C">
      <w:pPr>
        <w:pStyle w:val="BodyText"/>
        <w:rPr>
          <w:sz w:val="20"/>
        </w:rPr>
      </w:pPr>
    </w:p>
    <w:p w14:paraId="51DE9C50" w14:textId="77777777" w:rsidR="0010369C" w:rsidRDefault="0010369C">
      <w:pPr>
        <w:pStyle w:val="BodyText"/>
        <w:rPr>
          <w:sz w:val="20"/>
        </w:rPr>
      </w:pPr>
    </w:p>
    <w:p w14:paraId="51DE9C51" w14:textId="77777777" w:rsidR="0010369C" w:rsidRDefault="008E43AE">
      <w:pPr>
        <w:pStyle w:val="BodyText"/>
        <w:spacing w:before="1"/>
        <w:rPr>
          <w:sz w:val="18"/>
        </w:rPr>
      </w:pPr>
      <w:r>
        <w:pict w14:anchorId="51DEA974">
          <v:rect id="docshape1480" o:spid="_x0000_s1039" style="position:absolute;margin-left:70.9pt;margin-top:12.25pt;width:2in;height:.8pt;z-index:-250656256;mso-wrap-distance-left:0;mso-wrap-distance-right:0;mso-position-horizontal-relative:page" fillcolor="black" stroked="f">
            <w10:wrap type="topAndBottom" anchorx="page"/>
          </v:rect>
        </w:pict>
      </w:r>
    </w:p>
    <w:p w14:paraId="51DE9C52" w14:textId="77777777" w:rsidR="0010369C" w:rsidRDefault="008E43AE">
      <w:pPr>
        <w:spacing w:before="109"/>
        <w:ind w:left="238"/>
        <w:rPr>
          <w:sz w:val="18"/>
        </w:rPr>
      </w:pPr>
      <w:r>
        <w:rPr>
          <w:sz w:val="18"/>
          <w:vertAlign w:val="superscript"/>
        </w:rPr>
        <w:t>1257</w:t>
      </w:r>
      <w:r>
        <w:rPr>
          <w:spacing w:val="-10"/>
          <w:sz w:val="18"/>
        </w:rPr>
        <w:t xml:space="preserve"> </w:t>
      </w:r>
      <w:r>
        <w:rPr>
          <w:sz w:val="18"/>
        </w:rPr>
        <w:t>Anti‐Dumping</w:t>
      </w:r>
      <w:r>
        <w:rPr>
          <w:spacing w:val="-9"/>
          <w:sz w:val="18"/>
        </w:rPr>
        <w:t xml:space="preserve"> </w:t>
      </w:r>
      <w:r>
        <w:rPr>
          <w:sz w:val="18"/>
        </w:rPr>
        <w:t>Final</w:t>
      </w:r>
      <w:r>
        <w:rPr>
          <w:spacing w:val="-9"/>
          <w:sz w:val="18"/>
        </w:rPr>
        <w:t xml:space="preserve"> </w:t>
      </w:r>
      <w:r>
        <w:rPr>
          <w:sz w:val="18"/>
        </w:rPr>
        <w:t>Determination</w:t>
      </w:r>
      <w:r>
        <w:rPr>
          <w:spacing w:val="-8"/>
          <w:sz w:val="18"/>
        </w:rPr>
        <w:t xml:space="preserve"> </w:t>
      </w:r>
      <w:r>
        <w:rPr>
          <w:sz w:val="18"/>
        </w:rPr>
        <w:t>(Exhibit</w:t>
      </w:r>
      <w:r>
        <w:rPr>
          <w:spacing w:val="-9"/>
          <w:sz w:val="18"/>
        </w:rPr>
        <w:t xml:space="preserve"> </w:t>
      </w:r>
      <w:r>
        <w:rPr>
          <w:sz w:val="18"/>
        </w:rPr>
        <w:t>AUS‐2),</w:t>
      </w:r>
      <w:r>
        <w:rPr>
          <w:spacing w:val="-10"/>
          <w:sz w:val="18"/>
        </w:rPr>
        <w:t xml:space="preserve"> </w:t>
      </w:r>
      <w:r>
        <w:rPr>
          <w:sz w:val="18"/>
        </w:rPr>
        <w:t>pp.</w:t>
      </w:r>
      <w:r>
        <w:rPr>
          <w:spacing w:val="-9"/>
          <w:sz w:val="18"/>
        </w:rPr>
        <w:t xml:space="preserve"> </w:t>
      </w:r>
      <w:r>
        <w:rPr>
          <w:spacing w:val="-2"/>
          <w:sz w:val="18"/>
        </w:rPr>
        <w:t>91‐92.</w:t>
      </w:r>
    </w:p>
    <w:p w14:paraId="51DE9C53" w14:textId="77777777" w:rsidR="0010369C" w:rsidRDefault="0010369C">
      <w:pPr>
        <w:rPr>
          <w:sz w:val="18"/>
        </w:rPr>
        <w:sectPr w:rsidR="0010369C">
          <w:pgSz w:w="11910" w:h="16840"/>
          <w:pgMar w:top="880" w:right="800" w:bottom="980" w:left="1180" w:header="569" w:footer="788" w:gutter="0"/>
          <w:cols w:space="720"/>
        </w:sectPr>
      </w:pPr>
    </w:p>
    <w:p w14:paraId="51DE9C54" w14:textId="77777777" w:rsidR="0010369C" w:rsidRDefault="008E43AE">
      <w:pPr>
        <w:tabs>
          <w:tab w:val="left" w:pos="6425"/>
        </w:tabs>
        <w:ind w:left="238"/>
        <w:rPr>
          <w:sz w:val="20"/>
        </w:rPr>
      </w:pPr>
      <w:r>
        <w:rPr>
          <w:i/>
          <w:sz w:val="20"/>
        </w:rPr>
        <w:t>China</w:t>
      </w:r>
      <w:r>
        <w:rPr>
          <w:i/>
          <w:spacing w:val="-5"/>
          <w:sz w:val="20"/>
        </w:rPr>
        <w:t xml:space="preserve"> </w:t>
      </w:r>
      <w:r>
        <w:rPr>
          <w:i/>
          <w:sz w:val="20"/>
        </w:rPr>
        <w:t>–</w:t>
      </w:r>
      <w:r>
        <w:rPr>
          <w:i/>
          <w:spacing w:val="-5"/>
          <w:sz w:val="20"/>
        </w:rPr>
        <w:t xml:space="preserve"> </w:t>
      </w:r>
      <w:r>
        <w:rPr>
          <w:i/>
          <w:sz w:val="20"/>
        </w:rPr>
        <w:t>Anti‐Dumping</w:t>
      </w:r>
      <w:r>
        <w:rPr>
          <w:i/>
          <w:spacing w:val="-4"/>
          <w:sz w:val="20"/>
        </w:rPr>
        <w:t xml:space="preserve"> </w:t>
      </w:r>
      <w:r>
        <w:rPr>
          <w:i/>
          <w:sz w:val="20"/>
        </w:rPr>
        <w:t>and</w:t>
      </w:r>
      <w:r>
        <w:rPr>
          <w:i/>
          <w:spacing w:val="-5"/>
          <w:sz w:val="20"/>
        </w:rPr>
        <w:t xml:space="preserve"> </w:t>
      </w:r>
      <w:r>
        <w:rPr>
          <w:i/>
          <w:sz w:val="20"/>
        </w:rPr>
        <w:t>Countervailing</w:t>
      </w:r>
      <w:r>
        <w:rPr>
          <w:i/>
          <w:spacing w:val="-5"/>
          <w:sz w:val="20"/>
        </w:rPr>
        <w:t xml:space="preserve"> </w:t>
      </w:r>
      <w:r>
        <w:rPr>
          <w:i/>
          <w:sz w:val="20"/>
        </w:rPr>
        <w:t>Duty</w:t>
      </w:r>
      <w:r>
        <w:rPr>
          <w:i/>
          <w:spacing w:val="-4"/>
          <w:sz w:val="20"/>
        </w:rPr>
        <w:t xml:space="preserve"> </w:t>
      </w:r>
      <w:r>
        <w:rPr>
          <w:i/>
          <w:spacing w:val="-2"/>
          <w:sz w:val="20"/>
        </w:rPr>
        <w:t>Measures</w:t>
      </w:r>
      <w:r>
        <w:rPr>
          <w:i/>
          <w:sz w:val="20"/>
        </w:rPr>
        <w:tab/>
      </w:r>
      <w:r>
        <w:rPr>
          <w:sz w:val="20"/>
        </w:rPr>
        <w:t>Australia's</w:t>
      </w:r>
      <w:r>
        <w:rPr>
          <w:spacing w:val="-7"/>
          <w:sz w:val="20"/>
        </w:rPr>
        <w:t xml:space="preserve"> </w:t>
      </w:r>
      <w:r>
        <w:rPr>
          <w:sz w:val="20"/>
        </w:rPr>
        <w:t>First</w:t>
      </w:r>
      <w:r>
        <w:rPr>
          <w:spacing w:val="-2"/>
          <w:sz w:val="20"/>
        </w:rPr>
        <w:t xml:space="preserve"> </w:t>
      </w:r>
      <w:r>
        <w:rPr>
          <w:sz w:val="20"/>
        </w:rPr>
        <w:t>Written</w:t>
      </w:r>
      <w:r>
        <w:rPr>
          <w:spacing w:val="-2"/>
          <w:sz w:val="20"/>
        </w:rPr>
        <w:t xml:space="preserve"> Submission</w:t>
      </w:r>
    </w:p>
    <w:p w14:paraId="51DE9C55" w14:textId="77777777" w:rsidR="0010369C" w:rsidRDefault="008E43AE">
      <w:pPr>
        <w:tabs>
          <w:tab w:val="left" w:pos="8227"/>
        </w:tabs>
        <w:spacing w:before="1"/>
        <w:ind w:left="239"/>
        <w:rPr>
          <w:sz w:val="20"/>
        </w:rPr>
      </w:pPr>
      <w:r>
        <w:rPr>
          <w:i/>
          <w:sz w:val="20"/>
        </w:rPr>
        <w:t>on</w:t>
      </w:r>
      <w:r>
        <w:rPr>
          <w:i/>
          <w:spacing w:val="-1"/>
          <w:sz w:val="20"/>
        </w:rPr>
        <w:t xml:space="preserve"> </w:t>
      </w:r>
      <w:r>
        <w:rPr>
          <w:i/>
          <w:sz w:val="20"/>
        </w:rPr>
        <w:t>Wine</w:t>
      </w:r>
      <w:r>
        <w:rPr>
          <w:i/>
          <w:spacing w:val="-1"/>
          <w:sz w:val="20"/>
        </w:rPr>
        <w:t xml:space="preserve"> </w:t>
      </w:r>
      <w:r>
        <w:rPr>
          <w:i/>
          <w:sz w:val="20"/>
        </w:rPr>
        <w:t>from</w:t>
      </w:r>
      <w:r>
        <w:rPr>
          <w:i/>
          <w:spacing w:val="-3"/>
          <w:sz w:val="20"/>
        </w:rPr>
        <w:t xml:space="preserve"> </w:t>
      </w:r>
      <w:r>
        <w:rPr>
          <w:i/>
          <w:sz w:val="20"/>
        </w:rPr>
        <w:t>Australia</w:t>
      </w:r>
      <w:r>
        <w:rPr>
          <w:i/>
          <w:spacing w:val="-1"/>
          <w:sz w:val="20"/>
        </w:rPr>
        <w:t xml:space="preserve"> </w:t>
      </w:r>
      <w:r>
        <w:rPr>
          <w:spacing w:val="-2"/>
          <w:sz w:val="20"/>
        </w:rPr>
        <w:t>(DS602)</w:t>
      </w:r>
      <w:r>
        <w:rPr>
          <w:sz w:val="20"/>
        </w:rPr>
        <w:tab/>
        <w:t>29</w:t>
      </w:r>
      <w:r>
        <w:rPr>
          <w:spacing w:val="-1"/>
          <w:sz w:val="20"/>
        </w:rPr>
        <w:t xml:space="preserve"> </w:t>
      </w:r>
      <w:r>
        <w:rPr>
          <w:sz w:val="20"/>
        </w:rPr>
        <w:t>April</w:t>
      </w:r>
      <w:r>
        <w:rPr>
          <w:spacing w:val="-2"/>
          <w:sz w:val="20"/>
        </w:rPr>
        <w:t xml:space="preserve"> </w:t>
      </w:r>
      <w:r>
        <w:rPr>
          <w:spacing w:val="-4"/>
          <w:sz w:val="20"/>
        </w:rPr>
        <w:t>2022</w:t>
      </w:r>
    </w:p>
    <w:p w14:paraId="51DE9C56" w14:textId="77777777" w:rsidR="0010369C" w:rsidRDefault="008E43AE">
      <w:pPr>
        <w:pStyle w:val="BodyText"/>
        <w:spacing w:before="34" w:line="360" w:lineRule="auto"/>
        <w:ind w:left="237" w:right="614" w:firstLine="852"/>
        <w:jc w:val="both"/>
      </w:pPr>
      <w:r>
        <w:rPr>
          <w:noProof/>
        </w:rPr>
        <w:drawing>
          <wp:anchor distT="0" distB="0" distL="0" distR="0" simplePos="0" relativeHeight="251662848" behindDoc="1" locked="0" layoutInCell="1" allowOverlap="1" wp14:anchorId="51DEA975" wp14:editId="51DEA976">
            <wp:simplePos x="0" y="0"/>
            <wp:positionH relativeFrom="page">
              <wp:posOffset>908303</wp:posOffset>
            </wp:positionH>
            <wp:positionV relativeFrom="paragraph">
              <wp:posOffset>69165</wp:posOffset>
            </wp:positionV>
            <wp:extent cx="332231" cy="103631"/>
            <wp:effectExtent l="0" t="0" r="0" b="0"/>
            <wp:wrapNone/>
            <wp:docPr id="2149" name="image1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 name="image1102.png"/>
                    <pic:cNvPicPr/>
                  </pic:nvPicPr>
                  <pic:blipFill>
                    <a:blip r:embed="rId1407" cstate="print"/>
                    <a:stretch>
                      <a:fillRect/>
                    </a:stretch>
                  </pic:blipFill>
                  <pic:spPr>
                    <a:xfrm>
                      <a:off x="0" y="0"/>
                      <a:ext cx="332231" cy="103631"/>
                    </a:xfrm>
                    <a:prstGeom prst="rect">
                      <a:avLst/>
                    </a:prstGeom>
                  </pic:spPr>
                </pic:pic>
              </a:graphicData>
            </a:graphic>
          </wp:anchor>
        </w:drawing>
      </w:r>
      <w:r>
        <w:t>It remains unclear why MOFCOM considered "the weighted average price of domestic sales of the product under investigation given by the other respondents" to be the "best information available" for normal value purposes.</w:t>
      </w:r>
      <w:r>
        <w:rPr>
          <w:vertAlign w:val="superscript"/>
        </w:rPr>
        <w:t>1258</w:t>
      </w:r>
      <w:r>
        <w:t xml:space="preserve"> MOFCOM did not offer any reasoni</w:t>
      </w:r>
      <w:r>
        <w:t>ng in support of this statement, despite the provision of such reasoning being critical to understanding MOFCOM's decision. No explanation was given as to how, even at a conceptual</w:t>
      </w:r>
      <w:r>
        <w:rPr>
          <w:spacing w:val="-8"/>
        </w:rPr>
        <w:t xml:space="preserve"> </w:t>
      </w:r>
      <w:r>
        <w:t>level,</w:t>
      </w:r>
      <w:r>
        <w:rPr>
          <w:spacing w:val="-7"/>
        </w:rPr>
        <w:t xml:space="preserve"> </w:t>
      </w:r>
      <w:r>
        <w:t>MOFCOM</w:t>
      </w:r>
      <w:r>
        <w:rPr>
          <w:spacing w:val="-7"/>
        </w:rPr>
        <w:t xml:space="preserve"> </w:t>
      </w:r>
      <w:r>
        <w:t>purported</w:t>
      </w:r>
      <w:r>
        <w:rPr>
          <w:spacing w:val="-7"/>
        </w:rPr>
        <w:t xml:space="preserve"> </w:t>
      </w:r>
      <w:r>
        <w:t>to</w:t>
      </w:r>
      <w:r>
        <w:rPr>
          <w:spacing w:val="-7"/>
        </w:rPr>
        <w:t xml:space="preserve"> </w:t>
      </w:r>
      <w:r>
        <w:t>calculate</w:t>
      </w:r>
      <w:r>
        <w:rPr>
          <w:spacing w:val="-6"/>
        </w:rPr>
        <w:t xml:space="preserve"> </w:t>
      </w:r>
      <w:r>
        <w:t>a</w:t>
      </w:r>
      <w:r>
        <w:rPr>
          <w:spacing w:val="-7"/>
        </w:rPr>
        <w:t xml:space="preserve"> </w:t>
      </w:r>
      <w:r>
        <w:t>weighted</w:t>
      </w:r>
      <w:r>
        <w:rPr>
          <w:spacing w:val="-7"/>
        </w:rPr>
        <w:t xml:space="preserve"> </w:t>
      </w:r>
      <w:r>
        <w:t>average</w:t>
      </w:r>
      <w:r>
        <w:rPr>
          <w:spacing w:val="-7"/>
        </w:rPr>
        <w:t xml:space="preserve"> </w:t>
      </w:r>
      <w:r>
        <w:t>when</w:t>
      </w:r>
      <w:r>
        <w:rPr>
          <w:spacing w:val="-7"/>
        </w:rPr>
        <w:t xml:space="preserve"> </w:t>
      </w:r>
      <w:r>
        <w:t>only</w:t>
      </w:r>
      <w:r>
        <w:rPr>
          <w:spacing w:val="-6"/>
        </w:rPr>
        <w:t xml:space="preserve"> </w:t>
      </w:r>
      <w:r>
        <w:t>partial</w:t>
      </w:r>
      <w:r>
        <w:rPr>
          <w:spacing w:val="-7"/>
        </w:rPr>
        <w:t xml:space="preserve"> </w:t>
      </w:r>
      <w:r>
        <w:t>d</w:t>
      </w:r>
      <w:r>
        <w:t>ata from a single company was accepted.</w:t>
      </w:r>
      <w:r>
        <w:rPr>
          <w:vertAlign w:val="superscript"/>
        </w:rPr>
        <w:t>1259</w:t>
      </w:r>
    </w:p>
    <w:p w14:paraId="51DE9C57" w14:textId="77777777" w:rsidR="0010369C" w:rsidRDefault="0010369C">
      <w:pPr>
        <w:pStyle w:val="BodyText"/>
        <w:spacing w:before="10"/>
        <w:rPr>
          <w:sz w:val="8"/>
        </w:rPr>
      </w:pPr>
    </w:p>
    <w:p w14:paraId="51DE9C58" w14:textId="77777777" w:rsidR="0010369C" w:rsidRDefault="008E43AE">
      <w:pPr>
        <w:pStyle w:val="BodyText"/>
        <w:spacing w:before="52" w:line="360" w:lineRule="auto"/>
        <w:ind w:left="236" w:right="613" w:firstLine="852"/>
        <w:jc w:val="both"/>
      </w:pPr>
      <w:r>
        <w:rPr>
          <w:noProof/>
        </w:rPr>
        <w:drawing>
          <wp:anchor distT="0" distB="0" distL="0" distR="0" simplePos="0" relativeHeight="251663872" behindDoc="1" locked="0" layoutInCell="1" allowOverlap="1" wp14:anchorId="51DEA977" wp14:editId="51DEA978">
            <wp:simplePos x="0" y="0"/>
            <wp:positionH relativeFrom="page">
              <wp:posOffset>908303</wp:posOffset>
            </wp:positionH>
            <wp:positionV relativeFrom="paragraph">
              <wp:posOffset>80595</wp:posOffset>
            </wp:positionV>
            <wp:extent cx="332231" cy="103631"/>
            <wp:effectExtent l="0" t="0" r="0" b="0"/>
            <wp:wrapNone/>
            <wp:docPr id="2151" name="image1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2" name="image1103.png"/>
                    <pic:cNvPicPr/>
                  </pic:nvPicPr>
                  <pic:blipFill>
                    <a:blip r:embed="rId1408" cstate="print"/>
                    <a:stretch>
                      <a:fillRect/>
                    </a:stretch>
                  </pic:blipFill>
                  <pic:spPr>
                    <a:xfrm>
                      <a:off x="0" y="0"/>
                      <a:ext cx="332231" cy="103631"/>
                    </a:xfrm>
                    <a:prstGeom prst="rect">
                      <a:avLst/>
                    </a:prstGeom>
                  </pic:spPr>
                </pic:pic>
              </a:graphicData>
            </a:graphic>
          </wp:anchor>
        </w:drawing>
      </w:r>
      <w:r>
        <w:t>When</w:t>
      </w:r>
      <w:r>
        <w:rPr>
          <w:spacing w:val="-14"/>
        </w:rPr>
        <w:t xml:space="preserve"> </w:t>
      </w:r>
      <w:r>
        <w:t>investigating</w:t>
      </w:r>
      <w:r>
        <w:rPr>
          <w:spacing w:val="-14"/>
        </w:rPr>
        <w:t xml:space="preserve"> </w:t>
      </w:r>
      <w:r>
        <w:t>authorities</w:t>
      </w:r>
      <w:r>
        <w:rPr>
          <w:spacing w:val="-13"/>
        </w:rPr>
        <w:t xml:space="preserve"> </w:t>
      </w:r>
      <w:r>
        <w:t>resort</w:t>
      </w:r>
      <w:r>
        <w:rPr>
          <w:spacing w:val="-14"/>
        </w:rPr>
        <w:t xml:space="preserve"> </w:t>
      </w:r>
      <w:r>
        <w:t>to</w:t>
      </w:r>
      <w:r>
        <w:rPr>
          <w:spacing w:val="-13"/>
        </w:rPr>
        <w:t xml:space="preserve"> </w:t>
      </w:r>
      <w:r>
        <w:t>secondary</w:t>
      </w:r>
      <w:r>
        <w:rPr>
          <w:spacing w:val="-14"/>
        </w:rPr>
        <w:t xml:space="preserve"> </w:t>
      </w:r>
      <w:r>
        <w:t>data</w:t>
      </w:r>
      <w:r>
        <w:rPr>
          <w:spacing w:val="-13"/>
        </w:rPr>
        <w:t xml:space="preserve"> </w:t>
      </w:r>
      <w:r>
        <w:t>with</w:t>
      </w:r>
      <w:r>
        <w:rPr>
          <w:spacing w:val="-14"/>
        </w:rPr>
        <w:t xml:space="preserve"> </w:t>
      </w:r>
      <w:r>
        <w:t>respect</w:t>
      </w:r>
      <w:r>
        <w:rPr>
          <w:spacing w:val="-14"/>
        </w:rPr>
        <w:t xml:space="preserve"> </w:t>
      </w:r>
      <w:r>
        <w:t>to</w:t>
      </w:r>
      <w:r>
        <w:rPr>
          <w:spacing w:val="-13"/>
        </w:rPr>
        <w:t xml:space="preserve"> </w:t>
      </w:r>
      <w:r>
        <w:t>normal</w:t>
      </w:r>
      <w:r>
        <w:rPr>
          <w:spacing w:val="-14"/>
        </w:rPr>
        <w:t xml:space="preserve"> </w:t>
      </w:r>
      <w:r>
        <w:t>value, paragraph 7 of Annex II requires them, where practicable, to "check the information from other independent sources at their disposal, such as published price lists, official import statistics and customs returns, and from the information obtained fr</w:t>
      </w:r>
      <w:r>
        <w:t>om other interested parties</w:t>
      </w:r>
      <w:r>
        <w:rPr>
          <w:spacing w:val="-6"/>
        </w:rPr>
        <w:t xml:space="preserve"> </w:t>
      </w:r>
      <w:r>
        <w:t>during</w:t>
      </w:r>
      <w:r>
        <w:rPr>
          <w:spacing w:val="-6"/>
        </w:rPr>
        <w:t xml:space="preserve"> </w:t>
      </w:r>
      <w:r>
        <w:t>the</w:t>
      </w:r>
      <w:r>
        <w:rPr>
          <w:spacing w:val="-6"/>
        </w:rPr>
        <w:t xml:space="preserve"> </w:t>
      </w:r>
      <w:r>
        <w:t>investigation".</w:t>
      </w:r>
      <w:r>
        <w:rPr>
          <w:vertAlign w:val="superscript"/>
        </w:rPr>
        <w:t>1260</w:t>
      </w:r>
      <w:r>
        <w:rPr>
          <w:spacing w:val="-7"/>
        </w:rPr>
        <w:t xml:space="preserve"> </w:t>
      </w:r>
      <w:r>
        <w:t>MOFCOM</w:t>
      </w:r>
      <w:r>
        <w:rPr>
          <w:spacing w:val="-6"/>
        </w:rPr>
        <w:t xml:space="preserve"> </w:t>
      </w:r>
      <w:r>
        <w:t>failed</w:t>
      </w:r>
      <w:r>
        <w:rPr>
          <w:spacing w:val="-6"/>
        </w:rPr>
        <w:t xml:space="preserve"> </w:t>
      </w:r>
      <w:r>
        <w:t>to</w:t>
      </w:r>
      <w:r>
        <w:rPr>
          <w:spacing w:val="-6"/>
        </w:rPr>
        <w:t xml:space="preserve"> </w:t>
      </w:r>
      <w:r>
        <w:t>disclose</w:t>
      </w:r>
      <w:r>
        <w:rPr>
          <w:spacing w:val="-5"/>
        </w:rPr>
        <w:t xml:space="preserve"> </w:t>
      </w:r>
      <w:r>
        <w:t>in</w:t>
      </w:r>
      <w:r>
        <w:rPr>
          <w:spacing w:val="-6"/>
        </w:rPr>
        <w:t xml:space="preserve"> </w:t>
      </w:r>
      <w:r>
        <w:t>the</w:t>
      </w:r>
      <w:r>
        <w:rPr>
          <w:spacing w:val="-6"/>
        </w:rPr>
        <w:t xml:space="preserve"> </w:t>
      </w:r>
      <w:r>
        <w:t>level</w:t>
      </w:r>
      <w:r>
        <w:rPr>
          <w:spacing w:val="-6"/>
        </w:rPr>
        <w:t xml:space="preserve"> </w:t>
      </w:r>
      <w:r>
        <w:t>of</w:t>
      </w:r>
      <w:r>
        <w:rPr>
          <w:spacing w:val="-6"/>
        </w:rPr>
        <w:t xml:space="preserve"> </w:t>
      </w:r>
      <w:r>
        <w:t>detail</w:t>
      </w:r>
      <w:r>
        <w:rPr>
          <w:spacing w:val="-6"/>
        </w:rPr>
        <w:t xml:space="preserve"> </w:t>
      </w:r>
      <w:r>
        <w:t>required by the Anti‐Dumping Agreement its methodology or the factual considerations that it took into account when assessing whether the selected d</w:t>
      </w:r>
      <w:r>
        <w:t>ata was the "best available" for these particular companies.</w:t>
      </w:r>
    </w:p>
    <w:p w14:paraId="51DE9C59" w14:textId="77777777" w:rsidR="0010369C" w:rsidRDefault="0010369C">
      <w:pPr>
        <w:pStyle w:val="BodyText"/>
        <w:spacing w:before="10"/>
        <w:rPr>
          <w:sz w:val="8"/>
        </w:rPr>
      </w:pPr>
    </w:p>
    <w:p w14:paraId="51DE9C5A" w14:textId="77777777" w:rsidR="0010369C" w:rsidRDefault="008E43AE">
      <w:pPr>
        <w:pStyle w:val="BodyText"/>
        <w:spacing w:before="53" w:line="360" w:lineRule="auto"/>
        <w:ind w:left="236" w:right="613" w:firstLine="13"/>
        <w:jc w:val="both"/>
      </w:pPr>
      <w:r>
        <w:rPr>
          <w:noProof/>
        </w:rPr>
        <w:drawing>
          <wp:inline distT="0" distB="0" distL="0" distR="0" wp14:anchorId="51DEA979" wp14:editId="51DEA97A">
            <wp:extent cx="332231" cy="109727"/>
            <wp:effectExtent l="0" t="0" r="0" b="0"/>
            <wp:docPr id="2153" name="image1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4" name="image1104.png"/>
                    <pic:cNvPicPr/>
                  </pic:nvPicPr>
                  <pic:blipFill>
                    <a:blip r:embed="rId1409" cstate="print"/>
                    <a:stretch>
                      <a:fillRect/>
                    </a:stretch>
                  </pic:blipFill>
                  <pic:spPr>
                    <a:xfrm>
                      <a:off x="0" y="0"/>
                      <a:ext cx="332231" cy="109727"/>
                    </a:xfrm>
                    <a:prstGeom prst="rect">
                      <a:avLst/>
                    </a:prstGeom>
                  </pic:spPr>
                </pic:pic>
              </a:graphicData>
            </a:graphic>
          </wp:inline>
        </w:drawing>
      </w:r>
      <w:r>
        <w:rPr>
          <w:rFonts w:ascii="Times New Roman" w:hAnsi="Times New Roman"/>
          <w:spacing w:val="80"/>
          <w:position w:val="1"/>
          <w:sz w:val="20"/>
        </w:rPr>
        <w:t xml:space="preserve"> </w:t>
      </w:r>
      <w:r>
        <w:rPr>
          <w:position w:val="1"/>
        </w:rPr>
        <w:t xml:space="preserve">There is nothing on the record to suggest that the information relied upon by </w:t>
      </w:r>
      <w:r>
        <w:t>MOFCOM</w:t>
      </w:r>
      <w:r>
        <w:rPr>
          <w:spacing w:val="-1"/>
        </w:rPr>
        <w:t xml:space="preserve"> </w:t>
      </w:r>
      <w:r>
        <w:t>was</w:t>
      </w:r>
      <w:r>
        <w:rPr>
          <w:spacing w:val="-2"/>
        </w:rPr>
        <w:t xml:space="preserve"> </w:t>
      </w:r>
      <w:r>
        <w:t>confidential</w:t>
      </w:r>
      <w:r>
        <w:rPr>
          <w:spacing w:val="-2"/>
        </w:rPr>
        <w:t xml:space="preserve"> </w:t>
      </w:r>
      <w:r>
        <w:t>in</w:t>
      </w:r>
      <w:r>
        <w:rPr>
          <w:spacing w:val="-2"/>
        </w:rPr>
        <w:t xml:space="preserve"> </w:t>
      </w:r>
      <w:r>
        <w:t>its</w:t>
      </w:r>
      <w:r>
        <w:rPr>
          <w:spacing w:val="-1"/>
        </w:rPr>
        <w:t xml:space="preserve"> </w:t>
      </w:r>
      <w:r>
        <w:t>entirety.</w:t>
      </w:r>
      <w:r>
        <w:rPr>
          <w:spacing w:val="-2"/>
        </w:rPr>
        <w:t xml:space="preserve"> </w:t>
      </w:r>
      <w:r>
        <w:t>To</w:t>
      </w:r>
      <w:r>
        <w:rPr>
          <w:spacing w:val="-1"/>
        </w:rPr>
        <w:t xml:space="preserve"> </w:t>
      </w:r>
      <w:r>
        <w:t>the</w:t>
      </w:r>
      <w:r>
        <w:rPr>
          <w:spacing w:val="-1"/>
        </w:rPr>
        <w:t xml:space="preserve"> </w:t>
      </w:r>
      <w:r>
        <w:t>extent</w:t>
      </w:r>
      <w:r>
        <w:rPr>
          <w:spacing w:val="-2"/>
        </w:rPr>
        <w:t xml:space="preserve"> </w:t>
      </w:r>
      <w:r>
        <w:t>that</w:t>
      </w:r>
      <w:r>
        <w:rPr>
          <w:spacing w:val="-2"/>
        </w:rPr>
        <w:t xml:space="preserve"> </w:t>
      </w:r>
      <w:r>
        <w:t>it</w:t>
      </w:r>
      <w:r>
        <w:rPr>
          <w:spacing w:val="-2"/>
        </w:rPr>
        <w:t xml:space="preserve"> </w:t>
      </w:r>
      <w:r>
        <w:t>was</w:t>
      </w:r>
      <w:r>
        <w:rPr>
          <w:spacing w:val="-2"/>
        </w:rPr>
        <w:t xml:space="preserve"> </w:t>
      </w:r>
      <w:r>
        <w:t>confidential,</w:t>
      </w:r>
      <w:r>
        <w:rPr>
          <w:spacing w:val="-2"/>
        </w:rPr>
        <w:t xml:space="preserve"> </w:t>
      </w:r>
      <w:r>
        <w:t>there</w:t>
      </w:r>
      <w:r>
        <w:rPr>
          <w:spacing w:val="-2"/>
        </w:rPr>
        <w:t xml:space="preserve"> </w:t>
      </w:r>
      <w:r>
        <w:t>was</w:t>
      </w:r>
      <w:r>
        <w:rPr>
          <w:spacing w:val="-2"/>
        </w:rPr>
        <w:t xml:space="preserve"> </w:t>
      </w:r>
      <w:r>
        <w:t>no attempt by MOFCOM to provide a meaningful non‐confidential summary. The lack of non‐confidential information, particularly in relation to MOFCOM's chosen methodology, made</w:t>
      </w:r>
      <w:r>
        <w:rPr>
          <w:spacing w:val="-8"/>
        </w:rPr>
        <w:t xml:space="preserve"> </w:t>
      </w:r>
      <w:r>
        <w:t>it</w:t>
      </w:r>
      <w:r>
        <w:rPr>
          <w:spacing w:val="-10"/>
        </w:rPr>
        <w:t xml:space="preserve"> </w:t>
      </w:r>
      <w:r>
        <w:t>impossible</w:t>
      </w:r>
      <w:r>
        <w:rPr>
          <w:spacing w:val="-8"/>
        </w:rPr>
        <w:t xml:space="preserve"> </w:t>
      </w:r>
      <w:r>
        <w:t>for</w:t>
      </w:r>
      <w:r>
        <w:rPr>
          <w:spacing w:val="-8"/>
        </w:rPr>
        <w:t xml:space="preserve"> </w:t>
      </w:r>
      <w:r>
        <w:t>the</w:t>
      </w:r>
      <w:r>
        <w:rPr>
          <w:spacing w:val="-8"/>
        </w:rPr>
        <w:t xml:space="preserve"> </w:t>
      </w:r>
      <w:r>
        <w:t>sampled</w:t>
      </w:r>
      <w:r>
        <w:rPr>
          <w:spacing w:val="-11"/>
        </w:rPr>
        <w:t xml:space="preserve"> </w:t>
      </w:r>
      <w:r>
        <w:t>companies</w:t>
      </w:r>
      <w:r>
        <w:rPr>
          <w:spacing w:val="-9"/>
        </w:rPr>
        <w:t xml:space="preserve"> </w:t>
      </w:r>
      <w:r>
        <w:t>to</w:t>
      </w:r>
      <w:r>
        <w:rPr>
          <w:spacing w:val="-8"/>
        </w:rPr>
        <w:t xml:space="preserve"> </w:t>
      </w:r>
      <w:r>
        <w:t>assess</w:t>
      </w:r>
      <w:r>
        <w:rPr>
          <w:spacing w:val="-9"/>
        </w:rPr>
        <w:t xml:space="preserve"> </w:t>
      </w:r>
      <w:r>
        <w:t>the</w:t>
      </w:r>
      <w:r>
        <w:rPr>
          <w:spacing w:val="-9"/>
        </w:rPr>
        <w:t xml:space="preserve"> </w:t>
      </w:r>
      <w:r>
        <w:t>conformity</w:t>
      </w:r>
      <w:r>
        <w:rPr>
          <w:spacing w:val="-10"/>
        </w:rPr>
        <w:t xml:space="preserve"> </w:t>
      </w:r>
      <w:r>
        <w:t>of</w:t>
      </w:r>
      <w:r>
        <w:rPr>
          <w:spacing w:val="-9"/>
        </w:rPr>
        <w:t xml:space="preserve"> </w:t>
      </w:r>
      <w:r>
        <w:t>MOFCOM's</w:t>
      </w:r>
      <w:r>
        <w:rPr>
          <w:spacing w:val="-9"/>
        </w:rPr>
        <w:t xml:space="preserve"> </w:t>
      </w:r>
      <w:r>
        <w:t>norm</w:t>
      </w:r>
      <w:r>
        <w:t>al value</w:t>
      </w:r>
      <w:r>
        <w:rPr>
          <w:spacing w:val="-6"/>
        </w:rPr>
        <w:t xml:space="preserve"> </w:t>
      </w:r>
      <w:r>
        <w:t>calculations</w:t>
      </w:r>
      <w:r>
        <w:rPr>
          <w:spacing w:val="-7"/>
        </w:rPr>
        <w:t xml:space="preserve"> </w:t>
      </w:r>
      <w:r>
        <w:t>or</w:t>
      </w:r>
      <w:r>
        <w:rPr>
          <w:spacing w:val="-6"/>
        </w:rPr>
        <w:t xml:space="preserve"> </w:t>
      </w:r>
      <w:r>
        <w:t>to</w:t>
      </w:r>
      <w:r>
        <w:rPr>
          <w:spacing w:val="-7"/>
        </w:rPr>
        <w:t xml:space="preserve"> </w:t>
      </w:r>
      <w:r>
        <w:t>challenge</w:t>
      </w:r>
      <w:r>
        <w:rPr>
          <w:spacing w:val="-6"/>
        </w:rPr>
        <w:t xml:space="preserve"> </w:t>
      </w:r>
      <w:r>
        <w:t>them.</w:t>
      </w:r>
      <w:r>
        <w:rPr>
          <w:spacing w:val="-7"/>
        </w:rPr>
        <w:t xml:space="preserve"> </w:t>
      </w:r>
      <w:r>
        <w:t>The</w:t>
      </w:r>
      <w:r>
        <w:rPr>
          <w:spacing w:val="-7"/>
        </w:rPr>
        <w:t xml:space="preserve"> </w:t>
      </w:r>
      <w:r>
        <w:t>basis</w:t>
      </w:r>
      <w:r>
        <w:rPr>
          <w:spacing w:val="-6"/>
        </w:rPr>
        <w:t xml:space="preserve"> </w:t>
      </w:r>
      <w:r>
        <w:t>of</w:t>
      </w:r>
      <w:r>
        <w:rPr>
          <w:spacing w:val="-6"/>
        </w:rPr>
        <w:t xml:space="preserve"> </w:t>
      </w:r>
      <w:r>
        <w:t>MOFCOM's</w:t>
      </w:r>
      <w:r>
        <w:rPr>
          <w:spacing w:val="-6"/>
        </w:rPr>
        <w:t xml:space="preserve"> </w:t>
      </w:r>
      <w:r>
        <w:t>normal</w:t>
      </w:r>
      <w:r>
        <w:rPr>
          <w:spacing w:val="-7"/>
        </w:rPr>
        <w:t xml:space="preserve"> </w:t>
      </w:r>
      <w:r>
        <w:t>value</w:t>
      </w:r>
      <w:r>
        <w:rPr>
          <w:spacing w:val="-6"/>
        </w:rPr>
        <w:t xml:space="preserve"> </w:t>
      </w:r>
      <w:r>
        <w:t>calculations</w:t>
      </w:r>
      <w:r>
        <w:rPr>
          <w:spacing w:val="-7"/>
        </w:rPr>
        <w:t xml:space="preserve"> </w:t>
      </w:r>
      <w:r>
        <w:t>for the sampled companies was evidently "material" information for the purpose of calculating the</w:t>
      </w:r>
      <w:r>
        <w:rPr>
          <w:spacing w:val="-1"/>
        </w:rPr>
        <w:t xml:space="preserve"> </w:t>
      </w:r>
      <w:r>
        <w:t>final</w:t>
      </w:r>
      <w:r>
        <w:rPr>
          <w:spacing w:val="-1"/>
        </w:rPr>
        <w:t xml:space="preserve"> </w:t>
      </w:r>
      <w:r>
        <w:t>dumping</w:t>
      </w:r>
      <w:r>
        <w:rPr>
          <w:spacing w:val="-1"/>
        </w:rPr>
        <w:t xml:space="preserve"> </w:t>
      </w:r>
      <w:r>
        <w:t>margins,</w:t>
      </w:r>
      <w:r>
        <w:rPr>
          <w:spacing w:val="-1"/>
        </w:rPr>
        <w:t xml:space="preserve"> </w:t>
      </w:r>
      <w:r>
        <w:t>not</w:t>
      </w:r>
      <w:r>
        <w:rPr>
          <w:spacing w:val="-1"/>
        </w:rPr>
        <w:t xml:space="preserve"> </w:t>
      </w:r>
      <w:r>
        <w:t>only</w:t>
      </w:r>
      <w:r>
        <w:rPr>
          <w:spacing w:val="-2"/>
        </w:rPr>
        <w:t xml:space="preserve"> </w:t>
      </w:r>
      <w:r>
        <w:t>for</w:t>
      </w:r>
      <w:r>
        <w:rPr>
          <w:spacing w:val="-1"/>
        </w:rPr>
        <w:t xml:space="preserve"> </w:t>
      </w:r>
      <w:r>
        <w:t>the</w:t>
      </w:r>
      <w:r>
        <w:rPr>
          <w:spacing w:val="-1"/>
        </w:rPr>
        <w:t xml:space="preserve"> </w:t>
      </w:r>
      <w:r>
        <w:t>sampled</w:t>
      </w:r>
      <w:r>
        <w:rPr>
          <w:spacing w:val="-1"/>
        </w:rPr>
        <w:t xml:space="preserve"> </w:t>
      </w:r>
      <w:r>
        <w:t>companies</w:t>
      </w:r>
      <w:r>
        <w:rPr>
          <w:spacing w:val="-2"/>
        </w:rPr>
        <w:t xml:space="preserve"> </w:t>
      </w:r>
      <w:r>
        <w:t>but</w:t>
      </w:r>
      <w:r>
        <w:rPr>
          <w:spacing w:val="-1"/>
        </w:rPr>
        <w:t xml:space="preserve"> </w:t>
      </w:r>
      <w:r>
        <w:t>for</w:t>
      </w:r>
      <w:r>
        <w:rPr>
          <w:spacing w:val="-2"/>
        </w:rPr>
        <w:t xml:space="preserve"> </w:t>
      </w:r>
      <w:r>
        <w:t>all</w:t>
      </w:r>
      <w:r>
        <w:rPr>
          <w:spacing w:val="-2"/>
        </w:rPr>
        <w:t xml:space="preserve"> </w:t>
      </w:r>
      <w:r>
        <w:t>companies</w:t>
      </w:r>
      <w:r>
        <w:rPr>
          <w:spacing w:val="-2"/>
        </w:rPr>
        <w:t xml:space="preserve"> </w:t>
      </w:r>
      <w:r>
        <w:t>subject to the investigation.</w:t>
      </w:r>
    </w:p>
    <w:p w14:paraId="51DE9C5B" w14:textId="77777777" w:rsidR="0010369C" w:rsidRDefault="008E43AE">
      <w:pPr>
        <w:pStyle w:val="ListParagraph"/>
        <w:numPr>
          <w:ilvl w:val="3"/>
          <w:numId w:val="75"/>
        </w:numPr>
        <w:tabs>
          <w:tab w:val="left" w:pos="3642"/>
          <w:tab w:val="left" w:pos="3643"/>
        </w:tabs>
        <w:spacing w:before="160" w:line="360" w:lineRule="auto"/>
        <w:ind w:right="614" w:hanging="853"/>
        <w:jc w:val="both"/>
        <w:rPr>
          <w:sz w:val="24"/>
        </w:rPr>
      </w:pPr>
      <w:r>
        <w:rPr>
          <w:sz w:val="24"/>
          <w:u w:val="single"/>
        </w:rPr>
        <w:t>Adjustments to ensure a fair comparison of normal value</w:t>
      </w:r>
      <w:r>
        <w:rPr>
          <w:sz w:val="24"/>
        </w:rPr>
        <w:t xml:space="preserve"> </w:t>
      </w:r>
      <w:r>
        <w:rPr>
          <w:sz w:val="24"/>
          <w:u w:val="single"/>
        </w:rPr>
        <w:t>and export price</w:t>
      </w:r>
    </w:p>
    <w:p w14:paraId="51DE9C5C" w14:textId="77777777" w:rsidR="0010369C" w:rsidRDefault="0010369C">
      <w:pPr>
        <w:pStyle w:val="BodyText"/>
        <w:spacing w:before="10"/>
        <w:rPr>
          <w:sz w:val="8"/>
        </w:rPr>
      </w:pPr>
    </w:p>
    <w:p w14:paraId="51DE9C5D" w14:textId="77777777" w:rsidR="0010369C" w:rsidRDefault="008E43AE">
      <w:pPr>
        <w:pStyle w:val="BodyText"/>
        <w:spacing w:before="51" w:line="360" w:lineRule="auto"/>
        <w:ind w:left="237" w:right="614" w:firstLine="851"/>
      </w:pPr>
      <w:r>
        <w:rPr>
          <w:noProof/>
        </w:rPr>
        <w:drawing>
          <wp:anchor distT="0" distB="0" distL="0" distR="0" simplePos="0" relativeHeight="251664896" behindDoc="1" locked="0" layoutInCell="1" allowOverlap="1" wp14:anchorId="51DEA97B" wp14:editId="51DEA97C">
            <wp:simplePos x="0" y="0"/>
            <wp:positionH relativeFrom="page">
              <wp:posOffset>908303</wp:posOffset>
            </wp:positionH>
            <wp:positionV relativeFrom="paragraph">
              <wp:posOffset>75388</wp:posOffset>
            </wp:positionV>
            <wp:extent cx="332231" cy="106679"/>
            <wp:effectExtent l="0" t="0" r="0" b="0"/>
            <wp:wrapNone/>
            <wp:docPr id="2155" name="image1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6" name="image1105.png"/>
                    <pic:cNvPicPr/>
                  </pic:nvPicPr>
                  <pic:blipFill>
                    <a:blip r:embed="rId1410" cstate="print"/>
                    <a:stretch>
                      <a:fillRect/>
                    </a:stretch>
                  </pic:blipFill>
                  <pic:spPr>
                    <a:xfrm>
                      <a:off x="0" y="0"/>
                      <a:ext cx="332231" cy="106679"/>
                    </a:xfrm>
                    <a:prstGeom prst="rect">
                      <a:avLst/>
                    </a:prstGeom>
                  </pic:spPr>
                </pic:pic>
              </a:graphicData>
            </a:graphic>
          </wp:anchor>
        </w:drawing>
      </w:r>
      <w:r>
        <w:t>MOFCOM acted inconsistently with Articles 12.2 and 12.2.2 by failing to disclose to interested</w:t>
      </w:r>
      <w:r>
        <w:rPr>
          <w:spacing w:val="32"/>
        </w:rPr>
        <w:t xml:space="preserve"> </w:t>
      </w:r>
      <w:r>
        <w:t>parties</w:t>
      </w:r>
      <w:r>
        <w:rPr>
          <w:spacing w:val="32"/>
        </w:rPr>
        <w:t xml:space="preserve"> </w:t>
      </w:r>
      <w:r>
        <w:t>the</w:t>
      </w:r>
      <w:r>
        <w:rPr>
          <w:spacing w:val="32"/>
        </w:rPr>
        <w:t xml:space="preserve"> </w:t>
      </w:r>
      <w:r>
        <w:t>price</w:t>
      </w:r>
      <w:r>
        <w:rPr>
          <w:spacing w:val="32"/>
        </w:rPr>
        <w:t xml:space="preserve"> </w:t>
      </w:r>
      <w:r>
        <w:t>adjustments</w:t>
      </w:r>
      <w:r>
        <w:rPr>
          <w:spacing w:val="31"/>
        </w:rPr>
        <w:t xml:space="preserve"> </w:t>
      </w:r>
      <w:r>
        <w:t>that</w:t>
      </w:r>
      <w:r>
        <w:rPr>
          <w:spacing w:val="31"/>
        </w:rPr>
        <w:t xml:space="preserve"> </w:t>
      </w:r>
      <w:r>
        <w:t>were</w:t>
      </w:r>
      <w:r>
        <w:rPr>
          <w:spacing w:val="31"/>
        </w:rPr>
        <w:t xml:space="preserve"> </w:t>
      </w:r>
      <w:r>
        <w:t>made</w:t>
      </w:r>
      <w:r>
        <w:rPr>
          <w:spacing w:val="31"/>
        </w:rPr>
        <w:t xml:space="preserve"> </w:t>
      </w:r>
      <w:r>
        <w:t>to</w:t>
      </w:r>
      <w:r>
        <w:rPr>
          <w:spacing w:val="33"/>
        </w:rPr>
        <w:t xml:space="preserve"> </w:t>
      </w:r>
      <w:r>
        <w:t>undertake</w:t>
      </w:r>
      <w:r>
        <w:rPr>
          <w:spacing w:val="33"/>
        </w:rPr>
        <w:t xml:space="preserve"> </w:t>
      </w:r>
      <w:r>
        <w:t>a</w:t>
      </w:r>
      <w:r>
        <w:rPr>
          <w:spacing w:val="32"/>
        </w:rPr>
        <w:t xml:space="preserve"> </w:t>
      </w:r>
      <w:r>
        <w:t>fair</w:t>
      </w:r>
      <w:r>
        <w:rPr>
          <w:spacing w:val="31"/>
        </w:rPr>
        <w:t xml:space="preserve"> </w:t>
      </w:r>
      <w:r>
        <w:rPr>
          <w:spacing w:val="-2"/>
        </w:rPr>
        <w:t>comparison</w:t>
      </w:r>
    </w:p>
    <w:p w14:paraId="51DE9C5E" w14:textId="77777777" w:rsidR="0010369C" w:rsidRDefault="008E43AE">
      <w:pPr>
        <w:pStyle w:val="BodyText"/>
        <w:spacing w:before="7"/>
        <w:rPr>
          <w:sz w:val="20"/>
        </w:rPr>
      </w:pPr>
      <w:r>
        <w:pict w14:anchorId="51DEA97D">
          <v:rect id="docshape1481" o:spid="_x0000_s1038" style="position:absolute;margin-left:70.9pt;margin-top:13.75pt;width:2in;height:.8pt;z-index:-250655232;mso-wrap-distance-left:0;mso-wrap-distance-right:0;mso-position-horizontal-relative:page" fillcolor="black" stroked="f">
            <w10:wrap type="topAndBottom" anchorx="page"/>
          </v:rect>
        </w:pict>
      </w:r>
    </w:p>
    <w:p w14:paraId="51DE9C5F" w14:textId="77777777" w:rsidR="0010369C" w:rsidRDefault="008E43AE">
      <w:pPr>
        <w:spacing w:before="109"/>
        <w:ind w:left="238"/>
        <w:rPr>
          <w:sz w:val="18"/>
        </w:rPr>
      </w:pPr>
      <w:r>
        <w:rPr>
          <w:sz w:val="18"/>
          <w:vertAlign w:val="superscript"/>
        </w:rPr>
        <w:t>1258</w:t>
      </w:r>
      <w:r>
        <w:rPr>
          <w:spacing w:val="-9"/>
          <w:sz w:val="18"/>
        </w:rPr>
        <w:t xml:space="preserve"> </w:t>
      </w:r>
      <w:r>
        <w:rPr>
          <w:sz w:val="18"/>
        </w:rPr>
        <w:t>Anti‐Dumping</w:t>
      </w:r>
      <w:r>
        <w:rPr>
          <w:spacing w:val="-9"/>
          <w:sz w:val="18"/>
        </w:rPr>
        <w:t xml:space="preserve"> </w:t>
      </w:r>
      <w:r>
        <w:rPr>
          <w:sz w:val="18"/>
        </w:rPr>
        <w:t>Final</w:t>
      </w:r>
      <w:r>
        <w:rPr>
          <w:spacing w:val="-9"/>
          <w:sz w:val="18"/>
        </w:rPr>
        <w:t xml:space="preserve"> </w:t>
      </w:r>
      <w:r>
        <w:rPr>
          <w:sz w:val="18"/>
        </w:rPr>
        <w:t>Determination</w:t>
      </w:r>
      <w:r>
        <w:rPr>
          <w:spacing w:val="-8"/>
          <w:sz w:val="18"/>
        </w:rPr>
        <w:t xml:space="preserve"> </w:t>
      </w:r>
      <w:r>
        <w:rPr>
          <w:sz w:val="18"/>
        </w:rPr>
        <w:t>(Exhibit</w:t>
      </w:r>
      <w:r>
        <w:rPr>
          <w:spacing w:val="-9"/>
          <w:sz w:val="18"/>
        </w:rPr>
        <w:t xml:space="preserve"> </w:t>
      </w:r>
      <w:r>
        <w:rPr>
          <w:sz w:val="18"/>
        </w:rPr>
        <w:t>AUS‐2)</w:t>
      </w:r>
      <w:r>
        <w:rPr>
          <w:spacing w:val="-8"/>
          <w:sz w:val="18"/>
        </w:rPr>
        <w:t xml:space="preserve"> </w:t>
      </w:r>
      <w:r>
        <w:rPr>
          <w:sz w:val="18"/>
        </w:rPr>
        <w:t>p.</w:t>
      </w:r>
      <w:r>
        <w:rPr>
          <w:spacing w:val="-9"/>
          <w:sz w:val="18"/>
        </w:rPr>
        <w:t xml:space="preserve"> </w:t>
      </w:r>
      <w:r>
        <w:rPr>
          <w:spacing w:val="-5"/>
          <w:sz w:val="18"/>
        </w:rPr>
        <w:t>92.</w:t>
      </w:r>
    </w:p>
    <w:p w14:paraId="51DE9C60" w14:textId="77777777" w:rsidR="0010369C" w:rsidRDefault="008E43AE">
      <w:pPr>
        <w:ind w:left="238"/>
        <w:rPr>
          <w:sz w:val="18"/>
        </w:rPr>
      </w:pPr>
      <w:r>
        <w:rPr>
          <w:sz w:val="18"/>
          <w:vertAlign w:val="superscript"/>
        </w:rPr>
        <w:t>1259</w:t>
      </w:r>
      <w:r>
        <w:rPr>
          <w:spacing w:val="-7"/>
          <w:sz w:val="18"/>
        </w:rPr>
        <w:t xml:space="preserve"> </w:t>
      </w:r>
      <w:r>
        <w:rPr>
          <w:sz w:val="18"/>
        </w:rPr>
        <w:t>See</w:t>
      </w:r>
      <w:r>
        <w:rPr>
          <w:spacing w:val="-7"/>
          <w:sz w:val="18"/>
        </w:rPr>
        <w:t xml:space="preserve"> </w:t>
      </w:r>
      <w:r>
        <w:rPr>
          <w:sz w:val="18"/>
        </w:rPr>
        <w:t>above,</w:t>
      </w:r>
      <w:r>
        <w:rPr>
          <w:spacing w:val="-7"/>
          <w:sz w:val="18"/>
        </w:rPr>
        <w:t xml:space="preserve"> </w:t>
      </w:r>
      <w:r>
        <w:rPr>
          <w:sz w:val="18"/>
        </w:rPr>
        <w:t>sections</w:t>
      </w:r>
      <w:r>
        <w:rPr>
          <w:spacing w:val="-7"/>
          <w:sz w:val="18"/>
        </w:rPr>
        <w:t xml:space="preserve"> </w:t>
      </w:r>
      <w:r>
        <w:rPr>
          <w:sz w:val="18"/>
        </w:rPr>
        <w:t>II.F.3(b)</w:t>
      </w:r>
      <w:r>
        <w:rPr>
          <w:spacing w:val="-8"/>
          <w:sz w:val="18"/>
        </w:rPr>
        <w:t xml:space="preserve"> </w:t>
      </w:r>
      <w:r>
        <w:rPr>
          <w:sz w:val="18"/>
        </w:rPr>
        <w:t>and</w:t>
      </w:r>
      <w:r>
        <w:rPr>
          <w:spacing w:val="-7"/>
          <w:sz w:val="18"/>
        </w:rPr>
        <w:t xml:space="preserve"> </w:t>
      </w:r>
      <w:r>
        <w:rPr>
          <w:sz w:val="18"/>
        </w:rPr>
        <w:t>II.G.4(b)</w:t>
      </w:r>
      <w:r>
        <w:rPr>
          <w:spacing w:val="-6"/>
          <w:sz w:val="18"/>
        </w:rPr>
        <w:t xml:space="preserve"> </w:t>
      </w:r>
      <w:r>
        <w:rPr>
          <w:sz w:val="18"/>
        </w:rPr>
        <w:t>concerning</w:t>
      </w:r>
      <w:r>
        <w:rPr>
          <w:spacing w:val="-7"/>
          <w:sz w:val="18"/>
        </w:rPr>
        <w:t xml:space="preserve"> </w:t>
      </w:r>
      <w:r>
        <w:rPr>
          <w:sz w:val="18"/>
        </w:rPr>
        <w:t>Casella</w:t>
      </w:r>
      <w:r>
        <w:rPr>
          <w:spacing w:val="-6"/>
          <w:sz w:val="18"/>
        </w:rPr>
        <w:t xml:space="preserve"> </w:t>
      </w:r>
      <w:r>
        <w:rPr>
          <w:sz w:val="18"/>
        </w:rPr>
        <w:t>Wines</w:t>
      </w:r>
      <w:r>
        <w:rPr>
          <w:spacing w:val="-8"/>
          <w:sz w:val="18"/>
        </w:rPr>
        <w:t xml:space="preserve"> </w:t>
      </w:r>
      <w:r>
        <w:rPr>
          <w:sz w:val="18"/>
        </w:rPr>
        <w:t>and</w:t>
      </w:r>
      <w:r>
        <w:rPr>
          <w:spacing w:val="-6"/>
          <w:sz w:val="18"/>
        </w:rPr>
        <w:t xml:space="preserve"> </w:t>
      </w:r>
      <w:r>
        <w:rPr>
          <w:sz w:val="18"/>
        </w:rPr>
        <w:t>Swan</w:t>
      </w:r>
      <w:r>
        <w:rPr>
          <w:spacing w:val="-7"/>
          <w:sz w:val="18"/>
        </w:rPr>
        <w:t xml:space="preserve"> </w:t>
      </w:r>
      <w:r>
        <w:rPr>
          <w:sz w:val="18"/>
        </w:rPr>
        <w:t>Vintage,</w:t>
      </w:r>
      <w:r>
        <w:rPr>
          <w:spacing w:val="-7"/>
          <w:sz w:val="18"/>
        </w:rPr>
        <w:t xml:space="preserve"> </w:t>
      </w:r>
      <w:r>
        <w:rPr>
          <w:spacing w:val="-2"/>
          <w:sz w:val="18"/>
        </w:rPr>
        <w:t>respectively.</w:t>
      </w:r>
    </w:p>
    <w:p w14:paraId="51DE9C61" w14:textId="77777777" w:rsidR="0010369C" w:rsidRDefault="008E43AE">
      <w:pPr>
        <w:ind w:left="238"/>
        <w:rPr>
          <w:sz w:val="18"/>
        </w:rPr>
      </w:pPr>
      <w:r>
        <w:rPr>
          <w:sz w:val="18"/>
          <w:vertAlign w:val="superscript"/>
        </w:rPr>
        <w:t>1260</w:t>
      </w:r>
      <w:r>
        <w:rPr>
          <w:spacing w:val="-7"/>
          <w:sz w:val="18"/>
        </w:rPr>
        <w:t xml:space="preserve"> </w:t>
      </w:r>
      <w:r>
        <w:rPr>
          <w:sz w:val="18"/>
        </w:rPr>
        <w:t>Paragraph</w:t>
      </w:r>
      <w:r>
        <w:rPr>
          <w:spacing w:val="-5"/>
          <w:sz w:val="18"/>
        </w:rPr>
        <w:t xml:space="preserve"> </w:t>
      </w:r>
      <w:r>
        <w:rPr>
          <w:sz w:val="18"/>
        </w:rPr>
        <w:t>7</w:t>
      </w:r>
      <w:r>
        <w:rPr>
          <w:spacing w:val="-4"/>
          <w:sz w:val="18"/>
        </w:rPr>
        <w:t xml:space="preserve"> </w:t>
      </w:r>
      <w:r>
        <w:rPr>
          <w:sz w:val="18"/>
        </w:rPr>
        <w:t>of</w:t>
      </w:r>
      <w:r>
        <w:rPr>
          <w:spacing w:val="-6"/>
          <w:sz w:val="18"/>
        </w:rPr>
        <w:t xml:space="preserve"> </w:t>
      </w:r>
      <w:r>
        <w:rPr>
          <w:sz w:val="18"/>
        </w:rPr>
        <w:t>Annex</w:t>
      </w:r>
      <w:r>
        <w:rPr>
          <w:spacing w:val="-4"/>
          <w:sz w:val="18"/>
        </w:rPr>
        <w:t xml:space="preserve"> </w:t>
      </w:r>
      <w:r>
        <w:rPr>
          <w:sz w:val="18"/>
        </w:rPr>
        <w:t>II</w:t>
      </w:r>
      <w:r>
        <w:rPr>
          <w:spacing w:val="-5"/>
          <w:sz w:val="18"/>
        </w:rPr>
        <w:t xml:space="preserve"> </w:t>
      </w:r>
      <w:r>
        <w:rPr>
          <w:sz w:val="18"/>
        </w:rPr>
        <w:t>of</w:t>
      </w:r>
      <w:r>
        <w:rPr>
          <w:spacing w:val="-4"/>
          <w:sz w:val="18"/>
        </w:rPr>
        <w:t xml:space="preserve"> </w:t>
      </w:r>
      <w:r>
        <w:rPr>
          <w:sz w:val="18"/>
        </w:rPr>
        <w:t>the</w:t>
      </w:r>
      <w:r>
        <w:rPr>
          <w:spacing w:val="-5"/>
          <w:sz w:val="18"/>
        </w:rPr>
        <w:t xml:space="preserve"> </w:t>
      </w:r>
      <w:r>
        <w:rPr>
          <w:sz w:val="18"/>
        </w:rPr>
        <w:t>Anti‐Dumping</w:t>
      </w:r>
      <w:r>
        <w:rPr>
          <w:spacing w:val="-4"/>
          <w:sz w:val="18"/>
        </w:rPr>
        <w:t xml:space="preserve"> </w:t>
      </w:r>
      <w:r>
        <w:rPr>
          <w:spacing w:val="-2"/>
          <w:sz w:val="18"/>
        </w:rPr>
        <w:t>Agreement.</w:t>
      </w:r>
    </w:p>
    <w:p w14:paraId="51DE9C62" w14:textId="77777777" w:rsidR="0010369C" w:rsidRDefault="0010369C">
      <w:pPr>
        <w:rPr>
          <w:sz w:val="18"/>
        </w:rPr>
        <w:sectPr w:rsidR="0010369C">
          <w:pgSz w:w="11910" w:h="16840"/>
          <w:pgMar w:top="880" w:right="800" w:bottom="980" w:left="1180" w:header="569" w:footer="788" w:gutter="0"/>
          <w:cols w:space="720"/>
        </w:sectPr>
      </w:pPr>
    </w:p>
    <w:p w14:paraId="51DE9C63" w14:textId="77777777" w:rsidR="0010369C" w:rsidRDefault="008E43AE">
      <w:pPr>
        <w:tabs>
          <w:tab w:val="left" w:pos="6425"/>
        </w:tabs>
        <w:ind w:left="238"/>
        <w:jc w:val="both"/>
        <w:rPr>
          <w:sz w:val="20"/>
        </w:rPr>
      </w:pPr>
      <w:r>
        <w:rPr>
          <w:i/>
          <w:sz w:val="20"/>
        </w:rPr>
        <w:t>China</w:t>
      </w:r>
      <w:r>
        <w:rPr>
          <w:i/>
          <w:spacing w:val="-5"/>
          <w:sz w:val="20"/>
        </w:rPr>
        <w:t xml:space="preserve"> </w:t>
      </w:r>
      <w:r>
        <w:rPr>
          <w:i/>
          <w:sz w:val="20"/>
        </w:rPr>
        <w:t>–</w:t>
      </w:r>
      <w:r>
        <w:rPr>
          <w:i/>
          <w:spacing w:val="-5"/>
          <w:sz w:val="20"/>
        </w:rPr>
        <w:t xml:space="preserve"> </w:t>
      </w:r>
      <w:r>
        <w:rPr>
          <w:i/>
          <w:sz w:val="20"/>
        </w:rPr>
        <w:t>Anti‐Dumping</w:t>
      </w:r>
      <w:r>
        <w:rPr>
          <w:i/>
          <w:spacing w:val="-4"/>
          <w:sz w:val="20"/>
        </w:rPr>
        <w:t xml:space="preserve"> </w:t>
      </w:r>
      <w:r>
        <w:rPr>
          <w:i/>
          <w:sz w:val="20"/>
        </w:rPr>
        <w:t>and</w:t>
      </w:r>
      <w:r>
        <w:rPr>
          <w:i/>
          <w:spacing w:val="-5"/>
          <w:sz w:val="20"/>
        </w:rPr>
        <w:t xml:space="preserve"> </w:t>
      </w:r>
      <w:r>
        <w:rPr>
          <w:i/>
          <w:sz w:val="20"/>
        </w:rPr>
        <w:t>Countervailing</w:t>
      </w:r>
      <w:r>
        <w:rPr>
          <w:i/>
          <w:spacing w:val="-5"/>
          <w:sz w:val="20"/>
        </w:rPr>
        <w:t xml:space="preserve"> </w:t>
      </w:r>
      <w:r>
        <w:rPr>
          <w:i/>
          <w:sz w:val="20"/>
        </w:rPr>
        <w:t>Duty</w:t>
      </w:r>
      <w:r>
        <w:rPr>
          <w:i/>
          <w:spacing w:val="-4"/>
          <w:sz w:val="20"/>
        </w:rPr>
        <w:t xml:space="preserve"> </w:t>
      </w:r>
      <w:r>
        <w:rPr>
          <w:i/>
          <w:spacing w:val="-2"/>
          <w:sz w:val="20"/>
        </w:rPr>
        <w:t>Measures</w:t>
      </w:r>
      <w:r>
        <w:rPr>
          <w:i/>
          <w:sz w:val="20"/>
        </w:rPr>
        <w:tab/>
      </w:r>
      <w:r>
        <w:rPr>
          <w:sz w:val="20"/>
        </w:rPr>
        <w:t>Australia's</w:t>
      </w:r>
      <w:r>
        <w:rPr>
          <w:spacing w:val="-7"/>
          <w:sz w:val="20"/>
        </w:rPr>
        <w:t xml:space="preserve"> </w:t>
      </w:r>
      <w:r>
        <w:rPr>
          <w:sz w:val="20"/>
        </w:rPr>
        <w:t>First</w:t>
      </w:r>
      <w:r>
        <w:rPr>
          <w:spacing w:val="-2"/>
          <w:sz w:val="20"/>
        </w:rPr>
        <w:t xml:space="preserve"> </w:t>
      </w:r>
      <w:r>
        <w:rPr>
          <w:sz w:val="20"/>
        </w:rPr>
        <w:t>Written</w:t>
      </w:r>
      <w:r>
        <w:rPr>
          <w:spacing w:val="-2"/>
          <w:sz w:val="20"/>
        </w:rPr>
        <w:t xml:space="preserve"> Submission</w:t>
      </w:r>
    </w:p>
    <w:p w14:paraId="51DE9C64" w14:textId="77777777" w:rsidR="0010369C" w:rsidRDefault="008E43AE">
      <w:pPr>
        <w:tabs>
          <w:tab w:val="left" w:pos="8227"/>
        </w:tabs>
        <w:spacing w:before="1"/>
        <w:ind w:left="239"/>
        <w:jc w:val="both"/>
        <w:rPr>
          <w:sz w:val="20"/>
        </w:rPr>
      </w:pPr>
      <w:r>
        <w:rPr>
          <w:i/>
          <w:sz w:val="20"/>
        </w:rPr>
        <w:t>on</w:t>
      </w:r>
      <w:r>
        <w:rPr>
          <w:i/>
          <w:spacing w:val="-1"/>
          <w:sz w:val="20"/>
        </w:rPr>
        <w:t xml:space="preserve"> </w:t>
      </w:r>
      <w:r>
        <w:rPr>
          <w:i/>
          <w:sz w:val="20"/>
        </w:rPr>
        <w:t>Wine</w:t>
      </w:r>
      <w:r>
        <w:rPr>
          <w:i/>
          <w:spacing w:val="-1"/>
          <w:sz w:val="20"/>
        </w:rPr>
        <w:t xml:space="preserve"> </w:t>
      </w:r>
      <w:r>
        <w:rPr>
          <w:i/>
          <w:sz w:val="20"/>
        </w:rPr>
        <w:t>from</w:t>
      </w:r>
      <w:r>
        <w:rPr>
          <w:i/>
          <w:spacing w:val="-3"/>
          <w:sz w:val="20"/>
        </w:rPr>
        <w:t xml:space="preserve"> </w:t>
      </w:r>
      <w:r>
        <w:rPr>
          <w:i/>
          <w:sz w:val="20"/>
        </w:rPr>
        <w:t>Australia</w:t>
      </w:r>
      <w:r>
        <w:rPr>
          <w:i/>
          <w:spacing w:val="-1"/>
          <w:sz w:val="20"/>
        </w:rPr>
        <w:t xml:space="preserve"> </w:t>
      </w:r>
      <w:r>
        <w:rPr>
          <w:spacing w:val="-2"/>
          <w:sz w:val="20"/>
        </w:rPr>
        <w:t>(DS602)</w:t>
      </w:r>
      <w:r>
        <w:rPr>
          <w:sz w:val="20"/>
        </w:rPr>
        <w:tab/>
        <w:t>29</w:t>
      </w:r>
      <w:r>
        <w:rPr>
          <w:spacing w:val="-1"/>
          <w:sz w:val="20"/>
        </w:rPr>
        <w:t xml:space="preserve"> </w:t>
      </w:r>
      <w:r>
        <w:rPr>
          <w:sz w:val="20"/>
        </w:rPr>
        <w:t>April</w:t>
      </w:r>
      <w:r>
        <w:rPr>
          <w:spacing w:val="-2"/>
          <w:sz w:val="20"/>
        </w:rPr>
        <w:t xml:space="preserve"> </w:t>
      </w:r>
      <w:r>
        <w:rPr>
          <w:spacing w:val="-4"/>
          <w:sz w:val="20"/>
        </w:rPr>
        <w:t>2022</w:t>
      </w:r>
    </w:p>
    <w:p w14:paraId="51DE9C65" w14:textId="77777777" w:rsidR="0010369C" w:rsidRDefault="008E43AE">
      <w:pPr>
        <w:pStyle w:val="BodyText"/>
        <w:spacing w:before="34" w:line="360" w:lineRule="auto"/>
        <w:ind w:left="237" w:right="613"/>
        <w:jc w:val="both"/>
      </w:pPr>
      <w:r>
        <w:t>between normal value and export price. In the Final Determination, MOFCOM made price adjustments relating to normal value for Treasury Wines and relating to export price for all sampled</w:t>
      </w:r>
      <w:r>
        <w:rPr>
          <w:spacing w:val="-9"/>
        </w:rPr>
        <w:t xml:space="preserve"> </w:t>
      </w:r>
      <w:r>
        <w:t>companies</w:t>
      </w:r>
      <w:r>
        <w:rPr>
          <w:spacing w:val="-9"/>
        </w:rPr>
        <w:t xml:space="preserve"> </w:t>
      </w:r>
      <w:r>
        <w:t>for</w:t>
      </w:r>
      <w:r>
        <w:rPr>
          <w:spacing w:val="-8"/>
        </w:rPr>
        <w:t xml:space="preserve"> </w:t>
      </w:r>
      <w:r>
        <w:t>the</w:t>
      </w:r>
      <w:r>
        <w:rPr>
          <w:spacing w:val="-8"/>
        </w:rPr>
        <w:t xml:space="preserve"> </w:t>
      </w:r>
      <w:r>
        <w:t>purposes</w:t>
      </w:r>
      <w:r>
        <w:rPr>
          <w:spacing w:val="-8"/>
        </w:rPr>
        <w:t xml:space="preserve"> </w:t>
      </w:r>
      <w:r>
        <w:t>of</w:t>
      </w:r>
      <w:r>
        <w:rPr>
          <w:spacing w:val="-9"/>
        </w:rPr>
        <w:t xml:space="preserve"> </w:t>
      </w:r>
      <w:r>
        <w:t>undertaking</w:t>
      </w:r>
      <w:r>
        <w:rPr>
          <w:spacing w:val="-8"/>
        </w:rPr>
        <w:t xml:space="preserve"> </w:t>
      </w:r>
      <w:r>
        <w:t>a</w:t>
      </w:r>
      <w:r>
        <w:rPr>
          <w:spacing w:val="-9"/>
        </w:rPr>
        <w:t xml:space="preserve"> </w:t>
      </w:r>
      <w:r>
        <w:t>fair</w:t>
      </w:r>
      <w:r>
        <w:rPr>
          <w:spacing w:val="-8"/>
        </w:rPr>
        <w:t xml:space="preserve"> </w:t>
      </w:r>
      <w:r>
        <w:t>comparison</w:t>
      </w:r>
      <w:r>
        <w:rPr>
          <w:spacing w:val="-10"/>
        </w:rPr>
        <w:t xml:space="preserve"> </w:t>
      </w:r>
      <w:r>
        <w:t>pursuant</w:t>
      </w:r>
      <w:r>
        <w:rPr>
          <w:spacing w:val="-8"/>
        </w:rPr>
        <w:t xml:space="preserve"> </w:t>
      </w:r>
      <w:r>
        <w:t>t</w:t>
      </w:r>
      <w:r>
        <w:t>o</w:t>
      </w:r>
      <w:r>
        <w:rPr>
          <w:spacing w:val="-8"/>
        </w:rPr>
        <w:t xml:space="preserve"> </w:t>
      </w:r>
      <w:r>
        <w:t>Article</w:t>
      </w:r>
      <w:r>
        <w:rPr>
          <w:spacing w:val="-9"/>
        </w:rPr>
        <w:t xml:space="preserve"> </w:t>
      </w:r>
      <w:r>
        <w:t>2.4. However, MOFCOM's explanation of which adjustments were made, and on what grounds, was vague, inadequate and lacking in "sufficient detail".</w:t>
      </w:r>
    </w:p>
    <w:p w14:paraId="51DE9C66" w14:textId="77777777" w:rsidR="0010369C" w:rsidRDefault="0010369C">
      <w:pPr>
        <w:pStyle w:val="BodyText"/>
        <w:spacing w:before="11"/>
        <w:rPr>
          <w:sz w:val="8"/>
        </w:rPr>
      </w:pPr>
    </w:p>
    <w:p w14:paraId="51DE9C67" w14:textId="77777777" w:rsidR="0010369C" w:rsidRDefault="008E43AE">
      <w:pPr>
        <w:pStyle w:val="BodyText"/>
        <w:spacing w:before="51" w:line="360" w:lineRule="auto"/>
        <w:ind w:left="236" w:right="613" w:firstLine="852"/>
        <w:jc w:val="both"/>
      </w:pPr>
      <w:r>
        <w:rPr>
          <w:noProof/>
        </w:rPr>
        <w:drawing>
          <wp:anchor distT="0" distB="0" distL="0" distR="0" simplePos="0" relativeHeight="251665920" behindDoc="1" locked="0" layoutInCell="1" allowOverlap="1" wp14:anchorId="51DEA97E" wp14:editId="51DEA97F">
            <wp:simplePos x="0" y="0"/>
            <wp:positionH relativeFrom="page">
              <wp:posOffset>908303</wp:posOffset>
            </wp:positionH>
            <wp:positionV relativeFrom="paragraph">
              <wp:posOffset>79960</wp:posOffset>
            </wp:positionV>
            <wp:extent cx="332231" cy="103631"/>
            <wp:effectExtent l="0" t="0" r="0" b="0"/>
            <wp:wrapNone/>
            <wp:docPr id="2157" name="image1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8" name="image1106.png"/>
                    <pic:cNvPicPr/>
                  </pic:nvPicPr>
                  <pic:blipFill>
                    <a:blip r:embed="rId1411" cstate="print"/>
                    <a:stretch>
                      <a:fillRect/>
                    </a:stretch>
                  </pic:blipFill>
                  <pic:spPr>
                    <a:xfrm>
                      <a:off x="0" y="0"/>
                      <a:ext cx="332231" cy="103631"/>
                    </a:xfrm>
                    <a:prstGeom prst="rect">
                      <a:avLst/>
                    </a:prstGeom>
                  </pic:spPr>
                </pic:pic>
              </a:graphicData>
            </a:graphic>
          </wp:anchor>
        </w:drawing>
      </w:r>
      <w:r>
        <w:t>MOFCOM rejected several adjustments proposed by Treasury Wines without providing</w:t>
      </w:r>
      <w:r>
        <w:rPr>
          <w:spacing w:val="-11"/>
        </w:rPr>
        <w:t xml:space="preserve"> </w:t>
      </w:r>
      <w:r>
        <w:t>sufficient</w:t>
      </w:r>
      <w:r>
        <w:rPr>
          <w:spacing w:val="-13"/>
        </w:rPr>
        <w:t xml:space="preserve"> </w:t>
      </w:r>
      <w:r>
        <w:t>explan</w:t>
      </w:r>
      <w:r>
        <w:t>ations.</w:t>
      </w:r>
      <w:r>
        <w:rPr>
          <w:spacing w:val="-12"/>
        </w:rPr>
        <w:t xml:space="preserve"> </w:t>
      </w:r>
      <w:r>
        <w:t>Instead,</w:t>
      </w:r>
      <w:r>
        <w:rPr>
          <w:spacing w:val="-12"/>
        </w:rPr>
        <w:t xml:space="preserve"> </w:t>
      </w:r>
      <w:r>
        <w:t>MOFCOM</w:t>
      </w:r>
      <w:r>
        <w:rPr>
          <w:spacing w:val="-12"/>
        </w:rPr>
        <w:t xml:space="preserve"> </w:t>
      </w:r>
      <w:r>
        <w:t>simply</w:t>
      </w:r>
      <w:r>
        <w:rPr>
          <w:spacing w:val="-12"/>
        </w:rPr>
        <w:t xml:space="preserve"> </w:t>
      </w:r>
      <w:r>
        <w:t>repeated</w:t>
      </w:r>
      <w:r>
        <w:rPr>
          <w:spacing w:val="-12"/>
        </w:rPr>
        <w:t xml:space="preserve"> </w:t>
      </w:r>
      <w:r>
        <w:t>verbatim</w:t>
      </w:r>
      <w:r>
        <w:rPr>
          <w:spacing w:val="-12"/>
        </w:rPr>
        <w:t xml:space="preserve"> </w:t>
      </w:r>
      <w:r>
        <w:t>its</w:t>
      </w:r>
      <w:r>
        <w:rPr>
          <w:spacing w:val="-12"/>
        </w:rPr>
        <w:t xml:space="preserve"> </w:t>
      </w:r>
      <w:r>
        <w:t>criticisms</w:t>
      </w:r>
      <w:r>
        <w:rPr>
          <w:spacing w:val="-12"/>
        </w:rPr>
        <w:t xml:space="preserve"> </w:t>
      </w:r>
      <w:r>
        <w:t>of certain adjustments from the Preliminary Determination and the Final Disclosure, notwithstanding Treasury Wines' meaningful engagement on those criticisms via its comments to MOFCOM prior t</w:t>
      </w:r>
      <w:r>
        <w:t>o the Final Determination.</w:t>
      </w:r>
      <w:r>
        <w:rPr>
          <w:vertAlign w:val="superscript"/>
        </w:rPr>
        <w:t>1261</w:t>
      </w:r>
      <w:r>
        <w:t xml:space="preserve"> To the extent that MOFCOM accepted adjustments proposed by Treasury Wines, it also failed to provide any relevant calculations to Treasury Wines or a non‐confidential assessment of the adjustments to other interested parties.</w:t>
      </w:r>
    </w:p>
    <w:p w14:paraId="51DE9C68" w14:textId="77777777" w:rsidR="0010369C" w:rsidRDefault="0010369C">
      <w:pPr>
        <w:pStyle w:val="BodyText"/>
        <w:spacing w:before="11"/>
        <w:rPr>
          <w:sz w:val="8"/>
        </w:rPr>
      </w:pPr>
    </w:p>
    <w:p w14:paraId="51DE9C69" w14:textId="77777777" w:rsidR="0010369C" w:rsidRDefault="008E43AE">
      <w:pPr>
        <w:pStyle w:val="BodyText"/>
        <w:spacing w:before="52" w:line="360" w:lineRule="auto"/>
        <w:ind w:left="236" w:right="613" w:firstLine="13"/>
        <w:jc w:val="both"/>
      </w:pPr>
      <w:r>
        <w:rPr>
          <w:noProof/>
        </w:rPr>
        <w:drawing>
          <wp:inline distT="0" distB="0" distL="0" distR="0" wp14:anchorId="51DEA980" wp14:editId="51DEA981">
            <wp:extent cx="332231" cy="109727"/>
            <wp:effectExtent l="0" t="0" r="0" b="0"/>
            <wp:docPr id="2159" name="image1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0" name="image1107.png"/>
                    <pic:cNvPicPr/>
                  </pic:nvPicPr>
                  <pic:blipFill>
                    <a:blip r:embed="rId1412" cstate="print"/>
                    <a:stretch>
                      <a:fillRect/>
                    </a:stretch>
                  </pic:blipFill>
                  <pic:spPr>
                    <a:xfrm>
                      <a:off x="0" y="0"/>
                      <a:ext cx="332231" cy="109727"/>
                    </a:xfrm>
                    <a:prstGeom prst="rect">
                      <a:avLst/>
                    </a:prstGeom>
                  </pic:spPr>
                </pic:pic>
              </a:graphicData>
            </a:graphic>
          </wp:inline>
        </w:drawing>
      </w:r>
      <w:r>
        <w:rPr>
          <w:rFonts w:ascii="Times New Roman"/>
          <w:spacing w:val="80"/>
          <w:w w:val="150"/>
          <w:position w:val="1"/>
          <w:sz w:val="20"/>
        </w:rPr>
        <w:t xml:space="preserve"> </w:t>
      </w:r>
      <w:r>
        <w:rPr>
          <w:position w:val="1"/>
        </w:rPr>
        <w:t xml:space="preserve">In relation to Australian Swan Vintage and Casella Wines, MOFCOM "adjusted the </w:t>
      </w:r>
      <w:r>
        <w:t>relevant sales expenses on the basis of the constructed normal value so as to adjust the normal value to the factory price level".</w:t>
      </w:r>
      <w:r>
        <w:rPr>
          <w:vertAlign w:val="superscript"/>
        </w:rPr>
        <w:t>1262</w:t>
      </w:r>
      <w:r>
        <w:t xml:space="preserve"> It appears that MOFCOM may have relied on Treasury Wines sales price data to determine those normal values.</w:t>
      </w:r>
      <w:r>
        <w:rPr>
          <w:vertAlign w:val="superscript"/>
        </w:rPr>
        <w:t>1263</w:t>
      </w:r>
      <w:r>
        <w:t xml:space="preserve"> MOFCOM fa</w:t>
      </w:r>
      <w:r>
        <w:t>iled to disclose</w:t>
      </w:r>
      <w:r>
        <w:rPr>
          <w:spacing w:val="-4"/>
        </w:rPr>
        <w:t xml:space="preserve"> </w:t>
      </w:r>
      <w:r>
        <w:t>its</w:t>
      </w:r>
      <w:r>
        <w:rPr>
          <w:spacing w:val="-6"/>
        </w:rPr>
        <w:t xml:space="preserve"> </w:t>
      </w:r>
      <w:r>
        <w:t>methodology</w:t>
      </w:r>
      <w:r>
        <w:rPr>
          <w:spacing w:val="-5"/>
        </w:rPr>
        <w:t xml:space="preserve"> </w:t>
      </w:r>
      <w:r>
        <w:t>in</w:t>
      </w:r>
      <w:r>
        <w:rPr>
          <w:spacing w:val="-5"/>
        </w:rPr>
        <w:t xml:space="preserve"> </w:t>
      </w:r>
      <w:r>
        <w:t>reconciling</w:t>
      </w:r>
      <w:r>
        <w:rPr>
          <w:spacing w:val="-6"/>
        </w:rPr>
        <w:t xml:space="preserve"> </w:t>
      </w:r>
      <w:r>
        <w:t>price</w:t>
      </w:r>
      <w:r>
        <w:rPr>
          <w:spacing w:val="-4"/>
        </w:rPr>
        <w:t xml:space="preserve"> </w:t>
      </w:r>
      <w:r>
        <w:t>adjustments</w:t>
      </w:r>
      <w:r>
        <w:rPr>
          <w:spacing w:val="-5"/>
        </w:rPr>
        <w:t xml:space="preserve"> </w:t>
      </w:r>
      <w:r>
        <w:t>proposed</w:t>
      </w:r>
      <w:r>
        <w:rPr>
          <w:spacing w:val="-5"/>
        </w:rPr>
        <w:t xml:space="preserve"> </w:t>
      </w:r>
      <w:r>
        <w:t>by</w:t>
      </w:r>
      <w:r>
        <w:rPr>
          <w:spacing w:val="-6"/>
        </w:rPr>
        <w:t xml:space="preserve"> </w:t>
      </w:r>
      <w:r>
        <w:t>one</w:t>
      </w:r>
      <w:r>
        <w:rPr>
          <w:spacing w:val="-4"/>
        </w:rPr>
        <w:t xml:space="preserve"> </w:t>
      </w:r>
      <w:r>
        <w:t>sampled</w:t>
      </w:r>
      <w:r>
        <w:rPr>
          <w:spacing w:val="-6"/>
        </w:rPr>
        <w:t xml:space="preserve"> </w:t>
      </w:r>
      <w:r>
        <w:t>company with sales price data from other respondents. MOFCOM also failed to provide all relevant information regarding the nature or quantum of adjustments it accepte</w:t>
      </w:r>
      <w:r>
        <w:t xml:space="preserve">d in relation to the export price of Casella Wines and Australian Swan Vintage. For example, for Casella Wines, MOFCOM only noted it had "decided to accept adjustment items </w:t>
      </w:r>
      <w:r>
        <w:rPr>
          <w:i/>
        </w:rPr>
        <w:t xml:space="preserve">such as </w:t>
      </w:r>
      <w:r>
        <w:t>inland transport (from factory/warehouse to port of export), credit fees an</w:t>
      </w:r>
      <w:r>
        <w:t>d advertising expenses claimed by the Company".</w:t>
      </w:r>
      <w:r>
        <w:rPr>
          <w:vertAlign w:val="superscript"/>
        </w:rPr>
        <w:t>1264</w:t>
      </w:r>
    </w:p>
    <w:p w14:paraId="51DE9C6A" w14:textId="77777777" w:rsidR="0010369C" w:rsidRDefault="0010369C">
      <w:pPr>
        <w:pStyle w:val="BodyText"/>
        <w:spacing w:before="11"/>
        <w:rPr>
          <w:sz w:val="8"/>
        </w:rPr>
      </w:pPr>
    </w:p>
    <w:p w14:paraId="51DE9C6B" w14:textId="77777777" w:rsidR="0010369C" w:rsidRDefault="008E43AE">
      <w:pPr>
        <w:pStyle w:val="BodyText"/>
        <w:spacing w:before="51" w:line="360" w:lineRule="auto"/>
        <w:ind w:left="237" w:right="614" w:firstLine="851"/>
        <w:jc w:val="both"/>
      </w:pPr>
      <w:r>
        <w:rPr>
          <w:noProof/>
        </w:rPr>
        <w:drawing>
          <wp:anchor distT="0" distB="0" distL="0" distR="0" simplePos="0" relativeHeight="251666944" behindDoc="1" locked="0" layoutInCell="1" allowOverlap="1" wp14:anchorId="51DEA982" wp14:editId="51DEA983">
            <wp:simplePos x="0" y="0"/>
            <wp:positionH relativeFrom="page">
              <wp:posOffset>908303</wp:posOffset>
            </wp:positionH>
            <wp:positionV relativeFrom="paragraph">
              <wp:posOffset>76150</wp:posOffset>
            </wp:positionV>
            <wp:extent cx="332231" cy="106679"/>
            <wp:effectExtent l="0" t="0" r="0" b="0"/>
            <wp:wrapNone/>
            <wp:docPr id="2161" name="image1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2" name="image1108.png"/>
                    <pic:cNvPicPr/>
                  </pic:nvPicPr>
                  <pic:blipFill>
                    <a:blip r:embed="rId1413" cstate="print"/>
                    <a:stretch>
                      <a:fillRect/>
                    </a:stretch>
                  </pic:blipFill>
                  <pic:spPr>
                    <a:xfrm>
                      <a:off x="0" y="0"/>
                      <a:ext cx="332231" cy="106679"/>
                    </a:xfrm>
                    <a:prstGeom prst="rect">
                      <a:avLst/>
                    </a:prstGeom>
                  </pic:spPr>
                </pic:pic>
              </a:graphicData>
            </a:graphic>
          </wp:anchor>
        </w:drawing>
      </w:r>
      <w:r>
        <w:t>A similar failure to provide relevant information arose in the context of fair comparison</w:t>
      </w:r>
      <w:r>
        <w:rPr>
          <w:spacing w:val="-14"/>
        </w:rPr>
        <w:t xml:space="preserve"> </w:t>
      </w:r>
      <w:r>
        <w:t>for</w:t>
      </w:r>
      <w:r>
        <w:rPr>
          <w:spacing w:val="-14"/>
        </w:rPr>
        <w:t xml:space="preserve"> </w:t>
      </w:r>
      <w:r>
        <w:t>the</w:t>
      </w:r>
      <w:r>
        <w:rPr>
          <w:spacing w:val="-13"/>
        </w:rPr>
        <w:t xml:space="preserve"> </w:t>
      </w:r>
      <w:r>
        <w:t>"All</w:t>
      </w:r>
      <w:r>
        <w:rPr>
          <w:spacing w:val="-14"/>
        </w:rPr>
        <w:t xml:space="preserve"> </w:t>
      </w:r>
      <w:r>
        <w:t>Others"</w:t>
      </w:r>
      <w:r>
        <w:rPr>
          <w:spacing w:val="-13"/>
        </w:rPr>
        <w:t xml:space="preserve"> </w:t>
      </w:r>
      <w:r>
        <w:t>category</w:t>
      </w:r>
      <w:r>
        <w:rPr>
          <w:spacing w:val="-14"/>
        </w:rPr>
        <w:t xml:space="preserve"> </w:t>
      </w:r>
      <w:r>
        <w:t>of</w:t>
      </w:r>
      <w:r>
        <w:rPr>
          <w:spacing w:val="-13"/>
        </w:rPr>
        <w:t xml:space="preserve"> </w:t>
      </w:r>
      <w:r>
        <w:t>Australian</w:t>
      </w:r>
      <w:r>
        <w:rPr>
          <w:spacing w:val="-14"/>
        </w:rPr>
        <w:t xml:space="preserve"> </w:t>
      </w:r>
      <w:r>
        <w:t>companies.</w:t>
      </w:r>
      <w:r>
        <w:rPr>
          <w:spacing w:val="-14"/>
        </w:rPr>
        <w:t xml:space="preserve"> </w:t>
      </w:r>
      <w:r>
        <w:t>MOFCOM</w:t>
      </w:r>
      <w:r>
        <w:rPr>
          <w:spacing w:val="-13"/>
        </w:rPr>
        <w:t xml:space="preserve"> </w:t>
      </w:r>
      <w:r>
        <w:t>calculated</w:t>
      </w:r>
      <w:r>
        <w:rPr>
          <w:spacing w:val="-14"/>
        </w:rPr>
        <w:t xml:space="preserve"> </w:t>
      </w:r>
      <w:r>
        <w:t>an</w:t>
      </w:r>
      <w:r>
        <w:rPr>
          <w:spacing w:val="-13"/>
        </w:rPr>
        <w:t xml:space="preserve"> </w:t>
      </w:r>
      <w:r>
        <w:t>"All Others"</w:t>
      </w:r>
      <w:r>
        <w:rPr>
          <w:spacing w:val="-4"/>
        </w:rPr>
        <w:t xml:space="preserve"> </w:t>
      </w:r>
      <w:r>
        <w:t>dumping</w:t>
      </w:r>
      <w:r>
        <w:rPr>
          <w:spacing w:val="-4"/>
        </w:rPr>
        <w:t xml:space="preserve"> </w:t>
      </w:r>
      <w:r>
        <w:t>margin</w:t>
      </w:r>
      <w:r>
        <w:rPr>
          <w:spacing w:val="-4"/>
        </w:rPr>
        <w:t xml:space="preserve"> </w:t>
      </w:r>
      <w:r>
        <w:t>that</w:t>
      </w:r>
      <w:r>
        <w:rPr>
          <w:spacing w:val="-4"/>
        </w:rPr>
        <w:t xml:space="preserve"> </w:t>
      </w:r>
      <w:r>
        <w:t>was</w:t>
      </w:r>
      <w:r>
        <w:rPr>
          <w:spacing w:val="-5"/>
        </w:rPr>
        <w:t xml:space="preserve"> </w:t>
      </w:r>
      <w:r>
        <w:t>"determined</w:t>
      </w:r>
      <w:r>
        <w:rPr>
          <w:spacing w:val="-5"/>
        </w:rPr>
        <w:t xml:space="preserve"> </w:t>
      </w:r>
      <w:r>
        <w:t>on</w:t>
      </w:r>
      <w:r>
        <w:rPr>
          <w:spacing w:val="-4"/>
        </w:rPr>
        <w:t xml:space="preserve"> </w:t>
      </w:r>
      <w:r>
        <w:t>the</w:t>
      </w:r>
      <w:r>
        <w:rPr>
          <w:spacing w:val="-4"/>
        </w:rPr>
        <w:t xml:space="preserve"> </w:t>
      </w:r>
      <w:r>
        <w:t>basis</w:t>
      </w:r>
      <w:r>
        <w:rPr>
          <w:spacing w:val="-3"/>
        </w:rPr>
        <w:t xml:space="preserve"> </w:t>
      </w:r>
      <w:r>
        <w:t>of</w:t>
      </w:r>
      <w:r>
        <w:rPr>
          <w:spacing w:val="-4"/>
        </w:rPr>
        <w:t xml:space="preserve"> </w:t>
      </w:r>
      <w:r>
        <w:t>the</w:t>
      </w:r>
      <w:r>
        <w:rPr>
          <w:spacing w:val="-4"/>
        </w:rPr>
        <w:t xml:space="preserve"> </w:t>
      </w:r>
      <w:r>
        <w:t>known</w:t>
      </w:r>
      <w:r>
        <w:rPr>
          <w:spacing w:val="-4"/>
        </w:rPr>
        <w:t xml:space="preserve"> </w:t>
      </w:r>
      <w:r>
        <w:t>facts</w:t>
      </w:r>
      <w:r>
        <w:rPr>
          <w:spacing w:val="-4"/>
        </w:rPr>
        <w:t xml:space="preserve"> </w:t>
      </w:r>
      <w:r>
        <w:t>and</w:t>
      </w:r>
      <w:r>
        <w:rPr>
          <w:spacing w:val="-4"/>
        </w:rPr>
        <w:t xml:space="preserve"> </w:t>
      </w:r>
      <w:r>
        <w:rPr>
          <w:spacing w:val="-2"/>
        </w:rPr>
        <w:t>available</w:t>
      </w:r>
    </w:p>
    <w:p w14:paraId="51DE9C6C" w14:textId="77777777" w:rsidR="0010369C" w:rsidRDefault="008E43AE">
      <w:pPr>
        <w:pStyle w:val="BodyText"/>
        <w:spacing w:before="6"/>
        <w:rPr>
          <w:sz w:val="15"/>
        </w:rPr>
      </w:pPr>
      <w:r>
        <w:pict w14:anchorId="51DEA984">
          <v:rect id="docshape1482" o:spid="_x0000_s1037" style="position:absolute;margin-left:70.9pt;margin-top:10.7pt;width:2in;height:.8pt;z-index:-250654208;mso-wrap-distance-left:0;mso-wrap-distance-right:0;mso-position-horizontal-relative:page" fillcolor="black" stroked="f">
            <w10:wrap type="topAndBottom" anchorx="page"/>
          </v:rect>
        </w:pict>
      </w:r>
    </w:p>
    <w:p w14:paraId="51DE9C6D" w14:textId="77777777" w:rsidR="0010369C" w:rsidRDefault="0010369C">
      <w:pPr>
        <w:pStyle w:val="BodyText"/>
        <w:spacing w:before="8"/>
        <w:rPr>
          <w:sz w:val="5"/>
        </w:rPr>
      </w:pPr>
    </w:p>
    <w:p w14:paraId="51DE9C6E" w14:textId="77777777" w:rsidR="0010369C" w:rsidRDefault="0010369C">
      <w:pPr>
        <w:rPr>
          <w:sz w:val="5"/>
        </w:rPr>
        <w:sectPr w:rsidR="0010369C">
          <w:pgSz w:w="11910" w:h="16840"/>
          <w:pgMar w:top="880" w:right="800" w:bottom="980" w:left="1180" w:header="569" w:footer="788" w:gutter="0"/>
          <w:cols w:space="720"/>
        </w:sectPr>
      </w:pPr>
    </w:p>
    <w:p w14:paraId="51DE9C6F" w14:textId="77777777" w:rsidR="0010369C" w:rsidRDefault="008E43AE">
      <w:pPr>
        <w:tabs>
          <w:tab w:val="left" w:pos="1959"/>
        </w:tabs>
        <w:spacing w:before="81" w:line="177" w:lineRule="auto"/>
        <w:ind w:left="237" w:right="2715" w:firstLine="1"/>
        <w:rPr>
          <w:sz w:val="18"/>
        </w:rPr>
      </w:pPr>
      <w:r>
        <w:pict w14:anchorId="51DEA985">
          <v:rect id="docshape1483" o:spid="_x0000_s1036" style="position:absolute;left:0;text-align:left;margin-left:190.6pt;margin-top:2.4pt;width:303pt;height:11.7pt;z-index:251878912;mso-position-horizontal-relative:page" fillcolor="black" stroked="f">
            <w10:wrap anchorx="page"/>
          </v:rect>
        </w:pict>
      </w:r>
      <w:r>
        <w:pict w14:anchorId="51DEA986">
          <v:rect id="docshape1484" o:spid="_x0000_s1035" style="position:absolute;left:0;text-align:left;margin-left:121.2pt;margin-top:10.55pt;width:34.8pt;height:11.7pt;z-index:-251269632;mso-position-horizontal-relative:page" fillcolor="black" stroked="f">
            <w10:wrap anchorx="page"/>
          </v:rect>
        </w:pict>
      </w:r>
      <w:r>
        <w:rPr>
          <w:sz w:val="18"/>
          <w:vertAlign w:val="superscript"/>
        </w:rPr>
        <w:t>1261</w:t>
      </w:r>
      <w:r>
        <w:rPr>
          <w:spacing w:val="-7"/>
          <w:sz w:val="18"/>
        </w:rPr>
        <w:t xml:space="preserve"> </w:t>
      </w:r>
      <w:r>
        <w:rPr>
          <w:sz w:val="18"/>
        </w:rPr>
        <w:t>See</w:t>
      </w:r>
      <w:r>
        <w:rPr>
          <w:spacing w:val="-7"/>
          <w:sz w:val="18"/>
        </w:rPr>
        <w:t xml:space="preserve"> </w:t>
      </w:r>
      <w:r>
        <w:rPr>
          <w:sz w:val="18"/>
        </w:rPr>
        <w:t>above</w:t>
      </w:r>
      <w:r>
        <w:rPr>
          <w:spacing w:val="-7"/>
          <w:sz w:val="18"/>
        </w:rPr>
        <w:t xml:space="preserve"> </w:t>
      </w:r>
      <w:r>
        <w:rPr>
          <w:sz w:val="18"/>
        </w:rPr>
        <w:t>section</w:t>
      </w:r>
      <w:r>
        <w:rPr>
          <w:spacing w:val="-8"/>
          <w:sz w:val="18"/>
        </w:rPr>
        <w:t xml:space="preserve"> </w:t>
      </w:r>
      <w:r>
        <w:rPr>
          <w:sz w:val="18"/>
        </w:rPr>
        <w:t>II.J(c)(ii);</w:t>
      </w:r>
      <w:r>
        <w:rPr>
          <w:spacing w:val="-7"/>
          <w:sz w:val="18"/>
        </w:rPr>
        <w:t xml:space="preserve"> </w:t>
      </w:r>
      <w:r>
        <w:rPr>
          <w:sz w:val="18"/>
        </w:rPr>
        <w:t>[ AUS‐11</w:t>
      </w:r>
      <w:r>
        <w:rPr>
          <w:spacing w:val="-2"/>
          <w:sz w:val="18"/>
        </w:rPr>
        <w:t xml:space="preserve"> </w:t>
      </w:r>
      <w:r>
        <w:rPr>
          <w:sz w:val="18"/>
        </w:rPr>
        <w:t>(BCI))</w:t>
      </w:r>
      <w:r>
        <w:rPr>
          <w:sz w:val="18"/>
        </w:rPr>
        <w:tab/>
      </w:r>
      <w:r>
        <w:rPr>
          <w:spacing w:val="-4"/>
          <w:sz w:val="18"/>
        </w:rPr>
        <w:t>.]]</w:t>
      </w:r>
    </w:p>
    <w:p w14:paraId="51DE9C70" w14:textId="77777777" w:rsidR="0010369C" w:rsidRDefault="008E43AE">
      <w:pPr>
        <w:spacing w:before="70"/>
        <w:ind w:left="238"/>
        <w:rPr>
          <w:sz w:val="18"/>
        </w:rPr>
      </w:pPr>
      <w:r>
        <w:rPr>
          <w:sz w:val="18"/>
          <w:vertAlign w:val="superscript"/>
        </w:rPr>
        <w:t>1262</w:t>
      </w:r>
      <w:r>
        <w:rPr>
          <w:spacing w:val="-9"/>
          <w:sz w:val="18"/>
        </w:rPr>
        <w:t xml:space="preserve"> </w:t>
      </w:r>
      <w:r>
        <w:rPr>
          <w:sz w:val="18"/>
        </w:rPr>
        <w:t>Anti‐Dumping</w:t>
      </w:r>
      <w:r>
        <w:rPr>
          <w:spacing w:val="-8"/>
          <w:sz w:val="18"/>
        </w:rPr>
        <w:t xml:space="preserve"> </w:t>
      </w:r>
      <w:r>
        <w:rPr>
          <w:sz w:val="18"/>
        </w:rPr>
        <w:t>Final</w:t>
      </w:r>
      <w:r>
        <w:rPr>
          <w:spacing w:val="-8"/>
          <w:sz w:val="18"/>
        </w:rPr>
        <w:t xml:space="preserve"> </w:t>
      </w:r>
      <w:r>
        <w:rPr>
          <w:sz w:val="18"/>
        </w:rPr>
        <w:t>Determination</w:t>
      </w:r>
      <w:r>
        <w:rPr>
          <w:spacing w:val="-8"/>
          <w:sz w:val="18"/>
        </w:rPr>
        <w:t xml:space="preserve"> </w:t>
      </w:r>
      <w:r>
        <w:rPr>
          <w:sz w:val="18"/>
        </w:rPr>
        <w:t>(Exhibit</w:t>
      </w:r>
      <w:r>
        <w:rPr>
          <w:spacing w:val="-8"/>
          <w:sz w:val="18"/>
        </w:rPr>
        <w:t xml:space="preserve"> </w:t>
      </w:r>
      <w:r>
        <w:rPr>
          <w:sz w:val="18"/>
        </w:rPr>
        <w:t>AUS‐2),</w:t>
      </w:r>
      <w:r>
        <w:rPr>
          <w:spacing w:val="-9"/>
          <w:sz w:val="18"/>
        </w:rPr>
        <w:t xml:space="preserve"> </w:t>
      </w:r>
      <w:r>
        <w:rPr>
          <w:sz w:val="18"/>
        </w:rPr>
        <w:t>pp.</w:t>
      </w:r>
      <w:r>
        <w:rPr>
          <w:spacing w:val="-8"/>
          <w:sz w:val="18"/>
        </w:rPr>
        <w:t xml:space="preserve"> </w:t>
      </w:r>
      <w:r>
        <w:rPr>
          <w:sz w:val="18"/>
        </w:rPr>
        <w:t>87,</w:t>
      </w:r>
      <w:r>
        <w:rPr>
          <w:spacing w:val="-9"/>
          <w:sz w:val="18"/>
        </w:rPr>
        <w:t xml:space="preserve"> </w:t>
      </w:r>
      <w:r>
        <w:rPr>
          <w:spacing w:val="-2"/>
          <w:sz w:val="18"/>
        </w:rPr>
        <w:t>93‐94.</w:t>
      </w:r>
    </w:p>
    <w:p w14:paraId="51DE9C71" w14:textId="77777777" w:rsidR="0010369C" w:rsidRDefault="008E43AE">
      <w:pPr>
        <w:spacing w:before="36"/>
        <w:ind w:left="237"/>
        <w:rPr>
          <w:sz w:val="18"/>
        </w:rPr>
      </w:pPr>
      <w:r>
        <w:br w:type="column"/>
      </w:r>
      <w:r>
        <w:rPr>
          <w:spacing w:val="-2"/>
          <w:sz w:val="18"/>
        </w:rPr>
        <w:t>(Exhibit</w:t>
      </w:r>
    </w:p>
    <w:p w14:paraId="51DE9C72" w14:textId="77777777" w:rsidR="0010369C" w:rsidRDefault="0010369C">
      <w:pPr>
        <w:rPr>
          <w:sz w:val="18"/>
        </w:rPr>
        <w:sectPr w:rsidR="0010369C">
          <w:type w:val="continuous"/>
          <w:pgSz w:w="11910" w:h="16840"/>
          <w:pgMar w:top="1460" w:right="800" w:bottom="280" w:left="1180" w:header="569" w:footer="788" w:gutter="0"/>
          <w:cols w:num="2" w:space="720" w:equalWidth="0">
            <w:col w:w="5315" w:space="3201"/>
            <w:col w:w="1414"/>
          </w:cols>
        </w:sectPr>
      </w:pPr>
    </w:p>
    <w:p w14:paraId="51DE9C73" w14:textId="77777777" w:rsidR="0010369C" w:rsidRDefault="008E43AE">
      <w:pPr>
        <w:spacing w:before="44" w:line="177" w:lineRule="auto"/>
        <w:ind w:left="237" w:firstLine="1"/>
        <w:rPr>
          <w:sz w:val="18"/>
        </w:rPr>
      </w:pPr>
      <w:r>
        <w:rPr>
          <w:sz w:val="18"/>
          <w:vertAlign w:val="superscript"/>
        </w:rPr>
        <w:t>1263</w:t>
      </w:r>
      <w:r>
        <w:rPr>
          <w:spacing w:val="-8"/>
          <w:sz w:val="18"/>
        </w:rPr>
        <w:t xml:space="preserve"> </w:t>
      </w:r>
      <w:r>
        <w:rPr>
          <w:sz w:val="18"/>
        </w:rPr>
        <w:t>Relating</w:t>
      </w:r>
      <w:r>
        <w:rPr>
          <w:spacing w:val="-7"/>
          <w:sz w:val="18"/>
        </w:rPr>
        <w:t xml:space="preserve"> </w:t>
      </w:r>
      <w:r>
        <w:rPr>
          <w:sz w:val="18"/>
        </w:rPr>
        <w:t>to</w:t>
      </w:r>
      <w:r>
        <w:rPr>
          <w:spacing w:val="-8"/>
          <w:sz w:val="18"/>
        </w:rPr>
        <w:t xml:space="preserve"> </w:t>
      </w:r>
      <w:r>
        <w:rPr>
          <w:sz w:val="18"/>
        </w:rPr>
        <w:t>Swan</w:t>
      </w:r>
      <w:r>
        <w:rPr>
          <w:spacing w:val="-8"/>
          <w:sz w:val="18"/>
        </w:rPr>
        <w:t xml:space="preserve"> </w:t>
      </w:r>
      <w:r>
        <w:rPr>
          <w:sz w:val="18"/>
        </w:rPr>
        <w:t>Vintage,</w:t>
      </w:r>
      <w:r>
        <w:rPr>
          <w:spacing w:val="-9"/>
          <w:sz w:val="18"/>
        </w:rPr>
        <w:t xml:space="preserve"> </w:t>
      </w:r>
      <w:r>
        <w:rPr>
          <w:sz w:val="18"/>
        </w:rPr>
        <w:t>Anti‐Dumping</w:t>
      </w:r>
      <w:r>
        <w:rPr>
          <w:spacing w:val="-8"/>
          <w:sz w:val="18"/>
        </w:rPr>
        <w:t xml:space="preserve"> </w:t>
      </w:r>
      <w:r>
        <w:rPr>
          <w:sz w:val="18"/>
        </w:rPr>
        <w:t>Final</w:t>
      </w:r>
      <w:r>
        <w:rPr>
          <w:spacing w:val="-8"/>
          <w:sz w:val="18"/>
        </w:rPr>
        <w:t xml:space="preserve"> </w:t>
      </w:r>
      <w:r>
        <w:rPr>
          <w:sz w:val="18"/>
        </w:rPr>
        <w:t>Determination</w:t>
      </w:r>
      <w:r>
        <w:rPr>
          <w:spacing w:val="-8"/>
          <w:sz w:val="18"/>
        </w:rPr>
        <w:t xml:space="preserve"> </w:t>
      </w:r>
      <w:r>
        <w:rPr>
          <w:sz w:val="18"/>
        </w:rPr>
        <w:t>(Exhibit</w:t>
      </w:r>
      <w:r>
        <w:rPr>
          <w:spacing w:val="-8"/>
          <w:sz w:val="18"/>
        </w:rPr>
        <w:t xml:space="preserve"> </w:t>
      </w:r>
      <w:r>
        <w:rPr>
          <w:sz w:val="18"/>
        </w:rPr>
        <w:t>AUS‐2),</w:t>
      </w:r>
      <w:r>
        <w:rPr>
          <w:spacing w:val="-9"/>
          <w:sz w:val="18"/>
        </w:rPr>
        <w:t xml:space="preserve"> </w:t>
      </w:r>
      <w:r>
        <w:rPr>
          <w:sz w:val="18"/>
        </w:rPr>
        <w:t>p.</w:t>
      </w:r>
      <w:r>
        <w:rPr>
          <w:spacing w:val="-8"/>
          <w:sz w:val="18"/>
        </w:rPr>
        <w:t xml:space="preserve"> </w:t>
      </w:r>
      <w:r>
        <w:rPr>
          <w:sz w:val="18"/>
        </w:rPr>
        <w:t>94.</w:t>
      </w:r>
      <w:r>
        <w:rPr>
          <w:spacing w:val="-8"/>
          <w:sz w:val="18"/>
        </w:rPr>
        <w:t xml:space="preserve"> </w:t>
      </w:r>
      <w:r>
        <w:rPr>
          <w:sz w:val="18"/>
        </w:rPr>
        <w:t>For</w:t>
      </w:r>
      <w:r>
        <w:rPr>
          <w:spacing w:val="-8"/>
          <w:sz w:val="18"/>
        </w:rPr>
        <w:t xml:space="preserve"> </w:t>
      </w:r>
      <w:r>
        <w:rPr>
          <w:sz w:val="18"/>
        </w:rPr>
        <w:t>Casella</w:t>
      </w:r>
      <w:r>
        <w:rPr>
          <w:spacing w:val="-8"/>
          <w:sz w:val="18"/>
        </w:rPr>
        <w:t xml:space="preserve"> </w:t>
      </w:r>
      <w:r>
        <w:rPr>
          <w:sz w:val="18"/>
        </w:rPr>
        <w:t>Wines,</w:t>
      </w:r>
      <w:r>
        <w:rPr>
          <w:spacing w:val="-9"/>
          <w:sz w:val="18"/>
        </w:rPr>
        <w:t xml:space="preserve"> </w:t>
      </w:r>
      <w:r>
        <w:rPr>
          <w:sz w:val="18"/>
        </w:rPr>
        <w:t>Anti‐Dumping</w:t>
      </w:r>
      <w:r>
        <w:rPr>
          <w:spacing w:val="-8"/>
          <w:sz w:val="18"/>
        </w:rPr>
        <w:t xml:space="preserve"> </w:t>
      </w:r>
      <w:r>
        <w:rPr>
          <w:sz w:val="18"/>
        </w:rPr>
        <w:t>Final Determination (Exhibit AUS‐2), p. 85.</w:t>
      </w:r>
    </w:p>
    <w:p w14:paraId="51DE9C74" w14:textId="77777777" w:rsidR="0010369C" w:rsidRDefault="008E43AE">
      <w:pPr>
        <w:spacing w:before="70"/>
        <w:ind w:left="238"/>
        <w:rPr>
          <w:sz w:val="18"/>
        </w:rPr>
      </w:pPr>
      <w:r>
        <w:rPr>
          <w:sz w:val="18"/>
          <w:vertAlign w:val="superscript"/>
        </w:rPr>
        <w:t>1264</w:t>
      </w:r>
      <w:r>
        <w:rPr>
          <w:spacing w:val="-9"/>
          <w:sz w:val="18"/>
        </w:rPr>
        <w:t xml:space="preserve"> </w:t>
      </w:r>
      <w:r>
        <w:rPr>
          <w:sz w:val="18"/>
        </w:rPr>
        <w:t>Anti‐Dumping</w:t>
      </w:r>
      <w:r>
        <w:rPr>
          <w:spacing w:val="-8"/>
          <w:sz w:val="18"/>
        </w:rPr>
        <w:t xml:space="preserve"> </w:t>
      </w:r>
      <w:r>
        <w:rPr>
          <w:sz w:val="18"/>
        </w:rPr>
        <w:t>Final</w:t>
      </w:r>
      <w:r>
        <w:rPr>
          <w:spacing w:val="-8"/>
          <w:sz w:val="18"/>
        </w:rPr>
        <w:t xml:space="preserve"> </w:t>
      </w:r>
      <w:r>
        <w:rPr>
          <w:sz w:val="18"/>
        </w:rPr>
        <w:t>Determination</w:t>
      </w:r>
      <w:r>
        <w:rPr>
          <w:spacing w:val="-7"/>
          <w:sz w:val="18"/>
        </w:rPr>
        <w:t xml:space="preserve"> </w:t>
      </w:r>
      <w:r>
        <w:rPr>
          <w:sz w:val="18"/>
        </w:rPr>
        <w:t>(Exhibit</w:t>
      </w:r>
      <w:r>
        <w:rPr>
          <w:spacing w:val="-8"/>
          <w:sz w:val="18"/>
        </w:rPr>
        <w:t xml:space="preserve"> </w:t>
      </w:r>
      <w:r>
        <w:rPr>
          <w:sz w:val="18"/>
        </w:rPr>
        <w:t>AUS‐2),</w:t>
      </w:r>
      <w:r>
        <w:rPr>
          <w:spacing w:val="-9"/>
          <w:sz w:val="18"/>
        </w:rPr>
        <w:t xml:space="preserve"> </w:t>
      </w:r>
      <w:r>
        <w:rPr>
          <w:sz w:val="18"/>
        </w:rPr>
        <w:t>p.</w:t>
      </w:r>
      <w:r>
        <w:rPr>
          <w:spacing w:val="-8"/>
          <w:sz w:val="18"/>
        </w:rPr>
        <w:t xml:space="preserve"> </w:t>
      </w:r>
      <w:r>
        <w:rPr>
          <w:sz w:val="18"/>
        </w:rPr>
        <w:t>87.</w:t>
      </w:r>
      <w:r>
        <w:rPr>
          <w:spacing w:val="-8"/>
          <w:sz w:val="18"/>
        </w:rPr>
        <w:t xml:space="preserve"> </w:t>
      </w:r>
      <w:r>
        <w:rPr>
          <w:sz w:val="18"/>
        </w:rPr>
        <w:t>(emphasis</w:t>
      </w:r>
      <w:r>
        <w:rPr>
          <w:spacing w:val="-7"/>
          <w:sz w:val="18"/>
        </w:rPr>
        <w:t xml:space="preserve"> </w:t>
      </w:r>
      <w:r>
        <w:rPr>
          <w:spacing w:val="-2"/>
          <w:sz w:val="18"/>
        </w:rPr>
        <w:t>original)</w:t>
      </w:r>
    </w:p>
    <w:p w14:paraId="51DE9C75" w14:textId="77777777" w:rsidR="0010369C" w:rsidRDefault="0010369C">
      <w:pPr>
        <w:rPr>
          <w:sz w:val="18"/>
        </w:rPr>
        <w:sectPr w:rsidR="0010369C">
          <w:type w:val="continuous"/>
          <w:pgSz w:w="11910" w:h="16840"/>
          <w:pgMar w:top="1460" w:right="800" w:bottom="280" w:left="1180" w:header="569" w:footer="788" w:gutter="0"/>
          <w:cols w:space="720"/>
        </w:sectPr>
      </w:pPr>
    </w:p>
    <w:p w14:paraId="51DE9C76" w14:textId="77777777" w:rsidR="0010369C" w:rsidRDefault="0010369C">
      <w:pPr>
        <w:pStyle w:val="BodyText"/>
        <w:spacing w:before="2"/>
        <w:rPr>
          <w:sz w:val="15"/>
        </w:rPr>
      </w:pPr>
    </w:p>
    <w:p w14:paraId="51DE9C77" w14:textId="77777777" w:rsidR="0010369C" w:rsidRDefault="008E43AE">
      <w:pPr>
        <w:tabs>
          <w:tab w:val="left" w:pos="8227"/>
        </w:tabs>
        <w:spacing w:before="60"/>
        <w:ind w:left="239"/>
        <w:rPr>
          <w:sz w:val="20"/>
        </w:rPr>
      </w:pPr>
      <w:r>
        <w:rPr>
          <w:i/>
          <w:sz w:val="20"/>
        </w:rPr>
        <w:t>on</w:t>
      </w:r>
      <w:r>
        <w:rPr>
          <w:i/>
          <w:spacing w:val="-1"/>
          <w:sz w:val="20"/>
        </w:rPr>
        <w:t xml:space="preserve"> </w:t>
      </w:r>
      <w:r>
        <w:rPr>
          <w:i/>
          <w:sz w:val="20"/>
        </w:rPr>
        <w:t>Wine</w:t>
      </w:r>
      <w:r>
        <w:rPr>
          <w:i/>
          <w:spacing w:val="-1"/>
          <w:sz w:val="20"/>
        </w:rPr>
        <w:t xml:space="preserve"> </w:t>
      </w:r>
      <w:r>
        <w:rPr>
          <w:i/>
          <w:sz w:val="20"/>
        </w:rPr>
        <w:t>from</w:t>
      </w:r>
      <w:r>
        <w:rPr>
          <w:i/>
          <w:spacing w:val="-3"/>
          <w:sz w:val="20"/>
        </w:rPr>
        <w:t xml:space="preserve"> </w:t>
      </w:r>
      <w:r>
        <w:rPr>
          <w:i/>
          <w:sz w:val="20"/>
        </w:rPr>
        <w:t>Australia</w:t>
      </w:r>
      <w:r>
        <w:rPr>
          <w:i/>
          <w:spacing w:val="-1"/>
          <w:sz w:val="20"/>
        </w:rPr>
        <w:t xml:space="preserve"> </w:t>
      </w:r>
      <w:r>
        <w:rPr>
          <w:spacing w:val="-2"/>
          <w:sz w:val="20"/>
        </w:rPr>
        <w:t>(DS602)</w:t>
      </w:r>
      <w:r>
        <w:rPr>
          <w:sz w:val="20"/>
        </w:rPr>
        <w:tab/>
        <w:t>29</w:t>
      </w:r>
      <w:r>
        <w:rPr>
          <w:spacing w:val="-1"/>
          <w:sz w:val="20"/>
        </w:rPr>
        <w:t xml:space="preserve"> </w:t>
      </w:r>
      <w:r>
        <w:rPr>
          <w:sz w:val="20"/>
        </w:rPr>
        <w:t>April</w:t>
      </w:r>
      <w:r>
        <w:rPr>
          <w:spacing w:val="-2"/>
          <w:sz w:val="20"/>
        </w:rPr>
        <w:t xml:space="preserve"> </w:t>
      </w:r>
      <w:r>
        <w:rPr>
          <w:spacing w:val="-4"/>
          <w:sz w:val="20"/>
        </w:rPr>
        <w:t>2022</w:t>
      </w:r>
    </w:p>
    <w:p w14:paraId="51DE9C78" w14:textId="77777777" w:rsidR="0010369C" w:rsidRDefault="008E43AE">
      <w:pPr>
        <w:pStyle w:val="BodyText"/>
        <w:spacing w:before="34" w:line="360" w:lineRule="auto"/>
        <w:ind w:left="238" w:right="611"/>
      </w:pPr>
      <w:r>
        <w:t>best</w:t>
      </w:r>
      <w:r>
        <w:rPr>
          <w:spacing w:val="-3"/>
        </w:rPr>
        <w:t xml:space="preserve"> </w:t>
      </w:r>
      <w:r>
        <w:t>information".</w:t>
      </w:r>
      <w:r>
        <w:rPr>
          <w:vertAlign w:val="superscript"/>
        </w:rPr>
        <w:t>1265</w:t>
      </w:r>
      <w:r>
        <w:rPr>
          <w:spacing w:val="-4"/>
        </w:rPr>
        <w:t xml:space="preserve"> </w:t>
      </w:r>
      <w:r>
        <w:t>However,</w:t>
      </w:r>
      <w:r>
        <w:rPr>
          <w:spacing w:val="-4"/>
        </w:rPr>
        <w:t xml:space="preserve"> </w:t>
      </w:r>
      <w:r>
        <w:t>MOFCOM</w:t>
      </w:r>
      <w:r>
        <w:rPr>
          <w:spacing w:val="-4"/>
        </w:rPr>
        <w:t xml:space="preserve"> </w:t>
      </w:r>
      <w:r>
        <w:t>provided</w:t>
      </w:r>
      <w:r>
        <w:rPr>
          <w:spacing w:val="-3"/>
        </w:rPr>
        <w:t xml:space="preserve"> </w:t>
      </w:r>
      <w:r>
        <w:t>no</w:t>
      </w:r>
      <w:r>
        <w:rPr>
          <w:spacing w:val="-3"/>
        </w:rPr>
        <w:t xml:space="preserve"> </w:t>
      </w:r>
      <w:r>
        <w:t>further</w:t>
      </w:r>
      <w:r>
        <w:rPr>
          <w:spacing w:val="-4"/>
        </w:rPr>
        <w:t xml:space="preserve"> </w:t>
      </w:r>
      <w:r>
        <w:t>information</w:t>
      </w:r>
      <w:r>
        <w:rPr>
          <w:spacing w:val="-4"/>
        </w:rPr>
        <w:t xml:space="preserve"> </w:t>
      </w:r>
      <w:r>
        <w:t>as</w:t>
      </w:r>
      <w:r>
        <w:rPr>
          <w:spacing w:val="-4"/>
        </w:rPr>
        <w:t xml:space="preserve"> </w:t>
      </w:r>
      <w:r>
        <w:t>to</w:t>
      </w:r>
      <w:r>
        <w:rPr>
          <w:spacing w:val="-3"/>
        </w:rPr>
        <w:t xml:space="preserve"> </w:t>
      </w:r>
      <w:r>
        <w:t>the</w:t>
      </w:r>
      <w:r>
        <w:rPr>
          <w:spacing w:val="-3"/>
        </w:rPr>
        <w:t xml:space="preserve"> </w:t>
      </w:r>
      <w:r>
        <w:t>basis</w:t>
      </w:r>
      <w:r>
        <w:rPr>
          <w:spacing w:val="-4"/>
        </w:rPr>
        <w:t xml:space="preserve"> </w:t>
      </w:r>
      <w:r>
        <w:t>on which a fair comparison was conducted for this "all others" margin of dumping.</w:t>
      </w:r>
    </w:p>
    <w:p w14:paraId="51DE9C79" w14:textId="77777777" w:rsidR="0010369C" w:rsidRDefault="008E43AE">
      <w:pPr>
        <w:pStyle w:val="ListParagraph"/>
        <w:numPr>
          <w:ilvl w:val="3"/>
          <w:numId w:val="75"/>
        </w:numPr>
        <w:tabs>
          <w:tab w:val="left" w:pos="3642"/>
          <w:tab w:val="left" w:pos="3643"/>
        </w:tabs>
        <w:spacing w:before="161"/>
        <w:ind w:hanging="853"/>
        <w:rPr>
          <w:sz w:val="24"/>
        </w:rPr>
      </w:pPr>
      <w:r>
        <w:rPr>
          <w:sz w:val="24"/>
          <w:u w:val="single"/>
        </w:rPr>
        <w:t>Differences</w:t>
      </w:r>
      <w:r>
        <w:rPr>
          <w:spacing w:val="-9"/>
          <w:sz w:val="24"/>
          <w:u w:val="single"/>
        </w:rPr>
        <w:t xml:space="preserve"> </w:t>
      </w:r>
      <w:r>
        <w:rPr>
          <w:sz w:val="24"/>
          <w:u w:val="single"/>
        </w:rPr>
        <w:t>in</w:t>
      </w:r>
      <w:r>
        <w:rPr>
          <w:spacing w:val="-8"/>
          <w:sz w:val="24"/>
          <w:u w:val="single"/>
        </w:rPr>
        <w:t xml:space="preserve"> </w:t>
      </w:r>
      <w:r>
        <w:rPr>
          <w:sz w:val="24"/>
          <w:u w:val="single"/>
        </w:rPr>
        <w:t>price</w:t>
      </w:r>
      <w:r>
        <w:rPr>
          <w:spacing w:val="-7"/>
          <w:sz w:val="24"/>
          <w:u w:val="single"/>
        </w:rPr>
        <w:t xml:space="preserve"> </w:t>
      </w:r>
      <w:r>
        <w:rPr>
          <w:spacing w:val="-2"/>
          <w:sz w:val="24"/>
          <w:u w:val="single"/>
        </w:rPr>
        <w:t>comparability</w:t>
      </w:r>
    </w:p>
    <w:p w14:paraId="51DE9C7A" w14:textId="77777777" w:rsidR="0010369C" w:rsidRDefault="0010369C">
      <w:pPr>
        <w:pStyle w:val="BodyText"/>
        <w:spacing w:before="10"/>
        <w:rPr>
          <w:sz w:val="20"/>
        </w:rPr>
      </w:pPr>
    </w:p>
    <w:p w14:paraId="51DE9C7B" w14:textId="77777777" w:rsidR="0010369C" w:rsidRDefault="008E43AE">
      <w:pPr>
        <w:pStyle w:val="BodyText"/>
        <w:spacing w:before="51" w:line="360" w:lineRule="auto"/>
        <w:ind w:left="237" w:right="614" w:firstLine="851"/>
        <w:jc w:val="both"/>
      </w:pPr>
      <w:r>
        <w:rPr>
          <w:noProof/>
        </w:rPr>
        <w:drawing>
          <wp:anchor distT="0" distB="0" distL="0" distR="0" simplePos="0" relativeHeight="251667968" behindDoc="1" locked="0" layoutInCell="1" allowOverlap="1" wp14:anchorId="51DEA987" wp14:editId="51DEA988">
            <wp:simplePos x="0" y="0"/>
            <wp:positionH relativeFrom="page">
              <wp:posOffset>908303</wp:posOffset>
            </wp:positionH>
            <wp:positionV relativeFrom="paragraph">
              <wp:posOffset>76150</wp:posOffset>
            </wp:positionV>
            <wp:extent cx="332231" cy="106679"/>
            <wp:effectExtent l="0" t="0" r="0" b="0"/>
            <wp:wrapNone/>
            <wp:docPr id="2163" name="image1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4" name="image1109.png"/>
                    <pic:cNvPicPr/>
                  </pic:nvPicPr>
                  <pic:blipFill>
                    <a:blip r:embed="rId1414" cstate="print"/>
                    <a:stretch>
                      <a:fillRect/>
                    </a:stretch>
                  </pic:blipFill>
                  <pic:spPr>
                    <a:xfrm>
                      <a:off x="0" y="0"/>
                      <a:ext cx="332231" cy="106679"/>
                    </a:xfrm>
                    <a:prstGeom prst="rect">
                      <a:avLst/>
                    </a:prstGeom>
                  </pic:spPr>
                </pic:pic>
              </a:graphicData>
            </a:graphic>
          </wp:anchor>
        </w:drawing>
      </w:r>
      <w:r>
        <w:t>MOFCOM failed to provide all information that was relevant in determining the differences in price comparability and conducting a fair comparison under Article 2.4 of the Anti‐Dumping Agreement.</w:t>
      </w:r>
    </w:p>
    <w:p w14:paraId="51DE9C7C" w14:textId="77777777" w:rsidR="0010369C" w:rsidRDefault="0010369C">
      <w:pPr>
        <w:pStyle w:val="BodyText"/>
        <w:spacing w:before="11"/>
        <w:rPr>
          <w:sz w:val="8"/>
        </w:rPr>
      </w:pPr>
    </w:p>
    <w:p w14:paraId="51DE9C7D" w14:textId="77777777" w:rsidR="0010369C" w:rsidRDefault="008E43AE">
      <w:pPr>
        <w:pStyle w:val="BodyText"/>
        <w:spacing w:before="52" w:line="360" w:lineRule="auto"/>
        <w:ind w:left="237" w:right="612" w:firstLine="851"/>
        <w:jc w:val="both"/>
      </w:pPr>
      <w:r>
        <w:rPr>
          <w:noProof/>
        </w:rPr>
        <w:drawing>
          <wp:anchor distT="0" distB="0" distL="0" distR="0" simplePos="0" relativeHeight="251668992" behindDoc="1" locked="0" layoutInCell="1" allowOverlap="1" wp14:anchorId="51DEA989" wp14:editId="51DEA98A">
            <wp:simplePos x="0" y="0"/>
            <wp:positionH relativeFrom="page">
              <wp:posOffset>908303</wp:posOffset>
            </wp:positionH>
            <wp:positionV relativeFrom="paragraph">
              <wp:posOffset>76786</wp:posOffset>
            </wp:positionV>
            <wp:extent cx="332231" cy="106679"/>
            <wp:effectExtent l="0" t="0" r="0" b="0"/>
            <wp:wrapNone/>
            <wp:docPr id="2165" name="image1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6" name="image1110.png"/>
                    <pic:cNvPicPr/>
                  </pic:nvPicPr>
                  <pic:blipFill>
                    <a:blip r:embed="rId1415" cstate="print"/>
                    <a:stretch>
                      <a:fillRect/>
                    </a:stretch>
                  </pic:blipFill>
                  <pic:spPr>
                    <a:xfrm>
                      <a:off x="0" y="0"/>
                      <a:ext cx="332231" cy="106679"/>
                    </a:xfrm>
                    <a:prstGeom prst="rect">
                      <a:avLst/>
                    </a:prstGeom>
                  </pic:spPr>
                </pic:pic>
              </a:graphicData>
            </a:graphic>
          </wp:anchor>
        </w:drawing>
      </w:r>
      <w:r>
        <w:t>In the Final Determination, MOFCOM only noted that: "on the</w:t>
      </w:r>
      <w:r>
        <w:t xml:space="preserve"> basis of considering various comparable factors affecting price, the Investigating Authority compared the normal value</w:t>
      </w:r>
      <w:r>
        <w:rPr>
          <w:spacing w:val="-2"/>
        </w:rPr>
        <w:t xml:space="preserve"> </w:t>
      </w:r>
      <w:r>
        <w:t>and</w:t>
      </w:r>
      <w:r>
        <w:rPr>
          <w:spacing w:val="-3"/>
        </w:rPr>
        <w:t xml:space="preserve"> </w:t>
      </w:r>
      <w:r>
        <w:t>export</w:t>
      </w:r>
      <w:r>
        <w:rPr>
          <w:spacing w:val="-3"/>
        </w:rPr>
        <w:t xml:space="preserve"> </w:t>
      </w:r>
      <w:r>
        <w:t>price</w:t>
      </w:r>
      <w:r>
        <w:rPr>
          <w:spacing w:val="-2"/>
        </w:rPr>
        <w:t xml:space="preserve"> </w:t>
      </w:r>
      <w:r>
        <w:t>at</w:t>
      </w:r>
      <w:r>
        <w:rPr>
          <w:spacing w:val="-4"/>
        </w:rPr>
        <w:t xml:space="preserve"> </w:t>
      </w:r>
      <w:r>
        <w:t>the</w:t>
      </w:r>
      <w:r>
        <w:rPr>
          <w:spacing w:val="-2"/>
        </w:rPr>
        <w:t xml:space="preserve"> </w:t>
      </w:r>
      <w:r>
        <w:t>ex‐factory</w:t>
      </w:r>
      <w:r>
        <w:rPr>
          <w:spacing w:val="-2"/>
        </w:rPr>
        <w:t xml:space="preserve"> </w:t>
      </w:r>
      <w:r>
        <w:t>level</w:t>
      </w:r>
      <w:r>
        <w:rPr>
          <w:spacing w:val="-2"/>
        </w:rPr>
        <w:t xml:space="preserve"> </w:t>
      </w:r>
      <w:r>
        <w:t>in</w:t>
      </w:r>
      <w:r>
        <w:rPr>
          <w:spacing w:val="-3"/>
        </w:rPr>
        <w:t xml:space="preserve"> </w:t>
      </w:r>
      <w:r>
        <w:t>a</w:t>
      </w:r>
      <w:r>
        <w:rPr>
          <w:spacing w:val="-4"/>
        </w:rPr>
        <w:t xml:space="preserve"> </w:t>
      </w:r>
      <w:r>
        <w:t>fair</w:t>
      </w:r>
      <w:r>
        <w:rPr>
          <w:spacing w:val="-2"/>
        </w:rPr>
        <w:t xml:space="preserve"> </w:t>
      </w:r>
      <w:r>
        <w:t>and</w:t>
      </w:r>
      <w:r>
        <w:rPr>
          <w:spacing w:val="-3"/>
        </w:rPr>
        <w:t xml:space="preserve"> </w:t>
      </w:r>
      <w:r>
        <w:t>reasonable</w:t>
      </w:r>
      <w:r>
        <w:rPr>
          <w:spacing w:val="-3"/>
        </w:rPr>
        <w:t xml:space="preserve"> </w:t>
      </w:r>
      <w:r>
        <w:t>manner".</w:t>
      </w:r>
      <w:r>
        <w:rPr>
          <w:spacing w:val="-4"/>
        </w:rPr>
        <w:t xml:space="preserve"> </w:t>
      </w:r>
      <w:r>
        <w:rPr>
          <w:vertAlign w:val="superscript"/>
        </w:rPr>
        <w:t>1266</w:t>
      </w:r>
      <w:r>
        <w:rPr>
          <w:spacing w:val="-3"/>
        </w:rPr>
        <w:t xml:space="preserve"> </w:t>
      </w:r>
      <w:r>
        <w:t>MOFCOM did not provide the non‐confidential formula or methodology underlying its calculations. MOFCOM also provided no information regarding the "various comparable factors affecting price" that it referenced</w:t>
      </w:r>
      <w:r>
        <w:rPr>
          <w:spacing w:val="-1"/>
        </w:rPr>
        <w:t xml:space="preserve"> </w:t>
      </w:r>
      <w:r>
        <w:t>in the Final Determination,</w:t>
      </w:r>
      <w:r>
        <w:rPr>
          <w:vertAlign w:val="superscript"/>
        </w:rPr>
        <w:t>1267</w:t>
      </w:r>
      <w:r>
        <w:t xml:space="preserve"> nor did it suf</w:t>
      </w:r>
      <w:r>
        <w:t>ficiently explain</w:t>
      </w:r>
      <w:r>
        <w:rPr>
          <w:spacing w:val="-1"/>
        </w:rPr>
        <w:t xml:space="preserve"> </w:t>
      </w:r>
      <w:r>
        <w:t>how the comparison was made in a "fair and reasonable" manner.</w:t>
      </w:r>
    </w:p>
    <w:p w14:paraId="51DE9C7E" w14:textId="77777777" w:rsidR="0010369C" w:rsidRDefault="0010369C">
      <w:pPr>
        <w:pStyle w:val="BodyText"/>
        <w:spacing w:before="11"/>
        <w:rPr>
          <w:sz w:val="8"/>
        </w:rPr>
      </w:pPr>
    </w:p>
    <w:p w14:paraId="51DE9C7F" w14:textId="77777777" w:rsidR="0010369C" w:rsidRDefault="008E43AE">
      <w:pPr>
        <w:pStyle w:val="BodyText"/>
        <w:spacing w:before="51" w:line="360" w:lineRule="auto"/>
        <w:ind w:left="236" w:right="613" w:firstLine="852"/>
        <w:jc w:val="both"/>
      </w:pPr>
      <w:r>
        <w:rPr>
          <w:noProof/>
        </w:rPr>
        <w:drawing>
          <wp:anchor distT="0" distB="0" distL="0" distR="0" simplePos="0" relativeHeight="251670016" behindDoc="1" locked="0" layoutInCell="1" allowOverlap="1" wp14:anchorId="51DEA98B" wp14:editId="51DEA98C">
            <wp:simplePos x="0" y="0"/>
            <wp:positionH relativeFrom="page">
              <wp:posOffset>908303</wp:posOffset>
            </wp:positionH>
            <wp:positionV relativeFrom="paragraph">
              <wp:posOffset>75388</wp:posOffset>
            </wp:positionV>
            <wp:extent cx="332231" cy="106679"/>
            <wp:effectExtent l="0" t="0" r="0" b="0"/>
            <wp:wrapNone/>
            <wp:docPr id="2167" name="image1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8" name="image1111.png"/>
                    <pic:cNvPicPr/>
                  </pic:nvPicPr>
                  <pic:blipFill>
                    <a:blip r:embed="rId1416" cstate="print"/>
                    <a:stretch>
                      <a:fillRect/>
                    </a:stretch>
                  </pic:blipFill>
                  <pic:spPr>
                    <a:xfrm>
                      <a:off x="0" y="0"/>
                      <a:ext cx="332231" cy="106679"/>
                    </a:xfrm>
                    <a:prstGeom prst="rect">
                      <a:avLst/>
                    </a:prstGeom>
                  </pic:spPr>
                </pic:pic>
              </a:graphicData>
            </a:graphic>
          </wp:anchor>
        </w:drawing>
      </w:r>
      <w:r>
        <w:t>MOFCOM did not provide any indication of how it accounted for differences in comparability for wine of different qualities. The Australian wine exporters and producers expor</w:t>
      </w:r>
      <w:r>
        <w:t>ted</w:t>
      </w:r>
      <w:r>
        <w:rPr>
          <w:spacing w:val="-14"/>
        </w:rPr>
        <w:t xml:space="preserve"> </w:t>
      </w:r>
      <w:r>
        <w:t>a</w:t>
      </w:r>
      <w:r>
        <w:rPr>
          <w:spacing w:val="-14"/>
        </w:rPr>
        <w:t xml:space="preserve"> </w:t>
      </w:r>
      <w:r>
        <w:t>range</w:t>
      </w:r>
      <w:r>
        <w:rPr>
          <w:spacing w:val="-13"/>
        </w:rPr>
        <w:t xml:space="preserve"> </w:t>
      </w:r>
      <w:r>
        <w:t>of</w:t>
      </w:r>
      <w:r>
        <w:rPr>
          <w:spacing w:val="-14"/>
        </w:rPr>
        <w:t xml:space="preserve"> </w:t>
      </w:r>
      <w:r>
        <w:t>wine</w:t>
      </w:r>
      <w:r>
        <w:rPr>
          <w:spacing w:val="-13"/>
        </w:rPr>
        <w:t xml:space="preserve"> </w:t>
      </w:r>
      <w:r>
        <w:t>during</w:t>
      </w:r>
      <w:r>
        <w:rPr>
          <w:spacing w:val="-14"/>
        </w:rPr>
        <w:t xml:space="preserve"> </w:t>
      </w:r>
      <w:r>
        <w:t>the</w:t>
      </w:r>
      <w:r>
        <w:rPr>
          <w:spacing w:val="-13"/>
        </w:rPr>
        <w:t xml:space="preserve"> </w:t>
      </w:r>
      <w:r>
        <w:t>period</w:t>
      </w:r>
      <w:r>
        <w:rPr>
          <w:spacing w:val="-14"/>
        </w:rPr>
        <w:t xml:space="preserve"> </w:t>
      </w:r>
      <w:r>
        <w:t>of</w:t>
      </w:r>
      <w:r>
        <w:rPr>
          <w:spacing w:val="-14"/>
        </w:rPr>
        <w:t xml:space="preserve"> </w:t>
      </w:r>
      <w:r>
        <w:t>investigation</w:t>
      </w:r>
      <w:r>
        <w:rPr>
          <w:spacing w:val="-13"/>
        </w:rPr>
        <w:t xml:space="preserve"> </w:t>
      </w:r>
      <w:r>
        <w:t>that</w:t>
      </w:r>
      <w:r>
        <w:rPr>
          <w:spacing w:val="-14"/>
        </w:rPr>
        <w:t xml:space="preserve"> </w:t>
      </w:r>
      <w:r>
        <w:t>covered</w:t>
      </w:r>
      <w:r>
        <w:rPr>
          <w:spacing w:val="-13"/>
        </w:rPr>
        <w:t xml:space="preserve"> </w:t>
      </w:r>
      <w:r>
        <w:t>different</w:t>
      </w:r>
      <w:r>
        <w:rPr>
          <w:spacing w:val="-14"/>
        </w:rPr>
        <w:t xml:space="preserve"> </w:t>
      </w:r>
      <w:r>
        <w:t>price</w:t>
      </w:r>
      <w:r>
        <w:rPr>
          <w:spacing w:val="-13"/>
        </w:rPr>
        <w:t xml:space="preserve"> </w:t>
      </w:r>
      <w:r>
        <w:t>points. Accordingly, MOFCOM was obligated to provide all non‐confidential information that was relevant</w:t>
      </w:r>
      <w:r>
        <w:rPr>
          <w:spacing w:val="-8"/>
        </w:rPr>
        <w:t xml:space="preserve"> </w:t>
      </w:r>
      <w:r>
        <w:t>to</w:t>
      </w:r>
      <w:r>
        <w:rPr>
          <w:spacing w:val="-8"/>
        </w:rPr>
        <w:t xml:space="preserve"> </w:t>
      </w:r>
      <w:r>
        <w:t>how</w:t>
      </w:r>
      <w:r>
        <w:rPr>
          <w:spacing w:val="-7"/>
        </w:rPr>
        <w:t xml:space="preserve"> </w:t>
      </w:r>
      <w:r>
        <w:t>it</w:t>
      </w:r>
      <w:r>
        <w:rPr>
          <w:spacing w:val="-7"/>
        </w:rPr>
        <w:t xml:space="preserve"> </w:t>
      </w:r>
      <w:r>
        <w:t>accounted</w:t>
      </w:r>
      <w:r>
        <w:rPr>
          <w:spacing w:val="-8"/>
        </w:rPr>
        <w:t xml:space="preserve"> </w:t>
      </w:r>
      <w:r>
        <w:t>for</w:t>
      </w:r>
      <w:r>
        <w:rPr>
          <w:spacing w:val="-7"/>
        </w:rPr>
        <w:t xml:space="preserve"> </w:t>
      </w:r>
      <w:r>
        <w:t>different</w:t>
      </w:r>
      <w:r>
        <w:rPr>
          <w:spacing w:val="-7"/>
        </w:rPr>
        <w:t xml:space="preserve"> </w:t>
      </w:r>
      <w:r>
        <w:t>high,</w:t>
      </w:r>
      <w:r>
        <w:rPr>
          <w:spacing w:val="-7"/>
        </w:rPr>
        <w:t xml:space="preserve"> </w:t>
      </w:r>
      <w:r>
        <w:t>middle,</w:t>
      </w:r>
      <w:r>
        <w:rPr>
          <w:spacing w:val="-8"/>
        </w:rPr>
        <w:t xml:space="preserve"> </w:t>
      </w:r>
      <w:r>
        <w:t>and</w:t>
      </w:r>
      <w:r>
        <w:rPr>
          <w:spacing w:val="-8"/>
        </w:rPr>
        <w:t xml:space="preserve"> </w:t>
      </w:r>
      <w:r>
        <w:t>low‐price</w:t>
      </w:r>
      <w:r>
        <w:rPr>
          <w:spacing w:val="-7"/>
        </w:rPr>
        <w:t xml:space="preserve"> </w:t>
      </w:r>
      <w:r>
        <w:t>wines</w:t>
      </w:r>
      <w:r>
        <w:rPr>
          <w:spacing w:val="-8"/>
        </w:rPr>
        <w:t xml:space="preserve"> </w:t>
      </w:r>
      <w:r>
        <w:t>when</w:t>
      </w:r>
      <w:r>
        <w:rPr>
          <w:spacing w:val="-8"/>
        </w:rPr>
        <w:t xml:space="preserve"> </w:t>
      </w:r>
      <w:r>
        <w:t>conducting a fair comparison. It failed to do so. MOFCOM also failed to provide any information on its consideration of the time of sales when ensuring that the sales were made "at nearly as possible the same time" pursuant to Article 2.4.</w:t>
      </w:r>
    </w:p>
    <w:p w14:paraId="51DE9C80" w14:textId="77777777" w:rsidR="0010369C" w:rsidRDefault="0010369C">
      <w:pPr>
        <w:pStyle w:val="BodyText"/>
        <w:spacing w:before="11"/>
        <w:rPr>
          <w:sz w:val="8"/>
        </w:rPr>
      </w:pPr>
    </w:p>
    <w:p w14:paraId="51DE9C81" w14:textId="77777777" w:rsidR="0010369C" w:rsidRDefault="008E43AE">
      <w:pPr>
        <w:pStyle w:val="BodyText"/>
        <w:spacing w:before="52" w:line="360" w:lineRule="auto"/>
        <w:ind w:left="237" w:right="613" w:firstLine="851"/>
        <w:jc w:val="both"/>
      </w:pPr>
      <w:r>
        <w:rPr>
          <w:noProof/>
        </w:rPr>
        <w:drawing>
          <wp:anchor distT="0" distB="0" distL="0" distR="0" simplePos="0" relativeHeight="251671040" behindDoc="1" locked="0" layoutInCell="1" allowOverlap="1" wp14:anchorId="51DEA98D" wp14:editId="51DEA98E">
            <wp:simplePos x="0" y="0"/>
            <wp:positionH relativeFrom="page">
              <wp:posOffset>908303</wp:posOffset>
            </wp:positionH>
            <wp:positionV relativeFrom="paragraph">
              <wp:posOffset>76785</wp:posOffset>
            </wp:positionV>
            <wp:extent cx="332231" cy="106679"/>
            <wp:effectExtent l="0" t="0" r="0" b="0"/>
            <wp:wrapNone/>
            <wp:docPr id="2169" name="image1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0" name="image1112.png"/>
                    <pic:cNvPicPr/>
                  </pic:nvPicPr>
                  <pic:blipFill>
                    <a:blip r:embed="rId1417" cstate="print"/>
                    <a:stretch>
                      <a:fillRect/>
                    </a:stretch>
                  </pic:blipFill>
                  <pic:spPr>
                    <a:xfrm>
                      <a:off x="0" y="0"/>
                      <a:ext cx="332231" cy="106679"/>
                    </a:xfrm>
                    <a:prstGeom prst="rect">
                      <a:avLst/>
                    </a:prstGeom>
                  </pic:spPr>
                </pic:pic>
              </a:graphicData>
            </a:graphic>
          </wp:anchor>
        </w:drawing>
      </w:r>
      <w:r>
        <w:t>MOFCOM ex</w:t>
      </w:r>
      <w:r>
        <w:t>pressed relevant figures in AUD/kl, RMB/kl and USD/kl at different points in the Final Determination.</w:t>
      </w:r>
      <w:r>
        <w:rPr>
          <w:vertAlign w:val="superscript"/>
        </w:rPr>
        <w:t>1268</w:t>
      </w:r>
      <w:r>
        <w:t xml:space="preserve"> However, the Final Determination contains no explanation of how exchange rates were determined, what the rates of conversion were, or how MOFCOM purpo</w:t>
      </w:r>
      <w:r>
        <w:t>rted to account for fluctuations in exchange rates over time. The foregoing information was material to the fair comparison analysis.</w:t>
      </w:r>
    </w:p>
    <w:p w14:paraId="51DE9C82" w14:textId="77777777" w:rsidR="0010369C" w:rsidRDefault="008E43AE">
      <w:pPr>
        <w:pStyle w:val="BodyText"/>
        <w:spacing w:before="3"/>
        <w:rPr>
          <w:sz w:val="25"/>
        </w:rPr>
      </w:pPr>
      <w:r>
        <w:pict w14:anchorId="51DEA98F">
          <v:rect id="docshape1490" o:spid="_x0000_s1034" style="position:absolute;margin-left:70.9pt;margin-top:16.65pt;width:2in;height:.8pt;z-index:-250653184;mso-wrap-distance-left:0;mso-wrap-distance-right:0;mso-position-horizontal-relative:page" fillcolor="black" stroked="f">
            <w10:wrap type="topAndBottom" anchorx="page"/>
          </v:rect>
        </w:pict>
      </w:r>
    </w:p>
    <w:p w14:paraId="51DE9C83" w14:textId="77777777" w:rsidR="0010369C" w:rsidRDefault="008E43AE">
      <w:pPr>
        <w:spacing w:before="109"/>
        <w:ind w:left="238"/>
        <w:rPr>
          <w:sz w:val="18"/>
        </w:rPr>
      </w:pPr>
      <w:r>
        <w:rPr>
          <w:sz w:val="18"/>
          <w:vertAlign w:val="superscript"/>
        </w:rPr>
        <w:t>1265</w:t>
      </w:r>
      <w:r>
        <w:rPr>
          <w:spacing w:val="-9"/>
          <w:sz w:val="18"/>
        </w:rPr>
        <w:t xml:space="preserve"> </w:t>
      </w:r>
      <w:r>
        <w:rPr>
          <w:sz w:val="18"/>
        </w:rPr>
        <w:t>Anti‐Dumping</w:t>
      </w:r>
      <w:r>
        <w:rPr>
          <w:spacing w:val="-9"/>
          <w:sz w:val="18"/>
        </w:rPr>
        <w:t xml:space="preserve"> </w:t>
      </w:r>
      <w:r>
        <w:rPr>
          <w:sz w:val="18"/>
        </w:rPr>
        <w:t>Final</w:t>
      </w:r>
      <w:r>
        <w:rPr>
          <w:spacing w:val="-9"/>
          <w:sz w:val="18"/>
        </w:rPr>
        <w:t xml:space="preserve"> </w:t>
      </w:r>
      <w:r>
        <w:rPr>
          <w:sz w:val="18"/>
        </w:rPr>
        <w:t>Determination</w:t>
      </w:r>
      <w:r>
        <w:rPr>
          <w:spacing w:val="-8"/>
          <w:sz w:val="18"/>
        </w:rPr>
        <w:t xml:space="preserve"> </w:t>
      </w:r>
      <w:r>
        <w:rPr>
          <w:sz w:val="18"/>
        </w:rPr>
        <w:t>(Exhibit</w:t>
      </w:r>
      <w:r>
        <w:rPr>
          <w:spacing w:val="-9"/>
          <w:sz w:val="18"/>
        </w:rPr>
        <w:t xml:space="preserve"> </w:t>
      </w:r>
      <w:r>
        <w:rPr>
          <w:sz w:val="18"/>
        </w:rPr>
        <w:t>AUS‐2),</w:t>
      </w:r>
      <w:r>
        <w:rPr>
          <w:spacing w:val="-10"/>
          <w:sz w:val="18"/>
        </w:rPr>
        <w:t xml:space="preserve"> </w:t>
      </w:r>
      <w:r>
        <w:rPr>
          <w:sz w:val="18"/>
        </w:rPr>
        <w:t>p.</w:t>
      </w:r>
      <w:r>
        <w:rPr>
          <w:spacing w:val="-9"/>
          <w:sz w:val="18"/>
        </w:rPr>
        <w:t xml:space="preserve"> </w:t>
      </w:r>
      <w:r>
        <w:rPr>
          <w:spacing w:val="-5"/>
          <w:sz w:val="18"/>
        </w:rPr>
        <w:t>98.</w:t>
      </w:r>
    </w:p>
    <w:p w14:paraId="51DE9C84" w14:textId="77777777" w:rsidR="0010369C" w:rsidRDefault="008E43AE">
      <w:pPr>
        <w:ind w:left="238"/>
        <w:rPr>
          <w:sz w:val="18"/>
        </w:rPr>
      </w:pPr>
      <w:r>
        <w:rPr>
          <w:sz w:val="18"/>
          <w:vertAlign w:val="superscript"/>
        </w:rPr>
        <w:t>1266</w:t>
      </w:r>
      <w:r>
        <w:rPr>
          <w:spacing w:val="-9"/>
          <w:sz w:val="18"/>
        </w:rPr>
        <w:t xml:space="preserve"> </w:t>
      </w:r>
      <w:r>
        <w:rPr>
          <w:sz w:val="18"/>
        </w:rPr>
        <w:t>Anti‐Dumping</w:t>
      </w:r>
      <w:r>
        <w:rPr>
          <w:spacing w:val="-9"/>
          <w:sz w:val="18"/>
        </w:rPr>
        <w:t xml:space="preserve"> </w:t>
      </w:r>
      <w:r>
        <w:rPr>
          <w:sz w:val="18"/>
        </w:rPr>
        <w:t>Final</w:t>
      </w:r>
      <w:r>
        <w:rPr>
          <w:spacing w:val="-9"/>
          <w:sz w:val="18"/>
        </w:rPr>
        <w:t xml:space="preserve"> </w:t>
      </w:r>
      <w:r>
        <w:rPr>
          <w:sz w:val="18"/>
        </w:rPr>
        <w:t>Determination</w:t>
      </w:r>
      <w:r>
        <w:rPr>
          <w:spacing w:val="-8"/>
          <w:sz w:val="18"/>
        </w:rPr>
        <w:t xml:space="preserve"> </w:t>
      </w:r>
      <w:r>
        <w:rPr>
          <w:sz w:val="18"/>
        </w:rPr>
        <w:t>(Exhibit</w:t>
      </w:r>
      <w:r>
        <w:rPr>
          <w:spacing w:val="-9"/>
          <w:sz w:val="18"/>
        </w:rPr>
        <w:t xml:space="preserve"> </w:t>
      </w:r>
      <w:r>
        <w:rPr>
          <w:sz w:val="18"/>
        </w:rPr>
        <w:t>AUS‐2),</w:t>
      </w:r>
      <w:r>
        <w:rPr>
          <w:spacing w:val="-10"/>
          <w:sz w:val="18"/>
        </w:rPr>
        <w:t xml:space="preserve"> </w:t>
      </w:r>
      <w:r>
        <w:rPr>
          <w:sz w:val="18"/>
        </w:rPr>
        <w:t>p.</w:t>
      </w:r>
      <w:r>
        <w:rPr>
          <w:spacing w:val="-9"/>
          <w:sz w:val="18"/>
        </w:rPr>
        <w:t xml:space="preserve"> </w:t>
      </w:r>
      <w:r>
        <w:rPr>
          <w:spacing w:val="-4"/>
          <w:sz w:val="18"/>
        </w:rPr>
        <w:t>100.</w:t>
      </w:r>
    </w:p>
    <w:p w14:paraId="51DE9C85" w14:textId="77777777" w:rsidR="0010369C" w:rsidRDefault="008E43AE">
      <w:pPr>
        <w:spacing w:before="1"/>
        <w:ind w:left="238"/>
        <w:rPr>
          <w:sz w:val="18"/>
        </w:rPr>
      </w:pPr>
      <w:r>
        <w:rPr>
          <w:sz w:val="18"/>
          <w:vertAlign w:val="superscript"/>
        </w:rPr>
        <w:t>1267</w:t>
      </w:r>
      <w:r>
        <w:rPr>
          <w:spacing w:val="-9"/>
          <w:sz w:val="18"/>
        </w:rPr>
        <w:t xml:space="preserve"> </w:t>
      </w:r>
      <w:r>
        <w:rPr>
          <w:sz w:val="18"/>
        </w:rPr>
        <w:t>Anti‐Dumping</w:t>
      </w:r>
      <w:r>
        <w:rPr>
          <w:spacing w:val="-8"/>
          <w:sz w:val="18"/>
        </w:rPr>
        <w:t xml:space="preserve"> </w:t>
      </w:r>
      <w:r>
        <w:rPr>
          <w:sz w:val="18"/>
        </w:rPr>
        <w:t>Final</w:t>
      </w:r>
      <w:r>
        <w:rPr>
          <w:spacing w:val="-8"/>
          <w:sz w:val="18"/>
        </w:rPr>
        <w:t xml:space="preserve"> </w:t>
      </w:r>
      <w:r>
        <w:rPr>
          <w:sz w:val="18"/>
        </w:rPr>
        <w:t>Determination</w:t>
      </w:r>
      <w:r>
        <w:rPr>
          <w:spacing w:val="-8"/>
          <w:sz w:val="18"/>
        </w:rPr>
        <w:t xml:space="preserve"> </w:t>
      </w:r>
      <w:r>
        <w:rPr>
          <w:sz w:val="18"/>
        </w:rPr>
        <w:t>(Exhibit</w:t>
      </w:r>
      <w:r>
        <w:rPr>
          <w:spacing w:val="-8"/>
          <w:sz w:val="18"/>
        </w:rPr>
        <w:t xml:space="preserve"> </w:t>
      </w:r>
      <w:r>
        <w:rPr>
          <w:sz w:val="18"/>
        </w:rPr>
        <w:t>AUS‐2),</w:t>
      </w:r>
      <w:r>
        <w:rPr>
          <w:spacing w:val="-9"/>
          <w:sz w:val="18"/>
        </w:rPr>
        <w:t xml:space="preserve"> </w:t>
      </w:r>
      <w:r>
        <w:rPr>
          <w:sz w:val="18"/>
        </w:rPr>
        <w:t>pp.</w:t>
      </w:r>
      <w:r>
        <w:rPr>
          <w:spacing w:val="-8"/>
          <w:sz w:val="18"/>
        </w:rPr>
        <w:t xml:space="preserve"> </w:t>
      </w:r>
      <w:r>
        <w:rPr>
          <w:sz w:val="18"/>
        </w:rPr>
        <w:t>35,</w:t>
      </w:r>
      <w:r>
        <w:rPr>
          <w:spacing w:val="-9"/>
          <w:sz w:val="18"/>
        </w:rPr>
        <w:t xml:space="preserve"> </w:t>
      </w:r>
      <w:r>
        <w:rPr>
          <w:spacing w:val="-4"/>
          <w:sz w:val="18"/>
        </w:rPr>
        <w:t>100.</w:t>
      </w:r>
    </w:p>
    <w:p w14:paraId="51DE9C86" w14:textId="77777777" w:rsidR="0010369C" w:rsidRDefault="008E43AE">
      <w:pPr>
        <w:ind w:left="239" w:right="611" w:hanging="1"/>
        <w:jc w:val="both"/>
        <w:rPr>
          <w:sz w:val="18"/>
        </w:rPr>
      </w:pPr>
      <w:r>
        <w:rPr>
          <w:sz w:val="18"/>
          <w:vertAlign w:val="superscript"/>
        </w:rPr>
        <w:t>1268</w:t>
      </w:r>
      <w:r>
        <w:rPr>
          <w:sz w:val="18"/>
        </w:rPr>
        <w:t xml:space="preserve"> E.g. import prices from 2015 to 2019 are defined in terms of "RMB/kl" in the body of the Final Determination (Anti‐ Dumping Final Determination (Exhibit AUS‐2), p. 113) but listed as "USD/kl" in the data table appended at the end of the document (Anti‐Dum</w:t>
      </w:r>
      <w:r>
        <w:rPr>
          <w:sz w:val="18"/>
        </w:rPr>
        <w:t>ping Final Determination (Exhibit AUS‐2), p. 148).</w:t>
      </w:r>
    </w:p>
    <w:p w14:paraId="51DE9C87" w14:textId="77777777" w:rsidR="0010369C" w:rsidRDefault="0010369C">
      <w:pPr>
        <w:jc w:val="both"/>
        <w:rPr>
          <w:sz w:val="18"/>
        </w:rPr>
        <w:sectPr w:rsidR="0010369C">
          <w:headerReference w:type="default" r:id="rId1418"/>
          <w:footerReference w:type="default" r:id="rId1419"/>
          <w:pgSz w:w="11910" w:h="16840"/>
          <w:pgMar w:top="880" w:right="800" w:bottom="980" w:left="1180" w:header="569" w:footer="788" w:gutter="0"/>
          <w:cols w:space="720"/>
        </w:sectPr>
      </w:pPr>
    </w:p>
    <w:p w14:paraId="51DE9C88" w14:textId="77777777" w:rsidR="0010369C" w:rsidRDefault="0010369C">
      <w:pPr>
        <w:pStyle w:val="BodyText"/>
        <w:spacing w:before="4"/>
        <w:rPr>
          <w:sz w:val="23"/>
        </w:rPr>
      </w:pPr>
    </w:p>
    <w:tbl>
      <w:tblPr>
        <w:tblW w:w="0" w:type="auto"/>
        <w:tblInd w:w="196" w:type="dxa"/>
        <w:tblLayout w:type="fixed"/>
        <w:tblCellMar>
          <w:left w:w="0" w:type="dxa"/>
          <w:right w:w="0" w:type="dxa"/>
        </w:tblCellMar>
        <w:tblLook w:val="01E0" w:firstRow="1" w:lastRow="1" w:firstColumn="1" w:lastColumn="1" w:noHBand="0" w:noVBand="0"/>
      </w:tblPr>
      <w:tblGrid>
        <w:gridCol w:w="3161"/>
        <w:gridCol w:w="6011"/>
      </w:tblGrid>
      <w:tr w:rsidR="0010369C" w14:paraId="51DE9C8B" w14:textId="77777777">
        <w:trPr>
          <w:trHeight w:val="243"/>
        </w:trPr>
        <w:tc>
          <w:tcPr>
            <w:tcW w:w="3161" w:type="dxa"/>
          </w:tcPr>
          <w:p w14:paraId="51DE9C89" w14:textId="77777777" w:rsidR="0010369C" w:rsidRDefault="008E43AE">
            <w:pPr>
              <w:pStyle w:val="TableParagraph"/>
              <w:spacing w:line="204" w:lineRule="exact"/>
              <w:ind w:left="50"/>
              <w:rPr>
                <w:sz w:val="20"/>
              </w:rPr>
            </w:pPr>
            <w:r>
              <w:rPr>
                <w:i/>
                <w:sz w:val="20"/>
              </w:rPr>
              <w:t>on</w:t>
            </w:r>
            <w:r>
              <w:rPr>
                <w:i/>
                <w:spacing w:val="-1"/>
                <w:sz w:val="20"/>
              </w:rPr>
              <w:t xml:space="preserve"> </w:t>
            </w:r>
            <w:r>
              <w:rPr>
                <w:i/>
                <w:sz w:val="20"/>
              </w:rPr>
              <w:t>Wine</w:t>
            </w:r>
            <w:r>
              <w:rPr>
                <w:i/>
                <w:spacing w:val="-1"/>
                <w:sz w:val="20"/>
              </w:rPr>
              <w:t xml:space="preserve"> </w:t>
            </w:r>
            <w:r>
              <w:rPr>
                <w:i/>
                <w:sz w:val="20"/>
              </w:rPr>
              <w:t>from</w:t>
            </w:r>
            <w:r>
              <w:rPr>
                <w:i/>
                <w:spacing w:val="-3"/>
                <w:sz w:val="20"/>
              </w:rPr>
              <w:t xml:space="preserve"> </w:t>
            </w:r>
            <w:r>
              <w:rPr>
                <w:i/>
                <w:sz w:val="20"/>
              </w:rPr>
              <w:t>Australia</w:t>
            </w:r>
            <w:r>
              <w:rPr>
                <w:i/>
                <w:spacing w:val="-1"/>
                <w:sz w:val="20"/>
              </w:rPr>
              <w:t xml:space="preserve"> </w:t>
            </w:r>
            <w:r>
              <w:rPr>
                <w:spacing w:val="-2"/>
                <w:sz w:val="20"/>
              </w:rPr>
              <w:t>(DS602)</w:t>
            </w:r>
          </w:p>
        </w:tc>
        <w:tc>
          <w:tcPr>
            <w:tcW w:w="6011" w:type="dxa"/>
          </w:tcPr>
          <w:p w14:paraId="51DE9C8A" w14:textId="77777777" w:rsidR="0010369C" w:rsidRDefault="008E43AE">
            <w:pPr>
              <w:pStyle w:val="TableParagraph"/>
              <w:spacing w:line="204" w:lineRule="exact"/>
              <w:ind w:right="48"/>
              <w:jc w:val="right"/>
              <w:rPr>
                <w:sz w:val="20"/>
              </w:rPr>
            </w:pPr>
            <w:r>
              <w:rPr>
                <w:sz w:val="20"/>
              </w:rPr>
              <w:t>29</w:t>
            </w:r>
            <w:r>
              <w:rPr>
                <w:spacing w:val="-1"/>
                <w:sz w:val="20"/>
              </w:rPr>
              <w:t xml:space="preserve"> </w:t>
            </w:r>
            <w:r>
              <w:rPr>
                <w:sz w:val="20"/>
              </w:rPr>
              <w:t>April</w:t>
            </w:r>
            <w:r>
              <w:rPr>
                <w:spacing w:val="-2"/>
                <w:sz w:val="20"/>
              </w:rPr>
              <w:t xml:space="preserve"> </w:t>
            </w:r>
            <w:r>
              <w:rPr>
                <w:spacing w:val="-4"/>
                <w:sz w:val="20"/>
              </w:rPr>
              <w:t>2022</w:t>
            </w:r>
          </w:p>
        </w:tc>
      </w:tr>
      <w:tr w:rsidR="0010369C" w14:paraId="51DE9C8E" w14:textId="77777777">
        <w:trPr>
          <w:trHeight w:val="383"/>
        </w:trPr>
        <w:tc>
          <w:tcPr>
            <w:tcW w:w="3161" w:type="dxa"/>
          </w:tcPr>
          <w:p w14:paraId="51DE9C8C" w14:textId="77777777" w:rsidR="0010369C" w:rsidRDefault="008E43AE">
            <w:pPr>
              <w:pStyle w:val="TableParagraph"/>
              <w:spacing w:line="288" w:lineRule="exact"/>
              <w:ind w:right="291"/>
              <w:jc w:val="right"/>
              <w:rPr>
                <w:sz w:val="24"/>
              </w:rPr>
            </w:pPr>
            <w:r>
              <w:rPr>
                <w:spacing w:val="-5"/>
                <w:sz w:val="24"/>
                <w:u w:val="single"/>
              </w:rPr>
              <w:t>(e)</w:t>
            </w:r>
          </w:p>
        </w:tc>
        <w:tc>
          <w:tcPr>
            <w:tcW w:w="6011" w:type="dxa"/>
          </w:tcPr>
          <w:p w14:paraId="51DE9C8D" w14:textId="77777777" w:rsidR="0010369C" w:rsidRDefault="008E43AE">
            <w:pPr>
              <w:pStyle w:val="TableParagraph"/>
              <w:spacing w:line="288" w:lineRule="exact"/>
              <w:ind w:right="50"/>
              <w:jc w:val="right"/>
              <w:rPr>
                <w:sz w:val="24"/>
              </w:rPr>
            </w:pPr>
            <w:r>
              <w:rPr>
                <w:sz w:val="24"/>
                <w:u w:val="single"/>
              </w:rPr>
              <w:t>Calculation</w:t>
            </w:r>
            <w:r>
              <w:rPr>
                <w:spacing w:val="21"/>
                <w:sz w:val="24"/>
                <w:u w:val="single"/>
              </w:rPr>
              <w:t xml:space="preserve"> </w:t>
            </w:r>
            <w:r>
              <w:rPr>
                <w:sz w:val="24"/>
                <w:u w:val="single"/>
              </w:rPr>
              <w:t>of</w:t>
            </w:r>
            <w:r>
              <w:rPr>
                <w:spacing w:val="22"/>
                <w:sz w:val="24"/>
                <w:u w:val="single"/>
              </w:rPr>
              <w:t xml:space="preserve"> </w:t>
            </w:r>
            <w:r>
              <w:rPr>
                <w:sz w:val="24"/>
                <w:u w:val="single"/>
              </w:rPr>
              <w:t>dumping</w:t>
            </w:r>
            <w:r>
              <w:rPr>
                <w:spacing w:val="22"/>
                <w:sz w:val="24"/>
                <w:u w:val="single"/>
              </w:rPr>
              <w:t xml:space="preserve"> </w:t>
            </w:r>
            <w:r>
              <w:rPr>
                <w:sz w:val="24"/>
                <w:u w:val="single"/>
              </w:rPr>
              <w:t>margins</w:t>
            </w:r>
            <w:r>
              <w:rPr>
                <w:spacing w:val="22"/>
                <w:sz w:val="24"/>
                <w:u w:val="single"/>
              </w:rPr>
              <w:t xml:space="preserve"> </w:t>
            </w:r>
            <w:r>
              <w:rPr>
                <w:sz w:val="24"/>
                <w:u w:val="single"/>
              </w:rPr>
              <w:t>and</w:t>
            </w:r>
            <w:r>
              <w:rPr>
                <w:spacing w:val="22"/>
                <w:sz w:val="24"/>
                <w:u w:val="single"/>
              </w:rPr>
              <w:t xml:space="preserve"> </w:t>
            </w:r>
            <w:r>
              <w:rPr>
                <w:sz w:val="24"/>
                <w:u w:val="single"/>
              </w:rPr>
              <w:t>the</w:t>
            </w:r>
            <w:r>
              <w:rPr>
                <w:spacing w:val="23"/>
                <w:sz w:val="24"/>
                <w:u w:val="single"/>
              </w:rPr>
              <w:t xml:space="preserve"> </w:t>
            </w:r>
            <w:r>
              <w:rPr>
                <w:sz w:val="24"/>
                <w:u w:val="single"/>
              </w:rPr>
              <w:t>reasons</w:t>
            </w:r>
            <w:r>
              <w:rPr>
                <w:spacing w:val="23"/>
                <w:sz w:val="24"/>
                <w:u w:val="single"/>
              </w:rPr>
              <w:t xml:space="preserve"> </w:t>
            </w:r>
            <w:r>
              <w:rPr>
                <w:sz w:val="24"/>
                <w:u w:val="single"/>
              </w:rPr>
              <w:t>for</w:t>
            </w:r>
            <w:r>
              <w:rPr>
                <w:spacing w:val="23"/>
                <w:sz w:val="24"/>
                <w:u w:val="single"/>
              </w:rPr>
              <w:t xml:space="preserve"> </w:t>
            </w:r>
            <w:r>
              <w:rPr>
                <w:spacing w:val="-5"/>
                <w:sz w:val="24"/>
                <w:u w:val="single"/>
              </w:rPr>
              <w:t>the</w:t>
            </w:r>
          </w:p>
        </w:tc>
      </w:tr>
      <w:tr w:rsidR="0010369C" w14:paraId="51DE9C91" w14:textId="77777777">
        <w:trPr>
          <w:trHeight w:val="340"/>
        </w:trPr>
        <w:tc>
          <w:tcPr>
            <w:tcW w:w="3161" w:type="dxa"/>
          </w:tcPr>
          <w:p w14:paraId="51DE9C8F" w14:textId="77777777" w:rsidR="0010369C" w:rsidRDefault="0010369C">
            <w:pPr>
              <w:pStyle w:val="TableParagraph"/>
              <w:rPr>
                <w:rFonts w:ascii="Times New Roman"/>
              </w:rPr>
            </w:pPr>
          </w:p>
        </w:tc>
        <w:tc>
          <w:tcPr>
            <w:tcW w:w="6011" w:type="dxa"/>
          </w:tcPr>
          <w:p w14:paraId="51DE9C90" w14:textId="77777777" w:rsidR="0010369C" w:rsidRDefault="008E43AE">
            <w:pPr>
              <w:pStyle w:val="TableParagraph"/>
              <w:spacing w:before="51" w:line="269" w:lineRule="exact"/>
              <w:ind w:left="292"/>
              <w:rPr>
                <w:sz w:val="24"/>
              </w:rPr>
            </w:pPr>
            <w:r>
              <w:rPr>
                <w:spacing w:val="-2"/>
                <w:sz w:val="24"/>
                <w:u w:val="single"/>
              </w:rPr>
              <w:t>calculation</w:t>
            </w:r>
            <w:r>
              <w:rPr>
                <w:spacing w:val="5"/>
                <w:sz w:val="24"/>
                <w:u w:val="single"/>
              </w:rPr>
              <w:t xml:space="preserve"> </w:t>
            </w:r>
            <w:r>
              <w:rPr>
                <w:spacing w:val="-2"/>
                <w:sz w:val="24"/>
                <w:u w:val="single"/>
              </w:rPr>
              <w:t>methodology</w:t>
            </w:r>
            <w:r>
              <w:rPr>
                <w:spacing w:val="6"/>
                <w:sz w:val="24"/>
                <w:u w:val="single"/>
              </w:rPr>
              <w:t xml:space="preserve"> </w:t>
            </w:r>
            <w:r>
              <w:rPr>
                <w:spacing w:val="-4"/>
                <w:sz w:val="24"/>
                <w:u w:val="single"/>
              </w:rPr>
              <w:t>used</w:t>
            </w:r>
          </w:p>
        </w:tc>
      </w:tr>
    </w:tbl>
    <w:p w14:paraId="51DE9C92" w14:textId="77777777" w:rsidR="0010369C" w:rsidRDefault="0010369C">
      <w:pPr>
        <w:pStyle w:val="BodyText"/>
        <w:spacing w:before="5"/>
        <w:rPr>
          <w:sz w:val="20"/>
        </w:rPr>
      </w:pPr>
    </w:p>
    <w:p w14:paraId="51DE9C93" w14:textId="77777777" w:rsidR="0010369C" w:rsidRDefault="008E43AE">
      <w:pPr>
        <w:pStyle w:val="BodyText"/>
        <w:spacing w:before="51" w:line="360" w:lineRule="auto"/>
        <w:ind w:left="237" w:right="611" w:firstLine="851"/>
        <w:jc w:val="both"/>
      </w:pPr>
      <w:r>
        <w:rPr>
          <w:noProof/>
        </w:rPr>
        <w:drawing>
          <wp:anchor distT="0" distB="0" distL="0" distR="0" simplePos="0" relativeHeight="251672064" behindDoc="1" locked="0" layoutInCell="1" allowOverlap="1" wp14:anchorId="51DEA990" wp14:editId="51DEA991">
            <wp:simplePos x="0" y="0"/>
            <wp:positionH relativeFrom="page">
              <wp:posOffset>908303</wp:posOffset>
            </wp:positionH>
            <wp:positionV relativeFrom="paragraph">
              <wp:posOffset>82246</wp:posOffset>
            </wp:positionV>
            <wp:extent cx="332231" cy="106679"/>
            <wp:effectExtent l="0" t="0" r="0" b="0"/>
            <wp:wrapNone/>
            <wp:docPr id="2171" name="image1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2" name="image1113.png"/>
                    <pic:cNvPicPr/>
                  </pic:nvPicPr>
                  <pic:blipFill>
                    <a:blip r:embed="rId1420" cstate="print"/>
                    <a:stretch>
                      <a:fillRect/>
                    </a:stretch>
                  </pic:blipFill>
                  <pic:spPr>
                    <a:xfrm>
                      <a:off x="0" y="0"/>
                      <a:ext cx="332231" cy="106679"/>
                    </a:xfrm>
                    <a:prstGeom prst="rect">
                      <a:avLst/>
                    </a:prstGeom>
                  </pic:spPr>
                </pic:pic>
              </a:graphicData>
            </a:graphic>
          </wp:anchor>
        </w:drawing>
      </w:r>
      <w:r>
        <w:t>China</w:t>
      </w:r>
      <w:r>
        <w:rPr>
          <w:spacing w:val="-14"/>
        </w:rPr>
        <w:t xml:space="preserve"> </w:t>
      </w:r>
      <w:r>
        <w:t>breached</w:t>
      </w:r>
      <w:r>
        <w:rPr>
          <w:spacing w:val="-14"/>
        </w:rPr>
        <w:t xml:space="preserve"> </w:t>
      </w:r>
      <w:r>
        <w:t>the</w:t>
      </w:r>
      <w:r>
        <w:rPr>
          <w:spacing w:val="-13"/>
        </w:rPr>
        <w:t xml:space="preserve"> </w:t>
      </w:r>
      <w:r>
        <w:t>requirements</w:t>
      </w:r>
      <w:r>
        <w:rPr>
          <w:spacing w:val="-14"/>
        </w:rPr>
        <w:t xml:space="preserve"> </w:t>
      </w:r>
      <w:r>
        <w:t>of</w:t>
      </w:r>
      <w:r>
        <w:rPr>
          <w:spacing w:val="-13"/>
        </w:rPr>
        <w:t xml:space="preserve"> </w:t>
      </w:r>
      <w:r>
        <w:t>Articles</w:t>
      </w:r>
      <w:r>
        <w:rPr>
          <w:spacing w:val="-14"/>
        </w:rPr>
        <w:t xml:space="preserve"> </w:t>
      </w:r>
      <w:r>
        <w:t>12.2</w:t>
      </w:r>
      <w:r>
        <w:rPr>
          <w:spacing w:val="-13"/>
        </w:rPr>
        <w:t xml:space="preserve"> </w:t>
      </w:r>
      <w:r>
        <w:t>and</w:t>
      </w:r>
      <w:r>
        <w:rPr>
          <w:spacing w:val="-14"/>
        </w:rPr>
        <w:t xml:space="preserve"> </w:t>
      </w:r>
      <w:r>
        <w:t>12.2.2</w:t>
      </w:r>
      <w:r>
        <w:rPr>
          <w:spacing w:val="-14"/>
        </w:rPr>
        <w:t xml:space="preserve"> </w:t>
      </w:r>
      <w:r>
        <w:t>because</w:t>
      </w:r>
      <w:r>
        <w:rPr>
          <w:spacing w:val="-13"/>
        </w:rPr>
        <w:t xml:space="preserve"> </w:t>
      </w:r>
      <w:r>
        <w:t>MOFCOM</w:t>
      </w:r>
      <w:r>
        <w:rPr>
          <w:spacing w:val="-14"/>
        </w:rPr>
        <w:t xml:space="preserve"> </w:t>
      </w:r>
      <w:r>
        <w:t>failed to provide all relevant facts and reasoning that were relevant to calculating the respondent companies'</w:t>
      </w:r>
      <w:r>
        <w:rPr>
          <w:spacing w:val="-5"/>
        </w:rPr>
        <w:t xml:space="preserve"> </w:t>
      </w:r>
      <w:r>
        <w:t>final</w:t>
      </w:r>
      <w:r>
        <w:rPr>
          <w:spacing w:val="-4"/>
        </w:rPr>
        <w:t xml:space="preserve"> </w:t>
      </w:r>
      <w:r>
        <w:t>dumping</w:t>
      </w:r>
      <w:r>
        <w:rPr>
          <w:spacing w:val="-4"/>
        </w:rPr>
        <w:t xml:space="preserve"> </w:t>
      </w:r>
      <w:r>
        <w:t>margins.</w:t>
      </w:r>
      <w:r>
        <w:rPr>
          <w:spacing w:val="-4"/>
        </w:rPr>
        <w:t xml:space="preserve"> </w:t>
      </w:r>
      <w:r>
        <w:t>As</w:t>
      </w:r>
      <w:r>
        <w:rPr>
          <w:spacing w:val="-6"/>
        </w:rPr>
        <w:t xml:space="preserve"> </w:t>
      </w:r>
      <w:r>
        <w:t>set</w:t>
      </w:r>
      <w:r>
        <w:rPr>
          <w:spacing w:val="-5"/>
        </w:rPr>
        <w:t xml:space="preserve"> </w:t>
      </w:r>
      <w:r>
        <w:t>out</w:t>
      </w:r>
      <w:r>
        <w:rPr>
          <w:spacing w:val="-5"/>
        </w:rPr>
        <w:t xml:space="preserve"> </w:t>
      </w:r>
      <w:r>
        <w:t>above,</w:t>
      </w:r>
      <w:r>
        <w:rPr>
          <w:spacing w:val="-5"/>
        </w:rPr>
        <w:t xml:space="preserve"> </w:t>
      </w:r>
      <w:r>
        <w:t>MOFCOM</w:t>
      </w:r>
      <w:r>
        <w:rPr>
          <w:spacing w:val="-4"/>
        </w:rPr>
        <w:t xml:space="preserve"> </w:t>
      </w:r>
      <w:r>
        <w:t>failed</w:t>
      </w:r>
      <w:r>
        <w:rPr>
          <w:spacing w:val="-5"/>
        </w:rPr>
        <w:t xml:space="preserve"> </w:t>
      </w:r>
      <w:r>
        <w:t>to</w:t>
      </w:r>
      <w:r>
        <w:rPr>
          <w:spacing w:val="-5"/>
        </w:rPr>
        <w:t xml:space="preserve"> </w:t>
      </w:r>
      <w:r>
        <w:t>properly</w:t>
      </w:r>
      <w:r>
        <w:rPr>
          <w:spacing w:val="-4"/>
        </w:rPr>
        <w:t xml:space="preserve"> </w:t>
      </w:r>
      <w:r>
        <w:t>disclose</w:t>
      </w:r>
      <w:r>
        <w:rPr>
          <w:spacing w:val="-3"/>
        </w:rPr>
        <w:t xml:space="preserve"> </w:t>
      </w:r>
      <w:r>
        <w:t>the methodology and formulae it used to determine normal value and ex</w:t>
      </w:r>
      <w:r>
        <w:t>port price for the three sampled companies.</w:t>
      </w:r>
      <w:r>
        <w:rPr>
          <w:vertAlign w:val="superscript"/>
        </w:rPr>
        <w:t>1269</w:t>
      </w:r>
    </w:p>
    <w:p w14:paraId="51DE9C94" w14:textId="77777777" w:rsidR="0010369C" w:rsidRDefault="008E43AE">
      <w:pPr>
        <w:pStyle w:val="BodyText"/>
        <w:spacing w:before="152" w:line="360" w:lineRule="auto"/>
        <w:ind w:left="237" w:firstLine="851"/>
      </w:pPr>
      <w:r>
        <w:rPr>
          <w:noProof/>
        </w:rPr>
        <w:drawing>
          <wp:anchor distT="0" distB="0" distL="0" distR="0" simplePos="0" relativeHeight="251673088" behindDoc="1" locked="0" layoutInCell="1" allowOverlap="1" wp14:anchorId="51DEA992" wp14:editId="51DEA993">
            <wp:simplePos x="0" y="0"/>
            <wp:positionH relativeFrom="page">
              <wp:posOffset>908303</wp:posOffset>
            </wp:positionH>
            <wp:positionV relativeFrom="paragraph">
              <wp:posOffset>151584</wp:posOffset>
            </wp:positionV>
            <wp:extent cx="332231" cy="106679"/>
            <wp:effectExtent l="0" t="0" r="0" b="0"/>
            <wp:wrapNone/>
            <wp:docPr id="2173" name="image1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4" name="image1114.png"/>
                    <pic:cNvPicPr/>
                  </pic:nvPicPr>
                  <pic:blipFill>
                    <a:blip r:embed="rId1421" cstate="print"/>
                    <a:stretch>
                      <a:fillRect/>
                    </a:stretch>
                  </pic:blipFill>
                  <pic:spPr>
                    <a:xfrm>
                      <a:off x="0" y="0"/>
                      <a:ext cx="332231" cy="106679"/>
                    </a:xfrm>
                    <a:prstGeom prst="rect">
                      <a:avLst/>
                    </a:prstGeom>
                  </pic:spPr>
                </pic:pic>
              </a:graphicData>
            </a:graphic>
          </wp:anchor>
        </w:drawing>
      </w:r>
      <w:r>
        <w:t>It</w:t>
      </w:r>
      <w:r>
        <w:rPr>
          <w:spacing w:val="-1"/>
        </w:rPr>
        <w:t xml:space="preserve"> </w:t>
      </w:r>
      <w:r>
        <w:t>appears</w:t>
      </w:r>
      <w:r>
        <w:rPr>
          <w:spacing w:val="-1"/>
        </w:rPr>
        <w:t xml:space="preserve"> </w:t>
      </w:r>
      <w:r>
        <w:t>that</w:t>
      </w:r>
      <w:r>
        <w:rPr>
          <w:spacing w:val="-1"/>
        </w:rPr>
        <w:t xml:space="preserve"> </w:t>
      </w:r>
      <w:r>
        <w:t>MOFCOM undertook</w:t>
      </w:r>
      <w:r>
        <w:rPr>
          <w:spacing w:val="-1"/>
        </w:rPr>
        <w:t xml:space="preserve"> </w:t>
      </w:r>
      <w:r>
        <w:t>a</w:t>
      </w:r>
      <w:r>
        <w:rPr>
          <w:spacing w:val="-1"/>
        </w:rPr>
        <w:t xml:space="preserve"> </w:t>
      </w:r>
      <w:r>
        <w:t>comparative</w:t>
      </w:r>
      <w:r>
        <w:rPr>
          <w:spacing w:val="-1"/>
        </w:rPr>
        <w:t xml:space="preserve"> </w:t>
      </w:r>
      <w:r>
        <w:t>analysis</w:t>
      </w:r>
      <w:r>
        <w:rPr>
          <w:spacing w:val="-1"/>
        </w:rPr>
        <w:t xml:space="preserve"> </w:t>
      </w:r>
      <w:r>
        <w:t>of</w:t>
      </w:r>
      <w:r>
        <w:rPr>
          <w:spacing w:val="-1"/>
        </w:rPr>
        <w:t xml:space="preserve"> </w:t>
      </w:r>
      <w:r>
        <w:t>prices</w:t>
      </w:r>
      <w:r>
        <w:rPr>
          <w:spacing w:val="-1"/>
        </w:rPr>
        <w:t xml:space="preserve"> </w:t>
      </w:r>
      <w:r>
        <w:t>but neither fully disclosed</w:t>
      </w:r>
      <w:r>
        <w:rPr>
          <w:spacing w:val="40"/>
        </w:rPr>
        <w:t xml:space="preserve"> </w:t>
      </w:r>
      <w:r>
        <w:t>its</w:t>
      </w:r>
      <w:r>
        <w:rPr>
          <w:spacing w:val="40"/>
        </w:rPr>
        <w:t xml:space="preserve"> </w:t>
      </w:r>
      <w:r>
        <w:t>methodology</w:t>
      </w:r>
      <w:r>
        <w:rPr>
          <w:spacing w:val="40"/>
        </w:rPr>
        <w:t xml:space="preserve"> </w:t>
      </w:r>
      <w:r>
        <w:t>nor</w:t>
      </w:r>
      <w:r>
        <w:rPr>
          <w:spacing w:val="40"/>
        </w:rPr>
        <w:t xml:space="preserve"> </w:t>
      </w:r>
      <w:r>
        <w:t>the</w:t>
      </w:r>
      <w:r>
        <w:rPr>
          <w:spacing w:val="40"/>
        </w:rPr>
        <w:t xml:space="preserve"> </w:t>
      </w:r>
      <w:r>
        <w:t>key</w:t>
      </w:r>
      <w:r>
        <w:rPr>
          <w:spacing w:val="40"/>
        </w:rPr>
        <w:t xml:space="preserve"> </w:t>
      </w:r>
      <w:r>
        <w:t>findings</w:t>
      </w:r>
      <w:r>
        <w:rPr>
          <w:spacing w:val="40"/>
        </w:rPr>
        <w:t xml:space="preserve"> </w:t>
      </w:r>
      <w:r>
        <w:t>that</w:t>
      </w:r>
      <w:r>
        <w:rPr>
          <w:spacing w:val="40"/>
        </w:rPr>
        <w:t xml:space="preserve"> </w:t>
      </w:r>
      <w:r>
        <w:t>underpinned</w:t>
      </w:r>
      <w:r>
        <w:rPr>
          <w:spacing w:val="40"/>
        </w:rPr>
        <w:t xml:space="preserve"> </w:t>
      </w:r>
      <w:r>
        <w:t>the</w:t>
      </w:r>
      <w:r>
        <w:rPr>
          <w:spacing w:val="40"/>
        </w:rPr>
        <w:t xml:space="preserve"> </w:t>
      </w:r>
      <w:r>
        <w:t>final</w:t>
      </w:r>
      <w:r>
        <w:rPr>
          <w:spacing w:val="40"/>
        </w:rPr>
        <w:t xml:space="preserve"> </w:t>
      </w:r>
      <w:r>
        <w:t>calculation</w:t>
      </w:r>
      <w:r>
        <w:rPr>
          <w:spacing w:val="40"/>
        </w:rPr>
        <w:t xml:space="preserve"> </w:t>
      </w:r>
      <w:r>
        <w:t>of dumping margins.</w:t>
      </w:r>
    </w:p>
    <w:p w14:paraId="51DE9C95" w14:textId="77777777" w:rsidR="0010369C" w:rsidRDefault="008E43AE">
      <w:pPr>
        <w:pStyle w:val="BodyText"/>
        <w:spacing w:before="150" w:line="360" w:lineRule="auto"/>
        <w:ind w:left="237" w:right="503" w:firstLine="856"/>
        <w:jc w:val="both"/>
      </w:pPr>
      <w:r>
        <w:rPr>
          <w:noProof/>
        </w:rPr>
        <w:drawing>
          <wp:anchor distT="0" distB="0" distL="0" distR="0" simplePos="0" relativeHeight="251674112" behindDoc="1" locked="0" layoutInCell="1" allowOverlap="1" wp14:anchorId="51DEA994" wp14:editId="51DEA995">
            <wp:simplePos x="0" y="0"/>
            <wp:positionH relativeFrom="page">
              <wp:posOffset>908303</wp:posOffset>
            </wp:positionH>
            <wp:positionV relativeFrom="paragraph">
              <wp:posOffset>156258</wp:posOffset>
            </wp:positionV>
            <wp:extent cx="332231" cy="106679"/>
            <wp:effectExtent l="0" t="0" r="0" b="0"/>
            <wp:wrapNone/>
            <wp:docPr id="2175" name="image1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6" name="image1115.png"/>
                    <pic:cNvPicPr/>
                  </pic:nvPicPr>
                  <pic:blipFill>
                    <a:blip r:embed="rId1422" cstate="print"/>
                    <a:stretch>
                      <a:fillRect/>
                    </a:stretch>
                  </pic:blipFill>
                  <pic:spPr>
                    <a:xfrm>
                      <a:off x="0" y="0"/>
                      <a:ext cx="332231" cy="106679"/>
                    </a:xfrm>
                    <a:prstGeom prst="rect">
                      <a:avLst/>
                    </a:prstGeom>
                  </pic:spPr>
                </pic:pic>
              </a:graphicData>
            </a:graphic>
          </wp:anchor>
        </w:drawing>
      </w:r>
      <w:r>
        <w:t>For all companie</w:t>
      </w:r>
      <w:r>
        <w:t>s, MOFCOM simply declared that "[b]ased on the calculation results, the Investigating Authority presented the finalised dumping margins for relevant Australian companies in Annex 1 of the Announcement".</w:t>
      </w:r>
      <w:r>
        <w:rPr>
          <w:spacing w:val="40"/>
        </w:rPr>
        <w:t xml:space="preserve"> </w:t>
      </w:r>
      <w:r>
        <w:t>MOFCOM did not provide sufficiently detailed explanat</w:t>
      </w:r>
      <w:r>
        <w:t>ions on how it conducted these calculations.</w:t>
      </w:r>
    </w:p>
    <w:p w14:paraId="51DE9C96" w14:textId="77777777" w:rsidR="0010369C" w:rsidRDefault="008E43AE">
      <w:pPr>
        <w:pStyle w:val="BodyText"/>
        <w:spacing w:before="151" w:line="360" w:lineRule="auto"/>
        <w:ind w:left="236" w:right="504" w:firstLine="856"/>
      </w:pPr>
      <w:r>
        <w:rPr>
          <w:noProof/>
        </w:rPr>
        <w:drawing>
          <wp:anchor distT="0" distB="0" distL="0" distR="0" simplePos="0" relativeHeight="251675136" behindDoc="1" locked="0" layoutInCell="1" allowOverlap="1" wp14:anchorId="51DEA996" wp14:editId="51DEA997">
            <wp:simplePos x="0" y="0"/>
            <wp:positionH relativeFrom="page">
              <wp:posOffset>910382</wp:posOffset>
            </wp:positionH>
            <wp:positionV relativeFrom="paragraph">
              <wp:posOffset>144548</wp:posOffset>
            </wp:positionV>
            <wp:extent cx="332232" cy="103631"/>
            <wp:effectExtent l="0" t="0" r="0" b="0"/>
            <wp:wrapNone/>
            <wp:docPr id="2177" name="image11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8" name="image1116.png"/>
                    <pic:cNvPicPr/>
                  </pic:nvPicPr>
                  <pic:blipFill>
                    <a:blip r:embed="rId1423" cstate="print"/>
                    <a:stretch>
                      <a:fillRect/>
                    </a:stretch>
                  </pic:blipFill>
                  <pic:spPr>
                    <a:xfrm>
                      <a:off x="0" y="0"/>
                      <a:ext cx="332232" cy="103631"/>
                    </a:xfrm>
                    <a:prstGeom prst="rect">
                      <a:avLst/>
                    </a:prstGeom>
                  </pic:spPr>
                </pic:pic>
              </a:graphicData>
            </a:graphic>
          </wp:anchor>
        </w:drawing>
      </w:r>
      <w:r>
        <w:t>For the other named Australian exporters, MOFCOM calculated the dumping margin by "compar[ing] the weighted average normal value with the weighted average export price", but failed to elaborate on the methodolo</w:t>
      </w:r>
      <w:r>
        <w:t>gy used to determine the "weighted average".</w:t>
      </w:r>
      <w:r>
        <w:rPr>
          <w:vertAlign w:val="superscript"/>
        </w:rPr>
        <w:t>1271</w:t>
      </w:r>
      <w:r>
        <w:t xml:space="preserve"> In particular,</w:t>
      </w:r>
      <w:r>
        <w:rPr>
          <w:spacing w:val="40"/>
        </w:rPr>
        <w:t xml:space="preserve"> </w:t>
      </w:r>
      <w:r>
        <w:t>MOFCOM</w:t>
      </w:r>
      <w:r>
        <w:rPr>
          <w:spacing w:val="40"/>
        </w:rPr>
        <w:t xml:space="preserve"> </w:t>
      </w:r>
      <w:r>
        <w:t>failed</w:t>
      </w:r>
      <w:r>
        <w:rPr>
          <w:spacing w:val="40"/>
        </w:rPr>
        <w:t xml:space="preserve"> </w:t>
      </w:r>
      <w:r>
        <w:t>to</w:t>
      </w:r>
      <w:r>
        <w:rPr>
          <w:spacing w:val="40"/>
        </w:rPr>
        <w:t xml:space="preserve"> </w:t>
      </w:r>
      <w:r>
        <w:t>disclose</w:t>
      </w:r>
      <w:r>
        <w:rPr>
          <w:spacing w:val="40"/>
        </w:rPr>
        <w:t xml:space="preserve"> </w:t>
      </w:r>
      <w:r>
        <w:t>the</w:t>
      </w:r>
      <w:r>
        <w:rPr>
          <w:spacing w:val="40"/>
        </w:rPr>
        <w:t xml:space="preserve"> </w:t>
      </w:r>
      <w:r>
        <w:t>basis</w:t>
      </w:r>
      <w:r>
        <w:rPr>
          <w:spacing w:val="40"/>
        </w:rPr>
        <w:t xml:space="preserve"> </w:t>
      </w:r>
      <w:r>
        <w:t>of</w:t>
      </w:r>
      <w:r>
        <w:rPr>
          <w:spacing w:val="40"/>
        </w:rPr>
        <w:t xml:space="preserve"> </w:t>
      </w:r>
      <w:r>
        <w:t>the</w:t>
      </w:r>
      <w:r>
        <w:rPr>
          <w:spacing w:val="40"/>
        </w:rPr>
        <w:t xml:space="preserve"> </w:t>
      </w:r>
      <w:r>
        <w:t>"weights"</w:t>
      </w:r>
      <w:r>
        <w:rPr>
          <w:spacing w:val="40"/>
        </w:rPr>
        <w:t xml:space="preserve"> </w:t>
      </w:r>
      <w:r>
        <w:t>that</w:t>
      </w:r>
      <w:r>
        <w:rPr>
          <w:spacing w:val="40"/>
        </w:rPr>
        <w:t xml:space="preserve"> </w:t>
      </w:r>
      <w:r>
        <w:t>were</w:t>
      </w:r>
      <w:r>
        <w:rPr>
          <w:spacing w:val="40"/>
        </w:rPr>
        <w:t xml:space="preserve"> </w:t>
      </w:r>
      <w:r>
        <w:t>employed</w:t>
      </w:r>
      <w:r>
        <w:rPr>
          <w:spacing w:val="40"/>
        </w:rPr>
        <w:t xml:space="preserve"> </w:t>
      </w:r>
      <w:r>
        <w:t>– whether volume of imports, volume of sales, prices or some other variable – or precisely how averages were taken – whether across sampled companies, products or both.</w:t>
      </w:r>
    </w:p>
    <w:p w14:paraId="51DE9C97" w14:textId="77777777" w:rsidR="0010369C" w:rsidRDefault="008E43AE">
      <w:pPr>
        <w:pStyle w:val="BodyText"/>
        <w:tabs>
          <w:tab w:val="left" w:pos="1522"/>
          <w:tab w:val="left" w:pos="1972"/>
          <w:tab w:val="left" w:pos="2547"/>
          <w:tab w:val="left" w:pos="3141"/>
          <w:tab w:val="left" w:pos="4149"/>
          <w:tab w:val="left" w:pos="4840"/>
          <w:tab w:val="left" w:pos="5488"/>
          <w:tab w:val="left" w:pos="5938"/>
          <w:tab w:val="left" w:pos="6969"/>
          <w:tab w:val="left" w:pos="8183"/>
          <w:tab w:val="left" w:pos="8901"/>
        </w:tabs>
        <w:spacing w:before="151" w:line="360" w:lineRule="auto"/>
        <w:ind w:left="237" w:right="504" w:firstLine="854"/>
      </w:pPr>
      <w:r>
        <w:rPr>
          <w:noProof/>
        </w:rPr>
        <w:drawing>
          <wp:anchor distT="0" distB="0" distL="0" distR="0" simplePos="0" relativeHeight="251676160" behindDoc="1" locked="0" layoutInCell="1" allowOverlap="1" wp14:anchorId="51DEA998" wp14:editId="51DEA999">
            <wp:simplePos x="0" y="0"/>
            <wp:positionH relativeFrom="page">
              <wp:posOffset>908304</wp:posOffset>
            </wp:positionH>
            <wp:positionV relativeFrom="paragraph">
              <wp:posOffset>146566</wp:posOffset>
            </wp:positionV>
            <wp:extent cx="332232" cy="100753"/>
            <wp:effectExtent l="0" t="0" r="0" b="0"/>
            <wp:wrapNone/>
            <wp:docPr id="2179" name="image1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0" name="image1117.png"/>
                    <pic:cNvPicPr/>
                  </pic:nvPicPr>
                  <pic:blipFill>
                    <a:blip r:embed="rId1424" cstate="print"/>
                    <a:stretch>
                      <a:fillRect/>
                    </a:stretch>
                  </pic:blipFill>
                  <pic:spPr>
                    <a:xfrm>
                      <a:off x="0" y="0"/>
                      <a:ext cx="332232" cy="100753"/>
                    </a:xfrm>
                    <a:prstGeom prst="rect">
                      <a:avLst/>
                    </a:prstGeom>
                  </pic:spPr>
                </pic:pic>
              </a:graphicData>
            </a:graphic>
          </wp:anchor>
        </w:drawing>
      </w:r>
      <w:r>
        <w:t>MOFCOM</w:t>
      </w:r>
      <w:r>
        <w:rPr>
          <w:spacing w:val="77"/>
        </w:rPr>
        <w:t xml:space="preserve"> </w:t>
      </w:r>
      <w:r>
        <w:t>also</w:t>
      </w:r>
      <w:r>
        <w:rPr>
          <w:spacing w:val="77"/>
        </w:rPr>
        <w:t xml:space="preserve"> </w:t>
      </w:r>
      <w:r>
        <w:t>failed</w:t>
      </w:r>
      <w:r>
        <w:rPr>
          <w:spacing w:val="78"/>
        </w:rPr>
        <w:t xml:space="preserve"> </w:t>
      </w:r>
      <w:r>
        <w:t>to</w:t>
      </w:r>
      <w:r>
        <w:rPr>
          <w:spacing w:val="76"/>
        </w:rPr>
        <w:t xml:space="preserve"> </w:t>
      </w:r>
      <w:r>
        <w:t>disclose</w:t>
      </w:r>
      <w:r>
        <w:rPr>
          <w:spacing w:val="77"/>
        </w:rPr>
        <w:t xml:space="preserve"> </w:t>
      </w:r>
      <w:r>
        <w:t>the</w:t>
      </w:r>
      <w:r>
        <w:rPr>
          <w:spacing w:val="77"/>
        </w:rPr>
        <w:t xml:space="preserve"> </w:t>
      </w:r>
      <w:r>
        <w:t>methodology</w:t>
      </w:r>
      <w:r>
        <w:rPr>
          <w:spacing w:val="77"/>
        </w:rPr>
        <w:t xml:space="preserve"> </w:t>
      </w:r>
      <w:r>
        <w:t>or</w:t>
      </w:r>
      <w:r>
        <w:rPr>
          <w:spacing w:val="78"/>
        </w:rPr>
        <w:t xml:space="preserve"> </w:t>
      </w:r>
      <w:r>
        <w:t>reasons</w:t>
      </w:r>
      <w:r>
        <w:rPr>
          <w:spacing w:val="77"/>
        </w:rPr>
        <w:t xml:space="preserve"> </w:t>
      </w:r>
      <w:r>
        <w:t>that</w:t>
      </w:r>
      <w:r>
        <w:rPr>
          <w:spacing w:val="76"/>
        </w:rPr>
        <w:t xml:space="preserve"> </w:t>
      </w:r>
      <w:r>
        <w:t>led</w:t>
      </w:r>
      <w:r>
        <w:rPr>
          <w:spacing w:val="78"/>
        </w:rPr>
        <w:t xml:space="preserve"> </w:t>
      </w:r>
      <w:r>
        <w:t>to</w:t>
      </w:r>
      <w:r>
        <w:rPr>
          <w:spacing w:val="77"/>
        </w:rPr>
        <w:t xml:space="preserve"> </w:t>
      </w:r>
      <w:r>
        <w:t xml:space="preserve">the </w:t>
      </w:r>
      <w:r>
        <w:rPr>
          <w:spacing w:val="-2"/>
        </w:rPr>
        <w:t>imposition</w:t>
      </w:r>
      <w:r>
        <w:tab/>
      </w:r>
      <w:r>
        <w:rPr>
          <w:spacing w:val="-6"/>
        </w:rPr>
        <w:t>o</w:t>
      </w:r>
      <w:r>
        <w:rPr>
          <w:spacing w:val="-6"/>
        </w:rPr>
        <w:t>f</w:t>
      </w:r>
      <w:r>
        <w:tab/>
      </w:r>
      <w:r>
        <w:rPr>
          <w:spacing w:val="-4"/>
        </w:rPr>
        <w:t>the</w:t>
      </w:r>
      <w:r>
        <w:tab/>
      </w:r>
      <w:r>
        <w:rPr>
          <w:spacing w:val="-4"/>
        </w:rPr>
        <w:t>"All</w:t>
      </w:r>
      <w:r>
        <w:tab/>
      </w:r>
      <w:r>
        <w:rPr>
          <w:spacing w:val="-2"/>
        </w:rPr>
        <w:t>Others"</w:t>
      </w:r>
      <w:r>
        <w:tab/>
      </w:r>
      <w:r>
        <w:rPr>
          <w:spacing w:val="-4"/>
        </w:rPr>
        <w:t>duty</w:t>
      </w:r>
      <w:r>
        <w:tab/>
      </w:r>
      <w:r>
        <w:rPr>
          <w:spacing w:val="-4"/>
        </w:rPr>
        <w:t>rate</w:t>
      </w:r>
      <w:r>
        <w:tab/>
      </w:r>
      <w:r>
        <w:rPr>
          <w:spacing w:val="-6"/>
        </w:rPr>
        <w:t>of</w:t>
      </w:r>
      <w:r>
        <w:tab/>
      </w:r>
      <w:r>
        <w:rPr>
          <w:spacing w:val="-2"/>
        </w:rPr>
        <w:t>218.4%.</w:t>
      </w:r>
      <w:r>
        <w:tab/>
      </w:r>
      <w:r>
        <w:rPr>
          <w:spacing w:val="-2"/>
        </w:rPr>
        <w:t>MOFCOM</w:t>
      </w:r>
      <w:r>
        <w:tab/>
      </w:r>
      <w:r>
        <w:rPr>
          <w:spacing w:val="-4"/>
        </w:rPr>
        <w:t>used</w:t>
      </w:r>
      <w:r>
        <w:tab/>
      </w:r>
      <w:r>
        <w:rPr>
          <w:spacing w:val="-2"/>
        </w:rPr>
        <w:t xml:space="preserve">"best </w:t>
      </w:r>
      <w:r>
        <w:t>information available"</w:t>
      </w:r>
      <w:r>
        <w:rPr>
          <w:spacing w:val="40"/>
        </w:rPr>
        <w:t xml:space="preserve"> </w:t>
      </w:r>
      <w:r>
        <w:t>to</w:t>
      </w:r>
      <w:r>
        <w:rPr>
          <w:spacing w:val="40"/>
        </w:rPr>
        <w:t xml:space="preserve"> </w:t>
      </w:r>
      <w:r>
        <w:t>calculate</w:t>
      </w:r>
      <w:r>
        <w:rPr>
          <w:spacing w:val="40"/>
        </w:rPr>
        <w:t xml:space="preserve"> </w:t>
      </w:r>
      <w:r>
        <w:t>this</w:t>
      </w:r>
      <w:r>
        <w:rPr>
          <w:spacing w:val="40"/>
        </w:rPr>
        <w:t xml:space="preserve"> </w:t>
      </w:r>
      <w:r>
        <w:t>rate</w:t>
      </w:r>
      <w:r>
        <w:rPr>
          <w:spacing w:val="40"/>
        </w:rPr>
        <w:t xml:space="preserve"> </w:t>
      </w:r>
      <w:r>
        <w:t>because</w:t>
      </w:r>
      <w:r>
        <w:rPr>
          <w:spacing w:val="40"/>
        </w:rPr>
        <w:t xml:space="preserve"> </w:t>
      </w:r>
      <w:r>
        <w:t>it</w:t>
      </w:r>
      <w:r>
        <w:rPr>
          <w:spacing w:val="40"/>
        </w:rPr>
        <w:t xml:space="preserve"> </w:t>
      </w:r>
      <w:r>
        <w:t>considered</w:t>
      </w:r>
      <w:r>
        <w:rPr>
          <w:spacing w:val="40"/>
        </w:rPr>
        <w:t xml:space="preserve"> </w:t>
      </w:r>
      <w:r>
        <w:t>there</w:t>
      </w:r>
      <w:r>
        <w:rPr>
          <w:spacing w:val="40"/>
        </w:rPr>
        <w:t xml:space="preserve"> </w:t>
      </w:r>
      <w:r>
        <w:t>was</w:t>
      </w:r>
      <w:r>
        <w:rPr>
          <w:spacing w:val="40"/>
        </w:rPr>
        <w:t xml:space="preserve"> </w:t>
      </w:r>
      <w:r>
        <w:t>a</w:t>
      </w:r>
      <w:r>
        <w:rPr>
          <w:spacing w:val="40"/>
        </w:rPr>
        <w:t xml:space="preserve"> </w:t>
      </w:r>
      <w:r>
        <w:t>"big</w:t>
      </w:r>
      <w:r>
        <w:rPr>
          <w:spacing w:val="40"/>
        </w:rPr>
        <w:t xml:space="preserve"> </w:t>
      </w:r>
      <w:r>
        <w:t>gap" between</w:t>
      </w:r>
      <w:r>
        <w:rPr>
          <w:spacing w:val="40"/>
        </w:rPr>
        <w:t xml:space="preserve"> </w:t>
      </w:r>
      <w:r>
        <w:t>the</w:t>
      </w:r>
      <w:r>
        <w:rPr>
          <w:spacing w:val="80"/>
        </w:rPr>
        <w:t xml:space="preserve"> </w:t>
      </w:r>
      <w:r>
        <w:t>"export</w:t>
      </w:r>
      <w:r>
        <w:rPr>
          <w:spacing w:val="40"/>
        </w:rPr>
        <w:t xml:space="preserve"> </w:t>
      </w:r>
      <w:r>
        <w:t>data</w:t>
      </w:r>
      <w:r>
        <w:rPr>
          <w:spacing w:val="40"/>
        </w:rPr>
        <w:t xml:space="preserve"> </w:t>
      </w:r>
      <w:r>
        <w:t>to</w:t>
      </w:r>
      <w:r>
        <w:rPr>
          <w:spacing w:val="40"/>
        </w:rPr>
        <w:t xml:space="preserve"> </w:t>
      </w:r>
      <w:r>
        <w:t>China</w:t>
      </w:r>
      <w:r>
        <w:rPr>
          <w:spacing w:val="68"/>
        </w:rPr>
        <w:t xml:space="preserve"> </w:t>
      </w:r>
      <w:r>
        <w:t>of</w:t>
      </w:r>
      <w:r>
        <w:rPr>
          <w:spacing w:val="68"/>
        </w:rPr>
        <w:t xml:space="preserve"> </w:t>
      </w:r>
      <w:r>
        <w:t>companies</w:t>
      </w:r>
      <w:r>
        <w:rPr>
          <w:spacing w:val="40"/>
        </w:rPr>
        <w:t xml:space="preserve"> </w:t>
      </w:r>
      <w:r>
        <w:t>that</w:t>
      </w:r>
      <w:r>
        <w:rPr>
          <w:spacing w:val="40"/>
        </w:rPr>
        <w:t xml:space="preserve"> </w:t>
      </w:r>
      <w:r>
        <w:t>registered</w:t>
      </w:r>
      <w:r>
        <w:rPr>
          <w:spacing w:val="40"/>
        </w:rPr>
        <w:t xml:space="preserve"> </w:t>
      </w:r>
      <w:r>
        <w:t>to</w:t>
      </w:r>
      <w:r>
        <w:rPr>
          <w:spacing w:val="68"/>
        </w:rPr>
        <w:t xml:space="preserve"> </w:t>
      </w:r>
      <w:r>
        <w:t>participate</w:t>
      </w:r>
      <w:r>
        <w:rPr>
          <w:spacing w:val="68"/>
        </w:rPr>
        <w:t xml:space="preserve"> </w:t>
      </w:r>
      <w:r>
        <w:t>in</w:t>
      </w:r>
      <w:r>
        <w:rPr>
          <w:spacing w:val="68"/>
        </w:rPr>
        <w:t xml:space="preserve"> </w:t>
      </w:r>
      <w:r>
        <w:t>the investigation</w:t>
      </w:r>
      <w:r>
        <w:rPr>
          <w:spacing w:val="80"/>
        </w:rPr>
        <w:t xml:space="preserve"> </w:t>
      </w:r>
      <w:r>
        <w:t>and</w:t>
      </w:r>
      <w:r>
        <w:rPr>
          <w:spacing w:val="40"/>
        </w:rPr>
        <w:t xml:space="preserve"> </w:t>
      </w:r>
      <w:r>
        <w:t>export</w:t>
      </w:r>
      <w:r>
        <w:rPr>
          <w:spacing w:val="40"/>
        </w:rPr>
        <w:t xml:space="preserve"> </w:t>
      </w:r>
      <w:r>
        <w:t>data</w:t>
      </w:r>
      <w:r>
        <w:rPr>
          <w:spacing w:val="40"/>
        </w:rPr>
        <w:t xml:space="preserve"> </w:t>
      </w:r>
      <w:r>
        <w:t>to</w:t>
      </w:r>
      <w:r>
        <w:rPr>
          <w:spacing w:val="40"/>
        </w:rPr>
        <w:t xml:space="preserve"> </w:t>
      </w:r>
      <w:r>
        <w:t>China</w:t>
      </w:r>
      <w:r>
        <w:rPr>
          <w:spacing w:val="40"/>
        </w:rPr>
        <w:t xml:space="preserve"> </w:t>
      </w:r>
      <w:r>
        <w:t>of</w:t>
      </w:r>
      <w:r>
        <w:rPr>
          <w:spacing w:val="40"/>
        </w:rPr>
        <w:t xml:space="preserve"> </w:t>
      </w:r>
      <w:r>
        <w:t>companies</w:t>
      </w:r>
      <w:r>
        <w:rPr>
          <w:spacing w:val="40"/>
        </w:rPr>
        <w:t xml:space="preserve"> </w:t>
      </w:r>
      <w:r>
        <w:t>that</w:t>
      </w:r>
      <w:r>
        <w:rPr>
          <w:spacing w:val="40"/>
        </w:rPr>
        <w:t xml:space="preserve"> </w:t>
      </w:r>
      <w:r>
        <w:t>filled</w:t>
      </w:r>
      <w:r>
        <w:rPr>
          <w:spacing w:val="40"/>
        </w:rPr>
        <w:t xml:space="preserve"> </w:t>
      </w:r>
      <w:r>
        <w:t>in</w:t>
      </w:r>
      <w:r>
        <w:rPr>
          <w:spacing w:val="40"/>
        </w:rPr>
        <w:t xml:space="preserve"> </w:t>
      </w:r>
      <w:r>
        <w:t>the</w:t>
      </w:r>
      <w:r>
        <w:rPr>
          <w:spacing w:val="40"/>
        </w:rPr>
        <w:t xml:space="preserve"> </w:t>
      </w:r>
      <w:r>
        <w:t>dumping</w:t>
      </w:r>
      <w:r>
        <w:rPr>
          <w:spacing w:val="40"/>
        </w:rPr>
        <w:t xml:space="preserve"> </w:t>
      </w:r>
      <w:r>
        <w:t>sampling questionnaire with the China Customs statistical data".</w:t>
      </w:r>
      <w:r>
        <w:rPr>
          <w:vertAlign w:val="superscript"/>
        </w:rPr>
        <w:t>1272</w:t>
      </w:r>
    </w:p>
    <w:p w14:paraId="51DE9C98" w14:textId="77777777" w:rsidR="0010369C" w:rsidRDefault="0010369C">
      <w:pPr>
        <w:pStyle w:val="BodyText"/>
        <w:rPr>
          <w:sz w:val="20"/>
        </w:rPr>
      </w:pPr>
    </w:p>
    <w:p w14:paraId="51DE9C99" w14:textId="77777777" w:rsidR="0010369C" w:rsidRDefault="0010369C">
      <w:pPr>
        <w:pStyle w:val="BodyText"/>
        <w:rPr>
          <w:sz w:val="20"/>
        </w:rPr>
      </w:pPr>
    </w:p>
    <w:p w14:paraId="51DE9C9A" w14:textId="77777777" w:rsidR="0010369C" w:rsidRDefault="008E43AE">
      <w:pPr>
        <w:pStyle w:val="BodyText"/>
        <w:spacing w:before="1"/>
        <w:rPr>
          <w:sz w:val="25"/>
        </w:rPr>
      </w:pPr>
      <w:r>
        <w:pict w14:anchorId="51DEA99A">
          <v:rect id="docshape1491" o:spid="_x0000_s1033" style="position:absolute;margin-left:70.9pt;margin-top:16.55pt;width:2in;height:.8pt;z-index:-250652160;mso-wrap-distance-left:0;mso-wrap-distance-right:0;mso-position-horizontal-relative:page" fillcolor="black" stroked="f">
            <w10:wrap type="topAndBottom" anchorx="page"/>
          </v:rect>
        </w:pict>
      </w:r>
    </w:p>
    <w:p w14:paraId="51DE9C9B" w14:textId="77777777" w:rsidR="0010369C" w:rsidRDefault="008E43AE">
      <w:pPr>
        <w:spacing w:before="110"/>
        <w:ind w:left="238"/>
        <w:jc w:val="both"/>
        <w:rPr>
          <w:sz w:val="18"/>
        </w:rPr>
      </w:pPr>
      <w:r>
        <w:rPr>
          <w:sz w:val="18"/>
          <w:vertAlign w:val="superscript"/>
        </w:rPr>
        <w:t>1269</w:t>
      </w:r>
      <w:r>
        <w:rPr>
          <w:spacing w:val="-5"/>
          <w:sz w:val="18"/>
        </w:rPr>
        <w:t xml:space="preserve"> </w:t>
      </w:r>
      <w:r>
        <w:rPr>
          <w:sz w:val="18"/>
        </w:rPr>
        <w:t>See</w:t>
      </w:r>
      <w:r>
        <w:rPr>
          <w:spacing w:val="-5"/>
          <w:sz w:val="18"/>
        </w:rPr>
        <w:t xml:space="preserve"> </w:t>
      </w:r>
      <w:r>
        <w:rPr>
          <w:sz w:val="18"/>
        </w:rPr>
        <w:t>above,</w:t>
      </w:r>
      <w:r>
        <w:rPr>
          <w:spacing w:val="-5"/>
          <w:sz w:val="18"/>
        </w:rPr>
        <w:t xml:space="preserve"> </w:t>
      </w:r>
      <w:r>
        <w:rPr>
          <w:sz w:val="18"/>
        </w:rPr>
        <w:t>sections</w:t>
      </w:r>
      <w:r>
        <w:rPr>
          <w:spacing w:val="-5"/>
          <w:sz w:val="18"/>
        </w:rPr>
        <w:t xml:space="preserve"> </w:t>
      </w:r>
      <w:r>
        <w:rPr>
          <w:sz w:val="18"/>
        </w:rPr>
        <w:t>II.E,</w:t>
      </w:r>
      <w:r>
        <w:rPr>
          <w:spacing w:val="-6"/>
          <w:sz w:val="18"/>
        </w:rPr>
        <w:t xml:space="preserve"> </w:t>
      </w:r>
      <w:r>
        <w:rPr>
          <w:sz w:val="18"/>
        </w:rPr>
        <w:t>II.F,</w:t>
      </w:r>
      <w:r>
        <w:rPr>
          <w:spacing w:val="-5"/>
          <w:sz w:val="18"/>
        </w:rPr>
        <w:t xml:space="preserve"> </w:t>
      </w:r>
      <w:r>
        <w:rPr>
          <w:sz w:val="18"/>
        </w:rPr>
        <w:t>and</w:t>
      </w:r>
      <w:r>
        <w:rPr>
          <w:spacing w:val="-6"/>
          <w:sz w:val="18"/>
        </w:rPr>
        <w:t xml:space="preserve"> </w:t>
      </w:r>
      <w:r>
        <w:rPr>
          <w:spacing w:val="-2"/>
          <w:sz w:val="18"/>
        </w:rPr>
        <w:t>II.G.</w:t>
      </w:r>
    </w:p>
    <w:p w14:paraId="51DE9C9C" w14:textId="77777777" w:rsidR="0010369C" w:rsidRDefault="008E43AE">
      <w:pPr>
        <w:ind w:left="238" w:right="5157"/>
        <w:jc w:val="both"/>
        <w:rPr>
          <w:sz w:val="18"/>
        </w:rPr>
      </w:pPr>
      <w:r>
        <w:rPr>
          <w:sz w:val="18"/>
          <w:vertAlign w:val="superscript"/>
        </w:rPr>
        <w:t>1270</w:t>
      </w:r>
      <w:r>
        <w:rPr>
          <w:spacing w:val="-5"/>
          <w:sz w:val="18"/>
        </w:rPr>
        <w:t xml:space="preserve"> </w:t>
      </w:r>
      <w:r>
        <w:rPr>
          <w:sz w:val="18"/>
        </w:rPr>
        <w:t>Anti‐Dumping</w:t>
      </w:r>
      <w:r>
        <w:rPr>
          <w:spacing w:val="-5"/>
          <w:sz w:val="18"/>
        </w:rPr>
        <w:t xml:space="preserve"> </w:t>
      </w:r>
      <w:r>
        <w:rPr>
          <w:sz w:val="18"/>
        </w:rPr>
        <w:t>Final</w:t>
      </w:r>
      <w:r>
        <w:rPr>
          <w:spacing w:val="-5"/>
          <w:sz w:val="18"/>
        </w:rPr>
        <w:t xml:space="preserve"> </w:t>
      </w:r>
      <w:r>
        <w:rPr>
          <w:sz w:val="18"/>
        </w:rPr>
        <w:t>Determination</w:t>
      </w:r>
      <w:r>
        <w:rPr>
          <w:spacing w:val="-4"/>
          <w:sz w:val="18"/>
        </w:rPr>
        <w:t xml:space="preserve"> </w:t>
      </w:r>
      <w:r>
        <w:rPr>
          <w:sz w:val="18"/>
        </w:rPr>
        <w:t>(Exhibit</w:t>
      </w:r>
      <w:r>
        <w:rPr>
          <w:spacing w:val="-5"/>
          <w:sz w:val="18"/>
        </w:rPr>
        <w:t xml:space="preserve"> </w:t>
      </w:r>
      <w:r>
        <w:rPr>
          <w:sz w:val="18"/>
        </w:rPr>
        <w:t>AUS‐2),</w:t>
      </w:r>
      <w:r>
        <w:rPr>
          <w:spacing w:val="-6"/>
          <w:sz w:val="18"/>
        </w:rPr>
        <w:t xml:space="preserve"> </w:t>
      </w:r>
      <w:r>
        <w:rPr>
          <w:sz w:val="18"/>
        </w:rPr>
        <w:t>p.</w:t>
      </w:r>
      <w:r>
        <w:rPr>
          <w:spacing w:val="-5"/>
          <w:sz w:val="18"/>
        </w:rPr>
        <w:t xml:space="preserve"> </w:t>
      </w:r>
      <w:r>
        <w:rPr>
          <w:sz w:val="18"/>
        </w:rPr>
        <w:t xml:space="preserve">100. </w:t>
      </w:r>
      <w:r>
        <w:rPr>
          <w:sz w:val="18"/>
          <w:vertAlign w:val="superscript"/>
        </w:rPr>
        <w:t>1271</w:t>
      </w:r>
      <w:r>
        <w:rPr>
          <w:spacing w:val="-5"/>
          <w:sz w:val="18"/>
        </w:rPr>
        <w:t xml:space="preserve"> </w:t>
      </w:r>
      <w:r>
        <w:rPr>
          <w:sz w:val="18"/>
        </w:rPr>
        <w:t>Anti‐Dumping</w:t>
      </w:r>
      <w:r>
        <w:rPr>
          <w:spacing w:val="-5"/>
          <w:sz w:val="18"/>
        </w:rPr>
        <w:t xml:space="preserve"> </w:t>
      </w:r>
      <w:r>
        <w:rPr>
          <w:sz w:val="18"/>
        </w:rPr>
        <w:t>Final</w:t>
      </w:r>
      <w:r>
        <w:rPr>
          <w:spacing w:val="-5"/>
          <w:sz w:val="18"/>
        </w:rPr>
        <w:t xml:space="preserve"> </w:t>
      </w:r>
      <w:r>
        <w:rPr>
          <w:sz w:val="18"/>
        </w:rPr>
        <w:t>Determination</w:t>
      </w:r>
      <w:r>
        <w:rPr>
          <w:spacing w:val="-4"/>
          <w:sz w:val="18"/>
        </w:rPr>
        <w:t xml:space="preserve"> </w:t>
      </w:r>
      <w:r>
        <w:rPr>
          <w:sz w:val="18"/>
        </w:rPr>
        <w:t>(Exhibit</w:t>
      </w:r>
      <w:r>
        <w:rPr>
          <w:spacing w:val="-5"/>
          <w:sz w:val="18"/>
        </w:rPr>
        <w:t xml:space="preserve"> </w:t>
      </w:r>
      <w:r>
        <w:rPr>
          <w:sz w:val="18"/>
        </w:rPr>
        <w:t>AUS‐2),</w:t>
      </w:r>
      <w:r>
        <w:rPr>
          <w:spacing w:val="-6"/>
          <w:sz w:val="18"/>
        </w:rPr>
        <w:t xml:space="preserve"> </w:t>
      </w:r>
      <w:r>
        <w:rPr>
          <w:sz w:val="18"/>
        </w:rPr>
        <w:t>p.</w:t>
      </w:r>
      <w:r>
        <w:rPr>
          <w:spacing w:val="-5"/>
          <w:sz w:val="18"/>
        </w:rPr>
        <w:t xml:space="preserve"> </w:t>
      </w:r>
      <w:r>
        <w:rPr>
          <w:sz w:val="18"/>
        </w:rPr>
        <w:t xml:space="preserve">100. </w:t>
      </w:r>
      <w:r>
        <w:rPr>
          <w:sz w:val="18"/>
          <w:vertAlign w:val="superscript"/>
        </w:rPr>
        <w:t>1272</w:t>
      </w:r>
      <w:r>
        <w:rPr>
          <w:sz w:val="18"/>
        </w:rPr>
        <w:t xml:space="preserve"> Anti‐Dumping Final Determination (Exhibit AUS‐2), p. 98.</w:t>
      </w:r>
    </w:p>
    <w:p w14:paraId="51DE9C9D" w14:textId="77777777" w:rsidR="0010369C" w:rsidRDefault="0010369C">
      <w:pPr>
        <w:jc w:val="both"/>
        <w:rPr>
          <w:sz w:val="18"/>
        </w:rPr>
        <w:sectPr w:rsidR="0010369C">
          <w:pgSz w:w="11910" w:h="16840"/>
          <w:pgMar w:top="880" w:right="800" w:bottom="980" w:left="1180" w:header="569" w:footer="788" w:gutter="0"/>
          <w:cols w:space="720"/>
        </w:sectPr>
      </w:pPr>
    </w:p>
    <w:p w14:paraId="51DE9C9E" w14:textId="77777777" w:rsidR="0010369C" w:rsidRDefault="0010369C">
      <w:pPr>
        <w:pStyle w:val="BodyText"/>
        <w:spacing w:before="2"/>
        <w:rPr>
          <w:sz w:val="15"/>
        </w:rPr>
      </w:pPr>
    </w:p>
    <w:p w14:paraId="51DE9C9F" w14:textId="77777777" w:rsidR="0010369C" w:rsidRDefault="008E43AE">
      <w:pPr>
        <w:tabs>
          <w:tab w:val="left" w:pos="8228"/>
        </w:tabs>
        <w:spacing w:before="60"/>
        <w:ind w:left="239"/>
        <w:rPr>
          <w:sz w:val="20"/>
        </w:rPr>
      </w:pPr>
      <w:r>
        <w:rPr>
          <w:i/>
          <w:sz w:val="20"/>
        </w:rPr>
        <w:t>on</w:t>
      </w:r>
      <w:r>
        <w:rPr>
          <w:i/>
          <w:spacing w:val="-1"/>
          <w:sz w:val="20"/>
        </w:rPr>
        <w:t xml:space="preserve"> </w:t>
      </w:r>
      <w:r>
        <w:rPr>
          <w:i/>
          <w:sz w:val="20"/>
        </w:rPr>
        <w:t>Wine</w:t>
      </w:r>
      <w:r>
        <w:rPr>
          <w:i/>
          <w:spacing w:val="-1"/>
          <w:sz w:val="20"/>
        </w:rPr>
        <w:t xml:space="preserve"> </w:t>
      </w:r>
      <w:r>
        <w:rPr>
          <w:i/>
          <w:sz w:val="20"/>
        </w:rPr>
        <w:t>from</w:t>
      </w:r>
      <w:r>
        <w:rPr>
          <w:i/>
          <w:spacing w:val="-3"/>
          <w:sz w:val="20"/>
        </w:rPr>
        <w:t xml:space="preserve"> </w:t>
      </w:r>
      <w:r>
        <w:rPr>
          <w:i/>
          <w:sz w:val="20"/>
        </w:rPr>
        <w:t>Australia</w:t>
      </w:r>
      <w:r>
        <w:rPr>
          <w:i/>
          <w:spacing w:val="-1"/>
          <w:sz w:val="20"/>
        </w:rPr>
        <w:t xml:space="preserve"> </w:t>
      </w:r>
      <w:r>
        <w:rPr>
          <w:spacing w:val="-2"/>
          <w:sz w:val="20"/>
        </w:rPr>
        <w:t>(DS602)</w:t>
      </w:r>
      <w:r>
        <w:rPr>
          <w:sz w:val="20"/>
        </w:rPr>
        <w:tab/>
        <w:t>29</w:t>
      </w:r>
      <w:r>
        <w:rPr>
          <w:spacing w:val="-1"/>
          <w:sz w:val="20"/>
        </w:rPr>
        <w:t xml:space="preserve"> </w:t>
      </w:r>
      <w:r>
        <w:rPr>
          <w:sz w:val="20"/>
        </w:rPr>
        <w:t>April</w:t>
      </w:r>
      <w:r>
        <w:rPr>
          <w:spacing w:val="-2"/>
          <w:sz w:val="20"/>
        </w:rPr>
        <w:t xml:space="preserve"> </w:t>
      </w:r>
      <w:r>
        <w:rPr>
          <w:spacing w:val="-4"/>
          <w:sz w:val="20"/>
        </w:rPr>
        <w:t>2022</w:t>
      </w:r>
    </w:p>
    <w:p w14:paraId="51DE9CA0" w14:textId="77777777" w:rsidR="0010369C" w:rsidRDefault="008E43AE">
      <w:pPr>
        <w:pStyle w:val="BodyText"/>
        <w:spacing w:before="34" w:line="360" w:lineRule="auto"/>
        <w:ind w:left="236" w:right="613" w:firstLine="852"/>
        <w:jc w:val="both"/>
      </w:pPr>
      <w:r>
        <w:rPr>
          <w:noProof/>
        </w:rPr>
        <w:drawing>
          <wp:anchor distT="0" distB="0" distL="0" distR="0" simplePos="0" relativeHeight="251677184" behindDoc="1" locked="0" layoutInCell="1" allowOverlap="1" wp14:anchorId="51DEA99B" wp14:editId="51DEA99C">
            <wp:simplePos x="0" y="0"/>
            <wp:positionH relativeFrom="page">
              <wp:posOffset>908303</wp:posOffset>
            </wp:positionH>
            <wp:positionV relativeFrom="paragraph">
              <wp:posOffset>69165</wp:posOffset>
            </wp:positionV>
            <wp:extent cx="332231" cy="103631"/>
            <wp:effectExtent l="0" t="0" r="0" b="0"/>
            <wp:wrapNone/>
            <wp:docPr id="2181" name="image1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2" name="image1118.png"/>
                    <pic:cNvPicPr/>
                  </pic:nvPicPr>
                  <pic:blipFill>
                    <a:blip r:embed="rId1425" cstate="print"/>
                    <a:stretch>
                      <a:fillRect/>
                    </a:stretch>
                  </pic:blipFill>
                  <pic:spPr>
                    <a:xfrm>
                      <a:off x="0" y="0"/>
                      <a:ext cx="332231" cy="103631"/>
                    </a:xfrm>
                    <a:prstGeom prst="rect">
                      <a:avLst/>
                    </a:prstGeom>
                  </pic:spPr>
                </pic:pic>
              </a:graphicData>
            </a:graphic>
          </wp:anchor>
        </w:drawing>
      </w:r>
      <w:r>
        <w:t>No</w:t>
      </w:r>
      <w:r>
        <w:rPr>
          <w:spacing w:val="-5"/>
        </w:rPr>
        <w:t xml:space="preserve"> </w:t>
      </w:r>
      <w:r>
        <w:t>further</w:t>
      </w:r>
      <w:r>
        <w:rPr>
          <w:spacing w:val="-5"/>
        </w:rPr>
        <w:t xml:space="preserve"> </w:t>
      </w:r>
      <w:r>
        <w:t>explanation</w:t>
      </w:r>
      <w:r>
        <w:rPr>
          <w:spacing w:val="-7"/>
        </w:rPr>
        <w:t xml:space="preserve"> </w:t>
      </w:r>
      <w:r>
        <w:t>was</w:t>
      </w:r>
      <w:r>
        <w:rPr>
          <w:spacing w:val="-5"/>
        </w:rPr>
        <w:t xml:space="preserve"> </w:t>
      </w:r>
      <w:r>
        <w:t>provided</w:t>
      </w:r>
      <w:r>
        <w:rPr>
          <w:spacing w:val="-4"/>
        </w:rPr>
        <w:t xml:space="preserve"> </w:t>
      </w:r>
      <w:r>
        <w:t>as</w:t>
      </w:r>
      <w:r>
        <w:rPr>
          <w:spacing w:val="-5"/>
        </w:rPr>
        <w:t xml:space="preserve"> </w:t>
      </w:r>
      <w:r>
        <w:t>to</w:t>
      </w:r>
      <w:r>
        <w:rPr>
          <w:spacing w:val="-5"/>
        </w:rPr>
        <w:t xml:space="preserve"> </w:t>
      </w:r>
      <w:r>
        <w:t>the</w:t>
      </w:r>
      <w:r>
        <w:rPr>
          <w:spacing w:val="-4"/>
        </w:rPr>
        <w:t xml:space="preserve"> </w:t>
      </w:r>
      <w:r>
        <w:t>facts</w:t>
      </w:r>
      <w:r>
        <w:rPr>
          <w:spacing w:val="-5"/>
        </w:rPr>
        <w:t xml:space="preserve"> </w:t>
      </w:r>
      <w:r>
        <w:t>selected</w:t>
      </w:r>
      <w:r>
        <w:rPr>
          <w:spacing w:val="-5"/>
        </w:rPr>
        <w:t xml:space="preserve"> </w:t>
      </w:r>
      <w:r>
        <w:t>to</w:t>
      </w:r>
      <w:r>
        <w:rPr>
          <w:spacing w:val="-5"/>
        </w:rPr>
        <w:t xml:space="preserve"> </w:t>
      </w:r>
      <w:r>
        <w:t>calculate</w:t>
      </w:r>
      <w:r>
        <w:rPr>
          <w:spacing w:val="-5"/>
        </w:rPr>
        <w:t xml:space="preserve"> </w:t>
      </w:r>
      <w:r>
        <w:t>the</w:t>
      </w:r>
      <w:r>
        <w:rPr>
          <w:spacing w:val="-4"/>
        </w:rPr>
        <w:t xml:space="preserve"> </w:t>
      </w:r>
      <w:r>
        <w:t>margin. Based on the very high and unexplained margin imposed on the "All Others" category, MOFCOM appears to have made a decision to impose a punitive rate by deliberatively selecting</w:t>
      </w:r>
      <w:r>
        <w:rPr>
          <w:spacing w:val="-7"/>
        </w:rPr>
        <w:t xml:space="preserve"> </w:t>
      </w:r>
      <w:r>
        <w:t>facts</w:t>
      </w:r>
      <w:r>
        <w:rPr>
          <w:spacing w:val="-8"/>
        </w:rPr>
        <w:t xml:space="preserve"> </w:t>
      </w:r>
      <w:r>
        <w:t>that</w:t>
      </w:r>
      <w:r>
        <w:rPr>
          <w:spacing w:val="-8"/>
        </w:rPr>
        <w:t xml:space="preserve"> </w:t>
      </w:r>
      <w:r>
        <w:t>would</w:t>
      </w:r>
      <w:r>
        <w:rPr>
          <w:spacing w:val="-8"/>
        </w:rPr>
        <w:t xml:space="preserve"> </w:t>
      </w:r>
      <w:r>
        <w:t>lea</w:t>
      </w:r>
      <w:r>
        <w:t>d</w:t>
      </w:r>
      <w:r>
        <w:rPr>
          <w:spacing w:val="-7"/>
        </w:rPr>
        <w:t xml:space="preserve"> </w:t>
      </w:r>
      <w:r>
        <w:t>to</w:t>
      </w:r>
      <w:r>
        <w:rPr>
          <w:spacing w:val="-7"/>
        </w:rPr>
        <w:t xml:space="preserve"> </w:t>
      </w:r>
      <w:r>
        <w:t>an</w:t>
      </w:r>
      <w:r>
        <w:rPr>
          <w:spacing w:val="-8"/>
        </w:rPr>
        <w:t xml:space="preserve"> </w:t>
      </w:r>
      <w:r>
        <w:t>inflated</w:t>
      </w:r>
      <w:r>
        <w:rPr>
          <w:spacing w:val="-7"/>
        </w:rPr>
        <w:t xml:space="preserve"> </w:t>
      </w:r>
      <w:r>
        <w:t>margin,</w:t>
      </w:r>
      <w:r>
        <w:rPr>
          <w:spacing w:val="-8"/>
        </w:rPr>
        <w:t xml:space="preserve"> </w:t>
      </w:r>
      <w:r>
        <w:t>otherwise</w:t>
      </w:r>
      <w:r>
        <w:rPr>
          <w:spacing w:val="-7"/>
        </w:rPr>
        <w:t xml:space="preserve"> </w:t>
      </w:r>
      <w:r>
        <w:t>known</w:t>
      </w:r>
      <w:r>
        <w:rPr>
          <w:spacing w:val="-8"/>
        </w:rPr>
        <w:t xml:space="preserve"> </w:t>
      </w:r>
      <w:r>
        <w:t>as</w:t>
      </w:r>
      <w:r>
        <w:rPr>
          <w:spacing w:val="-8"/>
        </w:rPr>
        <w:t xml:space="preserve"> </w:t>
      </w:r>
      <w:r>
        <w:t>using</w:t>
      </w:r>
      <w:r>
        <w:rPr>
          <w:spacing w:val="-7"/>
        </w:rPr>
        <w:t xml:space="preserve"> </w:t>
      </w:r>
      <w:r>
        <w:t>"adverse</w:t>
      </w:r>
      <w:r>
        <w:rPr>
          <w:spacing w:val="-7"/>
        </w:rPr>
        <w:t xml:space="preserve"> </w:t>
      </w:r>
      <w:r>
        <w:t>facts available" as a means of punishing unknown exporters.</w:t>
      </w:r>
      <w:r>
        <w:rPr>
          <w:vertAlign w:val="superscript"/>
        </w:rPr>
        <w:t>1273</w:t>
      </w:r>
      <w:r>
        <w:t xml:space="preserve"> There is no other reasonably apparent explanation for why the margins were determined to be significantly higher than any of the samp</w:t>
      </w:r>
      <w:r>
        <w:t>led companies. WTO panels have found the use of such "adverse facts available",</w:t>
      </w:r>
      <w:r>
        <w:rPr>
          <w:spacing w:val="-1"/>
        </w:rPr>
        <w:t xml:space="preserve"> </w:t>
      </w:r>
      <w:r>
        <w:t>and</w:t>
      </w:r>
      <w:r>
        <w:rPr>
          <w:spacing w:val="-2"/>
        </w:rPr>
        <w:t xml:space="preserve"> </w:t>
      </w:r>
      <w:r>
        <w:t>the</w:t>
      </w:r>
      <w:r>
        <w:rPr>
          <w:spacing w:val="-1"/>
        </w:rPr>
        <w:t xml:space="preserve"> </w:t>
      </w:r>
      <w:r>
        <w:t>failure</w:t>
      </w:r>
      <w:r>
        <w:rPr>
          <w:spacing w:val="-1"/>
        </w:rPr>
        <w:t xml:space="preserve"> </w:t>
      </w:r>
      <w:r>
        <w:t>to</w:t>
      </w:r>
      <w:r>
        <w:rPr>
          <w:spacing w:val="-1"/>
        </w:rPr>
        <w:t xml:space="preserve"> </w:t>
      </w:r>
      <w:r>
        <w:t>disclose</w:t>
      </w:r>
      <w:r>
        <w:rPr>
          <w:spacing w:val="-1"/>
        </w:rPr>
        <w:t xml:space="preserve"> </w:t>
      </w:r>
      <w:r>
        <w:t>the</w:t>
      </w:r>
      <w:r>
        <w:rPr>
          <w:spacing w:val="-1"/>
        </w:rPr>
        <w:t xml:space="preserve"> </w:t>
      </w:r>
      <w:r>
        <w:t>reasoning</w:t>
      </w:r>
      <w:r>
        <w:rPr>
          <w:spacing w:val="-2"/>
        </w:rPr>
        <w:t xml:space="preserve"> </w:t>
      </w:r>
      <w:r>
        <w:t>underpinning</w:t>
      </w:r>
      <w:r>
        <w:rPr>
          <w:spacing w:val="-1"/>
        </w:rPr>
        <w:t xml:space="preserve"> </w:t>
      </w:r>
      <w:r>
        <w:t>it,</w:t>
      </w:r>
      <w:r>
        <w:rPr>
          <w:spacing w:val="-1"/>
        </w:rPr>
        <w:t xml:space="preserve"> </w:t>
      </w:r>
      <w:r>
        <w:t>to</w:t>
      </w:r>
      <w:r>
        <w:rPr>
          <w:spacing w:val="-1"/>
        </w:rPr>
        <w:t xml:space="preserve"> </w:t>
      </w:r>
      <w:r>
        <w:t>constitute</w:t>
      </w:r>
      <w:r>
        <w:rPr>
          <w:spacing w:val="-1"/>
        </w:rPr>
        <w:t xml:space="preserve"> </w:t>
      </w:r>
      <w:r>
        <w:t>a</w:t>
      </w:r>
      <w:r>
        <w:rPr>
          <w:spacing w:val="-1"/>
        </w:rPr>
        <w:t xml:space="preserve"> </w:t>
      </w:r>
      <w:r>
        <w:t>breach</w:t>
      </w:r>
      <w:r>
        <w:rPr>
          <w:spacing w:val="-1"/>
        </w:rPr>
        <w:t xml:space="preserve"> </w:t>
      </w:r>
      <w:r>
        <w:t>of Articles 12.2 and 12.2.2.</w:t>
      </w:r>
      <w:r>
        <w:rPr>
          <w:vertAlign w:val="superscript"/>
        </w:rPr>
        <w:t>1274</w:t>
      </w:r>
    </w:p>
    <w:p w14:paraId="51DE9CA1" w14:textId="77777777" w:rsidR="0010369C" w:rsidRDefault="008E43AE">
      <w:pPr>
        <w:pStyle w:val="BodyText"/>
        <w:tabs>
          <w:tab w:val="left" w:pos="3642"/>
        </w:tabs>
        <w:spacing w:before="161"/>
        <w:ind w:left="2790"/>
        <w:jc w:val="both"/>
      </w:pPr>
      <w:r>
        <w:rPr>
          <w:spacing w:val="-5"/>
          <w:u w:val="single"/>
        </w:rPr>
        <w:t>(f)</w:t>
      </w:r>
      <w:r>
        <w:tab/>
      </w:r>
      <w:r>
        <w:rPr>
          <w:u w:val="single"/>
        </w:rPr>
        <w:t>Determination</w:t>
      </w:r>
      <w:r>
        <w:rPr>
          <w:spacing w:val="-7"/>
          <w:u w:val="single"/>
        </w:rPr>
        <w:t xml:space="preserve"> </w:t>
      </w:r>
      <w:r>
        <w:rPr>
          <w:u w:val="single"/>
        </w:rPr>
        <w:t>of</w:t>
      </w:r>
      <w:r>
        <w:rPr>
          <w:spacing w:val="-7"/>
          <w:u w:val="single"/>
        </w:rPr>
        <w:t xml:space="preserve"> </w:t>
      </w:r>
      <w:r>
        <w:rPr>
          <w:u w:val="single"/>
        </w:rPr>
        <w:t>injury</w:t>
      </w:r>
      <w:r>
        <w:rPr>
          <w:spacing w:val="-8"/>
          <w:u w:val="single"/>
        </w:rPr>
        <w:t xml:space="preserve"> </w:t>
      </w:r>
      <w:r>
        <w:rPr>
          <w:u w:val="single"/>
        </w:rPr>
        <w:t>and</w:t>
      </w:r>
      <w:r>
        <w:rPr>
          <w:spacing w:val="-7"/>
          <w:u w:val="single"/>
        </w:rPr>
        <w:t xml:space="preserve"> </w:t>
      </w:r>
      <w:r>
        <w:rPr>
          <w:spacing w:val="-2"/>
          <w:u w:val="single"/>
        </w:rPr>
        <w:t>causation</w:t>
      </w:r>
    </w:p>
    <w:p w14:paraId="51DE9CA2" w14:textId="77777777" w:rsidR="0010369C" w:rsidRDefault="0010369C">
      <w:pPr>
        <w:pStyle w:val="BodyText"/>
        <w:spacing w:before="9"/>
        <w:rPr>
          <w:sz w:val="20"/>
        </w:rPr>
      </w:pPr>
    </w:p>
    <w:p w14:paraId="51DE9CA3" w14:textId="77777777" w:rsidR="0010369C" w:rsidRDefault="008E43AE">
      <w:pPr>
        <w:pStyle w:val="BodyText"/>
        <w:spacing w:before="52" w:line="360" w:lineRule="auto"/>
        <w:ind w:left="236" w:right="613" w:firstLine="853"/>
        <w:jc w:val="both"/>
      </w:pPr>
      <w:r>
        <w:rPr>
          <w:noProof/>
        </w:rPr>
        <w:drawing>
          <wp:anchor distT="0" distB="0" distL="0" distR="0" simplePos="0" relativeHeight="251678208" behindDoc="1" locked="0" layoutInCell="1" allowOverlap="1" wp14:anchorId="51DEA99D" wp14:editId="51DEA99E">
            <wp:simplePos x="0" y="0"/>
            <wp:positionH relativeFrom="page">
              <wp:posOffset>908303</wp:posOffset>
            </wp:positionH>
            <wp:positionV relativeFrom="paragraph">
              <wp:posOffset>80595</wp:posOffset>
            </wp:positionV>
            <wp:extent cx="332231" cy="103631"/>
            <wp:effectExtent l="0" t="0" r="0" b="0"/>
            <wp:wrapNone/>
            <wp:docPr id="2183" name="image1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4" name="image1119.png"/>
                    <pic:cNvPicPr/>
                  </pic:nvPicPr>
                  <pic:blipFill>
                    <a:blip r:embed="rId1426" cstate="print"/>
                    <a:stretch>
                      <a:fillRect/>
                    </a:stretch>
                  </pic:blipFill>
                  <pic:spPr>
                    <a:xfrm>
                      <a:off x="0" y="0"/>
                      <a:ext cx="332231" cy="103631"/>
                    </a:xfrm>
                    <a:prstGeom prst="rect">
                      <a:avLst/>
                    </a:prstGeom>
                  </pic:spPr>
                </pic:pic>
              </a:graphicData>
            </a:graphic>
          </wp:anchor>
        </w:drawing>
      </w:r>
      <w:r>
        <w:t>In its Final Determination, MOFCOM failed to provide all of the non‐confidential information that was relevant and used in its determination of injury and causation. In particular, MOFCOM failed to provide all the reasons that were relevant to: its evaluat</w:t>
      </w:r>
      <w:r>
        <w:t>ion of the economic factors list in Article 3.4; the methodology for calculating the average yearly import price for Australian wine; the methodology for calculating the average yearly factory price</w:t>
      </w:r>
      <w:r>
        <w:rPr>
          <w:spacing w:val="-14"/>
        </w:rPr>
        <w:t xml:space="preserve"> </w:t>
      </w:r>
      <w:r>
        <w:t>of</w:t>
      </w:r>
      <w:r>
        <w:rPr>
          <w:spacing w:val="-14"/>
        </w:rPr>
        <w:t xml:space="preserve"> </w:t>
      </w:r>
      <w:r>
        <w:t>domestic</w:t>
      </w:r>
      <w:r>
        <w:rPr>
          <w:spacing w:val="-13"/>
        </w:rPr>
        <w:t xml:space="preserve"> </w:t>
      </w:r>
      <w:r>
        <w:t>like</w:t>
      </w:r>
      <w:r>
        <w:rPr>
          <w:spacing w:val="-14"/>
        </w:rPr>
        <w:t xml:space="preserve"> </w:t>
      </w:r>
      <w:r>
        <w:t>products;</w:t>
      </w:r>
      <w:r>
        <w:rPr>
          <w:spacing w:val="-13"/>
        </w:rPr>
        <w:t xml:space="preserve"> </w:t>
      </w:r>
      <w:r>
        <w:t>and</w:t>
      </w:r>
      <w:r>
        <w:rPr>
          <w:spacing w:val="-14"/>
        </w:rPr>
        <w:t xml:space="preserve"> </w:t>
      </w:r>
      <w:r>
        <w:t>the</w:t>
      </w:r>
      <w:r>
        <w:rPr>
          <w:spacing w:val="-13"/>
        </w:rPr>
        <w:t xml:space="preserve"> </w:t>
      </w:r>
      <w:r>
        <w:t>methodology</w:t>
      </w:r>
      <w:r>
        <w:rPr>
          <w:spacing w:val="-14"/>
        </w:rPr>
        <w:t xml:space="preserve"> </w:t>
      </w:r>
      <w:r>
        <w:t>for</w:t>
      </w:r>
      <w:r>
        <w:rPr>
          <w:spacing w:val="-14"/>
        </w:rPr>
        <w:t xml:space="preserve"> </w:t>
      </w:r>
      <w:r>
        <w:t>calcul</w:t>
      </w:r>
      <w:r>
        <w:t>ating</w:t>
      </w:r>
      <w:r>
        <w:rPr>
          <w:spacing w:val="-13"/>
        </w:rPr>
        <w:t xml:space="preserve"> </w:t>
      </w:r>
      <w:r>
        <w:t>the</w:t>
      </w:r>
      <w:r>
        <w:rPr>
          <w:spacing w:val="-14"/>
        </w:rPr>
        <w:t xml:space="preserve"> </w:t>
      </w:r>
      <w:r>
        <w:t>average</w:t>
      </w:r>
      <w:r>
        <w:rPr>
          <w:spacing w:val="-13"/>
        </w:rPr>
        <w:t xml:space="preserve"> </w:t>
      </w:r>
      <w:r>
        <w:t>yearly</w:t>
      </w:r>
      <w:r>
        <w:rPr>
          <w:spacing w:val="-14"/>
        </w:rPr>
        <w:t xml:space="preserve"> </w:t>
      </w:r>
      <w:r>
        <w:t>import price of non‐subject imports. MOFCOM's failure to provide this information impeded the interested parties' capacity to understand and make submissions about whether MOFCOM correctly</w:t>
      </w:r>
      <w:r>
        <w:rPr>
          <w:spacing w:val="-1"/>
        </w:rPr>
        <w:t xml:space="preserve"> </w:t>
      </w:r>
      <w:r>
        <w:t>conducted</w:t>
      </w:r>
      <w:r>
        <w:rPr>
          <w:spacing w:val="-2"/>
        </w:rPr>
        <w:t xml:space="preserve"> </w:t>
      </w:r>
      <w:r>
        <w:t>an</w:t>
      </w:r>
      <w:r>
        <w:rPr>
          <w:spacing w:val="-2"/>
        </w:rPr>
        <w:t xml:space="preserve"> </w:t>
      </w:r>
      <w:r>
        <w:t>objective</w:t>
      </w:r>
      <w:r>
        <w:rPr>
          <w:spacing w:val="-1"/>
        </w:rPr>
        <w:t xml:space="preserve"> </w:t>
      </w:r>
      <w:r>
        <w:t>examination</w:t>
      </w:r>
      <w:r>
        <w:rPr>
          <w:spacing w:val="-4"/>
        </w:rPr>
        <w:t xml:space="preserve"> </w:t>
      </w:r>
      <w:r>
        <w:t>of</w:t>
      </w:r>
      <w:r>
        <w:rPr>
          <w:spacing w:val="-2"/>
        </w:rPr>
        <w:t xml:space="preserve"> </w:t>
      </w:r>
      <w:r>
        <w:t>the</w:t>
      </w:r>
      <w:r>
        <w:rPr>
          <w:spacing w:val="-1"/>
        </w:rPr>
        <w:t xml:space="preserve"> </w:t>
      </w:r>
      <w:r>
        <w:t>impact</w:t>
      </w:r>
      <w:r>
        <w:rPr>
          <w:spacing w:val="-2"/>
        </w:rPr>
        <w:t xml:space="preserve"> </w:t>
      </w:r>
      <w:r>
        <w:t>of</w:t>
      </w:r>
      <w:r>
        <w:rPr>
          <w:spacing w:val="-2"/>
        </w:rPr>
        <w:t xml:space="preserve"> </w:t>
      </w:r>
      <w:r>
        <w:t>the</w:t>
      </w:r>
      <w:r>
        <w:rPr>
          <w:spacing w:val="-1"/>
        </w:rPr>
        <w:t xml:space="preserve"> </w:t>
      </w:r>
      <w:r>
        <w:t>allegedly</w:t>
      </w:r>
      <w:r>
        <w:rPr>
          <w:spacing w:val="-1"/>
        </w:rPr>
        <w:t xml:space="preserve"> </w:t>
      </w:r>
      <w:r>
        <w:t>dumped</w:t>
      </w:r>
      <w:r>
        <w:rPr>
          <w:spacing w:val="-1"/>
        </w:rPr>
        <w:t xml:space="preserve"> </w:t>
      </w:r>
      <w:r>
        <w:t>imports on domestic producers under Article 3.1.</w:t>
      </w:r>
    </w:p>
    <w:p w14:paraId="51DE9CA4" w14:textId="77777777" w:rsidR="0010369C" w:rsidRDefault="0010369C">
      <w:pPr>
        <w:pStyle w:val="BodyText"/>
        <w:spacing w:before="11"/>
        <w:rPr>
          <w:sz w:val="8"/>
        </w:rPr>
      </w:pPr>
    </w:p>
    <w:p w14:paraId="51DE9CA5" w14:textId="77777777" w:rsidR="0010369C" w:rsidRDefault="008E43AE">
      <w:pPr>
        <w:pStyle w:val="BodyText"/>
        <w:spacing w:before="52" w:line="360" w:lineRule="auto"/>
        <w:ind w:left="237" w:right="613" w:firstLine="852"/>
        <w:jc w:val="both"/>
      </w:pPr>
      <w:r>
        <w:rPr>
          <w:noProof/>
        </w:rPr>
        <w:drawing>
          <wp:anchor distT="0" distB="0" distL="0" distR="0" simplePos="0" relativeHeight="251679232" behindDoc="1" locked="0" layoutInCell="1" allowOverlap="1" wp14:anchorId="51DEA99F" wp14:editId="51DEA9A0">
            <wp:simplePos x="0" y="0"/>
            <wp:positionH relativeFrom="page">
              <wp:posOffset>908303</wp:posOffset>
            </wp:positionH>
            <wp:positionV relativeFrom="paragraph">
              <wp:posOffset>80596</wp:posOffset>
            </wp:positionV>
            <wp:extent cx="332231" cy="103631"/>
            <wp:effectExtent l="0" t="0" r="0" b="0"/>
            <wp:wrapNone/>
            <wp:docPr id="2185" name="image11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6" name="image1120.png"/>
                    <pic:cNvPicPr/>
                  </pic:nvPicPr>
                  <pic:blipFill>
                    <a:blip r:embed="rId1427" cstate="print"/>
                    <a:stretch>
                      <a:fillRect/>
                    </a:stretch>
                  </pic:blipFill>
                  <pic:spPr>
                    <a:xfrm>
                      <a:off x="0" y="0"/>
                      <a:ext cx="332231" cy="103631"/>
                    </a:xfrm>
                    <a:prstGeom prst="rect">
                      <a:avLst/>
                    </a:prstGeom>
                  </pic:spPr>
                </pic:pic>
              </a:graphicData>
            </a:graphic>
          </wp:anchor>
        </w:drawing>
      </w:r>
      <w:r>
        <w:t>MOFCOM's obligation to provide all non‐confidential information in relation to its analysis of the economic factors under Article 3.4 includes reference to "positive evidence</w:t>
      </w:r>
      <w:r>
        <w:t>" with "wide‐ranging information concerning the relevant economic factors in order to ensure the accuracy of the investigation concerning the relevant economic factors".</w:t>
      </w:r>
      <w:r>
        <w:rPr>
          <w:vertAlign w:val="superscript"/>
        </w:rPr>
        <w:t>1275</w:t>
      </w:r>
      <w:r>
        <w:t xml:space="preserve"> MOFCOM considered 16 factors to assess the impact of the "dumped" products on the </w:t>
      </w:r>
      <w:r>
        <w:t>domestic industry.</w:t>
      </w:r>
      <w:r>
        <w:rPr>
          <w:vertAlign w:val="superscript"/>
        </w:rPr>
        <w:t>1276</w:t>
      </w:r>
      <w:r>
        <w:rPr>
          <w:spacing w:val="-4"/>
        </w:rPr>
        <w:t xml:space="preserve"> </w:t>
      </w:r>
      <w:r>
        <w:t>For</w:t>
      </w:r>
      <w:r>
        <w:rPr>
          <w:spacing w:val="-3"/>
        </w:rPr>
        <w:t xml:space="preserve"> </w:t>
      </w:r>
      <w:r>
        <w:t>the</w:t>
      </w:r>
      <w:r>
        <w:rPr>
          <w:spacing w:val="-3"/>
        </w:rPr>
        <w:t xml:space="preserve"> </w:t>
      </w:r>
      <w:r>
        <w:t>factors</w:t>
      </w:r>
      <w:r>
        <w:rPr>
          <w:spacing w:val="-4"/>
        </w:rPr>
        <w:t xml:space="preserve"> </w:t>
      </w:r>
      <w:r>
        <w:t>it</w:t>
      </w:r>
      <w:r>
        <w:rPr>
          <w:spacing w:val="-4"/>
        </w:rPr>
        <w:t xml:space="preserve"> </w:t>
      </w:r>
      <w:r>
        <w:t>considered,</w:t>
      </w:r>
      <w:r>
        <w:rPr>
          <w:spacing w:val="-4"/>
        </w:rPr>
        <w:t xml:space="preserve"> </w:t>
      </w:r>
      <w:r>
        <w:t>MOFCOM's</w:t>
      </w:r>
      <w:r>
        <w:rPr>
          <w:spacing w:val="-4"/>
        </w:rPr>
        <w:t xml:space="preserve"> </w:t>
      </w:r>
      <w:r>
        <w:t>analysis</w:t>
      </w:r>
      <w:r>
        <w:rPr>
          <w:spacing w:val="-4"/>
        </w:rPr>
        <w:t xml:space="preserve"> </w:t>
      </w:r>
      <w:r>
        <w:t>merely</w:t>
      </w:r>
      <w:r>
        <w:rPr>
          <w:spacing w:val="-4"/>
        </w:rPr>
        <w:t xml:space="preserve"> </w:t>
      </w:r>
      <w:r>
        <w:t>consists</w:t>
      </w:r>
      <w:r>
        <w:rPr>
          <w:spacing w:val="-5"/>
        </w:rPr>
        <w:t xml:space="preserve"> </w:t>
      </w:r>
      <w:r>
        <w:t>of</w:t>
      </w:r>
      <w:r>
        <w:rPr>
          <w:spacing w:val="-4"/>
        </w:rPr>
        <w:t xml:space="preserve"> </w:t>
      </w:r>
      <w:r>
        <w:t>a</w:t>
      </w:r>
      <w:r>
        <w:rPr>
          <w:spacing w:val="-4"/>
        </w:rPr>
        <w:t xml:space="preserve"> </w:t>
      </w:r>
      <w:r>
        <w:t>conclusive statement</w:t>
      </w:r>
      <w:r>
        <w:rPr>
          <w:spacing w:val="-6"/>
        </w:rPr>
        <w:t xml:space="preserve"> </w:t>
      </w:r>
      <w:r>
        <w:t>coupled</w:t>
      </w:r>
      <w:r>
        <w:rPr>
          <w:spacing w:val="-6"/>
        </w:rPr>
        <w:t xml:space="preserve"> </w:t>
      </w:r>
      <w:r>
        <w:t>with</w:t>
      </w:r>
      <w:r>
        <w:rPr>
          <w:spacing w:val="-6"/>
        </w:rPr>
        <w:t xml:space="preserve"> </w:t>
      </w:r>
      <w:r>
        <w:t>data</w:t>
      </w:r>
      <w:r>
        <w:rPr>
          <w:spacing w:val="-5"/>
        </w:rPr>
        <w:t xml:space="preserve"> </w:t>
      </w:r>
      <w:r>
        <w:t>of</w:t>
      </w:r>
      <w:r>
        <w:rPr>
          <w:spacing w:val="-6"/>
        </w:rPr>
        <w:t xml:space="preserve"> </w:t>
      </w:r>
      <w:r>
        <w:t>an</w:t>
      </w:r>
      <w:r>
        <w:rPr>
          <w:spacing w:val="-6"/>
        </w:rPr>
        <w:t xml:space="preserve"> </w:t>
      </w:r>
      <w:r>
        <w:t>unknown</w:t>
      </w:r>
      <w:r>
        <w:rPr>
          <w:spacing w:val="-6"/>
        </w:rPr>
        <w:t xml:space="preserve"> </w:t>
      </w:r>
      <w:r>
        <w:t>origin.</w:t>
      </w:r>
      <w:r>
        <w:rPr>
          <w:vertAlign w:val="superscript"/>
        </w:rPr>
        <w:t>1277</w:t>
      </w:r>
      <w:r>
        <w:rPr>
          <w:spacing w:val="-6"/>
        </w:rPr>
        <w:t xml:space="preserve"> </w:t>
      </w:r>
      <w:r>
        <w:t>This</w:t>
      </w:r>
      <w:r>
        <w:rPr>
          <w:spacing w:val="-5"/>
        </w:rPr>
        <w:t xml:space="preserve"> </w:t>
      </w:r>
      <w:r>
        <w:t>absence</w:t>
      </w:r>
      <w:r>
        <w:rPr>
          <w:spacing w:val="-5"/>
        </w:rPr>
        <w:t xml:space="preserve"> </w:t>
      </w:r>
      <w:r>
        <w:t>of</w:t>
      </w:r>
      <w:r>
        <w:rPr>
          <w:spacing w:val="-6"/>
        </w:rPr>
        <w:t xml:space="preserve"> </w:t>
      </w:r>
      <w:r>
        <w:t>facts</w:t>
      </w:r>
      <w:r>
        <w:rPr>
          <w:spacing w:val="-6"/>
        </w:rPr>
        <w:t xml:space="preserve"> </w:t>
      </w:r>
      <w:r>
        <w:t>and</w:t>
      </w:r>
      <w:r>
        <w:rPr>
          <w:spacing w:val="-7"/>
        </w:rPr>
        <w:t xml:space="preserve"> </w:t>
      </w:r>
      <w:r>
        <w:t>reasoning</w:t>
      </w:r>
      <w:r>
        <w:rPr>
          <w:spacing w:val="-4"/>
        </w:rPr>
        <w:t xml:space="preserve"> </w:t>
      </w:r>
      <w:r>
        <w:rPr>
          <w:spacing w:val="-5"/>
        </w:rPr>
        <w:t>is</w:t>
      </w:r>
    </w:p>
    <w:p w14:paraId="51DE9CA6" w14:textId="77777777" w:rsidR="0010369C" w:rsidRDefault="0010369C">
      <w:pPr>
        <w:pStyle w:val="BodyText"/>
        <w:rPr>
          <w:sz w:val="20"/>
        </w:rPr>
      </w:pPr>
    </w:p>
    <w:p w14:paraId="51DE9CA7" w14:textId="77777777" w:rsidR="0010369C" w:rsidRDefault="008E43AE">
      <w:pPr>
        <w:pStyle w:val="BodyText"/>
        <w:spacing w:before="6"/>
        <w:rPr>
          <w:sz w:val="13"/>
        </w:rPr>
      </w:pPr>
      <w:r>
        <w:pict w14:anchorId="51DEA9A1">
          <v:rect id="docshape1492" o:spid="_x0000_s1032" style="position:absolute;margin-left:70.9pt;margin-top:9.45pt;width:2in;height:.8pt;z-index:-250651136;mso-wrap-distance-left:0;mso-wrap-distance-right:0;mso-position-horizontal-relative:page" fillcolor="black" stroked="f">
            <w10:wrap type="topAndBottom" anchorx="page"/>
          </v:rect>
        </w:pict>
      </w:r>
    </w:p>
    <w:p w14:paraId="51DE9CA8" w14:textId="77777777" w:rsidR="0010369C" w:rsidRDefault="008E43AE">
      <w:pPr>
        <w:spacing w:before="109"/>
        <w:ind w:left="238"/>
        <w:rPr>
          <w:sz w:val="18"/>
        </w:rPr>
      </w:pPr>
      <w:r>
        <w:rPr>
          <w:sz w:val="18"/>
          <w:vertAlign w:val="superscript"/>
        </w:rPr>
        <w:t>1273</w:t>
      </w:r>
      <w:r>
        <w:rPr>
          <w:spacing w:val="-6"/>
          <w:sz w:val="18"/>
        </w:rPr>
        <w:t xml:space="preserve"> </w:t>
      </w:r>
      <w:r>
        <w:rPr>
          <w:sz w:val="18"/>
        </w:rPr>
        <w:t>Panel</w:t>
      </w:r>
      <w:r>
        <w:rPr>
          <w:spacing w:val="-6"/>
          <w:sz w:val="18"/>
        </w:rPr>
        <w:t xml:space="preserve"> </w:t>
      </w:r>
      <w:r>
        <w:rPr>
          <w:sz w:val="18"/>
        </w:rPr>
        <w:t>Report,</w:t>
      </w:r>
      <w:r>
        <w:rPr>
          <w:spacing w:val="-5"/>
          <w:sz w:val="18"/>
        </w:rPr>
        <w:t xml:space="preserve"> </w:t>
      </w:r>
      <w:r>
        <w:rPr>
          <w:i/>
          <w:sz w:val="18"/>
        </w:rPr>
        <w:t>China</w:t>
      </w:r>
      <w:r>
        <w:rPr>
          <w:i/>
          <w:spacing w:val="-6"/>
          <w:sz w:val="18"/>
        </w:rPr>
        <w:t xml:space="preserve"> </w:t>
      </w:r>
      <w:r>
        <w:rPr>
          <w:i/>
          <w:sz w:val="18"/>
        </w:rPr>
        <w:t>–</w:t>
      </w:r>
      <w:r>
        <w:rPr>
          <w:i/>
          <w:spacing w:val="-5"/>
          <w:sz w:val="18"/>
        </w:rPr>
        <w:t xml:space="preserve"> </w:t>
      </w:r>
      <w:r>
        <w:rPr>
          <w:i/>
          <w:sz w:val="18"/>
        </w:rPr>
        <w:t>GOES</w:t>
      </w:r>
      <w:r>
        <w:rPr>
          <w:sz w:val="18"/>
        </w:rPr>
        <w:t>,</w:t>
      </w:r>
      <w:r>
        <w:rPr>
          <w:spacing w:val="-6"/>
          <w:sz w:val="18"/>
        </w:rPr>
        <w:t xml:space="preserve"> </w:t>
      </w:r>
      <w:r>
        <w:rPr>
          <w:sz w:val="18"/>
        </w:rPr>
        <w:t>para.</w:t>
      </w:r>
      <w:r>
        <w:rPr>
          <w:spacing w:val="-6"/>
          <w:sz w:val="18"/>
        </w:rPr>
        <w:t xml:space="preserve"> </w:t>
      </w:r>
      <w:r>
        <w:rPr>
          <w:spacing w:val="-2"/>
          <w:sz w:val="18"/>
        </w:rPr>
        <w:t>7.391.</w:t>
      </w:r>
    </w:p>
    <w:p w14:paraId="51DE9CA9" w14:textId="77777777" w:rsidR="0010369C" w:rsidRDefault="008E43AE">
      <w:pPr>
        <w:spacing w:before="1"/>
        <w:ind w:left="238"/>
        <w:rPr>
          <w:sz w:val="18"/>
        </w:rPr>
      </w:pPr>
      <w:r>
        <w:rPr>
          <w:sz w:val="18"/>
          <w:vertAlign w:val="superscript"/>
        </w:rPr>
        <w:t>1274</w:t>
      </w:r>
      <w:r>
        <w:rPr>
          <w:spacing w:val="-6"/>
          <w:sz w:val="18"/>
        </w:rPr>
        <w:t xml:space="preserve"> </w:t>
      </w:r>
      <w:r>
        <w:rPr>
          <w:sz w:val="18"/>
        </w:rPr>
        <w:t>See</w:t>
      </w:r>
      <w:r>
        <w:rPr>
          <w:spacing w:val="-5"/>
          <w:sz w:val="18"/>
        </w:rPr>
        <w:t xml:space="preserve"> </w:t>
      </w:r>
      <w:r>
        <w:rPr>
          <w:sz w:val="18"/>
        </w:rPr>
        <w:t>e.g.</w:t>
      </w:r>
      <w:r>
        <w:rPr>
          <w:spacing w:val="-7"/>
          <w:sz w:val="18"/>
        </w:rPr>
        <w:t xml:space="preserve"> </w:t>
      </w:r>
      <w:r>
        <w:rPr>
          <w:sz w:val="18"/>
        </w:rPr>
        <w:t>Panel</w:t>
      </w:r>
      <w:r>
        <w:rPr>
          <w:spacing w:val="-6"/>
          <w:sz w:val="18"/>
        </w:rPr>
        <w:t xml:space="preserve"> </w:t>
      </w:r>
      <w:r>
        <w:rPr>
          <w:sz w:val="18"/>
        </w:rPr>
        <w:t>Reports,</w:t>
      </w:r>
      <w:r>
        <w:rPr>
          <w:spacing w:val="-6"/>
          <w:sz w:val="18"/>
        </w:rPr>
        <w:t xml:space="preserve"> </w:t>
      </w:r>
      <w:r>
        <w:rPr>
          <w:i/>
          <w:sz w:val="18"/>
        </w:rPr>
        <w:t>China</w:t>
      </w:r>
      <w:r>
        <w:rPr>
          <w:i/>
          <w:spacing w:val="-5"/>
          <w:sz w:val="18"/>
        </w:rPr>
        <w:t xml:space="preserve"> </w:t>
      </w:r>
      <w:r>
        <w:rPr>
          <w:i/>
          <w:sz w:val="18"/>
        </w:rPr>
        <w:t>–</w:t>
      </w:r>
      <w:r>
        <w:rPr>
          <w:i/>
          <w:spacing w:val="-4"/>
          <w:sz w:val="18"/>
        </w:rPr>
        <w:t xml:space="preserve"> </w:t>
      </w:r>
      <w:r>
        <w:rPr>
          <w:i/>
          <w:sz w:val="18"/>
        </w:rPr>
        <w:t>GOES,</w:t>
      </w:r>
      <w:r>
        <w:rPr>
          <w:i/>
          <w:spacing w:val="-6"/>
          <w:sz w:val="18"/>
        </w:rPr>
        <w:t xml:space="preserve"> </w:t>
      </w:r>
      <w:r>
        <w:rPr>
          <w:sz w:val="18"/>
        </w:rPr>
        <w:t>para.</w:t>
      </w:r>
      <w:r>
        <w:rPr>
          <w:spacing w:val="-5"/>
          <w:sz w:val="18"/>
        </w:rPr>
        <w:t xml:space="preserve"> </w:t>
      </w:r>
      <w:r>
        <w:rPr>
          <w:sz w:val="18"/>
        </w:rPr>
        <w:t>7.426;</w:t>
      </w:r>
      <w:r>
        <w:rPr>
          <w:spacing w:val="-6"/>
          <w:sz w:val="18"/>
        </w:rPr>
        <w:t xml:space="preserve"> </w:t>
      </w:r>
      <w:r>
        <w:rPr>
          <w:sz w:val="18"/>
        </w:rPr>
        <w:t>and</w:t>
      </w:r>
      <w:r>
        <w:rPr>
          <w:spacing w:val="-5"/>
          <w:sz w:val="18"/>
        </w:rPr>
        <w:t xml:space="preserve"> </w:t>
      </w:r>
      <w:r>
        <w:rPr>
          <w:i/>
          <w:sz w:val="18"/>
        </w:rPr>
        <w:t>China</w:t>
      </w:r>
      <w:r>
        <w:rPr>
          <w:i/>
          <w:spacing w:val="-5"/>
          <w:sz w:val="18"/>
        </w:rPr>
        <w:t xml:space="preserve"> </w:t>
      </w:r>
      <w:r>
        <w:rPr>
          <w:i/>
          <w:sz w:val="18"/>
        </w:rPr>
        <w:t>–</w:t>
      </w:r>
      <w:r>
        <w:rPr>
          <w:i/>
          <w:spacing w:val="-5"/>
          <w:sz w:val="18"/>
        </w:rPr>
        <w:t xml:space="preserve"> </w:t>
      </w:r>
      <w:r>
        <w:rPr>
          <w:i/>
          <w:sz w:val="18"/>
        </w:rPr>
        <w:t>Broiler</w:t>
      </w:r>
      <w:r>
        <w:rPr>
          <w:i/>
          <w:spacing w:val="-6"/>
          <w:sz w:val="18"/>
        </w:rPr>
        <w:t xml:space="preserve"> </w:t>
      </w:r>
      <w:r>
        <w:rPr>
          <w:i/>
          <w:sz w:val="18"/>
        </w:rPr>
        <w:t>Products</w:t>
      </w:r>
      <w:r>
        <w:rPr>
          <w:sz w:val="18"/>
        </w:rPr>
        <w:t>,</w:t>
      </w:r>
      <w:r>
        <w:rPr>
          <w:spacing w:val="-5"/>
          <w:sz w:val="18"/>
        </w:rPr>
        <w:t xml:space="preserve"> </w:t>
      </w:r>
      <w:r>
        <w:rPr>
          <w:sz w:val="18"/>
        </w:rPr>
        <w:t>para.</w:t>
      </w:r>
      <w:r>
        <w:rPr>
          <w:spacing w:val="-5"/>
          <w:sz w:val="18"/>
        </w:rPr>
        <w:t xml:space="preserve"> </w:t>
      </w:r>
      <w:r>
        <w:rPr>
          <w:spacing w:val="-2"/>
          <w:sz w:val="18"/>
        </w:rPr>
        <w:t>7.329.</w:t>
      </w:r>
    </w:p>
    <w:p w14:paraId="51DE9CAA" w14:textId="77777777" w:rsidR="0010369C" w:rsidRDefault="008E43AE">
      <w:pPr>
        <w:ind w:left="238"/>
        <w:rPr>
          <w:sz w:val="18"/>
        </w:rPr>
      </w:pPr>
      <w:r>
        <w:rPr>
          <w:sz w:val="18"/>
          <w:vertAlign w:val="superscript"/>
        </w:rPr>
        <w:t>1275</w:t>
      </w:r>
      <w:r>
        <w:rPr>
          <w:spacing w:val="-6"/>
          <w:sz w:val="18"/>
        </w:rPr>
        <w:t xml:space="preserve"> </w:t>
      </w:r>
      <w:r>
        <w:rPr>
          <w:sz w:val="18"/>
        </w:rPr>
        <w:t>Appellate</w:t>
      </w:r>
      <w:r>
        <w:rPr>
          <w:spacing w:val="-6"/>
          <w:sz w:val="18"/>
        </w:rPr>
        <w:t xml:space="preserve"> </w:t>
      </w:r>
      <w:r>
        <w:rPr>
          <w:sz w:val="18"/>
        </w:rPr>
        <w:t>Body</w:t>
      </w:r>
      <w:r>
        <w:rPr>
          <w:spacing w:val="-7"/>
          <w:sz w:val="18"/>
        </w:rPr>
        <w:t xml:space="preserve"> </w:t>
      </w:r>
      <w:r>
        <w:rPr>
          <w:sz w:val="18"/>
        </w:rPr>
        <w:t>Report,</w:t>
      </w:r>
      <w:r>
        <w:rPr>
          <w:spacing w:val="-6"/>
          <w:sz w:val="18"/>
        </w:rPr>
        <w:t xml:space="preserve"> </w:t>
      </w:r>
      <w:r>
        <w:rPr>
          <w:i/>
          <w:sz w:val="18"/>
        </w:rPr>
        <w:t>EC</w:t>
      </w:r>
      <w:r>
        <w:rPr>
          <w:i/>
          <w:spacing w:val="-7"/>
          <w:sz w:val="18"/>
        </w:rPr>
        <w:t xml:space="preserve"> </w:t>
      </w:r>
      <w:r>
        <w:rPr>
          <w:i/>
          <w:sz w:val="18"/>
        </w:rPr>
        <w:t>–</w:t>
      </w:r>
      <w:r>
        <w:rPr>
          <w:i/>
          <w:spacing w:val="-5"/>
          <w:sz w:val="18"/>
        </w:rPr>
        <w:t xml:space="preserve"> </w:t>
      </w:r>
      <w:r>
        <w:rPr>
          <w:i/>
          <w:sz w:val="18"/>
        </w:rPr>
        <w:t>Fasteners</w:t>
      </w:r>
      <w:r>
        <w:rPr>
          <w:i/>
          <w:spacing w:val="-6"/>
          <w:sz w:val="18"/>
        </w:rPr>
        <w:t xml:space="preserve"> </w:t>
      </w:r>
      <w:r>
        <w:rPr>
          <w:i/>
          <w:sz w:val="18"/>
        </w:rPr>
        <w:t>(China)</w:t>
      </w:r>
      <w:r>
        <w:rPr>
          <w:sz w:val="18"/>
        </w:rPr>
        <w:t>,</w:t>
      </w:r>
      <w:r>
        <w:rPr>
          <w:spacing w:val="-7"/>
          <w:sz w:val="18"/>
        </w:rPr>
        <w:t xml:space="preserve"> </w:t>
      </w:r>
      <w:r>
        <w:rPr>
          <w:sz w:val="18"/>
        </w:rPr>
        <w:t>para.</w:t>
      </w:r>
      <w:r>
        <w:rPr>
          <w:spacing w:val="-5"/>
          <w:sz w:val="18"/>
        </w:rPr>
        <w:t xml:space="preserve"> </w:t>
      </w:r>
      <w:r>
        <w:rPr>
          <w:spacing w:val="-4"/>
          <w:sz w:val="18"/>
        </w:rPr>
        <w:t>413.</w:t>
      </w:r>
    </w:p>
    <w:p w14:paraId="51DE9CAB" w14:textId="77777777" w:rsidR="0010369C" w:rsidRDefault="008E43AE">
      <w:pPr>
        <w:ind w:left="238"/>
        <w:rPr>
          <w:sz w:val="18"/>
        </w:rPr>
      </w:pPr>
      <w:r>
        <w:rPr>
          <w:sz w:val="18"/>
          <w:vertAlign w:val="superscript"/>
        </w:rPr>
        <w:t>1276</w:t>
      </w:r>
      <w:r>
        <w:rPr>
          <w:spacing w:val="-10"/>
          <w:sz w:val="18"/>
        </w:rPr>
        <w:t xml:space="preserve"> </w:t>
      </w:r>
      <w:r>
        <w:rPr>
          <w:sz w:val="18"/>
        </w:rPr>
        <w:t>Anti‐Dumping</w:t>
      </w:r>
      <w:r>
        <w:rPr>
          <w:spacing w:val="-9"/>
          <w:sz w:val="18"/>
        </w:rPr>
        <w:t xml:space="preserve"> </w:t>
      </w:r>
      <w:r>
        <w:rPr>
          <w:sz w:val="18"/>
        </w:rPr>
        <w:t>Final</w:t>
      </w:r>
      <w:r>
        <w:rPr>
          <w:spacing w:val="-9"/>
          <w:sz w:val="18"/>
        </w:rPr>
        <w:t xml:space="preserve"> </w:t>
      </w:r>
      <w:r>
        <w:rPr>
          <w:sz w:val="18"/>
        </w:rPr>
        <w:t>Determination</w:t>
      </w:r>
      <w:r>
        <w:rPr>
          <w:spacing w:val="-8"/>
          <w:sz w:val="18"/>
        </w:rPr>
        <w:t xml:space="preserve"> </w:t>
      </w:r>
      <w:r>
        <w:rPr>
          <w:sz w:val="18"/>
        </w:rPr>
        <w:t>(Exhibit</w:t>
      </w:r>
      <w:r>
        <w:rPr>
          <w:spacing w:val="-9"/>
          <w:sz w:val="18"/>
        </w:rPr>
        <w:t xml:space="preserve"> </w:t>
      </w:r>
      <w:r>
        <w:rPr>
          <w:sz w:val="18"/>
        </w:rPr>
        <w:t>AUS‐2),</w:t>
      </w:r>
      <w:r>
        <w:rPr>
          <w:spacing w:val="-10"/>
          <w:sz w:val="18"/>
        </w:rPr>
        <w:t xml:space="preserve"> </w:t>
      </w:r>
      <w:r>
        <w:rPr>
          <w:sz w:val="18"/>
        </w:rPr>
        <w:t>pp.</w:t>
      </w:r>
      <w:r>
        <w:rPr>
          <w:spacing w:val="-9"/>
          <w:sz w:val="18"/>
        </w:rPr>
        <w:t xml:space="preserve"> </w:t>
      </w:r>
      <w:r>
        <w:rPr>
          <w:spacing w:val="-2"/>
          <w:sz w:val="18"/>
        </w:rPr>
        <w:t>123‐134.</w:t>
      </w:r>
    </w:p>
    <w:p w14:paraId="51DE9CAC" w14:textId="77777777" w:rsidR="0010369C" w:rsidRDefault="008E43AE">
      <w:pPr>
        <w:ind w:left="238"/>
        <w:rPr>
          <w:sz w:val="18"/>
        </w:rPr>
      </w:pPr>
      <w:r>
        <w:rPr>
          <w:sz w:val="18"/>
          <w:vertAlign w:val="superscript"/>
        </w:rPr>
        <w:t>1277</w:t>
      </w:r>
      <w:r>
        <w:rPr>
          <w:spacing w:val="-3"/>
          <w:sz w:val="18"/>
        </w:rPr>
        <w:t xml:space="preserve"> </w:t>
      </w:r>
      <w:r>
        <w:rPr>
          <w:spacing w:val="-2"/>
          <w:sz w:val="18"/>
        </w:rPr>
        <w:t>Ibid.</w:t>
      </w:r>
    </w:p>
    <w:p w14:paraId="51DE9CAD" w14:textId="77777777" w:rsidR="0010369C" w:rsidRDefault="0010369C">
      <w:pPr>
        <w:rPr>
          <w:sz w:val="18"/>
        </w:rPr>
        <w:sectPr w:rsidR="0010369C">
          <w:pgSz w:w="11910" w:h="16840"/>
          <w:pgMar w:top="880" w:right="800" w:bottom="980" w:left="1180" w:header="569" w:footer="788" w:gutter="0"/>
          <w:cols w:space="720"/>
        </w:sectPr>
      </w:pPr>
    </w:p>
    <w:p w14:paraId="51DE9CAE" w14:textId="77777777" w:rsidR="0010369C" w:rsidRDefault="008E43AE">
      <w:pPr>
        <w:tabs>
          <w:tab w:val="left" w:pos="6426"/>
        </w:tabs>
        <w:ind w:left="238"/>
        <w:rPr>
          <w:sz w:val="20"/>
        </w:rPr>
      </w:pPr>
      <w:r>
        <w:rPr>
          <w:i/>
          <w:sz w:val="20"/>
        </w:rPr>
        <w:t>China</w:t>
      </w:r>
      <w:r>
        <w:rPr>
          <w:i/>
          <w:spacing w:val="-5"/>
          <w:sz w:val="20"/>
        </w:rPr>
        <w:t xml:space="preserve"> </w:t>
      </w:r>
      <w:r>
        <w:rPr>
          <w:i/>
          <w:sz w:val="20"/>
        </w:rPr>
        <w:t>–</w:t>
      </w:r>
      <w:r>
        <w:rPr>
          <w:i/>
          <w:spacing w:val="-5"/>
          <w:sz w:val="20"/>
        </w:rPr>
        <w:t xml:space="preserve"> </w:t>
      </w:r>
      <w:r>
        <w:rPr>
          <w:i/>
          <w:sz w:val="20"/>
        </w:rPr>
        <w:t>Anti‐Dumping</w:t>
      </w:r>
      <w:r>
        <w:rPr>
          <w:i/>
          <w:spacing w:val="-4"/>
          <w:sz w:val="20"/>
        </w:rPr>
        <w:t xml:space="preserve"> </w:t>
      </w:r>
      <w:r>
        <w:rPr>
          <w:i/>
          <w:sz w:val="20"/>
        </w:rPr>
        <w:t>and</w:t>
      </w:r>
      <w:r>
        <w:rPr>
          <w:i/>
          <w:spacing w:val="-5"/>
          <w:sz w:val="20"/>
        </w:rPr>
        <w:t xml:space="preserve"> </w:t>
      </w:r>
      <w:r>
        <w:rPr>
          <w:i/>
          <w:sz w:val="20"/>
        </w:rPr>
        <w:t>Countervailing</w:t>
      </w:r>
      <w:r>
        <w:rPr>
          <w:i/>
          <w:spacing w:val="-5"/>
          <w:sz w:val="20"/>
        </w:rPr>
        <w:t xml:space="preserve"> </w:t>
      </w:r>
      <w:r>
        <w:rPr>
          <w:i/>
          <w:sz w:val="20"/>
        </w:rPr>
        <w:t>Duty</w:t>
      </w:r>
      <w:r>
        <w:rPr>
          <w:i/>
          <w:spacing w:val="-4"/>
          <w:sz w:val="20"/>
        </w:rPr>
        <w:t xml:space="preserve"> </w:t>
      </w:r>
      <w:r>
        <w:rPr>
          <w:i/>
          <w:spacing w:val="-2"/>
          <w:sz w:val="20"/>
        </w:rPr>
        <w:t>Measures</w:t>
      </w:r>
      <w:r>
        <w:rPr>
          <w:i/>
          <w:sz w:val="20"/>
        </w:rPr>
        <w:tab/>
      </w:r>
      <w:r>
        <w:rPr>
          <w:sz w:val="20"/>
        </w:rPr>
        <w:t>Australia's</w:t>
      </w:r>
      <w:r>
        <w:rPr>
          <w:spacing w:val="-7"/>
          <w:sz w:val="20"/>
        </w:rPr>
        <w:t xml:space="preserve"> </w:t>
      </w:r>
      <w:r>
        <w:rPr>
          <w:sz w:val="20"/>
        </w:rPr>
        <w:t>First</w:t>
      </w:r>
      <w:r>
        <w:rPr>
          <w:spacing w:val="-2"/>
          <w:sz w:val="20"/>
        </w:rPr>
        <w:t xml:space="preserve"> </w:t>
      </w:r>
      <w:r>
        <w:rPr>
          <w:sz w:val="20"/>
        </w:rPr>
        <w:t>Written</w:t>
      </w:r>
      <w:r>
        <w:rPr>
          <w:spacing w:val="-2"/>
          <w:sz w:val="20"/>
        </w:rPr>
        <w:t xml:space="preserve"> Submission</w:t>
      </w:r>
    </w:p>
    <w:p w14:paraId="51DE9CAF" w14:textId="77777777" w:rsidR="0010369C" w:rsidRDefault="008E43AE">
      <w:pPr>
        <w:tabs>
          <w:tab w:val="left" w:pos="8228"/>
        </w:tabs>
        <w:spacing w:before="1"/>
        <w:ind w:left="239"/>
        <w:rPr>
          <w:sz w:val="20"/>
        </w:rPr>
      </w:pPr>
      <w:r>
        <w:rPr>
          <w:i/>
          <w:sz w:val="20"/>
        </w:rPr>
        <w:t>on</w:t>
      </w:r>
      <w:r>
        <w:rPr>
          <w:i/>
          <w:spacing w:val="-1"/>
          <w:sz w:val="20"/>
        </w:rPr>
        <w:t xml:space="preserve"> </w:t>
      </w:r>
      <w:r>
        <w:rPr>
          <w:i/>
          <w:sz w:val="20"/>
        </w:rPr>
        <w:t>Wine</w:t>
      </w:r>
      <w:r>
        <w:rPr>
          <w:i/>
          <w:spacing w:val="-1"/>
          <w:sz w:val="20"/>
        </w:rPr>
        <w:t xml:space="preserve"> </w:t>
      </w:r>
      <w:r>
        <w:rPr>
          <w:i/>
          <w:sz w:val="20"/>
        </w:rPr>
        <w:t>from</w:t>
      </w:r>
      <w:r>
        <w:rPr>
          <w:i/>
          <w:spacing w:val="-3"/>
          <w:sz w:val="20"/>
        </w:rPr>
        <w:t xml:space="preserve"> </w:t>
      </w:r>
      <w:r>
        <w:rPr>
          <w:i/>
          <w:sz w:val="20"/>
        </w:rPr>
        <w:t>Australia</w:t>
      </w:r>
      <w:r>
        <w:rPr>
          <w:i/>
          <w:spacing w:val="-1"/>
          <w:sz w:val="20"/>
        </w:rPr>
        <w:t xml:space="preserve"> </w:t>
      </w:r>
      <w:r>
        <w:rPr>
          <w:spacing w:val="-2"/>
          <w:sz w:val="20"/>
        </w:rPr>
        <w:t>(DS602)</w:t>
      </w:r>
      <w:r>
        <w:rPr>
          <w:sz w:val="20"/>
        </w:rPr>
        <w:tab/>
        <w:t>29</w:t>
      </w:r>
      <w:r>
        <w:rPr>
          <w:spacing w:val="-1"/>
          <w:sz w:val="20"/>
        </w:rPr>
        <w:t xml:space="preserve"> </w:t>
      </w:r>
      <w:r>
        <w:rPr>
          <w:sz w:val="20"/>
        </w:rPr>
        <w:t>April</w:t>
      </w:r>
      <w:r>
        <w:rPr>
          <w:spacing w:val="-2"/>
          <w:sz w:val="20"/>
        </w:rPr>
        <w:t xml:space="preserve"> </w:t>
      </w:r>
      <w:r>
        <w:rPr>
          <w:spacing w:val="-4"/>
          <w:sz w:val="20"/>
        </w:rPr>
        <w:t>2022</w:t>
      </w:r>
    </w:p>
    <w:p w14:paraId="51DE9CB0" w14:textId="77777777" w:rsidR="0010369C" w:rsidRDefault="008E43AE">
      <w:pPr>
        <w:pStyle w:val="BodyText"/>
        <w:spacing w:before="34" w:line="360" w:lineRule="auto"/>
        <w:ind w:left="238" w:right="614"/>
      </w:pPr>
      <w:r>
        <w:t>such that interested parties are prevented from understanding the basis on which MOFCOM determined injury and causation.</w:t>
      </w:r>
    </w:p>
    <w:p w14:paraId="51DE9CB1" w14:textId="77777777" w:rsidR="0010369C" w:rsidRDefault="0010369C">
      <w:pPr>
        <w:pStyle w:val="BodyText"/>
        <w:spacing w:before="10"/>
        <w:rPr>
          <w:sz w:val="8"/>
        </w:rPr>
      </w:pPr>
    </w:p>
    <w:p w14:paraId="51DE9CB2" w14:textId="77777777" w:rsidR="0010369C" w:rsidRDefault="008E43AE">
      <w:pPr>
        <w:pStyle w:val="BodyText"/>
        <w:spacing w:before="52" w:line="360" w:lineRule="auto"/>
        <w:ind w:left="236" w:right="614" w:firstLine="853"/>
        <w:jc w:val="both"/>
      </w:pPr>
      <w:r>
        <w:rPr>
          <w:noProof/>
        </w:rPr>
        <w:drawing>
          <wp:anchor distT="0" distB="0" distL="0" distR="0" simplePos="0" relativeHeight="251680256" behindDoc="1" locked="0" layoutInCell="1" allowOverlap="1" wp14:anchorId="51DEA9A2" wp14:editId="51DEA9A3">
            <wp:simplePos x="0" y="0"/>
            <wp:positionH relativeFrom="page">
              <wp:posOffset>908303</wp:posOffset>
            </wp:positionH>
            <wp:positionV relativeFrom="paragraph">
              <wp:posOffset>76785</wp:posOffset>
            </wp:positionV>
            <wp:extent cx="332231" cy="106679"/>
            <wp:effectExtent l="0" t="0" r="0" b="0"/>
            <wp:wrapNone/>
            <wp:docPr id="2187" name="image1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8" name="image1121.png"/>
                    <pic:cNvPicPr/>
                  </pic:nvPicPr>
                  <pic:blipFill>
                    <a:blip r:embed="rId1428" cstate="print"/>
                    <a:stretch>
                      <a:fillRect/>
                    </a:stretch>
                  </pic:blipFill>
                  <pic:spPr>
                    <a:xfrm>
                      <a:off x="0" y="0"/>
                      <a:ext cx="332231" cy="106679"/>
                    </a:xfrm>
                    <a:prstGeom prst="rect">
                      <a:avLst/>
                    </a:prstGeom>
                  </pic:spPr>
                </pic:pic>
              </a:graphicData>
            </a:graphic>
          </wp:anchor>
        </w:drawing>
      </w:r>
      <w:r>
        <w:t>MOFCOM also failed to provide all non‐confidential information concerning the methodology and value of adjustments applied to CIF data. MOFCOM described using CIF figures</w:t>
      </w:r>
      <w:r>
        <w:rPr>
          <w:spacing w:val="-8"/>
        </w:rPr>
        <w:t xml:space="preserve"> </w:t>
      </w:r>
      <w:r>
        <w:t>from</w:t>
      </w:r>
      <w:r>
        <w:rPr>
          <w:spacing w:val="-8"/>
        </w:rPr>
        <w:t xml:space="preserve"> </w:t>
      </w:r>
      <w:r>
        <w:t>China's</w:t>
      </w:r>
      <w:r>
        <w:rPr>
          <w:spacing w:val="-8"/>
        </w:rPr>
        <w:t xml:space="preserve"> </w:t>
      </w:r>
      <w:r>
        <w:t>General</w:t>
      </w:r>
      <w:r>
        <w:rPr>
          <w:spacing w:val="-9"/>
        </w:rPr>
        <w:t xml:space="preserve"> </w:t>
      </w:r>
      <w:r>
        <w:t>Administration</w:t>
      </w:r>
      <w:r>
        <w:rPr>
          <w:spacing w:val="-10"/>
        </w:rPr>
        <w:t xml:space="preserve"> </w:t>
      </w:r>
      <w:r>
        <w:t>of</w:t>
      </w:r>
      <w:r>
        <w:rPr>
          <w:spacing w:val="-8"/>
        </w:rPr>
        <w:t xml:space="preserve"> </w:t>
      </w:r>
      <w:r>
        <w:t>Customs</w:t>
      </w:r>
      <w:r>
        <w:rPr>
          <w:spacing w:val="-8"/>
        </w:rPr>
        <w:t xml:space="preserve"> </w:t>
      </w:r>
      <w:r>
        <w:t>as</w:t>
      </w:r>
      <w:r>
        <w:rPr>
          <w:spacing w:val="-8"/>
        </w:rPr>
        <w:t xml:space="preserve"> </w:t>
      </w:r>
      <w:r>
        <w:t>its</w:t>
      </w:r>
      <w:r>
        <w:rPr>
          <w:spacing w:val="-9"/>
        </w:rPr>
        <w:t xml:space="preserve"> </w:t>
      </w:r>
      <w:r>
        <w:t>starting</w:t>
      </w:r>
      <w:r>
        <w:rPr>
          <w:spacing w:val="-7"/>
        </w:rPr>
        <w:t xml:space="preserve"> </w:t>
      </w:r>
      <w:r>
        <w:t>point,</w:t>
      </w:r>
      <w:r>
        <w:rPr>
          <w:spacing w:val="-7"/>
        </w:rPr>
        <w:t xml:space="preserve"> </w:t>
      </w:r>
      <w:r>
        <w:t>before</w:t>
      </w:r>
      <w:r>
        <w:rPr>
          <w:spacing w:val="-6"/>
        </w:rPr>
        <w:t xml:space="preserve"> </w:t>
      </w:r>
      <w:r>
        <w:t>it</w:t>
      </w:r>
      <w:r>
        <w:rPr>
          <w:spacing w:val="-9"/>
        </w:rPr>
        <w:t xml:space="preserve"> </w:t>
      </w:r>
      <w:r>
        <w:t>"furt</w:t>
      </w:r>
      <w:r>
        <w:t>her considered</w:t>
      </w:r>
      <w:r>
        <w:rPr>
          <w:spacing w:val="-13"/>
        </w:rPr>
        <w:t xml:space="preserve"> </w:t>
      </w:r>
      <w:r>
        <w:t>exchange</w:t>
      </w:r>
      <w:r>
        <w:rPr>
          <w:spacing w:val="-12"/>
        </w:rPr>
        <w:t xml:space="preserve"> </w:t>
      </w:r>
      <w:r>
        <w:t>rates,</w:t>
      </w:r>
      <w:r>
        <w:rPr>
          <w:spacing w:val="-12"/>
        </w:rPr>
        <w:t xml:space="preserve"> </w:t>
      </w:r>
      <w:r>
        <w:t>tariff</w:t>
      </w:r>
      <w:r>
        <w:rPr>
          <w:spacing w:val="-12"/>
        </w:rPr>
        <w:t xml:space="preserve"> </w:t>
      </w:r>
      <w:r>
        <w:t>rates</w:t>
      </w:r>
      <w:r>
        <w:rPr>
          <w:spacing w:val="-13"/>
        </w:rPr>
        <w:t xml:space="preserve"> </w:t>
      </w:r>
      <w:r>
        <w:t>and</w:t>
      </w:r>
      <w:r>
        <w:rPr>
          <w:spacing w:val="-12"/>
        </w:rPr>
        <w:t xml:space="preserve"> </w:t>
      </w:r>
      <w:r>
        <w:t>imported</w:t>
      </w:r>
      <w:r>
        <w:rPr>
          <w:spacing w:val="-12"/>
        </w:rPr>
        <w:t xml:space="preserve"> </w:t>
      </w:r>
      <w:r>
        <w:t>customs</w:t>
      </w:r>
      <w:r>
        <w:rPr>
          <w:spacing w:val="-13"/>
        </w:rPr>
        <w:t xml:space="preserve"> </w:t>
      </w:r>
      <w:r>
        <w:t>clearance</w:t>
      </w:r>
      <w:r>
        <w:rPr>
          <w:spacing w:val="-12"/>
        </w:rPr>
        <w:t xml:space="preserve"> </w:t>
      </w:r>
      <w:r>
        <w:t>costs…</w:t>
      </w:r>
      <w:r>
        <w:rPr>
          <w:spacing w:val="-12"/>
        </w:rPr>
        <w:t xml:space="preserve"> </w:t>
      </w:r>
      <w:r>
        <w:t>[and]</w:t>
      </w:r>
      <w:r>
        <w:rPr>
          <w:spacing w:val="-11"/>
        </w:rPr>
        <w:t xml:space="preserve"> </w:t>
      </w:r>
      <w:r>
        <w:t>adjusted the imported price of the product under investigation accordingly".</w:t>
      </w:r>
      <w:r>
        <w:rPr>
          <w:vertAlign w:val="superscript"/>
        </w:rPr>
        <w:t>1278</w:t>
      </w:r>
      <w:r>
        <w:t xml:space="preserve"> MOFCOM did not elaborate on precisely which adjustments were made or their quantum. Whi</w:t>
      </w:r>
      <w:r>
        <w:t>le MOFCOM provided</w:t>
      </w:r>
      <w:r>
        <w:rPr>
          <w:spacing w:val="-7"/>
        </w:rPr>
        <w:t xml:space="preserve"> </w:t>
      </w:r>
      <w:r>
        <w:t>the</w:t>
      </w:r>
      <w:r>
        <w:rPr>
          <w:spacing w:val="-7"/>
        </w:rPr>
        <w:t xml:space="preserve"> </w:t>
      </w:r>
      <w:r>
        <w:t>adjusted</w:t>
      </w:r>
      <w:r>
        <w:rPr>
          <w:spacing w:val="-8"/>
        </w:rPr>
        <w:t xml:space="preserve"> </w:t>
      </w:r>
      <w:r>
        <w:t>price</w:t>
      </w:r>
      <w:r>
        <w:rPr>
          <w:spacing w:val="-7"/>
        </w:rPr>
        <w:t xml:space="preserve"> </w:t>
      </w:r>
      <w:r>
        <w:t>of</w:t>
      </w:r>
      <w:r>
        <w:rPr>
          <w:spacing w:val="-8"/>
        </w:rPr>
        <w:t xml:space="preserve"> </w:t>
      </w:r>
      <w:r>
        <w:t>the</w:t>
      </w:r>
      <w:r>
        <w:rPr>
          <w:spacing w:val="-7"/>
        </w:rPr>
        <w:t xml:space="preserve"> </w:t>
      </w:r>
      <w:r>
        <w:t>imported</w:t>
      </w:r>
      <w:r>
        <w:rPr>
          <w:spacing w:val="-7"/>
        </w:rPr>
        <w:t xml:space="preserve"> </w:t>
      </w:r>
      <w:r>
        <w:t>product,</w:t>
      </w:r>
      <w:r>
        <w:rPr>
          <w:spacing w:val="-7"/>
        </w:rPr>
        <w:t xml:space="preserve"> </w:t>
      </w:r>
      <w:r>
        <w:t>it</w:t>
      </w:r>
      <w:r>
        <w:rPr>
          <w:spacing w:val="-7"/>
        </w:rPr>
        <w:t xml:space="preserve"> </w:t>
      </w:r>
      <w:r>
        <w:t>did</w:t>
      </w:r>
      <w:r>
        <w:rPr>
          <w:spacing w:val="-8"/>
        </w:rPr>
        <w:t xml:space="preserve"> </w:t>
      </w:r>
      <w:r>
        <w:t>not</w:t>
      </w:r>
      <w:r>
        <w:rPr>
          <w:spacing w:val="-7"/>
        </w:rPr>
        <w:t xml:space="preserve"> </w:t>
      </w:r>
      <w:r>
        <w:t>provide</w:t>
      </w:r>
      <w:r>
        <w:rPr>
          <w:spacing w:val="-6"/>
        </w:rPr>
        <w:t xml:space="preserve"> </w:t>
      </w:r>
      <w:r>
        <w:t>information</w:t>
      </w:r>
      <w:r>
        <w:rPr>
          <w:spacing w:val="-7"/>
        </w:rPr>
        <w:t xml:space="preserve"> </w:t>
      </w:r>
      <w:r>
        <w:t>about</w:t>
      </w:r>
      <w:r>
        <w:rPr>
          <w:spacing w:val="-7"/>
        </w:rPr>
        <w:t xml:space="preserve"> </w:t>
      </w:r>
      <w:r>
        <w:t>the pre‐adjustment CIF price and adjustment figures.</w:t>
      </w:r>
      <w:r>
        <w:rPr>
          <w:vertAlign w:val="superscript"/>
        </w:rPr>
        <w:t>1279</w:t>
      </w:r>
      <w:r>
        <w:t xml:space="preserve"> No information was provided about adjustments that are by their nature non‐confidential, such as exchange rates, tariff rates, imported customs clearance costs and the monthly average exchange rate published by the People's Bank of China. The failure to p</w:t>
      </w:r>
      <w:r>
        <w:t>rovide this non‐confidential information prevented interested parties from being able to understand and prepare and make submissions on the calculation of CIF price and the final import price.</w:t>
      </w:r>
    </w:p>
    <w:p w14:paraId="51DE9CB3" w14:textId="77777777" w:rsidR="0010369C" w:rsidRDefault="0010369C">
      <w:pPr>
        <w:pStyle w:val="BodyText"/>
        <w:spacing w:before="10"/>
        <w:rPr>
          <w:sz w:val="8"/>
        </w:rPr>
      </w:pPr>
    </w:p>
    <w:p w14:paraId="51DE9CB4" w14:textId="77777777" w:rsidR="0010369C" w:rsidRDefault="008E43AE">
      <w:pPr>
        <w:pStyle w:val="BodyText"/>
        <w:spacing w:before="52" w:line="360" w:lineRule="auto"/>
        <w:ind w:left="237" w:right="613" w:firstLine="851"/>
        <w:jc w:val="both"/>
      </w:pPr>
      <w:r>
        <w:rPr>
          <w:noProof/>
        </w:rPr>
        <w:drawing>
          <wp:anchor distT="0" distB="0" distL="0" distR="0" simplePos="0" relativeHeight="251681280" behindDoc="1" locked="0" layoutInCell="1" allowOverlap="1" wp14:anchorId="51DEA9A4" wp14:editId="51DEA9A5">
            <wp:simplePos x="0" y="0"/>
            <wp:positionH relativeFrom="page">
              <wp:posOffset>908303</wp:posOffset>
            </wp:positionH>
            <wp:positionV relativeFrom="paragraph">
              <wp:posOffset>75261</wp:posOffset>
            </wp:positionV>
            <wp:extent cx="332231" cy="106679"/>
            <wp:effectExtent l="0" t="0" r="0" b="0"/>
            <wp:wrapNone/>
            <wp:docPr id="2189" name="image1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0" name="image1122.png"/>
                    <pic:cNvPicPr/>
                  </pic:nvPicPr>
                  <pic:blipFill>
                    <a:blip r:embed="rId1429" cstate="print"/>
                    <a:stretch>
                      <a:fillRect/>
                    </a:stretch>
                  </pic:blipFill>
                  <pic:spPr>
                    <a:xfrm>
                      <a:off x="0" y="0"/>
                      <a:ext cx="332231" cy="106679"/>
                    </a:xfrm>
                    <a:prstGeom prst="rect">
                      <a:avLst/>
                    </a:prstGeom>
                  </pic:spPr>
                </pic:pic>
              </a:graphicData>
            </a:graphic>
          </wp:anchor>
        </w:drawing>
      </w:r>
      <w:r>
        <w:t>MOFCOM</w:t>
      </w:r>
      <w:r>
        <w:rPr>
          <w:spacing w:val="-6"/>
        </w:rPr>
        <w:t xml:space="preserve"> </w:t>
      </w:r>
      <w:r>
        <w:t>also</w:t>
      </w:r>
      <w:r>
        <w:rPr>
          <w:spacing w:val="-6"/>
        </w:rPr>
        <w:t xml:space="preserve"> </w:t>
      </w:r>
      <w:r>
        <w:t>failed</w:t>
      </w:r>
      <w:r>
        <w:rPr>
          <w:spacing w:val="-6"/>
        </w:rPr>
        <w:t xml:space="preserve"> </w:t>
      </w:r>
      <w:r>
        <w:t>to</w:t>
      </w:r>
      <w:r>
        <w:rPr>
          <w:spacing w:val="-7"/>
        </w:rPr>
        <w:t xml:space="preserve"> </w:t>
      </w:r>
      <w:r>
        <w:t>provide</w:t>
      </w:r>
      <w:r>
        <w:rPr>
          <w:spacing w:val="-5"/>
        </w:rPr>
        <w:t xml:space="preserve"> </w:t>
      </w:r>
      <w:r>
        <w:t>all</w:t>
      </w:r>
      <w:r>
        <w:rPr>
          <w:spacing w:val="-7"/>
        </w:rPr>
        <w:t xml:space="preserve"> </w:t>
      </w:r>
      <w:r>
        <w:t>relevant</w:t>
      </w:r>
      <w:r>
        <w:rPr>
          <w:spacing w:val="-7"/>
        </w:rPr>
        <w:t xml:space="preserve"> </w:t>
      </w:r>
      <w:r>
        <w:t>matters</w:t>
      </w:r>
      <w:r>
        <w:rPr>
          <w:spacing w:val="-7"/>
        </w:rPr>
        <w:t xml:space="preserve"> </w:t>
      </w:r>
      <w:r>
        <w:t>of</w:t>
      </w:r>
      <w:r>
        <w:rPr>
          <w:spacing w:val="-7"/>
        </w:rPr>
        <w:t xml:space="preserve"> </w:t>
      </w:r>
      <w:r>
        <w:t>fact</w:t>
      </w:r>
      <w:r>
        <w:rPr>
          <w:spacing w:val="-7"/>
        </w:rPr>
        <w:t xml:space="preserve"> </w:t>
      </w:r>
      <w:r>
        <w:t>in</w:t>
      </w:r>
      <w:r>
        <w:rPr>
          <w:spacing w:val="-7"/>
        </w:rPr>
        <w:t xml:space="preserve"> </w:t>
      </w:r>
      <w:r>
        <w:t>relation</w:t>
      </w:r>
      <w:r>
        <w:rPr>
          <w:spacing w:val="-8"/>
        </w:rPr>
        <w:t xml:space="preserve"> </w:t>
      </w:r>
      <w:r>
        <w:t>to</w:t>
      </w:r>
      <w:r>
        <w:rPr>
          <w:spacing w:val="-7"/>
        </w:rPr>
        <w:t xml:space="preserve"> </w:t>
      </w:r>
      <w:r>
        <w:t>the</w:t>
      </w:r>
      <w:r>
        <w:rPr>
          <w:spacing w:val="-6"/>
        </w:rPr>
        <w:t xml:space="preserve"> </w:t>
      </w:r>
      <w:r>
        <w:t>prices</w:t>
      </w:r>
      <w:r>
        <w:rPr>
          <w:spacing w:val="-7"/>
        </w:rPr>
        <w:t xml:space="preserve"> </w:t>
      </w:r>
      <w:r>
        <w:t>of domestic like products. In</w:t>
      </w:r>
      <w:r>
        <w:rPr>
          <w:spacing w:val="-1"/>
        </w:rPr>
        <w:t xml:space="preserve"> </w:t>
      </w:r>
      <w:r>
        <w:t>its</w:t>
      </w:r>
      <w:r>
        <w:rPr>
          <w:spacing w:val="-1"/>
        </w:rPr>
        <w:t xml:space="preserve"> </w:t>
      </w:r>
      <w:r>
        <w:t>Final Determination, MOFCOM only provided</w:t>
      </w:r>
      <w:r>
        <w:rPr>
          <w:spacing w:val="-1"/>
        </w:rPr>
        <w:t xml:space="preserve"> </w:t>
      </w:r>
      <w:r>
        <w:t>a</w:t>
      </w:r>
      <w:r>
        <w:rPr>
          <w:spacing w:val="-1"/>
        </w:rPr>
        <w:t xml:space="preserve"> </w:t>
      </w:r>
      <w:r>
        <w:t>summary</w:t>
      </w:r>
      <w:r>
        <w:rPr>
          <w:spacing w:val="-1"/>
        </w:rPr>
        <w:t xml:space="preserve"> </w:t>
      </w:r>
      <w:r>
        <w:t>of</w:t>
      </w:r>
      <w:r>
        <w:rPr>
          <w:spacing w:val="-1"/>
        </w:rPr>
        <w:t xml:space="preserve"> </w:t>
      </w:r>
      <w:r>
        <w:t>the prices of the domestic like products and concluded that "the sale price of domestic like products</w:t>
      </w:r>
      <w:r>
        <w:rPr>
          <w:spacing w:val="-14"/>
        </w:rPr>
        <w:t xml:space="preserve"> </w:t>
      </w:r>
      <w:r>
        <w:t>showed</w:t>
      </w:r>
      <w:r>
        <w:rPr>
          <w:spacing w:val="-14"/>
        </w:rPr>
        <w:t xml:space="preserve"> </w:t>
      </w:r>
      <w:r>
        <w:t>an</w:t>
      </w:r>
      <w:r>
        <w:rPr>
          <w:spacing w:val="-13"/>
        </w:rPr>
        <w:t xml:space="preserve"> </w:t>
      </w:r>
      <w:r>
        <w:t>upward</w:t>
      </w:r>
      <w:r>
        <w:rPr>
          <w:spacing w:val="-14"/>
        </w:rPr>
        <w:t xml:space="preserve"> </w:t>
      </w:r>
      <w:r>
        <w:t>trend".</w:t>
      </w:r>
      <w:r>
        <w:rPr>
          <w:vertAlign w:val="superscript"/>
        </w:rPr>
        <w:t>1280</w:t>
      </w:r>
      <w:r>
        <w:rPr>
          <w:spacing w:val="-13"/>
        </w:rPr>
        <w:t xml:space="preserve"> </w:t>
      </w:r>
      <w:r>
        <w:t>The</w:t>
      </w:r>
      <w:r>
        <w:rPr>
          <w:spacing w:val="-14"/>
        </w:rPr>
        <w:t xml:space="preserve"> </w:t>
      </w:r>
      <w:r>
        <w:t>lack</w:t>
      </w:r>
      <w:r>
        <w:rPr>
          <w:spacing w:val="-13"/>
        </w:rPr>
        <w:t xml:space="preserve"> </w:t>
      </w:r>
      <w:r>
        <w:t>of</w:t>
      </w:r>
      <w:r>
        <w:rPr>
          <w:spacing w:val="-14"/>
        </w:rPr>
        <w:t xml:space="preserve"> </w:t>
      </w:r>
      <w:r>
        <w:t>relevant,</w:t>
      </w:r>
      <w:r>
        <w:rPr>
          <w:spacing w:val="-14"/>
        </w:rPr>
        <w:t xml:space="preserve"> </w:t>
      </w:r>
      <w:r>
        <w:t>non‐confidential</w:t>
      </w:r>
      <w:r>
        <w:rPr>
          <w:spacing w:val="-13"/>
        </w:rPr>
        <w:t xml:space="preserve"> </w:t>
      </w:r>
      <w:r>
        <w:t>information</w:t>
      </w:r>
      <w:r>
        <w:rPr>
          <w:spacing w:val="-14"/>
        </w:rPr>
        <w:t xml:space="preserve"> </w:t>
      </w:r>
      <w:r>
        <w:t>that informed</w:t>
      </w:r>
      <w:r>
        <w:rPr>
          <w:spacing w:val="-6"/>
        </w:rPr>
        <w:t xml:space="preserve"> </w:t>
      </w:r>
      <w:r>
        <w:t>MOFCOM's</w:t>
      </w:r>
      <w:r>
        <w:rPr>
          <w:spacing w:val="-6"/>
        </w:rPr>
        <w:t xml:space="preserve"> </w:t>
      </w:r>
      <w:r>
        <w:t>calculations</w:t>
      </w:r>
      <w:r>
        <w:rPr>
          <w:spacing w:val="-6"/>
        </w:rPr>
        <w:t xml:space="preserve"> </w:t>
      </w:r>
      <w:r>
        <w:t>prevented</w:t>
      </w:r>
      <w:r>
        <w:rPr>
          <w:spacing w:val="-6"/>
        </w:rPr>
        <w:t xml:space="preserve"> </w:t>
      </w:r>
      <w:r>
        <w:t>the</w:t>
      </w:r>
      <w:r>
        <w:rPr>
          <w:spacing w:val="-6"/>
        </w:rPr>
        <w:t xml:space="preserve"> </w:t>
      </w:r>
      <w:r>
        <w:t>interested</w:t>
      </w:r>
      <w:r>
        <w:rPr>
          <w:spacing w:val="-5"/>
        </w:rPr>
        <w:t xml:space="preserve"> </w:t>
      </w:r>
      <w:r>
        <w:t>parties</w:t>
      </w:r>
      <w:r>
        <w:rPr>
          <w:spacing w:val="-6"/>
        </w:rPr>
        <w:t xml:space="preserve"> </w:t>
      </w:r>
      <w:r>
        <w:t>from</w:t>
      </w:r>
      <w:r>
        <w:rPr>
          <w:spacing w:val="-7"/>
        </w:rPr>
        <w:t xml:space="preserve"> </w:t>
      </w:r>
      <w:r>
        <w:t>verifying</w:t>
      </w:r>
      <w:r>
        <w:rPr>
          <w:spacing w:val="-7"/>
        </w:rPr>
        <w:t xml:space="preserve"> </w:t>
      </w:r>
      <w:r>
        <w:t>the</w:t>
      </w:r>
      <w:r>
        <w:rPr>
          <w:spacing w:val="-7"/>
        </w:rPr>
        <w:t xml:space="preserve"> </w:t>
      </w:r>
      <w:r>
        <w:t>price</w:t>
      </w:r>
      <w:r>
        <w:rPr>
          <w:spacing w:val="-5"/>
        </w:rPr>
        <w:t xml:space="preserve"> </w:t>
      </w:r>
      <w:r>
        <w:t>of domestic like products.</w:t>
      </w:r>
    </w:p>
    <w:p w14:paraId="51DE9CB5" w14:textId="77777777" w:rsidR="0010369C" w:rsidRDefault="0010369C">
      <w:pPr>
        <w:pStyle w:val="BodyText"/>
        <w:spacing w:before="11"/>
        <w:rPr>
          <w:sz w:val="8"/>
        </w:rPr>
      </w:pPr>
    </w:p>
    <w:p w14:paraId="51DE9CB6" w14:textId="77777777" w:rsidR="0010369C" w:rsidRDefault="008E43AE">
      <w:pPr>
        <w:pStyle w:val="BodyText"/>
        <w:spacing w:before="52" w:line="360" w:lineRule="auto"/>
        <w:ind w:left="236" w:right="612" w:firstLine="852"/>
        <w:jc w:val="both"/>
      </w:pPr>
      <w:r>
        <w:rPr>
          <w:noProof/>
        </w:rPr>
        <w:drawing>
          <wp:anchor distT="0" distB="0" distL="0" distR="0" simplePos="0" relativeHeight="251682304" behindDoc="1" locked="0" layoutInCell="1" allowOverlap="1" wp14:anchorId="51DEA9A6" wp14:editId="51DEA9A7">
            <wp:simplePos x="0" y="0"/>
            <wp:positionH relativeFrom="page">
              <wp:posOffset>908303</wp:posOffset>
            </wp:positionH>
            <wp:positionV relativeFrom="paragraph">
              <wp:posOffset>76023</wp:posOffset>
            </wp:positionV>
            <wp:extent cx="332231" cy="106679"/>
            <wp:effectExtent l="0" t="0" r="0" b="0"/>
            <wp:wrapNone/>
            <wp:docPr id="2191" name="image1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2" name="image1123.png"/>
                    <pic:cNvPicPr/>
                  </pic:nvPicPr>
                  <pic:blipFill>
                    <a:blip r:embed="rId1430" cstate="print"/>
                    <a:stretch>
                      <a:fillRect/>
                    </a:stretch>
                  </pic:blipFill>
                  <pic:spPr>
                    <a:xfrm>
                      <a:off x="0" y="0"/>
                      <a:ext cx="332231" cy="106679"/>
                    </a:xfrm>
                    <a:prstGeom prst="rect">
                      <a:avLst/>
                    </a:prstGeom>
                  </pic:spPr>
                </pic:pic>
              </a:graphicData>
            </a:graphic>
          </wp:anchor>
        </w:drawing>
      </w:r>
      <w:r>
        <w:t>MOFCOM further failed to provide all non‐confidential information in the Final Determination in relation to the import prices of non‐subject imports. MOFCOM did not indicate what adjustments were applied to domestic prices with sufficient specificity, incl</w:t>
      </w:r>
      <w:r>
        <w:t>uding</w:t>
      </w:r>
      <w:r>
        <w:rPr>
          <w:spacing w:val="-6"/>
        </w:rPr>
        <w:t xml:space="preserve"> </w:t>
      </w:r>
      <w:r>
        <w:t>the</w:t>
      </w:r>
      <w:r>
        <w:rPr>
          <w:spacing w:val="-7"/>
        </w:rPr>
        <w:t xml:space="preserve"> </w:t>
      </w:r>
      <w:r>
        <w:t>methodology</w:t>
      </w:r>
      <w:r>
        <w:rPr>
          <w:spacing w:val="-7"/>
        </w:rPr>
        <w:t xml:space="preserve"> </w:t>
      </w:r>
      <w:r>
        <w:t>for</w:t>
      </w:r>
      <w:r>
        <w:rPr>
          <w:spacing w:val="-7"/>
        </w:rPr>
        <w:t xml:space="preserve"> </w:t>
      </w:r>
      <w:r>
        <w:t>rejecting</w:t>
      </w:r>
      <w:r>
        <w:rPr>
          <w:spacing w:val="-7"/>
        </w:rPr>
        <w:t xml:space="preserve"> </w:t>
      </w:r>
      <w:r>
        <w:t>or</w:t>
      </w:r>
      <w:r>
        <w:rPr>
          <w:spacing w:val="-7"/>
        </w:rPr>
        <w:t xml:space="preserve"> </w:t>
      </w:r>
      <w:r>
        <w:t>accepting</w:t>
      </w:r>
      <w:r>
        <w:rPr>
          <w:spacing w:val="-7"/>
        </w:rPr>
        <w:t xml:space="preserve"> </w:t>
      </w:r>
      <w:r>
        <w:t>these</w:t>
      </w:r>
      <w:r>
        <w:rPr>
          <w:spacing w:val="-7"/>
        </w:rPr>
        <w:t xml:space="preserve"> </w:t>
      </w:r>
      <w:r>
        <w:t>adjustments</w:t>
      </w:r>
      <w:r>
        <w:rPr>
          <w:spacing w:val="-8"/>
        </w:rPr>
        <w:t xml:space="preserve"> </w:t>
      </w:r>
      <w:r>
        <w:t>and</w:t>
      </w:r>
      <w:r>
        <w:rPr>
          <w:spacing w:val="-8"/>
        </w:rPr>
        <w:t xml:space="preserve"> </w:t>
      </w:r>
      <w:r>
        <w:t>the</w:t>
      </w:r>
      <w:r>
        <w:rPr>
          <w:spacing w:val="-7"/>
        </w:rPr>
        <w:t xml:space="preserve"> </w:t>
      </w:r>
      <w:r>
        <w:t>value</w:t>
      </w:r>
      <w:r>
        <w:rPr>
          <w:spacing w:val="-7"/>
        </w:rPr>
        <w:t xml:space="preserve"> </w:t>
      </w:r>
      <w:r>
        <w:t>of</w:t>
      </w:r>
      <w:r>
        <w:rPr>
          <w:spacing w:val="-8"/>
        </w:rPr>
        <w:t xml:space="preserve"> </w:t>
      </w:r>
      <w:r>
        <w:t>each adjustment. MOFCOM also provided the Australian import price and domestic prices in RMB/kl,</w:t>
      </w:r>
      <w:r>
        <w:rPr>
          <w:spacing w:val="-14"/>
        </w:rPr>
        <w:t xml:space="preserve"> </w:t>
      </w:r>
      <w:r>
        <w:t>but</w:t>
      </w:r>
      <w:r>
        <w:rPr>
          <w:spacing w:val="-12"/>
        </w:rPr>
        <w:t xml:space="preserve"> </w:t>
      </w:r>
      <w:r>
        <w:t>then</w:t>
      </w:r>
      <w:r>
        <w:rPr>
          <w:spacing w:val="-13"/>
        </w:rPr>
        <w:t xml:space="preserve"> </w:t>
      </w:r>
      <w:r>
        <w:t>provided</w:t>
      </w:r>
      <w:r>
        <w:rPr>
          <w:spacing w:val="-13"/>
        </w:rPr>
        <w:t xml:space="preserve"> </w:t>
      </w:r>
      <w:r>
        <w:t>the</w:t>
      </w:r>
      <w:r>
        <w:rPr>
          <w:spacing w:val="-12"/>
        </w:rPr>
        <w:t xml:space="preserve"> </w:t>
      </w:r>
      <w:r>
        <w:t>prices</w:t>
      </w:r>
      <w:r>
        <w:rPr>
          <w:spacing w:val="-13"/>
        </w:rPr>
        <w:t xml:space="preserve"> </w:t>
      </w:r>
      <w:r>
        <w:t>of</w:t>
      </w:r>
      <w:r>
        <w:rPr>
          <w:spacing w:val="-13"/>
        </w:rPr>
        <w:t xml:space="preserve"> </w:t>
      </w:r>
      <w:r>
        <w:t>non‐subject</w:t>
      </w:r>
      <w:r>
        <w:rPr>
          <w:spacing w:val="-13"/>
        </w:rPr>
        <w:t xml:space="preserve"> </w:t>
      </w:r>
      <w:r>
        <w:t>imports</w:t>
      </w:r>
      <w:r>
        <w:rPr>
          <w:spacing w:val="-12"/>
        </w:rPr>
        <w:t xml:space="preserve"> </w:t>
      </w:r>
      <w:r>
        <w:t>in</w:t>
      </w:r>
      <w:r>
        <w:rPr>
          <w:spacing w:val="-14"/>
        </w:rPr>
        <w:t xml:space="preserve"> </w:t>
      </w:r>
      <w:r>
        <w:t>USD/kl.</w:t>
      </w:r>
      <w:r>
        <w:rPr>
          <w:spacing w:val="-13"/>
        </w:rPr>
        <w:t xml:space="preserve"> </w:t>
      </w:r>
      <w:r>
        <w:t>This</w:t>
      </w:r>
      <w:r>
        <w:rPr>
          <w:spacing w:val="-13"/>
        </w:rPr>
        <w:t xml:space="preserve"> </w:t>
      </w:r>
      <w:r>
        <w:t>was</w:t>
      </w:r>
      <w:r>
        <w:rPr>
          <w:spacing w:val="-14"/>
        </w:rPr>
        <w:t xml:space="preserve"> </w:t>
      </w:r>
      <w:r>
        <w:rPr>
          <w:spacing w:val="-2"/>
        </w:rPr>
        <w:t>com</w:t>
      </w:r>
      <w:r>
        <w:rPr>
          <w:spacing w:val="-2"/>
        </w:rPr>
        <w:t>pounded</w:t>
      </w:r>
    </w:p>
    <w:p w14:paraId="51DE9CB7" w14:textId="77777777" w:rsidR="0010369C" w:rsidRDefault="0010369C">
      <w:pPr>
        <w:pStyle w:val="BodyText"/>
        <w:rPr>
          <w:sz w:val="20"/>
        </w:rPr>
      </w:pPr>
    </w:p>
    <w:p w14:paraId="51DE9CB8" w14:textId="77777777" w:rsidR="0010369C" w:rsidRDefault="0010369C">
      <w:pPr>
        <w:pStyle w:val="BodyText"/>
        <w:rPr>
          <w:sz w:val="20"/>
        </w:rPr>
      </w:pPr>
    </w:p>
    <w:p w14:paraId="51DE9CB9" w14:textId="77777777" w:rsidR="0010369C" w:rsidRDefault="008E43AE">
      <w:pPr>
        <w:pStyle w:val="BodyText"/>
        <w:spacing w:before="7"/>
        <w:rPr>
          <w:sz w:val="29"/>
        </w:rPr>
      </w:pPr>
      <w:r>
        <w:pict w14:anchorId="51DEA9A8">
          <v:rect id="docshape1496" o:spid="_x0000_s1031" style="position:absolute;margin-left:70.9pt;margin-top:19.3pt;width:2in;height:.8pt;z-index:-250650112;mso-wrap-distance-left:0;mso-wrap-distance-right:0;mso-position-horizontal-relative:page" fillcolor="black" stroked="f">
            <w10:wrap type="topAndBottom" anchorx="page"/>
          </v:rect>
        </w:pict>
      </w:r>
    </w:p>
    <w:p w14:paraId="51DE9CBA" w14:textId="77777777" w:rsidR="0010369C" w:rsidRDefault="008E43AE">
      <w:pPr>
        <w:spacing w:before="109"/>
        <w:ind w:left="238" w:right="5157"/>
        <w:jc w:val="both"/>
        <w:rPr>
          <w:sz w:val="18"/>
        </w:rPr>
      </w:pPr>
      <w:r>
        <w:rPr>
          <w:sz w:val="18"/>
          <w:vertAlign w:val="superscript"/>
        </w:rPr>
        <w:t>1278</w:t>
      </w:r>
      <w:r>
        <w:rPr>
          <w:spacing w:val="-5"/>
          <w:sz w:val="18"/>
        </w:rPr>
        <w:t xml:space="preserve"> </w:t>
      </w:r>
      <w:r>
        <w:rPr>
          <w:sz w:val="18"/>
        </w:rPr>
        <w:t>Anti‐Dumping</w:t>
      </w:r>
      <w:r>
        <w:rPr>
          <w:spacing w:val="-5"/>
          <w:sz w:val="18"/>
        </w:rPr>
        <w:t xml:space="preserve"> </w:t>
      </w:r>
      <w:r>
        <w:rPr>
          <w:sz w:val="18"/>
        </w:rPr>
        <w:t>Final</w:t>
      </w:r>
      <w:r>
        <w:rPr>
          <w:spacing w:val="-5"/>
          <w:sz w:val="18"/>
        </w:rPr>
        <w:t xml:space="preserve"> </w:t>
      </w:r>
      <w:r>
        <w:rPr>
          <w:sz w:val="18"/>
        </w:rPr>
        <w:t>Determination</w:t>
      </w:r>
      <w:r>
        <w:rPr>
          <w:spacing w:val="-4"/>
          <w:sz w:val="18"/>
        </w:rPr>
        <w:t xml:space="preserve"> </w:t>
      </w:r>
      <w:r>
        <w:rPr>
          <w:sz w:val="18"/>
        </w:rPr>
        <w:t>(Exhibit</w:t>
      </w:r>
      <w:r>
        <w:rPr>
          <w:spacing w:val="-5"/>
          <w:sz w:val="18"/>
        </w:rPr>
        <w:t xml:space="preserve"> </w:t>
      </w:r>
      <w:r>
        <w:rPr>
          <w:sz w:val="18"/>
        </w:rPr>
        <w:t>AUS‐2),</w:t>
      </w:r>
      <w:r>
        <w:rPr>
          <w:spacing w:val="-6"/>
          <w:sz w:val="18"/>
        </w:rPr>
        <w:t xml:space="preserve"> </w:t>
      </w:r>
      <w:r>
        <w:rPr>
          <w:sz w:val="18"/>
        </w:rPr>
        <w:t>p.</w:t>
      </w:r>
      <w:r>
        <w:rPr>
          <w:spacing w:val="-5"/>
          <w:sz w:val="18"/>
        </w:rPr>
        <w:t xml:space="preserve"> </w:t>
      </w:r>
      <w:r>
        <w:rPr>
          <w:sz w:val="18"/>
        </w:rPr>
        <w:t xml:space="preserve">113. </w:t>
      </w:r>
      <w:r>
        <w:rPr>
          <w:sz w:val="18"/>
          <w:vertAlign w:val="superscript"/>
        </w:rPr>
        <w:t>1279</w:t>
      </w:r>
      <w:r>
        <w:rPr>
          <w:spacing w:val="-5"/>
          <w:sz w:val="18"/>
        </w:rPr>
        <w:t xml:space="preserve"> </w:t>
      </w:r>
      <w:r>
        <w:rPr>
          <w:sz w:val="18"/>
        </w:rPr>
        <w:t>Anti‐Dumping</w:t>
      </w:r>
      <w:r>
        <w:rPr>
          <w:spacing w:val="-5"/>
          <w:sz w:val="18"/>
        </w:rPr>
        <w:t xml:space="preserve"> </w:t>
      </w:r>
      <w:r>
        <w:rPr>
          <w:sz w:val="18"/>
        </w:rPr>
        <w:t>Final</w:t>
      </w:r>
      <w:r>
        <w:rPr>
          <w:spacing w:val="-5"/>
          <w:sz w:val="18"/>
        </w:rPr>
        <w:t xml:space="preserve"> </w:t>
      </w:r>
      <w:r>
        <w:rPr>
          <w:sz w:val="18"/>
        </w:rPr>
        <w:t>Determination</w:t>
      </w:r>
      <w:r>
        <w:rPr>
          <w:spacing w:val="-4"/>
          <w:sz w:val="18"/>
        </w:rPr>
        <w:t xml:space="preserve"> </w:t>
      </w:r>
      <w:r>
        <w:rPr>
          <w:sz w:val="18"/>
        </w:rPr>
        <w:t>(Exhibit</w:t>
      </w:r>
      <w:r>
        <w:rPr>
          <w:spacing w:val="-5"/>
          <w:sz w:val="18"/>
        </w:rPr>
        <w:t xml:space="preserve"> </w:t>
      </w:r>
      <w:r>
        <w:rPr>
          <w:sz w:val="18"/>
        </w:rPr>
        <w:t>AUS‐2),</w:t>
      </w:r>
      <w:r>
        <w:rPr>
          <w:spacing w:val="-6"/>
          <w:sz w:val="18"/>
        </w:rPr>
        <w:t xml:space="preserve"> </w:t>
      </w:r>
      <w:r>
        <w:rPr>
          <w:sz w:val="18"/>
        </w:rPr>
        <w:t>p.</w:t>
      </w:r>
      <w:r>
        <w:rPr>
          <w:spacing w:val="-5"/>
          <w:sz w:val="18"/>
        </w:rPr>
        <w:t xml:space="preserve"> </w:t>
      </w:r>
      <w:r>
        <w:rPr>
          <w:sz w:val="18"/>
        </w:rPr>
        <w:t xml:space="preserve">113. </w:t>
      </w:r>
      <w:r>
        <w:rPr>
          <w:sz w:val="18"/>
          <w:vertAlign w:val="superscript"/>
        </w:rPr>
        <w:t>1280</w:t>
      </w:r>
      <w:r>
        <w:rPr>
          <w:spacing w:val="-9"/>
          <w:sz w:val="18"/>
        </w:rPr>
        <w:t xml:space="preserve"> </w:t>
      </w:r>
      <w:r>
        <w:rPr>
          <w:sz w:val="18"/>
        </w:rPr>
        <w:t>Anti‐Dumping</w:t>
      </w:r>
      <w:r>
        <w:rPr>
          <w:spacing w:val="-9"/>
          <w:sz w:val="18"/>
        </w:rPr>
        <w:t xml:space="preserve"> </w:t>
      </w:r>
      <w:r>
        <w:rPr>
          <w:sz w:val="18"/>
        </w:rPr>
        <w:t>Final</w:t>
      </w:r>
      <w:r>
        <w:rPr>
          <w:spacing w:val="-9"/>
          <w:sz w:val="18"/>
        </w:rPr>
        <w:t xml:space="preserve"> </w:t>
      </w:r>
      <w:r>
        <w:rPr>
          <w:sz w:val="18"/>
        </w:rPr>
        <w:t>Determination</w:t>
      </w:r>
      <w:r>
        <w:rPr>
          <w:spacing w:val="-8"/>
          <w:sz w:val="18"/>
        </w:rPr>
        <w:t xml:space="preserve"> </w:t>
      </w:r>
      <w:r>
        <w:rPr>
          <w:sz w:val="18"/>
        </w:rPr>
        <w:t>(Exhibit</w:t>
      </w:r>
      <w:r>
        <w:rPr>
          <w:spacing w:val="-9"/>
          <w:sz w:val="18"/>
        </w:rPr>
        <w:t xml:space="preserve"> </w:t>
      </w:r>
      <w:r>
        <w:rPr>
          <w:sz w:val="18"/>
        </w:rPr>
        <w:t>AUS‐2),</w:t>
      </w:r>
      <w:r>
        <w:rPr>
          <w:spacing w:val="-10"/>
          <w:sz w:val="18"/>
        </w:rPr>
        <w:t xml:space="preserve"> </w:t>
      </w:r>
      <w:r>
        <w:rPr>
          <w:sz w:val="18"/>
        </w:rPr>
        <w:t>p.</w:t>
      </w:r>
      <w:r>
        <w:rPr>
          <w:spacing w:val="-9"/>
          <w:sz w:val="18"/>
        </w:rPr>
        <w:t xml:space="preserve"> </w:t>
      </w:r>
      <w:r>
        <w:rPr>
          <w:spacing w:val="-4"/>
          <w:sz w:val="18"/>
        </w:rPr>
        <w:t>125.</w:t>
      </w:r>
    </w:p>
    <w:p w14:paraId="51DE9CBB" w14:textId="77777777" w:rsidR="0010369C" w:rsidRDefault="0010369C">
      <w:pPr>
        <w:jc w:val="both"/>
        <w:rPr>
          <w:sz w:val="18"/>
        </w:rPr>
        <w:sectPr w:rsidR="0010369C">
          <w:headerReference w:type="default" r:id="rId1431"/>
          <w:footerReference w:type="default" r:id="rId1432"/>
          <w:pgSz w:w="11910" w:h="16840"/>
          <w:pgMar w:top="880" w:right="800" w:bottom="980" w:left="1180" w:header="569" w:footer="788" w:gutter="0"/>
          <w:cols w:space="720"/>
        </w:sectPr>
      </w:pPr>
    </w:p>
    <w:p w14:paraId="51DE9CBC" w14:textId="77777777" w:rsidR="0010369C" w:rsidRDefault="008E43AE">
      <w:pPr>
        <w:tabs>
          <w:tab w:val="left" w:pos="6426"/>
        </w:tabs>
        <w:ind w:left="238"/>
        <w:rPr>
          <w:sz w:val="20"/>
        </w:rPr>
      </w:pPr>
      <w:r>
        <w:rPr>
          <w:i/>
          <w:sz w:val="20"/>
        </w:rPr>
        <w:t>China</w:t>
      </w:r>
      <w:r>
        <w:rPr>
          <w:i/>
          <w:spacing w:val="-5"/>
          <w:sz w:val="20"/>
        </w:rPr>
        <w:t xml:space="preserve"> </w:t>
      </w:r>
      <w:r>
        <w:rPr>
          <w:i/>
          <w:sz w:val="20"/>
        </w:rPr>
        <w:t>–</w:t>
      </w:r>
      <w:r>
        <w:rPr>
          <w:i/>
          <w:spacing w:val="-5"/>
          <w:sz w:val="20"/>
        </w:rPr>
        <w:t xml:space="preserve"> </w:t>
      </w:r>
      <w:r>
        <w:rPr>
          <w:i/>
          <w:sz w:val="20"/>
        </w:rPr>
        <w:t>Anti‐Dumping</w:t>
      </w:r>
      <w:r>
        <w:rPr>
          <w:i/>
          <w:spacing w:val="-4"/>
          <w:sz w:val="20"/>
        </w:rPr>
        <w:t xml:space="preserve"> </w:t>
      </w:r>
      <w:r>
        <w:rPr>
          <w:i/>
          <w:sz w:val="20"/>
        </w:rPr>
        <w:t>and</w:t>
      </w:r>
      <w:r>
        <w:rPr>
          <w:i/>
          <w:spacing w:val="-5"/>
          <w:sz w:val="20"/>
        </w:rPr>
        <w:t xml:space="preserve"> </w:t>
      </w:r>
      <w:r>
        <w:rPr>
          <w:i/>
          <w:sz w:val="20"/>
        </w:rPr>
        <w:t>Countervailing</w:t>
      </w:r>
      <w:r>
        <w:rPr>
          <w:i/>
          <w:spacing w:val="-5"/>
          <w:sz w:val="20"/>
        </w:rPr>
        <w:t xml:space="preserve"> </w:t>
      </w:r>
      <w:r>
        <w:rPr>
          <w:i/>
          <w:sz w:val="20"/>
        </w:rPr>
        <w:t>Duty</w:t>
      </w:r>
      <w:r>
        <w:rPr>
          <w:i/>
          <w:spacing w:val="-4"/>
          <w:sz w:val="20"/>
        </w:rPr>
        <w:t xml:space="preserve"> </w:t>
      </w:r>
      <w:r>
        <w:rPr>
          <w:i/>
          <w:spacing w:val="-2"/>
          <w:sz w:val="20"/>
        </w:rPr>
        <w:t>Measures</w:t>
      </w:r>
      <w:r>
        <w:rPr>
          <w:i/>
          <w:sz w:val="20"/>
        </w:rPr>
        <w:tab/>
      </w:r>
      <w:r>
        <w:rPr>
          <w:sz w:val="20"/>
        </w:rPr>
        <w:t>Australia's</w:t>
      </w:r>
      <w:r>
        <w:rPr>
          <w:spacing w:val="-7"/>
          <w:sz w:val="20"/>
        </w:rPr>
        <w:t xml:space="preserve"> </w:t>
      </w:r>
      <w:r>
        <w:rPr>
          <w:sz w:val="20"/>
        </w:rPr>
        <w:t>First</w:t>
      </w:r>
      <w:r>
        <w:rPr>
          <w:spacing w:val="-2"/>
          <w:sz w:val="20"/>
        </w:rPr>
        <w:t xml:space="preserve"> </w:t>
      </w:r>
      <w:r>
        <w:rPr>
          <w:sz w:val="20"/>
        </w:rPr>
        <w:t>Written</w:t>
      </w:r>
      <w:r>
        <w:rPr>
          <w:spacing w:val="-2"/>
          <w:sz w:val="20"/>
        </w:rPr>
        <w:t xml:space="preserve"> Submission</w:t>
      </w:r>
    </w:p>
    <w:p w14:paraId="51DE9CBD" w14:textId="77777777" w:rsidR="0010369C" w:rsidRDefault="008E43AE">
      <w:pPr>
        <w:tabs>
          <w:tab w:val="left" w:pos="8228"/>
        </w:tabs>
        <w:spacing w:before="1"/>
        <w:ind w:left="239"/>
        <w:rPr>
          <w:sz w:val="20"/>
        </w:rPr>
      </w:pPr>
      <w:r>
        <w:rPr>
          <w:i/>
          <w:sz w:val="20"/>
        </w:rPr>
        <w:t>on</w:t>
      </w:r>
      <w:r>
        <w:rPr>
          <w:i/>
          <w:spacing w:val="-1"/>
          <w:sz w:val="20"/>
        </w:rPr>
        <w:t xml:space="preserve"> </w:t>
      </w:r>
      <w:r>
        <w:rPr>
          <w:i/>
          <w:sz w:val="20"/>
        </w:rPr>
        <w:t>Wine</w:t>
      </w:r>
      <w:r>
        <w:rPr>
          <w:i/>
          <w:spacing w:val="-1"/>
          <w:sz w:val="20"/>
        </w:rPr>
        <w:t xml:space="preserve"> </w:t>
      </w:r>
      <w:r>
        <w:rPr>
          <w:i/>
          <w:sz w:val="20"/>
        </w:rPr>
        <w:t>from</w:t>
      </w:r>
      <w:r>
        <w:rPr>
          <w:i/>
          <w:spacing w:val="-3"/>
          <w:sz w:val="20"/>
        </w:rPr>
        <w:t xml:space="preserve"> </w:t>
      </w:r>
      <w:r>
        <w:rPr>
          <w:i/>
          <w:sz w:val="20"/>
        </w:rPr>
        <w:t>Australia</w:t>
      </w:r>
      <w:r>
        <w:rPr>
          <w:i/>
          <w:spacing w:val="-1"/>
          <w:sz w:val="20"/>
        </w:rPr>
        <w:t xml:space="preserve"> </w:t>
      </w:r>
      <w:r>
        <w:rPr>
          <w:spacing w:val="-2"/>
          <w:sz w:val="20"/>
        </w:rPr>
        <w:t>(DS602)</w:t>
      </w:r>
      <w:r>
        <w:rPr>
          <w:sz w:val="20"/>
        </w:rPr>
        <w:tab/>
        <w:t>29</w:t>
      </w:r>
      <w:r>
        <w:rPr>
          <w:spacing w:val="-1"/>
          <w:sz w:val="20"/>
        </w:rPr>
        <w:t xml:space="preserve"> </w:t>
      </w:r>
      <w:r>
        <w:rPr>
          <w:sz w:val="20"/>
        </w:rPr>
        <w:t>April</w:t>
      </w:r>
      <w:r>
        <w:rPr>
          <w:spacing w:val="-2"/>
          <w:sz w:val="20"/>
        </w:rPr>
        <w:t xml:space="preserve"> </w:t>
      </w:r>
      <w:r>
        <w:rPr>
          <w:spacing w:val="-4"/>
          <w:sz w:val="20"/>
        </w:rPr>
        <w:t>2022</w:t>
      </w:r>
    </w:p>
    <w:p w14:paraId="51DE9CBE" w14:textId="77777777" w:rsidR="0010369C" w:rsidRDefault="008E43AE">
      <w:pPr>
        <w:pStyle w:val="BodyText"/>
        <w:spacing w:before="34" w:line="360" w:lineRule="auto"/>
        <w:ind w:left="237"/>
      </w:pPr>
      <w:r>
        <w:t>by</w:t>
      </w:r>
      <w:r>
        <w:rPr>
          <w:spacing w:val="40"/>
        </w:rPr>
        <w:t xml:space="preserve"> </w:t>
      </w:r>
      <w:r>
        <w:t>MOFCOM's</w:t>
      </w:r>
      <w:r>
        <w:rPr>
          <w:spacing w:val="40"/>
        </w:rPr>
        <w:t xml:space="preserve"> </w:t>
      </w:r>
      <w:r>
        <w:t>failure</w:t>
      </w:r>
      <w:r>
        <w:rPr>
          <w:spacing w:val="40"/>
        </w:rPr>
        <w:t xml:space="preserve"> </w:t>
      </w:r>
      <w:r>
        <w:t>to</w:t>
      </w:r>
      <w:r>
        <w:rPr>
          <w:spacing w:val="40"/>
        </w:rPr>
        <w:t xml:space="preserve"> </w:t>
      </w:r>
      <w:r>
        <w:t>disclose</w:t>
      </w:r>
      <w:r>
        <w:rPr>
          <w:spacing w:val="40"/>
        </w:rPr>
        <w:t xml:space="preserve"> </w:t>
      </w:r>
      <w:r>
        <w:t>its</w:t>
      </w:r>
      <w:r>
        <w:rPr>
          <w:spacing w:val="40"/>
        </w:rPr>
        <w:t xml:space="preserve"> </w:t>
      </w:r>
      <w:r>
        <w:t>methodology</w:t>
      </w:r>
      <w:r>
        <w:rPr>
          <w:spacing w:val="40"/>
        </w:rPr>
        <w:t xml:space="preserve"> </w:t>
      </w:r>
      <w:r>
        <w:t>for</w:t>
      </w:r>
      <w:r>
        <w:rPr>
          <w:spacing w:val="40"/>
        </w:rPr>
        <w:t xml:space="preserve"> </w:t>
      </w:r>
      <w:r>
        <w:t>converting</w:t>
      </w:r>
      <w:r>
        <w:rPr>
          <w:spacing w:val="40"/>
        </w:rPr>
        <w:t xml:space="preserve"> </w:t>
      </w:r>
      <w:r>
        <w:t>currencies</w:t>
      </w:r>
      <w:r>
        <w:rPr>
          <w:spacing w:val="40"/>
        </w:rPr>
        <w:t xml:space="preserve"> </w:t>
      </w:r>
      <w:r>
        <w:t>(namely,</w:t>
      </w:r>
      <w:r>
        <w:rPr>
          <w:spacing w:val="40"/>
        </w:rPr>
        <w:t xml:space="preserve"> </w:t>
      </w:r>
      <w:r>
        <w:t>the exchange rates used).</w:t>
      </w:r>
    </w:p>
    <w:p w14:paraId="51DE9CBF" w14:textId="77777777" w:rsidR="0010369C" w:rsidRDefault="0010369C">
      <w:pPr>
        <w:pStyle w:val="BodyText"/>
        <w:spacing w:before="10"/>
        <w:rPr>
          <w:sz w:val="8"/>
        </w:rPr>
      </w:pPr>
    </w:p>
    <w:p w14:paraId="51DE9CC0" w14:textId="77777777" w:rsidR="0010369C" w:rsidRDefault="008E43AE">
      <w:pPr>
        <w:pStyle w:val="BodyText"/>
        <w:spacing w:before="52" w:line="360" w:lineRule="auto"/>
        <w:ind w:left="237" w:right="613" w:firstLine="851"/>
        <w:jc w:val="both"/>
      </w:pPr>
      <w:r>
        <w:rPr>
          <w:noProof/>
        </w:rPr>
        <w:drawing>
          <wp:anchor distT="0" distB="0" distL="0" distR="0" simplePos="0" relativeHeight="251683328" behindDoc="1" locked="0" layoutInCell="1" allowOverlap="1" wp14:anchorId="51DEA9A9" wp14:editId="51DEA9AA">
            <wp:simplePos x="0" y="0"/>
            <wp:positionH relativeFrom="page">
              <wp:posOffset>908303</wp:posOffset>
            </wp:positionH>
            <wp:positionV relativeFrom="paragraph">
              <wp:posOffset>76785</wp:posOffset>
            </wp:positionV>
            <wp:extent cx="332231" cy="106679"/>
            <wp:effectExtent l="0" t="0" r="0" b="0"/>
            <wp:wrapNone/>
            <wp:docPr id="2193" name="image11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4" name="image1124.png"/>
                    <pic:cNvPicPr/>
                  </pic:nvPicPr>
                  <pic:blipFill>
                    <a:blip r:embed="rId1433" cstate="print"/>
                    <a:stretch>
                      <a:fillRect/>
                    </a:stretch>
                  </pic:blipFill>
                  <pic:spPr>
                    <a:xfrm>
                      <a:off x="0" y="0"/>
                      <a:ext cx="332231" cy="106679"/>
                    </a:xfrm>
                    <a:prstGeom prst="rect">
                      <a:avLst/>
                    </a:prstGeom>
                  </pic:spPr>
                </pic:pic>
              </a:graphicData>
            </a:graphic>
          </wp:anchor>
        </w:drawing>
      </w:r>
      <w:r>
        <w:t>The information provided in respect of MOFCOM's price effects analysis is similarly insufficient.</w:t>
      </w:r>
      <w:r>
        <w:rPr>
          <w:spacing w:val="-2"/>
        </w:rPr>
        <w:t xml:space="preserve"> </w:t>
      </w:r>
      <w:r>
        <w:t>MOFCOM</w:t>
      </w:r>
      <w:r>
        <w:rPr>
          <w:spacing w:val="-2"/>
        </w:rPr>
        <w:t xml:space="preserve"> </w:t>
      </w:r>
      <w:r>
        <w:t>made</w:t>
      </w:r>
      <w:r>
        <w:rPr>
          <w:spacing w:val="-2"/>
        </w:rPr>
        <w:t xml:space="preserve"> </w:t>
      </w:r>
      <w:r>
        <w:t>a</w:t>
      </w:r>
      <w:r>
        <w:rPr>
          <w:spacing w:val="-3"/>
        </w:rPr>
        <w:t xml:space="preserve"> </w:t>
      </w:r>
      <w:r>
        <w:t>series</w:t>
      </w:r>
      <w:r>
        <w:rPr>
          <w:spacing w:val="-3"/>
        </w:rPr>
        <w:t xml:space="preserve"> </w:t>
      </w:r>
      <w:r>
        <w:t>of</w:t>
      </w:r>
      <w:r>
        <w:rPr>
          <w:spacing w:val="-3"/>
        </w:rPr>
        <w:t xml:space="preserve"> </w:t>
      </w:r>
      <w:r>
        <w:t>bare</w:t>
      </w:r>
      <w:r>
        <w:rPr>
          <w:spacing w:val="-2"/>
        </w:rPr>
        <w:t xml:space="preserve"> </w:t>
      </w:r>
      <w:r>
        <w:t>assertions</w:t>
      </w:r>
      <w:r>
        <w:rPr>
          <w:spacing w:val="-3"/>
        </w:rPr>
        <w:t xml:space="preserve"> </w:t>
      </w:r>
      <w:r>
        <w:t>that</w:t>
      </w:r>
      <w:r>
        <w:rPr>
          <w:spacing w:val="-3"/>
        </w:rPr>
        <w:t xml:space="preserve"> </w:t>
      </w:r>
      <w:r>
        <w:t>sought</w:t>
      </w:r>
      <w:r>
        <w:rPr>
          <w:spacing w:val="-2"/>
        </w:rPr>
        <w:t xml:space="preserve"> </w:t>
      </w:r>
      <w:r>
        <w:t>to</w:t>
      </w:r>
      <w:r>
        <w:rPr>
          <w:spacing w:val="-2"/>
        </w:rPr>
        <w:t xml:space="preserve"> </w:t>
      </w:r>
      <w:r>
        <w:t>tie</w:t>
      </w:r>
      <w:r>
        <w:rPr>
          <w:spacing w:val="-2"/>
        </w:rPr>
        <w:t xml:space="preserve"> </w:t>
      </w:r>
      <w:r>
        <w:t>trends</w:t>
      </w:r>
      <w:r>
        <w:rPr>
          <w:spacing w:val="-3"/>
        </w:rPr>
        <w:t xml:space="preserve"> </w:t>
      </w:r>
      <w:r>
        <w:t>in</w:t>
      </w:r>
      <w:r>
        <w:rPr>
          <w:spacing w:val="-3"/>
        </w:rPr>
        <w:t xml:space="preserve"> </w:t>
      </w:r>
      <w:r>
        <w:t>Australian wine imports to domestic indus</w:t>
      </w:r>
      <w:r>
        <w:t>try conditions.</w:t>
      </w:r>
      <w:r>
        <w:rPr>
          <w:vertAlign w:val="superscript"/>
        </w:rPr>
        <w:t>1281</w:t>
      </w:r>
      <w:r>
        <w:t xml:space="preserve"> However, MOFCOM did not provide the evidentiary basis to support the necessary chain</w:t>
      </w:r>
      <w:r>
        <w:rPr>
          <w:spacing w:val="-1"/>
        </w:rPr>
        <w:t xml:space="preserve"> </w:t>
      </w:r>
      <w:r>
        <w:t>of causality,</w:t>
      </w:r>
      <w:r>
        <w:rPr>
          <w:spacing w:val="-1"/>
        </w:rPr>
        <w:t xml:space="preserve"> </w:t>
      </w:r>
      <w:r>
        <w:t>or sufficient reasons to support its findings.</w:t>
      </w:r>
    </w:p>
    <w:p w14:paraId="51DE9CC1" w14:textId="77777777" w:rsidR="0010369C" w:rsidRDefault="0010369C">
      <w:pPr>
        <w:pStyle w:val="BodyText"/>
        <w:spacing w:before="11"/>
        <w:rPr>
          <w:sz w:val="8"/>
        </w:rPr>
      </w:pPr>
    </w:p>
    <w:p w14:paraId="51DE9CC2" w14:textId="77777777" w:rsidR="0010369C" w:rsidRDefault="008E43AE">
      <w:pPr>
        <w:pStyle w:val="BodyText"/>
        <w:spacing w:before="52" w:line="360" w:lineRule="auto"/>
        <w:ind w:left="236" w:right="613" w:firstLine="852"/>
        <w:jc w:val="both"/>
      </w:pPr>
      <w:r>
        <w:rPr>
          <w:noProof/>
        </w:rPr>
        <w:drawing>
          <wp:anchor distT="0" distB="0" distL="0" distR="0" simplePos="0" relativeHeight="251684352" behindDoc="1" locked="0" layoutInCell="1" allowOverlap="1" wp14:anchorId="51DEA9AB" wp14:editId="51DEA9AC">
            <wp:simplePos x="0" y="0"/>
            <wp:positionH relativeFrom="page">
              <wp:posOffset>908303</wp:posOffset>
            </wp:positionH>
            <wp:positionV relativeFrom="paragraph">
              <wp:posOffset>76023</wp:posOffset>
            </wp:positionV>
            <wp:extent cx="332231" cy="106679"/>
            <wp:effectExtent l="0" t="0" r="0" b="0"/>
            <wp:wrapNone/>
            <wp:docPr id="2195" name="image11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6" name="image1125.png"/>
                    <pic:cNvPicPr/>
                  </pic:nvPicPr>
                  <pic:blipFill>
                    <a:blip r:embed="rId1434" cstate="print"/>
                    <a:stretch>
                      <a:fillRect/>
                    </a:stretch>
                  </pic:blipFill>
                  <pic:spPr>
                    <a:xfrm>
                      <a:off x="0" y="0"/>
                      <a:ext cx="332231" cy="106679"/>
                    </a:xfrm>
                    <a:prstGeom prst="rect">
                      <a:avLst/>
                    </a:prstGeom>
                  </pic:spPr>
                </pic:pic>
              </a:graphicData>
            </a:graphic>
          </wp:anchor>
        </w:drawing>
      </w:r>
      <w:r>
        <w:t>Pointing to general trends in aggregate price and volume over the POI, MOFCOM asserted</w:t>
      </w:r>
      <w:r>
        <w:rPr>
          <w:spacing w:val="-12"/>
        </w:rPr>
        <w:t xml:space="preserve"> </w:t>
      </w:r>
      <w:r>
        <w:t>t</w:t>
      </w:r>
      <w:r>
        <w:t>hat</w:t>
      </w:r>
      <w:r>
        <w:rPr>
          <w:spacing w:val="-11"/>
        </w:rPr>
        <w:t xml:space="preserve"> </w:t>
      </w:r>
      <w:r>
        <w:t>"the</w:t>
      </w:r>
      <w:r>
        <w:rPr>
          <w:spacing w:val="-11"/>
        </w:rPr>
        <w:t xml:space="preserve"> </w:t>
      </w:r>
      <w:r>
        <w:t>sales</w:t>
      </w:r>
      <w:r>
        <w:rPr>
          <w:spacing w:val="-11"/>
        </w:rPr>
        <w:t xml:space="preserve"> </w:t>
      </w:r>
      <w:r>
        <w:t>price</w:t>
      </w:r>
      <w:r>
        <w:rPr>
          <w:spacing w:val="-10"/>
        </w:rPr>
        <w:t xml:space="preserve"> </w:t>
      </w:r>
      <w:r>
        <w:t>[of</w:t>
      </w:r>
      <w:r>
        <w:rPr>
          <w:spacing w:val="-11"/>
        </w:rPr>
        <w:t xml:space="preserve"> </w:t>
      </w:r>
      <w:r>
        <w:t>domestic</w:t>
      </w:r>
      <w:r>
        <w:rPr>
          <w:spacing w:val="-10"/>
        </w:rPr>
        <w:t xml:space="preserve"> </w:t>
      </w:r>
      <w:r>
        <w:t>wine]</w:t>
      </w:r>
      <w:r>
        <w:rPr>
          <w:spacing w:val="-12"/>
        </w:rPr>
        <w:t xml:space="preserve"> </w:t>
      </w:r>
      <w:r>
        <w:t>did</w:t>
      </w:r>
      <w:r>
        <w:rPr>
          <w:spacing w:val="-11"/>
        </w:rPr>
        <w:t xml:space="preserve"> </w:t>
      </w:r>
      <w:r>
        <w:t>not</w:t>
      </w:r>
      <w:r>
        <w:rPr>
          <w:spacing w:val="-11"/>
        </w:rPr>
        <w:t xml:space="preserve"> </w:t>
      </w:r>
      <w:r>
        <w:t>rise</w:t>
      </w:r>
      <w:r>
        <w:rPr>
          <w:spacing w:val="-10"/>
        </w:rPr>
        <w:t xml:space="preserve"> </w:t>
      </w:r>
      <w:r>
        <w:t>to</w:t>
      </w:r>
      <w:r>
        <w:rPr>
          <w:spacing w:val="-11"/>
        </w:rPr>
        <w:t xml:space="preserve"> </w:t>
      </w:r>
      <w:r>
        <w:t>a</w:t>
      </w:r>
      <w:r>
        <w:rPr>
          <w:spacing w:val="-11"/>
        </w:rPr>
        <w:t xml:space="preserve"> </w:t>
      </w:r>
      <w:r>
        <w:t>due</w:t>
      </w:r>
      <w:r>
        <w:rPr>
          <w:spacing w:val="-10"/>
        </w:rPr>
        <w:t xml:space="preserve"> </w:t>
      </w:r>
      <w:r>
        <w:t>level"</w:t>
      </w:r>
      <w:r>
        <w:rPr>
          <w:spacing w:val="-11"/>
        </w:rPr>
        <w:t xml:space="preserve"> </w:t>
      </w:r>
      <w:r>
        <w:t>and</w:t>
      </w:r>
      <w:r>
        <w:rPr>
          <w:spacing w:val="-11"/>
        </w:rPr>
        <w:t xml:space="preserve"> </w:t>
      </w:r>
      <w:r>
        <w:t>therefore</w:t>
      </w:r>
      <w:r>
        <w:rPr>
          <w:spacing w:val="-11"/>
        </w:rPr>
        <w:t xml:space="preserve"> </w:t>
      </w:r>
      <w:r>
        <w:t>"the price of the dumped imported product inhibited that of domestic like products".</w:t>
      </w:r>
      <w:r>
        <w:rPr>
          <w:vertAlign w:val="superscript"/>
        </w:rPr>
        <w:t>1282</w:t>
      </w:r>
      <w:r>
        <w:t xml:space="preserve"> While MOFCOM's</w:t>
      </w:r>
      <w:r>
        <w:rPr>
          <w:spacing w:val="-14"/>
        </w:rPr>
        <w:t xml:space="preserve"> </w:t>
      </w:r>
      <w:r>
        <w:t>failure</w:t>
      </w:r>
      <w:r>
        <w:rPr>
          <w:spacing w:val="-14"/>
        </w:rPr>
        <w:t xml:space="preserve"> </w:t>
      </w:r>
      <w:r>
        <w:t>to</w:t>
      </w:r>
      <w:r>
        <w:rPr>
          <w:spacing w:val="-13"/>
        </w:rPr>
        <w:t xml:space="preserve"> </w:t>
      </w:r>
      <w:r>
        <w:t>link</w:t>
      </w:r>
      <w:r>
        <w:rPr>
          <w:spacing w:val="-14"/>
        </w:rPr>
        <w:t xml:space="preserve"> </w:t>
      </w:r>
      <w:r>
        <w:t>the</w:t>
      </w:r>
      <w:r>
        <w:rPr>
          <w:spacing w:val="-13"/>
        </w:rPr>
        <w:t xml:space="preserve"> </w:t>
      </w:r>
      <w:r>
        <w:t>import</w:t>
      </w:r>
      <w:r>
        <w:rPr>
          <w:spacing w:val="-14"/>
        </w:rPr>
        <w:t xml:space="preserve"> </w:t>
      </w:r>
      <w:r>
        <w:t>dynamics</w:t>
      </w:r>
      <w:r>
        <w:rPr>
          <w:spacing w:val="-13"/>
        </w:rPr>
        <w:t xml:space="preserve"> </w:t>
      </w:r>
      <w:r>
        <w:t>to</w:t>
      </w:r>
      <w:r>
        <w:rPr>
          <w:spacing w:val="-14"/>
        </w:rPr>
        <w:t xml:space="preserve"> </w:t>
      </w:r>
      <w:r>
        <w:t>the</w:t>
      </w:r>
      <w:r>
        <w:rPr>
          <w:spacing w:val="-14"/>
        </w:rPr>
        <w:t xml:space="preserve"> </w:t>
      </w:r>
      <w:r>
        <w:t>claimed</w:t>
      </w:r>
      <w:r>
        <w:rPr>
          <w:spacing w:val="-13"/>
        </w:rPr>
        <w:t xml:space="preserve"> </w:t>
      </w:r>
      <w:r>
        <w:t>deterioration</w:t>
      </w:r>
      <w:r>
        <w:rPr>
          <w:spacing w:val="-14"/>
        </w:rPr>
        <w:t xml:space="preserve"> </w:t>
      </w:r>
      <w:r>
        <w:t>in</w:t>
      </w:r>
      <w:r>
        <w:rPr>
          <w:spacing w:val="-13"/>
        </w:rPr>
        <w:t xml:space="preserve"> </w:t>
      </w:r>
      <w:r>
        <w:t>domestic</w:t>
      </w:r>
      <w:r>
        <w:rPr>
          <w:spacing w:val="-14"/>
        </w:rPr>
        <w:t xml:space="preserve"> </w:t>
      </w:r>
      <w:r>
        <w:t>output breached</w:t>
      </w:r>
      <w:r>
        <w:rPr>
          <w:spacing w:val="-14"/>
        </w:rPr>
        <w:t xml:space="preserve"> </w:t>
      </w:r>
      <w:r>
        <w:t>MOFCOM's</w:t>
      </w:r>
      <w:r>
        <w:rPr>
          <w:spacing w:val="-14"/>
        </w:rPr>
        <w:t xml:space="preserve"> </w:t>
      </w:r>
      <w:r>
        <w:t>substantive</w:t>
      </w:r>
      <w:r>
        <w:rPr>
          <w:spacing w:val="-13"/>
        </w:rPr>
        <w:t xml:space="preserve"> </w:t>
      </w:r>
      <w:r>
        <w:t>obligations,</w:t>
      </w:r>
      <w:r>
        <w:rPr>
          <w:spacing w:val="-14"/>
        </w:rPr>
        <w:t xml:space="preserve"> </w:t>
      </w:r>
      <w:r>
        <w:t>it</w:t>
      </w:r>
      <w:r>
        <w:rPr>
          <w:spacing w:val="-13"/>
        </w:rPr>
        <w:t xml:space="preserve"> </w:t>
      </w:r>
      <w:r>
        <w:t>also</w:t>
      </w:r>
      <w:r>
        <w:rPr>
          <w:spacing w:val="-14"/>
        </w:rPr>
        <w:t xml:space="preserve"> </w:t>
      </w:r>
      <w:r>
        <w:t>constituted</w:t>
      </w:r>
      <w:r>
        <w:rPr>
          <w:spacing w:val="-13"/>
        </w:rPr>
        <w:t xml:space="preserve"> </w:t>
      </w:r>
      <w:r>
        <w:t>a</w:t>
      </w:r>
      <w:r>
        <w:rPr>
          <w:spacing w:val="-14"/>
        </w:rPr>
        <w:t xml:space="preserve"> </w:t>
      </w:r>
      <w:r>
        <w:t>breach</w:t>
      </w:r>
      <w:r>
        <w:rPr>
          <w:spacing w:val="-14"/>
        </w:rPr>
        <w:t xml:space="preserve"> </w:t>
      </w:r>
      <w:r>
        <w:t>of</w:t>
      </w:r>
      <w:r>
        <w:rPr>
          <w:spacing w:val="-13"/>
        </w:rPr>
        <w:t xml:space="preserve"> </w:t>
      </w:r>
      <w:r>
        <w:t>MOFCOM's</w:t>
      </w:r>
      <w:r>
        <w:rPr>
          <w:spacing w:val="-14"/>
        </w:rPr>
        <w:t xml:space="preserve"> </w:t>
      </w:r>
      <w:r>
        <w:t>public notice requirements, because MOFCOM failed to properly account for the reasons that supported its conclusion</w:t>
      </w:r>
      <w:r>
        <w:rPr>
          <w:spacing w:val="-1"/>
        </w:rPr>
        <w:t xml:space="preserve"> </w:t>
      </w:r>
      <w:r>
        <w:t>that there was a causal</w:t>
      </w:r>
      <w:r>
        <w:t xml:space="preserve"> connection between Australian imports and injury. MOFCOM's salutary references to the factual basis for claiming causation (having not provided</w:t>
      </w:r>
      <w:r>
        <w:rPr>
          <w:spacing w:val="-4"/>
        </w:rPr>
        <w:t xml:space="preserve"> </w:t>
      </w:r>
      <w:r>
        <w:t>sources</w:t>
      </w:r>
      <w:r>
        <w:rPr>
          <w:spacing w:val="-4"/>
        </w:rPr>
        <w:t xml:space="preserve"> </w:t>
      </w:r>
      <w:r>
        <w:t>for</w:t>
      </w:r>
      <w:r>
        <w:rPr>
          <w:spacing w:val="-3"/>
        </w:rPr>
        <w:t xml:space="preserve"> </w:t>
      </w:r>
      <w:r>
        <w:t>its</w:t>
      </w:r>
      <w:r>
        <w:rPr>
          <w:spacing w:val="-4"/>
        </w:rPr>
        <w:t xml:space="preserve"> </w:t>
      </w:r>
      <w:r>
        <w:t>economic</w:t>
      </w:r>
      <w:r>
        <w:rPr>
          <w:spacing w:val="-4"/>
        </w:rPr>
        <w:t xml:space="preserve"> </w:t>
      </w:r>
      <w:r>
        <w:t>data,</w:t>
      </w:r>
      <w:r>
        <w:rPr>
          <w:spacing w:val="-3"/>
        </w:rPr>
        <w:t xml:space="preserve"> </w:t>
      </w:r>
      <w:r>
        <w:t>and</w:t>
      </w:r>
      <w:r>
        <w:rPr>
          <w:spacing w:val="-4"/>
        </w:rPr>
        <w:t xml:space="preserve"> </w:t>
      </w:r>
      <w:r>
        <w:t>simply</w:t>
      </w:r>
      <w:r>
        <w:rPr>
          <w:spacing w:val="-3"/>
        </w:rPr>
        <w:t xml:space="preserve"> </w:t>
      </w:r>
      <w:r>
        <w:t>adverting</w:t>
      </w:r>
      <w:r>
        <w:rPr>
          <w:spacing w:val="-4"/>
        </w:rPr>
        <w:t xml:space="preserve"> </w:t>
      </w:r>
      <w:r>
        <w:t>to</w:t>
      </w:r>
      <w:r>
        <w:rPr>
          <w:spacing w:val="-3"/>
        </w:rPr>
        <w:t xml:space="preserve"> </w:t>
      </w:r>
      <w:r>
        <w:t>"the</w:t>
      </w:r>
      <w:r>
        <w:rPr>
          <w:spacing w:val="-3"/>
        </w:rPr>
        <w:t xml:space="preserve"> </w:t>
      </w:r>
      <w:r>
        <w:t>evidence")</w:t>
      </w:r>
      <w:r>
        <w:rPr>
          <w:vertAlign w:val="superscript"/>
        </w:rPr>
        <w:t>1283</w:t>
      </w:r>
      <w:r>
        <w:rPr>
          <w:spacing w:val="-4"/>
        </w:rPr>
        <w:t xml:space="preserve"> </w:t>
      </w:r>
      <w:r>
        <w:t>were</w:t>
      </w:r>
      <w:r>
        <w:rPr>
          <w:spacing w:val="-3"/>
        </w:rPr>
        <w:t xml:space="preserve"> </w:t>
      </w:r>
      <w:r>
        <w:t>also insufficient for exporters to understand and critique MOFCOM's findings.</w:t>
      </w:r>
    </w:p>
    <w:p w14:paraId="51DE9CC3" w14:textId="77777777" w:rsidR="0010369C" w:rsidRDefault="0010369C">
      <w:pPr>
        <w:pStyle w:val="BodyText"/>
        <w:spacing w:before="10"/>
        <w:rPr>
          <w:sz w:val="8"/>
        </w:rPr>
      </w:pPr>
    </w:p>
    <w:p w14:paraId="51DE9CC4" w14:textId="77777777" w:rsidR="0010369C" w:rsidRDefault="008E43AE">
      <w:pPr>
        <w:pStyle w:val="BodyText"/>
        <w:spacing w:before="52" w:line="360" w:lineRule="auto"/>
        <w:ind w:left="236" w:right="614" w:firstLine="852"/>
        <w:jc w:val="both"/>
      </w:pPr>
      <w:r>
        <w:rPr>
          <w:noProof/>
        </w:rPr>
        <w:drawing>
          <wp:anchor distT="0" distB="0" distL="0" distR="0" simplePos="0" relativeHeight="251685376" behindDoc="1" locked="0" layoutInCell="1" allowOverlap="1" wp14:anchorId="51DEA9AD" wp14:editId="51DEA9AE">
            <wp:simplePos x="0" y="0"/>
            <wp:positionH relativeFrom="page">
              <wp:posOffset>908303</wp:posOffset>
            </wp:positionH>
            <wp:positionV relativeFrom="paragraph">
              <wp:posOffset>76785</wp:posOffset>
            </wp:positionV>
            <wp:extent cx="332231" cy="106679"/>
            <wp:effectExtent l="0" t="0" r="0" b="0"/>
            <wp:wrapNone/>
            <wp:docPr id="2197" name="image11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8" name="image1126.png"/>
                    <pic:cNvPicPr/>
                  </pic:nvPicPr>
                  <pic:blipFill>
                    <a:blip r:embed="rId1435" cstate="print"/>
                    <a:stretch>
                      <a:fillRect/>
                    </a:stretch>
                  </pic:blipFill>
                  <pic:spPr>
                    <a:xfrm>
                      <a:off x="0" y="0"/>
                      <a:ext cx="332231" cy="106679"/>
                    </a:xfrm>
                    <a:prstGeom prst="rect">
                      <a:avLst/>
                    </a:prstGeom>
                  </pic:spPr>
                </pic:pic>
              </a:graphicData>
            </a:graphic>
          </wp:anchor>
        </w:drawing>
      </w:r>
      <w:r>
        <w:t>MOFCOM failed to disclose almost any reasoning or factual matters related to the other "factors" that it purportedly considered and discounted as having caused injury to domest</w:t>
      </w:r>
      <w:r>
        <w:t>ic industry. MOFCOM did not provide a statement of what evidence it used to assess the impact of these other factors, how MOFCOM proceeded with its analysis and why MOFCOM concluded that these non‐attributable factors were not a cause of injury to the dome</w:t>
      </w:r>
      <w:r>
        <w:t>stic industry,</w:t>
      </w:r>
      <w:r>
        <w:rPr>
          <w:spacing w:val="-1"/>
        </w:rPr>
        <w:t xml:space="preserve"> </w:t>
      </w:r>
      <w:r>
        <w:t>or</w:t>
      </w:r>
      <w:r>
        <w:rPr>
          <w:spacing w:val="-2"/>
        </w:rPr>
        <w:t xml:space="preserve"> </w:t>
      </w:r>
      <w:r>
        <w:t>even</w:t>
      </w:r>
      <w:r>
        <w:rPr>
          <w:spacing w:val="-2"/>
        </w:rPr>
        <w:t xml:space="preserve"> </w:t>
      </w:r>
      <w:r>
        <w:t>exhaustively</w:t>
      </w:r>
      <w:r>
        <w:rPr>
          <w:spacing w:val="-2"/>
        </w:rPr>
        <w:t xml:space="preserve"> </w:t>
      </w:r>
      <w:r>
        <w:t>list</w:t>
      </w:r>
      <w:r>
        <w:rPr>
          <w:spacing w:val="-1"/>
        </w:rPr>
        <w:t xml:space="preserve"> </w:t>
      </w:r>
      <w:r>
        <w:t>the</w:t>
      </w:r>
      <w:r>
        <w:rPr>
          <w:spacing w:val="-2"/>
        </w:rPr>
        <w:t xml:space="preserve"> </w:t>
      </w:r>
      <w:r>
        <w:t>factors</w:t>
      </w:r>
      <w:r>
        <w:rPr>
          <w:spacing w:val="-2"/>
        </w:rPr>
        <w:t xml:space="preserve"> </w:t>
      </w:r>
      <w:r>
        <w:t>under</w:t>
      </w:r>
      <w:r>
        <w:rPr>
          <w:spacing w:val="-1"/>
        </w:rPr>
        <w:t xml:space="preserve"> </w:t>
      </w:r>
      <w:r>
        <w:t>review</w:t>
      </w:r>
      <w:r>
        <w:rPr>
          <w:spacing w:val="-3"/>
        </w:rPr>
        <w:t xml:space="preserve"> </w:t>
      </w:r>
      <w:r>
        <w:t>(only</w:t>
      </w:r>
      <w:r>
        <w:rPr>
          <w:spacing w:val="-1"/>
        </w:rPr>
        <w:t xml:space="preserve"> </w:t>
      </w:r>
      <w:r>
        <w:t>listing</w:t>
      </w:r>
      <w:r>
        <w:rPr>
          <w:spacing w:val="-1"/>
        </w:rPr>
        <w:t xml:space="preserve"> </w:t>
      </w:r>
      <w:r>
        <w:t>a</w:t>
      </w:r>
      <w:r>
        <w:rPr>
          <w:spacing w:val="-1"/>
        </w:rPr>
        <w:t xml:space="preserve"> </w:t>
      </w:r>
      <w:r>
        <w:t>few</w:t>
      </w:r>
      <w:r>
        <w:rPr>
          <w:spacing w:val="-1"/>
        </w:rPr>
        <w:t xml:space="preserve"> </w:t>
      </w:r>
      <w:r>
        <w:t>broad examples, such</w:t>
      </w:r>
      <w:r>
        <w:rPr>
          <w:spacing w:val="40"/>
        </w:rPr>
        <w:t xml:space="preserve"> </w:t>
      </w:r>
      <w:r>
        <w:t>the "impact of consumption patterns").</w:t>
      </w:r>
      <w:r>
        <w:rPr>
          <w:vertAlign w:val="superscript"/>
        </w:rPr>
        <w:t>1284</w:t>
      </w:r>
    </w:p>
    <w:p w14:paraId="51DE9CC5" w14:textId="77777777" w:rsidR="0010369C" w:rsidRDefault="0010369C">
      <w:pPr>
        <w:pStyle w:val="BodyText"/>
        <w:spacing w:before="11"/>
        <w:rPr>
          <w:sz w:val="8"/>
        </w:rPr>
      </w:pPr>
    </w:p>
    <w:p w14:paraId="51DE9CC6" w14:textId="77777777" w:rsidR="0010369C" w:rsidRDefault="008E43AE">
      <w:pPr>
        <w:pStyle w:val="BodyText"/>
        <w:spacing w:before="51" w:line="360" w:lineRule="auto"/>
        <w:ind w:left="237" w:right="614" w:firstLine="851"/>
        <w:jc w:val="both"/>
      </w:pPr>
      <w:r>
        <w:rPr>
          <w:noProof/>
        </w:rPr>
        <w:drawing>
          <wp:anchor distT="0" distB="0" distL="0" distR="0" simplePos="0" relativeHeight="251686400" behindDoc="1" locked="0" layoutInCell="1" allowOverlap="1" wp14:anchorId="51DEA9AF" wp14:editId="51DEA9B0">
            <wp:simplePos x="0" y="0"/>
            <wp:positionH relativeFrom="page">
              <wp:posOffset>908303</wp:posOffset>
            </wp:positionH>
            <wp:positionV relativeFrom="paragraph">
              <wp:posOffset>75388</wp:posOffset>
            </wp:positionV>
            <wp:extent cx="332231" cy="106679"/>
            <wp:effectExtent l="0" t="0" r="0" b="0"/>
            <wp:wrapNone/>
            <wp:docPr id="2199" name="image11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0" name="image1127.png"/>
                    <pic:cNvPicPr/>
                  </pic:nvPicPr>
                  <pic:blipFill>
                    <a:blip r:embed="rId1436" cstate="print"/>
                    <a:stretch>
                      <a:fillRect/>
                    </a:stretch>
                  </pic:blipFill>
                  <pic:spPr>
                    <a:xfrm>
                      <a:off x="0" y="0"/>
                      <a:ext cx="332231" cy="106679"/>
                    </a:xfrm>
                    <a:prstGeom prst="rect">
                      <a:avLst/>
                    </a:prstGeom>
                  </pic:spPr>
                </pic:pic>
              </a:graphicData>
            </a:graphic>
          </wp:anchor>
        </w:drawing>
      </w:r>
      <w:r>
        <w:t>MOFCOM also acted inconsistently with Article 12.2.2 by failing to address reasonable alternative explan</w:t>
      </w:r>
      <w:r>
        <w:t>ations for domestic industry dynamics that had been raised by interested</w:t>
      </w:r>
      <w:r>
        <w:rPr>
          <w:spacing w:val="-5"/>
        </w:rPr>
        <w:t xml:space="preserve"> </w:t>
      </w:r>
      <w:r>
        <w:t>parties.</w:t>
      </w:r>
      <w:r>
        <w:rPr>
          <w:spacing w:val="-5"/>
        </w:rPr>
        <w:t xml:space="preserve"> </w:t>
      </w:r>
      <w:r>
        <w:t>Under</w:t>
      </w:r>
      <w:r>
        <w:rPr>
          <w:spacing w:val="-6"/>
        </w:rPr>
        <w:t xml:space="preserve"> </w:t>
      </w:r>
      <w:r>
        <w:t>Article</w:t>
      </w:r>
      <w:r>
        <w:rPr>
          <w:spacing w:val="-6"/>
        </w:rPr>
        <w:t xml:space="preserve"> </w:t>
      </w:r>
      <w:r>
        <w:t>12.2.2,</w:t>
      </w:r>
      <w:r>
        <w:rPr>
          <w:spacing w:val="-6"/>
        </w:rPr>
        <w:t xml:space="preserve"> </w:t>
      </w:r>
      <w:r>
        <w:t>MOFCOM</w:t>
      </w:r>
      <w:r>
        <w:rPr>
          <w:spacing w:val="-7"/>
        </w:rPr>
        <w:t xml:space="preserve"> </w:t>
      </w:r>
      <w:r>
        <w:t>was</w:t>
      </w:r>
      <w:r>
        <w:rPr>
          <w:spacing w:val="-6"/>
        </w:rPr>
        <w:t xml:space="preserve"> </w:t>
      </w:r>
      <w:r>
        <w:t>required</w:t>
      </w:r>
      <w:r>
        <w:rPr>
          <w:spacing w:val="-6"/>
        </w:rPr>
        <w:t xml:space="preserve"> </w:t>
      </w:r>
      <w:r>
        <w:t>to</w:t>
      </w:r>
      <w:r>
        <w:rPr>
          <w:spacing w:val="-6"/>
        </w:rPr>
        <w:t xml:space="preserve"> </w:t>
      </w:r>
      <w:r>
        <w:t>disclose</w:t>
      </w:r>
      <w:r>
        <w:rPr>
          <w:spacing w:val="-5"/>
        </w:rPr>
        <w:t xml:space="preserve"> </w:t>
      </w:r>
      <w:r>
        <w:t>in</w:t>
      </w:r>
      <w:r>
        <w:rPr>
          <w:spacing w:val="-6"/>
        </w:rPr>
        <w:t xml:space="preserve"> </w:t>
      </w:r>
      <w:r>
        <w:t>sufficient</w:t>
      </w:r>
      <w:r>
        <w:rPr>
          <w:spacing w:val="-6"/>
        </w:rPr>
        <w:t xml:space="preserve"> </w:t>
      </w:r>
      <w:r>
        <w:t>detail</w:t>
      </w:r>
    </w:p>
    <w:p w14:paraId="51DE9CC7" w14:textId="77777777" w:rsidR="0010369C" w:rsidRDefault="0010369C">
      <w:pPr>
        <w:pStyle w:val="BodyText"/>
        <w:rPr>
          <w:sz w:val="20"/>
        </w:rPr>
      </w:pPr>
    </w:p>
    <w:p w14:paraId="51DE9CC8" w14:textId="77777777" w:rsidR="0010369C" w:rsidRDefault="008E43AE">
      <w:pPr>
        <w:pStyle w:val="BodyText"/>
        <w:spacing w:before="5"/>
        <w:rPr>
          <w:sz w:val="18"/>
        </w:rPr>
      </w:pPr>
      <w:r>
        <w:pict w14:anchorId="51DEA9B1">
          <v:rect id="docshape1497" o:spid="_x0000_s1030" style="position:absolute;margin-left:70.9pt;margin-top:12.45pt;width:2in;height:.8pt;z-index:-250649088;mso-wrap-distance-left:0;mso-wrap-distance-right:0;mso-position-horizontal-relative:page" fillcolor="black" stroked="f">
            <w10:wrap type="topAndBottom" anchorx="page"/>
          </v:rect>
        </w:pict>
      </w:r>
    </w:p>
    <w:p w14:paraId="51DE9CC9" w14:textId="77777777" w:rsidR="0010369C" w:rsidRDefault="008E43AE">
      <w:pPr>
        <w:spacing w:before="110"/>
        <w:ind w:left="238"/>
        <w:rPr>
          <w:sz w:val="18"/>
        </w:rPr>
      </w:pPr>
      <w:r>
        <w:rPr>
          <w:sz w:val="18"/>
          <w:vertAlign w:val="superscript"/>
        </w:rPr>
        <w:t>1281</w:t>
      </w:r>
      <w:r>
        <w:rPr>
          <w:spacing w:val="-9"/>
          <w:sz w:val="18"/>
        </w:rPr>
        <w:t xml:space="preserve"> </w:t>
      </w:r>
      <w:r>
        <w:rPr>
          <w:sz w:val="18"/>
        </w:rPr>
        <w:t>Anti‐Dumping</w:t>
      </w:r>
      <w:r>
        <w:rPr>
          <w:spacing w:val="-9"/>
          <w:sz w:val="18"/>
        </w:rPr>
        <w:t xml:space="preserve"> </w:t>
      </w:r>
      <w:r>
        <w:rPr>
          <w:sz w:val="18"/>
        </w:rPr>
        <w:t>Final</w:t>
      </w:r>
      <w:r>
        <w:rPr>
          <w:spacing w:val="-9"/>
          <w:sz w:val="18"/>
        </w:rPr>
        <w:t xml:space="preserve"> </w:t>
      </w:r>
      <w:r>
        <w:rPr>
          <w:sz w:val="18"/>
        </w:rPr>
        <w:t>Determination</w:t>
      </w:r>
      <w:r>
        <w:rPr>
          <w:spacing w:val="-8"/>
          <w:sz w:val="18"/>
        </w:rPr>
        <w:t xml:space="preserve"> </w:t>
      </w:r>
      <w:r>
        <w:rPr>
          <w:sz w:val="18"/>
        </w:rPr>
        <w:t>(Exhibit</w:t>
      </w:r>
      <w:r>
        <w:rPr>
          <w:spacing w:val="-9"/>
          <w:sz w:val="18"/>
        </w:rPr>
        <w:t xml:space="preserve"> </w:t>
      </w:r>
      <w:r>
        <w:rPr>
          <w:sz w:val="18"/>
        </w:rPr>
        <w:t>AUS‐2),</w:t>
      </w:r>
      <w:r>
        <w:rPr>
          <w:spacing w:val="-10"/>
          <w:sz w:val="18"/>
        </w:rPr>
        <w:t xml:space="preserve"> </w:t>
      </w:r>
      <w:r>
        <w:rPr>
          <w:sz w:val="18"/>
        </w:rPr>
        <w:t>p.</w:t>
      </w:r>
      <w:r>
        <w:rPr>
          <w:spacing w:val="-9"/>
          <w:sz w:val="18"/>
        </w:rPr>
        <w:t xml:space="preserve"> </w:t>
      </w:r>
      <w:r>
        <w:rPr>
          <w:spacing w:val="-4"/>
          <w:sz w:val="18"/>
        </w:rPr>
        <w:t>132.</w:t>
      </w:r>
    </w:p>
    <w:p w14:paraId="51DE9CCA" w14:textId="77777777" w:rsidR="0010369C" w:rsidRDefault="008E43AE">
      <w:pPr>
        <w:ind w:left="238"/>
        <w:rPr>
          <w:sz w:val="18"/>
        </w:rPr>
      </w:pPr>
      <w:r>
        <w:rPr>
          <w:sz w:val="18"/>
          <w:vertAlign w:val="superscript"/>
        </w:rPr>
        <w:t>1282</w:t>
      </w:r>
      <w:r>
        <w:rPr>
          <w:spacing w:val="-9"/>
          <w:sz w:val="18"/>
        </w:rPr>
        <w:t xml:space="preserve"> </w:t>
      </w:r>
      <w:r>
        <w:rPr>
          <w:sz w:val="18"/>
        </w:rPr>
        <w:t>Anti‐Dumping</w:t>
      </w:r>
      <w:r>
        <w:rPr>
          <w:spacing w:val="-9"/>
          <w:sz w:val="18"/>
        </w:rPr>
        <w:t xml:space="preserve"> </w:t>
      </w:r>
      <w:r>
        <w:rPr>
          <w:sz w:val="18"/>
        </w:rPr>
        <w:t>Final</w:t>
      </w:r>
      <w:r>
        <w:rPr>
          <w:spacing w:val="-9"/>
          <w:sz w:val="18"/>
        </w:rPr>
        <w:t xml:space="preserve"> </w:t>
      </w:r>
      <w:r>
        <w:rPr>
          <w:sz w:val="18"/>
        </w:rPr>
        <w:t>Determination</w:t>
      </w:r>
      <w:r>
        <w:rPr>
          <w:spacing w:val="-8"/>
          <w:sz w:val="18"/>
        </w:rPr>
        <w:t xml:space="preserve"> </w:t>
      </w:r>
      <w:r>
        <w:rPr>
          <w:sz w:val="18"/>
        </w:rPr>
        <w:t>(Exhibit</w:t>
      </w:r>
      <w:r>
        <w:rPr>
          <w:spacing w:val="-9"/>
          <w:sz w:val="18"/>
        </w:rPr>
        <w:t xml:space="preserve"> </w:t>
      </w:r>
      <w:r>
        <w:rPr>
          <w:sz w:val="18"/>
        </w:rPr>
        <w:t>AUS‐2),</w:t>
      </w:r>
      <w:r>
        <w:rPr>
          <w:spacing w:val="-10"/>
          <w:sz w:val="18"/>
        </w:rPr>
        <w:t xml:space="preserve"> </w:t>
      </w:r>
      <w:r>
        <w:rPr>
          <w:sz w:val="18"/>
        </w:rPr>
        <w:t>p.</w:t>
      </w:r>
      <w:r>
        <w:rPr>
          <w:spacing w:val="-9"/>
          <w:sz w:val="18"/>
        </w:rPr>
        <w:t xml:space="preserve"> </w:t>
      </w:r>
      <w:r>
        <w:rPr>
          <w:spacing w:val="-4"/>
          <w:sz w:val="18"/>
        </w:rPr>
        <w:t>121.</w:t>
      </w:r>
    </w:p>
    <w:p w14:paraId="51DE9CCB" w14:textId="77777777" w:rsidR="0010369C" w:rsidRDefault="008E43AE">
      <w:pPr>
        <w:ind w:left="238"/>
        <w:rPr>
          <w:sz w:val="18"/>
        </w:rPr>
      </w:pPr>
      <w:r>
        <w:rPr>
          <w:sz w:val="18"/>
          <w:vertAlign w:val="superscript"/>
        </w:rPr>
        <w:t>1283</w:t>
      </w:r>
      <w:r>
        <w:rPr>
          <w:spacing w:val="-7"/>
          <w:sz w:val="18"/>
        </w:rPr>
        <w:t xml:space="preserve"> </w:t>
      </w:r>
      <w:r>
        <w:rPr>
          <w:sz w:val="18"/>
        </w:rPr>
        <w:t>Anti‐Dumping</w:t>
      </w:r>
      <w:r>
        <w:rPr>
          <w:spacing w:val="-7"/>
          <w:sz w:val="18"/>
        </w:rPr>
        <w:t xml:space="preserve"> </w:t>
      </w:r>
      <w:r>
        <w:rPr>
          <w:sz w:val="18"/>
        </w:rPr>
        <w:t>Final</w:t>
      </w:r>
      <w:r>
        <w:rPr>
          <w:spacing w:val="-6"/>
          <w:sz w:val="18"/>
        </w:rPr>
        <w:t xml:space="preserve"> </w:t>
      </w:r>
      <w:r>
        <w:rPr>
          <w:sz w:val="18"/>
        </w:rPr>
        <w:t>Determination</w:t>
      </w:r>
      <w:r>
        <w:rPr>
          <w:spacing w:val="-6"/>
          <w:sz w:val="18"/>
        </w:rPr>
        <w:t xml:space="preserve"> </w:t>
      </w:r>
      <w:r>
        <w:rPr>
          <w:sz w:val="18"/>
        </w:rPr>
        <w:t>(Exhibit</w:t>
      </w:r>
      <w:r>
        <w:rPr>
          <w:spacing w:val="-6"/>
          <w:sz w:val="18"/>
        </w:rPr>
        <w:t xml:space="preserve"> </w:t>
      </w:r>
      <w:r>
        <w:rPr>
          <w:sz w:val="18"/>
        </w:rPr>
        <w:t>AUS‐2),</w:t>
      </w:r>
      <w:r>
        <w:rPr>
          <w:spacing w:val="-8"/>
          <w:sz w:val="18"/>
        </w:rPr>
        <w:t xml:space="preserve"> </w:t>
      </w:r>
      <w:r>
        <w:rPr>
          <w:sz w:val="18"/>
        </w:rPr>
        <w:t>pp.</w:t>
      </w:r>
      <w:r>
        <w:rPr>
          <w:spacing w:val="-6"/>
          <w:sz w:val="18"/>
        </w:rPr>
        <w:t xml:space="preserve"> </w:t>
      </w:r>
      <w:r>
        <w:rPr>
          <w:sz w:val="18"/>
        </w:rPr>
        <w:t>113,</w:t>
      </w:r>
      <w:r>
        <w:rPr>
          <w:spacing w:val="-8"/>
          <w:sz w:val="18"/>
        </w:rPr>
        <w:t xml:space="preserve"> </w:t>
      </w:r>
      <w:r>
        <w:rPr>
          <w:sz w:val="18"/>
        </w:rPr>
        <w:t>129,</w:t>
      </w:r>
      <w:r>
        <w:rPr>
          <w:spacing w:val="-7"/>
          <w:sz w:val="18"/>
        </w:rPr>
        <w:t xml:space="preserve"> </w:t>
      </w:r>
      <w:r>
        <w:rPr>
          <w:sz w:val="18"/>
        </w:rPr>
        <w:t>132,</w:t>
      </w:r>
      <w:r>
        <w:rPr>
          <w:spacing w:val="-8"/>
          <w:sz w:val="18"/>
        </w:rPr>
        <w:t xml:space="preserve"> </w:t>
      </w:r>
      <w:r>
        <w:rPr>
          <w:sz w:val="18"/>
        </w:rPr>
        <w:t>141</w:t>
      </w:r>
      <w:r>
        <w:rPr>
          <w:spacing w:val="-6"/>
          <w:sz w:val="18"/>
        </w:rPr>
        <w:t xml:space="preserve"> </w:t>
      </w:r>
      <w:r>
        <w:rPr>
          <w:sz w:val="18"/>
        </w:rPr>
        <w:t>and</w:t>
      </w:r>
      <w:r>
        <w:rPr>
          <w:spacing w:val="-7"/>
          <w:sz w:val="18"/>
        </w:rPr>
        <w:t xml:space="preserve"> </w:t>
      </w:r>
      <w:r>
        <w:rPr>
          <w:spacing w:val="-4"/>
          <w:sz w:val="18"/>
        </w:rPr>
        <w:t>146.</w:t>
      </w:r>
    </w:p>
    <w:p w14:paraId="51DE9CCC" w14:textId="77777777" w:rsidR="0010369C" w:rsidRDefault="008E43AE">
      <w:pPr>
        <w:ind w:left="238"/>
        <w:rPr>
          <w:sz w:val="18"/>
        </w:rPr>
      </w:pPr>
      <w:r>
        <w:rPr>
          <w:sz w:val="18"/>
          <w:vertAlign w:val="superscript"/>
        </w:rPr>
        <w:t>1284</w:t>
      </w:r>
      <w:r>
        <w:rPr>
          <w:spacing w:val="-9"/>
          <w:sz w:val="18"/>
        </w:rPr>
        <w:t xml:space="preserve"> </w:t>
      </w:r>
      <w:r>
        <w:rPr>
          <w:sz w:val="18"/>
        </w:rPr>
        <w:t>Anti‐Dumping</w:t>
      </w:r>
      <w:r>
        <w:rPr>
          <w:spacing w:val="-9"/>
          <w:sz w:val="18"/>
        </w:rPr>
        <w:t xml:space="preserve"> </w:t>
      </w:r>
      <w:r>
        <w:rPr>
          <w:sz w:val="18"/>
        </w:rPr>
        <w:t>Final</w:t>
      </w:r>
      <w:r>
        <w:rPr>
          <w:spacing w:val="-9"/>
          <w:sz w:val="18"/>
        </w:rPr>
        <w:t xml:space="preserve"> </w:t>
      </w:r>
      <w:r>
        <w:rPr>
          <w:sz w:val="18"/>
        </w:rPr>
        <w:t>Determination</w:t>
      </w:r>
      <w:r>
        <w:rPr>
          <w:spacing w:val="-8"/>
          <w:sz w:val="18"/>
        </w:rPr>
        <w:t xml:space="preserve"> </w:t>
      </w:r>
      <w:r>
        <w:rPr>
          <w:sz w:val="18"/>
        </w:rPr>
        <w:t>(Exhibit</w:t>
      </w:r>
      <w:r>
        <w:rPr>
          <w:spacing w:val="-9"/>
          <w:sz w:val="18"/>
        </w:rPr>
        <w:t xml:space="preserve"> </w:t>
      </w:r>
      <w:r>
        <w:rPr>
          <w:sz w:val="18"/>
        </w:rPr>
        <w:t>AUS‐2),</w:t>
      </w:r>
      <w:r>
        <w:rPr>
          <w:spacing w:val="-10"/>
          <w:sz w:val="18"/>
        </w:rPr>
        <w:t xml:space="preserve"> </w:t>
      </w:r>
      <w:r>
        <w:rPr>
          <w:sz w:val="18"/>
        </w:rPr>
        <w:t>p.</w:t>
      </w:r>
      <w:r>
        <w:rPr>
          <w:spacing w:val="-9"/>
          <w:sz w:val="18"/>
        </w:rPr>
        <w:t xml:space="preserve"> </w:t>
      </w:r>
      <w:r>
        <w:rPr>
          <w:spacing w:val="-4"/>
          <w:sz w:val="18"/>
        </w:rPr>
        <w:t>137.</w:t>
      </w:r>
    </w:p>
    <w:p w14:paraId="51DE9CCD" w14:textId="77777777" w:rsidR="0010369C" w:rsidRDefault="0010369C">
      <w:pPr>
        <w:rPr>
          <w:sz w:val="18"/>
        </w:rPr>
        <w:sectPr w:rsidR="0010369C">
          <w:pgSz w:w="11910" w:h="16840"/>
          <w:pgMar w:top="880" w:right="800" w:bottom="980" w:left="1180" w:header="569" w:footer="788" w:gutter="0"/>
          <w:cols w:space="720"/>
        </w:sectPr>
      </w:pPr>
    </w:p>
    <w:p w14:paraId="51DE9CCE" w14:textId="77777777" w:rsidR="0010369C" w:rsidRDefault="008E43AE">
      <w:pPr>
        <w:tabs>
          <w:tab w:val="left" w:pos="6426"/>
        </w:tabs>
        <w:ind w:left="238"/>
        <w:jc w:val="both"/>
        <w:rPr>
          <w:sz w:val="20"/>
        </w:rPr>
      </w:pPr>
      <w:r>
        <w:rPr>
          <w:i/>
          <w:sz w:val="20"/>
        </w:rPr>
        <w:t>China</w:t>
      </w:r>
      <w:r>
        <w:rPr>
          <w:i/>
          <w:spacing w:val="-5"/>
          <w:sz w:val="20"/>
        </w:rPr>
        <w:t xml:space="preserve"> </w:t>
      </w:r>
      <w:r>
        <w:rPr>
          <w:i/>
          <w:sz w:val="20"/>
        </w:rPr>
        <w:t>–</w:t>
      </w:r>
      <w:r>
        <w:rPr>
          <w:i/>
          <w:spacing w:val="-5"/>
          <w:sz w:val="20"/>
        </w:rPr>
        <w:t xml:space="preserve"> </w:t>
      </w:r>
      <w:r>
        <w:rPr>
          <w:i/>
          <w:sz w:val="20"/>
        </w:rPr>
        <w:t>Anti‐Dumping</w:t>
      </w:r>
      <w:r>
        <w:rPr>
          <w:i/>
          <w:spacing w:val="-4"/>
          <w:sz w:val="20"/>
        </w:rPr>
        <w:t xml:space="preserve"> </w:t>
      </w:r>
      <w:r>
        <w:rPr>
          <w:i/>
          <w:sz w:val="20"/>
        </w:rPr>
        <w:t>and</w:t>
      </w:r>
      <w:r>
        <w:rPr>
          <w:i/>
          <w:spacing w:val="-5"/>
          <w:sz w:val="20"/>
        </w:rPr>
        <w:t xml:space="preserve"> </w:t>
      </w:r>
      <w:r>
        <w:rPr>
          <w:i/>
          <w:sz w:val="20"/>
        </w:rPr>
        <w:t>Countervailing</w:t>
      </w:r>
      <w:r>
        <w:rPr>
          <w:i/>
          <w:spacing w:val="-5"/>
          <w:sz w:val="20"/>
        </w:rPr>
        <w:t xml:space="preserve"> </w:t>
      </w:r>
      <w:r>
        <w:rPr>
          <w:i/>
          <w:sz w:val="20"/>
        </w:rPr>
        <w:t>Duty</w:t>
      </w:r>
      <w:r>
        <w:rPr>
          <w:i/>
          <w:spacing w:val="-4"/>
          <w:sz w:val="20"/>
        </w:rPr>
        <w:t xml:space="preserve"> </w:t>
      </w:r>
      <w:r>
        <w:rPr>
          <w:i/>
          <w:spacing w:val="-2"/>
          <w:sz w:val="20"/>
        </w:rPr>
        <w:t>Measures</w:t>
      </w:r>
      <w:r>
        <w:rPr>
          <w:i/>
          <w:sz w:val="20"/>
        </w:rPr>
        <w:tab/>
      </w:r>
      <w:r>
        <w:rPr>
          <w:sz w:val="20"/>
        </w:rPr>
        <w:t>Australia's</w:t>
      </w:r>
      <w:r>
        <w:rPr>
          <w:spacing w:val="-7"/>
          <w:sz w:val="20"/>
        </w:rPr>
        <w:t xml:space="preserve"> </w:t>
      </w:r>
      <w:r>
        <w:rPr>
          <w:sz w:val="20"/>
        </w:rPr>
        <w:t>First</w:t>
      </w:r>
      <w:r>
        <w:rPr>
          <w:spacing w:val="-2"/>
          <w:sz w:val="20"/>
        </w:rPr>
        <w:t xml:space="preserve"> </w:t>
      </w:r>
      <w:r>
        <w:rPr>
          <w:sz w:val="20"/>
        </w:rPr>
        <w:t>Written</w:t>
      </w:r>
      <w:r>
        <w:rPr>
          <w:spacing w:val="-2"/>
          <w:sz w:val="20"/>
        </w:rPr>
        <w:t xml:space="preserve"> Submission</w:t>
      </w:r>
    </w:p>
    <w:p w14:paraId="51DE9CCF" w14:textId="77777777" w:rsidR="0010369C" w:rsidRDefault="008E43AE">
      <w:pPr>
        <w:tabs>
          <w:tab w:val="left" w:pos="8228"/>
        </w:tabs>
        <w:spacing w:before="1"/>
        <w:ind w:left="239"/>
        <w:jc w:val="both"/>
        <w:rPr>
          <w:sz w:val="20"/>
        </w:rPr>
      </w:pPr>
      <w:r>
        <w:rPr>
          <w:i/>
          <w:sz w:val="20"/>
        </w:rPr>
        <w:t>on</w:t>
      </w:r>
      <w:r>
        <w:rPr>
          <w:i/>
          <w:spacing w:val="-1"/>
          <w:sz w:val="20"/>
        </w:rPr>
        <w:t xml:space="preserve"> </w:t>
      </w:r>
      <w:r>
        <w:rPr>
          <w:i/>
          <w:sz w:val="20"/>
        </w:rPr>
        <w:t>Wine</w:t>
      </w:r>
      <w:r>
        <w:rPr>
          <w:i/>
          <w:spacing w:val="-1"/>
          <w:sz w:val="20"/>
        </w:rPr>
        <w:t xml:space="preserve"> </w:t>
      </w:r>
      <w:r>
        <w:rPr>
          <w:i/>
          <w:sz w:val="20"/>
        </w:rPr>
        <w:t>from</w:t>
      </w:r>
      <w:r>
        <w:rPr>
          <w:i/>
          <w:spacing w:val="-3"/>
          <w:sz w:val="20"/>
        </w:rPr>
        <w:t xml:space="preserve"> </w:t>
      </w:r>
      <w:r>
        <w:rPr>
          <w:i/>
          <w:sz w:val="20"/>
        </w:rPr>
        <w:t>Australia</w:t>
      </w:r>
      <w:r>
        <w:rPr>
          <w:i/>
          <w:spacing w:val="-1"/>
          <w:sz w:val="20"/>
        </w:rPr>
        <w:t xml:space="preserve"> </w:t>
      </w:r>
      <w:r>
        <w:rPr>
          <w:spacing w:val="-2"/>
          <w:sz w:val="20"/>
        </w:rPr>
        <w:t>(DS602)</w:t>
      </w:r>
      <w:r>
        <w:rPr>
          <w:sz w:val="20"/>
        </w:rPr>
        <w:tab/>
        <w:t>29</w:t>
      </w:r>
      <w:r>
        <w:rPr>
          <w:spacing w:val="-1"/>
          <w:sz w:val="20"/>
        </w:rPr>
        <w:t xml:space="preserve"> </w:t>
      </w:r>
      <w:r>
        <w:rPr>
          <w:sz w:val="20"/>
        </w:rPr>
        <w:t>April</w:t>
      </w:r>
      <w:r>
        <w:rPr>
          <w:spacing w:val="-2"/>
          <w:sz w:val="20"/>
        </w:rPr>
        <w:t xml:space="preserve"> </w:t>
      </w:r>
      <w:r>
        <w:rPr>
          <w:spacing w:val="-4"/>
          <w:sz w:val="20"/>
        </w:rPr>
        <w:t>2022</w:t>
      </w:r>
    </w:p>
    <w:p w14:paraId="51DE9CD0" w14:textId="77777777" w:rsidR="0010369C" w:rsidRDefault="008E43AE">
      <w:pPr>
        <w:spacing w:before="34" w:line="360" w:lineRule="auto"/>
        <w:ind w:left="237" w:right="613"/>
        <w:jc w:val="both"/>
        <w:rPr>
          <w:sz w:val="24"/>
        </w:rPr>
      </w:pPr>
      <w:r>
        <w:rPr>
          <w:sz w:val="24"/>
        </w:rPr>
        <w:t xml:space="preserve">the "reasons for the acceptance or rejection of relevant arguments or claims made by the exporters and importers". The Appellate Body in </w:t>
      </w:r>
      <w:r>
        <w:rPr>
          <w:i/>
          <w:sz w:val="24"/>
        </w:rPr>
        <w:t>US – Cou</w:t>
      </w:r>
      <w:r>
        <w:rPr>
          <w:i/>
          <w:sz w:val="24"/>
        </w:rPr>
        <w:t xml:space="preserve">ntervailing Duty Investigation on DRAMS </w:t>
      </w:r>
      <w:r>
        <w:rPr>
          <w:sz w:val="24"/>
        </w:rPr>
        <w:t>found that:</w:t>
      </w:r>
    </w:p>
    <w:p w14:paraId="51DE9CD1" w14:textId="77777777" w:rsidR="0010369C" w:rsidRDefault="008E43AE">
      <w:pPr>
        <w:spacing w:before="161" w:line="276" w:lineRule="auto"/>
        <w:ind w:left="1089" w:right="614"/>
        <w:jc w:val="both"/>
      </w:pPr>
      <w:r>
        <w:t>The explanation</w:t>
      </w:r>
      <w:r>
        <w:rPr>
          <w:spacing w:val="-2"/>
        </w:rPr>
        <w:t xml:space="preserve"> </w:t>
      </w:r>
      <w:r>
        <w:t>provided by the investigating authority—with respect to its factual findings as well as its ultimate subsidy determination—should also address alternative explanations that could reasonabl</w:t>
      </w:r>
      <w:r>
        <w:t>y be drawn from the evidence, as well as the reasons why the agency chose to discount such alternatives in coming to its conclusions.</w:t>
      </w:r>
      <w:r>
        <w:rPr>
          <w:vertAlign w:val="superscript"/>
        </w:rPr>
        <w:t>1285</w:t>
      </w:r>
    </w:p>
    <w:p w14:paraId="51DE9CD2" w14:textId="77777777" w:rsidR="0010369C" w:rsidRDefault="0010369C">
      <w:pPr>
        <w:pStyle w:val="BodyText"/>
        <w:spacing w:before="4"/>
        <w:rPr>
          <w:sz w:val="15"/>
        </w:rPr>
      </w:pPr>
    </w:p>
    <w:p w14:paraId="51DE9CD3" w14:textId="77777777" w:rsidR="0010369C" w:rsidRDefault="008E43AE">
      <w:pPr>
        <w:pStyle w:val="BodyText"/>
        <w:spacing w:before="52" w:line="360" w:lineRule="auto"/>
        <w:ind w:left="237" w:right="613" w:firstLine="851"/>
        <w:jc w:val="both"/>
      </w:pPr>
      <w:r>
        <w:rPr>
          <w:noProof/>
        </w:rPr>
        <w:drawing>
          <wp:anchor distT="0" distB="0" distL="0" distR="0" simplePos="0" relativeHeight="251687424" behindDoc="1" locked="0" layoutInCell="1" allowOverlap="1" wp14:anchorId="51DEA9B2" wp14:editId="51DEA9B3">
            <wp:simplePos x="0" y="0"/>
            <wp:positionH relativeFrom="page">
              <wp:posOffset>908303</wp:posOffset>
            </wp:positionH>
            <wp:positionV relativeFrom="paragraph">
              <wp:posOffset>76785</wp:posOffset>
            </wp:positionV>
            <wp:extent cx="332231" cy="106679"/>
            <wp:effectExtent l="0" t="0" r="0" b="0"/>
            <wp:wrapNone/>
            <wp:docPr id="2201" name="image11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2" name="image1128.png"/>
                    <pic:cNvPicPr/>
                  </pic:nvPicPr>
                  <pic:blipFill>
                    <a:blip r:embed="rId1437" cstate="print"/>
                    <a:stretch>
                      <a:fillRect/>
                    </a:stretch>
                  </pic:blipFill>
                  <pic:spPr>
                    <a:xfrm>
                      <a:off x="0" y="0"/>
                      <a:ext cx="332231" cy="106679"/>
                    </a:xfrm>
                    <a:prstGeom prst="rect">
                      <a:avLst/>
                    </a:prstGeom>
                  </pic:spPr>
                </pic:pic>
              </a:graphicData>
            </a:graphic>
          </wp:anchor>
        </w:drawing>
      </w:r>
      <w:r>
        <w:t>During the course of investigations, Australian companies and the Australian Government raised several well‐grounded</w:t>
      </w:r>
      <w:r>
        <w:t xml:space="preserve"> explanations for the reduction in the price of Australian wine in China and the corresponding expansion of export volumes, including the progressive reduction in wine import tariffs under ChAFTA during the POI.</w:t>
      </w:r>
      <w:r>
        <w:rPr>
          <w:vertAlign w:val="superscript"/>
        </w:rPr>
        <w:t>1286</w:t>
      </w:r>
      <w:r>
        <w:t xml:space="preserve"> MOFCOM discarded these alternative expla</w:t>
      </w:r>
      <w:r>
        <w:t>nations merely on the basis that it reached a contrary conclusion.</w:t>
      </w:r>
      <w:r>
        <w:rPr>
          <w:vertAlign w:val="superscript"/>
        </w:rPr>
        <w:t>1287</w:t>
      </w:r>
      <w:r>
        <w:t xml:space="preserve"> MOFCOM also failed to set out in sufficient detail any analysis of non‐subject imports, apart from the cursory statement that there was "no evidence" that imports from other countries h</w:t>
      </w:r>
      <w:r>
        <w:t>ad caused material injury.</w:t>
      </w:r>
      <w:r>
        <w:rPr>
          <w:vertAlign w:val="superscript"/>
        </w:rPr>
        <w:t>1288</w:t>
      </w:r>
    </w:p>
    <w:p w14:paraId="51DE9CD4" w14:textId="77777777" w:rsidR="0010369C" w:rsidRDefault="008E43AE">
      <w:pPr>
        <w:pStyle w:val="Heading4"/>
        <w:numPr>
          <w:ilvl w:val="2"/>
          <w:numId w:val="75"/>
        </w:numPr>
        <w:tabs>
          <w:tab w:val="left" w:pos="2649"/>
          <w:tab w:val="left" w:pos="2650"/>
        </w:tabs>
        <w:ind w:left="2649" w:hanging="852"/>
        <w:jc w:val="both"/>
      </w:pPr>
      <w:r>
        <w:rPr>
          <w:spacing w:val="-2"/>
        </w:rPr>
        <w:t>Conclusion</w:t>
      </w:r>
    </w:p>
    <w:p w14:paraId="51DE9CD5" w14:textId="77777777" w:rsidR="0010369C" w:rsidRDefault="0010369C">
      <w:pPr>
        <w:pStyle w:val="BodyText"/>
        <w:spacing w:before="10"/>
        <w:rPr>
          <w:b/>
          <w:sz w:val="20"/>
        </w:rPr>
      </w:pPr>
    </w:p>
    <w:p w14:paraId="51DE9CD6" w14:textId="77777777" w:rsidR="0010369C" w:rsidRDefault="008E43AE">
      <w:pPr>
        <w:pStyle w:val="BodyText"/>
        <w:spacing w:before="52" w:line="360" w:lineRule="auto"/>
        <w:ind w:left="237" w:right="613" w:firstLine="851"/>
        <w:jc w:val="both"/>
      </w:pPr>
      <w:r>
        <w:rPr>
          <w:noProof/>
        </w:rPr>
        <w:drawing>
          <wp:anchor distT="0" distB="0" distL="0" distR="0" simplePos="0" relativeHeight="251688448" behindDoc="1" locked="0" layoutInCell="1" allowOverlap="1" wp14:anchorId="51DEA9B4" wp14:editId="51DEA9B5">
            <wp:simplePos x="0" y="0"/>
            <wp:positionH relativeFrom="page">
              <wp:posOffset>908303</wp:posOffset>
            </wp:positionH>
            <wp:positionV relativeFrom="paragraph">
              <wp:posOffset>80595</wp:posOffset>
            </wp:positionV>
            <wp:extent cx="332231" cy="103631"/>
            <wp:effectExtent l="0" t="0" r="0" b="0"/>
            <wp:wrapNone/>
            <wp:docPr id="2203" name="image1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4" name="image1129.png"/>
                    <pic:cNvPicPr/>
                  </pic:nvPicPr>
                  <pic:blipFill>
                    <a:blip r:embed="rId1438" cstate="print"/>
                    <a:stretch>
                      <a:fillRect/>
                    </a:stretch>
                  </pic:blipFill>
                  <pic:spPr>
                    <a:xfrm>
                      <a:off x="0" y="0"/>
                      <a:ext cx="332231" cy="103631"/>
                    </a:xfrm>
                    <a:prstGeom prst="rect">
                      <a:avLst/>
                    </a:prstGeom>
                  </pic:spPr>
                </pic:pic>
              </a:graphicData>
            </a:graphic>
          </wp:anchor>
        </w:drawing>
      </w:r>
      <w:r>
        <w:t>For the foregoing reasons, MOFCOM acted inconsistently with the provisions of Articles 12.2 and 12.2.2 by failing to provide, in the public notice of the Final Determination, all</w:t>
      </w:r>
      <w:r>
        <w:rPr>
          <w:spacing w:val="-14"/>
        </w:rPr>
        <w:t xml:space="preserve"> </w:t>
      </w:r>
      <w:r>
        <w:t>relevant</w:t>
      </w:r>
      <w:r>
        <w:rPr>
          <w:spacing w:val="-14"/>
        </w:rPr>
        <w:t xml:space="preserve"> </w:t>
      </w:r>
      <w:r>
        <w:t>information</w:t>
      </w:r>
      <w:r>
        <w:rPr>
          <w:spacing w:val="-13"/>
        </w:rPr>
        <w:t xml:space="preserve"> </w:t>
      </w:r>
      <w:r>
        <w:t>on</w:t>
      </w:r>
      <w:r>
        <w:rPr>
          <w:spacing w:val="-14"/>
        </w:rPr>
        <w:t xml:space="preserve"> </w:t>
      </w:r>
      <w:r>
        <w:t>the</w:t>
      </w:r>
      <w:r>
        <w:rPr>
          <w:spacing w:val="-13"/>
        </w:rPr>
        <w:t xml:space="preserve"> </w:t>
      </w:r>
      <w:r>
        <w:t>matters</w:t>
      </w:r>
      <w:r>
        <w:rPr>
          <w:spacing w:val="-14"/>
        </w:rPr>
        <w:t xml:space="preserve"> </w:t>
      </w:r>
      <w:r>
        <w:t>of</w:t>
      </w:r>
      <w:r>
        <w:rPr>
          <w:spacing w:val="-13"/>
        </w:rPr>
        <w:t xml:space="preserve"> </w:t>
      </w:r>
      <w:r>
        <w:t>fact</w:t>
      </w:r>
      <w:r>
        <w:rPr>
          <w:spacing w:val="-14"/>
        </w:rPr>
        <w:t xml:space="preserve"> </w:t>
      </w:r>
      <w:r>
        <w:t>and</w:t>
      </w:r>
      <w:r>
        <w:rPr>
          <w:spacing w:val="-14"/>
        </w:rPr>
        <w:t xml:space="preserve"> </w:t>
      </w:r>
      <w:r>
        <w:t>law</w:t>
      </w:r>
      <w:r>
        <w:rPr>
          <w:spacing w:val="-13"/>
        </w:rPr>
        <w:t xml:space="preserve"> </w:t>
      </w:r>
      <w:r>
        <w:t>and</w:t>
      </w:r>
      <w:r>
        <w:rPr>
          <w:spacing w:val="-14"/>
        </w:rPr>
        <w:t xml:space="preserve"> </w:t>
      </w:r>
      <w:r>
        <w:t>reasons</w:t>
      </w:r>
      <w:r>
        <w:rPr>
          <w:spacing w:val="-13"/>
        </w:rPr>
        <w:t xml:space="preserve"> </w:t>
      </w:r>
      <w:r>
        <w:t>which</w:t>
      </w:r>
      <w:r>
        <w:rPr>
          <w:spacing w:val="-14"/>
        </w:rPr>
        <w:t xml:space="preserve"> </w:t>
      </w:r>
      <w:r>
        <w:t>led</w:t>
      </w:r>
      <w:r>
        <w:rPr>
          <w:spacing w:val="-13"/>
        </w:rPr>
        <w:t xml:space="preserve"> </w:t>
      </w:r>
      <w:r>
        <w:t>to</w:t>
      </w:r>
      <w:r>
        <w:rPr>
          <w:spacing w:val="-14"/>
        </w:rPr>
        <w:t xml:space="preserve"> </w:t>
      </w:r>
      <w:r>
        <w:t>the</w:t>
      </w:r>
      <w:r>
        <w:rPr>
          <w:spacing w:val="-14"/>
        </w:rPr>
        <w:t xml:space="preserve"> </w:t>
      </w:r>
      <w:r>
        <w:t>imposition of</w:t>
      </w:r>
      <w:r>
        <w:rPr>
          <w:spacing w:val="-13"/>
        </w:rPr>
        <w:t xml:space="preserve"> </w:t>
      </w:r>
      <w:r>
        <w:t>final</w:t>
      </w:r>
      <w:r>
        <w:rPr>
          <w:spacing w:val="-12"/>
        </w:rPr>
        <w:t xml:space="preserve"> </w:t>
      </w:r>
      <w:r>
        <w:t>measures,</w:t>
      </w:r>
      <w:r>
        <w:rPr>
          <w:spacing w:val="-13"/>
        </w:rPr>
        <w:t xml:space="preserve"> </w:t>
      </w:r>
      <w:r>
        <w:t>and</w:t>
      </w:r>
      <w:r>
        <w:rPr>
          <w:spacing w:val="-13"/>
        </w:rPr>
        <w:t xml:space="preserve"> </w:t>
      </w:r>
      <w:r>
        <w:t>the</w:t>
      </w:r>
      <w:r>
        <w:rPr>
          <w:spacing w:val="-12"/>
        </w:rPr>
        <w:t xml:space="preserve"> </w:t>
      </w:r>
      <w:r>
        <w:t>reasons</w:t>
      </w:r>
      <w:r>
        <w:rPr>
          <w:spacing w:val="-14"/>
        </w:rPr>
        <w:t xml:space="preserve"> </w:t>
      </w:r>
      <w:r>
        <w:t>for</w:t>
      </w:r>
      <w:r>
        <w:rPr>
          <w:spacing w:val="-12"/>
        </w:rPr>
        <w:t xml:space="preserve"> </w:t>
      </w:r>
      <w:r>
        <w:t>the</w:t>
      </w:r>
      <w:r>
        <w:rPr>
          <w:spacing w:val="-12"/>
        </w:rPr>
        <w:t xml:space="preserve"> </w:t>
      </w:r>
      <w:r>
        <w:t>acceptance</w:t>
      </w:r>
      <w:r>
        <w:rPr>
          <w:spacing w:val="-12"/>
        </w:rPr>
        <w:t xml:space="preserve"> </w:t>
      </w:r>
      <w:r>
        <w:t>and</w:t>
      </w:r>
      <w:r>
        <w:rPr>
          <w:spacing w:val="-13"/>
        </w:rPr>
        <w:t xml:space="preserve"> </w:t>
      </w:r>
      <w:r>
        <w:t>rejection</w:t>
      </w:r>
      <w:r>
        <w:rPr>
          <w:spacing w:val="-13"/>
        </w:rPr>
        <w:t xml:space="preserve"> </w:t>
      </w:r>
      <w:r>
        <w:t>of</w:t>
      </w:r>
      <w:r>
        <w:rPr>
          <w:spacing w:val="-13"/>
        </w:rPr>
        <w:t xml:space="preserve"> </w:t>
      </w:r>
      <w:r>
        <w:t>relevant</w:t>
      </w:r>
      <w:r>
        <w:rPr>
          <w:spacing w:val="-13"/>
        </w:rPr>
        <w:t xml:space="preserve"> </w:t>
      </w:r>
      <w:r>
        <w:t>arguments</w:t>
      </w:r>
      <w:r>
        <w:rPr>
          <w:spacing w:val="-13"/>
        </w:rPr>
        <w:t xml:space="preserve"> </w:t>
      </w:r>
      <w:r>
        <w:t>and claims made by the exporters and importers.</w:t>
      </w:r>
    </w:p>
    <w:p w14:paraId="51DE9CD7" w14:textId="77777777" w:rsidR="0010369C" w:rsidRDefault="0010369C">
      <w:pPr>
        <w:pStyle w:val="BodyText"/>
      </w:pPr>
    </w:p>
    <w:p w14:paraId="51DE9CD8" w14:textId="77777777" w:rsidR="0010369C" w:rsidRDefault="0010369C">
      <w:pPr>
        <w:pStyle w:val="BodyText"/>
      </w:pPr>
    </w:p>
    <w:p w14:paraId="51DE9CD9" w14:textId="77777777" w:rsidR="0010369C" w:rsidRDefault="0010369C">
      <w:pPr>
        <w:pStyle w:val="BodyText"/>
      </w:pPr>
    </w:p>
    <w:p w14:paraId="51DE9CDA" w14:textId="77777777" w:rsidR="0010369C" w:rsidRDefault="0010369C">
      <w:pPr>
        <w:pStyle w:val="BodyText"/>
      </w:pPr>
    </w:p>
    <w:p w14:paraId="51DE9CDB" w14:textId="77777777" w:rsidR="0010369C" w:rsidRDefault="0010369C">
      <w:pPr>
        <w:pStyle w:val="BodyText"/>
      </w:pPr>
    </w:p>
    <w:p w14:paraId="51DE9CDC" w14:textId="77777777" w:rsidR="0010369C" w:rsidRDefault="0010369C">
      <w:pPr>
        <w:pStyle w:val="BodyText"/>
      </w:pPr>
    </w:p>
    <w:p w14:paraId="51DE9CDD" w14:textId="77777777" w:rsidR="0010369C" w:rsidRDefault="0010369C">
      <w:pPr>
        <w:pStyle w:val="BodyText"/>
      </w:pPr>
    </w:p>
    <w:p w14:paraId="51DE9CDE" w14:textId="77777777" w:rsidR="0010369C" w:rsidRDefault="0010369C">
      <w:pPr>
        <w:pStyle w:val="BodyText"/>
      </w:pPr>
    </w:p>
    <w:p w14:paraId="51DE9CDF" w14:textId="77777777" w:rsidR="0010369C" w:rsidRDefault="0010369C">
      <w:pPr>
        <w:pStyle w:val="BodyText"/>
      </w:pPr>
    </w:p>
    <w:p w14:paraId="51DE9CE0" w14:textId="77777777" w:rsidR="0010369C" w:rsidRDefault="0010369C">
      <w:pPr>
        <w:pStyle w:val="BodyText"/>
      </w:pPr>
    </w:p>
    <w:p w14:paraId="51DE9CE1" w14:textId="77777777" w:rsidR="0010369C" w:rsidRDefault="0010369C">
      <w:pPr>
        <w:pStyle w:val="BodyText"/>
      </w:pPr>
    </w:p>
    <w:p w14:paraId="51DE9CE2" w14:textId="77777777" w:rsidR="0010369C" w:rsidRDefault="0010369C">
      <w:pPr>
        <w:pStyle w:val="BodyText"/>
      </w:pPr>
    </w:p>
    <w:p w14:paraId="51DE9CE3" w14:textId="77777777" w:rsidR="0010369C" w:rsidRDefault="008E43AE">
      <w:pPr>
        <w:spacing w:before="182"/>
        <w:ind w:left="238"/>
        <w:rPr>
          <w:sz w:val="18"/>
        </w:rPr>
      </w:pPr>
      <w:r>
        <w:rPr>
          <w:sz w:val="18"/>
          <w:vertAlign w:val="superscript"/>
        </w:rPr>
        <w:t>1285</w:t>
      </w:r>
      <w:r>
        <w:rPr>
          <w:spacing w:val="-7"/>
          <w:sz w:val="18"/>
        </w:rPr>
        <w:t xml:space="preserve"> </w:t>
      </w:r>
      <w:r>
        <w:rPr>
          <w:sz w:val="18"/>
        </w:rPr>
        <w:t>Appellate</w:t>
      </w:r>
      <w:r>
        <w:rPr>
          <w:spacing w:val="-8"/>
          <w:sz w:val="18"/>
        </w:rPr>
        <w:t xml:space="preserve"> </w:t>
      </w:r>
      <w:r>
        <w:rPr>
          <w:sz w:val="18"/>
        </w:rPr>
        <w:t>Body</w:t>
      </w:r>
      <w:r>
        <w:rPr>
          <w:spacing w:val="-8"/>
          <w:sz w:val="18"/>
        </w:rPr>
        <w:t xml:space="preserve"> </w:t>
      </w:r>
      <w:r>
        <w:rPr>
          <w:sz w:val="18"/>
        </w:rPr>
        <w:t>Report,</w:t>
      </w:r>
      <w:r>
        <w:rPr>
          <w:spacing w:val="-7"/>
          <w:sz w:val="18"/>
        </w:rPr>
        <w:t xml:space="preserve"> </w:t>
      </w:r>
      <w:r>
        <w:rPr>
          <w:i/>
          <w:sz w:val="18"/>
        </w:rPr>
        <w:t>US</w:t>
      </w:r>
      <w:r>
        <w:rPr>
          <w:i/>
          <w:spacing w:val="-7"/>
          <w:sz w:val="18"/>
        </w:rPr>
        <w:t xml:space="preserve"> </w:t>
      </w:r>
      <w:r>
        <w:rPr>
          <w:i/>
          <w:sz w:val="18"/>
        </w:rPr>
        <w:t>–</w:t>
      </w:r>
      <w:r>
        <w:rPr>
          <w:i/>
          <w:spacing w:val="-7"/>
          <w:sz w:val="18"/>
        </w:rPr>
        <w:t xml:space="preserve"> </w:t>
      </w:r>
      <w:r>
        <w:rPr>
          <w:i/>
          <w:sz w:val="18"/>
        </w:rPr>
        <w:t>Countervailing</w:t>
      </w:r>
      <w:r>
        <w:rPr>
          <w:i/>
          <w:spacing w:val="-7"/>
          <w:sz w:val="18"/>
        </w:rPr>
        <w:t xml:space="preserve"> </w:t>
      </w:r>
      <w:r>
        <w:rPr>
          <w:i/>
          <w:sz w:val="18"/>
        </w:rPr>
        <w:t>Duty</w:t>
      </w:r>
      <w:r>
        <w:rPr>
          <w:i/>
          <w:spacing w:val="-7"/>
          <w:sz w:val="18"/>
        </w:rPr>
        <w:t xml:space="preserve"> </w:t>
      </w:r>
      <w:r>
        <w:rPr>
          <w:i/>
          <w:sz w:val="18"/>
        </w:rPr>
        <w:t>Investigation</w:t>
      </w:r>
      <w:r>
        <w:rPr>
          <w:i/>
          <w:spacing w:val="-8"/>
          <w:sz w:val="18"/>
        </w:rPr>
        <w:t xml:space="preserve"> </w:t>
      </w:r>
      <w:r>
        <w:rPr>
          <w:i/>
          <w:sz w:val="18"/>
        </w:rPr>
        <w:t>on</w:t>
      </w:r>
      <w:r>
        <w:rPr>
          <w:i/>
          <w:spacing w:val="-7"/>
          <w:sz w:val="18"/>
        </w:rPr>
        <w:t xml:space="preserve"> </w:t>
      </w:r>
      <w:r>
        <w:rPr>
          <w:i/>
          <w:sz w:val="18"/>
        </w:rPr>
        <w:t>DRAMS</w:t>
      </w:r>
      <w:r>
        <w:rPr>
          <w:sz w:val="18"/>
        </w:rPr>
        <w:t>,</w:t>
      </w:r>
      <w:r>
        <w:rPr>
          <w:spacing w:val="-8"/>
          <w:sz w:val="18"/>
        </w:rPr>
        <w:t xml:space="preserve"> </w:t>
      </w:r>
      <w:r>
        <w:rPr>
          <w:sz w:val="18"/>
        </w:rPr>
        <w:t>para.</w:t>
      </w:r>
      <w:r>
        <w:rPr>
          <w:spacing w:val="-6"/>
          <w:sz w:val="18"/>
        </w:rPr>
        <w:t xml:space="preserve"> </w:t>
      </w:r>
      <w:r>
        <w:rPr>
          <w:sz w:val="18"/>
        </w:rPr>
        <w:t>186.</w:t>
      </w:r>
      <w:r>
        <w:rPr>
          <w:spacing w:val="-7"/>
          <w:sz w:val="18"/>
        </w:rPr>
        <w:t xml:space="preserve"> </w:t>
      </w:r>
      <w:r>
        <w:rPr>
          <w:sz w:val="18"/>
        </w:rPr>
        <w:t>(footnotes</w:t>
      </w:r>
      <w:r>
        <w:rPr>
          <w:spacing w:val="-8"/>
          <w:sz w:val="18"/>
        </w:rPr>
        <w:t xml:space="preserve"> </w:t>
      </w:r>
      <w:r>
        <w:rPr>
          <w:spacing w:val="-2"/>
          <w:sz w:val="18"/>
        </w:rPr>
        <w:t>omitted)</w:t>
      </w:r>
    </w:p>
    <w:p w14:paraId="51DE9CE4" w14:textId="77777777" w:rsidR="0010369C" w:rsidRDefault="008E43AE">
      <w:pPr>
        <w:ind w:left="238"/>
        <w:rPr>
          <w:sz w:val="18"/>
        </w:rPr>
      </w:pPr>
      <w:r>
        <w:rPr>
          <w:sz w:val="18"/>
          <w:vertAlign w:val="superscript"/>
        </w:rPr>
        <w:t>1286</w:t>
      </w:r>
      <w:r>
        <w:rPr>
          <w:spacing w:val="-8"/>
          <w:sz w:val="18"/>
        </w:rPr>
        <w:t xml:space="preserve"> </w:t>
      </w:r>
      <w:r>
        <w:rPr>
          <w:sz w:val="18"/>
        </w:rPr>
        <w:t>Australian</w:t>
      </w:r>
      <w:r>
        <w:rPr>
          <w:spacing w:val="-9"/>
          <w:sz w:val="18"/>
        </w:rPr>
        <w:t xml:space="preserve"> </w:t>
      </w:r>
      <w:r>
        <w:rPr>
          <w:sz w:val="18"/>
        </w:rPr>
        <w:t>Government</w:t>
      </w:r>
      <w:r>
        <w:rPr>
          <w:spacing w:val="-9"/>
          <w:sz w:val="18"/>
        </w:rPr>
        <w:t xml:space="preserve"> </w:t>
      </w:r>
      <w:r>
        <w:rPr>
          <w:sz w:val="18"/>
        </w:rPr>
        <w:t>Submission</w:t>
      </w:r>
      <w:r>
        <w:rPr>
          <w:spacing w:val="-7"/>
          <w:sz w:val="18"/>
        </w:rPr>
        <w:t xml:space="preserve"> </w:t>
      </w:r>
      <w:r>
        <w:rPr>
          <w:sz w:val="18"/>
        </w:rPr>
        <w:t>on</w:t>
      </w:r>
      <w:r>
        <w:rPr>
          <w:spacing w:val="-7"/>
          <w:sz w:val="18"/>
        </w:rPr>
        <w:t xml:space="preserve"> </w:t>
      </w:r>
      <w:r>
        <w:rPr>
          <w:sz w:val="18"/>
        </w:rPr>
        <w:t>Initiation</w:t>
      </w:r>
      <w:r>
        <w:rPr>
          <w:spacing w:val="-8"/>
          <w:sz w:val="18"/>
        </w:rPr>
        <w:t xml:space="preserve"> </w:t>
      </w:r>
      <w:r>
        <w:rPr>
          <w:sz w:val="18"/>
        </w:rPr>
        <w:t>(Exhibit</w:t>
      </w:r>
      <w:r>
        <w:rPr>
          <w:spacing w:val="-8"/>
          <w:sz w:val="18"/>
        </w:rPr>
        <w:t xml:space="preserve"> </w:t>
      </w:r>
      <w:r>
        <w:rPr>
          <w:sz w:val="18"/>
        </w:rPr>
        <w:t>AUS‐87),</w:t>
      </w:r>
      <w:r>
        <w:rPr>
          <w:spacing w:val="-8"/>
          <w:sz w:val="18"/>
        </w:rPr>
        <w:t xml:space="preserve"> </w:t>
      </w:r>
      <w:r>
        <w:rPr>
          <w:sz w:val="18"/>
        </w:rPr>
        <w:t>p.</w:t>
      </w:r>
      <w:r>
        <w:rPr>
          <w:spacing w:val="-8"/>
          <w:sz w:val="18"/>
        </w:rPr>
        <w:t xml:space="preserve"> </w:t>
      </w:r>
      <w:r>
        <w:rPr>
          <w:spacing w:val="-5"/>
          <w:sz w:val="18"/>
        </w:rPr>
        <w:t>8.</w:t>
      </w:r>
    </w:p>
    <w:p w14:paraId="51DE9CE5" w14:textId="77777777" w:rsidR="0010369C" w:rsidRDefault="008E43AE">
      <w:pPr>
        <w:ind w:left="238"/>
        <w:rPr>
          <w:sz w:val="18"/>
        </w:rPr>
      </w:pPr>
      <w:r>
        <w:rPr>
          <w:sz w:val="18"/>
          <w:vertAlign w:val="superscript"/>
        </w:rPr>
        <w:t>1287</w:t>
      </w:r>
      <w:r>
        <w:rPr>
          <w:spacing w:val="-9"/>
          <w:sz w:val="18"/>
        </w:rPr>
        <w:t xml:space="preserve"> </w:t>
      </w:r>
      <w:r>
        <w:rPr>
          <w:sz w:val="18"/>
        </w:rPr>
        <w:t>Anti‐Dumping</w:t>
      </w:r>
      <w:r>
        <w:rPr>
          <w:spacing w:val="-9"/>
          <w:sz w:val="18"/>
        </w:rPr>
        <w:t xml:space="preserve"> </w:t>
      </w:r>
      <w:r>
        <w:rPr>
          <w:sz w:val="18"/>
        </w:rPr>
        <w:t>Final</w:t>
      </w:r>
      <w:r>
        <w:rPr>
          <w:spacing w:val="-9"/>
          <w:sz w:val="18"/>
        </w:rPr>
        <w:t xml:space="preserve"> </w:t>
      </w:r>
      <w:r>
        <w:rPr>
          <w:sz w:val="18"/>
        </w:rPr>
        <w:t>Determination</w:t>
      </w:r>
      <w:r>
        <w:rPr>
          <w:spacing w:val="-8"/>
          <w:sz w:val="18"/>
        </w:rPr>
        <w:t xml:space="preserve"> </w:t>
      </w:r>
      <w:r>
        <w:rPr>
          <w:sz w:val="18"/>
        </w:rPr>
        <w:t>(Exhibit</w:t>
      </w:r>
      <w:r>
        <w:rPr>
          <w:spacing w:val="-9"/>
          <w:sz w:val="18"/>
        </w:rPr>
        <w:t xml:space="preserve"> </w:t>
      </w:r>
      <w:r>
        <w:rPr>
          <w:sz w:val="18"/>
        </w:rPr>
        <w:t>AUS‐2)</w:t>
      </w:r>
      <w:r>
        <w:rPr>
          <w:spacing w:val="-9"/>
          <w:sz w:val="18"/>
        </w:rPr>
        <w:t xml:space="preserve"> </w:t>
      </w:r>
      <w:r>
        <w:rPr>
          <w:sz w:val="18"/>
        </w:rPr>
        <w:t>pp.</w:t>
      </w:r>
      <w:r>
        <w:rPr>
          <w:spacing w:val="-9"/>
          <w:sz w:val="18"/>
        </w:rPr>
        <w:t xml:space="preserve"> </w:t>
      </w:r>
      <w:r>
        <w:rPr>
          <w:spacing w:val="-2"/>
          <w:sz w:val="18"/>
        </w:rPr>
        <w:t>137‐147.</w:t>
      </w:r>
    </w:p>
    <w:p w14:paraId="51DE9CE6" w14:textId="77777777" w:rsidR="0010369C" w:rsidRDefault="0010369C">
      <w:pPr>
        <w:rPr>
          <w:sz w:val="18"/>
        </w:rPr>
        <w:sectPr w:rsidR="0010369C">
          <w:headerReference w:type="default" r:id="rId1439"/>
          <w:footerReference w:type="default" r:id="rId1440"/>
          <w:pgSz w:w="11910" w:h="16840"/>
          <w:pgMar w:top="880" w:right="800" w:bottom="1560" w:left="1180" w:header="569" w:footer="1363" w:gutter="0"/>
          <w:cols w:space="720"/>
        </w:sectPr>
      </w:pPr>
    </w:p>
    <w:p w14:paraId="51DE9CE7" w14:textId="77777777" w:rsidR="0010369C" w:rsidRDefault="008E43AE">
      <w:pPr>
        <w:spacing w:before="92"/>
        <w:ind w:left="2"/>
        <w:jc w:val="center"/>
        <w:rPr>
          <w:sz w:val="21"/>
        </w:rPr>
      </w:pPr>
      <w:r>
        <w:pict w14:anchorId="51DEA9B6">
          <v:group id="docshapegroup1503" o:spid="_x0000_s1026" style="position:absolute;left:0;text-align:left;margin-left:61.2pt;margin-top:0;width:533.65pt;height:841.1pt;z-index:-251268608;mso-position-horizontal-relative:page;mso-position-vertical-relative:page" coordorigin="1224" coordsize="10673,16822">
            <v:shape id="docshape1504" o:spid="_x0000_s1029" type="#_x0000_t75" style="position:absolute;left:1224;width:10673;height:16822">
              <v:imagedata r:id="rId1441" o:title=""/>
            </v:shape>
            <v:line id="_x0000_s1028" style="position:absolute" from="1287,870" to="10515,870" strokecolor="#3b3b3b" strokeweight=".41486mm"/>
            <v:line id="_x0000_s1027" style="position:absolute" from="1287,570" to="10515,570" strokecolor="#383838" strokeweight=".41486mm"/>
            <w10:wrap anchorx="page" anchory="page"/>
          </v:group>
        </w:pict>
      </w:r>
      <w:r>
        <w:rPr>
          <w:color w:val="101010"/>
          <w:w w:val="95"/>
          <w:sz w:val="21"/>
        </w:rPr>
        <w:t>Contains</w:t>
      </w:r>
      <w:r>
        <w:rPr>
          <w:color w:val="101010"/>
          <w:spacing w:val="-3"/>
          <w:sz w:val="21"/>
        </w:rPr>
        <w:t xml:space="preserve"> </w:t>
      </w:r>
      <w:r>
        <w:rPr>
          <w:color w:val="101010"/>
          <w:w w:val="95"/>
          <w:sz w:val="21"/>
        </w:rPr>
        <w:t>Business</w:t>
      </w:r>
      <w:r>
        <w:rPr>
          <w:color w:val="101010"/>
          <w:spacing w:val="-4"/>
          <w:w w:val="95"/>
          <w:sz w:val="21"/>
        </w:rPr>
        <w:t xml:space="preserve"> </w:t>
      </w:r>
      <w:r>
        <w:rPr>
          <w:color w:val="101010"/>
          <w:w w:val="95"/>
          <w:sz w:val="21"/>
        </w:rPr>
        <w:t>Confidential</w:t>
      </w:r>
      <w:r>
        <w:rPr>
          <w:color w:val="101010"/>
          <w:spacing w:val="-1"/>
          <w:sz w:val="21"/>
        </w:rPr>
        <w:t xml:space="preserve"> </w:t>
      </w:r>
      <w:r>
        <w:rPr>
          <w:color w:val="101010"/>
          <w:spacing w:val="-2"/>
          <w:w w:val="95"/>
          <w:sz w:val="21"/>
        </w:rPr>
        <w:t>Information</w:t>
      </w:r>
    </w:p>
    <w:p w14:paraId="51DE9CE8" w14:textId="77777777" w:rsidR="0010369C" w:rsidRDefault="008E43AE">
      <w:pPr>
        <w:tabs>
          <w:tab w:val="left" w:pos="6171"/>
        </w:tabs>
        <w:spacing w:before="14" w:line="245" w:lineRule="exact"/>
        <w:ind w:left="7"/>
        <w:jc w:val="center"/>
        <w:rPr>
          <w:sz w:val="21"/>
        </w:rPr>
      </w:pPr>
      <w:r>
        <w:rPr>
          <w:rFonts w:ascii="Century Gothic"/>
          <w:b/>
          <w:i/>
          <w:color w:val="0F0F0F"/>
          <w:w w:val="90"/>
          <w:position w:val="1"/>
          <w:sz w:val="18"/>
        </w:rPr>
        <w:t>China</w:t>
      </w:r>
      <w:r>
        <w:rPr>
          <w:rFonts w:ascii="Century Gothic"/>
          <w:b/>
          <w:i/>
          <w:color w:val="0F0F0F"/>
          <w:spacing w:val="7"/>
          <w:position w:val="1"/>
          <w:sz w:val="18"/>
        </w:rPr>
        <w:t xml:space="preserve"> </w:t>
      </w:r>
      <w:r>
        <w:rPr>
          <w:rFonts w:ascii="Century Gothic"/>
          <w:b/>
          <w:i/>
          <w:color w:val="0F0F0F"/>
          <w:w w:val="90"/>
          <w:position w:val="1"/>
          <w:sz w:val="18"/>
        </w:rPr>
        <w:t>-Anti-Dumping</w:t>
      </w:r>
      <w:r>
        <w:rPr>
          <w:rFonts w:ascii="Century Gothic"/>
          <w:b/>
          <w:i/>
          <w:color w:val="0F0F0F"/>
          <w:spacing w:val="22"/>
          <w:position w:val="1"/>
          <w:sz w:val="18"/>
        </w:rPr>
        <w:t xml:space="preserve"> </w:t>
      </w:r>
      <w:r>
        <w:rPr>
          <w:rFonts w:ascii="Century Gothic"/>
          <w:b/>
          <w:i/>
          <w:color w:val="0F0F0F"/>
          <w:w w:val="90"/>
          <w:position w:val="1"/>
          <w:sz w:val="18"/>
        </w:rPr>
        <w:t>and</w:t>
      </w:r>
      <w:r>
        <w:rPr>
          <w:rFonts w:ascii="Century Gothic"/>
          <w:b/>
          <w:i/>
          <w:color w:val="0F0F0F"/>
          <w:spacing w:val="21"/>
          <w:position w:val="1"/>
          <w:sz w:val="18"/>
        </w:rPr>
        <w:t xml:space="preserve"> </w:t>
      </w:r>
      <w:r>
        <w:rPr>
          <w:rFonts w:ascii="Century Gothic"/>
          <w:b/>
          <w:i/>
          <w:color w:val="0F0F0F"/>
          <w:w w:val="90"/>
          <w:position w:val="1"/>
          <w:sz w:val="18"/>
        </w:rPr>
        <w:t>Countervailing</w:t>
      </w:r>
      <w:r>
        <w:rPr>
          <w:rFonts w:ascii="Century Gothic"/>
          <w:b/>
          <w:i/>
          <w:color w:val="0F0F0F"/>
          <w:spacing w:val="37"/>
          <w:position w:val="1"/>
          <w:sz w:val="18"/>
        </w:rPr>
        <w:t xml:space="preserve"> </w:t>
      </w:r>
      <w:r>
        <w:rPr>
          <w:rFonts w:ascii="Century Gothic"/>
          <w:b/>
          <w:i/>
          <w:color w:val="0F0F0F"/>
          <w:w w:val="90"/>
          <w:position w:val="1"/>
          <w:sz w:val="18"/>
        </w:rPr>
        <w:t>Duty</w:t>
      </w:r>
      <w:r>
        <w:rPr>
          <w:rFonts w:ascii="Century Gothic"/>
          <w:b/>
          <w:i/>
          <w:color w:val="0F0F0F"/>
          <w:spacing w:val="11"/>
          <w:position w:val="1"/>
          <w:sz w:val="18"/>
        </w:rPr>
        <w:t xml:space="preserve"> </w:t>
      </w:r>
      <w:r>
        <w:rPr>
          <w:rFonts w:ascii="Century Gothic"/>
          <w:b/>
          <w:i/>
          <w:color w:val="0F0F0F"/>
          <w:spacing w:val="-2"/>
          <w:w w:val="90"/>
          <w:position w:val="1"/>
          <w:sz w:val="18"/>
        </w:rPr>
        <w:t>Measures</w:t>
      </w:r>
      <w:r>
        <w:rPr>
          <w:rFonts w:ascii="Century Gothic"/>
          <w:b/>
          <w:i/>
          <w:color w:val="0F0F0F"/>
          <w:position w:val="1"/>
          <w:sz w:val="18"/>
        </w:rPr>
        <w:tab/>
      </w:r>
      <w:r>
        <w:rPr>
          <w:color w:val="0F0F0F"/>
          <w:w w:val="90"/>
          <w:sz w:val="21"/>
        </w:rPr>
        <w:t>Australia's</w:t>
      </w:r>
      <w:r>
        <w:rPr>
          <w:color w:val="0F0F0F"/>
          <w:spacing w:val="27"/>
          <w:sz w:val="21"/>
        </w:rPr>
        <w:t xml:space="preserve"> </w:t>
      </w:r>
      <w:r>
        <w:rPr>
          <w:color w:val="0F0F0F"/>
          <w:w w:val="90"/>
          <w:sz w:val="21"/>
        </w:rPr>
        <w:t>First</w:t>
      </w:r>
      <w:r>
        <w:rPr>
          <w:color w:val="0F0F0F"/>
          <w:spacing w:val="22"/>
          <w:sz w:val="21"/>
        </w:rPr>
        <w:t xml:space="preserve"> </w:t>
      </w:r>
      <w:r>
        <w:rPr>
          <w:color w:val="0F0F0F"/>
          <w:w w:val="90"/>
          <w:sz w:val="21"/>
        </w:rPr>
        <w:t>Written</w:t>
      </w:r>
      <w:r>
        <w:rPr>
          <w:color w:val="0F0F0F"/>
          <w:spacing w:val="36"/>
          <w:sz w:val="21"/>
        </w:rPr>
        <w:t xml:space="preserve"> </w:t>
      </w:r>
      <w:r>
        <w:rPr>
          <w:color w:val="0F0F0F"/>
          <w:spacing w:val="-2"/>
          <w:w w:val="90"/>
          <w:sz w:val="21"/>
        </w:rPr>
        <w:t>Submission</w:t>
      </w:r>
    </w:p>
    <w:p w14:paraId="51DE9CE9" w14:textId="77777777" w:rsidR="0010369C" w:rsidRDefault="008E43AE">
      <w:pPr>
        <w:tabs>
          <w:tab w:val="left" w:pos="7990"/>
        </w:tabs>
        <w:spacing w:line="245" w:lineRule="exact"/>
        <w:ind w:left="19"/>
        <w:jc w:val="center"/>
        <w:rPr>
          <w:sz w:val="21"/>
        </w:rPr>
      </w:pPr>
      <w:r>
        <w:rPr>
          <w:rFonts w:ascii="Century Gothic"/>
          <w:b/>
          <w:i/>
          <w:color w:val="0D0D0D"/>
          <w:w w:val="95"/>
          <w:sz w:val="18"/>
        </w:rPr>
        <w:t>on</w:t>
      </w:r>
      <w:r>
        <w:rPr>
          <w:rFonts w:ascii="Century Gothic"/>
          <w:b/>
          <w:i/>
          <w:color w:val="0D0D0D"/>
          <w:spacing w:val="18"/>
          <w:sz w:val="18"/>
        </w:rPr>
        <w:t xml:space="preserve"> </w:t>
      </w:r>
      <w:r>
        <w:rPr>
          <w:rFonts w:ascii="Century Gothic"/>
          <w:b/>
          <w:i/>
          <w:color w:val="0D0D0D"/>
          <w:w w:val="95"/>
          <w:sz w:val="18"/>
        </w:rPr>
        <w:t>Wine</w:t>
      </w:r>
      <w:r>
        <w:rPr>
          <w:rFonts w:ascii="Century Gothic"/>
          <w:b/>
          <w:i/>
          <w:color w:val="0D0D0D"/>
          <w:spacing w:val="-19"/>
          <w:w w:val="95"/>
          <w:sz w:val="18"/>
        </w:rPr>
        <w:t xml:space="preserve"> </w:t>
      </w:r>
      <w:r>
        <w:rPr>
          <w:rFonts w:ascii="Century Gothic"/>
          <w:b/>
          <w:i/>
          <w:color w:val="0D0D0D"/>
          <w:w w:val="95"/>
          <w:sz w:val="18"/>
        </w:rPr>
        <w:t>from</w:t>
      </w:r>
      <w:r>
        <w:rPr>
          <w:rFonts w:ascii="Century Gothic"/>
          <w:b/>
          <w:i/>
          <w:color w:val="0D0D0D"/>
          <w:spacing w:val="-2"/>
          <w:w w:val="95"/>
          <w:sz w:val="18"/>
        </w:rPr>
        <w:t xml:space="preserve"> </w:t>
      </w:r>
      <w:r>
        <w:rPr>
          <w:rFonts w:ascii="Century Gothic"/>
          <w:b/>
          <w:i/>
          <w:color w:val="0D0D0D"/>
          <w:w w:val="95"/>
          <w:sz w:val="18"/>
        </w:rPr>
        <w:t>Australia</w:t>
      </w:r>
      <w:r>
        <w:rPr>
          <w:rFonts w:ascii="Century Gothic"/>
          <w:b/>
          <w:i/>
          <w:color w:val="0D0D0D"/>
          <w:spacing w:val="12"/>
          <w:sz w:val="18"/>
        </w:rPr>
        <w:t xml:space="preserve"> </w:t>
      </w:r>
      <w:r>
        <w:rPr>
          <w:color w:val="0D0D0D"/>
          <w:spacing w:val="-2"/>
          <w:w w:val="95"/>
          <w:sz w:val="21"/>
        </w:rPr>
        <w:t>(0S602)</w:t>
      </w:r>
      <w:r>
        <w:rPr>
          <w:color w:val="0D0D0D"/>
          <w:sz w:val="21"/>
        </w:rPr>
        <w:tab/>
      </w:r>
      <w:r>
        <w:rPr>
          <w:color w:val="0D0D0D"/>
          <w:w w:val="95"/>
          <w:sz w:val="21"/>
        </w:rPr>
        <w:t>29</w:t>
      </w:r>
      <w:r>
        <w:rPr>
          <w:color w:val="0D0D0D"/>
          <w:spacing w:val="-8"/>
          <w:w w:val="95"/>
          <w:sz w:val="21"/>
        </w:rPr>
        <w:t xml:space="preserve"> </w:t>
      </w:r>
      <w:r>
        <w:rPr>
          <w:color w:val="0D0D0D"/>
          <w:w w:val="95"/>
          <w:sz w:val="21"/>
        </w:rPr>
        <w:t>April</w:t>
      </w:r>
      <w:r>
        <w:rPr>
          <w:color w:val="0D0D0D"/>
          <w:spacing w:val="1"/>
          <w:sz w:val="21"/>
        </w:rPr>
        <w:t xml:space="preserve"> </w:t>
      </w:r>
      <w:r>
        <w:rPr>
          <w:color w:val="0D0D0D"/>
          <w:spacing w:val="-4"/>
          <w:w w:val="95"/>
          <w:sz w:val="21"/>
        </w:rPr>
        <w:t>2022</w:t>
      </w:r>
    </w:p>
    <w:p w14:paraId="51DE9CEA" w14:textId="77777777" w:rsidR="0010369C" w:rsidRDefault="008E43AE">
      <w:pPr>
        <w:pStyle w:val="Heading3"/>
        <w:numPr>
          <w:ilvl w:val="0"/>
          <w:numId w:val="75"/>
        </w:numPr>
        <w:tabs>
          <w:tab w:val="left" w:pos="982"/>
          <w:tab w:val="left" w:pos="983"/>
        </w:tabs>
        <w:spacing w:before="60"/>
        <w:ind w:left="982" w:hanging="853"/>
        <w:jc w:val="left"/>
      </w:pPr>
      <w:r>
        <w:rPr>
          <w:spacing w:val="-2"/>
        </w:rPr>
        <w:t>CONCLUSION</w:t>
      </w:r>
    </w:p>
    <w:p w14:paraId="51DE9CEB" w14:textId="77777777" w:rsidR="0010369C" w:rsidRDefault="0010369C">
      <w:pPr>
        <w:pStyle w:val="BodyText"/>
        <w:spacing w:before="6"/>
        <w:rPr>
          <w:b/>
          <w:sz w:val="27"/>
        </w:rPr>
      </w:pPr>
    </w:p>
    <w:p w14:paraId="51DE9CEC" w14:textId="77777777" w:rsidR="0010369C" w:rsidRDefault="008E43AE">
      <w:pPr>
        <w:pStyle w:val="BodyText"/>
        <w:spacing w:line="357" w:lineRule="auto"/>
        <w:ind w:left="133" w:right="119" w:hanging="11"/>
        <w:jc w:val="both"/>
      </w:pPr>
      <w:r>
        <w:rPr>
          <w:color w:val="0D0D0D"/>
        </w:rPr>
        <w:t>1130.</w:t>
      </w:r>
      <w:r>
        <w:rPr>
          <w:color w:val="0D0D0D"/>
          <w:spacing w:val="80"/>
          <w:w w:val="150"/>
        </w:rPr>
        <w:t xml:space="preserve"> </w:t>
      </w:r>
      <w:r>
        <w:rPr>
          <w:color w:val="0D0D0D"/>
        </w:rPr>
        <w:t>For the reasons set out in this submission, Australia respectfully requests that the Panel find that China's measures, as set out</w:t>
      </w:r>
      <w:r>
        <w:rPr>
          <w:color w:val="0D0D0D"/>
          <w:spacing w:val="-1"/>
        </w:rPr>
        <w:t xml:space="preserve"> </w:t>
      </w:r>
      <w:r>
        <w:rPr>
          <w:color w:val="0D0D0D"/>
        </w:rPr>
        <w:t>above, are inconsistent with China's obligations under the following agreements:</w:t>
      </w:r>
    </w:p>
    <w:p w14:paraId="51DE9CED" w14:textId="77777777" w:rsidR="0010369C" w:rsidRDefault="008E43AE">
      <w:pPr>
        <w:pStyle w:val="ListParagraph"/>
        <w:numPr>
          <w:ilvl w:val="0"/>
          <w:numId w:val="12"/>
        </w:numPr>
        <w:tabs>
          <w:tab w:val="left" w:pos="1830"/>
          <w:tab w:val="left" w:pos="1831"/>
        </w:tabs>
        <w:spacing w:before="177"/>
        <w:ind w:hanging="843"/>
        <w:rPr>
          <w:sz w:val="24"/>
        </w:rPr>
      </w:pPr>
      <w:r>
        <w:rPr>
          <w:color w:val="0D0D0D"/>
          <w:sz w:val="24"/>
        </w:rPr>
        <w:t>Articles</w:t>
      </w:r>
      <w:r>
        <w:rPr>
          <w:color w:val="0D0D0D"/>
          <w:spacing w:val="3"/>
          <w:sz w:val="24"/>
        </w:rPr>
        <w:t xml:space="preserve"> </w:t>
      </w:r>
      <w:r>
        <w:rPr>
          <w:color w:val="0D0D0D"/>
          <w:sz w:val="24"/>
        </w:rPr>
        <w:t>1,</w:t>
      </w:r>
      <w:r>
        <w:rPr>
          <w:color w:val="0D0D0D"/>
          <w:spacing w:val="10"/>
          <w:sz w:val="24"/>
        </w:rPr>
        <w:t xml:space="preserve"> </w:t>
      </w:r>
      <w:r>
        <w:rPr>
          <w:color w:val="0D0D0D"/>
          <w:sz w:val="24"/>
        </w:rPr>
        <w:t>2.1,</w:t>
      </w:r>
      <w:r>
        <w:rPr>
          <w:color w:val="0D0D0D"/>
          <w:spacing w:val="15"/>
          <w:sz w:val="24"/>
        </w:rPr>
        <w:t xml:space="preserve"> </w:t>
      </w:r>
      <w:r>
        <w:rPr>
          <w:color w:val="0D0D0D"/>
          <w:sz w:val="24"/>
        </w:rPr>
        <w:t>2.2,</w:t>
      </w:r>
      <w:r>
        <w:rPr>
          <w:color w:val="0D0D0D"/>
          <w:spacing w:val="14"/>
          <w:sz w:val="24"/>
        </w:rPr>
        <w:t xml:space="preserve"> </w:t>
      </w:r>
      <w:r>
        <w:rPr>
          <w:color w:val="0D0D0D"/>
          <w:sz w:val="24"/>
        </w:rPr>
        <w:t>2.2.1,</w:t>
      </w:r>
      <w:r>
        <w:rPr>
          <w:color w:val="0D0D0D"/>
          <w:spacing w:val="14"/>
          <w:sz w:val="24"/>
        </w:rPr>
        <w:t xml:space="preserve"> </w:t>
      </w:r>
      <w:r>
        <w:rPr>
          <w:color w:val="0D0D0D"/>
          <w:sz w:val="24"/>
        </w:rPr>
        <w:t>2.2.1.1,</w:t>
      </w:r>
      <w:r>
        <w:rPr>
          <w:color w:val="0D0D0D"/>
          <w:spacing w:val="15"/>
          <w:sz w:val="24"/>
        </w:rPr>
        <w:t xml:space="preserve"> </w:t>
      </w:r>
      <w:r>
        <w:rPr>
          <w:color w:val="0D0D0D"/>
          <w:sz w:val="24"/>
        </w:rPr>
        <w:t>2.2,</w:t>
      </w:r>
      <w:r>
        <w:rPr>
          <w:color w:val="0D0D0D"/>
          <w:spacing w:val="14"/>
          <w:sz w:val="24"/>
        </w:rPr>
        <w:t xml:space="preserve"> </w:t>
      </w:r>
      <w:r>
        <w:rPr>
          <w:color w:val="0D0D0D"/>
          <w:sz w:val="24"/>
        </w:rPr>
        <w:t>2.</w:t>
      </w:r>
      <w:r>
        <w:rPr>
          <w:color w:val="0D0D0D"/>
          <w:sz w:val="24"/>
        </w:rPr>
        <w:t>4,</w:t>
      </w:r>
      <w:r>
        <w:rPr>
          <w:color w:val="0D0D0D"/>
          <w:spacing w:val="4"/>
          <w:sz w:val="24"/>
        </w:rPr>
        <w:t xml:space="preserve"> </w:t>
      </w:r>
      <w:r>
        <w:rPr>
          <w:color w:val="0D0D0D"/>
          <w:sz w:val="24"/>
        </w:rPr>
        <w:t>3.1,</w:t>
      </w:r>
      <w:r>
        <w:rPr>
          <w:color w:val="0D0D0D"/>
          <w:spacing w:val="13"/>
          <w:sz w:val="24"/>
        </w:rPr>
        <w:t xml:space="preserve"> </w:t>
      </w:r>
      <w:r>
        <w:rPr>
          <w:color w:val="0D0D0D"/>
          <w:sz w:val="24"/>
        </w:rPr>
        <w:t>3.2,</w:t>
      </w:r>
      <w:r>
        <w:rPr>
          <w:color w:val="0D0D0D"/>
          <w:spacing w:val="12"/>
          <w:sz w:val="24"/>
        </w:rPr>
        <w:t xml:space="preserve"> </w:t>
      </w:r>
      <w:r>
        <w:rPr>
          <w:color w:val="0D0D0D"/>
          <w:sz w:val="24"/>
        </w:rPr>
        <w:t>3.4,</w:t>
      </w:r>
      <w:r>
        <w:rPr>
          <w:color w:val="0D0D0D"/>
          <w:spacing w:val="12"/>
          <w:sz w:val="24"/>
        </w:rPr>
        <w:t xml:space="preserve"> </w:t>
      </w:r>
      <w:r>
        <w:rPr>
          <w:color w:val="0D0D0D"/>
          <w:sz w:val="24"/>
        </w:rPr>
        <w:t>3.5,</w:t>
      </w:r>
      <w:r>
        <w:rPr>
          <w:color w:val="0D0D0D"/>
          <w:spacing w:val="11"/>
          <w:sz w:val="24"/>
        </w:rPr>
        <w:t xml:space="preserve"> </w:t>
      </w:r>
      <w:r>
        <w:rPr>
          <w:color w:val="0D0D0D"/>
          <w:sz w:val="24"/>
        </w:rPr>
        <w:t>4.1,</w:t>
      </w:r>
      <w:r>
        <w:rPr>
          <w:color w:val="0D0D0D"/>
          <w:spacing w:val="9"/>
          <w:sz w:val="24"/>
        </w:rPr>
        <w:t xml:space="preserve"> </w:t>
      </w:r>
      <w:r>
        <w:rPr>
          <w:color w:val="0D0D0D"/>
          <w:sz w:val="24"/>
        </w:rPr>
        <w:t>5.2,</w:t>
      </w:r>
      <w:r>
        <w:rPr>
          <w:color w:val="0D0D0D"/>
          <w:spacing w:val="-3"/>
          <w:sz w:val="24"/>
        </w:rPr>
        <w:t xml:space="preserve"> </w:t>
      </w:r>
      <w:r>
        <w:rPr>
          <w:color w:val="0D0D0D"/>
          <w:spacing w:val="-4"/>
          <w:sz w:val="24"/>
        </w:rPr>
        <w:t>5.3,</w:t>
      </w:r>
    </w:p>
    <w:p w14:paraId="51DE9CEE" w14:textId="77777777" w:rsidR="0010369C" w:rsidRDefault="008E43AE">
      <w:pPr>
        <w:pStyle w:val="BodyText"/>
        <w:spacing w:before="147"/>
        <w:ind w:left="1829"/>
      </w:pPr>
      <w:r>
        <w:rPr>
          <w:color w:val="0D0D0D"/>
        </w:rPr>
        <w:t>5.4,</w:t>
      </w:r>
      <w:r>
        <w:rPr>
          <w:color w:val="0D0D0D"/>
          <w:spacing w:val="-3"/>
        </w:rPr>
        <w:t xml:space="preserve"> </w:t>
      </w:r>
      <w:r>
        <w:rPr>
          <w:color w:val="0D0D0D"/>
        </w:rPr>
        <w:t>5.8,</w:t>
      </w:r>
      <w:r>
        <w:rPr>
          <w:color w:val="0D0D0D"/>
          <w:spacing w:val="9"/>
        </w:rPr>
        <w:t xml:space="preserve"> </w:t>
      </w:r>
      <w:r>
        <w:rPr>
          <w:color w:val="0D0D0D"/>
        </w:rPr>
        <w:t>6.1,</w:t>
      </w:r>
      <w:r>
        <w:rPr>
          <w:color w:val="0D0D0D"/>
          <w:spacing w:val="4"/>
        </w:rPr>
        <w:t xml:space="preserve"> </w:t>
      </w:r>
      <w:r>
        <w:rPr>
          <w:color w:val="0D0D0D"/>
        </w:rPr>
        <w:t>6.1.1,</w:t>
      </w:r>
      <w:r>
        <w:rPr>
          <w:color w:val="0D0D0D"/>
          <w:spacing w:val="1"/>
        </w:rPr>
        <w:t xml:space="preserve"> </w:t>
      </w:r>
      <w:r>
        <w:rPr>
          <w:color w:val="0D0D0D"/>
        </w:rPr>
        <w:t>6.1.2,</w:t>
      </w:r>
      <w:r>
        <w:rPr>
          <w:color w:val="0D0D0D"/>
          <w:spacing w:val="4"/>
        </w:rPr>
        <w:t xml:space="preserve"> </w:t>
      </w:r>
      <w:r>
        <w:rPr>
          <w:color w:val="0D0D0D"/>
        </w:rPr>
        <w:t>6.2,</w:t>
      </w:r>
      <w:r>
        <w:rPr>
          <w:color w:val="0D0D0D"/>
          <w:spacing w:val="4"/>
        </w:rPr>
        <w:t xml:space="preserve"> </w:t>
      </w:r>
      <w:r>
        <w:rPr>
          <w:color w:val="0D0D0D"/>
        </w:rPr>
        <w:t>6.4,</w:t>
      </w:r>
      <w:r>
        <w:rPr>
          <w:color w:val="0D0D0D"/>
          <w:spacing w:val="5"/>
        </w:rPr>
        <w:t xml:space="preserve"> </w:t>
      </w:r>
      <w:r>
        <w:rPr>
          <w:color w:val="0D0D0D"/>
        </w:rPr>
        <w:t>6.5,</w:t>
      </w:r>
      <w:r>
        <w:rPr>
          <w:color w:val="0D0D0D"/>
          <w:spacing w:val="4"/>
        </w:rPr>
        <w:t xml:space="preserve"> </w:t>
      </w:r>
      <w:r>
        <w:rPr>
          <w:color w:val="0D0D0D"/>
        </w:rPr>
        <w:t>6.5.1,</w:t>
      </w:r>
      <w:r>
        <w:rPr>
          <w:color w:val="0D0D0D"/>
          <w:spacing w:val="4"/>
        </w:rPr>
        <w:t xml:space="preserve"> </w:t>
      </w:r>
      <w:r>
        <w:rPr>
          <w:color w:val="0D0D0D"/>
        </w:rPr>
        <w:t>6.6,</w:t>
      </w:r>
      <w:r>
        <w:rPr>
          <w:color w:val="0D0D0D"/>
          <w:spacing w:val="9"/>
        </w:rPr>
        <w:t xml:space="preserve"> </w:t>
      </w:r>
      <w:r>
        <w:rPr>
          <w:color w:val="0D0D0D"/>
        </w:rPr>
        <w:t>6.8</w:t>
      </w:r>
      <w:r>
        <w:rPr>
          <w:color w:val="0D0D0D"/>
          <w:spacing w:val="-5"/>
        </w:rPr>
        <w:t xml:space="preserve"> </w:t>
      </w:r>
      <w:r>
        <w:rPr>
          <w:color w:val="0D0D0D"/>
        </w:rPr>
        <w:t>and</w:t>
      </w:r>
      <w:r>
        <w:rPr>
          <w:color w:val="0D0D0D"/>
          <w:spacing w:val="-2"/>
        </w:rPr>
        <w:t xml:space="preserve"> </w:t>
      </w:r>
      <w:r>
        <w:rPr>
          <w:color w:val="0D0D0D"/>
        </w:rPr>
        <w:t>paragraphs</w:t>
      </w:r>
      <w:r>
        <w:rPr>
          <w:color w:val="0D0D0D"/>
          <w:spacing w:val="-11"/>
        </w:rPr>
        <w:t xml:space="preserve"> </w:t>
      </w:r>
      <w:r>
        <w:rPr>
          <w:color w:val="0D0D0D"/>
        </w:rPr>
        <w:t>1,</w:t>
      </w:r>
      <w:r>
        <w:rPr>
          <w:color w:val="0D0D0D"/>
          <w:spacing w:val="-13"/>
        </w:rPr>
        <w:t xml:space="preserve"> </w:t>
      </w:r>
      <w:r>
        <w:rPr>
          <w:color w:val="0D0D0D"/>
        </w:rPr>
        <w:t>3,</w:t>
      </w:r>
      <w:r>
        <w:rPr>
          <w:color w:val="0D0D0D"/>
          <w:spacing w:val="-2"/>
        </w:rPr>
        <w:t xml:space="preserve"> </w:t>
      </w:r>
      <w:r>
        <w:rPr>
          <w:color w:val="0D0D0D"/>
          <w:spacing w:val="-5"/>
        </w:rPr>
        <w:t>5,</w:t>
      </w:r>
    </w:p>
    <w:p w14:paraId="51DE9CEF" w14:textId="77777777" w:rsidR="0010369C" w:rsidRDefault="008E43AE">
      <w:pPr>
        <w:pStyle w:val="BodyText"/>
        <w:spacing w:before="147"/>
        <w:ind w:left="1828"/>
      </w:pPr>
      <w:r>
        <w:rPr>
          <w:color w:val="0D0D0D"/>
        </w:rPr>
        <w:t>6</w:t>
      </w:r>
      <w:r>
        <w:rPr>
          <w:color w:val="0D0D0D"/>
          <w:spacing w:val="2"/>
        </w:rPr>
        <w:t xml:space="preserve"> </w:t>
      </w:r>
      <w:r>
        <w:rPr>
          <w:color w:val="0D0D0D"/>
        </w:rPr>
        <w:t>and</w:t>
      </w:r>
      <w:r>
        <w:rPr>
          <w:color w:val="0D0D0D"/>
          <w:spacing w:val="13"/>
        </w:rPr>
        <w:t xml:space="preserve"> </w:t>
      </w:r>
      <w:r>
        <w:rPr>
          <w:color w:val="0D0D0D"/>
        </w:rPr>
        <w:t>7 of</w:t>
      </w:r>
      <w:r>
        <w:rPr>
          <w:color w:val="0D0D0D"/>
          <w:spacing w:val="2"/>
        </w:rPr>
        <w:t xml:space="preserve"> </w:t>
      </w:r>
      <w:r>
        <w:rPr>
          <w:color w:val="0D0D0D"/>
        </w:rPr>
        <w:t>Annex</w:t>
      </w:r>
      <w:r>
        <w:rPr>
          <w:color w:val="0D0D0D"/>
          <w:spacing w:val="8"/>
        </w:rPr>
        <w:t xml:space="preserve"> </w:t>
      </w:r>
      <w:r>
        <w:rPr>
          <w:color w:val="0D0D0D"/>
        </w:rPr>
        <w:t>II,</w:t>
      </w:r>
      <w:r>
        <w:rPr>
          <w:color w:val="0D0D0D"/>
          <w:spacing w:val="20"/>
        </w:rPr>
        <w:t xml:space="preserve"> </w:t>
      </w:r>
      <w:r>
        <w:rPr>
          <w:color w:val="0D0D0D"/>
        </w:rPr>
        <w:t>6.9,</w:t>
      </w:r>
      <w:r>
        <w:rPr>
          <w:color w:val="0D0D0D"/>
          <w:spacing w:val="22"/>
        </w:rPr>
        <w:t xml:space="preserve"> </w:t>
      </w:r>
      <w:r>
        <w:rPr>
          <w:color w:val="0D0D0D"/>
        </w:rPr>
        <w:t>6.10,</w:t>
      </w:r>
      <w:r>
        <w:rPr>
          <w:color w:val="0D0D0D"/>
          <w:spacing w:val="18"/>
        </w:rPr>
        <w:t xml:space="preserve"> </w:t>
      </w:r>
      <w:r>
        <w:rPr>
          <w:color w:val="0D0D0D"/>
        </w:rPr>
        <w:t>9.1,</w:t>
      </w:r>
      <w:r>
        <w:rPr>
          <w:color w:val="0D0D0D"/>
          <w:spacing w:val="22"/>
        </w:rPr>
        <w:t xml:space="preserve"> </w:t>
      </w:r>
      <w:r>
        <w:rPr>
          <w:color w:val="0D0D0D"/>
        </w:rPr>
        <w:t>9.2,</w:t>
      </w:r>
      <w:r>
        <w:rPr>
          <w:color w:val="0D0D0D"/>
          <w:spacing w:val="13"/>
        </w:rPr>
        <w:t xml:space="preserve"> </w:t>
      </w:r>
      <w:r>
        <w:rPr>
          <w:color w:val="0D0D0D"/>
        </w:rPr>
        <w:t>9.3,</w:t>
      </w:r>
      <w:r>
        <w:rPr>
          <w:color w:val="0D0D0D"/>
          <w:spacing w:val="17"/>
        </w:rPr>
        <w:t xml:space="preserve"> </w:t>
      </w:r>
      <w:r>
        <w:rPr>
          <w:color w:val="0D0D0D"/>
        </w:rPr>
        <w:t>12.1.l(iv),</w:t>
      </w:r>
      <w:r>
        <w:rPr>
          <w:color w:val="0D0D0D"/>
          <w:spacing w:val="10"/>
        </w:rPr>
        <w:t xml:space="preserve"> </w:t>
      </w:r>
      <w:r>
        <w:rPr>
          <w:color w:val="0D0D0D"/>
        </w:rPr>
        <w:t>12.2, 12.2.2</w:t>
      </w:r>
      <w:r>
        <w:rPr>
          <w:color w:val="0D0D0D"/>
          <w:spacing w:val="4"/>
        </w:rPr>
        <w:t xml:space="preserve"> </w:t>
      </w:r>
      <w:r>
        <w:rPr>
          <w:color w:val="0D0D0D"/>
        </w:rPr>
        <w:t>and</w:t>
      </w:r>
      <w:r>
        <w:rPr>
          <w:color w:val="0D0D0D"/>
          <w:spacing w:val="-2"/>
        </w:rPr>
        <w:t xml:space="preserve"> </w:t>
      </w:r>
      <w:r>
        <w:rPr>
          <w:color w:val="0D0D0D"/>
          <w:spacing w:val="-4"/>
        </w:rPr>
        <w:t>18.1</w:t>
      </w:r>
    </w:p>
    <w:p w14:paraId="51DE9CF0" w14:textId="77777777" w:rsidR="0010369C" w:rsidRDefault="008E43AE">
      <w:pPr>
        <w:pStyle w:val="BodyText"/>
        <w:spacing w:before="146"/>
        <w:ind w:left="1829"/>
      </w:pPr>
      <w:r>
        <w:rPr>
          <w:color w:val="0D0D0D"/>
        </w:rPr>
        <w:t>of</w:t>
      </w:r>
      <w:r>
        <w:rPr>
          <w:color w:val="0D0D0D"/>
          <w:spacing w:val="-14"/>
        </w:rPr>
        <w:t xml:space="preserve"> </w:t>
      </w:r>
      <w:r>
        <w:rPr>
          <w:color w:val="0D0D0D"/>
        </w:rPr>
        <w:t>the</w:t>
      </w:r>
      <w:r>
        <w:rPr>
          <w:color w:val="0D0D0D"/>
          <w:spacing w:val="-13"/>
        </w:rPr>
        <w:t xml:space="preserve"> </w:t>
      </w:r>
      <w:r>
        <w:rPr>
          <w:color w:val="0D0D0D"/>
        </w:rPr>
        <w:t>Anti-Dumping</w:t>
      </w:r>
      <w:r>
        <w:rPr>
          <w:color w:val="0D0D0D"/>
          <w:spacing w:val="-3"/>
        </w:rPr>
        <w:t xml:space="preserve"> </w:t>
      </w:r>
      <w:r>
        <w:rPr>
          <w:color w:val="0D0D0D"/>
        </w:rPr>
        <w:t>Agreement;</w:t>
      </w:r>
      <w:r>
        <w:rPr>
          <w:color w:val="0D0D0D"/>
          <w:spacing w:val="-7"/>
        </w:rPr>
        <w:t xml:space="preserve"> </w:t>
      </w:r>
      <w:r>
        <w:rPr>
          <w:color w:val="0D0D0D"/>
          <w:spacing w:val="-5"/>
        </w:rPr>
        <w:t>and</w:t>
      </w:r>
    </w:p>
    <w:p w14:paraId="51DE9CF1" w14:textId="77777777" w:rsidR="0010369C" w:rsidRDefault="0010369C">
      <w:pPr>
        <w:pStyle w:val="BodyText"/>
        <w:spacing w:before="7"/>
        <w:rPr>
          <w:sz w:val="22"/>
        </w:rPr>
      </w:pPr>
    </w:p>
    <w:p w14:paraId="51DE9CF2" w14:textId="77777777" w:rsidR="0010369C" w:rsidRDefault="008E43AE">
      <w:pPr>
        <w:pStyle w:val="ListParagraph"/>
        <w:numPr>
          <w:ilvl w:val="0"/>
          <w:numId w:val="12"/>
        </w:numPr>
        <w:tabs>
          <w:tab w:val="left" w:pos="1829"/>
          <w:tab w:val="left" w:pos="1830"/>
        </w:tabs>
        <w:spacing w:before="1"/>
        <w:ind w:left="1829"/>
        <w:jc w:val="left"/>
        <w:rPr>
          <w:sz w:val="24"/>
        </w:rPr>
      </w:pPr>
      <w:r>
        <w:rPr>
          <w:color w:val="090909"/>
          <w:sz w:val="24"/>
        </w:rPr>
        <w:t>Article</w:t>
      </w:r>
      <w:r>
        <w:rPr>
          <w:color w:val="090909"/>
          <w:spacing w:val="-9"/>
          <w:sz w:val="24"/>
        </w:rPr>
        <w:t xml:space="preserve"> </w:t>
      </w:r>
      <w:r>
        <w:rPr>
          <w:color w:val="090909"/>
          <w:sz w:val="24"/>
        </w:rPr>
        <w:t>Vl:2 of</w:t>
      </w:r>
      <w:r>
        <w:rPr>
          <w:color w:val="090909"/>
          <w:spacing w:val="-1"/>
          <w:sz w:val="24"/>
        </w:rPr>
        <w:t xml:space="preserve"> </w:t>
      </w:r>
      <w:r>
        <w:rPr>
          <w:color w:val="090909"/>
          <w:sz w:val="24"/>
        </w:rPr>
        <w:t>the</w:t>
      </w:r>
      <w:r>
        <w:rPr>
          <w:color w:val="090909"/>
          <w:spacing w:val="-4"/>
          <w:sz w:val="24"/>
        </w:rPr>
        <w:t xml:space="preserve"> </w:t>
      </w:r>
      <w:r>
        <w:rPr>
          <w:color w:val="090909"/>
          <w:sz w:val="24"/>
        </w:rPr>
        <w:t>GATT</w:t>
      </w:r>
      <w:r>
        <w:rPr>
          <w:color w:val="090909"/>
          <w:spacing w:val="-6"/>
          <w:sz w:val="24"/>
        </w:rPr>
        <w:t xml:space="preserve"> </w:t>
      </w:r>
      <w:r>
        <w:rPr>
          <w:color w:val="090909"/>
          <w:spacing w:val="-2"/>
          <w:sz w:val="24"/>
        </w:rPr>
        <w:t>1994.</w:t>
      </w:r>
    </w:p>
    <w:p w14:paraId="51DE9CF3" w14:textId="77777777" w:rsidR="0010369C" w:rsidRDefault="008E43AE">
      <w:pPr>
        <w:pStyle w:val="BodyText"/>
        <w:spacing w:before="259" w:line="357" w:lineRule="auto"/>
        <w:ind w:left="136" w:right="125" w:hanging="20"/>
        <w:jc w:val="both"/>
      </w:pPr>
      <w:r>
        <w:rPr>
          <w:color w:val="0B0B0B"/>
        </w:rPr>
        <w:t>1131.</w:t>
      </w:r>
      <w:r>
        <w:rPr>
          <w:color w:val="0B0B0B"/>
          <w:spacing w:val="80"/>
        </w:rPr>
        <w:t xml:space="preserve"> </w:t>
      </w:r>
      <w:r>
        <w:rPr>
          <w:color w:val="0B0B0B"/>
          <w:position w:val="1"/>
        </w:rPr>
        <w:t xml:space="preserve">Australia further requests, pursuant to Article 19.1 of the DSU, that the Panel </w:t>
      </w:r>
      <w:r>
        <w:rPr>
          <w:color w:val="0B0B0B"/>
        </w:rPr>
        <w:t>recommend to the DSB that it request China to bring its measures into conformity with its obligations under the Anti-Dumping Agreement and the GATT</w:t>
      </w:r>
      <w:r>
        <w:rPr>
          <w:color w:val="0B0B0B"/>
          <w:spacing w:val="-3"/>
        </w:rPr>
        <w:t xml:space="preserve"> </w:t>
      </w:r>
      <w:r>
        <w:rPr>
          <w:color w:val="0B0B0B"/>
        </w:rPr>
        <w:t>1994.</w:t>
      </w:r>
    </w:p>
    <w:sectPr w:rsidR="0010369C">
      <w:headerReference w:type="default" r:id="rId1442"/>
      <w:footerReference w:type="default" r:id="rId1443"/>
      <w:pgSz w:w="11900" w:h="16830"/>
      <w:pgMar w:top="500" w:right="1300" w:bottom="280" w:left="128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1DEAAA9" w14:textId="77777777" w:rsidR="00000000" w:rsidRDefault="008E43AE">
      <w:r>
        <w:separator/>
      </w:r>
    </w:p>
  </w:endnote>
  <w:endnote w:type="continuationSeparator" w:id="0">
    <w:p w14:paraId="51DEAAAB" w14:textId="77777777" w:rsidR="00000000" w:rsidRDefault="008E43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Century Gothic">
    <w:altName w:val="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DEA9B8" w14:textId="77777777" w:rsidR="0010369C" w:rsidRDefault="008E43AE">
    <w:pPr>
      <w:pStyle w:val="BodyText"/>
      <w:spacing w:line="14" w:lineRule="auto"/>
      <w:rPr>
        <w:sz w:val="20"/>
      </w:rPr>
    </w:pPr>
    <w:r>
      <w:pict w14:anchorId="51DEAAA7">
        <v:shapetype id="_x0000_t202" coordsize="21600,21600" o:spt="202" path="m,l,21600r21600,l21600,xe">
          <v:stroke joinstyle="miter"/>
          <v:path gradientshapeok="t" o:connecttype="rect"/>
        </v:shapetype>
        <v:shape id="docshape4" o:spid="_x0000_s2407" type="#_x0000_t202" style="position:absolute;margin-left:510.25pt;margin-top:791.6pt;width:18.2pt;height:13pt;z-index:-25292288;mso-position-horizontal-relative:page;mso-position-vertical-relative:page" filled="f" stroked="f">
          <v:textbox inset="0,0,0,0">
            <w:txbxContent>
              <w:p w14:paraId="51DEACA8" w14:textId="77777777" w:rsidR="0010369C" w:rsidRDefault="008E43AE">
                <w:pPr>
                  <w:spacing w:line="244" w:lineRule="exact"/>
                  <w:ind w:left="6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v:textbox>
          <w10:wrap anchorx="page" anchory="page"/>
        </v:shape>
      </w:pic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DEA9CA" w14:textId="77777777" w:rsidR="0010369C" w:rsidRDefault="0010369C">
    <w:pPr>
      <w:pStyle w:val="BodyText"/>
      <w:spacing w:line="14" w:lineRule="auto"/>
      <w:rPr>
        <w:sz w:val="2"/>
      </w:rPr>
    </w:pPr>
  </w:p>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DEAA7E" w14:textId="77777777" w:rsidR="0010369C" w:rsidRDefault="008E43AE">
    <w:pPr>
      <w:pStyle w:val="BodyText"/>
      <w:spacing w:line="14" w:lineRule="auto"/>
      <w:rPr>
        <w:sz w:val="20"/>
      </w:rPr>
    </w:pPr>
    <w:r>
      <w:pict w14:anchorId="51DEABC0">
        <v:shapetype id="_x0000_t202" coordsize="21600,21600" o:spt="202" path="m,l,21600r21600,l21600,xe">
          <v:stroke joinstyle="miter"/>
          <v:path gradientshapeok="t" o:connecttype="rect"/>
        </v:shapetype>
        <v:shape id="docshape1330" o:spid="_x0000_s2126" type="#_x0000_t202" style="position:absolute;margin-left:504.65pt;margin-top:791.6pt;width:23.75pt;height:13pt;z-index:-25148416;mso-position-horizontal-relative:page;mso-position-vertical-relative:page" filled="f" stroked="f">
          <v:textbox inset="0,0,0,0">
            <w:txbxContent>
              <w:p w14:paraId="51DEAD66" w14:textId="77777777" w:rsidR="0010369C" w:rsidRDefault="008E43AE">
                <w:pPr>
                  <w:spacing w:line="244" w:lineRule="exact"/>
                  <w:ind w:left="60"/>
                </w:pPr>
                <w:r>
                  <w:rPr>
                    <w:spacing w:val="-5"/>
                  </w:rPr>
                  <w:fldChar w:fldCharType="begin"/>
                </w:r>
                <w:r>
                  <w:rPr>
                    <w:spacing w:val="-5"/>
                  </w:rPr>
                  <w:instrText xml:space="preserve"> PAGE </w:instrText>
                </w:r>
                <w:r>
                  <w:rPr>
                    <w:spacing w:val="-5"/>
                  </w:rPr>
                  <w:fldChar w:fldCharType="separate"/>
                </w:r>
                <w:r>
                  <w:rPr>
                    <w:spacing w:val="-5"/>
                  </w:rPr>
                  <w:t>332</w:t>
                </w:r>
                <w:r>
                  <w:rPr>
                    <w:spacing w:val="-5"/>
                  </w:rPr>
                  <w:fldChar w:fldCharType="end"/>
                </w:r>
              </w:p>
            </w:txbxContent>
          </v:textbox>
          <w10:wrap anchorx="page" anchory="page"/>
        </v:shape>
      </w:pict>
    </w:r>
  </w:p>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DEAA80" w14:textId="77777777" w:rsidR="0010369C" w:rsidRDefault="008E43AE">
    <w:pPr>
      <w:pStyle w:val="BodyText"/>
      <w:spacing w:line="14" w:lineRule="auto"/>
      <w:rPr>
        <w:sz w:val="20"/>
      </w:rPr>
    </w:pPr>
    <w:r>
      <w:pict w14:anchorId="51DEABC5">
        <v:shapetype id="_x0000_t202" coordsize="21600,21600" o:spt="202" path="m,l,21600r21600,l21600,xe">
          <v:stroke joinstyle="miter"/>
          <v:path gradientshapeok="t" o:connecttype="rect"/>
        </v:shapetype>
        <v:shape id="docshape1344" o:spid="_x0000_s2121" type="#_x0000_t202" style="position:absolute;margin-left:504.65pt;margin-top:791.6pt;width:23.75pt;height:13pt;z-index:-25145856;mso-position-horizontal-relative:page;mso-position-vertical-relative:page" filled="f" stroked="f">
          <v:textbox inset="0,0,0,0">
            <w:txbxContent>
              <w:p w14:paraId="51DEAD6A" w14:textId="77777777" w:rsidR="0010369C" w:rsidRDefault="008E43AE">
                <w:pPr>
                  <w:spacing w:line="244" w:lineRule="exact"/>
                  <w:ind w:left="60"/>
                </w:pPr>
                <w:r>
                  <w:rPr>
                    <w:spacing w:val="-5"/>
                  </w:rPr>
                  <w:fldChar w:fldCharType="begin"/>
                </w:r>
                <w:r>
                  <w:rPr>
                    <w:spacing w:val="-5"/>
                  </w:rPr>
                  <w:instrText xml:space="preserve"> PAGE </w:instrText>
                </w:r>
                <w:r>
                  <w:rPr>
                    <w:spacing w:val="-5"/>
                  </w:rPr>
                  <w:fldChar w:fldCharType="separate"/>
                </w:r>
                <w:r>
                  <w:rPr>
                    <w:spacing w:val="-5"/>
                  </w:rPr>
                  <w:t>334</w:t>
                </w:r>
                <w:r>
                  <w:rPr>
                    <w:spacing w:val="-5"/>
                  </w:rPr>
                  <w:fldChar w:fldCharType="end"/>
                </w:r>
              </w:p>
            </w:txbxContent>
          </v:textbox>
          <w10:wrap anchorx="page" anchory="page"/>
        </v:shape>
      </w:pict>
    </w:r>
  </w:p>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DEAA82" w14:textId="77777777" w:rsidR="0010369C" w:rsidRDefault="008E43AE">
    <w:pPr>
      <w:pStyle w:val="BodyText"/>
      <w:spacing w:line="14" w:lineRule="auto"/>
      <w:rPr>
        <w:sz w:val="20"/>
      </w:rPr>
    </w:pPr>
    <w:r>
      <w:pict w14:anchorId="51DEABCA">
        <v:rect id="docshape1350" o:spid="_x0000_s2116" style="position:absolute;margin-left:70.9pt;margin-top:742.8pt;width:2in;height:.8pt;z-index:-25143296;mso-position-horizontal-relative:page;mso-position-vertical-relative:page" fillcolor="black" stroked="f">
          <w10:wrap anchorx="page" anchory="page"/>
        </v:rect>
      </w:pict>
    </w:r>
    <w:r>
      <w:pict w14:anchorId="51DEABCB">
        <v:shapetype id="_x0000_t202" coordsize="21600,21600" o:spt="202" path="m,l,21600r21600,l21600,xe">
          <v:stroke joinstyle="miter"/>
          <v:path gradientshapeok="t" o:connecttype="rect"/>
        </v:shapetype>
        <v:shape id="docshape1351" o:spid="_x0000_s2115" type="#_x0000_t202" style="position:absolute;margin-left:504.65pt;margin-top:791.6pt;width:23.75pt;height:13pt;z-index:-25142784;mso-position-horizontal-relative:page;mso-position-vertical-relative:page" filled="f" stroked="f">
          <v:textbox inset="0,0,0,0">
            <w:txbxContent>
              <w:p w14:paraId="51DEAD6E" w14:textId="77777777" w:rsidR="0010369C" w:rsidRDefault="008E43AE">
                <w:pPr>
                  <w:spacing w:line="244" w:lineRule="exact"/>
                  <w:ind w:left="60"/>
                </w:pPr>
                <w:r>
                  <w:rPr>
                    <w:spacing w:val="-5"/>
                  </w:rPr>
                  <w:fldChar w:fldCharType="begin"/>
                </w:r>
                <w:r>
                  <w:rPr>
                    <w:spacing w:val="-5"/>
                  </w:rPr>
                  <w:instrText xml:space="preserve"> PAGE </w:instrText>
                </w:r>
                <w:r>
                  <w:rPr>
                    <w:spacing w:val="-5"/>
                  </w:rPr>
                  <w:fldChar w:fldCharType="separate"/>
                </w:r>
                <w:r>
                  <w:rPr>
                    <w:spacing w:val="-5"/>
                  </w:rPr>
                  <w:t>335</w:t>
                </w:r>
                <w:r>
                  <w:rPr>
                    <w:spacing w:val="-5"/>
                  </w:rPr>
                  <w:fldChar w:fldCharType="end"/>
                </w:r>
              </w:p>
            </w:txbxContent>
          </v:textbox>
          <w10:wrap anchorx="page" anchory="page"/>
        </v:shape>
      </w:pict>
    </w:r>
  </w:p>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DEAA84" w14:textId="77777777" w:rsidR="0010369C" w:rsidRDefault="008E43AE">
    <w:pPr>
      <w:pStyle w:val="BodyText"/>
      <w:spacing w:line="14" w:lineRule="auto"/>
      <w:rPr>
        <w:sz w:val="20"/>
      </w:rPr>
    </w:pPr>
    <w:r>
      <w:pict w14:anchorId="51DEABD0">
        <v:shapetype id="_x0000_t202" coordsize="21600,21600" o:spt="202" path="m,l,21600r21600,l21600,xe">
          <v:stroke joinstyle="miter"/>
          <v:path gradientshapeok="t" o:connecttype="rect"/>
        </v:shapetype>
        <v:shape id="docshape1356" o:spid="_x0000_s2110" type="#_x0000_t202" style="position:absolute;margin-left:504.65pt;margin-top:791.6pt;width:23.75pt;height:13pt;z-index:-25140224;mso-position-horizontal-relative:page;mso-position-vertical-relative:page" filled="f" stroked="f">
          <v:textbox inset="0,0,0,0">
            <w:txbxContent>
              <w:p w14:paraId="51DEAD72" w14:textId="77777777" w:rsidR="0010369C" w:rsidRDefault="008E43AE">
                <w:pPr>
                  <w:spacing w:line="244" w:lineRule="exact"/>
                  <w:ind w:left="60"/>
                </w:pPr>
                <w:r>
                  <w:rPr>
                    <w:spacing w:val="-5"/>
                  </w:rPr>
                  <w:fldChar w:fldCharType="begin"/>
                </w:r>
                <w:r>
                  <w:rPr>
                    <w:spacing w:val="-5"/>
                  </w:rPr>
                  <w:instrText xml:space="preserve"> PAGE </w:instrText>
                </w:r>
                <w:r>
                  <w:rPr>
                    <w:spacing w:val="-5"/>
                  </w:rPr>
                  <w:fldChar w:fldCharType="separate"/>
                </w:r>
                <w:r>
                  <w:rPr>
                    <w:spacing w:val="-5"/>
                  </w:rPr>
                  <w:t>336</w:t>
                </w:r>
                <w:r>
                  <w:rPr>
                    <w:spacing w:val="-5"/>
                  </w:rPr>
                  <w:fldChar w:fldCharType="end"/>
                </w:r>
              </w:p>
            </w:txbxContent>
          </v:textbox>
          <w10:wrap anchorx="page" anchory="page"/>
        </v:shape>
      </w:pict>
    </w:r>
  </w:p>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DEAA86" w14:textId="77777777" w:rsidR="0010369C" w:rsidRDefault="008E43AE">
    <w:pPr>
      <w:pStyle w:val="BodyText"/>
      <w:spacing w:line="14" w:lineRule="auto"/>
      <w:rPr>
        <w:sz w:val="20"/>
      </w:rPr>
    </w:pPr>
    <w:r>
      <w:pict w14:anchorId="51DEABD3">
        <v:shapetype id="_x0000_t202" coordsize="21600,21600" o:spt="202" path="m,l,21600r21600,l21600,xe">
          <v:stroke joinstyle="miter"/>
          <v:path gradientshapeok="t" o:connecttype="rect"/>
        </v:shapetype>
        <v:shape id="docshape1360" o:spid="_x0000_s2107" type="#_x0000_t202" style="position:absolute;margin-left:504.65pt;margin-top:791.6pt;width:23.75pt;height:13pt;z-index:-25138688;mso-position-horizontal-relative:page;mso-position-vertical-relative:page" filled="f" stroked="f">
          <v:textbox inset="0,0,0,0">
            <w:txbxContent>
              <w:p w14:paraId="51DEAD74" w14:textId="77777777" w:rsidR="0010369C" w:rsidRDefault="008E43AE">
                <w:pPr>
                  <w:spacing w:line="244" w:lineRule="exact"/>
                  <w:ind w:left="60"/>
                </w:pPr>
                <w:r>
                  <w:rPr>
                    <w:spacing w:val="-5"/>
                  </w:rPr>
                  <w:fldChar w:fldCharType="begin"/>
                </w:r>
                <w:r>
                  <w:rPr>
                    <w:spacing w:val="-5"/>
                  </w:rPr>
                  <w:instrText xml:space="preserve"> PAGE </w:instrText>
                </w:r>
                <w:r>
                  <w:rPr>
                    <w:spacing w:val="-5"/>
                  </w:rPr>
                  <w:fldChar w:fldCharType="separate"/>
                </w:r>
                <w:r>
                  <w:rPr>
                    <w:spacing w:val="-5"/>
                  </w:rPr>
                  <w:t>337</w:t>
                </w:r>
                <w:r>
                  <w:rPr>
                    <w:spacing w:val="-5"/>
                  </w:rPr>
                  <w:fldChar w:fldCharType="end"/>
                </w:r>
              </w:p>
            </w:txbxContent>
          </v:textbox>
          <w10:wrap anchorx="page" anchory="page"/>
        </v:shape>
      </w:pict>
    </w:r>
  </w:p>
</w:ftr>
</file>

<file path=word/footer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DEAA88" w14:textId="77777777" w:rsidR="0010369C" w:rsidRDefault="008E43AE">
    <w:pPr>
      <w:pStyle w:val="BodyText"/>
      <w:spacing w:line="14" w:lineRule="auto"/>
      <w:rPr>
        <w:sz w:val="20"/>
      </w:rPr>
    </w:pPr>
    <w:r>
      <w:pict w14:anchorId="51DEABD6">
        <v:rect id="docshape1388" o:spid="_x0000_s2104" style="position:absolute;margin-left:70.9pt;margin-top:742.8pt;width:2in;height:.8pt;z-index:-25137152;mso-position-horizontal-relative:page;mso-position-vertical-relative:page" fillcolor="black" stroked="f">
          <w10:wrap anchorx="page" anchory="page"/>
        </v:rect>
      </w:pict>
    </w:r>
    <w:r>
      <w:pict w14:anchorId="51DEABD7">
        <v:shapetype id="_x0000_t202" coordsize="21600,21600" o:spt="202" path="m,l,21600r21600,l21600,xe">
          <v:stroke joinstyle="miter"/>
          <v:path gradientshapeok="t" o:connecttype="rect"/>
        </v:shapetype>
        <v:shape id="docshape1389" o:spid="_x0000_s2103" type="#_x0000_t202" style="position:absolute;margin-left:504.65pt;margin-top:791.6pt;width:23.75pt;height:13pt;z-index:-25136640;mso-position-horizontal-relative:page;mso-position-vertical-relative:page" filled="f" stroked="f">
          <v:textbox inset="0,0,0,0">
            <w:txbxContent>
              <w:p w14:paraId="51DEAD76" w14:textId="77777777" w:rsidR="0010369C" w:rsidRDefault="008E43AE">
                <w:pPr>
                  <w:spacing w:line="244" w:lineRule="exact"/>
                  <w:ind w:left="60"/>
                </w:pPr>
                <w:r>
                  <w:rPr>
                    <w:spacing w:val="-5"/>
                  </w:rPr>
                  <w:fldChar w:fldCharType="begin"/>
                </w:r>
                <w:r>
                  <w:rPr>
                    <w:spacing w:val="-5"/>
                  </w:rPr>
                  <w:instrText xml:space="preserve"> PAGE </w:instrText>
                </w:r>
                <w:r>
                  <w:rPr>
                    <w:spacing w:val="-5"/>
                  </w:rPr>
                  <w:fldChar w:fldCharType="separate"/>
                </w:r>
                <w:r>
                  <w:rPr>
                    <w:spacing w:val="-5"/>
                  </w:rPr>
                  <w:t>358</w:t>
                </w:r>
                <w:r>
                  <w:rPr>
                    <w:spacing w:val="-5"/>
                  </w:rPr>
                  <w:fldChar w:fldCharType="end"/>
                </w:r>
              </w:p>
            </w:txbxContent>
          </v:textbox>
          <w10:wrap anchorx="page" anchory="page"/>
        </v:shape>
      </w:pict>
    </w:r>
  </w:p>
</w:ftr>
</file>

<file path=word/footer1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DEAA8A" w14:textId="77777777" w:rsidR="0010369C" w:rsidRDefault="008E43AE">
    <w:pPr>
      <w:pStyle w:val="BodyText"/>
      <w:spacing w:line="14" w:lineRule="auto"/>
      <w:rPr>
        <w:sz w:val="20"/>
      </w:rPr>
    </w:pPr>
    <w:r>
      <w:pict w14:anchorId="51DEABDA">
        <v:shapetype id="_x0000_t202" coordsize="21600,21600" o:spt="202" path="m,l,21600r21600,l21600,xe">
          <v:stroke joinstyle="miter"/>
          <v:path gradientshapeok="t" o:connecttype="rect"/>
        </v:shapetype>
        <v:shape id="docshape1396" o:spid="_x0000_s2100" type="#_x0000_t202" style="position:absolute;margin-left:504.65pt;margin-top:791.6pt;width:23.75pt;height:13pt;z-index:-25135104;mso-position-horizontal-relative:page;mso-position-vertical-relative:page" filled="f" stroked="f">
          <v:textbox inset="0,0,0,0">
            <w:txbxContent>
              <w:p w14:paraId="51DEAD78" w14:textId="77777777" w:rsidR="0010369C" w:rsidRDefault="008E43AE">
                <w:pPr>
                  <w:spacing w:line="244" w:lineRule="exact"/>
                  <w:ind w:left="60"/>
                </w:pPr>
                <w:r>
                  <w:rPr>
                    <w:spacing w:val="-5"/>
                  </w:rPr>
                  <w:fldChar w:fldCharType="begin"/>
                </w:r>
                <w:r>
                  <w:rPr>
                    <w:spacing w:val="-5"/>
                  </w:rPr>
                  <w:instrText xml:space="preserve"> PAGE </w:instrText>
                </w:r>
                <w:r>
                  <w:rPr>
                    <w:spacing w:val="-5"/>
                  </w:rPr>
                  <w:fldChar w:fldCharType="separate"/>
                </w:r>
                <w:r>
                  <w:rPr>
                    <w:spacing w:val="-5"/>
                  </w:rPr>
                  <w:t>359</w:t>
                </w:r>
                <w:r>
                  <w:rPr>
                    <w:spacing w:val="-5"/>
                  </w:rPr>
                  <w:fldChar w:fldCharType="end"/>
                </w:r>
              </w:p>
            </w:txbxContent>
          </v:textbox>
          <w10:wrap anchorx="page" anchory="page"/>
        </v:shape>
      </w:pict>
    </w:r>
  </w:p>
</w:ftr>
</file>

<file path=word/footer1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DEAA8C" w14:textId="77777777" w:rsidR="0010369C" w:rsidRDefault="008E43AE">
    <w:pPr>
      <w:pStyle w:val="BodyText"/>
      <w:spacing w:line="14" w:lineRule="auto"/>
      <w:rPr>
        <w:sz w:val="20"/>
      </w:rPr>
    </w:pPr>
    <w:r>
      <w:pict w14:anchorId="51DEABDD">
        <v:rect id="docshape1410" o:spid="_x0000_s2097" style="position:absolute;margin-left:70.9pt;margin-top:698.8pt;width:2in;height:.8pt;z-index:-25133568;mso-position-horizontal-relative:page;mso-position-vertical-relative:page" fillcolor="black" stroked="f">
          <w10:wrap anchorx="page" anchory="page"/>
        </v:rect>
      </w:pict>
    </w:r>
    <w:r>
      <w:pict w14:anchorId="51DEABDE">
        <v:shapetype id="_x0000_t202" coordsize="21600,21600" o:spt="202" path="m,l,21600r21600,l21600,xe">
          <v:stroke joinstyle="miter"/>
          <v:path gradientshapeok="t" o:connecttype="rect"/>
        </v:shapetype>
        <v:shape id="docshape1411" o:spid="_x0000_s2096" type="#_x0000_t202" style="position:absolute;margin-left:504.65pt;margin-top:791.6pt;width:23.75pt;height:13pt;z-index:-25133056;mso-position-horizontal-relative:page;mso-position-vertical-relative:page" filled="f" stroked="f">
          <v:textbox inset="0,0,0,0">
            <w:txbxContent>
              <w:p w14:paraId="51DEAD7A" w14:textId="77777777" w:rsidR="0010369C" w:rsidRDefault="008E43AE">
                <w:pPr>
                  <w:spacing w:line="244" w:lineRule="exact"/>
                  <w:ind w:left="60"/>
                </w:pPr>
                <w:r>
                  <w:rPr>
                    <w:spacing w:val="-5"/>
                  </w:rPr>
                  <w:fldChar w:fldCharType="begin"/>
                </w:r>
                <w:r>
                  <w:rPr>
                    <w:spacing w:val="-5"/>
                  </w:rPr>
                  <w:instrText xml:space="preserve"> PAGE </w:instrText>
                </w:r>
                <w:r>
                  <w:rPr>
                    <w:spacing w:val="-5"/>
                  </w:rPr>
                  <w:fldChar w:fldCharType="separate"/>
                </w:r>
                <w:r>
                  <w:rPr>
                    <w:spacing w:val="-5"/>
                  </w:rPr>
                  <w:t>364</w:t>
                </w:r>
                <w:r>
                  <w:rPr>
                    <w:spacing w:val="-5"/>
                  </w:rPr>
                  <w:fldChar w:fldCharType="end"/>
                </w:r>
              </w:p>
            </w:txbxContent>
          </v:textbox>
          <w10:wrap anchorx="page" anchory="page"/>
        </v:shape>
      </w:pict>
    </w:r>
  </w:p>
</w:ftr>
</file>

<file path=word/footer1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DEAA8E" w14:textId="77777777" w:rsidR="0010369C" w:rsidRDefault="008E43AE">
    <w:pPr>
      <w:pStyle w:val="BodyText"/>
      <w:spacing w:line="14" w:lineRule="auto"/>
      <w:rPr>
        <w:sz w:val="20"/>
      </w:rPr>
    </w:pPr>
    <w:r>
      <w:pict w14:anchorId="51DEABE1">
        <v:shapetype id="_x0000_t202" coordsize="21600,21600" o:spt="202" path="m,l,21600r21600,l21600,xe">
          <v:stroke joinstyle="miter"/>
          <v:path gradientshapeok="t" o:connecttype="rect"/>
        </v:shapetype>
        <v:shape id="docshape1414" o:spid="_x0000_s2093" type="#_x0000_t202" style="position:absolute;margin-left:504.65pt;margin-top:791.6pt;width:23.75pt;height:13pt;z-index:-25131520;mso-position-horizontal-relative:page;mso-position-vertical-relative:page" filled="f" stroked="f">
          <v:textbox inset="0,0,0,0">
            <w:txbxContent>
              <w:p w14:paraId="51DEAD7C" w14:textId="77777777" w:rsidR="0010369C" w:rsidRDefault="008E43AE">
                <w:pPr>
                  <w:spacing w:line="244" w:lineRule="exact"/>
                  <w:ind w:left="60"/>
                </w:pPr>
                <w:r>
                  <w:rPr>
                    <w:spacing w:val="-5"/>
                  </w:rPr>
                  <w:fldChar w:fldCharType="begin"/>
                </w:r>
                <w:r>
                  <w:rPr>
                    <w:spacing w:val="-5"/>
                  </w:rPr>
                  <w:instrText xml:space="preserve"> PAGE </w:instrText>
                </w:r>
                <w:r>
                  <w:rPr>
                    <w:spacing w:val="-5"/>
                  </w:rPr>
                  <w:fldChar w:fldCharType="separate"/>
                </w:r>
                <w:r>
                  <w:rPr>
                    <w:spacing w:val="-5"/>
                  </w:rPr>
                  <w:t>365</w:t>
                </w:r>
                <w:r>
                  <w:rPr>
                    <w:spacing w:val="-5"/>
                  </w:rPr>
                  <w:fldChar w:fldCharType="end"/>
                </w:r>
              </w:p>
            </w:txbxContent>
          </v:textbox>
          <w10:wrap anchorx="page" anchory="page"/>
        </v:shape>
      </w:pict>
    </w:r>
  </w:p>
</w:ftr>
</file>

<file path=word/footer1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DEAA90" w14:textId="77777777" w:rsidR="0010369C" w:rsidRDefault="008E43AE">
    <w:pPr>
      <w:pStyle w:val="BodyText"/>
      <w:spacing w:line="14" w:lineRule="auto"/>
      <w:rPr>
        <w:sz w:val="20"/>
      </w:rPr>
    </w:pPr>
    <w:r>
      <w:pict w14:anchorId="51DEABE6">
        <v:shapetype id="_x0000_t202" coordsize="21600,21600" o:spt="202" path="m,l,21600r21600,l21600,xe">
          <v:stroke joinstyle="miter"/>
          <v:path gradientshapeok="t" o:connecttype="rect"/>
        </v:shapetype>
        <v:shape id="docshape1421" o:spid="_x0000_s2088" type="#_x0000_t202" style="position:absolute;margin-left:504.65pt;margin-top:791.6pt;width:23.75pt;height:13pt;z-index:-25128960;mso-position-horizontal-relative:page;mso-position-vertical-relative:page" filled="f" stroked="f">
          <v:textbox inset="0,0,0,0">
            <w:txbxContent>
              <w:p w14:paraId="51DEAD80" w14:textId="77777777" w:rsidR="0010369C" w:rsidRDefault="008E43AE">
                <w:pPr>
                  <w:spacing w:line="244" w:lineRule="exact"/>
                  <w:ind w:left="60"/>
                </w:pPr>
                <w:r>
                  <w:rPr>
                    <w:spacing w:val="-5"/>
                  </w:rPr>
                  <w:fldChar w:fldCharType="begin"/>
                </w:r>
                <w:r>
                  <w:rPr>
                    <w:spacing w:val="-5"/>
                  </w:rPr>
                  <w:instrText xml:space="preserve"> PAGE </w:instrText>
                </w:r>
                <w:r>
                  <w:rPr>
                    <w:spacing w:val="-5"/>
                  </w:rPr>
                  <w:fldChar w:fldCharType="separate"/>
                </w:r>
                <w:r>
                  <w:rPr>
                    <w:spacing w:val="-5"/>
                  </w:rPr>
                  <w:t>367</w:t>
                </w:r>
                <w:r>
                  <w:rPr>
                    <w:spacing w:val="-5"/>
                  </w:rPr>
                  <w:fldChar w:fldCharType="end"/>
                </w:r>
              </w:p>
            </w:txbxContent>
          </v:textbox>
          <w10:wrap anchorx="page" anchory="page"/>
        </v:shape>
      </w:pic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DEA9CC" w14:textId="77777777" w:rsidR="0010369C" w:rsidRDefault="008E43AE">
    <w:pPr>
      <w:pStyle w:val="BodyText"/>
      <w:spacing w:line="14" w:lineRule="auto"/>
      <w:rPr>
        <w:sz w:val="20"/>
      </w:rPr>
    </w:pPr>
    <w:r>
      <w:pict w14:anchorId="51DEAAB8">
        <v:shapetype id="_x0000_t202" coordsize="21600,21600" o:spt="202" path="m,l,21600r21600,l21600,xe">
          <v:stroke joinstyle="miter"/>
          <v:path gradientshapeok="t" o:connecttype="rect"/>
        </v:shapetype>
        <v:shape id="docshape61" o:spid="_x0000_s2390" type="#_x0000_t202" style="position:absolute;margin-left:510.25pt;margin-top:791.6pt;width:18.2pt;height:13pt;z-index:-25283584;mso-position-horizontal-relative:page;mso-position-vertical-relative:page" filled="f" stroked="f">
          <v:textbox inset="0,0,0,0">
            <w:txbxContent>
              <w:p w14:paraId="51DEACB5" w14:textId="77777777" w:rsidR="0010369C" w:rsidRDefault="008E43AE">
                <w:pPr>
                  <w:spacing w:line="244" w:lineRule="exact"/>
                  <w:ind w:left="60"/>
                </w:pPr>
                <w:r>
                  <w:rPr>
                    <w:spacing w:val="-5"/>
                  </w:rPr>
                  <w:fldChar w:fldCharType="begin"/>
                </w:r>
                <w:r>
                  <w:rPr>
                    <w:spacing w:val="-5"/>
                  </w:rPr>
                  <w:instrText xml:space="preserve"> PAGE </w:instrText>
                </w:r>
                <w:r>
                  <w:rPr>
                    <w:spacing w:val="-5"/>
                  </w:rPr>
                  <w:fldChar w:fldCharType="separate"/>
                </w:r>
                <w:r>
                  <w:rPr>
                    <w:spacing w:val="-5"/>
                  </w:rPr>
                  <w:t>33</w:t>
                </w:r>
                <w:r>
                  <w:rPr>
                    <w:spacing w:val="-5"/>
                  </w:rPr>
                  <w:fldChar w:fldCharType="end"/>
                </w:r>
              </w:p>
            </w:txbxContent>
          </v:textbox>
          <w10:wrap anchorx="page" anchory="page"/>
        </v:shape>
      </w:pict>
    </w:r>
  </w:p>
</w:ftr>
</file>

<file path=word/footer1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DEAA92" w14:textId="77777777" w:rsidR="0010369C" w:rsidRDefault="008E43AE">
    <w:pPr>
      <w:pStyle w:val="BodyText"/>
      <w:spacing w:line="14" w:lineRule="auto"/>
      <w:rPr>
        <w:sz w:val="20"/>
      </w:rPr>
    </w:pPr>
    <w:r>
      <w:pict w14:anchorId="51DEABEB">
        <v:rect id="docshape1427" o:spid="_x0000_s2083" style="position:absolute;margin-left:70.9pt;margin-top:720.8pt;width:2in;height:.8pt;z-index:-25126400;mso-position-horizontal-relative:page;mso-position-vertical-relative:page" fillcolor="black" stroked="f">
          <w10:wrap anchorx="page" anchory="page"/>
        </v:rect>
      </w:pict>
    </w:r>
    <w:r>
      <w:pict w14:anchorId="51DEABEC">
        <v:shapetype id="_x0000_t202" coordsize="21600,21600" o:spt="202" path="m,l,21600r21600,l21600,xe">
          <v:stroke joinstyle="miter"/>
          <v:path gradientshapeok="t" o:connecttype="rect"/>
        </v:shapetype>
        <v:shape id="docshape1428" o:spid="_x0000_s2082" type="#_x0000_t202" style="position:absolute;margin-left:504.65pt;margin-top:791.6pt;width:23.75pt;height:13pt;z-index:-25125888;mso-position-horizontal-relative:page;mso-position-vertical-relative:page" filled="f" stroked="f">
          <v:textbox inset="0,0,0,0">
            <w:txbxContent>
              <w:p w14:paraId="51DEAD84" w14:textId="77777777" w:rsidR="0010369C" w:rsidRDefault="008E43AE">
                <w:pPr>
                  <w:spacing w:line="244" w:lineRule="exact"/>
                  <w:ind w:left="60"/>
                </w:pPr>
                <w:r>
                  <w:rPr>
                    <w:spacing w:val="-5"/>
                  </w:rPr>
                  <w:fldChar w:fldCharType="begin"/>
                </w:r>
                <w:r>
                  <w:rPr>
                    <w:spacing w:val="-5"/>
                  </w:rPr>
                  <w:instrText xml:space="preserve"> PAGE </w:instrText>
                </w:r>
                <w:r>
                  <w:rPr>
                    <w:spacing w:val="-5"/>
                  </w:rPr>
                  <w:fldChar w:fldCharType="separate"/>
                </w:r>
                <w:r>
                  <w:rPr>
                    <w:spacing w:val="-5"/>
                  </w:rPr>
                  <w:t>368</w:t>
                </w:r>
                <w:r>
                  <w:rPr>
                    <w:spacing w:val="-5"/>
                  </w:rPr>
                  <w:fldChar w:fldCharType="end"/>
                </w:r>
              </w:p>
            </w:txbxContent>
          </v:textbox>
          <w10:wrap anchorx="page" anchory="page"/>
        </v:shape>
      </w:pict>
    </w:r>
  </w:p>
</w:ftr>
</file>

<file path=word/footer1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DEAA94" w14:textId="77777777" w:rsidR="0010369C" w:rsidRDefault="008E43AE">
    <w:pPr>
      <w:pStyle w:val="BodyText"/>
      <w:spacing w:line="14" w:lineRule="auto"/>
      <w:rPr>
        <w:sz w:val="20"/>
      </w:rPr>
    </w:pPr>
    <w:r>
      <w:pict w14:anchorId="51DEABF1">
        <v:shapetype id="_x0000_t202" coordsize="21600,21600" o:spt="202" path="m,l,21600r21600,l21600,xe">
          <v:stroke joinstyle="miter"/>
          <v:path gradientshapeok="t" o:connecttype="rect"/>
        </v:shapetype>
        <v:shape id="docshape1433" o:spid="_x0000_s2077" type="#_x0000_t202" style="position:absolute;margin-left:504.65pt;margin-top:791.6pt;width:23.75pt;height:13pt;z-index:-25123328;mso-position-horizontal-relative:page;mso-position-vertical-relative:page" filled="f" stroked="f">
          <v:textbox inset="0,0,0,0">
            <w:txbxContent>
              <w:p w14:paraId="51DEAD88" w14:textId="77777777" w:rsidR="0010369C" w:rsidRDefault="008E43AE">
                <w:pPr>
                  <w:spacing w:line="244" w:lineRule="exact"/>
                  <w:ind w:left="60"/>
                </w:pPr>
                <w:r>
                  <w:rPr>
                    <w:spacing w:val="-5"/>
                  </w:rPr>
                  <w:fldChar w:fldCharType="begin"/>
                </w:r>
                <w:r>
                  <w:rPr>
                    <w:spacing w:val="-5"/>
                  </w:rPr>
                  <w:instrText xml:space="preserve"> PAGE </w:instrText>
                </w:r>
                <w:r>
                  <w:rPr>
                    <w:spacing w:val="-5"/>
                  </w:rPr>
                  <w:fldChar w:fldCharType="separate"/>
                </w:r>
                <w:r>
                  <w:rPr>
                    <w:spacing w:val="-5"/>
                  </w:rPr>
                  <w:t>369</w:t>
                </w:r>
                <w:r>
                  <w:rPr>
                    <w:spacing w:val="-5"/>
                  </w:rPr>
                  <w:fldChar w:fldCharType="end"/>
                </w:r>
              </w:p>
            </w:txbxContent>
          </v:textbox>
          <w10:wrap anchorx="page" anchory="page"/>
        </v:shape>
      </w:pict>
    </w:r>
  </w:p>
</w:ftr>
</file>

<file path=word/footer1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DEAA96" w14:textId="77777777" w:rsidR="0010369C" w:rsidRDefault="008E43AE">
    <w:pPr>
      <w:pStyle w:val="BodyText"/>
      <w:spacing w:line="14" w:lineRule="auto"/>
      <w:rPr>
        <w:sz w:val="20"/>
      </w:rPr>
    </w:pPr>
    <w:r>
      <w:pict w14:anchorId="51DEABF4">
        <v:rect id="docshape1437" o:spid="_x0000_s2074" style="position:absolute;margin-left:70.9pt;margin-top:742.8pt;width:2in;height:.8pt;z-index:-25121792;mso-position-horizontal-relative:page;mso-position-vertical-relative:page" fillcolor="black" stroked="f">
          <w10:wrap anchorx="page" anchory="page"/>
        </v:rect>
      </w:pict>
    </w:r>
    <w:r>
      <w:pict w14:anchorId="51DEABF5">
        <v:shapetype id="_x0000_t202" coordsize="21600,21600" o:spt="202" path="m,l,21600r21600,l21600,xe">
          <v:stroke joinstyle="miter"/>
          <v:path gradientshapeok="t" o:connecttype="rect"/>
        </v:shapetype>
        <v:shape id="docshape1438" o:spid="_x0000_s2073" type="#_x0000_t202" style="position:absolute;margin-left:504.65pt;margin-top:791.6pt;width:23.75pt;height:13pt;z-index:-25121280;mso-position-horizontal-relative:page;mso-position-vertical-relative:page" filled="f" stroked="f">
          <v:textbox inset="0,0,0,0">
            <w:txbxContent>
              <w:p w14:paraId="51DEAD8A" w14:textId="77777777" w:rsidR="0010369C" w:rsidRDefault="008E43AE">
                <w:pPr>
                  <w:spacing w:line="244" w:lineRule="exact"/>
                  <w:ind w:left="60"/>
                </w:pPr>
                <w:r>
                  <w:rPr>
                    <w:spacing w:val="-5"/>
                  </w:rPr>
                  <w:fldChar w:fldCharType="begin"/>
                </w:r>
                <w:r>
                  <w:rPr>
                    <w:spacing w:val="-5"/>
                  </w:rPr>
                  <w:instrText xml:space="preserve"> PAGE </w:instrText>
                </w:r>
                <w:r>
                  <w:rPr>
                    <w:spacing w:val="-5"/>
                  </w:rPr>
                  <w:fldChar w:fldCharType="separate"/>
                </w:r>
                <w:r>
                  <w:rPr>
                    <w:spacing w:val="-5"/>
                  </w:rPr>
                  <w:t>370</w:t>
                </w:r>
                <w:r>
                  <w:rPr>
                    <w:spacing w:val="-5"/>
                  </w:rPr>
                  <w:fldChar w:fldCharType="end"/>
                </w:r>
              </w:p>
            </w:txbxContent>
          </v:textbox>
          <w10:wrap anchorx="page" anchory="page"/>
        </v:shape>
      </w:pict>
    </w:r>
  </w:p>
</w:ftr>
</file>

<file path=word/footer1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DEAA98" w14:textId="77777777" w:rsidR="0010369C" w:rsidRDefault="008E43AE">
    <w:pPr>
      <w:pStyle w:val="BodyText"/>
      <w:spacing w:line="14" w:lineRule="auto"/>
      <w:rPr>
        <w:sz w:val="20"/>
      </w:rPr>
    </w:pPr>
    <w:r>
      <w:pict w14:anchorId="51DEABF8">
        <v:shapetype id="_x0000_t202" coordsize="21600,21600" o:spt="202" path="m,l,21600r21600,l21600,xe">
          <v:stroke joinstyle="miter"/>
          <v:path gradientshapeok="t" o:connecttype="rect"/>
        </v:shapetype>
        <v:shape id="docshape1441" o:spid="_x0000_s2070" type="#_x0000_t202" style="position:absolute;margin-left:504.65pt;margin-top:791.6pt;width:23.75pt;height:13pt;z-index:-25119744;mso-position-horizontal-relative:page;mso-position-vertical-relative:page" filled="f" stroked="f">
          <v:textbox inset="0,0,0,0">
            <w:txbxContent>
              <w:p w14:paraId="51DEAD8C" w14:textId="77777777" w:rsidR="0010369C" w:rsidRDefault="008E43AE">
                <w:pPr>
                  <w:spacing w:line="244" w:lineRule="exact"/>
                  <w:ind w:left="60"/>
                </w:pPr>
                <w:r>
                  <w:rPr>
                    <w:spacing w:val="-5"/>
                  </w:rPr>
                  <w:fldChar w:fldCharType="begin"/>
                </w:r>
                <w:r>
                  <w:rPr>
                    <w:spacing w:val="-5"/>
                  </w:rPr>
                  <w:instrText xml:space="preserve"> PAGE </w:instrText>
                </w:r>
                <w:r>
                  <w:rPr>
                    <w:spacing w:val="-5"/>
                  </w:rPr>
                  <w:fldChar w:fldCharType="separate"/>
                </w:r>
                <w:r>
                  <w:rPr>
                    <w:spacing w:val="-5"/>
                  </w:rPr>
                  <w:t>371</w:t>
                </w:r>
                <w:r>
                  <w:rPr>
                    <w:spacing w:val="-5"/>
                  </w:rPr>
                  <w:fldChar w:fldCharType="end"/>
                </w:r>
              </w:p>
            </w:txbxContent>
          </v:textbox>
          <w10:wrap anchorx="page" anchory="page"/>
        </v:shape>
      </w:pict>
    </w:r>
  </w:p>
</w:ftr>
</file>

<file path=word/footer1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DEAA9A" w14:textId="77777777" w:rsidR="0010369C" w:rsidRDefault="008E43AE">
    <w:pPr>
      <w:pStyle w:val="BodyText"/>
      <w:spacing w:line="14" w:lineRule="auto"/>
      <w:rPr>
        <w:sz w:val="20"/>
      </w:rPr>
    </w:pPr>
    <w:r>
      <w:pict w14:anchorId="51DEABFD">
        <v:shapetype id="_x0000_t202" coordsize="21600,21600" o:spt="202" path="m,l,21600r21600,l21600,xe">
          <v:stroke joinstyle="miter"/>
          <v:path gradientshapeok="t" o:connecttype="rect"/>
        </v:shapetype>
        <v:shape id="docshape1448" o:spid="_x0000_s2065" type="#_x0000_t202" style="position:absolute;margin-left:504.65pt;margin-top:791.6pt;width:23.75pt;height:13pt;z-index:-25117184;mso-position-horizontal-relative:page;mso-position-vertical-relative:page" filled="f" stroked="f">
          <v:textbox inset="0,0,0,0">
            <w:txbxContent>
              <w:p w14:paraId="51DEAD90" w14:textId="77777777" w:rsidR="0010369C" w:rsidRDefault="008E43AE">
                <w:pPr>
                  <w:spacing w:line="244" w:lineRule="exact"/>
                  <w:ind w:left="60"/>
                </w:pPr>
                <w:r>
                  <w:rPr>
                    <w:spacing w:val="-5"/>
                  </w:rPr>
                  <w:fldChar w:fldCharType="begin"/>
                </w:r>
                <w:r>
                  <w:rPr>
                    <w:spacing w:val="-5"/>
                  </w:rPr>
                  <w:instrText xml:space="preserve"> PAGE </w:instrText>
                </w:r>
                <w:r>
                  <w:rPr>
                    <w:spacing w:val="-5"/>
                  </w:rPr>
                  <w:fldChar w:fldCharType="separate"/>
                </w:r>
                <w:r>
                  <w:rPr>
                    <w:spacing w:val="-5"/>
                  </w:rPr>
                  <w:t>373</w:t>
                </w:r>
                <w:r>
                  <w:rPr>
                    <w:spacing w:val="-5"/>
                  </w:rPr>
                  <w:fldChar w:fldCharType="end"/>
                </w:r>
              </w:p>
            </w:txbxContent>
          </v:textbox>
          <w10:wrap anchorx="page" anchory="page"/>
        </v:shape>
      </w:pict>
    </w:r>
  </w:p>
</w:ftr>
</file>

<file path=word/footer1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DEAA9C" w14:textId="77777777" w:rsidR="0010369C" w:rsidRDefault="008E43AE">
    <w:pPr>
      <w:pStyle w:val="BodyText"/>
      <w:spacing w:line="14" w:lineRule="auto"/>
      <w:rPr>
        <w:sz w:val="20"/>
      </w:rPr>
    </w:pPr>
    <w:r>
      <w:pict w14:anchorId="51DEAC00">
        <v:shapetype id="_x0000_t202" coordsize="21600,21600" o:spt="202" path="m,l,21600r21600,l21600,xe">
          <v:stroke joinstyle="miter"/>
          <v:path gradientshapeok="t" o:connecttype="rect"/>
        </v:shapetype>
        <v:shape id="docshape1456" o:spid="_x0000_s2062" type="#_x0000_t202" style="position:absolute;margin-left:504.65pt;margin-top:791.6pt;width:23.75pt;height:13pt;z-index:-25115648;mso-position-horizontal-relative:page;mso-position-vertical-relative:page" filled="f" stroked="f">
          <v:textbox inset="0,0,0,0">
            <w:txbxContent>
              <w:p w14:paraId="51DEAD92" w14:textId="77777777" w:rsidR="0010369C" w:rsidRDefault="008E43AE">
                <w:pPr>
                  <w:spacing w:line="244" w:lineRule="exact"/>
                  <w:ind w:left="60"/>
                </w:pPr>
                <w:r>
                  <w:rPr>
                    <w:spacing w:val="-5"/>
                  </w:rPr>
                  <w:fldChar w:fldCharType="begin"/>
                </w:r>
                <w:r>
                  <w:rPr>
                    <w:spacing w:val="-5"/>
                  </w:rPr>
                  <w:instrText xml:space="preserve"> PAGE </w:instrText>
                </w:r>
                <w:r>
                  <w:rPr>
                    <w:spacing w:val="-5"/>
                  </w:rPr>
                  <w:fldChar w:fldCharType="separate"/>
                </w:r>
                <w:r>
                  <w:rPr>
                    <w:spacing w:val="-5"/>
                  </w:rPr>
                  <w:t>376</w:t>
                </w:r>
                <w:r>
                  <w:rPr>
                    <w:spacing w:val="-5"/>
                  </w:rPr>
                  <w:fldChar w:fldCharType="end"/>
                </w:r>
              </w:p>
            </w:txbxContent>
          </v:textbox>
          <w10:wrap anchorx="page" anchory="page"/>
        </v:shape>
      </w:pict>
    </w:r>
  </w:p>
</w:ftr>
</file>

<file path=word/footer1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DEAA9E" w14:textId="77777777" w:rsidR="0010369C" w:rsidRDefault="008E43AE">
    <w:pPr>
      <w:pStyle w:val="BodyText"/>
      <w:spacing w:line="14" w:lineRule="auto"/>
      <w:rPr>
        <w:sz w:val="20"/>
      </w:rPr>
    </w:pPr>
    <w:r>
      <w:pict w14:anchorId="51DEAC05">
        <v:shapetype id="_x0000_t202" coordsize="21600,21600" o:spt="202" path="m,l,21600r21600,l21600,xe">
          <v:stroke joinstyle="miter"/>
          <v:path gradientshapeok="t" o:connecttype="rect"/>
        </v:shapetype>
        <v:shape id="docshape1489" o:spid="_x0000_s2057" type="#_x0000_t202" style="position:absolute;margin-left:504.65pt;margin-top:791.6pt;width:23.75pt;height:13pt;z-index:-25113088;mso-position-horizontal-relative:page;mso-position-vertical-relative:page" filled="f" stroked="f">
          <v:textbox inset="0,0,0,0">
            <w:txbxContent>
              <w:p w14:paraId="51DEAD96" w14:textId="77777777" w:rsidR="0010369C" w:rsidRDefault="008E43AE">
                <w:pPr>
                  <w:spacing w:line="244" w:lineRule="exact"/>
                  <w:ind w:left="60"/>
                </w:pPr>
                <w:r>
                  <w:rPr>
                    <w:spacing w:val="-5"/>
                  </w:rPr>
                  <w:fldChar w:fldCharType="begin"/>
                </w:r>
                <w:r>
                  <w:rPr>
                    <w:spacing w:val="-5"/>
                  </w:rPr>
                  <w:instrText xml:space="preserve"> PAGE </w:instrText>
                </w:r>
                <w:r>
                  <w:rPr>
                    <w:spacing w:val="-5"/>
                  </w:rPr>
                  <w:fldChar w:fldCharType="separate"/>
                </w:r>
                <w:r>
                  <w:rPr>
                    <w:spacing w:val="-5"/>
                  </w:rPr>
                  <w:t>388</w:t>
                </w:r>
                <w:r>
                  <w:rPr>
                    <w:spacing w:val="-5"/>
                  </w:rPr>
                  <w:fldChar w:fldCharType="end"/>
                </w:r>
              </w:p>
            </w:txbxContent>
          </v:textbox>
          <w10:wrap anchorx="page" anchory="page"/>
        </v:shape>
      </w:pict>
    </w:r>
  </w:p>
</w:ftr>
</file>

<file path=word/footer1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DEAAA0" w14:textId="77777777" w:rsidR="0010369C" w:rsidRDefault="008E43AE">
    <w:pPr>
      <w:pStyle w:val="BodyText"/>
      <w:spacing w:line="14" w:lineRule="auto"/>
      <w:rPr>
        <w:sz w:val="20"/>
      </w:rPr>
    </w:pPr>
    <w:r>
      <w:pict w14:anchorId="51DEAC08">
        <v:shapetype id="_x0000_t202" coordsize="21600,21600" o:spt="202" path="m,l,21600r21600,l21600,xe">
          <v:stroke joinstyle="miter"/>
          <v:path gradientshapeok="t" o:connecttype="rect"/>
        </v:shapetype>
        <v:shape id="docshape1495" o:spid="_x0000_s2054" type="#_x0000_t202" style="position:absolute;margin-left:504.65pt;margin-top:791.6pt;width:23.75pt;height:13pt;z-index:-25111552;mso-position-horizontal-relative:page;mso-position-vertical-relative:page" filled="f" stroked="f">
          <v:textbox inset="0,0,0,0">
            <w:txbxContent>
              <w:p w14:paraId="51DEAD98" w14:textId="77777777" w:rsidR="0010369C" w:rsidRDefault="008E43AE">
                <w:pPr>
                  <w:spacing w:line="244" w:lineRule="exact"/>
                  <w:ind w:left="60"/>
                </w:pPr>
                <w:r>
                  <w:rPr>
                    <w:spacing w:val="-5"/>
                  </w:rPr>
                  <w:fldChar w:fldCharType="begin"/>
                </w:r>
                <w:r>
                  <w:rPr>
                    <w:spacing w:val="-5"/>
                  </w:rPr>
                  <w:instrText xml:space="preserve"> PAGE </w:instrText>
                </w:r>
                <w:r>
                  <w:rPr>
                    <w:spacing w:val="-5"/>
                  </w:rPr>
                  <w:fldChar w:fldCharType="separate"/>
                </w:r>
                <w:r>
                  <w:rPr>
                    <w:spacing w:val="-5"/>
                  </w:rPr>
                  <w:t>391</w:t>
                </w:r>
                <w:r>
                  <w:rPr>
                    <w:spacing w:val="-5"/>
                  </w:rPr>
                  <w:fldChar w:fldCharType="end"/>
                </w:r>
              </w:p>
            </w:txbxContent>
          </v:textbox>
          <w10:wrap anchorx="page" anchory="page"/>
        </v:shape>
      </w:pict>
    </w:r>
  </w:p>
</w:ftr>
</file>

<file path=word/footer1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DEAAA2" w14:textId="77777777" w:rsidR="0010369C" w:rsidRDefault="008E43AE">
    <w:pPr>
      <w:pStyle w:val="BodyText"/>
      <w:spacing w:line="14" w:lineRule="auto"/>
      <w:rPr>
        <w:sz w:val="20"/>
      </w:rPr>
    </w:pPr>
    <w:r>
      <w:pict w14:anchorId="51DEAC0B">
        <v:rect id="docshape1500" o:spid="_x0000_s2051" style="position:absolute;margin-left:70.9pt;margin-top:720.8pt;width:2in;height:.8pt;z-index:-25110016;mso-position-horizontal-relative:page;mso-position-vertical-relative:page" fillcolor="black" stroked="f">
          <w10:wrap anchorx="page" anchory="page"/>
        </v:rect>
      </w:pict>
    </w:r>
    <w:r>
      <w:pict w14:anchorId="51DEAC0C">
        <v:shapetype id="_x0000_t202" coordsize="21600,21600" o:spt="202" path="m,l,21600r21600,l21600,xe">
          <v:stroke joinstyle="miter"/>
          <v:path gradientshapeok="t" o:connecttype="rect"/>
        </v:shapetype>
        <v:shape id="docshape1501" o:spid="_x0000_s2050" type="#_x0000_t202" style="position:absolute;margin-left:69.9pt;margin-top:760.1pt;width:228.35pt;height:11.75pt;z-index:-25109504;mso-position-horizontal-relative:page;mso-position-vertical-relative:page" filled="f" stroked="f">
          <v:textbox inset="0,0,0,0">
            <w:txbxContent>
              <w:p w14:paraId="51DEAD9A" w14:textId="77777777" w:rsidR="0010369C" w:rsidRDefault="008E43AE">
                <w:pPr>
                  <w:spacing w:line="218" w:lineRule="exact"/>
                  <w:ind w:left="20"/>
                  <w:rPr>
                    <w:sz w:val="18"/>
                  </w:rPr>
                </w:pPr>
                <w:r>
                  <w:rPr>
                    <w:sz w:val="18"/>
                    <w:vertAlign w:val="superscript"/>
                  </w:rPr>
                  <w:t>1288</w:t>
                </w:r>
                <w:r>
                  <w:rPr>
                    <w:spacing w:val="-9"/>
                    <w:sz w:val="18"/>
                  </w:rPr>
                  <w:t xml:space="preserve"> </w:t>
                </w:r>
                <w:r>
                  <w:rPr>
                    <w:sz w:val="18"/>
                  </w:rPr>
                  <w:t>Anti‐Dumping</w:t>
                </w:r>
                <w:r>
                  <w:rPr>
                    <w:spacing w:val="-9"/>
                    <w:sz w:val="18"/>
                  </w:rPr>
                  <w:t xml:space="preserve"> </w:t>
                </w:r>
                <w:r>
                  <w:rPr>
                    <w:sz w:val="18"/>
                  </w:rPr>
                  <w:t>Final</w:t>
                </w:r>
                <w:r>
                  <w:rPr>
                    <w:spacing w:val="-9"/>
                    <w:sz w:val="18"/>
                  </w:rPr>
                  <w:t xml:space="preserve"> </w:t>
                </w:r>
                <w:r>
                  <w:rPr>
                    <w:sz w:val="18"/>
                  </w:rPr>
                  <w:t>Determination</w:t>
                </w:r>
                <w:r>
                  <w:rPr>
                    <w:spacing w:val="-8"/>
                    <w:sz w:val="18"/>
                  </w:rPr>
                  <w:t xml:space="preserve"> </w:t>
                </w:r>
                <w:r>
                  <w:rPr>
                    <w:sz w:val="18"/>
                  </w:rPr>
                  <w:t>(Exhibit</w:t>
                </w:r>
                <w:r>
                  <w:rPr>
                    <w:spacing w:val="-9"/>
                    <w:sz w:val="18"/>
                  </w:rPr>
                  <w:t xml:space="preserve"> </w:t>
                </w:r>
                <w:r>
                  <w:rPr>
                    <w:sz w:val="18"/>
                  </w:rPr>
                  <w:t>AUS‐2),</w:t>
                </w:r>
                <w:r>
                  <w:rPr>
                    <w:spacing w:val="-10"/>
                    <w:sz w:val="18"/>
                  </w:rPr>
                  <w:t xml:space="preserve"> </w:t>
                </w:r>
                <w:r>
                  <w:rPr>
                    <w:sz w:val="18"/>
                  </w:rPr>
                  <w:t>p.</w:t>
                </w:r>
                <w:r>
                  <w:rPr>
                    <w:spacing w:val="-9"/>
                    <w:sz w:val="18"/>
                  </w:rPr>
                  <w:t xml:space="preserve"> </w:t>
                </w:r>
                <w:r>
                  <w:rPr>
                    <w:spacing w:val="-4"/>
                    <w:sz w:val="18"/>
                  </w:rPr>
                  <w:t>137.</w:t>
                </w:r>
              </w:p>
            </w:txbxContent>
          </v:textbox>
          <w10:wrap anchorx="page" anchory="page"/>
        </v:shape>
      </w:pict>
    </w:r>
    <w:r>
      <w:pict w14:anchorId="51DEAC0D">
        <v:shape id="docshape1502" o:spid="_x0000_s2049" type="#_x0000_t202" style="position:absolute;margin-left:506.65pt;margin-top:791.6pt;width:18.75pt;height:13pt;z-index:-25108992;mso-position-horizontal-relative:page;mso-position-vertical-relative:page" filled="f" stroked="f">
          <v:textbox inset="0,0,0,0">
            <w:txbxContent>
              <w:p w14:paraId="51DEAD9B" w14:textId="77777777" w:rsidR="0010369C" w:rsidRDefault="008E43AE">
                <w:pPr>
                  <w:spacing w:line="244" w:lineRule="exact"/>
                  <w:ind w:left="20"/>
                </w:pPr>
                <w:r>
                  <w:rPr>
                    <w:spacing w:val="-5"/>
                  </w:rPr>
                  <w:t>393</w:t>
                </w:r>
              </w:p>
            </w:txbxContent>
          </v:textbox>
          <w10:wrap anchorx="page" anchory="page"/>
        </v:shape>
      </w:pict>
    </w:r>
  </w:p>
</w:ftr>
</file>

<file path=word/footer1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DEAAA4" w14:textId="77777777" w:rsidR="0010369C" w:rsidRDefault="0010369C">
    <w:pPr>
      <w:pStyle w:val="BodyText"/>
      <w:spacing w:line="14" w:lineRule="auto"/>
      <w:rPr>
        <w:sz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DEA9CE" w14:textId="77777777" w:rsidR="0010369C" w:rsidRDefault="008E43AE">
    <w:pPr>
      <w:pStyle w:val="BodyText"/>
      <w:spacing w:line="14" w:lineRule="auto"/>
      <w:rPr>
        <w:sz w:val="20"/>
      </w:rPr>
    </w:pPr>
    <w:r>
      <w:pict w14:anchorId="51DEAABB">
        <v:rect id="docshape69" o:spid="_x0000_s2387" style="position:absolute;margin-left:70.9pt;margin-top:753.8pt;width:2in;height:.8pt;z-index:-25282048;mso-position-horizontal-relative:page;mso-position-vertical-relative:page" fillcolor="black" stroked="f">
          <w10:wrap anchorx="page" anchory="page"/>
        </v:rect>
      </w:pict>
    </w:r>
    <w:r>
      <w:pict w14:anchorId="51DEAABC">
        <v:shapetype id="_x0000_t202" coordsize="21600,21600" o:spt="202" path="m,l,21600r21600,l21600,xe">
          <v:stroke joinstyle="miter"/>
          <v:path gradientshapeok="t" o:connecttype="rect"/>
        </v:shapetype>
        <v:shape id="docshape70" o:spid="_x0000_s2386" type="#_x0000_t202" style="position:absolute;margin-left:69.9pt;margin-top:760.1pt;width:213.7pt;height:11.75pt;z-index:-25281536;mso-position-horizontal-relative:page;mso-position-vertical-relative:page" filled="f" stroked="f">
          <v:textbox inset="0,0,0,0">
            <w:txbxContent>
              <w:p w14:paraId="51DEACB7" w14:textId="77777777" w:rsidR="0010369C" w:rsidRDefault="008E43AE">
                <w:pPr>
                  <w:spacing w:line="218" w:lineRule="exact"/>
                  <w:ind w:left="20"/>
                  <w:rPr>
                    <w:sz w:val="18"/>
                  </w:rPr>
                </w:pPr>
                <w:r>
                  <w:rPr>
                    <w:sz w:val="18"/>
                    <w:vertAlign w:val="superscript"/>
                  </w:rPr>
                  <w:t>13</w:t>
                </w:r>
                <w:r>
                  <w:rPr>
                    <w:spacing w:val="-5"/>
                    <w:sz w:val="18"/>
                  </w:rPr>
                  <w:t xml:space="preserve"> </w:t>
                </w:r>
                <w:r>
                  <w:rPr>
                    <w:sz w:val="18"/>
                  </w:rPr>
                  <w:t>Panel</w:t>
                </w:r>
                <w:r>
                  <w:rPr>
                    <w:spacing w:val="-6"/>
                    <w:sz w:val="18"/>
                  </w:rPr>
                  <w:t xml:space="preserve"> </w:t>
                </w:r>
                <w:r>
                  <w:rPr>
                    <w:sz w:val="18"/>
                  </w:rPr>
                  <w:t>Report,</w:t>
                </w:r>
                <w:r>
                  <w:rPr>
                    <w:spacing w:val="-5"/>
                    <w:sz w:val="18"/>
                  </w:rPr>
                  <w:t xml:space="preserve"> </w:t>
                </w:r>
                <w:r>
                  <w:rPr>
                    <w:i/>
                    <w:sz w:val="18"/>
                  </w:rPr>
                  <w:t>Mexico</w:t>
                </w:r>
                <w:r>
                  <w:rPr>
                    <w:i/>
                    <w:spacing w:val="-5"/>
                    <w:sz w:val="18"/>
                  </w:rPr>
                  <w:t xml:space="preserve"> </w:t>
                </w:r>
                <w:r>
                  <w:rPr>
                    <w:i/>
                    <w:sz w:val="18"/>
                  </w:rPr>
                  <w:t>–</w:t>
                </w:r>
                <w:r>
                  <w:rPr>
                    <w:i/>
                    <w:spacing w:val="-5"/>
                    <w:sz w:val="18"/>
                  </w:rPr>
                  <w:t xml:space="preserve"> </w:t>
                </w:r>
                <w:r>
                  <w:rPr>
                    <w:i/>
                    <w:sz w:val="18"/>
                  </w:rPr>
                  <w:t>Steel</w:t>
                </w:r>
                <w:r>
                  <w:rPr>
                    <w:i/>
                    <w:spacing w:val="-6"/>
                    <w:sz w:val="18"/>
                  </w:rPr>
                  <w:t xml:space="preserve"> </w:t>
                </w:r>
                <w:r>
                  <w:rPr>
                    <w:i/>
                    <w:sz w:val="18"/>
                  </w:rPr>
                  <w:t>Pipes</w:t>
                </w:r>
                <w:r>
                  <w:rPr>
                    <w:i/>
                    <w:spacing w:val="-6"/>
                    <w:sz w:val="18"/>
                  </w:rPr>
                  <w:t xml:space="preserve"> </w:t>
                </w:r>
                <w:r>
                  <w:rPr>
                    <w:i/>
                    <w:sz w:val="18"/>
                  </w:rPr>
                  <w:t>and</w:t>
                </w:r>
                <w:r>
                  <w:rPr>
                    <w:i/>
                    <w:spacing w:val="-5"/>
                    <w:sz w:val="18"/>
                  </w:rPr>
                  <w:t xml:space="preserve"> </w:t>
                </w:r>
                <w:r>
                  <w:rPr>
                    <w:i/>
                    <w:sz w:val="18"/>
                  </w:rPr>
                  <w:t>Tubes</w:t>
                </w:r>
                <w:r>
                  <w:rPr>
                    <w:sz w:val="18"/>
                  </w:rPr>
                  <w:t>,</w:t>
                </w:r>
                <w:r>
                  <w:rPr>
                    <w:spacing w:val="-6"/>
                    <w:sz w:val="18"/>
                  </w:rPr>
                  <w:t xml:space="preserve"> </w:t>
                </w:r>
                <w:r>
                  <w:rPr>
                    <w:sz w:val="18"/>
                  </w:rPr>
                  <w:t>para.</w:t>
                </w:r>
                <w:r>
                  <w:rPr>
                    <w:spacing w:val="-5"/>
                    <w:sz w:val="18"/>
                  </w:rPr>
                  <w:t xml:space="preserve"> </w:t>
                </w:r>
                <w:r>
                  <w:rPr>
                    <w:spacing w:val="-4"/>
                    <w:sz w:val="18"/>
                  </w:rPr>
                  <w:t>7.5.</w:t>
                </w:r>
              </w:p>
            </w:txbxContent>
          </v:textbox>
          <w10:wrap anchorx="page" anchory="page"/>
        </v:shape>
      </w:pict>
    </w:r>
    <w:r>
      <w:pict w14:anchorId="51DEAABD">
        <v:shape id="docshape71" o:spid="_x0000_s2385" type="#_x0000_t202" style="position:absolute;margin-left:512.25pt;margin-top:791.6pt;width:13.2pt;height:13pt;z-index:-25281024;mso-position-horizontal-relative:page;mso-position-vertical-relative:page" filled="f" stroked="f">
          <v:textbox inset="0,0,0,0">
            <w:txbxContent>
              <w:p w14:paraId="51DEACB8" w14:textId="77777777" w:rsidR="0010369C" w:rsidRDefault="008E43AE">
                <w:pPr>
                  <w:spacing w:line="244" w:lineRule="exact"/>
                  <w:ind w:left="20"/>
                </w:pPr>
                <w:r>
                  <w:rPr>
                    <w:spacing w:val="-5"/>
                  </w:rPr>
                  <w:t>43</w:t>
                </w:r>
              </w:p>
            </w:txbxContent>
          </v:textbox>
          <w10:wrap anchorx="page" anchory="page"/>
        </v:shape>
      </w:pic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DEA9D0" w14:textId="77777777" w:rsidR="0010369C" w:rsidRDefault="0010369C">
    <w:pPr>
      <w:pStyle w:val="BodyText"/>
      <w:spacing w:line="14" w:lineRule="auto"/>
      <w:rPr>
        <w:sz w:val="2"/>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DEA9D2" w14:textId="77777777" w:rsidR="0010369C" w:rsidRDefault="008E43AE">
    <w:pPr>
      <w:pStyle w:val="BodyText"/>
      <w:spacing w:line="14" w:lineRule="auto"/>
      <w:rPr>
        <w:sz w:val="20"/>
      </w:rPr>
    </w:pPr>
    <w:r>
      <w:pict w14:anchorId="51DEAAC0">
        <v:shapetype id="_x0000_t202" coordsize="21600,21600" o:spt="202" path="m,l,21600r21600,l21600,xe">
          <v:stroke joinstyle="miter"/>
          <v:path gradientshapeok="t" o:connecttype="rect"/>
        </v:shapetype>
        <v:shape id="docshape80" o:spid="_x0000_s2382" type="#_x0000_t202" style="position:absolute;margin-left:510.25pt;margin-top:791.6pt;width:18.2pt;height:13pt;z-index:-25279488;mso-position-horizontal-relative:page;mso-position-vertical-relative:page" filled="f" stroked="f">
          <v:textbox inset="0,0,0,0">
            <w:txbxContent>
              <w:p w14:paraId="51DEACBA" w14:textId="77777777" w:rsidR="0010369C" w:rsidRDefault="008E43AE">
                <w:pPr>
                  <w:spacing w:line="244" w:lineRule="exact"/>
                  <w:ind w:left="60"/>
                </w:pPr>
                <w:r>
                  <w:rPr>
                    <w:spacing w:val="-5"/>
                  </w:rPr>
                  <w:fldChar w:fldCharType="begin"/>
                </w:r>
                <w:r>
                  <w:rPr>
                    <w:spacing w:val="-5"/>
                  </w:rPr>
                  <w:instrText xml:space="preserve"> PAGE </w:instrText>
                </w:r>
                <w:r>
                  <w:rPr>
                    <w:spacing w:val="-5"/>
                  </w:rPr>
                  <w:fldChar w:fldCharType="separate"/>
                </w:r>
                <w:r>
                  <w:rPr>
                    <w:spacing w:val="-5"/>
                  </w:rPr>
                  <w:t>45</w:t>
                </w:r>
                <w:r>
                  <w:rPr>
                    <w:spacing w:val="-5"/>
                  </w:rPr>
                  <w:fldChar w:fldCharType="end"/>
                </w:r>
              </w:p>
            </w:txbxContent>
          </v:textbox>
          <w10:wrap anchorx="page" anchory="page"/>
        </v:shape>
      </w:pic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DEA9D4" w14:textId="77777777" w:rsidR="0010369C" w:rsidRDefault="008E43AE">
    <w:pPr>
      <w:pStyle w:val="BodyText"/>
      <w:spacing w:line="14" w:lineRule="auto"/>
      <w:rPr>
        <w:sz w:val="20"/>
      </w:rPr>
    </w:pPr>
    <w:r>
      <w:pict w14:anchorId="51DEAAC1">
        <v:shapetype id="_x0000_t202" coordsize="21600,21600" o:spt="202" path="m,l,21600r21600,l21600,xe">
          <v:stroke joinstyle="miter"/>
          <v:path gradientshapeok="t" o:connecttype="rect"/>
        </v:shapetype>
        <v:shape id="docshape96" o:spid="_x0000_s2381" type="#_x0000_t202" style="position:absolute;margin-left:510.25pt;margin-top:791.6pt;width:18.2pt;height:13pt;z-index:-25278976;mso-position-horizontal-relative:page;mso-position-vertical-relative:page" filled="f" stroked="f">
          <v:textbox inset="0,0,0,0">
            <w:txbxContent>
              <w:p w14:paraId="51DEACBB" w14:textId="77777777" w:rsidR="0010369C" w:rsidRDefault="008E43AE">
                <w:pPr>
                  <w:spacing w:line="244" w:lineRule="exact"/>
                  <w:ind w:left="60"/>
                </w:pPr>
                <w:r>
                  <w:rPr>
                    <w:spacing w:val="-5"/>
                  </w:rPr>
                  <w:fldChar w:fldCharType="begin"/>
                </w:r>
                <w:r>
                  <w:rPr>
                    <w:spacing w:val="-5"/>
                  </w:rPr>
                  <w:instrText xml:space="preserve"> PAGE </w:instrText>
                </w:r>
                <w:r>
                  <w:rPr>
                    <w:spacing w:val="-5"/>
                  </w:rPr>
                  <w:fldChar w:fldCharType="separate"/>
                </w:r>
                <w:r>
                  <w:rPr>
                    <w:spacing w:val="-5"/>
                  </w:rPr>
                  <w:t>60</w:t>
                </w:r>
                <w:r>
                  <w:rPr>
                    <w:spacing w:val="-5"/>
                  </w:rPr>
                  <w:fldChar w:fldCharType="end"/>
                </w:r>
              </w:p>
            </w:txbxContent>
          </v:textbox>
          <w10:wrap anchorx="page" anchory="page"/>
        </v:shape>
      </w:pic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DEA9D6" w14:textId="77777777" w:rsidR="0010369C" w:rsidRDefault="008E43AE">
    <w:pPr>
      <w:pStyle w:val="BodyText"/>
      <w:spacing w:line="14" w:lineRule="auto"/>
      <w:rPr>
        <w:sz w:val="20"/>
      </w:rPr>
    </w:pPr>
    <w:r>
      <w:pict w14:anchorId="51DEAAC4">
        <v:shapetype id="_x0000_t202" coordsize="21600,21600" o:spt="202" path="m,l,21600r21600,l21600,xe">
          <v:stroke joinstyle="miter"/>
          <v:path gradientshapeok="t" o:connecttype="rect"/>
        </v:shapetype>
        <v:shape id="docshape101" o:spid="_x0000_s2378" type="#_x0000_t202" style="position:absolute;margin-left:510.25pt;margin-top:791.6pt;width:18.2pt;height:13pt;z-index:-25277440;mso-position-horizontal-relative:page;mso-position-vertical-relative:page" filled="f" stroked="f">
          <v:textbox inset="0,0,0,0">
            <w:txbxContent>
              <w:p w14:paraId="51DEACBD" w14:textId="77777777" w:rsidR="0010369C" w:rsidRDefault="008E43AE">
                <w:pPr>
                  <w:spacing w:line="244" w:lineRule="exact"/>
                  <w:ind w:left="60"/>
                </w:pPr>
                <w:r>
                  <w:rPr>
                    <w:spacing w:val="-5"/>
                  </w:rPr>
                  <w:fldChar w:fldCharType="begin"/>
                </w:r>
                <w:r>
                  <w:rPr>
                    <w:spacing w:val="-5"/>
                  </w:rPr>
                  <w:instrText xml:space="preserve"> PAGE </w:instrText>
                </w:r>
                <w:r>
                  <w:rPr>
                    <w:spacing w:val="-5"/>
                  </w:rPr>
                  <w:fldChar w:fldCharType="separate"/>
                </w:r>
                <w:r>
                  <w:rPr>
                    <w:spacing w:val="-5"/>
                  </w:rPr>
                  <w:t>61</w:t>
                </w:r>
                <w:r>
                  <w:rPr>
                    <w:spacing w:val="-5"/>
                  </w:rPr>
                  <w:fldChar w:fldCharType="end"/>
                </w:r>
              </w:p>
            </w:txbxContent>
          </v:textbox>
          <w10:wrap anchorx="page" anchory="page"/>
        </v:shape>
      </w:pic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DEA9D8" w14:textId="77777777" w:rsidR="0010369C" w:rsidRDefault="008E43AE">
    <w:pPr>
      <w:pStyle w:val="BodyText"/>
      <w:spacing w:line="14" w:lineRule="auto"/>
      <w:rPr>
        <w:sz w:val="20"/>
      </w:rPr>
    </w:pPr>
    <w:r>
      <w:pict w14:anchorId="51DEAAC9">
        <v:shapetype id="_x0000_t202" coordsize="21600,21600" o:spt="202" path="m,l,21600r21600,l21600,xe">
          <v:stroke joinstyle="miter"/>
          <v:path gradientshapeok="t" o:connecttype="rect"/>
        </v:shapetype>
        <v:shape id="docshape110" o:spid="_x0000_s2373" type="#_x0000_t202" style="position:absolute;margin-left:510.25pt;margin-top:791.6pt;width:18.2pt;height:13pt;z-index:-25274880;mso-position-horizontal-relative:page;mso-position-vertical-relative:page" filled="f" stroked="f">
          <v:textbox inset="0,0,0,0">
            <w:txbxContent>
              <w:p w14:paraId="51DEACC1" w14:textId="77777777" w:rsidR="0010369C" w:rsidRDefault="008E43AE">
                <w:pPr>
                  <w:spacing w:line="244" w:lineRule="exact"/>
                  <w:ind w:left="60"/>
                </w:pPr>
                <w:r>
                  <w:rPr>
                    <w:spacing w:val="-5"/>
                  </w:rPr>
                  <w:fldChar w:fldCharType="begin"/>
                </w:r>
                <w:r>
                  <w:rPr>
                    <w:spacing w:val="-5"/>
                  </w:rPr>
                  <w:instrText xml:space="preserve"> PAGE </w:instrText>
                </w:r>
                <w:r>
                  <w:rPr>
                    <w:spacing w:val="-5"/>
                  </w:rPr>
                  <w:fldChar w:fldCharType="separate"/>
                </w:r>
                <w:r>
                  <w:rPr>
                    <w:spacing w:val="-5"/>
                  </w:rPr>
                  <w:t>66</w:t>
                </w:r>
                <w:r>
                  <w:rPr>
                    <w:spacing w:val="-5"/>
                  </w:rPr>
                  <w:fldChar w:fldCharType="end"/>
                </w:r>
              </w:p>
            </w:txbxContent>
          </v:textbox>
          <w10:wrap anchorx="page" anchory="page"/>
        </v:shape>
      </w:pic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DEA9DA" w14:textId="77777777" w:rsidR="0010369C" w:rsidRDefault="008E43AE">
    <w:pPr>
      <w:pStyle w:val="BodyText"/>
      <w:spacing w:line="14" w:lineRule="auto"/>
      <w:rPr>
        <w:sz w:val="20"/>
      </w:rPr>
    </w:pPr>
    <w:r>
      <w:pict w14:anchorId="51DEAACC">
        <v:shapetype id="_x0000_t202" coordsize="21600,21600" o:spt="202" path="m,l,21600r21600,l21600,xe">
          <v:stroke joinstyle="miter"/>
          <v:path gradientshapeok="t" o:connecttype="rect"/>
        </v:shapetype>
        <v:shape id="docshape143" o:spid="_x0000_s2370" type="#_x0000_t202" style="position:absolute;margin-left:510.25pt;margin-top:791.6pt;width:18.2pt;height:13pt;z-index:-25273344;mso-position-horizontal-relative:page;mso-position-vertical-relative:page" filled="f" stroked="f">
          <v:textbox inset="0,0,0,0">
            <w:txbxContent>
              <w:p w14:paraId="51DEACC3" w14:textId="77777777" w:rsidR="0010369C" w:rsidRDefault="008E43AE">
                <w:pPr>
                  <w:spacing w:line="244" w:lineRule="exact"/>
                  <w:ind w:left="60"/>
                </w:pPr>
                <w:r>
                  <w:rPr>
                    <w:spacing w:val="-5"/>
                  </w:rPr>
                  <w:fldChar w:fldCharType="begin"/>
                </w:r>
                <w:r>
                  <w:rPr>
                    <w:spacing w:val="-5"/>
                  </w:rPr>
                  <w:instrText xml:space="preserve"> PAGE </w:instrText>
                </w:r>
                <w:r>
                  <w:rPr>
                    <w:spacing w:val="-5"/>
                  </w:rPr>
                  <w:fldChar w:fldCharType="separate"/>
                </w:r>
                <w:r>
                  <w:rPr>
                    <w:spacing w:val="-5"/>
                  </w:rPr>
                  <w:t>69</w:t>
                </w:r>
                <w:r>
                  <w:rPr>
                    <w:spacing w:val="-5"/>
                  </w:rPr>
                  <w:fldChar w:fldCharType="end"/>
                </w:r>
              </w:p>
            </w:txbxContent>
          </v:textbox>
          <w10:wrap anchorx="page" anchory="page"/>
        </v:shape>
      </w:pic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DEA9DC" w14:textId="77777777" w:rsidR="0010369C" w:rsidRDefault="008E43AE">
    <w:pPr>
      <w:pStyle w:val="BodyText"/>
      <w:spacing w:line="14" w:lineRule="auto"/>
      <w:rPr>
        <w:sz w:val="20"/>
      </w:rPr>
    </w:pPr>
    <w:r>
      <w:pict w14:anchorId="51DEAACD">
        <v:shapetype id="_x0000_t202" coordsize="21600,21600" o:spt="202" path="m,l,21600r21600,l21600,xe">
          <v:stroke joinstyle="miter"/>
          <v:path gradientshapeok="t" o:connecttype="rect"/>
        </v:shapetype>
        <v:shape id="docshape363" o:spid="_x0000_s2369" type="#_x0000_t202" style="position:absolute;margin-left:510.25pt;margin-top:791.6pt;width:18.2pt;height:13pt;z-index:-25272832;mso-position-horizontal-relative:page;mso-position-vertical-relative:page" filled="f" stroked="f">
          <v:textbox inset="0,0,0,0">
            <w:txbxContent>
              <w:p w14:paraId="51DEACC4" w14:textId="77777777" w:rsidR="0010369C" w:rsidRDefault="008E43AE">
                <w:pPr>
                  <w:spacing w:line="244" w:lineRule="exact"/>
                  <w:ind w:left="60"/>
                </w:pPr>
                <w:r>
                  <w:rPr>
                    <w:spacing w:val="-5"/>
                  </w:rPr>
                  <w:fldChar w:fldCharType="begin"/>
                </w:r>
                <w:r>
                  <w:rPr>
                    <w:spacing w:val="-5"/>
                  </w:rPr>
                  <w:instrText xml:space="preserve"> PAGE </w:instrText>
                </w:r>
                <w:r>
                  <w:rPr>
                    <w:spacing w:val="-5"/>
                  </w:rPr>
                  <w:fldChar w:fldCharType="separate"/>
                </w:r>
                <w:r>
                  <w:rPr>
                    <w:spacing w:val="-5"/>
                  </w:rPr>
                  <w:t>93</w:t>
                </w:r>
                <w:r>
                  <w:rPr>
                    <w:spacing w:val="-5"/>
                  </w:rP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DEA9BA" w14:textId="77777777" w:rsidR="0010369C" w:rsidRDefault="008E43AE">
    <w:pPr>
      <w:pStyle w:val="BodyText"/>
      <w:spacing w:line="14" w:lineRule="auto"/>
      <w:rPr>
        <w:sz w:val="20"/>
      </w:rPr>
    </w:pPr>
    <w:r>
      <w:pict w14:anchorId="51DEAAA8">
        <v:shapetype id="_x0000_t202" coordsize="21600,21600" o:spt="202" path="m,l,21600r21600,l21600,xe">
          <v:stroke joinstyle="miter"/>
          <v:path gradientshapeok="t" o:connecttype="rect"/>
        </v:shapetype>
        <v:shape id="docshape6" o:spid="_x0000_s2406" type="#_x0000_t202" style="position:absolute;margin-left:511pt;margin-top:789.7pt;width:20.4pt;height:14.5pt;z-index:-25291776;mso-position-horizontal-relative:page;mso-position-vertical-relative:page" filled="f" stroked="f">
          <v:textbox inset="0,0,0,0">
            <w:txbxContent>
              <w:p w14:paraId="51DEACA9" w14:textId="77777777" w:rsidR="0010369C" w:rsidRDefault="008E43AE">
                <w:pPr>
                  <w:spacing w:before="20"/>
                  <w:ind w:left="60"/>
                  <w:rPr>
                    <w:rFonts w:ascii="Courier New"/>
                  </w:rPr>
                </w:pPr>
                <w:r>
                  <w:rPr>
                    <w:rFonts w:ascii="Courier New"/>
                    <w:color w:val="131313"/>
                    <w:spacing w:val="-5"/>
                  </w:rPr>
                  <w:fldChar w:fldCharType="begin"/>
                </w:r>
                <w:r>
                  <w:rPr>
                    <w:rFonts w:ascii="Courier New"/>
                    <w:color w:val="131313"/>
                    <w:spacing w:val="-5"/>
                  </w:rPr>
                  <w:instrText xml:space="preserve"> PAGE </w:instrText>
                </w:r>
                <w:r>
                  <w:rPr>
                    <w:rFonts w:ascii="Courier New"/>
                    <w:color w:val="131313"/>
                    <w:spacing w:val="-5"/>
                  </w:rPr>
                  <w:fldChar w:fldCharType="separate"/>
                </w:r>
                <w:r>
                  <w:rPr>
                    <w:rFonts w:ascii="Courier New"/>
                    <w:color w:val="131313"/>
                    <w:spacing w:val="-5"/>
                  </w:rPr>
                  <w:t>12</w:t>
                </w:r>
                <w:r>
                  <w:rPr>
                    <w:rFonts w:ascii="Courier New"/>
                    <w:color w:val="131313"/>
                    <w:spacing w:val="-5"/>
                  </w:rPr>
                  <w:fldChar w:fldCharType="end"/>
                </w:r>
              </w:p>
            </w:txbxContent>
          </v:textbox>
          <w10:wrap anchorx="page" anchory="page"/>
        </v:shape>
      </w:pic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DEA9DE" w14:textId="77777777" w:rsidR="0010369C" w:rsidRDefault="008E43AE">
    <w:pPr>
      <w:pStyle w:val="BodyText"/>
      <w:spacing w:line="14" w:lineRule="auto"/>
      <w:rPr>
        <w:sz w:val="20"/>
      </w:rPr>
    </w:pPr>
    <w:r>
      <w:pict w14:anchorId="51DEAAD0">
        <v:shapetype id="_x0000_t202" coordsize="21600,21600" o:spt="202" path="m,l,21600r21600,l21600,xe">
          <v:stroke joinstyle="miter"/>
          <v:path gradientshapeok="t" o:connecttype="rect"/>
        </v:shapetype>
        <v:shape id="docshape378" o:spid="_x0000_s2366" type="#_x0000_t202" style="position:absolute;margin-left:510.25pt;margin-top:791.6pt;width:18.2pt;height:13pt;z-index:-25271296;mso-position-horizontal-relative:page;mso-position-vertical-relative:page" filled="f" stroked="f">
          <v:textbox inset="0,0,0,0">
            <w:txbxContent>
              <w:p w14:paraId="51DEACC6" w14:textId="77777777" w:rsidR="0010369C" w:rsidRDefault="008E43AE">
                <w:pPr>
                  <w:spacing w:line="244" w:lineRule="exact"/>
                  <w:ind w:left="60"/>
                </w:pPr>
                <w:r>
                  <w:rPr>
                    <w:spacing w:val="-5"/>
                  </w:rPr>
                  <w:fldChar w:fldCharType="begin"/>
                </w:r>
                <w:r>
                  <w:rPr>
                    <w:spacing w:val="-5"/>
                  </w:rPr>
                  <w:instrText xml:space="preserve"> PAGE </w:instrText>
                </w:r>
                <w:r>
                  <w:rPr>
                    <w:spacing w:val="-5"/>
                  </w:rPr>
                  <w:fldChar w:fldCharType="separate"/>
                </w:r>
                <w:r>
                  <w:rPr>
                    <w:spacing w:val="-5"/>
                  </w:rPr>
                  <w:t>94</w:t>
                </w:r>
                <w:r>
                  <w:rPr>
                    <w:spacing w:val="-5"/>
                  </w:rPr>
                  <w:fldChar w:fldCharType="end"/>
                </w:r>
              </w:p>
            </w:txbxContent>
          </v:textbox>
          <w10:wrap anchorx="page" anchory="page"/>
        </v:shape>
      </w:pic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DEA9E0" w14:textId="77777777" w:rsidR="0010369C" w:rsidRDefault="008E43AE">
    <w:pPr>
      <w:pStyle w:val="BodyText"/>
      <w:spacing w:line="14" w:lineRule="auto"/>
      <w:rPr>
        <w:sz w:val="20"/>
      </w:rPr>
    </w:pPr>
    <w:r>
      <w:pict w14:anchorId="51DEAAD3">
        <v:rect id="docshape387" o:spid="_x0000_s2363" style="position:absolute;margin-left:70.9pt;margin-top:709.8pt;width:2in;height:.8pt;z-index:-25269760;mso-position-horizontal-relative:page;mso-position-vertical-relative:page" fillcolor="black" stroked="f">
          <w10:wrap anchorx="page" anchory="page"/>
        </v:rect>
      </w:pict>
    </w:r>
    <w:r>
      <w:pict w14:anchorId="51DEAAD4">
        <v:shapetype id="_x0000_t202" coordsize="21600,21600" o:spt="202" path="m,l,21600r21600,l21600,xe">
          <v:stroke joinstyle="miter"/>
          <v:path gradientshapeok="t" o:connecttype="rect"/>
        </v:shapetype>
        <v:shape id="docshape388" o:spid="_x0000_s2362" type="#_x0000_t202" style="position:absolute;margin-left:69.9pt;margin-top:760.1pt;width:220.7pt;height:11.75pt;z-index:-25269248;mso-position-horizontal-relative:page;mso-position-vertical-relative:page" filled="f" stroked="f">
          <v:textbox inset="0,0,0,0">
            <w:txbxContent>
              <w:p w14:paraId="51DEACC8" w14:textId="77777777" w:rsidR="0010369C" w:rsidRDefault="008E43AE">
                <w:pPr>
                  <w:spacing w:line="218" w:lineRule="exact"/>
                  <w:ind w:left="20"/>
                  <w:rPr>
                    <w:sz w:val="18"/>
                  </w:rPr>
                </w:pPr>
                <w:r>
                  <w:rPr>
                    <w:sz w:val="18"/>
                    <w:vertAlign w:val="superscript"/>
                  </w:rPr>
                  <w:t>236</w:t>
                </w:r>
                <w:r>
                  <w:rPr>
                    <w:spacing w:val="-9"/>
                    <w:sz w:val="18"/>
                  </w:rPr>
                  <w:t xml:space="preserve"> </w:t>
                </w:r>
                <w:r>
                  <w:rPr>
                    <w:sz w:val="18"/>
                  </w:rPr>
                  <w:t>Anti‐Dumping</w:t>
                </w:r>
                <w:r>
                  <w:rPr>
                    <w:spacing w:val="-9"/>
                    <w:sz w:val="18"/>
                  </w:rPr>
                  <w:t xml:space="preserve"> </w:t>
                </w:r>
                <w:r>
                  <w:rPr>
                    <w:sz w:val="18"/>
                  </w:rPr>
                  <w:t>Final</w:t>
                </w:r>
                <w:r>
                  <w:rPr>
                    <w:spacing w:val="-9"/>
                    <w:sz w:val="18"/>
                  </w:rPr>
                  <w:t xml:space="preserve"> </w:t>
                </w:r>
                <w:r>
                  <w:rPr>
                    <w:sz w:val="18"/>
                  </w:rPr>
                  <w:t>Determination</w:t>
                </w:r>
                <w:r>
                  <w:rPr>
                    <w:spacing w:val="-8"/>
                    <w:sz w:val="18"/>
                  </w:rPr>
                  <w:t xml:space="preserve"> </w:t>
                </w:r>
                <w:r>
                  <w:rPr>
                    <w:sz w:val="18"/>
                  </w:rPr>
                  <w:t>(Exhibit</w:t>
                </w:r>
                <w:r>
                  <w:rPr>
                    <w:spacing w:val="-9"/>
                    <w:sz w:val="18"/>
                  </w:rPr>
                  <w:t xml:space="preserve"> </w:t>
                </w:r>
                <w:r>
                  <w:rPr>
                    <w:sz w:val="18"/>
                  </w:rPr>
                  <w:t>AUS‐2),</w:t>
                </w:r>
                <w:r>
                  <w:rPr>
                    <w:spacing w:val="-9"/>
                    <w:sz w:val="18"/>
                  </w:rPr>
                  <w:t xml:space="preserve"> </w:t>
                </w:r>
                <w:r>
                  <w:rPr>
                    <w:sz w:val="18"/>
                  </w:rPr>
                  <w:t>p.</w:t>
                </w:r>
                <w:r>
                  <w:rPr>
                    <w:spacing w:val="-9"/>
                    <w:sz w:val="18"/>
                  </w:rPr>
                  <w:t xml:space="preserve"> </w:t>
                </w:r>
                <w:r>
                  <w:rPr>
                    <w:spacing w:val="-5"/>
                    <w:sz w:val="18"/>
                  </w:rPr>
                  <w:t>60.</w:t>
                </w:r>
              </w:p>
            </w:txbxContent>
          </v:textbox>
          <w10:wrap anchorx="page" anchory="page"/>
        </v:shape>
      </w:pict>
    </w:r>
    <w:r>
      <w:pict w14:anchorId="51DEAAD5">
        <v:shape id="docshape389" o:spid="_x0000_s2361" type="#_x0000_t202" style="position:absolute;margin-left:510.25pt;margin-top:791.6pt;width:18.2pt;height:13pt;z-index:-25268736;mso-position-horizontal-relative:page;mso-position-vertical-relative:page" filled="f" stroked="f">
          <v:textbox inset="0,0,0,0">
            <w:txbxContent>
              <w:p w14:paraId="51DEACC9" w14:textId="77777777" w:rsidR="0010369C" w:rsidRDefault="008E43AE">
                <w:pPr>
                  <w:spacing w:line="244" w:lineRule="exact"/>
                  <w:ind w:left="60"/>
                </w:pPr>
                <w:r>
                  <w:rPr>
                    <w:spacing w:val="-5"/>
                  </w:rPr>
                  <w:fldChar w:fldCharType="begin"/>
                </w:r>
                <w:r>
                  <w:rPr>
                    <w:spacing w:val="-5"/>
                  </w:rPr>
                  <w:instrText xml:space="preserve"> PAGE </w:instrText>
                </w:r>
                <w:r>
                  <w:rPr>
                    <w:spacing w:val="-5"/>
                  </w:rPr>
                  <w:fldChar w:fldCharType="separate"/>
                </w:r>
                <w:r>
                  <w:rPr>
                    <w:spacing w:val="-5"/>
                  </w:rPr>
                  <w:t>96</w:t>
                </w:r>
                <w:r>
                  <w:rPr>
                    <w:spacing w:val="-5"/>
                  </w:rPr>
                  <w:fldChar w:fldCharType="end"/>
                </w:r>
              </w:p>
            </w:txbxContent>
          </v:textbox>
          <w10:wrap anchorx="page" anchory="page"/>
        </v:shape>
      </w:pic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DEA9E2" w14:textId="77777777" w:rsidR="0010369C" w:rsidRDefault="008E43AE">
    <w:pPr>
      <w:pStyle w:val="BodyText"/>
      <w:spacing w:line="14" w:lineRule="auto"/>
      <w:rPr>
        <w:sz w:val="20"/>
      </w:rPr>
    </w:pPr>
    <w:r>
      <w:pict w14:anchorId="51DEAAD8">
        <v:shapetype id="_x0000_t202" coordsize="21600,21600" o:spt="202" path="m,l,21600r21600,l21600,xe">
          <v:stroke joinstyle="miter"/>
          <v:path gradientshapeok="t" o:connecttype="rect"/>
        </v:shapetype>
        <v:shape id="docshape392" o:spid="_x0000_s2358" type="#_x0000_t202" style="position:absolute;margin-left:504.65pt;margin-top:791.6pt;width:23.75pt;height:13pt;z-index:-25267200;mso-position-horizontal-relative:page;mso-position-vertical-relative:page" filled="f" stroked="f">
          <v:textbox inset="0,0,0,0">
            <w:txbxContent>
              <w:p w14:paraId="51DEACCB" w14:textId="77777777" w:rsidR="0010369C" w:rsidRDefault="008E43AE">
                <w:pPr>
                  <w:spacing w:line="244" w:lineRule="exact"/>
                  <w:ind w:left="60"/>
                </w:pPr>
                <w:r>
                  <w:rPr>
                    <w:spacing w:val="-5"/>
                  </w:rPr>
                  <w:fldChar w:fldCharType="begin"/>
                </w:r>
                <w:r>
                  <w:rPr>
                    <w:spacing w:val="-5"/>
                  </w:rPr>
                  <w:instrText xml:space="preserve"> PAGE </w:instrText>
                </w:r>
                <w:r>
                  <w:rPr>
                    <w:spacing w:val="-5"/>
                  </w:rPr>
                  <w:fldChar w:fldCharType="separate"/>
                </w:r>
                <w:r>
                  <w:rPr>
                    <w:spacing w:val="-5"/>
                  </w:rPr>
                  <w:t>100</w:t>
                </w:r>
                <w:r>
                  <w:rPr>
                    <w:spacing w:val="-5"/>
                  </w:rPr>
                  <w:fldChar w:fldCharType="end"/>
                </w:r>
              </w:p>
            </w:txbxContent>
          </v:textbox>
          <w10:wrap anchorx="page" anchory="page"/>
        </v:shape>
      </w:pic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DEA9E4" w14:textId="77777777" w:rsidR="0010369C" w:rsidRDefault="008E43AE">
    <w:pPr>
      <w:pStyle w:val="BodyText"/>
      <w:spacing w:line="14" w:lineRule="auto"/>
      <w:rPr>
        <w:sz w:val="20"/>
      </w:rPr>
    </w:pPr>
    <w:r>
      <w:pict w14:anchorId="51DEAAD9">
        <v:shapetype id="_x0000_t202" coordsize="21600,21600" o:spt="202" path="m,l,21600r21600,l21600,xe">
          <v:stroke joinstyle="miter"/>
          <v:path gradientshapeok="t" o:connecttype="rect"/>
        </v:shapetype>
        <v:shape id="docshape556" o:spid="_x0000_s2357" type="#_x0000_t202" style="position:absolute;margin-left:504.65pt;margin-top:791.6pt;width:23.75pt;height:13pt;z-index:-25266688;mso-position-horizontal-relative:page;mso-position-vertical-relative:page" filled="f" stroked="f">
          <v:textbox inset="0,0,0,0">
            <w:txbxContent>
              <w:p w14:paraId="51DEACCC" w14:textId="77777777" w:rsidR="0010369C" w:rsidRDefault="008E43AE">
                <w:pPr>
                  <w:spacing w:line="244" w:lineRule="exact"/>
                  <w:ind w:left="60"/>
                </w:pPr>
                <w:r>
                  <w:rPr>
                    <w:spacing w:val="-5"/>
                  </w:rPr>
                  <w:fldChar w:fldCharType="begin"/>
                </w:r>
                <w:r>
                  <w:rPr>
                    <w:spacing w:val="-5"/>
                  </w:rPr>
                  <w:instrText xml:space="preserve"> PAGE </w:instrText>
                </w:r>
                <w:r>
                  <w:rPr>
                    <w:spacing w:val="-5"/>
                  </w:rPr>
                  <w:fldChar w:fldCharType="separate"/>
                </w:r>
                <w:r>
                  <w:rPr>
                    <w:spacing w:val="-5"/>
                  </w:rPr>
                  <w:t>112</w:t>
                </w:r>
                <w:r>
                  <w:rPr>
                    <w:spacing w:val="-5"/>
                  </w:rPr>
                  <w:fldChar w:fldCharType="end"/>
                </w:r>
              </w:p>
            </w:txbxContent>
          </v:textbox>
          <w10:wrap anchorx="page" anchory="page"/>
        </v:shape>
      </w:pic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DEA9E6" w14:textId="77777777" w:rsidR="0010369C" w:rsidRDefault="008E43AE">
    <w:pPr>
      <w:pStyle w:val="BodyText"/>
      <w:spacing w:line="14" w:lineRule="auto"/>
      <w:rPr>
        <w:sz w:val="20"/>
      </w:rPr>
    </w:pPr>
    <w:r>
      <w:pict w14:anchorId="51DEAADC">
        <v:shapetype id="_x0000_t202" coordsize="21600,21600" o:spt="202" path="m,l,21600r21600,l21600,xe">
          <v:stroke joinstyle="miter"/>
          <v:path gradientshapeok="t" o:connecttype="rect"/>
        </v:shapetype>
        <v:shape id="docshape567" o:spid="_x0000_s2354" type="#_x0000_t202" style="position:absolute;margin-left:504.65pt;margin-top:791.6pt;width:23.75pt;height:13pt;z-index:-25265152;mso-position-horizontal-relative:page;mso-position-vertical-relative:page" filled="f" stroked="f">
          <v:textbox inset="0,0,0,0">
            <w:txbxContent>
              <w:p w14:paraId="51DEACCE" w14:textId="77777777" w:rsidR="0010369C" w:rsidRDefault="008E43AE">
                <w:pPr>
                  <w:spacing w:line="244" w:lineRule="exact"/>
                  <w:ind w:left="60"/>
                </w:pPr>
                <w:r>
                  <w:rPr>
                    <w:spacing w:val="-5"/>
                  </w:rPr>
                  <w:fldChar w:fldCharType="begin"/>
                </w:r>
                <w:r>
                  <w:rPr>
                    <w:spacing w:val="-5"/>
                  </w:rPr>
                  <w:instrText xml:space="preserve"> PAGE </w:instrText>
                </w:r>
                <w:r>
                  <w:rPr>
                    <w:spacing w:val="-5"/>
                  </w:rPr>
                  <w:fldChar w:fldCharType="separate"/>
                </w:r>
                <w:r>
                  <w:rPr>
                    <w:spacing w:val="-5"/>
                  </w:rPr>
                  <w:t>113</w:t>
                </w:r>
                <w:r>
                  <w:rPr>
                    <w:spacing w:val="-5"/>
                  </w:rPr>
                  <w:fldChar w:fldCharType="end"/>
                </w:r>
              </w:p>
            </w:txbxContent>
          </v:textbox>
          <w10:wrap anchorx="page" anchory="page"/>
        </v:shape>
      </w:pic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DEA9E8" w14:textId="77777777" w:rsidR="0010369C" w:rsidRDefault="008E43AE">
    <w:pPr>
      <w:pStyle w:val="BodyText"/>
      <w:spacing w:line="14" w:lineRule="auto"/>
      <w:rPr>
        <w:sz w:val="20"/>
      </w:rPr>
    </w:pPr>
    <w:r>
      <w:pict w14:anchorId="51DEAADF">
        <v:rect id="docshape581" o:spid="_x0000_s2351" style="position:absolute;margin-left:88.7pt;margin-top:738.4pt;width:318.05pt;height:12.05pt;z-index:-25263616;mso-position-horizontal-relative:page;mso-position-vertical-relative:page" fillcolor="black" stroked="f">
          <w10:wrap anchorx="page" anchory="page"/>
        </v:rect>
      </w:pict>
    </w:r>
    <w:r>
      <w:pict w14:anchorId="51DEAAE0">
        <v:rect id="docshape582" o:spid="_x0000_s2350" style="position:absolute;margin-left:70.9pt;margin-top:731.8pt;width:2in;height:.8pt;z-index:-25263104;mso-position-horizontal-relative:page;mso-position-vertical-relative:page" fillcolor="black" stroked="f">
          <w10:wrap anchorx="page" anchory="page"/>
        </v:rect>
      </w:pict>
    </w:r>
    <w:r>
      <w:pict w14:anchorId="51DEAAE1">
        <v:shapetype id="_x0000_t202" coordsize="21600,21600" o:spt="202" path="m,l,21600r21600,l21600,xe">
          <v:stroke joinstyle="miter"/>
          <v:path gradientshapeok="t" o:connecttype="rect"/>
        </v:shapetype>
        <v:shape id="docshape583" o:spid="_x0000_s2349" type="#_x0000_t202" style="position:absolute;margin-left:69.9pt;margin-top:760.1pt;width:328.95pt;height:11.75pt;z-index:-25262592;mso-position-horizontal-relative:page;mso-position-vertical-relative:page" filled="f" stroked="f">
          <v:textbox inset="0,0,0,0">
            <w:txbxContent>
              <w:p w14:paraId="51DEACD0" w14:textId="77777777" w:rsidR="0010369C" w:rsidRDefault="008E43AE">
                <w:pPr>
                  <w:spacing w:line="218" w:lineRule="exact"/>
                  <w:ind w:left="20"/>
                  <w:rPr>
                    <w:sz w:val="18"/>
                  </w:rPr>
                </w:pPr>
                <w:r>
                  <w:rPr>
                    <w:sz w:val="18"/>
                    <w:vertAlign w:val="superscript"/>
                  </w:rPr>
                  <w:t>293</w:t>
                </w:r>
                <w:r>
                  <w:rPr>
                    <w:spacing w:val="-7"/>
                    <w:sz w:val="18"/>
                  </w:rPr>
                  <w:t xml:space="preserve"> </w:t>
                </w:r>
                <w:r>
                  <w:rPr>
                    <w:sz w:val="18"/>
                  </w:rPr>
                  <w:t>Australia</w:t>
                </w:r>
                <w:r>
                  <w:rPr>
                    <w:spacing w:val="-6"/>
                    <w:sz w:val="18"/>
                  </w:rPr>
                  <w:t xml:space="preserve"> </w:t>
                </w:r>
                <w:r>
                  <w:rPr>
                    <w:sz w:val="18"/>
                  </w:rPr>
                  <w:t>set</w:t>
                </w:r>
                <w:r>
                  <w:rPr>
                    <w:spacing w:val="-7"/>
                    <w:sz w:val="18"/>
                  </w:rPr>
                  <w:t xml:space="preserve"> </w:t>
                </w:r>
                <w:r>
                  <w:rPr>
                    <w:sz w:val="18"/>
                  </w:rPr>
                  <w:t>out</w:t>
                </w:r>
                <w:r>
                  <w:rPr>
                    <w:spacing w:val="-8"/>
                    <w:sz w:val="18"/>
                  </w:rPr>
                  <w:t xml:space="preserve"> </w:t>
                </w:r>
                <w:r>
                  <w:rPr>
                    <w:sz w:val="18"/>
                  </w:rPr>
                  <w:t>the</w:t>
                </w:r>
                <w:r>
                  <w:rPr>
                    <w:spacing w:val="-6"/>
                    <w:sz w:val="18"/>
                  </w:rPr>
                  <w:t xml:space="preserve"> </w:t>
                </w:r>
                <w:r>
                  <w:rPr>
                    <w:sz w:val="18"/>
                  </w:rPr>
                  <w:t>erroneous</w:t>
                </w:r>
                <w:r>
                  <w:rPr>
                    <w:spacing w:val="-8"/>
                    <w:sz w:val="18"/>
                  </w:rPr>
                  <w:t xml:space="preserve"> </w:t>
                </w:r>
                <w:r>
                  <w:rPr>
                    <w:sz w:val="18"/>
                  </w:rPr>
                  <w:t>application</w:t>
                </w:r>
                <w:r>
                  <w:rPr>
                    <w:spacing w:val="-6"/>
                    <w:sz w:val="18"/>
                  </w:rPr>
                  <w:t xml:space="preserve"> </w:t>
                </w:r>
                <w:r>
                  <w:rPr>
                    <w:sz w:val="18"/>
                  </w:rPr>
                  <w:t>of</w:t>
                </w:r>
                <w:r>
                  <w:rPr>
                    <w:spacing w:val="-7"/>
                    <w:sz w:val="18"/>
                  </w:rPr>
                  <w:t xml:space="preserve"> </w:t>
                </w:r>
                <w:r>
                  <w:rPr>
                    <w:sz w:val="18"/>
                  </w:rPr>
                  <w:t>the</w:t>
                </w:r>
                <w:r>
                  <w:rPr>
                    <w:spacing w:val="-6"/>
                    <w:sz w:val="18"/>
                  </w:rPr>
                  <w:t xml:space="preserve"> </w:t>
                </w:r>
                <w:r>
                  <w:rPr>
                    <w:sz w:val="18"/>
                  </w:rPr>
                  <w:t>below‐cost</w:t>
                </w:r>
                <w:r>
                  <w:rPr>
                    <w:spacing w:val="-7"/>
                    <w:sz w:val="18"/>
                  </w:rPr>
                  <w:t xml:space="preserve"> </w:t>
                </w:r>
                <w:r>
                  <w:rPr>
                    <w:sz w:val="18"/>
                  </w:rPr>
                  <w:t>test</w:t>
                </w:r>
                <w:r>
                  <w:rPr>
                    <w:spacing w:val="-7"/>
                    <w:sz w:val="18"/>
                  </w:rPr>
                  <w:t xml:space="preserve"> </w:t>
                </w:r>
                <w:r>
                  <w:rPr>
                    <w:sz w:val="18"/>
                  </w:rPr>
                  <w:t>in</w:t>
                </w:r>
                <w:r>
                  <w:rPr>
                    <w:spacing w:val="-7"/>
                    <w:sz w:val="18"/>
                  </w:rPr>
                  <w:t xml:space="preserve"> </w:t>
                </w:r>
                <w:r>
                  <w:rPr>
                    <w:sz w:val="18"/>
                  </w:rPr>
                  <w:t>section</w:t>
                </w:r>
                <w:r>
                  <w:rPr>
                    <w:spacing w:val="-6"/>
                    <w:sz w:val="18"/>
                  </w:rPr>
                  <w:t xml:space="preserve"> </w:t>
                </w:r>
                <w:r>
                  <w:rPr>
                    <w:spacing w:val="-2"/>
                    <w:sz w:val="18"/>
                  </w:rPr>
                  <w:t>II.E.3(a)(i).</w:t>
                </w:r>
              </w:p>
            </w:txbxContent>
          </v:textbox>
          <w10:wrap anchorx="page" anchory="page"/>
        </v:shape>
      </w:pict>
    </w:r>
    <w:r>
      <w:pict w14:anchorId="51DEAAE2">
        <v:shape id="docshape584" o:spid="_x0000_s2348" type="#_x0000_t202" style="position:absolute;margin-left:506.65pt;margin-top:791.6pt;width:18.75pt;height:13pt;z-index:-25262080;mso-position-horizontal-relative:page;mso-position-vertical-relative:page" filled="f" stroked="f">
          <v:textbox inset="0,0,0,0">
            <w:txbxContent>
              <w:p w14:paraId="51DEACD1" w14:textId="77777777" w:rsidR="0010369C" w:rsidRDefault="008E43AE">
                <w:pPr>
                  <w:spacing w:line="244" w:lineRule="exact"/>
                  <w:ind w:left="20"/>
                </w:pPr>
                <w:r>
                  <w:rPr>
                    <w:spacing w:val="-5"/>
                  </w:rPr>
                  <w:t>115</w:t>
                </w:r>
              </w:p>
            </w:txbxContent>
          </v:textbox>
          <w10:wrap anchorx="page" anchory="page"/>
        </v:shape>
      </w:pic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DEA9EA" w14:textId="77777777" w:rsidR="0010369C" w:rsidRDefault="008E43AE">
    <w:pPr>
      <w:pStyle w:val="BodyText"/>
      <w:spacing w:line="14" w:lineRule="auto"/>
      <w:rPr>
        <w:sz w:val="20"/>
      </w:rPr>
    </w:pPr>
    <w:r>
      <w:pict w14:anchorId="51DEAAE5">
        <v:shapetype id="_x0000_t202" coordsize="21600,21600" o:spt="202" path="m,l,21600r21600,l21600,xe">
          <v:stroke joinstyle="miter"/>
          <v:path gradientshapeok="t" o:connecttype="rect"/>
        </v:shapetype>
        <v:shape id="docshape590" o:spid="_x0000_s2345" type="#_x0000_t202" style="position:absolute;margin-left:69.9pt;margin-top:760.1pt;width:237.35pt;height:11.75pt;z-index:-25260544;mso-position-horizontal-relative:page;mso-position-vertical-relative:page" filled="f" stroked="f">
          <v:textbox inset="0,0,0,0">
            <w:txbxContent>
              <w:p w14:paraId="51DEACD3" w14:textId="77777777" w:rsidR="0010369C" w:rsidRDefault="008E43AE">
                <w:pPr>
                  <w:spacing w:line="218" w:lineRule="exact"/>
                  <w:ind w:left="20"/>
                  <w:rPr>
                    <w:sz w:val="18"/>
                  </w:rPr>
                </w:pPr>
                <w:r>
                  <w:rPr>
                    <w:sz w:val="18"/>
                    <w:vertAlign w:val="superscript"/>
                  </w:rPr>
                  <w:t>297</w:t>
                </w:r>
                <w:r>
                  <w:rPr>
                    <w:spacing w:val="-9"/>
                    <w:sz w:val="18"/>
                  </w:rPr>
                  <w:t xml:space="preserve"> </w:t>
                </w:r>
                <w:r>
                  <w:rPr>
                    <w:sz w:val="18"/>
                  </w:rPr>
                  <w:t>Anti‐Dumping</w:t>
                </w:r>
                <w:r>
                  <w:rPr>
                    <w:spacing w:val="-9"/>
                    <w:sz w:val="18"/>
                  </w:rPr>
                  <w:t xml:space="preserve"> </w:t>
                </w:r>
                <w:r>
                  <w:rPr>
                    <w:sz w:val="18"/>
                  </w:rPr>
                  <w:t>Final</w:t>
                </w:r>
                <w:r>
                  <w:rPr>
                    <w:spacing w:val="-9"/>
                    <w:sz w:val="18"/>
                  </w:rPr>
                  <w:t xml:space="preserve"> </w:t>
                </w:r>
                <w:r>
                  <w:rPr>
                    <w:sz w:val="18"/>
                  </w:rPr>
                  <w:t>Determination</w:t>
                </w:r>
                <w:r>
                  <w:rPr>
                    <w:spacing w:val="-8"/>
                    <w:sz w:val="18"/>
                  </w:rPr>
                  <w:t xml:space="preserve"> </w:t>
                </w:r>
                <w:r>
                  <w:rPr>
                    <w:sz w:val="18"/>
                  </w:rPr>
                  <w:t>(Exhibit</w:t>
                </w:r>
                <w:r>
                  <w:rPr>
                    <w:spacing w:val="-9"/>
                    <w:sz w:val="18"/>
                  </w:rPr>
                  <w:t xml:space="preserve"> </w:t>
                </w:r>
                <w:r>
                  <w:rPr>
                    <w:sz w:val="18"/>
                  </w:rPr>
                  <w:t>AUS‐2),</w:t>
                </w:r>
                <w:r>
                  <w:rPr>
                    <w:spacing w:val="-10"/>
                    <w:sz w:val="18"/>
                  </w:rPr>
                  <w:t xml:space="preserve"> </w:t>
                </w:r>
                <w:r>
                  <w:rPr>
                    <w:sz w:val="18"/>
                  </w:rPr>
                  <w:t>pp.</w:t>
                </w:r>
                <w:r>
                  <w:rPr>
                    <w:spacing w:val="-9"/>
                    <w:sz w:val="18"/>
                  </w:rPr>
                  <w:t xml:space="preserve"> </w:t>
                </w:r>
                <w:r>
                  <w:rPr>
                    <w:spacing w:val="-2"/>
                    <w:sz w:val="18"/>
                  </w:rPr>
                  <w:t>69‐70.</w:t>
                </w:r>
              </w:p>
            </w:txbxContent>
          </v:textbox>
          <w10:wrap anchorx="page" anchory="page"/>
        </v:shape>
      </w:pict>
    </w:r>
    <w:r>
      <w:pict w14:anchorId="51DEAAE6">
        <v:shape id="docshape591" o:spid="_x0000_s2344" type="#_x0000_t202" style="position:absolute;margin-left:506.65pt;margin-top:791.6pt;width:18.75pt;height:13pt;z-index:-25260032;mso-position-horizontal-relative:page;mso-position-vertical-relative:page" filled="f" stroked="f">
          <v:textbox inset="0,0,0,0">
            <w:txbxContent>
              <w:p w14:paraId="51DEACD4" w14:textId="77777777" w:rsidR="0010369C" w:rsidRDefault="008E43AE">
                <w:pPr>
                  <w:spacing w:line="244" w:lineRule="exact"/>
                  <w:ind w:left="20"/>
                </w:pPr>
                <w:r>
                  <w:rPr>
                    <w:spacing w:val="-5"/>
                  </w:rPr>
                  <w:t>116</w:t>
                </w:r>
              </w:p>
            </w:txbxContent>
          </v:textbox>
          <w10:wrap anchorx="page" anchory="page"/>
        </v:shape>
      </w:pic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DEA9EC" w14:textId="77777777" w:rsidR="0010369C" w:rsidRDefault="008E43AE">
    <w:pPr>
      <w:pStyle w:val="BodyText"/>
      <w:spacing w:line="14" w:lineRule="auto"/>
      <w:rPr>
        <w:sz w:val="20"/>
      </w:rPr>
    </w:pPr>
    <w:r>
      <w:pict w14:anchorId="51DEAAE9">
        <v:shapetype id="_x0000_t202" coordsize="21600,21600" o:spt="202" path="m,l,21600r21600,l21600,xe">
          <v:stroke joinstyle="miter"/>
          <v:path gradientshapeok="t" o:connecttype="rect"/>
        </v:shapetype>
        <v:shape id="docshape604" o:spid="_x0000_s2341" type="#_x0000_t202" style="position:absolute;margin-left:69.9pt;margin-top:760.1pt;width:237.35pt;height:11.75pt;z-index:-25258496;mso-position-horizontal-relative:page;mso-position-vertical-relative:page" filled="f" stroked="f">
          <v:textbox inset="0,0,0,0">
            <w:txbxContent>
              <w:p w14:paraId="51DEACD6" w14:textId="77777777" w:rsidR="0010369C" w:rsidRDefault="008E43AE">
                <w:pPr>
                  <w:spacing w:line="218" w:lineRule="exact"/>
                  <w:ind w:left="20"/>
                  <w:rPr>
                    <w:sz w:val="18"/>
                  </w:rPr>
                </w:pPr>
                <w:r>
                  <w:rPr>
                    <w:sz w:val="18"/>
                    <w:vertAlign w:val="superscript"/>
                  </w:rPr>
                  <w:t>301</w:t>
                </w:r>
                <w:r>
                  <w:rPr>
                    <w:spacing w:val="-9"/>
                    <w:sz w:val="18"/>
                  </w:rPr>
                  <w:t xml:space="preserve"> </w:t>
                </w:r>
                <w:r>
                  <w:rPr>
                    <w:sz w:val="18"/>
                  </w:rPr>
                  <w:t>Anti‐Dumping</w:t>
                </w:r>
                <w:r>
                  <w:rPr>
                    <w:spacing w:val="-9"/>
                    <w:sz w:val="18"/>
                  </w:rPr>
                  <w:t xml:space="preserve"> </w:t>
                </w:r>
                <w:r>
                  <w:rPr>
                    <w:sz w:val="18"/>
                  </w:rPr>
                  <w:t>Final</w:t>
                </w:r>
                <w:r>
                  <w:rPr>
                    <w:spacing w:val="-9"/>
                    <w:sz w:val="18"/>
                  </w:rPr>
                  <w:t xml:space="preserve"> </w:t>
                </w:r>
                <w:r>
                  <w:rPr>
                    <w:sz w:val="18"/>
                  </w:rPr>
                  <w:t>Determination</w:t>
                </w:r>
                <w:r>
                  <w:rPr>
                    <w:spacing w:val="-8"/>
                    <w:sz w:val="18"/>
                  </w:rPr>
                  <w:t xml:space="preserve"> </w:t>
                </w:r>
                <w:r>
                  <w:rPr>
                    <w:sz w:val="18"/>
                  </w:rPr>
                  <w:t>(Exhibit</w:t>
                </w:r>
                <w:r>
                  <w:rPr>
                    <w:spacing w:val="-9"/>
                    <w:sz w:val="18"/>
                  </w:rPr>
                  <w:t xml:space="preserve"> </w:t>
                </w:r>
                <w:r>
                  <w:rPr>
                    <w:sz w:val="18"/>
                  </w:rPr>
                  <w:t>AUS‐2),</w:t>
                </w:r>
                <w:r>
                  <w:rPr>
                    <w:spacing w:val="-10"/>
                    <w:sz w:val="18"/>
                  </w:rPr>
                  <w:t xml:space="preserve"> </w:t>
                </w:r>
                <w:r>
                  <w:rPr>
                    <w:sz w:val="18"/>
                  </w:rPr>
                  <w:t>pp.</w:t>
                </w:r>
                <w:r>
                  <w:rPr>
                    <w:spacing w:val="-9"/>
                    <w:sz w:val="18"/>
                  </w:rPr>
                  <w:t xml:space="preserve"> </w:t>
                </w:r>
                <w:r>
                  <w:rPr>
                    <w:spacing w:val="-2"/>
                    <w:sz w:val="18"/>
                  </w:rPr>
                  <w:t>73‐85.</w:t>
                </w:r>
              </w:p>
            </w:txbxContent>
          </v:textbox>
          <w10:wrap anchorx="page" anchory="page"/>
        </v:shape>
      </w:pict>
    </w:r>
    <w:r>
      <w:pict w14:anchorId="51DEAAEA">
        <v:shape id="docshape605" o:spid="_x0000_s2340" type="#_x0000_t202" style="position:absolute;margin-left:506.65pt;margin-top:791.6pt;width:18.75pt;height:13pt;z-index:-25257984;mso-position-horizontal-relative:page;mso-position-vertical-relative:page" filled="f" stroked="f">
          <v:textbox inset="0,0,0,0">
            <w:txbxContent>
              <w:p w14:paraId="51DEACD7" w14:textId="77777777" w:rsidR="0010369C" w:rsidRDefault="008E43AE">
                <w:pPr>
                  <w:spacing w:line="244" w:lineRule="exact"/>
                  <w:ind w:left="20"/>
                </w:pPr>
                <w:r>
                  <w:rPr>
                    <w:spacing w:val="-5"/>
                  </w:rPr>
                  <w:t>117</w:t>
                </w:r>
              </w:p>
            </w:txbxContent>
          </v:textbox>
          <w10:wrap anchorx="page" anchory="page"/>
        </v:shape>
      </w:pic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DEA9EE" w14:textId="77777777" w:rsidR="0010369C" w:rsidRDefault="008E43AE">
    <w:pPr>
      <w:pStyle w:val="BodyText"/>
      <w:spacing w:line="14" w:lineRule="auto"/>
      <w:rPr>
        <w:sz w:val="20"/>
      </w:rPr>
    </w:pPr>
    <w:r>
      <w:pict w14:anchorId="51DEAAED">
        <v:shapetype id="_x0000_t202" coordsize="21600,21600" o:spt="202" path="m,l,21600r21600,l21600,xe">
          <v:stroke joinstyle="miter"/>
          <v:path gradientshapeok="t" o:connecttype="rect"/>
        </v:shapetype>
        <v:shape id="docshape621" o:spid="_x0000_s2337" type="#_x0000_t202" style="position:absolute;margin-left:506.65pt;margin-top:791.6pt;width:18.75pt;height:13pt;z-index:-25256448;mso-position-horizontal-relative:page;mso-position-vertical-relative:page" filled="f" stroked="f">
          <v:textbox inset="0,0,0,0">
            <w:txbxContent>
              <w:p w14:paraId="51DEACD9" w14:textId="77777777" w:rsidR="0010369C" w:rsidRDefault="008E43AE">
                <w:pPr>
                  <w:spacing w:line="244" w:lineRule="exact"/>
                  <w:ind w:left="20"/>
                </w:pPr>
                <w:r>
                  <w:rPr>
                    <w:spacing w:val="-5"/>
                  </w:rPr>
                  <w:t>118</w:t>
                </w:r>
              </w:p>
            </w:txbxContent>
          </v:textbox>
          <w10:wrap anchorx="page" anchory="page"/>
        </v:shape>
      </w:pic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DEA9F0" w14:textId="77777777" w:rsidR="0010369C" w:rsidRDefault="008E43AE">
    <w:pPr>
      <w:pStyle w:val="BodyText"/>
      <w:spacing w:line="14" w:lineRule="auto"/>
      <w:rPr>
        <w:sz w:val="20"/>
      </w:rPr>
    </w:pPr>
    <w:r>
      <w:pict w14:anchorId="51DEAAF0">
        <v:shapetype id="_x0000_t202" coordsize="21600,21600" o:spt="202" path="m,l,21600r21600,l21600,xe">
          <v:stroke joinstyle="miter"/>
          <v:path gradientshapeok="t" o:connecttype="rect"/>
        </v:shapetype>
        <v:shape id="docshape625" o:spid="_x0000_s2334" type="#_x0000_t202" style="position:absolute;margin-left:504.65pt;margin-top:791.6pt;width:23.75pt;height:13pt;z-index:-25254912;mso-position-horizontal-relative:page;mso-position-vertical-relative:page" filled="f" stroked="f">
          <v:textbox inset="0,0,0,0">
            <w:txbxContent>
              <w:p w14:paraId="51DEACDB" w14:textId="77777777" w:rsidR="0010369C" w:rsidRDefault="008E43AE">
                <w:pPr>
                  <w:spacing w:line="244" w:lineRule="exact"/>
                  <w:ind w:left="60"/>
                </w:pPr>
                <w:r>
                  <w:rPr>
                    <w:spacing w:val="-5"/>
                  </w:rPr>
                  <w:fldChar w:fldCharType="begin"/>
                </w:r>
                <w:r>
                  <w:rPr>
                    <w:spacing w:val="-5"/>
                  </w:rPr>
                  <w:instrText xml:space="preserve"> PAGE </w:instrText>
                </w:r>
                <w:r>
                  <w:rPr>
                    <w:spacing w:val="-5"/>
                  </w:rPr>
                  <w:fldChar w:fldCharType="separate"/>
                </w:r>
                <w:r>
                  <w:rPr>
                    <w:spacing w:val="-5"/>
                  </w:rPr>
                  <w:t>119</w:t>
                </w:r>
                <w:r>
                  <w:rPr>
                    <w:spacing w:val="-5"/>
                  </w:rPr>
                  <w:fldChar w:fldCharType="end"/>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DEA9BC" w14:textId="77777777" w:rsidR="0010369C" w:rsidRDefault="008E43AE">
    <w:pPr>
      <w:pStyle w:val="BodyText"/>
      <w:spacing w:line="14" w:lineRule="auto"/>
      <w:rPr>
        <w:sz w:val="20"/>
      </w:rPr>
    </w:pPr>
    <w:r>
      <w:pict w14:anchorId="51DEAAAB">
        <v:shapetype id="_x0000_t202" coordsize="21600,21600" o:spt="202" path="m,l,21600r21600,l21600,xe">
          <v:stroke joinstyle="miter"/>
          <v:path gradientshapeok="t" o:connecttype="rect"/>
        </v:shapetype>
        <v:shape id="docshape11" o:spid="_x0000_s2403" type="#_x0000_t202" style="position:absolute;margin-left:510.25pt;margin-top:791.6pt;width:18.2pt;height:13pt;z-index:-25290240;mso-position-horizontal-relative:page;mso-position-vertical-relative:page" filled="f" stroked="f">
          <v:textbox inset="0,0,0,0">
            <w:txbxContent>
              <w:p w14:paraId="51DEACAB" w14:textId="77777777" w:rsidR="0010369C" w:rsidRDefault="008E43AE">
                <w:pPr>
                  <w:spacing w:line="244" w:lineRule="exact"/>
                  <w:ind w:left="60"/>
                </w:pPr>
                <w:r>
                  <w:rPr>
                    <w:spacing w:val="-5"/>
                  </w:rPr>
                  <w:fldChar w:fldCharType="begin"/>
                </w:r>
                <w:r>
                  <w:rPr>
                    <w:spacing w:val="-5"/>
                  </w:rPr>
                  <w:instrText xml:space="preserve"> PAGE </w:instrText>
                </w:r>
                <w:r>
                  <w:rPr>
                    <w:spacing w:val="-5"/>
                  </w:rPr>
                  <w:fldChar w:fldCharType="separate"/>
                </w:r>
                <w:r>
                  <w:rPr>
                    <w:spacing w:val="-5"/>
                  </w:rPr>
                  <w:t>13</w:t>
                </w:r>
                <w:r>
                  <w:rPr>
                    <w:spacing w:val="-5"/>
                  </w:rPr>
                  <w:fldChar w:fldCharType="end"/>
                </w:r>
              </w:p>
            </w:txbxContent>
          </v:textbox>
          <w10:wrap anchorx="page" anchory="page"/>
        </v:shape>
      </w:pic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DEA9F2" w14:textId="77777777" w:rsidR="0010369C" w:rsidRDefault="008E43AE">
    <w:pPr>
      <w:pStyle w:val="BodyText"/>
      <w:spacing w:line="14" w:lineRule="auto"/>
      <w:rPr>
        <w:sz w:val="20"/>
      </w:rPr>
    </w:pPr>
    <w:r>
      <w:pict w14:anchorId="51DEAAF1">
        <v:shapetype id="_x0000_t202" coordsize="21600,21600" o:spt="202" path="m,l,21600r21600,l21600,xe">
          <v:stroke joinstyle="miter"/>
          <v:path gradientshapeok="t" o:connecttype="rect"/>
        </v:shapetype>
        <v:shape id="docshape743" o:spid="_x0000_s2333" type="#_x0000_t202" style="position:absolute;margin-left:505.55pt;margin-top:789.95pt;width:22.55pt;height:13.15pt;z-index:-25254400;mso-position-horizontal-relative:page;mso-position-vertical-relative:page" filled="f" stroked="f">
          <v:textbox inset="0,0,0,0">
            <w:txbxContent>
              <w:p w14:paraId="51DEACDC" w14:textId="77777777" w:rsidR="0010369C" w:rsidRDefault="008E43AE">
                <w:pPr>
                  <w:spacing w:before="12"/>
                  <w:ind w:left="60"/>
                  <w:rPr>
                    <w:rFonts w:ascii="Times New Roman"/>
                    <w:sz w:val="20"/>
                  </w:rPr>
                </w:pPr>
                <w:r>
                  <w:rPr>
                    <w:rFonts w:ascii="Times New Roman"/>
                    <w:color w:val="1C1C1C"/>
                    <w:spacing w:val="-5"/>
                    <w:w w:val="105"/>
                    <w:sz w:val="20"/>
                  </w:rPr>
                  <w:fldChar w:fldCharType="begin"/>
                </w:r>
                <w:r>
                  <w:rPr>
                    <w:rFonts w:ascii="Times New Roman"/>
                    <w:color w:val="1C1C1C"/>
                    <w:spacing w:val="-5"/>
                    <w:w w:val="105"/>
                    <w:sz w:val="20"/>
                  </w:rPr>
                  <w:instrText xml:space="preserve"> PAGE </w:instrText>
                </w:r>
                <w:r>
                  <w:rPr>
                    <w:rFonts w:ascii="Times New Roman"/>
                    <w:color w:val="1C1C1C"/>
                    <w:spacing w:val="-5"/>
                    <w:w w:val="105"/>
                    <w:sz w:val="20"/>
                  </w:rPr>
                  <w:fldChar w:fldCharType="separate"/>
                </w:r>
                <w:r>
                  <w:rPr>
                    <w:rFonts w:ascii="Times New Roman"/>
                    <w:color w:val="1C1C1C"/>
                    <w:spacing w:val="-5"/>
                    <w:w w:val="105"/>
                    <w:sz w:val="20"/>
                  </w:rPr>
                  <w:t>130</w:t>
                </w:r>
                <w:r>
                  <w:rPr>
                    <w:rFonts w:ascii="Times New Roman"/>
                    <w:color w:val="1C1C1C"/>
                    <w:spacing w:val="-5"/>
                    <w:w w:val="105"/>
                    <w:sz w:val="20"/>
                  </w:rPr>
                  <w:fldChar w:fldCharType="end"/>
                </w:r>
              </w:p>
            </w:txbxContent>
          </v:textbox>
          <w10:wrap anchorx="page" anchory="page"/>
        </v:shape>
      </w:pic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DEA9F4" w14:textId="77777777" w:rsidR="0010369C" w:rsidRDefault="008E43AE">
    <w:pPr>
      <w:pStyle w:val="BodyText"/>
      <w:spacing w:line="14" w:lineRule="auto"/>
      <w:rPr>
        <w:sz w:val="20"/>
      </w:rPr>
    </w:pPr>
    <w:r>
      <w:pict w14:anchorId="51DEAAF4">
        <v:shapetype id="_x0000_t202" coordsize="21600,21600" o:spt="202" path="m,l,21600r21600,l21600,xe">
          <v:stroke joinstyle="miter"/>
          <v:path gradientshapeok="t" o:connecttype="rect"/>
        </v:shapetype>
        <v:shape id="docshape754" o:spid="_x0000_s2330" type="#_x0000_t202" style="position:absolute;margin-left:504.65pt;margin-top:791.6pt;width:23.75pt;height:13pt;z-index:-25252864;mso-position-horizontal-relative:page;mso-position-vertical-relative:page" filled="f" stroked="f">
          <v:textbox inset="0,0,0,0">
            <w:txbxContent>
              <w:p w14:paraId="51DEACDE" w14:textId="77777777" w:rsidR="0010369C" w:rsidRDefault="008E43AE">
                <w:pPr>
                  <w:spacing w:line="244" w:lineRule="exact"/>
                  <w:ind w:left="60"/>
                </w:pPr>
                <w:r>
                  <w:rPr>
                    <w:spacing w:val="-5"/>
                  </w:rPr>
                  <w:fldChar w:fldCharType="begin"/>
                </w:r>
                <w:r>
                  <w:rPr>
                    <w:spacing w:val="-5"/>
                  </w:rPr>
                  <w:instrText xml:space="preserve"> PAGE </w:instrText>
                </w:r>
                <w:r>
                  <w:rPr>
                    <w:spacing w:val="-5"/>
                  </w:rPr>
                  <w:fldChar w:fldCharType="separate"/>
                </w:r>
                <w:r>
                  <w:rPr>
                    <w:spacing w:val="-5"/>
                  </w:rPr>
                  <w:t>131</w:t>
                </w:r>
                <w:r>
                  <w:rPr>
                    <w:spacing w:val="-5"/>
                  </w:rPr>
                  <w:fldChar w:fldCharType="end"/>
                </w:r>
              </w:p>
            </w:txbxContent>
          </v:textbox>
          <w10:wrap anchorx="page" anchory="page"/>
        </v:shape>
      </w:pic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DEA9F6" w14:textId="77777777" w:rsidR="0010369C" w:rsidRDefault="008E43AE">
    <w:pPr>
      <w:pStyle w:val="BodyText"/>
      <w:spacing w:line="14" w:lineRule="auto"/>
      <w:rPr>
        <w:sz w:val="20"/>
      </w:rPr>
    </w:pPr>
    <w:r>
      <w:pict w14:anchorId="51DEAAF7">
        <v:rect id="docshape768" o:spid="_x0000_s2327" style="position:absolute;margin-left:70.9pt;margin-top:698.8pt;width:2in;height:.8pt;z-index:-25251328;mso-position-horizontal-relative:page;mso-position-vertical-relative:page" fillcolor="black" stroked="f">
          <w10:wrap anchorx="page" anchory="page"/>
        </v:rect>
      </w:pict>
    </w:r>
    <w:r>
      <w:pict w14:anchorId="51DEAAF8">
        <v:shapetype id="_x0000_t202" coordsize="21600,21600" o:spt="202" path="m,l,21600r21600,l21600,xe">
          <v:stroke joinstyle="miter"/>
          <v:path gradientshapeok="t" o:connecttype="rect"/>
        </v:shapetype>
        <v:shape id="docshape769" o:spid="_x0000_s2326" type="#_x0000_t202" style="position:absolute;margin-left:504.65pt;margin-top:791.6pt;width:23.75pt;height:13pt;z-index:-25250816;mso-position-horizontal-relative:page;mso-position-vertical-relative:page" filled="f" stroked="f">
          <v:textbox inset="0,0,0,0">
            <w:txbxContent>
              <w:p w14:paraId="51DEACE0" w14:textId="77777777" w:rsidR="0010369C" w:rsidRDefault="008E43AE">
                <w:pPr>
                  <w:spacing w:line="244" w:lineRule="exact"/>
                  <w:ind w:left="60"/>
                </w:pPr>
                <w:r>
                  <w:rPr>
                    <w:spacing w:val="-5"/>
                  </w:rPr>
                  <w:fldChar w:fldCharType="begin"/>
                </w:r>
                <w:r>
                  <w:rPr>
                    <w:spacing w:val="-5"/>
                  </w:rPr>
                  <w:instrText xml:space="preserve"> PAGE </w:instrText>
                </w:r>
                <w:r>
                  <w:rPr>
                    <w:spacing w:val="-5"/>
                  </w:rPr>
                  <w:fldChar w:fldCharType="separate"/>
                </w:r>
                <w:r>
                  <w:rPr>
                    <w:spacing w:val="-5"/>
                  </w:rPr>
                  <w:t>135</w:t>
                </w:r>
                <w:r>
                  <w:rPr>
                    <w:spacing w:val="-5"/>
                  </w:rPr>
                  <w:fldChar w:fldCharType="end"/>
                </w:r>
              </w:p>
            </w:txbxContent>
          </v:textbox>
          <w10:wrap anchorx="page" anchory="page"/>
        </v:shape>
      </w:pic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DEA9F8" w14:textId="77777777" w:rsidR="0010369C" w:rsidRDefault="008E43AE">
    <w:pPr>
      <w:pStyle w:val="BodyText"/>
      <w:spacing w:line="14" w:lineRule="auto"/>
      <w:rPr>
        <w:sz w:val="20"/>
      </w:rPr>
    </w:pPr>
    <w:r>
      <w:pict w14:anchorId="51DEAAF9">
        <v:shapetype id="_x0000_t202" coordsize="21600,21600" o:spt="202" path="m,l,21600r21600,l21600,xe">
          <v:stroke joinstyle="miter"/>
          <v:path gradientshapeok="t" o:connecttype="rect"/>
        </v:shapetype>
        <v:shape id="docshape770" o:spid="_x0000_s2325" type="#_x0000_t202" style="position:absolute;margin-left:504.65pt;margin-top:791.6pt;width:23.75pt;height:13pt;z-index:-25250304;mso-position-horizontal-relative:page;mso-position-vertical-relative:page" filled="f" stroked="f">
          <v:textbox inset="0,0,0,0">
            <w:txbxContent>
              <w:p w14:paraId="51DEACE1" w14:textId="77777777" w:rsidR="0010369C" w:rsidRDefault="008E43AE">
                <w:pPr>
                  <w:spacing w:line="244" w:lineRule="exact"/>
                  <w:ind w:left="60"/>
                </w:pPr>
                <w:r>
                  <w:rPr>
                    <w:spacing w:val="-5"/>
                  </w:rPr>
                  <w:fldChar w:fldCharType="begin"/>
                </w:r>
                <w:r>
                  <w:rPr>
                    <w:spacing w:val="-5"/>
                  </w:rPr>
                  <w:instrText xml:space="preserve"> PAGE </w:instrText>
                </w:r>
                <w:r>
                  <w:rPr>
                    <w:spacing w:val="-5"/>
                  </w:rPr>
                  <w:fldChar w:fldCharType="separate"/>
                </w:r>
                <w:r>
                  <w:rPr>
                    <w:spacing w:val="-5"/>
                  </w:rPr>
                  <w:t>136</w:t>
                </w:r>
                <w:r>
                  <w:rPr>
                    <w:spacing w:val="-5"/>
                  </w:rPr>
                  <w:fldChar w:fldCharType="end"/>
                </w:r>
              </w:p>
            </w:txbxContent>
          </v:textbox>
          <w10:wrap anchorx="page" anchory="page"/>
        </v:shape>
      </w:pic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DEA9FA" w14:textId="77777777" w:rsidR="0010369C" w:rsidRDefault="008E43AE">
    <w:pPr>
      <w:pStyle w:val="BodyText"/>
      <w:spacing w:line="14" w:lineRule="auto"/>
      <w:rPr>
        <w:sz w:val="20"/>
      </w:rPr>
    </w:pPr>
    <w:r>
      <w:pict w14:anchorId="51DEAAFC">
        <v:shapetype id="_x0000_t202" coordsize="21600,21600" o:spt="202" path="m,l,21600r21600,l21600,xe">
          <v:stroke joinstyle="miter"/>
          <v:path gradientshapeok="t" o:connecttype="rect"/>
        </v:shapetype>
        <v:shape id="docshape780" o:spid="_x0000_s2322" type="#_x0000_t202" style="position:absolute;margin-left:504.65pt;margin-top:791.6pt;width:23.75pt;height:13pt;z-index:-25248768;mso-position-horizontal-relative:page;mso-position-vertical-relative:page" filled="f" stroked="f">
          <v:textbox inset="0,0,0,0">
            <w:txbxContent>
              <w:p w14:paraId="51DEACE3" w14:textId="77777777" w:rsidR="0010369C" w:rsidRDefault="008E43AE">
                <w:pPr>
                  <w:spacing w:line="244" w:lineRule="exact"/>
                  <w:ind w:left="60"/>
                </w:pPr>
                <w:r>
                  <w:rPr>
                    <w:spacing w:val="-5"/>
                  </w:rPr>
                  <w:fldChar w:fldCharType="begin"/>
                </w:r>
                <w:r>
                  <w:rPr>
                    <w:spacing w:val="-5"/>
                  </w:rPr>
                  <w:instrText xml:space="preserve"> PAGE </w:instrText>
                </w:r>
                <w:r>
                  <w:rPr>
                    <w:spacing w:val="-5"/>
                  </w:rPr>
                  <w:fldChar w:fldCharType="separate"/>
                </w:r>
                <w:r>
                  <w:rPr>
                    <w:spacing w:val="-5"/>
                  </w:rPr>
                  <w:t>137</w:t>
                </w:r>
                <w:r>
                  <w:rPr>
                    <w:spacing w:val="-5"/>
                  </w:rPr>
                  <w:fldChar w:fldCharType="end"/>
                </w:r>
              </w:p>
            </w:txbxContent>
          </v:textbox>
          <w10:wrap anchorx="page" anchory="page"/>
        </v:shape>
      </w:pic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DEA9FC" w14:textId="77777777" w:rsidR="0010369C" w:rsidRDefault="008E43AE">
    <w:pPr>
      <w:pStyle w:val="BodyText"/>
      <w:spacing w:line="14" w:lineRule="auto"/>
      <w:rPr>
        <w:sz w:val="20"/>
      </w:rPr>
    </w:pPr>
    <w:r>
      <w:pict w14:anchorId="51DEAAFD">
        <v:rect id="docshape801" o:spid="_x0000_s2321" style="position:absolute;margin-left:70.9pt;margin-top:742.8pt;width:2in;height:.8pt;z-index:-25248256;mso-position-horizontal-relative:page;mso-position-vertical-relative:page" fillcolor="black" stroked="f">
          <w10:wrap anchorx="page" anchory="page"/>
        </v:rect>
      </w:pict>
    </w:r>
    <w:r>
      <w:pict w14:anchorId="51DEAAFE">
        <v:shapetype id="_x0000_t202" coordsize="21600,21600" o:spt="202" path="m,l,21600r21600,l21600,xe">
          <v:stroke joinstyle="miter"/>
          <v:path gradientshapeok="t" o:connecttype="rect"/>
        </v:shapetype>
        <v:shape id="docshape802" o:spid="_x0000_s2320" type="#_x0000_t202" style="position:absolute;margin-left:504.65pt;margin-top:791.6pt;width:23.75pt;height:13pt;z-index:-25247744;mso-position-horizontal-relative:page;mso-position-vertical-relative:page" filled="f" stroked="f">
          <v:textbox inset="0,0,0,0">
            <w:txbxContent>
              <w:p w14:paraId="51DEACE4" w14:textId="77777777" w:rsidR="0010369C" w:rsidRDefault="008E43AE">
                <w:pPr>
                  <w:spacing w:line="244" w:lineRule="exact"/>
                  <w:ind w:left="60"/>
                </w:pPr>
                <w:r>
                  <w:rPr>
                    <w:spacing w:val="-5"/>
                  </w:rPr>
                  <w:fldChar w:fldCharType="begin"/>
                </w:r>
                <w:r>
                  <w:rPr>
                    <w:spacing w:val="-5"/>
                  </w:rPr>
                  <w:instrText xml:space="preserve"> PAGE </w:instrText>
                </w:r>
                <w:r>
                  <w:rPr>
                    <w:spacing w:val="-5"/>
                  </w:rPr>
                  <w:fldChar w:fldCharType="separate"/>
                </w:r>
                <w:r>
                  <w:rPr>
                    <w:spacing w:val="-5"/>
                  </w:rPr>
                  <w:t>141</w:t>
                </w:r>
                <w:r>
                  <w:rPr>
                    <w:spacing w:val="-5"/>
                  </w:rPr>
                  <w:fldChar w:fldCharType="end"/>
                </w:r>
              </w:p>
            </w:txbxContent>
          </v:textbox>
          <w10:wrap anchorx="page" anchory="page"/>
        </v:shape>
      </w:pic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DEA9FE" w14:textId="77777777" w:rsidR="0010369C" w:rsidRDefault="008E43AE">
    <w:pPr>
      <w:pStyle w:val="BodyText"/>
      <w:spacing w:line="14" w:lineRule="auto"/>
      <w:rPr>
        <w:sz w:val="20"/>
      </w:rPr>
    </w:pPr>
    <w:r>
      <w:pict w14:anchorId="51DEAB01">
        <v:shapetype id="_x0000_t202" coordsize="21600,21600" o:spt="202" path="m,l,21600r21600,l21600,xe">
          <v:stroke joinstyle="miter"/>
          <v:path gradientshapeok="t" o:connecttype="rect"/>
        </v:shapetype>
        <v:shape id="docshape810" o:spid="_x0000_s2317" type="#_x0000_t202" style="position:absolute;margin-left:504.65pt;margin-top:791.6pt;width:23.75pt;height:13pt;z-index:-25246208;mso-position-horizontal-relative:page;mso-position-vertical-relative:page" filled="f" stroked="f">
          <v:textbox inset="0,0,0,0">
            <w:txbxContent>
              <w:p w14:paraId="51DEACE6" w14:textId="77777777" w:rsidR="0010369C" w:rsidRDefault="008E43AE">
                <w:pPr>
                  <w:spacing w:line="244" w:lineRule="exact"/>
                  <w:ind w:left="60"/>
                </w:pPr>
                <w:r>
                  <w:rPr>
                    <w:spacing w:val="-5"/>
                  </w:rPr>
                  <w:fldChar w:fldCharType="begin"/>
                </w:r>
                <w:r>
                  <w:rPr>
                    <w:spacing w:val="-5"/>
                  </w:rPr>
                  <w:instrText xml:space="preserve"> PAGE </w:instrText>
                </w:r>
                <w:r>
                  <w:rPr>
                    <w:spacing w:val="-5"/>
                  </w:rPr>
                  <w:fldChar w:fldCharType="separate"/>
                </w:r>
                <w:r>
                  <w:rPr>
                    <w:spacing w:val="-5"/>
                  </w:rPr>
                  <w:t>142</w:t>
                </w:r>
                <w:r>
                  <w:rPr>
                    <w:spacing w:val="-5"/>
                  </w:rPr>
                  <w:fldChar w:fldCharType="end"/>
                </w:r>
              </w:p>
            </w:txbxContent>
          </v:textbox>
          <w10:wrap anchorx="page" anchory="page"/>
        </v:shape>
      </w:pic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DEAA00" w14:textId="77777777" w:rsidR="0010369C" w:rsidRDefault="008E43AE">
    <w:pPr>
      <w:pStyle w:val="BodyText"/>
      <w:spacing w:line="14" w:lineRule="auto"/>
      <w:rPr>
        <w:sz w:val="20"/>
      </w:rPr>
    </w:pPr>
    <w:r>
      <w:pict w14:anchorId="51DEAB04">
        <v:shapetype id="_x0000_t202" coordsize="21600,21600" o:spt="202" path="m,l,21600r21600,l21600,xe">
          <v:stroke joinstyle="miter"/>
          <v:path gradientshapeok="t" o:connecttype="rect"/>
        </v:shapetype>
        <v:shape id="docshape843" o:spid="_x0000_s2314" type="#_x0000_t202" style="position:absolute;margin-left:506.65pt;margin-top:791.6pt;width:18.75pt;height:13pt;z-index:-25244672;mso-position-horizontal-relative:page;mso-position-vertical-relative:page" filled="f" stroked="f">
          <v:textbox inset="0,0,0,0">
            <w:txbxContent>
              <w:p w14:paraId="51DEACE8" w14:textId="77777777" w:rsidR="0010369C" w:rsidRDefault="008E43AE">
                <w:pPr>
                  <w:spacing w:line="244" w:lineRule="exact"/>
                  <w:ind w:left="20"/>
                </w:pPr>
                <w:r>
                  <w:rPr>
                    <w:spacing w:val="-5"/>
                  </w:rPr>
                  <w:t>146</w:t>
                </w:r>
              </w:p>
            </w:txbxContent>
          </v:textbox>
          <w10:wrap anchorx="page" anchory="page"/>
        </v:shape>
      </w:pic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DEAA02" w14:textId="77777777" w:rsidR="0010369C" w:rsidRDefault="008E43AE">
    <w:pPr>
      <w:pStyle w:val="BodyText"/>
      <w:spacing w:line="14" w:lineRule="auto"/>
      <w:rPr>
        <w:sz w:val="20"/>
      </w:rPr>
    </w:pPr>
    <w:r>
      <w:pict w14:anchorId="51DEAB07">
        <v:shapetype id="_x0000_t202" coordsize="21600,21600" o:spt="202" path="m,l,21600r21600,l21600,xe">
          <v:stroke joinstyle="miter"/>
          <v:path gradientshapeok="t" o:connecttype="rect"/>
        </v:shapetype>
        <v:shape id="docshape847" o:spid="_x0000_s2311" type="#_x0000_t202" style="position:absolute;margin-left:504.65pt;margin-top:791.6pt;width:23.75pt;height:13pt;z-index:-25243136;mso-position-horizontal-relative:page;mso-position-vertical-relative:page" filled="f" stroked="f">
          <v:textbox inset="0,0,0,0">
            <w:txbxContent>
              <w:p w14:paraId="51DEACEA" w14:textId="77777777" w:rsidR="0010369C" w:rsidRDefault="008E43AE">
                <w:pPr>
                  <w:spacing w:line="244" w:lineRule="exact"/>
                  <w:ind w:left="60"/>
                </w:pPr>
                <w:r>
                  <w:rPr>
                    <w:spacing w:val="-5"/>
                  </w:rPr>
                  <w:fldChar w:fldCharType="begin"/>
                </w:r>
                <w:r>
                  <w:rPr>
                    <w:spacing w:val="-5"/>
                  </w:rPr>
                  <w:instrText xml:space="preserve"> PAGE </w:instrText>
                </w:r>
                <w:r>
                  <w:rPr>
                    <w:spacing w:val="-5"/>
                  </w:rPr>
                  <w:fldChar w:fldCharType="separate"/>
                </w:r>
                <w:r>
                  <w:rPr>
                    <w:spacing w:val="-5"/>
                  </w:rPr>
                  <w:t>147</w:t>
                </w:r>
                <w:r>
                  <w:rPr>
                    <w:spacing w:val="-5"/>
                  </w:rPr>
                  <w:fldChar w:fldCharType="end"/>
                </w:r>
              </w:p>
            </w:txbxContent>
          </v:textbox>
          <w10:wrap anchorx="page" anchory="page"/>
        </v:shape>
      </w:pic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DEAA04" w14:textId="77777777" w:rsidR="0010369C" w:rsidRDefault="008E43AE">
    <w:pPr>
      <w:pStyle w:val="BodyText"/>
      <w:spacing w:line="14" w:lineRule="auto"/>
      <w:rPr>
        <w:sz w:val="20"/>
      </w:rPr>
    </w:pPr>
    <w:r>
      <w:pict w14:anchorId="51DEAB0C">
        <v:shapetype id="_x0000_t202" coordsize="21600,21600" o:spt="202" path="m,l,21600r21600,l21600,xe">
          <v:stroke joinstyle="miter"/>
          <v:path gradientshapeok="t" o:connecttype="rect"/>
        </v:shapetype>
        <v:shape id="docshape860" o:spid="_x0000_s2306" type="#_x0000_t202" style="position:absolute;margin-left:504.65pt;margin-top:791.6pt;width:23.75pt;height:13pt;z-index:-25240576;mso-position-horizontal-relative:page;mso-position-vertical-relative:page" filled="f" stroked="f">
          <v:textbox inset="0,0,0,0">
            <w:txbxContent>
              <w:p w14:paraId="51DEACEE" w14:textId="77777777" w:rsidR="0010369C" w:rsidRDefault="008E43AE">
                <w:pPr>
                  <w:spacing w:line="244" w:lineRule="exact"/>
                  <w:ind w:left="60"/>
                </w:pPr>
                <w:r>
                  <w:rPr>
                    <w:spacing w:val="-5"/>
                  </w:rPr>
                  <w:fldChar w:fldCharType="begin"/>
                </w:r>
                <w:r>
                  <w:rPr>
                    <w:spacing w:val="-5"/>
                  </w:rPr>
                  <w:instrText xml:space="preserve"> PAGE </w:instrText>
                </w:r>
                <w:r>
                  <w:rPr>
                    <w:spacing w:val="-5"/>
                  </w:rPr>
                  <w:fldChar w:fldCharType="separate"/>
                </w:r>
                <w:r>
                  <w:rPr>
                    <w:spacing w:val="-5"/>
                  </w:rPr>
                  <w:t>150</w:t>
                </w:r>
                <w:r>
                  <w:rPr>
                    <w:spacing w:val="-5"/>
                  </w:rPr>
                  <w:fldChar w:fldCharType="end"/>
                </w: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DEA9BE" w14:textId="77777777" w:rsidR="0010369C" w:rsidRDefault="008E43AE">
    <w:pPr>
      <w:pStyle w:val="BodyText"/>
      <w:spacing w:line="14" w:lineRule="auto"/>
      <w:rPr>
        <w:sz w:val="19"/>
      </w:rPr>
    </w:pPr>
    <w:r>
      <w:pict w14:anchorId="51DEAAAC">
        <v:shapetype id="_x0000_t202" coordsize="21600,21600" o:spt="202" path="m,l,21600r21600,l21600,xe">
          <v:stroke joinstyle="miter"/>
          <v:path gradientshapeok="t" o:connecttype="rect"/>
        </v:shapetype>
        <v:shape id="docshape12" o:spid="_x0000_s2402" type="#_x0000_t202" style="position:absolute;margin-left:511.3pt;margin-top:789.7pt;width:20.15pt;height:14.5pt;z-index:-25289728;mso-position-horizontal-relative:page;mso-position-vertical-relative:page" filled="f" stroked="f">
          <v:textbox inset="0,0,0,0">
            <w:txbxContent>
              <w:p w14:paraId="51DEACAC" w14:textId="77777777" w:rsidR="0010369C" w:rsidRDefault="008E43AE">
                <w:pPr>
                  <w:spacing w:before="20"/>
                  <w:ind w:left="60"/>
                  <w:rPr>
                    <w:rFonts w:ascii="Courier New"/>
                  </w:rPr>
                </w:pPr>
                <w:r>
                  <w:rPr>
                    <w:rFonts w:ascii="Courier New"/>
                    <w:color w:val="1A1A1A"/>
                    <w:spacing w:val="-5"/>
                  </w:rPr>
                  <w:fldChar w:fldCharType="begin"/>
                </w:r>
                <w:r>
                  <w:rPr>
                    <w:rFonts w:ascii="Courier New"/>
                    <w:color w:val="1A1A1A"/>
                    <w:spacing w:val="-5"/>
                  </w:rPr>
                  <w:instrText xml:space="preserve"> PAGE </w:instrText>
                </w:r>
                <w:r>
                  <w:rPr>
                    <w:rFonts w:ascii="Courier New"/>
                    <w:color w:val="1A1A1A"/>
                    <w:spacing w:val="-5"/>
                  </w:rPr>
                  <w:fldChar w:fldCharType="separate"/>
                </w:r>
                <w:r>
                  <w:rPr>
                    <w:rFonts w:ascii="Courier New"/>
                    <w:color w:val="1A1A1A"/>
                    <w:spacing w:val="-5"/>
                  </w:rPr>
                  <w:t>22</w:t>
                </w:r>
                <w:r>
                  <w:rPr>
                    <w:rFonts w:ascii="Courier New"/>
                    <w:color w:val="1A1A1A"/>
                    <w:spacing w:val="-5"/>
                  </w:rPr>
                  <w:fldChar w:fldCharType="end"/>
                </w:r>
              </w:p>
            </w:txbxContent>
          </v:textbox>
          <w10:wrap anchorx="page" anchory="page"/>
        </v:shape>
      </w:pic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DEAA06" w14:textId="77777777" w:rsidR="0010369C" w:rsidRDefault="008E43AE">
    <w:pPr>
      <w:pStyle w:val="BodyText"/>
      <w:spacing w:line="14" w:lineRule="auto"/>
      <w:rPr>
        <w:sz w:val="20"/>
      </w:rPr>
    </w:pPr>
    <w:r>
      <w:pict w14:anchorId="51DEAB0F">
        <v:shapetype id="_x0000_t202" coordsize="21600,21600" o:spt="202" path="m,l,21600r21600,l21600,xe">
          <v:stroke joinstyle="miter"/>
          <v:path gradientshapeok="t" o:connecttype="rect"/>
        </v:shapetype>
        <v:shape id="docshape879" o:spid="_x0000_s2303" type="#_x0000_t202" style="position:absolute;margin-left:504.65pt;margin-top:791.6pt;width:23.75pt;height:13pt;z-index:-25239040;mso-position-horizontal-relative:page;mso-position-vertical-relative:page" filled="f" stroked="f">
          <v:textbox inset="0,0,0,0">
            <w:txbxContent>
              <w:p w14:paraId="51DEACF0" w14:textId="77777777" w:rsidR="0010369C" w:rsidRDefault="008E43AE">
                <w:pPr>
                  <w:spacing w:line="244" w:lineRule="exact"/>
                  <w:ind w:left="60"/>
                </w:pPr>
                <w:r>
                  <w:rPr>
                    <w:spacing w:val="-5"/>
                  </w:rPr>
                  <w:fldChar w:fldCharType="begin"/>
                </w:r>
                <w:r>
                  <w:rPr>
                    <w:spacing w:val="-5"/>
                  </w:rPr>
                  <w:instrText xml:space="preserve"> PAGE </w:instrText>
                </w:r>
                <w:r>
                  <w:rPr>
                    <w:spacing w:val="-5"/>
                  </w:rPr>
                  <w:fldChar w:fldCharType="separate"/>
                </w:r>
                <w:r>
                  <w:rPr>
                    <w:spacing w:val="-5"/>
                  </w:rPr>
                  <w:t>153</w:t>
                </w:r>
                <w:r>
                  <w:rPr>
                    <w:spacing w:val="-5"/>
                  </w:rPr>
                  <w:fldChar w:fldCharType="end"/>
                </w:r>
              </w:p>
            </w:txbxContent>
          </v:textbox>
          <w10:wrap anchorx="page" anchory="page"/>
        </v:shape>
      </w:pic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DEAA08" w14:textId="77777777" w:rsidR="0010369C" w:rsidRDefault="008E43AE">
    <w:pPr>
      <w:pStyle w:val="BodyText"/>
      <w:spacing w:line="14" w:lineRule="auto"/>
      <w:rPr>
        <w:sz w:val="20"/>
      </w:rPr>
    </w:pPr>
    <w:r>
      <w:pict w14:anchorId="51DEAB12">
        <v:rect id="docshape889" o:spid="_x0000_s2300" style="position:absolute;margin-left:70.9pt;margin-top:687.85pt;width:2in;height:.8pt;z-index:-25237504;mso-position-horizontal-relative:page;mso-position-vertical-relative:page" fillcolor="black" stroked="f">
          <w10:wrap anchorx="page" anchory="page"/>
        </v:rect>
      </w:pict>
    </w:r>
    <w:r>
      <w:pict w14:anchorId="51DEAB13">
        <v:shapetype id="_x0000_t202" coordsize="21600,21600" o:spt="202" path="m,l,21600r21600,l21600,xe">
          <v:stroke joinstyle="miter"/>
          <v:path gradientshapeok="t" o:connecttype="rect"/>
        </v:shapetype>
        <v:shape id="docshape890" o:spid="_x0000_s2299" type="#_x0000_t202" style="position:absolute;margin-left:504.65pt;margin-top:791.6pt;width:23.75pt;height:13pt;z-index:-25236992;mso-position-horizontal-relative:page;mso-position-vertical-relative:page" filled="f" stroked="f">
          <v:textbox inset="0,0,0,0">
            <w:txbxContent>
              <w:p w14:paraId="51DEACF2" w14:textId="77777777" w:rsidR="0010369C" w:rsidRDefault="008E43AE">
                <w:pPr>
                  <w:spacing w:line="244" w:lineRule="exact"/>
                  <w:ind w:left="60"/>
                </w:pPr>
                <w:r>
                  <w:rPr>
                    <w:spacing w:val="-5"/>
                  </w:rPr>
                  <w:fldChar w:fldCharType="begin"/>
                </w:r>
                <w:r>
                  <w:rPr>
                    <w:spacing w:val="-5"/>
                  </w:rPr>
                  <w:instrText xml:space="preserve"> PAGE </w:instrText>
                </w:r>
                <w:r>
                  <w:rPr>
                    <w:spacing w:val="-5"/>
                  </w:rPr>
                  <w:fldChar w:fldCharType="separate"/>
                </w:r>
                <w:r>
                  <w:rPr>
                    <w:spacing w:val="-5"/>
                  </w:rPr>
                  <w:t>159</w:t>
                </w:r>
                <w:r>
                  <w:rPr>
                    <w:spacing w:val="-5"/>
                  </w:rPr>
                  <w:fldChar w:fldCharType="end"/>
                </w:r>
              </w:p>
            </w:txbxContent>
          </v:textbox>
          <w10:wrap anchorx="page" anchory="page"/>
        </v:shape>
      </w:pic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DEAA0A" w14:textId="77777777" w:rsidR="0010369C" w:rsidRDefault="008E43AE">
    <w:pPr>
      <w:pStyle w:val="BodyText"/>
      <w:spacing w:line="14" w:lineRule="auto"/>
      <w:rPr>
        <w:sz w:val="20"/>
      </w:rPr>
    </w:pPr>
    <w:r>
      <w:pict w14:anchorId="51DEAB16">
        <v:shapetype id="_x0000_t202" coordsize="21600,21600" o:spt="202" path="m,l,21600r21600,l21600,xe">
          <v:stroke joinstyle="miter"/>
          <v:path gradientshapeok="t" o:connecttype="rect"/>
        </v:shapetype>
        <v:shape id="docshape893" o:spid="_x0000_s2296" type="#_x0000_t202" style="position:absolute;margin-left:504.65pt;margin-top:791.6pt;width:23.75pt;height:13pt;z-index:-25235456;mso-position-horizontal-relative:page;mso-position-vertical-relative:page" filled="f" stroked="f">
          <v:textbox inset="0,0,0,0">
            <w:txbxContent>
              <w:p w14:paraId="51DEACF4" w14:textId="77777777" w:rsidR="0010369C" w:rsidRDefault="008E43AE">
                <w:pPr>
                  <w:spacing w:line="244" w:lineRule="exact"/>
                  <w:ind w:left="60"/>
                </w:pPr>
                <w:r>
                  <w:rPr>
                    <w:spacing w:val="-5"/>
                  </w:rPr>
                  <w:fldChar w:fldCharType="begin"/>
                </w:r>
                <w:r>
                  <w:rPr>
                    <w:spacing w:val="-5"/>
                  </w:rPr>
                  <w:instrText xml:space="preserve"> PAGE </w:instrText>
                </w:r>
                <w:r>
                  <w:rPr>
                    <w:spacing w:val="-5"/>
                  </w:rPr>
                  <w:fldChar w:fldCharType="separate"/>
                </w:r>
                <w:r>
                  <w:rPr>
                    <w:spacing w:val="-5"/>
                  </w:rPr>
                  <w:t>160</w:t>
                </w:r>
                <w:r>
                  <w:rPr>
                    <w:spacing w:val="-5"/>
                  </w:rPr>
                  <w:fldChar w:fldCharType="end"/>
                </w:r>
              </w:p>
            </w:txbxContent>
          </v:textbox>
          <w10:wrap anchorx="page" anchory="page"/>
        </v:shape>
      </w:pic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DEAA0C" w14:textId="77777777" w:rsidR="0010369C" w:rsidRDefault="008E43AE">
    <w:pPr>
      <w:pStyle w:val="BodyText"/>
      <w:spacing w:line="14" w:lineRule="auto"/>
      <w:rPr>
        <w:sz w:val="20"/>
      </w:rPr>
    </w:pPr>
    <w:r>
      <w:pict w14:anchorId="51DEAB19">
        <v:rect id="docshape900" o:spid="_x0000_s2293" style="position:absolute;margin-left:70.9pt;margin-top:709.8pt;width:2in;height:.8pt;z-index:-25233920;mso-position-horizontal-relative:page;mso-position-vertical-relative:page" fillcolor="black" stroked="f">
          <w10:wrap anchorx="page" anchory="page"/>
        </v:rect>
      </w:pict>
    </w:r>
    <w:r>
      <w:pict w14:anchorId="51DEAB1A">
        <v:shapetype id="_x0000_t202" coordsize="21600,21600" o:spt="202" path="m,l,21600r21600,l21600,xe">
          <v:stroke joinstyle="miter"/>
          <v:path gradientshapeok="t" o:connecttype="rect"/>
        </v:shapetype>
        <v:shape id="docshape901" o:spid="_x0000_s2292" type="#_x0000_t202" style="position:absolute;margin-left:504.65pt;margin-top:791.6pt;width:23.75pt;height:13pt;z-index:-25233408;mso-position-horizontal-relative:page;mso-position-vertical-relative:page" filled="f" stroked="f">
          <v:textbox inset="0,0,0,0">
            <w:txbxContent>
              <w:p w14:paraId="51DEACF6" w14:textId="77777777" w:rsidR="0010369C" w:rsidRDefault="008E43AE">
                <w:pPr>
                  <w:spacing w:line="244" w:lineRule="exact"/>
                  <w:ind w:left="60"/>
                </w:pPr>
                <w:r>
                  <w:rPr>
                    <w:spacing w:val="-5"/>
                  </w:rPr>
                  <w:fldChar w:fldCharType="begin"/>
                </w:r>
                <w:r>
                  <w:rPr>
                    <w:spacing w:val="-5"/>
                  </w:rPr>
                  <w:instrText xml:space="preserve"> PAGE </w:instrText>
                </w:r>
                <w:r>
                  <w:rPr>
                    <w:spacing w:val="-5"/>
                  </w:rPr>
                  <w:fldChar w:fldCharType="separate"/>
                </w:r>
                <w:r>
                  <w:rPr>
                    <w:spacing w:val="-5"/>
                  </w:rPr>
                  <w:t>164</w:t>
                </w:r>
                <w:r>
                  <w:rPr>
                    <w:spacing w:val="-5"/>
                  </w:rPr>
                  <w:fldChar w:fldCharType="end"/>
                </w:r>
              </w:p>
            </w:txbxContent>
          </v:textbox>
          <w10:wrap anchorx="page" anchory="page"/>
        </v:shape>
      </w:pic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DEAA0E" w14:textId="77777777" w:rsidR="0010369C" w:rsidRDefault="008E43AE">
    <w:pPr>
      <w:pStyle w:val="BodyText"/>
      <w:spacing w:line="14" w:lineRule="auto"/>
      <w:rPr>
        <w:sz w:val="20"/>
      </w:rPr>
    </w:pPr>
    <w:r>
      <w:pict w14:anchorId="51DEAB1D">
        <v:shapetype id="_x0000_t202" coordsize="21600,21600" o:spt="202" path="m,l,21600r21600,l21600,xe">
          <v:stroke joinstyle="miter"/>
          <v:path gradientshapeok="t" o:connecttype="rect"/>
        </v:shapetype>
        <v:shape id="docshape904" o:spid="_x0000_s2289" type="#_x0000_t202" style="position:absolute;margin-left:504.65pt;margin-top:791.6pt;width:23.75pt;height:13pt;z-index:-25231872;mso-position-horizontal-relative:page;mso-position-vertical-relative:page" filled="f" stroked="f">
          <v:textbox inset="0,0,0,0">
            <w:txbxContent>
              <w:p w14:paraId="51DEACF8" w14:textId="77777777" w:rsidR="0010369C" w:rsidRDefault="008E43AE">
                <w:pPr>
                  <w:spacing w:line="244" w:lineRule="exact"/>
                  <w:ind w:left="60"/>
                </w:pPr>
                <w:r>
                  <w:rPr>
                    <w:spacing w:val="-5"/>
                  </w:rPr>
                  <w:fldChar w:fldCharType="begin"/>
                </w:r>
                <w:r>
                  <w:rPr>
                    <w:spacing w:val="-5"/>
                  </w:rPr>
                  <w:instrText xml:space="preserve"> PAGE </w:instrText>
                </w:r>
                <w:r>
                  <w:rPr>
                    <w:spacing w:val="-5"/>
                  </w:rPr>
                  <w:fldChar w:fldCharType="separate"/>
                </w:r>
                <w:r>
                  <w:rPr>
                    <w:spacing w:val="-5"/>
                  </w:rPr>
                  <w:t>166</w:t>
                </w:r>
                <w:r>
                  <w:rPr>
                    <w:spacing w:val="-5"/>
                  </w:rPr>
                  <w:fldChar w:fldCharType="end"/>
                </w:r>
              </w:p>
            </w:txbxContent>
          </v:textbox>
          <w10:wrap anchorx="page" anchory="page"/>
        </v:shape>
      </w:pic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DEAA10" w14:textId="77777777" w:rsidR="0010369C" w:rsidRDefault="008E43AE">
    <w:pPr>
      <w:pStyle w:val="BodyText"/>
      <w:spacing w:line="14" w:lineRule="auto"/>
      <w:rPr>
        <w:sz w:val="20"/>
      </w:rPr>
    </w:pPr>
    <w:r>
      <w:pict w14:anchorId="51DEAB20">
        <v:rect id="docshape908" o:spid="_x0000_s2286" style="position:absolute;margin-left:70.9pt;margin-top:731.8pt;width:2in;height:.8pt;z-index:-25230336;mso-position-horizontal-relative:page;mso-position-vertical-relative:page" fillcolor="black" stroked="f">
          <w10:wrap anchorx="page" anchory="page"/>
        </v:rect>
      </w:pict>
    </w:r>
    <w:r>
      <w:pict w14:anchorId="51DEAB21">
        <v:shapetype id="_x0000_t202" coordsize="21600,21600" o:spt="202" path="m,l,21600r21600,l21600,xe">
          <v:stroke joinstyle="miter"/>
          <v:path gradientshapeok="t" o:connecttype="rect"/>
        </v:shapetype>
        <v:shape id="docshape909" o:spid="_x0000_s2285" type="#_x0000_t202" style="position:absolute;margin-left:504.65pt;margin-top:791.6pt;width:23.75pt;height:13pt;z-index:-25229824;mso-position-horizontal-relative:page;mso-position-vertical-relative:page" filled="f" stroked="f">
          <v:textbox inset="0,0,0,0">
            <w:txbxContent>
              <w:p w14:paraId="51DEACFA" w14:textId="77777777" w:rsidR="0010369C" w:rsidRDefault="008E43AE">
                <w:pPr>
                  <w:spacing w:line="244" w:lineRule="exact"/>
                  <w:ind w:left="60"/>
                </w:pPr>
                <w:r>
                  <w:rPr>
                    <w:spacing w:val="-5"/>
                  </w:rPr>
                  <w:fldChar w:fldCharType="begin"/>
                </w:r>
                <w:r>
                  <w:rPr>
                    <w:spacing w:val="-5"/>
                  </w:rPr>
                  <w:instrText xml:space="preserve"> PAGE </w:instrText>
                </w:r>
                <w:r>
                  <w:rPr>
                    <w:spacing w:val="-5"/>
                  </w:rPr>
                  <w:fldChar w:fldCharType="separate"/>
                </w:r>
                <w:r>
                  <w:rPr>
                    <w:spacing w:val="-5"/>
                  </w:rPr>
                  <w:t>167</w:t>
                </w:r>
                <w:r>
                  <w:rPr>
                    <w:spacing w:val="-5"/>
                  </w:rPr>
                  <w:fldChar w:fldCharType="end"/>
                </w:r>
              </w:p>
            </w:txbxContent>
          </v:textbox>
          <w10:wrap anchorx="page" anchory="page"/>
        </v:shape>
      </w:pic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DEAA12" w14:textId="77777777" w:rsidR="0010369C" w:rsidRDefault="008E43AE">
    <w:pPr>
      <w:pStyle w:val="BodyText"/>
      <w:spacing w:line="14" w:lineRule="auto"/>
      <w:rPr>
        <w:sz w:val="20"/>
      </w:rPr>
    </w:pPr>
    <w:r>
      <w:pict w14:anchorId="51DEAB24">
        <v:shapetype id="_x0000_t202" coordsize="21600,21600" o:spt="202" path="m,l,21600r21600,l21600,xe">
          <v:stroke joinstyle="miter"/>
          <v:path gradientshapeok="t" o:connecttype="rect"/>
        </v:shapetype>
        <v:shape id="docshape912" o:spid="_x0000_s2282" type="#_x0000_t202" style="position:absolute;margin-left:504.65pt;margin-top:791.6pt;width:23.75pt;height:13pt;z-index:-25228288;mso-position-horizontal-relative:page;mso-position-vertical-relative:page" filled="f" stroked="f">
          <v:textbox inset="0,0,0,0">
            <w:txbxContent>
              <w:p w14:paraId="51DEACFC" w14:textId="77777777" w:rsidR="0010369C" w:rsidRDefault="008E43AE">
                <w:pPr>
                  <w:spacing w:line="244" w:lineRule="exact"/>
                  <w:ind w:left="60"/>
                </w:pPr>
                <w:r>
                  <w:rPr>
                    <w:spacing w:val="-5"/>
                  </w:rPr>
                  <w:fldChar w:fldCharType="begin"/>
                </w:r>
                <w:r>
                  <w:rPr>
                    <w:spacing w:val="-5"/>
                  </w:rPr>
                  <w:instrText xml:space="preserve"> PAGE </w:instrText>
                </w:r>
                <w:r>
                  <w:rPr>
                    <w:spacing w:val="-5"/>
                  </w:rPr>
                  <w:fldChar w:fldCharType="separate"/>
                </w:r>
                <w:r>
                  <w:rPr>
                    <w:spacing w:val="-5"/>
                  </w:rPr>
                  <w:t>168</w:t>
                </w:r>
                <w:r>
                  <w:rPr>
                    <w:spacing w:val="-5"/>
                  </w:rPr>
                  <w:fldChar w:fldCharType="end"/>
                </w:r>
              </w:p>
            </w:txbxContent>
          </v:textbox>
          <w10:wrap anchorx="page" anchory="page"/>
        </v:shape>
      </w:pic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DEAA14" w14:textId="77777777" w:rsidR="0010369C" w:rsidRDefault="008E43AE">
    <w:pPr>
      <w:pStyle w:val="BodyText"/>
      <w:spacing w:line="14" w:lineRule="auto"/>
      <w:rPr>
        <w:sz w:val="20"/>
      </w:rPr>
    </w:pPr>
    <w:r>
      <w:pict w14:anchorId="51DEAB27">
        <v:rect id="docshape919" o:spid="_x0000_s2279" style="position:absolute;margin-left:70.9pt;margin-top:731.8pt;width:2in;height:.8pt;z-index:-25226752;mso-position-horizontal-relative:page;mso-position-vertical-relative:page" fillcolor="black" stroked="f">
          <w10:wrap anchorx="page" anchory="page"/>
        </v:rect>
      </w:pict>
    </w:r>
    <w:r>
      <w:pict w14:anchorId="51DEAB28">
        <v:shapetype id="_x0000_t202" coordsize="21600,21600" o:spt="202" path="m,l,21600r21600,l21600,xe">
          <v:stroke joinstyle="miter"/>
          <v:path gradientshapeok="t" o:connecttype="rect"/>
        </v:shapetype>
        <v:shape id="docshape920" o:spid="_x0000_s2278" type="#_x0000_t202" style="position:absolute;margin-left:504.65pt;margin-top:791.6pt;width:23.75pt;height:13pt;z-index:-25226240;mso-position-horizontal-relative:page;mso-position-vertical-relative:page" filled="f" stroked="f">
          <v:textbox inset="0,0,0,0">
            <w:txbxContent>
              <w:p w14:paraId="51DEACFE" w14:textId="77777777" w:rsidR="0010369C" w:rsidRDefault="008E43AE">
                <w:pPr>
                  <w:spacing w:line="244" w:lineRule="exact"/>
                  <w:ind w:left="60"/>
                </w:pPr>
                <w:r>
                  <w:rPr>
                    <w:spacing w:val="-5"/>
                  </w:rPr>
                  <w:fldChar w:fldCharType="begin"/>
                </w:r>
                <w:r>
                  <w:rPr>
                    <w:spacing w:val="-5"/>
                  </w:rPr>
                  <w:instrText xml:space="preserve"> PAGE </w:instrText>
                </w:r>
                <w:r>
                  <w:rPr>
                    <w:spacing w:val="-5"/>
                  </w:rPr>
                  <w:fldChar w:fldCharType="separate"/>
                </w:r>
                <w:r>
                  <w:rPr>
                    <w:spacing w:val="-5"/>
                  </w:rPr>
                  <w:t>172</w:t>
                </w:r>
                <w:r>
                  <w:rPr>
                    <w:spacing w:val="-5"/>
                  </w:rPr>
                  <w:fldChar w:fldCharType="end"/>
                </w:r>
              </w:p>
            </w:txbxContent>
          </v:textbox>
          <w10:wrap anchorx="page" anchory="page"/>
        </v:shape>
      </w:pic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DEAA16" w14:textId="77777777" w:rsidR="0010369C" w:rsidRDefault="008E43AE">
    <w:pPr>
      <w:pStyle w:val="BodyText"/>
      <w:spacing w:line="14" w:lineRule="auto"/>
      <w:rPr>
        <w:sz w:val="20"/>
      </w:rPr>
    </w:pPr>
    <w:r>
      <w:pict w14:anchorId="51DEAB2B">
        <v:rect id="docshape923" o:spid="_x0000_s2275" style="position:absolute;margin-left:70.9pt;margin-top:731.8pt;width:2in;height:.8pt;z-index:-25224704;mso-position-horizontal-relative:page;mso-position-vertical-relative:page" fillcolor="black" stroked="f">
          <w10:wrap anchorx="page" anchory="page"/>
        </v:rect>
      </w:pict>
    </w:r>
    <w:r>
      <w:pict w14:anchorId="51DEAB2C">
        <v:shapetype id="_x0000_t202" coordsize="21600,21600" o:spt="202" path="m,l,21600r21600,l21600,xe">
          <v:stroke joinstyle="miter"/>
          <v:path gradientshapeok="t" o:connecttype="rect"/>
        </v:shapetype>
        <v:shape id="docshape924" o:spid="_x0000_s2274" type="#_x0000_t202" style="position:absolute;margin-left:69.9pt;margin-top:738.15pt;width:220.7pt;height:33.75pt;z-index:-25224192;mso-position-horizontal-relative:page;mso-position-vertical-relative:page" filled="f" stroked="f">
          <v:textbox inset="0,0,0,0">
            <w:txbxContent>
              <w:p w14:paraId="51DEAD00" w14:textId="77777777" w:rsidR="0010369C" w:rsidRDefault="008E43AE">
                <w:pPr>
                  <w:spacing w:line="218" w:lineRule="exact"/>
                  <w:ind w:left="20"/>
                  <w:rPr>
                    <w:sz w:val="18"/>
                  </w:rPr>
                </w:pPr>
                <w:r>
                  <w:rPr>
                    <w:sz w:val="18"/>
                    <w:vertAlign w:val="superscript"/>
                  </w:rPr>
                  <w:t>522</w:t>
                </w:r>
                <w:r>
                  <w:rPr>
                    <w:spacing w:val="-5"/>
                    <w:sz w:val="18"/>
                  </w:rPr>
                  <w:t xml:space="preserve"> </w:t>
                </w:r>
                <w:r>
                  <w:rPr>
                    <w:sz w:val="18"/>
                  </w:rPr>
                  <w:t>See</w:t>
                </w:r>
                <w:r>
                  <w:rPr>
                    <w:spacing w:val="-5"/>
                    <w:sz w:val="18"/>
                  </w:rPr>
                  <w:t xml:space="preserve"> </w:t>
                </w:r>
                <w:r>
                  <w:rPr>
                    <w:sz w:val="18"/>
                  </w:rPr>
                  <w:t>section</w:t>
                </w:r>
                <w:r>
                  <w:rPr>
                    <w:spacing w:val="-5"/>
                    <w:sz w:val="18"/>
                  </w:rPr>
                  <w:t xml:space="preserve"> </w:t>
                </w:r>
                <w:r>
                  <w:rPr>
                    <w:spacing w:val="-2"/>
                    <w:sz w:val="18"/>
                  </w:rPr>
                  <w:t>II.F.2.</w:t>
                </w:r>
              </w:p>
              <w:p w14:paraId="51DEAD01" w14:textId="77777777" w:rsidR="0010369C" w:rsidRDefault="008E43AE">
                <w:pPr>
                  <w:ind w:left="20"/>
                  <w:rPr>
                    <w:sz w:val="18"/>
                  </w:rPr>
                </w:pPr>
                <w:r>
                  <w:rPr>
                    <w:sz w:val="18"/>
                    <w:vertAlign w:val="superscript"/>
                  </w:rPr>
                  <w:t>523</w:t>
                </w:r>
                <w:r>
                  <w:rPr>
                    <w:spacing w:val="-9"/>
                    <w:sz w:val="18"/>
                  </w:rPr>
                  <w:t xml:space="preserve"> </w:t>
                </w:r>
                <w:r>
                  <w:rPr>
                    <w:sz w:val="18"/>
                  </w:rPr>
                  <w:t>Anti‐Dumping</w:t>
                </w:r>
                <w:r>
                  <w:rPr>
                    <w:spacing w:val="-9"/>
                    <w:sz w:val="18"/>
                  </w:rPr>
                  <w:t xml:space="preserve"> </w:t>
                </w:r>
                <w:r>
                  <w:rPr>
                    <w:sz w:val="18"/>
                  </w:rPr>
                  <w:t>Final</w:t>
                </w:r>
                <w:r>
                  <w:rPr>
                    <w:spacing w:val="-9"/>
                    <w:sz w:val="18"/>
                  </w:rPr>
                  <w:t xml:space="preserve"> </w:t>
                </w:r>
                <w:r>
                  <w:rPr>
                    <w:sz w:val="18"/>
                  </w:rPr>
                  <w:t>Determination</w:t>
                </w:r>
                <w:r>
                  <w:rPr>
                    <w:spacing w:val="-8"/>
                    <w:sz w:val="18"/>
                  </w:rPr>
                  <w:t xml:space="preserve"> </w:t>
                </w:r>
                <w:r>
                  <w:rPr>
                    <w:sz w:val="18"/>
                  </w:rPr>
                  <w:t>(Exhibit</w:t>
                </w:r>
                <w:r>
                  <w:rPr>
                    <w:spacing w:val="-9"/>
                    <w:sz w:val="18"/>
                  </w:rPr>
                  <w:t xml:space="preserve"> </w:t>
                </w:r>
                <w:r>
                  <w:rPr>
                    <w:sz w:val="18"/>
                  </w:rPr>
                  <w:t>AUS‐2),</w:t>
                </w:r>
                <w:r>
                  <w:rPr>
                    <w:spacing w:val="-9"/>
                    <w:sz w:val="18"/>
                  </w:rPr>
                  <w:t xml:space="preserve"> </w:t>
                </w:r>
                <w:r>
                  <w:rPr>
                    <w:sz w:val="18"/>
                  </w:rPr>
                  <w:t>p.</w:t>
                </w:r>
                <w:r>
                  <w:rPr>
                    <w:spacing w:val="-9"/>
                    <w:sz w:val="18"/>
                  </w:rPr>
                  <w:t xml:space="preserve"> </w:t>
                </w:r>
                <w:r>
                  <w:rPr>
                    <w:spacing w:val="-5"/>
                    <w:sz w:val="18"/>
                  </w:rPr>
                  <w:t>1.</w:t>
                </w:r>
              </w:p>
              <w:p w14:paraId="51DEAD02" w14:textId="77777777" w:rsidR="0010369C" w:rsidRDefault="008E43AE">
                <w:pPr>
                  <w:ind w:left="20"/>
                  <w:rPr>
                    <w:sz w:val="18"/>
                  </w:rPr>
                </w:pPr>
                <w:r>
                  <w:rPr>
                    <w:sz w:val="18"/>
                    <w:vertAlign w:val="superscript"/>
                  </w:rPr>
                  <w:t>524</w:t>
                </w:r>
                <w:r>
                  <w:rPr>
                    <w:spacing w:val="-9"/>
                    <w:sz w:val="18"/>
                  </w:rPr>
                  <w:t xml:space="preserve"> </w:t>
                </w:r>
                <w:r>
                  <w:rPr>
                    <w:sz w:val="18"/>
                  </w:rPr>
                  <w:t>Anti‐Dumping</w:t>
                </w:r>
                <w:r>
                  <w:rPr>
                    <w:spacing w:val="-9"/>
                    <w:sz w:val="18"/>
                  </w:rPr>
                  <w:t xml:space="preserve"> </w:t>
                </w:r>
                <w:r>
                  <w:rPr>
                    <w:sz w:val="18"/>
                  </w:rPr>
                  <w:t>Final</w:t>
                </w:r>
                <w:r>
                  <w:rPr>
                    <w:spacing w:val="-9"/>
                    <w:sz w:val="18"/>
                  </w:rPr>
                  <w:t xml:space="preserve"> </w:t>
                </w:r>
                <w:r>
                  <w:rPr>
                    <w:sz w:val="18"/>
                  </w:rPr>
                  <w:t>Determination</w:t>
                </w:r>
                <w:r>
                  <w:rPr>
                    <w:spacing w:val="-8"/>
                    <w:sz w:val="18"/>
                  </w:rPr>
                  <w:t xml:space="preserve"> </w:t>
                </w:r>
                <w:r>
                  <w:rPr>
                    <w:sz w:val="18"/>
                  </w:rPr>
                  <w:t>(Exhibit</w:t>
                </w:r>
                <w:r>
                  <w:rPr>
                    <w:spacing w:val="-9"/>
                    <w:sz w:val="18"/>
                  </w:rPr>
                  <w:t xml:space="preserve"> </w:t>
                </w:r>
                <w:r>
                  <w:rPr>
                    <w:sz w:val="18"/>
                  </w:rPr>
                  <w:t>AUS‐2),</w:t>
                </w:r>
                <w:r>
                  <w:rPr>
                    <w:spacing w:val="-9"/>
                    <w:sz w:val="18"/>
                  </w:rPr>
                  <w:t xml:space="preserve"> </w:t>
                </w:r>
                <w:r>
                  <w:rPr>
                    <w:sz w:val="18"/>
                  </w:rPr>
                  <w:t>p.</w:t>
                </w:r>
                <w:r>
                  <w:rPr>
                    <w:spacing w:val="-9"/>
                    <w:sz w:val="18"/>
                  </w:rPr>
                  <w:t xml:space="preserve"> </w:t>
                </w:r>
                <w:r>
                  <w:rPr>
                    <w:spacing w:val="-5"/>
                    <w:sz w:val="18"/>
                  </w:rPr>
                  <w:t>97.</w:t>
                </w:r>
              </w:p>
            </w:txbxContent>
          </v:textbox>
          <w10:wrap anchorx="page" anchory="page"/>
        </v:shape>
      </w:pict>
    </w:r>
    <w:r>
      <w:pict w14:anchorId="51DEAB2D">
        <v:shape id="docshape925" o:spid="_x0000_s2273" type="#_x0000_t202" style="position:absolute;margin-left:506.65pt;margin-top:791.6pt;width:18.75pt;height:13pt;z-index:-25223680;mso-position-horizontal-relative:page;mso-position-vertical-relative:page" filled="f" stroked="f">
          <v:textbox inset="0,0,0,0">
            <w:txbxContent>
              <w:p w14:paraId="51DEAD03" w14:textId="77777777" w:rsidR="0010369C" w:rsidRDefault="008E43AE">
                <w:pPr>
                  <w:spacing w:line="244" w:lineRule="exact"/>
                  <w:ind w:left="20"/>
                </w:pPr>
                <w:r>
                  <w:rPr>
                    <w:spacing w:val="-5"/>
                  </w:rPr>
                  <w:t>173</w:t>
                </w:r>
              </w:p>
            </w:txbxContent>
          </v:textbox>
          <w10:wrap anchorx="page" anchory="page"/>
        </v:shape>
      </w:pic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DEAA18" w14:textId="77777777" w:rsidR="0010369C" w:rsidRDefault="008E43AE">
    <w:pPr>
      <w:pStyle w:val="BodyText"/>
      <w:spacing w:line="14" w:lineRule="auto"/>
      <w:rPr>
        <w:sz w:val="20"/>
      </w:rPr>
    </w:pPr>
    <w:r>
      <w:pict w14:anchorId="51DEAB30">
        <v:shapetype id="_x0000_t202" coordsize="21600,21600" o:spt="202" path="m,l,21600r21600,l21600,xe">
          <v:stroke joinstyle="miter"/>
          <v:path gradientshapeok="t" o:connecttype="rect"/>
        </v:shapetype>
        <v:shape id="docshape933" o:spid="_x0000_s2270" type="#_x0000_t202" style="position:absolute;margin-left:69.9pt;margin-top:749.1pt;width:223.2pt;height:22.75pt;z-index:-25222144;mso-position-horizontal-relative:page;mso-position-vertical-relative:page" filled="f" stroked="f">
          <v:textbox inset="0,0,0,0">
            <w:txbxContent>
              <w:p w14:paraId="51DEAD05" w14:textId="77777777" w:rsidR="0010369C" w:rsidRDefault="008E43AE">
                <w:pPr>
                  <w:spacing w:line="218" w:lineRule="exact"/>
                  <w:ind w:left="20"/>
                  <w:rPr>
                    <w:sz w:val="18"/>
                  </w:rPr>
                </w:pPr>
                <w:r>
                  <w:rPr>
                    <w:sz w:val="18"/>
                    <w:vertAlign w:val="superscript"/>
                  </w:rPr>
                  <w:t>525</w:t>
                </w:r>
                <w:r>
                  <w:rPr>
                    <w:spacing w:val="-9"/>
                    <w:sz w:val="18"/>
                  </w:rPr>
                  <w:t xml:space="preserve"> </w:t>
                </w:r>
                <w:r>
                  <w:rPr>
                    <w:sz w:val="18"/>
                  </w:rPr>
                  <w:t>Anti‐Dumping</w:t>
                </w:r>
                <w:r>
                  <w:rPr>
                    <w:spacing w:val="-9"/>
                    <w:sz w:val="18"/>
                  </w:rPr>
                  <w:t xml:space="preserve"> </w:t>
                </w:r>
                <w:r>
                  <w:rPr>
                    <w:sz w:val="18"/>
                  </w:rPr>
                  <w:t>Final</w:t>
                </w:r>
                <w:r>
                  <w:rPr>
                    <w:spacing w:val="-9"/>
                    <w:sz w:val="18"/>
                  </w:rPr>
                  <w:t xml:space="preserve"> </w:t>
                </w:r>
                <w:r>
                  <w:rPr>
                    <w:sz w:val="18"/>
                  </w:rPr>
                  <w:t>Determination</w:t>
                </w:r>
                <w:r>
                  <w:rPr>
                    <w:spacing w:val="-8"/>
                    <w:sz w:val="18"/>
                  </w:rPr>
                  <w:t xml:space="preserve"> </w:t>
                </w:r>
                <w:r>
                  <w:rPr>
                    <w:sz w:val="18"/>
                  </w:rPr>
                  <w:t>(Exhibit</w:t>
                </w:r>
                <w:r>
                  <w:rPr>
                    <w:spacing w:val="-9"/>
                    <w:sz w:val="18"/>
                  </w:rPr>
                  <w:t xml:space="preserve"> </w:t>
                </w:r>
                <w:r>
                  <w:rPr>
                    <w:sz w:val="18"/>
                  </w:rPr>
                  <w:t>AUS‐2),</w:t>
                </w:r>
                <w:r>
                  <w:rPr>
                    <w:spacing w:val="-9"/>
                    <w:sz w:val="18"/>
                  </w:rPr>
                  <w:t xml:space="preserve"> </w:t>
                </w:r>
                <w:r>
                  <w:rPr>
                    <w:sz w:val="18"/>
                  </w:rPr>
                  <w:t>p.</w:t>
                </w:r>
                <w:r>
                  <w:rPr>
                    <w:spacing w:val="-9"/>
                    <w:sz w:val="18"/>
                  </w:rPr>
                  <w:t xml:space="preserve"> </w:t>
                </w:r>
                <w:r>
                  <w:rPr>
                    <w:spacing w:val="-5"/>
                    <w:sz w:val="18"/>
                  </w:rPr>
                  <w:t>97.</w:t>
                </w:r>
              </w:p>
              <w:p w14:paraId="51DEAD06" w14:textId="77777777" w:rsidR="0010369C" w:rsidRDefault="008E43AE">
                <w:pPr>
                  <w:ind w:left="20"/>
                  <w:rPr>
                    <w:sz w:val="18"/>
                  </w:rPr>
                </w:pPr>
                <w:r>
                  <w:rPr>
                    <w:sz w:val="18"/>
                    <w:vertAlign w:val="superscript"/>
                  </w:rPr>
                  <w:t>526</w:t>
                </w:r>
                <w:r>
                  <w:rPr>
                    <w:spacing w:val="-11"/>
                    <w:sz w:val="18"/>
                  </w:rPr>
                  <w:t xml:space="preserve"> </w:t>
                </w:r>
                <w:r>
                  <w:rPr>
                    <w:sz w:val="18"/>
                  </w:rPr>
                  <w:t>Anti‐Dumping</w:t>
                </w:r>
                <w:r>
                  <w:rPr>
                    <w:spacing w:val="-10"/>
                    <w:sz w:val="18"/>
                  </w:rPr>
                  <w:t xml:space="preserve"> </w:t>
                </w:r>
                <w:r>
                  <w:rPr>
                    <w:sz w:val="18"/>
                  </w:rPr>
                  <w:t>Final</w:t>
                </w:r>
                <w:r>
                  <w:rPr>
                    <w:spacing w:val="-10"/>
                    <w:sz w:val="18"/>
                  </w:rPr>
                  <w:t xml:space="preserve"> </w:t>
                </w:r>
                <w:r>
                  <w:rPr>
                    <w:sz w:val="18"/>
                  </w:rPr>
                  <w:t>Determination</w:t>
                </w:r>
                <w:r>
                  <w:rPr>
                    <w:spacing w:val="-9"/>
                    <w:sz w:val="18"/>
                  </w:rPr>
                  <w:t xml:space="preserve"> </w:t>
                </w:r>
                <w:r>
                  <w:rPr>
                    <w:sz w:val="18"/>
                  </w:rPr>
                  <w:t>(Exhibit</w:t>
                </w:r>
                <w:r>
                  <w:rPr>
                    <w:spacing w:val="-11"/>
                    <w:sz w:val="18"/>
                  </w:rPr>
                  <w:t xml:space="preserve"> </w:t>
                </w:r>
                <w:r>
                  <w:rPr>
                    <w:sz w:val="18"/>
                  </w:rPr>
                  <w:t>AUS‐2),</w:t>
                </w:r>
                <w:r>
                  <w:rPr>
                    <w:spacing w:val="-10"/>
                    <w:sz w:val="18"/>
                  </w:rPr>
                  <w:t xml:space="preserve"> </w:t>
                </w:r>
                <w:r>
                  <w:rPr>
                    <w:spacing w:val="-2"/>
                    <w:sz w:val="18"/>
                  </w:rPr>
                  <w:t>p.100.</w:t>
                </w:r>
              </w:p>
            </w:txbxContent>
          </v:textbox>
          <w10:wrap anchorx="page" anchory="page"/>
        </v:shape>
      </w:pict>
    </w:r>
    <w:r>
      <w:pict w14:anchorId="51DEAB31">
        <v:shape id="docshape934" o:spid="_x0000_s2269" type="#_x0000_t202" style="position:absolute;margin-left:506.65pt;margin-top:791.6pt;width:18.75pt;height:13pt;z-index:-25221632;mso-position-horizontal-relative:page;mso-position-vertical-relative:page" filled="f" stroked="f">
          <v:textbox inset="0,0,0,0">
            <w:txbxContent>
              <w:p w14:paraId="51DEAD07" w14:textId="77777777" w:rsidR="0010369C" w:rsidRDefault="008E43AE">
                <w:pPr>
                  <w:spacing w:line="244" w:lineRule="exact"/>
                  <w:ind w:left="20"/>
                </w:pPr>
                <w:r>
                  <w:rPr>
                    <w:spacing w:val="-5"/>
                  </w:rPr>
                  <w:t>174</w:t>
                </w:r>
              </w:p>
            </w:txbxContent>
          </v:textbox>
          <w10:wrap anchorx="page" anchory="page"/>
        </v:shape>
      </w:pic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DEA9C0" w14:textId="77777777" w:rsidR="0010369C" w:rsidRDefault="008E43AE">
    <w:pPr>
      <w:pStyle w:val="BodyText"/>
      <w:spacing w:line="14" w:lineRule="auto"/>
      <w:rPr>
        <w:sz w:val="20"/>
      </w:rPr>
    </w:pPr>
    <w:r>
      <w:pict w14:anchorId="51DEAAAD">
        <v:shapetype id="_x0000_t202" coordsize="21600,21600" o:spt="202" path="m,l,21600r21600,l21600,xe">
          <v:stroke joinstyle="miter"/>
          <v:path gradientshapeok="t" o:connecttype="rect"/>
        </v:shapetype>
        <v:shape id="docshape14" o:spid="_x0000_s2401" type="#_x0000_t202" style="position:absolute;margin-left:510.25pt;margin-top:791.6pt;width:18.2pt;height:13pt;z-index:-25289216;mso-position-horizontal-relative:page;mso-position-vertical-relative:page" filled="f" stroked="f">
          <v:textbox inset="0,0,0,0">
            <w:txbxContent>
              <w:p w14:paraId="51DEACAD" w14:textId="77777777" w:rsidR="0010369C" w:rsidRDefault="008E43AE">
                <w:pPr>
                  <w:spacing w:line="244" w:lineRule="exact"/>
                  <w:ind w:left="60"/>
                </w:pPr>
                <w:r>
                  <w:rPr>
                    <w:spacing w:val="-5"/>
                  </w:rPr>
                  <w:fldChar w:fldCharType="begin"/>
                </w:r>
                <w:r>
                  <w:rPr>
                    <w:spacing w:val="-5"/>
                  </w:rPr>
                  <w:instrText xml:space="preserve"> PAGE </w:instrText>
                </w:r>
                <w:r>
                  <w:rPr>
                    <w:spacing w:val="-5"/>
                  </w:rPr>
                  <w:fldChar w:fldCharType="separate"/>
                </w:r>
                <w:r>
                  <w:rPr>
                    <w:spacing w:val="-5"/>
                  </w:rPr>
                  <w:t>21</w:t>
                </w:r>
                <w:r>
                  <w:rPr>
                    <w:spacing w:val="-5"/>
                  </w:rPr>
                  <w:fldChar w:fldCharType="end"/>
                </w:r>
              </w:p>
            </w:txbxContent>
          </v:textbox>
          <w10:wrap anchorx="page" anchory="page"/>
        </v:shape>
      </w:pic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DEAA1A" w14:textId="77777777" w:rsidR="0010369C" w:rsidRDefault="008E43AE">
    <w:pPr>
      <w:pStyle w:val="BodyText"/>
      <w:spacing w:line="14" w:lineRule="auto"/>
      <w:rPr>
        <w:sz w:val="20"/>
      </w:rPr>
    </w:pPr>
    <w:r>
      <w:pict w14:anchorId="51DEAB34">
        <v:shapetype id="_x0000_t202" coordsize="21600,21600" o:spt="202" path="m,l,21600r21600,l21600,xe">
          <v:stroke joinstyle="miter"/>
          <v:path gradientshapeok="t" o:connecttype="rect"/>
        </v:shapetype>
        <v:shape id="docshape938" o:spid="_x0000_s2266" type="#_x0000_t202" style="position:absolute;margin-left:69.85pt;margin-top:749.85pt;width:199.95pt;height:22pt;z-index:-25220096;mso-position-horizontal-relative:page;mso-position-vertical-relative:page" filled="f" stroked="f">
          <v:textbox inset="0,0,0,0">
            <w:txbxContent>
              <w:p w14:paraId="51DEAD09" w14:textId="77777777" w:rsidR="0010369C" w:rsidRDefault="008E43AE">
                <w:pPr>
                  <w:spacing w:line="203" w:lineRule="exact"/>
                  <w:ind w:left="20"/>
                  <w:rPr>
                    <w:sz w:val="18"/>
                  </w:rPr>
                </w:pPr>
                <w:r>
                  <w:rPr>
                    <w:i/>
                    <w:sz w:val="18"/>
                  </w:rPr>
                  <w:t>Products</w:t>
                </w:r>
                <w:r>
                  <w:rPr>
                    <w:sz w:val="18"/>
                  </w:rPr>
                  <w:t>,</w:t>
                </w:r>
                <w:r>
                  <w:rPr>
                    <w:spacing w:val="-10"/>
                    <w:sz w:val="18"/>
                  </w:rPr>
                  <w:t xml:space="preserve"> </w:t>
                </w:r>
                <w:r>
                  <w:rPr>
                    <w:sz w:val="18"/>
                  </w:rPr>
                  <w:t>para.</w:t>
                </w:r>
                <w:r>
                  <w:rPr>
                    <w:spacing w:val="-9"/>
                    <w:sz w:val="18"/>
                  </w:rPr>
                  <w:t xml:space="preserve"> </w:t>
                </w:r>
                <w:r>
                  <w:rPr>
                    <w:spacing w:val="-2"/>
                    <w:sz w:val="18"/>
                  </w:rPr>
                  <w:t>7.311.</w:t>
                </w:r>
              </w:p>
              <w:p w14:paraId="51DEAD0A" w14:textId="77777777" w:rsidR="0010369C" w:rsidRDefault="008E43AE">
                <w:pPr>
                  <w:ind w:left="21"/>
                  <w:rPr>
                    <w:sz w:val="18"/>
                  </w:rPr>
                </w:pPr>
                <w:r>
                  <w:rPr>
                    <w:sz w:val="18"/>
                    <w:vertAlign w:val="superscript"/>
                  </w:rPr>
                  <w:t>528</w:t>
                </w:r>
                <w:r>
                  <w:rPr>
                    <w:spacing w:val="-6"/>
                    <w:sz w:val="18"/>
                  </w:rPr>
                  <w:t xml:space="preserve"> </w:t>
                </w:r>
                <w:r>
                  <w:rPr>
                    <w:sz w:val="18"/>
                  </w:rPr>
                  <w:t>Panel</w:t>
                </w:r>
                <w:r>
                  <w:rPr>
                    <w:spacing w:val="-7"/>
                    <w:sz w:val="18"/>
                  </w:rPr>
                  <w:t xml:space="preserve"> </w:t>
                </w:r>
                <w:r>
                  <w:rPr>
                    <w:sz w:val="18"/>
                  </w:rPr>
                  <w:t>Report,</w:t>
                </w:r>
                <w:r>
                  <w:rPr>
                    <w:spacing w:val="-5"/>
                    <w:sz w:val="18"/>
                  </w:rPr>
                  <w:t xml:space="preserve"> </w:t>
                </w:r>
                <w:r>
                  <w:rPr>
                    <w:i/>
                    <w:sz w:val="18"/>
                  </w:rPr>
                  <w:t>China</w:t>
                </w:r>
                <w:r>
                  <w:rPr>
                    <w:i/>
                    <w:spacing w:val="-6"/>
                    <w:sz w:val="18"/>
                  </w:rPr>
                  <w:t xml:space="preserve"> </w:t>
                </w:r>
                <w:r>
                  <w:rPr>
                    <w:i/>
                    <w:sz w:val="18"/>
                  </w:rPr>
                  <w:t>–</w:t>
                </w:r>
                <w:r>
                  <w:rPr>
                    <w:i/>
                    <w:spacing w:val="-6"/>
                    <w:sz w:val="18"/>
                  </w:rPr>
                  <w:t xml:space="preserve"> </w:t>
                </w:r>
                <w:r>
                  <w:rPr>
                    <w:i/>
                    <w:sz w:val="18"/>
                  </w:rPr>
                  <w:t>Broiler</w:t>
                </w:r>
                <w:r>
                  <w:rPr>
                    <w:i/>
                    <w:spacing w:val="-6"/>
                    <w:sz w:val="18"/>
                  </w:rPr>
                  <w:t xml:space="preserve"> </w:t>
                </w:r>
                <w:r>
                  <w:rPr>
                    <w:i/>
                    <w:sz w:val="18"/>
                  </w:rPr>
                  <w:t>Products</w:t>
                </w:r>
                <w:r>
                  <w:rPr>
                    <w:sz w:val="18"/>
                  </w:rPr>
                  <w:t>,</w:t>
                </w:r>
                <w:r>
                  <w:rPr>
                    <w:spacing w:val="-7"/>
                    <w:sz w:val="18"/>
                  </w:rPr>
                  <w:t xml:space="preserve"> </w:t>
                </w:r>
                <w:r>
                  <w:rPr>
                    <w:sz w:val="18"/>
                  </w:rPr>
                  <w:t>para.</w:t>
                </w:r>
                <w:r>
                  <w:rPr>
                    <w:spacing w:val="-5"/>
                    <w:sz w:val="18"/>
                  </w:rPr>
                  <w:t xml:space="preserve"> </w:t>
                </w:r>
                <w:r>
                  <w:rPr>
                    <w:spacing w:val="-2"/>
                    <w:sz w:val="18"/>
                  </w:rPr>
                  <w:t>7.312.</w:t>
                </w:r>
              </w:p>
            </w:txbxContent>
          </v:textbox>
          <w10:wrap anchorx="page" anchory="page"/>
        </v:shape>
      </w:pict>
    </w:r>
    <w:r>
      <w:pict w14:anchorId="51DEAB35">
        <v:shape id="docshape939" o:spid="_x0000_s2265" type="#_x0000_t202" style="position:absolute;margin-left:506.65pt;margin-top:791.6pt;width:18.75pt;height:13pt;z-index:-25219584;mso-position-horizontal-relative:page;mso-position-vertical-relative:page" filled="f" stroked="f">
          <v:textbox inset="0,0,0,0">
            <w:txbxContent>
              <w:p w14:paraId="51DEAD0B" w14:textId="77777777" w:rsidR="0010369C" w:rsidRDefault="008E43AE">
                <w:pPr>
                  <w:spacing w:line="244" w:lineRule="exact"/>
                  <w:ind w:left="20"/>
                </w:pPr>
                <w:r>
                  <w:rPr>
                    <w:spacing w:val="-5"/>
                  </w:rPr>
                  <w:t>175</w:t>
                </w:r>
              </w:p>
            </w:txbxContent>
          </v:textbox>
          <w10:wrap anchorx="page" anchory="page"/>
        </v:shape>
      </w:pic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DEAA1C" w14:textId="77777777" w:rsidR="0010369C" w:rsidRDefault="008E43AE">
    <w:pPr>
      <w:pStyle w:val="BodyText"/>
      <w:spacing w:line="14" w:lineRule="auto"/>
      <w:rPr>
        <w:sz w:val="20"/>
      </w:rPr>
    </w:pPr>
    <w:r>
      <w:pict w14:anchorId="51DEAB38">
        <v:shapetype id="_x0000_t202" coordsize="21600,21600" o:spt="202" path="m,l,21600r21600,l21600,xe">
          <v:stroke joinstyle="miter"/>
          <v:path gradientshapeok="t" o:connecttype="rect"/>
        </v:shapetype>
        <v:shape id="docshape943" o:spid="_x0000_s2262" type="#_x0000_t202" style="position:absolute;margin-left:504.65pt;margin-top:791.6pt;width:23.75pt;height:13pt;z-index:-25218048;mso-position-horizontal-relative:page;mso-position-vertical-relative:page" filled="f" stroked="f">
          <v:textbox inset="0,0,0,0">
            <w:txbxContent>
              <w:p w14:paraId="51DEAD0D" w14:textId="77777777" w:rsidR="0010369C" w:rsidRDefault="008E43AE">
                <w:pPr>
                  <w:spacing w:line="244" w:lineRule="exact"/>
                  <w:ind w:left="60"/>
                </w:pPr>
                <w:r>
                  <w:rPr>
                    <w:spacing w:val="-5"/>
                  </w:rPr>
                  <w:fldChar w:fldCharType="begin"/>
                </w:r>
                <w:r>
                  <w:rPr>
                    <w:spacing w:val="-5"/>
                  </w:rPr>
                  <w:instrText xml:space="preserve"> PAGE </w:instrText>
                </w:r>
                <w:r>
                  <w:rPr>
                    <w:spacing w:val="-5"/>
                  </w:rPr>
                  <w:fldChar w:fldCharType="separate"/>
                </w:r>
                <w:r>
                  <w:rPr>
                    <w:spacing w:val="-5"/>
                  </w:rPr>
                  <w:t>176</w:t>
                </w:r>
                <w:r>
                  <w:rPr>
                    <w:spacing w:val="-5"/>
                  </w:rPr>
                  <w:fldChar w:fldCharType="end"/>
                </w:r>
              </w:p>
            </w:txbxContent>
          </v:textbox>
          <w10:wrap anchorx="page" anchory="page"/>
        </v:shape>
      </w:pic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DEAA1E" w14:textId="77777777" w:rsidR="0010369C" w:rsidRDefault="008E43AE">
    <w:pPr>
      <w:pStyle w:val="BodyText"/>
      <w:spacing w:line="14" w:lineRule="auto"/>
      <w:rPr>
        <w:sz w:val="20"/>
      </w:rPr>
    </w:pPr>
    <w:r>
      <w:pict w14:anchorId="51DEAB3D">
        <v:shapetype id="_x0000_t202" coordsize="21600,21600" o:spt="202" path="m,l,21600r21600,l21600,xe">
          <v:stroke joinstyle="miter"/>
          <v:path gradientshapeok="t" o:connecttype="rect"/>
        </v:shapetype>
        <v:shape id="docshape956" o:spid="_x0000_s2257" type="#_x0000_t202" style="position:absolute;margin-left:504.65pt;margin-top:791.6pt;width:23.75pt;height:13pt;z-index:-25215488;mso-position-horizontal-relative:page;mso-position-vertical-relative:page" filled="f" stroked="f">
          <v:textbox inset="0,0,0,0">
            <w:txbxContent>
              <w:p w14:paraId="51DEAD11" w14:textId="77777777" w:rsidR="0010369C" w:rsidRDefault="008E43AE">
                <w:pPr>
                  <w:spacing w:line="244" w:lineRule="exact"/>
                  <w:ind w:left="60"/>
                </w:pPr>
                <w:r>
                  <w:rPr>
                    <w:spacing w:val="-5"/>
                  </w:rPr>
                  <w:fldChar w:fldCharType="begin"/>
                </w:r>
                <w:r>
                  <w:rPr>
                    <w:spacing w:val="-5"/>
                  </w:rPr>
                  <w:instrText xml:space="preserve"> PAGE </w:instrText>
                </w:r>
                <w:r>
                  <w:rPr>
                    <w:spacing w:val="-5"/>
                  </w:rPr>
                  <w:fldChar w:fldCharType="separate"/>
                </w:r>
                <w:r>
                  <w:rPr>
                    <w:spacing w:val="-5"/>
                  </w:rPr>
                  <w:t>178</w:t>
                </w:r>
                <w:r>
                  <w:rPr>
                    <w:spacing w:val="-5"/>
                  </w:rPr>
                  <w:fldChar w:fldCharType="end"/>
                </w:r>
              </w:p>
            </w:txbxContent>
          </v:textbox>
          <w10:wrap anchorx="page" anchory="page"/>
        </v:shape>
      </w:pict>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DEAA20" w14:textId="77777777" w:rsidR="0010369C" w:rsidRDefault="008E43AE">
    <w:pPr>
      <w:pStyle w:val="BodyText"/>
      <w:spacing w:line="14" w:lineRule="auto"/>
      <w:rPr>
        <w:sz w:val="20"/>
      </w:rPr>
    </w:pPr>
    <w:r>
      <w:pict w14:anchorId="51DEAB40">
        <v:shapetype id="_x0000_t202" coordsize="21600,21600" o:spt="202" path="m,l,21600r21600,l21600,xe">
          <v:stroke joinstyle="miter"/>
          <v:path gradientshapeok="t" o:connecttype="rect"/>
        </v:shapetype>
        <v:shape id="docshape965" o:spid="_x0000_s2254" type="#_x0000_t202" style="position:absolute;margin-left:504.65pt;margin-top:791.6pt;width:23.75pt;height:13pt;z-index:-25213952;mso-position-horizontal-relative:page;mso-position-vertical-relative:page" filled="f" stroked="f">
          <v:textbox inset="0,0,0,0">
            <w:txbxContent>
              <w:p w14:paraId="51DEAD13" w14:textId="77777777" w:rsidR="0010369C" w:rsidRDefault="008E43AE">
                <w:pPr>
                  <w:spacing w:line="244" w:lineRule="exact"/>
                  <w:ind w:left="60"/>
                </w:pPr>
                <w:r>
                  <w:rPr>
                    <w:spacing w:val="-5"/>
                  </w:rPr>
                  <w:fldChar w:fldCharType="begin"/>
                </w:r>
                <w:r>
                  <w:rPr>
                    <w:spacing w:val="-5"/>
                  </w:rPr>
                  <w:instrText xml:space="preserve"> PAGE </w:instrText>
                </w:r>
                <w:r>
                  <w:rPr>
                    <w:spacing w:val="-5"/>
                  </w:rPr>
                  <w:fldChar w:fldCharType="separate"/>
                </w:r>
                <w:r>
                  <w:rPr>
                    <w:spacing w:val="-5"/>
                  </w:rPr>
                  <w:t>181</w:t>
                </w:r>
                <w:r>
                  <w:rPr>
                    <w:spacing w:val="-5"/>
                  </w:rPr>
                  <w:fldChar w:fldCharType="end"/>
                </w:r>
              </w:p>
            </w:txbxContent>
          </v:textbox>
          <w10:wrap anchorx="page" anchory="page"/>
        </v:shape>
      </w:pic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DEAA22" w14:textId="77777777" w:rsidR="0010369C" w:rsidRDefault="008E43AE">
    <w:pPr>
      <w:pStyle w:val="BodyText"/>
      <w:spacing w:line="14" w:lineRule="auto"/>
      <w:rPr>
        <w:sz w:val="20"/>
      </w:rPr>
    </w:pPr>
    <w:r>
      <w:pict w14:anchorId="51DEAB41">
        <v:shapetype id="_x0000_t202" coordsize="21600,21600" o:spt="202" path="m,l,21600r21600,l21600,xe">
          <v:stroke joinstyle="miter"/>
          <v:path gradientshapeok="t" o:connecttype="rect"/>
        </v:shapetype>
        <v:shape id="docshape971" o:spid="_x0000_s2253" type="#_x0000_t202" style="position:absolute;margin-left:505.5pt;margin-top:789.7pt;width:25.7pt;height:14.5pt;z-index:-25213440;mso-position-horizontal-relative:page;mso-position-vertical-relative:page" filled="f" stroked="f">
          <v:textbox inset="0,0,0,0">
            <w:txbxContent>
              <w:p w14:paraId="51DEAD14" w14:textId="77777777" w:rsidR="0010369C" w:rsidRDefault="008E43AE">
                <w:pPr>
                  <w:spacing w:before="20"/>
                  <w:ind w:left="60"/>
                  <w:rPr>
                    <w:rFonts w:ascii="Courier New"/>
                  </w:rPr>
                </w:pPr>
                <w:r>
                  <w:rPr>
                    <w:rFonts w:ascii="Courier New"/>
                    <w:color w:val="0C0C0C"/>
                    <w:spacing w:val="-5"/>
                  </w:rPr>
                  <w:fldChar w:fldCharType="begin"/>
                </w:r>
                <w:r>
                  <w:rPr>
                    <w:rFonts w:ascii="Courier New"/>
                    <w:color w:val="0C0C0C"/>
                    <w:spacing w:val="-5"/>
                  </w:rPr>
                  <w:instrText xml:space="preserve"> PAGE </w:instrText>
                </w:r>
                <w:r>
                  <w:rPr>
                    <w:rFonts w:ascii="Courier New"/>
                    <w:color w:val="0C0C0C"/>
                    <w:spacing w:val="-5"/>
                  </w:rPr>
                  <w:fldChar w:fldCharType="separate"/>
                </w:r>
                <w:r>
                  <w:rPr>
                    <w:rFonts w:ascii="Courier New"/>
                    <w:color w:val="0C0C0C"/>
                    <w:spacing w:val="-5"/>
                  </w:rPr>
                  <w:t>182</w:t>
                </w:r>
                <w:r>
                  <w:rPr>
                    <w:rFonts w:ascii="Courier New"/>
                    <w:color w:val="0C0C0C"/>
                    <w:spacing w:val="-5"/>
                  </w:rPr>
                  <w:fldChar w:fldCharType="end"/>
                </w:r>
              </w:p>
            </w:txbxContent>
          </v:textbox>
          <w10:wrap anchorx="page" anchory="page"/>
        </v:shape>
      </w:pict>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DEAA24" w14:textId="77777777" w:rsidR="0010369C" w:rsidRDefault="008E43AE">
    <w:pPr>
      <w:pStyle w:val="BodyText"/>
      <w:spacing w:line="14" w:lineRule="auto"/>
      <w:rPr>
        <w:sz w:val="20"/>
      </w:rPr>
    </w:pPr>
    <w:r>
      <w:pict w14:anchorId="51DEAB44">
        <v:shapetype id="_x0000_t202" coordsize="21600,21600" o:spt="202" path="m,l,21600r21600,l21600,xe">
          <v:stroke joinstyle="miter"/>
          <v:path gradientshapeok="t" o:connecttype="rect"/>
        </v:shapetype>
        <v:shape id="docshape979" o:spid="_x0000_s2250" type="#_x0000_t202" style="position:absolute;margin-left:504.65pt;margin-top:791.6pt;width:23.75pt;height:13pt;z-index:-25211904;mso-position-horizontal-relative:page;mso-position-vertical-relative:page" filled="f" stroked="f">
          <v:textbox inset="0,0,0,0">
            <w:txbxContent>
              <w:p w14:paraId="51DEAD16" w14:textId="77777777" w:rsidR="0010369C" w:rsidRDefault="008E43AE">
                <w:pPr>
                  <w:spacing w:line="244" w:lineRule="exact"/>
                  <w:ind w:left="60"/>
                </w:pPr>
                <w:r>
                  <w:rPr>
                    <w:spacing w:val="-5"/>
                  </w:rPr>
                  <w:fldChar w:fldCharType="begin"/>
                </w:r>
                <w:r>
                  <w:rPr>
                    <w:spacing w:val="-5"/>
                  </w:rPr>
                  <w:instrText xml:space="preserve"> PAGE </w:instrText>
                </w:r>
                <w:r>
                  <w:rPr>
                    <w:spacing w:val="-5"/>
                  </w:rPr>
                  <w:fldChar w:fldCharType="separate"/>
                </w:r>
                <w:r>
                  <w:rPr>
                    <w:spacing w:val="-5"/>
                  </w:rPr>
                  <w:t>183</w:t>
                </w:r>
                <w:r>
                  <w:rPr>
                    <w:spacing w:val="-5"/>
                  </w:rPr>
                  <w:fldChar w:fldCharType="end"/>
                </w:r>
              </w:p>
            </w:txbxContent>
          </v:textbox>
          <w10:wrap anchorx="page" anchory="page"/>
        </v:shape>
      </w:pict>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DEAA26" w14:textId="77777777" w:rsidR="0010369C" w:rsidRDefault="0010369C">
    <w:pPr>
      <w:pStyle w:val="BodyText"/>
      <w:spacing w:line="14" w:lineRule="auto"/>
      <w:rPr>
        <w:sz w:val="2"/>
      </w:rPr>
    </w:pP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DEAA28" w14:textId="77777777" w:rsidR="0010369C" w:rsidRDefault="008E43AE">
    <w:pPr>
      <w:pStyle w:val="BodyText"/>
      <w:spacing w:line="14" w:lineRule="auto"/>
      <w:rPr>
        <w:sz w:val="20"/>
      </w:rPr>
    </w:pPr>
    <w:r>
      <w:pict w14:anchorId="51DEAB47">
        <v:shapetype id="_x0000_t202" coordsize="21600,21600" o:spt="202" path="m,l,21600r21600,l21600,xe">
          <v:stroke joinstyle="miter"/>
          <v:path gradientshapeok="t" o:connecttype="rect"/>
        </v:shapetype>
        <v:shape id="docshape1009" o:spid="_x0000_s2247" type="#_x0000_t202" style="position:absolute;margin-left:504.65pt;margin-top:791.6pt;width:23.75pt;height:13pt;z-index:-25210368;mso-position-horizontal-relative:page;mso-position-vertical-relative:page" filled="f" stroked="f">
          <v:textbox inset="0,0,0,0">
            <w:txbxContent>
              <w:p w14:paraId="51DEAD18" w14:textId="77777777" w:rsidR="0010369C" w:rsidRDefault="008E43AE">
                <w:pPr>
                  <w:spacing w:line="244" w:lineRule="exact"/>
                  <w:ind w:left="60"/>
                </w:pPr>
                <w:r>
                  <w:rPr>
                    <w:spacing w:val="-5"/>
                  </w:rPr>
                  <w:fldChar w:fldCharType="begin"/>
                </w:r>
                <w:r>
                  <w:rPr>
                    <w:spacing w:val="-5"/>
                  </w:rPr>
                  <w:instrText xml:space="preserve"> PAGE </w:instrText>
                </w:r>
                <w:r>
                  <w:rPr>
                    <w:spacing w:val="-5"/>
                  </w:rPr>
                  <w:fldChar w:fldCharType="separate"/>
                </w:r>
                <w:r>
                  <w:rPr>
                    <w:spacing w:val="-5"/>
                  </w:rPr>
                  <w:t>196</w:t>
                </w:r>
                <w:r>
                  <w:rPr>
                    <w:spacing w:val="-5"/>
                  </w:rPr>
                  <w:fldChar w:fldCharType="end"/>
                </w:r>
              </w:p>
            </w:txbxContent>
          </v:textbox>
          <w10:wrap anchorx="page" anchory="page"/>
        </v:shape>
      </w:pict>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DEAA2A" w14:textId="77777777" w:rsidR="0010369C" w:rsidRDefault="008E43AE">
    <w:pPr>
      <w:pStyle w:val="BodyText"/>
      <w:spacing w:line="14" w:lineRule="auto"/>
      <w:rPr>
        <w:sz w:val="20"/>
      </w:rPr>
    </w:pPr>
    <w:r>
      <w:pict w14:anchorId="51DEAB4C">
        <v:shapetype id="_x0000_t202" coordsize="21600,21600" o:spt="202" path="m,l,21600r21600,l21600,xe">
          <v:stroke joinstyle="miter"/>
          <v:path gradientshapeok="t" o:connecttype="rect"/>
        </v:shapetype>
        <v:shape id="docshape1023" o:spid="_x0000_s2242" type="#_x0000_t202" style="position:absolute;margin-left:504.65pt;margin-top:791.6pt;width:23.75pt;height:13pt;z-index:-25207808;mso-position-horizontal-relative:page;mso-position-vertical-relative:page" filled="f" stroked="f">
          <v:textbox inset="0,0,0,0">
            <w:txbxContent>
              <w:p w14:paraId="51DEAD1C" w14:textId="77777777" w:rsidR="0010369C" w:rsidRDefault="008E43AE">
                <w:pPr>
                  <w:spacing w:line="244" w:lineRule="exact"/>
                  <w:ind w:left="60"/>
                </w:pPr>
                <w:r>
                  <w:rPr>
                    <w:spacing w:val="-5"/>
                  </w:rPr>
                  <w:fldChar w:fldCharType="begin"/>
                </w:r>
                <w:r>
                  <w:rPr>
                    <w:spacing w:val="-5"/>
                  </w:rPr>
                  <w:instrText xml:space="preserve"> PAGE </w:instrText>
                </w:r>
                <w:r>
                  <w:rPr>
                    <w:spacing w:val="-5"/>
                  </w:rPr>
                  <w:fldChar w:fldCharType="separate"/>
                </w:r>
                <w:r>
                  <w:rPr>
                    <w:spacing w:val="-5"/>
                  </w:rPr>
                  <w:t>203</w:t>
                </w:r>
                <w:r>
                  <w:rPr>
                    <w:spacing w:val="-5"/>
                  </w:rPr>
                  <w:fldChar w:fldCharType="end"/>
                </w:r>
              </w:p>
            </w:txbxContent>
          </v:textbox>
          <w10:wrap anchorx="page" anchory="page"/>
        </v:shape>
      </w:pict>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DEAA2C" w14:textId="77777777" w:rsidR="0010369C" w:rsidRDefault="008E43AE">
    <w:pPr>
      <w:pStyle w:val="BodyText"/>
      <w:spacing w:line="14" w:lineRule="auto"/>
      <w:rPr>
        <w:sz w:val="20"/>
      </w:rPr>
    </w:pPr>
    <w:r>
      <w:pict w14:anchorId="51DEAB4F">
        <v:shapetype id="_x0000_t202" coordsize="21600,21600" o:spt="202" path="m,l,21600r21600,l21600,xe">
          <v:stroke joinstyle="miter"/>
          <v:path gradientshapeok="t" o:connecttype="rect"/>
        </v:shapetype>
        <v:shape id="docshape1029" o:spid="_x0000_s2239" type="#_x0000_t202" style="position:absolute;margin-left:504.65pt;margin-top:791.6pt;width:23.75pt;height:13pt;z-index:-25206272;mso-position-horizontal-relative:page;mso-position-vertical-relative:page" filled="f" stroked="f">
          <v:textbox inset="0,0,0,0">
            <w:txbxContent>
              <w:p w14:paraId="51DEAD1E" w14:textId="77777777" w:rsidR="0010369C" w:rsidRDefault="008E43AE">
                <w:pPr>
                  <w:spacing w:line="244" w:lineRule="exact"/>
                  <w:ind w:left="60"/>
                </w:pPr>
                <w:r>
                  <w:rPr>
                    <w:spacing w:val="-5"/>
                  </w:rPr>
                  <w:fldChar w:fldCharType="begin"/>
                </w:r>
                <w:r>
                  <w:rPr>
                    <w:spacing w:val="-5"/>
                  </w:rPr>
                  <w:instrText xml:space="preserve"> PAGE </w:instrText>
                </w:r>
                <w:r>
                  <w:rPr>
                    <w:spacing w:val="-5"/>
                  </w:rPr>
                  <w:fldChar w:fldCharType="separate"/>
                </w:r>
                <w:r>
                  <w:rPr>
                    <w:spacing w:val="-5"/>
                  </w:rPr>
                  <w:t>206</w:t>
                </w:r>
                <w:r>
                  <w:rPr>
                    <w:spacing w:val="-5"/>
                  </w:rPr>
                  <w:fldChar w:fldCharType="end"/>
                </w:r>
              </w:p>
            </w:txbxContent>
          </v:textbox>
          <w10:wrap anchorx="page" anchory="page"/>
        </v:shape>
      </w:pic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DEA9C2" w14:textId="77777777" w:rsidR="0010369C" w:rsidRDefault="008E43AE">
    <w:pPr>
      <w:pStyle w:val="BodyText"/>
      <w:spacing w:line="14" w:lineRule="auto"/>
      <w:rPr>
        <w:sz w:val="20"/>
      </w:rPr>
    </w:pPr>
    <w:r>
      <w:pict w14:anchorId="51DEAAAE">
        <v:shapetype id="_x0000_t202" coordsize="21600,21600" o:spt="202" path="m,l,21600r21600,l21600,xe">
          <v:stroke joinstyle="miter"/>
          <v:path gradientshapeok="t" o:connecttype="rect"/>
        </v:shapetype>
        <v:shape id="docshape16" o:spid="_x0000_s2400" type="#_x0000_t202" style="position:absolute;margin-left:511.3pt;margin-top:789.7pt;width:20.15pt;height:14.5pt;z-index:-25288704;mso-position-horizontal-relative:page;mso-position-vertical-relative:page" filled="f" stroked="f">
          <v:textbox inset="0,0,0,0">
            <w:txbxContent>
              <w:p w14:paraId="51DEACAE" w14:textId="77777777" w:rsidR="0010369C" w:rsidRDefault="008E43AE">
                <w:pPr>
                  <w:spacing w:before="20"/>
                  <w:ind w:left="60"/>
                  <w:rPr>
                    <w:rFonts w:ascii="Courier New"/>
                  </w:rPr>
                </w:pPr>
                <w:r>
                  <w:rPr>
                    <w:rFonts w:ascii="Courier New"/>
                    <w:color w:val="1A1A1A"/>
                    <w:spacing w:val="-5"/>
                  </w:rPr>
                  <w:fldChar w:fldCharType="begin"/>
                </w:r>
                <w:r>
                  <w:rPr>
                    <w:rFonts w:ascii="Courier New"/>
                    <w:color w:val="1A1A1A"/>
                    <w:spacing w:val="-5"/>
                  </w:rPr>
                  <w:instrText xml:space="preserve"> PAGE </w:instrText>
                </w:r>
                <w:r>
                  <w:rPr>
                    <w:rFonts w:ascii="Courier New"/>
                    <w:color w:val="1A1A1A"/>
                    <w:spacing w:val="-5"/>
                  </w:rPr>
                  <w:fldChar w:fldCharType="separate"/>
                </w:r>
                <w:r>
                  <w:rPr>
                    <w:rFonts w:ascii="Courier New"/>
                    <w:color w:val="1A1A1A"/>
                    <w:spacing w:val="-5"/>
                  </w:rPr>
                  <w:t>22</w:t>
                </w:r>
                <w:r>
                  <w:rPr>
                    <w:rFonts w:ascii="Courier New"/>
                    <w:color w:val="1A1A1A"/>
                    <w:spacing w:val="-5"/>
                  </w:rPr>
                  <w:fldChar w:fldCharType="end"/>
                </w:r>
              </w:p>
            </w:txbxContent>
          </v:textbox>
          <w10:wrap anchorx="page" anchory="page"/>
        </v:shape>
      </w:pict>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DEAA2E" w14:textId="77777777" w:rsidR="0010369C" w:rsidRDefault="008E43AE">
    <w:pPr>
      <w:pStyle w:val="BodyText"/>
      <w:spacing w:line="14" w:lineRule="auto"/>
      <w:rPr>
        <w:sz w:val="19"/>
      </w:rPr>
    </w:pPr>
    <w:r>
      <w:pict w14:anchorId="51DEAB50">
        <v:shapetype id="_x0000_t202" coordsize="21600,21600" o:spt="202" path="m,l,21600r21600,l21600,xe">
          <v:stroke joinstyle="miter"/>
          <v:path gradientshapeok="t" o:connecttype="rect"/>
        </v:shapetype>
        <v:shape id="docshape1032" o:spid="_x0000_s2238" type="#_x0000_t202" style="position:absolute;margin-left:506.45pt;margin-top:790.3pt;width:23.05pt;height:14.3pt;z-index:-25205760;mso-position-horizontal-relative:page;mso-position-vertical-relative:page" filled="f" stroked="f">
          <v:textbox inset="0,0,0,0">
            <w:txbxContent>
              <w:p w14:paraId="51DEAD1F" w14:textId="77777777" w:rsidR="0010369C" w:rsidRDefault="008E43AE">
                <w:pPr>
                  <w:spacing w:before="1"/>
                  <w:ind w:left="24"/>
                </w:pPr>
                <w:r>
                  <w:rPr>
                    <w:spacing w:val="-5"/>
                  </w:rPr>
                  <w:fldChar w:fldCharType="begin"/>
                </w:r>
                <w:r>
                  <w:rPr>
                    <w:spacing w:val="-5"/>
                  </w:rPr>
                  <w:instrText xml:space="preserve"> PAGE </w:instrText>
                </w:r>
                <w:r>
                  <w:rPr>
                    <w:spacing w:val="-5"/>
                  </w:rPr>
                  <w:fldChar w:fldCharType="separate"/>
                </w:r>
                <w:r>
                  <w:rPr>
                    <w:spacing w:val="-5"/>
                  </w:rPr>
                  <w:t>209</w:t>
                </w:r>
                <w:r>
                  <w:rPr>
                    <w:spacing w:val="-5"/>
                  </w:rPr>
                  <w:fldChar w:fldCharType="end"/>
                </w:r>
              </w:p>
            </w:txbxContent>
          </v:textbox>
          <w10:wrap anchorx="page" anchory="page"/>
        </v:shape>
      </w:pict>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DEAA30" w14:textId="77777777" w:rsidR="0010369C" w:rsidRDefault="008E43AE">
    <w:pPr>
      <w:pStyle w:val="BodyText"/>
      <w:spacing w:line="14" w:lineRule="auto"/>
      <w:rPr>
        <w:sz w:val="20"/>
      </w:rPr>
    </w:pPr>
    <w:r>
      <w:pict w14:anchorId="51DEAB51">
        <v:shapetype id="_x0000_t202" coordsize="21600,21600" o:spt="202" path="m,l,21600r21600,l21600,xe">
          <v:stroke joinstyle="miter"/>
          <v:path gradientshapeok="t" o:connecttype="rect"/>
        </v:shapetype>
        <v:shape id="docshape1037" o:spid="_x0000_s2237" type="#_x0000_t202" style="position:absolute;margin-left:504.65pt;margin-top:791.6pt;width:23.75pt;height:13pt;z-index:-25205248;mso-position-horizontal-relative:page;mso-position-vertical-relative:page" filled="f" stroked="f">
          <v:textbox inset="0,0,0,0">
            <w:txbxContent>
              <w:p w14:paraId="51DEAD20" w14:textId="77777777" w:rsidR="0010369C" w:rsidRDefault="008E43AE">
                <w:pPr>
                  <w:spacing w:line="244" w:lineRule="exact"/>
                  <w:ind w:left="60"/>
                </w:pPr>
                <w:r>
                  <w:rPr>
                    <w:spacing w:val="-5"/>
                  </w:rPr>
                  <w:fldChar w:fldCharType="begin"/>
                </w:r>
                <w:r>
                  <w:rPr>
                    <w:spacing w:val="-5"/>
                  </w:rPr>
                  <w:instrText xml:space="preserve"> PAGE </w:instrText>
                </w:r>
                <w:r>
                  <w:rPr>
                    <w:spacing w:val="-5"/>
                  </w:rPr>
                  <w:fldChar w:fldCharType="separate"/>
                </w:r>
                <w:r>
                  <w:rPr>
                    <w:spacing w:val="-5"/>
                  </w:rPr>
                  <w:t>209</w:t>
                </w:r>
                <w:r>
                  <w:rPr>
                    <w:spacing w:val="-5"/>
                  </w:rPr>
                  <w:fldChar w:fldCharType="end"/>
                </w:r>
              </w:p>
            </w:txbxContent>
          </v:textbox>
          <w10:wrap anchorx="page" anchory="page"/>
        </v:shape>
      </w:pict>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DEAA32" w14:textId="77777777" w:rsidR="0010369C" w:rsidRDefault="008E43AE">
    <w:pPr>
      <w:pStyle w:val="BodyText"/>
      <w:spacing w:line="14" w:lineRule="auto"/>
      <w:rPr>
        <w:sz w:val="20"/>
      </w:rPr>
    </w:pPr>
    <w:r>
      <w:pict w14:anchorId="51DEAB55">
        <v:shapetype id="_x0000_t202" coordsize="21600,21600" o:spt="202" path="m,l,21600r21600,l21600,xe">
          <v:stroke joinstyle="miter"/>
          <v:path gradientshapeok="t" o:connecttype="rect"/>
        </v:shapetype>
        <v:shape id="docshape1041" o:spid="_x0000_s2233" type="#_x0000_t202" style="position:absolute;margin-left:505.8pt;margin-top:789.7pt;width:24.3pt;height:14.5pt;z-index:-25203200;mso-position-horizontal-relative:page;mso-position-vertical-relative:page" filled="f" stroked="f">
          <v:textbox inset="0,0,0,0">
            <w:txbxContent>
              <w:p w14:paraId="51DEAD22" w14:textId="77777777" w:rsidR="0010369C" w:rsidRDefault="008E43AE">
                <w:pPr>
                  <w:spacing w:before="34"/>
                  <w:ind w:left="73"/>
                  <w:rPr>
                    <w:rFonts w:ascii="Arial"/>
                    <w:sz w:val="18"/>
                  </w:rPr>
                </w:pPr>
                <w:r>
                  <w:rPr>
                    <w:rFonts w:ascii="Arial"/>
                    <w:color w:val="1C1C1C"/>
                    <w:spacing w:val="-5"/>
                    <w:sz w:val="18"/>
                  </w:rPr>
                  <w:fldChar w:fldCharType="begin"/>
                </w:r>
                <w:r>
                  <w:rPr>
                    <w:rFonts w:ascii="Arial"/>
                    <w:color w:val="1C1C1C"/>
                    <w:spacing w:val="-5"/>
                    <w:sz w:val="18"/>
                  </w:rPr>
                  <w:instrText xml:space="preserve"> PAGE </w:instrText>
                </w:r>
                <w:r>
                  <w:rPr>
                    <w:rFonts w:ascii="Arial"/>
                    <w:color w:val="1C1C1C"/>
                    <w:spacing w:val="-5"/>
                    <w:sz w:val="18"/>
                  </w:rPr>
                  <w:fldChar w:fldCharType="separate"/>
                </w:r>
                <w:r>
                  <w:rPr>
                    <w:rFonts w:ascii="Arial"/>
                    <w:color w:val="1C1C1C"/>
                    <w:spacing w:val="-5"/>
                    <w:sz w:val="18"/>
                  </w:rPr>
                  <w:t>213</w:t>
                </w:r>
                <w:r>
                  <w:rPr>
                    <w:rFonts w:ascii="Arial"/>
                    <w:color w:val="1C1C1C"/>
                    <w:spacing w:val="-5"/>
                    <w:sz w:val="18"/>
                  </w:rPr>
                  <w:fldChar w:fldCharType="end"/>
                </w:r>
              </w:p>
            </w:txbxContent>
          </v:textbox>
          <w10:wrap anchorx="page" anchory="page"/>
        </v:shape>
      </w:pict>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DEAA34" w14:textId="77777777" w:rsidR="0010369C" w:rsidRDefault="008E43AE">
    <w:pPr>
      <w:pStyle w:val="BodyText"/>
      <w:spacing w:line="14" w:lineRule="auto"/>
      <w:rPr>
        <w:sz w:val="20"/>
      </w:rPr>
    </w:pPr>
    <w:r>
      <w:pict w14:anchorId="51DEAB58">
        <v:shapetype id="_x0000_t202" coordsize="21600,21600" o:spt="202" path="m,l,21600r21600,l21600,xe">
          <v:stroke joinstyle="miter"/>
          <v:path gradientshapeok="t" o:connecttype="rect"/>
        </v:shapetype>
        <v:shape id="docshape1059" o:spid="_x0000_s2230" type="#_x0000_t202" style="position:absolute;margin-left:504.65pt;margin-top:791.6pt;width:23.75pt;height:13pt;z-index:-25201664;mso-position-horizontal-relative:page;mso-position-vertical-relative:page" filled="f" stroked="f">
          <v:textbox inset="0,0,0,0">
            <w:txbxContent>
              <w:p w14:paraId="51DEAD24" w14:textId="77777777" w:rsidR="0010369C" w:rsidRDefault="008E43AE">
                <w:pPr>
                  <w:spacing w:line="244" w:lineRule="exact"/>
                  <w:ind w:left="60"/>
                </w:pPr>
                <w:r>
                  <w:rPr>
                    <w:spacing w:val="-5"/>
                  </w:rPr>
                  <w:fldChar w:fldCharType="begin"/>
                </w:r>
                <w:r>
                  <w:rPr>
                    <w:spacing w:val="-5"/>
                  </w:rPr>
                  <w:instrText xml:space="preserve"> PAGE </w:instrText>
                </w:r>
                <w:r>
                  <w:rPr>
                    <w:spacing w:val="-5"/>
                  </w:rPr>
                  <w:fldChar w:fldCharType="separate"/>
                </w:r>
                <w:r>
                  <w:rPr>
                    <w:spacing w:val="-5"/>
                  </w:rPr>
                  <w:t>214</w:t>
                </w:r>
                <w:r>
                  <w:rPr>
                    <w:spacing w:val="-5"/>
                  </w:rPr>
                  <w:fldChar w:fldCharType="end"/>
                </w:r>
              </w:p>
            </w:txbxContent>
          </v:textbox>
          <w10:wrap anchorx="page" anchory="page"/>
        </v:shape>
      </w:pict>
    </w: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DEAA36" w14:textId="77777777" w:rsidR="0010369C" w:rsidRDefault="008E43AE">
    <w:pPr>
      <w:pStyle w:val="BodyText"/>
      <w:spacing w:line="14" w:lineRule="auto"/>
      <w:rPr>
        <w:sz w:val="20"/>
      </w:rPr>
    </w:pPr>
    <w:r>
      <w:pict w14:anchorId="51DEAB5C">
        <v:shapetype id="_x0000_t202" coordsize="21600,21600" o:spt="202" path="m,l,21600r21600,l21600,xe">
          <v:stroke joinstyle="miter"/>
          <v:path gradientshapeok="t" o:connecttype="rect"/>
        </v:shapetype>
        <v:shape id="docshape1063" o:spid="_x0000_s2226" type="#_x0000_t202" style="position:absolute;margin-left:505.8pt;margin-top:789.7pt;width:24.9pt;height:14.5pt;z-index:-25199616;mso-position-horizontal-relative:page;mso-position-vertical-relative:page" filled="f" stroked="f">
          <v:textbox inset="0,0,0,0">
            <w:txbxContent>
              <w:p w14:paraId="51DEAD26" w14:textId="77777777" w:rsidR="0010369C" w:rsidRDefault="008E43AE">
                <w:pPr>
                  <w:spacing w:before="20"/>
                  <w:ind w:left="60"/>
                  <w:rPr>
                    <w:rFonts w:ascii="Courier New"/>
                  </w:rPr>
                </w:pPr>
                <w:r>
                  <w:rPr>
                    <w:rFonts w:ascii="Courier New"/>
                    <w:color w:val="1D1D1D"/>
                    <w:spacing w:val="-5"/>
                  </w:rPr>
                  <w:fldChar w:fldCharType="begin"/>
                </w:r>
                <w:r>
                  <w:rPr>
                    <w:rFonts w:ascii="Courier New"/>
                    <w:color w:val="1D1D1D"/>
                    <w:spacing w:val="-5"/>
                  </w:rPr>
                  <w:instrText xml:space="preserve"> PAGE </w:instrText>
                </w:r>
                <w:r>
                  <w:rPr>
                    <w:rFonts w:ascii="Courier New"/>
                    <w:color w:val="1D1D1D"/>
                    <w:spacing w:val="-5"/>
                  </w:rPr>
                  <w:fldChar w:fldCharType="separate"/>
                </w:r>
                <w:r>
                  <w:rPr>
                    <w:rFonts w:ascii="Courier New"/>
                    <w:color w:val="1D1D1D"/>
                    <w:spacing w:val="-5"/>
                  </w:rPr>
                  <w:t>216</w:t>
                </w:r>
                <w:r>
                  <w:rPr>
                    <w:rFonts w:ascii="Courier New"/>
                    <w:color w:val="1D1D1D"/>
                    <w:spacing w:val="-5"/>
                  </w:rPr>
                  <w:fldChar w:fldCharType="end"/>
                </w:r>
              </w:p>
            </w:txbxContent>
          </v:textbox>
          <w10:wrap anchorx="page" anchory="page"/>
        </v:shape>
      </w:pict>
    </w: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DEAA38" w14:textId="77777777" w:rsidR="0010369C" w:rsidRDefault="008E43AE">
    <w:pPr>
      <w:pStyle w:val="BodyText"/>
      <w:spacing w:line="14" w:lineRule="auto"/>
      <w:rPr>
        <w:sz w:val="20"/>
      </w:rPr>
    </w:pPr>
    <w:r>
      <w:pict w14:anchorId="51DEAB5F">
        <v:shapetype id="_x0000_t202" coordsize="21600,21600" o:spt="202" path="m,l,21600r21600,l21600,xe">
          <v:stroke joinstyle="miter"/>
          <v:path gradientshapeok="t" o:connecttype="rect"/>
        </v:shapetype>
        <v:shape id="docshape1080" o:spid="_x0000_s2223" type="#_x0000_t202" style="position:absolute;margin-left:504.65pt;margin-top:791.6pt;width:23.75pt;height:13pt;z-index:-25198080;mso-position-horizontal-relative:page;mso-position-vertical-relative:page" filled="f" stroked="f">
          <v:textbox inset="0,0,0,0">
            <w:txbxContent>
              <w:p w14:paraId="51DEAD28" w14:textId="77777777" w:rsidR="0010369C" w:rsidRDefault="008E43AE">
                <w:pPr>
                  <w:spacing w:line="244" w:lineRule="exact"/>
                  <w:ind w:left="60"/>
                </w:pPr>
                <w:r>
                  <w:rPr>
                    <w:spacing w:val="-5"/>
                  </w:rPr>
                  <w:fldChar w:fldCharType="begin"/>
                </w:r>
                <w:r>
                  <w:rPr>
                    <w:spacing w:val="-5"/>
                  </w:rPr>
                  <w:instrText xml:space="preserve"> PAGE </w:instrText>
                </w:r>
                <w:r>
                  <w:rPr>
                    <w:spacing w:val="-5"/>
                  </w:rPr>
                  <w:fldChar w:fldCharType="separate"/>
                </w:r>
                <w:r>
                  <w:rPr>
                    <w:spacing w:val="-5"/>
                  </w:rPr>
                  <w:t>219</w:t>
                </w:r>
                <w:r>
                  <w:rPr>
                    <w:spacing w:val="-5"/>
                  </w:rPr>
                  <w:fldChar w:fldCharType="end"/>
                </w:r>
              </w:p>
            </w:txbxContent>
          </v:textbox>
          <w10:wrap anchorx="page" anchory="page"/>
        </v:shape>
      </w:pict>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DEAA3A" w14:textId="77777777" w:rsidR="0010369C" w:rsidRDefault="008E43AE">
    <w:pPr>
      <w:pStyle w:val="BodyText"/>
      <w:spacing w:line="14" w:lineRule="auto"/>
      <w:rPr>
        <w:sz w:val="20"/>
      </w:rPr>
    </w:pPr>
    <w:r>
      <w:pict w14:anchorId="51DEAB60">
        <v:shapetype id="_x0000_t202" coordsize="21600,21600" o:spt="202" path="m,l,21600r21600,l21600,xe">
          <v:stroke joinstyle="miter"/>
          <v:path gradientshapeok="t" o:connecttype="rect"/>
        </v:shapetype>
        <v:shape id="docshape1088" o:spid="_x0000_s2222" type="#_x0000_t202" style="position:absolute;margin-left:505.8pt;margin-top:789.7pt;width:23.9pt;height:14.85pt;z-index:-25197568;mso-position-horizontal-relative:page;mso-position-vertical-relative:page" filled="f" stroked="f">
          <v:textbox inset="0,0,0,0">
            <w:txbxContent>
              <w:p w14:paraId="51DEAD29" w14:textId="77777777" w:rsidR="0010369C" w:rsidRDefault="008E43AE">
                <w:pPr>
                  <w:spacing w:before="12"/>
                  <w:ind w:left="37"/>
                </w:pPr>
                <w:r>
                  <w:rPr>
                    <w:spacing w:val="-5"/>
                  </w:rPr>
                  <w:fldChar w:fldCharType="begin"/>
                </w:r>
                <w:r>
                  <w:rPr>
                    <w:spacing w:val="-5"/>
                  </w:rPr>
                  <w:instrText xml:space="preserve"> PAGE </w:instrText>
                </w:r>
                <w:r>
                  <w:rPr>
                    <w:spacing w:val="-5"/>
                  </w:rPr>
                  <w:fldChar w:fldCharType="separate"/>
                </w:r>
                <w:r>
                  <w:rPr>
                    <w:spacing w:val="-5"/>
                  </w:rPr>
                  <w:t>227</w:t>
                </w:r>
                <w:r>
                  <w:rPr>
                    <w:spacing w:val="-5"/>
                  </w:rPr>
                  <w:fldChar w:fldCharType="end"/>
                </w:r>
              </w:p>
            </w:txbxContent>
          </v:textbox>
          <w10:wrap anchorx="page" anchory="page"/>
        </v:shape>
      </w:pict>
    </w: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DEAA3C" w14:textId="77777777" w:rsidR="0010369C" w:rsidRDefault="008E43AE">
    <w:pPr>
      <w:pStyle w:val="BodyText"/>
      <w:spacing w:line="14" w:lineRule="auto"/>
      <w:rPr>
        <w:sz w:val="20"/>
      </w:rPr>
    </w:pPr>
    <w:r>
      <w:pict w14:anchorId="51DEAB61">
        <v:shapetype id="_x0000_t202" coordsize="21600,21600" o:spt="202" path="m,l,21600r21600,l21600,xe">
          <v:stroke joinstyle="miter"/>
          <v:path gradientshapeok="t" o:connecttype="rect"/>
        </v:shapetype>
        <v:shape id="docshape1093" o:spid="_x0000_s2221" type="#_x0000_t202" style="position:absolute;margin-left:504.65pt;margin-top:791.6pt;width:23.75pt;height:13pt;z-index:-25197056;mso-position-horizontal-relative:page;mso-position-vertical-relative:page" filled="f" stroked="f">
          <v:textbox inset="0,0,0,0">
            <w:txbxContent>
              <w:p w14:paraId="51DEAD2A" w14:textId="77777777" w:rsidR="0010369C" w:rsidRDefault="008E43AE">
                <w:pPr>
                  <w:spacing w:line="244" w:lineRule="exact"/>
                  <w:ind w:left="60"/>
                </w:pPr>
                <w:r>
                  <w:rPr>
                    <w:spacing w:val="-5"/>
                  </w:rPr>
                  <w:fldChar w:fldCharType="begin"/>
                </w:r>
                <w:r>
                  <w:rPr>
                    <w:spacing w:val="-5"/>
                  </w:rPr>
                  <w:instrText xml:space="preserve"> PAGE </w:instrText>
                </w:r>
                <w:r>
                  <w:rPr>
                    <w:spacing w:val="-5"/>
                  </w:rPr>
                  <w:fldChar w:fldCharType="separate"/>
                </w:r>
                <w:r>
                  <w:rPr>
                    <w:spacing w:val="-5"/>
                  </w:rPr>
                  <w:t>227</w:t>
                </w:r>
                <w:r>
                  <w:rPr>
                    <w:spacing w:val="-5"/>
                  </w:rPr>
                  <w:fldChar w:fldCharType="end"/>
                </w:r>
              </w:p>
            </w:txbxContent>
          </v:textbox>
          <w10:wrap anchorx="page" anchory="page"/>
        </v:shape>
      </w:pict>
    </w: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DEAA3E" w14:textId="77777777" w:rsidR="0010369C" w:rsidRDefault="008E43AE">
    <w:pPr>
      <w:pStyle w:val="BodyText"/>
      <w:spacing w:line="14" w:lineRule="auto"/>
      <w:rPr>
        <w:sz w:val="20"/>
      </w:rPr>
    </w:pPr>
    <w:r>
      <w:pict w14:anchorId="51DEAB62">
        <v:shapetype id="_x0000_t202" coordsize="21600,21600" o:spt="202" path="m,l,21600r21600,l21600,xe">
          <v:stroke joinstyle="miter"/>
          <v:path gradientshapeok="t" o:connecttype="rect"/>
        </v:shapetype>
        <v:shape id="docshape1096" o:spid="_x0000_s2220" type="#_x0000_t202" style="position:absolute;margin-left:506.45pt;margin-top:790.3pt;width:24.05pt;height:12.65pt;z-index:-25196544;mso-position-horizontal-relative:page;mso-position-vertical-relative:page" filled="f" stroked="f">
          <v:textbox inset="0,0,0,0">
            <w:txbxContent>
              <w:p w14:paraId="51DEAD2B" w14:textId="77777777" w:rsidR="0010369C" w:rsidRDefault="008E43AE">
                <w:pPr>
                  <w:spacing w:before="14"/>
                  <w:ind w:left="60"/>
                  <w:rPr>
                    <w:rFonts w:ascii="Arial"/>
                    <w:sz w:val="19"/>
                  </w:rPr>
                </w:pPr>
                <w:r>
                  <w:rPr>
                    <w:rFonts w:ascii="Arial"/>
                    <w:color w:val="1C1C1C"/>
                    <w:spacing w:val="-5"/>
                    <w:w w:val="105"/>
                    <w:sz w:val="19"/>
                  </w:rPr>
                  <w:fldChar w:fldCharType="begin"/>
                </w:r>
                <w:r>
                  <w:rPr>
                    <w:rFonts w:ascii="Arial"/>
                    <w:color w:val="1C1C1C"/>
                    <w:spacing w:val="-5"/>
                    <w:w w:val="105"/>
                    <w:sz w:val="19"/>
                  </w:rPr>
                  <w:instrText xml:space="preserve"> PAGE </w:instrText>
                </w:r>
                <w:r>
                  <w:rPr>
                    <w:rFonts w:ascii="Arial"/>
                    <w:color w:val="1C1C1C"/>
                    <w:spacing w:val="-5"/>
                    <w:w w:val="105"/>
                    <w:sz w:val="19"/>
                  </w:rPr>
                  <w:fldChar w:fldCharType="separate"/>
                </w:r>
                <w:r>
                  <w:rPr>
                    <w:rFonts w:ascii="Arial"/>
                    <w:color w:val="1C1C1C"/>
                    <w:spacing w:val="-5"/>
                    <w:w w:val="105"/>
                    <w:sz w:val="19"/>
                  </w:rPr>
                  <w:t>228</w:t>
                </w:r>
                <w:r>
                  <w:rPr>
                    <w:rFonts w:ascii="Arial"/>
                    <w:color w:val="1C1C1C"/>
                    <w:spacing w:val="-5"/>
                    <w:w w:val="105"/>
                    <w:sz w:val="19"/>
                  </w:rPr>
                  <w:fldChar w:fldCharType="end"/>
                </w:r>
              </w:p>
            </w:txbxContent>
          </v:textbox>
          <w10:wrap anchorx="page" anchory="page"/>
        </v:shape>
      </w:pict>
    </w: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DEAA40" w14:textId="77777777" w:rsidR="0010369C" w:rsidRDefault="008E43AE">
    <w:pPr>
      <w:pStyle w:val="BodyText"/>
      <w:spacing w:line="14" w:lineRule="auto"/>
      <w:rPr>
        <w:sz w:val="20"/>
      </w:rPr>
    </w:pPr>
    <w:r>
      <w:pict w14:anchorId="51DEAB65">
        <v:shapetype id="_x0000_t202" coordsize="21600,21600" o:spt="202" path="m,l,21600r21600,l21600,xe">
          <v:stroke joinstyle="miter"/>
          <v:path gradientshapeok="t" o:connecttype="rect"/>
        </v:shapetype>
        <v:shape id="docshape1103" o:spid="_x0000_s2217" type="#_x0000_t202" style="position:absolute;margin-left:504.65pt;margin-top:791.6pt;width:23.75pt;height:13pt;z-index:-25195008;mso-position-horizontal-relative:page;mso-position-vertical-relative:page" filled="f" stroked="f">
          <v:textbox inset="0,0,0,0">
            <w:txbxContent>
              <w:p w14:paraId="51DEAD2D" w14:textId="77777777" w:rsidR="0010369C" w:rsidRDefault="008E43AE">
                <w:pPr>
                  <w:spacing w:line="244" w:lineRule="exact"/>
                  <w:ind w:left="60"/>
                </w:pPr>
                <w:r>
                  <w:rPr>
                    <w:spacing w:val="-5"/>
                  </w:rPr>
                  <w:fldChar w:fldCharType="begin"/>
                </w:r>
                <w:r>
                  <w:rPr>
                    <w:spacing w:val="-5"/>
                  </w:rPr>
                  <w:instrText xml:space="preserve"> PAGE </w:instrText>
                </w:r>
                <w:r>
                  <w:rPr>
                    <w:spacing w:val="-5"/>
                  </w:rPr>
                  <w:fldChar w:fldCharType="separate"/>
                </w:r>
                <w:r>
                  <w:rPr>
                    <w:spacing w:val="-5"/>
                  </w:rPr>
                  <w:t>229</w:t>
                </w:r>
                <w:r>
                  <w:rPr>
                    <w:spacing w:val="-5"/>
                  </w:rPr>
                  <w:fldChar w:fldCharType="end"/>
                </w:r>
              </w:p>
            </w:txbxContent>
          </v:textbox>
          <w10:wrap anchorx="page" anchory="page"/>
        </v:shape>
      </w:pic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DEA9C4" w14:textId="77777777" w:rsidR="0010369C" w:rsidRDefault="008E43AE">
    <w:pPr>
      <w:pStyle w:val="BodyText"/>
      <w:spacing w:line="14" w:lineRule="auto"/>
      <w:rPr>
        <w:sz w:val="20"/>
      </w:rPr>
    </w:pPr>
    <w:r>
      <w:pict w14:anchorId="51DEAAB1">
        <v:shapetype id="_x0000_t202" coordsize="21600,21600" o:spt="202" path="m,l,21600r21600,l21600,xe">
          <v:stroke joinstyle="miter"/>
          <v:path gradientshapeok="t" o:connecttype="rect"/>
        </v:shapetype>
        <v:shape id="docshape28" o:spid="_x0000_s2397" type="#_x0000_t202" style="position:absolute;margin-left:510.25pt;margin-top:791.6pt;width:18.2pt;height:13pt;z-index:-25287168;mso-position-horizontal-relative:page;mso-position-vertical-relative:page" filled="f" stroked="f">
          <v:textbox inset="0,0,0,0">
            <w:txbxContent>
              <w:p w14:paraId="51DEACB0" w14:textId="77777777" w:rsidR="0010369C" w:rsidRDefault="008E43AE">
                <w:pPr>
                  <w:spacing w:line="244" w:lineRule="exact"/>
                  <w:ind w:left="60"/>
                </w:pPr>
                <w:r>
                  <w:rPr>
                    <w:spacing w:val="-5"/>
                  </w:rPr>
                  <w:fldChar w:fldCharType="begin"/>
                </w:r>
                <w:r>
                  <w:rPr>
                    <w:spacing w:val="-5"/>
                  </w:rPr>
                  <w:instrText xml:space="preserve"> PAGE </w:instrText>
                </w:r>
                <w:r>
                  <w:rPr>
                    <w:spacing w:val="-5"/>
                  </w:rPr>
                  <w:fldChar w:fldCharType="separate"/>
                </w:r>
                <w:r>
                  <w:rPr>
                    <w:spacing w:val="-5"/>
                  </w:rPr>
                  <w:t>23</w:t>
                </w:r>
                <w:r>
                  <w:rPr>
                    <w:spacing w:val="-5"/>
                  </w:rPr>
                  <w:fldChar w:fldCharType="end"/>
                </w:r>
              </w:p>
            </w:txbxContent>
          </v:textbox>
          <w10:wrap anchorx="page" anchory="page"/>
        </v:shape>
      </w:pict>
    </w: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DEAA42" w14:textId="77777777" w:rsidR="0010369C" w:rsidRDefault="008E43AE">
    <w:pPr>
      <w:pStyle w:val="BodyText"/>
      <w:spacing w:line="14" w:lineRule="auto"/>
      <w:rPr>
        <w:sz w:val="20"/>
      </w:rPr>
    </w:pPr>
    <w:r>
      <w:pict w14:anchorId="51DEAB68">
        <v:rect id="docshape1108" o:spid="_x0000_s2214" style="position:absolute;margin-left:70.9pt;margin-top:731.8pt;width:2in;height:.8pt;z-index:-25193472;mso-position-horizontal-relative:page;mso-position-vertical-relative:page" fillcolor="black" stroked="f">
          <w10:wrap anchorx="page" anchory="page"/>
        </v:rect>
      </w:pict>
    </w:r>
    <w:r>
      <w:pict w14:anchorId="51DEAB69">
        <v:shapetype id="_x0000_t202" coordsize="21600,21600" o:spt="202" path="m,l,21600r21600,l21600,xe">
          <v:stroke joinstyle="miter"/>
          <v:path gradientshapeok="t" o:connecttype="rect"/>
        </v:shapetype>
        <v:shape id="docshape1109" o:spid="_x0000_s2213" type="#_x0000_t202" style="position:absolute;margin-left:504.65pt;margin-top:791.6pt;width:23.75pt;height:13pt;z-index:-25192960;mso-position-horizontal-relative:page;mso-position-vertical-relative:page" filled="f" stroked="f">
          <v:textbox inset="0,0,0,0">
            <w:txbxContent>
              <w:p w14:paraId="51DEAD2F" w14:textId="77777777" w:rsidR="0010369C" w:rsidRDefault="008E43AE">
                <w:pPr>
                  <w:spacing w:line="244" w:lineRule="exact"/>
                  <w:ind w:left="60"/>
                </w:pPr>
                <w:r>
                  <w:rPr>
                    <w:spacing w:val="-5"/>
                  </w:rPr>
                  <w:fldChar w:fldCharType="begin"/>
                </w:r>
                <w:r>
                  <w:rPr>
                    <w:spacing w:val="-5"/>
                  </w:rPr>
                  <w:instrText xml:space="preserve"> PAGE </w:instrText>
                </w:r>
                <w:r>
                  <w:rPr>
                    <w:spacing w:val="-5"/>
                  </w:rPr>
                  <w:fldChar w:fldCharType="separate"/>
                </w:r>
                <w:r>
                  <w:rPr>
                    <w:spacing w:val="-5"/>
                  </w:rPr>
                  <w:t>231</w:t>
                </w:r>
                <w:r>
                  <w:rPr>
                    <w:spacing w:val="-5"/>
                  </w:rPr>
                  <w:fldChar w:fldCharType="end"/>
                </w:r>
              </w:p>
            </w:txbxContent>
          </v:textbox>
          <w10:wrap anchorx="page" anchory="page"/>
        </v:shape>
      </w:pict>
    </w: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DEAA44" w14:textId="77777777" w:rsidR="0010369C" w:rsidRDefault="008E43AE">
    <w:pPr>
      <w:pStyle w:val="BodyText"/>
      <w:spacing w:line="14" w:lineRule="auto"/>
      <w:rPr>
        <w:sz w:val="20"/>
      </w:rPr>
    </w:pPr>
    <w:r>
      <w:pict w14:anchorId="51DEAB6C">
        <v:shapetype id="_x0000_t202" coordsize="21600,21600" o:spt="202" path="m,l,21600r21600,l21600,xe">
          <v:stroke joinstyle="miter"/>
          <v:path gradientshapeok="t" o:connecttype="rect"/>
        </v:shapetype>
        <v:shape id="docshape1112" o:spid="_x0000_s2210" type="#_x0000_t202" style="position:absolute;margin-left:504.65pt;margin-top:791.6pt;width:23.75pt;height:13pt;z-index:-25191424;mso-position-horizontal-relative:page;mso-position-vertical-relative:page" filled="f" stroked="f">
          <v:textbox inset="0,0,0,0">
            <w:txbxContent>
              <w:p w14:paraId="51DEAD31" w14:textId="77777777" w:rsidR="0010369C" w:rsidRDefault="008E43AE">
                <w:pPr>
                  <w:spacing w:line="244" w:lineRule="exact"/>
                  <w:ind w:left="60"/>
                </w:pPr>
                <w:r>
                  <w:rPr>
                    <w:spacing w:val="-5"/>
                  </w:rPr>
                  <w:fldChar w:fldCharType="begin"/>
                </w:r>
                <w:r>
                  <w:rPr>
                    <w:spacing w:val="-5"/>
                  </w:rPr>
                  <w:instrText xml:space="preserve"> PAGE </w:instrText>
                </w:r>
                <w:r>
                  <w:rPr>
                    <w:spacing w:val="-5"/>
                  </w:rPr>
                  <w:fldChar w:fldCharType="separate"/>
                </w:r>
                <w:r>
                  <w:rPr>
                    <w:spacing w:val="-5"/>
                  </w:rPr>
                  <w:t>232</w:t>
                </w:r>
                <w:r>
                  <w:rPr>
                    <w:spacing w:val="-5"/>
                  </w:rPr>
                  <w:fldChar w:fldCharType="end"/>
                </w:r>
              </w:p>
            </w:txbxContent>
          </v:textbox>
          <w10:wrap anchorx="page" anchory="page"/>
        </v:shape>
      </w:pict>
    </w: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DEAA46" w14:textId="77777777" w:rsidR="0010369C" w:rsidRDefault="008E43AE">
    <w:pPr>
      <w:pStyle w:val="BodyText"/>
      <w:spacing w:line="14" w:lineRule="auto"/>
      <w:rPr>
        <w:sz w:val="20"/>
      </w:rPr>
    </w:pPr>
    <w:r>
      <w:pict w14:anchorId="51DEAB70">
        <v:shapetype id="_x0000_t202" coordsize="21600,21600" o:spt="202" path="m,l,21600r21600,l21600,xe">
          <v:stroke joinstyle="miter"/>
          <v:path gradientshapeok="t" o:connecttype="rect"/>
        </v:shapetype>
        <v:shape id="docshape1130" o:spid="_x0000_s2206" type="#_x0000_t202" style="position:absolute;margin-left:506.45pt;margin-top:790.3pt;width:24.05pt;height:12.65pt;z-index:-25189376;mso-position-horizontal-relative:page;mso-position-vertical-relative:page" filled="f" stroked="f">
          <v:textbox inset="0,0,0,0">
            <w:txbxContent>
              <w:p w14:paraId="51DEAD33" w14:textId="77777777" w:rsidR="0010369C" w:rsidRDefault="008E43AE">
                <w:pPr>
                  <w:spacing w:before="14"/>
                  <w:ind w:left="60"/>
                  <w:rPr>
                    <w:rFonts w:ascii="Arial"/>
                    <w:sz w:val="19"/>
                  </w:rPr>
                </w:pPr>
                <w:r>
                  <w:rPr>
                    <w:rFonts w:ascii="Arial"/>
                    <w:color w:val="1D1D1D"/>
                    <w:spacing w:val="-5"/>
                    <w:w w:val="105"/>
                    <w:sz w:val="19"/>
                  </w:rPr>
                  <w:fldChar w:fldCharType="begin"/>
                </w:r>
                <w:r>
                  <w:rPr>
                    <w:rFonts w:ascii="Arial"/>
                    <w:color w:val="1D1D1D"/>
                    <w:spacing w:val="-5"/>
                    <w:w w:val="105"/>
                    <w:sz w:val="19"/>
                  </w:rPr>
                  <w:instrText xml:space="preserve"> PAGE </w:instrText>
                </w:r>
                <w:r>
                  <w:rPr>
                    <w:rFonts w:ascii="Arial"/>
                    <w:color w:val="1D1D1D"/>
                    <w:spacing w:val="-5"/>
                    <w:w w:val="105"/>
                    <w:sz w:val="19"/>
                  </w:rPr>
                  <w:fldChar w:fldCharType="separate"/>
                </w:r>
                <w:r>
                  <w:rPr>
                    <w:rFonts w:ascii="Arial"/>
                    <w:color w:val="1D1D1D"/>
                    <w:spacing w:val="-5"/>
                    <w:w w:val="105"/>
                    <w:sz w:val="19"/>
                  </w:rPr>
                  <w:t>248</w:t>
                </w:r>
                <w:r>
                  <w:rPr>
                    <w:rFonts w:ascii="Arial"/>
                    <w:color w:val="1D1D1D"/>
                    <w:spacing w:val="-5"/>
                    <w:w w:val="105"/>
                    <w:sz w:val="19"/>
                  </w:rPr>
                  <w:fldChar w:fldCharType="end"/>
                </w:r>
              </w:p>
            </w:txbxContent>
          </v:textbox>
          <w10:wrap anchorx="page" anchory="page"/>
        </v:shape>
      </w:pict>
    </w: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DEAA48" w14:textId="77777777" w:rsidR="0010369C" w:rsidRDefault="008E43AE">
    <w:pPr>
      <w:pStyle w:val="BodyText"/>
      <w:spacing w:line="14" w:lineRule="auto"/>
      <w:rPr>
        <w:sz w:val="20"/>
      </w:rPr>
    </w:pPr>
    <w:r>
      <w:pict w14:anchorId="51DEAB73">
        <v:shapetype id="_x0000_t202" coordsize="21600,21600" o:spt="202" path="m,l,21600r21600,l21600,xe">
          <v:stroke joinstyle="miter"/>
          <v:path gradientshapeok="t" o:connecttype="rect"/>
        </v:shapetype>
        <v:shape id="docshape1140" o:spid="_x0000_s2203" type="#_x0000_t202" style="position:absolute;margin-left:504.65pt;margin-top:791.6pt;width:23.75pt;height:13pt;z-index:-25187840;mso-position-horizontal-relative:page;mso-position-vertical-relative:page" filled="f" stroked="f">
          <v:textbox inset="0,0,0,0">
            <w:txbxContent>
              <w:p w14:paraId="51DEAD35" w14:textId="77777777" w:rsidR="0010369C" w:rsidRDefault="008E43AE">
                <w:pPr>
                  <w:spacing w:line="244" w:lineRule="exact"/>
                  <w:ind w:left="60"/>
                </w:pPr>
                <w:r>
                  <w:rPr>
                    <w:spacing w:val="-5"/>
                  </w:rPr>
                  <w:fldChar w:fldCharType="begin"/>
                </w:r>
                <w:r>
                  <w:rPr>
                    <w:spacing w:val="-5"/>
                  </w:rPr>
                  <w:instrText xml:space="preserve"> PAGE </w:instrText>
                </w:r>
                <w:r>
                  <w:rPr>
                    <w:spacing w:val="-5"/>
                  </w:rPr>
                  <w:fldChar w:fldCharType="separate"/>
                </w:r>
                <w:r>
                  <w:rPr>
                    <w:spacing w:val="-5"/>
                  </w:rPr>
                  <w:t>250</w:t>
                </w:r>
                <w:r>
                  <w:rPr>
                    <w:spacing w:val="-5"/>
                  </w:rPr>
                  <w:fldChar w:fldCharType="end"/>
                </w:r>
              </w:p>
            </w:txbxContent>
          </v:textbox>
          <w10:wrap anchorx="page" anchory="page"/>
        </v:shape>
      </w:pict>
    </w: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DEAA4A" w14:textId="77777777" w:rsidR="0010369C" w:rsidRDefault="008E43AE">
    <w:pPr>
      <w:pStyle w:val="BodyText"/>
      <w:spacing w:line="14" w:lineRule="auto"/>
      <w:rPr>
        <w:sz w:val="20"/>
      </w:rPr>
    </w:pPr>
    <w:r>
      <w:pict w14:anchorId="51DEAB74">
        <v:shapetype id="_x0000_t202" coordsize="21600,21600" o:spt="202" path="m,l,21600r21600,l21600,xe">
          <v:stroke joinstyle="miter"/>
          <v:path gradientshapeok="t" o:connecttype="rect"/>
        </v:shapetype>
        <v:shape id="docshape1146" o:spid="_x0000_s2202" type="#_x0000_t202" style="position:absolute;margin-left:505.8pt;margin-top:789.7pt;width:25.1pt;height:14.5pt;z-index:-25187328;mso-position-horizontal-relative:page;mso-position-vertical-relative:page" filled="f" stroked="f">
          <v:textbox inset="0,0,0,0">
            <w:txbxContent>
              <w:p w14:paraId="51DEAD36" w14:textId="77777777" w:rsidR="0010369C" w:rsidRDefault="008E43AE">
                <w:pPr>
                  <w:spacing w:before="20"/>
                  <w:ind w:left="60"/>
                  <w:rPr>
                    <w:rFonts w:ascii="Courier New"/>
                  </w:rPr>
                </w:pPr>
                <w:r>
                  <w:rPr>
                    <w:rFonts w:ascii="Courier New"/>
                    <w:color w:val="1D1D1D"/>
                    <w:spacing w:val="-5"/>
                  </w:rPr>
                  <w:fldChar w:fldCharType="begin"/>
                </w:r>
                <w:r>
                  <w:rPr>
                    <w:rFonts w:ascii="Courier New"/>
                    <w:color w:val="1D1D1D"/>
                    <w:spacing w:val="-5"/>
                  </w:rPr>
                  <w:instrText xml:space="preserve"> PAGE </w:instrText>
                </w:r>
                <w:r>
                  <w:rPr>
                    <w:rFonts w:ascii="Courier New"/>
                    <w:color w:val="1D1D1D"/>
                    <w:spacing w:val="-5"/>
                  </w:rPr>
                  <w:fldChar w:fldCharType="separate"/>
                </w:r>
                <w:r>
                  <w:rPr>
                    <w:rFonts w:ascii="Courier New"/>
                    <w:color w:val="1D1D1D"/>
                    <w:spacing w:val="-5"/>
                  </w:rPr>
                  <w:t>255</w:t>
                </w:r>
                <w:r>
                  <w:rPr>
                    <w:rFonts w:ascii="Courier New"/>
                    <w:color w:val="1D1D1D"/>
                    <w:spacing w:val="-5"/>
                  </w:rPr>
                  <w:fldChar w:fldCharType="end"/>
                </w:r>
              </w:p>
            </w:txbxContent>
          </v:textbox>
          <w10:wrap anchorx="page" anchory="page"/>
        </v:shape>
      </w:pict>
    </w: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DEAA4C" w14:textId="77777777" w:rsidR="0010369C" w:rsidRDefault="008E43AE">
    <w:pPr>
      <w:pStyle w:val="BodyText"/>
      <w:spacing w:line="14" w:lineRule="auto"/>
      <w:rPr>
        <w:sz w:val="20"/>
      </w:rPr>
    </w:pPr>
    <w:r>
      <w:pict w14:anchorId="51DEAB77">
        <v:shapetype id="_x0000_t202" coordsize="21600,21600" o:spt="202" path="m,l,21600r21600,l21600,xe">
          <v:stroke joinstyle="miter"/>
          <v:path gradientshapeok="t" o:connecttype="rect"/>
        </v:shapetype>
        <v:shape id="docshape1155" o:spid="_x0000_s2199" type="#_x0000_t202" style="position:absolute;margin-left:504.65pt;margin-top:791.6pt;width:23.75pt;height:13pt;z-index:-25185792;mso-position-horizontal-relative:page;mso-position-vertical-relative:page" filled="f" stroked="f">
          <v:textbox inset="0,0,0,0">
            <w:txbxContent>
              <w:p w14:paraId="51DEAD38" w14:textId="77777777" w:rsidR="0010369C" w:rsidRDefault="008E43AE">
                <w:pPr>
                  <w:spacing w:line="244" w:lineRule="exact"/>
                  <w:ind w:left="60"/>
                </w:pPr>
                <w:r>
                  <w:rPr>
                    <w:spacing w:val="-5"/>
                  </w:rPr>
                  <w:fldChar w:fldCharType="begin"/>
                </w:r>
                <w:r>
                  <w:rPr>
                    <w:spacing w:val="-5"/>
                  </w:rPr>
                  <w:instrText xml:space="preserve"> PAGE </w:instrText>
                </w:r>
                <w:r>
                  <w:rPr>
                    <w:spacing w:val="-5"/>
                  </w:rPr>
                  <w:fldChar w:fldCharType="separate"/>
                </w:r>
                <w:r>
                  <w:rPr>
                    <w:spacing w:val="-5"/>
                  </w:rPr>
                  <w:t>256</w:t>
                </w:r>
                <w:r>
                  <w:rPr>
                    <w:spacing w:val="-5"/>
                  </w:rPr>
                  <w:fldChar w:fldCharType="end"/>
                </w:r>
              </w:p>
            </w:txbxContent>
          </v:textbox>
          <w10:wrap anchorx="page" anchory="page"/>
        </v:shape>
      </w:pict>
    </w: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DEAA4E" w14:textId="77777777" w:rsidR="0010369C" w:rsidRDefault="008E43AE">
    <w:pPr>
      <w:pStyle w:val="BodyText"/>
      <w:spacing w:line="14" w:lineRule="auto"/>
      <w:rPr>
        <w:sz w:val="20"/>
      </w:rPr>
    </w:pPr>
    <w:r>
      <w:pict w14:anchorId="51DEAB78">
        <v:shapetype id="_x0000_t202" coordsize="21600,21600" o:spt="202" path="m,l,21600r21600,l21600,xe">
          <v:stroke joinstyle="miter"/>
          <v:path gradientshapeok="t" o:connecttype="rect"/>
        </v:shapetype>
        <v:shape id="docshape1159" o:spid="_x0000_s2198" type="#_x0000_t202" style="position:absolute;margin-left:506.5pt;margin-top:789.5pt;width:23.95pt;height:13.7pt;z-index:-25185280;mso-position-horizontal-relative:page;mso-position-vertical-relative:page" filled="f" stroked="f">
          <v:textbox inset="0,0,0,0">
            <w:txbxContent>
              <w:p w14:paraId="51DEAD39" w14:textId="77777777" w:rsidR="0010369C" w:rsidRDefault="008E43AE">
                <w:pPr>
                  <w:spacing w:before="11"/>
                  <w:ind w:left="60"/>
                  <w:rPr>
                    <w:rFonts w:ascii="Times New Roman"/>
                    <w:sz w:val="21"/>
                  </w:rPr>
                </w:pPr>
                <w:r>
                  <w:rPr>
                    <w:rFonts w:ascii="Times New Roman"/>
                    <w:color w:val="1F1F1F"/>
                    <w:spacing w:val="-5"/>
                    <w:w w:val="105"/>
                    <w:sz w:val="21"/>
                  </w:rPr>
                  <w:fldChar w:fldCharType="begin"/>
                </w:r>
                <w:r>
                  <w:rPr>
                    <w:rFonts w:ascii="Times New Roman"/>
                    <w:color w:val="1F1F1F"/>
                    <w:spacing w:val="-5"/>
                    <w:w w:val="105"/>
                    <w:sz w:val="21"/>
                  </w:rPr>
                  <w:instrText xml:space="preserve"> PAGE </w:instrText>
                </w:r>
                <w:r>
                  <w:rPr>
                    <w:rFonts w:ascii="Times New Roman"/>
                    <w:color w:val="1F1F1F"/>
                    <w:spacing w:val="-5"/>
                    <w:w w:val="105"/>
                    <w:sz w:val="21"/>
                  </w:rPr>
                  <w:fldChar w:fldCharType="separate"/>
                </w:r>
                <w:r>
                  <w:rPr>
                    <w:rFonts w:ascii="Times New Roman"/>
                    <w:color w:val="1F1F1F"/>
                    <w:spacing w:val="-5"/>
                    <w:w w:val="105"/>
                    <w:sz w:val="21"/>
                  </w:rPr>
                  <w:t>259</w:t>
                </w:r>
                <w:r>
                  <w:rPr>
                    <w:rFonts w:ascii="Times New Roman"/>
                    <w:color w:val="1F1F1F"/>
                    <w:spacing w:val="-5"/>
                    <w:w w:val="105"/>
                    <w:sz w:val="21"/>
                  </w:rPr>
                  <w:fldChar w:fldCharType="end"/>
                </w:r>
              </w:p>
            </w:txbxContent>
          </v:textbox>
          <w10:wrap anchorx="page" anchory="page"/>
        </v:shape>
      </w:pict>
    </w: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DEAA50" w14:textId="77777777" w:rsidR="0010369C" w:rsidRDefault="008E43AE">
    <w:pPr>
      <w:pStyle w:val="BodyText"/>
      <w:spacing w:line="14" w:lineRule="auto"/>
      <w:rPr>
        <w:sz w:val="20"/>
      </w:rPr>
    </w:pPr>
    <w:r>
      <w:pict w14:anchorId="51DEAB7B">
        <v:shapetype id="_x0000_t202" coordsize="21600,21600" o:spt="202" path="m,l,21600r21600,l21600,xe">
          <v:stroke joinstyle="miter"/>
          <v:path gradientshapeok="t" o:connecttype="rect"/>
        </v:shapetype>
        <v:shape id="docshape1165" o:spid="_x0000_s2195" type="#_x0000_t202" style="position:absolute;margin-left:504.65pt;margin-top:791.6pt;width:23.75pt;height:13pt;z-index:-25183744;mso-position-horizontal-relative:page;mso-position-vertical-relative:page" filled="f" stroked="f">
          <v:textbox inset="0,0,0,0">
            <w:txbxContent>
              <w:p w14:paraId="51DEAD3B" w14:textId="77777777" w:rsidR="0010369C" w:rsidRDefault="008E43AE">
                <w:pPr>
                  <w:spacing w:line="244" w:lineRule="exact"/>
                  <w:ind w:left="60"/>
                </w:pPr>
                <w:r>
                  <w:rPr>
                    <w:spacing w:val="-5"/>
                  </w:rPr>
                  <w:fldChar w:fldCharType="begin"/>
                </w:r>
                <w:r>
                  <w:rPr>
                    <w:spacing w:val="-5"/>
                  </w:rPr>
                  <w:instrText xml:space="preserve"> PAGE </w:instrText>
                </w:r>
                <w:r>
                  <w:rPr>
                    <w:spacing w:val="-5"/>
                  </w:rPr>
                  <w:fldChar w:fldCharType="separate"/>
                </w:r>
                <w:r>
                  <w:rPr>
                    <w:spacing w:val="-5"/>
                  </w:rPr>
                  <w:t>260</w:t>
                </w:r>
                <w:r>
                  <w:rPr>
                    <w:spacing w:val="-5"/>
                  </w:rPr>
                  <w:fldChar w:fldCharType="end"/>
                </w:r>
              </w:p>
            </w:txbxContent>
          </v:textbox>
          <w10:wrap anchorx="page" anchory="page"/>
        </v:shape>
      </w:pict>
    </w: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DEAA52" w14:textId="77777777" w:rsidR="0010369C" w:rsidRDefault="008E43AE">
    <w:pPr>
      <w:pStyle w:val="BodyText"/>
      <w:spacing w:line="14" w:lineRule="auto"/>
      <w:rPr>
        <w:sz w:val="20"/>
      </w:rPr>
    </w:pPr>
    <w:r>
      <w:pict w14:anchorId="51DEAB7F">
        <v:shapetype id="_x0000_t202" coordsize="21600,21600" o:spt="202" path="m,l,21600r21600,l21600,xe">
          <v:stroke joinstyle="miter"/>
          <v:path gradientshapeok="t" o:connecttype="rect"/>
        </v:shapetype>
        <v:shape id="docshape1170" o:spid="_x0000_s2191" type="#_x0000_t202" style="position:absolute;margin-left:506.45pt;margin-top:790.3pt;width:24.05pt;height:12.65pt;z-index:-25181696;mso-position-horizontal-relative:page;mso-position-vertical-relative:page" filled="f" stroked="f">
          <v:textbox inset="0,0,0,0">
            <w:txbxContent>
              <w:p w14:paraId="51DEAD3D" w14:textId="77777777" w:rsidR="0010369C" w:rsidRDefault="008E43AE">
                <w:pPr>
                  <w:spacing w:before="14"/>
                  <w:ind w:left="60"/>
                  <w:rPr>
                    <w:rFonts w:ascii="Arial"/>
                    <w:sz w:val="19"/>
                  </w:rPr>
                </w:pPr>
                <w:r>
                  <w:rPr>
                    <w:rFonts w:ascii="Arial"/>
                    <w:color w:val="281F2D"/>
                    <w:spacing w:val="-5"/>
                    <w:w w:val="105"/>
                    <w:sz w:val="19"/>
                  </w:rPr>
                  <w:fldChar w:fldCharType="begin"/>
                </w:r>
                <w:r>
                  <w:rPr>
                    <w:rFonts w:ascii="Arial"/>
                    <w:color w:val="281F2D"/>
                    <w:spacing w:val="-5"/>
                    <w:w w:val="105"/>
                    <w:sz w:val="19"/>
                  </w:rPr>
                  <w:instrText xml:space="preserve"> PAGE </w:instrText>
                </w:r>
                <w:r>
                  <w:rPr>
                    <w:rFonts w:ascii="Arial"/>
                    <w:color w:val="281F2D"/>
                    <w:spacing w:val="-5"/>
                    <w:w w:val="105"/>
                    <w:sz w:val="19"/>
                  </w:rPr>
                  <w:fldChar w:fldCharType="separate"/>
                </w:r>
                <w:r>
                  <w:rPr>
                    <w:rFonts w:ascii="Arial"/>
                    <w:color w:val="281F2D"/>
                    <w:spacing w:val="-5"/>
                    <w:w w:val="105"/>
                    <w:sz w:val="19"/>
                  </w:rPr>
                  <w:t>263</w:t>
                </w:r>
                <w:r>
                  <w:rPr>
                    <w:rFonts w:ascii="Arial"/>
                    <w:color w:val="281F2D"/>
                    <w:spacing w:val="-5"/>
                    <w:w w:val="105"/>
                    <w:sz w:val="19"/>
                  </w:rPr>
                  <w:fldChar w:fldCharType="end"/>
                </w:r>
              </w:p>
            </w:txbxContent>
          </v:textbox>
          <w10:wrap anchorx="page" anchory="page"/>
        </v:shape>
      </w:pict>
    </w: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DEAA54" w14:textId="77777777" w:rsidR="0010369C" w:rsidRDefault="008E43AE">
    <w:pPr>
      <w:pStyle w:val="BodyText"/>
      <w:spacing w:line="14" w:lineRule="auto"/>
      <w:rPr>
        <w:sz w:val="20"/>
      </w:rPr>
    </w:pPr>
    <w:r>
      <w:pict w14:anchorId="51DEAB82">
        <v:shapetype id="_x0000_t202" coordsize="21600,21600" o:spt="202" path="m,l,21600r21600,l21600,xe">
          <v:stroke joinstyle="miter"/>
          <v:path gradientshapeok="t" o:connecttype="rect"/>
        </v:shapetype>
        <v:shape id="docshape1182" o:spid="_x0000_s2188" type="#_x0000_t202" style="position:absolute;margin-left:504.65pt;margin-top:791.6pt;width:23.75pt;height:13pt;z-index:-25180160;mso-position-horizontal-relative:page;mso-position-vertical-relative:page" filled="f" stroked="f">
          <v:textbox inset="0,0,0,0">
            <w:txbxContent>
              <w:p w14:paraId="51DEAD3F" w14:textId="77777777" w:rsidR="0010369C" w:rsidRDefault="008E43AE">
                <w:pPr>
                  <w:spacing w:line="244" w:lineRule="exact"/>
                  <w:ind w:left="60"/>
                </w:pPr>
                <w:r>
                  <w:rPr>
                    <w:spacing w:val="-5"/>
                  </w:rPr>
                  <w:fldChar w:fldCharType="begin"/>
                </w:r>
                <w:r>
                  <w:rPr>
                    <w:spacing w:val="-5"/>
                  </w:rPr>
                  <w:instrText xml:space="preserve"> PAGE </w:instrText>
                </w:r>
                <w:r>
                  <w:rPr>
                    <w:spacing w:val="-5"/>
                  </w:rPr>
                  <w:fldChar w:fldCharType="separate"/>
                </w:r>
                <w:r>
                  <w:rPr>
                    <w:spacing w:val="-5"/>
                  </w:rPr>
                  <w:t>266</w:t>
                </w:r>
                <w:r>
                  <w:rPr>
                    <w:spacing w:val="-5"/>
                  </w:rPr>
                  <w:fldChar w:fldCharType="end"/>
                </w:r>
              </w:p>
            </w:txbxContent>
          </v:textbox>
          <w10:wrap anchorx="page" anchory="page"/>
        </v:shape>
      </w:pic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DEA9C6" w14:textId="77777777" w:rsidR="0010369C" w:rsidRDefault="008E43AE">
    <w:pPr>
      <w:pStyle w:val="BodyText"/>
      <w:spacing w:line="14" w:lineRule="auto"/>
      <w:rPr>
        <w:sz w:val="20"/>
      </w:rPr>
    </w:pPr>
    <w:r>
      <w:pict w14:anchorId="51DEAAB2">
        <v:shapetype id="_x0000_t202" coordsize="21600,21600" o:spt="202" path="m,l,21600r21600,l21600,xe">
          <v:stroke joinstyle="miter"/>
          <v:path gradientshapeok="t" o:connecttype="rect"/>
        </v:shapetype>
        <v:shape id="docshape37" o:spid="_x0000_s2396" type="#_x0000_t202" style="position:absolute;margin-left:511.3pt;margin-top:789.7pt;width:19.75pt;height:14.5pt;z-index:-25286656;mso-position-horizontal-relative:page;mso-position-vertical-relative:page" filled="f" stroked="f">
          <v:textbox inset="0,0,0,0">
            <w:txbxContent>
              <w:p w14:paraId="51DEACB1" w14:textId="77777777" w:rsidR="0010369C" w:rsidRDefault="008E43AE">
                <w:pPr>
                  <w:spacing w:before="20"/>
                  <w:ind w:left="60"/>
                  <w:rPr>
                    <w:rFonts w:ascii="Courier New"/>
                  </w:rPr>
                </w:pPr>
                <w:r>
                  <w:rPr>
                    <w:rFonts w:ascii="Courier New"/>
                    <w:color w:val="111111"/>
                    <w:spacing w:val="-5"/>
                  </w:rPr>
                  <w:fldChar w:fldCharType="begin"/>
                </w:r>
                <w:r>
                  <w:rPr>
                    <w:rFonts w:ascii="Courier New"/>
                    <w:color w:val="111111"/>
                    <w:spacing w:val="-5"/>
                  </w:rPr>
                  <w:instrText xml:space="preserve"> PAGE </w:instrText>
                </w:r>
                <w:r>
                  <w:rPr>
                    <w:rFonts w:ascii="Courier New"/>
                    <w:color w:val="111111"/>
                    <w:spacing w:val="-5"/>
                  </w:rPr>
                  <w:fldChar w:fldCharType="separate"/>
                </w:r>
                <w:r>
                  <w:rPr>
                    <w:rFonts w:ascii="Courier New"/>
                    <w:color w:val="111111"/>
                    <w:spacing w:val="-5"/>
                  </w:rPr>
                  <w:t>25</w:t>
                </w:r>
                <w:r>
                  <w:rPr>
                    <w:rFonts w:ascii="Courier New"/>
                    <w:color w:val="111111"/>
                    <w:spacing w:val="-5"/>
                  </w:rPr>
                  <w:fldChar w:fldCharType="end"/>
                </w:r>
              </w:p>
            </w:txbxContent>
          </v:textbox>
          <w10:wrap anchorx="page" anchory="page"/>
        </v:shape>
      </w:pict>
    </w: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DEAA56" w14:textId="77777777" w:rsidR="0010369C" w:rsidRDefault="008E43AE">
    <w:pPr>
      <w:pStyle w:val="BodyText"/>
      <w:spacing w:line="14" w:lineRule="auto"/>
      <w:rPr>
        <w:sz w:val="20"/>
      </w:rPr>
    </w:pPr>
    <w:r>
      <w:pict w14:anchorId="51DEAB85">
        <v:rect id="docshape1186" o:spid="_x0000_s2185" style="position:absolute;margin-left:70.9pt;margin-top:687.85pt;width:2in;height:.8pt;z-index:-25178624;mso-position-horizontal-relative:page;mso-position-vertical-relative:page" fillcolor="black" stroked="f">
          <w10:wrap anchorx="page" anchory="page"/>
        </v:rect>
      </w:pict>
    </w:r>
    <w:r>
      <w:pict w14:anchorId="51DEAB86">
        <v:shapetype id="_x0000_t202" coordsize="21600,21600" o:spt="202" path="m,l,21600r21600,l21600,xe">
          <v:stroke joinstyle="miter"/>
          <v:path gradientshapeok="t" o:connecttype="rect"/>
        </v:shapetype>
        <v:shape id="docshape1187" o:spid="_x0000_s2184" type="#_x0000_t202" style="position:absolute;margin-left:504.65pt;margin-top:791.6pt;width:23.75pt;height:13pt;z-index:-25178112;mso-position-horizontal-relative:page;mso-position-vertical-relative:page" filled="f" stroked="f">
          <v:textbox inset="0,0,0,0">
            <w:txbxContent>
              <w:p w14:paraId="51DEAD41" w14:textId="77777777" w:rsidR="0010369C" w:rsidRDefault="008E43AE">
                <w:pPr>
                  <w:spacing w:line="244" w:lineRule="exact"/>
                  <w:ind w:left="60"/>
                </w:pPr>
                <w:r>
                  <w:rPr>
                    <w:spacing w:val="-5"/>
                  </w:rPr>
                  <w:fldChar w:fldCharType="begin"/>
                </w:r>
                <w:r>
                  <w:rPr>
                    <w:spacing w:val="-5"/>
                  </w:rPr>
                  <w:instrText xml:space="preserve"> PAGE </w:instrText>
                </w:r>
                <w:r>
                  <w:rPr>
                    <w:spacing w:val="-5"/>
                  </w:rPr>
                  <w:fldChar w:fldCharType="separate"/>
                </w:r>
                <w:r>
                  <w:rPr>
                    <w:spacing w:val="-5"/>
                  </w:rPr>
                  <w:t>267</w:t>
                </w:r>
                <w:r>
                  <w:rPr>
                    <w:spacing w:val="-5"/>
                  </w:rPr>
                  <w:fldChar w:fldCharType="end"/>
                </w:r>
              </w:p>
            </w:txbxContent>
          </v:textbox>
          <w10:wrap anchorx="page" anchory="page"/>
        </v:shape>
      </w:pict>
    </w: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DEAA58" w14:textId="77777777" w:rsidR="0010369C" w:rsidRDefault="008E43AE">
    <w:pPr>
      <w:pStyle w:val="BodyText"/>
      <w:spacing w:line="14" w:lineRule="auto"/>
      <w:rPr>
        <w:sz w:val="20"/>
      </w:rPr>
    </w:pPr>
    <w:r>
      <w:pict w14:anchorId="51DEAB89">
        <v:shapetype id="_x0000_t202" coordsize="21600,21600" o:spt="202" path="m,l,21600r21600,l21600,xe">
          <v:stroke joinstyle="miter"/>
          <v:path gradientshapeok="t" o:connecttype="rect"/>
        </v:shapetype>
        <v:shape id="docshape1190" o:spid="_x0000_s2181" type="#_x0000_t202" style="position:absolute;margin-left:504.65pt;margin-top:791.6pt;width:23.75pt;height:13pt;z-index:-25176576;mso-position-horizontal-relative:page;mso-position-vertical-relative:page" filled="f" stroked="f">
          <v:textbox inset="0,0,0,0">
            <w:txbxContent>
              <w:p w14:paraId="51DEAD43" w14:textId="77777777" w:rsidR="0010369C" w:rsidRDefault="008E43AE">
                <w:pPr>
                  <w:spacing w:line="244" w:lineRule="exact"/>
                  <w:ind w:left="60"/>
                </w:pPr>
                <w:r>
                  <w:rPr>
                    <w:spacing w:val="-5"/>
                  </w:rPr>
                  <w:fldChar w:fldCharType="begin"/>
                </w:r>
                <w:r>
                  <w:rPr>
                    <w:spacing w:val="-5"/>
                  </w:rPr>
                  <w:instrText xml:space="preserve"> PAGE </w:instrText>
                </w:r>
                <w:r>
                  <w:rPr>
                    <w:spacing w:val="-5"/>
                  </w:rPr>
                  <w:fldChar w:fldCharType="separate"/>
                </w:r>
                <w:r>
                  <w:rPr>
                    <w:spacing w:val="-5"/>
                  </w:rPr>
                  <w:t>268</w:t>
                </w:r>
                <w:r>
                  <w:rPr>
                    <w:spacing w:val="-5"/>
                  </w:rPr>
                  <w:fldChar w:fldCharType="end"/>
                </w:r>
              </w:p>
            </w:txbxContent>
          </v:textbox>
          <w10:wrap anchorx="page" anchory="page"/>
        </v:shape>
      </w:pict>
    </w: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DEAA5A" w14:textId="77777777" w:rsidR="0010369C" w:rsidRDefault="0010369C">
    <w:pPr>
      <w:pStyle w:val="BodyText"/>
      <w:spacing w:line="14" w:lineRule="auto"/>
      <w:rPr>
        <w:sz w:val="2"/>
      </w:rPr>
    </w:pP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DEAA5C" w14:textId="77777777" w:rsidR="0010369C" w:rsidRDefault="008E43AE">
    <w:pPr>
      <w:pStyle w:val="BodyText"/>
      <w:spacing w:line="14" w:lineRule="auto"/>
      <w:rPr>
        <w:sz w:val="20"/>
      </w:rPr>
    </w:pPr>
    <w:r>
      <w:pict w14:anchorId="51DEAB8E">
        <v:shapetype id="_x0000_t202" coordsize="21600,21600" o:spt="202" path="m,l,21600r21600,l21600,xe">
          <v:stroke joinstyle="miter"/>
          <v:path gradientshapeok="t" o:connecttype="rect"/>
        </v:shapetype>
        <v:shape id="docshape1197" o:spid="_x0000_s2176" type="#_x0000_t202" style="position:absolute;margin-left:504.65pt;margin-top:791.6pt;width:23.75pt;height:13pt;z-index:-25174016;mso-position-horizontal-relative:page;mso-position-vertical-relative:page" filled="f" stroked="f">
          <v:textbox inset="0,0,0,0">
            <w:txbxContent>
              <w:p w14:paraId="51DEAD46" w14:textId="77777777" w:rsidR="0010369C" w:rsidRDefault="008E43AE">
                <w:pPr>
                  <w:spacing w:line="244" w:lineRule="exact"/>
                  <w:ind w:left="60"/>
                </w:pPr>
                <w:r>
                  <w:rPr>
                    <w:spacing w:val="-5"/>
                  </w:rPr>
                  <w:fldChar w:fldCharType="begin"/>
                </w:r>
                <w:r>
                  <w:rPr>
                    <w:spacing w:val="-5"/>
                  </w:rPr>
                  <w:instrText xml:space="preserve"> PAGE </w:instrText>
                </w:r>
                <w:r>
                  <w:rPr>
                    <w:spacing w:val="-5"/>
                  </w:rPr>
                  <w:fldChar w:fldCharType="separate"/>
                </w:r>
                <w:r>
                  <w:rPr>
                    <w:spacing w:val="-5"/>
                  </w:rPr>
                  <w:t>270</w:t>
                </w:r>
                <w:r>
                  <w:rPr>
                    <w:spacing w:val="-5"/>
                  </w:rPr>
                  <w:fldChar w:fldCharType="end"/>
                </w:r>
              </w:p>
            </w:txbxContent>
          </v:textbox>
          <w10:wrap anchorx="page" anchory="page"/>
        </v:shape>
      </w:pict>
    </w: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DEAA5E" w14:textId="77777777" w:rsidR="0010369C" w:rsidRDefault="008E43AE">
    <w:pPr>
      <w:pStyle w:val="BodyText"/>
      <w:spacing w:line="14" w:lineRule="auto"/>
      <w:rPr>
        <w:sz w:val="20"/>
      </w:rPr>
    </w:pPr>
    <w:r>
      <w:pict w14:anchorId="51DEAB8F">
        <v:shapetype id="_x0000_t202" coordsize="21600,21600" o:spt="202" path="m,l,21600r21600,l21600,xe">
          <v:stroke joinstyle="miter"/>
          <v:path gradientshapeok="t" o:connecttype="rect"/>
        </v:shapetype>
        <v:shape id="docshape1201" o:spid="_x0000_s2175" type="#_x0000_t202" style="position:absolute;margin-left:506.5pt;margin-top:789.5pt;width:22.65pt;height:13.7pt;z-index:-25173504;mso-position-horizontal-relative:page;mso-position-vertical-relative:page" filled="f" stroked="f">
          <v:textbox inset="0,0,0,0">
            <w:txbxContent>
              <w:p w14:paraId="51DEAD47" w14:textId="77777777" w:rsidR="0010369C" w:rsidRDefault="008E43AE">
                <w:pPr>
                  <w:spacing w:before="11"/>
                  <w:ind w:left="60"/>
                  <w:rPr>
                    <w:rFonts w:ascii="Times New Roman"/>
                    <w:sz w:val="21"/>
                  </w:rPr>
                </w:pPr>
                <w:r>
                  <w:rPr>
                    <w:rFonts w:ascii="Times New Roman"/>
                    <w:color w:val="1D1D1D"/>
                    <w:spacing w:val="-5"/>
                    <w:sz w:val="21"/>
                  </w:rPr>
                  <w:fldChar w:fldCharType="begin"/>
                </w:r>
                <w:r>
                  <w:rPr>
                    <w:rFonts w:ascii="Times New Roman"/>
                    <w:color w:val="1D1D1D"/>
                    <w:spacing w:val="-5"/>
                    <w:sz w:val="21"/>
                  </w:rPr>
                  <w:instrText xml:space="preserve"> PAGE </w:instrText>
                </w:r>
                <w:r>
                  <w:rPr>
                    <w:rFonts w:ascii="Times New Roman"/>
                    <w:color w:val="1D1D1D"/>
                    <w:spacing w:val="-5"/>
                    <w:sz w:val="21"/>
                  </w:rPr>
                  <w:fldChar w:fldCharType="separate"/>
                </w:r>
                <w:r>
                  <w:rPr>
                    <w:rFonts w:ascii="Times New Roman"/>
                    <w:color w:val="1D1D1D"/>
                    <w:spacing w:val="-5"/>
                    <w:sz w:val="21"/>
                  </w:rPr>
                  <w:t>273</w:t>
                </w:r>
                <w:r>
                  <w:rPr>
                    <w:rFonts w:ascii="Times New Roman"/>
                    <w:color w:val="1D1D1D"/>
                    <w:spacing w:val="-5"/>
                    <w:sz w:val="21"/>
                  </w:rPr>
                  <w:fldChar w:fldCharType="end"/>
                </w:r>
              </w:p>
            </w:txbxContent>
          </v:textbox>
          <w10:wrap anchorx="page" anchory="page"/>
        </v:shape>
      </w:pict>
    </w: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DEAA60" w14:textId="77777777" w:rsidR="0010369C" w:rsidRDefault="008E43AE">
    <w:pPr>
      <w:pStyle w:val="BodyText"/>
      <w:spacing w:line="14" w:lineRule="auto"/>
      <w:rPr>
        <w:sz w:val="20"/>
      </w:rPr>
    </w:pPr>
    <w:r>
      <w:pict w14:anchorId="51DEAB92">
        <v:shapetype id="_x0000_t202" coordsize="21600,21600" o:spt="202" path="m,l,21600r21600,l21600,xe">
          <v:stroke joinstyle="miter"/>
          <v:path gradientshapeok="t" o:connecttype="rect"/>
        </v:shapetype>
        <v:shape id="docshape1210" o:spid="_x0000_s2172" type="#_x0000_t202" style="position:absolute;margin-left:504.65pt;margin-top:791.6pt;width:23.75pt;height:13pt;z-index:-25171968;mso-position-horizontal-relative:page;mso-position-vertical-relative:page" filled="f" stroked="f">
          <v:textbox inset="0,0,0,0">
            <w:txbxContent>
              <w:p w14:paraId="51DEAD49" w14:textId="77777777" w:rsidR="0010369C" w:rsidRDefault="008E43AE">
                <w:pPr>
                  <w:spacing w:line="244" w:lineRule="exact"/>
                  <w:ind w:left="60"/>
                </w:pPr>
                <w:r>
                  <w:rPr>
                    <w:spacing w:val="-5"/>
                  </w:rPr>
                  <w:fldChar w:fldCharType="begin"/>
                </w:r>
                <w:r>
                  <w:rPr>
                    <w:spacing w:val="-5"/>
                  </w:rPr>
                  <w:instrText xml:space="preserve"> PAGE </w:instrText>
                </w:r>
                <w:r>
                  <w:rPr>
                    <w:spacing w:val="-5"/>
                  </w:rPr>
                  <w:fldChar w:fldCharType="separate"/>
                </w:r>
                <w:r>
                  <w:rPr>
                    <w:spacing w:val="-5"/>
                  </w:rPr>
                  <w:t>274</w:t>
                </w:r>
                <w:r>
                  <w:rPr>
                    <w:spacing w:val="-5"/>
                  </w:rPr>
                  <w:fldChar w:fldCharType="end"/>
                </w:r>
              </w:p>
            </w:txbxContent>
          </v:textbox>
          <w10:wrap anchorx="page" anchory="page"/>
        </v:shape>
      </w:pict>
    </w: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DEAA62" w14:textId="77777777" w:rsidR="0010369C" w:rsidRDefault="008E43AE">
    <w:pPr>
      <w:pStyle w:val="BodyText"/>
      <w:spacing w:line="14" w:lineRule="auto"/>
      <w:rPr>
        <w:sz w:val="20"/>
      </w:rPr>
    </w:pPr>
    <w:r>
      <w:pict w14:anchorId="51DEAB95">
        <v:rect id="docshape1214" o:spid="_x0000_s2169" style="position:absolute;margin-left:70.9pt;margin-top:709.8pt;width:2in;height:.8pt;z-index:-25170432;mso-position-horizontal-relative:page;mso-position-vertical-relative:page" fillcolor="black" stroked="f">
          <w10:wrap anchorx="page" anchory="page"/>
        </v:rect>
      </w:pict>
    </w:r>
    <w:r>
      <w:pict w14:anchorId="51DEAB96">
        <v:shapetype id="_x0000_t202" coordsize="21600,21600" o:spt="202" path="m,l,21600r21600,l21600,xe">
          <v:stroke joinstyle="miter"/>
          <v:path gradientshapeok="t" o:connecttype="rect"/>
        </v:shapetype>
        <v:shape id="docshape1215" o:spid="_x0000_s2168" type="#_x0000_t202" style="position:absolute;margin-left:504.65pt;margin-top:791.6pt;width:23.75pt;height:13pt;z-index:-25169920;mso-position-horizontal-relative:page;mso-position-vertical-relative:page" filled="f" stroked="f">
          <v:textbox inset="0,0,0,0">
            <w:txbxContent>
              <w:p w14:paraId="51DEAD4B" w14:textId="77777777" w:rsidR="0010369C" w:rsidRDefault="008E43AE">
                <w:pPr>
                  <w:spacing w:line="244" w:lineRule="exact"/>
                  <w:ind w:left="60"/>
                </w:pPr>
                <w:r>
                  <w:rPr>
                    <w:spacing w:val="-5"/>
                  </w:rPr>
                  <w:fldChar w:fldCharType="begin"/>
                </w:r>
                <w:r>
                  <w:rPr>
                    <w:spacing w:val="-5"/>
                  </w:rPr>
                  <w:instrText xml:space="preserve"> PAGE </w:instrText>
                </w:r>
                <w:r>
                  <w:rPr>
                    <w:spacing w:val="-5"/>
                  </w:rPr>
                  <w:fldChar w:fldCharType="separate"/>
                </w:r>
                <w:r>
                  <w:rPr>
                    <w:spacing w:val="-5"/>
                  </w:rPr>
                  <w:t>275</w:t>
                </w:r>
                <w:r>
                  <w:rPr>
                    <w:spacing w:val="-5"/>
                  </w:rPr>
                  <w:fldChar w:fldCharType="end"/>
                </w:r>
              </w:p>
            </w:txbxContent>
          </v:textbox>
          <w10:wrap anchorx="page" anchory="page"/>
        </v:shape>
      </w:pict>
    </w: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DEAA64" w14:textId="77777777" w:rsidR="0010369C" w:rsidRDefault="008E43AE">
    <w:pPr>
      <w:pStyle w:val="BodyText"/>
      <w:spacing w:line="14" w:lineRule="auto"/>
      <w:rPr>
        <w:sz w:val="20"/>
      </w:rPr>
    </w:pPr>
    <w:r>
      <w:pict w14:anchorId="51DEAB97">
        <v:shapetype id="_x0000_t202" coordsize="21600,21600" o:spt="202" path="m,l,21600r21600,l21600,xe">
          <v:stroke joinstyle="miter"/>
          <v:path gradientshapeok="t" o:connecttype="rect"/>
        </v:shapetype>
        <v:shape id="docshape1216" o:spid="_x0000_s2167" type="#_x0000_t202" style="position:absolute;margin-left:506.5pt;margin-top:789.5pt;width:23.95pt;height:13.7pt;z-index:-25169408;mso-position-horizontal-relative:page;mso-position-vertical-relative:page" filled="f" stroked="f">
          <v:textbox inset="0,0,0,0">
            <w:txbxContent>
              <w:p w14:paraId="51DEAD4C" w14:textId="77777777" w:rsidR="0010369C" w:rsidRDefault="008E43AE">
                <w:pPr>
                  <w:spacing w:before="11"/>
                  <w:ind w:left="60"/>
                  <w:rPr>
                    <w:rFonts w:ascii="Times New Roman"/>
                    <w:sz w:val="21"/>
                  </w:rPr>
                </w:pPr>
                <w:r>
                  <w:rPr>
                    <w:rFonts w:ascii="Times New Roman"/>
                    <w:color w:val="1C1C1C"/>
                    <w:spacing w:val="-5"/>
                    <w:w w:val="105"/>
                    <w:sz w:val="21"/>
                  </w:rPr>
                  <w:fldChar w:fldCharType="begin"/>
                </w:r>
                <w:r>
                  <w:rPr>
                    <w:rFonts w:ascii="Times New Roman"/>
                    <w:color w:val="1C1C1C"/>
                    <w:spacing w:val="-5"/>
                    <w:w w:val="105"/>
                    <w:sz w:val="21"/>
                  </w:rPr>
                  <w:instrText xml:space="preserve"> PAGE </w:instrText>
                </w:r>
                <w:r>
                  <w:rPr>
                    <w:rFonts w:ascii="Times New Roman"/>
                    <w:color w:val="1C1C1C"/>
                    <w:spacing w:val="-5"/>
                    <w:w w:val="105"/>
                    <w:sz w:val="21"/>
                  </w:rPr>
                  <w:fldChar w:fldCharType="separate"/>
                </w:r>
                <w:r>
                  <w:rPr>
                    <w:rFonts w:ascii="Times New Roman"/>
                    <w:color w:val="1C1C1C"/>
                    <w:spacing w:val="-5"/>
                    <w:w w:val="105"/>
                    <w:sz w:val="21"/>
                  </w:rPr>
                  <w:t>276</w:t>
                </w:r>
                <w:r>
                  <w:rPr>
                    <w:rFonts w:ascii="Times New Roman"/>
                    <w:color w:val="1C1C1C"/>
                    <w:spacing w:val="-5"/>
                    <w:w w:val="105"/>
                    <w:sz w:val="21"/>
                  </w:rPr>
                  <w:fldChar w:fldCharType="end"/>
                </w:r>
              </w:p>
            </w:txbxContent>
          </v:textbox>
          <w10:wrap anchorx="page" anchory="page"/>
        </v:shape>
      </w:pict>
    </w: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DEAA66" w14:textId="77777777" w:rsidR="0010369C" w:rsidRDefault="008E43AE">
    <w:pPr>
      <w:pStyle w:val="BodyText"/>
      <w:spacing w:line="14" w:lineRule="auto"/>
      <w:rPr>
        <w:sz w:val="20"/>
      </w:rPr>
    </w:pPr>
    <w:r>
      <w:pict w14:anchorId="51DEAB9A">
        <v:shapetype id="_x0000_t202" coordsize="21600,21600" o:spt="202" path="m,l,21600r21600,l21600,xe">
          <v:stroke joinstyle="miter"/>
          <v:path gradientshapeok="t" o:connecttype="rect"/>
        </v:shapetype>
        <v:shape id="docshape1222" o:spid="_x0000_s2164" type="#_x0000_t202" style="position:absolute;margin-left:504.65pt;margin-top:791.6pt;width:23.75pt;height:13pt;z-index:-25167872;mso-position-horizontal-relative:page;mso-position-vertical-relative:page" filled="f" stroked="f">
          <v:textbox inset="0,0,0,0">
            <w:txbxContent>
              <w:p w14:paraId="51DEAD4E" w14:textId="77777777" w:rsidR="0010369C" w:rsidRDefault="008E43AE">
                <w:pPr>
                  <w:spacing w:line="244" w:lineRule="exact"/>
                  <w:ind w:left="60"/>
                </w:pPr>
                <w:r>
                  <w:rPr>
                    <w:spacing w:val="-5"/>
                  </w:rPr>
                  <w:fldChar w:fldCharType="begin"/>
                </w:r>
                <w:r>
                  <w:rPr>
                    <w:spacing w:val="-5"/>
                  </w:rPr>
                  <w:instrText xml:space="preserve"> PAGE </w:instrText>
                </w:r>
                <w:r>
                  <w:rPr>
                    <w:spacing w:val="-5"/>
                  </w:rPr>
                  <w:fldChar w:fldCharType="separate"/>
                </w:r>
                <w:r>
                  <w:rPr>
                    <w:spacing w:val="-5"/>
                  </w:rPr>
                  <w:t>277</w:t>
                </w:r>
                <w:r>
                  <w:rPr>
                    <w:spacing w:val="-5"/>
                  </w:rPr>
                  <w:fldChar w:fldCharType="end"/>
                </w:r>
              </w:p>
            </w:txbxContent>
          </v:textbox>
          <w10:wrap anchorx="page" anchory="page"/>
        </v:shape>
      </w:pict>
    </w: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DEAA68" w14:textId="77777777" w:rsidR="0010369C" w:rsidRDefault="008E43AE">
    <w:pPr>
      <w:pStyle w:val="BodyText"/>
      <w:spacing w:line="14" w:lineRule="auto"/>
      <w:rPr>
        <w:sz w:val="20"/>
      </w:rPr>
    </w:pPr>
    <w:r>
      <w:pict w14:anchorId="51DEAB9F">
        <v:shapetype id="_x0000_t202" coordsize="21600,21600" o:spt="202" path="m,l,21600r21600,l21600,xe">
          <v:stroke joinstyle="miter"/>
          <v:path gradientshapeok="t" o:connecttype="rect"/>
        </v:shapetype>
        <v:shape id="docshape1230" o:spid="_x0000_s2159" type="#_x0000_t202" style="position:absolute;margin-left:504.65pt;margin-top:791.6pt;width:23.75pt;height:13pt;z-index:-25165312;mso-position-horizontal-relative:page;mso-position-vertical-relative:page" filled="f" stroked="f">
          <v:textbox inset="0,0,0,0">
            <w:txbxContent>
              <w:p w14:paraId="51DEAD52" w14:textId="77777777" w:rsidR="0010369C" w:rsidRDefault="008E43AE">
                <w:pPr>
                  <w:spacing w:line="244" w:lineRule="exact"/>
                  <w:ind w:left="60"/>
                </w:pPr>
                <w:r>
                  <w:rPr>
                    <w:spacing w:val="-5"/>
                  </w:rPr>
                  <w:fldChar w:fldCharType="begin"/>
                </w:r>
                <w:r>
                  <w:rPr>
                    <w:spacing w:val="-5"/>
                  </w:rPr>
                  <w:instrText xml:space="preserve"> PAGE </w:instrText>
                </w:r>
                <w:r>
                  <w:rPr>
                    <w:spacing w:val="-5"/>
                  </w:rPr>
                  <w:fldChar w:fldCharType="separate"/>
                </w:r>
                <w:r>
                  <w:rPr>
                    <w:spacing w:val="-5"/>
                  </w:rPr>
                  <w:t>280</w:t>
                </w:r>
                <w:r>
                  <w:rPr>
                    <w:spacing w:val="-5"/>
                  </w:rPr>
                  <w:fldChar w:fldCharType="end"/>
                </w:r>
              </w:p>
            </w:txbxContent>
          </v:textbox>
          <w10:wrap anchorx="page" anchory="page"/>
        </v:shape>
      </w:pic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DEA9C8" w14:textId="77777777" w:rsidR="0010369C" w:rsidRDefault="008E43AE">
    <w:pPr>
      <w:pStyle w:val="BodyText"/>
      <w:spacing w:line="14" w:lineRule="auto"/>
      <w:rPr>
        <w:sz w:val="20"/>
      </w:rPr>
    </w:pPr>
    <w:r>
      <w:pict w14:anchorId="51DEAAB5">
        <v:shapetype id="_x0000_t202" coordsize="21600,21600" o:spt="202" path="m,l,21600r21600,l21600,xe">
          <v:stroke joinstyle="miter"/>
          <v:path gradientshapeok="t" o:connecttype="rect"/>
        </v:shapetype>
        <v:shape id="docshape48" o:spid="_x0000_s2393" type="#_x0000_t202" style="position:absolute;margin-left:510.25pt;margin-top:791.6pt;width:18.2pt;height:13pt;z-index:-25285120;mso-position-horizontal-relative:page;mso-position-vertical-relative:page" filled="f" stroked="f">
          <v:textbox inset="0,0,0,0">
            <w:txbxContent>
              <w:p w14:paraId="51DEACB3" w14:textId="77777777" w:rsidR="0010369C" w:rsidRDefault="008E43AE">
                <w:pPr>
                  <w:spacing w:line="244" w:lineRule="exact"/>
                  <w:ind w:left="60"/>
                </w:pPr>
                <w:r>
                  <w:rPr>
                    <w:spacing w:val="-5"/>
                  </w:rPr>
                  <w:fldChar w:fldCharType="begin"/>
                </w:r>
                <w:r>
                  <w:rPr>
                    <w:spacing w:val="-5"/>
                  </w:rPr>
                  <w:instrText xml:space="preserve"> PAGE </w:instrText>
                </w:r>
                <w:r>
                  <w:rPr>
                    <w:spacing w:val="-5"/>
                  </w:rPr>
                  <w:fldChar w:fldCharType="separate"/>
                </w:r>
                <w:r>
                  <w:rPr>
                    <w:spacing w:val="-5"/>
                  </w:rPr>
                  <w:t>26</w:t>
                </w:r>
                <w:r>
                  <w:rPr>
                    <w:spacing w:val="-5"/>
                  </w:rPr>
                  <w:fldChar w:fldCharType="end"/>
                </w:r>
              </w:p>
            </w:txbxContent>
          </v:textbox>
          <w10:wrap anchorx="page" anchory="page"/>
        </v:shape>
      </w:pict>
    </w: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DEAA6A" w14:textId="77777777" w:rsidR="0010369C" w:rsidRDefault="008E43AE">
    <w:pPr>
      <w:pStyle w:val="BodyText"/>
      <w:spacing w:line="14" w:lineRule="auto"/>
      <w:rPr>
        <w:sz w:val="20"/>
      </w:rPr>
    </w:pPr>
    <w:r>
      <w:pict w14:anchorId="51DEABA0">
        <v:shapetype id="_x0000_t202" coordsize="21600,21600" o:spt="202" path="m,l,21600r21600,l21600,xe">
          <v:stroke joinstyle="miter"/>
          <v:path gradientshapeok="t" o:connecttype="rect"/>
        </v:shapetype>
        <v:shape id="docshape1234" o:spid="_x0000_s2158" type="#_x0000_t202" style="position:absolute;margin-left:506.45pt;margin-top:790.75pt;width:21.95pt;height:12.1pt;z-index:-25164800;mso-position-horizontal-relative:page;mso-position-vertical-relative:page" filled="f" stroked="f">
          <v:textbox inset="0,0,0,0">
            <w:txbxContent>
              <w:p w14:paraId="51DEAD53" w14:textId="77777777" w:rsidR="0010369C" w:rsidRDefault="008E43AE">
                <w:pPr>
                  <w:spacing w:before="14"/>
                  <w:ind w:left="60"/>
                  <w:rPr>
                    <w:rFonts w:ascii="Arial"/>
                    <w:sz w:val="18"/>
                  </w:rPr>
                </w:pPr>
                <w:r>
                  <w:rPr>
                    <w:rFonts w:ascii="Arial"/>
                    <w:color w:val="1D1D1D"/>
                    <w:spacing w:val="-5"/>
                    <w:sz w:val="18"/>
                  </w:rPr>
                  <w:fldChar w:fldCharType="begin"/>
                </w:r>
                <w:r>
                  <w:rPr>
                    <w:rFonts w:ascii="Arial"/>
                    <w:color w:val="1D1D1D"/>
                    <w:spacing w:val="-5"/>
                    <w:sz w:val="18"/>
                  </w:rPr>
                  <w:instrText xml:space="preserve"> PAGE </w:instrText>
                </w:r>
                <w:r>
                  <w:rPr>
                    <w:rFonts w:ascii="Arial"/>
                    <w:color w:val="1D1D1D"/>
                    <w:spacing w:val="-5"/>
                    <w:sz w:val="18"/>
                  </w:rPr>
                  <w:fldChar w:fldCharType="separate"/>
                </w:r>
                <w:r>
                  <w:rPr>
                    <w:rFonts w:ascii="Arial"/>
                    <w:color w:val="1D1D1D"/>
                    <w:spacing w:val="-5"/>
                    <w:sz w:val="18"/>
                  </w:rPr>
                  <w:t>283</w:t>
                </w:r>
                <w:r>
                  <w:rPr>
                    <w:rFonts w:ascii="Arial"/>
                    <w:color w:val="1D1D1D"/>
                    <w:spacing w:val="-5"/>
                    <w:sz w:val="18"/>
                  </w:rPr>
                  <w:fldChar w:fldCharType="end"/>
                </w:r>
              </w:p>
            </w:txbxContent>
          </v:textbox>
          <w10:wrap anchorx="page" anchory="page"/>
        </v:shape>
      </w:pict>
    </w: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DEAA6C" w14:textId="77777777" w:rsidR="0010369C" w:rsidRDefault="008E43AE">
    <w:pPr>
      <w:pStyle w:val="BodyText"/>
      <w:spacing w:line="14" w:lineRule="auto"/>
      <w:rPr>
        <w:sz w:val="20"/>
      </w:rPr>
    </w:pPr>
    <w:r>
      <w:pict w14:anchorId="51DEABA3">
        <v:shapetype id="_x0000_t202" coordsize="21600,21600" o:spt="202" path="m,l,21600r21600,l21600,xe">
          <v:stroke joinstyle="miter"/>
          <v:path gradientshapeok="t" o:connecttype="rect"/>
        </v:shapetype>
        <v:shape id="docshape1249" o:spid="_x0000_s2155" type="#_x0000_t202" style="position:absolute;margin-left:504.65pt;margin-top:791.6pt;width:23.75pt;height:13pt;z-index:-25163264;mso-position-horizontal-relative:page;mso-position-vertical-relative:page" filled="f" stroked="f">
          <v:textbox inset="0,0,0,0">
            <w:txbxContent>
              <w:p w14:paraId="51DEAD55" w14:textId="77777777" w:rsidR="0010369C" w:rsidRDefault="008E43AE">
                <w:pPr>
                  <w:spacing w:line="244" w:lineRule="exact"/>
                  <w:ind w:left="60"/>
                </w:pPr>
                <w:r>
                  <w:rPr>
                    <w:spacing w:val="-5"/>
                  </w:rPr>
                  <w:fldChar w:fldCharType="begin"/>
                </w:r>
                <w:r>
                  <w:rPr>
                    <w:spacing w:val="-5"/>
                  </w:rPr>
                  <w:instrText xml:space="preserve"> PAGE </w:instrText>
                </w:r>
                <w:r>
                  <w:rPr>
                    <w:spacing w:val="-5"/>
                  </w:rPr>
                  <w:fldChar w:fldCharType="separate"/>
                </w:r>
                <w:r>
                  <w:rPr>
                    <w:spacing w:val="-5"/>
                  </w:rPr>
                  <w:t>284</w:t>
                </w:r>
                <w:r>
                  <w:rPr>
                    <w:spacing w:val="-5"/>
                  </w:rPr>
                  <w:fldChar w:fldCharType="end"/>
                </w:r>
              </w:p>
            </w:txbxContent>
          </v:textbox>
          <w10:wrap anchorx="page" anchory="page"/>
        </v:shape>
      </w:pict>
    </w: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DEAA6E" w14:textId="77777777" w:rsidR="0010369C" w:rsidRDefault="008E43AE">
    <w:pPr>
      <w:pStyle w:val="BodyText"/>
      <w:spacing w:line="14" w:lineRule="auto"/>
      <w:rPr>
        <w:sz w:val="20"/>
      </w:rPr>
    </w:pPr>
    <w:r>
      <w:pict w14:anchorId="51DEABA6">
        <v:rect id="docshape1265" o:spid="_x0000_s2152" style="position:absolute;margin-left:70.9pt;margin-top:720.8pt;width:2in;height:.8pt;z-index:-25161728;mso-position-horizontal-relative:page;mso-position-vertical-relative:page" fillcolor="black" stroked="f">
          <w10:wrap anchorx="page" anchory="page"/>
        </v:rect>
      </w:pict>
    </w:r>
    <w:r>
      <w:pict w14:anchorId="51DEABA7">
        <v:shapetype id="_x0000_t202" coordsize="21600,21600" o:spt="202" path="m,l,21600r21600,l21600,xe">
          <v:stroke joinstyle="miter"/>
          <v:path gradientshapeok="t" o:connecttype="rect"/>
        </v:shapetype>
        <v:shape id="docshape1266" o:spid="_x0000_s2151" type="#_x0000_t202" style="position:absolute;margin-left:504.65pt;margin-top:791.6pt;width:23.75pt;height:13pt;z-index:-25161216;mso-position-horizontal-relative:page;mso-position-vertical-relative:page" filled="f" stroked="f">
          <v:textbox inset="0,0,0,0">
            <w:txbxContent>
              <w:p w14:paraId="51DEAD57" w14:textId="77777777" w:rsidR="0010369C" w:rsidRDefault="008E43AE">
                <w:pPr>
                  <w:spacing w:line="244" w:lineRule="exact"/>
                  <w:ind w:left="60"/>
                </w:pPr>
                <w:r>
                  <w:rPr>
                    <w:spacing w:val="-5"/>
                  </w:rPr>
                  <w:fldChar w:fldCharType="begin"/>
                </w:r>
                <w:r>
                  <w:rPr>
                    <w:spacing w:val="-5"/>
                  </w:rPr>
                  <w:instrText xml:space="preserve"> PAGE </w:instrText>
                </w:r>
                <w:r>
                  <w:rPr>
                    <w:spacing w:val="-5"/>
                  </w:rPr>
                  <w:fldChar w:fldCharType="separate"/>
                </w:r>
                <w:r>
                  <w:rPr>
                    <w:spacing w:val="-5"/>
                  </w:rPr>
                  <w:t>297</w:t>
                </w:r>
                <w:r>
                  <w:rPr>
                    <w:spacing w:val="-5"/>
                  </w:rPr>
                  <w:fldChar w:fldCharType="end"/>
                </w:r>
              </w:p>
            </w:txbxContent>
          </v:textbox>
          <w10:wrap anchorx="page" anchory="page"/>
        </v:shape>
      </w:pict>
    </w: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DEAA70" w14:textId="77777777" w:rsidR="0010369C" w:rsidRDefault="008E43AE">
    <w:pPr>
      <w:pStyle w:val="BodyText"/>
      <w:spacing w:line="14" w:lineRule="auto"/>
      <w:rPr>
        <w:sz w:val="20"/>
      </w:rPr>
    </w:pPr>
    <w:r>
      <w:pict w14:anchorId="51DEABAA">
        <v:shapetype id="_x0000_t202" coordsize="21600,21600" o:spt="202" path="m,l,21600r21600,l21600,xe">
          <v:stroke joinstyle="miter"/>
          <v:path gradientshapeok="t" o:connecttype="rect"/>
        </v:shapetype>
        <v:shape id="docshape1269" o:spid="_x0000_s2148" type="#_x0000_t202" style="position:absolute;margin-left:504.65pt;margin-top:791.6pt;width:23.75pt;height:13pt;z-index:-25159680;mso-position-horizontal-relative:page;mso-position-vertical-relative:page" filled="f" stroked="f">
          <v:textbox inset="0,0,0,0">
            <w:txbxContent>
              <w:p w14:paraId="51DEAD59" w14:textId="77777777" w:rsidR="0010369C" w:rsidRDefault="008E43AE">
                <w:pPr>
                  <w:spacing w:line="244" w:lineRule="exact"/>
                  <w:ind w:left="60"/>
                </w:pPr>
                <w:r>
                  <w:rPr>
                    <w:spacing w:val="-5"/>
                  </w:rPr>
                  <w:fldChar w:fldCharType="begin"/>
                </w:r>
                <w:r>
                  <w:rPr>
                    <w:spacing w:val="-5"/>
                  </w:rPr>
                  <w:instrText xml:space="preserve"> PAGE </w:instrText>
                </w:r>
                <w:r>
                  <w:rPr>
                    <w:spacing w:val="-5"/>
                  </w:rPr>
                  <w:fldChar w:fldCharType="separate"/>
                </w:r>
                <w:r>
                  <w:rPr>
                    <w:spacing w:val="-5"/>
                  </w:rPr>
                  <w:t>298</w:t>
                </w:r>
                <w:r>
                  <w:rPr>
                    <w:spacing w:val="-5"/>
                  </w:rPr>
                  <w:fldChar w:fldCharType="end"/>
                </w:r>
              </w:p>
            </w:txbxContent>
          </v:textbox>
          <w10:wrap anchorx="page" anchory="page"/>
        </v:shape>
      </w:pict>
    </w:r>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DEAA72" w14:textId="77777777" w:rsidR="0010369C" w:rsidRDefault="008E43AE">
    <w:pPr>
      <w:pStyle w:val="BodyText"/>
      <w:spacing w:line="14" w:lineRule="auto"/>
      <w:rPr>
        <w:sz w:val="20"/>
      </w:rPr>
    </w:pPr>
    <w:r>
      <w:pict w14:anchorId="51DEABAD">
        <v:rect id="docshape1282" o:spid="_x0000_s2145" style="position:absolute;margin-left:70.9pt;margin-top:731.8pt;width:2in;height:.8pt;z-index:-25158144;mso-position-horizontal-relative:page;mso-position-vertical-relative:page" fillcolor="black" stroked="f">
          <w10:wrap anchorx="page" anchory="page"/>
        </v:rect>
      </w:pict>
    </w:r>
    <w:r>
      <w:pict w14:anchorId="51DEABAE">
        <v:shapetype id="_x0000_t202" coordsize="21600,21600" o:spt="202" path="m,l,21600r21600,l21600,xe">
          <v:stroke joinstyle="miter"/>
          <v:path gradientshapeok="t" o:connecttype="rect"/>
        </v:shapetype>
        <v:shape id="docshape1283" o:spid="_x0000_s2144" type="#_x0000_t202" style="position:absolute;margin-left:504.65pt;margin-top:791.6pt;width:23.75pt;height:13pt;z-index:-25157632;mso-position-horizontal-relative:page;mso-position-vertical-relative:page" filled="f" stroked="f">
          <v:textbox inset="0,0,0,0">
            <w:txbxContent>
              <w:p w14:paraId="51DEAD5B" w14:textId="77777777" w:rsidR="0010369C" w:rsidRDefault="008E43AE">
                <w:pPr>
                  <w:spacing w:line="244" w:lineRule="exact"/>
                  <w:ind w:left="60"/>
                </w:pPr>
                <w:r>
                  <w:rPr>
                    <w:spacing w:val="-5"/>
                  </w:rPr>
                  <w:fldChar w:fldCharType="begin"/>
                </w:r>
                <w:r>
                  <w:rPr>
                    <w:spacing w:val="-5"/>
                  </w:rPr>
                  <w:instrText xml:space="preserve"> PAGE </w:instrText>
                </w:r>
                <w:r>
                  <w:rPr>
                    <w:spacing w:val="-5"/>
                  </w:rPr>
                  <w:fldChar w:fldCharType="separate"/>
                </w:r>
                <w:r>
                  <w:rPr>
                    <w:spacing w:val="-5"/>
                  </w:rPr>
                  <w:t>310</w:t>
                </w:r>
                <w:r>
                  <w:rPr>
                    <w:spacing w:val="-5"/>
                  </w:rPr>
                  <w:fldChar w:fldCharType="end"/>
                </w:r>
              </w:p>
            </w:txbxContent>
          </v:textbox>
          <w10:wrap anchorx="page" anchory="page"/>
        </v:shape>
      </w:pict>
    </w:r>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DEAA74" w14:textId="77777777" w:rsidR="0010369C" w:rsidRDefault="008E43AE">
    <w:pPr>
      <w:pStyle w:val="BodyText"/>
      <w:spacing w:line="14" w:lineRule="auto"/>
      <w:rPr>
        <w:sz w:val="20"/>
      </w:rPr>
    </w:pPr>
    <w:r>
      <w:pict w14:anchorId="51DEABAF">
        <v:shapetype id="_x0000_t202" coordsize="21600,21600" o:spt="202" path="m,l,21600r21600,l21600,xe">
          <v:stroke joinstyle="miter"/>
          <v:path gradientshapeok="t" o:connecttype="rect"/>
        </v:shapetype>
        <v:shape id="docshape1284" o:spid="_x0000_s2143" type="#_x0000_t202" style="position:absolute;margin-left:506.3pt;margin-top:789.5pt;width:23.6pt;height:13.7pt;z-index:-25157120;mso-position-horizontal-relative:page;mso-position-vertical-relative:page" filled="f" stroked="f">
          <v:textbox inset="0,0,0,0">
            <w:txbxContent>
              <w:p w14:paraId="51DEAD5C" w14:textId="77777777" w:rsidR="0010369C" w:rsidRDefault="008E43AE">
                <w:pPr>
                  <w:spacing w:before="11"/>
                  <w:ind w:left="60"/>
                  <w:rPr>
                    <w:rFonts w:ascii="Times New Roman"/>
                    <w:sz w:val="21"/>
                  </w:rPr>
                </w:pPr>
                <w:r>
                  <w:rPr>
                    <w:rFonts w:ascii="Times New Roman"/>
                    <w:color w:val="1C1C1C"/>
                    <w:spacing w:val="-5"/>
                    <w:w w:val="105"/>
                    <w:sz w:val="21"/>
                  </w:rPr>
                  <w:fldChar w:fldCharType="begin"/>
                </w:r>
                <w:r>
                  <w:rPr>
                    <w:rFonts w:ascii="Times New Roman"/>
                    <w:color w:val="1C1C1C"/>
                    <w:spacing w:val="-5"/>
                    <w:w w:val="105"/>
                    <w:sz w:val="21"/>
                  </w:rPr>
                  <w:instrText xml:space="preserve"> PAGE </w:instrText>
                </w:r>
                <w:r>
                  <w:rPr>
                    <w:rFonts w:ascii="Times New Roman"/>
                    <w:color w:val="1C1C1C"/>
                    <w:spacing w:val="-5"/>
                    <w:w w:val="105"/>
                    <w:sz w:val="21"/>
                  </w:rPr>
                  <w:fldChar w:fldCharType="separate"/>
                </w:r>
                <w:r>
                  <w:rPr>
                    <w:rFonts w:ascii="Times New Roman"/>
                    <w:color w:val="1C1C1C"/>
                    <w:spacing w:val="-5"/>
                    <w:w w:val="105"/>
                    <w:sz w:val="21"/>
                  </w:rPr>
                  <w:t>311</w:t>
                </w:r>
                <w:r>
                  <w:rPr>
                    <w:rFonts w:ascii="Times New Roman"/>
                    <w:color w:val="1C1C1C"/>
                    <w:spacing w:val="-5"/>
                    <w:w w:val="105"/>
                    <w:sz w:val="21"/>
                  </w:rPr>
                  <w:fldChar w:fldCharType="end"/>
                </w:r>
              </w:p>
            </w:txbxContent>
          </v:textbox>
          <w10:wrap anchorx="page" anchory="page"/>
        </v:shape>
      </w:pict>
    </w:r>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DEAA76" w14:textId="77777777" w:rsidR="0010369C" w:rsidRDefault="008E43AE">
    <w:pPr>
      <w:pStyle w:val="BodyText"/>
      <w:spacing w:line="14" w:lineRule="auto"/>
      <w:rPr>
        <w:sz w:val="20"/>
      </w:rPr>
    </w:pPr>
    <w:r>
      <w:pict w14:anchorId="51DEABB2">
        <v:shapetype id="_x0000_t202" coordsize="21600,21600" o:spt="202" path="m,l,21600r21600,l21600,xe">
          <v:stroke joinstyle="miter"/>
          <v:path gradientshapeok="t" o:connecttype="rect"/>
        </v:shapetype>
        <v:shape id="docshape1290" o:spid="_x0000_s2140" type="#_x0000_t202" style="position:absolute;margin-left:504.65pt;margin-top:791.6pt;width:23.75pt;height:13pt;z-index:-25155584;mso-position-horizontal-relative:page;mso-position-vertical-relative:page" filled="f" stroked="f">
          <v:textbox inset="0,0,0,0">
            <w:txbxContent>
              <w:p w14:paraId="51DEAD5E" w14:textId="77777777" w:rsidR="0010369C" w:rsidRDefault="008E43AE">
                <w:pPr>
                  <w:spacing w:line="244" w:lineRule="exact"/>
                  <w:ind w:left="60"/>
                </w:pPr>
                <w:r>
                  <w:rPr>
                    <w:spacing w:val="-5"/>
                  </w:rPr>
                  <w:fldChar w:fldCharType="begin"/>
                </w:r>
                <w:r>
                  <w:rPr>
                    <w:spacing w:val="-5"/>
                  </w:rPr>
                  <w:instrText xml:space="preserve"> PAGE </w:instrText>
                </w:r>
                <w:r>
                  <w:rPr>
                    <w:spacing w:val="-5"/>
                  </w:rPr>
                  <w:fldChar w:fldCharType="separate"/>
                </w:r>
                <w:r>
                  <w:rPr>
                    <w:spacing w:val="-5"/>
                  </w:rPr>
                  <w:t>312</w:t>
                </w:r>
                <w:r>
                  <w:rPr>
                    <w:spacing w:val="-5"/>
                  </w:rPr>
                  <w:fldChar w:fldCharType="end"/>
                </w:r>
              </w:p>
            </w:txbxContent>
          </v:textbox>
          <w10:wrap anchorx="page" anchory="page"/>
        </v:shape>
      </w:pict>
    </w:r>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DEAA78" w14:textId="77777777" w:rsidR="0010369C" w:rsidRDefault="008E43AE">
    <w:pPr>
      <w:pStyle w:val="BodyText"/>
      <w:spacing w:line="14" w:lineRule="auto"/>
      <w:rPr>
        <w:sz w:val="20"/>
      </w:rPr>
    </w:pPr>
    <w:r>
      <w:pict w14:anchorId="51DEABB5">
        <v:rect id="docshape1302" o:spid="_x0000_s2137" style="position:absolute;margin-left:70.9pt;margin-top:709.8pt;width:2in;height:.8pt;z-index:-25154048;mso-position-horizontal-relative:page;mso-position-vertical-relative:page" fillcolor="black" stroked="f">
          <w10:wrap anchorx="page" anchory="page"/>
        </v:rect>
      </w:pict>
    </w:r>
    <w:r>
      <w:pict w14:anchorId="51DEABB6">
        <v:shapetype id="_x0000_t202" coordsize="21600,21600" o:spt="202" path="m,l,21600r21600,l21600,xe">
          <v:stroke joinstyle="miter"/>
          <v:path gradientshapeok="t" o:connecttype="rect"/>
        </v:shapetype>
        <v:shape id="docshape1303" o:spid="_x0000_s2136" type="#_x0000_t202" style="position:absolute;margin-left:504.65pt;margin-top:791.6pt;width:23.75pt;height:13pt;z-index:-25153536;mso-position-horizontal-relative:page;mso-position-vertical-relative:page" filled="f" stroked="f">
          <v:textbox inset="0,0,0,0">
            <w:txbxContent>
              <w:p w14:paraId="51DEAD60" w14:textId="77777777" w:rsidR="0010369C" w:rsidRDefault="008E43AE">
                <w:pPr>
                  <w:spacing w:line="244" w:lineRule="exact"/>
                  <w:ind w:left="60"/>
                </w:pPr>
                <w:r>
                  <w:rPr>
                    <w:spacing w:val="-5"/>
                  </w:rPr>
                  <w:fldChar w:fldCharType="begin"/>
                </w:r>
                <w:r>
                  <w:rPr>
                    <w:spacing w:val="-5"/>
                  </w:rPr>
                  <w:instrText xml:space="preserve"> PAGE </w:instrText>
                </w:r>
                <w:r>
                  <w:rPr>
                    <w:spacing w:val="-5"/>
                  </w:rPr>
                  <w:fldChar w:fldCharType="separate"/>
                </w:r>
                <w:r>
                  <w:rPr>
                    <w:spacing w:val="-5"/>
                  </w:rPr>
                  <w:t>323</w:t>
                </w:r>
                <w:r>
                  <w:rPr>
                    <w:spacing w:val="-5"/>
                  </w:rPr>
                  <w:fldChar w:fldCharType="end"/>
                </w:r>
              </w:p>
            </w:txbxContent>
          </v:textbox>
          <w10:wrap anchorx="page" anchory="page"/>
        </v:shape>
      </w:pict>
    </w:r>
  </w:p>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DEAA7A" w14:textId="77777777" w:rsidR="0010369C" w:rsidRDefault="008E43AE">
    <w:pPr>
      <w:pStyle w:val="BodyText"/>
      <w:spacing w:line="14" w:lineRule="auto"/>
      <w:rPr>
        <w:sz w:val="20"/>
      </w:rPr>
    </w:pPr>
    <w:r>
      <w:pict w14:anchorId="51DEABB9">
        <v:shapetype id="_x0000_t202" coordsize="21600,21600" o:spt="202" path="m,l,21600r21600,l21600,xe">
          <v:stroke joinstyle="miter"/>
          <v:path gradientshapeok="t" o:connecttype="rect"/>
        </v:shapetype>
        <v:shape id="docshape1308" o:spid="_x0000_s2133" type="#_x0000_t202" style="position:absolute;margin-left:504.65pt;margin-top:791.6pt;width:23.75pt;height:13pt;z-index:-25152000;mso-position-horizontal-relative:page;mso-position-vertical-relative:page" filled="f" stroked="f">
          <v:textbox inset="0,0,0,0">
            <w:txbxContent>
              <w:p w14:paraId="51DEAD62" w14:textId="77777777" w:rsidR="0010369C" w:rsidRDefault="008E43AE">
                <w:pPr>
                  <w:spacing w:line="244" w:lineRule="exact"/>
                  <w:ind w:left="60"/>
                </w:pPr>
                <w:r>
                  <w:rPr>
                    <w:spacing w:val="-5"/>
                  </w:rPr>
                  <w:fldChar w:fldCharType="begin"/>
                </w:r>
                <w:r>
                  <w:rPr>
                    <w:spacing w:val="-5"/>
                  </w:rPr>
                  <w:instrText xml:space="preserve"> PAGE </w:instrText>
                </w:r>
                <w:r>
                  <w:rPr>
                    <w:spacing w:val="-5"/>
                  </w:rPr>
                  <w:fldChar w:fldCharType="separate"/>
                </w:r>
                <w:r>
                  <w:rPr>
                    <w:spacing w:val="-5"/>
                  </w:rPr>
                  <w:t>324</w:t>
                </w:r>
                <w:r>
                  <w:rPr>
                    <w:spacing w:val="-5"/>
                  </w:rPr>
                  <w:fldChar w:fldCharType="end"/>
                </w:r>
              </w:p>
            </w:txbxContent>
          </v:textbox>
          <w10:wrap anchorx="page" anchory="page"/>
        </v:shape>
      </w:pict>
    </w:r>
  </w:p>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DEAA7C" w14:textId="77777777" w:rsidR="0010369C" w:rsidRDefault="008E43AE">
    <w:pPr>
      <w:pStyle w:val="BodyText"/>
      <w:spacing w:line="14" w:lineRule="auto"/>
      <w:rPr>
        <w:sz w:val="20"/>
      </w:rPr>
    </w:pPr>
    <w:r>
      <w:pict w14:anchorId="51DEABBC">
        <v:rect id="docshape1326" o:spid="_x0000_s2130" style="position:absolute;margin-left:70.9pt;margin-top:742.8pt;width:2in;height:.8pt;z-index:-25150464;mso-position-horizontal-relative:page;mso-position-vertical-relative:page" fillcolor="black" stroked="f">
          <w10:wrap anchorx="page" anchory="page"/>
        </v:rect>
      </w:pict>
    </w:r>
    <w:r>
      <w:pict w14:anchorId="51DEABBD">
        <v:shapetype id="_x0000_t202" coordsize="21600,21600" o:spt="202" path="m,l,21600r21600,l21600,xe">
          <v:stroke joinstyle="miter"/>
          <v:path gradientshapeok="t" o:connecttype="rect"/>
        </v:shapetype>
        <v:shape id="docshape1327" o:spid="_x0000_s2129" type="#_x0000_t202" style="position:absolute;margin-left:504.65pt;margin-top:791.6pt;width:23.75pt;height:13pt;z-index:-25149952;mso-position-horizontal-relative:page;mso-position-vertical-relative:page" filled="f" stroked="f">
          <v:textbox inset="0,0,0,0">
            <w:txbxContent>
              <w:p w14:paraId="51DEAD64" w14:textId="77777777" w:rsidR="0010369C" w:rsidRDefault="008E43AE">
                <w:pPr>
                  <w:spacing w:line="244" w:lineRule="exact"/>
                  <w:ind w:left="60"/>
                </w:pPr>
                <w:r>
                  <w:rPr>
                    <w:spacing w:val="-5"/>
                  </w:rPr>
                  <w:fldChar w:fldCharType="begin"/>
                </w:r>
                <w:r>
                  <w:rPr>
                    <w:spacing w:val="-5"/>
                  </w:rPr>
                  <w:instrText xml:space="preserve"> PAGE </w:instrText>
                </w:r>
                <w:r>
                  <w:rPr>
                    <w:spacing w:val="-5"/>
                  </w:rPr>
                  <w:fldChar w:fldCharType="separate"/>
                </w:r>
                <w:r>
                  <w:rPr>
                    <w:spacing w:val="-5"/>
                  </w:rPr>
                  <w:t>331</w:t>
                </w:r>
                <w:r>
                  <w:rPr>
                    <w:spacing w:val="-5"/>
                  </w:rP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1DEAAA5" w14:textId="77777777" w:rsidR="00000000" w:rsidRDefault="008E43AE">
      <w:r>
        <w:separator/>
      </w:r>
    </w:p>
  </w:footnote>
  <w:footnote w:type="continuationSeparator" w:id="0">
    <w:p w14:paraId="51DEAAA7" w14:textId="77777777" w:rsidR="00000000" w:rsidRDefault="008E43A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DEA9B7" w14:textId="77777777" w:rsidR="0010369C" w:rsidRDefault="008E43AE">
    <w:pPr>
      <w:pStyle w:val="BodyText"/>
      <w:spacing w:line="14" w:lineRule="auto"/>
      <w:rPr>
        <w:sz w:val="20"/>
      </w:rPr>
    </w:pPr>
    <w:r>
      <w:pict w14:anchorId="51DEAAA5">
        <v:shape id="docshape2" o:spid="_x0000_s2409" style="position:absolute;margin-left:65pt;margin-top:28.45pt;width:461.4pt;height:16.3pt;z-index:-25293312;mso-position-horizontal-relative:page;mso-position-vertical-relative:page" coordorigin="1300,569" coordsize="9228,326" o:spt="100" adj="0,,0" path="m10528,578r-10,l10518,884r-9209,l1309,578r-9,l1300,884r,10l1309,894r9209,l10528,894r,-10l10528,578xm10528,569r-10,l1309,569r-9,l1300,578r9,l10518,578r10,l10528,569xe" fillcolor="black" stroked="f">
          <v:stroke joinstyle="round"/>
          <v:formulas/>
          <v:path arrowok="t" o:connecttype="segments"/>
          <w10:wrap anchorx="page" anchory="page"/>
        </v:shape>
      </w:pict>
    </w:r>
    <w:r>
      <w:pict w14:anchorId="51DEAAA6">
        <v:shapetype id="_x0000_t202" coordsize="21600,21600" o:spt="202" path="m,l,21600r21600,l21600,xe">
          <v:stroke joinstyle="miter"/>
          <v:path gradientshapeok="t" o:connecttype="rect"/>
        </v:shapetype>
        <v:shape id="docshape3" o:spid="_x0000_s2408" type="#_x0000_t202" style="position:absolute;margin-left:193pt;margin-top:31.15pt;width:209.35pt;height:13pt;z-index:-25292800;mso-position-horizontal-relative:page;mso-position-vertical-relative:page" filled="f" stroked="f">
          <v:textbox inset="0,0,0,0">
            <w:txbxContent>
              <w:p w14:paraId="51DEACA7" w14:textId="77777777" w:rsidR="0010369C" w:rsidRDefault="008E43AE">
                <w:pPr>
                  <w:spacing w:line="244" w:lineRule="exact"/>
                  <w:ind w:left="20"/>
                </w:pPr>
                <w:r>
                  <w:t>Business</w:t>
                </w:r>
                <w:r>
                  <w:rPr>
                    <w:spacing w:val="-9"/>
                  </w:rPr>
                  <w:t xml:space="preserve"> </w:t>
                </w:r>
                <w:r>
                  <w:t>Confidential</w:t>
                </w:r>
                <w:r>
                  <w:rPr>
                    <w:spacing w:val="-7"/>
                  </w:rPr>
                  <w:t xml:space="preserve"> </w:t>
                </w:r>
                <w:r>
                  <w:t>Information</w:t>
                </w:r>
                <w:r>
                  <w:rPr>
                    <w:spacing w:val="-9"/>
                  </w:rPr>
                  <w:t xml:space="preserve"> </w:t>
                </w:r>
                <w:r>
                  <w:t>‐</w:t>
                </w:r>
                <w:r>
                  <w:rPr>
                    <w:spacing w:val="-7"/>
                  </w:rPr>
                  <w:t xml:space="preserve"> </w:t>
                </w:r>
                <w:r>
                  <w:rPr>
                    <w:spacing w:val="-2"/>
                  </w:rPr>
                  <w:t>REDACTED</w:t>
                </w:r>
              </w:p>
            </w:txbxContent>
          </v:textbox>
          <w10:wrap anchorx="page" anchory="page"/>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DEA9C9" w14:textId="77777777" w:rsidR="0010369C" w:rsidRDefault="0010369C">
    <w:pPr>
      <w:pStyle w:val="BodyText"/>
      <w:spacing w:line="14" w:lineRule="auto"/>
      <w:rPr>
        <w:sz w:val="2"/>
      </w:rPr>
    </w:pP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DEAA7D" w14:textId="77777777" w:rsidR="0010369C" w:rsidRDefault="008E43AE">
    <w:pPr>
      <w:pStyle w:val="BodyText"/>
      <w:spacing w:line="14" w:lineRule="auto"/>
      <w:rPr>
        <w:sz w:val="20"/>
      </w:rPr>
    </w:pPr>
    <w:r>
      <w:pict w14:anchorId="51DEABBE">
        <v:shape id="docshape1328" o:spid="_x0000_s2128" style="position:absolute;margin-left:65pt;margin-top:28.45pt;width:461.4pt;height:16.3pt;z-index:-25149440;mso-position-horizontal-relative:page;mso-position-vertical-relative:page" coordorigin="1300,569" coordsize="9228,326" o:spt="100" adj="0,,0" path="m10528,578r-10,l10518,884r-9209,l1309,578r-9,l1300,884r,10l1309,894r9209,l10528,894r,-10l10528,578xm10528,569r-10,l1309,569r-9,l1300,578r9,l10518,578r10,l10528,569xe" fillcolor="black" stroked="f">
          <v:stroke joinstyle="round"/>
          <v:formulas/>
          <v:path arrowok="t" o:connecttype="segments"/>
          <w10:wrap anchorx="page" anchory="page"/>
        </v:shape>
      </w:pict>
    </w:r>
    <w:r>
      <w:pict w14:anchorId="51DEABBF">
        <v:shapetype id="_x0000_t202" coordsize="21600,21600" o:spt="202" path="m,l,21600r21600,l21600,xe">
          <v:stroke joinstyle="miter"/>
          <v:path gradientshapeok="t" o:connecttype="rect"/>
        </v:shapetype>
        <v:shape id="docshape1329" o:spid="_x0000_s2127" type="#_x0000_t202" style="position:absolute;margin-left:193pt;margin-top:31.15pt;width:209.35pt;height:13pt;z-index:-25148928;mso-position-horizontal-relative:page;mso-position-vertical-relative:page" filled="f" stroked="f">
          <v:textbox inset="0,0,0,0">
            <w:txbxContent>
              <w:p w14:paraId="51DEAD65" w14:textId="77777777" w:rsidR="0010369C" w:rsidRDefault="008E43AE">
                <w:pPr>
                  <w:spacing w:line="244" w:lineRule="exact"/>
                  <w:ind w:left="20"/>
                </w:pPr>
                <w:r>
                  <w:t>Business</w:t>
                </w:r>
                <w:r>
                  <w:rPr>
                    <w:spacing w:val="-9"/>
                  </w:rPr>
                  <w:t xml:space="preserve"> </w:t>
                </w:r>
                <w:r>
                  <w:t>Confidential</w:t>
                </w:r>
                <w:r>
                  <w:rPr>
                    <w:spacing w:val="-7"/>
                  </w:rPr>
                  <w:t xml:space="preserve"> </w:t>
                </w:r>
                <w:r>
                  <w:t>Information</w:t>
                </w:r>
                <w:r>
                  <w:rPr>
                    <w:spacing w:val="-9"/>
                  </w:rPr>
                  <w:t xml:space="preserve"> </w:t>
                </w:r>
                <w:r>
                  <w:t>‐</w:t>
                </w:r>
                <w:r>
                  <w:rPr>
                    <w:spacing w:val="-7"/>
                  </w:rPr>
                  <w:t xml:space="preserve"> </w:t>
                </w:r>
                <w:r>
                  <w:rPr>
                    <w:spacing w:val="-2"/>
                  </w:rPr>
                  <w:t>REDACTED</w:t>
                </w:r>
              </w:p>
            </w:txbxContent>
          </v:textbox>
          <w10:wrap anchorx="page" anchory="page"/>
        </v:shape>
      </w:pict>
    </w: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DEAA7F" w14:textId="77777777" w:rsidR="0010369C" w:rsidRDefault="008E43AE">
    <w:pPr>
      <w:pStyle w:val="BodyText"/>
      <w:spacing w:line="14" w:lineRule="auto"/>
      <w:rPr>
        <w:sz w:val="20"/>
      </w:rPr>
    </w:pPr>
    <w:r>
      <w:pict w14:anchorId="51DEABC1">
        <v:shape id="docshape1340" o:spid="_x0000_s2125" style="position:absolute;margin-left:65pt;margin-top:28.45pt;width:461.4pt;height:16.3pt;z-index:-25147904;mso-position-horizontal-relative:page;mso-position-vertical-relative:page" coordorigin="1300,569" coordsize="9228,326" o:spt="100" adj="0,,0" path="m10528,578r-10,l10518,884r-9209,l1309,578r-9,l1300,884r,10l1309,894r9209,l10528,894r,-10l10528,578xm10528,569r-10,l1309,569r-9,l1300,578r9,l10518,578r10,l10528,569xe" fillcolor="black" stroked="f">
          <v:stroke joinstyle="round"/>
          <v:formulas/>
          <v:path arrowok="t" o:connecttype="segments"/>
          <w10:wrap anchorx="page" anchory="page"/>
        </v:shape>
      </w:pict>
    </w:r>
    <w:r>
      <w:pict w14:anchorId="51DEABC2">
        <v:shapetype id="_x0000_t202" coordsize="21600,21600" o:spt="202" path="m,l,21600r21600,l21600,xe">
          <v:stroke joinstyle="miter"/>
          <v:path gradientshapeok="t" o:connecttype="rect"/>
        </v:shapetype>
        <v:shape id="docshape1341" o:spid="_x0000_s2124" type="#_x0000_t202" style="position:absolute;margin-left:193pt;margin-top:31.15pt;width:209.35pt;height:13pt;z-index:-25147392;mso-position-horizontal-relative:page;mso-position-vertical-relative:page" filled="f" stroked="f">
          <v:textbox inset="0,0,0,0">
            <w:txbxContent>
              <w:p w14:paraId="51DEAD67" w14:textId="77777777" w:rsidR="0010369C" w:rsidRDefault="008E43AE">
                <w:pPr>
                  <w:spacing w:line="244" w:lineRule="exact"/>
                  <w:ind w:left="20"/>
                </w:pPr>
                <w:r>
                  <w:t>Business</w:t>
                </w:r>
                <w:r>
                  <w:rPr>
                    <w:spacing w:val="-9"/>
                  </w:rPr>
                  <w:t xml:space="preserve"> </w:t>
                </w:r>
                <w:r>
                  <w:t>Confidential</w:t>
                </w:r>
                <w:r>
                  <w:rPr>
                    <w:spacing w:val="-7"/>
                  </w:rPr>
                  <w:t xml:space="preserve"> </w:t>
                </w:r>
                <w:r>
                  <w:t>Information</w:t>
                </w:r>
                <w:r>
                  <w:rPr>
                    <w:spacing w:val="-9"/>
                  </w:rPr>
                  <w:t xml:space="preserve"> </w:t>
                </w:r>
                <w:r>
                  <w:t>‐</w:t>
                </w:r>
                <w:r>
                  <w:rPr>
                    <w:spacing w:val="-7"/>
                  </w:rPr>
                  <w:t xml:space="preserve"> </w:t>
                </w:r>
                <w:r>
                  <w:rPr>
                    <w:spacing w:val="-2"/>
                  </w:rPr>
                  <w:t>REDACTED</w:t>
                </w:r>
              </w:p>
            </w:txbxContent>
          </v:textbox>
          <w10:wrap anchorx="page" anchory="page"/>
        </v:shape>
      </w:pict>
    </w:r>
    <w:r>
      <w:pict w14:anchorId="51DEABC3">
        <v:shape id="docshape1342" o:spid="_x0000_s2123" type="#_x0000_t202" style="position:absolute;margin-left:69.9pt;margin-top:45.7pt;width:233.3pt;height:12.05pt;z-index:-25146880;mso-position-horizontal-relative:page;mso-position-vertical-relative:page" filled="f" stroked="f">
          <v:textbox inset="0,0,0,0">
            <w:txbxContent>
              <w:p w14:paraId="51DEAD68" w14:textId="77777777" w:rsidR="0010369C" w:rsidRDefault="008E43AE">
                <w:pPr>
                  <w:spacing w:line="224" w:lineRule="exact"/>
                  <w:ind w:left="20"/>
                  <w:rPr>
                    <w:i/>
                    <w:sz w:val="20"/>
                  </w:rPr>
                </w:pPr>
                <w:r>
                  <w:rPr>
                    <w:i/>
                    <w:sz w:val="20"/>
                  </w:rPr>
                  <w:t>China</w:t>
                </w:r>
                <w:r>
                  <w:rPr>
                    <w:i/>
                    <w:spacing w:val="-5"/>
                    <w:sz w:val="20"/>
                  </w:rPr>
                  <w:t xml:space="preserve"> </w:t>
                </w:r>
                <w:r>
                  <w:rPr>
                    <w:i/>
                    <w:sz w:val="20"/>
                  </w:rPr>
                  <w:t>–</w:t>
                </w:r>
                <w:r>
                  <w:rPr>
                    <w:i/>
                    <w:spacing w:val="-5"/>
                    <w:sz w:val="20"/>
                  </w:rPr>
                  <w:t xml:space="preserve"> </w:t>
                </w:r>
                <w:r>
                  <w:rPr>
                    <w:i/>
                    <w:sz w:val="20"/>
                  </w:rPr>
                  <w:t>Anti‐Dumping</w:t>
                </w:r>
                <w:r>
                  <w:rPr>
                    <w:i/>
                    <w:spacing w:val="-4"/>
                    <w:sz w:val="20"/>
                  </w:rPr>
                  <w:t xml:space="preserve"> </w:t>
                </w:r>
                <w:r>
                  <w:rPr>
                    <w:i/>
                    <w:sz w:val="20"/>
                  </w:rPr>
                  <w:t>and</w:t>
                </w:r>
                <w:r>
                  <w:rPr>
                    <w:i/>
                    <w:spacing w:val="-5"/>
                    <w:sz w:val="20"/>
                  </w:rPr>
                  <w:t xml:space="preserve"> </w:t>
                </w:r>
                <w:r>
                  <w:rPr>
                    <w:i/>
                    <w:sz w:val="20"/>
                  </w:rPr>
                  <w:t>Countervailing</w:t>
                </w:r>
                <w:r>
                  <w:rPr>
                    <w:i/>
                    <w:spacing w:val="-5"/>
                    <w:sz w:val="20"/>
                  </w:rPr>
                  <w:t xml:space="preserve"> </w:t>
                </w:r>
                <w:r>
                  <w:rPr>
                    <w:i/>
                    <w:sz w:val="20"/>
                  </w:rPr>
                  <w:t>Duty</w:t>
                </w:r>
                <w:r>
                  <w:rPr>
                    <w:i/>
                    <w:spacing w:val="-4"/>
                    <w:sz w:val="20"/>
                  </w:rPr>
                  <w:t xml:space="preserve"> </w:t>
                </w:r>
                <w:r>
                  <w:rPr>
                    <w:i/>
                    <w:spacing w:val="-2"/>
                    <w:sz w:val="20"/>
                  </w:rPr>
                  <w:t>Measures</w:t>
                </w:r>
              </w:p>
            </w:txbxContent>
          </v:textbox>
          <w10:wrap anchorx="page" anchory="page"/>
        </v:shape>
      </w:pict>
    </w:r>
    <w:r>
      <w:pict w14:anchorId="51DEABC4">
        <v:shape id="docshape1343" o:spid="_x0000_s2122" type="#_x0000_t202" style="position:absolute;margin-left:379.3pt;margin-top:45.7pt;width:146.05pt;height:12.05pt;z-index:-25146368;mso-position-horizontal-relative:page;mso-position-vertical-relative:page" filled="f" stroked="f">
          <v:textbox inset="0,0,0,0">
            <w:txbxContent>
              <w:p w14:paraId="51DEAD69" w14:textId="77777777" w:rsidR="0010369C" w:rsidRDefault="008E43AE">
                <w:pPr>
                  <w:spacing w:line="224" w:lineRule="exact"/>
                  <w:ind w:left="20"/>
                  <w:rPr>
                    <w:sz w:val="20"/>
                  </w:rPr>
                </w:pPr>
                <w:r>
                  <w:rPr>
                    <w:sz w:val="20"/>
                  </w:rPr>
                  <w:t>Australia's</w:t>
                </w:r>
                <w:r>
                  <w:rPr>
                    <w:spacing w:val="-5"/>
                    <w:sz w:val="20"/>
                  </w:rPr>
                  <w:t xml:space="preserve"> </w:t>
                </w:r>
                <w:r>
                  <w:rPr>
                    <w:sz w:val="20"/>
                  </w:rPr>
                  <w:t>First</w:t>
                </w:r>
                <w:r>
                  <w:rPr>
                    <w:spacing w:val="-2"/>
                    <w:sz w:val="20"/>
                  </w:rPr>
                  <w:t xml:space="preserve"> </w:t>
                </w:r>
                <w:r>
                  <w:rPr>
                    <w:sz w:val="20"/>
                  </w:rPr>
                  <w:t>Written</w:t>
                </w:r>
                <w:r>
                  <w:rPr>
                    <w:spacing w:val="-2"/>
                    <w:sz w:val="20"/>
                  </w:rPr>
                  <w:t xml:space="preserve"> Submission</w:t>
                </w:r>
              </w:p>
            </w:txbxContent>
          </v:textbox>
          <w10:wrap anchorx="page" anchory="page"/>
        </v:shape>
      </w:pict>
    </w: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DEAA81" w14:textId="77777777" w:rsidR="0010369C" w:rsidRDefault="008E43AE">
    <w:pPr>
      <w:pStyle w:val="BodyText"/>
      <w:spacing w:line="14" w:lineRule="auto"/>
      <w:rPr>
        <w:sz w:val="20"/>
      </w:rPr>
    </w:pPr>
    <w:r>
      <w:pict w14:anchorId="51DEABC6">
        <v:shape id="docshape1346" o:spid="_x0000_s2120" style="position:absolute;margin-left:65pt;margin-top:28.45pt;width:461.4pt;height:16.3pt;z-index:-25145344;mso-position-horizontal-relative:page;mso-position-vertical-relative:page" coordorigin="1300,569" coordsize="9228,326" o:spt="100" adj="0,,0" path="m10528,578r-10,l10518,884r-9209,l1309,578r-9,l1300,884r,10l1309,894r9209,l10528,894r,-10l10528,578xm10528,569r-10,l1309,569r-9,l1300,578r9,l10518,578r10,l10528,569xe" fillcolor="black" stroked="f">
          <v:stroke joinstyle="round"/>
          <v:formulas/>
          <v:path arrowok="t" o:connecttype="segments"/>
          <w10:wrap anchorx="page" anchory="page"/>
        </v:shape>
      </w:pict>
    </w:r>
    <w:r>
      <w:pict w14:anchorId="51DEABC7">
        <v:shapetype id="_x0000_t202" coordsize="21600,21600" o:spt="202" path="m,l,21600r21600,l21600,xe">
          <v:stroke joinstyle="miter"/>
          <v:path gradientshapeok="t" o:connecttype="rect"/>
        </v:shapetype>
        <v:shape id="docshape1347" o:spid="_x0000_s2119" type="#_x0000_t202" style="position:absolute;margin-left:193pt;margin-top:31.15pt;width:209.35pt;height:13pt;z-index:-25144832;mso-position-horizontal-relative:page;mso-position-vertical-relative:page" filled="f" stroked="f">
          <v:textbox inset="0,0,0,0">
            <w:txbxContent>
              <w:p w14:paraId="51DEAD6B" w14:textId="77777777" w:rsidR="0010369C" w:rsidRDefault="008E43AE">
                <w:pPr>
                  <w:spacing w:line="244" w:lineRule="exact"/>
                  <w:ind w:left="20"/>
                </w:pPr>
                <w:r>
                  <w:t>Business</w:t>
                </w:r>
                <w:r>
                  <w:rPr>
                    <w:spacing w:val="-9"/>
                  </w:rPr>
                  <w:t xml:space="preserve"> </w:t>
                </w:r>
                <w:r>
                  <w:t>Confidential</w:t>
                </w:r>
                <w:r>
                  <w:rPr>
                    <w:spacing w:val="-7"/>
                  </w:rPr>
                  <w:t xml:space="preserve"> </w:t>
                </w:r>
                <w:r>
                  <w:t>Information</w:t>
                </w:r>
                <w:r>
                  <w:rPr>
                    <w:spacing w:val="-9"/>
                  </w:rPr>
                  <w:t xml:space="preserve"> </w:t>
                </w:r>
                <w:r>
                  <w:t>‐</w:t>
                </w:r>
                <w:r>
                  <w:rPr>
                    <w:spacing w:val="-7"/>
                  </w:rPr>
                  <w:t xml:space="preserve"> </w:t>
                </w:r>
                <w:r>
                  <w:rPr>
                    <w:spacing w:val="-2"/>
                  </w:rPr>
                  <w:t>REDACTED</w:t>
                </w:r>
              </w:p>
            </w:txbxContent>
          </v:textbox>
          <w10:wrap anchorx="page" anchory="page"/>
        </v:shape>
      </w:pict>
    </w:r>
    <w:r>
      <w:pict w14:anchorId="51DEABC8">
        <v:shape id="docshape1348" o:spid="_x0000_s2118" type="#_x0000_t202" style="position:absolute;margin-left:69.9pt;margin-top:45.7pt;width:233.3pt;height:12.05pt;z-index:-25144320;mso-position-horizontal-relative:page;mso-position-vertical-relative:page" filled="f" stroked="f">
          <v:textbox inset="0,0,0,0">
            <w:txbxContent>
              <w:p w14:paraId="51DEAD6C" w14:textId="77777777" w:rsidR="0010369C" w:rsidRDefault="008E43AE">
                <w:pPr>
                  <w:spacing w:line="224" w:lineRule="exact"/>
                  <w:ind w:left="20"/>
                  <w:rPr>
                    <w:i/>
                    <w:sz w:val="20"/>
                  </w:rPr>
                </w:pPr>
                <w:r>
                  <w:rPr>
                    <w:i/>
                    <w:sz w:val="20"/>
                  </w:rPr>
                  <w:t>China</w:t>
                </w:r>
                <w:r>
                  <w:rPr>
                    <w:i/>
                    <w:spacing w:val="-5"/>
                    <w:sz w:val="20"/>
                  </w:rPr>
                  <w:t xml:space="preserve"> </w:t>
                </w:r>
                <w:r>
                  <w:rPr>
                    <w:i/>
                    <w:sz w:val="20"/>
                  </w:rPr>
                  <w:t>–</w:t>
                </w:r>
                <w:r>
                  <w:rPr>
                    <w:i/>
                    <w:spacing w:val="-5"/>
                    <w:sz w:val="20"/>
                  </w:rPr>
                  <w:t xml:space="preserve"> </w:t>
                </w:r>
                <w:r>
                  <w:rPr>
                    <w:i/>
                    <w:sz w:val="20"/>
                  </w:rPr>
                  <w:t>Anti‐Dumping</w:t>
                </w:r>
                <w:r>
                  <w:rPr>
                    <w:i/>
                    <w:spacing w:val="-4"/>
                    <w:sz w:val="20"/>
                  </w:rPr>
                  <w:t xml:space="preserve"> </w:t>
                </w:r>
                <w:r>
                  <w:rPr>
                    <w:i/>
                    <w:sz w:val="20"/>
                  </w:rPr>
                  <w:t>and</w:t>
                </w:r>
                <w:r>
                  <w:rPr>
                    <w:i/>
                    <w:spacing w:val="-5"/>
                    <w:sz w:val="20"/>
                  </w:rPr>
                  <w:t xml:space="preserve"> </w:t>
                </w:r>
                <w:r>
                  <w:rPr>
                    <w:i/>
                    <w:sz w:val="20"/>
                  </w:rPr>
                  <w:t>Countervailing</w:t>
                </w:r>
                <w:r>
                  <w:rPr>
                    <w:i/>
                    <w:spacing w:val="-5"/>
                    <w:sz w:val="20"/>
                  </w:rPr>
                  <w:t xml:space="preserve"> </w:t>
                </w:r>
                <w:r>
                  <w:rPr>
                    <w:i/>
                    <w:sz w:val="20"/>
                  </w:rPr>
                  <w:t>Duty</w:t>
                </w:r>
                <w:r>
                  <w:rPr>
                    <w:i/>
                    <w:spacing w:val="-4"/>
                    <w:sz w:val="20"/>
                  </w:rPr>
                  <w:t xml:space="preserve"> </w:t>
                </w:r>
                <w:r>
                  <w:rPr>
                    <w:i/>
                    <w:spacing w:val="-2"/>
                    <w:sz w:val="20"/>
                  </w:rPr>
                  <w:t>Measures</w:t>
                </w:r>
              </w:p>
            </w:txbxContent>
          </v:textbox>
          <w10:wrap anchorx="page" anchory="page"/>
        </v:shape>
      </w:pict>
    </w:r>
    <w:r>
      <w:pict w14:anchorId="51DEABC9">
        <v:shape id="docshape1349" o:spid="_x0000_s2117" type="#_x0000_t202" style="position:absolute;margin-left:379.3pt;margin-top:45.7pt;width:146.05pt;height:12.05pt;z-index:-25143808;mso-position-horizontal-relative:page;mso-position-vertical-relative:page" filled="f" stroked="f">
          <v:textbox inset="0,0,0,0">
            <w:txbxContent>
              <w:p w14:paraId="51DEAD6D" w14:textId="77777777" w:rsidR="0010369C" w:rsidRDefault="008E43AE">
                <w:pPr>
                  <w:spacing w:line="224" w:lineRule="exact"/>
                  <w:ind w:left="20"/>
                  <w:rPr>
                    <w:sz w:val="20"/>
                  </w:rPr>
                </w:pPr>
                <w:r>
                  <w:rPr>
                    <w:sz w:val="20"/>
                  </w:rPr>
                  <w:t>Australia's</w:t>
                </w:r>
                <w:r>
                  <w:rPr>
                    <w:spacing w:val="-5"/>
                    <w:sz w:val="20"/>
                  </w:rPr>
                  <w:t xml:space="preserve"> </w:t>
                </w:r>
                <w:r>
                  <w:rPr>
                    <w:sz w:val="20"/>
                  </w:rPr>
                  <w:t>First</w:t>
                </w:r>
                <w:r>
                  <w:rPr>
                    <w:spacing w:val="-2"/>
                    <w:sz w:val="20"/>
                  </w:rPr>
                  <w:t xml:space="preserve"> </w:t>
                </w:r>
                <w:r>
                  <w:rPr>
                    <w:sz w:val="20"/>
                  </w:rPr>
                  <w:t>Written</w:t>
                </w:r>
                <w:r>
                  <w:rPr>
                    <w:spacing w:val="-2"/>
                    <w:sz w:val="20"/>
                  </w:rPr>
                  <w:t xml:space="preserve"> Submission</w:t>
                </w:r>
              </w:p>
            </w:txbxContent>
          </v:textbox>
          <w10:wrap anchorx="page" anchory="page"/>
        </v:shape>
      </w:pict>
    </w: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DEAA83" w14:textId="77777777" w:rsidR="0010369C" w:rsidRDefault="008E43AE">
    <w:pPr>
      <w:pStyle w:val="BodyText"/>
      <w:spacing w:line="14" w:lineRule="auto"/>
      <w:rPr>
        <w:sz w:val="20"/>
      </w:rPr>
    </w:pPr>
    <w:r>
      <w:pict w14:anchorId="51DEABCC">
        <v:shape id="docshape1352" o:spid="_x0000_s2114" style="position:absolute;margin-left:65pt;margin-top:28.45pt;width:461.4pt;height:16.3pt;z-index:-25142272;mso-position-horizontal-relative:page;mso-position-vertical-relative:page" coordorigin="1300,569" coordsize="9228,326" o:spt="100" adj="0,,0" path="m10528,578r-10,l10518,884r-9209,l1309,578r-9,l1300,884r,10l1309,894r9209,l10528,894r,-10l10528,578xm10528,569r-10,l1309,569r-9,l1300,578r9,l10518,578r10,l10528,569xe" fillcolor="black" stroked="f">
          <v:stroke joinstyle="round"/>
          <v:formulas/>
          <v:path arrowok="t" o:connecttype="segments"/>
          <w10:wrap anchorx="page" anchory="page"/>
        </v:shape>
      </w:pict>
    </w:r>
    <w:r>
      <w:pict w14:anchorId="51DEABCD">
        <v:shapetype id="_x0000_t202" coordsize="21600,21600" o:spt="202" path="m,l,21600r21600,l21600,xe">
          <v:stroke joinstyle="miter"/>
          <v:path gradientshapeok="t" o:connecttype="rect"/>
        </v:shapetype>
        <v:shape id="docshape1353" o:spid="_x0000_s2113" type="#_x0000_t202" style="position:absolute;margin-left:193pt;margin-top:31.15pt;width:209.35pt;height:13pt;z-index:-25141760;mso-position-horizontal-relative:page;mso-position-vertical-relative:page" filled="f" stroked="f">
          <v:textbox inset="0,0,0,0">
            <w:txbxContent>
              <w:p w14:paraId="51DEAD6F" w14:textId="77777777" w:rsidR="0010369C" w:rsidRDefault="008E43AE">
                <w:pPr>
                  <w:spacing w:line="244" w:lineRule="exact"/>
                  <w:ind w:left="20"/>
                </w:pPr>
                <w:r>
                  <w:t>Business</w:t>
                </w:r>
                <w:r>
                  <w:rPr>
                    <w:spacing w:val="-9"/>
                  </w:rPr>
                  <w:t xml:space="preserve"> </w:t>
                </w:r>
                <w:r>
                  <w:t>Confidential</w:t>
                </w:r>
                <w:r>
                  <w:rPr>
                    <w:spacing w:val="-7"/>
                  </w:rPr>
                  <w:t xml:space="preserve"> </w:t>
                </w:r>
                <w:r>
                  <w:t>Information</w:t>
                </w:r>
                <w:r>
                  <w:rPr>
                    <w:spacing w:val="-9"/>
                  </w:rPr>
                  <w:t xml:space="preserve"> </w:t>
                </w:r>
                <w:r>
                  <w:t>‐</w:t>
                </w:r>
                <w:r>
                  <w:rPr>
                    <w:spacing w:val="-7"/>
                  </w:rPr>
                  <w:t xml:space="preserve"> </w:t>
                </w:r>
                <w:r>
                  <w:rPr>
                    <w:spacing w:val="-2"/>
                  </w:rPr>
                  <w:t>REDACTED</w:t>
                </w:r>
              </w:p>
            </w:txbxContent>
          </v:textbox>
          <w10:wrap anchorx="page" anchory="page"/>
        </v:shape>
      </w:pict>
    </w:r>
    <w:r>
      <w:pict w14:anchorId="51DEABCE">
        <v:shape id="docshape1354" o:spid="_x0000_s2112" type="#_x0000_t202" style="position:absolute;margin-left:69.9pt;margin-top:45.7pt;width:233.3pt;height:12.05pt;z-index:-25141248;mso-position-horizontal-relative:page;mso-position-vertical-relative:page" filled="f" stroked="f">
          <v:textbox inset="0,0,0,0">
            <w:txbxContent>
              <w:p w14:paraId="51DEAD70" w14:textId="77777777" w:rsidR="0010369C" w:rsidRDefault="008E43AE">
                <w:pPr>
                  <w:spacing w:line="224" w:lineRule="exact"/>
                  <w:ind w:left="20"/>
                  <w:rPr>
                    <w:i/>
                    <w:sz w:val="20"/>
                  </w:rPr>
                </w:pPr>
                <w:r>
                  <w:rPr>
                    <w:i/>
                    <w:sz w:val="20"/>
                  </w:rPr>
                  <w:t>China</w:t>
                </w:r>
                <w:r>
                  <w:rPr>
                    <w:i/>
                    <w:spacing w:val="-5"/>
                    <w:sz w:val="20"/>
                  </w:rPr>
                  <w:t xml:space="preserve"> </w:t>
                </w:r>
                <w:r>
                  <w:rPr>
                    <w:i/>
                    <w:sz w:val="20"/>
                  </w:rPr>
                  <w:t>–</w:t>
                </w:r>
                <w:r>
                  <w:rPr>
                    <w:i/>
                    <w:spacing w:val="-5"/>
                    <w:sz w:val="20"/>
                  </w:rPr>
                  <w:t xml:space="preserve"> </w:t>
                </w:r>
                <w:r>
                  <w:rPr>
                    <w:i/>
                    <w:sz w:val="20"/>
                  </w:rPr>
                  <w:t>Anti‐Dumping</w:t>
                </w:r>
                <w:r>
                  <w:rPr>
                    <w:i/>
                    <w:spacing w:val="-4"/>
                    <w:sz w:val="20"/>
                  </w:rPr>
                  <w:t xml:space="preserve"> </w:t>
                </w:r>
                <w:r>
                  <w:rPr>
                    <w:i/>
                    <w:sz w:val="20"/>
                  </w:rPr>
                  <w:t>and</w:t>
                </w:r>
                <w:r>
                  <w:rPr>
                    <w:i/>
                    <w:spacing w:val="-5"/>
                    <w:sz w:val="20"/>
                  </w:rPr>
                  <w:t xml:space="preserve"> </w:t>
                </w:r>
                <w:r>
                  <w:rPr>
                    <w:i/>
                    <w:sz w:val="20"/>
                  </w:rPr>
                  <w:t>Countervailing</w:t>
                </w:r>
                <w:r>
                  <w:rPr>
                    <w:i/>
                    <w:spacing w:val="-5"/>
                    <w:sz w:val="20"/>
                  </w:rPr>
                  <w:t xml:space="preserve"> </w:t>
                </w:r>
                <w:r>
                  <w:rPr>
                    <w:i/>
                    <w:sz w:val="20"/>
                  </w:rPr>
                  <w:t>Duty</w:t>
                </w:r>
                <w:r>
                  <w:rPr>
                    <w:i/>
                    <w:spacing w:val="-4"/>
                    <w:sz w:val="20"/>
                  </w:rPr>
                  <w:t xml:space="preserve"> </w:t>
                </w:r>
                <w:r>
                  <w:rPr>
                    <w:i/>
                    <w:spacing w:val="-2"/>
                    <w:sz w:val="20"/>
                  </w:rPr>
                  <w:t>Measures</w:t>
                </w:r>
              </w:p>
            </w:txbxContent>
          </v:textbox>
          <w10:wrap anchorx="page" anchory="page"/>
        </v:shape>
      </w:pict>
    </w:r>
    <w:r>
      <w:pict w14:anchorId="51DEABCF">
        <v:shape id="docshape1355" o:spid="_x0000_s2111" type="#_x0000_t202" style="position:absolute;margin-left:379.3pt;margin-top:45.7pt;width:146.05pt;height:12.05pt;z-index:-25140736;mso-position-horizontal-relative:page;mso-position-vertical-relative:page" filled="f" stroked="f">
          <v:textbox inset="0,0,0,0">
            <w:txbxContent>
              <w:p w14:paraId="51DEAD71" w14:textId="77777777" w:rsidR="0010369C" w:rsidRDefault="008E43AE">
                <w:pPr>
                  <w:spacing w:line="224" w:lineRule="exact"/>
                  <w:ind w:left="20"/>
                  <w:rPr>
                    <w:sz w:val="20"/>
                  </w:rPr>
                </w:pPr>
                <w:r>
                  <w:rPr>
                    <w:sz w:val="20"/>
                  </w:rPr>
                  <w:t>Australia's</w:t>
                </w:r>
                <w:r>
                  <w:rPr>
                    <w:spacing w:val="-5"/>
                    <w:sz w:val="20"/>
                  </w:rPr>
                  <w:t xml:space="preserve"> </w:t>
                </w:r>
                <w:r>
                  <w:rPr>
                    <w:sz w:val="20"/>
                  </w:rPr>
                  <w:t>First</w:t>
                </w:r>
                <w:r>
                  <w:rPr>
                    <w:spacing w:val="-2"/>
                    <w:sz w:val="20"/>
                  </w:rPr>
                  <w:t xml:space="preserve"> </w:t>
                </w:r>
                <w:r>
                  <w:rPr>
                    <w:sz w:val="20"/>
                  </w:rPr>
                  <w:t>Written</w:t>
                </w:r>
                <w:r>
                  <w:rPr>
                    <w:spacing w:val="-2"/>
                    <w:sz w:val="20"/>
                  </w:rPr>
                  <w:t xml:space="preserve"> Submission</w:t>
                </w:r>
              </w:p>
            </w:txbxContent>
          </v:textbox>
          <w10:wrap anchorx="page" anchory="page"/>
        </v:shape>
      </w:pict>
    </w: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DEAA85" w14:textId="77777777" w:rsidR="0010369C" w:rsidRDefault="008E43AE">
    <w:pPr>
      <w:pStyle w:val="BodyText"/>
      <w:spacing w:line="14" w:lineRule="auto"/>
      <w:rPr>
        <w:sz w:val="20"/>
      </w:rPr>
    </w:pPr>
    <w:r>
      <w:pict w14:anchorId="51DEABD1">
        <v:shape id="docshape1358" o:spid="_x0000_s2109" style="position:absolute;margin-left:65pt;margin-top:28.45pt;width:461.4pt;height:16.3pt;z-index:-25139712;mso-position-horizontal-relative:page;mso-position-vertical-relative:page" coordorigin="1300,569" coordsize="9228,326" o:spt="100" adj="0,,0" path="m10528,578r-10,l10518,884r-9209,l1309,578r-9,l1300,884r,10l1309,894r9209,l10528,894r,-10l10528,578xm10528,569r-10,l1309,569r-9,l1300,578r9,l10518,578r10,l10528,569xe" fillcolor="black" stroked="f">
          <v:stroke joinstyle="round"/>
          <v:formulas/>
          <v:path arrowok="t" o:connecttype="segments"/>
          <w10:wrap anchorx="page" anchory="page"/>
        </v:shape>
      </w:pict>
    </w:r>
    <w:r>
      <w:pict w14:anchorId="51DEABD2">
        <v:shapetype id="_x0000_t202" coordsize="21600,21600" o:spt="202" path="m,l,21600r21600,l21600,xe">
          <v:stroke joinstyle="miter"/>
          <v:path gradientshapeok="t" o:connecttype="rect"/>
        </v:shapetype>
        <v:shape id="docshape1359" o:spid="_x0000_s2108" type="#_x0000_t202" style="position:absolute;margin-left:193pt;margin-top:31.15pt;width:209.35pt;height:13pt;z-index:-25139200;mso-position-horizontal-relative:page;mso-position-vertical-relative:page" filled="f" stroked="f">
          <v:textbox inset="0,0,0,0">
            <w:txbxContent>
              <w:p w14:paraId="51DEAD73" w14:textId="77777777" w:rsidR="0010369C" w:rsidRDefault="008E43AE">
                <w:pPr>
                  <w:spacing w:line="244" w:lineRule="exact"/>
                  <w:ind w:left="20"/>
                </w:pPr>
                <w:r>
                  <w:t>Business</w:t>
                </w:r>
                <w:r>
                  <w:rPr>
                    <w:spacing w:val="-9"/>
                  </w:rPr>
                  <w:t xml:space="preserve"> </w:t>
                </w:r>
                <w:r>
                  <w:t>Confidential</w:t>
                </w:r>
                <w:r>
                  <w:rPr>
                    <w:spacing w:val="-7"/>
                  </w:rPr>
                  <w:t xml:space="preserve"> </w:t>
                </w:r>
                <w:r>
                  <w:t>Information</w:t>
                </w:r>
                <w:r>
                  <w:rPr>
                    <w:spacing w:val="-9"/>
                  </w:rPr>
                  <w:t xml:space="preserve"> </w:t>
                </w:r>
                <w:r>
                  <w:t>‐</w:t>
                </w:r>
                <w:r>
                  <w:rPr>
                    <w:spacing w:val="-7"/>
                  </w:rPr>
                  <w:t xml:space="preserve"> </w:t>
                </w:r>
                <w:r>
                  <w:rPr>
                    <w:spacing w:val="-2"/>
                  </w:rPr>
                  <w:t>REDACTED</w:t>
                </w:r>
              </w:p>
            </w:txbxContent>
          </v:textbox>
          <w10:wrap anchorx="page" anchory="page"/>
        </v:shape>
      </w:pict>
    </w: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DEAA87" w14:textId="77777777" w:rsidR="0010369C" w:rsidRDefault="008E43AE">
    <w:pPr>
      <w:pStyle w:val="BodyText"/>
      <w:spacing w:line="14" w:lineRule="auto"/>
      <w:rPr>
        <w:sz w:val="20"/>
      </w:rPr>
    </w:pPr>
    <w:r>
      <w:pict w14:anchorId="51DEABD4">
        <v:shape id="docshape1386" o:spid="_x0000_s2106" style="position:absolute;margin-left:65pt;margin-top:28.45pt;width:461.4pt;height:16.3pt;z-index:-25138176;mso-position-horizontal-relative:page;mso-position-vertical-relative:page" coordorigin="1300,569" coordsize="9228,326" o:spt="100" adj="0,,0" path="m10528,578r-10,l10518,884r-9209,l1309,578r-9,l1300,884r,10l1309,894r9209,l10528,894r,-10l10528,578xm10528,569r-10,l1309,569r-9,l1300,578r9,l10518,578r10,l10528,569xe" fillcolor="black" stroked="f">
          <v:stroke joinstyle="round"/>
          <v:formulas/>
          <v:path arrowok="t" o:connecttype="segments"/>
          <w10:wrap anchorx="page" anchory="page"/>
        </v:shape>
      </w:pict>
    </w:r>
    <w:r>
      <w:pict w14:anchorId="51DEABD5">
        <v:shapetype id="_x0000_t202" coordsize="21600,21600" o:spt="202" path="m,l,21600r21600,l21600,xe">
          <v:stroke joinstyle="miter"/>
          <v:path gradientshapeok="t" o:connecttype="rect"/>
        </v:shapetype>
        <v:shape id="docshape1387" o:spid="_x0000_s2105" type="#_x0000_t202" style="position:absolute;margin-left:193pt;margin-top:31.15pt;width:209.35pt;height:13pt;z-index:-25137664;mso-position-horizontal-relative:page;mso-position-vertical-relative:page" filled="f" stroked="f">
          <v:textbox inset="0,0,0,0">
            <w:txbxContent>
              <w:p w14:paraId="51DEAD75" w14:textId="77777777" w:rsidR="0010369C" w:rsidRDefault="008E43AE">
                <w:pPr>
                  <w:spacing w:line="244" w:lineRule="exact"/>
                  <w:ind w:left="20"/>
                </w:pPr>
                <w:r>
                  <w:t>Business</w:t>
                </w:r>
                <w:r>
                  <w:rPr>
                    <w:spacing w:val="-9"/>
                  </w:rPr>
                  <w:t xml:space="preserve"> </w:t>
                </w:r>
                <w:r>
                  <w:t>Confidential</w:t>
                </w:r>
                <w:r>
                  <w:rPr>
                    <w:spacing w:val="-7"/>
                  </w:rPr>
                  <w:t xml:space="preserve"> </w:t>
                </w:r>
                <w:r>
                  <w:t>Information</w:t>
                </w:r>
                <w:r>
                  <w:rPr>
                    <w:spacing w:val="-9"/>
                  </w:rPr>
                  <w:t xml:space="preserve"> </w:t>
                </w:r>
                <w:r>
                  <w:t>‐</w:t>
                </w:r>
                <w:r>
                  <w:rPr>
                    <w:spacing w:val="-7"/>
                  </w:rPr>
                  <w:t xml:space="preserve"> </w:t>
                </w:r>
                <w:r>
                  <w:rPr>
                    <w:spacing w:val="-2"/>
                  </w:rPr>
                  <w:t>REDACTED</w:t>
                </w:r>
              </w:p>
            </w:txbxContent>
          </v:textbox>
          <w10:wrap anchorx="page" anchory="page"/>
        </v:shape>
      </w:pict>
    </w: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DEAA89" w14:textId="77777777" w:rsidR="0010369C" w:rsidRDefault="008E43AE">
    <w:pPr>
      <w:pStyle w:val="BodyText"/>
      <w:spacing w:line="14" w:lineRule="auto"/>
      <w:rPr>
        <w:sz w:val="20"/>
      </w:rPr>
    </w:pPr>
    <w:r>
      <w:pict w14:anchorId="51DEABD8">
        <v:shape id="docshape1394" o:spid="_x0000_s2102" style="position:absolute;margin-left:65pt;margin-top:28.45pt;width:461.4pt;height:16.3pt;z-index:-25136128;mso-position-horizontal-relative:page;mso-position-vertical-relative:page" coordorigin="1300,569" coordsize="9228,326" o:spt="100" adj="0,,0" path="m10528,578r-10,l10518,884r-9209,l1309,578r-9,l1300,884r,10l1309,894r9209,l10528,894r,-10l10528,578xm10528,569r-10,l1309,569r-9,l1300,578r9,l10518,578r10,l10528,569xe" fillcolor="black" stroked="f">
          <v:stroke joinstyle="round"/>
          <v:formulas/>
          <v:path arrowok="t" o:connecttype="segments"/>
          <w10:wrap anchorx="page" anchory="page"/>
        </v:shape>
      </w:pict>
    </w:r>
    <w:r>
      <w:pict w14:anchorId="51DEABD9">
        <v:shapetype id="_x0000_t202" coordsize="21600,21600" o:spt="202" path="m,l,21600r21600,l21600,xe">
          <v:stroke joinstyle="miter"/>
          <v:path gradientshapeok="t" o:connecttype="rect"/>
        </v:shapetype>
        <v:shape id="docshape1395" o:spid="_x0000_s2101" type="#_x0000_t202" style="position:absolute;margin-left:193pt;margin-top:31.15pt;width:209.35pt;height:13pt;z-index:-25135616;mso-position-horizontal-relative:page;mso-position-vertical-relative:page" filled="f" stroked="f">
          <v:textbox inset="0,0,0,0">
            <w:txbxContent>
              <w:p w14:paraId="51DEAD77" w14:textId="77777777" w:rsidR="0010369C" w:rsidRDefault="008E43AE">
                <w:pPr>
                  <w:spacing w:line="244" w:lineRule="exact"/>
                  <w:ind w:left="20"/>
                </w:pPr>
                <w:r>
                  <w:t>Business</w:t>
                </w:r>
                <w:r>
                  <w:rPr>
                    <w:spacing w:val="-9"/>
                  </w:rPr>
                  <w:t xml:space="preserve"> </w:t>
                </w:r>
                <w:r>
                  <w:t>Confidential</w:t>
                </w:r>
                <w:r>
                  <w:rPr>
                    <w:spacing w:val="-7"/>
                  </w:rPr>
                  <w:t xml:space="preserve"> </w:t>
                </w:r>
                <w:r>
                  <w:t>Information</w:t>
                </w:r>
                <w:r>
                  <w:rPr>
                    <w:spacing w:val="-9"/>
                  </w:rPr>
                  <w:t xml:space="preserve"> </w:t>
                </w:r>
                <w:r>
                  <w:t>‐</w:t>
                </w:r>
                <w:r>
                  <w:rPr>
                    <w:spacing w:val="-7"/>
                  </w:rPr>
                  <w:t xml:space="preserve"> </w:t>
                </w:r>
                <w:r>
                  <w:rPr>
                    <w:spacing w:val="-2"/>
                  </w:rPr>
                  <w:t>REDACTED</w:t>
                </w:r>
              </w:p>
            </w:txbxContent>
          </v:textbox>
          <w10:wrap anchorx="page" anchory="page"/>
        </v:shape>
      </w:pict>
    </w: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DEAA8B" w14:textId="77777777" w:rsidR="0010369C" w:rsidRDefault="008E43AE">
    <w:pPr>
      <w:pStyle w:val="BodyText"/>
      <w:spacing w:line="14" w:lineRule="auto"/>
      <w:rPr>
        <w:sz w:val="20"/>
      </w:rPr>
    </w:pPr>
    <w:r>
      <w:pict w14:anchorId="51DEABDB">
        <v:shape id="docshape1408" o:spid="_x0000_s2099" style="position:absolute;margin-left:65pt;margin-top:28.45pt;width:461.4pt;height:16.3pt;z-index:-25134592;mso-position-horizontal-relative:page;mso-position-vertical-relative:page" coordorigin="1300,569" coordsize="9228,326" o:spt="100" adj="0,,0" path="m10528,578r-10,l10518,884r-9209,l1309,578r-9,l1300,884r,10l1309,894r9209,l10528,894r,-10l10528,578xm10528,569r-10,l1309,569r-9,l1300,578r9,l10518,578r10,l10528,569xe" fillcolor="black" stroked="f">
          <v:stroke joinstyle="round"/>
          <v:formulas/>
          <v:path arrowok="t" o:connecttype="segments"/>
          <w10:wrap anchorx="page" anchory="page"/>
        </v:shape>
      </w:pict>
    </w:r>
    <w:r>
      <w:pict w14:anchorId="51DEABDC">
        <v:shapetype id="_x0000_t202" coordsize="21600,21600" o:spt="202" path="m,l,21600r21600,l21600,xe">
          <v:stroke joinstyle="miter"/>
          <v:path gradientshapeok="t" o:connecttype="rect"/>
        </v:shapetype>
        <v:shape id="docshape1409" o:spid="_x0000_s2098" type="#_x0000_t202" style="position:absolute;margin-left:193pt;margin-top:31.15pt;width:209.35pt;height:13pt;z-index:-25134080;mso-position-horizontal-relative:page;mso-position-vertical-relative:page" filled="f" stroked="f">
          <v:textbox inset="0,0,0,0">
            <w:txbxContent>
              <w:p w14:paraId="51DEAD79" w14:textId="77777777" w:rsidR="0010369C" w:rsidRDefault="008E43AE">
                <w:pPr>
                  <w:spacing w:line="244" w:lineRule="exact"/>
                  <w:ind w:left="20"/>
                </w:pPr>
                <w:r>
                  <w:t>Business</w:t>
                </w:r>
                <w:r>
                  <w:rPr>
                    <w:spacing w:val="-9"/>
                  </w:rPr>
                  <w:t xml:space="preserve"> </w:t>
                </w:r>
                <w:r>
                  <w:t>Confidential</w:t>
                </w:r>
                <w:r>
                  <w:rPr>
                    <w:spacing w:val="-7"/>
                  </w:rPr>
                  <w:t xml:space="preserve"> </w:t>
                </w:r>
                <w:r>
                  <w:t>Information</w:t>
                </w:r>
                <w:r>
                  <w:rPr>
                    <w:spacing w:val="-9"/>
                  </w:rPr>
                  <w:t xml:space="preserve"> </w:t>
                </w:r>
                <w:r>
                  <w:t>‐</w:t>
                </w:r>
                <w:r>
                  <w:rPr>
                    <w:spacing w:val="-7"/>
                  </w:rPr>
                  <w:t xml:space="preserve"> </w:t>
                </w:r>
                <w:r>
                  <w:rPr>
                    <w:spacing w:val="-2"/>
                  </w:rPr>
                  <w:t>REDACTED</w:t>
                </w:r>
              </w:p>
            </w:txbxContent>
          </v:textbox>
          <w10:wrap anchorx="page" anchory="page"/>
        </v:shape>
      </w:pict>
    </w: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DEAA8D" w14:textId="77777777" w:rsidR="0010369C" w:rsidRDefault="008E43AE">
    <w:pPr>
      <w:pStyle w:val="BodyText"/>
      <w:spacing w:line="14" w:lineRule="auto"/>
      <w:rPr>
        <w:sz w:val="20"/>
      </w:rPr>
    </w:pPr>
    <w:r>
      <w:pict w14:anchorId="51DEABDF">
        <v:shape id="docshape1412" o:spid="_x0000_s2095" style="position:absolute;margin-left:65pt;margin-top:28.45pt;width:461.4pt;height:16.3pt;z-index:-25132544;mso-position-horizontal-relative:page;mso-position-vertical-relative:page" coordorigin="1300,569" coordsize="9228,326" o:spt="100" adj="0,,0" path="m10528,578r-10,l10518,884r-9209,l1309,578r-9,l1300,884r,10l1309,894r9209,l10528,894r,-10l10528,578xm10528,569r-10,l1309,569r-9,l1300,578r9,l10518,578r10,l10528,569xe" fillcolor="black" stroked="f">
          <v:stroke joinstyle="round"/>
          <v:formulas/>
          <v:path arrowok="t" o:connecttype="segments"/>
          <w10:wrap anchorx="page" anchory="page"/>
        </v:shape>
      </w:pict>
    </w:r>
    <w:r>
      <w:pict w14:anchorId="51DEABE0">
        <v:shapetype id="_x0000_t202" coordsize="21600,21600" o:spt="202" path="m,l,21600r21600,l21600,xe">
          <v:stroke joinstyle="miter"/>
          <v:path gradientshapeok="t" o:connecttype="rect"/>
        </v:shapetype>
        <v:shape id="docshape1413" o:spid="_x0000_s2094" type="#_x0000_t202" style="position:absolute;margin-left:193pt;margin-top:31.15pt;width:209.35pt;height:13pt;z-index:-25132032;mso-position-horizontal-relative:page;mso-position-vertical-relative:page" filled="f" stroked="f">
          <v:textbox inset="0,0,0,0">
            <w:txbxContent>
              <w:p w14:paraId="51DEAD7B" w14:textId="77777777" w:rsidR="0010369C" w:rsidRDefault="008E43AE">
                <w:pPr>
                  <w:spacing w:line="244" w:lineRule="exact"/>
                  <w:ind w:left="20"/>
                </w:pPr>
                <w:r>
                  <w:t>Business</w:t>
                </w:r>
                <w:r>
                  <w:rPr>
                    <w:spacing w:val="-9"/>
                  </w:rPr>
                  <w:t xml:space="preserve"> </w:t>
                </w:r>
                <w:r>
                  <w:t>Confidential</w:t>
                </w:r>
                <w:r>
                  <w:rPr>
                    <w:spacing w:val="-7"/>
                  </w:rPr>
                  <w:t xml:space="preserve"> </w:t>
                </w:r>
                <w:r>
                  <w:t>Information</w:t>
                </w:r>
                <w:r>
                  <w:rPr>
                    <w:spacing w:val="-9"/>
                  </w:rPr>
                  <w:t xml:space="preserve"> </w:t>
                </w:r>
                <w:r>
                  <w:t>‐</w:t>
                </w:r>
                <w:r>
                  <w:rPr>
                    <w:spacing w:val="-7"/>
                  </w:rPr>
                  <w:t xml:space="preserve"> </w:t>
                </w:r>
                <w:r>
                  <w:rPr>
                    <w:spacing w:val="-2"/>
                  </w:rPr>
                  <w:t>REDACTED</w:t>
                </w:r>
              </w:p>
            </w:txbxContent>
          </v:textbox>
          <w10:wrap anchorx="page" anchory="page"/>
        </v:shape>
      </w:pict>
    </w: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DEAA8F" w14:textId="77777777" w:rsidR="0010369C" w:rsidRDefault="008E43AE">
    <w:pPr>
      <w:pStyle w:val="BodyText"/>
      <w:spacing w:line="14" w:lineRule="auto"/>
      <w:rPr>
        <w:sz w:val="20"/>
      </w:rPr>
    </w:pPr>
    <w:r>
      <w:pict w14:anchorId="51DEABE2">
        <v:shape id="docshape1417" o:spid="_x0000_s2092" style="position:absolute;margin-left:65pt;margin-top:28.45pt;width:461.4pt;height:16.3pt;z-index:-25131008;mso-position-horizontal-relative:page;mso-position-vertical-relative:page" coordorigin="1300,569" coordsize="9228,326" o:spt="100" adj="0,,0" path="m10528,578r-10,l10518,884r-9209,l1309,578r-9,l1300,884r,10l1309,894r9209,l10528,894r,-10l10528,578xm10528,569r-10,l1309,569r-9,l1300,578r9,l10518,578r10,l10528,569xe" fillcolor="black" stroked="f">
          <v:stroke joinstyle="round"/>
          <v:formulas/>
          <v:path arrowok="t" o:connecttype="segments"/>
          <w10:wrap anchorx="page" anchory="page"/>
        </v:shape>
      </w:pict>
    </w:r>
    <w:r>
      <w:pict w14:anchorId="51DEABE3">
        <v:shapetype id="_x0000_t202" coordsize="21600,21600" o:spt="202" path="m,l,21600r21600,l21600,xe">
          <v:stroke joinstyle="miter"/>
          <v:path gradientshapeok="t" o:connecttype="rect"/>
        </v:shapetype>
        <v:shape id="docshape1418" o:spid="_x0000_s2091" type="#_x0000_t202" style="position:absolute;margin-left:193pt;margin-top:31.15pt;width:209.35pt;height:13pt;z-index:-25130496;mso-position-horizontal-relative:page;mso-position-vertical-relative:page" filled="f" stroked="f">
          <v:textbox inset="0,0,0,0">
            <w:txbxContent>
              <w:p w14:paraId="51DEAD7D" w14:textId="77777777" w:rsidR="0010369C" w:rsidRDefault="008E43AE">
                <w:pPr>
                  <w:spacing w:line="244" w:lineRule="exact"/>
                  <w:ind w:left="20"/>
                </w:pPr>
                <w:r>
                  <w:t>Business</w:t>
                </w:r>
                <w:r>
                  <w:rPr>
                    <w:spacing w:val="-9"/>
                  </w:rPr>
                  <w:t xml:space="preserve"> </w:t>
                </w:r>
                <w:r>
                  <w:t>Confidential</w:t>
                </w:r>
                <w:r>
                  <w:rPr>
                    <w:spacing w:val="-7"/>
                  </w:rPr>
                  <w:t xml:space="preserve"> </w:t>
                </w:r>
                <w:r>
                  <w:t>Information</w:t>
                </w:r>
                <w:r>
                  <w:rPr>
                    <w:spacing w:val="-9"/>
                  </w:rPr>
                  <w:t xml:space="preserve"> </w:t>
                </w:r>
                <w:r>
                  <w:t>‐</w:t>
                </w:r>
                <w:r>
                  <w:rPr>
                    <w:spacing w:val="-7"/>
                  </w:rPr>
                  <w:t xml:space="preserve"> </w:t>
                </w:r>
                <w:r>
                  <w:rPr>
                    <w:spacing w:val="-2"/>
                  </w:rPr>
                  <w:t>REDACTED</w:t>
                </w:r>
              </w:p>
            </w:txbxContent>
          </v:textbox>
          <w10:wrap anchorx="page" anchory="page"/>
        </v:shape>
      </w:pict>
    </w:r>
    <w:r>
      <w:pict w14:anchorId="51DEABE4">
        <v:shape id="docshape1419" o:spid="_x0000_s2090" type="#_x0000_t202" style="position:absolute;margin-left:69.9pt;margin-top:45.7pt;width:233.3pt;height:12.05pt;z-index:-25129984;mso-position-horizontal-relative:page;mso-position-vertical-relative:page" filled="f" stroked="f">
          <v:textbox inset="0,0,0,0">
            <w:txbxContent>
              <w:p w14:paraId="51DEAD7E" w14:textId="77777777" w:rsidR="0010369C" w:rsidRDefault="008E43AE">
                <w:pPr>
                  <w:spacing w:line="224" w:lineRule="exact"/>
                  <w:ind w:left="20"/>
                  <w:rPr>
                    <w:i/>
                    <w:sz w:val="20"/>
                  </w:rPr>
                </w:pPr>
                <w:r>
                  <w:rPr>
                    <w:i/>
                    <w:sz w:val="20"/>
                  </w:rPr>
                  <w:t>China</w:t>
                </w:r>
                <w:r>
                  <w:rPr>
                    <w:i/>
                    <w:spacing w:val="-5"/>
                    <w:sz w:val="20"/>
                  </w:rPr>
                  <w:t xml:space="preserve"> </w:t>
                </w:r>
                <w:r>
                  <w:rPr>
                    <w:i/>
                    <w:sz w:val="20"/>
                  </w:rPr>
                  <w:t>–</w:t>
                </w:r>
                <w:r>
                  <w:rPr>
                    <w:i/>
                    <w:spacing w:val="-5"/>
                    <w:sz w:val="20"/>
                  </w:rPr>
                  <w:t xml:space="preserve"> </w:t>
                </w:r>
                <w:r>
                  <w:rPr>
                    <w:i/>
                    <w:sz w:val="20"/>
                  </w:rPr>
                  <w:t>Anti‐Dumping</w:t>
                </w:r>
                <w:r>
                  <w:rPr>
                    <w:i/>
                    <w:spacing w:val="-4"/>
                    <w:sz w:val="20"/>
                  </w:rPr>
                  <w:t xml:space="preserve"> </w:t>
                </w:r>
                <w:r>
                  <w:rPr>
                    <w:i/>
                    <w:sz w:val="20"/>
                  </w:rPr>
                  <w:t>and</w:t>
                </w:r>
                <w:r>
                  <w:rPr>
                    <w:i/>
                    <w:spacing w:val="-5"/>
                    <w:sz w:val="20"/>
                  </w:rPr>
                  <w:t xml:space="preserve"> </w:t>
                </w:r>
                <w:r>
                  <w:rPr>
                    <w:i/>
                    <w:sz w:val="20"/>
                  </w:rPr>
                  <w:t>Countervailing</w:t>
                </w:r>
                <w:r>
                  <w:rPr>
                    <w:i/>
                    <w:spacing w:val="-5"/>
                    <w:sz w:val="20"/>
                  </w:rPr>
                  <w:t xml:space="preserve"> </w:t>
                </w:r>
                <w:r>
                  <w:rPr>
                    <w:i/>
                    <w:sz w:val="20"/>
                  </w:rPr>
                  <w:t>Duty</w:t>
                </w:r>
                <w:r>
                  <w:rPr>
                    <w:i/>
                    <w:spacing w:val="-4"/>
                    <w:sz w:val="20"/>
                  </w:rPr>
                  <w:t xml:space="preserve"> </w:t>
                </w:r>
                <w:r>
                  <w:rPr>
                    <w:i/>
                    <w:spacing w:val="-2"/>
                    <w:sz w:val="20"/>
                  </w:rPr>
                  <w:t>Measures</w:t>
                </w:r>
              </w:p>
            </w:txbxContent>
          </v:textbox>
          <w10:wrap anchorx="page" anchory="page"/>
        </v:shape>
      </w:pict>
    </w:r>
    <w:r>
      <w:pict w14:anchorId="51DEABE5">
        <v:shape id="docshape1420" o:spid="_x0000_s2089" type="#_x0000_t202" style="position:absolute;margin-left:379.3pt;margin-top:45.7pt;width:146.05pt;height:12.05pt;z-index:-25129472;mso-position-horizontal-relative:page;mso-position-vertical-relative:page" filled="f" stroked="f">
          <v:textbox inset="0,0,0,0">
            <w:txbxContent>
              <w:p w14:paraId="51DEAD7F" w14:textId="77777777" w:rsidR="0010369C" w:rsidRDefault="008E43AE">
                <w:pPr>
                  <w:spacing w:line="224" w:lineRule="exact"/>
                  <w:ind w:left="20"/>
                  <w:rPr>
                    <w:sz w:val="20"/>
                  </w:rPr>
                </w:pPr>
                <w:r>
                  <w:rPr>
                    <w:sz w:val="20"/>
                  </w:rPr>
                  <w:t>Australia's</w:t>
                </w:r>
                <w:r>
                  <w:rPr>
                    <w:spacing w:val="-5"/>
                    <w:sz w:val="20"/>
                  </w:rPr>
                  <w:t xml:space="preserve"> </w:t>
                </w:r>
                <w:r>
                  <w:rPr>
                    <w:sz w:val="20"/>
                  </w:rPr>
                  <w:t>First</w:t>
                </w:r>
                <w:r>
                  <w:rPr>
                    <w:spacing w:val="-2"/>
                    <w:sz w:val="20"/>
                  </w:rPr>
                  <w:t xml:space="preserve"> </w:t>
                </w:r>
                <w:r>
                  <w:rPr>
                    <w:sz w:val="20"/>
                  </w:rPr>
                  <w:t>Written</w:t>
                </w:r>
                <w:r>
                  <w:rPr>
                    <w:spacing w:val="-2"/>
                    <w:sz w:val="20"/>
                  </w:rPr>
                  <w:t xml:space="preserve"> Submission</w:t>
                </w:r>
              </w:p>
            </w:txbxContent>
          </v:textbox>
          <w10:wrap anchorx="page" anchory="page"/>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DEA9CB" w14:textId="77777777" w:rsidR="0010369C" w:rsidRDefault="008E43AE">
    <w:pPr>
      <w:pStyle w:val="BodyText"/>
      <w:spacing w:line="14" w:lineRule="auto"/>
      <w:rPr>
        <w:sz w:val="20"/>
      </w:rPr>
    </w:pPr>
    <w:r>
      <w:pict w14:anchorId="51DEAAB6">
        <v:shape id="docshape59" o:spid="_x0000_s2392" style="position:absolute;margin-left:65pt;margin-top:28.45pt;width:461.4pt;height:16.3pt;z-index:-25284608;mso-position-horizontal-relative:page;mso-position-vertical-relative:page" coordorigin="1300,569" coordsize="9228,326" o:spt="100" adj="0,,0" path="m10528,578r-10,l10518,884r-9209,l1309,578r-9,l1300,884r,10l1309,894r9209,l10528,894r,-10l10528,578xm10528,569r-10,l1309,569r-9,l1300,578r9,l10518,578r10,l10528,569xe" fillcolor="black" stroked="f">
          <v:stroke joinstyle="round"/>
          <v:formulas/>
          <v:path arrowok="t" o:connecttype="segments"/>
          <w10:wrap anchorx="page" anchory="page"/>
        </v:shape>
      </w:pict>
    </w:r>
    <w:r>
      <w:pict w14:anchorId="51DEAAB7">
        <v:shapetype id="_x0000_t202" coordsize="21600,21600" o:spt="202" path="m,l,21600r21600,l21600,xe">
          <v:stroke joinstyle="miter"/>
          <v:path gradientshapeok="t" o:connecttype="rect"/>
        </v:shapetype>
        <v:shape id="docshape60" o:spid="_x0000_s2391" type="#_x0000_t202" style="position:absolute;margin-left:193pt;margin-top:31.15pt;width:209.35pt;height:13pt;z-index:-25284096;mso-position-horizontal-relative:page;mso-position-vertical-relative:page" filled="f" stroked="f">
          <v:textbox inset="0,0,0,0">
            <w:txbxContent>
              <w:p w14:paraId="51DEACB4" w14:textId="77777777" w:rsidR="0010369C" w:rsidRDefault="008E43AE">
                <w:pPr>
                  <w:spacing w:line="244" w:lineRule="exact"/>
                  <w:ind w:left="20"/>
                </w:pPr>
                <w:r>
                  <w:t>Business</w:t>
                </w:r>
                <w:r>
                  <w:rPr>
                    <w:spacing w:val="-9"/>
                  </w:rPr>
                  <w:t xml:space="preserve"> </w:t>
                </w:r>
                <w:r>
                  <w:t>Confidential</w:t>
                </w:r>
                <w:r>
                  <w:rPr>
                    <w:spacing w:val="-7"/>
                  </w:rPr>
                  <w:t xml:space="preserve"> </w:t>
                </w:r>
                <w:r>
                  <w:t>Information</w:t>
                </w:r>
                <w:r>
                  <w:rPr>
                    <w:spacing w:val="-9"/>
                  </w:rPr>
                  <w:t xml:space="preserve"> </w:t>
                </w:r>
                <w:r>
                  <w:t>‐</w:t>
                </w:r>
                <w:r>
                  <w:rPr>
                    <w:spacing w:val="-7"/>
                  </w:rPr>
                  <w:t xml:space="preserve"> </w:t>
                </w:r>
                <w:r>
                  <w:rPr>
                    <w:spacing w:val="-2"/>
                  </w:rPr>
                  <w:t>REDACTED</w:t>
                </w:r>
              </w:p>
            </w:txbxContent>
          </v:textbox>
          <w10:wrap anchorx="page" anchory="page"/>
        </v:shape>
      </w:pict>
    </w: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DEAA91" w14:textId="77777777" w:rsidR="0010369C" w:rsidRDefault="008E43AE">
    <w:pPr>
      <w:pStyle w:val="BodyText"/>
      <w:spacing w:line="14" w:lineRule="auto"/>
      <w:rPr>
        <w:sz w:val="20"/>
      </w:rPr>
    </w:pPr>
    <w:r>
      <w:pict w14:anchorId="51DEABE7">
        <v:shape id="docshape1423" o:spid="_x0000_s2087" style="position:absolute;margin-left:65pt;margin-top:28.45pt;width:461.4pt;height:16.3pt;z-index:-25128448;mso-position-horizontal-relative:page;mso-position-vertical-relative:page" coordorigin="1300,569" coordsize="9228,326" o:spt="100" adj="0,,0" path="m10528,578r-10,l10518,884r-9209,l1309,578r-9,l1300,884r,10l1309,894r9209,l10528,894r,-10l10528,578xm10528,569r-10,l1309,569r-9,l1300,578r9,l10518,578r10,l10528,569xe" fillcolor="black" stroked="f">
          <v:stroke joinstyle="round"/>
          <v:formulas/>
          <v:path arrowok="t" o:connecttype="segments"/>
          <w10:wrap anchorx="page" anchory="page"/>
        </v:shape>
      </w:pict>
    </w:r>
    <w:r>
      <w:pict w14:anchorId="51DEABE8">
        <v:shapetype id="_x0000_t202" coordsize="21600,21600" o:spt="202" path="m,l,21600r21600,l21600,xe">
          <v:stroke joinstyle="miter"/>
          <v:path gradientshapeok="t" o:connecttype="rect"/>
        </v:shapetype>
        <v:shape id="docshape1424" o:spid="_x0000_s2086" type="#_x0000_t202" style="position:absolute;margin-left:193pt;margin-top:31.15pt;width:209.35pt;height:13pt;z-index:-25127936;mso-position-horizontal-relative:page;mso-position-vertical-relative:page" filled="f" stroked="f">
          <v:textbox inset="0,0,0,0">
            <w:txbxContent>
              <w:p w14:paraId="51DEAD81" w14:textId="77777777" w:rsidR="0010369C" w:rsidRDefault="008E43AE">
                <w:pPr>
                  <w:spacing w:line="244" w:lineRule="exact"/>
                  <w:ind w:left="20"/>
                </w:pPr>
                <w:r>
                  <w:t>Business</w:t>
                </w:r>
                <w:r>
                  <w:rPr>
                    <w:spacing w:val="-9"/>
                  </w:rPr>
                  <w:t xml:space="preserve"> </w:t>
                </w:r>
                <w:r>
                  <w:t>Confidential</w:t>
                </w:r>
                <w:r>
                  <w:rPr>
                    <w:spacing w:val="-7"/>
                  </w:rPr>
                  <w:t xml:space="preserve"> </w:t>
                </w:r>
                <w:r>
                  <w:t>Information</w:t>
                </w:r>
                <w:r>
                  <w:rPr>
                    <w:spacing w:val="-9"/>
                  </w:rPr>
                  <w:t xml:space="preserve"> </w:t>
                </w:r>
                <w:r>
                  <w:t>‐</w:t>
                </w:r>
                <w:r>
                  <w:rPr>
                    <w:spacing w:val="-7"/>
                  </w:rPr>
                  <w:t xml:space="preserve"> </w:t>
                </w:r>
                <w:r>
                  <w:rPr>
                    <w:spacing w:val="-2"/>
                  </w:rPr>
                  <w:t>REDACTED</w:t>
                </w:r>
              </w:p>
            </w:txbxContent>
          </v:textbox>
          <w10:wrap anchorx="page" anchory="page"/>
        </v:shape>
      </w:pict>
    </w:r>
    <w:r>
      <w:pict w14:anchorId="51DEABE9">
        <v:shape id="docshape1425" o:spid="_x0000_s2085" type="#_x0000_t202" style="position:absolute;margin-left:69.9pt;margin-top:45.7pt;width:233.3pt;height:12.05pt;z-index:-25127424;mso-position-horizontal-relative:page;mso-position-vertical-relative:page" filled="f" stroked="f">
          <v:textbox inset="0,0,0,0">
            <w:txbxContent>
              <w:p w14:paraId="51DEAD82" w14:textId="77777777" w:rsidR="0010369C" w:rsidRDefault="008E43AE">
                <w:pPr>
                  <w:spacing w:line="224" w:lineRule="exact"/>
                  <w:ind w:left="20"/>
                  <w:rPr>
                    <w:i/>
                    <w:sz w:val="20"/>
                  </w:rPr>
                </w:pPr>
                <w:r>
                  <w:rPr>
                    <w:i/>
                    <w:sz w:val="20"/>
                  </w:rPr>
                  <w:t>China</w:t>
                </w:r>
                <w:r>
                  <w:rPr>
                    <w:i/>
                    <w:spacing w:val="-5"/>
                    <w:sz w:val="20"/>
                  </w:rPr>
                  <w:t xml:space="preserve"> </w:t>
                </w:r>
                <w:r>
                  <w:rPr>
                    <w:i/>
                    <w:sz w:val="20"/>
                  </w:rPr>
                  <w:t>–</w:t>
                </w:r>
                <w:r>
                  <w:rPr>
                    <w:i/>
                    <w:spacing w:val="-5"/>
                    <w:sz w:val="20"/>
                  </w:rPr>
                  <w:t xml:space="preserve"> </w:t>
                </w:r>
                <w:r>
                  <w:rPr>
                    <w:i/>
                    <w:sz w:val="20"/>
                  </w:rPr>
                  <w:t>Anti‐Dumping</w:t>
                </w:r>
                <w:r>
                  <w:rPr>
                    <w:i/>
                    <w:spacing w:val="-4"/>
                    <w:sz w:val="20"/>
                  </w:rPr>
                  <w:t xml:space="preserve"> </w:t>
                </w:r>
                <w:r>
                  <w:rPr>
                    <w:i/>
                    <w:sz w:val="20"/>
                  </w:rPr>
                  <w:t>and</w:t>
                </w:r>
                <w:r>
                  <w:rPr>
                    <w:i/>
                    <w:spacing w:val="-5"/>
                    <w:sz w:val="20"/>
                  </w:rPr>
                  <w:t xml:space="preserve"> </w:t>
                </w:r>
                <w:r>
                  <w:rPr>
                    <w:i/>
                    <w:sz w:val="20"/>
                  </w:rPr>
                  <w:t>Countervailing</w:t>
                </w:r>
                <w:r>
                  <w:rPr>
                    <w:i/>
                    <w:spacing w:val="-5"/>
                    <w:sz w:val="20"/>
                  </w:rPr>
                  <w:t xml:space="preserve"> </w:t>
                </w:r>
                <w:r>
                  <w:rPr>
                    <w:i/>
                    <w:sz w:val="20"/>
                  </w:rPr>
                  <w:t>Duty</w:t>
                </w:r>
                <w:r>
                  <w:rPr>
                    <w:i/>
                    <w:spacing w:val="-4"/>
                    <w:sz w:val="20"/>
                  </w:rPr>
                  <w:t xml:space="preserve"> </w:t>
                </w:r>
                <w:r>
                  <w:rPr>
                    <w:i/>
                    <w:spacing w:val="-2"/>
                    <w:sz w:val="20"/>
                  </w:rPr>
                  <w:t>Measures</w:t>
                </w:r>
              </w:p>
            </w:txbxContent>
          </v:textbox>
          <w10:wrap anchorx="page" anchory="page"/>
        </v:shape>
      </w:pict>
    </w:r>
    <w:r>
      <w:pict w14:anchorId="51DEABEA">
        <v:shape id="docshape1426" o:spid="_x0000_s2084" type="#_x0000_t202" style="position:absolute;margin-left:379.3pt;margin-top:45.7pt;width:146.05pt;height:12.05pt;z-index:-25126912;mso-position-horizontal-relative:page;mso-position-vertical-relative:page" filled="f" stroked="f">
          <v:textbox inset="0,0,0,0">
            <w:txbxContent>
              <w:p w14:paraId="51DEAD83" w14:textId="77777777" w:rsidR="0010369C" w:rsidRDefault="008E43AE">
                <w:pPr>
                  <w:spacing w:line="224" w:lineRule="exact"/>
                  <w:ind w:left="20"/>
                  <w:rPr>
                    <w:sz w:val="20"/>
                  </w:rPr>
                </w:pPr>
                <w:r>
                  <w:rPr>
                    <w:sz w:val="20"/>
                  </w:rPr>
                  <w:t>Australia's</w:t>
                </w:r>
                <w:r>
                  <w:rPr>
                    <w:spacing w:val="-5"/>
                    <w:sz w:val="20"/>
                  </w:rPr>
                  <w:t xml:space="preserve"> </w:t>
                </w:r>
                <w:r>
                  <w:rPr>
                    <w:sz w:val="20"/>
                  </w:rPr>
                  <w:t>First</w:t>
                </w:r>
                <w:r>
                  <w:rPr>
                    <w:spacing w:val="-2"/>
                    <w:sz w:val="20"/>
                  </w:rPr>
                  <w:t xml:space="preserve"> </w:t>
                </w:r>
                <w:r>
                  <w:rPr>
                    <w:sz w:val="20"/>
                  </w:rPr>
                  <w:t>Written</w:t>
                </w:r>
                <w:r>
                  <w:rPr>
                    <w:spacing w:val="-2"/>
                    <w:sz w:val="20"/>
                  </w:rPr>
                  <w:t xml:space="preserve"> Submission</w:t>
                </w:r>
              </w:p>
            </w:txbxContent>
          </v:textbox>
          <w10:wrap anchorx="page" anchory="page"/>
        </v:shape>
      </w:pict>
    </w: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DEAA93" w14:textId="77777777" w:rsidR="0010369C" w:rsidRDefault="008E43AE">
    <w:pPr>
      <w:pStyle w:val="BodyText"/>
      <w:spacing w:line="14" w:lineRule="auto"/>
      <w:rPr>
        <w:sz w:val="20"/>
      </w:rPr>
    </w:pPr>
    <w:r>
      <w:pict w14:anchorId="51DEABED">
        <v:shape id="docshape1429" o:spid="_x0000_s2081" style="position:absolute;margin-left:65pt;margin-top:28.45pt;width:461.4pt;height:16.3pt;z-index:-25125376;mso-position-horizontal-relative:page;mso-position-vertical-relative:page" coordorigin="1300,569" coordsize="9228,326" o:spt="100" adj="0,,0" path="m10528,578r-10,l10518,884r-9209,l1309,578r-9,l1300,884r,10l1309,894r9209,l10528,894r,-10l10528,578xm10528,569r-10,l1309,569r-9,l1300,578r9,l10518,578r10,l10528,569xe" fillcolor="black" stroked="f">
          <v:stroke joinstyle="round"/>
          <v:formulas/>
          <v:path arrowok="t" o:connecttype="segments"/>
          <w10:wrap anchorx="page" anchory="page"/>
        </v:shape>
      </w:pict>
    </w:r>
    <w:r>
      <w:pict w14:anchorId="51DEABEE">
        <v:shapetype id="_x0000_t202" coordsize="21600,21600" o:spt="202" path="m,l,21600r21600,l21600,xe">
          <v:stroke joinstyle="miter"/>
          <v:path gradientshapeok="t" o:connecttype="rect"/>
        </v:shapetype>
        <v:shape id="docshape1430" o:spid="_x0000_s2080" type="#_x0000_t202" style="position:absolute;margin-left:193pt;margin-top:31.15pt;width:209.35pt;height:13pt;z-index:-25124864;mso-position-horizontal-relative:page;mso-position-vertical-relative:page" filled="f" stroked="f">
          <v:textbox inset="0,0,0,0">
            <w:txbxContent>
              <w:p w14:paraId="51DEAD85" w14:textId="77777777" w:rsidR="0010369C" w:rsidRDefault="008E43AE">
                <w:pPr>
                  <w:spacing w:line="244" w:lineRule="exact"/>
                  <w:ind w:left="20"/>
                </w:pPr>
                <w:r>
                  <w:t>Business</w:t>
                </w:r>
                <w:r>
                  <w:rPr>
                    <w:spacing w:val="-9"/>
                  </w:rPr>
                  <w:t xml:space="preserve"> </w:t>
                </w:r>
                <w:r>
                  <w:t>Confidential</w:t>
                </w:r>
                <w:r>
                  <w:rPr>
                    <w:spacing w:val="-7"/>
                  </w:rPr>
                  <w:t xml:space="preserve"> </w:t>
                </w:r>
                <w:r>
                  <w:t>Information</w:t>
                </w:r>
                <w:r>
                  <w:rPr>
                    <w:spacing w:val="-9"/>
                  </w:rPr>
                  <w:t xml:space="preserve"> </w:t>
                </w:r>
                <w:r>
                  <w:t>‐</w:t>
                </w:r>
                <w:r>
                  <w:rPr>
                    <w:spacing w:val="-7"/>
                  </w:rPr>
                  <w:t xml:space="preserve"> </w:t>
                </w:r>
                <w:r>
                  <w:rPr>
                    <w:spacing w:val="-2"/>
                  </w:rPr>
                  <w:t>REDACTED</w:t>
                </w:r>
              </w:p>
            </w:txbxContent>
          </v:textbox>
          <w10:wrap anchorx="page" anchory="page"/>
        </v:shape>
      </w:pict>
    </w:r>
    <w:r>
      <w:pict w14:anchorId="51DEABEF">
        <v:shape id="docshape1431" o:spid="_x0000_s2079" type="#_x0000_t202" style="position:absolute;margin-left:69.9pt;margin-top:45.7pt;width:233.3pt;height:12.05pt;z-index:-25124352;mso-position-horizontal-relative:page;mso-position-vertical-relative:page" filled="f" stroked="f">
          <v:textbox inset="0,0,0,0">
            <w:txbxContent>
              <w:p w14:paraId="51DEAD86" w14:textId="77777777" w:rsidR="0010369C" w:rsidRDefault="008E43AE">
                <w:pPr>
                  <w:spacing w:line="224" w:lineRule="exact"/>
                  <w:ind w:left="20"/>
                  <w:rPr>
                    <w:i/>
                    <w:sz w:val="20"/>
                  </w:rPr>
                </w:pPr>
                <w:r>
                  <w:rPr>
                    <w:i/>
                    <w:sz w:val="20"/>
                  </w:rPr>
                  <w:t>China</w:t>
                </w:r>
                <w:r>
                  <w:rPr>
                    <w:i/>
                    <w:spacing w:val="-5"/>
                    <w:sz w:val="20"/>
                  </w:rPr>
                  <w:t xml:space="preserve"> </w:t>
                </w:r>
                <w:r>
                  <w:rPr>
                    <w:i/>
                    <w:sz w:val="20"/>
                  </w:rPr>
                  <w:t>–</w:t>
                </w:r>
                <w:r>
                  <w:rPr>
                    <w:i/>
                    <w:spacing w:val="-5"/>
                    <w:sz w:val="20"/>
                  </w:rPr>
                  <w:t xml:space="preserve"> </w:t>
                </w:r>
                <w:r>
                  <w:rPr>
                    <w:i/>
                    <w:sz w:val="20"/>
                  </w:rPr>
                  <w:t>Anti‐Dumping</w:t>
                </w:r>
                <w:r>
                  <w:rPr>
                    <w:i/>
                    <w:spacing w:val="-4"/>
                    <w:sz w:val="20"/>
                  </w:rPr>
                  <w:t xml:space="preserve"> </w:t>
                </w:r>
                <w:r>
                  <w:rPr>
                    <w:i/>
                    <w:sz w:val="20"/>
                  </w:rPr>
                  <w:t>and</w:t>
                </w:r>
                <w:r>
                  <w:rPr>
                    <w:i/>
                    <w:spacing w:val="-5"/>
                    <w:sz w:val="20"/>
                  </w:rPr>
                  <w:t xml:space="preserve"> </w:t>
                </w:r>
                <w:r>
                  <w:rPr>
                    <w:i/>
                    <w:sz w:val="20"/>
                  </w:rPr>
                  <w:t>Countervailing</w:t>
                </w:r>
                <w:r>
                  <w:rPr>
                    <w:i/>
                    <w:spacing w:val="-5"/>
                    <w:sz w:val="20"/>
                  </w:rPr>
                  <w:t xml:space="preserve"> </w:t>
                </w:r>
                <w:r>
                  <w:rPr>
                    <w:i/>
                    <w:sz w:val="20"/>
                  </w:rPr>
                  <w:t>Duty</w:t>
                </w:r>
                <w:r>
                  <w:rPr>
                    <w:i/>
                    <w:spacing w:val="-4"/>
                    <w:sz w:val="20"/>
                  </w:rPr>
                  <w:t xml:space="preserve"> </w:t>
                </w:r>
                <w:r>
                  <w:rPr>
                    <w:i/>
                    <w:spacing w:val="-2"/>
                    <w:sz w:val="20"/>
                  </w:rPr>
                  <w:t>Measures</w:t>
                </w:r>
              </w:p>
            </w:txbxContent>
          </v:textbox>
          <w10:wrap anchorx="page" anchory="page"/>
        </v:shape>
      </w:pict>
    </w:r>
    <w:r>
      <w:pict w14:anchorId="51DEABF0">
        <v:shape id="docshape1432" o:spid="_x0000_s2078" type="#_x0000_t202" style="position:absolute;margin-left:379.3pt;margin-top:45.7pt;width:146.05pt;height:12.05pt;z-index:-25123840;mso-position-horizontal-relative:page;mso-position-vertical-relative:page" filled="f" stroked="f">
          <v:textbox inset="0,0,0,0">
            <w:txbxContent>
              <w:p w14:paraId="51DEAD87" w14:textId="77777777" w:rsidR="0010369C" w:rsidRDefault="008E43AE">
                <w:pPr>
                  <w:spacing w:line="224" w:lineRule="exact"/>
                  <w:ind w:left="20"/>
                  <w:rPr>
                    <w:sz w:val="20"/>
                  </w:rPr>
                </w:pPr>
                <w:r>
                  <w:rPr>
                    <w:sz w:val="20"/>
                  </w:rPr>
                  <w:t>Australia's</w:t>
                </w:r>
                <w:r>
                  <w:rPr>
                    <w:spacing w:val="-5"/>
                    <w:sz w:val="20"/>
                  </w:rPr>
                  <w:t xml:space="preserve"> </w:t>
                </w:r>
                <w:r>
                  <w:rPr>
                    <w:sz w:val="20"/>
                  </w:rPr>
                  <w:t>First</w:t>
                </w:r>
                <w:r>
                  <w:rPr>
                    <w:spacing w:val="-2"/>
                    <w:sz w:val="20"/>
                  </w:rPr>
                  <w:t xml:space="preserve"> </w:t>
                </w:r>
                <w:r>
                  <w:rPr>
                    <w:sz w:val="20"/>
                  </w:rPr>
                  <w:t>Written</w:t>
                </w:r>
                <w:r>
                  <w:rPr>
                    <w:spacing w:val="-2"/>
                    <w:sz w:val="20"/>
                  </w:rPr>
                  <w:t xml:space="preserve"> Submission</w:t>
                </w:r>
              </w:p>
            </w:txbxContent>
          </v:textbox>
          <w10:wrap anchorx="page" anchory="page"/>
        </v:shape>
      </w:pict>
    </w:r>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DEAA95" w14:textId="77777777" w:rsidR="0010369C" w:rsidRDefault="008E43AE">
    <w:pPr>
      <w:pStyle w:val="BodyText"/>
      <w:spacing w:line="14" w:lineRule="auto"/>
      <w:rPr>
        <w:sz w:val="20"/>
      </w:rPr>
    </w:pPr>
    <w:r>
      <w:pict w14:anchorId="51DEABF2">
        <v:shape id="docshape1435" o:spid="_x0000_s2076" style="position:absolute;margin-left:65pt;margin-top:28.45pt;width:461.4pt;height:16.3pt;z-index:-25122816;mso-position-horizontal-relative:page;mso-position-vertical-relative:page" coordorigin="1300,569" coordsize="9228,326" o:spt="100" adj="0,,0" path="m10528,578r-10,l10518,884r-9209,l1309,578r-9,l1300,884r,10l1309,894r9209,l10528,894r,-10l10528,578xm10528,569r-10,l1309,569r-9,l1300,578r9,l10518,578r10,l10528,569xe" fillcolor="black" stroked="f">
          <v:stroke joinstyle="round"/>
          <v:formulas/>
          <v:path arrowok="t" o:connecttype="segments"/>
          <w10:wrap anchorx="page" anchory="page"/>
        </v:shape>
      </w:pict>
    </w:r>
    <w:r>
      <w:pict w14:anchorId="51DEABF3">
        <v:shapetype id="_x0000_t202" coordsize="21600,21600" o:spt="202" path="m,l,21600r21600,l21600,xe">
          <v:stroke joinstyle="miter"/>
          <v:path gradientshapeok="t" o:connecttype="rect"/>
        </v:shapetype>
        <v:shape id="docshape1436" o:spid="_x0000_s2075" type="#_x0000_t202" style="position:absolute;margin-left:193pt;margin-top:31.15pt;width:209.35pt;height:13pt;z-index:-25122304;mso-position-horizontal-relative:page;mso-position-vertical-relative:page" filled="f" stroked="f">
          <v:textbox inset="0,0,0,0">
            <w:txbxContent>
              <w:p w14:paraId="51DEAD89" w14:textId="77777777" w:rsidR="0010369C" w:rsidRDefault="008E43AE">
                <w:pPr>
                  <w:spacing w:line="244" w:lineRule="exact"/>
                  <w:ind w:left="20"/>
                </w:pPr>
                <w:r>
                  <w:t>Business</w:t>
                </w:r>
                <w:r>
                  <w:rPr>
                    <w:spacing w:val="-9"/>
                  </w:rPr>
                  <w:t xml:space="preserve"> </w:t>
                </w:r>
                <w:r>
                  <w:t>Confidential</w:t>
                </w:r>
                <w:r>
                  <w:rPr>
                    <w:spacing w:val="-7"/>
                  </w:rPr>
                  <w:t xml:space="preserve"> </w:t>
                </w:r>
                <w:r>
                  <w:t>Information</w:t>
                </w:r>
                <w:r>
                  <w:rPr>
                    <w:spacing w:val="-9"/>
                  </w:rPr>
                  <w:t xml:space="preserve"> </w:t>
                </w:r>
                <w:r>
                  <w:t>‐</w:t>
                </w:r>
                <w:r>
                  <w:rPr>
                    <w:spacing w:val="-7"/>
                  </w:rPr>
                  <w:t xml:space="preserve"> </w:t>
                </w:r>
                <w:r>
                  <w:rPr>
                    <w:spacing w:val="-2"/>
                  </w:rPr>
                  <w:t>REDACTED</w:t>
                </w:r>
              </w:p>
            </w:txbxContent>
          </v:textbox>
          <w10:wrap anchorx="page" anchory="page"/>
        </v:shape>
      </w:pict>
    </w:r>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DEAA97" w14:textId="77777777" w:rsidR="0010369C" w:rsidRDefault="008E43AE">
    <w:pPr>
      <w:pStyle w:val="BodyText"/>
      <w:spacing w:line="14" w:lineRule="auto"/>
      <w:rPr>
        <w:sz w:val="20"/>
      </w:rPr>
    </w:pPr>
    <w:r>
      <w:pict w14:anchorId="51DEABF6">
        <v:shape id="docshape1439" o:spid="_x0000_s2072" style="position:absolute;margin-left:65pt;margin-top:28.45pt;width:461.4pt;height:16.3pt;z-index:-25120768;mso-position-horizontal-relative:page;mso-position-vertical-relative:page" coordorigin="1300,569" coordsize="9228,326" o:spt="100" adj="0,,0" path="m10528,578r-10,l10518,884r-9209,l1309,578r-9,l1300,884r,10l1309,894r9209,l10528,894r,-10l10528,578xm10528,569r-10,l1309,569r-9,l1300,578r9,l10518,578r10,l10528,569xe" fillcolor="black" stroked="f">
          <v:stroke joinstyle="round"/>
          <v:formulas/>
          <v:path arrowok="t" o:connecttype="segments"/>
          <w10:wrap anchorx="page" anchory="page"/>
        </v:shape>
      </w:pict>
    </w:r>
    <w:r>
      <w:pict w14:anchorId="51DEABF7">
        <v:shapetype id="_x0000_t202" coordsize="21600,21600" o:spt="202" path="m,l,21600r21600,l21600,xe">
          <v:stroke joinstyle="miter"/>
          <v:path gradientshapeok="t" o:connecttype="rect"/>
        </v:shapetype>
        <v:shape id="docshape1440" o:spid="_x0000_s2071" type="#_x0000_t202" style="position:absolute;margin-left:193pt;margin-top:31.15pt;width:209.35pt;height:13pt;z-index:-25120256;mso-position-horizontal-relative:page;mso-position-vertical-relative:page" filled="f" stroked="f">
          <v:textbox inset="0,0,0,0">
            <w:txbxContent>
              <w:p w14:paraId="51DEAD8B" w14:textId="77777777" w:rsidR="0010369C" w:rsidRDefault="008E43AE">
                <w:pPr>
                  <w:spacing w:line="244" w:lineRule="exact"/>
                  <w:ind w:left="20"/>
                </w:pPr>
                <w:r>
                  <w:t>Business</w:t>
                </w:r>
                <w:r>
                  <w:rPr>
                    <w:spacing w:val="-9"/>
                  </w:rPr>
                  <w:t xml:space="preserve"> </w:t>
                </w:r>
                <w:r>
                  <w:t>Confidential</w:t>
                </w:r>
                <w:r>
                  <w:rPr>
                    <w:spacing w:val="-7"/>
                  </w:rPr>
                  <w:t xml:space="preserve"> </w:t>
                </w:r>
                <w:r>
                  <w:t>Information</w:t>
                </w:r>
                <w:r>
                  <w:rPr>
                    <w:spacing w:val="-9"/>
                  </w:rPr>
                  <w:t xml:space="preserve"> </w:t>
                </w:r>
                <w:r>
                  <w:t>‐</w:t>
                </w:r>
                <w:r>
                  <w:rPr>
                    <w:spacing w:val="-7"/>
                  </w:rPr>
                  <w:t xml:space="preserve"> </w:t>
                </w:r>
                <w:r>
                  <w:rPr>
                    <w:spacing w:val="-2"/>
                  </w:rPr>
                  <w:t>REDACTED</w:t>
                </w:r>
              </w:p>
            </w:txbxContent>
          </v:textbox>
          <w10:wrap anchorx="page" anchory="page"/>
        </v:shape>
      </w:pict>
    </w:r>
  </w:p>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DEAA99" w14:textId="77777777" w:rsidR="0010369C" w:rsidRDefault="008E43AE">
    <w:pPr>
      <w:pStyle w:val="BodyText"/>
      <w:spacing w:line="14" w:lineRule="auto"/>
      <w:rPr>
        <w:sz w:val="20"/>
      </w:rPr>
    </w:pPr>
    <w:r>
      <w:pict w14:anchorId="51DEABF9">
        <v:shape id="docshape1444" o:spid="_x0000_s2069" style="position:absolute;margin-left:65pt;margin-top:28.45pt;width:461.4pt;height:16.3pt;z-index:-25119232;mso-position-horizontal-relative:page;mso-position-vertical-relative:page" coordorigin="1300,569" coordsize="9228,326" o:spt="100" adj="0,,0" path="m10528,578r-10,l10518,884r-9209,l1309,578r-9,l1300,884r,10l1309,894r9209,l10528,894r,-10l10528,578xm10528,569r-10,l1309,569r-9,l1300,578r9,l10518,578r10,l10528,569xe" fillcolor="black" stroked="f">
          <v:stroke joinstyle="round"/>
          <v:formulas/>
          <v:path arrowok="t" o:connecttype="segments"/>
          <w10:wrap anchorx="page" anchory="page"/>
        </v:shape>
      </w:pict>
    </w:r>
    <w:r>
      <w:pict w14:anchorId="51DEABFA">
        <v:shapetype id="_x0000_t202" coordsize="21600,21600" o:spt="202" path="m,l,21600r21600,l21600,xe">
          <v:stroke joinstyle="miter"/>
          <v:path gradientshapeok="t" o:connecttype="rect"/>
        </v:shapetype>
        <v:shape id="docshape1445" o:spid="_x0000_s2068" type="#_x0000_t202" style="position:absolute;margin-left:193pt;margin-top:31.15pt;width:209.35pt;height:13pt;z-index:-25118720;mso-position-horizontal-relative:page;mso-position-vertical-relative:page" filled="f" stroked="f">
          <v:textbox inset="0,0,0,0">
            <w:txbxContent>
              <w:p w14:paraId="51DEAD8D" w14:textId="77777777" w:rsidR="0010369C" w:rsidRDefault="008E43AE">
                <w:pPr>
                  <w:spacing w:line="244" w:lineRule="exact"/>
                  <w:ind w:left="20"/>
                </w:pPr>
                <w:r>
                  <w:t>Business</w:t>
                </w:r>
                <w:r>
                  <w:rPr>
                    <w:spacing w:val="-9"/>
                  </w:rPr>
                  <w:t xml:space="preserve"> </w:t>
                </w:r>
                <w:r>
                  <w:t>Confidential</w:t>
                </w:r>
                <w:r>
                  <w:rPr>
                    <w:spacing w:val="-7"/>
                  </w:rPr>
                  <w:t xml:space="preserve"> </w:t>
                </w:r>
                <w:r>
                  <w:t>Information</w:t>
                </w:r>
                <w:r>
                  <w:rPr>
                    <w:spacing w:val="-9"/>
                  </w:rPr>
                  <w:t xml:space="preserve"> </w:t>
                </w:r>
                <w:r>
                  <w:t>‐</w:t>
                </w:r>
                <w:r>
                  <w:rPr>
                    <w:spacing w:val="-7"/>
                  </w:rPr>
                  <w:t xml:space="preserve"> </w:t>
                </w:r>
                <w:r>
                  <w:rPr>
                    <w:spacing w:val="-2"/>
                  </w:rPr>
                  <w:t>REDACTED</w:t>
                </w:r>
              </w:p>
            </w:txbxContent>
          </v:textbox>
          <w10:wrap anchorx="page" anchory="page"/>
        </v:shape>
      </w:pict>
    </w:r>
    <w:r>
      <w:pict w14:anchorId="51DEABFB">
        <v:shape id="docshape1446" o:spid="_x0000_s2067" type="#_x0000_t202" style="position:absolute;margin-left:69.9pt;margin-top:45.7pt;width:233.3pt;height:12.05pt;z-index:-25118208;mso-position-horizontal-relative:page;mso-position-vertical-relative:page" filled="f" stroked="f">
          <v:textbox inset="0,0,0,0">
            <w:txbxContent>
              <w:p w14:paraId="51DEAD8E" w14:textId="77777777" w:rsidR="0010369C" w:rsidRDefault="008E43AE">
                <w:pPr>
                  <w:spacing w:line="224" w:lineRule="exact"/>
                  <w:ind w:left="20"/>
                  <w:rPr>
                    <w:i/>
                    <w:sz w:val="20"/>
                  </w:rPr>
                </w:pPr>
                <w:r>
                  <w:rPr>
                    <w:i/>
                    <w:sz w:val="20"/>
                  </w:rPr>
                  <w:t>China</w:t>
                </w:r>
                <w:r>
                  <w:rPr>
                    <w:i/>
                    <w:spacing w:val="-5"/>
                    <w:sz w:val="20"/>
                  </w:rPr>
                  <w:t xml:space="preserve"> </w:t>
                </w:r>
                <w:r>
                  <w:rPr>
                    <w:i/>
                    <w:sz w:val="20"/>
                  </w:rPr>
                  <w:t>–</w:t>
                </w:r>
                <w:r>
                  <w:rPr>
                    <w:i/>
                    <w:spacing w:val="-5"/>
                    <w:sz w:val="20"/>
                  </w:rPr>
                  <w:t xml:space="preserve"> </w:t>
                </w:r>
                <w:r>
                  <w:rPr>
                    <w:i/>
                    <w:sz w:val="20"/>
                  </w:rPr>
                  <w:t>Anti‐Dumping</w:t>
                </w:r>
                <w:r>
                  <w:rPr>
                    <w:i/>
                    <w:spacing w:val="-4"/>
                    <w:sz w:val="20"/>
                  </w:rPr>
                  <w:t xml:space="preserve"> </w:t>
                </w:r>
                <w:r>
                  <w:rPr>
                    <w:i/>
                    <w:sz w:val="20"/>
                  </w:rPr>
                  <w:t>and</w:t>
                </w:r>
                <w:r>
                  <w:rPr>
                    <w:i/>
                    <w:spacing w:val="-5"/>
                    <w:sz w:val="20"/>
                  </w:rPr>
                  <w:t xml:space="preserve"> </w:t>
                </w:r>
                <w:r>
                  <w:rPr>
                    <w:i/>
                    <w:sz w:val="20"/>
                  </w:rPr>
                  <w:t>Countervailing</w:t>
                </w:r>
                <w:r>
                  <w:rPr>
                    <w:i/>
                    <w:spacing w:val="-5"/>
                    <w:sz w:val="20"/>
                  </w:rPr>
                  <w:t xml:space="preserve"> </w:t>
                </w:r>
                <w:r>
                  <w:rPr>
                    <w:i/>
                    <w:sz w:val="20"/>
                  </w:rPr>
                  <w:t>Duty</w:t>
                </w:r>
                <w:r>
                  <w:rPr>
                    <w:i/>
                    <w:spacing w:val="-4"/>
                    <w:sz w:val="20"/>
                  </w:rPr>
                  <w:t xml:space="preserve"> </w:t>
                </w:r>
                <w:r>
                  <w:rPr>
                    <w:i/>
                    <w:spacing w:val="-2"/>
                    <w:sz w:val="20"/>
                  </w:rPr>
                  <w:t>Measures</w:t>
                </w:r>
              </w:p>
            </w:txbxContent>
          </v:textbox>
          <w10:wrap anchorx="page" anchory="page"/>
        </v:shape>
      </w:pict>
    </w:r>
    <w:r>
      <w:pict w14:anchorId="51DEABFC">
        <v:shape id="docshape1447" o:spid="_x0000_s2066" type="#_x0000_t202" style="position:absolute;margin-left:379.3pt;margin-top:45.7pt;width:146.05pt;height:12.05pt;z-index:-25117696;mso-position-horizontal-relative:page;mso-position-vertical-relative:page" filled="f" stroked="f">
          <v:textbox inset="0,0,0,0">
            <w:txbxContent>
              <w:p w14:paraId="51DEAD8F" w14:textId="77777777" w:rsidR="0010369C" w:rsidRDefault="008E43AE">
                <w:pPr>
                  <w:spacing w:line="224" w:lineRule="exact"/>
                  <w:ind w:left="20"/>
                  <w:rPr>
                    <w:sz w:val="20"/>
                  </w:rPr>
                </w:pPr>
                <w:r>
                  <w:rPr>
                    <w:sz w:val="20"/>
                  </w:rPr>
                  <w:t>Australia's</w:t>
                </w:r>
                <w:r>
                  <w:rPr>
                    <w:spacing w:val="-5"/>
                    <w:sz w:val="20"/>
                  </w:rPr>
                  <w:t xml:space="preserve"> </w:t>
                </w:r>
                <w:r>
                  <w:rPr>
                    <w:sz w:val="20"/>
                  </w:rPr>
                  <w:t>First</w:t>
                </w:r>
                <w:r>
                  <w:rPr>
                    <w:spacing w:val="-2"/>
                    <w:sz w:val="20"/>
                  </w:rPr>
                  <w:t xml:space="preserve"> </w:t>
                </w:r>
                <w:r>
                  <w:rPr>
                    <w:sz w:val="20"/>
                  </w:rPr>
                  <w:t>Written</w:t>
                </w:r>
                <w:r>
                  <w:rPr>
                    <w:spacing w:val="-2"/>
                    <w:sz w:val="20"/>
                  </w:rPr>
                  <w:t xml:space="preserve"> Submission</w:t>
                </w:r>
              </w:p>
            </w:txbxContent>
          </v:textbox>
          <w10:wrap anchorx="page" anchory="page"/>
        </v:shape>
      </w:pict>
    </w:r>
  </w:p>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DEAA9B" w14:textId="77777777" w:rsidR="0010369C" w:rsidRDefault="008E43AE">
    <w:pPr>
      <w:pStyle w:val="BodyText"/>
      <w:spacing w:line="14" w:lineRule="auto"/>
      <w:rPr>
        <w:sz w:val="20"/>
      </w:rPr>
    </w:pPr>
    <w:r>
      <w:pict w14:anchorId="51DEABFE">
        <v:shape id="docshape1454" o:spid="_x0000_s2064" style="position:absolute;margin-left:65pt;margin-top:28.45pt;width:461.4pt;height:16.3pt;z-index:-25116672;mso-position-horizontal-relative:page;mso-position-vertical-relative:page" coordorigin="1300,569" coordsize="9228,326" o:spt="100" adj="0,,0" path="m10528,578r-10,l10518,884r-9209,l1309,578r-9,l1300,884r,10l1309,894r9209,l10528,894r,-10l10528,578xm10528,569r-10,l1309,569r-9,l1300,578r9,l10518,578r10,l10528,569xe" fillcolor="black" stroked="f">
          <v:stroke joinstyle="round"/>
          <v:formulas/>
          <v:path arrowok="t" o:connecttype="segments"/>
          <w10:wrap anchorx="page" anchory="page"/>
        </v:shape>
      </w:pict>
    </w:r>
    <w:r>
      <w:pict w14:anchorId="51DEABFF">
        <v:shapetype id="_x0000_t202" coordsize="21600,21600" o:spt="202" path="m,l,21600r21600,l21600,xe">
          <v:stroke joinstyle="miter"/>
          <v:path gradientshapeok="t" o:connecttype="rect"/>
        </v:shapetype>
        <v:shape id="docshape1455" o:spid="_x0000_s2063" type="#_x0000_t202" style="position:absolute;margin-left:193pt;margin-top:31.15pt;width:209.35pt;height:13pt;z-index:-25116160;mso-position-horizontal-relative:page;mso-position-vertical-relative:page" filled="f" stroked="f">
          <v:textbox inset="0,0,0,0">
            <w:txbxContent>
              <w:p w14:paraId="51DEAD91" w14:textId="77777777" w:rsidR="0010369C" w:rsidRDefault="008E43AE">
                <w:pPr>
                  <w:spacing w:line="244" w:lineRule="exact"/>
                  <w:ind w:left="20"/>
                </w:pPr>
                <w:r>
                  <w:t>Business</w:t>
                </w:r>
                <w:r>
                  <w:rPr>
                    <w:spacing w:val="-9"/>
                  </w:rPr>
                  <w:t xml:space="preserve"> </w:t>
                </w:r>
                <w:r>
                  <w:t>Confidential</w:t>
                </w:r>
                <w:r>
                  <w:rPr>
                    <w:spacing w:val="-7"/>
                  </w:rPr>
                  <w:t xml:space="preserve"> </w:t>
                </w:r>
                <w:r>
                  <w:t>Information</w:t>
                </w:r>
                <w:r>
                  <w:rPr>
                    <w:spacing w:val="-9"/>
                  </w:rPr>
                  <w:t xml:space="preserve"> </w:t>
                </w:r>
                <w:r>
                  <w:t>‐</w:t>
                </w:r>
                <w:r>
                  <w:rPr>
                    <w:spacing w:val="-7"/>
                  </w:rPr>
                  <w:t xml:space="preserve"> </w:t>
                </w:r>
                <w:r>
                  <w:rPr>
                    <w:spacing w:val="-2"/>
                  </w:rPr>
                  <w:t>REDACTED</w:t>
                </w:r>
              </w:p>
            </w:txbxContent>
          </v:textbox>
          <w10:wrap anchorx="page" anchory="page"/>
        </v:shape>
      </w:pict>
    </w:r>
  </w:p>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DEAA9D" w14:textId="77777777" w:rsidR="0010369C" w:rsidRDefault="008E43AE">
    <w:pPr>
      <w:pStyle w:val="BodyText"/>
      <w:spacing w:line="14" w:lineRule="auto"/>
      <w:rPr>
        <w:sz w:val="20"/>
      </w:rPr>
    </w:pPr>
    <w:r>
      <w:pict w14:anchorId="51DEAC01">
        <v:shape id="docshape1485" o:spid="_x0000_s2061" style="position:absolute;margin-left:65pt;margin-top:28.45pt;width:461.4pt;height:16.3pt;z-index:-25115136;mso-position-horizontal-relative:page;mso-position-vertical-relative:page" coordorigin="1300,569" coordsize="9228,326" o:spt="100" adj="0,,0" path="m10528,578r-10,l10518,884r-9209,l1309,578r-9,l1300,884r,10l1309,894r9209,l10528,894r,-10l10528,578xm10528,569r-10,l1309,569r-9,l1300,578r9,l10518,578r10,l10528,569xe" fillcolor="black" stroked="f">
          <v:stroke joinstyle="round"/>
          <v:formulas/>
          <v:path arrowok="t" o:connecttype="segments"/>
          <w10:wrap anchorx="page" anchory="page"/>
        </v:shape>
      </w:pict>
    </w:r>
    <w:r>
      <w:pict w14:anchorId="51DEAC02">
        <v:shapetype id="_x0000_t202" coordsize="21600,21600" o:spt="202" path="m,l,21600r21600,l21600,xe">
          <v:stroke joinstyle="miter"/>
          <v:path gradientshapeok="t" o:connecttype="rect"/>
        </v:shapetype>
        <v:shape id="docshape1486" o:spid="_x0000_s2060" type="#_x0000_t202" style="position:absolute;margin-left:193pt;margin-top:31.15pt;width:209.35pt;height:13pt;z-index:-25114624;mso-position-horizontal-relative:page;mso-position-vertical-relative:page" filled="f" stroked="f">
          <v:textbox inset="0,0,0,0">
            <w:txbxContent>
              <w:p w14:paraId="51DEAD93" w14:textId="77777777" w:rsidR="0010369C" w:rsidRDefault="008E43AE">
                <w:pPr>
                  <w:spacing w:line="244" w:lineRule="exact"/>
                  <w:ind w:left="20"/>
                </w:pPr>
                <w:r>
                  <w:t>Business</w:t>
                </w:r>
                <w:r>
                  <w:rPr>
                    <w:spacing w:val="-9"/>
                  </w:rPr>
                  <w:t xml:space="preserve"> </w:t>
                </w:r>
                <w:r>
                  <w:t>Confidential</w:t>
                </w:r>
                <w:r>
                  <w:rPr>
                    <w:spacing w:val="-7"/>
                  </w:rPr>
                  <w:t xml:space="preserve"> </w:t>
                </w:r>
                <w:r>
                  <w:t>Information</w:t>
                </w:r>
                <w:r>
                  <w:rPr>
                    <w:spacing w:val="-9"/>
                  </w:rPr>
                  <w:t xml:space="preserve"> </w:t>
                </w:r>
                <w:r>
                  <w:t>‐</w:t>
                </w:r>
                <w:r>
                  <w:rPr>
                    <w:spacing w:val="-7"/>
                  </w:rPr>
                  <w:t xml:space="preserve"> </w:t>
                </w:r>
                <w:r>
                  <w:rPr>
                    <w:spacing w:val="-2"/>
                  </w:rPr>
                  <w:t>REDACTED</w:t>
                </w:r>
              </w:p>
            </w:txbxContent>
          </v:textbox>
          <w10:wrap anchorx="page" anchory="page"/>
        </v:shape>
      </w:pict>
    </w:r>
    <w:r>
      <w:pict w14:anchorId="51DEAC03">
        <v:shape id="docshape1487" o:spid="_x0000_s2059" type="#_x0000_t202" style="position:absolute;margin-left:69.9pt;margin-top:45.7pt;width:233.3pt;height:12.05pt;z-index:-25114112;mso-position-horizontal-relative:page;mso-position-vertical-relative:page" filled="f" stroked="f">
          <v:textbox inset="0,0,0,0">
            <w:txbxContent>
              <w:p w14:paraId="51DEAD94" w14:textId="77777777" w:rsidR="0010369C" w:rsidRDefault="008E43AE">
                <w:pPr>
                  <w:spacing w:line="224" w:lineRule="exact"/>
                  <w:ind w:left="20"/>
                  <w:rPr>
                    <w:i/>
                    <w:sz w:val="20"/>
                  </w:rPr>
                </w:pPr>
                <w:r>
                  <w:rPr>
                    <w:i/>
                    <w:sz w:val="20"/>
                  </w:rPr>
                  <w:t>China</w:t>
                </w:r>
                <w:r>
                  <w:rPr>
                    <w:i/>
                    <w:spacing w:val="-5"/>
                    <w:sz w:val="20"/>
                  </w:rPr>
                  <w:t xml:space="preserve"> </w:t>
                </w:r>
                <w:r>
                  <w:rPr>
                    <w:i/>
                    <w:sz w:val="20"/>
                  </w:rPr>
                  <w:t>–</w:t>
                </w:r>
                <w:r>
                  <w:rPr>
                    <w:i/>
                    <w:spacing w:val="-5"/>
                    <w:sz w:val="20"/>
                  </w:rPr>
                  <w:t xml:space="preserve"> </w:t>
                </w:r>
                <w:r>
                  <w:rPr>
                    <w:i/>
                    <w:sz w:val="20"/>
                  </w:rPr>
                  <w:t>Anti‐Dumping</w:t>
                </w:r>
                <w:r>
                  <w:rPr>
                    <w:i/>
                    <w:spacing w:val="-4"/>
                    <w:sz w:val="20"/>
                  </w:rPr>
                  <w:t xml:space="preserve"> </w:t>
                </w:r>
                <w:r>
                  <w:rPr>
                    <w:i/>
                    <w:sz w:val="20"/>
                  </w:rPr>
                  <w:t>and</w:t>
                </w:r>
                <w:r>
                  <w:rPr>
                    <w:i/>
                    <w:spacing w:val="-5"/>
                    <w:sz w:val="20"/>
                  </w:rPr>
                  <w:t xml:space="preserve"> </w:t>
                </w:r>
                <w:r>
                  <w:rPr>
                    <w:i/>
                    <w:sz w:val="20"/>
                  </w:rPr>
                  <w:t>Countervailing</w:t>
                </w:r>
                <w:r>
                  <w:rPr>
                    <w:i/>
                    <w:spacing w:val="-5"/>
                    <w:sz w:val="20"/>
                  </w:rPr>
                  <w:t xml:space="preserve"> </w:t>
                </w:r>
                <w:r>
                  <w:rPr>
                    <w:i/>
                    <w:sz w:val="20"/>
                  </w:rPr>
                  <w:t>Duty</w:t>
                </w:r>
                <w:r>
                  <w:rPr>
                    <w:i/>
                    <w:spacing w:val="-4"/>
                    <w:sz w:val="20"/>
                  </w:rPr>
                  <w:t xml:space="preserve"> </w:t>
                </w:r>
                <w:r>
                  <w:rPr>
                    <w:i/>
                    <w:spacing w:val="-2"/>
                    <w:sz w:val="20"/>
                  </w:rPr>
                  <w:t>Measures</w:t>
                </w:r>
              </w:p>
            </w:txbxContent>
          </v:textbox>
          <w10:wrap anchorx="page" anchory="page"/>
        </v:shape>
      </w:pict>
    </w:r>
    <w:r>
      <w:pict w14:anchorId="51DEAC04">
        <v:shape id="docshape1488" o:spid="_x0000_s2058" type="#_x0000_t202" style="position:absolute;margin-left:379.3pt;margin-top:45.7pt;width:146.05pt;height:12.05pt;z-index:-25113600;mso-position-horizontal-relative:page;mso-position-vertical-relative:page" filled="f" stroked="f">
          <v:textbox inset="0,0,0,0">
            <w:txbxContent>
              <w:p w14:paraId="51DEAD95" w14:textId="77777777" w:rsidR="0010369C" w:rsidRDefault="008E43AE">
                <w:pPr>
                  <w:spacing w:line="224" w:lineRule="exact"/>
                  <w:ind w:left="20"/>
                  <w:rPr>
                    <w:sz w:val="20"/>
                  </w:rPr>
                </w:pPr>
                <w:r>
                  <w:rPr>
                    <w:sz w:val="20"/>
                  </w:rPr>
                  <w:t>Australia's</w:t>
                </w:r>
                <w:r>
                  <w:rPr>
                    <w:spacing w:val="-5"/>
                    <w:sz w:val="20"/>
                  </w:rPr>
                  <w:t xml:space="preserve"> </w:t>
                </w:r>
                <w:r>
                  <w:rPr>
                    <w:sz w:val="20"/>
                  </w:rPr>
                  <w:t>First</w:t>
                </w:r>
                <w:r>
                  <w:rPr>
                    <w:spacing w:val="-2"/>
                    <w:sz w:val="20"/>
                  </w:rPr>
                  <w:t xml:space="preserve"> </w:t>
                </w:r>
                <w:r>
                  <w:rPr>
                    <w:sz w:val="20"/>
                  </w:rPr>
                  <w:t>Written</w:t>
                </w:r>
                <w:r>
                  <w:rPr>
                    <w:spacing w:val="-2"/>
                    <w:sz w:val="20"/>
                  </w:rPr>
                  <w:t xml:space="preserve"> Submission</w:t>
                </w:r>
              </w:p>
            </w:txbxContent>
          </v:textbox>
          <w10:wrap anchorx="page" anchory="page"/>
        </v:shape>
      </w:pict>
    </w:r>
  </w:p>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DEAA9F" w14:textId="77777777" w:rsidR="0010369C" w:rsidRDefault="008E43AE">
    <w:pPr>
      <w:pStyle w:val="BodyText"/>
      <w:spacing w:line="14" w:lineRule="auto"/>
      <w:rPr>
        <w:sz w:val="20"/>
      </w:rPr>
    </w:pPr>
    <w:r>
      <w:pict w14:anchorId="51DEAC06">
        <v:shape id="docshape1493" o:spid="_x0000_s2056" style="position:absolute;margin-left:65pt;margin-top:28.45pt;width:461.4pt;height:16.3pt;z-index:-25112576;mso-position-horizontal-relative:page;mso-position-vertical-relative:page" coordorigin="1300,569" coordsize="9228,326" o:spt="100" adj="0,,0" path="m10528,578r-10,l10518,884r-9209,l1309,578r-9,l1300,884r,10l1309,894r9209,l10528,894r,-10l10528,578xm10528,569r-10,l1309,569r-9,l1300,578r9,l10518,578r10,l10528,569xe" fillcolor="black" stroked="f">
          <v:stroke joinstyle="round"/>
          <v:formulas/>
          <v:path arrowok="t" o:connecttype="segments"/>
          <w10:wrap anchorx="page" anchory="page"/>
        </v:shape>
      </w:pict>
    </w:r>
    <w:r>
      <w:pict w14:anchorId="51DEAC07">
        <v:shapetype id="_x0000_t202" coordsize="21600,21600" o:spt="202" path="m,l,21600r21600,l21600,xe">
          <v:stroke joinstyle="miter"/>
          <v:path gradientshapeok="t" o:connecttype="rect"/>
        </v:shapetype>
        <v:shape id="docshape1494" o:spid="_x0000_s2055" type="#_x0000_t202" style="position:absolute;margin-left:193pt;margin-top:31.15pt;width:209.35pt;height:13pt;z-index:-25112064;mso-position-horizontal-relative:page;mso-position-vertical-relative:page" filled="f" stroked="f">
          <v:textbox inset="0,0,0,0">
            <w:txbxContent>
              <w:p w14:paraId="51DEAD97" w14:textId="77777777" w:rsidR="0010369C" w:rsidRDefault="008E43AE">
                <w:pPr>
                  <w:spacing w:line="244" w:lineRule="exact"/>
                  <w:ind w:left="20"/>
                </w:pPr>
                <w:r>
                  <w:t>Business</w:t>
                </w:r>
                <w:r>
                  <w:rPr>
                    <w:spacing w:val="-9"/>
                  </w:rPr>
                  <w:t xml:space="preserve"> </w:t>
                </w:r>
                <w:r>
                  <w:t>Confidential</w:t>
                </w:r>
                <w:r>
                  <w:rPr>
                    <w:spacing w:val="-7"/>
                  </w:rPr>
                  <w:t xml:space="preserve"> </w:t>
                </w:r>
                <w:r>
                  <w:t>Information</w:t>
                </w:r>
                <w:r>
                  <w:rPr>
                    <w:spacing w:val="-9"/>
                  </w:rPr>
                  <w:t xml:space="preserve"> </w:t>
                </w:r>
                <w:r>
                  <w:t>‐</w:t>
                </w:r>
                <w:r>
                  <w:rPr>
                    <w:spacing w:val="-7"/>
                  </w:rPr>
                  <w:t xml:space="preserve"> </w:t>
                </w:r>
                <w:r>
                  <w:rPr>
                    <w:spacing w:val="-2"/>
                  </w:rPr>
                  <w:t>REDACTED</w:t>
                </w:r>
              </w:p>
            </w:txbxContent>
          </v:textbox>
          <w10:wrap anchorx="page" anchory="page"/>
        </v:shape>
      </w:pict>
    </w:r>
  </w:p>
</w:hdr>
</file>

<file path=word/header1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DEAAA1" w14:textId="77777777" w:rsidR="0010369C" w:rsidRDefault="008E43AE">
    <w:pPr>
      <w:pStyle w:val="BodyText"/>
      <w:spacing w:line="14" w:lineRule="auto"/>
      <w:rPr>
        <w:sz w:val="20"/>
      </w:rPr>
    </w:pPr>
    <w:r>
      <w:pict w14:anchorId="51DEAC09">
        <v:shape id="docshape1498" o:spid="_x0000_s2053" style="position:absolute;margin-left:65pt;margin-top:28.45pt;width:461.4pt;height:16.3pt;z-index:-25111040;mso-position-horizontal-relative:page;mso-position-vertical-relative:page" coordorigin="1300,569" coordsize="9228,326" o:spt="100" adj="0,,0" path="m10528,578r-10,l10518,884r-9209,l1309,578r-9,l1300,884r,10l1309,894r9209,l10528,894r,-10l10528,578xm10528,569r-10,l1309,569r-9,l1300,578r9,l10518,578r10,l10528,569xe" fillcolor="black" stroked="f">
          <v:stroke joinstyle="round"/>
          <v:formulas/>
          <v:path arrowok="t" o:connecttype="segments"/>
          <w10:wrap anchorx="page" anchory="page"/>
        </v:shape>
      </w:pict>
    </w:r>
    <w:r>
      <w:pict w14:anchorId="51DEAC0A">
        <v:shapetype id="_x0000_t202" coordsize="21600,21600" o:spt="202" path="m,l,21600r21600,l21600,xe">
          <v:stroke joinstyle="miter"/>
          <v:path gradientshapeok="t" o:connecttype="rect"/>
        </v:shapetype>
        <v:shape id="docshape1499" o:spid="_x0000_s2052" type="#_x0000_t202" style="position:absolute;margin-left:193pt;margin-top:31.15pt;width:209.35pt;height:13pt;z-index:-25110528;mso-position-horizontal-relative:page;mso-position-vertical-relative:page" filled="f" stroked="f">
          <v:textbox inset="0,0,0,0">
            <w:txbxContent>
              <w:p w14:paraId="51DEAD99" w14:textId="77777777" w:rsidR="0010369C" w:rsidRDefault="008E43AE">
                <w:pPr>
                  <w:spacing w:line="244" w:lineRule="exact"/>
                  <w:ind w:left="20"/>
                </w:pPr>
                <w:r>
                  <w:t>Business</w:t>
                </w:r>
                <w:r>
                  <w:rPr>
                    <w:spacing w:val="-9"/>
                  </w:rPr>
                  <w:t xml:space="preserve"> </w:t>
                </w:r>
                <w:r>
                  <w:t>Confidential</w:t>
                </w:r>
                <w:r>
                  <w:rPr>
                    <w:spacing w:val="-7"/>
                  </w:rPr>
                  <w:t xml:space="preserve"> </w:t>
                </w:r>
                <w:r>
                  <w:t>Information</w:t>
                </w:r>
                <w:r>
                  <w:rPr>
                    <w:spacing w:val="-9"/>
                  </w:rPr>
                  <w:t xml:space="preserve"> </w:t>
                </w:r>
                <w:r>
                  <w:t>‐</w:t>
                </w:r>
                <w:r>
                  <w:rPr>
                    <w:spacing w:val="-7"/>
                  </w:rPr>
                  <w:t xml:space="preserve"> </w:t>
                </w:r>
                <w:r>
                  <w:rPr>
                    <w:spacing w:val="-2"/>
                  </w:rPr>
                  <w:t>REDACTED</w:t>
                </w:r>
              </w:p>
            </w:txbxContent>
          </v:textbox>
          <w10:wrap anchorx="page" anchory="page"/>
        </v:shape>
      </w:pict>
    </w:r>
  </w:p>
</w:hdr>
</file>

<file path=word/header1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DEAAA3" w14:textId="77777777" w:rsidR="0010369C" w:rsidRDefault="0010369C">
    <w:pPr>
      <w:pStyle w:val="BodyText"/>
      <w:spacing w:line="14" w:lineRule="auto"/>
      <w:rPr>
        <w:sz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DEA9CD" w14:textId="77777777" w:rsidR="0010369C" w:rsidRDefault="008E43AE">
    <w:pPr>
      <w:pStyle w:val="BodyText"/>
      <w:spacing w:line="14" w:lineRule="auto"/>
      <w:rPr>
        <w:sz w:val="20"/>
      </w:rPr>
    </w:pPr>
    <w:r>
      <w:pict w14:anchorId="51DEAAB9">
        <v:shape id="docshape67" o:spid="_x0000_s2389" style="position:absolute;margin-left:65pt;margin-top:28.45pt;width:461.4pt;height:16.3pt;z-index:-25283072;mso-position-horizontal-relative:page;mso-position-vertical-relative:page" coordorigin="1300,569" coordsize="9228,326" o:spt="100" adj="0,,0" path="m10528,578r-10,l10518,884r-9209,l1309,578r-9,l1300,884r,10l1309,894r9209,l10528,894r,-10l10528,578xm10528,569r-10,l1309,569r-9,l1300,578r9,l10518,578r10,l10528,569xe" fillcolor="black" stroked="f">
          <v:stroke joinstyle="round"/>
          <v:formulas/>
          <v:path arrowok="t" o:connecttype="segments"/>
          <w10:wrap anchorx="page" anchory="page"/>
        </v:shape>
      </w:pict>
    </w:r>
    <w:r>
      <w:pict w14:anchorId="51DEAABA">
        <v:shapetype id="_x0000_t202" coordsize="21600,21600" o:spt="202" path="m,l,21600r21600,l21600,xe">
          <v:stroke joinstyle="miter"/>
          <v:path gradientshapeok="t" o:connecttype="rect"/>
        </v:shapetype>
        <v:shape id="docshape68" o:spid="_x0000_s2388" type="#_x0000_t202" style="position:absolute;margin-left:193pt;margin-top:31.15pt;width:209.35pt;height:13pt;z-index:-25282560;mso-position-horizontal-relative:page;mso-position-vertical-relative:page" filled="f" stroked="f">
          <v:textbox inset="0,0,0,0">
            <w:txbxContent>
              <w:p w14:paraId="51DEACB6" w14:textId="77777777" w:rsidR="0010369C" w:rsidRDefault="008E43AE">
                <w:pPr>
                  <w:spacing w:line="244" w:lineRule="exact"/>
                  <w:ind w:left="20"/>
                </w:pPr>
                <w:r>
                  <w:t>Business</w:t>
                </w:r>
                <w:r>
                  <w:rPr>
                    <w:spacing w:val="-9"/>
                  </w:rPr>
                  <w:t xml:space="preserve"> </w:t>
                </w:r>
                <w:r>
                  <w:t>Confidential</w:t>
                </w:r>
                <w:r>
                  <w:rPr>
                    <w:spacing w:val="-7"/>
                  </w:rPr>
                  <w:t xml:space="preserve"> </w:t>
                </w:r>
                <w:r>
                  <w:t>Information</w:t>
                </w:r>
                <w:r>
                  <w:rPr>
                    <w:spacing w:val="-9"/>
                  </w:rPr>
                  <w:t xml:space="preserve"> </w:t>
                </w:r>
                <w:r>
                  <w:t>‐</w:t>
                </w:r>
                <w:r>
                  <w:rPr>
                    <w:spacing w:val="-7"/>
                  </w:rPr>
                  <w:t xml:space="preserve"> </w:t>
                </w:r>
                <w:r>
                  <w:rPr>
                    <w:spacing w:val="-2"/>
                  </w:rPr>
                  <w:t>REDACTED</w:t>
                </w:r>
              </w:p>
            </w:txbxContent>
          </v:textbox>
          <w10:wrap anchorx="page" anchory="page"/>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DEA9CF" w14:textId="77777777" w:rsidR="0010369C" w:rsidRDefault="0010369C">
    <w:pPr>
      <w:pStyle w:val="BodyText"/>
      <w:spacing w:line="14" w:lineRule="auto"/>
      <w:rPr>
        <w:sz w:val="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DEA9D1" w14:textId="77777777" w:rsidR="0010369C" w:rsidRDefault="008E43AE">
    <w:pPr>
      <w:pStyle w:val="BodyText"/>
      <w:spacing w:line="14" w:lineRule="auto"/>
      <w:rPr>
        <w:sz w:val="20"/>
      </w:rPr>
    </w:pPr>
    <w:r>
      <w:pict w14:anchorId="51DEAABE">
        <v:shape id="docshape78" o:spid="_x0000_s2384" style="position:absolute;margin-left:65pt;margin-top:28.45pt;width:461.4pt;height:16.3pt;z-index:-25280512;mso-position-horizontal-relative:page;mso-position-vertical-relative:page" coordorigin="1300,569" coordsize="9228,326" o:spt="100" adj="0,,0" path="m10528,578r-10,l10518,884r-9209,l1309,578r-9,l1300,884r,10l1309,894r9209,l10528,894r,-10l10528,578xm10528,569r-10,l1309,569r-9,l1300,578r9,l10518,578r10,l10528,569xe" fillcolor="black" stroked="f">
          <v:stroke joinstyle="round"/>
          <v:formulas/>
          <v:path arrowok="t" o:connecttype="segments"/>
          <w10:wrap anchorx="page" anchory="page"/>
        </v:shape>
      </w:pict>
    </w:r>
    <w:r>
      <w:pict w14:anchorId="51DEAABF">
        <v:shapetype id="_x0000_t202" coordsize="21600,21600" o:spt="202" path="m,l,21600r21600,l21600,xe">
          <v:stroke joinstyle="miter"/>
          <v:path gradientshapeok="t" o:connecttype="rect"/>
        </v:shapetype>
        <v:shape id="docshape79" o:spid="_x0000_s2383" type="#_x0000_t202" style="position:absolute;margin-left:193pt;margin-top:31.15pt;width:209.35pt;height:13pt;z-index:-25280000;mso-position-horizontal-relative:page;mso-position-vertical-relative:page" filled="f" stroked="f">
          <v:textbox inset="0,0,0,0">
            <w:txbxContent>
              <w:p w14:paraId="51DEACB9" w14:textId="77777777" w:rsidR="0010369C" w:rsidRDefault="008E43AE">
                <w:pPr>
                  <w:spacing w:line="244" w:lineRule="exact"/>
                  <w:ind w:left="20"/>
                </w:pPr>
                <w:r>
                  <w:t>Business</w:t>
                </w:r>
                <w:r>
                  <w:rPr>
                    <w:spacing w:val="-9"/>
                  </w:rPr>
                  <w:t xml:space="preserve"> </w:t>
                </w:r>
                <w:r>
                  <w:t>Confidential</w:t>
                </w:r>
                <w:r>
                  <w:rPr>
                    <w:spacing w:val="-7"/>
                  </w:rPr>
                  <w:t xml:space="preserve"> </w:t>
                </w:r>
                <w:r>
                  <w:t>Information</w:t>
                </w:r>
                <w:r>
                  <w:rPr>
                    <w:spacing w:val="-9"/>
                  </w:rPr>
                  <w:t xml:space="preserve"> </w:t>
                </w:r>
                <w:r>
                  <w:t>‐</w:t>
                </w:r>
                <w:r>
                  <w:rPr>
                    <w:spacing w:val="-7"/>
                  </w:rPr>
                  <w:t xml:space="preserve"> </w:t>
                </w:r>
                <w:r>
                  <w:rPr>
                    <w:spacing w:val="-2"/>
                  </w:rPr>
                  <w:t>REDACTED</w:t>
                </w:r>
              </w:p>
            </w:txbxContent>
          </v:textbox>
          <w10:wrap anchorx="page" anchory="page"/>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DEA9D3" w14:textId="77777777" w:rsidR="0010369C" w:rsidRDefault="0010369C">
    <w:pPr>
      <w:pStyle w:val="BodyText"/>
      <w:spacing w:line="14" w:lineRule="auto"/>
      <w:rPr>
        <w:sz w:val="2"/>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DEA9D5" w14:textId="77777777" w:rsidR="0010369C" w:rsidRDefault="008E43AE">
    <w:pPr>
      <w:pStyle w:val="BodyText"/>
      <w:spacing w:line="14" w:lineRule="auto"/>
      <w:rPr>
        <w:sz w:val="20"/>
      </w:rPr>
    </w:pPr>
    <w:r>
      <w:pict w14:anchorId="51DEAAC2">
        <v:shape id="docshape99" o:spid="_x0000_s2380" style="position:absolute;margin-left:65pt;margin-top:28.45pt;width:461.4pt;height:16.3pt;z-index:-25278464;mso-position-horizontal-relative:page;mso-position-vertical-relative:page" coordorigin="1300,569" coordsize="9228,326" o:spt="100" adj="0,,0" path="m10528,578r-10,l10518,884r-9209,l1309,578r-9,l1300,884r,10l1309,894r9209,l10528,894r,-10l10528,578xm10528,569r-10,l1309,569r-9,l1300,578r9,l10518,578r10,l10528,569xe" fillcolor="black" stroked="f">
          <v:stroke joinstyle="round"/>
          <v:formulas/>
          <v:path arrowok="t" o:connecttype="segments"/>
          <w10:wrap anchorx="page" anchory="page"/>
        </v:shape>
      </w:pict>
    </w:r>
    <w:r>
      <w:pict w14:anchorId="51DEAAC3">
        <v:shapetype id="_x0000_t202" coordsize="21600,21600" o:spt="202" path="m,l,21600r21600,l21600,xe">
          <v:stroke joinstyle="miter"/>
          <v:path gradientshapeok="t" o:connecttype="rect"/>
        </v:shapetype>
        <v:shape id="docshape100" o:spid="_x0000_s2379" type="#_x0000_t202" style="position:absolute;margin-left:193pt;margin-top:31.15pt;width:209.35pt;height:13pt;z-index:-25277952;mso-position-horizontal-relative:page;mso-position-vertical-relative:page" filled="f" stroked="f">
          <v:textbox inset="0,0,0,0">
            <w:txbxContent>
              <w:p w14:paraId="51DEACBC" w14:textId="77777777" w:rsidR="0010369C" w:rsidRDefault="008E43AE">
                <w:pPr>
                  <w:spacing w:line="244" w:lineRule="exact"/>
                  <w:ind w:left="20"/>
                </w:pPr>
                <w:r>
                  <w:t>Business</w:t>
                </w:r>
                <w:r>
                  <w:rPr>
                    <w:spacing w:val="-9"/>
                  </w:rPr>
                  <w:t xml:space="preserve"> </w:t>
                </w:r>
                <w:r>
                  <w:t>Confidential</w:t>
                </w:r>
                <w:r>
                  <w:rPr>
                    <w:spacing w:val="-7"/>
                  </w:rPr>
                  <w:t xml:space="preserve"> </w:t>
                </w:r>
                <w:r>
                  <w:t>Information</w:t>
                </w:r>
                <w:r>
                  <w:rPr>
                    <w:spacing w:val="-9"/>
                  </w:rPr>
                  <w:t xml:space="preserve"> </w:t>
                </w:r>
                <w:r>
                  <w:t>‐</w:t>
                </w:r>
                <w:r>
                  <w:rPr>
                    <w:spacing w:val="-7"/>
                  </w:rPr>
                  <w:t xml:space="preserve"> </w:t>
                </w:r>
                <w:r>
                  <w:rPr>
                    <w:spacing w:val="-2"/>
                  </w:rPr>
                  <w:t>REDACTED</w:t>
                </w:r>
              </w:p>
            </w:txbxContent>
          </v:textbox>
          <w10:wrap anchorx="page" anchory="page"/>
        </v:shape>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DEA9D7" w14:textId="77777777" w:rsidR="0010369C" w:rsidRDefault="008E43AE">
    <w:pPr>
      <w:pStyle w:val="BodyText"/>
      <w:spacing w:line="14" w:lineRule="auto"/>
      <w:rPr>
        <w:sz w:val="20"/>
      </w:rPr>
    </w:pPr>
    <w:r>
      <w:pict w14:anchorId="51DEAAC5">
        <v:shape id="docshape106" o:spid="_x0000_s2377" style="position:absolute;margin-left:65pt;margin-top:28.45pt;width:461.4pt;height:16.3pt;z-index:-25276928;mso-position-horizontal-relative:page;mso-position-vertical-relative:page" coordorigin="1300,569" coordsize="9228,326" o:spt="100" adj="0,,0" path="m10528,578r-10,l10518,884r-9209,l1309,578r-9,l1300,884r,10l1309,894r9209,l10528,894r,-10l10528,578xm10528,569r-10,l1309,569r-9,l1300,578r9,l10518,578r10,l10528,569xe" fillcolor="black" stroked="f">
          <v:stroke joinstyle="round"/>
          <v:formulas/>
          <v:path arrowok="t" o:connecttype="segments"/>
          <w10:wrap anchorx="page" anchory="page"/>
        </v:shape>
      </w:pict>
    </w:r>
    <w:r>
      <w:pict w14:anchorId="51DEAAC6">
        <v:shapetype id="_x0000_t202" coordsize="21600,21600" o:spt="202" path="m,l,21600r21600,l21600,xe">
          <v:stroke joinstyle="miter"/>
          <v:path gradientshapeok="t" o:connecttype="rect"/>
        </v:shapetype>
        <v:shape id="docshape107" o:spid="_x0000_s2376" type="#_x0000_t202" style="position:absolute;margin-left:193pt;margin-top:31.15pt;width:209.35pt;height:13pt;z-index:-25276416;mso-position-horizontal-relative:page;mso-position-vertical-relative:page" filled="f" stroked="f">
          <v:textbox inset="0,0,0,0">
            <w:txbxContent>
              <w:p w14:paraId="51DEACBE" w14:textId="77777777" w:rsidR="0010369C" w:rsidRDefault="008E43AE">
                <w:pPr>
                  <w:spacing w:line="244" w:lineRule="exact"/>
                  <w:ind w:left="20"/>
                </w:pPr>
                <w:r>
                  <w:t>Business</w:t>
                </w:r>
                <w:r>
                  <w:rPr>
                    <w:spacing w:val="-9"/>
                  </w:rPr>
                  <w:t xml:space="preserve"> </w:t>
                </w:r>
                <w:r>
                  <w:t>Confidential</w:t>
                </w:r>
                <w:r>
                  <w:rPr>
                    <w:spacing w:val="-7"/>
                  </w:rPr>
                  <w:t xml:space="preserve"> </w:t>
                </w:r>
                <w:r>
                  <w:t>Information</w:t>
                </w:r>
                <w:r>
                  <w:rPr>
                    <w:spacing w:val="-9"/>
                  </w:rPr>
                  <w:t xml:space="preserve"> </w:t>
                </w:r>
                <w:r>
                  <w:t>‐</w:t>
                </w:r>
                <w:r>
                  <w:rPr>
                    <w:spacing w:val="-7"/>
                  </w:rPr>
                  <w:t xml:space="preserve"> </w:t>
                </w:r>
                <w:r>
                  <w:rPr>
                    <w:spacing w:val="-2"/>
                  </w:rPr>
                  <w:t>REDACTED</w:t>
                </w:r>
              </w:p>
            </w:txbxContent>
          </v:textbox>
          <w10:wrap anchorx="page" anchory="page"/>
        </v:shape>
      </w:pict>
    </w:r>
    <w:r>
      <w:pict w14:anchorId="51DEAAC7">
        <v:shape id="docshape108" o:spid="_x0000_s2375" type="#_x0000_t202" style="position:absolute;margin-left:69.9pt;margin-top:45.7pt;width:233.3pt;height:12.05pt;z-index:-25275904;mso-position-horizontal-relative:page;mso-position-vertical-relative:page" filled="f" stroked="f">
          <v:textbox inset="0,0,0,0">
            <w:txbxContent>
              <w:p w14:paraId="51DEACBF" w14:textId="77777777" w:rsidR="0010369C" w:rsidRDefault="008E43AE">
                <w:pPr>
                  <w:spacing w:line="224" w:lineRule="exact"/>
                  <w:ind w:left="20"/>
                  <w:rPr>
                    <w:i/>
                    <w:sz w:val="20"/>
                  </w:rPr>
                </w:pPr>
                <w:r>
                  <w:rPr>
                    <w:i/>
                    <w:sz w:val="20"/>
                  </w:rPr>
                  <w:t>China</w:t>
                </w:r>
                <w:r>
                  <w:rPr>
                    <w:i/>
                    <w:spacing w:val="-5"/>
                    <w:sz w:val="20"/>
                  </w:rPr>
                  <w:t xml:space="preserve"> </w:t>
                </w:r>
                <w:r>
                  <w:rPr>
                    <w:i/>
                    <w:sz w:val="20"/>
                  </w:rPr>
                  <w:t>–</w:t>
                </w:r>
                <w:r>
                  <w:rPr>
                    <w:i/>
                    <w:spacing w:val="-5"/>
                    <w:sz w:val="20"/>
                  </w:rPr>
                  <w:t xml:space="preserve"> </w:t>
                </w:r>
                <w:r>
                  <w:rPr>
                    <w:i/>
                    <w:sz w:val="20"/>
                  </w:rPr>
                  <w:t>Anti‐Dumping</w:t>
                </w:r>
                <w:r>
                  <w:rPr>
                    <w:i/>
                    <w:spacing w:val="-4"/>
                    <w:sz w:val="20"/>
                  </w:rPr>
                  <w:t xml:space="preserve"> </w:t>
                </w:r>
                <w:r>
                  <w:rPr>
                    <w:i/>
                    <w:sz w:val="20"/>
                  </w:rPr>
                  <w:t>and</w:t>
                </w:r>
                <w:r>
                  <w:rPr>
                    <w:i/>
                    <w:spacing w:val="-5"/>
                    <w:sz w:val="20"/>
                  </w:rPr>
                  <w:t xml:space="preserve"> </w:t>
                </w:r>
                <w:r>
                  <w:rPr>
                    <w:i/>
                    <w:sz w:val="20"/>
                  </w:rPr>
                  <w:t>Countervailing</w:t>
                </w:r>
                <w:r>
                  <w:rPr>
                    <w:i/>
                    <w:spacing w:val="-5"/>
                    <w:sz w:val="20"/>
                  </w:rPr>
                  <w:t xml:space="preserve"> </w:t>
                </w:r>
                <w:r>
                  <w:rPr>
                    <w:i/>
                    <w:sz w:val="20"/>
                  </w:rPr>
                  <w:t>Duty</w:t>
                </w:r>
                <w:r>
                  <w:rPr>
                    <w:i/>
                    <w:spacing w:val="-4"/>
                    <w:sz w:val="20"/>
                  </w:rPr>
                  <w:t xml:space="preserve"> </w:t>
                </w:r>
                <w:r>
                  <w:rPr>
                    <w:i/>
                    <w:spacing w:val="-2"/>
                    <w:sz w:val="20"/>
                  </w:rPr>
                  <w:t>Measures</w:t>
                </w:r>
              </w:p>
            </w:txbxContent>
          </v:textbox>
          <w10:wrap anchorx="page" anchory="page"/>
        </v:shape>
      </w:pict>
    </w:r>
    <w:r>
      <w:pict w14:anchorId="51DEAAC8">
        <v:shape id="docshape109" o:spid="_x0000_s2374" type="#_x0000_t202" style="position:absolute;margin-left:379.3pt;margin-top:45.7pt;width:146.05pt;height:12.05pt;z-index:-25275392;mso-position-horizontal-relative:page;mso-position-vertical-relative:page" filled="f" stroked="f">
          <v:textbox inset="0,0,0,0">
            <w:txbxContent>
              <w:p w14:paraId="51DEACC0" w14:textId="77777777" w:rsidR="0010369C" w:rsidRDefault="008E43AE">
                <w:pPr>
                  <w:spacing w:line="224" w:lineRule="exact"/>
                  <w:ind w:left="20"/>
                  <w:rPr>
                    <w:sz w:val="20"/>
                  </w:rPr>
                </w:pPr>
                <w:r>
                  <w:rPr>
                    <w:sz w:val="20"/>
                  </w:rPr>
                  <w:t>Australia's</w:t>
                </w:r>
                <w:r>
                  <w:rPr>
                    <w:spacing w:val="-5"/>
                    <w:sz w:val="20"/>
                  </w:rPr>
                  <w:t xml:space="preserve"> </w:t>
                </w:r>
                <w:r>
                  <w:rPr>
                    <w:sz w:val="20"/>
                  </w:rPr>
                  <w:t>First</w:t>
                </w:r>
                <w:r>
                  <w:rPr>
                    <w:spacing w:val="-2"/>
                    <w:sz w:val="20"/>
                  </w:rPr>
                  <w:t xml:space="preserve"> </w:t>
                </w:r>
                <w:r>
                  <w:rPr>
                    <w:sz w:val="20"/>
                  </w:rPr>
                  <w:t>Written</w:t>
                </w:r>
                <w:r>
                  <w:rPr>
                    <w:spacing w:val="-2"/>
                    <w:sz w:val="20"/>
                  </w:rPr>
                  <w:t xml:space="preserve"> Submission</w:t>
                </w:r>
              </w:p>
            </w:txbxContent>
          </v:textbox>
          <w10:wrap anchorx="page" anchory="page"/>
        </v:shape>
      </w:pic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DEA9D9" w14:textId="77777777" w:rsidR="0010369C" w:rsidRDefault="008E43AE">
    <w:pPr>
      <w:pStyle w:val="BodyText"/>
      <w:spacing w:line="14" w:lineRule="auto"/>
      <w:rPr>
        <w:sz w:val="20"/>
      </w:rPr>
    </w:pPr>
    <w:r>
      <w:pict w14:anchorId="51DEAACA">
        <v:shape id="docshape141" o:spid="_x0000_s2372" style="position:absolute;margin-left:65pt;margin-top:28.45pt;width:461.4pt;height:16.3pt;z-index:-25274368;mso-position-horizontal-relative:page;mso-position-vertical-relative:page" coordorigin="1300,569" coordsize="9228,326" o:spt="100" adj="0,,0" path="m10528,578r-10,l10518,884r-9209,l1309,578r-9,l1300,884r,10l1309,894r9209,l10528,894r,-10l10528,578xm10528,569r-10,l1309,569r-9,l1300,578r9,l10518,578r10,l10528,569xe" fillcolor="black" stroked="f">
          <v:stroke joinstyle="round"/>
          <v:formulas/>
          <v:path arrowok="t" o:connecttype="segments"/>
          <w10:wrap anchorx="page" anchory="page"/>
        </v:shape>
      </w:pict>
    </w:r>
    <w:r>
      <w:pict w14:anchorId="51DEAACB">
        <v:shapetype id="_x0000_t202" coordsize="21600,21600" o:spt="202" path="m,l,21600r21600,l21600,xe">
          <v:stroke joinstyle="miter"/>
          <v:path gradientshapeok="t" o:connecttype="rect"/>
        </v:shapetype>
        <v:shape id="docshape142" o:spid="_x0000_s2371" type="#_x0000_t202" style="position:absolute;margin-left:193pt;margin-top:31.15pt;width:209.35pt;height:13pt;z-index:-25273856;mso-position-horizontal-relative:page;mso-position-vertical-relative:page" filled="f" stroked="f">
          <v:textbox inset="0,0,0,0">
            <w:txbxContent>
              <w:p w14:paraId="51DEACC2" w14:textId="77777777" w:rsidR="0010369C" w:rsidRDefault="008E43AE">
                <w:pPr>
                  <w:spacing w:line="244" w:lineRule="exact"/>
                  <w:ind w:left="20"/>
                </w:pPr>
                <w:r>
                  <w:t>Business</w:t>
                </w:r>
                <w:r>
                  <w:rPr>
                    <w:spacing w:val="-9"/>
                  </w:rPr>
                  <w:t xml:space="preserve"> </w:t>
                </w:r>
                <w:r>
                  <w:t>Confidential</w:t>
                </w:r>
                <w:r>
                  <w:rPr>
                    <w:spacing w:val="-7"/>
                  </w:rPr>
                  <w:t xml:space="preserve"> </w:t>
                </w:r>
                <w:r>
                  <w:t>Information</w:t>
                </w:r>
                <w:r>
                  <w:rPr>
                    <w:spacing w:val="-9"/>
                  </w:rPr>
                  <w:t xml:space="preserve"> </w:t>
                </w:r>
                <w:r>
                  <w:t>‐</w:t>
                </w:r>
                <w:r>
                  <w:rPr>
                    <w:spacing w:val="-7"/>
                  </w:rPr>
                  <w:t xml:space="preserve"> </w:t>
                </w:r>
                <w:r>
                  <w:rPr>
                    <w:spacing w:val="-2"/>
                  </w:rPr>
                  <w:t>REDACTED</w:t>
                </w:r>
              </w:p>
            </w:txbxContent>
          </v:textbox>
          <w10:wrap anchorx="page" anchory="page"/>
        </v:shape>
      </w:pic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DEA9DB" w14:textId="77777777" w:rsidR="0010369C" w:rsidRDefault="0010369C">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DEA9B9" w14:textId="77777777" w:rsidR="0010369C" w:rsidRDefault="0010369C">
    <w:pPr>
      <w:pStyle w:val="BodyText"/>
      <w:spacing w:line="14" w:lineRule="auto"/>
      <w:rPr>
        <w:sz w:val="2"/>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DEA9DD" w14:textId="77777777" w:rsidR="0010369C" w:rsidRDefault="008E43AE">
    <w:pPr>
      <w:pStyle w:val="BodyText"/>
      <w:spacing w:line="14" w:lineRule="auto"/>
      <w:rPr>
        <w:sz w:val="20"/>
      </w:rPr>
    </w:pPr>
    <w:r>
      <w:pict w14:anchorId="51DEAACE">
        <v:shape id="docshape376" o:spid="_x0000_s2368" style="position:absolute;margin-left:65pt;margin-top:28.45pt;width:461.4pt;height:16.3pt;z-index:-25272320;mso-position-horizontal-relative:page;mso-position-vertical-relative:page" coordorigin="1300,569" coordsize="9228,326" o:spt="100" adj="0,,0" path="m10528,578r-10,l10518,884r-9209,l1309,578r-9,l1300,884r,10l1309,894r9209,l10528,894r,-10l10528,578xm10528,569r-10,l1309,569r-9,l1300,578r9,l10518,578r10,l10528,569xe" fillcolor="black" stroked="f">
          <v:stroke joinstyle="round"/>
          <v:formulas/>
          <v:path arrowok="t" o:connecttype="segments"/>
          <w10:wrap anchorx="page" anchory="page"/>
        </v:shape>
      </w:pict>
    </w:r>
    <w:r>
      <w:pict w14:anchorId="51DEAACF">
        <v:shapetype id="_x0000_t202" coordsize="21600,21600" o:spt="202" path="m,l,21600r21600,l21600,xe">
          <v:stroke joinstyle="miter"/>
          <v:path gradientshapeok="t" o:connecttype="rect"/>
        </v:shapetype>
        <v:shape id="docshape377" o:spid="_x0000_s2367" type="#_x0000_t202" style="position:absolute;margin-left:193pt;margin-top:31.15pt;width:209.35pt;height:13pt;z-index:-25271808;mso-position-horizontal-relative:page;mso-position-vertical-relative:page" filled="f" stroked="f">
          <v:textbox inset="0,0,0,0">
            <w:txbxContent>
              <w:p w14:paraId="51DEACC5" w14:textId="77777777" w:rsidR="0010369C" w:rsidRDefault="008E43AE">
                <w:pPr>
                  <w:spacing w:line="244" w:lineRule="exact"/>
                  <w:ind w:left="20"/>
                </w:pPr>
                <w:r>
                  <w:t>Business</w:t>
                </w:r>
                <w:r>
                  <w:rPr>
                    <w:spacing w:val="-9"/>
                  </w:rPr>
                  <w:t xml:space="preserve"> </w:t>
                </w:r>
                <w:r>
                  <w:t>Confidential</w:t>
                </w:r>
                <w:r>
                  <w:rPr>
                    <w:spacing w:val="-7"/>
                  </w:rPr>
                  <w:t xml:space="preserve"> </w:t>
                </w:r>
                <w:r>
                  <w:t>Information</w:t>
                </w:r>
                <w:r>
                  <w:rPr>
                    <w:spacing w:val="-9"/>
                  </w:rPr>
                  <w:t xml:space="preserve"> </w:t>
                </w:r>
                <w:r>
                  <w:t>‐</w:t>
                </w:r>
                <w:r>
                  <w:rPr>
                    <w:spacing w:val="-7"/>
                  </w:rPr>
                  <w:t xml:space="preserve"> </w:t>
                </w:r>
                <w:r>
                  <w:rPr>
                    <w:spacing w:val="-2"/>
                  </w:rPr>
                  <w:t>REDACTED</w:t>
                </w:r>
              </w:p>
            </w:txbxContent>
          </v:textbox>
          <w10:wrap anchorx="page" anchory="page"/>
        </v:shape>
      </w:pic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DEA9DF" w14:textId="77777777" w:rsidR="0010369C" w:rsidRDefault="008E43AE">
    <w:pPr>
      <w:pStyle w:val="BodyText"/>
      <w:spacing w:line="14" w:lineRule="auto"/>
      <w:rPr>
        <w:sz w:val="20"/>
      </w:rPr>
    </w:pPr>
    <w:r>
      <w:pict w14:anchorId="51DEAAD1">
        <v:shape id="docshape385" o:spid="_x0000_s2365" style="position:absolute;margin-left:65pt;margin-top:28.45pt;width:461.4pt;height:16.3pt;z-index:-25270784;mso-position-horizontal-relative:page;mso-position-vertical-relative:page" coordorigin="1300,569" coordsize="9228,326" o:spt="100" adj="0,,0" path="m10528,578r-10,l10518,884r-9209,l1309,578r-9,l1300,884r,10l1309,894r9209,l10528,894r,-10l10528,578xm10528,569r-10,l1309,569r-9,l1300,578r9,l10518,578r10,l10528,569xe" fillcolor="black" stroked="f">
          <v:stroke joinstyle="round"/>
          <v:formulas/>
          <v:path arrowok="t" o:connecttype="segments"/>
          <w10:wrap anchorx="page" anchory="page"/>
        </v:shape>
      </w:pict>
    </w:r>
    <w:r>
      <w:pict w14:anchorId="51DEAAD2">
        <v:shapetype id="_x0000_t202" coordsize="21600,21600" o:spt="202" path="m,l,21600r21600,l21600,xe">
          <v:stroke joinstyle="miter"/>
          <v:path gradientshapeok="t" o:connecttype="rect"/>
        </v:shapetype>
        <v:shape id="docshape386" o:spid="_x0000_s2364" type="#_x0000_t202" style="position:absolute;margin-left:193pt;margin-top:31.15pt;width:209.35pt;height:13pt;z-index:-25270272;mso-position-horizontal-relative:page;mso-position-vertical-relative:page" filled="f" stroked="f">
          <v:textbox inset="0,0,0,0">
            <w:txbxContent>
              <w:p w14:paraId="51DEACC7" w14:textId="77777777" w:rsidR="0010369C" w:rsidRDefault="008E43AE">
                <w:pPr>
                  <w:spacing w:line="244" w:lineRule="exact"/>
                  <w:ind w:left="20"/>
                </w:pPr>
                <w:r>
                  <w:t>Business</w:t>
                </w:r>
                <w:r>
                  <w:rPr>
                    <w:spacing w:val="-9"/>
                  </w:rPr>
                  <w:t xml:space="preserve"> </w:t>
                </w:r>
                <w:r>
                  <w:t>Confidential</w:t>
                </w:r>
                <w:r>
                  <w:rPr>
                    <w:spacing w:val="-7"/>
                  </w:rPr>
                  <w:t xml:space="preserve"> </w:t>
                </w:r>
                <w:r>
                  <w:t>Information</w:t>
                </w:r>
                <w:r>
                  <w:rPr>
                    <w:spacing w:val="-9"/>
                  </w:rPr>
                  <w:t xml:space="preserve"> </w:t>
                </w:r>
                <w:r>
                  <w:t>‐</w:t>
                </w:r>
                <w:r>
                  <w:rPr>
                    <w:spacing w:val="-7"/>
                  </w:rPr>
                  <w:t xml:space="preserve"> </w:t>
                </w:r>
                <w:r>
                  <w:rPr>
                    <w:spacing w:val="-2"/>
                  </w:rPr>
                  <w:t>REDACTED</w:t>
                </w:r>
              </w:p>
            </w:txbxContent>
          </v:textbox>
          <w10:wrap anchorx="page" anchory="page"/>
        </v:shape>
      </w:pic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DEA9E1" w14:textId="77777777" w:rsidR="0010369C" w:rsidRDefault="008E43AE">
    <w:pPr>
      <w:pStyle w:val="BodyText"/>
      <w:spacing w:line="14" w:lineRule="auto"/>
      <w:rPr>
        <w:sz w:val="20"/>
      </w:rPr>
    </w:pPr>
    <w:r>
      <w:pict w14:anchorId="51DEAAD6">
        <v:shape id="docshape390" o:spid="_x0000_s2360" style="position:absolute;margin-left:65pt;margin-top:28.45pt;width:461.4pt;height:16.3pt;z-index:-25268224;mso-position-horizontal-relative:page;mso-position-vertical-relative:page" coordorigin="1300,569" coordsize="9228,326" o:spt="100" adj="0,,0" path="m10528,578r-10,l10518,884r-9209,l1309,578r-9,l1300,884r,10l1309,894r9209,l10528,894r,-10l10528,578xm10528,569r-10,l1309,569r-9,l1300,578r9,l10518,578r10,l10528,569xe" fillcolor="black" stroked="f">
          <v:stroke joinstyle="round"/>
          <v:formulas/>
          <v:path arrowok="t" o:connecttype="segments"/>
          <w10:wrap anchorx="page" anchory="page"/>
        </v:shape>
      </w:pict>
    </w:r>
    <w:r>
      <w:pict w14:anchorId="51DEAAD7">
        <v:shapetype id="_x0000_t202" coordsize="21600,21600" o:spt="202" path="m,l,21600r21600,l21600,xe">
          <v:stroke joinstyle="miter"/>
          <v:path gradientshapeok="t" o:connecttype="rect"/>
        </v:shapetype>
        <v:shape id="docshape391" o:spid="_x0000_s2359" type="#_x0000_t202" style="position:absolute;margin-left:193pt;margin-top:31.15pt;width:209.35pt;height:13pt;z-index:-25267712;mso-position-horizontal-relative:page;mso-position-vertical-relative:page" filled="f" stroked="f">
          <v:textbox inset="0,0,0,0">
            <w:txbxContent>
              <w:p w14:paraId="51DEACCA" w14:textId="77777777" w:rsidR="0010369C" w:rsidRDefault="008E43AE">
                <w:pPr>
                  <w:spacing w:line="244" w:lineRule="exact"/>
                  <w:ind w:left="20"/>
                </w:pPr>
                <w:r>
                  <w:t>Business</w:t>
                </w:r>
                <w:r>
                  <w:rPr>
                    <w:spacing w:val="-9"/>
                  </w:rPr>
                  <w:t xml:space="preserve"> </w:t>
                </w:r>
                <w:r>
                  <w:t>Confidential</w:t>
                </w:r>
                <w:r>
                  <w:rPr>
                    <w:spacing w:val="-7"/>
                  </w:rPr>
                  <w:t xml:space="preserve"> </w:t>
                </w:r>
                <w:r>
                  <w:t>Information</w:t>
                </w:r>
                <w:r>
                  <w:rPr>
                    <w:spacing w:val="-9"/>
                  </w:rPr>
                  <w:t xml:space="preserve"> </w:t>
                </w:r>
                <w:r>
                  <w:t>‐</w:t>
                </w:r>
                <w:r>
                  <w:rPr>
                    <w:spacing w:val="-7"/>
                  </w:rPr>
                  <w:t xml:space="preserve"> </w:t>
                </w:r>
                <w:r>
                  <w:rPr>
                    <w:spacing w:val="-2"/>
                  </w:rPr>
                  <w:t>REDACTED</w:t>
                </w:r>
              </w:p>
            </w:txbxContent>
          </v:textbox>
          <w10:wrap anchorx="page" anchory="page"/>
        </v:shape>
      </w:pic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DEA9E3" w14:textId="77777777" w:rsidR="0010369C" w:rsidRDefault="0010369C">
    <w:pPr>
      <w:pStyle w:val="BodyText"/>
      <w:spacing w:line="14" w:lineRule="auto"/>
      <w:rPr>
        <w:sz w:val="2"/>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DEA9E5" w14:textId="77777777" w:rsidR="0010369C" w:rsidRDefault="008E43AE">
    <w:pPr>
      <w:pStyle w:val="BodyText"/>
      <w:spacing w:line="14" w:lineRule="auto"/>
      <w:rPr>
        <w:sz w:val="20"/>
      </w:rPr>
    </w:pPr>
    <w:r>
      <w:pict w14:anchorId="51DEAADA">
        <v:shape id="docshape565" o:spid="_x0000_s2356" style="position:absolute;margin-left:65pt;margin-top:28.45pt;width:461.4pt;height:16.3pt;z-index:-25266176;mso-position-horizontal-relative:page;mso-position-vertical-relative:page" coordorigin="1300,569" coordsize="9228,326" o:spt="100" adj="0,,0" path="m10528,578r-10,l10518,884r-9209,l1309,578r-9,l1300,884r,10l1309,894r9209,l10528,894r,-10l10528,578xm10528,569r-10,l1309,569r-9,l1300,578r9,l10518,578r10,l10528,569xe" fillcolor="black" stroked="f">
          <v:stroke joinstyle="round"/>
          <v:formulas/>
          <v:path arrowok="t" o:connecttype="segments"/>
          <w10:wrap anchorx="page" anchory="page"/>
        </v:shape>
      </w:pict>
    </w:r>
    <w:r>
      <w:pict w14:anchorId="51DEAADB">
        <v:shapetype id="_x0000_t202" coordsize="21600,21600" o:spt="202" path="m,l,21600r21600,l21600,xe">
          <v:stroke joinstyle="miter"/>
          <v:path gradientshapeok="t" o:connecttype="rect"/>
        </v:shapetype>
        <v:shape id="docshape566" o:spid="_x0000_s2355" type="#_x0000_t202" style="position:absolute;margin-left:193pt;margin-top:31.15pt;width:209.35pt;height:13pt;z-index:-25265664;mso-position-horizontal-relative:page;mso-position-vertical-relative:page" filled="f" stroked="f">
          <v:textbox inset="0,0,0,0">
            <w:txbxContent>
              <w:p w14:paraId="51DEACCD" w14:textId="77777777" w:rsidR="0010369C" w:rsidRDefault="008E43AE">
                <w:pPr>
                  <w:spacing w:line="244" w:lineRule="exact"/>
                  <w:ind w:left="20"/>
                </w:pPr>
                <w:r>
                  <w:t>Business</w:t>
                </w:r>
                <w:r>
                  <w:rPr>
                    <w:spacing w:val="-9"/>
                  </w:rPr>
                  <w:t xml:space="preserve"> </w:t>
                </w:r>
                <w:r>
                  <w:t>Confidential</w:t>
                </w:r>
                <w:r>
                  <w:rPr>
                    <w:spacing w:val="-7"/>
                  </w:rPr>
                  <w:t xml:space="preserve"> </w:t>
                </w:r>
                <w:r>
                  <w:t>Information</w:t>
                </w:r>
                <w:r>
                  <w:rPr>
                    <w:spacing w:val="-9"/>
                  </w:rPr>
                  <w:t xml:space="preserve"> </w:t>
                </w:r>
                <w:r>
                  <w:t>‐</w:t>
                </w:r>
                <w:r>
                  <w:rPr>
                    <w:spacing w:val="-7"/>
                  </w:rPr>
                  <w:t xml:space="preserve"> </w:t>
                </w:r>
                <w:r>
                  <w:rPr>
                    <w:spacing w:val="-2"/>
                  </w:rPr>
                  <w:t>REDACTED</w:t>
                </w:r>
              </w:p>
            </w:txbxContent>
          </v:textbox>
          <w10:wrap anchorx="page" anchory="page"/>
        </v:shape>
      </w:pic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DEA9E7" w14:textId="77777777" w:rsidR="0010369C" w:rsidRDefault="008E43AE">
    <w:pPr>
      <w:pStyle w:val="BodyText"/>
      <w:spacing w:line="14" w:lineRule="auto"/>
      <w:rPr>
        <w:sz w:val="20"/>
      </w:rPr>
    </w:pPr>
    <w:r>
      <w:pict w14:anchorId="51DEAADD">
        <v:shape id="docshape579" o:spid="_x0000_s2353" style="position:absolute;margin-left:65pt;margin-top:28.45pt;width:461.4pt;height:16.3pt;z-index:-25264640;mso-position-horizontal-relative:page;mso-position-vertical-relative:page" coordorigin="1300,569" coordsize="9228,326" o:spt="100" adj="0,,0" path="m10528,578r-10,l10518,884r-9209,l1309,578r-9,l1300,884r,10l1309,894r9209,l10528,894r,-10l10528,578xm10528,569r-10,l1309,569r-9,l1300,578r9,l10518,578r10,l10528,569xe" fillcolor="black" stroked="f">
          <v:stroke joinstyle="round"/>
          <v:formulas/>
          <v:path arrowok="t" o:connecttype="segments"/>
          <w10:wrap anchorx="page" anchory="page"/>
        </v:shape>
      </w:pict>
    </w:r>
    <w:r>
      <w:pict w14:anchorId="51DEAADE">
        <v:shapetype id="_x0000_t202" coordsize="21600,21600" o:spt="202" path="m,l,21600r21600,l21600,xe">
          <v:stroke joinstyle="miter"/>
          <v:path gradientshapeok="t" o:connecttype="rect"/>
        </v:shapetype>
        <v:shape id="docshape580" o:spid="_x0000_s2352" type="#_x0000_t202" style="position:absolute;margin-left:193pt;margin-top:31.15pt;width:209.35pt;height:13pt;z-index:-25264128;mso-position-horizontal-relative:page;mso-position-vertical-relative:page" filled="f" stroked="f">
          <v:textbox inset="0,0,0,0">
            <w:txbxContent>
              <w:p w14:paraId="51DEACCF" w14:textId="77777777" w:rsidR="0010369C" w:rsidRDefault="008E43AE">
                <w:pPr>
                  <w:spacing w:line="244" w:lineRule="exact"/>
                  <w:ind w:left="20"/>
                </w:pPr>
                <w:r>
                  <w:t>Business</w:t>
                </w:r>
                <w:r>
                  <w:rPr>
                    <w:spacing w:val="-9"/>
                  </w:rPr>
                  <w:t xml:space="preserve"> </w:t>
                </w:r>
                <w:r>
                  <w:t>Confidential</w:t>
                </w:r>
                <w:r>
                  <w:rPr>
                    <w:spacing w:val="-7"/>
                  </w:rPr>
                  <w:t xml:space="preserve"> </w:t>
                </w:r>
                <w:r>
                  <w:t>Information</w:t>
                </w:r>
                <w:r>
                  <w:rPr>
                    <w:spacing w:val="-9"/>
                  </w:rPr>
                  <w:t xml:space="preserve"> </w:t>
                </w:r>
                <w:r>
                  <w:t>‐</w:t>
                </w:r>
                <w:r>
                  <w:rPr>
                    <w:spacing w:val="-7"/>
                  </w:rPr>
                  <w:t xml:space="preserve"> </w:t>
                </w:r>
                <w:r>
                  <w:rPr>
                    <w:spacing w:val="-2"/>
                  </w:rPr>
                  <w:t>REDACTED</w:t>
                </w:r>
              </w:p>
            </w:txbxContent>
          </v:textbox>
          <w10:wrap anchorx="page" anchory="page"/>
        </v:shape>
      </w:pic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DEA9E9" w14:textId="77777777" w:rsidR="0010369C" w:rsidRDefault="008E43AE">
    <w:pPr>
      <w:pStyle w:val="BodyText"/>
      <w:spacing w:line="14" w:lineRule="auto"/>
      <w:rPr>
        <w:sz w:val="20"/>
      </w:rPr>
    </w:pPr>
    <w:r>
      <w:pict w14:anchorId="51DEAAE3">
        <v:shape id="docshape588" o:spid="_x0000_s2347" style="position:absolute;margin-left:65pt;margin-top:28.45pt;width:461.4pt;height:16.3pt;z-index:-25261568;mso-position-horizontal-relative:page;mso-position-vertical-relative:page" coordorigin="1300,569" coordsize="9228,326" o:spt="100" adj="0,,0" path="m10528,578r-10,l10518,884r-9209,l1309,578r-9,l1300,884r,10l1309,894r9209,l10528,894r,-10l10528,578xm10528,569r-10,l1309,569r-9,l1300,578r9,l10518,578r10,l10528,569xe" fillcolor="black" stroked="f">
          <v:stroke joinstyle="round"/>
          <v:formulas/>
          <v:path arrowok="t" o:connecttype="segments"/>
          <w10:wrap anchorx="page" anchory="page"/>
        </v:shape>
      </w:pict>
    </w:r>
    <w:r>
      <w:pict w14:anchorId="51DEAAE4">
        <v:shapetype id="_x0000_t202" coordsize="21600,21600" o:spt="202" path="m,l,21600r21600,l21600,xe">
          <v:stroke joinstyle="miter"/>
          <v:path gradientshapeok="t" o:connecttype="rect"/>
        </v:shapetype>
        <v:shape id="docshape589" o:spid="_x0000_s2346" type="#_x0000_t202" style="position:absolute;margin-left:193pt;margin-top:31.15pt;width:209.35pt;height:13pt;z-index:-25261056;mso-position-horizontal-relative:page;mso-position-vertical-relative:page" filled="f" stroked="f">
          <v:textbox inset="0,0,0,0">
            <w:txbxContent>
              <w:p w14:paraId="51DEACD2" w14:textId="77777777" w:rsidR="0010369C" w:rsidRDefault="008E43AE">
                <w:pPr>
                  <w:spacing w:line="244" w:lineRule="exact"/>
                  <w:ind w:left="20"/>
                </w:pPr>
                <w:r>
                  <w:t>Business</w:t>
                </w:r>
                <w:r>
                  <w:rPr>
                    <w:spacing w:val="-9"/>
                  </w:rPr>
                  <w:t xml:space="preserve"> </w:t>
                </w:r>
                <w:r>
                  <w:t>Confidential</w:t>
                </w:r>
                <w:r>
                  <w:rPr>
                    <w:spacing w:val="-7"/>
                  </w:rPr>
                  <w:t xml:space="preserve"> </w:t>
                </w:r>
                <w:r>
                  <w:t>Information</w:t>
                </w:r>
                <w:r>
                  <w:rPr>
                    <w:spacing w:val="-9"/>
                  </w:rPr>
                  <w:t xml:space="preserve"> </w:t>
                </w:r>
                <w:r>
                  <w:t>‐</w:t>
                </w:r>
                <w:r>
                  <w:rPr>
                    <w:spacing w:val="-7"/>
                  </w:rPr>
                  <w:t xml:space="preserve"> </w:t>
                </w:r>
                <w:r>
                  <w:rPr>
                    <w:spacing w:val="-2"/>
                  </w:rPr>
                  <w:t>REDACTED</w:t>
                </w:r>
              </w:p>
            </w:txbxContent>
          </v:textbox>
          <w10:wrap anchorx="page" anchory="page"/>
        </v:shape>
      </w:pic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DEA9EB" w14:textId="77777777" w:rsidR="0010369C" w:rsidRDefault="008E43AE">
    <w:pPr>
      <w:pStyle w:val="BodyText"/>
      <w:spacing w:line="14" w:lineRule="auto"/>
      <w:rPr>
        <w:sz w:val="20"/>
      </w:rPr>
    </w:pPr>
    <w:r>
      <w:pict w14:anchorId="51DEAAE7">
        <v:shape id="docshape602" o:spid="_x0000_s2343" style="position:absolute;margin-left:65pt;margin-top:28.45pt;width:461.4pt;height:16.3pt;z-index:-25259520;mso-position-horizontal-relative:page;mso-position-vertical-relative:page" coordorigin="1300,569" coordsize="9228,326" o:spt="100" adj="0,,0" path="m10528,578r-10,l10518,884r-9209,l1309,578r-9,l1300,884r,10l1309,894r9209,l10528,894r,-10l10528,578xm10528,569r-10,l1309,569r-9,l1300,578r9,l10518,578r10,l10528,569xe" fillcolor="black" stroked="f">
          <v:stroke joinstyle="round"/>
          <v:formulas/>
          <v:path arrowok="t" o:connecttype="segments"/>
          <w10:wrap anchorx="page" anchory="page"/>
        </v:shape>
      </w:pict>
    </w:r>
    <w:r>
      <w:pict w14:anchorId="51DEAAE8">
        <v:shapetype id="_x0000_t202" coordsize="21600,21600" o:spt="202" path="m,l,21600r21600,l21600,xe">
          <v:stroke joinstyle="miter"/>
          <v:path gradientshapeok="t" o:connecttype="rect"/>
        </v:shapetype>
        <v:shape id="docshape603" o:spid="_x0000_s2342" type="#_x0000_t202" style="position:absolute;margin-left:193pt;margin-top:31.15pt;width:209.35pt;height:13pt;z-index:-25259008;mso-position-horizontal-relative:page;mso-position-vertical-relative:page" filled="f" stroked="f">
          <v:textbox inset="0,0,0,0">
            <w:txbxContent>
              <w:p w14:paraId="51DEACD5" w14:textId="77777777" w:rsidR="0010369C" w:rsidRDefault="008E43AE">
                <w:pPr>
                  <w:spacing w:line="244" w:lineRule="exact"/>
                  <w:ind w:left="20"/>
                </w:pPr>
                <w:r>
                  <w:t>Business</w:t>
                </w:r>
                <w:r>
                  <w:rPr>
                    <w:spacing w:val="-9"/>
                  </w:rPr>
                  <w:t xml:space="preserve"> </w:t>
                </w:r>
                <w:r>
                  <w:t>Confidential</w:t>
                </w:r>
                <w:r>
                  <w:rPr>
                    <w:spacing w:val="-7"/>
                  </w:rPr>
                  <w:t xml:space="preserve"> </w:t>
                </w:r>
                <w:r>
                  <w:t>Information</w:t>
                </w:r>
                <w:r>
                  <w:rPr>
                    <w:spacing w:val="-9"/>
                  </w:rPr>
                  <w:t xml:space="preserve"> </w:t>
                </w:r>
                <w:r>
                  <w:t>‐</w:t>
                </w:r>
                <w:r>
                  <w:rPr>
                    <w:spacing w:val="-7"/>
                  </w:rPr>
                  <w:t xml:space="preserve"> </w:t>
                </w:r>
                <w:r>
                  <w:rPr>
                    <w:spacing w:val="-2"/>
                  </w:rPr>
                  <w:t>REDACTED</w:t>
                </w:r>
              </w:p>
            </w:txbxContent>
          </v:textbox>
          <w10:wrap anchorx="page" anchory="page"/>
        </v:shape>
      </w:pic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DEA9ED" w14:textId="77777777" w:rsidR="0010369C" w:rsidRDefault="008E43AE">
    <w:pPr>
      <w:pStyle w:val="BodyText"/>
      <w:spacing w:line="14" w:lineRule="auto"/>
      <w:rPr>
        <w:sz w:val="20"/>
      </w:rPr>
    </w:pPr>
    <w:r>
      <w:pict w14:anchorId="51DEAAEB">
        <v:shape id="docshape619" o:spid="_x0000_s2339" style="position:absolute;margin-left:65pt;margin-top:28.45pt;width:461.4pt;height:16.3pt;z-index:-25257472;mso-position-horizontal-relative:page;mso-position-vertical-relative:page" coordorigin="1300,569" coordsize="9228,326" o:spt="100" adj="0,,0" path="m10528,578r-10,l10518,884r-9209,l1309,578r-9,l1300,884r,10l1309,894r9209,l10528,894r,-10l10528,578xm10528,569r-10,l1309,569r-9,l1300,578r9,l10518,578r10,l10528,569xe" fillcolor="black" stroked="f">
          <v:stroke joinstyle="round"/>
          <v:formulas/>
          <v:path arrowok="t" o:connecttype="segments"/>
          <w10:wrap anchorx="page" anchory="page"/>
        </v:shape>
      </w:pict>
    </w:r>
    <w:r>
      <w:pict w14:anchorId="51DEAAEC">
        <v:shapetype id="_x0000_t202" coordsize="21600,21600" o:spt="202" path="m,l,21600r21600,l21600,xe">
          <v:stroke joinstyle="miter"/>
          <v:path gradientshapeok="t" o:connecttype="rect"/>
        </v:shapetype>
        <v:shape id="docshape620" o:spid="_x0000_s2338" type="#_x0000_t202" style="position:absolute;margin-left:193pt;margin-top:31.15pt;width:209.35pt;height:13pt;z-index:-25256960;mso-position-horizontal-relative:page;mso-position-vertical-relative:page" filled="f" stroked="f">
          <v:textbox inset="0,0,0,0">
            <w:txbxContent>
              <w:p w14:paraId="51DEACD8" w14:textId="77777777" w:rsidR="0010369C" w:rsidRDefault="008E43AE">
                <w:pPr>
                  <w:spacing w:line="244" w:lineRule="exact"/>
                  <w:ind w:left="20"/>
                </w:pPr>
                <w:r>
                  <w:t>Business</w:t>
                </w:r>
                <w:r>
                  <w:rPr>
                    <w:spacing w:val="-9"/>
                  </w:rPr>
                  <w:t xml:space="preserve"> </w:t>
                </w:r>
                <w:r>
                  <w:t>Confidential</w:t>
                </w:r>
                <w:r>
                  <w:rPr>
                    <w:spacing w:val="-7"/>
                  </w:rPr>
                  <w:t xml:space="preserve"> </w:t>
                </w:r>
                <w:r>
                  <w:t>Information</w:t>
                </w:r>
                <w:r>
                  <w:rPr>
                    <w:spacing w:val="-9"/>
                  </w:rPr>
                  <w:t xml:space="preserve"> </w:t>
                </w:r>
                <w:r>
                  <w:t>‐</w:t>
                </w:r>
                <w:r>
                  <w:rPr>
                    <w:spacing w:val="-7"/>
                  </w:rPr>
                  <w:t xml:space="preserve"> </w:t>
                </w:r>
                <w:r>
                  <w:rPr>
                    <w:spacing w:val="-2"/>
                  </w:rPr>
                  <w:t>REDACTED</w:t>
                </w:r>
              </w:p>
            </w:txbxContent>
          </v:textbox>
          <w10:wrap anchorx="page" anchory="page"/>
        </v:shape>
      </w:pic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DEA9EF" w14:textId="77777777" w:rsidR="0010369C" w:rsidRDefault="008E43AE">
    <w:pPr>
      <w:pStyle w:val="BodyText"/>
      <w:spacing w:line="14" w:lineRule="auto"/>
      <w:rPr>
        <w:sz w:val="20"/>
      </w:rPr>
    </w:pPr>
    <w:r>
      <w:pict w14:anchorId="51DEAAEE">
        <v:shape id="docshape623" o:spid="_x0000_s2336" style="position:absolute;margin-left:65pt;margin-top:28.45pt;width:461.4pt;height:16.3pt;z-index:-25255936;mso-position-horizontal-relative:page;mso-position-vertical-relative:page" coordorigin="1300,569" coordsize="9228,326" o:spt="100" adj="0,,0" path="m10528,578r-10,l10518,884r-9209,l1309,578r-9,l1300,884r,10l1309,894r9209,l10528,894r,-10l10528,578xm10528,569r-10,l1309,569r-9,l1300,578r9,l10518,578r10,l10528,569xe" fillcolor="black" stroked="f">
          <v:stroke joinstyle="round"/>
          <v:formulas/>
          <v:path arrowok="t" o:connecttype="segments"/>
          <w10:wrap anchorx="page" anchory="page"/>
        </v:shape>
      </w:pict>
    </w:r>
    <w:r>
      <w:pict w14:anchorId="51DEAAEF">
        <v:shapetype id="_x0000_t202" coordsize="21600,21600" o:spt="202" path="m,l,21600r21600,l21600,xe">
          <v:stroke joinstyle="miter"/>
          <v:path gradientshapeok="t" o:connecttype="rect"/>
        </v:shapetype>
        <v:shape id="docshape624" o:spid="_x0000_s2335" type="#_x0000_t202" style="position:absolute;margin-left:193pt;margin-top:31.15pt;width:209.35pt;height:13pt;z-index:-25255424;mso-position-horizontal-relative:page;mso-position-vertical-relative:page" filled="f" stroked="f">
          <v:textbox inset="0,0,0,0">
            <w:txbxContent>
              <w:p w14:paraId="51DEACDA" w14:textId="77777777" w:rsidR="0010369C" w:rsidRDefault="008E43AE">
                <w:pPr>
                  <w:spacing w:line="244" w:lineRule="exact"/>
                  <w:ind w:left="20"/>
                </w:pPr>
                <w:r>
                  <w:t>Business</w:t>
                </w:r>
                <w:r>
                  <w:rPr>
                    <w:spacing w:val="-9"/>
                  </w:rPr>
                  <w:t xml:space="preserve"> </w:t>
                </w:r>
                <w:r>
                  <w:t>Confidential</w:t>
                </w:r>
                <w:r>
                  <w:rPr>
                    <w:spacing w:val="-7"/>
                  </w:rPr>
                  <w:t xml:space="preserve"> </w:t>
                </w:r>
                <w:r>
                  <w:t>Information</w:t>
                </w:r>
                <w:r>
                  <w:rPr>
                    <w:spacing w:val="-9"/>
                  </w:rPr>
                  <w:t xml:space="preserve"> </w:t>
                </w:r>
                <w:r>
                  <w:t>‐</w:t>
                </w:r>
                <w:r>
                  <w:rPr>
                    <w:spacing w:val="-7"/>
                  </w:rPr>
                  <w:t xml:space="preserve"> </w:t>
                </w:r>
                <w:r>
                  <w:rPr>
                    <w:spacing w:val="-2"/>
                  </w:rPr>
                  <w:t>REDACTED</w:t>
                </w:r>
              </w:p>
            </w:txbxContent>
          </v:textbox>
          <w10:wrap anchorx="page" anchory="page"/>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DEA9BB" w14:textId="77777777" w:rsidR="0010369C" w:rsidRDefault="008E43AE">
    <w:pPr>
      <w:pStyle w:val="BodyText"/>
      <w:spacing w:line="14" w:lineRule="auto"/>
      <w:rPr>
        <w:sz w:val="20"/>
      </w:rPr>
    </w:pPr>
    <w:r>
      <w:pict w14:anchorId="51DEAAA9">
        <v:shape id="docshape9" o:spid="_x0000_s2405" style="position:absolute;margin-left:65pt;margin-top:28.45pt;width:461.4pt;height:16.3pt;z-index:-25291264;mso-position-horizontal-relative:page;mso-position-vertical-relative:page" coordorigin="1300,569" coordsize="9228,326" o:spt="100" adj="0,,0" path="m10528,578r-10,l10518,884r-9209,l1309,578r-9,l1300,884r,10l1309,894r9209,l10528,894r,-10l10528,578xm10528,569r-10,l1309,569r-9,l1300,578r9,l10518,578r10,l10528,569xe" fillcolor="black" stroked="f">
          <v:stroke joinstyle="round"/>
          <v:formulas/>
          <v:path arrowok="t" o:connecttype="segments"/>
          <w10:wrap anchorx="page" anchory="page"/>
        </v:shape>
      </w:pict>
    </w:r>
    <w:r>
      <w:pict w14:anchorId="51DEAAAA">
        <v:shapetype id="_x0000_t202" coordsize="21600,21600" o:spt="202" path="m,l,21600r21600,l21600,xe">
          <v:stroke joinstyle="miter"/>
          <v:path gradientshapeok="t" o:connecttype="rect"/>
        </v:shapetype>
        <v:shape id="docshape10" o:spid="_x0000_s2404" type="#_x0000_t202" style="position:absolute;margin-left:193pt;margin-top:31.15pt;width:209.35pt;height:13pt;z-index:-25290752;mso-position-horizontal-relative:page;mso-position-vertical-relative:page" filled="f" stroked="f">
          <v:textbox inset="0,0,0,0">
            <w:txbxContent>
              <w:p w14:paraId="51DEACAA" w14:textId="77777777" w:rsidR="0010369C" w:rsidRDefault="008E43AE">
                <w:pPr>
                  <w:spacing w:line="244" w:lineRule="exact"/>
                  <w:ind w:left="20"/>
                </w:pPr>
                <w:r>
                  <w:t>Business</w:t>
                </w:r>
                <w:r>
                  <w:rPr>
                    <w:spacing w:val="-9"/>
                  </w:rPr>
                  <w:t xml:space="preserve"> </w:t>
                </w:r>
                <w:r>
                  <w:t>Confidential</w:t>
                </w:r>
                <w:r>
                  <w:rPr>
                    <w:spacing w:val="-7"/>
                  </w:rPr>
                  <w:t xml:space="preserve"> </w:t>
                </w:r>
                <w:r>
                  <w:t>Information</w:t>
                </w:r>
                <w:r>
                  <w:rPr>
                    <w:spacing w:val="-9"/>
                  </w:rPr>
                  <w:t xml:space="preserve"> </w:t>
                </w:r>
                <w:r>
                  <w:t>‐</w:t>
                </w:r>
                <w:r>
                  <w:rPr>
                    <w:spacing w:val="-7"/>
                  </w:rPr>
                  <w:t xml:space="preserve"> </w:t>
                </w:r>
                <w:r>
                  <w:rPr>
                    <w:spacing w:val="-2"/>
                  </w:rPr>
                  <w:t>REDACTED</w:t>
                </w:r>
              </w:p>
            </w:txbxContent>
          </v:textbox>
          <w10:wrap anchorx="page" anchory="page"/>
        </v:shape>
      </w:pic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DEA9F1" w14:textId="77777777" w:rsidR="0010369C" w:rsidRDefault="0010369C">
    <w:pPr>
      <w:pStyle w:val="BodyText"/>
      <w:spacing w:line="14" w:lineRule="auto"/>
      <w:rPr>
        <w:sz w:val="2"/>
      </w:rP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DEA9F3" w14:textId="77777777" w:rsidR="0010369C" w:rsidRDefault="008E43AE">
    <w:pPr>
      <w:pStyle w:val="BodyText"/>
      <w:spacing w:line="14" w:lineRule="auto"/>
      <w:rPr>
        <w:sz w:val="20"/>
      </w:rPr>
    </w:pPr>
    <w:r>
      <w:pict w14:anchorId="51DEAAF2">
        <v:shape id="docshape752" o:spid="_x0000_s2332" style="position:absolute;margin-left:65pt;margin-top:28.45pt;width:461.4pt;height:16.3pt;z-index:-25253888;mso-position-horizontal-relative:page;mso-position-vertical-relative:page" coordorigin="1300,569" coordsize="9228,326" o:spt="100" adj="0,,0" path="m10528,578r-10,l10518,884r-9209,l1309,578r-9,l1300,884r,10l1309,894r9209,l10528,894r,-10l10528,578xm10528,569r-10,l1309,569r-9,l1300,578r9,l10518,578r10,l10528,569xe" fillcolor="black" stroked="f">
          <v:stroke joinstyle="round"/>
          <v:formulas/>
          <v:path arrowok="t" o:connecttype="segments"/>
          <w10:wrap anchorx="page" anchory="page"/>
        </v:shape>
      </w:pict>
    </w:r>
    <w:r>
      <w:pict w14:anchorId="51DEAAF3">
        <v:shapetype id="_x0000_t202" coordsize="21600,21600" o:spt="202" path="m,l,21600r21600,l21600,xe">
          <v:stroke joinstyle="miter"/>
          <v:path gradientshapeok="t" o:connecttype="rect"/>
        </v:shapetype>
        <v:shape id="docshape753" o:spid="_x0000_s2331" type="#_x0000_t202" style="position:absolute;margin-left:193pt;margin-top:31.15pt;width:209.35pt;height:13pt;z-index:-25253376;mso-position-horizontal-relative:page;mso-position-vertical-relative:page" filled="f" stroked="f">
          <v:textbox inset="0,0,0,0">
            <w:txbxContent>
              <w:p w14:paraId="51DEACDD" w14:textId="77777777" w:rsidR="0010369C" w:rsidRDefault="008E43AE">
                <w:pPr>
                  <w:spacing w:line="244" w:lineRule="exact"/>
                  <w:ind w:left="20"/>
                </w:pPr>
                <w:r>
                  <w:t>Business</w:t>
                </w:r>
                <w:r>
                  <w:rPr>
                    <w:spacing w:val="-9"/>
                  </w:rPr>
                  <w:t xml:space="preserve"> </w:t>
                </w:r>
                <w:r>
                  <w:t>Confidential</w:t>
                </w:r>
                <w:r>
                  <w:rPr>
                    <w:spacing w:val="-7"/>
                  </w:rPr>
                  <w:t xml:space="preserve"> </w:t>
                </w:r>
                <w:r>
                  <w:t>Information</w:t>
                </w:r>
                <w:r>
                  <w:rPr>
                    <w:spacing w:val="-9"/>
                  </w:rPr>
                  <w:t xml:space="preserve"> </w:t>
                </w:r>
                <w:r>
                  <w:t>‐</w:t>
                </w:r>
                <w:r>
                  <w:rPr>
                    <w:spacing w:val="-7"/>
                  </w:rPr>
                  <w:t xml:space="preserve"> </w:t>
                </w:r>
                <w:r>
                  <w:rPr>
                    <w:spacing w:val="-2"/>
                  </w:rPr>
                  <w:t>REDACTED</w:t>
                </w:r>
              </w:p>
            </w:txbxContent>
          </v:textbox>
          <w10:wrap anchorx="page" anchory="page"/>
        </v:shape>
      </w:pic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DEA9F5" w14:textId="77777777" w:rsidR="0010369C" w:rsidRDefault="008E43AE">
    <w:pPr>
      <w:pStyle w:val="BodyText"/>
      <w:spacing w:line="14" w:lineRule="auto"/>
      <w:rPr>
        <w:sz w:val="20"/>
      </w:rPr>
    </w:pPr>
    <w:r>
      <w:pict w14:anchorId="51DEAAF5">
        <v:shape id="docshape766" o:spid="_x0000_s2329" style="position:absolute;margin-left:65pt;margin-top:28.45pt;width:461.4pt;height:16.3pt;z-index:-25252352;mso-position-horizontal-relative:page;mso-position-vertical-relative:page" coordorigin="1300,569" coordsize="9228,326" o:spt="100" adj="0,,0" path="m10528,578r-10,l10518,884r-9209,l1309,578r-9,l1300,884r,10l1309,894r9209,l10528,894r,-10l10528,578xm10528,569r-10,l1309,569r-9,l1300,578r9,l10518,578r10,l10528,569xe" fillcolor="black" stroked="f">
          <v:stroke joinstyle="round"/>
          <v:formulas/>
          <v:path arrowok="t" o:connecttype="segments"/>
          <w10:wrap anchorx="page" anchory="page"/>
        </v:shape>
      </w:pict>
    </w:r>
    <w:r>
      <w:pict w14:anchorId="51DEAAF6">
        <v:shapetype id="_x0000_t202" coordsize="21600,21600" o:spt="202" path="m,l,21600r21600,l21600,xe">
          <v:stroke joinstyle="miter"/>
          <v:path gradientshapeok="t" o:connecttype="rect"/>
        </v:shapetype>
        <v:shape id="docshape767" o:spid="_x0000_s2328" type="#_x0000_t202" style="position:absolute;margin-left:193pt;margin-top:31.15pt;width:209.35pt;height:13pt;z-index:-25251840;mso-position-horizontal-relative:page;mso-position-vertical-relative:page" filled="f" stroked="f">
          <v:textbox inset="0,0,0,0">
            <w:txbxContent>
              <w:p w14:paraId="51DEACDF" w14:textId="77777777" w:rsidR="0010369C" w:rsidRDefault="008E43AE">
                <w:pPr>
                  <w:spacing w:line="244" w:lineRule="exact"/>
                  <w:ind w:left="20"/>
                </w:pPr>
                <w:r>
                  <w:t>Business</w:t>
                </w:r>
                <w:r>
                  <w:rPr>
                    <w:spacing w:val="-9"/>
                  </w:rPr>
                  <w:t xml:space="preserve"> </w:t>
                </w:r>
                <w:r>
                  <w:t>Confidential</w:t>
                </w:r>
                <w:r>
                  <w:rPr>
                    <w:spacing w:val="-7"/>
                  </w:rPr>
                  <w:t xml:space="preserve"> </w:t>
                </w:r>
                <w:r>
                  <w:t>Information</w:t>
                </w:r>
                <w:r>
                  <w:rPr>
                    <w:spacing w:val="-9"/>
                  </w:rPr>
                  <w:t xml:space="preserve"> </w:t>
                </w:r>
                <w:r>
                  <w:t>‐</w:t>
                </w:r>
                <w:r>
                  <w:rPr>
                    <w:spacing w:val="-7"/>
                  </w:rPr>
                  <w:t xml:space="preserve"> </w:t>
                </w:r>
                <w:r>
                  <w:rPr>
                    <w:spacing w:val="-2"/>
                  </w:rPr>
                  <w:t>REDACTED</w:t>
                </w:r>
              </w:p>
            </w:txbxContent>
          </v:textbox>
          <w10:wrap anchorx="page" anchory="page"/>
        </v:shape>
      </w:pic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DEA9F7" w14:textId="77777777" w:rsidR="0010369C" w:rsidRDefault="0010369C">
    <w:pPr>
      <w:pStyle w:val="BodyText"/>
      <w:spacing w:line="14" w:lineRule="auto"/>
      <w:rPr>
        <w:sz w:val="2"/>
      </w:rP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DEA9F9" w14:textId="77777777" w:rsidR="0010369C" w:rsidRDefault="008E43AE">
    <w:pPr>
      <w:pStyle w:val="BodyText"/>
      <w:spacing w:line="14" w:lineRule="auto"/>
      <w:rPr>
        <w:sz w:val="20"/>
      </w:rPr>
    </w:pPr>
    <w:r>
      <w:pict w14:anchorId="51DEAAFA">
        <v:shape id="docshape778" o:spid="_x0000_s2324" style="position:absolute;margin-left:65pt;margin-top:28.45pt;width:461.4pt;height:16.3pt;z-index:-25249792;mso-position-horizontal-relative:page;mso-position-vertical-relative:page" coordorigin="1300,569" coordsize="9228,326" o:spt="100" adj="0,,0" path="m10528,578r-10,l10518,884r-9209,l1309,578r-9,l1300,884r,10l1309,894r9209,l10528,894r,-10l10528,578xm10528,569r-10,l1309,569r-9,l1300,578r9,l10518,578r10,l10528,569xe" fillcolor="black" stroked="f">
          <v:stroke joinstyle="round"/>
          <v:formulas/>
          <v:path arrowok="t" o:connecttype="segments"/>
          <w10:wrap anchorx="page" anchory="page"/>
        </v:shape>
      </w:pict>
    </w:r>
    <w:r>
      <w:pict w14:anchorId="51DEAAFB">
        <v:shapetype id="_x0000_t202" coordsize="21600,21600" o:spt="202" path="m,l,21600r21600,l21600,xe">
          <v:stroke joinstyle="miter"/>
          <v:path gradientshapeok="t" o:connecttype="rect"/>
        </v:shapetype>
        <v:shape id="docshape779" o:spid="_x0000_s2323" type="#_x0000_t202" style="position:absolute;margin-left:193pt;margin-top:31.15pt;width:209.35pt;height:13pt;z-index:-25249280;mso-position-horizontal-relative:page;mso-position-vertical-relative:page" filled="f" stroked="f">
          <v:textbox inset="0,0,0,0">
            <w:txbxContent>
              <w:p w14:paraId="51DEACE2" w14:textId="77777777" w:rsidR="0010369C" w:rsidRDefault="008E43AE">
                <w:pPr>
                  <w:spacing w:line="244" w:lineRule="exact"/>
                  <w:ind w:left="20"/>
                </w:pPr>
                <w:r>
                  <w:t>Business</w:t>
                </w:r>
                <w:r>
                  <w:rPr>
                    <w:spacing w:val="-9"/>
                  </w:rPr>
                  <w:t xml:space="preserve"> </w:t>
                </w:r>
                <w:r>
                  <w:t>Confidential</w:t>
                </w:r>
                <w:r>
                  <w:rPr>
                    <w:spacing w:val="-7"/>
                  </w:rPr>
                  <w:t xml:space="preserve"> </w:t>
                </w:r>
                <w:r>
                  <w:t>Information</w:t>
                </w:r>
                <w:r>
                  <w:rPr>
                    <w:spacing w:val="-9"/>
                  </w:rPr>
                  <w:t xml:space="preserve"> </w:t>
                </w:r>
                <w:r>
                  <w:t>‐</w:t>
                </w:r>
                <w:r>
                  <w:rPr>
                    <w:spacing w:val="-7"/>
                  </w:rPr>
                  <w:t xml:space="preserve"> </w:t>
                </w:r>
                <w:r>
                  <w:rPr>
                    <w:spacing w:val="-2"/>
                  </w:rPr>
                  <w:t>REDACTED</w:t>
                </w:r>
              </w:p>
            </w:txbxContent>
          </v:textbox>
          <w10:wrap anchorx="page" anchory="page"/>
        </v:shape>
      </w:pic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DEA9FB" w14:textId="77777777" w:rsidR="0010369C" w:rsidRDefault="0010369C">
    <w:pPr>
      <w:pStyle w:val="BodyText"/>
      <w:spacing w:line="14" w:lineRule="auto"/>
      <w:rPr>
        <w:sz w:val="2"/>
      </w:rP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DEA9FD" w14:textId="77777777" w:rsidR="0010369C" w:rsidRDefault="008E43AE">
    <w:pPr>
      <w:pStyle w:val="BodyText"/>
      <w:spacing w:line="14" w:lineRule="auto"/>
      <w:rPr>
        <w:sz w:val="20"/>
      </w:rPr>
    </w:pPr>
    <w:r>
      <w:pict w14:anchorId="51DEAAFF">
        <v:shape id="docshape808" o:spid="_x0000_s2319" style="position:absolute;margin-left:65pt;margin-top:28.45pt;width:461.4pt;height:16.3pt;z-index:-25247232;mso-position-horizontal-relative:page;mso-position-vertical-relative:page" coordorigin="1300,569" coordsize="9228,326" o:spt="100" adj="0,,0" path="m10528,578r-10,l10518,884r-9209,l1309,578r-9,l1300,884r,10l1309,894r9209,l10528,894r,-10l10528,578xm10528,569r-10,l1309,569r-9,l1300,578r9,l10518,578r10,l10528,569xe" fillcolor="black" stroked="f">
          <v:stroke joinstyle="round"/>
          <v:formulas/>
          <v:path arrowok="t" o:connecttype="segments"/>
          <w10:wrap anchorx="page" anchory="page"/>
        </v:shape>
      </w:pict>
    </w:r>
    <w:r>
      <w:pict w14:anchorId="51DEAB00">
        <v:shapetype id="_x0000_t202" coordsize="21600,21600" o:spt="202" path="m,l,21600r21600,l21600,xe">
          <v:stroke joinstyle="miter"/>
          <v:path gradientshapeok="t" o:connecttype="rect"/>
        </v:shapetype>
        <v:shape id="docshape809" o:spid="_x0000_s2318" type="#_x0000_t202" style="position:absolute;margin-left:193pt;margin-top:31.15pt;width:209.35pt;height:13pt;z-index:-25246720;mso-position-horizontal-relative:page;mso-position-vertical-relative:page" filled="f" stroked="f">
          <v:textbox inset="0,0,0,0">
            <w:txbxContent>
              <w:p w14:paraId="51DEACE5" w14:textId="77777777" w:rsidR="0010369C" w:rsidRDefault="008E43AE">
                <w:pPr>
                  <w:spacing w:line="244" w:lineRule="exact"/>
                  <w:ind w:left="20"/>
                </w:pPr>
                <w:r>
                  <w:t>Business</w:t>
                </w:r>
                <w:r>
                  <w:rPr>
                    <w:spacing w:val="-9"/>
                  </w:rPr>
                  <w:t xml:space="preserve"> </w:t>
                </w:r>
                <w:r>
                  <w:t>Confidential</w:t>
                </w:r>
                <w:r>
                  <w:rPr>
                    <w:spacing w:val="-7"/>
                  </w:rPr>
                  <w:t xml:space="preserve"> </w:t>
                </w:r>
                <w:r>
                  <w:t>Information</w:t>
                </w:r>
                <w:r>
                  <w:rPr>
                    <w:spacing w:val="-9"/>
                  </w:rPr>
                  <w:t xml:space="preserve"> </w:t>
                </w:r>
                <w:r>
                  <w:t>‐</w:t>
                </w:r>
                <w:r>
                  <w:rPr>
                    <w:spacing w:val="-7"/>
                  </w:rPr>
                  <w:t xml:space="preserve"> </w:t>
                </w:r>
                <w:r>
                  <w:rPr>
                    <w:spacing w:val="-2"/>
                  </w:rPr>
                  <w:t>REDACTED</w:t>
                </w:r>
              </w:p>
            </w:txbxContent>
          </v:textbox>
          <w10:wrap anchorx="page" anchory="page"/>
        </v:shape>
      </w:pic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DEA9FF" w14:textId="77777777" w:rsidR="0010369C" w:rsidRDefault="008E43AE">
    <w:pPr>
      <w:pStyle w:val="BodyText"/>
      <w:spacing w:line="14" w:lineRule="auto"/>
      <w:rPr>
        <w:sz w:val="20"/>
      </w:rPr>
    </w:pPr>
    <w:r>
      <w:pict w14:anchorId="51DEAB02">
        <v:shape id="docshape841" o:spid="_x0000_s2316" style="position:absolute;margin-left:65pt;margin-top:28.45pt;width:461.4pt;height:16.3pt;z-index:-25245696;mso-position-horizontal-relative:page;mso-position-vertical-relative:page" coordorigin="1300,569" coordsize="9228,326" o:spt="100" adj="0,,0" path="m10528,578r-10,l10518,884r-9209,l1309,578r-9,l1300,884r,10l1309,894r9209,l10528,894r,-10l10528,578xm10528,569r-10,l1309,569r-9,l1300,578r9,l10518,578r10,l10528,569xe" fillcolor="black" stroked="f">
          <v:stroke joinstyle="round"/>
          <v:formulas/>
          <v:path arrowok="t" o:connecttype="segments"/>
          <w10:wrap anchorx="page" anchory="page"/>
        </v:shape>
      </w:pict>
    </w:r>
    <w:r>
      <w:pict w14:anchorId="51DEAB03">
        <v:shapetype id="_x0000_t202" coordsize="21600,21600" o:spt="202" path="m,l,21600r21600,l21600,xe">
          <v:stroke joinstyle="miter"/>
          <v:path gradientshapeok="t" o:connecttype="rect"/>
        </v:shapetype>
        <v:shape id="docshape842" o:spid="_x0000_s2315" type="#_x0000_t202" style="position:absolute;margin-left:193pt;margin-top:31.15pt;width:209.35pt;height:13pt;z-index:-25245184;mso-position-horizontal-relative:page;mso-position-vertical-relative:page" filled="f" stroked="f">
          <v:textbox inset="0,0,0,0">
            <w:txbxContent>
              <w:p w14:paraId="51DEACE7" w14:textId="77777777" w:rsidR="0010369C" w:rsidRDefault="008E43AE">
                <w:pPr>
                  <w:spacing w:line="244" w:lineRule="exact"/>
                  <w:ind w:left="20"/>
                </w:pPr>
                <w:r>
                  <w:t>Business</w:t>
                </w:r>
                <w:r>
                  <w:rPr>
                    <w:spacing w:val="-9"/>
                  </w:rPr>
                  <w:t xml:space="preserve"> </w:t>
                </w:r>
                <w:r>
                  <w:t>Confidential</w:t>
                </w:r>
                <w:r>
                  <w:rPr>
                    <w:spacing w:val="-7"/>
                  </w:rPr>
                  <w:t xml:space="preserve"> </w:t>
                </w:r>
                <w:r>
                  <w:t>Information</w:t>
                </w:r>
                <w:r>
                  <w:rPr>
                    <w:spacing w:val="-9"/>
                  </w:rPr>
                  <w:t xml:space="preserve"> </w:t>
                </w:r>
                <w:r>
                  <w:t>‐</w:t>
                </w:r>
                <w:r>
                  <w:rPr>
                    <w:spacing w:val="-7"/>
                  </w:rPr>
                  <w:t xml:space="preserve"> </w:t>
                </w:r>
                <w:r>
                  <w:rPr>
                    <w:spacing w:val="-2"/>
                  </w:rPr>
                  <w:t>REDACTED</w:t>
                </w:r>
              </w:p>
            </w:txbxContent>
          </v:textbox>
          <w10:wrap anchorx="page" anchory="page"/>
        </v:shape>
      </w:pic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DEAA01" w14:textId="77777777" w:rsidR="0010369C" w:rsidRDefault="008E43AE">
    <w:pPr>
      <w:pStyle w:val="BodyText"/>
      <w:spacing w:line="14" w:lineRule="auto"/>
      <w:rPr>
        <w:sz w:val="20"/>
      </w:rPr>
    </w:pPr>
    <w:r>
      <w:pict w14:anchorId="51DEAB05">
        <v:shape id="docshape845" o:spid="_x0000_s2313" style="position:absolute;margin-left:65pt;margin-top:28.45pt;width:461.4pt;height:16.3pt;z-index:-25244160;mso-position-horizontal-relative:page;mso-position-vertical-relative:page" coordorigin="1300,569" coordsize="9228,326" o:spt="100" adj="0,,0" path="m10528,578r-10,l10518,884r-9209,l1309,578r-9,l1300,884r,10l1309,894r9209,l10528,894r,-10l10528,578xm10528,569r-10,l1309,569r-9,l1300,578r9,l10518,578r10,l10528,569xe" fillcolor="black" stroked="f">
          <v:stroke joinstyle="round"/>
          <v:formulas/>
          <v:path arrowok="t" o:connecttype="segments"/>
          <w10:wrap anchorx="page" anchory="page"/>
        </v:shape>
      </w:pict>
    </w:r>
    <w:r>
      <w:pict w14:anchorId="51DEAB06">
        <v:shapetype id="_x0000_t202" coordsize="21600,21600" o:spt="202" path="m,l,21600r21600,l21600,xe">
          <v:stroke joinstyle="miter"/>
          <v:path gradientshapeok="t" o:connecttype="rect"/>
        </v:shapetype>
        <v:shape id="docshape846" o:spid="_x0000_s2312" type="#_x0000_t202" style="position:absolute;margin-left:193pt;margin-top:31.15pt;width:209.35pt;height:13pt;z-index:-25243648;mso-position-horizontal-relative:page;mso-position-vertical-relative:page" filled="f" stroked="f">
          <v:textbox inset="0,0,0,0">
            <w:txbxContent>
              <w:p w14:paraId="51DEACE9" w14:textId="77777777" w:rsidR="0010369C" w:rsidRDefault="008E43AE">
                <w:pPr>
                  <w:spacing w:line="244" w:lineRule="exact"/>
                  <w:ind w:left="20"/>
                </w:pPr>
                <w:r>
                  <w:t>Business</w:t>
                </w:r>
                <w:r>
                  <w:rPr>
                    <w:spacing w:val="-9"/>
                  </w:rPr>
                  <w:t xml:space="preserve"> </w:t>
                </w:r>
                <w:r>
                  <w:t>Confidential</w:t>
                </w:r>
                <w:r>
                  <w:rPr>
                    <w:spacing w:val="-7"/>
                  </w:rPr>
                  <w:t xml:space="preserve"> </w:t>
                </w:r>
                <w:r>
                  <w:t>Information</w:t>
                </w:r>
                <w:r>
                  <w:rPr>
                    <w:spacing w:val="-9"/>
                  </w:rPr>
                  <w:t xml:space="preserve"> </w:t>
                </w:r>
                <w:r>
                  <w:t>‐</w:t>
                </w:r>
                <w:r>
                  <w:rPr>
                    <w:spacing w:val="-7"/>
                  </w:rPr>
                  <w:t xml:space="preserve"> </w:t>
                </w:r>
                <w:r>
                  <w:rPr>
                    <w:spacing w:val="-2"/>
                  </w:rPr>
                  <w:t>REDACTED</w:t>
                </w:r>
              </w:p>
            </w:txbxContent>
          </v:textbox>
          <w10:wrap anchorx="page" anchory="page"/>
        </v:shape>
      </w:pic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DEAA03" w14:textId="77777777" w:rsidR="0010369C" w:rsidRDefault="008E43AE">
    <w:pPr>
      <w:pStyle w:val="BodyText"/>
      <w:spacing w:line="14" w:lineRule="auto"/>
      <w:rPr>
        <w:sz w:val="20"/>
      </w:rPr>
    </w:pPr>
    <w:r>
      <w:pict w14:anchorId="51DEAB08">
        <v:shape id="docshape856" o:spid="_x0000_s2310" style="position:absolute;margin-left:65pt;margin-top:28.45pt;width:461.4pt;height:16.3pt;z-index:-25242624;mso-position-horizontal-relative:page;mso-position-vertical-relative:page" coordorigin="1300,569" coordsize="9228,326" o:spt="100" adj="0,,0" path="m10528,578r-10,l10518,884r-9209,l1309,578r-9,l1300,884r,10l1309,894r9209,l10528,894r,-10l10528,578xm10528,569r-10,l1309,569r-9,l1300,578r9,l10518,578r10,l10528,569xe" fillcolor="black" stroked="f">
          <v:stroke joinstyle="round"/>
          <v:formulas/>
          <v:path arrowok="t" o:connecttype="segments"/>
          <w10:wrap anchorx="page" anchory="page"/>
        </v:shape>
      </w:pict>
    </w:r>
    <w:r>
      <w:pict w14:anchorId="51DEAB09">
        <v:shapetype id="_x0000_t202" coordsize="21600,21600" o:spt="202" path="m,l,21600r21600,l21600,xe">
          <v:stroke joinstyle="miter"/>
          <v:path gradientshapeok="t" o:connecttype="rect"/>
        </v:shapetype>
        <v:shape id="docshape857" o:spid="_x0000_s2309" type="#_x0000_t202" style="position:absolute;margin-left:193pt;margin-top:31.15pt;width:209.35pt;height:13pt;z-index:-25242112;mso-position-horizontal-relative:page;mso-position-vertical-relative:page" filled="f" stroked="f">
          <v:textbox inset="0,0,0,0">
            <w:txbxContent>
              <w:p w14:paraId="51DEACEB" w14:textId="77777777" w:rsidR="0010369C" w:rsidRDefault="008E43AE">
                <w:pPr>
                  <w:spacing w:line="244" w:lineRule="exact"/>
                  <w:ind w:left="20"/>
                </w:pPr>
                <w:r>
                  <w:t>Business</w:t>
                </w:r>
                <w:r>
                  <w:rPr>
                    <w:spacing w:val="-9"/>
                  </w:rPr>
                  <w:t xml:space="preserve"> </w:t>
                </w:r>
                <w:r>
                  <w:t>Confidential</w:t>
                </w:r>
                <w:r>
                  <w:rPr>
                    <w:spacing w:val="-7"/>
                  </w:rPr>
                  <w:t xml:space="preserve"> </w:t>
                </w:r>
                <w:r>
                  <w:t>Information</w:t>
                </w:r>
                <w:r>
                  <w:rPr>
                    <w:spacing w:val="-9"/>
                  </w:rPr>
                  <w:t xml:space="preserve"> </w:t>
                </w:r>
                <w:r>
                  <w:t>‐</w:t>
                </w:r>
                <w:r>
                  <w:rPr>
                    <w:spacing w:val="-7"/>
                  </w:rPr>
                  <w:t xml:space="preserve"> </w:t>
                </w:r>
                <w:r>
                  <w:rPr>
                    <w:spacing w:val="-2"/>
                  </w:rPr>
                  <w:t>REDACTE</w:t>
                </w:r>
                <w:r>
                  <w:rPr>
                    <w:spacing w:val="-2"/>
                  </w:rPr>
                  <w:t>D</w:t>
                </w:r>
              </w:p>
            </w:txbxContent>
          </v:textbox>
          <w10:wrap anchorx="page" anchory="page"/>
        </v:shape>
      </w:pict>
    </w:r>
    <w:r>
      <w:pict w14:anchorId="51DEAB0A">
        <v:shape id="docshape858" o:spid="_x0000_s2308" type="#_x0000_t202" style="position:absolute;margin-left:69.9pt;margin-top:45.7pt;width:233.3pt;height:12.05pt;z-index:-25241600;mso-position-horizontal-relative:page;mso-position-vertical-relative:page" filled="f" stroked="f">
          <v:textbox inset="0,0,0,0">
            <w:txbxContent>
              <w:p w14:paraId="51DEACEC" w14:textId="77777777" w:rsidR="0010369C" w:rsidRDefault="008E43AE">
                <w:pPr>
                  <w:spacing w:line="224" w:lineRule="exact"/>
                  <w:ind w:left="20"/>
                  <w:rPr>
                    <w:i/>
                    <w:sz w:val="20"/>
                  </w:rPr>
                </w:pPr>
                <w:r>
                  <w:rPr>
                    <w:i/>
                    <w:sz w:val="20"/>
                  </w:rPr>
                  <w:t>China</w:t>
                </w:r>
                <w:r>
                  <w:rPr>
                    <w:i/>
                    <w:spacing w:val="-5"/>
                    <w:sz w:val="20"/>
                  </w:rPr>
                  <w:t xml:space="preserve"> </w:t>
                </w:r>
                <w:r>
                  <w:rPr>
                    <w:i/>
                    <w:sz w:val="20"/>
                  </w:rPr>
                  <w:t>–</w:t>
                </w:r>
                <w:r>
                  <w:rPr>
                    <w:i/>
                    <w:spacing w:val="-5"/>
                    <w:sz w:val="20"/>
                  </w:rPr>
                  <w:t xml:space="preserve"> </w:t>
                </w:r>
                <w:r>
                  <w:rPr>
                    <w:i/>
                    <w:sz w:val="20"/>
                  </w:rPr>
                  <w:t>Anti‐Dumping</w:t>
                </w:r>
                <w:r>
                  <w:rPr>
                    <w:i/>
                    <w:spacing w:val="-4"/>
                    <w:sz w:val="20"/>
                  </w:rPr>
                  <w:t xml:space="preserve"> </w:t>
                </w:r>
                <w:r>
                  <w:rPr>
                    <w:i/>
                    <w:sz w:val="20"/>
                  </w:rPr>
                  <w:t>and</w:t>
                </w:r>
                <w:r>
                  <w:rPr>
                    <w:i/>
                    <w:spacing w:val="-5"/>
                    <w:sz w:val="20"/>
                  </w:rPr>
                  <w:t xml:space="preserve"> </w:t>
                </w:r>
                <w:r>
                  <w:rPr>
                    <w:i/>
                    <w:sz w:val="20"/>
                  </w:rPr>
                  <w:t>Countervailing</w:t>
                </w:r>
                <w:r>
                  <w:rPr>
                    <w:i/>
                    <w:spacing w:val="-5"/>
                    <w:sz w:val="20"/>
                  </w:rPr>
                  <w:t xml:space="preserve"> </w:t>
                </w:r>
                <w:r>
                  <w:rPr>
                    <w:i/>
                    <w:sz w:val="20"/>
                  </w:rPr>
                  <w:t>Duty</w:t>
                </w:r>
                <w:r>
                  <w:rPr>
                    <w:i/>
                    <w:spacing w:val="-4"/>
                    <w:sz w:val="20"/>
                  </w:rPr>
                  <w:t xml:space="preserve"> </w:t>
                </w:r>
                <w:r>
                  <w:rPr>
                    <w:i/>
                    <w:spacing w:val="-2"/>
                    <w:sz w:val="20"/>
                  </w:rPr>
                  <w:t>Measures</w:t>
                </w:r>
              </w:p>
            </w:txbxContent>
          </v:textbox>
          <w10:wrap anchorx="page" anchory="page"/>
        </v:shape>
      </w:pict>
    </w:r>
    <w:r>
      <w:pict w14:anchorId="51DEAB0B">
        <v:shape id="docshape859" o:spid="_x0000_s2307" type="#_x0000_t202" style="position:absolute;margin-left:379.3pt;margin-top:45.7pt;width:146.05pt;height:12.05pt;z-index:-25241088;mso-position-horizontal-relative:page;mso-position-vertical-relative:page" filled="f" stroked="f">
          <v:textbox inset="0,0,0,0">
            <w:txbxContent>
              <w:p w14:paraId="51DEACED" w14:textId="77777777" w:rsidR="0010369C" w:rsidRDefault="008E43AE">
                <w:pPr>
                  <w:spacing w:line="224" w:lineRule="exact"/>
                  <w:ind w:left="20"/>
                  <w:rPr>
                    <w:sz w:val="20"/>
                  </w:rPr>
                </w:pPr>
                <w:r>
                  <w:rPr>
                    <w:sz w:val="20"/>
                  </w:rPr>
                  <w:t>Australia's</w:t>
                </w:r>
                <w:r>
                  <w:rPr>
                    <w:spacing w:val="-5"/>
                    <w:sz w:val="20"/>
                  </w:rPr>
                  <w:t xml:space="preserve"> </w:t>
                </w:r>
                <w:r>
                  <w:rPr>
                    <w:sz w:val="20"/>
                  </w:rPr>
                  <w:t>First</w:t>
                </w:r>
                <w:r>
                  <w:rPr>
                    <w:spacing w:val="-2"/>
                    <w:sz w:val="20"/>
                  </w:rPr>
                  <w:t xml:space="preserve"> </w:t>
                </w:r>
                <w:r>
                  <w:rPr>
                    <w:sz w:val="20"/>
                  </w:rPr>
                  <w:t>Written</w:t>
                </w:r>
                <w:r>
                  <w:rPr>
                    <w:spacing w:val="-2"/>
                    <w:sz w:val="20"/>
                  </w:rPr>
                  <w:t xml:space="preserve"> Submission</w:t>
                </w:r>
              </w:p>
            </w:txbxContent>
          </v:textbox>
          <w10:wrap anchorx="page" anchory="page"/>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DEA9BD" w14:textId="77777777" w:rsidR="0010369C" w:rsidRDefault="0010369C">
    <w:pPr>
      <w:pStyle w:val="BodyText"/>
      <w:spacing w:line="14" w:lineRule="auto"/>
      <w:rPr>
        <w:sz w:val="2"/>
      </w:rP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DEAA05" w14:textId="77777777" w:rsidR="0010369C" w:rsidRDefault="008E43AE">
    <w:pPr>
      <w:pStyle w:val="BodyText"/>
      <w:spacing w:line="14" w:lineRule="auto"/>
      <w:rPr>
        <w:sz w:val="20"/>
      </w:rPr>
    </w:pPr>
    <w:r>
      <w:pict w14:anchorId="51DEAB0D">
        <v:shape id="docshape877" o:spid="_x0000_s2305" style="position:absolute;margin-left:65pt;margin-top:28.45pt;width:461.4pt;height:16.3pt;z-index:-25240064;mso-position-horizontal-relative:page;mso-position-vertical-relative:page" coordorigin="1300,569" coordsize="9228,326" o:spt="100" adj="0,,0" path="m10528,578r-10,l10518,884r-9209,l1309,578r-9,l1300,884r,10l1309,894r9209,l10528,894r,-10l10528,578xm10528,569r-10,l1309,569r-9,l1300,578r9,l10518,578r10,l10528,569xe" fillcolor="black" stroked="f">
          <v:stroke joinstyle="round"/>
          <v:formulas/>
          <v:path arrowok="t" o:connecttype="segments"/>
          <w10:wrap anchorx="page" anchory="page"/>
        </v:shape>
      </w:pict>
    </w:r>
    <w:r>
      <w:pict w14:anchorId="51DEAB0E">
        <v:shapetype id="_x0000_t202" coordsize="21600,21600" o:spt="202" path="m,l,21600r21600,l21600,xe">
          <v:stroke joinstyle="miter"/>
          <v:path gradientshapeok="t" o:connecttype="rect"/>
        </v:shapetype>
        <v:shape id="docshape878" o:spid="_x0000_s2304" type="#_x0000_t202" style="position:absolute;margin-left:193pt;margin-top:31.15pt;width:209.35pt;height:13pt;z-index:-25239552;mso-position-horizontal-relative:page;mso-position-vertical-relative:page" filled="f" stroked="f">
          <v:textbox inset="0,0,0,0">
            <w:txbxContent>
              <w:p w14:paraId="51DEACEF" w14:textId="77777777" w:rsidR="0010369C" w:rsidRDefault="008E43AE">
                <w:pPr>
                  <w:spacing w:line="244" w:lineRule="exact"/>
                  <w:ind w:left="20"/>
                </w:pPr>
                <w:r>
                  <w:t>Business</w:t>
                </w:r>
                <w:r>
                  <w:rPr>
                    <w:spacing w:val="-9"/>
                  </w:rPr>
                  <w:t xml:space="preserve"> </w:t>
                </w:r>
                <w:r>
                  <w:t>Confidential</w:t>
                </w:r>
                <w:r>
                  <w:rPr>
                    <w:spacing w:val="-7"/>
                  </w:rPr>
                  <w:t xml:space="preserve"> </w:t>
                </w:r>
                <w:r>
                  <w:t>Information</w:t>
                </w:r>
                <w:r>
                  <w:rPr>
                    <w:spacing w:val="-9"/>
                  </w:rPr>
                  <w:t xml:space="preserve"> </w:t>
                </w:r>
                <w:r>
                  <w:t>‐</w:t>
                </w:r>
                <w:r>
                  <w:rPr>
                    <w:spacing w:val="-7"/>
                  </w:rPr>
                  <w:t xml:space="preserve"> </w:t>
                </w:r>
                <w:r>
                  <w:rPr>
                    <w:spacing w:val="-2"/>
                  </w:rPr>
                  <w:t>REDACTED</w:t>
                </w:r>
              </w:p>
            </w:txbxContent>
          </v:textbox>
          <w10:wrap anchorx="page" anchory="page"/>
        </v:shape>
      </w:pic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DEAA07" w14:textId="77777777" w:rsidR="0010369C" w:rsidRDefault="008E43AE">
    <w:pPr>
      <w:pStyle w:val="BodyText"/>
      <w:spacing w:line="14" w:lineRule="auto"/>
      <w:rPr>
        <w:sz w:val="20"/>
      </w:rPr>
    </w:pPr>
    <w:r>
      <w:pict w14:anchorId="51DEAB10">
        <v:shape id="docshape887" o:spid="_x0000_s2302" style="position:absolute;margin-left:65pt;margin-top:28.45pt;width:461.4pt;height:16.3pt;z-index:-25238528;mso-position-horizontal-relative:page;mso-position-vertical-relative:page" coordorigin="1300,569" coordsize="9228,326" o:spt="100" adj="0,,0" path="m10528,578r-10,l10518,884r-9209,l1309,578r-9,l1300,884r,10l1309,894r9209,l10528,894r,-10l10528,578xm10528,569r-10,l1309,569r-9,l1300,578r9,l10518,578r10,l10528,569xe" fillcolor="black" stroked="f">
          <v:stroke joinstyle="round"/>
          <v:formulas/>
          <v:path arrowok="t" o:connecttype="segments"/>
          <w10:wrap anchorx="page" anchory="page"/>
        </v:shape>
      </w:pict>
    </w:r>
    <w:r>
      <w:pict w14:anchorId="51DEAB11">
        <v:shapetype id="_x0000_t202" coordsize="21600,21600" o:spt="202" path="m,l,21600r21600,l21600,xe">
          <v:stroke joinstyle="miter"/>
          <v:path gradientshapeok="t" o:connecttype="rect"/>
        </v:shapetype>
        <v:shape id="docshape888" o:spid="_x0000_s2301" type="#_x0000_t202" style="position:absolute;margin-left:193pt;margin-top:31.15pt;width:209.35pt;height:13pt;z-index:-25238016;mso-position-horizontal-relative:page;mso-position-vertical-relative:page" filled="f" stroked="f">
          <v:textbox inset="0,0,0,0">
            <w:txbxContent>
              <w:p w14:paraId="51DEACF1" w14:textId="77777777" w:rsidR="0010369C" w:rsidRDefault="008E43AE">
                <w:pPr>
                  <w:spacing w:line="244" w:lineRule="exact"/>
                  <w:ind w:left="20"/>
                </w:pPr>
                <w:r>
                  <w:t>Business</w:t>
                </w:r>
                <w:r>
                  <w:rPr>
                    <w:spacing w:val="-9"/>
                  </w:rPr>
                  <w:t xml:space="preserve"> </w:t>
                </w:r>
                <w:r>
                  <w:t>Confidential</w:t>
                </w:r>
                <w:r>
                  <w:rPr>
                    <w:spacing w:val="-7"/>
                  </w:rPr>
                  <w:t xml:space="preserve"> </w:t>
                </w:r>
                <w:r>
                  <w:t>Information</w:t>
                </w:r>
                <w:r>
                  <w:rPr>
                    <w:spacing w:val="-9"/>
                  </w:rPr>
                  <w:t xml:space="preserve"> </w:t>
                </w:r>
                <w:r>
                  <w:t>‐</w:t>
                </w:r>
                <w:r>
                  <w:rPr>
                    <w:spacing w:val="-7"/>
                  </w:rPr>
                  <w:t xml:space="preserve"> </w:t>
                </w:r>
                <w:r>
                  <w:rPr>
                    <w:spacing w:val="-2"/>
                  </w:rPr>
                  <w:t>REDACTED</w:t>
                </w:r>
              </w:p>
            </w:txbxContent>
          </v:textbox>
          <w10:wrap anchorx="page" anchory="page"/>
        </v:shape>
      </w:pic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DEAA09" w14:textId="77777777" w:rsidR="0010369C" w:rsidRDefault="008E43AE">
    <w:pPr>
      <w:pStyle w:val="BodyText"/>
      <w:spacing w:line="14" w:lineRule="auto"/>
      <w:rPr>
        <w:sz w:val="20"/>
      </w:rPr>
    </w:pPr>
    <w:r>
      <w:pict w14:anchorId="51DEAB14">
        <v:shape id="docshape891" o:spid="_x0000_s2298" style="position:absolute;margin-left:65pt;margin-top:28.45pt;width:461.4pt;height:16.3pt;z-index:-25236480;mso-position-horizontal-relative:page;mso-position-vertical-relative:page" coordorigin="1300,569" coordsize="9228,326" o:spt="100" adj="0,,0" path="m10528,578r-10,l10518,884r-9209,l1309,578r-9,l1300,884r,10l1309,894r9209,l10528,894r,-10l10528,578xm10528,569r-10,l1309,569r-9,l1300,578r9,l10518,578r10,l10528,569xe" fillcolor="black" stroked="f">
          <v:stroke joinstyle="round"/>
          <v:formulas/>
          <v:path arrowok="t" o:connecttype="segments"/>
          <w10:wrap anchorx="page" anchory="page"/>
        </v:shape>
      </w:pict>
    </w:r>
    <w:r>
      <w:pict w14:anchorId="51DEAB15">
        <v:shapetype id="_x0000_t202" coordsize="21600,21600" o:spt="202" path="m,l,21600r21600,l21600,xe">
          <v:stroke joinstyle="miter"/>
          <v:path gradientshapeok="t" o:connecttype="rect"/>
        </v:shapetype>
        <v:shape id="docshape892" o:spid="_x0000_s2297" type="#_x0000_t202" style="position:absolute;margin-left:193pt;margin-top:31.15pt;width:209.35pt;height:13pt;z-index:-25235968;mso-position-horizontal-relative:page;mso-position-vertical-relative:page" filled="f" stroked="f">
          <v:textbox inset="0,0,0,0">
            <w:txbxContent>
              <w:p w14:paraId="51DEACF3" w14:textId="77777777" w:rsidR="0010369C" w:rsidRDefault="008E43AE">
                <w:pPr>
                  <w:spacing w:line="244" w:lineRule="exact"/>
                  <w:ind w:left="20"/>
                </w:pPr>
                <w:r>
                  <w:t>Business</w:t>
                </w:r>
                <w:r>
                  <w:rPr>
                    <w:spacing w:val="-9"/>
                  </w:rPr>
                  <w:t xml:space="preserve"> </w:t>
                </w:r>
                <w:r>
                  <w:t>Confidential</w:t>
                </w:r>
                <w:r>
                  <w:rPr>
                    <w:spacing w:val="-7"/>
                  </w:rPr>
                  <w:t xml:space="preserve"> </w:t>
                </w:r>
                <w:r>
                  <w:t>Information</w:t>
                </w:r>
                <w:r>
                  <w:rPr>
                    <w:spacing w:val="-9"/>
                  </w:rPr>
                  <w:t xml:space="preserve"> </w:t>
                </w:r>
                <w:r>
                  <w:t>‐</w:t>
                </w:r>
                <w:r>
                  <w:rPr>
                    <w:spacing w:val="-7"/>
                  </w:rPr>
                  <w:t xml:space="preserve"> </w:t>
                </w:r>
                <w:r>
                  <w:rPr>
                    <w:spacing w:val="-2"/>
                  </w:rPr>
                  <w:t>REDACTED</w:t>
                </w:r>
              </w:p>
            </w:txbxContent>
          </v:textbox>
          <w10:wrap anchorx="page" anchory="page"/>
        </v:shape>
      </w:pic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DEAA0B" w14:textId="77777777" w:rsidR="0010369C" w:rsidRDefault="008E43AE">
    <w:pPr>
      <w:pStyle w:val="BodyText"/>
      <w:spacing w:line="14" w:lineRule="auto"/>
      <w:rPr>
        <w:sz w:val="20"/>
      </w:rPr>
    </w:pPr>
    <w:r>
      <w:pict w14:anchorId="51DEAB17">
        <v:shape id="docshape898" o:spid="_x0000_s2295" style="position:absolute;margin-left:65pt;margin-top:28.45pt;width:461.4pt;height:16.3pt;z-index:-25234944;mso-position-horizontal-relative:page;mso-position-vertical-relative:page" coordorigin="1300,569" coordsize="9228,326" o:spt="100" adj="0,,0" path="m10528,578r-10,l10518,884r-9209,l1309,578r-9,l1300,884r,10l1309,894r9209,l10528,894r,-10l10528,578xm10528,569r-10,l1309,569r-9,l1300,578r9,l10518,578r10,l10528,569xe" fillcolor="black" stroked="f">
          <v:stroke joinstyle="round"/>
          <v:formulas/>
          <v:path arrowok="t" o:connecttype="segments"/>
          <w10:wrap anchorx="page" anchory="page"/>
        </v:shape>
      </w:pict>
    </w:r>
    <w:r>
      <w:pict w14:anchorId="51DEAB18">
        <v:shapetype id="_x0000_t202" coordsize="21600,21600" o:spt="202" path="m,l,21600r21600,l21600,xe">
          <v:stroke joinstyle="miter"/>
          <v:path gradientshapeok="t" o:connecttype="rect"/>
        </v:shapetype>
        <v:shape id="docshape899" o:spid="_x0000_s2294" type="#_x0000_t202" style="position:absolute;margin-left:193pt;margin-top:31.15pt;width:209.35pt;height:13pt;z-index:-25234432;mso-position-horizontal-relative:page;mso-position-vertical-relative:page" filled="f" stroked="f">
          <v:textbox inset="0,0,0,0">
            <w:txbxContent>
              <w:p w14:paraId="51DEACF5" w14:textId="77777777" w:rsidR="0010369C" w:rsidRDefault="008E43AE">
                <w:pPr>
                  <w:spacing w:line="244" w:lineRule="exact"/>
                  <w:ind w:left="20"/>
                </w:pPr>
                <w:r>
                  <w:t>Business</w:t>
                </w:r>
                <w:r>
                  <w:rPr>
                    <w:spacing w:val="-9"/>
                  </w:rPr>
                  <w:t xml:space="preserve"> </w:t>
                </w:r>
                <w:r>
                  <w:t>Confidential</w:t>
                </w:r>
                <w:r>
                  <w:rPr>
                    <w:spacing w:val="-7"/>
                  </w:rPr>
                  <w:t xml:space="preserve"> </w:t>
                </w:r>
                <w:r>
                  <w:t>Information</w:t>
                </w:r>
                <w:r>
                  <w:rPr>
                    <w:spacing w:val="-9"/>
                  </w:rPr>
                  <w:t xml:space="preserve"> </w:t>
                </w:r>
                <w:r>
                  <w:t>‐</w:t>
                </w:r>
                <w:r>
                  <w:rPr>
                    <w:spacing w:val="-7"/>
                  </w:rPr>
                  <w:t xml:space="preserve"> </w:t>
                </w:r>
                <w:r>
                  <w:rPr>
                    <w:spacing w:val="-2"/>
                  </w:rPr>
                  <w:t>REDACTED</w:t>
                </w:r>
              </w:p>
            </w:txbxContent>
          </v:textbox>
          <w10:wrap anchorx="page" anchory="page"/>
        </v:shape>
      </w:pic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DEAA0D" w14:textId="77777777" w:rsidR="0010369C" w:rsidRDefault="008E43AE">
    <w:pPr>
      <w:pStyle w:val="BodyText"/>
      <w:spacing w:line="14" w:lineRule="auto"/>
      <w:rPr>
        <w:sz w:val="20"/>
      </w:rPr>
    </w:pPr>
    <w:r>
      <w:pict w14:anchorId="51DEAB1B">
        <v:shape id="docshape902" o:spid="_x0000_s2291" style="position:absolute;margin-left:65pt;margin-top:28.45pt;width:461.4pt;height:16.3pt;z-index:-25232896;mso-position-horizontal-relative:page;mso-position-vertical-relative:page" coordorigin="1300,569" coordsize="9228,326" o:spt="100" adj="0,,0" path="m10528,578r-10,l10518,884r-9209,l1309,578r-9,l1300,884r,10l1309,894r9209,l10528,894r,-10l10528,578xm10528,569r-10,l1309,569r-9,l1300,578r9,l10518,578r10,l10528,569xe" fillcolor="black" stroked="f">
          <v:stroke joinstyle="round"/>
          <v:formulas/>
          <v:path arrowok="t" o:connecttype="segments"/>
          <w10:wrap anchorx="page" anchory="page"/>
        </v:shape>
      </w:pict>
    </w:r>
    <w:r>
      <w:pict w14:anchorId="51DEAB1C">
        <v:shapetype id="_x0000_t202" coordsize="21600,21600" o:spt="202" path="m,l,21600r21600,l21600,xe">
          <v:stroke joinstyle="miter"/>
          <v:path gradientshapeok="t" o:connecttype="rect"/>
        </v:shapetype>
        <v:shape id="docshape903" o:spid="_x0000_s2290" type="#_x0000_t202" style="position:absolute;margin-left:193pt;margin-top:31.15pt;width:209.35pt;height:13pt;z-index:-25232384;mso-position-horizontal-relative:page;mso-position-vertical-relative:page" filled="f" stroked="f">
          <v:textbox inset="0,0,0,0">
            <w:txbxContent>
              <w:p w14:paraId="51DEACF7" w14:textId="77777777" w:rsidR="0010369C" w:rsidRDefault="008E43AE">
                <w:pPr>
                  <w:spacing w:line="244" w:lineRule="exact"/>
                  <w:ind w:left="20"/>
                </w:pPr>
                <w:r>
                  <w:t>Business</w:t>
                </w:r>
                <w:r>
                  <w:rPr>
                    <w:spacing w:val="-9"/>
                  </w:rPr>
                  <w:t xml:space="preserve"> </w:t>
                </w:r>
                <w:r>
                  <w:t>Confidential</w:t>
                </w:r>
                <w:r>
                  <w:rPr>
                    <w:spacing w:val="-7"/>
                  </w:rPr>
                  <w:t xml:space="preserve"> </w:t>
                </w:r>
                <w:r>
                  <w:t>Information</w:t>
                </w:r>
                <w:r>
                  <w:rPr>
                    <w:spacing w:val="-9"/>
                  </w:rPr>
                  <w:t xml:space="preserve"> </w:t>
                </w:r>
                <w:r>
                  <w:t>‐</w:t>
                </w:r>
                <w:r>
                  <w:rPr>
                    <w:spacing w:val="-7"/>
                  </w:rPr>
                  <w:t xml:space="preserve"> </w:t>
                </w:r>
                <w:r>
                  <w:rPr>
                    <w:spacing w:val="-2"/>
                  </w:rPr>
                  <w:t>REDACTED</w:t>
                </w:r>
              </w:p>
            </w:txbxContent>
          </v:textbox>
          <w10:wrap anchorx="page" anchory="page"/>
        </v:shape>
      </w:pic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DEAA0F" w14:textId="77777777" w:rsidR="0010369C" w:rsidRDefault="008E43AE">
    <w:pPr>
      <w:pStyle w:val="BodyText"/>
      <w:spacing w:line="14" w:lineRule="auto"/>
      <w:rPr>
        <w:sz w:val="20"/>
      </w:rPr>
    </w:pPr>
    <w:r>
      <w:pict w14:anchorId="51DEAB1E">
        <v:shape id="docshape906" o:spid="_x0000_s2288" style="position:absolute;margin-left:65pt;margin-top:28.45pt;width:461.4pt;height:16.3pt;z-index:-25231360;mso-position-horizontal-relative:page;mso-position-vertical-relative:page" coordorigin="1300,569" coordsize="9228,326" o:spt="100" adj="0,,0" path="m10528,578r-10,l10518,884r-9209,l1309,578r-9,l1300,884r,10l1309,894r9209,l10528,894r,-10l10528,578xm10528,569r-10,l1309,569r-9,l1300,578r9,l10518,578r10,l10528,569xe" fillcolor="black" stroked="f">
          <v:stroke joinstyle="round"/>
          <v:formulas/>
          <v:path arrowok="t" o:connecttype="segments"/>
          <w10:wrap anchorx="page" anchory="page"/>
        </v:shape>
      </w:pict>
    </w:r>
    <w:r>
      <w:pict w14:anchorId="51DEAB1F">
        <v:shapetype id="_x0000_t202" coordsize="21600,21600" o:spt="202" path="m,l,21600r21600,l21600,xe">
          <v:stroke joinstyle="miter"/>
          <v:path gradientshapeok="t" o:connecttype="rect"/>
        </v:shapetype>
        <v:shape id="docshape907" o:spid="_x0000_s2287" type="#_x0000_t202" style="position:absolute;margin-left:193pt;margin-top:31.15pt;width:209.35pt;height:13pt;z-index:-25230848;mso-position-horizontal-relative:page;mso-position-vertical-relative:page" filled="f" stroked="f">
          <v:textbox inset="0,0,0,0">
            <w:txbxContent>
              <w:p w14:paraId="51DEACF9" w14:textId="77777777" w:rsidR="0010369C" w:rsidRDefault="008E43AE">
                <w:pPr>
                  <w:spacing w:line="244" w:lineRule="exact"/>
                  <w:ind w:left="20"/>
                </w:pPr>
                <w:r>
                  <w:t>Business</w:t>
                </w:r>
                <w:r>
                  <w:rPr>
                    <w:spacing w:val="-9"/>
                  </w:rPr>
                  <w:t xml:space="preserve"> </w:t>
                </w:r>
                <w:r>
                  <w:t>Confidential</w:t>
                </w:r>
                <w:r>
                  <w:rPr>
                    <w:spacing w:val="-7"/>
                  </w:rPr>
                  <w:t xml:space="preserve"> </w:t>
                </w:r>
                <w:r>
                  <w:t>Information</w:t>
                </w:r>
                <w:r>
                  <w:rPr>
                    <w:spacing w:val="-9"/>
                  </w:rPr>
                  <w:t xml:space="preserve"> </w:t>
                </w:r>
                <w:r>
                  <w:t>‐</w:t>
                </w:r>
                <w:r>
                  <w:rPr>
                    <w:spacing w:val="-7"/>
                  </w:rPr>
                  <w:t xml:space="preserve"> </w:t>
                </w:r>
                <w:r>
                  <w:rPr>
                    <w:spacing w:val="-2"/>
                  </w:rPr>
                  <w:t>REDACTED</w:t>
                </w:r>
              </w:p>
            </w:txbxContent>
          </v:textbox>
          <w10:wrap anchorx="page" anchory="page"/>
        </v:shape>
      </w:pic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DEAA11" w14:textId="77777777" w:rsidR="0010369C" w:rsidRDefault="008E43AE">
    <w:pPr>
      <w:pStyle w:val="BodyText"/>
      <w:spacing w:line="14" w:lineRule="auto"/>
      <w:rPr>
        <w:sz w:val="20"/>
      </w:rPr>
    </w:pPr>
    <w:r>
      <w:pict w14:anchorId="51DEAB22">
        <v:shape id="docshape910" o:spid="_x0000_s2284" style="position:absolute;margin-left:65pt;margin-top:28.45pt;width:461.4pt;height:16.3pt;z-index:-25229312;mso-position-horizontal-relative:page;mso-position-vertical-relative:page" coordorigin="1300,569" coordsize="9228,326" o:spt="100" adj="0,,0" path="m10528,578r-10,l10518,884r-9209,l1309,578r-9,l1300,884r,10l1309,894r9209,l10528,894r,-10l10528,578xm10528,569r-10,l1309,569r-9,l1300,578r9,l10518,578r10,l10528,569xe" fillcolor="black" stroked="f">
          <v:stroke joinstyle="round"/>
          <v:formulas/>
          <v:path arrowok="t" o:connecttype="segments"/>
          <w10:wrap anchorx="page" anchory="page"/>
        </v:shape>
      </w:pict>
    </w:r>
    <w:r>
      <w:pict w14:anchorId="51DEAB23">
        <v:shapetype id="_x0000_t202" coordsize="21600,21600" o:spt="202" path="m,l,21600r21600,l21600,xe">
          <v:stroke joinstyle="miter"/>
          <v:path gradientshapeok="t" o:connecttype="rect"/>
        </v:shapetype>
        <v:shape id="docshape911" o:spid="_x0000_s2283" type="#_x0000_t202" style="position:absolute;margin-left:193pt;margin-top:31.15pt;width:209.35pt;height:13pt;z-index:-25228800;mso-position-horizontal-relative:page;mso-position-vertical-relative:page" filled="f" stroked="f">
          <v:textbox inset="0,0,0,0">
            <w:txbxContent>
              <w:p w14:paraId="51DEACFB" w14:textId="77777777" w:rsidR="0010369C" w:rsidRDefault="008E43AE">
                <w:pPr>
                  <w:spacing w:line="244" w:lineRule="exact"/>
                  <w:ind w:left="20"/>
                </w:pPr>
                <w:r>
                  <w:t>Business</w:t>
                </w:r>
                <w:r>
                  <w:rPr>
                    <w:spacing w:val="-9"/>
                  </w:rPr>
                  <w:t xml:space="preserve"> </w:t>
                </w:r>
                <w:r>
                  <w:t>Confidential</w:t>
                </w:r>
                <w:r>
                  <w:rPr>
                    <w:spacing w:val="-7"/>
                  </w:rPr>
                  <w:t xml:space="preserve"> </w:t>
                </w:r>
                <w:r>
                  <w:t>Information</w:t>
                </w:r>
                <w:r>
                  <w:rPr>
                    <w:spacing w:val="-9"/>
                  </w:rPr>
                  <w:t xml:space="preserve"> </w:t>
                </w:r>
                <w:r>
                  <w:t>‐</w:t>
                </w:r>
                <w:r>
                  <w:rPr>
                    <w:spacing w:val="-7"/>
                  </w:rPr>
                  <w:t xml:space="preserve"> </w:t>
                </w:r>
                <w:r>
                  <w:rPr>
                    <w:spacing w:val="-2"/>
                  </w:rPr>
                  <w:t>REDACTED</w:t>
                </w:r>
              </w:p>
            </w:txbxContent>
          </v:textbox>
          <w10:wrap anchorx="page" anchory="page"/>
        </v:shape>
      </w:pic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DEAA13" w14:textId="77777777" w:rsidR="0010369C" w:rsidRDefault="008E43AE">
    <w:pPr>
      <w:pStyle w:val="BodyText"/>
      <w:spacing w:line="14" w:lineRule="auto"/>
      <w:rPr>
        <w:sz w:val="20"/>
      </w:rPr>
    </w:pPr>
    <w:r>
      <w:pict w14:anchorId="51DEAB25">
        <v:shape id="docshape917" o:spid="_x0000_s2281" style="position:absolute;margin-left:65pt;margin-top:28.45pt;width:461.4pt;height:16.3pt;z-index:-25227776;mso-position-horizontal-relative:page;mso-position-vertical-relative:page" coordorigin="1300,569" coordsize="9228,326" o:spt="100" adj="0,,0" path="m10528,578r-10,l10518,884r-9209,l1309,578r-9,l1300,884r,10l1309,894r9209,l10528,894r,-10l10528,578xm10528,569r-10,l1309,569r-9,l1300,578r9,l10518,578r10,l10528,569xe" fillcolor="black" stroked="f">
          <v:stroke joinstyle="round"/>
          <v:formulas/>
          <v:path arrowok="t" o:connecttype="segments"/>
          <w10:wrap anchorx="page" anchory="page"/>
        </v:shape>
      </w:pict>
    </w:r>
    <w:r>
      <w:pict w14:anchorId="51DEAB26">
        <v:shapetype id="_x0000_t202" coordsize="21600,21600" o:spt="202" path="m,l,21600r21600,l21600,xe">
          <v:stroke joinstyle="miter"/>
          <v:path gradientshapeok="t" o:connecttype="rect"/>
        </v:shapetype>
        <v:shape id="docshape918" o:spid="_x0000_s2280" type="#_x0000_t202" style="position:absolute;margin-left:193pt;margin-top:31.15pt;width:209.35pt;height:13pt;z-index:-25227264;mso-position-horizontal-relative:page;mso-position-vertical-relative:page" filled="f" stroked="f">
          <v:textbox inset="0,0,0,0">
            <w:txbxContent>
              <w:p w14:paraId="51DEACFD" w14:textId="77777777" w:rsidR="0010369C" w:rsidRDefault="008E43AE">
                <w:pPr>
                  <w:spacing w:line="244" w:lineRule="exact"/>
                  <w:ind w:left="20"/>
                </w:pPr>
                <w:r>
                  <w:t>Business</w:t>
                </w:r>
                <w:r>
                  <w:rPr>
                    <w:spacing w:val="-9"/>
                  </w:rPr>
                  <w:t xml:space="preserve"> </w:t>
                </w:r>
                <w:r>
                  <w:t>Confidential</w:t>
                </w:r>
                <w:r>
                  <w:rPr>
                    <w:spacing w:val="-7"/>
                  </w:rPr>
                  <w:t xml:space="preserve"> </w:t>
                </w:r>
                <w:r>
                  <w:t>Information</w:t>
                </w:r>
                <w:r>
                  <w:rPr>
                    <w:spacing w:val="-9"/>
                  </w:rPr>
                  <w:t xml:space="preserve"> </w:t>
                </w:r>
                <w:r>
                  <w:t>‐</w:t>
                </w:r>
                <w:r>
                  <w:rPr>
                    <w:spacing w:val="-7"/>
                  </w:rPr>
                  <w:t xml:space="preserve"> </w:t>
                </w:r>
                <w:r>
                  <w:rPr>
                    <w:spacing w:val="-2"/>
                  </w:rPr>
                  <w:t>REDACTED</w:t>
                </w:r>
              </w:p>
            </w:txbxContent>
          </v:textbox>
          <w10:wrap anchorx="page" anchory="page"/>
        </v:shape>
      </w:pic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DEAA15" w14:textId="77777777" w:rsidR="0010369C" w:rsidRDefault="008E43AE">
    <w:pPr>
      <w:pStyle w:val="BodyText"/>
      <w:spacing w:line="14" w:lineRule="auto"/>
      <w:rPr>
        <w:sz w:val="20"/>
      </w:rPr>
    </w:pPr>
    <w:r>
      <w:pict w14:anchorId="51DEAB29">
        <v:shape id="docshape921" o:spid="_x0000_s2277" style="position:absolute;margin-left:65pt;margin-top:28.45pt;width:461.4pt;height:16.3pt;z-index:-25225728;mso-position-horizontal-relative:page;mso-position-vertical-relative:page" coordorigin="1300,569" coordsize="9228,326" o:spt="100" adj="0,,0" path="m10528,578r-10,l10518,884r-9209,l1309,578r-9,l1300,884r,10l1309,894r9209,l10528,894r,-10l10528,578xm10528,569r-10,l1309,569r-9,l1300,578r9,l10518,578r10,l10528,569xe" fillcolor="black" stroked="f">
          <v:stroke joinstyle="round"/>
          <v:formulas/>
          <v:path arrowok="t" o:connecttype="segments"/>
          <w10:wrap anchorx="page" anchory="page"/>
        </v:shape>
      </w:pict>
    </w:r>
    <w:r>
      <w:pict w14:anchorId="51DEAB2A">
        <v:shapetype id="_x0000_t202" coordsize="21600,21600" o:spt="202" path="m,l,21600r21600,l21600,xe">
          <v:stroke joinstyle="miter"/>
          <v:path gradientshapeok="t" o:connecttype="rect"/>
        </v:shapetype>
        <v:shape id="docshape922" o:spid="_x0000_s2276" type="#_x0000_t202" style="position:absolute;margin-left:193pt;margin-top:31.15pt;width:209.35pt;height:13pt;z-index:-25225216;mso-position-horizontal-relative:page;mso-position-vertical-relative:page" filled="f" stroked="f">
          <v:textbox inset="0,0,0,0">
            <w:txbxContent>
              <w:p w14:paraId="51DEACFF" w14:textId="77777777" w:rsidR="0010369C" w:rsidRDefault="008E43AE">
                <w:pPr>
                  <w:spacing w:line="244" w:lineRule="exact"/>
                  <w:ind w:left="20"/>
                </w:pPr>
                <w:r>
                  <w:t>Business</w:t>
                </w:r>
                <w:r>
                  <w:rPr>
                    <w:spacing w:val="-9"/>
                  </w:rPr>
                  <w:t xml:space="preserve"> </w:t>
                </w:r>
                <w:r>
                  <w:t>Confidential</w:t>
                </w:r>
                <w:r>
                  <w:rPr>
                    <w:spacing w:val="-7"/>
                  </w:rPr>
                  <w:t xml:space="preserve"> </w:t>
                </w:r>
                <w:r>
                  <w:t>Information</w:t>
                </w:r>
                <w:r>
                  <w:rPr>
                    <w:spacing w:val="-9"/>
                  </w:rPr>
                  <w:t xml:space="preserve"> </w:t>
                </w:r>
                <w:r>
                  <w:t>‐</w:t>
                </w:r>
                <w:r>
                  <w:rPr>
                    <w:spacing w:val="-7"/>
                  </w:rPr>
                  <w:t xml:space="preserve"> </w:t>
                </w:r>
                <w:r>
                  <w:rPr>
                    <w:spacing w:val="-2"/>
                  </w:rPr>
                  <w:t>REDACTED</w:t>
                </w:r>
              </w:p>
            </w:txbxContent>
          </v:textbox>
          <w10:wrap anchorx="page" anchory="page"/>
        </v:shape>
      </w:pic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DEAA17" w14:textId="77777777" w:rsidR="0010369C" w:rsidRDefault="008E43AE">
    <w:pPr>
      <w:pStyle w:val="BodyText"/>
      <w:spacing w:line="14" w:lineRule="auto"/>
      <w:rPr>
        <w:sz w:val="20"/>
      </w:rPr>
    </w:pPr>
    <w:r>
      <w:pict w14:anchorId="51DEAB2E">
        <v:shape id="docshape931" o:spid="_x0000_s2272" style="position:absolute;margin-left:65pt;margin-top:28.45pt;width:461.4pt;height:16.3pt;z-index:-25223168;mso-position-horizontal-relative:page;mso-position-vertical-relative:page" coordorigin="1300,569" coordsize="9228,326" o:spt="100" adj="0,,0" path="m10528,578r-10,l10518,884r-9209,l1309,578r-9,l1300,884r,10l1309,894r9209,l10528,894r,-10l10528,578xm10528,569r-10,l1309,569r-9,l1300,578r9,l10518,578r10,l10528,569xe" fillcolor="black" stroked="f">
          <v:stroke joinstyle="round"/>
          <v:formulas/>
          <v:path arrowok="t" o:connecttype="segments"/>
          <w10:wrap anchorx="page" anchory="page"/>
        </v:shape>
      </w:pict>
    </w:r>
    <w:r>
      <w:pict w14:anchorId="51DEAB2F">
        <v:shapetype id="_x0000_t202" coordsize="21600,21600" o:spt="202" path="m,l,21600r21600,l21600,xe">
          <v:stroke joinstyle="miter"/>
          <v:path gradientshapeok="t" o:connecttype="rect"/>
        </v:shapetype>
        <v:shape id="docshape932" o:spid="_x0000_s2271" type="#_x0000_t202" style="position:absolute;margin-left:193pt;margin-top:31.15pt;width:209.35pt;height:13pt;z-index:-25222656;mso-position-horizontal-relative:page;mso-position-vertical-relative:page" filled="f" stroked="f">
          <v:textbox inset="0,0,0,0">
            <w:txbxContent>
              <w:p w14:paraId="51DEAD04" w14:textId="77777777" w:rsidR="0010369C" w:rsidRDefault="008E43AE">
                <w:pPr>
                  <w:spacing w:line="244" w:lineRule="exact"/>
                  <w:ind w:left="20"/>
                </w:pPr>
                <w:r>
                  <w:t>Business</w:t>
                </w:r>
                <w:r>
                  <w:rPr>
                    <w:spacing w:val="-9"/>
                  </w:rPr>
                  <w:t xml:space="preserve"> </w:t>
                </w:r>
                <w:r>
                  <w:t>Confidential</w:t>
                </w:r>
                <w:r>
                  <w:rPr>
                    <w:spacing w:val="-7"/>
                  </w:rPr>
                  <w:t xml:space="preserve"> </w:t>
                </w:r>
                <w:r>
                  <w:t>Information</w:t>
                </w:r>
                <w:r>
                  <w:rPr>
                    <w:spacing w:val="-9"/>
                  </w:rPr>
                  <w:t xml:space="preserve"> </w:t>
                </w:r>
                <w:r>
                  <w:t>‐</w:t>
                </w:r>
                <w:r>
                  <w:rPr>
                    <w:spacing w:val="-7"/>
                  </w:rPr>
                  <w:t xml:space="preserve"> </w:t>
                </w:r>
                <w:r>
                  <w:rPr>
                    <w:spacing w:val="-2"/>
                  </w:rPr>
                  <w:t>REDACTED</w:t>
                </w:r>
              </w:p>
            </w:txbxContent>
          </v:textbox>
          <w10:wrap anchorx="page" anchory="page"/>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DEA9BF" w14:textId="77777777" w:rsidR="0010369C" w:rsidRDefault="0010369C">
    <w:pPr>
      <w:pStyle w:val="BodyText"/>
      <w:spacing w:line="14" w:lineRule="auto"/>
      <w:rPr>
        <w:sz w:val="2"/>
      </w:rP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DEAA19" w14:textId="77777777" w:rsidR="0010369C" w:rsidRDefault="008E43AE">
    <w:pPr>
      <w:pStyle w:val="BodyText"/>
      <w:spacing w:line="14" w:lineRule="auto"/>
      <w:rPr>
        <w:sz w:val="20"/>
      </w:rPr>
    </w:pPr>
    <w:r>
      <w:pict w14:anchorId="51DEAB32">
        <v:shape id="docshape936" o:spid="_x0000_s2268" style="position:absolute;margin-left:65pt;margin-top:28.45pt;width:461.4pt;height:16.3pt;z-index:-25221120;mso-position-horizontal-relative:page;mso-position-vertical-relative:page" coordorigin="1300,569" coordsize="9228,326" o:spt="100" adj="0,,0" path="m10528,578r-10,l10518,884r-9209,l1309,578r-9,l1300,884r,10l1309,894r9209,l10528,894r,-10l10528,578xm10528,569r-10,l1309,569r-9,l1300,578r9,l10518,578r10,l10528,569xe" fillcolor="black" stroked="f">
          <v:stroke joinstyle="round"/>
          <v:formulas/>
          <v:path arrowok="t" o:connecttype="segments"/>
          <w10:wrap anchorx="page" anchory="page"/>
        </v:shape>
      </w:pict>
    </w:r>
    <w:r>
      <w:pict w14:anchorId="51DEAB33">
        <v:shapetype id="_x0000_t202" coordsize="21600,21600" o:spt="202" path="m,l,21600r21600,l21600,xe">
          <v:stroke joinstyle="miter"/>
          <v:path gradientshapeok="t" o:connecttype="rect"/>
        </v:shapetype>
        <v:shape id="docshape937" o:spid="_x0000_s2267" type="#_x0000_t202" style="position:absolute;margin-left:193pt;margin-top:31.15pt;width:209.35pt;height:13pt;z-index:-25220608;mso-position-horizontal-relative:page;mso-position-vertical-relative:page" filled="f" stroked="f">
          <v:textbox inset="0,0,0,0">
            <w:txbxContent>
              <w:p w14:paraId="51DEAD08" w14:textId="77777777" w:rsidR="0010369C" w:rsidRDefault="008E43AE">
                <w:pPr>
                  <w:spacing w:line="244" w:lineRule="exact"/>
                  <w:ind w:left="20"/>
                </w:pPr>
                <w:r>
                  <w:t>Business</w:t>
                </w:r>
                <w:r>
                  <w:rPr>
                    <w:spacing w:val="-9"/>
                  </w:rPr>
                  <w:t xml:space="preserve"> </w:t>
                </w:r>
                <w:r>
                  <w:t>Confidential</w:t>
                </w:r>
                <w:r>
                  <w:rPr>
                    <w:spacing w:val="-7"/>
                  </w:rPr>
                  <w:t xml:space="preserve"> </w:t>
                </w:r>
                <w:r>
                  <w:t>Information</w:t>
                </w:r>
                <w:r>
                  <w:rPr>
                    <w:spacing w:val="-9"/>
                  </w:rPr>
                  <w:t xml:space="preserve"> </w:t>
                </w:r>
                <w:r>
                  <w:t>‐</w:t>
                </w:r>
                <w:r>
                  <w:rPr>
                    <w:spacing w:val="-7"/>
                  </w:rPr>
                  <w:t xml:space="preserve"> </w:t>
                </w:r>
                <w:r>
                  <w:rPr>
                    <w:spacing w:val="-2"/>
                  </w:rPr>
                  <w:t>REDACTED</w:t>
                </w:r>
              </w:p>
            </w:txbxContent>
          </v:textbox>
          <w10:wrap anchorx="page" anchory="page"/>
        </v:shape>
      </w:pic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DEAA1B" w14:textId="77777777" w:rsidR="0010369C" w:rsidRDefault="008E43AE">
    <w:pPr>
      <w:pStyle w:val="BodyText"/>
      <w:spacing w:line="14" w:lineRule="auto"/>
      <w:rPr>
        <w:sz w:val="20"/>
      </w:rPr>
    </w:pPr>
    <w:r>
      <w:pict w14:anchorId="51DEAB36">
        <v:shape id="docshape941" o:spid="_x0000_s2264" style="position:absolute;margin-left:65pt;margin-top:28.45pt;width:461.4pt;height:16.3pt;z-index:-25219072;mso-position-horizontal-relative:page;mso-position-vertical-relative:page" coordorigin="1300,569" coordsize="9228,326" o:spt="100" adj="0,,0" path="m10528,578r-10,l10518,884r-9209,l1309,578r-9,l1300,884r,10l1309,894r9209,l10528,894r,-10l10528,578xm10528,569r-10,l1309,569r-9,l1300,578r9,l10518,578r10,l10528,569xe" fillcolor="black" stroked="f">
          <v:stroke joinstyle="round"/>
          <v:formulas/>
          <v:path arrowok="t" o:connecttype="segments"/>
          <w10:wrap anchorx="page" anchory="page"/>
        </v:shape>
      </w:pict>
    </w:r>
    <w:r>
      <w:pict w14:anchorId="51DEAB37">
        <v:shapetype id="_x0000_t202" coordsize="21600,21600" o:spt="202" path="m,l,21600r21600,l21600,xe">
          <v:stroke joinstyle="miter"/>
          <v:path gradientshapeok="t" o:connecttype="rect"/>
        </v:shapetype>
        <v:shape id="docshape942" o:spid="_x0000_s2263" type="#_x0000_t202" style="position:absolute;margin-left:193pt;margin-top:31.15pt;width:209.35pt;height:13pt;z-index:-25218560;mso-position-horizontal-relative:page;mso-position-vertical-relative:page" filled="f" stroked="f">
          <v:textbox inset="0,0,0,0">
            <w:txbxContent>
              <w:p w14:paraId="51DEAD0C" w14:textId="77777777" w:rsidR="0010369C" w:rsidRDefault="008E43AE">
                <w:pPr>
                  <w:spacing w:line="244" w:lineRule="exact"/>
                  <w:ind w:left="20"/>
                </w:pPr>
                <w:r>
                  <w:t>Business</w:t>
                </w:r>
                <w:r>
                  <w:rPr>
                    <w:spacing w:val="-9"/>
                  </w:rPr>
                  <w:t xml:space="preserve"> </w:t>
                </w:r>
                <w:r>
                  <w:t>Confidential</w:t>
                </w:r>
                <w:r>
                  <w:rPr>
                    <w:spacing w:val="-7"/>
                  </w:rPr>
                  <w:t xml:space="preserve"> </w:t>
                </w:r>
                <w:r>
                  <w:t>Information</w:t>
                </w:r>
                <w:r>
                  <w:rPr>
                    <w:spacing w:val="-9"/>
                  </w:rPr>
                  <w:t xml:space="preserve"> </w:t>
                </w:r>
                <w:r>
                  <w:t>‐</w:t>
                </w:r>
                <w:r>
                  <w:rPr>
                    <w:spacing w:val="-7"/>
                  </w:rPr>
                  <w:t xml:space="preserve"> </w:t>
                </w:r>
                <w:r>
                  <w:rPr>
                    <w:spacing w:val="-2"/>
                  </w:rPr>
                  <w:t>REDACTED</w:t>
                </w:r>
              </w:p>
            </w:txbxContent>
          </v:textbox>
          <w10:wrap anchorx="page" anchory="page"/>
        </v:shape>
      </w:pic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DEAA1D" w14:textId="77777777" w:rsidR="0010369C" w:rsidRDefault="008E43AE">
    <w:pPr>
      <w:pStyle w:val="BodyText"/>
      <w:spacing w:line="14" w:lineRule="auto"/>
      <w:rPr>
        <w:sz w:val="20"/>
      </w:rPr>
    </w:pPr>
    <w:r>
      <w:pict w14:anchorId="51DEAB39">
        <v:shape id="docshape952" o:spid="_x0000_s2261" style="position:absolute;margin-left:65pt;margin-top:28.45pt;width:461.4pt;height:16.3pt;z-index:-25217536;mso-position-horizontal-relative:page;mso-position-vertical-relative:page" coordorigin="1300,569" coordsize="9228,326" o:spt="100" adj="0,,0" path="m10528,578r-10,l10518,884r-9209,l1309,578r-9,l1300,884r,10l1309,894r9209,l10528,894r,-10l10528,578xm10528,569r-10,l1309,569r-9,l1300,578r9,l10518,578r10,l10528,569xe" fillcolor="black" stroked="f">
          <v:stroke joinstyle="round"/>
          <v:formulas/>
          <v:path arrowok="t" o:connecttype="segments"/>
          <w10:wrap anchorx="page" anchory="page"/>
        </v:shape>
      </w:pict>
    </w:r>
    <w:r>
      <w:pict w14:anchorId="51DEAB3A">
        <v:shapetype id="_x0000_t202" coordsize="21600,21600" o:spt="202" path="m,l,21600r21600,l21600,xe">
          <v:stroke joinstyle="miter"/>
          <v:path gradientshapeok="t" o:connecttype="rect"/>
        </v:shapetype>
        <v:shape id="docshape953" o:spid="_x0000_s2260" type="#_x0000_t202" style="position:absolute;margin-left:193pt;margin-top:31.15pt;width:209.35pt;height:13pt;z-index:-25217024;mso-position-horizontal-relative:page;mso-position-vertical-relative:page" filled="f" stroked="f">
          <v:textbox inset="0,0,0,0">
            <w:txbxContent>
              <w:p w14:paraId="51DEAD0E" w14:textId="77777777" w:rsidR="0010369C" w:rsidRDefault="008E43AE">
                <w:pPr>
                  <w:spacing w:line="244" w:lineRule="exact"/>
                  <w:ind w:left="20"/>
                </w:pPr>
                <w:r>
                  <w:t>Business</w:t>
                </w:r>
                <w:r>
                  <w:rPr>
                    <w:spacing w:val="-9"/>
                  </w:rPr>
                  <w:t xml:space="preserve"> </w:t>
                </w:r>
                <w:r>
                  <w:t>Confidential</w:t>
                </w:r>
                <w:r>
                  <w:rPr>
                    <w:spacing w:val="-7"/>
                  </w:rPr>
                  <w:t xml:space="preserve"> </w:t>
                </w:r>
                <w:r>
                  <w:t>Information</w:t>
                </w:r>
                <w:r>
                  <w:rPr>
                    <w:spacing w:val="-9"/>
                  </w:rPr>
                  <w:t xml:space="preserve"> </w:t>
                </w:r>
                <w:r>
                  <w:t>‐</w:t>
                </w:r>
                <w:r>
                  <w:rPr>
                    <w:spacing w:val="-7"/>
                  </w:rPr>
                  <w:t xml:space="preserve"> </w:t>
                </w:r>
                <w:r>
                  <w:rPr>
                    <w:spacing w:val="-2"/>
                  </w:rPr>
                  <w:t>REDACTED</w:t>
                </w:r>
              </w:p>
            </w:txbxContent>
          </v:textbox>
          <w10:wrap anchorx="page" anchory="page"/>
        </v:shape>
      </w:pict>
    </w:r>
    <w:r>
      <w:pict w14:anchorId="51DEAB3B">
        <v:shape id="docshape954" o:spid="_x0000_s2259" type="#_x0000_t202" style="position:absolute;margin-left:69.9pt;margin-top:45.7pt;width:233.3pt;height:12.05pt;z-index:-25216512;mso-position-horizontal-relative:page;mso-position-vertical-relative:page" filled="f" stroked="f">
          <v:textbox inset="0,0,0,0">
            <w:txbxContent>
              <w:p w14:paraId="51DEAD0F" w14:textId="77777777" w:rsidR="0010369C" w:rsidRDefault="008E43AE">
                <w:pPr>
                  <w:spacing w:line="224" w:lineRule="exact"/>
                  <w:ind w:left="20"/>
                  <w:rPr>
                    <w:i/>
                    <w:sz w:val="20"/>
                  </w:rPr>
                </w:pPr>
                <w:r>
                  <w:rPr>
                    <w:i/>
                    <w:sz w:val="20"/>
                  </w:rPr>
                  <w:t>China</w:t>
                </w:r>
                <w:r>
                  <w:rPr>
                    <w:i/>
                    <w:spacing w:val="-5"/>
                    <w:sz w:val="20"/>
                  </w:rPr>
                  <w:t xml:space="preserve"> </w:t>
                </w:r>
                <w:r>
                  <w:rPr>
                    <w:i/>
                    <w:sz w:val="20"/>
                  </w:rPr>
                  <w:t>–</w:t>
                </w:r>
                <w:r>
                  <w:rPr>
                    <w:i/>
                    <w:spacing w:val="-5"/>
                    <w:sz w:val="20"/>
                  </w:rPr>
                  <w:t xml:space="preserve"> </w:t>
                </w:r>
                <w:r>
                  <w:rPr>
                    <w:i/>
                    <w:sz w:val="20"/>
                  </w:rPr>
                  <w:t>Anti‐Dumping</w:t>
                </w:r>
                <w:r>
                  <w:rPr>
                    <w:i/>
                    <w:spacing w:val="-4"/>
                    <w:sz w:val="20"/>
                  </w:rPr>
                  <w:t xml:space="preserve"> </w:t>
                </w:r>
                <w:r>
                  <w:rPr>
                    <w:i/>
                    <w:sz w:val="20"/>
                  </w:rPr>
                  <w:t>and</w:t>
                </w:r>
                <w:r>
                  <w:rPr>
                    <w:i/>
                    <w:spacing w:val="-5"/>
                    <w:sz w:val="20"/>
                  </w:rPr>
                  <w:t xml:space="preserve"> </w:t>
                </w:r>
                <w:r>
                  <w:rPr>
                    <w:i/>
                    <w:sz w:val="20"/>
                  </w:rPr>
                  <w:t>Countervailing</w:t>
                </w:r>
                <w:r>
                  <w:rPr>
                    <w:i/>
                    <w:spacing w:val="-5"/>
                    <w:sz w:val="20"/>
                  </w:rPr>
                  <w:t xml:space="preserve"> </w:t>
                </w:r>
                <w:r>
                  <w:rPr>
                    <w:i/>
                    <w:sz w:val="20"/>
                  </w:rPr>
                  <w:t>Duty</w:t>
                </w:r>
                <w:r>
                  <w:rPr>
                    <w:i/>
                    <w:spacing w:val="-4"/>
                    <w:sz w:val="20"/>
                  </w:rPr>
                  <w:t xml:space="preserve"> </w:t>
                </w:r>
                <w:r>
                  <w:rPr>
                    <w:i/>
                    <w:spacing w:val="-2"/>
                    <w:sz w:val="20"/>
                  </w:rPr>
                  <w:t>Measures</w:t>
                </w:r>
              </w:p>
            </w:txbxContent>
          </v:textbox>
          <w10:wrap anchorx="page" anchory="page"/>
        </v:shape>
      </w:pict>
    </w:r>
    <w:r>
      <w:pict w14:anchorId="51DEAB3C">
        <v:shape id="docshape955" o:spid="_x0000_s2258" type="#_x0000_t202" style="position:absolute;margin-left:379.3pt;margin-top:45.7pt;width:146.05pt;height:12.05pt;z-index:-25216000;mso-position-horizontal-relative:page;mso-position-vertical-relative:page" filled="f" stroked="f">
          <v:textbox inset="0,0,0,0">
            <w:txbxContent>
              <w:p w14:paraId="51DEAD10" w14:textId="77777777" w:rsidR="0010369C" w:rsidRDefault="008E43AE">
                <w:pPr>
                  <w:spacing w:line="224" w:lineRule="exact"/>
                  <w:ind w:left="20"/>
                  <w:rPr>
                    <w:sz w:val="20"/>
                  </w:rPr>
                </w:pPr>
                <w:r>
                  <w:rPr>
                    <w:sz w:val="20"/>
                  </w:rPr>
                  <w:t>Australia's</w:t>
                </w:r>
                <w:r>
                  <w:rPr>
                    <w:spacing w:val="-5"/>
                    <w:sz w:val="20"/>
                  </w:rPr>
                  <w:t xml:space="preserve"> </w:t>
                </w:r>
                <w:r>
                  <w:rPr>
                    <w:sz w:val="20"/>
                  </w:rPr>
                  <w:t>First</w:t>
                </w:r>
                <w:r>
                  <w:rPr>
                    <w:spacing w:val="-2"/>
                    <w:sz w:val="20"/>
                  </w:rPr>
                  <w:t xml:space="preserve"> </w:t>
                </w:r>
                <w:r>
                  <w:rPr>
                    <w:sz w:val="20"/>
                  </w:rPr>
                  <w:t>Written</w:t>
                </w:r>
                <w:r>
                  <w:rPr>
                    <w:spacing w:val="-2"/>
                    <w:sz w:val="20"/>
                  </w:rPr>
                  <w:t xml:space="preserve"> Submission</w:t>
                </w:r>
              </w:p>
            </w:txbxContent>
          </v:textbox>
          <w10:wrap anchorx="page" anchory="page"/>
        </v:shape>
      </w:pic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DEAA1F" w14:textId="77777777" w:rsidR="0010369C" w:rsidRDefault="008E43AE">
    <w:pPr>
      <w:pStyle w:val="BodyText"/>
      <w:spacing w:line="14" w:lineRule="auto"/>
      <w:rPr>
        <w:sz w:val="20"/>
      </w:rPr>
    </w:pPr>
    <w:r>
      <w:pict w14:anchorId="51DEAB3E">
        <v:shape id="docshape963" o:spid="_x0000_s2256" style="position:absolute;margin-left:65pt;margin-top:28.45pt;width:461.4pt;height:16.3pt;z-index:-25214976;mso-position-horizontal-relative:page;mso-position-vertical-relative:page" coordorigin="1300,569" coordsize="9228,326" o:spt="100" adj="0,,0" path="m10528,578r-10,l10518,884r-9209,l1309,578r-9,l1300,884r,10l1309,894r9209,l10528,894r,-10l10528,578xm10528,569r-10,l1309,569r-9,l1300,578r9,l10518,578r10,l10528,569xe" fillcolor="black" stroked="f">
          <v:stroke joinstyle="round"/>
          <v:formulas/>
          <v:path arrowok="t" o:connecttype="segments"/>
          <w10:wrap anchorx="page" anchory="page"/>
        </v:shape>
      </w:pict>
    </w:r>
    <w:r>
      <w:pict w14:anchorId="51DEAB3F">
        <v:shapetype id="_x0000_t202" coordsize="21600,21600" o:spt="202" path="m,l,21600r21600,l21600,xe">
          <v:stroke joinstyle="miter"/>
          <v:path gradientshapeok="t" o:connecttype="rect"/>
        </v:shapetype>
        <v:shape id="docshape964" o:spid="_x0000_s2255" type="#_x0000_t202" style="position:absolute;margin-left:193pt;margin-top:31.15pt;width:209.35pt;height:13pt;z-index:-25214464;mso-position-horizontal-relative:page;mso-position-vertical-relative:page" filled="f" stroked="f">
          <v:textbox inset="0,0,0,0">
            <w:txbxContent>
              <w:p w14:paraId="51DEAD12" w14:textId="77777777" w:rsidR="0010369C" w:rsidRDefault="008E43AE">
                <w:pPr>
                  <w:spacing w:line="244" w:lineRule="exact"/>
                  <w:ind w:left="20"/>
                </w:pPr>
                <w:r>
                  <w:t>Business</w:t>
                </w:r>
                <w:r>
                  <w:rPr>
                    <w:spacing w:val="-9"/>
                  </w:rPr>
                  <w:t xml:space="preserve"> </w:t>
                </w:r>
                <w:r>
                  <w:t>Confidential</w:t>
                </w:r>
                <w:r>
                  <w:rPr>
                    <w:spacing w:val="-7"/>
                  </w:rPr>
                  <w:t xml:space="preserve"> </w:t>
                </w:r>
                <w:r>
                  <w:t>Information</w:t>
                </w:r>
                <w:r>
                  <w:rPr>
                    <w:spacing w:val="-9"/>
                  </w:rPr>
                  <w:t xml:space="preserve"> </w:t>
                </w:r>
                <w:r>
                  <w:t>‐</w:t>
                </w:r>
                <w:r>
                  <w:rPr>
                    <w:spacing w:val="-7"/>
                  </w:rPr>
                  <w:t xml:space="preserve"> </w:t>
                </w:r>
                <w:r>
                  <w:rPr>
                    <w:spacing w:val="-2"/>
                  </w:rPr>
                  <w:t>REDACTED</w:t>
                </w:r>
              </w:p>
            </w:txbxContent>
          </v:textbox>
          <w10:wrap anchorx="page" anchory="page"/>
        </v:shape>
      </w:pic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DEAA21" w14:textId="77777777" w:rsidR="0010369C" w:rsidRDefault="0010369C">
    <w:pPr>
      <w:pStyle w:val="BodyText"/>
      <w:spacing w:line="14" w:lineRule="auto"/>
      <w:rPr>
        <w:sz w:val="2"/>
      </w:rPr>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DEAA23" w14:textId="77777777" w:rsidR="0010369C" w:rsidRDefault="008E43AE">
    <w:pPr>
      <w:pStyle w:val="BodyText"/>
      <w:spacing w:line="14" w:lineRule="auto"/>
      <w:rPr>
        <w:sz w:val="20"/>
      </w:rPr>
    </w:pPr>
    <w:r>
      <w:pict w14:anchorId="51DEAB42">
        <v:shape id="docshape977" o:spid="_x0000_s2252" style="position:absolute;margin-left:65pt;margin-top:28.45pt;width:461.4pt;height:16.3pt;z-index:-25212928;mso-position-horizontal-relative:page;mso-position-vertical-relative:page" coordorigin="1300,569" coordsize="9228,326" o:spt="100" adj="0,,0" path="m10528,578r-10,l10518,884r-9209,l1309,578r-9,l1300,884r,10l1309,894r9209,l10528,894r,-10l10528,578xm10528,569r-10,l1309,569r-9,l1300,578r9,l10518,578r10,l10528,569xe" fillcolor="black" stroked="f">
          <v:stroke joinstyle="round"/>
          <v:formulas/>
          <v:path arrowok="t" o:connecttype="segments"/>
          <w10:wrap anchorx="page" anchory="page"/>
        </v:shape>
      </w:pict>
    </w:r>
    <w:r>
      <w:pict w14:anchorId="51DEAB43">
        <v:shapetype id="_x0000_t202" coordsize="21600,21600" o:spt="202" path="m,l,21600r21600,l21600,xe">
          <v:stroke joinstyle="miter"/>
          <v:path gradientshapeok="t" o:connecttype="rect"/>
        </v:shapetype>
        <v:shape id="docshape978" o:spid="_x0000_s2251" type="#_x0000_t202" style="position:absolute;margin-left:193pt;margin-top:31.15pt;width:209.35pt;height:13pt;z-index:-25212416;mso-position-horizontal-relative:page;mso-position-vertical-relative:page" filled="f" stroked="f">
          <v:textbox inset="0,0,0,0">
            <w:txbxContent>
              <w:p w14:paraId="51DEAD15" w14:textId="77777777" w:rsidR="0010369C" w:rsidRDefault="008E43AE">
                <w:pPr>
                  <w:spacing w:line="244" w:lineRule="exact"/>
                  <w:ind w:left="20"/>
                </w:pPr>
                <w:r>
                  <w:t>Business</w:t>
                </w:r>
                <w:r>
                  <w:rPr>
                    <w:spacing w:val="-9"/>
                  </w:rPr>
                  <w:t xml:space="preserve"> </w:t>
                </w:r>
                <w:r>
                  <w:t>Confidential</w:t>
                </w:r>
                <w:r>
                  <w:rPr>
                    <w:spacing w:val="-7"/>
                  </w:rPr>
                  <w:t xml:space="preserve"> </w:t>
                </w:r>
                <w:r>
                  <w:t>Information</w:t>
                </w:r>
                <w:r>
                  <w:rPr>
                    <w:spacing w:val="-9"/>
                  </w:rPr>
                  <w:t xml:space="preserve"> </w:t>
                </w:r>
                <w:r>
                  <w:t>‐</w:t>
                </w:r>
                <w:r>
                  <w:rPr>
                    <w:spacing w:val="-7"/>
                  </w:rPr>
                  <w:t xml:space="preserve"> </w:t>
                </w:r>
                <w:r>
                  <w:rPr>
                    <w:spacing w:val="-2"/>
                  </w:rPr>
                  <w:t>REDACTED</w:t>
                </w:r>
              </w:p>
            </w:txbxContent>
          </v:textbox>
          <w10:wrap anchorx="page" anchory="page"/>
        </v:shape>
      </w:pic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DEAA25" w14:textId="77777777" w:rsidR="0010369C" w:rsidRDefault="0010369C">
    <w:pPr>
      <w:pStyle w:val="BodyText"/>
      <w:spacing w:line="14" w:lineRule="auto"/>
      <w:rPr>
        <w:sz w:val="2"/>
      </w:rP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DEAA27" w14:textId="77777777" w:rsidR="0010369C" w:rsidRDefault="008E43AE">
    <w:pPr>
      <w:pStyle w:val="BodyText"/>
      <w:spacing w:line="14" w:lineRule="auto"/>
      <w:rPr>
        <w:sz w:val="20"/>
      </w:rPr>
    </w:pPr>
    <w:r>
      <w:pict w14:anchorId="51DEAB45">
        <v:shape id="docshape1007" o:spid="_x0000_s2249" style="position:absolute;margin-left:65pt;margin-top:28.45pt;width:461.4pt;height:16.3pt;z-index:-25211392;mso-position-horizontal-relative:page;mso-position-vertical-relative:page" coordorigin="1300,569" coordsize="9228,326" o:spt="100" adj="0,,0" path="m10528,578r-10,l10518,884r-9209,l1309,578r-9,l1300,884r,10l1309,894r9209,l10528,894r,-10l10528,578xm10528,569r-10,l1309,569r-9,l1300,578r9,l10518,578r10,l10528,569xe" fillcolor="black" stroked="f">
          <v:stroke joinstyle="round"/>
          <v:formulas/>
          <v:path arrowok="t" o:connecttype="segments"/>
          <w10:wrap anchorx="page" anchory="page"/>
        </v:shape>
      </w:pict>
    </w:r>
    <w:r>
      <w:pict w14:anchorId="51DEAB46">
        <v:shapetype id="_x0000_t202" coordsize="21600,21600" o:spt="202" path="m,l,21600r21600,l21600,xe">
          <v:stroke joinstyle="miter"/>
          <v:path gradientshapeok="t" o:connecttype="rect"/>
        </v:shapetype>
        <v:shape id="docshape1008" o:spid="_x0000_s2248" type="#_x0000_t202" style="position:absolute;margin-left:193pt;margin-top:31.15pt;width:209.35pt;height:13pt;z-index:-25210880;mso-position-horizontal-relative:page;mso-position-vertical-relative:page" filled="f" stroked="f">
          <v:textbox inset="0,0,0,0">
            <w:txbxContent>
              <w:p w14:paraId="51DEAD17" w14:textId="77777777" w:rsidR="0010369C" w:rsidRDefault="008E43AE">
                <w:pPr>
                  <w:spacing w:line="244" w:lineRule="exact"/>
                  <w:ind w:left="20"/>
                </w:pPr>
                <w:r>
                  <w:t>Business</w:t>
                </w:r>
                <w:r>
                  <w:rPr>
                    <w:spacing w:val="-9"/>
                  </w:rPr>
                  <w:t xml:space="preserve"> </w:t>
                </w:r>
                <w:r>
                  <w:t>Confidential</w:t>
                </w:r>
                <w:r>
                  <w:rPr>
                    <w:spacing w:val="-7"/>
                  </w:rPr>
                  <w:t xml:space="preserve"> </w:t>
                </w:r>
                <w:r>
                  <w:t>Information</w:t>
                </w:r>
                <w:r>
                  <w:rPr>
                    <w:spacing w:val="-9"/>
                  </w:rPr>
                  <w:t xml:space="preserve"> </w:t>
                </w:r>
                <w:r>
                  <w:t>‐</w:t>
                </w:r>
                <w:r>
                  <w:rPr>
                    <w:spacing w:val="-7"/>
                  </w:rPr>
                  <w:t xml:space="preserve"> </w:t>
                </w:r>
                <w:r>
                  <w:rPr>
                    <w:spacing w:val="-2"/>
                  </w:rPr>
                  <w:t>REDACTED</w:t>
                </w:r>
              </w:p>
            </w:txbxContent>
          </v:textbox>
          <w10:wrap anchorx="page" anchory="page"/>
        </v:shape>
      </w:pic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DEAA29" w14:textId="77777777" w:rsidR="0010369C" w:rsidRDefault="008E43AE">
    <w:pPr>
      <w:pStyle w:val="BodyText"/>
      <w:spacing w:line="14" w:lineRule="auto"/>
      <w:rPr>
        <w:sz w:val="20"/>
      </w:rPr>
    </w:pPr>
    <w:r>
      <w:pict w14:anchorId="51DEAB48">
        <v:shape id="docshape1019" o:spid="_x0000_s2246" style="position:absolute;margin-left:65pt;margin-top:28.45pt;width:461.4pt;height:16.3pt;z-index:-25209856;mso-position-horizontal-relative:page;mso-position-vertical-relative:page" coordorigin="1300,569" coordsize="9228,326" o:spt="100" adj="0,,0" path="m10528,578r-10,l10518,884r-9209,l1309,578r-9,l1300,884r,10l1309,894r9209,l10528,894r,-10l10528,578xm10528,569r-10,l1309,569r-9,l1300,578r9,l10518,578r10,l10528,569xe" fillcolor="black" stroked="f">
          <v:stroke joinstyle="round"/>
          <v:formulas/>
          <v:path arrowok="t" o:connecttype="segments"/>
          <w10:wrap anchorx="page" anchory="page"/>
        </v:shape>
      </w:pict>
    </w:r>
    <w:r>
      <w:pict w14:anchorId="51DEAB49">
        <v:shapetype id="_x0000_t202" coordsize="21600,21600" o:spt="202" path="m,l,21600r21600,l21600,xe">
          <v:stroke joinstyle="miter"/>
          <v:path gradientshapeok="t" o:connecttype="rect"/>
        </v:shapetype>
        <v:shape id="docshape1020" o:spid="_x0000_s2245" type="#_x0000_t202" style="position:absolute;margin-left:193pt;margin-top:31.15pt;width:209.35pt;height:13pt;z-index:-25209344;mso-position-horizontal-relative:page;mso-position-vertical-relative:page" filled="f" stroked="f">
          <v:textbox inset="0,0,0,0">
            <w:txbxContent>
              <w:p w14:paraId="51DEAD19" w14:textId="77777777" w:rsidR="0010369C" w:rsidRDefault="008E43AE">
                <w:pPr>
                  <w:spacing w:line="244" w:lineRule="exact"/>
                  <w:ind w:left="20"/>
                </w:pPr>
                <w:r>
                  <w:t>Business</w:t>
                </w:r>
                <w:r>
                  <w:rPr>
                    <w:spacing w:val="-9"/>
                  </w:rPr>
                  <w:t xml:space="preserve"> </w:t>
                </w:r>
                <w:r>
                  <w:t>Confidential</w:t>
                </w:r>
                <w:r>
                  <w:rPr>
                    <w:spacing w:val="-7"/>
                  </w:rPr>
                  <w:t xml:space="preserve"> </w:t>
                </w:r>
                <w:r>
                  <w:t>Information</w:t>
                </w:r>
                <w:r>
                  <w:rPr>
                    <w:spacing w:val="-9"/>
                  </w:rPr>
                  <w:t xml:space="preserve"> </w:t>
                </w:r>
                <w:r>
                  <w:t>‐</w:t>
                </w:r>
                <w:r>
                  <w:rPr>
                    <w:spacing w:val="-7"/>
                  </w:rPr>
                  <w:t xml:space="preserve"> </w:t>
                </w:r>
                <w:r>
                  <w:rPr>
                    <w:spacing w:val="-2"/>
                  </w:rPr>
                  <w:t>REDACTED</w:t>
                </w:r>
              </w:p>
            </w:txbxContent>
          </v:textbox>
          <w10:wrap anchorx="page" anchory="page"/>
        </v:shape>
      </w:pict>
    </w:r>
    <w:r>
      <w:pict w14:anchorId="51DEAB4A">
        <v:shape id="docshape1021" o:spid="_x0000_s2244" type="#_x0000_t202" style="position:absolute;margin-left:69.9pt;margin-top:45.7pt;width:233.3pt;height:12.05pt;z-index:-25208832;mso-position-horizontal-relative:page;mso-position-vertical-relative:page" filled="f" stroked="f">
          <v:textbox inset="0,0,0,0">
            <w:txbxContent>
              <w:p w14:paraId="51DEAD1A" w14:textId="77777777" w:rsidR="0010369C" w:rsidRDefault="008E43AE">
                <w:pPr>
                  <w:spacing w:line="224" w:lineRule="exact"/>
                  <w:ind w:left="20"/>
                  <w:rPr>
                    <w:i/>
                    <w:sz w:val="20"/>
                  </w:rPr>
                </w:pPr>
                <w:r>
                  <w:rPr>
                    <w:i/>
                    <w:sz w:val="20"/>
                  </w:rPr>
                  <w:t>China</w:t>
                </w:r>
                <w:r>
                  <w:rPr>
                    <w:i/>
                    <w:spacing w:val="-5"/>
                    <w:sz w:val="20"/>
                  </w:rPr>
                  <w:t xml:space="preserve"> </w:t>
                </w:r>
                <w:r>
                  <w:rPr>
                    <w:i/>
                    <w:sz w:val="20"/>
                  </w:rPr>
                  <w:t>–</w:t>
                </w:r>
                <w:r>
                  <w:rPr>
                    <w:i/>
                    <w:spacing w:val="-5"/>
                    <w:sz w:val="20"/>
                  </w:rPr>
                  <w:t xml:space="preserve"> </w:t>
                </w:r>
                <w:r>
                  <w:rPr>
                    <w:i/>
                    <w:sz w:val="20"/>
                  </w:rPr>
                  <w:t>Anti‐Dumping</w:t>
                </w:r>
                <w:r>
                  <w:rPr>
                    <w:i/>
                    <w:spacing w:val="-4"/>
                    <w:sz w:val="20"/>
                  </w:rPr>
                  <w:t xml:space="preserve"> </w:t>
                </w:r>
                <w:r>
                  <w:rPr>
                    <w:i/>
                    <w:sz w:val="20"/>
                  </w:rPr>
                  <w:t>and</w:t>
                </w:r>
                <w:r>
                  <w:rPr>
                    <w:i/>
                    <w:spacing w:val="-5"/>
                    <w:sz w:val="20"/>
                  </w:rPr>
                  <w:t xml:space="preserve"> </w:t>
                </w:r>
                <w:r>
                  <w:rPr>
                    <w:i/>
                    <w:sz w:val="20"/>
                  </w:rPr>
                  <w:t>Countervailing</w:t>
                </w:r>
                <w:r>
                  <w:rPr>
                    <w:i/>
                    <w:spacing w:val="-5"/>
                    <w:sz w:val="20"/>
                  </w:rPr>
                  <w:t xml:space="preserve"> </w:t>
                </w:r>
                <w:r>
                  <w:rPr>
                    <w:i/>
                    <w:sz w:val="20"/>
                  </w:rPr>
                  <w:t>Duty</w:t>
                </w:r>
                <w:r>
                  <w:rPr>
                    <w:i/>
                    <w:spacing w:val="-4"/>
                    <w:sz w:val="20"/>
                  </w:rPr>
                  <w:t xml:space="preserve"> </w:t>
                </w:r>
                <w:r>
                  <w:rPr>
                    <w:i/>
                    <w:spacing w:val="-2"/>
                    <w:sz w:val="20"/>
                  </w:rPr>
                  <w:t>Measures</w:t>
                </w:r>
              </w:p>
            </w:txbxContent>
          </v:textbox>
          <w10:wrap anchorx="page" anchory="page"/>
        </v:shape>
      </w:pict>
    </w:r>
    <w:r>
      <w:pict w14:anchorId="51DEAB4B">
        <v:shape id="docshape1022" o:spid="_x0000_s2243" type="#_x0000_t202" style="position:absolute;margin-left:379.3pt;margin-top:45.7pt;width:146.05pt;height:12.05pt;z-index:-25208320;mso-position-horizontal-relative:page;mso-position-vertical-relative:page" filled="f" stroked="f">
          <v:textbox inset="0,0,0,0">
            <w:txbxContent>
              <w:p w14:paraId="51DEAD1B" w14:textId="77777777" w:rsidR="0010369C" w:rsidRDefault="008E43AE">
                <w:pPr>
                  <w:spacing w:line="224" w:lineRule="exact"/>
                  <w:ind w:left="20"/>
                  <w:rPr>
                    <w:sz w:val="20"/>
                  </w:rPr>
                </w:pPr>
                <w:r>
                  <w:rPr>
                    <w:sz w:val="20"/>
                  </w:rPr>
                  <w:t>Australia's</w:t>
                </w:r>
                <w:r>
                  <w:rPr>
                    <w:spacing w:val="-5"/>
                    <w:sz w:val="20"/>
                  </w:rPr>
                  <w:t xml:space="preserve"> </w:t>
                </w:r>
                <w:r>
                  <w:rPr>
                    <w:sz w:val="20"/>
                  </w:rPr>
                  <w:t>First</w:t>
                </w:r>
                <w:r>
                  <w:rPr>
                    <w:spacing w:val="-2"/>
                    <w:sz w:val="20"/>
                  </w:rPr>
                  <w:t xml:space="preserve"> </w:t>
                </w:r>
                <w:r>
                  <w:rPr>
                    <w:sz w:val="20"/>
                  </w:rPr>
                  <w:t>Written</w:t>
                </w:r>
                <w:r>
                  <w:rPr>
                    <w:spacing w:val="-2"/>
                    <w:sz w:val="20"/>
                  </w:rPr>
                  <w:t xml:space="preserve"> Submission</w:t>
                </w:r>
              </w:p>
            </w:txbxContent>
          </v:textbox>
          <w10:wrap anchorx="page" anchory="page"/>
        </v:shape>
      </w:pic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DEAA2B" w14:textId="77777777" w:rsidR="0010369C" w:rsidRDefault="008E43AE">
    <w:pPr>
      <w:pStyle w:val="BodyText"/>
      <w:spacing w:line="14" w:lineRule="auto"/>
      <w:rPr>
        <w:sz w:val="20"/>
      </w:rPr>
    </w:pPr>
    <w:r>
      <w:pict w14:anchorId="51DEAB4D">
        <v:shape id="docshape1027" o:spid="_x0000_s2241" style="position:absolute;margin-left:65pt;margin-top:28.45pt;width:461.4pt;height:16.3pt;z-index:-25207296;mso-position-horizontal-relative:page;mso-position-vertical-relative:page" coordorigin="1300,569" coordsize="9228,326" o:spt="100" adj="0,,0" path="m10528,578r-10,l10518,884r-9209,l1309,578r-9,l1300,884r,10l1309,894r9209,l10528,894r,-10l10528,578xm10528,569r-10,l1309,569r-9,l1300,578r9,l10518,578r10,l10528,569xe" fillcolor="black" stroked="f">
          <v:stroke joinstyle="round"/>
          <v:formulas/>
          <v:path arrowok="t" o:connecttype="segments"/>
          <w10:wrap anchorx="page" anchory="page"/>
        </v:shape>
      </w:pict>
    </w:r>
    <w:r>
      <w:pict w14:anchorId="51DEAB4E">
        <v:shapetype id="_x0000_t202" coordsize="21600,21600" o:spt="202" path="m,l,21600r21600,l21600,xe">
          <v:stroke joinstyle="miter"/>
          <v:path gradientshapeok="t" o:connecttype="rect"/>
        </v:shapetype>
        <v:shape id="docshape1028" o:spid="_x0000_s2240" type="#_x0000_t202" style="position:absolute;margin-left:193pt;margin-top:31.15pt;width:209.35pt;height:13pt;z-index:-25206784;mso-position-horizontal-relative:page;mso-position-vertical-relative:page" filled="f" stroked="f">
          <v:textbox inset="0,0,0,0">
            <w:txbxContent>
              <w:p w14:paraId="51DEAD1D" w14:textId="77777777" w:rsidR="0010369C" w:rsidRDefault="008E43AE">
                <w:pPr>
                  <w:spacing w:line="244" w:lineRule="exact"/>
                  <w:ind w:left="20"/>
                </w:pPr>
                <w:r>
                  <w:t>Business</w:t>
                </w:r>
                <w:r>
                  <w:rPr>
                    <w:spacing w:val="-9"/>
                  </w:rPr>
                  <w:t xml:space="preserve"> </w:t>
                </w:r>
                <w:r>
                  <w:t>Confidential</w:t>
                </w:r>
                <w:r>
                  <w:rPr>
                    <w:spacing w:val="-7"/>
                  </w:rPr>
                  <w:t xml:space="preserve"> </w:t>
                </w:r>
                <w:r>
                  <w:t>Information</w:t>
                </w:r>
                <w:r>
                  <w:rPr>
                    <w:spacing w:val="-9"/>
                  </w:rPr>
                  <w:t xml:space="preserve"> </w:t>
                </w:r>
                <w:r>
                  <w:t>‐</w:t>
                </w:r>
                <w:r>
                  <w:rPr>
                    <w:spacing w:val="-7"/>
                  </w:rPr>
                  <w:t xml:space="preserve"> </w:t>
                </w:r>
                <w:r>
                  <w:rPr>
                    <w:spacing w:val="-2"/>
                  </w:rPr>
                  <w:t>REDACTED</w:t>
                </w:r>
              </w:p>
            </w:txbxContent>
          </v:textbox>
          <w10:wrap anchorx="page" anchory="page"/>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DEA9C1" w14:textId="77777777" w:rsidR="0010369C" w:rsidRDefault="0010369C">
    <w:pPr>
      <w:pStyle w:val="BodyText"/>
      <w:spacing w:line="14" w:lineRule="auto"/>
      <w:rPr>
        <w:sz w:val="2"/>
      </w:rPr>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DEAA2D" w14:textId="77777777" w:rsidR="0010369C" w:rsidRDefault="0010369C">
    <w:pPr>
      <w:pStyle w:val="BodyText"/>
      <w:spacing w:line="14" w:lineRule="auto"/>
      <w:rPr>
        <w:sz w:val="2"/>
      </w:rPr>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DEAA2F" w14:textId="77777777" w:rsidR="0010369C" w:rsidRDefault="0010369C">
    <w:pPr>
      <w:pStyle w:val="BodyText"/>
      <w:spacing w:line="14" w:lineRule="auto"/>
      <w:rPr>
        <w:sz w:val="2"/>
      </w:rPr>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DEAA31" w14:textId="77777777" w:rsidR="0010369C" w:rsidRDefault="008E43AE">
    <w:pPr>
      <w:pStyle w:val="BodyText"/>
      <w:spacing w:line="14" w:lineRule="auto"/>
      <w:rPr>
        <w:sz w:val="20"/>
      </w:rPr>
    </w:pPr>
    <w:r>
      <w:pict w14:anchorId="51DEAB52">
        <v:line id="_x0000_s2236" style="position:absolute;z-index:-25204736;mso-position-horizontal-relative:page;mso-position-vertical-relative:page" from="64.2pt,25.05pt" to="528.75pt,25.05pt" strokeweight=".35361mm">
          <w10:wrap anchorx="page" anchory="page"/>
        </v:line>
      </w:pict>
    </w:r>
    <w:r>
      <w:pict w14:anchorId="51DEAB53">
        <v:line id="_x0000_s2235" style="position:absolute;z-index:-25204224;mso-position-horizontal-relative:page;mso-position-vertical-relative:page" from="64.2pt,41.1pt" to="528.75pt,41.1pt" strokeweight=".35361mm">
          <w10:wrap anchorx="page" anchory="page"/>
        </v:line>
      </w:pict>
    </w:r>
    <w:r>
      <w:pict w14:anchorId="51DEAB54">
        <v:shapetype id="_x0000_t202" coordsize="21600,21600" o:spt="202" path="m,l,21600r21600,l21600,xe">
          <v:stroke joinstyle="miter"/>
          <v:path gradientshapeok="t" o:connecttype="rect"/>
        </v:shapetype>
        <v:shape id="docshape1040" o:spid="_x0000_s2234" type="#_x0000_t202" style="position:absolute;margin-left:193.45pt;margin-top:27.45pt;width:209.7pt;height:12.65pt;z-index:-25203712;mso-position-horizontal-relative:page;mso-position-vertical-relative:page" filled="f" stroked="f">
          <v:textbox inset="0,0,0,0">
            <w:txbxContent>
              <w:p w14:paraId="51DEAD21" w14:textId="77777777" w:rsidR="0010369C" w:rsidRDefault="008E43AE">
                <w:pPr>
                  <w:spacing w:before="14"/>
                  <w:ind w:left="20"/>
                  <w:rPr>
                    <w:rFonts w:ascii="Arial"/>
                    <w:sz w:val="19"/>
                  </w:rPr>
                </w:pPr>
                <w:r>
                  <w:rPr>
                    <w:rFonts w:ascii="Arial"/>
                    <w:color w:val="1F1F1F"/>
                    <w:sz w:val="19"/>
                  </w:rPr>
                  <w:t>Business</w:t>
                </w:r>
                <w:r>
                  <w:rPr>
                    <w:rFonts w:ascii="Arial"/>
                    <w:color w:val="1F1F1F"/>
                    <w:spacing w:val="45"/>
                    <w:sz w:val="19"/>
                  </w:rPr>
                  <w:t xml:space="preserve"> </w:t>
                </w:r>
                <w:r>
                  <w:rPr>
                    <w:rFonts w:ascii="Arial"/>
                    <w:color w:val="1F1F1F"/>
                    <w:sz w:val="19"/>
                  </w:rPr>
                  <w:t>Confidential</w:t>
                </w:r>
                <w:r>
                  <w:rPr>
                    <w:rFonts w:ascii="Arial"/>
                    <w:color w:val="1F1F1F"/>
                    <w:spacing w:val="38"/>
                    <w:sz w:val="19"/>
                  </w:rPr>
                  <w:t xml:space="preserve"> </w:t>
                </w:r>
                <w:r>
                  <w:rPr>
                    <w:rFonts w:ascii="Arial"/>
                    <w:color w:val="0C0C0C"/>
                    <w:sz w:val="19"/>
                  </w:rPr>
                  <w:t>Information</w:t>
                </w:r>
                <w:r>
                  <w:rPr>
                    <w:rFonts w:ascii="Arial"/>
                    <w:color w:val="0C0C0C"/>
                    <w:spacing w:val="39"/>
                    <w:sz w:val="19"/>
                  </w:rPr>
                  <w:t xml:space="preserve"> </w:t>
                </w:r>
                <w:r>
                  <w:rPr>
                    <w:rFonts w:ascii="Arial"/>
                    <w:color w:val="1F1F1F"/>
                    <w:sz w:val="19"/>
                  </w:rPr>
                  <w:t>-</w:t>
                </w:r>
                <w:r>
                  <w:rPr>
                    <w:rFonts w:ascii="Arial"/>
                    <w:color w:val="1F1F1F"/>
                    <w:spacing w:val="40"/>
                    <w:sz w:val="19"/>
                  </w:rPr>
                  <w:t xml:space="preserve"> </w:t>
                </w:r>
                <w:r>
                  <w:rPr>
                    <w:rFonts w:ascii="Arial"/>
                    <w:color w:val="1F1F1F"/>
                    <w:spacing w:val="-2"/>
                    <w:w w:val="95"/>
                    <w:sz w:val="19"/>
                  </w:rPr>
                  <w:t>REDACTED</w:t>
                </w:r>
              </w:p>
            </w:txbxContent>
          </v:textbox>
          <w10:wrap anchorx="page" anchory="page"/>
        </v:shape>
      </w:pic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DEAA33" w14:textId="77777777" w:rsidR="0010369C" w:rsidRDefault="008E43AE">
    <w:pPr>
      <w:pStyle w:val="BodyText"/>
      <w:spacing w:line="14" w:lineRule="auto"/>
      <w:rPr>
        <w:sz w:val="20"/>
      </w:rPr>
    </w:pPr>
    <w:r>
      <w:pict w14:anchorId="51DEAB56">
        <v:shape id="docshape1057" o:spid="_x0000_s2232" style="position:absolute;margin-left:65pt;margin-top:28.45pt;width:461.4pt;height:16.3pt;z-index:-25202688;mso-position-horizontal-relative:page;mso-position-vertical-relative:page" coordorigin="1300,569" coordsize="9228,326" o:spt="100" adj="0,,0" path="m10528,578r-10,l10518,884r-9209,l1309,578r-9,l1300,884r,10l1309,894r9209,l10528,894r,-10l10528,578xm10528,569r-10,l1309,569r-9,l1300,578r9,l10518,578r10,l10528,569xe" fillcolor="black" stroked="f">
          <v:stroke joinstyle="round"/>
          <v:formulas/>
          <v:path arrowok="t" o:connecttype="segments"/>
          <w10:wrap anchorx="page" anchory="page"/>
        </v:shape>
      </w:pict>
    </w:r>
    <w:r>
      <w:pict w14:anchorId="51DEAB57">
        <v:shapetype id="_x0000_t202" coordsize="21600,21600" o:spt="202" path="m,l,21600r21600,l21600,xe">
          <v:stroke joinstyle="miter"/>
          <v:path gradientshapeok="t" o:connecttype="rect"/>
        </v:shapetype>
        <v:shape id="docshape1058" o:spid="_x0000_s2231" type="#_x0000_t202" style="position:absolute;margin-left:193pt;margin-top:31.15pt;width:209.35pt;height:13pt;z-index:-25202176;mso-position-horizontal-relative:page;mso-position-vertical-relative:page" filled="f" stroked="f">
          <v:textbox inset="0,0,0,0">
            <w:txbxContent>
              <w:p w14:paraId="51DEAD23" w14:textId="77777777" w:rsidR="0010369C" w:rsidRDefault="008E43AE">
                <w:pPr>
                  <w:spacing w:line="244" w:lineRule="exact"/>
                  <w:ind w:left="20"/>
                </w:pPr>
                <w:r>
                  <w:t>Business</w:t>
                </w:r>
                <w:r>
                  <w:rPr>
                    <w:spacing w:val="-9"/>
                  </w:rPr>
                  <w:t xml:space="preserve"> </w:t>
                </w:r>
                <w:r>
                  <w:t>Confidential</w:t>
                </w:r>
                <w:r>
                  <w:rPr>
                    <w:spacing w:val="-7"/>
                  </w:rPr>
                  <w:t xml:space="preserve"> </w:t>
                </w:r>
                <w:r>
                  <w:t>Information</w:t>
                </w:r>
                <w:r>
                  <w:rPr>
                    <w:spacing w:val="-9"/>
                  </w:rPr>
                  <w:t xml:space="preserve"> </w:t>
                </w:r>
                <w:r>
                  <w:t>‐</w:t>
                </w:r>
                <w:r>
                  <w:rPr>
                    <w:spacing w:val="-7"/>
                  </w:rPr>
                  <w:t xml:space="preserve"> </w:t>
                </w:r>
                <w:r>
                  <w:rPr>
                    <w:spacing w:val="-2"/>
                  </w:rPr>
                  <w:t>REDACTED</w:t>
                </w:r>
              </w:p>
            </w:txbxContent>
          </v:textbox>
          <w10:wrap anchorx="page" anchory="page"/>
        </v:shape>
      </w:pic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DEAA35" w14:textId="77777777" w:rsidR="0010369C" w:rsidRDefault="008E43AE">
    <w:pPr>
      <w:pStyle w:val="BodyText"/>
      <w:spacing w:line="14" w:lineRule="auto"/>
      <w:rPr>
        <w:sz w:val="20"/>
      </w:rPr>
    </w:pPr>
    <w:r>
      <w:pict w14:anchorId="51DEAB59">
        <v:line id="_x0000_s2229" style="position:absolute;z-index:-25201152;mso-position-horizontal-relative:page;mso-position-vertical-relative:page" from="64.2pt,25.05pt" to="528.75pt,25.05pt" strokeweight=".35361mm">
          <w10:wrap anchorx="page" anchory="page"/>
        </v:line>
      </w:pict>
    </w:r>
    <w:r>
      <w:pict w14:anchorId="51DEAB5A">
        <v:line id="_x0000_s2228" style="position:absolute;z-index:-25200640;mso-position-horizontal-relative:page;mso-position-vertical-relative:page" from="64.2pt,41.1pt" to="528.75pt,41.1pt" strokeweight=".35361mm">
          <w10:wrap anchorx="page" anchory="page"/>
        </v:line>
      </w:pict>
    </w:r>
    <w:r>
      <w:pict w14:anchorId="51DEAB5B">
        <v:shapetype id="_x0000_t202" coordsize="21600,21600" o:spt="202" path="m,l,21600r21600,l21600,xe">
          <v:stroke joinstyle="miter"/>
          <v:path gradientshapeok="t" o:connecttype="rect"/>
        </v:shapetype>
        <v:shape id="docshape1062" o:spid="_x0000_s2227" type="#_x0000_t202" style="position:absolute;margin-left:193.45pt;margin-top:27.45pt;width:209.7pt;height:12.65pt;z-index:-25200128;mso-position-horizontal-relative:page;mso-position-vertical-relative:page" filled="f" stroked="f">
          <v:textbox inset="0,0,0,0">
            <w:txbxContent>
              <w:p w14:paraId="51DEAD25" w14:textId="77777777" w:rsidR="0010369C" w:rsidRDefault="008E43AE">
                <w:pPr>
                  <w:spacing w:before="14"/>
                  <w:ind w:left="20"/>
                  <w:rPr>
                    <w:rFonts w:ascii="Arial"/>
                    <w:sz w:val="19"/>
                  </w:rPr>
                </w:pPr>
                <w:r>
                  <w:rPr>
                    <w:rFonts w:ascii="Arial"/>
                    <w:color w:val="1D1D1D"/>
                    <w:sz w:val="19"/>
                  </w:rPr>
                  <w:t>Business</w:t>
                </w:r>
                <w:r>
                  <w:rPr>
                    <w:rFonts w:ascii="Arial"/>
                    <w:color w:val="1D1D1D"/>
                    <w:spacing w:val="45"/>
                    <w:sz w:val="19"/>
                  </w:rPr>
                  <w:t xml:space="preserve"> </w:t>
                </w:r>
                <w:r>
                  <w:rPr>
                    <w:rFonts w:ascii="Arial"/>
                    <w:color w:val="1D1D1D"/>
                    <w:sz w:val="19"/>
                  </w:rPr>
                  <w:t>Confidential</w:t>
                </w:r>
                <w:r>
                  <w:rPr>
                    <w:rFonts w:ascii="Arial"/>
                    <w:color w:val="1D1D1D"/>
                    <w:spacing w:val="38"/>
                    <w:sz w:val="19"/>
                  </w:rPr>
                  <w:t xml:space="preserve"> </w:t>
                </w:r>
                <w:r>
                  <w:rPr>
                    <w:rFonts w:ascii="Arial"/>
                    <w:color w:val="0C0C0C"/>
                    <w:sz w:val="19"/>
                  </w:rPr>
                  <w:t>Information</w:t>
                </w:r>
                <w:r>
                  <w:rPr>
                    <w:rFonts w:ascii="Arial"/>
                    <w:color w:val="0C0C0C"/>
                    <w:spacing w:val="39"/>
                    <w:sz w:val="19"/>
                  </w:rPr>
                  <w:t xml:space="preserve"> </w:t>
                </w:r>
                <w:r>
                  <w:rPr>
                    <w:rFonts w:ascii="Arial"/>
                    <w:color w:val="1D1D1D"/>
                    <w:sz w:val="19"/>
                  </w:rPr>
                  <w:t>-</w:t>
                </w:r>
                <w:r>
                  <w:rPr>
                    <w:rFonts w:ascii="Arial"/>
                    <w:color w:val="1D1D1D"/>
                    <w:spacing w:val="40"/>
                    <w:sz w:val="19"/>
                  </w:rPr>
                  <w:t xml:space="preserve"> </w:t>
                </w:r>
                <w:r>
                  <w:rPr>
                    <w:rFonts w:ascii="Arial"/>
                    <w:color w:val="1D1D1D"/>
                    <w:spacing w:val="-2"/>
                    <w:w w:val="95"/>
                    <w:sz w:val="19"/>
                  </w:rPr>
                  <w:t>REDACTED</w:t>
                </w:r>
              </w:p>
            </w:txbxContent>
          </v:textbox>
          <w10:wrap anchorx="page" anchory="page"/>
        </v:shape>
      </w:pic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DEAA37" w14:textId="77777777" w:rsidR="0010369C" w:rsidRDefault="008E43AE">
    <w:pPr>
      <w:pStyle w:val="BodyText"/>
      <w:spacing w:line="14" w:lineRule="auto"/>
      <w:rPr>
        <w:sz w:val="20"/>
      </w:rPr>
    </w:pPr>
    <w:r>
      <w:pict w14:anchorId="51DEAB5D">
        <v:shape id="docshape1078" o:spid="_x0000_s2225" style="position:absolute;margin-left:65pt;margin-top:28.45pt;width:461.4pt;height:16.3pt;z-index:-25199104;mso-position-horizontal-relative:page;mso-position-vertical-relative:page" coordorigin="1300,569" coordsize="9228,326" o:spt="100" adj="0,,0" path="m10528,578r-10,l10518,884r-9209,l1309,578r-9,l1300,884r,10l1309,894r9209,l10528,894r,-10l10528,578xm10528,569r-10,l1309,569r-9,l1300,578r9,l10518,578r10,l10528,569xe" fillcolor="black" stroked="f">
          <v:stroke joinstyle="round"/>
          <v:formulas/>
          <v:path arrowok="t" o:connecttype="segments"/>
          <w10:wrap anchorx="page" anchory="page"/>
        </v:shape>
      </w:pict>
    </w:r>
    <w:r>
      <w:pict w14:anchorId="51DEAB5E">
        <v:shapetype id="_x0000_t202" coordsize="21600,21600" o:spt="202" path="m,l,21600r21600,l21600,xe">
          <v:stroke joinstyle="miter"/>
          <v:path gradientshapeok="t" o:connecttype="rect"/>
        </v:shapetype>
        <v:shape id="docshape1079" o:spid="_x0000_s2224" type="#_x0000_t202" style="position:absolute;margin-left:193pt;margin-top:31.15pt;width:209.35pt;height:13pt;z-index:-25198592;mso-position-horizontal-relative:page;mso-position-vertical-relative:page" filled="f" stroked="f">
          <v:textbox inset="0,0,0,0">
            <w:txbxContent>
              <w:p w14:paraId="51DEAD27" w14:textId="77777777" w:rsidR="0010369C" w:rsidRDefault="008E43AE">
                <w:pPr>
                  <w:spacing w:line="244" w:lineRule="exact"/>
                  <w:ind w:left="20"/>
                </w:pPr>
                <w:r>
                  <w:t>Business</w:t>
                </w:r>
                <w:r>
                  <w:rPr>
                    <w:spacing w:val="-9"/>
                  </w:rPr>
                  <w:t xml:space="preserve"> </w:t>
                </w:r>
                <w:r>
                  <w:t>Confidential</w:t>
                </w:r>
                <w:r>
                  <w:rPr>
                    <w:spacing w:val="-7"/>
                  </w:rPr>
                  <w:t xml:space="preserve"> </w:t>
                </w:r>
                <w:r>
                  <w:t>Information</w:t>
                </w:r>
                <w:r>
                  <w:rPr>
                    <w:spacing w:val="-9"/>
                  </w:rPr>
                  <w:t xml:space="preserve"> </w:t>
                </w:r>
                <w:r>
                  <w:t>‐</w:t>
                </w:r>
                <w:r>
                  <w:rPr>
                    <w:spacing w:val="-7"/>
                  </w:rPr>
                  <w:t xml:space="preserve"> </w:t>
                </w:r>
                <w:r>
                  <w:rPr>
                    <w:spacing w:val="-2"/>
                  </w:rPr>
                  <w:t>REDACTED</w:t>
                </w:r>
              </w:p>
            </w:txbxContent>
          </v:textbox>
          <w10:wrap anchorx="page" anchory="page"/>
        </v:shape>
      </w:pic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DEAA39" w14:textId="77777777" w:rsidR="0010369C" w:rsidRDefault="0010369C">
    <w:pPr>
      <w:pStyle w:val="BodyText"/>
      <w:spacing w:line="14" w:lineRule="auto"/>
      <w:rPr>
        <w:sz w:val="2"/>
      </w:rPr>
    </w:pP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DEAA3B" w14:textId="77777777" w:rsidR="0010369C" w:rsidRDefault="0010369C">
    <w:pPr>
      <w:pStyle w:val="BodyText"/>
      <w:spacing w:line="14" w:lineRule="auto"/>
      <w:rPr>
        <w:sz w:val="2"/>
      </w:rPr>
    </w:pP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DEAA3D" w14:textId="77777777" w:rsidR="0010369C" w:rsidRDefault="0010369C">
    <w:pPr>
      <w:pStyle w:val="BodyText"/>
      <w:spacing w:line="14" w:lineRule="auto"/>
      <w:rPr>
        <w:sz w:val="2"/>
      </w:rPr>
    </w:pP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DEAA3F" w14:textId="77777777" w:rsidR="0010369C" w:rsidRDefault="008E43AE">
    <w:pPr>
      <w:pStyle w:val="BodyText"/>
      <w:spacing w:line="14" w:lineRule="auto"/>
      <w:rPr>
        <w:sz w:val="20"/>
      </w:rPr>
    </w:pPr>
    <w:r>
      <w:pict w14:anchorId="51DEAB63">
        <v:shape id="docshape1101" o:spid="_x0000_s2219" style="position:absolute;margin-left:65pt;margin-top:28.45pt;width:461.4pt;height:16.3pt;z-index:-25196032;mso-position-horizontal-relative:page;mso-position-vertical-relative:page" coordorigin="1300,569" coordsize="9228,326" o:spt="100" adj="0,,0" path="m10528,578r-10,l10518,884r-9209,l1309,578r-9,l1300,884r,10l1309,894r9209,l10528,894r,-10l10528,578xm10528,569r-10,l1309,569r-9,l1300,578r9,l10518,578r10,l10528,569xe" fillcolor="black" stroked="f">
          <v:stroke joinstyle="round"/>
          <v:formulas/>
          <v:path arrowok="t" o:connecttype="segments"/>
          <w10:wrap anchorx="page" anchory="page"/>
        </v:shape>
      </w:pict>
    </w:r>
    <w:r>
      <w:pict w14:anchorId="51DEAB64">
        <v:shapetype id="_x0000_t202" coordsize="21600,21600" o:spt="202" path="m,l,21600r21600,l21600,xe">
          <v:stroke joinstyle="miter"/>
          <v:path gradientshapeok="t" o:connecttype="rect"/>
        </v:shapetype>
        <v:shape id="docshape1102" o:spid="_x0000_s2218" type="#_x0000_t202" style="position:absolute;margin-left:193pt;margin-top:31.15pt;width:209.35pt;height:13pt;z-index:-25195520;mso-position-horizontal-relative:page;mso-position-vertical-relative:page" filled="f" stroked="f">
          <v:textbox inset="0,0,0,0">
            <w:txbxContent>
              <w:p w14:paraId="51DEAD2C" w14:textId="77777777" w:rsidR="0010369C" w:rsidRDefault="008E43AE">
                <w:pPr>
                  <w:spacing w:line="244" w:lineRule="exact"/>
                  <w:ind w:left="20"/>
                </w:pPr>
                <w:r>
                  <w:t>Business</w:t>
                </w:r>
                <w:r>
                  <w:rPr>
                    <w:spacing w:val="-9"/>
                  </w:rPr>
                  <w:t xml:space="preserve"> </w:t>
                </w:r>
                <w:r>
                  <w:t>Confidential</w:t>
                </w:r>
                <w:r>
                  <w:rPr>
                    <w:spacing w:val="-7"/>
                  </w:rPr>
                  <w:t xml:space="preserve"> </w:t>
                </w:r>
                <w:r>
                  <w:t>Information</w:t>
                </w:r>
                <w:r>
                  <w:rPr>
                    <w:spacing w:val="-9"/>
                  </w:rPr>
                  <w:t xml:space="preserve"> </w:t>
                </w:r>
                <w:r>
                  <w:t>‐</w:t>
                </w:r>
                <w:r>
                  <w:rPr>
                    <w:spacing w:val="-7"/>
                  </w:rPr>
                  <w:t xml:space="preserve"> </w:t>
                </w:r>
                <w:r>
                  <w:rPr>
                    <w:spacing w:val="-2"/>
                  </w:rPr>
                  <w:t>REDACTED</w:t>
                </w:r>
              </w:p>
            </w:txbxContent>
          </v:textbox>
          <w10:wrap anchorx="page" anchory="page"/>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DEA9C3" w14:textId="77777777" w:rsidR="0010369C" w:rsidRDefault="008E43AE">
    <w:pPr>
      <w:pStyle w:val="BodyText"/>
      <w:spacing w:line="14" w:lineRule="auto"/>
      <w:rPr>
        <w:sz w:val="20"/>
      </w:rPr>
    </w:pPr>
    <w:r>
      <w:pict w14:anchorId="51DEAAAF">
        <v:shape id="docshape26" o:spid="_x0000_s2399" style="position:absolute;margin-left:65pt;margin-top:28.45pt;width:461.4pt;height:16.3pt;z-index:-25288192;mso-position-horizontal-relative:page;mso-position-vertical-relative:page" coordorigin="1300,569" coordsize="9228,326" o:spt="100" adj="0,,0" path="m10528,578r-10,l10518,884r-9209,l1309,578r-9,l1300,884r,10l1309,894r9209,l10528,894r,-10l10528,578xm10528,569r-10,l1309,569r-9,l1300,578r9,l10518,578r10,l10528,569xe" fillcolor="black" stroked="f">
          <v:stroke joinstyle="round"/>
          <v:formulas/>
          <v:path arrowok="t" o:connecttype="segments"/>
          <w10:wrap anchorx="page" anchory="page"/>
        </v:shape>
      </w:pict>
    </w:r>
    <w:r>
      <w:pict w14:anchorId="51DEAAB0">
        <v:shapetype id="_x0000_t202" coordsize="21600,21600" o:spt="202" path="m,l,21600r21600,l21600,xe">
          <v:stroke joinstyle="miter"/>
          <v:path gradientshapeok="t" o:connecttype="rect"/>
        </v:shapetype>
        <v:shape id="docshape27" o:spid="_x0000_s2398" type="#_x0000_t202" style="position:absolute;margin-left:193pt;margin-top:31.15pt;width:209.35pt;height:13pt;z-index:-25287680;mso-position-horizontal-relative:page;mso-position-vertical-relative:page" filled="f" stroked="f">
          <v:textbox inset="0,0,0,0">
            <w:txbxContent>
              <w:p w14:paraId="51DEACAF" w14:textId="77777777" w:rsidR="0010369C" w:rsidRDefault="008E43AE">
                <w:pPr>
                  <w:spacing w:line="244" w:lineRule="exact"/>
                  <w:ind w:left="20"/>
                </w:pPr>
                <w:r>
                  <w:t>Business</w:t>
                </w:r>
                <w:r>
                  <w:rPr>
                    <w:spacing w:val="-9"/>
                  </w:rPr>
                  <w:t xml:space="preserve"> </w:t>
                </w:r>
                <w:r>
                  <w:t>Confidential</w:t>
                </w:r>
                <w:r>
                  <w:rPr>
                    <w:spacing w:val="-7"/>
                  </w:rPr>
                  <w:t xml:space="preserve"> </w:t>
                </w:r>
                <w:r>
                  <w:t>Information</w:t>
                </w:r>
                <w:r>
                  <w:rPr>
                    <w:spacing w:val="-9"/>
                  </w:rPr>
                  <w:t xml:space="preserve"> </w:t>
                </w:r>
                <w:r>
                  <w:t>‐</w:t>
                </w:r>
                <w:r>
                  <w:rPr>
                    <w:spacing w:val="-7"/>
                  </w:rPr>
                  <w:t xml:space="preserve"> </w:t>
                </w:r>
                <w:r>
                  <w:rPr>
                    <w:spacing w:val="-2"/>
                  </w:rPr>
                  <w:t>REDACTED</w:t>
                </w:r>
              </w:p>
            </w:txbxContent>
          </v:textbox>
          <w10:wrap anchorx="page" anchory="page"/>
        </v:shape>
      </w:pict>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DEAA41" w14:textId="77777777" w:rsidR="0010369C" w:rsidRDefault="008E43AE">
    <w:pPr>
      <w:pStyle w:val="BodyText"/>
      <w:spacing w:line="14" w:lineRule="auto"/>
      <w:rPr>
        <w:sz w:val="20"/>
      </w:rPr>
    </w:pPr>
    <w:r>
      <w:pict w14:anchorId="51DEAB66">
        <v:shape id="docshape1106" o:spid="_x0000_s2216" style="position:absolute;margin-left:65pt;margin-top:28.45pt;width:461.4pt;height:16.3pt;z-index:-25194496;mso-position-horizontal-relative:page;mso-position-vertical-relative:page" coordorigin="1300,569" coordsize="9228,326" o:spt="100" adj="0,,0" path="m10528,578r-10,l10518,884r-9209,l1309,578r-9,l1300,884r,10l1309,894r9209,l10528,894r,-10l10528,578xm10528,569r-10,l1309,569r-9,l1300,578r9,l10518,578r10,l10528,569xe" fillcolor="black" stroked="f">
          <v:stroke joinstyle="round"/>
          <v:formulas/>
          <v:path arrowok="t" o:connecttype="segments"/>
          <w10:wrap anchorx="page" anchory="page"/>
        </v:shape>
      </w:pict>
    </w:r>
    <w:r>
      <w:pict w14:anchorId="51DEAB67">
        <v:shapetype id="_x0000_t202" coordsize="21600,21600" o:spt="202" path="m,l,21600r21600,l21600,xe">
          <v:stroke joinstyle="miter"/>
          <v:path gradientshapeok="t" o:connecttype="rect"/>
        </v:shapetype>
        <v:shape id="docshape1107" o:spid="_x0000_s2215" type="#_x0000_t202" style="position:absolute;margin-left:193pt;margin-top:31.15pt;width:209.35pt;height:13pt;z-index:-25193984;mso-position-horizontal-relative:page;mso-position-vertical-relative:page" filled="f" stroked="f">
          <v:textbox inset="0,0,0,0">
            <w:txbxContent>
              <w:p w14:paraId="51DEAD2E" w14:textId="77777777" w:rsidR="0010369C" w:rsidRDefault="008E43AE">
                <w:pPr>
                  <w:spacing w:line="244" w:lineRule="exact"/>
                  <w:ind w:left="20"/>
                </w:pPr>
                <w:r>
                  <w:t>Business</w:t>
                </w:r>
                <w:r>
                  <w:rPr>
                    <w:spacing w:val="-9"/>
                  </w:rPr>
                  <w:t xml:space="preserve"> </w:t>
                </w:r>
                <w:r>
                  <w:t>Confidential</w:t>
                </w:r>
                <w:r>
                  <w:rPr>
                    <w:spacing w:val="-7"/>
                  </w:rPr>
                  <w:t xml:space="preserve"> </w:t>
                </w:r>
                <w:r>
                  <w:t>Information</w:t>
                </w:r>
                <w:r>
                  <w:rPr>
                    <w:spacing w:val="-9"/>
                  </w:rPr>
                  <w:t xml:space="preserve"> </w:t>
                </w:r>
                <w:r>
                  <w:t>‐</w:t>
                </w:r>
                <w:r>
                  <w:rPr>
                    <w:spacing w:val="-7"/>
                  </w:rPr>
                  <w:t xml:space="preserve"> </w:t>
                </w:r>
                <w:r>
                  <w:rPr>
                    <w:spacing w:val="-2"/>
                  </w:rPr>
                  <w:t>REDACTED</w:t>
                </w:r>
              </w:p>
            </w:txbxContent>
          </v:textbox>
          <w10:wrap anchorx="page" anchory="page"/>
        </v:shape>
      </w:pic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DEAA43" w14:textId="77777777" w:rsidR="0010369C" w:rsidRDefault="008E43AE">
    <w:pPr>
      <w:pStyle w:val="BodyText"/>
      <w:spacing w:line="14" w:lineRule="auto"/>
      <w:rPr>
        <w:sz w:val="20"/>
      </w:rPr>
    </w:pPr>
    <w:r>
      <w:pict w14:anchorId="51DEAB6A">
        <v:shape id="docshape1110" o:spid="_x0000_s2212" style="position:absolute;margin-left:65pt;margin-top:28.45pt;width:461.4pt;height:16.3pt;z-index:-25192448;mso-position-horizontal-relative:page;mso-position-vertical-relative:page" coordorigin="1300,569" coordsize="9228,326" o:spt="100" adj="0,,0" path="m10528,578r-10,l10518,884r-9209,l1309,578r-9,l1300,884r,10l1309,894r9209,l10528,894r,-10l10528,578xm10528,569r-10,l1309,569r-9,l1300,578r9,l10518,578r10,l10528,569xe" fillcolor="black" stroked="f">
          <v:stroke joinstyle="round"/>
          <v:formulas/>
          <v:path arrowok="t" o:connecttype="segments"/>
          <w10:wrap anchorx="page" anchory="page"/>
        </v:shape>
      </w:pict>
    </w:r>
    <w:r>
      <w:pict w14:anchorId="51DEAB6B">
        <v:shapetype id="_x0000_t202" coordsize="21600,21600" o:spt="202" path="m,l,21600r21600,l21600,xe">
          <v:stroke joinstyle="miter"/>
          <v:path gradientshapeok="t" o:connecttype="rect"/>
        </v:shapetype>
        <v:shape id="docshape1111" o:spid="_x0000_s2211" type="#_x0000_t202" style="position:absolute;margin-left:193pt;margin-top:31.15pt;width:209.35pt;height:13pt;z-index:-25191936;mso-position-horizontal-relative:page;mso-position-vertical-relative:page" filled="f" stroked="f">
          <v:textbox inset="0,0,0,0">
            <w:txbxContent>
              <w:p w14:paraId="51DEAD30" w14:textId="77777777" w:rsidR="0010369C" w:rsidRDefault="008E43AE">
                <w:pPr>
                  <w:spacing w:line="244" w:lineRule="exact"/>
                  <w:ind w:left="20"/>
                </w:pPr>
                <w:r>
                  <w:t>Business</w:t>
                </w:r>
                <w:r>
                  <w:rPr>
                    <w:spacing w:val="-9"/>
                  </w:rPr>
                  <w:t xml:space="preserve"> </w:t>
                </w:r>
                <w:r>
                  <w:t>Confidential</w:t>
                </w:r>
                <w:r>
                  <w:rPr>
                    <w:spacing w:val="-7"/>
                  </w:rPr>
                  <w:t xml:space="preserve"> </w:t>
                </w:r>
                <w:r>
                  <w:t>Information</w:t>
                </w:r>
                <w:r>
                  <w:rPr>
                    <w:spacing w:val="-9"/>
                  </w:rPr>
                  <w:t xml:space="preserve"> </w:t>
                </w:r>
                <w:r>
                  <w:t>‐</w:t>
                </w:r>
                <w:r>
                  <w:rPr>
                    <w:spacing w:val="-7"/>
                  </w:rPr>
                  <w:t xml:space="preserve"> </w:t>
                </w:r>
                <w:r>
                  <w:rPr>
                    <w:spacing w:val="-2"/>
                  </w:rPr>
                  <w:t>REDACTED</w:t>
                </w:r>
              </w:p>
            </w:txbxContent>
          </v:textbox>
          <w10:wrap anchorx="page" anchory="page"/>
        </v:shape>
      </w:pict>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DEAA45" w14:textId="77777777" w:rsidR="0010369C" w:rsidRDefault="008E43AE">
    <w:pPr>
      <w:pStyle w:val="BodyText"/>
      <w:spacing w:line="14" w:lineRule="auto"/>
      <w:rPr>
        <w:sz w:val="20"/>
      </w:rPr>
    </w:pPr>
    <w:r>
      <w:pict w14:anchorId="51DEAB6D">
        <v:line id="_x0000_s2209" style="position:absolute;z-index:-25190912;mso-position-horizontal-relative:page;mso-position-vertical-relative:page" from="64.2pt,25.05pt" to="528.75pt,25.05pt" strokeweight=".35361mm">
          <w10:wrap anchorx="page" anchory="page"/>
        </v:line>
      </w:pict>
    </w:r>
    <w:r>
      <w:pict w14:anchorId="51DEAB6E">
        <v:line id="_x0000_s2208" style="position:absolute;z-index:-25190400;mso-position-horizontal-relative:page;mso-position-vertical-relative:page" from="64.2pt,41.1pt" to="528.75pt,41.1pt" strokeweight=".35361mm">
          <w10:wrap anchorx="page" anchory="page"/>
        </v:line>
      </w:pict>
    </w:r>
    <w:r>
      <w:pict w14:anchorId="51DEAB6F">
        <v:shapetype id="_x0000_t202" coordsize="21600,21600" o:spt="202" path="m,l,21600r21600,l21600,xe">
          <v:stroke joinstyle="miter"/>
          <v:path gradientshapeok="t" o:connecttype="rect"/>
        </v:shapetype>
        <v:shape id="docshape1129" o:spid="_x0000_s2207" type="#_x0000_t202" style="position:absolute;margin-left:193.45pt;margin-top:27.45pt;width:209.7pt;height:12.65pt;z-index:-25189888;mso-position-horizontal-relative:page;mso-position-vertical-relative:page" filled="f" stroked="f">
          <v:textbox inset="0,0,0,0">
            <w:txbxContent>
              <w:p w14:paraId="51DEAD32" w14:textId="77777777" w:rsidR="0010369C" w:rsidRDefault="008E43AE">
                <w:pPr>
                  <w:spacing w:before="14"/>
                  <w:ind w:left="20"/>
                  <w:rPr>
                    <w:rFonts w:ascii="Arial"/>
                    <w:sz w:val="19"/>
                  </w:rPr>
                </w:pPr>
                <w:r>
                  <w:rPr>
                    <w:rFonts w:ascii="Arial"/>
                    <w:color w:val="1D1D1D"/>
                    <w:sz w:val="19"/>
                  </w:rPr>
                  <w:t>Business</w:t>
                </w:r>
                <w:r>
                  <w:rPr>
                    <w:rFonts w:ascii="Arial"/>
                    <w:color w:val="1D1D1D"/>
                    <w:spacing w:val="45"/>
                    <w:sz w:val="19"/>
                  </w:rPr>
                  <w:t xml:space="preserve"> </w:t>
                </w:r>
                <w:r>
                  <w:rPr>
                    <w:rFonts w:ascii="Arial"/>
                    <w:color w:val="1D1D1D"/>
                    <w:sz w:val="19"/>
                  </w:rPr>
                  <w:t>Confidential</w:t>
                </w:r>
                <w:r>
                  <w:rPr>
                    <w:rFonts w:ascii="Arial"/>
                    <w:color w:val="1D1D1D"/>
                    <w:spacing w:val="38"/>
                    <w:sz w:val="19"/>
                  </w:rPr>
                  <w:t xml:space="preserve"> </w:t>
                </w:r>
                <w:r>
                  <w:rPr>
                    <w:rFonts w:ascii="Arial"/>
                    <w:color w:val="0A0A0A"/>
                    <w:sz w:val="19"/>
                  </w:rPr>
                  <w:t>Information</w:t>
                </w:r>
                <w:r>
                  <w:rPr>
                    <w:rFonts w:ascii="Arial"/>
                    <w:color w:val="0A0A0A"/>
                    <w:spacing w:val="39"/>
                    <w:sz w:val="19"/>
                  </w:rPr>
                  <w:t xml:space="preserve"> </w:t>
                </w:r>
                <w:r>
                  <w:rPr>
                    <w:rFonts w:ascii="Arial"/>
                    <w:color w:val="1D1D1D"/>
                    <w:sz w:val="19"/>
                  </w:rPr>
                  <w:t>-</w:t>
                </w:r>
                <w:r>
                  <w:rPr>
                    <w:rFonts w:ascii="Arial"/>
                    <w:color w:val="1D1D1D"/>
                    <w:spacing w:val="40"/>
                    <w:sz w:val="19"/>
                  </w:rPr>
                  <w:t xml:space="preserve"> </w:t>
                </w:r>
                <w:r>
                  <w:rPr>
                    <w:rFonts w:ascii="Arial"/>
                    <w:color w:val="1D1D1D"/>
                    <w:spacing w:val="-2"/>
                    <w:w w:val="95"/>
                    <w:sz w:val="19"/>
                  </w:rPr>
                  <w:t>REDACTED</w:t>
                </w:r>
              </w:p>
            </w:txbxContent>
          </v:textbox>
          <w10:wrap anchorx="page" anchory="page"/>
        </v:shape>
      </w:pict>
    </w: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DEAA47" w14:textId="77777777" w:rsidR="0010369C" w:rsidRDefault="008E43AE">
    <w:pPr>
      <w:pStyle w:val="BodyText"/>
      <w:spacing w:line="14" w:lineRule="auto"/>
      <w:rPr>
        <w:sz w:val="20"/>
      </w:rPr>
    </w:pPr>
    <w:r>
      <w:pict w14:anchorId="51DEAB71">
        <v:shape id="docshape1138" o:spid="_x0000_s2205" style="position:absolute;margin-left:65pt;margin-top:28.45pt;width:461.4pt;height:16.3pt;z-index:-25188864;mso-position-horizontal-relative:page;mso-position-vertical-relative:page" coordorigin="1300,569" coordsize="9228,326" o:spt="100" adj="0,,0" path="m10528,578r-10,l10518,884r-9209,l1309,578r-9,l1300,884r,10l1309,894r9209,l10528,894r,-10l10528,578xm10528,569r-10,l1309,569r-9,l1300,578r9,l10518,578r10,l10528,569xe" fillcolor="black" stroked="f">
          <v:stroke joinstyle="round"/>
          <v:formulas/>
          <v:path arrowok="t" o:connecttype="segments"/>
          <w10:wrap anchorx="page" anchory="page"/>
        </v:shape>
      </w:pict>
    </w:r>
    <w:r>
      <w:pict w14:anchorId="51DEAB72">
        <v:shapetype id="_x0000_t202" coordsize="21600,21600" o:spt="202" path="m,l,21600r21600,l21600,xe">
          <v:stroke joinstyle="miter"/>
          <v:path gradientshapeok="t" o:connecttype="rect"/>
        </v:shapetype>
        <v:shape id="docshape1139" o:spid="_x0000_s2204" type="#_x0000_t202" style="position:absolute;margin-left:193pt;margin-top:31.15pt;width:209.35pt;height:13pt;z-index:-25188352;mso-position-horizontal-relative:page;mso-position-vertical-relative:page" filled="f" stroked="f">
          <v:textbox inset="0,0,0,0">
            <w:txbxContent>
              <w:p w14:paraId="51DEAD34" w14:textId="77777777" w:rsidR="0010369C" w:rsidRDefault="008E43AE">
                <w:pPr>
                  <w:spacing w:line="244" w:lineRule="exact"/>
                  <w:ind w:left="20"/>
                </w:pPr>
                <w:r>
                  <w:t>Business</w:t>
                </w:r>
                <w:r>
                  <w:rPr>
                    <w:spacing w:val="-9"/>
                  </w:rPr>
                  <w:t xml:space="preserve"> </w:t>
                </w:r>
                <w:r>
                  <w:t>Confidential</w:t>
                </w:r>
                <w:r>
                  <w:rPr>
                    <w:spacing w:val="-7"/>
                  </w:rPr>
                  <w:t xml:space="preserve"> </w:t>
                </w:r>
                <w:r>
                  <w:t>Information</w:t>
                </w:r>
                <w:r>
                  <w:rPr>
                    <w:spacing w:val="-9"/>
                  </w:rPr>
                  <w:t xml:space="preserve"> </w:t>
                </w:r>
                <w:r>
                  <w:t>‐</w:t>
                </w:r>
                <w:r>
                  <w:rPr>
                    <w:spacing w:val="-7"/>
                  </w:rPr>
                  <w:t xml:space="preserve"> </w:t>
                </w:r>
                <w:r>
                  <w:rPr>
                    <w:spacing w:val="-2"/>
                  </w:rPr>
                  <w:t>REDACTED</w:t>
                </w:r>
              </w:p>
            </w:txbxContent>
          </v:textbox>
          <w10:wrap anchorx="page" anchory="page"/>
        </v:shape>
      </w:pict>
    </w: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DEAA49" w14:textId="77777777" w:rsidR="0010369C" w:rsidRDefault="0010369C">
    <w:pPr>
      <w:pStyle w:val="BodyText"/>
      <w:spacing w:line="14" w:lineRule="auto"/>
      <w:rPr>
        <w:sz w:val="2"/>
      </w:rPr>
    </w:pP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DEAA4B" w14:textId="77777777" w:rsidR="0010369C" w:rsidRDefault="008E43AE">
    <w:pPr>
      <w:pStyle w:val="BodyText"/>
      <w:spacing w:line="14" w:lineRule="auto"/>
      <w:rPr>
        <w:sz w:val="20"/>
      </w:rPr>
    </w:pPr>
    <w:r>
      <w:pict w14:anchorId="51DEAB75">
        <v:shape id="docshape1153" o:spid="_x0000_s2201" style="position:absolute;margin-left:65pt;margin-top:28.45pt;width:461.4pt;height:16.3pt;z-index:-25186816;mso-position-horizontal-relative:page;mso-position-vertical-relative:page" coordorigin="1300,569" coordsize="9228,326" o:spt="100" adj="0,,0" path="m10528,578r-10,l10518,884r-9209,l1309,578r-9,l1300,884r,10l1309,894r9209,l10528,894r,-10l10528,578xm10528,569r-10,l1309,569r-9,l1300,578r9,l10518,578r10,l10528,569xe" fillcolor="black" stroked="f">
          <v:stroke joinstyle="round"/>
          <v:formulas/>
          <v:path arrowok="t" o:connecttype="segments"/>
          <w10:wrap anchorx="page" anchory="page"/>
        </v:shape>
      </w:pict>
    </w:r>
    <w:r>
      <w:pict w14:anchorId="51DEAB76">
        <v:shapetype id="_x0000_t202" coordsize="21600,21600" o:spt="202" path="m,l,21600r21600,l21600,xe">
          <v:stroke joinstyle="miter"/>
          <v:path gradientshapeok="t" o:connecttype="rect"/>
        </v:shapetype>
        <v:shape id="docshape1154" o:spid="_x0000_s2200" type="#_x0000_t202" style="position:absolute;margin-left:193pt;margin-top:31.15pt;width:209.35pt;height:13pt;z-index:-25186304;mso-position-horizontal-relative:page;mso-position-vertical-relative:page" filled="f" stroked="f">
          <v:textbox inset="0,0,0,0">
            <w:txbxContent>
              <w:p w14:paraId="51DEAD37" w14:textId="77777777" w:rsidR="0010369C" w:rsidRDefault="008E43AE">
                <w:pPr>
                  <w:spacing w:line="244" w:lineRule="exact"/>
                  <w:ind w:left="20"/>
                </w:pPr>
                <w:r>
                  <w:t>Business</w:t>
                </w:r>
                <w:r>
                  <w:rPr>
                    <w:spacing w:val="-9"/>
                  </w:rPr>
                  <w:t xml:space="preserve"> </w:t>
                </w:r>
                <w:r>
                  <w:t>Confidential</w:t>
                </w:r>
                <w:r>
                  <w:rPr>
                    <w:spacing w:val="-7"/>
                  </w:rPr>
                  <w:t xml:space="preserve"> </w:t>
                </w:r>
                <w:r>
                  <w:t>Information</w:t>
                </w:r>
                <w:r>
                  <w:rPr>
                    <w:spacing w:val="-9"/>
                  </w:rPr>
                  <w:t xml:space="preserve"> </w:t>
                </w:r>
                <w:r>
                  <w:t>‐</w:t>
                </w:r>
                <w:r>
                  <w:rPr>
                    <w:spacing w:val="-7"/>
                  </w:rPr>
                  <w:t xml:space="preserve"> </w:t>
                </w:r>
                <w:r>
                  <w:rPr>
                    <w:spacing w:val="-2"/>
                  </w:rPr>
                  <w:t>REDACTED</w:t>
                </w:r>
              </w:p>
            </w:txbxContent>
          </v:textbox>
          <w10:wrap anchorx="page" anchory="page"/>
        </v:shape>
      </w:pict>
    </w: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DEAA4D" w14:textId="77777777" w:rsidR="0010369C" w:rsidRDefault="0010369C">
    <w:pPr>
      <w:pStyle w:val="BodyText"/>
      <w:spacing w:line="14" w:lineRule="auto"/>
      <w:rPr>
        <w:sz w:val="2"/>
      </w:rPr>
    </w:pP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DEAA4F" w14:textId="77777777" w:rsidR="0010369C" w:rsidRDefault="008E43AE">
    <w:pPr>
      <w:pStyle w:val="BodyText"/>
      <w:spacing w:line="14" w:lineRule="auto"/>
      <w:rPr>
        <w:sz w:val="20"/>
      </w:rPr>
    </w:pPr>
    <w:r>
      <w:pict w14:anchorId="51DEAB79">
        <v:shape id="docshape1163" o:spid="_x0000_s2197" style="position:absolute;margin-left:65pt;margin-top:28.45pt;width:461.4pt;height:16.3pt;z-index:-25184768;mso-position-horizontal-relative:page;mso-position-vertical-relative:page" coordorigin="1300,569" coordsize="9228,326" o:spt="100" adj="0,,0" path="m10528,578r-10,l10518,884r-9209,l1309,578r-9,l1300,884r,10l1309,894r9209,l10528,894r,-10l10528,578xm10528,569r-10,l1309,569r-9,l1300,578r9,l10518,578r10,l10528,569xe" fillcolor="black" stroked="f">
          <v:stroke joinstyle="round"/>
          <v:formulas/>
          <v:path arrowok="t" o:connecttype="segments"/>
          <w10:wrap anchorx="page" anchory="page"/>
        </v:shape>
      </w:pict>
    </w:r>
    <w:r>
      <w:pict w14:anchorId="51DEAB7A">
        <v:shapetype id="_x0000_t202" coordsize="21600,21600" o:spt="202" path="m,l,21600r21600,l21600,xe">
          <v:stroke joinstyle="miter"/>
          <v:path gradientshapeok="t" o:connecttype="rect"/>
        </v:shapetype>
        <v:shape id="docshape1164" o:spid="_x0000_s2196" type="#_x0000_t202" style="position:absolute;margin-left:193pt;margin-top:31.15pt;width:209.35pt;height:13pt;z-index:-25184256;mso-position-horizontal-relative:page;mso-position-vertical-relative:page" filled="f" stroked="f">
          <v:textbox inset="0,0,0,0">
            <w:txbxContent>
              <w:p w14:paraId="51DEAD3A" w14:textId="77777777" w:rsidR="0010369C" w:rsidRDefault="008E43AE">
                <w:pPr>
                  <w:spacing w:line="244" w:lineRule="exact"/>
                  <w:ind w:left="20"/>
                </w:pPr>
                <w:r>
                  <w:t>Business</w:t>
                </w:r>
                <w:r>
                  <w:rPr>
                    <w:spacing w:val="-9"/>
                  </w:rPr>
                  <w:t xml:space="preserve"> </w:t>
                </w:r>
                <w:r>
                  <w:t>Confidential</w:t>
                </w:r>
                <w:r>
                  <w:rPr>
                    <w:spacing w:val="-7"/>
                  </w:rPr>
                  <w:t xml:space="preserve"> </w:t>
                </w:r>
                <w:r>
                  <w:t>Information</w:t>
                </w:r>
                <w:r>
                  <w:rPr>
                    <w:spacing w:val="-9"/>
                  </w:rPr>
                  <w:t xml:space="preserve"> </w:t>
                </w:r>
                <w:r>
                  <w:t>‐</w:t>
                </w:r>
                <w:r>
                  <w:rPr>
                    <w:spacing w:val="-7"/>
                  </w:rPr>
                  <w:t xml:space="preserve"> </w:t>
                </w:r>
                <w:r>
                  <w:rPr>
                    <w:spacing w:val="-2"/>
                  </w:rPr>
                  <w:t>REDACTED</w:t>
                </w:r>
              </w:p>
            </w:txbxContent>
          </v:textbox>
          <w10:wrap anchorx="page" anchory="page"/>
        </v:shape>
      </w:pict>
    </w: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DEAA51" w14:textId="77777777" w:rsidR="0010369C" w:rsidRDefault="008E43AE">
    <w:pPr>
      <w:pStyle w:val="BodyText"/>
      <w:spacing w:line="14" w:lineRule="auto"/>
      <w:rPr>
        <w:sz w:val="20"/>
      </w:rPr>
    </w:pPr>
    <w:r>
      <w:pict w14:anchorId="51DEAB7C">
        <v:line id="_x0000_s2194" style="position:absolute;z-index:-25183232;mso-position-horizontal-relative:page;mso-position-vertical-relative:page" from="64.2pt,25.05pt" to="528.75pt,25.05pt" strokeweight=".35361mm">
          <w10:wrap anchorx="page" anchory="page"/>
        </v:line>
      </w:pict>
    </w:r>
    <w:r>
      <w:pict w14:anchorId="51DEAB7D">
        <v:line id="_x0000_s2193" style="position:absolute;z-index:-25182720;mso-position-horizontal-relative:page;mso-position-vertical-relative:page" from="64.2pt,41.1pt" to="528.75pt,41.1pt" strokeweight=".35361mm">
          <w10:wrap anchorx="page" anchory="page"/>
        </v:line>
      </w:pict>
    </w:r>
    <w:r>
      <w:pict w14:anchorId="51DEAB7E">
        <v:shapetype id="_x0000_t202" coordsize="21600,21600" o:spt="202" path="m,l,21600r21600,l21600,xe">
          <v:stroke joinstyle="miter"/>
          <v:path gradientshapeok="t" o:connecttype="rect"/>
        </v:shapetype>
        <v:shape id="docshape1169" o:spid="_x0000_s2192" type="#_x0000_t202" style="position:absolute;margin-left:193.5pt;margin-top:27.95pt;width:209.7pt;height:12.1pt;z-index:-25182208;mso-position-horizontal-relative:page;mso-position-vertical-relative:page" filled="f" stroked="f">
          <v:textbox inset="0,0,0,0">
            <w:txbxContent>
              <w:p w14:paraId="51DEAD3C" w14:textId="77777777" w:rsidR="0010369C" w:rsidRDefault="008E43AE">
                <w:pPr>
                  <w:spacing w:before="14"/>
                  <w:ind w:left="20"/>
                  <w:rPr>
                    <w:rFonts w:ascii="Arial"/>
                    <w:sz w:val="18"/>
                  </w:rPr>
                </w:pPr>
                <w:r>
                  <w:rPr>
                    <w:rFonts w:ascii="Arial"/>
                    <w:color w:val="281F2D"/>
                    <w:w w:val="110"/>
                    <w:sz w:val="18"/>
                  </w:rPr>
                  <w:t>Business</w:t>
                </w:r>
                <w:r>
                  <w:rPr>
                    <w:rFonts w:ascii="Arial"/>
                    <w:color w:val="281F2D"/>
                    <w:spacing w:val="10"/>
                    <w:w w:val="110"/>
                    <w:sz w:val="18"/>
                  </w:rPr>
                  <w:t xml:space="preserve"> </w:t>
                </w:r>
                <w:r>
                  <w:rPr>
                    <w:rFonts w:ascii="Arial"/>
                    <w:color w:val="281F2D"/>
                    <w:w w:val="110"/>
                    <w:sz w:val="18"/>
                  </w:rPr>
                  <w:t>Confidential</w:t>
                </w:r>
                <w:r>
                  <w:rPr>
                    <w:rFonts w:ascii="Arial"/>
                    <w:color w:val="281F2D"/>
                    <w:spacing w:val="12"/>
                    <w:w w:val="110"/>
                    <w:sz w:val="18"/>
                  </w:rPr>
                  <w:t xml:space="preserve"> </w:t>
                </w:r>
                <w:r>
                  <w:rPr>
                    <w:rFonts w:ascii="Arial"/>
                    <w:color w:val="281F2D"/>
                    <w:w w:val="110"/>
                    <w:sz w:val="18"/>
                  </w:rPr>
                  <w:t>Information</w:t>
                </w:r>
                <w:r>
                  <w:rPr>
                    <w:rFonts w:ascii="Arial"/>
                    <w:color w:val="281F2D"/>
                    <w:spacing w:val="3"/>
                    <w:w w:val="110"/>
                    <w:sz w:val="18"/>
                  </w:rPr>
                  <w:t xml:space="preserve"> </w:t>
                </w:r>
                <w:r>
                  <w:rPr>
                    <w:rFonts w:ascii="Arial"/>
                    <w:color w:val="030308"/>
                    <w:w w:val="110"/>
                    <w:sz w:val="18"/>
                  </w:rPr>
                  <w:t>-</w:t>
                </w:r>
                <w:r>
                  <w:rPr>
                    <w:rFonts w:ascii="Arial"/>
                    <w:color w:val="030308"/>
                    <w:spacing w:val="12"/>
                    <w:w w:val="110"/>
                    <w:sz w:val="18"/>
                  </w:rPr>
                  <w:t xml:space="preserve"> </w:t>
                </w:r>
                <w:r>
                  <w:rPr>
                    <w:rFonts w:ascii="Arial"/>
                    <w:color w:val="281F2D"/>
                    <w:spacing w:val="-2"/>
                    <w:sz w:val="18"/>
                  </w:rPr>
                  <w:t>REDACTED</w:t>
                </w:r>
              </w:p>
            </w:txbxContent>
          </v:textbox>
          <w10:wrap anchorx="page" anchory="page"/>
        </v:shape>
      </w:pict>
    </w: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DEAA53" w14:textId="77777777" w:rsidR="0010369C" w:rsidRDefault="008E43AE">
    <w:pPr>
      <w:pStyle w:val="BodyText"/>
      <w:spacing w:line="14" w:lineRule="auto"/>
      <w:rPr>
        <w:sz w:val="20"/>
      </w:rPr>
    </w:pPr>
    <w:r>
      <w:pict w14:anchorId="51DEAB80">
        <v:shape id="docshape1180" o:spid="_x0000_s2190" style="position:absolute;margin-left:65pt;margin-top:28.45pt;width:461.4pt;height:16.3pt;z-index:-25181184;mso-position-horizontal-relative:page;mso-position-vertical-relative:page" coordorigin="1300,569" coordsize="9228,326" o:spt="100" adj="0,,0" path="m10528,578r-10,l10518,884r-9209,l1309,578r-9,l1300,884r,10l1309,894r9209,l10528,894r,-10l10528,578xm10528,569r-10,l1309,569r-9,l1300,578r9,l10518,578r10,l10528,569xe" fillcolor="black" stroked="f">
          <v:stroke joinstyle="round"/>
          <v:formulas/>
          <v:path arrowok="t" o:connecttype="segments"/>
          <w10:wrap anchorx="page" anchory="page"/>
        </v:shape>
      </w:pict>
    </w:r>
    <w:r>
      <w:pict w14:anchorId="51DEAB81">
        <v:shapetype id="_x0000_t202" coordsize="21600,21600" o:spt="202" path="m,l,21600r21600,l21600,xe">
          <v:stroke joinstyle="miter"/>
          <v:path gradientshapeok="t" o:connecttype="rect"/>
        </v:shapetype>
        <v:shape id="docshape1181" o:spid="_x0000_s2189" type="#_x0000_t202" style="position:absolute;margin-left:193pt;margin-top:31.15pt;width:209.35pt;height:13pt;z-index:-25180672;mso-position-horizontal-relative:page;mso-position-vertical-relative:page" filled="f" stroked="f">
          <v:textbox inset="0,0,0,0">
            <w:txbxContent>
              <w:p w14:paraId="51DEAD3E" w14:textId="77777777" w:rsidR="0010369C" w:rsidRDefault="008E43AE">
                <w:pPr>
                  <w:spacing w:line="244" w:lineRule="exact"/>
                  <w:ind w:left="20"/>
                </w:pPr>
                <w:r>
                  <w:t>Business</w:t>
                </w:r>
                <w:r>
                  <w:rPr>
                    <w:spacing w:val="-9"/>
                  </w:rPr>
                  <w:t xml:space="preserve"> </w:t>
                </w:r>
                <w:r>
                  <w:t>Confidential</w:t>
                </w:r>
                <w:r>
                  <w:rPr>
                    <w:spacing w:val="-7"/>
                  </w:rPr>
                  <w:t xml:space="preserve"> </w:t>
                </w:r>
                <w:r>
                  <w:t>Information</w:t>
                </w:r>
                <w:r>
                  <w:rPr>
                    <w:spacing w:val="-9"/>
                  </w:rPr>
                  <w:t xml:space="preserve"> </w:t>
                </w:r>
                <w:r>
                  <w:t>‐</w:t>
                </w:r>
                <w:r>
                  <w:rPr>
                    <w:spacing w:val="-7"/>
                  </w:rPr>
                  <w:t xml:space="preserve"> </w:t>
                </w:r>
                <w:r>
                  <w:rPr>
                    <w:spacing w:val="-2"/>
                  </w:rPr>
                  <w:t>REDACTED</w:t>
                </w:r>
              </w:p>
            </w:txbxContent>
          </v:textbox>
          <w10:wrap anchorx="page" anchory="page"/>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DEA9C5" w14:textId="77777777" w:rsidR="0010369C" w:rsidRDefault="0010369C">
    <w:pPr>
      <w:pStyle w:val="BodyText"/>
      <w:spacing w:line="14" w:lineRule="auto"/>
      <w:rPr>
        <w:sz w:val="2"/>
      </w:rPr>
    </w:pP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DEAA55" w14:textId="77777777" w:rsidR="0010369C" w:rsidRDefault="008E43AE">
    <w:pPr>
      <w:pStyle w:val="BodyText"/>
      <w:spacing w:line="14" w:lineRule="auto"/>
      <w:rPr>
        <w:sz w:val="20"/>
      </w:rPr>
    </w:pPr>
    <w:r>
      <w:pict w14:anchorId="51DEAB83">
        <v:shape id="docshape1184" o:spid="_x0000_s2187" style="position:absolute;margin-left:65pt;margin-top:28.45pt;width:461.4pt;height:16.3pt;z-index:-25179648;mso-position-horizontal-relative:page;mso-position-vertical-relative:page" coordorigin="1300,569" coordsize="9228,326" o:spt="100" adj="0,,0" path="m10528,578r-10,l10518,884r-9209,l1309,578r-9,l1300,884r,10l1309,894r9209,l10528,894r,-10l10528,578xm10528,569r-10,l1309,569r-9,l1300,578r9,l10518,578r10,l10528,569xe" fillcolor="black" stroked="f">
          <v:stroke joinstyle="round"/>
          <v:formulas/>
          <v:path arrowok="t" o:connecttype="segments"/>
          <w10:wrap anchorx="page" anchory="page"/>
        </v:shape>
      </w:pict>
    </w:r>
    <w:r>
      <w:pict w14:anchorId="51DEAB84">
        <v:shapetype id="_x0000_t202" coordsize="21600,21600" o:spt="202" path="m,l,21600r21600,l21600,xe">
          <v:stroke joinstyle="miter"/>
          <v:path gradientshapeok="t" o:connecttype="rect"/>
        </v:shapetype>
        <v:shape id="docshape1185" o:spid="_x0000_s2186" type="#_x0000_t202" style="position:absolute;margin-left:193pt;margin-top:31.15pt;width:209.35pt;height:13pt;z-index:-25179136;mso-position-horizontal-relative:page;mso-position-vertical-relative:page" filled="f" stroked="f">
          <v:textbox inset="0,0,0,0">
            <w:txbxContent>
              <w:p w14:paraId="51DEAD40" w14:textId="77777777" w:rsidR="0010369C" w:rsidRDefault="008E43AE">
                <w:pPr>
                  <w:spacing w:line="244" w:lineRule="exact"/>
                  <w:ind w:left="20"/>
                </w:pPr>
                <w:r>
                  <w:t>Business</w:t>
                </w:r>
                <w:r>
                  <w:rPr>
                    <w:spacing w:val="-9"/>
                  </w:rPr>
                  <w:t xml:space="preserve"> </w:t>
                </w:r>
                <w:r>
                  <w:t>Confidential</w:t>
                </w:r>
                <w:r>
                  <w:rPr>
                    <w:spacing w:val="-7"/>
                  </w:rPr>
                  <w:t xml:space="preserve"> </w:t>
                </w:r>
                <w:r>
                  <w:t>Infor</w:t>
                </w:r>
                <w:r>
                  <w:t>mation</w:t>
                </w:r>
                <w:r>
                  <w:rPr>
                    <w:spacing w:val="-9"/>
                  </w:rPr>
                  <w:t xml:space="preserve"> </w:t>
                </w:r>
                <w:r>
                  <w:t>‐</w:t>
                </w:r>
                <w:r>
                  <w:rPr>
                    <w:spacing w:val="-7"/>
                  </w:rPr>
                  <w:t xml:space="preserve"> </w:t>
                </w:r>
                <w:r>
                  <w:rPr>
                    <w:spacing w:val="-2"/>
                  </w:rPr>
                  <w:t>REDACTED</w:t>
                </w:r>
              </w:p>
            </w:txbxContent>
          </v:textbox>
          <w10:wrap anchorx="page" anchory="page"/>
        </v:shape>
      </w:pict>
    </w: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DEAA57" w14:textId="77777777" w:rsidR="0010369C" w:rsidRDefault="008E43AE">
    <w:pPr>
      <w:pStyle w:val="BodyText"/>
      <w:spacing w:line="14" w:lineRule="auto"/>
      <w:rPr>
        <w:sz w:val="20"/>
      </w:rPr>
    </w:pPr>
    <w:r>
      <w:pict w14:anchorId="51DEAB87">
        <v:shape id="docshape1188" o:spid="_x0000_s2183" style="position:absolute;margin-left:65pt;margin-top:28.45pt;width:461.4pt;height:16.3pt;z-index:-25177600;mso-position-horizontal-relative:page;mso-position-vertical-relative:page" coordorigin="1300,569" coordsize="9228,326" o:spt="100" adj="0,,0" path="m10528,578r-10,l10518,884r-9209,l1309,578r-9,l1300,884r,10l1309,894r9209,l10528,894r,-10l10528,578xm10528,569r-10,l1309,569r-9,l1300,578r9,l10518,578r10,l10528,569xe" fillcolor="black" stroked="f">
          <v:stroke joinstyle="round"/>
          <v:formulas/>
          <v:path arrowok="t" o:connecttype="segments"/>
          <w10:wrap anchorx="page" anchory="page"/>
        </v:shape>
      </w:pict>
    </w:r>
    <w:r>
      <w:pict w14:anchorId="51DEAB88">
        <v:shapetype id="_x0000_t202" coordsize="21600,21600" o:spt="202" path="m,l,21600r21600,l21600,xe">
          <v:stroke joinstyle="miter"/>
          <v:path gradientshapeok="t" o:connecttype="rect"/>
        </v:shapetype>
        <v:shape id="docshape1189" o:spid="_x0000_s2182" type="#_x0000_t202" style="position:absolute;margin-left:193pt;margin-top:31.15pt;width:209.35pt;height:13pt;z-index:-25177088;mso-position-horizontal-relative:page;mso-position-vertical-relative:page" filled="f" stroked="f">
          <v:textbox inset="0,0,0,0">
            <w:txbxContent>
              <w:p w14:paraId="51DEAD42" w14:textId="77777777" w:rsidR="0010369C" w:rsidRDefault="008E43AE">
                <w:pPr>
                  <w:spacing w:line="244" w:lineRule="exact"/>
                  <w:ind w:left="20"/>
                </w:pPr>
                <w:r>
                  <w:t>Business</w:t>
                </w:r>
                <w:r>
                  <w:rPr>
                    <w:spacing w:val="-9"/>
                  </w:rPr>
                  <w:t xml:space="preserve"> </w:t>
                </w:r>
                <w:r>
                  <w:t>Confidential</w:t>
                </w:r>
                <w:r>
                  <w:rPr>
                    <w:spacing w:val="-7"/>
                  </w:rPr>
                  <w:t xml:space="preserve"> </w:t>
                </w:r>
                <w:r>
                  <w:t>Information</w:t>
                </w:r>
                <w:r>
                  <w:rPr>
                    <w:spacing w:val="-9"/>
                  </w:rPr>
                  <w:t xml:space="preserve"> </w:t>
                </w:r>
                <w:r>
                  <w:t>‐</w:t>
                </w:r>
                <w:r>
                  <w:rPr>
                    <w:spacing w:val="-7"/>
                  </w:rPr>
                  <w:t xml:space="preserve"> </w:t>
                </w:r>
                <w:r>
                  <w:rPr>
                    <w:spacing w:val="-2"/>
                  </w:rPr>
                  <w:t>REDACTED</w:t>
                </w:r>
              </w:p>
            </w:txbxContent>
          </v:textbox>
          <w10:wrap anchorx="page" anchory="page"/>
        </v:shape>
      </w:pict>
    </w: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DEAA59" w14:textId="77777777" w:rsidR="0010369C" w:rsidRDefault="008E43AE">
    <w:pPr>
      <w:pStyle w:val="BodyText"/>
      <w:spacing w:line="14" w:lineRule="auto"/>
      <w:rPr>
        <w:sz w:val="20"/>
      </w:rPr>
    </w:pPr>
    <w:r>
      <w:pict w14:anchorId="51DEAB8A">
        <v:shape id="docshape1192" o:spid="_x0000_s2180" style="position:absolute;margin-left:65pt;margin-top:28.45pt;width:461.4pt;height:15.15pt;z-index:-25176064;mso-position-horizontal-relative:page;mso-position-vertical-relative:page" coordorigin="1300,569" coordsize="9228,303" o:spt="100" adj="0,,0" path="m10528,578r-10,l10518,862r-9209,l1309,578r-9,l1300,862r,9l1309,871r9209,l10528,871r,-9l10528,578xm10528,569r-10,l1309,569r-9,l1300,578r9,l10518,578r10,l10528,569xe" fillcolor="black" stroked="f">
          <v:stroke joinstyle="round"/>
          <v:formulas/>
          <v:path arrowok="t" o:connecttype="segments"/>
          <w10:wrap anchorx="page" anchory="page"/>
        </v:shape>
      </w:pict>
    </w:r>
    <w:r>
      <w:pict w14:anchorId="51DEAB8B">
        <v:shapetype id="_x0000_t202" coordsize="21600,21600" o:spt="202" path="m,l,21600r21600,l21600,xe">
          <v:stroke joinstyle="miter"/>
          <v:path gradientshapeok="t" o:connecttype="rect"/>
        </v:shapetype>
        <v:shape id="docshape1193" o:spid="_x0000_s2179" type="#_x0000_t202" style="position:absolute;margin-left:209.05pt;margin-top:30.9pt;width:177.25pt;height:12.05pt;z-index:-25175552;mso-position-horizontal-relative:page;mso-position-vertical-relative:page" filled="f" stroked="f">
          <v:textbox inset="0,0,0,0">
            <w:txbxContent>
              <w:p w14:paraId="51DEAD44" w14:textId="77777777" w:rsidR="0010369C" w:rsidRDefault="008E43AE">
                <w:pPr>
                  <w:spacing w:line="224" w:lineRule="exact"/>
                  <w:ind w:left="20"/>
                  <w:rPr>
                    <w:sz w:val="20"/>
                  </w:rPr>
                </w:pPr>
                <w:r>
                  <w:rPr>
                    <w:sz w:val="20"/>
                  </w:rPr>
                  <w:t>Contains</w:t>
                </w:r>
                <w:r>
                  <w:rPr>
                    <w:spacing w:val="-9"/>
                    <w:sz w:val="20"/>
                  </w:rPr>
                  <w:t xml:space="preserve"> </w:t>
                </w:r>
                <w:r>
                  <w:rPr>
                    <w:sz w:val="20"/>
                  </w:rPr>
                  <w:t>Business</w:t>
                </w:r>
                <w:r>
                  <w:rPr>
                    <w:spacing w:val="-5"/>
                    <w:sz w:val="20"/>
                  </w:rPr>
                  <w:t xml:space="preserve"> </w:t>
                </w:r>
                <w:r>
                  <w:rPr>
                    <w:sz w:val="20"/>
                  </w:rPr>
                  <w:t>Confidential</w:t>
                </w:r>
                <w:r>
                  <w:rPr>
                    <w:spacing w:val="-5"/>
                    <w:sz w:val="20"/>
                  </w:rPr>
                  <w:t xml:space="preserve"> </w:t>
                </w:r>
                <w:r>
                  <w:rPr>
                    <w:spacing w:val="-2"/>
                    <w:sz w:val="20"/>
                  </w:rPr>
                  <w:t>Information</w:t>
                </w:r>
              </w:p>
            </w:txbxContent>
          </v:textbox>
          <w10:wrap anchorx="page" anchory="page"/>
        </v:shape>
      </w:pict>
    </w: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DEAA5B" w14:textId="77777777" w:rsidR="0010369C" w:rsidRDefault="008E43AE">
    <w:pPr>
      <w:pStyle w:val="BodyText"/>
      <w:spacing w:line="14" w:lineRule="auto"/>
      <w:rPr>
        <w:sz w:val="20"/>
      </w:rPr>
    </w:pPr>
    <w:r>
      <w:pict w14:anchorId="51DEAB8C">
        <v:shape id="docshape1195" o:spid="_x0000_s2178" style="position:absolute;margin-left:65pt;margin-top:28.45pt;width:461.4pt;height:16.3pt;z-index:-25175040;mso-position-horizontal-relative:page;mso-position-vertical-relative:page" coordorigin="1300,569" coordsize="9228,326" o:spt="100" adj="0,,0" path="m10528,578r-10,l10518,884r-9209,l1309,578r-9,l1300,884r,10l1309,894r9209,l10528,894r,-10l10528,578xm10528,569r-10,l1309,569r-9,l1300,578r9,l10518,578r10,l10528,569xe" fillcolor="black" stroked="f">
          <v:stroke joinstyle="round"/>
          <v:formulas/>
          <v:path arrowok="t" o:connecttype="segments"/>
          <w10:wrap anchorx="page" anchory="page"/>
        </v:shape>
      </w:pict>
    </w:r>
    <w:r>
      <w:pict w14:anchorId="51DEAB8D">
        <v:shapetype id="_x0000_t202" coordsize="21600,21600" o:spt="202" path="m,l,21600r21600,l21600,xe">
          <v:stroke joinstyle="miter"/>
          <v:path gradientshapeok="t" o:connecttype="rect"/>
        </v:shapetype>
        <v:shape id="docshape1196" o:spid="_x0000_s2177" type="#_x0000_t202" style="position:absolute;margin-left:193pt;margin-top:31.15pt;width:209.35pt;height:13pt;z-index:-25174528;mso-position-horizontal-relative:page;mso-position-vertical-relative:page" filled="f" stroked="f">
          <v:textbox inset="0,0,0,0">
            <w:txbxContent>
              <w:p w14:paraId="51DEAD45" w14:textId="77777777" w:rsidR="0010369C" w:rsidRDefault="008E43AE">
                <w:pPr>
                  <w:spacing w:line="244" w:lineRule="exact"/>
                  <w:ind w:left="20"/>
                </w:pPr>
                <w:r>
                  <w:t>Business</w:t>
                </w:r>
                <w:r>
                  <w:rPr>
                    <w:spacing w:val="-9"/>
                  </w:rPr>
                  <w:t xml:space="preserve"> </w:t>
                </w:r>
                <w:r>
                  <w:t>Confidential</w:t>
                </w:r>
                <w:r>
                  <w:rPr>
                    <w:spacing w:val="-7"/>
                  </w:rPr>
                  <w:t xml:space="preserve"> </w:t>
                </w:r>
                <w:r>
                  <w:t>Information</w:t>
                </w:r>
                <w:r>
                  <w:rPr>
                    <w:spacing w:val="-9"/>
                  </w:rPr>
                  <w:t xml:space="preserve"> </w:t>
                </w:r>
                <w:r>
                  <w:t>‐</w:t>
                </w:r>
                <w:r>
                  <w:rPr>
                    <w:spacing w:val="-7"/>
                  </w:rPr>
                  <w:t xml:space="preserve"> </w:t>
                </w:r>
                <w:r>
                  <w:rPr>
                    <w:spacing w:val="-2"/>
                  </w:rPr>
                  <w:t>REDACTED</w:t>
                </w:r>
              </w:p>
            </w:txbxContent>
          </v:textbox>
          <w10:wrap anchorx="page" anchory="page"/>
        </v:shape>
      </w:pict>
    </w: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DEAA5D" w14:textId="77777777" w:rsidR="0010369C" w:rsidRDefault="0010369C">
    <w:pPr>
      <w:pStyle w:val="BodyText"/>
      <w:spacing w:line="14" w:lineRule="auto"/>
      <w:rPr>
        <w:sz w:val="2"/>
      </w:rPr>
    </w:pP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DEAA5F" w14:textId="77777777" w:rsidR="0010369C" w:rsidRDefault="008E43AE">
    <w:pPr>
      <w:pStyle w:val="BodyText"/>
      <w:spacing w:line="14" w:lineRule="auto"/>
      <w:rPr>
        <w:sz w:val="20"/>
      </w:rPr>
    </w:pPr>
    <w:r>
      <w:pict w14:anchorId="51DEAB90">
        <v:shape id="docshape1208" o:spid="_x0000_s2174" style="position:absolute;margin-left:65pt;margin-top:28.45pt;width:461.4pt;height:16.3pt;z-index:-25172992;mso-position-horizontal-relative:page;mso-position-vertical-relative:page" coordorigin="1300,569" coordsize="9228,326" o:spt="100" adj="0,,0" path="m10528,578r-10,l10518,884r-9209,l1309,578r-9,l1300,884r,10l1309,894r9209,l10528,894r,-10l10528,578xm10528,569r-10,l1309,569r-9,l1300,578r9,l10518,578r10,l10528,569xe" fillcolor="black" stroked="f">
          <v:stroke joinstyle="round"/>
          <v:formulas/>
          <v:path arrowok="t" o:connecttype="segments"/>
          <w10:wrap anchorx="page" anchory="page"/>
        </v:shape>
      </w:pict>
    </w:r>
    <w:r>
      <w:pict w14:anchorId="51DEAB91">
        <v:shapetype id="_x0000_t202" coordsize="21600,21600" o:spt="202" path="m,l,21600r21600,l21600,xe">
          <v:stroke joinstyle="miter"/>
          <v:path gradientshapeok="t" o:connecttype="rect"/>
        </v:shapetype>
        <v:shape id="docshape1209" o:spid="_x0000_s2173" type="#_x0000_t202" style="position:absolute;margin-left:193pt;margin-top:31.15pt;width:209.35pt;height:13pt;z-index:-25172480;mso-position-horizontal-relative:page;mso-position-vertical-relative:page" filled="f" stroked="f">
          <v:textbox inset="0,0,0,0">
            <w:txbxContent>
              <w:p w14:paraId="51DEAD48" w14:textId="77777777" w:rsidR="0010369C" w:rsidRDefault="008E43AE">
                <w:pPr>
                  <w:spacing w:line="244" w:lineRule="exact"/>
                  <w:ind w:left="20"/>
                </w:pPr>
                <w:r>
                  <w:t>Business</w:t>
                </w:r>
                <w:r>
                  <w:rPr>
                    <w:spacing w:val="-9"/>
                  </w:rPr>
                  <w:t xml:space="preserve"> </w:t>
                </w:r>
                <w:r>
                  <w:t>Confidential</w:t>
                </w:r>
                <w:r>
                  <w:rPr>
                    <w:spacing w:val="-7"/>
                  </w:rPr>
                  <w:t xml:space="preserve"> </w:t>
                </w:r>
                <w:r>
                  <w:t>Information</w:t>
                </w:r>
                <w:r>
                  <w:rPr>
                    <w:spacing w:val="-9"/>
                  </w:rPr>
                  <w:t xml:space="preserve"> </w:t>
                </w:r>
                <w:r>
                  <w:t>‐</w:t>
                </w:r>
                <w:r>
                  <w:rPr>
                    <w:spacing w:val="-7"/>
                  </w:rPr>
                  <w:t xml:space="preserve"> </w:t>
                </w:r>
                <w:r>
                  <w:rPr>
                    <w:spacing w:val="-2"/>
                  </w:rPr>
                  <w:t>REDACTED</w:t>
                </w:r>
              </w:p>
            </w:txbxContent>
          </v:textbox>
          <w10:wrap anchorx="page" anchory="page"/>
        </v:shape>
      </w:pict>
    </w: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DEAA61" w14:textId="77777777" w:rsidR="0010369C" w:rsidRDefault="008E43AE">
    <w:pPr>
      <w:pStyle w:val="BodyText"/>
      <w:spacing w:line="14" w:lineRule="auto"/>
      <w:rPr>
        <w:sz w:val="20"/>
      </w:rPr>
    </w:pPr>
    <w:r>
      <w:pict w14:anchorId="51DEAB93">
        <v:shape id="docshape1212" o:spid="_x0000_s2171" style="position:absolute;margin-left:65pt;margin-top:28.45pt;width:461.4pt;height:16.3pt;z-index:-25171456;mso-position-horizontal-relative:page;mso-position-vertical-relative:page" coordorigin="1300,569" coordsize="9228,326" o:spt="100" adj="0,,0" path="m10528,578r-10,l10518,884r-9209,l1309,578r-9,l1300,884r,10l1309,894r9209,l10528,894r,-10l10528,578xm10528,569r-10,l1309,569r-9,l1300,578r9,l10518,578r10,l10528,569xe" fillcolor="black" stroked="f">
          <v:stroke joinstyle="round"/>
          <v:formulas/>
          <v:path arrowok="t" o:connecttype="segments"/>
          <w10:wrap anchorx="page" anchory="page"/>
        </v:shape>
      </w:pict>
    </w:r>
    <w:r>
      <w:pict w14:anchorId="51DEAB94">
        <v:shapetype id="_x0000_t202" coordsize="21600,21600" o:spt="202" path="m,l,21600r21600,l21600,xe">
          <v:stroke joinstyle="miter"/>
          <v:path gradientshapeok="t" o:connecttype="rect"/>
        </v:shapetype>
        <v:shape id="docshape1213" o:spid="_x0000_s2170" type="#_x0000_t202" style="position:absolute;margin-left:193pt;margin-top:31.15pt;width:209.35pt;height:13pt;z-index:-25170944;mso-position-horizontal-relative:page;mso-position-vertical-relative:page" filled="f" stroked="f">
          <v:textbox inset="0,0,0,0">
            <w:txbxContent>
              <w:p w14:paraId="51DEAD4A" w14:textId="77777777" w:rsidR="0010369C" w:rsidRDefault="008E43AE">
                <w:pPr>
                  <w:spacing w:line="244" w:lineRule="exact"/>
                  <w:ind w:left="20"/>
                </w:pPr>
                <w:r>
                  <w:t>Business</w:t>
                </w:r>
                <w:r>
                  <w:rPr>
                    <w:spacing w:val="-9"/>
                  </w:rPr>
                  <w:t xml:space="preserve"> </w:t>
                </w:r>
                <w:r>
                  <w:t>Confidential</w:t>
                </w:r>
                <w:r>
                  <w:rPr>
                    <w:spacing w:val="-7"/>
                  </w:rPr>
                  <w:t xml:space="preserve"> </w:t>
                </w:r>
                <w:r>
                  <w:t>Information</w:t>
                </w:r>
                <w:r>
                  <w:rPr>
                    <w:spacing w:val="-9"/>
                  </w:rPr>
                  <w:t xml:space="preserve"> </w:t>
                </w:r>
                <w:r>
                  <w:t>‐</w:t>
                </w:r>
                <w:r>
                  <w:rPr>
                    <w:spacing w:val="-7"/>
                  </w:rPr>
                  <w:t xml:space="preserve"> </w:t>
                </w:r>
                <w:r>
                  <w:rPr>
                    <w:spacing w:val="-2"/>
                  </w:rPr>
                  <w:t>REDACTED</w:t>
                </w:r>
              </w:p>
            </w:txbxContent>
          </v:textbox>
          <w10:wrap anchorx="page" anchory="page"/>
        </v:shape>
      </w:pict>
    </w: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DEAA63" w14:textId="77777777" w:rsidR="0010369C" w:rsidRDefault="0010369C">
    <w:pPr>
      <w:pStyle w:val="BodyText"/>
      <w:spacing w:line="14" w:lineRule="auto"/>
      <w:rPr>
        <w:sz w:val="2"/>
      </w:rPr>
    </w:pP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DEAA65" w14:textId="77777777" w:rsidR="0010369C" w:rsidRDefault="008E43AE">
    <w:pPr>
      <w:pStyle w:val="BodyText"/>
      <w:spacing w:line="14" w:lineRule="auto"/>
      <w:rPr>
        <w:sz w:val="20"/>
      </w:rPr>
    </w:pPr>
    <w:r>
      <w:pict w14:anchorId="51DEAB98">
        <v:shape id="docshape1220" o:spid="_x0000_s2166" style="position:absolute;margin-left:65pt;margin-top:28.45pt;width:461.4pt;height:16.3pt;z-index:-25168896;mso-position-horizontal-relative:page;mso-position-vertical-relative:page" coordorigin="1300,569" coordsize="9228,326" o:spt="100" adj="0,,0" path="m10528,578r-10,l10518,884r-9209,l1309,578r-9,l1300,884r,10l1309,894r9209,l10528,894r,-10l10528,578xm10528,569r-10,l1309,569r-9,l1300,578r9,l10518,578r10,l10528,569xe" fillcolor="black" stroked="f">
          <v:stroke joinstyle="round"/>
          <v:formulas/>
          <v:path arrowok="t" o:connecttype="segments"/>
          <w10:wrap anchorx="page" anchory="page"/>
        </v:shape>
      </w:pict>
    </w:r>
    <w:r>
      <w:pict w14:anchorId="51DEAB99">
        <v:shapetype id="_x0000_t202" coordsize="21600,21600" o:spt="202" path="m,l,21600r21600,l21600,xe">
          <v:stroke joinstyle="miter"/>
          <v:path gradientshapeok="t" o:connecttype="rect"/>
        </v:shapetype>
        <v:shape id="docshape1221" o:spid="_x0000_s2165" type="#_x0000_t202" style="position:absolute;margin-left:193pt;margin-top:31.15pt;width:209.35pt;height:13pt;z-index:-25168384;mso-position-horizontal-relative:page;mso-position-vertical-relative:page" filled="f" stroked="f">
          <v:textbox inset="0,0,0,0">
            <w:txbxContent>
              <w:p w14:paraId="51DEAD4D" w14:textId="77777777" w:rsidR="0010369C" w:rsidRDefault="008E43AE">
                <w:pPr>
                  <w:spacing w:line="244" w:lineRule="exact"/>
                  <w:ind w:left="20"/>
                </w:pPr>
                <w:r>
                  <w:t>Business</w:t>
                </w:r>
                <w:r>
                  <w:rPr>
                    <w:spacing w:val="-9"/>
                  </w:rPr>
                  <w:t xml:space="preserve"> </w:t>
                </w:r>
                <w:r>
                  <w:t>Confidential</w:t>
                </w:r>
                <w:r>
                  <w:rPr>
                    <w:spacing w:val="-7"/>
                  </w:rPr>
                  <w:t xml:space="preserve"> </w:t>
                </w:r>
                <w:r>
                  <w:t>Information</w:t>
                </w:r>
                <w:r>
                  <w:rPr>
                    <w:spacing w:val="-9"/>
                  </w:rPr>
                  <w:t xml:space="preserve"> </w:t>
                </w:r>
                <w:r>
                  <w:t>‐</w:t>
                </w:r>
                <w:r>
                  <w:rPr>
                    <w:spacing w:val="-7"/>
                  </w:rPr>
                  <w:t xml:space="preserve"> </w:t>
                </w:r>
                <w:r>
                  <w:rPr>
                    <w:spacing w:val="-2"/>
                  </w:rPr>
                  <w:t>REDACTED</w:t>
                </w:r>
              </w:p>
            </w:txbxContent>
          </v:textbox>
          <w10:wrap anchorx="page" anchory="page"/>
        </v:shape>
      </w:pict>
    </w: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DEAA67" w14:textId="77777777" w:rsidR="0010369C" w:rsidRDefault="008E43AE">
    <w:pPr>
      <w:pStyle w:val="BodyText"/>
      <w:spacing w:line="14" w:lineRule="auto"/>
      <w:rPr>
        <w:sz w:val="20"/>
      </w:rPr>
    </w:pPr>
    <w:r>
      <w:pict w14:anchorId="51DEAB9B">
        <v:shape id="docshape1226" o:spid="_x0000_s2163" style="position:absolute;margin-left:65pt;margin-top:28.45pt;width:461.4pt;height:16.3pt;z-index:-25167360;mso-position-horizontal-relative:page;mso-position-vertical-relative:page" coordorigin="1300,569" coordsize="9228,326" o:spt="100" adj="0,,0" path="m10528,578r-10,l10518,884r-9209,l1309,578r-9,l1300,884r,10l1309,894r9209,l10528,894r,-10l10528,578xm10528,569r-10,l1309,569r-9,l1300,578r9,l10518,578r10,l10528,569xe" fillcolor="black" stroked="f">
          <v:stroke joinstyle="round"/>
          <v:formulas/>
          <v:path arrowok="t" o:connecttype="segments"/>
          <w10:wrap anchorx="page" anchory="page"/>
        </v:shape>
      </w:pict>
    </w:r>
    <w:r>
      <w:pict w14:anchorId="51DEAB9C">
        <v:shapetype id="_x0000_t202" coordsize="21600,21600" o:spt="202" path="m,l,21600r21600,l21600,xe">
          <v:stroke joinstyle="miter"/>
          <v:path gradientshapeok="t" o:connecttype="rect"/>
        </v:shapetype>
        <v:shape id="docshape1227" o:spid="_x0000_s2162" type="#_x0000_t202" style="position:absolute;margin-left:193pt;margin-top:31.15pt;width:209.35pt;height:13pt;z-index:-25166848;mso-position-horizontal-relative:page;mso-position-vertical-relative:page" filled="f" stroked="f">
          <v:textbox inset="0,0,0,0">
            <w:txbxContent>
              <w:p w14:paraId="51DEAD4F" w14:textId="77777777" w:rsidR="0010369C" w:rsidRDefault="008E43AE">
                <w:pPr>
                  <w:spacing w:line="244" w:lineRule="exact"/>
                  <w:ind w:left="20"/>
                </w:pPr>
                <w:r>
                  <w:t>Business</w:t>
                </w:r>
                <w:r>
                  <w:rPr>
                    <w:spacing w:val="-9"/>
                  </w:rPr>
                  <w:t xml:space="preserve"> </w:t>
                </w:r>
                <w:r>
                  <w:t>Confidential</w:t>
                </w:r>
                <w:r>
                  <w:rPr>
                    <w:spacing w:val="-7"/>
                  </w:rPr>
                  <w:t xml:space="preserve"> </w:t>
                </w:r>
                <w:r>
                  <w:t>Information</w:t>
                </w:r>
                <w:r>
                  <w:rPr>
                    <w:spacing w:val="-9"/>
                  </w:rPr>
                  <w:t xml:space="preserve"> </w:t>
                </w:r>
                <w:r>
                  <w:t>‐</w:t>
                </w:r>
                <w:r>
                  <w:rPr>
                    <w:spacing w:val="-7"/>
                  </w:rPr>
                  <w:t xml:space="preserve"> </w:t>
                </w:r>
                <w:r>
                  <w:rPr>
                    <w:spacing w:val="-2"/>
                  </w:rPr>
                  <w:t>REDACTED</w:t>
                </w:r>
              </w:p>
            </w:txbxContent>
          </v:textbox>
          <w10:wrap anchorx="page" anchory="page"/>
        </v:shape>
      </w:pict>
    </w:r>
    <w:r>
      <w:pict w14:anchorId="51DEAB9D">
        <v:shape id="docshape1228" o:spid="_x0000_s2161" type="#_x0000_t202" style="position:absolute;margin-left:69.9pt;margin-top:45.7pt;width:233.3pt;height:12.05pt;z-index:-25166336;mso-position-horizontal-relative:page;mso-position-vertical-relative:page" filled="f" stroked="f">
          <v:textbox inset="0,0,0,0">
            <w:txbxContent>
              <w:p w14:paraId="51DEAD50" w14:textId="77777777" w:rsidR="0010369C" w:rsidRDefault="008E43AE">
                <w:pPr>
                  <w:spacing w:line="224" w:lineRule="exact"/>
                  <w:ind w:left="20"/>
                  <w:rPr>
                    <w:i/>
                    <w:sz w:val="20"/>
                  </w:rPr>
                </w:pPr>
                <w:r>
                  <w:rPr>
                    <w:i/>
                    <w:sz w:val="20"/>
                  </w:rPr>
                  <w:t>China</w:t>
                </w:r>
                <w:r>
                  <w:rPr>
                    <w:i/>
                    <w:spacing w:val="-5"/>
                    <w:sz w:val="20"/>
                  </w:rPr>
                  <w:t xml:space="preserve"> </w:t>
                </w:r>
                <w:r>
                  <w:rPr>
                    <w:i/>
                    <w:sz w:val="20"/>
                  </w:rPr>
                  <w:t>–</w:t>
                </w:r>
                <w:r>
                  <w:rPr>
                    <w:i/>
                    <w:spacing w:val="-5"/>
                    <w:sz w:val="20"/>
                  </w:rPr>
                  <w:t xml:space="preserve"> </w:t>
                </w:r>
                <w:r>
                  <w:rPr>
                    <w:i/>
                    <w:sz w:val="20"/>
                  </w:rPr>
                  <w:t>Anti‐Dumping</w:t>
                </w:r>
                <w:r>
                  <w:rPr>
                    <w:i/>
                    <w:spacing w:val="-4"/>
                    <w:sz w:val="20"/>
                  </w:rPr>
                  <w:t xml:space="preserve"> </w:t>
                </w:r>
                <w:r>
                  <w:rPr>
                    <w:i/>
                    <w:sz w:val="20"/>
                  </w:rPr>
                  <w:t>and</w:t>
                </w:r>
                <w:r>
                  <w:rPr>
                    <w:i/>
                    <w:spacing w:val="-5"/>
                    <w:sz w:val="20"/>
                  </w:rPr>
                  <w:t xml:space="preserve"> </w:t>
                </w:r>
                <w:r>
                  <w:rPr>
                    <w:i/>
                    <w:sz w:val="20"/>
                  </w:rPr>
                  <w:t>Countervailing</w:t>
                </w:r>
                <w:r>
                  <w:rPr>
                    <w:i/>
                    <w:spacing w:val="-5"/>
                    <w:sz w:val="20"/>
                  </w:rPr>
                  <w:t xml:space="preserve"> </w:t>
                </w:r>
                <w:r>
                  <w:rPr>
                    <w:i/>
                    <w:sz w:val="20"/>
                  </w:rPr>
                  <w:t>Duty</w:t>
                </w:r>
                <w:r>
                  <w:rPr>
                    <w:i/>
                    <w:spacing w:val="-4"/>
                    <w:sz w:val="20"/>
                  </w:rPr>
                  <w:t xml:space="preserve"> </w:t>
                </w:r>
                <w:r>
                  <w:rPr>
                    <w:i/>
                    <w:spacing w:val="-2"/>
                    <w:sz w:val="20"/>
                  </w:rPr>
                  <w:t>Measures</w:t>
                </w:r>
              </w:p>
            </w:txbxContent>
          </v:textbox>
          <w10:wrap anchorx="page" anchory="page"/>
        </v:shape>
      </w:pict>
    </w:r>
    <w:r>
      <w:pict w14:anchorId="51DEAB9E">
        <v:shape id="docshape1229" o:spid="_x0000_s2160" type="#_x0000_t202" style="position:absolute;margin-left:379.3pt;margin-top:45.7pt;width:146.05pt;height:12.05pt;z-index:-25165824;mso-position-horizontal-relative:page;mso-position-vertical-relative:page" filled="f" stroked="f">
          <v:textbox inset="0,0,0,0">
            <w:txbxContent>
              <w:p w14:paraId="51DEAD51" w14:textId="77777777" w:rsidR="0010369C" w:rsidRDefault="008E43AE">
                <w:pPr>
                  <w:spacing w:line="224" w:lineRule="exact"/>
                  <w:ind w:left="20"/>
                  <w:rPr>
                    <w:sz w:val="20"/>
                  </w:rPr>
                </w:pPr>
                <w:r>
                  <w:rPr>
                    <w:sz w:val="20"/>
                  </w:rPr>
                  <w:t>Australia's</w:t>
                </w:r>
                <w:r>
                  <w:rPr>
                    <w:spacing w:val="-5"/>
                    <w:sz w:val="20"/>
                  </w:rPr>
                  <w:t xml:space="preserve"> </w:t>
                </w:r>
                <w:r>
                  <w:rPr>
                    <w:sz w:val="20"/>
                  </w:rPr>
                  <w:t>First</w:t>
                </w:r>
                <w:r>
                  <w:rPr>
                    <w:spacing w:val="-2"/>
                    <w:sz w:val="20"/>
                  </w:rPr>
                  <w:t xml:space="preserve"> </w:t>
                </w:r>
                <w:r>
                  <w:rPr>
                    <w:sz w:val="20"/>
                  </w:rPr>
                  <w:t>Written</w:t>
                </w:r>
                <w:r>
                  <w:rPr>
                    <w:spacing w:val="-2"/>
                    <w:sz w:val="20"/>
                  </w:rPr>
                  <w:t xml:space="preserve"> Submission</w:t>
                </w:r>
              </w:p>
            </w:txbxContent>
          </v:textbox>
          <w10:wrap anchorx="page" anchory="page"/>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DEA9C7" w14:textId="77777777" w:rsidR="0010369C" w:rsidRDefault="008E43AE">
    <w:pPr>
      <w:pStyle w:val="BodyText"/>
      <w:spacing w:line="14" w:lineRule="auto"/>
      <w:rPr>
        <w:sz w:val="20"/>
      </w:rPr>
    </w:pPr>
    <w:r>
      <w:pict w14:anchorId="51DEAAB3">
        <v:shape id="docshape46" o:spid="_x0000_s2395" style="position:absolute;margin-left:65pt;margin-top:28.45pt;width:461.4pt;height:16.3pt;z-index:-25286144;mso-position-horizontal-relative:page;mso-position-vertical-relative:page" coordorigin="1300,569" coordsize="9228,326" o:spt="100" adj="0,,0" path="m10528,578r-10,l10518,884r-9209,l1309,578r-9,l1300,884r,10l1309,894r9209,l10528,894r,-10l10528,578xm10528,569r-10,l1309,569r-9,l1300,578r9,l10518,578r10,l10528,569xe" fillcolor="black" stroked="f">
          <v:stroke joinstyle="round"/>
          <v:formulas/>
          <v:path arrowok="t" o:connecttype="segments"/>
          <w10:wrap anchorx="page" anchory="page"/>
        </v:shape>
      </w:pict>
    </w:r>
    <w:r>
      <w:pict w14:anchorId="51DEAAB4">
        <v:shapetype id="_x0000_t202" coordsize="21600,21600" o:spt="202" path="m,l,21600r21600,l21600,xe">
          <v:stroke joinstyle="miter"/>
          <v:path gradientshapeok="t" o:connecttype="rect"/>
        </v:shapetype>
        <v:shape id="docshape47" o:spid="_x0000_s2394" type="#_x0000_t202" style="position:absolute;margin-left:193pt;margin-top:31.15pt;width:209.35pt;height:13pt;z-index:-25285632;mso-position-horizontal-relative:page;mso-position-vertical-relative:page" filled="f" stroked="f">
          <v:textbox inset="0,0,0,0">
            <w:txbxContent>
              <w:p w14:paraId="51DEACB2" w14:textId="77777777" w:rsidR="0010369C" w:rsidRDefault="008E43AE">
                <w:pPr>
                  <w:spacing w:line="244" w:lineRule="exact"/>
                  <w:ind w:left="20"/>
                </w:pPr>
                <w:r>
                  <w:t>Business</w:t>
                </w:r>
                <w:r>
                  <w:rPr>
                    <w:spacing w:val="-9"/>
                  </w:rPr>
                  <w:t xml:space="preserve"> </w:t>
                </w:r>
                <w:r>
                  <w:t>Confidential</w:t>
                </w:r>
                <w:r>
                  <w:rPr>
                    <w:spacing w:val="-7"/>
                  </w:rPr>
                  <w:t xml:space="preserve"> </w:t>
                </w:r>
                <w:r>
                  <w:t>Information</w:t>
                </w:r>
                <w:r>
                  <w:rPr>
                    <w:spacing w:val="-9"/>
                  </w:rPr>
                  <w:t xml:space="preserve"> </w:t>
                </w:r>
                <w:r>
                  <w:t>‐</w:t>
                </w:r>
                <w:r>
                  <w:rPr>
                    <w:spacing w:val="-7"/>
                  </w:rPr>
                  <w:t xml:space="preserve"> </w:t>
                </w:r>
                <w:r>
                  <w:rPr>
                    <w:spacing w:val="-2"/>
                  </w:rPr>
                  <w:t>REDACTED</w:t>
                </w:r>
              </w:p>
            </w:txbxContent>
          </v:textbox>
          <w10:wrap anchorx="page" anchory="page"/>
        </v:shape>
      </w:pict>
    </w: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DEAA69" w14:textId="77777777" w:rsidR="0010369C" w:rsidRDefault="0010369C">
    <w:pPr>
      <w:pStyle w:val="BodyText"/>
      <w:spacing w:line="14" w:lineRule="auto"/>
      <w:rPr>
        <w:sz w:val="2"/>
      </w:rPr>
    </w:pP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DEAA6B" w14:textId="77777777" w:rsidR="0010369C" w:rsidRDefault="008E43AE">
    <w:pPr>
      <w:pStyle w:val="BodyText"/>
      <w:spacing w:line="14" w:lineRule="auto"/>
      <w:rPr>
        <w:sz w:val="20"/>
      </w:rPr>
    </w:pPr>
    <w:r>
      <w:pict w14:anchorId="51DEABA1">
        <v:shape id="docshape1247" o:spid="_x0000_s2157" style="position:absolute;margin-left:65pt;margin-top:28.45pt;width:461.4pt;height:16.3pt;z-index:-25164288;mso-position-horizontal-relative:page;mso-position-vertical-relative:page" coordorigin="1300,569" coordsize="9228,326" o:spt="100" adj="0,,0" path="m10528,578r-10,l10518,884r-9209,l1309,578r-9,l1300,884r,10l1309,894r9209,l10528,894r,-10l10528,578xm10528,569r-10,l1309,569r-9,l1300,578r9,l10518,578r10,l10528,569xe" fillcolor="black" stroked="f">
          <v:stroke joinstyle="round"/>
          <v:formulas/>
          <v:path arrowok="t" o:connecttype="segments"/>
          <w10:wrap anchorx="page" anchory="page"/>
        </v:shape>
      </w:pict>
    </w:r>
    <w:r>
      <w:pict w14:anchorId="51DEABA2">
        <v:shapetype id="_x0000_t202" coordsize="21600,21600" o:spt="202" path="m,l,21600r21600,l21600,xe">
          <v:stroke joinstyle="miter"/>
          <v:path gradientshapeok="t" o:connecttype="rect"/>
        </v:shapetype>
        <v:shape id="docshape1248" o:spid="_x0000_s2156" type="#_x0000_t202" style="position:absolute;margin-left:193pt;margin-top:31.15pt;width:209.35pt;height:13pt;z-index:-25163776;mso-position-horizontal-relative:page;mso-position-vertical-relative:page" filled="f" stroked="f">
          <v:textbox inset="0,0,0,0">
            <w:txbxContent>
              <w:p w14:paraId="51DEAD54" w14:textId="77777777" w:rsidR="0010369C" w:rsidRDefault="008E43AE">
                <w:pPr>
                  <w:spacing w:line="244" w:lineRule="exact"/>
                  <w:ind w:left="20"/>
                </w:pPr>
                <w:r>
                  <w:t>Business</w:t>
                </w:r>
                <w:r>
                  <w:rPr>
                    <w:spacing w:val="-9"/>
                  </w:rPr>
                  <w:t xml:space="preserve"> </w:t>
                </w:r>
                <w:r>
                  <w:t>Confidential</w:t>
                </w:r>
                <w:r>
                  <w:rPr>
                    <w:spacing w:val="-7"/>
                  </w:rPr>
                  <w:t xml:space="preserve"> </w:t>
                </w:r>
                <w:r>
                  <w:t>Information</w:t>
                </w:r>
                <w:r>
                  <w:rPr>
                    <w:spacing w:val="-9"/>
                  </w:rPr>
                  <w:t xml:space="preserve"> </w:t>
                </w:r>
                <w:r>
                  <w:t>‐</w:t>
                </w:r>
                <w:r>
                  <w:rPr>
                    <w:spacing w:val="-7"/>
                  </w:rPr>
                  <w:t xml:space="preserve"> </w:t>
                </w:r>
                <w:r>
                  <w:rPr>
                    <w:spacing w:val="-2"/>
                  </w:rPr>
                  <w:t>REDACTED</w:t>
                </w:r>
              </w:p>
            </w:txbxContent>
          </v:textbox>
          <w10:wrap anchorx="page" anchory="page"/>
        </v:shape>
      </w:pict>
    </w: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DEAA6D" w14:textId="77777777" w:rsidR="0010369C" w:rsidRDefault="008E43AE">
    <w:pPr>
      <w:pStyle w:val="BodyText"/>
      <w:spacing w:line="14" w:lineRule="auto"/>
      <w:rPr>
        <w:sz w:val="20"/>
      </w:rPr>
    </w:pPr>
    <w:r>
      <w:pict w14:anchorId="51DEABA4">
        <v:shape id="docshape1263" o:spid="_x0000_s2154" style="position:absolute;margin-left:65pt;margin-top:28.45pt;width:461.4pt;height:16.3pt;z-index:-25162752;mso-position-horizontal-relative:page;mso-position-vertical-relative:page" coordorigin="1300,569" coordsize="9228,326" o:spt="100" adj="0,,0" path="m10528,578r-10,l10518,884r-9209,l1309,578r-9,l1300,884r,10l1309,894r9209,l10528,894r,-10l10528,578xm10528,569r-10,l1309,569r-9,l1300,578r9,l10518,578r10,l10528,569xe" fillcolor="black" stroked="f">
          <v:stroke joinstyle="round"/>
          <v:formulas/>
          <v:path arrowok="t" o:connecttype="segments"/>
          <w10:wrap anchorx="page" anchory="page"/>
        </v:shape>
      </w:pict>
    </w:r>
    <w:r>
      <w:pict w14:anchorId="51DEABA5">
        <v:shapetype id="_x0000_t202" coordsize="21600,21600" o:spt="202" path="m,l,21600r21600,l21600,xe">
          <v:stroke joinstyle="miter"/>
          <v:path gradientshapeok="t" o:connecttype="rect"/>
        </v:shapetype>
        <v:shape id="docshape1264" o:spid="_x0000_s2153" type="#_x0000_t202" style="position:absolute;margin-left:193pt;margin-top:31.15pt;width:209.35pt;height:13pt;z-index:-25162240;mso-position-horizontal-relative:page;mso-position-vertical-relative:page" filled="f" stroked="f">
          <v:textbox inset="0,0,0,0">
            <w:txbxContent>
              <w:p w14:paraId="51DEAD56" w14:textId="77777777" w:rsidR="0010369C" w:rsidRDefault="008E43AE">
                <w:pPr>
                  <w:spacing w:line="244" w:lineRule="exact"/>
                  <w:ind w:left="20"/>
                </w:pPr>
                <w:r>
                  <w:t>Business</w:t>
                </w:r>
                <w:r>
                  <w:rPr>
                    <w:spacing w:val="-9"/>
                  </w:rPr>
                  <w:t xml:space="preserve"> </w:t>
                </w:r>
                <w:r>
                  <w:t>Confidential</w:t>
                </w:r>
                <w:r>
                  <w:rPr>
                    <w:spacing w:val="-7"/>
                  </w:rPr>
                  <w:t xml:space="preserve"> </w:t>
                </w:r>
                <w:r>
                  <w:t>Information</w:t>
                </w:r>
                <w:r>
                  <w:rPr>
                    <w:spacing w:val="-9"/>
                  </w:rPr>
                  <w:t xml:space="preserve"> </w:t>
                </w:r>
                <w:r>
                  <w:t>‐</w:t>
                </w:r>
                <w:r>
                  <w:rPr>
                    <w:spacing w:val="-7"/>
                  </w:rPr>
                  <w:t xml:space="preserve"> </w:t>
                </w:r>
                <w:r>
                  <w:rPr>
                    <w:spacing w:val="-2"/>
                  </w:rPr>
                  <w:t>REDACTED</w:t>
                </w:r>
              </w:p>
            </w:txbxContent>
          </v:textbox>
          <w10:wrap anchorx="page" anchory="page"/>
        </v:shape>
      </w:pict>
    </w: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DEAA6F" w14:textId="77777777" w:rsidR="0010369C" w:rsidRDefault="008E43AE">
    <w:pPr>
      <w:pStyle w:val="BodyText"/>
      <w:spacing w:line="14" w:lineRule="auto"/>
      <w:rPr>
        <w:sz w:val="20"/>
      </w:rPr>
    </w:pPr>
    <w:r>
      <w:pict w14:anchorId="51DEABA8">
        <v:shape id="docshape1267" o:spid="_x0000_s2150" style="position:absolute;margin-left:65pt;margin-top:28.45pt;width:461.4pt;height:16.3pt;z-index:-25160704;mso-position-horizontal-relative:page;mso-position-vertical-relative:page" coordorigin="1300,569" coordsize="9228,326" o:spt="100" adj="0,,0" path="m10528,578r-10,l10518,884r-9209,l1309,578r-9,l1300,884r,10l1309,894r9209,l10528,894r,-10l10528,578xm10528,569r-10,l1309,569r-9,l1300,578r9,l10518,578r10,l10528,569xe" fillcolor="black" stroked="f">
          <v:stroke joinstyle="round"/>
          <v:formulas/>
          <v:path arrowok="t" o:connecttype="segments"/>
          <w10:wrap anchorx="page" anchory="page"/>
        </v:shape>
      </w:pict>
    </w:r>
    <w:r>
      <w:pict w14:anchorId="51DEABA9">
        <v:shapetype id="_x0000_t202" coordsize="21600,21600" o:spt="202" path="m,l,21600r21600,l21600,xe">
          <v:stroke joinstyle="miter"/>
          <v:path gradientshapeok="t" o:connecttype="rect"/>
        </v:shapetype>
        <v:shape id="docshape1268" o:spid="_x0000_s2149" type="#_x0000_t202" style="position:absolute;margin-left:193pt;margin-top:31.15pt;width:209.35pt;height:13pt;z-index:-25160192;mso-position-horizontal-relative:page;mso-position-vertical-relative:page" filled="f" stroked="f">
          <v:textbox inset="0,0,0,0">
            <w:txbxContent>
              <w:p w14:paraId="51DEAD58" w14:textId="77777777" w:rsidR="0010369C" w:rsidRDefault="008E43AE">
                <w:pPr>
                  <w:spacing w:line="244" w:lineRule="exact"/>
                  <w:ind w:left="20"/>
                </w:pPr>
                <w:r>
                  <w:t>Business</w:t>
                </w:r>
                <w:r>
                  <w:rPr>
                    <w:spacing w:val="-9"/>
                  </w:rPr>
                  <w:t xml:space="preserve"> </w:t>
                </w:r>
                <w:r>
                  <w:t>Confidential</w:t>
                </w:r>
                <w:r>
                  <w:rPr>
                    <w:spacing w:val="-7"/>
                  </w:rPr>
                  <w:t xml:space="preserve"> </w:t>
                </w:r>
                <w:r>
                  <w:t>Information</w:t>
                </w:r>
                <w:r>
                  <w:rPr>
                    <w:spacing w:val="-9"/>
                  </w:rPr>
                  <w:t xml:space="preserve"> </w:t>
                </w:r>
                <w:r>
                  <w:t>‐</w:t>
                </w:r>
                <w:r>
                  <w:rPr>
                    <w:spacing w:val="-7"/>
                  </w:rPr>
                  <w:t xml:space="preserve"> </w:t>
                </w:r>
                <w:r>
                  <w:rPr>
                    <w:spacing w:val="-2"/>
                  </w:rPr>
                  <w:t>REDACTED</w:t>
                </w:r>
              </w:p>
            </w:txbxContent>
          </v:textbox>
          <w10:wrap anchorx="page" anchory="page"/>
        </v:shape>
      </w:pict>
    </w: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DEAA71" w14:textId="77777777" w:rsidR="0010369C" w:rsidRDefault="008E43AE">
    <w:pPr>
      <w:pStyle w:val="BodyText"/>
      <w:spacing w:line="14" w:lineRule="auto"/>
      <w:rPr>
        <w:sz w:val="20"/>
      </w:rPr>
    </w:pPr>
    <w:r>
      <w:pict w14:anchorId="51DEABAB">
        <v:shape id="docshape1280" o:spid="_x0000_s2147" style="position:absolute;margin-left:65pt;margin-top:28.45pt;width:461.4pt;height:16.3pt;z-index:-25159168;mso-position-horizontal-relative:page;mso-position-vertical-relative:page" coordorigin="1300,569" coordsize="9228,326" o:spt="100" adj="0,,0" path="m10528,578r-10,l10518,884r-9209,l1309,578r-9,l1300,884r,10l1309,894r9209,l10528,894r,-10l10528,578xm10528,569r-10,l1309,569r-9,l1300,578r9,l10518,578r10,l10528,569xe" fillcolor="black" stroked="f">
          <v:stroke joinstyle="round"/>
          <v:formulas/>
          <v:path arrowok="t" o:connecttype="segments"/>
          <w10:wrap anchorx="page" anchory="page"/>
        </v:shape>
      </w:pict>
    </w:r>
    <w:r>
      <w:pict w14:anchorId="51DEABAC">
        <v:shapetype id="_x0000_t202" coordsize="21600,21600" o:spt="202" path="m,l,21600r21600,l21600,xe">
          <v:stroke joinstyle="miter"/>
          <v:path gradientshapeok="t" o:connecttype="rect"/>
        </v:shapetype>
        <v:shape id="docshape1281" o:spid="_x0000_s2146" type="#_x0000_t202" style="position:absolute;margin-left:193pt;margin-top:31.15pt;width:209.35pt;height:13pt;z-index:-25158656;mso-position-horizontal-relative:page;mso-position-vertical-relative:page" filled="f" stroked="f">
          <v:textbox inset="0,0,0,0">
            <w:txbxContent>
              <w:p w14:paraId="51DEAD5A" w14:textId="77777777" w:rsidR="0010369C" w:rsidRDefault="008E43AE">
                <w:pPr>
                  <w:spacing w:line="244" w:lineRule="exact"/>
                  <w:ind w:left="20"/>
                </w:pPr>
                <w:r>
                  <w:t>Business</w:t>
                </w:r>
                <w:r>
                  <w:rPr>
                    <w:spacing w:val="-9"/>
                  </w:rPr>
                  <w:t xml:space="preserve"> </w:t>
                </w:r>
                <w:r>
                  <w:t>Confidential</w:t>
                </w:r>
                <w:r>
                  <w:rPr>
                    <w:spacing w:val="-7"/>
                  </w:rPr>
                  <w:t xml:space="preserve"> </w:t>
                </w:r>
                <w:r>
                  <w:t>Information</w:t>
                </w:r>
                <w:r>
                  <w:rPr>
                    <w:spacing w:val="-9"/>
                  </w:rPr>
                  <w:t xml:space="preserve"> </w:t>
                </w:r>
                <w:r>
                  <w:t>‐</w:t>
                </w:r>
                <w:r>
                  <w:rPr>
                    <w:spacing w:val="-7"/>
                  </w:rPr>
                  <w:t xml:space="preserve"> </w:t>
                </w:r>
                <w:r>
                  <w:rPr>
                    <w:spacing w:val="-2"/>
                  </w:rPr>
                  <w:t>REDACTED</w:t>
                </w:r>
              </w:p>
            </w:txbxContent>
          </v:textbox>
          <w10:wrap anchorx="page" anchory="page"/>
        </v:shape>
      </w:pict>
    </w: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DEAA73" w14:textId="77777777" w:rsidR="0010369C" w:rsidRDefault="0010369C">
    <w:pPr>
      <w:pStyle w:val="BodyText"/>
      <w:spacing w:line="14" w:lineRule="auto"/>
      <w:rPr>
        <w:sz w:val="2"/>
      </w:rPr>
    </w:pP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DEAA75" w14:textId="77777777" w:rsidR="0010369C" w:rsidRDefault="008E43AE">
    <w:pPr>
      <w:pStyle w:val="BodyText"/>
      <w:spacing w:line="14" w:lineRule="auto"/>
      <w:rPr>
        <w:sz w:val="20"/>
      </w:rPr>
    </w:pPr>
    <w:r>
      <w:pict w14:anchorId="51DEABB0">
        <v:shape id="docshape1288" o:spid="_x0000_s2142" style="position:absolute;margin-left:65pt;margin-top:28.45pt;width:461.4pt;height:16.3pt;z-index:-25156608;mso-position-horizontal-relative:page;mso-position-vertical-relative:page" coordorigin="1300,569" coordsize="9228,326" o:spt="100" adj="0,,0" path="m10528,578r-10,l10518,884r-9209,l1309,578r-9,l1300,884r,10l1309,894r9209,l10528,894r,-10l10528,578xm10528,569r-10,l1309,569r-9,l1300,578r9,l10518,578r10,l10528,569xe" fillcolor="black" stroked="f">
          <v:stroke joinstyle="round"/>
          <v:formulas/>
          <v:path arrowok="t" o:connecttype="segments"/>
          <w10:wrap anchorx="page" anchory="page"/>
        </v:shape>
      </w:pict>
    </w:r>
    <w:r>
      <w:pict w14:anchorId="51DEABB1">
        <v:shapetype id="_x0000_t202" coordsize="21600,21600" o:spt="202" path="m,l,21600r21600,l21600,xe">
          <v:stroke joinstyle="miter"/>
          <v:path gradientshapeok="t" o:connecttype="rect"/>
        </v:shapetype>
        <v:shape id="docshape1289" o:spid="_x0000_s2141" type="#_x0000_t202" style="position:absolute;margin-left:193pt;margin-top:31.15pt;width:209.35pt;height:13pt;z-index:-25156096;mso-position-horizontal-relative:page;mso-position-vertical-relative:page" filled="f" stroked="f">
          <v:textbox inset="0,0,0,0">
            <w:txbxContent>
              <w:p w14:paraId="51DEAD5D" w14:textId="77777777" w:rsidR="0010369C" w:rsidRDefault="008E43AE">
                <w:pPr>
                  <w:spacing w:line="244" w:lineRule="exact"/>
                  <w:ind w:left="20"/>
                </w:pPr>
                <w:r>
                  <w:t>Business</w:t>
                </w:r>
                <w:r>
                  <w:rPr>
                    <w:spacing w:val="-9"/>
                  </w:rPr>
                  <w:t xml:space="preserve"> </w:t>
                </w:r>
                <w:r>
                  <w:t>Confidential</w:t>
                </w:r>
                <w:r>
                  <w:rPr>
                    <w:spacing w:val="-7"/>
                  </w:rPr>
                  <w:t xml:space="preserve"> </w:t>
                </w:r>
                <w:r>
                  <w:t>Information</w:t>
                </w:r>
                <w:r>
                  <w:rPr>
                    <w:spacing w:val="-9"/>
                  </w:rPr>
                  <w:t xml:space="preserve"> </w:t>
                </w:r>
                <w:r>
                  <w:t>‐</w:t>
                </w:r>
                <w:r>
                  <w:rPr>
                    <w:spacing w:val="-7"/>
                  </w:rPr>
                  <w:t xml:space="preserve"> </w:t>
                </w:r>
                <w:r>
                  <w:rPr>
                    <w:spacing w:val="-2"/>
                  </w:rPr>
                  <w:t>REDACTED</w:t>
                </w:r>
              </w:p>
            </w:txbxContent>
          </v:textbox>
          <w10:wrap anchorx="page" anchory="page"/>
        </v:shape>
      </w:pict>
    </w: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DEAA77" w14:textId="77777777" w:rsidR="0010369C" w:rsidRDefault="008E43AE">
    <w:pPr>
      <w:pStyle w:val="BodyText"/>
      <w:spacing w:line="14" w:lineRule="auto"/>
      <w:rPr>
        <w:sz w:val="20"/>
      </w:rPr>
    </w:pPr>
    <w:r>
      <w:pict w14:anchorId="51DEABB3">
        <v:shape id="docshape1300" o:spid="_x0000_s2139" style="position:absolute;margin-left:65pt;margin-top:28.45pt;width:461.4pt;height:16.3pt;z-index:-25155072;mso-position-horizontal-relative:page;mso-position-vertical-relative:page" coordorigin="1300,569" coordsize="9228,326" o:spt="100" adj="0,,0" path="m10528,578r-10,l10518,884r-9209,l1309,578r-9,l1300,884r,10l1309,894r9209,l10528,894r,-10l10528,578xm10528,569r-10,l1309,569r-9,l1300,578r9,l10518,578r10,l10528,569xe" fillcolor="black" stroked="f">
          <v:stroke joinstyle="round"/>
          <v:formulas/>
          <v:path arrowok="t" o:connecttype="segments"/>
          <w10:wrap anchorx="page" anchory="page"/>
        </v:shape>
      </w:pict>
    </w:r>
    <w:r>
      <w:pict w14:anchorId="51DEABB4">
        <v:shapetype id="_x0000_t202" coordsize="21600,21600" o:spt="202" path="m,l,21600r21600,l21600,xe">
          <v:stroke joinstyle="miter"/>
          <v:path gradientshapeok="t" o:connecttype="rect"/>
        </v:shapetype>
        <v:shape id="docshape1301" o:spid="_x0000_s2138" type="#_x0000_t202" style="position:absolute;margin-left:193pt;margin-top:31.15pt;width:209.35pt;height:13pt;z-index:-25154560;mso-position-horizontal-relative:page;mso-position-vertical-relative:page" filled="f" stroked="f">
          <v:textbox inset="0,0,0,0">
            <w:txbxContent>
              <w:p w14:paraId="51DEAD5F" w14:textId="77777777" w:rsidR="0010369C" w:rsidRDefault="008E43AE">
                <w:pPr>
                  <w:spacing w:line="244" w:lineRule="exact"/>
                  <w:ind w:left="20"/>
                </w:pPr>
                <w:r>
                  <w:t>Business</w:t>
                </w:r>
                <w:r>
                  <w:rPr>
                    <w:spacing w:val="-9"/>
                  </w:rPr>
                  <w:t xml:space="preserve"> </w:t>
                </w:r>
                <w:r>
                  <w:t>Confidential</w:t>
                </w:r>
                <w:r>
                  <w:rPr>
                    <w:spacing w:val="-7"/>
                  </w:rPr>
                  <w:t xml:space="preserve"> </w:t>
                </w:r>
                <w:r>
                  <w:t>Information</w:t>
                </w:r>
                <w:r>
                  <w:rPr>
                    <w:spacing w:val="-9"/>
                  </w:rPr>
                  <w:t xml:space="preserve"> </w:t>
                </w:r>
                <w:r>
                  <w:t>‐</w:t>
                </w:r>
                <w:r>
                  <w:rPr>
                    <w:spacing w:val="-7"/>
                  </w:rPr>
                  <w:t xml:space="preserve"> </w:t>
                </w:r>
                <w:r>
                  <w:rPr>
                    <w:spacing w:val="-2"/>
                  </w:rPr>
                  <w:t>REDACTED</w:t>
                </w:r>
              </w:p>
            </w:txbxContent>
          </v:textbox>
          <w10:wrap anchorx="page" anchory="page"/>
        </v:shape>
      </w:pict>
    </w: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DEAA79" w14:textId="77777777" w:rsidR="0010369C" w:rsidRDefault="008E43AE">
    <w:pPr>
      <w:pStyle w:val="BodyText"/>
      <w:spacing w:line="14" w:lineRule="auto"/>
      <w:rPr>
        <w:sz w:val="20"/>
      </w:rPr>
    </w:pPr>
    <w:r>
      <w:pict w14:anchorId="51DEABB7">
        <v:shape id="docshape1306" o:spid="_x0000_s2135" style="position:absolute;margin-left:65pt;margin-top:28.45pt;width:461.4pt;height:16.3pt;z-index:-25153024;mso-position-horizontal-relative:page;mso-position-vertical-relative:page" coordorigin="1300,569" coordsize="9228,326" o:spt="100" adj="0,,0" path="m10528,578r-10,l10518,884r-9209,l1309,578r-9,l1300,884r,10l1309,894r9209,l10528,894r,-10l10528,578xm10528,569r-10,l1309,569r-9,l1300,578r9,l10518,578r10,l10528,569xe" fillcolor="black" stroked="f">
          <v:stroke joinstyle="round"/>
          <v:formulas/>
          <v:path arrowok="t" o:connecttype="segments"/>
          <w10:wrap anchorx="page" anchory="page"/>
        </v:shape>
      </w:pict>
    </w:r>
    <w:r>
      <w:pict w14:anchorId="51DEABB8">
        <v:shapetype id="_x0000_t202" coordsize="21600,21600" o:spt="202" path="m,l,21600r21600,l21600,xe">
          <v:stroke joinstyle="miter"/>
          <v:path gradientshapeok="t" o:connecttype="rect"/>
        </v:shapetype>
        <v:shape id="docshape1307" o:spid="_x0000_s2134" type="#_x0000_t202" style="position:absolute;margin-left:193pt;margin-top:31.15pt;width:209.35pt;height:13pt;z-index:-25152512;mso-position-horizontal-relative:page;mso-position-vertical-relative:page" filled="f" stroked="f">
          <v:textbox inset="0,0,0,0">
            <w:txbxContent>
              <w:p w14:paraId="51DEAD61" w14:textId="77777777" w:rsidR="0010369C" w:rsidRDefault="008E43AE">
                <w:pPr>
                  <w:spacing w:line="244" w:lineRule="exact"/>
                  <w:ind w:left="20"/>
                </w:pPr>
                <w:r>
                  <w:t>Business</w:t>
                </w:r>
                <w:r>
                  <w:rPr>
                    <w:spacing w:val="-9"/>
                  </w:rPr>
                  <w:t xml:space="preserve"> </w:t>
                </w:r>
                <w:r>
                  <w:t>Confidential</w:t>
                </w:r>
                <w:r>
                  <w:rPr>
                    <w:spacing w:val="-7"/>
                  </w:rPr>
                  <w:t xml:space="preserve"> </w:t>
                </w:r>
                <w:r>
                  <w:t>Information</w:t>
                </w:r>
                <w:r>
                  <w:rPr>
                    <w:spacing w:val="-9"/>
                  </w:rPr>
                  <w:t xml:space="preserve"> </w:t>
                </w:r>
                <w:r>
                  <w:t>‐</w:t>
                </w:r>
                <w:r>
                  <w:rPr>
                    <w:spacing w:val="-7"/>
                  </w:rPr>
                  <w:t xml:space="preserve"> </w:t>
                </w:r>
                <w:r>
                  <w:rPr>
                    <w:spacing w:val="-2"/>
                  </w:rPr>
                  <w:t>REDACTED</w:t>
                </w:r>
              </w:p>
            </w:txbxContent>
          </v:textbox>
          <w10:wrap anchorx="page" anchory="page"/>
        </v:shape>
      </w:pict>
    </w: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DEAA7B" w14:textId="77777777" w:rsidR="0010369C" w:rsidRDefault="008E43AE">
    <w:pPr>
      <w:pStyle w:val="BodyText"/>
      <w:spacing w:line="14" w:lineRule="auto"/>
      <w:rPr>
        <w:sz w:val="20"/>
      </w:rPr>
    </w:pPr>
    <w:r>
      <w:pict w14:anchorId="51DEABBA">
        <v:shape id="docshape1324" o:spid="_x0000_s2132" style="position:absolute;margin-left:65pt;margin-top:28.45pt;width:461.4pt;height:16.3pt;z-index:-25151488;mso-position-horizontal-relative:page;mso-position-vertical-relative:page" coordorigin="1300,569" coordsize="9228,326" o:spt="100" adj="0,,0" path="m10528,578r-10,l10518,884r-9209,l1309,578r-9,l1300,884r,10l1309,894r9209,l10528,894r,-10l10528,578xm10528,569r-10,l1309,569r-9,l1300,578r9,l10518,578r10,l10528,569xe" fillcolor="black" stroked="f">
          <v:stroke joinstyle="round"/>
          <v:formulas/>
          <v:path arrowok="t" o:connecttype="segments"/>
          <w10:wrap anchorx="page" anchory="page"/>
        </v:shape>
      </w:pict>
    </w:r>
    <w:r>
      <w:pict w14:anchorId="51DEABBB">
        <v:shapetype id="_x0000_t202" coordsize="21600,21600" o:spt="202" path="m,l,21600r21600,l21600,xe">
          <v:stroke joinstyle="miter"/>
          <v:path gradientshapeok="t" o:connecttype="rect"/>
        </v:shapetype>
        <v:shape id="docshape1325" o:spid="_x0000_s2131" type="#_x0000_t202" style="position:absolute;margin-left:193pt;margin-top:31.15pt;width:209.35pt;height:13pt;z-index:-25150976;mso-position-horizontal-relative:page;mso-position-vertical-relative:page" filled="f" stroked="f">
          <v:textbox inset="0,0,0,0">
            <w:txbxContent>
              <w:p w14:paraId="51DEAD63" w14:textId="77777777" w:rsidR="0010369C" w:rsidRDefault="008E43AE">
                <w:pPr>
                  <w:spacing w:line="244" w:lineRule="exact"/>
                  <w:ind w:left="20"/>
                </w:pPr>
                <w:r>
                  <w:t>Business</w:t>
                </w:r>
                <w:r>
                  <w:rPr>
                    <w:spacing w:val="-9"/>
                  </w:rPr>
                  <w:t xml:space="preserve"> </w:t>
                </w:r>
                <w:r>
                  <w:t>Confidential</w:t>
                </w:r>
                <w:r>
                  <w:rPr>
                    <w:spacing w:val="-7"/>
                  </w:rPr>
                  <w:t xml:space="preserve"> </w:t>
                </w:r>
                <w:r>
                  <w:t>Information</w:t>
                </w:r>
                <w:r>
                  <w:rPr>
                    <w:spacing w:val="-9"/>
                  </w:rPr>
                  <w:t xml:space="preserve"> </w:t>
                </w:r>
                <w:r>
                  <w:t>‐</w:t>
                </w:r>
                <w:r>
                  <w:rPr>
                    <w:spacing w:val="-7"/>
                  </w:rPr>
                  <w:t xml:space="preserve"> </w:t>
                </w:r>
                <w:r>
                  <w:rPr>
                    <w:spacing w:val="-2"/>
                  </w:rPr>
                  <w:t>REDACTED</w:t>
                </w:r>
              </w:p>
            </w:txbxContent>
          </v:textbox>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0802A0"/>
    <w:multiLevelType w:val="hybridMultilevel"/>
    <w:tmpl w:val="EAAC6EB4"/>
    <w:lvl w:ilvl="0" w:tplc="769A5FB0">
      <w:start w:val="3"/>
      <w:numFmt w:val="decimal"/>
      <w:lvlText w:val="%1"/>
      <w:lvlJc w:val="left"/>
      <w:pPr>
        <w:ind w:left="595" w:hanging="358"/>
        <w:jc w:val="left"/>
      </w:pPr>
      <w:rPr>
        <w:rFonts w:hint="default"/>
        <w:lang w:val="en-US" w:eastAsia="en-US" w:bidi="ar-SA"/>
      </w:rPr>
    </w:lvl>
    <w:lvl w:ilvl="1" w:tplc="455C6CBE">
      <w:start w:val="1"/>
      <w:numFmt w:val="decimal"/>
      <w:lvlText w:val="%1.%2"/>
      <w:lvlJc w:val="left"/>
      <w:pPr>
        <w:ind w:left="595" w:hanging="358"/>
        <w:jc w:val="left"/>
      </w:pPr>
      <w:rPr>
        <w:rFonts w:ascii="Calibri" w:eastAsia="Calibri" w:hAnsi="Calibri" w:cs="Calibri" w:hint="default"/>
        <w:b w:val="0"/>
        <w:bCs w:val="0"/>
        <w:i w:val="0"/>
        <w:iCs w:val="0"/>
        <w:w w:val="99"/>
        <w:sz w:val="24"/>
        <w:szCs w:val="24"/>
        <w:lang w:val="en-US" w:eastAsia="en-US" w:bidi="ar-SA"/>
      </w:rPr>
    </w:lvl>
    <w:lvl w:ilvl="2" w:tplc="487ADF1E">
      <w:numFmt w:val="bullet"/>
      <w:lvlText w:val="•"/>
      <w:lvlJc w:val="left"/>
      <w:pPr>
        <w:ind w:left="2464" w:hanging="358"/>
      </w:pPr>
      <w:rPr>
        <w:rFonts w:hint="default"/>
        <w:lang w:val="en-US" w:eastAsia="en-US" w:bidi="ar-SA"/>
      </w:rPr>
    </w:lvl>
    <w:lvl w:ilvl="3" w:tplc="24E4875C">
      <w:numFmt w:val="bullet"/>
      <w:lvlText w:val="•"/>
      <w:lvlJc w:val="left"/>
      <w:pPr>
        <w:ind w:left="3397" w:hanging="358"/>
      </w:pPr>
      <w:rPr>
        <w:rFonts w:hint="default"/>
        <w:lang w:val="en-US" w:eastAsia="en-US" w:bidi="ar-SA"/>
      </w:rPr>
    </w:lvl>
    <w:lvl w:ilvl="4" w:tplc="59381378">
      <w:numFmt w:val="bullet"/>
      <w:lvlText w:val="•"/>
      <w:lvlJc w:val="left"/>
      <w:pPr>
        <w:ind w:left="4329" w:hanging="358"/>
      </w:pPr>
      <w:rPr>
        <w:rFonts w:hint="default"/>
        <w:lang w:val="en-US" w:eastAsia="en-US" w:bidi="ar-SA"/>
      </w:rPr>
    </w:lvl>
    <w:lvl w:ilvl="5" w:tplc="50704BBC">
      <w:numFmt w:val="bullet"/>
      <w:lvlText w:val="•"/>
      <w:lvlJc w:val="left"/>
      <w:pPr>
        <w:ind w:left="5262" w:hanging="358"/>
      </w:pPr>
      <w:rPr>
        <w:rFonts w:hint="default"/>
        <w:lang w:val="en-US" w:eastAsia="en-US" w:bidi="ar-SA"/>
      </w:rPr>
    </w:lvl>
    <w:lvl w:ilvl="6" w:tplc="E5B02D9E">
      <w:numFmt w:val="bullet"/>
      <w:lvlText w:val="•"/>
      <w:lvlJc w:val="left"/>
      <w:pPr>
        <w:ind w:left="6194" w:hanging="358"/>
      </w:pPr>
      <w:rPr>
        <w:rFonts w:hint="default"/>
        <w:lang w:val="en-US" w:eastAsia="en-US" w:bidi="ar-SA"/>
      </w:rPr>
    </w:lvl>
    <w:lvl w:ilvl="7" w:tplc="7670027A">
      <w:numFmt w:val="bullet"/>
      <w:lvlText w:val="•"/>
      <w:lvlJc w:val="left"/>
      <w:pPr>
        <w:ind w:left="7127" w:hanging="358"/>
      </w:pPr>
      <w:rPr>
        <w:rFonts w:hint="default"/>
        <w:lang w:val="en-US" w:eastAsia="en-US" w:bidi="ar-SA"/>
      </w:rPr>
    </w:lvl>
    <w:lvl w:ilvl="8" w:tplc="748C896C">
      <w:numFmt w:val="bullet"/>
      <w:lvlText w:val="•"/>
      <w:lvlJc w:val="left"/>
      <w:pPr>
        <w:ind w:left="8059" w:hanging="358"/>
      </w:pPr>
      <w:rPr>
        <w:rFonts w:hint="default"/>
        <w:lang w:val="en-US" w:eastAsia="en-US" w:bidi="ar-SA"/>
      </w:rPr>
    </w:lvl>
  </w:abstractNum>
  <w:abstractNum w:abstractNumId="1" w15:restartNumberingAfterBreak="0">
    <w:nsid w:val="03493651"/>
    <w:multiLevelType w:val="hybridMultilevel"/>
    <w:tmpl w:val="DEE481E8"/>
    <w:lvl w:ilvl="0" w:tplc="1ABE3A82">
      <w:start w:val="2"/>
      <w:numFmt w:val="lowerRoman"/>
      <w:lvlText w:val="(%1)"/>
      <w:lvlJc w:val="left"/>
      <w:pPr>
        <w:ind w:left="237" w:hanging="316"/>
        <w:jc w:val="left"/>
      </w:pPr>
      <w:rPr>
        <w:rFonts w:ascii="Calibri" w:eastAsia="Calibri" w:hAnsi="Calibri" w:cs="Calibri" w:hint="default"/>
        <w:b w:val="0"/>
        <w:bCs w:val="0"/>
        <w:i w:val="0"/>
        <w:iCs w:val="0"/>
        <w:w w:val="99"/>
        <w:sz w:val="24"/>
        <w:szCs w:val="24"/>
        <w:lang w:val="en-US" w:eastAsia="en-US" w:bidi="ar-SA"/>
      </w:rPr>
    </w:lvl>
    <w:lvl w:ilvl="1" w:tplc="EA76619C">
      <w:start w:val="1"/>
      <w:numFmt w:val="upperLetter"/>
      <w:lvlText w:val="[%2]"/>
      <w:lvlJc w:val="left"/>
      <w:pPr>
        <w:ind w:left="1088" w:hanging="263"/>
        <w:jc w:val="left"/>
      </w:pPr>
      <w:rPr>
        <w:rFonts w:ascii="Calibri" w:eastAsia="Calibri" w:hAnsi="Calibri" w:cs="Calibri" w:hint="default"/>
        <w:b w:val="0"/>
        <w:bCs w:val="0"/>
        <w:i w:val="0"/>
        <w:iCs w:val="0"/>
        <w:w w:val="99"/>
        <w:sz w:val="20"/>
        <w:szCs w:val="20"/>
        <w:lang w:val="en-US" w:eastAsia="en-US" w:bidi="ar-SA"/>
      </w:rPr>
    </w:lvl>
    <w:lvl w:ilvl="2" w:tplc="27A8AED6">
      <w:numFmt w:val="bullet"/>
      <w:lvlText w:val="•"/>
      <w:lvlJc w:val="left"/>
      <w:pPr>
        <w:ind w:left="2062" w:hanging="263"/>
      </w:pPr>
      <w:rPr>
        <w:rFonts w:hint="default"/>
        <w:lang w:val="en-US" w:eastAsia="en-US" w:bidi="ar-SA"/>
      </w:rPr>
    </w:lvl>
    <w:lvl w:ilvl="3" w:tplc="E696A752">
      <w:numFmt w:val="bullet"/>
      <w:lvlText w:val="•"/>
      <w:lvlJc w:val="left"/>
      <w:pPr>
        <w:ind w:left="3045" w:hanging="263"/>
      </w:pPr>
      <w:rPr>
        <w:rFonts w:hint="default"/>
        <w:lang w:val="en-US" w:eastAsia="en-US" w:bidi="ar-SA"/>
      </w:rPr>
    </w:lvl>
    <w:lvl w:ilvl="4" w:tplc="7E5610B6">
      <w:numFmt w:val="bullet"/>
      <w:lvlText w:val="•"/>
      <w:lvlJc w:val="left"/>
      <w:pPr>
        <w:ind w:left="4028" w:hanging="263"/>
      </w:pPr>
      <w:rPr>
        <w:rFonts w:hint="default"/>
        <w:lang w:val="en-US" w:eastAsia="en-US" w:bidi="ar-SA"/>
      </w:rPr>
    </w:lvl>
    <w:lvl w:ilvl="5" w:tplc="577206CE">
      <w:numFmt w:val="bullet"/>
      <w:lvlText w:val="•"/>
      <w:lvlJc w:val="left"/>
      <w:pPr>
        <w:ind w:left="5010" w:hanging="263"/>
      </w:pPr>
      <w:rPr>
        <w:rFonts w:hint="default"/>
        <w:lang w:val="en-US" w:eastAsia="en-US" w:bidi="ar-SA"/>
      </w:rPr>
    </w:lvl>
    <w:lvl w:ilvl="6" w:tplc="602E3786">
      <w:numFmt w:val="bullet"/>
      <w:lvlText w:val="•"/>
      <w:lvlJc w:val="left"/>
      <w:pPr>
        <w:ind w:left="5993" w:hanging="263"/>
      </w:pPr>
      <w:rPr>
        <w:rFonts w:hint="default"/>
        <w:lang w:val="en-US" w:eastAsia="en-US" w:bidi="ar-SA"/>
      </w:rPr>
    </w:lvl>
    <w:lvl w:ilvl="7" w:tplc="606099F6">
      <w:numFmt w:val="bullet"/>
      <w:lvlText w:val="•"/>
      <w:lvlJc w:val="left"/>
      <w:pPr>
        <w:ind w:left="6976" w:hanging="263"/>
      </w:pPr>
      <w:rPr>
        <w:rFonts w:hint="default"/>
        <w:lang w:val="en-US" w:eastAsia="en-US" w:bidi="ar-SA"/>
      </w:rPr>
    </w:lvl>
    <w:lvl w:ilvl="8" w:tplc="E8583FBA">
      <w:numFmt w:val="bullet"/>
      <w:lvlText w:val="•"/>
      <w:lvlJc w:val="left"/>
      <w:pPr>
        <w:ind w:left="7958" w:hanging="263"/>
      </w:pPr>
      <w:rPr>
        <w:rFonts w:hint="default"/>
        <w:lang w:val="en-US" w:eastAsia="en-US" w:bidi="ar-SA"/>
      </w:rPr>
    </w:lvl>
  </w:abstractNum>
  <w:abstractNum w:abstractNumId="2" w15:restartNumberingAfterBreak="0">
    <w:nsid w:val="036327F3"/>
    <w:multiLevelType w:val="hybridMultilevel"/>
    <w:tmpl w:val="B86ECD4E"/>
    <w:lvl w:ilvl="0" w:tplc="CC324538">
      <w:start w:val="2"/>
      <w:numFmt w:val="decimal"/>
      <w:lvlText w:val="%1."/>
      <w:lvlJc w:val="left"/>
      <w:pPr>
        <w:ind w:left="1940" w:hanging="851"/>
        <w:jc w:val="left"/>
      </w:pPr>
      <w:rPr>
        <w:rFonts w:ascii="Calibri" w:eastAsia="Calibri" w:hAnsi="Calibri" w:cs="Calibri" w:hint="default"/>
        <w:b/>
        <w:bCs/>
        <w:i w:val="0"/>
        <w:iCs w:val="0"/>
        <w:spacing w:val="-1"/>
        <w:w w:val="100"/>
        <w:sz w:val="24"/>
        <w:szCs w:val="24"/>
        <w:lang w:val="en-US" w:eastAsia="en-US" w:bidi="ar-SA"/>
      </w:rPr>
    </w:lvl>
    <w:lvl w:ilvl="1" w:tplc="FA287546">
      <w:start w:val="1"/>
      <w:numFmt w:val="lowerLetter"/>
      <w:lvlText w:val="(%2)"/>
      <w:lvlJc w:val="left"/>
      <w:pPr>
        <w:ind w:left="2366" w:hanging="852"/>
        <w:jc w:val="left"/>
      </w:pPr>
      <w:rPr>
        <w:rFonts w:ascii="Calibri" w:eastAsia="Calibri" w:hAnsi="Calibri" w:cs="Calibri" w:hint="default"/>
        <w:b w:val="0"/>
        <w:bCs w:val="0"/>
        <w:i w:val="0"/>
        <w:iCs w:val="0"/>
        <w:w w:val="100"/>
        <w:sz w:val="24"/>
        <w:szCs w:val="24"/>
        <w:u w:val="single" w:color="000000"/>
        <w:lang w:val="en-US" w:eastAsia="en-US" w:bidi="ar-SA"/>
      </w:rPr>
    </w:lvl>
    <w:lvl w:ilvl="2" w:tplc="889E7F5A">
      <w:numFmt w:val="bullet"/>
      <w:lvlText w:val="•"/>
      <w:lvlJc w:val="left"/>
      <w:pPr>
        <w:ind w:left="3153" w:hanging="852"/>
      </w:pPr>
      <w:rPr>
        <w:rFonts w:hint="default"/>
        <w:lang w:val="en-US" w:eastAsia="en-US" w:bidi="ar-SA"/>
      </w:rPr>
    </w:lvl>
    <w:lvl w:ilvl="3" w:tplc="00AAF07E">
      <w:numFmt w:val="bullet"/>
      <w:lvlText w:val="•"/>
      <w:lvlJc w:val="left"/>
      <w:pPr>
        <w:ind w:left="3947" w:hanging="852"/>
      </w:pPr>
      <w:rPr>
        <w:rFonts w:hint="default"/>
        <w:lang w:val="en-US" w:eastAsia="en-US" w:bidi="ar-SA"/>
      </w:rPr>
    </w:lvl>
    <w:lvl w:ilvl="4" w:tplc="B12A3E5E">
      <w:numFmt w:val="bullet"/>
      <w:lvlText w:val="•"/>
      <w:lvlJc w:val="left"/>
      <w:pPr>
        <w:ind w:left="4741" w:hanging="852"/>
      </w:pPr>
      <w:rPr>
        <w:rFonts w:hint="default"/>
        <w:lang w:val="en-US" w:eastAsia="en-US" w:bidi="ar-SA"/>
      </w:rPr>
    </w:lvl>
    <w:lvl w:ilvl="5" w:tplc="F1C23A02">
      <w:numFmt w:val="bullet"/>
      <w:lvlText w:val="•"/>
      <w:lvlJc w:val="left"/>
      <w:pPr>
        <w:ind w:left="5535" w:hanging="852"/>
      </w:pPr>
      <w:rPr>
        <w:rFonts w:hint="default"/>
        <w:lang w:val="en-US" w:eastAsia="en-US" w:bidi="ar-SA"/>
      </w:rPr>
    </w:lvl>
    <w:lvl w:ilvl="6" w:tplc="E4923024">
      <w:numFmt w:val="bullet"/>
      <w:lvlText w:val="•"/>
      <w:lvlJc w:val="left"/>
      <w:pPr>
        <w:ind w:left="6329" w:hanging="852"/>
      </w:pPr>
      <w:rPr>
        <w:rFonts w:hint="default"/>
        <w:lang w:val="en-US" w:eastAsia="en-US" w:bidi="ar-SA"/>
      </w:rPr>
    </w:lvl>
    <w:lvl w:ilvl="7" w:tplc="5DC242A4">
      <w:numFmt w:val="bullet"/>
      <w:lvlText w:val="•"/>
      <w:lvlJc w:val="left"/>
      <w:pPr>
        <w:ind w:left="7122" w:hanging="852"/>
      </w:pPr>
      <w:rPr>
        <w:rFonts w:hint="default"/>
        <w:lang w:val="en-US" w:eastAsia="en-US" w:bidi="ar-SA"/>
      </w:rPr>
    </w:lvl>
    <w:lvl w:ilvl="8" w:tplc="FC5628BC">
      <w:numFmt w:val="bullet"/>
      <w:lvlText w:val="•"/>
      <w:lvlJc w:val="left"/>
      <w:pPr>
        <w:ind w:left="7916" w:hanging="852"/>
      </w:pPr>
      <w:rPr>
        <w:rFonts w:hint="default"/>
        <w:lang w:val="en-US" w:eastAsia="en-US" w:bidi="ar-SA"/>
      </w:rPr>
    </w:lvl>
  </w:abstractNum>
  <w:abstractNum w:abstractNumId="3" w15:restartNumberingAfterBreak="0">
    <w:nsid w:val="04F55ABD"/>
    <w:multiLevelType w:val="hybridMultilevel"/>
    <w:tmpl w:val="B9B01ED4"/>
    <w:lvl w:ilvl="0" w:tplc="FFE489DA">
      <w:numFmt w:val="bullet"/>
      <w:lvlText w:val=""/>
      <w:lvlJc w:val="left"/>
      <w:pPr>
        <w:ind w:left="1938" w:hanging="851"/>
      </w:pPr>
      <w:rPr>
        <w:rFonts w:ascii="Symbol" w:eastAsia="Symbol" w:hAnsi="Symbol" w:cs="Symbol" w:hint="default"/>
        <w:b w:val="0"/>
        <w:bCs w:val="0"/>
        <w:i w:val="0"/>
        <w:iCs w:val="0"/>
        <w:w w:val="99"/>
        <w:sz w:val="24"/>
        <w:szCs w:val="24"/>
        <w:lang w:val="en-US" w:eastAsia="en-US" w:bidi="ar-SA"/>
      </w:rPr>
    </w:lvl>
    <w:lvl w:ilvl="1" w:tplc="FEDE3292">
      <w:numFmt w:val="bullet"/>
      <w:lvlText w:val="•"/>
      <w:lvlJc w:val="left"/>
      <w:pPr>
        <w:ind w:left="2738" w:hanging="851"/>
      </w:pPr>
      <w:rPr>
        <w:rFonts w:hint="default"/>
        <w:lang w:val="en-US" w:eastAsia="en-US" w:bidi="ar-SA"/>
      </w:rPr>
    </w:lvl>
    <w:lvl w:ilvl="2" w:tplc="632A9AAC">
      <w:numFmt w:val="bullet"/>
      <w:lvlText w:val="•"/>
      <w:lvlJc w:val="left"/>
      <w:pPr>
        <w:ind w:left="3536" w:hanging="851"/>
      </w:pPr>
      <w:rPr>
        <w:rFonts w:hint="default"/>
        <w:lang w:val="en-US" w:eastAsia="en-US" w:bidi="ar-SA"/>
      </w:rPr>
    </w:lvl>
    <w:lvl w:ilvl="3" w:tplc="1F04652C">
      <w:numFmt w:val="bullet"/>
      <w:lvlText w:val="•"/>
      <w:lvlJc w:val="left"/>
      <w:pPr>
        <w:ind w:left="4335" w:hanging="851"/>
      </w:pPr>
      <w:rPr>
        <w:rFonts w:hint="default"/>
        <w:lang w:val="en-US" w:eastAsia="en-US" w:bidi="ar-SA"/>
      </w:rPr>
    </w:lvl>
    <w:lvl w:ilvl="4" w:tplc="A9FE0176">
      <w:numFmt w:val="bullet"/>
      <w:lvlText w:val="•"/>
      <w:lvlJc w:val="left"/>
      <w:pPr>
        <w:ind w:left="5133" w:hanging="851"/>
      </w:pPr>
      <w:rPr>
        <w:rFonts w:hint="default"/>
        <w:lang w:val="en-US" w:eastAsia="en-US" w:bidi="ar-SA"/>
      </w:rPr>
    </w:lvl>
    <w:lvl w:ilvl="5" w:tplc="69182306">
      <w:numFmt w:val="bullet"/>
      <w:lvlText w:val="•"/>
      <w:lvlJc w:val="left"/>
      <w:pPr>
        <w:ind w:left="5932" w:hanging="851"/>
      </w:pPr>
      <w:rPr>
        <w:rFonts w:hint="default"/>
        <w:lang w:val="en-US" w:eastAsia="en-US" w:bidi="ar-SA"/>
      </w:rPr>
    </w:lvl>
    <w:lvl w:ilvl="6" w:tplc="FAE4B3A8">
      <w:numFmt w:val="bullet"/>
      <w:lvlText w:val="•"/>
      <w:lvlJc w:val="left"/>
      <w:pPr>
        <w:ind w:left="6730" w:hanging="851"/>
      </w:pPr>
      <w:rPr>
        <w:rFonts w:hint="default"/>
        <w:lang w:val="en-US" w:eastAsia="en-US" w:bidi="ar-SA"/>
      </w:rPr>
    </w:lvl>
    <w:lvl w:ilvl="7" w:tplc="A2622438">
      <w:numFmt w:val="bullet"/>
      <w:lvlText w:val="•"/>
      <w:lvlJc w:val="left"/>
      <w:pPr>
        <w:ind w:left="7529" w:hanging="851"/>
      </w:pPr>
      <w:rPr>
        <w:rFonts w:hint="default"/>
        <w:lang w:val="en-US" w:eastAsia="en-US" w:bidi="ar-SA"/>
      </w:rPr>
    </w:lvl>
    <w:lvl w:ilvl="8" w:tplc="E306D844">
      <w:numFmt w:val="bullet"/>
      <w:lvlText w:val="•"/>
      <w:lvlJc w:val="left"/>
      <w:pPr>
        <w:ind w:left="8327" w:hanging="851"/>
      </w:pPr>
      <w:rPr>
        <w:rFonts w:hint="default"/>
        <w:lang w:val="en-US" w:eastAsia="en-US" w:bidi="ar-SA"/>
      </w:rPr>
    </w:lvl>
  </w:abstractNum>
  <w:abstractNum w:abstractNumId="4" w15:restartNumberingAfterBreak="0">
    <w:nsid w:val="06F479B8"/>
    <w:multiLevelType w:val="hybridMultilevel"/>
    <w:tmpl w:val="B4246E04"/>
    <w:lvl w:ilvl="0" w:tplc="03C0143E">
      <w:start w:val="2"/>
      <w:numFmt w:val="decimal"/>
      <w:lvlText w:val="%1"/>
      <w:lvlJc w:val="left"/>
      <w:pPr>
        <w:ind w:left="237" w:hanging="263"/>
        <w:jc w:val="left"/>
      </w:pPr>
      <w:rPr>
        <w:rFonts w:hint="default"/>
        <w:lang w:val="en-US" w:eastAsia="en-US" w:bidi="ar-SA"/>
      </w:rPr>
    </w:lvl>
    <w:lvl w:ilvl="1" w:tplc="15C6C12E">
      <w:start w:val="4"/>
      <w:numFmt w:val="decimal"/>
      <w:lvlText w:val="%1.%2"/>
      <w:lvlJc w:val="left"/>
      <w:pPr>
        <w:ind w:left="237" w:hanging="263"/>
        <w:jc w:val="left"/>
      </w:pPr>
      <w:rPr>
        <w:rFonts w:ascii="Calibri" w:eastAsia="Calibri" w:hAnsi="Calibri" w:cs="Calibri" w:hint="default"/>
        <w:b w:val="0"/>
        <w:bCs w:val="0"/>
        <w:i w:val="0"/>
        <w:iCs w:val="0"/>
        <w:w w:val="99"/>
        <w:sz w:val="18"/>
        <w:szCs w:val="18"/>
        <w:lang w:val="en-US" w:eastAsia="en-US" w:bidi="ar-SA"/>
      </w:rPr>
    </w:lvl>
    <w:lvl w:ilvl="2" w:tplc="98F21D78">
      <w:numFmt w:val="bullet"/>
      <w:lvlText w:val=""/>
      <w:lvlJc w:val="left"/>
      <w:pPr>
        <w:ind w:left="1939" w:hanging="851"/>
      </w:pPr>
      <w:rPr>
        <w:rFonts w:ascii="Symbol" w:eastAsia="Symbol" w:hAnsi="Symbol" w:cs="Symbol" w:hint="default"/>
        <w:b w:val="0"/>
        <w:bCs w:val="0"/>
        <w:i w:val="0"/>
        <w:iCs w:val="0"/>
        <w:w w:val="99"/>
        <w:sz w:val="24"/>
        <w:szCs w:val="24"/>
        <w:lang w:val="en-US" w:eastAsia="en-US" w:bidi="ar-SA"/>
      </w:rPr>
    </w:lvl>
    <w:lvl w:ilvl="3" w:tplc="CBE0F0DA">
      <w:numFmt w:val="bullet"/>
      <w:lvlText w:val="•"/>
      <w:lvlJc w:val="left"/>
      <w:pPr>
        <w:ind w:left="3714" w:hanging="851"/>
      </w:pPr>
      <w:rPr>
        <w:rFonts w:hint="default"/>
        <w:lang w:val="en-US" w:eastAsia="en-US" w:bidi="ar-SA"/>
      </w:rPr>
    </w:lvl>
    <w:lvl w:ilvl="4" w:tplc="A19A3762">
      <w:numFmt w:val="bullet"/>
      <w:lvlText w:val="•"/>
      <w:lvlJc w:val="left"/>
      <w:pPr>
        <w:ind w:left="4601" w:hanging="851"/>
      </w:pPr>
      <w:rPr>
        <w:rFonts w:hint="default"/>
        <w:lang w:val="en-US" w:eastAsia="en-US" w:bidi="ar-SA"/>
      </w:rPr>
    </w:lvl>
    <w:lvl w:ilvl="5" w:tplc="3530D888">
      <w:numFmt w:val="bullet"/>
      <w:lvlText w:val="•"/>
      <w:lvlJc w:val="left"/>
      <w:pPr>
        <w:ind w:left="5488" w:hanging="851"/>
      </w:pPr>
      <w:rPr>
        <w:rFonts w:hint="default"/>
        <w:lang w:val="en-US" w:eastAsia="en-US" w:bidi="ar-SA"/>
      </w:rPr>
    </w:lvl>
    <w:lvl w:ilvl="6" w:tplc="6F00F672">
      <w:numFmt w:val="bullet"/>
      <w:lvlText w:val="•"/>
      <w:lvlJc w:val="left"/>
      <w:pPr>
        <w:ind w:left="6375" w:hanging="851"/>
      </w:pPr>
      <w:rPr>
        <w:rFonts w:hint="default"/>
        <w:lang w:val="en-US" w:eastAsia="en-US" w:bidi="ar-SA"/>
      </w:rPr>
    </w:lvl>
    <w:lvl w:ilvl="7" w:tplc="2AF6628C">
      <w:numFmt w:val="bullet"/>
      <w:lvlText w:val="•"/>
      <w:lvlJc w:val="left"/>
      <w:pPr>
        <w:ind w:left="7262" w:hanging="851"/>
      </w:pPr>
      <w:rPr>
        <w:rFonts w:hint="default"/>
        <w:lang w:val="en-US" w:eastAsia="en-US" w:bidi="ar-SA"/>
      </w:rPr>
    </w:lvl>
    <w:lvl w:ilvl="8" w:tplc="EBC6B896">
      <w:numFmt w:val="bullet"/>
      <w:lvlText w:val="•"/>
      <w:lvlJc w:val="left"/>
      <w:pPr>
        <w:ind w:left="8150" w:hanging="851"/>
      </w:pPr>
      <w:rPr>
        <w:rFonts w:hint="default"/>
        <w:lang w:val="en-US" w:eastAsia="en-US" w:bidi="ar-SA"/>
      </w:rPr>
    </w:lvl>
  </w:abstractNum>
  <w:abstractNum w:abstractNumId="5" w15:restartNumberingAfterBreak="0">
    <w:nsid w:val="07F61104"/>
    <w:multiLevelType w:val="hybridMultilevel"/>
    <w:tmpl w:val="ECDA1890"/>
    <w:lvl w:ilvl="0" w:tplc="B4F6F1F2">
      <w:start w:val="1"/>
      <w:numFmt w:val="upperRoman"/>
      <w:lvlText w:val="%1."/>
      <w:lvlJc w:val="left"/>
      <w:pPr>
        <w:ind w:left="1089" w:hanging="851"/>
        <w:jc w:val="left"/>
      </w:pPr>
      <w:rPr>
        <w:rFonts w:hint="default"/>
        <w:spacing w:val="-1"/>
        <w:w w:val="100"/>
        <w:lang w:val="en-US" w:eastAsia="en-US" w:bidi="ar-SA"/>
      </w:rPr>
    </w:lvl>
    <w:lvl w:ilvl="1" w:tplc="86F8559C">
      <w:start w:val="1"/>
      <w:numFmt w:val="upperLetter"/>
      <w:lvlText w:val="%2."/>
      <w:lvlJc w:val="left"/>
      <w:pPr>
        <w:ind w:left="1939" w:hanging="851"/>
        <w:jc w:val="left"/>
      </w:pPr>
      <w:rPr>
        <w:rFonts w:hint="default"/>
        <w:spacing w:val="-1"/>
        <w:w w:val="99"/>
        <w:lang w:val="en-US" w:eastAsia="en-US" w:bidi="ar-SA"/>
      </w:rPr>
    </w:lvl>
    <w:lvl w:ilvl="2" w:tplc="96DE3934">
      <w:start w:val="1"/>
      <w:numFmt w:val="decimal"/>
      <w:lvlText w:val="%3."/>
      <w:lvlJc w:val="left"/>
      <w:pPr>
        <w:ind w:left="2649" w:hanging="851"/>
        <w:jc w:val="left"/>
      </w:pPr>
      <w:rPr>
        <w:rFonts w:hint="default"/>
        <w:spacing w:val="-1"/>
        <w:w w:val="99"/>
        <w:lang w:val="en-US" w:eastAsia="en-US" w:bidi="ar-SA"/>
      </w:rPr>
    </w:lvl>
    <w:lvl w:ilvl="3" w:tplc="E2380D2C">
      <w:start w:val="1"/>
      <w:numFmt w:val="lowerLetter"/>
      <w:lvlText w:val="(%4)"/>
      <w:lvlJc w:val="left"/>
      <w:pPr>
        <w:ind w:left="2366" w:hanging="851"/>
        <w:jc w:val="left"/>
      </w:pPr>
      <w:rPr>
        <w:rFonts w:ascii="Calibri" w:eastAsia="Calibri" w:hAnsi="Calibri" w:cs="Calibri" w:hint="default"/>
        <w:b w:val="0"/>
        <w:bCs w:val="0"/>
        <w:i w:val="0"/>
        <w:iCs w:val="0"/>
        <w:w w:val="100"/>
        <w:sz w:val="24"/>
        <w:szCs w:val="24"/>
        <w:u w:val="single" w:color="000000"/>
        <w:lang w:val="en-US" w:eastAsia="en-US" w:bidi="ar-SA"/>
      </w:rPr>
    </w:lvl>
    <w:lvl w:ilvl="4" w:tplc="A46A2566">
      <w:start w:val="1"/>
      <w:numFmt w:val="lowerRoman"/>
      <w:lvlText w:val="%5."/>
      <w:lvlJc w:val="left"/>
      <w:pPr>
        <w:ind w:left="2790" w:hanging="851"/>
        <w:jc w:val="left"/>
      </w:pPr>
      <w:rPr>
        <w:rFonts w:ascii="Calibri" w:eastAsia="Calibri" w:hAnsi="Calibri" w:cs="Calibri" w:hint="default"/>
        <w:b w:val="0"/>
        <w:bCs w:val="0"/>
        <w:i/>
        <w:iCs/>
        <w:w w:val="100"/>
        <w:sz w:val="24"/>
        <w:szCs w:val="24"/>
        <w:lang w:val="en-US" w:eastAsia="en-US" w:bidi="ar-SA"/>
      </w:rPr>
    </w:lvl>
    <w:lvl w:ilvl="5" w:tplc="2A66EC6C">
      <w:numFmt w:val="bullet"/>
      <w:lvlText w:val="•"/>
      <w:lvlJc w:val="left"/>
      <w:pPr>
        <w:ind w:left="2800" w:hanging="851"/>
      </w:pPr>
      <w:rPr>
        <w:rFonts w:hint="default"/>
        <w:lang w:val="en-US" w:eastAsia="en-US" w:bidi="ar-SA"/>
      </w:rPr>
    </w:lvl>
    <w:lvl w:ilvl="6" w:tplc="887801B4">
      <w:numFmt w:val="bullet"/>
      <w:lvlText w:val="•"/>
      <w:lvlJc w:val="left"/>
      <w:pPr>
        <w:ind w:left="3605" w:hanging="851"/>
      </w:pPr>
      <w:rPr>
        <w:rFonts w:hint="default"/>
        <w:lang w:val="en-US" w:eastAsia="en-US" w:bidi="ar-SA"/>
      </w:rPr>
    </w:lvl>
    <w:lvl w:ilvl="7" w:tplc="98B4D3D8">
      <w:numFmt w:val="bullet"/>
      <w:lvlText w:val="•"/>
      <w:lvlJc w:val="left"/>
      <w:pPr>
        <w:ind w:left="4411" w:hanging="851"/>
      </w:pPr>
      <w:rPr>
        <w:rFonts w:hint="default"/>
        <w:lang w:val="en-US" w:eastAsia="en-US" w:bidi="ar-SA"/>
      </w:rPr>
    </w:lvl>
    <w:lvl w:ilvl="8" w:tplc="A0CEABF0">
      <w:numFmt w:val="bullet"/>
      <w:lvlText w:val="•"/>
      <w:lvlJc w:val="left"/>
      <w:pPr>
        <w:ind w:left="5217" w:hanging="851"/>
      </w:pPr>
      <w:rPr>
        <w:rFonts w:hint="default"/>
        <w:lang w:val="en-US" w:eastAsia="en-US" w:bidi="ar-SA"/>
      </w:rPr>
    </w:lvl>
  </w:abstractNum>
  <w:abstractNum w:abstractNumId="6" w15:restartNumberingAfterBreak="0">
    <w:nsid w:val="080E372A"/>
    <w:multiLevelType w:val="hybridMultilevel"/>
    <w:tmpl w:val="27D22052"/>
    <w:lvl w:ilvl="0" w:tplc="6102265C">
      <w:start w:val="1"/>
      <w:numFmt w:val="lowerRoman"/>
      <w:lvlText w:val="(%1)"/>
      <w:lvlJc w:val="left"/>
      <w:pPr>
        <w:ind w:left="236" w:hanging="327"/>
        <w:jc w:val="left"/>
      </w:pPr>
      <w:rPr>
        <w:rFonts w:ascii="Calibri" w:eastAsia="Calibri" w:hAnsi="Calibri" w:cs="Calibri" w:hint="default"/>
        <w:b w:val="0"/>
        <w:bCs w:val="0"/>
        <w:i w:val="0"/>
        <w:iCs w:val="0"/>
        <w:w w:val="99"/>
        <w:sz w:val="24"/>
        <w:szCs w:val="24"/>
        <w:lang w:val="en-US" w:eastAsia="en-US" w:bidi="ar-SA"/>
      </w:rPr>
    </w:lvl>
    <w:lvl w:ilvl="1" w:tplc="E17E4432">
      <w:start w:val="4"/>
      <w:numFmt w:val="lowerRoman"/>
      <w:lvlText w:val="(%2)"/>
      <w:lvlJc w:val="left"/>
      <w:pPr>
        <w:ind w:left="1088" w:hanging="339"/>
        <w:jc w:val="left"/>
      </w:pPr>
      <w:rPr>
        <w:rFonts w:ascii="Calibri" w:eastAsia="Calibri" w:hAnsi="Calibri" w:cs="Calibri" w:hint="default"/>
        <w:b w:val="0"/>
        <w:bCs w:val="0"/>
        <w:i w:val="0"/>
        <w:iCs w:val="0"/>
        <w:w w:val="99"/>
        <w:sz w:val="22"/>
        <w:szCs w:val="22"/>
        <w:lang w:val="en-US" w:eastAsia="en-US" w:bidi="ar-SA"/>
      </w:rPr>
    </w:lvl>
    <w:lvl w:ilvl="2" w:tplc="8250D26A">
      <w:start w:val="1"/>
      <w:numFmt w:val="lowerLetter"/>
      <w:lvlText w:val="(%3)"/>
      <w:lvlJc w:val="left"/>
      <w:pPr>
        <w:ind w:left="3642" w:hanging="852"/>
        <w:jc w:val="left"/>
      </w:pPr>
      <w:rPr>
        <w:rFonts w:ascii="Calibri" w:eastAsia="Calibri" w:hAnsi="Calibri" w:cs="Calibri" w:hint="default"/>
        <w:b w:val="0"/>
        <w:bCs w:val="0"/>
        <w:i w:val="0"/>
        <w:iCs w:val="0"/>
        <w:w w:val="99"/>
        <w:sz w:val="24"/>
        <w:szCs w:val="24"/>
        <w:u w:val="single" w:color="000000"/>
        <w:lang w:val="en-US" w:eastAsia="en-US" w:bidi="ar-SA"/>
      </w:rPr>
    </w:lvl>
    <w:lvl w:ilvl="3" w:tplc="CB74C8C6">
      <w:numFmt w:val="bullet"/>
      <w:lvlText w:val="•"/>
      <w:lvlJc w:val="left"/>
      <w:pPr>
        <w:ind w:left="4425" w:hanging="852"/>
      </w:pPr>
      <w:rPr>
        <w:rFonts w:hint="default"/>
        <w:lang w:val="en-US" w:eastAsia="en-US" w:bidi="ar-SA"/>
      </w:rPr>
    </w:lvl>
    <w:lvl w:ilvl="4" w:tplc="F96432F4">
      <w:numFmt w:val="bullet"/>
      <w:lvlText w:val="•"/>
      <w:lvlJc w:val="left"/>
      <w:pPr>
        <w:ind w:left="5211" w:hanging="852"/>
      </w:pPr>
      <w:rPr>
        <w:rFonts w:hint="default"/>
        <w:lang w:val="en-US" w:eastAsia="en-US" w:bidi="ar-SA"/>
      </w:rPr>
    </w:lvl>
    <w:lvl w:ilvl="5" w:tplc="47F6162A">
      <w:numFmt w:val="bullet"/>
      <w:lvlText w:val="•"/>
      <w:lvlJc w:val="left"/>
      <w:pPr>
        <w:ind w:left="5996" w:hanging="852"/>
      </w:pPr>
      <w:rPr>
        <w:rFonts w:hint="default"/>
        <w:lang w:val="en-US" w:eastAsia="en-US" w:bidi="ar-SA"/>
      </w:rPr>
    </w:lvl>
    <w:lvl w:ilvl="6" w:tplc="C06CA430">
      <w:numFmt w:val="bullet"/>
      <w:lvlText w:val="•"/>
      <w:lvlJc w:val="left"/>
      <w:pPr>
        <w:ind w:left="6782" w:hanging="852"/>
      </w:pPr>
      <w:rPr>
        <w:rFonts w:hint="default"/>
        <w:lang w:val="en-US" w:eastAsia="en-US" w:bidi="ar-SA"/>
      </w:rPr>
    </w:lvl>
    <w:lvl w:ilvl="7" w:tplc="42228E8E">
      <w:numFmt w:val="bullet"/>
      <w:lvlText w:val="•"/>
      <w:lvlJc w:val="left"/>
      <w:pPr>
        <w:ind w:left="7567" w:hanging="852"/>
      </w:pPr>
      <w:rPr>
        <w:rFonts w:hint="default"/>
        <w:lang w:val="en-US" w:eastAsia="en-US" w:bidi="ar-SA"/>
      </w:rPr>
    </w:lvl>
    <w:lvl w:ilvl="8" w:tplc="5BF682D2">
      <w:numFmt w:val="bullet"/>
      <w:lvlText w:val="•"/>
      <w:lvlJc w:val="left"/>
      <w:pPr>
        <w:ind w:left="8353" w:hanging="852"/>
      </w:pPr>
      <w:rPr>
        <w:rFonts w:hint="default"/>
        <w:lang w:val="en-US" w:eastAsia="en-US" w:bidi="ar-SA"/>
      </w:rPr>
    </w:lvl>
  </w:abstractNum>
  <w:abstractNum w:abstractNumId="7" w15:restartNumberingAfterBreak="0">
    <w:nsid w:val="0B950494"/>
    <w:multiLevelType w:val="hybridMultilevel"/>
    <w:tmpl w:val="BB22BC94"/>
    <w:lvl w:ilvl="0" w:tplc="23945390">
      <w:start w:val="2"/>
      <w:numFmt w:val="upperRoman"/>
      <w:lvlText w:val="%1."/>
      <w:lvlJc w:val="left"/>
      <w:pPr>
        <w:ind w:left="1089" w:hanging="851"/>
        <w:jc w:val="right"/>
      </w:pPr>
      <w:rPr>
        <w:rFonts w:hint="default"/>
        <w:w w:val="99"/>
        <w:lang w:val="en-US" w:eastAsia="en-US" w:bidi="ar-SA"/>
      </w:rPr>
    </w:lvl>
    <w:lvl w:ilvl="1" w:tplc="34389FF8">
      <w:start w:val="1"/>
      <w:numFmt w:val="upperLetter"/>
      <w:lvlText w:val="%2."/>
      <w:lvlJc w:val="left"/>
      <w:pPr>
        <w:ind w:left="1796" w:hanging="851"/>
        <w:jc w:val="right"/>
      </w:pPr>
      <w:rPr>
        <w:rFonts w:hint="default"/>
        <w:spacing w:val="-1"/>
        <w:w w:val="99"/>
        <w:lang w:val="en-US" w:eastAsia="en-US" w:bidi="ar-SA"/>
      </w:rPr>
    </w:lvl>
    <w:lvl w:ilvl="2" w:tplc="66261B2C">
      <w:start w:val="1"/>
      <w:numFmt w:val="decimal"/>
      <w:lvlText w:val="%3."/>
      <w:lvlJc w:val="left"/>
      <w:pPr>
        <w:ind w:left="2648" w:hanging="851"/>
        <w:jc w:val="left"/>
      </w:pPr>
      <w:rPr>
        <w:rFonts w:hint="default"/>
        <w:spacing w:val="-1"/>
        <w:w w:val="99"/>
        <w:lang w:val="en-US" w:eastAsia="en-US" w:bidi="ar-SA"/>
      </w:rPr>
    </w:lvl>
    <w:lvl w:ilvl="3" w:tplc="D63441D0">
      <w:start w:val="1"/>
      <w:numFmt w:val="lowerLetter"/>
      <w:lvlText w:val="(%4)"/>
      <w:lvlJc w:val="left"/>
      <w:pPr>
        <w:ind w:left="3642" w:hanging="851"/>
        <w:jc w:val="left"/>
      </w:pPr>
      <w:rPr>
        <w:rFonts w:ascii="Calibri" w:eastAsia="Calibri" w:hAnsi="Calibri" w:cs="Calibri" w:hint="default"/>
        <w:b w:val="0"/>
        <w:bCs w:val="0"/>
        <w:i w:val="0"/>
        <w:iCs w:val="0"/>
        <w:w w:val="99"/>
        <w:sz w:val="24"/>
        <w:szCs w:val="24"/>
        <w:u w:val="single" w:color="000000"/>
        <w:lang w:val="en-US" w:eastAsia="en-US" w:bidi="ar-SA"/>
      </w:rPr>
    </w:lvl>
    <w:lvl w:ilvl="4" w:tplc="1EC0F31C">
      <w:start w:val="1"/>
      <w:numFmt w:val="lowerRoman"/>
      <w:lvlText w:val="%5."/>
      <w:lvlJc w:val="left"/>
      <w:pPr>
        <w:ind w:left="4493" w:hanging="851"/>
        <w:jc w:val="left"/>
      </w:pPr>
      <w:rPr>
        <w:rFonts w:hint="default"/>
        <w:w w:val="99"/>
        <w:lang w:val="en-US" w:eastAsia="en-US" w:bidi="ar-SA"/>
      </w:rPr>
    </w:lvl>
    <w:lvl w:ilvl="5" w:tplc="2716EBEA">
      <w:start w:val="1"/>
      <w:numFmt w:val="upperLetter"/>
      <w:lvlText w:val="(%6)"/>
      <w:lvlJc w:val="left"/>
      <w:pPr>
        <w:ind w:left="5340" w:hanging="851"/>
        <w:jc w:val="left"/>
      </w:pPr>
      <w:rPr>
        <w:rFonts w:hint="default"/>
        <w:w w:val="99"/>
        <w:lang w:val="en-US" w:eastAsia="en-US" w:bidi="ar-SA"/>
      </w:rPr>
    </w:lvl>
    <w:lvl w:ilvl="6" w:tplc="F96654E2">
      <w:numFmt w:val="bullet"/>
      <w:lvlText w:val="•"/>
      <w:lvlJc w:val="left"/>
      <w:pPr>
        <w:ind w:left="3640" w:hanging="851"/>
      </w:pPr>
      <w:rPr>
        <w:rFonts w:hint="default"/>
        <w:lang w:val="en-US" w:eastAsia="en-US" w:bidi="ar-SA"/>
      </w:rPr>
    </w:lvl>
    <w:lvl w:ilvl="7" w:tplc="BCB4DAEC">
      <w:numFmt w:val="bullet"/>
      <w:lvlText w:val="•"/>
      <w:lvlJc w:val="left"/>
      <w:pPr>
        <w:ind w:left="4500" w:hanging="851"/>
      </w:pPr>
      <w:rPr>
        <w:rFonts w:hint="default"/>
        <w:lang w:val="en-US" w:eastAsia="en-US" w:bidi="ar-SA"/>
      </w:rPr>
    </w:lvl>
    <w:lvl w:ilvl="8" w:tplc="1B72564A">
      <w:numFmt w:val="bullet"/>
      <w:lvlText w:val="•"/>
      <w:lvlJc w:val="left"/>
      <w:pPr>
        <w:ind w:left="5340" w:hanging="851"/>
      </w:pPr>
      <w:rPr>
        <w:rFonts w:hint="default"/>
        <w:lang w:val="en-US" w:eastAsia="en-US" w:bidi="ar-SA"/>
      </w:rPr>
    </w:lvl>
  </w:abstractNum>
  <w:abstractNum w:abstractNumId="8" w15:restartNumberingAfterBreak="0">
    <w:nsid w:val="0CD73E75"/>
    <w:multiLevelType w:val="hybridMultilevel"/>
    <w:tmpl w:val="AC70C7DC"/>
    <w:lvl w:ilvl="0" w:tplc="CD4C9126">
      <w:numFmt w:val="decimal"/>
      <w:lvlText w:val="%1."/>
      <w:lvlJc w:val="left"/>
      <w:pPr>
        <w:ind w:left="1943" w:hanging="849"/>
        <w:jc w:val="right"/>
      </w:pPr>
      <w:rPr>
        <w:rFonts w:hint="default"/>
        <w:w w:val="106"/>
        <w:lang w:val="en-US" w:eastAsia="en-US" w:bidi="ar-SA"/>
      </w:rPr>
    </w:lvl>
    <w:lvl w:ilvl="1" w:tplc="04B01A8A">
      <w:numFmt w:val="bullet"/>
      <w:lvlText w:val="•"/>
      <w:lvlJc w:val="left"/>
      <w:pPr>
        <w:ind w:left="2738" w:hanging="849"/>
      </w:pPr>
      <w:rPr>
        <w:rFonts w:hint="default"/>
        <w:lang w:val="en-US" w:eastAsia="en-US" w:bidi="ar-SA"/>
      </w:rPr>
    </w:lvl>
    <w:lvl w:ilvl="2" w:tplc="78CEF298">
      <w:numFmt w:val="bullet"/>
      <w:lvlText w:val="•"/>
      <w:lvlJc w:val="left"/>
      <w:pPr>
        <w:ind w:left="3536" w:hanging="849"/>
      </w:pPr>
      <w:rPr>
        <w:rFonts w:hint="default"/>
        <w:lang w:val="en-US" w:eastAsia="en-US" w:bidi="ar-SA"/>
      </w:rPr>
    </w:lvl>
    <w:lvl w:ilvl="3" w:tplc="3C32D62A">
      <w:numFmt w:val="bullet"/>
      <w:lvlText w:val="•"/>
      <w:lvlJc w:val="left"/>
      <w:pPr>
        <w:ind w:left="4335" w:hanging="849"/>
      </w:pPr>
      <w:rPr>
        <w:rFonts w:hint="default"/>
        <w:lang w:val="en-US" w:eastAsia="en-US" w:bidi="ar-SA"/>
      </w:rPr>
    </w:lvl>
    <w:lvl w:ilvl="4" w:tplc="A656B25A">
      <w:numFmt w:val="bullet"/>
      <w:lvlText w:val="•"/>
      <w:lvlJc w:val="left"/>
      <w:pPr>
        <w:ind w:left="5133" w:hanging="849"/>
      </w:pPr>
      <w:rPr>
        <w:rFonts w:hint="default"/>
        <w:lang w:val="en-US" w:eastAsia="en-US" w:bidi="ar-SA"/>
      </w:rPr>
    </w:lvl>
    <w:lvl w:ilvl="5" w:tplc="B9600774">
      <w:numFmt w:val="bullet"/>
      <w:lvlText w:val="•"/>
      <w:lvlJc w:val="left"/>
      <w:pPr>
        <w:ind w:left="5932" w:hanging="849"/>
      </w:pPr>
      <w:rPr>
        <w:rFonts w:hint="default"/>
        <w:lang w:val="en-US" w:eastAsia="en-US" w:bidi="ar-SA"/>
      </w:rPr>
    </w:lvl>
    <w:lvl w:ilvl="6" w:tplc="41F4B254">
      <w:numFmt w:val="bullet"/>
      <w:lvlText w:val="•"/>
      <w:lvlJc w:val="left"/>
      <w:pPr>
        <w:ind w:left="6730" w:hanging="849"/>
      </w:pPr>
      <w:rPr>
        <w:rFonts w:hint="default"/>
        <w:lang w:val="en-US" w:eastAsia="en-US" w:bidi="ar-SA"/>
      </w:rPr>
    </w:lvl>
    <w:lvl w:ilvl="7" w:tplc="B678BA4A">
      <w:numFmt w:val="bullet"/>
      <w:lvlText w:val="•"/>
      <w:lvlJc w:val="left"/>
      <w:pPr>
        <w:ind w:left="7529" w:hanging="849"/>
      </w:pPr>
      <w:rPr>
        <w:rFonts w:hint="default"/>
        <w:lang w:val="en-US" w:eastAsia="en-US" w:bidi="ar-SA"/>
      </w:rPr>
    </w:lvl>
    <w:lvl w:ilvl="8" w:tplc="413284EC">
      <w:numFmt w:val="bullet"/>
      <w:lvlText w:val="•"/>
      <w:lvlJc w:val="left"/>
      <w:pPr>
        <w:ind w:left="8327" w:hanging="849"/>
      </w:pPr>
      <w:rPr>
        <w:rFonts w:hint="default"/>
        <w:lang w:val="en-US" w:eastAsia="en-US" w:bidi="ar-SA"/>
      </w:rPr>
    </w:lvl>
  </w:abstractNum>
  <w:abstractNum w:abstractNumId="9" w15:restartNumberingAfterBreak="0">
    <w:nsid w:val="0E004562"/>
    <w:multiLevelType w:val="hybridMultilevel"/>
    <w:tmpl w:val="09CE7C8E"/>
    <w:lvl w:ilvl="0" w:tplc="F8CE9E50">
      <w:numFmt w:val="bullet"/>
      <w:lvlText w:val=""/>
      <w:lvlJc w:val="left"/>
      <w:pPr>
        <w:ind w:left="1318" w:hanging="361"/>
      </w:pPr>
      <w:rPr>
        <w:rFonts w:ascii="Symbol" w:eastAsia="Symbol" w:hAnsi="Symbol" w:cs="Symbol" w:hint="default"/>
        <w:b w:val="0"/>
        <w:bCs w:val="0"/>
        <w:i w:val="0"/>
        <w:iCs w:val="0"/>
        <w:w w:val="99"/>
        <w:sz w:val="24"/>
        <w:szCs w:val="24"/>
        <w:lang w:val="en-US" w:eastAsia="en-US" w:bidi="ar-SA"/>
      </w:rPr>
    </w:lvl>
    <w:lvl w:ilvl="1" w:tplc="EE024A2E">
      <w:numFmt w:val="bullet"/>
      <w:lvlText w:val=""/>
      <w:lvlJc w:val="left"/>
      <w:pPr>
        <w:ind w:left="1939" w:hanging="851"/>
      </w:pPr>
      <w:rPr>
        <w:rFonts w:ascii="Symbol" w:eastAsia="Symbol" w:hAnsi="Symbol" w:cs="Symbol" w:hint="default"/>
        <w:w w:val="99"/>
        <w:lang w:val="en-US" w:eastAsia="en-US" w:bidi="ar-SA"/>
      </w:rPr>
    </w:lvl>
    <w:lvl w:ilvl="2" w:tplc="478090F4">
      <w:numFmt w:val="bullet"/>
      <w:lvlText w:val="•"/>
      <w:lvlJc w:val="left"/>
      <w:pPr>
        <w:ind w:left="2827" w:hanging="851"/>
      </w:pPr>
      <w:rPr>
        <w:rFonts w:hint="default"/>
        <w:lang w:val="en-US" w:eastAsia="en-US" w:bidi="ar-SA"/>
      </w:rPr>
    </w:lvl>
    <w:lvl w:ilvl="3" w:tplc="5C5E0856">
      <w:numFmt w:val="bullet"/>
      <w:lvlText w:val="•"/>
      <w:lvlJc w:val="left"/>
      <w:pPr>
        <w:ind w:left="3714" w:hanging="851"/>
      </w:pPr>
      <w:rPr>
        <w:rFonts w:hint="default"/>
        <w:lang w:val="en-US" w:eastAsia="en-US" w:bidi="ar-SA"/>
      </w:rPr>
    </w:lvl>
    <w:lvl w:ilvl="4" w:tplc="2702F7AA">
      <w:numFmt w:val="bullet"/>
      <w:lvlText w:val="•"/>
      <w:lvlJc w:val="left"/>
      <w:pPr>
        <w:ind w:left="4601" w:hanging="851"/>
      </w:pPr>
      <w:rPr>
        <w:rFonts w:hint="default"/>
        <w:lang w:val="en-US" w:eastAsia="en-US" w:bidi="ar-SA"/>
      </w:rPr>
    </w:lvl>
    <w:lvl w:ilvl="5" w:tplc="D870BB24">
      <w:numFmt w:val="bullet"/>
      <w:lvlText w:val="•"/>
      <w:lvlJc w:val="left"/>
      <w:pPr>
        <w:ind w:left="5488" w:hanging="851"/>
      </w:pPr>
      <w:rPr>
        <w:rFonts w:hint="default"/>
        <w:lang w:val="en-US" w:eastAsia="en-US" w:bidi="ar-SA"/>
      </w:rPr>
    </w:lvl>
    <w:lvl w:ilvl="6" w:tplc="FE6AAC80">
      <w:numFmt w:val="bullet"/>
      <w:lvlText w:val="•"/>
      <w:lvlJc w:val="left"/>
      <w:pPr>
        <w:ind w:left="6375" w:hanging="851"/>
      </w:pPr>
      <w:rPr>
        <w:rFonts w:hint="default"/>
        <w:lang w:val="en-US" w:eastAsia="en-US" w:bidi="ar-SA"/>
      </w:rPr>
    </w:lvl>
    <w:lvl w:ilvl="7" w:tplc="1A50F31E">
      <w:numFmt w:val="bullet"/>
      <w:lvlText w:val="•"/>
      <w:lvlJc w:val="left"/>
      <w:pPr>
        <w:ind w:left="7262" w:hanging="851"/>
      </w:pPr>
      <w:rPr>
        <w:rFonts w:hint="default"/>
        <w:lang w:val="en-US" w:eastAsia="en-US" w:bidi="ar-SA"/>
      </w:rPr>
    </w:lvl>
    <w:lvl w:ilvl="8" w:tplc="90324B10">
      <w:numFmt w:val="bullet"/>
      <w:lvlText w:val="•"/>
      <w:lvlJc w:val="left"/>
      <w:pPr>
        <w:ind w:left="8150" w:hanging="851"/>
      </w:pPr>
      <w:rPr>
        <w:rFonts w:hint="default"/>
        <w:lang w:val="en-US" w:eastAsia="en-US" w:bidi="ar-SA"/>
      </w:rPr>
    </w:lvl>
  </w:abstractNum>
  <w:abstractNum w:abstractNumId="10" w15:restartNumberingAfterBreak="0">
    <w:nsid w:val="0F531363"/>
    <w:multiLevelType w:val="hybridMultilevel"/>
    <w:tmpl w:val="C9F08554"/>
    <w:lvl w:ilvl="0" w:tplc="4B36CE88">
      <w:numFmt w:val="bullet"/>
      <w:lvlText w:val=""/>
      <w:lvlJc w:val="left"/>
      <w:pPr>
        <w:ind w:left="1939" w:hanging="851"/>
      </w:pPr>
      <w:rPr>
        <w:rFonts w:ascii="Symbol" w:eastAsia="Symbol" w:hAnsi="Symbol" w:cs="Symbol" w:hint="default"/>
        <w:b w:val="0"/>
        <w:bCs w:val="0"/>
        <w:i w:val="0"/>
        <w:iCs w:val="0"/>
        <w:w w:val="99"/>
        <w:sz w:val="24"/>
        <w:szCs w:val="24"/>
        <w:lang w:val="en-US" w:eastAsia="en-US" w:bidi="ar-SA"/>
      </w:rPr>
    </w:lvl>
    <w:lvl w:ilvl="1" w:tplc="CB60BEE6">
      <w:numFmt w:val="bullet"/>
      <w:lvlText w:val="•"/>
      <w:lvlJc w:val="left"/>
      <w:pPr>
        <w:ind w:left="2738" w:hanging="851"/>
      </w:pPr>
      <w:rPr>
        <w:rFonts w:hint="default"/>
        <w:lang w:val="en-US" w:eastAsia="en-US" w:bidi="ar-SA"/>
      </w:rPr>
    </w:lvl>
    <w:lvl w:ilvl="2" w:tplc="10C6E26C">
      <w:numFmt w:val="bullet"/>
      <w:lvlText w:val="•"/>
      <w:lvlJc w:val="left"/>
      <w:pPr>
        <w:ind w:left="3536" w:hanging="851"/>
      </w:pPr>
      <w:rPr>
        <w:rFonts w:hint="default"/>
        <w:lang w:val="en-US" w:eastAsia="en-US" w:bidi="ar-SA"/>
      </w:rPr>
    </w:lvl>
    <w:lvl w:ilvl="3" w:tplc="C34E285E">
      <w:numFmt w:val="bullet"/>
      <w:lvlText w:val="•"/>
      <w:lvlJc w:val="left"/>
      <w:pPr>
        <w:ind w:left="4335" w:hanging="851"/>
      </w:pPr>
      <w:rPr>
        <w:rFonts w:hint="default"/>
        <w:lang w:val="en-US" w:eastAsia="en-US" w:bidi="ar-SA"/>
      </w:rPr>
    </w:lvl>
    <w:lvl w:ilvl="4" w:tplc="EB245266">
      <w:numFmt w:val="bullet"/>
      <w:lvlText w:val="•"/>
      <w:lvlJc w:val="left"/>
      <w:pPr>
        <w:ind w:left="5133" w:hanging="851"/>
      </w:pPr>
      <w:rPr>
        <w:rFonts w:hint="default"/>
        <w:lang w:val="en-US" w:eastAsia="en-US" w:bidi="ar-SA"/>
      </w:rPr>
    </w:lvl>
    <w:lvl w:ilvl="5" w:tplc="895E4938">
      <w:numFmt w:val="bullet"/>
      <w:lvlText w:val="•"/>
      <w:lvlJc w:val="left"/>
      <w:pPr>
        <w:ind w:left="5932" w:hanging="851"/>
      </w:pPr>
      <w:rPr>
        <w:rFonts w:hint="default"/>
        <w:lang w:val="en-US" w:eastAsia="en-US" w:bidi="ar-SA"/>
      </w:rPr>
    </w:lvl>
    <w:lvl w:ilvl="6" w:tplc="3E00E3FE">
      <w:numFmt w:val="bullet"/>
      <w:lvlText w:val="•"/>
      <w:lvlJc w:val="left"/>
      <w:pPr>
        <w:ind w:left="6730" w:hanging="851"/>
      </w:pPr>
      <w:rPr>
        <w:rFonts w:hint="default"/>
        <w:lang w:val="en-US" w:eastAsia="en-US" w:bidi="ar-SA"/>
      </w:rPr>
    </w:lvl>
    <w:lvl w:ilvl="7" w:tplc="119836B0">
      <w:numFmt w:val="bullet"/>
      <w:lvlText w:val="•"/>
      <w:lvlJc w:val="left"/>
      <w:pPr>
        <w:ind w:left="7529" w:hanging="851"/>
      </w:pPr>
      <w:rPr>
        <w:rFonts w:hint="default"/>
        <w:lang w:val="en-US" w:eastAsia="en-US" w:bidi="ar-SA"/>
      </w:rPr>
    </w:lvl>
    <w:lvl w:ilvl="8" w:tplc="627A7D80">
      <w:numFmt w:val="bullet"/>
      <w:lvlText w:val="•"/>
      <w:lvlJc w:val="left"/>
      <w:pPr>
        <w:ind w:left="8327" w:hanging="851"/>
      </w:pPr>
      <w:rPr>
        <w:rFonts w:hint="default"/>
        <w:lang w:val="en-US" w:eastAsia="en-US" w:bidi="ar-SA"/>
      </w:rPr>
    </w:lvl>
  </w:abstractNum>
  <w:abstractNum w:abstractNumId="11" w15:restartNumberingAfterBreak="0">
    <w:nsid w:val="12A60E18"/>
    <w:multiLevelType w:val="hybridMultilevel"/>
    <w:tmpl w:val="D8AAA500"/>
    <w:lvl w:ilvl="0" w:tplc="6F4C55DE">
      <w:start w:val="4"/>
      <w:numFmt w:val="decimal"/>
      <w:lvlText w:val="%1."/>
      <w:lvlJc w:val="left"/>
      <w:pPr>
        <w:ind w:left="2647" w:hanging="851"/>
        <w:jc w:val="left"/>
      </w:pPr>
      <w:rPr>
        <w:rFonts w:ascii="Calibri" w:eastAsia="Calibri" w:hAnsi="Calibri" w:cs="Calibri" w:hint="default"/>
        <w:b/>
        <w:bCs/>
        <w:i w:val="0"/>
        <w:iCs w:val="0"/>
        <w:spacing w:val="-1"/>
        <w:w w:val="99"/>
        <w:sz w:val="24"/>
        <w:szCs w:val="24"/>
        <w:lang w:val="en-US" w:eastAsia="en-US" w:bidi="ar-SA"/>
      </w:rPr>
    </w:lvl>
    <w:lvl w:ilvl="1" w:tplc="9B00F1E0">
      <w:numFmt w:val="bullet"/>
      <w:lvlText w:val="•"/>
      <w:lvlJc w:val="left"/>
      <w:pPr>
        <w:ind w:left="3368" w:hanging="851"/>
      </w:pPr>
      <w:rPr>
        <w:rFonts w:hint="default"/>
        <w:lang w:val="en-US" w:eastAsia="en-US" w:bidi="ar-SA"/>
      </w:rPr>
    </w:lvl>
    <w:lvl w:ilvl="2" w:tplc="DB527BF2">
      <w:numFmt w:val="bullet"/>
      <w:lvlText w:val="•"/>
      <w:lvlJc w:val="left"/>
      <w:pPr>
        <w:ind w:left="4096" w:hanging="851"/>
      </w:pPr>
      <w:rPr>
        <w:rFonts w:hint="default"/>
        <w:lang w:val="en-US" w:eastAsia="en-US" w:bidi="ar-SA"/>
      </w:rPr>
    </w:lvl>
    <w:lvl w:ilvl="3" w:tplc="9A9AA6A0">
      <w:numFmt w:val="bullet"/>
      <w:lvlText w:val="•"/>
      <w:lvlJc w:val="left"/>
      <w:pPr>
        <w:ind w:left="4825" w:hanging="851"/>
      </w:pPr>
      <w:rPr>
        <w:rFonts w:hint="default"/>
        <w:lang w:val="en-US" w:eastAsia="en-US" w:bidi="ar-SA"/>
      </w:rPr>
    </w:lvl>
    <w:lvl w:ilvl="4" w:tplc="C896CE7E">
      <w:numFmt w:val="bullet"/>
      <w:lvlText w:val="•"/>
      <w:lvlJc w:val="left"/>
      <w:pPr>
        <w:ind w:left="5553" w:hanging="851"/>
      </w:pPr>
      <w:rPr>
        <w:rFonts w:hint="default"/>
        <w:lang w:val="en-US" w:eastAsia="en-US" w:bidi="ar-SA"/>
      </w:rPr>
    </w:lvl>
    <w:lvl w:ilvl="5" w:tplc="6F4E8C5C">
      <w:numFmt w:val="bullet"/>
      <w:lvlText w:val="•"/>
      <w:lvlJc w:val="left"/>
      <w:pPr>
        <w:ind w:left="6282" w:hanging="851"/>
      </w:pPr>
      <w:rPr>
        <w:rFonts w:hint="default"/>
        <w:lang w:val="en-US" w:eastAsia="en-US" w:bidi="ar-SA"/>
      </w:rPr>
    </w:lvl>
    <w:lvl w:ilvl="6" w:tplc="0FEC47A4">
      <w:numFmt w:val="bullet"/>
      <w:lvlText w:val="•"/>
      <w:lvlJc w:val="left"/>
      <w:pPr>
        <w:ind w:left="7010" w:hanging="851"/>
      </w:pPr>
      <w:rPr>
        <w:rFonts w:hint="default"/>
        <w:lang w:val="en-US" w:eastAsia="en-US" w:bidi="ar-SA"/>
      </w:rPr>
    </w:lvl>
    <w:lvl w:ilvl="7" w:tplc="ED3CB594">
      <w:numFmt w:val="bullet"/>
      <w:lvlText w:val="•"/>
      <w:lvlJc w:val="left"/>
      <w:pPr>
        <w:ind w:left="7739" w:hanging="851"/>
      </w:pPr>
      <w:rPr>
        <w:rFonts w:hint="default"/>
        <w:lang w:val="en-US" w:eastAsia="en-US" w:bidi="ar-SA"/>
      </w:rPr>
    </w:lvl>
    <w:lvl w:ilvl="8" w:tplc="7956461E">
      <w:numFmt w:val="bullet"/>
      <w:lvlText w:val="•"/>
      <w:lvlJc w:val="left"/>
      <w:pPr>
        <w:ind w:left="8467" w:hanging="851"/>
      </w:pPr>
      <w:rPr>
        <w:rFonts w:hint="default"/>
        <w:lang w:val="en-US" w:eastAsia="en-US" w:bidi="ar-SA"/>
      </w:rPr>
    </w:lvl>
  </w:abstractNum>
  <w:abstractNum w:abstractNumId="12" w15:restartNumberingAfterBreak="0">
    <w:nsid w:val="134B5C05"/>
    <w:multiLevelType w:val="hybridMultilevel"/>
    <w:tmpl w:val="E5A6BBBE"/>
    <w:lvl w:ilvl="0" w:tplc="1A70B574">
      <w:start w:val="1"/>
      <w:numFmt w:val="lowerRoman"/>
      <w:lvlText w:val="(%1)"/>
      <w:lvlJc w:val="left"/>
      <w:pPr>
        <w:ind w:left="1314" w:hanging="226"/>
        <w:jc w:val="left"/>
      </w:pPr>
      <w:rPr>
        <w:rFonts w:ascii="Calibri" w:eastAsia="Calibri" w:hAnsi="Calibri" w:cs="Calibri" w:hint="default"/>
        <w:b w:val="0"/>
        <w:bCs w:val="0"/>
        <w:i w:val="0"/>
        <w:iCs w:val="0"/>
        <w:w w:val="99"/>
        <w:sz w:val="22"/>
        <w:szCs w:val="22"/>
        <w:lang w:val="en-US" w:eastAsia="en-US" w:bidi="ar-SA"/>
      </w:rPr>
    </w:lvl>
    <w:lvl w:ilvl="1" w:tplc="A8506FCE">
      <w:numFmt w:val="bullet"/>
      <w:lvlText w:val="•"/>
      <w:lvlJc w:val="left"/>
      <w:pPr>
        <w:ind w:left="2180" w:hanging="226"/>
      </w:pPr>
      <w:rPr>
        <w:rFonts w:hint="default"/>
        <w:lang w:val="en-US" w:eastAsia="en-US" w:bidi="ar-SA"/>
      </w:rPr>
    </w:lvl>
    <w:lvl w:ilvl="2" w:tplc="D1CE4322">
      <w:numFmt w:val="bullet"/>
      <w:lvlText w:val="•"/>
      <w:lvlJc w:val="left"/>
      <w:pPr>
        <w:ind w:left="3040" w:hanging="226"/>
      </w:pPr>
      <w:rPr>
        <w:rFonts w:hint="default"/>
        <w:lang w:val="en-US" w:eastAsia="en-US" w:bidi="ar-SA"/>
      </w:rPr>
    </w:lvl>
    <w:lvl w:ilvl="3" w:tplc="D9E6D91E">
      <w:numFmt w:val="bullet"/>
      <w:lvlText w:val="•"/>
      <w:lvlJc w:val="left"/>
      <w:pPr>
        <w:ind w:left="3901" w:hanging="226"/>
      </w:pPr>
      <w:rPr>
        <w:rFonts w:hint="default"/>
        <w:lang w:val="en-US" w:eastAsia="en-US" w:bidi="ar-SA"/>
      </w:rPr>
    </w:lvl>
    <w:lvl w:ilvl="4" w:tplc="EE96A402">
      <w:numFmt w:val="bullet"/>
      <w:lvlText w:val="•"/>
      <w:lvlJc w:val="left"/>
      <w:pPr>
        <w:ind w:left="4761" w:hanging="226"/>
      </w:pPr>
      <w:rPr>
        <w:rFonts w:hint="default"/>
        <w:lang w:val="en-US" w:eastAsia="en-US" w:bidi="ar-SA"/>
      </w:rPr>
    </w:lvl>
    <w:lvl w:ilvl="5" w:tplc="91BC57EE">
      <w:numFmt w:val="bullet"/>
      <w:lvlText w:val="•"/>
      <w:lvlJc w:val="left"/>
      <w:pPr>
        <w:ind w:left="5622" w:hanging="226"/>
      </w:pPr>
      <w:rPr>
        <w:rFonts w:hint="default"/>
        <w:lang w:val="en-US" w:eastAsia="en-US" w:bidi="ar-SA"/>
      </w:rPr>
    </w:lvl>
    <w:lvl w:ilvl="6" w:tplc="AB58D380">
      <w:numFmt w:val="bullet"/>
      <w:lvlText w:val="•"/>
      <w:lvlJc w:val="left"/>
      <w:pPr>
        <w:ind w:left="6482" w:hanging="226"/>
      </w:pPr>
      <w:rPr>
        <w:rFonts w:hint="default"/>
        <w:lang w:val="en-US" w:eastAsia="en-US" w:bidi="ar-SA"/>
      </w:rPr>
    </w:lvl>
    <w:lvl w:ilvl="7" w:tplc="77DA7EEE">
      <w:numFmt w:val="bullet"/>
      <w:lvlText w:val="•"/>
      <w:lvlJc w:val="left"/>
      <w:pPr>
        <w:ind w:left="7343" w:hanging="226"/>
      </w:pPr>
      <w:rPr>
        <w:rFonts w:hint="default"/>
        <w:lang w:val="en-US" w:eastAsia="en-US" w:bidi="ar-SA"/>
      </w:rPr>
    </w:lvl>
    <w:lvl w:ilvl="8" w:tplc="CD246EA2">
      <w:numFmt w:val="bullet"/>
      <w:lvlText w:val="•"/>
      <w:lvlJc w:val="left"/>
      <w:pPr>
        <w:ind w:left="8203" w:hanging="226"/>
      </w:pPr>
      <w:rPr>
        <w:rFonts w:hint="default"/>
        <w:lang w:val="en-US" w:eastAsia="en-US" w:bidi="ar-SA"/>
      </w:rPr>
    </w:lvl>
  </w:abstractNum>
  <w:abstractNum w:abstractNumId="13" w15:restartNumberingAfterBreak="0">
    <w:nsid w:val="17A01BAF"/>
    <w:multiLevelType w:val="hybridMultilevel"/>
    <w:tmpl w:val="5B5E837A"/>
    <w:lvl w:ilvl="0" w:tplc="806E963A">
      <w:numFmt w:val="bullet"/>
      <w:lvlText w:val="•"/>
      <w:lvlJc w:val="left"/>
      <w:pPr>
        <w:ind w:left="1847" w:hanging="859"/>
      </w:pPr>
      <w:rPr>
        <w:rFonts w:ascii="Calibri" w:eastAsia="Calibri" w:hAnsi="Calibri" w:cs="Calibri" w:hint="default"/>
        <w:b w:val="0"/>
        <w:bCs w:val="0"/>
        <w:i w:val="0"/>
        <w:iCs w:val="0"/>
        <w:color w:val="070707"/>
        <w:w w:val="83"/>
        <w:position w:val="2"/>
        <w:sz w:val="24"/>
        <w:szCs w:val="24"/>
        <w:lang w:val="en-US" w:eastAsia="en-US" w:bidi="ar-SA"/>
      </w:rPr>
    </w:lvl>
    <w:lvl w:ilvl="1" w:tplc="C71C207E">
      <w:numFmt w:val="bullet"/>
      <w:lvlText w:val="•"/>
      <w:lvlJc w:val="left"/>
      <w:pPr>
        <w:ind w:left="2587" w:hanging="859"/>
      </w:pPr>
      <w:rPr>
        <w:rFonts w:hint="default"/>
        <w:lang w:val="en-US" w:eastAsia="en-US" w:bidi="ar-SA"/>
      </w:rPr>
    </w:lvl>
    <w:lvl w:ilvl="2" w:tplc="EDD8329C">
      <w:numFmt w:val="bullet"/>
      <w:lvlText w:val="•"/>
      <w:lvlJc w:val="left"/>
      <w:pPr>
        <w:ind w:left="3335" w:hanging="859"/>
      </w:pPr>
      <w:rPr>
        <w:rFonts w:hint="default"/>
        <w:lang w:val="en-US" w:eastAsia="en-US" w:bidi="ar-SA"/>
      </w:rPr>
    </w:lvl>
    <w:lvl w:ilvl="3" w:tplc="FFA0578E">
      <w:numFmt w:val="bullet"/>
      <w:lvlText w:val="•"/>
      <w:lvlJc w:val="left"/>
      <w:pPr>
        <w:ind w:left="4082" w:hanging="859"/>
      </w:pPr>
      <w:rPr>
        <w:rFonts w:hint="default"/>
        <w:lang w:val="en-US" w:eastAsia="en-US" w:bidi="ar-SA"/>
      </w:rPr>
    </w:lvl>
    <w:lvl w:ilvl="4" w:tplc="65B074E2">
      <w:numFmt w:val="bullet"/>
      <w:lvlText w:val="•"/>
      <w:lvlJc w:val="left"/>
      <w:pPr>
        <w:ind w:left="4830" w:hanging="859"/>
      </w:pPr>
      <w:rPr>
        <w:rFonts w:hint="default"/>
        <w:lang w:val="en-US" w:eastAsia="en-US" w:bidi="ar-SA"/>
      </w:rPr>
    </w:lvl>
    <w:lvl w:ilvl="5" w:tplc="6BBC6302">
      <w:numFmt w:val="bullet"/>
      <w:lvlText w:val="•"/>
      <w:lvlJc w:val="left"/>
      <w:pPr>
        <w:ind w:left="5578" w:hanging="859"/>
      </w:pPr>
      <w:rPr>
        <w:rFonts w:hint="default"/>
        <w:lang w:val="en-US" w:eastAsia="en-US" w:bidi="ar-SA"/>
      </w:rPr>
    </w:lvl>
    <w:lvl w:ilvl="6" w:tplc="9BB4F118">
      <w:numFmt w:val="bullet"/>
      <w:lvlText w:val="•"/>
      <w:lvlJc w:val="left"/>
      <w:pPr>
        <w:ind w:left="6325" w:hanging="859"/>
      </w:pPr>
      <w:rPr>
        <w:rFonts w:hint="default"/>
        <w:lang w:val="en-US" w:eastAsia="en-US" w:bidi="ar-SA"/>
      </w:rPr>
    </w:lvl>
    <w:lvl w:ilvl="7" w:tplc="B1AA7DD8">
      <w:numFmt w:val="bullet"/>
      <w:lvlText w:val="•"/>
      <w:lvlJc w:val="left"/>
      <w:pPr>
        <w:ind w:left="7073" w:hanging="859"/>
      </w:pPr>
      <w:rPr>
        <w:rFonts w:hint="default"/>
        <w:lang w:val="en-US" w:eastAsia="en-US" w:bidi="ar-SA"/>
      </w:rPr>
    </w:lvl>
    <w:lvl w:ilvl="8" w:tplc="5B8C6B64">
      <w:numFmt w:val="bullet"/>
      <w:lvlText w:val="•"/>
      <w:lvlJc w:val="left"/>
      <w:pPr>
        <w:ind w:left="7820" w:hanging="859"/>
      </w:pPr>
      <w:rPr>
        <w:rFonts w:hint="default"/>
        <w:lang w:val="en-US" w:eastAsia="en-US" w:bidi="ar-SA"/>
      </w:rPr>
    </w:lvl>
  </w:abstractNum>
  <w:abstractNum w:abstractNumId="14" w15:restartNumberingAfterBreak="0">
    <w:nsid w:val="1B0A7E64"/>
    <w:multiLevelType w:val="hybridMultilevel"/>
    <w:tmpl w:val="4B44F16E"/>
    <w:lvl w:ilvl="0" w:tplc="AC7EF506">
      <w:start w:val="3"/>
      <w:numFmt w:val="upperLetter"/>
      <w:lvlText w:val="%1."/>
      <w:lvlJc w:val="left"/>
      <w:pPr>
        <w:ind w:left="1939" w:hanging="851"/>
        <w:jc w:val="left"/>
      </w:pPr>
      <w:rPr>
        <w:rFonts w:ascii="Calibri" w:eastAsia="Calibri" w:hAnsi="Calibri" w:cs="Calibri" w:hint="default"/>
        <w:b/>
        <w:bCs/>
        <w:i w:val="0"/>
        <w:iCs w:val="0"/>
        <w:spacing w:val="-1"/>
        <w:w w:val="99"/>
        <w:sz w:val="28"/>
        <w:szCs w:val="28"/>
        <w:lang w:val="en-US" w:eastAsia="en-US" w:bidi="ar-SA"/>
      </w:rPr>
    </w:lvl>
    <w:lvl w:ilvl="1" w:tplc="A64AFD18">
      <w:start w:val="1"/>
      <w:numFmt w:val="decimal"/>
      <w:lvlText w:val="%2."/>
      <w:lvlJc w:val="left"/>
      <w:pPr>
        <w:ind w:left="2648" w:hanging="851"/>
        <w:jc w:val="left"/>
      </w:pPr>
      <w:rPr>
        <w:rFonts w:ascii="Calibri" w:eastAsia="Calibri" w:hAnsi="Calibri" w:cs="Calibri" w:hint="default"/>
        <w:b/>
        <w:bCs/>
        <w:i w:val="0"/>
        <w:iCs w:val="0"/>
        <w:spacing w:val="-1"/>
        <w:w w:val="99"/>
        <w:sz w:val="24"/>
        <w:szCs w:val="24"/>
        <w:lang w:val="en-US" w:eastAsia="en-US" w:bidi="ar-SA"/>
      </w:rPr>
    </w:lvl>
    <w:lvl w:ilvl="2" w:tplc="3E30170A">
      <w:start w:val="1"/>
      <w:numFmt w:val="lowerLetter"/>
      <w:lvlText w:val="(%3)"/>
      <w:lvlJc w:val="left"/>
      <w:pPr>
        <w:ind w:left="3642" w:hanging="852"/>
        <w:jc w:val="left"/>
      </w:pPr>
      <w:rPr>
        <w:rFonts w:ascii="Calibri" w:eastAsia="Calibri" w:hAnsi="Calibri" w:cs="Calibri" w:hint="default"/>
        <w:b w:val="0"/>
        <w:bCs w:val="0"/>
        <w:i w:val="0"/>
        <w:iCs w:val="0"/>
        <w:w w:val="99"/>
        <w:sz w:val="24"/>
        <w:szCs w:val="24"/>
        <w:u w:val="single" w:color="000000"/>
        <w:lang w:val="en-US" w:eastAsia="en-US" w:bidi="ar-SA"/>
      </w:rPr>
    </w:lvl>
    <w:lvl w:ilvl="3" w:tplc="56A6A52E">
      <w:start w:val="1"/>
      <w:numFmt w:val="lowerRoman"/>
      <w:lvlText w:val="%4."/>
      <w:lvlJc w:val="left"/>
      <w:pPr>
        <w:ind w:left="4493" w:hanging="851"/>
        <w:jc w:val="left"/>
      </w:pPr>
      <w:rPr>
        <w:rFonts w:ascii="Calibri" w:eastAsia="Calibri" w:hAnsi="Calibri" w:cs="Calibri" w:hint="default"/>
        <w:b w:val="0"/>
        <w:bCs w:val="0"/>
        <w:i/>
        <w:iCs/>
        <w:w w:val="99"/>
        <w:sz w:val="24"/>
        <w:szCs w:val="24"/>
        <w:lang w:val="en-US" w:eastAsia="en-US" w:bidi="ar-SA"/>
      </w:rPr>
    </w:lvl>
    <w:lvl w:ilvl="4" w:tplc="57A851D6">
      <w:numFmt w:val="bullet"/>
      <w:lvlText w:val="•"/>
      <w:lvlJc w:val="left"/>
      <w:pPr>
        <w:ind w:left="5274" w:hanging="851"/>
      </w:pPr>
      <w:rPr>
        <w:rFonts w:hint="default"/>
        <w:lang w:val="en-US" w:eastAsia="en-US" w:bidi="ar-SA"/>
      </w:rPr>
    </w:lvl>
    <w:lvl w:ilvl="5" w:tplc="E61E9E54">
      <w:numFmt w:val="bullet"/>
      <w:lvlText w:val="•"/>
      <w:lvlJc w:val="left"/>
      <w:pPr>
        <w:ind w:left="6049" w:hanging="851"/>
      </w:pPr>
      <w:rPr>
        <w:rFonts w:hint="default"/>
        <w:lang w:val="en-US" w:eastAsia="en-US" w:bidi="ar-SA"/>
      </w:rPr>
    </w:lvl>
    <w:lvl w:ilvl="6" w:tplc="98B60ED6">
      <w:numFmt w:val="bullet"/>
      <w:lvlText w:val="•"/>
      <w:lvlJc w:val="left"/>
      <w:pPr>
        <w:ind w:left="6824" w:hanging="851"/>
      </w:pPr>
      <w:rPr>
        <w:rFonts w:hint="default"/>
        <w:lang w:val="en-US" w:eastAsia="en-US" w:bidi="ar-SA"/>
      </w:rPr>
    </w:lvl>
    <w:lvl w:ilvl="7" w:tplc="858CBD6A">
      <w:numFmt w:val="bullet"/>
      <w:lvlText w:val="•"/>
      <w:lvlJc w:val="left"/>
      <w:pPr>
        <w:ind w:left="7599" w:hanging="851"/>
      </w:pPr>
      <w:rPr>
        <w:rFonts w:hint="default"/>
        <w:lang w:val="en-US" w:eastAsia="en-US" w:bidi="ar-SA"/>
      </w:rPr>
    </w:lvl>
    <w:lvl w:ilvl="8" w:tplc="FC76C48C">
      <w:numFmt w:val="bullet"/>
      <w:lvlText w:val="•"/>
      <w:lvlJc w:val="left"/>
      <w:pPr>
        <w:ind w:left="8374" w:hanging="851"/>
      </w:pPr>
      <w:rPr>
        <w:rFonts w:hint="default"/>
        <w:lang w:val="en-US" w:eastAsia="en-US" w:bidi="ar-SA"/>
      </w:rPr>
    </w:lvl>
  </w:abstractNum>
  <w:abstractNum w:abstractNumId="15" w15:restartNumberingAfterBreak="0">
    <w:nsid w:val="1C66335D"/>
    <w:multiLevelType w:val="hybridMultilevel"/>
    <w:tmpl w:val="8C16B8A2"/>
    <w:lvl w:ilvl="0" w:tplc="A37C3E7C">
      <w:numFmt w:val="bullet"/>
      <w:lvlText w:val="•"/>
      <w:lvlJc w:val="left"/>
      <w:pPr>
        <w:ind w:left="1841" w:hanging="853"/>
      </w:pPr>
      <w:rPr>
        <w:rFonts w:ascii="Times New Roman" w:eastAsia="Times New Roman" w:hAnsi="Times New Roman" w:cs="Times New Roman" w:hint="default"/>
        <w:b w:val="0"/>
        <w:bCs w:val="0"/>
        <w:i w:val="0"/>
        <w:iCs w:val="0"/>
        <w:w w:val="62"/>
        <w:position w:val="2"/>
        <w:sz w:val="46"/>
        <w:szCs w:val="46"/>
        <w:lang w:val="en-US" w:eastAsia="en-US" w:bidi="ar-SA"/>
      </w:rPr>
    </w:lvl>
    <w:lvl w:ilvl="1" w:tplc="84FAE0FA">
      <w:numFmt w:val="bullet"/>
      <w:lvlText w:val="•"/>
      <w:lvlJc w:val="left"/>
      <w:pPr>
        <w:ind w:left="2587" w:hanging="853"/>
      </w:pPr>
      <w:rPr>
        <w:rFonts w:hint="default"/>
        <w:lang w:val="en-US" w:eastAsia="en-US" w:bidi="ar-SA"/>
      </w:rPr>
    </w:lvl>
    <w:lvl w:ilvl="2" w:tplc="968AB532">
      <w:numFmt w:val="bullet"/>
      <w:lvlText w:val="•"/>
      <w:lvlJc w:val="left"/>
      <w:pPr>
        <w:ind w:left="3335" w:hanging="853"/>
      </w:pPr>
      <w:rPr>
        <w:rFonts w:hint="default"/>
        <w:lang w:val="en-US" w:eastAsia="en-US" w:bidi="ar-SA"/>
      </w:rPr>
    </w:lvl>
    <w:lvl w:ilvl="3" w:tplc="BF441E7E">
      <w:numFmt w:val="bullet"/>
      <w:lvlText w:val="•"/>
      <w:lvlJc w:val="left"/>
      <w:pPr>
        <w:ind w:left="4082" w:hanging="853"/>
      </w:pPr>
      <w:rPr>
        <w:rFonts w:hint="default"/>
        <w:lang w:val="en-US" w:eastAsia="en-US" w:bidi="ar-SA"/>
      </w:rPr>
    </w:lvl>
    <w:lvl w:ilvl="4" w:tplc="0D9C86FA">
      <w:numFmt w:val="bullet"/>
      <w:lvlText w:val="•"/>
      <w:lvlJc w:val="left"/>
      <w:pPr>
        <w:ind w:left="4830" w:hanging="853"/>
      </w:pPr>
      <w:rPr>
        <w:rFonts w:hint="default"/>
        <w:lang w:val="en-US" w:eastAsia="en-US" w:bidi="ar-SA"/>
      </w:rPr>
    </w:lvl>
    <w:lvl w:ilvl="5" w:tplc="AEA68D56">
      <w:numFmt w:val="bullet"/>
      <w:lvlText w:val="•"/>
      <w:lvlJc w:val="left"/>
      <w:pPr>
        <w:ind w:left="5578" w:hanging="853"/>
      </w:pPr>
      <w:rPr>
        <w:rFonts w:hint="default"/>
        <w:lang w:val="en-US" w:eastAsia="en-US" w:bidi="ar-SA"/>
      </w:rPr>
    </w:lvl>
    <w:lvl w:ilvl="6" w:tplc="B4F2493C">
      <w:numFmt w:val="bullet"/>
      <w:lvlText w:val="•"/>
      <w:lvlJc w:val="left"/>
      <w:pPr>
        <w:ind w:left="6325" w:hanging="853"/>
      </w:pPr>
      <w:rPr>
        <w:rFonts w:hint="default"/>
        <w:lang w:val="en-US" w:eastAsia="en-US" w:bidi="ar-SA"/>
      </w:rPr>
    </w:lvl>
    <w:lvl w:ilvl="7" w:tplc="F56CC1BE">
      <w:numFmt w:val="bullet"/>
      <w:lvlText w:val="•"/>
      <w:lvlJc w:val="left"/>
      <w:pPr>
        <w:ind w:left="7073" w:hanging="853"/>
      </w:pPr>
      <w:rPr>
        <w:rFonts w:hint="default"/>
        <w:lang w:val="en-US" w:eastAsia="en-US" w:bidi="ar-SA"/>
      </w:rPr>
    </w:lvl>
    <w:lvl w:ilvl="8" w:tplc="3736606C">
      <w:numFmt w:val="bullet"/>
      <w:lvlText w:val="•"/>
      <w:lvlJc w:val="left"/>
      <w:pPr>
        <w:ind w:left="7820" w:hanging="853"/>
      </w:pPr>
      <w:rPr>
        <w:rFonts w:hint="default"/>
        <w:lang w:val="en-US" w:eastAsia="en-US" w:bidi="ar-SA"/>
      </w:rPr>
    </w:lvl>
  </w:abstractNum>
  <w:abstractNum w:abstractNumId="16" w15:restartNumberingAfterBreak="0">
    <w:nsid w:val="1DA27C04"/>
    <w:multiLevelType w:val="hybridMultilevel"/>
    <w:tmpl w:val="DF26570A"/>
    <w:lvl w:ilvl="0" w:tplc="A23A2344">
      <w:numFmt w:val="bullet"/>
      <w:lvlText w:val=""/>
      <w:lvlJc w:val="left"/>
      <w:pPr>
        <w:ind w:left="1939" w:hanging="851"/>
      </w:pPr>
      <w:rPr>
        <w:rFonts w:ascii="Symbol" w:eastAsia="Symbol" w:hAnsi="Symbol" w:cs="Symbol" w:hint="default"/>
        <w:b w:val="0"/>
        <w:bCs w:val="0"/>
        <w:i w:val="0"/>
        <w:iCs w:val="0"/>
        <w:w w:val="99"/>
        <w:sz w:val="24"/>
        <w:szCs w:val="24"/>
        <w:lang w:val="en-US" w:eastAsia="en-US" w:bidi="ar-SA"/>
      </w:rPr>
    </w:lvl>
    <w:lvl w:ilvl="1" w:tplc="6E460F98">
      <w:numFmt w:val="bullet"/>
      <w:lvlText w:val="•"/>
      <w:lvlJc w:val="left"/>
      <w:pPr>
        <w:ind w:left="2738" w:hanging="851"/>
      </w:pPr>
      <w:rPr>
        <w:rFonts w:hint="default"/>
        <w:lang w:val="en-US" w:eastAsia="en-US" w:bidi="ar-SA"/>
      </w:rPr>
    </w:lvl>
    <w:lvl w:ilvl="2" w:tplc="AED84B56">
      <w:numFmt w:val="bullet"/>
      <w:lvlText w:val="•"/>
      <w:lvlJc w:val="left"/>
      <w:pPr>
        <w:ind w:left="3536" w:hanging="851"/>
      </w:pPr>
      <w:rPr>
        <w:rFonts w:hint="default"/>
        <w:lang w:val="en-US" w:eastAsia="en-US" w:bidi="ar-SA"/>
      </w:rPr>
    </w:lvl>
    <w:lvl w:ilvl="3" w:tplc="8480C334">
      <w:numFmt w:val="bullet"/>
      <w:lvlText w:val="•"/>
      <w:lvlJc w:val="left"/>
      <w:pPr>
        <w:ind w:left="4335" w:hanging="851"/>
      </w:pPr>
      <w:rPr>
        <w:rFonts w:hint="default"/>
        <w:lang w:val="en-US" w:eastAsia="en-US" w:bidi="ar-SA"/>
      </w:rPr>
    </w:lvl>
    <w:lvl w:ilvl="4" w:tplc="55BED938">
      <w:numFmt w:val="bullet"/>
      <w:lvlText w:val="•"/>
      <w:lvlJc w:val="left"/>
      <w:pPr>
        <w:ind w:left="5133" w:hanging="851"/>
      </w:pPr>
      <w:rPr>
        <w:rFonts w:hint="default"/>
        <w:lang w:val="en-US" w:eastAsia="en-US" w:bidi="ar-SA"/>
      </w:rPr>
    </w:lvl>
    <w:lvl w:ilvl="5" w:tplc="FD344132">
      <w:numFmt w:val="bullet"/>
      <w:lvlText w:val="•"/>
      <w:lvlJc w:val="left"/>
      <w:pPr>
        <w:ind w:left="5932" w:hanging="851"/>
      </w:pPr>
      <w:rPr>
        <w:rFonts w:hint="default"/>
        <w:lang w:val="en-US" w:eastAsia="en-US" w:bidi="ar-SA"/>
      </w:rPr>
    </w:lvl>
    <w:lvl w:ilvl="6" w:tplc="883A7AAC">
      <w:numFmt w:val="bullet"/>
      <w:lvlText w:val="•"/>
      <w:lvlJc w:val="left"/>
      <w:pPr>
        <w:ind w:left="6730" w:hanging="851"/>
      </w:pPr>
      <w:rPr>
        <w:rFonts w:hint="default"/>
        <w:lang w:val="en-US" w:eastAsia="en-US" w:bidi="ar-SA"/>
      </w:rPr>
    </w:lvl>
    <w:lvl w:ilvl="7" w:tplc="757EFA58">
      <w:numFmt w:val="bullet"/>
      <w:lvlText w:val="•"/>
      <w:lvlJc w:val="left"/>
      <w:pPr>
        <w:ind w:left="7529" w:hanging="851"/>
      </w:pPr>
      <w:rPr>
        <w:rFonts w:hint="default"/>
        <w:lang w:val="en-US" w:eastAsia="en-US" w:bidi="ar-SA"/>
      </w:rPr>
    </w:lvl>
    <w:lvl w:ilvl="8" w:tplc="CEB21EF0">
      <w:numFmt w:val="bullet"/>
      <w:lvlText w:val="•"/>
      <w:lvlJc w:val="left"/>
      <w:pPr>
        <w:ind w:left="8327" w:hanging="851"/>
      </w:pPr>
      <w:rPr>
        <w:rFonts w:hint="default"/>
        <w:lang w:val="en-US" w:eastAsia="en-US" w:bidi="ar-SA"/>
      </w:rPr>
    </w:lvl>
  </w:abstractNum>
  <w:abstractNum w:abstractNumId="17" w15:restartNumberingAfterBreak="0">
    <w:nsid w:val="1DF32561"/>
    <w:multiLevelType w:val="hybridMultilevel"/>
    <w:tmpl w:val="4146A722"/>
    <w:lvl w:ilvl="0" w:tplc="3E5EE7B0">
      <w:numFmt w:val="bullet"/>
      <w:lvlText w:val="■"/>
      <w:lvlJc w:val="left"/>
      <w:pPr>
        <w:ind w:left="3121" w:hanging="176"/>
      </w:pPr>
      <w:rPr>
        <w:rFonts w:ascii="Arial" w:eastAsia="Arial" w:hAnsi="Arial" w:cs="Arial" w:hint="default"/>
        <w:b w:val="0"/>
        <w:bCs w:val="0"/>
        <w:i w:val="0"/>
        <w:iCs w:val="0"/>
        <w:color w:val="ED7C31"/>
        <w:spacing w:val="16"/>
        <w:w w:val="105"/>
        <w:sz w:val="23"/>
        <w:szCs w:val="23"/>
        <w:lang w:val="en-US" w:eastAsia="en-US" w:bidi="ar-SA"/>
      </w:rPr>
    </w:lvl>
    <w:lvl w:ilvl="1" w:tplc="D768402A">
      <w:numFmt w:val="bullet"/>
      <w:lvlText w:val="•"/>
      <w:lvlJc w:val="left"/>
      <w:pPr>
        <w:ind w:left="3800" w:hanging="176"/>
      </w:pPr>
      <w:rPr>
        <w:rFonts w:hint="default"/>
        <w:lang w:val="en-US" w:eastAsia="en-US" w:bidi="ar-SA"/>
      </w:rPr>
    </w:lvl>
    <w:lvl w:ilvl="2" w:tplc="E5E89436">
      <w:numFmt w:val="bullet"/>
      <w:lvlText w:val="•"/>
      <w:lvlJc w:val="left"/>
      <w:pPr>
        <w:ind w:left="4480" w:hanging="176"/>
      </w:pPr>
      <w:rPr>
        <w:rFonts w:hint="default"/>
        <w:lang w:val="en-US" w:eastAsia="en-US" w:bidi="ar-SA"/>
      </w:rPr>
    </w:lvl>
    <w:lvl w:ilvl="3" w:tplc="4EFA5F56">
      <w:numFmt w:val="bullet"/>
      <w:lvlText w:val="•"/>
      <w:lvlJc w:val="left"/>
      <w:pPr>
        <w:ind w:left="5161" w:hanging="176"/>
      </w:pPr>
      <w:rPr>
        <w:rFonts w:hint="default"/>
        <w:lang w:val="en-US" w:eastAsia="en-US" w:bidi="ar-SA"/>
      </w:rPr>
    </w:lvl>
    <w:lvl w:ilvl="4" w:tplc="C30E7826">
      <w:numFmt w:val="bullet"/>
      <w:lvlText w:val="•"/>
      <w:lvlJc w:val="left"/>
      <w:pPr>
        <w:ind w:left="5841" w:hanging="176"/>
      </w:pPr>
      <w:rPr>
        <w:rFonts w:hint="default"/>
        <w:lang w:val="en-US" w:eastAsia="en-US" w:bidi="ar-SA"/>
      </w:rPr>
    </w:lvl>
    <w:lvl w:ilvl="5" w:tplc="B68C8F88">
      <w:numFmt w:val="bullet"/>
      <w:lvlText w:val="•"/>
      <w:lvlJc w:val="left"/>
      <w:pPr>
        <w:ind w:left="6522" w:hanging="176"/>
      </w:pPr>
      <w:rPr>
        <w:rFonts w:hint="default"/>
        <w:lang w:val="en-US" w:eastAsia="en-US" w:bidi="ar-SA"/>
      </w:rPr>
    </w:lvl>
    <w:lvl w:ilvl="6" w:tplc="0158D36E">
      <w:numFmt w:val="bullet"/>
      <w:lvlText w:val="•"/>
      <w:lvlJc w:val="left"/>
      <w:pPr>
        <w:ind w:left="7202" w:hanging="176"/>
      </w:pPr>
      <w:rPr>
        <w:rFonts w:hint="default"/>
        <w:lang w:val="en-US" w:eastAsia="en-US" w:bidi="ar-SA"/>
      </w:rPr>
    </w:lvl>
    <w:lvl w:ilvl="7" w:tplc="9C9221E2">
      <w:numFmt w:val="bullet"/>
      <w:lvlText w:val="•"/>
      <w:lvlJc w:val="left"/>
      <w:pPr>
        <w:ind w:left="7883" w:hanging="176"/>
      </w:pPr>
      <w:rPr>
        <w:rFonts w:hint="default"/>
        <w:lang w:val="en-US" w:eastAsia="en-US" w:bidi="ar-SA"/>
      </w:rPr>
    </w:lvl>
    <w:lvl w:ilvl="8" w:tplc="46F6E1FE">
      <w:numFmt w:val="bullet"/>
      <w:lvlText w:val="•"/>
      <w:lvlJc w:val="left"/>
      <w:pPr>
        <w:ind w:left="8563" w:hanging="176"/>
      </w:pPr>
      <w:rPr>
        <w:rFonts w:hint="default"/>
        <w:lang w:val="en-US" w:eastAsia="en-US" w:bidi="ar-SA"/>
      </w:rPr>
    </w:lvl>
  </w:abstractNum>
  <w:abstractNum w:abstractNumId="18" w15:restartNumberingAfterBreak="0">
    <w:nsid w:val="1F3E3EC6"/>
    <w:multiLevelType w:val="hybridMultilevel"/>
    <w:tmpl w:val="F04640B8"/>
    <w:lvl w:ilvl="0" w:tplc="668ED55E">
      <w:numFmt w:val="bullet"/>
      <w:lvlText w:val=""/>
      <w:lvlJc w:val="left"/>
      <w:pPr>
        <w:ind w:left="374" w:hanging="361"/>
      </w:pPr>
      <w:rPr>
        <w:rFonts w:ascii="Symbol" w:eastAsia="Symbol" w:hAnsi="Symbol" w:cs="Symbol" w:hint="default"/>
        <w:b w:val="0"/>
        <w:bCs w:val="0"/>
        <w:i w:val="0"/>
        <w:iCs w:val="0"/>
        <w:w w:val="99"/>
        <w:sz w:val="24"/>
        <w:szCs w:val="24"/>
        <w:lang w:val="en-US" w:eastAsia="en-US" w:bidi="ar-SA"/>
      </w:rPr>
    </w:lvl>
    <w:lvl w:ilvl="1" w:tplc="0010C346">
      <w:numFmt w:val="bullet"/>
      <w:lvlText w:val="•"/>
      <w:lvlJc w:val="left"/>
      <w:pPr>
        <w:ind w:left="943" w:hanging="361"/>
      </w:pPr>
      <w:rPr>
        <w:rFonts w:hint="default"/>
        <w:lang w:val="en-US" w:eastAsia="en-US" w:bidi="ar-SA"/>
      </w:rPr>
    </w:lvl>
    <w:lvl w:ilvl="2" w:tplc="D1A64296">
      <w:numFmt w:val="bullet"/>
      <w:lvlText w:val="•"/>
      <w:lvlJc w:val="left"/>
      <w:pPr>
        <w:ind w:left="1506" w:hanging="361"/>
      </w:pPr>
      <w:rPr>
        <w:rFonts w:hint="default"/>
        <w:lang w:val="en-US" w:eastAsia="en-US" w:bidi="ar-SA"/>
      </w:rPr>
    </w:lvl>
    <w:lvl w:ilvl="3" w:tplc="F808D70E">
      <w:numFmt w:val="bullet"/>
      <w:lvlText w:val="•"/>
      <w:lvlJc w:val="left"/>
      <w:pPr>
        <w:ind w:left="2069" w:hanging="361"/>
      </w:pPr>
      <w:rPr>
        <w:rFonts w:hint="default"/>
        <w:lang w:val="en-US" w:eastAsia="en-US" w:bidi="ar-SA"/>
      </w:rPr>
    </w:lvl>
    <w:lvl w:ilvl="4" w:tplc="BF747E42">
      <w:numFmt w:val="bullet"/>
      <w:lvlText w:val="•"/>
      <w:lvlJc w:val="left"/>
      <w:pPr>
        <w:ind w:left="2632" w:hanging="361"/>
      </w:pPr>
      <w:rPr>
        <w:rFonts w:hint="default"/>
        <w:lang w:val="en-US" w:eastAsia="en-US" w:bidi="ar-SA"/>
      </w:rPr>
    </w:lvl>
    <w:lvl w:ilvl="5" w:tplc="3886FD6E">
      <w:numFmt w:val="bullet"/>
      <w:lvlText w:val="•"/>
      <w:lvlJc w:val="left"/>
      <w:pPr>
        <w:ind w:left="3195" w:hanging="361"/>
      </w:pPr>
      <w:rPr>
        <w:rFonts w:hint="default"/>
        <w:lang w:val="en-US" w:eastAsia="en-US" w:bidi="ar-SA"/>
      </w:rPr>
    </w:lvl>
    <w:lvl w:ilvl="6" w:tplc="1DEADF1C">
      <w:numFmt w:val="bullet"/>
      <w:lvlText w:val="•"/>
      <w:lvlJc w:val="left"/>
      <w:pPr>
        <w:ind w:left="3758" w:hanging="361"/>
      </w:pPr>
      <w:rPr>
        <w:rFonts w:hint="default"/>
        <w:lang w:val="en-US" w:eastAsia="en-US" w:bidi="ar-SA"/>
      </w:rPr>
    </w:lvl>
    <w:lvl w:ilvl="7" w:tplc="DAE054DE">
      <w:numFmt w:val="bullet"/>
      <w:lvlText w:val="•"/>
      <w:lvlJc w:val="left"/>
      <w:pPr>
        <w:ind w:left="4321" w:hanging="361"/>
      </w:pPr>
      <w:rPr>
        <w:rFonts w:hint="default"/>
        <w:lang w:val="en-US" w:eastAsia="en-US" w:bidi="ar-SA"/>
      </w:rPr>
    </w:lvl>
    <w:lvl w:ilvl="8" w:tplc="18CA7378">
      <w:numFmt w:val="bullet"/>
      <w:lvlText w:val="•"/>
      <w:lvlJc w:val="left"/>
      <w:pPr>
        <w:ind w:left="4884" w:hanging="361"/>
      </w:pPr>
      <w:rPr>
        <w:rFonts w:hint="default"/>
        <w:lang w:val="en-US" w:eastAsia="en-US" w:bidi="ar-SA"/>
      </w:rPr>
    </w:lvl>
  </w:abstractNum>
  <w:abstractNum w:abstractNumId="19" w15:restartNumberingAfterBreak="0">
    <w:nsid w:val="202D25D5"/>
    <w:multiLevelType w:val="hybridMultilevel"/>
    <w:tmpl w:val="2E60A44C"/>
    <w:lvl w:ilvl="0" w:tplc="A89275C4">
      <w:numFmt w:val="bullet"/>
      <w:lvlText w:val=""/>
      <w:lvlJc w:val="left"/>
      <w:pPr>
        <w:ind w:left="958" w:hanging="361"/>
      </w:pPr>
      <w:rPr>
        <w:rFonts w:ascii="Symbol" w:eastAsia="Symbol" w:hAnsi="Symbol" w:cs="Symbol" w:hint="default"/>
        <w:b w:val="0"/>
        <w:bCs w:val="0"/>
        <w:i w:val="0"/>
        <w:iCs w:val="0"/>
        <w:w w:val="99"/>
        <w:sz w:val="24"/>
        <w:szCs w:val="24"/>
        <w:lang w:val="en-US" w:eastAsia="en-US" w:bidi="ar-SA"/>
      </w:rPr>
    </w:lvl>
    <w:lvl w:ilvl="1" w:tplc="4912CE46">
      <w:numFmt w:val="bullet"/>
      <w:lvlText w:val="•"/>
      <w:lvlJc w:val="left"/>
      <w:pPr>
        <w:ind w:left="1856" w:hanging="361"/>
      </w:pPr>
      <w:rPr>
        <w:rFonts w:hint="default"/>
        <w:lang w:val="en-US" w:eastAsia="en-US" w:bidi="ar-SA"/>
      </w:rPr>
    </w:lvl>
    <w:lvl w:ilvl="2" w:tplc="09C2A214">
      <w:numFmt w:val="bullet"/>
      <w:lvlText w:val="•"/>
      <w:lvlJc w:val="left"/>
      <w:pPr>
        <w:ind w:left="2752" w:hanging="361"/>
      </w:pPr>
      <w:rPr>
        <w:rFonts w:hint="default"/>
        <w:lang w:val="en-US" w:eastAsia="en-US" w:bidi="ar-SA"/>
      </w:rPr>
    </w:lvl>
    <w:lvl w:ilvl="3" w:tplc="53AECB8C">
      <w:numFmt w:val="bullet"/>
      <w:lvlText w:val="•"/>
      <w:lvlJc w:val="left"/>
      <w:pPr>
        <w:ind w:left="3649" w:hanging="361"/>
      </w:pPr>
      <w:rPr>
        <w:rFonts w:hint="default"/>
        <w:lang w:val="en-US" w:eastAsia="en-US" w:bidi="ar-SA"/>
      </w:rPr>
    </w:lvl>
    <w:lvl w:ilvl="4" w:tplc="72F0003E">
      <w:numFmt w:val="bullet"/>
      <w:lvlText w:val="•"/>
      <w:lvlJc w:val="left"/>
      <w:pPr>
        <w:ind w:left="4545" w:hanging="361"/>
      </w:pPr>
      <w:rPr>
        <w:rFonts w:hint="default"/>
        <w:lang w:val="en-US" w:eastAsia="en-US" w:bidi="ar-SA"/>
      </w:rPr>
    </w:lvl>
    <w:lvl w:ilvl="5" w:tplc="C8C26ADE">
      <w:numFmt w:val="bullet"/>
      <w:lvlText w:val="•"/>
      <w:lvlJc w:val="left"/>
      <w:pPr>
        <w:ind w:left="5442" w:hanging="361"/>
      </w:pPr>
      <w:rPr>
        <w:rFonts w:hint="default"/>
        <w:lang w:val="en-US" w:eastAsia="en-US" w:bidi="ar-SA"/>
      </w:rPr>
    </w:lvl>
    <w:lvl w:ilvl="6" w:tplc="22E4C8D6">
      <w:numFmt w:val="bullet"/>
      <w:lvlText w:val="•"/>
      <w:lvlJc w:val="left"/>
      <w:pPr>
        <w:ind w:left="6338" w:hanging="361"/>
      </w:pPr>
      <w:rPr>
        <w:rFonts w:hint="default"/>
        <w:lang w:val="en-US" w:eastAsia="en-US" w:bidi="ar-SA"/>
      </w:rPr>
    </w:lvl>
    <w:lvl w:ilvl="7" w:tplc="62362C42">
      <w:numFmt w:val="bullet"/>
      <w:lvlText w:val="•"/>
      <w:lvlJc w:val="left"/>
      <w:pPr>
        <w:ind w:left="7235" w:hanging="361"/>
      </w:pPr>
      <w:rPr>
        <w:rFonts w:hint="default"/>
        <w:lang w:val="en-US" w:eastAsia="en-US" w:bidi="ar-SA"/>
      </w:rPr>
    </w:lvl>
    <w:lvl w:ilvl="8" w:tplc="3A90038E">
      <w:numFmt w:val="bullet"/>
      <w:lvlText w:val="•"/>
      <w:lvlJc w:val="left"/>
      <w:pPr>
        <w:ind w:left="8131" w:hanging="361"/>
      </w:pPr>
      <w:rPr>
        <w:rFonts w:hint="default"/>
        <w:lang w:val="en-US" w:eastAsia="en-US" w:bidi="ar-SA"/>
      </w:rPr>
    </w:lvl>
  </w:abstractNum>
  <w:abstractNum w:abstractNumId="20" w15:restartNumberingAfterBreak="0">
    <w:nsid w:val="205044EF"/>
    <w:multiLevelType w:val="hybridMultilevel"/>
    <w:tmpl w:val="B2B44798"/>
    <w:lvl w:ilvl="0" w:tplc="1C04074C">
      <w:start w:val="6"/>
      <w:numFmt w:val="decimal"/>
      <w:lvlText w:val="%1."/>
      <w:lvlJc w:val="left"/>
      <w:pPr>
        <w:ind w:left="2649" w:hanging="851"/>
        <w:jc w:val="left"/>
      </w:pPr>
      <w:rPr>
        <w:rFonts w:ascii="Calibri" w:eastAsia="Calibri" w:hAnsi="Calibri" w:cs="Calibri" w:hint="default"/>
        <w:b/>
        <w:bCs/>
        <w:i w:val="0"/>
        <w:iCs w:val="0"/>
        <w:spacing w:val="-1"/>
        <w:w w:val="99"/>
        <w:sz w:val="24"/>
        <w:szCs w:val="24"/>
        <w:lang w:val="en-US" w:eastAsia="en-US" w:bidi="ar-SA"/>
      </w:rPr>
    </w:lvl>
    <w:lvl w:ilvl="1" w:tplc="5F14F232">
      <w:numFmt w:val="bullet"/>
      <w:lvlText w:val="•"/>
      <w:lvlJc w:val="left"/>
      <w:pPr>
        <w:ind w:left="3368" w:hanging="851"/>
      </w:pPr>
      <w:rPr>
        <w:rFonts w:hint="default"/>
        <w:lang w:val="en-US" w:eastAsia="en-US" w:bidi="ar-SA"/>
      </w:rPr>
    </w:lvl>
    <w:lvl w:ilvl="2" w:tplc="F68E368C">
      <w:numFmt w:val="bullet"/>
      <w:lvlText w:val="•"/>
      <w:lvlJc w:val="left"/>
      <w:pPr>
        <w:ind w:left="4096" w:hanging="851"/>
      </w:pPr>
      <w:rPr>
        <w:rFonts w:hint="default"/>
        <w:lang w:val="en-US" w:eastAsia="en-US" w:bidi="ar-SA"/>
      </w:rPr>
    </w:lvl>
    <w:lvl w:ilvl="3" w:tplc="FCB0829E">
      <w:numFmt w:val="bullet"/>
      <w:lvlText w:val="•"/>
      <w:lvlJc w:val="left"/>
      <w:pPr>
        <w:ind w:left="4825" w:hanging="851"/>
      </w:pPr>
      <w:rPr>
        <w:rFonts w:hint="default"/>
        <w:lang w:val="en-US" w:eastAsia="en-US" w:bidi="ar-SA"/>
      </w:rPr>
    </w:lvl>
    <w:lvl w:ilvl="4" w:tplc="5268D2CC">
      <w:numFmt w:val="bullet"/>
      <w:lvlText w:val="•"/>
      <w:lvlJc w:val="left"/>
      <w:pPr>
        <w:ind w:left="5553" w:hanging="851"/>
      </w:pPr>
      <w:rPr>
        <w:rFonts w:hint="default"/>
        <w:lang w:val="en-US" w:eastAsia="en-US" w:bidi="ar-SA"/>
      </w:rPr>
    </w:lvl>
    <w:lvl w:ilvl="5" w:tplc="9C76074A">
      <w:numFmt w:val="bullet"/>
      <w:lvlText w:val="•"/>
      <w:lvlJc w:val="left"/>
      <w:pPr>
        <w:ind w:left="6282" w:hanging="851"/>
      </w:pPr>
      <w:rPr>
        <w:rFonts w:hint="default"/>
        <w:lang w:val="en-US" w:eastAsia="en-US" w:bidi="ar-SA"/>
      </w:rPr>
    </w:lvl>
    <w:lvl w:ilvl="6" w:tplc="FD6A96F2">
      <w:numFmt w:val="bullet"/>
      <w:lvlText w:val="•"/>
      <w:lvlJc w:val="left"/>
      <w:pPr>
        <w:ind w:left="7010" w:hanging="851"/>
      </w:pPr>
      <w:rPr>
        <w:rFonts w:hint="default"/>
        <w:lang w:val="en-US" w:eastAsia="en-US" w:bidi="ar-SA"/>
      </w:rPr>
    </w:lvl>
    <w:lvl w:ilvl="7" w:tplc="6BD8ABC0">
      <w:numFmt w:val="bullet"/>
      <w:lvlText w:val="•"/>
      <w:lvlJc w:val="left"/>
      <w:pPr>
        <w:ind w:left="7739" w:hanging="851"/>
      </w:pPr>
      <w:rPr>
        <w:rFonts w:hint="default"/>
        <w:lang w:val="en-US" w:eastAsia="en-US" w:bidi="ar-SA"/>
      </w:rPr>
    </w:lvl>
    <w:lvl w:ilvl="8" w:tplc="53CEA186">
      <w:numFmt w:val="bullet"/>
      <w:lvlText w:val="•"/>
      <w:lvlJc w:val="left"/>
      <w:pPr>
        <w:ind w:left="8467" w:hanging="851"/>
      </w:pPr>
      <w:rPr>
        <w:rFonts w:hint="default"/>
        <w:lang w:val="en-US" w:eastAsia="en-US" w:bidi="ar-SA"/>
      </w:rPr>
    </w:lvl>
  </w:abstractNum>
  <w:abstractNum w:abstractNumId="21" w15:restartNumberingAfterBreak="0">
    <w:nsid w:val="20811F93"/>
    <w:multiLevelType w:val="hybridMultilevel"/>
    <w:tmpl w:val="E4287462"/>
    <w:lvl w:ilvl="0" w:tplc="44EEDFA2">
      <w:numFmt w:val="bullet"/>
      <w:lvlText w:val=""/>
      <w:lvlJc w:val="left"/>
      <w:pPr>
        <w:ind w:left="1940" w:hanging="851"/>
      </w:pPr>
      <w:rPr>
        <w:rFonts w:ascii="Symbol" w:eastAsia="Symbol" w:hAnsi="Symbol" w:cs="Symbol" w:hint="default"/>
        <w:b w:val="0"/>
        <w:bCs w:val="0"/>
        <w:i w:val="0"/>
        <w:iCs w:val="0"/>
        <w:w w:val="99"/>
        <w:sz w:val="24"/>
        <w:szCs w:val="24"/>
        <w:lang w:val="en-US" w:eastAsia="en-US" w:bidi="ar-SA"/>
      </w:rPr>
    </w:lvl>
    <w:lvl w:ilvl="1" w:tplc="FECC97F0">
      <w:numFmt w:val="bullet"/>
      <w:lvlText w:val="•"/>
      <w:lvlJc w:val="left"/>
      <w:pPr>
        <w:ind w:left="2738" w:hanging="851"/>
      </w:pPr>
      <w:rPr>
        <w:rFonts w:hint="default"/>
        <w:lang w:val="en-US" w:eastAsia="en-US" w:bidi="ar-SA"/>
      </w:rPr>
    </w:lvl>
    <w:lvl w:ilvl="2" w:tplc="7BBC6D0C">
      <w:numFmt w:val="bullet"/>
      <w:lvlText w:val="•"/>
      <w:lvlJc w:val="left"/>
      <w:pPr>
        <w:ind w:left="3536" w:hanging="851"/>
      </w:pPr>
      <w:rPr>
        <w:rFonts w:hint="default"/>
        <w:lang w:val="en-US" w:eastAsia="en-US" w:bidi="ar-SA"/>
      </w:rPr>
    </w:lvl>
    <w:lvl w:ilvl="3" w:tplc="D666B110">
      <w:numFmt w:val="bullet"/>
      <w:lvlText w:val="•"/>
      <w:lvlJc w:val="left"/>
      <w:pPr>
        <w:ind w:left="4335" w:hanging="851"/>
      </w:pPr>
      <w:rPr>
        <w:rFonts w:hint="default"/>
        <w:lang w:val="en-US" w:eastAsia="en-US" w:bidi="ar-SA"/>
      </w:rPr>
    </w:lvl>
    <w:lvl w:ilvl="4" w:tplc="3D0E9CF0">
      <w:numFmt w:val="bullet"/>
      <w:lvlText w:val="•"/>
      <w:lvlJc w:val="left"/>
      <w:pPr>
        <w:ind w:left="5133" w:hanging="851"/>
      </w:pPr>
      <w:rPr>
        <w:rFonts w:hint="default"/>
        <w:lang w:val="en-US" w:eastAsia="en-US" w:bidi="ar-SA"/>
      </w:rPr>
    </w:lvl>
    <w:lvl w:ilvl="5" w:tplc="3E4AF06C">
      <w:numFmt w:val="bullet"/>
      <w:lvlText w:val="•"/>
      <w:lvlJc w:val="left"/>
      <w:pPr>
        <w:ind w:left="5932" w:hanging="851"/>
      </w:pPr>
      <w:rPr>
        <w:rFonts w:hint="default"/>
        <w:lang w:val="en-US" w:eastAsia="en-US" w:bidi="ar-SA"/>
      </w:rPr>
    </w:lvl>
    <w:lvl w:ilvl="6" w:tplc="0AF47F1C">
      <w:numFmt w:val="bullet"/>
      <w:lvlText w:val="•"/>
      <w:lvlJc w:val="left"/>
      <w:pPr>
        <w:ind w:left="6730" w:hanging="851"/>
      </w:pPr>
      <w:rPr>
        <w:rFonts w:hint="default"/>
        <w:lang w:val="en-US" w:eastAsia="en-US" w:bidi="ar-SA"/>
      </w:rPr>
    </w:lvl>
    <w:lvl w:ilvl="7" w:tplc="EB3280FE">
      <w:numFmt w:val="bullet"/>
      <w:lvlText w:val="•"/>
      <w:lvlJc w:val="left"/>
      <w:pPr>
        <w:ind w:left="7529" w:hanging="851"/>
      </w:pPr>
      <w:rPr>
        <w:rFonts w:hint="default"/>
        <w:lang w:val="en-US" w:eastAsia="en-US" w:bidi="ar-SA"/>
      </w:rPr>
    </w:lvl>
    <w:lvl w:ilvl="8" w:tplc="395E34D0">
      <w:numFmt w:val="bullet"/>
      <w:lvlText w:val="•"/>
      <w:lvlJc w:val="left"/>
      <w:pPr>
        <w:ind w:left="8327" w:hanging="851"/>
      </w:pPr>
      <w:rPr>
        <w:rFonts w:hint="default"/>
        <w:lang w:val="en-US" w:eastAsia="en-US" w:bidi="ar-SA"/>
      </w:rPr>
    </w:lvl>
  </w:abstractNum>
  <w:abstractNum w:abstractNumId="22" w15:restartNumberingAfterBreak="0">
    <w:nsid w:val="20B87ADE"/>
    <w:multiLevelType w:val="hybridMultilevel"/>
    <w:tmpl w:val="CBDA26DA"/>
    <w:lvl w:ilvl="0" w:tplc="FE38550E">
      <w:start w:val="8"/>
      <w:numFmt w:val="decimal"/>
      <w:lvlText w:val="%1."/>
      <w:lvlJc w:val="left"/>
      <w:pPr>
        <w:ind w:left="2649" w:hanging="851"/>
        <w:jc w:val="left"/>
      </w:pPr>
      <w:rPr>
        <w:rFonts w:ascii="Calibri" w:eastAsia="Calibri" w:hAnsi="Calibri" w:cs="Calibri" w:hint="default"/>
        <w:b/>
        <w:bCs/>
        <w:i w:val="0"/>
        <w:iCs w:val="0"/>
        <w:spacing w:val="-1"/>
        <w:w w:val="99"/>
        <w:sz w:val="24"/>
        <w:szCs w:val="24"/>
        <w:lang w:val="en-US" w:eastAsia="en-US" w:bidi="ar-SA"/>
      </w:rPr>
    </w:lvl>
    <w:lvl w:ilvl="1" w:tplc="8556A33A">
      <w:start w:val="1"/>
      <w:numFmt w:val="lowerLetter"/>
      <w:lvlText w:val="(%2)"/>
      <w:lvlJc w:val="left"/>
      <w:pPr>
        <w:ind w:left="3642" w:hanging="852"/>
        <w:jc w:val="left"/>
      </w:pPr>
      <w:rPr>
        <w:rFonts w:ascii="Calibri" w:eastAsia="Calibri" w:hAnsi="Calibri" w:cs="Calibri" w:hint="default"/>
        <w:b w:val="0"/>
        <w:bCs w:val="0"/>
        <w:i w:val="0"/>
        <w:iCs w:val="0"/>
        <w:w w:val="99"/>
        <w:sz w:val="24"/>
        <w:szCs w:val="24"/>
        <w:u w:val="single" w:color="000000"/>
        <w:lang w:val="en-US" w:eastAsia="en-US" w:bidi="ar-SA"/>
      </w:rPr>
    </w:lvl>
    <w:lvl w:ilvl="2" w:tplc="8E30704E">
      <w:numFmt w:val="bullet"/>
      <w:lvlText w:val="•"/>
      <w:lvlJc w:val="left"/>
      <w:pPr>
        <w:ind w:left="4338" w:hanging="852"/>
      </w:pPr>
      <w:rPr>
        <w:rFonts w:hint="default"/>
        <w:lang w:val="en-US" w:eastAsia="en-US" w:bidi="ar-SA"/>
      </w:rPr>
    </w:lvl>
    <w:lvl w:ilvl="3" w:tplc="F34682F2">
      <w:numFmt w:val="bullet"/>
      <w:lvlText w:val="•"/>
      <w:lvlJc w:val="left"/>
      <w:pPr>
        <w:ind w:left="5036" w:hanging="852"/>
      </w:pPr>
      <w:rPr>
        <w:rFonts w:hint="default"/>
        <w:lang w:val="en-US" w:eastAsia="en-US" w:bidi="ar-SA"/>
      </w:rPr>
    </w:lvl>
    <w:lvl w:ilvl="4" w:tplc="F0C0A040">
      <w:numFmt w:val="bullet"/>
      <w:lvlText w:val="•"/>
      <w:lvlJc w:val="left"/>
      <w:pPr>
        <w:ind w:left="5734" w:hanging="852"/>
      </w:pPr>
      <w:rPr>
        <w:rFonts w:hint="default"/>
        <w:lang w:val="en-US" w:eastAsia="en-US" w:bidi="ar-SA"/>
      </w:rPr>
    </w:lvl>
    <w:lvl w:ilvl="5" w:tplc="42424BA2">
      <w:numFmt w:val="bullet"/>
      <w:lvlText w:val="•"/>
      <w:lvlJc w:val="left"/>
      <w:pPr>
        <w:ind w:left="6433" w:hanging="852"/>
      </w:pPr>
      <w:rPr>
        <w:rFonts w:hint="default"/>
        <w:lang w:val="en-US" w:eastAsia="en-US" w:bidi="ar-SA"/>
      </w:rPr>
    </w:lvl>
    <w:lvl w:ilvl="6" w:tplc="F52C60B0">
      <w:numFmt w:val="bullet"/>
      <w:lvlText w:val="•"/>
      <w:lvlJc w:val="left"/>
      <w:pPr>
        <w:ind w:left="7131" w:hanging="852"/>
      </w:pPr>
      <w:rPr>
        <w:rFonts w:hint="default"/>
        <w:lang w:val="en-US" w:eastAsia="en-US" w:bidi="ar-SA"/>
      </w:rPr>
    </w:lvl>
    <w:lvl w:ilvl="7" w:tplc="948C626A">
      <w:numFmt w:val="bullet"/>
      <w:lvlText w:val="•"/>
      <w:lvlJc w:val="left"/>
      <w:pPr>
        <w:ind w:left="7829" w:hanging="852"/>
      </w:pPr>
      <w:rPr>
        <w:rFonts w:hint="default"/>
        <w:lang w:val="en-US" w:eastAsia="en-US" w:bidi="ar-SA"/>
      </w:rPr>
    </w:lvl>
    <w:lvl w:ilvl="8" w:tplc="09FC44A0">
      <w:numFmt w:val="bullet"/>
      <w:lvlText w:val="•"/>
      <w:lvlJc w:val="left"/>
      <w:pPr>
        <w:ind w:left="8527" w:hanging="852"/>
      </w:pPr>
      <w:rPr>
        <w:rFonts w:hint="default"/>
        <w:lang w:val="en-US" w:eastAsia="en-US" w:bidi="ar-SA"/>
      </w:rPr>
    </w:lvl>
  </w:abstractNum>
  <w:abstractNum w:abstractNumId="23" w15:restartNumberingAfterBreak="0">
    <w:nsid w:val="20FC13B5"/>
    <w:multiLevelType w:val="hybridMultilevel"/>
    <w:tmpl w:val="67C45582"/>
    <w:lvl w:ilvl="0" w:tplc="BBBCB912">
      <w:start w:val="2"/>
      <w:numFmt w:val="decimal"/>
      <w:lvlText w:val="%1"/>
      <w:lvlJc w:val="left"/>
      <w:pPr>
        <w:ind w:left="237" w:hanging="413"/>
        <w:jc w:val="left"/>
      </w:pPr>
      <w:rPr>
        <w:rFonts w:hint="default"/>
        <w:lang w:val="en-US" w:eastAsia="en-US" w:bidi="ar-SA"/>
      </w:rPr>
    </w:lvl>
    <w:lvl w:ilvl="1" w:tplc="6AC6B42E">
      <w:start w:val="2"/>
      <w:numFmt w:val="decimal"/>
      <w:lvlText w:val="%1.%2"/>
      <w:lvlJc w:val="left"/>
      <w:pPr>
        <w:ind w:left="237" w:hanging="413"/>
        <w:jc w:val="left"/>
      </w:pPr>
      <w:rPr>
        <w:rFonts w:ascii="Calibri" w:eastAsia="Calibri" w:hAnsi="Calibri" w:cs="Calibri" w:hint="default"/>
        <w:b w:val="0"/>
        <w:bCs w:val="0"/>
        <w:i w:val="0"/>
        <w:iCs w:val="0"/>
        <w:w w:val="99"/>
        <w:sz w:val="24"/>
        <w:szCs w:val="24"/>
        <w:lang w:val="en-US" w:eastAsia="en-US" w:bidi="ar-SA"/>
      </w:rPr>
    </w:lvl>
    <w:lvl w:ilvl="2" w:tplc="E3280B1C">
      <w:numFmt w:val="bullet"/>
      <w:lvlText w:val=""/>
      <w:lvlJc w:val="left"/>
      <w:pPr>
        <w:ind w:left="1939" w:hanging="851"/>
      </w:pPr>
      <w:rPr>
        <w:rFonts w:ascii="Symbol" w:eastAsia="Symbol" w:hAnsi="Symbol" w:cs="Symbol" w:hint="default"/>
        <w:b w:val="0"/>
        <w:bCs w:val="0"/>
        <w:i w:val="0"/>
        <w:iCs w:val="0"/>
        <w:w w:val="99"/>
        <w:sz w:val="24"/>
        <w:szCs w:val="24"/>
        <w:lang w:val="en-US" w:eastAsia="en-US" w:bidi="ar-SA"/>
      </w:rPr>
    </w:lvl>
    <w:lvl w:ilvl="3" w:tplc="A3325E76">
      <w:numFmt w:val="bullet"/>
      <w:lvlText w:val="•"/>
      <w:lvlJc w:val="left"/>
      <w:pPr>
        <w:ind w:left="3714" w:hanging="851"/>
      </w:pPr>
      <w:rPr>
        <w:rFonts w:hint="default"/>
        <w:lang w:val="en-US" w:eastAsia="en-US" w:bidi="ar-SA"/>
      </w:rPr>
    </w:lvl>
    <w:lvl w:ilvl="4" w:tplc="62387F2C">
      <w:numFmt w:val="bullet"/>
      <w:lvlText w:val="•"/>
      <w:lvlJc w:val="left"/>
      <w:pPr>
        <w:ind w:left="4601" w:hanging="851"/>
      </w:pPr>
      <w:rPr>
        <w:rFonts w:hint="default"/>
        <w:lang w:val="en-US" w:eastAsia="en-US" w:bidi="ar-SA"/>
      </w:rPr>
    </w:lvl>
    <w:lvl w:ilvl="5" w:tplc="52367088">
      <w:numFmt w:val="bullet"/>
      <w:lvlText w:val="•"/>
      <w:lvlJc w:val="left"/>
      <w:pPr>
        <w:ind w:left="5488" w:hanging="851"/>
      </w:pPr>
      <w:rPr>
        <w:rFonts w:hint="default"/>
        <w:lang w:val="en-US" w:eastAsia="en-US" w:bidi="ar-SA"/>
      </w:rPr>
    </w:lvl>
    <w:lvl w:ilvl="6" w:tplc="9760D9BA">
      <w:numFmt w:val="bullet"/>
      <w:lvlText w:val="•"/>
      <w:lvlJc w:val="left"/>
      <w:pPr>
        <w:ind w:left="6375" w:hanging="851"/>
      </w:pPr>
      <w:rPr>
        <w:rFonts w:hint="default"/>
        <w:lang w:val="en-US" w:eastAsia="en-US" w:bidi="ar-SA"/>
      </w:rPr>
    </w:lvl>
    <w:lvl w:ilvl="7" w:tplc="488ECD08">
      <w:numFmt w:val="bullet"/>
      <w:lvlText w:val="•"/>
      <w:lvlJc w:val="left"/>
      <w:pPr>
        <w:ind w:left="7262" w:hanging="851"/>
      </w:pPr>
      <w:rPr>
        <w:rFonts w:hint="default"/>
        <w:lang w:val="en-US" w:eastAsia="en-US" w:bidi="ar-SA"/>
      </w:rPr>
    </w:lvl>
    <w:lvl w:ilvl="8" w:tplc="2A4C1EC6">
      <w:numFmt w:val="bullet"/>
      <w:lvlText w:val="•"/>
      <w:lvlJc w:val="left"/>
      <w:pPr>
        <w:ind w:left="8150" w:hanging="851"/>
      </w:pPr>
      <w:rPr>
        <w:rFonts w:hint="default"/>
        <w:lang w:val="en-US" w:eastAsia="en-US" w:bidi="ar-SA"/>
      </w:rPr>
    </w:lvl>
  </w:abstractNum>
  <w:abstractNum w:abstractNumId="24" w15:restartNumberingAfterBreak="0">
    <w:nsid w:val="23AA62BD"/>
    <w:multiLevelType w:val="hybridMultilevel"/>
    <w:tmpl w:val="81BC882E"/>
    <w:lvl w:ilvl="0" w:tplc="E962E574">
      <w:start w:val="1"/>
      <w:numFmt w:val="lowerRoman"/>
      <w:lvlText w:val="(%1)"/>
      <w:lvlJc w:val="left"/>
      <w:pPr>
        <w:ind w:left="237" w:hanging="258"/>
        <w:jc w:val="left"/>
      </w:pPr>
      <w:rPr>
        <w:rFonts w:ascii="Calibri" w:eastAsia="Calibri" w:hAnsi="Calibri" w:cs="Calibri" w:hint="default"/>
        <w:b w:val="0"/>
        <w:bCs w:val="0"/>
        <w:i w:val="0"/>
        <w:iCs w:val="0"/>
        <w:w w:val="99"/>
        <w:sz w:val="24"/>
        <w:szCs w:val="24"/>
        <w:lang w:val="en-US" w:eastAsia="en-US" w:bidi="ar-SA"/>
      </w:rPr>
    </w:lvl>
    <w:lvl w:ilvl="1" w:tplc="57749352">
      <w:numFmt w:val="bullet"/>
      <w:lvlText w:val="•"/>
      <w:lvlJc w:val="left"/>
      <w:pPr>
        <w:ind w:left="1208" w:hanging="258"/>
      </w:pPr>
      <w:rPr>
        <w:rFonts w:hint="default"/>
        <w:lang w:val="en-US" w:eastAsia="en-US" w:bidi="ar-SA"/>
      </w:rPr>
    </w:lvl>
    <w:lvl w:ilvl="2" w:tplc="1974BB6E">
      <w:numFmt w:val="bullet"/>
      <w:lvlText w:val="•"/>
      <w:lvlJc w:val="left"/>
      <w:pPr>
        <w:ind w:left="2176" w:hanging="258"/>
      </w:pPr>
      <w:rPr>
        <w:rFonts w:hint="default"/>
        <w:lang w:val="en-US" w:eastAsia="en-US" w:bidi="ar-SA"/>
      </w:rPr>
    </w:lvl>
    <w:lvl w:ilvl="3" w:tplc="03066CF2">
      <w:numFmt w:val="bullet"/>
      <w:lvlText w:val="•"/>
      <w:lvlJc w:val="left"/>
      <w:pPr>
        <w:ind w:left="3145" w:hanging="258"/>
      </w:pPr>
      <w:rPr>
        <w:rFonts w:hint="default"/>
        <w:lang w:val="en-US" w:eastAsia="en-US" w:bidi="ar-SA"/>
      </w:rPr>
    </w:lvl>
    <w:lvl w:ilvl="4" w:tplc="D7687038">
      <w:numFmt w:val="bullet"/>
      <w:lvlText w:val="•"/>
      <w:lvlJc w:val="left"/>
      <w:pPr>
        <w:ind w:left="4113" w:hanging="258"/>
      </w:pPr>
      <w:rPr>
        <w:rFonts w:hint="default"/>
        <w:lang w:val="en-US" w:eastAsia="en-US" w:bidi="ar-SA"/>
      </w:rPr>
    </w:lvl>
    <w:lvl w:ilvl="5" w:tplc="86FCFC66">
      <w:numFmt w:val="bullet"/>
      <w:lvlText w:val="•"/>
      <w:lvlJc w:val="left"/>
      <w:pPr>
        <w:ind w:left="5082" w:hanging="258"/>
      </w:pPr>
      <w:rPr>
        <w:rFonts w:hint="default"/>
        <w:lang w:val="en-US" w:eastAsia="en-US" w:bidi="ar-SA"/>
      </w:rPr>
    </w:lvl>
    <w:lvl w:ilvl="6" w:tplc="A22C077A">
      <w:numFmt w:val="bullet"/>
      <w:lvlText w:val="•"/>
      <w:lvlJc w:val="left"/>
      <w:pPr>
        <w:ind w:left="6050" w:hanging="258"/>
      </w:pPr>
      <w:rPr>
        <w:rFonts w:hint="default"/>
        <w:lang w:val="en-US" w:eastAsia="en-US" w:bidi="ar-SA"/>
      </w:rPr>
    </w:lvl>
    <w:lvl w:ilvl="7" w:tplc="4140C6B8">
      <w:numFmt w:val="bullet"/>
      <w:lvlText w:val="•"/>
      <w:lvlJc w:val="left"/>
      <w:pPr>
        <w:ind w:left="7019" w:hanging="258"/>
      </w:pPr>
      <w:rPr>
        <w:rFonts w:hint="default"/>
        <w:lang w:val="en-US" w:eastAsia="en-US" w:bidi="ar-SA"/>
      </w:rPr>
    </w:lvl>
    <w:lvl w:ilvl="8" w:tplc="25FC9E38">
      <w:numFmt w:val="bullet"/>
      <w:lvlText w:val="•"/>
      <w:lvlJc w:val="left"/>
      <w:pPr>
        <w:ind w:left="7987" w:hanging="258"/>
      </w:pPr>
      <w:rPr>
        <w:rFonts w:hint="default"/>
        <w:lang w:val="en-US" w:eastAsia="en-US" w:bidi="ar-SA"/>
      </w:rPr>
    </w:lvl>
  </w:abstractNum>
  <w:abstractNum w:abstractNumId="25" w15:restartNumberingAfterBreak="0">
    <w:nsid w:val="2432491D"/>
    <w:multiLevelType w:val="hybridMultilevel"/>
    <w:tmpl w:val="24647874"/>
    <w:lvl w:ilvl="0" w:tplc="68CCCD02">
      <w:numFmt w:val="bullet"/>
      <w:lvlText w:val=""/>
      <w:lvlJc w:val="left"/>
      <w:pPr>
        <w:ind w:left="1938" w:hanging="851"/>
      </w:pPr>
      <w:rPr>
        <w:rFonts w:ascii="Symbol" w:eastAsia="Symbol" w:hAnsi="Symbol" w:cs="Symbol" w:hint="default"/>
        <w:b w:val="0"/>
        <w:bCs w:val="0"/>
        <w:i w:val="0"/>
        <w:iCs w:val="0"/>
        <w:w w:val="99"/>
        <w:sz w:val="24"/>
        <w:szCs w:val="24"/>
        <w:lang w:val="en-US" w:eastAsia="en-US" w:bidi="ar-SA"/>
      </w:rPr>
    </w:lvl>
    <w:lvl w:ilvl="1" w:tplc="66765448">
      <w:numFmt w:val="bullet"/>
      <w:lvlText w:val="•"/>
      <w:lvlJc w:val="left"/>
      <w:pPr>
        <w:ind w:left="2738" w:hanging="851"/>
      </w:pPr>
      <w:rPr>
        <w:rFonts w:hint="default"/>
        <w:lang w:val="en-US" w:eastAsia="en-US" w:bidi="ar-SA"/>
      </w:rPr>
    </w:lvl>
    <w:lvl w:ilvl="2" w:tplc="B916FE2E">
      <w:numFmt w:val="bullet"/>
      <w:lvlText w:val="•"/>
      <w:lvlJc w:val="left"/>
      <w:pPr>
        <w:ind w:left="3536" w:hanging="851"/>
      </w:pPr>
      <w:rPr>
        <w:rFonts w:hint="default"/>
        <w:lang w:val="en-US" w:eastAsia="en-US" w:bidi="ar-SA"/>
      </w:rPr>
    </w:lvl>
    <w:lvl w:ilvl="3" w:tplc="F70AEF76">
      <w:numFmt w:val="bullet"/>
      <w:lvlText w:val="•"/>
      <w:lvlJc w:val="left"/>
      <w:pPr>
        <w:ind w:left="4335" w:hanging="851"/>
      </w:pPr>
      <w:rPr>
        <w:rFonts w:hint="default"/>
        <w:lang w:val="en-US" w:eastAsia="en-US" w:bidi="ar-SA"/>
      </w:rPr>
    </w:lvl>
    <w:lvl w:ilvl="4" w:tplc="28FA6AB0">
      <w:numFmt w:val="bullet"/>
      <w:lvlText w:val="•"/>
      <w:lvlJc w:val="left"/>
      <w:pPr>
        <w:ind w:left="5133" w:hanging="851"/>
      </w:pPr>
      <w:rPr>
        <w:rFonts w:hint="default"/>
        <w:lang w:val="en-US" w:eastAsia="en-US" w:bidi="ar-SA"/>
      </w:rPr>
    </w:lvl>
    <w:lvl w:ilvl="5" w:tplc="8202041E">
      <w:numFmt w:val="bullet"/>
      <w:lvlText w:val="•"/>
      <w:lvlJc w:val="left"/>
      <w:pPr>
        <w:ind w:left="5932" w:hanging="851"/>
      </w:pPr>
      <w:rPr>
        <w:rFonts w:hint="default"/>
        <w:lang w:val="en-US" w:eastAsia="en-US" w:bidi="ar-SA"/>
      </w:rPr>
    </w:lvl>
    <w:lvl w:ilvl="6" w:tplc="3AEE05EA">
      <w:numFmt w:val="bullet"/>
      <w:lvlText w:val="•"/>
      <w:lvlJc w:val="left"/>
      <w:pPr>
        <w:ind w:left="6730" w:hanging="851"/>
      </w:pPr>
      <w:rPr>
        <w:rFonts w:hint="default"/>
        <w:lang w:val="en-US" w:eastAsia="en-US" w:bidi="ar-SA"/>
      </w:rPr>
    </w:lvl>
    <w:lvl w:ilvl="7" w:tplc="3648B02C">
      <w:numFmt w:val="bullet"/>
      <w:lvlText w:val="•"/>
      <w:lvlJc w:val="left"/>
      <w:pPr>
        <w:ind w:left="7529" w:hanging="851"/>
      </w:pPr>
      <w:rPr>
        <w:rFonts w:hint="default"/>
        <w:lang w:val="en-US" w:eastAsia="en-US" w:bidi="ar-SA"/>
      </w:rPr>
    </w:lvl>
    <w:lvl w:ilvl="8" w:tplc="17880E00">
      <w:numFmt w:val="bullet"/>
      <w:lvlText w:val="•"/>
      <w:lvlJc w:val="left"/>
      <w:pPr>
        <w:ind w:left="8327" w:hanging="851"/>
      </w:pPr>
      <w:rPr>
        <w:rFonts w:hint="default"/>
        <w:lang w:val="en-US" w:eastAsia="en-US" w:bidi="ar-SA"/>
      </w:rPr>
    </w:lvl>
  </w:abstractNum>
  <w:abstractNum w:abstractNumId="26" w15:restartNumberingAfterBreak="0">
    <w:nsid w:val="270F15FD"/>
    <w:multiLevelType w:val="hybridMultilevel"/>
    <w:tmpl w:val="59C40716"/>
    <w:lvl w:ilvl="0" w:tplc="3D2A078C">
      <w:numFmt w:val="bullet"/>
      <w:lvlText w:val=""/>
      <w:lvlJc w:val="left"/>
      <w:pPr>
        <w:ind w:left="1939" w:hanging="851"/>
      </w:pPr>
      <w:rPr>
        <w:rFonts w:ascii="Symbol" w:eastAsia="Symbol" w:hAnsi="Symbol" w:cs="Symbol" w:hint="default"/>
        <w:b w:val="0"/>
        <w:bCs w:val="0"/>
        <w:i w:val="0"/>
        <w:iCs w:val="0"/>
        <w:w w:val="99"/>
        <w:sz w:val="24"/>
        <w:szCs w:val="24"/>
        <w:lang w:val="en-US" w:eastAsia="en-US" w:bidi="ar-SA"/>
      </w:rPr>
    </w:lvl>
    <w:lvl w:ilvl="1" w:tplc="D638C002">
      <w:numFmt w:val="bullet"/>
      <w:lvlText w:val="•"/>
      <w:lvlJc w:val="left"/>
      <w:pPr>
        <w:ind w:left="2738" w:hanging="851"/>
      </w:pPr>
      <w:rPr>
        <w:rFonts w:hint="default"/>
        <w:lang w:val="en-US" w:eastAsia="en-US" w:bidi="ar-SA"/>
      </w:rPr>
    </w:lvl>
    <w:lvl w:ilvl="2" w:tplc="831A08BA">
      <w:numFmt w:val="bullet"/>
      <w:lvlText w:val="•"/>
      <w:lvlJc w:val="left"/>
      <w:pPr>
        <w:ind w:left="3536" w:hanging="851"/>
      </w:pPr>
      <w:rPr>
        <w:rFonts w:hint="default"/>
        <w:lang w:val="en-US" w:eastAsia="en-US" w:bidi="ar-SA"/>
      </w:rPr>
    </w:lvl>
    <w:lvl w:ilvl="3" w:tplc="0A00121C">
      <w:numFmt w:val="bullet"/>
      <w:lvlText w:val="•"/>
      <w:lvlJc w:val="left"/>
      <w:pPr>
        <w:ind w:left="4335" w:hanging="851"/>
      </w:pPr>
      <w:rPr>
        <w:rFonts w:hint="default"/>
        <w:lang w:val="en-US" w:eastAsia="en-US" w:bidi="ar-SA"/>
      </w:rPr>
    </w:lvl>
    <w:lvl w:ilvl="4" w:tplc="27008A42">
      <w:numFmt w:val="bullet"/>
      <w:lvlText w:val="•"/>
      <w:lvlJc w:val="left"/>
      <w:pPr>
        <w:ind w:left="5133" w:hanging="851"/>
      </w:pPr>
      <w:rPr>
        <w:rFonts w:hint="default"/>
        <w:lang w:val="en-US" w:eastAsia="en-US" w:bidi="ar-SA"/>
      </w:rPr>
    </w:lvl>
    <w:lvl w:ilvl="5" w:tplc="715C6C1A">
      <w:numFmt w:val="bullet"/>
      <w:lvlText w:val="•"/>
      <w:lvlJc w:val="left"/>
      <w:pPr>
        <w:ind w:left="5932" w:hanging="851"/>
      </w:pPr>
      <w:rPr>
        <w:rFonts w:hint="default"/>
        <w:lang w:val="en-US" w:eastAsia="en-US" w:bidi="ar-SA"/>
      </w:rPr>
    </w:lvl>
    <w:lvl w:ilvl="6" w:tplc="8B4E9EBA">
      <w:numFmt w:val="bullet"/>
      <w:lvlText w:val="•"/>
      <w:lvlJc w:val="left"/>
      <w:pPr>
        <w:ind w:left="6730" w:hanging="851"/>
      </w:pPr>
      <w:rPr>
        <w:rFonts w:hint="default"/>
        <w:lang w:val="en-US" w:eastAsia="en-US" w:bidi="ar-SA"/>
      </w:rPr>
    </w:lvl>
    <w:lvl w:ilvl="7" w:tplc="BD4472A8">
      <w:numFmt w:val="bullet"/>
      <w:lvlText w:val="•"/>
      <w:lvlJc w:val="left"/>
      <w:pPr>
        <w:ind w:left="7529" w:hanging="851"/>
      </w:pPr>
      <w:rPr>
        <w:rFonts w:hint="default"/>
        <w:lang w:val="en-US" w:eastAsia="en-US" w:bidi="ar-SA"/>
      </w:rPr>
    </w:lvl>
    <w:lvl w:ilvl="8" w:tplc="14AA22A6">
      <w:numFmt w:val="bullet"/>
      <w:lvlText w:val="•"/>
      <w:lvlJc w:val="left"/>
      <w:pPr>
        <w:ind w:left="8327" w:hanging="851"/>
      </w:pPr>
      <w:rPr>
        <w:rFonts w:hint="default"/>
        <w:lang w:val="en-US" w:eastAsia="en-US" w:bidi="ar-SA"/>
      </w:rPr>
    </w:lvl>
  </w:abstractNum>
  <w:abstractNum w:abstractNumId="27" w15:restartNumberingAfterBreak="0">
    <w:nsid w:val="296E1982"/>
    <w:multiLevelType w:val="hybridMultilevel"/>
    <w:tmpl w:val="7B68DE16"/>
    <w:lvl w:ilvl="0" w:tplc="73C233CE">
      <w:numFmt w:val="bullet"/>
      <w:lvlText w:val="•"/>
      <w:lvlJc w:val="left"/>
      <w:pPr>
        <w:ind w:left="1830" w:hanging="842"/>
      </w:pPr>
      <w:rPr>
        <w:rFonts w:ascii="Calibri" w:eastAsia="Calibri" w:hAnsi="Calibri" w:cs="Calibri" w:hint="default"/>
        <w:b w:val="0"/>
        <w:bCs w:val="0"/>
        <w:i w:val="0"/>
        <w:iCs w:val="0"/>
        <w:color w:val="0D0D0D"/>
        <w:w w:val="83"/>
        <w:sz w:val="24"/>
        <w:szCs w:val="24"/>
        <w:lang w:val="en-US" w:eastAsia="en-US" w:bidi="ar-SA"/>
      </w:rPr>
    </w:lvl>
    <w:lvl w:ilvl="1" w:tplc="BB402CFA">
      <w:numFmt w:val="bullet"/>
      <w:lvlText w:val="•"/>
      <w:lvlJc w:val="left"/>
      <w:pPr>
        <w:ind w:left="2587" w:hanging="842"/>
      </w:pPr>
      <w:rPr>
        <w:rFonts w:hint="default"/>
        <w:lang w:val="en-US" w:eastAsia="en-US" w:bidi="ar-SA"/>
      </w:rPr>
    </w:lvl>
    <w:lvl w:ilvl="2" w:tplc="EF1CC812">
      <w:numFmt w:val="bullet"/>
      <w:lvlText w:val="•"/>
      <w:lvlJc w:val="left"/>
      <w:pPr>
        <w:ind w:left="3335" w:hanging="842"/>
      </w:pPr>
      <w:rPr>
        <w:rFonts w:hint="default"/>
        <w:lang w:val="en-US" w:eastAsia="en-US" w:bidi="ar-SA"/>
      </w:rPr>
    </w:lvl>
    <w:lvl w:ilvl="3" w:tplc="0212D654">
      <w:numFmt w:val="bullet"/>
      <w:lvlText w:val="•"/>
      <w:lvlJc w:val="left"/>
      <w:pPr>
        <w:ind w:left="4082" w:hanging="842"/>
      </w:pPr>
      <w:rPr>
        <w:rFonts w:hint="default"/>
        <w:lang w:val="en-US" w:eastAsia="en-US" w:bidi="ar-SA"/>
      </w:rPr>
    </w:lvl>
    <w:lvl w:ilvl="4" w:tplc="0EE23024">
      <w:numFmt w:val="bullet"/>
      <w:lvlText w:val="•"/>
      <w:lvlJc w:val="left"/>
      <w:pPr>
        <w:ind w:left="4830" w:hanging="842"/>
      </w:pPr>
      <w:rPr>
        <w:rFonts w:hint="default"/>
        <w:lang w:val="en-US" w:eastAsia="en-US" w:bidi="ar-SA"/>
      </w:rPr>
    </w:lvl>
    <w:lvl w:ilvl="5" w:tplc="653C249E">
      <w:numFmt w:val="bullet"/>
      <w:lvlText w:val="•"/>
      <w:lvlJc w:val="left"/>
      <w:pPr>
        <w:ind w:left="5578" w:hanging="842"/>
      </w:pPr>
      <w:rPr>
        <w:rFonts w:hint="default"/>
        <w:lang w:val="en-US" w:eastAsia="en-US" w:bidi="ar-SA"/>
      </w:rPr>
    </w:lvl>
    <w:lvl w:ilvl="6" w:tplc="0B2C02FA">
      <w:numFmt w:val="bullet"/>
      <w:lvlText w:val="•"/>
      <w:lvlJc w:val="left"/>
      <w:pPr>
        <w:ind w:left="6325" w:hanging="842"/>
      </w:pPr>
      <w:rPr>
        <w:rFonts w:hint="default"/>
        <w:lang w:val="en-US" w:eastAsia="en-US" w:bidi="ar-SA"/>
      </w:rPr>
    </w:lvl>
    <w:lvl w:ilvl="7" w:tplc="9E1ACADE">
      <w:numFmt w:val="bullet"/>
      <w:lvlText w:val="•"/>
      <w:lvlJc w:val="left"/>
      <w:pPr>
        <w:ind w:left="7073" w:hanging="842"/>
      </w:pPr>
      <w:rPr>
        <w:rFonts w:hint="default"/>
        <w:lang w:val="en-US" w:eastAsia="en-US" w:bidi="ar-SA"/>
      </w:rPr>
    </w:lvl>
    <w:lvl w:ilvl="8" w:tplc="46E2D310">
      <w:numFmt w:val="bullet"/>
      <w:lvlText w:val="•"/>
      <w:lvlJc w:val="left"/>
      <w:pPr>
        <w:ind w:left="7820" w:hanging="842"/>
      </w:pPr>
      <w:rPr>
        <w:rFonts w:hint="default"/>
        <w:lang w:val="en-US" w:eastAsia="en-US" w:bidi="ar-SA"/>
      </w:rPr>
    </w:lvl>
  </w:abstractNum>
  <w:abstractNum w:abstractNumId="28" w15:restartNumberingAfterBreak="0">
    <w:nsid w:val="2B2F638E"/>
    <w:multiLevelType w:val="hybridMultilevel"/>
    <w:tmpl w:val="F652325C"/>
    <w:lvl w:ilvl="0" w:tplc="440E40F0">
      <w:numFmt w:val="bullet"/>
      <w:lvlText w:val=""/>
      <w:lvlJc w:val="left"/>
      <w:pPr>
        <w:ind w:left="1808" w:hanging="361"/>
      </w:pPr>
      <w:rPr>
        <w:rFonts w:ascii="Symbol" w:eastAsia="Symbol" w:hAnsi="Symbol" w:cs="Symbol" w:hint="default"/>
        <w:b w:val="0"/>
        <w:bCs w:val="0"/>
        <w:i w:val="0"/>
        <w:iCs w:val="0"/>
        <w:w w:val="99"/>
        <w:sz w:val="24"/>
        <w:szCs w:val="24"/>
        <w:lang w:val="en-US" w:eastAsia="en-US" w:bidi="ar-SA"/>
      </w:rPr>
    </w:lvl>
    <w:lvl w:ilvl="1" w:tplc="9328DE4A">
      <w:numFmt w:val="bullet"/>
      <w:lvlText w:val="•"/>
      <w:lvlJc w:val="left"/>
      <w:pPr>
        <w:ind w:left="2612" w:hanging="361"/>
      </w:pPr>
      <w:rPr>
        <w:rFonts w:hint="default"/>
        <w:lang w:val="en-US" w:eastAsia="en-US" w:bidi="ar-SA"/>
      </w:rPr>
    </w:lvl>
    <w:lvl w:ilvl="2" w:tplc="767A8984">
      <w:numFmt w:val="bullet"/>
      <w:lvlText w:val="•"/>
      <w:lvlJc w:val="left"/>
      <w:pPr>
        <w:ind w:left="3424" w:hanging="361"/>
      </w:pPr>
      <w:rPr>
        <w:rFonts w:hint="default"/>
        <w:lang w:val="en-US" w:eastAsia="en-US" w:bidi="ar-SA"/>
      </w:rPr>
    </w:lvl>
    <w:lvl w:ilvl="3" w:tplc="F2BA8D3E">
      <w:numFmt w:val="bullet"/>
      <w:lvlText w:val="•"/>
      <w:lvlJc w:val="left"/>
      <w:pPr>
        <w:ind w:left="4237" w:hanging="361"/>
      </w:pPr>
      <w:rPr>
        <w:rFonts w:hint="default"/>
        <w:lang w:val="en-US" w:eastAsia="en-US" w:bidi="ar-SA"/>
      </w:rPr>
    </w:lvl>
    <w:lvl w:ilvl="4" w:tplc="F5704D00">
      <w:numFmt w:val="bullet"/>
      <w:lvlText w:val="•"/>
      <w:lvlJc w:val="left"/>
      <w:pPr>
        <w:ind w:left="5049" w:hanging="361"/>
      </w:pPr>
      <w:rPr>
        <w:rFonts w:hint="default"/>
        <w:lang w:val="en-US" w:eastAsia="en-US" w:bidi="ar-SA"/>
      </w:rPr>
    </w:lvl>
    <w:lvl w:ilvl="5" w:tplc="61685CE4">
      <w:numFmt w:val="bullet"/>
      <w:lvlText w:val="•"/>
      <w:lvlJc w:val="left"/>
      <w:pPr>
        <w:ind w:left="5862" w:hanging="361"/>
      </w:pPr>
      <w:rPr>
        <w:rFonts w:hint="default"/>
        <w:lang w:val="en-US" w:eastAsia="en-US" w:bidi="ar-SA"/>
      </w:rPr>
    </w:lvl>
    <w:lvl w:ilvl="6" w:tplc="F64A057E">
      <w:numFmt w:val="bullet"/>
      <w:lvlText w:val="•"/>
      <w:lvlJc w:val="left"/>
      <w:pPr>
        <w:ind w:left="6674" w:hanging="361"/>
      </w:pPr>
      <w:rPr>
        <w:rFonts w:hint="default"/>
        <w:lang w:val="en-US" w:eastAsia="en-US" w:bidi="ar-SA"/>
      </w:rPr>
    </w:lvl>
    <w:lvl w:ilvl="7" w:tplc="0826D9C4">
      <w:numFmt w:val="bullet"/>
      <w:lvlText w:val="•"/>
      <w:lvlJc w:val="left"/>
      <w:pPr>
        <w:ind w:left="7487" w:hanging="361"/>
      </w:pPr>
      <w:rPr>
        <w:rFonts w:hint="default"/>
        <w:lang w:val="en-US" w:eastAsia="en-US" w:bidi="ar-SA"/>
      </w:rPr>
    </w:lvl>
    <w:lvl w:ilvl="8" w:tplc="C8CCBC9C">
      <w:numFmt w:val="bullet"/>
      <w:lvlText w:val="•"/>
      <w:lvlJc w:val="left"/>
      <w:pPr>
        <w:ind w:left="8299" w:hanging="361"/>
      </w:pPr>
      <w:rPr>
        <w:rFonts w:hint="default"/>
        <w:lang w:val="en-US" w:eastAsia="en-US" w:bidi="ar-SA"/>
      </w:rPr>
    </w:lvl>
  </w:abstractNum>
  <w:abstractNum w:abstractNumId="29" w15:restartNumberingAfterBreak="0">
    <w:nsid w:val="2B354974"/>
    <w:multiLevelType w:val="hybridMultilevel"/>
    <w:tmpl w:val="6E38DD2A"/>
    <w:lvl w:ilvl="0" w:tplc="39DC0F90">
      <w:start w:val="20"/>
      <w:numFmt w:val="upperLetter"/>
      <w:lvlText w:val="[%1]"/>
      <w:lvlJc w:val="left"/>
      <w:pPr>
        <w:ind w:left="957" w:hanging="200"/>
        <w:jc w:val="left"/>
      </w:pPr>
      <w:rPr>
        <w:rFonts w:ascii="Calibri" w:eastAsia="Calibri" w:hAnsi="Calibri" w:cs="Calibri" w:hint="default"/>
        <w:b w:val="0"/>
        <w:bCs w:val="0"/>
        <w:i w:val="0"/>
        <w:iCs w:val="0"/>
        <w:w w:val="99"/>
        <w:sz w:val="16"/>
        <w:szCs w:val="16"/>
        <w:lang w:val="en-US" w:eastAsia="en-US" w:bidi="ar-SA"/>
      </w:rPr>
    </w:lvl>
    <w:lvl w:ilvl="1" w:tplc="69F69566">
      <w:start w:val="1"/>
      <w:numFmt w:val="decimal"/>
      <w:lvlText w:val="%2."/>
      <w:lvlJc w:val="left"/>
      <w:pPr>
        <w:ind w:left="2649" w:hanging="710"/>
        <w:jc w:val="left"/>
      </w:pPr>
      <w:rPr>
        <w:rFonts w:ascii="Calibri" w:eastAsia="Calibri" w:hAnsi="Calibri" w:cs="Calibri" w:hint="default"/>
        <w:b/>
        <w:bCs/>
        <w:i w:val="0"/>
        <w:iCs w:val="0"/>
        <w:spacing w:val="-1"/>
        <w:w w:val="99"/>
        <w:sz w:val="24"/>
        <w:szCs w:val="24"/>
        <w:lang w:val="en-US" w:eastAsia="en-US" w:bidi="ar-SA"/>
      </w:rPr>
    </w:lvl>
    <w:lvl w:ilvl="2" w:tplc="EE8E5DEE">
      <w:numFmt w:val="bullet"/>
      <w:lvlText w:val="•"/>
      <w:lvlJc w:val="left"/>
      <w:pPr>
        <w:ind w:left="3449" w:hanging="710"/>
      </w:pPr>
      <w:rPr>
        <w:rFonts w:hint="default"/>
        <w:lang w:val="en-US" w:eastAsia="en-US" w:bidi="ar-SA"/>
      </w:rPr>
    </w:lvl>
    <w:lvl w:ilvl="3" w:tplc="E1EE134E">
      <w:numFmt w:val="bullet"/>
      <w:lvlText w:val="•"/>
      <w:lvlJc w:val="left"/>
      <w:pPr>
        <w:ind w:left="4258" w:hanging="710"/>
      </w:pPr>
      <w:rPr>
        <w:rFonts w:hint="default"/>
        <w:lang w:val="en-US" w:eastAsia="en-US" w:bidi="ar-SA"/>
      </w:rPr>
    </w:lvl>
    <w:lvl w:ilvl="4" w:tplc="ECBA4948">
      <w:numFmt w:val="bullet"/>
      <w:lvlText w:val="•"/>
      <w:lvlJc w:val="left"/>
      <w:pPr>
        <w:ind w:left="5068" w:hanging="710"/>
      </w:pPr>
      <w:rPr>
        <w:rFonts w:hint="default"/>
        <w:lang w:val="en-US" w:eastAsia="en-US" w:bidi="ar-SA"/>
      </w:rPr>
    </w:lvl>
    <w:lvl w:ilvl="5" w:tplc="9D1CA802">
      <w:numFmt w:val="bullet"/>
      <w:lvlText w:val="•"/>
      <w:lvlJc w:val="left"/>
      <w:pPr>
        <w:ind w:left="5877" w:hanging="710"/>
      </w:pPr>
      <w:rPr>
        <w:rFonts w:hint="default"/>
        <w:lang w:val="en-US" w:eastAsia="en-US" w:bidi="ar-SA"/>
      </w:rPr>
    </w:lvl>
    <w:lvl w:ilvl="6" w:tplc="F7980292">
      <w:numFmt w:val="bullet"/>
      <w:lvlText w:val="•"/>
      <w:lvlJc w:val="left"/>
      <w:pPr>
        <w:ind w:left="6686" w:hanging="710"/>
      </w:pPr>
      <w:rPr>
        <w:rFonts w:hint="default"/>
        <w:lang w:val="en-US" w:eastAsia="en-US" w:bidi="ar-SA"/>
      </w:rPr>
    </w:lvl>
    <w:lvl w:ilvl="7" w:tplc="15187778">
      <w:numFmt w:val="bullet"/>
      <w:lvlText w:val="•"/>
      <w:lvlJc w:val="left"/>
      <w:pPr>
        <w:ind w:left="7496" w:hanging="710"/>
      </w:pPr>
      <w:rPr>
        <w:rFonts w:hint="default"/>
        <w:lang w:val="en-US" w:eastAsia="en-US" w:bidi="ar-SA"/>
      </w:rPr>
    </w:lvl>
    <w:lvl w:ilvl="8" w:tplc="A4F608B6">
      <w:numFmt w:val="bullet"/>
      <w:lvlText w:val="•"/>
      <w:lvlJc w:val="left"/>
      <w:pPr>
        <w:ind w:left="8305" w:hanging="710"/>
      </w:pPr>
      <w:rPr>
        <w:rFonts w:hint="default"/>
        <w:lang w:val="en-US" w:eastAsia="en-US" w:bidi="ar-SA"/>
      </w:rPr>
    </w:lvl>
  </w:abstractNum>
  <w:abstractNum w:abstractNumId="30" w15:restartNumberingAfterBreak="0">
    <w:nsid w:val="2B5C2B48"/>
    <w:multiLevelType w:val="hybridMultilevel"/>
    <w:tmpl w:val="24229218"/>
    <w:lvl w:ilvl="0" w:tplc="05AE3F76">
      <w:numFmt w:val="bullet"/>
      <w:lvlText w:val=""/>
      <w:lvlJc w:val="left"/>
      <w:pPr>
        <w:ind w:left="374" w:hanging="361"/>
      </w:pPr>
      <w:rPr>
        <w:rFonts w:ascii="Symbol" w:eastAsia="Symbol" w:hAnsi="Symbol" w:cs="Symbol" w:hint="default"/>
        <w:b w:val="0"/>
        <w:bCs w:val="0"/>
        <w:i w:val="0"/>
        <w:iCs w:val="0"/>
        <w:w w:val="99"/>
        <w:sz w:val="24"/>
        <w:szCs w:val="24"/>
        <w:lang w:val="en-US" w:eastAsia="en-US" w:bidi="ar-SA"/>
      </w:rPr>
    </w:lvl>
    <w:lvl w:ilvl="1" w:tplc="0082FCC0">
      <w:numFmt w:val="bullet"/>
      <w:lvlText w:val="•"/>
      <w:lvlJc w:val="left"/>
      <w:pPr>
        <w:ind w:left="943" w:hanging="361"/>
      </w:pPr>
      <w:rPr>
        <w:rFonts w:hint="default"/>
        <w:lang w:val="en-US" w:eastAsia="en-US" w:bidi="ar-SA"/>
      </w:rPr>
    </w:lvl>
    <w:lvl w:ilvl="2" w:tplc="EFA2CE1A">
      <w:numFmt w:val="bullet"/>
      <w:lvlText w:val="•"/>
      <w:lvlJc w:val="left"/>
      <w:pPr>
        <w:ind w:left="1506" w:hanging="361"/>
      </w:pPr>
      <w:rPr>
        <w:rFonts w:hint="default"/>
        <w:lang w:val="en-US" w:eastAsia="en-US" w:bidi="ar-SA"/>
      </w:rPr>
    </w:lvl>
    <w:lvl w:ilvl="3" w:tplc="3B2C8E70">
      <w:numFmt w:val="bullet"/>
      <w:lvlText w:val="•"/>
      <w:lvlJc w:val="left"/>
      <w:pPr>
        <w:ind w:left="2069" w:hanging="361"/>
      </w:pPr>
      <w:rPr>
        <w:rFonts w:hint="default"/>
        <w:lang w:val="en-US" w:eastAsia="en-US" w:bidi="ar-SA"/>
      </w:rPr>
    </w:lvl>
    <w:lvl w:ilvl="4" w:tplc="F4E6C786">
      <w:numFmt w:val="bullet"/>
      <w:lvlText w:val="•"/>
      <w:lvlJc w:val="left"/>
      <w:pPr>
        <w:ind w:left="2632" w:hanging="361"/>
      </w:pPr>
      <w:rPr>
        <w:rFonts w:hint="default"/>
        <w:lang w:val="en-US" w:eastAsia="en-US" w:bidi="ar-SA"/>
      </w:rPr>
    </w:lvl>
    <w:lvl w:ilvl="5" w:tplc="1D54A9D6">
      <w:numFmt w:val="bullet"/>
      <w:lvlText w:val="•"/>
      <w:lvlJc w:val="left"/>
      <w:pPr>
        <w:ind w:left="3195" w:hanging="361"/>
      </w:pPr>
      <w:rPr>
        <w:rFonts w:hint="default"/>
        <w:lang w:val="en-US" w:eastAsia="en-US" w:bidi="ar-SA"/>
      </w:rPr>
    </w:lvl>
    <w:lvl w:ilvl="6" w:tplc="08DE845E">
      <w:numFmt w:val="bullet"/>
      <w:lvlText w:val="•"/>
      <w:lvlJc w:val="left"/>
      <w:pPr>
        <w:ind w:left="3758" w:hanging="361"/>
      </w:pPr>
      <w:rPr>
        <w:rFonts w:hint="default"/>
        <w:lang w:val="en-US" w:eastAsia="en-US" w:bidi="ar-SA"/>
      </w:rPr>
    </w:lvl>
    <w:lvl w:ilvl="7" w:tplc="6EE0E262">
      <w:numFmt w:val="bullet"/>
      <w:lvlText w:val="•"/>
      <w:lvlJc w:val="left"/>
      <w:pPr>
        <w:ind w:left="4321" w:hanging="361"/>
      </w:pPr>
      <w:rPr>
        <w:rFonts w:hint="default"/>
        <w:lang w:val="en-US" w:eastAsia="en-US" w:bidi="ar-SA"/>
      </w:rPr>
    </w:lvl>
    <w:lvl w:ilvl="8" w:tplc="4FAE3C82">
      <w:numFmt w:val="bullet"/>
      <w:lvlText w:val="•"/>
      <w:lvlJc w:val="left"/>
      <w:pPr>
        <w:ind w:left="4884" w:hanging="361"/>
      </w:pPr>
      <w:rPr>
        <w:rFonts w:hint="default"/>
        <w:lang w:val="en-US" w:eastAsia="en-US" w:bidi="ar-SA"/>
      </w:rPr>
    </w:lvl>
  </w:abstractNum>
  <w:abstractNum w:abstractNumId="31" w15:restartNumberingAfterBreak="0">
    <w:nsid w:val="2D7D537D"/>
    <w:multiLevelType w:val="hybridMultilevel"/>
    <w:tmpl w:val="45D80172"/>
    <w:lvl w:ilvl="0" w:tplc="CEF29678">
      <w:start w:val="7"/>
      <w:numFmt w:val="decimal"/>
      <w:lvlText w:val="%1"/>
      <w:lvlJc w:val="left"/>
      <w:pPr>
        <w:ind w:left="1088" w:hanging="581"/>
        <w:jc w:val="left"/>
      </w:pPr>
      <w:rPr>
        <w:rFonts w:hint="default"/>
        <w:lang w:val="en-US" w:eastAsia="en-US" w:bidi="ar-SA"/>
      </w:rPr>
    </w:lvl>
    <w:lvl w:ilvl="1" w:tplc="F16EC776">
      <w:start w:val="198"/>
      <w:numFmt w:val="decimal"/>
      <w:lvlText w:val="%1.%2"/>
      <w:lvlJc w:val="left"/>
      <w:pPr>
        <w:ind w:left="1088" w:hanging="581"/>
        <w:jc w:val="left"/>
      </w:pPr>
      <w:rPr>
        <w:rFonts w:ascii="Calibri" w:eastAsia="Calibri" w:hAnsi="Calibri" w:cs="Calibri" w:hint="default"/>
        <w:b w:val="0"/>
        <w:bCs w:val="0"/>
        <w:i w:val="0"/>
        <w:iCs w:val="0"/>
        <w:w w:val="99"/>
        <w:sz w:val="22"/>
        <w:szCs w:val="22"/>
        <w:lang w:val="en-US" w:eastAsia="en-US" w:bidi="ar-SA"/>
      </w:rPr>
    </w:lvl>
    <w:lvl w:ilvl="2" w:tplc="AE268730">
      <w:numFmt w:val="bullet"/>
      <w:lvlText w:val="•"/>
      <w:lvlJc w:val="left"/>
      <w:pPr>
        <w:ind w:left="2848" w:hanging="581"/>
      </w:pPr>
      <w:rPr>
        <w:rFonts w:hint="default"/>
        <w:lang w:val="en-US" w:eastAsia="en-US" w:bidi="ar-SA"/>
      </w:rPr>
    </w:lvl>
    <w:lvl w:ilvl="3" w:tplc="BAF60CB6">
      <w:numFmt w:val="bullet"/>
      <w:lvlText w:val="•"/>
      <w:lvlJc w:val="left"/>
      <w:pPr>
        <w:ind w:left="3733" w:hanging="581"/>
      </w:pPr>
      <w:rPr>
        <w:rFonts w:hint="default"/>
        <w:lang w:val="en-US" w:eastAsia="en-US" w:bidi="ar-SA"/>
      </w:rPr>
    </w:lvl>
    <w:lvl w:ilvl="4" w:tplc="F048B03E">
      <w:numFmt w:val="bullet"/>
      <w:lvlText w:val="•"/>
      <w:lvlJc w:val="left"/>
      <w:pPr>
        <w:ind w:left="4617" w:hanging="581"/>
      </w:pPr>
      <w:rPr>
        <w:rFonts w:hint="default"/>
        <w:lang w:val="en-US" w:eastAsia="en-US" w:bidi="ar-SA"/>
      </w:rPr>
    </w:lvl>
    <w:lvl w:ilvl="5" w:tplc="DD6AC434">
      <w:numFmt w:val="bullet"/>
      <w:lvlText w:val="•"/>
      <w:lvlJc w:val="left"/>
      <w:pPr>
        <w:ind w:left="5502" w:hanging="581"/>
      </w:pPr>
      <w:rPr>
        <w:rFonts w:hint="default"/>
        <w:lang w:val="en-US" w:eastAsia="en-US" w:bidi="ar-SA"/>
      </w:rPr>
    </w:lvl>
    <w:lvl w:ilvl="6" w:tplc="A12A5DCC">
      <w:numFmt w:val="bullet"/>
      <w:lvlText w:val="•"/>
      <w:lvlJc w:val="left"/>
      <w:pPr>
        <w:ind w:left="6386" w:hanging="581"/>
      </w:pPr>
      <w:rPr>
        <w:rFonts w:hint="default"/>
        <w:lang w:val="en-US" w:eastAsia="en-US" w:bidi="ar-SA"/>
      </w:rPr>
    </w:lvl>
    <w:lvl w:ilvl="7" w:tplc="F79A5F3E">
      <w:numFmt w:val="bullet"/>
      <w:lvlText w:val="•"/>
      <w:lvlJc w:val="left"/>
      <w:pPr>
        <w:ind w:left="7271" w:hanging="581"/>
      </w:pPr>
      <w:rPr>
        <w:rFonts w:hint="default"/>
        <w:lang w:val="en-US" w:eastAsia="en-US" w:bidi="ar-SA"/>
      </w:rPr>
    </w:lvl>
    <w:lvl w:ilvl="8" w:tplc="25521FFC">
      <w:numFmt w:val="bullet"/>
      <w:lvlText w:val="•"/>
      <w:lvlJc w:val="left"/>
      <w:pPr>
        <w:ind w:left="8155" w:hanging="581"/>
      </w:pPr>
      <w:rPr>
        <w:rFonts w:hint="default"/>
        <w:lang w:val="en-US" w:eastAsia="en-US" w:bidi="ar-SA"/>
      </w:rPr>
    </w:lvl>
  </w:abstractNum>
  <w:abstractNum w:abstractNumId="32" w15:restartNumberingAfterBreak="0">
    <w:nsid w:val="2DAF4A15"/>
    <w:multiLevelType w:val="hybridMultilevel"/>
    <w:tmpl w:val="745C57AA"/>
    <w:lvl w:ilvl="0" w:tplc="6F744AE4">
      <w:start w:val="3"/>
      <w:numFmt w:val="decimal"/>
      <w:lvlText w:val="%1"/>
      <w:lvlJc w:val="left"/>
      <w:pPr>
        <w:ind w:left="2648" w:hanging="392"/>
        <w:jc w:val="left"/>
      </w:pPr>
      <w:rPr>
        <w:rFonts w:hint="default"/>
        <w:lang w:val="en-US" w:eastAsia="en-US" w:bidi="ar-SA"/>
      </w:rPr>
    </w:lvl>
    <w:lvl w:ilvl="1" w:tplc="A4AABB0A">
      <w:start w:val="4"/>
      <w:numFmt w:val="decimal"/>
      <w:lvlText w:val="%1.%2"/>
      <w:lvlJc w:val="left"/>
      <w:pPr>
        <w:ind w:left="2648" w:hanging="392"/>
        <w:jc w:val="right"/>
      </w:pPr>
      <w:rPr>
        <w:rFonts w:hint="default"/>
        <w:spacing w:val="-1"/>
        <w:w w:val="99"/>
        <w:lang w:val="en-US" w:eastAsia="en-US" w:bidi="ar-SA"/>
      </w:rPr>
    </w:lvl>
    <w:lvl w:ilvl="2" w:tplc="E65AA6AE">
      <w:numFmt w:val="bullet"/>
      <w:lvlText w:val="•"/>
      <w:lvlJc w:val="left"/>
      <w:pPr>
        <w:ind w:left="4096" w:hanging="392"/>
      </w:pPr>
      <w:rPr>
        <w:rFonts w:hint="default"/>
        <w:lang w:val="en-US" w:eastAsia="en-US" w:bidi="ar-SA"/>
      </w:rPr>
    </w:lvl>
    <w:lvl w:ilvl="3" w:tplc="0F160580">
      <w:numFmt w:val="bullet"/>
      <w:lvlText w:val="•"/>
      <w:lvlJc w:val="left"/>
      <w:pPr>
        <w:ind w:left="4825" w:hanging="392"/>
      </w:pPr>
      <w:rPr>
        <w:rFonts w:hint="default"/>
        <w:lang w:val="en-US" w:eastAsia="en-US" w:bidi="ar-SA"/>
      </w:rPr>
    </w:lvl>
    <w:lvl w:ilvl="4" w:tplc="5CB06358">
      <w:numFmt w:val="bullet"/>
      <w:lvlText w:val="•"/>
      <w:lvlJc w:val="left"/>
      <w:pPr>
        <w:ind w:left="5553" w:hanging="392"/>
      </w:pPr>
      <w:rPr>
        <w:rFonts w:hint="default"/>
        <w:lang w:val="en-US" w:eastAsia="en-US" w:bidi="ar-SA"/>
      </w:rPr>
    </w:lvl>
    <w:lvl w:ilvl="5" w:tplc="84E85A8A">
      <w:numFmt w:val="bullet"/>
      <w:lvlText w:val="•"/>
      <w:lvlJc w:val="left"/>
      <w:pPr>
        <w:ind w:left="6282" w:hanging="392"/>
      </w:pPr>
      <w:rPr>
        <w:rFonts w:hint="default"/>
        <w:lang w:val="en-US" w:eastAsia="en-US" w:bidi="ar-SA"/>
      </w:rPr>
    </w:lvl>
    <w:lvl w:ilvl="6" w:tplc="DF788430">
      <w:numFmt w:val="bullet"/>
      <w:lvlText w:val="•"/>
      <w:lvlJc w:val="left"/>
      <w:pPr>
        <w:ind w:left="7010" w:hanging="392"/>
      </w:pPr>
      <w:rPr>
        <w:rFonts w:hint="default"/>
        <w:lang w:val="en-US" w:eastAsia="en-US" w:bidi="ar-SA"/>
      </w:rPr>
    </w:lvl>
    <w:lvl w:ilvl="7" w:tplc="92BCAF12">
      <w:numFmt w:val="bullet"/>
      <w:lvlText w:val="•"/>
      <w:lvlJc w:val="left"/>
      <w:pPr>
        <w:ind w:left="7739" w:hanging="392"/>
      </w:pPr>
      <w:rPr>
        <w:rFonts w:hint="default"/>
        <w:lang w:val="en-US" w:eastAsia="en-US" w:bidi="ar-SA"/>
      </w:rPr>
    </w:lvl>
    <w:lvl w:ilvl="8" w:tplc="C4FC760E">
      <w:numFmt w:val="bullet"/>
      <w:lvlText w:val="•"/>
      <w:lvlJc w:val="left"/>
      <w:pPr>
        <w:ind w:left="8467" w:hanging="392"/>
      </w:pPr>
      <w:rPr>
        <w:rFonts w:hint="default"/>
        <w:lang w:val="en-US" w:eastAsia="en-US" w:bidi="ar-SA"/>
      </w:rPr>
    </w:lvl>
  </w:abstractNum>
  <w:abstractNum w:abstractNumId="33" w15:restartNumberingAfterBreak="0">
    <w:nsid w:val="313A39B1"/>
    <w:multiLevelType w:val="hybridMultilevel"/>
    <w:tmpl w:val="F574F94E"/>
    <w:lvl w:ilvl="0" w:tplc="E06AD172">
      <w:start w:val="701"/>
      <w:numFmt w:val="decimal"/>
      <w:lvlText w:val="%1."/>
      <w:lvlJc w:val="left"/>
      <w:pPr>
        <w:ind w:left="236" w:hanging="854"/>
        <w:jc w:val="left"/>
      </w:pPr>
      <w:rPr>
        <w:rFonts w:hint="default"/>
        <w:spacing w:val="-1"/>
        <w:w w:val="111"/>
        <w:lang w:val="en-US" w:eastAsia="en-US" w:bidi="ar-SA"/>
      </w:rPr>
    </w:lvl>
    <w:lvl w:ilvl="1" w:tplc="8146C4F8">
      <w:numFmt w:val="bullet"/>
      <w:lvlText w:val="■"/>
      <w:lvlJc w:val="left"/>
      <w:pPr>
        <w:ind w:left="2039" w:hanging="181"/>
      </w:pPr>
      <w:rPr>
        <w:rFonts w:ascii="Arial" w:eastAsia="Arial" w:hAnsi="Arial" w:cs="Arial" w:hint="default"/>
        <w:b w:val="0"/>
        <w:bCs w:val="0"/>
        <w:i w:val="0"/>
        <w:iCs w:val="0"/>
        <w:color w:val="ED7C31"/>
        <w:spacing w:val="-2"/>
        <w:w w:val="99"/>
        <w:sz w:val="28"/>
        <w:szCs w:val="28"/>
        <w:lang w:val="en-US" w:eastAsia="en-US" w:bidi="ar-SA"/>
      </w:rPr>
    </w:lvl>
    <w:lvl w:ilvl="2" w:tplc="1996074E">
      <w:numFmt w:val="bullet"/>
      <w:lvlText w:val="•"/>
      <w:lvlJc w:val="left"/>
      <w:pPr>
        <w:ind w:left="2916" w:hanging="181"/>
      </w:pPr>
      <w:rPr>
        <w:rFonts w:hint="default"/>
        <w:lang w:val="en-US" w:eastAsia="en-US" w:bidi="ar-SA"/>
      </w:rPr>
    </w:lvl>
    <w:lvl w:ilvl="3" w:tplc="AA40D190">
      <w:numFmt w:val="bullet"/>
      <w:lvlText w:val="•"/>
      <w:lvlJc w:val="left"/>
      <w:pPr>
        <w:ind w:left="3792" w:hanging="181"/>
      </w:pPr>
      <w:rPr>
        <w:rFonts w:hint="default"/>
        <w:lang w:val="en-US" w:eastAsia="en-US" w:bidi="ar-SA"/>
      </w:rPr>
    </w:lvl>
    <w:lvl w:ilvl="4" w:tplc="38B6FC06">
      <w:numFmt w:val="bullet"/>
      <w:lvlText w:val="•"/>
      <w:lvlJc w:val="left"/>
      <w:pPr>
        <w:ind w:left="4668" w:hanging="181"/>
      </w:pPr>
      <w:rPr>
        <w:rFonts w:hint="default"/>
        <w:lang w:val="en-US" w:eastAsia="en-US" w:bidi="ar-SA"/>
      </w:rPr>
    </w:lvl>
    <w:lvl w:ilvl="5" w:tplc="07C8FE4A">
      <w:numFmt w:val="bullet"/>
      <w:lvlText w:val="•"/>
      <w:lvlJc w:val="left"/>
      <w:pPr>
        <w:ind w:left="5544" w:hanging="181"/>
      </w:pPr>
      <w:rPr>
        <w:rFonts w:hint="default"/>
        <w:lang w:val="en-US" w:eastAsia="en-US" w:bidi="ar-SA"/>
      </w:rPr>
    </w:lvl>
    <w:lvl w:ilvl="6" w:tplc="E00E1E48">
      <w:numFmt w:val="bullet"/>
      <w:lvlText w:val="•"/>
      <w:lvlJc w:val="left"/>
      <w:pPr>
        <w:ind w:left="6420" w:hanging="181"/>
      </w:pPr>
      <w:rPr>
        <w:rFonts w:hint="default"/>
        <w:lang w:val="en-US" w:eastAsia="en-US" w:bidi="ar-SA"/>
      </w:rPr>
    </w:lvl>
    <w:lvl w:ilvl="7" w:tplc="23480AA4">
      <w:numFmt w:val="bullet"/>
      <w:lvlText w:val="•"/>
      <w:lvlJc w:val="left"/>
      <w:pPr>
        <w:ind w:left="7296" w:hanging="181"/>
      </w:pPr>
      <w:rPr>
        <w:rFonts w:hint="default"/>
        <w:lang w:val="en-US" w:eastAsia="en-US" w:bidi="ar-SA"/>
      </w:rPr>
    </w:lvl>
    <w:lvl w:ilvl="8" w:tplc="B772121C">
      <w:numFmt w:val="bullet"/>
      <w:lvlText w:val="•"/>
      <w:lvlJc w:val="left"/>
      <w:pPr>
        <w:ind w:left="8172" w:hanging="181"/>
      </w:pPr>
      <w:rPr>
        <w:rFonts w:hint="default"/>
        <w:lang w:val="en-US" w:eastAsia="en-US" w:bidi="ar-SA"/>
      </w:rPr>
    </w:lvl>
  </w:abstractNum>
  <w:abstractNum w:abstractNumId="34" w15:restartNumberingAfterBreak="0">
    <w:nsid w:val="333D6773"/>
    <w:multiLevelType w:val="hybridMultilevel"/>
    <w:tmpl w:val="DE447C74"/>
    <w:lvl w:ilvl="0" w:tplc="CB2C0CB6">
      <w:numFmt w:val="bullet"/>
      <w:lvlText w:val=""/>
      <w:lvlJc w:val="left"/>
      <w:pPr>
        <w:ind w:left="374" w:hanging="361"/>
      </w:pPr>
      <w:rPr>
        <w:rFonts w:ascii="Symbol" w:eastAsia="Symbol" w:hAnsi="Symbol" w:cs="Symbol" w:hint="default"/>
        <w:b w:val="0"/>
        <w:bCs w:val="0"/>
        <w:i w:val="0"/>
        <w:iCs w:val="0"/>
        <w:w w:val="99"/>
        <w:sz w:val="24"/>
        <w:szCs w:val="24"/>
        <w:lang w:val="en-US" w:eastAsia="en-US" w:bidi="ar-SA"/>
      </w:rPr>
    </w:lvl>
    <w:lvl w:ilvl="1" w:tplc="E070BA56">
      <w:numFmt w:val="bullet"/>
      <w:lvlText w:val="•"/>
      <w:lvlJc w:val="left"/>
      <w:pPr>
        <w:ind w:left="943" w:hanging="361"/>
      </w:pPr>
      <w:rPr>
        <w:rFonts w:hint="default"/>
        <w:lang w:val="en-US" w:eastAsia="en-US" w:bidi="ar-SA"/>
      </w:rPr>
    </w:lvl>
    <w:lvl w:ilvl="2" w:tplc="22BC0FF0">
      <w:numFmt w:val="bullet"/>
      <w:lvlText w:val="•"/>
      <w:lvlJc w:val="left"/>
      <w:pPr>
        <w:ind w:left="1506" w:hanging="361"/>
      </w:pPr>
      <w:rPr>
        <w:rFonts w:hint="default"/>
        <w:lang w:val="en-US" w:eastAsia="en-US" w:bidi="ar-SA"/>
      </w:rPr>
    </w:lvl>
    <w:lvl w:ilvl="3" w:tplc="CC406A4E">
      <w:numFmt w:val="bullet"/>
      <w:lvlText w:val="•"/>
      <w:lvlJc w:val="left"/>
      <w:pPr>
        <w:ind w:left="2069" w:hanging="361"/>
      </w:pPr>
      <w:rPr>
        <w:rFonts w:hint="default"/>
        <w:lang w:val="en-US" w:eastAsia="en-US" w:bidi="ar-SA"/>
      </w:rPr>
    </w:lvl>
    <w:lvl w:ilvl="4" w:tplc="A4C21DF4">
      <w:numFmt w:val="bullet"/>
      <w:lvlText w:val="•"/>
      <w:lvlJc w:val="left"/>
      <w:pPr>
        <w:ind w:left="2632" w:hanging="361"/>
      </w:pPr>
      <w:rPr>
        <w:rFonts w:hint="default"/>
        <w:lang w:val="en-US" w:eastAsia="en-US" w:bidi="ar-SA"/>
      </w:rPr>
    </w:lvl>
    <w:lvl w:ilvl="5" w:tplc="87ECDFAC">
      <w:numFmt w:val="bullet"/>
      <w:lvlText w:val="•"/>
      <w:lvlJc w:val="left"/>
      <w:pPr>
        <w:ind w:left="3195" w:hanging="361"/>
      </w:pPr>
      <w:rPr>
        <w:rFonts w:hint="default"/>
        <w:lang w:val="en-US" w:eastAsia="en-US" w:bidi="ar-SA"/>
      </w:rPr>
    </w:lvl>
    <w:lvl w:ilvl="6" w:tplc="612AF87A">
      <w:numFmt w:val="bullet"/>
      <w:lvlText w:val="•"/>
      <w:lvlJc w:val="left"/>
      <w:pPr>
        <w:ind w:left="3758" w:hanging="361"/>
      </w:pPr>
      <w:rPr>
        <w:rFonts w:hint="default"/>
        <w:lang w:val="en-US" w:eastAsia="en-US" w:bidi="ar-SA"/>
      </w:rPr>
    </w:lvl>
    <w:lvl w:ilvl="7" w:tplc="ECAAB814">
      <w:numFmt w:val="bullet"/>
      <w:lvlText w:val="•"/>
      <w:lvlJc w:val="left"/>
      <w:pPr>
        <w:ind w:left="4321" w:hanging="361"/>
      </w:pPr>
      <w:rPr>
        <w:rFonts w:hint="default"/>
        <w:lang w:val="en-US" w:eastAsia="en-US" w:bidi="ar-SA"/>
      </w:rPr>
    </w:lvl>
    <w:lvl w:ilvl="8" w:tplc="6E24E78A">
      <w:numFmt w:val="bullet"/>
      <w:lvlText w:val="•"/>
      <w:lvlJc w:val="left"/>
      <w:pPr>
        <w:ind w:left="4884" w:hanging="361"/>
      </w:pPr>
      <w:rPr>
        <w:rFonts w:hint="default"/>
        <w:lang w:val="en-US" w:eastAsia="en-US" w:bidi="ar-SA"/>
      </w:rPr>
    </w:lvl>
  </w:abstractNum>
  <w:abstractNum w:abstractNumId="35" w15:restartNumberingAfterBreak="0">
    <w:nsid w:val="388F1600"/>
    <w:multiLevelType w:val="hybridMultilevel"/>
    <w:tmpl w:val="8564CB22"/>
    <w:lvl w:ilvl="0" w:tplc="705252B2">
      <w:start w:val="2"/>
      <w:numFmt w:val="upperLetter"/>
      <w:lvlText w:val="%1."/>
      <w:lvlJc w:val="left"/>
      <w:pPr>
        <w:ind w:left="1939" w:hanging="851"/>
        <w:jc w:val="left"/>
      </w:pPr>
      <w:rPr>
        <w:rFonts w:ascii="Calibri" w:eastAsia="Calibri" w:hAnsi="Calibri" w:cs="Calibri" w:hint="default"/>
        <w:b/>
        <w:bCs/>
        <w:i w:val="0"/>
        <w:iCs w:val="0"/>
        <w:w w:val="99"/>
        <w:sz w:val="28"/>
        <w:szCs w:val="28"/>
        <w:lang w:val="en-US" w:eastAsia="en-US" w:bidi="ar-SA"/>
      </w:rPr>
    </w:lvl>
    <w:lvl w:ilvl="1" w:tplc="0B7257DA">
      <w:start w:val="1"/>
      <w:numFmt w:val="decimal"/>
      <w:lvlText w:val="%2."/>
      <w:lvlJc w:val="left"/>
      <w:pPr>
        <w:ind w:left="2649" w:hanging="851"/>
        <w:jc w:val="left"/>
      </w:pPr>
      <w:rPr>
        <w:rFonts w:ascii="Calibri" w:eastAsia="Calibri" w:hAnsi="Calibri" w:cs="Calibri" w:hint="default"/>
        <w:b/>
        <w:bCs/>
        <w:i w:val="0"/>
        <w:iCs w:val="0"/>
        <w:spacing w:val="-1"/>
        <w:w w:val="99"/>
        <w:sz w:val="24"/>
        <w:szCs w:val="24"/>
        <w:lang w:val="en-US" w:eastAsia="en-US" w:bidi="ar-SA"/>
      </w:rPr>
    </w:lvl>
    <w:lvl w:ilvl="2" w:tplc="AA5E5EFC">
      <w:start w:val="1"/>
      <w:numFmt w:val="lowerLetter"/>
      <w:lvlText w:val="(%3)"/>
      <w:lvlJc w:val="left"/>
      <w:pPr>
        <w:ind w:left="3642" w:hanging="852"/>
        <w:jc w:val="left"/>
      </w:pPr>
      <w:rPr>
        <w:rFonts w:ascii="Calibri" w:eastAsia="Calibri" w:hAnsi="Calibri" w:cs="Calibri" w:hint="default"/>
        <w:b w:val="0"/>
        <w:bCs w:val="0"/>
        <w:i w:val="0"/>
        <w:iCs w:val="0"/>
        <w:w w:val="99"/>
        <w:sz w:val="24"/>
        <w:szCs w:val="24"/>
        <w:u w:val="single" w:color="000000"/>
        <w:lang w:val="en-US" w:eastAsia="en-US" w:bidi="ar-SA"/>
      </w:rPr>
    </w:lvl>
    <w:lvl w:ilvl="3" w:tplc="6A9EB180">
      <w:numFmt w:val="bullet"/>
      <w:lvlText w:val="•"/>
      <w:lvlJc w:val="left"/>
      <w:pPr>
        <w:ind w:left="4425" w:hanging="852"/>
      </w:pPr>
      <w:rPr>
        <w:rFonts w:hint="default"/>
        <w:lang w:val="en-US" w:eastAsia="en-US" w:bidi="ar-SA"/>
      </w:rPr>
    </w:lvl>
    <w:lvl w:ilvl="4" w:tplc="1B3E9CA4">
      <w:numFmt w:val="bullet"/>
      <w:lvlText w:val="•"/>
      <w:lvlJc w:val="left"/>
      <w:pPr>
        <w:ind w:left="5211" w:hanging="852"/>
      </w:pPr>
      <w:rPr>
        <w:rFonts w:hint="default"/>
        <w:lang w:val="en-US" w:eastAsia="en-US" w:bidi="ar-SA"/>
      </w:rPr>
    </w:lvl>
    <w:lvl w:ilvl="5" w:tplc="B6A0B130">
      <w:numFmt w:val="bullet"/>
      <w:lvlText w:val="•"/>
      <w:lvlJc w:val="left"/>
      <w:pPr>
        <w:ind w:left="5996" w:hanging="852"/>
      </w:pPr>
      <w:rPr>
        <w:rFonts w:hint="default"/>
        <w:lang w:val="en-US" w:eastAsia="en-US" w:bidi="ar-SA"/>
      </w:rPr>
    </w:lvl>
    <w:lvl w:ilvl="6" w:tplc="F2DEED26">
      <w:numFmt w:val="bullet"/>
      <w:lvlText w:val="•"/>
      <w:lvlJc w:val="left"/>
      <w:pPr>
        <w:ind w:left="6782" w:hanging="852"/>
      </w:pPr>
      <w:rPr>
        <w:rFonts w:hint="default"/>
        <w:lang w:val="en-US" w:eastAsia="en-US" w:bidi="ar-SA"/>
      </w:rPr>
    </w:lvl>
    <w:lvl w:ilvl="7" w:tplc="482AC4D0">
      <w:numFmt w:val="bullet"/>
      <w:lvlText w:val="•"/>
      <w:lvlJc w:val="left"/>
      <w:pPr>
        <w:ind w:left="7567" w:hanging="852"/>
      </w:pPr>
      <w:rPr>
        <w:rFonts w:hint="default"/>
        <w:lang w:val="en-US" w:eastAsia="en-US" w:bidi="ar-SA"/>
      </w:rPr>
    </w:lvl>
    <w:lvl w:ilvl="8" w:tplc="F11ED45E">
      <w:numFmt w:val="bullet"/>
      <w:lvlText w:val="•"/>
      <w:lvlJc w:val="left"/>
      <w:pPr>
        <w:ind w:left="8353" w:hanging="852"/>
      </w:pPr>
      <w:rPr>
        <w:rFonts w:hint="default"/>
        <w:lang w:val="en-US" w:eastAsia="en-US" w:bidi="ar-SA"/>
      </w:rPr>
    </w:lvl>
  </w:abstractNum>
  <w:abstractNum w:abstractNumId="36" w15:restartNumberingAfterBreak="0">
    <w:nsid w:val="3A003F03"/>
    <w:multiLevelType w:val="hybridMultilevel"/>
    <w:tmpl w:val="2DB25200"/>
    <w:lvl w:ilvl="0" w:tplc="5C88319C">
      <w:numFmt w:val="bullet"/>
      <w:lvlText w:val=""/>
      <w:lvlJc w:val="left"/>
      <w:pPr>
        <w:ind w:left="1939" w:hanging="851"/>
      </w:pPr>
      <w:rPr>
        <w:rFonts w:ascii="Symbol" w:eastAsia="Symbol" w:hAnsi="Symbol" w:cs="Symbol" w:hint="default"/>
        <w:b w:val="0"/>
        <w:bCs w:val="0"/>
        <w:i w:val="0"/>
        <w:iCs w:val="0"/>
        <w:w w:val="99"/>
        <w:sz w:val="24"/>
        <w:szCs w:val="24"/>
        <w:lang w:val="en-US" w:eastAsia="en-US" w:bidi="ar-SA"/>
      </w:rPr>
    </w:lvl>
    <w:lvl w:ilvl="1" w:tplc="7320226A">
      <w:numFmt w:val="bullet"/>
      <w:lvlText w:val="•"/>
      <w:lvlJc w:val="left"/>
      <w:pPr>
        <w:ind w:left="2738" w:hanging="851"/>
      </w:pPr>
      <w:rPr>
        <w:rFonts w:hint="default"/>
        <w:lang w:val="en-US" w:eastAsia="en-US" w:bidi="ar-SA"/>
      </w:rPr>
    </w:lvl>
    <w:lvl w:ilvl="2" w:tplc="A3AA26C4">
      <w:numFmt w:val="bullet"/>
      <w:lvlText w:val="•"/>
      <w:lvlJc w:val="left"/>
      <w:pPr>
        <w:ind w:left="3536" w:hanging="851"/>
      </w:pPr>
      <w:rPr>
        <w:rFonts w:hint="default"/>
        <w:lang w:val="en-US" w:eastAsia="en-US" w:bidi="ar-SA"/>
      </w:rPr>
    </w:lvl>
    <w:lvl w:ilvl="3" w:tplc="B1FC7C70">
      <w:numFmt w:val="bullet"/>
      <w:lvlText w:val="•"/>
      <w:lvlJc w:val="left"/>
      <w:pPr>
        <w:ind w:left="4335" w:hanging="851"/>
      </w:pPr>
      <w:rPr>
        <w:rFonts w:hint="default"/>
        <w:lang w:val="en-US" w:eastAsia="en-US" w:bidi="ar-SA"/>
      </w:rPr>
    </w:lvl>
    <w:lvl w:ilvl="4" w:tplc="59BA996A">
      <w:numFmt w:val="bullet"/>
      <w:lvlText w:val="•"/>
      <w:lvlJc w:val="left"/>
      <w:pPr>
        <w:ind w:left="5133" w:hanging="851"/>
      </w:pPr>
      <w:rPr>
        <w:rFonts w:hint="default"/>
        <w:lang w:val="en-US" w:eastAsia="en-US" w:bidi="ar-SA"/>
      </w:rPr>
    </w:lvl>
    <w:lvl w:ilvl="5" w:tplc="F8C2C3B6">
      <w:numFmt w:val="bullet"/>
      <w:lvlText w:val="•"/>
      <w:lvlJc w:val="left"/>
      <w:pPr>
        <w:ind w:left="5932" w:hanging="851"/>
      </w:pPr>
      <w:rPr>
        <w:rFonts w:hint="default"/>
        <w:lang w:val="en-US" w:eastAsia="en-US" w:bidi="ar-SA"/>
      </w:rPr>
    </w:lvl>
    <w:lvl w:ilvl="6" w:tplc="D278E2F2">
      <w:numFmt w:val="bullet"/>
      <w:lvlText w:val="•"/>
      <w:lvlJc w:val="left"/>
      <w:pPr>
        <w:ind w:left="6730" w:hanging="851"/>
      </w:pPr>
      <w:rPr>
        <w:rFonts w:hint="default"/>
        <w:lang w:val="en-US" w:eastAsia="en-US" w:bidi="ar-SA"/>
      </w:rPr>
    </w:lvl>
    <w:lvl w:ilvl="7" w:tplc="0946FFE2">
      <w:numFmt w:val="bullet"/>
      <w:lvlText w:val="•"/>
      <w:lvlJc w:val="left"/>
      <w:pPr>
        <w:ind w:left="7529" w:hanging="851"/>
      </w:pPr>
      <w:rPr>
        <w:rFonts w:hint="default"/>
        <w:lang w:val="en-US" w:eastAsia="en-US" w:bidi="ar-SA"/>
      </w:rPr>
    </w:lvl>
    <w:lvl w:ilvl="8" w:tplc="4F68A756">
      <w:numFmt w:val="bullet"/>
      <w:lvlText w:val="•"/>
      <w:lvlJc w:val="left"/>
      <w:pPr>
        <w:ind w:left="8327" w:hanging="851"/>
      </w:pPr>
      <w:rPr>
        <w:rFonts w:hint="default"/>
        <w:lang w:val="en-US" w:eastAsia="en-US" w:bidi="ar-SA"/>
      </w:rPr>
    </w:lvl>
  </w:abstractNum>
  <w:abstractNum w:abstractNumId="37" w15:restartNumberingAfterBreak="0">
    <w:nsid w:val="3A2275D1"/>
    <w:multiLevelType w:val="hybridMultilevel"/>
    <w:tmpl w:val="6C3C96BA"/>
    <w:lvl w:ilvl="0" w:tplc="F80479FC">
      <w:start w:val="40"/>
      <w:numFmt w:val="decimal"/>
      <w:lvlText w:val="%1."/>
      <w:lvlJc w:val="left"/>
      <w:pPr>
        <w:ind w:left="134" w:hanging="867"/>
        <w:jc w:val="left"/>
      </w:pPr>
      <w:rPr>
        <w:rFonts w:ascii="Calibri" w:eastAsia="Calibri" w:hAnsi="Calibri" w:cs="Calibri" w:hint="default"/>
        <w:b w:val="0"/>
        <w:bCs w:val="0"/>
        <w:i w:val="0"/>
        <w:iCs w:val="0"/>
        <w:color w:val="070707"/>
        <w:spacing w:val="-1"/>
        <w:w w:val="103"/>
        <w:sz w:val="24"/>
        <w:szCs w:val="24"/>
        <w:lang w:val="en-US" w:eastAsia="en-US" w:bidi="ar-SA"/>
      </w:rPr>
    </w:lvl>
    <w:lvl w:ilvl="1" w:tplc="3C201D84">
      <w:numFmt w:val="bullet"/>
      <w:lvlText w:val="•"/>
      <w:lvlJc w:val="left"/>
      <w:pPr>
        <w:ind w:left="1821" w:hanging="853"/>
      </w:pPr>
      <w:rPr>
        <w:rFonts w:ascii="Calibri" w:eastAsia="Calibri" w:hAnsi="Calibri" w:cs="Calibri" w:hint="default"/>
        <w:w w:val="83"/>
        <w:position w:val="2"/>
        <w:lang w:val="en-US" w:eastAsia="en-US" w:bidi="ar-SA"/>
      </w:rPr>
    </w:lvl>
    <w:lvl w:ilvl="2" w:tplc="9070BCFE">
      <w:numFmt w:val="bullet"/>
      <w:lvlText w:val="•"/>
      <w:lvlJc w:val="left"/>
      <w:pPr>
        <w:ind w:left="1840" w:hanging="853"/>
      </w:pPr>
      <w:rPr>
        <w:rFonts w:hint="default"/>
        <w:lang w:val="en-US" w:eastAsia="en-US" w:bidi="ar-SA"/>
      </w:rPr>
    </w:lvl>
    <w:lvl w:ilvl="3" w:tplc="DC460DA8">
      <w:numFmt w:val="bullet"/>
      <w:lvlText w:val="•"/>
      <w:lvlJc w:val="left"/>
      <w:pPr>
        <w:ind w:left="2774" w:hanging="853"/>
      </w:pPr>
      <w:rPr>
        <w:rFonts w:hint="default"/>
        <w:lang w:val="en-US" w:eastAsia="en-US" w:bidi="ar-SA"/>
      </w:rPr>
    </w:lvl>
    <w:lvl w:ilvl="4" w:tplc="3E56B958">
      <w:numFmt w:val="bullet"/>
      <w:lvlText w:val="•"/>
      <w:lvlJc w:val="left"/>
      <w:pPr>
        <w:ind w:left="3709" w:hanging="853"/>
      </w:pPr>
      <w:rPr>
        <w:rFonts w:hint="default"/>
        <w:lang w:val="en-US" w:eastAsia="en-US" w:bidi="ar-SA"/>
      </w:rPr>
    </w:lvl>
    <w:lvl w:ilvl="5" w:tplc="176259F0">
      <w:numFmt w:val="bullet"/>
      <w:lvlText w:val="•"/>
      <w:lvlJc w:val="left"/>
      <w:pPr>
        <w:ind w:left="4643" w:hanging="853"/>
      </w:pPr>
      <w:rPr>
        <w:rFonts w:hint="default"/>
        <w:lang w:val="en-US" w:eastAsia="en-US" w:bidi="ar-SA"/>
      </w:rPr>
    </w:lvl>
    <w:lvl w:ilvl="6" w:tplc="BC689B7C">
      <w:numFmt w:val="bullet"/>
      <w:lvlText w:val="•"/>
      <w:lvlJc w:val="left"/>
      <w:pPr>
        <w:ind w:left="5578" w:hanging="853"/>
      </w:pPr>
      <w:rPr>
        <w:rFonts w:hint="default"/>
        <w:lang w:val="en-US" w:eastAsia="en-US" w:bidi="ar-SA"/>
      </w:rPr>
    </w:lvl>
    <w:lvl w:ilvl="7" w:tplc="8B2A3E10">
      <w:numFmt w:val="bullet"/>
      <w:lvlText w:val="•"/>
      <w:lvlJc w:val="left"/>
      <w:pPr>
        <w:ind w:left="6512" w:hanging="853"/>
      </w:pPr>
      <w:rPr>
        <w:rFonts w:hint="default"/>
        <w:lang w:val="en-US" w:eastAsia="en-US" w:bidi="ar-SA"/>
      </w:rPr>
    </w:lvl>
    <w:lvl w:ilvl="8" w:tplc="80002620">
      <w:numFmt w:val="bullet"/>
      <w:lvlText w:val="•"/>
      <w:lvlJc w:val="left"/>
      <w:pPr>
        <w:ind w:left="7447" w:hanging="853"/>
      </w:pPr>
      <w:rPr>
        <w:rFonts w:hint="default"/>
        <w:lang w:val="en-US" w:eastAsia="en-US" w:bidi="ar-SA"/>
      </w:rPr>
    </w:lvl>
  </w:abstractNum>
  <w:abstractNum w:abstractNumId="38" w15:restartNumberingAfterBreak="0">
    <w:nsid w:val="3AF1755C"/>
    <w:multiLevelType w:val="hybridMultilevel"/>
    <w:tmpl w:val="233ABB7C"/>
    <w:lvl w:ilvl="0" w:tplc="205489C0">
      <w:numFmt w:val="bullet"/>
      <w:lvlText w:val="–"/>
      <w:lvlJc w:val="left"/>
      <w:pPr>
        <w:ind w:left="369" w:hanging="131"/>
      </w:pPr>
      <w:rPr>
        <w:rFonts w:ascii="Calibri" w:eastAsia="Calibri" w:hAnsi="Calibri" w:cs="Calibri" w:hint="default"/>
        <w:b w:val="0"/>
        <w:bCs w:val="0"/>
        <w:i/>
        <w:iCs/>
        <w:w w:val="99"/>
        <w:sz w:val="18"/>
        <w:szCs w:val="18"/>
        <w:lang w:val="en-US" w:eastAsia="en-US" w:bidi="ar-SA"/>
      </w:rPr>
    </w:lvl>
    <w:lvl w:ilvl="1" w:tplc="23CA7792">
      <w:numFmt w:val="bullet"/>
      <w:lvlText w:val=""/>
      <w:lvlJc w:val="left"/>
      <w:pPr>
        <w:ind w:left="1940" w:hanging="851"/>
      </w:pPr>
      <w:rPr>
        <w:rFonts w:ascii="Symbol" w:eastAsia="Symbol" w:hAnsi="Symbol" w:cs="Symbol" w:hint="default"/>
        <w:b w:val="0"/>
        <w:bCs w:val="0"/>
        <w:i w:val="0"/>
        <w:iCs w:val="0"/>
        <w:w w:val="100"/>
        <w:sz w:val="24"/>
        <w:szCs w:val="24"/>
        <w:lang w:val="en-US" w:eastAsia="en-US" w:bidi="ar-SA"/>
      </w:rPr>
    </w:lvl>
    <w:lvl w:ilvl="2" w:tplc="BFC22BB8">
      <w:numFmt w:val="bullet"/>
      <w:lvlText w:val="•"/>
      <w:lvlJc w:val="left"/>
      <w:pPr>
        <w:ind w:left="2827" w:hanging="851"/>
      </w:pPr>
      <w:rPr>
        <w:rFonts w:hint="default"/>
        <w:lang w:val="en-US" w:eastAsia="en-US" w:bidi="ar-SA"/>
      </w:rPr>
    </w:lvl>
    <w:lvl w:ilvl="3" w:tplc="87C65642">
      <w:numFmt w:val="bullet"/>
      <w:lvlText w:val="•"/>
      <w:lvlJc w:val="left"/>
      <w:pPr>
        <w:ind w:left="3714" w:hanging="851"/>
      </w:pPr>
      <w:rPr>
        <w:rFonts w:hint="default"/>
        <w:lang w:val="en-US" w:eastAsia="en-US" w:bidi="ar-SA"/>
      </w:rPr>
    </w:lvl>
    <w:lvl w:ilvl="4" w:tplc="77F80B8C">
      <w:numFmt w:val="bullet"/>
      <w:lvlText w:val="•"/>
      <w:lvlJc w:val="left"/>
      <w:pPr>
        <w:ind w:left="4601" w:hanging="851"/>
      </w:pPr>
      <w:rPr>
        <w:rFonts w:hint="default"/>
        <w:lang w:val="en-US" w:eastAsia="en-US" w:bidi="ar-SA"/>
      </w:rPr>
    </w:lvl>
    <w:lvl w:ilvl="5" w:tplc="3F1EBD10">
      <w:numFmt w:val="bullet"/>
      <w:lvlText w:val="•"/>
      <w:lvlJc w:val="left"/>
      <w:pPr>
        <w:ind w:left="5488" w:hanging="851"/>
      </w:pPr>
      <w:rPr>
        <w:rFonts w:hint="default"/>
        <w:lang w:val="en-US" w:eastAsia="en-US" w:bidi="ar-SA"/>
      </w:rPr>
    </w:lvl>
    <w:lvl w:ilvl="6" w:tplc="C91A6E98">
      <w:numFmt w:val="bullet"/>
      <w:lvlText w:val="•"/>
      <w:lvlJc w:val="left"/>
      <w:pPr>
        <w:ind w:left="6375" w:hanging="851"/>
      </w:pPr>
      <w:rPr>
        <w:rFonts w:hint="default"/>
        <w:lang w:val="en-US" w:eastAsia="en-US" w:bidi="ar-SA"/>
      </w:rPr>
    </w:lvl>
    <w:lvl w:ilvl="7" w:tplc="4AE0058A">
      <w:numFmt w:val="bullet"/>
      <w:lvlText w:val="•"/>
      <w:lvlJc w:val="left"/>
      <w:pPr>
        <w:ind w:left="7262" w:hanging="851"/>
      </w:pPr>
      <w:rPr>
        <w:rFonts w:hint="default"/>
        <w:lang w:val="en-US" w:eastAsia="en-US" w:bidi="ar-SA"/>
      </w:rPr>
    </w:lvl>
    <w:lvl w:ilvl="8" w:tplc="C39A7A18">
      <w:numFmt w:val="bullet"/>
      <w:lvlText w:val="•"/>
      <w:lvlJc w:val="left"/>
      <w:pPr>
        <w:ind w:left="8150" w:hanging="851"/>
      </w:pPr>
      <w:rPr>
        <w:rFonts w:hint="default"/>
        <w:lang w:val="en-US" w:eastAsia="en-US" w:bidi="ar-SA"/>
      </w:rPr>
    </w:lvl>
  </w:abstractNum>
  <w:abstractNum w:abstractNumId="39" w15:restartNumberingAfterBreak="0">
    <w:nsid w:val="3BBA00FD"/>
    <w:multiLevelType w:val="hybridMultilevel"/>
    <w:tmpl w:val="56986A0A"/>
    <w:lvl w:ilvl="0" w:tplc="A2A8974E">
      <w:numFmt w:val="bullet"/>
      <w:lvlText w:val=""/>
      <w:lvlJc w:val="left"/>
      <w:pPr>
        <w:ind w:left="1939" w:hanging="851"/>
      </w:pPr>
      <w:rPr>
        <w:rFonts w:ascii="Symbol" w:eastAsia="Symbol" w:hAnsi="Symbol" w:cs="Symbol" w:hint="default"/>
        <w:b w:val="0"/>
        <w:bCs w:val="0"/>
        <w:i w:val="0"/>
        <w:iCs w:val="0"/>
        <w:w w:val="99"/>
        <w:sz w:val="24"/>
        <w:szCs w:val="24"/>
        <w:lang w:val="en-US" w:eastAsia="en-US" w:bidi="ar-SA"/>
      </w:rPr>
    </w:lvl>
    <w:lvl w:ilvl="1" w:tplc="2EC0F722">
      <w:numFmt w:val="bullet"/>
      <w:lvlText w:val="•"/>
      <w:lvlJc w:val="left"/>
      <w:pPr>
        <w:ind w:left="2738" w:hanging="851"/>
      </w:pPr>
      <w:rPr>
        <w:rFonts w:hint="default"/>
        <w:lang w:val="en-US" w:eastAsia="en-US" w:bidi="ar-SA"/>
      </w:rPr>
    </w:lvl>
    <w:lvl w:ilvl="2" w:tplc="80940E90">
      <w:numFmt w:val="bullet"/>
      <w:lvlText w:val="•"/>
      <w:lvlJc w:val="left"/>
      <w:pPr>
        <w:ind w:left="3536" w:hanging="851"/>
      </w:pPr>
      <w:rPr>
        <w:rFonts w:hint="default"/>
        <w:lang w:val="en-US" w:eastAsia="en-US" w:bidi="ar-SA"/>
      </w:rPr>
    </w:lvl>
    <w:lvl w:ilvl="3" w:tplc="310621AC">
      <w:numFmt w:val="bullet"/>
      <w:lvlText w:val="•"/>
      <w:lvlJc w:val="left"/>
      <w:pPr>
        <w:ind w:left="4335" w:hanging="851"/>
      </w:pPr>
      <w:rPr>
        <w:rFonts w:hint="default"/>
        <w:lang w:val="en-US" w:eastAsia="en-US" w:bidi="ar-SA"/>
      </w:rPr>
    </w:lvl>
    <w:lvl w:ilvl="4" w:tplc="2B6C2B46">
      <w:numFmt w:val="bullet"/>
      <w:lvlText w:val="•"/>
      <w:lvlJc w:val="left"/>
      <w:pPr>
        <w:ind w:left="5133" w:hanging="851"/>
      </w:pPr>
      <w:rPr>
        <w:rFonts w:hint="default"/>
        <w:lang w:val="en-US" w:eastAsia="en-US" w:bidi="ar-SA"/>
      </w:rPr>
    </w:lvl>
    <w:lvl w:ilvl="5" w:tplc="77F22138">
      <w:numFmt w:val="bullet"/>
      <w:lvlText w:val="•"/>
      <w:lvlJc w:val="left"/>
      <w:pPr>
        <w:ind w:left="5932" w:hanging="851"/>
      </w:pPr>
      <w:rPr>
        <w:rFonts w:hint="default"/>
        <w:lang w:val="en-US" w:eastAsia="en-US" w:bidi="ar-SA"/>
      </w:rPr>
    </w:lvl>
    <w:lvl w:ilvl="6" w:tplc="E5162C64">
      <w:numFmt w:val="bullet"/>
      <w:lvlText w:val="•"/>
      <w:lvlJc w:val="left"/>
      <w:pPr>
        <w:ind w:left="6730" w:hanging="851"/>
      </w:pPr>
      <w:rPr>
        <w:rFonts w:hint="default"/>
        <w:lang w:val="en-US" w:eastAsia="en-US" w:bidi="ar-SA"/>
      </w:rPr>
    </w:lvl>
    <w:lvl w:ilvl="7" w:tplc="46CEBD5A">
      <w:numFmt w:val="bullet"/>
      <w:lvlText w:val="•"/>
      <w:lvlJc w:val="left"/>
      <w:pPr>
        <w:ind w:left="7529" w:hanging="851"/>
      </w:pPr>
      <w:rPr>
        <w:rFonts w:hint="default"/>
        <w:lang w:val="en-US" w:eastAsia="en-US" w:bidi="ar-SA"/>
      </w:rPr>
    </w:lvl>
    <w:lvl w:ilvl="8" w:tplc="B75826FE">
      <w:numFmt w:val="bullet"/>
      <w:lvlText w:val="•"/>
      <w:lvlJc w:val="left"/>
      <w:pPr>
        <w:ind w:left="8327" w:hanging="851"/>
      </w:pPr>
      <w:rPr>
        <w:rFonts w:hint="default"/>
        <w:lang w:val="en-US" w:eastAsia="en-US" w:bidi="ar-SA"/>
      </w:rPr>
    </w:lvl>
  </w:abstractNum>
  <w:abstractNum w:abstractNumId="40" w15:restartNumberingAfterBreak="0">
    <w:nsid w:val="3DBC1336"/>
    <w:multiLevelType w:val="hybridMultilevel"/>
    <w:tmpl w:val="3F62E24A"/>
    <w:lvl w:ilvl="0" w:tplc="E7AA0128">
      <w:start w:val="1"/>
      <w:numFmt w:val="upperLetter"/>
      <w:lvlText w:val="(%1)"/>
      <w:lvlJc w:val="left"/>
      <w:pPr>
        <w:ind w:left="5340" w:hanging="848"/>
        <w:jc w:val="left"/>
      </w:pPr>
      <w:rPr>
        <w:rFonts w:hint="default"/>
        <w:w w:val="99"/>
        <w:lang w:val="en-US" w:eastAsia="en-US" w:bidi="ar-SA"/>
      </w:rPr>
    </w:lvl>
    <w:lvl w:ilvl="1" w:tplc="AA02887E">
      <w:numFmt w:val="bullet"/>
      <w:lvlText w:val="•"/>
      <w:lvlJc w:val="left"/>
      <w:pPr>
        <w:ind w:left="5798" w:hanging="848"/>
      </w:pPr>
      <w:rPr>
        <w:rFonts w:hint="default"/>
        <w:lang w:val="en-US" w:eastAsia="en-US" w:bidi="ar-SA"/>
      </w:rPr>
    </w:lvl>
    <w:lvl w:ilvl="2" w:tplc="F1D05814">
      <w:numFmt w:val="bullet"/>
      <w:lvlText w:val="•"/>
      <w:lvlJc w:val="left"/>
      <w:pPr>
        <w:ind w:left="6256" w:hanging="848"/>
      </w:pPr>
      <w:rPr>
        <w:rFonts w:hint="default"/>
        <w:lang w:val="en-US" w:eastAsia="en-US" w:bidi="ar-SA"/>
      </w:rPr>
    </w:lvl>
    <w:lvl w:ilvl="3" w:tplc="4FF28B68">
      <w:numFmt w:val="bullet"/>
      <w:lvlText w:val="•"/>
      <w:lvlJc w:val="left"/>
      <w:pPr>
        <w:ind w:left="6715" w:hanging="848"/>
      </w:pPr>
      <w:rPr>
        <w:rFonts w:hint="default"/>
        <w:lang w:val="en-US" w:eastAsia="en-US" w:bidi="ar-SA"/>
      </w:rPr>
    </w:lvl>
    <w:lvl w:ilvl="4" w:tplc="9662A226">
      <w:numFmt w:val="bullet"/>
      <w:lvlText w:val="•"/>
      <w:lvlJc w:val="left"/>
      <w:pPr>
        <w:ind w:left="7173" w:hanging="848"/>
      </w:pPr>
      <w:rPr>
        <w:rFonts w:hint="default"/>
        <w:lang w:val="en-US" w:eastAsia="en-US" w:bidi="ar-SA"/>
      </w:rPr>
    </w:lvl>
    <w:lvl w:ilvl="5" w:tplc="F6C80CB4">
      <w:numFmt w:val="bullet"/>
      <w:lvlText w:val="•"/>
      <w:lvlJc w:val="left"/>
      <w:pPr>
        <w:ind w:left="7632" w:hanging="848"/>
      </w:pPr>
      <w:rPr>
        <w:rFonts w:hint="default"/>
        <w:lang w:val="en-US" w:eastAsia="en-US" w:bidi="ar-SA"/>
      </w:rPr>
    </w:lvl>
    <w:lvl w:ilvl="6" w:tplc="ADE240BC">
      <w:numFmt w:val="bullet"/>
      <w:lvlText w:val="•"/>
      <w:lvlJc w:val="left"/>
      <w:pPr>
        <w:ind w:left="8090" w:hanging="848"/>
      </w:pPr>
      <w:rPr>
        <w:rFonts w:hint="default"/>
        <w:lang w:val="en-US" w:eastAsia="en-US" w:bidi="ar-SA"/>
      </w:rPr>
    </w:lvl>
    <w:lvl w:ilvl="7" w:tplc="E79E3534">
      <w:numFmt w:val="bullet"/>
      <w:lvlText w:val="•"/>
      <w:lvlJc w:val="left"/>
      <w:pPr>
        <w:ind w:left="8549" w:hanging="848"/>
      </w:pPr>
      <w:rPr>
        <w:rFonts w:hint="default"/>
        <w:lang w:val="en-US" w:eastAsia="en-US" w:bidi="ar-SA"/>
      </w:rPr>
    </w:lvl>
    <w:lvl w:ilvl="8" w:tplc="7A4C2812">
      <w:numFmt w:val="bullet"/>
      <w:lvlText w:val="•"/>
      <w:lvlJc w:val="left"/>
      <w:pPr>
        <w:ind w:left="9007" w:hanging="848"/>
      </w:pPr>
      <w:rPr>
        <w:rFonts w:hint="default"/>
        <w:lang w:val="en-US" w:eastAsia="en-US" w:bidi="ar-SA"/>
      </w:rPr>
    </w:lvl>
  </w:abstractNum>
  <w:abstractNum w:abstractNumId="41" w15:restartNumberingAfterBreak="0">
    <w:nsid w:val="3E602A22"/>
    <w:multiLevelType w:val="hybridMultilevel"/>
    <w:tmpl w:val="05D412AC"/>
    <w:lvl w:ilvl="0" w:tplc="C48E1B90">
      <w:numFmt w:val="bullet"/>
      <w:lvlText w:val=""/>
      <w:lvlJc w:val="left"/>
      <w:pPr>
        <w:ind w:left="1940" w:hanging="851"/>
      </w:pPr>
      <w:rPr>
        <w:rFonts w:ascii="Symbol" w:eastAsia="Symbol" w:hAnsi="Symbol" w:cs="Symbol" w:hint="default"/>
        <w:b w:val="0"/>
        <w:bCs w:val="0"/>
        <w:i w:val="0"/>
        <w:iCs w:val="0"/>
        <w:w w:val="100"/>
        <w:sz w:val="24"/>
        <w:szCs w:val="24"/>
        <w:lang w:val="en-US" w:eastAsia="en-US" w:bidi="ar-SA"/>
      </w:rPr>
    </w:lvl>
    <w:lvl w:ilvl="1" w:tplc="BDF00F4E">
      <w:numFmt w:val="bullet"/>
      <w:lvlText w:val="•"/>
      <w:lvlJc w:val="left"/>
      <w:pPr>
        <w:ind w:left="2738" w:hanging="851"/>
      </w:pPr>
      <w:rPr>
        <w:rFonts w:hint="default"/>
        <w:lang w:val="en-US" w:eastAsia="en-US" w:bidi="ar-SA"/>
      </w:rPr>
    </w:lvl>
    <w:lvl w:ilvl="2" w:tplc="7A349146">
      <w:numFmt w:val="bullet"/>
      <w:lvlText w:val="•"/>
      <w:lvlJc w:val="left"/>
      <w:pPr>
        <w:ind w:left="3536" w:hanging="851"/>
      </w:pPr>
      <w:rPr>
        <w:rFonts w:hint="default"/>
        <w:lang w:val="en-US" w:eastAsia="en-US" w:bidi="ar-SA"/>
      </w:rPr>
    </w:lvl>
    <w:lvl w:ilvl="3" w:tplc="C160F350">
      <w:numFmt w:val="bullet"/>
      <w:lvlText w:val="•"/>
      <w:lvlJc w:val="left"/>
      <w:pPr>
        <w:ind w:left="4335" w:hanging="851"/>
      </w:pPr>
      <w:rPr>
        <w:rFonts w:hint="default"/>
        <w:lang w:val="en-US" w:eastAsia="en-US" w:bidi="ar-SA"/>
      </w:rPr>
    </w:lvl>
    <w:lvl w:ilvl="4" w:tplc="E71A5CB2">
      <w:numFmt w:val="bullet"/>
      <w:lvlText w:val="•"/>
      <w:lvlJc w:val="left"/>
      <w:pPr>
        <w:ind w:left="5133" w:hanging="851"/>
      </w:pPr>
      <w:rPr>
        <w:rFonts w:hint="default"/>
        <w:lang w:val="en-US" w:eastAsia="en-US" w:bidi="ar-SA"/>
      </w:rPr>
    </w:lvl>
    <w:lvl w:ilvl="5" w:tplc="89ECB758">
      <w:numFmt w:val="bullet"/>
      <w:lvlText w:val="•"/>
      <w:lvlJc w:val="left"/>
      <w:pPr>
        <w:ind w:left="5932" w:hanging="851"/>
      </w:pPr>
      <w:rPr>
        <w:rFonts w:hint="default"/>
        <w:lang w:val="en-US" w:eastAsia="en-US" w:bidi="ar-SA"/>
      </w:rPr>
    </w:lvl>
    <w:lvl w:ilvl="6" w:tplc="40FC707C">
      <w:numFmt w:val="bullet"/>
      <w:lvlText w:val="•"/>
      <w:lvlJc w:val="left"/>
      <w:pPr>
        <w:ind w:left="6730" w:hanging="851"/>
      </w:pPr>
      <w:rPr>
        <w:rFonts w:hint="default"/>
        <w:lang w:val="en-US" w:eastAsia="en-US" w:bidi="ar-SA"/>
      </w:rPr>
    </w:lvl>
    <w:lvl w:ilvl="7" w:tplc="CE5C3D74">
      <w:numFmt w:val="bullet"/>
      <w:lvlText w:val="•"/>
      <w:lvlJc w:val="left"/>
      <w:pPr>
        <w:ind w:left="7529" w:hanging="851"/>
      </w:pPr>
      <w:rPr>
        <w:rFonts w:hint="default"/>
        <w:lang w:val="en-US" w:eastAsia="en-US" w:bidi="ar-SA"/>
      </w:rPr>
    </w:lvl>
    <w:lvl w:ilvl="8" w:tplc="1D34C3CA">
      <w:numFmt w:val="bullet"/>
      <w:lvlText w:val="•"/>
      <w:lvlJc w:val="left"/>
      <w:pPr>
        <w:ind w:left="8327" w:hanging="851"/>
      </w:pPr>
      <w:rPr>
        <w:rFonts w:hint="default"/>
        <w:lang w:val="en-US" w:eastAsia="en-US" w:bidi="ar-SA"/>
      </w:rPr>
    </w:lvl>
  </w:abstractNum>
  <w:abstractNum w:abstractNumId="42" w15:restartNumberingAfterBreak="0">
    <w:nsid w:val="3F6E1D3B"/>
    <w:multiLevelType w:val="hybridMultilevel"/>
    <w:tmpl w:val="4CEE97D2"/>
    <w:lvl w:ilvl="0" w:tplc="C2C80E56">
      <w:numFmt w:val="bullet"/>
      <w:lvlText w:val="•"/>
      <w:lvlJc w:val="left"/>
      <w:pPr>
        <w:ind w:left="1942" w:hanging="845"/>
      </w:pPr>
      <w:rPr>
        <w:rFonts w:ascii="Arial" w:eastAsia="Arial" w:hAnsi="Arial" w:cs="Arial" w:hint="default"/>
        <w:b w:val="0"/>
        <w:bCs w:val="0"/>
        <w:i w:val="0"/>
        <w:iCs w:val="0"/>
        <w:color w:val="0C0C0C"/>
        <w:w w:val="107"/>
        <w:sz w:val="21"/>
        <w:szCs w:val="21"/>
        <w:lang w:val="en-US" w:eastAsia="en-US" w:bidi="ar-SA"/>
      </w:rPr>
    </w:lvl>
    <w:lvl w:ilvl="1" w:tplc="6C0A2040">
      <w:numFmt w:val="bullet"/>
      <w:lvlText w:val="•"/>
      <w:lvlJc w:val="left"/>
      <w:pPr>
        <w:ind w:left="2738" w:hanging="845"/>
      </w:pPr>
      <w:rPr>
        <w:rFonts w:hint="default"/>
        <w:lang w:val="en-US" w:eastAsia="en-US" w:bidi="ar-SA"/>
      </w:rPr>
    </w:lvl>
    <w:lvl w:ilvl="2" w:tplc="A1CEFA04">
      <w:numFmt w:val="bullet"/>
      <w:lvlText w:val="•"/>
      <w:lvlJc w:val="left"/>
      <w:pPr>
        <w:ind w:left="3536" w:hanging="845"/>
      </w:pPr>
      <w:rPr>
        <w:rFonts w:hint="default"/>
        <w:lang w:val="en-US" w:eastAsia="en-US" w:bidi="ar-SA"/>
      </w:rPr>
    </w:lvl>
    <w:lvl w:ilvl="3" w:tplc="F32C7A22">
      <w:numFmt w:val="bullet"/>
      <w:lvlText w:val="•"/>
      <w:lvlJc w:val="left"/>
      <w:pPr>
        <w:ind w:left="4335" w:hanging="845"/>
      </w:pPr>
      <w:rPr>
        <w:rFonts w:hint="default"/>
        <w:lang w:val="en-US" w:eastAsia="en-US" w:bidi="ar-SA"/>
      </w:rPr>
    </w:lvl>
    <w:lvl w:ilvl="4" w:tplc="D9589F8E">
      <w:numFmt w:val="bullet"/>
      <w:lvlText w:val="•"/>
      <w:lvlJc w:val="left"/>
      <w:pPr>
        <w:ind w:left="5133" w:hanging="845"/>
      </w:pPr>
      <w:rPr>
        <w:rFonts w:hint="default"/>
        <w:lang w:val="en-US" w:eastAsia="en-US" w:bidi="ar-SA"/>
      </w:rPr>
    </w:lvl>
    <w:lvl w:ilvl="5" w:tplc="9940AEA2">
      <w:numFmt w:val="bullet"/>
      <w:lvlText w:val="•"/>
      <w:lvlJc w:val="left"/>
      <w:pPr>
        <w:ind w:left="5932" w:hanging="845"/>
      </w:pPr>
      <w:rPr>
        <w:rFonts w:hint="default"/>
        <w:lang w:val="en-US" w:eastAsia="en-US" w:bidi="ar-SA"/>
      </w:rPr>
    </w:lvl>
    <w:lvl w:ilvl="6" w:tplc="00BCA520">
      <w:numFmt w:val="bullet"/>
      <w:lvlText w:val="•"/>
      <w:lvlJc w:val="left"/>
      <w:pPr>
        <w:ind w:left="6730" w:hanging="845"/>
      </w:pPr>
      <w:rPr>
        <w:rFonts w:hint="default"/>
        <w:lang w:val="en-US" w:eastAsia="en-US" w:bidi="ar-SA"/>
      </w:rPr>
    </w:lvl>
    <w:lvl w:ilvl="7" w:tplc="341ED5AA">
      <w:numFmt w:val="bullet"/>
      <w:lvlText w:val="•"/>
      <w:lvlJc w:val="left"/>
      <w:pPr>
        <w:ind w:left="7529" w:hanging="845"/>
      </w:pPr>
      <w:rPr>
        <w:rFonts w:hint="default"/>
        <w:lang w:val="en-US" w:eastAsia="en-US" w:bidi="ar-SA"/>
      </w:rPr>
    </w:lvl>
    <w:lvl w:ilvl="8" w:tplc="6EB82096">
      <w:numFmt w:val="bullet"/>
      <w:lvlText w:val="•"/>
      <w:lvlJc w:val="left"/>
      <w:pPr>
        <w:ind w:left="8327" w:hanging="845"/>
      </w:pPr>
      <w:rPr>
        <w:rFonts w:hint="default"/>
        <w:lang w:val="en-US" w:eastAsia="en-US" w:bidi="ar-SA"/>
      </w:rPr>
    </w:lvl>
  </w:abstractNum>
  <w:abstractNum w:abstractNumId="43" w15:restartNumberingAfterBreak="0">
    <w:nsid w:val="406760CD"/>
    <w:multiLevelType w:val="hybridMultilevel"/>
    <w:tmpl w:val="A2E6CADE"/>
    <w:lvl w:ilvl="0" w:tplc="4FE0D37C">
      <w:start w:val="5"/>
      <w:numFmt w:val="upperLetter"/>
      <w:lvlText w:val="%1."/>
      <w:lvlJc w:val="left"/>
      <w:pPr>
        <w:ind w:left="1940" w:hanging="852"/>
        <w:jc w:val="left"/>
      </w:pPr>
      <w:rPr>
        <w:rFonts w:ascii="Calibri" w:eastAsia="Calibri" w:hAnsi="Calibri" w:cs="Calibri" w:hint="default"/>
        <w:b/>
        <w:bCs/>
        <w:i w:val="0"/>
        <w:iCs w:val="0"/>
        <w:w w:val="99"/>
        <w:sz w:val="28"/>
        <w:szCs w:val="28"/>
        <w:lang w:val="en-US" w:eastAsia="en-US" w:bidi="ar-SA"/>
      </w:rPr>
    </w:lvl>
    <w:lvl w:ilvl="1" w:tplc="D936A1A8">
      <w:start w:val="1"/>
      <w:numFmt w:val="decimal"/>
      <w:lvlText w:val="%2."/>
      <w:lvlJc w:val="left"/>
      <w:pPr>
        <w:ind w:left="2649" w:hanging="851"/>
        <w:jc w:val="left"/>
      </w:pPr>
      <w:rPr>
        <w:rFonts w:hint="default"/>
        <w:spacing w:val="-1"/>
        <w:w w:val="99"/>
        <w:lang w:val="en-US" w:eastAsia="en-US" w:bidi="ar-SA"/>
      </w:rPr>
    </w:lvl>
    <w:lvl w:ilvl="2" w:tplc="3A6E0F9A">
      <w:numFmt w:val="bullet"/>
      <w:lvlText w:val="•"/>
      <w:lvlJc w:val="left"/>
      <w:pPr>
        <w:ind w:left="3449" w:hanging="851"/>
      </w:pPr>
      <w:rPr>
        <w:rFonts w:hint="default"/>
        <w:lang w:val="en-US" w:eastAsia="en-US" w:bidi="ar-SA"/>
      </w:rPr>
    </w:lvl>
    <w:lvl w:ilvl="3" w:tplc="D8A2659C">
      <w:numFmt w:val="bullet"/>
      <w:lvlText w:val="•"/>
      <w:lvlJc w:val="left"/>
      <w:pPr>
        <w:ind w:left="4258" w:hanging="851"/>
      </w:pPr>
      <w:rPr>
        <w:rFonts w:hint="default"/>
        <w:lang w:val="en-US" w:eastAsia="en-US" w:bidi="ar-SA"/>
      </w:rPr>
    </w:lvl>
    <w:lvl w:ilvl="4" w:tplc="88245E44">
      <w:numFmt w:val="bullet"/>
      <w:lvlText w:val="•"/>
      <w:lvlJc w:val="left"/>
      <w:pPr>
        <w:ind w:left="5068" w:hanging="851"/>
      </w:pPr>
      <w:rPr>
        <w:rFonts w:hint="default"/>
        <w:lang w:val="en-US" w:eastAsia="en-US" w:bidi="ar-SA"/>
      </w:rPr>
    </w:lvl>
    <w:lvl w:ilvl="5" w:tplc="E04C44E8">
      <w:numFmt w:val="bullet"/>
      <w:lvlText w:val="•"/>
      <w:lvlJc w:val="left"/>
      <w:pPr>
        <w:ind w:left="5877" w:hanging="851"/>
      </w:pPr>
      <w:rPr>
        <w:rFonts w:hint="default"/>
        <w:lang w:val="en-US" w:eastAsia="en-US" w:bidi="ar-SA"/>
      </w:rPr>
    </w:lvl>
    <w:lvl w:ilvl="6" w:tplc="F7F8980C">
      <w:numFmt w:val="bullet"/>
      <w:lvlText w:val="•"/>
      <w:lvlJc w:val="left"/>
      <w:pPr>
        <w:ind w:left="6686" w:hanging="851"/>
      </w:pPr>
      <w:rPr>
        <w:rFonts w:hint="default"/>
        <w:lang w:val="en-US" w:eastAsia="en-US" w:bidi="ar-SA"/>
      </w:rPr>
    </w:lvl>
    <w:lvl w:ilvl="7" w:tplc="930465BE">
      <w:numFmt w:val="bullet"/>
      <w:lvlText w:val="•"/>
      <w:lvlJc w:val="left"/>
      <w:pPr>
        <w:ind w:left="7496" w:hanging="851"/>
      </w:pPr>
      <w:rPr>
        <w:rFonts w:hint="default"/>
        <w:lang w:val="en-US" w:eastAsia="en-US" w:bidi="ar-SA"/>
      </w:rPr>
    </w:lvl>
    <w:lvl w:ilvl="8" w:tplc="CB18CCB4">
      <w:numFmt w:val="bullet"/>
      <w:lvlText w:val="•"/>
      <w:lvlJc w:val="left"/>
      <w:pPr>
        <w:ind w:left="8305" w:hanging="851"/>
      </w:pPr>
      <w:rPr>
        <w:rFonts w:hint="default"/>
        <w:lang w:val="en-US" w:eastAsia="en-US" w:bidi="ar-SA"/>
      </w:rPr>
    </w:lvl>
  </w:abstractNum>
  <w:abstractNum w:abstractNumId="44" w15:restartNumberingAfterBreak="0">
    <w:nsid w:val="40EC5224"/>
    <w:multiLevelType w:val="hybridMultilevel"/>
    <w:tmpl w:val="07BE8356"/>
    <w:lvl w:ilvl="0" w:tplc="EDF43046">
      <w:start w:val="9"/>
      <w:numFmt w:val="decimal"/>
      <w:lvlText w:val="%1"/>
      <w:lvlJc w:val="left"/>
      <w:pPr>
        <w:ind w:left="238" w:hanging="387"/>
        <w:jc w:val="left"/>
      </w:pPr>
      <w:rPr>
        <w:rFonts w:hint="default"/>
        <w:lang w:val="en-US" w:eastAsia="en-US" w:bidi="ar-SA"/>
      </w:rPr>
    </w:lvl>
    <w:lvl w:ilvl="1" w:tplc="64E8717A">
      <w:start w:val="1"/>
      <w:numFmt w:val="decimal"/>
      <w:lvlText w:val="%1.%2"/>
      <w:lvlJc w:val="left"/>
      <w:pPr>
        <w:ind w:left="238" w:hanging="387"/>
        <w:jc w:val="left"/>
      </w:pPr>
      <w:rPr>
        <w:rFonts w:hint="default"/>
        <w:w w:val="99"/>
        <w:lang w:val="en-US" w:eastAsia="en-US" w:bidi="ar-SA"/>
      </w:rPr>
    </w:lvl>
    <w:lvl w:ilvl="2" w:tplc="C0B4321A">
      <w:numFmt w:val="bullet"/>
      <w:lvlText w:val="•"/>
      <w:lvlJc w:val="left"/>
      <w:pPr>
        <w:ind w:left="2176" w:hanging="387"/>
      </w:pPr>
      <w:rPr>
        <w:rFonts w:hint="default"/>
        <w:lang w:val="en-US" w:eastAsia="en-US" w:bidi="ar-SA"/>
      </w:rPr>
    </w:lvl>
    <w:lvl w:ilvl="3" w:tplc="71C2AE5A">
      <w:numFmt w:val="bullet"/>
      <w:lvlText w:val="•"/>
      <w:lvlJc w:val="left"/>
      <w:pPr>
        <w:ind w:left="3145" w:hanging="387"/>
      </w:pPr>
      <w:rPr>
        <w:rFonts w:hint="default"/>
        <w:lang w:val="en-US" w:eastAsia="en-US" w:bidi="ar-SA"/>
      </w:rPr>
    </w:lvl>
    <w:lvl w:ilvl="4" w:tplc="1F22E084">
      <w:numFmt w:val="bullet"/>
      <w:lvlText w:val="•"/>
      <w:lvlJc w:val="left"/>
      <w:pPr>
        <w:ind w:left="4113" w:hanging="387"/>
      </w:pPr>
      <w:rPr>
        <w:rFonts w:hint="default"/>
        <w:lang w:val="en-US" w:eastAsia="en-US" w:bidi="ar-SA"/>
      </w:rPr>
    </w:lvl>
    <w:lvl w:ilvl="5" w:tplc="E72052E4">
      <w:numFmt w:val="bullet"/>
      <w:lvlText w:val="•"/>
      <w:lvlJc w:val="left"/>
      <w:pPr>
        <w:ind w:left="5082" w:hanging="387"/>
      </w:pPr>
      <w:rPr>
        <w:rFonts w:hint="default"/>
        <w:lang w:val="en-US" w:eastAsia="en-US" w:bidi="ar-SA"/>
      </w:rPr>
    </w:lvl>
    <w:lvl w:ilvl="6" w:tplc="62B41790">
      <w:numFmt w:val="bullet"/>
      <w:lvlText w:val="•"/>
      <w:lvlJc w:val="left"/>
      <w:pPr>
        <w:ind w:left="6050" w:hanging="387"/>
      </w:pPr>
      <w:rPr>
        <w:rFonts w:hint="default"/>
        <w:lang w:val="en-US" w:eastAsia="en-US" w:bidi="ar-SA"/>
      </w:rPr>
    </w:lvl>
    <w:lvl w:ilvl="7" w:tplc="704A3154">
      <w:numFmt w:val="bullet"/>
      <w:lvlText w:val="•"/>
      <w:lvlJc w:val="left"/>
      <w:pPr>
        <w:ind w:left="7019" w:hanging="387"/>
      </w:pPr>
      <w:rPr>
        <w:rFonts w:hint="default"/>
        <w:lang w:val="en-US" w:eastAsia="en-US" w:bidi="ar-SA"/>
      </w:rPr>
    </w:lvl>
    <w:lvl w:ilvl="8" w:tplc="AC804B92">
      <w:numFmt w:val="bullet"/>
      <w:lvlText w:val="•"/>
      <w:lvlJc w:val="left"/>
      <w:pPr>
        <w:ind w:left="7987" w:hanging="387"/>
      </w:pPr>
      <w:rPr>
        <w:rFonts w:hint="default"/>
        <w:lang w:val="en-US" w:eastAsia="en-US" w:bidi="ar-SA"/>
      </w:rPr>
    </w:lvl>
  </w:abstractNum>
  <w:abstractNum w:abstractNumId="45" w15:restartNumberingAfterBreak="0">
    <w:nsid w:val="43E15F03"/>
    <w:multiLevelType w:val="hybridMultilevel"/>
    <w:tmpl w:val="81FC1B98"/>
    <w:lvl w:ilvl="0" w:tplc="0F02FBE2">
      <w:numFmt w:val="bullet"/>
      <w:lvlText w:val=""/>
      <w:lvlJc w:val="left"/>
      <w:pPr>
        <w:ind w:left="1940" w:hanging="851"/>
      </w:pPr>
      <w:rPr>
        <w:rFonts w:ascii="Symbol" w:eastAsia="Symbol" w:hAnsi="Symbol" w:cs="Symbol" w:hint="default"/>
        <w:b w:val="0"/>
        <w:bCs w:val="0"/>
        <w:i w:val="0"/>
        <w:iCs w:val="0"/>
        <w:w w:val="99"/>
        <w:sz w:val="24"/>
        <w:szCs w:val="24"/>
        <w:lang w:val="en-US" w:eastAsia="en-US" w:bidi="ar-SA"/>
      </w:rPr>
    </w:lvl>
    <w:lvl w:ilvl="1" w:tplc="AD1C9E06">
      <w:numFmt w:val="bullet"/>
      <w:lvlText w:val="•"/>
      <w:lvlJc w:val="left"/>
      <w:pPr>
        <w:ind w:left="2738" w:hanging="851"/>
      </w:pPr>
      <w:rPr>
        <w:rFonts w:hint="default"/>
        <w:lang w:val="en-US" w:eastAsia="en-US" w:bidi="ar-SA"/>
      </w:rPr>
    </w:lvl>
    <w:lvl w:ilvl="2" w:tplc="B6C2E660">
      <w:numFmt w:val="bullet"/>
      <w:lvlText w:val="•"/>
      <w:lvlJc w:val="left"/>
      <w:pPr>
        <w:ind w:left="3536" w:hanging="851"/>
      </w:pPr>
      <w:rPr>
        <w:rFonts w:hint="default"/>
        <w:lang w:val="en-US" w:eastAsia="en-US" w:bidi="ar-SA"/>
      </w:rPr>
    </w:lvl>
    <w:lvl w:ilvl="3" w:tplc="7B8C2364">
      <w:numFmt w:val="bullet"/>
      <w:lvlText w:val="•"/>
      <w:lvlJc w:val="left"/>
      <w:pPr>
        <w:ind w:left="4335" w:hanging="851"/>
      </w:pPr>
      <w:rPr>
        <w:rFonts w:hint="default"/>
        <w:lang w:val="en-US" w:eastAsia="en-US" w:bidi="ar-SA"/>
      </w:rPr>
    </w:lvl>
    <w:lvl w:ilvl="4" w:tplc="28826986">
      <w:numFmt w:val="bullet"/>
      <w:lvlText w:val="•"/>
      <w:lvlJc w:val="left"/>
      <w:pPr>
        <w:ind w:left="5133" w:hanging="851"/>
      </w:pPr>
      <w:rPr>
        <w:rFonts w:hint="default"/>
        <w:lang w:val="en-US" w:eastAsia="en-US" w:bidi="ar-SA"/>
      </w:rPr>
    </w:lvl>
    <w:lvl w:ilvl="5" w:tplc="B9FEF09C">
      <w:numFmt w:val="bullet"/>
      <w:lvlText w:val="•"/>
      <w:lvlJc w:val="left"/>
      <w:pPr>
        <w:ind w:left="5932" w:hanging="851"/>
      </w:pPr>
      <w:rPr>
        <w:rFonts w:hint="default"/>
        <w:lang w:val="en-US" w:eastAsia="en-US" w:bidi="ar-SA"/>
      </w:rPr>
    </w:lvl>
    <w:lvl w:ilvl="6" w:tplc="4322CE14">
      <w:numFmt w:val="bullet"/>
      <w:lvlText w:val="•"/>
      <w:lvlJc w:val="left"/>
      <w:pPr>
        <w:ind w:left="6730" w:hanging="851"/>
      </w:pPr>
      <w:rPr>
        <w:rFonts w:hint="default"/>
        <w:lang w:val="en-US" w:eastAsia="en-US" w:bidi="ar-SA"/>
      </w:rPr>
    </w:lvl>
    <w:lvl w:ilvl="7" w:tplc="52CCAB8C">
      <w:numFmt w:val="bullet"/>
      <w:lvlText w:val="•"/>
      <w:lvlJc w:val="left"/>
      <w:pPr>
        <w:ind w:left="7529" w:hanging="851"/>
      </w:pPr>
      <w:rPr>
        <w:rFonts w:hint="default"/>
        <w:lang w:val="en-US" w:eastAsia="en-US" w:bidi="ar-SA"/>
      </w:rPr>
    </w:lvl>
    <w:lvl w:ilvl="8" w:tplc="BACCAB46">
      <w:numFmt w:val="bullet"/>
      <w:lvlText w:val="•"/>
      <w:lvlJc w:val="left"/>
      <w:pPr>
        <w:ind w:left="8327" w:hanging="851"/>
      </w:pPr>
      <w:rPr>
        <w:rFonts w:hint="default"/>
        <w:lang w:val="en-US" w:eastAsia="en-US" w:bidi="ar-SA"/>
      </w:rPr>
    </w:lvl>
  </w:abstractNum>
  <w:abstractNum w:abstractNumId="46" w15:restartNumberingAfterBreak="0">
    <w:nsid w:val="464A3DB7"/>
    <w:multiLevelType w:val="hybridMultilevel"/>
    <w:tmpl w:val="AD3EA916"/>
    <w:lvl w:ilvl="0" w:tplc="2BC0DBAC">
      <w:numFmt w:val="bullet"/>
      <w:lvlText w:val="•"/>
      <w:lvlJc w:val="left"/>
      <w:pPr>
        <w:ind w:left="1942" w:hanging="849"/>
      </w:pPr>
      <w:rPr>
        <w:rFonts w:ascii="Arial" w:eastAsia="Arial" w:hAnsi="Arial" w:cs="Arial" w:hint="default"/>
        <w:b w:val="0"/>
        <w:bCs w:val="0"/>
        <w:i w:val="0"/>
        <w:iCs w:val="0"/>
        <w:color w:val="0C0C0C"/>
        <w:w w:val="105"/>
        <w:sz w:val="21"/>
        <w:szCs w:val="21"/>
        <w:lang w:val="en-US" w:eastAsia="en-US" w:bidi="ar-SA"/>
      </w:rPr>
    </w:lvl>
    <w:lvl w:ilvl="1" w:tplc="E090B022">
      <w:numFmt w:val="bullet"/>
      <w:lvlText w:val="•"/>
      <w:lvlJc w:val="left"/>
      <w:pPr>
        <w:ind w:left="2738" w:hanging="849"/>
      </w:pPr>
      <w:rPr>
        <w:rFonts w:hint="default"/>
        <w:lang w:val="en-US" w:eastAsia="en-US" w:bidi="ar-SA"/>
      </w:rPr>
    </w:lvl>
    <w:lvl w:ilvl="2" w:tplc="74763046">
      <w:numFmt w:val="bullet"/>
      <w:lvlText w:val="•"/>
      <w:lvlJc w:val="left"/>
      <w:pPr>
        <w:ind w:left="3536" w:hanging="849"/>
      </w:pPr>
      <w:rPr>
        <w:rFonts w:hint="default"/>
        <w:lang w:val="en-US" w:eastAsia="en-US" w:bidi="ar-SA"/>
      </w:rPr>
    </w:lvl>
    <w:lvl w:ilvl="3" w:tplc="572A36BE">
      <w:numFmt w:val="bullet"/>
      <w:lvlText w:val="•"/>
      <w:lvlJc w:val="left"/>
      <w:pPr>
        <w:ind w:left="4335" w:hanging="849"/>
      </w:pPr>
      <w:rPr>
        <w:rFonts w:hint="default"/>
        <w:lang w:val="en-US" w:eastAsia="en-US" w:bidi="ar-SA"/>
      </w:rPr>
    </w:lvl>
    <w:lvl w:ilvl="4" w:tplc="6D0E4E7A">
      <w:numFmt w:val="bullet"/>
      <w:lvlText w:val="•"/>
      <w:lvlJc w:val="left"/>
      <w:pPr>
        <w:ind w:left="5133" w:hanging="849"/>
      </w:pPr>
      <w:rPr>
        <w:rFonts w:hint="default"/>
        <w:lang w:val="en-US" w:eastAsia="en-US" w:bidi="ar-SA"/>
      </w:rPr>
    </w:lvl>
    <w:lvl w:ilvl="5" w:tplc="F48E860C">
      <w:numFmt w:val="bullet"/>
      <w:lvlText w:val="•"/>
      <w:lvlJc w:val="left"/>
      <w:pPr>
        <w:ind w:left="5932" w:hanging="849"/>
      </w:pPr>
      <w:rPr>
        <w:rFonts w:hint="default"/>
        <w:lang w:val="en-US" w:eastAsia="en-US" w:bidi="ar-SA"/>
      </w:rPr>
    </w:lvl>
    <w:lvl w:ilvl="6" w:tplc="16FC34BC">
      <w:numFmt w:val="bullet"/>
      <w:lvlText w:val="•"/>
      <w:lvlJc w:val="left"/>
      <w:pPr>
        <w:ind w:left="6730" w:hanging="849"/>
      </w:pPr>
      <w:rPr>
        <w:rFonts w:hint="default"/>
        <w:lang w:val="en-US" w:eastAsia="en-US" w:bidi="ar-SA"/>
      </w:rPr>
    </w:lvl>
    <w:lvl w:ilvl="7" w:tplc="6CEAE7E8">
      <w:numFmt w:val="bullet"/>
      <w:lvlText w:val="•"/>
      <w:lvlJc w:val="left"/>
      <w:pPr>
        <w:ind w:left="7529" w:hanging="849"/>
      </w:pPr>
      <w:rPr>
        <w:rFonts w:hint="default"/>
        <w:lang w:val="en-US" w:eastAsia="en-US" w:bidi="ar-SA"/>
      </w:rPr>
    </w:lvl>
    <w:lvl w:ilvl="8" w:tplc="53BA99CC">
      <w:numFmt w:val="bullet"/>
      <w:lvlText w:val="•"/>
      <w:lvlJc w:val="left"/>
      <w:pPr>
        <w:ind w:left="8327" w:hanging="849"/>
      </w:pPr>
      <w:rPr>
        <w:rFonts w:hint="default"/>
        <w:lang w:val="en-US" w:eastAsia="en-US" w:bidi="ar-SA"/>
      </w:rPr>
    </w:lvl>
  </w:abstractNum>
  <w:abstractNum w:abstractNumId="47" w15:restartNumberingAfterBreak="0">
    <w:nsid w:val="46B1398F"/>
    <w:multiLevelType w:val="hybridMultilevel"/>
    <w:tmpl w:val="CB9A47C8"/>
    <w:lvl w:ilvl="0" w:tplc="22D25A9A">
      <w:start w:val="6"/>
      <w:numFmt w:val="decimal"/>
      <w:lvlText w:val="%1"/>
      <w:lvlJc w:val="left"/>
      <w:pPr>
        <w:ind w:left="1088" w:hanging="851"/>
        <w:jc w:val="left"/>
      </w:pPr>
      <w:rPr>
        <w:rFonts w:hint="default"/>
        <w:lang w:val="en-US" w:eastAsia="en-US" w:bidi="ar-SA"/>
      </w:rPr>
    </w:lvl>
    <w:lvl w:ilvl="1" w:tplc="56BA90FC">
      <w:start w:val="5"/>
      <w:numFmt w:val="decimal"/>
      <w:lvlText w:val="%1.%2"/>
      <w:lvlJc w:val="left"/>
      <w:pPr>
        <w:ind w:left="1088" w:hanging="851"/>
        <w:jc w:val="left"/>
      </w:pPr>
      <w:rPr>
        <w:rFonts w:ascii="Calibri" w:eastAsia="Calibri" w:hAnsi="Calibri" w:cs="Calibri" w:hint="default"/>
        <w:b w:val="0"/>
        <w:bCs w:val="0"/>
        <w:i w:val="0"/>
        <w:iCs w:val="0"/>
        <w:w w:val="99"/>
        <w:sz w:val="22"/>
        <w:szCs w:val="22"/>
        <w:lang w:val="en-US" w:eastAsia="en-US" w:bidi="ar-SA"/>
      </w:rPr>
    </w:lvl>
    <w:lvl w:ilvl="2" w:tplc="78221304">
      <w:start w:val="1"/>
      <w:numFmt w:val="decimal"/>
      <w:lvlText w:val="%1.%2.%3"/>
      <w:lvlJc w:val="left"/>
      <w:pPr>
        <w:ind w:left="1089" w:hanging="851"/>
        <w:jc w:val="left"/>
      </w:pPr>
      <w:rPr>
        <w:rFonts w:ascii="Calibri" w:eastAsia="Calibri" w:hAnsi="Calibri" w:cs="Calibri" w:hint="default"/>
        <w:b w:val="0"/>
        <w:bCs w:val="0"/>
        <w:i w:val="0"/>
        <w:iCs w:val="0"/>
        <w:w w:val="99"/>
        <w:sz w:val="22"/>
        <w:szCs w:val="22"/>
        <w:lang w:val="en-US" w:eastAsia="en-US" w:bidi="ar-SA"/>
      </w:rPr>
    </w:lvl>
    <w:lvl w:ilvl="3" w:tplc="EB584940">
      <w:numFmt w:val="bullet"/>
      <w:lvlText w:val="•"/>
      <w:lvlJc w:val="left"/>
      <w:pPr>
        <w:ind w:left="3733" w:hanging="851"/>
      </w:pPr>
      <w:rPr>
        <w:rFonts w:hint="default"/>
        <w:lang w:val="en-US" w:eastAsia="en-US" w:bidi="ar-SA"/>
      </w:rPr>
    </w:lvl>
    <w:lvl w:ilvl="4" w:tplc="7F8A35D0">
      <w:numFmt w:val="bullet"/>
      <w:lvlText w:val="•"/>
      <w:lvlJc w:val="left"/>
      <w:pPr>
        <w:ind w:left="4617" w:hanging="851"/>
      </w:pPr>
      <w:rPr>
        <w:rFonts w:hint="default"/>
        <w:lang w:val="en-US" w:eastAsia="en-US" w:bidi="ar-SA"/>
      </w:rPr>
    </w:lvl>
    <w:lvl w:ilvl="5" w:tplc="C1F8D560">
      <w:numFmt w:val="bullet"/>
      <w:lvlText w:val="•"/>
      <w:lvlJc w:val="left"/>
      <w:pPr>
        <w:ind w:left="5502" w:hanging="851"/>
      </w:pPr>
      <w:rPr>
        <w:rFonts w:hint="default"/>
        <w:lang w:val="en-US" w:eastAsia="en-US" w:bidi="ar-SA"/>
      </w:rPr>
    </w:lvl>
    <w:lvl w:ilvl="6" w:tplc="5EEE25D6">
      <w:numFmt w:val="bullet"/>
      <w:lvlText w:val="•"/>
      <w:lvlJc w:val="left"/>
      <w:pPr>
        <w:ind w:left="6386" w:hanging="851"/>
      </w:pPr>
      <w:rPr>
        <w:rFonts w:hint="default"/>
        <w:lang w:val="en-US" w:eastAsia="en-US" w:bidi="ar-SA"/>
      </w:rPr>
    </w:lvl>
    <w:lvl w:ilvl="7" w:tplc="0D108962">
      <w:numFmt w:val="bullet"/>
      <w:lvlText w:val="•"/>
      <w:lvlJc w:val="left"/>
      <w:pPr>
        <w:ind w:left="7271" w:hanging="851"/>
      </w:pPr>
      <w:rPr>
        <w:rFonts w:hint="default"/>
        <w:lang w:val="en-US" w:eastAsia="en-US" w:bidi="ar-SA"/>
      </w:rPr>
    </w:lvl>
    <w:lvl w:ilvl="8" w:tplc="1A2C4F1A">
      <w:numFmt w:val="bullet"/>
      <w:lvlText w:val="•"/>
      <w:lvlJc w:val="left"/>
      <w:pPr>
        <w:ind w:left="8155" w:hanging="851"/>
      </w:pPr>
      <w:rPr>
        <w:rFonts w:hint="default"/>
        <w:lang w:val="en-US" w:eastAsia="en-US" w:bidi="ar-SA"/>
      </w:rPr>
    </w:lvl>
  </w:abstractNum>
  <w:abstractNum w:abstractNumId="48" w15:restartNumberingAfterBreak="0">
    <w:nsid w:val="4985302B"/>
    <w:multiLevelType w:val="hybridMultilevel"/>
    <w:tmpl w:val="604217A2"/>
    <w:lvl w:ilvl="0" w:tplc="0AB663B2">
      <w:numFmt w:val="bullet"/>
      <w:lvlText w:val="•"/>
      <w:lvlJc w:val="left"/>
      <w:pPr>
        <w:ind w:left="1940" w:hanging="855"/>
      </w:pPr>
      <w:rPr>
        <w:rFonts w:ascii="Arial" w:eastAsia="Arial" w:hAnsi="Arial" w:cs="Arial" w:hint="default"/>
        <w:b w:val="0"/>
        <w:bCs w:val="0"/>
        <w:i w:val="0"/>
        <w:iCs w:val="0"/>
        <w:color w:val="0C0C0C"/>
        <w:w w:val="102"/>
        <w:sz w:val="21"/>
        <w:szCs w:val="21"/>
        <w:lang w:val="en-US" w:eastAsia="en-US" w:bidi="ar-SA"/>
      </w:rPr>
    </w:lvl>
    <w:lvl w:ilvl="1" w:tplc="3A4CE84E">
      <w:numFmt w:val="bullet"/>
      <w:lvlText w:val="•"/>
      <w:lvlJc w:val="left"/>
      <w:pPr>
        <w:ind w:left="2738" w:hanging="855"/>
      </w:pPr>
      <w:rPr>
        <w:rFonts w:hint="default"/>
        <w:lang w:val="en-US" w:eastAsia="en-US" w:bidi="ar-SA"/>
      </w:rPr>
    </w:lvl>
    <w:lvl w:ilvl="2" w:tplc="A94C6A72">
      <w:numFmt w:val="bullet"/>
      <w:lvlText w:val="•"/>
      <w:lvlJc w:val="left"/>
      <w:pPr>
        <w:ind w:left="3536" w:hanging="855"/>
      </w:pPr>
      <w:rPr>
        <w:rFonts w:hint="default"/>
        <w:lang w:val="en-US" w:eastAsia="en-US" w:bidi="ar-SA"/>
      </w:rPr>
    </w:lvl>
    <w:lvl w:ilvl="3" w:tplc="023C36E4">
      <w:numFmt w:val="bullet"/>
      <w:lvlText w:val="•"/>
      <w:lvlJc w:val="left"/>
      <w:pPr>
        <w:ind w:left="4335" w:hanging="855"/>
      </w:pPr>
      <w:rPr>
        <w:rFonts w:hint="default"/>
        <w:lang w:val="en-US" w:eastAsia="en-US" w:bidi="ar-SA"/>
      </w:rPr>
    </w:lvl>
    <w:lvl w:ilvl="4" w:tplc="2B62A282">
      <w:numFmt w:val="bullet"/>
      <w:lvlText w:val="•"/>
      <w:lvlJc w:val="left"/>
      <w:pPr>
        <w:ind w:left="5133" w:hanging="855"/>
      </w:pPr>
      <w:rPr>
        <w:rFonts w:hint="default"/>
        <w:lang w:val="en-US" w:eastAsia="en-US" w:bidi="ar-SA"/>
      </w:rPr>
    </w:lvl>
    <w:lvl w:ilvl="5" w:tplc="FA7AB088">
      <w:numFmt w:val="bullet"/>
      <w:lvlText w:val="•"/>
      <w:lvlJc w:val="left"/>
      <w:pPr>
        <w:ind w:left="5932" w:hanging="855"/>
      </w:pPr>
      <w:rPr>
        <w:rFonts w:hint="default"/>
        <w:lang w:val="en-US" w:eastAsia="en-US" w:bidi="ar-SA"/>
      </w:rPr>
    </w:lvl>
    <w:lvl w:ilvl="6" w:tplc="CCC2D696">
      <w:numFmt w:val="bullet"/>
      <w:lvlText w:val="•"/>
      <w:lvlJc w:val="left"/>
      <w:pPr>
        <w:ind w:left="6730" w:hanging="855"/>
      </w:pPr>
      <w:rPr>
        <w:rFonts w:hint="default"/>
        <w:lang w:val="en-US" w:eastAsia="en-US" w:bidi="ar-SA"/>
      </w:rPr>
    </w:lvl>
    <w:lvl w:ilvl="7" w:tplc="D44A9DBC">
      <w:numFmt w:val="bullet"/>
      <w:lvlText w:val="•"/>
      <w:lvlJc w:val="left"/>
      <w:pPr>
        <w:ind w:left="7529" w:hanging="855"/>
      </w:pPr>
      <w:rPr>
        <w:rFonts w:hint="default"/>
        <w:lang w:val="en-US" w:eastAsia="en-US" w:bidi="ar-SA"/>
      </w:rPr>
    </w:lvl>
    <w:lvl w:ilvl="8" w:tplc="AD08785A">
      <w:numFmt w:val="bullet"/>
      <w:lvlText w:val="•"/>
      <w:lvlJc w:val="left"/>
      <w:pPr>
        <w:ind w:left="8327" w:hanging="855"/>
      </w:pPr>
      <w:rPr>
        <w:rFonts w:hint="default"/>
        <w:lang w:val="en-US" w:eastAsia="en-US" w:bidi="ar-SA"/>
      </w:rPr>
    </w:lvl>
  </w:abstractNum>
  <w:abstractNum w:abstractNumId="49" w15:restartNumberingAfterBreak="0">
    <w:nsid w:val="4AAE394E"/>
    <w:multiLevelType w:val="hybridMultilevel"/>
    <w:tmpl w:val="60621694"/>
    <w:lvl w:ilvl="0" w:tplc="A0380D6E">
      <w:numFmt w:val="bullet"/>
      <w:lvlText w:val=""/>
      <w:lvlJc w:val="left"/>
      <w:pPr>
        <w:ind w:left="1939" w:hanging="851"/>
      </w:pPr>
      <w:rPr>
        <w:rFonts w:ascii="Symbol" w:eastAsia="Symbol" w:hAnsi="Symbol" w:cs="Symbol" w:hint="default"/>
        <w:b w:val="0"/>
        <w:bCs w:val="0"/>
        <w:i w:val="0"/>
        <w:iCs w:val="0"/>
        <w:w w:val="99"/>
        <w:sz w:val="24"/>
        <w:szCs w:val="24"/>
        <w:lang w:val="en-US" w:eastAsia="en-US" w:bidi="ar-SA"/>
      </w:rPr>
    </w:lvl>
    <w:lvl w:ilvl="1" w:tplc="7100961A">
      <w:numFmt w:val="bullet"/>
      <w:lvlText w:val="•"/>
      <w:lvlJc w:val="left"/>
      <w:pPr>
        <w:ind w:left="2738" w:hanging="851"/>
      </w:pPr>
      <w:rPr>
        <w:rFonts w:hint="default"/>
        <w:lang w:val="en-US" w:eastAsia="en-US" w:bidi="ar-SA"/>
      </w:rPr>
    </w:lvl>
    <w:lvl w:ilvl="2" w:tplc="F89C1844">
      <w:numFmt w:val="bullet"/>
      <w:lvlText w:val="•"/>
      <w:lvlJc w:val="left"/>
      <w:pPr>
        <w:ind w:left="3536" w:hanging="851"/>
      </w:pPr>
      <w:rPr>
        <w:rFonts w:hint="default"/>
        <w:lang w:val="en-US" w:eastAsia="en-US" w:bidi="ar-SA"/>
      </w:rPr>
    </w:lvl>
    <w:lvl w:ilvl="3" w:tplc="38069EF6">
      <w:numFmt w:val="bullet"/>
      <w:lvlText w:val="•"/>
      <w:lvlJc w:val="left"/>
      <w:pPr>
        <w:ind w:left="4335" w:hanging="851"/>
      </w:pPr>
      <w:rPr>
        <w:rFonts w:hint="default"/>
        <w:lang w:val="en-US" w:eastAsia="en-US" w:bidi="ar-SA"/>
      </w:rPr>
    </w:lvl>
    <w:lvl w:ilvl="4" w:tplc="AA8C67AC">
      <w:numFmt w:val="bullet"/>
      <w:lvlText w:val="•"/>
      <w:lvlJc w:val="left"/>
      <w:pPr>
        <w:ind w:left="5133" w:hanging="851"/>
      </w:pPr>
      <w:rPr>
        <w:rFonts w:hint="default"/>
        <w:lang w:val="en-US" w:eastAsia="en-US" w:bidi="ar-SA"/>
      </w:rPr>
    </w:lvl>
    <w:lvl w:ilvl="5" w:tplc="909C2D6C">
      <w:numFmt w:val="bullet"/>
      <w:lvlText w:val="•"/>
      <w:lvlJc w:val="left"/>
      <w:pPr>
        <w:ind w:left="5932" w:hanging="851"/>
      </w:pPr>
      <w:rPr>
        <w:rFonts w:hint="default"/>
        <w:lang w:val="en-US" w:eastAsia="en-US" w:bidi="ar-SA"/>
      </w:rPr>
    </w:lvl>
    <w:lvl w:ilvl="6" w:tplc="FD66E63C">
      <w:numFmt w:val="bullet"/>
      <w:lvlText w:val="•"/>
      <w:lvlJc w:val="left"/>
      <w:pPr>
        <w:ind w:left="6730" w:hanging="851"/>
      </w:pPr>
      <w:rPr>
        <w:rFonts w:hint="default"/>
        <w:lang w:val="en-US" w:eastAsia="en-US" w:bidi="ar-SA"/>
      </w:rPr>
    </w:lvl>
    <w:lvl w:ilvl="7" w:tplc="250CA4F0">
      <w:numFmt w:val="bullet"/>
      <w:lvlText w:val="•"/>
      <w:lvlJc w:val="left"/>
      <w:pPr>
        <w:ind w:left="7529" w:hanging="851"/>
      </w:pPr>
      <w:rPr>
        <w:rFonts w:hint="default"/>
        <w:lang w:val="en-US" w:eastAsia="en-US" w:bidi="ar-SA"/>
      </w:rPr>
    </w:lvl>
    <w:lvl w:ilvl="8" w:tplc="2C32D50E">
      <w:numFmt w:val="bullet"/>
      <w:lvlText w:val="•"/>
      <w:lvlJc w:val="left"/>
      <w:pPr>
        <w:ind w:left="8327" w:hanging="851"/>
      </w:pPr>
      <w:rPr>
        <w:rFonts w:hint="default"/>
        <w:lang w:val="en-US" w:eastAsia="en-US" w:bidi="ar-SA"/>
      </w:rPr>
    </w:lvl>
  </w:abstractNum>
  <w:abstractNum w:abstractNumId="50" w15:restartNumberingAfterBreak="0">
    <w:nsid w:val="4BC20C1D"/>
    <w:multiLevelType w:val="hybridMultilevel"/>
    <w:tmpl w:val="E35E3A96"/>
    <w:lvl w:ilvl="0" w:tplc="F9747AA0">
      <w:start w:val="3"/>
      <w:numFmt w:val="decimal"/>
      <w:lvlText w:val="%1"/>
      <w:lvlJc w:val="left"/>
      <w:pPr>
        <w:ind w:left="236" w:hanging="272"/>
        <w:jc w:val="left"/>
      </w:pPr>
      <w:rPr>
        <w:rFonts w:hint="default"/>
        <w:lang w:val="en-US" w:eastAsia="en-US" w:bidi="ar-SA"/>
      </w:rPr>
    </w:lvl>
    <w:lvl w:ilvl="1" w:tplc="B8EEF990">
      <w:start w:val="1"/>
      <w:numFmt w:val="decimal"/>
      <w:lvlText w:val="%1.%2"/>
      <w:lvlJc w:val="left"/>
      <w:pPr>
        <w:ind w:left="236" w:hanging="272"/>
        <w:jc w:val="left"/>
      </w:pPr>
      <w:rPr>
        <w:rFonts w:hint="default"/>
        <w:w w:val="99"/>
        <w:lang w:val="en-US" w:eastAsia="en-US" w:bidi="ar-SA"/>
      </w:rPr>
    </w:lvl>
    <w:lvl w:ilvl="2" w:tplc="C43CB23A">
      <w:start w:val="1"/>
      <w:numFmt w:val="lowerRoman"/>
      <w:lvlText w:val="%3."/>
      <w:lvlJc w:val="left"/>
      <w:pPr>
        <w:ind w:left="4492" w:hanging="851"/>
        <w:jc w:val="left"/>
      </w:pPr>
      <w:rPr>
        <w:rFonts w:ascii="Calibri" w:eastAsia="Calibri" w:hAnsi="Calibri" w:cs="Calibri" w:hint="default"/>
        <w:b w:val="0"/>
        <w:bCs w:val="0"/>
        <w:i/>
        <w:iCs/>
        <w:w w:val="99"/>
        <w:sz w:val="24"/>
        <w:szCs w:val="24"/>
        <w:lang w:val="en-US" w:eastAsia="en-US" w:bidi="ar-SA"/>
      </w:rPr>
    </w:lvl>
    <w:lvl w:ilvl="3" w:tplc="E1503852">
      <w:numFmt w:val="bullet"/>
      <w:lvlText w:val="•"/>
      <w:lvlJc w:val="left"/>
      <w:pPr>
        <w:ind w:left="5705" w:hanging="851"/>
      </w:pPr>
      <w:rPr>
        <w:rFonts w:hint="default"/>
        <w:lang w:val="en-US" w:eastAsia="en-US" w:bidi="ar-SA"/>
      </w:rPr>
    </w:lvl>
    <w:lvl w:ilvl="4" w:tplc="0648437E">
      <w:numFmt w:val="bullet"/>
      <w:lvlText w:val="•"/>
      <w:lvlJc w:val="left"/>
      <w:pPr>
        <w:ind w:left="6308" w:hanging="851"/>
      </w:pPr>
      <w:rPr>
        <w:rFonts w:hint="default"/>
        <w:lang w:val="en-US" w:eastAsia="en-US" w:bidi="ar-SA"/>
      </w:rPr>
    </w:lvl>
    <w:lvl w:ilvl="5" w:tplc="A2A65582">
      <w:numFmt w:val="bullet"/>
      <w:lvlText w:val="•"/>
      <w:lvlJc w:val="left"/>
      <w:pPr>
        <w:ind w:left="6910" w:hanging="851"/>
      </w:pPr>
      <w:rPr>
        <w:rFonts w:hint="default"/>
        <w:lang w:val="en-US" w:eastAsia="en-US" w:bidi="ar-SA"/>
      </w:rPr>
    </w:lvl>
    <w:lvl w:ilvl="6" w:tplc="B940592E">
      <w:numFmt w:val="bullet"/>
      <w:lvlText w:val="•"/>
      <w:lvlJc w:val="left"/>
      <w:pPr>
        <w:ind w:left="7513" w:hanging="851"/>
      </w:pPr>
      <w:rPr>
        <w:rFonts w:hint="default"/>
        <w:lang w:val="en-US" w:eastAsia="en-US" w:bidi="ar-SA"/>
      </w:rPr>
    </w:lvl>
    <w:lvl w:ilvl="7" w:tplc="B300BADE">
      <w:numFmt w:val="bullet"/>
      <w:lvlText w:val="•"/>
      <w:lvlJc w:val="left"/>
      <w:pPr>
        <w:ind w:left="8116" w:hanging="851"/>
      </w:pPr>
      <w:rPr>
        <w:rFonts w:hint="default"/>
        <w:lang w:val="en-US" w:eastAsia="en-US" w:bidi="ar-SA"/>
      </w:rPr>
    </w:lvl>
    <w:lvl w:ilvl="8" w:tplc="610EBD92">
      <w:numFmt w:val="bullet"/>
      <w:lvlText w:val="•"/>
      <w:lvlJc w:val="left"/>
      <w:pPr>
        <w:ind w:left="8718" w:hanging="851"/>
      </w:pPr>
      <w:rPr>
        <w:rFonts w:hint="default"/>
        <w:lang w:val="en-US" w:eastAsia="en-US" w:bidi="ar-SA"/>
      </w:rPr>
    </w:lvl>
  </w:abstractNum>
  <w:abstractNum w:abstractNumId="51" w15:restartNumberingAfterBreak="0">
    <w:nsid w:val="4C563597"/>
    <w:multiLevelType w:val="hybridMultilevel"/>
    <w:tmpl w:val="52A86570"/>
    <w:lvl w:ilvl="0" w:tplc="EF448B3E">
      <w:numFmt w:val="bullet"/>
      <w:lvlText w:val=""/>
      <w:lvlJc w:val="left"/>
      <w:pPr>
        <w:ind w:left="1939" w:hanging="851"/>
      </w:pPr>
      <w:rPr>
        <w:rFonts w:ascii="Symbol" w:eastAsia="Symbol" w:hAnsi="Symbol" w:cs="Symbol" w:hint="default"/>
        <w:b w:val="0"/>
        <w:bCs w:val="0"/>
        <w:i w:val="0"/>
        <w:iCs w:val="0"/>
        <w:w w:val="99"/>
        <w:sz w:val="24"/>
        <w:szCs w:val="24"/>
        <w:lang w:val="en-US" w:eastAsia="en-US" w:bidi="ar-SA"/>
      </w:rPr>
    </w:lvl>
    <w:lvl w:ilvl="1" w:tplc="64CE8A6C">
      <w:numFmt w:val="bullet"/>
      <w:lvlText w:val="•"/>
      <w:lvlJc w:val="left"/>
      <w:pPr>
        <w:ind w:left="2738" w:hanging="851"/>
      </w:pPr>
      <w:rPr>
        <w:rFonts w:hint="default"/>
        <w:lang w:val="en-US" w:eastAsia="en-US" w:bidi="ar-SA"/>
      </w:rPr>
    </w:lvl>
    <w:lvl w:ilvl="2" w:tplc="F9F6D880">
      <w:numFmt w:val="bullet"/>
      <w:lvlText w:val="•"/>
      <w:lvlJc w:val="left"/>
      <w:pPr>
        <w:ind w:left="3536" w:hanging="851"/>
      </w:pPr>
      <w:rPr>
        <w:rFonts w:hint="default"/>
        <w:lang w:val="en-US" w:eastAsia="en-US" w:bidi="ar-SA"/>
      </w:rPr>
    </w:lvl>
    <w:lvl w:ilvl="3" w:tplc="638EB65A">
      <w:numFmt w:val="bullet"/>
      <w:lvlText w:val="•"/>
      <w:lvlJc w:val="left"/>
      <w:pPr>
        <w:ind w:left="4335" w:hanging="851"/>
      </w:pPr>
      <w:rPr>
        <w:rFonts w:hint="default"/>
        <w:lang w:val="en-US" w:eastAsia="en-US" w:bidi="ar-SA"/>
      </w:rPr>
    </w:lvl>
    <w:lvl w:ilvl="4" w:tplc="0DA0FCB2">
      <w:numFmt w:val="bullet"/>
      <w:lvlText w:val="•"/>
      <w:lvlJc w:val="left"/>
      <w:pPr>
        <w:ind w:left="5133" w:hanging="851"/>
      </w:pPr>
      <w:rPr>
        <w:rFonts w:hint="default"/>
        <w:lang w:val="en-US" w:eastAsia="en-US" w:bidi="ar-SA"/>
      </w:rPr>
    </w:lvl>
    <w:lvl w:ilvl="5" w:tplc="CAD84BD0">
      <w:numFmt w:val="bullet"/>
      <w:lvlText w:val="•"/>
      <w:lvlJc w:val="left"/>
      <w:pPr>
        <w:ind w:left="5932" w:hanging="851"/>
      </w:pPr>
      <w:rPr>
        <w:rFonts w:hint="default"/>
        <w:lang w:val="en-US" w:eastAsia="en-US" w:bidi="ar-SA"/>
      </w:rPr>
    </w:lvl>
    <w:lvl w:ilvl="6" w:tplc="C6368350">
      <w:numFmt w:val="bullet"/>
      <w:lvlText w:val="•"/>
      <w:lvlJc w:val="left"/>
      <w:pPr>
        <w:ind w:left="6730" w:hanging="851"/>
      </w:pPr>
      <w:rPr>
        <w:rFonts w:hint="default"/>
        <w:lang w:val="en-US" w:eastAsia="en-US" w:bidi="ar-SA"/>
      </w:rPr>
    </w:lvl>
    <w:lvl w:ilvl="7" w:tplc="1668D398">
      <w:numFmt w:val="bullet"/>
      <w:lvlText w:val="•"/>
      <w:lvlJc w:val="left"/>
      <w:pPr>
        <w:ind w:left="7529" w:hanging="851"/>
      </w:pPr>
      <w:rPr>
        <w:rFonts w:hint="default"/>
        <w:lang w:val="en-US" w:eastAsia="en-US" w:bidi="ar-SA"/>
      </w:rPr>
    </w:lvl>
    <w:lvl w:ilvl="8" w:tplc="06987742">
      <w:numFmt w:val="bullet"/>
      <w:lvlText w:val="•"/>
      <w:lvlJc w:val="left"/>
      <w:pPr>
        <w:ind w:left="8327" w:hanging="851"/>
      </w:pPr>
      <w:rPr>
        <w:rFonts w:hint="default"/>
        <w:lang w:val="en-US" w:eastAsia="en-US" w:bidi="ar-SA"/>
      </w:rPr>
    </w:lvl>
  </w:abstractNum>
  <w:abstractNum w:abstractNumId="52" w15:restartNumberingAfterBreak="0">
    <w:nsid w:val="4CCF7441"/>
    <w:multiLevelType w:val="hybridMultilevel"/>
    <w:tmpl w:val="5B62163E"/>
    <w:lvl w:ilvl="0" w:tplc="AFD4DF48">
      <w:numFmt w:val="bullet"/>
      <w:lvlText w:val=""/>
      <w:lvlJc w:val="left"/>
      <w:pPr>
        <w:ind w:left="1939" w:hanging="851"/>
      </w:pPr>
      <w:rPr>
        <w:rFonts w:ascii="Symbol" w:eastAsia="Symbol" w:hAnsi="Symbol" w:cs="Symbol" w:hint="default"/>
        <w:b w:val="0"/>
        <w:bCs w:val="0"/>
        <w:i w:val="0"/>
        <w:iCs w:val="0"/>
        <w:w w:val="99"/>
        <w:sz w:val="24"/>
        <w:szCs w:val="24"/>
        <w:lang w:val="en-US" w:eastAsia="en-US" w:bidi="ar-SA"/>
      </w:rPr>
    </w:lvl>
    <w:lvl w:ilvl="1" w:tplc="6A52492A">
      <w:numFmt w:val="bullet"/>
      <w:lvlText w:val="•"/>
      <w:lvlJc w:val="left"/>
      <w:pPr>
        <w:ind w:left="2738" w:hanging="851"/>
      </w:pPr>
      <w:rPr>
        <w:rFonts w:hint="default"/>
        <w:lang w:val="en-US" w:eastAsia="en-US" w:bidi="ar-SA"/>
      </w:rPr>
    </w:lvl>
    <w:lvl w:ilvl="2" w:tplc="1DC09E44">
      <w:numFmt w:val="bullet"/>
      <w:lvlText w:val="•"/>
      <w:lvlJc w:val="left"/>
      <w:pPr>
        <w:ind w:left="3536" w:hanging="851"/>
      </w:pPr>
      <w:rPr>
        <w:rFonts w:hint="default"/>
        <w:lang w:val="en-US" w:eastAsia="en-US" w:bidi="ar-SA"/>
      </w:rPr>
    </w:lvl>
    <w:lvl w:ilvl="3" w:tplc="42A63A88">
      <w:numFmt w:val="bullet"/>
      <w:lvlText w:val="•"/>
      <w:lvlJc w:val="left"/>
      <w:pPr>
        <w:ind w:left="4335" w:hanging="851"/>
      </w:pPr>
      <w:rPr>
        <w:rFonts w:hint="default"/>
        <w:lang w:val="en-US" w:eastAsia="en-US" w:bidi="ar-SA"/>
      </w:rPr>
    </w:lvl>
    <w:lvl w:ilvl="4" w:tplc="D9981C4C">
      <w:numFmt w:val="bullet"/>
      <w:lvlText w:val="•"/>
      <w:lvlJc w:val="left"/>
      <w:pPr>
        <w:ind w:left="5133" w:hanging="851"/>
      </w:pPr>
      <w:rPr>
        <w:rFonts w:hint="default"/>
        <w:lang w:val="en-US" w:eastAsia="en-US" w:bidi="ar-SA"/>
      </w:rPr>
    </w:lvl>
    <w:lvl w:ilvl="5" w:tplc="17FCA62A">
      <w:numFmt w:val="bullet"/>
      <w:lvlText w:val="•"/>
      <w:lvlJc w:val="left"/>
      <w:pPr>
        <w:ind w:left="5932" w:hanging="851"/>
      </w:pPr>
      <w:rPr>
        <w:rFonts w:hint="default"/>
        <w:lang w:val="en-US" w:eastAsia="en-US" w:bidi="ar-SA"/>
      </w:rPr>
    </w:lvl>
    <w:lvl w:ilvl="6" w:tplc="47FCFD58">
      <w:numFmt w:val="bullet"/>
      <w:lvlText w:val="•"/>
      <w:lvlJc w:val="left"/>
      <w:pPr>
        <w:ind w:left="6730" w:hanging="851"/>
      </w:pPr>
      <w:rPr>
        <w:rFonts w:hint="default"/>
        <w:lang w:val="en-US" w:eastAsia="en-US" w:bidi="ar-SA"/>
      </w:rPr>
    </w:lvl>
    <w:lvl w:ilvl="7" w:tplc="E62CBF18">
      <w:numFmt w:val="bullet"/>
      <w:lvlText w:val="•"/>
      <w:lvlJc w:val="left"/>
      <w:pPr>
        <w:ind w:left="7529" w:hanging="851"/>
      </w:pPr>
      <w:rPr>
        <w:rFonts w:hint="default"/>
        <w:lang w:val="en-US" w:eastAsia="en-US" w:bidi="ar-SA"/>
      </w:rPr>
    </w:lvl>
    <w:lvl w:ilvl="8" w:tplc="B1327132">
      <w:numFmt w:val="bullet"/>
      <w:lvlText w:val="•"/>
      <w:lvlJc w:val="left"/>
      <w:pPr>
        <w:ind w:left="8327" w:hanging="851"/>
      </w:pPr>
      <w:rPr>
        <w:rFonts w:hint="default"/>
        <w:lang w:val="en-US" w:eastAsia="en-US" w:bidi="ar-SA"/>
      </w:rPr>
    </w:lvl>
  </w:abstractNum>
  <w:abstractNum w:abstractNumId="53" w15:restartNumberingAfterBreak="0">
    <w:nsid w:val="4CE41EBE"/>
    <w:multiLevelType w:val="hybridMultilevel"/>
    <w:tmpl w:val="2F60F2BC"/>
    <w:lvl w:ilvl="0" w:tplc="D2B049B4">
      <w:start w:val="4"/>
      <w:numFmt w:val="decimal"/>
      <w:lvlText w:val="%1."/>
      <w:lvlJc w:val="left"/>
      <w:pPr>
        <w:ind w:left="2648" w:hanging="851"/>
        <w:jc w:val="left"/>
      </w:pPr>
      <w:rPr>
        <w:rFonts w:ascii="Calibri" w:eastAsia="Calibri" w:hAnsi="Calibri" w:cs="Calibri" w:hint="default"/>
        <w:b/>
        <w:bCs/>
        <w:i w:val="0"/>
        <w:iCs w:val="0"/>
        <w:spacing w:val="-1"/>
        <w:w w:val="99"/>
        <w:sz w:val="24"/>
        <w:szCs w:val="24"/>
        <w:lang w:val="en-US" w:eastAsia="en-US" w:bidi="ar-SA"/>
      </w:rPr>
    </w:lvl>
    <w:lvl w:ilvl="1" w:tplc="CF8A972C">
      <w:numFmt w:val="bullet"/>
      <w:lvlText w:val="•"/>
      <w:lvlJc w:val="left"/>
      <w:pPr>
        <w:ind w:left="3368" w:hanging="851"/>
      </w:pPr>
      <w:rPr>
        <w:rFonts w:hint="default"/>
        <w:lang w:val="en-US" w:eastAsia="en-US" w:bidi="ar-SA"/>
      </w:rPr>
    </w:lvl>
    <w:lvl w:ilvl="2" w:tplc="DFDC7C4E">
      <w:numFmt w:val="bullet"/>
      <w:lvlText w:val="•"/>
      <w:lvlJc w:val="left"/>
      <w:pPr>
        <w:ind w:left="4096" w:hanging="851"/>
      </w:pPr>
      <w:rPr>
        <w:rFonts w:hint="default"/>
        <w:lang w:val="en-US" w:eastAsia="en-US" w:bidi="ar-SA"/>
      </w:rPr>
    </w:lvl>
    <w:lvl w:ilvl="3" w:tplc="46266C16">
      <w:numFmt w:val="bullet"/>
      <w:lvlText w:val="•"/>
      <w:lvlJc w:val="left"/>
      <w:pPr>
        <w:ind w:left="4825" w:hanging="851"/>
      </w:pPr>
      <w:rPr>
        <w:rFonts w:hint="default"/>
        <w:lang w:val="en-US" w:eastAsia="en-US" w:bidi="ar-SA"/>
      </w:rPr>
    </w:lvl>
    <w:lvl w:ilvl="4" w:tplc="FD4E3FD6">
      <w:numFmt w:val="bullet"/>
      <w:lvlText w:val="•"/>
      <w:lvlJc w:val="left"/>
      <w:pPr>
        <w:ind w:left="5553" w:hanging="851"/>
      </w:pPr>
      <w:rPr>
        <w:rFonts w:hint="default"/>
        <w:lang w:val="en-US" w:eastAsia="en-US" w:bidi="ar-SA"/>
      </w:rPr>
    </w:lvl>
    <w:lvl w:ilvl="5" w:tplc="558422DC">
      <w:numFmt w:val="bullet"/>
      <w:lvlText w:val="•"/>
      <w:lvlJc w:val="left"/>
      <w:pPr>
        <w:ind w:left="6282" w:hanging="851"/>
      </w:pPr>
      <w:rPr>
        <w:rFonts w:hint="default"/>
        <w:lang w:val="en-US" w:eastAsia="en-US" w:bidi="ar-SA"/>
      </w:rPr>
    </w:lvl>
    <w:lvl w:ilvl="6" w:tplc="BDCE1372">
      <w:numFmt w:val="bullet"/>
      <w:lvlText w:val="•"/>
      <w:lvlJc w:val="left"/>
      <w:pPr>
        <w:ind w:left="7010" w:hanging="851"/>
      </w:pPr>
      <w:rPr>
        <w:rFonts w:hint="default"/>
        <w:lang w:val="en-US" w:eastAsia="en-US" w:bidi="ar-SA"/>
      </w:rPr>
    </w:lvl>
    <w:lvl w:ilvl="7" w:tplc="6742C11C">
      <w:numFmt w:val="bullet"/>
      <w:lvlText w:val="•"/>
      <w:lvlJc w:val="left"/>
      <w:pPr>
        <w:ind w:left="7739" w:hanging="851"/>
      </w:pPr>
      <w:rPr>
        <w:rFonts w:hint="default"/>
        <w:lang w:val="en-US" w:eastAsia="en-US" w:bidi="ar-SA"/>
      </w:rPr>
    </w:lvl>
    <w:lvl w:ilvl="8" w:tplc="FD8ED888">
      <w:numFmt w:val="bullet"/>
      <w:lvlText w:val="•"/>
      <w:lvlJc w:val="left"/>
      <w:pPr>
        <w:ind w:left="8467" w:hanging="851"/>
      </w:pPr>
      <w:rPr>
        <w:rFonts w:hint="default"/>
        <w:lang w:val="en-US" w:eastAsia="en-US" w:bidi="ar-SA"/>
      </w:rPr>
    </w:lvl>
  </w:abstractNum>
  <w:abstractNum w:abstractNumId="54" w15:restartNumberingAfterBreak="0">
    <w:nsid w:val="50807565"/>
    <w:multiLevelType w:val="hybridMultilevel"/>
    <w:tmpl w:val="D3A05638"/>
    <w:lvl w:ilvl="0" w:tplc="1FF2DF92">
      <w:numFmt w:val="bullet"/>
      <w:lvlText w:val=""/>
      <w:lvlJc w:val="left"/>
      <w:pPr>
        <w:ind w:left="373" w:hanging="361"/>
      </w:pPr>
      <w:rPr>
        <w:rFonts w:ascii="Symbol" w:eastAsia="Symbol" w:hAnsi="Symbol" w:cs="Symbol" w:hint="default"/>
        <w:b w:val="0"/>
        <w:bCs w:val="0"/>
        <w:i w:val="0"/>
        <w:iCs w:val="0"/>
        <w:w w:val="99"/>
        <w:sz w:val="24"/>
        <w:szCs w:val="24"/>
        <w:lang w:val="en-US" w:eastAsia="en-US" w:bidi="ar-SA"/>
      </w:rPr>
    </w:lvl>
    <w:lvl w:ilvl="1" w:tplc="98D22E2E">
      <w:numFmt w:val="bullet"/>
      <w:lvlText w:val="•"/>
      <w:lvlJc w:val="left"/>
      <w:pPr>
        <w:ind w:left="943" w:hanging="361"/>
      </w:pPr>
      <w:rPr>
        <w:rFonts w:hint="default"/>
        <w:lang w:val="en-US" w:eastAsia="en-US" w:bidi="ar-SA"/>
      </w:rPr>
    </w:lvl>
    <w:lvl w:ilvl="2" w:tplc="12B2B664">
      <w:numFmt w:val="bullet"/>
      <w:lvlText w:val="•"/>
      <w:lvlJc w:val="left"/>
      <w:pPr>
        <w:ind w:left="1506" w:hanging="361"/>
      </w:pPr>
      <w:rPr>
        <w:rFonts w:hint="default"/>
        <w:lang w:val="en-US" w:eastAsia="en-US" w:bidi="ar-SA"/>
      </w:rPr>
    </w:lvl>
    <w:lvl w:ilvl="3" w:tplc="B152388C">
      <w:numFmt w:val="bullet"/>
      <w:lvlText w:val="•"/>
      <w:lvlJc w:val="left"/>
      <w:pPr>
        <w:ind w:left="2069" w:hanging="361"/>
      </w:pPr>
      <w:rPr>
        <w:rFonts w:hint="default"/>
        <w:lang w:val="en-US" w:eastAsia="en-US" w:bidi="ar-SA"/>
      </w:rPr>
    </w:lvl>
    <w:lvl w:ilvl="4" w:tplc="C430139A">
      <w:numFmt w:val="bullet"/>
      <w:lvlText w:val="•"/>
      <w:lvlJc w:val="left"/>
      <w:pPr>
        <w:ind w:left="2632" w:hanging="361"/>
      </w:pPr>
      <w:rPr>
        <w:rFonts w:hint="default"/>
        <w:lang w:val="en-US" w:eastAsia="en-US" w:bidi="ar-SA"/>
      </w:rPr>
    </w:lvl>
    <w:lvl w:ilvl="5" w:tplc="457E406A">
      <w:numFmt w:val="bullet"/>
      <w:lvlText w:val="•"/>
      <w:lvlJc w:val="left"/>
      <w:pPr>
        <w:ind w:left="3195" w:hanging="361"/>
      </w:pPr>
      <w:rPr>
        <w:rFonts w:hint="default"/>
        <w:lang w:val="en-US" w:eastAsia="en-US" w:bidi="ar-SA"/>
      </w:rPr>
    </w:lvl>
    <w:lvl w:ilvl="6" w:tplc="A782C8CE">
      <w:numFmt w:val="bullet"/>
      <w:lvlText w:val="•"/>
      <w:lvlJc w:val="left"/>
      <w:pPr>
        <w:ind w:left="3758" w:hanging="361"/>
      </w:pPr>
      <w:rPr>
        <w:rFonts w:hint="default"/>
        <w:lang w:val="en-US" w:eastAsia="en-US" w:bidi="ar-SA"/>
      </w:rPr>
    </w:lvl>
    <w:lvl w:ilvl="7" w:tplc="076C02EC">
      <w:numFmt w:val="bullet"/>
      <w:lvlText w:val="•"/>
      <w:lvlJc w:val="left"/>
      <w:pPr>
        <w:ind w:left="4321" w:hanging="361"/>
      </w:pPr>
      <w:rPr>
        <w:rFonts w:hint="default"/>
        <w:lang w:val="en-US" w:eastAsia="en-US" w:bidi="ar-SA"/>
      </w:rPr>
    </w:lvl>
    <w:lvl w:ilvl="8" w:tplc="95348AAA">
      <w:numFmt w:val="bullet"/>
      <w:lvlText w:val="•"/>
      <w:lvlJc w:val="left"/>
      <w:pPr>
        <w:ind w:left="4884" w:hanging="361"/>
      </w:pPr>
      <w:rPr>
        <w:rFonts w:hint="default"/>
        <w:lang w:val="en-US" w:eastAsia="en-US" w:bidi="ar-SA"/>
      </w:rPr>
    </w:lvl>
  </w:abstractNum>
  <w:abstractNum w:abstractNumId="55" w15:restartNumberingAfterBreak="0">
    <w:nsid w:val="537751B7"/>
    <w:multiLevelType w:val="hybridMultilevel"/>
    <w:tmpl w:val="1F84822E"/>
    <w:lvl w:ilvl="0" w:tplc="8B50F482">
      <w:numFmt w:val="bullet"/>
      <w:lvlText w:val=""/>
      <w:lvlJc w:val="left"/>
      <w:pPr>
        <w:ind w:left="1939" w:hanging="851"/>
      </w:pPr>
      <w:rPr>
        <w:rFonts w:ascii="Symbol" w:eastAsia="Symbol" w:hAnsi="Symbol" w:cs="Symbol" w:hint="default"/>
        <w:b w:val="0"/>
        <w:bCs w:val="0"/>
        <w:i w:val="0"/>
        <w:iCs w:val="0"/>
        <w:w w:val="99"/>
        <w:sz w:val="24"/>
        <w:szCs w:val="24"/>
        <w:lang w:val="en-US" w:eastAsia="en-US" w:bidi="ar-SA"/>
      </w:rPr>
    </w:lvl>
    <w:lvl w:ilvl="1" w:tplc="A7F4A980">
      <w:numFmt w:val="bullet"/>
      <w:lvlText w:val="•"/>
      <w:lvlJc w:val="left"/>
      <w:pPr>
        <w:ind w:left="2738" w:hanging="851"/>
      </w:pPr>
      <w:rPr>
        <w:rFonts w:hint="default"/>
        <w:lang w:val="en-US" w:eastAsia="en-US" w:bidi="ar-SA"/>
      </w:rPr>
    </w:lvl>
    <w:lvl w:ilvl="2" w:tplc="3B520BBE">
      <w:numFmt w:val="bullet"/>
      <w:lvlText w:val="•"/>
      <w:lvlJc w:val="left"/>
      <w:pPr>
        <w:ind w:left="3536" w:hanging="851"/>
      </w:pPr>
      <w:rPr>
        <w:rFonts w:hint="default"/>
        <w:lang w:val="en-US" w:eastAsia="en-US" w:bidi="ar-SA"/>
      </w:rPr>
    </w:lvl>
    <w:lvl w:ilvl="3" w:tplc="E7BA8456">
      <w:numFmt w:val="bullet"/>
      <w:lvlText w:val="•"/>
      <w:lvlJc w:val="left"/>
      <w:pPr>
        <w:ind w:left="4335" w:hanging="851"/>
      </w:pPr>
      <w:rPr>
        <w:rFonts w:hint="default"/>
        <w:lang w:val="en-US" w:eastAsia="en-US" w:bidi="ar-SA"/>
      </w:rPr>
    </w:lvl>
    <w:lvl w:ilvl="4" w:tplc="5B0424E2">
      <w:numFmt w:val="bullet"/>
      <w:lvlText w:val="•"/>
      <w:lvlJc w:val="left"/>
      <w:pPr>
        <w:ind w:left="5133" w:hanging="851"/>
      </w:pPr>
      <w:rPr>
        <w:rFonts w:hint="default"/>
        <w:lang w:val="en-US" w:eastAsia="en-US" w:bidi="ar-SA"/>
      </w:rPr>
    </w:lvl>
    <w:lvl w:ilvl="5" w:tplc="6FF463B0">
      <w:numFmt w:val="bullet"/>
      <w:lvlText w:val="•"/>
      <w:lvlJc w:val="left"/>
      <w:pPr>
        <w:ind w:left="5932" w:hanging="851"/>
      </w:pPr>
      <w:rPr>
        <w:rFonts w:hint="default"/>
        <w:lang w:val="en-US" w:eastAsia="en-US" w:bidi="ar-SA"/>
      </w:rPr>
    </w:lvl>
    <w:lvl w:ilvl="6" w:tplc="D2B88F94">
      <w:numFmt w:val="bullet"/>
      <w:lvlText w:val="•"/>
      <w:lvlJc w:val="left"/>
      <w:pPr>
        <w:ind w:left="6730" w:hanging="851"/>
      </w:pPr>
      <w:rPr>
        <w:rFonts w:hint="default"/>
        <w:lang w:val="en-US" w:eastAsia="en-US" w:bidi="ar-SA"/>
      </w:rPr>
    </w:lvl>
    <w:lvl w:ilvl="7" w:tplc="9C7000AC">
      <w:numFmt w:val="bullet"/>
      <w:lvlText w:val="•"/>
      <w:lvlJc w:val="left"/>
      <w:pPr>
        <w:ind w:left="7529" w:hanging="851"/>
      </w:pPr>
      <w:rPr>
        <w:rFonts w:hint="default"/>
        <w:lang w:val="en-US" w:eastAsia="en-US" w:bidi="ar-SA"/>
      </w:rPr>
    </w:lvl>
    <w:lvl w:ilvl="8" w:tplc="31B6A372">
      <w:numFmt w:val="bullet"/>
      <w:lvlText w:val="•"/>
      <w:lvlJc w:val="left"/>
      <w:pPr>
        <w:ind w:left="8327" w:hanging="851"/>
      </w:pPr>
      <w:rPr>
        <w:rFonts w:hint="default"/>
        <w:lang w:val="en-US" w:eastAsia="en-US" w:bidi="ar-SA"/>
      </w:rPr>
    </w:lvl>
  </w:abstractNum>
  <w:abstractNum w:abstractNumId="56" w15:restartNumberingAfterBreak="0">
    <w:nsid w:val="57291197"/>
    <w:multiLevelType w:val="hybridMultilevel"/>
    <w:tmpl w:val="17E87FC2"/>
    <w:lvl w:ilvl="0" w:tplc="C4266E20">
      <w:start w:val="670"/>
      <w:numFmt w:val="decimal"/>
      <w:lvlText w:val="%1."/>
      <w:lvlJc w:val="left"/>
      <w:pPr>
        <w:ind w:left="236" w:hanging="856"/>
        <w:jc w:val="left"/>
      </w:pPr>
      <w:rPr>
        <w:rFonts w:hint="default"/>
        <w:spacing w:val="-1"/>
        <w:w w:val="108"/>
        <w:lang w:val="en-US" w:eastAsia="en-US" w:bidi="ar-SA"/>
      </w:rPr>
    </w:lvl>
    <w:lvl w:ilvl="1" w:tplc="46B2742E">
      <w:numFmt w:val="bullet"/>
      <w:lvlText w:val="•"/>
      <w:lvlJc w:val="left"/>
      <w:pPr>
        <w:ind w:left="1942" w:hanging="845"/>
      </w:pPr>
      <w:rPr>
        <w:rFonts w:ascii="Arial" w:eastAsia="Arial" w:hAnsi="Arial" w:cs="Arial" w:hint="default"/>
        <w:w w:val="120"/>
        <w:lang w:val="en-US" w:eastAsia="en-US" w:bidi="ar-SA"/>
      </w:rPr>
    </w:lvl>
    <w:lvl w:ilvl="2" w:tplc="91B20790">
      <w:numFmt w:val="bullet"/>
      <w:lvlText w:val="•"/>
      <w:lvlJc w:val="left"/>
      <w:pPr>
        <w:ind w:left="1940" w:hanging="845"/>
      </w:pPr>
      <w:rPr>
        <w:rFonts w:hint="default"/>
        <w:lang w:val="en-US" w:eastAsia="en-US" w:bidi="ar-SA"/>
      </w:rPr>
    </w:lvl>
    <w:lvl w:ilvl="3" w:tplc="656A3076">
      <w:numFmt w:val="bullet"/>
      <w:lvlText w:val="•"/>
      <w:lvlJc w:val="left"/>
      <w:pPr>
        <w:ind w:left="2938" w:hanging="845"/>
      </w:pPr>
      <w:rPr>
        <w:rFonts w:hint="default"/>
        <w:lang w:val="en-US" w:eastAsia="en-US" w:bidi="ar-SA"/>
      </w:rPr>
    </w:lvl>
    <w:lvl w:ilvl="4" w:tplc="81E6E0DC">
      <w:numFmt w:val="bullet"/>
      <w:lvlText w:val="•"/>
      <w:lvlJc w:val="left"/>
      <w:pPr>
        <w:ind w:left="3936" w:hanging="845"/>
      </w:pPr>
      <w:rPr>
        <w:rFonts w:hint="default"/>
        <w:lang w:val="en-US" w:eastAsia="en-US" w:bidi="ar-SA"/>
      </w:rPr>
    </w:lvl>
    <w:lvl w:ilvl="5" w:tplc="F58CB0AA">
      <w:numFmt w:val="bullet"/>
      <w:lvlText w:val="•"/>
      <w:lvlJc w:val="left"/>
      <w:pPr>
        <w:ind w:left="4934" w:hanging="845"/>
      </w:pPr>
      <w:rPr>
        <w:rFonts w:hint="default"/>
        <w:lang w:val="en-US" w:eastAsia="en-US" w:bidi="ar-SA"/>
      </w:rPr>
    </w:lvl>
    <w:lvl w:ilvl="6" w:tplc="FDC4090C">
      <w:numFmt w:val="bullet"/>
      <w:lvlText w:val="•"/>
      <w:lvlJc w:val="left"/>
      <w:pPr>
        <w:ind w:left="5932" w:hanging="845"/>
      </w:pPr>
      <w:rPr>
        <w:rFonts w:hint="default"/>
        <w:lang w:val="en-US" w:eastAsia="en-US" w:bidi="ar-SA"/>
      </w:rPr>
    </w:lvl>
    <w:lvl w:ilvl="7" w:tplc="96527200">
      <w:numFmt w:val="bullet"/>
      <w:lvlText w:val="•"/>
      <w:lvlJc w:val="left"/>
      <w:pPr>
        <w:ind w:left="6930" w:hanging="845"/>
      </w:pPr>
      <w:rPr>
        <w:rFonts w:hint="default"/>
        <w:lang w:val="en-US" w:eastAsia="en-US" w:bidi="ar-SA"/>
      </w:rPr>
    </w:lvl>
    <w:lvl w:ilvl="8" w:tplc="0426950A">
      <w:numFmt w:val="bullet"/>
      <w:lvlText w:val="•"/>
      <w:lvlJc w:val="left"/>
      <w:pPr>
        <w:ind w:left="7928" w:hanging="845"/>
      </w:pPr>
      <w:rPr>
        <w:rFonts w:hint="default"/>
        <w:lang w:val="en-US" w:eastAsia="en-US" w:bidi="ar-SA"/>
      </w:rPr>
    </w:lvl>
  </w:abstractNum>
  <w:abstractNum w:abstractNumId="57" w15:restartNumberingAfterBreak="0">
    <w:nsid w:val="58003154"/>
    <w:multiLevelType w:val="hybridMultilevel"/>
    <w:tmpl w:val="3DE04DD0"/>
    <w:lvl w:ilvl="0" w:tplc="AC5CDFF0">
      <w:start w:val="583"/>
      <w:numFmt w:val="decimal"/>
      <w:lvlText w:val="%1."/>
      <w:lvlJc w:val="left"/>
      <w:pPr>
        <w:ind w:left="231" w:hanging="853"/>
        <w:jc w:val="left"/>
      </w:pPr>
      <w:rPr>
        <w:rFonts w:hint="default"/>
        <w:spacing w:val="-1"/>
        <w:w w:val="111"/>
        <w:lang w:val="en-US" w:eastAsia="en-US" w:bidi="ar-SA"/>
      </w:rPr>
    </w:lvl>
    <w:lvl w:ilvl="1" w:tplc="8FDEBA12">
      <w:start w:val="4"/>
      <w:numFmt w:val="decimal"/>
      <w:lvlText w:val="%2."/>
      <w:lvlJc w:val="left"/>
      <w:pPr>
        <w:ind w:left="2649" w:hanging="851"/>
        <w:jc w:val="left"/>
      </w:pPr>
      <w:rPr>
        <w:rFonts w:ascii="Calibri" w:eastAsia="Calibri" w:hAnsi="Calibri" w:cs="Calibri" w:hint="default"/>
        <w:b/>
        <w:bCs/>
        <w:i w:val="0"/>
        <w:iCs w:val="0"/>
        <w:spacing w:val="-1"/>
        <w:w w:val="99"/>
        <w:sz w:val="24"/>
        <w:szCs w:val="24"/>
        <w:lang w:val="en-US" w:eastAsia="en-US" w:bidi="ar-SA"/>
      </w:rPr>
    </w:lvl>
    <w:lvl w:ilvl="2" w:tplc="E96EC056">
      <w:start w:val="1"/>
      <w:numFmt w:val="lowerLetter"/>
      <w:lvlText w:val="(%3)"/>
      <w:lvlJc w:val="left"/>
      <w:pPr>
        <w:ind w:left="3642" w:hanging="852"/>
        <w:jc w:val="left"/>
      </w:pPr>
      <w:rPr>
        <w:rFonts w:ascii="Calibri" w:eastAsia="Calibri" w:hAnsi="Calibri" w:cs="Calibri" w:hint="default"/>
        <w:b w:val="0"/>
        <w:bCs w:val="0"/>
        <w:i w:val="0"/>
        <w:iCs w:val="0"/>
        <w:w w:val="99"/>
        <w:sz w:val="24"/>
        <w:szCs w:val="24"/>
        <w:u w:val="single" w:color="000000"/>
        <w:lang w:val="en-US" w:eastAsia="en-US" w:bidi="ar-SA"/>
      </w:rPr>
    </w:lvl>
    <w:lvl w:ilvl="3" w:tplc="285EEB26">
      <w:numFmt w:val="bullet"/>
      <w:lvlText w:val="•"/>
      <w:lvlJc w:val="left"/>
      <w:pPr>
        <w:ind w:left="4425" w:hanging="852"/>
      </w:pPr>
      <w:rPr>
        <w:rFonts w:hint="default"/>
        <w:lang w:val="en-US" w:eastAsia="en-US" w:bidi="ar-SA"/>
      </w:rPr>
    </w:lvl>
    <w:lvl w:ilvl="4" w:tplc="B2B0C038">
      <w:numFmt w:val="bullet"/>
      <w:lvlText w:val="•"/>
      <w:lvlJc w:val="left"/>
      <w:pPr>
        <w:ind w:left="5211" w:hanging="852"/>
      </w:pPr>
      <w:rPr>
        <w:rFonts w:hint="default"/>
        <w:lang w:val="en-US" w:eastAsia="en-US" w:bidi="ar-SA"/>
      </w:rPr>
    </w:lvl>
    <w:lvl w:ilvl="5" w:tplc="C5B64A2E">
      <w:numFmt w:val="bullet"/>
      <w:lvlText w:val="•"/>
      <w:lvlJc w:val="left"/>
      <w:pPr>
        <w:ind w:left="5996" w:hanging="852"/>
      </w:pPr>
      <w:rPr>
        <w:rFonts w:hint="default"/>
        <w:lang w:val="en-US" w:eastAsia="en-US" w:bidi="ar-SA"/>
      </w:rPr>
    </w:lvl>
    <w:lvl w:ilvl="6" w:tplc="45C048BC">
      <w:numFmt w:val="bullet"/>
      <w:lvlText w:val="•"/>
      <w:lvlJc w:val="left"/>
      <w:pPr>
        <w:ind w:left="6782" w:hanging="852"/>
      </w:pPr>
      <w:rPr>
        <w:rFonts w:hint="default"/>
        <w:lang w:val="en-US" w:eastAsia="en-US" w:bidi="ar-SA"/>
      </w:rPr>
    </w:lvl>
    <w:lvl w:ilvl="7" w:tplc="C3D08A88">
      <w:numFmt w:val="bullet"/>
      <w:lvlText w:val="•"/>
      <w:lvlJc w:val="left"/>
      <w:pPr>
        <w:ind w:left="7567" w:hanging="852"/>
      </w:pPr>
      <w:rPr>
        <w:rFonts w:hint="default"/>
        <w:lang w:val="en-US" w:eastAsia="en-US" w:bidi="ar-SA"/>
      </w:rPr>
    </w:lvl>
    <w:lvl w:ilvl="8" w:tplc="E43430DA">
      <w:numFmt w:val="bullet"/>
      <w:lvlText w:val="•"/>
      <w:lvlJc w:val="left"/>
      <w:pPr>
        <w:ind w:left="8353" w:hanging="852"/>
      </w:pPr>
      <w:rPr>
        <w:rFonts w:hint="default"/>
        <w:lang w:val="en-US" w:eastAsia="en-US" w:bidi="ar-SA"/>
      </w:rPr>
    </w:lvl>
  </w:abstractNum>
  <w:abstractNum w:abstractNumId="58" w15:restartNumberingAfterBreak="0">
    <w:nsid w:val="59E33048"/>
    <w:multiLevelType w:val="hybridMultilevel"/>
    <w:tmpl w:val="D8688EAA"/>
    <w:lvl w:ilvl="0" w:tplc="A574DE68">
      <w:start w:val="1"/>
      <w:numFmt w:val="lowerRoman"/>
      <w:lvlText w:val="(%1)"/>
      <w:lvlJc w:val="left"/>
      <w:pPr>
        <w:ind w:left="237" w:hanging="281"/>
        <w:jc w:val="left"/>
      </w:pPr>
      <w:rPr>
        <w:rFonts w:ascii="Calibri" w:eastAsia="Calibri" w:hAnsi="Calibri" w:cs="Calibri" w:hint="default"/>
        <w:b w:val="0"/>
        <w:bCs w:val="0"/>
        <w:i w:val="0"/>
        <w:iCs w:val="0"/>
        <w:w w:val="99"/>
        <w:sz w:val="24"/>
        <w:szCs w:val="24"/>
        <w:lang w:val="en-US" w:eastAsia="en-US" w:bidi="ar-SA"/>
      </w:rPr>
    </w:lvl>
    <w:lvl w:ilvl="1" w:tplc="DEAE72E8">
      <w:numFmt w:val="bullet"/>
      <w:lvlText w:val="•"/>
      <w:lvlJc w:val="left"/>
      <w:pPr>
        <w:ind w:left="1208" w:hanging="281"/>
      </w:pPr>
      <w:rPr>
        <w:rFonts w:hint="default"/>
        <w:lang w:val="en-US" w:eastAsia="en-US" w:bidi="ar-SA"/>
      </w:rPr>
    </w:lvl>
    <w:lvl w:ilvl="2" w:tplc="BFD4B5A2">
      <w:numFmt w:val="bullet"/>
      <w:lvlText w:val="•"/>
      <w:lvlJc w:val="left"/>
      <w:pPr>
        <w:ind w:left="2176" w:hanging="281"/>
      </w:pPr>
      <w:rPr>
        <w:rFonts w:hint="default"/>
        <w:lang w:val="en-US" w:eastAsia="en-US" w:bidi="ar-SA"/>
      </w:rPr>
    </w:lvl>
    <w:lvl w:ilvl="3" w:tplc="BA24A782">
      <w:numFmt w:val="bullet"/>
      <w:lvlText w:val="•"/>
      <w:lvlJc w:val="left"/>
      <w:pPr>
        <w:ind w:left="3145" w:hanging="281"/>
      </w:pPr>
      <w:rPr>
        <w:rFonts w:hint="default"/>
        <w:lang w:val="en-US" w:eastAsia="en-US" w:bidi="ar-SA"/>
      </w:rPr>
    </w:lvl>
    <w:lvl w:ilvl="4" w:tplc="A4643820">
      <w:numFmt w:val="bullet"/>
      <w:lvlText w:val="•"/>
      <w:lvlJc w:val="left"/>
      <w:pPr>
        <w:ind w:left="4113" w:hanging="281"/>
      </w:pPr>
      <w:rPr>
        <w:rFonts w:hint="default"/>
        <w:lang w:val="en-US" w:eastAsia="en-US" w:bidi="ar-SA"/>
      </w:rPr>
    </w:lvl>
    <w:lvl w:ilvl="5" w:tplc="914C8638">
      <w:numFmt w:val="bullet"/>
      <w:lvlText w:val="•"/>
      <w:lvlJc w:val="left"/>
      <w:pPr>
        <w:ind w:left="5082" w:hanging="281"/>
      </w:pPr>
      <w:rPr>
        <w:rFonts w:hint="default"/>
        <w:lang w:val="en-US" w:eastAsia="en-US" w:bidi="ar-SA"/>
      </w:rPr>
    </w:lvl>
    <w:lvl w:ilvl="6" w:tplc="A2ECE78A">
      <w:numFmt w:val="bullet"/>
      <w:lvlText w:val="•"/>
      <w:lvlJc w:val="left"/>
      <w:pPr>
        <w:ind w:left="6050" w:hanging="281"/>
      </w:pPr>
      <w:rPr>
        <w:rFonts w:hint="default"/>
        <w:lang w:val="en-US" w:eastAsia="en-US" w:bidi="ar-SA"/>
      </w:rPr>
    </w:lvl>
    <w:lvl w:ilvl="7" w:tplc="5EF0AF5A">
      <w:numFmt w:val="bullet"/>
      <w:lvlText w:val="•"/>
      <w:lvlJc w:val="left"/>
      <w:pPr>
        <w:ind w:left="7019" w:hanging="281"/>
      </w:pPr>
      <w:rPr>
        <w:rFonts w:hint="default"/>
        <w:lang w:val="en-US" w:eastAsia="en-US" w:bidi="ar-SA"/>
      </w:rPr>
    </w:lvl>
    <w:lvl w:ilvl="8" w:tplc="98FA13F0">
      <w:numFmt w:val="bullet"/>
      <w:lvlText w:val="•"/>
      <w:lvlJc w:val="left"/>
      <w:pPr>
        <w:ind w:left="7987" w:hanging="281"/>
      </w:pPr>
      <w:rPr>
        <w:rFonts w:hint="default"/>
        <w:lang w:val="en-US" w:eastAsia="en-US" w:bidi="ar-SA"/>
      </w:rPr>
    </w:lvl>
  </w:abstractNum>
  <w:abstractNum w:abstractNumId="59" w15:restartNumberingAfterBreak="0">
    <w:nsid w:val="5A9557D2"/>
    <w:multiLevelType w:val="hybridMultilevel"/>
    <w:tmpl w:val="C3CAD492"/>
    <w:lvl w:ilvl="0" w:tplc="A168B5C4">
      <w:numFmt w:val="bullet"/>
      <w:lvlText w:val=""/>
      <w:lvlJc w:val="left"/>
      <w:pPr>
        <w:ind w:left="1939" w:hanging="851"/>
      </w:pPr>
      <w:rPr>
        <w:rFonts w:ascii="Symbol" w:eastAsia="Symbol" w:hAnsi="Symbol" w:cs="Symbol" w:hint="default"/>
        <w:b w:val="0"/>
        <w:bCs w:val="0"/>
        <w:i w:val="0"/>
        <w:iCs w:val="0"/>
        <w:w w:val="99"/>
        <w:sz w:val="24"/>
        <w:szCs w:val="24"/>
        <w:lang w:val="en-US" w:eastAsia="en-US" w:bidi="ar-SA"/>
      </w:rPr>
    </w:lvl>
    <w:lvl w:ilvl="1" w:tplc="D952CF28">
      <w:numFmt w:val="bullet"/>
      <w:lvlText w:val="•"/>
      <w:lvlJc w:val="left"/>
      <w:pPr>
        <w:ind w:left="2738" w:hanging="851"/>
      </w:pPr>
      <w:rPr>
        <w:rFonts w:hint="default"/>
        <w:lang w:val="en-US" w:eastAsia="en-US" w:bidi="ar-SA"/>
      </w:rPr>
    </w:lvl>
    <w:lvl w:ilvl="2" w:tplc="C1743318">
      <w:numFmt w:val="bullet"/>
      <w:lvlText w:val="•"/>
      <w:lvlJc w:val="left"/>
      <w:pPr>
        <w:ind w:left="3536" w:hanging="851"/>
      </w:pPr>
      <w:rPr>
        <w:rFonts w:hint="default"/>
        <w:lang w:val="en-US" w:eastAsia="en-US" w:bidi="ar-SA"/>
      </w:rPr>
    </w:lvl>
    <w:lvl w:ilvl="3" w:tplc="A392BBDC">
      <w:numFmt w:val="bullet"/>
      <w:lvlText w:val="•"/>
      <w:lvlJc w:val="left"/>
      <w:pPr>
        <w:ind w:left="4335" w:hanging="851"/>
      </w:pPr>
      <w:rPr>
        <w:rFonts w:hint="default"/>
        <w:lang w:val="en-US" w:eastAsia="en-US" w:bidi="ar-SA"/>
      </w:rPr>
    </w:lvl>
    <w:lvl w:ilvl="4" w:tplc="5992A57C">
      <w:numFmt w:val="bullet"/>
      <w:lvlText w:val="•"/>
      <w:lvlJc w:val="left"/>
      <w:pPr>
        <w:ind w:left="5133" w:hanging="851"/>
      </w:pPr>
      <w:rPr>
        <w:rFonts w:hint="default"/>
        <w:lang w:val="en-US" w:eastAsia="en-US" w:bidi="ar-SA"/>
      </w:rPr>
    </w:lvl>
    <w:lvl w:ilvl="5" w:tplc="246A599E">
      <w:numFmt w:val="bullet"/>
      <w:lvlText w:val="•"/>
      <w:lvlJc w:val="left"/>
      <w:pPr>
        <w:ind w:left="5932" w:hanging="851"/>
      </w:pPr>
      <w:rPr>
        <w:rFonts w:hint="default"/>
        <w:lang w:val="en-US" w:eastAsia="en-US" w:bidi="ar-SA"/>
      </w:rPr>
    </w:lvl>
    <w:lvl w:ilvl="6" w:tplc="6F7EA79C">
      <w:numFmt w:val="bullet"/>
      <w:lvlText w:val="•"/>
      <w:lvlJc w:val="left"/>
      <w:pPr>
        <w:ind w:left="6730" w:hanging="851"/>
      </w:pPr>
      <w:rPr>
        <w:rFonts w:hint="default"/>
        <w:lang w:val="en-US" w:eastAsia="en-US" w:bidi="ar-SA"/>
      </w:rPr>
    </w:lvl>
    <w:lvl w:ilvl="7" w:tplc="8BD8480A">
      <w:numFmt w:val="bullet"/>
      <w:lvlText w:val="•"/>
      <w:lvlJc w:val="left"/>
      <w:pPr>
        <w:ind w:left="7529" w:hanging="851"/>
      </w:pPr>
      <w:rPr>
        <w:rFonts w:hint="default"/>
        <w:lang w:val="en-US" w:eastAsia="en-US" w:bidi="ar-SA"/>
      </w:rPr>
    </w:lvl>
    <w:lvl w:ilvl="8" w:tplc="2C0E6D0C">
      <w:numFmt w:val="bullet"/>
      <w:lvlText w:val="•"/>
      <w:lvlJc w:val="left"/>
      <w:pPr>
        <w:ind w:left="8327" w:hanging="851"/>
      </w:pPr>
      <w:rPr>
        <w:rFonts w:hint="default"/>
        <w:lang w:val="en-US" w:eastAsia="en-US" w:bidi="ar-SA"/>
      </w:rPr>
    </w:lvl>
  </w:abstractNum>
  <w:abstractNum w:abstractNumId="60" w15:restartNumberingAfterBreak="0">
    <w:nsid w:val="5C5E4715"/>
    <w:multiLevelType w:val="hybridMultilevel"/>
    <w:tmpl w:val="56A8C30C"/>
    <w:lvl w:ilvl="0" w:tplc="3FF05454">
      <w:start w:val="4"/>
      <w:numFmt w:val="decimal"/>
      <w:lvlText w:val="%1."/>
      <w:lvlJc w:val="left"/>
      <w:pPr>
        <w:ind w:left="2648" w:hanging="851"/>
        <w:jc w:val="left"/>
      </w:pPr>
      <w:rPr>
        <w:rFonts w:ascii="Calibri" w:eastAsia="Calibri" w:hAnsi="Calibri" w:cs="Calibri" w:hint="default"/>
        <w:b/>
        <w:bCs/>
        <w:i w:val="0"/>
        <w:iCs w:val="0"/>
        <w:spacing w:val="-1"/>
        <w:w w:val="99"/>
        <w:sz w:val="24"/>
        <w:szCs w:val="24"/>
        <w:lang w:val="en-US" w:eastAsia="en-US" w:bidi="ar-SA"/>
      </w:rPr>
    </w:lvl>
    <w:lvl w:ilvl="1" w:tplc="73447BAE">
      <w:numFmt w:val="bullet"/>
      <w:lvlText w:val="•"/>
      <w:lvlJc w:val="left"/>
      <w:pPr>
        <w:ind w:left="3368" w:hanging="851"/>
      </w:pPr>
      <w:rPr>
        <w:rFonts w:hint="default"/>
        <w:lang w:val="en-US" w:eastAsia="en-US" w:bidi="ar-SA"/>
      </w:rPr>
    </w:lvl>
    <w:lvl w:ilvl="2" w:tplc="4A88ACAC">
      <w:numFmt w:val="bullet"/>
      <w:lvlText w:val="•"/>
      <w:lvlJc w:val="left"/>
      <w:pPr>
        <w:ind w:left="4096" w:hanging="851"/>
      </w:pPr>
      <w:rPr>
        <w:rFonts w:hint="default"/>
        <w:lang w:val="en-US" w:eastAsia="en-US" w:bidi="ar-SA"/>
      </w:rPr>
    </w:lvl>
    <w:lvl w:ilvl="3" w:tplc="B8CE39A4">
      <w:numFmt w:val="bullet"/>
      <w:lvlText w:val="•"/>
      <w:lvlJc w:val="left"/>
      <w:pPr>
        <w:ind w:left="4825" w:hanging="851"/>
      </w:pPr>
      <w:rPr>
        <w:rFonts w:hint="default"/>
        <w:lang w:val="en-US" w:eastAsia="en-US" w:bidi="ar-SA"/>
      </w:rPr>
    </w:lvl>
    <w:lvl w:ilvl="4" w:tplc="B4D294A4">
      <w:numFmt w:val="bullet"/>
      <w:lvlText w:val="•"/>
      <w:lvlJc w:val="left"/>
      <w:pPr>
        <w:ind w:left="5553" w:hanging="851"/>
      </w:pPr>
      <w:rPr>
        <w:rFonts w:hint="default"/>
        <w:lang w:val="en-US" w:eastAsia="en-US" w:bidi="ar-SA"/>
      </w:rPr>
    </w:lvl>
    <w:lvl w:ilvl="5" w:tplc="C9EAB2D2">
      <w:numFmt w:val="bullet"/>
      <w:lvlText w:val="•"/>
      <w:lvlJc w:val="left"/>
      <w:pPr>
        <w:ind w:left="6282" w:hanging="851"/>
      </w:pPr>
      <w:rPr>
        <w:rFonts w:hint="default"/>
        <w:lang w:val="en-US" w:eastAsia="en-US" w:bidi="ar-SA"/>
      </w:rPr>
    </w:lvl>
    <w:lvl w:ilvl="6" w:tplc="9BC68278">
      <w:numFmt w:val="bullet"/>
      <w:lvlText w:val="•"/>
      <w:lvlJc w:val="left"/>
      <w:pPr>
        <w:ind w:left="7010" w:hanging="851"/>
      </w:pPr>
      <w:rPr>
        <w:rFonts w:hint="default"/>
        <w:lang w:val="en-US" w:eastAsia="en-US" w:bidi="ar-SA"/>
      </w:rPr>
    </w:lvl>
    <w:lvl w:ilvl="7" w:tplc="AAB2E1C8">
      <w:numFmt w:val="bullet"/>
      <w:lvlText w:val="•"/>
      <w:lvlJc w:val="left"/>
      <w:pPr>
        <w:ind w:left="7739" w:hanging="851"/>
      </w:pPr>
      <w:rPr>
        <w:rFonts w:hint="default"/>
        <w:lang w:val="en-US" w:eastAsia="en-US" w:bidi="ar-SA"/>
      </w:rPr>
    </w:lvl>
    <w:lvl w:ilvl="8" w:tplc="5090FCAE">
      <w:numFmt w:val="bullet"/>
      <w:lvlText w:val="•"/>
      <w:lvlJc w:val="left"/>
      <w:pPr>
        <w:ind w:left="8467" w:hanging="851"/>
      </w:pPr>
      <w:rPr>
        <w:rFonts w:hint="default"/>
        <w:lang w:val="en-US" w:eastAsia="en-US" w:bidi="ar-SA"/>
      </w:rPr>
    </w:lvl>
  </w:abstractNum>
  <w:abstractNum w:abstractNumId="61" w15:restartNumberingAfterBreak="0">
    <w:nsid w:val="5E2F75CE"/>
    <w:multiLevelType w:val="hybridMultilevel"/>
    <w:tmpl w:val="6D420402"/>
    <w:lvl w:ilvl="0" w:tplc="20ACEFE4">
      <w:start w:val="1"/>
      <w:numFmt w:val="upperLetter"/>
      <w:lvlText w:val="%1."/>
      <w:lvlJc w:val="left"/>
      <w:pPr>
        <w:ind w:left="1939" w:hanging="851"/>
        <w:jc w:val="left"/>
      </w:pPr>
      <w:rPr>
        <w:rFonts w:ascii="Calibri" w:eastAsia="Calibri" w:hAnsi="Calibri" w:cs="Calibri" w:hint="default"/>
        <w:b/>
        <w:bCs/>
        <w:i w:val="0"/>
        <w:iCs w:val="0"/>
        <w:spacing w:val="-1"/>
        <w:w w:val="99"/>
        <w:sz w:val="28"/>
        <w:szCs w:val="28"/>
        <w:lang w:val="en-US" w:eastAsia="en-US" w:bidi="ar-SA"/>
      </w:rPr>
    </w:lvl>
    <w:lvl w:ilvl="1" w:tplc="C8363550">
      <w:start w:val="1"/>
      <w:numFmt w:val="decimal"/>
      <w:lvlText w:val="%2."/>
      <w:lvlJc w:val="left"/>
      <w:pPr>
        <w:ind w:left="2649" w:hanging="851"/>
        <w:jc w:val="left"/>
      </w:pPr>
      <w:rPr>
        <w:rFonts w:ascii="Calibri" w:eastAsia="Calibri" w:hAnsi="Calibri" w:cs="Calibri" w:hint="default"/>
        <w:b/>
        <w:bCs/>
        <w:i w:val="0"/>
        <w:iCs w:val="0"/>
        <w:spacing w:val="-1"/>
        <w:w w:val="99"/>
        <w:sz w:val="24"/>
        <w:szCs w:val="24"/>
        <w:lang w:val="en-US" w:eastAsia="en-US" w:bidi="ar-SA"/>
      </w:rPr>
    </w:lvl>
    <w:lvl w:ilvl="2" w:tplc="B0E00F54">
      <w:start w:val="1"/>
      <w:numFmt w:val="lowerLetter"/>
      <w:lvlText w:val="(%3)"/>
      <w:lvlJc w:val="left"/>
      <w:pPr>
        <w:ind w:left="3642" w:hanging="852"/>
        <w:jc w:val="left"/>
      </w:pPr>
      <w:rPr>
        <w:rFonts w:ascii="Calibri" w:eastAsia="Calibri" w:hAnsi="Calibri" w:cs="Calibri" w:hint="default"/>
        <w:b w:val="0"/>
        <w:bCs w:val="0"/>
        <w:i w:val="0"/>
        <w:iCs w:val="0"/>
        <w:w w:val="99"/>
        <w:sz w:val="24"/>
        <w:szCs w:val="24"/>
        <w:u w:val="single" w:color="000000"/>
        <w:lang w:val="en-US" w:eastAsia="en-US" w:bidi="ar-SA"/>
      </w:rPr>
    </w:lvl>
    <w:lvl w:ilvl="3" w:tplc="9050E188">
      <w:numFmt w:val="bullet"/>
      <w:lvlText w:val="•"/>
      <w:lvlJc w:val="left"/>
      <w:pPr>
        <w:ind w:left="4425" w:hanging="852"/>
      </w:pPr>
      <w:rPr>
        <w:rFonts w:hint="default"/>
        <w:lang w:val="en-US" w:eastAsia="en-US" w:bidi="ar-SA"/>
      </w:rPr>
    </w:lvl>
    <w:lvl w:ilvl="4" w:tplc="CC209A5A">
      <w:numFmt w:val="bullet"/>
      <w:lvlText w:val="•"/>
      <w:lvlJc w:val="left"/>
      <w:pPr>
        <w:ind w:left="5211" w:hanging="852"/>
      </w:pPr>
      <w:rPr>
        <w:rFonts w:hint="default"/>
        <w:lang w:val="en-US" w:eastAsia="en-US" w:bidi="ar-SA"/>
      </w:rPr>
    </w:lvl>
    <w:lvl w:ilvl="5" w:tplc="DC125E1E">
      <w:numFmt w:val="bullet"/>
      <w:lvlText w:val="•"/>
      <w:lvlJc w:val="left"/>
      <w:pPr>
        <w:ind w:left="5996" w:hanging="852"/>
      </w:pPr>
      <w:rPr>
        <w:rFonts w:hint="default"/>
        <w:lang w:val="en-US" w:eastAsia="en-US" w:bidi="ar-SA"/>
      </w:rPr>
    </w:lvl>
    <w:lvl w:ilvl="6" w:tplc="393C07DE">
      <w:numFmt w:val="bullet"/>
      <w:lvlText w:val="•"/>
      <w:lvlJc w:val="left"/>
      <w:pPr>
        <w:ind w:left="6782" w:hanging="852"/>
      </w:pPr>
      <w:rPr>
        <w:rFonts w:hint="default"/>
        <w:lang w:val="en-US" w:eastAsia="en-US" w:bidi="ar-SA"/>
      </w:rPr>
    </w:lvl>
    <w:lvl w:ilvl="7" w:tplc="3C447914">
      <w:numFmt w:val="bullet"/>
      <w:lvlText w:val="•"/>
      <w:lvlJc w:val="left"/>
      <w:pPr>
        <w:ind w:left="7567" w:hanging="852"/>
      </w:pPr>
      <w:rPr>
        <w:rFonts w:hint="default"/>
        <w:lang w:val="en-US" w:eastAsia="en-US" w:bidi="ar-SA"/>
      </w:rPr>
    </w:lvl>
    <w:lvl w:ilvl="8" w:tplc="538A3058">
      <w:numFmt w:val="bullet"/>
      <w:lvlText w:val="•"/>
      <w:lvlJc w:val="left"/>
      <w:pPr>
        <w:ind w:left="8353" w:hanging="852"/>
      </w:pPr>
      <w:rPr>
        <w:rFonts w:hint="default"/>
        <w:lang w:val="en-US" w:eastAsia="en-US" w:bidi="ar-SA"/>
      </w:rPr>
    </w:lvl>
  </w:abstractNum>
  <w:abstractNum w:abstractNumId="62" w15:restartNumberingAfterBreak="0">
    <w:nsid w:val="610B3661"/>
    <w:multiLevelType w:val="hybridMultilevel"/>
    <w:tmpl w:val="C7C21204"/>
    <w:lvl w:ilvl="0" w:tplc="67BC0014">
      <w:numFmt w:val="bullet"/>
      <w:lvlText w:val=""/>
      <w:lvlJc w:val="left"/>
      <w:pPr>
        <w:ind w:left="1939" w:hanging="851"/>
      </w:pPr>
      <w:rPr>
        <w:rFonts w:ascii="Symbol" w:eastAsia="Symbol" w:hAnsi="Symbol" w:cs="Symbol" w:hint="default"/>
        <w:b w:val="0"/>
        <w:bCs w:val="0"/>
        <w:i w:val="0"/>
        <w:iCs w:val="0"/>
        <w:w w:val="99"/>
        <w:sz w:val="24"/>
        <w:szCs w:val="24"/>
        <w:lang w:val="en-US" w:eastAsia="en-US" w:bidi="ar-SA"/>
      </w:rPr>
    </w:lvl>
    <w:lvl w:ilvl="1" w:tplc="72106CC6">
      <w:numFmt w:val="bullet"/>
      <w:lvlText w:val="•"/>
      <w:lvlJc w:val="left"/>
      <w:pPr>
        <w:ind w:left="2738" w:hanging="851"/>
      </w:pPr>
      <w:rPr>
        <w:rFonts w:hint="default"/>
        <w:lang w:val="en-US" w:eastAsia="en-US" w:bidi="ar-SA"/>
      </w:rPr>
    </w:lvl>
    <w:lvl w:ilvl="2" w:tplc="5ABC7214">
      <w:numFmt w:val="bullet"/>
      <w:lvlText w:val="•"/>
      <w:lvlJc w:val="left"/>
      <w:pPr>
        <w:ind w:left="3536" w:hanging="851"/>
      </w:pPr>
      <w:rPr>
        <w:rFonts w:hint="default"/>
        <w:lang w:val="en-US" w:eastAsia="en-US" w:bidi="ar-SA"/>
      </w:rPr>
    </w:lvl>
    <w:lvl w:ilvl="3" w:tplc="00F04AAE">
      <w:numFmt w:val="bullet"/>
      <w:lvlText w:val="•"/>
      <w:lvlJc w:val="left"/>
      <w:pPr>
        <w:ind w:left="4335" w:hanging="851"/>
      </w:pPr>
      <w:rPr>
        <w:rFonts w:hint="default"/>
        <w:lang w:val="en-US" w:eastAsia="en-US" w:bidi="ar-SA"/>
      </w:rPr>
    </w:lvl>
    <w:lvl w:ilvl="4" w:tplc="51603AB2">
      <w:numFmt w:val="bullet"/>
      <w:lvlText w:val="•"/>
      <w:lvlJc w:val="left"/>
      <w:pPr>
        <w:ind w:left="5133" w:hanging="851"/>
      </w:pPr>
      <w:rPr>
        <w:rFonts w:hint="default"/>
        <w:lang w:val="en-US" w:eastAsia="en-US" w:bidi="ar-SA"/>
      </w:rPr>
    </w:lvl>
    <w:lvl w:ilvl="5" w:tplc="285E040E">
      <w:numFmt w:val="bullet"/>
      <w:lvlText w:val="•"/>
      <w:lvlJc w:val="left"/>
      <w:pPr>
        <w:ind w:left="5932" w:hanging="851"/>
      </w:pPr>
      <w:rPr>
        <w:rFonts w:hint="default"/>
        <w:lang w:val="en-US" w:eastAsia="en-US" w:bidi="ar-SA"/>
      </w:rPr>
    </w:lvl>
    <w:lvl w:ilvl="6" w:tplc="E1F0367C">
      <w:numFmt w:val="bullet"/>
      <w:lvlText w:val="•"/>
      <w:lvlJc w:val="left"/>
      <w:pPr>
        <w:ind w:left="6730" w:hanging="851"/>
      </w:pPr>
      <w:rPr>
        <w:rFonts w:hint="default"/>
        <w:lang w:val="en-US" w:eastAsia="en-US" w:bidi="ar-SA"/>
      </w:rPr>
    </w:lvl>
    <w:lvl w:ilvl="7" w:tplc="9E5CDD4A">
      <w:numFmt w:val="bullet"/>
      <w:lvlText w:val="•"/>
      <w:lvlJc w:val="left"/>
      <w:pPr>
        <w:ind w:left="7529" w:hanging="851"/>
      </w:pPr>
      <w:rPr>
        <w:rFonts w:hint="default"/>
        <w:lang w:val="en-US" w:eastAsia="en-US" w:bidi="ar-SA"/>
      </w:rPr>
    </w:lvl>
    <w:lvl w:ilvl="8" w:tplc="15AE05B4">
      <w:numFmt w:val="bullet"/>
      <w:lvlText w:val="•"/>
      <w:lvlJc w:val="left"/>
      <w:pPr>
        <w:ind w:left="8327" w:hanging="851"/>
      </w:pPr>
      <w:rPr>
        <w:rFonts w:hint="default"/>
        <w:lang w:val="en-US" w:eastAsia="en-US" w:bidi="ar-SA"/>
      </w:rPr>
    </w:lvl>
  </w:abstractNum>
  <w:abstractNum w:abstractNumId="63" w15:restartNumberingAfterBreak="0">
    <w:nsid w:val="61605985"/>
    <w:multiLevelType w:val="hybridMultilevel"/>
    <w:tmpl w:val="03169BC4"/>
    <w:lvl w:ilvl="0" w:tplc="5E44F2BE">
      <w:numFmt w:val="bullet"/>
      <w:lvlText w:val=""/>
      <w:lvlJc w:val="left"/>
      <w:pPr>
        <w:ind w:left="1938" w:hanging="851"/>
      </w:pPr>
      <w:rPr>
        <w:rFonts w:ascii="Symbol" w:eastAsia="Symbol" w:hAnsi="Symbol" w:cs="Symbol" w:hint="default"/>
        <w:b w:val="0"/>
        <w:bCs w:val="0"/>
        <w:i w:val="0"/>
        <w:iCs w:val="0"/>
        <w:w w:val="99"/>
        <w:sz w:val="24"/>
        <w:szCs w:val="24"/>
        <w:lang w:val="en-US" w:eastAsia="en-US" w:bidi="ar-SA"/>
      </w:rPr>
    </w:lvl>
    <w:lvl w:ilvl="1" w:tplc="F738A89E">
      <w:numFmt w:val="bullet"/>
      <w:lvlText w:val="•"/>
      <w:lvlJc w:val="left"/>
      <w:pPr>
        <w:ind w:left="2738" w:hanging="851"/>
      </w:pPr>
      <w:rPr>
        <w:rFonts w:hint="default"/>
        <w:lang w:val="en-US" w:eastAsia="en-US" w:bidi="ar-SA"/>
      </w:rPr>
    </w:lvl>
    <w:lvl w:ilvl="2" w:tplc="536A58E0">
      <w:numFmt w:val="bullet"/>
      <w:lvlText w:val="•"/>
      <w:lvlJc w:val="left"/>
      <w:pPr>
        <w:ind w:left="3536" w:hanging="851"/>
      </w:pPr>
      <w:rPr>
        <w:rFonts w:hint="default"/>
        <w:lang w:val="en-US" w:eastAsia="en-US" w:bidi="ar-SA"/>
      </w:rPr>
    </w:lvl>
    <w:lvl w:ilvl="3" w:tplc="1262BCB8">
      <w:numFmt w:val="bullet"/>
      <w:lvlText w:val="•"/>
      <w:lvlJc w:val="left"/>
      <w:pPr>
        <w:ind w:left="4335" w:hanging="851"/>
      </w:pPr>
      <w:rPr>
        <w:rFonts w:hint="default"/>
        <w:lang w:val="en-US" w:eastAsia="en-US" w:bidi="ar-SA"/>
      </w:rPr>
    </w:lvl>
    <w:lvl w:ilvl="4" w:tplc="5788890C">
      <w:numFmt w:val="bullet"/>
      <w:lvlText w:val="•"/>
      <w:lvlJc w:val="left"/>
      <w:pPr>
        <w:ind w:left="5133" w:hanging="851"/>
      </w:pPr>
      <w:rPr>
        <w:rFonts w:hint="default"/>
        <w:lang w:val="en-US" w:eastAsia="en-US" w:bidi="ar-SA"/>
      </w:rPr>
    </w:lvl>
    <w:lvl w:ilvl="5" w:tplc="14CAF134">
      <w:numFmt w:val="bullet"/>
      <w:lvlText w:val="•"/>
      <w:lvlJc w:val="left"/>
      <w:pPr>
        <w:ind w:left="5932" w:hanging="851"/>
      </w:pPr>
      <w:rPr>
        <w:rFonts w:hint="default"/>
        <w:lang w:val="en-US" w:eastAsia="en-US" w:bidi="ar-SA"/>
      </w:rPr>
    </w:lvl>
    <w:lvl w:ilvl="6" w:tplc="F4FE5894">
      <w:numFmt w:val="bullet"/>
      <w:lvlText w:val="•"/>
      <w:lvlJc w:val="left"/>
      <w:pPr>
        <w:ind w:left="6730" w:hanging="851"/>
      </w:pPr>
      <w:rPr>
        <w:rFonts w:hint="default"/>
        <w:lang w:val="en-US" w:eastAsia="en-US" w:bidi="ar-SA"/>
      </w:rPr>
    </w:lvl>
    <w:lvl w:ilvl="7" w:tplc="B128BF5A">
      <w:numFmt w:val="bullet"/>
      <w:lvlText w:val="•"/>
      <w:lvlJc w:val="left"/>
      <w:pPr>
        <w:ind w:left="7529" w:hanging="851"/>
      </w:pPr>
      <w:rPr>
        <w:rFonts w:hint="default"/>
        <w:lang w:val="en-US" w:eastAsia="en-US" w:bidi="ar-SA"/>
      </w:rPr>
    </w:lvl>
    <w:lvl w:ilvl="8" w:tplc="65166072">
      <w:numFmt w:val="bullet"/>
      <w:lvlText w:val="•"/>
      <w:lvlJc w:val="left"/>
      <w:pPr>
        <w:ind w:left="8327" w:hanging="851"/>
      </w:pPr>
      <w:rPr>
        <w:rFonts w:hint="default"/>
        <w:lang w:val="en-US" w:eastAsia="en-US" w:bidi="ar-SA"/>
      </w:rPr>
    </w:lvl>
  </w:abstractNum>
  <w:abstractNum w:abstractNumId="64" w15:restartNumberingAfterBreak="0">
    <w:nsid w:val="62495017"/>
    <w:multiLevelType w:val="hybridMultilevel"/>
    <w:tmpl w:val="8B8886BC"/>
    <w:lvl w:ilvl="0" w:tplc="78502954">
      <w:numFmt w:val="bullet"/>
      <w:lvlText w:val=""/>
      <w:lvlJc w:val="left"/>
      <w:pPr>
        <w:ind w:left="1940" w:hanging="851"/>
      </w:pPr>
      <w:rPr>
        <w:rFonts w:ascii="Symbol" w:eastAsia="Symbol" w:hAnsi="Symbol" w:cs="Symbol" w:hint="default"/>
        <w:b w:val="0"/>
        <w:bCs w:val="0"/>
        <w:i w:val="0"/>
        <w:iCs w:val="0"/>
        <w:w w:val="99"/>
        <w:sz w:val="24"/>
        <w:szCs w:val="24"/>
        <w:lang w:val="en-US" w:eastAsia="en-US" w:bidi="ar-SA"/>
      </w:rPr>
    </w:lvl>
    <w:lvl w:ilvl="1" w:tplc="00B43258">
      <w:numFmt w:val="bullet"/>
      <w:lvlText w:val="•"/>
      <w:lvlJc w:val="left"/>
      <w:pPr>
        <w:ind w:left="2738" w:hanging="851"/>
      </w:pPr>
      <w:rPr>
        <w:rFonts w:hint="default"/>
        <w:lang w:val="en-US" w:eastAsia="en-US" w:bidi="ar-SA"/>
      </w:rPr>
    </w:lvl>
    <w:lvl w:ilvl="2" w:tplc="E078ED0C">
      <w:numFmt w:val="bullet"/>
      <w:lvlText w:val="•"/>
      <w:lvlJc w:val="left"/>
      <w:pPr>
        <w:ind w:left="3536" w:hanging="851"/>
      </w:pPr>
      <w:rPr>
        <w:rFonts w:hint="default"/>
        <w:lang w:val="en-US" w:eastAsia="en-US" w:bidi="ar-SA"/>
      </w:rPr>
    </w:lvl>
    <w:lvl w:ilvl="3" w:tplc="ACEC444E">
      <w:numFmt w:val="bullet"/>
      <w:lvlText w:val="•"/>
      <w:lvlJc w:val="left"/>
      <w:pPr>
        <w:ind w:left="4335" w:hanging="851"/>
      </w:pPr>
      <w:rPr>
        <w:rFonts w:hint="default"/>
        <w:lang w:val="en-US" w:eastAsia="en-US" w:bidi="ar-SA"/>
      </w:rPr>
    </w:lvl>
    <w:lvl w:ilvl="4" w:tplc="F0D0FBEC">
      <w:numFmt w:val="bullet"/>
      <w:lvlText w:val="•"/>
      <w:lvlJc w:val="left"/>
      <w:pPr>
        <w:ind w:left="5133" w:hanging="851"/>
      </w:pPr>
      <w:rPr>
        <w:rFonts w:hint="default"/>
        <w:lang w:val="en-US" w:eastAsia="en-US" w:bidi="ar-SA"/>
      </w:rPr>
    </w:lvl>
    <w:lvl w:ilvl="5" w:tplc="48926C96">
      <w:numFmt w:val="bullet"/>
      <w:lvlText w:val="•"/>
      <w:lvlJc w:val="left"/>
      <w:pPr>
        <w:ind w:left="5932" w:hanging="851"/>
      </w:pPr>
      <w:rPr>
        <w:rFonts w:hint="default"/>
        <w:lang w:val="en-US" w:eastAsia="en-US" w:bidi="ar-SA"/>
      </w:rPr>
    </w:lvl>
    <w:lvl w:ilvl="6" w:tplc="265CEFEE">
      <w:numFmt w:val="bullet"/>
      <w:lvlText w:val="•"/>
      <w:lvlJc w:val="left"/>
      <w:pPr>
        <w:ind w:left="6730" w:hanging="851"/>
      </w:pPr>
      <w:rPr>
        <w:rFonts w:hint="default"/>
        <w:lang w:val="en-US" w:eastAsia="en-US" w:bidi="ar-SA"/>
      </w:rPr>
    </w:lvl>
    <w:lvl w:ilvl="7" w:tplc="36523BA8">
      <w:numFmt w:val="bullet"/>
      <w:lvlText w:val="•"/>
      <w:lvlJc w:val="left"/>
      <w:pPr>
        <w:ind w:left="7529" w:hanging="851"/>
      </w:pPr>
      <w:rPr>
        <w:rFonts w:hint="default"/>
        <w:lang w:val="en-US" w:eastAsia="en-US" w:bidi="ar-SA"/>
      </w:rPr>
    </w:lvl>
    <w:lvl w:ilvl="8" w:tplc="FF0610AA">
      <w:numFmt w:val="bullet"/>
      <w:lvlText w:val="•"/>
      <w:lvlJc w:val="left"/>
      <w:pPr>
        <w:ind w:left="8327" w:hanging="851"/>
      </w:pPr>
      <w:rPr>
        <w:rFonts w:hint="default"/>
        <w:lang w:val="en-US" w:eastAsia="en-US" w:bidi="ar-SA"/>
      </w:rPr>
    </w:lvl>
  </w:abstractNum>
  <w:abstractNum w:abstractNumId="65" w15:restartNumberingAfterBreak="0">
    <w:nsid w:val="63E522BD"/>
    <w:multiLevelType w:val="hybridMultilevel"/>
    <w:tmpl w:val="C2DC1D28"/>
    <w:lvl w:ilvl="0" w:tplc="D2B4D2F0">
      <w:numFmt w:val="bullet"/>
      <w:lvlText w:val=""/>
      <w:lvlJc w:val="left"/>
      <w:pPr>
        <w:ind w:left="1939" w:hanging="851"/>
      </w:pPr>
      <w:rPr>
        <w:rFonts w:ascii="Symbol" w:eastAsia="Symbol" w:hAnsi="Symbol" w:cs="Symbol" w:hint="default"/>
        <w:b w:val="0"/>
        <w:bCs w:val="0"/>
        <w:i w:val="0"/>
        <w:iCs w:val="0"/>
        <w:w w:val="99"/>
        <w:sz w:val="24"/>
        <w:szCs w:val="24"/>
        <w:lang w:val="en-US" w:eastAsia="en-US" w:bidi="ar-SA"/>
      </w:rPr>
    </w:lvl>
    <w:lvl w:ilvl="1" w:tplc="F15C0512">
      <w:numFmt w:val="bullet"/>
      <w:lvlText w:val="•"/>
      <w:lvlJc w:val="left"/>
      <w:pPr>
        <w:ind w:left="2738" w:hanging="851"/>
      </w:pPr>
      <w:rPr>
        <w:rFonts w:hint="default"/>
        <w:lang w:val="en-US" w:eastAsia="en-US" w:bidi="ar-SA"/>
      </w:rPr>
    </w:lvl>
    <w:lvl w:ilvl="2" w:tplc="046268F2">
      <w:numFmt w:val="bullet"/>
      <w:lvlText w:val="•"/>
      <w:lvlJc w:val="left"/>
      <w:pPr>
        <w:ind w:left="3536" w:hanging="851"/>
      </w:pPr>
      <w:rPr>
        <w:rFonts w:hint="default"/>
        <w:lang w:val="en-US" w:eastAsia="en-US" w:bidi="ar-SA"/>
      </w:rPr>
    </w:lvl>
    <w:lvl w:ilvl="3" w:tplc="9BFA6654">
      <w:numFmt w:val="bullet"/>
      <w:lvlText w:val="•"/>
      <w:lvlJc w:val="left"/>
      <w:pPr>
        <w:ind w:left="4335" w:hanging="851"/>
      </w:pPr>
      <w:rPr>
        <w:rFonts w:hint="default"/>
        <w:lang w:val="en-US" w:eastAsia="en-US" w:bidi="ar-SA"/>
      </w:rPr>
    </w:lvl>
    <w:lvl w:ilvl="4" w:tplc="2D58E140">
      <w:numFmt w:val="bullet"/>
      <w:lvlText w:val="•"/>
      <w:lvlJc w:val="left"/>
      <w:pPr>
        <w:ind w:left="5133" w:hanging="851"/>
      </w:pPr>
      <w:rPr>
        <w:rFonts w:hint="default"/>
        <w:lang w:val="en-US" w:eastAsia="en-US" w:bidi="ar-SA"/>
      </w:rPr>
    </w:lvl>
    <w:lvl w:ilvl="5" w:tplc="09464768">
      <w:numFmt w:val="bullet"/>
      <w:lvlText w:val="•"/>
      <w:lvlJc w:val="left"/>
      <w:pPr>
        <w:ind w:left="5932" w:hanging="851"/>
      </w:pPr>
      <w:rPr>
        <w:rFonts w:hint="default"/>
        <w:lang w:val="en-US" w:eastAsia="en-US" w:bidi="ar-SA"/>
      </w:rPr>
    </w:lvl>
    <w:lvl w:ilvl="6" w:tplc="B8F4FA9E">
      <w:numFmt w:val="bullet"/>
      <w:lvlText w:val="•"/>
      <w:lvlJc w:val="left"/>
      <w:pPr>
        <w:ind w:left="6730" w:hanging="851"/>
      </w:pPr>
      <w:rPr>
        <w:rFonts w:hint="default"/>
        <w:lang w:val="en-US" w:eastAsia="en-US" w:bidi="ar-SA"/>
      </w:rPr>
    </w:lvl>
    <w:lvl w:ilvl="7" w:tplc="0A4EC1FC">
      <w:numFmt w:val="bullet"/>
      <w:lvlText w:val="•"/>
      <w:lvlJc w:val="left"/>
      <w:pPr>
        <w:ind w:left="7529" w:hanging="851"/>
      </w:pPr>
      <w:rPr>
        <w:rFonts w:hint="default"/>
        <w:lang w:val="en-US" w:eastAsia="en-US" w:bidi="ar-SA"/>
      </w:rPr>
    </w:lvl>
    <w:lvl w:ilvl="8" w:tplc="6472D3C6">
      <w:numFmt w:val="bullet"/>
      <w:lvlText w:val="•"/>
      <w:lvlJc w:val="left"/>
      <w:pPr>
        <w:ind w:left="8327" w:hanging="851"/>
      </w:pPr>
      <w:rPr>
        <w:rFonts w:hint="default"/>
        <w:lang w:val="en-US" w:eastAsia="en-US" w:bidi="ar-SA"/>
      </w:rPr>
    </w:lvl>
  </w:abstractNum>
  <w:abstractNum w:abstractNumId="66" w15:restartNumberingAfterBreak="0">
    <w:nsid w:val="68B66192"/>
    <w:multiLevelType w:val="hybridMultilevel"/>
    <w:tmpl w:val="D30E58EE"/>
    <w:lvl w:ilvl="0" w:tplc="32AC71D6">
      <w:numFmt w:val="bullet"/>
      <w:lvlText w:val=""/>
      <w:lvlJc w:val="left"/>
      <w:pPr>
        <w:ind w:left="1939" w:hanging="851"/>
      </w:pPr>
      <w:rPr>
        <w:rFonts w:ascii="Symbol" w:eastAsia="Symbol" w:hAnsi="Symbol" w:cs="Symbol" w:hint="default"/>
        <w:b w:val="0"/>
        <w:bCs w:val="0"/>
        <w:i w:val="0"/>
        <w:iCs w:val="0"/>
        <w:w w:val="99"/>
        <w:sz w:val="24"/>
        <w:szCs w:val="24"/>
        <w:lang w:val="en-US" w:eastAsia="en-US" w:bidi="ar-SA"/>
      </w:rPr>
    </w:lvl>
    <w:lvl w:ilvl="1" w:tplc="AE380F00">
      <w:numFmt w:val="bullet"/>
      <w:lvlText w:val="•"/>
      <w:lvlJc w:val="left"/>
      <w:pPr>
        <w:ind w:left="2696" w:hanging="851"/>
      </w:pPr>
      <w:rPr>
        <w:rFonts w:hint="default"/>
        <w:lang w:val="en-US" w:eastAsia="en-US" w:bidi="ar-SA"/>
      </w:rPr>
    </w:lvl>
    <w:lvl w:ilvl="2" w:tplc="CB2C0424">
      <w:numFmt w:val="bullet"/>
      <w:lvlText w:val="•"/>
      <w:lvlJc w:val="left"/>
      <w:pPr>
        <w:ind w:left="3452" w:hanging="851"/>
      </w:pPr>
      <w:rPr>
        <w:rFonts w:hint="default"/>
        <w:lang w:val="en-US" w:eastAsia="en-US" w:bidi="ar-SA"/>
      </w:rPr>
    </w:lvl>
    <w:lvl w:ilvl="3" w:tplc="21E80A7C">
      <w:numFmt w:val="bullet"/>
      <w:lvlText w:val="•"/>
      <w:lvlJc w:val="left"/>
      <w:pPr>
        <w:ind w:left="4209" w:hanging="851"/>
      </w:pPr>
      <w:rPr>
        <w:rFonts w:hint="default"/>
        <w:lang w:val="en-US" w:eastAsia="en-US" w:bidi="ar-SA"/>
      </w:rPr>
    </w:lvl>
    <w:lvl w:ilvl="4" w:tplc="749E3F34">
      <w:numFmt w:val="bullet"/>
      <w:lvlText w:val="•"/>
      <w:lvlJc w:val="left"/>
      <w:pPr>
        <w:ind w:left="4965" w:hanging="851"/>
      </w:pPr>
      <w:rPr>
        <w:rFonts w:hint="default"/>
        <w:lang w:val="en-US" w:eastAsia="en-US" w:bidi="ar-SA"/>
      </w:rPr>
    </w:lvl>
    <w:lvl w:ilvl="5" w:tplc="21FE8FD2">
      <w:numFmt w:val="bullet"/>
      <w:lvlText w:val="•"/>
      <w:lvlJc w:val="left"/>
      <w:pPr>
        <w:ind w:left="5722" w:hanging="851"/>
      </w:pPr>
      <w:rPr>
        <w:rFonts w:hint="default"/>
        <w:lang w:val="en-US" w:eastAsia="en-US" w:bidi="ar-SA"/>
      </w:rPr>
    </w:lvl>
    <w:lvl w:ilvl="6" w:tplc="D2D01FA6">
      <w:numFmt w:val="bullet"/>
      <w:lvlText w:val="•"/>
      <w:lvlJc w:val="left"/>
      <w:pPr>
        <w:ind w:left="6478" w:hanging="851"/>
      </w:pPr>
      <w:rPr>
        <w:rFonts w:hint="default"/>
        <w:lang w:val="en-US" w:eastAsia="en-US" w:bidi="ar-SA"/>
      </w:rPr>
    </w:lvl>
    <w:lvl w:ilvl="7" w:tplc="74D2F856">
      <w:numFmt w:val="bullet"/>
      <w:lvlText w:val="•"/>
      <w:lvlJc w:val="left"/>
      <w:pPr>
        <w:ind w:left="7235" w:hanging="851"/>
      </w:pPr>
      <w:rPr>
        <w:rFonts w:hint="default"/>
        <w:lang w:val="en-US" w:eastAsia="en-US" w:bidi="ar-SA"/>
      </w:rPr>
    </w:lvl>
    <w:lvl w:ilvl="8" w:tplc="7D6AD752">
      <w:numFmt w:val="bullet"/>
      <w:lvlText w:val="•"/>
      <w:lvlJc w:val="left"/>
      <w:pPr>
        <w:ind w:left="7991" w:hanging="851"/>
      </w:pPr>
      <w:rPr>
        <w:rFonts w:hint="default"/>
        <w:lang w:val="en-US" w:eastAsia="en-US" w:bidi="ar-SA"/>
      </w:rPr>
    </w:lvl>
  </w:abstractNum>
  <w:abstractNum w:abstractNumId="67" w15:restartNumberingAfterBreak="0">
    <w:nsid w:val="6A743AE0"/>
    <w:multiLevelType w:val="hybridMultilevel"/>
    <w:tmpl w:val="CF92BEB6"/>
    <w:lvl w:ilvl="0" w:tplc="D102D0D0">
      <w:numFmt w:val="bullet"/>
      <w:lvlText w:val="•"/>
      <w:lvlJc w:val="left"/>
      <w:pPr>
        <w:ind w:left="1942" w:hanging="859"/>
      </w:pPr>
      <w:rPr>
        <w:rFonts w:ascii="Arial" w:eastAsia="Arial" w:hAnsi="Arial" w:cs="Arial" w:hint="default"/>
        <w:b w:val="0"/>
        <w:bCs w:val="0"/>
        <w:i w:val="0"/>
        <w:iCs w:val="0"/>
        <w:color w:val="080808"/>
        <w:w w:val="103"/>
        <w:sz w:val="21"/>
        <w:szCs w:val="21"/>
        <w:lang w:val="en-US" w:eastAsia="en-US" w:bidi="ar-SA"/>
      </w:rPr>
    </w:lvl>
    <w:lvl w:ilvl="1" w:tplc="5C8E0C66">
      <w:numFmt w:val="bullet"/>
      <w:lvlText w:val="•"/>
      <w:lvlJc w:val="left"/>
      <w:pPr>
        <w:ind w:left="2738" w:hanging="859"/>
      </w:pPr>
      <w:rPr>
        <w:rFonts w:hint="default"/>
        <w:lang w:val="en-US" w:eastAsia="en-US" w:bidi="ar-SA"/>
      </w:rPr>
    </w:lvl>
    <w:lvl w:ilvl="2" w:tplc="E5D24142">
      <w:numFmt w:val="bullet"/>
      <w:lvlText w:val="•"/>
      <w:lvlJc w:val="left"/>
      <w:pPr>
        <w:ind w:left="3536" w:hanging="859"/>
      </w:pPr>
      <w:rPr>
        <w:rFonts w:hint="default"/>
        <w:lang w:val="en-US" w:eastAsia="en-US" w:bidi="ar-SA"/>
      </w:rPr>
    </w:lvl>
    <w:lvl w:ilvl="3" w:tplc="E1785780">
      <w:numFmt w:val="bullet"/>
      <w:lvlText w:val="•"/>
      <w:lvlJc w:val="left"/>
      <w:pPr>
        <w:ind w:left="4335" w:hanging="859"/>
      </w:pPr>
      <w:rPr>
        <w:rFonts w:hint="default"/>
        <w:lang w:val="en-US" w:eastAsia="en-US" w:bidi="ar-SA"/>
      </w:rPr>
    </w:lvl>
    <w:lvl w:ilvl="4" w:tplc="397EF008">
      <w:numFmt w:val="bullet"/>
      <w:lvlText w:val="•"/>
      <w:lvlJc w:val="left"/>
      <w:pPr>
        <w:ind w:left="5133" w:hanging="859"/>
      </w:pPr>
      <w:rPr>
        <w:rFonts w:hint="default"/>
        <w:lang w:val="en-US" w:eastAsia="en-US" w:bidi="ar-SA"/>
      </w:rPr>
    </w:lvl>
    <w:lvl w:ilvl="5" w:tplc="1B2A901A">
      <w:numFmt w:val="bullet"/>
      <w:lvlText w:val="•"/>
      <w:lvlJc w:val="left"/>
      <w:pPr>
        <w:ind w:left="5932" w:hanging="859"/>
      </w:pPr>
      <w:rPr>
        <w:rFonts w:hint="default"/>
        <w:lang w:val="en-US" w:eastAsia="en-US" w:bidi="ar-SA"/>
      </w:rPr>
    </w:lvl>
    <w:lvl w:ilvl="6" w:tplc="D2E428EA">
      <w:numFmt w:val="bullet"/>
      <w:lvlText w:val="•"/>
      <w:lvlJc w:val="left"/>
      <w:pPr>
        <w:ind w:left="6730" w:hanging="859"/>
      </w:pPr>
      <w:rPr>
        <w:rFonts w:hint="default"/>
        <w:lang w:val="en-US" w:eastAsia="en-US" w:bidi="ar-SA"/>
      </w:rPr>
    </w:lvl>
    <w:lvl w:ilvl="7" w:tplc="03DEBA10">
      <w:numFmt w:val="bullet"/>
      <w:lvlText w:val="•"/>
      <w:lvlJc w:val="left"/>
      <w:pPr>
        <w:ind w:left="7529" w:hanging="859"/>
      </w:pPr>
      <w:rPr>
        <w:rFonts w:hint="default"/>
        <w:lang w:val="en-US" w:eastAsia="en-US" w:bidi="ar-SA"/>
      </w:rPr>
    </w:lvl>
    <w:lvl w:ilvl="8" w:tplc="88CA17DC">
      <w:numFmt w:val="bullet"/>
      <w:lvlText w:val="•"/>
      <w:lvlJc w:val="left"/>
      <w:pPr>
        <w:ind w:left="8327" w:hanging="859"/>
      </w:pPr>
      <w:rPr>
        <w:rFonts w:hint="default"/>
        <w:lang w:val="en-US" w:eastAsia="en-US" w:bidi="ar-SA"/>
      </w:rPr>
    </w:lvl>
  </w:abstractNum>
  <w:abstractNum w:abstractNumId="68" w15:restartNumberingAfterBreak="0">
    <w:nsid w:val="6E381976"/>
    <w:multiLevelType w:val="hybridMultilevel"/>
    <w:tmpl w:val="15223ED2"/>
    <w:lvl w:ilvl="0" w:tplc="5F06E3BC">
      <w:start w:val="5"/>
      <w:numFmt w:val="decimal"/>
      <w:lvlText w:val="%1"/>
      <w:lvlJc w:val="left"/>
      <w:pPr>
        <w:ind w:left="595" w:hanging="358"/>
        <w:jc w:val="left"/>
      </w:pPr>
      <w:rPr>
        <w:rFonts w:hint="default"/>
        <w:lang w:val="en-US" w:eastAsia="en-US" w:bidi="ar-SA"/>
      </w:rPr>
    </w:lvl>
    <w:lvl w:ilvl="1" w:tplc="2B3637A0">
      <w:start w:val="4"/>
      <w:numFmt w:val="decimal"/>
      <w:lvlText w:val="%1.%2"/>
      <w:lvlJc w:val="left"/>
      <w:pPr>
        <w:ind w:left="595" w:hanging="358"/>
        <w:jc w:val="left"/>
      </w:pPr>
      <w:rPr>
        <w:rFonts w:ascii="Calibri" w:eastAsia="Calibri" w:hAnsi="Calibri" w:cs="Calibri" w:hint="default"/>
        <w:b w:val="0"/>
        <w:bCs w:val="0"/>
        <w:i w:val="0"/>
        <w:iCs w:val="0"/>
        <w:w w:val="99"/>
        <w:sz w:val="24"/>
        <w:szCs w:val="24"/>
        <w:lang w:val="en-US" w:eastAsia="en-US" w:bidi="ar-SA"/>
      </w:rPr>
    </w:lvl>
    <w:lvl w:ilvl="2" w:tplc="68FC2B8C">
      <w:numFmt w:val="bullet"/>
      <w:lvlText w:val=""/>
      <w:lvlJc w:val="left"/>
      <w:pPr>
        <w:ind w:left="1939" w:hanging="851"/>
      </w:pPr>
      <w:rPr>
        <w:rFonts w:ascii="Symbol" w:eastAsia="Symbol" w:hAnsi="Symbol" w:cs="Symbol" w:hint="default"/>
        <w:b w:val="0"/>
        <w:bCs w:val="0"/>
        <w:i w:val="0"/>
        <w:iCs w:val="0"/>
        <w:w w:val="99"/>
        <w:sz w:val="24"/>
        <w:szCs w:val="24"/>
        <w:lang w:val="en-US" w:eastAsia="en-US" w:bidi="ar-SA"/>
      </w:rPr>
    </w:lvl>
    <w:lvl w:ilvl="3" w:tplc="122225C2">
      <w:numFmt w:val="bullet"/>
      <w:lvlText w:val="•"/>
      <w:lvlJc w:val="left"/>
      <w:pPr>
        <w:ind w:left="3620" w:hanging="851"/>
      </w:pPr>
      <w:rPr>
        <w:rFonts w:hint="default"/>
        <w:lang w:val="en-US" w:eastAsia="en-US" w:bidi="ar-SA"/>
      </w:rPr>
    </w:lvl>
    <w:lvl w:ilvl="4" w:tplc="0B8C59CA">
      <w:numFmt w:val="bullet"/>
      <w:lvlText w:val="•"/>
      <w:lvlJc w:val="left"/>
      <w:pPr>
        <w:ind w:left="4461" w:hanging="851"/>
      </w:pPr>
      <w:rPr>
        <w:rFonts w:hint="default"/>
        <w:lang w:val="en-US" w:eastAsia="en-US" w:bidi="ar-SA"/>
      </w:rPr>
    </w:lvl>
    <w:lvl w:ilvl="5" w:tplc="02A85712">
      <w:numFmt w:val="bullet"/>
      <w:lvlText w:val="•"/>
      <w:lvlJc w:val="left"/>
      <w:pPr>
        <w:ind w:left="5301" w:hanging="851"/>
      </w:pPr>
      <w:rPr>
        <w:rFonts w:hint="default"/>
        <w:lang w:val="en-US" w:eastAsia="en-US" w:bidi="ar-SA"/>
      </w:rPr>
    </w:lvl>
    <w:lvl w:ilvl="6" w:tplc="C44641DE">
      <w:numFmt w:val="bullet"/>
      <w:lvlText w:val="•"/>
      <w:lvlJc w:val="left"/>
      <w:pPr>
        <w:ind w:left="6142" w:hanging="851"/>
      </w:pPr>
      <w:rPr>
        <w:rFonts w:hint="default"/>
        <w:lang w:val="en-US" w:eastAsia="en-US" w:bidi="ar-SA"/>
      </w:rPr>
    </w:lvl>
    <w:lvl w:ilvl="7" w:tplc="6B7865B8">
      <w:numFmt w:val="bullet"/>
      <w:lvlText w:val="•"/>
      <w:lvlJc w:val="left"/>
      <w:pPr>
        <w:ind w:left="6982" w:hanging="851"/>
      </w:pPr>
      <w:rPr>
        <w:rFonts w:hint="default"/>
        <w:lang w:val="en-US" w:eastAsia="en-US" w:bidi="ar-SA"/>
      </w:rPr>
    </w:lvl>
    <w:lvl w:ilvl="8" w:tplc="B8089DC4">
      <w:numFmt w:val="bullet"/>
      <w:lvlText w:val="•"/>
      <w:lvlJc w:val="left"/>
      <w:pPr>
        <w:ind w:left="7823" w:hanging="851"/>
      </w:pPr>
      <w:rPr>
        <w:rFonts w:hint="default"/>
        <w:lang w:val="en-US" w:eastAsia="en-US" w:bidi="ar-SA"/>
      </w:rPr>
    </w:lvl>
  </w:abstractNum>
  <w:abstractNum w:abstractNumId="69" w15:restartNumberingAfterBreak="0">
    <w:nsid w:val="6E504B68"/>
    <w:multiLevelType w:val="hybridMultilevel"/>
    <w:tmpl w:val="423C7520"/>
    <w:lvl w:ilvl="0" w:tplc="D93A2702">
      <w:numFmt w:val="bullet"/>
      <w:lvlText w:val=""/>
      <w:lvlJc w:val="left"/>
      <w:pPr>
        <w:ind w:left="1938" w:hanging="851"/>
      </w:pPr>
      <w:rPr>
        <w:rFonts w:ascii="Symbol" w:eastAsia="Symbol" w:hAnsi="Symbol" w:cs="Symbol" w:hint="default"/>
        <w:b w:val="0"/>
        <w:bCs w:val="0"/>
        <w:i w:val="0"/>
        <w:iCs w:val="0"/>
        <w:w w:val="99"/>
        <w:sz w:val="24"/>
        <w:szCs w:val="24"/>
        <w:lang w:val="en-US" w:eastAsia="en-US" w:bidi="ar-SA"/>
      </w:rPr>
    </w:lvl>
    <w:lvl w:ilvl="1" w:tplc="E68AF6A6">
      <w:numFmt w:val="bullet"/>
      <w:lvlText w:val="•"/>
      <w:lvlJc w:val="left"/>
      <w:pPr>
        <w:ind w:left="2738" w:hanging="851"/>
      </w:pPr>
      <w:rPr>
        <w:rFonts w:hint="default"/>
        <w:lang w:val="en-US" w:eastAsia="en-US" w:bidi="ar-SA"/>
      </w:rPr>
    </w:lvl>
    <w:lvl w:ilvl="2" w:tplc="CB68CEE6">
      <w:numFmt w:val="bullet"/>
      <w:lvlText w:val="•"/>
      <w:lvlJc w:val="left"/>
      <w:pPr>
        <w:ind w:left="3536" w:hanging="851"/>
      </w:pPr>
      <w:rPr>
        <w:rFonts w:hint="default"/>
        <w:lang w:val="en-US" w:eastAsia="en-US" w:bidi="ar-SA"/>
      </w:rPr>
    </w:lvl>
    <w:lvl w:ilvl="3" w:tplc="EEFE1722">
      <w:numFmt w:val="bullet"/>
      <w:lvlText w:val="•"/>
      <w:lvlJc w:val="left"/>
      <w:pPr>
        <w:ind w:left="4335" w:hanging="851"/>
      </w:pPr>
      <w:rPr>
        <w:rFonts w:hint="default"/>
        <w:lang w:val="en-US" w:eastAsia="en-US" w:bidi="ar-SA"/>
      </w:rPr>
    </w:lvl>
    <w:lvl w:ilvl="4" w:tplc="BC5CC272">
      <w:numFmt w:val="bullet"/>
      <w:lvlText w:val="•"/>
      <w:lvlJc w:val="left"/>
      <w:pPr>
        <w:ind w:left="5133" w:hanging="851"/>
      </w:pPr>
      <w:rPr>
        <w:rFonts w:hint="default"/>
        <w:lang w:val="en-US" w:eastAsia="en-US" w:bidi="ar-SA"/>
      </w:rPr>
    </w:lvl>
    <w:lvl w:ilvl="5" w:tplc="01463A2C">
      <w:numFmt w:val="bullet"/>
      <w:lvlText w:val="•"/>
      <w:lvlJc w:val="left"/>
      <w:pPr>
        <w:ind w:left="5932" w:hanging="851"/>
      </w:pPr>
      <w:rPr>
        <w:rFonts w:hint="default"/>
        <w:lang w:val="en-US" w:eastAsia="en-US" w:bidi="ar-SA"/>
      </w:rPr>
    </w:lvl>
    <w:lvl w:ilvl="6" w:tplc="2FB6AD42">
      <w:numFmt w:val="bullet"/>
      <w:lvlText w:val="•"/>
      <w:lvlJc w:val="left"/>
      <w:pPr>
        <w:ind w:left="6730" w:hanging="851"/>
      </w:pPr>
      <w:rPr>
        <w:rFonts w:hint="default"/>
        <w:lang w:val="en-US" w:eastAsia="en-US" w:bidi="ar-SA"/>
      </w:rPr>
    </w:lvl>
    <w:lvl w:ilvl="7" w:tplc="372E5470">
      <w:numFmt w:val="bullet"/>
      <w:lvlText w:val="•"/>
      <w:lvlJc w:val="left"/>
      <w:pPr>
        <w:ind w:left="7529" w:hanging="851"/>
      </w:pPr>
      <w:rPr>
        <w:rFonts w:hint="default"/>
        <w:lang w:val="en-US" w:eastAsia="en-US" w:bidi="ar-SA"/>
      </w:rPr>
    </w:lvl>
    <w:lvl w:ilvl="8" w:tplc="BD82D42E">
      <w:numFmt w:val="bullet"/>
      <w:lvlText w:val="•"/>
      <w:lvlJc w:val="left"/>
      <w:pPr>
        <w:ind w:left="8327" w:hanging="851"/>
      </w:pPr>
      <w:rPr>
        <w:rFonts w:hint="default"/>
        <w:lang w:val="en-US" w:eastAsia="en-US" w:bidi="ar-SA"/>
      </w:rPr>
    </w:lvl>
  </w:abstractNum>
  <w:abstractNum w:abstractNumId="70" w15:restartNumberingAfterBreak="0">
    <w:nsid w:val="6EBD2801"/>
    <w:multiLevelType w:val="hybridMultilevel"/>
    <w:tmpl w:val="E9A85B46"/>
    <w:lvl w:ilvl="0" w:tplc="EB3ACEC8">
      <w:start w:val="2"/>
      <w:numFmt w:val="decimal"/>
      <w:lvlText w:val="%1."/>
      <w:lvlJc w:val="left"/>
      <w:pPr>
        <w:ind w:left="2649" w:hanging="851"/>
        <w:jc w:val="left"/>
      </w:pPr>
      <w:rPr>
        <w:rFonts w:ascii="Calibri" w:eastAsia="Calibri" w:hAnsi="Calibri" w:cs="Calibri" w:hint="default"/>
        <w:b/>
        <w:bCs/>
        <w:i w:val="0"/>
        <w:iCs w:val="0"/>
        <w:spacing w:val="-1"/>
        <w:w w:val="99"/>
        <w:sz w:val="24"/>
        <w:szCs w:val="24"/>
        <w:lang w:val="en-US" w:eastAsia="en-US" w:bidi="ar-SA"/>
      </w:rPr>
    </w:lvl>
    <w:lvl w:ilvl="1" w:tplc="4470037A">
      <w:start w:val="1"/>
      <w:numFmt w:val="lowerLetter"/>
      <w:lvlText w:val="(%2)"/>
      <w:lvlJc w:val="left"/>
      <w:pPr>
        <w:ind w:left="3642" w:hanging="852"/>
        <w:jc w:val="left"/>
      </w:pPr>
      <w:rPr>
        <w:rFonts w:ascii="Calibri" w:eastAsia="Calibri" w:hAnsi="Calibri" w:cs="Calibri" w:hint="default"/>
        <w:b w:val="0"/>
        <w:bCs w:val="0"/>
        <w:i w:val="0"/>
        <w:iCs w:val="0"/>
        <w:w w:val="99"/>
        <w:sz w:val="24"/>
        <w:szCs w:val="24"/>
        <w:u w:val="single" w:color="000000"/>
        <w:lang w:val="en-US" w:eastAsia="en-US" w:bidi="ar-SA"/>
      </w:rPr>
    </w:lvl>
    <w:lvl w:ilvl="2" w:tplc="CBE0F46C">
      <w:start w:val="1"/>
      <w:numFmt w:val="lowerRoman"/>
      <w:lvlText w:val="%3."/>
      <w:lvlJc w:val="left"/>
      <w:pPr>
        <w:ind w:left="4493" w:hanging="851"/>
        <w:jc w:val="left"/>
      </w:pPr>
      <w:rPr>
        <w:rFonts w:ascii="Calibri" w:eastAsia="Calibri" w:hAnsi="Calibri" w:cs="Calibri" w:hint="default"/>
        <w:b w:val="0"/>
        <w:bCs w:val="0"/>
        <w:i/>
        <w:iCs/>
        <w:w w:val="99"/>
        <w:sz w:val="24"/>
        <w:szCs w:val="24"/>
        <w:lang w:val="en-US" w:eastAsia="en-US" w:bidi="ar-SA"/>
      </w:rPr>
    </w:lvl>
    <w:lvl w:ilvl="3" w:tplc="6590A736">
      <w:numFmt w:val="bullet"/>
      <w:lvlText w:val="•"/>
      <w:lvlJc w:val="left"/>
      <w:pPr>
        <w:ind w:left="5178" w:hanging="851"/>
      </w:pPr>
      <w:rPr>
        <w:rFonts w:hint="default"/>
        <w:lang w:val="en-US" w:eastAsia="en-US" w:bidi="ar-SA"/>
      </w:rPr>
    </w:lvl>
    <w:lvl w:ilvl="4" w:tplc="3C1C6772">
      <w:numFmt w:val="bullet"/>
      <w:lvlText w:val="•"/>
      <w:lvlJc w:val="left"/>
      <w:pPr>
        <w:ind w:left="5856" w:hanging="851"/>
      </w:pPr>
      <w:rPr>
        <w:rFonts w:hint="default"/>
        <w:lang w:val="en-US" w:eastAsia="en-US" w:bidi="ar-SA"/>
      </w:rPr>
    </w:lvl>
    <w:lvl w:ilvl="5" w:tplc="0ED2F2F4">
      <w:numFmt w:val="bullet"/>
      <w:lvlText w:val="•"/>
      <w:lvlJc w:val="left"/>
      <w:pPr>
        <w:ind w:left="6534" w:hanging="851"/>
      </w:pPr>
      <w:rPr>
        <w:rFonts w:hint="default"/>
        <w:lang w:val="en-US" w:eastAsia="en-US" w:bidi="ar-SA"/>
      </w:rPr>
    </w:lvl>
    <w:lvl w:ilvl="6" w:tplc="24FC5F68">
      <w:numFmt w:val="bullet"/>
      <w:lvlText w:val="•"/>
      <w:lvlJc w:val="left"/>
      <w:pPr>
        <w:ind w:left="7212" w:hanging="851"/>
      </w:pPr>
      <w:rPr>
        <w:rFonts w:hint="default"/>
        <w:lang w:val="en-US" w:eastAsia="en-US" w:bidi="ar-SA"/>
      </w:rPr>
    </w:lvl>
    <w:lvl w:ilvl="7" w:tplc="B3C066CA">
      <w:numFmt w:val="bullet"/>
      <w:lvlText w:val="•"/>
      <w:lvlJc w:val="left"/>
      <w:pPr>
        <w:ind w:left="7890" w:hanging="851"/>
      </w:pPr>
      <w:rPr>
        <w:rFonts w:hint="default"/>
        <w:lang w:val="en-US" w:eastAsia="en-US" w:bidi="ar-SA"/>
      </w:rPr>
    </w:lvl>
    <w:lvl w:ilvl="8" w:tplc="E2CADC32">
      <w:numFmt w:val="bullet"/>
      <w:lvlText w:val="•"/>
      <w:lvlJc w:val="left"/>
      <w:pPr>
        <w:ind w:left="8568" w:hanging="851"/>
      </w:pPr>
      <w:rPr>
        <w:rFonts w:hint="default"/>
        <w:lang w:val="en-US" w:eastAsia="en-US" w:bidi="ar-SA"/>
      </w:rPr>
    </w:lvl>
  </w:abstractNum>
  <w:abstractNum w:abstractNumId="71" w15:restartNumberingAfterBreak="0">
    <w:nsid w:val="77431AC3"/>
    <w:multiLevelType w:val="hybridMultilevel"/>
    <w:tmpl w:val="BC0CACC4"/>
    <w:lvl w:ilvl="0" w:tplc="6144D978">
      <w:numFmt w:val="bullet"/>
      <w:lvlText w:val="•"/>
      <w:lvlJc w:val="left"/>
      <w:pPr>
        <w:ind w:left="1943" w:hanging="850"/>
      </w:pPr>
      <w:rPr>
        <w:rFonts w:ascii="Arial" w:eastAsia="Arial" w:hAnsi="Arial" w:cs="Arial" w:hint="default"/>
        <w:w w:val="117"/>
        <w:lang w:val="en-US" w:eastAsia="en-US" w:bidi="ar-SA"/>
      </w:rPr>
    </w:lvl>
    <w:lvl w:ilvl="1" w:tplc="6DC45910">
      <w:numFmt w:val="bullet"/>
      <w:lvlText w:val="•"/>
      <w:lvlJc w:val="left"/>
      <w:pPr>
        <w:ind w:left="2738" w:hanging="850"/>
      </w:pPr>
      <w:rPr>
        <w:rFonts w:hint="default"/>
        <w:lang w:val="en-US" w:eastAsia="en-US" w:bidi="ar-SA"/>
      </w:rPr>
    </w:lvl>
    <w:lvl w:ilvl="2" w:tplc="31BEA4F2">
      <w:numFmt w:val="bullet"/>
      <w:lvlText w:val="•"/>
      <w:lvlJc w:val="left"/>
      <w:pPr>
        <w:ind w:left="3536" w:hanging="850"/>
      </w:pPr>
      <w:rPr>
        <w:rFonts w:hint="default"/>
        <w:lang w:val="en-US" w:eastAsia="en-US" w:bidi="ar-SA"/>
      </w:rPr>
    </w:lvl>
    <w:lvl w:ilvl="3" w:tplc="485AFF3A">
      <w:numFmt w:val="bullet"/>
      <w:lvlText w:val="•"/>
      <w:lvlJc w:val="left"/>
      <w:pPr>
        <w:ind w:left="4335" w:hanging="850"/>
      </w:pPr>
      <w:rPr>
        <w:rFonts w:hint="default"/>
        <w:lang w:val="en-US" w:eastAsia="en-US" w:bidi="ar-SA"/>
      </w:rPr>
    </w:lvl>
    <w:lvl w:ilvl="4" w:tplc="1CCC0742">
      <w:numFmt w:val="bullet"/>
      <w:lvlText w:val="•"/>
      <w:lvlJc w:val="left"/>
      <w:pPr>
        <w:ind w:left="5133" w:hanging="850"/>
      </w:pPr>
      <w:rPr>
        <w:rFonts w:hint="default"/>
        <w:lang w:val="en-US" w:eastAsia="en-US" w:bidi="ar-SA"/>
      </w:rPr>
    </w:lvl>
    <w:lvl w:ilvl="5" w:tplc="D1821BE4">
      <w:numFmt w:val="bullet"/>
      <w:lvlText w:val="•"/>
      <w:lvlJc w:val="left"/>
      <w:pPr>
        <w:ind w:left="5932" w:hanging="850"/>
      </w:pPr>
      <w:rPr>
        <w:rFonts w:hint="default"/>
        <w:lang w:val="en-US" w:eastAsia="en-US" w:bidi="ar-SA"/>
      </w:rPr>
    </w:lvl>
    <w:lvl w:ilvl="6" w:tplc="63EE23FE">
      <w:numFmt w:val="bullet"/>
      <w:lvlText w:val="•"/>
      <w:lvlJc w:val="left"/>
      <w:pPr>
        <w:ind w:left="6730" w:hanging="850"/>
      </w:pPr>
      <w:rPr>
        <w:rFonts w:hint="default"/>
        <w:lang w:val="en-US" w:eastAsia="en-US" w:bidi="ar-SA"/>
      </w:rPr>
    </w:lvl>
    <w:lvl w:ilvl="7" w:tplc="4D703CCC">
      <w:numFmt w:val="bullet"/>
      <w:lvlText w:val="•"/>
      <w:lvlJc w:val="left"/>
      <w:pPr>
        <w:ind w:left="7529" w:hanging="850"/>
      </w:pPr>
      <w:rPr>
        <w:rFonts w:hint="default"/>
        <w:lang w:val="en-US" w:eastAsia="en-US" w:bidi="ar-SA"/>
      </w:rPr>
    </w:lvl>
    <w:lvl w:ilvl="8" w:tplc="EF260F54">
      <w:numFmt w:val="bullet"/>
      <w:lvlText w:val="•"/>
      <w:lvlJc w:val="left"/>
      <w:pPr>
        <w:ind w:left="8327" w:hanging="850"/>
      </w:pPr>
      <w:rPr>
        <w:rFonts w:hint="default"/>
        <w:lang w:val="en-US" w:eastAsia="en-US" w:bidi="ar-SA"/>
      </w:rPr>
    </w:lvl>
  </w:abstractNum>
  <w:abstractNum w:abstractNumId="72" w15:restartNumberingAfterBreak="0">
    <w:nsid w:val="78331DA7"/>
    <w:multiLevelType w:val="hybridMultilevel"/>
    <w:tmpl w:val="76262598"/>
    <w:lvl w:ilvl="0" w:tplc="7F08F532">
      <w:numFmt w:val="bullet"/>
      <w:lvlText w:val=""/>
      <w:lvlJc w:val="left"/>
      <w:pPr>
        <w:ind w:left="1939" w:hanging="851"/>
      </w:pPr>
      <w:rPr>
        <w:rFonts w:ascii="Symbol" w:eastAsia="Symbol" w:hAnsi="Symbol" w:cs="Symbol" w:hint="default"/>
        <w:b w:val="0"/>
        <w:bCs w:val="0"/>
        <w:i w:val="0"/>
        <w:iCs w:val="0"/>
        <w:w w:val="99"/>
        <w:sz w:val="24"/>
        <w:szCs w:val="24"/>
        <w:lang w:val="en-US" w:eastAsia="en-US" w:bidi="ar-SA"/>
      </w:rPr>
    </w:lvl>
    <w:lvl w:ilvl="1" w:tplc="2F7059CA">
      <w:numFmt w:val="bullet"/>
      <w:lvlText w:val="•"/>
      <w:lvlJc w:val="left"/>
      <w:pPr>
        <w:ind w:left="2738" w:hanging="851"/>
      </w:pPr>
      <w:rPr>
        <w:rFonts w:hint="default"/>
        <w:lang w:val="en-US" w:eastAsia="en-US" w:bidi="ar-SA"/>
      </w:rPr>
    </w:lvl>
    <w:lvl w:ilvl="2" w:tplc="13E4871C">
      <w:numFmt w:val="bullet"/>
      <w:lvlText w:val="•"/>
      <w:lvlJc w:val="left"/>
      <w:pPr>
        <w:ind w:left="3536" w:hanging="851"/>
      </w:pPr>
      <w:rPr>
        <w:rFonts w:hint="default"/>
        <w:lang w:val="en-US" w:eastAsia="en-US" w:bidi="ar-SA"/>
      </w:rPr>
    </w:lvl>
    <w:lvl w:ilvl="3" w:tplc="E0E42292">
      <w:numFmt w:val="bullet"/>
      <w:lvlText w:val="•"/>
      <w:lvlJc w:val="left"/>
      <w:pPr>
        <w:ind w:left="4335" w:hanging="851"/>
      </w:pPr>
      <w:rPr>
        <w:rFonts w:hint="default"/>
        <w:lang w:val="en-US" w:eastAsia="en-US" w:bidi="ar-SA"/>
      </w:rPr>
    </w:lvl>
    <w:lvl w:ilvl="4" w:tplc="B26C8E4E">
      <w:numFmt w:val="bullet"/>
      <w:lvlText w:val="•"/>
      <w:lvlJc w:val="left"/>
      <w:pPr>
        <w:ind w:left="5133" w:hanging="851"/>
      </w:pPr>
      <w:rPr>
        <w:rFonts w:hint="default"/>
        <w:lang w:val="en-US" w:eastAsia="en-US" w:bidi="ar-SA"/>
      </w:rPr>
    </w:lvl>
    <w:lvl w:ilvl="5" w:tplc="BCDA99AE">
      <w:numFmt w:val="bullet"/>
      <w:lvlText w:val="•"/>
      <w:lvlJc w:val="left"/>
      <w:pPr>
        <w:ind w:left="5932" w:hanging="851"/>
      </w:pPr>
      <w:rPr>
        <w:rFonts w:hint="default"/>
        <w:lang w:val="en-US" w:eastAsia="en-US" w:bidi="ar-SA"/>
      </w:rPr>
    </w:lvl>
    <w:lvl w:ilvl="6" w:tplc="588A295A">
      <w:numFmt w:val="bullet"/>
      <w:lvlText w:val="•"/>
      <w:lvlJc w:val="left"/>
      <w:pPr>
        <w:ind w:left="6730" w:hanging="851"/>
      </w:pPr>
      <w:rPr>
        <w:rFonts w:hint="default"/>
        <w:lang w:val="en-US" w:eastAsia="en-US" w:bidi="ar-SA"/>
      </w:rPr>
    </w:lvl>
    <w:lvl w:ilvl="7" w:tplc="CC0EF264">
      <w:numFmt w:val="bullet"/>
      <w:lvlText w:val="•"/>
      <w:lvlJc w:val="left"/>
      <w:pPr>
        <w:ind w:left="7529" w:hanging="851"/>
      </w:pPr>
      <w:rPr>
        <w:rFonts w:hint="default"/>
        <w:lang w:val="en-US" w:eastAsia="en-US" w:bidi="ar-SA"/>
      </w:rPr>
    </w:lvl>
    <w:lvl w:ilvl="8" w:tplc="73C83E78">
      <w:numFmt w:val="bullet"/>
      <w:lvlText w:val="•"/>
      <w:lvlJc w:val="left"/>
      <w:pPr>
        <w:ind w:left="8327" w:hanging="851"/>
      </w:pPr>
      <w:rPr>
        <w:rFonts w:hint="default"/>
        <w:lang w:val="en-US" w:eastAsia="en-US" w:bidi="ar-SA"/>
      </w:rPr>
    </w:lvl>
  </w:abstractNum>
  <w:abstractNum w:abstractNumId="73" w15:restartNumberingAfterBreak="0">
    <w:nsid w:val="78C562A7"/>
    <w:multiLevelType w:val="hybridMultilevel"/>
    <w:tmpl w:val="F80C7360"/>
    <w:lvl w:ilvl="0" w:tplc="C1FED4F8">
      <w:start w:val="2"/>
      <w:numFmt w:val="lowerRoman"/>
      <w:lvlText w:val="%1."/>
      <w:lvlJc w:val="left"/>
      <w:pPr>
        <w:ind w:left="4509" w:hanging="865"/>
        <w:jc w:val="left"/>
      </w:pPr>
      <w:rPr>
        <w:rFonts w:hint="default"/>
        <w:spacing w:val="-1"/>
        <w:w w:val="101"/>
        <w:lang w:val="en-US" w:eastAsia="en-US" w:bidi="ar-SA"/>
      </w:rPr>
    </w:lvl>
    <w:lvl w:ilvl="1" w:tplc="C1CC6494">
      <w:start w:val="1"/>
      <w:numFmt w:val="upperLetter"/>
      <w:lvlText w:val="(%2)"/>
      <w:lvlJc w:val="left"/>
      <w:pPr>
        <w:ind w:left="5340" w:hanging="848"/>
        <w:jc w:val="left"/>
      </w:pPr>
      <w:rPr>
        <w:rFonts w:ascii="Calibri" w:eastAsia="Calibri" w:hAnsi="Calibri" w:cs="Calibri" w:hint="default"/>
        <w:b w:val="0"/>
        <w:bCs w:val="0"/>
        <w:i w:val="0"/>
        <w:iCs w:val="0"/>
        <w:w w:val="99"/>
        <w:sz w:val="24"/>
        <w:szCs w:val="24"/>
        <w:lang w:val="en-US" w:eastAsia="en-US" w:bidi="ar-SA"/>
      </w:rPr>
    </w:lvl>
    <w:lvl w:ilvl="2" w:tplc="F8E61BD4">
      <w:numFmt w:val="bullet"/>
      <w:lvlText w:val="•"/>
      <w:lvlJc w:val="left"/>
      <w:pPr>
        <w:ind w:left="5849" w:hanging="848"/>
      </w:pPr>
      <w:rPr>
        <w:rFonts w:hint="default"/>
        <w:lang w:val="en-US" w:eastAsia="en-US" w:bidi="ar-SA"/>
      </w:rPr>
    </w:lvl>
    <w:lvl w:ilvl="3" w:tplc="EFA66932">
      <w:numFmt w:val="bullet"/>
      <w:lvlText w:val="•"/>
      <w:lvlJc w:val="left"/>
      <w:pPr>
        <w:ind w:left="6358" w:hanging="848"/>
      </w:pPr>
      <w:rPr>
        <w:rFonts w:hint="default"/>
        <w:lang w:val="en-US" w:eastAsia="en-US" w:bidi="ar-SA"/>
      </w:rPr>
    </w:lvl>
    <w:lvl w:ilvl="4" w:tplc="03F8AAC6">
      <w:numFmt w:val="bullet"/>
      <w:lvlText w:val="•"/>
      <w:lvlJc w:val="left"/>
      <w:pPr>
        <w:ind w:left="6868" w:hanging="848"/>
      </w:pPr>
      <w:rPr>
        <w:rFonts w:hint="default"/>
        <w:lang w:val="en-US" w:eastAsia="en-US" w:bidi="ar-SA"/>
      </w:rPr>
    </w:lvl>
    <w:lvl w:ilvl="5" w:tplc="FD2E60BC">
      <w:numFmt w:val="bullet"/>
      <w:lvlText w:val="•"/>
      <w:lvlJc w:val="left"/>
      <w:pPr>
        <w:ind w:left="7377" w:hanging="848"/>
      </w:pPr>
      <w:rPr>
        <w:rFonts w:hint="default"/>
        <w:lang w:val="en-US" w:eastAsia="en-US" w:bidi="ar-SA"/>
      </w:rPr>
    </w:lvl>
    <w:lvl w:ilvl="6" w:tplc="91666D2E">
      <w:numFmt w:val="bullet"/>
      <w:lvlText w:val="•"/>
      <w:lvlJc w:val="left"/>
      <w:pPr>
        <w:ind w:left="7886" w:hanging="848"/>
      </w:pPr>
      <w:rPr>
        <w:rFonts w:hint="default"/>
        <w:lang w:val="en-US" w:eastAsia="en-US" w:bidi="ar-SA"/>
      </w:rPr>
    </w:lvl>
    <w:lvl w:ilvl="7" w:tplc="1E18F8EE">
      <w:numFmt w:val="bullet"/>
      <w:lvlText w:val="•"/>
      <w:lvlJc w:val="left"/>
      <w:pPr>
        <w:ind w:left="8396" w:hanging="848"/>
      </w:pPr>
      <w:rPr>
        <w:rFonts w:hint="default"/>
        <w:lang w:val="en-US" w:eastAsia="en-US" w:bidi="ar-SA"/>
      </w:rPr>
    </w:lvl>
    <w:lvl w:ilvl="8" w:tplc="89947576">
      <w:numFmt w:val="bullet"/>
      <w:lvlText w:val="•"/>
      <w:lvlJc w:val="left"/>
      <w:pPr>
        <w:ind w:left="8905" w:hanging="848"/>
      </w:pPr>
      <w:rPr>
        <w:rFonts w:hint="default"/>
        <w:lang w:val="en-US" w:eastAsia="en-US" w:bidi="ar-SA"/>
      </w:rPr>
    </w:lvl>
  </w:abstractNum>
  <w:abstractNum w:abstractNumId="74" w15:restartNumberingAfterBreak="0">
    <w:nsid w:val="7A3E6252"/>
    <w:multiLevelType w:val="hybridMultilevel"/>
    <w:tmpl w:val="6A1E8BEC"/>
    <w:lvl w:ilvl="0" w:tplc="56EADC5A">
      <w:numFmt w:val="bullet"/>
      <w:lvlText w:val="•"/>
      <w:lvlJc w:val="left"/>
      <w:pPr>
        <w:ind w:left="1942" w:hanging="854"/>
      </w:pPr>
      <w:rPr>
        <w:rFonts w:ascii="Arial" w:eastAsia="Arial" w:hAnsi="Arial" w:cs="Arial" w:hint="default"/>
        <w:b w:val="0"/>
        <w:bCs w:val="0"/>
        <w:i w:val="0"/>
        <w:iCs w:val="0"/>
        <w:color w:val="0A0A0A"/>
        <w:w w:val="102"/>
        <w:sz w:val="21"/>
        <w:szCs w:val="21"/>
        <w:lang w:val="en-US" w:eastAsia="en-US" w:bidi="ar-SA"/>
      </w:rPr>
    </w:lvl>
    <w:lvl w:ilvl="1" w:tplc="F16A3A68">
      <w:numFmt w:val="bullet"/>
      <w:lvlText w:val="•"/>
      <w:lvlJc w:val="left"/>
      <w:pPr>
        <w:ind w:left="2738" w:hanging="854"/>
      </w:pPr>
      <w:rPr>
        <w:rFonts w:hint="default"/>
        <w:lang w:val="en-US" w:eastAsia="en-US" w:bidi="ar-SA"/>
      </w:rPr>
    </w:lvl>
    <w:lvl w:ilvl="2" w:tplc="F9E8EFF2">
      <w:numFmt w:val="bullet"/>
      <w:lvlText w:val="•"/>
      <w:lvlJc w:val="left"/>
      <w:pPr>
        <w:ind w:left="3536" w:hanging="854"/>
      </w:pPr>
      <w:rPr>
        <w:rFonts w:hint="default"/>
        <w:lang w:val="en-US" w:eastAsia="en-US" w:bidi="ar-SA"/>
      </w:rPr>
    </w:lvl>
    <w:lvl w:ilvl="3" w:tplc="9F865316">
      <w:numFmt w:val="bullet"/>
      <w:lvlText w:val="•"/>
      <w:lvlJc w:val="left"/>
      <w:pPr>
        <w:ind w:left="4335" w:hanging="854"/>
      </w:pPr>
      <w:rPr>
        <w:rFonts w:hint="default"/>
        <w:lang w:val="en-US" w:eastAsia="en-US" w:bidi="ar-SA"/>
      </w:rPr>
    </w:lvl>
    <w:lvl w:ilvl="4" w:tplc="E7CE6B28">
      <w:numFmt w:val="bullet"/>
      <w:lvlText w:val="•"/>
      <w:lvlJc w:val="left"/>
      <w:pPr>
        <w:ind w:left="5133" w:hanging="854"/>
      </w:pPr>
      <w:rPr>
        <w:rFonts w:hint="default"/>
        <w:lang w:val="en-US" w:eastAsia="en-US" w:bidi="ar-SA"/>
      </w:rPr>
    </w:lvl>
    <w:lvl w:ilvl="5" w:tplc="4E0CA45A">
      <w:numFmt w:val="bullet"/>
      <w:lvlText w:val="•"/>
      <w:lvlJc w:val="left"/>
      <w:pPr>
        <w:ind w:left="5932" w:hanging="854"/>
      </w:pPr>
      <w:rPr>
        <w:rFonts w:hint="default"/>
        <w:lang w:val="en-US" w:eastAsia="en-US" w:bidi="ar-SA"/>
      </w:rPr>
    </w:lvl>
    <w:lvl w:ilvl="6" w:tplc="B1522E8C">
      <w:numFmt w:val="bullet"/>
      <w:lvlText w:val="•"/>
      <w:lvlJc w:val="left"/>
      <w:pPr>
        <w:ind w:left="6730" w:hanging="854"/>
      </w:pPr>
      <w:rPr>
        <w:rFonts w:hint="default"/>
        <w:lang w:val="en-US" w:eastAsia="en-US" w:bidi="ar-SA"/>
      </w:rPr>
    </w:lvl>
    <w:lvl w:ilvl="7" w:tplc="315C22A8">
      <w:numFmt w:val="bullet"/>
      <w:lvlText w:val="•"/>
      <w:lvlJc w:val="left"/>
      <w:pPr>
        <w:ind w:left="7529" w:hanging="854"/>
      </w:pPr>
      <w:rPr>
        <w:rFonts w:hint="default"/>
        <w:lang w:val="en-US" w:eastAsia="en-US" w:bidi="ar-SA"/>
      </w:rPr>
    </w:lvl>
    <w:lvl w:ilvl="8" w:tplc="D1FC2D42">
      <w:numFmt w:val="bullet"/>
      <w:lvlText w:val="•"/>
      <w:lvlJc w:val="left"/>
      <w:pPr>
        <w:ind w:left="8327" w:hanging="854"/>
      </w:pPr>
      <w:rPr>
        <w:rFonts w:hint="default"/>
        <w:lang w:val="en-US" w:eastAsia="en-US" w:bidi="ar-SA"/>
      </w:rPr>
    </w:lvl>
  </w:abstractNum>
  <w:abstractNum w:abstractNumId="75" w15:restartNumberingAfterBreak="0">
    <w:nsid w:val="7A445F06"/>
    <w:multiLevelType w:val="hybridMultilevel"/>
    <w:tmpl w:val="66F0A17A"/>
    <w:lvl w:ilvl="0" w:tplc="3CD64D32">
      <w:start w:val="3"/>
      <w:numFmt w:val="lowerLetter"/>
      <w:lvlText w:val="(%1)"/>
      <w:lvlJc w:val="left"/>
      <w:pPr>
        <w:ind w:left="2366" w:hanging="852"/>
        <w:jc w:val="left"/>
      </w:pPr>
      <w:rPr>
        <w:rFonts w:ascii="Calibri" w:eastAsia="Calibri" w:hAnsi="Calibri" w:cs="Calibri" w:hint="default"/>
        <w:b w:val="0"/>
        <w:bCs w:val="0"/>
        <w:i w:val="0"/>
        <w:iCs w:val="0"/>
        <w:w w:val="100"/>
        <w:sz w:val="24"/>
        <w:szCs w:val="24"/>
        <w:u w:val="single" w:color="000000"/>
        <w:lang w:val="en-US" w:eastAsia="en-US" w:bidi="ar-SA"/>
      </w:rPr>
    </w:lvl>
    <w:lvl w:ilvl="1" w:tplc="C5583D3A">
      <w:numFmt w:val="bullet"/>
      <w:lvlText w:val="•"/>
      <w:lvlJc w:val="left"/>
      <w:pPr>
        <w:ind w:left="3074" w:hanging="852"/>
      </w:pPr>
      <w:rPr>
        <w:rFonts w:hint="default"/>
        <w:lang w:val="en-US" w:eastAsia="en-US" w:bidi="ar-SA"/>
      </w:rPr>
    </w:lvl>
    <w:lvl w:ilvl="2" w:tplc="5E32040E">
      <w:numFmt w:val="bullet"/>
      <w:lvlText w:val="•"/>
      <w:lvlJc w:val="left"/>
      <w:pPr>
        <w:ind w:left="3788" w:hanging="852"/>
      </w:pPr>
      <w:rPr>
        <w:rFonts w:hint="default"/>
        <w:lang w:val="en-US" w:eastAsia="en-US" w:bidi="ar-SA"/>
      </w:rPr>
    </w:lvl>
    <w:lvl w:ilvl="3" w:tplc="E272D3A6">
      <w:numFmt w:val="bullet"/>
      <w:lvlText w:val="•"/>
      <w:lvlJc w:val="left"/>
      <w:pPr>
        <w:ind w:left="4503" w:hanging="852"/>
      </w:pPr>
      <w:rPr>
        <w:rFonts w:hint="default"/>
        <w:lang w:val="en-US" w:eastAsia="en-US" w:bidi="ar-SA"/>
      </w:rPr>
    </w:lvl>
    <w:lvl w:ilvl="4" w:tplc="2AF67C66">
      <w:numFmt w:val="bullet"/>
      <w:lvlText w:val="•"/>
      <w:lvlJc w:val="left"/>
      <w:pPr>
        <w:ind w:left="5217" w:hanging="852"/>
      </w:pPr>
      <w:rPr>
        <w:rFonts w:hint="default"/>
        <w:lang w:val="en-US" w:eastAsia="en-US" w:bidi="ar-SA"/>
      </w:rPr>
    </w:lvl>
    <w:lvl w:ilvl="5" w:tplc="F314F09C">
      <w:numFmt w:val="bullet"/>
      <w:lvlText w:val="•"/>
      <w:lvlJc w:val="left"/>
      <w:pPr>
        <w:ind w:left="5932" w:hanging="852"/>
      </w:pPr>
      <w:rPr>
        <w:rFonts w:hint="default"/>
        <w:lang w:val="en-US" w:eastAsia="en-US" w:bidi="ar-SA"/>
      </w:rPr>
    </w:lvl>
    <w:lvl w:ilvl="6" w:tplc="517C8772">
      <w:numFmt w:val="bullet"/>
      <w:lvlText w:val="•"/>
      <w:lvlJc w:val="left"/>
      <w:pPr>
        <w:ind w:left="6646" w:hanging="852"/>
      </w:pPr>
      <w:rPr>
        <w:rFonts w:hint="default"/>
        <w:lang w:val="en-US" w:eastAsia="en-US" w:bidi="ar-SA"/>
      </w:rPr>
    </w:lvl>
    <w:lvl w:ilvl="7" w:tplc="B8E4AFA2">
      <w:numFmt w:val="bullet"/>
      <w:lvlText w:val="•"/>
      <w:lvlJc w:val="left"/>
      <w:pPr>
        <w:ind w:left="7361" w:hanging="852"/>
      </w:pPr>
      <w:rPr>
        <w:rFonts w:hint="default"/>
        <w:lang w:val="en-US" w:eastAsia="en-US" w:bidi="ar-SA"/>
      </w:rPr>
    </w:lvl>
    <w:lvl w:ilvl="8" w:tplc="4FF86B68">
      <w:numFmt w:val="bullet"/>
      <w:lvlText w:val="•"/>
      <w:lvlJc w:val="left"/>
      <w:pPr>
        <w:ind w:left="8075" w:hanging="852"/>
      </w:pPr>
      <w:rPr>
        <w:rFonts w:hint="default"/>
        <w:lang w:val="en-US" w:eastAsia="en-US" w:bidi="ar-SA"/>
      </w:rPr>
    </w:lvl>
  </w:abstractNum>
  <w:abstractNum w:abstractNumId="76" w15:restartNumberingAfterBreak="0">
    <w:nsid w:val="7B787615"/>
    <w:multiLevelType w:val="hybridMultilevel"/>
    <w:tmpl w:val="969A28FC"/>
    <w:lvl w:ilvl="0" w:tplc="C5C46DB2">
      <w:start w:val="3"/>
      <w:numFmt w:val="lowerRoman"/>
      <w:lvlText w:val="(%1)"/>
      <w:lvlJc w:val="left"/>
      <w:pPr>
        <w:ind w:left="236" w:hanging="354"/>
        <w:jc w:val="left"/>
      </w:pPr>
      <w:rPr>
        <w:rFonts w:ascii="Calibri" w:eastAsia="Calibri" w:hAnsi="Calibri" w:cs="Calibri" w:hint="default"/>
        <w:b w:val="0"/>
        <w:bCs w:val="0"/>
        <w:i w:val="0"/>
        <w:iCs w:val="0"/>
        <w:w w:val="99"/>
        <w:sz w:val="24"/>
        <w:szCs w:val="24"/>
        <w:lang w:val="en-US" w:eastAsia="en-US" w:bidi="ar-SA"/>
      </w:rPr>
    </w:lvl>
    <w:lvl w:ilvl="1" w:tplc="AFD4DE64">
      <w:numFmt w:val="bullet"/>
      <w:lvlText w:val=""/>
      <w:lvlJc w:val="left"/>
      <w:pPr>
        <w:ind w:left="1939" w:hanging="851"/>
      </w:pPr>
      <w:rPr>
        <w:rFonts w:ascii="Symbol" w:eastAsia="Symbol" w:hAnsi="Symbol" w:cs="Symbol" w:hint="default"/>
        <w:b w:val="0"/>
        <w:bCs w:val="0"/>
        <w:i w:val="0"/>
        <w:iCs w:val="0"/>
        <w:w w:val="99"/>
        <w:sz w:val="24"/>
        <w:szCs w:val="24"/>
        <w:lang w:val="en-US" w:eastAsia="en-US" w:bidi="ar-SA"/>
      </w:rPr>
    </w:lvl>
    <w:lvl w:ilvl="2" w:tplc="309895CC">
      <w:numFmt w:val="bullet"/>
      <w:lvlText w:val="•"/>
      <w:lvlJc w:val="left"/>
      <w:pPr>
        <w:ind w:left="2827" w:hanging="851"/>
      </w:pPr>
      <w:rPr>
        <w:rFonts w:hint="default"/>
        <w:lang w:val="en-US" w:eastAsia="en-US" w:bidi="ar-SA"/>
      </w:rPr>
    </w:lvl>
    <w:lvl w:ilvl="3" w:tplc="33AEFAF4">
      <w:numFmt w:val="bullet"/>
      <w:lvlText w:val="•"/>
      <w:lvlJc w:val="left"/>
      <w:pPr>
        <w:ind w:left="3714" w:hanging="851"/>
      </w:pPr>
      <w:rPr>
        <w:rFonts w:hint="default"/>
        <w:lang w:val="en-US" w:eastAsia="en-US" w:bidi="ar-SA"/>
      </w:rPr>
    </w:lvl>
    <w:lvl w:ilvl="4" w:tplc="EC74A0BE">
      <w:numFmt w:val="bullet"/>
      <w:lvlText w:val="•"/>
      <w:lvlJc w:val="left"/>
      <w:pPr>
        <w:ind w:left="4601" w:hanging="851"/>
      </w:pPr>
      <w:rPr>
        <w:rFonts w:hint="default"/>
        <w:lang w:val="en-US" w:eastAsia="en-US" w:bidi="ar-SA"/>
      </w:rPr>
    </w:lvl>
    <w:lvl w:ilvl="5" w:tplc="2D42C394">
      <w:numFmt w:val="bullet"/>
      <w:lvlText w:val="•"/>
      <w:lvlJc w:val="left"/>
      <w:pPr>
        <w:ind w:left="5488" w:hanging="851"/>
      </w:pPr>
      <w:rPr>
        <w:rFonts w:hint="default"/>
        <w:lang w:val="en-US" w:eastAsia="en-US" w:bidi="ar-SA"/>
      </w:rPr>
    </w:lvl>
    <w:lvl w:ilvl="6" w:tplc="9D64A432">
      <w:numFmt w:val="bullet"/>
      <w:lvlText w:val="•"/>
      <w:lvlJc w:val="left"/>
      <w:pPr>
        <w:ind w:left="6375" w:hanging="851"/>
      </w:pPr>
      <w:rPr>
        <w:rFonts w:hint="default"/>
        <w:lang w:val="en-US" w:eastAsia="en-US" w:bidi="ar-SA"/>
      </w:rPr>
    </w:lvl>
    <w:lvl w:ilvl="7" w:tplc="B9BCD7B0">
      <w:numFmt w:val="bullet"/>
      <w:lvlText w:val="•"/>
      <w:lvlJc w:val="left"/>
      <w:pPr>
        <w:ind w:left="7262" w:hanging="851"/>
      </w:pPr>
      <w:rPr>
        <w:rFonts w:hint="default"/>
        <w:lang w:val="en-US" w:eastAsia="en-US" w:bidi="ar-SA"/>
      </w:rPr>
    </w:lvl>
    <w:lvl w:ilvl="8" w:tplc="15966594">
      <w:numFmt w:val="bullet"/>
      <w:lvlText w:val="•"/>
      <w:lvlJc w:val="left"/>
      <w:pPr>
        <w:ind w:left="8150" w:hanging="851"/>
      </w:pPr>
      <w:rPr>
        <w:rFonts w:hint="default"/>
        <w:lang w:val="en-US" w:eastAsia="en-US" w:bidi="ar-SA"/>
      </w:rPr>
    </w:lvl>
  </w:abstractNum>
  <w:abstractNum w:abstractNumId="77" w15:restartNumberingAfterBreak="0">
    <w:nsid w:val="7D481427"/>
    <w:multiLevelType w:val="hybridMultilevel"/>
    <w:tmpl w:val="9CB66D44"/>
    <w:lvl w:ilvl="0" w:tplc="25580104">
      <w:start w:val="2"/>
      <w:numFmt w:val="decimal"/>
      <w:lvlText w:val="%1"/>
      <w:lvlJc w:val="left"/>
      <w:pPr>
        <w:ind w:left="238" w:hanging="262"/>
        <w:jc w:val="left"/>
      </w:pPr>
      <w:rPr>
        <w:rFonts w:hint="default"/>
        <w:lang w:val="en-US" w:eastAsia="en-US" w:bidi="ar-SA"/>
      </w:rPr>
    </w:lvl>
    <w:lvl w:ilvl="1" w:tplc="53D0C11C">
      <w:start w:val="4"/>
      <w:numFmt w:val="decimal"/>
      <w:lvlText w:val="%1.%2"/>
      <w:lvlJc w:val="left"/>
      <w:pPr>
        <w:ind w:left="238" w:hanging="262"/>
        <w:jc w:val="left"/>
      </w:pPr>
      <w:rPr>
        <w:rFonts w:ascii="Calibri" w:eastAsia="Calibri" w:hAnsi="Calibri" w:cs="Calibri" w:hint="default"/>
        <w:b w:val="0"/>
        <w:bCs w:val="0"/>
        <w:i w:val="0"/>
        <w:iCs w:val="0"/>
        <w:w w:val="99"/>
        <w:sz w:val="18"/>
        <w:szCs w:val="18"/>
        <w:lang w:val="en-US" w:eastAsia="en-US" w:bidi="ar-SA"/>
      </w:rPr>
    </w:lvl>
    <w:lvl w:ilvl="2" w:tplc="E298A690">
      <w:start w:val="1"/>
      <w:numFmt w:val="decimal"/>
      <w:lvlText w:val="%3."/>
      <w:lvlJc w:val="left"/>
      <w:pPr>
        <w:ind w:left="2649" w:hanging="851"/>
        <w:jc w:val="left"/>
      </w:pPr>
      <w:rPr>
        <w:rFonts w:ascii="Calibri" w:eastAsia="Calibri" w:hAnsi="Calibri" w:cs="Calibri" w:hint="default"/>
        <w:b/>
        <w:bCs/>
        <w:i w:val="0"/>
        <w:iCs w:val="0"/>
        <w:spacing w:val="-1"/>
        <w:w w:val="99"/>
        <w:sz w:val="24"/>
        <w:szCs w:val="24"/>
        <w:lang w:val="en-US" w:eastAsia="en-US" w:bidi="ar-SA"/>
      </w:rPr>
    </w:lvl>
    <w:lvl w:ilvl="3" w:tplc="86D05330">
      <w:start w:val="1"/>
      <w:numFmt w:val="lowerLetter"/>
      <w:lvlText w:val="(%4)"/>
      <w:lvlJc w:val="left"/>
      <w:pPr>
        <w:ind w:left="3642" w:hanging="852"/>
        <w:jc w:val="left"/>
      </w:pPr>
      <w:rPr>
        <w:rFonts w:hint="default"/>
        <w:w w:val="99"/>
        <w:u w:val="single" w:color="000000"/>
        <w:lang w:val="en-US" w:eastAsia="en-US" w:bidi="ar-SA"/>
      </w:rPr>
    </w:lvl>
    <w:lvl w:ilvl="4" w:tplc="DF64B35A">
      <w:numFmt w:val="bullet"/>
      <w:lvlText w:val="•"/>
      <w:lvlJc w:val="left"/>
      <w:pPr>
        <w:ind w:left="5211" w:hanging="852"/>
      </w:pPr>
      <w:rPr>
        <w:rFonts w:hint="default"/>
        <w:lang w:val="en-US" w:eastAsia="en-US" w:bidi="ar-SA"/>
      </w:rPr>
    </w:lvl>
    <w:lvl w:ilvl="5" w:tplc="163663FE">
      <w:numFmt w:val="bullet"/>
      <w:lvlText w:val="•"/>
      <w:lvlJc w:val="left"/>
      <w:pPr>
        <w:ind w:left="5996" w:hanging="852"/>
      </w:pPr>
      <w:rPr>
        <w:rFonts w:hint="default"/>
        <w:lang w:val="en-US" w:eastAsia="en-US" w:bidi="ar-SA"/>
      </w:rPr>
    </w:lvl>
    <w:lvl w:ilvl="6" w:tplc="784EB790">
      <w:numFmt w:val="bullet"/>
      <w:lvlText w:val="•"/>
      <w:lvlJc w:val="left"/>
      <w:pPr>
        <w:ind w:left="6782" w:hanging="852"/>
      </w:pPr>
      <w:rPr>
        <w:rFonts w:hint="default"/>
        <w:lang w:val="en-US" w:eastAsia="en-US" w:bidi="ar-SA"/>
      </w:rPr>
    </w:lvl>
    <w:lvl w:ilvl="7" w:tplc="B06E1D04">
      <w:numFmt w:val="bullet"/>
      <w:lvlText w:val="•"/>
      <w:lvlJc w:val="left"/>
      <w:pPr>
        <w:ind w:left="7567" w:hanging="852"/>
      </w:pPr>
      <w:rPr>
        <w:rFonts w:hint="default"/>
        <w:lang w:val="en-US" w:eastAsia="en-US" w:bidi="ar-SA"/>
      </w:rPr>
    </w:lvl>
    <w:lvl w:ilvl="8" w:tplc="6510AC34">
      <w:numFmt w:val="bullet"/>
      <w:lvlText w:val="•"/>
      <w:lvlJc w:val="left"/>
      <w:pPr>
        <w:ind w:left="8353" w:hanging="852"/>
      </w:pPr>
      <w:rPr>
        <w:rFonts w:hint="default"/>
        <w:lang w:val="en-US" w:eastAsia="en-US" w:bidi="ar-SA"/>
      </w:rPr>
    </w:lvl>
  </w:abstractNum>
  <w:abstractNum w:abstractNumId="78" w15:restartNumberingAfterBreak="0">
    <w:nsid w:val="7D9A42F8"/>
    <w:multiLevelType w:val="hybridMultilevel"/>
    <w:tmpl w:val="C004F5F2"/>
    <w:lvl w:ilvl="0" w:tplc="EEEA4248">
      <w:start w:val="5"/>
      <w:numFmt w:val="lowerLetter"/>
      <w:lvlText w:val="(%1)"/>
      <w:lvlJc w:val="left"/>
      <w:pPr>
        <w:ind w:left="3642" w:hanging="852"/>
        <w:jc w:val="left"/>
      </w:pPr>
      <w:rPr>
        <w:rFonts w:ascii="Calibri" w:eastAsia="Calibri" w:hAnsi="Calibri" w:cs="Calibri" w:hint="default"/>
        <w:b w:val="0"/>
        <w:bCs w:val="0"/>
        <w:i w:val="0"/>
        <w:iCs w:val="0"/>
        <w:w w:val="99"/>
        <w:sz w:val="24"/>
        <w:szCs w:val="24"/>
        <w:u w:val="single" w:color="000000"/>
        <w:lang w:val="en-US" w:eastAsia="en-US" w:bidi="ar-SA"/>
      </w:rPr>
    </w:lvl>
    <w:lvl w:ilvl="1" w:tplc="5860B1F0">
      <w:numFmt w:val="bullet"/>
      <w:lvlText w:val="•"/>
      <w:lvlJc w:val="left"/>
      <w:pPr>
        <w:ind w:left="4268" w:hanging="852"/>
      </w:pPr>
      <w:rPr>
        <w:rFonts w:hint="default"/>
        <w:lang w:val="en-US" w:eastAsia="en-US" w:bidi="ar-SA"/>
      </w:rPr>
    </w:lvl>
    <w:lvl w:ilvl="2" w:tplc="F1A26FE6">
      <w:numFmt w:val="bullet"/>
      <w:lvlText w:val="•"/>
      <w:lvlJc w:val="left"/>
      <w:pPr>
        <w:ind w:left="4896" w:hanging="852"/>
      </w:pPr>
      <w:rPr>
        <w:rFonts w:hint="default"/>
        <w:lang w:val="en-US" w:eastAsia="en-US" w:bidi="ar-SA"/>
      </w:rPr>
    </w:lvl>
    <w:lvl w:ilvl="3" w:tplc="282C6FE8">
      <w:numFmt w:val="bullet"/>
      <w:lvlText w:val="•"/>
      <w:lvlJc w:val="left"/>
      <w:pPr>
        <w:ind w:left="5525" w:hanging="852"/>
      </w:pPr>
      <w:rPr>
        <w:rFonts w:hint="default"/>
        <w:lang w:val="en-US" w:eastAsia="en-US" w:bidi="ar-SA"/>
      </w:rPr>
    </w:lvl>
    <w:lvl w:ilvl="4" w:tplc="96140E80">
      <w:numFmt w:val="bullet"/>
      <w:lvlText w:val="•"/>
      <w:lvlJc w:val="left"/>
      <w:pPr>
        <w:ind w:left="6153" w:hanging="852"/>
      </w:pPr>
      <w:rPr>
        <w:rFonts w:hint="default"/>
        <w:lang w:val="en-US" w:eastAsia="en-US" w:bidi="ar-SA"/>
      </w:rPr>
    </w:lvl>
    <w:lvl w:ilvl="5" w:tplc="C1A8FF04">
      <w:numFmt w:val="bullet"/>
      <w:lvlText w:val="•"/>
      <w:lvlJc w:val="left"/>
      <w:pPr>
        <w:ind w:left="6782" w:hanging="852"/>
      </w:pPr>
      <w:rPr>
        <w:rFonts w:hint="default"/>
        <w:lang w:val="en-US" w:eastAsia="en-US" w:bidi="ar-SA"/>
      </w:rPr>
    </w:lvl>
    <w:lvl w:ilvl="6" w:tplc="D8AA9ED4">
      <w:numFmt w:val="bullet"/>
      <w:lvlText w:val="•"/>
      <w:lvlJc w:val="left"/>
      <w:pPr>
        <w:ind w:left="7410" w:hanging="852"/>
      </w:pPr>
      <w:rPr>
        <w:rFonts w:hint="default"/>
        <w:lang w:val="en-US" w:eastAsia="en-US" w:bidi="ar-SA"/>
      </w:rPr>
    </w:lvl>
    <w:lvl w:ilvl="7" w:tplc="CEAAF47C">
      <w:numFmt w:val="bullet"/>
      <w:lvlText w:val="•"/>
      <w:lvlJc w:val="left"/>
      <w:pPr>
        <w:ind w:left="8039" w:hanging="852"/>
      </w:pPr>
      <w:rPr>
        <w:rFonts w:hint="default"/>
        <w:lang w:val="en-US" w:eastAsia="en-US" w:bidi="ar-SA"/>
      </w:rPr>
    </w:lvl>
    <w:lvl w:ilvl="8" w:tplc="DFC08DA0">
      <w:numFmt w:val="bullet"/>
      <w:lvlText w:val="•"/>
      <w:lvlJc w:val="left"/>
      <w:pPr>
        <w:ind w:left="8667" w:hanging="852"/>
      </w:pPr>
      <w:rPr>
        <w:rFonts w:hint="default"/>
        <w:lang w:val="en-US" w:eastAsia="en-US" w:bidi="ar-SA"/>
      </w:rPr>
    </w:lvl>
  </w:abstractNum>
  <w:abstractNum w:abstractNumId="79" w15:restartNumberingAfterBreak="0">
    <w:nsid w:val="7FA650E4"/>
    <w:multiLevelType w:val="hybridMultilevel"/>
    <w:tmpl w:val="DE3A1572"/>
    <w:lvl w:ilvl="0" w:tplc="1BE460C0">
      <w:numFmt w:val="bullet"/>
      <w:lvlText w:val=""/>
      <w:lvlJc w:val="left"/>
      <w:pPr>
        <w:ind w:left="1939" w:hanging="851"/>
      </w:pPr>
      <w:rPr>
        <w:rFonts w:ascii="Symbol" w:eastAsia="Symbol" w:hAnsi="Symbol" w:cs="Symbol" w:hint="default"/>
        <w:b w:val="0"/>
        <w:bCs w:val="0"/>
        <w:i w:val="0"/>
        <w:iCs w:val="0"/>
        <w:w w:val="99"/>
        <w:sz w:val="24"/>
        <w:szCs w:val="24"/>
        <w:lang w:val="en-US" w:eastAsia="en-US" w:bidi="ar-SA"/>
      </w:rPr>
    </w:lvl>
    <w:lvl w:ilvl="1" w:tplc="08449B0E">
      <w:numFmt w:val="bullet"/>
      <w:lvlText w:val="•"/>
      <w:lvlJc w:val="left"/>
      <w:pPr>
        <w:ind w:left="2738" w:hanging="851"/>
      </w:pPr>
      <w:rPr>
        <w:rFonts w:hint="default"/>
        <w:lang w:val="en-US" w:eastAsia="en-US" w:bidi="ar-SA"/>
      </w:rPr>
    </w:lvl>
    <w:lvl w:ilvl="2" w:tplc="E07A40CC">
      <w:numFmt w:val="bullet"/>
      <w:lvlText w:val="•"/>
      <w:lvlJc w:val="left"/>
      <w:pPr>
        <w:ind w:left="3536" w:hanging="851"/>
      </w:pPr>
      <w:rPr>
        <w:rFonts w:hint="default"/>
        <w:lang w:val="en-US" w:eastAsia="en-US" w:bidi="ar-SA"/>
      </w:rPr>
    </w:lvl>
    <w:lvl w:ilvl="3" w:tplc="217E5CBA">
      <w:numFmt w:val="bullet"/>
      <w:lvlText w:val="•"/>
      <w:lvlJc w:val="left"/>
      <w:pPr>
        <w:ind w:left="4335" w:hanging="851"/>
      </w:pPr>
      <w:rPr>
        <w:rFonts w:hint="default"/>
        <w:lang w:val="en-US" w:eastAsia="en-US" w:bidi="ar-SA"/>
      </w:rPr>
    </w:lvl>
    <w:lvl w:ilvl="4" w:tplc="DBDAF506">
      <w:numFmt w:val="bullet"/>
      <w:lvlText w:val="•"/>
      <w:lvlJc w:val="left"/>
      <w:pPr>
        <w:ind w:left="5133" w:hanging="851"/>
      </w:pPr>
      <w:rPr>
        <w:rFonts w:hint="default"/>
        <w:lang w:val="en-US" w:eastAsia="en-US" w:bidi="ar-SA"/>
      </w:rPr>
    </w:lvl>
    <w:lvl w:ilvl="5" w:tplc="A0B27D4A">
      <w:numFmt w:val="bullet"/>
      <w:lvlText w:val="•"/>
      <w:lvlJc w:val="left"/>
      <w:pPr>
        <w:ind w:left="5932" w:hanging="851"/>
      </w:pPr>
      <w:rPr>
        <w:rFonts w:hint="default"/>
        <w:lang w:val="en-US" w:eastAsia="en-US" w:bidi="ar-SA"/>
      </w:rPr>
    </w:lvl>
    <w:lvl w:ilvl="6" w:tplc="FA3A42BA">
      <w:numFmt w:val="bullet"/>
      <w:lvlText w:val="•"/>
      <w:lvlJc w:val="left"/>
      <w:pPr>
        <w:ind w:left="6730" w:hanging="851"/>
      </w:pPr>
      <w:rPr>
        <w:rFonts w:hint="default"/>
        <w:lang w:val="en-US" w:eastAsia="en-US" w:bidi="ar-SA"/>
      </w:rPr>
    </w:lvl>
    <w:lvl w:ilvl="7" w:tplc="6218883A">
      <w:numFmt w:val="bullet"/>
      <w:lvlText w:val="•"/>
      <w:lvlJc w:val="left"/>
      <w:pPr>
        <w:ind w:left="7529" w:hanging="851"/>
      </w:pPr>
      <w:rPr>
        <w:rFonts w:hint="default"/>
        <w:lang w:val="en-US" w:eastAsia="en-US" w:bidi="ar-SA"/>
      </w:rPr>
    </w:lvl>
    <w:lvl w:ilvl="8" w:tplc="BB02C334">
      <w:numFmt w:val="bullet"/>
      <w:lvlText w:val="•"/>
      <w:lvlJc w:val="left"/>
      <w:pPr>
        <w:ind w:left="8327" w:hanging="851"/>
      </w:pPr>
      <w:rPr>
        <w:rFonts w:hint="default"/>
        <w:lang w:val="en-US" w:eastAsia="en-US" w:bidi="ar-SA"/>
      </w:rPr>
    </w:lvl>
  </w:abstractNum>
  <w:num w:numId="1">
    <w:abstractNumId w:val="61"/>
  </w:num>
  <w:num w:numId="2">
    <w:abstractNumId w:val="11"/>
  </w:num>
  <w:num w:numId="3">
    <w:abstractNumId w:val="22"/>
  </w:num>
  <w:num w:numId="4">
    <w:abstractNumId w:val="8"/>
  </w:num>
  <w:num w:numId="5">
    <w:abstractNumId w:val="71"/>
  </w:num>
  <w:num w:numId="6">
    <w:abstractNumId w:val="46"/>
  </w:num>
  <w:num w:numId="7">
    <w:abstractNumId w:val="67"/>
  </w:num>
  <w:num w:numId="8">
    <w:abstractNumId w:val="60"/>
  </w:num>
  <w:num w:numId="9">
    <w:abstractNumId w:val="26"/>
  </w:num>
  <w:num w:numId="10">
    <w:abstractNumId w:val="64"/>
  </w:num>
  <w:num w:numId="11">
    <w:abstractNumId w:val="53"/>
  </w:num>
  <w:num w:numId="12">
    <w:abstractNumId w:val="27"/>
  </w:num>
  <w:num w:numId="13">
    <w:abstractNumId w:val="45"/>
  </w:num>
  <w:num w:numId="14">
    <w:abstractNumId w:val="1"/>
  </w:num>
  <w:num w:numId="15">
    <w:abstractNumId w:val="12"/>
  </w:num>
  <w:num w:numId="16">
    <w:abstractNumId w:val="59"/>
  </w:num>
  <w:num w:numId="17">
    <w:abstractNumId w:val="78"/>
  </w:num>
  <w:num w:numId="18">
    <w:abstractNumId w:val="52"/>
  </w:num>
  <w:num w:numId="19">
    <w:abstractNumId w:val="10"/>
  </w:num>
  <w:num w:numId="20">
    <w:abstractNumId w:val="79"/>
  </w:num>
  <w:num w:numId="21">
    <w:abstractNumId w:val="21"/>
  </w:num>
  <w:num w:numId="22">
    <w:abstractNumId w:val="31"/>
  </w:num>
  <w:num w:numId="23">
    <w:abstractNumId w:val="41"/>
  </w:num>
  <w:num w:numId="24">
    <w:abstractNumId w:val="49"/>
  </w:num>
  <w:num w:numId="25">
    <w:abstractNumId w:val="74"/>
  </w:num>
  <w:num w:numId="26">
    <w:abstractNumId w:val="47"/>
  </w:num>
  <w:num w:numId="27">
    <w:abstractNumId w:val="3"/>
  </w:num>
  <w:num w:numId="28">
    <w:abstractNumId w:val="24"/>
  </w:num>
  <w:num w:numId="29">
    <w:abstractNumId w:val="36"/>
  </w:num>
  <w:num w:numId="30">
    <w:abstractNumId w:val="6"/>
  </w:num>
  <w:num w:numId="31">
    <w:abstractNumId w:val="14"/>
  </w:num>
  <w:num w:numId="32">
    <w:abstractNumId w:val="69"/>
  </w:num>
  <w:num w:numId="33">
    <w:abstractNumId w:val="44"/>
  </w:num>
  <w:num w:numId="34">
    <w:abstractNumId w:val="54"/>
  </w:num>
  <w:num w:numId="35">
    <w:abstractNumId w:val="18"/>
  </w:num>
  <w:num w:numId="36">
    <w:abstractNumId w:val="34"/>
  </w:num>
  <w:num w:numId="37">
    <w:abstractNumId w:val="30"/>
  </w:num>
  <w:num w:numId="38">
    <w:abstractNumId w:val="63"/>
  </w:num>
  <w:num w:numId="39">
    <w:abstractNumId w:val="33"/>
  </w:num>
  <w:num w:numId="40">
    <w:abstractNumId w:val="17"/>
  </w:num>
  <w:num w:numId="41">
    <w:abstractNumId w:val="38"/>
  </w:num>
  <w:num w:numId="42">
    <w:abstractNumId w:val="39"/>
  </w:num>
  <w:num w:numId="43">
    <w:abstractNumId w:val="20"/>
  </w:num>
  <w:num w:numId="44">
    <w:abstractNumId w:val="19"/>
  </w:num>
  <w:num w:numId="45">
    <w:abstractNumId w:val="56"/>
  </w:num>
  <w:num w:numId="46">
    <w:abstractNumId w:val="25"/>
  </w:num>
  <w:num w:numId="47">
    <w:abstractNumId w:val="32"/>
  </w:num>
  <w:num w:numId="48">
    <w:abstractNumId w:val="43"/>
  </w:num>
  <w:num w:numId="49">
    <w:abstractNumId w:val="65"/>
  </w:num>
  <w:num w:numId="50">
    <w:abstractNumId w:val="70"/>
  </w:num>
  <w:num w:numId="51">
    <w:abstractNumId w:val="72"/>
  </w:num>
  <w:num w:numId="52">
    <w:abstractNumId w:val="4"/>
  </w:num>
  <w:num w:numId="53">
    <w:abstractNumId w:val="73"/>
  </w:num>
  <w:num w:numId="54">
    <w:abstractNumId w:val="57"/>
  </w:num>
  <w:num w:numId="55">
    <w:abstractNumId w:val="48"/>
  </w:num>
  <w:num w:numId="56">
    <w:abstractNumId w:val="42"/>
  </w:num>
  <w:num w:numId="57">
    <w:abstractNumId w:val="40"/>
  </w:num>
  <w:num w:numId="58">
    <w:abstractNumId w:val="50"/>
  </w:num>
  <w:num w:numId="59">
    <w:abstractNumId w:val="0"/>
  </w:num>
  <w:num w:numId="60">
    <w:abstractNumId w:val="35"/>
  </w:num>
  <w:num w:numId="61">
    <w:abstractNumId w:val="51"/>
  </w:num>
  <w:num w:numId="62">
    <w:abstractNumId w:val="58"/>
  </w:num>
  <w:num w:numId="63">
    <w:abstractNumId w:val="16"/>
  </w:num>
  <w:num w:numId="64">
    <w:abstractNumId w:val="29"/>
  </w:num>
  <w:num w:numId="65">
    <w:abstractNumId w:val="55"/>
  </w:num>
  <w:num w:numId="66">
    <w:abstractNumId w:val="77"/>
  </w:num>
  <w:num w:numId="67">
    <w:abstractNumId w:val="62"/>
  </w:num>
  <w:num w:numId="68">
    <w:abstractNumId w:val="23"/>
  </w:num>
  <w:num w:numId="69">
    <w:abstractNumId w:val="9"/>
  </w:num>
  <w:num w:numId="70">
    <w:abstractNumId w:val="76"/>
  </w:num>
  <w:num w:numId="71">
    <w:abstractNumId w:val="28"/>
  </w:num>
  <w:num w:numId="72">
    <w:abstractNumId w:val="13"/>
  </w:num>
  <w:num w:numId="73">
    <w:abstractNumId w:val="15"/>
  </w:num>
  <w:num w:numId="74">
    <w:abstractNumId w:val="37"/>
  </w:num>
  <w:num w:numId="75">
    <w:abstractNumId w:val="7"/>
  </w:num>
  <w:num w:numId="76">
    <w:abstractNumId w:val="68"/>
  </w:num>
  <w:num w:numId="77">
    <w:abstractNumId w:val="66"/>
  </w:num>
  <w:num w:numId="78">
    <w:abstractNumId w:val="75"/>
  </w:num>
  <w:num w:numId="79">
    <w:abstractNumId w:val="2"/>
  </w:num>
  <w:num w:numId="80">
    <w:abstractNumId w:val="5"/>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defaultTabStop w:val="720"/>
  <w:drawingGridHorizontalSpacing w:val="110"/>
  <w:displayHorizontalDrawingGridEvery w:val="2"/>
  <w:characterSpacingControl w:val="doNotCompress"/>
  <w:hdrShapeDefaults>
    <o:shapedefaults v:ext="edit" spidmax="3248"/>
    <o:shapelayout v:ext="edit">
      <o:idmap v:ext="edit" data="2"/>
    </o:shapelayout>
  </w:hdrShapeDefaults>
  <w:footnotePr>
    <w:footnote w:id="-1"/>
    <w:footnote w:id="0"/>
  </w:footnotePr>
  <w:endnotePr>
    <w:endnote w:id="-1"/>
    <w:endnote w:id="0"/>
  </w:endnotePr>
  <w:compat>
    <w:ulTrailSpace/>
    <w:shapeLayoutLikeWW8/>
    <w:useFELayout/>
    <w:compatSetting w:name="compatibilityMode" w:uri="http://schemas.microsoft.com/office/word" w:val="14"/>
    <w:compatSetting w:name="useWord2013TrackBottomHyphenation" w:uri="http://schemas.microsoft.com/office/word" w:val="1"/>
  </w:compat>
  <w:rsids>
    <w:rsidRoot w:val="0010369C"/>
    <w:rsid w:val="0010369C"/>
    <w:rsid w:val="008E43A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248"/>
    <o:shapelayout v:ext="edit">
      <o:idmap v:ext="edit" data="1,3"/>
    </o:shapelayout>
  </w:shapeDefaults>
  <w:decimalSymbol w:val="."/>
  <w:listSeparator w:val=","/>
  <w14:docId w14:val="51DE74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line="333" w:lineRule="exact"/>
      <w:outlineLvl w:val="0"/>
    </w:pPr>
    <w:rPr>
      <w:rFonts w:ascii="Arial" w:eastAsia="Arial" w:hAnsi="Arial" w:cs="Arial"/>
      <w:b/>
      <w:bCs/>
      <w:sz w:val="34"/>
      <w:szCs w:val="34"/>
    </w:rPr>
  </w:style>
  <w:style w:type="paragraph" w:styleId="Heading2">
    <w:name w:val="heading 2"/>
    <w:basedOn w:val="Normal"/>
    <w:uiPriority w:val="9"/>
    <w:unhideWhenUsed/>
    <w:qFormat/>
    <w:pPr>
      <w:ind w:right="351"/>
      <w:jc w:val="center"/>
      <w:outlineLvl w:val="1"/>
    </w:pPr>
    <w:rPr>
      <w:b/>
      <w:bCs/>
      <w:sz w:val="32"/>
      <w:szCs w:val="32"/>
    </w:rPr>
  </w:style>
  <w:style w:type="paragraph" w:styleId="Heading3">
    <w:name w:val="heading 3"/>
    <w:basedOn w:val="Normal"/>
    <w:uiPriority w:val="9"/>
    <w:unhideWhenUsed/>
    <w:qFormat/>
    <w:pPr>
      <w:spacing w:before="160"/>
      <w:ind w:left="1088" w:hanging="852"/>
      <w:outlineLvl w:val="2"/>
    </w:pPr>
    <w:rPr>
      <w:b/>
      <w:bCs/>
      <w:sz w:val="28"/>
      <w:szCs w:val="28"/>
    </w:rPr>
  </w:style>
  <w:style w:type="paragraph" w:styleId="Heading4">
    <w:name w:val="heading 4"/>
    <w:basedOn w:val="Normal"/>
    <w:uiPriority w:val="9"/>
    <w:unhideWhenUsed/>
    <w:qFormat/>
    <w:pPr>
      <w:spacing w:before="161"/>
      <w:ind w:left="2649" w:hanging="852"/>
      <w:jc w:val="both"/>
      <w:outlineLvl w:val="3"/>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jc w:val="right"/>
    </w:pPr>
    <w:rPr>
      <w:b/>
      <w:bCs/>
      <w:sz w:val="24"/>
      <w:szCs w:val="24"/>
    </w:rPr>
  </w:style>
  <w:style w:type="paragraph" w:styleId="TOC2">
    <w:name w:val="toc 2"/>
    <w:basedOn w:val="Normal"/>
    <w:uiPriority w:val="1"/>
    <w:qFormat/>
    <w:pPr>
      <w:spacing w:before="180"/>
      <w:ind w:left="238"/>
    </w:pPr>
    <w:rPr>
      <w:b/>
      <w:bCs/>
      <w:sz w:val="24"/>
      <w:szCs w:val="24"/>
    </w:rPr>
  </w:style>
  <w:style w:type="paragraph" w:styleId="TOC3">
    <w:name w:val="toc 3"/>
    <w:basedOn w:val="Normal"/>
    <w:uiPriority w:val="1"/>
    <w:qFormat/>
    <w:pPr>
      <w:spacing w:before="1"/>
      <w:ind w:left="238"/>
    </w:pPr>
    <w:rPr>
      <w:b/>
      <w:bCs/>
      <w:i/>
      <w:iCs/>
    </w:rPr>
  </w:style>
  <w:style w:type="paragraph" w:styleId="TOC4">
    <w:name w:val="toc 4"/>
    <w:basedOn w:val="Normal"/>
    <w:uiPriority w:val="1"/>
    <w:qFormat/>
    <w:pPr>
      <w:spacing w:before="120"/>
      <w:ind w:left="1514" w:hanging="851"/>
    </w:pPr>
    <w:rPr>
      <w:b/>
      <w:bCs/>
      <w:sz w:val="19"/>
      <w:szCs w:val="19"/>
    </w:rPr>
  </w:style>
  <w:style w:type="paragraph" w:styleId="TOC5">
    <w:name w:val="toc 5"/>
    <w:basedOn w:val="Normal"/>
    <w:uiPriority w:val="1"/>
    <w:qFormat/>
    <w:pPr>
      <w:spacing w:before="120"/>
      <w:ind w:left="1514" w:hanging="851"/>
    </w:pPr>
    <w:rPr>
      <w:b/>
      <w:bCs/>
      <w:i/>
      <w:iCs/>
    </w:rPr>
  </w:style>
  <w:style w:type="paragraph" w:styleId="TOC6">
    <w:name w:val="toc 6"/>
    <w:basedOn w:val="Normal"/>
    <w:uiPriority w:val="1"/>
    <w:qFormat/>
    <w:pPr>
      <w:spacing w:before="120"/>
      <w:ind w:left="1940" w:hanging="851"/>
    </w:pPr>
    <w:rPr>
      <w:b/>
      <w:bCs/>
      <w:sz w:val="24"/>
      <w:szCs w:val="24"/>
    </w:rPr>
  </w:style>
  <w:style w:type="paragraph" w:styleId="TOC7">
    <w:name w:val="toc 7"/>
    <w:basedOn w:val="Normal"/>
    <w:uiPriority w:val="1"/>
    <w:qFormat/>
    <w:pPr>
      <w:spacing w:before="120"/>
      <w:ind w:left="2366" w:hanging="853"/>
    </w:pPr>
    <w:rPr>
      <w:sz w:val="24"/>
      <w:szCs w:val="24"/>
      <w:u w:val="single" w:color="000000"/>
    </w:rPr>
  </w:style>
  <w:style w:type="paragraph" w:styleId="TOC8">
    <w:name w:val="toc 8"/>
    <w:basedOn w:val="Normal"/>
    <w:uiPriority w:val="1"/>
    <w:qFormat/>
    <w:pPr>
      <w:ind w:left="1513"/>
    </w:pPr>
    <w:rPr>
      <w:b/>
      <w:bCs/>
      <w:i/>
      <w:iCs/>
    </w:rPr>
  </w:style>
  <w:style w:type="paragraph" w:styleId="TOC9">
    <w:name w:val="toc 9"/>
    <w:basedOn w:val="Normal"/>
    <w:uiPriority w:val="1"/>
    <w:qFormat/>
    <w:pPr>
      <w:spacing w:before="120"/>
      <w:ind w:left="2790" w:hanging="852"/>
    </w:pPr>
    <w:rPr>
      <w:i/>
      <w:iCs/>
      <w:sz w:val="24"/>
      <w:szCs w:val="24"/>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spacing w:before="120"/>
      <w:ind w:left="1939" w:hanging="851"/>
      <w:jc w:val="both"/>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17" Type="http://schemas.openxmlformats.org/officeDocument/2006/relationships/image" Target="media/image65.png"/><Relationship Id="rId671" Type="http://schemas.openxmlformats.org/officeDocument/2006/relationships/image" Target="media/image511.png"/><Relationship Id="rId769" Type="http://schemas.openxmlformats.org/officeDocument/2006/relationships/image" Target="media/image585.png"/><Relationship Id="rId976" Type="http://schemas.openxmlformats.org/officeDocument/2006/relationships/image" Target="media/image746.png"/><Relationship Id="rId1399" Type="http://schemas.openxmlformats.org/officeDocument/2006/relationships/image" Target="media/image1094.png"/><Relationship Id="rId21" Type="http://schemas.openxmlformats.org/officeDocument/2006/relationships/footer" Target="footer7.xml"/><Relationship Id="rId324" Type="http://schemas.openxmlformats.org/officeDocument/2006/relationships/image" Target="media/image224.png"/><Relationship Id="rId531" Type="http://schemas.openxmlformats.org/officeDocument/2006/relationships/footer" Target="footer37.xml"/><Relationship Id="rId629" Type="http://schemas.openxmlformats.org/officeDocument/2006/relationships/image" Target="media/image479.png"/><Relationship Id="rId1161" Type="http://schemas.openxmlformats.org/officeDocument/2006/relationships/footer" Target="footer97.xml"/><Relationship Id="rId1259" Type="http://schemas.openxmlformats.org/officeDocument/2006/relationships/image" Target="media/image976.png"/><Relationship Id="rId170" Type="http://schemas.openxmlformats.org/officeDocument/2006/relationships/hyperlink" Target="https://www.oed.com/view/Entry/33369" TargetMode="External"/><Relationship Id="rId836" Type="http://schemas.openxmlformats.org/officeDocument/2006/relationships/image" Target="media/image638.png"/><Relationship Id="rId1021" Type="http://schemas.openxmlformats.org/officeDocument/2006/relationships/hyperlink" Target="https://7.19-7.24/" TargetMode="External"/><Relationship Id="rId1119" Type="http://schemas.openxmlformats.org/officeDocument/2006/relationships/image" Target="media/image860.png"/><Relationship Id="rId268" Type="http://schemas.openxmlformats.org/officeDocument/2006/relationships/image" Target="media/image174.png"/><Relationship Id="rId475" Type="http://schemas.openxmlformats.org/officeDocument/2006/relationships/image" Target="media/image353.png"/><Relationship Id="rId682" Type="http://schemas.openxmlformats.org/officeDocument/2006/relationships/image" Target="media/image520.png"/><Relationship Id="rId903" Type="http://schemas.openxmlformats.org/officeDocument/2006/relationships/image" Target="media/image697.png"/><Relationship Id="rId1326" Type="http://schemas.openxmlformats.org/officeDocument/2006/relationships/image" Target="media/image1035.png"/><Relationship Id="rId32" Type="http://schemas.openxmlformats.org/officeDocument/2006/relationships/image" Target="media/image8.png"/><Relationship Id="rId128" Type="http://schemas.openxmlformats.org/officeDocument/2006/relationships/image" Target="media/image73.png"/><Relationship Id="rId335" Type="http://schemas.openxmlformats.org/officeDocument/2006/relationships/image" Target="media/image233.png"/><Relationship Id="rId542" Type="http://schemas.openxmlformats.org/officeDocument/2006/relationships/image" Target="media/image408.png"/><Relationship Id="rId987" Type="http://schemas.openxmlformats.org/officeDocument/2006/relationships/hyperlink" Target="https://5.37-5.38/" TargetMode="External"/><Relationship Id="rId1172" Type="http://schemas.openxmlformats.org/officeDocument/2006/relationships/image" Target="media/image903.png"/><Relationship Id="rId181" Type="http://schemas.openxmlformats.org/officeDocument/2006/relationships/hyperlink" Target="https://dumping.95/" TargetMode="External"/><Relationship Id="rId402" Type="http://schemas.openxmlformats.org/officeDocument/2006/relationships/image" Target="media/image292.png"/><Relationship Id="rId847" Type="http://schemas.openxmlformats.org/officeDocument/2006/relationships/image" Target="media/image645.png"/><Relationship Id="rId1032" Type="http://schemas.openxmlformats.org/officeDocument/2006/relationships/image" Target="media/image781.png"/><Relationship Id="rId279" Type="http://schemas.openxmlformats.org/officeDocument/2006/relationships/image" Target="media/image185.png"/><Relationship Id="rId486" Type="http://schemas.openxmlformats.org/officeDocument/2006/relationships/header" Target="header34.xml"/><Relationship Id="rId693" Type="http://schemas.openxmlformats.org/officeDocument/2006/relationships/header" Target="header55.xml"/><Relationship Id="rId707" Type="http://schemas.openxmlformats.org/officeDocument/2006/relationships/image" Target="media/image538.png"/><Relationship Id="rId914" Type="http://schemas.openxmlformats.org/officeDocument/2006/relationships/image" Target="media/image704.png"/><Relationship Id="rId1337" Type="http://schemas.openxmlformats.org/officeDocument/2006/relationships/image" Target="media/image1044.png"/><Relationship Id="rId43" Type="http://schemas.openxmlformats.org/officeDocument/2006/relationships/image" Target="media/image15.png"/><Relationship Id="rId139" Type="http://schemas.openxmlformats.org/officeDocument/2006/relationships/image" Target="media/image78.png"/><Relationship Id="rId346" Type="http://schemas.openxmlformats.org/officeDocument/2006/relationships/image" Target="media/image244.png"/><Relationship Id="rId553" Type="http://schemas.openxmlformats.org/officeDocument/2006/relationships/image" Target="media/image417.png"/><Relationship Id="rId760" Type="http://schemas.openxmlformats.org/officeDocument/2006/relationships/image" Target="media/image580.png"/><Relationship Id="rId998" Type="http://schemas.openxmlformats.org/officeDocument/2006/relationships/image" Target="media/image761.png"/><Relationship Id="rId1183" Type="http://schemas.openxmlformats.org/officeDocument/2006/relationships/image" Target="media/image914.png"/><Relationship Id="rId1390" Type="http://schemas.openxmlformats.org/officeDocument/2006/relationships/image" Target="media/image1085.png"/><Relationship Id="rId1404" Type="http://schemas.openxmlformats.org/officeDocument/2006/relationships/image" Target="media/image1099.png"/><Relationship Id="rId192" Type="http://schemas.openxmlformats.org/officeDocument/2006/relationships/image" Target="media/image104.png"/><Relationship Id="rId206" Type="http://schemas.openxmlformats.org/officeDocument/2006/relationships/image" Target="media/image116.png"/><Relationship Id="rId413" Type="http://schemas.openxmlformats.org/officeDocument/2006/relationships/image" Target="media/image297.png"/><Relationship Id="rId858" Type="http://schemas.openxmlformats.org/officeDocument/2006/relationships/image" Target="media/image656.png"/><Relationship Id="rId1043" Type="http://schemas.openxmlformats.org/officeDocument/2006/relationships/image" Target="media/image790.png"/><Relationship Id="rId497" Type="http://schemas.openxmlformats.org/officeDocument/2006/relationships/image" Target="media/image371.png"/><Relationship Id="rId620" Type="http://schemas.openxmlformats.org/officeDocument/2006/relationships/image" Target="media/image472.png"/><Relationship Id="rId718" Type="http://schemas.openxmlformats.org/officeDocument/2006/relationships/image" Target="media/image549.png"/><Relationship Id="rId925" Type="http://schemas.openxmlformats.org/officeDocument/2006/relationships/image" Target="media/image711.png"/><Relationship Id="rId1250" Type="http://schemas.openxmlformats.org/officeDocument/2006/relationships/image" Target="media/image969.png"/><Relationship Id="rId1348" Type="http://schemas.openxmlformats.org/officeDocument/2006/relationships/image" Target="media/image1051.png"/><Relationship Id="rId357" Type="http://schemas.openxmlformats.org/officeDocument/2006/relationships/image" Target="media/image255.png"/><Relationship Id="rId1110" Type="http://schemas.openxmlformats.org/officeDocument/2006/relationships/image" Target="media/image851.png"/><Relationship Id="rId1194" Type="http://schemas.openxmlformats.org/officeDocument/2006/relationships/footer" Target="footer99.xml"/><Relationship Id="rId1208" Type="http://schemas.openxmlformats.org/officeDocument/2006/relationships/image" Target="media/image933.png"/><Relationship Id="rId1415" Type="http://schemas.openxmlformats.org/officeDocument/2006/relationships/image" Target="media/image1110.png"/><Relationship Id="rId54" Type="http://schemas.openxmlformats.org/officeDocument/2006/relationships/image" Target="media/image26.png"/><Relationship Id="rId217" Type="http://schemas.openxmlformats.org/officeDocument/2006/relationships/image" Target="media/image125.png"/><Relationship Id="rId564" Type="http://schemas.openxmlformats.org/officeDocument/2006/relationships/image" Target="media/image426.png"/><Relationship Id="rId771" Type="http://schemas.openxmlformats.org/officeDocument/2006/relationships/image" Target="media/image587.png"/><Relationship Id="rId869" Type="http://schemas.openxmlformats.org/officeDocument/2006/relationships/image" Target="media/image667.png"/><Relationship Id="rId424" Type="http://schemas.openxmlformats.org/officeDocument/2006/relationships/image" Target="media/image308.png"/><Relationship Id="rId631" Type="http://schemas.openxmlformats.org/officeDocument/2006/relationships/image" Target="media/image481.png"/><Relationship Id="rId729" Type="http://schemas.openxmlformats.org/officeDocument/2006/relationships/footer" Target="footer57.xml"/><Relationship Id="rId1054" Type="http://schemas.openxmlformats.org/officeDocument/2006/relationships/image" Target="media/image801.png"/><Relationship Id="rId1261" Type="http://schemas.openxmlformats.org/officeDocument/2006/relationships/image" Target="media/image978.png"/><Relationship Id="rId1359" Type="http://schemas.openxmlformats.org/officeDocument/2006/relationships/image" Target="media/image1058.png"/><Relationship Id="rId270" Type="http://schemas.openxmlformats.org/officeDocument/2006/relationships/image" Target="media/image176.png"/><Relationship Id="rId936" Type="http://schemas.openxmlformats.org/officeDocument/2006/relationships/image" Target="media/image720.png"/><Relationship Id="rId1121" Type="http://schemas.openxmlformats.org/officeDocument/2006/relationships/footer" Target="footer94.xml"/><Relationship Id="rId1219" Type="http://schemas.openxmlformats.org/officeDocument/2006/relationships/header" Target="header103.xml"/><Relationship Id="rId65" Type="http://schemas.openxmlformats.org/officeDocument/2006/relationships/image" Target="media/image36.png"/><Relationship Id="rId130" Type="http://schemas.openxmlformats.org/officeDocument/2006/relationships/image" Target="media/image74.png"/><Relationship Id="rId368" Type="http://schemas.openxmlformats.org/officeDocument/2006/relationships/image" Target="media/image266.png"/><Relationship Id="rId575" Type="http://schemas.openxmlformats.org/officeDocument/2006/relationships/image" Target="media/image437.png"/><Relationship Id="rId782" Type="http://schemas.openxmlformats.org/officeDocument/2006/relationships/header" Target="header63.xml"/><Relationship Id="rId1426" Type="http://schemas.openxmlformats.org/officeDocument/2006/relationships/image" Target="media/image1119.png"/><Relationship Id="rId228" Type="http://schemas.openxmlformats.org/officeDocument/2006/relationships/image" Target="media/image134.png"/><Relationship Id="rId435" Type="http://schemas.openxmlformats.org/officeDocument/2006/relationships/image" Target="media/image319.png"/><Relationship Id="rId642" Type="http://schemas.openxmlformats.org/officeDocument/2006/relationships/image" Target="media/image490.png"/><Relationship Id="rId1065" Type="http://schemas.openxmlformats.org/officeDocument/2006/relationships/image" Target="media/image810.png"/><Relationship Id="rId1272" Type="http://schemas.openxmlformats.org/officeDocument/2006/relationships/image" Target="media/image989.png"/><Relationship Id="rId281" Type="http://schemas.openxmlformats.org/officeDocument/2006/relationships/image" Target="media/image187.png"/><Relationship Id="rId502" Type="http://schemas.openxmlformats.org/officeDocument/2006/relationships/image" Target="media/image376.png"/><Relationship Id="rId947" Type="http://schemas.openxmlformats.org/officeDocument/2006/relationships/footer" Target="footer81.xml"/><Relationship Id="rId1132" Type="http://schemas.openxmlformats.org/officeDocument/2006/relationships/image" Target="media/image867.png"/><Relationship Id="rId76" Type="http://schemas.openxmlformats.org/officeDocument/2006/relationships/image" Target="media/image43.png"/><Relationship Id="rId141" Type="http://schemas.openxmlformats.org/officeDocument/2006/relationships/hyperlink" Target="https://www.oed.com/view/Entry/18180" TargetMode="External"/><Relationship Id="rId379" Type="http://schemas.openxmlformats.org/officeDocument/2006/relationships/image" Target="media/image275.png"/><Relationship Id="rId586" Type="http://schemas.openxmlformats.org/officeDocument/2006/relationships/header" Target="header42.xml"/><Relationship Id="rId793" Type="http://schemas.openxmlformats.org/officeDocument/2006/relationships/image" Target="media/image605.png"/><Relationship Id="rId807" Type="http://schemas.openxmlformats.org/officeDocument/2006/relationships/image" Target="media/image617.png"/><Relationship Id="rId1437" Type="http://schemas.openxmlformats.org/officeDocument/2006/relationships/image" Target="media/image1128.png"/><Relationship Id="rId7" Type="http://schemas.openxmlformats.org/officeDocument/2006/relationships/header" Target="header1.xml"/><Relationship Id="rId239" Type="http://schemas.openxmlformats.org/officeDocument/2006/relationships/image" Target="media/image145.png"/><Relationship Id="rId446" Type="http://schemas.openxmlformats.org/officeDocument/2006/relationships/image" Target="media/image328.png"/><Relationship Id="rId653" Type="http://schemas.openxmlformats.org/officeDocument/2006/relationships/image" Target="media/image499.png"/><Relationship Id="rId1076" Type="http://schemas.openxmlformats.org/officeDocument/2006/relationships/image" Target="media/image819.png"/><Relationship Id="rId1283" Type="http://schemas.openxmlformats.org/officeDocument/2006/relationships/image" Target="media/image1000.png"/><Relationship Id="rId292" Type="http://schemas.openxmlformats.org/officeDocument/2006/relationships/image" Target="media/image198.png"/><Relationship Id="rId306" Type="http://schemas.openxmlformats.org/officeDocument/2006/relationships/footer" Target="footer19.xml"/><Relationship Id="rId860" Type="http://schemas.openxmlformats.org/officeDocument/2006/relationships/image" Target="media/image658.png"/><Relationship Id="rId958" Type="http://schemas.openxmlformats.org/officeDocument/2006/relationships/image" Target="media/image732.png"/><Relationship Id="rId1143" Type="http://schemas.openxmlformats.org/officeDocument/2006/relationships/image" Target="media/image878.png"/><Relationship Id="rId87" Type="http://schemas.openxmlformats.org/officeDocument/2006/relationships/header" Target="header14.xml"/><Relationship Id="rId513" Type="http://schemas.openxmlformats.org/officeDocument/2006/relationships/image" Target="media/image383.png"/><Relationship Id="rId597" Type="http://schemas.openxmlformats.org/officeDocument/2006/relationships/image" Target="media/image455.png"/><Relationship Id="rId720" Type="http://schemas.openxmlformats.org/officeDocument/2006/relationships/image" Target="media/image551.png"/><Relationship Id="rId818" Type="http://schemas.openxmlformats.org/officeDocument/2006/relationships/image" Target="media/image626.png"/><Relationship Id="rId1350" Type="http://schemas.openxmlformats.org/officeDocument/2006/relationships/header" Target="header112.xml"/><Relationship Id="rId152" Type="http://schemas.openxmlformats.org/officeDocument/2006/relationships/hyperlink" Target="https://rejection.77/" TargetMode="External"/><Relationship Id="rId457" Type="http://schemas.openxmlformats.org/officeDocument/2006/relationships/footer" Target="footer31.xml"/><Relationship Id="rId1003" Type="http://schemas.openxmlformats.org/officeDocument/2006/relationships/image" Target="media/image764.png"/><Relationship Id="rId1087" Type="http://schemas.openxmlformats.org/officeDocument/2006/relationships/image" Target="media/image828.png"/><Relationship Id="rId1210" Type="http://schemas.openxmlformats.org/officeDocument/2006/relationships/image" Target="media/image935.png"/><Relationship Id="rId1294" Type="http://schemas.openxmlformats.org/officeDocument/2006/relationships/image" Target="media/image1011.png"/><Relationship Id="rId1308" Type="http://schemas.openxmlformats.org/officeDocument/2006/relationships/image" Target="media/image1021.png"/><Relationship Id="rId664" Type="http://schemas.openxmlformats.org/officeDocument/2006/relationships/footer" Target="footer51.xml"/><Relationship Id="rId871" Type="http://schemas.openxmlformats.org/officeDocument/2006/relationships/image" Target="media/image669.png"/><Relationship Id="rId969" Type="http://schemas.openxmlformats.org/officeDocument/2006/relationships/image" Target="media/image741.png"/><Relationship Id="rId14" Type="http://schemas.openxmlformats.org/officeDocument/2006/relationships/footer" Target="footer4.xml"/><Relationship Id="rId317" Type="http://schemas.openxmlformats.org/officeDocument/2006/relationships/image" Target="media/image219.png"/><Relationship Id="rId524" Type="http://schemas.openxmlformats.org/officeDocument/2006/relationships/image" Target="media/image394.png"/><Relationship Id="rId731" Type="http://schemas.openxmlformats.org/officeDocument/2006/relationships/image" Target="media/image558.png"/><Relationship Id="rId1154" Type="http://schemas.openxmlformats.org/officeDocument/2006/relationships/image" Target="media/image889.png"/><Relationship Id="rId1361" Type="http://schemas.openxmlformats.org/officeDocument/2006/relationships/header" Target="header114.xml"/><Relationship Id="rId98" Type="http://schemas.openxmlformats.org/officeDocument/2006/relationships/image" Target="media/image55.png"/><Relationship Id="rId163" Type="http://schemas.openxmlformats.org/officeDocument/2006/relationships/hyperlink" Target="https://www.oed.com/view/Entry/174507" TargetMode="External"/><Relationship Id="rId370" Type="http://schemas.openxmlformats.org/officeDocument/2006/relationships/image" Target="media/image268.png"/><Relationship Id="rId829" Type="http://schemas.openxmlformats.org/officeDocument/2006/relationships/footer" Target="footer69.xml"/><Relationship Id="rId1014" Type="http://schemas.openxmlformats.org/officeDocument/2006/relationships/image" Target="media/image773.png"/><Relationship Id="rId1221" Type="http://schemas.openxmlformats.org/officeDocument/2006/relationships/image" Target="media/image942.png"/><Relationship Id="rId230" Type="http://schemas.openxmlformats.org/officeDocument/2006/relationships/image" Target="media/image136.png"/><Relationship Id="rId468" Type="http://schemas.openxmlformats.org/officeDocument/2006/relationships/image" Target="media/image348.png"/><Relationship Id="rId675" Type="http://schemas.openxmlformats.org/officeDocument/2006/relationships/image" Target="media/image513.png"/><Relationship Id="rId882" Type="http://schemas.openxmlformats.org/officeDocument/2006/relationships/image" Target="media/image680.png"/><Relationship Id="rId1098" Type="http://schemas.openxmlformats.org/officeDocument/2006/relationships/image" Target="media/image839.png"/><Relationship Id="rId1319" Type="http://schemas.openxmlformats.org/officeDocument/2006/relationships/header" Target="header107.xml"/><Relationship Id="rId25" Type="http://schemas.openxmlformats.org/officeDocument/2006/relationships/image" Target="media/image3.png"/><Relationship Id="rId328" Type="http://schemas.openxmlformats.org/officeDocument/2006/relationships/image" Target="media/image226.png"/><Relationship Id="rId535" Type="http://schemas.openxmlformats.org/officeDocument/2006/relationships/image" Target="media/image403.png"/><Relationship Id="rId742" Type="http://schemas.openxmlformats.org/officeDocument/2006/relationships/image" Target="media/image568.png"/><Relationship Id="rId1165" Type="http://schemas.openxmlformats.org/officeDocument/2006/relationships/image" Target="media/image898.png"/><Relationship Id="rId1372" Type="http://schemas.openxmlformats.org/officeDocument/2006/relationships/image" Target="media/image1069.png"/><Relationship Id="rId174" Type="http://schemas.openxmlformats.org/officeDocument/2006/relationships/hyperlink" Target="https://record.92/" TargetMode="External"/><Relationship Id="rId381" Type="http://schemas.openxmlformats.org/officeDocument/2006/relationships/image" Target="media/image277.png"/><Relationship Id="rId602" Type="http://schemas.openxmlformats.org/officeDocument/2006/relationships/header" Target="header43.xml"/><Relationship Id="rId1025" Type="http://schemas.openxmlformats.org/officeDocument/2006/relationships/hyperlink" Target="https://7.83-7.84/" TargetMode="External"/><Relationship Id="rId1232" Type="http://schemas.openxmlformats.org/officeDocument/2006/relationships/image" Target="media/image951.png"/><Relationship Id="rId241" Type="http://schemas.openxmlformats.org/officeDocument/2006/relationships/image" Target="media/image147.png"/><Relationship Id="rId479" Type="http://schemas.openxmlformats.org/officeDocument/2006/relationships/image" Target="media/image357.png"/><Relationship Id="rId686" Type="http://schemas.openxmlformats.org/officeDocument/2006/relationships/footer" Target="footer53.xml"/><Relationship Id="rId893" Type="http://schemas.openxmlformats.org/officeDocument/2006/relationships/header" Target="header73.xml"/><Relationship Id="rId907" Type="http://schemas.openxmlformats.org/officeDocument/2006/relationships/image" Target="media/image699.png"/><Relationship Id="rId36" Type="http://schemas.openxmlformats.org/officeDocument/2006/relationships/image" Target="media/image10.png"/><Relationship Id="rId339" Type="http://schemas.openxmlformats.org/officeDocument/2006/relationships/image" Target="media/image237.png"/><Relationship Id="rId546" Type="http://schemas.openxmlformats.org/officeDocument/2006/relationships/image" Target="media/image412.png"/><Relationship Id="rId753" Type="http://schemas.openxmlformats.org/officeDocument/2006/relationships/image" Target="media/image577.png"/><Relationship Id="rId1176" Type="http://schemas.openxmlformats.org/officeDocument/2006/relationships/image" Target="media/image907.png"/><Relationship Id="rId1383" Type="http://schemas.openxmlformats.org/officeDocument/2006/relationships/image" Target="media/image1078.png"/><Relationship Id="rId101" Type="http://schemas.openxmlformats.org/officeDocument/2006/relationships/hyperlink" Target="https://punishment.27/" TargetMode="External"/><Relationship Id="rId185" Type="http://schemas.openxmlformats.org/officeDocument/2006/relationships/image" Target="media/image99.png"/><Relationship Id="rId406" Type="http://schemas.openxmlformats.org/officeDocument/2006/relationships/image" Target="media/image294.png"/><Relationship Id="rId960" Type="http://schemas.openxmlformats.org/officeDocument/2006/relationships/image" Target="media/image734.png"/><Relationship Id="rId1036" Type="http://schemas.openxmlformats.org/officeDocument/2006/relationships/image" Target="media/image784.png"/><Relationship Id="rId1243" Type="http://schemas.openxmlformats.org/officeDocument/2006/relationships/image" Target="media/image962.png"/><Relationship Id="rId392" Type="http://schemas.openxmlformats.org/officeDocument/2006/relationships/footer" Target="footer25.xml"/><Relationship Id="rId613" Type="http://schemas.openxmlformats.org/officeDocument/2006/relationships/image" Target="media/image467.png"/><Relationship Id="rId697" Type="http://schemas.openxmlformats.org/officeDocument/2006/relationships/image" Target="media/image529.png"/><Relationship Id="rId820" Type="http://schemas.openxmlformats.org/officeDocument/2006/relationships/footer" Target="footer67.xml"/><Relationship Id="rId918" Type="http://schemas.openxmlformats.org/officeDocument/2006/relationships/footer" Target="footer76.xml"/><Relationship Id="rId252" Type="http://schemas.openxmlformats.org/officeDocument/2006/relationships/image" Target="media/image158.png"/><Relationship Id="rId1103" Type="http://schemas.openxmlformats.org/officeDocument/2006/relationships/image" Target="media/image844.png"/><Relationship Id="rId1187" Type="http://schemas.openxmlformats.org/officeDocument/2006/relationships/image" Target="media/image918.png"/><Relationship Id="rId1310" Type="http://schemas.openxmlformats.org/officeDocument/2006/relationships/image" Target="media/image1023.png"/><Relationship Id="rId1408" Type="http://schemas.openxmlformats.org/officeDocument/2006/relationships/image" Target="media/image1103.png"/><Relationship Id="rId47" Type="http://schemas.openxmlformats.org/officeDocument/2006/relationships/image" Target="media/image19.png"/><Relationship Id="rId112" Type="http://schemas.openxmlformats.org/officeDocument/2006/relationships/hyperlink" Target="https://available.39/" TargetMode="External"/><Relationship Id="rId557" Type="http://schemas.openxmlformats.org/officeDocument/2006/relationships/image" Target="media/image421.png"/><Relationship Id="rId764" Type="http://schemas.openxmlformats.org/officeDocument/2006/relationships/footer" Target="footer61.xml"/><Relationship Id="rId971" Type="http://schemas.openxmlformats.org/officeDocument/2006/relationships/image" Target="media/image743.png"/><Relationship Id="rId1394" Type="http://schemas.openxmlformats.org/officeDocument/2006/relationships/image" Target="media/image1089.png"/><Relationship Id="rId196" Type="http://schemas.openxmlformats.org/officeDocument/2006/relationships/footer" Target="footer16.xml"/><Relationship Id="rId417" Type="http://schemas.openxmlformats.org/officeDocument/2006/relationships/image" Target="media/image301.png"/><Relationship Id="rId624" Type="http://schemas.openxmlformats.org/officeDocument/2006/relationships/header" Target="header46.xml"/><Relationship Id="rId831" Type="http://schemas.openxmlformats.org/officeDocument/2006/relationships/image" Target="media/image633.png"/><Relationship Id="rId1047" Type="http://schemas.openxmlformats.org/officeDocument/2006/relationships/image" Target="media/image794.png"/><Relationship Id="rId1254" Type="http://schemas.openxmlformats.org/officeDocument/2006/relationships/hyperlink" Target="https://www.oed.com/view/Entry/202120" TargetMode="External"/><Relationship Id="rId263" Type="http://schemas.openxmlformats.org/officeDocument/2006/relationships/image" Target="media/image169.png"/><Relationship Id="rId470" Type="http://schemas.openxmlformats.org/officeDocument/2006/relationships/image" Target="media/image350.png"/><Relationship Id="rId929" Type="http://schemas.openxmlformats.org/officeDocument/2006/relationships/header" Target="header78.xml"/><Relationship Id="rId1114" Type="http://schemas.openxmlformats.org/officeDocument/2006/relationships/image" Target="media/image855.png"/><Relationship Id="rId1321" Type="http://schemas.openxmlformats.org/officeDocument/2006/relationships/image" Target="media/image1032.png"/><Relationship Id="rId58" Type="http://schemas.openxmlformats.org/officeDocument/2006/relationships/image" Target="media/image30.png"/><Relationship Id="rId123" Type="http://schemas.openxmlformats.org/officeDocument/2006/relationships/hyperlink" Target="https://verification.46/" TargetMode="External"/><Relationship Id="rId330" Type="http://schemas.openxmlformats.org/officeDocument/2006/relationships/image" Target="media/image228.png"/><Relationship Id="rId568" Type="http://schemas.openxmlformats.org/officeDocument/2006/relationships/image" Target="media/image430.png"/><Relationship Id="rId775" Type="http://schemas.openxmlformats.org/officeDocument/2006/relationships/image" Target="media/image591.png"/><Relationship Id="rId982" Type="http://schemas.openxmlformats.org/officeDocument/2006/relationships/footer" Target="footer87.xml"/><Relationship Id="rId1198" Type="http://schemas.openxmlformats.org/officeDocument/2006/relationships/footer" Target="footer100.xml"/><Relationship Id="rId1419" Type="http://schemas.openxmlformats.org/officeDocument/2006/relationships/footer" Target="footer116.xml"/><Relationship Id="rId428" Type="http://schemas.openxmlformats.org/officeDocument/2006/relationships/image" Target="media/image312.png"/><Relationship Id="rId635" Type="http://schemas.openxmlformats.org/officeDocument/2006/relationships/image" Target="media/image485.png"/><Relationship Id="rId842" Type="http://schemas.openxmlformats.org/officeDocument/2006/relationships/header" Target="header71.xml"/><Relationship Id="rId1058" Type="http://schemas.openxmlformats.org/officeDocument/2006/relationships/image" Target="media/image805.png"/><Relationship Id="rId1265" Type="http://schemas.openxmlformats.org/officeDocument/2006/relationships/image" Target="media/image982.png"/><Relationship Id="rId274" Type="http://schemas.openxmlformats.org/officeDocument/2006/relationships/image" Target="media/image180.png"/><Relationship Id="rId481" Type="http://schemas.openxmlformats.org/officeDocument/2006/relationships/footer" Target="footer33.xml"/><Relationship Id="rId702" Type="http://schemas.openxmlformats.org/officeDocument/2006/relationships/image" Target="media/image534.png"/><Relationship Id="rId1125" Type="http://schemas.openxmlformats.org/officeDocument/2006/relationships/header" Target="header96.xml"/><Relationship Id="rId1332" Type="http://schemas.openxmlformats.org/officeDocument/2006/relationships/image" Target="media/image1041.png"/><Relationship Id="rId69" Type="http://schemas.openxmlformats.org/officeDocument/2006/relationships/image" Target="media/image39.png"/><Relationship Id="rId134" Type="http://schemas.openxmlformats.org/officeDocument/2006/relationships/hyperlink" Target="https://www.oed.com/view/Entry/212679" TargetMode="External"/><Relationship Id="rId579" Type="http://schemas.openxmlformats.org/officeDocument/2006/relationships/image" Target="media/image441.png"/><Relationship Id="rId786" Type="http://schemas.openxmlformats.org/officeDocument/2006/relationships/image" Target="media/image600.png"/><Relationship Id="rId993" Type="http://schemas.openxmlformats.org/officeDocument/2006/relationships/image" Target="media/image756.png"/><Relationship Id="rId341" Type="http://schemas.openxmlformats.org/officeDocument/2006/relationships/image" Target="media/image239.png"/><Relationship Id="rId439" Type="http://schemas.openxmlformats.org/officeDocument/2006/relationships/image" Target="media/image323.png"/><Relationship Id="rId646" Type="http://schemas.openxmlformats.org/officeDocument/2006/relationships/image" Target="media/image494.png"/><Relationship Id="rId1069" Type="http://schemas.openxmlformats.org/officeDocument/2006/relationships/image" Target="media/image814.png"/><Relationship Id="rId1276" Type="http://schemas.openxmlformats.org/officeDocument/2006/relationships/image" Target="media/image993.png"/><Relationship Id="rId201" Type="http://schemas.openxmlformats.org/officeDocument/2006/relationships/image" Target="media/image111.png"/><Relationship Id="rId285" Type="http://schemas.openxmlformats.org/officeDocument/2006/relationships/image" Target="media/image191.png"/><Relationship Id="rId506" Type="http://schemas.openxmlformats.org/officeDocument/2006/relationships/footer" Target="footer35.xml"/><Relationship Id="rId853" Type="http://schemas.openxmlformats.org/officeDocument/2006/relationships/image" Target="media/image651.png"/><Relationship Id="rId1136" Type="http://schemas.openxmlformats.org/officeDocument/2006/relationships/image" Target="media/image871.png"/><Relationship Id="rId492" Type="http://schemas.openxmlformats.org/officeDocument/2006/relationships/image" Target="media/image366.png"/><Relationship Id="rId713" Type="http://schemas.openxmlformats.org/officeDocument/2006/relationships/image" Target="media/image544.png"/><Relationship Id="rId797" Type="http://schemas.openxmlformats.org/officeDocument/2006/relationships/header" Target="header65.xml"/><Relationship Id="rId920" Type="http://schemas.openxmlformats.org/officeDocument/2006/relationships/image" Target="media/image708.png"/><Relationship Id="rId1343" Type="http://schemas.openxmlformats.org/officeDocument/2006/relationships/image" Target="media/image1048.png"/><Relationship Id="rId145" Type="http://schemas.openxmlformats.org/officeDocument/2006/relationships/image" Target="media/image81.png"/><Relationship Id="rId352" Type="http://schemas.openxmlformats.org/officeDocument/2006/relationships/image" Target="media/image250.png"/><Relationship Id="rId1203" Type="http://schemas.openxmlformats.org/officeDocument/2006/relationships/image" Target="media/image930.png"/><Relationship Id="rId1287" Type="http://schemas.openxmlformats.org/officeDocument/2006/relationships/image" Target="media/image1004.png"/><Relationship Id="rId1410" Type="http://schemas.openxmlformats.org/officeDocument/2006/relationships/image" Target="media/image1105.png"/><Relationship Id="rId212" Type="http://schemas.openxmlformats.org/officeDocument/2006/relationships/image" Target="media/image120.png"/><Relationship Id="rId657" Type="http://schemas.openxmlformats.org/officeDocument/2006/relationships/image" Target="media/image501.png"/><Relationship Id="rId864" Type="http://schemas.openxmlformats.org/officeDocument/2006/relationships/image" Target="media/image662.png"/><Relationship Id="rId296" Type="http://schemas.openxmlformats.org/officeDocument/2006/relationships/image" Target="media/image202.png"/><Relationship Id="rId517" Type="http://schemas.openxmlformats.org/officeDocument/2006/relationships/image" Target="media/image387.png"/><Relationship Id="rId724" Type="http://schemas.openxmlformats.org/officeDocument/2006/relationships/image" Target="media/image553.png"/><Relationship Id="rId931" Type="http://schemas.openxmlformats.org/officeDocument/2006/relationships/image" Target="media/image715.png"/><Relationship Id="rId1147" Type="http://schemas.openxmlformats.org/officeDocument/2006/relationships/image" Target="media/image882.png"/><Relationship Id="rId1354" Type="http://schemas.openxmlformats.org/officeDocument/2006/relationships/image" Target="media/image1055.png"/><Relationship Id="rId60" Type="http://schemas.openxmlformats.org/officeDocument/2006/relationships/image" Target="media/image32.png"/><Relationship Id="rId156" Type="http://schemas.openxmlformats.org/officeDocument/2006/relationships/hyperlink" Target="https://www.oed.com/view/Entry/73702" TargetMode="External"/><Relationship Id="rId363" Type="http://schemas.openxmlformats.org/officeDocument/2006/relationships/image" Target="media/image261.png"/><Relationship Id="rId570" Type="http://schemas.openxmlformats.org/officeDocument/2006/relationships/image" Target="media/image432.png"/><Relationship Id="rId1007" Type="http://schemas.openxmlformats.org/officeDocument/2006/relationships/image" Target="media/image768.png"/><Relationship Id="rId1214" Type="http://schemas.openxmlformats.org/officeDocument/2006/relationships/image" Target="media/image937.png"/><Relationship Id="rId1421" Type="http://schemas.openxmlformats.org/officeDocument/2006/relationships/image" Target="media/image1114.png"/><Relationship Id="rId223" Type="http://schemas.openxmlformats.org/officeDocument/2006/relationships/footer" Target="footer18.xml"/><Relationship Id="rId430" Type="http://schemas.openxmlformats.org/officeDocument/2006/relationships/image" Target="media/image314.png"/><Relationship Id="rId668" Type="http://schemas.openxmlformats.org/officeDocument/2006/relationships/image" Target="media/image508.png"/><Relationship Id="rId875" Type="http://schemas.openxmlformats.org/officeDocument/2006/relationships/image" Target="media/image673.png"/><Relationship Id="rId1060" Type="http://schemas.openxmlformats.org/officeDocument/2006/relationships/image" Target="media/image807.png"/><Relationship Id="rId1298" Type="http://schemas.openxmlformats.org/officeDocument/2006/relationships/image" Target="media/image1013.png"/><Relationship Id="rId18" Type="http://schemas.openxmlformats.org/officeDocument/2006/relationships/footer" Target="footer6.xml"/><Relationship Id="rId528" Type="http://schemas.openxmlformats.org/officeDocument/2006/relationships/image" Target="media/image398.png"/><Relationship Id="rId735" Type="http://schemas.openxmlformats.org/officeDocument/2006/relationships/image" Target="media/image562.png"/><Relationship Id="rId942" Type="http://schemas.openxmlformats.org/officeDocument/2006/relationships/footer" Target="footer80.xml"/><Relationship Id="rId1158" Type="http://schemas.openxmlformats.org/officeDocument/2006/relationships/image" Target="media/image893.png"/><Relationship Id="rId1365" Type="http://schemas.openxmlformats.org/officeDocument/2006/relationships/image" Target="media/image1062.png"/><Relationship Id="rId167" Type="http://schemas.openxmlformats.org/officeDocument/2006/relationships/image" Target="media/image90.png"/><Relationship Id="rId374" Type="http://schemas.openxmlformats.org/officeDocument/2006/relationships/image" Target="media/image272.png"/><Relationship Id="rId581" Type="http://schemas.openxmlformats.org/officeDocument/2006/relationships/header" Target="header41.xml"/><Relationship Id="rId1018" Type="http://schemas.openxmlformats.org/officeDocument/2006/relationships/image" Target="media/image775.png"/><Relationship Id="rId1225" Type="http://schemas.openxmlformats.org/officeDocument/2006/relationships/footer" Target="footer104.xml"/><Relationship Id="rId1432" Type="http://schemas.openxmlformats.org/officeDocument/2006/relationships/footer" Target="footer117.xml"/><Relationship Id="rId71" Type="http://schemas.openxmlformats.org/officeDocument/2006/relationships/image" Target="media/image41.png"/><Relationship Id="rId234" Type="http://schemas.openxmlformats.org/officeDocument/2006/relationships/image" Target="media/image140.png"/><Relationship Id="rId679" Type="http://schemas.openxmlformats.org/officeDocument/2006/relationships/image" Target="media/image517.png"/><Relationship Id="rId802" Type="http://schemas.openxmlformats.org/officeDocument/2006/relationships/image" Target="media/image612.png"/><Relationship Id="rId886" Type="http://schemas.openxmlformats.org/officeDocument/2006/relationships/footer" Target="footer72.xml"/><Relationship Id="rId2" Type="http://schemas.openxmlformats.org/officeDocument/2006/relationships/styles" Target="styles.xml"/><Relationship Id="rId29" Type="http://schemas.openxmlformats.org/officeDocument/2006/relationships/image" Target="media/image5.png"/><Relationship Id="rId441" Type="http://schemas.openxmlformats.org/officeDocument/2006/relationships/image" Target="media/image325.png"/><Relationship Id="rId539" Type="http://schemas.openxmlformats.org/officeDocument/2006/relationships/image" Target="media/image405.png"/><Relationship Id="rId746" Type="http://schemas.openxmlformats.org/officeDocument/2006/relationships/footer" Target="footer58.xml"/><Relationship Id="rId1071" Type="http://schemas.openxmlformats.org/officeDocument/2006/relationships/image" Target="media/image816.png"/><Relationship Id="rId1169" Type="http://schemas.openxmlformats.org/officeDocument/2006/relationships/image" Target="media/image900.png"/><Relationship Id="rId1376" Type="http://schemas.openxmlformats.org/officeDocument/2006/relationships/image" Target="media/image1073.png"/><Relationship Id="rId178" Type="http://schemas.openxmlformats.org/officeDocument/2006/relationships/image" Target="media/image95.png"/><Relationship Id="rId301" Type="http://schemas.openxmlformats.org/officeDocument/2006/relationships/image" Target="media/image207.png"/><Relationship Id="rId953" Type="http://schemas.openxmlformats.org/officeDocument/2006/relationships/image" Target="media/image729.png"/><Relationship Id="rId1029" Type="http://schemas.openxmlformats.org/officeDocument/2006/relationships/image" Target="media/image778.png"/><Relationship Id="rId1236" Type="http://schemas.openxmlformats.org/officeDocument/2006/relationships/image" Target="media/image955.png"/><Relationship Id="rId82" Type="http://schemas.openxmlformats.org/officeDocument/2006/relationships/footer" Target="footer13.xml"/><Relationship Id="rId385" Type="http://schemas.openxmlformats.org/officeDocument/2006/relationships/image" Target="media/image279.png"/><Relationship Id="rId592" Type="http://schemas.openxmlformats.org/officeDocument/2006/relationships/image" Target="media/image450.png"/><Relationship Id="rId606" Type="http://schemas.openxmlformats.org/officeDocument/2006/relationships/image" Target="media/image462.png"/><Relationship Id="rId813" Type="http://schemas.openxmlformats.org/officeDocument/2006/relationships/image" Target="media/image623.png"/><Relationship Id="rId1443" Type="http://schemas.openxmlformats.org/officeDocument/2006/relationships/footer" Target="footer119.xml"/><Relationship Id="rId245" Type="http://schemas.openxmlformats.org/officeDocument/2006/relationships/image" Target="media/image151.png"/><Relationship Id="rId452" Type="http://schemas.openxmlformats.org/officeDocument/2006/relationships/image" Target="media/image334.png"/><Relationship Id="rId897" Type="http://schemas.openxmlformats.org/officeDocument/2006/relationships/image" Target="media/image691.png"/><Relationship Id="rId1082" Type="http://schemas.openxmlformats.org/officeDocument/2006/relationships/image" Target="media/image823.png"/><Relationship Id="rId1303" Type="http://schemas.openxmlformats.org/officeDocument/2006/relationships/image" Target="media/image1016.png"/><Relationship Id="rId105" Type="http://schemas.openxmlformats.org/officeDocument/2006/relationships/hyperlink" Target="https://www.oed.com/view/Entry/95568" TargetMode="External"/><Relationship Id="rId312" Type="http://schemas.openxmlformats.org/officeDocument/2006/relationships/image" Target="media/image214.png"/><Relationship Id="rId757" Type="http://schemas.openxmlformats.org/officeDocument/2006/relationships/image" Target="media/image579.png"/><Relationship Id="rId964" Type="http://schemas.openxmlformats.org/officeDocument/2006/relationships/image" Target="media/image738.png"/><Relationship Id="rId1387" Type="http://schemas.openxmlformats.org/officeDocument/2006/relationships/image" Target="media/image1082.png"/><Relationship Id="rId93" Type="http://schemas.openxmlformats.org/officeDocument/2006/relationships/image" Target="media/image54.png"/><Relationship Id="rId189" Type="http://schemas.openxmlformats.org/officeDocument/2006/relationships/image" Target="media/image103.png"/><Relationship Id="rId396" Type="http://schemas.openxmlformats.org/officeDocument/2006/relationships/image" Target="media/image288.png"/><Relationship Id="rId617" Type="http://schemas.openxmlformats.org/officeDocument/2006/relationships/image" Target="media/image471.png"/><Relationship Id="rId824" Type="http://schemas.openxmlformats.org/officeDocument/2006/relationships/image" Target="media/image628.png"/><Relationship Id="rId1247" Type="http://schemas.openxmlformats.org/officeDocument/2006/relationships/image" Target="media/image966.png"/><Relationship Id="rId256" Type="http://schemas.openxmlformats.org/officeDocument/2006/relationships/image" Target="media/image162.png"/><Relationship Id="rId463" Type="http://schemas.openxmlformats.org/officeDocument/2006/relationships/image" Target="media/image343.png"/><Relationship Id="rId670" Type="http://schemas.openxmlformats.org/officeDocument/2006/relationships/image" Target="media/image510.png"/><Relationship Id="rId1093" Type="http://schemas.openxmlformats.org/officeDocument/2006/relationships/image" Target="media/image834.png"/><Relationship Id="rId1107" Type="http://schemas.openxmlformats.org/officeDocument/2006/relationships/image" Target="media/image848.png"/><Relationship Id="rId1314" Type="http://schemas.openxmlformats.org/officeDocument/2006/relationships/image" Target="media/image1027.png"/><Relationship Id="rId116" Type="http://schemas.openxmlformats.org/officeDocument/2006/relationships/image" Target="media/image64.png"/><Relationship Id="rId323" Type="http://schemas.openxmlformats.org/officeDocument/2006/relationships/image" Target="media/image223.png"/><Relationship Id="rId530" Type="http://schemas.openxmlformats.org/officeDocument/2006/relationships/header" Target="header37.xml"/><Relationship Id="rId768" Type="http://schemas.openxmlformats.org/officeDocument/2006/relationships/footer" Target="footer62.xml"/><Relationship Id="rId975" Type="http://schemas.openxmlformats.org/officeDocument/2006/relationships/image" Target="media/image745.png"/><Relationship Id="rId1160" Type="http://schemas.openxmlformats.org/officeDocument/2006/relationships/header" Target="header97.xml"/><Relationship Id="rId1398" Type="http://schemas.openxmlformats.org/officeDocument/2006/relationships/image" Target="media/image1093.png"/><Relationship Id="rId20" Type="http://schemas.openxmlformats.org/officeDocument/2006/relationships/header" Target="header7.xml"/><Relationship Id="rId628" Type="http://schemas.openxmlformats.org/officeDocument/2006/relationships/image" Target="media/image478.png"/><Relationship Id="rId835" Type="http://schemas.openxmlformats.org/officeDocument/2006/relationships/image" Target="media/image637.png"/><Relationship Id="rId1258" Type="http://schemas.openxmlformats.org/officeDocument/2006/relationships/image" Target="media/image975.png"/><Relationship Id="rId267" Type="http://schemas.openxmlformats.org/officeDocument/2006/relationships/image" Target="media/image173.png"/><Relationship Id="rId474" Type="http://schemas.openxmlformats.org/officeDocument/2006/relationships/footer" Target="footer32.xml"/><Relationship Id="rId1020" Type="http://schemas.openxmlformats.org/officeDocument/2006/relationships/image" Target="media/image777.png"/><Relationship Id="rId1118" Type="http://schemas.openxmlformats.org/officeDocument/2006/relationships/image" Target="media/image859.png"/><Relationship Id="rId1325" Type="http://schemas.openxmlformats.org/officeDocument/2006/relationships/image" Target="media/image1034.png"/><Relationship Id="rId127" Type="http://schemas.openxmlformats.org/officeDocument/2006/relationships/hyperlink" Target="https://www.oed.com/view/Entry/222501" TargetMode="External"/><Relationship Id="rId681" Type="http://schemas.openxmlformats.org/officeDocument/2006/relationships/image" Target="media/image519.png"/><Relationship Id="rId779" Type="http://schemas.openxmlformats.org/officeDocument/2006/relationships/image" Target="media/image595.png"/><Relationship Id="rId902" Type="http://schemas.openxmlformats.org/officeDocument/2006/relationships/image" Target="media/image696.png"/><Relationship Id="rId986" Type="http://schemas.openxmlformats.org/officeDocument/2006/relationships/image" Target="media/image752.png"/><Relationship Id="rId31" Type="http://schemas.openxmlformats.org/officeDocument/2006/relationships/image" Target="media/image7.png"/><Relationship Id="rId334" Type="http://schemas.openxmlformats.org/officeDocument/2006/relationships/image" Target="media/image232.png"/><Relationship Id="rId541" Type="http://schemas.openxmlformats.org/officeDocument/2006/relationships/image" Target="media/image407.png"/><Relationship Id="rId639" Type="http://schemas.openxmlformats.org/officeDocument/2006/relationships/image" Target="media/image489.png"/><Relationship Id="rId1171" Type="http://schemas.openxmlformats.org/officeDocument/2006/relationships/image" Target="media/image902.png"/><Relationship Id="rId1269" Type="http://schemas.openxmlformats.org/officeDocument/2006/relationships/image" Target="media/image986.png"/><Relationship Id="rId180" Type="http://schemas.openxmlformats.org/officeDocument/2006/relationships/image" Target="media/image96.png"/><Relationship Id="rId278" Type="http://schemas.openxmlformats.org/officeDocument/2006/relationships/image" Target="media/image184.png"/><Relationship Id="rId401" Type="http://schemas.openxmlformats.org/officeDocument/2006/relationships/image" Target="media/image291.png"/><Relationship Id="rId846" Type="http://schemas.openxmlformats.org/officeDocument/2006/relationships/image" Target="media/image644.png"/><Relationship Id="rId1031" Type="http://schemas.openxmlformats.org/officeDocument/2006/relationships/image" Target="media/image780.png"/><Relationship Id="rId1129" Type="http://schemas.openxmlformats.org/officeDocument/2006/relationships/image" Target="media/image864.png"/><Relationship Id="rId485" Type="http://schemas.openxmlformats.org/officeDocument/2006/relationships/image" Target="media/image361.png"/><Relationship Id="rId692" Type="http://schemas.openxmlformats.org/officeDocument/2006/relationships/image" Target="media/image526.png"/><Relationship Id="rId706" Type="http://schemas.openxmlformats.org/officeDocument/2006/relationships/image" Target="media/image537.png"/><Relationship Id="rId913" Type="http://schemas.openxmlformats.org/officeDocument/2006/relationships/image" Target="media/image703.png"/><Relationship Id="rId1336" Type="http://schemas.openxmlformats.org/officeDocument/2006/relationships/image" Target="media/image1043.png"/><Relationship Id="rId42" Type="http://schemas.openxmlformats.org/officeDocument/2006/relationships/image" Target="media/image14.png"/><Relationship Id="rId138" Type="http://schemas.openxmlformats.org/officeDocument/2006/relationships/hyperlink" Target="https://party.63/" TargetMode="External"/><Relationship Id="rId345" Type="http://schemas.openxmlformats.org/officeDocument/2006/relationships/image" Target="media/image243.png"/><Relationship Id="rId552" Type="http://schemas.openxmlformats.org/officeDocument/2006/relationships/image" Target="media/image416.png"/><Relationship Id="rId997" Type="http://schemas.openxmlformats.org/officeDocument/2006/relationships/image" Target="media/image760.png"/><Relationship Id="rId1182" Type="http://schemas.openxmlformats.org/officeDocument/2006/relationships/image" Target="media/image913.png"/><Relationship Id="rId1403" Type="http://schemas.openxmlformats.org/officeDocument/2006/relationships/image" Target="media/image1098.png"/><Relationship Id="rId191" Type="http://schemas.openxmlformats.org/officeDocument/2006/relationships/footer" Target="footer15.xml"/><Relationship Id="rId205" Type="http://schemas.openxmlformats.org/officeDocument/2006/relationships/image" Target="media/image115.png"/><Relationship Id="rId412" Type="http://schemas.openxmlformats.org/officeDocument/2006/relationships/image" Target="media/image296.png"/><Relationship Id="rId857" Type="http://schemas.openxmlformats.org/officeDocument/2006/relationships/image" Target="media/image655.png"/><Relationship Id="rId1042" Type="http://schemas.openxmlformats.org/officeDocument/2006/relationships/image" Target="media/image789.png"/><Relationship Id="rId289" Type="http://schemas.openxmlformats.org/officeDocument/2006/relationships/image" Target="media/image195.png"/><Relationship Id="rId496" Type="http://schemas.openxmlformats.org/officeDocument/2006/relationships/image" Target="media/image370.png"/><Relationship Id="rId717" Type="http://schemas.openxmlformats.org/officeDocument/2006/relationships/image" Target="media/image548.png"/><Relationship Id="rId924" Type="http://schemas.openxmlformats.org/officeDocument/2006/relationships/image" Target="media/image710.png"/><Relationship Id="rId1347" Type="http://schemas.openxmlformats.org/officeDocument/2006/relationships/image" Target="media/image1050.png"/><Relationship Id="rId53" Type="http://schemas.openxmlformats.org/officeDocument/2006/relationships/image" Target="media/image25.png"/><Relationship Id="rId149" Type="http://schemas.openxmlformats.org/officeDocument/2006/relationships/image" Target="media/image83.png"/><Relationship Id="rId356" Type="http://schemas.openxmlformats.org/officeDocument/2006/relationships/image" Target="media/image254.png"/><Relationship Id="rId563" Type="http://schemas.openxmlformats.org/officeDocument/2006/relationships/image" Target="media/image425.png"/><Relationship Id="rId770" Type="http://schemas.openxmlformats.org/officeDocument/2006/relationships/image" Target="media/image586.png"/><Relationship Id="rId1193" Type="http://schemas.openxmlformats.org/officeDocument/2006/relationships/header" Target="header99.xml"/><Relationship Id="rId1207" Type="http://schemas.openxmlformats.org/officeDocument/2006/relationships/footer" Target="footer101.xml"/><Relationship Id="rId1414" Type="http://schemas.openxmlformats.org/officeDocument/2006/relationships/image" Target="media/image1109.png"/><Relationship Id="rId216" Type="http://schemas.openxmlformats.org/officeDocument/2006/relationships/image" Target="media/image124.png"/><Relationship Id="rId423" Type="http://schemas.openxmlformats.org/officeDocument/2006/relationships/image" Target="media/image307.png"/><Relationship Id="rId868" Type="http://schemas.openxmlformats.org/officeDocument/2006/relationships/image" Target="media/image666.png"/><Relationship Id="rId1053" Type="http://schemas.openxmlformats.org/officeDocument/2006/relationships/image" Target="media/image800.png"/><Relationship Id="rId1260" Type="http://schemas.openxmlformats.org/officeDocument/2006/relationships/image" Target="media/image977.png"/><Relationship Id="rId630" Type="http://schemas.openxmlformats.org/officeDocument/2006/relationships/image" Target="media/image480.png"/><Relationship Id="rId728" Type="http://schemas.openxmlformats.org/officeDocument/2006/relationships/header" Target="header57.xml"/><Relationship Id="rId935" Type="http://schemas.openxmlformats.org/officeDocument/2006/relationships/image" Target="media/image719.png"/><Relationship Id="rId1358" Type="http://schemas.openxmlformats.org/officeDocument/2006/relationships/image" Target="media/image1057.png"/><Relationship Id="rId64" Type="http://schemas.openxmlformats.org/officeDocument/2006/relationships/image" Target="media/image35.png"/><Relationship Id="rId367" Type="http://schemas.openxmlformats.org/officeDocument/2006/relationships/image" Target="media/image265.png"/><Relationship Id="rId574" Type="http://schemas.openxmlformats.org/officeDocument/2006/relationships/image" Target="media/image436.png"/><Relationship Id="rId1120" Type="http://schemas.openxmlformats.org/officeDocument/2006/relationships/header" Target="header94.xml"/><Relationship Id="rId1218" Type="http://schemas.openxmlformats.org/officeDocument/2006/relationships/image" Target="media/image941.png"/><Relationship Id="rId1425" Type="http://schemas.openxmlformats.org/officeDocument/2006/relationships/image" Target="media/image1118.png"/><Relationship Id="rId227" Type="http://schemas.openxmlformats.org/officeDocument/2006/relationships/image" Target="media/image133.png"/><Relationship Id="rId781" Type="http://schemas.openxmlformats.org/officeDocument/2006/relationships/image" Target="media/image597.png"/><Relationship Id="rId879" Type="http://schemas.openxmlformats.org/officeDocument/2006/relationships/image" Target="media/image677.png"/><Relationship Id="rId434" Type="http://schemas.openxmlformats.org/officeDocument/2006/relationships/image" Target="media/image318.png"/><Relationship Id="rId641" Type="http://schemas.openxmlformats.org/officeDocument/2006/relationships/footer" Target="footer47.xml"/><Relationship Id="rId739" Type="http://schemas.openxmlformats.org/officeDocument/2006/relationships/hyperlink" Target="https://5.51-5.52/" TargetMode="External"/><Relationship Id="rId1064" Type="http://schemas.openxmlformats.org/officeDocument/2006/relationships/image" Target="media/image809.png"/><Relationship Id="rId1271" Type="http://schemas.openxmlformats.org/officeDocument/2006/relationships/image" Target="media/image988.png"/><Relationship Id="rId1369" Type="http://schemas.openxmlformats.org/officeDocument/2006/relationships/image" Target="media/image1066.png"/><Relationship Id="rId280" Type="http://schemas.openxmlformats.org/officeDocument/2006/relationships/image" Target="media/image186.png"/><Relationship Id="rId501" Type="http://schemas.openxmlformats.org/officeDocument/2006/relationships/image" Target="media/image375.png"/><Relationship Id="rId946" Type="http://schemas.openxmlformats.org/officeDocument/2006/relationships/header" Target="header81.xml"/><Relationship Id="rId1131" Type="http://schemas.openxmlformats.org/officeDocument/2006/relationships/image" Target="media/image866.png"/><Relationship Id="rId1229" Type="http://schemas.openxmlformats.org/officeDocument/2006/relationships/image" Target="media/image948.png"/><Relationship Id="rId75" Type="http://schemas.openxmlformats.org/officeDocument/2006/relationships/footer" Target="footer12.xml"/><Relationship Id="rId140" Type="http://schemas.openxmlformats.org/officeDocument/2006/relationships/hyperlink" Target="https://disregarded.64/" TargetMode="External"/><Relationship Id="rId378" Type="http://schemas.openxmlformats.org/officeDocument/2006/relationships/footer" Target="footer23.xml"/><Relationship Id="rId585" Type="http://schemas.openxmlformats.org/officeDocument/2006/relationships/image" Target="media/image445.png"/><Relationship Id="rId792" Type="http://schemas.openxmlformats.org/officeDocument/2006/relationships/image" Target="media/image604.png"/><Relationship Id="rId806" Type="http://schemas.openxmlformats.org/officeDocument/2006/relationships/image" Target="media/image616.png"/><Relationship Id="rId1436" Type="http://schemas.openxmlformats.org/officeDocument/2006/relationships/image" Target="media/image1127.png"/><Relationship Id="rId6" Type="http://schemas.openxmlformats.org/officeDocument/2006/relationships/endnotes" Target="endnotes.xml"/><Relationship Id="rId238" Type="http://schemas.openxmlformats.org/officeDocument/2006/relationships/image" Target="media/image144.png"/><Relationship Id="rId445" Type="http://schemas.openxmlformats.org/officeDocument/2006/relationships/image" Target="media/image327.png"/><Relationship Id="rId652" Type="http://schemas.openxmlformats.org/officeDocument/2006/relationships/image" Target="media/image498.png"/><Relationship Id="rId1075" Type="http://schemas.openxmlformats.org/officeDocument/2006/relationships/image" Target="media/image818.png"/><Relationship Id="rId1282" Type="http://schemas.openxmlformats.org/officeDocument/2006/relationships/image" Target="media/image999.png"/><Relationship Id="rId291" Type="http://schemas.openxmlformats.org/officeDocument/2006/relationships/image" Target="media/image197.png"/><Relationship Id="rId305" Type="http://schemas.openxmlformats.org/officeDocument/2006/relationships/header" Target="header19.xml"/><Relationship Id="rId512" Type="http://schemas.openxmlformats.org/officeDocument/2006/relationships/image" Target="media/image382.png"/><Relationship Id="rId957" Type="http://schemas.openxmlformats.org/officeDocument/2006/relationships/image" Target="media/image731.png"/><Relationship Id="rId1142" Type="http://schemas.openxmlformats.org/officeDocument/2006/relationships/image" Target="media/image877.png"/><Relationship Id="rId86" Type="http://schemas.openxmlformats.org/officeDocument/2006/relationships/image" Target="media/image51.png"/><Relationship Id="rId151" Type="http://schemas.openxmlformats.org/officeDocument/2006/relationships/hyperlink" Target="https://available.76/" TargetMode="External"/><Relationship Id="rId389" Type="http://schemas.openxmlformats.org/officeDocument/2006/relationships/image" Target="media/image283.png"/><Relationship Id="rId596" Type="http://schemas.openxmlformats.org/officeDocument/2006/relationships/image" Target="media/image454.png"/><Relationship Id="rId817" Type="http://schemas.openxmlformats.org/officeDocument/2006/relationships/image" Target="media/image625.png"/><Relationship Id="rId1002" Type="http://schemas.openxmlformats.org/officeDocument/2006/relationships/image" Target="media/image763.png"/><Relationship Id="rId249" Type="http://schemas.openxmlformats.org/officeDocument/2006/relationships/image" Target="media/image155.png"/><Relationship Id="rId456" Type="http://schemas.openxmlformats.org/officeDocument/2006/relationships/header" Target="header31.xml"/><Relationship Id="rId663" Type="http://schemas.openxmlformats.org/officeDocument/2006/relationships/header" Target="header51.xml"/><Relationship Id="rId870" Type="http://schemas.openxmlformats.org/officeDocument/2006/relationships/image" Target="media/image668.png"/><Relationship Id="rId1086" Type="http://schemas.openxmlformats.org/officeDocument/2006/relationships/image" Target="media/image827.png"/><Relationship Id="rId1293" Type="http://schemas.openxmlformats.org/officeDocument/2006/relationships/image" Target="media/image1010.png"/><Relationship Id="rId1307" Type="http://schemas.openxmlformats.org/officeDocument/2006/relationships/image" Target="media/image1020.png"/><Relationship Id="rId13" Type="http://schemas.openxmlformats.org/officeDocument/2006/relationships/header" Target="header4.xml"/><Relationship Id="rId109" Type="http://schemas.openxmlformats.org/officeDocument/2006/relationships/image" Target="media/image61.png"/><Relationship Id="rId316" Type="http://schemas.openxmlformats.org/officeDocument/2006/relationships/image" Target="media/image218.png"/><Relationship Id="rId523" Type="http://schemas.openxmlformats.org/officeDocument/2006/relationships/image" Target="media/image393.png"/><Relationship Id="rId968" Type="http://schemas.openxmlformats.org/officeDocument/2006/relationships/image" Target="media/image740.png"/><Relationship Id="rId1153" Type="http://schemas.openxmlformats.org/officeDocument/2006/relationships/image" Target="media/image888.png"/><Relationship Id="rId97" Type="http://schemas.openxmlformats.org/officeDocument/2006/relationships/hyperlink" Target="https://avoided.23/" TargetMode="External"/><Relationship Id="rId730" Type="http://schemas.openxmlformats.org/officeDocument/2006/relationships/image" Target="media/image557.png"/><Relationship Id="rId828" Type="http://schemas.openxmlformats.org/officeDocument/2006/relationships/header" Target="header69.xml"/><Relationship Id="rId1013" Type="http://schemas.openxmlformats.org/officeDocument/2006/relationships/image" Target="media/image772.png"/><Relationship Id="rId1360" Type="http://schemas.openxmlformats.org/officeDocument/2006/relationships/image" Target="media/image1059.png"/><Relationship Id="rId162" Type="http://schemas.openxmlformats.org/officeDocument/2006/relationships/hyperlink" Target="https://www.oed.com/view/Entry/185182" TargetMode="External"/><Relationship Id="rId467" Type="http://schemas.openxmlformats.org/officeDocument/2006/relationships/image" Target="media/image347.png"/><Relationship Id="rId1097" Type="http://schemas.openxmlformats.org/officeDocument/2006/relationships/image" Target="media/image838.png"/><Relationship Id="rId1220" Type="http://schemas.openxmlformats.org/officeDocument/2006/relationships/footer" Target="footer103.xml"/><Relationship Id="rId1318" Type="http://schemas.openxmlformats.org/officeDocument/2006/relationships/image" Target="media/image1031.png"/><Relationship Id="rId674" Type="http://schemas.openxmlformats.org/officeDocument/2006/relationships/image" Target="media/image512.png"/><Relationship Id="rId881" Type="http://schemas.openxmlformats.org/officeDocument/2006/relationships/image" Target="media/image679.png"/><Relationship Id="rId979" Type="http://schemas.openxmlformats.org/officeDocument/2006/relationships/header" Target="header86.xml"/><Relationship Id="rId24" Type="http://schemas.openxmlformats.org/officeDocument/2006/relationships/image" Target="media/image2.png"/><Relationship Id="rId327" Type="http://schemas.openxmlformats.org/officeDocument/2006/relationships/image" Target="media/image225.png"/><Relationship Id="rId534" Type="http://schemas.openxmlformats.org/officeDocument/2006/relationships/image" Target="media/image402.png"/><Relationship Id="rId741" Type="http://schemas.openxmlformats.org/officeDocument/2006/relationships/image" Target="media/image567.png"/><Relationship Id="rId839" Type="http://schemas.openxmlformats.org/officeDocument/2006/relationships/image" Target="media/image639.png"/><Relationship Id="rId1164" Type="http://schemas.openxmlformats.org/officeDocument/2006/relationships/image" Target="media/image897.png"/><Relationship Id="rId1371" Type="http://schemas.openxmlformats.org/officeDocument/2006/relationships/image" Target="media/image1068.png"/><Relationship Id="rId173" Type="http://schemas.openxmlformats.org/officeDocument/2006/relationships/image" Target="media/image92.png"/><Relationship Id="rId380" Type="http://schemas.openxmlformats.org/officeDocument/2006/relationships/image" Target="media/image276.png"/><Relationship Id="rId601" Type="http://schemas.openxmlformats.org/officeDocument/2006/relationships/image" Target="media/image459.png"/><Relationship Id="rId1024" Type="http://schemas.openxmlformats.org/officeDocument/2006/relationships/hyperlink" Target="https://7.94-7.95/" TargetMode="External"/><Relationship Id="rId1231" Type="http://schemas.openxmlformats.org/officeDocument/2006/relationships/image" Target="media/image950.png"/><Relationship Id="rId240" Type="http://schemas.openxmlformats.org/officeDocument/2006/relationships/image" Target="media/image146.png"/><Relationship Id="rId478" Type="http://schemas.openxmlformats.org/officeDocument/2006/relationships/image" Target="media/image356.png"/><Relationship Id="rId685" Type="http://schemas.openxmlformats.org/officeDocument/2006/relationships/header" Target="header53.xml"/><Relationship Id="rId892" Type="http://schemas.openxmlformats.org/officeDocument/2006/relationships/image" Target="media/image688.png"/><Relationship Id="rId906" Type="http://schemas.openxmlformats.org/officeDocument/2006/relationships/footer" Target="footer74.xml"/><Relationship Id="rId1329" Type="http://schemas.openxmlformats.org/officeDocument/2006/relationships/image" Target="media/image1038.png"/><Relationship Id="rId35" Type="http://schemas.openxmlformats.org/officeDocument/2006/relationships/image" Target="media/image9.png"/><Relationship Id="rId100" Type="http://schemas.openxmlformats.org/officeDocument/2006/relationships/image" Target="media/image56.png"/><Relationship Id="rId338" Type="http://schemas.openxmlformats.org/officeDocument/2006/relationships/image" Target="media/image236.png"/><Relationship Id="rId545" Type="http://schemas.openxmlformats.org/officeDocument/2006/relationships/image" Target="media/image411.png"/><Relationship Id="rId752" Type="http://schemas.openxmlformats.org/officeDocument/2006/relationships/image" Target="media/image576.png"/><Relationship Id="rId1175" Type="http://schemas.openxmlformats.org/officeDocument/2006/relationships/image" Target="media/image906.png"/><Relationship Id="rId1382" Type="http://schemas.openxmlformats.org/officeDocument/2006/relationships/image" Target="media/image1077.png"/><Relationship Id="rId184" Type="http://schemas.openxmlformats.org/officeDocument/2006/relationships/image" Target="media/image98.png"/><Relationship Id="rId391" Type="http://schemas.openxmlformats.org/officeDocument/2006/relationships/header" Target="header25.xml"/><Relationship Id="rId405" Type="http://schemas.openxmlformats.org/officeDocument/2006/relationships/image" Target="media/image293.png"/><Relationship Id="rId612" Type="http://schemas.openxmlformats.org/officeDocument/2006/relationships/footer" Target="footer44.xml"/><Relationship Id="rId1035" Type="http://schemas.openxmlformats.org/officeDocument/2006/relationships/image" Target="media/image783.png"/><Relationship Id="rId1242" Type="http://schemas.openxmlformats.org/officeDocument/2006/relationships/image" Target="media/image961.png"/><Relationship Id="rId251" Type="http://schemas.openxmlformats.org/officeDocument/2006/relationships/image" Target="media/image157.png"/><Relationship Id="rId489" Type="http://schemas.openxmlformats.org/officeDocument/2006/relationships/image" Target="media/image363.png"/><Relationship Id="rId696" Type="http://schemas.openxmlformats.org/officeDocument/2006/relationships/image" Target="media/image528.png"/><Relationship Id="rId917" Type="http://schemas.openxmlformats.org/officeDocument/2006/relationships/header" Target="header76.xml"/><Relationship Id="rId1102" Type="http://schemas.openxmlformats.org/officeDocument/2006/relationships/image" Target="media/image843.png"/><Relationship Id="rId46" Type="http://schemas.openxmlformats.org/officeDocument/2006/relationships/image" Target="media/image18.png"/><Relationship Id="rId349" Type="http://schemas.openxmlformats.org/officeDocument/2006/relationships/image" Target="media/image247.png"/><Relationship Id="rId556" Type="http://schemas.openxmlformats.org/officeDocument/2006/relationships/image" Target="media/image420.png"/><Relationship Id="rId763" Type="http://schemas.openxmlformats.org/officeDocument/2006/relationships/header" Target="header61.xml"/><Relationship Id="rId1186" Type="http://schemas.openxmlformats.org/officeDocument/2006/relationships/image" Target="media/image917.png"/><Relationship Id="rId1393" Type="http://schemas.openxmlformats.org/officeDocument/2006/relationships/image" Target="media/image1088.png"/><Relationship Id="rId1407" Type="http://schemas.openxmlformats.org/officeDocument/2006/relationships/image" Target="media/image1102.png"/><Relationship Id="rId111" Type="http://schemas.openxmlformats.org/officeDocument/2006/relationships/hyperlink" Target="https://applied.38/" TargetMode="External"/><Relationship Id="rId195" Type="http://schemas.openxmlformats.org/officeDocument/2006/relationships/header" Target="header16.xml"/><Relationship Id="rId209" Type="http://schemas.openxmlformats.org/officeDocument/2006/relationships/image" Target="media/image119.png"/><Relationship Id="rId416" Type="http://schemas.openxmlformats.org/officeDocument/2006/relationships/image" Target="media/image300.png"/><Relationship Id="rId970" Type="http://schemas.openxmlformats.org/officeDocument/2006/relationships/image" Target="media/image742.png"/><Relationship Id="rId1046" Type="http://schemas.openxmlformats.org/officeDocument/2006/relationships/image" Target="media/image793.png"/><Relationship Id="rId1253" Type="http://schemas.openxmlformats.org/officeDocument/2006/relationships/image" Target="media/image972.png"/><Relationship Id="rId623" Type="http://schemas.openxmlformats.org/officeDocument/2006/relationships/image" Target="media/image475.png"/><Relationship Id="rId830" Type="http://schemas.openxmlformats.org/officeDocument/2006/relationships/image" Target="media/image632.png"/><Relationship Id="rId928" Type="http://schemas.openxmlformats.org/officeDocument/2006/relationships/image" Target="media/image714.png"/><Relationship Id="rId57" Type="http://schemas.openxmlformats.org/officeDocument/2006/relationships/image" Target="media/image29.png"/><Relationship Id="rId262" Type="http://schemas.openxmlformats.org/officeDocument/2006/relationships/image" Target="media/image168.png"/><Relationship Id="rId567" Type="http://schemas.openxmlformats.org/officeDocument/2006/relationships/image" Target="media/image429.png"/><Relationship Id="rId1113" Type="http://schemas.openxmlformats.org/officeDocument/2006/relationships/image" Target="media/image854.png"/><Relationship Id="rId1197" Type="http://schemas.openxmlformats.org/officeDocument/2006/relationships/header" Target="header100.xml"/><Relationship Id="rId1320" Type="http://schemas.openxmlformats.org/officeDocument/2006/relationships/footer" Target="footer107.xml"/><Relationship Id="rId1418" Type="http://schemas.openxmlformats.org/officeDocument/2006/relationships/header" Target="header116.xml"/><Relationship Id="rId122" Type="http://schemas.openxmlformats.org/officeDocument/2006/relationships/image" Target="media/image70.png"/><Relationship Id="rId774" Type="http://schemas.openxmlformats.org/officeDocument/2006/relationships/image" Target="media/image590.png"/><Relationship Id="rId981" Type="http://schemas.openxmlformats.org/officeDocument/2006/relationships/header" Target="header87.xml"/><Relationship Id="rId1057" Type="http://schemas.openxmlformats.org/officeDocument/2006/relationships/image" Target="media/image804.png"/><Relationship Id="rId427" Type="http://schemas.openxmlformats.org/officeDocument/2006/relationships/image" Target="media/image311.png"/><Relationship Id="rId634" Type="http://schemas.openxmlformats.org/officeDocument/2006/relationships/image" Target="media/image484.png"/><Relationship Id="rId841" Type="http://schemas.openxmlformats.org/officeDocument/2006/relationships/image" Target="media/image641.png"/><Relationship Id="rId1264" Type="http://schemas.openxmlformats.org/officeDocument/2006/relationships/image" Target="media/image981.png"/><Relationship Id="rId273" Type="http://schemas.openxmlformats.org/officeDocument/2006/relationships/image" Target="media/image179.png"/><Relationship Id="rId480" Type="http://schemas.openxmlformats.org/officeDocument/2006/relationships/header" Target="header33.xml"/><Relationship Id="rId701" Type="http://schemas.openxmlformats.org/officeDocument/2006/relationships/image" Target="media/image533.png"/><Relationship Id="rId939" Type="http://schemas.openxmlformats.org/officeDocument/2006/relationships/footer" Target="footer79.xml"/><Relationship Id="rId1124" Type="http://schemas.openxmlformats.org/officeDocument/2006/relationships/image" Target="media/image861.png"/><Relationship Id="rId1331" Type="http://schemas.openxmlformats.org/officeDocument/2006/relationships/image" Target="media/image1040.png"/><Relationship Id="rId68" Type="http://schemas.openxmlformats.org/officeDocument/2006/relationships/image" Target="media/image38.png"/><Relationship Id="rId133" Type="http://schemas.openxmlformats.org/officeDocument/2006/relationships/hyperlink" Target="https://www.oed.com/view/Entry/9873" TargetMode="External"/><Relationship Id="rId340" Type="http://schemas.openxmlformats.org/officeDocument/2006/relationships/image" Target="media/image238.png"/><Relationship Id="rId578" Type="http://schemas.openxmlformats.org/officeDocument/2006/relationships/image" Target="media/image440.png"/><Relationship Id="rId785" Type="http://schemas.openxmlformats.org/officeDocument/2006/relationships/image" Target="media/image599.png"/><Relationship Id="rId992" Type="http://schemas.openxmlformats.org/officeDocument/2006/relationships/image" Target="media/image755.png"/><Relationship Id="rId1429" Type="http://schemas.openxmlformats.org/officeDocument/2006/relationships/image" Target="media/image1122.png"/><Relationship Id="rId200" Type="http://schemas.openxmlformats.org/officeDocument/2006/relationships/image" Target="media/image110.png"/><Relationship Id="rId438" Type="http://schemas.openxmlformats.org/officeDocument/2006/relationships/image" Target="media/image322.png"/><Relationship Id="rId645" Type="http://schemas.openxmlformats.org/officeDocument/2006/relationships/image" Target="media/image493.png"/><Relationship Id="rId852" Type="http://schemas.openxmlformats.org/officeDocument/2006/relationships/image" Target="media/image650.png"/><Relationship Id="rId1068" Type="http://schemas.openxmlformats.org/officeDocument/2006/relationships/image" Target="media/image813.png"/><Relationship Id="rId1275" Type="http://schemas.openxmlformats.org/officeDocument/2006/relationships/image" Target="media/image992.png"/><Relationship Id="rId284" Type="http://schemas.openxmlformats.org/officeDocument/2006/relationships/image" Target="media/image190.png"/><Relationship Id="rId491" Type="http://schemas.openxmlformats.org/officeDocument/2006/relationships/image" Target="media/image365.png"/><Relationship Id="rId505" Type="http://schemas.openxmlformats.org/officeDocument/2006/relationships/header" Target="header35.xml"/><Relationship Id="rId712" Type="http://schemas.openxmlformats.org/officeDocument/2006/relationships/image" Target="media/image543.png"/><Relationship Id="rId1135" Type="http://schemas.openxmlformats.org/officeDocument/2006/relationships/image" Target="media/image870.png"/><Relationship Id="rId1342" Type="http://schemas.openxmlformats.org/officeDocument/2006/relationships/image" Target="media/image1047.png"/><Relationship Id="rId79" Type="http://schemas.openxmlformats.org/officeDocument/2006/relationships/image" Target="media/image46.png"/><Relationship Id="rId144" Type="http://schemas.openxmlformats.org/officeDocument/2006/relationships/image" Target="media/image80.png"/><Relationship Id="rId589" Type="http://schemas.openxmlformats.org/officeDocument/2006/relationships/image" Target="media/image447.png"/><Relationship Id="rId796" Type="http://schemas.openxmlformats.org/officeDocument/2006/relationships/image" Target="media/image608.png"/><Relationship Id="rId1202" Type="http://schemas.openxmlformats.org/officeDocument/2006/relationships/image" Target="media/image929.png"/><Relationship Id="rId351" Type="http://schemas.openxmlformats.org/officeDocument/2006/relationships/image" Target="media/image249.png"/><Relationship Id="rId449" Type="http://schemas.openxmlformats.org/officeDocument/2006/relationships/image" Target="media/image331.png"/><Relationship Id="rId656" Type="http://schemas.openxmlformats.org/officeDocument/2006/relationships/image" Target="media/image500.png"/><Relationship Id="rId863" Type="http://schemas.openxmlformats.org/officeDocument/2006/relationships/image" Target="media/image661.png"/><Relationship Id="rId1079" Type="http://schemas.openxmlformats.org/officeDocument/2006/relationships/header" Target="header93.xml"/><Relationship Id="rId1286" Type="http://schemas.openxmlformats.org/officeDocument/2006/relationships/image" Target="media/image1003.png"/><Relationship Id="rId211" Type="http://schemas.openxmlformats.org/officeDocument/2006/relationships/footer" Target="footer17.xml"/><Relationship Id="rId295" Type="http://schemas.openxmlformats.org/officeDocument/2006/relationships/image" Target="media/image201.png"/><Relationship Id="rId309" Type="http://schemas.openxmlformats.org/officeDocument/2006/relationships/image" Target="media/image213.png"/><Relationship Id="rId516" Type="http://schemas.openxmlformats.org/officeDocument/2006/relationships/image" Target="media/image386.png"/><Relationship Id="rId1146" Type="http://schemas.openxmlformats.org/officeDocument/2006/relationships/image" Target="media/image881.png"/><Relationship Id="rId723" Type="http://schemas.openxmlformats.org/officeDocument/2006/relationships/footer" Target="footer56.xml"/><Relationship Id="rId930" Type="http://schemas.openxmlformats.org/officeDocument/2006/relationships/footer" Target="footer78.xml"/><Relationship Id="rId1006" Type="http://schemas.openxmlformats.org/officeDocument/2006/relationships/image" Target="media/image767.png"/><Relationship Id="rId1353" Type="http://schemas.openxmlformats.org/officeDocument/2006/relationships/image" Target="media/image1054.png"/><Relationship Id="rId155" Type="http://schemas.openxmlformats.org/officeDocument/2006/relationships/hyperlink" Target="https://submitted.79/" TargetMode="External"/><Relationship Id="rId362" Type="http://schemas.openxmlformats.org/officeDocument/2006/relationships/image" Target="media/image260.png"/><Relationship Id="rId1213" Type="http://schemas.openxmlformats.org/officeDocument/2006/relationships/footer" Target="footer102.xml"/><Relationship Id="rId1297" Type="http://schemas.openxmlformats.org/officeDocument/2006/relationships/image" Target="media/image1012.png"/><Relationship Id="rId1420" Type="http://schemas.openxmlformats.org/officeDocument/2006/relationships/image" Target="media/image1113.png"/><Relationship Id="rId222" Type="http://schemas.openxmlformats.org/officeDocument/2006/relationships/header" Target="header18.xml"/><Relationship Id="rId667" Type="http://schemas.openxmlformats.org/officeDocument/2006/relationships/image" Target="media/image507.png"/><Relationship Id="rId874" Type="http://schemas.openxmlformats.org/officeDocument/2006/relationships/image" Target="media/image672.png"/><Relationship Id="rId17" Type="http://schemas.openxmlformats.org/officeDocument/2006/relationships/header" Target="header6.xml"/><Relationship Id="rId527" Type="http://schemas.openxmlformats.org/officeDocument/2006/relationships/image" Target="media/image397.png"/><Relationship Id="rId734" Type="http://schemas.openxmlformats.org/officeDocument/2006/relationships/image" Target="media/image561.png"/><Relationship Id="rId941" Type="http://schemas.openxmlformats.org/officeDocument/2006/relationships/header" Target="header80.xml"/><Relationship Id="rId1157" Type="http://schemas.openxmlformats.org/officeDocument/2006/relationships/image" Target="media/image892.png"/><Relationship Id="rId1364" Type="http://schemas.openxmlformats.org/officeDocument/2006/relationships/image" Target="media/image1061.png"/><Relationship Id="rId70" Type="http://schemas.openxmlformats.org/officeDocument/2006/relationships/image" Target="media/image40.png"/><Relationship Id="rId166" Type="http://schemas.openxmlformats.org/officeDocument/2006/relationships/hyperlink" Target="https://relevant.84/" TargetMode="External"/><Relationship Id="rId373" Type="http://schemas.openxmlformats.org/officeDocument/2006/relationships/image" Target="media/image271.png"/><Relationship Id="rId580" Type="http://schemas.openxmlformats.org/officeDocument/2006/relationships/image" Target="media/image442.png"/><Relationship Id="rId801" Type="http://schemas.openxmlformats.org/officeDocument/2006/relationships/image" Target="media/image611.png"/><Relationship Id="rId1017" Type="http://schemas.openxmlformats.org/officeDocument/2006/relationships/footer" Target="footer91.xml"/><Relationship Id="rId1224" Type="http://schemas.openxmlformats.org/officeDocument/2006/relationships/header" Target="header104.xml"/><Relationship Id="rId1431" Type="http://schemas.openxmlformats.org/officeDocument/2006/relationships/header" Target="header117.xml"/><Relationship Id="rId1" Type="http://schemas.openxmlformats.org/officeDocument/2006/relationships/numbering" Target="numbering.xml"/><Relationship Id="rId233" Type="http://schemas.openxmlformats.org/officeDocument/2006/relationships/image" Target="media/image139.png"/><Relationship Id="rId440" Type="http://schemas.openxmlformats.org/officeDocument/2006/relationships/image" Target="media/image324.png"/><Relationship Id="rId678" Type="http://schemas.openxmlformats.org/officeDocument/2006/relationships/image" Target="media/image516.png"/><Relationship Id="rId885" Type="http://schemas.openxmlformats.org/officeDocument/2006/relationships/header" Target="header72.xml"/><Relationship Id="rId1070" Type="http://schemas.openxmlformats.org/officeDocument/2006/relationships/image" Target="media/image815.png"/><Relationship Id="rId28" Type="http://schemas.openxmlformats.org/officeDocument/2006/relationships/image" Target="media/image4.png"/><Relationship Id="rId300" Type="http://schemas.openxmlformats.org/officeDocument/2006/relationships/image" Target="media/image206.png"/><Relationship Id="rId538" Type="http://schemas.openxmlformats.org/officeDocument/2006/relationships/image" Target="media/image404.png"/><Relationship Id="rId745" Type="http://schemas.openxmlformats.org/officeDocument/2006/relationships/header" Target="header58.xml"/><Relationship Id="rId952" Type="http://schemas.openxmlformats.org/officeDocument/2006/relationships/image" Target="media/image728.png"/><Relationship Id="rId1168" Type="http://schemas.openxmlformats.org/officeDocument/2006/relationships/image" Target="media/image899.png"/><Relationship Id="rId1375" Type="http://schemas.openxmlformats.org/officeDocument/2006/relationships/image" Target="media/image1072.png"/><Relationship Id="rId81" Type="http://schemas.openxmlformats.org/officeDocument/2006/relationships/header" Target="header13.xml"/><Relationship Id="rId177" Type="http://schemas.openxmlformats.org/officeDocument/2006/relationships/image" Target="media/image94.png"/><Relationship Id="rId384" Type="http://schemas.openxmlformats.org/officeDocument/2006/relationships/image" Target="media/image278.png"/><Relationship Id="rId591" Type="http://schemas.openxmlformats.org/officeDocument/2006/relationships/image" Target="media/image449.png"/><Relationship Id="rId605" Type="http://schemas.openxmlformats.org/officeDocument/2006/relationships/image" Target="media/image461.png"/><Relationship Id="rId812" Type="http://schemas.openxmlformats.org/officeDocument/2006/relationships/image" Target="media/image622.png"/><Relationship Id="rId1028" Type="http://schemas.openxmlformats.org/officeDocument/2006/relationships/hyperlink" Target="https://7.60-7.62/" TargetMode="External"/><Relationship Id="rId1235" Type="http://schemas.openxmlformats.org/officeDocument/2006/relationships/image" Target="media/image954.png"/><Relationship Id="rId1442" Type="http://schemas.openxmlformats.org/officeDocument/2006/relationships/header" Target="header119.xml"/><Relationship Id="rId244" Type="http://schemas.openxmlformats.org/officeDocument/2006/relationships/image" Target="media/image150.png"/><Relationship Id="rId689" Type="http://schemas.openxmlformats.org/officeDocument/2006/relationships/image" Target="media/image523.png"/><Relationship Id="rId896" Type="http://schemas.openxmlformats.org/officeDocument/2006/relationships/image" Target="media/image690.png"/><Relationship Id="rId1081" Type="http://schemas.openxmlformats.org/officeDocument/2006/relationships/image" Target="media/image822.png"/><Relationship Id="rId1302" Type="http://schemas.openxmlformats.org/officeDocument/2006/relationships/footer" Target="footer106.xml"/><Relationship Id="rId39" Type="http://schemas.openxmlformats.org/officeDocument/2006/relationships/footer" Target="footer11.xml"/><Relationship Id="rId451" Type="http://schemas.openxmlformats.org/officeDocument/2006/relationships/image" Target="media/image333.png"/><Relationship Id="rId549" Type="http://schemas.openxmlformats.org/officeDocument/2006/relationships/header" Target="header39.xml"/><Relationship Id="rId756" Type="http://schemas.openxmlformats.org/officeDocument/2006/relationships/image" Target="media/image578.png"/><Relationship Id="rId1179" Type="http://schemas.openxmlformats.org/officeDocument/2006/relationships/image" Target="media/image910.png"/><Relationship Id="rId1386" Type="http://schemas.openxmlformats.org/officeDocument/2006/relationships/image" Target="media/image1081.png"/><Relationship Id="rId50" Type="http://schemas.openxmlformats.org/officeDocument/2006/relationships/image" Target="media/image22.png"/><Relationship Id="rId104" Type="http://schemas.openxmlformats.org/officeDocument/2006/relationships/hyperlink" Target="https://available.31/" TargetMode="External"/><Relationship Id="rId146" Type="http://schemas.openxmlformats.org/officeDocument/2006/relationships/image" Target="media/image82.png"/><Relationship Id="rId188" Type="http://schemas.openxmlformats.org/officeDocument/2006/relationships/image" Target="media/image102.png"/><Relationship Id="rId311" Type="http://schemas.openxmlformats.org/officeDocument/2006/relationships/footer" Target="footer20.xml"/><Relationship Id="rId353" Type="http://schemas.openxmlformats.org/officeDocument/2006/relationships/image" Target="media/image251.png"/><Relationship Id="rId395" Type="http://schemas.openxmlformats.org/officeDocument/2006/relationships/image" Target="media/image287.png"/><Relationship Id="rId409" Type="http://schemas.openxmlformats.org/officeDocument/2006/relationships/image" Target="media/image295.png"/><Relationship Id="rId560" Type="http://schemas.openxmlformats.org/officeDocument/2006/relationships/header" Target="header40.xml"/><Relationship Id="rId798" Type="http://schemas.openxmlformats.org/officeDocument/2006/relationships/footer" Target="footer65.xml"/><Relationship Id="rId963" Type="http://schemas.openxmlformats.org/officeDocument/2006/relationships/image" Target="media/image737.png"/><Relationship Id="rId1039" Type="http://schemas.openxmlformats.org/officeDocument/2006/relationships/hyperlink" Target="https://7.37-7.39/" TargetMode="External"/><Relationship Id="rId1190" Type="http://schemas.openxmlformats.org/officeDocument/2006/relationships/image" Target="media/image921.png"/><Relationship Id="rId1204" Type="http://schemas.openxmlformats.org/officeDocument/2006/relationships/image" Target="media/image931.png"/><Relationship Id="rId1246" Type="http://schemas.openxmlformats.org/officeDocument/2006/relationships/image" Target="media/image965.png"/><Relationship Id="rId1411" Type="http://schemas.openxmlformats.org/officeDocument/2006/relationships/image" Target="media/image1106.png"/><Relationship Id="rId92" Type="http://schemas.openxmlformats.org/officeDocument/2006/relationships/hyperlink" Target="https://parties.18/" TargetMode="External"/><Relationship Id="rId213" Type="http://schemas.openxmlformats.org/officeDocument/2006/relationships/image" Target="media/image121.png"/><Relationship Id="rId420" Type="http://schemas.openxmlformats.org/officeDocument/2006/relationships/image" Target="media/image304.png"/><Relationship Id="rId616" Type="http://schemas.openxmlformats.org/officeDocument/2006/relationships/image" Target="media/image470.png"/><Relationship Id="rId658" Type="http://schemas.openxmlformats.org/officeDocument/2006/relationships/header" Target="header50.xml"/><Relationship Id="rId823" Type="http://schemas.openxmlformats.org/officeDocument/2006/relationships/footer" Target="footer68.xml"/><Relationship Id="rId865" Type="http://schemas.openxmlformats.org/officeDocument/2006/relationships/image" Target="media/image663.png"/><Relationship Id="rId1050" Type="http://schemas.openxmlformats.org/officeDocument/2006/relationships/image" Target="media/image797.png"/><Relationship Id="rId1288" Type="http://schemas.openxmlformats.org/officeDocument/2006/relationships/image" Target="media/image1005.png"/><Relationship Id="rId255" Type="http://schemas.openxmlformats.org/officeDocument/2006/relationships/image" Target="media/image161.png"/><Relationship Id="rId297" Type="http://schemas.openxmlformats.org/officeDocument/2006/relationships/image" Target="media/image203.png"/><Relationship Id="rId462" Type="http://schemas.openxmlformats.org/officeDocument/2006/relationships/image" Target="media/image342.png"/><Relationship Id="rId518" Type="http://schemas.openxmlformats.org/officeDocument/2006/relationships/image" Target="media/image388.png"/><Relationship Id="rId725" Type="http://schemas.openxmlformats.org/officeDocument/2006/relationships/image" Target="media/image554.png"/><Relationship Id="rId932" Type="http://schemas.openxmlformats.org/officeDocument/2006/relationships/image" Target="media/image716.png"/><Relationship Id="rId1092" Type="http://schemas.openxmlformats.org/officeDocument/2006/relationships/image" Target="media/image833.png"/><Relationship Id="rId1106" Type="http://schemas.openxmlformats.org/officeDocument/2006/relationships/image" Target="media/image847.png"/><Relationship Id="rId1148" Type="http://schemas.openxmlformats.org/officeDocument/2006/relationships/image" Target="media/image883.png"/><Relationship Id="rId1313" Type="http://schemas.openxmlformats.org/officeDocument/2006/relationships/image" Target="media/image1026.png"/><Relationship Id="rId1355" Type="http://schemas.openxmlformats.org/officeDocument/2006/relationships/header" Target="header113.xml"/><Relationship Id="rId1397" Type="http://schemas.openxmlformats.org/officeDocument/2006/relationships/image" Target="media/image1092.png"/><Relationship Id="rId115" Type="http://schemas.openxmlformats.org/officeDocument/2006/relationships/hyperlink" Target="https://required.41/" TargetMode="External"/><Relationship Id="rId157" Type="http://schemas.openxmlformats.org/officeDocument/2006/relationships/hyperlink" Target="https://www.oed.com/view/Entry/159068" TargetMode="External"/><Relationship Id="rId322" Type="http://schemas.openxmlformats.org/officeDocument/2006/relationships/footer" Target="footer21.xml"/><Relationship Id="rId364" Type="http://schemas.openxmlformats.org/officeDocument/2006/relationships/image" Target="media/image262.png"/><Relationship Id="rId767" Type="http://schemas.openxmlformats.org/officeDocument/2006/relationships/header" Target="header62.xml"/><Relationship Id="rId974" Type="http://schemas.openxmlformats.org/officeDocument/2006/relationships/image" Target="media/image744.png"/><Relationship Id="rId1008" Type="http://schemas.openxmlformats.org/officeDocument/2006/relationships/image" Target="media/image769.png"/><Relationship Id="rId1215" Type="http://schemas.openxmlformats.org/officeDocument/2006/relationships/image" Target="media/image938.png"/><Relationship Id="rId1422" Type="http://schemas.openxmlformats.org/officeDocument/2006/relationships/image" Target="media/image1115.png"/><Relationship Id="rId61" Type="http://schemas.openxmlformats.org/officeDocument/2006/relationships/hyperlink" Target="https://Agreement.11/" TargetMode="External"/><Relationship Id="rId199" Type="http://schemas.openxmlformats.org/officeDocument/2006/relationships/image" Target="media/image109.png"/><Relationship Id="rId571" Type="http://schemas.openxmlformats.org/officeDocument/2006/relationships/image" Target="media/image433.png"/><Relationship Id="rId627" Type="http://schemas.openxmlformats.org/officeDocument/2006/relationships/image" Target="media/image477.png"/><Relationship Id="rId669" Type="http://schemas.openxmlformats.org/officeDocument/2006/relationships/image" Target="media/image509.png"/><Relationship Id="rId834" Type="http://schemas.openxmlformats.org/officeDocument/2006/relationships/image" Target="media/image636.png"/><Relationship Id="rId876" Type="http://schemas.openxmlformats.org/officeDocument/2006/relationships/image" Target="media/image674.png"/><Relationship Id="rId1257" Type="http://schemas.openxmlformats.org/officeDocument/2006/relationships/image" Target="media/image974.png"/><Relationship Id="rId1299" Type="http://schemas.openxmlformats.org/officeDocument/2006/relationships/image" Target="media/image1014.png"/><Relationship Id="rId19" Type="http://schemas.openxmlformats.org/officeDocument/2006/relationships/image" Target="media/image1.png"/><Relationship Id="rId224" Type="http://schemas.openxmlformats.org/officeDocument/2006/relationships/image" Target="media/image130.png"/><Relationship Id="rId266" Type="http://schemas.openxmlformats.org/officeDocument/2006/relationships/image" Target="media/image172.png"/><Relationship Id="rId431" Type="http://schemas.openxmlformats.org/officeDocument/2006/relationships/image" Target="media/image315.png"/><Relationship Id="rId473" Type="http://schemas.openxmlformats.org/officeDocument/2006/relationships/header" Target="header32.xml"/><Relationship Id="rId529" Type="http://schemas.openxmlformats.org/officeDocument/2006/relationships/image" Target="media/image399.png"/><Relationship Id="rId680" Type="http://schemas.openxmlformats.org/officeDocument/2006/relationships/image" Target="media/image518.png"/><Relationship Id="rId736" Type="http://schemas.openxmlformats.org/officeDocument/2006/relationships/image" Target="media/image563.png"/><Relationship Id="rId901" Type="http://schemas.openxmlformats.org/officeDocument/2006/relationships/image" Target="media/image695.png"/><Relationship Id="rId1061" Type="http://schemas.openxmlformats.org/officeDocument/2006/relationships/hyperlink" Target="https://8.35-8.36/" TargetMode="External"/><Relationship Id="rId1117" Type="http://schemas.openxmlformats.org/officeDocument/2006/relationships/image" Target="media/image858.png"/><Relationship Id="rId1159" Type="http://schemas.openxmlformats.org/officeDocument/2006/relationships/image" Target="media/image894.png"/><Relationship Id="rId1324" Type="http://schemas.openxmlformats.org/officeDocument/2006/relationships/footer" Target="footer108.xml"/><Relationship Id="rId1366" Type="http://schemas.openxmlformats.org/officeDocument/2006/relationships/image" Target="media/image1063.png"/><Relationship Id="rId30" Type="http://schemas.openxmlformats.org/officeDocument/2006/relationships/image" Target="media/image6.png"/><Relationship Id="rId126" Type="http://schemas.openxmlformats.org/officeDocument/2006/relationships/image" Target="media/image72.png"/><Relationship Id="rId168" Type="http://schemas.openxmlformats.org/officeDocument/2006/relationships/hyperlink" Target="https://caution.87/" TargetMode="External"/><Relationship Id="rId333" Type="http://schemas.openxmlformats.org/officeDocument/2006/relationships/image" Target="media/image231.png"/><Relationship Id="rId540" Type="http://schemas.openxmlformats.org/officeDocument/2006/relationships/image" Target="media/image406.png"/><Relationship Id="rId778" Type="http://schemas.openxmlformats.org/officeDocument/2006/relationships/image" Target="media/image594.png"/><Relationship Id="rId943" Type="http://schemas.openxmlformats.org/officeDocument/2006/relationships/image" Target="media/image723.png"/><Relationship Id="rId985" Type="http://schemas.openxmlformats.org/officeDocument/2006/relationships/image" Target="media/image751.png"/><Relationship Id="rId1019" Type="http://schemas.openxmlformats.org/officeDocument/2006/relationships/image" Target="media/image776.png"/><Relationship Id="rId1170" Type="http://schemas.openxmlformats.org/officeDocument/2006/relationships/image" Target="media/image901.png"/><Relationship Id="rId72" Type="http://schemas.openxmlformats.org/officeDocument/2006/relationships/hyperlink" Target="https://authorities.13/" TargetMode="External"/><Relationship Id="rId375" Type="http://schemas.openxmlformats.org/officeDocument/2006/relationships/image" Target="media/image273.png"/><Relationship Id="rId582" Type="http://schemas.openxmlformats.org/officeDocument/2006/relationships/footer" Target="footer41.xml"/><Relationship Id="rId638" Type="http://schemas.openxmlformats.org/officeDocument/2006/relationships/image" Target="media/image488.png"/><Relationship Id="rId803" Type="http://schemas.openxmlformats.org/officeDocument/2006/relationships/image" Target="media/image613.png"/><Relationship Id="rId845" Type="http://schemas.openxmlformats.org/officeDocument/2006/relationships/image" Target="media/image643.png"/><Relationship Id="rId1030" Type="http://schemas.openxmlformats.org/officeDocument/2006/relationships/image" Target="media/image779.png"/><Relationship Id="rId1226" Type="http://schemas.openxmlformats.org/officeDocument/2006/relationships/image" Target="media/image945.png"/><Relationship Id="rId1268" Type="http://schemas.openxmlformats.org/officeDocument/2006/relationships/image" Target="media/image985.png"/><Relationship Id="rId1433" Type="http://schemas.openxmlformats.org/officeDocument/2006/relationships/image" Target="media/image1124.png"/><Relationship Id="rId3" Type="http://schemas.openxmlformats.org/officeDocument/2006/relationships/settings" Target="settings.xml"/><Relationship Id="rId235" Type="http://schemas.openxmlformats.org/officeDocument/2006/relationships/image" Target="media/image141.png"/><Relationship Id="rId277" Type="http://schemas.openxmlformats.org/officeDocument/2006/relationships/image" Target="media/image183.png"/><Relationship Id="rId400" Type="http://schemas.openxmlformats.org/officeDocument/2006/relationships/image" Target="media/image290.png"/><Relationship Id="rId442" Type="http://schemas.openxmlformats.org/officeDocument/2006/relationships/image" Target="media/image326.png"/><Relationship Id="rId484" Type="http://schemas.openxmlformats.org/officeDocument/2006/relationships/image" Target="media/image360.png"/><Relationship Id="rId705" Type="http://schemas.openxmlformats.org/officeDocument/2006/relationships/hyperlink" Target="https://7.10-7.11/" TargetMode="External"/><Relationship Id="rId887" Type="http://schemas.openxmlformats.org/officeDocument/2006/relationships/image" Target="media/image683.png"/><Relationship Id="rId1072" Type="http://schemas.openxmlformats.org/officeDocument/2006/relationships/image" Target="media/image817.png"/><Relationship Id="rId1128" Type="http://schemas.openxmlformats.org/officeDocument/2006/relationships/image" Target="media/image863.png"/><Relationship Id="rId1335" Type="http://schemas.openxmlformats.org/officeDocument/2006/relationships/image" Target="media/image1042.png"/><Relationship Id="rId137" Type="http://schemas.openxmlformats.org/officeDocument/2006/relationships/image" Target="media/image77.png"/><Relationship Id="rId302" Type="http://schemas.openxmlformats.org/officeDocument/2006/relationships/image" Target="media/image208.png"/><Relationship Id="rId344" Type="http://schemas.openxmlformats.org/officeDocument/2006/relationships/image" Target="media/image242.png"/><Relationship Id="rId691" Type="http://schemas.openxmlformats.org/officeDocument/2006/relationships/image" Target="media/image525.png"/><Relationship Id="rId747" Type="http://schemas.openxmlformats.org/officeDocument/2006/relationships/image" Target="media/image571.png"/><Relationship Id="rId789" Type="http://schemas.openxmlformats.org/officeDocument/2006/relationships/header" Target="header64.xml"/><Relationship Id="rId912" Type="http://schemas.openxmlformats.org/officeDocument/2006/relationships/image" Target="media/image702.png"/><Relationship Id="rId954" Type="http://schemas.openxmlformats.org/officeDocument/2006/relationships/image" Target="media/image730.png"/><Relationship Id="rId996" Type="http://schemas.openxmlformats.org/officeDocument/2006/relationships/image" Target="media/image759.png"/><Relationship Id="rId1377" Type="http://schemas.openxmlformats.org/officeDocument/2006/relationships/image" Target="media/image1074.png"/><Relationship Id="rId41" Type="http://schemas.openxmlformats.org/officeDocument/2006/relationships/image" Target="media/image13.png"/><Relationship Id="rId83" Type="http://schemas.openxmlformats.org/officeDocument/2006/relationships/image" Target="media/image48.png"/><Relationship Id="rId179" Type="http://schemas.openxmlformats.org/officeDocument/2006/relationships/hyperlink" Target="https://margins.94/" TargetMode="External"/><Relationship Id="rId386" Type="http://schemas.openxmlformats.org/officeDocument/2006/relationships/image" Target="media/image280.png"/><Relationship Id="rId551" Type="http://schemas.openxmlformats.org/officeDocument/2006/relationships/image" Target="media/image415.png"/><Relationship Id="rId593" Type="http://schemas.openxmlformats.org/officeDocument/2006/relationships/image" Target="media/image451.png"/><Relationship Id="rId607" Type="http://schemas.openxmlformats.org/officeDocument/2006/relationships/image" Target="media/image463.png"/><Relationship Id="rId649" Type="http://schemas.openxmlformats.org/officeDocument/2006/relationships/image" Target="media/image495.png"/><Relationship Id="rId814" Type="http://schemas.openxmlformats.org/officeDocument/2006/relationships/header" Target="header66.xml"/><Relationship Id="rId856" Type="http://schemas.openxmlformats.org/officeDocument/2006/relationships/image" Target="media/image654.png"/><Relationship Id="rId1181" Type="http://schemas.openxmlformats.org/officeDocument/2006/relationships/image" Target="media/image912.png"/><Relationship Id="rId1237" Type="http://schemas.openxmlformats.org/officeDocument/2006/relationships/image" Target="media/image956.png"/><Relationship Id="rId1279" Type="http://schemas.openxmlformats.org/officeDocument/2006/relationships/image" Target="media/image996.png"/><Relationship Id="rId1402" Type="http://schemas.openxmlformats.org/officeDocument/2006/relationships/image" Target="media/image1097.png"/><Relationship Id="rId1444" Type="http://schemas.openxmlformats.org/officeDocument/2006/relationships/fontTable" Target="fontTable.xml"/><Relationship Id="rId190" Type="http://schemas.openxmlformats.org/officeDocument/2006/relationships/header" Target="header15.xml"/><Relationship Id="rId204" Type="http://schemas.openxmlformats.org/officeDocument/2006/relationships/image" Target="media/image114.png"/><Relationship Id="rId246" Type="http://schemas.openxmlformats.org/officeDocument/2006/relationships/image" Target="media/image152.png"/><Relationship Id="rId288" Type="http://schemas.openxmlformats.org/officeDocument/2006/relationships/image" Target="media/image194.png"/><Relationship Id="rId411" Type="http://schemas.openxmlformats.org/officeDocument/2006/relationships/footer" Target="footer29.xml"/><Relationship Id="rId453" Type="http://schemas.openxmlformats.org/officeDocument/2006/relationships/image" Target="media/image335.png"/><Relationship Id="rId509" Type="http://schemas.openxmlformats.org/officeDocument/2006/relationships/image" Target="media/image381.png"/><Relationship Id="rId660" Type="http://schemas.openxmlformats.org/officeDocument/2006/relationships/image" Target="media/image502.png"/><Relationship Id="rId898" Type="http://schemas.openxmlformats.org/officeDocument/2006/relationships/image" Target="media/image692.png"/><Relationship Id="rId1041" Type="http://schemas.openxmlformats.org/officeDocument/2006/relationships/image" Target="media/image788.png"/><Relationship Id="rId1083" Type="http://schemas.openxmlformats.org/officeDocument/2006/relationships/image" Target="media/image824.png"/><Relationship Id="rId1139" Type="http://schemas.openxmlformats.org/officeDocument/2006/relationships/image" Target="media/image874.png"/><Relationship Id="rId1290" Type="http://schemas.openxmlformats.org/officeDocument/2006/relationships/image" Target="media/image1007.png"/><Relationship Id="rId1304" Type="http://schemas.openxmlformats.org/officeDocument/2006/relationships/image" Target="media/image1017.png"/><Relationship Id="rId1346" Type="http://schemas.openxmlformats.org/officeDocument/2006/relationships/footer" Target="footer111.xml"/><Relationship Id="rId106" Type="http://schemas.openxmlformats.org/officeDocument/2006/relationships/hyperlink" Target="https://www.oed.com/view/Entry/125629" TargetMode="External"/><Relationship Id="rId313" Type="http://schemas.openxmlformats.org/officeDocument/2006/relationships/image" Target="media/image215.png"/><Relationship Id="rId495" Type="http://schemas.openxmlformats.org/officeDocument/2006/relationships/image" Target="media/image369.png"/><Relationship Id="rId716" Type="http://schemas.openxmlformats.org/officeDocument/2006/relationships/image" Target="media/image547.png"/><Relationship Id="rId758" Type="http://schemas.openxmlformats.org/officeDocument/2006/relationships/header" Target="header60.xml"/><Relationship Id="rId923" Type="http://schemas.openxmlformats.org/officeDocument/2006/relationships/footer" Target="footer77.xml"/><Relationship Id="rId965" Type="http://schemas.openxmlformats.org/officeDocument/2006/relationships/image" Target="media/image739.png"/><Relationship Id="rId1150" Type="http://schemas.openxmlformats.org/officeDocument/2006/relationships/image" Target="media/image885.png"/><Relationship Id="rId1388" Type="http://schemas.openxmlformats.org/officeDocument/2006/relationships/image" Target="media/image1083.png"/><Relationship Id="rId10" Type="http://schemas.openxmlformats.org/officeDocument/2006/relationships/footer" Target="footer2.xml"/><Relationship Id="rId52" Type="http://schemas.openxmlformats.org/officeDocument/2006/relationships/image" Target="media/image24.png"/><Relationship Id="rId94" Type="http://schemas.openxmlformats.org/officeDocument/2006/relationships/hyperlink" Target="https://Article.19/" TargetMode="External"/><Relationship Id="rId148" Type="http://schemas.openxmlformats.org/officeDocument/2006/relationships/hyperlink" Target="https://investigation.72/" TargetMode="External"/><Relationship Id="rId355" Type="http://schemas.openxmlformats.org/officeDocument/2006/relationships/image" Target="media/image253.png"/><Relationship Id="rId397" Type="http://schemas.openxmlformats.org/officeDocument/2006/relationships/header" Target="header26.xml"/><Relationship Id="rId520" Type="http://schemas.openxmlformats.org/officeDocument/2006/relationships/image" Target="media/image390.png"/><Relationship Id="rId562" Type="http://schemas.openxmlformats.org/officeDocument/2006/relationships/image" Target="media/image424.png"/><Relationship Id="rId618" Type="http://schemas.openxmlformats.org/officeDocument/2006/relationships/header" Target="header45.xml"/><Relationship Id="rId825" Type="http://schemas.openxmlformats.org/officeDocument/2006/relationships/image" Target="media/image629.png"/><Relationship Id="rId1192" Type="http://schemas.openxmlformats.org/officeDocument/2006/relationships/image" Target="media/image923.png"/><Relationship Id="rId1206" Type="http://schemas.openxmlformats.org/officeDocument/2006/relationships/header" Target="header101.xml"/><Relationship Id="rId1248" Type="http://schemas.openxmlformats.org/officeDocument/2006/relationships/image" Target="media/image967.png"/><Relationship Id="rId1413" Type="http://schemas.openxmlformats.org/officeDocument/2006/relationships/image" Target="media/image1108.png"/><Relationship Id="rId215" Type="http://schemas.openxmlformats.org/officeDocument/2006/relationships/image" Target="media/image123.png"/><Relationship Id="rId257" Type="http://schemas.openxmlformats.org/officeDocument/2006/relationships/image" Target="media/image163.png"/><Relationship Id="rId422" Type="http://schemas.openxmlformats.org/officeDocument/2006/relationships/image" Target="media/image306.png"/><Relationship Id="rId464" Type="http://schemas.openxmlformats.org/officeDocument/2006/relationships/image" Target="media/image344.png"/><Relationship Id="rId867" Type="http://schemas.openxmlformats.org/officeDocument/2006/relationships/image" Target="media/image665.png"/><Relationship Id="rId1010" Type="http://schemas.openxmlformats.org/officeDocument/2006/relationships/footer" Target="footer90.xml"/><Relationship Id="rId1052" Type="http://schemas.openxmlformats.org/officeDocument/2006/relationships/image" Target="media/image799.png"/><Relationship Id="rId1094" Type="http://schemas.openxmlformats.org/officeDocument/2006/relationships/image" Target="media/image835.png"/><Relationship Id="rId1108" Type="http://schemas.openxmlformats.org/officeDocument/2006/relationships/image" Target="media/image849.png"/><Relationship Id="rId1315" Type="http://schemas.openxmlformats.org/officeDocument/2006/relationships/image" Target="media/image1028.png"/><Relationship Id="rId299" Type="http://schemas.openxmlformats.org/officeDocument/2006/relationships/image" Target="media/image205.png"/><Relationship Id="rId727" Type="http://schemas.openxmlformats.org/officeDocument/2006/relationships/image" Target="media/image556.png"/><Relationship Id="rId934" Type="http://schemas.openxmlformats.org/officeDocument/2006/relationships/image" Target="media/image718.png"/><Relationship Id="rId1357" Type="http://schemas.openxmlformats.org/officeDocument/2006/relationships/image" Target="media/image1056.png"/><Relationship Id="rId63" Type="http://schemas.openxmlformats.org/officeDocument/2006/relationships/image" Target="media/image34.png"/><Relationship Id="rId159" Type="http://schemas.openxmlformats.org/officeDocument/2006/relationships/image" Target="media/image86.png"/><Relationship Id="rId366" Type="http://schemas.openxmlformats.org/officeDocument/2006/relationships/image" Target="media/image264.png"/><Relationship Id="rId573" Type="http://schemas.openxmlformats.org/officeDocument/2006/relationships/image" Target="media/image435.png"/><Relationship Id="rId780" Type="http://schemas.openxmlformats.org/officeDocument/2006/relationships/image" Target="media/image596.png"/><Relationship Id="rId1217" Type="http://schemas.openxmlformats.org/officeDocument/2006/relationships/image" Target="media/image940.png"/><Relationship Id="rId1424" Type="http://schemas.openxmlformats.org/officeDocument/2006/relationships/image" Target="media/image1117.png"/><Relationship Id="rId226" Type="http://schemas.openxmlformats.org/officeDocument/2006/relationships/image" Target="media/image132.png"/><Relationship Id="rId433" Type="http://schemas.openxmlformats.org/officeDocument/2006/relationships/image" Target="media/image317.png"/><Relationship Id="rId878" Type="http://schemas.openxmlformats.org/officeDocument/2006/relationships/image" Target="media/image676.png"/><Relationship Id="rId1063" Type="http://schemas.openxmlformats.org/officeDocument/2006/relationships/image" Target="media/image808.png"/><Relationship Id="rId1270" Type="http://schemas.openxmlformats.org/officeDocument/2006/relationships/image" Target="media/image987.png"/><Relationship Id="rId640" Type="http://schemas.openxmlformats.org/officeDocument/2006/relationships/header" Target="header47.xml"/><Relationship Id="rId738" Type="http://schemas.openxmlformats.org/officeDocument/2006/relationships/image" Target="media/image565.png"/><Relationship Id="rId945" Type="http://schemas.openxmlformats.org/officeDocument/2006/relationships/image" Target="media/image725.png"/><Relationship Id="rId1368" Type="http://schemas.openxmlformats.org/officeDocument/2006/relationships/image" Target="media/image1065.png"/><Relationship Id="rId74" Type="http://schemas.openxmlformats.org/officeDocument/2006/relationships/header" Target="header12.xml"/><Relationship Id="rId377" Type="http://schemas.openxmlformats.org/officeDocument/2006/relationships/header" Target="header23.xml"/><Relationship Id="rId500" Type="http://schemas.openxmlformats.org/officeDocument/2006/relationships/image" Target="media/image374.png"/><Relationship Id="rId584" Type="http://schemas.openxmlformats.org/officeDocument/2006/relationships/image" Target="media/image444.png"/><Relationship Id="rId805" Type="http://schemas.openxmlformats.org/officeDocument/2006/relationships/image" Target="media/image615.png"/><Relationship Id="rId1130" Type="http://schemas.openxmlformats.org/officeDocument/2006/relationships/image" Target="media/image865.png"/><Relationship Id="rId1228" Type="http://schemas.openxmlformats.org/officeDocument/2006/relationships/image" Target="media/image947.png"/><Relationship Id="rId1435" Type="http://schemas.openxmlformats.org/officeDocument/2006/relationships/image" Target="media/image1126.png"/><Relationship Id="rId5" Type="http://schemas.openxmlformats.org/officeDocument/2006/relationships/footnotes" Target="footnotes.xml"/><Relationship Id="rId237" Type="http://schemas.openxmlformats.org/officeDocument/2006/relationships/image" Target="media/image143.png"/><Relationship Id="rId791" Type="http://schemas.openxmlformats.org/officeDocument/2006/relationships/image" Target="media/image603.png"/><Relationship Id="rId889" Type="http://schemas.openxmlformats.org/officeDocument/2006/relationships/image" Target="media/image685.png"/><Relationship Id="rId1074" Type="http://schemas.openxmlformats.org/officeDocument/2006/relationships/footer" Target="footer92.xml"/><Relationship Id="rId444" Type="http://schemas.openxmlformats.org/officeDocument/2006/relationships/footer" Target="footer30.xml"/><Relationship Id="rId651" Type="http://schemas.openxmlformats.org/officeDocument/2006/relationships/image" Target="media/image497.png"/><Relationship Id="rId749" Type="http://schemas.openxmlformats.org/officeDocument/2006/relationships/image" Target="media/image573.png"/><Relationship Id="rId1281" Type="http://schemas.openxmlformats.org/officeDocument/2006/relationships/image" Target="media/image998.png"/><Relationship Id="rId1379" Type="http://schemas.openxmlformats.org/officeDocument/2006/relationships/footer" Target="footer115.xml"/><Relationship Id="rId290" Type="http://schemas.openxmlformats.org/officeDocument/2006/relationships/image" Target="media/image196.png"/><Relationship Id="rId304" Type="http://schemas.openxmlformats.org/officeDocument/2006/relationships/image" Target="media/image210.png"/><Relationship Id="rId388" Type="http://schemas.openxmlformats.org/officeDocument/2006/relationships/image" Target="media/image282.png"/><Relationship Id="rId511" Type="http://schemas.openxmlformats.org/officeDocument/2006/relationships/footer" Target="footer36.xml"/><Relationship Id="rId609" Type="http://schemas.openxmlformats.org/officeDocument/2006/relationships/image" Target="media/image465.png"/><Relationship Id="rId956" Type="http://schemas.openxmlformats.org/officeDocument/2006/relationships/footer" Target="footer83.xml"/><Relationship Id="rId1141" Type="http://schemas.openxmlformats.org/officeDocument/2006/relationships/image" Target="media/image876.png"/><Relationship Id="rId1239" Type="http://schemas.openxmlformats.org/officeDocument/2006/relationships/image" Target="media/image958.png"/><Relationship Id="rId85" Type="http://schemas.openxmlformats.org/officeDocument/2006/relationships/image" Target="media/image50.png"/><Relationship Id="rId150" Type="http://schemas.openxmlformats.org/officeDocument/2006/relationships/hyperlink" Target="https://account.75/" TargetMode="External"/><Relationship Id="rId595" Type="http://schemas.openxmlformats.org/officeDocument/2006/relationships/image" Target="media/image453.png"/><Relationship Id="rId816" Type="http://schemas.openxmlformats.org/officeDocument/2006/relationships/image" Target="media/image624.png"/><Relationship Id="rId1001" Type="http://schemas.openxmlformats.org/officeDocument/2006/relationships/footer" Target="footer89.xml"/><Relationship Id="rId248" Type="http://schemas.openxmlformats.org/officeDocument/2006/relationships/image" Target="media/image154.png"/><Relationship Id="rId455" Type="http://schemas.openxmlformats.org/officeDocument/2006/relationships/image" Target="media/image337.png"/><Relationship Id="rId662" Type="http://schemas.openxmlformats.org/officeDocument/2006/relationships/image" Target="media/image504.png"/><Relationship Id="rId1085" Type="http://schemas.openxmlformats.org/officeDocument/2006/relationships/image" Target="media/image826.png"/><Relationship Id="rId1292" Type="http://schemas.openxmlformats.org/officeDocument/2006/relationships/image" Target="media/image1009.png"/><Relationship Id="rId1306" Type="http://schemas.openxmlformats.org/officeDocument/2006/relationships/image" Target="media/image1019.png"/><Relationship Id="rId12" Type="http://schemas.openxmlformats.org/officeDocument/2006/relationships/footer" Target="footer3.xml"/><Relationship Id="rId108" Type="http://schemas.openxmlformats.org/officeDocument/2006/relationships/image" Target="media/image60.png"/><Relationship Id="rId315" Type="http://schemas.openxmlformats.org/officeDocument/2006/relationships/image" Target="media/image217.png"/><Relationship Id="rId522" Type="http://schemas.openxmlformats.org/officeDocument/2006/relationships/image" Target="media/image392.png"/><Relationship Id="rId967" Type="http://schemas.openxmlformats.org/officeDocument/2006/relationships/footer" Target="footer84.xml"/><Relationship Id="rId1152" Type="http://schemas.openxmlformats.org/officeDocument/2006/relationships/image" Target="media/image887.png"/><Relationship Id="rId96" Type="http://schemas.openxmlformats.org/officeDocument/2006/relationships/hyperlink" Target="https://authorities.21/" TargetMode="External"/><Relationship Id="rId161" Type="http://schemas.openxmlformats.org/officeDocument/2006/relationships/image" Target="media/image88.png"/><Relationship Id="rId399" Type="http://schemas.openxmlformats.org/officeDocument/2006/relationships/image" Target="media/image289.png"/><Relationship Id="rId827" Type="http://schemas.openxmlformats.org/officeDocument/2006/relationships/image" Target="media/image631.png"/><Relationship Id="rId1012" Type="http://schemas.openxmlformats.org/officeDocument/2006/relationships/image" Target="media/image771.png"/><Relationship Id="rId259" Type="http://schemas.openxmlformats.org/officeDocument/2006/relationships/image" Target="media/image165.png"/><Relationship Id="rId466" Type="http://schemas.openxmlformats.org/officeDocument/2006/relationships/image" Target="media/image346.png"/><Relationship Id="rId673" Type="http://schemas.openxmlformats.org/officeDocument/2006/relationships/footer" Target="footer52.xml"/><Relationship Id="rId880" Type="http://schemas.openxmlformats.org/officeDocument/2006/relationships/image" Target="media/image678.png"/><Relationship Id="rId1096" Type="http://schemas.openxmlformats.org/officeDocument/2006/relationships/image" Target="media/image837.png"/><Relationship Id="rId1317" Type="http://schemas.openxmlformats.org/officeDocument/2006/relationships/image" Target="media/image1030.png"/><Relationship Id="rId23" Type="http://schemas.openxmlformats.org/officeDocument/2006/relationships/footer" Target="footer8.xml"/><Relationship Id="rId119" Type="http://schemas.openxmlformats.org/officeDocument/2006/relationships/image" Target="media/image67.png"/><Relationship Id="rId326" Type="http://schemas.openxmlformats.org/officeDocument/2006/relationships/footer" Target="footer22.xml"/><Relationship Id="rId533" Type="http://schemas.openxmlformats.org/officeDocument/2006/relationships/image" Target="media/image401.png"/><Relationship Id="rId978" Type="http://schemas.openxmlformats.org/officeDocument/2006/relationships/image" Target="media/image748.png"/><Relationship Id="rId1163" Type="http://schemas.openxmlformats.org/officeDocument/2006/relationships/image" Target="media/image896.png"/><Relationship Id="rId1370" Type="http://schemas.openxmlformats.org/officeDocument/2006/relationships/image" Target="media/image1067.png"/><Relationship Id="rId740" Type="http://schemas.openxmlformats.org/officeDocument/2006/relationships/image" Target="media/image566.png"/><Relationship Id="rId838" Type="http://schemas.openxmlformats.org/officeDocument/2006/relationships/footer" Target="footer70.xml"/><Relationship Id="rId1023" Type="http://schemas.openxmlformats.org/officeDocument/2006/relationships/hyperlink" Target="https://para.7.21/" TargetMode="External"/><Relationship Id="rId172" Type="http://schemas.openxmlformats.org/officeDocument/2006/relationships/hyperlink" Target="https://www.oed.com/view/Entry/31082" TargetMode="External"/><Relationship Id="rId477" Type="http://schemas.openxmlformats.org/officeDocument/2006/relationships/image" Target="media/image355.png"/><Relationship Id="rId600" Type="http://schemas.openxmlformats.org/officeDocument/2006/relationships/image" Target="media/image458.png"/><Relationship Id="rId684" Type="http://schemas.openxmlformats.org/officeDocument/2006/relationships/image" Target="media/image522.png"/><Relationship Id="rId1230" Type="http://schemas.openxmlformats.org/officeDocument/2006/relationships/image" Target="media/image949.png"/><Relationship Id="rId1328" Type="http://schemas.openxmlformats.org/officeDocument/2006/relationships/image" Target="media/image1037.png"/><Relationship Id="rId337" Type="http://schemas.openxmlformats.org/officeDocument/2006/relationships/image" Target="media/image235.png"/><Relationship Id="rId891" Type="http://schemas.openxmlformats.org/officeDocument/2006/relationships/image" Target="media/image687.png"/><Relationship Id="rId905" Type="http://schemas.openxmlformats.org/officeDocument/2006/relationships/header" Target="header74.xml"/><Relationship Id="rId989" Type="http://schemas.openxmlformats.org/officeDocument/2006/relationships/footer" Target="footer88.xml"/><Relationship Id="rId34" Type="http://schemas.openxmlformats.org/officeDocument/2006/relationships/footer" Target="footer10.xml"/><Relationship Id="rId544" Type="http://schemas.openxmlformats.org/officeDocument/2006/relationships/image" Target="media/image410.png"/><Relationship Id="rId751" Type="http://schemas.openxmlformats.org/officeDocument/2006/relationships/image" Target="media/image575.png"/><Relationship Id="rId849" Type="http://schemas.openxmlformats.org/officeDocument/2006/relationships/image" Target="media/image647.png"/><Relationship Id="rId1174" Type="http://schemas.openxmlformats.org/officeDocument/2006/relationships/image" Target="media/image905.png"/><Relationship Id="rId1381" Type="http://schemas.openxmlformats.org/officeDocument/2006/relationships/image" Target="media/image1076.png"/><Relationship Id="rId183" Type="http://schemas.openxmlformats.org/officeDocument/2006/relationships/hyperlink" Target="https://country.96/" TargetMode="External"/><Relationship Id="rId390" Type="http://schemas.openxmlformats.org/officeDocument/2006/relationships/image" Target="media/image284.png"/><Relationship Id="rId404" Type="http://schemas.openxmlformats.org/officeDocument/2006/relationships/footer" Target="footer27.xml"/><Relationship Id="rId611" Type="http://schemas.openxmlformats.org/officeDocument/2006/relationships/header" Target="header44.xml"/><Relationship Id="rId1034" Type="http://schemas.openxmlformats.org/officeDocument/2006/relationships/hyperlink" Target="https://8.35-8.36/" TargetMode="External"/><Relationship Id="rId1241" Type="http://schemas.openxmlformats.org/officeDocument/2006/relationships/image" Target="media/image960.png"/><Relationship Id="rId1339" Type="http://schemas.openxmlformats.org/officeDocument/2006/relationships/header" Target="header110.xml"/><Relationship Id="rId250" Type="http://schemas.openxmlformats.org/officeDocument/2006/relationships/image" Target="media/image156.png"/><Relationship Id="rId488" Type="http://schemas.openxmlformats.org/officeDocument/2006/relationships/image" Target="media/image362.png"/><Relationship Id="rId695" Type="http://schemas.openxmlformats.org/officeDocument/2006/relationships/image" Target="media/image527.png"/><Relationship Id="rId709" Type="http://schemas.openxmlformats.org/officeDocument/2006/relationships/image" Target="media/image540.png"/><Relationship Id="rId916" Type="http://schemas.openxmlformats.org/officeDocument/2006/relationships/image" Target="media/image706.png"/><Relationship Id="rId1101" Type="http://schemas.openxmlformats.org/officeDocument/2006/relationships/image" Target="media/image842.png"/><Relationship Id="rId45" Type="http://schemas.openxmlformats.org/officeDocument/2006/relationships/image" Target="media/image17.png"/><Relationship Id="rId110" Type="http://schemas.openxmlformats.org/officeDocument/2006/relationships/image" Target="media/image62.png"/><Relationship Id="rId348" Type="http://schemas.openxmlformats.org/officeDocument/2006/relationships/image" Target="media/image246.png"/><Relationship Id="rId555" Type="http://schemas.openxmlformats.org/officeDocument/2006/relationships/image" Target="media/image419.png"/><Relationship Id="rId762" Type="http://schemas.openxmlformats.org/officeDocument/2006/relationships/image" Target="media/image582.png"/><Relationship Id="rId1185" Type="http://schemas.openxmlformats.org/officeDocument/2006/relationships/image" Target="media/image916.png"/><Relationship Id="rId1392" Type="http://schemas.openxmlformats.org/officeDocument/2006/relationships/image" Target="media/image1087.png"/><Relationship Id="rId1406" Type="http://schemas.openxmlformats.org/officeDocument/2006/relationships/image" Target="media/image1101.png"/><Relationship Id="rId194" Type="http://schemas.openxmlformats.org/officeDocument/2006/relationships/image" Target="media/image106.png"/><Relationship Id="rId208" Type="http://schemas.openxmlformats.org/officeDocument/2006/relationships/image" Target="media/image118.png"/><Relationship Id="rId415" Type="http://schemas.openxmlformats.org/officeDocument/2006/relationships/image" Target="media/image299.png"/><Relationship Id="rId622" Type="http://schemas.openxmlformats.org/officeDocument/2006/relationships/image" Target="media/image474.png"/><Relationship Id="rId1045" Type="http://schemas.openxmlformats.org/officeDocument/2006/relationships/image" Target="media/image792.png"/><Relationship Id="rId1252" Type="http://schemas.openxmlformats.org/officeDocument/2006/relationships/image" Target="media/image971.png"/><Relationship Id="rId261" Type="http://schemas.openxmlformats.org/officeDocument/2006/relationships/image" Target="media/image167.png"/><Relationship Id="rId499" Type="http://schemas.openxmlformats.org/officeDocument/2006/relationships/image" Target="media/image373.png"/><Relationship Id="rId927" Type="http://schemas.openxmlformats.org/officeDocument/2006/relationships/image" Target="media/image713.png"/><Relationship Id="rId1112" Type="http://schemas.openxmlformats.org/officeDocument/2006/relationships/image" Target="media/image853.png"/><Relationship Id="rId56" Type="http://schemas.openxmlformats.org/officeDocument/2006/relationships/image" Target="media/image28.png"/><Relationship Id="rId359" Type="http://schemas.openxmlformats.org/officeDocument/2006/relationships/image" Target="media/image257.png"/><Relationship Id="rId566" Type="http://schemas.openxmlformats.org/officeDocument/2006/relationships/image" Target="media/image428.png"/><Relationship Id="rId773" Type="http://schemas.openxmlformats.org/officeDocument/2006/relationships/image" Target="media/image589.png"/><Relationship Id="rId1196" Type="http://schemas.openxmlformats.org/officeDocument/2006/relationships/image" Target="media/image925.png"/><Relationship Id="rId1417" Type="http://schemas.openxmlformats.org/officeDocument/2006/relationships/image" Target="media/image1112.png"/><Relationship Id="rId121" Type="http://schemas.openxmlformats.org/officeDocument/2006/relationships/image" Target="media/image69.png"/><Relationship Id="rId219" Type="http://schemas.openxmlformats.org/officeDocument/2006/relationships/image" Target="media/image127.png"/><Relationship Id="rId426" Type="http://schemas.openxmlformats.org/officeDocument/2006/relationships/image" Target="media/image310.png"/><Relationship Id="rId633" Type="http://schemas.openxmlformats.org/officeDocument/2006/relationships/image" Target="media/image483.png"/><Relationship Id="rId980" Type="http://schemas.openxmlformats.org/officeDocument/2006/relationships/footer" Target="footer86.xml"/><Relationship Id="rId1056" Type="http://schemas.openxmlformats.org/officeDocument/2006/relationships/image" Target="media/image803.png"/><Relationship Id="rId1263" Type="http://schemas.openxmlformats.org/officeDocument/2006/relationships/image" Target="media/image980.png"/><Relationship Id="rId840" Type="http://schemas.openxmlformats.org/officeDocument/2006/relationships/image" Target="media/image640.png"/><Relationship Id="rId938" Type="http://schemas.openxmlformats.org/officeDocument/2006/relationships/header" Target="header79.xml"/><Relationship Id="rId67" Type="http://schemas.openxmlformats.org/officeDocument/2006/relationships/hyperlink" Target="https://decision.12/" TargetMode="External"/><Relationship Id="rId272" Type="http://schemas.openxmlformats.org/officeDocument/2006/relationships/image" Target="media/image178.png"/><Relationship Id="rId577" Type="http://schemas.openxmlformats.org/officeDocument/2006/relationships/image" Target="media/image439.png"/><Relationship Id="rId700" Type="http://schemas.openxmlformats.org/officeDocument/2006/relationships/image" Target="media/image532.png"/><Relationship Id="rId1123" Type="http://schemas.openxmlformats.org/officeDocument/2006/relationships/footer" Target="footer95.xml"/><Relationship Id="rId1330" Type="http://schemas.openxmlformats.org/officeDocument/2006/relationships/image" Target="media/image1039.png"/><Relationship Id="rId1428" Type="http://schemas.openxmlformats.org/officeDocument/2006/relationships/image" Target="media/image1121.png"/><Relationship Id="rId132" Type="http://schemas.openxmlformats.org/officeDocument/2006/relationships/image" Target="media/image75.png"/><Relationship Id="rId784" Type="http://schemas.openxmlformats.org/officeDocument/2006/relationships/image" Target="media/image598.png"/><Relationship Id="rId991" Type="http://schemas.openxmlformats.org/officeDocument/2006/relationships/image" Target="media/image754.png"/><Relationship Id="rId1067" Type="http://schemas.openxmlformats.org/officeDocument/2006/relationships/image" Target="media/image812.png"/><Relationship Id="rId437" Type="http://schemas.openxmlformats.org/officeDocument/2006/relationships/image" Target="media/image321.png"/><Relationship Id="rId644" Type="http://schemas.openxmlformats.org/officeDocument/2006/relationships/image" Target="media/image492.png"/><Relationship Id="rId851" Type="http://schemas.openxmlformats.org/officeDocument/2006/relationships/image" Target="media/image649.png"/><Relationship Id="rId1274" Type="http://schemas.openxmlformats.org/officeDocument/2006/relationships/image" Target="media/image991.png"/><Relationship Id="rId283" Type="http://schemas.openxmlformats.org/officeDocument/2006/relationships/image" Target="media/image189.png"/><Relationship Id="rId490" Type="http://schemas.openxmlformats.org/officeDocument/2006/relationships/image" Target="media/image364.png"/><Relationship Id="rId504" Type="http://schemas.openxmlformats.org/officeDocument/2006/relationships/image" Target="media/image378.png"/><Relationship Id="rId711" Type="http://schemas.openxmlformats.org/officeDocument/2006/relationships/image" Target="media/image542.png"/><Relationship Id="rId949" Type="http://schemas.openxmlformats.org/officeDocument/2006/relationships/image" Target="media/image727.png"/><Relationship Id="rId1134" Type="http://schemas.openxmlformats.org/officeDocument/2006/relationships/image" Target="media/image869.png"/><Relationship Id="rId1341" Type="http://schemas.openxmlformats.org/officeDocument/2006/relationships/image" Target="media/image1046.png"/><Relationship Id="rId78" Type="http://schemas.openxmlformats.org/officeDocument/2006/relationships/image" Target="media/image45.png"/><Relationship Id="rId143" Type="http://schemas.openxmlformats.org/officeDocument/2006/relationships/hyperlink" Target="https://participation.67/" TargetMode="External"/><Relationship Id="rId350" Type="http://schemas.openxmlformats.org/officeDocument/2006/relationships/image" Target="media/image248.png"/><Relationship Id="rId588" Type="http://schemas.openxmlformats.org/officeDocument/2006/relationships/image" Target="media/image446.png"/><Relationship Id="rId795" Type="http://schemas.openxmlformats.org/officeDocument/2006/relationships/image" Target="media/image607.png"/><Relationship Id="rId809" Type="http://schemas.openxmlformats.org/officeDocument/2006/relationships/image" Target="media/image619.png"/><Relationship Id="rId1201" Type="http://schemas.openxmlformats.org/officeDocument/2006/relationships/image" Target="media/image928.png"/><Relationship Id="rId1439" Type="http://schemas.openxmlformats.org/officeDocument/2006/relationships/header" Target="header118.xml"/><Relationship Id="rId9" Type="http://schemas.openxmlformats.org/officeDocument/2006/relationships/header" Target="header2.xml"/><Relationship Id="rId210" Type="http://schemas.openxmlformats.org/officeDocument/2006/relationships/header" Target="header17.xml"/><Relationship Id="rId448" Type="http://schemas.openxmlformats.org/officeDocument/2006/relationships/image" Target="media/image330.png"/><Relationship Id="rId655" Type="http://schemas.openxmlformats.org/officeDocument/2006/relationships/footer" Target="footer49.xml"/><Relationship Id="rId862" Type="http://schemas.openxmlformats.org/officeDocument/2006/relationships/image" Target="media/image660.png"/><Relationship Id="rId1078" Type="http://schemas.openxmlformats.org/officeDocument/2006/relationships/image" Target="media/image821.png"/><Relationship Id="rId1285" Type="http://schemas.openxmlformats.org/officeDocument/2006/relationships/image" Target="media/image1002.png"/><Relationship Id="rId294" Type="http://schemas.openxmlformats.org/officeDocument/2006/relationships/image" Target="media/image200.png"/><Relationship Id="rId308" Type="http://schemas.openxmlformats.org/officeDocument/2006/relationships/image" Target="media/image212.png"/><Relationship Id="rId515" Type="http://schemas.openxmlformats.org/officeDocument/2006/relationships/image" Target="media/image385.png"/><Relationship Id="rId722" Type="http://schemas.openxmlformats.org/officeDocument/2006/relationships/header" Target="header56.xml"/><Relationship Id="rId1145" Type="http://schemas.openxmlformats.org/officeDocument/2006/relationships/image" Target="media/image880.png"/><Relationship Id="rId1352" Type="http://schemas.openxmlformats.org/officeDocument/2006/relationships/image" Target="media/image1053.png"/><Relationship Id="rId89" Type="http://schemas.openxmlformats.org/officeDocument/2006/relationships/image" Target="media/image52.png"/><Relationship Id="rId154" Type="http://schemas.openxmlformats.org/officeDocument/2006/relationships/hyperlink" Target="https://investigation.78/" TargetMode="External"/><Relationship Id="rId361" Type="http://schemas.openxmlformats.org/officeDocument/2006/relationships/image" Target="media/image259.png"/><Relationship Id="rId599" Type="http://schemas.openxmlformats.org/officeDocument/2006/relationships/image" Target="media/image457.png"/><Relationship Id="rId1005" Type="http://schemas.openxmlformats.org/officeDocument/2006/relationships/image" Target="media/image766.png"/><Relationship Id="rId1212" Type="http://schemas.openxmlformats.org/officeDocument/2006/relationships/header" Target="header102.xml"/><Relationship Id="rId459" Type="http://schemas.openxmlformats.org/officeDocument/2006/relationships/image" Target="media/image339.png"/><Relationship Id="rId666" Type="http://schemas.openxmlformats.org/officeDocument/2006/relationships/image" Target="media/image506.png"/><Relationship Id="rId873" Type="http://schemas.openxmlformats.org/officeDocument/2006/relationships/image" Target="media/image671.png"/><Relationship Id="rId1089" Type="http://schemas.openxmlformats.org/officeDocument/2006/relationships/image" Target="media/image830.png"/><Relationship Id="rId1296" Type="http://schemas.openxmlformats.org/officeDocument/2006/relationships/footer" Target="footer105.xml"/><Relationship Id="rId16" Type="http://schemas.openxmlformats.org/officeDocument/2006/relationships/footer" Target="footer5.xml"/><Relationship Id="rId221" Type="http://schemas.openxmlformats.org/officeDocument/2006/relationships/image" Target="media/image129.png"/><Relationship Id="rId319" Type="http://schemas.openxmlformats.org/officeDocument/2006/relationships/image" Target="media/image221.png"/><Relationship Id="rId526" Type="http://schemas.openxmlformats.org/officeDocument/2006/relationships/image" Target="media/image396.png"/><Relationship Id="rId1156" Type="http://schemas.openxmlformats.org/officeDocument/2006/relationships/image" Target="media/image891.png"/><Relationship Id="rId1363" Type="http://schemas.openxmlformats.org/officeDocument/2006/relationships/image" Target="media/image1060.png"/><Relationship Id="rId733" Type="http://schemas.openxmlformats.org/officeDocument/2006/relationships/image" Target="media/image560.png"/><Relationship Id="rId940" Type="http://schemas.openxmlformats.org/officeDocument/2006/relationships/image" Target="media/image722.png"/><Relationship Id="rId1016" Type="http://schemas.openxmlformats.org/officeDocument/2006/relationships/header" Target="header91.xml"/><Relationship Id="rId165" Type="http://schemas.openxmlformats.org/officeDocument/2006/relationships/image" Target="media/image89.png"/><Relationship Id="rId372" Type="http://schemas.openxmlformats.org/officeDocument/2006/relationships/image" Target="media/image270.png"/><Relationship Id="rId677" Type="http://schemas.openxmlformats.org/officeDocument/2006/relationships/image" Target="media/image515.png"/><Relationship Id="rId800" Type="http://schemas.openxmlformats.org/officeDocument/2006/relationships/image" Target="media/image610.png"/><Relationship Id="rId1223" Type="http://schemas.openxmlformats.org/officeDocument/2006/relationships/image" Target="media/image944.png"/><Relationship Id="rId1430" Type="http://schemas.openxmlformats.org/officeDocument/2006/relationships/image" Target="media/image1123.png"/><Relationship Id="rId232" Type="http://schemas.openxmlformats.org/officeDocument/2006/relationships/image" Target="media/image138.png"/><Relationship Id="rId884" Type="http://schemas.openxmlformats.org/officeDocument/2006/relationships/image" Target="media/image682.png"/><Relationship Id="rId27" Type="http://schemas.openxmlformats.org/officeDocument/2006/relationships/footer" Target="footer9.xml"/><Relationship Id="rId537" Type="http://schemas.openxmlformats.org/officeDocument/2006/relationships/footer" Target="footer38.xml"/><Relationship Id="rId744" Type="http://schemas.openxmlformats.org/officeDocument/2006/relationships/image" Target="media/image570.png"/><Relationship Id="rId951" Type="http://schemas.openxmlformats.org/officeDocument/2006/relationships/footer" Target="footer82.xml"/><Relationship Id="rId1167" Type="http://schemas.openxmlformats.org/officeDocument/2006/relationships/footer" Target="footer98.xml"/><Relationship Id="rId1374" Type="http://schemas.openxmlformats.org/officeDocument/2006/relationships/image" Target="media/image1071.png"/><Relationship Id="rId80" Type="http://schemas.openxmlformats.org/officeDocument/2006/relationships/image" Target="media/image47.png"/><Relationship Id="rId176" Type="http://schemas.openxmlformats.org/officeDocument/2006/relationships/hyperlink" Target="https://cooperated.93/" TargetMode="External"/><Relationship Id="rId383" Type="http://schemas.openxmlformats.org/officeDocument/2006/relationships/footer" Target="footer24.xml"/><Relationship Id="rId590" Type="http://schemas.openxmlformats.org/officeDocument/2006/relationships/image" Target="media/image448.png"/><Relationship Id="rId604" Type="http://schemas.openxmlformats.org/officeDocument/2006/relationships/image" Target="media/image460.png"/><Relationship Id="rId811" Type="http://schemas.openxmlformats.org/officeDocument/2006/relationships/image" Target="media/image621.png"/><Relationship Id="rId1027" Type="http://schemas.openxmlformats.org/officeDocument/2006/relationships/hyperlink" Target="https://7.22-7.24/" TargetMode="External"/><Relationship Id="rId1234" Type="http://schemas.openxmlformats.org/officeDocument/2006/relationships/image" Target="media/image953.png"/><Relationship Id="rId1441" Type="http://schemas.openxmlformats.org/officeDocument/2006/relationships/image" Target="media/image1130.png"/><Relationship Id="rId243" Type="http://schemas.openxmlformats.org/officeDocument/2006/relationships/image" Target="media/image149.png"/><Relationship Id="rId450" Type="http://schemas.openxmlformats.org/officeDocument/2006/relationships/image" Target="media/image332.png"/><Relationship Id="rId688" Type="http://schemas.openxmlformats.org/officeDocument/2006/relationships/footer" Target="footer54.xml"/><Relationship Id="rId895" Type="http://schemas.openxmlformats.org/officeDocument/2006/relationships/image" Target="media/image689.png"/><Relationship Id="rId909" Type="http://schemas.openxmlformats.org/officeDocument/2006/relationships/image" Target="media/image701.png"/><Relationship Id="rId1080" Type="http://schemas.openxmlformats.org/officeDocument/2006/relationships/footer" Target="footer93.xml"/><Relationship Id="rId1301" Type="http://schemas.openxmlformats.org/officeDocument/2006/relationships/header" Target="header106.xml"/><Relationship Id="rId38" Type="http://schemas.openxmlformats.org/officeDocument/2006/relationships/header" Target="header11.xml"/><Relationship Id="rId103" Type="http://schemas.openxmlformats.org/officeDocument/2006/relationships/image" Target="media/image58.png"/><Relationship Id="rId310" Type="http://schemas.openxmlformats.org/officeDocument/2006/relationships/header" Target="header20.xml"/><Relationship Id="rId548" Type="http://schemas.openxmlformats.org/officeDocument/2006/relationships/image" Target="media/image414.png"/><Relationship Id="rId755" Type="http://schemas.openxmlformats.org/officeDocument/2006/relationships/footer" Target="footer59.xml"/><Relationship Id="rId962" Type="http://schemas.openxmlformats.org/officeDocument/2006/relationships/image" Target="media/image736.png"/><Relationship Id="rId1178" Type="http://schemas.openxmlformats.org/officeDocument/2006/relationships/image" Target="media/image909.png"/><Relationship Id="rId1385" Type="http://schemas.openxmlformats.org/officeDocument/2006/relationships/image" Target="media/image1080.png"/><Relationship Id="rId91" Type="http://schemas.openxmlformats.org/officeDocument/2006/relationships/image" Target="media/image53.png"/><Relationship Id="rId187" Type="http://schemas.openxmlformats.org/officeDocument/2006/relationships/image" Target="media/image101.png"/><Relationship Id="rId394" Type="http://schemas.openxmlformats.org/officeDocument/2006/relationships/image" Target="media/image286.png"/><Relationship Id="rId408" Type="http://schemas.openxmlformats.org/officeDocument/2006/relationships/footer" Target="footer28.xml"/><Relationship Id="rId615" Type="http://schemas.openxmlformats.org/officeDocument/2006/relationships/image" Target="media/image469.png"/><Relationship Id="rId822" Type="http://schemas.openxmlformats.org/officeDocument/2006/relationships/header" Target="header68.xml"/><Relationship Id="rId1038" Type="http://schemas.openxmlformats.org/officeDocument/2006/relationships/image" Target="media/image786.png"/><Relationship Id="rId1245" Type="http://schemas.openxmlformats.org/officeDocument/2006/relationships/image" Target="media/image964.png"/><Relationship Id="rId254" Type="http://schemas.openxmlformats.org/officeDocument/2006/relationships/image" Target="media/image160.png"/><Relationship Id="rId699" Type="http://schemas.openxmlformats.org/officeDocument/2006/relationships/image" Target="media/image531.png"/><Relationship Id="rId1091" Type="http://schemas.openxmlformats.org/officeDocument/2006/relationships/image" Target="media/image832.png"/><Relationship Id="rId1105" Type="http://schemas.openxmlformats.org/officeDocument/2006/relationships/image" Target="media/image846.png"/><Relationship Id="rId1312" Type="http://schemas.openxmlformats.org/officeDocument/2006/relationships/image" Target="media/image1025.png"/><Relationship Id="rId49" Type="http://schemas.openxmlformats.org/officeDocument/2006/relationships/image" Target="media/image21.png"/><Relationship Id="rId114" Type="http://schemas.openxmlformats.org/officeDocument/2006/relationships/hyperlink" Target="https://information.40/" TargetMode="External"/><Relationship Id="rId461" Type="http://schemas.openxmlformats.org/officeDocument/2006/relationships/image" Target="media/image341.png"/><Relationship Id="rId559" Type="http://schemas.openxmlformats.org/officeDocument/2006/relationships/image" Target="media/image423.png"/><Relationship Id="rId766" Type="http://schemas.openxmlformats.org/officeDocument/2006/relationships/image" Target="media/image584.png"/><Relationship Id="rId1189" Type="http://schemas.openxmlformats.org/officeDocument/2006/relationships/image" Target="media/image920.png"/><Relationship Id="rId1396" Type="http://schemas.openxmlformats.org/officeDocument/2006/relationships/image" Target="media/image1091.png"/><Relationship Id="rId198" Type="http://schemas.openxmlformats.org/officeDocument/2006/relationships/image" Target="media/image108.png"/><Relationship Id="rId321" Type="http://schemas.openxmlformats.org/officeDocument/2006/relationships/header" Target="header21.xml"/><Relationship Id="rId419" Type="http://schemas.openxmlformats.org/officeDocument/2006/relationships/image" Target="media/image303.png"/><Relationship Id="rId626" Type="http://schemas.openxmlformats.org/officeDocument/2006/relationships/image" Target="media/image476.png"/><Relationship Id="rId973" Type="http://schemas.openxmlformats.org/officeDocument/2006/relationships/footer" Target="footer85.xml"/><Relationship Id="rId1049" Type="http://schemas.openxmlformats.org/officeDocument/2006/relationships/image" Target="media/image796.png"/><Relationship Id="rId1256" Type="http://schemas.openxmlformats.org/officeDocument/2006/relationships/image" Target="media/image973.png"/><Relationship Id="rId833" Type="http://schemas.openxmlformats.org/officeDocument/2006/relationships/image" Target="media/image635.png"/><Relationship Id="rId1116" Type="http://schemas.openxmlformats.org/officeDocument/2006/relationships/image" Target="media/image857.png"/><Relationship Id="rId265" Type="http://schemas.openxmlformats.org/officeDocument/2006/relationships/image" Target="media/image171.png"/><Relationship Id="rId472" Type="http://schemas.openxmlformats.org/officeDocument/2006/relationships/image" Target="media/image352.png"/><Relationship Id="rId900" Type="http://schemas.openxmlformats.org/officeDocument/2006/relationships/image" Target="media/image694.png"/><Relationship Id="rId1323" Type="http://schemas.openxmlformats.org/officeDocument/2006/relationships/header" Target="header108.xml"/><Relationship Id="rId125" Type="http://schemas.openxmlformats.org/officeDocument/2006/relationships/hyperlink" Target="https://verification.47/" TargetMode="External"/><Relationship Id="rId332" Type="http://schemas.openxmlformats.org/officeDocument/2006/relationships/image" Target="media/image230.png"/><Relationship Id="rId777" Type="http://schemas.openxmlformats.org/officeDocument/2006/relationships/image" Target="media/image593.png"/><Relationship Id="rId984" Type="http://schemas.openxmlformats.org/officeDocument/2006/relationships/image" Target="media/image750.png"/><Relationship Id="rId637" Type="http://schemas.openxmlformats.org/officeDocument/2006/relationships/image" Target="media/image487.png"/><Relationship Id="rId844" Type="http://schemas.openxmlformats.org/officeDocument/2006/relationships/image" Target="media/image642.png"/><Relationship Id="rId1267" Type="http://schemas.openxmlformats.org/officeDocument/2006/relationships/image" Target="media/image984.png"/><Relationship Id="rId276" Type="http://schemas.openxmlformats.org/officeDocument/2006/relationships/image" Target="media/image182.png"/><Relationship Id="rId483" Type="http://schemas.openxmlformats.org/officeDocument/2006/relationships/image" Target="media/image359.png"/><Relationship Id="rId690" Type="http://schemas.openxmlformats.org/officeDocument/2006/relationships/image" Target="media/image524.png"/><Relationship Id="rId704" Type="http://schemas.openxmlformats.org/officeDocument/2006/relationships/image" Target="media/image536.png"/><Relationship Id="rId911" Type="http://schemas.openxmlformats.org/officeDocument/2006/relationships/footer" Target="footer75.xml"/><Relationship Id="rId1127" Type="http://schemas.openxmlformats.org/officeDocument/2006/relationships/image" Target="media/image862.png"/><Relationship Id="rId1334" Type="http://schemas.openxmlformats.org/officeDocument/2006/relationships/footer" Target="footer109.xml"/><Relationship Id="rId40" Type="http://schemas.openxmlformats.org/officeDocument/2006/relationships/image" Target="media/image12.png"/><Relationship Id="rId136" Type="http://schemas.openxmlformats.org/officeDocument/2006/relationships/image" Target="media/image76.png"/><Relationship Id="rId343" Type="http://schemas.openxmlformats.org/officeDocument/2006/relationships/image" Target="media/image241.png"/><Relationship Id="rId550" Type="http://schemas.openxmlformats.org/officeDocument/2006/relationships/footer" Target="footer39.xml"/><Relationship Id="rId788" Type="http://schemas.openxmlformats.org/officeDocument/2006/relationships/image" Target="media/image602.png"/><Relationship Id="rId995" Type="http://schemas.openxmlformats.org/officeDocument/2006/relationships/image" Target="media/image758.png"/><Relationship Id="rId1180" Type="http://schemas.openxmlformats.org/officeDocument/2006/relationships/image" Target="media/image911.png"/><Relationship Id="rId1401" Type="http://schemas.openxmlformats.org/officeDocument/2006/relationships/image" Target="media/image1096.png"/><Relationship Id="rId203" Type="http://schemas.openxmlformats.org/officeDocument/2006/relationships/image" Target="media/image113.png"/><Relationship Id="rId648" Type="http://schemas.openxmlformats.org/officeDocument/2006/relationships/footer" Target="footer48.xml"/><Relationship Id="rId855" Type="http://schemas.openxmlformats.org/officeDocument/2006/relationships/image" Target="media/image653.png"/><Relationship Id="rId1040" Type="http://schemas.openxmlformats.org/officeDocument/2006/relationships/image" Target="media/image787.png"/><Relationship Id="rId1278" Type="http://schemas.openxmlformats.org/officeDocument/2006/relationships/image" Target="media/image995.png"/><Relationship Id="rId287" Type="http://schemas.openxmlformats.org/officeDocument/2006/relationships/image" Target="media/image193.png"/><Relationship Id="rId410" Type="http://schemas.openxmlformats.org/officeDocument/2006/relationships/header" Target="header29.xml"/><Relationship Id="rId494" Type="http://schemas.openxmlformats.org/officeDocument/2006/relationships/image" Target="media/image368.png"/><Relationship Id="rId508" Type="http://schemas.openxmlformats.org/officeDocument/2006/relationships/image" Target="media/image380.png"/><Relationship Id="rId715" Type="http://schemas.openxmlformats.org/officeDocument/2006/relationships/image" Target="media/image546.png"/><Relationship Id="rId922" Type="http://schemas.openxmlformats.org/officeDocument/2006/relationships/header" Target="header77.xml"/><Relationship Id="rId1138" Type="http://schemas.openxmlformats.org/officeDocument/2006/relationships/image" Target="media/image873.png"/><Relationship Id="rId1345" Type="http://schemas.openxmlformats.org/officeDocument/2006/relationships/header" Target="header111.xml"/><Relationship Id="rId147" Type="http://schemas.openxmlformats.org/officeDocument/2006/relationships/hyperlink" Target="https://settled.71/" TargetMode="External"/><Relationship Id="rId354" Type="http://schemas.openxmlformats.org/officeDocument/2006/relationships/image" Target="media/image252.png"/><Relationship Id="rId799" Type="http://schemas.openxmlformats.org/officeDocument/2006/relationships/image" Target="media/image609.png"/><Relationship Id="rId1191" Type="http://schemas.openxmlformats.org/officeDocument/2006/relationships/image" Target="media/image922.png"/><Relationship Id="rId1205" Type="http://schemas.openxmlformats.org/officeDocument/2006/relationships/image" Target="media/image932.png"/><Relationship Id="rId51" Type="http://schemas.openxmlformats.org/officeDocument/2006/relationships/image" Target="media/image23.png"/><Relationship Id="rId561" Type="http://schemas.openxmlformats.org/officeDocument/2006/relationships/footer" Target="footer40.xml"/><Relationship Id="rId659" Type="http://schemas.openxmlformats.org/officeDocument/2006/relationships/footer" Target="footer50.xml"/><Relationship Id="rId866" Type="http://schemas.openxmlformats.org/officeDocument/2006/relationships/image" Target="media/image664.png"/><Relationship Id="rId1289" Type="http://schemas.openxmlformats.org/officeDocument/2006/relationships/image" Target="media/image1006.png"/><Relationship Id="rId1412" Type="http://schemas.openxmlformats.org/officeDocument/2006/relationships/image" Target="media/image1107.png"/><Relationship Id="rId214" Type="http://schemas.openxmlformats.org/officeDocument/2006/relationships/image" Target="media/image122.png"/><Relationship Id="rId298" Type="http://schemas.openxmlformats.org/officeDocument/2006/relationships/image" Target="media/image204.png"/><Relationship Id="rId421" Type="http://schemas.openxmlformats.org/officeDocument/2006/relationships/image" Target="media/image305.png"/><Relationship Id="rId519" Type="http://schemas.openxmlformats.org/officeDocument/2006/relationships/image" Target="media/image389.png"/><Relationship Id="rId1051" Type="http://schemas.openxmlformats.org/officeDocument/2006/relationships/image" Target="media/image798.png"/><Relationship Id="rId1149" Type="http://schemas.openxmlformats.org/officeDocument/2006/relationships/image" Target="media/image884.png"/><Relationship Id="rId1356" Type="http://schemas.openxmlformats.org/officeDocument/2006/relationships/footer" Target="footer113.xml"/><Relationship Id="rId158" Type="http://schemas.openxmlformats.org/officeDocument/2006/relationships/image" Target="media/image85.png"/><Relationship Id="rId726" Type="http://schemas.openxmlformats.org/officeDocument/2006/relationships/image" Target="media/image555.png"/><Relationship Id="rId933" Type="http://schemas.openxmlformats.org/officeDocument/2006/relationships/image" Target="media/image717.png"/><Relationship Id="rId1009" Type="http://schemas.openxmlformats.org/officeDocument/2006/relationships/header" Target="header90.xml"/><Relationship Id="rId62" Type="http://schemas.openxmlformats.org/officeDocument/2006/relationships/image" Target="media/image33.png"/><Relationship Id="rId365" Type="http://schemas.openxmlformats.org/officeDocument/2006/relationships/image" Target="media/image263.png"/><Relationship Id="rId572" Type="http://schemas.openxmlformats.org/officeDocument/2006/relationships/image" Target="media/image434.png"/><Relationship Id="rId1216" Type="http://schemas.openxmlformats.org/officeDocument/2006/relationships/image" Target="media/image939.png"/><Relationship Id="rId1423" Type="http://schemas.openxmlformats.org/officeDocument/2006/relationships/image" Target="media/image1116.png"/><Relationship Id="rId225" Type="http://schemas.openxmlformats.org/officeDocument/2006/relationships/image" Target="media/image131.png"/><Relationship Id="rId432" Type="http://schemas.openxmlformats.org/officeDocument/2006/relationships/image" Target="media/image316.png"/><Relationship Id="rId877" Type="http://schemas.openxmlformats.org/officeDocument/2006/relationships/image" Target="media/image675.png"/><Relationship Id="rId1062" Type="http://schemas.openxmlformats.org/officeDocument/2006/relationships/hyperlink" Target="https://7.59-7.60/" TargetMode="External"/><Relationship Id="rId737" Type="http://schemas.openxmlformats.org/officeDocument/2006/relationships/image" Target="media/image564.png"/><Relationship Id="rId944" Type="http://schemas.openxmlformats.org/officeDocument/2006/relationships/image" Target="media/image724.png"/><Relationship Id="rId1367" Type="http://schemas.openxmlformats.org/officeDocument/2006/relationships/image" Target="media/image1064.png"/><Relationship Id="rId73" Type="http://schemas.openxmlformats.org/officeDocument/2006/relationships/image" Target="media/image42.png"/><Relationship Id="rId169" Type="http://schemas.openxmlformats.org/officeDocument/2006/relationships/image" Target="media/image91.png"/><Relationship Id="rId376" Type="http://schemas.openxmlformats.org/officeDocument/2006/relationships/image" Target="media/image274.png"/><Relationship Id="rId583" Type="http://schemas.openxmlformats.org/officeDocument/2006/relationships/image" Target="media/image443.png"/><Relationship Id="rId790" Type="http://schemas.openxmlformats.org/officeDocument/2006/relationships/footer" Target="footer64.xml"/><Relationship Id="rId804" Type="http://schemas.openxmlformats.org/officeDocument/2006/relationships/image" Target="media/image614.png"/><Relationship Id="rId1227" Type="http://schemas.openxmlformats.org/officeDocument/2006/relationships/image" Target="media/image946.png"/><Relationship Id="rId1434" Type="http://schemas.openxmlformats.org/officeDocument/2006/relationships/image" Target="media/image1125.png"/><Relationship Id="rId4" Type="http://schemas.openxmlformats.org/officeDocument/2006/relationships/webSettings" Target="webSettings.xml"/><Relationship Id="rId236" Type="http://schemas.openxmlformats.org/officeDocument/2006/relationships/image" Target="media/image142.png"/><Relationship Id="rId443" Type="http://schemas.openxmlformats.org/officeDocument/2006/relationships/header" Target="header30.xml"/><Relationship Id="rId650" Type="http://schemas.openxmlformats.org/officeDocument/2006/relationships/image" Target="media/image496.png"/><Relationship Id="rId888" Type="http://schemas.openxmlformats.org/officeDocument/2006/relationships/image" Target="media/image684.png"/><Relationship Id="rId1073" Type="http://schemas.openxmlformats.org/officeDocument/2006/relationships/header" Target="header92.xml"/><Relationship Id="rId1280" Type="http://schemas.openxmlformats.org/officeDocument/2006/relationships/image" Target="media/image997.png"/><Relationship Id="rId303" Type="http://schemas.openxmlformats.org/officeDocument/2006/relationships/image" Target="media/image209.png"/><Relationship Id="rId748" Type="http://schemas.openxmlformats.org/officeDocument/2006/relationships/image" Target="media/image572.png"/><Relationship Id="rId955" Type="http://schemas.openxmlformats.org/officeDocument/2006/relationships/header" Target="header83.xml"/><Relationship Id="rId1140" Type="http://schemas.openxmlformats.org/officeDocument/2006/relationships/image" Target="media/image875.png"/><Relationship Id="rId1378" Type="http://schemas.openxmlformats.org/officeDocument/2006/relationships/header" Target="header115.xml"/><Relationship Id="rId84" Type="http://schemas.openxmlformats.org/officeDocument/2006/relationships/image" Target="media/image49.png"/><Relationship Id="rId387" Type="http://schemas.openxmlformats.org/officeDocument/2006/relationships/image" Target="media/image281.png"/><Relationship Id="rId510" Type="http://schemas.openxmlformats.org/officeDocument/2006/relationships/header" Target="header36.xml"/><Relationship Id="rId594" Type="http://schemas.openxmlformats.org/officeDocument/2006/relationships/image" Target="media/image452.png"/><Relationship Id="rId608" Type="http://schemas.openxmlformats.org/officeDocument/2006/relationships/image" Target="media/image464.png"/><Relationship Id="rId815" Type="http://schemas.openxmlformats.org/officeDocument/2006/relationships/footer" Target="footer66.xml"/><Relationship Id="rId1238" Type="http://schemas.openxmlformats.org/officeDocument/2006/relationships/image" Target="media/image957.png"/><Relationship Id="rId1445" Type="http://schemas.openxmlformats.org/officeDocument/2006/relationships/theme" Target="theme/theme1.xml"/><Relationship Id="rId247" Type="http://schemas.openxmlformats.org/officeDocument/2006/relationships/image" Target="media/image153.png"/><Relationship Id="rId899" Type="http://schemas.openxmlformats.org/officeDocument/2006/relationships/image" Target="media/image693.png"/><Relationship Id="rId1000" Type="http://schemas.openxmlformats.org/officeDocument/2006/relationships/header" Target="header89.xml"/><Relationship Id="rId1084" Type="http://schemas.openxmlformats.org/officeDocument/2006/relationships/image" Target="media/image825.png"/><Relationship Id="rId1305" Type="http://schemas.openxmlformats.org/officeDocument/2006/relationships/image" Target="media/image1018.png"/><Relationship Id="rId107" Type="http://schemas.openxmlformats.org/officeDocument/2006/relationships/image" Target="media/image59.png"/><Relationship Id="rId454" Type="http://schemas.openxmlformats.org/officeDocument/2006/relationships/image" Target="media/image336.png"/><Relationship Id="rId661" Type="http://schemas.openxmlformats.org/officeDocument/2006/relationships/image" Target="media/image503.png"/><Relationship Id="rId759" Type="http://schemas.openxmlformats.org/officeDocument/2006/relationships/footer" Target="footer60.xml"/><Relationship Id="rId966" Type="http://schemas.openxmlformats.org/officeDocument/2006/relationships/header" Target="header84.xml"/><Relationship Id="rId1291" Type="http://schemas.openxmlformats.org/officeDocument/2006/relationships/image" Target="media/image1008.png"/><Relationship Id="rId1389" Type="http://schemas.openxmlformats.org/officeDocument/2006/relationships/image" Target="media/image1084.png"/><Relationship Id="rId11" Type="http://schemas.openxmlformats.org/officeDocument/2006/relationships/header" Target="header3.xml"/><Relationship Id="rId314" Type="http://schemas.openxmlformats.org/officeDocument/2006/relationships/image" Target="media/image216.png"/><Relationship Id="rId398" Type="http://schemas.openxmlformats.org/officeDocument/2006/relationships/footer" Target="footer26.xml"/><Relationship Id="rId521" Type="http://schemas.openxmlformats.org/officeDocument/2006/relationships/image" Target="media/image391.png"/><Relationship Id="rId619" Type="http://schemas.openxmlformats.org/officeDocument/2006/relationships/footer" Target="footer45.xml"/><Relationship Id="rId1151" Type="http://schemas.openxmlformats.org/officeDocument/2006/relationships/image" Target="media/image886.png"/><Relationship Id="rId1249" Type="http://schemas.openxmlformats.org/officeDocument/2006/relationships/image" Target="media/image968.png"/><Relationship Id="rId95" Type="http://schemas.openxmlformats.org/officeDocument/2006/relationships/hyperlink" Target="https://available.20/" TargetMode="External"/><Relationship Id="rId160" Type="http://schemas.openxmlformats.org/officeDocument/2006/relationships/image" Target="media/image87.png"/><Relationship Id="rId826" Type="http://schemas.openxmlformats.org/officeDocument/2006/relationships/image" Target="media/image630.png"/><Relationship Id="rId1011" Type="http://schemas.openxmlformats.org/officeDocument/2006/relationships/image" Target="media/image770.png"/><Relationship Id="rId1109" Type="http://schemas.openxmlformats.org/officeDocument/2006/relationships/image" Target="media/image850.png"/><Relationship Id="rId258" Type="http://schemas.openxmlformats.org/officeDocument/2006/relationships/image" Target="media/image164.png"/><Relationship Id="rId465" Type="http://schemas.openxmlformats.org/officeDocument/2006/relationships/image" Target="media/image345.png"/><Relationship Id="rId672" Type="http://schemas.openxmlformats.org/officeDocument/2006/relationships/header" Target="header52.xml"/><Relationship Id="rId1095" Type="http://schemas.openxmlformats.org/officeDocument/2006/relationships/image" Target="media/image836.png"/><Relationship Id="rId1316" Type="http://schemas.openxmlformats.org/officeDocument/2006/relationships/image" Target="media/image1029.png"/><Relationship Id="rId22" Type="http://schemas.openxmlformats.org/officeDocument/2006/relationships/header" Target="header8.xml"/><Relationship Id="rId118" Type="http://schemas.openxmlformats.org/officeDocument/2006/relationships/image" Target="media/image66.png"/><Relationship Id="rId325" Type="http://schemas.openxmlformats.org/officeDocument/2006/relationships/header" Target="header22.xml"/><Relationship Id="rId532" Type="http://schemas.openxmlformats.org/officeDocument/2006/relationships/image" Target="media/image400.png"/><Relationship Id="rId977" Type="http://schemas.openxmlformats.org/officeDocument/2006/relationships/image" Target="media/image747.png"/><Relationship Id="rId1162" Type="http://schemas.openxmlformats.org/officeDocument/2006/relationships/image" Target="media/image895.png"/><Relationship Id="rId171" Type="http://schemas.openxmlformats.org/officeDocument/2006/relationships/hyperlink" Target="https://www.oed.com/view/Entry/185972" TargetMode="External"/><Relationship Id="rId837" Type="http://schemas.openxmlformats.org/officeDocument/2006/relationships/header" Target="header70.xml"/><Relationship Id="rId1022" Type="http://schemas.openxmlformats.org/officeDocument/2006/relationships/hyperlink" Target="https://8.35-8.39/" TargetMode="External"/><Relationship Id="rId269" Type="http://schemas.openxmlformats.org/officeDocument/2006/relationships/image" Target="media/image175.png"/><Relationship Id="rId476" Type="http://schemas.openxmlformats.org/officeDocument/2006/relationships/image" Target="media/image354.png"/><Relationship Id="rId683" Type="http://schemas.openxmlformats.org/officeDocument/2006/relationships/image" Target="media/image521.png"/><Relationship Id="rId890" Type="http://schemas.openxmlformats.org/officeDocument/2006/relationships/image" Target="media/image686.png"/><Relationship Id="rId904" Type="http://schemas.openxmlformats.org/officeDocument/2006/relationships/image" Target="media/image698.png"/><Relationship Id="rId1327" Type="http://schemas.openxmlformats.org/officeDocument/2006/relationships/image" Target="media/image1036.png"/><Relationship Id="rId33" Type="http://schemas.openxmlformats.org/officeDocument/2006/relationships/header" Target="header10.xml"/><Relationship Id="rId129" Type="http://schemas.openxmlformats.org/officeDocument/2006/relationships/hyperlink" Target="https://difficulties.53/" TargetMode="External"/><Relationship Id="rId336" Type="http://schemas.openxmlformats.org/officeDocument/2006/relationships/image" Target="media/image234.png"/><Relationship Id="rId543" Type="http://schemas.openxmlformats.org/officeDocument/2006/relationships/image" Target="media/image409.png"/><Relationship Id="rId988" Type="http://schemas.openxmlformats.org/officeDocument/2006/relationships/header" Target="header88.xml"/><Relationship Id="rId1173" Type="http://schemas.openxmlformats.org/officeDocument/2006/relationships/image" Target="media/image904.png"/><Relationship Id="rId1380" Type="http://schemas.openxmlformats.org/officeDocument/2006/relationships/image" Target="media/image1075.png"/><Relationship Id="rId182" Type="http://schemas.openxmlformats.org/officeDocument/2006/relationships/image" Target="media/image97.png"/><Relationship Id="rId403" Type="http://schemas.openxmlformats.org/officeDocument/2006/relationships/header" Target="header27.xml"/><Relationship Id="rId750" Type="http://schemas.openxmlformats.org/officeDocument/2006/relationships/image" Target="media/image574.png"/><Relationship Id="rId848" Type="http://schemas.openxmlformats.org/officeDocument/2006/relationships/image" Target="media/image646.png"/><Relationship Id="rId1033" Type="http://schemas.openxmlformats.org/officeDocument/2006/relationships/image" Target="media/image782.png"/><Relationship Id="rId487" Type="http://schemas.openxmlformats.org/officeDocument/2006/relationships/footer" Target="footer34.xml"/><Relationship Id="rId610" Type="http://schemas.openxmlformats.org/officeDocument/2006/relationships/image" Target="media/image466.png"/><Relationship Id="rId694" Type="http://schemas.openxmlformats.org/officeDocument/2006/relationships/footer" Target="footer55.xml"/><Relationship Id="rId708" Type="http://schemas.openxmlformats.org/officeDocument/2006/relationships/image" Target="media/image539.png"/><Relationship Id="rId915" Type="http://schemas.openxmlformats.org/officeDocument/2006/relationships/image" Target="media/image705.png"/><Relationship Id="rId1240" Type="http://schemas.openxmlformats.org/officeDocument/2006/relationships/image" Target="media/image959.png"/><Relationship Id="rId1338" Type="http://schemas.openxmlformats.org/officeDocument/2006/relationships/image" Target="media/image1045.png"/><Relationship Id="rId347" Type="http://schemas.openxmlformats.org/officeDocument/2006/relationships/image" Target="media/image245.png"/><Relationship Id="rId999" Type="http://schemas.openxmlformats.org/officeDocument/2006/relationships/image" Target="media/image762.png"/><Relationship Id="rId1100" Type="http://schemas.openxmlformats.org/officeDocument/2006/relationships/image" Target="media/image841.png"/><Relationship Id="rId1184" Type="http://schemas.openxmlformats.org/officeDocument/2006/relationships/image" Target="media/image915.png"/><Relationship Id="rId1405" Type="http://schemas.openxmlformats.org/officeDocument/2006/relationships/image" Target="media/image1100.png"/><Relationship Id="rId44" Type="http://schemas.openxmlformats.org/officeDocument/2006/relationships/image" Target="media/image16.png"/><Relationship Id="rId554" Type="http://schemas.openxmlformats.org/officeDocument/2006/relationships/image" Target="media/image418.png"/><Relationship Id="rId761" Type="http://schemas.openxmlformats.org/officeDocument/2006/relationships/image" Target="media/image581.png"/><Relationship Id="rId859" Type="http://schemas.openxmlformats.org/officeDocument/2006/relationships/image" Target="media/image657.png"/><Relationship Id="rId1391" Type="http://schemas.openxmlformats.org/officeDocument/2006/relationships/image" Target="media/image1086.png"/><Relationship Id="rId193" Type="http://schemas.openxmlformats.org/officeDocument/2006/relationships/image" Target="media/image105.png"/><Relationship Id="rId207" Type="http://schemas.openxmlformats.org/officeDocument/2006/relationships/image" Target="media/image117.png"/><Relationship Id="rId414" Type="http://schemas.openxmlformats.org/officeDocument/2006/relationships/image" Target="media/image298.png"/><Relationship Id="rId498" Type="http://schemas.openxmlformats.org/officeDocument/2006/relationships/image" Target="media/image372.png"/><Relationship Id="rId621" Type="http://schemas.openxmlformats.org/officeDocument/2006/relationships/image" Target="media/image473.png"/><Relationship Id="rId1044" Type="http://schemas.openxmlformats.org/officeDocument/2006/relationships/image" Target="media/image791.png"/><Relationship Id="rId1251" Type="http://schemas.openxmlformats.org/officeDocument/2006/relationships/image" Target="media/image970.png"/><Relationship Id="rId1349" Type="http://schemas.openxmlformats.org/officeDocument/2006/relationships/image" Target="media/image1052.png"/><Relationship Id="rId260" Type="http://schemas.openxmlformats.org/officeDocument/2006/relationships/image" Target="media/image166.png"/><Relationship Id="rId719" Type="http://schemas.openxmlformats.org/officeDocument/2006/relationships/image" Target="media/image550.png"/><Relationship Id="rId926" Type="http://schemas.openxmlformats.org/officeDocument/2006/relationships/image" Target="media/image712.png"/><Relationship Id="rId1111" Type="http://schemas.openxmlformats.org/officeDocument/2006/relationships/image" Target="media/image852.png"/><Relationship Id="rId55" Type="http://schemas.openxmlformats.org/officeDocument/2006/relationships/image" Target="media/image27.png"/><Relationship Id="rId120" Type="http://schemas.openxmlformats.org/officeDocument/2006/relationships/image" Target="media/image68.png"/><Relationship Id="rId358" Type="http://schemas.openxmlformats.org/officeDocument/2006/relationships/image" Target="media/image256.png"/><Relationship Id="rId565" Type="http://schemas.openxmlformats.org/officeDocument/2006/relationships/image" Target="media/image427.png"/><Relationship Id="rId772" Type="http://schemas.openxmlformats.org/officeDocument/2006/relationships/image" Target="media/image588.png"/><Relationship Id="rId1195" Type="http://schemas.openxmlformats.org/officeDocument/2006/relationships/image" Target="media/image924.png"/><Relationship Id="rId1209" Type="http://schemas.openxmlformats.org/officeDocument/2006/relationships/image" Target="media/image934.png"/><Relationship Id="rId1416" Type="http://schemas.openxmlformats.org/officeDocument/2006/relationships/image" Target="media/image1111.png"/><Relationship Id="rId218" Type="http://schemas.openxmlformats.org/officeDocument/2006/relationships/image" Target="media/image126.png"/><Relationship Id="rId425" Type="http://schemas.openxmlformats.org/officeDocument/2006/relationships/image" Target="media/image309.png"/><Relationship Id="rId632" Type="http://schemas.openxmlformats.org/officeDocument/2006/relationships/image" Target="media/image482.png"/><Relationship Id="rId1055" Type="http://schemas.openxmlformats.org/officeDocument/2006/relationships/image" Target="media/image802.png"/><Relationship Id="rId1262" Type="http://schemas.openxmlformats.org/officeDocument/2006/relationships/image" Target="media/image979.png"/><Relationship Id="rId271" Type="http://schemas.openxmlformats.org/officeDocument/2006/relationships/image" Target="media/image177.png"/><Relationship Id="rId937" Type="http://schemas.openxmlformats.org/officeDocument/2006/relationships/image" Target="media/image721.png"/><Relationship Id="rId1122" Type="http://schemas.openxmlformats.org/officeDocument/2006/relationships/header" Target="header95.xml"/><Relationship Id="rId66" Type="http://schemas.openxmlformats.org/officeDocument/2006/relationships/image" Target="media/image37.png"/><Relationship Id="rId131" Type="http://schemas.openxmlformats.org/officeDocument/2006/relationships/hyperlink" Target="https://authority.57/" TargetMode="External"/><Relationship Id="rId369" Type="http://schemas.openxmlformats.org/officeDocument/2006/relationships/image" Target="media/image267.png"/><Relationship Id="rId576" Type="http://schemas.openxmlformats.org/officeDocument/2006/relationships/image" Target="media/image438.png"/><Relationship Id="rId783" Type="http://schemas.openxmlformats.org/officeDocument/2006/relationships/footer" Target="footer63.xml"/><Relationship Id="rId990" Type="http://schemas.openxmlformats.org/officeDocument/2006/relationships/image" Target="media/image753.png"/><Relationship Id="rId1427" Type="http://schemas.openxmlformats.org/officeDocument/2006/relationships/image" Target="media/image1120.png"/><Relationship Id="rId229" Type="http://schemas.openxmlformats.org/officeDocument/2006/relationships/image" Target="media/image135.png"/><Relationship Id="rId436" Type="http://schemas.openxmlformats.org/officeDocument/2006/relationships/image" Target="media/image320.png"/><Relationship Id="rId643" Type="http://schemas.openxmlformats.org/officeDocument/2006/relationships/image" Target="media/image491.png"/><Relationship Id="rId1066" Type="http://schemas.openxmlformats.org/officeDocument/2006/relationships/image" Target="media/image811.png"/><Relationship Id="rId1273" Type="http://schemas.openxmlformats.org/officeDocument/2006/relationships/image" Target="media/image990.png"/><Relationship Id="rId850" Type="http://schemas.openxmlformats.org/officeDocument/2006/relationships/image" Target="media/image648.png"/><Relationship Id="rId948" Type="http://schemas.openxmlformats.org/officeDocument/2006/relationships/image" Target="media/image726.png"/><Relationship Id="rId1133" Type="http://schemas.openxmlformats.org/officeDocument/2006/relationships/image" Target="media/image868.png"/><Relationship Id="rId77" Type="http://schemas.openxmlformats.org/officeDocument/2006/relationships/image" Target="media/image44.png"/><Relationship Id="rId282" Type="http://schemas.openxmlformats.org/officeDocument/2006/relationships/image" Target="media/image188.png"/><Relationship Id="rId503" Type="http://schemas.openxmlformats.org/officeDocument/2006/relationships/image" Target="media/image377.png"/><Relationship Id="rId587" Type="http://schemas.openxmlformats.org/officeDocument/2006/relationships/footer" Target="footer42.xml"/><Relationship Id="rId710" Type="http://schemas.openxmlformats.org/officeDocument/2006/relationships/image" Target="media/image541.png"/><Relationship Id="rId808" Type="http://schemas.openxmlformats.org/officeDocument/2006/relationships/image" Target="media/image618.png"/><Relationship Id="rId1340" Type="http://schemas.openxmlformats.org/officeDocument/2006/relationships/footer" Target="footer110.xml"/><Relationship Id="rId1438" Type="http://schemas.openxmlformats.org/officeDocument/2006/relationships/image" Target="media/image1129.png"/><Relationship Id="rId8" Type="http://schemas.openxmlformats.org/officeDocument/2006/relationships/footer" Target="footer1.xml"/><Relationship Id="rId142" Type="http://schemas.openxmlformats.org/officeDocument/2006/relationships/image" Target="media/image79.png"/><Relationship Id="rId447" Type="http://schemas.openxmlformats.org/officeDocument/2006/relationships/image" Target="media/image329.png"/><Relationship Id="rId794" Type="http://schemas.openxmlformats.org/officeDocument/2006/relationships/image" Target="media/image606.png"/><Relationship Id="rId1077" Type="http://schemas.openxmlformats.org/officeDocument/2006/relationships/image" Target="media/image820.png"/><Relationship Id="rId1200" Type="http://schemas.openxmlformats.org/officeDocument/2006/relationships/image" Target="media/image927.png"/><Relationship Id="rId654" Type="http://schemas.openxmlformats.org/officeDocument/2006/relationships/header" Target="header49.xml"/><Relationship Id="rId861" Type="http://schemas.openxmlformats.org/officeDocument/2006/relationships/image" Target="media/image659.png"/><Relationship Id="rId959" Type="http://schemas.openxmlformats.org/officeDocument/2006/relationships/image" Target="media/image733.png"/><Relationship Id="rId1284" Type="http://schemas.openxmlformats.org/officeDocument/2006/relationships/image" Target="media/image1001.png"/><Relationship Id="rId293" Type="http://schemas.openxmlformats.org/officeDocument/2006/relationships/image" Target="media/image199.png"/><Relationship Id="rId307" Type="http://schemas.openxmlformats.org/officeDocument/2006/relationships/image" Target="media/image211.png"/><Relationship Id="rId514" Type="http://schemas.openxmlformats.org/officeDocument/2006/relationships/image" Target="media/image384.png"/><Relationship Id="rId721" Type="http://schemas.openxmlformats.org/officeDocument/2006/relationships/image" Target="media/image552.png"/><Relationship Id="rId1144" Type="http://schemas.openxmlformats.org/officeDocument/2006/relationships/image" Target="media/image879.png"/><Relationship Id="rId1351" Type="http://schemas.openxmlformats.org/officeDocument/2006/relationships/footer" Target="footer112.xml"/><Relationship Id="rId88" Type="http://schemas.openxmlformats.org/officeDocument/2006/relationships/footer" Target="footer14.xml"/><Relationship Id="rId153" Type="http://schemas.openxmlformats.org/officeDocument/2006/relationships/image" Target="media/image84.png"/><Relationship Id="rId360" Type="http://schemas.openxmlformats.org/officeDocument/2006/relationships/image" Target="media/image258.png"/><Relationship Id="rId598" Type="http://schemas.openxmlformats.org/officeDocument/2006/relationships/image" Target="media/image456.png"/><Relationship Id="rId819" Type="http://schemas.openxmlformats.org/officeDocument/2006/relationships/header" Target="header67.xml"/><Relationship Id="rId1004" Type="http://schemas.openxmlformats.org/officeDocument/2006/relationships/image" Target="media/image765.png"/><Relationship Id="rId1211" Type="http://schemas.openxmlformats.org/officeDocument/2006/relationships/image" Target="media/image936.png"/><Relationship Id="rId220" Type="http://schemas.openxmlformats.org/officeDocument/2006/relationships/image" Target="media/image128.png"/><Relationship Id="rId458" Type="http://schemas.openxmlformats.org/officeDocument/2006/relationships/image" Target="media/image338.png"/><Relationship Id="rId665" Type="http://schemas.openxmlformats.org/officeDocument/2006/relationships/image" Target="media/image505.png"/><Relationship Id="rId872" Type="http://schemas.openxmlformats.org/officeDocument/2006/relationships/image" Target="media/image670.png"/><Relationship Id="rId1088" Type="http://schemas.openxmlformats.org/officeDocument/2006/relationships/image" Target="media/image829.png"/><Relationship Id="rId1295" Type="http://schemas.openxmlformats.org/officeDocument/2006/relationships/header" Target="header105.xml"/><Relationship Id="rId1309" Type="http://schemas.openxmlformats.org/officeDocument/2006/relationships/image" Target="media/image1022.png"/><Relationship Id="rId15" Type="http://schemas.openxmlformats.org/officeDocument/2006/relationships/header" Target="header5.xml"/><Relationship Id="rId318" Type="http://schemas.openxmlformats.org/officeDocument/2006/relationships/image" Target="media/image220.png"/><Relationship Id="rId525" Type="http://schemas.openxmlformats.org/officeDocument/2006/relationships/image" Target="media/image395.png"/><Relationship Id="rId732" Type="http://schemas.openxmlformats.org/officeDocument/2006/relationships/image" Target="media/image559.png"/><Relationship Id="rId1155" Type="http://schemas.openxmlformats.org/officeDocument/2006/relationships/image" Target="media/image890.png"/><Relationship Id="rId1362" Type="http://schemas.openxmlformats.org/officeDocument/2006/relationships/footer" Target="footer114.xml"/><Relationship Id="rId99" Type="http://schemas.openxmlformats.org/officeDocument/2006/relationships/hyperlink" Target="https://information.24/" TargetMode="External"/><Relationship Id="rId164" Type="http://schemas.openxmlformats.org/officeDocument/2006/relationships/hyperlink" Target="https://www.oed.com/view/Entry/94325" TargetMode="External"/><Relationship Id="rId371" Type="http://schemas.openxmlformats.org/officeDocument/2006/relationships/image" Target="media/image269.png"/><Relationship Id="rId1015" Type="http://schemas.openxmlformats.org/officeDocument/2006/relationships/image" Target="media/image774.png"/><Relationship Id="rId1222" Type="http://schemas.openxmlformats.org/officeDocument/2006/relationships/image" Target="media/image943.png"/><Relationship Id="rId469" Type="http://schemas.openxmlformats.org/officeDocument/2006/relationships/image" Target="media/image349.png"/><Relationship Id="rId676" Type="http://schemas.openxmlformats.org/officeDocument/2006/relationships/image" Target="media/image514.png"/><Relationship Id="rId883" Type="http://schemas.openxmlformats.org/officeDocument/2006/relationships/image" Target="media/image681.png"/><Relationship Id="rId1099" Type="http://schemas.openxmlformats.org/officeDocument/2006/relationships/image" Target="media/image840.png"/><Relationship Id="rId26" Type="http://schemas.openxmlformats.org/officeDocument/2006/relationships/header" Target="header9.xml"/><Relationship Id="rId231" Type="http://schemas.openxmlformats.org/officeDocument/2006/relationships/image" Target="media/image137.png"/><Relationship Id="rId329" Type="http://schemas.openxmlformats.org/officeDocument/2006/relationships/image" Target="media/image227.png"/><Relationship Id="rId536" Type="http://schemas.openxmlformats.org/officeDocument/2006/relationships/header" Target="header38.xml"/><Relationship Id="rId1166" Type="http://schemas.openxmlformats.org/officeDocument/2006/relationships/header" Target="header98.xml"/><Relationship Id="rId1373" Type="http://schemas.openxmlformats.org/officeDocument/2006/relationships/image" Target="media/image1070.png"/><Relationship Id="rId175" Type="http://schemas.openxmlformats.org/officeDocument/2006/relationships/image" Target="media/image93.png"/><Relationship Id="rId743" Type="http://schemas.openxmlformats.org/officeDocument/2006/relationships/image" Target="media/image569.png"/><Relationship Id="rId950" Type="http://schemas.openxmlformats.org/officeDocument/2006/relationships/header" Target="header82.xml"/><Relationship Id="rId1026" Type="http://schemas.openxmlformats.org/officeDocument/2006/relationships/hyperlink" Target="https://7.55-7.56/" TargetMode="External"/><Relationship Id="rId382" Type="http://schemas.openxmlformats.org/officeDocument/2006/relationships/header" Target="header24.xml"/><Relationship Id="rId603" Type="http://schemas.openxmlformats.org/officeDocument/2006/relationships/footer" Target="footer43.xml"/><Relationship Id="rId687" Type="http://schemas.openxmlformats.org/officeDocument/2006/relationships/header" Target="header54.xml"/><Relationship Id="rId810" Type="http://schemas.openxmlformats.org/officeDocument/2006/relationships/image" Target="media/image620.png"/><Relationship Id="rId908" Type="http://schemas.openxmlformats.org/officeDocument/2006/relationships/image" Target="media/image700.png"/><Relationship Id="rId1233" Type="http://schemas.openxmlformats.org/officeDocument/2006/relationships/image" Target="media/image952.png"/><Relationship Id="rId1440" Type="http://schemas.openxmlformats.org/officeDocument/2006/relationships/footer" Target="footer118.xml"/><Relationship Id="rId242" Type="http://schemas.openxmlformats.org/officeDocument/2006/relationships/image" Target="media/image148.png"/><Relationship Id="rId894" Type="http://schemas.openxmlformats.org/officeDocument/2006/relationships/footer" Target="footer73.xml"/><Relationship Id="rId1177" Type="http://schemas.openxmlformats.org/officeDocument/2006/relationships/image" Target="media/image908.png"/><Relationship Id="rId1300" Type="http://schemas.openxmlformats.org/officeDocument/2006/relationships/image" Target="media/image1015.png"/><Relationship Id="rId37" Type="http://schemas.openxmlformats.org/officeDocument/2006/relationships/image" Target="media/image11.png"/><Relationship Id="rId102" Type="http://schemas.openxmlformats.org/officeDocument/2006/relationships/image" Target="media/image57.png"/><Relationship Id="rId547" Type="http://schemas.openxmlformats.org/officeDocument/2006/relationships/image" Target="media/image413.png"/><Relationship Id="rId754" Type="http://schemas.openxmlformats.org/officeDocument/2006/relationships/header" Target="header59.xml"/><Relationship Id="rId961" Type="http://schemas.openxmlformats.org/officeDocument/2006/relationships/image" Target="media/image735.png"/><Relationship Id="rId1384" Type="http://schemas.openxmlformats.org/officeDocument/2006/relationships/image" Target="media/image1079.png"/><Relationship Id="rId90" Type="http://schemas.openxmlformats.org/officeDocument/2006/relationships/hyperlink" Target="https://authority.17/" TargetMode="External"/><Relationship Id="rId186" Type="http://schemas.openxmlformats.org/officeDocument/2006/relationships/image" Target="media/image100.png"/><Relationship Id="rId393" Type="http://schemas.openxmlformats.org/officeDocument/2006/relationships/image" Target="media/image285.png"/><Relationship Id="rId407" Type="http://schemas.openxmlformats.org/officeDocument/2006/relationships/header" Target="header28.xml"/><Relationship Id="rId614" Type="http://schemas.openxmlformats.org/officeDocument/2006/relationships/image" Target="media/image468.png"/><Relationship Id="rId821" Type="http://schemas.openxmlformats.org/officeDocument/2006/relationships/image" Target="media/image627.png"/><Relationship Id="rId1037" Type="http://schemas.openxmlformats.org/officeDocument/2006/relationships/image" Target="media/image785.png"/><Relationship Id="rId1244" Type="http://schemas.openxmlformats.org/officeDocument/2006/relationships/image" Target="media/image963.png"/><Relationship Id="rId253" Type="http://schemas.openxmlformats.org/officeDocument/2006/relationships/image" Target="media/image159.png"/><Relationship Id="rId460" Type="http://schemas.openxmlformats.org/officeDocument/2006/relationships/image" Target="media/image340.png"/><Relationship Id="rId698" Type="http://schemas.openxmlformats.org/officeDocument/2006/relationships/image" Target="media/image530.png"/><Relationship Id="rId919" Type="http://schemas.openxmlformats.org/officeDocument/2006/relationships/image" Target="media/image707.png"/><Relationship Id="rId1090" Type="http://schemas.openxmlformats.org/officeDocument/2006/relationships/image" Target="media/image831.png"/><Relationship Id="rId1104" Type="http://schemas.openxmlformats.org/officeDocument/2006/relationships/image" Target="media/image845.png"/><Relationship Id="rId1311" Type="http://schemas.openxmlformats.org/officeDocument/2006/relationships/image" Target="media/image1024.png"/><Relationship Id="rId48" Type="http://schemas.openxmlformats.org/officeDocument/2006/relationships/image" Target="media/image20.png"/><Relationship Id="rId113" Type="http://schemas.openxmlformats.org/officeDocument/2006/relationships/image" Target="media/image63.png"/><Relationship Id="rId320" Type="http://schemas.openxmlformats.org/officeDocument/2006/relationships/image" Target="media/image222.png"/><Relationship Id="rId558" Type="http://schemas.openxmlformats.org/officeDocument/2006/relationships/image" Target="media/image422.png"/><Relationship Id="rId765" Type="http://schemas.openxmlformats.org/officeDocument/2006/relationships/image" Target="media/image583.png"/><Relationship Id="rId972" Type="http://schemas.openxmlformats.org/officeDocument/2006/relationships/header" Target="header85.xml"/><Relationship Id="rId1188" Type="http://schemas.openxmlformats.org/officeDocument/2006/relationships/image" Target="media/image919.png"/><Relationship Id="rId1395" Type="http://schemas.openxmlformats.org/officeDocument/2006/relationships/image" Target="media/image1090.png"/><Relationship Id="rId1409" Type="http://schemas.openxmlformats.org/officeDocument/2006/relationships/image" Target="media/image1104.png"/><Relationship Id="rId197" Type="http://schemas.openxmlformats.org/officeDocument/2006/relationships/image" Target="media/image107.png"/><Relationship Id="rId418" Type="http://schemas.openxmlformats.org/officeDocument/2006/relationships/image" Target="media/image302.png"/><Relationship Id="rId625" Type="http://schemas.openxmlformats.org/officeDocument/2006/relationships/footer" Target="footer46.xml"/><Relationship Id="rId832" Type="http://schemas.openxmlformats.org/officeDocument/2006/relationships/image" Target="media/image634.png"/><Relationship Id="rId1048" Type="http://schemas.openxmlformats.org/officeDocument/2006/relationships/image" Target="media/image795.png"/><Relationship Id="rId1255" Type="http://schemas.openxmlformats.org/officeDocument/2006/relationships/hyperlink" Target="https://www.oed.com/view/Entry/131973" TargetMode="External"/><Relationship Id="rId264" Type="http://schemas.openxmlformats.org/officeDocument/2006/relationships/image" Target="media/image170.png"/><Relationship Id="rId471" Type="http://schemas.openxmlformats.org/officeDocument/2006/relationships/image" Target="media/image351.png"/><Relationship Id="rId1115" Type="http://schemas.openxmlformats.org/officeDocument/2006/relationships/image" Target="media/image856.png"/><Relationship Id="rId1322" Type="http://schemas.openxmlformats.org/officeDocument/2006/relationships/image" Target="media/image1033.png"/><Relationship Id="rId59" Type="http://schemas.openxmlformats.org/officeDocument/2006/relationships/image" Target="media/image31.png"/><Relationship Id="rId124" Type="http://schemas.openxmlformats.org/officeDocument/2006/relationships/image" Target="media/image71.png"/><Relationship Id="rId569" Type="http://schemas.openxmlformats.org/officeDocument/2006/relationships/image" Target="media/image431.png"/><Relationship Id="rId776" Type="http://schemas.openxmlformats.org/officeDocument/2006/relationships/image" Target="media/image592.png"/><Relationship Id="rId983" Type="http://schemas.openxmlformats.org/officeDocument/2006/relationships/image" Target="media/image749.png"/><Relationship Id="rId1199" Type="http://schemas.openxmlformats.org/officeDocument/2006/relationships/image" Target="media/image926.png"/><Relationship Id="rId331" Type="http://schemas.openxmlformats.org/officeDocument/2006/relationships/image" Target="media/image229.png"/><Relationship Id="rId429" Type="http://schemas.openxmlformats.org/officeDocument/2006/relationships/image" Target="media/image313.png"/><Relationship Id="rId636" Type="http://schemas.openxmlformats.org/officeDocument/2006/relationships/image" Target="media/image486.png"/><Relationship Id="rId1059" Type="http://schemas.openxmlformats.org/officeDocument/2006/relationships/image" Target="media/image806.png"/><Relationship Id="rId1266" Type="http://schemas.openxmlformats.org/officeDocument/2006/relationships/image" Target="media/image983.png"/><Relationship Id="rId843" Type="http://schemas.openxmlformats.org/officeDocument/2006/relationships/footer" Target="footer71.xml"/><Relationship Id="rId1126" Type="http://schemas.openxmlformats.org/officeDocument/2006/relationships/footer" Target="footer96.xml"/><Relationship Id="rId275" Type="http://schemas.openxmlformats.org/officeDocument/2006/relationships/image" Target="media/image181.png"/><Relationship Id="rId482" Type="http://schemas.openxmlformats.org/officeDocument/2006/relationships/image" Target="media/image358.png"/><Relationship Id="rId703" Type="http://schemas.openxmlformats.org/officeDocument/2006/relationships/image" Target="media/image535.png"/><Relationship Id="rId910" Type="http://schemas.openxmlformats.org/officeDocument/2006/relationships/header" Target="header75.xml"/><Relationship Id="rId1333" Type="http://schemas.openxmlformats.org/officeDocument/2006/relationships/header" Target="header109.xml"/><Relationship Id="rId135" Type="http://schemas.openxmlformats.org/officeDocument/2006/relationships/hyperlink" Target="https://www.oed.com/view/Entry/202120" TargetMode="External"/><Relationship Id="rId342" Type="http://schemas.openxmlformats.org/officeDocument/2006/relationships/image" Target="media/image240.png"/><Relationship Id="rId787" Type="http://schemas.openxmlformats.org/officeDocument/2006/relationships/image" Target="media/image601.png"/><Relationship Id="rId994" Type="http://schemas.openxmlformats.org/officeDocument/2006/relationships/image" Target="media/image757.png"/><Relationship Id="rId1400" Type="http://schemas.openxmlformats.org/officeDocument/2006/relationships/image" Target="media/image1095.png"/><Relationship Id="rId202" Type="http://schemas.openxmlformats.org/officeDocument/2006/relationships/image" Target="media/image112.png"/><Relationship Id="rId647" Type="http://schemas.openxmlformats.org/officeDocument/2006/relationships/header" Target="header48.xml"/><Relationship Id="rId854" Type="http://schemas.openxmlformats.org/officeDocument/2006/relationships/image" Target="media/image652.png"/><Relationship Id="rId1277" Type="http://schemas.openxmlformats.org/officeDocument/2006/relationships/image" Target="media/image994.png"/><Relationship Id="rId286" Type="http://schemas.openxmlformats.org/officeDocument/2006/relationships/image" Target="media/image192.png"/><Relationship Id="rId493" Type="http://schemas.openxmlformats.org/officeDocument/2006/relationships/image" Target="media/image367.png"/><Relationship Id="rId507" Type="http://schemas.openxmlformats.org/officeDocument/2006/relationships/image" Target="media/image379.png"/><Relationship Id="rId714" Type="http://schemas.openxmlformats.org/officeDocument/2006/relationships/image" Target="media/image545.png"/><Relationship Id="rId921" Type="http://schemas.openxmlformats.org/officeDocument/2006/relationships/image" Target="media/image709.png"/><Relationship Id="rId1137" Type="http://schemas.openxmlformats.org/officeDocument/2006/relationships/image" Target="media/image872.png"/><Relationship Id="rId1344" Type="http://schemas.openxmlformats.org/officeDocument/2006/relationships/image" Target="media/image104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395</Pages>
  <Words>138551</Words>
  <Characters>792512</Characters>
  <Application>Microsoft Office Word</Application>
  <DocSecurity>0</DocSecurity>
  <Lines>18869</Lines>
  <Paragraphs>6465</Paragraphs>
  <ScaleCrop>false</ScaleCrop>
  <Company/>
  <LinksUpToDate>false</LinksUpToDate>
  <CharactersWithSpaces>924598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
  <cp:revision>1</cp:revision>
  <dcterms:created xsi:type="dcterms:W3CDTF">2022-05-20T00:21:00Z</dcterms:created>
  <dcterms:modified xsi:type="dcterms:W3CDTF">2022-05-20T00:21:00Z</dcterms:modified>
</cp:coreProperties>
</file>